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jc w:val="right"/>
        <w:tblLayout w:type="fixed"/>
        <w:tblLook w:val="0000" w:firstRow="0" w:lastRow="0" w:firstColumn="0" w:lastColumn="0" w:noHBand="0" w:noVBand="0"/>
      </w:tblPr>
      <w:tblGrid>
        <w:gridCol w:w="1455"/>
        <w:gridCol w:w="509"/>
        <w:gridCol w:w="443"/>
        <w:gridCol w:w="818"/>
        <w:gridCol w:w="951"/>
        <w:gridCol w:w="2292"/>
        <w:gridCol w:w="603"/>
        <w:gridCol w:w="245"/>
        <w:gridCol w:w="383"/>
        <w:gridCol w:w="1798"/>
      </w:tblGrid>
      <w:tr w:rsidR="00E84199" w:rsidRPr="005C10F2" w14:paraId="42EE9C51" w14:textId="77777777" w:rsidTr="00E84199">
        <w:trPr>
          <w:cantSplit/>
          <w:trHeight w:val="1079"/>
          <w:jc w:val="right"/>
        </w:trPr>
        <w:tc>
          <w:tcPr>
            <w:tcW w:w="1490" w:type="dxa"/>
          </w:tcPr>
          <w:p w14:paraId="6F262EDB" w14:textId="77777777" w:rsidR="00E84199" w:rsidRPr="005C10F2" w:rsidRDefault="00E84199" w:rsidP="00E84199">
            <w:pPr>
              <w:tabs>
                <w:tab w:val="left" w:pos="1247"/>
                <w:tab w:val="left" w:pos="1814"/>
                <w:tab w:val="left" w:pos="2381"/>
                <w:tab w:val="left" w:pos="2948"/>
                <w:tab w:val="left" w:pos="3515"/>
                <w:tab w:val="left" w:pos="4082"/>
              </w:tabs>
              <w:jc w:val="left"/>
              <w:rPr>
                <w:rFonts w:ascii="Arial" w:hAnsi="Arial" w:cs="Arial"/>
                <w:b/>
                <w:sz w:val="27"/>
                <w:szCs w:val="27"/>
                <w:lang w:val="en-GB"/>
              </w:rPr>
            </w:pPr>
            <w:bookmarkStart w:id="0" w:name="_Hlk518890891"/>
            <w:r w:rsidRPr="005C10F2">
              <w:rPr>
                <w:rFonts w:ascii="Arial" w:hAnsi="Arial" w:cs="Arial"/>
                <w:b/>
                <w:noProof/>
                <w:sz w:val="27"/>
                <w:szCs w:val="27"/>
                <w:lang w:val="en-GB"/>
              </w:rPr>
              <w:t xml:space="preserve">UNITED </w:t>
            </w:r>
            <w:r w:rsidRPr="005C10F2">
              <w:rPr>
                <w:rFonts w:ascii="Arial" w:hAnsi="Arial" w:cs="Arial"/>
                <w:b/>
                <w:noProof/>
                <w:sz w:val="27"/>
                <w:szCs w:val="27"/>
                <w:lang w:val="en-GB"/>
              </w:rPr>
              <w:br/>
              <w:t>NATIONS</w:t>
            </w:r>
          </w:p>
        </w:tc>
        <w:tc>
          <w:tcPr>
            <w:tcW w:w="972" w:type="dxa"/>
            <w:gridSpan w:val="2"/>
            <w:tcBorders>
              <w:left w:val="nil"/>
            </w:tcBorders>
            <w:vAlign w:val="center"/>
          </w:tcPr>
          <w:p w14:paraId="26E06BBD" w14:textId="77777777" w:rsidR="00E84199" w:rsidRPr="005C10F2" w:rsidRDefault="00E84199" w:rsidP="00E84199">
            <w:pPr>
              <w:tabs>
                <w:tab w:val="left" w:pos="1247"/>
                <w:tab w:val="left" w:pos="1814"/>
                <w:tab w:val="left" w:pos="2381"/>
                <w:tab w:val="left" w:pos="2948"/>
                <w:tab w:val="left" w:pos="3515"/>
                <w:tab w:val="left" w:pos="4082"/>
              </w:tabs>
              <w:ind w:left="-108"/>
              <w:rPr>
                <w:rFonts w:ascii="Times New Roman" w:hAnsi="Times New Roman"/>
                <w:sz w:val="20"/>
                <w:szCs w:val="20"/>
                <w:lang w:val="en-GB"/>
              </w:rPr>
            </w:pPr>
            <w:r w:rsidRPr="005C10F2">
              <w:rPr>
                <w:rFonts w:ascii="Times New Roman" w:hAnsi="Times New Roman"/>
                <w:noProof/>
                <w:sz w:val="20"/>
                <w:szCs w:val="20"/>
                <w:lang w:val="en-GB" w:eastAsia="en-GB"/>
              </w:rPr>
              <w:drawing>
                <wp:inline distT="0" distB="0" distL="0" distR="0" wp14:anchorId="4ACF7BE7" wp14:editId="14D13359">
                  <wp:extent cx="537932" cy="468923"/>
                  <wp:effectExtent l="0" t="0" r="0" b="7620"/>
                  <wp:docPr id="23" name="Picture 23" descr="Description: Description: !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UN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5429" cy="475458"/>
                          </a:xfrm>
                          <a:prstGeom prst="rect">
                            <a:avLst/>
                          </a:prstGeom>
                          <a:noFill/>
                          <a:ln>
                            <a:noFill/>
                          </a:ln>
                        </pic:spPr>
                      </pic:pic>
                    </a:graphicData>
                  </a:graphic>
                </wp:inline>
              </w:drawing>
            </w:r>
          </w:p>
        </w:tc>
        <w:tc>
          <w:tcPr>
            <w:tcW w:w="834" w:type="dxa"/>
            <w:tcBorders>
              <w:left w:val="nil"/>
            </w:tcBorders>
            <w:vAlign w:val="center"/>
          </w:tcPr>
          <w:p w14:paraId="0A9205F5" w14:textId="77777777" w:rsidR="00E84199" w:rsidRPr="005C10F2" w:rsidRDefault="00E84199" w:rsidP="00E84199">
            <w:pPr>
              <w:tabs>
                <w:tab w:val="left" w:pos="1247"/>
                <w:tab w:val="left" w:pos="1814"/>
                <w:tab w:val="left" w:pos="2381"/>
                <w:tab w:val="left" w:pos="2948"/>
                <w:tab w:val="left" w:pos="3515"/>
                <w:tab w:val="left" w:pos="4082"/>
              </w:tabs>
              <w:ind w:left="-108"/>
              <w:jc w:val="left"/>
              <w:rPr>
                <w:rFonts w:ascii="Times New Roman" w:hAnsi="Times New Roman"/>
                <w:sz w:val="20"/>
                <w:szCs w:val="20"/>
                <w:lang w:val="en-GB"/>
              </w:rPr>
            </w:pPr>
            <w:r w:rsidRPr="005C10F2">
              <w:rPr>
                <w:rFonts w:ascii="Times New Roman" w:hAnsi="Times New Roman"/>
                <w:noProof/>
                <w:sz w:val="20"/>
                <w:szCs w:val="20"/>
                <w:lang w:val="en-GB" w:eastAsia="en-GB"/>
              </w:rPr>
              <w:drawing>
                <wp:inline distT="0" distB="0" distL="0" distR="0" wp14:anchorId="38AB9C6C" wp14:editId="2A9CB2D4">
                  <wp:extent cx="468455" cy="492369"/>
                  <wp:effectExtent l="0" t="0" r="8255" b="3175"/>
                  <wp:docPr id="34" name="Picture 34" descr="Description: Description: !UN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UNE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6988" cy="490827"/>
                          </a:xfrm>
                          <a:prstGeom prst="rect">
                            <a:avLst/>
                          </a:prstGeom>
                          <a:noFill/>
                          <a:ln>
                            <a:noFill/>
                          </a:ln>
                        </pic:spPr>
                      </pic:pic>
                    </a:graphicData>
                  </a:graphic>
                </wp:inline>
              </w:drawing>
            </w:r>
          </w:p>
        </w:tc>
        <w:tc>
          <w:tcPr>
            <w:tcW w:w="971" w:type="dxa"/>
            <w:tcBorders>
              <w:left w:val="nil"/>
            </w:tcBorders>
            <w:vAlign w:val="center"/>
          </w:tcPr>
          <w:p w14:paraId="1EFB48BF" w14:textId="77777777" w:rsidR="00E84199" w:rsidRPr="005C10F2" w:rsidRDefault="00E84199" w:rsidP="00E84199">
            <w:pPr>
              <w:tabs>
                <w:tab w:val="left" w:pos="1247"/>
                <w:tab w:val="left" w:pos="1814"/>
                <w:tab w:val="left" w:pos="2381"/>
                <w:tab w:val="left" w:pos="2948"/>
                <w:tab w:val="left" w:pos="3515"/>
                <w:tab w:val="left" w:pos="4082"/>
              </w:tabs>
              <w:ind w:left="-108"/>
              <w:jc w:val="left"/>
              <w:rPr>
                <w:rFonts w:ascii="Times New Roman" w:hAnsi="Times New Roman"/>
                <w:sz w:val="20"/>
                <w:szCs w:val="20"/>
                <w:lang w:val="en-GB"/>
              </w:rPr>
            </w:pPr>
            <w:r w:rsidRPr="005C10F2">
              <w:rPr>
                <w:rFonts w:ascii="Times New Roman" w:hAnsi="Times New Roman"/>
                <w:noProof/>
                <w:sz w:val="20"/>
                <w:szCs w:val="20"/>
                <w:lang w:val="en-GB" w:eastAsia="en-GB"/>
              </w:rPr>
              <w:drawing>
                <wp:inline distT="0" distB="0" distL="0" distR="0" wp14:anchorId="58852F74" wp14:editId="087A5713">
                  <wp:extent cx="574431" cy="475392"/>
                  <wp:effectExtent l="0" t="0" r="0" b="1270"/>
                  <wp:docPr id="35" name="Picture 70" descr="E:\Logos\UNESCO (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Logos\UNESCO (black).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513" cy="474632"/>
                          </a:xfrm>
                          <a:prstGeom prst="rect">
                            <a:avLst/>
                          </a:prstGeom>
                          <a:noFill/>
                          <a:ln>
                            <a:noFill/>
                          </a:ln>
                        </pic:spPr>
                      </pic:pic>
                    </a:graphicData>
                  </a:graphic>
                </wp:inline>
              </w:drawing>
            </w:r>
          </w:p>
        </w:tc>
        <w:tc>
          <w:tcPr>
            <w:tcW w:w="2350" w:type="dxa"/>
            <w:tcBorders>
              <w:left w:val="nil"/>
            </w:tcBorders>
            <w:vAlign w:val="center"/>
          </w:tcPr>
          <w:p w14:paraId="29227877" w14:textId="77777777" w:rsidR="00E84199" w:rsidRPr="005C10F2" w:rsidRDefault="00E84199" w:rsidP="00E84199">
            <w:pPr>
              <w:tabs>
                <w:tab w:val="left" w:pos="1247"/>
                <w:tab w:val="left" w:pos="1814"/>
                <w:tab w:val="left" w:pos="2381"/>
                <w:tab w:val="left" w:pos="2948"/>
                <w:tab w:val="left" w:pos="3515"/>
                <w:tab w:val="left" w:pos="4082"/>
              </w:tabs>
              <w:ind w:left="-108"/>
              <w:jc w:val="left"/>
              <w:rPr>
                <w:rFonts w:ascii="Times New Roman" w:hAnsi="Times New Roman"/>
                <w:sz w:val="20"/>
                <w:szCs w:val="20"/>
                <w:lang w:val="en-GB"/>
              </w:rPr>
            </w:pPr>
            <w:r w:rsidRPr="005C10F2">
              <w:rPr>
                <w:rFonts w:ascii="Times New Roman" w:hAnsi="Times New Roman"/>
                <w:noProof/>
                <w:sz w:val="20"/>
                <w:szCs w:val="20"/>
                <w:lang w:val="en-GB" w:eastAsia="en-GB"/>
              </w:rPr>
              <w:drawing>
                <wp:inline distT="0" distB="0" distL="0" distR="0" wp14:anchorId="586B36E3" wp14:editId="24258B24">
                  <wp:extent cx="1518138" cy="527539"/>
                  <wp:effectExtent l="0" t="0" r="635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O_logo_3lines_en_Blac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18139" cy="527539"/>
                          </a:xfrm>
                          <a:prstGeom prst="rect">
                            <a:avLst/>
                          </a:prstGeom>
                        </pic:spPr>
                      </pic:pic>
                    </a:graphicData>
                  </a:graphic>
                </wp:inline>
              </w:drawing>
            </w:r>
          </w:p>
        </w:tc>
        <w:tc>
          <w:tcPr>
            <w:tcW w:w="613" w:type="dxa"/>
            <w:tcBorders>
              <w:left w:val="nil"/>
              <w:right w:val="nil"/>
            </w:tcBorders>
          </w:tcPr>
          <w:p w14:paraId="2A744619" w14:textId="77777777" w:rsidR="00E84199" w:rsidRPr="005C10F2" w:rsidRDefault="00E84199" w:rsidP="00E84199">
            <w:pPr>
              <w:tabs>
                <w:tab w:val="left" w:pos="1247"/>
                <w:tab w:val="left" w:pos="1814"/>
                <w:tab w:val="left" w:pos="2381"/>
                <w:tab w:val="left" w:pos="2948"/>
                <w:tab w:val="left" w:pos="3515"/>
                <w:tab w:val="left" w:pos="4082"/>
              </w:tabs>
              <w:jc w:val="left"/>
              <w:rPr>
                <w:rFonts w:ascii="Times New Roman" w:hAnsi="Times New Roman"/>
                <w:sz w:val="20"/>
                <w:szCs w:val="20"/>
                <w:lang w:val="en-GB"/>
              </w:rPr>
            </w:pPr>
            <w:r w:rsidRPr="005C10F2">
              <w:rPr>
                <w:rFonts w:ascii="Times New Roman" w:hAnsi="Times New Roman"/>
                <w:noProof/>
                <w:sz w:val="20"/>
                <w:szCs w:val="20"/>
                <w:lang w:val="en-GB" w:eastAsia="en-GB"/>
              </w:rPr>
              <w:drawing>
                <wp:inline distT="0" distB="0" distL="0" distR="0" wp14:anchorId="4F57B467" wp14:editId="72B0A277">
                  <wp:extent cx="287215" cy="562232"/>
                  <wp:effectExtent l="0" t="0" r="0" b="0"/>
                  <wp:docPr id="37" name="Picture 37" descr="Description: E:\Logos\UNDP (bl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E:\Logos\UNDP (blck).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215" cy="562232"/>
                          </a:xfrm>
                          <a:prstGeom prst="rect">
                            <a:avLst/>
                          </a:prstGeom>
                          <a:noFill/>
                          <a:ln>
                            <a:noFill/>
                          </a:ln>
                        </pic:spPr>
                      </pic:pic>
                    </a:graphicData>
                  </a:graphic>
                </wp:inline>
              </w:drawing>
            </w:r>
          </w:p>
        </w:tc>
        <w:tc>
          <w:tcPr>
            <w:tcW w:w="640" w:type="dxa"/>
            <w:gridSpan w:val="2"/>
            <w:tcBorders>
              <w:left w:val="nil"/>
            </w:tcBorders>
            <w:vAlign w:val="center"/>
          </w:tcPr>
          <w:p w14:paraId="49B1F0E4" w14:textId="77777777" w:rsidR="00E84199" w:rsidRPr="005C10F2" w:rsidRDefault="00E84199" w:rsidP="00E84199">
            <w:pPr>
              <w:tabs>
                <w:tab w:val="left" w:pos="1247"/>
                <w:tab w:val="left" w:pos="1814"/>
                <w:tab w:val="left" w:pos="2381"/>
                <w:tab w:val="left" w:pos="2948"/>
                <w:tab w:val="left" w:pos="3515"/>
                <w:tab w:val="left" w:pos="4082"/>
              </w:tabs>
              <w:jc w:val="left"/>
              <w:rPr>
                <w:rFonts w:ascii="Times New Roman" w:hAnsi="Times New Roman"/>
                <w:sz w:val="20"/>
                <w:szCs w:val="20"/>
                <w:lang w:val="en-GB"/>
              </w:rPr>
            </w:pPr>
          </w:p>
        </w:tc>
        <w:tc>
          <w:tcPr>
            <w:tcW w:w="1627" w:type="dxa"/>
          </w:tcPr>
          <w:p w14:paraId="4A73436D" w14:textId="77777777" w:rsidR="00E84199" w:rsidRPr="005C10F2" w:rsidRDefault="00E84199" w:rsidP="00E84199">
            <w:pPr>
              <w:tabs>
                <w:tab w:val="left" w:pos="1247"/>
                <w:tab w:val="left" w:pos="1814"/>
                <w:tab w:val="left" w:pos="2381"/>
                <w:tab w:val="left" w:pos="2948"/>
                <w:tab w:val="left" w:pos="3515"/>
                <w:tab w:val="left" w:pos="4082"/>
              </w:tabs>
              <w:jc w:val="left"/>
              <w:rPr>
                <w:rFonts w:ascii="Arial" w:hAnsi="Arial" w:cs="Arial"/>
                <w:b/>
                <w:sz w:val="64"/>
                <w:szCs w:val="64"/>
                <w:lang w:val="en-GB"/>
              </w:rPr>
            </w:pPr>
            <w:r w:rsidRPr="005C10F2">
              <w:rPr>
                <w:rFonts w:ascii="Arial" w:hAnsi="Arial" w:cs="Arial"/>
                <w:b/>
                <w:sz w:val="64"/>
                <w:szCs w:val="64"/>
                <w:lang w:val="en-GB"/>
              </w:rPr>
              <w:t>BES</w:t>
            </w:r>
          </w:p>
        </w:tc>
      </w:tr>
      <w:tr w:rsidR="00E84199" w:rsidRPr="005C10F2" w14:paraId="529CC7E2" w14:textId="77777777" w:rsidTr="00E84199">
        <w:trPr>
          <w:cantSplit/>
          <w:trHeight w:val="282"/>
          <w:jc w:val="right"/>
        </w:trPr>
        <w:tc>
          <w:tcPr>
            <w:tcW w:w="1490" w:type="dxa"/>
            <w:tcBorders>
              <w:bottom w:val="single" w:sz="2" w:space="0" w:color="auto"/>
            </w:tcBorders>
          </w:tcPr>
          <w:p w14:paraId="56EFA298" w14:textId="77777777" w:rsidR="00E84199" w:rsidRPr="005C10F2" w:rsidRDefault="00E84199" w:rsidP="00E84199">
            <w:pPr>
              <w:tabs>
                <w:tab w:val="left" w:pos="1247"/>
                <w:tab w:val="left" w:pos="1814"/>
                <w:tab w:val="left" w:pos="2381"/>
                <w:tab w:val="left" w:pos="2948"/>
                <w:tab w:val="left" w:pos="3515"/>
                <w:tab w:val="left" w:pos="4082"/>
              </w:tabs>
              <w:jc w:val="left"/>
              <w:rPr>
                <w:rFonts w:ascii="Times New Roman" w:hAnsi="Times New Roman"/>
                <w:noProof/>
                <w:sz w:val="20"/>
                <w:szCs w:val="20"/>
                <w:lang w:val="en-GB"/>
              </w:rPr>
            </w:pPr>
          </w:p>
        </w:tc>
        <w:tc>
          <w:tcPr>
            <w:tcW w:w="5740" w:type="dxa"/>
            <w:gridSpan w:val="6"/>
            <w:tcBorders>
              <w:bottom w:val="single" w:sz="2" w:space="0" w:color="auto"/>
            </w:tcBorders>
          </w:tcPr>
          <w:p w14:paraId="423D92E3" w14:textId="77777777" w:rsidR="00E84199" w:rsidRPr="005C10F2" w:rsidRDefault="00E84199" w:rsidP="00E84199">
            <w:pPr>
              <w:tabs>
                <w:tab w:val="left" w:pos="1247"/>
                <w:tab w:val="left" w:pos="1814"/>
                <w:tab w:val="left" w:pos="2381"/>
                <w:tab w:val="left" w:pos="2948"/>
                <w:tab w:val="left" w:pos="3515"/>
                <w:tab w:val="left" w:pos="4082"/>
              </w:tabs>
              <w:jc w:val="left"/>
              <w:rPr>
                <w:rFonts w:ascii="Times New Roman" w:hAnsi="Times New Roman"/>
                <w:sz w:val="24"/>
                <w:lang w:val="en-GB"/>
              </w:rPr>
            </w:pPr>
          </w:p>
        </w:tc>
        <w:tc>
          <w:tcPr>
            <w:tcW w:w="2267" w:type="dxa"/>
            <w:gridSpan w:val="3"/>
            <w:tcBorders>
              <w:bottom w:val="single" w:sz="2" w:space="0" w:color="auto"/>
            </w:tcBorders>
          </w:tcPr>
          <w:p w14:paraId="4F38D6FF" w14:textId="77777777" w:rsidR="00E84199" w:rsidRPr="005C10F2" w:rsidRDefault="00E84199" w:rsidP="00E84199">
            <w:pPr>
              <w:tabs>
                <w:tab w:val="left" w:pos="1247"/>
                <w:tab w:val="left" w:pos="1814"/>
                <w:tab w:val="left" w:pos="2381"/>
                <w:tab w:val="left" w:pos="2948"/>
                <w:tab w:val="left" w:pos="3515"/>
                <w:tab w:val="left" w:pos="4082"/>
              </w:tabs>
              <w:jc w:val="left"/>
              <w:rPr>
                <w:rFonts w:ascii="Times New Roman" w:hAnsi="Times New Roman"/>
                <w:sz w:val="24"/>
                <w:lang w:val="en-GB"/>
              </w:rPr>
            </w:pPr>
            <w:r w:rsidRPr="005C10F2">
              <w:rPr>
                <w:rFonts w:ascii="Times New Roman" w:hAnsi="Times New Roman"/>
                <w:b/>
                <w:sz w:val="24"/>
                <w:lang w:val="en-GB"/>
              </w:rPr>
              <w:t>IPBES</w:t>
            </w:r>
            <w:r w:rsidRPr="00314445">
              <w:rPr>
                <w:rFonts w:ascii="Times New Roman" w:hAnsi="Times New Roman"/>
                <w:sz w:val="20"/>
                <w:szCs w:val="20"/>
                <w:lang w:val="en-GB"/>
              </w:rPr>
              <w:t>/6/INF/4/Rev.1</w:t>
            </w:r>
            <w:r w:rsidRPr="00314445">
              <w:rPr>
                <w:rStyle w:val="FootnoteReference"/>
                <w:sz w:val="20"/>
                <w:szCs w:val="20"/>
                <w:vertAlign w:val="baseline"/>
              </w:rPr>
              <w:footnoteReference w:customMarkFollows="1" w:id="1"/>
              <w:t>*</w:t>
            </w:r>
          </w:p>
        </w:tc>
      </w:tr>
      <w:tr w:rsidR="00E84199" w:rsidRPr="005C10F2" w14:paraId="6DEDB42E" w14:textId="77777777" w:rsidTr="00E84199">
        <w:trPr>
          <w:cantSplit/>
          <w:trHeight w:val="1433"/>
          <w:jc w:val="right"/>
        </w:trPr>
        <w:tc>
          <w:tcPr>
            <w:tcW w:w="2009" w:type="dxa"/>
            <w:gridSpan w:val="2"/>
            <w:tcBorders>
              <w:top w:val="single" w:sz="2" w:space="0" w:color="auto"/>
              <w:bottom w:val="single" w:sz="24" w:space="0" w:color="auto"/>
            </w:tcBorders>
          </w:tcPr>
          <w:p w14:paraId="63ACFB5F" w14:textId="77777777" w:rsidR="00E84199" w:rsidRPr="005C10F2" w:rsidRDefault="00E84199" w:rsidP="00E84199">
            <w:pPr>
              <w:tabs>
                <w:tab w:val="left" w:pos="1247"/>
                <w:tab w:val="left" w:pos="1814"/>
                <w:tab w:val="left" w:pos="2381"/>
                <w:tab w:val="left" w:pos="2948"/>
                <w:tab w:val="left" w:pos="3515"/>
                <w:tab w:val="left" w:pos="4082"/>
              </w:tabs>
              <w:spacing w:before="240" w:after="240"/>
              <w:jc w:val="left"/>
              <w:rPr>
                <w:rFonts w:ascii="Times New Roman" w:hAnsi="Times New Roman"/>
                <w:sz w:val="28"/>
                <w:szCs w:val="28"/>
                <w:lang w:val="en-GB"/>
              </w:rPr>
            </w:pPr>
            <w:r w:rsidRPr="005C10F2">
              <w:rPr>
                <w:rFonts w:ascii="Times New Roman" w:hAnsi="Times New Roman"/>
                <w:noProof/>
                <w:sz w:val="28"/>
                <w:szCs w:val="28"/>
                <w:lang w:val="en-GB" w:eastAsia="en-GB"/>
              </w:rPr>
              <w:drawing>
                <wp:inline distT="0" distB="0" distL="0" distR="0" wp14:anchorId="7D55A145" wp14:editId="5918BF96">
                  <wp:extent cx="1111406" cy="51937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BES Logo MONO 2015-0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11406" cy="519379"/>
                          </a:xfrm>
                          <a:prstGeom prst="rect">
                            <a:avLst/>
                          </a:prstGeom>
                        </pic:spPr>
                      </pic:pic>
                    </a:graphicData>
                  </a:graphic>
                </wp:inline>
              </w:drawing>
            </w:r>
          </w:p>
        </w:tc>
        <w:tc>
          <w:tcPr>
            <w:tcW w:w="5470" w:type="dxa"/>
            <w:gridSpan w:val="6"/>
            <w:tcBorders>
              <w:top w:val="single" w:sz="2" w:space="0" w:color="auto"/>
              <w:bottom w:val="single" w:sz="24" w:space="0" w:color="auto"/>
            </w:tcBorders>
          </w:tcPr>
          <w:p w14:paraId="7E345648" w14:textId="77777777" w:rsidR="00E84199" w:rsidRPr="005C10F2" w:rsidRDefault="00E84199" w:rsidP="00E84199">
            <w:pPr>
              <w:tabs>
                <w:tab w:val="left" w:pos="1247"/>
                <w:tab w:val="left" w:pos="1814"/>
                <w:tab w:val="left" w:pos="2381"/>
                <w:tab w:val="left" w:pos="2948"/>
                <w:tab w:val="left" w:pos="3515"/>
                <w:tab w:val="left" w:pos="4082"/>
              </w:tabs>
              <w:spacing w:before="120" w:after="240"/>
              <w:jc w:val="left"/>
              <w:rPr>
                <w:rFonts w:ascii="Arial" w:hAnsi="Arial" w:cs="Arial"/>
                <w:b/>
                <w:sz w:val="20"/>
                <w:szCs w:val="20"/>
                <w:lang w:val="en-GB"/>
              </w:rPr>
            </w:pPr>
            <w:r w:rsidRPr="005C10F2">
              <w:rPr>
                <w:rFonts w:ascii="Arial" w:hAnsi="Arial" w:cs="Arial"/>
                <w:b/>
                <w:sz w:val="28"/>
                <w:szCs w:val="28"/>
                <w:lang w:val="en-GB"/>
              </w:rPr>
              <w:t>Intergovernmental Science-Policy Platform on Biodiversity and Ecosystem Services</w:t>
            </w:r>
          </w:p>
        </w:tc>
        <w:tc>
          <w:tcPr>
            <w:tcW w:w="2233" w:type="dxa"/>
            <w:gridSpan w:val="2"/>
            <w:tcBorders>
              <w:top w:val="single" w:sz="2" w:space="0" w:color="auto"/>
              <w:bottom w:val="single" w:sz="24" w:space="0" w:color="auto"/>
            </w:tcBorders>
          </w:tcPr>
          <w:p w14:paraId="38DF0224" w14:textId="77777777" w:rsidR="00E84199" w:rsidRPr="005C10F2" w:rsidRDefault="00E84199" w:rsidP="00E84199">
            <w:pPr>
              <w:tabs>
                <w:tab w:val="left" w:pos="1247"/>
                <w:tab w:val="left" w:pos="1814"/>
                <w:tab w:val="left" w:pos="2381"/>
                <w:tab w:val="left" w:pos="2948"/>
                <w:tab w:val="left" w:pos="3515"/>
                <w:tab w:val="left" w:pos="4082"/>
              </w:tabs>
              <w:spacing w:before="120" w:after="120"/>
              <w:jc w:val="left"/>
              <w:rPr>
                <w:rFonts w:ascii="Times New Roman" w:hAnsi="Times New Roman"/>
                <w:sz w:val="20"/>
                <w:szCs w:val="20"/>
                <w:lang w:val="en-GB"/>
              </w:rPr>
            </w:pPr>
            <w:r w:rsidRPr="005C10F2">
              <w:rPr>
                <w:rFonts w:ascii="Times New Roman" w:hAnsi="Times New Roman"/>
                <w:sz w:val="20"/>
                <w:szCs w:val="20"/>
                <w:lang w:val="en-GB"/>
              </w:rPr>
              <w:t xml:space="preserve">Distr.: General </w:t>
            </w:r>
            <w:r w:rsidRPr="005C10F2">
              <w:rPr>
                <w:rFonts w:ascii="Times New Roman" w:hAnsi="Times New Roman"/>
                <w:sz w:val="20"/>
                <w:szCs w:val="20"/>
                <w:lang w:val="en-GB"/>
              </w:rPr>
              <w:br/>
              <w:t>22 June 2018</w:t>
            </w:r>
          </w:p>
          <w:p w14:paraId="5E61EDD4" w14:textId="77777777" w:rsidR="00E84199" w:rsidRPr="005C10F2" w:rsidRDefault="00E84199" w:rsidP="00E84199">
            <w:pPr>
              <w:tabs>
                <w:tab w:val="left" w:pos="1247"/>
                <w:tab w:val="left" w:pos="1814"/>
                <w:tab w:val="left" w:pos="2381"/>
                <w:tab w:val="left" w:pos="2948"/>
                <w:tab w:val="left" w:pos="3515"/>
                <w:tab w:val="left" w:pos="4082"/>
              </w:tabs>
              <w:spacing w:before="120" w:after="240"/>
              <w:jc w:val="left"/>
              <w:rPr>
                <w:rFonts w:ascii="Times New Roman" w:hAnsi="Times New Roman"/>
                <w:sz w:val="20"/>
                <w:szCs w:val="20"/>
                <w:lang w:val="en-GB"/>
              </w:rPr>
            </w:pPr>
            <w:r w:rsidRPr="005C10F2">
              <w:rPr>
                <w:rFonts w:ascii="Times New Roman" w:hAnsi="Times New Roman"/>
                <w:sz w:val="20"/>
                <w:szCs w:val="20"/>
                <w:lang w:val="en-GB"/>
              </w:rPr>
              <w:t>English only</w:t>
            </w:r>
          </w:p>
        </w:tc>
      </w:tr>
    </w:tbl>
    <w:p w14:paraId="53264491" w14:textId="77777777" w:rsidR="00E84199" w:rsidRPr="00314445" w:rsidRDefault="00E84199" w:rsidP="00E84199">
      <w:pPr>
        <w:pStyle w:val="AATitle"/>
        <w:jc w:val="left"/>
        <w:rPr>
          <w:rFonts w:ascii="Times New Roman" w:hAnsi="Times New Roman"/>
        </w:rPr>
      </w:pPr>
      <w:r w:rsidRPr="005C10F2">
        <w:rPr>
          <w:rFonts w:ascii="Times New Roman" w:hAnsi="Times New Roman"/>
        </w:rPr>
        <w:t xml:space="preserve">Plenary of the Intergovernmental Science-Policy </w:t>
      </w:r>
      <w:r w:rsidRPr="005C10F2">
        <w:rPr>
          <w:rFonts w:ascii="Times New Roman" w:hAnsi="Times New Roman"/>
        </w:rPr>
        <w:br/>
        <w:t>Platform on Biodiversity and Ecosystem Services</w:t>
      </w:r>
    </w:p>
    <w:p w14:paraId="7E215241" w14:textId="77777777" w:rsidR="00E84199" w:rsidRPr="00314445" w:rsidRDefault="00E84199" w:rsidP="00E84199">
      <w:pPr>
        <w:pStyle w:val="AATitle"/>
        <w:jc w:val="left"/>
        <w:rPr>
          <w:rFonts w:ascii="Times New Roman" w:hAnsi="Times New Roman"/>
        </w:rPr>
      </w:pPr>
      <w:r w:rsidRPr="005C10F2">
        <w:rPr>
          <w:rFonts w:ascii="Times New Roman" w:hAnsi="Times New Roman"/>
        </w:rPr>
        <w:t>Sixth session</w:t>
      </w:r>
    </w:p>
    <w:p w14:paraId="5F5D70D0" w14:textId="77777777" w:rsidR="00E84199" w:rsidRPr="00314445" w:rsidRDefault="00E84199" w:rsidP="00E84199">
      <w:pPr>
        <w:pStyle w:val="AATitle"/>
        <w:jc w:val="left"/>
        <w:rPr>
          <w:rFonts w:ascii="Times New Roman" w:hAnsi="Times New Roman"/>
          <w:b w:val="0"/>
        </w:rPr>
      </w:pPr>
      <w:r w:rsidRPr="00314445">
        <w:rPr>
          <w:rFonts w:ascii="Times New Roman" w:hAnsi="Times New Roman"/>
          <w:b w:val="0"/>
        </w:rPr>
        <w:t>Medellin, Colombia, 18–24 March 2018</w:t>
      </w:r>
    </w:p>
    <w:p w14:paraId="1EBDB64E" w14:textId="77777777" w:rsidR="00E84199" w:rsidRPr="00314445" w:rsidRDefault="00E84199" w:rsidP="00E84199">
      <w:pPr>
        <w:pStyle w:val="AATitle"/>
        <w:jc w:val="left"/>
        <w:rPr>
          <w:rFonts w:ascii="Times New Roman" w:hAnsi="Times New Roman"/>
          <w:b w:val="0"/>
        </w:rPr>
      </w:pPr>
      <w:r w:rsidRPr="00314445">
        <w:rPr>
          <w:rFonts w:ascii="Times New Roman" w:hAnsi="Times New Roman"/>
          <w:b w:val="0"/>
        </w:rPr>
        <w:t>Agenda item 6 (b)</w:t>
      </w:r>
    </w:p>
    <w:p w14:paraId="6F078089" w14:textId="77777777" w:rsidR="00E84199" w:rsidRPr="005C10F2" w:rsidRDefault="00E84199" w:rsidP="00E84199">
      <w:pPr>
        <w:pStyle w:val="AATitle2"/>
        <w:spacing w:after="120"/>
        <w:ind w:right="3543"/>
        <w:jc w:val="left"/>
        <w:rPr>
          <w:rFonts w:ascii="Times New Roman" w:hAnsi="Times New Roman"/>
        </w:rPr>
      </w:pPr>
      <w:r w:rsidRPr="005C10F2">
        <w:rPr>
          <w:rFonts w:ascii="Times New Roman" w:hAnsi="Times New Roman"/>
        </w:rPr>
        <w:t xml:space="preserve">Regional and subregional assessments of biodiversity and </w:t>
      </w:r>
      <w:r>
        <w:rPr>
          <w:rFonts w:ascii="Times New Roman" w:hAnsi="Times New Roman"/>
        </w:rPr>
        <w:br/>
      </w:r>
      <w:r w:rsidRPr="005C10F2">
        <w:rPr>
          <w:rFonts w:ascii="Times New Roman" w:hAnsi="Times New Roman"/>
        </w:rPr>
        <w:t xml:space="preserve">ecosystem services: regional and subregional assessment </w:t>
      </w:r>
      <w:r>
        <w:rPr>
          <w:rFonts w:ascii="Times New Roman" w:hAnsi="Times New Roman"/>
        </w:rPr>
        <w:br/>
      </w:r>
      <w:r w:rsidRPr="005C10F2">
        <w:rPr>
          <w:rFonts w:ascii="Times New Roman" w:hAnsi="Times New Roman"/>
        </w:rPr>
        <w:t>for the Americas</w:t>
      </w:r>
    </w:p>
    <w:p w14:paraId="0DDAFC70" w14:textId="77777777" w:rsidR="00E84199" w:rsidRPr="00314445" w:rsidRDefault="00E84199" w:rsidP="00E84199">
      <w:pPr>
        <w:pStyle w:val="BBTitle"/>
        <w:jc w:val="left"/>
        <w:rPr>
          <w:rFonts w:ascii="Times New Roman" w:hAnsi="Times New Roman"/>
        </w:rPr>
      </w:pPr>
      <w:r w:rsidRPr="00314445">
        <w:rPr>
          <w:rFonts w:ascii="Times New Roman" w:hAnsi="Times New Roman"/>
        </w:rPr>
        <w:t>Chapters of the regional and subregional assessment of biodiversity and ecosystem services for the Americas</w:t>
      </w:r>
    </w:p>
    <w:p w14:paraId="2513011F" w14:textId="77777777" w:rsidR="00E84199" w:rsidRPr="00314445" w:rsidRDefault="00E84199" w:rsidP="00E84199">
      <w:pPr>
        <w:pStyle w:val="CH2"/>
        <w:jc w:val="left"/>
        <w:rPr>
          <w:rFonts w:ascii="Times New Roman" w:hAnsi="Times New Roman"/>
          <w:sz w:val="24"/>
        </w:rPr>
      </w:pPr>
      <w:r w:rsidRPr="00314445">
        <w:rPr>
          <w:rFonts w:ascii="Times New Roman" w:hAnsi="Times New Roman"/>
          <w:sz w:val="24"/>
        </w:rPr>
        <w:tab/>
      </w:r>
      <w:r w:rsidRPr="00314445">
        <w:rPr>
          <w:rFonts w:ascii="Times New Roman" w:hAnsi="Times New Roman"/>
          <w:sz w:val="24"/>
        </w:rPr>
        <w:tab/>
        <w:t xml:space="preserve">Note by the secretariat </w:t>
      </w:r>
    </w:p>
    <w:p w14:paraId="651ED116" w14:textId="77777777" w:rsidR="00E84199" w:rsidRPr="005C10F2" w:rsidRDefault="00E84199" w:rsidP="00E84199">
      <w:pPr>
        <w:pStyle w:val="Normalnumber"/>
        <w:numPr>
          <w:ilvl w:val="0"/>
          <w:numId w:val="0"/>
        </w:numPr>
        <w:tabs>
          <w:tab w:val="clear" w:pos="624"/>
        </w:tabs>
        <w:ind w:left="1247"/>
      </w:pPr>
      <w:r>
        <w:t xml:space="preserve">1. </w:t>
      </w:r>
      <w:r>
        <w:tab/>
      </w:r>
      <w:r w:rsidRPr="005C10F2">
        <w:t>In paragraph 2 of section III of decision IPBES-3/1, the Plenary of the Intergovernmental Science</w:t>
      </w:r>
      <w:r w:rsidRPr="005C10F2">
        <w:noBreakHyphen/>
        <w:t xml:space="preserve">Policy Platform on Biodiversity and Ecosystem Services (IPBES) approved the undertaking of four regional and subregional assessments of biodiversity and ecosystem services for Africa, the Americas, Asia and the Pacific, and Europe and Central Asia (hereinafter referred to as regional assessments) in accordance with the procedures for the preparation of the Platform’s deliverables set out in annex I to decision IPBES-3/3, the generic scoping report for the regional assessments of biodiversity and ecosystem services set out in annex III to decision IPBES-3/1, and the scoping reports for each of the four regional assessments (decision IPBES-3/1, annexes IV–VII).  </w:t>
      </w:r>
    </w:p>
    <w:p w14:paraId="6A481620" w14:textId="6B5DFDDE" w:rsidR="00E84199" w:rsidRPr="005C10F2" w:rsidRDefault="00E84199" w:rsidP="00E84199">
      <w:pPr>
        <w:pStyle w:val="Normalnumber"/>
        <w:numPr>
          <w:ilvl w:val="0"/>
          <w:numId w:val="0"/>
        </w:numPr>
        <w:tabs>
          <w:tab w:val="clear" w:pos="624"/>
        </w:tabs>
        <w:ind w:left="1247"/>
      </w:pPr>
      <w:r>
        <w:t>2.</w:t>
      </w:r>
      <w:r>
        <w:tab/>
      </w:r>
      <w:r>
        <w:tab/>
      </w:r>
      <w:r w:rsidRPr="005C10F2">
        <w:t xml:space="preserve">In response to decision IPBES-3/1, a set of six chapters (IPBES/6/INF/3–6), together with a summary for policymakers (IPBES/6/4–7), were produced for each of the regional assessments by an expert group, in accordance with the procedures for the preparation of the Platform’s deliverables, for consideration by the Plenary at its sixth session. </w:t>
      </w:r>
    </w:p>
    <w:p w14:paraId="6A85C15C" w14:textId="5CA9E3CA" w:rsidR="00E84199" w:rsidRPr="005C10F2" w:rsidRDefault="00E84199" w:rsidP="00550D0A">
      <w:pPr>
        <w:pStyle w:val="Normalnumber"/>
        <w:numPr>
          <w:ilvl w:val="0"/>
          <w:numId w:val="0"/>
        </w:numPr>
        <w:tabs>
          <w:tab w:val="clear" w:pos="624"/>
        </w:tabs>
        <w:ind w:left="1247"/>
      </w:pPr>
      <w:r>
        <w:t>3.</w:t>
      </w:r>
      <w:r w:rsidR="00550D0A">
        <w:tab/>
      </w:r>
      <w:r>
        <w:tab/>
      </w:r>
      <w:r w:rsidRPr="005C10F2">
        <w:t>In paragraph 5 of section IV of decision IPBES-6/1, the Plenary approved the summary for policymakers of the regional assessment for the Americas (IP</w:t>
      </w:r>
      <w:bookmarkStart w:id="1" w:name="_GoBack"/>
      <w:bookmarkEnd w:id="1"/>
      <w:r w:rsidRPr="005C10F2">
        <w:t xml:space="preserve">BES/6/15/Add.2) and accepted the chapters of the assessment, on the understanding that the chapters would be revised following the sixth session as document IPBES/6/INF/4/Rev.1 </w:t>
      </w:r>
      <w:bookmarkStart w:id="2" w:name="_Hlk517270870"/>
      <w:r w:rsidRPr="005C10F2">
        <w:t>to correct factual errors and to ensure consistency with the summary for policymakers as approved.</w:t>
      </w:r>
      <w:bookmarkEnd w:id="2"/>
      <w:r w:rsidRPr="005C10F2">
        <w:t xml:space="preserve"> The annex to the present note, which is presented without formal editing, sets out the final set of chapters of the assessment for the Americas including their executive summaries.  </w:t>
      </w:r>
    </w:p>
    <w:p w14:paraId="2857CA4E" w14:textId="34E000AE" w:rsidR="00E84199" w:rsidRDefault="00E84199" w:rsidP="00550D0A">
      <w:pPr>
        <w:pStyle w:val="Normalnumber"/>
        <w:numPr>
          <w:ilvl w:val="0"/>
          <w:numId w:val="0"/>
        </w:numPr>
        <w:tabs>
          <w:tab w:val="clear" w:pos="624"/>
        </w:tabs>
        <w:ind w:left="1247"/>
      </w:pPr>
      <w:r>
        <w:t>4.</w:t>
      </w:r>
      <w:r>
        <w:tab/>
      </w:r>
      <w:r w:rsidR="00550D0A">
        <w:tab/>
      </w:r>
      <w:r w:rsidRPr="005C10F2">
        <w:t xml:space="preserve">A laid-out version of the final regional assessment report of biodiversity and ecosystem services for the Americas (including a foreword, statements from key partners, acknowledgements, a preface, the summary for policymakers, the revised chapters and annexes setting out a glossary and lists of acronyms, authors, review editors and expert reviewers) will be made available on the website of the Platform prior to the seventh session of the Plenary.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7"/>
        <w:gridCol w:w="1897"/>
        <w:gridCol w:w="1897"/>
        <w:gridCol w:w="1898"/>
        <w:gridCol w:w="1898"/>
      </w:tblGrid>
      <w:tr w:rsidR="00E84199" w14:paraId="1C46EA7E" w14:textId="77777777" w:rsidTr="00E84199">
        <w:tc>
          <w:tcPr>
            <w:tcW w:w="1897" w:type="dxa"/>
          </w:tcPr>
          <w:p w14:paraId="4AF8CAAF" w14:textId="77777777" w:rsidR="00E84199" w:rsidRDefault="00E84199" w:rsidP="00E84199">
            <w:pPr>
              <w:pStyle w:val="Normal-pool"/>
              <w:spacing w:before="520"/>
            </w:pPr>
          </w:p>
        </w:tc>
        <w:tc>
          <w:tcPr>
            <w:tcW w:w="1897" w:type="dxa"/>
          </w:tcPr>
          <w:p w14:paraId="458465D4" w14:textId="77777777" w:rsidR="00E84199" w:rsidRDefault="00E84199" w:rsidP="00E84199">
            <w:pPr>
              <w:pStyle w:val="Normal-pool"/>
              <w:spacing w:before="520"/>
            </w:pPr>
          </w:p>
        </w:tc>
        <w:tc>
          <w:tcPr>
            <w:tcW w:w="1897" w:type="dxa"/>
            <w:tcBorders>
              <w:bottom w:val="single" w:sz="4" w:space="0" w:color="auto"/>
            </w:tcBorders>
          </w:tcPr>
          <w:p w14:paraId="03435015" w14:textId="77777777" w:rsidR="00E84199" w:rsidRDefault="00E84199" w:rsidP="00E84199">
            <w:pPr>
              <w:pStyle w:val="Normal-pool"/>
              <w:spacing w:before="520"/>
            </w:pPr>
          </w:p>
        </w:tc>
        <w:tc>
          <w:tcPr>
            <w:tcW w:w="1898" w:type="dxa"/>
          </w:tcPr>
          <w:p w14:paraId="4863F5D8" w14:textId="77777777" w:rsidR="00E84199" w:rsidRDefault="00E84199" w:rsidP="00E84199">
            <w:pPr>
              <w:pStyle w:val="Normal-pool"/>
              <w:spacing w:before="520"/>
            </w:pPr>
          </w:p>
        </w:tc>
        <w:tc>
          <w:tcPr>
            <w:tcW w:w="1898" w:type="dxa"/>
          </w:tcPr>
          <w:p w14:paraId="3DDB2C7F" w14:textId="77777777" w:rsidR="00E84199" w:rsidRDefault="00E84199" w:rsidP="00E84199">
            <w:pPr>
              <w:pStyle w:val="Normal-pool"/>
              <w:spacing w:before="520"/>
            </w:pPr>
          </w:p>
        </w:tc>
      </w:tr>
    </w:tbl>
    <w:p w14:paraId="679E9BE5" w14:textId="77777777" w:rsidR="00E84199" w:rsidRPr="005C10F2" w:rsidRDefault="00E84199" w:rsidP="00E84199">
      <w:pPr>
        <w:pStyle w:val="Normal-pool"/>
      </w:pPr>
    </w:p>
    <w:p w14:paraId="1621E942" w14:textId="77777777" w:rsidR="00550D0A" w:rsidRDefault="00550D0A" w:rsidP="005C10F2">
      <w:pPr>
        <w:tabs>
          <w:tab w:val="left" w:pos="1247"/>
          <w:tab w:val="left" w:pos="1814"/>
          <w:tab w:val="left" w:pos="2381"/>
          <w:tab w:val="left" w:pos="2948"/>
          <w:tab w:val="left" w:pos="3515"/>
          <w:tab w:val="left" w:pos="4082"/>
        </w:tabs>
        <w:jc w:val="left"/>
        <w:rPr>
          <w:rFonts w:ascii="Times New Roman" w:hAnsi="Times New Roman"/>
          <w:b/>
          <w:bCs/>
          <w:sz w:val="28"/>
          <w:szCs w:val="22"/>
          <w:lang w:val="en-GB"/>
        </w:rPr>
      </w:pPr>
    </w:p>
    <w:p w14:paraId="3627CE75" w14:textId="69239BEE" w:rsidR="005C10F2" w:rsidRPr="005C10F2" w:rsidRDefault="005C10F2" w:rsidP="005C10F2">
      <w:pPr>
        <w:tabs>
          <w:tab w:val="left" w:pos="1247"/>
          <w:tab w:val="left" w:pos="1814"/>
          <w:tab w:val="left" w:pos="2381"/>
          <w:tab w:val="left" w:pos="2948"/>
          <w:tab w:val="left" w:pos="3515"/>
          <w:tab w:val="left" w:pos="4082"/>
        </w:tabs>
        <w:jc w:val="left"/>
        <w:rPr>
          <w:rFonts w:ascii="Times New Roman" w:hAnsi="Times New Roman"/>
          <w:b/>
          <w:bCs/>
          <w:sz w:val="28"/>
          <w:szCs w:val="22"/>
          <w:lang w:val="en-GB"/>
        </w:rPr>
      </w:pPr>
      <w:r w:rsidRPr="005C10F2">
        <w:rPr>
          <w:rFonts w:ascii="Times New Roman" w:hAnsi="Times New Roman"/>
          <w:b/>
          <w:bCs/>
          <w:sz w:val="28"/>
          <w:szCs w:val="22"/>
          <w:lang w:val="en-GB"/>
        </w:rPr>
        <w:t>Annex</w:t>
      </w:r>
    </w:p>
    <w:p w14:paraId="2DE715AA" w14:textId="117DB65D" w:rsidR="002D6846" w:rsidRPr="002D6846" w:rsidRDefault="002D6846" w:rsidP="002D6846">
      <w:pPr>
        <w:keepNext/>
        <w:keepLines/>
        <w:tabs>
          <w:tab w:val="left" w:pos="1247"/>
          <w:tab w:val="left" w:pos="1814"/>
          <w:tab w:val="left" w:pos="2381"/>
          <w:tab w:val="left" w:pos="2948"/>
          <w:tab w:val="left" w:pos="3515"/>
          <w:tab w:val="left" w:pos="4082"/>
        </w:tabs>
        <w:suppressAutoHyphens/>
        <w:spacing w:before="240" w:after="240"/>
        <w:ind w:left="1247" w:right="567"/>
        <w:jc w:val="left"/>
        <w:rPr>
          <w:rFonts w:ascii="Times New Roman" w:hAnsi="Times New Roman"/>
          <w:b/>
          <w:sz w:val="28"/>
          <w:szCs w:val="28"/>
          <w:lang w:val="en-GB"/>
        </w:rPr>
      </w:pPr>
      <w:r w:rsidRPr="002D6846">
        <w:rPr>
          <w:rFonts w:ascii="Times New Roman" w:hAnsi="Times New Roman"/>
          <w:b/>
          <w:sz w:val="28"/>
          <w:szCs w:val="28"/>
          <w:lang w:val="en-GB"/>
        </w:rPr>
        <w:t>Chapters of the regional assessment report on biodiversity and ecosystem services for the Americas of the Intergovernmental Science-Policy Platform on Biodiversity and Ecosystem Services</w:t>
      </w:r>
    </w:p>
    <w:p w14:paraId="60A6062B" w14:textId="6508BABF" w:rsidR="00764223" w:rsidRDefault="00764223" w:rsidP="002D6846">
      <w:pPr>
        <w:pStyle w:val="ZZAnxtitle"/>
        <w:ind w:left="0"/>
      </w:pPr>
    </w:p>
    <w:p w14:paraId="5C478539" w14:textId="77777777" w:rsidR="00764223" w:rsidRDefault="00764223" w:rsidP="00764223">
      <w:pPr>
        <w:pStyle w:val="Normal-pool"/>
      </w:pPr>
    </w:p>
    <w:p w14:paraId="3A78A5E5" w14:textId="77777777" w:rsidR="00764223" w:rsidRDefault="00764223" w:rsidP="00764223">
      <w:pPr>
        <w:rPr>
          <w:b/>
        </w:rPr>
      </w:pPr>
    </w:p>
    <w:p w14:paraId="418119EF" w14:textId="77777777" w:rsidR="00764223" w:rsidRDefault="00764223" w:rsidP="00764223">
      <w:pPr>
        <w:rPr>
          <w:b/>
        </w:rPr>
      </w:pPr>
    </w:p>
    <w:p w14:paraId="10CCB434" w14:textId="77777777" w:rsidR="00764223" w:rsidRDefault="00764223" w:rsidP="00764223">
      <w:pPr>
        <w:rPr>
          <w:b/>
        </w:rPr>
      </w:pPr>
    </w:p>
    <w:p w14:paraId="1829E238" w14:textId="77777777" w:rsidR="00764223" w:rsidRDefault="00764223" w:rsidP="00764223">
      <w:pPr>
        <w:rPr>
          <w:b/>
        </w:rPr>
      </w:pPr>
    </w:p>
    <w:p w14:paraId="19D84215" w14:textId="77777777" w:rsidR="00764223" w:rsidRDefault="00764223" w:rsidP="00764223">
      <w:pPr>
        <w:rPr>
          <w:b/>
        </w:rPr>
      </w:pPr>
    </w:p>
    <w:p w14:paraId="186BDAE6" w14:textId="77777777" w:rsidR="00764223" w:rsidRDefault="00764223" w:rsidP="00764223">
      <w:pPr>
        <w:rPr>
          <w:b/>
        </w:rPr>
      </w:pPr>
    </w:p>
    <w:p w14:paraId="7CB97707" w14:textId="77777777" w:rsidR="00764223" w:rsidRDefault="00764223" w:rsidP="00764223">
      <w:pPr>
        <w:rPr>
          <w:b/>
        </w:rPr>
      </w:pPr>
    </w:p>
    <w:p w14:paraId="721840B3" w14:textId="77777777" w:rsidR="00764223" w:rsidRDefault="00764223" w:rsidP="00764223">
      <w:pPr>
        <w:rPr>
          <w:b/>
        </w:rPr>
      </w:pPr>
    </w:p>
    <w:p w14:paraId="2777084B" w14:textId="77777777" w:rsidR="00764223" w:rsidRDefault="00764223" w:rsidP="00764223">
      <w:pPr>
        <w:rPr>
          <w:b/>
        </w:rPr>
      </w:pPr>
    </w:p>
    <w:p w14:paraId="1C85E310" w14:textId="77777777" w:rsidR="00764223" w:rsidRDefault="00764223" w:rsidP="00764223">
      <w:pPr>
        <w:rPr>
          <w:b/>
        </w:rPr>
      </w:pPr>
    </w:p>
    <w:p w14:paraId="5764B108" w14:textId="77777777" w:rsidR="00764223" w:rsidRDefault="00764223" w:rsidP="00764223">
      <w:pPr>
        <w:rPr>
          <w:b/>
        </w:rPr>
      </w:pPr>
    </w:p>
    <w:p w14:paraId="4CE8600A" w14:textId="77777777" w:rsidR="00764223" w:rsidRDefault="00764223" w:rsidP="00764223">
      <w:pPr>
        <w:rPr>
          <w:b/>
        </w:rPr>
      </w:pPr>
    </w:p>
    <w:p w14:paraId="09B93B33" w14:textId="77777777" w:rsidR="00764223" w:rsidRDefault="00764223" w:rsidP="00764223">
      <w:pPr>
        <w:rPr>
          <w:b/>
        </w:rPr>
      </w:pPr>
    </w:p>
    <w:p w14:paraId="2220C5A8" w14:textId="77777777" w:rsidR="00764223" w:rsidRDefault="00764223" w:rsidP="00764223">
      <w:pPr>
        <w:rPr>
          <w:b/>
        </w:rPr>
      </w:pPr>
    </w:p>
    <w:p w14:paraId="5E4B855D" w14:textId="77777777" w:rsidR="00764223" w:rsidRDefault="00764223" w:rsidP="00764223">
      <w:pPr>
        <w:rPr>
          <w:b/>
        </w:rPr>
      </w:pPr>
    </w:p>
    <w:p w14:paraId="124817A1" w14:textId="77777777" w:rsidR="00764223" w:rsidRDefault="00764223" w:rsidP="00764223">
      <w:pPr>
        <w:rPr>
          <w:b/>
        </w:rPr>
      </w:pPr>
    </w:p>
    <w:p w14:paraId="72BF42F8" w14:textId="77777777" w:rsidR="00764223" w:rsidRDefault="00764223" w:rsidP="00764223">
      <w:pPr>
        <w:rPr>
          <w:b/>
        </w:rPr>
      </w:pPr>
    </w:p>
    <w:p w14:paraId="2E7908E0" w14:textId="77777777" w:rsidR="00764223" w:rsidRDefault="00764223" w:rsidP="00764223">
      <w:pPr>
        <w:rPr>
          <w:b/>
        </w:rPr>
      </w:pPr>
    </w:p>
    <w:p w14:paraId="745638B0" w14:textId="77777777" w:rsidR="00764223" w:rsidRDefault="00764223" w:rsidP="00764223">
      <w:pPr>
        <w:rPr>
          <w:b/>
        </w:rPr>
      </w:pPr>
    </w:p>
    <w:p w14:paraId="2AC9A46F" w14:textId="77777777" w:rsidR="00764223" w:rsidRDefault="00764223" w:rsidP="00764223">
      <w:pPr>
        <w:rPr>
          <w:b/>
        </w:rPr>
      </w:pPr>
    </w:p>
    <w:p w14:paraId="14B610C4" w14:textId="77777777" w:rsidR="00764223" w:rsidRDefault="00764223" w:rsidP="00764223">
      <w:pPr>
        <w:rPr>
          <w:b/>
        </w:rPr>
      </w:pPr>
    </w:p>
    <w:p w14:paraId="27ADEBE6" w14:textId="77777777" w:rsidR="00764223" w:rsidRDefault="00764223" w:rsidP="00764223">
      <w:pPr>
        <w:rPr>
          <w:b/>
        </w:rPr>
      </w:pPr>
    </w:p>
    <w:p w14:paraId="563F8EFA" w14:textId="77777777" w:rsidR="00764223" w:rsidRDefault="00764223" w:rsidP="00764223">
      <w:pPr>
        <w:rPr>
          <w:b/>
        </w:rPr>
      </w:pPr>
    </w:p>
    <w:p w14:paraId="5F5CDE0A" w14:textId="77777777" w:rsidR="00764223" w:rsidRDefault="00764223" w:rsidP="00764223">
      <w:pPr>
        <w:rPr>
          <w:b/>
        </w:rPr>
      </w:pPr>
    </w:p>
    <w:p w14:paraId="6359DE3C" w14:textId="77777777" w:rsidR="00764223" w:rsidRDefault="00764223" w:rsidP="00764223">
      <w:pPr>
        <w:rPr>
          <w:b/>
        </w:rPr>
      </w:pPr>
    </w:p>
    <w:p w14:paraId="09AF8D3A" w14:textId="77777777" w:rsidR="00764223" w:rsidRDefault="00764223" w:rsidP="00764223">
      <w:pPr>
        <w:rPr>
          <w:b/>
        </w:rPr>
      </w:pPr>
    </w:p>
    <w:p w14:paraId="2EC98CFD" w14:textId="77777777" w:rsidR="00764223" w:rsidRDefault="00764223" w:rsidP="00764223">
      <w:pPr>
        <w:rPr>
          <w:b/>
        </w:rPr>
      </w:pPr>
    </w:p>
    <w:p w14:paraId="54B57286" w14:textId="77777777" w:rsidR="00764223" w:rsidRDefault="00764223" w:rsidP="00764223">
      <w:pPr>
        <w:rPr>
          <w:b/>
        </w:rPr>
      </w:pPr>
    </w:p>
    <w:p w14:paraId="4FF75573" w14:textId="77777777" w:rsidR="00764223" w:rsidRPr="005C10F2" w:rsidRDefault="00764223" w:rsidP="00764223">
      <w:pPr>
        <w:rPr>
          <w:rFonts w:ascii="Times New Roman" w:hAnsi="Times New Roman"/>
          <w:sz w:val="20"/>
          <w:szCs w:val="20"/>
          <w:lang w:val="en-GB"/>
        </w:rPr>
      </w:pPr>
    </w:p>
    <w:p w14:paraId="5E95EBAD" w14:textId="777FE0FE" w:rsidR="00764223" w:rsidRDefault="00764223" w:rsidP="002D6846">
      <w:pPr>
        <w:ind w:left="1260"/>
        <w:rPr>
          <w:rFonts w:ascii="Times New Roman" w:hAnsi="Times New Roman"/>
          <w:b/>
          <w:sz w:val="20"/>
          <w:szCs w:val="20"/>
          <w:lang w:val="en-GB"/>
        </w:rPr>
      </w:pPr>
      <w:r w:rsidRPr="005C10F2">
        <w:rPr>
          <w:rFonts w:ascii="Times New Roman" w:hAnsi="Times New Roman"/>
          <w:b/>
          <w:sz w:val="20"/>
          <w:szCs w:val="20"/>
          <w:lang w:val="en-GB"/>
        </w:rPr>
        <w:t>Disclaimer on maps</w:t>
      </w:r>
    </w:p>
    <w:p w14:paraId="7FE7671B" w14:textId="77777777" w:rsidR="005C10F2" w:rsidRPr="005C10F2" w:rsidRDefault="005C10F2" w:rsidP="002D6846">
      <w:pPr>
        <w:ind w:left="1260"/>
        <w:rPr>
          <w:rFonts w:ascii="Times New Roman" w:hAnsi="Times New Roman"/>
          <w:b/>
          <w:sz w:val="20"/>
          <w:szCs w:val="20"/>
          <w:lang w:val="en-GB"/>
        </w:rPr>
      </w:pPr>
    </w:p>
    <w:p w14:paraId="4E5AB40A" w14:textId="1AFEC094" w:rsidR="00F44157" w:rsidRPr="005C10F2" w:rsidRDefault="00764223" w:rsidP="002D6846">
      <w:pPr>
        <w:ind w:left="1260"/>
        <w:jc w:val="left"/>
        <w:rPr>
          <w:rFonts w:ascii="Times New Roman" w:hAnsi="Times New Roman"/>
          <w:sz w:val="20"/>
          <w:szCs w:val="20"/>
          <w:lang w:val="en-GB"/>
        </w:rPr>
      </w:pPr>
      <w:r w:rsidRPr="005C10F2">
        <w:rPr>
          <w:rFonts w:ascii="Times New Roman" w:hAnsi="Times New Roman"/>
          <w:sz w:val="20"/>
          <w:szCs w:val="20"/>
          <w:lang w:val="en-GB"/>
        </w:rPr>
        <w:t>The designations employed and the presentation of material on the maps used in this report do not imply the expression of any opinion whatsoever on the part of the Intergovernmental Science-Policy Platform on Biodiversity and Ecosystems Services concerning the legal status of any country, territory, city or area or of its authorities, or concerning the d</w:t>
      </w:r>
      <w:r w:rsidR="007B3A02">
        <w:rPr>
          <w:rFonts w:ascii="Times New Roman" w:hAnsi="Times New Roman"/>
          <w:sz w:val="20"/>
          <w:szCs w:val="20"/>
          <w:lang w:val="en-GB"/>
        </w:rPr>
        <w:t xml:space="preserve">elimitation of its frontiers or </w:t>
      </w:r>
      <w:r w:rsidRPr="005C10F2">
        <w:rPr>
          <w:rFonts w:ascii="Times New Roman" w:hAnsi="Times New Roman"/>
          <w:sz w:val="20"/>
          <w:szCs w:val="20"/>
          <w:lang w:val="en-GB"/>
        </w:rPr>
        <w:t>boundaries. These maps have been prepared for the sole purpose of facilitating the assessment of the broad biogeographical areas represented therein.</w:t>
      </w:r>
    </w:p>
    <w:p w14:paraId="0335436A" w14:textId="614B7B76" w:rsidR="005C10F2" w:rsidRDefault="005C10F2" w:rsidP="002D6846">
      <w:pPr>
        <w:ind w:left="1260"/>
      </w:pPr>
    </w:p>
    <w:p w14:paraId="27CC4FD6" w14:textId="6622FFDB" w:rsidR="005C10F2" w:rsidRDefault="005C10F2" w:rsidP="00764223"/>
    <w:p w14:paraId="67BE6E9D" w14:textId="6D525EA7" w:rsidR="005C10F2" w:rsidRDefault="005C10F2" w:rsidP="00764223"/>
    <w:p w14:paraId="0C06187E" w14:textId="6E64B39B" w:rsidR="005C10F2" w:rsidRDefault="005C10F2" w:rsidP="00764223"/>
    <w:p w14:paraId="284B3C6B" w14:textId="77777777" w:rsidR="005C10F2" w:rsidRDefault="005C10F2" w:rsidP="00764223"/>
    <w:p w14:paraId="3046FAA8" w14:textId="6286C18C" w:rsidR="005C10F2" w:rsidRDefault="005C10F2" w:rsidP="00764223"/>
    <w:p w14:paraId="66BC0986" w14:textId="77777777" w:rsidR="005C10F2" w:rsidRPr="008608AA" w:rsidRDefault="005C10F2" w:rsidP="00764223">
      <w:pPr>
        <w:rPr>
          <w:b/>
        </w:rPr>
      </w:pPr>
    </w:p>
    <w:p w14:paraId="2D15758C" w14:textId="1AD188BD" w:rsidR="003878F6" w:rsidRDefault="003878F6" w:rsidP="003878F6">
      <w:pPr>
        <w:tabs>
          <w:tab w:val="left" w:pos="4082"/>
        </w:tabs>
        <w:rPr>
          <w:b/>
          <w:sz w:val="28"/>
        </w:rPr>
      </w:pPr>
      <w:r w:rsidRPr="008608AA">
        <w:rPr>
          <w:b/>
          <w:sz w:val="28"/>
        </w:rPr>
        <w:t>Table of contents</w:t>
      </w:r>
    </w:p>
    <w:p w14:paraId="644CD87E" w14:textId="77777777" w:rsidR="006D40D6" w:rsidRPr="008608AA" w:rsidRDefault="006D40D6" w:rsidP="003878F6">
      <w:pPr>
        <w:tabs>
          <w:tab w:val="left" w:pos="4082"/>
        </w:tabs>
        <w:rPr>
          <w:b/>
          <w:sz w:val="28"/>
        </w:rPr>
      </w:pPr>
    </w:p>
    <w:p w14:paraId="7C501D35" w14:textId="25BB5C5B" w:rsidR="00C40619" w:rsidRDefault="006D40D6">
      <w:pPr>
        <w:pStyle w:val="TOC1"/>
        <w:rPr>
          <w:rFonts w:asciiTheme="minorHAnsi" w:eastAsiaTheme="minorEastAsia" w:hAnsiTheme="minorHAnsi" w:cstheme="minorBidi"/>
          <w:b w:val="0"/>
          <w:bCs w:val="0"/>
          <w:szCs w:val="22"/>
          <w:lang w:val="es-CO" w:eastAsia="es-CO"/>
        </w:rPr>
      </w:pPr>
      <w:r>
        <w:fldChar w:fldCharType="begin"/>
      </w:r>
      <w:r>
        <w:instrText xml:space="preserve"> TOC \o "1-1" \h \z \u </w:instrText>
      </w:r>
      <w:r>
        <w:fldChar w:fldCharType="separate"/>
      </w:r>
      <w:hyperlink w:anchor="_Toc517796847" w:history="1">
        <w:r w:rsidR="00C40619" w:rsidRPr="00A26D45">
          <w:rPr>
            <w:rStyle w:val="Hyperlink"/>
          </w:rPr>
          <w:t>Chapter 1: Setting the scene</w:t>
        </w:r>
        <w:r w:rsidR="00C40619">
          <w:rPr>
            <w:webHidden/>
          </w:rPr>
          <w:tab/>
        </w:r>
        <w:r w:rsidR="00C40619">
          <w:rPr>
            <w:webHidden/>
          </w:rPr>
          <w:fldChar w:fldCharType="begin"/>
        </w:r>
        <w:r w:rsidR="00C40619">
          <w:rPr>
            <w:webHidden/>
          </w:rPr>
          <w:instrText xml:space="preserve"> PAGEREF _Toc517796847 \h </w:instrText>
        </w:r>
        <w:r w:rsidR="00C40619">
          <w:rPr>
            <w:webHidden/>
          </w:rPr>
        </w:r>
        <w:r w:rsidR="00C40619">
          <w:rPr>
            <w:webHidden/>
          </w:rPr>
          <w:fldChar w:fldCharType="separate"/>
        </w:r>
        <w:r w:rsidR="00402074">
          <w:rPr>
            <w:webHidden/>
          </w:rPr>
          <w:t>4</w:t>
        </w:r>
        <w:r w:rsidR="00C40619">
          <w:rPr>
            <w:webHidden/>
          </w:rPr>
          <w:fldChar w:fldCharType="end"/>
        </w:r>
      </w:hyperlink>
    </w:p>
    <w:p w14:paraId="69EA62DC" w14:textId="77777777" w:rsidR="00C40619" w:rsidRDefault="00C40619">
      <w:pPr>
        <w:pStyle w:val="TOC1"/>
        <w:rPr>
          <w:rStyle w:val="Hyperlink"/>
        </w:rPr>
      </w:pPr>
    </w:p>
    <w:p w14:paraId="6D34F5D6" w14:textId="5EBBE91A" w:rsidR="00C40619" w:rsidRDefault="00E84199">
      <w:pPr>
        <w:pStyle w:val="TOC1"/>
        <w:rPr>
          <w:rFonts w:asciiTheme="minorHAnsi" w:eastAsiaTheme="minorEastAsia" w:hAnsiTheme="minorHAnsi" w:cstheme="minorBidi"/>
          <w:b w:val="0"/>
          <w:bCs w:val="0"/>
          <w:szCs w:val="22"/>
          <w:lang w:val="es-CO" w:eastAsia="es-CO"/>
        </w:rPr>
      </w:pPr>
      <w:hyperlink w:anchor="_Toc517796849" w:history="1">
        <w:r w:rsidR="00C40619" w:rsidRPr="00A26D45">
          <w:rPr>
            <w:rStyle w:val="Hyperlink"/>
          </w:rPr>
          <w:t>Chapter 2: Nature’s contributions to people and quality of life</w:t>
        </w:r>
        <w:r w:rsidR="00C40619">
          <w:rPr>
            <w:webHidden/>
          </w:rPr>
          <w:tab/>
        </w:r>
        <w:r w:rsidR="00C40619">
          <w:rPr>
            <w:webHidden/>
          </w:rPr>
          <w:fldChar w:fldCharType="begin"/>
        </w:r>
        <w:r w:rsidR="00C40619">
          <w:rPr>
            <w:webHidden/>
          </w:rPr>
          <w:instrText xml:space="preserve"> PAGEREF _Toc517796849 \h </w:instrText>
        </w:r>
        <w:r w:rsidR="00C40619">
          <w:rPr>
            <w:webHidden/>
          </w:rPr>
        </w:r>
        <w:r w:rsidR="00C40619">
          <w:rPr>
            <w:webHidden/>
          </w:rPr>
          <w:fldChar w:fldCharType="separate"/>
        </w:r>
        <w:r w:rsidR="00402074">
          <w:rPr>
            <w:webHidden/>
          </w:rPr>
          <w:t>66</w:t>
        </w:r>
        <w:r w:rsidR="00C40619">
          <w:rPr>
            <w:webHidden/>
          </w:rPr>
          <w:fldChar w:fldCharType="end"/>
        </w:r>
      </w:hyperlink>
    </w:p>
    <w:p w14:paraId="1556119E" w14:textId="77777777" w:rsidR="00C40619" w:rsidRDefault="00C40619">
      <w:pPr>
        <w:pStyle w:val="TOC1"/>
        <w:rPr>
          <w:rStyle w:val="Hyperlink"/>
        </w:rPr>
      </w:pPr>
    </w:p>
    <w:p w14:paraId="4C974ABA" w14:textId="6E5D88CD" w:rsidR="00C40619" w:rsidRDefault="00E84199">
      <w:pPr>
        <w:pStyle w:val="TOC1"/>
        <w:rPr>
          <w:rFonts w:asciiTheme="minorHAnsi" w:eastAsiaTheme="minorEastAsia" w:hAnsiTheme="minorHAnsi" w:cstheme="minorBidi"/>
          <w:b w:val="0"/>
          <w:bCs w:val="0"/>
          <w:szCs w:val="22"/>
          <w:lang w:val="es-CO" w:eastAsia="es-CO"/>
        </w:rPr>
      </w:pPr>
      <w:hyperlink w:anchor="_Toc517796851" w:history="1">
        <w:r w:rsidR="00C40619" w:rsidRPr="00A26D45">
          <w:rPr>
            <w:rStyle w:val="Hyperlink"/>
          </w:rPr>
          <w:t>Chapter 3: Status and trends of  biodiversity and ecosystem functions underpinning nature’s benefit to people</w:t>
        </w:r>
        <w:r w:rsidR="00C40619">
          <w:rPr>
            <w:webHidden/>
          </w:rPr>
          <w:tab/>
        </w:r>
        <w:r w:rsidR="00C40619">
          <w:rPr>
            <w:webHidden/>
          </w:rPr>
          <w:fldChar w:fldCharType="begin"/>
        </w:r>
        <w:r w:rsidR="00C40619">
          <w:rPr>
            <w:webHidden/>
          </w:rPr>
          <w:instrText xml:space="preserve"> PAGEREF _Toc517796851 \h </w:instrText>
        </w:r>
        <w:r w:rsidR="00C40619">
          <w:rPr>
            <w:webHidden/>
          </w:rPr>
        </w:r>
        <w:r w:rsidR="00C40619">
          <w:rPr>
            <w:webHidden/>
          </w:rPr>
          <w:fldChar w:fldCharType="separate"/>
        </w:r>
        <w:r w:rsidR="00402074">
          <w:rPr>
            <w:webHidden/>
          </w:rPr>
          <w:t>216</w:t>
        </w:r>
        <w:r w:rsidR="00C40619">
          <w:rPr>
            <w:webHidden/>
          </w:rPr>
          <w:fldChar w:fldCharType="end"/>
        </w:r>
      </w:hyperlink>
    </w:p>
    <w:p w14:paraId="043A5191" w14:textId="77777777" w:rsidR="00C40619" w:rsidRDefault="00C40619">
      <w:pPr>
        <w:pStyle w:val="TOC1"/>
        <w:rPr>
          <w:rStyle w:val="Hyperlink"/>
        </w:rPr>
      </w:pPr>
    </w:p>
    <w:p w14:paraId="118EDCE0" w14:textId="312C1BFC" w:rsidR="00C40619" w:rsidRDefault="00E84199">
      <w:pPr>
        <w:pStyle w:val="TOC1"/>
        <w:rPr>
          <w:rFonts w:asciiTheme="minorHAnsi" w:eastAsiaTheme="minorEastAsia" w:hAnsiTheme="minorHAnsi" w:cstheme="minorBidi"/>
          <w:b w:val="0"/>
          <w:bCs w:val="0"/>
          <w:szCs w:val="22"/>
          <w:lang w:val="es-CO" w:eastAsia="es-CO"/>
        </w:rPr>
      </w:pPr>
      <w:hyperlink w:anchor="_Toc517796853" w:history="1">
        <w:r w:rsidR="00C40619" w:rsidRPr="00A26D45">
          <w:rPr>
            <w:rStyle w:val="Hyperlink"/>
          </w:rPr>
          <w:t>Chapter 4: Direct and indirect drivers of change in biodiversity and nature’s contributions to people</w:t>
        </w:r>
        <w:r w:rsidR="00C40619">
          <w:rPr>
            <w:webHidden/>
          </w:rPr>
          <w:tab/>
        </w:r>
        <w:r w:rsidR="00C40619">
          <w:rPr>
            <w:webHidden/>
          </w:rPr>
          <w:fldChar w:fldCharType="begin"/>
        </w:r>
        <w:r w:rsidR="00C40619">
          <w:rPr>
            <w:webHidden/>
          </w:rPr>
          <w:instrText xml:space="preserve"> PAGEREF _Toc517796853 \h </w:instrText>
        </w:r>
        <w:r w:rsidR="00C40619">
          <w:rPr>
            <w:webHidden/>
          </w:rPr>
        </w:r>
        <w:r w:rsidR="00C40619">
          <w:rPr>
            <w:webHidden/>
          </w:rPr>
          <w:fldChar w:fldCharType="separate"/>
        </w:r>
        <w:r w:rsidR="00402074">
          <w:rPr>
            <w:webHidden/>
          </w:rPr>
          <w:t>346</w:t>
        </w:r>
        <w:r w:rsidR="00C40619">
          <w:rPr>
            <w:webHidden/>
          </w:rPr>
          <w:fldChar w:fldCharType="end"/>
        </w:r>
      </w:hyperlink>
    </w:p>
    <w:p w14:paraId="2A31BC8D" w14:textId="77777777" w:rsidR="00C40619" w:rsidRDefault="00C40619">
      <w:pPr>
        <w:pStyle w:val="TOC1"/>
        <w:rPr>
          <w:rStyle w:val="Hyperlink"/>
        </w:rPr>
      </w:pPr>
    </w:p>
    <w:p w14:paraId="30BC424F" w14:textId="7F20D8FF" w:rsidR="00C40619" w:rsidRDefault="00E84199">
      <w:pPr>
        <w:pStyle w:val="TOC1"/>
        <w:rPr>
          <w:rFonts w:asciiTheme="minorHAnsi" w:eastAsiaTheme="minorEastAsia" w:hAnsiTheme="minorHAnsi" w:cstheme="minorBidi"/>
          <w:b w:val="0"/>
          <w:bCs w:val="0"/>
          <w:szCs w:val="22"/>
          <w:lang w:val="es-CO" w:eastAsia="es-CO"/>
        </w:rPr>
      </w:pPr>
      <w:hyperlink w:anchor="_Toc517796854" w:history="1">
        <w:r w:rsidR="00C40619" w:rsidRPr="00A26D45">
          <w:rPr>
            <w:rStyle w:val="Hyperlink"/>
          </w:rPr>
          <w:t>Chapter 5: Current and future interactions between nature and society</w:t>
        </w:r>
        <w:r w:rsidR="00C40619">
          <w:rPr>
            <w:webHidden/>
          </w:rPr>
          <w:tab/>
        </w:r>
        <w:r w:rsidR="00C40619">
          <w:rPr>
            <w:webHidden/>
          </w:rPr>
          <w:fldChar w:fldCharType="begin"/>
        </w:r>
        <w:r w:rsidR="00C40619">
          <w:rPr>
            <w:webHidden/>
          </w:rPr>
          <w:instrText xml:space="preserve"> PAGEREF _Toc517796854 \h </w:instrText>
        </w:r>
        <w:r w:rsidR="00C40619">
          <w:rPr>
            <w:webHidden/>
          </w:rPr>
        </w:r>
        <w:r w:rsidR="00C40619">
          <w:rPr>
            <w:webHidden/>
          </w:rPr>
          <w:fldChar w:fldCharType="separate"/>
        </w:r>
        <w:r w:rsidR="00402074">
          <w:rPr>
            <w:webHidden/>
          </w:rPr>
          <w:t>525</w:t>
        </w:r>
        <w:r w:rsidR="00C40619">
          <w:rPr>
            <w:webHidden/>
          </w:rPr>
          <w:fldChar w:fldCharType="end"/>
        </w:r>
      </w:hyperlink>
    </w:p>
    <w:p w14:paraId="2E0C9ACD" w14:textId="77777777" w:rsidR="00C40619" w:rsidRDefault="00C40619">
      <w:pPr>
        <w:pStyle w:val="TOC1"/>
        <w:rPr>
          <w:rStyle w:val="Hyperlink"/>
        </w:rPr>
      </w:pPr>
    </w:p>
    <w:p w14:paraId="4148AEBC" w14:textId="22A4F9B7" w:rsidR="00C40619" w:rsidRDefault="00E84199">
      <w:pPr>
        <w:pStyle w:val="TOC1"/>
        <w:rPr>
          <w:rFonts w:asciiTheme="minorHAnsi" w:eastAsiaTheme="minorEastAsia" w:hAnsiTheme="minorHAnsi" w:cstheme="minorBidi"/>
          <w:b w:val="0"/>
          <w:bCs w:val="0"/>
          <w:szCs w:val="22"/>
          <w:lang w:val="es-CO" w:eastAsia="es-CO"/>
        </w:rPr>
      </w:pPr>
      <w:hyperlink w:anchor="_Toc517796855" w:history="1">
        <w:r w:rsidR="00C40619" w:rsidRPr="00A26D45">
          <w:rPr>
            <w:rStyle w:val="Hyperlink"/>
          </w:rPr>
          <w:t>Chapter 6: Options for governance and decision-making across scales and sectors</w:t>
        </w:r>
        <w:r w:rsidR="00C40619">
          <w:rPr>
            <w:webHidden/>
          </w:rPr>
          <w:tab/>
        </w:r>
        <w:r w:rsidR="00C40619">
          <w:rPr>
            <w:webHidden/>
          </w:rPr>
          <w:fldChar w:fldCharType="begin"/>
        </w:r>
        <w:r w:rsidR="00C40619">
          <w:rPr>
            <w:webHidden/>
          </w:rPr>
          <w:instrText xml:space="preserve"> PAGEREF _Toc517796855 \h </w:instrText>
        </w:r>
        <w:r w:rsidR="00C40619">
          <w:rPr>
            <w:webHidden/>
          </w:rPr>
        </w:r>
        <w:r w:rsidR="00C40619">
          <w:rPr>
            <w:webHidden/>
          </w:rPr>
          <w:fldChar w:fldCharType="separate"/>
        </w:r>
        <w:r w:rsidR="00402074">
          <w:rPr>
            <w:webHidden/>
          </w:rPr>
          <w:t>632</w:t>
        </w:r>
        <w:r w:rsidR="00C40619">
          <w:rPr>
            <w:webHidden/>
          </w:rPr>
          <w:fldChar w:fldCharType="end"/>
        </w:r>
      </w:hyperlink>
    </w:p>
    <w:p w14:paraId="07A57D9D" w14:textId="77777777" w:rsidR="00C40619" w:rsidRDefault="00C40619">
      <w:pPr>
        <w:pStyle w:val="TOC1"/>
        <w:rPr>
          <w:rStyle w:val="Hyperlink"/>
        </w:rPr>
      </w:pPr>
    </w:p>
    <w:p w14:paraId="4C277F1A" w14:textId="60B48029" w:rsidR="00C40619" w:rsidRDefault="00E84199">
      <w:pPr>
        <w:pStyle w:val="TOC1"/>
        <w:rPr>
          <w:rFonts w:asciiTheme="minorHAnsi" w:eastAsiaTheme="minorEastAsia" w:hAnsiTheme="minorHAnsi" w:cstheme="minorBidi"/>
          <w:b w:val="0"/>
          <w:bCs w:val="0"/>
          <w:szCs w:val="22"/>
          <w:lang w:val="es-CO" w:eastAsia="es-CO"/>
        </w:rPr>
      </w:pPr>
      <w:hyperlink w:anchor="_Toc517796857" w:history="1">
        <w:r w:rsidR="00C40619" w:rsidRPr="00A26D45">
          <w:rPr>
            <w:rStyle w:val="Hyperlink"/>
          </w:rPr>
          <w:t>Annex I - Glossary</w:t>
        </w:r>
        <w:r w:rsidR="00C40619">
          <w:rPr>
            <w:webHidden/>
          </w:rPr>
          <w:tab/>
        </w:r>
        <w:r w:rsidR="00C40619">
          <w:rPr>
            <w:webHidden/>
          </w:rPr>
          <w:fldChar w:fldCharType="begin"/>
        </w:r>
        <w:r w:rsidR="00C40619">
          <w:rPr>
            <w:webHidden/>
          </w:rPr>
          <w:instrText xml:space="preserve"> PAGEREF _Toc517796857 \h </w:instrText>
        </w:r>
        <w:r w:rsidR="00C40619">
          <w:rPr>
            <w:webHidden/>
          </w:rPr>
        </w:r>
        <w:r w:rsidR="00C40619">
          <w:rPr>
            <w:webHidden/>
          </w:rPr>
          <w:fldChar w:fldCharType="separate"/>
        </w:r>
        <w:r w:rsidR="00402074">
          <w:rPr>
            <w:webHidden/>
          </w:rPr>
          <w:t>710</w:t>
        </w:r>
        <w:r w:rsidR="00C40619">
          <w:rPr>
            <w:webHidden/>
          </w:rPr>
          <w:fldChar w:fldCharType="end"/>
        </w:r>
      </w:hyperlink>
    </w:p>
    <w:p w14:paraId="290AB41E" w14:textId="77777777" w:rsidR="00C40619" w:rsidRDefault="00C40619">
      <w:pPr>
        <w:pStyle w:val="TOC1"/>
        <w:rPr>
          <w:rStyle w:val="Hyperlink"/>
        </w:rPr>
      </w:pPr>
    </w:p>
    <w:p w14:paraId="2243EBA7" w14:textId="6335FBD3" w:rsidR="00C40619" w:rsidRDefault="00E84199">
      <w:pPr>
        <w:pStyle w:val="TOC1"/>
        <w:rPr>
          <w:rFonts w:asciiTheme="minorHAnsi" w:eastAsiaTheme="minorEastAsia" w:hAnsiTheme="minorHAnsi" w:cstheme="minorBidi"/>
          <w:b w:val="0"/>
          <w:bCs w:val="0"/>
          <w:szCs w:val="22"/>
          <w:lang w:val="es-CO" w:eastAsia="es-CO"/>
        </w:rPr>
      </w:pPr>
      <w:hyperlink w:anchor="_Toc517796858" w:history="1">
        <w:r w:rsidR="00C40619" w:rsidRPr="00A26D45">
          <w:rPr>
            <w:rStyle w:val="Hyperlink"/>
          </w:rPr>
          <w:t>Annex II – Acronyms</w:t>
        </w:r>
        <w:r w:rsidR="00C40619">
          <w:rPr>
            <w:webHidden/>
          </w:rPr>
          <w:tab/>
        </w:r>
        <w:r w:rsidR="00C40619">
          <w:rPr>
            <w:webHidden/>
          </w:rPr>
          <w:fldChar w:fldCharType="begin"/>
        </w:r>
        <w:r w:rsidR="00C40619">
          <w:rPr>
            <w:webHidden/>
          </w:rPr>
          <w:instrText xml:space="preserve"> PAGEREF _Toc517796858 \h </w:instrText>
        </w:r>
        <w:r w:rsidR="00C40619">
          <w:rPr>
            <w:webHidden/>
          </w:rPr>
        </w:r>
        <w:r w:rsidR="00C40619">
          <w:rPr>
            <w:webHidden/>
          </w:rPr>
          <w:fldChar w:fldCharType="separate"/>
        </w:r>
        <w:r w:rsidR="00402074">
          <w:rPr>
            <w:webHidden/>
          </w:rPr>
          <w:t>732</w:t>
        </w:r>
        <w:r w:rsidR="00C40619">
          <w:rPr>
            <w:webHidden/>
          </w:rPr>
          <w:fldChar w:fldCharType="end"/>
        </w:r>
      </w:hyperlink>
    </w:p>
    <w:p w14:paraId="0178B46B" w14:textId="0B4BF704" w:rsidR="00F44157" w:rsidRPr="008608AA" w:rsidRDefault="006D40D6" w:rsidP="006C7BFB">
      <w:pPr>
        <w:pStyle w:val="Heading1"/>
        <w:numPr>
          <w:ilvl w:val="0"/>
          <w:numId w:val="0"/>
        </w:numPr>
        <w:rPr>
          <w:rFonts w:asciiTheme="minorHAnsi" w:eastAsiaTheme="minorEastAsia" w:hAnsiTheme="minorHAnsi" w:cstheme="minorBidi"/>
          <w:bCs/>
          <w:noProof/>
          <w:color w:val="auto"/>
          <w:sz w:val="22"/>
        </w:rPr>
      </w:pPr>
      <w:r>
        <w:fldChar w:fldCharType="end"/>
      </w:r>
      <w:r w:rsidR="00333557" w:rsidRPr="008608AA">
        <w:br w:type="page"/>
      </w:r>
      <w:bookmarkStart w:id="3" w:name="_Toc502908160"/>
      <w:bookmarkStart w:id="4" w:name="_Toc502918595"/>
      <w:bookmarkStart w:id="5" w:name="_Toc502927244"/>
      <w:bookmarkStart w:id="6" w:name="_Toc502951086"/>
      <w:bookmarkStart w:id="7" w:name="_Toc502953529"/>
      <w:bookmarkStart w:id="8" w:name="_Toc502954822"/>
      <w:bookmarkStart w:id="9" w:name="_Toc502957629"/>
      <w:bookmarkStart w:id="10" w:name="_Toc503293626"/>
      <w:bookmarkStart w:id="11" w:name="_Toc503293888"/>
      <w:bookmarkStart w:id="12" w:name="_Toc503863281"/>
      <w:bookmarkStart w:id="13" w:name="_Toc517391807"/>
      <w:bookmarkStart w:id="14" w:name="_Toc517393196"/>
      <w:bookmarkStart w:id="15" w:name="_Toc517718937"/>
      <w:bookmarkStart w:id="16" w:name="_Toc517726334"/>
      <w:bookmarkStart w:id="17" w:name="_Toc517796847"/>
      <w:bookmarkStart w:id="18" w:name="_Toc517796894"/>
      <w:bookmarkStart w:id="19" w:name="m_4223534216279635900__msoanchor_1"/>
      <w:bookmarkStart w:id="20" w:name="Chap1"/>
      <w:r w:rsidR="007235B9" w:rsidRPr="008608AA">
        <w:t>Chapter 1:</w:t>
      </w:r>
      <w:r w:rsidR="009E18F7" w:rsidRPr="008608AA">
        <w:t xml:space="preserve"> Setting the s</w:t>
      </w:r>
      <w:r w:rsidR="00333557" w:rsidRPr="008608AA">
        <w:t>cene</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p w14:paraId="102F37E9" w14:textId="77777777" w:rsidR="00BD2BC4" w:rsidRPr="008608AA" w:rsidRDefault="00BD2BC4">
      <w:pPr>
        <w:rPr>
          <w:b/>
        </w:rPr>
      </w:pPr>
    </w:p>
    <w:p w14:paraId="0EAE2BF7" w14:textId="77777777" w:rsidR="00F44157" w:rsidRPr="002276D3" w:rsidRDefault="00333557">
      <w:pPr>
        <w:rPr>
          <w:b/>
        </w:rPr>
      </w:pPr>
      <w:r w:rsidRPr="002276D3">
        <w:rPr>
          <w:b/>
        </w:rPr>
        <w:t>Coordinating Lead Authors:</w:t>
      </w:r>
    </w:p>
    <w:p w14:paraId="4AD953F6" w14:textId="612B175C" w:rsidR="00F44157" w:rsidRPr="008608AA" w:rsidRDefault="00333557">
      <w:pPr>
        <w:rPr>
          <w:lang w:val="es-CO"/>
        </w:rPr>
      </w:pPr>
      <w:r w:rsidRPr="008608AA">
        <w:rPr>
          <w:lang w:val="es-CO"/>
        </w:rPr>
        <w:t>Jake Rice (Canada), Vanesa Rodríguez Osuna (Bolivia</w:t>
      </w:r>
      <w:r w:rsidR="00D03622" w:rsidRPr="008608AA">
        <w:rPr>
          <w:lang w:val="es-AR"/>
        </w:rPr>
        <w:t>/USA</w:t>
      </w:r>
      <w:r w:rsidRPr="008608AA">
        <w:rPr>
          <w:lang w:val="es-CO"/>
        </w:rPr>
        <w:t>), Maria Elena Zaccagnini (Argentina)</w:t>
      </w:r>
    </w:p>
    <w:p w14:paraId="0E76D04F" w14:textId="77777777" w:rsidR="00F44157" w:rsidRPr="008608AA" w:rsidRDefault="00F44157">
      <w:pPr>
        <w:rPr>
          <w:lang w:val="es-CO"/>
        </w:rPr>
      </w:pPr>
    </w:p>
    <w:p w14:paraId="7F2230E0" w14:textId="77777777" w:rsidR="00F44157" w:rsidRPr="008608AA" w:rsidRDefault="00333557">
      <w:pPr>
        <w:rPr>
          <w:b/>
          <w:lang w:val="es-CO"/>
        </w:rPr>
      </w:pPr>
      <w:r w:rsidRPr="008608AA">
        <w:rPr>
          <w:b/>
          <w:lang w:val="es-CO"/>
        </w:rPr>
        <w:t>Lead Authors:</w:t>
      </w:r>
    </w:p>
    <w:p w14:paraId="5DB9FAD5" w14:textId="77777777" w:rsidR="00F44157" w:rsidRPr="008608AA" w:rsidRDefault="00333557">
      <w:pPr>
        <w:rPr>
          <w:lang w:val="es-CO"/>
        </w:rPr>
      </w:pPr>
      <w:r w:rsidRPr="008608AA">
        <w:rPr>
          <w:lang w:val="es-CO"/>
        </w:rPr>
        <w:t>Elena Bennett (Canada), Dayne Buddo (Jamaica), Natalia Estrada-Carmona (Colombia/France), Kelly Garbach (USA), Nathan Vogt (Brasil/USA)</w:t>
      </w:r>
    </w:p>
    <w:p w14:paraId="42D8A827" w14:textId="77777777" w:rsidR="00F44157" w:rsidRPr="008608AA" w:rsidRDefault="00F44157">
      <w:pPr>
        <w:rPr>
          <w:lang w:val="es-CO"/>
        </w:rPr>
      </w:pPr>
    </w:p>
    <w:p w14:paraId="0CB7B3CB" w14:textId="77777777" w:rsidR="00F44157" w:rsidRPr="008608AA" w:rsidRDefault="00333557">
      <w:pPr>
        <w:rPr>
          <w:b/>
        </w:rPr>
      </w:pPr>
      <w:r w:rsidRPr="008608AA">
        <w:rPr>
          <w:b/>
        </w:rPr>
        <w:t>Fellow</w:t>
      </w:r>
    </w:p>
    <w:p w14:paraId="7E791B21" w14:textId="77777777" w:rsidR="00F44157" w:rsidRPr="008608AA" w:rsidRDefault="00333557">
      <w:r w:rsidRPr="008608AA">
        <w:t>María Paula Barral (Argentina)</w:t>
      </w:r>
    </w:p>
    <w:p w14:paraId="0712BD86" w14:textId="77777777" w:rsidR="00F44157" w:rsidRPr="008608AA" w:rsidRDefault="00F44157"/>
    <w:p w14:paraId="74FD6CF5" w14:textId="77777777" w:rsidR="00F44157" w:rsidRPr="008608AA" w:rsidRDefault="00333557">
      <w:pPr>
        <w:rPr>
          <w:b/>
        </w:rPr>
      </w:pPr>
      <w:r w:rsidRPr="008608AA">
        <w:rPr>
          <w:b/>
        </w:rPr>
        <w:t>Contributing Authors</w:t>
      </w:r>
    </w:p>
    <w:p w14:paraId="3949E472" w14:textId="77777777" w:rsidR="00F44157" w:rsidRPr="008608AA" w:rsidRDefault="00333557">
      <w:r w:rsidRPr="008608AA">
        <w:t>Judith Weis (USA), Cristiana Simão Seixas (Brazil), Rosely Sanches (Brazil</w:t>
      </w:r>
      <w:r w:rsidRPr="008608AA">
        <w:rPr>
          <w:color w:val="222222"/>
        </w:rPr>
        <w:t>), Mary Kalin Arroyo (Chile)</w:t>
      </w:r>
    </w:p>
    <w:p w14:paraId="62CDC38D" w14:textId="77777777" w:rsidR="00F44157" w:rsidRPr="008608AA" w:rsidRDefault="00F44157">
      <w:pPr>
        <w:rPr>
          <w:b/>
        </w:rPr>
      </w:pPr>
    </w:p>
    <w:p w14:paraId="0AD3E5C5" w14:textId="77777777" w:rsidR="00F44157" w:rsidRPr="00C40619" w:rsidRDefault="00333557">
      <w:pPr>
        <w:rPr>
          <w:b/>
        </w:rPr>
      </w:pPr>
      <w:r w:rsidRPr="00C40619">
        <w:rPr>
          <w:b/>
        </w:rPr>
        <w:t>Review Editors</w:t>
      </w:r>
    </w:p>
    <w:p w14:paraId="4ACCFC96" w14:textId="77777777" w:rsidR="004553C0" w:rsidRPr="008608AA" w:rsidRDefault="00333557">
      <w:pPr>
        <w:rPr>
          <w:lang w:val="es-CO"/>
        </w:rPr>
      </w:pPr>
      <w:r w:rsidRPr="008608AA">
        <w:rPr>
          <w:lang w:val="es-CO"/>
        </w:rPr>
        <w:t>Patricia Balvanera (Mexico), Rodolfo Dirzo (Mexico)</w:t>
      </w:r>
    </w:p>
    <w:p w14:paraId="49F4D398" w14:textId="77777777" w:rsidR="004553C0" w:rsidRPr="008608AA" w:rsidRDefault="004553C0">
      <w:pPr>
        <w:rPr>
          <w:lang w:val="es-CO"/>
        </w:rPr>
      </w:pPr>
    </w:p>
    <w:p w14:paraId="50664EE0" w14:textId="77777777" w:rsidR="004553C0" w:rsidRPr="008608AA" w:rsidRDefault="004553C0">
      <w:pPr>
        <w:rPr>
          <w:lang w:val="es-CO"/>
        </w:rPr>
      </w:pPr>
    </w:p>
    <w:p w14:paraId="212F6330" w14:textId="77777777" w:rsidR="00A15732" w:rsidRPr="008608AA" w:rsidRDefault="00A15732">
      <w:pPr>
        <w:rPr>
          <w:lang w:val="es-CO"/>
        </w:rPr>
      </w:pPr>
    </w:p>
    <w:p w14:paraId="31FCE38F" w14:textId="77777777" w:rsidR="00A15732" w:rsidRPr="008608AA" w:rsidRDefault="00A15732">
      <w:pPr>
        <w:rPr>
          <w:lang w:val="es-CO"/>
        </w:rPr>
      </w:pPr>
    </w:p>
    <w:p w14:paraId="4DB2A47D" w14:textId="77777777" w:rsidR="00A15732" w:rsidRPr="008608AA" w:rsidRDefault="00A15732">
      <w:pPr>
        <w:rPr>
          <w:lang w:val="es-CO"/>
        </w:rPr>
      </w:pPr>
    </w:p>
    <w:p w14:paraId="595D2A72" w14:textId="77777777" w:rsidR="00A15732" w:rsidRPr="008608AA" w:rsidRDefault="00A15732">
      <w:pPr>
        <w:rPr>
          <w:lang w:val="es-CO"/>
        </w:rPr>
      </w:pPr>
    </w:p>
    <w:p w14:paraId="66324BDA" w14:textId="77777777" w:rsidR="00A15732" w:rsidRPr="008608AA" w:rsidRDefault="00A15732">
      <w:pPr>
        <w:rPr>
          <w:lang w:val="es-CO"/>
        </w:rPr>
      </w:pPr>
    </w:p>
    <w:p w14:paraId="3294CE60" w14:textId="77777777" w:rsidR="00A15732" w:rsidRPr="008608AA" w:rsidRDefault="00A15732">
      <w:pPr>
        <w:rPr>
          <w:lang w:val="es-CO"/>
        </w:rPr>
      </w:pPr>
    </w:p>
    <w:p w14:paraId="11BE0D19" w14:textId="77777777" w:rsidR="00A15732" w:rsidRPr="008608AA" w:rsidRDefault="00A15732">
      <w:pPr>
        <w:rPr>
          <w:lang w:val="es-CO"/>
        </w:rPr>
      </w:pPr>
    </w:p>
    <w:p w14:paraId="430931DA" w14:textId="77777777" w:rsidR="00A15732" w:rsidRPr="008608AA" w:rsidRDefault="00A15732">
      <w:pPr>
        <w:rPr>
          <w:lang w:val="es-CO"/>
        </w:rPr>
      </w:pPr>
    </w:p>
    <w:p w14:paraId="52CA53C2" w14:textId="77777777" w:rsidR="00A15732" w:rsidRPr="008608AA" w:rsidRDefault="00A15732">
      <w:pPr>
        <w:rPr>
          <w:lang w:val="es-CO"/>
        </w:rPr>
      </w:pPr>
    </w:p>
    <w:p w14:paraId="36FC11F8" w14:textId="77777777" w:rsidR="00A15732" w:rsidRPr="008608AA" w:rsidRDefault="00A15732">
      <w:pPr>
        <w:rPr>
          <w:lang w:val="es-CO"/>
        </w:rPr>
      </w:pPr>
    </w:p>
    <w:p w14:paraId="597E1270" w14:textId="77777777" w:rsidR="00A15732" w:rsidRPr="008608AA" w:rsidRDefault="00A15732">
      <w:pPr>
        <w:rPr>
          <w:lang w:val="es-CO"/>
        </w:rPr>
      </w:pPr>
    </w:p>
    <w:p w14:paraId="5496409B" w14:textId="77777777" w:rsidR="00A15732" w:rsidRPr="008608AA" w:rsidRDefault="00A15732">
      <w:pPr>
        <w:rPr>
          <w:lang w:val="es-CO"/>
        </w:rPr>
      </w:pPr>
    </w:p>
    <w:p w14:paraId="2339660F" w14:textId="77777777" w:rsidR="00A15732" w:rsidRPr="008608AA" w:rsidRDefault="00A15732">
      <w:pPr>
        <w:rPr>
          <w:lang w:val="es-CO"/>
        </w:rPr>
      </w:pPr>
    </w:p>
    <w:p w14:paraId="6C0D0891" w14:textId="77777777" w:rsidR="00A15732" w:rsidRPr="008608AA" w:rsidRDefault="00A15732">
      <w:pPr>
        <w:rPr>
          <w:lang w:val="es-CO"/>
        </w:rPr>
      </w:pPr>
    </w:p>
    <w:p w14:paraId="4B0E8894" w14:textId="77777777" w:rsidR="00A15732" w:rsidRPr="008608AA" w:rsidRDefault="00A15732">
      <w:pPr>
        <w:rPr>
          <w:lang w:val="es-CO"/>
        </w:rPr>
      </w:pPr>
    </w:p>
    <w:p w14:paraId="079A70CF" w14:textId="77777777" w:rsidR="00A15732" w:rsidRPr="008608AA" w:rsidRDefault="00A15732">
      <w:pPr>
        <w:rPr>
          <w:lang w:val="es-CO"/>
        </w:rPr>
      </w:pPr>
    </w:p>
    <w:p w14:paraId="4AE65CE9" w14:textId="77777777" w:rsidR="00A15732" w:rsidRPr="008608AA" w:rsidRDefault="00A15732">
      <w:pPr>
        <w:rPr>
          <w:lang w:val="es-CO"/>
        </w:rPr>
      </w:pPr>
    </w:p>
    <w:p w14:paraId="02873AD4" w14:textId="77777777" w:rsidR="00A15732" w:rsidRPr="008608AA" w:rsidRDefault="00A15732">
      <w:pPr>
        <w:rPr>
          <w:lang w:val="es-CO"/>
        </w:rPr>
      </w:pPr>
    </w:p>
    <w:p w14:paraId="18E884E0" w14:textId="77777777" w:rsidR="00A15732" w:rsidRPr="008608AA" w:rsidRDefault="00A15732">
      <w:pPr>
        <w:rPr>
          <w:lang w:val="es-CO"/>
        </w:rPr>
      </w:pPr>
    </w:p>
    <w:p w14:paraId="2B3E3F26" w14:textId="77777777" w:rsidR="00A15732" w:rsidRPr="008608AA" w:rsidRDefault="00A15732">
      <w:pPr>
        <w:rPr>
          <w:lang w:val="es-CO"/>
        </w:rPr>
      </w:pPr>
    </w:p>
    <w:p w14:paraId="31F7F553" w14:textId="77777777" w:rsidR="00A15732" w:rsidRPr="008608AA" w:rsidRDefault="00A15732">
      <w:pPr>
        <w:rPr>
          <w:lang w:val="es-CO"/>
        </w:rPr>
      </w:pPr>
    </w:p>
    <w:p w14:paraId="0477230B" w14:textId="77777777" w:rsidR="00A15732" w:rsidRPr="008608AA" w:rsidRDefault="00A15732" w:rsidP="00372BA1">
      <w:pPr>
        <w:tabs>
          <w:tab w:val="left" w:pos="4082"/>
        </w:tabs>
        <w:rPr>
          <w:b/>
        </w:rPr>
      </w:pPr>
      <w:r w:rsidRPr="008608AA">
        <w:rPr>
          <w:b/>
        </w:rPr>
        <w:t>To be cited as:</w:t>
      </w:r>
    </w:p>
    <w:p w14:paraId="355EE1D2" w14:textId="0BFDED14" w:rsidR="00E0561F" w:rsidRPr="008608AA" w:rsidRDefault="00E0561F" w:rsidP="00372BA1">
      <w:pPr>
        <w:tabs>
          <w:tab w:val="left" w:pos="4082"/>
        </w:tabs>
        <w:rPr>
          <w:b/>
        </w:rPr>
      </w:pPr>
      <w:r w:rsidRPr="008608AA">
        <w:rPr>
          <w:color w:val="000000"/>
        </w:rPr>
        <w:t xml:space="preserve">Rice, J., Rodríguez Osuna., V., Zaccagnini, M. E., Bennet, E. Buddo, D., Estrada-Carmona, N., Garbach, K., Vogt, N., and  Barral, M. </w:t>
      </w:r>
      <w:r w:rsidR="006C7BFB">
        <w:rPr>
          <w:color w:val="000000"/>
        </w:rPr>
        <w:t>P.</w:t>
      </w:r>
      <w:r w:rsidRPr="008608AA">
        <w:rPr>
          <w:color w:val="000000"/>
        </w:rPr>
        <w:t>  </w:t>
      </w:r>
      <w:r w:rsidRPr="008608AA">
        <w:rPr>
          <w:color w:val="000000"/>
          <w:lang w:val="en-GB"/>
        </w:rPr>
        <w:t xml:space="preserve">Chapter 1: Setting the scene. In IPBES (2018): The IPBES regional assessment report on biodiversity and ecosystem services for the Americas. Rice, J., Seixas, C. S., Zaccagnini, M. E., Bedoya-Gaitán, M., and Valderrama, N. (eds.). Secretariat of the Intergovernmental Science-Policy Platform on Biodiversity and Ecosystem Services, Bonn, Germany, </w:t>
      </w:r>
      <w:r w:rsidR="00F454E7">
        <w:rPr>
          <w:color w:val="000000"/>
          <w:lang w:val="en-GB"/>
        </w:rPr>
        <w:t xml:space="preserve">pp. </w:t>
      </w:r>
      <w:r w:rsidR="006C7BFB">
        <w:rPr>
          <w:color w:val="000000"/>
          <w:lang w:val="en-GB"/>
        </w:rPr>
        <w:t>xx-xx</w:t>
      </w:r>
    </w:p>
    <w:p w14:paraId="5D21E2A1" w14:textId="77777777" w:rsidR="00E0561F" w:rsidRPr="00405378" w:rsidRDefault="00E0561F" w:rsidP="00372BA1">
      <w:pPr>
        <w:tabs>
          <w:tab w:val="left" w:pos="4082"/>
        </w:tabs>
        <w:rPr>
          <w:color w:val="000000"/>
        </w:rPr>
      </w:pPr>
    </w:p>
    <w:p w14:paraId="7E227F78" w14:textId="780027F5" w:rsidR="00F44157" w:rsidRPr="008608AA" w:rsidRDefault="00333557" w:rsidP="00372BA1">
      <w:pPr>
        <w:tabs>
          <w:tab w:val="left" w:pos="4082"/>
        </w:tabs>
      </w:pPr>
      <w:r w:rsidRPr="008608AA">
        <w:rPr>
          <w:lang w:val="en-GB"/>
        </w:rPr>
        <w:br w:type="page"/>
      </w:r>
    </w:p>
    <w:p w14:paraId="69404E27" w14:textId="4A085753" w:rsidR="003878F6" w:rsidRPr="008608AA" w:rsidRDefault="003878F6" w:rsidP="003878F6">
      <w:pPr>
        <w:tabs>
          <w:tab w:val="left" w:pos="4082"/>
        </w:tabs>
        <w:rPr>
          <w:b/>
          <w:sz w:val="28"/>
        </w:rPr>
      </w:pPr>
      <w:bookmarkStart w:id="21" w:name="_30j0zll" w:colFirst="0" w:colLast="0"/>
      <w:bookmarkEnd w:id="21"/>
      <w:r w:rsidRPr="008608AA">
        <w:rPr>
          <w:b/>
          <w:sz w:val="28"/>
        </w:rPr>
        <w:t>Table of contents</w:t>
      </w:r>
      <w:r w:rsidR="009F0E42" w:rsidRPr="008608AA">
        <w:rPr>
          <w:b/>
          <w:sz w:val="28"/>
        </w:rPr>
        <w:t xml:space="preserve"> C</w:t>
      </w:r>
      <w:r w:rsidR="002F3654" w:rsidRPr="008608AA">
        <w:rPr>
          <w:b/>
          <w:sz w:val="28"/>
        </w:rPr>
        <w:t>hapter 1</w:t>
      </w:r>
    </w:p>
    <w:p w14:paraId="2C23A5A4" w14:textId="30CD16B0" w:rsidR="00C40619" w:rsidRDefault="002276D3">
      <w:pPr>
        <w:pStyle w:val="TOC1"/>
        <w:rPr>
          <w:rFonts w:asciiTheme="minorHAnsi" w:eastAsiaTheme="minorEastAsia" w:hAnsiTheme="minorHAnsi" w:cstheme="minorBidi"/>
          <w:b w:val="0"/>
          <w:bCs w:val="0"/>
          <w:szCs w:val="22"/>
          <w:lang w:val="es-CO" w:eastAsia="es-CO"/>
        </w:rPr>
      </w:pPr>
      <w:r>
        <w:rPr>
          <w:sz w:val="28"/>
        </w:rPr>
        <w:fldChar w:fldCharType="begin"/>
      </w:r>
      <w:r>
        <w:rPr>
          <w:sz w:val="28"/>
        </w:rPr>
        <w:instrText xml:space="preserve"> TOC \o "1-4" \h \z \u \b "Chap1" </w:instrText>
      </w:r>
      <w:r>
        <w:rPr>
          <w:sz w:val="28"/>
        </w:rPr>
        <w:fldChar w:fldCharType="separate"/>
      </w:r>
      <w:hyperlink w:anchor="_Toc517796894" w:history="1">
        <w:r w:rsidR="00C40619" w:rsidRPr="002A6020">
          <w:rPr>
            <w:rStyle w:val="Hyperlink"/>
          </w:rPr>
          <w:t>Chapter 1: Setting the scene</w:t>
        </w:r>
        <w:r w:rsidR="00C40619">
          <w:rPr>
            <w:webHidden/>
          </w:rPr>
          <w:tab/>
        </w:r>
        <w:r w:rsidR="00C40619">
          <w:rPr>
            <w:webHidden/>
          </w:rPr>
          <w:fldChar w:fldCharType="begin"/>
        </w:r>
        <w:r w:rsidR="00C40619">
          <w:rPr>
            <w:webHidden/>
          </w:rPr>
          <w:instrText xml:space="preserve"> PAGEREF _Toc517796894 \h </w:instrText>
        </w:r>
        <w:r w:rsidR="00C40619">
          <w:rPr>
            <w:webHidden/>
          </w:rPr>
        </w:r>
        <w:r w:rsidR="00C40619">
          <w:rPr>
            <w:webHidden/>
          </w:rPr>
          <w:fldChar w:fldCharType="separate"/>
        </w:r>
        <w:r w:rsidR="00402074">
          <w:rPr>
            <w:webHidden/>
          </w:rPr>
          <w:t>4</w:t>
        </w:r>
        <w:r w:rsidR="00C40619">
          <w:rPr>
            <w:webHidden/>
          </w:rPr>
          <w:fldChar w:fldCharType="end"/>
        </w:r>
      </w:hyperlink>
    </w:p>
    <w:p w14:paraId="6E965DD1" w14:textId="2F32C44E" w:rsidR="00C40619" w:rsidRDefault="00E84199">
      <w:pPr>
        <w:pStyle w:val="TOC1"/>
        <w:rPr>
          <w:rFonts w:asciiTheme="minorHAnsi" w:eastAsiaTheme="minorEastAsia" w:hAnsiTheme="minorHAnsi" w:cstheme="minorBidi"/>
          <w:b w:val="0"/>
          <w:bCs w:val="0"/>
          <w:szCs w:val="22"/>
          <w:lang w:val="es-CO" w:eastAsia="es-CO"/>
        </w:rPr>
      </w:pPr>
      <w:hyperlink w:anchor="_Toc517796895" w:history="1">
        <w:r w:rsidR="00C40619" w:rsidRPr="002A6020">
          <w:rPr>
            <w:rStyle w:val="Hyperlink"/>
          </w:rPr>
          <w:t>1</w:t>
        </w:r>
        <w:r w:rsidR="00C40619">
          <w:rPr>
            <w:rFonts w:asciiTheme="minorHAnsi" w:eastAsiaTheme="minorEastAsia" w:hAnsiTheme="minorHAnsi" w:cstheme="minorBidi"/>
            <w:b w:val="0"/>
            <w:bCs w:val="0"/>
            <w:szCs w:val="22"/>
            <w:lang w:val="es-CO" w:eastAsia="es-CO"/>
          </w:rPr>
          <w:tab/>
        </w:r>
        <w:r w:rsidR="00C40619" w:rsidRPr="002A6020">
          <w:rPr>
            <w:rStyle w:val="Hyperlink"/>
          </w:rPr>
          <w:t>Executive summary</w:t>
        </w:r>
        <w:r w:rsidR="00C40619">
          <w:rPr>
            <w:webHidden/>
          </w:rPr>
          <w:tab/>
        </w:r>
        <w:r w:rsidR="00C40619">
          <w:rPr>
            <w:webHidden/>
          </w:rPr>
          <w:fldChar w:fldCharType="begin"/>
        </w:r>
        <w:r w:rsidR="00C40619">
          <w:rPr>
            <w:webHidden/>
          </w:rPr>
          <w:instrText xml:space="preserve"> PAGEREF _Toc517796895 \h </w:instrText>
        </w:r>
        <w:r w:rsidR="00C40619">
          <w:rPr>
            <w:webHidden/>
          </w:rPr>
        </w:r>
        <w:r w:rsidR="00C40619">
          <w:rPr>
            <w:webHidden/>
          </w:rPr>
          <w:fldChar w:fldCharType="separate"/>
        </w:r>
        <w:r w:rsidR="00402074">
          <w:rPr>
            <w:webHidden/>
          </w:rPr>
          <w:t>6</w:t>
        </w:r>
        <w:r w:rsidR="00C40619">
          <w:rPr>
            <w:webHidden/>
          </w:rPr>
          <w:fldChar w:fldCharType="end"/>
        </w:r>
      </w:hyperlink>
    </w:p>
    <w:p w14:paraId="199A0195" w14:textId="457FB02E" w:rsidR="00C40619" w:rsidRDefault="00E84199">
      <w:pPr>
        <w:pStyle w:val="TOC2"/>
        <w:rPr>
          <w:rFonts w:asciiTheme="minorHAnsi" w:eastAsiaTheme="minorEastAsia" w:hAnsiTheme="minorHAnsi" w:cstheme="minorBidi"/>
          <w:b w:val="0"/>
          <w:bCs w:val="0"/>
          <w:noProof/>
          <w:szCs w:val="22"/>
          <w:lang w:val="es-CO" w:eastAsia="es-CO"/>
        </w:rPr>
      </w:pPr>
      <w:hyperlink w:anchor="_Toc517796896" w:history="1">
        <w:r w:rsidR="00C40619" w:rsidRPr="002A6020">
          <w:rPr>
            <w:rStyle w:val="Hyperlink"/>
            <w:noProof/>
            <w14:scene3d>
              <w14:camera w14:prst="orthographicFront"/>
              <w14:lightRig w14:rig="threePt" w14:dir="t">
                <w14:rot w14:lat="0" w14:lon="0" w14:rev="0"/>
              </w14:lightRig>
            </w14:scene3d>
          </w:rPr>
          <w:t>1.1</w:t>
        </w:r>
        <w:r w:rsidR="00C40619">
          <w:rPr>
            <w:rFonts w:asciiTheme="minorHAnsi" w:eastAsiaTheme="minorEastAsia" w:hAnsiTheme="minorHAnsi" w:cstheme="minorBidi"/>
            <w:b w:val="0"/>
            <w:bCs w:val="0"/>
            <w:noProof/>
            <w:szCs w:val="22"/>
            <w:lang w:val="es-CO" w:eastAsia="es-CO"/>
          </w:rPr>
          <w:tab/>
        </w:r>
        <w:r w:rsidR="00C40619" w:rsidRPr="002A6020">
          <w:rPr>
            <w:rStyle w:val="Hyperlink"/>
            <w:noProof/>
          </w:rPr>
          <w:t>Overview of the region</w:t>
        </w:r>
        <w:r w:rsidR="00C40619">
          <w:rPr>
            <w:noProof/>
            <w:webHidden/>
          </w:rPr>
          <w:tab/>
        </w:r>
        <w:r w:rsidR="00C40619">
          <w:rPr>
            <w:noProof/>
            <w:webHidden/>
          </w:rPr>
          <w:fldChar w:fldCharType="begin"/>
        </w:r>
        <w:r w:rsidR="00C40619">
          <w:rPr>
            <w:noProof/>
            <w:webHidden/>
          </w:rPr>
          <w:instrText xml:space="preserve"> PAGEREF _Toc517796896 \h </w:instrText>
        </w:r>
        <w:r w:rsidR="00C40619">
          <w:rPr>
            <w:noProof/>
            <w:webHidden/>
          </w:rPr>
        </w:r>
        <w:r w:rsidR="00C40619">
          <w:rPr>
            <w:noProof/>
            <w:webHidden/>
          </w:rPr>
          <w:fldChar w:fldCharType="separate"/>
        </w:r>
        <w:r w:rsidR="00402074">
          <w:rPr>
            <w:noProof/>
            <w:webHidden/>
          </w:rPr>
          <w:t>9</w:t>
        </w:r>
        <w:r w:rsidR="00C40619">
          <w:rPr>
            <w:noProof/>
            <w:webHidden/>
          </w:rPr>
          <w:fldChar w:fldCharType="end"/>
        </w:r>
      </w:hyperlink>
    </w:p>
    <w:p w14:paraId="443B5EE9" w14:textId="04ACCFDD" w:rsidR="00C40619" w:rsidRDefault="00E84199">
      <w:pPr>
        <w:pStyle w:val="TOC2"/>
        <w:rPr>
          <w:rFonts w:asciiTheme="minorHAnsi" w:eastAsiaTheme="minorEastAsia" w:hAnsiTheme="minorHAnsi" w:cstheme="minorBidi"/>
          <w:b w:val="0"/>
          <w:bCs w:val="0"/>
          <w:noProof/>
          <w:szCs w:val="22"/>
          <w:lang w:val="es-CO" w:eastAsia="es-CO"/>
        </w:rPr>
      </w:pPr>
      <w:hyperlink w:anchor="_Toc517796897" w:history="1">
        <w:r w:rsidR="00C40619" w:rsidRPr="002A6020">
          <w:rPr>
            <w:rStyle w:val="Hyperlink"/>
            <w:noProof/>
            <w14:scene3d>
              <w14:camera w14:prst="orthographicFront"/>
              <w14:lightRig w14:rig="threePt" w14:dir="t">
                <w14:rot w14:lat="0" w14:lon="0" w14:rev="0"/>
              </w14:lightRig>
            </w14:scene3d>
          </w:rPr>
          <w:t>1.2</w:t>
        </w:r>
        <w:r w:rsidR="00C40619">
          <w:rPr>
            <w:rFonts w:asciiTheme="minorHAnsi" w:eastAsiaTheme="minorEastAsia" w:hAnsiTheme="minorHAnsi" w:cstheme="minorBidi"/>
            <w:b w:val="0"/>
            <w:bCs w:val="0"/>
            <w:noProof/>
            <w:szCs w:val="22"/>
            <w:lang w:val="es-CO" w:eastAsia="es-CO"/>
          </w:rPr>
          <w:tab/>
        </w:r>
        <w:r w:rsidR="00C40619" w:rsidRPr="002A6020">
          <w:rPr>
            <w:rStyle w:val="Hyperlink"/>
            <w:noProof/>
          </w:rPr>
          <w:t>The core policy-relevant questions for the Americas Assessment</w:t>
        </w:r>
        <w:r w:rsidR="00C40619">
          <w:rPr>
            <w:noProof/>
            <w:webHidden/>
          </w:rPr>
          <w:tab/>
        </w:r>
        <w:r w:rsidR="00C40619">
          <w:rPr>
            <w:noProof/>
            <w:webHidden/>
          </w:rPr>
          <w:fldChar w:fldCharType="begin"/>
        </w:r>
        <w:r w:rsidR="00C40619">
          <w:rPr>
            <w:noProof/>
            <w:webHidden/>
          </w:rPr>
          <w:instrText xml:space="preserve"> PAGEREF _Toc517796897 \h </w:instrText>
        </w:r>
        <w:r w:rsidR="00C40619">
          <w:rPr>
            <w:noProof/>
            <w:webHidden/>
          </w:rPr>
        </w:r>
        <w:r w:rsidR="00C40619">
          <w:rPr>
            <w:noProof/>
            <w:webHidden/>
          </w:rPr>
          <w:fldChar w:fldCharType="separate"/>
        </w:r>
        <w:r w:rsidR="00402074">
          <w:rPr>
            <w:noProof/>
            <w:webHidden/>
          </w:rPr>
          <w:t>11</w:t>
        </w:r>
        <w:r w:rsidR="00C40619">
          <w:rPr>
            <w:noProof/>
            <w:webHidden/>
          </w:rPr>
          <w:fldChar w:fldCharType="end"/>
        </w:r>
      </w:hyperlink>
    </w:p>
    <w:p w14:paraId="34B4E9CF" w14:textId="18766EBE"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898" w:history="1">
        <w:r w:rsidR="00C40619" w:rsidRPr="002A6020">
          <w:rPr>
            <w:rStyle w:val="Hyperlink"/>
            <w:noProof/>
            <w14:scene3d>
              <w14:camera w14:prst="orthographicFront"/>
              <w14:lightRig w14:rig="threePt" w14:dir="t">
                <w14:rot w14:lat="0" w14:lon="0" w14:rev="0"/>
              </w14:lightRig>
            </w14:scene3d>
          </w:rPr>
          <w:t>1.2.1</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How do biodiversity and ecosystem functions and services contribute to the economy, livelihoods, food security, and good quality of life in the region, and what are their interlinkages?</w:t>
        </w:r>
        <w:r w:rsidR="00C40619">
          <w:rPr>
            <w:noProof/>
            <w:webHidden/>
          </w:rPr>
          <w:tab/>
        </w:r>
        <w:r w:rsidR="00C40619">
          <w:rPr>
            <w:noProof/>
            <w:webHidden/>
          </w:rPr>
          <w:fldChar w:fldCharType="begin"/>
        </w:r>
        <w:r w:rsidR="00C40619">
          <w:rPr>
            <w:noProof/>
            <w:webHidden/>
          </w:rPr>
          <w:instrText xml:space="preserve"> PAGEREF _Toc517796898 \h </w:instrText>
        </w:r>
        <w:r w:rsidR="00C40619">
          <w:rPr>
            <w:noProof/>
            <w:webHidden/>
          </w:rPr>
        </w:r>
        <w:r w:rsidR="00C40619">
          <w:rPr>
            <w:noProof/>
            <w:webHidden/>
          </w:rPr>
          <w:fldChar w:fldCharType="separate"/>
        </w:r>
        <w:r w:rsidR="00402074">
          <w:rPr>
            <w:noProof/>
            <w:webHidden/>
          </w:rPr>
          <w:t>12</w:t>
        </w:r>
        <w:r w:rsidR="00C40619">
          <w:rPr>
            <w:noProof/>
            <w:webHidden/>
          </w:rPr>
          <w:fldChar w:fldCharType="end"/>
        </w:r>
      </w:hyperlink>
    </w:p>
    <w:p w14:paraId="1B7A89E3" w14:textId="140681BE"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899" w:history="1">
        <w:r w:rsidR="00C40619" w:rsidRPr="002A6020">
          <w:rPr>
            <w:rStyle w:val="Hyperlink"/>
            <w:noProof/>
            <w14:scene3d>
              <w14:camera w14:prst="orthographicFront"/>
              <w14:lightRig w14:rig="threePt" w14:dir="t">
                <w14:rot w14:lat="0" w14:lon="0" w14:rev="0"/>
              </w14:lightRig>
            </w14:scene3d>
          </w:rPr>
          <w:t>1.2.2</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What are the status, trends of biodiversity and ecosystem functions underpinning nature’s benefit to people that ultimately affect their contribution to the economy, livelihoods and well-being in the region?</w:t>
        </w:r>
        <w:r w:rsidR="00C40619">
          <w:rPr>
            <w:noProof/>
            <w:webHidden/>
          </w:rPr>
          <w:tab/>
        </w:r>
        <w:r w:rsidR="00C40619">
          <w:rPr>
            <w:noProof/>
            <w:webHidden/>
          </w:rPr>
          <w:fldChar w:fldCharType="begin"/>
        </w:r>
        <w:r w:rsidR="00C40619">
          <w:rPr>
            <w:noProof/>
            <w:webHidden/>
          </w:rPr>
          <w:instrText xml:space="preserve"> PAGEREF _Toc517796899 \h </w:instrText>
        </w:r>
        <w:r w:rsidR="00C40619">
          <w:rPr>
            <w:noProof/>
            <w:webHidden/>
          </w:rPr>
        </w:r>
        <w:r w:rsidR="00C40619">
          <w:rPr>
            <w:noProof/>
            <w:webHidden/>
          </w:rPr>
          <w:fldChar w:fldCharType="separate"/>
        </w:r>
        <w:r w:rsidR="00402074">
          <w:rPr>
            <w:noProof/>
            <w:webHidden/>
          </w:rPr>
          <w:t>13</w:t>
        </w:r>
        <w:r w:rsidR="00C40619">
          <w:rPr>
            <w:noProof/>
            <w:webHidden/>
          </w:rPr>
          <w:fldChar w:fldCharType="end"/>
        </w:r>
      </w:hyperlink>
    </w:p>
    <w:p w14:paraId="47087B38" w14:textId="3BEC42ED"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00" w:history="1">
        <w:r w:rsidR="00C40619" w:rsidRPr="002A6020">
          <w:rPr>
            <w:rStyle w:val="Hyperlink"/>
            <w:noProof/>
            <w14:scene3d>
              <w14:camera w14:prst="orthographicFront"/>
              <w14:lightRig w14:rig="threePt" w14:dir="t">
                <w14:rot w14:lat="0" w14:lon="0" w14:rev="0"/>
              </w14:lightRig>
            </w14:scene3d>
          </w:rPr>
          <w:t>1.2.3</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What are the pressures driving the change in the status and trends of biodiversity, ecosystem functions, ecosystem services and good quality of life in the region?</w:t>
        </w:r>
        <w:r w:rsidR="00C40619">
          <w:rPr>
            <w:noProof/>
            <w:webHidden/>
          </w:rPr>
          <w:tab/>
        </w:r>
        <w:r w:rsidR="00C40619">
          <w:rPr>
            <w:noProof/>
            <w:webHidden/>
          </w:rPr>
          <w:fldChar w:fldCharType="begin"/>
        </w:r>
        <w:r w:rsidR="00C40619">
          <w:rPr>
            <w:noProof/>
            <w:webHidden/>
          </w:rPr>
          <w:instrText xml:space="preserve"> PAGEREF _Toc517796900 \h </w:instrText>
        </w:r>
        <w:r w:rsidR="00C40619">
          <w:rPr>
            <w:noProof/>
            <w:webHidden/>
          </w:rPr>
        </w:r>
        <w:r w:rsidR="00C40619">
          <w:rPr>
            <w:noProof/>
            <w:webHidden/>
          </w:rPr>
          <w:fldChar w:fldCharType="separate"/>
        </w:r>
        <w:r w:rsidR="00402074">
          <w:rPr>
            <w:noProof/>
            <w:webHidden/>
          </w:rPr>
          <w:t>14</w:t>
        </w:r>
        <w:r w:rsidR="00C40619">
          <w:rPr>
            <w:noProof/>
            <w:webHidden/>
          </w:rPr>
          <w:fldChar w:fldCharType="end"/>
        </w:r>
      </w:hyperlink>
    </w:p>
    <w:p w14:paraId="2B6BDE33" w14:textId="46AA643E"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01" w:history="1">
        <w:r w:rsidR="00C40619" w:rsidRPr="002A6020">
          <w:rPr>
            <w:rStyle w:val="Hyperlink"/>
            <w:noProof/>
            <w14:scene3d>
              <w14:camera w14:prst="orthographicFront"/>
              <w14:lightRig w14:rig="threePt" w14:dir="t">
                <w14:rot w14:lat="0" w14:lon="0" w14:rev="0"/>
              </w14:lightRig>
            </w14:scene3d>
          </w:rPr>
          <w:t>1.2.4</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What are the actual and potential impacts of various policies and interventions on the contribution of biodiversity, ecosystem functions and ecosystem services to the sustainability of the economy, livelihoods, food security and good quality of life in the region?</w:t>
        </w:r>
        <w:r w:rsidR="00C40619">
          <w:rPr>
            <w:noProof/>
            <w:webHidden/>
          </w:rPr>
          <w:tab/>
        </w:r>
        <w:r w:rsidR="00C40619">
          <w:rPr>
            <w:noProof/>
            <w:webHidden/>
          </w:rPr>
          <w:fldChar w:fldCharType="begin"/>
        </w:r>
        <w:r w:rsidR="00C40619">
          <w:rPr>
            <w:noProof/>
            <w:webHidden/>
          </w:rPr>
          <w:instrText xml:space="preserve"> PAGEREF _Toc517796901 \h </w:instrText>
        </w:r>
        <w:r w:rsidR="00C40619">
          <w:rPr>
            <w:noProof/>
            <w:webHidden/>
          </w:rPr>
        </w:r>
        <w:r w:rsidR="00C40619">
          <w:rPr>
            <w:noProof/>
            <w:webHidden/>
          </w:rPr>
          <w:fldChar w:fldCharType="separate"/>
        </w:r>
        <w:r w:rsidR="00402074">
          <w:rPr>
            <w:noProof/>
            <w:webHidden/>
          </w:rPr>
          <w:t>14</w:t>
        </w:r>
        <w:r w:rsidR="00C40619">
          <w:rPr>
            <w:noProof/>
            <w:webHidden/>
          </w:rPr>
          <w:fldChar w:fldCharType="end"/>
        </w:r>
      </w:hyperlink>
    </w:p>
    <w:p w14:paraId="64380F9C" w14:textId="29DC0A94" w:rsidR="00C40619" w:rsidRDefault="00E84199">
      <w:pPr>
        <w:pStyle w:val="TOC2"/>
        <w:rPr>
          <w:rFonts w:asciiTheme="minorHAnsi" w:eastAsiaTheme="minorEastAsia" w:hAnsiTheme="minorHAnsi" w:cstheme="minorBidi"/>
          <w:b w:val="0"/>
          <w:bCs w:val="0"/>
          <w:noProof/>
          <w:szCs w:val="22"/>
          <w:lang w:val="es-CO" w:eastAsia="es-CO"/>
        </w:rPr>
      </w:pPr>
      <w:hyperlink w:anchor="_Toc517796902" w:history="1">
        <w:r w:rsidR="00C40619" w:rsidRPr="002A6020">
          <w:rPr>
            <w:rStyle w:val="Hyperlink"/>
            <w:noProof/>
            <w14:scene3d>
              <w14:camera w14:prst="orthographicFront"/>
              <w14:lightRig w14:rig="threePt" w14:dir="t">
                <w14:rot w14:lat="0" w14:lon="0" w14:rev="0"/>
              </w14:lightRig>
            </w14:scene3d>
          </w:rPr>
          <w:t>1.3</w:t>
        </w:r>
        <w:r w:rsidR="00C40619">
          <w:rPr>
            <w:rFonts w:asciiTheme="minorHAnsi" w:eastAsiaTheme="minorEastAsia" w:hAnsiTheme="minorHAnsi" w:cstheme="minorBidi"/>
            <w:b w:val="0"/>
            <w:bCs w:val="0"/>
            <w:noProof/>
            <w:szCs w:val="22"/>
            <w:lang w:val="es-CO" w:eastAsia="es-CO"/>
          </w:rPr>
          <w:tab/>
        </w:r>
        <w:r w:rsidR="00C40619" w:rsidRPr="002A6020">
          <w:rPr>
            <w:rStyle w:val="Hyperlink"/>
            <w:noProof/>
          </w:rPr>
          <w:t>Background to the Intergovernmental Platform on Biodiversity and Ecosystem Services Regional Assessments</w:t>
        </w:r>
        <w:r w:rsidR="00C40619">
          <w:rPr>
            <w:noProof/>
            <w:webHidden/>
          </w:rPr>
          <w:tab/>
        </w:r>
        <w:r w:rsidR="00C40619">
          <w:rPr>
            <w:noProof/>
            <w:webHidden/>
          </w:rPr>
          <w:fldChar w:fldCharType="begin"/>
        </w:r>
        <w:r w:rsidR="00C40619">
          <w:rPr>
            <w:noProof/>
            <w:webHidden/>
          </w:rPr>
          <w:instrText xml:space="preserve"> PAGEREF _Toc517796902 \h </w:instrText>
        </w:r>
        <w:r w:rsidR="00C40619">
          <w:rPr>
            <w:noProof/>
            <w:webHidden/>
          </w:rPr>
        </w:r>
        <w:r w:rsidR="00C40619">
          <w:rPr>
            <w:noProof/>
            <w:webHidden/>
          </w:rPr>
          <w:fldChar w:fldCharType="separate"/>
        </w:r>
        <w:r w:rsidR="00402074">
          <w:rPr>
            <w:noProof/>
            <w:webHidden/>
          </w:rPr>
          <w:t>15</w:t>
        </w:r>
        <w:r w:rsidR="00C40619">
          <w:rPr>
            <w:noProof/>
            <w:webHidden/>
          </w:rPr>
          <w:fldChar w:fldCharType="end"/>
        </w:r>
      </w:hyperlink>
    </w:p>
    <w:p w14:paraId="55BBBFA4" w14:textId="0182F2AA"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03" w:history="1">
        <w:r w:rsidR="00C40619" w:rsidRPr="002A6020">
          <w:rPr>
            <w:rStyle w:val="Hyperlink"/>
            <w:noProof/>
            <w14:scene3d>
              <w14:camera w14:prst="orthographicFront"/>
              <w14:lightRig w14:rig="threePt" w14:dir="t">
                <w14:rot w14:lat="0" w14:lon="0" w14:rev="0"/>
              </w14:lightRig>
            </w14:scene3d>
          </w:rPr>
          <w:t>1.3.1</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What are nature contributions to people?</w:t>
        </w:r>
        <w:r w:rsidR="00C40619">
          <w:rPr>
            <w:noProof/>
            <w:webHidden/>
          </w:rPr>
          <w:tab/>
        </w:r>
        <w:r w:rsidR="00C40619">
          <w:rPr>
            <w:noProof/>
            <w:webHidden/>
          </w:rPr>
          <w:fldChar w:fldCharType="begin"/>
        </w:r>
        <w:r w:rsidR="00C40619">
          <w:rPr>
            <w:noProof/>
            <w:webHidden/>
          </w:rPr>
          <w:instrText xml:space="preserve"> PAGEREF _Toc517796903 \h </w:instrText>
        </w:r>
        <w:r w:rsidR="00C40619">
          <w:rPr>
            <w:noProof/>
            <w:webHidden/>
          </w:rPr>
        </w:r>
        <w:r w:rsidR="00C40619">
          <w:rPr>
            <w:noProof/>
            <w:webHidden/>
          </w:rPr>
          <w:fldChar w:fldCharType="separate"/>
        </w:r>
        <w:r w:rsidR="00402074">
          <w:rPr>
            <w:noProof/>
            <w:webHidden/>
          </w:rPr>
          <w:t>16</w:t>
        </w:r>
        <w:r w:rsidR="00C40619">
          <w:rPr>
            <w:noProof/>
            <w:webHidden/>
          </w:rPr>
          <w:fldChar w:fldCharType="end"/>
        </w:r>
      </w:hyperlink>
    </w:p>
    <w:p w14:paraId="1EB3ECF8" w14:textId="57C37BEC"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04" w:history="1">
        <w:r w:rsidR="00C40619" w:rsidRPr="002A6020">
          <w:rPr>
            <w:rStyle w:val="Hyperlink"/>
            <w:noProof/>
            <w14:scene3d>
              <w14:camera w14:prst="orthographicFront"/>
              <w14:lightRig w14:rig="threePt" w14:dir="t">
                <w14:rot w14:lat="0" w14:lon="0" w14:rev="0"/>
              </w14:lightRig>
            </w14:scene3d>
          </w:rPr>
          <w:t>1.3.2</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Why are nature contributions to people relevant to human quality of life (well-being and livelihoods) in the Americas?</w:t>
        </w:r>
        <w:r w:rsidR="00C40619">
          <w:rPr>
            <w:noProof/>
            <w:webHidden/>
          </w:rPr>
          <w:tab/>
        </w:r>
        <w:r w:rsidR="00C40619">
          <w:rPr>
            <w:noProof/>
            <w:webHidden/>
          </w:rPr>
          <w:fldChar w:fldCharType="begin"/>
        </w:r>
        <w:r w:rsidR="00C40619">
          <w:rPr>
            <w:noProof/>
            <w:webHidden/>
          </w:rPr>
          <w:instrText xml:space="preserve"> PAGEREF _Toc517796904 \h </w:instrText>
        </w:r>
        <w:r w:rsidR="00C40619">
          <w:rPr>
            <w:noProof/>
            <w:webHidden/>
          </w:rPr>
        </w:r>
        <w:r w:rsidR="00C40619">
          <w:rPr>
            <w:noProof/>
            <w:webHidden/>
          </w:rPr>
          <w:fldChar w:fldCharType="separate"/>
        </w:r>
        <w:r w:rsidR="00402074">
          <w:rPr>
            <w:noProof/>
            <w:webHidden/>
          </w:rPr>
          <w:t>18</w:t>
        </w:r>
        <w:r w:rsidR="00C40619">
          <w:rPr>
            <w:noProof/>
            <w:webHidden/>
          </w:rPr>
          <w:fldChar w:fldCharType="end"/>
        </w:r>
      </w:hyperlink>
    </w:p>
    <w:p w14:paraId="77969944" w14:textId="4B09BD75"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05" w:history="1">
        <w:r w:rsidR="00C40619" w:rsidRPr="002A6020">
          <w:rPr>
            <w:rStyle w:val="Hyperlink"/>
            <w:noProof/>
            <w14:scene3d>
              <w14:camera w14:prst="orthographicFront"/>
              <w14:lightRig w14:rig="threePt" w14:dir="t">
                <w14:rot w14:lat="0" w14:lon="0" w14:rev="0"/>
              </w14:lightRig>
            </w14:scene3d>
          </w:rPr>
          <w:t>1.3.3</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Why are people relevant to nature’s ability to provide nature contributions to people?</w:t>
        </w:r>
        <w:r w:rsidR="00C40619">
          <w:rPr>
            <w:noProof/>
            <w:webHidden/>
          </w:rPr>
          <w:tab/>
        </w:r>
        <w:r w:rsidR="00C40619">
          <w:rPr>
            <w:noProof/>
            <w:webHidden/>
          </w:rPr>
          <w:fldChar w:fldCharType="begin"/>
        </w:r>
        <w:r w:rsidR="00C40619">
          <w:rPr>
            <w:noProof/>
            <w:webHidden/>
          </w:rPr>
          <w:instrText xml:space="preserve"> PAGEREF _Toc517796905 \h </w:instrText>
        </w:r>
        <w:r w:rsidR="00C40619">
          <w:rPr>
            <w:noProof/>
            <w:webHidden/>
          </w:rPr>
        </w:r>
        <w:r w:rsidR="00C40619">
          <w:rPr>
            <w:noProof/>
            <w:webHidden/>
          </w:rPr>
          <w:fldChar w:fldCharType="separate"/>
        </w:r>
        <w:r w:rsidR="00402074">
          <w:rPr>
            <w:noProof/>
            <w:webHidden/>
          </w:rPr>
          <w:t>20</w:t>
        </w:r>
        <w:r w:rsidR="00C40619">
          <w:rPr>
            <w:noProof/>
            <w:webHidden/>
          </w:rPr>
          <w:fldChar w:fldCharType="end"/>
        </w:r>
      </w:hyperlink>
    </w:p>
    <w:p w14:paraId="6782C83A" w14:textId="6979C133"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06" w:history="1">
        <w:r w:rsidR="00C40619" w:rsidRPr="002A6020">
          <w:rPr>
            <w:rStyle w:val="Hyperlink"/>
            <w:noProof/>
            <w14:scene3d>
              <w14:camera w14:prst="orthographicFront"/>
              <w14:lightRig w14:rig="threePt" w14:dir="t">
                <w14:rot w14:lat="0" w14:lon="0" w14:rev="0"/>
              </w14:lightRig>
            </w14:scene3d>
          </w:rPr>
          <w:t>1.3.4</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Why do we need a Regional Assessment?</w:t>
        </w:r>
        <w:r w:rsidR="00C40619">
          <w:rPr>
            <w:noProof/>
            <w:webHidden/>
          </w:rPr>
          <w:tab/>
        </w:r>
        <w:r w:rsidR="00C40619">
          <w:rPr>
            <w:noProof/>
            <w:webHidden/>
          </w:rPr>
          <w:fldChar w:fldCharType="begin"/>
        </w:r>
        <w:r w:rsidR="00C40619">
          <w:rPr>
            <w:noProof/>
            <w:webHidden/>
          </w:rPr>
          <w:instrText xml:space="preserve"> PAGEREF _Toc517796906 \h </w:instrText>
        </w:r>
        <w:r w:rsidR="00C40619">
          <w:rPr>
            <w:noProof/>
            <w:webHidden/>
          </w:rPr>
        </w:r>
        <w:r w:rsidR="00C40619">
          <w:rPr>
            <w:noProof/>
            <w:webHidden/>
          </w:rPr>
          <w:fldChar w:fldCharType="separate"/>
        </w:r>
        <w:r w:rsidR="00402074">
          <w:rPr>
            <w:noProof/>
            <w:webHidden/>
          </w:rPr>
          <w:t>21</w:t>
        </w:r>
        <w:r w:rsidR="00C40619">
          <w:rPr>
            <w:noProof/>
            <w:webHidden/>
          </w:rPr>
          <w:fldChar w:fldCharType="end"/>
        </w:r>
      </w:hyperlink>
    </w:p>
    <w:p w14:paraId="1F484319" w14:textId="52005B18"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07" w:history="1">
        <w:r w:rsidR="00C40619" w:rsidRPr="002A6020">
          <w:rPr>
            <w:rStyle w:val="Hyperlink"/>
            <w:noProof/>
            <w14:scene3d>
              <w14:camera w14:prst="orthographicFront"/>
              <w14:lightRig w14:rig="threePt" w14:dir="t">
                <w14:rot w14:lat="0" w14:lon="0" w14:rev="0"/>
              </w14:lightRig>
            </w14:scene3d>
          </w:rPr>
          <w:t>1.3.5</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What is an Intergovernmental Platform on Biodiversity and Ecosystem Services Regional Assessment?</w:t>
        </w:r>
        <w:r w:rsidR="00C40619">
          <w:rPr>
            <w:noProof/>
            <w:webHidden/>
          </w:rPr>
          <w:tab/>
        </w:r>
        <w:r w:rsidR="00C40619">
          <w:rPr>
            <w:noProof/>
            <w:webHidden/>
          </w:rPr>
          <w:fldChar w:fldCharType="begin"/>
        </w:r>
        <w:r w:rsidR="00C40619">
          <w:rPr>
            <w:noProof/>
            <w:webHidden/>
          </w:rPr>
          <w:instrText xml:space="preserve"> PAGEREF _Toc517796907 \h </w:instrText>
        </w:r>
        <w:r w:rsidR="00C40619">
          <w:rPr>
            <w:noProof/>
            <w:webHidden/>
          </w:rPr>
        </w:r>
        <w:r w:rsidR="00C40619">
          <w:rPr>
            <w:noProof/>
            <w:webHidden/>
          </w:rPr>
          <w:fldChar w:fldCharType="separate"/>
        </w:r>
        <w:r w:rsidR="00402074">
          <w:rPr>
            <w:noProof/>
            <w:webHidden/>
          </w:rPr>
          <w:t>21</w:t>
        </w:r>
        <w:r w:rsidR="00C40619">
          <w:rPr>
            <w:noProof/>
            <w:webHidden/>
          </w:rPr>
          <w:fldChar w:fldCharType="end"/>
        </w:r>
      </w:hyperlink>
    </w:p>
    <w:p w14:paraId="3242CA62" w14:textId="2711684F"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08" w:history="1">
        <w:r w:rsidR="00C40619" w:rsidRPr="002A6020">
          <w:rPr>
            <w:rStyle w:val="Hyperlink"/>
            <w:noProof/>
            <w14:scene3d>
              <w14:camera w14:prst="orthographicFront"/>
              <w14:lightRig w14:rig="threePt" w14:dir="t">
                <w14:rot w14:lat="0" w14:lon="0" w14:rev="0"/>
              </w14:lightRig>
            </w14:scene3d>
          </w:rPr>
          <w:t>1.3.6</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Who are the target audiences of this document?</w:t>
        </w:r>
        <w:r w:rsidR="00C40619">
          <w:rPr>
            <w:noProof/>
            <w:webHidden/>
          </w:rPr>
          <w:tab/>
        </w:r>
        <w:r w:rsidR="00C40619">
          <w:rPr>
            <w:noProof/>
            <w:webHidden/>
          </w:rPr>
          <w:fldChar w:fldCharType="begin"/>
        </w:r>
        <w:r w:rsidR="00C40619">
          <w:rPr>
            <w:noProof/>
            <w:webHidden/>
          </w:rPr>
          <w:instrText xml:space="preserve"> PAGEREF _Toc517796908 \h </w:instrText>
        </w:r>
        <w:r w:rsidR="00C40619">
          <w:rPr>
            <w:noProof/>
            <w:webHidden/>
          </w:rPr>
        </w:r>
        <w:r w:rsidR="00C40619">
          <w:rPr>
            <w:noProof/>
            <w:webHidden/>
          </w:rPr>
          <w:fldChar w:fldCharType="separate"/>
        </w:r>
        <w:r w:rsidR="00402074">
          <w:rPr>
            <w:noProof/>
            <w:webHidden/>
          </w:rPr>
          <w:t>22</w:t>
        </w:r>
        <w:r w:rsidR="00C40619">
          <w:rPr>
            <w:noProof/>
            <w:webHidden/>
          </w:rPr>
          <w:fldChar w:fldCharType="end"/>
        </w:r>
      </w:hyperlink>
    </w:p>
    <w:p w14:paraId="475AE333" w14:textId="69B764C2" w:rsidR="00C40619" w:rsidRDefault="00E84199">
      <w:pPr>
        <w:pStyle w:val="TOC2"/>
        <w:rPr>
          <w:rFonts w:asciiTheme="minorHAnsi" w:eastAsiaTheme="minorEastAsia" w:hAnsiTheme="minorHAnsi" w:cstheme="minorBidi"/>
          <w:b w:val="0"/>
          <w:bCs w:val="0"/>
          <w:noProof/>
          <w:szCs w:val="22"/>
          <w:lang w:val="es-CO" w:eastAsia="es-CO"/>
        </w:rPr>
      </w:pPr>
      <w:hyperlink w:anchor="_Toc517796909" w:history="1">
        <w:r w:rsidR="00C40619" w:rsidRPr="002A6020">
          <w:rPr>
            <w:rStyle w:val="Hyperlink"/>
            <w:noProof/>
            <w14:scene3d>
              <w14:camera w14:prst="orthographicFront"/>
              <w14:lightRig w14:rig="threePt" w14:dir="t">
                <w14:rot w14:lat="0" w14:lon="0" w14:rev="0"/>
              </w14:lightRig>
            </w14:scene3d>
          </w:rPr>
          <w:t>1.4</w:t>
        </w:r>
        <w:r w:rsidR="00C40619">
          <w:rPr>
            <w:rFonts w:asciiTheme="minorHAnsi" w:eastAsiaTheme="minorEastAsia" w:hAnsiTheme="minorHAnsi" w:cstheme="minorBidi"/>
            <w:b w:val="0"/>
            <w:bCs w:val="0"/>
            <w:noProof/>
            <w:szCs w:val="22"/>
            <w:lang w:val="es-CO" w:eastAsia="es-CO"/>
          </w:rPr>
          <w:tab/>
        </w:r>
        <w:r w:rsidR="00C40619" w:rsidRPr="002A6020">
          <w:rPr>
            <w:rStyle w:val="Hyperlink"/>
            <w:noProof/>
          </w:rPr>
          <w:t>Roadmap to core questions and chapters in this Regional Assessment</w:t>
        </w:r>
        <w:r w:rsidR="00C40619">
          <w:rPr>
            <w:noProof/>
            <w:webHidden/>
          </w:rPr>
          <w:tab/>
        </w:r>
        <w:r w:rsidR="00C40619">
          <w:rPr>
            <w:noProof/>
            <w:webHidden/>
          </w:rPr>
          <w:fldChar w:fldCharType="begin"/>
        </w:r>
        <w:r w:rsidR="00C40619">
          <w:rPr>
            <w:noProof/>
            <w:webHidden/>
          </w:rPr>
          <w:instrText xml:space="preserve"> PAGEREF _Toc517796909 \h </w:instrText>
        </w:r>
        <w:r w:rsidR="00C40619">
          <w:rPr>
            <w:noProof/>
            <w:webHidden/>
          </w:rPr>
        </w:r>
        <w:r w:rsidR="00C40619">
          <w:rPr>
            <w:noProof/>
            <w:webHidden/>
          </w:rPr>
          <w:fldChar w:fldCharType="separate"/>
        </w:r>
        <w:r w:rsidR="00402074">
          <w:rPr>
            <w:noProof/>
            <w:webHidden/>
          </w:rPr>
          <w:t>23</w:t>
        </w:r>
        <w:r w:rsidR="00C40619">
          <w:rPr>
            <w:noProof/>
            <w:webHidden/>
          </w:rPr>
          <w:fldChar w:fldCharType="end"/>
        </w:r>
      </w:hyperlink>
    </w:p>
    <w:p w14:paraId="04CAEDF4" w14:textId="58989132"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10" w:history="1">
        <w:r w:rsidR="00C40619" w:rsidRPr="002A6020">
          <w:rPr>
            <w:rStyle w:val="Hyperlink"/>
            <w:noProof/>
            <w14:scene3d>
              <w14:camera w14:prst="orthographicFront"/>
              <w14:lightRig w14:rig="threePt" w14:dir="t">
                <w14:rot w14:lat="0" w14:lon="0" w14:rev="0"/>
              </w14:lightRig>
            </w14:scene3d>
          </w:rPr>
          <w:t>1.4.1</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What gaps in knowledge need to be addressed to better understand and assess drivers, impacts and responses of biodiversity, ecosystem functions and services at the regional level?</w:t>
        </w:r>
        <w:r w:rsidR="00C40619">
          <w:rPr>
            <w:noProof/>
            <w:webHidden/>
          </w:rPr>
          <w:tab/>
        </w:r>
        <w:r w:rsidR="00C40619">
          <w:rPr>
            <w:noProof/>
            <w:webHidden/>
          </w:rPr>
          <w:fldChar w:fldCharType="begin"/>
        </w:r>
        <w:r w:rsidR="00C40619">
          <w:rPr>
            <w:noProof/>
            <w:webHidden/>
          </w:rPr>
          <w:instrText xml:space="preserve"> PAGEREF _Toc517796910 \h </w:instrText>
        </w:r>
        <w:r w:rsidR="00C40619">
          <w:rPr>
            <w:noProof/>
            <w:webHidden/>
          </w:rPr>
        </w:r>
        <w:r w:rsidR="00C40619">
          <w:rPr>
            <w:noProof/>
            <w:webHidden/>
          </w:rPr>
          <w:fldChar w:fldCharType="separate"/>
        </w:r>
        <w:r w:rsidR="00402074">
          <w:rPr>
            <w:noProof/>
            <w:webHidden/>
          </w:rPr>
          <w:t>26</w:t>
        </w:r>
        <w:r w:rsidR="00C40619">
          <w:rPr>
            <w:noProof/>
            <w:webHidden/>
          </w:rPr>
          <w:fldChar w:fldCharType="end"/>
        </w:r>
      </w:hyperlink>
    </w:p>
    <w:p w14:paraId="7817559F" w14:textId="56F6677E"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11" w:history="1">
        <w:r w:rsidR="00C40619" w:rsidRPr="002A6020">
          <w:rPr>
            <w:rStyle w:val="Hyperlink"/>
            <w:noProof/>
            <w14:scene3d>
              <w14:camera w14:prst="orthographicFront"/>
              <w14:lightRig w14:rig="threePt" w14:dir="t">
                <w14:rot w14:lat="0" w14:lon="0" w14:rev="0"/>
              </w14:lightRig>
            </w14:scene3d>
          </w:rPr>
          <w:t>1.4.2</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Relationship of the key questions to the implementation of the Strategic Plan for Biodiversity and its Aichi biodiversity targets and to the Sustainable Development Goals</w:t>
        </w:r>
        <w:r w:rsidR="00C40619">
          <w:rPr>
            <w:noProof/>
            <w:webHidden/>
          </w:rPr>
          <w:tab/>
        </w:r>
        <w:r w:rsidR="00C40619">
          <w:rPr>
            <w:noProof/>
            <w:webHidden/>
          </w:rPr>
          <w:fldChar w:fldCharType="begin"/>
        </w:r>
        <w:r w:rsidR="00C40619">
          <w:rPr>
            <w:noProof/>
            <w:webHidden/>
          </w:rPr>
          <w:instrText xml:space="preserve"> PAGEREF _Toc517796911 \h </w:instrText>
        </w:r>
        <w:r w:rsidR="00C40619">
          <w:rPr>
            <w:noProof/>
            <w:webHidden/>
          </w:rPr>
        </w:r>
        <w:r w:rsidR="00C40619">
          <w:rPr>
            <w:noProof/>
            <w:webHidden/>
          </w:rPr>
          <w:fldChar w:fldCharType="separate"/>
        </w:r>
        <w:r w:rsidR="00402074">
          <w:rPr>
            <w:noProof/>
            <w:webHidden/>
          </w:rPr>
          <w:t>26</w:t>
        </w:r>
        <w:r w:rsidR="00C40619">
          <w:rPr>
            <w:noProof/>
            <w:webHidden/>
          </w:rPr>
          <w:fldChar w:fldCharType="end"/>
        </w:r>
      </w:hyperlink>
    </w:p>
    <w:p w14:paraId="323CA681" w14:textId="046ED041" w:rsidR="00C40619" w:rsidRDefault="00E84199">
      <w:pPr>
        <w:pStyle w:val="TOC2"/>
        <w:rPr>
          <w:rFonts w:asciiTheme="minorHAnsi" w:eastAsiaTheme="minorEastAsia" w:hAnsiTheme="minorHAnsi" w:cstheme="minorBidi"/>
          <w:b w:val="0"/>
          <w:bCs w:val="0"/>
          <w:noProof/>
          <w:szCs w:val="22"/>
          <w:lang w:val="es-CO" w:eastAsia="es-CO"/>
        </w:rPr>
      </w:pPr>
      <w:hyperlink w:anchor="_Toc517796912" w:history="1">
        <w:r w:rsidR="00C40619" w:rsidRPr="002A6020">
          <w:rPr>
            <w:rStyle w:val="Hyperlink"/>
            <w:noProof/>
            <w14:scene3d>
              <w14:camera w14:prst="orthographicFront"/>
              <w14:lightRig w14:rig="threePt" w14:dir="t">
                <w14:rot w14:lat="0" w14:lon="0" w14:rev="0"/>
              </w14:lightRig>
            </w14:scene3d>
          </w:rPr>
          <w:t>1.5</w:t>
        </w:r>
        <w:r w:rsidR="00C40619">
          <w:rPr>
            <w:rFonts w:asciiTheme="minorHAnsi" w:eastAsiaTheme="minorEastAsia" w:hAnsiTheme="minorHAnsi" w:cstheme="minorBidi"/>
            <w:b w:val="0"/>
            <w:bCs w:val="0"/>
            <w:noProof/>
            <w:szCs w:val="22"/>
            <w:lang w:val="es-CO" w:eastAsia="es-CO"/>
          </w:rPr>
          <w:tab/>
        </w:r>
        <w:r w:rsidR="00C40619" w:rsidRPr="002A6020">
          <w:rPr>
            <w:rStyle w:val="Hyperlink"/>
            <w:noProof/>
          </w:rPr>
          <w:t>The conceptual approach for this Assessment</w:t>
        </w:r>
        <w:r w:rsidR="00C40619">
          <w:rPr>
            <w:noProof/>
            <w:webHidden/>
          </w:rPr>
          <w:tab/>
        </w:r>
        <w:r w:rsidR="00C40619">
          <w:rPr>
            <w:noProof/>
            <w:webHidden/>
          </w:rPr>
          <w:fldChar w:fldCharType="begin"/>
        </w:r>
        <w:r w:rsidR="00C40619">
          <w:rPr>
            <w:noProof/>
            <w:webHidden/>
          </w:rPr>
          <w:instrText xml:space="preserve"> PAGEREF _Toc517796912 \h </w:instrText>
        </w:r>
        <w:r w:rsidR="00C40619">
          <w:rPr>
            <w:noProof/>
            <w:webHidden/>
          </w:rPr>
        </w:r>
        <w:r w:rsidR="00C40619">
          <w:rPr>
            <w:noProof/>
            <w:webHidden/>
          </w:rPr>
          <w:fldChar w:fldCharType="separate"/>
        </w:r>
        <w:r w:rsidR="00402074">
          <w:rPr>
            <w:noProof/>
            <w:webHidden/>
          </w:rPr>
          <w:t>27</w:t>
        </w:r>
        <w:r w:rsidR="00C40619">
          <w:rPr>
            <w:noProof/>
            <w:webHidden/>
          </w:rPr>
          <w:fldChar w:fldCharType="end"/>
        </w:r>
      </w:hyperlink>
    </w:p>
    <w:p w14:paraId="5BCC7283" w14:textId="782FD5AD"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13" w:history="1">
        <w:r w:rsidR="00C40619" w:rsidRPr="002A6020">
          <w:rPr>
            <w:rStyle w:val="Hyperlink"/>
            <w:noProof/>
            <w14:scene3d>
              <w14:camera w14:prst="orthographicFront"/>
              <w14:lightRig w14:rig="threePt" w14:dir="t">
                <w14:rot w14:lat="0" w14:lon="0" w14:rev="0"/>
              </w14:lightRig>
            </w14:scene3d>
          </w:rPr>
          <w:t>1.5.1</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The analytical Intergovernmental Platform on Biodiversity and Ecosystem Services Conceptual Framework</w:t>
        </w:r>
        <w:r w:rsidR="00C40619">
          <w:rPr>
            <w:noProof/>
            <w:webHidden/>
          </w:rPr>
          <w:tab/>
        </w:r>
        <w:r w:rsidR="00C40619">
          <w:rPr>
            <w:noProof/>
            <w:webHidden/>
          </w:rPr>
          <w:fldChar w:fldCharType="begin"/>
        </w:r>
        <w:r w:rsidR="00C40619">
          <w:rPr>
            <w:noProof/>
            <w:webHidden/>
          </w:rPr>
          <w:instrText xml:space="preserve"> PAGEREF _Toc517796913 \h </w:instrText>
        </w:r>
        <w:r w:rsidR="00C40619">
          <w:rPr>
            <w:noProof/>
            <w:webHidden/>
          </w:rPr>
        </w:r>
        <w:r w:rsidR="00C40619">
          <w:rPr>
            <w:noProof/>
            <w:webHidden/>
          </w:rPr>
          <w:fldChar w:fldCharType="separate"/>
        </w:r>
        <w:r w:rsidR="00402074">
          <w:rPr>
            <w:noProof/>
            <w:webHidden/>
          </w:rPr>
          <w:t>28</w:t>
        </w:r>
        <w:r w:rsidR="00C40619">
          <w:rPr>
            <w:noProof/>
            <w:webHidden/>
          </w:rPr>
          <w:fldChar w:fldCharType="end"/>
        </w:r>
      </w:hyperlink>
    </w:p>
    <w:p w14:paraId="4D51E8A6" w14:textId="67BE7FA0"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14" w:history="1">
        <w:r w:rsidR="00C40619" w:rsidRPr="002A6020">
          <w:rPr>
            <w:rStyle w:val="Hyperlink"/>
            <w:noProof/>
            <w14:scene3d>
              <w14:camera w14:prst="orthographicFront"/>
              <w14:lightRig w14:rig="threePt" w14:dir="t">
                <w14:rot w14:lat="0" w14:lon="0" w14:rev="0"/>
              </w14:lightRig>
            </w14:scene3d>
          </w:rPr>
          <w:t>1.5.2</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How this Regional Assessment deals with different knowledge systems</w:t>
        </w:r>
        <w:r w:rsidR="00C40619">
          <w:rPr>
            <w:noProof/>
            <w:webHidden/>
          </w:rPr>
          <w:tab/>
        </w:r>
        <w:r w:rsidR="00C40619">
          <w:rPr>
            <w:noProof/>
            <w:webHidden/>
          </w:rPr>
          <w:fldChar w:fldCharType="begin"/>
        </w:r>
        <w:r w:rsidR="00C40619">
          <w:rPr>
            <w:noProof/>
            <w:webHidden/>
          </w:rPr>
          <w:instrText xml:space="preserve"> PAGEREF _Toc517796914 \h </w:instrText>
        </w:r>
        <w:r w:rsidR="00C40619">
          <w:rPr>
            <w:noProof/>
            <w:webHidden/>
          </w:rPr>
        </w:r>
        <w:r w:rsidR="00C40619">
          <w:rPr>
            <w:noProof/>
            <w:webHidden/>
          </w:rPr>
          <w:fldChar w:fldCharType="separate"/>
        </w:r>
        <w:r w:rsidR="00402074">
          <w:rPr>
            <w:noProof/>
            <w:webHidden/>
          </w:rPr>
          <w:t>30</w:t>
        </w:r>
        <w:r w:rsidR="00C40619">
          <w:rPr>
            <w:noProof/>
            <w:webHidden/>
          </w:rPr>
          <w:fldChar w:fldCharType="end"/>
        </w:r>
      </w:hyperlink>
    </w:p>
    <w:p w14:paraId="5A571912" w14:textId="1CD5713D"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15" w:history="1">
        <w:r w:rsidR="00C40619" w:rsidRPr="002A6020">
          <w:rPr>
            <w:rStyle w:val="Hyperlink"/>
            <w:noProof/>
            <w14:scene3d>
              <w14:camera w14:prst="orthographicFront"/>
              <w14:lightRig w14:rig="threePt" w14:dir="t">
                <w14:rot w14:lat="0" w14:lon="0" w14:rev="0"/>
              </w14:lightRig>
            </w14:scene3d>
          </w:rPr>
          <w:t>1.5.3</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How this Regional Assessment deals with “value”</w:t>
        </w:r>
        <w:r w:rsidR="00C40619">
          <w:rPr>
            <w:noProof/>
            <w:webHidden/>
          </w:rPr>
          <w:tab/>
        </w:r>
        <w:r w:rsidR="00C40619">
          <w:rPr>
            <w:noProof/>
            <w:webHidden/>
          </w:rPr>
          <w:fldChar w:fldCharType="begin"/>
        </w:r>
        <w:r w:rsidR="00C40619">
          <w:rPr>
            <w:noProof/>
            <w:webHidden/>
          </w:rPr>
          <w:instrText xml:space="preserve"> PAGEREF _Toc517796915 \h </w:instrText>
        </w:r>
        <w:r w:rsidR="00C40619">
          <w:rPr>
            <w:noProof/>
            <w:webHidden/>
          </w:rPr>
        </w:r>
        <w:r w:rsidR="00C40619">
          <w:rPr>
            <w:noProof/>
            <w:webHidden/>
          </w:rPr>
          <w:fldChar w:fldCharType="separate"/>
        </w:r>
        <w:r w:rsidR="00402074">
          <w:rPr>
            <w:noProof/>
            <w:webHidden/>
          </w:rPr>
          <w:t>31</w:t>
        </w:r>
        <w:r w:rsidR="00C40619">
          <w:rPr>
            <w:noProof/>
            <w:webHidden/>
          </w:rPr>
          <w:fldChar w:fldCharType="end"/>
        </w:r>
      </w:hyperlink>
    </w:p>
    <w:p w14:paraId="5A69AF8A" w14:textId="76B9BA9F"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16" w:history="1">
        <w:r w:rsidR="00C40619" w:rsidRPr="002A6020">
          <w:rPr>
            <w:rStyle w:val="Hyperlink"/>
            <w:noProof/>
            <w14:scene3d>
              <w14:camera w14:prst="orthographicFront"/>
              <w14:lightRig w14:rig="threePt" w14:dir="t">
                <w14:rot w14:lat="0" w14:lon="0" w14:rev="0"/>
              </w14:lightRig>
            </w14:scene3d>
          </w:rPr>
          <w:t>1.5.4</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How can models and scenarios serve as tools for decision-making?</w:t>
        </w:r>
        <w:r w:rsidR="00C40619">
          <w:rPr>
            <w:noProof/>
            <w:webHidden/>
          </w:rPr>
          <w:tab/>
        </w:r>
        <w:r w:rsidR="00C40619">
          <w:rPr>
            <w:noProof/>
            <w:webHidden/>
          </w:rPr>
          <w:fldChar w:fldCharType="begin"/>
        </w:r>
        <w:r w:rsidR="00C40619">
          <w:rPr>
            <w:noProof/>
            <w:webHidden/>
          </w:rPr>
          <w:instrText xml:space="preserve"> PAGEREF _Toc517796916 \h </w:instrText>
        </w:r>
        <w:r w:rsidR="00C40619">
          <w:rPr>
            <w:noProof/>
            <w:webHidden/>
          </w:rPr>
        </w:r>
        <w:r w:rsidR="00C40619">
          <w:rPr>
            <w:noProof/>
            <w:webHidden/>
          </w:rPr>
          <w:fldChar w:fldCharType="separate"/>
        </w:r>
        <w:r w:rsidR="00402074">
          <w:rPr>
            <w:noProof/>
            <w:webHidden/>
          </w:rPr>
          <w:t>31</w:t>
        </w:r>
        <w:r w:rsidR="00C40619">
          <w:rPr>
            <w:noProof/>
            <w:webHidden/>
          </w:rPr>
          <w:fldChar w:fldCharType="end"/>
        </w:r>
      </w:hyperlink>
    </w:p>
    <w:p w14:paraId="23801F78" w14:textId="0475B0B8"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17" w:history="1">
        <w:r w:rsidR="00C40619" w:rsidRPr="002A6020">
          <w:rPr>
            <w:rStyle w:val="Hyperlink"/>
            <w:noProof/>
            <w14:scene3d>
              <w14:camera w14:prst="orthographicFront"/>
              <w14:lightRig w14:rig="threePt" w14:dir="t">
                <w14:rot w14:lat="0" w14:lon="0" w14:rev="0"/>
              </w14:lightRig>
            </w14:scene3d>
          </w:rPr>
          <w:t>1.5.5</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Impact of policies on nature’s contribution to people</w:t>
        </w:r>
        <w:r w:rsidR="00C40619">
          <w:rPr>
            <w:noProof/>
            <w:webHidden/>
          </w:rPr>
          <w:tab/>
        </w:r>
        <w:r w:rsidR="00C40619">
          <w:rPr>
            <w:noProof/>
            <w:webHidden/>
          </w:rPr>
          <w:fldChar w:fldCharType="begin"/>
        </w:r>
        <w:r w:rsidR="00C40619">
          <w:rPr>
            <w:noProof/>
            <w:webHidden/>
          </w:rPr>
          <w:instrText xml:space="preserve"> PAGEREF _Toc517796917 \h </w:instrText>
        </w:r>
        <w:r w:rsidR="00C40619">
          <w:rPr>
            <w:noProof/>
            <w:webHidden/>
          </w:rPr>
        </w:r>
        <w:r w:rsidR="00C40619">
          <w:rPr>
            <w:noProof/>
            <w:webHidden/>
          </w:rPr>
          <w:fldChar w:fldCharType="separate"/>
        </w:r>
        <w:r w:rsidR="00402074">
          <w:rPr>
            <w:noProof/>
            <w:webHidden/>
          </w:rPr>
          <w:t>33</w:t>
        </w:r>
        <w:r w:rsidR="00C40619">
          <w:rPr>
            <w:noProof/>
            <w:webHidden/>
          </w:rPr>
          <w:fldChar w:fldCharType="end"/>
        </w:r>
      </w:hyperlink>
    </w:p>
    <w:p w14:paraId="05440C60" w14:textId="210DF2AC" w:rsidR="00C40619" w:rsidRDefault="00E84199">
      <w:pPr>
        <w:pStyle w:val="TOC2"/>
        <w:rPr>
          <w:rFonts w:asciiTheme="minorHAnsi" w:eastAsiaTheme="minorEastAsia" w:hAnsiTheme="minorHAnsi" w:cstheme="minorBidi"/>
          <w:b w:val="0"/>
          <w:bCs w:val="0"/>
          <w:noProof/>
          <w:szCs w:val="22"/>
          <w:lang w:val="es-CO" w:eastAsia="es-CO"/>
        </w:rPr>
      </w:pPr>
      <w:hyperlink w:anchor="_Toc517796918" w:history="1">
        <w:r w:rsidR="00C40619" w:rsidRPr="002A6020">
          <w:rPr>
            <w:rStyle w:val="Hyperlink"/>
            <w:noProof/>
            <w14:scene3d>
              <w14:camera w14:prst="orthographicFront"/>
              <w14:lightRig w14:rig="threePt" w14:dir="t">
                <w14:rot w14:lat="0" w14:lon="0" w14:rev="0"/>
              </w14:lightRig>
            </w14:scene3d>
          </w:rPr>
          <w:t>1.6</w:t>
        </w:r>
        <w:r w:rsidR="00C40619">
          <w:rPr>
            <w:rFonts w:asciiTheme="minorHAnsi" w:eastAsiaTheme="minorEastAsia" w:hAnsiTheme="minorHAnsi" w:cstheme="minorBidi"/>
            <w:b w:val="0"/>
            <w:bCs w:val="0"/>
            <w:noProof/>
            <w:szCs w:val="22"/>
            <w:lang w:val="es-CO" w:eastAsia="es-CO"/>
          </w:rPr>
          <w:tab/>
        </w:r>
        <w:r w:rsidR="00C40619" w:rsidRPr="002A6020">
          <w:rPr>
            <w:rStyle w:val="Hyperlink"/>
            <w:noProof/>
          </w:rPr>
          <w:t>Nature and economies of the Americas</w:t>
        </w:r>
        <w:r w:rsidR="00C40619">
          <w:rPr>
            <w:noProof/>
            <w:webHidden/>
          </w:rPr>
          <w:tab/>
        </w:r>
        <w:r w:rsidR="00C40619">
          <w:rPr>
            <w:noProof/>
            <w:webHidden/>
          </w:rPr>
          <w:fldChar w:fldCharType="begin"/>
        </w:r>
        <w:r w:rsidR="00C40619">
          <w:rPr>
            <w:noProof/>
            <w:webHidden/>
          </w:rPr>
          <w:instrText xml:space="preserve"> PAGEREF _Toc517796918 \h </w:instrText>
        </w:r>
        <w:r w:rsidR="00C40619">
          <w:rPr>
            <w:noProof/>
            <w:webHidden/>
          </w:rPr>
        </w:r>
        <w:r w:rsidR="00C40619">
          <w:rPr>
            <w:noProof/>
            <w:webHidden/>
          </w:rPr>
          <w:fldChar w:fldCharType="separate"/>
        </w:r>
        <w:r w:rsidR="00402074">
          <w:rPr>
            <w:noProof/>
            <w:webHidden/>
          </w:rPr>
          <w:t>34</w:t>
        </w:r>
        <w:r w:rsidR="00C40619">
          <w:rPr>
            <w:noProof/>
            <w:webHidden/>
          </w:rPr>
          <w:fldChar w:fldCharType="end"/>
        </w:r>
      </w:hyperlink>
    </w:p>
    <w:p w14:paraId="1E9B60D2" w14:textId="786B8C96"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19" w:history="1">
        <w:r w:rsidR="00C40619" w:rsidRPr="002A6020">
          <w:rPr>
            <w:rStyle w:val="Hyperlink"/>
            <w:noProof/>
            <w14:scene3d>
              <w14:camera w14:prst="orthographicFront"/>
              <w14:lightRig w14:rig="threePt" w14:dir="t">
                <w14:rot w14:lat="0" w14:lon="0" w14:rev="0"/>
              </w14:lightRig>
            </w14:scene3d>
          </w:rPr>
          <w:t>1.6.1</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Biophysical aspects</w:t>
        </w:r>
        <w:r w:rsidR="00C40619">
          <w:rPr>
            <w:noProof/>
            <w:webHidden/>
          </w:rPr>
          <w:tab/>
        </w:r>
        <w:r w:rsidR="00C40619">
          <w:rPr>
            <w:noProof/>
            <w:webHidden/>
          </w:rPr>
          <w:fldChar w:fldCharType="begin"/>
        </w:r>
        <w:r w:rsidR="00C40619">
          <w:rPr>
            <w:noProof/>
            <w:webHidden/>
          </w:rPr>
          <w:instrText xml:space="preserve"> PAGEREF _Toc517796919 \h </w:instrText>
        </w:r>
        <w:r w:rsidR="00C40619">
          <w:rPr>
            <w:noProof/>
            <w:webHidden/>
          </w:rPr>
        </w:r>
        <w:r w:rsidR="00C40619">
          <w:rPr>
            <w:noProof/>
            <w:webHidden/>
          </w:rPr>
          <w:fldChar w:fldCharType="separate"/>
        </w:r>
        <w:r w:rsidR="00402074">
          <w:rPr>
            <w:noProof/>
            <w:webHidden/>
          </w:rPr>
          <w:t>34</w:t>
        </w:r>
        <w:r w:rsidR="00C40619">
          <w:rPr>
            <w:noProof/>
            <w:webHidden/>
          </w:rPr>
          <w:fldChar w:fldCharType="end"/>
        </w:r>
      </w:hyperlink>
    </w:p>
    <w:p w14:paraId="49DE16A1" w14:textId="04406488" w:rsidR="00C40619" w:rsidRDefault="00E84199">
      <w:pPr>
        <w:pStyle w:val="TOC4"/>
        <w:tabs>
          <w:tab w:val="right" w:leader="dot" w:pos="9487"/>
        </w:tabs>
        <w:rPr>
          <w:rFonts w:asciiTheme="minorHAnsi" w:eastAsiaTheme="minorEastAsia" w:hAnsiTheme="minorHAnsi" w:cstheme="minorBidi"/>
          <w:noProof/>
          <w:szCs w:val="22"/>
          <w:lang w:val="es-CO" w:eastAsia="es-CO"/>
        </w:rPr>
      </w:pPr>
      <w:hyperlink w:anchor="_Toc517796920" w:history="1">
        <w:r w:rsidR="00C40619" w:rsidRPr="002A6020">
          <w:rPr>
            <w:rStyle w:val="Hyperlink"/>
            <w:noProof/>
          </w:rPr>
          <w:t>The Intergovernmental Platform on Biodiversity and Ecosystem Services unit of analysis and subregions of the Americas</w:t>
        </w:r>
        <w:r w:rsidR="00C40619">
          <w:rPr>
            <w:noProof/>
            <w:webHidden/>
          </w:rPr>
          <w:tab/>
        </w:r>
        <w:r w:rsidR="00C40619">
          <w:rPr>
            <w:noProof/>
            <w:webHidden/>
          </w:rPr>
          <w:fldChar w:fldCharType="begin"/>
        </w:r>
        <w:r w:rsidR="00C40619">
          <w:rPr>
            <w:noProof/>
            <w:webHidden/>
          </w:rPr>
          <w:instrText xml:space="preserve"> PAGEREF _Toc517796920 \h </w:instrText>
        </w:r>
        <w:r w:rsidR="00C40619">
          <w:rPr>
            <w:noProof/>
            <w:webHidden/>
          </w:rPr>
        </w:r>
        <w:r w:rsidR="00C40619">
          <w:rPr>
            <w:noProof/>
            <w:webHidden/>
          </w:rPr>
          <w:fldChar w:fldCharType="separate"/>
        </w:r>
        <w:r w:rsidR="00402074">
          <w:rPr>
            <w:noProof/>
            <w:webHidden/>
          </w:rPr>
          <w:t>34</w:t>
        </w:r>
        <w:r w:rsidR="00C40619">
          <w:rPr>
            <w:noProof/>
            <w:webHidden/>
          </w:rPr>
          <w:fldChar w:fldCharType="end"/>
        </w:r>
      </w:hyperlink>
    </w:p>
    <w:p w14:paraId="6816FD1F" w14:textId="2DDEED69" w:rsidR="00C40619" w:rsidRDefault="00E84199">
      <w:pPr>
        <w:pStyle w:val="TOC4"/>
        <w:tabs>
          <w:tab w:val="right" w:leader="dot" w:pos="9487"/>
        </w:tabs>
        <w:rPr>
          <w:rFonts w:asciiTheme="minorHAnsi" w:eastAsiaTheme="minorEastAsia" w:hAnsiTheme="minorHAnsi" w:cstheme="minorBidi"/>
          <w:noProof/>
          <w:szCs w:val="22"/>
          <w:lang w:val="es-CO" w:eastAsia="es-CO"/>
        </w:rPr>
      </w:pPr>
      <w:hyperlink w:anchor="_Toc517796921" w:history="1">
        <w:r w:rsidR="00C40619" w:rsidRPr="002A6020">
          <w:rPr>
            <w:rStyle w:val="Hyperlink"/>
            <w:noProof/>
          </w:rPr>
          <w:t>North America</w:t>
        </w:r>
        <w:r w:rsidR="00C40619">
          <w:rPr>
            <w:noProof/>
            <w:webHidden/>
          </w:rPr>
          <w:tab/>
        </w:r>
        <w:r w:rsidR="00C40619">
          <w:rPr>
            <w:noProof/>
            <w:webHidden/>
          </w:rPr>
          <w:fldChar w:fldCharType="begin"/>
        </w:r>
        <w:r w:rsidR="00C40619">
          <w:rPr>
            <w:noProof/>
            <w:webHidden/>
          </w:rPr>
          <w:instrText xml:space="preserve"> PAGEREF _Toc517796921 \h </w:instrText>
        </w:r>
        <w:r w:rsidR="00C40619">
          <w:rPr>
            <w:noProof/>
            <w:webHidden/>
          </w:rPr>
        </w:r>
        <w:r w:rsidR="00C40619">
          <w:rPr>
            <w:noProof/>
            <w:webHidden/>
          </w:rPr>
          <w:fldChar w:fldCharType="separate"/>
        </w:r>
        <w:r w:rsidR="00402074">
          <w:rPr>
            <w:noProof/>
            <w:webHidden/>
          </w:rPr>
          <w:t>36</w:t>
        </w:r>
        <w:r w:rsidR="00C40619">
          <w:rPr>
            <w:noProof/>
            <w:webHidden/>
          </w:rPr>
          <w:fldChar w:fldCharType="end"/>
        </w:r>
      </w:hyperlink>
    </w:p>
    <w:p w14:paraId="54F977E9" w14:textId="5E0D58D8" w:rsidR="00C40619" w:rsidRDefault="00E84199">
      <w:pPr>
        <w:pStyle w:val="TOC4"/>
        <w:tabs>
          <w:tab w:val="right" w:leader="dot" w:pos="9487"/>
        </w:tabs>
        <w:rPr>
          <w:rFonts w:asciiTheme="minorHAnsi" w:eastAsiaTheme="minorEastAsia" w:hAnsiTheme="minorHAnsi" w:cstheme="minorBidi"/>
          <w:noProof/>
          <w:szCs w:val="22"/>
          <w:lang w:val="es-CO" w:eastAsia="es-CO"/>
        </w:rPr>
      </w:pPr>
      <w:hyperlink w:anchor="_Toc517796922" w:history="1">
        <w:r w:rsidR="00C40619" w:rsidRPr="002A6020">
          <w:rPr>
            <w:rStyle w:val="Hyperlink"/>
            <w:noProof/>
          </w:rPr>
          <w:t>Mesoamerica</w:t>
        </w:r>
        <w:r w:rsidR="00C40619">
          <w:rPr>
            <w:noProof/>
            <w:webHidden/>
          </w:rPr>
          <w:tab/>
        </w:r>
        <w:r w:rsidR="00C40619">
          <w:rPr>
            <w:noProof/>
            <w:webHidden/>
          </w:rPr>
          <w:fldChar w:fldCharType="begin"/>
        </w:r>
        <w:r w:rsidR="00C40619">
          <w:rPr>
            <w:noProof/>
            <w:webHidden/>
          </w:rPr>
          <w:instrText xml:space="preserve"> PAGEREF _Toc517796922 \h </w:instrText>
        </w:r>
        <w:r w:rsidR="00C40619">
          <w:rPr>
            <w:noProof/>
            <w:webHidden/>
          </w:rPr>
        </w:r>
        <w:r w:rsidR="00C40619">
          <w:rPr>
            <w:noProof/>
            <w:webHidden/>
          </w:rPr>
          <w:fldChar w:fldCharType="separate"/>
        </w:r>
        <w:r w:rsidR="00402074">
          <w:rPr>
            <w:noProof/>
            <w:webHidden/>
          </w:rPr>
          <w:t>37</w:t>
        </w:r>
        <w:r w:rsidR="00C40619">
          <w:rPr>
            <w:noProof/>
            <w:webHidden/>
          </w:rPr>
          <w:fldChar w:fldCharType="end"/>
        </w:r>
      </w:hyperlink>
    </w:p>
    <w:p w14:paraId="017A03D5" w14:textId="65CA717E" w:rsidR="00C40619" w:rsidRDefault="00E84199">
      <w:pPr>
        <w:pStyle w:val="TOC4"/>
        <w:tabs>
          <w:tab w:val="right" w:leader="dot" w:pos="9487"/>
        </w:tabs>
        <w:rPr>
          <w:rFonts w:asciiTheme="minorHAnsi" w:eastAsiaTheme="minorEastAsia" w:hAnsiTheme="minorHAnsi" w:cstheme="minorBidi"/>
          <w:noProof/>
          <w:szCs w:val="22"/>
          <w:lang w:val="es-CO" w:eastAsia="es-CO"/>
        </w:rPr>
      </w:pPr>
      <w:hyperlink w:anchor="_Toc517796923" w:history="1">
        <w:r w:rsidR="00C40619" w:rsidRPr="002A6020">
          <w:rPr>
            <w:rStyle w:val="Hyperlink"/>
            <w:noProof/>
          </w:rPr>
          <w:t>Caribbean</w:t>
        </w:r>
        <w:r w:rsidR="00C40619">
          <w:rPr>
            <w:noProof/>
            <w:webHidden/>
          </w:rPr>
          <w:tab/>
        </w:r>
        <w:r w:rsidR="00C40619">
          <w:rPr>
            <w:noProof/>
            <w:webHidden/>
          </w:rPr>
          <w:fldChar w:fldCharType="begin"/>
        </w:r>
        <w:r w:rsidR="00C40619">
          <w:rPr>
            <w:noProof/>
            <w:webHidden/>
          </w:rPr>
          <w:instrText xml:space="preserve"> PAGEREF _Toc517796923 \h </w:instrText>
        </w:r>
        <w:r w:rsidR="00C40619">
          <w:rPr>
            <w:noProof/>
            <w:webHidden/>
          </w:rPr>
        </w:r>
        <w:r w:rsidR="00C40619">
          <w:rPr>
            <w:noProof/>
            <w:webHidden/>
          </w:rPr>
          <w:fldChar w:fldCharType="separate"/>
        </w:r>
        <w:r w:rsidR="00402074">
          <w:rPr>
            <w:noProof/>
            <w:webHidden/>
          </w:rPr>
          <w:t>37</w:t>
        </w:r>
        <w:r w:rsidR="00C40619">
          <w:rPr>
            <w:noProof/>
            <w:webHidden/>
          </w:rPr>
          <w:fldChar w:fldCharType="end"/>
        </w:r>
      </w:hyperlink>
    </w:p>
    <w:p w14:paraId="40F1C238" w14:textId="1F9D7B34" w:rsidR="00C40619" w:rsidRDefault="00E84199">
      <w:pPr>
        <w:pStyle w:val="TOC4"/>
        <w:tabs>
          <w:tab w:val="right" w:leader="dot" w:pos="9487"/>
        </w:tabs>
        <w:rPr>
          <w:rFonts w:asciiTheme="minorHAnsi" w:eastAsiaTheme="minorEastAsia" w:hAnsiTheme="minorHAnsi" w:cstheme="minorBidi"/>
          <w:noProof/>
          <w:szCs w:val="22"/>
          <w:lang w:val="es-CO" w:eastAsia="es-CO"/>
        </w:rPr>
      </w:pPr>
      <w:hyperlink w:anchor="_Toc517796924" w:history="1">
        <w:r w:rsidR="00C40619" w:rsidRPr="002A6020">
          <w:rPr>
            <w:rStyle w:val="Hyperlink"/>
            <w:noProof/>
          </w:rPr>
          <w:t>South America</w:t>
        </w:r>
        <w:r w:rsidR="00C40619">
          <w:rPr>
            <w:noProof/>
            <w:webHidden/>
          </w:rPr>
          <w:tab/>
        </w:r>
        <w:r w:rsidR="00C40619">
          <w:rPr>
            <w:noProof/>
            <w:webHidden/>
          </w:rPr>
          <w:fldChar w:fldCharType="begin"/>
        </w:r>
        <w:r w:rsidR="00C40619">
          <w:rPr>
            <w:noProof/>
            <w:webHidden/>
          </w:rPr>
          <w:instrText xml:space="preserve"> PAGEREF _Toc517796924 \h </w:instrText>
        </w:r>
        <w:r w:rsidR="00C40619">
          <w:rPr>
            <w:noProof/>
            <w:webHidden/>
          </w:rPr>
        </w:r>
        <w:r w:rsidR="00C40619">
          <w:rPr>
            <w:noProof/>
            <w:webHidden/>
          </w:rPr>
          <w:fldChar w:fldCharType="separate"/>
        </w:r>
        <w:r w:rsidR="00402074">
          <w:rPr>
            <w:noProof/>
            <w:webHidden/>
          </w:rPr>
          <w:t>38</w:t>
        </w:r>
        <w:r w:rsidR="00C40619">
          <w:rPr>
            <w:noProof/>
            <w:webHidden/>
          </w:rPr>
          <w:fldChar w:fldCharType="end"/>
        </w:r>
      </w:hyperlink>
    </w:p>
    <w:p w14:paraId="15B4AEE5" w14:textId="1E3C607A" w:rsidR="00C40619" w:rsidRDefault="00E84199">
      <w:pPr>
        <w:pStyle w:val="TOC4"/>
        <w:tabs>
          <w:tab w:val="right" w:leader="dot" w:pos="9487"/>
        </w:tabs>
        <w:rPr>
          <w:rFonts w:asciiTheme="minorHAnsi" w:eastAsiaTheme="minorEastAsia" w:hAnsiTheme="minorHAnsi" w:cstheme="minorBidi"/>
          <w:noProof/>
          <w:szCs w:val="22"/>
          <w:lang w:val="es-CO" w:eastAsia="es-CO"/>
        </w:rPr>
      </w:pPr>
      <w:hyperlink w:anchor="_Toc517796925" w:history="1">
        <w:r w:rsidR="00C40619" w:rsidRPr="002A6020">
          <w:rPr>
            <w:rStyle w:val="Hyperlink"/>
            <w:noProof/>
          </w:rPr>
          <w:t>Historical note and biomes transformation in the Americas</w:t>
        </w:r>
        <w:r w:rsidR="00C40619">
          <w:rPr>
            <w:noProof/>
            <w:webHidden/>
          </w:rPr>
          <w:tab/>
        </w:r>
        <w:r w:rsidR="00C40619">
          <w:rPr>
            <w:noProof/>
            <w:webHidden/>
          </w:rPr>
          <w:fldChar w:fldCharType="begin"/>
        </w:r>
        <w:r w:rsidR="00C40619">
          <w:rPr>
            <w:noProof/>
            <w:webHidden/>
          </w:rPr>
          <w:instrText xml:space="preserve"> PAGEREF _Toc517796925 \h </w:instrText>
        </w:r>
        <w:r w:rsidR="00C40619">
          <w:rPr>
            <w:noProof/>
            <w:webHidden/>
          </w:rPr>
        </w:r>
        <w:r w:rsidR="00C40619">
          <w:rPr>
            <w:noProof/>
            <w:webHidden/>
          </w:rPr>
          <w:fldChar w:fldCharType="separate"/>
        </w:r>
        <w:r w:rsidR="00402074">
          <w:rPr>
            <w:noProof/>
            <w:webHidden/>
          </w:rPr>
          <w:t>38</w:t>
        </w:r>
        <w:r w:rsidR="00C40619">
          <w:rPr>
            <w:noProof/>
            <w:webHidden/>
          </w:rPr>
          <w:fldChar w:fldCharType="end"/>
        </w:r>
      </w:hyperlink>
    </w:p>
    <w:p w14:paraId="4FA6503F" w14:textId="142C41ED"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26" w:history="1">
        <w:r w:rsidR="00C40619" w:rsidRPr="002A6020">
          <w:rPr>
            <w:rStyle w:val="Hyperlink"/>
            <w:noProof/>
            <w14:scene3d>
              <w14:camera w14:prst="orthographicFront"/>
              <w14:lightRig w14:rig="threePt" w14:dir="t">
                <w14:rot w14:lat="0" w14:lon="0" w14:rev="0"/>
              </w14:lightRig>
            </w14:scene3d>
          </w:rPr>
          <w:t>1.6.2</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Cultural aspects: Presence of indigenous groups, population, and land holdings</w:t>
        </w:r>
        <w:r w:rsidR="00C40619">
          <w:rPr>
            <w:noProof/>
            <w:webHidden/>
          </w:rPr>
          <w:tab/>
        </w:r>
        <w:r w:rsidR="00C40619">
          <w:rPr>
            <w:noProof/>
            <w:webHidden/>
          </w:rPr>
          <w:fldChar w:fldCharType="begin"/>
        </w:r>
        <w:r w:rsidR="00C40619">
          <w:rPr>
            <w:noProof/>
            <w:webHidden/>
          </w:rPr>
          <w:instrText xml:space="preserve"> PAGEREF _Toc517796926 \h </w:instrText>
        </w:r>
        <w:r w:rsidR="00C40619">
          <w:rPr>
            <w:noProof/>
            <w:webHidden/>
          </w:rPr>
        </w:r>
        <w:r w:rsidR="00C40619">
          <w:rPr>
            <w:noProof/>
            <w:webHidden/>
          </w:rPr>
          <w:fldChar w:fldCharType="separate"/>
        </w:r>
        <w:r w:rsidR="00402074">
          <w:rPr>
            <w:noProof/>
            <w:webHidden/>
          </w:rPr>
          <w:t>39</w:t>
        </w:r>
        <w:r w:rsidR="00C40619">
          <w:rPr>
            <w:noProof/>
            <w:webHidden/>
          </w:rPr>
          <w:fldChar w:fldCharType="end"/>
        </w:r>
      </w:hyperlink>
    </w:p>
    <w:p w14:paraId="3A615E8C" w14:textId="5D66D31E"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27" w:history="1">
        <w:r w:rsidR="00C40619" w:rsidRPr="002A6020">
          <w:rPr>
            <w:rStyle w:val="Hyperlink"/>
            <w:noProof/>
            <w14:scene3d>
              <w14:camera w14:prst="orthographicFront"/>
              <w14:lightRig w14:rig="threePt" w14:dir="t">
                <w14:rot w14:lat="0" w14:lon="0" w14:rev="0"/>
              </w14:lightRig>
            </w14:scene3d>
          </w:rPr>
          <w:t>1.6.3</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Socio-economic features</w:t>
        </w:r>
        <w:r w:rsidR="00C40619">
          <w:rPr>
            <w:noProof/>
            <w:webHidden/>
          </w:rPr>
          <w:tab/>
        </w:r>
        <w:r w:rsidR="00C40619">
          <w:rPr>
            <w:noProof/>
            <w:webHidden/>
          </w:rPr>
          <w:fldChar w:fldCharType="begin"/>
        </w:r>
        <w:r w:rsidR="00C40619">
          <w:rPr>
            <w:noProof/>
            <w:webHidden/>
          </w:rPr>
          <w:instrText xml:space="preserve"> PAGEREF _Toc517796927 \h </w:instrText>
        </w:r>
        <w:r w:rsidR="00C40619">
          <w:rPr>
            <w:noProof/>
            <w:webHidden/>
          </w:rPr>
        </w:r>
        <w:r w:rsidR="00C40619">
          <w:rPr>
            <w:noProof/>
            <w:webHidden/>
          </w:rPr>
          <w:fldChar w:fldCharType="separate"/>
        </w:r>
        <w:r w:rsidR="00402074">
          <w:rPr>
            <w:noProof/>
            <w:webHidden/>
          </w:rPr>
          <w:t>43</w:t>
        </w:r>
        <w:r w:rsidR="00C40619">
          <w:rPr>
            <w:noProof/>
            <w:webHidden/>
          </w:rPr>
          <w:fldChar w:fldCharType="end"/>
        </w:r>
      </w:hyperlink>
    </w:p>
    <w:p w14:paraId="4474FCA6" w14:textId="5098C9C2"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28" w:history="1">
        <w:r w:rsidR="00C40619" w:rsidRPr="002A6020">
          <w:rPr>
            <w:rStyle w:val="Hyperlink"/>
            <w:noProof/>
            <w14:scene3d>
              <w14:camera w14:prst="orthographicFront"/>
              <w14:lightRig w14:rig="threePt" w14:dir="t">
                <w14:rot w14:lat="0" w14:lon="0" w14:rev="0"/>
              </w14:lightRig>
            </w14:scene3d>
          </w:rPr>
          <w:t>1.6.4</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Governance in the Americas</w:t>
        </w:r>
        <w:r w:rsidR="00C40619">
          <w:rPr>
            <w:noProof/>
            <w:webHidden/>
          </w:rPr>
          <w:tab/>
        </w:r>
        <w:r w:rsidR="00C40619">
          <w:rPr>
            <w:noProof/>
            <w:webHidden/>
          </w:rPr>
          <w:fldChar w:fldCharType="begin"/>
        </w:r>
        <w:r w:rsidR="00C40619">
          <w:rPr>
            <w:noProof/>
            <w:webHidden/>
          </w:rPr>
          <w:instrText xml:space="preserve"> PAGEREF _Toc517796928 \h </w:instrText>
        </w:r>
        <w:r w:rsidR="00C40619">
          <w:rPr>
            <w:noProof/>
            <w:webHidden/>
          </w:rPr>
        </w:r>
        <w:r w:rsidR="00C40619">
          <w:rPr>
            <w:noProof/>
            <w:webHidden/>
          </w:rPr>
          <w:fldChar w:fldCharType="separate"/>
        </w:r>
        <w:r w:rsidR="00402074">
          <w:rPr>
            <w:noProof/>
            <w:webHidden/>
          </w:rPr>
          <w:t>45</w:t>
        </w:r>
        <w:r w:rsidR="00C40619">
          <w:rPr>
            <w:noProof/>
            <w:webHidden/>
          </w:rPr>
          <w:fldChar w:fldCharType="end"/>
        </w:r>
      </w:hyperlink>
    </w:p>
    <w:p w14:paraId="570D3356" w14:textId="77943658" w:rsidR="00C40619" w:rsidRDefault="00E84199">
      <w:pPr>
        <w:pStyle w:val="TOC2"/>
        <w:rPr>
          <w:rFonts w:asciiTheme="minorHAnsi" w:eastAsiaTheme="minorEastAsia" w:hAnsiTheme="minorHAnsi" w:cstheme="minorBidi"/>
          <w:b w:val="0"/>
          <w:bCs w:val="0"/>
          <w:noProof/>
          <w:szCs w:val="22"/>
          <w:lang w:val="es-CO" w:eastAsia="es-CO"/>
        </w:rPr>
      </w:pPr>
      <w:hyperlink w:anchor="_Toc517796929" w:history="1">
        <w:r w:rsidR="00C40619" w:rsidRPr="002A6020">
          <w:rPr>
            <w:rStyle w:val="Hyperlink"/>
            <w:noProof/>
            <w14:scene3d>
              <w14:camera w14:prst="orthographicFront"/>
              <w14:lightRig w14:rig="threePt" w14:dir="t">
                <w14:rot w14:lat="0" w14:lon="0" w14:rev="0"/>
              </w14:lightRig>
            </w14:scene3d>
          </w:rPr>
          <w:t>1.7</w:t>
        </w:r>
        <w:r w:rsidR="00C40619">
          <w:rPr>
            <w:rFonts w:asciiTheme="minorHAnsi" w:eastAsiaTheme="minorEastAsia" w:hAnsiTheme="minorHAnsi" w:cstheme="minorBidi"/>
            <w:b w:val="0"/>
            <w:bCs w:val="0"/>
            <w:noProof/>
            <w:szCs w:val="22"/>
            <w:lang w:val="es-CO" w:eastAsia="es-CO"/>
          </w:rPr>
          <w:tab/>
        </w:r>
        <w:r w:rsidR="00C40619" w:rsidRPr="002A6020">
          <w:rPr>
            <w:rStyle w:val="Hyperlink"/>
            <w:noProof/>
          </w:rPr>
          <w:t>Technical details: Methods and approaches in the Assessment</w:t>
        </w:r>
        <w:r w:rsidR="00C40619">
          <w:rPr>
            <w:noProof/>
            <w:webHidden/>
          </w:rPr>
          <w:tab/>
        </w:r>
        <w:r w:rsidR="00C40619">
          <w:rPr>
            <w:noProof/>
            <w:webHidden/>
          </w:rPr>
          <w:fldChar w:fldCharType="begin"/>
        </w:r>
        <w:r w:rsidR="00C40619">
          <w:rPr>
            <w:noProof/>
            <w:webHidden/>
          </w:rPr>
          <w:instrText xml:space="preserve"> PAGEREF _Toc517796929 \h </w:instrText>
        </w:r>
        <w:r w:rsidR="00C40619">
          <w:rPr>
            <w:noProof/>
            <w:webHidden/>
          </w:rPr>
        </w:r>
        <w:r w:rsidR="00C40619">
          <w:rPr>
            <w:noProof/>
            <w:webHidden/>
          </w:rPr>
          <w:fldChar w:fldCharType="separate"/>
        </w:r>
        <w:r w:rsidR="00402074">
          <w:rPr>
            <w:noProof/>
            <w:webHidden/>
          </w:rPr>
          <w:t>47</w:t>
        </w:r>
        <w:r w:rsidR="00C40619">
          <w:rPr>
            <w:noProof/>
            <w:webHidden/>
          </w:rPr>
          <w:fldChar w:fldCharType="end"/>
        </w:r>
      </w:hyperlink>
    </w:p>
    <w:p w14:paraId="30774B93" w14:textId="6BE58767"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30" w:history="1">
        <w:r w:rsidR="00C40619" w:rsidRPr="002A6020">
          <w:rPr>
            <w:rStyle w:val="Hyperlink"/>
            <w:noProof/>
            <w14:scene3d>
              <w14:camera w14:prst="orthographicFront"/>
              <w14:lightRig w14:rig="threePt" w14:dir="t">
                <w14:rot w14:lat="0" w14:lon="0" w14:rev="0"/>
              </w14:lightRig>
            </w14:scene3d>
          </w:rPr>
          <w:t>1.7.1</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How this Regional Assessment deals with incomplete or absent information</w:t>
        </w:r>
        <w:r w:rsidR="00C40619">
          <w:rPr>
            <w:noProof/>
            <w:webHidden/>
          </w:rPr>
          <w:tab/>
        </w:r>
        <w:r w:rsidR="00C40619">
          <w:rPr>
            <w:noProof/>
            <w:webHidden/>
          </w:rPr>
          <w:fldChar w:fldCharType="begin"/>
        </w:r>
        <w:r w:rsidR="00C40619">
          <w:rPr>
            <w:noProof/>
            <w:webHidden/>
          </w:rPr>
          <w:instrText xml:space="preserve"> PAGEREF _Toc517796930 \h </w:instrText>
        </w:r>
        <w:r w:rsidR="00C40619">
          <w:rPr>
            <w:noProof/>
            <w:webHidden/>
          </w:rPr>
        </w:r>
        <w:r w:rsidR="00C40619">
          <w:rPr>
            <w:noProof/>
            <w:webHidden/>
          </w:rPr>
          <w:fldChar w:fldCharType="separate"/>
        </w:r>
        <w:r w:rsidR="00402074">
          <w:rPr>
            <w:noProof/>
            <w:webHidden/>
          </w:rPr>
          <w:t>47</w:t>
        </w:r>
        <w:r w:rsidR="00C40619">
          <w:rPr>
            <w:noProof/>
            <w:webHidden/>
          </w:rPr>
          <w:fldChar w:fldCharType="end"/>
        </w:r>
      </w:hyperlink>
    </w:p>
    <w:p w14:paraId="6B9B1E5E" w14:textId="3E87BFEC"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31" w:history="1">
        <w:r w:rsidR="00C40619" w:rsidRPr="002A6020">
          <w:rPr>
            <w:rStyle w:val="Hyperlink"/>
            <w:noProof/>
            <w14:scene3d>
              <w14:camera w14:prst="orthographicFront"/>
              <w14:lightRig w14:rig="threePt" w14:dir="t">
                <w14:rot w14:lat="0" w14:lon="0" w14:rev="0"/>
              </w14:lightRig>
            </w14:scene3d>
          </w:rPr>
          <w:t>1.7.2</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How this Regional Assessment handles uncertainty</w:t>
        </w:r>
        <w:r w:rsidR="00C40619">
          <w:rPr>
            <w:noProof/>
            <w:webHidden/>
          </w:rPr>
          <w:tab/>
        </w:r>
        <w:r w:rsidR="00C40619">
          <w:rPr>
            <w:noProof/>
            <w:webHidden/>
          </w:rPr>
          <w:fldChar w:fldCharType="begin"/>
        </w:r>
        <w:r w:rsidR="00C40619">
          <w:rPr>
            <w:noProof/>
            <w:webHidden/>
          </w:rPr>
          <w:instrText xml:space="preserve"> PAGEREF _Toc517796931 \h </w:instrText>
        </w:r>
        <w:r w:rsidR="00C40619">
          <w:rPr>
            <w:noProof/>
            <w:webHidden/>
          </w:rPr>
        </w:r>
        <w:r w:rsidR="00C40619">
          <w:rPr>
            <w:noProof/>
            <w:webHidden/>
          </w:rPr>
          <w:fldChar w:fldCharType="separate"/>
        </w:r>
        <w:r w:rsidR="00402074">
          <w:rPr>
            <w:noProof/>
            <w:webHidden/>
          </w:rPr>
          <w:t>47</w:t>
        </w:r>
        <w:r w:rsidR="00C40619">
          <w:rPr>
            <w:noProof/>
            <w:webHidden/>
          </w:rPr>
          <w:fldChar w:fldCharType="end"/>
        </w:r>
      </w:hyperlink>
    </w:p>
    <w:p w14:paraId="38E8DF6E" w14:textId="6F2C2CD5"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32" w:history="1">
        <w:r w:rsidR="00C40619" w:rsidRPr="002A6020">
          <w:rPr>
            <w:rStyle w:val="Hyperlink"/>
            <w:noProof/>
            <w14:scene3d>
              <w14:camera w14:prst="orthographicFront"/>
              <w14:lightRig w14:rig="threePt" w14:dir="t">
                <w14:rot w14:lat="0" w14:lon="0" w14:rev="0"/>
              </w14:lightRig>
            </w14:scene3d>
          </w:rPr>
          <w:t>1.7.3</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Data and indicators</w:t>
        </w:r>
        <w:r w:rsidR="00C40619">
          <w:rPr>
            <w:noProof/>
            <w:webHidden/>
          </w:rPr>
          <w:tab/>
        </w:r>
        <w:r w:rsidR="00C40619">
          <w:rPr>
            <w:noProof/>
            <w:webHidden/>
          </w:rPr>
          <w:fldChar w:fldCharType="begin"/>
        </w:r>
        <w:r w:rsidR="00C40619">
          <w:rPr>
            <w:noProof/>
            <w:webHidden/>
          </w:rPr>
          <w:instrText xml:space="preserve"> PAGEREF _Toc517796932 \h </w:instrText>
        </w:r>
        <w:r w:rsidR="00C40619">
          <w:rPr>
            <w:noProof/>
            <w:webHidden/>
          </w:rPr>
        </w:r>
        <w:r w:rsidR="00C40619">
          <w:rPr>
            <w:noProof/>
            <w:webHidden/>
          </w:rPr>
          <w:fldChar w:fldCharType="separate"/>
        </w:r>
        <w:r w:rsidR="00402074">
          <w:rPr>
            <w:noProof/>
            <w:webHidden/>
          </w:rPr>
          <w:t>48</w:t>
        </w:r>
        <w:r w:rsidR="00C40619">
          <w:rPr>
            <w:noProof/>
            <w:webHidden/>
          </w:rPr>
          <w:fldChar w:fldCharType="end"/>
        </w:r>
      </w:hyperlink>
    </w:p>
    <w:p w14:paraId="58D04C5C" w14:textId="091BBDBB"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33" w:history="1">
        <w:r w:rsidR="00C40619" w:rsidRPr="002A6020">
          <w:rPr>
            <w:rStyle w:val="Hyperlink"/>
            <w:noProof/>
            <w14:scene3d>
              <w14:camera w14:prst="orthographicFront"/>
              <w14:lightRig w14:rig="threePt" w14:dir="t">
                <w14:rot w14:lat="0" w14:lon="0" w14:rev="0"/>
              </w14:lightRig>
            </w14:scene3d>
          </w:rPr>
          <w:t>1.7.4</w:t>
        </w:r>
        <w:r w:rsidR="00C40619">
          <w:rPr>
            <w:rFonts w:asciiTheme="minorHAnsi" w:eastAsiaTheme="minorEastAsia" w:hAnsiTheme="minorHAnsi" w:cstheme="minorBidi"/>
            <w:noProof/>
            <w:sz w:val="22"/>
            <w:szCs w:val="22"/>
            <w:lang w:val="es-CO" w:eastAsia="es-CO"/>
          </w:rPr>
          <w:tab/>
        </w:r>
        <w:r w:rsidR="00C40619" w:rsidRPr="002A6020">
          <w:rPr>
            <w:rStyle w:val="Hyperlink"/>
            <w:noProof/>
          </w:rPr>
          <w:t>Process for the production of the Americas assessment report</w:t>
        </w:r>
        <w:r w:rsidR="00C40619">
          <w:rPr>
            <w:noProof/>
            <w:webHidden/>
          </w:rPr>
          <w:tab/>
        </w:r>
        <w:r w:rsidR="00C40619">
          <w:rPr>
            <w:noProof/>
            <w:webHidden/>
          </w:rPr>
          <w:fldChar w:fldCharType="begin"/>
        </w:r>
        <w:r w:rsidR="00C40619">
          <w:rPr>
            <w:noProof/>
            <w:webHidden/>
          </w:rPr>
          <w:instrText xml:space="preserve"> PAGEREF _Toc517796933 \h </w:instrText>
        </w:r>
        <w:r w:rsidR="00C40619">
          <w:rPr>
            <w:noProof/>
            <w:webHidden/>
          </w:rPr>
        </w:r>
        <w:r w:rsidR="00C40619">
          <w:rPr>
            <w:noProof/>
            <w:webHidden/>
          </w:rPr>
          <w:fldChar w:fldCharType="separate"/>
        </w:r>
        <w:r w:rsidR="00402074">
          <w:rPr>
            <w:noProof/>
            <w:webHidden/>
          </w:rPr>
          <w:t>52</w:t>
        </w:r>
        <w:r w:rsidR="00C40619">
          <w:rPr>
            <w:noProof/>
            <w:webHidden/>
          </w:rPr>
          <w:fldChar w:fldCharType="end"/>
        </w:r>
      </w:hyperlink>
    </w:p>
    <w:p w14:paraId="4A0E579D" w14:textId="4D1E43E3" w:rsidR="00C40619" w:rsidRDefault="00E84199">
      <w:pPr>
        <w:pStyle w:val="TOC2"/>
        <w:rPr>
          <w:rFonts w:asciiTheme="minorHAnsi" w:eastAsiaTheme="minorEastAsia" w:hAnsiTheme="minorHAnsi" w:cstheme="minorBidi"/>
          <w:b w:val="0"/>
          <w:bCs w:val="0"/>
          <w:noProof/>
          <w:szCs w:val="22"/>
          <w:lang w:val="es-CO" w:eastAsia="es-CO"/>
        </w:rPr>
      </w:pPr>
      <w:hyperlink w:anchor="_Toc517796934" w:history="1">
        <w:r w:rsidR="00C40619" w:rsidRPr="002A6020">
          <w:rPr>
            <w:rStyle w:val="Hyperlink"/>
            <w:noProof/>
            <w14:scene3d>
              <w14:camera w14:prst="orthographicFront"/>
              <w14:lightRig w14:rig="threePt" w14:dir="t">
                <w14:rot w14:lat="0" w14:lon="0" w14:rev="0"/>
              </w14:lightRig>
            </w14:scene3d>
          </w:rPr>
          <w:t>1.8</w:t>
        </w:r>
        <w:r w:rsidR="00C40619">
          <w:rPr>
            <w:rFonts w:asciiTheme="minorHAnsi" w:eastAsiaTheme="minorEastAsia" w:hAnsiTheme="minorHAnsi" w:cstheme="minorBidi"/>
            <w:b w:val="0"/>
            <w:bCs w:val="0"/>
            <w:noProof/>
            <w:szCs w:val="22"/>
            <w:lang w:val="es-CO" w:eastAsia="es-CO"/>
          </w:rPr>
          <w:tab/>
        </w:r>
        <w:r w:rsidR="00C40619" w:rsidRPr="002A6020">
          <w:rPr>
            <w:rStyle w:val="Hyperlink"/>
            <w:noProof/>
          </w:rPr>
          <w:t>References</w:t>
        </w:r>
        <w:r w:rsidR="00C40619">
          <w:rPr>
            <w:noProof/>
            <w:webHidden/>
          </w:rPr>
          <w:tab/>
        </w:r>
        <w:r w:rsidR="00C40619">
          <w:rPr>
            <w:noProof/>
            <w:webHidden/>
          </w:rPr>
          <w:fldChar w:fldCharType="begin"/>
        </w:r>
        <w:r w:rsidR="00C40619">
          <w:rPr>
            <w:noProof/>
            <w:webHidden/>
          </w:rPr>
          <w:instrText xml:space="preserve"> PAGEREF _Toc517796934 \h </w:instrText>
        </w:r>
        <w:r w:rsidR="00C40619">
          <w:rPr>
            <w:noProof/>
            <w:webHidden/>
          </w:rPr>
        </w:r>
        <w:r w:rsidR="00C40619">
          <w:rPr>
            <w:noProof/>
            <w:webHidden/>
          </w:rPr>
          <w:fldChar w:fldCharType="separate"/>
        </w:r>
        <w:r w:rsidR="00402074">
          <w:rPr>
            <w:noProof/>
            <w:webHidden/>
          </w:rPr>
          <w:t>53</w:t>
        </w:r>
        <w:r w:rsidR="00C40619">
          <w:rPr>
            <w:noProof/>
            <w:webHidden/>
          </w:rPr>
          <w:fldChar w:fldCharType="end"/>
        </w:r>
      </w:hyperlink>
    </w:p>
    <w:p w14:paraId="7E5C40B5" w14:textId="7E7A1279" w:rsidR="00B24A76" w:rsidRDefault="002276D3" w:rsidP="007A1431">
      <w:pPr>
        <w:pStyle w:val="TOC1"/>
      </w:pPr>
      <w:r>
        <w:fldChar w:fldCharType="end"/>
      </w:r>
      <w:r w:rsidR="00B24A76">
        <w:br w:type="page"/>
      </w:r>
    </w:p>
    <w:p w14:paraId="3B14CA4A" w14:textId="6DFC76F2" w:rsidR="00F44157" w:rsidRPr="008608AA" w:rsidRDefault="00D0391D" w:rsidP="00937445">
      <w:pPr>
        <w:pStyle w:val="Heading1"/>
        <w:numPr>
          <w:ilvl w:val="0"/>
          <w:numId w:val="37"/>
        </w:numPr>
      </w:pPr>
      <w:bookmarkStart w:id="22" w:name="_Toc502908161"/>
      <w:bookmarkStart w:id="23" w:name="_Toc502927245"/>
      <w:bookmarkStart w:id="24" w:name="_Toc502951087"/>
      <w:bookmarkStart w:id="25" w:name="_Toc502953530"/>
      <w:bookmarkStart w:id="26" w:name="_Toc502954823"/>
      <w:bookmarkStart w:id="27" w:name="_Toc502957630"/>
      <w:bookmarkStart w:id="28" w:name="_Toc502957983"/>
      <w:bookmarkStart w:id="29" w:name="_Toc503293627"/>
      <w:bookmarkStart w:id="30" w:name="_Toc503293889"/>
      <w:bookmarkStart w:id="31" w:name="_Toc503863282"/>
      <w:bookmarkStart w:id="32" w:name="_Toc503863510"/>
      <w:bookmarkStart w:id="33" w:name="_Toc517391808"/>
      <w:bookmarkStart w:id="34" w:name="_Toc517393197"/>
      <w:bookmarkStart w:id="35" w:name="_Toc517396039"/>
      <w:bookmarkStart w:id="36" w:name="_Toc517396052"/>
      <w:bookmarkStart w:id="37" w:name="_Toc517718938"/>
      <w:bookmarkStart w:id="38" w:name="_Toc517726335"/>
      <w:bookmarkStart w:id="39" w:name="_Toc517727245"/>
      <w:bookmarkStart w:id="40" w:name="_Toc517795117"/>
      <w:bookmarkStart w:id="41" w:name="_Toc517796804"/>
      <w:bookmarkStart w:id="42" w:name="_Toc517796848"/>
      <w:bookmarkStart w:id="43" w:name="_Toc517796895"/>
      <w:r w:rsidRPr="008608AA">
        <w:t>Executive s</w:t>
      </w:r>
      <w:r w:rsidR="00333557" w:rsidRPr="008608AA">
        <w:t>ummary</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14:paraId="07054FEE" w14:textId="77777777" w:rsidR="00E95397" w:rsidRDefault="00333557" w:rsidP="00E95397">
      <w:pPr>
        <w:numPr>
          <w:ilvl w:val="0"/>
          <w:numId w:val="7"/>
        </w:numPr>
        <w:spacing w:before="280"/>
      </w:pPr>
      <w:r w:rsidRPr="00A94D3E">
        <w:rPr>
          <w:b/>
        </w:rPr>
        <w:t>The Americas region is highly biologically diverse, hosting seven of the 17 most biodiverse countries of the world and encompassing 14 units of analysis across 140 degrees of latitude {1.1}</w:t>
      </w:r>
      <w:r w:rsidRPr="00A94D3E">
        <w:t>. The Americas include 55 of the 195 terrestrial and freshwater world ecoregions with highly distinctive or irreplaceable species composition. The region is home to 20</w:t>
      </w:r>
      <w:r w:rsidR="00ED62AF" w:rsidRPr="00A94D3E">
        <w:t xml:space="preserve"> per cent</w:t>
      </w:r>
      <w:r w:rsidRPr="00A94D3E">
        <w:t xml:space="preserve"> of globally identified key biodiversity areas, 26</w:t>
      </w:r>
      <w:r w:rsidR="00ED62AF" w:rsidRPr="00A94D3E">
        <w:t xml:space="preserve"> per cent</w:t>
      </w:r>
      <w:r w:rsidRPr="00A94D3E">
        <w:t xml:space="preserve"> </w:t>
      </w:r>
      <w:r w:rsidR="00ED62AF" w:rsidRPr="00A94D3E">
        <w:t xml:space="preserve">of </w:t>
      </w:r>
      <w:r w:rsidRPr="00A94D3E">
        <w:t>global terrestrial biodiversity hotspots, and the Gulf of California and Western Caribbean are included in the top 18 marine biodiversity conservation hotspots. The region also has some of the most extensive wilderness areas in the planet, such as the Pacific Northwest, the Amazon, and Patagonia, and contains three of the six longest coral reefs in the world.</w:t>
      </w:r>
    </w:p>
    <w:p w14:paraId="0C3909FD" w14:textId="77777777" w:rsidR="00E95397" w:rsidRDefault="00333557" w:rsidP="00E95397">
      <w:pPr>
        <w:numPr>
          <w:ilvl w:val="0"/>
          <w:numId w:val="7"/>
        </w:numPr>
        <w:spacing w:before="280"/>
      </w:pPr>
      <w:r w:rsidRPr="00E95397">
        <w:rPr>
          <w:b/>
        </w:rPr>
        <w:t xml:space="preserve">The Americas is also culturally and socio-economically diverse, </w:t>
      </w:r>
      <w:r w:rsidRPr="00A94D3E">
        <w:t>home to some of the most industrialized urban areas on the planet and to indigenous and other local people striving to maintain and protect their cultures. The region is populated by a uniquely large proportion of immigrants (and their descendants) from all parts of Europe, Asia and Africa, in addition to the more than 66 million indigenous peoples who have persisted despite centuries of land expropriation and, in some cases, active persecution and even genocide. Human population densi</w:t>
      </w:r>
      <w:r w:rsidR="00D0391D" w:rsidRPr="00A94D3E">
        <w:t>ty in the Americas ranges from 2 per</w:t>
      </w:r>
      <w:r w:rsidRPr="00A94D3E">
        <w:t>100 km</w:t>
      </w:r>
      <w:r w:rsidRPr="00E95397">
        <w:rPr>
          <w:vertAlign w:val="superscript"/>
        </w:rPr>
        <w:t>2</w:t>
      </w:r>
      <w:r w:rsidRPr="00A94D3E">
        <w:t xml:space="preserve"> in Greenland to over 9,000 per km</w:t>
      </w:r>
      <w:r w:rsidRPr="00E95397">
        <w:rPr>
          <w:vertAlign w:val="superscript"/>
        </w:rPr>
        <w:t>2</w:t>
      </w:r>
      <w:r w:rsidRPr="00A94D3E">
        <w:t xml:space="preserve"> in several urban centers. The Americas region contains two of the ten countries with the highest </w:t>
      </w:r>
      <w:r w:rsidR="00D0391D" w:rsidRPr="00A94D3E">
        <w:t>Human Development Index</w:t>
      </w:r>
      <w:r w:rsidRPr="00A94D3E">
        <w:t xml:space="preserve"> in the world as well as one with the lowest human development level {1.6.1-1.6.3}. </w:t>
      </w:r>
    </w:p>
    <w:p w14:paraId="4270E95E" w14:textId="77777777" w:rsidR="00E95397" w:rsidRDefault="00333557" w:rsidP="00E95397">
      <w:pPr>
        <w:numPr>
          <w:ilvl w:val="0"/>
          <w:numId w:val="7"/>
        </w:numPr>
        <w:spacing w:before="280"/>
      </w:pPr>
      <w:r w:rsidRPr="00E95397">
        <w:rPr>
          <w:b/>
        </w:rPr>
        <w:t>Ecosystems in the Americas provide essential contributions to the economy, livelihoods, food, water, and energy security, and to the eradication of poverty in the region</w:t>
      </w:r>
      <w:r w:rsidRPr="00A94D3E">
        <w:t xml:space="preserve">. </w:t>
      </w:r>
      <w:r w:rsidRPr="00E95397">
        <w:rPr>
          <w:b/>
        </w:rPr>
        <w:t>Increases in the use of nature has resulted in the region being the largest global exporter of food.</w:t>
      </w:r>
      <w:r w:rsidRPr="00A94D3E">
        <w:t xml:space="preserve"> People’s quality of life in the Americas is highly dependent on nature’s material contributions (including food and feed, medicine, energy, fibers, and construction materials) to achieve food, water and energy security, and to generate income and support livelihoods and health. The Americas is an important commodity producer: countries of the Americas are amongst the top 10 produc</w:t>
      </w:r>
      <w:r w:rsidR="00D0391D" w:rsidRPr="00A94D3E">
        <w:t xml:space="preserve">ers (in terms of volume in 2014 and </w:t>
      </w:r>
      <w:r w:rsidRPr="00A94D3E">
        <w:t xml:space="preserve">2015) of wheat, rice, sugar, coarse grains, tea, coffee, cocoa, and orange juice. Several countries are important producers of aquaculture and fisheries in terms of volume of fish, crustaceans and molluscs harvested in 2014. </w:t>
      </w:r>
      <w:r w:rsidR="00F90B7C" w:rsidRPr="00A94D3E">
        <w:t xml:space="preserve">The </w:t>
      </w:r>
      <w:r w:rsidRPr="00A94D3E">
        <w:t>United States</w:t>
      </w:r>
      <w:r w:rsidR="000338BC" w:rsidRPr="00A94D3E">
        <w:t xml:space="preserve"> of America</w:t>
      </w:r>
      <w:r w:rsidRPr="00A94D3E">
        <w:t xml:space="preserve"> and Brazil are the second and third largest meat producers (in terms of volume in 2013 or 2014). </w:t>
      </w:r>
      <w:r w:rsidR="00D0391D" w:rsidRPr="00A94D3E">
        <w:t xml:space="preserve">These two countries in addition to Argentina are the world’s top three major oil seed (soybeans, rapeseed, cottonseed, sunflower seed and groundnuts) producers (in terms of volume in 2014 to 2015) {1.3.2}. </w:t>
      </w:r>
      <w:r w:rsidRPr="00A94D3E">
        <w:t xml:space="preserve">The region has a mosaic of indigenous, small-scale, and large-scale agriculture production, which builds on a foundation of the biodiverse American tropics and montane regions. These regions are major centers of origin for domesticated plants, some of which have subsequently become important globally-traded crops {1.1}. </w:t>
      </w:r>
    </w:p>
    <w:p w14:paraId="5EA2193A" w14:textId="77777777" w:rsidR="00E95397" w:rsidRDefault="00333557" w:rsidP="00E95397">
      <w:pPr>
        <w:numPr>
          <w:ilvl w:val="0"/>
          <w:numId w:val="7"/>
        </w:numPr>
        <w:spacing w:before="280"/>
      </w:pPr>
      <w:r w:rsidRPr="00E95397">
        <w:rPr>
          <w:b/>
        </w:rPr>
        <w:t xml:space="preserve">Forests and wetlands are the ecosystems mostly recognized for their role in the regulation of freshwater supplies, which is abundant (compared to the global average) but unevenly available across geographies and time. </w:t>
      </w:r>
      <w:r w:rsidRPr="00A94D3E">
        <w:t>Some cities in South America face severe water scarcity episodes during specific times of the year (Bogotá, Quito, La Paz, Lima) as well as in states</w:t>
      </w:r>
      <w:r w:rsidR="00CD649C" w:rsidRPr="00A94D3E">
        <w:t xml:space="preserve"> of the </w:t>
      </w:r>
      <w:r w:rsidR="000338BC" w:rsidRPr="00A94D3E">
        <w:t>United States of America</w:t>
      </w:r>
      <w:r w:rsidRPr="00A94D3E">
        <w:t xml:space="preserve"> such as California, Texas and Florida. Areas with high scarcity occur where densely populated areas compete with intensely irrigated agriculture, or areas with reduced water storage. Climate change impacts and unsustainable rates of extraction of freshwater result in reduced river flows as in the Colorado River. Groundwater depletion also occurs in the Americas (Mexico and </w:t>
      </w:r>
      <w:r w:rsidR="000338BC" w:rsidRPr="00A94D3E">
        <w:t>United States of America</w:t>
      </w:r>
      <w:r w:rsidRPr="00A94D3E">
        <w:t>), affecting water users, business operations, and biodiversity</w:t>
      </w:r>
      <w:r w:rsidRPr="00E95397">
        <w:rPr>
          <w:b/>
        </w:rPr>
        <w:t xml:space="preserve"> </w:t>
      </w:r>
      <w:r w:rsidRPr="00A94D3E">
        <w:t>{1.2.1,1.3.2}.</w:t>
      </w:r>
    </w:p>
    <w:p w14:paraId="2ADC1A28" w14:textId="77777777" w:rsidR="00E95397" w:rsidRDefault="00333557" w:rsidP="00E95397">
      <w:pPr>
        <w:numPr>
          <w:ilvl w:val="0"/>
          <w:numId w:val="7"/>
        </w:numPr>
        <w:spacing w:before="280"/>
      </w:pPr>
      <w:r w:rsidRPr="00E95397">
        <w:rPr>
          <w:b/>
        </w:rPr>
        <w:t xml:space="preserve">Trends in livelihoods and good quality of life depend not only on material </w:t>
      </w:r>
      <w:r w:rsidR="00CD649C" w:rsidRPr="00E95397">
        <w:rPr>
          <w:b/>
        </w:rPr>
        <w:t>nature contributions to people</w:t>
      </w:r>
      <w:r w:rsidRPr="00E95397">
        <w:rPr>
          <w:b/>
        </w:rPr>
        <w:t xml:space="preserve"> </w:t>
      </w:r>
      <w:r w:rsidR="002069DD" w:rsidRPr="00E95397">
        <w:rPr>
          <w:b/>
        </w:rPr>
        <w:t>(</w:t>
      </w:r>
      <w:r w:rsidRPr="00E95397">
        <w:rPr>
          <w:b/>
        </w:rPr>
        <w:t xml:space="preserve">e.g. fish, food, fiber) with high economic value, but also on non-material </w:t>
      </w:r>
      <w:r w:rsidR="00E13097" w:rsidRPr="00E95397">
        <w:rPr>
          <w:b/>
        </w:rPr>
        <w:t xml:space="preserve">nature’s contributions to people </w:t>
      </w:r>
      <w:r w:rsidRPr="00E95397">
        <w:rPr>
          <w:b/>
        </w:rPr>
        <w:t>(e.g. learning and experiences, supporting identities) and regulating (e.g. regulation of extreme events, disease, pollination) that often are not accounted for in traditional economic measures</w:t>
      </w:r>
      <w:r w:rsidRPr="00A94D3E">
        <w:t xml:space="preserve"> </w:t>
      </w:r>
      <w:r w:rsidRPr="00E95397">
        <w:rPr>
          <w:b/>
        </w:rPr>
        <w:t>{1.3.2}</w:t>
      </w:r>
      <w:r w:rsidRPr="00A94D3E">
        <w:t xml:space="preserve">. The perception of nature’s contributions to people depends on a person’s worldview. Nature’s non-material contributions help societies achieve a compassionate and equitable life by providing opportunities for learning and inspiration for culture, as well as helping form identity, social cohesion, and symbolic bonds with nature.  </w:t>
      </w:r>
    </w:p>
    <w:p w14:paraId="32D10D6C" w14:textId="77777777" w:rsidR="00E95397" w:rsidRDefault="00333557" w:rsidP="00E95397">
      <w:pPr>
        <w:numPr>
          <w:ilvl w:val="0"/>
          <w:numId w:val="7"/>
        </w:numPr>
        <w:spacing w:before="280"/>
      </w:pPr>
      <w:r w:rsidRPr="00E95397">
        <w:rPr>
          <w:b/>
        </w:rPr>
        <w:t>There is considerable evidence of the harmful effects of nature’s degradation on public health, livelihoods and both regional and national economies in the Americas {1.2.1}</w:t>
      </w:r>
      <w:r w:rsidRPr="00A94D3E">
        <w:t xml:space="preserve">. The harmful effects of nature degradation (e.g. air and water pollution, deforestation) disproportionately affect the poorest populations and therefore pose a threat to inclusive development {1.3.1}. The degradation of nature frequently involves the loss of (natural) assets, which are typically not taken into account in traditional economic measures. Thus, a country may deplete a natural resource base (e.g. forests) to provide positive economic gains even as that resource depletion has other, unaccounted-for consequences, such as degrading regulating contributions (e.g. water supply) and non-material contributions to good quality of life, including recreation, spirituality, religion, and identity.  </w:t>
      </w:r>
    </w:p>
    <w:p w14:paraId="79FF40DF" w14:textId="77777777" w:rsidR="00E95397" w:rsidRDefault="00333557" w:rsidP="00E95397">
      <w:pPr>
        <w:numPr>
          <w:ilvl w:val="0"/>
          <w:numId w:val="7"/>
        </w:numPr>
        <w:spacing w:before="280"/>
      </w:pPr>
      <w:r w:rsidRPr="00E95397">
        <w:rPr>
          <w:b/>
        </w:rPr>
        <w:t>Agricultural production has increased its footprint through the extensification (spreading to new areas), and intensification (greater use of technologies), producing elevated nutrient loading, and introducing pesticides and other agrichemicals into ecosystems.</w:t>
      </w:r>
      <w:r w:rsidRPr="00A94D3E">
        <w:t xml:space="preserve"> These elevated levels of nutrients and pollutants have negative consequences for ecosystem function, and air, soil and water quality, including major contributions to coastal and freshwater oxygen depletion creating </w:t>
      </w:r>
      <w:r w:rsidR="00EC4D46" w:rsidRPr="00A94D3E">
        <w:t>“</w:t>
      </w:r>
      <w:r w:rsidRPr="00A94D3E">
        <w:t>dead zones</w:t>
      </w:r>
      <w:r w:rsidR="00EC4D46" w:rsidRPr="00A94D3E">
        <w:t>”</w:t>
      </w:r>
      <w:r w:rsidRPr="00A94D3E">
        <w:t xml:space="preserve"> with impacts on biodiversity, human health, and commercial fisheries {1.2.1}. </w:t>
      </w:r>
    </w:p>
    <w:p w14:paraId="55DBE450" w14:textId="77777777" w:rsidR="00E95397" w:rsidRDefault="00333557" w:rsidP="00E95397">
      <w:pPr>
        <w:numPr>
          <w:ilvl w:val="0"/>
          <w:numId w:val="7"/>
        </w:numPr>
        <w:spacing w:before="280"/>
      </w:pPr>
      <w:r w:rsidRPr="00E95397">
        <w:rPr>
          <w:b/>
        </w:rPr>
        <w:t xml:space="preserve">The plurality of values in the Americas shapes use, management and conservation of nature and </w:t>
      </w:r>
      <w:r w:rsidR="00CD649C" w:rsidRPr="00E95397">
        <w:rPr>
          <w:b/>
        </w:rPr>
        <w:t>nature’s contributions to people</w:t>
      </w:r>
      <w:r w:rsidRPr="00E95397">
        <w:rPr>
          <w:b/>
        </w:rPr>
        <w:t xml:space="preserve"> {1.1}.</w:t>
      </w:r>
      <w:r w:rsidRPr="00A94D3E">
        <w:t xml:space="preserve"> In particular, trade</w:t>
      </w:r>
      <w:r w:rsidR="00BC063B" w:rsidRPr="00A94D3E">
        <w:t>-</w:t>
      </w:r>
      <w:r w:rsidRPr="00A94D3E">
        <w:t>offs are experienced in different ways by people holding different worldviews and cultures, depending on their values {1.1}. Regional differences can also influence the way policies affect value given to ecosystems {1.2.4}. Policies addressing ecotourism could emphasize the substantial economic benefits from recreational use associated with ecotourism in conserved areas or give more weight to protective approaches to biodiversity conservation and restrict ecotourism stringently {1.5.5}.</w:t>
      </w:r>
    </w:p>
    <w:p w14:paraId="5598DE79" w14:textId="77777777" w:rsidR="00E95397" w:rsidRDefault="00333557" w:rsidP="00E95397">
      <w:pPr>
        <w:numPr>
          <w:ilvl w:val="0"/>
          <w:numId w:val="7"/>
        </w:numPr>
        <w:spacing w:before="280"/>
      </w:pPr>
      <w:r w:rsidRPr="00E95397">
        <w:rPr>
          <w:b/>
        </w:rPr>
        <w:t>All policies can affect nature’s health, and thus its contributions to people, by altering positively and negatively how governments, institutions, and individuals interact with people and nature through regulation, incentive mechanisms, and rights-based approaches {1.5.5}.</w:t>
      </w:r>
      <w:r w:rsidRPr="00A94D3E">
        <w:t xml:space="preserve"> Benefits from policies providing incentives for increasing </w:t>
      </w:r>
      <w:r w:rsidR="00A47F44" w:rsidRPr="00A94D3E">
        <w:t>or protecting some elements of n</w:t>
      </w:r>
      <w:r w:rsidRPr="00A94D3E">
        <w:t xml:space="preserve">ature, if not designed and implemented carefully, bring costs of in the loss or reduction of other aspects of </w:t>
      </w:r>
      <w:r w:rsidR="00796C28" w:rsidRPr="00A94D3E">
        <w:t>n</w:t>
      </w:r>
      <w:r w:rsidRPr="00A94D3E">
        <w:t xml:space="preserve">ature or </w:t>
      </w:r>
      <w:r w:rsidR="00CD649C" w:rsidRPr="00A94D3E">
        <w:t>nature’s contributions to people</w:t>
      </w:r>
      <w:r w:rsidRPr="00A94D3E">
        <w:t xml:space="preserve">. For example, the creation of </w:t>
      </w:r>
      <w:r w:rsidR="00EC4D46" w:rsidRPr="00A94D3E">
        <w:t xml:space="preserve">protected areas </w:t>
      </w:r>
      <w:r w:rsidRPr="00A94D3E">
        <w:t xml:space="preserve">may come at the cost of displacement of local community uses of the areas, such as when marine protected areas attract significant ecotourism revenues, but displace community-based fisher families with few alternative options for livelihoods. Policies can also provide purposeful or incidental disincentives to using nature and </w:t>
      </w:r>
      <w:r w:rsidR="001D3C87" w:rsidRPr="00A94D3E">
        <w:t>nature’s contributions to people</w:t>
      </w:r>
      <w:r w:rsidRPr="00A94D3E">
        <w:t xml:space="preserve"> responsibly provide disincentives to use nature and </w:t>
      </w:r>
      <w:r w:rsidR="001D3C87" w:rsidRPr="00A94D3E">
        <w:t xml:space="preserve">nature’s contributions to people </w:t>
      </w:r>
      <w:r w:rsidRPr="00A94D3E">
        <w:t xml:space="preserve">responsibly. For example, in the energy sector, domestic subsidies of fuel prices promote overutilization of these resources, increase greenhouse gas emissions, </w:t>
      </w:r>
      <w:r w:rsidR="00796C28" w:rsidRPr="00A94D3E">
        <w:t>which have a</w:t>
      </w:r>
      <w:r w:rsidRPr="00A94D3E">
        <w:t xml:space="preserve"> negative contribution to climate change accelerating its impacts on biodiversity and people. Alternative policies such as carbon tax or eliminating subsidies for producing or consuming fossil fuels may have different consequences, including improving energy efficiency, development of renewable energy sources and generating health benefits for people. However, such alternatives must be considered fully, as hydroelectric power may require substantial modifications to natural watersheds, and mining the raw materials needed for solar panels can have a large environmental footprint. </w:t>
      </w:r>
    </w:p>
    <w:p w14:paraId="27B25537" w14:textId="77777777" w:rsidR="00E95397" w:rsidRDefault="00333557" w:rsidP="00E95397">
      <w:pPr>
        <w:numPr>
          <w:ilvl w:val="0"/>
          <w:numId w:val="7"/>
        </w:numPr>
        <w:spacing w:before="280"/>
      </w:pPr>
      <w:r w:rsidRPr="00E95397">
        <w:rPr>
          <w:b/>
        </w:rPr>
        <w:t xml:space="preserve">These trade-offs highlight the complexities that exist in developing responsible policies for conservation and sustainable use of nature and </w:t>
      </w:r>
      <w:r w:rsidR="001D3C87" w:rsidRPr="00E95397">
        <w:rPr>
          <w:b/>
        </w:rPr>
        <w:t xml:space="preserve">nature’s contributions to people </w:t>
      </w:r>
      <w:r w:rsidRPr="00E95397">
        <w:rPr>
          <w:b/>
        </w:rPr>
        <w:t>and the importance of the efforts of the Intergovernmental Panel on Biodiversit</w:t>
      </w:r>
      <w:r w:rsidR="00F87F61" w:rsidRPr="00E95397">
        <w:rPr>
          <w:b/>
        </w:rPr>
        <w:t>y and Ecosystem Services</w:t>
      </w:r>
      <w:r w:rsidR="002D7EEC" w:rsidRPr="00E95397">
        <w:rPr>
          <w:b/>
        </w:rPr>
        <w:t xml:space="preserve"> Regional A</w:t>
      </w:r>
      <w:r w:rsidRPr="00E95397">
        <w:rPr>
          <w:b/>
        </w:rPr>
        <w:t xml:space="preserve">ssessments to consider the multiple knowledge systems and the values of diverse worldviews, </w:t>
      </w:r>
      <w:r w:rsidR="00796C28" w:rsidRPr="00E95397">
        <w:rPr>
          <w:b/>
        </w:rPr>
        <w:t xml:space="preserve">including </w:t>
      </w:r>
      <w:r w:rsidR="00355D65" w:rsidRPr="00E95397">
        <w:rPr>
          <w:b/>
        </w:rPr>
        <w:t xml:space="preserve">the use of </w:t>
      </w:r>
      <w:r w:rsidRPr="00E95397">
        <w:rPr>
          <w:b/>
        </w:rPr>
        <w:t>scenarios and models effectively {1.5.5}.</w:t>
      </w:r>
      <w:r w:rsidRPr="00A94D3E">
        <w:t xml:space="preserve">The effectiveness and impact of policies and interventions related to nature’s components depend on the way societies perceive the world, negotiate interests, prioritize problems, and find feasible solutions that respect social, institutional, and environmental settings. Such enabling conditions are essential to foster a successful implementation of policies that include environmental and other societal issues (e.g. poverty reduction, including local knowledges and minorities). </w:t>
      </w:r>
    </w:p>
    <w:p w14:paraId="0D61078B" w14:textId="77777777" w:rsidR="00E95397" w:rsidRDefault="00333557" w:rsidP="00E95397">
      <w:pPr>
        <w:numPr>
          <w:ilvl w:val="0"/>
          <w:numId w:val="7"/>
        </w:numPr>
        <w:spacing w:before="280"/>
      </w:pPr>
      <w:r w:rsidRPr="00A94D3E">
        <w:t xml:space="preserve">The objectives of this </w:t>
      </w:r>
      <w:r w:rsidR="002D7EEC" w:rsidRPr="00A94D3E">
        <w:t>Assessment</w:t>
      </w:r>
      <w:r w:rsidR="00E13097" w:rsidRPr="00A94D3E">
        <w:t xml:space="preserve"> </w:t>
      </w:r>
      <w:r w:rsidRPr="00A94D3E">
        <w:t>are to: a) evaluate the contribution of biodiversity and ecosystem functions and services to the economy, livelihoods, food security, and good quality of life in the Americas; b) identify major trends of biodiversity and ecosystems (nature) and ecosystem functions and services</w:t>
      </w:r>
      <w:r w:rsidR="001F3AFB" w:rsidRPr="00A94D3E">
        <w:t xml:space="preserve">, as </w:t>
      </w:r>
      <w:r w:rsidR="00E13097" w:rsidRPr="00A94D3E">
        <w:t>nature’s contributions to people</w:t>
      </w:r>
      <w:r w:rsidRPr="00A94D3E">
        <w:t xml:space="preserve">; c) assess the implications of these trends for human well-being (quality of life) experienced by various societies and cultures; d) identify future potential threats to biodiversity and ecosystems (nature) as well as the </w:t>
      </w:r>
      <w:r w:rsidR="00E13097" w:rsidRPr="00A94D3E">
        <w:t xml:space="preserve">nature’s contributions to people </w:t>
      </w:r>
      <w:r w:rsidRPr="00A94D3E">
        <w:t xml:space="preserve">that they provide) and the implications of the threats for a good quality of life; and e) identify opportunities for avoiding or mitigating threats to biodiversity, ecosystems (nature) and </w:t>
      </w:r>
      <w:r w:rsidR="00E13097" w:rsidRPr="00A94D3E">
        <w:t xml:space="preserve">nature’s contributions to people </w:t>
      </w:r>
      <w:r w:rsidRPr="00A94D3E">
        <w:t xml:space="preserve">and when appropriate for restoring nature. The </w:t>
      </w:r>
      <w:r w:rsidR="002D7EEC" w:rsidRPr="00A94D3E">
        <w:t>Assessment</w:t>
      </w:r>
      <w:r w:rsidRPr="00A94D3E">
        <w:t xml:space="preserve"> is structured around the different subregions (North America, Mesoamerica, the Caribbean, and South America), taking into account the distinct biophysical features of major biomes (</w:t>
      </w:r>
      <w:r w:rsidR="00F87F61" w:rsidRPr="00A94D3E">
        <w:t>Intergovernmental Panel on Biodiversity and Ecosystem Services</w:t>
      </w:r>
      <w:r w:rsidR="00F87F61" w:rsidRPr="00E95397">
        <w:rPr>
          <w:b/>
        </w:rPr>
        <w:t xml:space="preserve"> </w:t>
      </w:r>
      <w:r w:rsidRPr="00A94D3E">
        <w:t xml:space="preserve">units of analysis) in each subregion and the multiple types of social and economic distributions of wealth and access to </w:t>
      </w:r>
      <w:r w:rsidR="00E13097" w:rsidRPr="00A94D3E">
        <w:t>nature’s contributions to people</w:t>
      </w:r>
      <w:r w:rsidRPr="00A94D3E">
        <w:t xml:space="preserve">.  </w:t>
      </w:r>
    </w:p>
    <w:p w14:paraId="7260AFEF" w14:textId="77777777" w:rsidR="00E95397" w:rsidRDefault="00333557" w:rsidP="00E95397">
      <w:pPr>
        <w:numPr>
          <w:ilvl w:val="0"/>
          <w:numId w:val="7"/>
        </w:numPr>
        <w:spacing w:before="280"/>
      </w:pPr>
      <w:r w:rsidRPr="00A94D3E">
        <w:t xml:space="preserve">In this </w:t>
      </w:r>
      <w:r w:rsidR="002D7EEC" w:rsidRPr="00A94D3E">
        <w:t>Assessment</w:t>
      </w:r>
      <w:r w:rsidRPr="00A94D3E">
        <w:t xml:space="preserve">, we synthesize existing knowledge to quantify, to the extent possible, the magnitude and trends in </w:t>
      </w:r>
      <w:r w:rsidR="00E13097" w:rsidRPr="00A94D3E">
        <w:t xml:space="preserve">nature’s contributions to people </w:t>
      </w:r>
      <w:r w:rsidRPr="00A94D3E">
        <w:t xml:space="preserve">enjoyed by the people of the Americas and assess how these contributions add to quality of life of various cultures in the region. We also assess the impact of several ongoing pressures on nature and </w:t>
      </w:r>
      <w:r w:rsidR="00E13097" w:rsidRPr="00A94D3E">
        <w:t xml:space="preserve">nature’s contributions to people </w:t>
      </w:r>
      <w:r w:rsidRPr="00A94D3E">
        <w:t xml:space="preserve">including urbanization and depopulation of rural areas, natural resource exploitation, pollution, climate change, loss and degradation of natural habitats (terrestrial, freshwater, coastal and marine). Within subregions, these syntheses and assessments are done by major biomes with attention to socio-economic and cultural differences. </w:t>
      </w:r>
    </w:p>
    <w:p w14:paraId="17580EC1" w14:textId="77777777" w:rsidR="00E95397" w:rsidRDefault="00333557" w:rsidP="00E95397">
      <w:pPr>
        <w:numPr>
          <w:ilvl w:val="0"/>
          <w:numId w:val="7"/>
        </w:numPr>
        <w:spacing w:before="280"/>
      </w:pPr>
      <w:r w:rsidRPr="00A94D3E">
        <w:t xml:space="preserve">Our purpose is to make policy-relevant knowledge accessible and useful, working towards improved governance of and the sustainable use of nature and </w:t>
      </w:r>
      <w:r w:rsidR="00E13097" w:rsidRPr="00A94D3E">
        <w:t>nature’s contributions to people</w:t>
      </w:r>
      <w:r w:rsidRPr="00A94D3E">
        <w:t xml:space="preserve">. To do this, we take a multidisciplinary and multi-knowledge systems approach. We identify the specific needs of each of the main American subregions regarding access to decision-support tools at different scales, knowledge gaps and capacity-building needs, including the development of capacity for future sustainable uses of nature and </w:t>
      </w:r>
      <w:r w:rsidR="00E13097" w:rsidRPr="00A94D3E">
        <w:t>nature’s contributions to people</w:t>
      </w:r>
      <w:r w:rsidRPr="00A94D3E">
        <w:t>.</w:t>
      </w:r>
    </w:p>
    <w:p w14:paraId="17B14FC3" w14:textId="1AE0BE7F" w:rsidR="009C3845" w:rsidRPr="008608AA" w:rsidRDefault="00333557" w:rsidP="00E95397">
      <w:pPr>
        <w:numPr>
          <w:ilvl w:val="0"/>
          <w:numId w:val="7"/>
        </w:numPr>
        <w:spacing w:before="280"/>
      </w:pPr>
      <w:r w:rsidRPr="00A94D3E">
        <w:t xml:space="preserve">This chapter also introduces key concepts such as </w:t>
      </w:r>
      <w:r w:rsidR="00F87F61" w:rsidRPr="00A94D3E">
        <w:t>nature’s contributions to people</w:t>
      </w:r>
      <w:r w:rsidRPr="00A94D3E">
        <w:t xml:space="preserve">, units of analysis and the </w:t>
      </w:r>
      <w:r w:rsidR="00F87F61" w:rsidRPr="00A94D3E">
        <w:t xml:space="preserve">Intergovernmental Panel on Biodiversity and Ecosystem Services </w:t>
      </w:r>
      <w:r w:rsidRPr="00A94D3E">
        <w:t>con</w:t>
      </w:r>
      <w:r w:rsidR="002D7EEC" w:rsidRPr="00A94D3E">
        <w:t>ceptual framework used in this Regional A</w:t>
      </w:r>
      <w:r w:rsidRPr="00A94D3E">
        <w:t xml:space="preserve">ssessment. Furthermore, this chapter introduces the key core questions posed by policymakers during the scoping phase prior to this </w:t>
      </w:r>
      <w:r w:rsidR="002D7EEC" w:rsidRPr="00A94D3E">
        <w:t>Assessment</w:t>
      </w:r>
      <w:r w:rsidRPr="00A94D3E">
        <w:t xml:space="preserve"> and how several chapters in this </w:t>
      </w:r>
      <w:r w:rsidR="002D7EEC" w:rsidRPr="00A94D3E">
        <w:t>Assessment</w:t>
      </w:r>
      <w:r w:rsidR="00E95397">
        <w:t xml:space="preserve"> address them. </w:t>
      </w:r>
      <w:r w:rsidRPr="00A94D3E">
        <w:t xml:space="preserve">The target audience of this </w:t>
      </w:r>
      <w:r w:rsidR="002D7EEC" w:rsidRPr="00A94D3E">
        <w:t>Assessment</w:t>
      </w:r>
      <w:r w:rsidRPr="00A94D3E">
        <w:t xml:space="preserve"> is primarily policymakers whose work may affect or be affected by nature or nature’s contributions at all levels and the </w:t>
      </w:r>
      <w:r w:rsidR="00F87F61" w:rsidRPr="00A94D3E">
        <w:t>United Nations</w:t>
      </w:r>
      <w:r w:rsidRPr="00A94D3E">
        <w:t xml:space="preserve"> programmes and multilateral environmental agreements that are key clients for </w:t>
      </w:r>
      <w:r w:rsidR="00F87F61" w:rsidRPr="00A94D3E">
        <w:t xml:space="preserve">Intergovernmental Panel on Biodiversity and Ecosystem Services </w:t>
      </w:r>
      <w:r w:rsidRPr="00A94D3E">
        <w:t xml:space="preserve">reports. A broader audience includes intergovernmental and non-governmental organizations, business and industry, practitioners, indigenous and local knowledge holders, community-based organizations, the scientific community, and the general public. </w:t>
      </w:r>
      <w:r w:rsidR="009C3845" w:rsidRPr="008608AA">
        <w:br w:type="page"/>
      </w:r>
    </w:p>
    <w:p w14:paraId="56D12993" w14:textId="77777777" w:rsidR="00F44157" w:rsidRPr="008608AA" w:rsidRDefault="00333557" w:rsidP="0092793F">
      <w:pPr>
        <w:pStyle w:val="Heading2"/>
      </w:pPr>
      <w:bookmarkStart w:id="44" w:name="_Toc502908162"/>
      <w:bookmarkStart w:id="45" w:name="_Toc502927246"/>
      <w:bookmarkStart w:id="46" w:name="_Toc502951088"/>
      <w:bookmarkStart w:id="47" w:name="_Toc502953531"/>
      <w:bookmarkStart w:id="48" w:name="_Toc502954824"/>
      <w:bookmarkStart w:id="49" w:name="_Toc502957631"/>
      <w:bookmarkStart w:id="50" w:name="_Toc502957984"/>
      <w:bookmarkStart w:id="51" w:name="_Toc503293628"/>
      <w:bookmarkStart w:id="52" w:name="_Toc503293890"/>
      <w:bookmarkStart w:id="53" w:name="_Toc503863283"/>
      <w:bookmarkStart w:id="54" w:name="_Toc503863511"/>
      <w:bookmarkStart w:id="55" w:name="_Toc517391809"/>
      <w:bookmarkStart w:id="56" w:name="_Toc517393198"/>
      <w:bookmarkStart w:id="57" w:name="_Toc517718939"/>
      <w:bookmarkStart w:id="58" w:name="_Toc517796896"/>
      <w:r w:rsidRPr="008608AA">
        <w:t>Overview of the region</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p w14:paraId="3134C98A" w14:textId="096783CB" w:rsidR="00F44157" w:rsidRPr="00A94D3E" w:rsidRDefault="00333557" w:rsidP="007F21DD">
      <w:pPr>
        <w:spacing w:before="120" w:after="120"/>
      </w:pPr>
      <w:r w:rsidRPr="00A94D3E">
        <w:t xml:space="preserve">The Americas covers the widest range of latitude of any of the </w:t>
      </w:r>
      <w:r w:rsidR="00E36ECB" w:rsidRPr="00A94D3E">
        <w:t>Intergovernmental Science-Policy Platform on Biodiversity and Ecosystem Services</w:t>
      </w:r>
      <w:r w:rsidR="002D7EEC" w:rsidRPr="00A94D3E">
        <w:t xml:space="preserve"> (IPBES) Regional A</w:t>
      </w:r>
      <w:r w:rsidRPr="00A94D3E">
        <w:t xml:space="preserve">ssessments. It includes wide expanses of deserts, grasslands, savannas and forests in different climatic conditions (polar, temperate, mediterranean, arid, sub-tropical, tropical) and topographic settings (plains, plateau, mountains). This region has the largest proportion of freshwater resources (Great Lakes and Amazon basin) and extent of rainforest, and the longest terrestrial mountain range (Andes). </w:t>
      </w:r>
    </w:p>
    <w:p w14:paraId="00FC2CBF" w14:textId="69B7F7B3" w:rsidR="00F44157" w:rsidRPr="00A94D3E" w:rsidRDefault="00333557" w:rsidP="007F21DD">
      <w:pPr>
        <w:widowControl w:val="0"/>
        <w:autoSpaceDE w:val="0"/>
        <w:autoSpaceDN w:val="0"/>
        <w:adjustRightInd w:val="0"/>
        <w:spacing w:before="120" w:after="120"/>
      </w:pPr>
      <w:r w:rsidRPr="00A94D3E">
        <w:t xml:space="preserve">The Americas include 55 of the 195 terrestrial and freshwater world ecoregions with highly distinctive or irreplaceable species composition (Olson </w:t>
      </w:r>
      <w:r w:rsidR="004E17DF" w:rsidRPr="00A94D3E">
        <w:t xml:space="preserve">&amp; </w:t>
      </w:r>
      <w:r w:rsidRPr="00A94D3E">
        <w:t>Dinerstein, 2002). The region hosts 20</w:t>
      </w:r>
      <w:r w:rsidR="00A37389" w:rsidRPr="00A94D3E">
        <w:t>%</w:t>
      </w:r>
      <w:r w:rsidRPr="00A94D3E">
        <w:t xml:space="preserve"> of globally identified key biodiversity areas, 26</w:t>
      </w:r>
      <w:r w:rsidR="00A37389" w:rsidRPr="00A94D3E">
        <w:t>%</w:t>
      </w:r>
      <w:r w:rsidR="00ED62AF" w:rsidRPr="00A94D3E">
        <w:t xml:space="preserve"> of </w:t>
      </w:r>
      <w:r w:rsidRPr="00A94D3E">
        <w:t xml:space="preserve"> globally-identified terrestrial biodiversity hotspots, and the Gulf of California and Western Caribbean are included in the top 18 marine biodiversity hotspots </w:t>
      </w:r>
      <w:r w:rsidR="00010F45" w:rsidRPr="00A94D3E">
        <w:t xml:space="preserve">and conservation priorities for tropical reefs </w:t>
      </w:r>
      <w:r w:rsidRPr="00A94D3E">
        <w:t xml:space="preserve">(Olson et al., 2001; </w:t>
      </w:r>
      <w:r w:rsidR="00010F45" w:rsidRPr="00A94D3E">
        <w:t xml:space="preserve">Roberts et al., 2002; </w:t>
      </w:r>
      <w:r w:rsidRPr="00A94D3E">
        <w:t>Marchese, 2015; UN, 2016a</w:t>
      </w:r>
      <w:r w:rsidR="008831EB" w:rsidRPr="00A94D3E">
        <w:t xml:space="preserve">; </w:t>
      </w:r>
      <w:r w:rsidR="008831EB" w:rsidRPr="00A94D3E">
        <w:rPr>
          <w:noProof/>
        </w:rPr>
        <w:t>World Database of Key Biodiversity Areas, n.d.</w:t>
      </w:r>
      <w:r w:rsidRPr="00A94D3E">
        <w:t>). The region has some of the most extensive wilderness areas in the planet, such as the Pacific Northwest, the Amazon and Patagonia. It also contains the Mesoamerican reef, which is the largest barrier reef in the western hemisphere, and three of the six longest coral reefs in the world (World Atlas, 2017; WWF, 2017). The region is also a main center of origin and domestication for important crops such as potato, quinoa, maize, beans, cacao, tomatoes, squash, chili (Clement et al., 2010</w:t>
      </w:r>
      <w:r w:rsidR="00B40BEB" w:rsidRPr="00A94D3E">
        <w:t>; Galluzzi et al., 2010; Parra &amp;</w:t>
      </w:r>
      <w:r w:rsidRPr="00A94D3E">
        <w:t xml:space="preserve"> Casas, 2016). The Americas are home to globally outstanding terrestrial, freshwater and marine biodiversity, many of the richest biomes, and some of the world’s most important biodiversity hotspots (e.g. Tropical Andes, Brazilian Cerrado and South American Atlantic Forest, California Floristic Province, Mesoamerica, Central Chile, western Ecuador, coral reefs of the Caribbean) (Myers et al., 2000; UN, 2016a). Well-functioning terrestrial, marine and freshwater ecosystems in the Americas underpin regulating functions highly relevant to environmental processes. These include functions such as the regulation of freshwater quantity, flow, and quality (Russi et al., 2013; Grizzetti et al., 2016), carbon and nutrient cycling (Anderson-Teixeira et al., 2012), moderation of extreme natural hazards (e.g. vegetation and wetlands help prevent floods), and coastal protection (coastal wetlands and coral reefs provide buffer against waves, storms, and sea level rise) (Ferrario et al., 2014; Van Zanten et al., 2014). </w:t>
      </w:r>
    </w:p>
    <w:p w14:paraId="654D53BB" w14:textId="29578704" w:rsidR="00F44157" w:rsidRPr="00A94D3E" w:rsidRDefault="00333557" w:rsidP="007F21DD">
      <w:pPr>
        <w:spacing w:before="120" w:after="120"/>
      </w:pPr>
      <w:r w:rsidRPr="00A94D3E">
        <w:t>People’s quality of life in the Americas is highly dependent on nature’s material contributions (including food and feed, medicine, energy, fibers, and construction materials) to achieve food, water and energy security, and to generate income and support livelihoods and health. The region has the top producers of many agricultural commodities, such as sugar, coffee, and orange juice (Brazil) and coarse grains (USA) (The Economist, 2017). While the region has only 15</w:t>
      </w:r>
      <w:r w:rsidR="00FC7B54" w:rsidRPr="00A94D3E">
        <w:t>%</w:t>
      </w:r>
      <w:r w:rsidRPr="00A94D3E">
        <w:t xml:space="preserve"> of the world’s population, it accounts for 34</w:t>
      </w:r>
      <w:r w:rsidR="00FC7B54" w:rsidRPr="00A94D3E">
        <w:t>%</w:t>
      </w:r>
      <w:r w:rsidRPr="00A94D3E">
        <w:t xml:space="preserve"> of the</w:t>
      </w:r>
      <w:r w:rsidR="00FC7B54" w:rsidRPr="00A94D3E">
        <w:t xml:space="preserve"> global Gross Domestic Product </w:t>
      </w:r>
      <w:r w:rsidR="002319BB" w:rsidRPr="00A94D3E">
        <w:t>at purchasing power parity</w:t>
      </w:r>
      <w:r w:rsidR="00FC7B54" w:rsidRPr="00A94D3E">
        <w:t xml:space="preserve"> (GDP</w:t>
      </w:r>
      <w:r w:rsidR="00FC7B54" w:rsidRPr="00A94D3E">
        <w:rPr>
          <w:vertAlign w:val="subscript"/>
        </w:rPr>
        <w:t>PPP</w:t>
      </w:r>
      <w:r w:rsidR="00FC7B54" w:rsidRPr="00A94D3E">
        <w:t>) in 2016</w:t>
      </w:r>
      <w:r w:rsidR="002319BB" w:rsidRPr="00A94D3E">
        <w:t xml:space="preserve"> (</w:t>
      </w:r>
      <w:r w:rsidRPr="00A94D3E">
        <w:t>UNDP, 2016</w:t>
      </w:r>
      <w:r w:rsidR="002319BB" w:rsidRPr="00A94D3E">
        <w:t>; section 4.3.2</w:t>
      </w:r>
      <w:r w:rsidRPr="00A94D3E">
        <w:t>), contributes around 41% of global ecosystems’ biocapacity</w:t>
      </w:r>
      <w:r w:rsidR="0052606A" w:rsidRPr="00A94D3E">
        <w:rPr>
          <w:rStyle w:val="FootnoteReference"/>
        </w:rPr>
        <w:footnoteReference w:id="2"/>
      </w:r>
      <w:r w:rsidRPr="00A94D3E">
        <w:t>, and 23</w:t>
      </w:r>
      <w:r w:rsidR="00FC7B54" w:rsidRPr="00A94D3E">
        <w:t>%</w:t>
      </w:r>
      <w:r w:rsidRPr="00A94D3E">
        <w:t xml:space="preserve"> of the world’s ecological footprint (with 171</w:t>
      </w:r>
      <w:r w:rsidR="00FC7B54" w:rsidRPr="00A94D3E">
        <w:t>%</w:t>
      </w:r>
      <w:r w:rsidRPr="00A94D3E">
        <w:t xml:space="preserve"> higher per capita ecological footprint than the global average) (Global Footprint Network, 2016). </w:t>
      </w:r>
    </w:p>
    <w:p w14:paraId="62921D8D" w14:textId="77777777" w:rsidR="00F44157" w:rsidRPr="00A94D3E" w:rsidRDefault="00333557" w:rsidP="007F21DD">
      <w:pPr>
        <w:spacing w:before="120" w:after="120"/>
      </w:pPr>
      <w:r w:rsidRPr="00A94D3E">
        <w:t xml:space="preserve">The region is a mosaic of peoples living in diverse socio-economic and political settings with different values, world visions, and interests in nature and its benefits to them. The region still has large local populations producing cash and various subsistence products on small holdings or through small-scale fishing, with a considerable contribution to their local communities and nearby cities. </w:t>
      </w:r>
    </w:p>
    <w:p w14:paraId="1A848FC1" w14:textId="68A32EF7" w:rsidR="00F44157" w:rsidRPr="00A94D3E" w:rsidRDefault="00333557" w:rsidP="007F21DD">
      <w:pPr>
        <w:spacing w:before="120" w:after="120"/>
      </w:pPr>
      <w:r w:rsidRPr="00A94D3E">
        <w:t xml:space="preserve">A good quality of life in the Americas is also based on non-material </w:t>
      </w:r>
      <w:r w:rsidR="00D43C84" w:rsidRPr="00A94D3E">
        <w:t xml:space="preserve">nature’s </w:t>
      </w:r>
      <w:r w:rsidRPr="00A94D3E">
        <w:t>contributions</w:t>
      </w:r>
      <w:r w:rsidR="00D43C84" w:rsidRPr="00A94D3E">
        <w:t xml:space="preserve"> to people</w:t>
      </w:r>
      <w:r w:rsidR="00E3367F" w:rsidRPr="00A94D3E">
        <w:t xml:space="preserve"> (NCP)</w:t>
      </w:r>
      <w:r w:rsidRPr="00A94D3E">
        <w:t xml:space="preserve">. Nature can help societies achieve a compassionate and equitable life and provide learning and inspiration for culture, identity, and social cohesion. The beauty of nature reflected in art and architecture has inspired communities and individuals for centuries. Some worldviews, especially from indigenous communities in the Americas (accounting for 5% of the population in the continent), show remarkable symbolic links with nature, some perceiving it as an entity with its own rights. For example, Bolivia and Ecuador explicitly recognize the importance of “Mother Earth and living in harmony with nature” in their legal frameworks (Gregor Barié, 2014; Guardiola </w:t>
      </w:r>
      <w:r w:rsidR="00A93766" w:rsidRPr="00A94D3E">
        <w:t>&amp;</w:t>
      </w:r>
      <w:r w:rsidRPr="00A94D3E">
        <w:t xml:space="preserve"> García-Quero, 2014; Pacheco, 2014). Several national parks </w:t>
      </w:r>
      <w:r w:rsidR="008A176E" w:rsidRPr="00A94D3E">
        <w:t xml:space="preserve">and areas of biological significance </w:t>
      </w:r>
      <w:r w:rsidRPr="00A94D3E">
        <w:t xml:space="preserve">have been created at sites of former sacred areas, for example the Alto Fragua Indiwasi National Park, the first Colombian national park, created at the request of indigenous communities, and the biodiversity reserve </w:t>
      </w:r>
      <w:r w:rsidR="008A176E" w:rsidRPr="00A94D3E">
        <w:t xml:space="preserve">of the </w:t>
      </w:r>
      <w:r w:rsidRPr="00A94D3E">
        <w:t>Wemindji Cree of James Bay in Canada</w:t>
      </w:r>
      <w:r w:rsidR="00D41CBE" w:rsidRPr="00A94D3E">
        <w:t xml:space="preserve"> </w:t>
      </w:r>
      <w:r w:rsidR="008A176E" w:rsidRPr="00A94D3E">
        <w:t xml:space="preserve">(Pilgrim </w:t>
      </w:r>
      <w:r w:rsidR="00D41CBE" w:rsidRPr="00A94D3E">
        <w:t>&amp;</w:t>
      </w:r>
      <w:r w:rsidR="008A176E" w:rsidRPr="00A94D3E">
        <w:t xml:space="preserve"> Pretty, 2010)</w:t>
      </w:r>
      <w:r w:rsidRPr="00A94D3E">
        <w:t>. In addition to the importance of nature´s contributions for social cohesion, bonds and culture, several studies show positive linkages between healthy environments and healthy people</w:t>
      </w:r>
      <w:r w:rsidRPr="00A94D3E">
        <w:rPr>
          <w:b/>
        </w:rPr>
        <w:t xml:space="preserve">. </w:t>
      </w:r>
      <w:r w:rsidRPr="00A94D3E">
        <w:t>One example is the</w:t>
      </w:r>
      <w:r w:rsidRPr="00A94D3E">
        <w:rPr>
          <w:b/>
        </w:rPr>
        <w:t xml:space="preserve"> </w:t>
      </w:r>
      <w:r w:rsidRPr="00A94D3E">
        <w:t xml:space="preserve">positive psychological benefits of green space and natural elements to people’s satisfaction and well-being (Fuller et al., 2007). </w:t>
      </w:r>
    </w:p>
    <w:p w14:paraId="6A8B974F" w14:textId="43EE9754" w:rsidR="00F44157" w:rsidRPr="00A94D3E" w:rsidRDefault="00333557" w:rsidP="007F21DD">
      <w:pPr>
        <w:spacing w:before="120" w:after="120"/>
      </w:pPr>
      <w:r w:rsidRPr="00A94D3E">
        <w:t xml:space="preserve">Despite the importance of non-material contributions of </w:t>
      </w:r>
      <w:r w:rsidR="000B1154" w:rsidRPr="00A94D3E">
        <w:t xml:space="preserve">nature </w:t>
      </w:r>
      <w:r w:rsidRPr="00A94D3E">
        <w:t>to indigenous and local populations, decisions of land ownership and other rights to use and access resources have not been inclusive and evenly distributed among the diversity of inhabitants. However, there are institutional arrangements emerging across the region that are attempting to accommodate the plurality of values and interests. Some new arrangements include decentralization of rights to local communities to govern their natural resources, co-management between the state and private or local communities, and other mixes of arrangements among social actors.</w:t>
      </w:r>
    </w:p>
    <w:p w14:paraId="08389462" w14:textId="7ABA8F09" w:rsidR="00F44157" w:rsidRPr="00A94D3E" w:rsidRDefault="00333557" w:rsidP="007F21DD">
      <w:pPr>
        <w:spacing w:before="120" w:after="120"/>
        <w:rPr>
          <w:shd w:val="clear" w:color="auto" w:fill="FCFCFC"/>
        </w:rPr>
      </w:pPr>
      <w:r w:rsidRPr="00A94D3E">
        <w:t xml:space="preserve">Given the nature of environmental problems that have no geographic boundaries, multi-boundary policies and cooperation are needed. Some examples include the </w:t>
      </w:r>
      <w:r w:rsidR="007C45FD" w:rsidRPr="00A94D3E">
        <w:t>sub</w:t>
      </w:r>
      <w:r w:rsidRPr="00A94D3E">
        <w:t xml:space="preserve">regional management of flying fish among eastern Caribbean countries (CRFM, 2014). </w:t>
      </w:r>
      <w:r w:rsidRPr="00A94D3E">
        <w:rPr>
          <w:shd w:val="clear" w:color="auto" w:fill="FCFCFC"/>
        </w:rPr>
        <w:t>An example of increasing regional cooperation between Argentina, Bolivia, Brazil, Paraguay and Uruguay to manage multi-boundary water</w:t>
      </w:r>
      <w:r w:rsidR="00F0314B" w:rsidRPr="00A94D3E">
        <w:rPr>
          <w:shd w:val="clear" w:color="auto" w:fill="FCFCFC"/>
        </w:rPr>
        <w:t xml:space="preserve"> resources is showcased in the Río de l</w:t>
      </w:r>
      <w:r w:rsidRPr="00A94D3E">
        <w:rPr>
          <w:shd w:val="clear" w:color="auto" w:fill="FCFCFC"/>
        </w:rPr>
        <w:t xml:space="preserve">a Plata </w:t>
      </w:r>
      <w:r w:rsidR="00F0314B" w:rsidRPr="00A94D3E">
        <w:rPr>
          <w:shd w:val="clear" w:color="auto" w:fill="FCFCFC"/>
        </w:rPr>
        <w:t>b</w:t>
      </w:r>
      <w:r w:rsidRPr="00A94D3E">
        <w:rPr>
          <w:shd w:val="clear" w:color="auto" w:fill="FCFCFC"/>
        </w:rPr>
        <w:t xml:space="preserve">asin (Leb, 2015; Siegel, 2017). Another </w:t>
      </w:r>
      <w:r w:rsidRPr="00A94D3E">
        <w:t xml:space="preserve">transboundary agreement, governance model, and cooperative initiative to manage water quality is found in the Great Lakes basin between the USA and Canada (Clamen </w:t>
      </w:r>
      <w:r w:rsidR="00D41CBE" w:rsidRPr="00A94D3E">
        <w:t>&amp;</w:t>
      </w:r>
      <w:r w:rsidRPr="00A94D3E">
        <w:t xml:space="preserve"> Macfarlane, 2015; Jetoo et al., 2015; Johns, 2017). </w:t>
      </w:r>
    </w:p>
    <w:p w14:paraId="7DA12F8A" w14:textId="6694C9E9" w:rsidR="00F44157" w:rsidRPr="00A94D3E" w:rsidRDefault="00333557" w:rsidP="007F21DD">
      <w:pPr>
        <w:spacing w:before="120" w:after="120"/>
      </w:pPr>
      <w:r w:rsidRPr="00A94D3E">
        <w:t xml:space="preserve">The diversity of the region, and nature’s contributions to people are affected by policies, incentives, disincentives, and other decisions at all scales by altering positively and negatively how governments, institutions, and individuals interact with nature. Moreover, socio-environmental challenges are often shared between countries, which suggest that regional and </w:t>
      </w:r>
      <w:r w:rsidR="007C45FD" w:rsidRPr="00A94D3E">
        <w:t>sub</w:t>
      </w:r>
      <w:r w:rsidRPr="00A94D3E">
        <w:t xml:space="preserve">regional cooperation may be essential to find and enhance solutions (Gander, 2014). Because of these complexities, an integrated assessment of biodiversity and </w:t>
      </w:r>
      <w:r w:rsidR="000447C5" w:rsidRPr="00A94D3E">
        <w:t>NCP</w:t>
      </w:r>
      <w:r w:rsidRPr="00A94D3E">
        <w:t xml:space="preserve"> is necessary to untangle the many interlinkages, at regional and subregional scales (Figure 1.1).</w:t>
      </w:r>
    </w:p>
    <w:p w14:paraId="7FC959FC" w14:textId="77777777" w:rsidR="007F21DD" w:rsidRPr="008608AA" w:rsidRDefault="007F21DD" w:rsidP="007F21DD">
      <w:pPr>
        <w:spacing w:before="120" w:after="120"/>
      </w:pPr>
    </w:p>
    <w:p w14:paraId="4E731CA8" w14:textId="7174CB2F" w:rsidR="0093713E" w:rsidRPr="008608AA" w:rsidRDefault="00B3307F" w:rsidP="007F21DD">
      <w:pPr>
        <w:spacing w:before="120" w:after="120"/>
      </w:pPr>
      <w:r w:rsidRPr="008608AA">
        <w:rPr>
          <w:noProof/>
          <w:lang w:val="en-GB" w:eastAsia="en-GB"/>
        </w:rPr>
        <w:drawing>
          <wp:inline distT="0" distB="0" distL="0" distR="0" wp14:anchorId="154FD35E" wp14:editId="74D0E462">
            <wp:extent cx="5934075" cy="5133975"/>
            <wp:effectExtent l="0" t="0" r="9525" b="9525"/>
            <wp:docPr id="1" name="Imagen 1" descr="C:\Users\Alejandro Valderrama\Downloads\Fig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Alejandro Valderrama\Downloads\Fig1.1 (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b="39977"/>
                    <a:stretch/>
                  </pic:blipFill>
                  <pic:spPr bwMode="auto">
                    <a:xfrm>
                      <a:off x="0" y="0"/>
                      <a:ext cx="5934075" cy="5133975"/>
                    </a:xfrm>
                    <a:prstGeom prst="rect">
                      <a:avLst/>
                    </a:prstGeom>
                    <a:noFill/>
                    <a:ln>
                      <a:noFill/>
                    </a:ln>
                    <a:extLst>
                      <a:ext uri="{53640926-AAD7-44D8-BBD7-CCE9431645EC}">
                        <a14:shadowObscured xmlns:a14="http://schemas.microsoft.com/office/drawing/2010/main"/>
                      </a:ext>
                    </a:extLst>
                  </pic:spPr>
                </pic:pic>
              </a:graphicData>
            </a:graphic>
          </wp:inline>
        </w:drawing>
      </w:r>
    </w:p>
    <w:p w14:paraId="156F61A9" w14:textId="12ACA28C" w:rsidR="007F21DD" w:rsidRPr="008608AA" w:rsidRDefault="007F21DD" w:rsidP="006D363B">
      <w:pPr>
        <w:jc w:val="center"/>
        <w:rPr>
          <w:lang w:val="en-GB" w:eastAsia="es-CO"/>
        </w:rPr>
      </w:pPr>
      <w:bookmarkStart w:id="59" w:name="_Toc502908163"/>
      <w:bookmarkStart w:id="60" w:name="_Toc502927247"/>
      <w:bookmarkStart w:id="61" w:name="_Toc502951089"/>
      <w:bookmarkStart w:id="62" w:name="_Toc502953532"/>
      <w:bookmarkStart w:id="63" w:name="_Toc502954825"/>
      <w:bookmarkStart w:id="64" w:name="_Toc502957632"/>
      <w:bookmarkStart w:id="65" w:name="_Toc502957985"/>
      <w:bookmarkStart w:id="66" w:name="_Toc503293629"/>
      <w:bookmarkStart w:id="67" w:name="_Toc503293891"/>
      <w:bookmarkStart w:id="68" w:name="_Toc503863284"/>
      <w:bookmarkStart w:id="69" w:name="_Toc503863512"/>
    </w:p>
    <w:p w14:paraId="2047AB27" w14:textId="4CFCB317" w:rsidR="00F44157" w:rsidRPr="008608AA" w:rsidRDefault="00333557" w:rsidP="0092793F">
      <w:pPr>
        <w:pStyle w:val="Heading2"/>
      </w:pPr>
      <w:bookmarkStart w:id="70" w:name="_Toc517391810"/>
      <w:bookmarkStart w:id="71" w:name="_Toc517393199"/>
      <w:bookmarkStart w:id="72" w:name="_Toc517718940"/>
      <w:bookmarkStart w:id="73" w:name="_Toc517796897"/>
      <w:r w:rsidRPr="008608AA">
        <w:t xml:space="preserve">The core policy-relevant questions for the Americas </w:t>
      </w:r>
      <w:r w:rsidR="0053392A" w:rsidRPr="008608AA">
        <w:t>Assessment</w:t>
      </w:r>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787DC205" w14:textId="621CB128" w:rsidR="00F44157" w:rsidRPr="00A94D3E" w:rsidRDefault="00333557" w:rsidP="007F21DD">
      <w:pPr>
        <w:spacing w:before="120" w:after="120"/>
      </w:pPr>
      <w:r w:rsidRPr="00A94D3E">
        <w:t>Given the complexity of environmental problems and processes, decision makers in civil society, governments and the private sector have expressed their need for IPBES experts to answer key core questions specific for the American continent. These requests and suggestions put forward by governments, stakeholders and multilateral environmental agreements were submitted to IPBES. Experts, selected by the IPBES Multidisciplinary Expert Panel</w:t>
      </w:r>
      <w:r w:rsidR="002319BB" w:rsidRPr="00A94D3E">
        <w:t xml:space="preserve"> (MEP</w:t>
      </w:r>
      <w:r w:rsidR="007E19A1" w:rsidRPr="00A94D3E">
        <w:t>), assessed the scope of R</w:t>
      </w:r>
      <w:r w:rsidRPr="00A94D3E">
        <w:t xml:space="preserve">egional </w:t>
      </w:r>
      <w:r w:rsidR="0053392A" w:rsidRPr="00A94D3E">
        <w:t>Assessment</w:t>
      </w:r>
      <w:r w:rsidRPr="00A94D3E">
        <w:t xml:space="preserve">s and reached consensus on the contents to be included in each chapter of the </w:t>
      </w:r>
      <w:r w:rsidR="0053392A" w:rsidRPr="00A94D3E">
        <w:t>Assessment</w:t>
      </w:r>
      <w:r w:rsidRPr="00A94D3E">
        <w:t>. The resulting scoping assessment was approved by the IPBES Plenary in 2015 and was the foundation for developing this</w:t>
      </w:r>
      <w:r w:rsidR="0053392A" w:rsidRPr="00A94D3E">
        <w:t xml:space="preserve"> R</w:t>
      </w:r>
      <w:r w:rsidRPr="00A94D3E">
        <w:t xml:space="preserve">egional </w:t>
      </w:r>
      <w:r w:rsidR="0053392A" w:rsidRPr="00A94D3E">
        <w:t>Assessment</w:t>
      </w:r>
      <w:r w:rsidRPr="00A94D3E">
        <w:t xml:space="preserve"> for the Americas (IPBES, 2015</w:t>
      </w:r>
      <w:r w:rsidR="0053392A" w:rsidRPr="00A94D3E">
        <w:t>a). Consequently, the Americas R</w:t>
      </w:r>
      <w:r w:rsidRPr="00A94D3E">
        <w:t xml:space="preserve">egional </w:t>
      </w:r>
      <w:r w:rsidR="0053392A" w:rsidRPr="00A94D3E">
        <w:t>A</w:t>
      </w:r>
      <w:r w:rsidRPr="00A94D3E">
        <w:t xml:space="preserve">ssessment is expected to address the following policy-relevant questions: </w:t>
      </w:r>
    </w:p>
    <w:p w14:paraId="0B892544" w14:textId="77777777" w:rsidR="00F44157" w:rsidRPr="00A94D3E" w:rsidRDefault="00333557" w:rsidP="007F21DD">
      <w:pPr>
        <w:spacing w:before="120" w:after="120"/>
      </w:pPr>
      <w:r w:rsidRPr="00A94D3E">
        <w:t xml:space="preserve">(a) How do biodiversity and ecosystem functions and services contribute to the economy, livelihoods, food security, and good quality of life in the region, and what are their interlinkages? </w:t>
      </w:r>
    </w:p>
    <w:p w14:paraId="27676777" w14:textId="6F90ADBE" w:rsidR="00F44157" w:rsidRPr="00A94D3E" w:rsidRDefault="00333557" w:rsidP="007F21DD">
      <w:pPr>
        <w:spacing w:before="120" w:after="120"/>
        <w:rPr>
          <w:b/>
        </w:rPr>
      </w:pPr>
      <w:r w:rsidRPr="00A94D3E">
        <w:t xml:space="preserve">(b) What are the status and trends of biodiversity and ecosystem functions underpinning </w:t>
      </w:r>
      <w:r w:rsidR="000447C5" w:rsidRPr="00A94D3E">
        <w:t>NCP</w:t>
      </w:r>
      <w:r w:rsidRPr="00A94D3E">
        <w:t xml:space="preserve"> that ultimately affect their contribution to the economy, livelihoods and well-being in the region?</w:t>
      </w:r>
      <w:r w:rsidRPr="00A94D3E">
        <w:rPr>
          <w:b/>
        </w:rPr>
        <w:t xml:space="preserve"> </w:t>
      </w:r>
    </w:p>
    <w:p w14:paraId="44F8F7D4" w14:textId="77777777" w:rsidR="00F44157" w:rsidRPr="00A94D3E" w:rsidRDefault="00333557" w:rsidP="007F21DD">
      <w:pPr>
        <w:spacing w:before="120" w:after="120"/>
      </w:pPr>
      <w:r w:rsidRPr="00A94D3E">
        <w:t xml:space="preserve"> (c) What are the pressures driving the change in the status and trends of biodiversity, ecosystem functions, ecosystem services and good quality of life in the region? </w:t>
      </w:r>
    </w:p>
    <w:p w14:paraId="1E485151" w14:textId="77777777" w:rsidR="00F44157" w:rsidRPr="008608AA" w:rsidRDefault="00333557" w:rsidP="007F21DD">
      <w:pPr>
        <w:spacing w:before="120" w:after="120"/>
      </w:pPr>
      <w:r w:rsidRPr="008608AA">
        <w:t xml:space="preserve">(d) What are the actual and potential impacts of various policies and interventions on the contribution of biodiversity, ecosystem functions and ecosystem services to the sustainability of the economy, livelihoods, food security and quality of life in the region? </w:t>
      </w:r>
    </w:p>
    <w:p w14:paraId="576446F9" w14:textId="77777777" w:rsidR="00F44157" w:rsidRPr="008608AA" w:rsidRDefault="00333557" w:rsidP="007F21DD">
      <w:pPr>
        <w:spacing w:before="120" w:after="120"/>
      </w:pPr>
      <w:r w:rsidRPr="008608AA">
        <w:t>(e) What gaps in knowledge need to be addressed in order to better understand the distribution of biodiversity and assess drivers, impacts and responses of biodiversity, ecosystem functions and services at the regional and biome levels?</w:t>
      </w:r>
    </w:p>
    <w:p w14:paraId="3D03A14A" w14:textId="673E333B" w:rsidR="00F44157" w:rsidRPr="008608AA" w:rsidRDefault="0053392A" w:rsidP="007F21DD">
      <w:pPr>
        <w:spacing w:before="120" w:after="120"/>
      </w:pPr>
      <w:r w:rsidRPr="008608AA">
        <w:t>The Americas Regional and S</w:t>
      </w:r>
      <w:r w:rsidR="00333557" w:rsidRPr="008608AA">
        <w:t xml:space="preserve">ubregional </w:t>
      </w:r>
      <w:r w:rsidRPr="008608AA">
        <w:t xml:space="preserve">Assessment </w:t>
      </w:r>
      <w:r w:rsidR="00333557" w:rsidRPr="008608AA">
        <w:t xml:space="preserve">on biodiversity, ecosystem function and ecosystem services is designed to provide a credible, legitimate, holistic, and comprehensive analysis of the current state of scientific and other </w:t>
      </w:r>
      <w:r w:rsidR="00EA09F6" w:rsidRPr="008608AA">
        <w:t xml:space="preserve">types of </w:t>
      </w:r>
      <w:r w:rsidR="00333557" w:rsidRPr="008608AA">
        <w:t>knowledge. It will analyze options and policy support tools for sustainable management of biodiversity, ecosystem function and ecosystem services under alternative scenarios and present success stories, best practices, and lessons learned, including progress made in the Strategic Plan for Biodiv</w:t>
      </w:r>
      <w:r w:rsidR="000447C5" w:rsidRPr="008608AA">
        <w:t>ersity 2011–2020 and its Aichi b</w:t>
      </w:r>
      <w:r w:rsidR="00333557" w:rsidRPr="008608AA">
        <w:t xml:space="preserve">iodiversity </w:t>
      </w:r>
      <w:r w:rsidR="00847F60" w:rsidRPr="008608AA">
        <w:t>target</w:t>
      </w:r>
      <w:r w:rsidR="00333557" w:rsidRPr="008608AA">
        <w:t>s, the Sustainable Development Goals (SDG</w:t>
      </w:r>
      <w:r w:rsidR="002319BB" w:rsidRPr="008608AA">
        <w:t>s</w:t>
      </w:r>
      <w:r w:rsidR="00333557" w:rsidRPr="008608AA">
        <w:t xml:space="preserve">), and the National Biodiversity Strategies and Action Plans developed under the Convention on Biological Diversity (CBD). This </w:t>
      </w:r>
      <w:r w:rsidRPr="008608AA">
        <w:t>Assessment</w:t>
      </w:r>
      <w:r w:rsidR="00333557" w:rsidRPr="008608AA">
        <w:t xml:space="preserve"> will also identify current gaps in capacity and knowledge and options for addressing them at relevant levels. </w:t>
      </w:r>
    </w:p>
    <w:p w14:paraId="288FCCAB" w14:textId="77777777" w:rsidR="007F21DD" w:rsidRPr="008608AA" w:rsidRDefault="007F21DD" w:rsidP="007F21DD">
      <w:pPr>
        <w:spacing w:before="120" w:after="120"/>
      </w:pPr>
    </w:p>
    <w:p w14:paraId="4F4F5DC3" w14:textId="1A0342EE" w:rsidR="00F44157" w:rsidRPr="008608AA" w:rsidRDefault="00333557" w:rsidP="0092793F">
      <w:pPr>
        <w:pStyle w:val="Heading3"/>
      </w:pPr>
      <w:bookmarkStart w:id="74" w:name="_Toc502908164"/>
      <w:bookmarkStart w:id="75" w:name="_Toc502927248"/>
      <w:bookmarkStart w:id="76" w:name="_Toc502951090"/>
      <w:bookmarkStart w:id="77" w:name="_Toc502953533"/>
      <w:bookmarkStart w:id="78" w:name="_Toc502954826"/>
      <w:bookmarkStart w:id="79" w:name="_Toc502957633"/>
      <w:bookmarkStart w:id="80" w:name="_Toc502957986"/>
      <w:bookmarkStart w:id="81" w:name="_Toc503293630"/>
      <w:bookmarkStart w:id="82" w:name="_Toc503293892"/>
      <w:bookmarkStart w:id="83" w:name="_Toc503863285"/>
      <w:bookmarkStart w:id="84" w:name="_Toc503863513"/>
      <w:bookmarkStart w:id="85" w:name="_Toc517391811"/>
      <w:bookmarkStart w:id="86" w:name="_Toc517393200"/>
      <w:bookmarkStart w:id="87" w:name="_Toc517718941"/>
      <w:bookmarkStart w:id="88" w:name="_Toc517796898"/>
      <w:r w:rsidRPr="008608AA">
        <w:t>How do biodiversity and ecosystem functions and services contribute to the economy, livelihoods, food security, and good quality of life in the region, and what are their interlinkages?</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r w:rsidRPr="008608AA">
        <w:t xml:space="preserve"> </w:t>
      </w:r>
    </w:p>
    <w:p w14:paraId="32CCDF6D" w14:textId="2C0D7C7E" w:rsidR="00F44157" w:rsidRPr="008608AA" w:rsidRDefault="00333557" w:rsidP="000D3A1C">
      <w:pPr>
        <w:spacing w:before="120" w:after="120"/>
      </w:pPr>
      <w:r w:rsidRPr="008608AA">
        <w:t>Nature (biodiversity and ecosystems) and the contributions it makes available to people (ecosystem functions and services) referred as NCP are essential to achieve a good quality of life in the Americas. Economies and societies depend –to different extents</w:t>
      </w:r>
      <w:r w:rsidR="00EA09F6" w:rsidRPr="008608AA">
        <w:t xml:space="preserve">– </w:t>
      </w:r>
      <w:r w:rsidRPr="008608AA">
        <w:t>on NCP to achieve food, water and energy</w:t>
      </w:r>
      <w:r w:rsidR="000633FB" w:rsidRPr="008608AA">
        <w:t xml:space="preserve"> security</w:t>
      </w:r>
      <w:r w:rsidRPr="008608AA">
        <w:t xml:space="preserve">, generate income and support livelihoods and health. This includes food and feed, medicine, energy, fibers, and construction materials. Nature´s regulating contributions are critical for environmental functions such as the regulation of freshwater quantity, flow and quality (Kimbell </w:t>
      </w:r>
      <w:r w:rsidR="00855B89" w:rsidRPr="008608AA">
        <w:t>&amp;</w:t>
      </w:r>
      <w:r w:rsidRPr="008608AA">
        <w:t xml:space="preserve"> Brown, 2009; Mueller et al., 2013; Russi et al., 2013; Grizzetti et al., 2016). These contributions are essential to foster water security</w:t>
      </w:r>
      <w:r w:rsidR="00876A94" w:rsidRPr="008608AA">
        <w:rPr>
          <w:rStyle w:val="FootnoteReference"/>
        </w:rPr>
        <w:footnoteReference w:id="3"/>
      </w:r>
      <w:r w:rsidRPr="008608AA">
        <w:t xml:space="preserve"> in the Americas (see Chapter 2). They can be threatened by climate change and by excessive extractive uses affecting mainly water users, business operations, and biodiversity (Postel, 2000; Ramsar, 2008; Gleeson et al., 2012).</w:t>
      </w:r>
    </w:p>
    <w:p w14:paraId="78A42D6A" w14:textId="2D658887" w:rsidR="00F44157" w:rsidRPr="008608AA" w:rsidRDefault="00333557" w:rsidP="000D3A1C">
      <w:pPr>
        <w:spacing w:before="120" w:after="120"/>
      </w:pPr>
      <w:r w:rsidRPr="008608AA">
        <w:t xml:space="preserve">A good quality of life, shaped by one’s worldview, can be interpreted as how non-material </w:t>
      </w:r>
      <w:r w:rsidR="002319BB" w:rsidRPr="008608AA">
        <w:t xml:space="preserve">nature’s </w:t>
      </w:r>
      <w:r w:rsidRPr="008608AA">
        <w:t>contributions help societies achieve a compassionate and equitable life, and provide learning and inspiration for culture, identity, social cohesion and symbolic bonds with nature. It can also encompass the relationships between humans, land, plants, animals, mountains and other sacred elements (Chapter 3).</w:t>
      </w:r>
    </w:p>
    <w:p w14:paraId="4D6F2D06" w14:textId="616AF130" w:rsidR="00F44157" w:rsidRPr="008608AA" w:rsidRDefault="00333557" w:rsidP="000D3A1C">
      <w:pPr>
        <w:spacing w:before="120" w:after="120"/>
      </w:pPr>
      <w:r w:rsidRPr="008608AA">
        <w:t xml:space="preserve">There is considerable evidence of the harmful effects of nature’s degradation on public health, livelihoods and both regional and national economies in the Americas (see Chapters 2-4). Pollution is considered the number one cause of death and disease, contributing to </w:t>
      </w:r>
      <w:r w:rsidRPr="008608AA">
        <w:rPr>
          <w:color w:val="333333"/>
        </w:rPr>
        <w:t xml:space="preserve">an estimated nine million premature deaths (Das </w:t>
      </w:r>
      <w:r w:rsidR="00855B89" w:rsidRPr="008608AA">
        <w:rPr>
          <w:color w:val="333333"/>
        </w:rPr>
        <w:t>&amp;</w:t>
      </w:r>
      <w:r w:rsidRPr="008608AA">
        <w:rPr>
          <w:color w:val="333333"/>
        </w:rPr>
        <w:t xml:space="preserve"> Horton, 2017). </w:t>
      </w:r>
      <w:r w:rsidRPr="008608AA">
        <w:t xml:space="preserve">Harmful effects of environmental degradation (e.g. air pollution, land degradation, natural disasters) disproportionately affect the poorest populations and therefore pose a threat to inclusive development (WB </w:t>
      </w:r>
      <w:r w:rsidR="00855B89" w:rsidRPr="008608AA">
        <w:t>&amp;</w:t>
      </w:r>
      <w:r w:rsidRPr="008608AA">
        <w:t xml:space="preserve"> IHME, 2016). Often, the poorest segments of societies live and work in polluted environments and are most vulnerable to natural disasters and the impacts of extreme weather events, which leads to increasing inequality (Scarano </w:t>
      </w:r>
      <w:r w:rsidR="002E7906" w:rsidRPr="008608AA">
        <w:t>&amp;</w:t>
      </w:r>
      <w:r w:rsidRPr="008608AA">
        <w:t xml:space="preserve"> Ceotto, 2015; Young et al., 2015). Industrial facilities and other sources of air pollution have often been sited close to poor minority communities, which lead to inequitable exposure to poor quality environments (Morello-Frosch et al., 2011). In poor urban neighborhoods, asthma rates are far greater than the national average (Claudio et al., 2006).  </w:t>
      </w:r>
    </w:p>
    <w:p w14:paraId="3D1F2036" w14:textId="60268427" w:rsidR="00F44157" w:rsidRPr="008608AA" w:rsidRDefault="00333557" w:rsidP="000D3A1C">
      <w:pPr>
        <w:spacing w:before="120" w:after="120"/>
      </w:pPr>
      <w:r w:rsidRPr="008608AA">
        <w:t xml:space="preserve">Recent decades have seen the development of research at the interface of ecology, economics (e.g. TEEB, 2010; Haines-Young </w:t>
      </w:r>
      <w:r w:rsidR="002E7906" w:rsidRPr="008608AA">
        <w:t>&amp;</w:t>
      </w:r>
      <w:r w:rsidRPr="008608AA">
        <w:t xml:space="preserve"> Potschin, 2012) and human demographics (Aide </w:t>
      </w:r>
      <w:r w:rsidR="002E7906" w:rsidRPr="008608AA">
        <w:t>&amp;</w:t>
      </w:r>
      <w:r w:rsidRPr="008608AA">
        <w:t xml:space="preserve"> Grau, 2004) that describe the complex interdependence of NCP, economies and well-being. These studies focus on drivers of change in land use and patterns of biodiversity and potential outcomes for NCP and human well-being. For example, agricultural lands are the world’s largest managed ecosystem, now covering 40% of global terrestrial surface (Foley et al., 2005). The changes of vegetation were made to enhance a single provisioning service – food for people (Wood </w:t>
      </w:r>
      <w:r w:rsidR="002E7906" w:rsidRPr="008608AA">
        <w:t>&amp;</w:t>
      </w:r>
      <w:r w:rsidRPr="008608AA">
        <w:t xml:space="preserve"> DeClerck, 2015), but this has come at the cost of significant degradation of water quality and quantity, increased greenhouse gas emissions, disruption of natural pest control, pollination and nutrient cycling processes (Matson et al., 1997; </w:t>
      </w:r>
      <w:r w:rsidR="007B7FA6" w:rsidRPr="008608AA">
        <w:t xml:space="preserve">Diaz &amp; Rosenberg, 2008; </w:t>
      </w:r>
      <w:r w:rsidRPr="008608AA">
        <w:t xml:space="preserve">Klein et al., 2009) and has impacted the livelihoods of local and Indigenous Peoples tied to their natural environments (Altieri </w:t>
      </w:r>
      <w:r w:rsidR="002E7906" w:rsidRPr="008608AA">
        <w:t>&amp;</w:t>
      </w:r>
      <w:r w:rsidRPr="008608AA">
        <w:t xml:space="preserve"> Toledo, 2011; DESA, 2014). However, current research indicates that agricultural lands can become significant providers of many ecosystem services, depending on their design and management (Kremen </w:t>
      </w:r>
      <w:r w:rsidR="005A332A" w:rsidRPr="008608AA">
        <w:t>&amp;</w:t>
      </w:r>
      <w:r w:rsidRPr="008608AA">
        <w:t xml:space="preserve"> Miles, </w:t>
      </w:r>
      <w:r w:rsidR="005A332A" w:rsidRPr="008608AA">
        <w:t>2012; Zhang et al., 2014; Wood &amp;</w:t>
      </w:r>
      <w:r w:rsidRPr="008608AA">
        <w:t xml:space="preserve"> DeClerck, 2015) as well as on function and the diversity within and the surrounding landscape (Kremen </w:t>
      </w:r>
      <w:r w:rsidR="005A332A" w:rsidRPr="008608AA">
        <w:t>&amp;</w:t>
      </w:r>
      <w:r w:rsidRPr="008608AA">
        <w:t xml:space="preserve"> Ostfeld, 2005; MEA, 2005; Tscharntke et al., 2005; TEEB, 2010).</w:t>
      </w:r>
    </w:p>
    <w:p w14:paraId="6E239A12" w14:textId="37D99C7E" w:rsidR="00F44157" w:rsidRPr="008608AA" w:rsidRDefault="00333557" w:rsidP="000D3A1C">
      <w:pPr>
        <w:spacing w:before="120" w:after="120"/>
      </w:pPr>
      <w:r w:rsidRPr="008608AA">
        <w:t xml:space="preserve">Exploring this issue contributes to understanding relationships among economy, livelihoods and well-being in the region. Finding solutions will require integration across social and ecological systems and investigation of questions about how ecosystem services are co-produced by social systems of management and ecosystem design; how costs and benefits from alternative approaches of NCP </w:t>
      </w:r>
      <w:r w:rsidR="007B7FA6" w:rsidRPr="008608AA">
        <w:t xml:space="preserve">use </w:t>
      </w:r>
      <w:r w:rsidRPr="008608AA">
        <w:t xml:space="preserve">are distributed among sectors of societies and cultures, and consequences of alternative practices for governance of </w:t>
      </w:r>
      <w:r w:rsidR="007B7FA6" w:rsidRPr="008608AA">
        <w:t>n</w:t>
      </w:r>
      <w:r w:rsidRPr="008608AA">
        <w:t xml:space="preserve">ature and its uses (Bennett et al., 2015). The </w:t>
      </w:r>
      <w:r w:rsidR="0053392A" w:rsidRPr="008608AA">
        <w:t>Assessment</w:t>
      </w:r>
      <w:r w:rsidRPr="008608AA">
        <w:t xml:space="preserve"> will also explore how today’s answers to the questions may shift in response to major drivers, including climate change (e.g. FAO, 2013), cultural preferences, and shifting patterns of land use. The Americas is the most urbanized region worldwide (UN, 2013). In the last five decades, the proportion of the population of Latin America and Caribbean living in rural areas has dropped significantly, as populations become concentrated in urban centers (DESA, 2014). Perhaps most importantly the </w:t>
      </w:r>
      <w:r w:rsidR="0053392A" w:rsidRPr="008608AA">
        <w:t>Assessment</w:t>
      </w:r>
      <w:r w:rsidRPr="008608AA">
        <w:t xml:space="preserve"> will review situations traditionally presented as requiring direct trade-offs among pairs of alternative uses of specific NCP in broader conceptual terms, considering the full range of NCP collectively, the distribution of benefits and costs among the full range of people affected by the trade-offs, and the multiplicity of worldviews about the values attached to the different NCP.</w:t>
      </w:r>
    </w:p>
    <w:p w14:paraId="049F75DD" w14:textId="77777777" w:rsidR="000D3A1C" w:rsidRPr="008608AA" w:rsidRDefault="000D3A1C" w:rsidP="000D3A1C">
      <w:pPr>
        <w:spacing w:before="120" w:after="120"/>
      </w:pPr>
    </w:p>
    <w:p w14:paraId="66DA984D" w14:textId="5189E310" w:rsidR="00F44157" w:rsidRPr="008608AA" w:rsidRDefault="00333557" w:rsidP="00AB6BEC">
      <w:pPr>
        <w:pStyle w:val="Heading3"/>
      </w:pPr>
      <w:bookmarkStart w:id="89" w:name="_Toc502908165"/>
      <w:bookmarkStart w:id="90" w:name="_Toc502927249"/>
      <w:bookmarkStart w:id="91" w:name="_Toc502951091"/>
      <w:bookmarkStart w:id="92" w:name="_Toc502953534"/>
      <w:bookmarkStart w:id="93" w:name="_Toc502954827"/>
      <w:bookmarkStart w:id="94" w:name="_Toc502957634"/>
      <w:bookmarkStart w:id="95" w:name="_Toc502957987"/>
      <w:bookmarkStart w:id="96" w:name="_Toc503293631"/>
      <w:bookmarkStart w:id="97" w:name="_Toc503293893"/>
      <w:bookmarkStart w:id="98" w:name="_Toc503863286"/>
      <w:bookmarkStart w:id="99" w:name="_Toc503863514"/>
      <w:bookmarkStart w:id="100" w:name="_Toc517391812"/>
      <w:bookmarkStart w:id="101" w:name="_Toc517393201"/>
      <w:bookmarkStart w:id="102" w:name="_Toc517718942"/>
      <w:bookmarkStart w:id="103" w:name="_Toc517796899"/>
      <w:r w:rsidRPr="008608AA">
        <w:t>What are the status, trends of biodiversity and ecosystem functions underpinning nature’s benefit to people that ultimately affect their contribution to the economy, livelihoods and well-being in the region?</w:t>
      </w:r>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p w14:paraId="6B11B43C" w14:textId="7145500F" w:rsidR="00F44157" w:rsidRPr="008608AA" w:rsidRDefault="00333557" w:rsidP="000D3A1C">
      <w:pPr>
        <w:spacing w:before="120" w:after="120"/>
      </w:pPr>
      <w:bookmarkStart w:id="104" w:name="_4d34og8" w:colFirst="0" w:colLast="0"/>
      <w:bookmarkEnd w:id="104"/>
      <w:r w:rsidRPr="008608AA">
        <w:t xml:space="preserve">The status and trends of biodiversity and NCP cannot be interpreted independent of the policy framework in which the </w:t>
      </w:r>
      <w:r w:rsidR="0053392A" w:rsidRPr="008608AA">
        <w:t>Assessment</w:t>
      </w:r>
      <w:r w:rsidRPr="008608AA">
        <w:t xml:space="preserve"> is conducted. To illustrate, increases in food production and exports may be seen by policy makers as progress towards their specific goal to increase quality of life of the poor by intensifying use of nature’s contributions (e.g. the 10 year projections of agriculture output of the Brazilian agricultural research centre and Argentina’s, Colombia’s and others in the Amazon basin). However, although intensification of agriculture can increase GDP or </w:t>
      </w:r>
      <w:r w:rsidR="00F71CE4" w:rsidRPr="008608AA">
        <w:t>Human Development Index (</w:t>
      </w:r>
      <w:r w:rsidRPr="008608AA">
        <w:t>HDI</w:t>
      </w:r>
      <w:r w:rsidR="00F71CE4" w:rsidRPr="008608AA">
        <w:t>)</w:t>
      </w:r>
      <w:r w:rsidRPr="008608AA">
        <w:t>, if not done sustainably, it can lead to loss of ecosystems and their services (FAO, 2013; Venter et al., 2016) that can have downstream affects. The loss of feeding and reproduction habitats in floodplains of the Amazon due to conversion to agriculture could dramatically affect fisheries in the Amazon Delta, which is one of the pillars of traditional and industrial economie</w:t>
      </w:r>
      <w:r w:rsidR="0053392A" w:rsidRPr="008608AA">
        <w:t>s there. Consequently, in this R</w:t>
      </w:r>
      <w:r w:rsidRPr="008608AA">
        <w:t xml:space="preserve">egional </w:t>
      </w:r>
      <w:r w:rsidR="0053392A" w:rsidRPr="008608AA">
        <w:t>A</w:t>
      </w:r>
      <w:r w:rsidRPr="008608AA">
        <w:t>ssessment, the status and trends in terms of impacts on biodiversity, extinction rates, and ecosystem health are assessed. Any documented trends, and status relative to descriptive benchmarks (like average for the past decade) may then be interpreted relative to a various goals governments and sectors of society may have for the area.</w:t>
      </w:r>
    </w:p>
    <w:p w14:paraId="213C6214" w14:textId="4D64FDF4" w:rsidR="00F44157" w:rsidRPr="008608AA" w:rsidRDefault="00333557" w:rsidP="000D3A1C">
      <w:pPr>
        <w:spacing w:before="120" w:after="120"/>
      </w:pPr>
      <w:r w:rsidRPr="008608AA">
        <w:t xml:space="preserve">Throughout this </w:t>
      </w:r>
      <w:r w:rsidR="0053392A" w:rsidRPr="008608AA">
        <w:t>Assessment</w:t>
      </w:r>
      <w:r w:rsidR="00A47F44" w:rsidRPr="008608AA">
        <w:t xml:space="preserve"> we refer in some places to n</w:t>
      </w:r>
      <w:r w:rsidRPr="008608AA">
        <w:t>ature, and in other places to biodiversity. When reference is made to “</w:t>
      </w:r>
      <w:r w:rsidR="00F71CE4" w:rsidRPr="008608AA">
        <w:t>n</w:t>
      </w:r>
      <w:r w:rsidRPr="008608AA">
        <w:t xml:space="preserve">ature” the intent is to refer to </w:t>
      </w:r>
      <w:r w:rsidR="000633FB" w:rsidRPr="008608AA">
        <w:t>n</w:t>
      </w:r>
      <w:r w:rsidRPr="008608AA">
        <w:t xml:space="preserve">ature in a holistic and unified way – all its structural components, its functional relationships and processes, and the place of humanity within it. When the </w:t>
      </w:r>
      <w:r w:rsidR="0053392A" w:rsidRPr="008608AA">
        <w:t>Assessment</w:t>
      </w:r>
      <w:r w:rsidRPr="008608AA">
        <w:t xml:space="preserve"> is considering specific pieces of nature – populations species, communities or ecosystems, the component functions and processes, or human uses of or </w:t>
      </w:r>
      <w:r w:rsidR="00A47F44" w:rsidRPr="008608AA">
        <w:t>impacts on specific aspects of n</w:t>
      </w:r>
      <w:r w:rsidRPr="008608AA">
        <w:t xml:space="preserve">ature, the term biodiversity will be used. The associated text will often include adjectives or phrases to make clear what scale and aspect of “biodiversity” is being discussed.  </w:t>
      </w:r>
    </w:p>
    <w:p w14:paraId="6C73A9EF" w14:textId="77777777" w:rsidR="000D3A1C" w:rsidRPr="008608AA" w:rsidRDefault="000D3A1C" w:rsidP="000D3A1C">
      <w:pPr>
        <w:spacing w:before="120" w:after="120"/>
      </w:pPr>
    </w:p>
    <w:p w14:paraId="248B4B8B" w14:textId="1A587F0A" w:rsidR="00F44157" w:rsidRPr="008608AA" w:rsidRDefault="00333557" w:rsidP="000D3A1C">
      <w:pPr>
        <w:pStyle w:val="Heading3"/>
      </w:pPr>
      <w:bookmarkStart w:id="105" w:name="_2s8eyo1" w:colFirst="0" w:colLast="0"/>
      <w:bookmarkStart w:id="106" w:name="_Toc517391813"/>
      <w:bookmarkStart w:id="107" w:name="_Toc517393202"/>
      <w:bookmarkStart w:id="108" w:name="_Toc517718943"/>
      <w:bookmarkStart w:id="109" w:name="_Toc517796900"/>
      <w:bookmarkEnd w:id="105"/>
      <w:r w:rsidRPr="008608AA">
        <w:t>What are the pressures driving the change in the status and trends of biodiversity, ecosystem functions, ecosystem services and good quality of life in the region?</w:t>
      </w:r>
      <w:bookmarkEnd w:id="106"/>
      <w:bookmarkEnd w:id="107"/>
      <w:bookmarkEnd w:id="108"/>
      <w:bookmarkEnd w:id="109"/>
    </w:p>
    <w:p w14:paraId="0EDDE8C5" w14:textId="618E4DBA" w:rsidR="00F44157" w:rsidRPr="008608AA" w:rsidRDefault="00333557" w:rsidP="000D3A1C">
      <w:pPr>
        <w:spacing w:before="120" w:after="120"/>
      </w:pPr>
      <w:r w:rsidRPr="008608AA">
        <w:t xml:space="preserve">In the IPBES conceptual framework guiding this </w:t>
      </w:r>
      <w:r w:rsidR="0053392A" w:rsidRPr="008608AA">
        <w:t>Assessment</w:t>
      </w:r>
      <w:r w:rsidRPr="008608AA">
        <w:t xml:space="preserve"> (Diaz et al., 2015), drivers of change refer to all those external factors that affect nature, anthropogenic assets, nature´s contribution to people and a good quality of life. Drivers of change include institutions and governance systems and other indirect drivers, and direct drivers both natural and anthropogenic. Quantifying to the extent possible the magnitudes and trajectories of the drivers in the IPBES framework is an important step in the </w:t>
      </w:r>
      <w:r w:rsidR="0063020B" w:rsidRPr="008608AA">
        <w:t>R</w:t>
      </w:r>
      <w:r w:rsidRPr="008608AA">
        <w:t xml:space="preserve">egional </w:t>
      </w:r>
      <w:r w:rsidR="0063020B" w:rsidRPr="008608AA">
        <w:t>A</w:t>
      </w:r>
      <w:r w:rsidRPr="008608AA">
        <w:t>ssessments, but using that information requires taking into account how drivers interact with nature, NCP, economies, societies and cultures, and with each other.</w:t>
      </w:r>
    </w:p>
    <w:p w14:paraId="2C4B22EC" w14:textId="56077568" w:rsidR="000D3A1C" w:rsidRPr="008608AA" w:rsidRDefault="00333557" w:rsidP="000D3A1C">
      <w:pPr>
        <w:spacing w:before="120" w:after="120"/>
      </w:pPr>
      <w:r w:rsidRPr="008608AA">
        <w:t xml:space="preserve">Consideration of these interactions is at the heart of the IPBES </w:t>
      </w:r>
      <w:r w:rsidR="0053392A" w:rsidRPr="008608AA">
        <w:t>Assessment</w:t>
      </w:r>
      <w:r w:rsidRPr="008608AA">
        <w:t xml:space="preserve">. In any landscape or region, there is a diversity of social actors who utilize the same landscapes and resource base. To illustrate, there is diversity in livelihood strategies across the Amazon. If economic drivers provide incentive to create infrastructure needed extract the specific goods desired by the markets, there will be diverse responses. Greater wealth from the enhanced trade may increase in price and demand of goods locally as well, to which local populations/smallholders and large-holders may respond differently. The differential responses then affect the ability of the land and coastline to provide other NCP (fish habitat, water regulation), with potential additional conflicts between groups and encroachment on indigenous lands and smallholder areas, and the infrastructure may change the many non-material NCP. The </w:t>
      </w:r>
      <w:r w:rsidR="0053392A" w:rsidRPr="008608AA">
        <w:t>Assessment</w:t>
      </w:r>
      <w:r w:rsidRPr="008608AA">
        <w:t xml:space="preserve"> gives importance to tracking such linkages and interdependencies among drivers.</w:t>
      </w:r>
    </w:p>
    <w:p w14:paraId="77300286" w14:textId="77777777" w:rsidR="004E53F9" w:rsidRPr="008608AA" w:rsidRDefault="004E53F9" w:rsidP="000D3A1C">
      <w:pPr>
        <w:spacing w:before="120" w:after="120"/>
      </w:pPr>
    </w:p>
    <w:p w14:paraId="54AF2811" w14:textId="6D5BD229" w:rsidR="00F44157" w:rsidRPr="008608AA" w:rsidRDefault="00333557" w:rsidP="000D3A1C">
      <w:pPr>
        <w:pStyle w:val="Heading3"/>
      </w:pPr>
      <w:bookmarkStart w:id="110" w:name="_Toc502908166"/>
      <w:bookmarkStart w:id="111" w:name="_Toc502927250"/>
      <w:bookmarkStart w:id="112" w:name="_Toc502951092"/>
      <w:bookmarkStart w:id="113" w:name="_Toc502953535"/>
      <w:bookmarkStart w:id="114" w:name="_Toc502954828"/>
      <w:bookmarkStart w:id="115" w:name="_Toc502957635"/>
      <w:bookmarkStart w:id="116" w:name="_Toc502957988"/>
      <w:bookmarkStart w:id="117" w:name="_Toc503293632"/>
      <w:bookmarkStart w:id="118" w:name="_Toc503293894"/>
      <w:bookmarkStart w:id="119" w:name="_Toc503863287"/>
      <w:bookmarkStart w:id="120" w:name="_Toc503863515"/>
      <w:bookmarkStart w:id="121" w:name="_Toc517391814"/>
      <w:bookmarkStart w:id="122" w:name="_Toc517393203"/>
      <w:bookmarkStart w:id="123" w:name="_Toc517718944"/>
      <w:bookmarkStart w:id="124" w:name="_Toc517796901"/>
      <w:r w:rsidRPr="008608AA">
        <w:t>What are the actual and potential impacts of various policies and interventions on the contribution of biodiversity, ecosystem functions and ecosystem services to the sustainability of the economy, livelihoods, food security and good quality of life in the region?</w:t>
      </w:r>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r w:rsidRPr="008608AA">
        <w:t xml:space="preserve"> </w:t>
      </w:r>
    </w:p>
    <w:p w14:paraId="5EA0F1E9" w14:textId="77777777" w:rsidR="00F44157" w:rsidRPr="008608AA" w:rsidRDefault="00333557" w:rsidP="000D3A1C">
      <w:pPr>
        <w:spacing w:before="120" w:after="120"/>
      </w:pPr>
      <w:r w:rsidRPr="008608AA">
        <w:t xml:space="preserve">Different policies and interventions related to biodiversity, ecosystem functions and services are contributing to a good quality of life for peoples in the Americas, which include achieving food security, and supporting livelihoods and public health as well as the sustainable development of local and regional economies. </w:t>
      </w:r>
    </w:p>
    <w:p w14:paraId="5F6D5A66" w14:textId="77777777" w:rsidR="00F44157" w:rsidRPr="008608AA" w:rsidRDefault="00333557" w:rsidP="006D363B">
      <w:pPr>
        <w:spacing w:before="120" w:after="120"/>
      </w:pPr>
      <w:r w:rsidRPr="008608AA">
        <w:t xml:space="preserve">Policies affecting nature and NCP include a wide array of tools and practices that address on one side, the conservation and restoration of nature and on the other side, the management of impacts of development on nature. In the Americas, policy tools that are designed to conserve nature include protected areas, ecological or biological corridors, indigenous and community conserved areas, and conservation incentives such as payment for ecosystem services, eco-certification and sustainable investments. Other policy tools seek to reduce the impact of development on nature by regulating the extent and ways that development can alter nature, used enablers such as environmental impact assessments, which are intended to evaluate the environmental consequences of a development activity or project before implementation. Around the Americas many combinations of these policy strategies and tools are used, according to the capacities, legislation, traditions and values of the specific area. </w:t>
      </w:r>
    </w:p>
    <w:p w14:paraId="0131E455" w14:textId="77777777" w:rsidR="00F44157" w:rsidRPr="008608AA" w:rsidRDefault="00333557" w:rsidP="006D363B">
      <w:pPr>
        <w:spacing w:before="120" w:after="120"/>
      </w:pPr>
      <w:r w:rsidRPr="008608AA">
        <w:t>The Americas region has had many successful experiences in biodiversity conservation, restoration and sustainable use at regional and local levels and in terrestrial, freshwater, coastal and marine systems, as well as failures to keep uses sustainable (UNEP, 2012; Bennett et al., 2017). The resulting lessons learned need to be assessed and understood to inform the development of appropriate policies that ensure sustainability (Foley et al., 2011). However, future policies will function in a context of climate change, teleconnections to other regions, population growth, industrialization and development, and the consequent changes in demand for food, water, biomass, and energy. Consequently, past policies to address these types of pressures and demands need to be periodically re-evaluated in the context of these changes in pressures (Foley et al., 2005). In some cases, the magnitude of these impacts on biodiversity and ecosystems are thought to threaten economies, livelihoods and quality of life (IPBES, 2014). However, even the nature of an individual threat can vary among sectors of society, depending both on culturally based views of the value of biodiversity and specific ecosystem services and how the benefits and impacts associated with the uses of the NCP are distributed.</w:t>
      </w:r>
    </w:p>
    <w:p w14:paraId="72114C38" w14:textId="075BD8CB" w:rsidR="00F44157" w:rsidRPr="008608AA" w:rsidRDefault="00333557" w:rsidP="006D363B">
      <w:pPr>
        <w:spacing w:before="120" w:after="120"/>
      </w:pPr>
      <w:r w:rsidRPr="008608AA">
        <w:t xml:space="preserve">A vast array of such policies have been assessed in the Americas, including conservation incentives (e.g. watershed protection initiatives), protected areas, indigenous and community conserved areas, ecosystem restoration, eco-certification and investments that account for environmental, social and governance factors in portfolio selection and management. In most cases, there were some unexpected or undesired results, indicating that the breadth and depth of planning for use of these instruments has scope to improve (Wuenscher et al., 2008; Engel et al., 2008; Joppa </w:t>
      </w:r>
      <w:r w:rsidR="00EB2C0C" w:rsidRPr="008608AA">
        <w:t>&amp;</w:t>
      </w:r>
      <w:r w:rsidRPr="008608AA">
        <w:t xml:space="preserve"> Pfaff, 2009; Arriagada et al., 2012; Miteva et al., 2012; Watson et al., 2014; Barral et al., 2015; Ferraro et al., 2015; Baylis et al., 2016; Juffe-Bignoli et al., 2016; Rodríguez Osuna et al., 2017</w:t>
      </w:r>
      <w:r w:rsidR="00D87C6C" w:rsidRPr="008608AA">
        <w:t>; V</w:t>
      </w:r>
      <w:r w:rsidR="00D87C6C" w:rsidRPr="008608AA">
        <w:rPr>
          <w:lang w:val="de-DE"/>
        </w:rPr>
        <w:t>örösmarty et al., 2018</w:t>
      </w:r>
      <w:r w:rsidRPr="008608AA">
        <w:t>).</w:t>
      </w:r>
    </w:p>
    <w:p w14:paraId="1CA5FB28" w14:textId="77777777" w:rsidR="00F44157" w:rsidRPr="008608AA" w:rsidRDefault="00333557" w:rsidP="006D363B">
      <w:pPr>
        <w:spacing w:before="120" w:after="120"/>
      </w:pPr>
      <w:r w:rsidRPr="008608AA">
        <w:t xml:space="preserve">The impact of different interventions and policies vary widely across the Americas and are often a result of a combination of more than one intervention. For example, a decline in deforestation in Brazil in the past decade was the result of the combined effect of: (a) public and private partnership (b) the banning of soybeans and beef produced in deforested lands (c) improved monitoring and enforcement to combat deforestation, and (d) the 2008 global financial crisis on commodity demand (Nepstad et al., 2014; Cisneros et al., 2015). Separating the effect of single components is complex and case specific (Nepstad et al., 2014). </w:t>
      </w:r>
    </w:p>
    <w:p w14:paraId="26A0E175" w14:textId="77777777" w:rsidR="00F44157" w:rsidRPr="008608AA" w:rsidRDefault="00333557" w:rsidP="006D363B">
      <w:pPr>
        <w:spacing w:before="120" w:after="120"/>
      </w:pPr>
      <w:r w:rsidRPr="008608AA">
        <w:t xml:space="preserve">The effectiveness and impact of policies and interventions related to nature’s components depend on the way societies perceive the world, negotiate interests, prioritize problems, and find feasible solutions that respect social, institutional, and environmental settings. Such enabling conditions are essential to foster a successful implementation of policies that include environmental and other societal issues (e.g. poverty reduction, including local knowledges and minorities). Current international policy strategies, goals and high level commitments for the protection of nature and sustainable development are driving changes in the same direction and thus creating synergies (UN, 2015; Dicks et al., 2016; UN, 2016b). </w:t>
      </w:r>
    </w:p>
    <w:p w14:paraId="769A5DDC" w14:textId="77777777" w:rsidR="006D363B" w:rsidRPr="008608AA" w:rsidRDefault="006D363B" w:rsidP="006D363B">
      <w:pPr>
        <w:spacing w:before="120" w:after="120"/>
      </w:pPr>
    </w:p>
    <w:p w14:paraId="04F61AA0" w14:textId="68C83817" w:rsidR="00F44157" w:rsidRPr="008608AA" w:rsidRDefault="00333557" w:rsidP="006D363B">
      <w:pPr>
        <w:pStyle w:val="Heading2"/>
      </w:pPr>
      <w:bookmarkStart w:id="125" w:name="_Toc502908167"/>
      <w:bookmarkStart w:id="126" w:name="_Toc502927251"/>
      <w:bookmarkStart w:id="127" w:name="_Toc502951093"/>
      <w:bookmarkStart w:id="128" w:name="_Toc502953536"/>
      <w:bookmarkStart w:id="129" w:name="_Toc502954829"/>
      <w:bookmarkStart w:id="130" w:name="_Toc502957636"/>
      <w:bookmarkStart w:id="131" w:name="_Toc502957989"/>
      <w:bookmarkStart w:id="132" w:name="_Toc503293633"/>
      <w:bookmarkStart w:id="133" w:name="_Toc503293895"/>
      <w:bookmarkStart w:id="134" w:name="_Toc503863288"/>
      <w:bookmarkStart w:id="135" w:name="_Toc503863516"/>
      <w:bookmarkStart w:id="136" w:name="_Toc517391815"/>
      <w:bookmarkStart w:id="137" w:name="_Toc517393204"/>
      <w:bookmarkStart w:id="138" w:name="_Toc517718945"/>
      <w:bookmarkStart w:id="139" w:name="_Toc517796902"/>
      <w:r w:rsidRPr="008608AA">
        <w:t>Background to the Intergovernmental Platform on Biodi</w:t>
      </w:r>
      <w:r w:rsidR="0063020B" w:rsidRPr="008608AA">
        <w:t>versity and Ecosystem Services Regional A</w:t>
      </w:r>
      <w:r w:rsidRPr="008608AA">
        <w:t>ssessments</w:t>
      </w:r>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14:paraId="70682CC9" w14:textId="77777777" w:rsidR="00F44157" w:rsidRPr="008608AA" w:rsidRDefault="00333557" w:rsidP="006D363B">
      <w:pPr>
        <w:spacing w:before="120" w:after="120"/>
      </w:pPr>
      <w:r w:rsidRPr="008608AA">
        <w:t xml:space="preserve">Assessments that examine the relationships between policy goals and ecosystem services can inform decision makers whose goals and actions are focused on people, society, and economies (Ash et al., 2010). The Millennium Ecosystem Assessment (MEA) concluded that the provision of the majority of ecosystem services is declining and their availability into the future cannot be taken for granted. It also concluded that the failure to consistently give adequate weight to the dependence of human well-being on biodiversity and ecosystems in public and private decision making has allowed those services to be degraded, increasingly compromising our ability to achieve long-term development goals (MEA, 2005). The concept of ecosystem services gained prominence in the MEA (2005). In the years since the MEA, the term ecosystem services has been taken up by many disciplines and user groups, including Environmental Economics, Integrated Ecosystem Assessments, and Spatial Planning (both terrestrial and marine). As the interest in and uses of ecosystem services has increased, interpretation of the term has evolved and diversified (Chan et al., 2016; Gomez-Baggethun et al., 2016). Some uses, particularly in environmental economics, have been interpreted as de-emphasising the ecosystem services that are not readily monetized for use in commerce and optimization or trade-off analyses (e.g. TEEB, 2009). </w:t>
      </w:r>
    </w:p>
    <w:p w14:paraId="678B11DB" w14:textId="26E36AE9" w:rsidR="00F44157" w:rsidRPr="008608AA" w:rsidRDefault="00AB6BEC" w:rsidP="006D363B">
      <w:pPr>
        <w:spacing w:before="120" w:after="120"/>
      </w:pPr>
      <w:r w:rsidRPr="008608AA">
        <w:t>The Intergovernmental Science-Policy Platform on Biodiversity and Ecosystem Services</w:t>
      </w:r>
      <w:r w:rsidR="00333557" w:rsidRPr="008608AA">
        <w:rPr>
          <w:rStyle w:val="FootnoteReference"/>
        </w:rPr>
        <w:footnoteReference w:id="4"/>
      </w:r>
      <w:r w:rsidR="00333557" w:rsidRPr="008608AA">
        <w:t xml:space="preserve"> was established to strengthen the science–policy interface for the conservation and sustainable use of biodiversity, ecosystem services, long-term human well-being, and sustainable development. It has similarities to the Intergovernmental Panel on Climate Change</w:t>
      </w:r>
      <w:r w:rsidR="0063020B" w:rsidRPr="008608AA">
        <w:t xml:space="preserve"> </w:t>
      </w:r>
      <w:r w:rsidR="00333557" w:rsidRPr="008608AA">
        <w:t xml:space="preserve">in that both carry out assessments using existing knowledge to addresses questions where the knowledge bases are complex, incomplete and uncertain, making straightforward answers not possible (Perrings et al., 2011). In addition, although the biodiversity crisis is global, biodiversity distribution and its conservation status are heterogeneous across the planet. Consequently, governments and other stakeholders require information for solutions that are scalable to multiple levels (Diaz et al., 2015). </w:t>
      </w:r>
    </w:p>
    <w:p w14:paraId="340BD9BA" w14:textId="65750040" w:rsidR="004E53F9" w:rsidRPr="008608AA" w:rsidRDefault="00333557" w:rsidP="006D363B">
      <w:pPr>
        <w:spacing w:before="120" w:after="120"/>
      </w:pPr>
      <w:r w:rsidRPr="008608AA">
        <w:t>In this context, th</w:t>
      </w:r>
      <w:r w:rsidR="0053392A" w:rsidRPr="008608AA">
        <w:t>e IPBES agreed to conduct four Regional A</w:t>
      </w:r>
      <w:r w:rsidRPr="008608AA">
        <w:t>ssessments for the Americas (including the Caribbean islands); Africa; Europe and Central Asia; and Asia and the Pacific. The Americas region comprises a land area of 39 million square km, extending from Arctic to sub Antarctic latitudes. The Americas include some of the most biodiverse biomes in the world (Olson et al., 2001). The Americas region is also culturally diverse with some of the most industrialized urban areas on the planet. This poses a challenge to find ways for different cultures to co-exist and share these ecosystems (Kipuri, 2009). However, it also presents opportunities such as the chance to draw upon the traditional knowledge of indigenous people and local com</w:t>
      </w:r>
      <w:r w:rsidR="0053392A" w:rsidRPr="008608AA">
        <w:t>munities when conducting IPBES A</w:t>
      </w:r>
      <w:r w:rsidRPr="008608AA">
        <w:t>ssessments. The tensions between these challenges and opportunities from cultural diversity and the different knowl</w:t>
      </w:r>
      <w:r w:rsidR="0053392A" w:rsidRPr="008608AA">
        <w:t>edge systems pervade the IPBES A</w:t>
      </w:r>
      <w:r w:rsidRPr="008608AA">
        <w:t>ssessments.</w:t>
      </w:r>
    </w:p>
    <w:p w14:paraId="549793A1" w14:textId="77777777" w:rsidR="004E53F9" w:rsidRPr="008608AA" w:rsidRDefault="004E53F9" w:rsidP="006D363B">
      <w:pPr>
        <w:spacing w:before="120" w:after="120"/>
      </w:pPr>
    </w:p>
    <w:p w14:paraId="69510D09" w14:textId="377E7A09" w:rsidR="00F44157" w:rsidRPr="008608AA" w:rsidRDefault="00333557" w:rsidP="004E53F9">
      <w:pPr>
        <w:pStyle w:val="Heading3"/>
      </w:pPr>
      <w:bookmarkStart w:id="140" w:name="_Toc502908168"/>
      <w:bookmarkStart w:id="141" w:name="_Toc502927252"/>
      <w:bookmarkStart w:id="142" w:name="_Toc502951094"/>
      <w:bookmarkStart w:id="143" w:name="_Toc502953537"/>
      <w:bookmarkStart w:id="144" w:name="_Toc502954830"/>
      <w:bookmarkStart w:id="145" w:name="_Toc502957637"/>
      <w:bookmarkStart w:id="146" w:name="_Toc502957990"/>
      <w:bookmarkStart w:id="147" w:name="_Toc503293634"/>
      <w:bookmarkStart w:id="148" w:name="_Toc503293896"/>
      <w:bookmarkStart w:id="149" w:name="_Toc503863289"/>
      <w:bookmarkStart w:id="150" w:name="_Toc503863517"/>
      <w:bookmarkStart w:id="151" w:name="_Toc517391816"/>
      <w:bookmarkStart w:id="152" w:name="_Toc517393205"/>
      <w:bookmarkStart w:id="153" w:name="_Toc517718946"/>
      <w:bookmarkStart w:id="154" w:name="_Toc517796903"/>
      <w:r w:rsidRPr="008608AA">
        <w:t>What are nature contributions to people?</w:t>
      </w:r>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
    <w:p w14:paraId="656DF626" w14:textId="70F49D96" w:rsidR="00F44157" w:rsidRPr="008608AA" w:rsidRDefault="00AB6BEC" w:rsidP="006D363B">
      <w:pPr>
        <w:spacing w:before="120" w:after="120"/>
      </w:pPr>
      <w:r w:rsidRPr="008608AA">
        <w:t xml:space="preserve">The Intergovernmental Science-Policy Platform on Biodiversity and Ecosystem Services </w:t>
      </w:r>
      <w:r w:rsidR="00333557" w:rsidRPr="008608AA">
        <w:t>considers NCP as an inclusive set of categories across knowledge systems, which comprise all nature’s contributions, both positive and negative, to human quality of life. People obtain these contributions entirely from nature or, more often, apply knowledge and work to co-produce benefits with nature (Pascual et al., 2017). Concerns over the potential for misinterpretation of the categories of ecosystem services led IPBES to use NCP instead of ecosystem services, to ensure cultural and aesthetic relationships between people and nature are considered on an equal plane with other ways that people relate to and use nature. Additionally, some feel the new term may aid with the integration of multiple disciplines and answering of policy-relevant questions that are central to the IPBES mission. IPBES utilizes the term “good quality of life” instead of “well-being”, which is conceived to comprise aspects such as access to food, water, energy and livelihood security but also human health, equitable social relationships, cultural identity, and freedom of choice and action (Pascual et al., 2017).</w:t>
      </w:r>
    </w:p>
    <w:p w14:paraId="4688EE84" w14:textId="215253C0" w:rsidR="00F44157" w:rsidRPr="008608AA" w:rsidRDefault="00333557" w:rsidP="006D363B">
      <w:pPr>
        <w:spacing w:before="120" w:after="120"/>
      </w:pPr>
      <w:r w:rsidRPr="008608AA">
        <w:t>There are many categorizations of NCP, which evolved from</w:t>
      </w:r>
      <w:r w:rsidR="007B0AA9" w:rsidRPr="008608AA">
        <w:t xml:space="preserve"> the concept of ecosystem s</w:t>
      </w:r>
      <w:r w:rsidRPr="008608AA">
        <w:t xml:space="preserve">ervices (MEA, 2005). </w:t>
      </w:r>
      <w:r w:rsidR="007B0AA9" w:rsidRPr="008608AA">
        <w:t xml:space="preserve">The Intergovernmental Science-Policy Platform on Biodiversity and Ecosystem Services </w:t>
      </w:r>
      <w:r w:rsidRPr="008608AA">
        <w:t xml:space="preserve">has decided to use a set of 18 NCP, distinguishing three broad groups - regulating, material, and non-material contributions. Regulating contributions are functional and structural aspects of organisms and ecosystems that may modify environmental conditions experienced by people, or sustain or regulate the generation of material and non-material benefits. In many cases, these regulating NCP are not perceived directly, but nevertheless may be essential to life. Material contributions are substances, objects or other material elements taken from nature that help to sustain people’s physical existence and infrastructure. They are typically consumed and consciously perceived as food, energy, or materials for shelter or ornamental purposes. Non-material contributions affect people’s subjective or psychological quality of life, individually and collectively. The entities may be physically consumed or altered in the process (e.g. animals in recreational or ritual fishing or hunting) or not (individual biodiversity components or ecosystems as source of inspiration). </w:t>
      </w:r>
    </w:p>
    <w:p w14:paraId="7B147B7D" w14:textId="320C8579" w:rsidR="00BD2BC4" w:rsidRPr="008608AA" w:rsidRDefault="00333557" w:rsidP="006D363B">
      <w:pPr>
        <w:spacing w:before="120" w:after="120"/>
      </w:pPr>
      <w:r w:rsidRPr="008608AA">
        <w:t>The 18 categories of NCP are listed in Table 1.1. Collectively, these categories include all potential ways that nature contributes to human quality of life. As developed in Chapter 2, many of these NCP are essential to achieve a good quality of life in all cultures, whereas the values attached to others, especially some material and non-material contributions, can be influenced strongly by one’s culture, economic status, and worldview (IPBES, 2015b). The use of these standardized categories of NCP brings</w:t>
      </w:r>
      <w:r w:rsidR="0053392A" w:rsidRPr="008608AA">
        <w:t xml:space="preserve"> a common structure to all the Regional A</w:t>
      </w:r>
      <w:r w:rsidRPr="008608AA">
        <w:t>ssessments, but presents challenges when referring to literature that uses other classifications and terms. This is particularly challenging for using the more recently adopted term NCP rather than ecosystem services.</w:t>
      </w:r>
    </w:p>
    <w:p w14:paraId="56CEB351" w14:textId="45702D7F" w:rsidR="00F44157" w:rsidRPr="008608AA" w:rsidRDefault="00870677" w:rsidP="00870677">
      <w:pPr>
        <w:pStyle w:val="Caption"/>
        <w:rPr>
          <w:rStyle w:val="BookTitle0"/>
          <w:smallCaps w:val="0"/>
          <w:spacing w:val="0"/>
        </w:rPr>
      </w:pPr>
      <w:bookmarkStart w:id="155" w:name="_lnxbz9" w:colFirst="0" w:colLast="0"/>
      <w:bookmarkEnd w:id="155"/>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1</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w:t>
      </w:r>
      <w:r w:rsidR="000E562E">
        <w:rPr>
          <w:noProof/>
        </w:rPr>
        <w:fldChar w:fldCharType="end"/>
      </w:r>
      <w:r w:rsidRPr="008608AA">
        <w:t xml:space="preserve">. </w:t>
      </w:r>
      <w:r w:rsidR="00333557" w:rsidRPr="008608AA">
        <w:t>The NCP</w:t>
      </w:r>
      <w:r w:rsidR="00333557" w:rsidRPr="008608AA">
        <w:rPr>
          <w:bCs w:val="0"/>
        </w:rPr>
        <w:t xml:space="preserve"> used by IPBES for li</w:t>
      </w:r>
      <w:r w:rsidR="00A574DF" w:rsidRPr="008608AA">
        <w:rPr>
          <w:bCs w:val="0"/>
        </w:rPr>
        <w:t>n</w:t>
      </w:r>
      <w:r w:rsidR="00333557" w:rsidRPr="008608AA">
        <w:rPr>
          <w:bCs w:val="0"/>
        </w:rPr>
        <w:t>king human well-being and nature</w:t>
      </w:r>
    </w:p>
    <w:p w14:paraId="52C21100" w14:textId="77777777" w:rsidR="00F44157" w:rsidRPr="00A94D3E" w:rsidRDefault="00333557">
      <w:pPr>
        <w:pBdr>
          <w:top w:val="single" w:sz="4" w:space="1" w:color="000000"/>
          <w:bottom w:val="single" w:sz="4" w:space="1" w:color="000000"/>
        </w:pBdr>
        <w:rPr>
          <w:b/>
          <w:szCs w:val="22"/>
        </w:rPr>
      </w:pPr>
      <w:r w:rsidRPr="00A94D3E">
        <w:rPr>
          <w:b/>
          <w:szCs w:val="22"/>
        </w:rPr>
        <w:t>Regulating Contributions</w:t>
      </w:r>
    </w:p>
    <w:p w14:paraId="7A132063" w14:textId="77777777" w:rsidR="00F44157" w:rsidRPr="00A94D3E" w:rsidRDefault="00333557" w:rsidP="00B33BD5">
      <w:pPr>
        <w:numPr>
          <w:ilvl w:val="0"/>
          <w:numId w:val="1"/>
        </w:numPr>
        <w:contextualSpacing/>
        <w:rPr>
          <w:szCs w:val="22"/>
        </w:rPr>
      </w:pPr>
      <w:r w:rsidRPr="00A94D3E">
        <w:rPr>
          <w:szCs w:val="22"/>
        </w:rPr>
        <w:t>Habitat creation and maintenance – maintaining the ecosystem structures and processes that allow the other NCP to be provided</w:t>
      </w:r>
    </w:p>
    <w:p w14:paraId="4ACE6BAD" w14:textId="6CFEA5FF" w:rsidR="00F44157" w:rsidRPr="00A94D3E" w:rsidRDefault="00333557" w:rsidP="00B33BD5">
      <w:pPr>
        <w:numPr>
          <w:ilvl w:val="0"/>
          <w:numId w:val="1"/>
        </w:numPr>
        <w:tabs>
          <w:tab w:val="left" w:pos="270"/>
        </w:tabs>
        <w:contextualSpacing/>
        <w:rPr>
          <w:szCs w:val="22"/>
        </w:rPr>
      </w:pPr>
      <w:r w:rsidRPr="00A94D3E">
        <w:rPr>
          <w:szCs w:val="22"/>
        </w:rPr>
        <w:t xml:space="preserve">Pollination and dispersal of seeds and other propagules – the ways that </w:t>
      </w:r>
      <w:r w:rsidR="00DB6D58" w:rsidRPr="00A94D3E">
        <w:rPr>
          <w:szCs w:val="22"/>
        </w:rPr>
        <w:t>n</w:t>
      </w:r>
      <w:r w:rsidRPr="00A94D3E">
        <w:rPr>
          <w:szCs w:val="22"/>
        </w:rPr>
        <w:t>ature contributes to productivity of plants through fertilizing seeds and dispersing seeds and other vegetative propagules (IPBES, 2016a).</w:t>
      </w:r>
    </w:p>
    <w:p w14:paraId="6C05B379" w14:textId="37483915" w:rsidR="00F44157" w:rsidRPr="00A94D3E" w:rsidRDefault="00333557" w:rsidP="00B33BD5">
      <w:pPr>
        <w:numPr>
          <w:ilvl w:val="0"/>
          <w:numId w:val="1"/>
        </w:numPr>
        <w:contextualSpacing/>
        <w:rPr>
          <w:szCs w:val="22"/>
        </w:rPr>
      </w:pPr>
      <w:r w:rsidRPr="00A94D3E">
        <w:rPr>
          <w:szCs w:val="22"/>
        </w:rPr>
        <w:t xml:space="preserve">Regulation of air quality </w:t>
      </w:r>
      <w:r w:rsidR="00DB6D58" w:rsidRPr="00A94D3E">
        <w:rPr>
          <w:szCs w:val="22"/>
        </w:rPr>
        <w:t xml:space="preserve">– </w:t>
      </w:r>
      <w:r w:rsidRPr="00A94D3E">
        <w:rPr>
          <w:szCs w:val="22"/>
        </w:rPr>
        <w:t>regulation of CO</w:t>
      </w:r>
      <w:r w:rsidRPr="00A94D3E">
        <w:rPr>
          <w:szCs w:val="22"/>
          <w:vertAlign w:val="subscript"/>
        </w:rPr>
        <w:t>2</w:t>
      </w:r>
      <w:r w:rsidRPr="00A94D3E">
        <w:rPr>
          <w:szCs w:val="22"/>
        </w:rPr>
        <w:t>/O</w:t>
      </w:r>
      <w:r w:rsidRPr="00A94D3E">
        <w:rPr>
          <w:szCs w:val="22"/>
          <w:vertAlign w:val="subscript"/>
        </w:rPr>
        <w:t>2</w:t>
      </w:r>
      <w:r w:rsidRPr="00A94D3E">
        <w:rPr>
          <w:szCs w:val="22"/>
        </w:rPr>
        <w:t xml:space="preserve"> balance,</w:t>
      </w:r>
      <w:r w:rsidR="007B0AA9" w:rsidRPr="00A94D3E">
        <w:rPr>
          <w:szCs w:val="22"/>
        </w:rPr>
        <w:t xml:space="preserve"> Ozone </w:t>
      </w:r>
      <w:r w:rsidR="00F90B7C" w:rsidRPr="00A94D3E">
        <w:rPr>
          <w:szCs w:val="22"/>
        </w:rPr>
        <w:t>for ultraviolet</w:t>
      </w:r>
      <w:r w:rsidRPr="00A94D3E">
        <w:rPr>
          <w:szCs w:val="22"/>
        </w:rPr>
        <w:t>-B absorption, polluting gases</w:t>
      </w:r>
    </w:p>
    <w:p w14:paraId="31C30AD1" w14:textId="77777777" w:rsidR="00F44157" w:rsidRPr="00A94D3E" w:rsidRDefault="00333557" w:rsidP="00B33BD5">
      <w:pPr>
        <w:numPr>
          <w:ilvl w:val="0"/>
          <w:numId w:val="1"/>
        </w:numPr>
        <w:contextualSpacing/>
        <w:rPr>
          <w:szCs w:val="22"/>
        </w:rPr>
      </w:pPr>
      <w:r w:rsidRPr="00A94D3E">
        <w:rPr>
          <w:szCs w:val="22"/>
        </w:rPr>
        <w:t>Regulation of climate – including regulating albedo, some aspects of greenhouse gas emissions, and carbon sequestration</w:t>
      </w:r>
    </w:p>
    <w:p w14:paraId="2282B018" w14:textId="277DBA90" w:rsidR="00F44157" w:rsidRPr="00A94D3E" w:rsidRDefault="00333557" w:rsidP="00B33BD5">
      <w:pPr>
        <w:numPr>
          <w:ilvl w:val="0"/>
          <w:numId w:val="1"/>
        </w:numPr>
        <w:contextualSpacing/>
        <w:rPr>
          <w:szCs w:val="22"/>
        </w:rPr>
      </w:pPr>
      <w:r w:rsidRPr="00A94D3E">
        <w:rPr>
          <w:szCs w:val="22"/>
        </w:rPr>
        <w:t xml:space="preserve">Regulation of ocean acidification – maintaining the pH of the ocean through buffering the increases and decreases of carbonic acid (caused mainly by uptake of atmospheric </w:t>
      </w:r>
      <w:r w:rsidR="00E03ED4" w:rsidRPr="00A94D3E">
        <w:rPr>
          <w:szCs w:val="22"/>
        </w:rPr>
        <w:t>carbon dioxide</w:t>
      </w:r>
      <w:r w:rsidRPr="00A94D3E">
        <w:rPr>
          <w:szCs w:val="22"/>
        </w:rPr>
        <w:t xml:space="preserve"> in the oceans)</w:t>
      </w:r>
    </w:p>
    <w:p w14:paraId="0AAA5D17" w14:textId="4C4D78D7" w:rsidR="00F44157" w:rsidRPr="00A94D3E" w:rsidRDefault="00333557" w:rsidP="00B33BD5">
      <w:pPr>
        <w:numPr>
          <w:ilvl w:val="0"/>
          <w:numId w:val="1"/>
        </w:numPr>
        <w:contextualSpacing/>
        <w:rPr>
          <w:szCs w:val="22"/>
        </w:rPr>
      </w:pPr>
      <w:r w:rsidRPr="00A94D3E">
        <w:rPr>
          <w:szCs w:val="22"/>
        </w:rPr>
        <w:t xml:space="preserve">Regulation of freshwater quantity, location and timing </w:t>
      </w:r>
      <w:r w:rsidR="00DB6D58" w:rsidRPr="00A94D3E">
        <w:rPr>
          <w:szCs w:val="22"/>
        </w:rPr>
        <w:t xml:space="preserve">– </w:t>
      </w:r>
      <w:r w:rsidRPr="00A94D3E">
        <w:rPr>
          <w:szCs w:val="22"/>
        </w:rPr>
        <w:t xml:space="preserve"> for both direct uses by people and indirectly for use by biodiversity and natural habitats</w:t>
      </w:r>
    </w:p>
    <w:p w14:paraId="44C20310" w14:textId="77777777" w:rsidR="00F44157" w:rsidRPr="00A94D3E" w:rsidRDefault="00333557" w:rsidP="00B33BD5">
      <w:pPr>
        <w:numPr>
          <w:ilvl w:val="0"/>
          <w:numId w:val="1"/>
        </w:numPr>
        <w:contextualSpacing/>
        <w:rPr>
          <w:szCs w:val="22"/>
        </w:rPr>
      </w:pPr>
      <w:r w:rsidRPr="00A94D3E">
        <w:rPr>
          <w:szCs w:val="22"/>
        </w:rPr>
        <w:t>Regulation of freshwater and coastal water quality – capacity of healthy terrestrial and aquatic ecosystems to regulate water supply delivery and/or filter, retain nutrients, sediments and pathogens affecting water quality</w:t>
      </w:r>
    </w:p>
    <w:p w14:paraId="61FC5022" w14:textId="330B9C1A" w:rsidR="00F44157" w:rsidRPr="00A94D3E" w:rsidRDefault="00333557" w:rsidP="00B33BD5">
      <w:pPr>
        <w:numPr>
          <w:ilvl w:val="0"/>
          <w:numId w:val="1"/>
        </w:numPr>
        <w:contextualSpacing/>
        <w:rPr>
          <w:szCs w:val="22"/>
        </w:rPr>
      </w:pPr>
      <w:r w:rsidRPr="00A94D3E">
        <w:rPr>
          <w:szCs w:val="22"/>
        </w:rPr>
        <w:t xml:space="preserve">Formation, protection and decontamination of soils and sediments </w:t>
      </w:r>
      <w:r w:rsidR="00DB6D58" w:rsidRPr="00A94D3E">
        <w:rPr>
          <w:szCs w:val="22"/>
        </w:rPr>
        <w:t xml:space="preserve">– </w:t>
      </w:r>
      <w:r w:rsidRPr="00A94D3E">
        <w:rPr>
          <w:szCs w:val="22"/>
        </w:rPr>
        <w:t xml:space="preserve"> sediment retention and erosion control, soil formation and maintenance of soil structure, decomposition and nutrient cycling</w:t>
      </w:r>
    </w:p>
    <w:p w14:paraId="279B0198" w14:textId="2955BF21" w:rsidR="00F44157" w:rsidRPr="00A94D3E" w:rsidRDefault="00333557" w:rsidP="00B33BD5">
      <w:pPr>
        <w:numPr>
          <w:ilvl w:val="0"/>
          <w:numId w:val="1"/>
        </w:numPr>
        <w:contextualSpacing/>
        <w:rPr>
          <w:szCs w:val="22"/>
        </w:rPr>
      </w:pPr>
      <w:r w:rsidRPr="00A94D3E">
        <w:rPr>
          <w:szCs w:val="22"/>
        </w:rPr>
        <w:t>Regulation of natural hazards and extreme events –</w:t>
      </w:r>
      <w:r w:rsidR="00DB6D58" w:rsidRPr="00A94D3E">
        <w:rPr>
          <w:szCs w:val="22"/>
        </w:rPr>
        <w:t xml:space="preserve"> p</w:t>
      </w:r>
      <w:r w:rsidRPr="00A94D3E">
        <w:rPr>
          <w:szCs w:val="22"/>
        </w:rPr>
        <w:t>reserved ecosystems’ role in moderating the impact of floods, storms, landslides, droughts, heat waves, and fire</w:t>
      </w:r>
    </w:p>
    <w:p w14:paraId="0098E483" w14:textId="35503E7E" w:rsidR="00F44157" w:rsidRPr="00A94D3E" w:rsidRDefault="00333557" w:rsidP="00B33BD5">
      <w:pPr>
        <w:numPr>
          <w:ilvl w:val="0"/>
          <w:numId w:val="1"/>
        </w:numPr>
        <w:spacing w:after="280"/>
        <w:contextualSpacing/>
        <w:rPr>
          <w:szCs w:val="22"/>
        </w:rPr>
      </w:pPr>
      <w:r w:rsidRPr="00A94D3E">
        <w:rPr>
          <w:szCs w:val="22"/>
        </w:rPr>
        <w:t xml:space="preserve">Regulation of organisms detrimental to humans </w:t>
      </w:r>
      <w:r w:rsidR="00DB6D58" w:rsidRPr="00A94D3E">
        <w:rPr>
          <w:szCs w:val="22"/>
        </w:rPr>
        <w:t xml:space="preserve">– </w:t>
      </w:r>
      <w:r w:rsidRPr="00A94D3E">
        <w:rPr>
          <w:szCs w:val="22"/>
        </w:rPr>
        <w:t xml:space="preserve"> pests, pathogens, predators, competitors</w:t>
      </w:r>
    </w:p>
    <w:p w14:paraId="0483233A" w14:textId="77777777" w:rsidR="00F44157" w:rsidRPr="00A94D3E" w:rsidRDefault="00333557">
      <w:pPr>
        <w:pBdr>
          <w:top w:val="single" w:sz="4" w:space="1" w:color="000000"/>
          <w:bottom w:val="single" w:sz="4" w:space="1" w:color="000000"/>
        </w:pBdr>
        <w:rPr>
          <w:b/>
          <w:szCs w:val="22"/>
        </w:rPr>
      </w:pPr>
      <w:r w:rsidRPr="00A94D3E">
        <w:rPr>
          <w:b/>
          <w:szCs w:val="22"/>
        </w:rPr>
        <w:t>Material contributions</w:t>
      </w:r>
    </w:p>
    <w:p w14:paraId="35EB0CF0" w14:textId="77777777" w:rsidR="00F44157" w:rsidRPr="00A94D3E" w:rsidRDefault="00333557" w:rsidP="00B33BD5">
      <w:pPr>
        <w:numPr>
          <w:ilvl w:val="0"/>
          <w:numId w:val="2"/>
        </w:numPr>
        <w:contextualSpacing/>
        <w:rPr>
          <w:szCs w:val="22"/>
        </w:rPr>
      </w:pPr>
      <w:r w:rsidRPr="00A94D3E">
        <w:rPr>
          <w:szCs w:val="22"/>
        </w:rPr>
        <w:t>Energy – biomass-based fuels</w:t>
      </w:r>
    </w:p>
    <w:p w14:paraId="155C2040" w14:textId="0C00877C" w:rsidR="00F44157" w:rsidRPr="00A94D3E" w:rsidRDefault="00333557" w:rsidP="00B33BD5">
      <w:pPr>
        <w:numPr>
          <w:ilvl w:val="0"/>
          <w:numId w:val="2"/>
        </w:numPr>
        <w:contextualSpacing/>
        <w:rPr>
          <w:szCs w:val="22"/>
        </w:rPr>
      </w:pPr>
      <w:r w:rsidRPr="00A94D3E">
        <w:rPr>
          <w:szCs w:val="22"/>
        </w:rPr>
        <w:t>Food and feed – wild and domesticated sources, feed for livestock and cultured fish</w:t>
      </w:r>
    </w:p>
    <w:p w14:paraId="0A4DEF4D" w14:textId="49906775" w:rsidR="00F44157" w:rsidRPr="00A94D3E" w:rsidRDefault="00333557" w:rsidP="00B33BD5">
      <w:pPr>
        <w:numPr>
          <w:ilvl w:val="0"/>
          <w:numId w:val="2"/>
        </w:numPr>
        <w:contextualSpacing/>
        <w:rPr>
          <w:szCs w:val="22"/>
        </w:rPr>
      </w:pPr>
      <w:r w:rsidRPr="00A94D3E">
        <w:rPr>
          <w:szCs w:val="22"/>
        </w:rPr>
        <w:t xml:space="preserve">Materials and assistance </w:t>
      </w:r>
      <w:r w:rsidR="00DB6D58" w:rsidRPr="00A94D3E">
        <w:rPr>
          <w:szCs w:val="22"/>
        </w:rPr>
        <w:t xml:space="preserve">– </w:t>
      </w:r>
      <w:r w:rsidRPr="00A94D3E">
        <w:rPr>
          <w:szCs w:val="22"/>
        </w:rPr>
        <w:t>production of materials derived from organisms in crops or wild ecosystems, for construction, clothing, printing, ornamental purposes and decoration</w:t>
      </w:r>
    </w:p>
    <w:p w14:paraId="6AE20B5A" w14:textId="5F0BCBAE" w:rsidR="00F44157" w:rsidRPr="00A94D3E" w:rsidRDefault="00333557" w:rsidP="00B33BD5">
      <w:pPr>
        <w:numPr>
          <w:ilvl w:val="0"/>
          <w:numId w:val="2"/>
        </w:numPr>
        <w:spacing w:after="280"/>
        <w:contextualSpacing/>
        <w:rPr>
          <w:szCs w:val="22"/>
        </w:rPr>
      </w:pPr>
      <w:r w:rsidRPr="00A94D3E">
        <w:rPr>
          <w:szCs w:val="22"/>
        </w:rPr>
        <w:t>Medicinal, biochemical and genetic resources – plants, animals and microorganisms that can be used to maintain or protect human health directly or through process of the organisms or their parts</w:t>
      </w:r>
    </w:p>
    <w:p w14:paraId="7CDA663D" w14:textId="4E2FD60B" w:rsidR="00F44157" w:rsidRPr="00A94D3E" w:rsidRDefault="00333557" w:rsidP="00AB6BEC">
      <w:pPr>
        <w:pBdr>
          <w:top w:val="single" w:sz="4" w:space="1" w:color="000000"/>
          <w:bottom w:val="single" w:sz="4" w:space="1" w:color="000000"/>
        </w:pBdr>
        <w:tabs>
          <w:tab w:val="left" w:pos="5775"/>
        </w:tabs>
        <w:rPr>
          <w:b/>
          <w:szCs w:val="22"/>
        </w:rPr>
      </w:pPr>
      <w:r w:rsidRPr="00A94D3E">
        <w:rPr>
          <w:b/>
          <w:szCs w:val="22"/>
        </w:rPr>
        <w:t>Non-material contributions</w:t>
      </w:r>
      <w:r w:rsidR="00C816D6" w:rsidRPr="00A94D3E">
        <w:rPr>
          <w:b/>
          <w:szCs w:val="22"/>
        </w:rPr>
        <w:tab/>
      </w:r>
    </w:p>
    <w:p w14:paraId="61913DC0" w14:textId="0C5AFAD6" w:rsidR="00F44157" w:rsidRPr="00A94D3E" w:rsidRDefault="00333557" w:rsidP="00B33BD5">
      <w:pPr>
        <w:numPr>
          <w:ilvl w:val="0"/>
          <w:numId w:val="4"/>
        </w:numPr>
        <w:contextualSpacing/>
        <w:rPr>
          <w:szCs w:val="22"/>
        </w:rPr>
      </w:pPr>
      <w:r w:rsidRPr="00A94D3E">
        <w:rPr>
          <w:szCs w:val="22"/>
        </w:rPr>
        <w:t xml:space="preserve">Learning and inspiration </w:t>
      </w:r>
      <w:r w:rsidR="00DB6D58" w:rsidRPr="00A94D3E">
        <w:rPr>
          <w:szCs w:val="22"/>
        </w:rPr>
        <w:t xml:space="preserve">– </w:t>
      </w:r>
      <w:r w:rsidRPr="00A94D3E">
        <w:rPr>
          <w:szCs w:val="22"/>
        </w:rPr>
        <w:t>opportunities from nature for the development of the capabilities that allow humans to prosper through education, acquisition of knowledge and development of skills</w:t>
      </w:r>
    </w:p>
    <w:p w14:paraId="1BFAD7E0" w14:textId="795EF097" w:rsidR="00F44157" w:rsidRPr="00A94D3E" w:rsidRDefault="00333557" w:rsidP="00B33BD5">
      <w:pPr>
        <w:numPr>
          <w:ilvl w:val="0"/>
          <w:numId w:val="4"/>
        </w:numPr>
        <w:contextualSpacing/>
        <w:rPr>
          <w:szCs w:val="22"/>
        </w:rPr>
      </w:pPr>
      <w:r w:rsidRPr="00A94D3E">
        <w:rPr>
          <w:szCs w:val="22"/>
        </w:rPr>
        <w:t xml:space="preserve">Physical and psychological experiences </w:t>
      </w:r>
      <w:r w:rsidR="00DB6D58" w:rsidRPr="00A94D3E">
        <w:rPr>
          <w:szCs w:val="22"/>
        </w:rPr>
        <w:t xml:space="preserve">– </w:t>
      </w:r>
      <w:r w:rsidRPr="00A94D3E">
        <w:rPr>
          <w:szCs w:val="22"/>
        </w:rPr>
        <w:t>opportunities for physically and psychologically beneficial activities, healing, relaxation, recreation, leisure, tourism and aesthetic enjoyment</w:t>
      </w:r>
    </w:p>
    <w:p w14:paraId="01388026" w14:textId="74A8662B" w:rsidR="00F44157" w:rsidRPr="00A94D3E" w:rsidRDefault="00333557" w:rsidP="00B33BD5">
      <w:pPr>
        <w:numPr>
          <w:ilvl w:val="0"/>
          <w:numId w:val="4"/>
        </w:numPr>
        <w:contextualSpacing/>
        <w:rPr>
          <w:szCs w:val="22"/>
        </w:rPr>
      </w:pPr>
      <w:r w:rsidRPr="00A94D3E">
        <w:rPr>
          <w:szCs w:val="22"/>
        </w:rPr>
        <w:t>Supporting identities - basis for religious, spiritual, and social-cohesion experiences, for narrative and story-telling and for sense of place, purpose, belonging, rootedness or connectedness</w:t>
      </w:r>
    </w:p>
    <w:p w14:paraId="6F98E820" w14:textId="0C79EBF0" w:rsidR="00F44157" w:rsidRPr="00A94D3E" w:rsidRDefault="00333557" w:rsidP="00B33BD5">
      <w:pPr>
        <w:numPr>
          <w:ilvl w:val="0"/>
          <w:numId w:val="4"/>
        </w:numPr>
        <w:pBdr>
          <w:bottom w:val="single" w:sz="4" w:space="1" w:color="000000"/>
        </w:pBdr>
        <w:spacing w:after="280"/>
        <w:contextualSpacing/>
        <w:rPr>
          <w:szCs w:val="22"/>
        </w:rPr>
      </w:pPr>
      <w:r w:rsidRPr="00A94D3E">
        <w:rPr>
          <w:szCs w:val="22"/>
        </w:rPr>
        <w:t xml:space="preserve">Maintenance of options </w:t>
      </w:r>
      <w:r w:rsidR="00DB6D58" w:rsidRPr="00A94D3E">
        <w:rPr>
          <w:szCs w:val="22"/>
        </w:rPr>
        <w:t xml:space="preserve">– </w:t>
      </w:r>
      <w:r w:rsidRPr="00A94D3E">
        <w:rPr>
          <w:szCs w:val="22"/>
        </w:rPr>
        <w:t xml:space="preserve"> continued existence of a wide variety of species, populations and genotypes, to allow yet unknown discoveries and unanticipated uses of nature, and on-going evolution</w:t>
      </w:r>
    </w:p>
    <w:p w14:paraId="580E07EA" w14:textId="382BB548" w:rsidR="00F44157" w:rsidRPr="00A94D3E" w:rsidRDefault="00CD5241">
      <w:pPr>
        <w:rPr>
          <w:b/>
          <w:szCs w:val="22"/>
        </w:rPr>
      </w:pPr>
      <w:r w:rsidRPr="00A94D3E">
        <w:rPr>
          <w:b/>
          <w:szCs w:val="22"/>
        </w:rPr>
        <w:t>Source: IPBES</w:t>
      </w:r>
      <w:r w:rsidR="00333557" w:rsidRPr="00A94D3E">
        <w:rPr>
          <w:b/>
          <w:szCs w:val="22"/>
        </w:rPr>
        <w:t xml:space="preserve"> </w:t>
      </w:r>
      <w:r w:rsidRPr="00A94D3E">
        <w:rPr>
          <w:b/>
          <w:szCs w:val="22"/>
        </w:rPr>
        <w:t>(</w:t>
      </w:r>
      <w:r w:rsidR="00333557" w:rsidRPr="00A94D3E">
        <w:rPr>
          <w:b/>
          <w:szCs w:val="22"/>
        </w:rPr>
        <w:t>2017a</w:t>
      </w:r>
      <w:r w:rsidRPr="00A94D3E">
        <w:rPr>
          <w:b/>
          <w:szCs w:val="22"/>
        </w:rPr>
        <w:t>)</w:t>
      </w:r>
    </w:p>
    <w:p w14:paraId="2D527DCA" w14:textId="7FDD04FC" w:rsidR="00F44157" w:rsidRPr="008608AA" w:rsidRDefault="00AB6BEC" w:rsidP="006D363B">
      <w:pPr>
        <w:spacing w:before="120" w:after="120"/>
      </w:pPr>
      <w:r w:rsidRPr="008608AA">
        <w:t>Nature Contributions to People</w:t>
      </w:r>
      <w:r w:rsidR="00333557" w:rsidRPr="008608AA">
        <w:t xml:space="preserve"> will b</w:t>
      </w:r>
      <w:r w:rsidR="00EC0E64" w:rsidRPr="008608AA">
        <w:t>e the term used in all Chapter s</w:t>
      </w:r>
      <w:r w:rsidR="00333557" w:rsidRPr="008608AA">
        <w:t xml:space="preserve">ummaries and in the Summary for Policy Makers, to make sure this broad meaning is communicated unambiguously. However, when summarizing the information used sources taken from publications, particularly the information from scientific sources, those sources frequently use “ecosystem services” in ways specific to the discipline of the author. To substitute NCP in those cases would sometimes misrepresent the meaning intended by the sources. Consequently, in the body of the Chapters of this </w:t>
      </w:r>
      <w:r w:rsidR="0053392A" w:rsidRPr="008608AA">
        <w:t>Assessment</w:t>
      </w:r>
      <w:r w:rsidR="00333557" w:rsidRPr="008608AA">
        <w:t>, “ecosystem services” will be used and the context explained, as necessary, to present the information from the source accurately.</w:t>
      </w:r>
    </w:p>
    <w:p w14:paraId="5F917C4A" w14:textId="77777777" w:rsidR="006D363B" w:rsidRPr="008608AA" w:rsidRDefault="006D363B" w:rsidP="00AB6BEC">
      <w:pPr>
        <w:spacing w:before="120" w:after="120"/>
      </w:pPr>
    </w:p>
    <w:p w14:paraId="50B089CB" w14:textId="356ADC48" w:rsidR="00F44157" w:rsidRPr="008608AA" w:rsidRDefault="00333557" w:rsidP="00AB6BEC">
      <w:pPr>
        <w:pStyle w:val="Heading3"/>
      </w:pPr>
      <w:bookmarkStart w:id="156" w:name="_Toc502908169"/>
      <w:bookmarkStart w:id="157" w:name="_Toc502927253"/>
      <w:bookmarkStart w:id="158" w:name="_Toc502951095"/>
      <w:bookmarkStart w:id="159" w:name="_Toc502953538"/>
      <w:bookmarkStart w:id="160" w:name="_Toc502954831"/>
      <w:bookmarkStart w:id="161" w:name="_Toc502957638"/>
      <w:bookmarkStart w:id="162" w:name="_Toc502957991"/>
      <w:bookmarkStart w:id="163" w:name="_Toc503293635"/>
      <w:bookmarkStart w:id="164" w:name="_Toc503293897"/>
      <w:bookmarkStart w:id="165" w:name="_Toc503863290"/>
      <w:bookmarkStart w:id="166" w:name="_Toc503863518"/>
      <w:bookmarkStart w:id="167" w:name="_Toc517391817"/>
      <w:bookmarkStart w:id="168" w:name="_Toc517393206"/>
      <w:bookmarkStart w:id="169" w:name="_Toc517718947"/>
      <w:bookmarkStart w:id="170" w:name="_Toc517796904"/>
      <w:r w:rsidRPr="008608AA">
        <w:t>Why are nature contributions to people relevant to human quality of life (well-being and livelihoods) in the Americas?</w:t>
      </w:r>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r w:rsidRPr="008608AA">
        <w:t xml:space="preserve"> </w:t>
      </w:r>
    </w:p>
    <w:p w14:paraId="1FA321AA" w14:textId="7C8B0632" w:rsidR="00F44157" w:rsidRPr="008608AA" w:rsidRDefault="00333557" w:rsidP="006D363B">
      <w:pPr>
        <w:spacing w:before="120" w:after="120"/>
      </w:pPr>
      <w:r w:rsidRPr="008608AA">
        <w:t xml:space="preserve">Human’s quality of life in the Americas is highly dependent on Nature’s material contributions to achieve food and energy security, generate income and support livelihoods and health. This includes food and feed, medicine, energy, fibers, and construction materials (Chapter 2). In terms of food, the Americas is an important commodity producer, where Brazil, USA, Mexico, Canada, Honduras, Peru, Argentina, Ecuador, Dominican Republic, Colombia and Guatemala are amongst the top 10 producers of commodities, including wheat, rice, sugar, coarse grains, tea, coffee, cocoa, and orange juice. Brazil is the top producer of sugar, coffee and orange juice. The USA is the most important producer of coarse grains, which include corn, barley, sorghum, oats, rye, millet, triticale and others. Six countries in the Americas have the largest agricultural output in terms of agriculture and fisheries: USA with $226 billion in 2013 and Brazil with $111billion in 2014 (The Economist, 2017). This region has also some of the biggest producers of cereals, meat, fruit, vegetables, roots and tubers, as well as fisheries and aquaculture products (USA, Brazil, Mexico, Argentina). In terms of biomass-based fuels, the </w:t>
      </w:r>
      <w:r w:rsidR="00F90B7C" w:rsidRPr="008608AA">
        <w:t>USA</w:t>
      </w:r>
      <w:r w:rsidRPr="008608AA">
        <w:t xml:space="preserve">, Brazil and Argentina are the world top three major oil seed (soybeans, rapeseed, cottonseed, sunflower seed and groundnuts) producers (The Economist, 2017). Food production (including commodities) contributes positively to some aspects of human well-being (short and medium-term GDP) but it can also generate a series of environmental externalities (in the short, medium and long-term) that have negative effects on nature and people. Some examples include pollution derived from fertilizer application (nutrient runoff) from agricultural sites into freshwater systems, which result in harmful impacts on freshwater resources, biodiversity, air quality, and coastal systems (Mekonnen </w:t>
      </w:r>
      <w:r w:rsidR="00860889" w:rsidRPr="008608AA">
        <w:t xml:space="preserve">&amp; </w:t>
      </w:r>
      <w:r w:rsidRPr="008608AA">
        <w:t xml:space="preserve">Hoekstra, 2015; Chapter 4). </w:t>
      </w:r>
    </w:p>
    <w:p w14:paraId="504F4655" w14:textId="5892861A" w:rsidR="00F44157" w:rsidRPr="008608AA" w:rsidRDefault="00333557" w:rsidP="006D363B">
      <w:pPr>
        <w:spacing w:before="120" w:after="120"/>
      </w:pPr>
      <w:r w:rsidRPr="008608AA">
        <w:t xml:space="preserve">Medicines provided from nature have been used for several thousands of years to treat disease and injuries, and relieve pain. Despite rapid progress in drug development, most prescribed medicines used in developed countries are still based on or patterned after natural compounds found in animals, plants and microbes (Chivian </w:t>
      </w:r>
      <w:r w:rsidR="00860889" w:rsidRPr="008608AA">
        <w:t>&amp;</w:t>
      </w:r>
      <w:r w:rsidRPr="008608AA">
        <w:t xml:space="preserve"> Bernstein, 2010). This is especially relevant for drugs designed to treat infections and cancer. Other examples include aspirin from the White Willow Tree (</w:t>
      </w:r>
      <w:r w:rsidRPr="008608AA">
        <w:rPr>
          <w:i/>
        </w:rPr>
        <w:t>Salix alba vulgaris</w:t>
      </w:r>
      <w:r w:rsidR="00554807" w:rsidRPr="008608AA">
        <w:t>), morphine from the Opium p</w:t>
      </w:r>
      <w:r w:rsidRPr="008608AA">
        <w:t>oppy (</w:t>
      </w:r>
      <w:r w:rsidRPr="008608AA">
        <w:rPr>
          <w:i/>
        </w:rPr>
        <w:t>Papaver somniferum</w:t>
      </w:r>
      <w:r w:rsidRPr="008608AA">
        <w:t>); a</w:t>
      </w:r>
      <w:r w:rsidR="002E1FC2" w:rsidRPr="008608AA">
        <w:t>zidothymidine used to treat HIV/</w:t>
      </w:r>
      <w:r w:rsidRPr="008608AA">
        <w:t xml:space="preserve">AIDS (Human Immunodeficiency Virus Infection </w:t>
      </w:r>
      <w:r w:rsidR="002E1FC2" w:rsidRPr="008608AA">
        <w:t>/</w:t>
      </w:r>
      <w:r w:rsidRPr="008608AA">
        <w:t xml:space="preserve"> Acquired Immune Deficiency Syndrome) patterned after marine sponge compounds </w:t>
      </w:r>
      <w:r w:rsidRPr="008608AA">
        <w:rPr>
          <w:i/>
        </w:rPr>
        <w:t xml:space="preserve">Cryptotethya crypta </w:t>
      </w:r>
      <w:r w:rsidRPr="008608AA">
        <w:t xml:space="preserve">(Chivian </w:t>
      </w:r>
      <w:r w:rsidR="00860889" w:rsidRPr="008608AA">
        <w:t>&amp;</w:t>
      </w:r>
      <w:r w:rsidRPr="008608AA">
        <w:t xml:space="preserve"> Bernstein, 2010). Diets based on natural products and active livelihoods of indigenous groups (Tsimane) in the Bolivian Amazon is an example of significantly positive health outcomes (lowest reported levels of coronary artery disease of any population to date) (Kaplan et al., 2017).</w:t>
      </w:r>
    </w:p>
    <w:p w14:paraId="0C4A00FA" w14:textId="445A5512" w:rsidR="00F44157" w:rsidRPr="008608AA" w:rsidRDefault="00333557" w:rsidP="006D363B">
      <w:pPr>
        <w:spacing w:before="120" w:after="120"/>
      </w:pPr>
      <w:r w:rsidRPr="008608AA">
        <w:t xml:space="preserve">A good quality of life in the Americas is also based on nature’s non-material contributions, which help societies achieve a compassionate and equitable life and provide opportunities for learning and inspiration for culture, identity, social cohesion and symbolic bonds with nature (IPBES, 2017a). The beauty of nature reflected in art and architecture has inspired communities and individuals for centuries. Some worldviews especially from indigenous communities in the Americas show remarkable symbolic links with nature, perceiving it as an entity with own rights. For example, some South American countries (Bolivia and Ecuador) explicitly recognize the importance of “Mother Earth and living in harmony with nature” in their legal frameworks as means to provide a good quality of life (Gregor Barié, 2014; Guardiola </w:t>
      </w:r>
      <w:r w:rsidR="00860889" w:rsidRPr="008608AA">
        <w:t>&amp;</w:t>
      </w:r>
      <w:r w:rsidRPr="008608AA">
        <w:t xml:space="preserve"> García-Quero, 2014; Pacheco, 2014; Estado Plurinacional de Bolivia</w:t>
      </w:r>
      <w:r w:rsidR="00860889" w:rsidRPr="008608AA">
        <w:t>,</w:t>
      </w:r>
      <w:r w:rsidRPr="008608AA">
        <w:t xml:space="preserve"> 2015). It is no coincidence that several national parks have been cr</w:t>
      </w:r>
      <w:r w:rsidR="00E02546" w:rsidRPr="008608AA">
        <w:t xml:space="preserve">eated at sites of former </w:t>
      </w:r>
      <w:r w:rsidRPr="008608AA">
        <w:t>sacred</w:t>
      </w:r>
      <w:r w:rsidR="00E02546" w:rsidRPr="008608AA">
        <w:t xml:space="preserve"> natural</w:t>
      </w:r>
      <w:r w:rsidRPr="008608AA">
        <w:t xml:space="preserve"> areas, for example the Alto Fragua Indiwasi National Park, the first Colombian national park, created at the request of indigenous communities (Pilgrim </w:t>
      </w:r>
      <w:r w:rsidR="00E23ED1" w:rsidRPr="008608AA">
        <w:t>&amp;</w:t>
      </w:r>
      <w:r w:rsidRPr="008608AA">
        <w:t xml:space="preserve"> Pretty</w:t>
      </w:r>
      <w:r w:rsidR="00E02546" w:rsidRPr="008608AA">
        <w:t>,</w:t>
      </w:r>
      <w:r w:rsidRPr="008608AA">
        <w:t xml:space="preserve"> 2010). Sacred natural areas recognized by UNESCO (United Nations Educational, Scientific and Cultural Organization) in the Americas include the Gran Ruta Inca, the a</w:t>
      </w:r>
      <w:r w:rsidR="00EC0E64" w:rsidRPr="008608AA">
        <w:t>ncient route across the Andean highlands, American i</w:t>
      </w:r>
      <w:r w:rsidRPr="008608AA">
        <w:t>ndian sacred springs an</w:t>
      </w:r>
      <w:r w:rsidR="00EC0E64" w:rsidRPr="008608AA">
        <w:t>d waters of New Mexico, Sacred sites and gathering grounds i</w:t>
      </w:r>
      <w:r w:rsidRPr="008608AA">
        <w:t>nitiative in Arizona, Sacre</w:t>
      </w:r>
      <w:r w:rsidR="00EC0E64" w:rsidRPr="008608AA">
        <w:t>d lakes and springs, Huascarán world heritage s</w:t>
      </w:r>
      <w:r w:rsidRPr="008608AA">
        <w:t>ite and Bio</w:t>
      </w:r>
      <w:r w:rsidR="00E23ED1" w:rsidRPr="008608AA">
        <w:t>sphere Reserve in Peru (Schaaf &amp;</w:t>
      </w:r>
      <w:r w:rsidRPr="008608AA">
        <w:t xml:space="preserve"> Lee, 2006). Similarly, in Canada, a biodiversity reserve was established at the request of an indigenous group, the Wemindji Cree of James Bay (Pilgrim </w:t>
      </w:r>
      <w:r w:rsidR="00E23ED1" w:rsidRPr="008608AA">
        <w:t>&amp;</w:t>
      </w:r>
      <w:r w:rsidRPr="008608AA">
        <w:t xml:space="preserve"> Pretty, 2010). Non-material contributions have served functions cross-culturally as well as within cultures. For example, aquatic ecosystems have historically been a means for promoting cooperation and resolving conflict, and thus serve an important societal role, mainly for international, transboundary watersheds (UNEP-DHI </w:t>
      </w:r>
      <w:r w:rsidR="00E23ED1" w:rsidRPr="008608AA">
        <w:t>&amp;</w:t>
      </w:r>
      <w:r w:rsidRPr="008608AA">
        <w:t xml:space="preserve"> UNEP, 2016). </w:t>
      </w:r>
    </w:p>
    <w:p w14:paraId="0E141EFC" w14:textId="77777777" w:rsidR="00F44157" w:rsidRPr="008608AA" w:rsidRDefault="00333557" w:rsidP="006D363B">
      <w:pPr>
        <w:spacing w:before="120" w:after="120"/>
      </w:pPr>
      <w:r w:rsidRPr="008608AA">
        <w:t xml:space="preserve">In addition to the importance of nature´s contributions for social cohesion, bonds and culture, studies show positive linkages between healthy environments and healthy people (Maller et al., 2006). One example is the positive psychological benefits of greenspace and natural elements to people’s satisfaction and well-being (Fuller et al., 2007; Kaplan et al. 2017). </w:t>
      </w:r>
    </w:p>
    <w:p w14:paraId="33D95C4D" w14:textId="77777777" w:rsidR="000E60E9" w:rsidRPr="008608AA" w:rsidRDefault="00333557" w:rsidP="006D363B">
      <w:pPr>
        <w:spacing w:before="120" w:after="120"/>
      </w:pPr>
      <w:r w:rsidRPr="008608AA">
        <w:t xml:space="preserve">Nature in the Americas also underpins regulating functions (regulating contributions) highly relevant to environmental processes that are essential to people’s good quality of life such as the regulation of freshwater quantity, flow and quality. Forests and wetlands are the ecosystems mostly recognized for their role in the regulation of freshwater supplies, which is abundant in the region (compared to the global average) but unevenly available across geographies and time (Green et al., 2015). Some cities in South America face severe water scarcity episodes during specific times of the year (Bogotá, Quito, La Paz, Lima) as well as in USA states such as California, Texas and Florida. Areas with high scarcity occur where densely populated areas compete for water with intensely irrigated agriculture, or areas with reduced water storage (Buytaert </w:t>
      </w:r>
      <w:r w:rsidR="00E23ED1" w:rsidRPr="008608AA">
        <w:t>&amp;</w:t>
      </w:r>
      <w:r w:rsidRPr="008608AA">
        <w:t xml:space="preserve"> De Bièvre, 2012; Mekonnen </w:t>
      </w:r>
      <w:r w:rsidR="00E23ED1" w:rsidRPr="008608AA">
        <w:t>&amp;</w:t>
      </w:r>
      <w:r w:rsidRPr="008608AA">
        <w:t xml:space="preserve"> Hoekstra, 2016). </w:t>
      </w:r>
    </w:p>
    <w:p w14:paraId="34F56ACF" w14:textId="34B6D49C" w:rsidR="00F44157" w:rsidRPr="008608AA" w:rsidRDefault="00333557" w:rsidP="006D363B">
      <w:pPr>
        <w:spacing w:before="120" w:after="120"/>
      </w:pPr>
      <w:r w:rsidRPr="008608AA">
        <w:t xml:space="preserve">The importance of such regulating contributions is showcased by the now-classic example of the city of New York paying for upstream watershed protection rather than investing in constructing more expensive additional filtration plants (Hanson et al., 2011; McDonald et al., 2016). These types of contributions are essential to foster water security as well as other benefits in the Americas (Ramsar, 2008; WWAP, 2015). Conserved areas are key to providing with drinking water for several important cities of the Americas including in the USA, Brazil, Colombia and Venezuela (WB </w:t>
      </w:r>
      <w:r w:rsidR="001252FD" w:rsidRPr="008608AA">
        <w:t>&amp;</w:t>
      </w:r>
      <w:r w:rsidRPr="008608AA">
        <w:t xml:space="preserve"> WWF, 2003; Pabon-Zamora et al., 2008; Dudley et al., 2016; Harrison et al., 2016; Hermoso et al., 2016). However, choices of this type also illustrate the complexity of such policies; upstream watershed protection measures require residents and traditional users associated with the protected forests to accept financial payments in exchange for constrains on development opportunities and possibly some traditional forest uses, far from the urban area where the water is used. Other contributions of nature to regulate freshwater quality are related to wetlands that deliver well-documented benefits in waste treatment (e.g. wetlands and other aquatic ecosystems remove waste, recycle nutrients and dilute pollutants) and thereby act as natural water purification plants (De Groot et al., 2002; Russi et al., 2013; Zhang et al., 2014; McDonald et al., 2016). The flows of freshwater ecosystems are also important for energy production (for example, most of electricity generation in the USA comes from power plants that rely on water resources for cooling), which can affect power output and reliability (Feeley et al., 2008; Macknick et al., 2011; EIA, 2017). </w:t>
      </w:r>
    </w:p>
    <w:p w14:paraId="460F690E" w14:textId="55353764" w:rsidR="00F44157" w:rsidRDefault="00333557" w:rsidP="006D363B">
      <w:pPr>
        <w:spacing w:before="120" w:after="120"/>
      </w:pPr>
      <w:r w:rsidRPr="008608AA">
        <w:t>Other important regulation functions that nature provides include the regulation of climate hazards and extreme events. Vegetation reduces the impact and likelihood of snow avalanches and landslides and coastal wetlands can moderate floods (Hawley et al., 2012). For example, social and economic losses as a result of extreme weather events in Brazil (i.e. flooding, flash-floods and landslides) between 2002-2012 have caused significant damage valued between $57.21 to 113.1 billion or 0.4 to 0.9% of Brazil’s accumulated GDP in that period (Young et al., 2015). The state of Rio de Janeiro reported that 45% of all national deaths were associated with such hazards (Young et al., 2015). In the USA, six climate-related hazards resulted in health and social costs in the order of $14 billion between 2000 and 2009 (Knowlton et al., 2011).</w:t>
      </w:r>
    </w:p>
    <w:p w14:paraId="759ACEEB" w14:textId="77777777" w:rsidR="00800CE7" w:rsidRPr="008608AA" w:rsidRDefault="00800CE7" w:rsidP="006D363B">
      <w:pPr>
        <w:spacing w:before="120" w:after="120"/>
      </w:pPr>
    </w:p>
    <w:p w14:paraId="583E2077" w14:textId="32EFCAE2" w:rsidR="00F44157" w:rsidRPr="008608AA" w:rsidRDefault="009C34DE" w:rsidP="00BD3C8C">
      <w:pPr>
        <w:pStyle w:val="Caption"/>
      </w:pPr>
      <w:bookmarkStart w:id="171" w:name="_1ksv4uv" w:colFirst="0" w:colLast="0"/>
      <w:bookmarkStart w:id="172" w:name="_Toc516922435"/>
      <w:bookmarkEnd w:id="171"/>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1</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w:t>
      </w:r>
      <w:r w:rsidR="000E562E">
        <w:rPr>
          <w:noProof/>
        </w:rPr>
        <w:fldChar w:fldCharType="end"/>
      </w:r>
      <w:r w:rsidRPr="008608AA">
        <w:t xml:space="preserve"> </w:t>
      </w:r>
      <w:r w:rsidR="00333557" w:rsidRPr="008608AA">
        <w:t>Nature´s contributions to people in the Amazon</w:t>
      </w:r>
      <w:bookmarkEnd w:id="172"/>
      <w:r w:rsidR="00333557" w:rsidRPr="008608AA">
        <w:t xml:space="preserve"> </w:t>
      </w:r>
    </w:p>
    <w:tbl>
      <w:tblPr>
        <w:tblStyle w:val="80"/>
        <w:tblW w:w="5000" w:type="pct"/>
        <w:jc w:val="righ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487"/>
      </w:tblGrid>
      <w:tr w:rsidR="00F44157" w:rsidRPr="00A94D3E" w14:paraId="0C6D767F" w14:textId="77777777" w:rsidTr="00E02546">
        <w:trPr>
          <w:jc w:val="right"/>
        </w:trPr>
        <w:tc>
          <w:tcPr>
            <w:tcW w:w="5000" w:type="pct"/>
          </w:tcPr>
          <w:p w14:paraId="62706206" w14:textId="5A313613" w:rsidR="00F44157" w:rsidRPr="00A94D3E" w:rsidRDefault="00333557" w:rsidP="009C34DE">
            <w:pPr>
              <w:spacing w:after="120"/>
              <w:rPr>
                <w:b/>
                <w:sz w:val="22"/>
                <w:szCs w:val="22"/>
              </w:rPr>
            </w:pPr>
            <w:r w:rsidRPr="00A94D3E">
              <w:rPr>
                <w:sz w:val="22"/>
                <w:szCs w:val="22"/>
              </w:rPr>
              <w:t xml:space="preserve">The Amazon region presents a high diversity of peoples’ values and interests in how to use, interact and experience nature to guarantee a good quality of life. Nature in the Amazon has a wealth of ecosystems and biodiversity that are indispensable to delivering contributions to people NCP across scales (e.g. the Amazon river basin is one of the most mega-biodiverse and the largest source of freshwater in the world) (Marengo, 2006; Tundisi et al., 2015; Winemiller et al., 2016). At local scales, these benefits include those enjoyed as spiritual, social cohesion and cultural continuity as well as those managed as agricultural, mining, forestry, pharmaceutical and fishery commodities. For example, Amazon rivers and its seasonally flooded forests provide habitats for fish that support livelihoods of thousands of people (Tundisi et al., 2015). At landscape to regional scales, Amazon’s forests regulate hydrological cycles (Veiga et al., 2004), water quality, and nutrient cycling that supports freshwater biodiversity and people (Menton et al., 2009). At continental to global scales, the importance of the Amazon in the regulation of the global carbon cycle is well recognized (Anderson-Teixeira et al., 2012; Pinho et al., 2014; Phillips </w:t>
            </w:r>
            <w:r w:rsidR="000045B3" w:rsidRPr="00A94D3E">
              <w:rPr>
                <w:sz w:val="22"/>
                <w:szCs w:val="22"/>
              </w:rPr>
              <w:t>&amp;</w:t>
            </w:r>
            <w:r w:rsidRPr="00A94D3E">
              <w:rPr>
                <w:sz w:val="22"/>
                <w:szCs w:val="22"/>
              </w:rPr>
              <w:t xml:space="preserve"> Brienen, 2017). This includes the forest’s role in carbon sequestration (approx. 120 billion metric tons of C biomass), climate patterns (Pires </w:t>
            </w:r>
            <w:r w:rsidR="000045B3" w:rsidRPr="00A94D3E">
              <w:rPr>
                <w:sz w:val="22"/>
                <w:szCs w:val="22"/>
              </w:rPr>
              <w:t>&amp;</w:t>
            </w:r>
            <w:r w:rsidRPr="00A94D3E">
              <w:rPr>
                <w:sz w:val="22"/>
                <w:szCs w:val="22"/>
              </w:rPr>
              <w:t xml:space="preserve"> Costa, 2013; Tundisi et al., 2015) and extreme events such as floods and droughts (Nazareno </w:t>
            </w:r>
            <w:r w:rsidR="000045B3" w:rsidRPr="00A94D3E">
              <w:rPr>
                <w:sz w:val="22"/>
                <w:szCs w:val="22"/>
              </w:rPr>
              <w:t>&amp;</w:t>
            </w:r>
            <w:r w:rsidRPr="00A94D3E">
              <w:rPr>
                <w:sz w:val="22"/>
                <w:szCs w:val="22"/>
              </w:rPr>
              <w:t xml:space="preserve"> Laurance, 2015).</w:t>
            </w:r>
          </w:p>
        </w:tc>
      </w:tr>
    </w:tbl>
    <w:p w14:paraId="173AC19C" w14:textId="77777777" w:rsidR="009C34DE" w:rsidRPr="008608AA" w:rsidRDefault="009C34DE" w:rsidP="008B3BCD">
      <w:bookmarkStart w:id="173" w:name="_Toc502908170"/>
      <w:bookmarkStart w:id="174" w:name="_Toc502927254"/>
      <w:bookmarkStart w:id="175" w:name="_Toc502951096"/>
      <w:bookmarkStart w:id="176" w:name="_Toc502953539"/>
      <w:bookmarkStart w:id="177" w:name="_Toc502954832"/>
      <w:bookmarkStart w:id="178" w:name="_Toc502957639"/>
      <w:bookmarkStart w:id="179" w:name="_Toc502957992"/>
      <w:bookmarkStart w:id="180" w:name="_Toc503293636"/>
      <w:bookmarkStart w:id="181" w:name="_Toc503293898"/>
      <w:bookmarkStart w:id="182" w:name="_Toc503863291"/>
      <w:bookmarkStart w:id="183" w:name="_Toc503863519"/>
    </w:p>
    <w:p w14:paraId="46661A40" w14:textId="176124A0" w:rsidR="00F44157" w:rsidRPr="008608AA" w:rsidRDefault="00333557" w:rsidP="00FD0EAC">
      <w:pPr>
        <w:pStyle w:val="Heading3"/>
      </w:pPr>
      <w:bookmarkStart w:id="184" w:name="_Toc517391818"/>
      <w:bookmarkStart w:id="185" w:name="_Toc517393207"/>
      <w:bookmarkStart w:id="186" w:name="_Toc517718948"/>
      <w:bookmarkStart w:id="187" w:name="_Toc517796905"/>
      <w:r w:rsidRPr="008608AA">
        <w:t>Why are people relevant to nature’s ability to provide nature contributions to people?</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p>
    <w:p w14:paraId="5609F2BF" w14:textId="65D8EA0B" w:rsidR="00F44157" w:rsidRPr="008608AA" w:rsidRDefault="00333557" w:rsidP="009C34DE">
      <w:pPr>
        <w:spacing w:before="120" w:after="120"/>
      </w:pPr>
      <w:r w:rsidRPr="008608AA">
        <w:t>The interaction between people and nature can affect nature’s ability to provide regulating, material and non-material co</w:t>
      </w:r>
      <w:r w:rsidR="008A7234" w:rsidRPr="008608AA">
        <w:t>ntributions; as illustrated in s</w:t>
      </w:r>
      <w:r w:rsidRPr="008608AA">
        <w:t xml:space="preserve">ection 1.3.2. Policy decisions can enhance nature’s ability to provide NCP, such as the upstream watershed protection example above. However, people’s decisions can also contribute to nature’s degradation, leading to negative impacts on health, livelihoods, regional and national economies, as well as other dimensions of good quality of life (MEA, 2005). The degradation of nature frequently involves the loss of natural assets (MEA, 2005; TEEB, 2009). Typically, these losses are not taken into account by traditional economic measures (TEEB, 2009; Costanza et al., 2014). The use of many traditional economic indicators often has resulted in a country depleting a natural resource base such as forests to provide positive gains measured by a specific valuation method such as GDP gain. Resource depletion has many other consequences that may affect people’s quality of life, including the degradation of non-material contributions (recreation, spirituality, religion, and identity). This shortcoming has prompted interest in a broader range of more inclusive economic measures under way in international finance and development agencies (see Chapter 2). </w:t>
      </w:r>
    </w:p>
    <w:p w14:paraId="56B27FFF" w14:textId="169518FF" w:rsidR="00F44157" w:rsidRPr="008608AA" w:rsidRDefault="00333557" w:rsidP="009C34DE">
      <w:pPr>
        <w:spacing w:before="120" w:after="120"/>
      </w:pPr>
      <w:r w:rsidRPr="008608AA">
        <w:t xml:space="preserve">This Regional Assessment confronts the complex links between nature’s contributions to people and a good quality of life for the diverse cultures and worldviews in the Americas. Within Chapter 2, the </w:t>
      </w:r>
      <w:r w:rsidR="0053392A" w:rsidRPr="008608AA">
        <w:t>Assessment</w:t>
      </w:r>
      <w:r w:rsidRPr="008608AA">
        <w:t xml:space="preserve"> first describes key nature’s contributions to people for the subregions and major biomes in the Americas. In most of the Americas, multiple cultures share NCP, and the chapter also discusses the different values these cultures may associate with specific NCP. Based on key indicators, the status of those contributions is assessed. Subsequent chapters then develop the reciprocal interactions of people and nature, in the contact of how NCP contribute to and are affected by those interactions.</w:t>
      </w:r>
    </w:p>
    <w:p w14:paraId="4E546886" w14:textId="77777777" w:rsidR="009C34DE" w:rsidRPr="008608AA" w:rsidRDefault="009C34DE" w:rsidP="009C34DE">
      <w:pPr>
        <w:spacing w:before="120" w:after="120"/>
      </w:pPr>
    </w:p>
    <w:p w14:paraId="18E54815" w14:textId="099C4868" w:rsidR="00F44157" w:rsidRPr="008608AA" w:rsidRDefault="00EC0E64" w:rsidP="00AB6BEC">
      <w:pPr>
        <w:pStyle w:val="Heading3"/>
      </w:pPr>
      <w:bookmarkStart w:id="188" w:name="_Toc502908171"/>
      <w:bookmarkStart w:id="189" w:name="_Toc502927255"/>
      <w:bookmarkStart w:id="190" w:name="_Toc502951097"/>
      <w:bookmarkStart w:id="191" w:name="_Toc502953540"/>
      <w:bookmarkStart w:id="192" w:name="_Toc502954833"/>
      <w:bookmarkStart w:id="193" w:name="_Toc502957640"/>
      <w:bookmarkStart w:id="194" w:name="_Toc502957993"/>
      <w:bookmarkStart w:id="195" w:name="_Toc503293637"/>
      <w:bookmarkStart w:id="196" w:name="_Toc503293899"/>
      <w:bookmarkStart w:id="197" w:name="_Toc503863292"/>
      <w:bookmarkStart w:id="198" w:name="_Toc503863520"/>
      <w:bookmarkStart w:id="199" w:name="_Toc517391819"/>
      <w:bookmarkStart w:id="200" w:name="_Toc517393208"/>
      <w:bookmarkStart w:id="201" w:name="_Toc517718949"/>
      <w:bookmarkStart w:id="202" w:name="_Toc517796906"/>
      <w:r w:rsidRPr="008608AA">
        <w:t>Why do we need a Regional A</w:t>
      </w:r>
      <w:r w:rsidR="00333557" w:rsidRPr="008608AA">
        <w:t>ssessment?</w:t>
      </w:r>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r w:rsidR="00333557" w:rsidRPr="008608AA">
        <w:t xml:space="preserve"> </w:t>
      </w:r>
    </w:p>
    <w:p w14:paraId="2F0B1D6E" w14:textId="51FBED11" w:rsidR="00F44157" w:rsidRPr="008608AA" w:rsidRDefault="00333557" w:rsidP="009C34DE">
      <w:pPr>
        <w:spacing w:before="120" w:after="120"/>
      </w:pPr>
      <w:r w:rsidRPr="008608AA">
        <w:t xml:space="preserve">Biodiversity, ecosystem functions and NCP make essential contributions to the economy, livelihoods and good quality of life of people throughout the world (CBD, 2010; UN, 2015; CBD/FAO/WB /UNEP/UNDP, 2016). The Strategic Plan for Biodiversity 2011–2020 and its Aichi Biodiversity </w:t>
      </w:r>
      <w:r w:rsidR="00847F60" w:rsidRPr="008608AA">
        <w:t>target</w:t>
      </w:r>
      <w:r w:rsidRPr="008608AA">
        <w:t xml:space="preserve">s seek to provide an overarching framework for effective and urgent action to manage biodiversity in order to ensure that by 2020 ecosystems are resilient and continue to provide essential functions and services, thereby contributing to peoples’ quality of life and poverty eradication. These considerations are also included in the ongoing development of the Post-2015 UN </w:t>
      </w:r>
      <w:r w:rsidR="00D90C26" w:rsidRPr="008608AA">
        <w:t xml:space="preserve">(United Nations) </w:t>
      </w:r>
      <w:r w:rsidRPr="008608AA">
        <w:t xml:space="preserve">Development Agenda and the associated SDG. </w:t>
      </w:r>
    </w:p>
    <w:p w14:paraId="5874C998" w14:textId="6622087F" w:rsidR="00F44157" w:rsidRPr="008608AA" w:rsidRDefault="00333557" w:rsidP="009C34DE">
      <w:pPr>
        <w:spacing w:before="120" w:after="120"/>
      </w:pPr>
      <w:r w:rsidRPr="008608AA">
        <w:t>Regional and national biodiversity strategies and action plans are important vehic</w:t>
      </w:r>
      <w:r w:rsidR="00EC0E64" w:rsidRPr="008608AA">
        <w:t>les for implementing the Aichi b</w:t>
      </w:r>
      <w:r w:rsidRPr="008608AA">
        <w:t xml:space="preserve">iodiversity targets and adapting them to regional and national conditions. Implementation strategies and plans are also being developed at multiple scales for the SDG. These strategies and action plans need to be informed about the linkages between NCP and good quality of life of diverse cultures and societies, in part because these linkages make the Aichi </w:t>
      </w:r>
      <w:r w:rsidR="00847F60" w:rsidRPr="008608AA">
        <w:t>target</w:t>
      </w:r>
      <w:r w:rsidRPr="008608AA">
        <w:t>s and SDG themselves interdependent. These interdependencies among these goals and targets provide opportunities to build on synergies, such as actions to protect upstream forests (for their role in regulating freshwater quality and their provision to downstream users) that directly contribute to achieve several goals: SDG 15 related to the protection and restoration of terrestrial ecosystems, SDG 6 on clean water and sanitation, SDG 11 on sustainable cities and communities, SDG 13 on climate action and SDG 3 on good health and well-being. However, planning must also take account of potential tensions among the SDG, such as efforts to promote SDG 14 on a healthy ocean must still find ways to allow harvesting of seafood to increase, as an essential contribution to SDG 2 on food security. Without the types of integrated assessments represente</w:t>
      </w:r>
      <w:r w:rsidR="00EC0E64" w:rsidRPr="008608AA">
        <w:t>d by IPBES, the development of policies and action p</w:t>
      </w:r>
      <w:r w:rsidRPr="008608AA">
        <w:t xml:space="preserve">lans for goals like the Aichi </w:t>
      </w:r>
      <w:r w:rsidR="00847F60" w:rsidRPr="008608AA">
        <w:t>target</w:t>
      </w:r>
      <w:r w:rsidRPr="008608AA">
        <w:t xml:space="preserve">s or SDG would not be informed of how to take these interactions into account. Moreover, assessments at regional and subregional scales are important, since these scales are ones where the synergies and tensions are often expressed and must be taken into account in policies. </w:t>
      </w:r>
    </w:p>
    <w:p w14:paraId="1366B4BF" w14:textId="240C0FC3" w:rsidR="00F44157" w:rsidRPr="008608AA" w:rsidRDefault="00333557" w:rsidP="009C34DE">
      <w:pPr>
        <w:spacing w:before="120" w:after="120"/>
      </w:pPr>
      <w:r w:rsidRPr="008608AA">
        <w:t>Efforts to meet these targets thus require a strong knowledge base and strengthened interplay between scientists and policymakers, and between different knowledge systems to which the regional and subregional assessments are well placed to contribute (</w:t>
      </w:r>
      <w:r w:rsidR="00552CBA" w:rsidRPr="008608AA">
        <w:t xml:space="preserve">Griggs et al., 2013; </w:t>
      </w:r>
      <w:r w:rsidRPr="008608AA">
        <w:t xml:space="preserve">Bhaduri et al., 2016). </w:t>
      </w:r>
    </w:p>
    <w:p w14:paraId="4B928064" w14:textId="77777777" w:rsidR="009C34DE" w:rsidRPr="008608AA" w:rsidRDefault="009C34DE" w:rsidP="009C34DE">
      <w:pPr>
        <w:spacing w:before="120" w:after="120"/>
      </w:pPr>
    </w:p>
    <w:p w14:paraId="6630C5C5" w14:textId="3A9FDB4C" w:rsidR="00F44157" w:rsidRPr="008608AA" w:rsidRDefault="00333557">
      <w:pPr>
        <w:pStyle w:val="Heading3"/>
      </w:pPr>
      <w:bookmarkStart w:id="203" w:name="_Toc502908172"/>
      <w:bookmarkStart w:id="204" w:name="_Toc502927256"/>
      <w:bookmarkStart w:id="205" w:name="_Toc502951098"/>
      <w:bookmarkStart w:id="206" w:name="_Toc502953541"/>
      <w:bookmarkStart w:id="207" w:name="_Toc502954834"/>
      <w:bookmarkStart w:id="208" w:name="_Toc502957641"/>
      <w:bookmarkStart w:id="209" w:name="_Toc502957994"/>
      <w:bookmarkStart w:id="210" w:name="_Toc503293638"/>
      <w:bookmarkStart w:id="211" w:name="_Toc503293900"/>
      <w:bookmarkStart w:id="212" w:name="_Toc503863293"/>
      <w:bookmarkStart w:id="213" w:name="_Toc503863521"/>
      <w:bookmarkStart w:id="214" w:name="_Toc517391820"/>
      <w:bookmarkStart w:id="215" w:name="_Toc517393209"/>
      <w:bookmarkStart w:id="216" w:name="_Toc517718950"/>
      <w:bookmarkStart w:id="217" w:name="_Toc517796907"/>
      <w:r w:rsidRPr="008608AA">
        <w:t>What is an Intergovernmental Platform on Biodi</w:t>
      </w:r>
      <w:r w:rsidR="0063020B" w:rsidRPr="008608AA">
        <w:t>versity and Ecosystem Services Regional A</w:t>
      </w:r>
      <w:r w:rsidRPr="008608AA">
        <w:t>ssessment?</w:t>
      </w:r>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r w:rsidRPr="008608AA">
        <w:t xml:space="preserve"> </w:t>
      </w:r>
    </w:p>
    <w:p w14:paraId="78201438" w14:textId="599CB994" w:rsidR="00F44157" w:rsidRPr="008608AA" w:rsidRDefault="00333557" w:rsidP="009C34DE">
      <w:pPr>
        <w:spacing w:before="120" w:after="120"/>
      </w:pPr>
      <w:r w:rsidRPr="008608AA">
        <w:t xml:space="preserve">An IPBES assessment is a critical evaluation of the state of knowledge in biodiversity and NCP. It is based on existing peer-reviewed literature, grey literature and other available knowledge such as indigenous and local knowledge. It does not involve the undertaking of original primary research. The </w:t>
      </w:r>
      <w:r w:rsidR="0053392A" w:rsidRPr="008608AA">
        <w:t>Assessment</w:t>
      </w:r>
      <w:r w:rsidRPr="008608AA">
        <w:t xml:space="preserve"> involves a literature review (scientific articles, government reports, indigenous and local knowledge and other sources), but is not limited to such a review. The process of evaluating the state of knowledge involves the analysis, synthesis and critical judgement of information by more than 100 international experts from 23 countries over three years, and then aided by the assignment of clear confidence terms, the presentation of such findings to governments and relevant stakeholders on their request. IPBES </w:t>
      </w:r>
      <w:r w:rsidR="0053392A" w:rsidRPr="008608AA">
        <w:t>Assessment</w:t>
      </w:r>
      <w:r w:rsidRPr="008608AA">
        <w:t xml:space="preserve">s focus on what is known, but also on what is currently uncertain. Assessments play an important role in guiding policy through identifying areas of broad scientific agreement as well as areas of scientific uncertainty that may need further knowledge generation such as through scientific research. </w:t>
      </w:r>
    </w:p>
    <w:p w14:paraId="01B499A4" w14:textId="38AA44A1" w:rsidR="00F44157" w:rsidRPr="008608AA" w:rsidRDefault="00333557" w:rsidP="009C34DE">
      <w:pPr>
        <w:spacing w:before="120" w:after="120"/>
      </w:pPr>
      <w:r w:rsidRPr="008608AA">
        <w:t xml:space="preserve">Regional </w:t>
      </w:r>
      <w:r w:rsidR="0053392A" w:rsidRPr="008608AA">
        <w:t>Assessment</w:t>
      </w:r>
      <w:r w:rsidRPr="008608AA">
        <w:t xml:space="preserve">s are also a vehicle for the implementation of IPBES’s functions, such as capacity building, the identification of knowledge gaps, knowledge generation, and the development of policy support tools. Furthermore, the </w:t>
      </w:r>
      <w:r w:rsidR="0053392A" w:rsidRPr="008608AA">
        <w:t>Assessment</w:t>
      </w:r>
      <w:r w:rsidRPr="008608AA">
        <w:t xml:space="preserve"> is critical to furthering IPBES’s operational principle of ensuring the full use of national, subregional and regional knowledge, as appropriate, including by ensuring a bottom-up approach (Schmeller </w:t>
      </w:r>
      <w:r w:rsidR="00D66547" w:rsidRPr="008608AA">
        <w:t>&amp;</w:t>
      </w:r>
      <w:r w:rsidRPr="008608AA">
        <w:t xml:space="preserve"> Bridgewater, 2016).</w:t>
      </w:r>
    </w:p>
    <w:p w14:paraId="21ACC69B" w14:textId="77777777" w:rsidR="009C34DE" w:rsidRPr="008608AA" w:rsidRDefault="0053392A" w:rsidP="009C34DE">
      <w:pPr>
        <w:spacing w:before="120" w:after="120"/>
      </w:pPr>
      <w:r w:rsidRPr="008608AA">
        <w:t>The Regional A</w:t>
      </w:r>
      <w:r w:rsidR="00333557" w:rsidRPr="008608AA">
        <w:t xml:space="preserve">ssessments inform a range of stakeholders in the public and private sectors and civil society, including indigenous people and local communities, who will all benefit from sharing information and data that allows progress to be made towards the Aichi Biodiversity </w:t>
      </w:r>
      <w:r w:rsidR="00847F60" w:rsidRPr="008608AA">
        <w:t>target</w:t>
      </w:r>
      <w:r w:rsidRPr="008608AA">
        <w:t>s and the SDG. The Americas A</w:t>
      </w:r>
      <w:r w:rsidR="00333557" w:rsidRPr="008608AA">
        <w:t>ssessment provides users with a credible, legitimate, authoritative, holistic and comprehensive analysis of the current state of biomes within regional and subregional biodiversity and ecosystem services and functions, based on scientific and other knowledge systems, and with options and policy support tools for the sustainable management of biodiversity and ecosystem services and functions under alternative scenarios; it also present success stories, best practices and lessons learned, identifying current gaps in capacity and knowledge and options for addressing them at relevant levels.</w:t>
      </w:r>
    </w:p>
    <w:p w14:paraId="03171CA7" w14:textId="2FC4A014" w:rsidR="00A94D3E" w:rsidRPr="008608AA" w:rsidRDefault="00333557" w:rsidP="009C34DE">
      <w:pPr>
        <w:spacing w:before="120" w:after="120"/>
      </w:pPr>
      <w:r w:rsidRPr="008608AA">
        <w:t xml:space="preserve"> </w:t>
      </w:r>
    </w:p>
    <w:p w14:paraId="50D3EE8E" w14:textId="26A37119" w:rsidR="00F44157" w:rsidRPr="008608AA" w:rsidRDefault="00333557">
      <w:pPr>
        <w:pStyle w:val="Heading3"/>
      </w:pPr>
      <w:bookmarkStart w:id="218" w:name="_Toc502908173"/>
      <w:bookmarkStart w:id="219" w:name="_Toc502927257"/>
      <w:bookmarkStart w:id="220" w:name="_Toc502951099"/>
      <w:bookmarkStart w:id="221" w:name="_Toc502953542"/>
      <w:bookmarkStart w:id="222" w:name="_Toc502954835"/>
      <w:bookmarkStart w:id="223" w:name="_Toc502957642"/>
      <w:bookmarkStart w:id="224" w:name="_Toc502957995"/>
      <w:bookmarkStart w:id="225" w:name="_Toc503293639"/>
      <w:bookmarkStart w:id="226" w:name="_Toc503293901"/>
      <w:bookmarkStart w:id="227" w:name="_Toc503863294"/>
      <w:bookmarkStart w:id="228" w:name="_Toc503863522"/>
      <w:bookmarkStart w:id="229" w:name="_Toc517391821"/>
      <w:bookmarkStart w:id="230" w:name="_Toc517393210"/>
      <w:bookmarkStart w:id="231" w:name="_Toc517718951"/>
      <w:bookmarkStart w:id="232" w:name="_Toc517796908"/>
      <w:r w:rsidRPr="008608AA">
        <w:t>Who are the target audiences of this document?</w:t>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r w:rsidRPr="008608AA">
        <w:t xml:space="preserve"> </w:t>
      </w:r>
    </w:p>
    <w:p w14:paraId="6D73A4FA" w14:textId="77777777" w:rsidR="00F44157" w:rsidRPr="008608AA" w:rsidRDefault="00333557" w:rsidP="009C34DE">
      <w:pPr>
        <w:spacing w:before="120" w:after="120"/>
      </w:pPr>
      <w:r w:rsidRPr="008608AA">
        <w:t xml:space="preserve">Some primary and broader target audiences for IPBES’s outputs are listed below although the list is not exhaustive, and many other categories of users may find the assessments useful in pursuing their mandates or goals: </w:t>
      </w:r>
    </w:p>
    <w:p w14:paraId="088CEEDA" w14:textId="77777777" w:rsidR="00F44157" w:rsidRPr="008608AA" w:rsidRDefault="00333557" w:rsidP="009C34DE">
      <w:pPr>
        <w:spacing w:before="120" w:after="120"/>
      </w:pPr>
      <w:r w:rsidRPr="008608AA">
        <w:t xml:space="preserve">1) Primary target audiences: </w:t>
      </w:r>
    </w:p>
    <w:p w14:paraId="21B3E78E" w14:textId="3A87BF08" w:rsidR="00F44157" w:rsidRPr="008608AA" w:rsidRDefault="00333557" w:rsidP="00937445">
      <w:pPr>
        <w:pStyle w:val="ListParagraph"/>
        <w:numPr>
          <w:ilvl w:val="0"/>
          <w:numId w:val="38"/>
        </w:numPr>
        <w:spacing w:before="120"/>
      </w:pPr>
      <w:r w:rsidRPr="008608AA">
        <w:t>Policymakers whose work may affect or be affected by biodiversity, ecosystem services or NCP at all levels: IPBES member States, ministries of environment, energy, industry, planning, finance and agriculture, local authorities and the scientific advisers of policymakers need to be informed about IPBES so that they can use it as a source of independent expert knowledge;</w:t>
      </w:r>
    </w:p>
    <w:p w14:paraId="0DC6FB92" w14:textId="031662BE" w:rsidR="00F44157" w:rsidRPr="008608AA" w:rsidRDefault="00BD3C8C" w:rsidP="00937445">
      <w:pPr>
        <w:pStyle w:val="ListParagraph"/>
        <w:numPr>
          <w:ilvl w:val="0"/>
          <w:numId w:val="38"/>
        </w:numPr>
        <w:spacing w:before="120"/>
      </w:pPr>
      <w:r w:rsidRPr="008608AA">
        <w:t>b)</w:t>
      </w:r>
      <w:r w:rsidR="00333557" w:rsidRPr="008608AA">
        <w:t>UN programmes and multilateral environmental agreements: such as the CBD, and the Convention on Migratory Species, but also UN programmes with broad mandates for development and uses of planetary resources, such as the Global Environmental Fund and FAO (Food and Agriculture Organization of the United Nations). IPBES works with them, including during outreach and dissemination activities;</w:t>
      </w:r>
    </w:p>
    <w:p w14:paraId="25ADC05F" w14:textId="77777777" w:rsidR="00F44157" w:rsidRPr="008608AA" w:rsidRDefault="00333557" w:rsidP="009C34DE">
      <w:pPr>
        <w:spacing w:before="120" w:after="120"/>
      </w:pPr>
      <w:r w:rsidRPr="008608AA">
        <w:t xml:space="preserve">2)   Broader audiences: </w:t>
      </w:r>
    </w:p>
    <w:p w14:paraId="15B9B60F" w14:textId="1D7FC999" w:rsidR="00F44157" w:rsidRPr="008608AA" w:rsidRDefault="00333557" w:rsidP="00937445">
      <w:pPr>
        <w:pStyle w:val="ListParagraph"/>
        <w:numPr>
          <w:ilvl w:val="0"/>
          <w:numId w:val="39"/>
        </w:numPr>
        <w:spacing w:before="120"/>
      </w:pPr>
      <w:r w:rsidRPr="008608AA">
        <w:t xml:space="preserve">Scientific community: IPBES depends on the scientific community for the production of its reports and should therefore target this community to increase its engagement. International associations of scientists could be targeted as part of outreach activities; </w:t>
      </w:r>
    </w:p>
    <w:p w14:paraId="108A241C" w14:textId="275FFEFE" w:rsidR="00F44157" w:rsidRPr="008608AA" w:rsidRDefault="00333557" w:rsidP="00937445">
      <w:pPr>
        <w:pStyle w:val="ListParagraph"/>
        <w:numPr>
          <w:ilvl w:val="0"/>
          <w:numId w:val="39"/>
        </w:numPr>
        <w:spacing w:before="120"/>
      </w:pPr>
      <w:r w:rsidRPr="008608AA">
        <w:t xml:space="preserve">Indigenous and local knowledge holders and experts: The IPBES commitment to use multiple knowledge systems makes both communities important target audiences; </w:t>
      </w:r>
    </w:p>
    <w:p w14:paraId="1E9804AA" w14:textId="24B19B70" w:rsidR="00F44157" w:rsidRPr="008608AA" w:rsidRDefault="00333557" w:rsidP="00937445">
      <w:pPr>
        <w:pStyle w:val="ListParagraph"/>
        <w:numPr>
          <w:ilvl w:val="0"/>
          <w:numId w:val="39"/>
        </w:numPr>
        <w:spacing w:before="120"/>
      </w:pPr>
      <w:r w:rsidRPr="008608AA">
        <w:t xml:space="preserve">Business and industry: it is anticipated that IPBES’s reports will be considered by businesses and industries to help find sustainable ways of avoiding, minimizing, mitigating and offsetting impacts on ecosystems; </w:t>
      </w:r>
    </w:p>
    <w:p w14:paraId="48F7B3F7" w14:textId="62712B7D" w:rsidR="00F44157" w:rsidRPr="008608AA" w:rsidRDefault="00333557" w:rsidP="00937445">
      <w:pPr>
        <w:pStyle w:val="ListParagraph"/>
        <w:numPr>
          <w:ilvl w:val="0"/>
          <w:numId w:val="39"/>
        </w:numPr>
        <w:spacing w:before="120"/>
      </w:pPr>
      <w:r w:rsidRPr="008608AA">
        <w:t xml:space="preserve">Practitioners or implementers: a multitude of organizations and individuals involved in the implementation of programs depending on or affecting biodiversity and ecosystem services working on the ground will be interested in learning about the products of IPBES, such as policy support tools, and how they can use them; </w:t>
      </w:r>
    </w:p>
    <w:p w14:paraId="61BFEC23" w14:textId="0D8F5C56" w:rsidR="00F44157" w:rsidRPr="008608AA" w:rsidRDefault="00333557" w:rsidP="00937445">
      <w:pPr>
        <w:pStyle w:val="ListParagraph"/>
        <w:numPr>
          <w:ilvl w:val="0"/>
          <w:numId w:val="39"/>
        </w:numPr>
        <w:spacing w:before="120"/>
      </w:pPr>
      <w:r w:rsidRPr="008608AA">
        <w:t>Community-based organizations: certain communities, including environmental non-governmental organizations. will be greatly affected by biodiversity loss and/or committed to its rehabilitation, and will therefore need to be aware of the findings of IPBES’s assessments and policy support tools. The IPBES Secretariat could work with relevant networks to disseminate communications materials to these communities;</w:t>
      </w:r>
    </w:p>
    <w:p w14:paraId="1AD2D9A7" w14:textId="37841347" w:rsidR="00F44157" w:rsidRPr="008608AA" w:rsidRDefault="00333557" w:rsidP="00937445">
      <w:pPr>
        <w:pStyle w:val="ListParagraph"/>
        <w:numPr>
          <w:ilvl w:val="0"/>
          <w:numId w:val="39"/>
        </w:numPr>
        <w:spacing w:before="120"/>
      </w:pPr>
      <w:r w:rsidRPr="008608AA">
        <w:t>Intergovernmental and non-governmental organizations: these may be able to support IPBES’s objectives by providing outreach to their constituencies, including policymakers or the private sector, and by using the networks connected to their respective National Focal Points;</w:t>
      </w:r>
    </w:p>
    <w:p w14:paraId="25F49477" w14:textId="3A6F5FD1" w:rsidR="00F44157" w:rsidRPr="008608AA" w:rsidRDefault="00333557" w:rsidP="00937445">
      <w:pPr>
        <w:pStyle w:val="ListParagraph"/>
        <w:numPr>
          <w:ilvl w:val="0"/>
          <w:numId w:val="39"/>
        </w:numPr>
        <w:spacing w:before="120"/>
      </w:pPr>
      <w:r w:rsidRPr="008608AA">
        <w:t>Funding agencies that support national, regional and international activities and may play crucial roles in enabling the actions of other target audiences on the list;</w:t>
      </w:r>
    </w:p>
    <w:p w14:paraId="32F066EF" w14:textId="52D2FEC2" w:rsidR="00F44157" w:rsidRPr="008608AA" w:rsidRDefault="00333557" w:rsidP="00937445">
      <w:pPr>
        <w:pStyle w:val="ListParagraph"/>
        <w:numPr>
          <w:ilvl w:val="0"/>
          <w:numId w:val="39"/>
        </w:numPr>
        <w:spacing w:before="120"/>
      </w:pPr>
      <w:r w:rsidRPr="008608AA">
        <w:t>The media: the IPBES Secretariat would not be in a position to reach all audiences directly and would therefore rely on good media relations to reach broader audiences;</w:t>
      </w:r>
    </w:p>
    <w:p w14:paraId="4BA9A029" w14:textId="176D2C30" w:rsidR="00F44157" w:rsidRPr="008608AA" w:rsidRDefault="00333557" w:rsidP="00937445">
      <w:pPr>
        <w:pStyle w:val="ListParagraph"/>
        <w:numPr>
          <w:ilvl w:val="0"/>
          <w:numId w:val="39"/>
        </w:numPr>
        <w:spacing w:before="120"/>
      </w:pPr>
      <w:r w:rsidRPr="008608AA">
        <w:t>Communities and the public at large.</w:t>
      </w:r>
    </w:p>
    <w:p w14:paraId="45722DB8" w14:textId="77777777" w:rsidR="00F44157" w:rsidRPr="008608AA" w:rsidRDefault="00333557" w:rsidP="009C34DE">
      <w:pPr>
        <w:spacing w:before="120" w:after="120"/>
      </w:pPr>
      <w:r w:rsidRPr="008608AA">
        <w:t xml:space="preserve">All these categories of target audiences may act as both contributors to and end users of IPBES outputs.  All of them may: </w:t>
      </w:r>
    </w:p>
    <w:p w14:paraId="4850CA1A" w14:textId="0C341EF1" w:rsidR="00F44157" w:rsidRPr="008608AA" w:rsidRDefault="00333557" w:rsidP="00937445">
      <w:pPr>
        <w:pStyle w:val="ListParagraph"/>
        <w:numPr>
          <w:ilvl w:val="0"/>
          <w:numId w:val="40"/>
        </w:numPr>
        <w:spacing w:before="120"/>
        <w:ind w:left="1134" w:hanging="425"/>
      </w:pPr>
      <w:r w:rsidRPr="008608AA">
        <w:t>Contribute to the activities of the work programme through their experience, expertise, knowledge, data, information and capacity-building experience;</w:t>
      </w:r>
    </w:p>
    <w:p w14:paraId="5E66349D" w14:textId="7CC36F07" w:rsidR="00F44157" w:rsidRPr="008608AA" w:rsidRDefault="00333557" w:rsidP="00937445">
      <w:pPr>
        <w:pStyle w:val="ListParagraph"/>
        <w:numPr>
          <w:ilvl w:val="0"/>
          <w:numId w:val="40"/>
        </w:numPr>
        <w:spacing w:before="120"/>
        <w:ind w:left="1134" w:hanging="425"/>
      </w:pPr>
      <w:r w:rsidRPr="008608AA">
        <w:t>Use or benefit from the outcomes of the work programme;</w:t>
      </w:r>
    </w:p>
    <w:p w14:paraId="11FD5DD4" w14:textId="400CC619" w:rsidR="00F44157" w:rsidRDefault="00333557" w:rsidP="00937445">
      <w:pPr>
        <w:pStyle w:val="ListParagraph"/>
        <w:numPr>
          <w:ilvl w:val="0"/>
          <w:numId w:val="40"/>
        </w:numPr>
        <w:spacing w:before="120"/>
        <w:ind w:left="1134" w:hanging="425"/>
      </w:pPr>
      <w:r w:rsidRPr="008608AA">
        <w:t>Encourage and support the participation of scientists and knowledge holders in the work of the Platform.</w:t>
      </w:r>
    </w:p>
    <w:p w14:paraId="45187444" w14:textId="77777777" w:rsidR="00A94D3E" w:rsidRPr="008608AA" w:rsidRDefault="00A94D3E" w:rsidP="00A94D3E">
      <w:pPr>
        <w:pStyle w:val="ListParagraph"/>
        <w:spacing w:before="120"/>
        <w:ind w:left="1134"/>
      </w:pPr>
    </w:p>
    <w:p w14:paraId="40054BFB" w14:textId="67706DA9" w:rsidR="00F44157" w:rsidRPr="008608AA" w:rsidRDefault="00333557" w:rsidP="009C34DE">
      <w:pPr>
        <w:pStyle w:val="Heading2"/>
      </w:pPr>
      <w:bookmarkStart w:id="233" w:name="_Toc502908174"/>
      <w:bookmarkStart w:id="234" w:name="_Toc502927258"/>
      <w:bookmarkStart w:id="235" w:name="_Toc502951100"/>
      <w:bookmarkStart w:id="236" w:name="_Toc502953543"/>
      <w:bookmarkStart w:id="237" w:name="_Toc502954836"/>
      <w:bookmarkStart w:id="238" w:name="_Toc502957643"/>
      <w:bookmarkStart w:id="239" w:name="_Toc502957996"/>
      <w:bookmarkStart w:id="240" w:name="_Toc503293640"/>
      <w:bookmarkStart w:id="241" w:name="_Toc503293902"/>
      <w:bookmarkStart w:id="242" w:name="_Toc503863295"/>
      <w:bookmarkStart w:id="243" w:name="_Toc503863523"/>
      <w:bookmarkStart w:id="244" w:name="_Toc517391822"/>
      <w:bookmarkStart w:id="245" w:name="_Toc517393211"/>
      <w:bookmarkStart w:id="246" w:name="_Toc517718952"/>
      <w:bookmarkStart w:id="247" w:name="_Toc517796909"/>
      <w:r w:rsidRPr="008608AA">
        <w:t>Roadmap to core questions and chapters in</w:t>
      </w:r>
      <w:r w:rsidR="00A13E55" w:rsidRPr="008608AA">
        <w:t xml:space="preserve"> this Regional A</w:t>
      </w:r>
      <w:r w:rsidRPr="008608AA">
        <w:t>ssessment</w:t>
      </w:r>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p>
    <w:p w14:paraId="101DE8BC" w14:textId="270CBC1F" w:rsidR="009C34DE" w:rsidRPr="008608AA" w:rsidRDefault="00333557" w:rsidP="009C34DE">
      <w:r w:rsidRPr="008608AA">
        <w:t xml:space="preserve">Chapter 1 sets the scene, and presents the policy-relevant questions identified for the region, subregions, units of analysis, and the IPBES conceptual </w:t>
      </w:r>
      <w:r w:rsidR="00A13E55" w:rsidRPr="008608AA">
        <w:t>framework used in the Americas Regional A</w:t>
      </w:r>
      <w:r w:rsidRPr="008608AA">
        <w:t>ssessment. The analysis in the remaining chapters is conducted to address those policy-relevant questions posed by governments and other decision makers (Figure 1.2) within the IPBES framework, which was designed to help address the science-policy interface on biodiversity and ecosystem services topics (Diaz et al., 2015).</w:t>
      </w:r>
    </w:p>
    <w:p w14:paraId="03B65CD5" w14:textId="4F343CCD" w:rsidR="009C34DE" w:rsidRPr="008608AA" w:rsidRDefault="000C4622" w:rsidP="009C34DE">
      <w:pPr>
        <w:spacing w:before="240"/>
        <w:jc w:val="center"/>
      </w:pPr>
      <w:r w:rsidRPr="008608AA">
        <w:rPr>
          <w:noProof/>
          <w:lang w:val="en-GB" w:eastAsia="en-GB"/>
        </w:rPr>
        <w:drawing>
          <wp:inline distT="0" distB="0" distL="0" distR="0" wp14:anchorId="20F98C8F" wp14:editId="7435E842">
            <wp:extent cx="5934075" cy="4248150"/>
            <wp:effectExtent l="0" t="0" r="9525" b="0"/>
            <wp:docPr id="15" name="Imagen 15" descr="C:\Users\Alejandro Valderrama\Downloads\Fi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Alejandro Valderrama\Downloads\Fig1.2.jpg"/>
                    <pic:cNvPicPr>
                      <a:picLocks noChangeAspect="1" noChangeArrowheads="1"/>
                    </pic:cNvPicPr>
                  </pic:nvPicPr>
                  <pic:blipFill rotWithShape="1">
                    <a:blip r:embed="rId18">
                      <a:extLst>
                        <a:ext uri="{28A0092B-C50C-407E-A947-70E740481C1C}">
                          <a14:useLocalDpi xmlns:a14="http://schemas.microsoft.com/office/drawing/2010/main" val="0"/>
                        </a:ext>
                      </a:extLst>
                    </a:blip>
                    <a:srcRect b="50334"/>
                    <a:stretch/>
                  </pic:blipFill>
                  <pic:spPr bwMode="auto">
                    <a:xfrm>
                      <a:off x="0" y="0"/>
                      <a:ext cx="5934075" cy="4248150"/>
                    </a:xfrm>
                    <a:prstGeom prst="rect">
                      <a:avLst/>
                    </a:prstGeom>
                    <a:noFill/>
                    <a:ln>
                      <a:noFill/>
                    </a:ln>
                    <a:extLst>
                      <a:ext uri="{53640926-AAD7-44D8-BBD7-CCE9431645EC}">
                        <a14:shadowObscured xmlns:a14="http://schemas.microsoft.com/office/drawing/2010/main"/>
                      </a:ext>
                    </a:extLst>
                  </pic:spPr>
                </pic:pic>
              </a:graphicData>
            </a:graphic>
          </wp:inline>
        </w:drawing>
      </w:r>
    </w:p>
    <w:p w14:paraId="2644DD29" w14:textId="0613FB59" w:rsidR="00A13E55" w:rsidRPr="008608AA" w:rsidRDefault="00333557" w:rsidP="009C34DE">
      <w:pPr>
        <w:spacing w:before="240"/>
      </w:pPr>
      <w:r w:rsidRPr="008608AA">
        <w:t>Chapter 2 is the primary place where the key following policy-relevant question is addressed</w:t>
      </w:r>
      <w:r w:rsidRPr="008608AA">
        <w:rPr>
          <w:i/>
        </w:rPr>
        <w:t xml:space="preserve">: </w:t>
      </w:r>
      <w:r w:rsidRPr="008608AA">
        <w:t>(1) How do biodiversity and ecosystem functions and services contribute to the economy, livelihoods, food security, and good quality of life in the regions, and their interlinkages?</w:t>
      </w:r>
    </w:p>
    <w:p w14:paraId="02492A30" w14:textId="77777777" w:rsidR="00A13E55" w:rsidRPr="008608AA" w:rsidRDefault="00A13E55" w:rsidP="009C34DE"/>
    <w:p w14:paraId="7A36F05C" w14:textId="51664692" w:rsidR="00F44157" w:rsidRPr="008608AA" w:rsidRDefault="00333557" w:rsidP="009C34DE">
      <w:r w:rsidRPr="008608AA">
        <w:t xml:space="preserve">It assesses the values of nature’s contributions to people, the dependence or interrelationship of human well-being on biodiversity and NCP, information on the trends in human-wellbeing, and links those to trends in NCP. This chapter most explicitly draws on the diversity of knowledge systems, including Indigenous and local knowledge in addition to “western science”. Also, in this </w:t>
      </w:r>
      <w:r w:rsidR="0053392A" w:rsidRPr="008608AA">
        <w:t>Assessment</w:t>
      </w:r>
      <w:r w:rsidRPr="008608AA">
        <w:t>, the concept of good quality of life is central to this Chapter, and continues as a thread through the subsequent chapters.</w:t>
      </w:r>
    </w:p>
    <w:p w14:paraId="28AFF1C2" w14:textId="77777777" w:rsidR="00F44157" w:rsidRPr="008608AA" w:rsidRDefault="00333557" w:rsidP="009C34DE">
      <w:pPr>
        <w:spacing w:before="120"/>
      </w:pPr>
      <w:r w:rsidRPr="008608AA">
        <w:t xml:space="preserve">Chapter 3 focuses on the status and trends of biodiversity and ecosystem functions underpinning nature’s benefit to people considering both structural and functional features of the biotic communities and their abiotic environments. It is the central place where the following policy-relevant question is addressed: (2) What are the status, and trends of biodiversity, ecosystem functions that ultimately affect their contribution to the economy, livelihoods and well-being in the region? </w:t>
      </w:r>
    </w:p>
    <w:p w14:paraId="00DA6E88" w14:textId="77777777" w:rsidR="00F44157" w:rsidRPr="008608AA" w:rsidRDefault="00333557" w:rsidP="009C34DE">
      <w:pPr>
        <w:spacing w:before="120"/>
      </w:pPr>
      <w:r w:rsidRPr="008608AA">
        <w:t xml:space="preserve">Chapter 3 assesses the amount of biodiversity found in the Americas, considering native and non-native biodiversity, how it is distributed across the Americas, the present state of ecosystems and biomes, recent changes in ecosystems and their biodiversity, the conservation status of species, and trends in levels of protection. It also provides an overview of the relative important of the units of analysis by subregion with regard to NCP. Additionally, the state of key ecosystem functions is assessed where information is available. </w:t>
      </w:r>
    </w:p>
    <w:p w14:paraId="56CEFCB8" w14:textId="77777777" w:rsidR="00F44157" w:rsidRPr="008608AA" w:rsidRDefault="00333557" w:rsidP="009C34DE">
      <w:pPr>
        <w:spacing w:before="120" w:after="120"/>
      </w:pPr>
      <w:r w:rsidRPr="008608AA">
        <w:t xml:space="preserve">Chapter 4 focuses on drivers of changes in biodiversity and addresses the policy question: (3) What are the pressures driving the change in the status and trends of biodiversity, ecosystem functions, ecosystem services and good quality of life in the region? </w:t>
      </w:r>
    </w:p>
    <w:p w14:paraId="41D39001" w14:textId="5729FDDC" w:rsidR="009C34DE" w:rsidRPr="008608AA" w:rsidRDefault="00333557" w:rsidP="004E53F9">
      <w:pPr>
        <w:spacing w:before="120" w:after="120"/>
        <w:rPr>
          <w:color w:val="222222"/>
        </w:rPr>
      </w:pPr>
      <w:r w:rsidRPr="008608AA">
        <w:t xml:space="preserve">This chapter presents information on status and trends of the factors that have potential to drive changes in biodiversity components, and consequently in the NCP. Chapter 4 reaches back to Chapter 3 for linkages of the drivers to biodiversity trends, and forwards to Chapters 5 and 6 for evaluation of alterative options for the intensity of the drivers. Where possible, it reaches toward finding evidence of possible indirect links between specific drivers and the trends in NCP described in Chapter 2. </w:t>
      </w:r>
    </w:p>
    <w:p w14:paraId="57C1D34A" w14:textId="25A78093" w:rsidR="009C34DE" w:rsidRPr="008608AA" w:rsidRDefault="00B3307F" w:rsidP="004E53F9">
      <w:pPr>
        <w:spacing w:before="120" w:after="120"/>
        <w:jc w:val="center"/>
        <w:rPr>
          <w:color w:val="222222"/>
        </w:rPr>
      </w:pPr>
      <w:r w:rsidRPr="008608AA">
        <w:rPr>
          <w:noProof/>
          <w:color w:val="222222"/>
          <w:lang w:val="en-GB" w:eastAsia="en-GB"/>
        </w:rPr>
        <w:drawing>
          <wp:inline distT="0" distB="0" distL="0" distR="0" wp14:anchorId="211B446C" wp14:editId="2CE5A6CF">
            <wp:extent cx="5934075" cy="4295775"/>
            <wp:effectExtent l="0" t="0" r="9525" b="9525"/>
            <wp:docPr id="3" name="Imagen 3" descr="C:\Users\Alejandro Valderrama\Downloads\Fi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Alejandro Valderrama\Downloads\Fig1.3.jpg"/>
                    <pic:cNvPicPr>
                      <a:picLocks noChangeAspect="1" noChangeArrowheads="1"/>
                    </pic:cNvPicPr>
                  </pic:nvPicPr>
                  <pic:blipFill rotWithShape="1">
                    <a:blip r:embed="rId19">
                      <a:extLst>
                        <a:ext uri="{28A0092B-C50C-407E-A947-70E740481C1C}">
                          <a14:useLocalDpi xmlns:a14="http://schemas.microsoft.com/office/drawing/2010/main" val="0"/>
                        </a:ext>
                      </a:extLst>
                    </a:blip>
                    <a:srcRect b="49778"/>
                    <a:stretch/>
                  </pic:blipFill>
                  <pic:spPr bwMode="auto">
                    <a:xfrm>
                      <a:off x="0" y="0"/>
                      <a:ext cx="5934075" cy="4295775"/>
                    </a:xfrm>
                    <a:prstGeom prst="rect">
                      <a:avLst/>
                    </a:prstGeom>
                    <a:noFill/>
                    <a:ln>
                      <a:noFill/>
                    </a:ln>
                    <a:extLst>
                      <a:ext uri="{53640926-AAD7-44D8-BBD7-CCE9431645EC}">
                        <a14:shadowObscured xmlns:a14="http://schemas.microsoft.com/office/drawing/2010/main"/>
                      </a:ext>
                    </a:extLst>
                  </pic:spPr>
                </pic:pic>
              </a:graphicData>
            </a:graphic>
          </wp:inline>
        </w:drawing>
      </w:r>
    </w:p>
    <w:p w14:paraId="361E7274" w14:textId="12AB7544" w:rsidR="00F44157" w:rsidRPr="008608AA" w:rsidRDefault="00333557" w:rsidP="004E53F9">
      <w:pPr>
        <w:spacing w:before="120" w:after="120"/>
      </w:pPr>
      <w:r w:rsidRPr="008608AA">
        <w:rPr>
          <w:color w:val="222222"/>
        </w:rPr>
        <w:t xml:space="preserve">Chapter 5 provides a synthesis of the information contained primarily in chapters 2-4 </w:t>
      </w:r>
      <w:r w:rsidRPr="008608AA">
        <w:t>and makes use of scenarios and modelling developed for the Americas Region</w:t>
      </w:r>
      <w:r w:rsidRPr="008608AA">
        <w:rPr>
          <w:color w:val="222222"/>
        </w:rPr>
        <w:t>. In this synthesis, the Chapter examines how the core questions 1-3 inter</w:t>
      </w:r>
      <w:r w:rsidR="00CD3D92" w:rsidRPr="008608AA">
        <w:rPr>
          <w:color w:val="222222"/>
        </w:rPr>
        <w:t>act to affect human well-being (</w:t>
      </w:r>
      <w:r w:rsidRPr="008608AA">
        <w:rPr>
          <w:color w:val="222222"/>
        </w:rPr>
        <w:t>5.</w:t>
      </w:r>
      <w:r w:rsidR="00CD3D92" w:rsidRPr="008608AA">
        <w:rPr>
          <w:color w:val="222222"/>
        </w:rPr>
        <w:t>4)</w:t>
      </w:r>
      <w:r w:rsidRPr="008608AA">
        <w:rPr>
          <w:color w:val="222222"/>
        </w:rPr>
        <w:t xml:space="preserve">. In particular, it examines the future trends of biodiversity and drivers and what those trends might mean in terms of the archetype scenarios of “business as usual” and “great transitions” </w:t>
      </w:r>
      <w:r w:rsidR="00CD3D92" w:rsidRPr="008608AA">
        <w:rPr>
          <w:color w:val="222222"/>
        </w:rPr>
        <w:t>(</w:t>
      </w:r>
      <w:r w:rsidRPr="008608AA">
        <w:rPr>
          <w:color w:val="222222"/>
        </w:rPr>
        <w:t>5.4, 5.5.1</w:t>
      </w:r>
      <w:r w:rsidR="00CD3D92" w:rsidRPr="008608AA">
        <w:rPr>
          <w:color w:val="222222"/>
        </w:rPr>
        <w:t>)</w:t>
      </w:r>
      <w:r w:rsidRPr="008608AA">
        <w:rPr>
          <w:color w:val="222222"/>
        </w:rPr>
        <w:t xml:space="preserve">. Additionally, the Chapter examines the role and significance of telecoupling </w:t>
      </w:r>
      <w:r w:rsidR="00CD3D92" w:rsidRPr="008608AA">
        <w:rPr>
          <w:color w:val="222222"/>
        </w:rPr>
        <w:t>(</w:t>
      </w:r>
      <w:r w:rsidRPr="008608AA">
        <w:rPr>
          <w:color w:val="222222"/>
        </w:rPr>
        <w:t>5.6.1</w:t>
      </w:r>
      <w:r w:rsidR="00CD3D92" w:rsidRPr="008608AA">
        <w:rPr>
          <w:color w:val="222222"/>
        </w:rPr>
        <w:t>)</w:t>
      </w:r>
      <w:r w:rsidRPr="008608AA">
        <w:rPr>
          <w:color w:val="222222"/>
        </w:rPr>
        <w:t xml:space="preserve"> and presents key findings on both telecoupling and data gaps </w:t>
      </w:r>
      <w:r w:rsidR="00CD3D92" w:rsidRPr="008608AA">
        <w:rPr>
          <w:color w:val="222222"/>
        </w:rPr>
        <w:t>(</w:t>
      </w:r>
      <w:r w:rsidRPr="008608AA">
        <w:rPr>
          <w:color w:val="222222"/>
        </w:rPr>
        <w:t>5.8</w:t>
      </w:r>
      <w:r w:rsidR="00CD3D92" w:rsidRPr="008608AA">
        <w:rPr>
          <w:color w:val="222222"/>
        </w:rPr>
        <w:t>)</w:t>
      </w:r>
      <w:r w:rsidRPr="008608AA">
        <w:rPr>
          <w:color w:val="222222"/>
        </w:rPr>
        <w:t>, especially with respect to time series data on status of biodiversity and drivers.</w:t>
      </w:r>
      <w:r w:rsidRPr="008608AA">
        <w:t xml:space="preserve"> </w:t>
      </w:r>
      <w:r w:rsidRPr="008608AA">
        <w:rPr>
          <w:color w:val="222222"/>
        </w:rPr>
        <w:t>To the extent possible, the chapter explores changes in the trajectories of multiple drivers and the role played by synergies, trade-offs and adaptive behaviour.</w:t>
      </w:r>
    </w:p>
    <w:p w14:paraId="49198C0E" w14:textId="77777777" w:rsidR="00F44157" w:rsidRPr="008608AA" w:rsidRDefault="00333557" w:rsidP="004E53F9">
      <w:pPr>
        <w:spacing w:before="120" w:after="120"/>
      </w:pPr>
      <w:r w:rsidRPr="008608AA">
        <w:rPr>
          <w:color w:val="222222"/>
        </w:rPr>
        <w:t>Chapter 6 takes note of how the linkages and scenarios in earlier chapters may be facilitated or impeded by various policies options. It is where key question 4 is addressed: (4) What are the actual and potential impacts of various policies and interventions on the contribution of biodiversity, ecosystem functions and ecosystem services to the sustainability of the economy, livelihoods, food security and good quality of life in the region?</w:t>
      </w:r>
    </w:p>
    <w:p w14:paraId="741ECC99" w14:textId="77777777" w:rsidR="00F44157" w:rsidRPr="008608AA" w:rsidRDefault="00333557" w:rsidP="004E53F9">
      <w:pPr>
        <w:spacing w:before="120" w:after="120"/>
      </w:pPr>
      <w:r w:rsidRPr="008608AA">
        <w:t>This chapter provides information to identify policies that may respond effectively to trends in biodiversity, NCP or human well-being. All chapters strive to present information in ways that are relevant to policy-making but not prescriptive regarding choices among policies and options for decision makers at the regional and subregional levels in response to the scenario set out in previous chapter. Chapter 6 also explores the policy framework available and their track record in the Americas. To the extent possible many of the social, economic, cultural and governance factors that affect their performance are considered.</w:t>
      </w:r>
    </w:p>
    <w:p w14:paraId="00FCCACD" w14:textId="77777777" w:rsidR="004E53F9" w:rsidRPr="008608AA" w:rsidRDefault="004E53F9" w:rsidP="004E53F9">
      <w:pPr>
        <w:spacing w:before="120" w:after="120"/>
      </w:pPr>
    </w:p>
    <w:p w14:paraId="5C9C0FC7" w14:textId="2D62E108" w:rsidR="00F44157" w:rsidRPr="008608AA" w:rsidRDefault="00333557">
      <w:pPr>
        <w:pStyle w:val="Heading3"/>
      </w:pPr>
      <w:bookmarkStart w:id="248" w:name="_Toc502908175"/>
      <w:bookmarkStart w:id="249" w:name="_Toc502927259"/>
      <w:bookmarkStart w:id="250" w:name="_Toc502951101"/>
      <w:bookmarkStart w:id="251" w:name="_Toc502953544"/>
      <w:bookmarkStart w:id="252" w:name="_Toc502954837"/>
      <w:bookmarkStart w:id="253" w:name="_Toc502957644"/>
      <w:bookmarkStart w:id="254" w:name="_Toc502957997"/>
      <w:bookmarkStart w:id="255" w:name="_Toc503293641"/>
      <w:bookmarkStart w:id="256" w:name="_Toc503293903"/>
      <w:bookmarkStart w:id="257" w:name="_Toc503863296"/>
      <w:bookmarkStart w:id="258" w:name="_Toc503863524"/>
      <w:bookmarkStart w:id="259" w:name="_Toc517391823"/>
      <w:bookmarkStart w:id="260" w:name="_Toc517393212"/>
      <w:bookmarkStart w:id="261" w:name="_Toc517718953"/>
      <w:bookmarkStart w:id="262" w:name="_Toc517796910"/>
      <w:r w:rsidRPr="008608AA">
        <w:t>What gaps in knowledge need to be addressed to better understand and assess drivers, impacts and responses of biodiversity, ecosystem functions and services at the regional level?</w:t>
      </w:r>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p>
    <w:p w14:paraId="6A162B6B" w14:textId="3C1CCDBB" w:rsidR="00F44157" w:rsidRPr="008608AA" w:rsidRDefault="00333557" w:rsidP="00AB6BEC">
      <w:pPr>
        <w:spacing w:before="120" w:after="120"/>
        <w:rPr>
          <w:color w:val="538135"/>
        </w:rPr>
      </w:pPr>
      <w:r w:rsidRPr="008608AA">
        <w:t xml:space="preserve">Much biodiversity remains to be scientifically under sampled for all types of ecosystems in the Americas, particularly in South America and in the deep oceans. The potential areas </w:t>
      </w:r>
      <w:r w:rsidR="0053392A" w:rsidRPr="008608AA">
        <w:t>with gaps in knowledge in this R</w:t>
      </w:r>
      <w:r w:rsidRPr="008608AA">
        <w:t xml:space="preserve">egional </w:t>
      </w:r>
      <w:r w:rsidR="0053392A" w:rsidRPr="008608AA">
        <w:t>Assessment</w:t>
      </w:r>
      <w:r w:rsidRPr="008608AA">
        <w:t xml:space="preserve"> include:</w:t>
      </w:r>
    </w:p>
    <w:p w14:paraId="6F8C97D0" w14:textId="3B69E659" w:rsidR="00F44157" w:rsidRPr="008608AA" w:rsidRDefault="00333557" w:rsidP="00937445">
      <w:pPr>
        <w:pStyle w:val="ListParagraph"/>
        <w:numPr>
          <w:ilvl w:val="0"/>
          <w:numId w:val="41"/>
        </w:numPr>
        <w:spacing w:before="120"/>
      </w:pPr>
      <w:r w:rsidRPr="008608AA">
        <w:t xml:space="preserve">the contributions of NCP to quality of life, considering the mismatch of social and quality of life (well-being) data produced at the political scale and ecological data produced at a biome scale; </w:t>
      </w:r>
    </w:p>
    <w:p w14:paraId="7FA8EEA2" w14:textId="779C8866" w:rsidR="00F44157" w:rsidRPr="008608AA" w:rsidRDefault="00333557" w:rsidP="00937445">
      <w:pPr>
        <w:pStyle w:val="ListParagraph"/>
        <w:numPr>
          <w:ilvl w:val="0"/>
          <w:numId w:val="41"/>
        </w:numPr>
        <w:spacing w:before="120"/>
      </w:pPr>
      <w:r w:rsidRPr="008608AA">
        <w:t xml:space="preserve">the assessment of non-material NCP that contribute to quality of life, </w:t>
      </w:r>
    </w:p>
    <w:p w14:paraId="0ED7C899" w14:textId="2BF05B38" w:rsidR="00F44157" w:rsidRPr="008608AA" w:rsidRDefault="00333557" w:rsidP="00937445">
      <w:pPr>
        <w:pStyle w:val="ListParagraph"/>
        <w:numPr>
          <w:ilvl w:val="0"/>
          <w:numId w:val="41"/>
        </w:numPr>
        <w:spacing w:before="120"/>
      </w:pPr>
      <w:r w:rsidRPr="008608AA">
        <w:t xml:space="preserve">the linkages from indirect to direct drivers and from the drivers to specific changes in biodiversity and NCP, </w:t>
      </w:r>
    </w:p>
    <w:p w14:paraId="07373FEC" w14:textId="5BB22507" w:rsidR="00F44157" w:rsidRPr="008608AA" w:rsidRDefault="00333557" w:rsidP="00937445">
      <w:pPr>
        <w:pStyle w:val="ListParagraph"/>
        <w:numPr>
          <w:ilvl w:val="0"/>
          <w:numId w:val="41"/>
        </w:numPr>
        <w:spacing w:before="120"/>
      </w:pPr>
      <w:r w:rsidRPr="008608AA">
        <w:t xml:space="preserve">the factors that affect the ability to generalize and scale up or down the results of individual studies, and </w:t>
      </w:r>
    </w:p>
    <w:p w14:paraId="6D9BE5E5" w14:textId="31E0E046" w:rsidR="00F44157" w:rsidRPr="008608AA" w:rsidRDefault="00333557" w:rsidP="00937445">
      <w:pPr>
        <w:pStyle w:val="ListParagraph"/>
        <w:numPr>
          <w:ilvl w:val="0"/>
          <w:numId w:val="41"/>
        </w:numPr>
        <w:spacing w:before="120"/>
      </w:pPr>
      <w:r w:rsidRPr="008608AA">
        <w:t xml:space="preserve">the evaluation of the impacts of short-term and long-term policy and programmes. </w:t>
      </w:r>
    </w:p>
    <w:p w14:paraId="10CF85FE" w14:textId="77777777" w:rsidR="00F44157" w:rsidRPr="008608AA" w:rsidRDefault="00333557" w:rsidP="00937445">
      <w:pPr>
        <w:pStyle w:val="ListParagraph"/>
        <w:numPr>
          <w:ilvl w:val="0"/>
          <w:numId w:val="41"/>
        </w:numPr>
        <w:spacing w:before="120"/>
      </w:pPr>
      <w:r w:rsidRPr="008608AA">
        <w:t>Investments in generating new knowledge on these matters, which are discussed across chapters, may better elucidate how human quality of life is highly dependent on a healthy natural environment as well as how threats to natural environments affect quality of life in the short, median and long-term.</w:t>
      </w:r>
    </w:p>
    <w:p w14:paraId="10F0B57F" w14:textId="77777777" w:rsidR="004F0B12" w:rsidRPr="008608AA" w:rsidRDefault="004F0B12" w:rsidP="004F0B12">
      <w:pPr>
        <w:pStyle w:val="ListParagraph"/>
        <w:spacing w:before="120"/>
      </w:pPr>
    </w:p>
    <w:p w14:paraId="0454283C" w14:textId="5310AEE1" w:rsidR="00F44157" w:rsidRPr="008608AA" w:rsidRDefault="00333557">
      <w:pPr>
        <w:pStyle w:val="Heading3"/>
      </w:pPr>
      <w:bookmarkStart w:id="263" w:name="_Toc502908176"/>
      <w:bookmarkStart w:id="264" w:name="_Toc502927260"/>
      <w:bookmarkStart w:id="265" w:name="_Toc502951102"/>
      <w:bookmarkStart w:id="266" w:name="_Toc502953545"/>
      <w:bookmarkStart w:id="267" w:name="_Toc502954838"/>
      <w:bookmarkStart w:id="268" w:name="_Toc502957645"/>
      <w:bookmarkStart w:id="269" w:name="_Toc502957998"/>
      <w:bookmarkStart w:id="270" w:name="_Toc503293642"/>
      <w:bookmarkStart w:id="271" w:name="_Toc503293904"/>
      <w:bookmarkStart w:id="272" w:name="_Toc503863297"/>
      <w:bookmarkStart w:id="273" w:name="_Toc503863525"/>
      <w:bookmarkStart w:id="274" w:name="_Toc517391824"/>
      <w:bookmarkStart w:id="275" w:name="_Toc517393213"/>
      <w:bookmarkStart w:id="276" w:name="_Toc517718954"/>
      <w:bookmarkStart w:id="277" w:name="_Toc517796911"/>
      <w:r w:rsidRPr="008608AA">
        <w:t xml:space="preserve">Relationship of the key questions to the implementation of the Strategic Plan </w:t>
      </w:r>
      <w:r w:rsidR="00A13E55" w:rsidRPr="008608AA">
        <w:t>for Biodiversity and its Aichi b</w:t>
      </w:r>
      <w:r w:rsidRPr="008608AA">
        <w:t xml:space="preserve">iodiversity </w:t>
      </w:r>
      <w:r w:rsidR="00847F60" w:rsidRPr="008608AA">
        <w:t>target</w:t>
      </w:r>
      <w:r w:rsidRPr="008608AA">
        <w:t>s and to the Sustainable Development Goals</w:t>
      </w:r>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p>
    <w:p w14:paraId="2B9839CC" w14:textId="1EE36BCC" w:rsidR="00F44157" w:rsidRPr="008608AA" w:rsidRDefault="00A13E55" w:rsidP="004E53F9">
      <w:pPr>
        <w:spacing w:before="120" w:after="120"/>
      </w:pPr>
      <w:r w:rsidRPr="008608AA">
        <w:t>The Intergovernmental Science-Policy Platform on Biodiversity and Ecosystem Services A</w:t>
      </w:r>
      <w:r w:rsidR="00333557" w:rsidRPr="008608AA">
        <w:t>ssessments consider the synergies and trade-offs associated with meeting multiple goals and the interactions among the social (including cultural), economic and environmental dimensions of</w:t>
      </w:r>
      <w:r w:rsidRPr="008608AA">
        <w:t xml:space="preserve"> sustainable development. This Regional A</w:t>
      </w:r>
      <w:r w:rsidR="00333557" w:rsidRPr="008608AA">
        <w:t>ssessment is highly relevant in the context of the CBD Strategic Plan for Biodi</w:t>
      </w:r>
      <w:r w:rsidRPr="008608AA">
        <w:t>versity 2011–2020 and Aichi b</w:t>
      </w:r>
      <w:r w:rsidR="00333557" w:rsidRPr="008608AA">
        <w:t xml:space="preserve">iodiversity </w:t>
      </w:r>
      <w:r w:rsidR="00847F60" w:rsidRPr="008608AA">
        <w:t>target</w:t>
      </w:r>
      <w:r w:rsidR="00333557" w:rsidRPr="008608AA">
        <w:t xml:space="preserve">s, as well as national biodiversity strategies and action plans, and the UN Sustainable Development Goals for 2030. The CBD strategic plan and targets are products of this convention’s negotiations while the SDG resulted from the entire UN level negotiations agreed upon 193 countries. </w:t>
      </w:r>
    </w:p>
    <w:p w14:paraId="09EE2333" w14:textId="04BAF03C" w:rsidR="00F44157" w:rsidRPr="008608AA" w:rsidRDefault="0053392A" w:rsidP="004E53F9">
      <w:pPr>
        <w:spacing w:before="120" w:after="120"/>
      </w:pPr>
      <w:r w:rsidRPr="008608AA">
        <w:t>In this Regional A</w:t>
      </w:r>
      <w:r w:rsidR="00333557" w:rsidRPr="008608AA">
        <w:t xml:space="preserve">ssessment, the time frame of analyses covers the current status, trends up to 2020 (going back as far as 50 years) and plausible future projections, with a focus on various periods between 2020 and 2050 that cover key target dates related to the Strategic Plan for Biodiversity 2011–2020 and the SDG. The analyses include an evaluation of the likelihood of achieving the </w:t>
      </w:r>
      <w:r w:rsidR="00847F60" w:rsidRPr="008608AA">
        <w:t>target</w:t>
      </w:r>
      <w:r w:rsidR="00A13E55" w:rsidRPr="008608AA">
        <w:t>s and g</w:t>
      </w:r>
      <w:r w:rsidR="00333557" w:rsidRPr="008608AA">
        <w:t xml:space="preserve">oals (Chapters 2-6) if present trends continue, and identify the types of changes in trends of biodiversity, and the drivers of those trends that would increase the likelihood of achieving </w:t>
      </w:r>
      <w:r w:rsidR="00847F60" w:rsidRPr="008608AA">
        <w:t>target</w:t>
      </w:r>
      <w:r w:rsidR="00A13E55" w:rsidRPr="008608AA">
        <w:t>s and g</w:t>
      </w:r>
      <w:r w:rsidR="00333557" w:rsidRPr="008608AA">
        <w:t>oals that at present may appear elusive.</w:t>
      </w:r>
    </w:p>
    <w:p w14:paraId="109A329B" w14:textId="4DCCCC31" w:rsidR="00870677" w:rsidRPr="008608AA" w:rsidRDefault="00333557" w:rsidP="004E53F9">
      <w:pPr>
        <w:spacing w:before="120" w:after="120"/>
      </w:pPr>
      <w:r w:rsidRPr="008608AA">
        <w:t xml:space="preserve">The degree of government’s commitment to conservation and sustainable use of biodiversity are captured partly in </w:t>
      </w:r>
      <w:r w:rsidR="00A13E55" w:rsidRPr="008608AA">
        <w:t>the endorsement of many global agreements and c</w:t>
      </w:r>
      <w:r w:rsidRPr="008608AA">
        <w:t>onventions about biodiversity and its uses, presented in Table 1.2. For most countries, global commitments are often un</w:t>
      </w:r>
      <w:r w:rsidR="009C3845" w:rsidRPr="008608AA">
        <w:t>coupled from national policies (6.3)</w:t>
      </w:r>
      <w:r w:rsidRPr="008608AA">
        <w:t>.</w:t>
      </w:r>
    </w:p>
    <w:p w14:paraId="30AD3B63" w14:textId="478E0724" w:rsidR="00F44157" w:rsidRPr="008608AA" w:rsidRDefault="00870677" w:rsidP="00870677">
      <w:pPr>
        <w:pStyle w:val="Caption"/>
        <w:rPr>
          <w:rStyle w:val="BookTitle0"/>
          <w:smallCaps w:val="0"/>
          <w:spacing w:val="0"/>
        </w:rPr>
      </w:pPr>
      <w:bookmarkStart w:id="278" w:name="_2bn6wsx" w:colFirst="0" w:colLast="0"/>
      <w:bookmarkEnd w:id="278"/>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1</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2</w:t>
      </w:r>
      <w:r w:rsidR="000E562E">
        <w:rPr>
          <w:noProof/>
        </w:rPr>
        <w:fldChar w:fldCharType="end"/>
      </w:r>
      <w:r w:rsidR="00BD3C8C" w:rsidRPr="008608AA">
        <w:rPr>
          <w:rStyle w:val="BookTitle0"/>
          <w:smallCaps w:val="0"/>
          <w:spacing w:val="0"/>
        </w:rPr>
        <w:t xml:space="preserve">. </w:t>
      </w:r>
      <w:r w:rsidR="00333557" w:rsidRPr="00A94D3E">
        <w:rPr>
          <w:rStyle w:val="BookTitle0"/>
          <w:b/>
          <w:smallCaps w:val="0"/>
          <w:spacing w:val="0"/>
        </w:rPr>
        <w:t>Countries participating in international environmental commitments by subregion</w:t>
      </w:r>
    </w:p>
    <w:tbl>
      <w:tblPr>
        <w:tblStyle w:val="77"/>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469"/>
        <w:gridCol w:w="1687"/>
        <w:gridCol w:w="1161"/>
        <w:gridCol w:w="1641"/>
        <w:gridCol w:w="1161"/>
        <w:gridCol w:w="1368"/>
      </w:tblGrid>
      <w:tr w:rsidR="00F44157" w:rsidRPr="008608AA" w14:paraId="56A0D051" w14:textId="77777777" w:rsidTr="00636F57">
        <w:trPr>
          <w:jc w:val="center"/>
        </w:trPr>
        <w:tc>
          <w:tcPr>
            <w:tcW w:w="2190" w:type="pct"/>
            <w:gridSpan w:val="2"/>
            <w:shd w:val="clear" w:color="auto" w:fill="BFBFBF" w:themeFill="background1" w:themeFillShade="BF"/>
            <w:vAlign w:val="center"/>
          </w:tcPr>
          <w:p w14:paraId="00CC1E6F" w14:textId="77777777" w:rsidR="00F44157" w:rsidRPr="008608AA" w:rsidRDefault="00333557" w:rsidP="000836E7">
            <w:pPr>
              <w:jc w:val="center"/>
              <w:rPr>
                <w:b/>
                <w:sz w:val="22"/>
                <w:szCs w:val="22"/>
              </w:rPr>
            </w:pPr>
            <w:r w:rsidRPr="008608AA">
              <w:rPr>
                <w:b/>
                <w:sz w:val="22"/>
                <w:szCs w:val="22"/>
              </w:rPr>
              <w:t>Convention name</w:t>
            </w:r>
          </w:p>
        </w:tc>
        <w:tc>
          <w:tcPr>
            <w:tcW w:w="612" w:type="pct"/>
            <w:shd w:val="clear" w:color="auto" w:fill="BFBFBF" w:themeFill="background1" w:themeFillShade="BF"/>
            <w:vAlign w:val="center"/>
          </w:tcPr>
          <w:p w14:paraId="31B83728" w14:textId="77777777" w:rsidR="00F44157" w:rsidRPr="008608AA" w:rsidRDefault="00333557" w:rsidP="000836E7">
            <w:pPr>
              <w:jc w:val="center"/>
              <w:rPr>
                <w:b/>
                <w:sz w:val="22"/>
                <w:szCs w:val="22"/>
              </w:rPr>
            </w:pPr>
            <w:r w:rsidRPr="008608AA">
              <w:rPr>
                <w:b/>
                <w:sz w:val="22"/>
                <w:szCs w:val="22"/>
              </w:rPr>
              <w:t>North</w:t>
            </w:r>
          </w:p>
          <w:p w14:paraId="0328C12B" w14:textId="77777777" w:rsidR="00F44157" w:rsidRPr="008608AA" w:rsidRDefault="00333557" w:rsidP="000836E7">
            <w:pPr>
              <w:jc w:val="center"/>
              <w:rPr>
                <w:b/>
                <w:sz w:val="22"/>
                <w:szCs w:val="22"/>
              </w:rPr>
            </w:pPr>
            <w:r w:rsidRPr="008608AA">
              <w:rPr>
                <w:b/>
                <w:sz w:val="22"/>
                <w:szCs w:val="22"/>
              </w:rPr>
              <w:t>America-2*</w:t>
            </w:r>
          </w:p>
        </w:tc>
        <w:tc>
          <w:tcPr>
            <w:tcW w:w="865" w:type="pct"/>
            <w:shd w:val="clear" w:color="auto" w:fill="BFBFBF" w:themeFill="background1" w:themeFillShade="BF"/>
            <w:vAlign w:val="center"/>
          </w:tcPr>
          <w:p w14:paraId="4D87401C" w14:textId="77777777" w:rsidR="00F44157" w:rsidRPr="008608AA" w:rsidRDefault="00333557" w:rsidP="000836E7">
            <w:pPr>
              <w:jc w:val="center"/>
              <w:rPr>
                <w:b/>
                <w:sz w:val="22"/>
                <w:szCs w:val="22"/>
              </w:rPr>
            </w:pPr>
            <w:r w:rsidRPr="008608AA">
              <w:rPr>
                <w:b/>
                <w:sz w:val="22"/>
                <w:szCs w:val="22"/>
              </w:rPr>
              <w:t>Mesoamerica-8</w:t>
            </w:r>
          </w:p>
        </w:tc>
        <w:tc>
          <w:tcPr>
            <w:tcW w:w="612" w:type="pct"/>
            <w:shd w:val="clear" w:color="auto" w:fill="BFBFBF" w:themeFill="background1" w:themeFillShade="BF"/>
            <w:vAlign w:val="center"/>
          </w:tcPr>
          <w:p w14:paraId="58B35E2F" w14:textId="77777777" w:rsidR="00F44157" w:rsidRPr="008608AA" w:rsidRDefault="00333557" w:rsidP="000836E7">
            <w:pPr>
              <w:jc w:val="center"/>
              <w:rPr>
                <w:b/>
                <w:sz w:val="22"/>
                <w:szCs w:val="22"/>
              </w:rPr>
            </w:pPr>
            <w:r w:rsidRPr="008608AA">
              <w:rPr>
                <w:b/>
                <w:sz w:val="22"/>
                <w:szCs w:val="22"/>
              </w:rPr>
              <w:t>South</w:t>
            </w:r>
          </w:p>
          <w:p w14:paraId="7431085D" w14:textId="77777777" w:rsidR="00F44157" w:rsidRPr="008608AA" w:rsidRDefault="00333557" w:rsidP="000836E7">
            <w:pPr>
              <w:jc w:val="center"/>
              <w:rPr>
                <w:b/>
                <w:sz w:val="22"/>
                <w:szCs w:val="22"/>
              </w:rPr>
            </w:pPr>
            <w:r w:rsidRPr="008608AA">
              <w:rPr>
                <w:b/>
                <w:sz w:val="22"/>
                <w:szCs w:val="22"/>
              </w:rPr>
              <w:t>America-12</w:t>
            </w:r>
          </w:p>
        </w:tc>
        <w:tc>
          <w:tcPr>
            <w:tcW w:w="722" w:type="pct"/>
            <w:shd w:val="clear" w:color="auto" w:fill="BFBFBF" w:themeFill="background1" w:themeFillShade="BF"/>
            <w:vAlign w:val="center"/>
          </w:tcPr>
          <w:p w14:paraId="181AC914" w14:textId="77777777" w:rsidR="00F44157" w:rsidRPr="008608AA" w:rsidRDefault="00333557" w:rsidP="000836E7">
            <w:pPr>
              <w:jc w:val="center"/>
              <w:rPr>
                <w:b/>
                <w:sz w:val="22"/>
                <w:szCs w:val="22"/>
              </w:rPr>
            </w:pPr>
            <w:r w:rsidRPr="008608AA">
              <w:rPr>
                <w:b/>
                <w:sz w:val="22"/>
                <w:szCs w:val="22"/>
              </w:rPr>
              <w:t>Caribbean-13*</w:t>
            </w:r>
          </w:p>
        </w:tc>
      </w:tr>
      <w:tr w:rsidR="00F44157" w:rsidRPr="008608AA" w14:paraId="4A67DCAA" w14:textId="77777777" w:rsidTr="00B31B2E">
        <w:trPr>
          <w:jc w:val="center"/>
        </w:trPr>
        <w:tc>
          <w:tcPr>
            <w:tcW w:w="2190" w:type="pct"/>
            <w:gridSpan w:val="2"/>
            <w:vAlign w:val="bottom"/>
          </w:tcPr>
          <w:p w14:paraId="72649B46" w14:textId="710BC7B8" w:rsidR="00F44157" w:rsidRPr="008608AA" w:rsidRDefault="00BC063B" w:rsidP="000836E7">
            <w:pPr>
              <w:rPr>
                <w:sz w:val="22"/>
                <w:szCs w:val="22"/>
              </w:rPr>
            </w:pPr>
            <w:r w:rsidRPr="008608AA">
              <w:rPr>
                <w:sz w:val="22"/>
                <w:szCs w:val="22"/>
              </w:rPr>
              <w:t>Convention on Biological Diversity</w:t>
            </w:r>
            <w:r w:rsidR="00AB6BEC" w:rsidRPr="008608AA">
              <w:rPr>
                <w:sz w:val="22"/>
                <w:szCs w:val="22"/>
              </w:rPr>
              <w:t xml:space="preserve"> (CBD</w:t>
            </w:r>
            <w:r w:rsidRPr="008608AA">
              <w:rPr>
                <w:sz w:val="22"/>
                <w:szCs w:val="22"/>
              </w:rPr>
              <w:t>)</w:t>
            </w:r>
          </w:p>
        </w:tc>
        <w:tc>
          <w:tcPr>
            <w:tcW w:w="612" w:type="pct"/>
            <w:vAlign w:val="bottom"/>
          </w:tcPr>
          <w:p w14:paraId="18A5C332" w14:textId="4E469187" w:rsidR="00F44157" w:rsidRPr="008608AA" w:rsidRDefault="00333557" w:rsidP="00A94D3E">
            <w:pPr>
              <w:jc w:val="center"/>
              <w:rPr>
                <w:sz w:val="22"/>
                <w:szCs w:val="22"/>
              </w:rPr>
            </w:pPr>
            <w:r w:rsidRPr="008608AA">
              <w:rPr>
                <w:sz w:val="22"/>
                <w:szCs w:val="22"/>
              </w:rPr>
              <w:t>1</w:t>
            </w:r>
          </w:p>
        </w:tc>
        <w:tc>
          <w:tcPr>
            <w:tcW w:w="865" w:type="pct"/>
            <w:vAlign w:val="bottom"/>
          </w:tcPr>
          <w:p w14:paraId="2A3E04E5" w14:textId="77777777" w:rsidR="00F44157" w:rsidRPr="008608AA" w:rsidRDefault="00333557" w:rsidP="00A94D3E">
            <w:pPr>
              <w:jc w:val="center"/>
              <w:rPr>
                <w:sz w:val="22"/>
                <w:szCs w:val="22"/>
              </w:rPr>
            </w:pPr>
            <w:r w:rsidRPr="008608AA">
              <w:rPr>
                <w:sz w:val="22"/>
                <w:szCs w:val="22"/>
              </w:rPr>
              <w:t>8</w:t>
            </w:r>
          </w:p>
        </w:tc>
        <w:tc>
          <w:tcPr>
            <w:tcW w:w="612" w:type="pct"/>
            <w:vAlign w:val="bottom"/>
          </w:tcPr>
          <w:p w14:paraId="284E93B8" w14:textId="77777777" w:rsidR="00F44157" w:rsidRPr="008608AA" w:rsidRDefault="00333557" w:rsidP="00A94D3E">
            <w:pPr>
              <w:jc w:val="center"/>
              <w:rPr>
                <w:sz w:val="22"/>
                <w:szCs w:val="22"/>
              </w:rPr>
            </w:pPr>
            <w:r w:rsidRPr="008608AA">
              <w:rPr>
                <w:sz w:val="22"/>
                <w:szCs w:val="22"/>
              </w:rPr>
              <w:t>12</w:t>
            </w:r>
          </w:p>
        </w:tc>
        <w:tc>
          <w:tcPr>
            <w:tcW w:w="722" w:type="pct"/>
            <w:vAlign w:val="bottom"/>
          </w:tcPr>
          <w:p w14:paraId="6985BB1B" w14:textId="0449C5EF" w:rsidR="00F44157" w:rsidRPr="008608AA" w:rsidRDefault="00333557" w:rsidP="00A94D3E">
            <w:pPr>
              <w:jc w:val="center"/>
              <w:rPr>
                <w:sz w:val="22"/>
                <w:szCs w:val="22"/>
              </w:rPr>
            </w:pPr>
            <w:r w:rsidRPr="008608AA">
              <w:rPr>
                <w:sz w:val="22"/>
                <w:szCs w:val="22"/>
              </w:rPr>
              <w:t>13</w:t>
            </w:r>
          </w:p>
        </w:tc>
      </w:tr>
      <w:tr w:rsidR="00F44157" w:rsidRPr="008608AA" w14:paraId="47A11FCC" w14:textId="77777777" w:rsidTr="00B31B2E">
        <w:trPr>
          <w:jc w:val="center"/>
        </w:trPr>
        <w:tc>
          <w:tcPr>
            <w:tcW w:w="2190" w:type="pct"/>
            <w:gridSpan w:val="2"/>
            <w:vAlign w:val="bottom"/>
          </w:tcPr>
          <w:p w14:paraId="66A15382" w14:textId="1C30E6D1" w:rsidR="00F44157" w:rsidRPr="008608AA" w:rsidRDefault="00333557" w:rsidP="000836E7">
            <w:pPr>
              <w:rPr>
                <w:sz w:val="22"/>
                <w:szCs w:val="22"/>
              </w:rPr>
            </w:pPr>
            <w:r w:rsidRPr="008608AA">
              <w:rPr>
                <w:sz w:val="22"/>
                <w:szCs w:val="22"/>
              </w:rPr>
              <w:t>United Nations Convention on the Law of the Sea</w:t>
            </w:r>
            <w:r w:rsidR="00AB6BEC" w:rsidRPr="008608AA">
              <w:rPr>
                <w:sz w:val="22"/>
                <w:szCs w:val="22"/>
              </w:rPr>
              <w:t xml:space="preserve"> (UNCLOS)</w:t>
            </w:r>
          </w:p>
        </w:tc>
        <w:tc>
          <w:tcPr>
            <w:tcW w:w="612" w:type="pct"/>
            <w:vAlign w:val="bottom"/>
          </w:tcPr>
          <w:p w14:paraId="560D988A" w14:textId="1D3B05CB" w:rsidR="00F44157" w:rsidRPr="008608AA" w:rsidRDefault="00333557" w:rsidP="00A94D3E">
            <w:pPr>
              <w:jc w:val="center"/>
              <w:rPr>
                <w:sz w:val="22"/>
                <w:szCs w:val="22"/>
              </w:rPr>
            </w:pPr>
            <w:r w:rsidRPr="008608AA">
              <w:rPr>
                <w:sz w:val="22"/>
                <w:szCs w:val="22"/>
              </w:rPr>
              <w:t>1</w:t>
            </w:r>
          </w:p>
        </w:tc>
        <w:tc>
          <w:tcPr>
            <w:tcW w:w="865" w:type="pct"/>
            <w:vAlign w:val="bottom"/>
          </w:tcPr>
          <w:p w14:paraId="62A1B8B4" w14:textId="77777777" w:rsidR="00F44157" w:rsidRPr="008608AA" w:rsidRDefault="00333557" w:rsidP="00A94D3E">
            <w:pPr>
              <w:jc w:val="center"/>
              <w:rPr>
                <w:sz w:val="22"/>
                <w:szCs w:val="22"/>
              </w:rPr>
            </w:pPr>
            <w:r w:rsidRPr="008608AA">
              <w:rPr>
                <w:sz w:val="22"/>
                <w:szCs w:val="22"/>
              </w:rPr>
              <w:t>8</w:t>
            </w:r>
          </w:p>
        </w:tc>
        <w:tc>
          <w:tcPr>
            <w:tcW w:w="612" w:type="pct"/>
            <w:vAlign w:val="bottom"/>
          </w:tcPr>
          <w:p w14:paraId="7137B1AC" w14:textId="77777777" w:rsidR="00F44157" w:rsidRPr="008608AA" w:rsidRDefault="00333557" w:rsidP="00A94D3E">
            <w:pPr>
              <w:jc w:val="center"/>
              <w:rPr>
                <w:sz w:val="22"/>
                <w:szCs w:val="22"/>
              </w:rPr>
            </w:pPr>
            <w:r w:rsidRPr="008608AA">
              <w:rPr>
                <w:sz w:val="22"/>
                <w:szCs w:val="22"/>
              </w:rPr>
              <w:t>9</w:t>
            </w:r>
          </w:p>
        </w:tc>
        <w:tc>
          <w:tcPr>
            <w:tcW w:w="722" w:type="pct"/>
            <w:vAlign w:val="bottom"/>
          </w:tcPr>
          <w:p w14:paraId="00A7FCFD" w14:textId="7C59F769" w:rsidR="00F44157" w:rsidRPr="008608AA" w:rsidRDefault="00333557" w:rsidP="00A94D3E">
            <w:pPr>
              <w:jc w:val="center"/>
              <w:rPr>
                <w:sz w:val="22"/>
                <w:szCs w:val="22"/>
              </w:rPr>
            </w:pPr>
            <w:r w:rsidRPr="008608AA">
              <w:rPr>
                <w:sz w:val="22"/>
                <w:szCs w:val="22"/>
              </w:rPr>
              <w:t>13</w:t>
            </w:r>
          </w:p>
        </w:tc>
      </w:tr>
      <w:tr w:rsidR="00F44157" w:rsidRPr="008608AA" w14:paraId="6C602699" w14:textId="77777777" w:rsidTr="00B31B2E">
        <w:trPr>
          <w:jc w:val="center"/>
        </w:trPr>
        <w:tc>
          <w:tcPr>
            <w:tcW w:w="2190" w:type="pct"/>
            <w:gridSpan w:val="2"/>
            <w:vAlign w:val="bottom"/>
          </w:tcPr>
          <w:p w14:paraId="0B4D9D32" w14:textId="0D40F524" w:rsidR="00F44157" w:rsidRPr="008608AA" w:rsidRDefault="00333557" w:rsidP="000836E7">
            <w:pPr>
              <w:rPr>
                <w:sz w:val="22"/>
                <w:szCs w:val="22"/>
              </w:rPr>
            </w:pPr>
            <w:r w:rsidRPr="008608AA">
              <w:rPr>
                <w:sz w:val="22"/>
                <w:szCs w:val="22"/>
              </w:rPr>
              <w:t>Paris Accord</w:t>
            </w:r>
            <w:r w:rsidR="00BC063B" w:rsidRPr="008608AA">
              <w:rPr>
                <w:sz w:val="22"/>
                <w:szCs w:val="22"/>
              </w:rPr>
              <w:t xml:space="preserve"> (United Nations Framework Convention on Climate Change)</w:t>
            </w:r>
          </w:p>
        </w:tc>
        <w:tc>
          <w:tcPr>
            <w:tcW w:w="612" w:type="pct"/>
            <w:vAlign w:val="bottom"/>
          </w:tcPr>
          <w:p w14:paraId="3B943C10" w14:textId="22757FF7" w:rsidR="00F44157" w:rsidRPr="008608AA" w:rsidRDefault="00333557" w:rsidP="00A94D3E">
            <w:pPr>
              <w:jc w:val="center"/>
              <w:rPr>
                <w:sz w:val="22"/>
                <w:szCs w:val="22"/>
              </w:rPr>
            </w:pPr>
            <w:r w:rsidRPr="008608AA">
              <w:rPr>
                <w:sz w:val="22"/>
                <w:szCs w:val="22"/>
              </w:rPr>
              <w:t>2</w:t>
            </w:r>
          </w:p>
        </w:tc>
        <w:tc>
          <w:tcPr>
            <w:tcW w:w="865" w:type="pct"/>
            <w:vAlign w:val="bottom"/>
          </w:tcPr>
          <w:p w14:paraId="40D114CB" w14:textId="77777777" w:rsidR="00F44157" w:rsidRPr="008608AA" w:rsidRDefault="00333557" w:rsidP="00A94D3E">
            <w:pPr>
              <w:jc w:val="center"/>
              <w:rPr>
                <w:sz w:val="22"/>
                <w:szCs w:val="22"/>
              </w:rPr>
            </w:pPr>
            <w:r w:rsidRPr="008608AA">
              <w:rPr>
                <w:sz w:val="22"/>
                <w:szCs w:val="22"/>
              </w:rPr>
              <w:t>7</w:t>
            </w:r>
          </w:p>
        </w:tc>
        <w:tc>
          <w:tcPr>
            <w:tcW w:w="612" w:type="pct"/>
            <w:vAlign w:val="bottom"/>
          </w:tcPr>
          <w:p w14:paraId="30178790" w14:textId="77777777" w:rsidR="00F44157" w:rsidRPr="008608AA" w:rsidRDefault="00333557" w:rsidP="00A94D3E">
            <w:pPr>
              <w:jc w:val="center"/>
              <w:rPr>
                <w:sz w:val="22"/>
                <w:szCs w:val="22"/>
              </w:rPr>
            </w:pPr>
            <w:r w:rsidRPr="008608AA">
              <w:rPr>
                <w:sz w:val="22"/>
                <w:szCs w:val="22"/>
              </w:rPr>
              <w:t>10</w:t>
            </w:r>
          </w:p>
        </w:tc>
        <w:tc>
          <w:tcPr>
            <w:tcW w:w="722" w:type="pct"/>
            <w:vAlign w:val="bottom"/>
          </w:tcPr>
          <w:p w14:paraId="11B874A9" w14:textId="10BAF449" w:rsidR="00F44157" w:rsidRPr="008608AA" w:rsidRDefault="00333557" w:rsidP="00A94D3E">
            <w:pPr>
              <w:jc w:val="center"/>
              <w:rPr>
                <w:sz w:val="22"/>
                <w:szCs w:val="22"/>
              </w:rPr>
            </w:pPr>
            <w:r w:rsidRPr="008608AA">
              <w:rPr>
                <w:sz w:val="22"/>
                <w:szCs w:val="22"/>
              </w:rPr>
              <w:t>13</w:t>
            </w:r>
          </w:p>
        </w:tc>
      </w:tr>
      <w:tr w:rsidR="00F44157" w:rsidRPr="008608AA" w14:paraId="7CE976BC" w14:textId="77777777" w:rsidTr="00B31B2E">
        <w:trPr>
          <w:jc w:val="center"/>
        </w:trPr>
        <w:tc>
          <w:tcPr>
            <w:tcW w:w="2190" w:type="pct"/>
            <w:gridSpan w:val="2"/>
            <w:vAlign w:val="bottom"/>
          </w:tcPr>
          <w:p w14:paraId="3FB5A60E" w14:textId="77777777" w:rsidR="00F44157" w:rsidRPr="008608AA" w:rsidRDefault="00333557" w:rsidP="000836E7">
            <w:pPr>
              <w:rPr>
                <w:sz w:val="22"/>
                <w:szCs w:val="22"/>
              </w:rPr>
            </w:pPr>
            <w:r w:rsidRPr="008608AA">
              <w:rPr>
                <w:sz w:val="22"/>
                <w:szCs w:val="22"/>
              </w:rPr>
              <w:t xml:space="preserve">CITES (Convention on International Trade in Endangered Species of Wild Fauna and Flora) </w:t>
            </w:r>
          </w:p>
        </w:tc>
        <w:tc>
          <w:tcPr>
            <w:tcW w:w="612" w:type="pct"/>
            <w:vAlign w:val="bottom"/>
          </w:tcPr>
          <w:p w14:paraId="36B04546" w14:textId="6F3A47EB" w:rsidR="00F44157" w:rsidRPr="008608AA" w:rsidRDefault="00333557" w:rsidP="00A94D3E">
            <w:pPr>
              <w:jc w:val="center"/>
              <w:rPr>
                <w:sz w:val="22"/>
                <w:szCs w:val="22"/>
              </w:rPr>
            </w:pPr>
            <w:r w:rsidRPr="008608AA">
              <w:rPr>
                <w:sz w:val="22"/>
                <w:szCs w:val="22"/>
              </w:rPr>
              <w:t>2</w:t>
            </w:r>
          </w:p>
        </w:tc>
        <w:tc>
          <w:tcPr>
            <w:tcW w:w="865" w:type="pct"/>
            <w:vAlign w:val="bottom"/>
          </w:tcPr>
          <w:p w14:paraId="235E4E45" w14:textId="77777777" w:rsidR="00F44157" w:rsidRPr="008608AA" w:rsidRDefault="00333557" w:rsidP="00A94D3E">
            <w:pPr>
              <w:jc w:val="center"/>
              <w:rPr>
                <w:sz w:val="22"/>
                <w:szCs w:val="22"/>
              </w:rPr>
            </w:pPr>
            <w:r w:rsidRPr="008608AA">
              <w:rPr>
                <w:sz w:val="22"/>
                <w:szCs w:val="22"/>
              </w:rPr>
              <w:t>8</w:t>
            </w:r>
          </w:p>
        </w:tc>
        <w:tc>
          <w:tcPr>
            <w:tcW w:w="612" w:type="pct"/>
            <w:vAlign w:val="bottom"/>
          </w:tcPr>
          <w:p w14:paraId="73ED7D9D" w14:textId="77777777" w:rsidR="00F44157" w:rsidRPr="008608AA" w:rsidRDefault="00333557" w:rsidP="00A94D3E">
            <w:pPr>
              <w:jc w:val="center"/>
              <w:rPr>
                <w:sz w:val="22"/>
                <w:szCs w:val="22"/>
              </w:rPr>
            </w:pPr>
            <w:r w:rsidRPr="008608AA">
              <w:rPr>
                <w:sz w:val="22"/>
                <w:szCs w:val="22"/>
              </w:rPr>
              <w:t>12</w:t>
            </w:r>
          </w:p>
        </w:tc>
        <w:tc>
          <w:tcPr>
            <w:tcW w:w="722" w:type="pct"/>
            <w:vAlign w:val="bottom"/>
          </w:tcPr>
          <w:p w14:paraId="78F8D3FD" w14:textId="29E5F371" w:rsidR="00F44157" w:rsidRPr="008608AA" w:rsidRDefault="00333557" w:rsidP="00A94D3E">
            <w:pPr>
              <w:jc w:val="center"/>
              <w:rPr>
                <w:sz w:val="22"/>
                <w:szCs w:val="22"/>
              </w:rPr>
            </w:pPr>
            <w:r w:rsidRPr="008608AA">
              <w:rPr>
                <w:sz w:val="22"/>
                <w:szCs w:val="22"/>
              </w:rPr>
              <w:t>11</w:t>
            </w:r>
          </w:p>
        </w:tc>
      </w:tr>
      <w:tr w:rsidR="00F44157" w:rsidRPr="008608AA" w14:paraId="3719A7FC" w14:textId="77777777" w:rsidTr="00B31B2E">
        <w:trPr>
          <w:jc w:val="center"/>
        </w:trPr>
        <w:tc>
          <w:tcPr>
            <w:tcW w:w="2190" w:type="pct"/>
            <w:gridSpan w:val="2"/>
            <w:vAlign w:val="bottom"/>
          </w:tcPr>
          <w:p w14:paraId="237D04CF" w14:textId="337F3DE1" w:rsidR="00F44157" w:rsidRPr="008608AA" w:rsidRDefault="00076D97" w:rsidP="00076D97">
            <w:pPr>
              <w:rPr>
                <w:sz w:val="22"/>
                <w:szCs w:val="22"/>
              </w:rPr>
            </w:pPr>
            <w:r w:rsidRPr="008608AA">
              <w:rPr>
                <w:sz w:val="22"/>
                <w:szCs w:val="22"/>
              </w:rPr>
              <w:t>United Nations Conventions to Combat Desertification (UNCCD</w:t>
            </w:r>
            <w:r w:rsidR="00333557" w:rsidRPr="008608AA">
              <w:rPr>
                <w:sz w:val="22"/>
                <w:szCs w:val="22"/>
              </w:rPr>
              <w:t xml:space="preserve">) </w:t>
            </w:r>
          </w:p>
        </w:tc>
        <w:tc>
          <w:tcPr>
            <w:tcW w:w="612" w:type="pct"/>
            <w:vAlign w:val="bottom"/>
          </w:tcPr>
          <w:p w14:paraId="0E2E2C14" w14:textId="75B8ED45" w:rsidR="00F44157" w:rsidRPr="008608AA" w:rsidRDefault="00333557" w:rsidP="00A94D3E">
            <w:pPr>
              <w:jc w:val="center"/>
              <w:rPr>
                <w:sz w:val="22"/>
                <w:szCs w:val="22"/>
              </w:rPr>
            </w:pPr>
            <w:r w:rsidRPr="008608AA">
              <w:rPr>
                <w:sz w:val="22"/>
                <w:szCs w:val="22"/>
              </w:rPr>
              <w:t>2</w:t>
            </w:r>
          </w:p>
        </w:tc>
        <w:tc>
          <w:tcPr>
            <w:tcW w:w="865" w:type="pct"/>
            <w:vAlign w:val="bottom"/>
          </w:tcPr>
          <w:p w14:paraId="1C5DBB8E" w14:textId="77777777" w:rsidR="00F44157" w:rsidRPr="008608AA" w:rsidRDefault="00333557" w:rsidP="00A94D3E">
            <w:pPr>
              <w:jc w:val="center"/>
              <w:rPr>
                <w:sz w:val="22"/>
                <w:szCs w:val="22"/>
              </w:rPr>
            </w:pPr>
            <w:r w:rsidRPr="008608AA">
              <w:rPr>
                <w:sz w:val="22"/>
                <w:szCs w:val="22"/>
              </w:rPr>
              <w:t>8</w:t>
            </w:r>
          </w:p>
        </w:tc>
        <w:tc>
          <w:tcPr>
            <w:tcW w:w="612" w:type="pct"/>
            <w:vAlign w:val="bottom"/>
          </w:tcPr>
          <w:p w14:paraId="52F10A94" w14:textId="77777777" w:rsidR="00F44157" w:rsidRPr="008608AA" w:rsidRDefault="00333557" w:rsidP="00A94D3E">
            <w:pPr>
              <w:jc w:val="center"/>
              <w:rPr>
                <w:sz w:val="22"/>
                <w:szCs w:val="22"/>
              </w:rPr>
            </w:pPr>
            <w:r w:rsidRPr="008608AA">
              <w:rPr>
                <w:sz w:val="22"/>
                <w:szCs w:val="22"/>
              </w:rPr>
              <w:t>12</w:t>
            </w:r>
          </w:p>
        </w:tc>
        <w:tc>
          <w:tcPr>
            <w:tcW w:w="722" w:type="pct"/>
            <w:vAlign w:val="bottom"/>
          </w:tcPr>
          <w:p w14:paraId="042FC15C" w14:textId="52736B3F" w:rsidR="00F44157" w:rsidRPr="008608AA" w:rsidRDefault="00333557" w:rsidP="00A94D3E">
            <w:pPr>
              <w:jc w:val="center"/>
              <w:rPr>
                <w:sz w:val="22"/>
                <w:szCs w:val="22"/>
              </w:rPr>
            </w:pPr>
            <w:r w:rsidRPr="008608AA">
              <w:rPr>
                <w:sz w:val="22"/>
                <w:szCs w:val="22"/>
              </w:rPr>
              <w:t>13</w:t>
            </w:r>
          </w:p>
        </w:tc>
      </w:tr>
      <w:tr w:rsidR="00F44157" w:rsidRPr="008608AA" w14:paraId="7D655CF2" w14:textId="77777777" w:rsidTr="00B31B2E">
        <w:trPr>
          <w:jc w:val="center"/>
        </w:trPr>
        <w:tc>
          <w:tcPr>
            <w:tcW w:w="2190" w:type="pct"/>
            <w:gridSpan w:val="2"/>
            <w:vAlign w:val="bottom"/>
          </w:tcPr>
          <w:p w14:paraId="6E4E45E9" w14:textId="3DEAA59B" w:rsidR="00F44157" w:rsidRPr="008608AA" w:rsidRDefault="00333557" w:rsidP="000836E7">
            <w:pPr>
              <w:rPr>
                <w:sz w:val="22"/>
                <w:szCs w:val="22"/>
              </w:rPr>
            </w:pPr>
            <w:r w:rsidRPr="008608AA">
              <w:rPr>
                <w:sz w:val="22"/>
                <w:szCs w:val="22"/>
              </w:rPr>
              <w:t>Convention on the Conservation of Mi</w:t>
            </w:r>
            <w:r w:rsidR="00A369F6" w:rsidRPr="008608AA">
              <w:rPr>
                <w:sz w:val="22"/>
                <w:szCs w:val="22"/>
              </w:rPr>
              <w:t>gratory Species of Wild Animals</w:t>
            </w:r>
          </w:p>
        </w:tc>
        <w:tc>
          <w:tcPr>
            <w:tcW w:w="612" w:type="pct"/>
            <w:vAlign w:val="bottom"/>
          </w:tcPr>
          <w:p w14:paraId="4BDCF3E7" w14:textId="30E64168" w:rsidR="00F44157" w:rsidRPr="008608AA" w:rsidRDefault="00333557" w:rsidP="00A94D3E">
            <w:pPr>
              <w:jc w:val="center"/>
              <w:rPr>
                <w:sz w:val="22"/>
                <w:szCs w:val="22"/>
              </w:rPr>
            </w:pPr>
            <w:r w:rsidRPr="008608AA">
              <w:rPr>
                <w:sz w:val="22"/>
                <w:szCs w:val="22"/>
              </w:rPr>
              <w:t>0</w:t>
            </w:r>
          </w:p>
        </w:tc>
        <w:tc>
          <w:tcPr>
            <w:tcW w:w="865" w:type="pct"/>
            <w:vAlign w:val="bottom"/>
          </w:tcPr>
          <w:p w14:paraId="7685D349" w14:textId="77777777" w:rsidR="00F44157" w:rsidRPr="008608AA" w:rsidRDefault="00333557" w:rsidP="00A94D3E">
            <w:pPr>
              <w:jc w:val="center"/>
              <w:rPr>
                <w:sz w:val="22"/>
                <w:szCs w:val="22"/>
              </w:rPr>
            </w:pPr>
            <w:r w:rsidRPr="008608AA">
              <w:rPr>
                <w:sz w:val="22"/>
                <w:szCs w:val="22"/>
              </w:rPr>
              <w:t>3</w:t>
            </w:r>
          </w:p>
        </w:tc>
        <w:tc>
          <w:tcPr>
            <w:tcW w:w="612" w:type="pct"/>
            <w:vAlign w:val="bottom"/>
          </w:tcPr>
          <w:p w14:paraId="070786B8" w14:textId="77777777" w:rsidR="00F44157" w:rsidRPr="008608AA" w:rsidRDefault="00333557" w:rsidP="00A94D3E">
            <w:pPr>
              <w:jc w:val="center"/>
              <w:rPr>
                <w:sz w:val="22"/>
                <w:szCs w:val="22"/>
              </w:rPr>
            </w:pPr>
            <w:r w:rsidRPr="008608AA">
              <w:rPr>
                <w:sz w:val="22"/>
                <w:szCs w:val="22"/>
              </w:rPr>
              <w:t>12</w:t>
            </w:r>
          </w:p>
        </w:tc>
        <w:tc>
          <w:tcPr>
            <w:tcW w:w="722" w:type="pct"/>
            <w:vAlign w:val="bottom"/>
          </w:tcPr>
          <w:p w14:paraId="46C7E33C" w14:textId="0C67ED61" w:rsidR="00F44157" w:rsidRPr="008608AA" w:rsidRDefault="00333557" w:rsidP="00A94D3E">
            <w:pPr>
              <w:jc w:val="center"/>
              <w:rPr>
                <w:sz w:val="22"/>
                <w:szCs w:val="22"/>
              </w:rPr>
            </w:pPr>
            <w:r w:rsidRPr="008608AA">
              <w:rPr>
                <w:sz w:val="22"/>
                <w:szCs w:val="22"/>
              </w:rPr>
              <w:t>2</w:t>
            </w:r>
          </w:p>
        </w:tc>
      </w:tr>
      <w:tr w:rsidR="00F44157" w:rsidRPr="008608AA" w14:paraId="54675B08" w14:textId="77777777" w:rsidTr="00B31B2E">
        <w:trPr>
          <w:jc w:val="center"/>
        </w:trPr>
        <w:tc>
          <w:tcPr>
            <w:tcW w:w="2190" w:type="pct"/>
            <w:gridSpan w:val="2"/>
            <w:vAlign w:val="bottom"/>
          </w:tcPr>
          <w:p w14:paraId="34AB9C30" w14:textId="77777777" w:rsidR="00F44157" w:rsidRPr="008608AA" w:rsidRDefault="00333557" w:rsidP="000836E7">
            <w:pPr>
              <w:rPr>
                <w:sz w:val="22"/>
                <w:szCs w:val="22"/>
              </w:rPr>
            </w:pPr>
            <w:r w:rsidRPr="008608AA">
              <w:rPr>
                <w:sz w:val="22"/>
                <w:szCs w:val="22"/>
              </w:rPr>
              <w:t>Ramsar Convention</w:t>
            </w:r>
          </w:p>
        </w:tc>
        <w:tc>
          <w:tcPr>
            <w:tcW w:w="612" w:type="pct"/>
            <w:vAlign w:val="bottom"/>
          </w:tcPr>
          <w:p w14:paraId="3693A30C" w14:textId="0A0A575E" w:rsidR="00F44157" w:rsidRPr="008608AA" w:rsidRDefault="00333557" w:rsidP="00A94D3E">
            <w:pPr>
              <w:jc w:val="center"/>
              <w:rPr>
                <w:sz w:val="22"/>
                <w:szCs w:val="22"/>
              </w:rPr>
            </w:pPr>
            <w:r w:rsidRPr="008608AA">
              <w:rPr>
                <w:sz w:val="22"/>
                <w:szCs w:val="22"/>
              </w:rPr>
              <w:t>2</w:t>
            </w:r>
          </w:p>
        </w:tc>
        <w:tc>
          <w:tcPr>
            <w:tcW w:w="865" w:type="pct"/>
            <w:vAlign w:val="bottom"/>
          </w:tcPr>
          <w:p w14:paraId="58E2D362" w14:textId="77777777" w:rsidR="00F44157" w:rsidRPr="008608AA" w:rsidRDefault="00333557" w:rsidP="00A94D3E">
            <w:pPr>
              <w:jc w:val="center"/>
              <w:rPr>
                <w:sz w:val="22"/>
                <w:szCs w:val="22"/>
              </w:rPr>
            </w:pPr>
            <w:r w:rsidRPr="008608AA">
              <w:rPr>
                <w:sz w:val="22"/>
                <w:szCs w:val="22"/>
              </w:rPr>
              <w:t>8</w:t>
            </w:r>
          </w:p>
        </w:tc>
        <w:tc>
          <w:tcPr>
            <w:tcW w:w="612" w:type="pct"/>
            <w:vAlign w:val="bottom"/>
          </w:tcPr>
          <w:p w14:paraId="10D43025" w14:textId="77777777" w:rsidR="00F44157" w:rsidRPr="008608AA" w:rsidRDefault="00333557" w:rsidP="00A94D3E">
            <w:pPr>
              <w:jc w:val="center"/>
              <w:rPr>
                <w:sz w:val="22"/>
                <w:szCs w:val="22"/>
              </w:rPr>
            </w:pPr>
            <w:r w:rsidRPr="008608AA">
              <w:rPr>
                <w:sz w:val="22"/>
                <w:szCs w:val="22"/>
              </w:rPr>
              <w:t>11</w:t>
            </w:r>
          </w:p>
        </w:tc>
        <w:tc>
          <w:tcPr>
            <w:tcW w:w="722" w:type="pct"/>
            <w:vAlign w:val="bottom"/>
          </w:tcPr>
          <w:p w14:paraId="3747B13E" w14:textId="49C65C4F" w:rsidR="00F44157" w:rsidRPr="008608AA" w:rsidRDefault="00333557" w:rsidP="00A94D3E">
            <w:pPr>
              <w:jc w:val="center"/>
              <w:rPr>
                <w:sz w:val="22"/>
                <w:szCs w:val="22"/>
              </w:rPr>
            </w:pPr>
            <w:r w:rsidRPr="008608AA">
              <w:rPr>
                <w:sz w:val="22"/>
                <w:szCs w:val="22"/>
              </w:rPr>
              <w:t>8</w:t>
            </w:r>
          </w:p>
        </w:tc>
      </w:tr>
      <w:tr w:rsidR="00F44157" w:rsidRPr="008608AA" w14:paraId="6AA45D78" w14:textId="77777777" w:rsidTr="00B31B2E">
        <w:trPr>
          <w:jc w:val="center"/>
        </w:trPr>
        <w:tc>
          <w:tcPr>
            <w:tcW w:w="1301" w:type="pct"/>
            <w:vMerge w:val="restart"/>
          </w:tcPr>
          <w:p w14:paraId="4DBE4239" w14:textId="1006232C" w:rsidR="00F44157" w:rsidRPr="008608AA" w:rsidRDefault="00B31B2E" w:rsidP="000836E7">
            <w:pPr>
              <w:rPr>
                <w:sz w:val="22"/>
                <w:szCs w:val="22"/>
              </w:rPr>
            </w:pPr>
            <w:r w:rsidRPr="008608AA">
              <w:rPr>
                <w:sz w:val="22"/>
                <w:szCs w:val="22"/>
              </w:rPr>
              <w:t>Percentage</w:t>
            </w:r>
            <w:r w:rsidR="00333557" w:rsidRPr="008608AA">
              <w:rPr>
                <w:sz w:val="22"/>
                <w:szCs w:val="22"/>
              </w:rPr>
              <w:t xml:space="preserve"> of Area Protected</w:t>
            </w:r>
          </w:p>
        </w:tc>
        <w:tc>
          <w:tcPr>
            <w:tcW w:w="889" w:type="pct"/>
          </w:tcPr>
          <w:p w14:paraId="16FF6F7C" w14:textId="77777777" w:rsidR="00F44157" w:rsidRPr="008608AA" w:rsidRDefault="00333557" w:rsidP="000836E7">
            <w:pPr>
              <w:rPr>
                <w:sz w:val="22"/>
                <w:szCs w:val="22"/>
              </w:rPr>
            </w:pPr>
            <w:r w:rsidRPr="008608AA">
              <w:rPr>
                <w:sz w:val="22"/>
                <w:szCs w:val="22"/>
              </w:rPr>
              <w:t>Terrestrial</w:t>
            </w:r>
          </w:p>
        </w:tc>
        <w:tc>
          <w:tcPr>
            <w:tcW w:w="612" w:type="pct"/>
            <w:vAlign w:val="bottom"/>
          </w:tcPr>
          <w:p w14:paraId="6064954D" w14:textId="77777777" w:rsidR="00F44157" w:rsidRPr="008608AA" w:rsidRDefault="00333557" w:rsidP="00A94D3E">
            <w:pPr>
              <w:jc w:val="center"/>
              <w:rPr>
                <w:sz w:val="22"/>
                <w:szCs w:val="22"/>
              </w:rPr>
            </w:pPr>
            <w:r w:rsidRPr="008608AA">
              <w:rPr>
                <w:sz w:val="22"/>
                <w:szCs w:val="22"/>
              </w:rPr>
              <w:t>14.40</w:t>
            </w:r>
          </w:p>
        </w:tc>
        <w:tc>
          <w:tcPr>
            <w:tcW w:w="865" w:type="pct"/>
            <w:vAlign w:val="bottom"/>
          </w:tcPr>
          <w:p w14:paraId="0DC0A017" w14:textId="77777777" w:rsidR="00F44157" w:rsidRPr="008608AA" w:rsidRDefault="00333557" w:rsidP="00A94D3E">
            <w:pPr>
              <w:jc w:val="center"/>
              <w:rPr>
                <w:sz w:val="22"/>
                <w:szCs w:val="22"/>
              </w:rPr>
            </w:pPr>
            <w:r w:rsidRPr="008608AA">
              <w:rPr>
                <w:sz w:val="22"/>
                <w:szCs w:val="22"/>
              </w:rPr>
              <w:t>28.20</w:t>
            </w:r>
          </w:p>
        </w:tc>
        <w:tc>
          <w:tcPr>
            <w:tcW w:w="612" w:type="pct"/>
            <w:vAlign w:val="bottom"/>
          </w:tcPr>
          <w:p w14:paraId="31CA4229" w14:textId="77777777" w:rsidR="00F44157" w:rsidRPr="008608AA" w:rsidRDefault="00333557" w:rsidP="00A94D3E">
            <w:pPr>
              <w:jc w:val="center"/>
              <w:rPr>
                <w:sz w:val="22"/>
                <w:szCs w:val="22"/>
              </w:rPr>
            </w:pPr>
            <w:r w:rsidRPr="008608AA">
              <w:rPr>
                <w:sz w:val="22"/>
                <w:szCs w:val="22"/>
              </w:rPr>
              <w:t>25</w:t>
            </w:r>
          </w:p>
        </w:tc>
        <w:tc>
          <w:tcPr>
            <w:tcW w:w="722" w:type="pct"/>
            <w:vAlign w:val="bottom"/>
          </w:tcPr>
          <w:p w14:paraId="3758F463" w14:textId="77777777" w:rsidR="00F44157" w:rsidRPr="008608AA" w:rsidRDefault="00333557" w:rsidP="00A94D3E">
            <w:pPr>
              <w:jc w:val="center"/>
              <w:rPr>
                <w:sz w:val="22"/>
                <w:szCs w:val="22"/>
              </w:rPr>
            </w:pPr>
            <w:r w:rsidRPr="008608AA">
              <w:rPr>
                <w:sz w:val="22"/>
                <w:szCs w:val="22"/>
              </w:rPr>
              <w:t>14.60</w:t>
            </w:r>
          </w:p>
        </w:tc>
      </w:tr>
      <w:tr w:rsidR="00F44157" w:rsidRPr="008608AA" w14:paraId="2667B08A" w14:textId="77777777" w:rsidTr="00B31B2E">
        <w:trPr>
          <w:jc w:val="center"/>
        </w:trPr>
        <w:tc>
          <w:tcPr>
            <w:tcW w:w="1301" w:type="pct"/>
            <w:vMerge/>
          </w:tcPr>
          <w:p w14:paraId="3EA2A6D3" w14:textId="77777777" w:rsidR="00F44157" w:rsidRPr="008608AA" w:rsidRDefault="00F44157" w:rsidP="00CD1242">
            <w:pPr>
              <w:rPr>
                <w:sz w:val="22"/>
                <w:szCs w:val="22"/>
              </w:rPr>
            </w:pPr>
          </w:p>
        </w:tc>
        <w:tc>
          <w:tcPr>
            <w:tcW w:w="889" w:type="pct"/>
          </w:tcPr>
          <w:p w14:paraId="00E6CB84" w14:textId="77777777" w:rsidR="00F44157" w:rsidRPr="008608AA" w:rsidRDefault="00333557" w:rsidP="00CD1242">
            <w:pPr>
              <w:rPr>
                <w:sz w:val="22"/>
                <w:szCs w:val="22"/>
              </w:rPr>
            </w:pPr>
            <w:r w:rsidRPr="008608AA">
              <w:rPr>
                <w:sz w:val="22"/>
                <w:szCs w:val="22"/>
              </w:rPr>
              <w:t>Marine</w:t>
            </w:r>
          </w:p>
        </w:tc>
        <w:tc>
          <w:tcPr>
            <w:tcW w:w="612" w:type="pct"/>
            <w:vAlign w:val="bottom"/>
          </w:tcPr>
          <w:p w14:paraId="311A38C8" w14:textId="77777777" w:rsidR="00F44157" w:rsidRPr="008608AA" w:rsidRDefault="00333557" w:rsidP="00A94D3E">
            <w:pPr>
              <w:jc w:val="center"/>
              <w:rPr>
                <w:sz w:val="22"/>
                <w:szCs w:val="22"/>
              </w:rPr>
            </w:pPr>
            <w:r w:rsidRPr="008608AA">
              <w:rPr>
                <w:sz w:val="22"/>
                <w:szCs w:val="22"/>
              </w:rPr>
              <w:t>6.90</w:t>
            </w:r>
          </w:p>
        </w:tc>
        <w:tc>
          <w:tcPr>
            <w:tcW w:w="865" w:type="pct"/>
            <w:vAlign w:val="bottom"/>
          </w:tcPr>
          <w:p w14:paraId="5601227A" w14:textId="77777777" w:rsidR="00F44157" w:rsidRPr="008608AA" w:rsidRDefault="00333557" w:rsidP="00A94D3E">
            <w:pPr>
              <w:jc w:val="center"/>
              <w:rPr>
                <w:sz w:val="22"/>
                <w:szCs w:val="22"/>
              </w:rPr>
            </w:pPr>
            <w:r w:rsidRPr="008608AA">
              <w:rPr>
                <w:sz w:val="22"/>
                <w:szCs w:val="22"/>
              </w:rPr>
              <w:t>2.10</w:t>
            </w:r>
          </w:p>
        </w:tc>
        <w:tc>
          <w:tcPr>
            <w:tcW w:w="612" w:type="pct"/>
            <w:vAlign w:val="bottom"/>
          </w:tcPr>
          <w:p w14:paraId="04949527" w14:textId="77777777" w:rsidR="00F44157" w:rsidRPr="008608AA" w:rsidRDefault="00333557" w:rsidP="00A94D3E">
            <w:pPr>
              <w:jc w:val="center"/>
              <w:rPr>
                <w:sz w:val="22"/>
                <w:szCs w:val="22"/>
              </w:rPr>
            </w:pPr>
            <w:r w:rsidRPr="008608AA">
              <w:rPr>
                <w:sz w:val="22"/>
                <w:szCs w:val="22"/>
              </w:rPr>
              <w:t>3.90</w:t>
            </w:r>
          </w:p>
        </w:tc>
        <w:tc>
          <w:tcPr>
            <w:tcW w:w="722" w:type="pct"/>
            <w:vAlign w:val="bottom"/>
          </w:tcPr>
          <w:p w14:paraId="532AA779" w14:textId="77777777" w:rsidR="00F44157" w:rsidRPr="008608AA" w:rsidRDefault="00333557" w:rsidP="00A94D3E">
            <w:pPr>
              <w:jc w:val="center"/>
              <w:rPr>
                <w:sz w:val="22"/>
                <w:szCs w:val="22"/>
              </w:rPr>
            </w:pPr>
            <w:r w:rsidRPr="008608AA">
              <w:rPr>
                <w:sz w:val="22"/>
                <w:szCs w:val="22"/>
              </w:rPr>
              <w:t>1.20</w:t>
            </w:r>
          </w:p>
        </w:tc>
      </w:tr>
    </w:tbl>
    <w:p w14:paraId="72EC60F7" w14:textId="5FB109C3" w:rsidR="00F44157" w:rsidRPr="008608AA" w:rsidRDefault="00333557" w:rsidP="000836E7">
      <w:pPr>
        <w:spacing w:after="100"/>
        <w:rPr>
          <w:sz w:val="20"/>
          <w:szCs w:val="20"/>
        </w:rPr>
      </w:pPr>
      <w:r w:rsidRPr="008608AA">
        <w:rPr>
          <w:sz w:val="20"/>
          <w:szCs w:val="20"/>
        </w:rPr>
        <w:t xml:space="preserve">*Greenland and the 13 Caribbean Island Protectorates </w:t>
      </w:r>
      <w:r w:rsidR="00C75332" w:rsidRPr="008608AA">
        <w:rPr>
          <w:sz w:val="20"/>
          <w:szCs w:val="20"/>
        </w:rPr>
        <w:t xml:space="preserve">still have </w:t>
      </w:r>
      <w:r w:rsidR="0099210D" w:rsidRPr="008608AA">
        <w:rPr>
          <w:sz w:val="20"/>
          <w:szCs w:val="20"/>
        </w:rPr>
        <w:t>aspects</w:t>
      </w:r>
      <w:r w:rsidR="00C75332" w:rsidRPr="008608AA">
        <w:rPr>
          <w:sz w:val="20"/>
          <w:szCs w:val="20"/>
        </w:rPr>
        <w:t xml:space="preserve"> of foreign policy such as becoming</w:t>
      </w:r>
      <w:r w:rsidRPr="008608AA">
        <w:rPr>
          <w:sz w:val="20"/>
          <w:szCs w:val="20"/>
        </w:rPr>
        <w:t xml:space="preserve"> Parties to </w:t>
      </w:r>
      <w:r w:rsidR="00C75332" w:rsidRPr="008608AA">
        <w:rPr>
          <w:sz w:val="20"/>
          <w:szCs w:val="20"/>
        </w:rPr>
        <w:t xml:space="preserve">international </w:t>
      </w:r>
      <w:r w:rsidR="006C57EA" w:rsidRPr="008608AA">
        <w:rPr>
          <w:sz w:val="20"/>
          <w:szCs w:val="20"/>
        </w:rPr>
        <w:t>agreements and c</w:t>
      </w:r>
      <w:r w:rsidRPr="008608AA">
        <w:rPr>
          <w:sz w:val="20"/>
          <w:szCs w:val="20"/>
        </w:rPr>
        <w:t>onventions</w:t>
      </w:r>
      <w:r w:rsidR="00C75332" w:rsidRPr="008608AA">
        <w:rPr>
          <w:sz w:val="20"/>
          <w:szCs w:val="20"/>
        </w:rPr>
        <w:t>, influenced by other soverign States,  and are not included in this table</w:t>
      </w:r>
      <w:r w:rsidR="00CD1242" w:rsidRPr="008608AA">
        <w:rPr>
          <w:sz w:val="20"/>
          <w:szCs w:val="20"/>
        </w:rPr>
        <w:t>.</w:t>
      </w:r>
      <w:r w:rsidR="00B31B2E" w:rsidRPr="008608AA">
        <w:rPr>
          <w:sz w:val="20"/>
          <w:szCs w:val="20"/>
        </w:rPr>
        <w:t xml:space="preserve"> </w:t>
      </w:r>
      <w:r w:rsidR="00CD1242" w:rsidRPr="008608AA">
        <w:rPr>
          <w:sz w:val="20"/>
          <w:szCs w:val="20"/>
        </w:rPr>
        <w:t>Source: Own representation</w:t>
      </w:r>
      <w:r w:rsidRPr="008608AA">
        <w:rPr>
          <w:sz w:val="20"/>
          <w:szCs w:val="20"/>
        </w:rPr>
        <w:t xml:space="preserve"> </w:t>
      </w:r>
      <w:r w:rsidR="00B31B2E" w:rsidRPr="008608AA">
        <w:rPr>
          <w:sz w:val="20"/>
          <w:szCs w:val="20"/>
        </w:rPr>
        <w:t xml:space="preserve">and percentage of area protected from </w:t>
      </w:r>
      <w:r w:rsidR="00B31B2E" w:rsidRPr="008608AA">
        <w:rPr>
          <w:sz w:val="20"/>
          <w:szCs w:val="20"/>
          <w:vertAlign w:val="superscript"/>
        </w:rPr>
        <w:t xml:space="preserve"> </w:t>
      </w:r>
      <w:r w:rsidR="00CD5241" w:rsidRPr="008608AA">
        <w:rPr>
          <w:color w:val="000000" w:themeColor="text1"/>
          <w:sz w:val="20"/>
          <w:szCs w:val="20"/>
        </w:rPr>
        <w:t xml:space="preserve">Juffe-Bignoli </w:t>
      </w:r>
      <w:r w:rsidR="00CD5241" w:rsidRPr="008608AA">
        <w:rPr>
          <w:i/>
          <w:color w:val="000000" w:themeColor="text1"/>
          <w:sz w:val="20"/>
          <w:szCs w:val="20"/>
        </w:rPr>
        <w:t xml:space="preserve">et al. </w:t>
      </w:r>
      <w:r w:rsidR="00CD5241" w:rsidRPr="008608AA">
        <w:rPr>
          <w:color w:val="000000" w:themeColor="text1"/>
          <w:sz w:val="20"/>
          <w:szCs w:val="20"/>
        </w:rPr>
        <w:t>(</w:t>
      </w:r>
      <w:r w:rsidR="00B31B2E" w:rsidRPr="008608AA">
        <w:rPr>
          <w:color w:val="000000" w:themeColor="text1"/>
          <w:sz w:val="20"/>
          <w:szCs w:val="20"/>
        </w:rPr>
        <w:t>2014</w:t>
      </w:r>
      <w:r w:rsidR="00CD5241" w:rsidRPr="008608AA">
        <w:rPr>
          <w:color w:val="000000" w:themeColor="text1"/>
          <w:sz w:val="20"/>
          <w:szCs w:val="20"/>
        </w:rPr>
        <w:t>)</w:t>
      </w:r>
      <w:r w:rsidR="00B31B2E" w:rsidRPr="008608AA">
        <w:rPr>
          <w:sz w:val="20"/>
          <w:szCs w:val="20"/>
        </w:rPr>
        <w:t>.</w:t>
      </w:r>
    </w:p>
    <w:p w14:paraId="61FEBC9A" w14:textId="77777777" w:rsidR="003E2299" w:rsidRPr="008608AA" w:rsidRDefault="003E2299" w:rsidP="00BD3C8C"/>
    <w:p w14:paraId="7150E4D4" w14:textId="298168FE" w:rsidR="00F44157" w:rsidRPr="008608AA" w:rsidRDefault="00333557" w:rsidP="00BD3C8C">
      <w:r w:rsidRPr="008608AA">
        <w:t xml:space="preserve">In the Americas, all countries, with the exception of the </w:t>
      </w:r>
      <w:r w:rsidR="00C814E1" w:rsidRPr="008608AA">
        <w:t>USA</w:t>
      </w:r>
      <w:r w:rsidRPr="008608AA">
        <w:t xml:space="preserve">, are signatory to the CBD. Results from the 24 countries of the Latin America and Caribbean regions have reported mixed </w:t>
      </w:r>
      <w:r w:rsidR="00C814E1" w:rsidRPr="008608AA">
        <w:t>levels of progress towards the b</w:t>
      </w:r>
      <w:r w:rsidRPr="008608AA">
        <w:t xml:space="preserve">iodiversity 2020 Aichi </w:t>
      </w:r>
      <w:r w:rsidR="00847F60" w:rsidRPr="008608AA">
        <w:t>target</w:t>
      </w:r>
      <w:r w:rsidRPr="008608AA">
        <w:t xml:space="preserve">s. Most progress has been </w:t>
      </w:r>
      <w:r w:rsidR="00B31B2E" w:rsidRPr="008608AA">
        <w:t xml:space="preserve">reported in </w:t>
      </w:r>
      <w:r w:rsidR="00847F60" w:rsidRPr="008608AA">
        <w:t>target</w:t>
      </w:r>
      <w:r w:rsidR="00C814E1" w:rsidRPr="008608AA">
        <w:t>s 11 and 17 (P</w:t>
      </w:r>
      <w:r w:rsidR="00B31B2E" w:rsidRPr="008608AA">
        <w:t>rotected a</w:t>
      </w:r>
      <w:r w:rsidRPr="008608AA">
        <w:t xml:space="preserve">reas and the adoption and implementation of policy instruments). There is evidence of advanced progress in </w:t>
      </w:r>
      <w:r w:rsidR="00847F60" w:rsidRPr="008608AA">
        <w:t>target</w:t>
      </w:r>
      <w:r w:rsidR="00C814E1" w:rsidRPr="008608AA">
        <w:t xml:space="preserve"> 1 (P</w:t>
      </w:r>
      <w:r w:rsidRPr="008608AA">
        <w:t xml:space="preserve">eople being aware of the value of biodiversity and the steps to conserve and use it sustainably); </w:t>
      </w:r>
      <w:r w:rsidR="00847F60" w:rsidRPr="008608AA">
        <w:t>target</w:t>
      </w:r>
      <w:r w:rsidRPr="008608AA">
        <w:t xml:space="preserve"> 16 (Nagoya Protocol) and </w:t>
      </w:r>
      <w:r w:rsidR="00847F60" w:rsidRPr="008608AA">
        <w:t>target</w:t>
      </w:r>
      <w:r w:rsidR="00C814E1" w:rsidRPr="008608AA">
        <w:t xml:space="preserve"> 19 (I</w:t>
      </w:r>
      <w:r w:rsidRPr="008608AA">
        <w:t xml:space="preserve">mproved biodiversity information sharing). The </w:t>
      </w:r>
      <w:r w:rsidR="00847F60" w:rsidRPr="008608AA">
        <w:t>target</w:t>
      </w:r>
      <w:r w:rsidRPr="008608AA">
        <w:t xml:space="preserve">s reporting less progress were </w:t>
      </w:r>
      <w:r w:rsidR="0064559E" w:rsidRPr="008608AA">
        <w:t>target</w:t>
      </w:r>
      <w:r w:rsidR="00C814E1" w:rsidRPr="008608AA">
        <w:t>s 6 (Anthropogenic pressures/</w:t>
      </w:r>
      <w:r w:rsidRPr="008608AA">
        <w:t>direct driver</w:t>
      </w:r>
      <w:r w:rsidR="00C814E1" w:rsidRPr="008608AA">
        <w:t>s of change minimized) and 10 (M</w:t>
      </w:r>
      <w:r w:rsidRPr="008608AA">
        <w:t>anagement of fish and aquatic invertebrate stocks) (Chapter 6).</w:t>
      </w:r>
      <w:r w:rsidR="00B5458D" w:rsidRPr="008608AA">
        <w:t xml:space="preserve"> </w:t>
      </w:r>
    </w:p>
    <w:p w14:paraId="47679805" w14:textId="77777777" w:rsidR="00F44157" w:rsidRPr="008608AA" w:rsidRDefault="00333557" w:rsidP="00BD3C8C">
      <w:pPr>
        <w:spacing w:before="120" w:after="120"/>
      </w:pPr>
      <w:r w:rsidRPr="008608AA">
        <w:t xml:space="preserve">Even at these early stages of the sustainable development agenda, SDG are already providing essential policy entry points to address a broad array of drivers that affect biodiversity and ecosystem services (Chapter 6). </w:t>
      </w:r>
    </w:p>
    <w:p w14:paraId="6C3FCD28" w14:textId="727A9E9A" w:rsidR="00F44157" w:rsidRPr="008608AA" w:rsidRDefault="00333557" w:rsidP="00BD3C8C">
      <w:r w:rsidRPr="008608AA">
        <w:t>Given the negative impacts of policy choices and trade-offs on some aspects of biodiversity and NCP and qua</w:t>
      </w:r>
      <w:r w:rsidR="00C814E1" w:rsidRPr="008608AA">
        <w:t>lity of life, few of the Aichi b</w:t>
      </w:r>
      <w:r w:rsidRPr="008608AA">
        <w:t>iodiversity targets will be met by 2020 for most countries in the Americas. In a longer term perspective, few SDG or targets set under the Paris Agreement are likely to be met under current business as usual scenarios (Chapters 2-3).</w:t>
      </w:r>
    </w:p>
    <w:p w14:paraId="73DD6ECD" w14:textId="77777777" w:rsidR="004F0B12" w:rsidRPr="008608AA" w:rsidRDefault="004F0B12" w:rsidP="00BD3C8C"/>
    <w:p w14:paraId="66AE7376" w14:textId="117DDEEC" w:rsidR="00F44157" w:rsidRPr="008608AA" w:rsidRDefault="00333557" w:rsidP="004F0B12">
      <w:pPr>
        <w:pStyle w:val="Heading2"/>
      </w:pPr>
      <w:bookmarkStart w:id="279" w:name="_Toc502908177"/>
      <w:bookmarkStart w:id="280" w:name="_Toc502927261"/>
      <w:bookmarkStart w:id="281" w:name="_Toc502951103"/>
      <w:bookmarkStart w:id="282" w:name="_Toc502953546"/>
      <w:bookmarkStart w:id="283" w:name="_Toc502954839"/>
      <w:bookmarkStart w:id="284" w:name="_Toc502957646"/>
      <w:bookmarkStart w:id="285" w:name="_Toc502957999"/>
      <w:bookmarkStart w:id="286" w:name="_Toc503293643"/>
      <w:bookmarkStart w:id="287" w:name="_Toc503293905"/>
      <w:bookmarkStart w:id="288" w:name="_Toc503863298"/>
      <w:bookmarkStart w:id="289" w:name="_Toc503863526"/>
      <w:bookmarkStart w:id="290" w:name="_Toc517391825"/>
      <w:bookmarkStart w:id="291" w:name="_Toc517393214"/>
      <w:bookmarkStart w:id="292" w:name="_Toc517718955"/>
      <w:bookmarkStart w:id="293" w:name="_Toc517796912"/>
      <w:r w:rsidRPr="008608AA">
        <w:t>Th</w:t>
      </w:r>
      <w:r w:rsidR="00C814E1" w:rsidRPr="008608AA">
        <w:t>e conceptual approach for this A</w:t>
      </w:r>
      <w:r w:rsidRPr="008608AA">
        <w:t>ssessment</w:t>
      </w:r>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r w:rsidRPr="008608AA">
        <w:t xml:space="preserve"> </w:t>
      </w:r>
    </w:p>
    <w:p w14:paraId="4D90607D" w14:textId="77777777" w:rsidR="00F44157" w:rsidRPr="008608AA" w:rsidRDefault="00333557">
      <w:r w:rsidRPr="008608AA">
        <w:t>For an assessment to address the many types of issues encompassed in the IPBES core questions in section 1.4 and be of use to the broad range of target audiences described in 1.3.6, it must have as well structured foundation. Integrative but explicit conceptual frameworks are particularly useful tools in fields requiring interdisciplinary collaboration, where the frameworks are used to make sense of complexity by clarifying and focusing thinking about relationships, supporting communication across disciplines and knowledge systems and between knowledge and policy. This foundation is provided by the IPBES Conceptual Framework.</w:t>
      </w:r>
    </w:p>
    <w:p w14:paraId="1F480D2B" w14:textId="77777777" w:rsidR="004F0B12" w:rsidRPr="008608AA" w:rsidRDefault="004F0B12"/>
    <w:p w14:paraId="36D28775" w14:textId="1A49E0F6" w:rsidR="00F44157" w:rsidRPr="008608AA" w:rsidRDefault="00333557">
      <w:pPr>
        <w:pStyle w:val="Heading3"/>
      </w:pPr>
      <w:bookmarkStart w:id="294" w:name="_Toc502908178"/>
      <w:bookmarkStart w:id="295" w:name="_Toc502927262"/>
      <w:bookmarkStart w:id="296" w:name="_Toc502951104"/>
      <w:bookmarkStart w:id="297" w:name="_Toc502953547"/>
      <w:bookmarkStart w:id="298" w:name="_Toc502954840"/>
      <w:bookmarkStart w:id="299" w:name="_Toc502957647"/>
      <w:bookmarkStart w:id="300" w:name="_Toc502958000"/>
      <w:bookmarkStart w:id="301" w:name="_Toc503293644"/>
      <w:bookmarkStart w:id="302" w:name="_Toc503293906"/>
      <w:bookmarkStart w:id="303" w:name="_Toc503863299"/>
      <w:bookmarkStart w:id="304" w:name="_Toc503863527"/>
      <w:bookmarkStart w:id="305" w:name="_Toc517391826"/>
      <w:bookmarkStart w:id="306" w:name="_Toc517393215"/>
      <w:bookmarkStart w:id="307" w:name="_Toc517718956"/>
      <w:bookmarkStart w:id="308" w:name="_Toc517796913"/>
      <w:r w:rsidRPr="008608AA">
        <w:t>The analytical Intergovernmental Platform on Biodiversity and Ecosystem Services Conceptual Framework</w:t>
      </w:r>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p>
    <w:p w14:paraId="45A36A7F" w14:textId="4EEA6720" w:rsidR="00F44157" w:rsidRPr="008608AA" w:rsidRDefault="00C814E1" w:rsidP="004F0B12">
      <w:pPr>
        <w:spacing w:before="120" w:after="120"/>
      </w:pPr>
      <w:r w:rsidRPr="008608AA">
        <w:t xml:space="preserve">The Intergovernmental Science-Policy Platform on Biodiversity and Ecosystem Services </w:t>
      </w:r>
      <w:r w:rsidR="00333557" w:rsidRPr="008608AA">
        <w:t>has developed a conceptual framework (CF, Figure 1.4) as a concise summary of the relationships between people and nature in words and pictures. The framework provides a common terminology and structure for the components that are the focus of a system analysis, and proposes assumptions about key relationships in the system.</w:t>
      </w:r>
    </w:p>
    <w:p w14:paraId="29395F8F" w14:textId="77777777" w:rsidR="00F44157" w:rsidRPr="008608AA" w:rsidRDefault="00333557" w:rsidP="004F0B12">
      <w:pPr>
        <w:spacing w:before="120" w:after="120"/>
      </w:pPr>
      <w:r w:rsidRPr="008608AA">
        <w:t xml:space="preserve">The main elements of the IPBES Conceptual Framework </w:t>
      </w:r>
    </w:p>
    <w:p w14:paraId="1913A720" w14:textId="623E0A78" w:rsidR="00F44157" w:rsidRPr="008608AA" w:rsidRDefault="00333557" w:rsidP="00B33BD5">
      <w:pPr>
        <w:numPr>
          <w:ilvl w:val="1"/>
          <w:numId w:val="2"/>
        </w:numPr>
        <w:tabs>
          <w:tab w:val="left" w:pos="0"/>
          <w:tab w:val="left" w:pos="284"/>
          <w:tab w:val="left" w:pos="851"/>
        </w:tabs>
        <w:spacing w:before="120"/>
        <w:ind w:left="284" w:hanging="284"/>
      </w:pPr>
      <w:r w:rsidRPr="008608AA">
        <w:t>Nature here refers to the natural world, with an emphasis on biodiversity and ecosystems. Nature gains values based on the provision of various benefi</w:t>
      </w:r>
      <w:r w:rsidR="0053392A" w:rsidRPr="008608AA">
        <w:t>ts to people, but within IPBES A</w:t>
      </w:r>
      <w:r w:rsidRPr="008608AA">
        <w:t>ssessments, nature is also recognized as having intrinsic value, independent of human experience.</w:t>
      </w:r>
    </w:p>
    <w:p w14:paraId="21FF369E" w14:textId="77777777" w:rsidR="00F44157" w:rsidRPr="008608AA" w:rsidRDefault="00333557" w:rsidP="00B33BD5">
      <w:pPr>
        <w:numPr>
          <w:ilvl w:val="1"/>
          <w:numId w:val="2"/>
        </w:numPr>
        <w:tabs>
          <w:tab w:val="left" w:pos="0"/>
          <w:tab w:val="left" w:pos="284"/>
          <w:tab w:val="left" w:pos="851"/>
        </w:tabs>
        <w:spacing w:before="120"/>
        <w:ind w:left="284" w:hanging="284"/>
      </w:pPr>
      <w:r w:rsidRPr="008608AA">
        <w:t>Anthropogenic assets refer to knowledge, technology, financial assets, built infrastructure, etc.</w:t>
      </w:r>
    </w:p>
    <w:p w14:paraId="56DF0385" w14:textId="26CAA368" w:rsidR="00F44157" w:rsidRPr="008608AA" w:rsidRDefault="00333557" w:rsidP="00B33BD5">
      <w:pPr>
        <w:numPr>
          <w:ilvl w:val="1"/>
          <w:numId w:val="2"/>
        </w:numPr>
        <w:tabs>
          <w:tab w:val="left" w:pos="0"/>
          <w:tab w:val="left" w:pos="284"/>
          <w:tab w:val="left" w:pos="851"/>
        </w:tabs>
        <w:spacing w:before="120"/>
        <w:ind w:left="284" w:hanging="284"/>
      </w:pPr>
      <w:r w:rsidRPr="008608AA">
        <w:t>Nature</w:t>
      </w:r>
      <w:r w:rsidR="00C814E1" w:rsidRPr="008608AA">
        <w:t>’s contributions to people</w:t>
      </w:r>
      <w:r w:rsidRPr="008608AA">
        <w:t xml:space="preserve"> is, for IPBES, an inclusive category across knowledge systems. It is defined as “all the benefits (and when they occur, losses or detriments) that humanity obtains from nature” (Pascual et al., 2017; </w:t>
      </w:r>
      <w:r w:rsidR="00B20C8E" w:rsidRPr="008608AA">
        <w:t>section</w:t>
      </w:r>
      <w:r w:rsidRPr="008608AA">
        <w:t xml:space="preserve">s 1.3.1-1.3.2) </w:t>
      </w:r>
    </w:p>
    <w:p w14:paraId="4496E107" w14:textId="77777777" w:rsidR="00F44157" w:rsidRPr="008608AA" w:rsidRDefault="00333557" w:rsidP="00B33BD5">
      <w:pPr>
        <w:numPr>
          <w:ilvl w:val="1"/>
          <w:numId w:val="2"/>
        </w:numPr>
        <w:tabs>
          <w:tab w:val="left" w:pos="0"/>
          <w:tab w:val="left" w:pos="284"/>
          <w:tab w:val="left" w:pos="851"/>
        </w:tabs>
        <w:spacing w:before="120"/>
        <w:ind w:left="284" w:hanging="284"/>
      </w:pPr>
      <w:r w:rsidRPr="008608AA">
        <w:t>Institutions and governance systems and at least some other indirect drivers are fundamentally linked to the direct anthropogenic drivers that affect nature. They include systems of access to land, legislative arrangements, international regimes such as agreements for the protection of endangered species, and economic policies.</w:t>
      </w:r>
    </w:p>
    <w:p w14:paraId="6B43AFF8" w14:textId="2A678A14" w:rsidR="00F44157" w:rsidRPr="008608AA" w:rsidRDefault="00333557" w:rsidP="00B33BD5">
      <w:pPr>
        <w:numPr>
          <w:ilvl w:val="1"/>
          <w:numId w:val="2"/>
        </w:numPr>
        <w:tabs>
          <w:tab w:val="left" w:pos="0"/>
          <w:tab w:val="left" w:pos="284"/>
          <w:tab w:val="left" w:pos="851"/>
        </w:tabs>
        <w:spacing w:before="120"/>
        <w:ind w:left="284" w:hanging="284"/>
      </w:pPr>
      <w:r w:rsidRPr="008608AA">
        <w:t xml:space="preserve">Direct drivers, both natural and anthropogenic, affect nature directly. The direct anthropogenic drivers are those that flow from human institutions and governance systems and other indirect drivers. They include positive and negative effects, </w:t>
      </w:r>
      <w:r w:rsidR="00847F60" w:rsidRPr="008608AA">
        <w:t>e.g.</w:t>
      </w:r>
      <w:r w:rsidRPr="008608AA">
        <w:t xml:space="preserve"> habitat conversion (e.g. degradation or restoration of land and aquatic habitats), climate change, and species introductions. Direct natural drivers (e.g. volcanic eruptions) can directly affect nature, anthropogenic assets, and quality of life, but their impacts are not the main focus of IPBES.</w:t>
      </w:r>
    </w:p>
    <w:p w14:paraId="1EC2A28D" w14:textId="77777777" w:rsidR="00F44157" w:rsidRPr="008608AA" w:rsidRDefault="00333557" w:rsidP="00B33BD5">
      <w:pPr>
        <w:numPr>
          <w:ilvl w:val="1"/>
          <w:numId w:val="2"/>
        </w:numPr>
        <w:tabs>
          <w:tab w:val="left" w:pos="0"/>
          <w:tab w:val="left" w:pos="284"/>
          <w:tab w:val="left" w:pos="851"/>
        </w:tabs>
        <w:spacing w:before="160" w:after="160"/>
        <w:ind w:left="284" w:hanging="284"/>
      </w:pPr>
      <w:r w:rsidRPr="008608AA">
        <w:t>Indirect drivers, are the ways in which societies organize themselves, and the resulting influences on other components. They are the underlying causes of environmental change that are exogenous to the ecosystem in question. Because of their central role, influencing all aspects of human relationships with nature, these are key levers for decision-making.</w:t>
      </w:r>
    </w:p>
    <w:p w14:paraId="2BE2AC9A" w14:textId="7605CFED" w:rsidR="00F44157" w:rsidRPr="008608AA" w:rsidRDefault="00333557" w:rsidP="00B33BD5">
      <w:pPr>
        <w:numPr>
          <w:ilvl w:val="1"/>
          <w:numId w:val="2"/>
        </w:numPr>
        <w:tabs>
          <w:tab w:val="left" w:pos="0"/>
          <w:tab w:val="left" w:pos="284"/>
          <w:tab w:val="left" w:pos="851"/>
        </w:tabs>
        <w:spacing w:before="120"/>
        <w:ind w:left="284" w:hanging="284"/>
      </w:pPr>
      <w:r w:rsidRPr="008608AA">
        <w:t>Good quality of life is the achievement of a fulfilled human life. It is a highly value-based and context-dependent element comprising multiple factors such as access to food, water, health, education, security, cultural identity, material prosperity, spiritual satisfaction, and freedom of choice. A society’s achievement of good quality of life and the vision of what this entails directly influences institutions and governance systems and other indirect drivers and, through them, all other elements. Good quality of life, also indirectly shapes, via institutions, the ways in which individuals and groups relate to nature. Likewise, the institutions and governance systems can be used by people to influence a society’s value system and perception of what constitutes good quality of life”. IPBES does not address this aspect of t</w:t>
      </w:r>
      <w:r w:rsidR="0053392A" w:rsidRPr="008608AA">
        <w:t>he conceptual framework in the A</w:t>
      </w:r>
      <w:r w:rsidRPr="008608AA">
        <w:t>ssessments, but actions governments and societies may choose to take based on the findings of the</w:t>
      </w:r>
      <w:r w:rsidR="0053392A" w:rsidRPr="008608AA">
        <w:t xml:space="preserve"> IPBES A</w:t>
      </w:r>
      <w:r w:rsidRPr="008608AA">
        <w:t>ssessments often require addressing this pathway wisely.</w:t>
      </w:r>
    </w:p>
    <w:p w14:paraId="3F407923" w14:textId="7F99EA5B" w:rsidR="004F0B12" w:rsidRPr="008608AA" w:rsidRDefault="00333557" w:rsidP="004F0B12">
      <w:pPr>
        <w:tabs>
          <w:tab w:val="left" w:pos="0"/>
          <w:tab w:val="left" w:pos="284"/>
          <w:tab w:val="left" w:pos="851"/>
        </w:tabs>
        <w:spacing w:before="120" w:after="120"/>
      </w:pPr>
      <w:r w:rsidRPr="008608AA">
        <w:t xml:space="preserve">Within these broad and </w:t>
      </w:r>
      <w:r w:rsidR="00C814E1" w:rsidRPr="008608AA">
        <w:t>cross-cultural categories, the A</w:t>
      </w:r>
      <w:r w:rsidRPr="008608AA">
        <w:t>ssessment identifies more specific subcategories, associated with knowledge systems and disciplines in the Americas. For example, different worldviews may have large gaps between the ways in which ecosystem goods and services (“green” category) and contributions of nature (“blue” category) in Figure 1.4 are conceptualized, valued and used accordingly. However, both categories are concerned with the things that societies obtain from the natural world, which are collectively represented by the inclusive category nature’s contributions to people (“bold and black” cat</w:t>
      </w:r>
      <w:r w:rsidR="0053392A" w:rsidRPr="008608AA">
        <w:t>egory). For consistency across A</w:t>
      </w:r>
      <w:r w:rsidRPr="008608AA">
        <w:t>ssessments, and to follow the spirit of the co</w:t>
      </w:r>
      <w:r w:rsidR="0053392A" w:rsidRPr="008608AA">
        <w:t>nceptual framework, the A</w:t>
      </w:r>
      <w:r w:rsidRPr="008608AA">
        <w:t xml:space="preserve">ssessments will use the inclusive “bold and black” categories as the starting point, and then refer back to them in the conclusions, although more specific categories, strongly dependent on discipline, knowledge system and purpose are likely to be used in </w:t>
      </w:r>
      <w:r w:rsidR="0053392A" w:rsidRPr="008608AA">
        <w:t>the analytical work during the A</w:t>
      </w:r>
      <w:r w:rsidRPr="008608AA">
        <w:t>ssessment. The use of this conceptual framework is presented in an example in the Amazon region in Figure 1.5.</w:t>
      </w:r>
      <w:bookmarkStart w:id="309" w:name="_49x2ik5" w:colFirst="0" w:colLast="0"/>
      <w:bookmarkEnd w:id="309"/>
    </w:p>
    <w:p w14:paraId="44D6679F" w14:textId="38881438" w:rsidR="004F0B12" w:rsidRPr="008608AA" w:rsidRDefault="00B3307F" w:rsidP="004F0B12">
      <w:pPr>
        <w:spacing w:before="240"/>
        <w:jc w:val="center"/>
      </w:pPr>
      <w:r w:rsidRPr="008608AA">
        <w:rPr>
          <w:noProof/>
          <w:lang w:val="en-GB" w:eastAsia="en-GB"/>
        </w:rPr>
        <w:drawing>
          <wp:inline distT="0" distB="0" distL="0" distR="0" wp14:anchorId="1F30C1B3" wp14:editId="0E58EE9C">
            <wp:extent cx="5934075" cy="4905375"/>
            <wp:effectExtent l="0" t="0" r="9525" b="9525"/>
            <wp:docPr id="4" name="Imagen 4" descr="C:\Users\Alejandro Valderrama\Downloads\Fi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Alejandro Valderrama\Downloads\Fig1.4.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42650"/>
                    <a:stretch/>
                  </pic:blipFill>
                  <pic:spPr bwMode="auto">
                    <a:xfrm>
                      <a:off x="0" y="0"/>
                      <a:ext cx="5934075" cy="4905375"/>
                    </a:xfrm>
                    <a:prstGeom prst="rect">
                      <a:avLst/>
                    </a:prstGeom>
                    <a:noFill/>
                    <a:ln>
                      <a:noFill/>
                    </a:ln>
                    <a:extLst>
                      <a:ext uri="{53640926-AAD7-44D8-BBD7-CCE9431645EC}">
                        <a14:shadowObscured xmlns:a14="http://schemas.microsoft.com/office/drawing/2010/main"/>
                      </a:ext>
                    </a:extLst>
                  </pic:spPr>
                </pic:pic>
              </a:graphicData>
            </a:graphic>
          </wp:inline>
        </w:drawing>
      </w:r>
    </w:p>
    <w:p w14:paraId="452F293D" w14:textId="57BEBB81" w:rsidR="004F0B12" w:rsidRPr="008608AA" w:rsidRDefault="00333557" w:rsidP="004F0B12">
      <w:pPr>
        <w:spacing w:before="240"/>
      </w:pPr>
      <w:r w:rsidRPr="008608AA">
        <w:t>In the main panel, delimited in grey, boxes and arrows denote the elements of nature and society that are the main focus of the Platform. In each of the boxes, the headlines in black are inclusive categories that should be intelligible and relevant to all stakeholders involved in IPBES and embrace the categories of western science (in green) and equivalent or similar categories according to other knowledge systems (in blue). The blue and green categories mentioned here are illustrative, not exhaustive, and are further explained in the main text. Solid arrows in the main panel denote influence between elements; the dotted arrows denote links that are acknowledged as important, but are not the main focus of IPBES. The thick coloured arrows below and to the right of the central panel indicate that the interactions between the elements change over time (horizontal bottom arrow) and occur at various scales in space (vertical arrow). The vertical lines to the right of the time arrow indicate the geographical scale (scope), build on properties and relationships acting at finer (national and subnational) scales (resolution). The resolution line does not extend all the way up to the global level because, for the types of relationships explored by IPBES the spatially heterogeneous nature of biodi</w:t>
      </w:r>
      <w:r w:rsidR="0053392A" w:rsidRPr="008608AA">
        <w:t>versity is important, so IPBES A</w:t>
      </w:r>
      <w:r w:rsidRPr="008608AA">
        <w:t>ssessments will be most useful if they retain finer resolution.</w:t>
      </w:r>
    </w:p>
    <w:p w14:paraId="3D4DD955" w14:textId="46443AE4" w:rsidR="004F0B12" w:rsidRPr="008608AA" w:rsidRDefault="00B3307F" w:rsidP="004F0B12">
      <w:pPr>
        <w:spacing w:before="240"/>
        <w:jc w:val="center"/>
      </w:pPr>
      <w:r w:rsidRPr="008608AA">
        <w:rPr>
          <w:noProof/>
          <w:lang w:val="en-GB" w:eastAsia="en-GB"/>
        </w:rPr>
        <w:drawing>
          <wp:inline distT="0" distB="0" distL="0" distR="0" wp14:anchorId="56852E1C" wp14:editId="5722FFBD">
            <wp:extent cx="5934075" cy="6638925"/>
            <wp:effectExtent l="0" t="0" r="9525" b="9525"/>
            <wp:docPr id="5" name="Imagen 5" descr="C:\Users\Alejandro Valderrama\Downloads\Fi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Alejandro Valderrama\Downloads\Fig1.5.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22383"/>
                    <a:stretch/>
                  </pic:blipFill>
                  <pic:spPr bwMode="auto">
                    <a:xfrm>
                      <a:off x="0" y="0"/>
                      <a:ext cx="5934075" cy="6638925"/>
                    </a:xfrm>
                    <a:prstGeom prst="rect">
                      <a:avLst/>
                    </a:prstGeom>
                    <a:noFill/>
                    <a:ln>
                      <a:noFill/>
                    </a:ln>
                    <a:extLst>
                      <a:ext uri="{53640926-AAD7-44D8-BBD7-CCE9431645EC}">
                        <a14:shadowObscured xmlns:a14="http://schemas.microsoft.com/office/drawing/2010/main"/>
                      </a:ext>
                    </a:extLst>
                  </pic:spPr>
                </pic:pic>
              </a:graphicData>
            </a:graphic>
          </wp:inline>
        </w:drawing>
      </w:r>
    </w:p>
    <w:p w14:paraId="3B2837FC" w14:textId="25BD36D6" w:rsidR="00F44157" w:rsidRPr="008608AA" w:rsidRDefault="00C814E1" w:rsidP="00D971AF">
      <w:pPr>
        <w:pStyle w:val="Heading3"/>
        <w:spacing w:before="240"/>
      </w:pPr>
      <w:bookmarkStart w:id="310" w:name="_Toc502908179"/>
      <w:bookmarkStart w:id="311" w:name="_Toc502927263"/>
      <w:bookmarkStart w:id="312" w:name="_Toc502951105"/>
      <w:bookmarkStart w:id="313" w:name="_Toc502953548"/>
      <w:bookmarkStart w:id="314" w:name="_Toc502954841"/>
      <w:bookmarkStart w:id="315" w:name="_Toc502957648"/>
      <w:bookmarkStart w:id="316" w:name="_Toc502958001"/>
      <w:bookmarkStart w:id="317" w:name="_Toc503293645"/>
      <w:bookmarkStart w:id="318" w:name="_Toc503293907"/>
      <w:bookmarkStart w:id="319" w:name="_Toc503863300"/>
      <w:bookmarkStart w:id="320" w:name="_Toc503863528"/>
      <w:bookmarkStart w:id="321" w:name="_Toc517391827"/>
      <w:bookmarkStart w:id="322" w:name="_Toc517393216"/>
      <w:bookmarkStart w:id="323" w:name="_Toc517718957"/>
      <w:bookmarkStart w:id="324" w:name="_Toc517796914"/>
      <w:r w:rsidRPr="008608AA">
        <w:t>How this Regional A</w:t>
      </w:r>
      <w:r w:rsidR="00333557" w:rsidRPr="008608AA">
        <w:t>ssessment deals with different knowledge systems</w:t>
      </w:r>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r w:rsidR="00333557" w:rsidRPr="008608AA">
        <w:t xml:space="preserve"> </w:t>
      </w:r>
    </w:p>
    <w:p w14:paraId="10F8A520" w14:textId="160B7A3B" w:rsidR="00F44157" w:rsidRPr="008608AA" w:rsidRDefault="00333557" w:rsidP="004F0B12">
      <w:pPr>
        <w:tabs>
          <w:tab w:val="left" w:pos="6096"/>
        </w:tabs>
        <w:spacing w:before="120" w:after="120"/>
      </w:pPr>
      <w:r w:rsidRPr="008608AA">
        <w:t>Scientific knowledge, indigenous knowledge, and local knowledge systems al</w:t>
      </w:r>
      <w:r w:rsidR="0053392A" w:rsidRPr="008608AA">
        <w:t>l play a central role in IPBES A</w:t>
      </w:r>
      <w:r w:rsidRPr="008608AA">
        <w:t>ssessm</w:t>
      </w:r>
      <w:r w:rsidR="00C814E1" w:rsidRPr="008608AA">
        <w:t>ents. In IPBES, indigenous and local k</w:t>
      </w:r>
      <w:r w:rsidRPr="008608AA">
        <w:t xml:space="preserve">nowledge (ILK) systems are defined as dynamic bodies of integrated, often holistic, social-ecological knowledge, practices and beliefs about the relationship of living beings, including humans, with one another and with their environment. </w:t>
      </w:r>
      <w:r w:rsidR="00C814E1" w:rsidRPr="008608AA">
        <w:t>Indigenous and local knowledge</w:t>
      </w:r>
      <w:r w:rsidRPr="008608AA">
        <w:t xml:space="preserve"> is highly diverse, produced in a collective manner and reproduced at the interface between the diversity of ecosystems and human cultural systems. It is continuously evolving through the interaction of experiences and different types of knowledge (written, oral, tacit, practical, and scientific) among indigenous peoples and local communities.</w:t>
      </w:r>
    </w:p>
    <w:p w14:paraId="2DE389A7" w14:textId="7A6101FC" w:rsidR="00F44157" w:rsidRPr="008608AA" w:rsidRDefault="00333557" w:rsidP="004F0B12">
      <w:pPr>
        <w:spacing w:before="120" w:after="120"/>
      </w:pPr>
      <w:r w:rsidRPr="008608AA">
        <w:t xml:space="preserve">Governance, institutions and policies vary in the extent and ways that they take into account indigenous and local knowledge and practices (Pascual et al., 2014; Martin et al., 2016; Vogt et al., 2016). </w:t>
      </w:r>
      <w:r w:rsidR="00C814E1" w:rsidRPr="008608AA">
        <w:t xml:space="preserve">Indigenous and local knowledge </w:t>
      </w:r>
      <w:r w:rsidRPr="008608AA">
        <w:t>can take a particularly prominent role when addres</w:t>
      </w:r>
      <w:r w:rsidR="0053392A" w:rsidRPr="008608AA">
        <w:t>sing “values” and valuation in A</w:t>
      </w:r>
      <w:r w:rsidRPr="008608AA">
        <w:t xml:space="preserve">ssessments. Valuation tools that use multiple knowledge systems to fully capture the multiplicity of culturally different worldviews, visions and approaches to achieving a good quality of life are needed and often not available (Tengö et al., 2014). To this end, IPBES has developed a preliminary guide on the diverse values of nature and its contributions to people. This guide complements guidance IPBES has developed for the integration of ILK into its </w:t>
      </w:r>
      <w:r w:rsidR="0053392A" w:rsidRPr="008608AA">
        <w:t>Assessments</w:t>
      </w:r>
      <w:r w:rsidRPr="008608AA">
        <w:t xml:space="preserve"> that respects not only the diversity and value </w:t>
      </w:r>
      <w:r w:rsidR="0053392A" w:rsidRPr="008608AA">
        <w:t>of ILK, but also the rights of i</w:t>
      </w:r>
      <w:r w:rsidRPr="008608AA">
        <w:t xml:space="preserve">ndigenous and local communities to share in the benefits of knowledge gained from the </w:t>
      </w:r>
      <w:r w:rsidR="0053392A" w:rsidRPr="008608AA">
        <w:t>Assessments</w:t>
      </w:r>
      <w:r w:rsidRPr="008608AA">
        <w:t xml:space="preserve">s (Pascual et al., 2014; Berbes-Blazquez, 2016). IPBES integrates ILK into its </w:t>
      </w:r>
      <w:r w:rsidR="0053392A" w:rsidRPr="008608AA">
        <w:t>Assessments</w:t>
      </w:r>
      <w:r w:rsidRPr="008608AA">
        <w:t xml:space="preserve">s through the appointment of experts to conduct and review </w:t>
      </w:r>
      <w:r w:rsidR="0053392A" w:rsidRPr="008608AA">
        <w:t>Assessments</w:t>
      </w:r>
      <w:r w:rsidRPr="008608AA">
        <w:t>s represent, who can or have expertise, in ILK.</w:t>
      </w:r>
    </w:p>
    <w:p w14:paraId="05E22906" w14:textId="77777777" w:rsidR="004F0B12" w:rsidRPr="008608AA" w:rsidRDefault="004F0B12" w:rsidP="004F0B12">
      <w:pPr>
        <w:spacing w:before="120" w:after="120"/>
      </w:pPr>
    </w:p>
    <w:p w14:paraId="0D249B05" w14:textId="6D0F7AAD" w:rsidR="00F44157" w:rsidRPr="008608AA" w:rsidRDefault="00C814E1" w:rsidP="00083302">
      <w:pPr>
        <w:pStyle w:val="Heading3"/>
      </w:pPr>
      <w:bookmarkStart w:id="325" w:name="_Toc502908180"/>
      <w:bookmarkStart w:id="326" w:name="_Toc502927264"/>
      <w:bookmarkStart w:id="327" w:name="_Toc502951106"/>
      <w:bookmarkStart w:id="328" w:name="_Toc502953549"/>
      <w:bookmarkStart w:id="329" w:name="_Toc502954842"/>
      <w:bookmarkStart w:id="330" w:name="_Toc502957649"/>
      <w:bookmarkStart w:id="331" w:name="_Toc502958002"/>
      <w:bookmarkStart w:id="332" w:name="_Toc503293646"/>
      <w:bookmarkStart w:id="333" w:name="_Toc503293908"/>
      <w:bookmarkStart w:id="334" w:name="_Toc503863301"/>
      <w:bookmarkStart w:id="335" w:name="_Toc503863529"/>
      <w:bookmarkStart w:id="336" w:name="_Toc517391828"/>
      <w:bookmarkStart w:id="337" w:name="_Toc517393217"/>
      <w:bookmarkStart w:id="338" w:name="_Toc517718958"/>
      <w:bookmarkStart w:id="339" w:name="_Toc517796915"/>
      <w:r w:rsidRPr="008608AA">
        <w:t>How this Regional A</w:t>
      </w:r>
      <w:r w:rsidR="00333557" w:rsidRPr="008608AA">
        <w:t>ssessment deals with “value”</w:t>
      </w:r>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p w14:paraId="505BD001" w14:textId="77777777" w:rsidR="00F44157" w:rsidRPr="008608AA" w:rsidRDefault="00333557" w:rsidP="004F0B12">
      <w:pPr>
        <w:spacing w:before="120" w:after="120"/>
      </w:pPr>
      <w:r w:rsidRPr="008608AA">
        <w:t>Understanding values, how they are conceptualized and formed and how they change across contexts and scales, is critical to inform decision making and policy design at local, national and global levels (IPBES, 2015b). The ways in which nature and its contributions to people for a good quality of life are perceived and valued may be starkly different and even conflicting (IPBES, 2015b; Pascual et al., 2017). Multiple values can be associated with multiple cultural and institutional contexts and may be often difficult to compare by the same measure. Therefore, IPBES recognizes that the word ‘value’ can refer to a given worldview or cultural context, a preference someone has for a particular state of the world, the importance of something for itself or for others (IPBES, 2015b; Pascual et al., 2017).</w:t>
      </w:r>
    </w:p>
    <w:p w14:paraId="6D479140" w14:textId="51845427" w:rsidR="00F44157" w:rsidRPr="008608AA" w:rsidRDefault="00333557" w:rsidP="004F0B12">
      <w:pPr>
        <w:spacing w:before="120" w:after="120"/>
      </w:pPr>
      <w:r w:rsidRPr="008608AA">
        <w:t>At present, governance, institutions and policies are challenged to take adequately into account the diverse conceptualization of multiple values of nature and its contributions to people embodied in the IPBES conceptual framework (Pascual et al., 2017). Any single</w:t>
      </w:r>
      <w:r w:rsidRPr="008608AA">
        <w:rPr>
          <w:i/>
        </w:rPr>
        <w:t xml:space="preserve"> </w:t>
      </w:r>
      <w:r w:rsidRPr="008608AA">
        <w:t xml:space="preserve">valuation methodology applied to NCP cannot avoid reflecting the values attached to the specific uses to be made by the NCP, and those uses vary widely among cultures, societies and economic strata. Therefore, if valuation is intended to encompass diverse perspectives, a multiplicity of valuation methodologies will be needed, as well as methods for combining the results in ways that do not selectively favour one worldview over other. Such methodologies and strategies for combining results are not yet fully developed. Nevertheless, assessments striving to move in that direction can be a significant resource for a range of decision makers, including governments, civil society organizations, indigenous peoples and local communities. Therefore, IPBES </w:t>
      </w:r>
      <w:r w:rsidR="0053392A" w:rsidRPr="008608AA">
        <w:t>Assessments</w:t>
      </w:r>
      <w:r w:rsidRPr="008608AA">
        <w:t>s will be based on the recognition of culturally different worldviews, visions and approaches to achieving a good quality of life in the context of the conceptual framework (</w:t>
      </w:r>
      <w:r w:rsidR="00B20C8E" w:rsidRPr="008608AA">
        <w:t>section</w:t>
      </w:r>
      <w:r w:rsidRPr="008608AA">
        <w:t xml:space="preserve"> 1.5.1 presenting results of using multiple approaches to valuation, and interpreting the results in inclusive contexts). </w:t>
      </w:r>
    </w:p>
    <w:p w14:paraId="504C8D7E" w14:textId="77777777" w:rsidR="004F0B12" w:rsidRPr="008608AA" w:rsidRDefault="004F0B12" w:rsidP="004F0B12">
      <w:pPr>
        <w:spacing w:before="120" w:after="120"/>
      </w:pPr>
    </w:p>
    <w:p w14:paraId="6D9C2AC0" w14:textId="23DCEB19" w:rsidR="00F44157" w:rsidRPr="008608AA" w:rsidRDefault="00333557" w:rsidP="00083302">
      <w:pPr>
        <w:pStyle w:val="Heading3"/>
      </w:pPr>
      <w:bookmarkStart w:id="340" w:name="_Toc502908181"/>
      <w:bookmarkStart w:id="341" w:name="_Toc502927265"/>
      <w:bookmarkStart w:id="342" w:name="_Toc502951107"/>
      <w:bookmarkStart w:id="343" w:name="_Toc502953550"/>
      <w:bookmarkStart w:id="344" w:name="_Toc502954843"/>
      <w:bookmarkStart w:id="345" w:name="_Toc502957650"/>
      <w:bookmarkStart w:id="346" w:name="_Toc502958003"/>
      <w:bookmarkStart w:id="347" w:name="_Toc503293647"/>
      <w:bookmarkStart w:id="348" w:name="_Toc503293909"/>
      <w:bookmarkStart w:id="349" w:name="_Toc503863302"/>
      <w:bookmarkStart w:id="350" w:name="_Toc503863530"/>
      <w:bookmarkStart w:id="351" w:name="_Toc517391829"/>
      <w:bookmarkStart w:id="352" w:name="_Toc517393218"/>
      <w:bookmarkStart w:id="353" w:name="_Toc517718959"/>
      <w:bookmarkStart w:id="354" w:name="_Toc517796916"/>
      <w:r w:rsidRPr="008608AA">
        <w:t>How can models and scenarios serve as tools for decision-making?</w:t>
      </w:r>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r w:rsidRPr="008608AA">
        <w:t xml:space="preserve"> </w:t>
      </w:r>
    </w:p>
    <w:p w14:paraId="1B20F42C" w14:textId="77777777" w:rsidR="00F44157" w:rsidRPr="008608AA" w:rsidRDefault="00333557" w:rsidP="004F0B12">
      <w:pPr>
        <w:spacing w:before="120" w:after="120"/>
      </w:pPr>
      <w:r w:rsidRPr="008608AA">
        <w:t xml:space="preserve">Scenarios are plausible, challenging, and relevant stories about how the future might unfold, while a scenario archetype is a group of futures which are deemed ‘similar’ according to the purpose of a specific analysis (Boschetti et al., 2016). The different scenarios in a set can reflect different plausible future trajectories of indirect and direct drivers of nature and NCP; responses to potential policy and management interventions; or the results of a combination of these (IPBES, 2016b). Models refer to qualitative, or when possible quantitative, descriptions of the links between any two elements of the framework that provide the means to relate changes in one element to estimates, or projections, of changes in the other. </w:t>
      </w:r>
    </w:p>
    <w:p w14:paraId="5A440F87" w14:textId="77777777" w:rsidR="00F44157" w:rsidRPr="008608AA" w:rsidRDefault="00333557" w:rsidP="004F0B12">
      <w:pPr>
        <w:spacing w:before="120" w:after="120"/>
      </w:pPr>
      <w:r w:rsidRPr="008608AA">
        <w:t>Scenarios and models can provide an effective means of gaining insight into relationships among nature, nature’s contributions to people, and good quality of life according to different worldviews. For example, we can analyze different scenarios of access to land impact well-being of indigenous communities (given the dependence of these actors on certain components of biodiversity such as food and medicinal plants, see chapter 2), show how those same scenarios affect differently other actors such as agricultural producers, or inform discussions of both perspectives.</w:t>
      </w:r>
    </w:p>
    <w:p w14:paraId="00149C31" w14:textId="77777777" w:rsidR="00F44157" w:rsidRPr="008608AA" w:rsidRDefault="00333557" w:rsidP="004F0B12">
      <w:pPr>
        <w:spacing w:before="120" w:after="120"/>
      </w:pPr>
      <w:r w:rsidRPr="008608AA">
        <w:t>One of the key objectives in using scenarios and models is to move away from a reactive mode of decision-making, in which society responds to the degradation of biodiversity and nature’s benefits to people in an uncoordinated, piecemeal fashion, to a proactive mode, in which society anticipates change and takes actions that avoid, reduce or mitigate adverse impacts, capitalizes on important opportunities, and ensure adaptation and mitigation strategies are integrative and holistic (Carpenter et al., 2006). Scenarios and models used in IPBES are typically explicitly or implicitly built on four main components:</w:t>
      </w:r>
    </w:p>
    <w:p w14:paraId="31B8B7BA" w14:textId="77777777" w:rsidR="00F44157" w:rsidRPr="008608AA" w:rsidRDefault="00333557" w:rsidP="00B33BD5">
      <w:pPr>
        <w:numPr>
          <w:ilvl w:val="0"/>
          <w:numId w:val="2"/>
        </w:numPr>
        <w:spacing w:after="200"/>
      </w:pPr>
      <w:r w:rsidRPr="008608AA">
        <w:t>Scenarios of socioeconomic development (e.g. population growth, economic growth, per capita food consumption, greenhouse gas emissions) and policy options (e.g. reducing carbon emissions from deforestation and forest degradation, subsidies for bioenergy);</w:t>
      </w:r>
    </w:p>
    <w:p w14:paraId="166D2FB1" w14:textId="77777777" w:rsidR="00F44157" w:rsidRPr="008608AA" w:rsidRDefault="00333557" w:rsidP="00B33BD5">
      <w:pPr>
        <w:numPr>
          <w:ilvl w:val="0"/>
          <w:numId w:val="2"/>
        </w:numPr>
        <w:spacing w:after="200"/>
      </w:pPr>
      <w:r w:rsidRPr="008608AA">
        <w:t>Projections of changes in direct drivers of biodiversity and ecosystem function (e.g. land use change, fishing pressure, climate change, invasive alien species, nitrogen deposition);</w:t>
      </w:r>
    </w:p>
    <w:p w14:paraId="75CB6799" w14:textId="77777777" w:rsidR="00F44157" w:rsidRPr="008608AA" w:rsidRDefault="00333557" w:rsidP="00B33BD5">
      <w:pPr>
        <w:numPr>
          <w:ilvl w:val="0"/>
          <w:numId w:val="2"/>
        </w:numPr>
        <w:spacing w:after="200"/>
      </w:pPr>
      <w:r w:rsidRPr="008608AA">
        <w:t>Projections of the impacts of drivers on biodiversity (e.g. species extinctions, changes in species abundance and shifts in ranges of species, species groups or biomes);</w:t>
      </w:r>
    </w:p>
    <w:p w14:paraId="175251AB" w14:textId="77777777" w:rsidR="00F44157" w:rsidRPr="008608AA" w:rsidRDefault="00333557" w:rsidP="00B33BD5">
      <w:pPr>
        <w:numPr>
          <w:ilvl w:val="0"/>
          <w:numId w:val="2"/>
        </w:numPr>
        <w:spacing w:after="200"/>
      </w:pPr>
      <w:r w:rsidRPr="008608AA">
        <w:t>Projections of the impacts of drivers and changes in biodiversity on NCP (e.g. ecosystem productivity, control of water flow and quality, ecosystem carbon storage, cultural values).</w:t>
      </w:r>
    </w:p>
    <w:p w14:paraId="4C13D4FA" w14:textId="77777777" w:rsidR="00F44157" w:rsidRPr="008608AA" w:rsidRDefault="00333557" w:rsidP="004F0B12">
      <w:pPr>
        <w:spacing w:before="120" w:after="120"/>
      </w:pPr>
      <w:r w:rsidRPr="008608AA">
        <w:t>These elements generally correspond to the structure of the IPBES conceptual framework, and Figure 1.6 below illustrates how scenarios and models are typically coupled to provide projections of future trajectories of biodiversity, NCP and human well-being. Elements can range from highly quantitative (e.g. econometric models of socioeconomic development) to qualitative (e.g. prospective scenarios of development based on expert-stakeholder dialogues (Coreau et al., 2009).</w:t>
      </w:r>
    </w:p>
    <w:p w14:paraId="2FDE5C14" w14:textId="06629E8A" w:rsidR="00F44157" w:rsidRPr="008608AA" w:rsidRDefault="00041D4B" w:rsidP="004F0B12">
      <w:pPr>
        <w:spacing w:before="120" w:after="120"/>
      </w:pPr>
      <w:r w:rsidRPr="008608AA">
        <w:t>The Intergovernmental Science-Policy Platform on Biodiversity and Ecosystem Services</w:t>
      </w:r>
      <w:r w:rsidR="00333557" w:rsidRPr="008608AA">
        <w:t xml:space="preserve"> aims to match its scenarios carefully to the needs of particular policy or decision contexts, paying particular attention to (i) the choice of drivers or policy options that determine the appropriate types of scenarios (e.g. exploratory, target-seeking or policy screening); (ii) the impacts on nature and nature's benefits that are of interest and that determine the types of models of impacts that should be mobilized; (iii) the diverse values that need to be addressed and that determine the appropriate methods for assessing those impacts; and (iv) the type of policy or decision-making processes that are being supported and that determine the suitability of different assessment or decision-support tools (e.g. multi-criteria analysis and management strategy evaluation).</w:t>
      </w:r>
    </w:p>
    <w:p w14:paraId="6D33ED21" w14:textId="1DA626BB" w:rsidR="004F0B12" w:rsidRPr="008608AA" w:rsidRDefault="00B3307F" w:rsidP="004F0B12">
      <w:pPr>
        <w:spacing w:before="120" w:after="120"/>
      </w:pPr>
      <w:r w:rsidRPr="008608AA">
        <w:rPr>
          <w:noProof/>
          <w:lang w:val="en-GB" w:eastAsia="en-GB"/>
        </w:rPr>
        <w:drawing>
          <wp:inline distT="0" distB="0" distL="0" distR="0" wp14:anchorId="0453C885" wp14:editId="5454D0F9">
            <wp:extent cx="5934075" cy="3333750"/>
            <wp:effectExtent l="0" t="0" r="9525" b="0"/>
            <wp:docPr id="6" name="Imagen 6" descr="C:\Users\Alejandro Valderrama\Downloads\Fi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Alejandro Valderrama\Downloads\Fig1.6.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61025"/>
                    <a:stretch/>
                  </pic:blipFill>
                  <pic:spPr bwMode="auto">
                    <a:xfrm>
                      <a:off x="0" y="0"/>
                      <a:ext cx="5934075" cy="3333750"/>
                    </a:xfrm>
                    <a:prstGeom prst="rect">
                      <a:avLst/>
                    </a:prstGeom>
                    <a:noFill/>
                    <a:ln>
                      <a:noFill/>
                    </a:ln>
                    <a:extLst>
                      <a:ext uri="{53640926-AAD7-44D8-BBD7-CCE9431645EC}">
                        <a14:shadowObscured xmlns:a14="http://schemas.microsoft.com/office/drawing/2010/main"/>
                      </a:ext>
                    </a:extLst>
                  </pic:spPr>
                </pic:pic>
              </a:graphicData>
            </a:graphic>
          </wp:inline>
        </w:drawing>
      </w:r>
    </w:p>
    <w:p w14:paraId="7C1CFD07" w14:textId="6B89DAB8" w:rsidR="004F0B12" w:rsidRPr="008608AA" w:rsidRDefault="004F0B12" w:rsidP="004F0B12">
      <w:pPr>
        <w:spacing w:before="120" w:after="120"/>
      </w:pPr>
      <w:r w:rsidRPr="008608AA">
        <w:br w:type="textWrapping" w:clear="all"/>
      </w:r>
    </w:p>
    <w:p w14:paraId="697F8D62" w14:textId="7DFFAD30" w:rsidR="00F44157" w:rsidRPr="008608AA" w:rsidRDefault="00333557" w:rsidP="00083302">
      <w:pPr>
        <w:pStyle w:val="Heading3"/>
      </w:pPr>
      <w:bookmarkStart w:id="355" w:name="_Toc502908182"/>
      <w:bookmarkStart w:id="356" w:name="_Toc502927266"/>
      <w:bookmarkStart w:id="357" w:name="_Toc502951108"/>
      <w:bookmarkStart w:id="358" w:name="_Toc502953551"/>
      <w:bookmarkStart w:id="359" w:name="_Toc502954844"/>
      <w:bookmarkStart w:id="360" w:name="_Toc502957651"/>
      <w:bookmarkStart w:id="361" w:name="_Toc502958004"/>
      <w:bookmarkStart w:id="362" w:name="_Toc503293648"/>
      <w:bookmarkStart w:id="363" w:name="_Toc503293910"/>
      <w:bookmarkStart w:id="364" w:name="_Toc503863303"/>
      <w:bookmarkStart w:id="365" w:name="_Toc503863531"/>
      <w:bookmarkStart w:id="366" w:name="_Toc517391830"/>
      <w:bookmarkStart w:id="367" w:name="_Toc517393219"/>
      <w:bookmarkStart w:id="368" w:name="_Toc517718960"/>
      <w:bookmarkStart w:id="369" w:name="_Toc517796917"/>
      <w:r w:rsidRPr="008608AA">
        <w:t>Impact of policies on nature’s contribution to people</w:t>
      </w:r>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r w:rsidRPr="008608AA">
        <w:t xml:space="preserve"> </w:t>
      </w:r>
    </w:p>
    <w:p w14:paraId="5D5FDA44" w14:textId="77777777" w:rsidR="00F44157" w:rsidRPr="008608AA" w:rsidRDefault="00333557" w:rsidP="004F0B12">
      <w:pPr>
        <w:spacing w:before="120" w:after="120"/>
      </w:pPr>
      <w:r w:rsidRPr="008608AA">
        <w:t xml:space="preserve">Policies can affect ecosystem structure, functions and ecosystem services (NCP) by altering how governments, institutions, and individuals interact with nature. Policies are designed to address particular challenges such as the loss of biodiversity and ecosystem services using different types of tools or instruments. </w:t>
      </w:r>
    </w:p>
    <w:p w14:paraId="41455199" w14:textId="622A380F" w:rsidR="00F44157" w:rsidRPr="008608AA" w:rsidRDefault="00333557" w:rsidP="004F0B12">
      <w:pPr>
        <w:spacing w:before="120" w:after="120"/>
      </w:pPr>
      <w:r w:rsidRPr="008608AA">
        <w:t xml:space="preserve">Some policy tools provide incentives for behaviors that are consistent with restoring or maintaining ecosystems or disincentives to behaviors that can lead to harmful impacts on ecosystem structure or function or availability of NCP (e.g. fines and taxes). Policies can indirectly affect the value decision-makers or citizens give to ecosystems by providing incentives, disincentives or enabling conditions directed at the actions of civil society, the corporate community, and government institutions. For example, policy instruments such as legally protected lands can affect positively the value of these areas for their supply with drinking water and associated NCP by protecting its quality and quantity, Reciprocally, if people place a high value on experiencing natural areas (also an NCP), they can provide incentives for decision-makers to support policies that protect such areas (WB </w:t>
      </w:r>
      <w:r w:rsidR="00960A2E" w:rsidRPr="008608AA">
        <w:t>&amp;</w:t>
      </w:r>
      <w:r w:rsidRPr="008608AA">
        <w:t xml:space="preserve"> WWF, 2003). In Venezuela, the economic value of the reduced sedimentation from a national protected area system is estimated at approximately $3.5 million annually (in terms of reduced farmer income) (Pabon-Zamora et al., 2008). However, if not designed and implemented carefully, such benefits may come at the cost of displacement of local community uses of protected areas, such as when marine protected areas attract significant ecotourism revenues, but displace community-based fisher families with few alternative options for livelihoods (FAO, 2015).</w:t>
      </w:r>
    </w:p>
    <w:p w14:paraId="1B582DD4" w14:textId="604414D7" w:rsidR="00F44157" w:rsidRPr="008608AA" w:rsidRDefault="00333557" w:rsidP="004F0B12">
      <w:pPr>
        <w:spacing w:before="120" w:after="120"/>
      </w:pPr>
      <w:r w:rsidRPr="008608AA">
        <w:t>On the other hand, policies may result in incentives to use biodiversity and ecosystem services (nature and NCP) irresponsibly. For example in the energy sector, domestic subsidies of fuel prices promote overutilization of these resources, increases greenhouse gas emissions, and a negative contribution to climate change (IEA, 2015) accelerating climate change impacts on biodiversity and people (Bruckner et al., 2014). Alternative policies such as decarbonizing electric generation, applying carbon standards to power plants or eliminating subsidies for producing or consuming fossil fuels may have different consequences, including reducing air pollution</w:t>
      </w:r>
      <w:r w:rsidR="00E02546" w:rsidRPr="008608AA">
        <w:t xml:space="preserve"> </w:t>
      </w:r>
      <w:r w:rsidR="00E02546" w:rsidRPr="008608AA">
        <w:rPr>
          <w:color w:val="000000" w:themeColor="text1"/>
          <w:szCs w:val="20"/>
        </w:rPr>
        <w:t>(Schwanitz et al., 2014)</w:t>
      </w:r>
      <w:r w:rsidRPr="008608AA">
        <w:t xml:space="preserve"> and their associated benefits to human health (Buonocore et al., 2015; Driscoll et al., 2015); improving energy efficiency (IEA, 2015) and developing renewable energy sources (Bruckner et al., 2014). However, such alternatives must be considered fully, as hydroelectric power may require substantial modifications to natural watersheds, and mining the raw materials needed </w:t>
      </w:r>
      <w:r w:rsidR="00E02546" w:rsidRPr="008608AA">
        <w:t>for solar panels can have a</w:t>
      </w:r>
      <w:r w:rsidRPr="008608AA">
        <w:t xml:space="preserve"> large environmental footprint (Bruckner et al., 2014</w:t>
      </w:r>
      <w:r w:rsidR="00E02546" w:rsidRPr="008608AA">
        <w:rPr>
          <w:color w:val="000000" w:themeColor="text1"/>
          <w:szCs w:val="20"/>
        </w:rPr>
        <w:t xml:space="preserve">; Nugent </w:t>
      </w:r>
      <w:r w:rsidR="00D179FD" w:rsidRPr="008608AA">
        <w:t>&amp;</w:t>
      </w:r>
      <w:r w:rsidR="00E02546" w:rsidRPr="008608AA">
        <w:rPr>
          <w:color w:val="000000" w:themeColor="text1"/>
          <w:szCs w:val="20"/>
        </w:rPr>
        <w:t xml:space="preserve"> Sovacool, 2014</w:t>
      </w:r>
      <w:r w:rsidRPr="008608AA">
        <w:t>). These complexities in developing responsible policies for conservation and sustainable use of nature and NCP highlight the importance of the</w:t>
      </w:r>
      <w:r w:rsidR="00041D4B" w:rsidRPr="008608AA">
        <w:t xml:space="preserve"> efforts of the IPBES Regional A</w:t>
      </w:r>
      <w:r w:rsidRPr="008608AA">
        <w:t xml:space="preserve">ssessments to consider the multiple knowledge systems and the values of diverse worldviews, and to use scenarios and models effectively. </w:t>
      </w:r>
    </w:p>
    <w:p w14:paraId="20E2F04A" w14:textId="77777777" w:rsidR="00F44157" w:rsidRPr="008608AA" w:rsidRDefault="00333557" w:rsidP="004F0B12">
      <w:pPr>
        <w:spacing w:before="120" w:after="120"/>
      </w:pPr>
      <w:r w:rsidRPr="008608AA">
        <w:t xml:space="preserve">Regional differences also influence in the way some policies affect value given to ecosystems, for example to protected areas and their relation to ecotourism. Policies addressing ecotourism could emphasise the substantial economic benefits from recreational use associated with ecotourism in conserved areas or give more weight to protective approaches to biodiversity conservation and restrict ecotourism stringently.   </w:t>
      </w:r>
    </w:p>
    <w:p w14:paraId="3D290B4B" w14:textId="6C1B2510" w:rsidR="00F44157" w:rsidRPr="008608AA" w:rsidRDefault="00333557" w:rsidP="004F0B12">
      <w:pPr>
        <w:spacing w:before="120" w:after="120"/>
      </w:pPr>
      <w:r w:rsidRPr="008608AA">
        <w:t>Similarly, policies and values for food production systems can either promote genetically modified crops grown with highly industrialized production systems, or favour production systems using traditional varieties of plants involving rich local and indigenous knowledge applied to the cultivation of such plants under particular environmental settings (Jacobsen et al., 2013; Bazile</w:t>
      </w:r>
      <w:r w:rsidR="00BB5765" w:rsidRPr="008608AA">
        <w:t xml:space="preserve"> et al.</w:t>
      </w:r>
      <w:r w:rsidRPr="008608AA">
        <w:t>, 2016; CIP, 2017).</w:t>
      </w:r>
    </w:p>
    <w:p w14:paraId="6AA30FDD" w14:textId="03FBF36C" w:rsidR="00F44157" w:rsidRPr="008608AA" w:rsidRDefault="00333557" w:rsidP="004F0B12">
      <w:pPr>
        <w:spacing w:before="120" w:after="120"/>
      </w:pPr>
      <w:r w:rsidRPr="008608AA">
        <w:t xml:space="preserve">Current dialogue on NCP emphasizes the importance of their relationships with livelihoods and human well-being (Raudsepp-Hearne et al., 2010; Haines-Young </w:t>
      </w:r>
      <w:r w:rsidR="00D179FD" w:rsidRPr="008608AA">
        <w:t>&amp;</w:t>
      </w:r>
      <w:r w:rsidRPr="008608AA">
        <w:t xml:space="preserve"> Potschin, 2012), interactions among multiple services (Kremen, 2005; Bennett et al., 2009; Rodríguez Osuna et al., </w:t>
      </w:r>
      <w:r w:rsidR="00357F7A" w:rsidRPr="008608AA">
        <w:t>2018</w:t>
      </w:r>
      <w:r w:rsidRPr="008608AA">
        <w:t>), how bundles of NCP can help us understand co-benefits and trade-offs (Raudsepp-Hearne et al., 2010), and that some contributions accrue to private beneficiaries in contrasted with broader public goods (Garbach et al., 2014, 2016). Policies and programmes that are able to adopt bundling approaches to NCP, where multiple benefits and trade-offs are measured and assured (e.g. water and food security, climate change adaptation as well as social and cultural benefits) provide opportunities towards the achievement of sustainable development and biodiversity goals.</w:t>
      </w:r>
    </w:p>
    <w:p w14:paraId="2D7ABC40" w14:textId="77777777" w:rsidR="004F0B12" w:rsidRPr="008608AA" w:rsidRDefault="004F0B12" w:rsidP="004F0B12">
      <w:pPr>
        <w:spacing w:before="120" w:after="120"/>
      </w:pPr>
    </w:p>
    <w:p w14:paraId="0CA48667" w14:textId="77777777" w:rsidR="00F44157" w:rsidRPr="008608AA" w:rsidRDefault="00333557" w:rsidP="004F0B12">
      <w:pPr>
        <w:pStyle w:val="Heading2"/>
      </w:pPr>
      <w:bookmarkStart w:id="370" w:name="_Toc502908183"/>
      <w:bookmarkStart w:id="371" w:name="_Toc502927267"/>
      <w:bookmarkStart w:id="372" w:name="_Toc502951109"/>
      <w:bookmarkStart w:id="373" w:name="_Toc502953552"/>
      <w:bookmarkStart w:id="374" w:name="_Toc502954845"/>
      <w:bookmarkStart w:id="375" w:name="_Toc502957652"/>
      <w:bookmarkStart w:id="376" w:name="_Toc502958005"/>
      <w:bookmarkStart w:id="377" w:name="_Toc503293649"/>
      <w:bookmarkStart w:id="378" w:name="_Toc503293911"/>
      <w:bookmarkStart w:id="379" w:name="_Toc503863304"/>
      <w:bookmarkStart w:id="380" w:name="_Toc503863532"/>
      <w:bookmarkStart w:id="381" w:name="_Toc517391831"/>
      <w:bookmarkStart w:id="382" w:name="_Toc517393220"/>
      <w:bookmarkStart w:id="383" w:name="_Toc517718961"/>
      <w:bookmarkStart w:id="384" w:name="_Toc517796918"/>
      <w:r w:rsidRPr="008608AA">
        <w:t>Nature and economies of the Americas</w:t>
      </w:r>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p>
    <w:p w14:paraId="1EC4CD39" w14:textId="23C090AB" w:rsidR="00F44157" w:rsidRPr="008608AA" w:rsidRDefault="00333557" w:rsidP="00D971AF">
      <w:pPr>
        <w:pStyle w:val="Heading3"/>
      </w:pPr>
      <w:bookmarkStart w:id="385" w:name="_Toc502908184"/>
      <w:bookmarkStart w:id="386" w:name="_Toc502927268"/>
      <w:bookmarkStart w:id="387" w:name="_Toc502951110"/>
      <w:bookmarkStart w:id="388" w:name="_Toc502953553"/>
      <w:bookmarkStart w:id="389" w:name="_Toc502954846"/>
      <w:bookmarkStart w:id="390" w:name="_Toc502957653"/>
      <w:bookmarkStart w:id="391" w:name="_Toc502958006"/>
      <w:bookmarkStart w:id="392" w:name="_Toc503293650"/>
      <w:bookmarkStart w:id="393" w:name="_Toc503293912"/>
      <w:bookmarkStart w:id="394" w:name="_Toc503863305"/>
      <w:bookmarkStart w:id="395" w:name="_Toc503863533"/>
      <w:bookmarkStart w:id="396" w:name="_Toc517391832"/>
      <w:bookmarkStart w:id="397" w:name="_Toc517393221"/>
      <w:bookmarkStart w:id="398" w:name="_Toc517718962"/>
      <w:bookmarkStart w:id="399" w:name="_Toc517796919"/>
      <w:r w:rsidRPr="008608AA">
        <w:t>Biophysical aspects</w:t>
      </w:r>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p>
    <w:p w14:paraId="7F01D932" w14:textId="3E4E20C3" w:rsidR="00F44157" w:rsidRDefault="00333557" w:rsidP="004F0B12">
      <w:r w:rsidRPr="008608AA">
        <w:t xml:space="preserve">The Americas encompass a large diversity of ecosystems, including wide extensions of deserts, grasslands, savannas and forests, in different climatic conditions (polar, temperate, mediterranean, arid, subtropical, tropical) and topographic situations (plains, plateau, mountains). The combination of all those settings along the Neotropic and Neartic biogeographical realms covers all the 14 terrestrial biomes defined by Olson et al., (2001), as well as all the freshwater and marine biomes defined in the Marine Ecosystems of the World and Global Open Ocean Deep Sea classifications (Spalding et al., 2007; Rice et al., 2011). The region includes also 55 of the 195 terrestrial and freshwater ecoregions considered globally as having exceptional biodiversity, i.e. with highly distinctive or irreplaceable species composition (Olson </w:t>
      </w:r>
      <w:r w:rsidR="0050374D" w:rsidRPr="008608AA">
        <w:t>&amp;</w:t>
      </w:r>
      <w:r w:rsidRPr="008608AA">
        <w:t xml:space="preserve"> Dinerstein, 2002), including the largest rainforest and largest river in the world situated in the Amazonian region. Similarly, the Caribbean is considered a hotspot for marine biodiversity, as are reefs and bays of Mesoamerica (WOA, 2016).</w:t>
      </w:r>
    </w:p>
    <w:p w14:paraId="564B9F32" w14:textId="77777777" w:rsidR="00800CE7" w:rsidRPr="008608AA" w:rsidRDefault="00800CE7" w:rsidP="004F0B12"/>
    <w:p w14:paraId="04F65D09" w14:textId="631F42CD" w:rsidR="00F44157" w:rsidRPr="00800CE7" w:rsidRDefault="00333557" w:rsidP="00800CE7">
      <w:pPr>
        <w:pStyle w:val="Heading4"/>
        <w:numPr>
          <w:ilvl w:val="0"/>
          <w:numId w:val="0"/>
        </w:numPr>
        <w:spacing w:before="120" w:after="120" w:line="240" w:lineRule="auto"/>
      </w:pPr>
      <w:bookmarkStart w:id="400" w:name="_2grqrue" w:colFirst="0" w:colLast="0"/>
      <w:bookmarkStart w:id="401" w:name="_Toc502927269"/>
      <w:bookmarkStart w:id="402" w:name="_Toc517393222"/>
      <w:bookmarkStart w:id="403" w:name="_Toc517718963"/>
      <w:bookmarkStart w:id="404" w:name="_Toc517796920"/>
      <w:bookmarkEnd w:id="400"/>
      <w:r w:rsidRPr="00800CE7">
        <w:t>The Intergovernmental Platform on Biodiversity and Ecosystem Services unit of analysis and subregions of the Americas</w:t>
      </w:r>
      <w:bookmarkEnd w:id="401"/>
      <w:bookmarkEnd w:id="402"/>
      <w:bookmarkEnd w:id="403"/>
      <w:bookmarkEnd w:id="404"/>
    </w:p>
    <w:p w14:paraId="4152A3FD" w14:textId="77777777" w:rsidR="00800CE7" w:rsidRPr="00800CE7" w:rsidRDefault="00800CE7" w:rsidP="00800CE7">
      <w:pPr>
        <w:rPr>
          <w:lang w:val="en-GB" w:eastAsia="es-CO"/>
        </w:rPr>
      </w:pPr>
    </w:p>
    <w:p w14:paraId="140D9465" w14:textId="77777777" w:rsidR="00DF7063" w:rsidRPr="008608AA" w:rsidRDefault="00333557" w:rsidP="00104CE3">
      <w:r w:rsidRPr="008608AA">
        <w:t xml:space="preserve">The subdivision of the Earth’s surface into units for the purposes of analysis is notoriously controversial and there is no single agreed-upon system that IPBES can adopt as its standard. </w:t>
      </w:r>
      <w:r w:rsidR="00DF7063" w:rsidRPr="008608AA">
        <w:t xml:space="preserve">The Intergovernmental Science-Policy Platform on Biodiversity and Ecosystem Services </w:t>
      </w:r>
      <w:r w:rsidRPr="008608AA">
        <w:t>has consulted widely to arrive at the classification below. This system serves as a framework for comparisons within and among assessments and represents a pragmatic solution, which may be adapted and evolve as the work of IPBES develops. These units are called “IPBES terrestrial and aquatic units of analysis” (Figure 1.7), rather than alternatives such as “biomes” or “ecoregions”, both because they do not map exactly onto such ecological classifications, and among different disciplines there is rarely consensus on the geographic boundaries when applying such classification systems. These units of analysis serve the purposes of IPBES, and are not intended to be prescriptive for other purposes; nor are the labels of individual units to be taken as synonymous with “biomes” from any single classification system. Note also that the word “aquatic” is here used to include both marine and freshwater systems.</w:t>
      </w:r>
    </w:p>
    <w:p w14:paraId="7A5BDE22" w14:textId="68029FAC" w:rsidR="00F44157" w:rsidRPr="008608AA" w:rsidRDefault="00333557" w:rsidP="00104CE3">
      <w:r w:rsidRPr="008608AA">
        <w:t xml:space="preserve"> </w:t>
      </w:r>
    </w:p>
    <w:p w14:paraId="3165C393" w14:textId="77777777" w:rsidR="00F44157" w:rsidRPr="008608AA" w:rsidRDefault="00333557" w:rsidP="00104CE3">
      <w:r w:rsidRPr="008608AA">
        <w:t>Ecological units of analysis are represented in different socio-economic and governance contexts with different administrative boundaries. For this reason, IPBES has also decided to use a classification of the Americas in four subregions considering their focus on science-policy interface (Figure 1.8).</w:t>
      </w:r>
    </w:p>
    <w:p w14:paraId="154AAB2E" w14:textId="77777777" w:rsidR="00104CE3" w:rsidRPr="008608AA" w:rsidRDefault="00104CE3" w:rsidP="00104CE3"/>
    <w:p w14:paraId="6C95BE14" w14:textId="77777777" w:rsidR="00104CE3" w:rsidRPr="008608AA" w:rsidRDefault="00104CE3" w:rsidP="00104CE3"/>
    <w:p w14:paraId="5564C0F0" w14:textId="13AC2F07" w:rsidR="00104CE3" w:rsidRPr="008608AA" w:rsidRDefault="00B3307F" w:rsidP="00104CE3">
      <w:r w:rsidRPr="008608AA">
        <w:rPr>
          <w:noProof/>
          <w:lang w:val="en-GB" w:eastAsia="en-GB"/>
        </w:rPr>
        <w:drawing>
          <wp:inline distT="0" distB="0" distL="0" distR="0" wp14:anchorId="6AAC0DBA" wp14:editId="2F0FE5C7">
            <wp:extent cx="5934075" cy="3686175"/>
            <wp:effectExtent l="0" t="0" r="9525" b="9525"/>
            <wp:docPr id="7" name="Imagen 7" descr="C:\Users\Alejandro Valderrama\Downloads\Fi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Alejandro Valderrama\Downloads\Fig1.7.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56904"/>
                    <a:stretch/>
                  </pic:blipFill>
                  <pic:spPr bwMode="auto">
                    <a:xfrm>
                      <a:off x="0" y="0"/>
                      <a:ext cx="5934075" cy="3686175"/>
                    </a:xfrm>
                    <a:prstGeom prst="rect">
                      <a:avLst/>
                    </a:prstGeom>
                    <a:noFill/>
                    <a:ln>
                      <a:noFill/>
                    </a:ln>
                    <a:extLst>
                      <a:ext uri="{53640926-AAD7-44D8-BBD7-CCE9431645EC}">
                        <a14:shadowObscured xmlns:a14="http://schemas.microsoft.com/office/drawing/2010/main"/>
                      </a:ext>
                    </a:extLst>
                  </pic:spPr>
                </pic:pic>
              </a:graphicData>
            </a:graphic>
          </wp:inline>
        </w:drawing>
      </w:r>
    </w:p>
    <w:p w14:paraId="280CB6BF" w14:textId="78C5DC56" w:rsidR="0082777B" w:rsidRPr="008608AA" w:rsidRDefault="0082777B" w:rsidP="00D971AF">
      <w:pPr>
        <w:jc w:val="center"/>
      </w:pPr>
    </w:p>
    <w:p w14:paraId="71B80B5F" w14:textId="14892748" w:rsidR="00104CE3" w:rsidRPr="008608AA" w:rsidRDefault="00B3307F" w:rsidP="00D971AF">
      <w:pPr>
        <w:jc w:val="center"/>
      </w:pPr>
      <w:r w:rsidRPr="008608AA">
        <w:rPr>
          <w:noProof/>
          <w:lang w:val="en-GB" w:eastAsia="en-GB"/>
        </w:rPr>
        <w:drawing>
          <wp:inline distT="0" distB="0" distL="0" distR="0" wp14:anchorId="22834E9D" wp14:editId="4FCBC83A">
            <wp:extent cx="5934075" cy="4581525"/>
            <wp:effectExtent l="0" t="0" r="9525" b="9525"/>
            <wp:docPr id="8" name="Imagen 8" descr="C:\Users\Alejandro Valderrama\Downloads\Fig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Alejandro Valderrama\Downloads\Fig1.8.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46436"/>
                    <a:stretch/>
                  </pic:blipFill>
                  <pic:spPr bwMode="auto">
                    <a:xfrm>
                      <a:off x="0" y="0"/>
                      <a:ext cx="5934075" cy="4581525"/>
                    </a:xfrm>
                    <a:prstGeom prst="rect">
                      <a:avLst/>
                    </a:prstGeom>
                    <a:noFill/>
                    <a:ln>
                      <a:noFill/>
                    </a:ln>
                    <a:extLst>
                      <a:ext uri="{53640926-AAD7-44D8-BBD7-CCE9431645EC}">
                        <a14:shadowObscured xmlns:a14="http://schemas.microsoft.com/office/drawing/2010/main"/>
                      </a:ext>
                    </a:extLst>
                  </pic:spPr>
                </pic:pic>
              </a:graphicData>
            </a:graphic>
          </wp:inline>
        </w:drawing>
      </w:r>
    </w:p>
    <w:p w14:paraId="5BBD426F" w14:textId="77777777" w:rsidR="00104CE3" w:rsidRPr="008608AA" w:rsidRDefault="00104CE3" w:rsidP="00D971AF">
      <w:pPr>
        <w:jc w:val="center"/>
      </w:pPr>
    </w:p>
    <w:p w14:paraId="29563F05" w14:textId="31DA8728" w:rsidR="00D971AF" w:rsidRPr="008608AA" w:rsidRDefault="00D971AF" w:rsidP="00D971AF">
      <w:pPr>
        <w:jc w:val="center"/>
      </w:pPr>
    </w:p>
    <w:p w14:paraId="3A98B5BE" w14:textId="77777777" w:rsidR="00F44157" w:rsidRPr="008608AA" w:rsidRDefault="00333557" w:rsidP="00104CE3">
      <w:pPr>
        <w:pStyle w:val="Heading4"/>
        <w:numPr>
          <w:ilvl w:val="0"/>
          <w:numId w:val="0"/>
        </w:numPr>
        <w:spacing w:before="120" w:after="120" w:line="240" w:lineRule="auto"/>
      </w:pPr>
      <w:bookmarkStart w:id="405" w:name="_Toc502927270"/>
      <w:bookmarkStart w:id="406" w:name="_Toc517393223"/>
      <w:bookmarkStart w:id="407" w:name="_Toc517718964"/>
      <w:bookmarkStart w:id="408" w:name="_Toc517796921"/>
      <w:r w:rsidRPr="008608AA">
        <w:t>North America</w:t>
      </w:r>
      <w:bookmarkEnd w:id="405"/>
      <w:bookmarkEnd w:id="406"/>
      <w:bookmarkEnd w:id="407"/>
      <w:bookmarkEnd w:id="408"/>
      <w:r w:rsidRPr="008608AA">
        <w:t xml:space="preserve"> </w:t>
      </w:r>
    </w:p>
    <w:p w14:paraId="0F8100C2" w14:textId="4CB14C0C" w:rsidR="00F44157" w:rsidRPr="008608AA" w:rsidRDefault="00333557" w:rsidP="00104CE3">
      <w:pPr>
        <w:spacing w:before="120" w:after="120"/>
      </w:pPr>
      <w:r w:rsidRPr="008608AA">
        <w:t>North America is the largest subregion of the Americas, at just over 23.5 million km</w:t>
      </w:r>
      <w:r w:rsidRPr="008608AA">
        <w:rPr>
          <w:vertAlign w:val="superscript"/>
        </w:rPr>
        <w:t>2</w:t>
      </w:r>
      <w:r w:rsidRPr="008608AA">
        <w:t>. At the time of European settlement starting in the 1500’s,</w:t>
      </w:r>
      <w:r w:rsidR="00DF7063" w:rsidRPr="008608AA">
        <w:t xml:space="preserve"> all major temperate and polar units of a</w:t>
      </w:r>
      <w:r w:rsidRPr="008608AA">
        <w:t>nalysis were extensive and intact. The eastern third of North America was dominated by temperate, primarily deciduous, forests covering all the coa</w:t>
      </w:r>
      <w:r w:rsidR="00DF7063" w:rsidRPr="008608AA">
        <w:t>stal lowlands, the Appalachian m</w:t>
      </w:r>
      <w:r w:rsidRPr="008608AA">
        <w:t>ountains (only of few of which extend above the treeline) and the eastern portion of the Mississippi River basin. Across the northern portion of treed lands, boreal forests constituted a band often nearly 1,000 km wide, extending from the Atlantic to the Rocky Mountains and Alaska. The central portion of North America comprised the Great Plains and related grasslands, covering nearly 1.3 million km</w:t>
      </w:r>
      <w:r w:rsidRPr="008608AA">
        <w:rPr>
          <w:vertAlign w:val="superscript"/>
        </w:rPr>
        <w:t xml:space="preserve">2 </w:t>
      </w:r>
      <w:r w:rsidRPr="008608AA">
        <w:t>of unbroken grassland. The western Rocky Mountains and Pacific Coastal Range along the Pacific seacoast, both extending from Mexico to Alaska, together covered over 1.5 million km</w:t>
      </w:r>
      <w:r w:rsidRPr="008608AA">
        <w:rPr>
          <w:vertAlign w:val="superscript"/>
        </w:rPr>
        <w:t>2</w:t>
      </w:r>
      <w:r w:rsidRPr="008608AA">
        <w:t xml:space="preserve">. In the </w:t>
      </w:r>
      <w:r w:rsidR="00DF7063" w:rsidRPr="008608AA">
        <w:t>USA</w:t>
      </w:r>
      <w:r w:rsidRPr="008608AA">
        <w:t xml:space="preserve"> southwest more than 0.75 million km</w:t>
      </w:r>
      <w:r w:rsidRPr="008608AA">
        <w:rPr>
          <w:vertAlign w:val="superscript"/>
        </w:rPr>
        <w:t>2</w:t>
      </w:r>
      <w:r w:rsidRPr="008608AA">
        <w:t xml:space="preserve"> were drylands and desert, whereas the world’s largest expanse of tundra was found across the entire northerly continental land mass and Arctic Archipelago of Canada and Greenland (including the ice sheet and glaciers), at nearly 3.5 million km</w:t>
      </w:r>
      <w:r w:rsidRPr="008608AA">
        <w:rPr>
          <w:vertAlign w:val="superscript"/>
        </w:rPr>
        <w:t>2</w:t>
      </w:r>
      <w:r w:rsidRPr="008608AA">
        <w:t xml:space="preserve">.   </w:t>
      </w:r>
    </w:p>
    <w:p w14:paraId="6306D7EF" w14:textId="13488363" w:rsidR="00F44157" w:rsidRPr="008608AA" w:rsidRDefault="00333557" w:rsidP="00104CE3">
      <w:pPr>
        <w:spacing w:before="120" w:after="120"/>
      </w:pPr>
      <w:r w:rsidRPr="008608AA">
        <w:t>Several major river systems, and many smaller ones, drain North America, emptying i</w:t>
      </w:r>
      <w:r w:rsidR="00DF7063" w:rsidRPr="008608AA">
        <w:t>nto the three bordering oceans.</w:t>
      </w:r>
      <w:r w:rsidRPr="008608AA">
        <w:t xml:space="preserve"> The largest is the Mississippi-Missouri drainage flowing southward through the center of North America to the Gulf of Mexico. With a drainage area of over 3 million km</w:t>
      </w:r>
      <w:r w:rsidRPr="008608AA">
        <w:rPr>
          <w:vertAlign w:val="superscript"/>
        </w:rPr>
        <w:t>2</w:t>
      </w:r>
      <w:r w:rsidRPr="008608AA">
        <w:t xml:space="preserve"> it is the fourth largest drainage basin in the world. Also flowing southward but into the Gulf of California and draining much of the desert southwest is the Colorado River basin</w:t>
      </w:r>
      <w:r w:rsidR="00981CF6" w:rsidRPr="008608AA">
        <w:t>.</w:t>
      </w:r>
      <w:r w:rsidRPr="008608AA">
        <w:t xml:space="preserve"> The Great Lakes, the largest freshwater lacustrine system in the world, are part of the easterly flowing St Lawrence River drainage, emptying through the Gulf of St Lawrence into the Atlantic. The major rivers flowing northward into the Arctic Ocean are the Mackenzie and the Yukon, whereas the largest river drainage emptying directly into Pacific Ocean is the Columbia. Aside from the Mackenzie and Yukon, all these river systems have been extensively altered for navigation, hydropower generation, flood control, municipal water supply, and irrigation.</w:t>
      </w:r>
    </w:p>
    <w:p w14:paraId="5888A0E4" w14:textId="0C913801" w:rsidR="00104CE3" w:rsidRPr="008608AA" w:rsidRDefault="00333557" w:rsidP="00104CE3">
      <w:pPr>
        <w:spacing w:before="120" w:after="120"/>
      </w:pPr>
      <w:r w:rsidRPr="008608AA">
        <w:t>With the expansion of settlement by non-indigenous immigrants and their descendants, most of these biomes were extensively altered through land transformation and development of urban areas and linking infrastructure. With the changes in landforms, many iconic species, such as the American Bison and Pacific salmon have declined or, in the case of the once abundant Passenger Pigeon, become extinct. The Indigenous Peoples inhabiting these biomes were also decimated by conquest, disease, and intentional displacement from traditional lands, although the precise numbers are contested among experts, and their traditional livelihoods, closely attuned to nature and sustainable use of NCP, typically rendered impossible to pursue.</w:t>
      </w:r>
    </w:p>
    <w:p w14:paraId="6D5A6335" w14:textId="77777777" w:rsidR="00F44157" w:rsidRPr="008608AA" w:rsidRDefault="00333557" w:rsidP="00104CE3">
      <w:pPr>
        <w:pStyle w:val="Heading4"/>
        <w:numPr>
          <w:ilvl w:val="0"/>
          <w:numId w:val="0"/>
        </w:numPr>
        <w:spacing w:before="120" w:after="120" w:line="240" w:lineRule="auto"/>
      </w:pPr>
      <w:bookmarkStart w:id="409" w:name="_Toc502927271"/>
      <w:bookmarkStart w:id="410" w:name="_Toc517393224"/>
      <w:bookmarkStart w:id="411" w:name="_Toc517718965"/>
      <w:bookmarkStart w:id="412" w:name="_Toc517796922"/>
      <w:r w:rsidRPr="008608AA">
        <w:t>Mesoamerica</w:t>
      </w:r>
      <w:bookmarkEnd w:id="409"/>
      <w:bookmarkEnd w:id="410"/>
      <w:bookmarkEnd w:id="411"/>
      <w:bookmarkEnd w:id="412"/>
      <w:r w:rsidRPr="008608AA">
        <w:t xml:space="preserve"> </w:t>
      </w:r>
    </w:p>
    <w:p w14:paraId="3F9CEA08" w14:textId="4208E280" w:rsidR="00F44157" w:rsidRPr="008608AA" w:rsidRDefault="00333557" w:rsidP="00104CE3">
      <w:pPr>
        <w:spacing w:before="120" w:after="120"/>
      </w:pPr>
      <w:r w:rsidRPr="008608AA">
        <w:t>The Mesoamerican subregion is considered a priority ecoregion due to the high concentration of small-ranged vertebrates (Jenkins et al., 2013) and a biodiversity hotspot due to the high concentration of endemics species and large loss of habitat (Myers et al., 2000). This region connects species movement among south and north land masses resulting in high species diversity (DeClerck et al., 2010). Its particular long and narrow shaped area is divided by a mountain range creating diverse environmental conditions (Olson et al., 2001; DeClerck et al., 2010) with montane biomes extending along the entire south-north axis of Mesoamerica. Mangroves and coral reefs occur in patches along both Atlantic and Pacific coasts, although more extensively on the Atlantic. Reflecting the narrow width and central mountains of Mesoamerica, rivers are generally a most a few hundred km (Grijalva river), aside from the larger Rio Grande drainage on the northern boundary of the subregion (Lehner</w:t>
      </w:r>
      <w:r w:rsidR="0050374D" w:rsidRPr="008608AA">
        <w:t xml:space="preserve"> et al.,</w:t>
      </w:r>
      <w:r w:rsidRPr="008608AA">
        <w:t xml:space="preserve"> 2006).</w:t>
      </w:r>
    </w:p>
    <w:p w14:paraId="01CAFF77" w14:textId="77777777" w:rsidR="00F44157" w:rsidRPr="008608AA" w:rsidRDefault="00333557" w:rsidP="00104CE3">
      <w:pPr>
        <w:spacing w:before="120" w:after="120"/>
      </w:pPr>
      <w:r w:rsidRPr="008608AA">
        <w:t xml:space="preserve">Ten per cent of the territory is under some form of protection (WDPA, 2017) where the 1) mediterranean forests, woodlands, and scrub, 2) tropical and subtropical dry broadleaf forests and tropical and 3) subtropical moist broadleaf forests are the least protected biomes. </w:t>
      </w:r>
    </w:p>
    <w:p w14:paraId="63B72170" w14:textId="77777777" w:rsidR="00F44157" w:rsidRPr="008608AA" w:rsidRDefault="00333557" w:rsidP="00104CE3">
      <w:pPr>
        <w:spacing w:before="120" w:after="120"/>
      </w:pPr>
      <w:r w:rsidRPr="008608AA">
        <w:t>The Mesoamerican subregion holds a very high level of endemism of 44.4%. Of these, over 40% are threatened. In total, 84.7% of all the subregion’s threatened species are endemic. Particularly well-known subregional endemics include the Old Man Cactus (Ce</w:t>
      </w:r>
      <w:r w:rsidRPr="008608AA">
        <w:rPr>
          <w:i/>
        </w:rPr>
        <w:t>phalocereus senilis</w:t>
      </w:r>
      <w:r w:rsidRPr="008608AA">
        <w:t>) and the Axolotl (</w:t>
      </w:r>
      <w:r w:rsidRPr="008608AA">
        <w:rPr>
          <w:i/>
        </w:rPr>
        <w:t>Ambystoma mexicanum</w:t>
      </w:r>
      <w:r w:rsidRPr="008608AA">
        <w:t xml:space="preserve">). </w:t>
      </w:r>
    </w:p>
    <w:p w14:paraId="038AC226" w14:textId="77777777" w:rsidR="00F44157" w:rsidRPr="008608AA" w:rsidRDefault="00333557" w:rsidP="00104CE3">
      <w:pPr>
        <w:pStyle w:val="Heading4"/>
        <w:numPr>
          <w:ilvl w:val="0"/>
          <w:numId w:val="0"/>
        </w:numPr>
        <w:spacing w:before="120" w:after="120" w:line="240" w:lineRule="auto"/>
      </w:pPr>
      <w:bookmarkStart w:id="413" w:name="_Toc502927272"/>
      <w:bookmarkStart w:id="414" w:name="_Toc517393225"/>
      <w:bookmarkStart w:id="415" w:name="_Toc517718966"/>
      <w:bookmarkStart w:id="416" w:name="_Toc517796923"/>
      <w:r w:rsidRPr="008608AA">
        <w:t>Caribbean</w:t>
      </w:r>
      <w:bookmarkEnd w:id="413"/>
      <w:bookmarkEnd w:id="414"/>
      <w:bookmarkEnd w:id="415"/>
      <w:bookmarkEnd w:id="416"/>
    </w:p>
    <w:p w14:paraId="7D46EAF7" w14:textId="77777777" w:rsidR="00F44157" w:rsidRPr="008608AA" w:rsidRDefault="00333557" w:rsidP="00104CE3">
      <w:pPr>
        <w:spacing w:before="120" w:after="120"/>
      </w:pPr>
      <w:r w:rsidRPr="008608AA">
        <w:t xml:space="preserve">The Caribbean Region comprises twenty-eight island nations which themselves are composed of over seven thousand islands and cays. As Small Island Developing States, these predominantly coastal areas are under risks from extreme geophysical events by virtue of their geographic locations within the tropics. They are susceptible to the hazards of hurricanes, earthquakes, volcanic eruptions and tsunamis (Granger, 1997). The islands are characterized into five (geophysical) categories: volcanic islands of recent formation; old complex volcanic islands; volcanic islands with lagoons and barrier reefs; atolls and raised atolls; and successive sedimentary deposit islands. </w:t>
      </w:r>
    </w:p>
    <w:p w14:paraId="24B10AA8" w14:textId="2F7F9A87" w:rsidR="00F44157" w:rsidRPr="008608AA" w:rsidRDefault="00333557" w:rsidP="00104CE3">
      <w:pPr>
        <w:spacing w:before="120" w:after="120"/>
      </w:pPr>
      <w:r w:rsidRPr="008608AA">
        <w:t xml:space="preserve">The steep topography seen on these islands supports a variety forest types in small areas (Lugo et al., 1981). These forests range from mangrove forests dominated by 1-4 mangrove species, to tropical rain forests comprising two thousand species of flowering plants (Beard et al., 1944). The Dry Forests in Puerto Rico, USA Virgin Islands and </w:t>
      </w:r>
      <w:r w:rsidR="00DF7063" w:rsidRPr="008608AA">
        <w:t xml:space="preserve">The </w:t>
      </w:r>
      <w:r w:rsidRPr="008608AA">
        <w:t xml:space="preserve">Bahamas present a diverse and unique biome for the Caribbean Islands (Franklin et al., 2015). The Guanica forest in Puerto Rico comprises approximately four thousand hectares of dry forest (Lugo et al., 1995). As most of these dry forests are coastal, they are under increased risk of damage from hurricanes, storm surge and sea level rise. </w:t>
      </w:r>
    </w:p>
    <w:p w14:paraId="36F28B80" w14:textId="77777777" w:rsidR="00F44157" w:rsidRPr="008608AA" w:rsidRDefault="00333557" w:rsidP="00104CE3">
      <w:pPr>
        <w:spacing w:before="120" w:after="120"/>
      </w:pPr>
      <w:r w:rsidRPr="008608AA">
        <w:t xml:space="preserve">The coral reef ecosystems that surround most of the islands of the Caribbean support the major sectors of tourism and fishing. However, these reef areas are under significant threat from overfishing and direct results of human activities causing excess nutrients and sediments via pollution, deforestation, reef mining and dredging (Hughes, 1994; Perry et al., 2013). The architectural complexity has declined over the past forty years (Alvarez-Filip et al., 2009). </w:t>
      </w:r>
    </w:p>
    <w:p w14:paraId="11DE7762" w14:textId="77777777" w:rsidR="00F44157" w:rsidRPr="008608AA" w:rsidRDefault="00333557" w:rsidP="00104CE3">
      <w:pPr>
        <w:pStyle w:val="Heading4"/>
        <w:numPr>
          <w:ilvl w:val="0"/>
          <w:numId w:val="0"/>
        </w:numPr>
        <w:spacing w:before="120" w:after="120" w:line="240" w:lineRule="auto"/>
      </w:pPr>
      <w:bookmarkStart w:id="417" w:name="_Toc502927273"/>
      <w:bookmarkStart w:id="418" w:name="_Toc517393226"/>
      <w:bookmarkStart w:id="419" w:name="_Toc517718967"/>
      <w:bookmarkStart w:id="420" w:name="_Toc517796924"/>
      <w:r w:rsidRPr="008608AA">
        <w:t>South America</w:t>
      </w:r>
      <w:bookmarkEnd w:id="417"/>
      <w:bookmarkEnd w:id="418"/>
      <w:bookmarkEnd w:id="419"/>
      <w:bookmarkEnd w:id="420"/>
      <w:r w:rsidRPr="008608AA">
        <w:t xml:space="preserve"> </w:t>
      </w:r>
    </w:p>
    <w:p w14:paraId="1E96A1D3" w14:textId="77777777" w:rsidR="00F44157" w:rsidRPr="008608AA" w:rsidRDefault="00333557" w:rsidP="00104CE3">
      <w:pPr>
        <w:shd w:val="clear" w:color="auto" w:fill="FFFFFF"/>
        <w:spacing w:before="120" w:after="120"/>
      </w:pPr>
      <w:r w:rsidRPr="008608AA">
        <w:t>South America is the second largest subregion of the Americas, comprised of 12 States, covering 17.7 million km</w:t>
      </w:r>
      <w:r w:rsidRPr="008608AA">
        <w:rPr>
          <w:vertAlign w:val="superscript"/>
        </w:rPr>
        <w:t>2</w:t>
      </w:r>
      <w:r w:rsidRPr="008608AA">
        <w:t>. South America exhibits a diverse pattern of weather and climate due to its considerable north-south extension and prominent topography, including tropical, subtropical and extratropical features. The large scale phenomena like the El Niño Southern Oscillation, contribute to the high variability of the South American climate (i.e. interannual and interdecadal changes), and the sea surface temperature north-south gradient has a profound impact on the climate and weather of eastern South America (Garreaud et al., 2009).</w:t>
      </w:r>
    </w:p>
    <w:p w14:paraId="13CAF079" w14:textId="5B8DDBB2" w:rsidR="00F44157" w:rsidRPr="008608AA" w:rsidRDefault="00333557" w:rsidP="00104CE3">
      <w:pPr>
        <w:shd w:val="clear" w:color="auto" w:fill="FFFFFF"/>
        <w:spacing w:before="120" w:after="120"/>
        <w:rPr>
          <w:color w:val="262626"/>
        </w:rPr>
      </w:pPr>
      <w:r w:rsidRPr="008608AA">
        <w:t xml:space="preserve">South America is characterized by the presence of the Andes, the longest continental mountain range in the world (Campetella </w:t>
      </w:r>
      <w:r w:rsidR="004248D3" w:rsidRPr="008608AA">
        <w:t>&amp;</w:t>
      </w:r>
      <w:r w:rsidRPr="008608AA">
        <w:t xml:space="preserve"> Vera, 2002). The Andes cover more than 2,500,000 km² hosting a population of about 85 million (45% of total continental population), with the northern Andes as one of the most densely populated mountain regions in the world. At least a further 20 million people are also dependent on mountain resources and ecosystem services in the large cities along the Pacific coast of South America. The Andes is highly diverse in terms of landscape, biodiversity including agro-biodiversity, languages, peoples and cultures (FAO, 2012a). </w:t>
      </w:r>
    </w:p>
    <w:p w14:paraId="6B781D1C" w14:textId="77777777" w:rsidR="00F44157" w:rsidRPr="00636F57" w:rsidRDefault="00333557" w:rsidP="00104CE3">
      <w:pPr>
        <w:shd w:val="clear" w:color="auto" w:fill="FFFFFF"/>
        <w:spacing w:before="120" w:after="120"/>
      </w:pPr>
      <w:r w:rsidRPr="008608AA">
        <w:rPr>
          <w:color w:val="262626"/>
        </w:rPr>
        <w:t xml:space="preserve">Another particularity of the region is the extensive watershed of big rivers, like Amazon, Orinoco, Paraná, among de various long rivers of South America (Nilsson et al., 2005). The largest is the Amazon Basin, containing </w:t>
      </w:r>
      <w:r w:rsidRPr="008608AA">
        <w:t xml:space="preserve">forests that not only sustain the greatest biological diversity (Amazon is home to one out of every five mammal, fish, bird and tree species in the world); but the homes to indigenous peoples. At regional and global scales, </w:t>
      </w:r>
      <w:r w:rsidRPr="00636F57">
        <w:t>tropical forests also have a major influence on carbon storage and climate, so they are also vital for regional climates (Laurence, 1999). The trees of the Amazon contain 90–140 billion tons of carbon, equivalent to approximately 9–14 decades of current global, annual, human-induced carbon emissions. Approximately, eight trillion tons of water evaporate from Amazon forests each year, with important influences on global atmospheric circulation (Nepstad et al., 2008).</w:t>
      </w:r>
    </w:p>
    <w:p w14:paraId="7A019C20" w14:textId="77777777" w:rsidR="00F44157" w:rsidRPr="00636F57" w:rsidRDefault="00333557" w:rsidP="00104CE3">
      <w:pPr>
        <w:shd w:val="clear" w:color="auto" w:fill="FFFFFF"/>
        <w:spacing w:before="120" w:after="120"/>
      </w:pPr>
      <w:r w:rsidRPr="00636F57">
        <w:t>Savannas are the most extensive biome in the tropics, and important spatial extensions in the subtropic, that has been shaped by a long history of interaction with humans, fire, climate and wildlife. The impacts on savanna composition, distribution and function based on increasing human population growth, climate change, atmospheric change and resource use impact, bring multidimentional challenges, within the political realms, land tenures and economic shifts, what in fact requires effective long-term management strategies and thus ensure a sustainable future for savanna ecosystems (Marchant, 2010).</w:t>
      </w:r>
    </w:p>
    <w:p w14:paraId="2ACF79A1" w14:textId="77777777" w:rsidR="00F44157" w:rsidRPr="008608AA" w:rsidRDefault="00333557" w:rsidP="00104CE3">
      <w:pPr>
        <w:shd w:val="clear" w:color="auto" w:fill="FFFFFF"/>
        <w:spacing w:before="120" w:after="120"/>
      </w:pPr>
      <w:r w:rsidRPr="00636F57">
        <w:t xml:space="preserve">The neotropical Atlantic Forest supports one of the highest degrees of species richness and rates of endemism on the planet, but has also undergone a huge forest loss, for </w:t>
      </w:r>
      <w:r w:rsidRPr="008608AA">
        <w:t xml:space="preserve">example the Brazilian Atlantic Forest is highly fragmented and with just 12–16% of the original forest cover left (Ribeiro et al., 2009). </w:t>
      </w:r>
    </w:p>
    <w:p w14:paraId="7479CEA8" w14:textId="77777777" w:rsidR="00F44157" w:rsidRPr="008608AA" w:rsidRDefault="00333557" w:rsidP="00104CE3">
      <w:pPr>
        <w:shd w:val="clear" w:color="auto" w:fill="FFFFFF"/>
        <w:spacing w:before="120" w:after="120"/>
      </w:pPr>
      <w:r w:rsidRPr="008608AA">
        <w:t>There are differences in state of knowledge of the marine biodiversity among the subregions, and even though incomplete in some areas, there are differences in total biodiversity among Atlantic and Pacific oceans at the same latitude. At north of the continent, the Tropical East Pacific is richer in species than the Tropical West Atlantic. In the south, the Humboldt Current system is much richer than the Patagonian Shelf. An analysis of endemism shows that 75% of the species are reported within only one of the South America regions, while about 22% of the species of South America are not reported elsewhere in the world (Miloslavich et al., 2011).</w:t>
      </w:r>
    </w:p>
    <w:p w14:paraId="7FF9F392" w14:textId="77777777" w:rsidR="00F44157" w:rsidRPr="008608AA" w:rsidRDefault="00333557" w:rsidP="00104CE3">
      <w:pPr>
        <w:pStyle w:val="Heading4"/>
        <w:numPr>
          <w:ilvl w:val="0"/>
          <w:numId w:val="0"/>
        </w:numPr>
        <w:spacing w:line="240" w:lineRule="auto"/>
      </w:pPr>
      <w:bookmarkStart w:id="421" w:name="_Toc502927274"/>
      <w:bookmarkStart w:id="422" w:name="_Toc517393227"/>
      <w:bookmarkStart w:id="423" w:name="_Toc517718968"/>
      <w:bookmarkStart w:id="424" w:name="_Toc517796925"/>
      <w:r w:rsidRPr="008608AA">
        <w:t>Historical note and biomes transformation in the Americas</w:t>
      </w:r>
      <w:bookmarkEnd w:id="421"/>
      <w:bookmarkEnd w:id="422"/>
      <w:bookmarkEnd w:id="423"/>
      <w:bookmarkEnd w:id="424"/>
      <w:r w:rsidRPr="008608AA">
        <w:t xml:space="preserve"> </w:t>
      </w:r>
    </w:p>
    <w:p w14:paraId="330221A6" w14:textId="77777777" w:rsidR="00F44157" w:rsidRPr="008608AA" w:rsidRDefault="00333557" w:rsidP="00104CE3">
      <w:r w:rsidRPr="008608AA">
        <w:t>The region is populated by a uniquely large proportion of new or descendants of immigrants from all parts of Europe, Asia and Africa, in addition to over 66.2 million indigenous peoples who have persisted culturally despite centuries of land expropriation and in some cases active persecution and genocide (Chapter 2). All subregions have had the representation of units of analysis extensively altered post 1500, when immigration from the Old World and subsequent expansion of European style “settlement” brought new cultures and more advanced technologies and to the Americas. These contrasts may be particularly informative for development of effective policies, by shedding light on how socio-economic factors affect conservation policies and measures, and how economic and social policies perform in different biotic settings.</w:t>
      </w:r>
    </w:p>
    <w:p w14:paraId="73D1AFA6" w14:textId="77777777" w:rsidR="00F44157" w:rsidRPr="008608AA" w:rsidRDefault="00333557" w:rsidP="00104CE3">
      <w:pPr>
        <w:spacing w:before="120"/>
      </w:pPr>
      <w:r w:rsidRPr="008608AA">
        <w:t xml:space="preserve">The Americas have experienced extensive change in biomes, with notable expansion of croplands in the last three centuries (Figure 1.9). The origin of crops, and their precursors, and current growing location of crops go hand in hand. The ‘centers of origin’ of crops are a theme of considerable debate (Beddow et al., 2010). However, there is little doubt that the process of domestication and geographical dispersal are part of the broader history of human-induced spatial movement of plants and animals. Candolle (1884) observed that ancient plant propagation in the Mediterranean by the Egyptians and Phoenicians enabled subsequent migrants to carry West Asian genetic material to Europe at least 4,000 years ago; there is well-established Chinese cultivation of rice, sweet potatoes, wheat and millets as early as 2,700 BC. </w:t>
      </w:r>
    </w:p>
    <w:p w14:paraId="4E4C650C" w14:textId="2EA3EF04" w:rsidR="00F44157" w:rsidRPr="008608AA" w:rsidRDefault="00333557" w:rsidP="00104CE3">
      <w:pPr>
        <w:spacing w:before="120"/>
      </w:pPr>
      <w:r w:rsidRPr="008608AA">
        <w:t xml:space="preserve">The rate at which human action has driven development, improvement and movement of plants and animals has accelerated significantly in the past 500 years (Beddow et al., 2010). The “Colombian Exchange” was an important historical events initiated when Columbus made contact with Native Americans in the New World (Crosby, 1987; Diamond, 1999). Beddow et al. (2010) emphasize that “most of the commercial agriculture in the </w:t>
      </w:r>
      <w:r w:rsidR="00264A3D" w:rsidRPr="008608AA">
        <w:t>USA</w:t>
      </w:r>
      <w:r w:rsidRPr="008608AA">
        <w:t>today is based on crop and livestock species introduced from Eurasia (e.g. wheat, barley, rice, soybeans, grapes, apples, citrus, cattle, sheep, hogs, and chickens), though with significant involvement of American species (e.g. corn, peppers, potatoes, tobacco, tomatoes, and turkeys) that are also distributed throughout the rest of the world.” The global movement of agriculturally important plants and animals, and their accompanying pests and diseases, has been a pivotal element in both the history of agriculture and transformation of biomes in the Americas.</w:t>
      </w:r>
    </w:p>
    <w:p w14:paraId="31684DEE" w14:textId="423DCE1C" w:rsidR="00104CE3" w:rsidRPr="008608AA" w:rsidRDefault="00104CE3" w:rsidP="00D971AF">
      <w:pPr>
        <w:rPr>
          <w:rFonts w:ascii="Arial" w:eastAsia="Arial" w:hAnsi="Arial" w:cs="Arial"/>
          <w:noProof/>
          <w:color w:val="222222"/>
          <w:lang w:eastAsia="es-CO"/>
        </w:rPr>
      </w:pPr>
      <w:bookmarkStart w:id="425" w:name="_vx1227" w:colFirst="0" w:colLast="0"/>
      <w:bookmarkEnd w:id="425"/>
    </w:p>
    <w:p w14:paraId="09825F42" w14:textId="77777777" w:rsidR="00104CE3" w:rsidRPr="008608AA" w:rsidRDefault="00104CE3" w:rsidP="00D971AF">
      <w:pPr>
        <w:rPr>
          <w:rFonts w:ascii="Arial" w:eastAsia="Arial" w:hAnsi="Arial" w:cs="Arial"/>
          <w:noProof/>
          <w:color w:val="222222"/>
          <w:lang w:eastAsia="es-CO"/>
        </w:rPr>
      </w:pPr>
    </w:p>
    <w:p w14:paraId="22FEF0A3" w14:textId="7599088F" w:rsidR="00104CE3" w:rsidRPr="008608AA" w:rsidRDefault="00B3307F" w:rsidP="000C4622">
      <w:bookmarkStart w:id="426" w:name="_Toc502908185"/>
      <w:bookmarkStart w:id="427" w:name="_Toc502927275"/>
      <w:bookmarkStart w:id="428" w:name="_Toc502951111"/>
      <w:bookmarkStart w:id="429" w:name="_Toc502953554"/>
      <w:bookmarkStart w:id="430" w:name="_Toc502954847"/>
      <w:bookmarkStart w:id="431" w:name="_Toc502957654"/>
      <w:bookmarkStart w:id="432" w:name="_Toc502958007"/>
      <w:bookmarkStart w:id="433" w:name="_Toc503293651"/>
      <w:bookmarkStart w:id="434" w:name="_Toc503293913"/>
      <w:bookmarkStart w:id="435" w:name="_Toc503863306"/>
      <w:bookmarkStart w:id="436" w:name="_Toc503863534"/>
      <w:r w:rsidRPr="008608AA">
        <w:rPr>
          <w:noProof/>
          <w:lang w:val="en-GB" w:eastAsia="en-GB"/>
        </w:rPr>
        <w:drawing>
          <wp:inline distT="0" distB="0" distL="0" distR="0" wp14:anchorId="2B4ECBC7" wp14:editId="30AE8645">
            <wp:extent cx="5934075" cy="3667125"/>
            <wp:effectExtent l="0" t="0" r="9525" b="9525"/>
            <wp:docPr id="9" name="Imagen 9" descr="C:\Users\Alejandro Valderrama\Downloads\Fi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Alejandro Valderrama\Downloads\Fig1.9.jpg"/>
                    <pic:cNvPicPr>
                      <a:picLocks noChangeAspect="1" noChangeArrowheads="1"/>
                    </pic:cNvPicPr>
                  </pic:nvPicPr>
                  <pic:blipFill rotWithShape="1">
                    <a:blip r:embed="rId25">
                      <a:extLst>
                        <a:ext uri="{28A0092B-C50C-407E-A947-70E740481C1C}">
                          <a14:useLocalDpi xmlns:a14="http://schemas.microsoft.com/office/drawing/2010/main" val="0"/>
                        </a:ext>
                      </a:extLst>
                    </a:blip>
                    <a:srcRect b="57127"/>
                    <a:stretch/>
                  </pic:blipFill>
                  <pic:spPr bwMode="auto">
                    <a:xfrm>
                      <a:off x="0" y="0"/>
                      <a:ext cx="5934075" cy="3667125"/>
                    </a:xfrm>
                    <a:prstGeom prst="rect">
                      <a:avLst/>
                    </a:prstGeom>
                    <a:noFill/>
                    <a:ln>
                      <a:noFill/>
                    </a:ln>
                    <a:extLst>
                      <a:ext uri="{53640926-AAD7-44D8-BBD7-CCE9431645EC}">
                        <a14:shadowObscured xmlns:a14="http://schemas.microsoft.com/office/drawing/2010/main"/>
                      </a:ext>
                    </a:extLst>
                  </pic:spPr>
                </pic:pic>
              </a:graphicData>
            </a:graphic>
          </wp:inline>
        </w:drawing>
      </w:r>
    </w:p>
    <w:p w14:paraId="3D483641" w14:textId="77777777" w:rsidR="00104CE3" w:rsidRPr="008608AA" w:rsidRDefault="00104CE3" w:rsidP="008B3BCD"/>
    <w:p w14:paraId="561022C9" w14:textId="7C9D2D58" w:rsidR="00F44157" w:rsidRPr="008608AA" w:rsidRDefault="00333557" w:rsidP="00D971AF">
      <w:pPr>
        <w:pStyle w:val="Heading3"/>
      </w:pPr>
      <w:bookmarkStart w:id="437" w:name="_Toc517391833"/>
      <w:bookmarkStart w:id="438" w:name="_Toc517393228"/>
      <w:bookmarkStart w:id="439" w:name="_Toc517718969"/>
      <w:bookmarkStart w:id="440" w:name="_Toc517796926"/>
      <w:r w:rsidRPr="008608AA">
        <w:t>Cultural aspects: Presence of indigenous groups, population, and land holdings</w:t>
      </w:r>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rsidRPr="008608AA">
        <w:t xml:space="preserve"> </w:t>
      </w:r>
    </w:p>
    <w:p w14:paraId="441369C9" w14:textId="4693EBB3" w:rsidR="00F44157" w:rsidRPr="00636F57" w:rsidRDefault="00333557" w:rsidP="00104CE3">
      <w:pPr>
        <w:spacing w:before="120" w:after="120"/>
      </w:pPr>
      <w:r w:rsidRPr="008608AA">
        <w:rPr>
          <w:color w:val="212121"/>
        </w:rPr>
        <w:t>The</w:t>
      </w:r>
      <w:r w:rsidR="00981CF6" w:rsidRPr="008608AA">
        <w:rPr>
          <w:color w:val="212121"/>
        </w:rPr>
        <w:t xml:space="preserve">re are at least 66 million indigenous people in the four </w:t>
      </w:r>
      <w:r w:rsidR="005E70B0" w:rsidRPr="008608AA">
        <w:rPr>
          <w:color w:val="212121"/>
        </w:rPr>
        <w:t>sub</w:t>
      </w:r>
      <w:r w:rsidR="00981CF6" w:rsidRPr="008608AA">
        <w:rPr>
          <w:color w:val="212121"/>
        </w:rPr>
        <w:t>regions of the Americas, ranging from 89.29% of indigenous people in Greenland to 0.04% in Cuba</w:t>
      </w:r>
      <w:r w:rsidRPr="008608AA">
        <w:rPr>
          <w:color w:val="212121"/>
        </w:rPr>
        <w:t xml:space="preserve"> (Tables 1.3). However, the percentage of the indigenous population in each country, sourced from either official censuses or other surveys, could be higher than values presented in the tables below. There are some countries, for example, where more than half of the indigenous </w:t>
      </w:r>
      <w:r w:rsidRPr="00636F57">
        <w:t>population live in urban areas - such as Mexico, Peru, Uruguay and Venezuela - and are not captured in these statistics. Self-declaration is also another cause of under-representation in census data of the Americas. For example, the Amazon region alone has outstanding cultural diversity with 420 indigenous and tribal peoples, 86 languages and 650 dialects (</w:t>
      </w:r>
      <w:hyperlink r:id="rId26">
        <w:r w:rsidRPr="00636F57">
          <w:rPr>
            <w:u w:val="single"/>
          </w:rPr>
          <w:t>www.otca.info)</w:t>
        </w:r>
      </w:hyperlink>
      <w:r w:rsidRPr="00636F57">
        <w:t xml:space="preserve"> and wealth of </w:t>
      </w:r>
      <w:r w:rsidR="00083302" w:rsidRPr="00636F57">
        <w:t>ILK</w:t>
      </w:r>
      <w:r w:rsidRPr="00636F57">
        <w:t xml:space="preserve"> (Berkes, 2012; Tengö et al., 2014), but faces poverty and social inequality (PNUD, 2013; Ioris, 2016). </w:t>
      </w:r>
    </w:p>
    <w:p w14:paraId="133A4CD0" w14:textId="6D3A17F8" w:rsidR="00D971AF" w:rsidRPr="008608AA" w:rsidRDefault="00333557" w:rsidP="00104CE3">
      <w:pPr>
        <w:shd w:val="clear" w:color="auto" w:fill="FFFFFF"/>
        <w:tabs>
          <w:tab w:val="left" w:pos="91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rPr>
          <w:i/>
          <w:color w:val="212121"/>
        </w:rPr>
      </w:pPr>
      <w:r w:rsidRPr="00636F57">
        <w:t xml:space="preserve">The results in the tables below show the information gap, especially among the Caribbean countries, where there are almost no records or quantitative data. This does not imply the absence of indigenous groups or land in a given country. In the broader Caribbean region the indigenous populations were almost totally decimated by colonization in the post-Columbus era. To find evidence of indigenous groups' population and territorial holdings in these countries required the use of other sources of information. A considerable amount of </w:t>
      </w:r>
      <w:r w:rsidR="005E70B0" w:rsidRPr="00636F57">
        <w:t xml:space="preserve">information for this subsection </w:t>
      </w:r>
      <w:r w:rsidRPr="00636F57">
        <w:t xml:space="preserve">was found in magazines of local and other international organizations, such as </w:t>
      </w:r>
      <w:r w:rsidR="00DF7063" w:rsidRPr="00636F57">
        <w:t>“</w:t>
      </w:r>
      <w:r w:rsidRPr="00636F57">
        <w:t>Cultural Survival</w:t>
      </w:r>
      <w:r w:rsidR="00DF7063" w:rsidRPr="00636F57">
        <w:t>”</w:t>
      </w:r>
      <w:r w:rsidRPr="00636F57">
        <w:rPr>
          <w:i/>
        </w:rPr>
        <w:t>.</w:t>
      </w:r>
      <w:r w:rsidR="00D971AF" w:rsidRPr="008608AA">
        <w:rPr>
          <w:i/>
          <w:color w:val="212121"/>
        </w:rPr>
        <w:br w:type="page"/>
      </w:r>
    </w:p>
    <w:p w14:paraId="7B7B9A26" w14:textId="5169EC49" w:rsidR="00F44157" w:rsidRPr="008608AA" w:rsidRDefault="00870677" w:rsidP="00870677">
      <w:pPr>
        <w:pStyle w:val="Caption"/>
        <w:rPr>
          <w:rStyle w:val="BookTitle0"/>
          <w:smallCaps w:val="0"/>
          <w:spacing w:val="0"/>
        </w:rPr>
      </w:pPr>
      <w:bookmarkStart w:id="441" w:name="_1v1yuxt" w:colFirst="0" w:colLast="0"/>
      <w:bookmarkEnd w:id="441"/>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1</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3</w:t>
      </w:r>
      <w:r w:rsidR="000E562E">
        <w:rPr>
          <w:noProof/>
        </w:rPr>
        <w:fldChar w:fldCharType="end"/>
      </w:r>
      <w:r w:rsidRPr="008608AA">
        <w:t xml:space="preserve">. </w:t>
      </w:r>
      <w:r w:rsidR="00333557" w:rsidRPr="00DB3608">
        <w:rPr>
          <w:rStyle w:val="BookTitle0"/>
          <w:b/>
          <w:smallCaps w:val="0"/>
          <w:spacing w:val="0"/>
        </w:rPr>
        <w:t>Indigenous population (IP) in the Americas</w:t>
      </w:r>
      <w:r w:rsidR="00333557" w:rsidRPr="008608AA">
        <w:rPr>
          <w:rStyle w:val="BookTitle0"/>
          <w:smallCaps w:val="0"/>
          <w:spacing w:val="0"/>
        </w:rPr>
        <w:t xml:space="preserve">       </w:t>
      </w:r>
      <w:r w:rsidR="00333557" w:rsidRPr="008608AA">
        <w:rPr>
          <w:rStyle w:val="BookTitle0"/>
          <w:smallCaps w:val="0"/>
          <w:spacing w:val="0"/>
        </w:rPr>
        <w:tab/>
      </w:r>
      <w:r w:rsidR="00333557" w:rsidRPr="008608AA">
        <w:rPr>
          <w:rStyle w:val="BookTitle0"/>
          <w:smallCaps w:val="0"/>
          <w:spacing w:val="0"/>
        </w:rPr>
        <w:tab/>
      </w:r>
    </w:p>
    <w:tbl>
      <w:tblPr>
        <w:tblStyle w:val="73"/>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21"/>
        <w:gridCol w:w="2431"/>
        <w:gridCol w:w="993"/>
        <w:gridCol w:w="1097"/>
        <w:gridCol w:w="2391"/>
        <w:gridCol w:w="656"/>
        <w:gridCol w:w="598"/>
      </w:tblGrid>
      <w:tr w:rsidR="003E2299" w:rsidRPr="00360ADC" w14:paraId="2AE3DDA9" w14:textId="77777777" w:rsidTr="003E2299">
        <w:trPr>
          <w:trHeight w:val="227"/>
        </w:trPr>
        <w:tc>
          <w:tcPr>
            <w:tcW w:w="0" w:type="auto"/>
            <w:vMerge w:val="restart"/>
            <w:shd w:val="clear" w:color="auto" w:fill="BFBFBF" w:themeFill="background1" w:themeFillShade="BF"/>
            <w:vAlign w:val="center"/>
          </w:tcPr>
          <w:p w14:paraId="4FD597F1" w14:textId="229AE06A" w:rsidR="003E2299" w:rsidRPr="00360ADC" w:rsidRDefault="003E2299" w:rsidP="003E2299">
            <w:pPr>
              <w:jc w:val="center"/>
              <w:rPr>
                <w:b/>
                <w:sz w:val="20"/>
                <w:szCs w:val="20"/>
              </w:rPr>
            </w:pPr>
            <w:r w:rsidRPr="00360ADC">
              <w:rPr>
                <w:b/>
                <w:sz w:val="20"/>
                <w:szCs w:val="20"/>
              </w:rPr>
              <w:t>Region</w:t>
            </w:r>
          </w:p>
        </w:tc>
        <w:tc>
          <w:tcPr>
            <w:tcW w:w="0" w:type="auto"/>
            <w:vMerge w:val="restart"/>
            <w:shd w:val="clear" w:color="auto" w:fill="BFBFBF" w:themeFill="background1" w:themeFillShade="BF"/>
            <w:vAlign w:val="center"/>
          </w:tcPr>
          <w:p w14:paraId="5032E75E" w14:textId="301AEC9D" w:rsidR="003E2299" w:rsidRPr="00360ADC" w:rsidRDefault="003E2299" w:rsidP="003E2299">
            <w:pPr>
              <w:jc w:val="center"/>
              <w:rPr>
                <w:b/>
                <w:sz w:val="20"/>
                <w:szCs w:val="20"/>
              </w:rPr>
            </w:pPr>
            <w:r w:rsidRPr="00360ADC">
              <w:rPr>
                <w:b/>
                <w:sz w:val="20"/>
                <w:szCs w:val="20"/>
              </w:rPr>
              <w:t>Country</w:t>
            </w:r>
          </w:p>
        </w:tc>
        <w:tc>
          <w:tcPr>
            <w:tcW w:w="0" w:type="auto"/>
            <w:gridSpan w:val="3"/>
            <w:shd w:val="clear" w:color="auto" w:fill="BFBFBF" w:themeFill="background1" w:themeFillShade="BF"/>
            <w:vAlign w:val="center"/>
          </w:tcPr>
          <w:p w14:paraId="4BE2F3CA" w14:textId="77777777" w:rsidR="003E2299" w:rsidRPr="00360ADC" w:rsidRDefault="003E2299" w:rsidP="003E2299">
            <w:pPr>
              <w:jc w:val="center"/>
              <w:rPr>
                <w:b/>
                <w:sz w:val="20"/>
                <w:szCs w:val="20"/>
              </w:rPr>
            </w:pPr>
            <w:r w:rsidRPr="00360ADC">
              <w:rPr>
                <w:b/>
                <w:sz w:val="20"/>
                <w:szCs w:val="20"/>
              </w:rPr>
              <w:t>*1000 (thousands)</w:t>
            </w:r>
          </w:p>
        </w:tc>
        <w:tc>
          <w:tcPr>
            <w:tcW w:w="0" w:type="auto"/>
            <w:vMerge w:val="restart"/>
            <w:shd w:val="clear" w:color="auto" w:fill="BFBFBF" w:themeFill="background1" w:themeFillShade="BF"/>
            <w:vAlign w:val="center"/>
          </w:tcPr>
          <w:p w14:paraId="57403E49" w14:textId="77777777" w:rsidR="003E2299" w:rsidRPr="00360ADC" w:rsidRDefault="003E2299" w:rsidP="003E2299">
            <w:pPr>
              <w:jc w:val="center"/>
              <w:rPr>
                <w:b/>
                <w:sz w:val="20"/>
                <w:szCs w:val="20"/>
              </w:rPr>
            </w:pPr>
            <w:r w:rsidRPr="00360ADC">
              <w:rPr>
                <w:b/>
                <w:sz w:val="20"/>
                <w:szCs w:val="20"/>
              </w:rPr>
              <w:t>%</w:t>
            </w:r>
          </w:p>
          <w:p w14:paraId="5CAF62C6" w14:textId="56A265DD" w:rsidR="003E2299" w:rsidRPr="00360ADC" w:rsidRDefault="003E2299" w:rsidP="003E2299">
            <w:pPr>
              <w:jc w:val="center"/>
              <w:rPr>
                <w:sz w:val="20"/>
                <w:szCs w:val="20"/>
              </w:rPr>
            </w:pPr>
            <w:r w:rsidRPr="00360ADC">
              <w:rPr>
                <w:b/>
                <w:sz w:val="20"/>
                <w:szCs w:val="20"/>
              </w:rPr>
              <w:t>IP/PC</w:t>
            </w:r>
          </w:p>
        </w:tc>
        <w:tc>
          <w:tcPr>
            <w:tcW w:w="0" w:type="auto"/>
            <w:vMerge w:val="restart"/>
            <w:shd w:val="clear" w:color="auto" w:fill="BFBFBF" w:themeFill="background1" w:themeFillShade="BF"/>
            <w:vAlign w:val="center"/>
          </w:tcPr>
          <w:p w14:paraId="4F6D3054" w14:textId="3054F827" w:rsidR="003E2299" w:rsidRPr="00360ADC" w:rsidRDefault="003E2299" w:rsidP="002B0B9E">
            <w:pPr>
              <w:rPr>
                <w:b/>
                <w:sz w:val="20"/>
                <w:szCs w:val="20"/>
              </w:rPr>
            </w:pPr>
            <w:bookmarkStart w:id="442" w:name="_Toc517391834"/>
            <w:r w:rsidRPr="00360ADC">
              <w:rPr>
                <w:b/>
                <w:sz w:val="20"/>
                <w:szCs w:val="20"/>
              </w:rPr>
              <w:t>Year</w:t>
            </w:r>
            <w:bookmarkEnd w:id="442"/>
          </w:p>
        </w:tc>
      </w:tr>
      <w:tr w:rsidR="003E2299" w:rsidRPr="00360ADC" w14:paraId="6CBD1302" w14:textId="77777777" w:rsidTr="003E2299">
        <w:trPr>
          <w:trHeight w:val="469"/>
        </w:trPr>
        <w:tc>
          <w:tcPr>
            <w:tcW w:w="0" w:type="auto"/>
            <w:vMerge/>
            <w:tcBorders>
              <w:bottom w:val="single" w:sz="4" w:space="0" w:color="000000"/>
            </w:tcBorders>
            <w:shd w:val="clear" w:color="auto" w:fill="auto"/>
            <w:vAlign w:val="center"/>
          </w:tcPr>
          <w:p w14:paraId="02BB5964" w14:textId="77777777" w:rsidR="003E2299" w:rsidRPr="00360ADC" w:rsidRDefault="003E2299" w:rsidP="003E2299">
            <w:pPr>
              <w:keepNext/>
              <w:keepLines/>
              <w:spacing w:before="100" w:line="276" w:lineRule="auto"/>
              <w:jc w:val="center"/>
              <w:rPr>
                <w:b/>
                <w:sz w:val="20"/>
                <w:szCs w:val="20"/>
              </w:rPr>
            </w:pPr>
          </w:p>
        </w:tc>
        <w:tc>
          <w:tcPr>
            <w:tcW w:w="0" w:type="auto"/>
            <w:vMerge/>
            <w:tcBorders>
              <w:bottom w:val="single" w:sz="4" w:space="0" w:color="000000"/>
            </w:tcBorders>
            <w:shd w:val="clear" w:color="auto" w:fill="auto"/>
            <w:vAlign w:val="center"/>
          </w:tcPr>
          <w:p w14:paraId="6860FF42" w14:textId="77777777" w:rsidR="003E2299" w:rsidRPr="00360ADC" w:rsidRDefault="003E2299" w:rsidP="003E2299">
            <w:pPr>
              <w:keepNext/>
              <w:keepLines/>
              <w:spacing w:before="100" w:line="276" w:lineRule="auto"/>
              <w:jc w:val="center"/>
              <w:rPr>
                <w:b/>
                <w:sz w:val="20"/>
                <w:szCs w:val="20"/>
              </w:rPr>
            </w:pPr>
          </w:p>
        </w:tc>
        <w:tc>
          <w:tcPr>
            <w:tcW w:w="0" w:type="auto"/>
            <w:gridSpan w:val="2"/>
            <w:tcBorders>
              <w:bottom w:val="single" w:sz="4" w:space="0" w:color="000000"/>
            </w:tcBorders>
            <w:shd w:val="clear" w:color="auto" w:fill="BFBFBF" w:themeFill="background1" w:themeFillShade="BF"/>
            <w:vAlign w:val="center"/>
          </w:tcPr>
          <w:p w14:paraId="6C2D6E14" w14:textId="77777777" w:rsidR="003E2299" w:rsidRPr="00360ADC" w:rsidRDefault="003E2299" w:rsidP="003E2299">
            <w:pPr>
              <w:jc w:val="center"/>
              <w:rPr>
                <w:b/>
                <w:sz w:val="20"/>
                <w:szCs w:val="20"/>
              </w:rPr>
            </w:pPr>
            <w:r w:rsidRPr="00360ADC">
              <w:rPr>
                <w:b/>
                <w:sz w:val="20"/>
                <w:szCs w:val="20"/>
              </w:rPr>
              <w:t>Population Country (PC)</w:t>
            </w:r>
          </w:p>
        </w:tc>
        <w:tc>
          <w:tcPr>
            <w:tcW w:w="0" w:type="auto"/>
            <w:tcBorders>
              <w:bottom w:val="single" w:sz="4" w:space="0" w:color="000000"/>
            </w:tcBorders>
            <w:shd w:val="clear" w:color="auto" w:fill="BFBFBF" w:themeFill="background1" w:themeFillShade="BF"/>
            <w:vAlign w:val="center"/>
          </w:tcPr>
          <w:p w14:paraId="59008D11" w14:textId="04964301" w:rsidR="003E2299" w:rsidRPr="00360ADC" w:rsidRDefault="003E2299" w:rsidP="003E2299">
            <w:pPr>
              <w:jc w:val="center"/>
              <w:rPr>
                <w:b/>
                <w:sz w:val="20"/>
                <w:szCs w:val="20"/>
              </w:rPr>
            </w:pPr>
            <w:r w:rsidRPr="00360ADC">
              <w:rPr>
                <w:b/>
                <w:sz w:val="20"/>
                <w:szCs w:val="20"/>
              </w:rPr>
              <w:t>Indigenous population (IP)</w:t>
            </w:r>
          </w:p>
        </w:tc>
        <w:tc>
          <w:tcPr>
            <w:tcW w:w="0" w:type="auto"/>
            <w:vMerge/>
            <w:tcBorders>
              <w:bottom w:val="single" w:sz="4" w:space="0" w:color="000000"/>
            </w:tcBorders>
            <w:shd w:val="clear" w:color="auto" w:fill="auto"/>
            <w:vAlign w:val="center"/>
          </w:tcPr>
          <w:p w14:paraId="343A5AAC" w14:textId="1DF83CC6" w:rsidR="003E2299" w:rsidRPr="00360ADC" w:rsidRDefault="003E2299" w:rsidP="003E2299">
            <w:pPr>
              <w:jc w:val="center"/>
              <w:rPr>
                <w:b/>
                <w:sz w:val="20"/>
                <w:szCs w:val="20"/>
              </w:rPr>
            </w:pPr>
          </w:p>
        </w:tc>
        <w:tc>
          <w:tcPr>
            <w:tcW w:w="0" w:type="auto"/>
            <w:vMerge/>
            <w:tcBorders>
              <w:bottom w:val="single" w:sz="4" w:space="0" w:color="000000"/>
            </w:tcBorders>
            <w:vAlign w:val="center"/>
          </w:tcPr>
          <w:p w14:paraId="3DB53B9F" w14:textId="1CA2E5C2" w:rsidR="003E2299" w:rsidRPr="00360ADC" w:rsidRDefault="003E2299" w:rsidP="003E2299">
            <w:pPr>
              <w:keepNext/>
              <w:keepLines/>
              <w:tabs>
                <w:tab w:val="num" w:pos="1492"/>
              </w:tabs>
              <w:spacing w:before="120" w:beforeAutospacing="1" w:afterAutospacing="1" w:line="276" w:lineRule="auto"/>
              <w:outlineLvl w:val="1"/>
              <w:rPr>
                <w:b/>
                <w:sz w:val="20"/>
                <w:szCs w:val="20"/>
              </w:rPr>
            </w:pPr>
          </w:p>
        </w:tc>
      </w:tr>
      <w:tr w:rsidR="00F44157" w:rsidRPr="00360ADC" w14:paraId="213D1BB2" w14:textId="77777777" w:rsidTr="003E2299">
        <w:trPr>
          <w:trHeight w:val="227"/>
        </w:trPr>
        <w:tc>
          <w:tcPr>
            <w:tcW w:w="0" w:type="auto"/>
            <w:shd w:val="clear" w:color="auto" w:fill="BFBFBF" w:themeFill="background1" w:themeFillShade="BF"/>
            <w:vAlign w:val="bottom"/>
          </w:tcPr>
          <w:p w14:paraId="2C8F222C" w14:textId="77777777" w:rsidR="00F44157" w:rsidRPr="00360ADC" w:rsidRDefault="00333557">
            <w:pPr>
              <w:rPr>
                <w:sz w:val="20"/>
                <w:szCs w:val="20"/>
              </w:rPr>
            </w:pPr>
            <w:r w:rsidRPr="00360ADC">
              <w:rPr>
                <w:sz w:val="20"/>
                <w:szCs w:val="20"/>
              </w:rPr>
              <w:t>North America</w:t>
            </w:r>
          </w:p>
        </w:tc>
        <w:tc>
          <w:tcPr>
            <w:tcW w:w="0" w:type="auto"/>
            <w:shd w:val="clear" w:color="auto" w:fill="BFBFBF" w:themeFill="background1" w:themeFillShade="BF"/>
            <w:vAlign w:val="bottom"/>
          </w:tcPr>
          <w:p w14:paraId="0A1EC1F0" w14:textId="77777777" w:rsidR="00F44157" w:rsidRPr="00360ADC" w:rsidRDefault="00F44157">
            <w:pPr>
              <w:rPr>
                <w:sz w:val="20"/>
                <w:szCs w:val="20"/>
              </w:rPr>
            </w:pPr>
          </w:p>
        </w:tc>
        <w:tc>
          <w:tcPr>
            <w:tcW w:w="0" w:type="auto"/>
            <w:gridSpan w:val="2"/>
            <w:shd w:val="clear" w:color="auto" w:fill="BFBFBF" w:themeFill="background1" w:themeFillShade="BF"/>
            <w:vAlign w:val="bottom"/>
          </w:tcPr>
          <w:p w14:paraId="5902C065" w14:textId="77777777" w:rsidR="00F44157" w:rsidRPr="00360ADC" w:rsidRDefault="00333557">
            <w:pPr>
              <w:rPr>
                <w:sz w:val="20"/>
                <w:szCs w:val="20"/>
              </w:rPr>
            </w:pPr>
            <w:r w:rsidRPr="00360ADC">
              <w:rPr>
                <w:sz w:val="20"/>
                <w:szCs w:val="20"/>
              </w:rPr>
              <w:t>357,327</w:t>
            </w:r>
          </w:p>
        </w:tc>
        <w:tc>
          <w:tcPr>
            <w:tcW w:w="0" w:type="auto"/>
            <w:shd w:val="clear" w:color="auto" w:fill="BFBFBF" w:themeFill="background1" w:themeFillShade="BF"/>
            <w:vAlign w:val="bottom"/>
          </w:tcPr>
          <w:p w14:paraId="599BC2F9" w14:textId="77777777" w:rsidR="00F44157" w:rsidRPr="00360ADC" w:rsidRDefault="00333557">
            <w:pPr>
              <w:rPr>
                <w:sz w:val="20"/>
                <w:szCs w:val="20"/>
              </w:rPr>
            </w:pPr>
            <w:r w:rsidRPr="00360ADC">
              <w:rPr>
                <w:sz w:val="20"/>
                <w:szCs w:val="20"/>
              </w:rPr>
              <w:t>8,051</w:t>
            </w:r>
          </w:p>
        </w:tc>
        <w:tc>
          <w:tcPr>
            <w:tcW w:w="0" w:type="auto"/>
            <w:shd w:val="clear" w:color="auto" w:fill="BFBFBF" w:themeFill="background1" w:themeFillShade="BF"/>
            <w:vAlign w:val="bottom"/>
          </w:tcPr>
          <w:p w14:paraId="4793B3F5" w14:textId="77777777" w:rsidR="00F44157" w:rsidRPr="00360ADC" w:rsidRDefault="00333557">
            <w:pPr>
              <w:rPr>
                <w:sz w:val="20"/>
                <w:szCs w:val="20"/>
              </w:rPr>
            </w:pPr>
            <w:r w:rsidRPr="00360ADC">
              <w:rPr>
                <w:sz w:val="20"/>
                <w:szCs w:val="20"/>
              </w:rPr>
              <w:t>2,3</w:t>
            </w:r>
          </w:p>
        </w:tc>
        <w:tc>
          <w:tcPr>
            <w:tcW w:w="0" w:type="auto"/>
            <w:shd w:val="clear" w:color="auto" w:fill="BFBFBF" w:themeFill="background1" w:themeFillShade="BF"/>
            <w:vAlign w:val="bottom"/>
          </w:tcPr>
          <w:p w14:paraId="086B8E41" w14:textId="77777777" w:rsidR="00F44157" w:rsidRPr="00360ADC" w:rsidRDefault="00F44157">
            <w:pPr>
              <w:rPr>
                <w:sz w:val="20"/>
                <w:szCs w:val="20"/>
              </w:rPr>
            </w:pPr>
          </w:p>
        </w:tc>
      </w:tr>
      <w:tr w:rsidR="00F44157" w:rsidRPr="00360ADC" w14:paraId="45789D25" w14:textId="77777777" w:rsidTr="003E2299">
        <w:trPr>
          <w:trHeight w:val="227"/>
        </w:trPr>
        <w:tc>
          <w:tcPr>
            <w:tcW w:w="0" w:type="auto"/>
            <w:shd w:val="clear" w:color="auto" w:fill="auto"/>
            <w:vAlign w:val="bottom"/>
          </w:tcPr>
          <w:p w14:paraId="405C4B77" w14:textId="77777777" w:rsidR="00F44157" w:rsidRPr="00360ADC" w:rsidRDefault="00F44157">
            <w:pPr>
              <w:ind w:left="360"/>
              <w:rPr>
                <w:sz w:val="20"/>
                <w:szCs w:val="20"/>
              </w:rPr>
            </w:pPr>
          </w:p>
        </w:tc>
        <w:tc>
          <w:tcPr>
            <w:tcW w:w="0" w:type="auto"/>
            <w:shd w:val="clear" w:color="auto" w:fill="auto"/>
            <w:vAlign w:val="bottom"/>
          </w:tcPr>
          <w:p w14:paraId="2FC7D8DE" w14:textId="77777777" w:rsidR="00F44157" w:rsidRPr="00360ADC" w:rsidRDefault="00333557">
            <w:pPr>
              <w:rPr>
                <w:sz w:val="20"/>
                <w:szCs w:val="20"/>
              </w:rPr>
            </w:pPr>
            <w:r w:rsidRPr="00360ADC">
              <w:rPr>
                <w:sz w:val="20"/>
                <w:szCs w:val="20"/>
              </w:rPr>
              <w:t>Greenland</w:t>
            </w:r>
          </w:p>
        </w:tc>
        <w:tc>
          <w:tcPr>
            <w:tcW w:w="0" w:type="auto"/>
            <w:gridSpan w:val="2"/>
            <w:shd w:val="clear" w:color="auto" w:fill="auto"/>
            <w:vAlign w:val="bottom"/>
          </w:tcPr>
          <w:p w14:paraId="20D77ED0" w14:textId="77777777" w:rsidR="00F44157" w:rsidRPr="00360ADC" w:rsidRDefault="00333557">
            <w:pPr>
              <w:rPr>
                <w:sz w:val="20"/>
                <w:szCs w:val="20"/>
              </w:rPr>
            </w:pPr>
            <w:r w:rsidRPr="00360ADC">
              <w:rPr>
                <w:sz w:val="20"/>
                <w:szCs w:val="20"/>
              </w:rPr>
              <w:t>56</w:t>
            </w:r>
            <w:r w:rsidRPr="00360ADC">
              <w:rPr>
                <w:sz w:val="20"/>
                <w:szCs w:val="20"/>
                <w:vertAlign w:val="superscript"/>
              </w:rPr>
              <w:t>a</w:t>
            </w:r>
          </w:p>
        </w:tc>
        <w:tc>
          <w:tcPr>
            <w:tcW w:w="0" w:type="auto"/>
            <w:shd w:val="clear" w:color="auto" w:fill="auto"/>
            <w:vAlign w:val="bottom"/>
          </w:tcPr>
          <w:p w14:paraId="0628B3F4" w14:textId="77777777" w:rsidR="00F44157" w:rsidRPr="00360ADC" w:rsidRDefault="00333557">
            <w:pPr>
              <w:rPr>
                <w:sz w:val="20"/>
                <w:szCs w:val="20"/>
              </w:rPr>
            </w:pPr>
            <w:r w:rsidRPr="00360ADC">
              <w:rPr>
                <w:sz w:val="20"/>
                <w:szCs w:val="20"/>
              </w:rPr>
              <w:t>50</w:t>
            </w:r>
            <w:r w:rsidRPr="00360ADC">
              <w:rPr>
                <w:sz w:val="20"/>
                <w:szCs w:val="20"/>
                <w:vertAlign w:val="superscript"/>
              </w:rPr>
              <w:t>b</w:t>
            </w:r>
          </w:p>
        </w:tc>
        <w:tc>
          <w:tcPr>
            <w:tcW w:w="0" w:type="auto"/>
            <w:shd w:val="clear" w:color="auto" w:fill="auto"/>
            <w:vAlign w:val="bottom"/>
          </w:tcPr>
          <w:p w14:paraId="628C4891" w14:textId="77777777" w:rsidR="00F44157" w:rsidRPr="00360ADC" w:rsidRDefault="00333557">
            <w:pPr>
              <w:rPr>
                <w:sz w:val="20"/>
                <w:szCs w:val="20"/>
              </w:rPr>
            </w:pPr>
            <w:r w:rsidRPr="00360ADC">
              <w:rPr>
                <w:sz w:val="20"/>
                <w:szCs w:val="20"/>
              </w:rPr>
              <w:t>89,3</w:t>
            </w:r>
          </w:p>
        </w:tc>
        <w:tc>
          <w:tcPr>
            <w:tcW w:w="0" w:type="auto"/>
            <w:vAlign w:val="bottom"/>
          </w:tcPr>
          <w:p w14:paraId="3AC8D3F8" w14:textId="77777777" w:rsidR="00F44157" w:rsidRPr="00360ADC" w:rsidRDefault="00333557">
            <w:pPr>
              <w:rPr>
                <w:sz w:val="20"/>
                <w:szCs w:val="20"/>
              </w:rPr>
            </w:pPr>
            <w:r w:rsidRPr="00360ADC">
              <w:rPr>
                <w:sz w:val="20"/>
                <w:szCs w:val="20"/>
              </w:rPr>
              <w:t>2017</w:t>
            </w:r>
          </w:p>
        </w:tc>
      </w:tr>
      <w:tr w:rsidR="00F44157" w:rsidRPr="00360ADC" w14:paraId="14D1AA2A" w14:textId="77777777" w:rsidTr="003E2299">
        <w:trPr>
          <w:trHeight w:val="227"/>
        </w:trPr>
        <w:tc>
          <w:tcPr>
            <w:tcW w:w="0" w:type="auto"/>
            <w:shd w:val="clear" w:color="auto" w:fill="auto"/>
            <w:vAlign w:val="bottom"/>
          </w:tcPr>
          <w:p w14:paraId="3F317C4B" w14:textId="77777777" w:rsidR="00F44157" w:rsidRPr="00360ADC" w:rsidRDefault="00F44157">
            <w:pPr>
              <w:ind w:left="360"/>
              <w:rPr>
                <w:sz w:val="20"/>
                <w:szCs w:val="20"/>
              </w:rPr>
            </w:pPr>
          </w:p>
        </w:tc>
        <w:tc>
          <w:tcPr>
            <w:tcW w:w="0" w:type="auto"/>
            <w:shd w:val="clear" w:color="auto" w:fill="auto"/>
            <w:vAlign w:val="bottom"/>
          </w:tcPr>
          <w:p w14:paraId="687A19A4" w14:textId="77777777" w:rsidR="00F44157" w:rsidRPr="00360ADC" w:rsidRDefault="00333557">
            <w:pPr>
              <w:rPr>
                <w:sz w:val="20"/>
                <w:szCs w:val="20"/>
              </w:rPr>
            </w:pPr>
            <w:r w:rsidRPr="00360ADC">
              <w:rPr>
                <w:sz w:val="20"/>
                <w:szCs w:val="20"/>
              </w:rPr>
              <w:t>Canada</w:t>
            </w:r>
          </w:p>
        </w:tc>
        <w:tc>
          <w:tcPr>
            <w:tcW w:w="0" w:type="auto"/>
            <w:gridSpan w:val="2"/>
            <w:shd w:val="clear" w:color="auto" w:fill="auto"/>
            <w:vAlign w:val="bottom"/>
          </w:tcPr>
          <w:p w14:paraId="2F36A4F6" w14:textId="77777777" w:rsidR="00F44157" w:rsidRPr="00360ADC" w:rsidRDefault="00333557">
            <w:pPr>
              <w:rPr>
                <w:sz w:val="20"/>
                <w:szCs w:val="20"/>
              </w:rPr>
            </w:pPr>
            <w:r w:rsidRPr="00360ADC">
              <w:rPr>
                <w:sz w:val="20"/>
                <w:szCs w:val="20"/>
              </w:rPr>
              <w:t>35,852</w:t>
            </w:r>
            <w:r w:rsidRPr="00360ADC">
              <w:rPr>
                <w:sz w:val="20"/>
                <w:szCs w:val="20"/>
                <w:vertAlign w:val="superscript"/>
              </w:rPr>
              <w:t xml:space="preserve"> a</w:t>
            </w:r>
          </w:p>
        </w:tc>
        <w:tc>
          <w:tcPr>
            <w:tcW w:w="0" w:type="auto"/>
            <w:shd w:val="clear" w:color="auto" w:fill="auto"/>
            <w:vAlign w:val="bottom"/>
          </w:tcPr>
          <w:p w14:paraId="5E6338EC" w14:textId="77777777" w:rsidR="00F44157" w:rsidRPr="00360ADC" w:rsidRDefault="00333557">
            <w:pPr>
              <w:rPr>
                <w:sz w:val="20"/>
                <w:szCs w:val="20"/>
              </w:rPr>
            </w:pPr>
            <w:r w:rsidRPr="00360ADC">
              <w:rPr>
                <w:sz w:val="20"/>
                <w:szCs w:val="20"/>
              </w:rPr>
              <w:t>1,401</w:t>
            </w:r>
            <w:r w:rsidRPr="00360ADC">
              <w:rPr>
                <w:sz w:val="20"/>
                <w:szCs w:val="20"/>
                <w:vertAlign w:val="superscript"/>
              </w:rPr>
              <w:t xml:space="preserve"> b</w:t>
            </w:r>
          </w:p>
        </w:tc>
        <w:tc>
          <w:tcPr>
            <w:tcW w:w="0" w:type="auto"/>
            <w:shd w:val="clear" w:color="auto" w:fill="auto"/>
            <w:vAlign w:val="bottom"/>
          </w:tcPr>
          <w:p w14:paraId="1F8BA17C" w14:textId="77777777" w:rsidR="00F44157" w:rsidRPr="00360ADC" w:rsidRDefault="00333557">
            <w:pPr>
              <w:rPr>
                <w:sz w:val="20"/>
                <w:szCs w:val="20"/>
              </w:rPr>
            </w:pPr>
            <w:r w:rsidRPr="00360ADC">
              <w:rPr>
                <w:sz w:val="20"/>
                <w:szCs w:val="20"/>
              </w:rPr>
              <w:t>3,9</w:t>
            </w:r>
          </w:p>
        </w:tc>
        <w:tc>
          <w:tcPr>
            <w:tcW w:w="0" w:type="auto"/>
            <w:vAlign w:val="bottom"/>
          </w:tcPr>
          <w:p w14:paraId="4ABECD2A" w14:textId="77777777" w:rsidR="00F44157" w:rsidRPr="00360ADC" w:rsidRDefault="00333557">
            <w:pPr>
              <w:rPr>
                <w:sz w:val="20"/>
                <w:szCs w:val="20"/>
              </w:rPr>
            </w:pPr>
            <w:r w:rsidRPr="00360ADC">
              <w:rPr>
                <w:sz w:val="20"/>
                <w:szCs w:val="20"/>
              </w:rPr>
              <w:t>2017</w:t>
            </w:r>
          </w:p>
        </w:tc>
      </w:tr>
      <w:tr w:rsidR="00F44157" w:rsidRPr="00360ADC" w14:paraId="01479D15" w14:textId="77777777" w:rsidTr="003E2299">
        <w:trPr>
          <w:trHeight w:val="227"/>
        </w:trPr>
        <w:tc>
          <w:tcPr>
            <w:tcW w:w="0" w:type="auto"/>
            <w:tcBorders>
              <w:bottom w:val="single" w:sz="4" w:space="0" w:color="000000"/>
            </w:tcBorders>
            <w:shd w:val="clear" w:color="auto" w:fill="auto"/>
            <w:vAlign w:val="bottom"/>
          </w:tcPr>
          <w:p w14:paraId="4A79C1EF" w14:textId="77777777" w:rsidR="00F44157" w:rsidRPr="00360ADC" w:rsidRDefault="00F44157">
            <w:pPr>
              <w:ind w:left="360"/>
              <w:rPr>
                <w:sz w:val="20"/>
                <w:szCs w:val="20"/>
              </w:rPr>
            </w:pPr>
          </w:p>
        </w:tc>
        <w:tc>
          <w:tcPr>
            <w:tcW w:w="0" w:type="auto"/>
            <w:tcBorders>
              <w:bottom w:val="single" w:sz="4" w:space="0" w:color="000000"/>
            </w:tcBorders>
            <w:shd w:val="clear" w:color="auto" w:fill="auto"/>
            <w:vAlign w:val="bottom"/>
          </w:tcPr>
          <w:p w14:paraId="3C11BBE6" w14:textId="77777777" w:rsidR="00F44157" w:rsidRPr="00360ADC" w:rsidRDefault="00333557">
            <w:pPr>
              <w:rPr>
                <w:sz w:val="20"/>
                <w:szCs w:val="20"/>
              </w:rPr>
            </w:pPr>
            <w:r w:rsidRPr="00360ADC">
              <w:rPr>
                <w:sz w:val="20"/>
                <w:szCs w:val="20"/>
              </w:rPr>
              <w:t>USA</w:t>
            </w:r>
          </w:p>
        </w:tc>
        <w:tc>
          <w:tcPr>
            <w:tcW w:w="0" w:type="auto"/>
            <w:gridSpan w:val="2"/>
            <w:tcBorders>
              <w:bottom w:val="single" w:sz="4" w:space="0" w:color="000000"/>
            </w:tcBorders>
            <w:shd w:val="clear" w:color="auto" w:fill="auto"/>
            <w:vAlign w:val="bottom"/>
          </w:tcPr>
          <w:p w14:paraId="0F624ABD" w14:textId="77777777" w:rsidR="00F44157" w:rsidRPr="00360ADC" w:rsidRDefault="00333557">
            <w:pPr>
              <w:rPr>
                <w:sz w:val="20"/>
                <w:szCs w:val="20"/>
              </w:rPr>
            </w:pPr>
            <w:r w:rsidRPr="00360ADC">
              <w:rPr>
                <w:sz w:val="20"/>
                <w:szCs w:val="20"/>
              </w:rPr>
              <w:t>321,419</w:t>
            </w:r>
            <w:r w:rsidRPr="00360ADC">
              <w:rPr>
                <w:sz w:val="20"/>
                <w:szCs w:val="20"/>
                <w:vertAlign w:val="superscript"/>
              </w:rPr>
              <w:t xml:space="preserve"> a</w:t>
            </w:r>
          </w:p>
        </w:tc>
        <w:tc>
          <w:tcPr>
            <w:tcW w:w="0" w:type="auto"/>
            <w:tcBorders>
              <w:bottom w:val="single" w:sz="4" w:space="0" w:color="000000"/>
            </w:tcBorders>
            <w:shd w:val="clear" w:color="auto" w:fill="auto"/>
            <w:vAlign w:val="bottom"/>
          </w:tcPr>
          <w:p w14:paraId="48D9E284" w14:textId="77777777" w:rsidR="00F44157" w:rsidRPr="00360ADC" w:rsidRDefault="00333557">
            <w:pPr>
              <w:rPr>
                <w:sz w:val="20"/>
                <w:szCs w:val="20"/>
              </w:rPr>
            </w:pPr>
            <w:r w:rsidRPr="00360ADC">
              <w:rPr>
                <w:sz w:val="20"/>
                <w:szCs w:val="20"/>
              </w:rPr>
              <w:t>6,600</w:t>
            </w:r>
            <w:r w:rsidRPr="00360ADC">
              <w:rPr>
                <w:sz w:val="20"/>
                <w:szCs w:val="20"/>
                <w:vertAlign w:val="superscript"/>
              </w:rPr>
              <w:t xml:space="preserve"> b</w:t>
            </w:r>
          </w:p>
        </w:tc>
        <w:tc>
          <w:tcPr>
            <w:tcW w:w="0" w:type="auto"/>
            <w:tcBorders>
              <w:bottom w:val="single" w:sz="4" w:space="0" w:color="000000"/>
            </w:tcBorders>
            <w:shd w:val="clear" w:color="auto" w:fill="auto"/>
            <w:vAlign w:val="bottom"/>
          </w:tcPr>
          <w:p w14:paraId="69D3C215" w14:textId="77777777" w:rsidR="00F44157" w:rsidRPr="00360ADC" w:rsidRDefault="00333557">
            <w:pPr>
              <w:rPr>
                <w:sz w:val="20"/>
                <w:szCs w:val="20"/>
              </w:rPr>
            </w:pPr>
            <w:r w:rsidRPr="00360ADC">
              <w:rPr>
                <w:sz w:val="20"/>
                <w:szCs w:val="20"/>
              </w:rPr>
              <w:t>2,1</w:t>
            </w:r>
          </w:p>
        </w:tc>
        <w:tc>
          <w:tcPr>
            <w:tcW w:w="0" w:type="auto"/>
            <w:tcBorders>
              <w:bottom w:val="single" w:sz="4" w:space="0" w:color="000000"/>
            </w:tcBorders>
            <w:vAlign w:val="bottom"/>
          </w:tcPr>
          <w:p w14:paraId="7BC9A18D" w14:textId="77777777" w:rsidR="00F44157" w:rsidRPr="00360ADC" w:rsidRDefault="00333557">
            <w:pPr>
              <w:rPr>
                <w:sz w:val="20"/>
                <w:szCs w:val="20"/>
              </w:rPr>
            </w:pPr>
            <w:r w:rsidRPr="00360ADC">
              <w:rPr>
                <w:sz w:val="20"/>
                <w:szCs w:val="20"/>
              </w:rPr>
              <w:t>2017</w:t>
            </w:r>
          </w:p>
        </w:tc>
      </w:tr>
      <w:tr w:rsidR="00F44157" w:rsidRPr="00360ADC" w14:paraId="2945B221" w14:textId="77777777" w:rsidTr="003E2299">
        <w:trPr>
          <w:trHeight w:val="227"/>
        </w:trPr>
        <w:tc>
          <w:tcPr>
            <w:tcW w:w="0" w:type="auto"/>
            <w:shd w:val="clear" w:color="auto" w:fill="BFBFBF" w:themeFill="background1" w:themeFillShade="BF"/>
            <w:vAlign w:val="bottom"/>
          </w:tcPr>
          <w:p w14:paraId="3361CFAC" w14:textId="77777777" w:rsidR="00F44157" w:rsidRPr="00360ADC" w:rsidRDefault="00333557">
            <w:pPr>
              <w:rPr>
                <w:sz w:val="20"/>
                <w:szCs w:val="20"/>
              </w:rPr>
            </w:pPr>
            <w:r w:rsidRPr="00360ADC">
              <w:rPr>
                <w:sz w:val="20"/>
                <w:szCs w:val="20"/>
              </w:rPr>
              <w:t xml:space="preserve">Mesoamerica </w:t>
            </w:r>
          </w:p>
        </w:tc>
        <w:tc>
          <w:tcPr>
            <w:tcW w:w="0" w:type="auto"/>
            <w:shd w:val="clear" w:color="auto" w:fill="BFBFBF" w:themeFill="background1" w:themeFillShade="BF"/>
            <w:vAlign w:val="bottom"/>
          </w:tcPr>
          <w:p w14:paraId="4A68D74C" w14:textId="77777777" w:rsidR="00F44157" w:rsidRPr="00360ADC" w:rsidRDefault="00F44157">
            <w:pPr>
              <w:rPr>
                <w:sz w:val="20"/>
                <w:szCs w:val="20"/>
              </w:rPr>
            </w:pPr>
          </w:p>
        </w:tc>
        <w:tc>
          <w:tcPr>
            <w:tcW w:w="0" w:type="auto"/>
            <w:gridSpan w:val="2"/>
            <w:shd w:val="clear" w:color="auto" w:fill="BFBFBF" w:themeFill="background1" w:themeFillShade="BF"/>
            <w:vAlign w:val="bottom"/>
          </w:tcPr>
          <w:p w14:paraId="33184D79" w14:textId="77777777" w:rsidR="00F44157" w:rsidRPr="00360ADC" w:rsidRDefault="00333557">
            <w:pPr>
              <w:rPr>
                <w:sz w:val="20"/>
                <w:szCs w:val="20"/>
              </w:rPr>
            </w:pPr>
            <w:r w:rsidRPr="00360ADC">
              <w:rPr>
                <w:sz w:val="20"/>
                <w:szCs w:val="20"/>
              </w:rPr>
              <w:t>172,740</w:t>
            </w:r>
          </w:p>
        </w:tc>
        <w:tc>
          <w:tcPr>
            <w:tcW w:w="0" w:type="auto"/>
            <w:shd w:val="clear" w:color="auto" w:fill="BFBFBF" w:themeFill="background1" w:themeFillShade="BF"/>
            <w:vAlign w:val="bottom"/>
          </w:tcPr>
          <w:p w14:paraId="4660E86F" w14:textId="77777777" w:rsidR="00F44157" w:rsidRPr="00360ADC" w:rsidRDefault="00333557">
            <w:pPr>
              <w:rPr>
                <w:sz w:val="20"/>
                <w:szCs w:val="20"/>
              </w:rPr>
            </w:pPr>
            <w:r w:rsidRPr="00360ADC">
              <w:rPr>
                <w:sz w:val="20"/>
                <w:szCs w:val="20"/>
              </w:rPr>
              <w:t>33,778</w:t>
            </w:r>
          </w:p>
        </w:tc>
        <w:tc>
          <w:tcPr>
            <w:tcW w:w="0" w:type="auto"/>
            <w:shd w:val="clear" w:color="auto" w:fill="BFBFBF" w:themeFill="background1" w:themeFillShade="BF"/>
            <w:vAlign w:val="bottom"/>
          </w:tcPr>
          <w:p w14:paraId="0EC1BD20" w14:textId="77777777" w:rsidR="00F44157" w:rsidRPr="00360ADC" w:rsidRDefault="00333557">
            <w:pPr>
              <w:rPr>
                <w:sz w:val="20"/>
                <w:szCs w:val="20"/>
              </w:rPr>
            </w:pPr>
            <w:r w:rsidRPr="00360ADC">
              <w:rPr>
                <w:sz w:val="20"/>
                <w:szCs w:val="20"/>
              </w:rPr>
              <w:t>19,6</w:t>
            </w:r>
          </w:p>
        </w:tc>
        <w:tc>
          <w:tcPr>
            <w:tcW w:w="0" w:type="auto"/>
            <w:shd w:val="clear" w:color="auto" w:fill="BFBFBF" w:themeFill="background1" w:themeFillShade="BF"/>
            <w:vAlign w:val="bottom"/>
          </w:tcPr>
          <w:p w14:paraId="39811D16" w14:textId="77777777" w:rsidR="00F44157" w:rsidRPr="00360ADC" w:rsidRDefault="00F44157">
            <w:pPr>
              <w:rPr>
                <w:sz w:val="20"/>
                <w:szCs w:val="20"/>
              </w:rPr>
            </w:pPr>
          </w:p>
        </w:tc>
      </w:tr>
      <w:tr w:rsidR="00F44157" w:rsidRPr="00360ADC" w14:paraId="326DCFDD" w14:textId="77777777" w:rsidTr="003E2299">
        <w:trPr>
          <w:trHeight w:val="227"/>
        </w:trPr>
        <w:tc>
          <w:tcPr>
            <w:tcW w:w="0" w:type="auto"/>
            <w:shd w:val="clear" w:color="auto" w:fill="auto"/>
            <w:vAlign w:val="bottom"/>
          </w:tcPr>
          <w:p w14:paraId="71CF6D5C" w14:textId="77777777" w:rsidR="00F44157" w:rsidRPr="00360ADC" w:rsidRDefault="00F44157">
            <w:pPr>
              <w:ind w:left="360"/>
              <w:rPr>
                <w:sz w:val="20"/>
                <w:szCs w:val="20"/>
              </w:rPr>
            </w:pPr>
          </w:p>
        </w:tc>
        <w:tc>
          <w:tcPr>
            <w:tcW w:w="0" w:type="auto"/>
            <w:shd w:val="clear" w:color="auto" w:fill="auto"/>
            <w:vAlign w:val="bottom"/>
          </w:tcPr>
          <w:p w14:paraId="3DA3464D" w14:textId="77777777" w:rsidR="00F44157" w:rsidRPr="00360ADC" w:rsidRDefault="00333557">
            <w:pPr>
              <w:rPr>
                <w:sz w:val="20"/>
                <w:szCs w:val="20"/>
              </w:rPr>
            </w:pPr>
            <w:r w:rsidRPr="00360ADC">
              <w:rPr>
                <w:sz w:val="20"/>
                <w:szCs w:val="20"/>
              </w:rPr>
              <w:t>Mexico</w:t>
            </w:r>
          </w:p>
        </w:tc>
        <w:tc>
          <w:tcPr>
            <w:tcW w:w="0" w:type="auto"/>
            <w:gridSpan w:val="2"/>
            <w:shd w:val="clear" w:color="auto" w:fill="auto"/>
            <w:vAlign w:val="bottom"/>
          </w:tcPr>
          <w:p w14:paraId="3BCCD6C2" w14:textId="77777777" w:rsidR="00F44157" w:rsidRPr="00360ADC" w:rsidRDefault="00333557">
            <w:pPr>
              <w:rPr>
                <w:sz w:val="20"/>
                <w:szCs w:val="20"/>
              </w:rPr>
            </w:pPr>
            <w:r w:rsidRPr="00360ADC">
              <w:rPr>
                <w:sz w:val="20"/>
                <w:szCs w:val="20"/>
              </w:rPr>
              <w:t>127,017</w:t>
            </w:r>
            <w:r w:rsidRPr="00360ADC">
              <w:rPr>
                <w:sz w:val="20"/>
                <w:szCs w:val="20"/>
                <w:vertAlign w:val="superscript"/>
              </w:rPr>
              <w:t xml:space="preserve"> a</w:t>
            </w:r>
          </w:p>
        </w:tc>
        <w:tc>
          <w:tcPr>
            <w:tcW w:w="0" w:type="auto"/>
            <w:shd w:val="clear" w:color="auto" w:fill="auto"/>
            <w:vAlign w:val="bottom"/>
          </w:tcPr>
          <w:p w14:paraId="3C57A1B3" w14:textId="77777777" w:rsidR="00F44157" w:rsidRPr="00360ADC" w:rsidRDefault="00333557" w:rsidP="003E2299">
            <w:pPr>
              <w:rPr>
                <w:sz w:val="20"/>
                <w:szCs w:val="20"/>
              </w:rPr>
            </w:pPr>
            <w:r w:rsidRPr="00360ADC">
              <w:rPr>
                <w:sz w:val="20"/>
                <w:szCs w:val="20"/>
              </w:rPr>
              <w:t>21,497</w:t>
            </w:r>
            <w:r w:rsidRPr="00360ADC">
              <w:rPr>
                <w:sz w:val="20"/>
                <w:szCs w:val="20"/>
                <w:vertAlign w:val="superscript"/>
              </w:rPr>
              <w:t>j</w:t>
            </w:r>
          </w:p>
        </w:tc>
        <w:tc>
          <w:tcPr>
            <w:tcW w:w="0" w:type="auto"/>
            <w:shd w:val="clear" w:color="auto" w:fill="auto"/>
            <w:vAlign w:val="bottom"/>
          </w:tcPr>
          <w:p w14:paraId="08E325F9" w14:textId="77777777" w:rsidR="00F44157" w:rsidRPr="00360ADC" w:rsidRDefault="00333557">
            <w:pPr>
              <w:rPr>
                <w:sz w:val="20"/>
                <w:szCs w:val="20"/>
              </w:rPr>
            </w:pPr>
            <w:r w:rsidRPr="00360ADC">
              <w:rPr>
                <w:sz w:val="20"/>
                <w:szCs w:val="20"/>
              </w:rPr>
              <w:t>13,3</w:t>
            </w:r>
          </w:p>
        </w:tc>
        <w:tc>
          <w:tcPr>
            <w:tcW w:w="0" w:type="auto"/>
            <w:vAlign w:val="bottom"/>
          </w:tcPr>
          <w:p w14:paraId="0D34820C" w14:textId="77777777" w:rsidR="00F44157" w:rsidRPr="00360ADC" w:rsidRDefault="00333557">
            <w:pPr>
              <w:rPr>
                <w:sz w:val="20"/>
                <w:szCs w:val="20"/>
              </w:rPr>
            </w:pPr>
            <w:r w:rsidRPr="00360ADC">
              <w:rPr>
                <w:sz w:val="20"/>
                <w:szCs w:val="20"/>
              </w:rPr>
              <w:t>2015</w:t>
            </w:r>
          </w:p>
        </w:tc>
      </w:tr>
      <w:tr w:rsidR="00F44157" w:rsidRPr="00360ADC" w14:paraId="3E4A0D6E" w14:textId="77777777" w:rsidTr="003E2299">
        <w:trPr>
          <w:trHeight w:val="227"/>
        </w:trPr>
        <w:tc>
          <w:tcPr>
            <w:tcW w:w="0" w:type="auto"/>
            <w:shd w:val="clear" w:color="auto" w:fill="auto"/>
            <w:vAlign w:val="bottom"/>
          </w:tcPr>
          <w:p w14:paraId="39CC3265" w14:textId="77777777" w:rsidR="00F44157" w:rsidRPr="00360ADC" w:rsidRDefault="00F44157">
            <w:pPr>
              <w:ind w:left="360"/>
              <w:rPr>
                <w:sz w:val="20"/>
                <w:szCs w:val="20"/>
              </w:rPr>
            </w:pPr>
          </w:p>
        </w:tc>
        <w:tc>
          <w:tcPr>
            <w:tcW w:w="0" w:type="auto"/>
            <w:shd w:val="clear" w:color="auto" w:fill="auto"/>
            <w:vAlign w:val="bottom"/>
          </w:tcPr>
          <w:p w14:paraId="69B60FC0" w14:textId="77777777" w:rsidR="00F44157" w:rsidRPr="00360ADC" w:rsidRDefault="00333557">
            <w:pPr>
              <w:rPr>
                <w:sz w:val="20"/>
                <w:szCs w:val="20"/>
              </w:rPr>
            </w:pPr>
            <w:r w:rsidRPr="00360ADC">
              <w:rPr>
                <w:sz w:val="20"/>
                <w:szCs w:val="20"/>
              </w:rPr>
              <w:t>Guatemala</w:t>
            </w:r>
          </w:p>
        </w:tc>
        <w:tc>
          <w:tcPr>
            <w:tcW w:w="0" w:type="auto"/>
            <w:gridSpan w:val="2"/>
            <w:shd w:val="clear" w:color="auto" w:fill="auto"/>
            <w:vAlign w:val="bottom"/>
          </w:tcPr>
          <w:p w14:paraId="08872866" w14:textId="77777777" w:rsidR="00F44157" w:rsidRPr="00360ADC" w:rsidRDefault="00333557">
            <w:pPr>
              <w:rPr>
                <w:sz w:val="20"/>
                <w:szCs w:val="20"/>
              </w:rPr>
            </w:pPr>
            <w:r w:rsidRPr="00360ADC">
              <w:rPr>
                <w:sz w:val="20"/>
                <w:szCs w:val="20"/>
              </w:rPr>
              <w:t>16,343</w:t>
            </w:r>
            <w:r w:rsidRPr="00360ADC">
              <w:rPr>
                <w:sz w:val="20"/>
                <w:szCs w:val="20"/>
                <w:vertAlign w:val="superscript"/>
              </w:rPr>
              <w:t xml:space="preserve"> a</w:t>
            </w:r>
          </w:p>
        </w:tc>
        <w:tc>
          <w:tcPr>
            <w:tcW w:w="0" w:type="auto"/>
            <w:shd w:val="clear" w:color="auto" w:fill="auto"/>
            <w:vAlign w:val="bottom"/>
          </w:tcPr>
          <w:p w14:paraId="442576E5" w14:textId="77777777" w:rsidR="00F44157" w:rsidRPr="00360ADC" w:rsidRDefault="00333557">
            <w:pPr>
              <w:rPr>
                <w:sz w:val="20"/>
                <w:szCs w:val="20"/>
              </w:rPr>
            </w:pPr>
            <w:r w:rsidRPr="00360ADC">
              <w:rPr>
                <w:sz w:val="20"/>
                <w:szCs w:val="20"/>
              </w:rPr>
              <w:t>9,805</w:t>
            </w:r>
            <w:r w:rsidRPr="00360ADC">
              <w:rPr>
                <w:sz w:val="20"/>
                <w:szCs w:val="20"/>
                <w:vertAlign w:val="superscript"/>
              </w:rPr>
              <w:t xml:space="preserve"> b</w:t>
            </w:r>
          </w:p>
        </w:tc>
        <w:tc>
          <w:tcPr>
            <w:tcW w:w="0" w:type="auto"/>
            <w:shd w:val="clear" w:color="auto" w:fill="auto"/>
            <w:vAlign w:val="bottom"/>
          </w:tcPr>
          <w:p w14:paraId="6C4EFE9D" w14:textId="77777777" w:rsidR="00F44157" w:rsidRPr="00360ADC" w:rsidRDefault="00333557">
            <w:pPr>
              <w:rPr>
                <w:sz w:val="20"/>
                <w:szCs w:val="20"/>
              </w:rPr>
            </w:pPr>
            <w:r w:rsidRPr="00360ADC">
              <w:rPr>
                <w:sz w:val="20"/>
                <w:szCs w:val="20"/>
              </w:rPr>
              <w:t>60,0</w:t>
            </w:r>
          </w:p>
        </w:tc>
        <w:tc>
          <w:tcPr>
            <w:tcW w:w="0" w:type="auto"/>
            <w:vAlign w:val="bottom"/>
          </w:tcPr>
          <w:p w14:paraId="2D8ABB8E" w14:textId="77777777" w:rsidR="00F44157" w:rsidRPr="00360ADC" w:rsidRDefault="00333557">
            <w:pPr>
              <w:rPr>
                <w:sz w:val="20"/>
                <w:szCs w:val="20"/>
              </w:rPr>
            </w:pPr>
            <w:r w:rsidRPr="00360ADC">
              <w:rPr>
                <w:sz w:val="20"/>
                <w:szCs w:val="20"/>
              </w:rPr>
              <w:t>2017</w:t>
            </w:r>
          </w:p>
        </w:tc>
      </w:tr>
      <w:tr w:rsidR="00F44157" w:rsidRPr="00360ADC" w14:paraId="42222480" w14:textId="77777777" w:rsidTr="003E2299">
        <w:trPr>
          <w:trHeight w:val="227"/>
        </w:trPr>
        <w:tc>
          <w:tcPr>
            <w:tcW w:w="0" w:type="auto"/>
            <w:shd w:val="clear" w:color="auto" w:fill="auto"/>
            <w:vAlign w:val="bottom"/>
          </w:tcPr>
          <w:p w14:paraId="39F1FC71" w14:textId="77777777" w:rsidR="00F44157" w:rsidRPr="00360ADC" w:rsidRDefault="00F44157">
            <w:pPr>
              <w:ind w:left="360"/>
              <w:rPr>
                <w:sz w:val="20"/>
                <w:szCs w:val="20"/>
              </w:rPr>
            </w:pPr>
          </w:p>
        </w:tc>
        <w:tc>
          <w:tcPr>
            <w:tcW w:w="0" w:type="auto"/>
            <w:shd w:val="clear" w:color="auto" w:fill="auto"/>
            <w:vAlign w:val="bottom"/>
          </w:tcPr>
          <w:p w14:paraId="136E5FD5" w14:textId="77777777" w:rsidR="00F44157" w:rsidRPr="00360ADC" w:rsidRDefault="00333557">
            <w:pPr>
              <w:rPr>
                <w:sz w:val="20"/>
                <w:szCs w:val="20"/>
              </w:rPr>
            </w:pPr>
            <w:r w:rsidRPr="00360ADC">
              <w:rPr>
                <w:sz w:val="20"/>
                <w:szCs w:val="20"/>
              </w:rPr>
              <w:t>Nicaragua</w:t>
            </w:r>
          </w:p>
        </w:tc>
        <w:tc>
          <w:tcPr>
            <w:tcW w:w="0" w:type="auto"/>
            <w:gridSpan w:val="2"/>
            <w:shd w:val="clear" w:color="auto" w:fill="auto"/>
            <w:vAlign w:val="bottom"/>
          </w:tcPr>
          <w:p w14:paraId="0C5F2D9F" w14:textId="77777777" w:rsidR="00F44157" w:rsidRPr="00360ADC" w:rsidRDefault="00333557">
            <w:pPr>
              <w:rPr>
                <w:sz w:val="20"/>
                <w:szCs w:val="20"/>
              </w:rPr>
            </w:pPr>
            <w:r w:rsidRPr="00360ADC">
              <w:rPr>
                <w:sz w:val="20"/>
                <w:szCs w:val="20"/>
              </w:rPr>
              <w:t>6,082</w:t>
            </w:r>
            <w:r w:rsidRPr="00360ADC">
              <w:rPr>
                <w:sz w:val="20"/>
                <w:szCs w:val="20"/>
                <w:vertAlign w:val="superscript"/>
              </w:rPr>
              <w:t xml:space="preserve"> a</w:t>
            </w:r>
          </w:p>
        </w:tc>
        <w:tc>
          <w:tcPr>
            <w:tcW w:w="0" w:type="auto"/>
            <w:shd w:val="clear" w:color="auto" w:fill="auto"/>
            <w:vAlign w:val="bottom"/>
          </w:tcPr>
          <w:p w14:paraId="3A65EBED" w14:textId="77777777" w:rsidR="00F44157" w:rsidRPr="00360ADC" w:rsidRDefault="00333557">
            <w:pPr>
              <w:rPr>
                <w:sz w:val="20"/>
                <w:szCs w:val="20"/>
              </w:rPr>
            </w:pPr>
            <w:r w:rsidRPr="00360ADC">
              <w:rPr>
                <w:sz w:val="20"/>
                <w:szCs w:val="20"/>
              </w:rPr>
              <w:t>567</w:t>
            </w:r>
            <w:r w:rsidRPr="00360ADC">
              <w:rPr>
                <w:sz w:val="20"/>
                <w:szCs w:val="20"/>
                <w:vertAlign w:val="superscript"/>
              </w:rPr>
              <w:t xml:space="preserve"> b</w:t>
            </w:r>
          </w:p>
        </w:tc>
        <w:tc>
          <w:tcPr>
            <w:tcW w:w="0" w:type="auto"/>
            <w:shd w:val="clear" w:color="auto" w:fill="auto"/>
            <w:vAlign w:val="bottom"/>
          </w:tcPr>
          <w:p w14:paraId="7318C1A8" w14:textId="77777777" w:rsidR="00F44157" w:rsidRPr="00360ADC" w:rsidRDefault="00333557">
            <w:pPr>
              <w:rPr>
                <w:sz w:val="20"/>
                <w:szCs w:val="20"/>
              </w:rPr>
            </w:pPr>
            <w:r w:rsidRPr="00360ADC">
              <w:rPr>
                <w:sz w:val="20"/>
                <w:szCs w:val="20"/>
              </w:rPr>
              <w:t>9,3</w:t>
            </w:r>
          </w:p>
        </w:tc>
        <w:tc>
          <w:tcPr>
            <w:tcW w:w="0" w:type="auto"/>
            <w:vAlign w:val="bottom"/>
          </w:tcPr>
          <w:p w14:paraId="17CA2CB7" w14:textId="77777777" w:rsidR="00F44157" w:rsidRPr="00360ADC" w:rsidRDefault="00333557">
            <w:pPr>
              <w:rPr>
                <w:sz w:val="20"/>
                <w:szCs w:val="20"/>
              </w:rPr>
            </w:pPr>
            <w:r w:rsidRPr="00360ADC">
              <w:rPr>
                <w:sz w:val="20"/>
                <w:szCs w:val="20"/>
              </w:rPr>
              <w:t>2017</w:t>
            </w:r>
          </w:p>
        </w:tc>
      </w:tr>
      <w:tr w:rsidR="00F44157" w:rsidRPr="00360ADC" w14:paraId="71D814BC" w14:textId="77777777" w:rsidTr="003E2299">
        <w:trPr>
          <w:trHeight w:val="227"/>
        </w:trPr>
        <w:tc>
          <w:tcPr>
            <w:tcW w:w="0" w:type="auto"/>
            <w:shd w:val="clear" w:color="auto" w:fill="auto"/>
            <w:vAlign w:val="bottom"/>
          </w:tcPr>
          <w:p w14:paraId="32DF08EF" w14:textId="77777777" w:rsidR="00F44157" w:rsidRPr="00360ADC" w:rsidRDefault="00F44157">
            <w:pPr>
              <w:ind w:left="360"/>
              <w:rPr>
                <w:sz w:val="20"/>
                <w:szCs w:val="20"/>
              </w:rPr>
            </w:pPr>
          </w:p>
        </w:tc>
        <w:tc>
          <w:tcPr>
            <w:tcW w:w="0" w:type="auto"/>
            <w:shd w:val="clear" w:color="auto" w:fill="auto"/>
            <w:vAlign w:val="bottom"/>
          </w:tcPr>
          <w:p w14:paraId="316688C6" w14:textId="77777777" w:rsidR="00F44157" w:rsidRPr="00360ADC" w:rsidRDefault="00333557">
            <w:pPr>
              <w:rPr>
                <w:sz w:val="20"/>
                <w:szCs w:val="20"/>
              </w:rPr>
            </w:pPr>
            <w:r w:rsidRPr="00360ADC">
              <w:rPr>
                <w:sz w:val="20"/>
                <w:szCs w:val="20"/>
              </w:rPr>
              <w:t>Costa Rica</w:t>
            </w:r>
          </w:p>
        </w:tc>
        <w:tc>
          <w:tcPr>
            <w:tcW w:w="0" w:type="auto"/>
            <w:gridSpan w:val="2"/>
            <w:shd w:val="clear" w:color="auto" w:fill="auto"/>
            <w:vAlign w:val="bottom"/>
          </w:tcPr>
          <w:p w14:paraId="4599E680" w14:textId="77777777" w:rsidR="00F44157" w:rsidRPr="00360ADC" w:rsidRDefault="00333557">
            <w:pPr>
              <w:rPr>
                <w:sz w:val="20"/>
                <w:szCs w:val="20"/>
              </w:rPr>
            </w:pPr>
            <w:r w:rsidRPr="00360ADC">
              <w:rPr>
                <w:sz w:val="20"/>
                <w:szCs w:val="20"/>
              </w:rPr>
              <w:t>4,808</w:t>
            </w:r>
            <w:r w:rsidRPr="00360ADC">
              <w:rPr>
                <w:sz w:val="20"/>
                <w:szCs w:val="20"/>
                <w:vertAlign w:val="superscript"/>
              </w:rPr>
              <w:t xml:space="preserve"> a</w:t>
            </w:r>
          </w:p>
        </w:tc>
        <w:tc>
          <w:tcPr>
            <w:tcW w:w="0" w:type="auto"/>
            <w:shd w:val="clear" w:color="auto" w:fill="auto"/>
            <w:vAlign w:val="bottom"/>
          </w:tcPr>
          <w:p w14:paraId="3C2C9CC9" w14:textId="77777777" w:rsidR="00F44157" w:rsidRPr="00360ADC" w:rsidRDefault="00333557">
            <w:pPr>
              <w:rPr>
                <w:sz w:val="20"/>
                <w:szCs w:val="20"/>
              </w:rPr>
            </w:pPr>
            <w:r w:rsidRPr="00360ADC">
              <w:rPr>
                <w:sz w:val="20"/>
                <w:szCs w:val="20"/>
              </w:rPr>
              <w:t>104</w:t>
            </w:r>
            <w:r w:rsidRPr="00360ADC">
              <w:rPr>
                <w:sz w:val="20"/>
                <w:szCs w:val="20"/>
                <w:vertAlign w:val="superscript"/>
              </w:rPr>
              <w:t xml:space="preserve"> c</w:t>
            </w:r>
          </w:p>
        </w:tc>
        <w:tc>
          <w:tcPr>
            <w:tcW w:w="0" w:type="auto"/>
            <w:shd w:val="clear" w:color="auto" w:fill="auto"/>
            <w:vAlign w:val="bottom"/>
          </w:tcPr>
          <w:p w14:paraId="16878E28" w14:textId="77777777" w:rsidR="00F44157" w:rsidRPr="00360ADC" w:rsidRDefault="00333557">
            <w:pPr>
              <w:rPr>
                <w:sz w:val="20"/>
                <w:szCs w:val="20"/>
              </w:rPr>
            </w:pPr>
            <w:r w:rsidRPr="00360ADC">
              <w:rPr>
                <w:sz w:val="20"/>
                <w:szCs w:val="20"/>
              </w:rPr>
              <w:t>2,2</w:t>
            </w:r>
          </w:p>
        </w:tc>
        <w:tc>
          <w:tcPr>
            <w:tcW w:w="0" w:type="auto"/>
            <w:vAlign w:val="bottom"/>
          </w:tcPr>
          <w:p w14:paraId="696564C7" w14:textId="77777777" w:rsidR="00F44157" w:rsidRPr="00360ADC" w:rsidRDefault="00333557">
            <w:pPr>
              <w:rPr>
                <w:sz w:val="20"/>
                <w:szCs w:val="20"/>
              </w:rPr>
            </w:pPr>
            <w:r w:rsidRPr="00360ADC">
              <w:rPr>
                <w:sz w:val="20"/>
                <w:szCs w:val="20"/>
              </w:rPr>
              <w:t>2010</w:t>
            </w:r>
          </w:p>
        </w:tc>
      </w:tr>
      <w:tr w:rsidR="00F44157" w:rsidRPr="00360ADC" w14:paraId="45EFB2F4" w14:textId="77777777" w:rsidTr="003E2299">
        <w:trPr>
          <w:trHeight w:val="227"/>
        </w:trPr>
        <w:tc>
          <w:tcPr>
            <w:tcW w:w="0" w:type="auto"/>
            <w:shd w:val="clear" w:color="auto" w:fill="auto"/>
            <w:vAlign w:val="bottom"/>
          </w:tcPr>
          <w:p w14:paraId="09A06676" w14:textId="77777777" w:rsidR="00F44157" w:rsidRPr="00360ADC" w:rsidRDefault="00F44157">
            <w:pPr>
              <w:ind w:left="360"/>
              <w:rPr>
                <w:sz w:val="20"/>
                <w:szCs w:val="20"/>
              </w:rPr>
            </w:pPr>
          </w:p>
        </w:tc>
        <w:tc>
          <w:tcPr>
            <w:tcW w:w="0" w:type="auto"/>
            <w:shd w:val="clear" w:color="auto" w:fill="auto"/>
            <w:vAlign w:val="bottom"/>
          </w:tcPr>
          <w:p w14:paraId="69878193" w14:textId="77777777" w:rsidR="00F44157" w:rsidRPr="00360ADC" w:rsidRDefault="00333557">
            <w:pPr>
              <w:rPr>
                <w:sz w:val="20"/>
                <w:szCs w:val="20"/>
              </w:rPr>
            </w:pPr>
            <w:r w:rsidRPr="00360ADC">
              <w:rPr>
                <w:sz w:val="20"/>
                <w:szCs w:val="20"/>
              </w:rPr>
              <w:t>Panama</w:t>
            </w:r>
          </w:p>
        </w:tc>
        <w:tc>
          <w:tcPr>
            <w:tcW w:w="0" w:type="auto"/>
            <w:gridSpan w:val="2"/>
            <w:shd w:val="clear" w:color="auto" w:fill="auto"/>
            <w:vAlign w:val="bottom"/>
          </w:tcPr>
          <w:p w14:paraId="0E82D3E6" w14:textId="77777777" w:rsidR="00F44157" w:rsidRPr="00360ADC" w:rsidRDefault="00333557">
            <w:pPr>
              <w:rPr>
                <w:sz w:val="20"/>
                <w:szCs w:val="20"/>
              </w:rPr>
            </w:pPr>
            <w:r w:rsidRPr="00360ADC">
              <w:rPr>
                <w:sz w:val="20"/>
                <w:szCs w:val="20"/>
              </w:rPr>
              <w:t>3,929</w:t>
            </w:r>
            <w:r w:rsidRPr="00360ADC">
              <w:rPr>
                <w:sz w:val="20"/>
                <w:szCs w:val="20"/>
                <w:vertAlign w:val="superscript"/>
              </w:rPr>
              <w:t xml:space="preserve"> a</w:t>
            </w:r>
          </w:p>
        </w:tc>
        <w:tc>
          <w:tcPr>
            <w:tcW w:w="0" w:type="auto"/>
            <w:shd w:val="clear" w:color="auto" w:fill="auto"/>
            <w:vAlign w:val="bottom"/>
          </w:tcPr>
          <w:p w14:paraId="4C07DCD2" w14:textId="77777777" w:rsidR="00F44157" w:rsidRPr="00360ADC" w:rsidRDefault="00333557">
            <w:pPr>
              <w:rPr>
                <w:sz w:val="20"/>
                <w:szCs w:val="20"/>
              </w:rPr>
            </w:pPr>
            <w:r w:rsidRPr="00360ADC">
              <w:rPr>
                <w:sz w:val="20"/>
                <w:szCs w:val="20"/>
              </w:rPr>
              <w:t>418</w:t>
            </w:r>
            <w:r w:rsidRPr="00360ADC">
              <w:rPr>
                <w:sz w:val="20"/>
                <w:szCs w:val="20"/>
                <w:vertAlign w:val="superscript"/>
              </w:rPr>
              <w:t xml:space="preserve"> c</w:t>
            </w:r>
          </w:p>
        </w:tc>
        <w:tc>
          <w:tcPr>
            <w:tcW w:w="0" w:type="auto"/>
            <w:shd w:val="clear" w:color="auto" w:fill="auto"/>
            <w:vAlign w:val="bottom"/>
          </w:tcPr>
          <w:p w14:paraId="64AF3BF4" w14:textId="77777777" w:rsidR="00F44157" w:rsidRPr="00360ADC" w:rsidRDefault="00333557">
            <w:pPr>
              <w:rPr>
                <w:sz w:val="20"/>
                <w:szCs w:val="20"/>
              </w:rPr>
            </w:pPr>
            <w:r w:rsidRPr="00360ADC">
              <w:rPr>
                <w:sz w:val="20"/>
                <w:szCs w:val="20"/>
              </w:rPr>
              <w:t>10,6</w:t>
            </w:r>
          </w:p>
        </w:tc>
        <w:tc>
          <w:tcPr>
            <w:tcW w:w="0" w:type="auto"/>
            <w:vAlign w:val="bottom"/>
          </w:tcPr>
          <w:p w14:paraId="319BED69" w14:textId="77777777" w:rsidR="00F44157" w:rsidRPr="00360ADC" w:rsidRDefault="00333557">
            <w:pPr>
              <w:rPr>
                <w:sz w:val="20"/>
                <w:szCs w:val="20"/>
              </w:rPr>
            </w:pPr>
            <w:r w:rsidRPr="00360ADC">
              <w:rPr>
                <w:sz w:val="20"/>
                <w:szCs w:val="20"/>
              </w:rPr>
              <w:t>2010</w:t>
            </w:r>
          </w:p>
        </w:tc>
      </w:tr>
      <w:tr w:rsidR="00F44157" w:rsidRPr="00360ADC" w14:paraId="30491570" w14:textId="77777777" w:rsidTr="003E2299">
        <w:trPr>
          <w:trHeight w:val="227"/>
        </w:trPr>
        <w:tc>
          <w:tcPr>
            <w:tcW w:w="0" w:type="auto"/>
            <w:shd w:val="clear" w:color="auto" w:fill="auto"/>
            <w:vAlign w:val="bottom"/>
          </w:tcPr>
          <w:p w14:paraId="17B1245E" w14:textId="77777777" w:rsidR="00F44157" w:rsidRPr="00360ADC" w:rsidRDefault="00F44157">
            <w:pPr>
              <w:ind w:left="360"/>
              <w:rPr>
                <w:sz w:val="20"/>
                <w:szCs w:val="20"/>
              </w:rPr>
            </w:pPr>
          </w:p>
        </w:tc>
        <w:tc>
          <w:tcPr>
            <w:tcW w:w="0" w:type="auto"/>
            <w:shd w:val="clear" w:color="auto" w:fill="auto"/>
            <w:vAlign w:val="bottom"/>
          </w:tcPr>
          <w:p w14:paraId="01CCE8F1" w14:textId="77777777" w:rsidR="00F44157" w:rsidRPr="00360ADC" w:rsidRDefault="00333557">
            <w:pPr>
              <w:rPr>
                <w:sz w:val="20"/>
                <w:szCs w:val="20"/>
              </w:rPr>
            </w:pPr>
            <w:r w:rsidRPr="00360ADC">
              <w:rPr>
                <w:sz w:val="20"/>
                <w:szCs w:val="20"/>
              </w:rPr>
              <w:t>Honduras</w:t>
            </w:r>
          </w:p>
        </w:tc>
        <w:tc>
          <w:tcPr>
            <w:tcW w:w="0" w:type="auto"/>
            <w:gridSpan w:val="2"/>
            <w:shd w:val="clear" w:color="auto" w:fill="auto"/>
            <w:vAlign w:val="bottom"/>
          </w:tcPr>
          <w:p w14:paraId="2D112145" w14:textId="77777777" w:rsidR="00F44157" w:rsidRPr="00360ADC" w:rsidRDefault="00333557">
            <w:pPr>
              <w:rPr>
                <w:sz w:val="20"/>
                <w:szCs w:val="20"/>
              </w:rPr>
            </w:pPr>
            <w:r w:rsidRPr="00360ADC">
              <w:rPr>
                <w:sz w:val="20"/>
                <w:szCs w:val="20"/>
              </w:rPr>
              <w:t>8,075</w:t>
            </w:r>
            <w:r w:rsidRPr="00360ADC">
              <w:rPr>
                <w:sz w:val="20"/>
                <w:szCs w:val="20"/>
                <w:vertAlign w:val="superscript"/>
              </w:rPr>
              <w:t xml:space="preserve"> a</w:t>
            </w:r>
          </w:p>
        </w:tc>
        <w:tc>
          <w:tcPr>
            <w:tcW w:w="0" w:type="auto"/>
            <w:shd w:val="clear" w:color="auto" w:fill="auto"/>
            <w:vAlign w:val="bottom"/>
          </w:tcPr>
          <w:p w14:paraId="053624FF" w14:textId="77777777" w:rsidR="00F44157" w:rsidRPr="00360ADC" w:rsidRDefault="00333557">
            <w:pPr>
              <w:rPr>
                <w:sz w:val="20"/>
                <w:szCs w:val="20"/>
              </w:rPr>
            </w:pPr>
            <w:r w:rsidRPr="00360ADC">
              <w:rPr>
                <w:sz w:val="20"/>
                <w:szCs w:val="20"/>
              </w:rPr>
              <w:t>922</w:t>
            </w:r>
            <w:r w:rsidRPr="00360ADC">
              <w:rPr>
                <w:sz w:val="20"/>
                <w:szCs w:val="20"/>
                <w:vertAlign w:val="superscript"/>
              </w:rPr>
              <w:t>d</w:t>
            </w:r>
          </w:p>
        </w:tc>
        <w:tc>
          <w:tcPr>
            <w:tcW w:w="0" w:type="auto"/>
            <w:shd w:val="clear" w:color="auto" w:fill="auto"/>
            <w:vAlign w:val="bottom"/>
          </w:tcPr>
          <w:p w14:paraId="0935F559" w14:textId="77777777" w:rsidR="00F44157" w:rsidRPr="00360ADC" w:rsidRDefault="00333557">
            <w:pPr>
              <w:rPr>
                <w:sz w:val="20"/>
                <w:szCs w:val="20"/>
              </w:rPr>
            </w:pPr>
            <w:r w:rsidRPr="00360ADC">
              <w:rPr>
                <w:sz w:val="20"/>
                <w:szCs w:val="20"/>
              </w:rPr>
              <w:t>11,4</w:t>
            </w:r>
          </w:p>
        </w:tc>
        <w:tc>
          <w:tcPr>
            <w:tcW w:w="0" w:type="auto"/>
            <w:vAlign w:val="bottom"/>
          </w:tcPr>
          <w:p w14:paraId="76121F56" w14:textId="77777777" w:rsidR="00F44157" w:rsidRPr="00360ADC" w:rsidRDefault="00333557">
            <w:pPr>
              <w:rPr>
                <w:sz w:val="20"/>
                <w:szCs w:val="20"/>
              </w:rPr>
            </w:pPr>
            <w:r w:rsidRPr="00360ADC">
              <w:rPr>
                <w:sz w:val="20"/>
                <w:szCs w:val="20"/>
              </w:rPr>
              <w:t>2006</w:t>
            </w:r>
          </w:p>
        </w:tc>
      </w:tr>
      <w:tr w:rsidR="00F44157" w:rsidRPr="00360ADC" w14:paraId="5C28DBF3" w14:textId="77777777" w:rsidTr="003E2299">
        <w:trPr>
          <w:trHeight w:val="227"/>
        </w:trPr>
        <w:tc>
          <w:tcPr>
            <w:tcW w:w="0" w:type="auto"/>
            <w:shd w:val="clear" w:color="auto" w:fill="auto"/>
            <w:vAlign w:val="bottom"/>
          </w:tcPr>
          <w:p w14:paraId="7EC83270" w14:textId="77777777" w:rsidR="00F44157" w:rsidRPr="00360ADC" w:rsidRDefault="00F44157">
            <w:pPr>
              <w:ind w:left="360"/>
              <w:rPr>
                <w:sz w:val="20"/>
                <w:szCs w:val="20"/>
              </w:rPr>
            </w:pPr>
          </w:p>
        </w:tc>
        <w:tc>
          <w:tcPr>
            <w:tcW w:w="0" w:type="auto"/>
            <w:shd w:val="clear" w:color="auto" w:fill="auto"/>
            <w:vAlign w:val="bottom"/>
          </w:tcPr>
          <w:p w14:paraId="61440133" w14:textId="77777777" w:rsidR="00F44157" w:rsidRPr="00360ADC" w:rsidRDefault="00333557">
            <w:pPr>
              <w:rPr>
                <w:sz w:val="20"/>
                <w:szCs w:val="20"/>
              </w:rPr>
            </w:pPr>
            <w:r w:rsidRPr="00360ADC">
              <w:rPr>
                <w:sz w:val="20"/>
                <w:szCs w:val="20"/>
              </w:rPr>
              <w:t>Belize</w:t>
            </w:r>
          </w:p>
        </w:tc>
        <w:tc>
          <w:tcPr>
            <w:tcW w:w="0" w:type="auto"/>
            <w:gridSpan w:val="2"/>
            <w:shd w:val="clear" w:color="auto" w:fill="auto"/>
            <w:vAlign w:val="bottom"/>
          </w:tcPr>
          <w:p w14:paraId="08EEEDF4" w14:textId="77777777" w:rsidR="00F44157" w:rsidRPr="00360ADC" w:rsidRDefault="00333557">
            <w:pPr>
              <w:rPr>
                <w:sz w:val="20"/>
                <w:szCs w:val="20"/>
              </w:rPr>
            </w:pPr>
            <w:r w:rsidRPr="00360ADC">
              <w:rPr>
                <w:sz w:val="20"/>
                <w:szCs w:val="20"/>
              </w:rPr>
              <w:t>359</w:t>
            </w:r>
            <w:r w:rsidRPr="00360ADC">
              <w:rPr>
                <w:sz w:val="20"/>
                <w:szCs w:val="20"/>
                <w:vertAlign w:val="superscript"/>
              </w:rPr>
              <w:t xml:space="preserve"> a</w:t>
            </w:r>
          </w:p>
        </w:tc>
        <w:tc>
          <w:tcPr>
            <w:tcW w:w="0" w:type="auto"/>
            <w:shd w:val="clear" w:color="auto" w:fill="auto"/>
            <w:vAlign w:val="bottom"/>
          </w:tcPr>
          <w:p w14:paraId="512B56BF" w14:textId="77777777" w:rsidR="00F44157" w:rsidRPr="00360ADC" w:rsidRDefault="00333557">
            <w:pPr>
              <w:rPr>
                <w:sz w:val="20"/>
                <w:szCs w:val="20"/>
              </w:rPr>
            </w:pPr>
            <w:r w:rsidRPr="00360ADC">
              <w:rPr>
                <w:sz w:val="20"/>
                <w:szCs w:val="20"/>
              </w:rPr>
              <w:t>44</w:t>
            </w:r>
            <w:r w:rsidRPr="00360ADC">
              <w:rPr>
                <w:sz w:val="20"/>
                <w:szCs w:val="20"/>
                <w:vertAlign w:val="superscript"/>
              </w:rPr>
              <w:t xml:space="preserve"> d</w:t>
            </w:r>
          </w:p>
        </w:tc>
        <w:tc>
          <w:tcPr>
            <w:tcW w:w="0" w:type="auto"/>
            <w:shd w:val="clear" w:color="auto" w:fill="auto"/>
            <w:vAlign w:val="bottom"/>
          </w:tcPr>
          <w:p w14:paraId="06ABC491" w14:textId="77777777" w:rsidR="00F44157" w:rsidRPr="00360ADC" w:rsidRDefault="00333557">
            <w:pPr>
              <w:rPr>
                <w:sz w:val="20"/>
                <w:szCs w:val="20"/>
              </w:rPr>
            </w:pPr>
            <w:r w:rsidRPr="00360ADC">
              <w:rPr>
                <w:sz w:val="20"/>
                <w:szCs w:val="20"/>
              </w:rPr>
              <w:t>12,3</w:t>
            </w:r>
          </w:p>
        </w:tc>
        <w:tc>
          <w:tcPr>
            <w:tcW w:w="0" w:type="auto"/>
            <w:vAlign w:val="bottom"/>
          </w:tcPr>
          <w:p w14:paraId="06A0A6BA" w14:textId="77777777" w:rsidR="00F44157" w:rsidRPr="00360ADC" w:rsidRDefault="00333557">
            <w:pPr>
              <w:rPr>
                <w:sz w:val="20"/>
                <w:szCs w:val="20"/>
              </w:rPr>
            </w:pPr>
            <w:r w:rsidRPr="00360ADC">
              <w:rPr>
                <w:sz w:val="20"/>
                <w:szCs w:val="20"/>
              </w:rPr>
              <w:t>2006</w:t>
            </w:r>
          </w:p>
        </w:tc>
      </w:tr>
      <w:tr w:rsidR="00F44157" w:rsidRPr="00360ADC" w14:paraId="089368B3" w14:textId="77777777" w:rsidTr="003E2299">
        <w:trPr>
          <w:trHeight w:val="227"/>
        </w:trPr>
        <w:tc>
          <w:tcPr>
            <w:tcW w:w="0" w:type="auto"/>
            <w:shd w:val="clear" w:color="auto" w:fill="auto"/>
            <w:vAlign w:val="bottom"/>
          </w:tcPr>
          <w:p w14:paraId="268AE3D4" w14:textId="77777777" w:rsidR="00F44157" w:rsidRPr="00360ADC" w:rsidRDefault="00F44157">
            <w:pPr>
              <w:ind w:left="360"/>
              <w:rPr>
                <w:sz w:val="20"/>
                <w:szCs w:val="20"/>
              </w:rPr>
            </w:pPr>
          </w:p>
        </w:tc>
        <w:tc>
          <w:tcPr>
            <w:tcW w:w="0" w:type="auto"/>
            <w:shd w:val="clear" w:color="auto" w:fill="auto"/>
            <w:vAlign w:val="bottom"/>
          </w:tcPr>
          <w:p w14:paraId="3952FABB" w14:textId="77777777" w:rsidR="00F44157" w:rsidRPr="00360ADC" w:rsidRDefault="00333557">
            <w:pPr>
              <w:rPr>
                <w:sz w:val="20"/>
                <w:szCs w:val="20"/>
              </w:rPr>
            </w:pPr>
            <w:r w:rsidRPr="00360ADC">
              <w:rPr>
                <w:sz w:val="20"/>
                <w:szCs w:val="20"/>
              </w:rPr>
              <w:t>El Salvador</w:t>
            </w:r>
          </w:p>
        </w:tc>
        <w:tc>
          <w:tcPr>
            <w:tcW w:w="0" w:type="auto"/>
            <w:gridSpan w:val="2"/>
            <w:shd w:val="clear" w:color="auto" w:fill="auto"/>
            <w:vAlign w:val="bottom"/>
          </w:tcPr>
          <w:p w14:paraId="3F69B30C" w14:textId="77777777" w:rsidR="00F44157" w:rsidRPr="00360ADC" w:rsidRDefault="00333557">
            <w:pPr>
              <w:rPr>
                <w:sz w:val="20"/>
                <w:szCs w:val="20"/>
              </w:rPr>
            </w:pPr>
            <w:r w:rsidRPr="00360ADC">
              <w:rPr>
                <w:sz w:val="20"/>
                <w:szCs w:val="20"/>
              </w:rPr>
              <w:t>6,127</w:t>
            </w:r>
            <w:r w:rsidRPr="00360ADC">
              <w:rPr>
                <w:sz w:val="20"/>
                <w:szCs w:val="20"/>
                <w:vertAlign w:val="superscript"/>
              </w:rPr>
              <w:t xml:space="preserve"> a</w:t>
            </w:r>
          </w:p>
        </w:tc>
        <w:tc>
          <w:tcPr>
            <w:tcW w:w="0" w:type="auto"/>
            <w:shd w:val="clear" w:color="auto" w:fill="auto"/>
            <w:vAlign w:val="bottom"/>
          </w:tcPr>
          <w:p w14:paraId="5506A867" w14:textId="77777777" w:rsidR="00F44157" w:rsidRPr="00360ADC" w:rsidRDefault="00333557">
            <w:pPr>
              <w:rPr>
                <w:sz w:val="20"/>
                <w:szCs w:val="20"/>
              </w:rPr>
            </w:pPr>
            <w:r w:rsidRPr="00360ADC">
              <w:rPr>
                <w:sz w:val="20"/>
                <w:szCs w:val="20"/>
              </w:rPr>
              <w:t>422</w:t>
            </w:r>
            <w:r w:rsidRPr="00360ADC">
              <w:rPr>
                <w:sz w:val="20"/>
                <w:szCs w:val="20"/>
                <w:vertAlign w:val="superscript"/>
              </w:rPr>
              <w:t xml:space="preserve"> d</w:t>
            </w:r>
          </w:p>
        </w:tc>
        <w:tc>
          <w:tcPr>
            <w:tcW w:w="0" w:type="auto"/>
            <w:shd w:val="clear" w:color="auto" w:fill="auto"/>
            <w:vAlign w:val="bottom"/>
          </w:tcPr>
          <w:p w14:paraId="7B775779" w14:textId="77777777" w:rsidR="00F44157" w:rsidRPr="00360ADC" w:rsidRDefault="00333557">
            <w:pPr>
              <w:rPr>
                <w:sz w:val="20"/>
                <w:szCs w:val="20"/>
              </w:rPr>
            </w:pPr>
            <w:r w:rsidRPr="00360ADC">
              <w:rPr>
                <w:sz w:val="20"/>
                <w:szCs w:val="20"/>
              </w:rPr>
              <w:t>6,9</w:t>
            </w:r>
          </w:p>
        </w:tc>
        <w:tc>
          <w:tcPr>
            <w:tcW w:w="0" w:type="auto"/>
            <w:vAlign w:val="bottom"/>
          </w:tcPr>
          <w:p w14:paraId="2C63B7EA" w14:textId="77777777" w:rsidR="00F44157" w:rsidRPr="00360ADC" w:rsidRDefault="00333557">
            <w:pPr>
              <w:rPr>
                <w:sz w:val="20"/>
                <w:szCs w:val="20"/>
              </w:rPr>
            </w:pPr>
            <w:r w:rsidRPr="00360ADC">
              <w:rPr>
                <w:sz w:val="20"/>
                <w:szCs w:val="20"/>
              </w:rPr>
              <w:t>2006</w:t>
            </w:r>
          </w:p>
        </w:tc>
      </w:tr>
      <w:tr w:rsidR="00F44157" w:rsidRPr="00360ADC" w14:paraId="62E1CAB0" w14:textId="77777777" w:rsidTr="003E2299">
        <w:trPr>
          <w:trHeight w:val="227"/>
        </w:trPr>
        <w:tc>
          <w:tcPr>
            <w:tcW w:w="0" w:type="auto"/>
            <w:shd w:val="clear" w:color="auto" w:fill="BFBFBF" w:themeFill="background1" w:themeFillShade="BF"/>
            <w:vAlign w:val="bottom"/>
          </w:tcPr>
          <w:p w14:paraId="1A244298" w14:textId="77777777" w:rsidR="00F44157" w:rsidRPr="00360ADC" w:rsidRDefault="00333557">
            <w:pPr>
              <w:rPr>
                <w:sz w:val="20"/>
                <w:szCs w:val="20"/>
              </w:rPr>
            </w:pPr>
            <w:r w:rsidRPr="00360ADC">
              <w:rPr>
                <w:sz w:val="20"/>
                <w:szCs w:val="20"/>
              </w:rPr>
              <w:t>South America</w:t>
            </w:r>
          </w:p>
        </w:tc>
        <w:tc>
          <w:tcPr>
            <w:tcW w:w="0" w:type="auto"/>
            <w:shd w:val="clear" w:color="auto" w:fill="BFBFBF" w:themeFill="background1" w:themeFillShade="BF"/>
            <w:vAlign w:val="bottom"/>
          </w:tcPr>
          <w:p w14:paraId="7C1B7118" w14:textId="77777777" w:rsidR="00F44157" w:rsidRPr="00360ADC" w:rsidRDefault="00F44157">
            <w:pPr>
              <w:rPr>
                <w:sz w:val="20"/>
                <w:szCs w:val="20"/>
              </w:rPr>
            </w:pPr>
          </w:p>
        </w:tc>
        <w:tc>
          <w:tcPr>
            <w:tcW w:w="0" w:type="auto"/>
            <w:gridSpan w:val="2"/>
            <w:shd w:val="clear" w:color="auto" w:fill="BFBFBF" w:themeFill="background1" w:themeFillShade="BF"/>
            <w:vAlign w:val="bottom"/>
          </w:tcPr>
          <w:p w14:paraId="43CEA88B" w14:textId="77777777" w:rsidR="00F44157" w:rsidRPr="00360ADC" w:rsidRDefault="00333557">
            <w:pPr>
              <w:rPr>
                <w:sz w:val="20"/>
                <w:szCs w:val="20"/>
              </w:rPr>
            </w:pPr>
            <w:r w:rsidRPr="00360ADC">
              <w:rPr>
                <w:sz w:val="20"/>
                <w:szCs w:val="20"/>
              </w:rPr>
              <w:t>418,420</w:t>
            </w:r>
          </w:p>
        </w:tc>
        <w:tc>
          <w:tcPr>
            <w:tcW w:w="0" w:type="auto"/>
            <w:shd w:val="clear" w:color="auto" w:fill="BFBFBF" w:themeFill="background1" w:themeFillShade="BF"/>
            <w:vAlign w:val="bottom"/>
          </w:tcPr>
          <w:p w14:paraId="6A24BC07" w14:textId="77777777" w:rsidR="00F44157" w:rsidRPr="00360ADC" w:rsidRDefault="00333557">
            <w:pPr>
              <w:rPr>
                <w:sz w:val="20"/>
                <w:szCs w:val="20"/>
              </w:rPr>
            </w:pPr>
            <w:r w:rsidRPr="00360ADC">
              <w:rPr>
                <w:sz w:val="20"/>
                <w:szCs w:val="20"/>
              </w:rPr>
              <w:t>24,277</w:t>
            </w:r>
          </w:p>
        </w:tc>
        <w:tc>
          <w:tcPr>
            <w:tcW w:w="0" w:type="auto"/>
            <w:shd w:val="clear" w:color="auto" w:fill="BFBFBF" w:themeFill="background1" w:themeFillShade="BF"/>
            <w:vAlign w:val="bottom"/>
          </w:tcPr>
          <w:p w14:paraId="1E4E4916" w14:textId="77777777" w:rsidR="00F44157" w:rsidRPr="00360ADC" w:rsidRDefault="00333557">
            <w:pPr>
              <w:rPr>
                <w:sz w:val="20"/>
                <w:szCs w:val="20"/>
              </w:rPr>
            </w:pPr>
            <w:r w:rsidRPr="00360ADC">
              <w:rPr>
                <w:sz w:val="20"/>
                <w:szCs w:val="20"/>
              </w:rPr>
              <w:t>5,8</w:t>
            </w:r>
          </w:p>
        </w:tc>
        <w:tc>
          <w:tcPr>
            <w:tcW w:w="0" w:type="auto"/>
            <w:shd w:val="clear" w:color="auto" w:fill="BFBFBF" w:themeFill="background1" w:themeFillShade="BF"/>
            <w:vAlign w:val="bottom"/>
          </w:tcPr>
          <w:p w14:paraId="3C56A417" w14:textId="77777777" w:rsidR="00F44157" w:rsidRPr="00360ADC" w:rsidRDefault="00F44157">
            <w:pPr>
              <w:rPr>
                <w:sz w:val="20"/>
                <w:szCs w:val="20"/>
              </w:rPr>
            </w:pPr>
          </w:p>
        </w:tc>
      </w:tr>
      <w:tr w:rsidR="00F44157" w:rsidRPr="00360ADC" w14:paraId="1F142294" w14:textId="77777777" w:rsidTr="003E2299">
        <w:trPr>
          <w:trHeight w:val="227"/>
        </w:trPr>
        <w:tc>
          <w:tcPr>
            <w:tcW w:w="0" w:type="auto"/>
            <w:shd w:val="clear" w:color="auto" w:fill="auto"/>
            <w:vAlign w:val="bottom"/>
          </w:tcPr>
          <w:p w14:paraId="0B29B4F5" w14:textId="77777777" w:rsidR="00F44157" w:rsidRPr="00360ADC" w:rsidRDefault="00F44157">
            <w:pPr>
              <w:ind w:left="360"/>
              <w:rPr>
                <w:sz w:val="20"/>
                <w:szCs w:val="20"/>
              </w:rPr>
            </w:pPr>
          </w:p>
        </w:tc>
        <w:tc>
          <w:tcPr>
            <w:tcW w:w="0" w:type="auto"/>
            <w:shd w:val="clear" w:color="auto" w:fill="auto"/>
            <w:vAlign w:val="bottom"/>
          </w:tcPr>
          <w:p w14:paraId="5A0FC783" w14:textId="77777777" w:rsidR="00F44157" w:rsidRPr="00360ADC" w:rsidRDefault="00333557">
            <w:pPr>
              <w:rPr>
                <w:sz w:val="20"/>
                <w:szCs w:val="20"/>
              </w:rPr>
            </w:pPr>
            <w:r w:rsidRPr="00360ADC">
              <w:rPr>
                <w:sz w:val="20"/>
                <w:szCs w:val="20"/>
              </w:rPr>
              <w:t>Argentina</w:t>
            </w:r>
          </w:p>
        </w:tc>
        <w:tc>
          <w:tcPr>
            <w:tcW w:w="0" w:type="auto"/>
            <w:gridSpan w:val="2"/>
            <w:shd w:val="clear" w:color="auto" w:fill="auto"/>
            <w:vAlign w:val="bottom"/>
          </w:tcPr>
          <w:p w14:paraId="2A65C262" w14:textId="77777777" w:rsidR="00F44157" w:rsidRPr="00360ADC" w:rsidRDefault="00333557">
            <w:pPr>
              <w:rPr>
                <w:sz w:val="20"/>
                <w:szCs w:val="20"/>
              </w:rPr>
            </w:pPr>
            <w:r w:rsidRPr="00360ADC">
              <w:rPr>
                <w:sz w:val="20"/>
                <w:szCs w:val="20"/>
              </w:rPr>
              <w:t>43,416</w:t>
            </w:r>
            <w:r w:rsidRPr="00360ADC">
              <w:rPr>
                <w:sz w:val="20"/>
                <w:szCs w:val="20"/>
                <w:vertAlign w:val="superscript"/>
              </w:rPr>
              <w:t xml:space="preserve"> a</w:t>
            </w:r>
          </w:p>
        </w:tc>
        <w:tc>
          <w:tcPr>
            <w:tcW w:w="0" w:type="auto"/>
            <w:shd w:val="clear" w:color="auto" w:fill="auto"/>
            <w:vAlign w:val="bottom"/>
          </w:tcPr>
          <w:p w14:paraId="1CDF029E" w14:textId="77777777" w:rsidR="00F44157" w:rsidRPr="00360ADC" w:rsidRDefault="00333557">
            <w:pPr>
              <w:rPr>
                <w:sz w:val="20"/>
                <w:szCs w:val="20"/>
              </w:rPr>
            </w:pPr>
            <w:r w:rsidRPr="00360ADC">
              <w:rPr>
                <w:sz w:val="20"/>
                <w:szCs w:val="20"/>
              </w:rPr>
              <w:t>955</w:t>
            </w:r>
            <w:r w:rsidRPr="00360ADC">
              <w:rPr>
                <w:sz w:val="20"/>
                <w:szCs w:val="20"/>
                <w:vertAlign w:val="superscript"/>
              </w:rPr>
              <w:t xml:space="preserve"> b</w:t>
            </w:r>
          </w:p>
        </w:tc>
        <w:tc>
          <w:tcPr>
            <w:tcW w:w="0" w:type="auto"/>
            <w:shd w:val="clear" w:color="auto" w:fill="auto"/>
            <w:vAlign w:val="bottom"/>
          </w:tcPr>
          <w:p w14:paraId="32743925" w14:textId="77777777" w:rsidR="00F44157" w:rsidRPr="00360ADC" w:rsidRDefault="00333557">
            <w:pPr>
              <w:rPr>
                <w:sz w:val="20"/>
                <w:szCs w:val="20"/>
              </w:rPr>
            </w:pPr>
            <w:r w:rsidRPr="00360ADC">
              <w:rPr>
                <w:sz w:val="20"/>
                <w:szCs w:val="20"/>
              </w:rPr>
              <w:t>2,2</w:t>
            </w:r>
          </w:p>
        </w:tc>
        <w:tc>
          <w:tcPr>
            <w:tcW w:w="0" w:type="auto"/>
            <w:vAlign w:val="bottom"/>
          </w:tcPr>
          <w:p w14:paraId="2FC120CD" w14:textId="77777777" w:rsidR="00F44157" w:rsidRPr="00360ADC" w:rsidRDefault="00333557">
            <w:pPr>
              <w:rPr>
                <w:sz w:val="20"/>
                <w:szCs w:val="20"/>
              </w:rPr>
            </w:pPr>
            <w:r w:rsidRPr="00360ADC">
              <w:rPr>
                <w:sz w:val="20"/>
                <w:szCs w:val="20"/>
              </w:rPr>
              <w:t>2017</w:t>
            </w:r>
          </w:p>
        </w:tc>
      </w:tr>
      <w:tr w:rsidR="00F44157" w:rsidRPr="00360ADC" w14:paraId="0743241F" w14:textId="77777777" w:rsidTr="003E2299">
        <w:trPr>
          <w:trHeight w:val="227"/>
        </w:trPr>
        <w:tc>
          <w:tcPr>
            <w:tcW w:w="0" w:type="auto"/>
            <w:shd w:val="clear" w:color="auto" w:fill="auto"/>
            <w:vAlign w:val="bottom"/>
          </w:tcPr>
          <w:p w14:paraId="627F53E4" w14:textId="77777777" w:rsidR="00F44157" w:rsidRPr="00360ADC" w:rsidRDefault="00F44157">
            <w:pPr>
              <w:ind w:left="360"/>
              <w:rPr>
                <w:sz w:val="20"/>
                <w:szCs w:val="20"/>
              </w:rPr>
            </w:pPr>
          </w:p>
        </w:tc>
        <w:tc>
          <w:tcPr>
            <w:tcW w:w="0" w:type="auto"/>
            <w:shd w:val="clear" w:color="auto" w:fill="auto"/>
            <w:vAlign w:val="bottom"/>
          </w:tcPr>
          <w:p w14:paraId="49C240A6" w14:textId="77777777" w:rsidR="00F44157" w:rsidRPr="00360ADC" w:rsidRDefault="00333557">
            <w:pPr>
              <w:rPr>
                <w:sz w:val="20"/>
                <w:szCs w:val="20"/>
              </w:rPr>
            </w:pPr>
            <w:r w:rsidRPr="00360ADC">
              <w:rPr>
                <w:sz w:val="20"/>
                <w:szCs w:val="20"/>
              </w:rPr>
              <w:t>Bolivia</w:t>
            </w:r>
          </w:p>
        </w:tc>
        <w:tc>
          <w:tcPr>
            <w:tcW w:w="0" w:type="auto"/>
            <w:gridSpan w:val="2"/>
            <w:shd w:val="clear" w:color="auto" w:fill="auto"/>
            <w:vAlign w:val="bottom"/>
          </w:tcPr>
          <w:p w14:paraId="3C36EC95" w14:textId="77777777" w:rsidR="00F44157" w:rsidRPr="00360ADC" w:rsidRDefault="00333557">
            <w:pPr>
              <w:rPr>
                <w:sz w:val="20"/>
                <w:szCs w:val="20"/>
              </w:rPr>
            </w:pPr>
            <w:r w:rsidRPr="00360ADC">
              <w:rPr>
                <w:sz w:val="20"/>
                <w:szCs w:val="20"/>
              </w:rPr>
              <w:t>10,725</w:t>
            </w:r>
            <w:r w:rsidRPr="00360ADC">
              <w:rPr>
                <w:sz w:val="20"/>
                <w:szCs w:val="20"/>
                <w:vertAlign w:val="superscript"/>
              </w:rPr>
              <w:t xml:space="preserve"> a</w:t>
            </w:r>
          </w:p>
        </w:tc>
        <w:tc>
          <w:tcPr>
            <w:tcW w:w="0" w:type="auto"/>
            <w:shd w:val="clear" w:color="auto" w:fill="auto"/>
            <w:vAlign w:val="bottom"/>
          </w:tcPr>
          <w:p w14:paraId="221EE686" w14:textId="77777777" w:rsidR="00F44157" w:rsidRPr="00360ADC" w:rsidRDefault="00333557">
            <w:pPr>
              <w:rPr>
                <w:sz w:val="20"/>
                <w:szCs w:val="20"/>
              </w:rPr>
            </w:pPr>
            <w:r w:rsidRPr="00360ADC">
              <w:rPr>
                <w:sz w:val="20"/>
                <w:szCs w:val="20"/>
              </w:rPr>
              <w:t>5,652</w:t>
            </w:r>
            <w:r w:rsidRPr="00360ADC">
              <w:rPr>
                <w:sz w:val="20"/>
                <w:szCs w:val="20"/>
                <w:vertAlign w:val="superscript"/>
              </w:rPr>
              <w:t xml:space="preserve"> d </w:t>
            </w:r>
          </w:p>
        </w:tc>
        <w:tc>
          <w:tcPr>
            <w:tcW w:w="0" w:type="auto"/>
            <w:shd w:val="clear" w:color="auto" w:fill="auto"/>
            <w:vAlign w:val="bottom"/>
          </w:tcPr>
          <w:p w14:paraId="167E66B8" w14:textId="77777777" w:rsidR="00F44157" w:rsidRPr="00360ADC" w:rsidRDefault="00333557">
            <w:pPr>
              <w:rPr>
                <w:sz w:val="20"/>
                <w:szCs w:val="20"/>
              </w:rPr>
            </w:pPr>
            <w:r w:rsidRPr="00360ADC">
              <w:rPr>
                <w:sz w:val="20"/>
                <w:szCs w:val="20"/>
              </w:rPr>
              <w:t>52,7</w:t>
            </w:r>
          </w:p>
        </w:tc>
        <w:tc>
          <w:tcPr>
            <w:tcW w:w="0" w:type="auto"/>
            <w:vAlign w:val="bottom"/>
          </w:tcPr>
          <w:p w14:paraId="0A3751A0" w14:textId="77777777" w:rsidR="00F44157" w:rsidRPr="00360ADC" w:rsidRDefault="00333557">
            <w:pPr>
              <w:rPr>
                <w:sz w:val="20"/>
                <w:szCs w:val="20"/>
              </w:rPr>
            </w:pPr>
            <w:r w:rsidRPr="00360ADC">
              <w:rPr>
                <w:sz w:val="20"/>
                <w:szCs w:val="20"/>
              </w:rPr>
              <w:t>2006</w:t>
            </w:r>
          </w:p>
        </w:tc>
      </w:tr>
      <w:tr w:rsidR="00F44157" w:rsidRPr="00360ADC" w14:paraId="5B6DAB45" w14:textId="77777777" w:rsidTr="003E2299">
        <w:trPr>
          <w:trHeight w:val="227"/>
        </w:trPr>
        <w:tc>
          <w:tcPr>
            <w:tcW w:w="0" w:type="auto"/>
            <w:shd w:val="clear" w:color="auto" w:fill="auto"/>
            <w:vAlign w:val="bottom"/>
          </w:tcPr>
          <w:p w14:paraId="35CD6732" w14:textId="77777777" w:rsidR="00F44157" w:rsidRPr="00360ADC" w:rsidRDefault="00F44157">
            <w:pPr>
              <w:ind w:left="360"/>
              <w:rPr>
                <w:sz w:val="20"/>
                <w:szCs w:val="20"/>
              </w:rPr>
            </w:pPr>
          </w:p>
        </w:tc>
        <w:tc>
          <w:tcPr>
            <w:tcW w:w="0" w:type="auto"/>
            <w:shd w:val="clear" w:color="auto" w:fill="auto"/>
            <w:vAlign w:val="bottom"/>
          </w:tcPr>
          <w:p w14:paraId="23FCA9E7" w14:textId="77777777" w:rsidR="00F44157" w:rsidRPr="00360ADC" w:rsidRDefault="00333557">
            <w:pPr>
              <w:rPr>
                <w:sz w:val="20"/>
                <w:szCs w:val="20"/>
              </w:rPr>
            </w:pPr>
            <w:r w:rsidRPr="00360ADC">
              <w:rPr>
                <w:sz w:val="20"/>
                <w:szCs w:val="20"/>
              </w:rPr>
              <w:t>Brazil</w:t>
            </w:r>
          </w:p>
        </w:tc>
        <w:tc>
          <w:tcPr>
            <w:tcW w:w="0" w:type="auto"/>
            <w:gridSpan w:val="2"/>
            <w:shd w:val="clear" w:color="auto" w:fill="auto"/>
            <w:vAlign w:val="bottom"/>
          </w:tcPr>
          <w:p w14:paraId="2F0EDA5C" w14:textId="77777777" w:rsidR="00F44157" w:rsidRPr="00360ADC" w:rsidRDefault="00333557">
            <w:pPr>
              <w:rPr>
                <w:sz w:val="20"/>
                <w:szCs w:val="20"/>
              </w:rPr>
            </w:pPr>
            <w:r w:rsidRPr="00360ADC">
              <w:rPr>
                <w:sz w:val="20"/>
                <w:szCs w:val="20"/>
              </w:rPr>
              <w:t>207,848</w:t>
            </w:r>
            <w:r w:rsidRPr="00360ADC">
              <w:rPr>
                <w:sz w:val="20"/>
                <w:szCs w:val="20"/>
                <w:vertAlign w:val="superscript"/>
              </w:rPr>
              <w:t xml:space="preserve"> a</w:t>
            </w:r>
          </w:p>
        </w:tc>
        <w:tc>
          <w:tcPr>
            <w:tcW w:w="0" w:type="auto"/>
            <w:shd w:val="clear" w:color="auto" w:fill="auto"/>
            <w:vAlign w:val="bottom"/>
          </w:tcPr>
          <w:p w14:paraId="67DBD449" w14:textId="77777777" w:rsidR="00F44157" w:rsidRPr="00360ADC" w:rsidRDefault="00333557">
            <w:pPr>
              <w:rPr>
                <w:sz w:val="20"/>
                <w:szCs w:val="20"/>
              </w:rPr>
            </w:pPr>
            <w:r w:rsidRPr="00360ADC">
              <w:rPr>
                <w:sz w:val="20"/>
                <w:szCs w:val="20"/>
              </w:rPr>
              <w:t>897</w:t>
            </w:r>
            <w:r w:rsidRPr="00360ADC">
              <w:rPr>
                <w:sz w:val="20"/>
                <w:szCs w:val="20"/>
                <w:vertAlign w:val="superscript"/>
              </w:rPr>
              <w:t>e</w:t>
            </w:r>
          </w:p>
        </w:tc>
        <w:tc>
          <w:tcPr>
            <w:tcW w:w="0" w:type="auto"/>
            <w:shd w:val="clear" w:color="auto" w:fill="auto"/>
            <w:vAlign w:val="bottom"/>
          </w:tcPr>
          <w:p w14:paraId="776BDEB1" w14:textId="77777777" w:rsidR="00F44157" w:rsidRPr="00360ADC" w:rsidRDefault="00333557">
            <w:pPr>
              <w:rPr>
                <w:sz w:val="20"/>
                <w:szCs w:val="20"/>
              </w:rPr>
            </w:pPr>
            <w:r w:rsidRPr="00360ADC">
              <w:rPr>
                <w:sz w:val="20"/>
                <w:szCs w:val="20"/>
              </w:rPr>
              <w:t>0,4</w:t>
            </w:r>
          </w:p>
        </w:tc>
        <w:tc>
          <w:tcPr>
            <w:tcW w:w="0" w:type="auto"/>
            <w:vAlign w:val="bottom"/>
          </w:tcPr>
          <w:p w14:paraId="004B14E8" w14:textId="77777777" w:rsidR="00F44157" w:rsidRPr="00360ADC" w:rsidRDefault="00333557">
            <w:pPr>
              <w:rPr>
                <w:sz w:val="20"/>
                <w:szCs w:val="20"/>
              </w:rPr>
            </w:pPr>
            <w:r w:rsidRPr="00360ADC">
              <w:rPr>
                <w:sz w:val="20"/>
                <w:szCs w:val="20"/>
              </w:rPr>
              <w:t>2010</w:t>
            </w:r>
          </w:p>
        </w:tc>
      </w:tr>
      <w:tr w:rsidR="00F44157" w:rsidRPr="00360ADC" w14:paraId="7520C503" w14:textId="77777777" w:rsidTr="003E2299">
        <w:trPr>
          <w:trHeight w:val="227"/>
        </w:trPr>
        <w:tc>
          <w:tcPr>
            <w:tcW w:w="0" w:type="auto"/>
            <w:shd w:val="clear" w:color="auto" w:fill="auto"/>
            <w:vAlign w:val="bottom"/>
          </w:tcPr>
          <w:p w14:paraId="19506F9B" w14:textId="77777777" w:rsidR="00F44157" w:rsidRPr="00360ADC" w:rsidRDefault="00F44157">
            <w:pPr>
              <w:ind w:left="360"/>
              <w:rPr>
                <w:sz w:val="20"/>
                <w:szCs w:val="20"/>
              </w:rPr>
            </w:pPr>
          </w:p>
        </w:tc>
        <w:tc>
          <w:tcPr>
            <w:tcW w:w="0" w:type="auto"/>
            <w:shd w:val="clear" w:color="auto" w:fill="auto"/>
            <w:vAlign w:val="bottom"/>
          </w:tcPr>
          <w:p w14:paraId="3DD640A3" w14:textId="77777777" w:rsidR="00F44157" w:rsidRPr="00360ADC" w:rsidRDefault="00333557">
            <w:pPr>
              <w:rPr>
                <w:sz w:val="20"/>
                <w:szCs w:val="20"/>
              </w:rPr>
            </w:pPr>
            <w:r w:rsidRPr="00360ADC">
              <w:rPr>
                <w:sz w:val="20"/>
                <w:szCs w:val="20"/>
              </w:rPr>
              <w:t>Chile</w:t>
            </w:r>
          </w:p>
        </w:tc>
        <w:tc>
          <w:tcPr>
            <w:tcW w:w="0" w:type="auto"/>
            <w:gridSpan w:val="2"/>
            <w:shd w:val="clear" w:color="auto" w:fill="auto"/>
            <w:vAlign w:val="bottom"/>
          </w:tcPr>
          <w:p w14:paraId="5F7A70F3" w14:textId="77777777" w:rsidR="00F44157" w:rsidRPr="00360ADC" w:rsidRDefault="00333557">
            <w:pPr>
              <w:rPr>
                <w:sz w:val="20"/>
                <w:szCs w:val="20"/>
              </w:rPr>
            </w:pPr>
            <w:r w:rsidRPr="00360ADC">
              <w:rPr>
                <w:sz w:val="20"/>
                <w:szCs w:val="20"/>
              </w:rPr>
              <w:t>17,948</w:t>
            </w:r>
            <w:r w:rsidRPr="00360ADC">
              <w:rPr>
                <w:sz w:val="20"/>
                <w:szCs w:val="20"/>
                <w:vertAlign w:val="superscript"/>
              </w:rPr>
              <w:t xml:space="preserve"> a</w:t>
            </w:r>
          </w:p>
        </w:tc>
        <w:tc>
          <w:tcPr>
            <w:tcW w:w="0" w:type="auto"/>
            <w:shd w:val="clear" w:color="auto" w:fill="auto"/>
            <w:vAlign w:val="bottom"/>
          </w:tcPr>
          <w:p w14:paraId="774BFBE8" w14:textId="77777777" w:rsidR="00F44157" w:rsidRPr="00360ADC" w:rsidRDefault="00333557">
            <w:pPr>
              <w:rPr>
                <w:sz w:val="20"/>
                <w:szCs w:val="20"/>
              </w:rPr>
            </w:pPr>
            <w:r w:rsidRPr="00360ADC">
              <w:rPr>
                <w:sz w:val="20"/>
                <w:szCs w:val="20"/>
              </w:rPr>
              <w:t>1,566</w:t>
            </w:r>
            <w:r w:rsidRPr="00360ADC">
              <w:rPr>
                <w:sz w:val="20"/>
                <w:szCs w:val="20"/>
                <w:vertAlign w:val="superscript"/>
              </w:rPr>
              <w:t xml:space="preserve"> f</w:t>
            </w:r>
          </w:p>
        </w:tc>
        <w:tc>
          <w:tcPr>
            <w:tcW w:w="0" w:type="auto"/>
            <w:shd w:val="clear" w:color="auto" w:fill="auto"/>
            <w:vAlign w:val="bottom"/>
          </w:tcPr>
          <w:p w14:paraId="390BE71F" w14:textId="77777777" w:rsidR="00F44157" w:rsidRPr="00360ADC" w:rsidRDefault="00333557">
            <w:pPr>
              <w:rPr>
                <w:sz w:val="20"/>
                <w:szCs w:val="20"/>
              </w:rPr>
            </w:pPr>
            <w:r w:rsidRPr="00360ADC">
              <w:rPr>
                <w:sz w:val="20"/>
                <w:szCs w:val="20"/>
              </w:rPr>
              <w:t>8,7</w:t>
            </w:r>
          </w:p>
        </w:tc>
        <w:tc>
          <w:tcPr>
            <w:tcW w:w="0" w:type="auto"/>
            <w:vAlign w:val="bottom"/>
          </w:tcPr>
          <w:p w14:paraId="18AE6336" w14:textId="77777777" w:rsidR="00F44157" w:rsidRPr="00360ADC" w:rsidRDefault="00333557">
            <w:pPr>
              <w:rPr>
                <w:sz w:val="20"/>
                <w:szCs w:val="20"/>
              </w:rPr>
            </w:pPr>
            <w:r w:rsidRPr="00360ADC">
              <w:rPr>
                <w:sz w:val="20"/>
                <w:szCs w:val="20"/>
              </w:rPr>
              <w:t>2013</w:t>
            </w:r>
          </w:p>
        </w:tc>
      </w:tr>
      <w:tr w:rsidR="00F44157" w:rsidRPr="00360ADC" w14:paraId="2D54DC06" w14:textId="77777777" w:rsidTr="003E2299">
        <w:trPr>
          <w:trHeight w:val="227"/>
        </w:trPr>
        <w:tc>
          <w:tcPr>
            <w:tcW w:w="0" w:type="auto"/>
            <w:shd w:val="clear" w:color="auto" w:fill="auto"/>
            <w:vAlign w:val="bottom"/>
          </w:tcPr>
          <w:p w14:paraId="0532FF5A" w14:textId="77777777" w:rsidR="00F44157" w:rsidRPr="00360ADC" w:rsidRDefault="00F44157">
            <w:pPr>
              <w:ind w:left="360"/>
              <w:rPr>
                <w:sz w:val="20"/>
                <w:szCs w:val="20"/>
              </w:rPr>
            </w:pPr>
          </w:p>
        </w:tc>
        <w:tc>
          <w:tcPr>
            <w:tcW w:w="0" w:type="auto"/>
            <w:shd w:val="clear" w:color="auto" w:fill="auto"/>
            <w:vAlign w:val="bottom"/>
          </w:tcPr>
          <w:p w14:paraId="107ACB88" w14:textId="77777777" w:rsidR="00F44157" w:rsidRPr="00360ADC" w:rsidRDefault="00333557">
            <w:pPr>
              <w:rPr>
                <w:sz w:val="20"/>
                <w:szCs w:val="20"/>
              </w:rPr>
            </w:pPr>
            <w:r w:rsidRPr="00360ADC">
              <w:rPr>
                <w:sz w:val="20"/>
                <w:szCs w:val="20"/>
              </w:rPr>
              <w:t>Colombia</w:t>
            </w:r>
          </w:p>
        </w:tc>
        <w:tc>
          <w:tcPr>
            <w:tcW w:w="0" w:type="auto"/>
            <w:gridSpan w:val="2"/>
            <w:shd w:val="clear" w:color="auto" w:fill="auto"/>
            <w:vAlign w:val="bottom"/>
          </w:tcPr>
          <w:p w14:paraId="51DEDDD9" w14:textId="77777777" w:rsidR="00F44157" w:rsidRPr="00360ADC" w:rsidRDefault="00333557">
            <w:pPr>
              <w:rPr>
                <w:sz w:val="20"/>
                <w:szCs w:val="20"/>
              </w:rPr>
            </w:pPr>
            <w:r w:rsidRPr="00360ADC">
              <w:rPr>
                <w:sz w:val="20"/>
                <w:szCs w:val="20"/>
              </w:rPr>
              <w:t>48,229</w:t>
            </w:r>
            <w:r w:rsidRPr="00360ADC">
              <w:rPr>
                <w:sz w:val="20"/>
                <w:szCs w:val="20"/>
                <w:vertAlign w:val="superscript"/>
              </w:rPr>
              <w:t xml:space="preserve"> a</w:t>
            </w:r>
          </w:p>
        </w:tc>
        <w:tc>
          <w:tcPr>
            <w:tcW w:w="0" w:type="auto"/>
            <w:shd w:val="clear" w:color="auto" w:fill="auto"/>
            <w:vAlign w:val="bottom"/>
          </w:tcPr>
          <w:p w14:paraId="6DF1A592" w14:textId="77777777" w:rsidR="00F44157" w:rsidRPr="00360ADC" w:rsidRDefault="00333557">
            <w:pPr>
              <w:rPr>
                <w:sz w:val="20"/>
                <w:szCs w:val="20"/>
              </w:rPr>
            </w:pPr>
            <w:r w:rsidRPr="00360ADC">
              <w:rPr>
                <w:sz w:val="20"/>
                <w:szCs w:val="20"/>
              </w:rPr>
              <w:t>1,500</w:t>
            </w:r>
            <w:r w:rsidRPr="00360ADC">
              <w:rPr>
                <w:sz w:val="20"/>
                <w:szCs w:val="20"/>
                <w:vertAlign w:val="superscript"/>
              </w:rPr>
              <w:t xml:space="preserve"> b</w:t>
            </w:r>
          </w:p>
        </w:tc>
        <w:tc>
          <w:tcPr>
            <w:tcW w:w="0" w:type="auto"/>
            <w:shd w:val="clear" w:color="auto" w:fill="auto"/>
            <w:vAlign w:val="bottom"/>
          </w:tcPr>
          <w:p w14:paraId="6A69C6C6" w14:textId="77777777" w:rsidR="00F44157" w:rsidRPr="00360ADC" w:rsidRDefault="00333557">
            <w:pPr>
              <w:rPr>
                <w:sz w:val="20"/>
                <w:szCs w:val="20"/>
              </w:rPr>
            </w:pPr>
            <w:r w:rsidRPr="00360ADC">
              <w:rPr>
                <w:sz w:val="20"/>
                <w:szCs w:val="20"/>
              </w:rPr>
              <w:t>3,1</w:t>
            </w:r>
          </w:p>
        </w:tc>
        <w:tc>
          <w:tcPr>
            <w:tcW w:w="0" w:type="auto"/>
            <w:vAlign w:val="bottom"/>
          </w:tcPr>
          <w:p w14:paraId="76FB9A21" w14:textId="77777777" w:rsidR="00F44157" w:rsidRPr="00360ADC" w:rsidRDefault="00333557">
            <w:pPr>
              <w:rPr>
                <w:sz w:val="20"/>
                <w:szCs w:val="20"/>
              </w:rPr>
            </w:pPr>
            <w:r w:rsidRPr="00360ADC">
              <w:rPr>
                <w:sz w:val="20"/>
                <w:szCs w:val="20"/>
              </w:rPr>
              <w:t>2016</w:t>
            </w:r>
          </w:p>
        </w:tc>
      </w:tr>
      <w:tr w:rsidR="00F44157" w:rsidRPr="00360ADC" w14:paraId="364EE444" w14:textId="77777777" w:rsidTr="003E2299">
        <w:trPr>
          <w:trHeight w:val="227"/>
        </w:trPr>
        <w:tc>
          <w:tcPr>
            <w:tcW w:w="0" w:type="auto"/>
            <w:shd w:val="clear" w:color="auto" w:fill="auto"/>
            <w:vAlign w:val="bottom"/>
          </w:tcPr>
          <w:p w14:paraId="2B89ABB8" w14:textId="77777777" w:rsidR="00F44157" w:rsidRPr="00360ADC" w:rsidRDefault="00F44157">
            <w:pPr>
              <w:ind w:left="360"/>
              <w:rPr>
                <w:sz w:val="20"/>
                <w:szCs w:val="20"/>
              </w:rPr>
            </w:pPr>
          </w:p>
        </w:tc>
        <w:tc>
          <w:tcPr>
            <w:tcW w:w="0" w:type="auto"/>
            <w:shd w:val="clear" w:color="auto" w:fill="auto"/>
            <w:vAlign w:val="bottom"/>
          </w:tcPr>
          <w:p w14:paraId="5B8D8E01" w14:textId="77777777" w:rsidR="00F44157" w:rsidRPr="00360ADC" w:rsidRDefault="00333557">
            <w:pPr>
              <w:rPr>
                <w:sz w:val="20"/>
                <w:szCs w:val="20"/>
              </w:rPr>
            </w:pPr>
            <w:r w:rsidRPr="00360ADC">
              <w:rPr>
                <w:sz w:val="20"/>
                <w:szCs w:val="20"/>
              </w:rPr>
              <w:t>Ecuador</w:t>
            </w:r>
          </w:p>
        </w:tc>
        <w:tc>
          <w:tcPr>
            <w:tcW w:w="0" w:type="auto"/>
            <w:gridSpan w:val="2"/>
            <w:shd w:val="clear" w:color="auto" w:fill="auto"/>
            <w:vAlign w:val="bottom"/>
          </w:tcPr>
          <w:p w14:paraId="608DA63C" w14:textId="77777777" w:rsidR="00F44157" w:rsidRPr="00360ADC" w:rsidRDefault="00333557">
            <w:pPr>
              <w:rPr>
                <w:sz w:val="20"/>
                <w:szCs w:val="20"/>
              </w:rPr>
            </w:pPr>
            <w:r w:rsidRPr="00360ADC">
              <w:rPr>
                <w:sz w:val="20"/>
                <w:szCs w:val="20"/>
              </w:rPr>
              <w:t>16,144</w:t>
            </w:r>
            <w:r w:rsidRPr="00360ADC">
              <w:rPr>
                <w:sz w:val="20"/>
                <w:szCs w:val="20"/>
                <w:vertAlign w:val="superscript"/>
              </w:rPr>
              <w:t xml:space="preserve"> a</w:t>
            </w:r>
          </w:p>
        </w:tc>
        <w:tc>
          <w:tcPr>
            <w:tcW w:w="0" w:type="auto"/>
            <w:shd w:val="clear" w:color="auto" w:fill="auto"/>
            <w:vAlign w:val="bottom"/>
          </w:tcPr>
          <w:p w14:paraId="352F3EE3" w14:textId="77777777" w:rsidR="00F44157" w:rsidRPr="00360ADC" w:rsidRDefault="00333557">
            <w:pPr>
              <w:rPr>
                <w:sz w:val="20"/>
                <w:szCs w:val="20"/>
              </w:rPr>
            </w:pPr>
            <w:r w:rsidRPr="00360ADC">
              <w:rPr>
                <w:sz w:val="20"/>
                <w:szCs w:val="20"/>
              </w:rPr>
              <w:t>1,018</w:t>
            </w:r>
            <w:r w:rsidRPr="00360ADC">
              <w:rPr>
                <w:sz w:val="20"/>
                <w:szCs w:val="20"/>
                <w:vertAlign w:val="superscript"/>
              </w:rPr>
              <w:t xml:space="preserve"> c</w:t>
            </w:r>
          </w:p>
        </w:tc>
        <w:tc>
          <w:tcPr>
            <w:tcW w:w="0" w:type="auto"/>
            <w:shd w:val="clear" w:color="auto" w:fill="auto"/>
            <w:vAlign w:val="bottom"/>
          </w:tcPr>
          <w:p w14:paraId="708C644D" w14:textId="77777777" w:rsidR="00F44157" w:rsidRPr="00360ADC" w:rsidRDefault="00333557">
            <w:pPr>
              <w:rPr>
                <w:sz w:val="20"/>
                <w:szCs w:val="20"/>
              </w:rPr>
            </w:pPr>
            <w:r w:rsidRPr="00360ADC">
              <w:rPr>
                <w:sz w:val="20"/>
                <w:szCs w:val="20"/>
              </w:rPr>
              <w:t>6,3</w:t>
            </w:r>
          </w:p>
        </w:tc>
        <w:tc>
          <w:tcPr>
            <w:tcW w:w="0" w:type="auto"/>
            <w:vAlign w:val="bottom"/>
          </w:tcPr>
          <w:p w14:paraId="54F0D602" w14:textId="77777777" w:rsidR="00F44157" w:rsidRPr="00360ADC" w:rsidRDefault="00333557">
            <w:pPr>
              <w:rPr>
                <w:sz w:val="20"/>
                <w:szCs w:val="20"/>
              </w:rPr>
            </w:pPr>
            <w:r w:rsidRPr="00360ADC">
              <w:rPr>
                <w:sz w:val="20"/>
                <w:szCs w:val="20"/>
              </w:rPr>
              <w:t>2010</w:t>
            </w:r>
          </w:p>
        </w:tc>
      </w:tr>
      <w:tr w:rsidR="00F44157" w:rsidRPr="00360ADC" w14:paraId="7C32F89B" w14:textId="77777777" w:rsidTr="003E2299">
        <w:trPr>
          <w:trHeight w:val="227"/>
        </w:trPr>
        <w:tc>
          <w:tcPr>
            <w:tcW w:w="0" w:type="auto"/>
            <w:shd w:val="clear" w:color="auto" w:fill="auto"/>
            <w:vAlign w:val="bottom"/>
          </w:tcPr>
          <w:p w14:paraId="0B97E0DE" w14:textId="77777777" w:rsidR="00F44157" w:rsidRPr="00360ADC" w:rsidRDefault="00F44157">
            <w:pPr>
              <w:ind w:left="360"/>
              <w:rPr>
                <w:sz w:val="20"/>
                <w:szCs w:val="20"/>
              </w:rPr>
            </w:pPr>
          </w:p>
        </w:tc>
        <w:tc>
          <w:tcPr>
            <w:tcW w:w="0" w:type="auto"/>
            <w:shd w:val="clear" w:color="auto" w:fill="auto"/>
            <w:vAlign w:val="bottom"/>
          </w:tcPr>
          <w:p w14:paraId="5C9A6828" w14:textId="77777777" w:rsidR="00F44157" w:rsidRPr="00360ADC" w:rsidRDefault="00333557">
            <w:pPr>
              <w:rPr>
                <w:sz w:val="20"/>
                <w:szCs w:val="20"/>
              </w:rPr>
            </w:pPr>
            <w:r w:rsidRPr="00360ADC">
              <w:rPr>
                <w:sz w:val="20"/>
                <w:szCs w:val="20"/>
              </w:rPr>
              <w:t>Guyana</w:t>
            </w:r>
          </w:p>
        </w:tc>
        <w:tc>
          <w:tcPr>
            <w:tcW w:w="0" w:type="auto"/>
            <w:gridSpan w:val="2"/>
            <w:shd w:val="clear" w:color="auto" w:fill="auto"/>
            <w:vAlign w:val="bottom"/>
          </w:tcPr>
          <w:p w14:paraId="2A9AB99F" w14:textId="77777777" w:rsidR="00F44157" w:rsidRPr="00360ADC" w:rsidRDefault="00333557">
            <w:pPr>
              <w:rPr>
                <w:sz w:val="20"/>
                <w:szCs w:val="20"/>
              </w:rPr>
            </w:pPr>
            <w:r w:rsidRPr="00360ADC">
              <w:rPr>
                <w:sz w:val="20"/>
                <w:szCs w:val="20"/>
              </w:rPr>
              <w:t>767</w:t>
            </w:r>
            <w:r w:rsidRPr="00360ADC">
              <w:rPr>
                <w:sz w:val="20"/>
                <w:szCs w:val="20"/>
                <w:vertAlign w:val="superscript"/>
              </w:rPr>
              <w:t xml:space="preserve"> a</w:t>
            </w:r>
          </w:p>
        </w:tc>
        <w:tc>
          <w:tcPr>
            <w:tcW w:w="0" w:type="auto"/>
            <w:shd w:val="clear" w:color="auto" w:fill="auto"/>
            <w:vAlign w:val="bottom"/>
          </w:tcPr>
          <w:p w14:paraId="0CCFE29B" w14:textId="77777777" w:rsidR="00F44157" w:rsidRPr="00360ADC" w:rsidRDefault="00333557">
            <w:pPr>
              <w:rPr>
                <w:sz w:val="20"/>
                <w:szCs w:val="20"/>
              </w:rPr>
            </w:pPr>
            <w:r w:rsidRPr="00360ADC">
              <w:rPr>
                <w:sz w:val="20"/>
                <w:szCs w:val="20"/>
              </w:rPr>
              <w:t>51</w:t>
            </w:r>
            <w:r w:rsidRPr="00360ADC">
              <w:rPr>
                <w:sz w:val="20"/>
                <w:szCs w:val="20"/>
                <w:vertAlign w:val="superscript"/>
              </w:rPr>
              <w:t xml:space="preserve"> d</w:t>
            </w:r>
          </w:p>
        </w:tc>
        <w:tc>
          <w:tcPr>
            <w:tcW w:w="0" w:type="auto"/>
            <w:shd w:val="clear" w:color="auto" w:fill="auto"/>
            <w:vAlign w:val="bottom"/>
          </w:tcPr>
          <w:p w14:paraId="1E34FF9F" w14:textId="77777777" w:rsidR="00F44157" w:rsidRPr="00360ADC" w:rsidRDefault="00333557">
            <w:pPr>
              <w:rPr>
                <w:sz w:val="20"/>
                <w:szCs w:val="20"/>
              </w:rPr>
            </w:pPr>
            <w:r w:rsidRPr="00360ADC">
              <w:rPr>
                <w:sz w:val="20"/>
                <w:szCs w:val="20"/>
              </w:rPr>
              <w:t>6,6</w:t>
            </w:r>
          </w:p>
        </w:tc>
        <w:tc>
          <w:tcPr>
            <w:tcW w:w="0" w:type="auto"/>
            <w:vAlign w:val="bottom"/>
          </w:tcPr>
          <w:p w14:paraId="723F29C9" w14:textId="77777777" w:rsidR="00F44157" w:rsidRPr="00360ADC" w:rsidRDefault="00333557">
            <w:pPr>
              <w:rPr>
                <w:sz w:val="20"/>
                <w:szCs w:val="20"/>
              </w:rPr>
            </w:pPr>
            <w:r w:rsidRPr="00360ADC">
              <w:rPr>
                <w:sz w:val="20"/>
                <w:szCs w:val="20"/>
              </w:rPr>
              <w:t>2006</w:t>
            </w:r>
          </w:p>
        </w:tc>
      </w:tr>
      <w:tr w:rsidR="00F44157" w:rsidRPr="00360ADC" w14:paraId="1A498937" w14:textId="77777777" w:rsidTr="003E2299">
        <w:trPr>
          <w:trHeight w:val="227"/>
        </w:trPr>
        <w:tc>
          <w:tcPr>
            <w:tcW w:w="0" w:type="auto"/>
            <w:shd w:val="clear" w:color="auto" w:fill="auto"/>
            <w:vAlign w:val="bottom"/>
          </w:tcPr>
          <w:p w14:paraId="4A78446D" w14:textId="77777777" w:rsidR="00F44157" w:rsidRPr="00360ADC" w:rsidRDefault="00F44157">
            <w:pPr>
              <w:ind w:left="360"/>
              <w:rPr>
                <w:sz w:val="20"/>
                <w:szCs w:val="20"/>
              </w:rPr>
            </w:pPr>
          </w:p>
        </w:tc>
        <w:tc>
          <w:tcPr>
            <w:tcW w:w="0" w:type="auto"/>
            <w:shd w:val="clear" w:color="auto" w:fill="auto"/>
            <w:vAlign w:val="bottom"/>
          </w:tcPr>
          <w:p w14:paraId="02E5D5A7" w14:textId="77777777" w:rsidR="00F44157" w:rsidRPr="00360ADC" w:rsidRDefault="00333557">
            <w:pPr>
              <w:rPr>
                <w:sz w:val="20"/>
                <w:szCs w:val="20"/>
              </w:rPr>
            </w:pPr>
            <w:r w:rsidRPr="00360ADC">
              <w:rPr>
                <w:sz w:val="20"/>
                <w:szCs w:val="20"/>
              </w:rPr>
              <w:t xml:space="preserve">French Guyana </w:t>
            </w:r>
          </w:p>
        </w:tc>
        <w:tc>
          <w:tcPr>
            <w:tcW w:w="0" w:type="auto"/>
            <w:gridSpan w:val="2"/>
            <w:shd w:val="clear" w:color="auto" w:fill="auto"/>
            <w:vAlign w:val="bottom"/>
          </w:tcPr>
          <w:p w14:paraId="46422928" w14:textId="77777777" w:rsidR="00F44157" w:rsidRPr="00360ADC" w:rsidRDefault="00333557">
            <w:pPr>
              <w:rPr>
                <w:sz w:val="20"/>
                <w:szCs w:val="20"/>
              </w:rPr>
            </w:pPr>
            <w:r w:rsidRPr="00360ADC">
              <w:rPr>
                <w:sz w:val="20"/>
                <w:szCs w:val="20"/>
              </w:rPr>
              <w:t>244</w:t>
            </w:r>
            <w:r w:rsidRPr="00360ADC">
              <w:rPr>
                <w:sz w:val="20"/>
                <w:szCs w:val="20"/>
                <w:vertAlign w:val="superscript"/>
              </w:rPr>
              <w:t xml:space="preserve"> b</w:t>
            </w:r>
          </w:p>
        </w:tc>
        <w:tc>
          <w:tcPr>
            <w:tcW w:w="0" w:type="auto"/>
            <w:shd w:val="clear" w:color="auto" w:fill="auto"/>
            <w:vAlign w:val="bottom"/>
          </w:tcPr>
          <w:p w14:paraId="7331B3EE" w14:textId="77777777" w:rsidR="00F44157" w:rsidRPr="00360ADC" w:rsidRDefault="00333557">
            <w:pPr>
              <w:rPr>
                <w:sz w:val="20"/>
                <w:szCs w:val="20"/>
              </w:rPr>
            </w:pPr>
            <w:r w:rsidRPr="00360ADC">
              <w:rPr>
                <w:sz w:val="20"/>
                <w:szCs w:val="20"/>
              </w:rPr>
              <w:t>10</w:t>
            </w:r>
            <w:r w:rsidRPr="00360ADC">
              <w:rPr>
                <w:sz w:val="20"/>
                <w:szCs w:val="20"/>
                <w:vertAlign w:val="superscript"/>
              </w:rPr>
              <w:t xml:space="preserve"> b </w:t>
            </w:r>
          </w:p>
        </w:tc>
        <w:tc>
          <w:tcPr>
            <w:tcW w:w="0" w:type="auto"/>
            <w:shd w:val="clear" w:color="auto" w:fill="auto"/>
            <w:vAlign w:val="bottom"/>
          </w:tcPr>
          <w:p w14:paraId="54D09E7B" w14:textId="77777777" w:rsidR="00F44157" w:rsidRPr="00360ADC" w:rsidRDefault="00333557">
            <w:pPr>
              <w:rPr>
                <w:sz w:val="20"/>
                <w:szCs w:val="20"/>
              </w:rPr>
            </w:pPr>
            <w:r w:rsidRPr="00360ADC">
              <w:rPr>
                <w:sz w:val="20"/>
                <w:szCs w:val="20"/>
              </w:rPr>
              <w:t>4,1</w:t>
            </w:r>
          </w:p>
        </w:tc>
        <w:tc>
          <w:tcPr>
            <w:tcW w:w="0" w:type="auto"/>
            <w:vAlign w:val="bottom"/>
          </w:tcPr>
          <w:p w14:paraId="625CB99C" w14:textId="77777777" w:rsidR="00F44157" w:rsidRPr="00360ADC" w:rsidRDefault="00333557">
            <w:pPr>
              <w:rPr>
                <w:sz w:val="20"/>
                <w:szCs w:val="20"/>
              </w:rPr>
            </w:pPr>
            <w:r w:rsidRPr="00360ADC">
              <w:rPr>
                <w:sz w:val="20"/>
                <w:szCs w:val="20"/>
              </w:rPr>
              <w:t>2017</w:t>
            </w:r>
          </w:p>
        </w:tc>
      </w:tr>
      <w:tr w:rsidR="00F44157" w:rsidRPr="00360ADC" w14:paraId="79E350A5" w14:textId="77777777" w:rsidTr="003E2299">
        <w:trPr>
          <w:trHeight w:val="227"/>
        </w:trPr>
        <w:tc>
          <w:tcPr>
            <w:tcW w:w="0" w:type="auto"/>
            <w:shd w:val="clear" w:color="auto" w:fill="auto"/>
            <w:vAlign w:val="bottom"/>
          </w:tcPr>
          <w:p w14:paraId="1221B9E8" w14:textId="77777777" w:rsidR="00F44157" w:rsidRPr="00360ADC" w:rsidRDefault="00F44157">
            <w:pPr>
              <w:ind w:left="360"/>
              <w:rPr>
                <w:sz w:val="20"/>
                <w:szCs w:val="20"/>
              </w:rPr>
            </w:pPr>
          </w:p>
        </w:tc>
        <w:tc>
          <w:tcPr>
            <w:tcW w:w="0" w:type="auto"/>
            <w:shd w:val="clear" w:color="auto" w:fill="auto"/>
            <w:vAlign w:val="bottom"/>
          </w:tcPr>
          <w:p w14:paraId="32E5B23A" w14:textId="77777777" w:rsidR="00F44157" w:rsidRPr="00360ADC" w:rsidRDefault="00333557">
            <w:pPr>
              <w:rPr>
                <w:sz w:val="20"/>
                <w:szCs w:val="20"/>
              </w:rPr>
            </w:pPr>
            <w:r w:rsidRPr="00360ADC">
              <w:rPr>
                <w:sz w:val="20"/>
                <w:szCs w:val="20"/>
              </w:rPr>
              <w:t>Paraguay</w:t>
            </w:r>
          </w:p>
        </w:tc>
        <w:tc>
          <w:tcPr>
            <w:tcW w:w="0" w:type="auto"/>
            <w:gridSpan w:val="2"/>
            <w:shd w:val="clear" w:color="auto" w:fill="auto"/>
            <w:vAlign w:val="bottom"/>
          </w:tcPr>
          <w:p w14:paraId="30F336B5" w14:textId="77777777" w:rsidR="00F44157" w:rsidRPr="00360ADC" w:rsidRDefault="00333557">
            <w:pPr>
              <w:rPr>
                <w:sz w:val="20"/>
                <w:szCs w:val="20"/>
              </w:rPr>
            </w:pPr>
            <w:r w:rsidRPr="00360ADC">
              <w:rPr>
                <w:sz w:val="20"/>
                <w:szCs w:val="20"/>
              </w:rPr>
              <w:t>6,639</w:t>
            </w:r>
            <w:r w:rsidRPr="00360ADC">
              <w:rPr>
                <w:sz w:val="20"/>
                <w:szCs w:val="20"/>
                <w:vertAlign w:val="superscript"/>
              </w:rPr>
              <w:t xml:space="preserve"> a</w:t>
            </w:r>
          </w:p>
        </w:tc>
        <w:tc>
          <w:tcPr>
            <w:tcW w:w="0" w:type="auto"/>
            <w:shd w:val="clear" w:color="auto" w:fill="auto"/>
            <w:vAlign w:val="bottom"/>
          </w:tcPr>
          <w:p w14:paraId="7D869D36" w14:textId="77777777" w:rsidR="00F44157" w:rsidRPr="00360ADC" w:rsidRDefault="00333557">
            <w:pPr>
              <w:rPr>
                <w:sz w:val="20"/>
                <w:szCs w:val="20"/>
              </w:rPr>
            </w:pPr>
            <w:r w:rsidRPr="00360ADC">
              <w:rPr>
                <w:sz w:val="20"/>
                <w:szCs w:val="20"/>
              </w:rPr>
              <w:t>113</w:t>
            </w:r>
            <w:r w:rsidRPr="00360ADC">
              <w:rPr>
                <w:sz w:val="20"/>
                <w:szCs w:val="20"/>
                <w:vertAlign w:val="superscript"/>
              </w:rPr>
              <w:t xml:space="preserve"> b</w:t>
            </w:r>
          </w:p>
        </w:tc>
        <w:tc>
          <w:tcPr>
            <w:tcW w:w="0" w:type="auto"/>
            <w:shd w:val="clear" w:color="auto" w:fill="auto"/>
            <w:vAlign w:val="bottom"/>
          </w:tcPr>
          <w:p w14:paraId="304A0A31" w14:textId="77777777" w:rsidR="00F44157" w:rsidRPr="00360ADC" w:rsidRDefault="00333557">
            <w:pPr>
              <w:rPr>
                <w:sz w:val="20"/>
                <w:szCs w:val="20"/>
              </w:rPr>
            </w:pPr>
            <w:r w:rsidRPr="00360ADC">
              <w:rPr>
                <w:sz w:val="20"/>
                <w:szCs w:val="20"/>
              </w:rPr>
              <w:t>1,7</w:t>
            </w:r>
          </w:p>
        </w:tc>
        <w:tc>
          <w:tcPr>
            <w:tcW w:w="0" w:type="auto"/>
            <w:vAlign w:val="bottom"/>
          </w:tcPr>
          <w:p w14:paraId="2375D118" w14:textId="77777777" w:rsidR="00F44157" w:rsidRPr="00360ADC" w:rsidRDefault="00333557">
            <w:pPr>
              <w:rPr>
                <w:sz w:val="20"/>
                <w:szCs w:val="20"/>
              </w:rPr>
            </w:pPr>
            <w:r w:rsidRPr="00360ADC">
              <w:rPr>
                <w:sz w:val="20"/>
                <w:szCs w:val="20"/>
              </w:rPr>
              <w:t>2017</w:t>
            </w:r>
          </w:p>
        </w:tc>
      </w:tr>
      <w:tr w:rsidR="00F44157" w:rsidRPr="00360ADC" w14:paraId="21CAFC59" w14:textId="77777777" w:rsidTr="003E2299">
        <w:trPr>
          <w:trHeight w:val="227"/>
        </w:trPr>
        <w:tc>
          <w:tcPr>
            <w:tcW w:w="0" w:type="auto"/>
            <w:shd w:val="clear" w:color="auto" w:fill="auto"/>
            <w:vAlign w:val="bottom"/>
          </w:tcPr>
          <w:p w14:paraId="2099BC5C" w14:textId="77777777" w:rsidR="00F44157" w:rsidRPr="00360ADC" w:rsidRDefault="00F44157">
            <w:pPr>
              <w:ind w:left="360"/>
              <w:rPr>
                <w:sz w:val="20"/>
                <w:szCs w:val="20"/>
              </w:rPr>
            </w:pPr>
          </w:p>
        </w:tc>
        <w:tc>
          <w:tcPr>
            <w:tcW w:w="0" w:type="auto"/>
            <w:shd w:val="clear" w:color="auto" w:fill="auto"/>
            <w:vAlign w:val="bottom"/>
          </w:tcPr>
          <w:p w14:paraId="44DBD6FC" w14:textId="77777777" w:rsidR="00F44157" w:rsidRPr="00360ADC" w:rsidRDefault="00333557">
            <w:pPr>
              <w:rPr>
                <w:sz w:val="20"/>
                <w:szCs w:val="20"/>
              </w:rPr>
            </w:pPr>
            <w:r w:rsidRPr="00360ADC">
              <w:rPr>
                <w:sz w:val="20"/>
                <w:szCs w:val="20"/>
              </w:rPr>
              <w:t>Peru</w:t>
            </w:r>
          </w:p>
        </w:tc>
        <w:tc>
          <w:tcPr>
            <w:tcW w:w="0" w:type="auto"/>
            <w:gridSpan w:val="2"/>
            <w:shd w:val="clear" w:color="auto" w:fill="auto"/>
            <w:vAlign w:val="bottom"/>
          </w:tcPr>
          <w:p w14:paraId="40D358EA" w14:textId="77777777" w:rsidR="00F44157" w:rsidRPr="00360ADC" w:rsidRDefault="00333557">
            <w:pPr>
              <w:rPr>
                <w:sz w:val="20"/>
                <w:szCs w:val="20"/>
              </w:rPr>
            </w:pPr>
            <w:r w:rsidRPr="00360ADC">
              <w:rPr>
                <w:sz w:val="20"/>
                <w:szCs w:val="20"/>
              </w:rPr>
              <w:t>31,377</w:t>
            </w:r>
            <w:r w:rsidRPr="00360ADC">
              <w:rPr>
                <w:sz w:val="20"/>
                <w:szCs w:val="20"/>
                <w:vertAlign w:val="superscript"/>
              </w:rPr>
              <w:t xml:space="preserve"> a</w:t>
            </w:r>
          </w:p>
        </w:tc>
        <w:tc>
          <w:tcPr>
            <w:tcW w:w="0" w:type="auto"/>
            <w:shd w:val="clear" w:color="auto" w:fill="auto"/>
            <w:vAlign w:val="bottom"/>
          </w:tcPr>
          <w:p w14:paraId="0706DAE9" w14:textId="77777777" w:rsidR="00F44157" w:rsidRPr="00360ADC" w:rsidRDefault="00333557">
            <w:pPr>
              <w:rPr>
                <w:sz w:val="20"/>
                <w:szCs w:val="20"/>
              </w:rPr>
            </w:pPr>
            <w:r w:rsidRPr="00360ADC">
              <w:rPr>
                <w:sz w:val="20"/>
                <w:szCs w:val="20"/>
              </w:rPr>
              <w:t>11,655</w:t>
            </w:r>
            <w:r w:rsidRPr="00360ADC">
              <w:rPr>
                <w:sz w:val="20"/>
                <w:szCs w:val="20"/>
                <w:vertAlign w:val="superscript"/>
              </w:rPr>
              <w:t xml:space="preserve"> d</w:t>
            </w:r>
          </w:p>
        </w:tc>
        <w:tc>
          <w:tcPr>
            <w:tcW w:w="0" w:type="auto"/>
            <w:shd w:val="clear" w:color="auto" w:fill="auto"/>
            <w:vAlign w:val="bottom"/>
          </w:tcPr>
          <w:p w14:paraId="2D08BE37" w14:textId="77777777" w:rsidR="00F44157" w:rsidRPr="00360ADC" w:rsidRDefault="00333557">
            <w:pPr>
              <w:rPr>
                <w:sz w:val="20"/>
                <w:szCs w:val="20"/>
              </w:rPr>
            </w:pPr>
            <w:r w:rsidRPr="00360ADC">
              <w:rPr>
                <w:sz w:val="20"/>
                <w:szCs w:val="20"/>
              </w:rPr>
              <w:t>37,1</w:t>
            </w:r>
          </w:p>
        </w:tc>
        <w:tc>
          <w:tcPr>
            <w:tcW w:w="0" w:type="auto"/>
            <w:vAlign w:val="bottom"/>
          </w:tcPr>
          <w:p w14:paraId="437605D8" w14:textId="77777777" w:rsidR="00F44157" w:rsidRPr="00360ADC" w:rsidRDefault="00333557">
            <w:pPr>
              <w:rPr>
                <w:sz w:val="20"/>
                <w:szCs w:val="20"/>
              </w:rPr>
            </w:pPr>
            <w:r w:rsidRPr="00360ADC">
              <w:rPr>
                <w:sz w:val="20"/>
                <w:szCs w:val="20"/>
              </w:rPr>
              <w:t>2006</w:t>
            </w:r>
          </w:p>
        </w:tc>
      </w:tr>
      <w:tr w:rsidR="00F44157" w:rsidRPr="00360ADC" w14:paraId="50E3A470" w14:textId="77777777" w:rsidTr="003E2299">
        <w:trPr>
          <w:trHeight w:val="227"/>
        </w:trPr>
        <w:tc>
          <w:tcPr>
            <w:tcW w:w="0" w:type="auto"/>
            <w:shd w:val="clear" w:color="auto" w:fill="auto"/>
            <w:vAlign w:val="bottom"/>
          </w:tcPr>
          <w:p w14:paraId="033FA3C0" w14:textId="77777777" w:rsidR="00F44157" w:rsidRPr="00360ADC" w:rsidRDefault="00F44157">
            <w:pPr>
              <w:ind w:left="360"/>
              <w:rPr>
                <w:sz w:val="20"/>
                <w:szCs w:val="20"/>
              </w:rPr>
            </w:pPr>
          </w:p>
        </w:tc>
        <w:tc>
          <w:tcPr>
            <w:tcW w:w="0" w:type="auto"/>
            <w:shd w:val="clear" w:color="auto" w:fill="auto"/>
            <w:vAlign w:val="bottom"/>
          </w:tcPr>
          <w:p w14:paraId="3B799FD1" w14:textId="77777777" w:rsidR="00F44157" w:rsidRPr="00360ADC" w:rsidRDefault="00333557">
            <w:pPr>
              <w:rPr>
                <w:sz w:val="20"/>
                <w:szCs w:val="20"/>
              </w:rPr>
            </w:pPr>
            <w:r w:rsidRPr="00360ADC">
              <w:rPr>
                <w:sz w:val="20"/>
                <w:szCs w:val="20"/>
              </w:rPr>
              <w:t>Surinam</w:t>
            </w:r>
          </w:p>
        </w:tc>
        <w:tc>
          <w:tcPr>
            <w:tcW w:w="0" w:type="auto"/>
            <w:gridSpan w:val="2"/>
            <w:shd w:val="clear" w:color="auto" w:fill="auto"/>
            <w:vAlign w:val="bottom"/>
          </w:tcPr>
          <w:p w14:paraId="43F4EF11" w14:textId="77777777" w:rsidR="00F44157" w:rsidRPr="00360ADC" w:rsidRDefault="00333557">
            <w:pPr>
              <w:rPr>
                <w:sz w:val="20"/>
                <w:szCs w:val="20"/>
              </w:rPr>
            </w:pPr>
            <w:r w:rsidRPr="00360ADC">
              <w:rPr>
                <w:sz w:val="20"/>
                <w:szCs w:val="20"/>
              </w:rPr>
              <w:t>543</w:t>
            </w:r>
            <w:r w:rsidRPr="00360ADC">
              <w:rPr>
                <w:sz w:val="20"/>
                <w:szCs w:val="20"/>
                <w:vertAlign w:val="superscript"/>
              </w:rPr>
              <w:t xml:space="preserve"> a</w:t>
            </w:r>
          </w:p>
        </w:tc>
        <w:tc>
          <w:tcPr>
            <w:tcW w:w="0" w:type="auto"/>
            <w:shd w:val="clear" w:color="auto" w:fill="auto"/>
            <w:vAlign w:val="bottom"/>
          </w:tcPr>
          <w:p w14:paraId="26843D5D" w14:textId="77777777" w:rsidR="00F44157" w:rsidRPr="00360ADC" w:rsidRDefault="00333557">
            <w:pPr>
              <w:rPr>
                <w:sz w:val="20"/>
                <w:szCs w:val="20"/>
              </w:rPr>
            </w:pPr>
            <w:r w:rsidRPr="00360ADC">
              <w:rPr>
                <w:sz w:val="20"/>
                <w:szCs w:val="20"/>
              </w:rPr>
              <w:t>20</w:t>
            </w:r>
            <w:r w:rsidRPr="00360ADC">
              <w:rPr>
                <w:sz w:val="20"/>
                <w:szCs w:val="20"/>
                <w:vertAlign w:val="superscript"/>
              </w:rPr>
              <w:t xml:space="preserve"> b</w:t>
            </w:r>
          </w:p>
        </w:tc>
        <w:tc>
          <w:tcPr>
            <w:tcW w:w="0" w:type="auto"/>
            <w:shd w:val="clear" w:color="auto" w:fill="auto"/>
            <w:vAlign w:val="bottom"/>
          </w:tcPr>
          <w:p w14:paraId="3A32D8A0" w14:textId="77777777" w:rsidR="00F44157" w:rsidRPr="00360ADC" w:rsidRDefault="00333557">
            <w:pPr>
              <w:rPr>
                <w:sz w:val="20"/>
                <w:szCs w:val="20"/>
              </w:rPr>
            </w:pPr>
            <w:r w:rsidRPr="00360ADC">
              <w:rPr>
                <w:sz w:val="20"/>
                <w:szCs w:val="20"/>
              </w:rPr>
              <w:t>3,7</w:t>
            </w:r>
          </w:p>
        </w:tc>
        <w:tc>
          <w:tcPr>
            <w:tcW w:w="0" w:type="auto"/>
            <w:vAlign w:val="bottom"/>
          </w:tcPr>
          <w:p w14:paraId="4BAD42AC" w14:textId="77777777" w:rsidR="00F44157" w:rsidRPr="00360ADC" w:rsidRDefault="00333557">
            <w:pPr>
              <w:rPr>
                <w:sz w:val="20"/>
                <w:szCs w:val="20"/>
              </w:rPr>
            </w:pPr>
            <w:r w:rsidRPr="00360ADC">
              <w:rPr>
                <w:sz w:val="20"/>
                <w:szCs w:val="20"/>
              </w:rPr>
              <w:t>2017</w:t>
            </w:r>
          </w:p>
        </w:tc>
      </w:tr>
      <w:tr w:rsidR="00F44157" w:rsidRPr="00360ADC" w14:paraId="430283B4" w14:textId="77777777" w:rsidTr="003E2299">
        <w:trPr>
          <w:trHeight w:val="227"/>
        </w:trPr>
        <w:tc>
          <w:tcPr>
            <w:tcW w:w="0" w:type="auto"/>
            <w:shd w:val="clear" w:color="auto" w:fill="auto"/>
            <w:vAlign w:val="bottom"/>
          </w:tcPr>
          <w:p w14:paraId="4828425D" w14:textId="77777777" w:rsidR="00F44157" w:rsidRPr="00360ADC" w:rsidRDefault="00F44157">
            <w:pPr>
              <w:ind w:left="360"/>
              <w:rPr>
                <w:sz w:val="20"/>
                <w:szCs w:val="20"/>
              </w:rPr>
            </w:pPr>
          </w:p>
        </w:tc>
        <w:tc>
          <w:tcPr>
            <w:tcW w:w="0" w:type="auto"/>
            <w:shd w:val="clear" w:color="auto" w:fill="auto"/>
            <w:vAlign w:val="bottom"/>
          </w:tcPr>
          <w:p w14:paraId="4B86D648" w14:textId="77777777" w:rsidR="00F44157" w:rsidRPr="00360ADC" w:rsidRDefault="00333557">
            <w:pPr>
              <w:rPr>
                <w:sz w:val="20"/>
                <w:szCs w:val="20"/>
              </w:rPr>
            </w:pPr>
            <w:r w:rsidRPr="00360ADC">
              <w:rPr>
                <w:sz w:val="20"/>
                <w:szCs w:val="20"/>
              </w:rPr>
              <w:t>Uruguay</w:t>
            </w:r>
          </w:p>
        </w:tc>
        <w:tc>
          <w:tcPr>
            <w:tcW w:w="0" w:type="auto"/>
            <w:gridSpan w:val="2"/>
            <w:shd w:val="clear" w:color="auto" w:fill="auto"/>
            <w:vAlign w:val="bottom"/>
          </w:tcPr>
          <w:p w14:paraId="0ED76299" w14:textId="77777777" w:rsidR="00F44157" w:rsidRPr="00360ADC" w:rsidRDefault="00333557">
            <w:pPr>
              <w:rPr>
                <w:sz w:val="20"/>
                <w:szCs w:val="20"/>
              </w:rPr>
            </w:pPr>
            <w:r w:rsidRPr="00360ADC">
              <w:rPr>
                <w:sz w:val="20"/>
                <w:szCs w:val="20"/>
              </w:rPr>
              <w:t>3,432</w:t>
            </w:r>
            <w:r w:rsidRPr="00360ADC">
              <w:rPr>
                <w:sz w:val="20"/>
                <w:szCs w:val="20"/>
                <w:vertAlign w:val="superscript"/>
              </w:rPr>
              <w:t xml:space="preserve"> a</w:t>
            </w:r>
          </w:p>
        </w:tc>
        <w:tc>
          <w:tcPr>
            <w:tcW w:w="0" w:type="auto"/>
            <w:shd w:val="clear" w:color="auto" w:fill="auto"/>
            <w:vAlign w:val="bottom"/>
          </w:tcPr>
          <w:p w14:paraId="77EE4445" w14:textId="77777777" w:rsidR="00F44157" w:rsidRPr="00360ADC" w:rsidRDefault="00333557">
            <w:pPr>
              <w:rPr>
                <w:sz w:val="20"/>
                <w:szCs w:val="20"/>
              </w:rPr>
            </w:pPr>
            <w:r w:rsidRPr="00360ADC">
              <w:rPr>
                <w:sz w:val="20"/>
                <w:szCs w:val="20"/>
              </w:rPr>
              <w:t>115</w:t>
            </w:r>
            <w:r w:rsidRPr="00360ADC">
              <w:rPr>
                <w:sz w:val="20"/>
                <w:szCs w:val="20"/>
                <w:vertAlign w:val="superscript"/>
              </w:rPr>
              <w:t>g</w:t>
            </w:r>
          </w:p>
        </w:tc>
        <w:tc>
          <w:tcPr>
            <w:tcW w:w="0" w:type="auto"/>
            <w:shd w:val="clear" w:color="auto" w:fill="auto"/>
            <w:vAlign w:val="bottom"/>
          </w:tcPr>
          <w:p w14:paraId="0ABE1038" w14:textId="77777777" w:rsidR="00F44157" w:rsidRPr="00360ADC" w:rsidRDefault="00333557">
            <w:pPr>
              <w:rPr>
                <w:sz w:val="20"/>
                <w:szCs w:val="20"/>
              </w:rPr>
            </w:pPr>
            <w:r w:rsidRPr="00360ADC">
              <w:rPr>
                <w:sz w:val="20"/>
                <w:szCs w:val="20"/>
              </w:rPr>
              <w:t>3,4</w:t>
            </w:r>
          </w:p>
        </w:tc>
        <w:tc>
          <w:tcPr>
            <w:tcW w:w="0" w:type="auto"/>
            <w:vAlign w:val="bottom"/>
          </w:tcPr>
          <w:p w14:paraId="3880DF47" w14:textId="77777777" w:rsidR="00F44157" w:rsidRPr="00360ADC" w:rsidRDefault="00333557">
            <w:pPr>
              <w:rPr>
                <w:sz w:val="20"/>
                <w:szCs w:val="20"/>
              </w:rPr>
            </w:pPr>
            <w:r w:rsidRPr="00360ADC">
              <w:rPr>
                <w:sz w:val="20"/>
                <w:szCs w:val="20"/>
              </w:rPr>
              <w:t>2004</w:t>
            </w:r>
          </w:p>
        </w:tc>
      </w:tr>
      <w:tr w:rsidR="00F44157" w:rsidRPr="00360ADC" w14:paraId="675C4A69" w14:textId="77777777" w:rsidTr="003E2299">
        <w:trPr>
          <w:trHeight w:val="227"/>
        </w:trPr>
        <w:tc>
          <w:tcPr>
            <w:tcW w:w="0" w:type="auto"/>
            <w:shd w:val="clear" w:color="auto" w:fill="auto"/>
            <w:vAlign w:val="bottom"/>
          </w:tcPr>
          <w:p w14:paraId="52837338" w14:textId="77777777" w:rsidR="00F44157" w:rsidRPr="00360ADC" w:rsidRDefault="00F44157">
            <w:pPr>
              <w:ind w:left="360"/>
              <w:rPr>
                <w:sz w:val="20"/>
                <w:szCs w:val="20"/>
              </w:rPr>
            </w:pPr>
          </w:p>
        </w:tc>
        <w:tc>
          <w:tcPr>
            <w:tcW w:w="0" w:type="auto"/>
            <w:shd w:val="clear" w:color="auto" w:fill="auto"/>
            <w:vAlign w:val="bottom"/>
          </w:tcPr>
          <w:p w14:paraId="17E81B97" w14:textId="77777777" w:rsidR="00F44157" w:rsidRPr="00360ADC" w:rsidRDefault="00333557">
            <w:pPr>
              <w:rPr>
                <w:sz w:val="20"/>
                <w:szCs w:val="20"/>
              </w:rPr>
            </w:pPr>
            <w:r w:rsidRPr="00360ADC">
              <w:rPr>
                <w:sz w:val="20"/>
                <w:szCs w:val="20"/>
              </w:rPr>
              <w:t>Venezuela</w:t>
            </w:r>
          </w:p>
        </w:tc>
        <w:tc>
          <w:tcPr>
            <w:tcW w:w="0" w:type="auto"/>
            <w:gridSpan w:val="2"/>
            <w:shd w:val="clear" w:color="auto" w:fill="auto"/>
            <w:vAlign w:val="bottom"/>
          </w:tcPr>
          <w:p w14:paraId="3E772714" w14:textId="77777777" w:rsidR="00F44157" w:rsidRPr="00360ADC" w:rsidRDefault="00333557">
            <w:pPr>
              <w:rPr>
                <w:sz w:val="20"/>
                <w:szCs w:val="20"/>
              </w:rPr>
            </w:pPr>
            <w:r w:rsidRPr="00360ADC">
              <w:rPr>
                <w:sz w:val="20"/>
                <w:szCs w:val="20"/>
              </w:rPr>
              <w:t>31,108</w:t>
            </w:r>
            <w:r w:rsidRPr="00360ADC">
              <w:rPr>
                <w:sz w:val="20"/>
                <w:szCs w:val="20"/>
                <w:vertAlign w:val="superscript"/>
              </w:rPr>
              <w:t xml:space="preserve"> a</w:t>
            </w:r>
          </w:p>
        </w:tc>
        <w:tc>
          <w:tcPr>
            <w:tcW w:w="0" w:type="auto"/>
            <w:shd w:val="clear" w:color="auto" w:fill="auto"/>
            <w:vAlign w:val="bottom"/>
          </w:tcPr>
          <w:p w14:paraId="7C22FF15" w14:textId="77777777" w:rsidR="00F44157" w:rsidRPr="00360ADC" w:rsidRDefault="00333557">
            <w:pPr>
              <w:rPr>
                <w:sz w:val="20"/>
                <w:szCs w:val="20"/>
              </w:rPr>
            </w:pPr>
            <w:r w:rsidRPr="00360ADC">
              <w:rPr>
                <w:sz w:val="20"/>
                <w:szCs w:val="20"/>
              </w:rPr>
              <w:t>725</w:t>
            </w:r>
            <w:r w:rsidRPr="00360ADC">
              <w:rPr>
                <w:sz w:val="20"/>
                <w:szCs w:val="20"/>
                <w:vertAlign w:val="superscript"/>
              </w:rPr>
              <w:t xml:space="preserve"> c</w:t>
            </w:r>
          </w:p>
        </w:tc>
        <w:tc>
          <w:tcPr>
            <w:tcW w:w="0" w:type="auto"/>
            <w:shd w:val="clear" w:color="auto" w:fill="auto"/>
            <w:vAlign w:val="bottom"/>
          </w:tcPr>
          <w:p w14:paraId="65A0BA25" w14:textId="77777777" w:rsidR="00F44157" w:rsidRPr="00360ADC" w:rsidRDefault="00333557">
            <w:pPr>
              <w:rPr>
                <w:sz w:val="20"/>
                <w:szCs w:val="20"/>
              </w:rPr>
            </w:pPr>
            <w:r w:rsidRPr="00360ADC">
              <w:rPr>
                <w:sz w:val="20"/>
                <w:szCs w:val="20"/>
              </w:rPr>
              <w:t>2,3</w:t>
            </w:r>
          </w:p>
        </w:tc>
        <w:tc>
          <w:tcPr>
            <w:tcW w:w="0" w:type="auto"/>
            <w:vAlign w:val="bottom"/>
          </w:tcPr>
          <w:p w14:paraId="6211FE79" w14:textId="77777777" w:rsidR="00F44157" w:rsidRPr="00360ADC" w:rsidRDefault="00333557">
            <w:pPr>
              <w:rPr>
                <w:sz w:val="20"/>
                <w:szCs w:val="20"/>
              </w:rPr>
            </w:pPr>
            <w:r w:rsidRPr="00360ADC">
              <w:rPr>
                <w:sz w:val="20"/>
                <w:szCs w:val="20"/>
              </w:rPr>
              <w:t>2010</w:t>
            </w:r>
          </w:p>
        </w:tc>
      </w:tr>
      <w:tr w:rsidR="00F44157" w:rsidRPr="00360ADC" w14:paraId="16DA354D" w14:textId="77777777" w:rsidTr="003E2299">
        <w:trPr>
          <w:trHeight w:val="227"/>
        </w:trPr>
        <w:tc>
          <w:tcPr>
            <w:tcW w:w="0" w:type="auto"/>
            <w:shd w:val="clear" w:color="auto" w:fill="BFBFBF" w:themeFill="background1" w:themeFillShade="BF"/>
            <w:vAlign w:val="bottom"/>
          </w:tcPr>
          <w:p w14:paraId="5A9F91E8" w14:textId="77777777" w:rsidR="00F44157" w:rsidRPr="00360ADC" w:rsidRDefault="00333557">
            <w:pPr>
              <w:rPr>
                <w:sz w:val="20"/>
                <w:szCs w:val="20"/>
              </w:rPr>
            </w:pPr>
            <w:r w:rsidRPr="00360ADC">
              <w:rPr>
                <w:sz w:val="20"/>
                <w:szCs w:val="20"/>
              </w:rPr>
              <w:t>Caribbean</w:t>
            </w:r>
          </w:p>
        </w:tc>
        <w:tc>
          <w:tcPr>
            <w:tcW w:w="0" w:type="auto"/>
            <w:shd w:val="clear" w:color="auto" w:fill="BFBFBF" w:themeFill="background1" w:themeFillShade="BF"/>
            <w:vAlign w:val="bottom"/>
          </w:tcPr>
          <w:p w14:paraId="36AD6379" w14:textId="77777777" w:rsidR="00F44157" w:rsidRPr="00360ADC" w:rsidRDefault="00F44157">
            <w:pPr>
              <w:rPr>
                <w:sz w:val="20"/>
                <w:szCs w:val="20"/>
              </w:rPr>
            </w:pPr>
          </w:p>
        </w:tc>
        <w:tc>
          <w:tcPr>
            <w:tcW w:w="0" w:type="auto"/>
            <w:gridSpan w:val="2"/>
            <w:shd w:val="clear" w:color="auto" w:fill="BFBFBF" w:themeFill="background1" w:themeFillShade="BF"/>
            <w:vAlign w:val="bottom"/>
          </w:tcPr>
          <w:p w14:paraId="34CDEBE7" w14:textId="77777777" w:rsidR="00F44157" w:rsidRPr="00360ADC" w:rsidRDefault="00333557">
            <w:pPr>
              <w:rPr>
                <w:sz w:val="20"/>
                <w:szCs w:val="20"/>
              </w:rPr>
            </w:pPr>
            <w:r w:rsidRPr="00360ADC">
              <w:rPr>
                <w:sz w:val="20"/>
                <w:szCs w:val="20"/>
              </w:rPr>
              <w:t>38,009</w:t>
            </w:r>
          </w:p>
        </w:tc>
        <w:tc>
          <w:tcPr>
            <w:tcW w:w="0" w:type="auto"/>
            <w:shd w:val="clear" w:color="auto" w:fill="BFBFBF" w:themeFill="background1" w:themeFillShade="BF"/>
            <w:vAlign w:val="bottom"/>
          </w:tcPr>
          <w:p w14:paraId="5ADFD9AE" w14:textId="35EAE587" w:rsidR="00F44157" w:rsidRPr="00360ADC" w:rsidRDefault="00F44157">
            <w:pPr>
              <w:rPr>
                <w:sz w:val="20"/>
                <w:szCs w:val="20"/>
              </w:rPr>
            </w:pPr>
          </w:p>
        </w:tc>
        <w:tc>
          <w:tcPr>
            <w:tcW w:w="0" w:type="auto"/>
            <w:shd w:val="clear" w:color="auto" w:fill="BFBFBF" w:themeFill="background1" w:themeFillShade="BF"/>
            <w:vAlign w:val="bottom"/>
          </w:tcPr>
          <w:p w14:paraId="58AEBD1A" w14:textId="0F742E6F" w:rsidR="00F44157" w:rsidRPr="00360ADC" w:rsidRDefault="00F44157">
            <w:pPr>
              <w:rPr>
                <w:sz w:val="20"/>
                <w:szCs w:val="20"/>
              </w:rPr>
            </w:pPr>
          </w:p>
        </w:tc>
        <w:tc>
          <w:tcPr>
            <w:tcW w:w="0" w:type="auto"/>
            <w:shd w:val="clear" w:color="auto" w:fill="BFBFBF" w:themeFill="background1" w:themeFillShade="BF"/>
            <w:vAlign w:val="bottom"/>
          </w:tcPr>
          <w:p w14:paraId="429986EE" w14:textId="77777777" w:rsidR="00F44157" w:rsidRPr="00360ADC" w:rsidRDefault="00F44157">
            <w:pPr>
              <w:rPr>
                <w:sz w:val="20"/>
                <w:szCs w:val="20"/>
              </w:rPr>
            </w:pPr>
          </w:p>
        </w:tc>
      </w:tr>
      <w:tr w:rsidR="00F44157" w:rsidRPr="00360ADC" w14:paraId="454F15A5" w14:textId="77777777" w:rsidTr="003E2299">
        <w:trPr>
          <w:trHeight w:val="227"/>
        </w:trPr>
        <w:tc>
          <w:tcPr>
            <w:tcW w:w="0" w:type="auto"/>
            <w:shd w:val="clear" w:color="auto" w:fill="auto"/>
            <w:vAlign w:val="bottom"/>
          </w:tcPr>
          <w:p w14:paraId="4C3B8079" w14:textId="77777777" w:rsidR="00F44157" w:rsidRPr="00360ADC" w:rsidRDefault="00F44157">
            <w:pPr>
              <w:ind w:left="360"/>
              <w:rPr>
                <w:sz w:val="20"/>
                <w:szCs w:val="20"/>
              </w:rPr>
            </w:pPr>
          </w:p>
        </w:tc>
        <w:tc>
          <w:tcPr>
            <w:tcW w:w="0" w:type="auto"/>
            <w:shd w:val="clear" w:color="auto" w:fill="auto"/>
            <w:vAlign w:val="bottom"/>
          </w:tcPr>
          <w:p w14:paraId="21BC6FF6" w14:textId="77777777" w:rsidR="00F44157" w:rsidRPr="00360ADC" w:rsidRDefault="00333557">
            <w:pPr>
              <w:rPr>
                <w:sz w:val="20"/>
                <w:szCs w:val="20"/>
              </w:rPr>
            </w:pPr>
            <w:r w:rsidRPr="00360ADC">
              <w:rPr>
                <w:sz w:val="20"/>
                <w:szCs w:val="20"/>
              </w:rPr>
              <w:t>Antigua and Barbuda</w:t>
            </w:r>
          </w:p>
        </w:tc>
        <w:tc>
          <w:tcPr>
            <w:tcW w:w="0" w:type="auto"/>
            <w:gridSpan w:val="2"/>
            <w:shd w:val="clear" w:color="auto" w:fill="auto"/>
            <w:vAlign w:val="bottom"/>
          </w:tcPr>
          <w:p w14:paraId="551FE737" w14:textId="77777777" w:rsidR="00F44157" w:rsidRPr="00360ADC" w:rsidRDefault="00333557">
            <w:pPr>
              <w:rPr>
                <w:sz w:val="20"/>
                <w:szCs w:val="20"/>
              </w:rPr>
            </w:pPr>
            <w:r w:rsidRPr="00360ADC">
              <w:rPr>
                <w:sz w:val="20"/>
                <w:szCs w:val="20"/>
              </w:rPr>
              <w:t>92</w:t>
            </w:r>
            <w:r w:rsidRPr="00360ADC">
              <w:rPr>
                <w:sz w:val="20"/>
                <w:szCs w:val="20"/>
                <w:vertAlign w:val="superscript"/>
              </w:rPr>
              <w:t xml:space="preserve"> a</w:t>
            </w:r>
          </w:p>
        </w:tc>
        <w:tc>
          <w:tcPr>
            <w:tcW w:w="0" w:type="auto"/>
            <w:shd w:val="clear" w:color="auto" w:fill="auto"/>
            <w:vAlign w:val="bottom"/>
          </w:tcPr>
          <w:p w14:paraId="43F60152" w14:textId="77777777" w:rsidR="00F44157" w:rsidRPr="00360ADC" w:rsidRDefault="00F44157">
            <w:pPr>
              <w:rPr>
                <w:sz w:val="20"/>
                <w:szCs w:val="20"/>
              </w:rPr>
            </w:pPr>
          </w:p>
        </w:tc>
        <w:tc>
          <w:tcPr>
            <w:tcW w:w="0" w:type="auto"/>
            <w:shd w:val="clear" w:color="auto" w:fill="auto"/>
            <w:vAlign w:val="bottom"/>
          </w:tcPr>
          <w:p w14:paraId="4F9D868C" w14:textId="77777777" w:rsidR="00F44157" w:rsidRPr="00360ADC" w:rsidRDefault="00F44157">
            <w:pPr>
              <w:rPr>
                <w:sz w:val="20"/>
                <w:szCs w:val="20"/>
              </w:rPr>
            </w:pPr>
          </w:p>
        </w:tc>
        <w:tc>
          <w:tcPr>
            <w:tcW w:w="0" w:type="auto"/>
            <w:vAlign w:val="bottom"/>
          </w:tcPr>
          <w:p w14:paraId="693F87F1" w14:textId="77777777" w:rsidR="00F44157" w:rsidRPr="00360ADC" w:rsidRDefault="00F44157">
            <w:pPr>
              <w:rPr>
                <w:sz w:val="20"/>
                <w:szCs w:val="20"/>
              </w:rPr>
            </w:pPr>
          </w:p>
        </w:tc>
      </w:tr>
      <w:tr w:rsidR="00F44157" w:rsidRPr="00360ADC" w14:paraId="7BE4D4D8" w14:textId="77777777" w:rsidTr="003E2299">
        <w:trPr>
          <w:trHeight w:val="227"/>
        </w:trPr>
        <w:tc>
          <w:tcPr>
            <w:tcW w:w="0" w:type="auto"/>
            <w:shd w:val="clear" w:color="auto" w:fill="FFFFFF"/>
            <w:vAlign w:val="bottom"/>
          </w:tcPr>
          <w:p w14:paraId="05FE46C4" w14:textId="77777777" w:rsidR="00F44157" w:rsidRPr="00360ADC" w:rsidRDefault="00F44157">
            <w:pPr>
              <w:ind w:left="360"/>
              <w:rPr>
                <w:sz w:val="20"/>
                <w:szCs w:val="20"/>
              </w:rPr>
            </w:pPr>
          </w:p>
        </w:tc>
        <w:tc>
          <w:tcPr>
            <w:tcW w:w="0" w:type="auto"/>
            <w:shd w:val="clear" w:color="auto" w:fill="FFFFFF"/>
            <w:vAlign w:val="bottom"/>
          </w:tcPr>
          <w:p w14:paraId="06ED8F4B" w14:textId="6BE6D183" w:rsidR="00F44157" w:rsidRPr="00360ADC" w:rsidRDefault="00104CE3">
            <w:pPr>
              <w:rPr>
                <w:sz w:val="20"/>
                <w:szCs w:val="20"/>
              </w:rPr>
            </w:pPr>
            <w:r w:rsidRPr="00360ADC">
              <w:rPr>
                <w:sz w:val="20"/>
                <w:szCs w:val="20"/>
              </w:rPr>
              <w:t xml:space="preserve">The </w:t>
            </w:r>
            <w:r w:rsidR="00333557" w:rsidRPr="00360ADC">
              <w:rPr>
                <w:sz w:val="20"/>
                <w:szCs w:val="20"/>
              </w:rPr>
              <w:t>Bahamas</w:t>
            </w:r>
          </w:p>
        </w:tc>
        <w:tc>
          <w:tcPr>
            <w:tcW w:w="0" w:type="auto"/>
            <w:gridSpan w:val="2"/>
            <w:shd w:val="clear" w:color="auto" w:fill="FFFFFF"/>
            <w:vAlign w:val="bottom"/>
          </w:tcPr>
          <w:p w14:paraId="629EEBAA" w14:textId="77777777" w:rsidR="00F44157" w:rsidRPr="00360ADC" w:rsidRDefault="00333557">
            <w:pPr>
              <w:rPr>
                <w:sz w:val="20"/>
                <w:szCs w:val="20"/>
              </w:rPr>
            </w:pPr>
            <w:r w:rsidRPr="00360ADC">
              <w:rPr>
                <w:sz w:val="20"/>
                <w:szCs w:val="20"/>
              </w:rPr>
              <w:t>388</w:t>
            </w:r>
            <w:r w:rsidRPr="00360ADC">
              <w:rPr>
                <w:sz w:val="20"/>
                <w:szCs w:val="20"/>
                <w:vertAlign w:val="superscript"/>
              </w:rPr>
              <w:t xml:space="preserve"> a</w:t>
            </w:r>
          </w:p>
        </w:tc>
        <w:tc>
          <w:tcPr>
            <w:tcW w:w="0" w:type="auto"/>
            <w:shd w:val="clear" w:color="auto" w:fill="FFFFFF"/>
            <w:vAlign w:val="bottom"/>
          </w:tcPr>
          <w:p w14:paraId="05C3B42D" w14:textId="77777777" w:rsidR="00F44157" w:rsidRPr="00360ADC" w:rsidRDefault="00333557">
            <w:pPr>
              <w:rPr>
                <w:sz w:val="20"/>
                <w:szCs w:val="20"/>
              </w:rPr>
            </w:pPr>
            <w:r w:rsidRPr="00360ADC">
              <w:rPr>
                <w:sz w:val="20"/>
                <w:szCs w:val="20"/>
              </w:rPr>
              <w:t>3</w:t>
            </w:r>
            <w:r w:rsidRPr="00360ADC">
              <w:rPr>
                <w:sz w:val="20"/>
                <w:szCs w:val="20"/>
                <w:vertAlign w:val="superscript"/>
              </w:rPr>
              <w:t xml:space="preserve"> d</w:t>
            </w:r>
          </w:p>
        </w:tc>
        <w:tc>
          <w:tcPr>
            <w:tcW w:w="0" w:type="auto"/>
            <w:shd w:val="clear" w:color="auto" w:fill="FFFFFF"/>
            <w:vAlign w:val="bottom"/>
          </w:tcPr>
          <w:p w14:paraId="3FE3C68A" w14:textId="77777777" w:rsidR="00F44157" w:rsidRPr="00360ADC" w:rsidRDefault="00333557">
            <w:pPr>
              <w:rPr>
                <w:sz w:val="20"/>
                <w:szCs w:val="20"/>
              </w:rPr>
            </w:pPr>
            <w:r w:rsidRPr="00360ADC">
              <w:rPr>
                <w:sz w:val="20"/>
                <w:szCs w:val="20"/>
              </w:rPr>
              <w:t>0,8</w:t>
            </w:r>
          </w:p>
        </w:tc>
        <w:tc>
          <w:tcPr>
            <w:tcW w:w="0" w:type="auto"/>
            <w:vAlign w:val="bottom"/>
          </w:tcPr>
          <w:p w14:paraId="20446BB5" w14:textId="77777777" w:rsidR="00F44157" w:rsidRPr="00360ADC" w:rsidRDefault="00333557">
            <w:pPr>
              <w:rPr>
                <w:sz w:val="20"/>
                <w:szCs w:val="20"/>
              </w:rPr>
            </w:pPr>
            <w:r w:rsidRPr="00360ADC">
              <w:rPr>
                <w:sz w:val="20"/>
                <w:szCs w:val="20"/>
              </w:rPr>
              <w:t>2006</w:t>
            </w:r>
          </w:p>
        </w:tc>
      </w:tr>
      <w:tr w:rsidR="00F44157" w:rsidRPr="00360ADC" w14:paraId="1D7D13B9" w14:textId="77777777" w:rsidTr="003E2299">
        <w:trPr>
          <w:trHeight w:val="227"/>
        </w:trPr>
        <w:tc>
          <w:tcPr>
            <w:tcW w:w="0" w:type="auto"/>
            <w:shd w:val="clear" w:color="auto" w:fill="FFFFFF"/>
            <w:vAlign w:val="bottom"/>
          </w:tcPr>
          <w:p w14:paraId="14C6575C" w14:textId="77777777" w:rsidR="00F44157" w:rsidRPr="00360ADC" w:rsidRDefault="00F44157">
            <w:pPr>
              <w:ind w:left="360"/>
              <w:rPr>
                <w:sz w:val="20"/>
                <w:szCs w:val="20"/>
              </w:rPr>
            </w:pPr>
          </w:p>
        </w:tc>
        <w:tc>
          <w:tcPr>
            <w:tcW w:w="0" w:type="auto"/>
            <w:shd w:val="clear" w:color="auto" w:fill="FFFFFF"/>
            <w:vAlign w:val="bottom"/>
          </w:tcPr>
          <w:p w14:paraId="181225B0" w14:textId="77777777" w:rsidR="00F44157" w:rsidRPr="00360ADC" w:rsidRDefault="00333557">
            <w:pPr>
              <w:rPr>
                <w:sz w:val="20"/>
                <w:szCs w:val="20"/>
              </w:rPr>
            </w:pPr>
            <w:r w:rsidRPr="00360ADC">
              <w:rPr>
                <w:sz w:val="20"/>
                <w:szCs w:val="20"/>
              </w:rPr>
              <w:t>Barbados</w:t>
            </w:r>
          </w:p>
        </w:tc>
        <w:tc>
          <w:tcPr>
            <w:tcW w:w="0" w:type="auto"/>
            <w:gridSpan w:val="2"/>
            <w:shd w:val="clear" w:color="auto" w:fill="FFFFFF"/>
            <w:vAlign w:val="bottom"/>
          </w:tcPr>
          <w:p w14:paraId="0B3C8C6F" w14:textId="77777777" w:rsidR="00F44157" w:rsidRPr="00360ADC" w:rsidRDefault="00333557">
            <w:pPr>
              <w:rPr>
                <w:sz w:val="20"/>
                <w:szCs w:val="20"/>
              </w:rPr>
            </w:pPr>
            <w:r w:rsidRPr="00360ADC">
              <w:rPr>
                <w:sz w:val="20"/>
                <w:szCs w:val="20"/>
              </w:rPr>
              <w:t>284</w:t>
            </w:r>
            <w:r w:rsidRPr="00360ADC">
              <w:rPr>
                <w:sz w:val="20"/>
                <w:szCs w:val="20"/>
                <w:vertAlign w:val="superscript"/>
              </w:rPr>
              <w:t xml:space="preserve"> a</w:t>
            </w:r>
          </w:p>
        </w:tc>
        <w:tc>
          <w:tcPr>
            <w:tcW w:w="0" w:type="auto"/>
            <w:shd w:val="clear" w:color="auto" w:fill="FFFFFF"/>
            <w:vAlign w:val="bottom"/>
          </w:tcPr>
          <w:p w14:paraId="2CE43A58" w14:textId="77777777" w:rsidR="00F44157" w:rsidRPr="00360ADC" w:rsidRDefault="00F44157">
            <w:pPr>
              <w:rPr>
                <w:sz w:val="20"/>
                <w:szCs w:val="20"/>
              </w:rPr>
            </w:pPr>
          </w:p>
        </w:tc>
        <w:tc>
          <w:tcPr>
            <w:tcW w:w="0" w:type="auto"/>
            <w:shd w:val="clear" w:color="auto" w:fill="FFFFFF"/>
            <w:vAlign w:val="bottom"/>
          </w:tcPr>
          <w:p w14:paraId="4A9F0867" w14:textId="77777777" w:rsidR="00F44157" w:rsidRPr="00360ADC" w:rsidRDefault="00F44157">
            <w:pPr>
              <w:rPr>
                <w:sz w:val="20"/>
                <w:szCs w:val="20"/>
              </w:rPr>
            </w:pPr>
          </w:p>
        </w:tc>
        <w:tc>
          <w:tcPr>
            <w:tcW w:w="0" w:type="auto"/>
            <w:vAlign w:val="bottom"/>
          </w:tcPr>
          <w:p w14:paraId="5212275E" w14:textId="77777777" w:rsidR="00F44157" w:rsidRPr="00360ADC" w:rsidRDefault="00F44157">
            <w:pPr>
              <w:rPr>
                <w:sz w:val="20"/>
                <w:szCs w:val="20"/>
              </w:rPr>
            </w:pPr>
          </w:p>
        </w:tc>
      </w:tr>
      <w:tr w:rsidR="00F44157" w:rsidRPr="00360ADC" w14:paraId="74D02DC4" w14:textId="77777777" w:rsidTr="003E2299">
        <w:trPr>
          <w:trHeight w:val="227"/>
        </w:trPr>
        <w:tc>
          <w:tcPr>
            <w:tcW w:w="0" w:type="auto"/>
            <w:shd w:val="clear" w:color="auto" w:fill="auto"/>
            <w:vAlign w:val="bottom"/>
          </w:tcPr>
          <w:p w14:paraId="626A5A20" w14:textId="77777777" w:rsidR="00F44157" w:rsidRPr="00360ADC" w:rsidRDefault="00F44157">
            <w:pPr>
              <w:ind w:left="360"/>
              <w:rPr>
                <w:sz w:val="20"/>
                <w:szCs w:val="20"/>
              </w:rPr>
            </w:pPr>
          </w:p>
        </w:tc>
        <w:tc>
          <w:tcPr>
            <w:tcW w:w="0" w:type="auto"/>
            <w:shd w:val="clear" w:color="auto" w:fill="auto"/>
            <w:vAlign w:val="bottom"/>
          </w:tcPr>
          <w:p w14:paraId="25106720" w14:textId="77777777" w:rsidR="00F44157" w:rsidRPr="00360ADC" w:rsidRDefault="00333557">
            <w:pPr>
              <w:rPr>
                <w:sz w:val="20"/>
                <w:szCs w:val="20"/>
              </w:rPr>
            </w:pPr>
            <w:r w:rsidRPr="00360ADC">
              <w:rPr>
                <w:sz w:val="20"/>
                <w:szCs w:val="20"/>
              </w:rPr>
              <w:t>Cuba</w:t>
            </w:r>
          </w:p>
        </w:tc>
        <w:tc>
          <w:tcPr>
            <w:tcW w:w="0" w:type="auto"/>
            <w:gridSpan w:val="2"/>
            <w:shd w:val="clear" w:color="auto" w:fill="auto"/>
            <w:vAlign w:val="bottom"/>
          </w:tcPr>
          <w:p w14:paraId="015106E1" w14:textId="77777777" w:rsidR="00F44157" w:rsidRPr="00360ADC" w:rsidRDefault="00333557">
            <w:pPr>
              <w:rPr>
                <w:sz w:val="20"/>
                <w:szCs w:val="20"/>
              </w:rPr>
            </w:pPr>
            <w:r w:rsidRPr="00360ADC">
              <w:rPr>
                <w:sz w:val="20"/>
                <w:szCs w:val="20"/>
              </w:rPr>
              <w:t>11,390</w:t>
            </w:r>
            <w:r w:rsidRPr="00360ADC">
              <w:rPr>
                <w:sz w:val="20"/>
                <w:szCs w:val="20"/>
                <w:vertAlign w:val="superscript"/>
              </w:rPr>
              <w:t xml:space="preserve"> a</w:t>
            </w:r>
          </w:p>
        </w:tc>
        <w:tc>
          <w:tcPr>
            <w:tcW w:w="0" w:type="auto"/>
            <w:shd w:val="clear" w:color="auto" w:fill="auto"/>
            <w:vAlign w:val="bottom"/>
          </w:tcPr>
          <w:p w14:paraId="1C818775" w14:textId="77777777" w:rsidR="00F44157" w:rsidRPr="00360ADC" w:rsidRDefault="00333557">
            <w:pPr>
              <w:rPr>
                <w:sz w:val="20"/>
                <w:szCs w:val="20"/>
              </w:rPr>
            </w:pPr>
            <w:r w:rsidRPr="00360ADC">
              <w:rPr>
                <w:sz w:val="20"/>
                <w:szCs w:val="20"/>
              </w:rPr>
              <w:t>5</w:t>
            </w:r>
            <w:r w:rsidRPr="00360ADC">
              <w:rPr>
                <w:sz w:val="20"/>
                <w:szCs w:val="20"/>
                <w:vertAlign w:val="superscript"/>
              </w:rPr>
              <w:t xml:space="preserve"> h</w:t>
            </w:r>
          </w:p>
        </w:tc>
        <w:tc>
          <w:tcPr>
            <w:tcW w:w="0" w:type="auto"/>
            <w:shd w:val="clear" w:color="auto" w:fill="auto"/>
            <w:vAlign w:val="bottom"/>
          </w:tcPr>
          <w:p w14:paraId="3036634E" w14:textId="77777777" w:rsidR="00F44157" w:rsidRPr="00360ADC" w:rsidRDefault="00333557">
            <w:pPr>
              <w:rPr>
                <w:sz w:val="20"/>
                <w:szCs w:val="20"/>
              </w:rPr>
            </w:pPr>
            <w:r w:rsidRPr="00360ADC">
              <w:rPr>
                <w:sz w:val="20"/>
                <w:szCs w:val="20"/>
              </w:rPr>
              <w:t>0,0</w:t>
            </w:r>
          </w:p>
        </w:tc>
        <w:tc>
          <w:tcPr>
            <w:tcW w:w="0" w:type="auto"/>
            <w:vAlign w:val="bottom"/>
          </w:tcPr>
          <w:p w14:paraId="318C7779" w14:textId="77777777" w:rsidR="00F44157" w:rsidRPr="00360ADC" w:rsidRDefault="00333557">
            <w:pPr>
              <w:rPr>
                <w:sz w:val="20"/>
                <w:szCs w:val="20"/>
              </w:rPr>
            </w:pPr>
            <w:r w:rsidRPr="00360ADC">
              <w:rPr>
                <w:sz w:val="20"/>
                <w:szCs w:val="20"/>
              </w:rPr>
              <w:t>2011</w:t>
            </w:r>
          </w:p>
        </w:tc>
      </w:tr>
      <w:tr w:rsidR="00F44157" w:rsidRPr="00360ADC" w14:paraId="57E0B3BA" w14:textId="77777777" w:rsidTr="003E2299">
        <w:trPr>
          <w:trHeight w:val="227"/>
        </w:trPr>
        <w:tc>
          <w:tcPr>
            <w:tcW w:w="0" w:type="auto"/>
            <w:shd w:val="clear" w:color="auto" w:fill="auto"/>
            <w:vAlign w:val="bottom"/>
          </w:tcPr>
          <w:p w14:paraId="7178A15D" w14:textId="77777777" w:rsidR="00F44157" w:rsidRPr="00360ADC" w:rsidRDefault="00F44157">
            <w:pPr>
              <w:ind w:left="360"/>
              <w:rPr>
                <w:sz w:val="20"/>
                <w:szCs w:val="20"/>
              </w:rPr>
            </w:pPr>
          </w:p>
        </w:tc>
        <w:tc>
          <w:tcPr>
            <w:tcW w:w="0" w:type="auto"/>
            <w:shd w:val="clear" w:color="auto" w:fill="auto"/>
            <w:vAlign w:val="bottom"/>
          </w:tcPr>
          <w:p w14:paraId="3BD35742" w14:textId="77777777" w:rsidR="00F44157" w:rsidRPr="00360ADC" w:rsidRDefault="00333557">
            <w:pPr>
              <w:rPr>
                <w:sz w:val="20"/>
                <w:szCs w:val="20"/>
              </w:rPr>
            </w:pPr>
            <w:r w:rsidRPr="00360ADC">
              <w:rPr>
                <w:sz w:val="20"/>
                <w:szCs w:val="20"/>
              </w:rPr>
              <w:t>Dominica</w:t>
            </w:r>
          </w:p>
        </w:tc>
        <w:tc>
          <w:tcPr>
            <w:tcW w:w="0" w:type="auto"/>
            <w:gridSpan w:val="2"/>
            <w:shd w:val="clear" w:color="auto" w:fill="auto"/>
            <w:vAlign w:val="bottom"/>
          </w:tcPr>
          <w:p w14:paraId="35C75D2A" w14:textId="77777777" w:rsidR="00F44157" w:rsidRPr="00360ADC" w:rsidRDefault="00333557">
            <w:pPr>
              <w:rPr>
                <w:sz w:val="20"/>
                <w:szCs w:val="20"/>
              </w:rPr>
            </w:pPr>
            <w:r w:rsidRPr="00360ADC">
              <w:rPr>
                <w:sz w:val="20"/>
                <w:szCs w:val="20"/>
              </w:rPr>
              <w:t>73</w:t>
            </w:r>
            <w:r w:rsidRPr="00360ADC">
              <w:rPr>
                <w:sz w:val="20"/>
                <w:szCs w:val="20"/>
                <w:vertAlign w:val="superscript"/>
              </w:rPr>
              <w:t xml:space="preserve"> a</w:t>
            </w:r>
          </w:p>
        </w:tc>
        <w:tc>
          <w:tcPr>
            <w:tcW w:w="0" w:type="auto"/>
            <w:shd w:val="clear" w:color="auto" w:fill="auto"/>
            <w:vAlign w:val="bottom"/>
          </w:tcPr>
          <w:p w14:paraId="3C4DD419" w14:textId="77777777" w:rsidR="00F44157" w:rsidRPr="00360ADC" w:rsidRDefault="00333557">
            <w:pPr>
              <w:rPr>
                <w:sz w:val="20"/>
                <w:szCs w:val="20"/>
              </w:rPr>
            </w:pPr>
            <w:r w:rsidRPr="00360ADC">
              <w:rPr>
                <w:sz w:val="20"/>
                <w:szCs w:val="20"/>
              </w:rPr>
              <w:t>3</w:t>
            </w:r>
            <w:r w:rsidRPr="00360ADC">
              <w:rPr>
                <w:sz w:val="20"/>
                <w:szCs w:val="20"/>
                <w:vertAlign w:val="superscript"/>
              </w:rPr>
              <w:t xml:space="preserve"> i</w:t>
            </w:r>
          </w:p>
        </w:tc>
        <w:tc>
          <w:tcPr>
            <w:tcW w:w="0" w:type="auto"/>
            <w:shd w:val="clear" w:color="auto" w:fill="auto"/>
            <w:vAlign w:val="bottom"/>
          </w:tcPr>
          <w:p w14:paraId="10CE93A2" w14:textId="77777777" w:rsidR="00F44157" w:rsidRPr="00360ADC" w:rsidRDefault="00333557">
            <w:pPr>
              <w:rPr>
                <w:sz w:val="20"/>
                <w:szCs w:val="20"/>
              </w:rPr>
            </w:pPr>
            <w:r w:rsidRPr="00360ADC">
              <w:rPr>
                <w:sz w:val="20"/>
                <w:szCs w:val="20"/>
              </w:rPr>
              <w:t>4,1</w:t>
            </w:r>
          </w:p>
        </w:tc>
        <w:tc>
          <w:tcPr>
            <w:tcW w:w="0" w:type="auto"/>
            <w:vAlign w:val="bottom"/>
          </w:tcPr>
          <w:p w14:paraId="60026B71" w14:textId="77777777" w:rsidR="00F44157" w:rsidRPr="00360ADC" w:rsidRDefault="00333557">
            <w:pPr>
              <w:rPr>
                <w:sz w:val="20"/>
                <w:szCs w:val="20"/>
              </w:rPr>
            </w:pPr>
            <w:r w:rsidRPr="00360ADC">
              <w:rPr>
                <w:sz w:val="20"/>
                <w:szCs w:val="20"/>
              </w:rPr>
              <w:t>2017</w:t>
            </w:r>
          </w:p>
        </w:tc>
      </w:tr>
      <w:tr w:rsidR="00F44157" w:rsidRPr="00360ADC" w14:paraId="3372A95E" w14:textId="77777777" w:rsidTr="003E2299">
        <w:trPr>
          <w:trHeight w:val="227"/>
        </w:trPr>
        <w:tc>
          <w:tcPr>
            <w:tcW w:w="0" w:type="auto"/>
            <w:shd w:val="clear" w:color="auto" w:fill="auto"/>
            <w:vAlign w:val="bottom"/>
          </w:tcPr>
          <w:p w14:paraId="625BD311" w14:textId="77777777" w:rsidR="00F44157" w:rsidRPr="00360ADC" w:rsidRDefault="00F44157">
            <w:pPr>
              <w:ind w:left="360"/>
              <w:rPr>
                <w:sz w:val="20"/>
                <w:szCs w:val="20"/>
              </w:rPr>
            </w:pPr>
          </w:p>
        </w:tc>
        <w:tc>
          <w:tcPr>
            <w:tcW w:w="0" w:type="auto"/>
            <w:shd w:val="clear" w:color="auto" w:fill="auto"/>
            <w:vAlign w:val="bottom"/>
          </w:tcPr>
          <w:p w14:paraId="77BD0D9C" w14:textId="77777777" w:rsidR="00F44157" w:rsidRPr="00360ADC" w:rsidRDefault="00333557">
            <w:pPr>
              <w:rPr>
                <w:sz w:val="20"/>
                <w:szCs w:val="20"/>
              </w:rPr>
            </w:pPr>
            <w:r w:rsidRPr="00360ADC">
              <w:rPr>
                <w:sz w:val="20"/>
                <w:szCs w:val="20"/>
              </w:rPr>
              <w:t>Grenada</w:t>
            </w:r>
          </w:p>
        </w:tc>
        <w:tc>
          <w:tcPr>
            <w:tcW w:w="0" w:type="auto"/>
            <w:gridSpan w:val="2"/>
            <w:shd w:val="clear" w:color="auto" w:fill="auto"/>
            <w:vAlign w:val="bottom"/>
          </w:tcPr>
          <w:p w14:paraId="2AC02318" w14:textId="77777777" w:rsidR="00F44157" w:rsidRPr="00360ADC" w:rsidRDefault="00333557">
            <w:pPr>
              <w:rPr>
                <w:sz w:val="20"/>
                <w:szCs w:val="20"/>
              </w:rPr>
            </w:pPr>
            <w:r w:rsidRPr="00360ADC">
              <w:rPr>
                <w:sz w:val="20"/>
                <w:szCs w:val="20"/>
              </w:rPr>
              <w:t>107</w:t>
            </w:r>
            <w:r w:rsidRPr="00360ADC">
              <w:rPr>
                <w:sz w:val="20"/>
                <w:szCs w:val="20"/>
                <w:vertAlign w:val="superscript"/>
              </w:rPr>
              <w:t xml:space="preserve"> a</w:t>
            </w:r>
          </w:p>
        </w:tc>
        <w:tc>
          <w:tcPr>
            <w:tcW w:w="0" w:type="auto"/>
            <w:shd w:val="clear" w:color="auto" w:fill="auto"/>
            <w:vAlign w:val="bottom"/>
          </w:tcPr>
          <w:p w14:paraId="280F084B" w14:textId="77777777" w:rsidR="00F44157" w:rsidRPr="00360ADC" w:rsidRDefault="00F44157">
            <w:pPr>
              <w:rPr>
                <w:sz w:val="20"/>
                <w:szCs w:val="20"/>
              </w:rPr>
            </w:pPr>
          </w:p>
        </w:tc>
        <w:tc>
          <w:tcPr>
            <w:tcW w:w="0" w:type="auto"/>
            <w:shd w:val="clear" w:color="auto" w:fill="auto"/>
            <w:vAlign w:val="bottom"/>
          </w:tcPr>
          <w:p w14:paraId="63BDDE0A" w14:textId="77777777" w:rsidR="00F44157" w:rsidRPr="00360ADC" w:rsidRDefault="00F44157">
            <w:pPr>
              <w:rPr>
                <w:sz w:val="20"/>
                <w:szCs w:val="20"/>
              </w:rPr>
            </w:pPr>
          </w:p>
        </w:tc>
        <w:tc>
          <w:tcPr>
            <w:tcW w:w="0" w:type="auto"/>
            <w:vAlign w:val="bottom"/>
          </w:tcPr>
          <w:p w14:paraId="05FC19B3" w14:textId="77777777" w:rsidR="00F44157" w:rsidRPr="00360ADC" w:rsidRDefault="00F44157">
            <w:pPr>
              <w:rPr>
                <w:sz w:val="20"/>
                <w:szCs w:val="20"/>
              </w:rPr>
            </w:pPr>
          </w:p>
        </w:tc>
      </w:tr>
      <w:tr w:rsidR="00F44157" w:rsidRPr="00360ADC" w14:paraId="1827B4EA" w14:textId="77777777" w:rsidTr="003E2299">
        <w:trPr>
          <w:trHeight w:val="227"/>
        </w:trPr>
        <w:tc>
          <w:tcPr>
            <w:tcW w:w="0" w:type="auto"/>
            <w:shd w:val="clear" w:color="auto" w:fill="auto"/>
            <w:vAlign w:val="bottom"/>
          </w:tcPr>
          <w:p w14:paraId="50D83D9C" w14:textId="77777777" w:rsidR="00F44157" w:rsidRPr="00360ADC" w:rsidRDefault="00F44157">
            <w:pPr>
              <w:ind w:left="360"/>
              <w:rPr>
                <w:sz w:val="20"/>
                <w:szCs w:val="20"/>
              </w:rPr>
            </w:pPr>
          </w:p>
        </w:tc>
        <w:tc>
          <w:tcPr>
            <w:tcW w:w="0" w:type="auto"/>
            <w:shd w:val="clear" w:color="auto" w:fill="auto"/>
            <w:vAlign w:val="bottom"/>
          </w:tcPr>
          <w:p w14:paraId="12C067EF" w14:textId="77777777" w:rsidR="00F44157" w:rsidRPr="00360ADC" w:rsidRDefault="00333557">
            <w:pPr>
              <w:rPr>
                <w:sz w:val="20"/>
                <w:szCs w:val="20"/>
              </w:rPr>
            </w:pPr>
            <w:r w:rsidRPr="00360ADC">
              <w:rPr>
                <w:sz w:val="20"/>
                <w:szCs w:val="20"/>
              </w:rPr>
              <w:t>Haiti</w:t>
            </w:r>
          </w:p>
        </w:tc>
        <w:tc>
          <w:tcPr>
            <w:tcW w:w="0" w:type="auto"/>
            <w:gridSpan w:val="2"/>
            <w:shd w:val="clear" w:color="auto" w:fill="auto"/>
            <w:vAlign w:val="bottom"/>
          </w:tcPr>
          <w:p w14:paraId="7A6002A1" w14:textId="77777777" w:rsidR="00F44157" w:rsidRPr="00360ADC" w:rsidRDefault="00333557">
            <w:pPr>
              <w:rPr>
                <w:sz w:val="20"/>
                <w:szCs w:val="20"/>
              </w:rPr>
            </w:pPr>
            <w:r w:rsidRPr="00360ADC">
              <w:rPr>
                <w:sz w:val="20"/>
                <w:szCs w:val="20"/>
              </w:rPr>
              <w:t>10,711</w:t>
            </w:r>
            <w:r w:rsidRPr="00360ADC">
              <w:rPr>
                <w:sz w:val="20"/>
                <w:szCs w:val="20"/>
                <w:vertAlign w:val="superscript"/>
              </w:rPr>
              <w:t xml:space="preserve"> a</w:t>
            </w:r>
          </w:p>
        </w:tc>
        <w:tc>
          <w:tcPr>
            <w:tcW w:w="0" w:type="auto"/>
            <w:shd w:val="clear" w:color="auto" w:fill="auto"/>
            <w:vAlign w:val="bottom"/>
          </w:tcPr>
          <w:p w14:paraId="5051CD47" w14:textId="77777777" w:rsidR="00F44157" w:rsidRPr="00360ADC" w:rsidRDefault="00F44157">
            <w:pPr>
              <w:rPr>
                <w:sz w:val="20"/>
                <w:szCs w:val="20"/>
              </w:rPr>
            </w:pPr>
          </w:p>
        </w:tc>
        <w:tc>
          <w:tcPr>
            <w:tcW w:w="0" w:type="auto"/>
            <w:shd w:val="clear" w:color="auto" w:fill="auto"/>
            <w:vAlign w:val="bottom"/>
          </w:tcPr>
          <w:p w14:paraId="6D3D011F" w14:textId="77777777" w:rsidR="00F44157" w:rsidRPr="00360ADC" w:rsidRDefault="00F44157">
            <w:pPr>
              <w:rPr>
                <w:sz w:val="20"/>
                <w:szCs w:val="20"/>
              </w:rPr>
            </w:pPr>
          </w:p>
        </w:tc>
        <w:tc>
          <w:tcPr>
            <w:tcW w:w="0" w:type="auto"/>
            <w:vAlign w:val="bottom"/>
          </w:tcPr>
          <w:p w14:paraId="5860E46B" w14:textId="77777777" w:rsidR="00F44157" w:rsidRPr="00360ADC" w:rsidRDefault="00F44157">
            <w:pPr>
              <w:rPr>
                <w:sz w:val="20"/>
                <w:szCs w:val="20"/>
              </w:rPr>
            </w:pPr>
          </w:p>
        </w:tc>
      </w:tr>
      <w:tr w:rsidR="00F44157" w:rsidRPr="00360ADC" w14:paraId="0E21DDED" w14:textId="77777777" w:rsidTr="003E2299">
        <w:trPr>
          <w:trHeight w:val="227"/>
        </w:trPr>
        <w:tc>
          <w:tcPr>
            <w:tcW w:w="0" w:type="auto"/>
            <w:shd w:val="clear" w:color="auto" w:fill="auto"/>
            <w:vAlign w:val="bottom"/>
          </w:tcPr>
          <w:p w14:paraId="465438E5" w14:textId="77777777" w:rsidR="00F44157" w:rsidRPr="00360ADC" w:rsidRDefault="00F44157">
            <w:pPr>
              <w:ind w:left="360"/>
              <w:rPr>
                <w:sz w:val="20"/>
                <w:szCs w:val="20"/>
              </w:rPr>
            </w:pPr>
          </w:p>
        </w:tc>
        <w:tc>
          <w:tcPr>
            <w:tcW w:w="0" w:type="auto"/>
            <w:shd w:val="clear" w:color="auto" w:fill="auto"/>
            <w:vAlign w:val="bottom"/>
          </w:tcPr>
          <w:p w14:paraId="28177266" w14:textId="77777777" w:rsidR="00F44157" w:rsidRPr="00360ADC" w:rsidRDefault="00333557">
            <w:pPr>
              <w:rPr>
                <w:sz w:val="20"/>
                <w:szCs w:val="20"/>
              </w:rPr>
            </w:pPr>
            <w:r w:rsidRPr="00360ADC">
              <w:rPr>
                <w:sz w:val="20"/>
                <w:szCs w:val="20"/>
              </w:rPr>
              <w:t>Jamaica</w:t>
            </w:r>
          </w:p>
        </w:tc>
        <w:tc>
          <w:tcPr>
            <w:tcW w:w="0" w:type="auto"/>
            <w:gridSpan w:val="2"/>
            <w:shd w:val="clear" w:color="auto" w:fill="auto"/>
            <w:vAlign w:val="bottom"/>
          </w:tcPr>
          <w:p w14:paraId="268C784A" w14:textId="77777777" w:rsidR="00F44157" w:rsidRPr="00360ADC" w:rsidRDefault="00333557">
            <w:pPr>
              <w:rPr>
                <w:sz w:val="20"/>
                <w:szCs w:val="20"/>
              </w:rPr>
            </w:pPr>
            <w:r w:rsidRPr="00360ADC">
              <w:rPr>
                <w:sz w:val="20"/>
                <w:szCs w:val="20"/>
              </w:rPr>
              <w:t>2,726</w:t>
            </w:r>
            <w:r w:rsidRPr="00360ADC">
              <w:rPr>
                <w:sz w:val="20"/>
                <w:szCs w:val="20"/>
                <w:vertAlign w:val="superscript"/>
              </w:rPr>
              <w:t xml:space="preserve"> a</w:t>
            </w:r>
          </w:p>
        </w:tc>
        <w:tc>
          <w:tcPr>
            <w:tcW w:w="0" w:type="auto"/>
            <w:shd w:val="clear" w:color="auto" w:fill="auto"/>
            <w:vAlign w:val="bottom"/>
          </w:tcPr>
          <w:p w14:paraId="75EF826D" w14:textId="77777777" w:rsidR="00F44157" w:rsidRPr="00360ADC" w:rsidRDefault="00333557">
            <w:pPr>
              <w:rPr>
                <w:sz w:val="20"/>
                <w:szCs w:val="20"/>
              </w:rPr>
            </w:pPr>
            <w:r w:rsidRPr="00360ADC">
              <w:rPr>
                <w:sz w:val="20"/>
                <w:szCs w:val="20"/>
              </w:rPr>
              <w:t>51</w:t>
            </w:r>
            <w:r w:rsidRPr="00360ADC">
              <w:rPr>
                <w:sz w:val="20"/>
                <w:szCs w:val="20"/>
                <w:vertAlign w:val="superscript"/>
              </w:rPr>
              <w:t xml:space="preserve"> d</w:t>
            </w:r>
          </w:p>
        </w:tc>
        <w:tc>
          <w:tcPr>
            <w:tcW w:w="0" w:type="auto"/>
            <w:shd w:val="clear" w:color="auto" w:fill="auto"/>
            <w:vAlign w:val="bottom"/>
          </w:tcPr>
          <w:p w14:paraId="006B7DBF" w14:textId="77777777" w:rsidR="00F44157" w:rsidRPr="00360ADC" w:rsidRDefault="00333557">
            <w:pPr>
              <w:rPr>
                <w:sz w:val="20"/>
                <w:szCs w:val="20"/>
              </w:rPr>
            </w:pPr>
            <w:r w:rsidRPr="00360ADC">
              <w:rPr>
                <w:sz w:val="20"/>
                <w:szCs w:val="20"/>
              </w:rPr>
              <w:t>1,9</w:t>
            </w:r>
          </w:p>
        </w:tc>
        <w:tc>
          <w:tcPr>
            <w:tcW w:w="0" w:type="auto"/>
            <w:vAlign w:val="bottom"/>
          </w:tcPr>
          <w:p w14:paraId="36C3BC76" w14:textId="77777777" w:rsidR="00F44157" w:rsidRPr="00360ADC" w:rsidRDefault="00333557">
            <w:pPr>
              <w:rPr>
                <w:sz w:val="20"/>
                <w:szCs w:val="20"/>
              </w:rPr>
            </w:pPr>
            <w:r w:rsidRPr="00360ADC">
              <w:rPr>
                <w:sz w:val="20"/>
                <w:szCs w:val="20"/>
              </w:rPr>
              <w:t>2006</w:t>
            </w:r>
          </w:p>
        </w:tc>
      </w:tr>
      <w:tr w:rsidR="00F44157" w:rsidRPr="00360ADC" w14:paraId="6AC9686D" w14:textId="77777777" w:rsidTr="003E2299">
        <w:trPr>
          <w:trHeight w:val="227"/>
        </w:trPr>
        <w:tc>
          <w:tcPr>
            <w:tcW w:w="0" w:type="auto"/>
            <w:shd w:val="clear" w:color="auto" w:fill="auto"/>
            <w:vAlign w:val="bottom"/>
          </w:tcPr>
          <w:p w14:paraId="444B90FC" w14:textId="77777777" w:rsidR="00F44157" w:rsidRPr="00360ADC" w:rsidRDefault="00F44157">
            <w:pPr>
              <w:ind w:left="360"/>
              <w:rPr>
                <w:sz w:val="20"/>
                <w:szCs w:val="20"/>
              </w:rPr>
            </w:pPr>
          </w:p>
        </w:tc>
        <w:tc>
          <w:tcPr>
            <w:tcW w:w="0" w:type="auto"/>
            <w:shd w:val="clear" w:color="auto" w:fill="auto"/>
            <w:vAlign w:val="bottom"/>
          </w:tcPr>
          <w:p w14:paraId="2205DCC1" w14:textId="77777777" w:rsidR="00F44157" w:rsidRPr="00360ADC" w:rsidRDefault="00333557">
            <w:pPr>
              <w:rPr>
                <w:sz w:val="20"/>
                <w:szCs w:val="20"/>
              </w:rPr>
            </w:pPr>
            <w:r w:rsidRPr="00360ADC">
              <w:rPr>
                <w:sz w:val="20"/>
                <w:szCs w:val="20"/>
              </w:rPr>
              <w:t>Dominican Republic</w:t>
            </w:r>
          </w:p>
        </w:tc>
        <w:tc>
          <w:tcPr>
            <w:tcW w:w="0" w:type="auto"/>
            <w:gridSpan w:val="2"/>
            <w:shd w:val="clear" w:color="auto" w:fill="auto"/>
            <w:vAlign w:val="bottom"/>
          </w:tcPr>
          <w:p w14:paraId="55F29D59" w14:textId="77777777" w:rsidR="00F44157" w:rsidRPr="00360ADC" w:rsidRDefault="00333557">
            <w:pPr>
              <w:rPr>
                <w:sz w:val="20"/>
                <w:szCs w:val="20"/>
              </w:rPr>
            </w:pPr>
            <w:r w:rsidRPr="00360ADC">
              <w:rPr>
                <w:sz w:val="20"/>
                <w:szCs w:val="20"/>
              </w:rPr>
              <w:t>10,528</w:t>
            </w:r>
            <w:r w:rsidRPr="00360ADC">
              <w:rPr>
                <w:sz w:val="20"/>
                <w:szCs w:val="20"/>
                <w:vertAlign w:val="superscript"/>
              </w:rPr>
              <w:t xml:space="preserve"> a</w:t>
            </w:r>
          </w:p>
        </w:tc>
        <w:tc>
          <w:tcPr>
            <w:tcW w:w="0" w:type="auto"/>
            <w:shd w:val="clear" w:color="auto" w:fill="auto"/>
            <w:vAlign w:val="bottom"/>
          </w:tcPr>
          <w:p w14:paraId="578B32E0" w14:textId="77777777" w:rsidR="00F44157" w:rsidRPr="00360ADC" w:rsidRDefault="00F44157">
            <w:pPr>
              <w:rPr>
                <w:sz w:val="20"/>
                <w:szCs w:val="20"/>
              </w:rPr>
            </w:pPr>
          </w:p>
        </w:tc>
        <w:tc>
          <w:tcPr>
            <w:tcW w:w="0" w:type="auto"/>
            <w:shd w:val="clear" w:color="auto" w:fill="auto"/>
            <w:vAlign w:val="bottom"/>
          </w:tcPr>
          <w:p w14:paraId="122BA986" w14:textId="77777777" w:rsidR="00F44157" w:rsidRPr="00360ADC" w:rsidRDefault="00F44157">
            <w:pPr>
              <w:rPr>
                <w:sz w:val="20"/>
                <w:szCs w:val="20"/>
              </w:rPr>
            </w:pPr>
          </w:p>
        </w:tc>
        <w:tc>
          <w:tcPr>
            <w:tcW w:w="0" w:type="auto"/>
            <w:vAlign w:val="bottom"/>
          </w:tcPr>
          <w:p w14:paraId="30132D9B" w14:textId="77777777" w:rsidR="00F44157" w:rsidRPr="00360ADC" w:rsidRDefault="00F44157">
            <w:pPr>
              <w:rPr>
                <w:sz w:val="20"/>
                <w:szCs w:val="20"/>
              </w:rPr>
            </w:pPr>
          </w:p>
        </w:tc>
      </w:tr>
      <w:tr w:rsidR="00F44157" w:rsidRPr="00360ADC" w14:paraId="444DF06C" w14:textId="77777777" w:rsidTr="003E2299">
        <w:trPr>
          <w:trHeight w:val="227"/>
        </w:trPr>
        <w:tc>
          <w:tcPr>
            <w:tcW w:w="0" w:type="auto"/>
            <w:shd w:val="clear" w:color="auto" w:fill="auto"/>
            <w:vAlign w:val="bottom"/>
          </w:tcPr>
          <w:p w14:paraId="4BB804A0" w14:textId="77777777" w:rsidR="00F44157" w:rsidRPr="00360ADC" w:rsidRDefault="00F44157">
            <w:pPr>
              <w:ind w:left="360"/>
              <w:rPr>
                <w:sz w:val="20"/>
                <w:szCs w:val="20"/>
              </w:rPr>
            </w:pPr>
          </w:p>
        </w:tc>
        <w:tc>
          <w:tcPr>
            <w:tcW w:w="0" w:type="auto"/>
            <w:shd w:val="clear" w:color="auto" w:fill="auto"/>
            <w:vAlign w:val="bottom"/>
          </w:tcPr>
          <w:p w14:paraId="6D963EAC" w14:textId="77777777" w:rsidR="00F44157" w:rsidRPr="00360ADC" w:rsidRDefault="00333557">
            <w:pPr>
              <w:rPr>
                <w:sz w:val="20"/>
                <w:szCs w:val="20"/>
              </w:rPr>
            </w:pPr>
            <w:r w:rsidRPr="00360ADC">
              <w:rPr>
                <w:sz w:val="20"/>
                <w:szCs w:val="20"/>
              </w:rPr>
              <w:t>St. Lucia</w:t>
            </w:r>
          </w:p>
        </w:tc>
        <w:tc>
          <w:tcPr>
            <w:tcW w:w="0" w:type="auto"/>
            <w:gridSpan w:val="2"/>
            <w:shd w:val="clear" w:color="auto" w:fill="auto"/>
            <w:vAlign w:val="bottom"/>
          </w:tcPr>
          <w:p w14:paraId="37EF3071" w14:textId="77777777" w:rsidR="00F44157" w:rsidRPr="00360ADC" w:rsidRDefault="00333557">
            <w:pPr>
              <w:rPr>
                <w:sz w:val="20"/>
                <w:szCs w:val="20"/>
              </w:rPr>
            </w:pPr>
            <w:r w:rsidRPr="00360ADC">
              <w:rPr>
                <w:sz w:val="20"/>
                <w:szCs w:val="20"/>
              </w:rPr>
              <w:t>185</w:t>
            </w:r>
            <w:r w:rsidRPr="00360ADC">
              <w:rPr>
                <w:sz w:val="20"/>
                <w:szCs w:val="20"/>
                <w:vertAlign w:val="superscript"/>
              </w:rPr>
              <w:t xml:space="preserve"> a</w:t>
            </w:r>
          </w:p>
        </w:tc>
        <w:tc>
          <w:tcPr>
            <w:tcW w:w="0" w:type="auto"/>
            <w:shd w:val="clear" w:color="auto" w:fill="auto"/>
            <w:vAlign w:val="bottom"/>
          </w:tcPr>
          <w:p w14:paraId="6E221E83" w14:textId="77777777" w:rsidR="00F44157" w:rsidRPr="00360ADC" w:rsidRDefault="00F44157">
            <w:pPr>
              <w:ind w:left="360"/>
              <w:rPr>
                <w:sz w:val="20"/>
                <w:szCs w:val="20"/>
              </w:rPr>
            </w:pPr>
          </w:p>
        </w:tc>
        <w:tc>
          <w:tcPr>
            <w:tcW w:w="0" w:type="auto"/>
            <w:shd w:val="clear" w:color="auto" w:fill="auto"/>
            <w:vAlign w:val="bottom"/>
          </w:tcPr>
          <w:p w14:paraId="2DF98206" w14:textId="77777777" w:rsidR="00F44157" w:rsidRPr="00360ADC" w:rsidRDefault="00F44157">
            <w:pPr>
              <w:rPr>
                <w:sz w:val="20"/>
                <w:szCs w:val="20"/>
              </w:rPr>
            </w:pPr>
          </w:p>
        </w:tc>
        <w:tc>
          <w:tcPr>
            <w:tcW w:w="0" w:type="auto"/>
            <w:vAlign w:val="bottom"/>
          </w:tcPr>
          <w:p w14:paraId="57FDF286" w14:textId="77777777" w:rsidR="00F44157" w:rsidRPr="00360ADC" w:rsidRDefault="00F44157">
            <w:pPr>
              <w:rPr>
                <w:sz w:val="20"/>
                <w:szCs w:val="20"/>
              </w:rPr>
            </w:pPr>
          </w:p>
        </w:tc>
      </w:tr>
      <w:tr w:rsidR="00F44157" w:rsidRPr="00360ADC" w14:paraId="1578C611" w14:textId="77777777" w:rsidTr="003E2299">
        <w:trPr>
          <w:trHeight w:val="227"/>
        </w:trPr>
        <w:tc>
          <w:tcPr>
            <w:tcW w:w="0" w:type="auto"/>
            <w:shd w:val="clear" w:color="auto" w:fill="auto"/>
            <w:vAlign w:val="bottom"/>
          </w:tcPr>
          <w:p w14:paraId="7D0D2EBB" w14:textId="77777777" w:rsidR="00F44157" w:rsidRPr="00360ADC" w:rsidRDefault="00F44157">
            <w:pPr>
              <w:ind w:left="360"/>
              <w:rPr>
                <w:sz w:val="20"/>
                <w:szCs w:val="20"/>
              </w:rPr>
            </w:pPr>
          </w:p>
        </w:tc>
        <w:tc>
          <w:tcPr>
            <w:tcW w:w="0" w:type="auto"/>
            <w:shd w:val="clear" w:color="auto" w:fill="auto"/>
            <w:vAlign w:val="bottom"/>
          </w:tcPr>
          <w:p w14:paraId="7DC6B16B" w14:textId="77777777" w:rsidR="00F44157" w:rsidRPr="00360ADC" w:rsidRDefault="00333557">
            <w:pPr>
              <w:rPr>
                <w:sz w:val="20"/>
                <w:szCs w:val="20"/>
              </w:rPr>
            </w:pPr>
            <w:r w:rsidRPr="00360ADC">
              <w:rPr>
                <w:sz w:val="20"/>
                <w:szCs w:val="20"/>
              </w:rPr>
              <w:t>St. Kitts and Nevis</w:t>
            </w:r>
          </w:p>
        </w:tc>
        <w:tc>
          <w:tcPr>
            <w:tcW w:w="0" w:type="auto"/>
            <w:gridSpan w:val="2"/>
            <w:shd w:val="clear" w:color="auto" w:fill="auto"/>
            <w:vAlign w:val="bottom"/>
          </w:tcPr>
          <w:p w14:paraId="4A914EE1" w14:textId="77777777" w:rsidR="00F44157" w:rsidRPr="00360ADC" w:rsidRDefault="00333557">
            <w:pPr>
              <w:rPr>
                <w:sz w:val="20"/>
                <w:szCs w:val="20"/>
              </w:rPr>
            </w:pPr>
            <w:r w:rsidRPr="00360ADC">
              <w:rPr>
                <w:sz w:val="20"/>
                <w:szCs w:val="20"/>
              </w:rPr>
              <w:t>56</w:t>
            </w:r>
            <w:r w:rsidRPr="00360ADC">
              <w:rPr>
                <w:sz w:val="20"/>
                <w:szCs w:val="20"/>
                <w:vertAlign w:val="superscript"/>
              </w:rPr>
              <w:t xml:space="preserve"> a</w:t>
            </w:r>
          </w:p>
        </w:tc>
        <w:tc>
          <w:tcPr>
            <w:tcW w:w="0" w:type="auto"/>
            <w:shd w:val="clear" w:color="auto" w:fill="auto"/>
            <w:vAlign w:val="bottom"/>
          </w:tcPr>
          <w:p w14:paraId="438BF511" w14:textId="77777777" w:rsidR="00F44157" w:rsidRPr="00360ADC" w:rsidRDefault="00F44157">
            <w:pPr>
              <w:ind w:left="360"/>
              <w:rPr>
                <w:sz w:val="20"/>
                <w:szCs w:val="20"/>
              </w:rPr>
            </w:pPr>
          </w:p>
        </w:tc>
        <w:tc>
          <w:tcPr>
            <w:tcW w:w="0" w:type="auto"/>
            <w:shd w:val="clear" w:color="auto" w:fill="auto"/>
            <w:vAlign w:val="bottom"/>
          </w:tcPr>
          <w:p w14:paraId="6B455328" w14:textId="77777777" w:rsidR="00F44157" w:rsidRPr="00360ADC" w:rsidRDefault="00F44157">
            <w:pPr>
              <w:rPr>
                <w:sz w:val="20"/>
                <w:szCs w:val="20"/>
              </w:rPr>
            </w:pPr>
          </w:p>
        </w:tc>
        <w:tc>
          <w:tcPr>
            <w:tcW w:w="0" w:type="auto"/>
            <w:vAlign w:val="bottom"/>
          </w:tcPr>
          <w:p w14:paraId="5D941865" w14:textId="77777777" w:rsidR="00F44157" w:rsidRPr="00360ADC" w:rsidRDefault="00F44157">
            <w:pPr>
              <w:rPr>
                <w:sz w:val="20"/>
                <w:szCs w:val="20"/>
              </w:rPr>
            </w:pPr>
          </w:p>
        </w:tc>
      </w:tr>
      <w:tr w:rsidR="00F44157" w:rsidRPr="00360ADC" w14:paraId="0B79A4FA" w14:textId="77777777" w:rsidTr="003E2299">
        <w:trPr>
          <w:trHeight w:val="227"/>
        </w:trPr>
        <w:tc>
          <w:tcPr>
            <w:tcW w:w="0" w:type="auto"/>
            <w:shd w:val="clear" w:color="auto" w:fill="auto"/>
            <w:vAlign w:val="bottom"/>
          </w:tcPr>
          <w:p w14:paraId="555338D1" w14:textId="77777777" w:rsidR="00F44157" w:rsidRPr="00360ADC" w:rsidRDefault="00F44157">
            <w:pPr>
              <w:ind w:left="360"/>
              <w:rPr>
                <w:sz w:val="20"/>
                <w:szCs w:val="20"/>
              </w:rPr>
            </w:pPr>
          </w:p>
        </w:tc>
        <w:tc>
          <w:tcPr>
            <w:tcW w:w="0" w:type="auto"/>
            <w:shd w:val="clear" w:color="auto" w:fill="auto"/>
            <w:vAlign w:val="bottom"/>
          </w:tcPr>
          <w:p w14:paraId="74B77E11" w14:textId="77777777" w:rsidR="00F44157" w:rsidRPr="00360ADC" w:rsidRDefault="00333557">
            <w:pPr>
              <w:rPr>
                <w:sz w:val="20"/>
                <w:szCs w:val="20"/>
              </w:rPr>
            </w:pPr>
            <w:r w:rsidRPr="00360ADC">
              <w:rPr>
                <w:sz w:val="20"/>
                <w:szCs w:val="20"/>
              </w:rPr>
              <w:t>St. Vincent and the Grenadines</w:t>
            </w:r>
          </w:p>
        </w:tc>
        <w:tc>
          <w:tcPr>
            <w:tcW w:w="0" w:type="auto"/>
            <w:gridSpan w:val="2"/>
            <w:shd w:val="clear" w:color="auto" w:fill="auto"/>
            <w:vAlign w:val="bottom"/>
          </w:tcPr>
          <w:p w14:paraId="3E6C51B4" w14:textId="77777777" w:rsidR="00F44157" w:rsidRPr="00360ADC" w:rsidRDefault="00333557">
            <w:pPr>
              <w:rPr>
                <w:sz w:val="20"/>
                <w:szCs w:val="20"/>
              </w:rPr>
            </w:pPr>
            <w:r w:rsidRPr="00360ADC">
              <w:rPr>
                <w:sz w:val="20"/>
                <w:szCs w:val="20"/>
              </w:rPr>
              <w:t>109</w:t>
            </w:r>
            <w:r w:rsidRPr="00360ADC">
              <w:rPr>
                <w:sz w:val="20"/>
                <w:szCs w:val="20"/>
                <w:vertAlign w:val="superscript"/>
              </w:rPr>
              <w:t xml:space="preserve"> a</w:t>
            </w:r>
          </w:p>
        </w:tc>
        <w:tc>
          <w:tcPr>
            <w:tcW w:w="0" w:type="auto"/>
            <w:shd w:val="clear" w:color="auto" w:fill="auto"/>
            <w:vAlign w:val="bottom"/>
          </w:tcPr>
          <w:p w14:paraId="5C874639" w14:textId="77777777" w:rsidR="00F44157" w:rsidRPr="00360ADC" w:rsidRDefault="00F44157">
            <w:pPr>
              <w:ind w:left="360"/>
              <w:rPr>
                <w:sz w:val="20"/>
                <w:szCs w:val="20"/>
              </w:rPr>
            </w:pPr>
          </w:p>
        </w:tc>
        <w:tc>
          <w:tcPr>
            <w:tcW w:w="0" w:type="auto"/>
            <w:shd w:val="clear" w:color="auto" w:fill="auto"/>
            <w:vAlign w:val="bottom"/>
          </w:tcPr>
          <w:p w14:paraId="4C9DDEC2" w14:textId="77777777" w:rsidR="00F44157" w:rsidRPr="00360ADC" w:rsidRDefault="00F44157">
            <w:pPr>
              <w:rPr>
                <w:sz w:val="20"/>
                <w:szCs w:val="20"/>
              </w:rPr>
            </w:pPr>
          </w:p>
        </w:tc>
        <w:tc>
          <w:tcPr>
            <w:tcW w:w="0" w:type="auto"/>
            <w:vAlign w:val="bottom"/>
          </w:tcPr>
          <w:p w14:paraId="5F77A173" w14:textId="77777777" w:rsidR="00F44157" w:rsidRPr="00360ADC" w:rsidRDefault="00F44157">
            <w:pPr>
              <w:rPr>
                <w:sz w:val="20"/>
                <w:szCs w:val="20"/>
              </w:rPr>
            </w:pPr>
          </w:p>
        </w:tc>
      </w:tr>
      <w:tr w:rsidR="00F44157" w:rsidRPr="00360ADC" w14:paraId="42287487" w14:textId="77777777" w:rsidTr="003E2299">
        <w:trPr>
          <w:trHeight w:val="227"/>
        </w:trPr>
        <w:tc>
          <w:tcPr>
            <w:tcW w:w="0" w:type="auto"/>
            <w:shd w:val="clear" w:color="auto" w:fill="auto"/>
            <w:vAlign w:val="bottom"/>
          </w:tcPr>
          <w:p w14:paraId="54BAC962" w14:textId="77777777" w:rsidR="00F44157" w:rsidRPr="00360ADC" w:rsidRDefault="00F44157">
            <w:pPr>
              <w:ind w:left="360"/>
              <w:rPr>
                <w:sz w:val="20"/>
                <w:szCs w:val="20"/>
              </w:rPr>
            </w:pPr>
          </w:p>
        </w:tc>
        <w:tc>
          <w:tcPr>
            <w:tcW w:w="0" w:type="auto"/>
            <w:shd w:val="clear" w:color="auto" w:fill="auto"/>
            <w:vAlign w:val="bottom"/>
          </w:tcPr>
          <w:p w14:paraId="1CCCA825" w14:textId="77777777" w:rsidR="00F44157" w:rsidRPr="00360ADC" w:rsidRDefault="00333557">
            <w:pPr>
              <w:rPr>
                <w:sz w:val="20"/>
                <w:szCs w:val="20"/>
              </w:rPr>
            </w:pPr>
            <w:r w:rsidRPr="00360ADC">
              <w:rPr>
                <w:sz w:val="20"/>
                <w:szCs w:val="20"/>
              </w:rPr>
              <w:t>Trinidad and Tobago</w:t>
            </w:r>
          </w:p>
        </w:tc>
        <w:tc>
          <w:tcPr>
            <w:tcW w:w="0" w:type="auto"/>
            <w:gridSpan w:val="2"/>
            <w:shd w:val="clear" w:color="auto" w:fill="auto"/>
            <w:vAlign w:val="bottom"/>
          </w:tcPr>
          <w:p w14:paraId="725B4A5C" w14:textId="77777777" w:rsidR="00F44157" w:rsidRPr="00360ADC" w:rsidRDefault="00333557">
            <w:pPr>
              <w:rPr>
                <w:sz w:val="20"/>
                <w:szCs w:val="20"/>
              </w:rPr>
            </w:pPr>
            <w:r w:rsidRPr="00360ADC">
              <w:rPr>
                <w:sz w:val="20"/>
                <w:szCs w:val="20"/>
              </w:rPr>
              <w:t>1,360</w:t>
            </w:r>
            <w:r w:rsidRPr="00360ADC">
              <w:rPr>
                <w:sz w:val="20"/>
                <w:szCs w:val="20"/>
                <w:vertAlign w:val="superscript"/>
              </w:rPr>
              <w:t xml:space="preserve"> a</w:t>
            </w:r>
          </w:p>
        </w:tc>
        <w:tc>
          <w:tcPr>
            <w:tcW w:w="0" w:type="auto"/>
            <w:shd w:val="clear" w:color="auto" w:fill="auto"/>
            <w:vAlign w:val="bottom"/>
          </w:tcPr>
          <w:p w14:paraId="3340B118" w14:textId="77777777" w:rsidR="00F44157" w:rsidRPr="00360ADC" w:rsidRDefault="00333557">
            <w:pPr>
              <w:rPr>
                <w:sz w:val="20"/>
                <w:szCs w:val="20"/>
              </w:rPr>
            </w:pPr>
            <w:r w:rsidRPr="00360ADC">
              <w:rPr>
                <w:sz w:val="20"/>
                <w:szCs w:val="20"/>
              </w:rPr>
              <w:t>26</w:t>
            </w:r>
            <w:r w:rsidRPr="00360ADC">
              <w:rPr>
                <w:sz w:val="20"/>
                <w:szCs w:val="20"/>
                <w:vertAlign w:val="superscript"/>
              </w:rPr>
              <w:t xml:space="preserve"> d</w:t>
            </w:r>
          </w:p>
        </w:tc>
        <w:tc>
          <w:tcPr>
            <w:tcW w:w="0" w:type="auto"/>
            <w:shd w:val="clear" w:color="auto" w:fill="auto"/>
            <w:vAlign w:val="bottom"/>
          </w:tcPr>
          <w:p w14:paraId="53D6C15B" w14:textId="77777777" w:rsidR="00F44157" w:rsidRPr="00360ADC" w:rsidRDefault="00333557">
            <w:pPr>
              <w:rPr>
                <w:sz w:val="20"/>
                <w:szCs w:val="20"/>
              </w:rPr>
            </w:pPr>
            <w:r w:rsidRPr="00360ADC">
              <w:rPr>
                <w:sz w:val="20"/>
                <w:szCs w:val="20"/>
              </w:rPr>
              <w:t>1,9</w:t>
            </w:r>
          </w:p>
        </w:tc>
        <w:tc>
          <w:tcPr>
            <w:tcW w:w="0" w:type="auto"/>
            <w:vAlign w:val="bottom"/>
          </w:tcPr>
          <w:p w14:paraId="70C49F84" w14:textId="77777777" w:rsidR="00F44157" w:rsidRPr="00360ADC" w:rsidRDefault="00333557">
            <w:pPr>
              <w:rPr>
                <w:sz w:val="20"/>
                <w:szCs w:val="20"/>
              </w:rPr>
            </w:pPr>
            <w:r w:rsidRPr="00360ADC">
              <w:rPr>
                <w:sz w:val="20"/>
                <w:szCs w:val="20"/>
              </w:rPr>
              <w:t>2006</w:t>
            </w:r>
          </w:p>
        </w:tc>
      </w:tr>
      <w:tr w:rsidR="00D971AF" w:rsidRPr="008B3BCD" w14:paraId="549A5352" w14:textId="77777777" w:rsidTr="003E2299">
        <w:trPr>
          <w:trHeight w:val="227"/>
        </w:trPr>
        <w:tc>
          <w:tcPr>
            <w:tcW w:w="0" w:type="auto"/>
            <w:gridSpan w:val="3"/>
            <w:tcBorders>
              <w:right w:val="nil"/>
            </w:tcBorders>
            <w:shd w:val="clear" w:color="auto" w:fill="auto"/>
            <w:vAlign w:val="bottom"/>
          </w:tcPr>
          <w:p w14:paraId="250B3656" w14:textId="2C9566FE" w:rsidR="00D971AF" w:rsidRPr="00360ADC" w:rsidRDefault="00D0482F" w:rsidP="00656ABE">
            <w:pPr>
              <w:tabs>
                <w:tab w:val="left" w:pos="255"/>
              </w:tabs>
              <w:rPr>
                <w:sz w:val="20"/>
                <w:szCs w:val="20"/>
                <w:lang w:val="en-GB"/>
              </w:rPr>
            </w:pPr>
            <w:r w:rsidRPr="00360ADC">
              <w:rPr>
                <w:sz w:val="20"/>
                <w:szCs w:val="20"/>
                <w:lang w:val="en-GB"/>
              </w:rPr>
              <w:t>a. World Bank (</w:t>
            </w:r>
            <w:r w:rsidR="00D971AF" w:rsidRPr="00360ADC">
              <w:rPr>
                <w:sz w:val="20"/>
                <w:szCs w:val="20"/>
                <w:lang w:val="en-GB"/>
              </w:rPr>
              <w:t>2015</w:t>
            </w:r>
            <w:r w:rsidRPr="00360ADC">
              <w:rPr>
                <w:sz w:val="20"/>
                <w:szCs w:val="20"/>
                <w:lang w:val="en-GB"/>
              </w:rPr>
              <w:t>)</w:t>
            </w:r>
          </w:p>
          <w:p w14:paraId="3A304C2C" w14:textId="408DE5C1" w:rsidR="00D971AF" w:rsidRPr="00360ADC" w:rsidRDefault="00D971AF" w:rsidP="00656ABE">
            <w:pPr>
              <w:tabs>
                <w:tab w:val="left" w:pos="255"/>
              </w:tabs>
              <w:rPr>
                <w:sz w:val="20"/>
                <w:szCs w:val="20"/>
                <w:lang w:val="en-GB"/>
              </w:rPr>
            </w:pPr>
            <w:r w:rsidRPr="00360ADC">
              <w:rPr>
                <w:sz w:val="20"/>
                <w:szCs w:val="20"/>
                <w:lang w:val="en-GB"/>
              </w:rPr>
              <w:t xml:space="preserve">b. Hansen </w:t>
            </w:r>
            <w:r w:rsidRPr="00360ADC">
              <w:rPr>
                <w:i/>
                <w:sz w:val="20"/>
                <w:szCs w:val="20"/>
                <w:lang w:val="en-GB"/>
              </w:rPr>
              <w:t>et al</w:t>
            </w:r>
            <w:r w:rsidRPr="00360ADC">
              <w:rPr>
                <w:sz w:val="20"/>
                <w:szCs w:val="20"/>
                <w:lang w:val="en-GB"/>
              </w:rPr>
              <w:t>.</w:t>
            </w:r>
            <w:r w:rsidR="00D0482F" w:rsidRPr="00360ADC">
              <w:rPr>
                <w:sz w:val="20"/>
                <w:szCs w:val="20"/>
                <w:lang w:val="en-GB"/>
              </w:rPr>
              <w:t xml:space="preserve"> (</w:t>
            </w:r>
            <w:r w:rsidRPr="00360ADC">
              <w:rPr>
                <w:sz w:val="20"/>
                <w:szCs w:val="20"/>
                <w:lang w:val="en-GB"/>
              </w:rPr>
              <w:t>2017</w:t>
            </w:r>
            <w:r w:rsidR="00D0482F" w:rsidRPr="00360ADC">
              <w:rPr>
                <w:sz w:val="20"/>
                <w:szCs w:val="20"/>
                <w:lang w:val="en-GB"/>
              </w:rPr>
              <w:t>)</w:t>
            </w:r>
          </w:p>
          <w:p w14:paraId="69E70009" w14:textId="1F49F6F3" w:rsidR="00D971AF" w:rsidRPr="00360ADC" w:rsidRDefault="00D971AF" w:rsidP="00656ABE">
            <w:pPr>
              <w:tabs>
                <w:tab w:val="left" w:pos="255"/>
              </w:tabs>
              <w:rPr>
                <w:sz w:val="20"/>
                <w:szCs w:val="20"/>
                <w:lang w:val="en-GB"/>
              </w:rPr>
            </w:pPr>
            <w:r w:rsidRPr="00360ADC">
              <w:rPr>
                <w:sz w:val="20"/>
                <w:szCs w:val="20"/>
                <w:lang w:val="en-GB"/>
              </w:rPr>
              <w:t>c. CEPA</w:t>
            </w:r>
            <w:r w:rsidR="00D0482F" w:rsidRPr="00360ADC">
              <w:rPr>
                <w:sz w:val="20"/>
                <w:szCs w:val="20"/>
                <w:lang w:val="en-GB"/>
              </w:rPr>
              <w:t>L (</w:t>
            </w:r>
            <w:r w:rsidRPr="00360ADC">
              <w:rPr>
                <w:sz w:val="20"/>
                <w:szCs w:val="20"/>
                <w:lang w:val="en-GB"/>
              </w:rPr>
              <w:t>2010</w:t>
            </w:r>
            <w:r w:rsidR="00D0482F" w:rsidRPr="00360ADC">
              <w:rPr>
                <w:sz w:val="20"/>
                <w:szCs w:val="20"/>
                <w:lang w:val="en-GB"/>
              </w:rPr>
              <w:t>)</w:t>
            </w:r>
          </w:p>
          <w:p w14:paraId="5DF9411E" w14:textId="673FADC6" w:rsidR="00D971AF" w:rsidRPr="00360ADC" w:rsidRDefault="00D971AF" w:rsidP="00656ABE">
            <w:pPr>
              <w:tabs>
                <w:tab w:val="left" w:pos="255"/>
              </w:tabs>
              <w:rPr>
                <w:sz w:val="20"/>
                <w:szCs w:val="20"/>
                <w:lang w:val="en-GB"/>
              </w:rPr>
            </w:pPr>
            <w:r w:rsidRPr="00360ADC">
              <w:rPr>
                <w:sz w:val="20"/>
                <w:szCs w:val="20"/>
                <w:lang w:val="en-GB"/>
              </w:rPr>
              <w:t xml:space="preserve">d. Montenegro </w:t>
            </w:r>
            <w:r w:rsidR="001A3AAC" w:rsidRPr="00360ADC">
              <w:rPr>
                <w:sz w:val="20"/>
                <w:szCs w:val="20"/>
                <w:lang w:val="en-GB"/>
              </w:rPr>
              <w:t>&amp;</w:t>
            </w:r>
            <w:r w:rsidR="00D0482F" w:rsidRPr="00360ADC">
              <w:rPr>
                <w:sz w:val="20"/>
                <w:szCs w:val="20"/>
                <w:lang w:val="en-GB"/>
              </w:rPr>
              <w:t xml:space="preserve"> Stephens (</w:t>
            </w:r>
            <w:r w:rsidRPr="00360ADC">
              <w:rPr>
                <w:sz w:val="20"/>
                <w:szCs w:val="20"/>
                <w:lang w:val="en-GB"/>
              </w:rPr>
              <w:t>2006</w:t>
            </w:r>
            <w:r w:rsidR="00D0482F" w:rsidRPr="00360ADC">
              <w:rPr>
                <w:sz w:val="20"/>
                <w:szCs w:val="20"/>
                <w:lang w:val="en-GB"/>
              </w:rPr>
              <w:t>)</w:t>
            </w:r>
          </w:p>
          <w:p w14:paraId="3BD50E0A" w14:textId="417D7DEA" w:rsidR="00D971AF" w:rsidRPr="00360ADC" w:rsidRDefault="00D0482F" w:rsidP="00656ABE">
            <w:pPr>
              <w:tabs>
                <w:tab w:val="left" w:pos="255"/>
              </w:tabs>
              <w:rPr>
                <w:sz w:val="20"/>
                <w:szCs w:val="20"/>
                <w:lang w:val="en-GB"/>
              </w:rPr>
            </w:pPr>
            <w:r w:rsidRPr="00360ADC">
              <w:rPr>
                <w:sz w:val="20"/>
                <w:szCs w:val="20"/>
                <w:lang w:val="en-GB"/>
              </w:rPr>
              <w:t xml:space="preserve">e. </w:t>
            </w:r>
            <w:r w:rsidRPr="00360ADC">
              <w:rPr>
                <w:sz w:val="20"/>
                <w:szCs w:val="20"/>
                <w:lang w:val="es-CO"/>
              </w:rPr>
              <w:t xml:space="preserve">Instituto Socioambiental (ISA) </w:t>
            </w:r>
            <w:r w:rsidRPr="00360ADC">
              <w:rPr>
                <w:sz w:val="20"/>
                <w:szCs w:val="20"/>
                <w:lang w:val="en-GB"/>
              </w:rPr>
              <w:t xml:space="preserve"> (</w:t>
            </w:r>
            <w:r w:rsidR="00D971AF" w:rsidRPr="00360ADC">
              <w:rPr>
                <w:sz w:val="20"/>
                <w:szCs w:val="20"/>
                <w:lang w:val="en-GB"/>
              </w:rPr>
              <w:t>2010</w:t>
            </w:r>
            <w:r w:rsidRPr="00360ADC">
              <w:rPr>
                <w:sz w:val="20"/>
                <w:szCs w:val="20"/>
                <w:lang w:val="en-GB"/>
              </w:rPr>
              <w:t>)</w:t>
            </w:r>
          </w:p>
        </w:tc>
        <w:tc>
          <w:tcPr>
            <w:tcW w:w="0" w:type="auto"/>
            <w:gridSpan w:val="4"/>
            <w:tcBorders>
              <w:top w:val="nil"/>
              <w:left w:val="nil"/>
              <w:bottom w:val="single" w:sz="4" w:space="0" w:color="auto"/>
              <w:right w:val="single" w:sz="4" w:space="0" w:color="auto"/>
            </w:tcBorders>
            <w:shd w:val="clear" w:color="auto" w:fill="auto"/>
            <w:vAlign w:val="bottom"/>
          </w:tcPr>
          <w:p w14:paraId="548CB369" w14:textId="3B5A8E49" w:rsidR="00D971AF" w:rsidRPr="00360ADC" w:rsidRDefault="00D971AF">
            <w:pPr>
              <w:tabs>
                <w:tab w:val="left" w:pos="255"/>
              </w:tabs>
              <w:rPr>
                <w:sz w:val="20"/>
                <w:szCs w:val="20"/>
                <w:lang w:val="es-CO"/>
              </w:rPr>
            </w:pPr>
            <w:r w:rsidRPr="00360ADC">
              <w:rPr>
                <w:sz w:val="20"/>
                <w:szCs w:val="20"/>
                <w:lang w:val="es-CO"/>
              </w:rPr>
              <w:t>f. Ministerio</w:t>
            </w:r>
            <w:r w:rsidR="00D0482F" w:rsidRPr="00360ADC">
              <w:rPr>
                <w:sz w:val="20"/>
                <w:szCs w:val="20"/>
                <w:lang w:val="es-CO"/>
              </w:rPr>
              <w:t xml:space="preserve"> de Desarrollo Social de Chile (</w:t>
            </w:r>
            <w:r w:rsidRPr="00360ADC">
              <w:rPr>
                <w:sz w:val="20"/>
                <w:szCs w:val="20"/>
                <w:lang w:val="es-CO"/>
              </w:rPr>
              <w:t>2013</w:t>
            </w:r>
            <w:r w:rsidR="00D0482F" w:rsidRPr="00360ADC">
              <w:rPr>
                <w:sz w:val="20"/>
                <w:szCs w:val="20"/>
                <w:lang w:val="es-CO"/>
              </w:rPr>
              <w:t>)</w:t>
            </w:r>
          </w:p>
          <w:p w14:paraId="34CBB111" w14:textId="5BB53AFE" w:rsidR="00D971AF" w:rsidRPr="00360ADC" w:rsidRDefault="00D0482F">
            <w:pPr>
              <w:tabs>
                <w:tab w:val="left" w:pos="255"/>
              </w:tabs>
              <w:rPr>
                <w:sz w:val="20"/>
                <w:szCs w:val="20"/>
                <w:lang w:val="es-CO"/>
              </w:rPr>
            </w:pPr>
            <w:r w:rsidRPr="00360ADC">
              <w:rPr>
                <w:sz w:val="20"/>
                <w:szCs w:val="20"/>
                <w:lang w:val="es-CO"/>
              </w:rPr>
              <w:t>g. Lopez (</w:t>
            </w:r>
            <w:r w:rsidR="00D971AF" w:rsidRPr="00360ADC">
              <w:rPr>
                <w:sz w:val="20"/>
                <w:szCs w:val="20"/>
                <w:lang w:val="es-CO"/>
              </w:rPr>
              <w:t>2009</w:t>
            </w:r>
            <w:r w:rsidRPr="00360ADC">
              <w:rPr>
                <w:sz w:val="20"/>
                <w:szCs w:val="20"/>
                <w:lang w:val="es-CO"/>
              </w:rPr>
              <w:t>)</w:t>
            </w:r>
          </w:p>
          <w:p w14:paraId="05549E90" w14:textId="2F83FF01" w:rsidR="00D971AF" w:rsidRPr="00360ADC" w:rsidRDefault="00D0482F">
            <w:pPr>
              <w:tabs>
                <w:tab w:val="left" w:pos="255"/>
              </w:tabs>
              <w:rPr>
                <w:sz w:val="20"/>
                <w:szCs w:val="20"/>
                <w:lang w:val="es-CO"/>
              </w:rPr>
            </w:pPr>
            <w:r w:rsidRPr="00360ADC">
              <w:rPr>
                <w:sz w:val="20"/>
                <w:szCs w:val="20"/>
                <w:lang w:val="es-CO"/>
              </w:rPr>
              <w:t>h. Poole (</w:t>
            </w:r>
            <w:r w:rsidR="00D971AF" w:rsidRPr="00360ADC">
              <w:rPr>
                <w:sz w:val="20"/>
                <w:szCs w:val="20"/>
                <w:lang w:val="es-CO"/>
              </w:rPr>
              <w:t>2011</w:t>
            </w:r>
            <w:r w:rsidRPr="00360ADC">
              <w:rPr>
                <w:sz w:val="20"/>
                <w:szCs w:val="20"/>
                <w:lang w:val="es-CO"/>
              </w:rPr>
              <w:t>)</w:t>
            </w:r>
          </w:p>
          <w:p w14:paraId="1A53B56F" w14:textId="10DEAC61" w:rsidR="00D971AF" w:rsidRPr="00360ADC" w:rsidRDefault="00D0482F">
            <w:pPr>
              <w:tabs>
                <w:tab w:val="left" w:pos="255"/>
              </w:tabs>
              <w:rPr>
                <w:sz w:val="20"/>
                <w:szCs w:val="20"/>
                <w:lang w:val="es-CO"/>
              </w:rPr>
            </w:pPr>
            <w:r w:rsidRPr="00360ADC">
              <w:rPr>
                <w:sz w:val="20"/>
                <w:szCs w:val="20"/>
                <w:lang w:val="es-CO"/>
              </w:rPr>
              <w:t>i. Kalinago (</w:t>
            </w:r>
            <w:r w:rsidR="00D971AF" w:rsidRPr="00360ADC">
              <w:rPr>
                <w:sz w:val="20"/>
                <w:szCs w:val="20"/>
                <w:lang w:val="es-CO"/>
              </w:rPr>
              <w:t>2017</w:t>
            </w:r>
            <w:r w:rsidRPr="00360ADC">
              <w:rPr>
                <w:sz w:val="20"/>
                <w:szCs w:val="20"/>
                <w:lang w:val="es-CO"/>
              </w:rPr>
              <w:t>)</w:t>
            </w:r>
          </w:p>
          <w:p w14:paraId="186422DE" w14:textId="5EC5DD9D" w:rsidR="00D971AF" w:rsidRPr="00360ADC" w:rsidRDefault="00D971AF">
            <w:pPr>
              <w:tabs>
                <w:tab w:val="left" w:pos="255"/>
              </w:tabs>
              <w:rPr>
                <w:sz w:val="20"/>
                <w:szCs w:val="20"/>
                <w:lang w:val="es-CO"/>
              </w:rPr>
            </w:pPr>
            <w:r w:rsidRPr="00360ADC">
              <w:rPr>
                <w:sz w:val="20"/>
                <w:szCs w:val="20"/>
                <w:lang w:val="es-CO"/>
              </w:rPr>
              <w:t xml:space="preserve">j. Instituto Nacional de </w:t>
            </w:r>
            <w:r w:rsidR="00D0482F" w:rsidRPr="00360ADC">
              <w:rPr>
                <w:sz w:val="20"/>
                <w:szCs w:val="20"/>
                <w:lang w:val="es-CO"/>
              </w:rPr>
              <w:t>Estadística y Geografia México (</w:t>
            </w:r>
            <w:r w:rsidRPr="00360ADC">
              <w:rPr>
                <w:sz w:val="20"/>
                <w:szCs w:val="20"/>
                <w:lang w:val="es-CO"/>
              </w:rPr>
              <w:t>2015</w:t>
            </w:r>
            <w:r w:rsidR="00D0482F" w:rsidRPr="00360ADC">
              <w:rPr>
                <w:sz w:val="20"/>
                <w:szCs w:val="20"/>
                <w:lang w:val="es-CO"/>
              </w:rPr>
              <w:t>)</w:t>
            </w:r>
          </w:p>
        </w:tc>
      </w:tr>
    </w:tbl>
    <w:p w14:paraId="3DD7DDF9" w14:textId="176FB6E6" w:rsidR="00202818" w:rsidRPr="008608AA" w:rsidRDefault="00333557" w:rsidP="00083302">
      <w:pPr>
        <w:spacing w:before="240" w:after="120"/>
        <w:rPr>
          <w:color w:val="0D0D0D"/>
        </w:rPr>
      </w:pPr>
      <w:r w:rsidRPr="008608AA">
        <w:rPr>
          <w:color w:val="0D0D0D"/>
        </w:rPr>
        <w:t>The</w:t>
      </w:r>
      <w:r w:rsidR="005E70B0" w:rsidRPr="008608AA">
        <w:rPr>
          <w:color w:val="0D0D0D"/>
        </w:rPr>
        <w:t xml:space="preserve">re is an area of </w:t>
      </w:r>
      <w:r w:rsidR="005E70B0" w:rsidRPr="008608AA">
        <w:rPr>
          <w:color w:val="212121"/>
        </w:rPr>
        <w:t>around 272 million h</w:t>
      </w:r>
      <w:r w:rsidR="004F4EC8" w:rsidRPr="008608AA">
        <w:rPr>
          <w:color w:val="212121"/>
        </w:rPr>
        <w:t>ectares</w:t>
      </w:r>
      <w:r w:rsidRPr="008608AA">
        <w:rPr>
          <w:color w:val="0D0D0D"/>
        </w:rPr>
        <w:t xml:space="preserve"> of indigenous lands in different countries of the Americas</w:t>
      </w:r>
      <w:r w:rsidR="005E70B0" w:rsidRPr="008608AA">
        <w:rPr>
          <w:color w:val="0D0D0D"/>
        </w:rPr>
        <w:t xml:space="preserve"> (Table 1.4)</w:t>
      </w:r>
      <w:r w:rsidRPr="008608AA">
        <w:rPr>
          <w:color w:val="0D0D0D"/>
        </w:rPr>
        <w:t>. One initial criteria include the presence or extension of indigenous people lands legally recognized in constitutional country-based legislations and/or international agreements</w:t>
      </w:r>
      <w:r w:rsidR="00DF7063" w:rsidRPr="008608AA">
        <w:rPr>
          <w:color w:val="0D0D0D"/>
        </w:rPr>
        <w:t xml:space="preserve"> such as Convention 169 of the International Labor O</w:t>
      </w:r>
      <w:r w:rsidRPr="008608AA">
        <w:rPr>
          <w:color w:val="0D0D0D"/>
        </w:rPr>
        <w:t>rganization. However, although countries like Chile are signatories of this international convention, laws in this country do not recognize “land property” owned by indigenous communities. In other cases, there is no legal land recognised at the community level as in Trinidad and Tobago and Suriname.</w:t>
      </w:r>
    </w:p>
    <w:p w14:paraId="727ED977" w14:textId="0FAA902C" w:rsidR="00F44157" w:rsidRPr="008608AA" w:rsidRDefault="00870677" w:rsidP="00870677">
      <w:pPr>
        <w:pStyle w:val="Caption"/>
        <w:rPr>
          <w:rStyle w:val="BookTitle0"/>
          <w:smallCaps w:val="0"/>
          <w:spacing w:val="0"/>
        </w:rPr>
      </w:pPr>
      <w:bookmarkStart w:id="443" w:name="_4f1mdlm" w:colFirst="0" w:colLast="0"/>
      <w:bookmarkEnd w:id="443"/>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1</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4</w:t>
      </w:r>
      <w:r w:rsidR="000E562E">
        <w:rPr>
          <w:noProof/>
        </w:rPr>
        <w:fldChar w:fldCharType="end"/>
      </w:r>
      <w:r w:rsidRPr="008608AA">
        <w:t xml:space="preserve">. </w:t>
      </w:r>
      <w:r w:rsidR="00333557" w:rsidRPr="00636F57">
        <w:rPr>
          <w:rStyle w:val="BookTitle0"/>
          <w:b/>
          <w:smallCaps w:val="0"/>
          <w:spacing w:val="0"/>
        </w:rPr>
        <w:t>Indigenous land in the Americas</w:t>
      </w:r>
      <w:r w:rsidR="00333557" w:rsidRPr="008608AA">
        <w:rPr>
          <w:rStyle w:val="BookTitle0"/>
          <w:smallCaps w:val="0"/>
          <w:spacing w:val="0"/>
        </w:rPr>
        <w:t xml:space="preserve">      </w:t>
      </w:r>
      <w:r w:rsidR="00333557" w:rsidRPr="008608AA">
        <w:rPr>
          <w:rStyle w:val="BookTitle0"/>
          <w:smallCaps w:val="0"/>
          <w:spacing w:val="0"/>
        </w:rPr>
        <w:tab/>
      </w:r>
      <w:r w:rsidR="00333557" w:rsidRPr="008608AA">
        <w:rPr>
          <w:rStyle w:val="BookTitle0"/>
          <w:smallCaps w:val="0"/>
          <w:spacing w:val="0"/>
        </w:rPr>
        <w:tab/>
      </w:r>
    </w:p>
    <w:tbl>
      <w:tblPr>
        <w:tblStyle w:val="72"/>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35"/>
        <w:gridCol w:w="2928"/>
        <w:gridCol w:w="1226"/>
        <w:gridCol w:w="285"/>
        <w:gridCol w:w="1554"/>
        <w:gridCol w:w="2059"/>
      </w:tblGrid>
      <w:tr w:rsidR="00B50F8F" w:rsidRPr="00636F57" w14:paraId="4EA3D742" w14:textId="77777777" w:rsidTr="00B50F8F">
        <w:trPr>
          <w:trHeight w:val="227"/>
          <w:jc w:val="center"/>
        </w:trPr>
        <w:tc>
          <w:tcPr>
            <w:tcW w:w="757" w:type="pct"/>
            <w:vMerge w:val="restart"/>
            <w:shd w:val="clear" w:color="auto" w:fill="BFBFBF" w:themeFill="background1" w:themeFillShade="BF"/>
            <w:vAlign w:val="center"/>
          </w:tcPr>
          <w:p w14:paraId="28D44E51" w14:textId="41D3453F" w:rsidR="00B50F8F" w:rsidRPr="00636F57" w:rsidRDefault="00B50F8F" w:rsidP="00B50F8F">
            <w:pPr>
              <w:jc w:val="center"/>
              <w:rPr>
                <w:b/>
                <w:szCs w:val="22"/>
              </w:rPr>
            </w:pPr>
          </w:p>
          <w:p w14:paraId="73CD45B3" w14:textId="77777777" w:rsidR="00B50F8F" w:rsidRPr="00636F57" w:rsidRDefault="00B50F8F" w:rsidP="00B50F8F">
            <w:pPr>
              <w:jc w:val="center"/>
              <w:rPr>
                <w:b/>
                <w:szCs w:val="22"/>
              </w:rPr>
            </w:pPr>
            <w:r w:rsidRPr="00636F57">
              <w:rPr>
                <w:b/>
                <w:szCs w:val="22"/>
              </w:rPr>
              <w:t>Region</w:t>
            </w:r>
          </w:p>
          <w:p w14:paraId="0769B0BB" w14:textId="77777777" w:rsidR="00B50F8F" w:rsidRPr="00636F57" w:rsidRDefault="00B50F8F" w:rsidP="00B50F8F">
            <w:pPr>
              <w:keepNext/>
              <w:keepLines/>
              <w:spacing w:before="100" w:line="276" w:lineRule="auto"/>
              <w:jc w:val="center"/>
              <w:rPr>
                <w:b/>
                <w:szCs w:val="22"/>
              </w:rPr>
            </w:pPr>
          </w:p>
        </w:tc>
        <w:tc>
          <w:tcPr>
            <w:tcW w:w="1543" w:type="pct"/>
            <w:vMerge w:val="restart"/>
            <w:shd w:val="clear" w:color="auto" w:fill="BFBFBF" w:themeFill="background1" w:themeFillShade="BF"/>
            <w:vAlign w:val="center"/>
          </w:tcPr>
          <w:p w14:paraId="7CADAB34" w14:textId="0ACEFD2C" w:rsidR="00B50F8F" w:rsidRPr="00636F57" w:rsidRDefault="00B50F8F" w:rsidP="00B50F8F">
            <w:pPr>
              <w:jc w:val="center"/>
              <w:rPr>
                <w:b/>
                <w:szCs w:val="22"/>
              </w:rPr>
            </w:pPr>
            <w:r w:rsidRPr="00636F57">
              <w:rPr>
                <w:b/>
                <w:szCs w:val="22"/>
              </w:rPr>
              <w:t>Country</w:t>
            </w:r>
          </w:p>
        </w:tc>
        <w:tc>
          <w:tcPr>
            <w:tcW w:w="1615" w:type="pct"/>
            <w:gridSpan w:val="3"/>
            <w:shd w:val="clear" w:color="auto" w:fill="BFBFBF" w:themeFill="background1" w:themeFillShade="BF"/>
            <w:vAlign w:val="center"/>
          </w:tcPr>
          <w:p w14:paraId="2D8DEFB7" w14:textId="77777777" w:rsidR="00B50F8F" w:rsidRPr="00636F57" w:rsidRDefault="00B50F8F" w:rsidP="00B50F8F">
            <w:pPr>
              <w:jc w:val="center"/>
              <w:rPr>
                <w:b/>
                <w:szCs w:val="22"/>
              </w:rPr>
            </w:pPr>
            <w:r w:rsidRPr="00636F57">
              <w:rPr>
                <w:b/>
                <w:szCs w:val="22"/>
              </w:rPr>
              <w:t>*1000 (ha)</w:t>
            </w:r>
          </w:p>
        </w:tc>
        <w:tc>
          <w:tcPr>
            <w:tcW w:w="1085" w:type="pct"/>
            <w:shd w:val="clear" w:color="auto" w:fill="BFBFBF" w:themeFill="background1" w:themeFillShade="BF"/>
            <w:vAlign w:val="center"/>
          </w:tcPr>
          <w:p w14:paraId="393202D7" w14:textId="77777777" w:rsidR="00B50F8F" w:rsidRPr="00636F57" w:rsidRDefault="00B50F8F" w:rsidP="00B50F8F">
            <w:pPr>
              <w:jc w:val="center"/>
              <w:rPr>
                <w:b/>
                <w:szCs w:val="22"/>
              </w:rPr>
            </w:pPr>
            <w:r w:rsidRPr="00636F57">
              <w:rPr>
                <w:b/>
                <w:szCs w:val="22"/>
              </w:rPr>
              <w:t>%</w:t>
            </w:r>
          </w:p>
        </w:tc>
      </w:tr>
      <w:tr w:rsidR="00B50F8F" w:rsidRPr="00636F57" w14:paraId="5DDAE5D9" w14:textId="77777777" w:rsidTr="00B50F8F">
        <w:trPr>
          <w:trHeight w:val="227"/>
          <w:jc w:val="center"/>
        </w:trPr>
        <w:tc>
          <w:tcPr>
            <w:tcW w:w="757" w:type="pct"/>
            <w:vMerge/>
            <w:tcBorders>
              <w:bottom w:val="single" w:sz="4" w:space="0" w:color="000000"/>
            </w:tcBorders>
            <w:shd w:val="clear" w:color="auto" w:fill="BFBFBF" w:themeFill="background1" w:themeFillShade="BF"/>
            <w:vAlign w:val="center"/>
          </w:tcPr>
          <w:p w14:paraId="7E85E10E" w14:textId="77777777" w:rsidR="00B50F8F" w:rsidRPr="00636F57" w:rsidRDefault="00B50F8F" w:rsidP="00B50F8F">
            <w:pPr>
              <w:keepNext/>
              <w:keepLines/>
              <w:spacing w:before="100" w:line="276" w:lineRule="auto"/>
              <w:jc w:val="center"/>
              <w:rPr>
                <w:b/>
                <w:szCs w:val="22"/>
              </w:rPr>
            </w:pPr>
          </w:p>
        </w:tc>
        <w:tc>
          <w:tcPr>
            <w:tcW w:w="1543" w:type="pct"/>
            <w:vMerge/>
            <w:tcBorders>
              <w:bottom w:val="single" w:sz="4" w:space="0" w:color="000000"/>
            </w:tcBorders>
            <w:shd w:val="clear" w:color="auto" w:fill="BFBFBF" w:themeFill="background1" w:themeFillShade="BF"/>
            <w:vAlign w:val="center"/>
          </w:tcPr>
          <w:p w14:paraId="7117CD5E" w14:textId="4832C0FA" w:rsidR="00B50F8F" w:rsidRPr="00636F57" w:rsidRDefault="00B50F8F" w:rsidP="00B50F8F">
            <w:pPr>
              <w:jc w:val="center"/>
              <w:rPr>
                <w:b/>
                <w:szCs w:val="22"/>
              </w:rPr>
            </w:pPr>
          </w:p>
        </w:tc>
        <w:tc>
          <w:tcPr>
            <w:tcW w:w="646" w:type="pct"/>
            <w:tcBorders>
              <w:bottom w:val="single" w:sz="4" w:space="0" w:color="000000"/>
            </w:tcBorders>
            <w:shd w:val="clear" w:color="auto" w:fill="BFBFBF" w:themeFill="background1" w:themeFillShade="BF"/>
            <w:vAlign w:val="center"/>
          </w:tcPr>
          <w:p w14:paraId="392E95F2" w14:textId="5E220A37" w:rsidR="00B50F8F" w:rsidRPr="00636F57" w:rsidRDefault="00B50F8F" w:rsidP="00B50F8F">
            <w:pPr>
              <w:jc w:val="center"/>
              <w:rPr>
                <w:b/>
                <w:szCs w:val="22"/>
              </w:rPr>
            </w:pPr>
            <w:r w:rsidRPr="00636F57">
              <w:rPr>
                <w:b/>
                <w:szCs w:val="22"/>
              </w:rPr>
              <w:t>Country</w:t>
            </w:r>
          </w:p>
          <w:p w14:paraId="4B3B3610" w14:textId="77777777" w:rsidR="00B50F8F" w:rsidRPr="00636F57" w:rsidRDefault="00B50F8F" w:rsidP="00B50F8F">
            <w:pPr>
              <w:jc w:val="center"/>
              <w:rPr>
                <w:b/>
                <w:szCs w:val="22"/>
              </w:rPr>
            </w:pPr>
            <w:r w:rsidRPr="00636F57">
              <w:rPr>
                <w:b/>
                <w:szCs w:val="22"/>
              </w:rPr>
              <w:t>Area</w:t>
            </w:r>
            <w:r w:rsidRPr="00636F57">
              <w:rPr>
                <w:b/>
                <w:szCs w:val="22"/>
                <w:vertAlign w:val="superscript"/>
              </w:rPr>
              <w:t>a</w:t>
            </w:r>
          </w:p>
        </w:tc>
        <w:tc>
          <w:tcPr>
            <w:tcW w:w="969" w:type="pct"/>
            <w:gridSpan w:val="2"/>
            <w:tcBorders>
              <w:bottom w:val="single" w:sz="4" w:space="0" w:color="000000"/>
            </w:tcBorders>
            <w:shd w:val="clear" w:color="auto" w:fill="BFBFBF" w:themeFill="background1" w:themeFillShade="BF"/>
            <w:vAlign w:val="center"/>
          </w:tcPr>
          <w:p w14:paraId="3995D2CA" w14:textId="5148865E" w:rsidR="00B50F8F" w:rsidRPr="00636F57" w:rsidRDefault="00B50F8F" w:rsidP="00B50F8F">
            <w:pPr>
              <w:jc w:val="center"/>
              <w:rPr>
                <w:b/>
                <w:szCs w:val="22"/>
              </w:rPr>
            </w:pPr>
            <w:r w:rsidRPr="00636F57">
              <w:rPr>
                <w:b/>
                <w:szCs w:val="22"/>
              </w:rPr>
              <w:t>Indigenous land</w:t>
            </w:r>
          </w:p>
        </w:tc>
        <w:tc>
          <w:tcPr>
            <w:tcW w:w="1085" w:type="pct"/>
            <w:tcBorders>
              <w:bottom w:val="single" w:sz="4" w:space="0" w:color="000000"/>
            </w:tcBorders>
            <w:shd w:val="clear" w:color="auto" w:fill="BFBFBF" w:themeFill="background1" w:themeFillShade="BF"/>
            <w:vAlign w:val="center"/>
          </w:tcPr>
          <w:p w14:paraId="43C45418" w14:textId="77777777" w:rsidR="00B50F8F" w:rsidRPr="00636F57" w:rsidRDefault="00B50F8F" w:rsidP="00B50F8F">
            <w:pPr>
              <w:jc w:val="center"/>
              <w:rPr>
                <w:b/>
                <w:szCs w:val="22"/>
              </w:rPr>
            </w:pPr>
            <w:r w:rsidRPr="00636F57">
              <w:rPr>
                <w:b/>
                <w:szCs w:val="22"/>
              </w:rPr>
              <w:t>Indigenous land/Country Area</w:t>
            </w:r>
          </w:p>
        </w:tc>
      </w:tr>
      <w:tr w:rsidR="000836E7" w:rsidRPr="00636F57" w14:paraId="13C0E9C5" w14:textId="77777777" w:rsidTr="00104CE3">
        <w:trPr>
          <w:trHeight w:val="227"/>
          <w:jc w:val="center"/>
        </w:trPr>
        <w:tc>
          <w:tcPr>
            <w:tcW w:w="757" w:type="pct"/>
            <w:shd w:val="clear" w:color="auto" w:fill="BFBFBF" w:themeFill="background1" w:themeFillShade="BF"/>
            <w:vAlign w:val="bottom"/>
          </w:tcPr>
          <w:p w14:paraId="31B09A76" w14:textId="77777777" w:rsidR="00F44157" w:rsidRPr="00636F57" w:rsidRDefault="00333557" w:rsidP="00A7449E">
            <w:pPr>
              <w:rPr>
                <w:szCs w:val="22"/>
              </w:rPr>
            </w:pPr>
            <w:r w:rsidRPr="00636F57">
              <w:rPr>
                <w:szCs w:val="22"/>
              </w:rPr>
              <w:t>North America</w:t>
            </w:r>
          </w:p>
        </w:tc>
        <w:tc>
          <w:tcPr>
            <w:tcW w:w="1543" w:type="pct"/>
            <w:shd w:val="clear" w:color="auto" w:fill="BFBFBF" w:themeFill="background1" w:themeFillShade="BF"/>
            <w:vAlign w:val="bottom"/>
          </w:tcPr>
          <w:p w14:paraId="5F227888" w14:textId="77777777" w:rsidR="00F44157" w:rsidRPr="00636F57" w:rsidRDefault="00F44157" w:rsidP="00A7449E">
            <w:pPr>
              <w:rPr>
                <w:szCs w:val="22"/>
              </w:rPr>
            </w:pPr>
          </w:p>
        </w:tc>
        <w:tc>
          <w:tcPr>
            <w:tcW w:w="646" w:type="pct"/>
            <w:shd w:val="clear" w:color="auto" w:fill="BFBFBF" w:themeFill="background1" w:themeFillShade="BF"/>
            <w:vAlign w:val="bottom"/>
          </w:tcPr>
          <w:p w14:paraId="4876E72D" w14:textId="77777777" w:rsidR="00F44157" w:rsidRPr="00636F57" w:rsidRDefault="00333557" w:rsidP="00A7449E">
            <w:pPr>
              <w:rPr>
                <w:szCs w:val="22"/>
              </w:rPr>
            </w:pPr>
            <w:r w:rsidRPr="00636F57">
              <w:rPr>
                <w:szCs w:val="22"/>
              </w:rPr>
              <w:t>2198,227</w:t>
            </w:r>
          </w:p>
        </w:tc>
        <w:tc>
          <w:tcPr>
            <w:tcW w:w="969" w:type="pct"/>
            <w:gridSpan w:val="2"/>
            <w:shd w:val="clear" w:color="auto" w:fill="BFBFBF" w:themeFill="background1" w:themeFillShade="BF"/>
            <w:vAlign w:val="bottom"/>
          </w:tcPr>
          <w:p w14:paraId="148F8729" w14:textId="77777777" w:rsidR="00F44157" w:rsidRPr="00636F57" w:rsidRDefault="00333557" w:rsidP="00A7449E">
            <w:pPr>
              <w:rPr>
                <w:szCs w:val="22"/>
              </w:rPr>
            </w:pPr>
            <w:r w:rsidRPr="00636F57">
              <w:rPr>
                <w:szCs w:val="22"/>
              </w:rPr>
              <w:t>25,500</w:t>
            </w:r>
          </w:p>
        </w:tc>
        <w:tc>
          <w:tcPr>
            <w:tcW w:w="1085" w:type="pct"/>
            <w:shd w:val="clear" w:color="auto" w:fill="BFBFBF" w:themeFill="background1" w:themeFillShade="BF"/>
            <w:vAlign w:val="bottom"/>
          </w:tcPr>
          <w:p w14:paraId="6140F341" w14:textId="77777777" w:rsidR="00F44157" w:rsidRPr="00636F57" w:rsidRDefault="00333557" w:rsidP="00A7449E">
            <w:pPr>
              <w:rPr>
                <w:szCs w:val="22"/>
              </w:rPr>
            </w:pPr>
            <w:r w:rsidRPr="00636F57">
              <w:rPr>
                <w:szCs w:val="22"/>
              </w:rPr>
              <w:t>1,2</w:t>
            </w:r>
          </w:p>
        </w:tc>
      </w:tr>
      <w:tr w:rsidR="000836E7" w:rsidRPr="00636F57" w14:paraId="69E858E5" w14:textId="77777777" w:rsidTr="000836E7">
        <w:trPr>
          <w:trHeight w:val="227"/>
          <w:jc w:val="center"/>
        </w:trPr>
        <w:tc>
          <w:tcPr>
            <w:tcW w:w="757" w:type="pct"/>
            <w:shd w:val="clear" w:color="auto" w:fill="auto"/>
            <w:vAlign w:val="bottom"/>
          </w:tcPr>
          <w:p w14:paraId="6AD4E648" w14:textId="77777777" w:rsidR="00F44157" w:rsidRPr="00636F57" w:rsidRDefault="00F44157" w:rsidP="00A7449E">
            <w:pPr>
              <w:rPr>
                <w:szCs w:val="22"/>
              </w:rPr>
            </w:pPr>
          </w:p>
        </w:tc>
        <w:tc>
          <w:tcPr>
            <w:tcW w:w="1543" w:type="pct"/>
            <w:shd w:val="clear" w:color="auto" w:fill="auto"/>
            <w:vAlign w:val="bottom"/>
          </w:tcPr>
          <w:p w14:paraId="04934F72" w14:textId="77777777" w:rsidR="00F44157" w:rsidRPr="00636F57" w:rsidRDefault="00333557" w:rsidP="00A7449E">
            <w:pPr>
              <w:rPr>
                <w:szCs w:val="22"/>
              </w:rPr>
            </w:pPr>
            <w:r w:rsidRPr="00636F57">
              <w:rPr>
                <w:szCs w:val="22"/>
              </w:rPr>
              <w:t>Greenland</w:t>
            </w:r>
          </w:p>
        </w:tc>
        <w:tc>
          <w:tcPr>
            <w:tcW w:w="646" w:type="pct"/>
            <w:shd w:val="clear" w:color="auto" w:fill="auto"/>
            <w:vAlign w:val="bottom"/>
          </w:tcPr>
          <w:p w14:paraId="225B827C" w14:textId="77777777" w:rsidR="00F44157" w:rsidRPr="00636F57" w:rsidRDefault="00333557" w:rsidP="00A7449E">
            <w:pPr>
              <w:rPr>
                <w:szCs w:val="22"/>
              </w:rPr>
            </w:pPr>
            <w:r w:rsidRPr="00636F57">
              <w:rPr>
                <w:szCs w:val="22"/>
              </w:rPr>
              <w:t>216,609</w:t>
            </w:r>
            <w:r w:rsidRPr="00636F57">
              <w:rPr>
                <w:szCs w:val="22"/>
                <w:vertAlign w:val="superscript"/>
              </w:rPr>
              <w:t>b</w:t>
            </w:r>
          </w:p>
        </w:tc>
        <w:tc>
          <w:tcPr>
            <w:tcW w:w="969" w:type="pct"/>
            <w:gridSpan w:val="2"/>
            <w:shd w:val="clear" w:color="auto" w:fill="auto"/>
            <w:vAlign w:val="bottom"/>
          </w:tcPr>
          <w:p w14:paraId="2BA9A01F" w14:textId="77777777" w:rsidR="00F44157" w:rsidRPr="00636F57" w:rsidRDefault="00F44157" w:rsidP="00A7449E">
            <w:pPr>
              <w:rPr>
                <w:szCs w:val="22"/>
              </w:rPr>
            </w:pPr>
          </w:p>
        </w:tc>
        <w:tc>
          <w:tcPr>
            <w:tcW w:w="1085" w:type="pct"/>
            <w:shd w:val="clear" w:color="auto" w:fill="auto"/>
            <w:vAlign w:val="bottom"/>
          </w:tcPr>
          <w:p w14:paraId="25708D45" w14:textId="77777777" w:rsidR="00F44157" w:rsidRPr="00636F57" w:rsidRDefault="00F44157" w:rsidP="00A7449E">
            <w:pPr>
              <w:rPr>
                <w:szCs w:val="22"/>
              </w:rPr>
            </w:pPr>
          </w:p>
        </w:tc>
      </w:tr>
      <w:tr w:rsidR="000836E7" w:rsidRPr="00636F57" w14:paraId="1BB37CD8" w14:textId="77777777" w:rsidTr="000836E7">
        <w:trPr>
          <w:trHeight w:val="227"/>
          <w:jc w:val="center"/>
        </w:trPr>
        <w:tc>
          <w:tcPr>
            <w:tcW w:w="757" w:type="pct"/>
            <w:shd w:val="clear" w:color="auto" w:fill="auto"/>
            <w:vAlign w:val="bottom"/>
          </w:tcPr>
          <w:p w14:paraId="11A73850" w14:textId="77777777" w:rsidR="00F44157" w:rsidRPr="00636F57" w:rsidRDefault="00F44157" w:rsidP="00A7449E">
            <w:pPr>
              <w:rPr>
                <w:szCs w:val="22"/>
              </w:rPr>
            </w:pPr>
          </w:p>
        </w:tc>
        <w:tc>
          <w:tcPr>
            <w:tcW w:w="1543" w:type="pct"/>
            <w:shd w:val="clear" w:color="auto" w:fill="auto"/>
            <w:vAlign w:val="bottom"/>
          </w:tcPr>
          <w:p w14:paraId="572816D9" w14:textId="77777777" w:rsidR="00F44157" w:rsidRPr="00636F57" w:rsidRDefault="00333557" w:rsidP="00A7449E">
            <w:pPr>
              <w:rPr>
                <w:szCs w:val="22"/>
              </w:rPr>
            </w:pPr>
            <w:r w:rsidRPr="00636F57">
              <w:rPr>
                <w:szCs w:val="22"/>
              </w:rPr>
              <w:t>Canada</w:t>
            </w:r>
          </w:p>
        </w:tc>
        <w:tc>
          <w:tcPr>
            <w:tcW w:w="646" w:type="pct"/>
            <w:shd w:val="clear" w:color="auto" w:fill="auto"/>
            <w:vAlign w:val="bottom"/>
          </w:tcPr>
          <w:p w14:paraId="38016F1B" w14:textId="77777777" w:rsidR="00F44157" w:rsidRPr="00636F57" w:rsidRDefault="00333557" w:rsidP="00A7449E">
            <w:pPr>
              <w:rPr>
                <w:szCs w:val="22"/>
              </w:rPr>
            </w:pPr>
            <w:r w:rsidRPr="00636F57">
              <w:rPr>
                <w:szCs w:val="22"/>
              </w:rPr>
              <w:t>998,467</w:t>
            </w:r>
          </w:p>
        </w:tc>
        <w:tc>
          <w:tcPr>
            <w:tcW w:w="969" w:type="pct"/>
            <w:gridSpan w:val="2"/>
            <w:shd w:val="clear" w:color="auto" w:fill="auto"/>
            <w:vAlign w:val="bottom"/>
          </w:tcPr>
          <w:p w14:paraId="2A102458" w14:textId="77777777" w:rsidR="00F44157" w:rsidRPr="00636F57" w:rsidRDefault="00333557" w:rsidP="00A7449E">
            <w:pPr>
              <w:rPr>
                <w:szCs w:val="22"/>
              </w:rPr>
            </w:pPr>
            <w:r w:rsidRPr="00636F57">
              <w:rPr>
                <w:szCs w:val="22"/>
              </w:rPr>
              <w:t>2,800</w:t>
            </w:r>
            <w:r w:rsidRPr="00636F57">
              <w:rPr>
                <w:szCs w:val="22"/>
                <w:vertAlign w:val="superscript"/>
              </w:rPr>
              <w:t>c</w:t>
            </w:r>
          </w:p>
        </w:tc>
        <w:tc>
          <w:tcPr>
            <w:tcW w:w="1085" w:type="pct"/>
            <w:shd w:val="clear" w:color="auto" w:fill="auto"/>
            <w:vAlign w:val="bottom"/>
          </w:tcPr>
          <w:p w14:paraId="484F0D06" w14:textId="77777777" w:rsidR="00F44157" w:rsidRPr="00636F57" w:rsidRDefault="00333557" w:rsidP="00A7449E">
            <w:pPr>
              <w:rPr>
                <w:szCs w:val="22"/>
              </w:rPr>
            </w:pPr>
            <w:r w:rsidRPr="00636F57">
              <w:rPr>
                <w:szCs w:val="22"/>
              </w:rPr>
              <w:t>0,3</w:t>
            </w:r>
          </w:p>
        </w:tc>
      </w:tr>
      <w:tr w:rsidR="000836E7" w:rsidRPr="00636F57" w14:paraId="01AF9B82" w14:textId="77777777" w:rsidTr="00104CE3">
        <w:trPr>
          <w:trHeight w:val="227"/>
          <w:jc w:val="center"/>
        </w:trPr>
        <w:tc>
          <w:tcPr>
            <w:tcW w:w="757" w:type="pct"/>
            <w:tcBorders>
              <w:bottom w:val="single" w:sz="4" w:space="0" w:color="000000"/>
            </w:tcBorders>
            <w:shd w:val="clear" w:color="auto" w:fill="auto"/>
            <w:vAlign w:val="bottom"/>
          </w:tcPr>
          <w:p w14:paraId="4FC91FE4" w14:textId="77777777" w:rsidR="00F44157" w:rsidRPr="00636F57" w:rsidRDefault="00F44157" w:rsidP="00A7449E">
            <w:pPr>
              <w:rPr>
                <w:szCs w:val="22"/>
              </w:rPr>
            </w:pPr>
          </w:p>
        </w:tc>
        <w:tc>
          <w:tcPr>
            <w:tcW w:w="1543" w:type="pct"/>
            <w:tcBorders>
              <w:bottom w:val="single" w:sz="4" w:space="0" w:color="000000"/>
            </w:tcBorders>
            <w:shd w:val="clear" w:color="auto" w:fill="auto"/>
            <w:vAlign w:val="bottom"/>
          </w:tcPr>
          <w:p w14:paraId="71D95B39" w14:textId="77777777" w:rsidR="00F44157" w:rsidRPr="00636F57" w:rsidRDefault="00333557" w:rsidP="00A7449E">
            <w:pPr>
              <w:rPr>
                <w:szCs w:val="22"/>
              </w:rPr>
            </w:pPr>
            <w:r w:rsidRPr="00636F57">
              <w:rPr>
                <w:szCs w:val="22"/>
              </w:rPr>
              <w:t>USA</w:t>
            </w:r>
          </w:p>
        </w:tc>
        <w:tc>
          <w:tcPr>
            <w:tcW w:w="646" w:type="pct"/>
            <w:tcBorders>
              <w:bottom w:val="single" w:sz="4" w:space="0" w:color="000000"/>
            </w:tcBorders>
            <w:shd w:val="clear" w:color="auto" w:fill="auto"/>
            <w:vAlign w:val="bottom"/>
          </w:tcPr>
          <w:p w14:paraId="3A8D7B0A" w14:textId="77777777" w:rsidR="00F44157" w:rsidRPr="00636F57" w:rsidRDefault="00333557" w:rsidP="00A7449E">
            <w:pPr>
              <w:rPr>
                <w:szCs w:val="22"/>
              </w:rPr>
            </w:pPr>
            <w:r w:rsidRPr="00636F57">
              <w:rPr>
                <w:szCs w:val="22"/>
              </w:rPr>
              <w:t>983,151</w:t>
            </w:r>
          </w:p>
        </w:tc>
        <w:tc>
          <w:tcPr>
            <w:tcW w:w="969" w:type="pct"/>
            <w:gridSpan w:val="2"/>
            <w:tcBorders>
              <w:bottom w:val="single" w:sz="4" w:space="0" w:color="000000"/>
            </w:tcBorders>
            <w:shd w:val="clear" w:color="auto" w:fill="auto"/>
            <w:vAlign w:val="bottom"/>
          </w:tcPr>
          <w:p w14:paraId="60B606AC" w14:textId="77777777" w:rsidR="00F44157" w:rsidRPr="00636F57" w:rsidRDefault="00333557" w:rsidP="00A7449E">
            <w:pPr>
              <w:rPr>
                <w:szCs w:val="22"/>
              </w:rPr>
            </w:pPr>
            <w:r w:rsidRPr="00636F57">
              <w:rPr>
                <w:szCs w:val="22"/>
              </w:rPr>
              <w:t>22,700</w:t>
            </w:r>
            <w:r w:rsidRPr="00636F57">
              <w:rPr>
                <w:szCs w:val="22"/>
                <w:vertAlign w:val="superscript"/>
              </w:rPr>
              <w:t>d</w:t>
            </w:r>
          </w:p>
        </w:tc>
        <w:tc>
          <w:tcPr>
            <w:tcW w:w="1085" w:type="pct"/>
            <w:tcBorders>
              <w:bottom w:val="single" w:sz="4" w:space="0" w:color="000000"/>
            </w:tcBorders>
            <w:shd w:val="clear" w:color="auto" w:fill="auto"/>
            <w:vAlign w:val="bottom"/>
          </w:tcPr>
          <w:p w14:paraId="422ADEBC" w14:textId="77777777" w:rsidR="00F44157" w:rsidRPr="00636F57" w:rsidRDefault="00333557" w:rsidP="00A7449E">
            <w:pPr>
              <w:rPr>
                <w:szCs w:val="22"/>
              </w:rPr>
            </w:pPr>
            <w:r w:rsidRPr="00636F57">
              <w:rPr>
                <w:szCs w:val="22"/>
              </w:rPr>
              <w:t>2,3</w:t>
            </w:r>
          </w:p>
        </w:tc>
      </w:tr>
      <w:tr w:rsidR="000836E7" w:rsidRPr="00636F57" w14:paraId="1C8BD3A0" w14:textId="77777777" w:rsidTr="00104CE3">
        <w:trPr>
          <w:trHeight w:val="227"/>
          <w:jc w:val="center"/>
        </w:trPr>
        <w:tc>
          <w:tcPr>
            <w:tcW w:w="757" w:type="pct"/>
            <w:shd w:val="clear" w:color="auto" w:fill="BFBFBF" w:themeFill="background1" w:themeFillShade="BF"/>
            <w:vAlign w:val="bottom"/>
          </w:tcPr>
          <w:p w14:paraId="48ED6919" w14:textId="77777777" w:rsidR="00F44157" w:rsidRPr="00636F57" w:rsidRDefault="00333557" w:rsidP="00A7449E">
            <w:pPr>
              <w:rPr>
                <w:szCs w:val="22"/>
              </w:rPr>
            </w:pPr>
            <w:r w:rsidRPr="00636F57">
              <w:rPr>
                <w:szCs w:val="22"/>
              </w:rPr>
              <w:t xml:space="preserve">Mesoamerica </w:t>
            </w:r>
          </w:p>
        </w:tc>
        <w:tc>
          <w:tcPr>
            <w:tcW w:w="1543" w:type="pct"/>
            <w:shd w:val="clear" w:color="auto" w:fill="BFBFBF" w:themeFill="background1" w:themeFillShade="BF"/>
            <w:vAlign w:val="bottom"/>
          </w:tcPr>
          <w:p w14:paraId="56E5B7A1" w14:textId="77777777" w:rsidR="00F44157" w:rsidRPr="00636F57" w:rsidRDefault="00F44157" w:rsidP="00A7449E">
            <w:pPr>
              <w:rPr>
                <w:szCs w:val="22"/>
              </w:rPr>
            </w:pPr>
          </w:p>
        </w:tc>
        <w:tc>
          <w:tcPr>
            <w:tcW w:w="646" w:type="pct"/>
            <w:shd w:val="clear" w:color="auto" w:fill="BFBFBF" w:themeFill="background1" w:themeFillShade="BF"/>
            <w:vAlign w:val="bottom"/>
          </w:tcPr>
          <w:p w14:paraId="45C27A46" w14:textId="77777777" w:rsidR="00F44157" w:rsidRPr="00636F57" w:rsidRDefault="00333557" w:rsidP="00A7449E">
            <w:pPr>
              <w:rPr>
                <w:szCs w:val="22"/>
              </w:rPr>
            </w:pPr>
            <w:r w:rsidRPr="00636F57">
              <w:rPr>
                <w:szCs w:val="22"/>
              </w:rPr>
              <w:t>248,676</w:t>
            </w:r>
          </w:p>
        </w:tc>
        <w:tc>
          <w:tcPr>
            <w:tcW w:w="969" w:type="pct"/>
            <w:gridSpan w:val="2"/>
            <w:shd w:val="clear" w:color="auto" w:fill="BFBFBF" w:themeFill="background1" w:themeFillShade="BF"/>
            <w:vAlign w:val="bottom"/>
          </w:tcPr>
          <w:p w14:paraId="50D9A0A7" w14:textId="77777777" w:rsidR="00F44157" w:rsidRPr="00636F57" w:rsidRDefault="00333557" w:rsidP="00A7449E">
            <w:pPr>
              <w:rPr>
                <w:szCs w:val="22"/>
              </w:rPr>
            </w:pPr>
            <w:r w:rsidRPr="00636F57">
              <w:rPr>
                <w:szCs w:val="22"/>
              </w:rPr>
              <w:t>48,495</w:t>
            </w:r>
          </w:p>
        </w:tc>
        <w:tc>
          <w:tcPr>
            <w:tcW w:w="1085" w:type="pct"/>
            <w:shd w:val="clear" w:color="auto" w:fill="BFBFBF" w:themeFill="background1" w:themeFillShade="BF"/>
            <w:vAlign w:val="bottom"/>
          </w:tcPr>
          <w:p w14:paraId="47F4FC9C" w14:textId="77777777" w:rsidR="00F44157" w:rsidRPr="00636F57" w:rsidRDefault="00333557" w:rsidP="00A7449E">
            <w:pPr>
              <w:rPr>
                <w:szCs w:val="22"/>
              </w:rPr>
            </w:pPr>
            <w:r w:rsidRPr="00636F57">
              <w:rPr>
                <w:szCs w:val="22"/>
              </w:rPr>
              <w:t>19,5</w:t>
            </w:r>
          </w:p>
        </w:tc>
      </w:tr>
      <w:tr w:rsidR="000836E7" w:rsidRPr="00636F57" w14:paraId="1E489FF6" w14:textId="77777777" w:rsidTr="000836E7">
        <w:trPr>
          <w:trHeight w:val="227"/>
          <w:jc w:val="center"/>
        </w:trPr>
        <w:tc>
          <w:tcPr>
            <w:tcW w:w="757" w:type="pct"/>
            <w:shd w:val="clear" w:color="auto" w:fill="auto"/>
            <w:vAlign w:val="bottom"/>
          </w:tcPr>
          <w:p w14:paraId="3B426AA1" w14:textId="77777777" w:rsidR="00F44157" w:rsidRPr="00636F57" w:rsidRDefault="00F44157" w:rsidP="00A7449E">
            <w:pPr>
              <w:rPr>
                <w:szCs w:val="22"/>
              </w:rPr>
            </w:pPr>
          </w:p>
        </w:tc>
        <w:tc>
          <w:tcPr>
            <w:tcW w:w="1543" w:type="pct"/>
            <w:shd w:val="clear" w:color="auto" w:fill="auto"/>
            <w:vAlign w:val="bottom"/>
          </w:tcPr>
          <w:p w14:paraId="7E018398" w14:textId="77777777" w:rsidR="00F44157" w:rsidRPr="00636F57" w:rsidRDefault="00333557" w:rsidP="00A7449E">
            <w:pPr>
              <w:rPr>
                <w:szCs w:val="22"/>
              </w:rPr>
            </w:pPr>
            <w:r w:rsidRPr="00636F57">
              <w:rPr>
                <w:szCs w:val="22"/>
              </w:rPr>
              <w:t>Mexico</w:t>
            </w:r>
          </w:p>
        </w:tc>
        <w:tc>
          <w:tcPr>
            <w:tcW w:w="646" w:type="pct"/>
            <w:shd w:val="clear" w:color="auto" w:fill="auto"/>
            <w:vAlign w:val="bottom"/>
          </w:tcPr>
          <w:p w14:paraId="1B2247A5" w14:textId="77777777" w:rsidR="00F44157" w:rsidRPr="00636F57" w:rsidRDefault="00333557" w:rsidP="00A7449E">
            <w:pPr>
              <w:rPr>
                <w:szCs w:val="22"/>
              </w:rPr>
            </w:pPr>
            <w:r w:rsidRPr="00636F57">
              <w:rPr>
                <w:szCs w:val="22"/>
              </w:rPr>
              <w:t>196,438</w:t>
            </w:r>
          </w:p>
        </w:tc>
        <w:tc>
          <w:tcPr>
            <w:tcW w:w="969" w:type="pct"/>
            <w:gridSpan w:val="2"/>
            <w:shd w:val="clear" w:color="auto" w:fill="auto"/>
            <w:vAlign w:val="bottom"/>
          </w:tcPr>
          <w:p w14:paraId="0D234E4D" w14:textId="77777777" w:rsidR="00F44157" w:rsidRPr="00636F57" w:rsidRDefault="00333557" w:rsidP="00A7449E">
            <w:pPr>
              <w:rPr>
                <w:szCs w:val="22"/>
              </w:rPr>
            </w:pPr>
            <w:r w:rsidRPr="00636F57">
              <w:rPr>
                <w:szCs w:val="22"/>
              </w:rPr>
              <w:t>45,700</w:t>
            </w:r>
            <w:r w:rsidRPr="00636F57">
              <w:rPr>
                <w:szCs w:val="22"/>
                <w:vertAlign w:val="superscript"/>
              </w:rPr>
              <w:t>e</w:t>
            </w:r>
          </w:p>
        </w:tc>
        <w:tc>
          <w:tcPr>
            <w:tcW w:w="1085" w:type="pct"/>
            <w:shd w:val="clear" w:color="auto" w:fill="auto"/>
            <w:vAlign w:val="bottom"/>
          </w:tcPr>
          <w:p w14:paraId="1E7F8CC8" w14:textId="77777777" w:rsidR="00F44157" w:rsidRPr="00636F57" w:rsidRDefault="00333557" w:rsidP="00A7449E">
            <w:pPr>
              <w:rPr>
                <w:szCs w:val="22"/>
              </w:rPr>
            </w:pPr>
            <w:r w:rsidRPr="00636F57">
              <w:rPr>
                <w:szCs w:val="22"/>
              </w:rPr>
              <w:t>23,3</w:t>
            </w:r>
          </w:p>
        </w:tc>
      </w:tr>
      <w:tr w:rsidR="000836E7" w:rsidRPr="00636F57" w14:paraId="44F7848E" w14:textId="77777777" w:rsidTr="000836E7">
        <w:trPr>
          <w:trHeight w:val="227"/>
          <w:jc w:val="center"/>
        </w:trPr>
        <w:tc>
          <w:tcPr>
            <w:tcW w:w="757" w:type="pct"/>
            <w:shd w:val="clear" w:color="auto" w:fill="auto"/>
            <w:vAlign w:val="bottom"/>
          </w:tcPr>
          <w:p w14:paraId="632D68E5" w14:textId="77777777" w:rsidR="00F44157" w:rsidRPr="00636F57" w:rsidRDefault="00F44157" w:rsidP="00A7449E">
            <w:pPr>
              <w:rPr>
                <w:szCs w:val="22"/>
              </w:rPr>
            </w:pPr>
          </w:p>
        </w:tc>
        <w:tc>
          <w:tcPr>
            <w:tcW w:w="1543" w:type="pct"/>
            <w:shd w:val="clear" w:color="auto" w:fill="auto"/>
            <w:vAlign w:val="bottom"/>
          </w:tcPr>
          <w:p w14:paraId="601E12CC" w14:textId="77777777" w:rsidR="00F44157" w:rsidRPr="00636F57" w:rsidRDefault="00333557" w:rsidP="00A7449E">
            <w:pPr>
              <w:rPr>
                <w:szCs w:val="22"/>
              </w:rPr>
            </w:pPr>
            <w:r w:rsidRPr="00636F57">
              <w:rPr>
                <w:szCs w:val="22"/>
              </w:rPr>
              <w:t>Guatemala</w:t>
            </w:r>
          </w:p>
        </w:tc>
        <w:tc>
          <w:tcPr>
            <w:tcW w:w="646" w:type="pct"/>
            <w:shd w:val="clear" w:color="auto" w:fill="auto"/>
            <w:vAlign w:val="bottom"/>
          </w:tcPr>
          <w:p w14:paraId="7CC414BE" w14:textId="77777777" w:rsidR="00F44157" w:rsidRPr="00636F57" w:rsidRDefault="00333557" w:rsidP="00A7449E">
            <w:pPr>
              <w:rPr>
                <w:szCs w:val="22"/>
              </w:rPr>
            </w:pPr>
            <w:r w:rsidRPr="00636F57">
              <w:rPr>
                <w:szCs w:val="22"/>
              </w:rPr>
              <w:t>10,899</w:t>
            </w:r>
          </w:p>
        </w:tc>
        <w:tc>
          <w:tcPr>
            <w:tcW w:w="969" w:type="pct"/>
            <w:gridSpan w:val="2"/>
            <w:shd w:val="clear" w:color="auto" w:fill="auto"/>
            <w:vAlign w:val="bottom"/>
          </w:tcPr>
          <w:p w14:paraId="095CA7CD" w14:textId="77777777" w:rsidR="00F44157" w:rsidRPr="00636F57" w:rsidRDefault="00333557" w:rsidP="00A7449E">
            <w:pPr>
              <w:rPr>
                <w:szCs w:val="22"/>
              </w:rPr>
            </w:pPr>
            <w:r w:rsidRPr="00636F57">
              <w:rPr>
                <w:szCs w:val="22"/>
              </w:rPr>
              <w:t>1,531</w:t>
            </w:r>
            <w:r w:rsidRPr="00636F57">
              <w:rPr>
                <w:szCs w:val="22"/>
                <w:vertAlign w:val="superscript"/>
              </w:rPr>
              <w:t xml:space="preserve"> e</w:t>
            </w:r>
          </w:p>
        </w:tc>
        <w:tc>
          <w:tcPr>
            <w:tcW w:w="1085" w:type="pct"/>
            <w:shd w:val="clear" w:color="auto" w:fill="auto"/>
            <w:vAlign w:val="bottom"/>
          </w:tcPr>
          <w:p w14:paraId="429E10CE" w14:textId="77777777" w:rsidR="00F44157" w:rsidRPr="00636F57" w:rsidRDefault="00333557" w:rsidP="00A7449E">
            <w:pPr>
              <w:rPr>
                <w:szCs w:val="22"/>
              </w:rPr>
            </w:pPr>
            <w:r w:rsidRPr="00636F57">
              <w:rPr>
                <w:szCs w:val="22"/>
              </w:rPr>
              <w:t>14,0</w:t>
            </w:r>
          </w:p>
        </w:tc>
      </w:tr>
      <w:tr w:rsidR="000836E7" w:rsidRPr="00636F57" w14:paraId="7377A8A4" w14:textId="77777777" w:rsidTr="000836E7">
        <w:trPr>
          <w:trHeight w:val="227"/>
          <w:jc w:val="center"/>
        </w:trPr>
        <w:tc>
          <w:tcPr>
            <w:tcW w:w="757" w:type="pct"/>
            <w:shd w:val="clear" w:color="auto" w:fill="auto"/>
            <w:vAlign w:val="bottom"/>
          </w:tcPr>
          <w:p w14:paraId="66A50DA1" w14:textId="77777777" w:rsidR="00F44157" w:rsidRPr="00636F57" w:rsidRDefault="00F44157" w:rsidP="00A7449E">
            <w:pPr>
              <w:rPr>
                <w:szCs w:val="22"/>
              </w:rPr>
            </w:pPr>
          </w:p>
        </w:tc>
        <w:tc>
          <w:tcPr>
            <w:tcW w:w="1543" w:type="pct"/>
            <w:shd w:val="clear" w:color="auto" w:fill="auto"/>
            <w:vAlign w:val="bottom"/>
          </w:tcPr>
          <w:p w14:paraId="6508D5B8" w14:textId="77777777" w:rsidR="00F44157" w:rsidRPr="00636F57" w:rsidRDefault="00333557" w:rsidP="00A7449E">
            <w:pPr>
              <w:rPr>
                <w:szCs w:val="22"/>
              </w:rPr>
            </w:pPr>
            <w:r w:rsidRPr="00636F57">
              <w:rPr>
                <w:szCs w:val="22"/>
              </w:rPr>
              <w:t>Nicaragua</w:t>
            </w:r>
          </w:p>
        </w:tc>
        <w:tc>
          <w:tcPr>
            <w:tcW w:w="646" w:type="pct"/>
            <w:shd w:val="clear" w:color="auto" w:fill="auto"/>
            <w:vAlign w:val="bottom"/>
          </w:tcPr>
          <w:p w14:paraId="1EFBD3D4" w14:textId="77777777" w:rsidR="00F44157" w:rsidRPr="00636F57" w:rsidRDefault="00333557" w:rsidP="00A7449E">
            <w:pPr>
              <w:rPr>
                <w:szCs w:val="22"/>
              </w:rPr>
            </w:pPr>
            <w:r w:rsidRPr="00636F57">
              <w:rPr>
                <w:szCs w:val="22"/>
              </w:rPr>
              <w:t>13,037</w:t>
            </w:r>
          </w:p>
        </w:tc>
        <w:tc>
          <w:tcPr>
            <w:tcW w:w="969" w:type="pct"/>
            <w:gridSpan w:val="2"/>
            <w:shd w:val="clear" w:color="auto" w:fill="auto"/>
            <w:vAlign w:val="bottom"/>
          </w:tcPr>
          <w:p w14:paraId="3DFA39A4" w14:textId="77777777" w:rsidR="00F44157" w:rsidRPr="00636F57" w:rsidRDefault="00F44157" w:rsidP="00A7449E">
            <w:pPr>
              <w:rPr>
                <w:szCs w:val="22"/>
              </w:rPr>
            </w:pPr>
          </w:p>
        </w:tc>
        <w:tc>
          <w:tcPr>
            <w:tcW w:w="1085" w:type="pct"/>
            <w:shd w:val="clear" w:color="auto" w:fill="auto"/>
            <w:vAlign w:val="bottom"/>
          </w:tcPr>
          <w:p w14:paraId="43822950" w14:textId="77777777" w:rsidR="00F44157" w:rsidRPr="00636F57" w:rsidRDefault="00F44157" w:rsidP="00A7449E">
            <w:pPr>
              <w:rPr>
                <w:szCs w:val="22"/>
              </w:rPr>
            </w:pPr>
          </w:p>
        </w:tc>
      </w:tr>
      <w:tr w:rsidR="000836E7" w:rsidRPr="00636F57" w14:paraId="64FF01A0" w14:textId="77777777" w:rsidTr="000836E7">
        <w:trPr>
          <w:trHeight w:val="227"/>
          <w:jc w:val="center"/>
        </w:trPr>
        <w:tc>
          <w:tcPr>
            <w:tcW w:w="757" w:type="pct"/>
            <w:shd w:val="clear" w:color="auto" w:fill="auto"/>
            <w:vAlign w:val="bottom"/>
          </w:tcPr>
          <w:p w14:paraId="508D9FD3" w14:textId="77777777" w:rsidR="00F44157" w:rsidRPr="00636F57" w:rsidRDefault="00F44157" w:rsidP="00A7449E">
            <w:pPr>
              <w:rPr>
                <w:szCs w:val="22"/>
              </w:rPr>
            </w:pPr>
          </w:p>
        </w:tc>
        <w:tc>
          <w:tcPr>
            <w:tcW w:w="1543" w:type="pct"/>
            <w:shd w:val="clear" w:color="auto" w:fill="auto"/>
            <w:vAlign w:val="bottom"/>
          </w:tcPr>
          <w:p w14:paraId="6439526B" w14:textId="77777777" w:rsidR="00F44157" w:rsidRPr="00636F57" w:rsidRDefault="00333557" w:rsidP="00A7449E">
            <w:pPr>
              <w:rPr>
                <w:szCs w:val="22"/>
              </w:rPr>
            </w:pPr>
            <w:r w:rsidRPr="00636F57">
              <w:rPr>
                <w:szCs w:val="22"/>
              </w:rPr>
              <w:t>Costa Rica</w:t>
            </w:r>
          </w:p>
        </w:tc>
        <w:tc>
          <w:tcPr>
            <w:tcW w:w="646" w:type="pct"/>
            <w:shd w:val="clear" w:color="auto" w:fill="auto"/>
            <w:vAlign w:val="bottom"/>
          </w:tcPr>
          <w:p w14:paraId="061BBAE0" w14:textId="77777777" w:rsidR="00F44157" w:rsidRPr="00636F57" w:rsidRDefault="00333557" w:rsidP="00A7449E">
            <w:pPr>
              <w:rPr>
                <w:szCs w:val="22"/>
              </w:rPr>
            </w:pPr>
            <w:r w:rsidRPr="00636F57">
              <w:rPr>
                <w:szCs w:val="22"/>
              </w:rPr>
              <w:t>5,110</w:t>
            </w:r>
          </w:p>
        </w:tc>
        <w:tc>
          <w:tcPr>
            <w:tcW w:w="969" w:type="pct"/>
            <w:gridSpan w:val="2"/>
            <w:shd w:val="clear" w:color="auto" w:fill="auto"/>
            <w:vAlign w:val="bottom"/>
          </w:tcPr>
          <w:p w14:paraId="70DCDB58" w14:textId="77777777" w:rsidR="00F44157" w:rsidRPr="00636F57" w:rsidRDefault="00333557" w:rsidP="00A7449E">
            <w:pPr>
              <w:rPr>
                <w:szCs w:val="22"/>
              </w:rPr>
            </w:pPr>
            <w:r w:rsidRPr="00636F57">
              <w:rPr>
                <w:szCs w:val="22"/>
              </w:rPr>
              <w:t>334</w:t>
            </w:r>
            <w:r w:rsidRPr="00636F57">
              <w:rPr>
                <w:szCs w:val="22"/>
                <w:vertAlign w:val="superscript"/>
              </w:rPr>
              <w:t>f</w:t>
            </w:r>
          </w:p>
        </w:tc>
        <w:tc>
          <w:tcPr>
            <w:tcW w:w="1085" w:type="pct"/>
            <w:shd w:val="clear" w:color="auto" w:fill="auto"/>
            <w:vAlign w:val="bottom"/>
          </w:tcPr>
          <w:p w14:paraId="63D7B31B" w14:textId="77777777" w:rsidR="00F44157" w:rsidRPr="00636F57" w:rsidRDefault="00333557" w:rsidP="00A7449E">
            <w:pPr>
              <w:rPr>
                <w:szCs w:val="22"/>
              </w:rPr>
            </w:pPr>
            <w:r w:rsidRPr="00636F57">
              <w:rPr>
                <w:szCs w:val="22"/>
              </w:rPr>
              <w:t>6,5</w:t>
            </w:r>
          </w:p>
        </w:tc>
      </w:tr>
      <w:tr w:rsidR="000836E7" w:rsidRPr="00636F57" w14:paraId="01EF2FB5" w14:textId="77777777" w:rsidTr="000836E7">
        <w:trPr>
          <w:trHeight w:val="227"/>
          <w:jc w:val="center"/>
        </w:trPr>
        <w:tc>
          <w:tcPr>
            <w:tcW w:w="757" w:type="pct"/>
            <w:shd w:val="clear" w:color="auto" w:fill="auto"/>
            <w:vAlign w:val="bottom"/>
          </w:tcPr>
          <w:p w14:paraId="25EE49C4" w14:textId="77777777" w:rsidR="00F44157" w:rsidRPr="00636F57" w:rsidRDefault="00F44157" w:rsidP="00A7449E">
            <w:pPr>
              <w:rPr>
                <w:szCs w:val="22"/>
              </w:rPr>
            </w:pPr>
          </w:p>
        </w:tc>
        <w:tc>
          <w:tcPr>
            <w:tcW w:w="1543" w:type="pct"/>
            <w:shd w:val="clear" w:color="auto" w:fill="auto"/>
            <w:vAlign w:val="bottom"/>
          </w:tcPr>
          <w:p w14:paraId="4190BA98" w14:textId="77777777" w:rsidR="00F44157" w:rsidRPr="00636F57" w:rsidRDefault="00333557" w:rsidP="00A7449E">
            <w:pPr>
              <w:rPr>
                <w:szCs w:val="22"/>
              </w:rPr>
            </w:pPr>
            <w:r w:rsidRPr="00636F57">
              <w:rPr>
                <w:szCs w:val="22"/>
              </w:rPr>
              <w:t>Panama</w:t>
            </w:r>
          </w:p>
        </w:tc>
        <w:tc>
          <w:tcPr>
            <w:tcW w:w="646" w:type="pct"/>
            <w:shd w:val="clear" w:color="auto" w:fill="auto"/>
            <w:vAlign w:val="bottom"/>
          </w:tcPr>
          <w:p w14:paraId="6853439D" w14:textId="77777777" w:rsidR="00F44157" w:rsidRPr="00636F57" w:rsidRDefault="00333557" w:rsidP="00A7449E">
            <w:pPr>
              <w:rPr>
                <w:szCs w:val="22"/>
              </w:rPr>
            </w:pPr>
            <w:r w:rsidRPr="00636F57">
              <w:rPr>
                <w:szCs w:val="22"/>
              </w:rPr>
              <w:t>7,542</w:t>
            </w:r>
          </w:p>
        </w:tc>
        <w:tc>
          <w:tcPr>
            <w:tcW w:w="969" w:type="pct"/>
            <w:gridSpan w:val="2"/>
            <w:shd w:val="clear" w:color="auto" w:fill="auto"/>
            <w:vAlign w:val="bottom"/>
          </w:tcPr>
          <w:p w14:paraId="5D55DB8A" w14:textId="77777777" w:rsidR="00F44157" w:rsidRPr="00636F57" w:rsidRDefault="00333557" w:rsidP="00A7449E">
            <w:pPr>
              <w:rPr>
                <w:szCs w:val="22"/>
              </w:rPr>
            </w:pPr>
            <w:r w:rsidRPr="00636F57">
              <w:rPr>
                <w:szCs w:val="22"/>
              </w:rPr>
              <w:t>753</w:t>
            </w:r>
            <w:r w:rsidRPr="00636F57">
              <w:rPr>
                <w:szCs w:val="22"/>
                <w:vertAlign w:val="superscript"/>
              </w:rPr>
              <w:t xml:space="preserve"> e</w:t>
            </w:r>
          </w:p>
        </w:tc>
        <w:tc>
          <w:tcPr>
            <w:tcW w:w="1085" w:type="pct"/>
            <w:shd w:val="clear" w:color="auto" w:fill="auto"/>
            <w:vAlign w:val="bottom"/>
          </w:tcPr>
          <w:p w14:paraId="41D4207D" w14:textId="77777777" w:rsidR="00F44157" w:rsidRPr="00636F57" w:rsidRDefault="00333557" w:rsidP="00A7449E">
            <w:pPr>
              <w:rPr>
                <w:szCs w:val="22"/>
              </w:rPr>
            </w:pPr>
            <w:r w:rsidRPr="00636F57">
              <w:rPr>
                <w:szCs w:val="22"/>
              </w:rPr>
              <w:t>10,0</w:t>
            </w:r>
          </w:p>
        </w:tc>
      </w:tr>
      <w:tr w:rsidR="000836E7" w:rsidRPr="00636F57" w14:paraId="4237DE51" w14:textId="77777777" w:rsidTr="000836E7">
        <w:trPr>
          <w:trHeight w:val="227"/>
          <w:jc w:val="center"/>
        </w:trPr>
        <w:tc>
          <w:tcPr>
            <w:tcW w:w="757" w:type="pct"/>
            <w:shd w:val="clear" w:color="auto" w:fill="auto"/>
            <w:vAlign w:val="bottom"/>
          </w:tcPr>
          <w:p w14:paraId="5005F37E" w14:textId="77777777" w:rsidR="00F44157" w:rsidRPr="00636F57" w:rsidRDefault="00F44157" w:rsidP="00A7449E">
            <w:pPr>
              <w:rPr>
                <w:szCs w:val="22"/>
              </w:rPr>
            </w:pPr>
          </w:p>
        </w:tc>
        <w:tc>
          <w:tcPr>
            <w:tcW w:w="1543" w:type="pct"/>
            <w:shd w:val="clear" w:color="auto" w:fill="auto"/>
            <w:vAlign w:val="bottom"/>
          </w:tcPr>
          <w:p w14:paraId="0F5B0038" w14:textId="77777777" w:rsidR="00F44157" w:rsidRPr="00636F57" w:rsidRDefault="00333557" w:rsidP="00A7449E">
            <w:pPr>
              <w:rPr>
                <w:szCs w:val="22"/>
              </w:rPr>
            </w:pPr>
            <w:r w:rsidRPr="00636F57">
              <w:rPr>
                <w:szCs w:val="22"/>
              </w:rPr>
              <w:t>Honduras</w:t>
            </w:r>
          </w:p>
        </w:tc>
        <w:tc>
          <w:tcPr>
            <w:tcW w:w="646" w:type="pct"/>
            <w:shd w:val="clear" w:color="auto" w:fill="auto"/>
            <w:vAlign w:val="bottom"/>
          </w:tcPr>
          <w:p w14:paraId="31242DDA" w14:textId="77777777" w:rsidR="00F44157" w:rsidRPr="00636F57" w:rsidRDefault="00333557" w:rsidP="00A7449E">
            <w:pPr>
              <w:rPr>
                <w:szCs w:val="22"/>
              </w:rPr>
            </w:pPr>
            <w:r w:rsidRPr="00636F57">
              <w:rPr>
                <w:szCs w:val="22"/>
              </w:rPr>
              <w:t>11,249</w:t>
            </w:r>
          </w:p>
        </w:tc>
        <w:tc>
          <w:tcPr>
            <w:tcW w:w="969" w:type="pct"/>
            <w:gridSpan w:val="2"/>
            <w:shd w:val="clear" w:color="auto" w:fill="auto"/>
            <w:vAlign w:val="bottom"/>
          </w:tcPr>
          <w:p w14:paraId="53FFBEF0" w14:textId="77777777" w:rsidR="00F44157" w:rsidRPr="00636F57" w:rsidRDefault="00333557" w:rsidP="00A7449E">
            <w:pPr>
              <w:rPr>
                <w:szCs w:val="22"/>
              </w:rPr>
            </w:pPr>
            <w:r w:rsidRPr="00636F57">
              <w:rPr>
                <w:szCs w:val="22"/>
              </w:rPr>
              <w:t>160</w:t>
            </w:r>
            <w:r w:rsidRPr="00636F57">
              <w:rPr>
                <w:szCs w:val="22"/>
                <w:vertAlign w:val="superscript"/>
              </w:rPr>
              <w:t xml:space="preserve"> e</w:t>
            </w:r>
          </w:p>
        </w:tc>
        <w:tc>
          <w:tcPr>
            <w:tcW w:w="1085" w:type="pct"/>
            <w:shd w:val="clear" w:color="auto" w:fill="auto"/>
            <w:vAlign w:val="bottom"/>
          </w:tcPr>
          <w:p w14:paraId="154CE69D" w14:textId="77777777" w:rsidR="00F44157" w:rsidRPr="00636F57" w:rsidRDefault="00333557" w:rsidP="00A7449E">
            <w:pPr>
              <w:rPr>
                <w:szCs w:val="22"/>
              </w:rPr>
            </w:pPr>
            <w:r w:rsidRPr="00636F57">
              <w:rPr>
                <w:szCs w:val="22"/>
              </w:rPr>
              <w:t>1,4</w:t>
            </w:r>
          </w:p>
        </w:tc>
      </w:tr>
      <w:tr w:rsidR="000836E7" w:rsidRPr="00636F57" w14:paraId="6ED579FC" w14:textId="77777777" w:rsidTr="000836E7">
        <w:trPr>
          <w:trHeight w:val="227"/>
          <w:jc w:val="center"/>
        </w:trPr>
        <w:tc>
          <w:tcPr>
            <w:tcW w:w="757" w:type="pct"/>
            <w:shd w:val="clear" w:color="auto" w:fill="auto"/>
            <w:vAlign w:val="bottom"/>
          </w:tcPr>
          <w:p w14:paraId="745895A0" w14:textId="77777777" w:rsidR="00F44157" w:rsidRPr="00636F57" w:rsidRDefault="00F44157" w:rsidP="00A7449E">
            <w:pPr>
              <w:rPr>
                <w:szCs w:val="22"/>
              </w:rPr>
            </w:pPr>
          </w:p>
        </w:tc>
        <w:tc>
          <w:tcPr>
            <w:tcW w:w="1543" w:type="pct"/>
            <w:shd w:val="clear" w:color="auto" w:fill="auto"/>
            <w:vAlign w:val="bottom"/>
          </w:tcPr>
          <w:p w14:paraId="057110EB" w14:textId="77777777" w:rsidR="00F44157" w:rsidRPr="00636F57" w:rsidRDefault="00333557" w:rsidP="00A7449E">
            <w:pPr>
              <w:rPr>
                <w:szCs w:val="22"/>
              </w:rPr>
            </w:pPr>
            <w:r w:rsidRPr="00636F57">
              <w:rPr>
                <w:szCs w:val="22"/>
              </w:rPr>
              <w:t>Belize</w:t>
            </w:r>
          </w:p>
        </w:tc>
        <w:tc>
          <w:tcPr>
            <w:tcW w:w="646" w:type="pct"/>
            <w:shd w:val="clear" w:color="auto" w:fill="auto"/>
            <w:vAlign w:val="bottom"/>
          </w:tcPr>
          <w:p w14:paraId="5DA2A92A" w14:textId="77777777" w:rsidR="00F44157" w:rsidRPr="00636F57" w:rsidRDefault="00333557" w:rsidP="00A7449E">
            <w:pPr>
              <w:rPr>
                <w:szCs w:val="22"/>
              </w:rPr>
            </w:pPr>
            <w:r w:rsidRPr="00636F57">
              <w:rPr>
                <w:szCs w:val="22"/>
              </w:rPr>
              <w:t>2,297</w:t>
            </w:r>
          </w:p>
        </w:tc>
        <w:tc>
          <w:tcPr>
            <w:tcW w:w="969" w:type="pct"/>
            <w:gridSpan w:val="2"/>
            <w:shd w:val="clear" w:color="auto" w:fill="auto"/>
            <w:vAlign w:val="bottom"/>
          </w:tcPr>
          <w:p w14:paraId="44408706" w14:textId="77777777" w:rsidR="00F44157" w:rsidRPr="00636F57" w:rsidRDefault="00333557" w:rsidP="00A7449E">
            <w:pPr>
              <w:rPr>
                <w:szCs w:val="22"/>
              </w:rPr>
            </w:pPr>
            <w:r w:rsidRPr="00636F57">
              <w:rPr>
                <w:szCs w:val="22"/>
              </w:rPr>
              <w:t>17</w:t>
            </w:r>
            <w:r w:rsidRPr="00636F57">
              <w:rPr>
                <w:szCs w:val="22"/>
                <w:vertAlign w:val="superscript"/>
              </w:rPr>
              <w:t>g</w:t>
            </w:r>
          </w:p>
        </w:tc>
        <w:tc>
          <w:tcPr>
            <w:tcW w:w="1085" w:type="pct"/>
            <w:shd w:val="clear" w:color="auto" w:fill="auto"/>
            <w:vAlign w:val="bottom"/>
          </w:tcPr>
          <w:p w14:paraId="7A88D80E" w14:textId="77777777" w:rsidR="00F44157" w:rsidRPr="00636F57" w:rsidRDefault="00333557" w:rsidP="00A7449E">
            <w:pPr>
              <w:rPr>
                <w:szCs w:val="22"/>
              </w:rPr>
            </w:pPr>
            <w:r w:rsidRPr="00636F57">
              <w:rPr>
                <w:szCs w:val="22"/>
              </w:rPr>
              <w:t>0,7</w:t>
            </w:r>
          </w:p>
        </w:tc>
      </w:tr>
      <w:tr w:rsidR="000836E7" w:rsidRPr="00636F57" w14:paraId="7897BFCD" w14:textId="77777777" w:rsidTr="00104CE3">
        <w:trPr>
          <w:trHeight w:val="227"/>
          <w:jc w:val="center"/>
        </w:trPr>
        <w:tc>
          <w:tcPr>
            <w:tcW w:w="757" w:type="pct"/>
            <w:tcBorders>
              <w:bottom w:val="single" w:sz="4" w:space="0" w:color="000000"/>
            </w:tcBorders>
            <w:shd w:val="clear" w:color="auto" w:fill="auto"/>
            <w:vAlign w:val="bottom"/>
          </w:tcPr>
          <w:p w14:paraId="0EB59DC7" w14:textId="77777777" w:rsidR="00F44157" w:rsidRPr="00636F57" w:rsidRDefault="00F44157" w:rsidP="00A7449E">
            <w:pPr>
              <w:rPr>
                <w:szCs w:val="22"/>
              </w:rPr>
            </w:pPr>
          </w:p>
        </w:tc>
        <w:tc>
          <w:tcPr>
            <w:tcW w:w="1543" w:type="pct"/>
            <w:tcBorders>
              <w:bottom w:val="single" w:sz="4" w:space="0" w:color="000000"/>
            </w:tcBorders>
            <w:shd w:val="clear" w:color="auto" w:fill="auto"/>
            <w:vAlign w:val="bottom"/>
          </w:tcPr>
          <w:p w14:paraId="68729E0D" w14:textId="77777777" w:rsidR="00F44157" w:rsidRPr="00636F57" w:rsidRDefault="00333557" w:rsidP="00A7449E">
            <w:pPr>
              <w:rPr>
                <w:szCs w:val="22"/>
              </w:rPr>
            </w:pPr>
            <w:r w:rsidRPr="00636F57">
              <w:rPr>
                <w:szCs w:val="22"/>
              </w:rPr>
              <w:t>El Salvador</w:t>
            </w:r>
          </w:p>
        </w:tc>
        <w:tc>
          <w:tcPr>
            <w:tcW w:w="646" w:type="pct"/>
            <w:tcBorders>
              <w:bottom w:val="single" w:sz="4" w:space="0" w:color="000000"/>
            </w:tcBorders>
            <w:shd w:val="clear" w:color="auto" w:fill="auto"/>
            <w:vAlign w:val="bottom"/>
          </w:tcPr>
          <w:p w14:paraId="102652DC" w14:textId="77777777" w:rsidR="00F44157" w:rsidRPr="00636F57" w:rsidRDefault="00333557" w:rsidP="00A7449E">
            <w:pPr>
              <w:rPr>
                <w:szCs w:val="22"/>
              </w:rPr>
            </w:pPr>
            <w:r w:rsidRPr="00636F57">
              <w:rPr>
                <w:szCs w:val="22"/>
              </w:rPr>
              <w:t>2,104</w:t>
            </w:r>
          </w:p>
        </w:tc>
        <w:tc>
          <w:tcPr>
            <w:tcW w:w="969" w:type="pct"/>
            <w:gridSpan w:val="2"/>
            <w:tcBorders>
              <w:bottom w:val="single" w:sz="4" w:space="0" w:color="000000"/>
            </w:tcBorders>
            <w:shd w:val="clear" w:color="auto" w:fill="auto"/>
            <w:vAlign w:val="bottom"/>
          </w:tcPr>
          <w:p w14:paraId="2945783F" w14:textId="77777777" w:rsidR="00F44157" w:rsidRPr="00636F57" w:rsidRDefault="00F44157" w:rsidP="00A7449E">
            <w:pPr>
              <w:rPr>
                <w:szCs w:val="22"/>
              </w:rPr>
            </w:pPr>
          </w:p>
        </w:tc>
        <w:tc>
          <w:tcPr>
            <w:tcW w:w="1085" w:type="pct"/>
            <w:tcBorders>
              <w:bottom w:val="single" w:sz="4" w:space="0" w:color="000000"/>
            </w:tcBorders>
            <w:shd w:val="clear" w:color="auto" w:fill="auto"/>
            <w:vAlign w:val="bottom"/>
          </w:tcPr>
          <w:p w14:paraId="6922D6CF" w14:textId="77777777" w:rsidR="00F44157" w:rsidRPr="00636F57" w:rsidRDefault="00F44157" w:rsidP="00A7449E">
            <w:pPr>
              <w:rPr>
                <w:szCs w:val="22"/>
              </w:rPr>
            </w:pPr>
          </w:p>
        </w:tc>
      </w:tr>
      <w:tr w:rsidR="000836E7" w:rsidRPr="00636F57" w14:paraId="5695C4D4" w14:textId="77777777" w:rsidTr="00104CE3">
        <w:trPr>
          <w:trHeight w:val="227"/>
          <w:jc w:val="center"/>
        </w:trPr>
        <w:tc>
          <w:tcPr>
            <w:tcW w:w="757" w:type="pct"/>
            <w:shd w:val="clear" w:color="auto" w:fill="BFBFBF" w:themeFill="background1" w:themeFillShade="BF"/>
            <w:vAlign w:val="bottom"/>
          </w:tcPr>
          <w:p w14:paraId="70A61E4B" w14:textId="77777777" w:rsidR="00F44157" w:rsidRPr="00636F57" w:rsidRDefault="00333557" w:rsidP="00A7449E">
            <w:pPr>
              <w:rPr>
                <w:szCs w:val="22"/>
              </w:rPr>
            </w:pPr>
            <w:r w:rsidRPr="00636F57">
              <w:rPr>
                <w:szCs w:val="22"/>
              </w:rPr>
              <w:t>South America</w:t>
            </w:r>
          </w:p>
        </w:tc>
        <w:tc>
          <w:tcPr>
            <w:tcW w:w="1543" w:type="pct"/>
            <w:shd w:val="clear" w:color="auto" w:fill="BFBFBF" w:themeFill="background1" w:themeFillShade="BF"/>
            <w:vAlign w:val="bottom"/>
          </w:tcPr>
          <w:p w14:paraId="2FE52925" w14:textId="77777777" w:rsidR="00F44157" w:rsidRPr="00636F57" w:rsidRDefault="00F44157" w:rsidP="00A7449E">
            <w:pPr>
              <w:rPr>
                <w:szCs w:val="22"/>
              </w:rPr>
            </w:pPr>
          </w:p>
        </w:tc>
        <w:tc>
          <w:tcPr>
            <w:tcW w:w="646" w:type="pct"/>
            <w:shd w:val="clear" w:color="auto" w:fill="BFBFBF" w:themeFill="background1" w:themeFillShade="BF"/>
            <w:vAlign w:val="bottom"/>
          </w:tcPr>
          <w:p w14:paraId="05683AB3" w14:textId="77777777" w:rsidR="00F44157" w:rsidRPr="00636F57" w:rsidRDefault="00333557" w:rsidP="00A7449E">
            <w:pPr>
              <w:rPr>
                <w:szCs w:val="22"/>
              </w:rPr>
            </w:pPr>
            <w:r w:rsidRPr="00636F57">
              <w:rPr>
                <w:szCs w:val="22"/>
              </w:rPr>
              <w:t>1780,326</w:t>
            </w:r>
          </w:p>
        </w:tc>
        <w:tc>
          <w:tcPr>
            <w:tcW w:w="969" w:type="pct"/>
            <w:gridSpan w:val="2"/>
            <w:shd w:val="clear" w:color="auto" w:fill="BFBFBF" w:themeFill="background1" w:themeFillShade="BF"/>
            <w:vAlign w:val="bottom"/>
          </w:tcPr>
          <w:p w14:paraId="0AA098BB" w14:textId="77777777" w:rsidR="00F44157" w:rsidRPr="00636F57" w:rsidRDefault="00333557" w:rsidP="00A7449E">
            <w:pPr>
              <w:rPr>
                <w:szCs w:val="22"/>
              </w:rPr>
            </w:pPr>
            <w:r w:rsidRPr="00636F57">
              <w:rPr>
                <w:szCs w:val="22"/>
              </w:rPr>
              <w:t>197,813</w:t>
            </w:r>
          </w:p>
        </w:tc>
        <w:tc>
          <w:tcPr>
            <w:tcW w:w="1085" w:type="pct"/>
            <w:shd w:val="clear" w:color="auto" w:fill="BFBFBF" w:themeFill="background1" w:themeFillShade="BF"/>
            <w:vAlign w:val="bottom"/>
          </w:tcPr>
          <w:p w14:paraId="4E0FFE26" w14:textId="77777777" w:rsidR="00F44157" w:rsidRPr="00636F57" w:rsidRDefault="00333557" w:rsidP="00A7449E">
            <w:pPr>
              <w:rPr>
                <w:szCs w:val="22"/>
              </w:rPr>
            </w:pPr>
            <w:r w:rsidRPr="00636F57">
              <w:rPr>
                <w:szCs w:val="22"/>
              </w:rPr>
              <w:t>11,1</w:t>
            </w:r>
          </w:p>
        </w:tc>
      </w:tr>
      <w:tr w:rsidR="000836E7" w:rsidRPr="00636F57" w14:paraId="0AA736F3" w14:textId="77777777" w:rsidTr="000836E7">
        <w:trPr>
          <w:trHeight w:val="227"/>
          <w:jc w:val="center"/>
        </w:trPr>
        <w:tc>
          <w:tcPr>
            <w:tcW w:w="757" w:type="pct"/>
            <w:shd w:val="clear" w:color="auto" w:fill="auto"/>
            <w:vAlign w:val="bottom"/>
          </w:tcPr>
          <w:p w14:paraId="4AACEEBA" w14:textId="77777777" w:rsidR="00F44157" w:rsidRPr="00636F57" w:rsidRDefault="00F44157" w:rsidP="00A7449E">
            <w:pPr>
              <w:rPr>
                <w:szCs w:val="22"/>
              </w:rPr>
            </w:pPr>
          </w:p>
        </w:tc>
        <w:tc>
          <w:tcPr>
            <w:tcW w:w="1543" w:type="pct"/>
            <w:shd w:val="clear" w:color="auto" w:fill="auto"/>
            <w:vAlign w:val="bottom"/>
          </w:tcPr>
          <w:p w14:paraId="674F3D1E" w14:textId="77777777" w:rsidR="00F44157" w:rsidRPr="00636F57" w:rsidRDefault="00333557" w:rsidP="00A7449E">
            <w:pPr>
              <w:rPr>
                <w:szCs w:val="22"/>
              </w:rPr>
            </w:pPr>
            <w:r w:rsidRPr="00636F57">
              <w:rPr>
                <w:szCs w:val="22"/>
              </w:rPr>
              <w:t>Argentina</w:t>
            </w:r>
          </w:p>
        </w:tc>
        <w:tc>
          <w:tcPr>
            <w:tcW w:w="646" w:type="pct"/>
            <w:shd w:val="clear" w:color="auto" w:fill="auto"/>
            <w:vAlign w:val="bottom"/>
          </w:tcPr>
          <w:p w14:paraId="65E8A926" w14:textId="77777777" w:rsidR="00F44157" w:rsidRPr="00636F57" w:rsidRDefault="00333557" w:rsidP="00A7449E">
            <w:pPr>
              <w:rPr>
                <w:szCs w:val="22"/>
              </w:rPr>
            </w:pPr>
            <w:r w:rsidRPr="00636F57">
              <w:rPr>
                <w:szCs w:val="22"/>
              </w:rPr>
              <w:t>279,181</w:t>
            </w:r>
          </w:p>
        </w:tc>
        <w:tc>
          <w:tcPr>
            <w:tcW w:w="969" w:type="pct"/>
            <w:gridSpan w:val="2"/>
            <w:shd w:val="clear" w:color="auto" w:fill="auto"/>
            <w:vAlign w:val="bottom"/>
          </w:tcPr>
          <w:p w14:paraId="29ADFD4F" w14:textId="77777777" w:rsidR="00F44157" w:rsidRPr="00636F57" w:rsidRDefault="00333557" w:rsidP="00A7449E">
            <w:pPr>
              <w:rPr>
                <w:szCs w:val="22"/>
              </w:rPr>
            </w:pPr>
            <w:r w:rsidRPr="00636F57">
              <w:rPr>
                <w:szCs w:val="22"/>
              </w:rPr>
              <w:t>Nd</w:t>
            </w:r>
          </w:p>
        </w:tc>
        <w:tc>
          <w:tcPr>
            <w:tcW w:w="1085" w:type="pct"/>
            <w:shd w:val="clear" w:color="auto" w:fill="auto"/>
            <w:vAlign w:val="bottom"/>
          </w:tcPr>
          <w:p w14:paraId="12DB85C3" w14:textId="77777777" w:rsidR="00F44157" w:rsidRPr="00636F57" w:rsidRDefault="00F44157" w:rsidP="00A7449E">
            <w:pPr>
              <w:rPr>
                <w:szCs w:val="22"/>
              </w:rPr>
            </w:pPr>
          </w:p>
        </w:tc>
      </w:tr>
      <w:tr w:rsidR="000836E7" w:rsidRPr="00636F57" w14:paraId="2130C7C5" w14:textId="77777777" w:rsidTr="000836E7">
        <w:trPr>
          <w:trHeight w:val="227"/>
          <w:jc w:val="center"/>
        </w:trPr>
        <w:tc>
          <w:tcPr>
            <w:tcW w:w="757" w:type="pct"/>
            <w:shd w:val="clear" w:color="auto" w:fill="auto"/>
            <w:vAlign w:val="bottom"/>
          </w:tcPr>
          <w:p w14:paraId="4BF3C917" w14:textId="77777777" w:rsidR="00F44157" w:rsidRPr="00636F57" w:rsidRDefault="00F44157" w:rsidP="00A7449E">
            <w:pPr>
              <w:rPr>
                <w:szCs w:val="22"/>
              </w:rPr>
            </w:pPr>
          </w:p>
        </w:tc>
        <w:tc>
          <w:tcPr>
            <w:tcW w:w="1543" w:type="pct"/>
            <w:shd w:val="clear" w:color="auto" w:fill="auto"/>
            <w:vAlign w:val="bottom"/>
          </w:tcPr>
          <w:p w14:paraId="627655C3" w14:textId="77777777" w:rsidR="00F44157" w:rsidRPr="00636F57" w:rsidRDefault="00333557" w:rsidP="00A7449E">
            <w:pPr>
              <w:rPr>
                <w:szCs w:val="22"/>
              </w:rPr>
            </w:pPr>
            <w:r w:rsidRPr="00636F57">
              <w:rPr>
                <w:szCs w:val="22"/>
              </w:rPr>
              <w:t>Bolivia</w:t>
            </w:r>
          </w:p>
        </w:tc>
        <w:tc>
          <w:tcPr>
            <w:tcW w:w="646" w:type="pct"/>
            <w:shd w:val="clear" w:color="auto" w:fill="auto"/>
            <w:vAlign w:val="bottom"/>
          </w:tcPr>
          <w:p w14:paraId="70C514F2" w14:textId="77777777" w:rsidR="00F44157" w:rsidRPr="00636F57" w:rsidRDefault="00333557" w:rsidP="00A7449E">
            <w:pPr>
              <w:rPr>
                <w:szCs w:val="22"/>
              </w:rPr>
            </w:pPr>
            <w:r w:rsidRPr="00636F57">
              <w:rPr>
                <w:szCs w:val="22"/>
              </w:rPr>
              <w:t>109,858</w:t>
            </w:r>
          </w:p>
        </w:tc>
        <w:tc>
          <w:tcPr>
            <w:tcW w:w="969" w:type="pct"/>
            <w:gridSpan w:val="2"/>
            <w:shd w:val="clear" w:color="auto" w:fill="auto"/>
            <w:vAlign w:val="bottom"/>
          </w:tcPr>
          <w:p w14:paraId="53C17276" w14:textId="77777777" w:rsidR="00F44157" w:rsidRPr="00636F57" w:rsidRDefault="00333557" w:rsidP="00A7449E">
            <w:pPr>
              <w:rPr>
                <w:szCs w:val="22"/>
              </w:rPr>
            </w:pPr>
            <w:r w:rsidRPr="00636F57">
              <w:rPr>
                <w:szCs w:val="22"/>
              </w:rPr>
              <w:t>20,000</w:t>
            </w:r>
            <w:r w:rsidRPr="00636F57">
              <w:rPr>
                <w:szCs w:val="22"/>
                <w:vertAlign w:val="superscript"/>
              </w:rPr>
              <w:t>f</w:t>
            </w:r>
          </w:p>
        </w:tc>
        <w:tc>
          <w:tcPr>
            <w:tcW w:w="1085" w:type="pct"/>
            <w:shd w:val="clear" w:color="auto" w:fill="auto"/>
            <w:vAlign w:val="bottom"/>
          </w:tcPr>
          <w:p w14:paraId="3F50FE18" w14:textId="77777777" w:rsidR="00F44157" w:rsidRPr="00636F57" w:rsidRDefault="00333557" w:rsidP="00A7449E">
            <w:pPr>
              <w:rPr>
                <w:szCs w:val="22"/>
              </w:rPr>
            </w:pPr>
            <w:r w:rsidRPr="00636F57">
              <w:rPr>
                <w:szCs w:val="22"/>
              </w:rPr>
              <w:t>18,2</w:t>
            </w:r>
          </w:p>
        </w:tc>
      </w:tr>
      <w:tr w:rsidR="000836E7" w:rsidRPr="00636F57" w14:paraId="6F4E5D4E" w14:textId="77777777" w:rsidTr="000836E7">
        <w:trPr>
          <w:trHeight w:val="227"/>
          <w:jc w:val="center"/>
        </w:trPr>
        <w:tc>
          <w:tcPr>
            <w:tcW w:w="757" w:type="pct"/>
            <w:shd w:val="clear" w:color="auto" w:fill="auto"/>
            <w:vAlign w:val="bottom"/>
          </w:tcPr>
          <w:p w14:paraId="676C9D5E" w14:textId="77777777" w:rsidR="00F44157" w:rsidRPr="00636F57" w:rsidRDefault="00F44157" w:rsidP="00A7449E">
            <w:pPr>
              <w:rPr>
                <w:szCs w:val="22"/>
              </w:rPr>
            </w:pPr>
          </w:p>
        </w:tc>
        <w:tc>
          <w:tcPr>
            <w:tcW w:w="1543" w:type="pct"/>
            <w:shd w:val="clear" w:color="auto" w:fill="auto"/>
            <w:vAlign w:val="bottom"/>
          </w:tcPr>
          <w:p w14:paraId="4CDDFFF5" w14:textId="77777777" w:rsidR="00F44157" w:rsidRPr="00636F57" w:rsidRDefault="00333557" w:rsidP="00A7449E">
            <w:pPr>
              <w:rPr>
                <w:szCs w:val="22"/>
              </w:rPr>
            </w:pPr>
            <w:r w:rsidRPr="00636F57">
              <w:rPr>
                <w:szCs w:val="22"/>
              </w:rPr>
              <w:t>Brazil</w:t>
            </w:r>
          </w:p>
        </w:tc>
        <w:tc>
          <w:tcPr>
            <w:tcW w:w="646" w:type="pct"/>
            <w:shd w:val="clear" w:color="auto" w:fill="auto"/>
            <w:vAlign w:val="bottom"/>
          </w:tcPr>
          <w:p w14:paraId="7BB1278D" w14:textId="77777777" w:rsidR="00F44157" w:rsidRPr="00636F57" w:rsidRDefault="00333557" w:rsidP="00A7449E">
            <w:pPr>
              <w:rPr>
                <w:szCs w:val="22"/>
              </w:rPr>
            </w:pPr>
            <w:r w:rsidRPr="00636F57">
              <w:rPr>
                <w:szCs w:val="22"/>
              </w:rPr>
              <w:t>851,577</w:t>
            </w:r>
          </w:p>
        </w:tc>
        <w:tc>
          <w:tcPr>
            <w:tcW w:w="969" w:type="pct"/>
            <w:gridSpan w:val="2"/>
            <w:shd w:val="clear" w:color="auto" w:fill="auto"/>
            <w:vAlign w:val="bottom"/>
          </w:tcPr>
          <w:p w14:paraId="56474C59" w14:textId="77777777" w:rsidR="00F44157" w:rsidRPr="00636F57" w:rsidRDefault="00333557" w:rsidP="00A7449E">
            <w:pPr>
              <w:ind w:left="1416" w:hanging="1416"/>
              <w:rPr>
                <w:szCs w:val="22"/>
              </w:rPr>
            </w:pPr>
            <w:r w:rsidRPr="00636F57">
              <w:rPr>
                <w:szCs w:val="22"/>
              </w:rPr>
              <w:t>117,310</w:t>
            </w:r>
            <w:r w:rsidRPr="00636F57">
              <w:rPr>
                <w:szCs w:val="22"/>
                <w:vertAlign w:val="superscript"/>
              </w:rPr>
              <w:t xml:space="preserve"> h</w:t>
            </w:r>
            <w:r w:rsidRPr="00636F57">
              <w:rPr>
                <w:szCs w:val="22"/>
              </w:rPr>
              <w:t xml:space="preserve"> </w:t>
            </w:r>
            <w:r w:rsidRPr="00636F57">
              <w:rPr>
                <w:szCs w:val="22"/>
                <w:vertAlign w:val="superscript"/>
              </w:rPr>
              <w:t xml:space="preserve"> </w:t>
            </w:r>
          </w:p>
        </w:tc>
        <w:tc>
          <w:tcPr>
            <w:tcW w:w="1085" w:type="pct"/>
            <w:shd w:val="clear" w:color="auto" w:fill="auto"/>
            <w:vAlign w:val="bottom"/>
          </w:tcPr>
          <w:p w14:paraId="0848E38D" w14:textId="77777777" w:rsidR="00F44157" w:rsidRPr="00636F57" w:rsidRDefault="00333557" w:rsidP="00A7449E">
            <w:pPr>
              <w:rPr>
                <w:szCs w:val="22"/>
              </w:rPr>
            </w:pPr>
            <w:r w:rsidRPr="00636F57">
              <w:rPr>
                <w:szCs w:val="22"/>
              </w:rPr>
              <w:t>13,8</w:t>
            </w:r>
          </w:p>
        </w:tc>
      </w:tr>
      <w:tr w:rsidR="000836E7" w:rsidRPr="00636F57" w14:paraId="22A8F844" w14:textId="77777777" w:rsidTr="000836E7">
        <w:trPr>
          <w:trHeight w:val="227"/>
          <w:jc w:val="center"/>
        </w:trPr>
        <w:tc>
          <w:tcPr>
            <w:tcW w:w="757" w:type="pct"/>
            <w:shd w:val="clear" w:color="auto" w:fill="auto"/>
            <w:vAlign w:val="bottom"/>
          </w:tcPr>
          <w:p w14:paraId="2C5E654F" w14:textId="77777777" w:rsidR="00F44157" w:rsidRPr="00636F57" w:rsidRDefault="00F44157" w:rsidP="00A7449E">
            <w:pPr>
              <w:rPr>
                <w:szCs w:val="22"/>
              </w:rPr>
            </w:pPr>
          </w:p>
        </w:tc>
        <w:tc>
          <w:tcPr>
            <w:tcW w:w="1543" w:type="pct"/>
            <w:shd w:val="clear" w:color="auto" w:fill="auto"/>
            <w:vAlign w:val="bottom"/>
          </w:tcPr>
          <w:p w14:paraId="3C6157CC" w14:textId="77777777" w:rsidR="00F44157" w:rsidRPr="00636F57" w:rsidRDefault="00333557" w:rsidP="00A7449E">
            <w:pPr>
              <w:rPr>
                <w:szCs w:val="22"/>
              </w:rPr>
            </w:pPr>
            <w:r w:rsidRPr="00636F57">
              <w:rPr>
                <w:szCs w:val="22"/>
              </w:rPr>
              <w:t>Chile</w:t>
            </w:r>
          </w:p>
        </w:tc>
        <w:tc>
          <w:tcPr>
            <w:tcW w:w="646" w:type="pct"/>
            <w:shd w:val="clear" w:color="auto" w:fill="auto"/>
            <w:vAlign w:val="bottom"/>
          </w:tcPr>
          <w:p w14:paraId="7D720D9D" w14:textId="77777777" w:rsidR="00F44157" w:rsidRPr="00636F57" w:rsidRDefault="00333557" w:rsidP="00A7449E">
            <w:pPr>
              <w:rPr>
                <w:szCs w:val="22"/>
              </w:rPr>
            </w:pPr>
            <w:r w:rsidRPr="00636F57">
              <w:rPr>
                <w:szCs w:val="22"/>
              </w:rPr>
              <w:t>75,610</w:t>
            </w:r>
          </w:p>
        </w:tc>
        <w:tc>
          <w:tcPr>
            <w:tcW w:w="969" w:type="pct"/>
            <w:gridSpan w:val="2"/>
            <w:shd w:val="clear" w:color="auto" w:fill="auto"/>
            <w:vAlign w:val="bottom"/>
          </w:tcPr>
          <w:p w14:paraId="1B813E71" w14:textId="77777777" w:rsidR="00F44157" w:rsidRPr="00636F57" w:rsidRDefault="00333557" w:rsidP="00A7449E">
            <w:pPr>
              <w:rPr>
                <w:szCs w:val="22"/>
              </w:rPr>
            </w:pPr>
            <w:r w:rsidRPr="00636F57">
              <w:rPr>
                <w:szCs w:val="22"/>
              </w:rPr>
              <w:t>328</w:t>
            </w:r>
            <w:r w:rsidRPr="00636F57">
              <w:rPr>
                <w:szCs w:val="22"/>
                <w:vertAlign w:val="superscript"/>
              </w:rPr>
              <w:t>i</w:t>
            </w:r>
          </w:p>
        </w:tc>
        <w:tc>
          <w:tcPr>
            <w:tcW w:w="1085" w:type="pct"/>
            <w:shd w:val="clear" w:color="auto" w:fill="auto"/>
            <w:vAlign w:val="bottom"/>
          </w:tcPr>
          <w:p w14:paraId="48453903" w14:textId="77777777" w:rsidR="00F44157" w:rsidRPr="00636F57" w:rsidRDefault="00333557" w:rsidP="00A7449E">
            <w:pPr>
              <w:rPr>
                <w:szCs w:val="22"/>
              </w:rPr>
            </w:pPr>
            <w:r w:rsidRPr="00636F57">
              <w:rPr>
                <w:szCs w:val="22"/>
              </w:rPr>
              <w:t>0,4</w:t>
            </w:r>
          </w:p>
        </w:tc>
      </w:tr>
      <w:tr w:rsidR="000836E7" w:rsidRPr="00636F57" w14:paraId="0316C491" w14:textId="77777777" w:rsidTr="000836E7">
        <w:trPr>
          <w:trHeight w:val="227"/>
          <w:jc w:val="center"/>
        </w:trPr>
        <w:tc>
          <w:tcPr>
            <w:tcW w:w="757" w:type="pct"/>
            <w:shd w:val="clear" w:color="auto" w:fill="auto"/>
            <w:vAlign w:val="bottom"/>
          </w:tcPr>
          <w:p w14:paraId="474909D1" w14:textId="77777777" w:rsidR="00F44157" w:rsidRPr="00636F57" w:rsidRDefault="00F44157" w:rsidP="00A7449E">
            <w:pPr>
              <w:rPr>
                <w:szCs w:val="22"/>
              </w:rPr>
            </w:pPr>
          </w:p>
        </w:tc>
        <w:tc>
          <w:tcPr>
            <w:tcW w:w="1543" w:type="pct"/>
            <w:shd w:val="clear" w:color="auto" w:fill="auto"/>
            <w:vAlign w:val="bottom"/>
          </w:tcPr>
          <w:p w14:paraId="580A6AD8" w14:textId="77777777" w:rsidR="00F44157" w:rsidRPr="00636F57" w:rsidRDefault="00333557" w:rsidP="00A7449E">
            <w:pPr>
              <w:rPr>
                <w:szCs w:val="22"/>
              </w:rPr>
            </w:pPr>
            <w:r w:rsidRPr="00636F57">
              <w:rPr>
                <w:szCs w:val="22"/>
              </w:rPr>
              <w:t>Colombia</w:t>
            </w:r>
          </w:p>
        </w:tc>
        <w:tc>
          <w:tcPr>
            <w:tcW w:w="646" w:type="pct"/>
            <w:shd w:val="clear" w:color="auto" w:fill="auto"/>
            <w:vAlign w:val="bottom"/>
          </w:tcPr>
          <w:p w14:paraId="22B1CB18" w14:textId="77777777" w:rsidR="00F44157" w:rsidRPr="00636F57" w:rsidRDefault="00333557" w:rsidP="00A7449E">
            <w:pPr>
              <w:rPr>
                <w:szCs w:val="22"/>
              </w:rPr>
            </w:pPr>
            <w:r w:rsidRPr="00636F57">
              <w:rPr>
                <w:szCs w:val="22"/>
              </w:rPr>
              <w:t>114,175</w:t>
            </w:r>
          </w:p>
        </w:tc>
        <w:tc>
          <w:tcPr>
            <w:tcW w:w="969" w:type="pct"/>
            <w:gridSpan w:val="2"/>
            <w:shd w:val="clear" w:color="auto" w:fill="auto"/>
            <w:vAlign w:val="bottom"/>
          </w:tcPr>
          <w:p w14:paraId="19C91D68" w14:textId="77777777" w:rsidR="00F44157" w:rsidRPr="00636F57" w:rsidRDefault="00333557" w:rsidP="00A7449E">
            <w:pPr>
              <w:rPr>
                <w:szCs w:val="22"/>
              </w:rPr>
            </w:pPr>
            <w:r w:rsidRPr="00636F57">
              <w:rPr>
                <w:szCs w:val="22"/>
              </w:rPr>
              <w:t>36,337</w:t>
            </w:r>
            <w:r w:rsidRPr="00636F57">
              <w:rPr>
                <w:szCs w:val="22"/>
                <w:vertAlign w:val="superscript"/>
              </w:rPr>
              <w:t>J</w:t>
            </w:r>
          </w:p>
        </w:tc>
        <w:tc>
          <w:tcPr>
            <w:tcW w:w="1085" w:type="pct"/>
            <w:shd w:val="clear" w:color="auto" w:fill="auto"/>
            <w:vAlign w:val="bottom"/>
          </w:tcPr>
          <w:p w14:paraId="5379CF69" w14:textId="77777777" w:rsidR="00F44157" w:rsidRPr="00636F57" w:rsidRDefault="00333557" w:rsidP="00A7449E">
            <w:pPr>
              <w:rPr>
                <w:szCs w:val="22"/>
              </w:rPr>
            </w:pPr>
            <w:r w:rsidRPr="00636F57">
              <w:rPr>
                <w:szCs w:val="22"/>
              </w:rPr>
              <w:t>31,8</w:t>
            </w:r>
          </w:p>
        </w:tc>
      </w:tr>
      <w:tr w:rsidR="000836E7" w:rsidRPr="00636F57" w14:paraId="4E014DFE" w14:textId="77777777" w:rsidTr="000836E7">
        <w:trPr>
          <w:trHeight w:val="227"/>
          <w:jc w:val="center"/>
        </w:trPr>
        <w:tc>
          <w:tcPr>
            <w:tcW w:w="757" w:type="pct"/>
            <w:shd w:val="clear" w:color="auto" w:fill="auto"/>
            <w:vAlign w:val="bottom"/>
          </w:tcPr>
          <w:p w14:paraId="1B7FA4DA" w14:textId="77777777" w:rsidR="00F44157" w:rsidRPr="00636F57" w:rsidRDefault="00F44157" w:rsidP="00A7449E">
            <w:pPr>
              <w:rPr>
                <w:szCs w:val="22"/>
              </w:rPr>
            </w:pPr>
          </w:p>
        </w:tc>
        <w:tc>
          <w:tcPr>
            <w:tcW w:w="1543" w:type="pct"/>
            <w:shd w:val="clear" w:color="auto" w:fill="auto"/>
            <w:vAlign w:val="bottom"/>
          </w:tcPr>
          <w:p w14:paraId="0AE3FF31" w14:textId="77777777" w:rsidR="00F44157" w:rsidRPr="00636F57" w:rsidRDefault="00333557" w:rsidP="00A7449E">
            <w:pPr>
              <w:rPr>
                <w:szCs w:val="22"/>
              </w:rPr>
            </w:pPr>
            <w:r w:rsidRPr="00636F57">
              <w:rPr>
                <w:szCs w:val="22"/>
              </w:rPr>
              <w:t>Ecuador</w:t>
            </w:r>
          </w:p>
        </w:tc>
        <w:tc>
          <w:tcPr>
            <w:tcW w:w="646" w:type="pct"/>
            <w:shd w:val="clear" w:color="auto" w:fill="auto"/>
            <w:vAlign w:val="bottom"/>
          </w:tcPr>
          <w:p w14:paraId="67C1A38F" w14:textId="77777777" w:rsidR="00F44157" w:rsidRPr="00636F57" w:rsidRDefault="00333557" w:rsidP="00A7449E">
            <w:pPr>
              <w:rPr>
                <w:szCs w:val="22"/>
              </w:rPr>
            </w:pPr>
            <w:r w:rsidRPr="00636F57">
              <w:rPr>
                <w:szCs w:val="22"/>
              </w:rPr>
              <w:t>25,637</w:t>
            </w:r>
          </w:p>
        </w:tc>
        <w:tc>
          <w:tcPr>
            <w:tcW w:w="969" w:type="pct"/>
            <w:gridSpan w:val="2"/>
            <w:shd w:val="clear" w:color="auto" w:fill="auto"/>
            <w:vAlign w:val="bottom"/>
          </w:tcPr>
          <w:p w14:paraId="0AAC9DF6" w14:textId="77777777" w:rsidR="00F44157" w:rsidRPr="00636F57" w:rsidRDefault="00333557" w:rsidP="00A7449E">
            <w:pPr>
              <w:rPr>
                <w:szCs w:val="22"/>
              </w:rPr>
            </w:pPr>
            <w:r w:rsidRPr="00636F57">
              <w:rPr>
                <w:szCs w:val="22"/>
              </w:rPr>
              <w:t>6,830</w:t>
            </w:r>
            <w:r w:rsidRPr="00636F57">
              <w:rPr>
                <w:szCs w:val="22"/>
                <w:vertAlign w:val="superscript"/>
              </w:rPr>
              <w:t>e</w:t>
            </w:r>
          </w:p>
        </w:tc>
        <w:tc>
          <w:tcPr>
            <w:tcW w:w="1085" w:type="pct"/>
            <w:shd w:val="clear" w:color="auto" w:fill="auto"/>
            <w:vAlign w:val="bottom"/>
          </w:tcPr>
          <w:p w14:paraId="1B34A742" w14:textId="77777777" w:rsidR="00F44157" w:rsidRPr="00636F57" w:rsidRDefault="00333557" w:rsidP="00A7449E">
            <w:pPr>
              <w:rPr>
                <w:szCs w:val="22"/>
              </w:rPr>
            </w:pPr>
            <w:r w:rsidRPr="00636F57">
              <w:rPr>
                <w:szCs w:val="22"/>
              </w:rPr>
              <w:t>26,6</w:t>
            </w:r>
          </w:p>
        </w:tc>
      </w:tr>
      <w:tr w:rsidR="000836E7" w:rsidRPr="00636F57" w14:paraId="50B05D5C" w14:textId="77777777" w:rsidTr="000836E7">
        <w:trPr>
          <w:trHeight w:val="227"/>
          <w:jc w:val="center"/>
        </w:trPr>
        <w:tc>
          <w:tcPr>
            <w:tcW w:w="757" w:type="pct"/>
            <w:shd w:val="clear" w:color="auto" w:fill="auto"/>
            <w:vAlign w:val="bottom"/>
          </w:tcPr>
          <w:p w14:paraId="2319D9E6" w14:textId="77777777" w:rsidR="00F44157" w:rsidRPr="00636F57" w:rsidRDefault="00F44157" w:rsidP="00A7449E">
            <w:pPr>
              <w:rPr>
                <w:szCs w:val="22"/>
              </w:rPr>
            </w:pPr>
          </w:p>
        </w:tc>
        <w:tc>
          <w:tcPr>
            <w:tcW w:w="1543" w:type="pct"/>
            <w:shd w:val="clear" w:color="auto" w:fill="auto"/>
            <w:vAlign w:val="bottom"/>
          </w:tcPr>
          <w:p w14:paraId="31C9111E" w14:textId="77777777" w:rsidR="00F44157" w:rsidRPr="00636F57" w:rsidRDefault="00333557" w:rsidP="00A7449E">
            <w:pPr>
              <w:rPr>
                <w:szCs w:val="22"/>
              </w:rPr>
            </w:pPr>
            <w:r w:rsidRPr="00636F57">
              <w:rPr>
                <w:szCs w:val="22"/>
              </w:rPr>
              <w:t>Guyana</w:t>
            </w:r>
          </w:p>
        </w:tc>
        <w:tc>
          <w:tcPr>
            <w:tcW w:w="646" w:type="pct"/>
            <w:shd w:val="clear" w:color="auto" w:fill="auto"/>
            <w:vAlign w:val="bottom"/>
          </w:tcPr>
          <w:p w14:paraId="09A26718" w14:textId="77777777" w:rsidR="00F44157" w:rsidRPr="00636F57" w:rsidRDefault="00333557" w:rsidP="00A7449E">
            <w:pPr>
              <w:rPr>
                <w:szCs w:val="22"/>
              </w:rPr>
            </w:pPr>
            <w:r w:rsidRPr="00636F57">
              <w:rPr>
                <w:szCs w:val="22"/>
              </w:rPr>
              <w:t>21,497</w:t>
            </w:r>
          </w:p>
        </w:tc>
        <w:tc>
          <w:tcPr>
            <w:tcW w:w="969" w:type="pct"/>
            <w:gridSpan w:val="2"/>
            <w:shd w:val="clear" w:color="auto" w:fill="auto"/>
            <w:vAlign w:val="bottom"/>
          </w:tcPr>
          <w:p w14:paraId="3659CA3A" w14:textId="77777777" w:rsidR="00F44157" w:rsidRPr="00636F57" w:rsidRDefault="00333557" w:rsidP="00A7449E">
            <w:pPr>
              <w:rPr>
                <w:szCs w:val="22"/>
              </w:rPr>
            </w:pPr>
            <w:r w:rsidRPr="00636F57">
              <w:rPr>
                <w:szCs w:val="22"/>
              </w:rPr>
              <w:t>3,108</w:t>
            </w:r>
            <w:r w:rsidRPr="00636F57">
              <w:rPr>
                <w:szCs w:val="22"/>
                <w:vertAlign w:val="superscript"/>
              </w:rPr>
              <w:t>k</w:t>
            </w:r>
          </w:p>
        </w:tc>
        <w:tc>
          <w:tcPr>
            <w:tcW w:w="1085" w:type="pct"/>
            <w:shd w:val="clear" w:color="auto" w:fill="auto"/>
            <w:vAlign w:val="bottom"/>
          </w:tcPr>
          <w:p w14:paraId="2DAFE9FD" w14:textId="77777777" w:rsidR="00F44157" w:rsidRPr="00636F57" w:rsidRDefault="00333557" w:rsidP="00A7449E">
            <w:pPr>
              <w:rPr>
                <w:szCs w:val="22"/>
              </w:rPr>
            </w:pPr>
            <w:r w:rsidRPr="00636F57">
              <w:rPr>
                <w:szCs w:val="22"/>
              </w:rPr>
              <w:t>14,5</w:t>
            </w:r>
          </w:p>
        </w:tc>
      </w:tr>
      <w:tr w:rsidR="000836E7" w:rsidRPr="00636F57" w14:paraId="39972B85" w14:textId="77777777" w:rsidTr="000836E7">
        <w:trPr>
          <w:trHeight w:val="227"/>
          <w:jc w:val="center"/>
        </w:trPr>
        <w:tc>
          <w:tcPr>
            <w:tcW w:w="757" w:type="pct"/>
            <w:shd w:val="clear" w:color="auto" w:fill="auto"/>
            <w:vAlign w:val="bottom"/>
          </w:tcPr>
          <w:p w14:paraId="18FA7315" w14:textId="77777777" w:rsidR="00F44157" w:rsidRPr="00636F57" w:rsidRDefault="00F44157" w:rsidP="00A7449E">
            <w:pPr>
              <w:rPr>
                <w:szCs w:val="22"/>
              </w:rPr>
            </w:pPr>
          </w:p>
        </w:tc>
        <w:tc>
          <w:tcPr>
            <w:tcW w:w="1543" w:type="pct"/>
            <w:shd w:val="clear" w:color="auto" w:fill="auto"/>
            <w:vAlign w:val="bottom"/>
          </w:tcPr>
          <w:p w14:paraId="5B1DAC3E" w14:textId="77777777" w:rsidR="00F44157" w:rsidRPr="00636F57" w:rsidRDefault="00333557" w:rsidP="00A7449E">
            <w:pPr>
              <w:rPr>
                <w:szCs w:val="22"/>
              </w:rPr>
            </w:pPr>
            <w:r w:rsidRPr="00636F57">
              <w:rPr>
                <w:szCs w:val="22"/>
              </w:rPr>
              <w:t xml:space="preserve">French Guyana </w:t>
            </w:r>
          </w:p>
        </w:tc>
        <w:tc>
          <w:tcPr>
            <w:tcW w:w="646" w:type="pct"/>
            <w:shd w:val="clear" w:color="auto" w:fill="auto"/>
            <w:vAlign w:val="bottom"/>
          </w:tcPr>
          <w:p w14:paraId="1C65A888" w14:textId="77777777" w:rsidR="00F44157" w:rsidRPr="00636F57" w:rsidRDefault="00333557" w:rsidP="00A7449E">
            <w:pPr>
              <w:rPr>
                <w:szCs w:val="22"/>
              </w:rPr>
            </w:pPr>
            <w:r w:rsidRPr="00636F57">
              <w:rPr>
                <w:szCs w:val="22"/>
              </w:rPr>
              <w:t>8,385</w:t>
            </w:r>
          </w:p>
        </w:tc>
        <w:tc>
          <w:tcPr>
            <w:tcW w:w="969" w:type="pct"/>
            <w:gridSpan w:val="2"/>
            <w:shd w:val="clear" w:color="auto" w:fill="auto"/>
            <w:vAlign w:val="bottom"/>
          </w:tcPr>
          <w:p w14:paraId="02FF335D" w14:textId="77777777" w:rsidR="00F44157" w:rsidRPr="00636F57" w:rsidRDefault="00333557" w:rsidP="00A7449E">
            <w:pPr>
              <w:rPr>
                <w:szCs w:val="22"/>
              </w:rPr>
            </w:pPr>
            <w:r w:rsidRPr="00636F57">
              <w:rPr>
                <w:szCs w:val="22"/>
              </w:rPr>
              <w:t>Nd</w:t>
            </w:r>
          </w:p>
        </w:tc>
        <w:tc>
          <w:tcPr>
            <w:tcW w:w="1085" w:type="pct"/>
            <w:shd w:val="clear" w:color="auto" w:fill="auto"/>
            <w:vAlign w:val="bottom"/>
          </w:tcPr>
          <w:p w14:paraId="136234FB" w14:textId="77777777" w:rsidR="00F44157" w:rsidRPr="00636F57" w:rsidRDefault="00F44157" w:rsidP="00A7449E">
            <w:pPr>
              <w:rPr>
                <w:szCs w:val="22"/>
              </w:rPr>
            </w:pPr>
          </w:p>
        </w:tc>
      </w:tr>
      <w:tr w:rsidR="000836E7" w:rsidRPr="00636F57" w14:paraId="5F84C696" w14:textId="77777777" w:rsidTr="000836E7">
        <w:trPr>
          <w:trHeight w:val="227"/>
          <w:jc w:val="center"/>
        </w:trPr>
        <w:tc>
          <w:tcPr>
            <w:tcW w:w="757" w:type="pct"/>
            <w:shd w:val="clear" w:color="auto" w:fill="auto"/>
            <w:vAlign w:val="bottom"/>
          </w:tcPr>
          <w:p w14:paraId="776D6FD8" w14:textId="77777777" w:rsidR="00F44157" w:rsidRPr="00636F57" w:rsidRDefault="00F44157" w:rsidP="00A7449E">
            <w:pPr>
              <w:rPr>
                <w:szCs w:val="22"/>
              </w:rPr>
            </w:pPr>
          </w:p>
        </w:tc>
        <w:tc>
          <w:tcPr>
            <w:tcW w:w="1543" w:type="pct"/>
            <w:shd w:val="clear" w:color="auto" w:fill="auto"/>
            <w:vAlign w:val="bottom"/>
          </w:tcPr>
          <w:p w14:paraId="3C68AC34" w14:textId="77777777" w:rsidR="00F44157" w:rsidRPr="00636F57" w:rsidRDefault="00333557" w:rsidP="00A7449E">
            <w:pPr>
              <w:rPr>
                <w:szCs w:val="22"/>
              </w:rPr>
            </w:pPr>
            <w:r w:rsidRPr="00636F57">
              <w:rPr>
                <w:szCs w:val="22"/>
              </w:rPr>
              <w:t>Paraguay</w:t>
            </w:r>
          </w:p>
        </w:tc>
        <w:tc>
          <w:tcPr>
            <w:tcW w:w="646" w:type="pct"/>
            <w:shd w:val="clear" w:color="auto" w:fill="auto"/>
            <w:vAlign w:val="bottom"/>
          </w:tcPr>
          <w:p w14:paraId="16A30EC0" w14:textId="77777777" w:rsidR="00F44157" w:rsidRPr="00636F57" w:rsidRDefault="00333557" w:rsidP="00A7449E">
            <w:pPr>
              <w:rPr>
                <w:szCs w:val="22"/>
              </w:rPr>
            </w:pPr>
            <w:r w:rsidRPr="00636F57">
              <w:rPr>
                <w:szCs w:val="22"/>
              </w:rPr>
              <w:t>40,675</w:t>
            </w:r>
          </w:p>
        </w:tc>
        <w:tc>
          <w:tcPr>
            <w:tcW w:w="969" w:type="pct"/>
            <w:gridSpan w:val="2"/>
            <w:shd w:val="clear" w:color="auto" w:fill="auto"/>
            <w:vAlign w:val="bottom"/>
          </w:tcPr>
          <w:p w14:paraId="087996A6" w14:textId="77777777" w:rsidR="00F44157" w:rsidRPr="00636F57" w:rsidRDefault="00F44157" w:rsidP="00A7449E">
            <w:pPr>
              <w:rPr>
                <w:szCs w:val="22"/>
              </w:rPr>
            </w:pPr>
          </w:p>
        </w:tc>
        <w:tc>
          <w:tcPr>
            <w:tcW w:w="1085" w:type="pct"/>
            <w:shd w:val="clear" w:color="auto" w:fill="auto"/>
            <w:vAlign w:val="bottom"/>
          </w:tcPr>
          <w:p w14:paraId="3B9508F1" w14:textId="77777777" w:rsidR="00F44157" w:rsidRPr="00636F57" w:rsidRDefault="00F44157" w:rsidP="00A7449E">
            <w:pPr>
              <w:rPr>
                <w:szCs w:val="22"/>
              </w:rPr>
            </w:pPr>
          </w:p>
        </w:tc>
      </w:tr>
      <w:tr w:rsidR="000836E7" w:rsidRPr="00636F57" w14:paraId="7EB40FC6" w14:textId="77777777" w:rsidTr="000836E7">
        <w:trPr>
          <w:trHeight w:val="227"/>
          <w:jc w:val="center"/>
        </w:trPr>
        <w:tc>
          <w:tcPr>
            <w:tcW w:w="757" w:type="pct"/>
            <w:shd w:val="clear" w:color="auto" w:fill="auto"/>
            <w:vAlign w:val="bottom"/>
          </w:tcPr>
          <w:p w14:paraId="03C35BD0" w14:textId="77777777" w:rsidR="00F44157" w:rsidRPr="00636F57" w:rsidRDefault="00F44157" w:rsidP="00A7449E">
            <w:pPr>
              <w:rPr>
                <w:szCs w:val="22"/>
              </w:rPr>
            </w:pPr>
          </w:p>
        </w:tc>
        <w:tc>
          <w:tcPr>
            <w:tcW w:w="1543" w:type="pct"/>
            <w:shd w:val="clear" w:color="auto" w:fill="auto"/>
            <w:vAlign w:val="bottom"/>
          </w:tcPr>
          <w:p w14:paraId="78A5DC94" w14:textId="77777777" w:rsidR="00F44157" w:rsidRPr="00636F57" w:rsidRDefault="00333557" w:rsidP="00A7449E">
            <w:pPr>
              <w:rPr>
                <w:szCs w:val="22"/>
              </w:rPr>
            </w:pPr>
            <w:r w:rsidRPr="00636F57">
              <w:rPr>
                <w:szCs w:val="22"/>
              </w:rPr>
              <w:t>Peru</w:t>
            </w:r>
          </w:p>
        </w:tc>
        <w:tc>
          <w:tcPr>
            <w:tcW w:w="646" w:type="pct"/>
            <w:shd w:val="clear" w:color="auto" w:fill="auto"/>
            <w:vAlign w:val="bottom"/>
          </w:tcPr>
          <w:p w14:paraId="0E0C0571" w14:textId="77777777" w:rsidR="00F44157" w:rsidRPr="00636F57" w:rsidRDefault="00333557" w:rsidP="00A7449E">
            <w:pPr>
              <w:rPr>
                <w:szCs w:val="22"/>
              </w:rPr>
            </w:pPr>
            <w:r w:rsidRPr="00636F57">
              <w:rPr>
                <w:szCs w:val="22"/>
              </w:rPr>
              <w:t>128,522</w:t>
            </w:r>
          </w:p>
        </w:tc>
        <w:tc>
          <w:tcPr>
            <w:tcW w:w="969" w:type="pct"/>
            <w:gridSpan w:val="2"/>
            <w:shd w:val="clear" w:color="auto" w:fill="auto"/>
            <w:vAlign w:val="bottom"/>
          </w:tcPr>
          <w:p w14:paraId="7E397446" w14:textId="77777777" w:rsidR="00F44157" w:rsidRPr="00636F57" w:rsidRDefault="00333557" w:rsidP="00A7449E">
            <w:pPr>
              <w:rPr>
                <w:szCs w:val="22"/>
              </w:rPr>
            </w:pPr>
            <w:r w:rsidRPr="00636F57">
              <w:rPr>
                <w:szCs w:val="22"/>
              </w:rPr>
              <w:t>13,200</w:t>
            </w:r>
            <w:r w:rsidRPr="00636F57">
              <w:rPr>
                <w:szCs w:val="22"/>
                <w:vertAlign w:val="superscript"/>
              </w:rPr>
              <w:t xml:space="preserve"> e</w:t>
            </w:r>
          </w:p>
        </w:tc>
        <w:tc>
          <w:tcPr>
            <w:tcW w:w="1085" w:type="pct"/>
            <w:shd w:val="clear" w:color="auto" w:fill="auto"/>
            <w:vAlign w:val="bottom"/>
          </w:tcPr>
          <w:p w14:paraId="7D2E926B" w14:textId="77777777" w:rsidR="00F44157" w:rsidRPr="00636F57" w:rsidRDefault="00333557" w:rsidP="00A7449E">
            <w:pPr>
              <w:rPr>
                <w:szCs w:val="22"/>
              </w:rPr>
            </w:pPr>
            <w:r w:rsidRPr="00636F57">
              <w:rPr>
                <w:szCs w:val="22"/>
              </w:rPr>
              <w:t>10,3</w:t>
            </w:r>
          </w:p>
        </w:tc>
      </w:tr>
      <w:tr w:rsidR="000836E7" w:rsidRPr="00636F57" w14:paraId="0F404874" w14:textId="77777777" w:rsidTr="000836E7">
        <w:trPr>
          <w:trHeight w:val="227"/>
          <w:jc w:val="center"/>
        </w:trPr>
        <w:tc>
          <w:tcPr>
            <w:tcW w:w="757" w:type="pct"/>
            <w:shd w:val="clear" w:color="auto" w:fill="auto"/>
            <w:vAlign w:val="bottom"/>
          </w:tcPr>
          <w:p w14:paraId="5CCE1757" w14:textId="77777777" w:rsidR="00F44157" w:rsidRPr="00636F57" w:rsidRDefault="00F44157" w:rsidP="00A7449E">
            <w:pPr>
              <w:rPr>
                <w:szCs w:val="22"/>
              </w:rPr>
            </w:pPr>
          </w:p>
        </w:tc>
        <w:tc>
          <w:tcPr>
            <w:tcW w:w="1543" w:type="pct"/>
            <w:shd w:val="clear" w:color="auto" w:fill="auto"/>
            <w:vAlign w:val="bottom"/>
          </w:tcPr>
          <w:p w14:paraId="69623A8C" w14:textId="77777777" w:rsidR="00F44157" w:rsidRPr="00636F57" w:rsidRDefault="00333557" w:rsidP="00A7449E">
            <w:pPr>
              <w:rPr>
                <w:szCs w:val="22"/>
              </w:rPr>
            </w:pPr>
            <w:r w:rsidRPr="00636F57">
              <w:rPr>
                <w:szCs w:val="22"/>
              </w:rPr>
              <w:t>Surinam</w:t>
            </w:r>
          </w:p>
        </w:tc>
        <w:tc>
          <w:tcPr>
            <w:tcW w:w="646" w:type="pct"/>
            <w:shd w:val="clear" w:color="auto" w:fill="auto"/>
            <w:vAlign w:val="bottom"/>
          </w:tcPr>
          <w:p w14:paraId="786CF3CF" w14:textId="77777777" w:rsidR="00F44157" w:rsidRPr="00636F57" w:rsidRDefault="00333557" w:rsidP="00A7449E">
            <w:pPr>
              <w:rPr>
                <w:szCs w:val="22"/>
              </w:rPr>
            </w:pPr>
            <w:r w:rsidRPr="00636F57">
              <w:rPr>
                <w:szCs w:val="22"/>
              </w:rPr>
              <w:t>16,382</w:t>
            </w:r>
          </w:p>
        </w:tc>
        <w:tc>
          <w:tcPr>
            <w:tcW w:w="969" w:type="pct"/>
            <w:gridSpan w:val="2"/>
            <w:shd w:val="clear" w:color="auto" w:fill="auto"/>
            <w:vAlign w:val="bottom"/>
          </w:tcPr>
          <w:p w14:paraId="06D23C12" w14:textId="77777777" w:rsidR="00F44157" w:rsidRPr="00636F57" w:rsidRDefault="00333557" w:rsidP="00A7449E">
            <w:pPr>
              <w:rPr>
                <w:szCs w:val="22"/>
              </w:rPr>
            </w:pPr>
            <w:r w:rsidRPr="00636F57">
              <w:rPr>
                <w:szCs w:val="22"/>
              </w:rPr>
              <w:t>0</w:t>
            </w:r>
          </w:p>
        </w:tc>
        <w:tc>
          <w:tcPr>
            <w:tcW w:w="1085" w:type="pct"/>
            <w:shd w:val="clear" w:color="auto" w:fill="auto"/>
            <w:vAlign w:val="bottom"/>
          </w:tcPr>
          <w:p w14:paraId="4A57395C" w14:textId="77777777" w:rsidR="00F44157" w:rsidRPr="00636F57" w:rsidRDefault="00333557" w:rsidP="00A7449E">
            <w:pPr>
              <w:rPr>
                <w:szCs w:val="22"/>
              </w:rPr>
            </w:pPr>
            <w:r w:rsidRPr="00636F57">
              <w:rPr>
                <w:szCs w:val="22"/>
              </w:rPr>
              <w:t>0</w:t>
            </w:r>
          </w:p>
        </w:tc>
      </w:tr>
      <w:tr w:rsidR="000836E7" w:rsidRPr="00636F57" w14:paraId="3D86B646" w14:textId="77777777" w:rsidTr="000836E7">
        <w:trPr>
          <w:trHeight w:val="227"/>
          <w:jc w:val="center"/>
        </w:trPr>
        <w:tc>
          <w:tcPr>
            <w:tcW w:w="757" w:type="pct"/>
            <w:shd w:val="clear" w:color="auto" w:fill="auto"/>
            <w:vAlign w:val="bottom"/>
          </w:tcPr>
          <w:p w14:paraId="30284F4D" w14:textId="77777777" w:rsidR="00F44157" w:rsidRPr="00636F57" w:rsidRDefault="00F44157" w:rsidP="00A7449E">
            <w:pPr>
              <w:rPr>
                <w:szCs w:val="22"/>
              </w:rPr>
            </w:pPr>
          </w:p>
        </w:tc>
        <w:tc>
          <w:tcPr>
            <w:tcW w:w="1543" w:type="pct"/>
            <w:shd w:val="clear" w:color="auto" w:fill="auto"/>
            <w:vAlign w:val="bottom"/>
          </w:tcPr>
          <w:p w14:paraId="1577098D" w14:textId="77777777" w:rsidR="00F44157" w:rsidRPr="00636F57" w:rsidRDefault="00333557" w:rsidP="00A7449E">
            <w:pPr>
              <w:rPr>
                <w:szCs w:val="22"/>
              </w:rPr>
            </w:pPr>
            <w:r w:rsidRPr="00636F57">
              <w:rPr>
                <w:szCs w:val="22"/>
              </w:rPr>
              <w:t>Uruguay</w:t>
            </w:r>
          </w:p>
        </w:tc>
        <w:tc>
          <w:tcPr>
            <w:tcW w:w="646" w:type="pct"/>
            <w:shd w:val="clear" w:color="auto" w:fill="auto"/>
            <w:vAlign w:val="bottom"/>
          </w:tcPr>
          <w:p w14:paraId="12B63221" w14:textId="77777777" w:rsidR="00F44157" w:rsidRPr="00636F57" w:rsidRDefault="00333557" w:rsidP="00A7449E">
            <w:pPr>
              <w:rPr>
                <w:szCs w:val="22"/>
              </w:rPr>
            </w:pPr>
            <w:r w:rsidRPr="00636F57">
              <w:rPr>
                <w:szCs w:val="22"/>
              </w:rPr>
              <w:t>17,622</w:t>
            </w:r>
          </w:p>
        </w:tc>
        <w:tc>
          <w:tcPr>
            <w:tcW w:w="969" w:type="pct"/>
            <w:gridSpan w:val="2"/>
            <w:shd w:val="clear" w:color="auto" w:fill="auto"/>
            <w:vAlign w:val="bottom"/>
          </w:tcPr>
          <w:p w14:paraId="72ADCF89" w14:textId="77777777" w:rsidR="00F44157" w:rsidRPr="00636F57" w:rsidRDefault="00F44157" w:rsidP="00A7449E">
            <w:pPr>
              <w:rPr>
                <w:szCs w:val="22"/>
              </w:rPr>
            </w:pPr>
          </w:p>
        </w:tc>
        <w:tc>
          <w:tcPr>
            <w:tcW w:w="1085" w:type="pct"/>
            <w:shd w:val="clear" w:color="auto" w:fill="auto"/>
            <w:vAlign w:val="bottom"/>
          </w:tcPr>
          <w:p w14:paraId="10FFB9C7" w14:textId="77777777" w:rsidR="00F44157" w:rsidRPr="00636F57" w:rsidRDefault="00F44157" w:rsidP="00A7449E">
            <w:pPr>
              <w:rPr>
                <w:szCs w:val="22"/>
              </w:rPr>
            </w:pPr>
          </w:p>
        </w:tc>
      </w:tr>
      <w:tr w:rsidR="000836E7" w:rsidRPr="00636F57" w14:paraId="42CA064F" w14:textId="77777777" w:rsidTr="00104CE3">
        <w:trPr>
          <w:trHeight w:val="227"/>
          <w:jc w:val="center"/>
        </w:trPr>
        <w:tc>
          <w:tcPr>
            <w:tcW w:w="757" w:type="pct"/>
            <w:tcBorders>
              <w:bottom w:val="single" w:sz="4" w:space="0" w:color="000000"/>
            </w:tcBorders>
            <w:shd w:val="clear" w:color="auto" w:fill="auto"/>
            <w:vAlign w:val="bottom"/>
          </w:tcPr>
          <w:p w14:paraId="740B70FF" w14:textId="77777777" w:rsidR="00F44157" w:rsidRPr="00636F57" w:rsidRDefault="00F44157" w:rsidP="00A7449E">
            <w:pPr>
              <w:rPr>
                <w:szCs w:val="22"/>
              </w:rPr>
            </w:pPr>
          </w:p>
        </w:tc>
        <w:tc>
          <w:tcPr>
            <w:tcW w:w="1543" w:type="pct"/>
            <w:tcBorders>
              <w:bottom w:val="single" w:sz="4" w:space="0" w:color="000000"/>
            </w:tcBorders>
            <w:shd w:val="clear" w:color="auto" w:fill="auto"/>
            <w:vAlign w:val="bottom"/>
          </w:tcPr>
          <w:p w14:paraId="75FAD11B" w14:textId="77777777" w:rsidR="00F44157" w:rsidRPr="00636F57" w:rsidRDefault="00333557" w:rsidP="00A7449E">
            <w:pPr>
              <w:rPr>
                <w:szCs w:val="22"/>
              </w:rPr>
            </w:pPr>
            <w:r w:rsidRPr="00636F57">
              <w:rPr>
                <w:szCs w:val="22"/>
              </w:rPr>
              <w:t>Venezuela</w:t>
            </w:r>
          </w:p>
        </w:tc>
        <w:tc>
          <w:tcPr>
            <w:tcW w:w="646" w:type="pct"/>
            <w:tcBorders>
              <w:bottom w:val="single" w:sz="4" w:space="0" w:color="000000"/>
            </w:tcBorders>
            <w:shd w:val="clear" w:color="auto" w:fill="auto"/>
            <w:vAlign w:val="bottom"/>
          </w:tcPr>
          <w:p w14:paraId="3234FD5C" w14:textId="77777777" w:rsidR="00F44157" w:rsidRPr="00636F57" w:rsidRDefault="00333557" w:rsidP="00A7449E">
            <w:pPr>
              <w:rPr>
                <w:szCs w:val="22"/>
              </w:rPr>
            </w:pPr>
            <w:r w:rsidRPr="00636F57">
              <w:rPr>
                <w:szCs w:val="22"/>
              </w:rPr>
              <w:t>91,205</w:t>
            </w:r>
          </w:p>
        </w:tc>
        <w:tc>
          <w:tcPr>
            <w:tcW w:w="969" w:type="pct"/>
            <w:gridSpan w:val="2"/>
            <w:tcBorders>
              <w:bottom w:val="single" w:sz="4" w:space="0" w:color="000000"/>
            </w:tcBorders>
            <w:shd w:val="clear" w:color="auto" w:fill="auto"/>
            <w:vAlign w:val="bottom"/>
          </w:tcPr>
          <w:p w14:paraId="35E87256" w14:textId="77777777" w:rsidR="00F44157" w:rsidRPr="00636F57" w:rsidRDefault="00333557" w:rsidP="00A7449E">
            <w:pPr>
              <w:rPr>
                <w:szCs w:val="22"/>
              </w:rPr>
            </w:pPr>
            <w:r w:rsidRPr="00636F57">
              <w:rPr>
                <w:szCs w:val="22"/>
              </w:rPr>
              <w:t>700</w:t>
            </w:r>
            <w:r w:rsidRPr="00636F57">
              <w:rPr>
                <w:szCs w:val="22"/>
                <w:vertAlign w:val="superscript"/>
              </w:rPr>
              <w:t xml:space="preserve"> e</w:t>
            </w:r>
          </w:p>
        </w:tc>
        <w:tc>
          <w:tcPr>
            <w:tcW w:w="1085" w:type="pct"/>
            <w:tcBorders>
              <w:bottom w:val="single" w:sz="4" w:space="0" w:color="000000"/>
            </w:tcBorders>
            <w:shd w:val="clear" w:color="auto" w:fill="auto"/>
            <w:vAlign w:val="bottom"/>
          </w:tcPr>
          <w:p w14:paraId="317724C2" w14:textId="77777777" w:rsidR="00F44157" w:rsidRPr="00636F57" w:rsidRDefault="00333557" w:rsidP="00A7449E">
            <w:pPr>
              <w:rPr>
                <w:szCs w:val="22"/>
              </w:rPr>
            </w:pPr>
            <w:r w:rsidRPr="00636F57">
              <w:rPr>
                <w:szCs w:val="22"/>
              </w:rPr>
              <w:t>0,8</w:t>
            </w:r>
          </w:p>
        </w:tc>
      </w:tr>
      <w:tr w:rsidR="000836E7" w:rsidRPr="00636F57" w14:paraId="7E5FEC82" w14:textId="77777777" w:rsidTr="00104CE3">
        <w:trPr>
          <w:trHeight w:val="227"/>
          <w:jc w:val="center"/>
        </w:trPr>
        <w:tc>
          <w:tcPr>
            <w:tcW w:w="757" w:type="pct"/>
            <w:shd w:val="clear" w:color="auto" w:fill="BFBFBF" w:themeFill="background1" w:themeFillShade="BF"/>
            <w:vAlign w:val="bottom"/>
          </w:tcPr>
          <w:p w14:paraId="5B60EAC0" w14:textId="77777777" w:rsidR="00F44157" w:rsidRPr="00636F57" w:rsidRDefault="00333557" w:rsidP="00A7449E">
            <w:pPr>
              <w:rPr>
                <w:szCs w:val="22"/>
              </w:rPr>
            </w:pPr>
            <w:r w:rsidRPr="00636F57">
              <w:rPr>
                <w:szCs w:val="22"/>
              </w:rPr>
              <w:t>Caribbean</w:t>
            </w:r>
          </w:p>
        </w:tc>
        <w:tc>
          <w:tcPr>
            <w:tcW w:w="1543" w:type="pct"/>
            <w:shd w:val="clear" w:color="auto" w:fill="BFBFBF" w:themeFill="background1" w:themeFillShade="BF"/>
            <w:vAlign w:val="bottom"/>
          </w:tcPr>
          <w:p w14:paraId="301AB0BA" w14:textId="77777777" w:rsidR="00F44157" w:rsidRPr="00636F57" w:rsidRDefault="00F44157" w:rsidP="00A7449E">
            <w:pPr>
              <w:rPr>
                <w:szCs w:val="22"/>
              </w:rPr>
            </w:pPr>
          </w:p>
        </w:tc>
        <w:tc>
          <w:tcPr>
            <w:tcW w:w="646" w:type="pct"/>
            <w:shd w:val="clear" w:color="auto" w:fill="BFBFBF" w:themeFill="background1" w:themeFillShade="BF"/>
            <w:vAlign w:val="bottom"/>
          </w:tcPr>
          <w:p w14:paraId="0AFA9568" w14:textId="77777777" w:rsidR="00F44157" w:rsidRPr="00636F57" w:rsidRDefault="00F44157" w:rsidP="00A7449E">
            <w:pPr>
              <w:rPr>
                <w:szCs w:val="22"/>
              </w:rPr>
            </w:pPr>
          </w:p>
        </w:tc>
        <w:tc>
          <w:tcPr>
            <w:tcW w:w="969" w:type="pct"/>
            <w:gridSpan w:val="2"/>
            <w:shd w:val="clear" w:color="auto" w:fill="BFBFBF" w:themeFill="background1" w:themeFillShade="BF"/>
            <w:vAlign w:val="bottom"/>
          </w:tcPr>
          <w:p w14:paraId="4A427559" w14:textId="77777777" w:rsidR="00F44157" w:rsidRPr="00636F57" w:rsidRDefault="00F44157" w:rsidP="00A7449E">
            <w:pPr>
              <w:rPr>
                <w:szCs w:val="22"/>
              </w:rPr>
            </w:pPr>
          </w:p>
        </w:tc>
        <w:tc>
          <w:tcPr>
            <w:tcW w:w="1085" w:type="pct"/>
            <w:shd w:val="clear" w:color="auto" w:fill="BFBFBF" w:themeFill="background1" w:themeFillShade="BF"/>
            <w:vAlign w:val="bottom"/>
          </w:tcPr>
          <w:p w14:paraId="729CA481" w14:textId="77777777" w:rsidR="00F44157" w:rsidRPr="00636F57" w:rsidRDefault="00F44157" w:rsidP="00A7449E">
            <w:pPr>
              <w:rPr>
                <w:szCs w:val="22"/>
              </w:rPr>
            </w:pPr>
          </w:p>
        </w:tc>
      </w:tr>
      <w:tr w:rsidR="000836E7" w:rsidRPr="00636F57" w14:paraId="7F253C48" w14:textId="77777777" w:rsidTr="000836E7">
        <w:trPr>
          <w:trHeight w:val="227"/>
          <w:jc w:val="center"/>
        </w:trPr>
        <w:tc>
          <w:tcPr>
            <w:tcW w:w="757" w:type="pct"/>
            <w:shd w:val="clear" w:color="auto" w:fill="auto"/>
            <w:vAlign w:val="bottom"/>
          </w:tcPr>
          <w:p w14:paraId="41013CF9" w14:textId="77777777" w:rsidR="00F44157" w:rsidRPr="00636F57" w:rsidRDefault="00F44157" w:rsidP="00A7449E">
            <w:pPr>
              <w:rPr>
                <w:szCs w:val="22"/>
              </w:rPr>
            </w:pPr>
          </w:p>
        </w:tc>
        <w:tc>
          <w:tcPr>
            <w:tcW w:w="1543" w:type="pct"/>
            <w:shd w:val="clear" w:color="auto" w:fill="auto"/>
            <w:vAlign w:val="bottom"/>
          </w:tcPr>
          <w:p w14:paraId="678CFF23" w14:textId="77777777" w:rsidR="00F44157" w:rsidRPr="00636F57" w:rsidRDefault="00333557" w:rsidP="00A7449E">
            <w:pPr>
              <w:rPr>
                <w:szCs w:val="22"/>
              </w:rPr>
            </w:pPr>
            <w:r w:rsidRPr="00636F57">
              <w:rPr>
                <w:szCs w:val="22"/>
              </w:rPr>
              <w:t>Antigua and Barbuda</w:t>
            </w:r>
          </w:p>
        </w:tc>
        <w:tc>
          <w:tcPr>
            <w:tcW w:w="646" w:type="pct"/>
            <w:shd w:val="clear" w:color="auto" w:fill="auto"/>
            <w:vAlign w:val="bottom"/>
          </w:tcPr>
          <w:p w14:paraId="2724C406" w14:textId="77777777" w:rsidR="00F44157" w:rsidRPr="00636F57" w:rsidRDefault="00333557" w:rsidP="00A7449E">
            <w:pPr>
              <w:rPr>
                <w:szCs w:val="22"/>
              </w:rPr>
            </w:pPr>
            <w:r w:rsidRPr="00636F57">
              <w:rPr>
                <w:szCs w:val="22"/>
              </w:rPr>
              <w:t>44</w:t>
            </w:r>
          </w:p>
        </w:tc>
        <w:tc>
          <w:tcPr>
            <w:tcW w:w="969" w:type="pct"/>
            <w:gridSpan w:val="2"/>
            <w:shd w:val="clear" w:color="auto" w:fill="auto"/>
            <w:vAlign w:val="bottom"/>
          </w:tcPr>
          <w:p w14:paraId="4880D9A5" w14:textId="77777777" w:rsidR="00F44157" w:rsidRPr="00636F57" w:rsidRDefault="00F44157" w:rsidP="00A7449E">
            <w:pPr>
              <w:rPr>
                <w:szCs w:val="22"/>
              </w:rPr>
            </w:pPr>
          </w:p>
        </w:tc>
        <w:tc>
          <w:tcPr>
            <w:tcW w:w="1085" w:type="pct"/>
            <w:shd w:val="clear" w:color="auto" w:fill="auto"/>
            <w:vAlign w:val="bottom"/>
          </w:tcPr>
          <w:p w14:paraId="122A6304" w14:textId="77777777" w:rsidR="00F44157" w:rsidRPr="00636F57" w:rsidRDefault="00333557" w:rsidP="00A7449E">
            <w:pPr>
              <w:rPr>
                <w:szCs w:val="22"/>
              </w:rPr>
            </w:pPr>
            <w:r w:rsidRPr="00636F57">
              <w:rPr>
                <w:szCs w:val="22"/>
              </w:rPr>
              <w:t>44</w:t>
            </w:r>
          </w:p>
        </w:tc>
      </w:tr>
      <w:tr w:rsidR="000836E7" w:rsidRPr="00636F57" w14:paraId="46097ABC" w14:textId="77777777" w:rsidTr="000836E7">
        <w:trPr>
          <w:trHeight w:val="227"/>
          <w:jc w:val="center"/>
        </w:trPr>
        <w:tc>
          <w:tcPr>
            <w:tcW w:w="757" w:type="pct"/>
            <w:shd w:val="clear" w:color="auto" w:fill="FFFFFF"/>
            <w:vAlign w:val="bottom"/>
          </w:tcPr>
          <w:p w14:paraId="5286A053" w14:textId="77777777" w:rsidR="00F44157" w:rsidRPr="00636F57" w:rsidRDefault="00F44157" w:rsidP="00A7449E">
            <w:pPr>
              <w:rPr>
                <w:szCs w:val="22"/>
              </w:rPr>
            </w:pPr>
          </w:p>
        </w:tc>
        <w:tc>
          <w:tcPr>
            <w:tcW w:w="1543" w:type="pct"/>
            <w:shd w:val="clear" w:color="auto" w:fill="FFFFFF"/>
            <w:vAlign w:val="bottom"/>
          </w:tcPr>
          <w:p w14:paraId="11C167E6" w14:textId="5143D679" w:rsidR="00F44157" w:rsidRPr="00636F57" w:rsidRDefault="00104CE3" w:rsidP="00A7449E">
            <w:pPr>
              <w:rPr>
                <w:szCs w:val="22"/>
              </w:rPr>
            </w:pPr>
            <w:r w:rsidRPr="00636F57">
              <w:rPr>
                <w:szCs w:val="22"/>
              </w:rPr>
              <w:t xml:space="preserve">The </w:t>
            </w:r>
            <w:r w:rsidR="00333557" w:rsidRPr="00636F57">
              <w:rPr>
                <w:szCs w:val="22"/>
              </w:rPr>
              <w:t>Bahamas</w:t>
            </w:r>
          </w:p>
        </w:tc>
        <w:tc>
          <w:tcPr>
            <w:tcW w:w="646" w:type="pct"/>
            <w:shd w:val="clear" w:color="auto" w:fill="FFFFFF"/>
            <w:vAlign w:val="bottom"/>
          </w:tcPr>
          <w:p w14:paraId="43BB8A91" w14:textId="77777777" w:rsidR="00F44157" w:rsidRPr="00636F57" w:rsidRDefault="00333557" w:rsidP="00A7449E">
            <w:pPr>
              <w:rPr>
                <w:szCs w:val="22"/>
              </w:rPr>
            </w:pPr>
            <w:r w:rsidRPr="00636F57">
              <w:rPr>
                <w:szCs w:val="22"/>
              </w:rPr>
              <w:t>1,388</w:t>
            </w:r>
          </w:p>
        </w:tc>
        <w:tc>
          <w:tcPr>
            <w:tcW w:w="969" w:type="pct"/>
            <w:gridSpan w:val="2"/>
            <w:shd w:val="clear" w:color="auto" w:fill="FFFFFF"/>
            <w:vAlign w:val="bottom"/>
          </w:tcPr>
          <w:p w14:paraId="0CBFB65E" w14:textId="77777777" w:rsidR="00F44157" w:rsidRPr="00636F57" w:rsidRDefault="00F44157" w:rsidP="00A7449E">
            <w:pPr>
              <w:rPr>
                <w:szCs w:val="22"/>
              </w:rPr>
            </w:pPr>
          </w:p>
        </w:tc>
        <w:tc>
          <w:tcPr>
            <w:tcW w:w="1085" w:type="pct"/>
            <w:shd w:val="clear" w:color="auto" w:fill="FFFFFF"/>
            <w:vAlign w:val="bottom"/>
          </w:tcPr>
          <w:p w14:paraId="31C3F7E3" w14:textId="77777777" w:rsidR="00F44157" w:rsidRPr="00636F57" w:rsidRDefault="00333557" w:rsidP="00A7449E">
            <w:pPr>
              <w:rPr>
                <w:szCs w:val="22"/>
              </w:rPr>
            </w:pPr>
            <w:r w:rsidRPr="00636F57">
              <w:rPr>
                <w:szCs w:val="22"/>
              </w:rPr>
              <w:t>1,388</w:t>
            </w:r>
          </w:p>
        </w:tc>
      </w:tr>
      <w:tr w:rsidR="000836E7" w:rsidRPr="00636F57" w14:paraId="7712720B" w14:textId="77777777" w:rsidTr="000836E7">
        <w:trPr>
          <w:trHeight w:val="227"/>
          <w:jc w:val="center"/>
        </w:trPr>
        <w:tc>
          <w:tcPr>
            <w:tcW w:w="757" w:type="pct"/>
            <w:shd w:val="clear" w:color="auto" w:fill="FFFFFF"/>
            <w:vAlign w:val="bottom"/>
          </w:tcPr>
          <w:p w14:paraId="74B64BC5" w14:textId="77777777" w:rsidR="00F44157" w:rsidRPr="00636F57" w:rsidRDefault="00F44157" w:rsidP="00A7449E">
            <w:pPr>
              <w:rPr>
                <w:szCs w:val="22"/>
              </w:rPr>
            </w:pPr>
          </w:p>
        </w:tc>
        <w:tc>
          <w:tcPr>
            <w:tcW w:w="1543" w:type="pct"/>
            <w:shd w:val="clear" w:color="auto" w:fill="FFFFFF"/>
            <w:vAlign w:val="bottom"/>
          </w:tcPr>
          <w:p w14:paraId="1085BDBB" w14:textId="77777777" w:rsidR="00F44157" w:rsidRPr="00636F57" w:rsidRDefault="00333557" w:rsidP="00A7449E">
            <w:pPr>
              <w:rPr>
                <w:szCs w:val="22"/>
              </w:rPr>
            </w:pPr>
            <w:r w:rsidRPr="00636F57">
              <w:rPr>
                <w:szCs w:val="22"/>
              </w:rPr>
              <w:t>Barbados</w:t>
            </w:r>
          </w:p>
        </w:tc>
        <w:tc>
          <w:tcPr>
            <w:tcW w:w="646" w:type="pct"/>
            <w:shd w:val="clear" w:color="auto" w:fill="FFFFFF"/>
            <w:vAlign w:val="bottom"/>
          </w:tcPr>
          <w:p w14:paraId="75CC5778" w14:textId="77777777" w:rsidR="00F44157" w:rsidRPr="00636F57" w:rsidRDefault="00333557" w:rsidP="00A7449E">
            <w:pPr>
              <w:rPr>
                <w:szCs w:val="22"/>
              </w:rPr>
            </w:pPr>
            <w:r w:rsidRPr="00636F57">
              <w:rPr>
                <w:szCs w:val="22"/>
              </w:rPr>
              <w:t>43</w:t>
            </w:r>
          </w:p>
        </w:tc>
        <w:tc>
          <w:tcPr>
            <w:tcW w:w="969" w:type="pct"/>
            <w:gridSpan w:val="2"/>
            <w:shd w:val="clear" w:color="auto" w:fill="FFFFFF"/>
            <w:vAlign w:val="bottom"/>
          </w:tcPr>
          <w:p w14:paraId="3B447AB3" w14:textId="77777777" w:rsidR="00F44157" w:rsidRPr="00636F57" w:rsidRDefault="00F44157" w:rsidP="00A7449E">
            <w:pPr>
              <w:rPr>
                <w:szCs w:val="22"/>
              </w:rPr>
            </w:pPr>
          </w:p>
        </w:tc>
        <w:tc>
          <w:tcPr>
            <w:tcW w:w="1085" w:type="pct"/>
            <w:shd w:val="clear" w:color="auto" w:fill="FFFFFF"/>
            <w:vAlign w:val="bottom"/>
          </w:tcPr>
          <w:p w14:paraId="4D23F247" w14:textId="77777777" w:rsidR="00F44157" w:rsidRPr="00636F57" w:rsidRDefault="00333557" w:rsidP="00A7449E">
            <w:pPr>
              <w:rPr>
                <w:szCs w:val="22"/>
              </w:rPr>
            </w:pPr>
            <w:r w:rsidRPr="00636F57">
              <w:rPr>
                <w:szCs w:val="22"/>
              </w:rPr>
              <w:t>43</w:t>
            </w:r>
          </w:p>
        </w:tc>
      </w:tr>
      <w:tr w:rsidR="000836E7" w:rsidRPr="00636F57" w14:paraId="0AE1F3E8" w14:textId="77777777" w:rsidTr="000836E7">
        <w:trPr>
          <w:trHeight w:val="227"/>
          <w:jc w:val="center"/>
        </w:trPr>
        <w:tc>
          <w:tcPr>
            <w:tcW w:w="757" w:type="pct"/>
            <w:shd w:val="clear" w:color="auto" w:fill="auto"/>
            <w:vAlign w:val="bottom"/>
          </w:tcPr>
          <w:p w14:paraId="19AE118D" w14:textId="77777777" w:rsidR="00F44157" w:rsidRPr="00636F57" w:rsidRDefault="00F44157" w:rsidP="00A7449E">
            <w:pPr>
              <w:rPr>
                <w:szCs w:val="22"/>
              </w:rPr>
            </w:pPr>
          </w:p>
        </w:tc>
        <w:tc>
          <w:tcPr>
            <w:tcW w:w="1543" w:type="pct"/>
            <w:shd w:val="clear" w:color="auto" w:fill="auto"/>
            <w:vAlign w:val="bottom"/>
          </w:tcPr>
          <w:p w14:paraId="45E403F2" w14:textId="77777777" w:rsidR="00F44157" w:rsidRPr="00636F57" w:rsidRDefault="00333557" w:rsidP="00A7449E">
            <w:pPr>
              <w:rPr>
                <w:szCs w:val="22"/>
              </w:rPr>
            </w:pPr>
            <w:r w:rsidRPr="00636F57">
              <w:rPr>
                <w:szCs w:val="22"/>
              </w:rPr>
              <w:t>Cuba</w:t>
            </w:r>
          </w:p>
        </w:tc>
        <w:tc>
          <w:tcPr>
            <w:tcW w:w="646" w:type="pct"/>
            <w:shd w:val="clear" w:color="auto" w:fill="auto"/>
            <w:vAlign w:val="bottom"/>
          </w:tcPr>
          <w:p w14:paraId="57783DD1" w14:textId="77777777" w:rsidR="00F44157" w:rsidRPr="00636F57" w:rsidRDefault="00333557" w:rsidP="00A7449E">
            <w:pPr>
              <w:rPr>
                <w:szCs w:val="22"/>
              </w:rPr>
            </w:pPr>
            <w:r w:rsidRPr="00636F57">
              <w:rPr>
                <w:szCs w:val="22"/>
              </w:rPr>
              <w:t>10,989</w:t>
            </w:r>
          </w:p>
        </w:tc>
        <w:tc>
          <w:tcPr>
            <w:tcW w:w="969" w:type="pct"/>
            <w:gridSpan w:val="2"/>
            <w:shd w:val="clear" w:color="auto" w:fill="auto"/>
            <w:vAlign w:val="bottom"/>
          </w:tcPr>
          <w:p w14:paraId="3AE87223" w14:textId="77777777" w:rsidR="00F44157" w:rsidRPr="00636F57" w:rsidRDefault="00F44157" w:rsidP="00A7449E">
            <w:pPr>
              <w:rPr>
                <w:szCs w:val="22"/>
              </w:rPr>
            </w:pPr>
          </w:p>
        </w:tc>
        <w:tc>
          <w:tcPr>
            <w:tcW w:w="1085" w:type="pct"/>
            <w:shd w:val="clear" w:color="auto" w:fill="auto"/>
            <w:vAlign w:val="bottom"/>
          </w:tcPr>
          <w:p w14:paraId="026F822F" w14:textId="77777777" w:rsidR="00F44157" w:rsidRPr="00636F57" w:rsidRDefault="00333557" w:rsidP="00A7449E">
            <w:pPr>
              <w:rPr>
                <w:szCs w:val="22"/>
              </w:rPr>
            </w:pPr>
            <w:r w:rsidRPr="00636F57">
              <w:rPr>
                <w:szCs w:val="22"/>
              </w:rPr>
              <w:t>10,989</w:t>
            </w:r>
          </w:p>
        </w:tc>
      </w:tr>
      <w:tr w:rsidR="000836E7" w:rsidRPr="00636F57" w14:paraId="668A79C2" w14:textId="77777777" w:rsidTr="000836E7">
        <w:trPr>
          <w:trHeight w:val="227"/>
          <w:jc w:val="center"/>
        </w:trPr>
        <w:tc>
          <w:tcPr>
            <w:tcW w:w="757" w:type="pct"/>
            <w:shd w:val="clear" w:color="auto" w:fill="auto"/>
            <w:vAlign w:val="bottom"/>
          </w:tcPr>
          <w:p w14:paraId="1956D2EB" w14:textId="77777777" w:rsidR="00F44157" w:rsidRPr="00636F57" w:rsidRDefault="00F44157" w:rsidP="00A7449E">
            <w:pPr>
              <w:rPr>
                <w:szCs w:val="22"/>
              </w:rPr>
            </w:pPr>
          </w:p>
        </w:tc>
        <w:tc>
          <w:tcPr>
            <w:tcW w:w="1543" w:type="pct"/>
            <w:shd w:val="clear" w:color="auto" w:fill="auto"/>
            <w:vAlign w:val="bottom"/>
          </w:tcPr>
          <w:p w14:paraId="32E63E5B" w14:textId="77777777" w:rsidR="00F44157" w:rsidRPr="00636F57" w:rsidRDefault="00333557" w:rsidP="00A7449E">
            <w:pPr>
              <w:rPr>
                <w:szCs w:val="22"/>
              </w:rPr>
            </w:pPr>
            <w:r w:rsidRPr="00636F57">
              <w:rPr>
                <w:szCs w:val="22"/>
              </w:rPr>
              <w:t>Dominica</w:t>
            </w:r>
          </w:p>
        </w:tc>
        <w:tc>
          <w:tcPr>
            <w:tcW w:w="646" w:type="pct"/>
            <w:shd w:val="clear" w:color="auto" w:fill="auto"/>
            <w:vAlign w:val="bottom"/>
          </w:tcPr>
          <w:p w14:paraId="45F2EE1B" w14:textId="77777777" w:rsidR="00F44157" w:rsidRPr="00636F57" w:rsidRDefault="00333557" w:rsidP="00A7449E">
            <w:pPr>
              <w:rPr>
                <w:szCs w:val="22"/>
              </w:rPr>
            </w:pPr>
            <w:r w:rsidRPr="00636F57">
              <w:rPr>
                <w:szCs w:val="22"/>
              </w:rPr>
              <w:t>75</w:t>
            </w:r>
          </w:p>
        </w:tc>
        <w:tc>
          <w:tcPr>
            <w:tcW w:w="969" w:type="pct"/>
            <w:gridSpan w:val="2"/>
            <w:shd w:val="clear" w:color="auto" w:fill="auto"/>
            <w:vAlign w:val="bottom"/>
          </w:tcPr>
          <w:p w14:paraId="13A5571E" w14:textId="77777777" w:rsidR="00F44157" w:rsidRPr="00636F57" w:rsidRDefault="00333557" w:rsidP="00A7449E">
            <w:pPr>
              <w:rPr>
                <w:szCs w:val="22"/>
              </w:rPr>
            </w:pPr>
            <w:r w:rsidRPr="00636F57">
              <w:rPr>
                <w:szCs w:val="22"/>
              </w:rPr>
              <w:t>2</w:t>
            </w:r>
            <w:r w:rsidRPr="00636F57">
              <w:rPr>
                <w:szCs w:val="22"/>
                <w:vertAlign w:val="superscript"/>
              </w:rPr>
              <w:t>l</w:t>
            </w:r>
          </w:p>
        </w:tc>
        <w:tc>
          <w:tcPr>
            <w:tcW w:w="1085" w:type="pct"/>
            <w:shd w:val="clear" w:color="auto" w:fill="auto"/>
            <w:vAlign w:val="bottom"/>
          </w:tcPr>
          <w:p w14:paraId="490BD8D7" w14:textId="77777777" w:rsidR="00F44157" w:rsidRPr="00636F57" w:rsidRDefault="00333557" w:rsidP="00A7449E">
            <w:pPr>
              <w:rPr>
                <w:szCs w:val="22"/>
              </w:rPr>
            </w:pPr>
            <w:r w:rsidRPr="00636F57">
              <w:rPr>
                <w:szCs w:val="22"/>
              </w:rPr>
              <w:t>75</w:t>
            </w:r>
          </w:p>
        </w:tc>
      </w:tr>
      <w:tr w:rsidR="000836E7" w:rsidRPr="00636F57" w14:paraId="68A6FF83" w14:textId="77777777" w:rsidTr="000836E7">
        <w:trPr>
          <w:trHeight w:val="227"/>
          <w:jc w:val="center"/>
        </w:trPr>
        <w:tc>
          <w:tcPr>
            <w:tcW w:w="757" w:type="pct"/>
            <w:shd w:val="clear" w:color="auto" w:fill="auto"/>
            <w:vAlign w:val="bottom"/>
          </w:tcPr>
          <w:p w14:paraId="696DF685" w14:textId="77777777" w:rsidR="00F44157" w:rsidRPr="00636F57" w:rsidRDefault="00F44157" w:rsidP="00A7449E">
            <w:pPr>
              <w:rPr>
                <w:szCs w:val="22"/>
              </w:rPr>
            </w:pPr>
          </w:p>
        </w:tc>
        <w:tc>
          <w:tcPr>
            <w:tcW w:w="1543" w:type="pct"/>
            <w:shd w:val="clear" w:color="auto" w:fill="auto"/>
            <w:vAlign w:val="bottom"/>
          </w:tcPr>
          <w:p w14:paraId="3A972D80" w14:textId="77777777" w:rsidR="00F44157" w:rsidRPr="00636F57" w:rsidRDefault="00333557" w:rsidP="00A7449E">
            <w:pPr>
              <w:rPr>
                <w:szCs w:val="22"/>
              </w:rPr>
            </w:pPr>
            <w:r w:rsidRPr="00636F57">
              <w:rPr>
                <w:szCs w:val="22"/>
              </w:rPr>
              <w:t>Grenada</w:t>
            </w:r>
          </w:p>
        </w:tc>
        <w:tc>
          <w:tcPr>
            <w:tcW w:w="646" w:type="pct"/>
            <w:shd w:val="clear" w:color="auto" w:fill="auto"/>
            <w:vAlign w:val="bottom"/>
          </w:tcPr>
          <w:p w14:paraId="54B95187" w14:textId="77777777" w:rsidR="00F44157" w:rsidRPr="00636F57" w:rsidRDefault="00333557" w:rsidP="00A7449E">
            <w:pPr>
              <w:rPr>
                <w:szCs w:val="22"/>
              </w:rPr>
            </w:pPr>
            <w:r w:rsidRPr="00636F57">
              <w:rPr>
                <w:szCs w:val="22"/>
              </w:rPr>
              <w:t>35</w:t>
            </w:r>
          </w:p>
        </w:tc>
        <w:tc>
          <w:tcPr>
            <w:tcW w:w="969" w:type="pct"/>
            <w:gridSpan w:val="2"/>
            <w:shd w:val="clear" w:color="auto" w:fill="auto"/>
            <w:vAlign w:val="bottom"/>
          </w:tcPr>
          <w:p w14:paraId="64799390" w14:textId="77777777" w:rsidR="00F44157" w:rsidRPr="00636F57" w:rsidRDefault="00F44157" w:rsidP="00A7449E">
            <w:pPr>
              <w:rPr>
                <w:szCs w:val="22"/>
              </w:rPr>
            </w:pPr>
          </w:p>
        </w:tc>
        <w:tc>
          <w:tcPr>
            <w:tcW w:w="1085" w:type="pct"/>
            <w:shd w:val="clear" w:color="auto" w:fill="auto"/>
            <w:vAlign w:val="bottom"/>
          </w:tcPr>
          <w:p w14:paraId="271EEE41" w14:textId="77777777" w:rsidR="00F44157" w:rsidRPr="00636F57" w:rsidRDefault="00333557" w:rsidP="00A7449E">
            <w:pPr>
              <w:rPr>
                <w:szCs w:val="22"/>
              </w:rPr>
            </w:pPr>
            <w:r w:rsidRPr="00636F57">
              <w:rPr>
                <w:szCs w:val="22"/>
              </w:rPr>
              <w:t>35</w:t>
            </w:r>
          </w:p>
        </w:tc>
      </w:tr>
      <w:tr w:rsidR="000836E7" w:rsidRPr="00636F57" w14:paraId="1F41FBD9" w14:textId="77777777" w:rsidTr="000836E7">
        <w:trPr>
          <w:trHeight w:val="227"/>
          <w:jc w:val="center"/>
        </w:trPr>
        <w:tc>
          <w:tcPr>
            <w:tcW w:w="757" w:type="pct"/>
            <w:shd w:val="clear" w:color="auto" w:fill="auto"/>
            <w:vAlign w:val="bottom"/>
          </w:tcPr>
          <w:p w14:paraId="69A544DD" w14:textId="77777777" w:rsidR="00F44157" w:rsidRPr="00636F57" w:rsidRDefault="00F44157" w:rsidP="00A7449E">
            <w:pPr>
              <w:rPr>
                <w:szCs w:val="22"/>
              </w:rPr>
            </w:pPr>
          </w:p>
        </w:tc>
        <w:tc>
          <w:tcPr>
            <w:tcW w:w="1543" w:type="pct"/>
            <w:shd w:val="clear" w:color="auto" w:fill="auto"/>
            <w:vAlign w:val="bottom"/>
          </w:tcPr>
          <w:p w14:paraId="044FD14B" w14:textId="77777777" w:rsidR="00F44157" w:rsidRPr="00636F57" w:rsidRDefault="00333557" w:rsidP="00A7449E">
            <w:pPr>
              <w:rPr>
                <w:szCs w:val="22"/>
              </w:rPr>
            </w:pPr>
            <w:r w:rsidRPr="00636F57">
              <w:rPr>
                <w:szCs w:val="22"/>
              </w:rPr>
              <w:t>Haiti</w:t>
            </w:r>
          </w:p>
        </w:tc>
        <w:tc>
          <w:tcPr>
            <w:tcW w:w="646" w:type="pct"/>
            <w:shd w:val="clear" w:color="auto" w:fill="auto"/>
            <w:vAlign w:val="bottom"/>
          </w:tcPr>
          <w:p w14:paraId="051CD928" w14:textId="77777777" w:rsidR="00F44157" w:rsidRPr="00636F57" w:rsidRDefault="00333557" w:rsidP="00A7449E">
            <w:pPr>
              <w:rPr>
                <w:szCs w:val="22"/>
              </w:rPr>
            </w:pPr>
            <w:r w:rsidRPr="00636F57">
              <w:rPr>
                <w:szCs w:val="22"/>
              </w:rPr>
              <w:t>2,775</w:t>
            </w:r>
          </w:p>
        </w:tc>
        <w:tc>
          <w:tcPr>
            <w:tcW w:w="969" w:type="pct"/>
            <w:gridSpan w:val="2"/>
            <w:shd w:val="clear" w:color="auto" w:fill="auto"/>
            <w:vAlign w:val="bottom"/>
          </w:tcPr>
          <w:p w14:paraId="3EC37BC5" w14:textId="77777777" w:rsidR="00F44157" w:rsidRPr="00636F57" w:rsidRDefault="00F44157" w:rsidP="00A7449E">
            <w:pPr>
              <w:rPr>
                <w:szCs w:val="22"/>
              </w:rPr>
            </w:pPr>
          </w:p>
        </w:tc>
        <w:tc>
          <w:tcPr>
            <w:tcW w:w="1085" w:type="pct"/>
            <w:shd w:val="clear" w:color="auto" w:fill="auto"/>
            <w:vAlign w:val="bottom"/>
          </w:tcPr>
          <w:p w14:paraId="6C6FFCCB" w14:textId="77777777" w:rsidR="00F44157" w:rsidRPr="00636F57" w:rsidRDefault="00333557" w:rsidP="00A7449E">
            <w:pPr>
              <w:rPr>
                <w:szCs w:val="22"/>
              </w:rPr>
            </w:pPr>
            <w:r w:rsidRPr="00636F57">
              <w:rPr>
                <w:szCs w:val="22"/>
              </w:rPr>
              <w:t>2,775</w:t>
            </w:r>
          </w:p>
        </w:tc>
      </w:tr>
      <w:tr w:rsidR="000836E7" w:rsidRPr="00636F57" w14:paraId="1095F9EB" w14:textId="77777777" w:rsidTr="000836E7">
        <w:trPr>
          <w:trHeight w:val="227"/>
          <w:jc w:val="center"/>
        </w:trPr>
        <w:tc>
          <w:tcPr>
            <w:tcW w:w="757" w:type="pct"/>
            <w:shd w:val="clear" w:color="auto" w:fill="auto"/>
            <w:vAlign w:val="bottom"/>
          </w:tcPr>
          <w:p w14:paraId="4167704D" w14:textId="77777777" w:rsidR="00F44157" w:rsidRPr="00636F57" w:rsidRDefault="00F44157" w:rsidP="00A7449E">
            <w:pPr>
              <w:rPr>
                <w:szCs w:val="22"/>
              </w:rPr>
            </w:pPr>
          </w:p>
        </w:tc>
        <w:tc>
          <w:tcPr>
            <w:tcW w:w="1543" w:type="pct"/>
            <w:shd w:val="clear" w:color="auto" w:fill="auto"/>
            <w:vAlign w:val="bottom"/>
          </w:tcPr>
          <w:p w14:paraId="384C03DA" w14:textId="77777777" w:rsidR="00F44157" w:rsidRPr="00636F57" w:rsidRDefault="00333557" w:rsidP="00A7449E">
            <w:pPr>
              <w:rPr>
                <w:szCs w:val="22"/>
              </w:rPr>
            </w:pPr>
            <w:r w:rsidRPr="00636F57">
              <w:rPr>
                <w:szCs w:val="22"/>
              </w:rPr>
              <w:t>Jamaica</w:t>
            </w:r>
          </w:p>
        </w:tc>
        <w:tc>
          <w:tcPr>
            <w:tcW w:w="646" w:type="pct"/>
            <w:shd w:val="clear" w:color="auto" w:fill="auto"/>
            <w:vAlign w:val="bottom"/>
          </w:tcPr>
          <w:p w14:paraId="573C9FC8" w14:textId="77777777" w:rsidR="00F44157" w:rsidRPr="00636F57" w:rsidRDefault="00333557" w:rsidP="00A7449E">
            <w:pPr>
              <w:rPr>
                <w:szCs w:val="22"/>
              </w:rPr>
            </w:pPr>
            <w:r w:rsidRPr="00636F57">
              <w:rPr>
                <w:szCs w:val="22"/>
              </w:rPr>
              <w:t>1,099</w:t>
            </w:r>
          </w:p>
        </w:tc>
        <w:tc>
          <w:tcPr>
            <w:tcW w:w="969" w:type="pct"/>
            <w:gridSpan w:val="2"/>
            <w:shd w:val="clear" w:color="auto" w:fill="auto"/>
            <w:vAlign w:val="bottom"/>
          </w:tcPr>
          <w:p w14:paraId="4BCA907A" w14:textId="77777777" w:rsidR="00F44157" w:rsidRPr="00636F57" w:rsidRDefault="00F44157" w:rsidP="00A7449E">
            <w:pPr>
              <w:rPr>
                <w:szCs w:val="22"/>
              </w:rPr>
            </w:pPr>
          </w:p>
        </w:tc>
        <w:tc>
          <w:tcPr>
            <w:tcW w:w="1085" w:type="pct"/>
            <w:shd w:val="clear" w:color="auto" w:fill="auto"/>
            <w:vAlign w:val="bottom"/>
          </w:tcPr>
          <w:p w14:paraId="35156379" w14:textId="77777777" w:rsidR="00F44157" w:rsidRPr="00636F57" w:rsidRDefault="00333557" w:rsidP="00A7449E">
            <w:pPr>
              <w:rPr>
                <w:szCs w:val="22"/>
              </w:rPr>
            </w:pPr>
            <w:r w:rsidRPr="00636F57">
              <w:rPr>
                <w:szCs w:val="22"/>
              </w:rPr>
              <w:t>1,099</w:t>
            </w:r>
          </w:p>
        </w:tc>
      </w:tr>
      <w:tr w:rsidR="000836E7" w:rsidRPr="00636F57" w14:paraId="006CCCD8" w14:textId="77777777" w:rsidTr="000836E7">
        <w:trPr>
          <w:trHeight w:val="227"/>
          <w:jc w:val="center"/>
        </w:trPr>
        <w:tc>
          <w:tcPr>
            <w:tcW w:w="757" w:type="pct"/>
            <w:shd w:val="clear" w:color="auto" w:fill="auto"/>
            <w:vAlign w:val="bottom"/>
          </w:tcPr>
          <w:p w14:paraId="64A1617E" w14:textId="77777777" w:rsidR="00F44157" w:rsidRPr="00636F57" w:rsidRDefault="00F44157" w:rsidP="00A7449E">
            <w:pPr>
              <w:rPr>
                <w:szCs w:val="22"/>
              </w:rPr>
            </w:pPr>
          </w:p>
        </w:tc>
        <w:tc>
          <w:tcPr>
            <w:tcW w:w="1543" w:type="pct"/>
            <w:shd w:val="clear" w:color="auto" w:fill="auto"/>
            <w:vAlign w:val="bottom"/>
          </w:tcPr>
          <w:p w14:paraId="1E2616A9" w14:textId="77777777" w:rsidR="00F44157" w:rsidRPr="00636F57" w:rsidRDefault="00333557" w:rsidP="00A7449E">
            <w:pPr>
              <w:rPr>
                <w:szCs w:val="22"/>
              </w:rPr>
            </w:pPr>
            <w:r w:rsidRPr="00636F57">
              <w:rPr>
                <w:szCs w:val="22"/>
              </w:rPr>
              <w:t>Dominican Republic</w:t>
            </w:r>
          </w:p>
        </w:tc>
        <w:tc>
          <w:tcPr>
            <w:tcW w:w="646" w:type="pct"/>
            <w:shd w:val="clear" w:color="auto" w:fill="auto"/>
            <w:vAlign w:val="bottom"/>
          </w:tcPr>
          <w:p w14:paraId="36401CD9" w14:textId="77777777" w:rsidR="00F44157" w:rsidRPr="00636F57" w:rsidRDefault="00333557" w:rsidP="00A7449E">
            <w:pPr>
              <w:rPr>
                <w:szCs w:val="22"/>
              </w:rPr>
            </w:pPr>
            <w:r w:rsidRPr="00636F57">
              <w:rPr>
                <w:szCs w:val="22"/>
              </w:rPr>
              <w:t>4,867</w:t>
            </w:r>
          </w:p>
        </w:tc>
        <w:tc>
          <w:tcPr>
            <w:tcW w:w="969" w:type="pct"/>
            <w:gridSpan w:val="2"/>
            <w:shd w:val="clear" w:color="auto" w:fill="auto"/>
            <w:vAlign w:val="bottom"/>
          </w:tcPr>
          <w:p w14:paraId="549F874C" w14:textId="77777777" w:rsidR="00F44157" w:rsidRPr="00636F57" w:rsidRDefault="00F44157" w:rsidP="00A7449E">
            <w:pPr>
              <w:rPr>
                <w:szCs w:val="22"/>
              </w:rPr>
            </w:pPr>
          </w:p>
        </w:tc>
        <w:tc>
          <w:tcPr>
            <w:tcW w:w="1085" w:type="pct"/>
            <w:shd w:val="clear" w:color="auto" w:fill="auto"/>
            <w:vAlign w:val="bottom"/>
          </w:tcPr>
          <w:p w14:paraId="07165FFB" w14:textId="77777777" w:rsidR="00F44157" w:rsidRPr="00636F57" w:rsidRDefault="00333557" w:rsidP="00A7449E">
            <w:pPr>
              <w:rPr>
                <w:szCs w:val="22"/>
              </w:rPr>
            </w:pPr>
            <w:r w:rsidRPr="00636F57">
              <w:rPr>
                <w:szCs w:val="22"/>
              </w:rPr>
              <w:t>4,867</w:t>
            </w:r>
          </w:p>
        </w:tc>
      </w:tr>
      <w:tr w:rsidR="000836E7" w:rsidRPr="00636F57" w14:paraId="7D75A4B7" w14:textId="77777777" w:rsidTr="000836E7">
        <w:trPr>
          <w:trHeight w:val="227"/>
          <w:jc w:val="center"/>
        </w:trPr>
        <w:tc>
          <w:tcPr>
            <w:tcW w:w="757" w:type="pct"/>
            <w:shd w:val="clear" w:color="auto" w:fill="auto"/>
            <w:vAlign w:val="bottom"/>
          </w:tcPr>
          <w:p w14:paraId="68FB37D5" w14:textId="77777777" w:rsidR="00F44157" w:rsidRPr="00636F57" w:rsidRDefault="00F44157" w:rsidP="00A7449E">
            <w:pPr>
              <w:rPr>
                <w:szCs w:val="22"/>
              </w:rPr>
            </w:pPr>
          </w:p>
        </w:tc>
        <w:tc>
          <w:tcPr>
            <w:tcW w:w="1543" w:type="pct"/>
            <w:shd w:val="clear" w:color="auto" w:fill="auto"/>
            <w:vAlign w:val="bottom"/>
          </w:tcPr>
          <w:p w14:paraId="0899DD85" w14:textId="77777777" w:rsidR="00F44157" w:rsidRPr="00636F57" w:rsidRDefault="00333557" w:rsidP="00A7449E">
            <w:pPr>
              <w:rPr>
                <w:szCs w:val="22"/>
              </w:rPr>
            </w:pPr>
            <w:r w:rsidRPr="00636F57">
              <w:rPr>
                <w:szCs w:val="22"/>
              </w:rPr>
              <w:t>St. Lucia</w:t>
            </w:r>
          </w:p>
        </w:tc>
        <w:tc>
          <w:tcPr>
            <w:tcW w:w="646" w:type="pct"/>
            <w:shd w:val="clear" w:color="auto" w:fill="auto"/>
            <w:vAlign w:val="bottom"/>
          </w:tcPr>
          <w:p w14:paraId="11D3EEEB" w14:textId="77777777" w:rsidR="00F44157" w:rsidRPr="00636F57" w:rsidRDefault="00333557" w:rsidP="00A7449E">
            <w:pPr>
              <w:rPr>
                <w:szCs w:val="22"/>
              </w:rPr>
            </w:pPr>
            <w:r w:rsidRPr="00636F57">
              <w:rPr>
                <w:szCs w:val="22"/>
              </w:rPr>
              <w:t>62</w:t>
            </w:r>
          </w:p>
        </w:tc>
        <w:tc>
          <w:tcPr>
            <w:tcW w:w="969" w:type="pct"/>
            <w:gridSpan w:val="2"/>
            <w:shd w:val="clear" w:color="auto" w:fill="auto"/>
            <w:vAlign w:val="bottom"/>
          </w:tcPr>
          <w:p w14:paraId="0A81584F" w14:textId="77777777" w:rsidR="00F44157" w:rsidRPr="00636F57" w:rsidRDefault="00F44157" w:rsidP="00A7449E">
            <w:pPr>
              <w:rPr>
                <w:szCs w:val="22"/>
              </w:rPr>
            </w:pPr>
          </w:p>
        </w:tc>
        <w:tc>
          <w:tcPr>
            <w:tcW w:w="1085" w:type="pct"/>
            <w:shd w:val="clear" w:color="auto" w:fill="auto"/>
            <w:vAlign w:val="bottom"/>
          </w:tcPr>
          <w:p w14:paraId="1F258540" w14:textId="77777777" w:rsidR="00F44157" w:rsidRPr="00636F57" w:rsidRDefault="00333557" w:rsidP="00A7449E">
            <w:pPr>
              <w:rPr>
                <w:szCs w:val="22"/>
              </w:rPr>
            </w:pPr>
            <w:r w:rsidRPr="00636F57">
              <w:rPr>
                <w:szCs w:val="22"/>
              </w:rPr>
              <w:t>62</w:t>
            </w:r>
          </w:p>
        </w:tc>
      </w:tr>
      <w:tr w:rsidR="000836E7" w:rsidRPr="00636F57" w14:paraId="59741EAE" w14:textId="77777777" w:rsidTr="000836E7">
        <w:trPr>
          <w:trHeight w:val="227"/>
          <w:jc w:val="center"/>
        </w:trPr>
        <w:tc>
          <w:tcPr>
            <w:tcW w:w="757" w:type="pct"/>
            <w:shd w:val="clear" w:color="auto" w:fill="auto"/>
            <w:vAlign w:val="bottom"/>
          </w:tcPr>
          <w:p w14:paraId="253CF0BA" w14:textId="77777777" w:rsidR="00F44157" w:rsidRPr="00636F57" w:rsidRDefault="00F44157" w:rsidP="00A7449E">
            <w:pPr>
              <w:rPr>
                <w:szCs w:val="22"/>
              </w:rPr>
            </w:pPr>
          </w:p>
        </w:tc>
        <w:tc>
          <w:tcPr>
            <w:tcW w:w="1543" w:type="pct"/>
            <w:shd w:val="clear" w:color="auto" w:fill="auto"/>
            <w:vAlign w:val="bottom"/>
          </w:tcPr>
          <w:p w14:paraId="2DEBC6F2" w14:textId="77777777" w:rsidR="00F44157" w:rsidRPr="00636F57" w:rsidRDefault="00333557" w:rsidP="00A7449E">
            <w:pPr>
              <w:rPr>
                <w:szCs w:val="22"/>
              </w:rPr>
            </w:pPr>
            <w:r w:rsidRPr="00636F57">
              <w:rPr>
                <w:szCs w:val="22"/>
              </w:rPr>
              <w:t>St. Kitts and Nevis</w:t>
            </w:r>
          </w:p>
        </w:tc>
        <w:tc>
          <w:tcPr>
            <w:tcW w:w="646" w:type="pct"/>
            <w:shd w:val="clear" w:color="auto" w:fill="auto"/>
            <w:vAlign w:val="bottom"/>
          </w:tcPr>
          <w:p w14:paraId="493BEE4E" w14:textId="77777777" w:rsidR="00F44157" w:rsidRPr="00636F57" w:rsidRDefault="00333557" w:rsidP="00A7449E">
            <w:pPr>
              <w:rPr>
                <w:szCs w:val="22"/>
              </w:rPr>
            </w:pPr>
            <w:r w:rsidRPr="00636F57">
              <w:rPr>
                <w:szCs w:val="22"/>
              </w:rPr>
              <w:t>26</w:t>
            </w:r>
          </w:p>
        </w:tc>
        <w:tc>
          <w:tcPr>
            <w:tcW w:w="969" w:type="pct"/>
            <w:gridSpan w:val="2"/>
            <w:shd w:val="clear" w:color="auto" w:fill="auto"/>
            <w:vAlign w:val="bottom"/>
          </w:tcPr>
          <w:p w14:paraId="1B320F9D" w14:textId="77777777" w:rsidR="00F44157" w:rsidRPr="00636F57" w:rsidRDefault="00F44157" w:rsidP="00A7449E">
            <w:pPr>
              <w:rPr>
                <w:szCs w:val="22"/>
              </w:rPr>
            </w:pPr>
          </w:p>
        </w:tc>
        <w:tc>
          <w:tcPr>
            <w:tcW w:w="1085" w:type="pct"/>
            <w:shd w:val="clear" w:color="auto" w:fill="auto"/>
            <w:vAlign w:val="bottom"/>
          </w:tcPr>
          <w:p w14:paraId="6A8DB560" w14:textId="77777777" w:rsidR="00F44157" w:rsidRPr="00636F57" w:rsidRDefault="00333557" w:rsidP="00A7449E">
            <w:pPr>
              <w:rPr>
                <w:szCs w:val="22"/>
              </w:rPr>
            </w:pPr>
            <w:r w:rsidRPr="00636F57">
              <w:rPr>
                <w:szCs w:val="22"/>
              </w:rPr>
              <w:t>26</w:t>
            </w:r>
          </w:p>
        </w:tc>
      </w:tr>
      <w:tr w:rsidR="000836E7" w:rsidRPr="00636F57" w14:paraId="5608C33A" w14:textId="77777777" w:rsidTr="000836E7">
        <w:trPr>
          <w:trHeight w:val="227"/>
          <w:jc w:val="center"/>
        </w:trPr>
        <w:tc>
          <w:tcPr>
            <w:tcW w:w="757" w:type="pct"/>
            <w:shd w:val="clear" w:color="auto" w:fill="auto"/>
            <w:vAlign w:val="bottom"/>
          </w:tcPr>
          <w:p w14:paraId="56C9EE3F" w14:textId="77777777" w:rsidR="00F44157" w:rsidRPr="00636F57" w:rsidRDefault="00F44157" w:rsidP="00A7449E">
            <w:pPr>
              <w:rPr>
                <w:szCs w:val="22"/>
              </w:rPr>
            </w:pPr>
          </w:p>
        </w:tc>
        <w:tc>
          <w:tcPr>
            <w:tcW w:w="1543" w:type="pct"/>
            <w:shd w:val="clear" w:color="auto" w:fill="auto"/>
            <w:vAlign w:val="bottom"/>
          </w:tcPr>
          <w:p w14:paraId="1BC5DC74" w14:textId="77777777" w:rsidR="00F44157" w:rsidRPr="00636F57" w:rsidRDefault="00333557" w:rsidP="00A7449E">
            <w:pPr>
              <w:rPr>
                <w:szCs w:val="22"/>
              </w:rPr>
            </w:pPr>
            <w:r w:rsidRPr="00636F57">
              <w:rPr>
                <w:szCs w:val="22"/>
              </w:rPr>
              <w:t>St. Vincent and the Grenadines</w:t>
            </w:r>
          </w:p>
        </w:tc>
        <w:tc>
          <w:tcPr>
            <w:tcW w:w="646" w:type="pct"/>
            <w:shd w:val="clear" w:color="auto" w:fill="auto"/>
            <w:vAlign w:val="bottom"/>
          </w:tcPr>
          <w:p w14:paraId="10A70165" w14:textId="77777777" w:rsidR="00F44157" w:rsidRPr="00636F57" w:rsidRDefault="00333557" w:rsidP="00A7449E">
            <w:pPr>
              <w:rPr>
                <w:szCs w:val="22"/>
              </w:rPr>
            </w:pPr>
            <w:r w:rsidRPr="00636F57">
              <w:rPr>
                <w:szCs w:val="22"/>
              </w:rPr>
              <w:t>39</w:t>
            </w:r>
          </w:p>
        </w:tc>
        <w:tc>
          <w:tcPr>
            <w:tcW w:w="969" w:type="pct"/>
            <w:gridSpan w:val="2"/>
            <w:shd w:val="clear" w:color="auto" w:fill="auto"/>
            <w:vAlign w:val="bottom"/>
          </w:tcPr>
          <w:p w14:paraId="71ED3C75" w14:textId="77777777" w:rsidR="00F44157" w:rsidRPr="00636F57" w:rsidRDefault="00333557" w:rsidP="00A7449E">
            <w:pPr>
              <w:rPr>
                <w:szCs w:val="22"/>
              </w:rPr>
            </w:pPr>
            <w:r w:rsidRPr="00636F57">
              <w:rPr>
                <w:szCs w:val="22"/>
              </w:rPr>
              <w:t>0,1</w:t>
            </w:r>
            <w:r w:rsidRPr="00636F57">
              <w:rPr>
                <w:szCs w:val="22"/>
                <w:vertAlign w:val="superscript"/>
              </w:rPr>
              <w:t>m</w:t>
            </w:r>
          </w:p>
        </w:tc>
        <w:tc>
          <w:tcPr>
            <w:tcW w:w="1085" w:type="pct"/>
            <w:shd w:val="clear" w:color="auto" w:fill="auto"/>
            <w:vAlign w:val="bottom"/>
          </w:tcPr>
          <w:p w14:paraId="35353A42" w14:textId="77777777" w:rsidR="00F44157" w:rsidRPr="00636F57" w:rsidRDefault="00333557" w:rsidP="00A7449E">
            <w:pPr>
              <w:rPr>
                <w:szCs w:val="22"/>
              </w:rPr>
            </w:pPr>
            <w:r w:rsidRPr="00636F57">
              <w:rPr>
                <w:szCs w:val="22"/>
              </w:rPr>
              <w:t>39</w:t>
            </w:r>
          </w:p>
        </w:tc>
      </w:tr>
      <w:tr w:rsidR="000836E7" w:rsidRPr="00636F57" w14:paraId="798009B4" w14:textId="77777777" w:rsidTr="000836E7">
        <w:trPr>
          <w:trHeight w:val="227"/>
          <w:jc w:val="center"/>
        </w:trPr>
        <w:tc>
          <w:tcPr>
            <w:tcW w:w="757" w:type="pct"/>
            <w:shd w:val="clear" w:color="auto" w:fill="auto"/>
            <w:vAlign w:val="bottom"/>
          </w:tcPr>
          <w:p w14:paraId="29366C53" w14:textId="77777777" w:rsidR="00F44157" w:rsidRPr="00636F57" w:rsidRDefault="00F44157" w:rsidP="00A7449E">
            <w:pPr>
              <w:rPr>
                <w:szCs w:val="22"/>
              </w:rPr>
            </w:pPr>
          </w:p>
        </w:tc>
        <w:tc>
          <w:tcPr>
            <w:tcW w:w="1543" w:type="pct"/>
            <w:shd w:val="clear" w:color="auto" w:fill="auto"/>
            <w:vAlign w:val="bottom"/>
          </w:tcPr>
          <w:p w14:paraId="27E68758" w14:textId="77777777" w:rsidR="00F44157" w:rsidRPr="00636F57" w:rsidRDefault="00333557" w:rsidP="00A7449E">
            <w:pPr>
              <w:rPr>
                <w:szCs w:val="22"/>
              </w:rPr>
            </w:pPr>
            <w:r w:rsidRPr="00636F57">
              <w:rPr>
                <w:szCs w:val="22"/>
              </w:rPr>
              <w:t>Trinidad and Tobago</w:t>
            </w:r>
          </w:p>
        </w:tc>
        <w:tc>
          <w:tcPr>
            <w:tcW w:w="646" w:type="pct"/>
            <w:shd w:val="clear" w:color="auto" w:fill="auto"/>
            <w:vAlign w:val="bottom"/>
          </w:tcPr>
          <w:p w14:paraId="51E2F09E" w14:textId="77777777" w:rsidR="00F44157" w:rsidRPr="00636F57" w:rsidRDefault="00333557" w:rsidP="00A7449E">
            <w:pPr>
              <w:rPr>
                <w:szCs w:val="22"/>
              </w:rPr>
            </w:pPr>
            <w:r w:rsidRPr="00636F57">
              <w:rPr>
                <w:szCs w:val="22"/>
              </w:rPr>
              <w:t>513</w:t>
            </w:r>
          </w:p>
        </w:tc>
        <w:tc>
          <w:tcPr>
            <w:tcW w:w="969" w:type="pct"/>
            <w:gridSpan w:val="2"/>
            <w:shd w:val="clear" w:color="auto" w:fill="auto"/>
            <w:vAlign w:val="bottom"/>
          </w:tcPr>
          <w:p w14:paraId="0A35B957" w14:textId="77777777" w:rsidR="00F44157" w:rsidRPr="00636F57" w:rsidRDefault="00333557" w:rsidP="00A7449E">
            <w:pPr>
              <w:rPr>
                <w:szCs w:val="22"/>
              </w:rPr>
            </w:pPr>
            <w:r w:rsidRPr="00636F57">
              <w:rPr>
                <w:szCs w:val="22"/>
              </w:rPr>
              <w:t>0</w:t>
            </w:r>
            <w:r w:rsidRPr="00636F57">
              <w:rPr>
                <w:szCs w:val="22"/>
                <w:vertAlign w:val="superscript"/>
              </w:rPr>
              <w:t>n</w:t>
            </w:r>
          </w:p>
        </w:tc>
        <w:tc>
          <w:tcPr>
            <w:tcW w:w="1085" w:type="pct"/>
            <w:shd w:val="clear" w:color="auto" w:fill="auto"/>
            <w:vAlign w:val="bottom"/>
          </w:tcPr>
          <w:p w14:paraId="4A13ED36" w14:textId="77777777" w:rsidR="00F44157" w:rsidRPr="00636F57" w:rsidRDefault="00333557" w:rsidP="00A7449E">
            <w:pPr>
              <w:rPr>
                <w:szCs w:val="22"/>
              </w:rPr>
            </w:pPr>
            <w:r w:rsidRPr="00636F57">
              <w:rPr>
                <w:szCs w:val="22"/>
              </w:rPr>
              <w:t>513</w:t>
            </w:r>
          </w:p>
        </w:tc>
      </w:tr>
      <w:tr w:rsidR="00202818" w:rsidRPr="00636F57" w14:paraId="3813BE25" w14:textId="77777777" w:rsidTr="00282C6C">
        <w:trPr>
          <w:trHeight w:val="212"/>
          <w:jc w:val="center"/>
        </w:trPr>
        <w:tc>
          <w:tcPr>
            <w:tcW w:w="757" w:type="pct"/>
            <w:shd w:val="clear" w:color="auto" w:fill="auto"/>
            <w:vAlign w:val="bottom"/>
          </w:tcPr>
          <w:p w14:paraId="40013D78" w14:textId="77777777" w:rsidR="00202818" w:rsidRPr="00636F57" w:rsidRDefault="00202818" w:rsidP="00202818">
            <w:pPr>
              <w:spacing w:line="192" w:lineRule="auto"/>
              <w:rPr>
                <w:szCs w:val="22"/>
              </w:rPr>
            </w:pPr>
          </w:p>
        </w:tc>
        <w:tc>
          <w:tcPr>
            <w:tcW w:w="2339" w:type="pct"/>
            <w:gridSpan w:val="3"/>
            <w:tcBorders>
              <w:top w:val="single" w:sz="4" w:space="0" w:color="auto"/>
              <w:right w:val="single" w:sz="4" w:space="0" w:color="FFFFFF" w:themeColor="background1"/>
            </w:tcBorders>
            <w:shd w:val="clear" w:color="auto" w:fill="auto"/>
            <w:vAlign w:val="bottom"/>
          </w:tcPr>
          <w:p w14:paraId="0AA000D6" w14:textId="79BA73B2" w:rsidR="00202818" w:rsidRPr="00636F57" w:rsidRDefault="00D0482F" w:rsidP="00B33BD5">
            <w:pPr>
              <w:numPr>
                <w:ilvl w:val="0"/>
                <w:numId w:val="5"/>
              </w:numPr>
              <w:tabs>
                <w:tab w:val="left" w:pos="219"/>
              </w:tabs>
              <w:spacing w:line="192" w:lineRule="auto"/>
              <w:ind w:left="45" w:firstLine="0"/>
              <w:rPr>
                <w:sz w:val="20"/>
                <w:szCs w:val="20"/>
              </w:rPr>
            </w:pPr>
            <w:r w:rsidRPr="00636F57">
              <w:rPr>
                <w:sz w:val="20"/>
                <w:szCs w:val="20"/>
              </w:rPr>
              <w:t>IBGE (</w:t>
            </w:r>
            <w:r w:rsidR="00202818" w:rsidRPr="00636F57">
              <w:rPr>
                <w:sz w:val="20"/>
                <w:szCs w:val="20"/>
              </w:rPr>
              <w:t>2017</w:t>
            </w:r>
            <w:r w:rsidRPr="00636F57">
              <w:rPr>
                <w:sz w:val="20"/>
                <w:szCs w:val="20"/>
              </w:rPr>
              <w:t>)</w:t>
            </w:r>
          </w:p>
          <w:p w14:paraId="374CB5DC" w14:textId="7D64CDB5" w:rsidR="00202818" w:rsidRPr="00636F57" w:rsidRDefault="00D0482F" w:rsidP="00B33BD5">
            <w:pPr>
              <w:numPr>
                <w:ilvl w:val="0"/>
                <w:numId w:val="5"/>
              </w:numPr>
              <w:tabs>
                <w:tab w:val="left" w:pos="219"/>
              </w:tabs>
              <w:spacing w:line="192" w:lineRule="auto"/>
              <w:ind w:left="48" w:firstLine="0"/>
              <w:rPr>
                <w:sz w:val="20"/>
                <w:szCs w:val="20"/>
              </w:rPr>
            </w:pPr>
            <w:r w:rsidRPr="00636F57">
              <w:rPr>
                <w:sz w:val="20"/>
                <w:szCs w:val="20"/>
              </w:rPr>
              <w:t>Central Intelligence Agency (</w:t>
            </w:r>
            <w:r w:rsidR="00202818" w:rsidRPr="00636F57">
              <w:rPr>
                <w:sz w:val="20"/>
                <w:szCs w:val="20"/>
              </w:rPr>
              <w:t>2015</w:t>
            </w:r>
            <w:r w:rsidRPr="00636F57">
              <w:rPr>
                <w:sz w:val="20"/>
                <w:szCs w:val="20"/>
              </w:rPr>
              <w:t>)</w:t>
            </w:r>
          </w:p>
          <w:p w14:paraId="14E98188" w14:textId="2D0F1AB4" w:rsidR="00202818" w:rsidRPr="00636F57" w:rsidRDefault="00D0482F" w:rsidP="00B33BD5">
            <w:pPr>
              <w:numPr>
                <w:ilvl w:val="0"/>
                <w:numId w:val="5"/>
              </w:numPr>
              <w:tabs>
                <w:tab w:val="left" w:pos="219"/>
              </w:tabs>
              <w:spacing w:line="192" w:lineRule="auto"/>
              <w:ind w:left="48" w:firstLine="0"/>
              <w:rPr>
                <w:sz w:val="20"/>
                <w:szCs w:val="20"/>
              </w:rPr>
            </w:pPr>
            <w:r w:rsidRPr="00636F57">
              <w:rPr>
                <w:sz w:val="20"/>
                <w:szCs w:val="20"/>
              </w:rPr>
              <w:t>Statistics Canada (201)</w:t>
            </w:r>
          </w:p>
          <w:p w14:paraId="5D1AF241" w14:textId="64C4ECD5" w:rsidR="00202818" w:rsidRPr="00636F57" w:rsidRDefault="00202818" w:rsidP="00B33BD5">
            <w:pPr>
              <w:numPr>
                <w:ilvl w:val="0"/>
                <w:numId w:val="5"/>
              </w:numPr>
              <w:tabs>
                <w:tab w:val="left" w:pos="219"/>
              </w:tabs>
              <w:spacing w:line="192" w:lineRule="auto"/>
              <w:ind w:left="48" w:firstLine="0"/>
              <w:rPr>
                <w:sz w:val="20"/>
                <w:szCs w:val="20"/>
              </w:rPr>
            </w:pPr>
            <w:r w:rsidRPr="00636F57">
              <w:rPr>
                <w:sz w:val="20"/>
                <w:szCs w:val="20"/>
              </w:rPr>
              <w:t xml:space="preserve">USA Department </w:t>
            </w:r>
            <w:r w:rsidR="00D0482F" w:rsidRPr="00636F57">
              <w:rPr>
                <w:sz w:val="20"/>
                <w:szCs w:val="20"/>
              </w:rPr>
              <w:t>of the Interior Indians Affair (</w:t>
            </w:r>
            <w:r w:rsidRPr="00636F57">
              <w:rPr>
                <w:sz w:val="20"/>
                <w:szCs w:val="20"/>
              </w:rPr>
              <w:t>2017</w:t>
            </w:r>
            <w:r w:rsidR="00D0482F" w:rsidRPr="00636F57">
              <w:rPr>
                <w:sz w:val="20"/>
                <w:szCs w:val="20"/>
              </w:rPr>
              <w:t>)</w:t>
            </w:r>
          </w:p>
          <w:p w14:paraId="6DCC9C20" w14:textId="0EEFD912" w:rsidR="00202818" w:rsidRPr="00636F57" w:rsidRDefault="00D0482F" w:rsidP="00B33BD5">
            <w:pPr>
              <w:numPr>
                <w:ilvl w:val="0"/>
                <w:numId w:val="5"/>
              </w:numPr>
              <w:tabs>
                <w:tab w:val="left" w:pos="219"/>
              </w:tabs>
              <w:spacing w:line="192" w:lineRule="auto"/>
              <w:ind w:left="48" w:firstLine="0"/>
              <w:rPr>
                <w:sz w:val="20"/>
                <w:szCs w:val="20"/>
                <w:lang w:val="es-CO"/>
              </w:rPr>
            </w:pPr>
            <w:r w:rsidRPr="00636F57">
              <w:rPr>
                <w:sz w:val="20"/>
                <w:szCs w:val="20"/>
                <w:lang w:val="es-CO"/>
              </w:rPr>
              <w:t xml:space="preserve">Blaser </w:t>
            </w:r>
            <w:r w:rsidRPr="00636F57">
              <w:rPr>
                <w:i/>
                <w:sz w:val="20"/>
                <w:szCs w:val="20"/>
                <w:lang w:val="es-CO"/>
              </w:rPr>
              <w:t>et al.</w:t>
            </w:r>
            <w:r w:rsidRPr="00636F57">
              <w:rPr>
                <w:sz w:val="20"/>
                <w:szCs w:val="20"/>
                <w:lang w:val="es-CO"/>
              </w:rPr>
              <w:t xml:space="preserve"> (</w:t>
            </w:r>
            <w:r w:rsidR="00202818" w:rsidRPr="00636F57">
              <w:rPr>
                <w:sz w:val="20"/>
                <w:szCs w:val="20"/>
                <w:lang w:val="es-CO"/>
              </w:rPr>
              <w:t>2011</w:t>
            </w:r>
            <w:r w:rsidRPr="00636F57">
              <w:rPr>
                <w:sz w:val="20"/>
                <w:szCs w:val="20"/>
                <w:lang w:val="es-CO"/>
              </w:rPr>
              <w:t>)</w:t>
            </w:r>
          </w:p>
          <w:p w14:paraId="5D8E62C5" w14:textId="169E35F4" w:rsidR="00202818" w:rsidRPr="00636F57" w:rsidRDefault="00202818" w:rsidP="00B33BD5">
            <w:pPr>
              <w:numPr>
                <w:ilvl w:val="0"/>
                <w:numId w:val="5"/>
              </w:numPr>
              <w:tabs>
                <w:tab w:val="left" w:pos="219"/>
              </w:tabs>
              <w:spacing w:line="192" w:lineRule="auto"/>
              <w:ind w:left="48" w:firstLine="0"/>
              <w:rPr>
                <w:sz w:val="20"/>
                <w:szCs w:val="20"/>
                <w:lang w:val="es-CO"/>
              </w:rPr>
            </w:pPr>
            <w:r w:rsidRPr="00636F57">
              <w:rPr>
                <w:sz w:val="20"/>
                <w:szCs w:val="20"/>
                <w:lang w:val="es-CO"/>
              </w:rPr>
              <w:t xml:space="preserve">Hansen </w:t>
            </w:r>
            <w:r w:rsidRPr="00636F57">
              <w:rPr>
                <w:i/>
                <w:sz w:val="20"/>
                <w:szCs w:val="20"/>
                <w:lang w:val="es-CO"/>
              </w:rPr>
              <w:t>et al.</w:t>
            </w:r>
            <w:r w:rsidR="00D0482F" w:rsidRPr="00636F57">
              <w:rPr>
                <w:sz w:val="20"/>
                <w:szCs w:val="20"/>
                <w:lang w:val="es-CO"/>
              </w:rPr>
              <w:t xml:space="preserve"> (</w:t>
            </w:r>
            <w:r w:rsidRPr="00636F57">
              <w:rPr>
                <w:sz w:val="20"/>
                <w:szCs w:val="20"/>
                <w:lang w:val="es-CO"/>
              </w:rPr>
              <w:t>2017</w:t>
            </w:r>
            <w:r w:rsidR="00D0482F" w:rsidRPr="00636F57">
              <w:rPr>
                <w:sz w:val="20"/>
                <w:szCs w:val="20"/>
                <w:lang w:val="es-CO"/>
              </w:rPr>
              <w:t>)</w:t>
            </w:r>
          </w:p>
          <w:p w14:paraId="77E84417" w14:textId="10526B5E" w:rsidR="00202818" w:rsidRPr="00636F57" w:rsidRDefault="00202818" w:rsidP="00B33BD5">
            <w:pPr>
              <w:numPr>
                <w:ilvl w:val="0"/>
                <w:numId w:val="5"/>
              </w:numPr>
              <w:tabs>
                <w:tab w:val="left" w:pos="219"/>
              </w:tabs>
              <w:spacing w:line="192" w:lineRule="auto"/>
              <w:ind w:left="48" w:firstLine="0"/>
              <w:rPr>
                <w:sz w:val="20"/>
                <w:szCs w:val="20"/>
                <w:lang w:val="es-CO"/>
              </w:rPr>
            </w:pPr>
            <w:r w:rsidRPr="00636F57">
              <w:rPr>
                <w:sz w:val="20"/>
                <w:szCs w:val="20"/>
                <w:lang w:val="es-CO"/>
              </w:rPr>
              <w:t>Cultur</w:t>
            </w:r>
            <w:r w:rsidR="00D0482F" w:rsidRPr="00636F57">
              <w:rPr>
                <w:sz w:val="20"/>
                <w:szCs w:val="20"/>
                <w:lang w:val="es-CO"/>
              </w:rPr>
              <w:t>al Survival Quarterly Magazine 8</w:t>
            </w:r>
            <w:r w:rsidRPr="00636F57">
              <w:rPr>
                <w:sz w:val="20"/>
                <w:szCs w:val="20"/>
                <w:lang w:val="es-CO"/>
              </w:rPr>
              <w:t>2013</w:t>
            </w:r>
            <w:r w:rsidR="00D0482F" w:rsidRPr="00636F57">
              <w:rPr>
                <w:sz w:val="20"/>
                <w:szCs w:val="20"/>
                <w:lang w:val="es-CO"/>
              </w:rPr>
              <w:t>)</w:t>
            </w:r>
          </w:p>
          <w:p w14:paraId="24892E47" w14:textId="77777777" w:rsidR="0038712E" w:rsidRPr="00636F57" w:rsidRDefault="0038712E" w:rsidP="0038712E">
            <w:pPr>
              <w:tabs>
                <w:tab w:val="left" w:pos="219"/>
              </w:tabs>
              <w:spacing w:line="192" w:lineRule="auto"/>
              <w:rPr>
                <w:sz w:val="20"/>
                <w:szCs w:val="20"/>
                <w:lang w:val="es-CO"/>
              </w:rPr>
            </w:pPr>
          </w:p>
          <w:p w14:paraId="6C41886D" w14:textId="3DC1204D" w:rsidR="0038712E" w:rsidRPr="00636F57" w:rsidRDefault="0038712E" w:rsidP="0038712E">
            <w:pPr>
              <w:tabs>
                <w:tab w:val="left" w:pos="219"/>
              </w:tabs>
              <w:spacing w:line="192" w:lineRule="auto"/>
              <w:rPr>
                <w:sz w:val="20"/>
                <w:szCs w:val="20"/>
                <w:lang w:val="es-CO"/>
              </w:rPr>
            </w:pPr>
            <w:r w:rsidRPr="00636F57">
              <w:rPr>
                <w:sz w:val="20"/>
                <w:szCs w:val="20"/>
                <w:lang w:val="es-CO"/>
              </w:rPr>
              <w:t>Nd: No data</w:t>
            </w:r>
          </w:p>
        </w:tc>
        <w:tc>
          <w:tcPr>
            <w:tcW w:w="1904" w:type="pct"/>
            <w:gridSpan w:val="2"/>
            <w:tcBorders>
              <w:left w:val="single" w:sz="4" w:space="0" w:color="FFFFFF" w:themeColor="background1"/>
            </w:tcBorders>
            <w:shd w:val="clear" w:color="auto" w:fill="auto"/>
            <w:vAlign w:val="bottom"/>
          </w:tcPr>
          <w:p w14:paraId="790FAACA" w14:textId="2F389A24" w:rsidR="00202818" w:rsidRPr="00636F57" w:rsidRDefault="001A3AAC" w:rsidP="00B33BD5">
            <w:pPr>
              <w:numPr>
                <w:ilvl w:val="0"/>
                <w:numId w:val="5"/>
              </w:numPr>
              <w:tabs>
                <w:tab w:val="left" w:pos="219"/>
              </w:tabs>
              <w:spacing w:line="192" w:lineRule="auto"/>
              <w:ind w:left="48" w:firstLine="0"/>
              <w:rPr>
                <w:sz w:val="20"/>
                <w:szCs w:val="20"/>
                <w:lang w:val="es-CO"/>
              </w:rPr>
            </w:pPr>
            <w:r w:rsidRPr="00636F57">
              <w:rPr>
                <w:sz w:val="20"/>
                <w:szCs w:val="20"/>
                <w:lang w:val="es-CO"/>
              </w:rPr>
              <w:t xml:space="preserve">Instituto Socioambiental </w:t>
            </w:r>
            <w:r w:rsidR="00D0482F" w:rsidRPr="00636F57">
              <w:rPr>
                <w:sz w:val="20"/>
                <w:szCs w:val="20"/>
                <w:lang w:val="es-CO"/>
              </w:rPr>
              <w:t>(ISA) (</w:t>
            </w:r>
            <w:r w:rsidR="00202818" w:rsidRPr="00636F57">
              <w:rPr>
                <w:sz w:val="20"/>
                <w:szCs w:val="20"/>
                <w:lang w:val="es-CO"/>
              </w:rPr>
              <w:t>2017</w:t>
            </w:r>
            <w:r w:rsidR="00D0482F" w:rsidRPr="00636F57">
              <w:rPr>
                <w:sz w:val="20"/>
                <w:szCs w:val="20"/>
                <w:lang w:val="es-CO"/>
              </w:rPr>
              <w:t>)</w:t>
            </w:r>
            <w:r w:rsidR="00202818" w:rsidRPr="00636F57">
              <w:rPr>
                <w:sz w:val="20"/>
                <w:szCs w:val="20"/>
                <w:lang w:val="es-CO"/>
              </w:rPr>
              <w:t xml:space="preserve"> </w:t>
            </w:r>
          </w:p>
          <w:p w14:paraId="6917FD8B" w14:textId="6D725587" w:rsidR="00202818" w:rsidRPr="00636F57" w:rsidRDefault="00D0482F" w:rsidP="00B33BD5">
            <w:pPr>
              <w:numPr>
                <w:ilvl w:val="0"/>
                <w:numId w:val="5"/>
              </w:numPr>
              <w:tabs>
                <w:tab w:val="left" w:pos="219"/>
              </w:tabs>
              <w:spacing w:line="192" w:lineRule="auto"/>
              <w:ind w:left="48" w:firstLine="0"/>
              <w:rPr>
                <w:sz w:val="20"/>
                <w:szCs w:val="20"/>
                <w:lang w:val="es-CO"/>
              </w:rPr>
            </w:pPr>
            <w:r w:rsidRPr="00636F57">
              <w:rPr>
                <w:sz w:val="20"/>
                <w:szCs w:val="20"/>
                <w:lang w:val="es-CO"/>
              </w:rPr>
              <w:t>FAO (</w:t>
            </w:r>
            <w:r w:rsidR="00202818" w:rsidRPr="00636F57">
              <w:rPr>
                <w:sz w:val="20"/>
                <w:szCs w:val="20"/>
                <w:lang w:val="es-CO"/>
              </w:rPr>
              <w:t>2012b</w:t>
            </w:r>
            <w:r w:rsidRPr="00636F57">
              <w:rPr>
                <w:sz w:val="20"/>
                <w:szCs w:val="20"/>
                <w:lang w:val="es-CO"/>
              </w:rPr>
              <w:t>)</w:t>
            </w:r>
          </w:p>
          <w:p w14:paraId="5866A891" w14:textId="00869A87" w:rsidR="00202818" w:rsidRPr="00636F57" w:rsidRDefault="00202818" w:rsidP="00B33BD5">
            <w:pPr>
              <w:numPr>
                <w:ilvl w:val="0"/>
                <w:numId w:val="5"/>
              </w:numPr>
              <w:tabs>
                <w:tab w:val="left" w:pos="219"/>
              </w:tabs>
              <w:spacing w:line="192" w:lineRule="auto"/>
              <w:ind w:left="48" w:firstLine="0"/>
              <w:rPr>
                <w:sz w:val="20"/>
                <w:szCs w:val="20"/>
              </w:rPr>
            </w:pPr>
            <w:r w:rsidRPr="00636F57">
              <w:rPr>
                <w:sz w:val="20"/>
                <w:szCs w:val="20"/>
                <w:lang w:val="es-CO"/>
              </w:rPr>
              <w:t>Va</w:t>
            </w:r>
            <w:r w:rsidR="00D0482F" w:rsidRPr="00636F57">
              <w:rPr>
                <w:sz w:val="20"/>
                <w:szCs w:val="20"/>
              </w:rPr>
              <w:t>n Dam (</w:t>
            </w:r>
            <w:r w:rsidRPr="00636F57">
              <w:rPr>
                <w:sz w:val="20"/>
                <w:szCs w:val="20"/>
              </w:rPr>
              <w:t>2011</w:t>
            </w:r>
            <w:r w:rsidR="00D0482F" w:rsidRPr="00636F57">
              <w:rPr>
                <w:sz w:val="20"/>
                <w:szCs w:val="20"/>
              </w:rPr>
              <w:t>)</w:t>
            </w:r>
          </w:p>
          <w:p w14:paraId="755DB22B" w14:textId="78B0799A" w:rsidR="00202818" w:rsidRPr="00636F57" w:rsidRDefault="00D0482F" w:rsidP="00B33BD5">
            <w:pPr>
              <w:numPr>
                <w:ilvl w:val="0"/>
                <w:numId w:val="5"/>
              </w:numPr>
              <w:tabs>
                <w:tab w:val="left" w:pos="219"/>
              </w:tabs>
              <w:spacing w:line="192" w:lineRule="auto"/>
              <w:ind w:left="48" w:firstLine="0"/>
              <w:rPr>
                <w:sz w:val="20"/>
                <w:szCs w:val="20"/>
              </w:rPr>
            </w:pPr>
            <w:r w:rsidRPr="00636F57">
              <w:rPr>
                <w:sz w:val="20"/>
                <w:szCs w:val="20"/>
              </w:rPr>
              <w:t>Amerindian Peoples Association (</w:t>
            </w:r>
            <w:r w:rsidR="00202818" w:rsidRPr="00636F57">
              <w:rPr>
                <w:sz w:val="20"/>
                <w:szCs w:val="20"/>
              </w:rPr>
              <w:t>2017</w:t>
            </w:r>
            <w:r w:rsidRPr="00636F57">
              <w:rPr>
                <w:sz w:val="20"/>
                <w:szCs w:val="20"/>
              </w:rPr>
              <w:t>)</w:t>
            </w:r>
          </w:p>
          <w:p w14:paraId="26890040" w14:textId="03BB8C78" w:rsidR="00202818" w:rsidRPr="00636F57" w:rsidRDefault="00D0482F" w:rsidP="00B33BD5">
            <w:pPr>
              <w:numPr>
                <w:ilvl w:val="0"/>
                <w:numId w:val="5"/>
              </w:numPr>
              <w:tabs>
                <w:tab w:val="left" w:pos="219"/>
              </w:tabs>
              <w:spacing w:line="192" w:lineRule="auto"/>
              <w:ind w:left="48" w:firstLine="0"/>
              <w:rPr>
                <w:sz w:val="20"/>
                <w:szCs w:val="20"/>
              </w:rPr>
            </w:pPr>
            <w:r w:rsidRPr="00636F57">
              <w:rPr>
                <w:sz w:val="20"/>
                <w:szCs w:val="20"/>
              </w:rPr>
              <w:t>Kalinago Territory (</w:t>
            </w:r>
            <w:r w:rsidR="00202818" w:rsidRPr="00636F57">
              <w:rPr>
                <w:sz w:val="20"/>
                <w:szCs w:val="20"/>
              </w:rPr>
              <w:t>2017</w:t>
            </w:r>
            <w:r w:rsidRPr="00636F57">
              <w:rPr>
                <w:sz w:val="20"/>
                <w:szCs w:val="20"/>
              </w:rPr>
              <w:t>)</w:t>
            </w:r>
          </w:p>
          <w:p w14:paraId="70DB6EFD" w14:textId="349F26CC" w:rsidR="00202818" w:rsidRPr="00636F57" w:rsidRDefault="00202818" w:rsidP="00B33BD5">
            <w:pPr>
              <w:numPr>
                <w:ilvl w:val="0"/>
                <w:numId w:val="5"/>
              </w:numPr>
              <w:tabs>
                <w:tab w:val="left" w:pos="219"/>
                <w:tab w:val="left" w:pos="326"/>
              </w:tabs>
              <w:spacing w:line="192" w:lineRule="auto"/>
              <w:ind w:left="48" w:firstLine="0"/>
              <w:rPr>
                <w:rFonts w:eastAsia="Calibri"/>
                <w:b/>
                <w:i/>
                <w:iCs/>
                <w:sz w:val="20"/>
                <w:szCs w:val="20"/>
              </w:rPr>
            </w:pPr>
            <w:r w:rsidRPr="00636F57">
              <w:rPr>
                <w:sz w:val="20"/>
                <w:szCs w:val="20"/>
              </w:rPr>
              <w:t>Cultur</w:t>
            </w:r>
            <w:r w:rsidR="00D0482F" w:rsidRPr="00636F57">
              <w:rPr>
                <w:sz w:val="20"/>
                <w:szCs w:val="20"/>
              </w:rPr>
              <w:t>al Survival Quarterly Magazine (</w:t>
            </w:r>
            <w:r w:rsidRPr="00636F57">
              <w:rPr>
                <w:sz w:val="20"/>
                <w:szCs w:val="20"/>
              </w:rPr>
              <w:t>2017</w:t>
            </w:r>
            <w:r w:rsidR="00D0482F" w:rsidRPr="00636F57">
              <w:rPr>
                <w:sz w:val="20"/>
                <w:szCs w:val="20"/>
              </w:rPr>
              <w:t>)</w:t>
            </w:r>
          </w:p>
          <w:p w14:paraId="42B792C3" w14:textId="5B2B7D5F" w:rsidR="00202818" w:rsidRPr="00636F57" w:rsidRDefault="00202818" w:rsidP="00B33BD5">
            <w:pPr>
              <w:numPr>
                <w:ilvl w:val="0"/>
                <w:numId w:val="5"/>
              </w:numPr>
              <w:tabs>
                <w:tab w:val="left" w:pos="219"/>
              </w:tabs>
              <w:spacing w:line="192" w:lineRule="auto"/>
              <w:ind w:left="48" w:firstLine="0"/>
              <w:rPr>
                <w:sz w:val="20"/>
                <w:szCs w:val="20"/>
              </w:rPr>
            </w:pPr>
            <w:r w:rsidRPr="00636F57">
              <w:rPr>
                <w:sz w:val="20"/>
                <w:szCs w:val="20"/>
              </w:rPr>
              <w:t xml:space="preserve">Santa Rosa First Peoples </w:t>
            </w:r>
            <w:r w:rsidR="00D0482F" w:rsidRPr="00636F57">
              <w:rPr>
                <w:sz w:val="20"/>
                <w:szCs w:val="20"/>
              </w:rPr>
              <w:t>Community (</w:t>
            </w:r>
            <w:r w:rsidRPr="00636F57">
              <w:rPr>
                <w:sz w:val="20"/>
                <w:szCs w:val="20"/>
              </w:rPr>
              <w:t>2015</w:t>
            </w:r>
            <w:r w:rsidR="00D0482F" w:rsidRPr="00636F57">
              <w:rPr>
                <w:sz w:val="20"/>
                <w:szCs w:val="20"/>
              </w:rPr>
              <w:t>)</w:t>
            </w:r>
          </w:p>
          <w:p w14:paraId="2D3DD4A6" w14:textId="77777777" w:rsidR="0038712E" w:rsidRPr="00636F57" w:rsidRDefault="0038712E" w:rsidP="0038712E">
            <w:pPr>
              <w:tabs>
                <w:tab w:val="left" w:pos="219"/>
              </w:tabs>
              <w:spacing w:line="192" w:lineRule="auto"/>
              <w:ind w:left="48"/>
              <w:rPr>
                <w:sz w:val="20"/>
                <w:szCs w:val="20"/>
              </w:rPr>
            </w:pPr>
          </w:p>
        </w:tc>
      </w:tr>
    </w:tbl>
    <w:p w14:paraId="075128EE" w14:textId="10570C70" w:rsidR="00F44157" w:rsidRPr="008608AA" w:rsidRDefault="00333557" w:rsidP="00202818">
      <w:pPr>
        <w:pStyle w:val="Heading3"/>
        <w:spacing w:before="240"/>
      </w:pPr>
      <w:bookmarkStart w:id="444" w:name="_Toc502908186"/>
      <w:bookmarkStart w:id="445" w:name="_Toc502927276"/>
      <w:bookmarkStart w:id="446" w:name="_Toc502951112"/>
      <w:bookmarkStart w:id="447" w:name="_Toc502953555"/>
      <w:bookmarkStart w:id="448" w:name="_Toc502954848"/>
      <w:bookmarkStart w:id="449" w:name="_Toc502957655"/>
      <w:bookmarkStart w:id="450" w:name="_Toc502958008"/>
      <w:bookmarkStart w:id="451" w:name="_Toc503293652"/>
      <w:bookmarkStart w:id="452" w:name="_Toc503293914"/>
      <w:bookmarkStart w:id="453" w:name="_Toc503863307"/>
      <w:bookmarkStart w:id="454" w:name="_Toc503863535"/>
      <w:bookmarkStart w:id="455" w:name="_Toc517391835"/>
      <w:bookmarkStart w:id="456" w:name="_Toc517393229"/>
      <w:bookmarkStart w:id="457" w:name="_Toc517718970"/>
      <w:bookmarkStart w:id="458" w:name="_Toc517796927"/>
      <w:r w:rsidRPr="008608AA">
        <w:t>Socio-economic features</w:t>
      </w:r>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r w:rsidRPr="008608AA">
        <w:t xml:space="preserve"> </w:t>
      </w:r>
    </w:p>
    <w:p w14:paraId="4F9BDA52" w14:textId="407BB6F6" w:rsidR="00F44157" w:rsidRPr="008608AA" w:rsidRDefault="00333557" w:rsidP="0038712E">
      <w:pPr>
        <w:spacing w:before="120" w:after="120"/>
      </w:pPr>
      <w:r w:rsidRPr="008608AA">
        <w:t xml:space="preserve">The population </w:t>
      </w:r>
      <w:r w:rsidR="000130AC" w:rsidRPr="008608AA">
        <w:t xml:space="preserve">in the Americas </w:t>
      </w:r>
      <w:r w:rsidRPr="008608AA">
        <w:t>represent 15% of the total global human population (UNDP, 2016) with a population density in the Americas ranges from 2 per 100 km</w:t>
      </w:r>
      <w:r w:rsidRPr="008608AA">
        <w:rPr>
          <w:vertAlign w:val="superscript"/>
        </w:rPr>
        <w:t>2</w:t>
      </w:r>
      <w:r w:rsidRPr="008608AA">
        <w:t xml:space="preserve"> of land in Greenland to over 9,000 per km</w:t>
      </w:r>
      <w:r w:rsidRPr="008608AA">
        <w:rPr>
          <w:vertAlign w:val="superscript"/>
        </w:rPr>
        <w:t>2</w:t>
      </w:r>
      <w:r w:rsidRPr="008608AA">
        <w:t xml:space="preserve"> in several</w:t>
      </w:r>
      <w:r w:rsidR="00387DEC" w:rsidRPr="008608AA">
        <w:t xml:space="preserve"> core</w:t>
      </w:r>
      <w:r w:rsidRPr="008608AA">
        <w:t xml:space="preserve"> urban centers. It includes the most urbanized regions in the world (North America and Latin America and the Caribbean with 82</w:t>
      </w:r>
      <w:r w:rsidR="00083302" w:rsidRPr="008608AA">
        <w:t>%</w:t>
      </w:r>
      <w:r w:rsidRPr="008608AA">
        <w:t xml:space="preserve"> and 80</w:t>
      </w:r>
      <w:r w:rsidR="00083302" w:rsidRPr="008608AA">
        <w:t xml:space="preserve">% </w:t>
      </w:r>
      <w:r w:rsidRPr="008608AA">
        <w:t xml:space="preserve">of inhabitants living in urban areas respectively) (UN-DESA, </w:t>
      </w:r>
      <w:r w:rsidR="00DF0D5E" w:rsidRPr="008608AA">
        <w:t>2016</w:t>
      </w:r>
      <w:r w:rsidRPr="008608AA">
        <w:t xml:space="preserve">). Five cities in the Americas (Sao Paulo, Mexico DF, New York-Newark, Buenos Aires and Rio de Janeiro) are in the top 20 world’s megacities (more than 10 million inhabitants) in 2016 (UN-DESA, 2016). </w:t>
      </w:r>
    </w:p>
    <w:p w14:paraId="29136DE8" w14:textId="77777777" w:rsidR="00F44157" w:rsidRPr="008608AA" w:rsidRDefault="00333557" w:rsidP="0038712E">
      <w:pPr>
        <w:spacing w:before="120" w:after="120"/>
      </w:pPr>
      <w:r w:rsidRPr="008608AA">
        <w:t>Patterns of economic growth differ both, among and within the subregions. Some key socio-economic indicators such as the GDP</w:t>
      </w:r>
      <w:r w:rsidRPr="008608AA">
        <w:rPr>
          <w:rStyle w:val="FootnoteReference"/>
          <w:szCs w:val="22"/>
        </w:rPr>
        <w:footnoteReference w:id="5"/>
      </w:r>
      <w:r w:rsidRPr="008608AA">
        <w:t>, the Globalization index</w:t>
      </w:r>
      <w:r w:rsidRPr="008608AA">
        <w:rPr>
          <w:rStyle w:val="FootnoteReference"/>
          <w:szCs w:val="22"/>
        </w:rPr>
        <w:footnoteReference w:id="6"/>
      </w:r>
      <w:r w:rsidRPr="008608AA">
        <w:t xml:space="preserve"> or the HDI</w:t>
      </w:r>
      <w:r w:rsidRPr="008608AA">
        <w:rPr>
          <w:rStyle w:val="FootnoteReference"/>
          <w:szCs w:val="22"/>
        </w:rPr>
        <w:footnoteReference w:id="7"/>
      </w:r>
      <w:r w:rsidRPr="008608AA">
        <w:t xml:space="preserve"> show marked differences between subregions (Figure 1.10). There is a clear contrast between North American countries and the rest of the region. South America presents a high heterogeneity in the three indicators. The Americas contains two of the top 10 countries with the highest HDI as well as one of the countries with lowest human development (UNDP, 2016). Economic growth and international trade have improved the quality of life of many people, but often at the cost of increasing demand for natural resources, which affect other group’s quality of life. Overall, poverty levels have decreased in the last two decades but groups in Mesoamerica, the Caribbean and South America are yet facing poverty (Chapter 2). Such heterogeneity hampers developing general conclusions that apply equally across all subregions. </w:t>
      </w:r>
    </w:p>
    <w:p w14:paraId="51336906" w14:textId="06856833" w:rsidR="0038712E" w:rsidRPr="008608AA" w:rsidRDefault="000C4622" w:rsidP="000C4622">
      <w:pPr>
        <w:spacing w:before="120" w:after="120"/>
        <w:jc w:val="center"/>
      </w:pPr>
      <w:r w:rsidRPr="008608AA">
        <w:rPr>
          <w:noProof/>
          <w:lang w:val="en-GB" w:eastAsia="en-GB"/>
        </w:rPr>
        <w:drawing>
          <wp:inline distT="0" distB="0" distL="0" distR="0" wp14:anchorId="528BE25B" wp14:editId="1A0416D6">
            <wp:extent cx="5562600" cy="3714352"/>
            <wp:effectExtent l="0" t="0" r="0" b="635"/>
            <wp:docPr id="13" name="Imagen 13" descr="C:\Users\Alejandro Valderrama\Downloads\Fig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Alejandro Valderrama\Downloads\Fig1.10.jpg"/>
                    <pic:cNvPicPr>
                      <a:picLocks noChangeAspect="1" noChangeArrowheads="1"/>
                    </pic:cNvPicPr>
                  </pic:nvPicPr>
                  <pic:blipFill rotWithShape="1">
                    <a:blip r:embed="rId27">
                      <a:extLst>
                        <a:ext uri="{28A0092B-C50C-407E-A947-70E740481C1C}">
                          <a14:useLocalDpi xmlns:a14="http://schemas.microsoft.com/office/drawing/2010/main" val="0"/>
                        </a:ext>
                      </a:extLst>
                    </a:blip>
                    <a:srcRect b="53675"/>
                    <a:stretch/>
                  </pic:blipFill>
                  <pic:spPr bwMode="auto">
                    <a:xfrm>
                      <a:off x="0" y="0"/>
                      <a:ext cx="5562600" cy="3714352"/>
                    </a:xfrm>
                    <a:prstGeom prst="rect">
                      <a:avLst/>
                    </a:prstGeom>
                    <a:noFill/>
                    <a:ln>
                      <a:noFill/>
                    </a:ln>
                    <a:extLst>
                      <a:ext uri="{53640926-AAD7-44D8-BBD7-CCE9431645EC}">
                        <a14:shadowObscured xmlns:a14="http://schemas.microsoft.com/office/drawing/2010/main"/>
                      </a:ext>
                    </a:extLst>
                  </pic:spPr>
                </pic:pic>
              </a:graphicData>
            </a:graphic>
          </wp:inline>
        </w:drawing>
      </w:r>
    </w:p>
    <w:p w14:paraId="57F2A9C5" w14:textId="77777777" w:rsidR="0038712E" w:rsidRPr="008608AA" w:rsidRDefault="0038712E" w:rsidP="0038712E">
      <w:pPr>
        <w:spacing w:before="120" w:after="120"/>
        <w:jc w:val="center"/>
      </w:pPr>
    </w:p>
    <w:p w14:paraId="73316729" w14:textId="77777777" w:rsidR="00F44157" w:rsidRPr="008608AA" w:rsidRDefault="00333557" w:rsidP="0038712E">
      <w:pPr>
        <w:spacing w:before="120"/>
      </w:pPr>
      <w:bookmarkStart w:id="459" w:name="_19c6y18" w:colFirst="0" w:colLast="0"/>
      <w:bookmarkEnd w:id="459"/>
      <w:r w:rsidRPr="008608AA">
        <w:t xml:space="preserve">Table 1.5 presents several subregional socio-economic indicators with their average values by indicator, along with the lowest and highest value across the states. Because the countries differ in size as well as development, indicators that are national totals rather than per capita values should be compared with caution. Even within countries some socio-economic factors like personal income have such skewed distributions that an average value may represent status of the citizenry very poorly. </w:t>
      </w:r>
    </w:p>
    <w:p w14:paraId="494F7D71" w14:textId="233D8ABE" w:rsidR="00F44157" w:rsidRPr="008608AA" w:rsidRDefault="00333557" w:rsidP="00870677">
      <w:pPr>
        <w:pStyle w:val="Caption"/>
        <w:rPr>
          <w:rStyle w:val="BookTitle0"/>
          <w:smallCaps w:val="0"/>
          <w:spacing w:val="0"/>
        </w:rPr>
      </w:pPr>
      <w:bookmarkStart w:id="460" w:name="_3tbugp1" w:colFirst="0" w:colLast="0"/>
      <w:bookmarkEnd w:id="460"/>
      <w:r w:rsidRPr="008608AA">
        <w:br w:type="page"/>
      </w:r>
      <w:r w:rsidR="00870677"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1</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5</w:t>
      </w:r>
      <w:r w:rsidR="000E562E">
        <w:rPr>
          <w:noProof/>
        </w:rPr>
        <w:fldChar w:fldCharType="end"/>
      </w:r>
      <w:r w:rsidR="00870677" w:rsidRPr="008608AA">
        <w:t>.</w:t>
      </w:r>
      <w:r w:rsidR="000A158D" w:rsidRPr="008608AA">
        <w:t xml:space="preserve"> </w:t>
      </w:r>
      <w:r w:rsidRPr="00636F57">
        <w:rPr>
          <w:rStyle w:val="BookTitle0"/>
          <w:b/>
          <w:smallCaps w:val="0"/>
          <w:spacing w:val="0"/>
        </w:rPr>
        <w:t>Socio-economic indicators by subregion</w:t>
      </w:r>
      <w:r w:rsidRPr="008608AA">
        <w:rPr>
          <w:rStyle w:val="BookTitle0"/>
          <w:smallCaps w:val="0"/>
          <w:spacing w:val="0"/>
        </w:rPr>
        <w:t xml:space="preserve"> </w:t>
      </w:r>
    </w:p>
    <w:tbl>
      <w:tblPr>
        <w:tblStyle w:val="71"/>
        <w:tblW w:w="5000" w:type="pct"/>
        <w:jc w:val="righ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54"/>
        <w:gridCol w:w="1348"/>
        <w:gridCol w:w="1471"/>
        <w:gridCol w:w="1529"/>
        <w:gridCol w:w="1743"/>
        <w:gridCol w:w="1542"/>
      </w:tblGrid>
      <w:tr w:rsidR="00F44157" w:rsidRPr="00636F57" w14:paraId="6C5BE4C8" w14:textId="77777777" w:rsidTr="00B50F8F">
        <w:trPr>
          <w:jc w:val="right"/>
        </w:trPr>
        <w:tc>
          <w:tcPr>
            <w:tcW w:w="981" w:type="pct"/>
            <w:shd w:val="clear" w:color="auto" w:fill="BFBFBF" w:themeFill="background1" w:themeFillShade="BF"/>
            <w:vAlign w:val="center"/>
          </w:tcPr>
          <w:p w14:paraId="098C211C" w14:textId="77777777" w:rsidR="00F44157" w:rsidRPr="00636F57" w:rsidRDefault="00333557" w:rsidP="00B50F8F">
            <w:pPr>
              <w:jc w:val="center"/>
              <w:rPr>
                <w:b/>
                <w:sz w:val="22"/>
                <w:szCs w:val="22"/>
              </w:rPr>
            </w:pPr>
            <w:r w:rsidRPr="00636F57">
              <w:rPr>
                <w:b/>
                <w:sz w:val="22"/>
                <w:szCs w:val="22"/>
              </w:rPr>
              <w:t>Descriptors</w:t>
            </w:r>
          </w:p>
        </w:tc>
        <w:tc>
          <w:tcPr>
            <w:tcW w:w="714" w:type="pct"/>
            <w:shd w:val="clear" w:color="auto" w:fill="BFBFBF" w:themeFill="background1" w:themeFillShade="BF"/>
            <w:vAlign w:val="center"/>
          </w:tcPr>
          <w:p w14:paraId="5FDEE678" w14:textId="77777777" w:rsidR="00F44157" w:rsidRPr="00636F57" w:rsidRDefault="00333557" w:rsidP="00B50F8F">
            <w:pPr>
              <w:jc w:val="center"/>
              <w:rPr>
                <w:b/>
                <w:sz w:val="22"/>
                <w:szCs w:val="22"/>
              </w:rPr>
            </w:pPr>
            <w:r w:rsidRPr="00636F57">
              <w:rPr>
                <w:b/>
                <w:sz w:val="22"/>
                <w:szCs w:val="22"/>
              </w:rPr>
              <w:t>North America</w:t>
            </w:r>
          </w:p>
        </w:tc>
        <w:tc>
          <w:tcPr>
            <w:tcW w:w="758" w:type="pct"/>
            <w:shd w:val="clear" w:color="auto" w:fill="BFBFBF" w:themeFill="background1" w:themeFillShade="BF"/>
            <w:vAlign w:val="center"/>
          </w:tcPr>
          <w:p w14:paraId="053C6563" w14:textId="77777777" w:rsidR="00F44157" w:rsidRPr="00636F57" w:rsidRDefault="00333557" w:rsidP="00B50F8F">
            <w:pPr>
              <w:jc w:val="center"/>
              <w:rPr>
                <w:b/>
                <w:sz w:val="22"/>
                <w:szCs w:val="22"/>
              </w:rPr>
            </w:pPr>
            <w:r w:rsidRPr="00636F57">
              <w:rPr>
                <w:b/>
                <w:sz w:val="22"/>
                <w:szCs w:val="22"/>
              </w:rPr>
              <w:t>Mesoamerica</w:t>
            </w:r>
          </w:p>
        </w:tc>
        <w:tc>
          <w:tcPr>
            <w:tcW w:w="809" w:type="pct"/>
            <w:shd w:val="clear" w:color="auto" w:fill="BFBFBF" w:themeFill="background1" w:themeFillShade="BF"/>
            <w:vAlign w:val="center"/>
          </w:tcPr>
          <w:p w14:paraId="790A27A1" w14:textId="77777777" w:rsidR="00F44157" w:rsidRPr="00636F57" w:rsidRDefault="00333557" w:rsidP="00B50F8F">
            <w:pPr>
              <w:jc w:val="center"/>
              <w:rPr>
                <w:b/>
                <w:sz w:val="22"/>
                <w:szCs w:val="22"/>
              </w:rPr>
            </w:pPr>
            <w:r w:rsidRPr="00636F57">
              <w:rPr>
                <w:b/>
                <w:sz w:val="22"/>
                <w:szCs w:val="22"/>
              </w:rPr>
              <w:t>South America</w:t>
            </w:r>
          </w:p>
        </w:tc>
        <w:tc>
          <w:tcPr>
            <w:tcW w:w="922" w:type="pct"/>
            <w:shd w:val="clear" w:color="auto" w:fill="BFBFBF" w:themeFill="background1" w:themeFillShade="BF"/>
            <w:vAlign w:val="center"/>
          </w:tcPr>
          <w:p w14:paraId="159F5330" w14:textId="77777777" w:rsidR="00F44157" w:rsidRPr="00636F57" w:rsidRDefault="00333557" w:rsidP="00B50F8F">
            <w:pPr>
              <w:jc w:val="center"/>
              <w:rPr>
                <w:b/>
                <w:sz w:val="22"/>
                <w:szCs w:val="22"/>
              </w:rPr>
            </w:pPr>
            <w:r w:rsidRPr="00636F57">
              <w:rPr>
                <w:b/>
                <w:sz w:val="22"/>
                <w:szCs w:val="22"/>
              </w:rPr>
              <w:t>Caribbean</w:t>
            </w:r>
          </w:p>
        </w:tc>
        <w:tc>
          <w:tcPr>
            <w:tcW w:w="815" w:type="pct"/>
            <w:shd w:val="clear" w:color="auto" w:fill="BFBFBF" w:themeFill="background1" w:themeFillShade="BF"/>
            <w:vAlign w:val="center"/>
          </w:tcPr>
          <w:p w14:paraId="1C470A1E" w14:textId="0E26041F" w:rsidR="00F44157" w:rsidRPr="00636F57" w:rsidRDefault="00333557" w:rsidP="00B50F8F">
            <w:pPr>
              <w:jc w:val="center"/>
              <w:rPr>
                <w:b/>
                <w:sz w:val="22"/>
                <w:szCs w:val="22"/>
              </w:rPr>
            </w:pPr>
            <w:r w:rsidRPr="00636F57">
              <w:rPr>
                <w:b/>
                <w:sz w:val="22"/>
                <w:szCs w:val="22"/>
              </w:rPr>
              <w:t>Source</w:t>
            </w:r>
          </w:p>
        </w:tc>
      </w:tr>
      <w:tr w:rsidR="00F44157" w:rsidRPr="00636F57" w14:paraId="22D16A59" w14:textId="77777777" w:rsidTr="005237BC">
        <w:trPr>
          <w:jc w:val="right"/>
        </w:trPr>
        <w:tc>
          <w:tcPr>
            <w:tcW w:w="981" w:type="pct"/>
          </w:tcPr>
          <w:p w14:paraId="1C64BC3A" w14:textId="77777777" w:rsidR="00F44157" w:rsidRPr="00636F57" w:rsidRDefault="00333557" w:rsidP="000836E7">
            <w:pPr>
              <w:rPr>
                <w:sz w:val="22"/>
                <w:szCs w:val="22"/>
              </w:rPr>
            </w:pPr>
            <w:r w:rsidRPr="00636F57">
              <w:rPr>
                <w:sz w:val="22"/>
                <w:szCs w:val="22"/>
              </w:rPr>
              <w:t>Countries included in the assessment</w:t>
            </w:r>
          </w:p>
        </w:tc>
        <w:tc>
          <w:tcPr>
            <w:tcW w:w="714" w:type="pct"/>
          </w:tcPr>
          <w:p w14:paraId="5F95C261" w14:textId="15C4CD47" w:rsidR="00F44157" w:rsidRPr="00636F57" w:rsidRDefault="00333557" w:rsidP="0038712E">
            <w:pPr>
              <w:rPr>
                <w:sz w:val="22"/>
                <w:szCs w:val="22"/>
              </w:rPr>
            </w:pPr>
            <w:r w:rsidRPr="00636F57">
              <w:rPr>
                <w:sz w:val="22"/>
                <w:szCs w:val="22"/>
              </w:rPr>
              <w:t>Canada, USA, Greenland</w:t>
            </w:r>
          </w:p>
        </w:tc>
        <w:tc>
          <w:tcPr>
            <w:tcW w:w="758" w:type="pct"/>
          </w:tcPr>
          <w:p w14:paraId="0F4EDDC1" w14:textId="77777777" w:rsidR="00F44157" w:rsidRPr="00636F57" w:rsidRDefault="00333557" w:rsidP="000836E7">
            <w:pPr>
              <w:rPr>
                <w:sz w:val="22"/>
                <w:szCs w:val="22"/>
                <w:lang w:val="es-CO"/>
              </w:rPr>
            </w:pPr>
            <w:r w:rsidRPr="00636F57">
              <w:rPr>
                <w:sz w:val="22"/>
                <w:szCs w:val="22"/>
                <w:lang w:val="es-CO"/>
              </w:rPr>
              <w:t>Belize, Costa Rica, El Salvador, Guatemala, Honduras, Mexico, Nicaragua and Panama</w:t>
            </w:r>
          </w:p>
        </w:tc>
        <w:tc>
          <w:tcPr>
            <w:tcW w:w="809" w:type="pct"/>
          </w:tcPr>
          <w:p w14:paraId="5F9DF8C6" w14:textId="77777777" w:rsidR="00F44157" w:rsidRPr="00636F57" w:rsidRDefault="00333557" w:rsidP="000836E7">
            <w:pPr>
              <w:rPr>
                <w:sz w:val="22"/>
                <w:szCs w:val="22"/>
                <w:lang w:val="es-CO"/>
              </w:rPr>
            </w:pPr>
            <w:r w:rsidRPr="00636F57">
              <w:rPr>
                <w:sz w:val="22"/>
                <w:szCs w:val="22"/>
                <w:lang w:val="es-CO"/>
              </w:rPr>
              <w:t>Argentina, Bolivia (Plurinational State of), Brazil, Chile, Colombia, Ecuador, Guyana, Paraguay, Peru, Suriname, Uruguay and Venezuela (Bolivarian Republic of)</w:t>
            </w:r>
          </w:p>
        </w:tc>
        <w:tc>
          <w:tcPr>
            <w:tcW w:w="922" w:type="pct"/>
          </w:tcPr>
          <w:p w14:paraId="4A5D9E98" w14:textId="0954FDCC" w:rsidR="00F44157" w:rsidRPr="00636F57" w:rsidRDefault="00333557" w:rsidP="000836E7">
            <w:pPr>
              <w:rPr>
                <w:sz w:val="22"/>
                <w:szCs w:val="22"/>
              </w:rPr>
            </w:pPr>
            <w:r w:rsidRPr="00636F57">
              <w:rPr>
                <w:sz w:val="22"/>
                <w:szCs w:val="22"/>
              </w:rPr>
              <w:t xml:space="preserve">Antigua and Barbuda, </w:t>
            </w:r>
            <w:r w:rsidR="0038712E" w:rsidRPr="00636F57">
              <w:rPr>
                <w:sz w:val="22"/>
                <w:szCs w:val="22"/>
              </w:rPr>
              <w:t xml:space="preserve">The </w:t>
            </w:r>
            <w:r w:rsidRPr="00636F57">
              <w:rPr>
                <w:sz w:val="22"/>
                <w:szCs w:val="22"/>
              </w:rPr>
              <w:t>Bahamas, Barbados, Cuba, Dominica, Dominican Republican</w:t>
            </w:r>
            <w:r w:rsidRPr="00636F57">
              <w:rPr>
                <w:rStyle w:val="FootnoteReference"/>
                <w:sz w:val="22"/>
                <w:szCs w:val="22"/>
              </w:rPr>
              <w:footnoteReference w:id="8"/>
            </w:r>
            <w:r w:rsidRPr="00636F57">
              <w:rPr>
                <w:sz w:val="22"/>
                <w:szCs w:val="22"/>
              </w:rPr>
              <w:t>, Grenada, Haiti, Jamaica, Saint Kitts and Nevis, Saint Lucia, Saint Vincent and the Grenadines and Trinidad and Tobago</w:t>
            </w:r>
          </w:p>
        </w:tc>
        <w:tc>
          <w:tcPr>
            <w:tcW w:w="815" w:type="pct"/>
          </w:tcPr>
          <w:p w14:paraId="0499FED2" w14:textId="0B708A81" w:rsidR="00F44157" w:rsidRPr="00636F57" w:rsidRDefault="00333557" w:rsidP="0020258F">
            <w:pPr>
              <w:rPr>
                <w:sz w:val="22"/>
                <w:szCs w:val="22"/>
              </w:rPr>
            </w:pPr>
            <w:r w:rsidRPr="00636F57">
              <w:rPr>
                <w:sz w:val="22"/>
                <w:szCs w:val="22"/>
              </w:rPr>
              <w:t>IPBES</w:t>
            </w:r>
            <w:r w:rsidR="00282C6C" w:rsidRPr="00636F57">
              <w:rPr>
                <w:sz w:val="22"/>
                <w:szCs w:val="22"/>
              </w:rPr>
              <w:t xml:space="preserve"> (</w:t>
            </w:r>
            <w:r w:rsidR="0020258F" w:rsidRPr="00636F57">
              <w:rPr>
                <w:sz w:val="22"/>
                <w:szCs w:val="22"/>
              </w:rPr>
              <w:t>2015a</w:t>
            </w:r>
            <w:r w:rsidR="00282C6C" w:rsidRPr="00636F57">
              <w:rPr>
                <w:sz w:val="22"/>
                <w:szCs w:val="22"/>
              </w:rPr>
              <w:t>)</w:t>
            </w:r>
            <w:r w:rsidRPr="00636F57">
              <w:rPr>
                <w:sz w:val="22"/>
                <w:szCs w:val="22"/>
              </w:rPr>
              <w:t xml:space="preserve"> </w:t>
            </w:r>
          </w:p>
        </w:tc>
      </w:tr>
      <w:tr w:rsidR="00F44157" w:rsidRPr="00636F57" w14:paraId="0818BA46" w14:textId="77777777" w:rsidTr="005237BC">
        <w:trPr>
          <w:trHeight w:val="560"/>
          <w:jc w:val="right"/>
        </w:trPr>
        <w:tc>
          <w:tcPr>
            <w:tcW w:w="981" w:type="pct"/>
            <w:tcBorders>
              <w:bottom w:val="single" w:sz="4" w:space="0" w:color="000000"/>
            </w:tcBorders>
          </w:tcPr>
          <w:p w14:paraId="5D45A096" w14:textId="14236C22" w:rsidR="00F44157" w:rsidRPr="00636F57" w:rsidRDefault="00A26EF8" w:rsidP="000836E7">
            <w:pPr>
              <w:rPr>
                <w:sz w:val="22"/>
                <w:szCs w:val="22"/>
              </w:rPr>
            </w:pPr>
            <w:r w:rsidRPr="00636F57">
              <w:rPr>
                <w:sz w:val="22"/>
                <w:szCs w:val="22"/>
              </w:rPr>
              <w:t>Total a</w:t>
            </w:r>
            <w:r w:rsidR="00333557" w:rsidRPr="00636F57">
              <w:rPr>
                <w:sz w:val="22"/>
                <w:szCs w:val="22"/>
              </w:rPr>
              <w:t>rea (km</w:t>
            </w:r>
            <w:r w:rsidR="00333557" w:rsidRPr="00636F57">
              <w:rPr>
                <w:sz w:val="22"/>
                <w:szCs w:val="22"/>
                <w:vertAlign w:val="superscript"/>
              </w:rPr>
              <w:t>2</w:t>
            </w:r>
            <w:r w:rsidR="00333557" w:rsidRPr="00636F57">
              <w:rPr>
                <w:sz w:val="22"/>
                <w:szCs w:val="22"/>
              </w:rPr>
              <w:t>): 41,858,533</w:t>
            </w:r>
          </w:p>
        </w:tc>
        <w:tc>
          <w:tcPr>
            <w:tcW w:w="714" w:type="pct"/>
            <w:tcBorders>
              <w:bottom w:val="single" w:sz="4" w:space="0" w:color="000000"/>
            </w:tcBorders>
          </w:tcPr>
          <w:p w14:paraId="532E905B" w14:textId="77777777" w:rsidR="00F44157" w:rsidRPr="00636F57" w:rsidRDefault="00333557" w:rsidP="000836E7">
            <w:pPr>
              <w:rPr>
                <w:sz w:val="22"/>
                <w:szCs w:val="22"/>
              </w:rPr>
            </w:pPr>
            <w:r w:rsidRPr="00636F57">
              <w:rPr>
                <w:sz w:val="22"/>
                <w:szCs w:val="22"/>
              </w:rPr>
              <w:t>21,415,862</w:t>
            </w:r>
          </w:p>
        </w:tc>
        <w:tc>
          <w:tcPr>
            <w:tcW w:w="758" w:type="pct"/>
            <w:tcBorders>
              <w:bottom w:val="single" w:sz="4" w:space="0" w:color="000000"/>
            </w:tcBorders>
          </w:tcPr>
          <w:p w14:paraId="3C64C22F" w14:textId="77777777" w:rsidR="00F44157" w:rsidRPr="00636F57" w:rsidRDefault="00333557" w:rsidP="000836E7">
            <w:pPr>
              <w:rPr>
                <w:sz w:val="22"/>
                <w:szCs w:val="22"/>
              </w:rPr>
            </w:pPr>
            <w:r w:rsidRPr="00636F57">
              <w:rPr>
                <w:sz w:val="22"/>
                <w:szCs w:val="22"/>
              </w:rPr>
              <w:t>2,477,901</w:t>
            </w:r>
          </w:p>
        </w:tc>
        <w:tc>
          <w:tcPr>
            <w:tcW w:w="809" w:type="pct"/>
            <w:tcBorders>
              <w:bottom w:val="single" w:sz="4" w:space="0" w:color="000000"/>
            </w:tcBorders>
          </w:tcPr>
          <w:p w14:paraId="007A57B9" w14:textId="77777777" w:rsidR="00F44157" w:rsidRPr="00636F57" w:rsidRDefault="00333557" w:rsidP="000836E7">
            <w:pPr>
              <w:rPr>
                <w:sz w:val="22"/>
                <w:szCs w:val="22"/>
              </w:rPr>
            </w:pPr>
            <w:r w:rsidRPr="00636F57">
              <w:rPr>
                <w:sz w:val="22"/>
                <w:szCs w:val="22"/>
              </w:rPr>
              <w:t>17,730,93</w:t>
            </w:r>
          </w:p>
        </w:tc>
        <w:tc>
          <w:tcPr>
            <w:tcW w:w="922" w:type="pct"/>
            <w:tcBorders>
              <w:bottom w:val="single" w:sz="4" w:space="0" w:color="000000"/>
            </w:tcBorders>
          </w:tcPr>
          <w:p w14:paraId="70841518" w14:textId="77777777" w:rsidR="00F44157" w:rsidRPr="00636F57" w:rsidRDefault="00333557" w:rsidP="000836E7">
            <w:pPr>
              <w:rPr>
                <w:sz w:val="22"/>
                <w:szCs w:val="22"/>
              </w:rPr>
            </w:pPr>
            <w:r w:rsidRPr="00636F57">
              <w:rPr>
                <w:sz w:val="22"/>
                <w:szCs w:val="22"/>
              </w:rPr>
              <w:t>233,839</w:t>
            </w:r>
          </w:p>
          <w:p w14:paraId="162A1F1A" w14:textId="77777777" w:rsidR="00F44157" w:rsidRPr="00636F57" w:rsidRDefault="00F44157" w:rsidP="000836E7">
            <w:pPr>
              <w:rPr>
                <w:sz w:val="22"/>
                <w:szCs w:val="22"/>
              </w:rPr>
            </w:pPr>
          </w:p>
        </w:tc>
        <w:tc>
          <w:tcPr>
            <w:tcW w:w="815" w:type="pct"/>
            <w:tcBorders>
              <w:bottom w:val="single" w:sz="4" w:space="0" w:color="000000"/>
            </w:tcBorders>
            <w:vAlign w:val="center"/>
          </w:tcPr>
          <w:p w14:paraId="68F7DE51" w14:textId="77777777" w:rsidR="00F44157" w:rsidRPr="00636F57" w:rsidRDefault="00F44157" w:rsidP="000836E7">
            <w:pPr>
              <w:rPr>
                <w:sz w:val="22"/>
                <w:szCs w:val="22"/>
              </w:rPr>
            </w:pPr>
          </w:p>
        </w:tc>
      </w:tr>
      <w:tr w:rsidR="00F44157" w:rsidRPr="00636F57" w14:paraId="43E2EDB3" w14:textId="77777777" w:rsidTr="00B50F8F">
        <w:trPr>
          <w:trHeight w:val="262"/>
          <w:jc w:val="right"/>
        </w:trPr>
        <w:tc>
          <w:tcPr>
            <w:tcW w:w="5000" w:type="pct"/>
            <w:gridSpan w:val="6"/>
            <w:shd w:val="clear" w:color="auto" w:fill="BFBFBF" w:themeFill="background1" w:themeFillShade="BF"/>
          </w:tcPr>
          <w:p w14:paraId="37AEB1AC" w14:textId="77777777" w:rsidR="00F44157" w:rsidRPr="00636F57" w:rsidRDefault="00333557" w:rsidP="000836E7">
            <w:pPr>
              <w:rPr>
                <w:b/>
                <w:sz w:val="22"/>
                <w:szCs w:val="22"/>
              </w:rPr>
            </w:pPr>
            <w:r w:rsidRPr="00636F57">
              <w:rPr>
                <w:b/>
                <w:sz w:val="22"/>
                <w:szCs w:val="22"/>
              </w:rPr>
              <w:t>Social and demographic indicators</w:t>
            </w:r>
          </w:p>
        </w:tc>
      </w:tr>
      <w:tr w:rsidR="00F44157" w:rsidRPr="00636F57" w14:paraId="5A9F2B36" w14:textId="77777777" w:rsidTr="005237BC">
        <w:trPr>
          <w:jc w:val="right"/>
        </w:trPr>
        <w:tc>
          <w:tcPr>
            <w:tcW w:w="981" w:type="pct"/>
            <w:vAlign w:val="center"/>
          </w:tcPr>
          <w:p w14:paraId="73C5BA2D" w14:textId="288CCAEB" w:rsidR="00F44157" w:rsidRPr="00636F57" w:rsidRDefault="00333557" w:rsidP="000836E7">
            <w:pPr>
              <w:rPr>
                <w:sz w:val="22"/>
                <w:szCs w:val="22"/>
              </w:rPr>
            </w:pPr>
            <w:r w:rsidRPr="00636F57">
              <w:rPr>
                <w:sz w:val="22"/>
                <w:szCs w:val="22"/>
              </w:rPr>
              <w:t>Population  (million inhabitants</w:t>
            </w:r>
            <w:r w:rsidR="00282BDA" w:rsidRPr="00636F57">
              <w:rPr>
                <w:sz w:val="22"/>
                <w:szCs w:val="22"/>
              </w:rPr>
              <w:t>, 2015</w:t>
            </w:r>
            <w:r w:rsidRPr="00636F57">
              <w:rPr>
                <w:sz w:val="22"/>
                <w:szCs w:val="22"/>
              </w:rPr>
              <w:t>)</w:t>
            </w:r>
          </w:p>
        </w:tc>
        <w:tc>
          <w:tcPr>
            <w:tcW w:w="714" w:type="pct"/>
            <w:vAlign w:val="center"/>
          </w:tcPr>
          <w:p w14:paraId="03843B80" w14:textId="77777777" w:rsidR="00F44157" w:rsidRPr="00636F57" w:rsidRDefault="00F44157" w:rsidP="000836E7">
            <w:pPr>
              <w:rPr>
                <w:sz w:val="22"/>
                <w:szCs w:val="22"/>
              </w:rPr>
            </w:pPr>
          </w:p>
          <w:p w14:paraId="02EB4764" w14:textId="77777777" w:rsidR="00F44157" w:rsidRPr="00636F57" w:rsidRDefault="00333557" w:rsidP="000836E7">
            <w:pPr>
              <w:rPr>
                <w:sz w:val="22"/>
                <w:szCs w:val="22"/>
              </w:rPr>
            </w:pPr>
            <w:r w:rsidRPr="00636F57">
              <w:rPr>
                <w:sz w:val="22"/>
                <w:szCs w:val="22"/>
              </w:rPr>
              <w:t xml:space="preserve">~360 </w:t>
            </w:r>
          </w:p>
          <w:p w14:paraId="171E690C" w14:textId="77777777" w:rsidR="00F44157" w:rsidRPr="00636F57" w:rsidRDefault="00F44157" w:rsidP="000836E7">
            <w:pPr>
              <w:rPr>
                <w:sz w:val="22"/>
                <w:szCs w:val="22"/>
              </w:rPr>
            </w:pPr>
          </w:p>
        </w:tc>
        <w:tc>
          <w:tcPr>
            <w:tcW w:w="758" w:type="pct"/>
            <w:vAlign w:val="center"/>
          </w:tcPr>
          <w:p w14:paraId="04B0C12A" w14:textId="77777777" w:rsidR="00F44157" w:rsidRPr="00636F57" w:rsidRDefault="00333557" w:rsidP="000836E7">
            <w:pPr>
              <w:rPr>
                <w:sz w:val="22"/>
                <w:szCs w:val="22"/>
              </w:rPr>
            </w:pPr>
            <w:r w:rsidRPr="00636F57">
              <w:rPr>
                <w:sz w:val="22"/>
                <w:szCs w:val="22"/>
              </w:rPr>
              <w:t>~ 175</w:t>
            </w:r>
          </w:p>
        </w:tc>
        <w:tc>
          <w:tcPr>
            <w:tcW w:w="809" w:type="pct"/>
            <w:vAlign w:val="center"/>
          </w:tcPr>
          <w:p w14:paraId="0BEF1D89" w14:textId="77777777" w:rsidR="00F44157" w:rsidRPr="00636F57" w:rsidRDefault="00333557" w:rsidP="000836E7">
            <w:pPr>
              <w:rPr>
                <w:sz w:val="22"/>
                <w:szCs w:val="22"/>
              </w:rPr>
            </w:pPr>
            <w:r w:rsidRPr="00636F57">
              <w:rPr>
                <w:sz w:val="22"/>
                <w:szCs w:val="22"/>
              </w:rPr>
              <w:t>~ 418</w:t>
            </w:r>
          </w:p>
        </w:tc>
        <w:tc>
          <w:tcPr>
            <w:tcW w:w="922" w:type="pct"/>
            <w:vAlign w:val="center"/>
          </w:tcPr>
          <w:p w14:paraId="6F4CC9DD" w14:textId="77777777" w:rsidR="00F44157" w:rsidRPr="00636F57" w:rsidRDefault="00333557" w:rsidP="000836E7">
            <w:pPr>
              <w:rPr>
                <w:sz w:val="22"/>
                <w:szCs w:val="22"/>
              </w:rPr>
            </w:pPr>
            <w:r w:rsidRPr="00636F57">
              <w:rPr>
                <w:sz w:val="22"/>
                <w:szCs w:val="22"/>
              </w:rPr>
              <w:t xml:space="preserve">~ 38 </w:t>
            </w:r>
          </w:p>
        </w:tc>
        <w:tc>
          <w:tcPr>
            <w:tcW w:w="815" w:type="pct"/>
            <w:vAlign w:val="center"/>
          </w:tcPr>
          <w:p w14:paraId="6FE90CDB" w14:textId="20EBAD12" w:rsidR="00F44157" w:rsidRPr="00636F57" w:rsidRDefault="00333557" w:rsidP="000836E7">
            <w:pPr>
              <w:rPr>
                <w:sz w:val="22"/>
                <w:szCs w:val="22"/>
              </w:rPr>
            </w:pPr>
            <w:r w:rsidRPr="00636F57">
              <w:rPr>
                <w:sz w:val="22"/>
                <w:szCs w:val="22"/>
              </w:rPr>
              <w:t>World Bank</w:t>
            </w:r>
            <w:r w:rsidR="00282C6C" w:rsidRPr="00636F57">
              <w:rPr>
                <w:sz w:val="22"/>
                <w:szCs w:val="22"/>
              </w:rPr>
              <w:t xml:space="preserve"> (</w:t>
            </w:r>
            <w:r w:rsidR="00282BDA" w:rsidRPr="00636F57">
              <w:rPr>
                <w:sz w:val="22"/>
                <w:szCs w:val="22"/>
              </w:rPr>
              <w:t>2015</w:t>
            </w:r>
            <w:r w:rsidR="00282C6C" w:rsidRPr="00636F57">
              <w:rPr>
                <w:sz w:val="22"/>
                <w:szCs w:val="22"/>
              </w:rPr>
              <w:t>)</w:t>
            </w:r>
          </w:p>
        </w:tc>
      </w:tr>
      <w:tr w:rsidR="00F44157" w:rsidRPr="00636F57" w14:paraId="3B947796" w14:textId="77777777" w:rsidTr="005237BC">
        <w:trPr>
          <w:jc w:val="right"/>
        </w:trPr>
        <w:tc>
          <w:tcPr>
            <w:tcW w:w="981" w:type="pct"/>
            <w:vAlign w:val="center"/>
          </w:tcPr>
          <w:p w14:paraId="2749A7FC" w14:textId="24BE8A05" w:rsidR="00F44157" w:rsidRPr="00636F57" w:rsidRDefault="00333557" w:rsidP="000836E7">
            <w:pPr>
              <w:rPr>
                <w:sz w:val="22"/>
                <w:szCs w:val="22"/>
              </w:rPr>
            </w:pPr>
            <w:r w:rsidRPr="00636F57">
              <w:rPr>
                <w:sz w:val="22"/>
                <w:szCs w:val="22"/>
              </w:rPr>
              <w:t>Adult literacy rate 15+ years (%)</w:t>
            </w:r>
            <w:r w:rsidR="00282BDA" w:rsidRPr="00636F57">
              <w:rPr>
                <w:sz w:val="22"/>
                <w:szCs w:val="22"/>
              </w:rPr>
              <w:t>, 2015</w:t>
            </w:r>
          </w:p>
          <w:p w14:paraId="4FBE4191" w14:textId="77777777" w:rsidR="00F44157" w:rsidRPr="00636F57" w:rsidRDefault="00333557" w:rsidP="000836E7">
            <w:pPr>
              <w:rPr>
                <w:sz w:val="22"/>
                <w:szCs w:val="22"/>
              </w:rPr>
            </w:pPr>
            <w:r w:rsidRPr="00636F57">
              <w:rPr>
                <w:sz w:val="22"/>
                <w:szCs w:val="22"/>
              </w:rPr>
              <w:t>Mean (min-max)</w:t>
            </w:r>
          </w:p>
        </w:tc>
        <w:tc>
          <w:tcPr>
            <w:tcW w:w="714" w:type="pct"/>
            <w:vAlign w:val="center"/>
          </w:tcPr>
          <w:p w14:paraId="50E63B68" w14:textId="77777777" w:rsidR="00F44157" w:rsidRPr="00636F57" w:rsidRDefault="00333557" w:rsidP="000836E7">
            <w:pPr>
              <w:rPr>
                <w:sz w:val="22"/>
                <w:szCs w:val="22"/>
              </w:rPr>
            </w:pPr>
            <w:r w:rsidRPr="00636F57">
              <w:rPr>
                <w:sz w:val="22"/>
                <w:szCs w:val="22"/>
              </w:rPr>
              <w:t>84% (USA) – 99% (Canada)</w:t>
            </w:r>
          </w:p>
        </w:tc>
        <w:tc>
          <w:tcPr>
            <w:tcW w:w="758" w:type="pct"/>
            <w:vAlign w:val="center"/>
          </w:tcPr>
          <w:p w14:paraId="2B81D58E" w14:textId="77777777" w:rsidR="00F44157" w:rsidRPr="00636F57" w:rsidRDefault="00333557" w:rsidP="000836E7">
            <w:pPr>
              <w:rPr>
                <w:sz w:val="22"/>
                <w:szCs w:val="22"/>
              </w:rPr>
            </w:pPr>
            <w:r w:rsidRPr="00636F57">
              <w:rPr>
                <w:sz w:val="22"/>
                <w:szCs w:val="22"/>
              </w:rPr>
              <w:t>88.5</w:t>
            </w:r>
          </w:p>
          <w:p w14:paraId="2EEA7B15" w14:textId="77777777" w:rsidR="00F44157" w:rsidRPr="00636F57" w:rsidRDefault="00333557" w:rsidP="000836E7">
            <w:pPr>
              <w:rPr>
                <w:sz w:val="22"/>
                <w:szCs w:val="22"/>
              </w:rPr>
            </w:pPr>
            <w:r w:rsidRPr="00636F57">
              <w:rPr>
                <w:sz w:val="22"/>
                <w:szCs w:val="22"/>
              </w:rPr>
              <w:t>(79-98)</w:t>
            </w:r>
          </w:p>
        </w:tc>
        <w:tc>
          <w:tcPr>
            <w:tcW w:w="809" w:type="pct"/>
            <w:vAlign w:val="center"/>
          </w:tcPr>
          <w:p w14:paraId="7480ADF1" w14:textId="77777777" w:rsidR="00F44157" w:rsidRPr="00636F57" w:rsidRDefault="00333557" w:rsidP="000836E7">
            <w:pPr>
              <w:rPr>
                <w:sz w:val="22"/>
                <w:szCs w:val="22"/>
              </w:rPr>
            </w:pPr>
            <w:r w:rsidRPr="00636F57">
              <w:rPr>
                <w:sz w:val="22"/>
                <w:szCs w:val="22"/>
              </w:rPr>
              <w:t>95</w:t>
            </w:r>
          </w:p>
          <w:p w14:paraId="079DE42D" w14:textId="77777777" w:rsidR="00F44157" w:rsidRPr="00636F57" w:rsidRDefault="00333557" w:rsidP="000836E7">
            <w:pPr>
              <w:rPr>
                <w:sz w:val="22"/>
                <w:szCs w:val="22"/>
              </w:rPr>
            </w:pPr>
            <w:r w:rsidRPr="00636F57">
              <w:rPr>
                <w:sz w:val="22"/>
                <w:szCs w:val="22"/>
              </w:rPr>
              <w:t>(88 – 98)</w:t>
            </w:r>
          </w:p>
        </w:tc>
        <w:tc>
          <w:tcPr>
            <w:tcW w:w="922" w:type="pct"/>
            <w:vAlign w:val="center"/>
          </w:tcPr>
          <w:p w14:paraId="4F473BEF" w14:textId="77777777" w:rsidR="00F44157" w:rsidRPr="00636F57" w:rsidRDefault="00333557" w:rsidP="000836E7">
            <w:pPr>
              <w:rPr>
                <w:sz w:val="22"/>
                <w:szCs w:val="22"/>
              </w:rPr>
            </w:pPr>
            <w:r w:rsidRPr="00636F57">
              <w:rPr>
                <w:sz w:val="22"/>
                <w:szCs w:val="22"/>
              </w:rPr>
              <w:t>88</w:t>
            </w:r>
          </w:p>
          <w:p w14:paraId="7AD31264" w14:textId="77777777" w:rsidR="00F44157" w:rsidRPr="00636F57" w:rsidRDefault="00333557" w:rsidP="000836E7">
            <w:pPr>
              <w:rPr>
                <w:sz w:val="22"/>
                <w:szCs w:val="22"/>
              </w:rPr>
            </w:pPr>
            <w:r w:rsidRPr="00636F57">
              <w:rPr>
                <w:sz w:val="22"/>
                <w:szCs w:val="22"/>
              </w:rPr>
              <w:t>(61-100)</w:t>
            </w:r>
          </w:p>
          <w:p w14:paraId="0E758CFA" w14:textId="77777777" w:rsidR="00F44157" w:rsidRPr="00636F57" w:rsidRDefault="00333557" w:rsidP="000836E7">
            <w:pPr>
              <w:rPr>
                <w:sz w:val="22"/>
                <w:szCs w:val="22"/>
              </w:rPr>
            </w:pPr>
            <w:r w:rsidRPr="00636F57">
              <w:rPr>
                <w:sz w:val="22"/>
                <w:szCs w:val="22"/>
              </w:rPr>
              <w:t>Data available for 5 countries</w:t>
            </w:r>
          </w:p>
        </w:tc>
        <w:tc>
          <w:tcPr>
            <w:tcW w:w="815" w:type="pct"/>
            <w:vAlign w:val="center"/>
          </w:tcPr>
          <w:p w14:paraId="4EAE1608" w14:textId="5F65A2D3" w:rsidR="00F44157" w:rsidRPr="00636F57" w:rsidRDefault="00333557" w:rsidP="000836E7">
            <w:pPr>
              <w:rPr>
                <w:sz w:val="22"/>
                <w:szCs w:val="22"/>
              </w:rPr>
            </w:pPr>
            <w:r w:rsidRPr="00636F57">
              <w:rPr>
                <w:sz w:val="22"/>
                <w:szCs w:val="22"/>
              </w:rPr>
              <w:t>World Bank</w:t>
            </w:r>
            <w:r w:rsidR="00282C6C" w:rsidRPr="00636F57">
              <w:rPr>
                <w:sz w:val="22"/>
                <w:szCs w:val="22"/>
              </w:rPr>
              <w:t xml:space="preserve"> (</w:t>
            </w:r>
            <w:r w:rsidR="00282BDA" w:rsidRPr="00636F57">
              <w:rPr>
                <w:sz w:val="22"/>
                <w:szCs w:val="22"/>
              </w:rPr>
              <w:t>2015</w:t>
            </w:r>
            <w:r w:rsidR="00282C6C" w:rsidRPr="00636F57">
              <w:rPr>
                <w:sz w:val="22"/>
                <w:szCs w:val="22"/>
              </w:rPr>
              <w:t>)</w:t>
            </w:r>
          </w:p>
          <w:p w14:paraId="07900820" w14:textId="77777777" w:rsidR="00F44157" w:rsidRPr="00636F57" w:rsidRDefault="00333557" w:rsidP="000836E7">
            <w:pPr>
              <w:rPr>
                <w:sz w:val="22"/>
                <w:szCs w:val="22"/>
              </w:rPr>
            </w:pPr>
            <w:r w:rsidRPr="00636F57">
              <w:rPr>
                <w:sz w:val="22"/>
                <w:szCs w:val="22"/>
              </w:rPr>
              <w:t>(National statistics)</w:t>
            </w:r>
          </w:p>
        </w:tc>
      </w:tr>
      <w:tr w:rsidR="00F44157" w:rsidRPr="00636F57" w14:paraId="5594D736" w14:textId="77777777" w:rsidTr="005237BC">
        <w:trPr>
          <w:trHeight w:val="1300"/>
          <w:jc w:val="right"/>
        </w:trPr>
        <w:tc>
          <w:tcPr>
            <w:tcW w:w="981" w:type="pct"/>
            <w:vAlign w:val="center"/>
          </w:tcPr>
          <w:p w14:paraId="49BC85AA" w14:textId="67A015A9" w:rsidR="00F44157" w:rsidRPr="00636F57" w:rsidRDefault="00333557" w:rsidP="000836E7">
            <w:pPr>
              <w:rPr>
                <w:sz w:val="22"/>
                <w:szCs w:val="22"/>
              </w:rPr>
            </w:pPr>
            <w:r w:rsidRPr="00636F57">
              <w:rPr>
                <w:sz w:val="22"/>
                <w:szCs w:val="22"/>
              </w:rPr>
              <w:t>Industry, value added (% of GDP)</w:t>
            </w:r>
            <w:r w:rsidR="00282BDA" w:rsidRPr="00636F57">
              <w:rPr>
                <w:sz w:val="22"/>
                <w:szCs w:val="22"/>
              </w:rPr>
              <w:t>, 2014</w:t>
            </w:r>
            <w:r w:rsidRPr="00636F57">
              <w:rPr>
                <w:sz w:val="22"/>
                <w:szCs w:val="22"/>
              </w:rPr>
              <w:t xml:space="preserve">         </w:t>
            </w:r>
          </w:p>
          <w:p w14:paraId="6060B23B" w14:textId="77777777" w:rsidR="00F44157" w:rsidRPr="00636F57" w:rsidRDefault="00333557" w:rsidP="000836E7">
            <w:pPr>
              <w:rPr>
                <w:sz w:val="22"/>
                <w:szCs w:val="22"/>
              </w:rPr>
            </w:pPr>
            <w:r w:rsidRPr="00636F57">
              <w:rPr>
                <w:sz w:val="22"/>
                <w:szCs w:val="22"/>
              </w:rPr>
              <w:t>Mean (min-max)</w:t>
            </w:r>
          </w:p>
        </w:tc>
        <w:tc>
          <w:tcPr>
            <w:tcW w:w="714" w:type="pct"/>
            <w:vAlign w:val="center"/>
          </w:tcPr>
          <w:p w14:paraId="78A27BB7" w14:textId="77777777" w:rsidR="00F44157" w:rsidRPr="00636F57" w:rsidRDefault="00333557" w:rsidP="000836E7">
            <w:pPr>
              <w:rPr>
                <w:sz w:val="22"/>
                <w:szCs w:val="22"/>
              </w:rPr>
            </w:pPr>
            <w:r w:rsidRPr="00636F57">
              <w:rPr>
                <w:sz w:val="22"/>
                <w:szCs w:val="22"/>
              </w:rPr>
              <w:t>20.7</w:t>
            </w:r>
          </w:p>
          <w:p w14:paraId="0C71061B" w14:textId="6EAE48E3" w:rsidR="00F44157" w:rsidRPr="00636F57" w:rsidRDefault="00333557" w:rsidP="0038712E">
            <w:pPr>
              <w:rPr>
                <w:sz w:val="22"/>
                <w:szCs w:val="22"/>
              </w:rPr>
            </w:pPr>
            <w:r w:rsidRPr="00636F57">
              <w:rPr>
                <w:sz w:val="22"/>
                <w:szCs w:val="22"/>
              </w:rPr>
              <w:t>Data only available for US</w:t>
            </w:r>
            <w:r w:rsidR="0038712E" w:rsidRPr="00636F57">
              <w:rPr>
                <w:sz w:val="22"/>
                <w:szCs w:val="22"/>
              </w:rPr>
              <w:t>A</w:t>
            </w:r>
          </w:p>
        </w:tc>
        <w:tc>
          <w:tcPr>
            <w:tcW w:w="758" w:type="pct"/>
            <w:vAlign w:val="center"/>
          </w:tcPr>
          <w:p w14:paraId="6703FF91" w14:textId="77777777" w:rsidR="00F44157" w:rsidRPr="00636F57" w:rsidRDefault="00333557" w:rsidP="000836E7">
            <w:pPr>
              <w:rPr>
                <w:sz w:val="22"/>
                <w:szCs w:val="22"/>
              </w:rPr>
            </w:pPr>
            <w:r w:rsidRPr="00636F57">
              <w:rPr>
                <w:sz w:val="22"/>
                <w:szCs w:val="22"/>
              </w:rPr>
              <w:t xml:space="preserve">26.3 </w:t>
            </w:r>
          </w:p>
          <w:p w14:paraId="1F703BA3" w14:textId="77777777" w:rsidR="00F44157" w:rsidRPr="00636F57" w:rsidRDefault="00333557" w:rsidP="000836E7">
            <w:pPr>
              <w:rPr>
                <w:sz w:val="22"/>
                <w:szCs w:val="22"/>
              </w:rPr>
            </w:pPr>
            <w:r w:rsidRPr="00636F57">
              <w:rPr>
                <w:sz w:val="22"/>
                <w:szCs w:val="22"/>
              </w:rPr>
              <w:t>(18-32)</w:t>
            </w:r>
          </w:p>
        </w:tc>
        <w:tc>
          <w:tcPr>
            <w:tcW w:w="809" w:type="pct"/>
            <w:vAlign w:val="center"/>
          </w:tcPr>
          <w:p w14:paraId="2FACAD83" w14:textId="77777777" w:rsidR="00F44157" w:rsidRPr="00636F57" w:rsidRDefault="00333557" w:rsidP="000836E7">
            <w:pPr>
              <w:rPr>
                <w:sz w:val="22"/>
                <w:szCs w:val="22"/>
              </w:rPr>
            </w:pPr>
            <w:r w:rsidRPr="00636F57">
              <w:rPr>
                <w:sz w:val="22"/>
                <w:szCs w:val="22"/>
              </w:rPr>
              <w:t xml:space="preserve">32.2 </w:t>
            </w:r>
          </w:p>
          <w:p w14:paraId="0E895781" w14:textId="77777777" w:rsidR="00F44157" w:rsidRPr="00636F57" w:rsidRDefault="00333557" w:rsidP="000836E7">
            <w:pPr>
              <w:rPr>
                <w:sz w:val="22"/>
                <w:szCs w:val="22"/>
              </w:rPr>
            </w:pPr>
            <w:r w:rsidRPr="00636F57">
              <w:rPr>
                <w:sz w:val="22"/>
                <w:szCs w:val="22"/>
              </w:rPr>
              <w:t>(21-42)</w:t>
            </w:r>
          </w:p>
        </w:tc>
        <w:tc>
          <w:tcPr>
            <w:tcW w:w="922" w:type="pct"/>
            <w:vAlign w:val="center"/>
          </w:tcPr>
          <w:p w14:paraId="45EEAC55" w14:textId="77777777" w:rsidR="00F44157" w:rsidRPr="00636F57" w:rsidRDefault="00333557" w:rsidP="000836E7">
            <w:pPr>
              <w:rPr>
                <w:sz w:val="22"/>
                <w:szCs w:val="22"/>
              </w:rPr>
            </w:pPr>
            <w:r w:rsidRPr="00636F57">
              <w:rPr>
                <w:sz w:val="22"/>
                <w:szCs w:val="22"/>
              </w:rPr>
              <w:t>21.6</w:t>
            </w:r>
          </w:p>
          <w:p w14:paraId="705602C1" w14:textId="77777777" w:rsidR="00F44157" w:rsidRPr="00636F57" w:rsidRDefault="00333557" w:rsidP="000836E7">
            <w:pPr>
              <w:rPr>
                <w:sz w:val="22"/>
                <w:szCs w:val="22"/>
              </w:rPr>
            </w:pPr>
            <w:r w:rsidRPr="00636F57">
              <w:rPr>
                <w:sz w:val="22"/>
                <w:szCs w:val="22"/>
              </w:rPr>
              <w:t>(11.3-48.8)</w:t>
            </w:r>
          </w:p>
          <w:p w14:paraId="2EB4AA10" w14:textId="77777777" w:rsidR="00F44157" w:rsidRPr="00636F57" w:rsidRDefault="00333557" w:rsidP="000836E7">
            <w:pPr>
              <w:rPr>
                <w:sz w:val="22"/>
                <w:szCs w:val="22"/>
              </w:rPr>
            </w:pPr>
            <w:r w:rsidRPr="00636F57">
              <w:rPr>
                <w:sz w:val="22"/>
                <w:szCs w:val="22"/>
              </w:rPr>
              <w:t>Data not available for Haiti</w:t>
            </w:r>
          </w:p>
        </w:tc>
        <w:tc>
          <w:tcPr>
            <w:tcW w:w="815" w:type="pct"/>
            <w:vAlign w:val="center"/>
          </w:tcPr>
          <w:p w14:paraId="63ECFCB4" w14:textId="63104E95" w:rsidR="00F44157" w:rsidRPr="00636F57" w:rsidRDefault="00333557" w:rsidP="000836E7">
            <w:pPr>
              <w:rPr>
                <w:sz w:val="22"/>
                <w:szCs w:val="22"/>
              </w:rPr>
            </w:pPr>
            <w:r w:rsidRPr="00636F57">
              <w:rPr>
                <w:sz w:val="22"/>
                <w:szCs w:val="22"/>
              </w:rPr>
              <w:t>World Bank</w:t>
            </w:r>
            <w:r w:rsidR="00282C6C" w:rsidRPr="00636F57">
              <w:rPr>
                <w:sz w:val="22"/>
                <w:szCs w:val="22"/>
              </w:rPr>
              <w:t xml:space="preserve"> (</w:t>
            </w:r>
            <w:r w:rsidR="00282BDA" w:rsidRPr="00636F57">
              <w:rPr>
                <w:sz w:val="22"/>
                <w:szCs w:val="22"/>
              </w:rPr>
              <w:t>2015</w:t>
            </w:r>
            <w:r w:rsidR="00282C6C" w:rsidRPr="00636F57">
              <w:rPr>
                <w:sz w:val="22"/>
                <w:szCs w:val="22"/>
              </w:rPr>
              <w:t>)</w:t>
            </w:r>
          </w:p>
          <w:p w14:paraId="15A77DE1" w14:textId="77777777" w:rsidR="00F44157" w:rsidRPr="00636F57" w:rsidRDefault="00F44157" w:rsidP="000836E7">
            <w:pPr>
              <w:rPr>
                <w:sz w:val="22"/>
                <w:szCs w:val="22"/>
              </w:rPr>
            </w:pPr>
          </w:p>
        </w:tc>
      </w:tr>
      <w:tr w:rsidR="00F44157" w:rsidRPr="00636F57" w14:paraId="5D513390" w14:textId="77777777" w:rsidTr="005237BC">
        <w:trPr>
          <w:jc w:val="right"/>
        </w:trPr>
        <w:tc>
          <w:tcPr>
            <w:tcW w:w="981" w:type="pct"/>
            <w:vAlign w:val="center"/>
          </w:tcPr>
          <w:p w14:paraId="4A110E7B" w14:textId="0EDE6DA8" w:rsidR="00F44157" w:rsidRPr="00636F57" w:rsidRDefault="00333557" w:rsidP="000836E7">
            <w:pPr>
              <w:rPr>
                <w:sz w:val="22"/>
                <w:szCs w:val="22"/>
              </w:rPr>
            </w:pPr>
            <w:r w:rsidRPr="00636F57">
              <w:rPr>
                <w:sz w:val="22"/>
                <w:szCs w:val="22"/>
              </w:rPr>
              <w:t>Gross National Income per capita</w:t>
            </w:r>
            <w:r w:rsidR="00282BDA" w:rsidRPr="00636F57">
              <w:rPr>
                <w:sz w:val="22"/>
                <w:szCs w:val="22"/>
              </w:rPr>
              <w:t xml:space="preserve"> (</w:t>
            </w:r>
            <w:r w:rsidRPr="00636F57">
              <w:rPr>
                <w:sz w:val="22"/>
                <w:szCs w:val="22"/>
              </w:rPr>
              <w:t>US dollars</w:t>
            </w:r>
            <w:r w:rsidR="00282BDA" w:rsidRPr="00636F57">
              <w:rPr>
                <w:sz w:val="22"/>
                <w:szCs w:val="22"/>
              </w:rPr>
              <w:t>, 2013 for South America and 2015 for the rest of subregions)</w:t>
            </w:r>
            <w:r w:rsidRPr="00636F57">
              <w:rPr>
                <w:sz w:val="22"/>
                <w:szCs w:val="22"/>
              </w:rPr>
              <w:t xml:space="preserve">       </w:t>
            </w:r>
          </w:p>
          <w:p w14:paraId="4F56EBA9" w14:textId="77777777" w:rsidR="00F44157" w:rsidRPr="00636F57" w:rsidRDefault="00333557" w:rsidP="000836E7">
            <w:pPr>
              <w:rPr>
                <w:sz w:val="22"/>
                <w:szCs w:val="22"/>
              </w:rPr>
            </w:pPr>
            <w:r w:rsidRPr="00636F57">
              <w:rPr>
                <w:sz w:val="22"/>
                <w:szCs w:val="22"/>
              </w:rPr>
              <w:t>Mean (min-max)</w:t>
            </w:r>
          </w:p>
          <w:p w14:paraId="0B6552B0" w14:textId="08E1414B" w:rsidR="00282BDA" w:rsidRPr="00636F57" w:rsidRDefault="00282BDA" w:rsidP="000836E7">
            <w:pPr>
              <w:rPr>
                <w:sz w:val="22"/>
                <w:szCs w:val="22"/>
              </w:rPr>
            </w:pPr>
          </w:p>
        </w:tc>
        <w:tc>
          <w:tcPr>
            <w:tcW w:w="714" w:type="pct"/>
            <w:vAlign w:val="center"/>
          </w:tcPr>
          <w:p w14:paraId="4921E0C9" w14:textId="77777777" w:rsidR="00F44157" w:rsidRPr="00636F57" w:rsidRDefault="00333557" w:rsidP="000836E7">
            <w:pPr>
              <w:rPr>
                <w:sz w:val="22"/>
                <w:szCs w:val="22"/>
              </w:rPr>
            </w:pPr>
            <w:r w:rsidRPr="00636F57">
              <w:rPr>
                <w:sz w:val="22"/>
                <w:szCs w:val="22"/>
              </w:rPr>
              <w:t>51,615</w:t>
            </w:r>
          </w:p>
          <w:p w14:paraId="33B9575C" w14:textId="77777777" w:rsidR="00F44157" w:rsidRPr="00636F57" w:rsidRDefault="00333557" w:rsidP="000836E7">
            <w:pPr>
              <w:rPr>
                <w:sz w:val="22"/>
                <w:szCs w:val="22"/>
              </w:rPr>
            </w:pPr>
            <w:r w:rsidRPr="00636F57">
              <w:rPr>
                <w:sz w:val="22"/>
                <w:szCs w:val="22"/>
              </w:rPr>
              <w:t>(47,250-55,980)</w:t>
            </w:r>
          </w:p>
          <w:p w14:paraId="6859442E" w14:textId="77777777" w:rsidR="00F44157" w:rsidRPr="00636F57" w:rsidRDefault="00333557" w:rsidP="000836E7">
            <w:pPr>
              <w:rPr>
                <w:sz w:val="22"/>
                <w:szCs w:val="22"/>
              </w:rPr>
            </w:pPr>
            <w:r w:rsidRPr="00636F57">
              <w:rPr>
                <w:sz w:val="22"/>
                <w:szCs w:val="22"/>
              </w:rPr>
              <w:t>Data not available for Greenland</w:t>
            </w:r>
          </w:p>
        </w:tc>
        <w:tc>
          <w:tcPr>
            <w:tcW w:w="758" w:type="pct"/>
            <w:vAlign w:val="center"/>
          </w:tcPr>
          <w:p w14:paraId="439977CC" w14:textId="77777777" w:rsidR="00F44157" w:rsidRPr="00636F57" w:rsidRDefault="00333557" w:rsidP="000836E7">
            <w:pPr>
              <w:rPr>
                <w:sz w:val="22"/>
                <w:szCs w:val="22"/>
              </w:rPr>
            </w:pPr>
            <w:r w:rsidRPr="00636F57">
              <w:rPr>
                <w:sz w:val="22"/>
                <w:szCs w:val="22"/>
              </w:rPr>
              <w:t>6,028</w:t>
            </w:r>
          </w:p>
          <w:p w14:paraId="719593D7" w14:textId="77777777" w:rsidR="00F44157" w:rsidRPr="00636F57" w:rsidRDefault="00333557" w:rsidP="000836E7">
            <w:pPr>
              <w:rPr>
                <w:sz w:val="22"/>
                <w:szCs w:val="22"/>
              </w:rPr>
            </w:pPr>
            <w:r w:rsidRPr="00636F57">
              <w:rPr>
                <w:sz w:val="22"/>
                <w:szCs w:val="22"/>
              </w:rPr>
              <w:t>(1940-11880)</w:t>
            </w:r>
          </w:p>
        </w:tc>
        <w:tc>
          <w:tcPr>
            <w:tcW w:w="809" w:type="pct"/>
            <w:vAlign w:val="center"/>
          </w:tcPr>
          <w:p w14:paraId="12558AEE" w14:textId="77777777" w:rsidR="00F44157" w:rsidRPr="00636F57" w:rsidRDefault="00333557" w:rsidP="000836E7">
            <w:pPr>
              <w:rPr>
                <w:sz w:val="22"/>
                <w:szCs w:val="22"/>
              </w:rPr>
            </w:pPr>
            <w:r w:rsidRPr="00636F57">
              <w:rPr>
                <w:sz w:val="22"/>
                <w:szCs w:val="22"/>
              </w:rPr>
              <w:t>8,954</w:t>
            </w:r>
          </w:p>
          <w:p w14:paraId="76BF8E9F" w14:textId="77777777" w:rsidR="00F44157" w:rsidRPr="00636F57" w:rsidRDefault="00333557" w:rsidP="000836E7">
            <w:pPr>
              <w:rPr>
                <w:sz w:val="22"/>
                <w:szCs w:val="22"/>
              </w:rPr>
            </w:pPr>
            <w:r w:rsidRPr="00636F57">
              <w:rPr>
                <w:sz w:val="22"/>
                <w:szCs w:val="22"/>
              </w:rPr>
              <w:t>(2,620 – 15,580)</w:t>
            </w:r>
          </w:p>
          <w:p w14:paraId="2DCF5283" w14:textId="77777777" w:rsidR="00F44157" w:rsidRPr="00636F57" w:rsidRDefault="00F44157" w:rsidP="000836E7">
            <w:pPr>
              <w:rPr>
                <w:sz w:val="22"/>
                <w:szCs w:val="22"/>
              </w:rPr>
            </w:pPr>
          </w:p>
        </w:tc>
        <w:tc>
          <w:tcPr>
            <w:tcW w:w="922" w:type="pct"/>
            <w:vAlign w:val="center"/>
          </w:tcPr>
          <w:p w14:paraId="059D4309" w14:textId="77777777" w:rsidR="00F44157" w:rsidRPr="00636F57" w:rsidRDefault="00333557" w:rsidP="000836E7">
            <w:pPr>
              <w:rPr>
                <w:sz w:val="22"/>
                <w:szCs w:val="22"/>
              </w:rPr>
            </w:pPr>
            <w:r w:rsidRPr="00636F57">
              <w:rPr>
                <w:sz w:val="22"/>
                <w:szCs w:val="22"/>
              </w:rPr>
              <w:t>10,219</w:t>
            </w:r>
          </w:p>
          <w:p w14:paraId="7D2162C5" w14:textId="77777777" w:rsidR="00F44157" w:rsidRPr="00636F57" w:rsidRDefault="00333557" w:rsidP="000836E7">
            <w:pPr>
              <w:rPr>
                <w:sz w:val="22"/>
                <w:szCs w:val="22"/>
              </w:rPr>
            </w:pPr>
            <w:r w:rsidRPr="00636F57">
              <w:rPr>
                <w:sz w:val="22"/>
                <w:szCs w:val="22"/>
              </w:rPr>
              <w:t>(810-20,740)</w:t>
            </w:r>
          </w:p>
          <w:p w14:paraId="04D709BE" w14:textId="77777777" w:rsidR="00F44157" w:rsidRPr="00636F57" w:rsidRDefault="00333557" w:rsidP="000836E7">
            <w:pPr>
              <w:rPr>
                <w:sz w:val="22"/>
                <w:szCs w:val="22"/>
              </w:rPr>
            </w:pPr>
            <w:r w:rsidRPr="00636F57">
              <w:rPr>
                <w:sz w:val="22"/>
                <w:szCs w:val="22"/>
              </w:rPr>
              <w:t>Data not available for Cuba</w:t>
            </w:r>
          </w:p>
        </w:tc>
        <w:tc>
          <w:tcPr>
            <w:tcW w:w="815" w:type="pct"/>
            <w:vAlign w:val="center"/>
          </w:tcPr>
          <w:p w14:paraId="489D8056" w14:textId="060D3B1B" w:rsidR="00F44157" w:rsidRPr="00636F57" w:rsidRDefault="00333557" w:rsidP="00290C8A">
            <w:pPr>
              <w:keepNext/>
              <w:rPr>
                <w:sz w:val="22"/>
                <w:szCs w:val="22"/>
              </w:rPr>
            </w:pPr>
            <w:r w:rsidRPr="00636F57">
              <w:rPr>
                <w:sz w:val="22"/>
                <w:szCs w:val="22"/>
              </w:rPr>
              <w:t>World Bank</w:t>
            </w:r>
            <w:r w:rsidR="00282C6C" w:rsidRPr="00636F57">
              <w:rPr>
                <w:sz w:val="22"/>
                <w:szCs w:val="22"/>
              </w:rPr>
              <w:t xml:space="preserve"> (</w:t>
            </w:r>
            <w:r w:rsidR="00282BDA" w:rsidRPr="00636F57">
              <w:rPr>
                <w:sz w:val="22"/>
                <w:szCs w:val="22"/>
              </w:rPr>
              <w:t>2015</w:t>
            </w:r>
            <w:r w:rsidR="00282C6C" w:rsidRPr="00636F57">
              <w:rPr>
                <w:sz w:val="22"/>
                <w:szCs w:val="22"/>
              </w:rPr>
              <w:t>)</w:t>
            </w:r>
          </w:p>
        </w:tc>
      </w:tr>
    </w:tbl>
    <w:p w14:paraId="0F3410BA" w14:textId="24240BA8" w:rsidR="00F44157" w:rsidRPr="008608AA" w:rsidRDefault="00333557" w:rsidP="000836E7">
      <w:pPr>
        <w:pStyle w:val="Heading3"/>
        <w:spacing w:before="240"/>
      </w:pPr>
      <w:bookmarkStart w:id="461" w:name="_Toc502908187"/>
      <w:bookmarkStart w:id="462" w:name="_Toc502927277"/>
      <w:bookmarkStart w:id="463" w:name="_Toc502951113"/>
      <w:bookmarkStart w:id="464" w:name="_Toc502953556"/>
      <w:bookmarkStart w:id="465" w:name="_Toc502954849"/>
      <w:bookmarkStart w:id="466" w:name="_Toc502957656"/>
      <w:bookmarkStart w:id="467" w:name="_Toc502958009"/>
      <w:bookmarkStart w:id="468" w:name="_Toc503293653"/>
      <w:bookmarkStart w:id="469" w:name="_Toc503293915"/>
      <w:bookmarkStart w:id="470" w:name="_Toc503863308"/>
      <w:bookmarkStart w:id="471" w:name="_Toc503863536"/>
      <w:bookmarkStart w:id="472" w:name="_Toc517391836"/>
      <w:bookmarkStart w:id="473" w:name="_Toc517393230"/>
      <w:bookmarkStart w:id="474" w:name="_Toc517718971"/>
      <w:bookmarkStart w:id="475" w:name="_Toc517796928"/>
      <w:r w:rsidRPr="008608AA">
        <w:t>Governance in the Americas</w:t>
      </w:r>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p>
    <w:p w14:paraId="5B727B3F" w14:textId="579B38AE" w:rsidR="00F44157" w:rsidRPr="008608AA" w:rsidRDefault="0053392A" w:rsidP="003E2299">
      <w:pPr>
        <w:spacing w:before="120" w:after="120"/>
      </w:pPr>
      <w:r w:rsidRPr="008608AA">
        <w:t>For this A</w:t>
      </w:r>
      <w:r w:rsidR="00333557" w:rsidRPr="008608AA">
        <w:t xml:space="preserve">ssessment “governance” will be discussed in </w:t>
      </w:r>
      <w:r w:rsidR="00282BDA" w:rsidRPr="008608AA">
        <w:t xml:space="preserve">several </w:t>
      </w:r>
      <w:r w:rsidR="00333557" w:rsidRPr="008608AA">
        <w:t xml:space="preserve">chapters, referring to structures and processes that are designed to ensure accountability, transparency, responsiveness, rule of law, stability, equity and inclusiveness, empowerment, and broad-based participation. Governance is more than the institutions of the government, but encompasses all the ways that social units of people are structured and managed to meet a need or to pursue collective goals (UNESCO, 2017). In the Americas many different types of governance arrangements have developed. These occur in different social, economic and environmental contexts, associated with a diverse range of institutional arrangements and mechanisms that operate at multiple scales of intervention.   </w:t>
      </w:r>
    </w:p>
    <w:p w14:paraId="51EF0B42" w14:textId="381AC6C0" w:rsidR="00F44157" w:rsidRPr="008608AA" w:rsidRDefault="00333557" w:rsidP="003E2299">
      <w:pPr>
        <w:spacing w:before="120" w:after="120"/>
      </w:pPr>
      <w:r w:rsidRPr="008608AA">
        <w:t xml:space="preserve">The IPBES </w:t>
      </w:r>
      <w:r w:rsidR="0053392A" w:rsidRPr="008608AA">
        <w:t>Assessment</w:t>
      </w:r>
      <w:r w:rsidRPr="008608AA">
        <w:t xml:space="preserve"> does not analyse governance structures and mechanisms. However, since governance reflects the norms, values and rules through which public affairs are managed and includes the culture and institutional environment in which citizens and stakeholders interact among themselves and participate in public affairs, it is relevant to explaining many of the patterns and trends discussed throughout the </w:t>
      </w:r>
      <w:r w:rsidR="0053392A" w:rsidRPr="008608AA">
        <w:t>Assessment</w:t>
      </w:r>
      <w:r w:rsidRPr="008608AA">
        <w:t>. It is also a relevant consideration in contemplating potential pathways and policy options for the future. Consequently, some higher level features of governance in the subregions are summarized below (Table 1.6).</w:t>
      </w:r>
    </w:p>
    <w:p w14:paraId="5A8FC7FB" w14:textId="1BA61EAC" w:rsidR="00F44157" w:rsidRPr="008608AA" w:rsidRDefault="00333557" w:rsidP="003E2299">
      <w:pPr>
        <w:spacing w:before="120" w:after="120"/>
      </w:pPr>
      <w:r w:rsidRPr="008608AA">
        <w:t xml:space="preserve">In terms of governance, the single greatest difference among subregions may be simply in the size and number of independent States, with North America, the geographically largest subregion, comprised of only Canada, the </w:t>
      </w:r>
      <w:r w:rsidR="00DF7063" w:rsidRPr="008608AA">
        <w:t>USA</w:t>
      </w:r>
      <w:r w:rsidRPr="008608AA">
        <w:t>, and Greenland (under Danish rule). The geographically smallest region, the Caribbean, on the other hand, includes 13 independent States and 13 Protectorates. The indicators of Governance are taken from the Worldwide Governance Indicators (Kaufmann et al., 2010) and The Economist Group (http://www.economistgroup.com/) to provide some insight into the degree to which governance processes can support efforts to conserve and sustain biodiversity and maintain deliver of NCP.</w:t>
      </w:r>
    </w:p>
    <w:p w14:paraId="58F7BC54" w14:textId="35A72FDD" w:rsidR="00F44157" w:rsidRPr="008608AA" w:rsidRDefault="00870677" w:rsidP="00870677">
      <w:pPr>
        <w:pStyle w:val="Caption"/>
      </w:pPr>
      <w:bookmarkStart w:id="476" w:name="_nmf14n" w:colFirst="0" w:colLast="0"/>
      <w:bookmarkEnd w:id="476"/>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1</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6</w:t>
      </w:r>
      <w:r w:rsidR="000E562E">
        <w:rPr>
          <w:noProof/>
        </w:rPr>
        <w:fldChar w:fldCharType="end"/>
      </w:r>
      <w:r w:rsidRPr="008608AA">
        <w:t xml:space="preserve">. </w:t>
      </w:r>
      <w:r w:rsidR="00333557" w:rsidRPr="008608AA">
        <w:t>Governance indicators by subregion</w:t>
      </w:r>
    </w:p>
    <w:tbl>
      <w:tblPr>
        <w:tblStyle w:val="70"/>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48"/>
        <w:gridCol w:w="1518"/>
        <w:gridCol w:w="1514"/>
        <w:gridCol w:w="1063"/>
        <w:gridCol w:w="1535"/>
        <w:gridCol w:w="1309"/>
      </w:tblGrid>
      <w:tr w:rsidR="00F44157" w:rsidRPr="00636F57" w14:paraId="4B7B9BBE" w14:textId="77777777" w:rsidTr="00B50F8F">
        <w:trPr>
          <w:trHeight w:val="260"/>
          <w:jc w:val="center"/>
        </w:trPr>
        <w:tc>
          <w:tcPr>
            <w:tcW w:w="1343" w:type="pct"/>
            <w:shd w:val="clear" w:color="auto" w:fill="BFBFBF" w:themeFill="background1" w:themeFillShade="BF"/>
            <w:vAlign w:val="center"/>
          </w:tcPr>
          <w:p w14:paraId="3300BBAE" w14:textId="77777777" w:rsidR="00F44157" w:rsidRPr="00636F57" w:rsidRDefault="00333557" w:rsidP="00B50F8F">
            <w:pPr>
              <w:jc w:val="center"/>
              <w:rPr>
                <w:b/>
                <w:sz w:val="22"/>
                <w:szCs w:val="22"/>
              </w:rPr>
            </w:pPr>
            <w:r w:rsidRPr="00636F57">
              <w:rPr>
                <w:b/>
                <w:sz w:val="22"/>
                <w:szCs w:val="22"/>
              </w:rPr>
              <w:t>Descriptors</w:t>
            </w:r>
            <w:r w:rsidRPr="00636F57">
              <w:rPr>
                <w:rStyle w:val="FootnoteReference"/>
                <w:sz w:val="22"/>
                <w:szCs w:val="22"/>
              </w:rPr>
              <w:footnoteReference w:id="9"/>
            </w:r>
          </w:p>
        </w:tc>
        <w:tc>
          <w:tcPr>
            <w:tcW w:w="800" w:type="pct"/>
            <w:shd w:val="clear" w:color="auto" w:fill="BFBFBF" w:themeFill="background1" w:themeFillShade="BF"/>
            <w:vAlign w:val="center"/>
          </w:tcPr>
          <w:p w14:paraId="3E2CE1E5" w14:textId="77777777" w:rsidR="00F44157" w:rsidRPr="00636F57" w:rsidRDefault="00333557" w:rsidP="00B50F8F">
            <w:pPr>
              <w:jc w:val="center"/>
              <w:rPr>
                <w:b/>
                <w:sz w:val="22"/>
                <w:szCs w:val="22"/>
              </w:rPr>
            </w:pPr>
            <w:r w:rsidRPr="00636F57">
              <w:rPr>
                <w:b/>
                <w:sz w:val="22"/>
                <w:szCs w:val="22"/>
              </w:rPr>
              <w:t>North America*</w:t>
            </w:r>
          </w:p>
        </w:tc>
        <w:tc>
          <w:tcPr>
            <w:tcW w:w="798" w:type="pct"/>
            <w:shd w:val="clear" w:color="auto" w:fill="BFBFBF" w:themeFill="background1" w:themeFillShade="BF"/>
            <w:vAlign w:val="center"/>
          </w:tcPr>
          <w:p w14:paraId="5AE2E64E" w14:textId="77777777" w:rsidR="00F44157" w:rsidRPr="00636F57" w:rsidRDefault="00333557" w:rsidP="00B50F8F">
            <w:pPr>
              <w:jc w:val="center"/>
              <w:rPr>
                <w:b/>
                <w:sz w:val="22"/>
                <w:szCs w:val="22"/>
              </w:rPr>
            </w:pPr>
            <w:r w:rsidRPr="00636F57">
              <w:rPr>
                <w:b/>
                <w:sz w:val="22"/>
                <w:szCs w:val="22"/>
              </w:rPr>
              <w:t>Mesoamerica</w:t>
            </w:r>
          </w:p>
        </w:tc>
        <w:tc>
          <w:tcPr>
            <w:tcW w:w="560" w:type="pct"/>
            <w:shd w:val="clear" w:color="auto" w:fill="BFBFBF" w:themeFill="background1" w:themeFillShade="BF"/>
            <w:vAlign w:val="center"/>
          </w:tcPr>
          <w:p w14:paraId="4DAA2F8D" w14:textId="77777777" w:rsidR="00F44157" w:rsidRPr="00636F57" w:rsidRDefault="00333557" w:rsidP="00B50F8F">
            <w:pPr>
              <w:jc w:val="center"/>
              <w:rPr>
                <w:b/>
                <w:sz w:val="22"/>
                <w:szCs w:val="22"/>
              </w:rPr>
            </w:pPr>
            <w:r w:rsidRPr="00636F57">
              <w:rPr>
                <w:b/>
                <w:sz w:val="22"/>
                <w:szCs w:val="22"/>
              </w:rPr>
              <w:t>South America</w:t>
            </w:r>
          </w:p>
        </w:tc>
        <w:tc>
          <w:tcPr>
            <w:tcW w:w="809" w:type="pct"/>
            <w:shd w:val="clear" w:color="auto" w:fill="BFBFBF" w:themeFill="background1" w:themeFillShade="BF"/>
            <w:vAlign w:val="center"/>
          </w:tcPr>
          <w:p w14:paraId="14EF1FAC" w14:textId="77777777" w:rsidR="00F44157" w:rsidRPr="00636F57" w:rsidRDefault="00333557" w:rsidP="00B50F8F">
            <w:pPr>
              <w:jc w:val="center"/>
              <w:rPr>
                <w:b/>
                <w:sz w:val="22"/>
                <w:szCs w:val="22"/>
              </w:rPr>
            </w:pPr>
            <w:r w:rsidRPr="00636F57">
              <w:rPr>
                <w:b/>
                <w:sz w:val="22"/>
                <w:szCs w:val="22"/>
              </w:rPr>
              <w:t>Caribbean*</w:t>
            </w:r>
          </w:p>
        </w:tc>
        <w:tc>
          <w:tcPr>
            <w:tcW w:w="690" w:type="pct"/>
            <w:shd w:val="clear" w:color="auto" w:fill="BFBFBF" w:themeFill="background1" w:themeFillShade="BF"/>
            <w:vAlign w:val="center"/>
          </w:tcPr>
          <w:p w14:paraId="349ECF18" w14:textId="552F1F8B" w:rsidR="00F44157" w:rsidRPr="00636F57" w:rsidRDefault="00333557" w:rsidP="00B50F8F">
            <w:pPr>
              <w:jc w:val="center"/>
              <w:rPr>
                <w:b/>
                <w:sz w:val="22"/>
                <w:szCs w:val="22"/>
              </w:rPr>
            </w:pPr>
            <w:r w:rsidRPr="00636F57">
              <w:rPr>
                <w:b/>
                <w:sz w:val="22"/>
                <w:szCs w:val="22"/>
              </w:rPr>
              <w:t>Source</w:t>
            </w:r>
          </w:p>
        </w:tc>
      </w:tr>
      <w:tr w:rsidR="00F44157" w:rsidRPr="00636F57" w14:paraId="2A9C5EA9" w14:textId="77777777" w:rsidTr="005237BC">
        <w:trPr>
          <w:trHeight w:val="520"/>
          <w:jc w:val="center"/>
        </w:trPr>
        <w:tc>
          <w:tcPr>
            <w:tcW w:w="1343" w:type="pct"/>
            <w:vAlign w:val="center"/>
          </w:tcPr>
          <w:p w14:paraId="6012A190" w14:textId="3C580290" w:rsidR="00F44157" w:rsidRPr="00636F57" w:rsidRDefault="00333557" w:rsidP="005237BC">
            <w:pPr>
              <w:rPr>
                <w:sz w:val="22"/>
                <w:szCs w:val="22"/>
              </w:rPr>
            </w:pPr>
            <w:r w:rsidRPr="00636F57">
              <w:rPr>
                <w:sz w:val="22"/>
                <w:szCs w:val="22"/>
              </w:rPr>
              <w:t>Political Instability Index</w:t>
            </w:r>
            <w:r w:rsidR="00282BDA" w:rsidRPr="00636F57">
              <w:rPr>
                <w:sz w:val="22"/>
                <w:szCs w:val="22"/>
              </w:rPr>
              <w:t>, 2009-2010</w:t>
            </w:r>
            <w:r w:rsidRPr="00636F57">
              <w:rPr>
                <w:sz w:val="22"/>
                <w:szCs w:val="22"/>
              </w:rPr>
              <w:t xml:space="preserve"> </w:t>
            </w:r>
          </w:p>
        </w:tc>
        <w:tc>
          <w:tcPr>
            <w:tcW w:w="800" w:type="pct"/>
            <w:vAlign w:val="center"/>
          </w:tcPr>
          <w:p w14:paraId="45CCED79" w14:textId="77777777" w:rsidR="00F44157" w:rsidRPr="00636F57" w:rsidRDefault="00333557" w:rsidP="005237BC">
            <w:pPr>
              <w:rPr>
                <w:sz w:val="22"/>
                <w:szCs w:val="22"/>
              </w:rPr>
            </w:pPr>
            <w:r w:rsidRPr="00636F57">
              <w:rPr>
                <w:sz w:val="22"/>
                <w:szCs w:val="22"/>
              </w:rPr>
              <w:t>4.05 (2.8-5.3)</w:t>
            </w:r>
          </w:p>
          <w:p w14:paraId="61BF24D4" w14:textId="77777777" w:rsidR="00F44157" w:rsidRPr="00636F57" w:rsidRDefault="00333557" w:rsidP="005237BC">
            <w:pPr>
              <w:rPr>
                <w:sz w:val="22"/>
                <w:szCs w:val="22"/>
              </w:rPr>
            </w:pPr>
            <w:r w:rsidRPr="00636F57">
              <w:rPr>
                <w:sz w:val="22"/>
                <w:szCs w:val="22"/>
              </w:rPr>
              <w:t>Data not available for Greenland</w:t>
            </w:r>
          </w:p>
        </w:tc>
        <w:tc>
          <w:tcPr>
            <w:tcW w:w="798" w:type="pct"/>
            <w:vAlign w:val="center"/>
          </w:tcPr>
          <w:p w14:paraId="7CF4CC1A" w14:textId="77777777" w:rsidR="00F44157" w:rsidRPr="00636F57" w:rsidRDefault="00333557" w:rsidP="005237BC">
            <w:pPr>
              <w:rPr>
                <w:sz w:val="22"/>
                <w:szCs w:val="22"/>
              </w:rPr>
            </w:pPr>
            <w:r w:rsidRPr="00636F57">
              <w:rPr>
                <w:sz w:val="22"/>
                <w:szCs w:val="22"/>
              </w:rPr>
              <w:t>5.9</w:t>
            </w:r>
          </w:p>
          <w:p w14:paraId="564701A6" w14:textId="77777777" w:rsidR="00F44157" w:rsidRPr="00636F57" w:rsidRDefault="00333557" w:rsidP="005237BC">
            <w:pPr>
              <w:rPr>
                <w:sz w:val="22"/>
                <w:szCs w:val="22"/>
              </w:rPr>
            </w:pPr>
            <w:r w:rsidRPr="00636F57">
              <w:rPr>
                <w:sz w:val="22"/>
                <w:szCs w:val="22"/>
              </w:rPr>
              <w:t>(3.5 -7.1)</w:t>
            </w:r>
          </w:p>
        </w:tc>
        <w:tc>
          <w:tcPr>
            <w:tcW w:w="560" w:type="pct"/>
            <w:vAlign w:val="center"/>
          </w:tcPr>
          <w:p w14:paraId="7D170F0C" w14:textId="77777777" w:rsidR="00F44157" w:rsidRPr="00636F57" w:rsidRDefault="00333557" w:rsidP="005237BC">
            <w:pPr>
              <w:rPr>
                <w:sz w:val="22"/>
                <w:szCs w:val="22"/>
              </w:rPr>
            </w:pPr>
            <w:r w:rsidRPr="00636F57">
              <w:rPr>
                <w:sz w:val="22"/>
                <w:szCs w:val="22"/>
              </w:rPr>
              <w:t>6.6</w:t>
            </w:r>
          </w:p>
          <w:p w14:paraId="78A94614" w14:textId="77777777" w:rsidR="00F44157" w:rsidRPr="00636F57" w:rsidRDefault="00333557" w:rsidP="005237BC">
            <w:pPr>
              <w:rPr>
                <w:sz w:val="22"/>
                <w:szCs w:val="22"/>
              </w:rPr>
            </w:pPr>
            <w:r w:rsidRPr="00636F57">
              <w:rPr>
                <w:sz w:val="22"/>
                <w:szCs w:val="22"/>
              </w:rPr>
              <w:t>(5.1-7.7)</w:t>
            </w:r>
          </w:p>
        </w:tc>
        <w:tc>
          <w:tcPr>
            <w:tcW w:w="809" w:type="pct"/>
          </w:tcPr>
          <w:p w14:paraId="10F25DE3" w14:textId="77777777" w:rsidR="00F44157" w:rsidRPr="00636F57" w:rsidRDefault="00333557" w:rsidP="005237BC">
            <w:pPr>
              <w:rPr>
                <w:sz w:val="22"/>
                <w:szCs w:val="22"/>
              </w:rPr>
            </w:pPr>
            <w:r w:rsidRPr="00636F57">
              <w:rPr>
                <w:sz w:val="22"/>
                <w:szCs w:val="22"/>
              </w:rPr>
              <w:t>6.06 (4.2-7.8)</w:t>
            </w:r>
          </w:p>
          <w:p w14:paraId="3D08813E" w14:textId="77777777" w:rsidR="00F44157" w:rsidRPr="00636F57" w:rsidRDefault="00333557" w:rsidP="005237BC">
            <w:pPr>
              <w:rPr>
                <w:sz w:val="22"/>
                <w:szCs w:val="22"/>
              </w:rPr>
            </w:pPr>
            <w:r w:rsidRPr="00636F57">
              <w:rPr>
                <w:sz w:val="22"/>
                <w:szCs w:val="22"/>
              </w:rPr>
              <w:t>Data available for 5 countries</w:t>
            </w:r>
          </w:p>
        </w:tc>
        <w:tc>
          <w:tcPr>
            <w:tcW w:w="690" w:type="pct"/>
          </w:tcPr>
          <w:p w14:paraId="0A52EEB5" w14:textId="0BD9E8A6" w:rsidR="00F44157" w:rsidRPr="00636F57" w:rsidRDefault="00333557" w:rsidP="005237BC">
            <w:pPr>
              <w:rPr>
                <w:sz w:val="22"/>
                <w:szCs w:val="22"/>
              </w:rPr>
            </w:pPr>
            <w:r w:rsidRPr="00636F57">
              <w:rPr>
                <w:sz w:val="22"/>
                <w:szCs w:val="22"/>
              </w:rPr>
              <w:t>The Economist Group</w:t>
            </w:r>
            <w:r w:rsidRPr="00636F57">
              <w:rPr>
                <w:rStyle w:val="FootnoteReference"/>
                <w:sz w:val="22"/>
                <w:szCs w:val="22"/>
              </w:rPr>
              <w:footnoteReference w:id="10"/>
            </w:r>
            <w:r w:rsidRPr="00636F57">
              <w:rPr>
                <w:sz w:val="22"/>
                <w:szCs w:val="22"/>
              </w:rPr>
              <w:t xml:space="preserve"> </w:t>
            </w:r>
          </w:p>
        </w:tc>
      </w:tr>
      <w:tr w:rsidR="00F44157" w:rsidRPr="00636F57" w14:paraId="17C1DC83" w14:textId="77777777" w:rsidTr="005237BC">
        <w:trPr>
          <w:trHeight w:val="540"/>
          <w:jc w:val="center"/>
        </w:trPr>
        <w:tc>
          <w:tcPr>
            <w:tcW w:w="1343" w:type="pct"/>
            <w:vAlign w:val="center"/>
          </w:tcPr>
          <w:p w14:paraId="4BE8491E" w14:textId="46904F0D" w:rsidR="00F44157" w:rsidRPr="00636F57" w:rsidRDefault="00333557" w:rsidP="005237BC">
            <w:pPr>
              <w:rPr>
                <w:sz w:val="22"/>
                <w:szCs w:val="22"/>
              </w:rPr>
            </w:pPr>
            <w:r w:rsidRPr="00636F57">
              <w:rPr>
                <w:sz w:val="22"/>
                <w:szCs w:val="22"/>
              </w:rPr>
              <w:t>Political Stability and Absence of Violence   or Terrorism (Percentile Rank 0-100)</w:t>
            </w:r>
            <w:r w:rsidR="00282BDA" w:rsidRPr="00636F57">
              <w:rPr>
                <w:sz w:val="22"/>
                <w:szCs w:val="22"/>
              </w:rPr>
              <w:t>, 2015</w:t>
            </w:r>
          </w:p>
        </w:tc>
        <w:tc>
          <w:tcPr>
            <w:tcW w:w="800" w:type="pct"/>
          </w:tcPr>
          <w:p w14:paraId="2949E7EE" w14:textId="77777777" w:rsidR="00F44157" w:rsidRPr="00636F57" w:rsidRDefault="00333557" w:rsidP="005237BC">
            <w:pPr>
              <w:rPr>
                <w:sz w:val="22"/>
                <w:szCs w:val="22"/>
              </w:rPr>
            </w:pPr>
            <w:r w:rsidRPr="00636F57">
              <w:rPr>
                <w:sz w:val="22"/>
                <w:szCs w:val="22"/>
              </w:rPr>
              <w:t xml:space="preserve">88 </w:t>
            </w:r>
          </w:p>
          <w:p w14:paraId="13535BBF" w14:textId="77777777" w:rsidR="00F44157" w:rsidRPr="00636F57" w:rsidRDefault="00333557" w:rsidP="005237BC">
            <w:pPr>
              <w:rPr>
                <w:sz w:val="22"/>
                <w:szCs w:val="22"/>
              </w:rPr>
            </w:pPr>
            <w:r w:rsidRPr="00636F57">
              <w:rPr>
                <w:sz w:val="22"/>
                <w:szCs w:val="22"/>
              </w:rPr>
              <w:t>(70-100)</w:t>
            </w:r>
          </w:p>
        </w:tc>
        <w:tc>
          <w:tcPr>
            <w:tcW w:w="798" w:type="pct"/>
            <w:vAlign w:val="bottom"/>
          </w:tcPr>
          <w:p w14:paraId="7FF37065" w14:textId="77777777" w:rsidR="00F44157" w:rsidRPr="00636F57" w:rsidRDefault="00333557" w:rsidP="005237BC">
            <w:pPr>
              <w:rPr>
                <w:sz w:val="22"/>
                <w:szCs w:val="22"/>
              </w:rPr>
            </w:pPr>
            <w:r w:rsidRPr="00636F57">
              <w:rPr>
                <w:sz w:val="22"/>
                <w:szCs w:val="22"/>
              </w:rPr>
              <w:t>42.12</w:t>
            </w:r>
          </w:p>
          <w:p w14:paraId="392BD3DE" w14:textId="77777777" w:rsidR="00F44157" w:rsidRPr="00636F57" w:rsidRDefault="00333557" w:rsidP="005237BC">
            <w:pPr>
              <w:rPr>
                <w:sz w:val="22"/>
                <w:szCs w:val="22"/>
              </w:rPr>
            </w:pPr>
            <w:r w:rsidRPr="00636F57">
              <w:rPr>
                <w:sz w:val="22"/>
                <w:szCs w:val="22"/>
              </w:rPr>
              <w:t xml:space="preserve"> (18-64)</w:t>
            </w:r>
          </w:p>
        </w:tc>
        <w:tc>
          <w:tcPr>
            <w:tcW w:w="560" w:type="pct"/>
            <w:vAlign w:val="bottom"/>
          </w:tcPr>
          <w:p w14:paraId="616BCB2E" w14:textId="77777777" w:rsidR="00F44157" w:rsidRPr="00636F57" w:rsidRDefault="00333557" w:rsidP="005237BC">
            <w:pPr>
              <w:rPr>
                <w:sz w:val="22"/>
                <w:szCs w:val="22"/>
              </w:rPr>
            </w:pPr>
            <w:r w:rsidRPr="00636F57">
              <w:rPr>
                <w:sz w:val="22"/>
                <w:szCs w:val="22"/>
              </w:rPr>
              <w:t xml:space="preserve">41.2 </w:t>
            </w:r>
          </w:p>
          <w:p w14:paraId="7F5E9440" w14:textId="77777777" w:rsidR="00F44157" w:rsidRPr="00636F57" w:rsidRDefault="00333557" w:rsidP="005237BC">
            <w:pPr>
              <w:rPr>
                <w:sz w:val="22"/>
                <w:szCs w:val="22"/>
              </w:rPr>
            </w:pPr>
            <w:r w:rsidRPr="00636F57">
              <w:rPr>
                <w:sz w:val="22"/>
                <w:szCs w:val="22"/>
              </w:rPr>
              <w:t>(12 – 83)</w:t>
            </w:r>
          </w:p>
        </w:tc>
        <w:tc>
          <w:tcPr>
            <w:tcW w:w="809" w:type="pct"/>
          </w:tcPr>
          <w:p w14:paraId="6A6A54B5" w14:textId="77777777" w:rsidR="00F44157" w:rsidRPr="00636F57" w:rsidRDefault="00333557" w:rsidP="005237BC">
            <w:pPr>
              <w:rPr>
                <w:sz w:val="22"/>
                <w:szCs w:val="22"/>
              </w:rPr>
            </w:pPr>
            <w:r w:rsidRPr="00636F57">
              <w:rPr>
                <w:sz w:val="22"/>
                <w:szCs w:val="22"/>
              </w:rPr>
              <w:t>68.76</w:t>
            </w:r>
          </w:p>
          <w:p w14:paraId="0C408E88" w14:textId="77777777" w:rsidR="00F44157" w:rsidRPr="00636F57" w:rsidRDefault="00333557" w:rsidP="005237BC">
            <w:pPr>
              <w:rPr>
                <w:sz w:val="22"/>
                <w:szCs w:val="22"/>
              </w:rPr>
            </w:pPr>
            <w:r w:rsidRPr="00636F57">
              <w:rPr>
                <w:sz w:val="22"/>
                <w:szCs w:val="22"/>
              </w:rPr>
              <w:t>(22-97)</w:t>
            </w:r>
          </w:p>
        </w:tc>
        <w:tc>
          <w:tcPr>
            <w:tcW w:w="690" w:type="pct"/>
          </w:tcPr>
          <w:p w14:paraId="23A8A4AA" w14:textId="4B3523B1" w:rsidR="00F44157" w:rsidRPr="00636F57" w:rsidRDefault="00282C6C" w:rsidP="005237BC">
            <w:pPr>
              <w:rPr>
                <w:sz w:val="22"/>
                <w:szCs w:val="22"/>
              </w:rPr>
            </w:pPr>
            <w:r w:rsidRPr="00636F57">
              <w:rPr>
                <w:sz w:val="22"/>
                <w:szCs w:val="22"/>
              </w:rPr>
              <w:t xml:space="preserve">Kaufmann </w:t>
            </w:r>
            <w:r w:rsidRPr="00636F57">
              <w:rPr>
                <w:i/>
                <w:sz w:val="22"/>
                <w:szCs w:val="22"/>
              </w:rPr>
              <w:t>et al.</w:t>
            </w:r>
            <w:r w:rsidRPr="00636F57">
              <w:rPr>
                <w:sz w:val="22"/>
                <w:szCs w:val="22"/>
              </w:rPr>
              <w:t xml:space="preserve"> (</w:t>
            </w:r>
            <w:r w:rsidR="00333557" w:rsidRPr="00636F57">
              <w:rPr>
                <w:sz w:val="22"/>
                <w:szCs w:val="22"/>
              </w:rPr>
              <w:t>2010</w:t>
            </w:r>
            <w:r w:rsidRPr="00636F57">
              <w:rPr>
                <w:sz w:val="22"/>
                <w:szCs w:val="22"/>
              </w:rPr>
              <w:t>)</w:t>
            </w:r>
          </w:p>
        </w:tc>
      </w:tr>
      <w:tr w:rsidR="00F44157" w:rsidRPr="00636F57" w14:paraId="20E08B0B" w14:textId="77777777" w:rsidTr="005237BC">
        <w:trPr>
          <w:trHeight w:val="540"/>
          <w:jc w:val="center"/>
        </w:trPr>
        <w:tc>
          <w:tcPr>
            <w:tcW w:w="1343" w:type="pct"/>
            <w:vAlign w:val="center"/>
          </w:tcPr>
          <w:p w14:paraId="03353D66" w14:textId="3160F892" w:rsidR="00F44157" w:rsidRPr="00636F57" w:rsidRDefault="00333557" w:rsidP="005237BC">
            <w:pPr>
              <w:rPr>
                <w:sz w:val="22"/>
                <w:szCs w:val="22"/>
              </w:rPr>
            </w:pPr>
            <w:r w:rsidRPr="00636F57">
              <w:rPr>
                <w:sz w:val="22"/>
                <w:szCs w:val="22"/>
              </w:rPr>
              <w:t>Rule of law (0-100 rank)</w:t>
            </w:r>
            <w:r w:rsidR="00282BDA" w:rsidRPr="00636F57">
              <w:rPr>
                <w:sz w:val="22"/>
                <w:szCs w:val="22"/>
              </w:rPr>
              <w:t>, 2015</w:t>
            </w:r>
          </w:p>
        </w:tc>
        <w:tc>
          <w:tcPr>
            <w:tcW w:w="800" w:type="pct"/>
            <w:vAlign w:val="center"/>
          </w:tcPr>
          <w:p w14:paraId="2C812130" w14:textId="77777777" w:rsidR="00F44157" w:rsidRPr="00636F57" w:rsidRDefault="00333557" w:rsidP="005237BC">
            <w:pPr>
              <w:rPr>
                <w:sz w:val="22"/>
                <w:szCs w:val="22"/>
              </w:rPr>
            </w:pPr>
            <w:r w:rsidRPr="00636F57">
              <w:rPr>
                <w:sz w:val="22"/>
                <w:szCs w:val="22"/>
              </w:rPr>
              <w:t>92</w:t>
            </w:r>
          </w:p>
          <w:p w14:paraId="70E2EB94" w14:textId="77777777" w:rsidR="00F44157" w:rsidRPr="00636F57" w:rsidRDefault="00333557" w:rsidP="005237BC">
            <w:pPr>
              <w:rPr>
                <w:sz w:val="22"/>
                <w:szCs w:val="22"/>
              </w:rPr>
            </w:pPr>
            <w:r w:rsidRPr="00636F57">
              <w:rPr>
                <w:sz w:val="22"/>
                <w:szCs w:val="22"/>
              </w:rPr>
              <w:t>(90-95)</w:t>
            </w:r>
          </w:p>
          <w:p w14:paraId="4C748600" w14:textId="77777777" w:rsidR="00F44157" w:rsidRPr="00636F57" w:rsidRDefault="00F44157" w:rsidP="005237BC">
            <w:pPr>
              <w:rPr>
                <w:sz w:val="22"/>
                <w:szCs w:val="22"/>
              </w:rPr>
            </w:pPr>
          </w:p>
        </w:tc>
        <w:tc>
          <w:tcPr>
            <w:tcW w:w="798" w:type="pct"/>
            <w:vAlign w:val="center"/>
          </w:tcPr>
          <w:p w14:paraId="2D4583F2" w14:textId="77777777" w:rsidR="00F44157" w:rsidRPr="00636F57" w:rsidRDefault="00333557" w:rsidP="005237BC">
            <w:pPr>
              <w:rPr>
                <w:sz w:val="22"/>
                <w:szCs w:val="22"/>
              </w:rPr>
            </w:pPr>
            <w:r w:rsidRPr="00636F57">
              <w:rPr>
                <w:sz w:val="22"/>
                <w:szCs w:val="22"/>
              </w:rPr>
              <w:t>34.1</w:t>
            </w:r>
          </w:p>
          <w:p w14:paraId="5EE39B80" w14:textId="77777777" w:rsidR="00F44157" w:rsidRPr="00636F57" w:rsidRDefault="00333557" w:rsidP="005237BC">
            <w:pPr>
              <w:rPr>
                <w:sz w:val="22"/>
                <w:szCs w:val="22"/>
              </w:rPr>
            </w:pPr>
            <w:r w:rsidRPr="00636F57">
              <w:rPr>
                <w:sz w:val="22"/>
                <w:szCs w:val="22"/>
              </w:rPr>
              <w:t>(15-69)</w:t>
            </w:r>
          </w:p>
        </w:tc>
        <w:tc>
          <w:tcPr>
            <w:tcW w:w="560" w:type="pct"/>
            <w:vAlign w:val="center"/>
          </w:tcPr>
          <w:p w14:paraId="5CD16D5E" w14:textId="77777777" w:rsidR="00F44157" w:rsidRPr="00636F57" w:rsidRDefault="00333557" w:rsidP="005237BC">
            <w:pPr>
              <w:rPr>
                <w:sz w:val="22"/>
                <w:szCs w:val="22"/>
              </w:rPr>
            </w:pPr>
            <w:r w:rsidRPr="00636F57">
              <w:rPr>
                <w:sz w:val="22"/>
                <w:szCs w:val="22"/>
              </w:rPr>
              <w:t>41</w:t>
            </w:r>
          </w:p>
          <w:p w14:paraId="695D9041" w14:textId="77777777" w:rsidR="00F44157" w:rsidRPr="00636F57" w:rsidRDefault="00333557" w:rsidP="005237BC">
            <w:pPr>
              <w:rPr>
                <w:sz w:val="22"/>
                <w:szCs w:val="22"/>
              </w:rPr>
            </w:pPr>
            <w:r w:rsidRPr="00636F57">
              <w:rPr>
                <w:sz w:val="22"/>
                <w:szCs w:val="22"/>
              </w:rPr>
              <w:t>(11-87)</w:t>
            </w:r>
          </w:p>
        </w:tc>
        <w:tc>
          <w:tcPr>
            <w:tcW w:w="809" w:type="pct"/>
            <w:vAlign w:val="center"/>
          </w:tcPr>
          <w:p w14:paraId="4573F70A" w14:textId="77777777" w:rsidR="00F44157" w:rsidRPr="00636F57" w:rsidRDefault="00333557" w:rsidP="005237BC">
            <w:pPr>
              <w:rPr>
                <w:sz w:val="22"/>
                <w:szCs w:val="22"/>
              </w:rPr>
            </w:pPr>
            <w:r w:rsidRPr="00636F57">
              <w:rPr>
                <w:sz w:val="22"/>
                <w:szCs w:val="22"/>
              </w:rPr>
              <w:t>56</w:t>
            </w:r>
          </w:p>
          <w:p w14:paraId="0CD903EB" w14:textId="77777777" w:rsidR="00F44157" w:rsidRPr="00636F57" w:rsidRDefault="00333557" w:rsidP="005237BC">
            <w:pPr>
              <w:rPr>
                <w:sz w:val="22"/>
                <w:szCs w:val="22"/>
              </w:rPr>
            </w:pPr>
            <w:r w:rsidRPr="00636F57">
              <w:rPr>
                <w:sz w:val="22"/>
                <w:szCs w:val="22"/>
              </w:rPr>
              <w:t>(10-82)</w:t>
            </w:r>
          </w:p>
        </w:tc>
        <w:tc>
          <w:tcPr>
            <w:tcW w:w="690" w:type="pct"/>
            <w:vAlign w:val="center"/>
          </w:tcPr>
          <w:p w14:paraId="7C77F435" w14:textId="2A3FFE4F" w:rsidR="00F44157" w:rsidRPr="00636F57" w:rsidRDefault="00282C6C" w:rsidP="005237BC">
            <w:pPr>
              <w:rPr>
                <w:sz w:val="22"/>
                <w:szCs w:val="22"/>
              </w:rPr>
            </w:pPr>
            <w:r w:rsidRPr="00636F57">
              <w:rPr>
                <w:sz w:val="22"/>
                <w:szCs w:val="22"/>
              </w:rPr>
              <w:t xml:space="preserve">Kaufmann </w:t>
            </w:r>
            <w:r w:rsidRPr="00636F57">
              <w:rPr>
                <w:i/>
                <w:sz w:val="22"/>
                <w:szCs w:val="22"/>
              </w:rPr>
              <w:t>et al.</w:t>
            </w:r>
            <w:r w:rsidRPr="00636F57">
              <w:rPr>
                <w:sz w:val="22"/>
                <w:szCs w:val="22"/>
              </w:rPr>
              <w:t xml:space="preserve"> (2010)</w:t>
            </w:r>
          </w:p>
        </w:tc>
      </w:tr>
      <w:tr w:rsidR="00F44157" w:rsidRPr="00636F57" w14:paraId="7EBFC507" w14:textId="77777777" w:rsidTr="005237BC">
        <w:trPr>
          <w:trHeight w:val="540"/>
          <w:jc w:val="center"/>
        </w:trPr>
        <w:tc>
          <w:tcPr>
            <w:tcW w:w="1343" w:type="pct"/>
            <w:vAlign w:val="center"/>
          </w:tcPr>
          <w:p w14:paraId="6142ED26" w14:textId="4A9A9576" w:rsidR="00F44157" w:rsidRPr="00636F57" w:rsidRDefault="00333557" w:rsidP="005237BC">
            <w:pPr>
              <w:rPr>
                <w:sz w:val="22"/>
                <w:szCs w:val="22"/>
              </w:rPr>
            </w:pPr>
            <w:r w:rsidRPr="00636F57">
              <w:rPr>
                <w:sz w:val="22"/>
                <w:szCs w:val="22"/>
              </w:rPr>
              <w:t>Control of corruption (0-100 rank)</w:t>
            </w:r>
            <w:r w:rsidR="00282BDA" w:rsidRPr="00636F57">
              <w:rPr>
                <w:sz w:val="22"/>
                <w:szCs w:val="22"/>
              </w:rPr>
              <w:t>, 2015</w:t>
            </w:r>
          </w:p>
        </w:tc>
        <w:tc>
          <w:tcPr>
            <w:tcW w:w="800" w:type="pct"/>
            <w:vAlign w:val="center"/>
          </w:tcPr>
          <w:p w14:paraId="5F90C7EF" w14:textId="77777777" w:rsidR="00F44157" w:rsidRPr="00636F57" w:rsidRDefault="00333557" w:rsidP="005237BC">
            <w:pPr>
              <w:rPr>
                <w:sz w:val="22"/>
                <w:szCs w:val="22"/>
              </w:rPr>
            </w:pPr>
            <w:r w:rsidRPr="00636F57">
              <w:rPr>
                <w:sz w:val="22"/>
                <w:szCs w:val="22"/>
              </w:rPr>
              <w:t>89</w:t>
            </w:r>
          </w:p>
          <w:p w14:paraId="505302B3" w14:textId="77777777" w:rsidR="00F44157" w:rsidRPr="00636F57" w:rsidRDefault="00333557" w:rsidP="005237BC">
            <w:pPr>
              <w:rPr>
                <w:sz w:val="22"/>
                <w:szCs w:val="22"/>
              </w:rPr>
            </w:pPr>
            <w:r w:rsidRPr="00636F57">
              <w:rPr>
                <w:sz w:val="22"/>
                <w:szCs w:val="22"/>
              </w:rPr>
              <w:t>(84-94)</w:t>
            </w:r>
          </w:p>
        </w:tc>
        <w:tc>
          <w:tcPr>
            <w:tcW w:w="798" w:type="pct"/>
            <w:vAlign w:val="center"/>
          </w:tcPr>
          <w:p w14:paraId="1B9B75EE" w14:textId="77777777" w:rsidR="00F44157" w:rsidRPr="00636F57" w:rsidRDefault="00333557" w:rsidP="005237BC">
            <w:pPr>
              <w:rPr>
                <w:sz w:val="22"/>
                <w:szCs w:val="22"/>
              </w:rPr>
            </w:pPr>
            <w:r w:rsidRPr="00636F57">
              <w:rPr>
                <w:sz w:val="22"/>
                <w:szCs w:val="22"/>
              </w:rPr>
              <w:t xml:space="preserve">40 </w:t>
            </w:r>
          </w:p>
          <w:p w14:paraId="3607EA54" w14:textId="77777777" w:rsidR="00F44157" w:rsidRPr="00636F57" w:rsidRDefault="00333557" w:rsidP="005237BC">
            <w:pPr>
              <w:rPr>
                <w:sz w:val="22"/>
                <w:szCs w:val="22"/>
              </w:rPr>
            </w:pPr>
            <w:r w:rsidRPr="00636F57">
              <w:rPr>
                <w:sz w:val="22"/>
                <w:szCs w:val="22"/>
              </w:rPr>
              <w:t>(19-75)</w:t>
            </w:r>
          </w:p>
        </w:tc>
        <w:tc>
          <w:tcPr>
            <w:tcW w:w="560" w:type="pct"/>
            <w:vAlign w:val="center"/>
          </w:tcPr>
          <w:p w14:paraId="68B55B33" w14:textId="77777777" w:rsidR="00F44157" w:rsidRPr="00636F57" w:rsidRDefault="00333557" w:rsidP="005237BC">
            <w:pPr>
              <w:rPr>
                <w:sz w:val="22"/>
                <w:szCs w:val="22"/>
              </w:rPr>
            </w:pPr>
            <w:r w:rsidRPr="00636F57">
              <w:rPr>
                <w:sz w:val="22"/>
                <w:szCs w:val="22"/>
              </w:rPr>
              <w:t xml:space="preserve">39 </w:t>
            </w:r>
          </w:p>
          <w:p w14:paraId="1078A6B2" w14:textId="77777777" w:rsidR="00F44157" w:rsidRPr="00636F57" w:rsidRDefault="00333557" w:rsidP="005237BC">
            <w:pPr>
              <w:rPr>
                <w:sz w:val="22"/>
                <w:szCs w:val="22"/>
              </w:rPr>
            </w:pPr>
            <w:r w:rsidRPr="00636F57">
              <w:rPr>
                <w:sz w:val="22"/>
                <w:szCs w:val="22"/>
              </w:rPr>
              <w:t>(6-89)</w:t>
            </w:r>
          </w:p>
        </w:tc>
        <w:tc>
          <w:tcPr>
            <w:tcW w:w="809" w:type="pct"/>
            <w:vAlign w:val="center"/>
          </w:tcPr>
          <w:p w14:paraId="7F9FB51B" w14:textId="77777777" w:rsidR="00F44157" w:rsidRPr="00636F57" w:rsidRDefault="00333557" w:rsidP="005237BC">
            <w:pPr>
              <w:rPr>
                <w:sz w:val="22"/>
                <w:szCs w:val="22"/>
              </w:rPr>
            </w:pPr>
            <w:r w:rsidRPr="00636F57">
              <w:rPr>
                <w:sz w:val="22"/>
                <w:szCs w:val="22"/>
              </w:rPr>
              <w:t xml:space="preserve">59 </w:t>
            </w:r>
          </w:p>
          <w:p w14:paraId="2CF3C0B9" w14:textId="77777777" w:rsidR="00F44157" w:rsidRPr="00636F57" w:rsidRDefault="00333557" w:rsidP="005237BC">
            <w:pPr>
              <w:rPr>
                <w:sz w:val="22"/>
                <w:szCs w:val="22"/>
              </w:rPr>
            </w:pPr>
            <w:r w:rsidRPr="00636F57">
              <w:rPr>
                <w:sz w:val="22"/>
                <w:szCs w:val="22"/>
              </w:rPr>
              <w:t>(9-93)</w:t>
            </w:r>
          </w:p>
        </w:tc>
        <w:tc>
          <w:tcPr>
            <w:tcW w:w="690" w:type="pct"/>
            <w:vAlign w:val="center"/>
          </w:tcPr>
          <w:p w14:paraId="1E35530C" w14:textId="0912286A" w:rsidR="00F44157" w:rsidRPr="00636F57" w:rsidRDefault="00282C6C" w:rsidP="005237BC">
            <w:pPr>
              <w:rPr>
                <w:sz w:val="22"/>
                <w:szCs w:val="22"/>
              </w:rPr>
            </w:pPr>
            <w:r w:rsidRPr="00636F57">
              <w:rPr>
                <w:sz w:val="22"/>
                <w:szCs w:val="22"/>
              </w:rPr>
              <w:t xml:space="preserve">Kaufmann </w:t>
            </w:r>
            <w:r w:rsidRPr="00636F57">
              <w:rPr>
                <w:i/>
                <w:sz w:val="22"/>
                <w:szCs w:val="22"/>
              </w:rPr>
              <w:t>et al.</w:t>
            </w:r>
            <w:r w:rsidRPr="00636F57">
              <w:rPr>
                <w:sz w:val="22"/>
                <w:szCs w:val="22"/>
              </w:rPr>
              <w:t xml:space="preserve"> (2010)</w:t>
            </w:r>
          </w:p>
        </w:tc>
      </w:tr>
    </w:tbl>
    <w:p w14:paraId="1DF69D4C" w14:textId="77777777" w:rsidR="00F44157" w:rsidRPr="008608AA" w:rsidRDefault="00333557" w:rsidP="000836E7">
      <w:pPr>
        <w:spacing w:line="276" w:lineRule="auto"/>
        <w:rPr>
          <w:sz w:val="20"/>
          <w:szCs w:val="20"/>
        </w:rPr>
      </w:pPr>
      <w:bookmarkStart w:id="477" w:name="_37m2jsg" w:colFirst="0" w:colLast="0"/>
      <w:bookmarkEnd w:id="477"/>
      <w:r w:rsidRPr="008608AA">
        <w:rPr>
          <w:sz w:val="20"/>
          <w:szCs w:val="20"/>
        </w:rPr>
        <w:t>* Greenland and the 13 Caribbean Protectorates are still colonies of European States, so their governance aspects are not included in this table</w:t>
      </w:r>
    </w:p>
    <w:p w14:paraId="0A4A63BB" w14:textId="2C7B6CE9" w:rsidR="00636F57" w:rsidRDefault="00636F57" w:rsidP="000836E7">
      <w:pPr>
        <w:spacing w:line="276" w:lineRule="auto"/>
        <w:rPr>
          <w:sz w:val="20"/>
          <w:szCs w:val="20"/>
        </w:rPr>
      </w:pPr>
      <w:r>
        <w:rPr>
          <w:sz w:val="20"/>
          <w:szCs w:val="20"/>
        </w:rPr>
        <w:br w:type="page"/>
      </w:r>
    </w:p>
    <w:p w14:paraId="160DF3E6" w14:textId="77777777" w:rsidR="00B50F8F" w:rsidRPr="008608AA" w:rsidRDefault="00B50F8F" w:rsidP="000836E7">
      <w:pPr>
        <w:spacing w:line="276" w:lineRule="auto"/>
        <w:rPr>
          <w:sz w:val="20"/>
          <w:szCs w:val="20"/>
        </w:rPr>
      </w:pPr>
    </w:p>
    <w:p w14:paraId="18FD3AEA" w14:textId="368262B1" w:rsidR="00F44157" w:rsidRDefault="00333557" w:rsidP="00B50F8F">
      <w:pPr>
        <w:pStyle w:val="Heading2"/>
      </w:pPr>
      <w:bookmarkStart w:id="478" w:name="_Toc502908188"/>
      <w:bookmarkStart w:id="479" w:name="_Toc502927278"/>
      <w:bookmarkStart w:id="480" w:name="_Toc502951114"/>
      <w:bookmarkStart w:id="481" w:name="_Toc502953557"/>
      <w:bookmarkStart w:id="482" w:name="_Toc502954850"/>
      <w:bookmarkStart w:id="483" w:name="_Toc502957657"/>
      <w:bookmarkStart w:id="484" w:name="_Toc502958010"/>
      <w:bookmarkStart w:id="485" w:name="_Toc503293654"/>
      <w:bookmarkStart w:id="486" w:name="_Toc503293916"/>
      <w:bookmarkStart w:id="487" w:name="_Toc503863309"/>
      <w:bookmarkStart w:id="488" w:name="_Toc503863537"/>
      <w:bookmarkStart w:id="489" w:name="_Toc517391837"/>
      <w:bookmarkStart w:id="490" w:name="_Toc517393231"/>
      <w:bookmarkStart w:id="491" w:name="_Toc517718972"/>
      <w:bookmarkStart w:id="492" w:name="_Toc517796929"/>
      <w:r w:rsidRPr="008608AA">
        <w:t xml:space="preserve">Technical details: Methods and approaches in the </w:t>
      </w:r>
      <w:r w:rsidR="0053392A" w:rsidRPr="008608AA">
        <w:t>Assessment</w:t>
      </w:r>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p>
    <w:p w14:paraId="4310FFD6" w14:textId="77777777" w:rsidR="00636F57" w:rsidRPr="00636F57" w:rsidRDefault="00636F57" w:rsidP="00636F57">
      <w:pPr>
        <w:rPr>
          <w:lang w:val="en-GB" w:eastAsia="es-CO"/>
        </w:rPr>
      </w:pPr>
    </w:p>
    <w:p w14:paraId="45C9CF5E" w14:textId="5F13810B" w:rsidR="00F44157" w:rsidRPr="008608AA" w:rsidRDefault="0053392A" w:rsidP="0025459A">
      <w:pPr>
        <w:pStyle w:val="Heading3"/>
        <w:spacing w:before="0"/>
      </w:pPr>
      <w:bookmarkStart w:id="493" w:name="_Toc502908189"/>
      <w:bookmarkStart w:id="494" w:name="_Toc502927279"/>
      <w:bookmarkStart w:id="495" w:name="_Toc502951115"/>
      <w:bookmarkStart w:id="496" w:name="_Toc502953558"/>
      <w:bookmarkStart w:id="497" w:name="_Toc502954851"/>
      <w:bookmarkStart w:id="498" w:name="_Toc502957658"/>
      <w:bookmarkStart w:id="499" w:name="_Toc502958011"/>
      <w:bookmarkStart w:id="500" w:name="_Toc503293655"/>
      <w:bookmarkStart w:id="501" w:name="_Toc503293917"/>
      <w:bookmarkStart w:id="502" w:name="_Toc503863310"/>
      <w:bookmarkStart w:id="503" w:name="_Toc503863538"/>
      <w:bookmarkStart w:id="504" w:name="_Toc517391838"/>
      <w:bookmarkStart w:id="505" w:name="_Toc517393232"/>
      <w:bookmarkStart w:id="506" w:name="_Toc517718973"/>
      <w:bookmarkStart w:id="507" w:name="_Toc517796930"/>
      <w:r w:rsidRPr="008608AA">
        <w:t>How this R</w:t>
      </w:r>
      <w:r w:rsidR="00333557" w:rsidRPr="008608AA">
        <w:t xml:space="preserve">egional </w:t>
      </w:r>
      <w:r w:rsidRPr="008608AA">
        <w:t>Assessment</w:t>
      </w:r>
      <w:r w:rsidR="00333557" w:rsidRPr="008608AA">
        <w:t xml:space="preserve"> deals with incomplete or absent information</w:t>
      </w:r>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r w:rsidR="00333557" w:rsidRPr="008608AA">
        <w:t xml:space="preserve"> </w:t>
      </w:r>
    </w:p>
    <w:p w14:paraId="6A251101" w14:textId="586F7376" w:rsidR="00F44157" w:rsidRPr="008608AA" w:rsidRDefault="00333557" w:rsidP="00B50F8F">
      <w:pPr>
        <w:spacing w:before="120" w:after="120"/>
      </w:pPr>
      <w:r w:rsidRPr="008608AA">
        <w:t xml:space="preserve">An assessment on a continental scale is built on the basis of numerous sources of information. Although there is immense value in an assessment that can incorporate many sources of information, there are also many challenges to overcome, including incomplete or absent information, low quality information, limits in representativeness of information sources. To address these issues consistently, this </w:t>
      </w:r>
      <w:r w:rsidR="0053392A" w:rsidRPr="008608AA">
        <w:t>Assessment</w:t>
      </w:r>
      <w:r w:rsidRPr="008608AA">
        <w:t xml:space="preserve"> follows the guidelines provided by the IPBES Task Force on Knowledge and Data. The identification and classification of gaps in knowledge are necessary contributions to support decisions, conservation and for ongoing and future assessment processes.</w:t>
      </w:r>
    </w:p>
    <w:p w14:paraId="2B0A349F" w14:textId="0FD5BAD7" w:rsidR="00F44157" w:rsidRPr="008608AA" w:rsidRDefault="00333557" w:rsidP="00B50F8F">
      <w:pPr>
        <w:spacing w:before="120" w:after="120"/>
      </w:pPr>
      <w:r w:rsidRPr="008608AA">
        <w:t xml:space="preserve">The collection, processing and use of data, information and knowledge followed certain key principles and practices to meet quality standards to ensure that the target audiences have sufficient confidence in the </w:t>
      </w:r>
      <w:r w:rsidR="0053392A" w:rsidRPr="008608AA">
        <w:t>Assessment</w:t>
      </w:r>
      <w:r w:rsidRPr="008608AA">
        <w:t xml:space="preserve"> conclusions to use them in policy and decision-making. Among these principles and practices are: i) inclusion of all relevant and available or readily mobilizable data, information and knowledge from different knowledge systems and sources; ii) transparency at all steps of collection, selection, analysis and archiving, in order </w:t>
      </w:r>
      <w:r w:rsidR="0053392A" w:rsidRPr="008608AA">
        <w:t>to enable informed feedback on A</w:t>
      </w:r>
      <w:r w:rsidRPr="008608AA">
        <w:t>ssessments and replicability of results, and to enable comparability across scales and time; and iii) systematic and well-documented methodology in all steps of the assessment process, including documentation of the representativeness of the available evidence, the remaining gaps and uncertainty, and iv) clear rationales in cases where a “weight of evidence” conclusion was drawn from the broad range of relevant information presented in i).</w:t>
      </w:r>
    </w:p>
    <w:p w14:paraId="62E0C384" w14:textId="77777777" w:rsidR="00B50F8F" w:rsidRPr="008608AA" w:rsidRDefault="00B50F8F" w:rsidP="00B50F8F">
      <w:pPr>
        <w:spacing w:before="120" w:after="120"/>
      </w:pPr>
    </w:p>
    <w:p w14:paraId="419188C2" w14:textId="6BB72993" w:rsidR="00F44157" w:rsidRPr="008608AA" w:rsidRDefault="00DF7063" w:rsidP="0025459A">
      <w:pPr>
        <w:pStyle w:val="Heading3"/>
      </w:pPr>
      <w:bookmarkStart w:id="508" w:name="_Toc502908190"/>
      <w:bookmarkStart w:id="509" w:name="_Toc502927280"/>
      <w:bookmarkStart w:id="510" w:name="_Toc502951116"/>
      <w:bookmarkStart w:id="511" w:name="_Toc502953559"/>
      <w:bookmarkStart w:id="512" w:name="_Toc502954852"/>
      <w:bookmarkStart w:id="513" w:name="_Toc502957659"/>
      <w:bookmarkStart w:id="514" w:name="_Toc502958012"/>
      <w:bookmarkStart w:id="515" w:name="_Toc503293656"/>
      <w:bookmarkStart w:id="516" w:name="_Toc503293918"/>
      <w:bookmarkStart w:id="517" w:name="_Toc503863311"/>
      <w:bookmarkStart w:id="518" w:name="_Toc503863539"/>
      <w:bookmarkStart w:id="519" w:name="_Toc517391839"/>
      <w:bookmarkStart w:id="520" w:name="_Toc517393233"/>
      <w:bookmarkStart w:id="521" w:name="_Toc517718974"/>
      <w:bookmarkStart w:id="522" w:name="_Toc517796931"/>
      <w:r w:rsidRPr="008608AA">
        <w:t>How this Regional A</w:t>
      </w:r>
      <w:r w:rsidR="00333557" w:rsidRPr="008608AA">
        <w:t>ssessment handles uncertainty</w:t>
      </w:r>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p>
    <w:p w14:paraId="073861E2" w14:textId="6E866A9E" w:rsidR="00F44157" w:rsidRPr="008608AA" w:rsidRDefault="00333557" w:rsidP="00B50F8F">
      <w:r w:rsidRPr="008608AA">
        <w:t>Uncertainty in assessments arises from several sources, including the incompleteness or unrepresentativeness of information available; having information available that is of low accuracy, precision or both (whether accuracy and precision have been estimated or not); and having multiple studies that individually may report finding of moderate accuracy and precision, but are inconsistent with each other across studies. In the case of uncertainty, each chapter of this report establishes the level of confidence in relation to the key findings (data and information from the ensemble of knowledge s</w:t>
      </w:r>
      <w:r w:rsidR="00DF7063" w:rsidRPr="008608AA">
        <w:t>ystems) presented in Executive s</w:t>
      </w:r>
      <w:r w:rsidRPr="008608AA">
        <w:t>ummaries. Each key finding in an IPB</w:t>
      </w:r>
      <w:r w:rsidR="00DF7063" w:rsidRPr="008608AA">
        <w:t>ES A</w:t>
      </w:r>
      <w:r w:rsidRPr="008608AA">
        <w:t>ssessment comes with a con</w:t>
      </w:r>
      <w:r w:rsidR="00DF7063" w:rsidRPr="008608AA">
        <w:t>fidence language statement. In A</w:t>
      </w:r>
      <w:r w:rsidRPr="008608AA">
        <w:t xml:space="preserve">ssessments, when we talk about confidence in relation to knowledge, we are referring to how assured the experts are about the findings presented within their chapters. Low confidence describes a situation where we have incomplete knowledge and therefore cannot fully explain an outcome or reliably predict a future outcome, whereas high confidence conveys that we have extensive knowledge and are able to explain an outcome or predict a future outcome with much greater certainty.  </w:t>
      </w:r>
    </w:p>
    <w:p w14:paraId="190FC1B1" w14:textId="634CB1DA" w:rsidR="00F44157" w:rsidRPr="008608AA" w:rsidRDefault="00333557" w:rsidP="00B50F8F">
      <w:pPr>
        <w:spacing w:before="120" w:after="120"/>
      </w:pPr>
      <w:r w:rsidRPr="008608AA">
        <w:t>The commun</w:t>
      </w:r>
      <w:r w:rsidR="00DF7063" w:rsidRPr="008608AA">
        <w:t>ication of confidence in IPBES A</w:t>
      </w:r>
      <w:r w:rsidRPr="008608AA">
        <w:t>ssessments is important because interactions between humans and the natural world are complex, as are the interactions among people relative to nature. To allow decision makers to make informed decisions, author teams need to communicate not only the findings in which they have high confidence but also those in which their confidence is weaker, in cases when the finding is the best inference that can be drawn from the knowledge available. Furthermore, by following a common approach to applying co</w:t>
      </w:r>
      <w:r w:rsidR="00DF7063" w:rsidRPr="008608AA">
        <w:t>nfidence terminology within an A</w:t>
      </w:r>
      <w:r w:rsidRPr="008608AA">
        <w:t xml:space="preserve">ssessment, authors are able to increase consistency and transparency. </w:t>
      </w:r>
    </w:p>
    <w:p w14:paraId="1263439E" w14:textId="7099D733" w:rsidR="00BD2BC4" w:rsidRPr="008608AA" w:rsidRDefault="00DF7063">
      <w:r w:rsidRPr="008608AA">
        <w:t>IPBES A</w:t>
      </w:r>
      <w:r w:rsidR="00333557" w:rsidRPr="008608AA">
        <w:t xml:space="preserve">ssessments uses four specific phrases known as “confidence terms” in order to categorize the experts’ level of confidence in their findings consistently (Figure 1.11). The categories depend on the author team’s expert judgment on the quantity and quality of the supporting evidence and the level of scientific agreement about what that evidence shows. </w:t>
      </w:r>
      <w:r w:rsidRPr="008608AA">
        <w:t>The Intergovernmental Science-Policy Platform on Biodiversity and Ecosystem Services A</w:t>
      </w:r>
      <w:r w:rsidR="00333557" w:rsidRPr="008608AA">
        <w:t xml:space="preserve">ssessments use a four-box model of confidence (below) based on evidence and agreement that gives four main confidence terms: “well established” (much evidence and high agreement), “unresolved” (much evidence but low agreement), “established but incomplete” (limited evidence but good agreement) and “inconclusive” (limited or no evidence and little agreement). </w:t>
      </w:r>
    </w:p>
    <w:p w14:paraId="098C2FA2" w14:textId="0E9BD2D6" w:rsidR="00B50F8F" w:rsidRPr="008608AA" w:rsidRDefault="000C4622" w:rsidP="00B50F8F">
      <w:pPr>
        <w:spacing w:before="120"/>
        <w:jc w:val="center"/>
      </w:pPr>
      <w:r w:rsidRPr="008608AA">
        <w:rPr>
          <w:noProof/>
          <w:lang w:val="en-GB" w:eastAsia="en-GB"/>
        </w:rPr>
        <w:drawing>
          <wp:inline distT="0" distB="0" distL="0" distR="0" wp14:anchorId="30EAA20C" wp14:editId="3ABFCD5C">
            <wp:extent cx="5934075" cy="3495675"/>
            <wp:effectExtent l="0" t="0" r="9525" b="9525"/>
            <wp:docPr id="10" name="Imagen 10" descr="C:\Users\Alejandro Valderrama\Downloads\Fi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Alejandro Valderrama\Downloads\Fig1.11.jpg"/>
                    <pic:cNvPicPr>
                      <a:picLocks noChangeAspect="1" noChangeArrowheads="1"/>
                    </pic:cNvPicPr>
                  </pic:nvPicPr>
                  <pic:blipFill rotWithShape="1">
                    <a:blip r:embed="rId28">
                      <a:extLst>
                        <a:ext uri="{28A0092B-C50C-407E-A947-70E740481C1C}">
                          <a14:useLocalDpi xmlns:a14="http://schemas.microsoft.com/office/drawing/2010/main" val="0"/>
                        </a:ext>
                      </a:extLst>
                    </a:blip>
                    <a:srcRect b="59131"/>
                    <a:stretch/>
                  </pic:blipFill>
                  <pic:spPr bwMode="auto">
                    <a:xfrm>
                      <a:off x="0" y="0"/>
                      <a:ext cx="5934075" cy="3495675"/>
                    </a:xfrm>
                    <a:prstGeom prst="rect">
                      <a:avLst/>
                    </a:prstGeom>
                    <a:noFill/>
                    <a:ln>
                      <a:noFill/>
                    </a:ln>
                    <a:extLst>
                      <a:ext uri="{53640926-AAD7-44D8-BBD7-CCE9431645EC}">
                        <a14:shadowObscured xmlns:a14="http://schemas.microsoft.com/office/drawing/2010/main"/>
                      </a:ext>
                    </a:extLst>
                  </pic:spPr>
                </pic:pic>
              </a:graphicData>
            </a:graphic>
          </wp:inline>
        </w:drawing>
      </w:r>
    </w:p>
    <w:p w14:paraId="58795C83" w14:textId="77777777" w:rsidR="00F44157" w:rsidRPr="008608AA" w:rsidRDefault="00333557" w:rsidP="00B50F8F">
      <w:pPr>
        <w:spacing w:before="120"/>
      </w:pPr>
      <w:r w:rsidRPr="008608AA">
        <w:t>Depending on the nature of the evidence supporting the key message or finding, quantitative assessments of confidence may also be possible. Quantitative assessments of confidence are estimates of the likelihood (probability) that a well-defined outcome will occur in the future. Probabilistic estimates are based on statistical analysis of observations or model results, or both, combined with expert judgment. However, it may be that quantitative assessments of confidence are not possible in all assessments, due to limitations in the evidence available.</w:t>
      </w:r>
    </w:p>
    <w:p w14:paraId="4A9EB0A3" w14:textId="77777777" w:rsidR="009660C5" w:rsidRPr="008608AA" w:rsidRDefault="009660C5" w:rsidP="008B3BCD">
      <w:bookmarkStart w:id="523" w:name="_Toc502908191"/>
      <w:bookmarkStart w:id="524" w:name="_Toc502927281"/>
      <w:bookmarkStart w:id="525" w:name="_Toc502951117"/>
      <w:bookmarkStart w:id="526" w:name="_Toc502953560"/>
      <w:bookmarkStart w:id="527" w:name="_Toc502954853"/>
      <w:bookmarkStart w:id="528" w:name="_Toc502957660"/>
      <w:bookmarkStart w:id="529" w:name="_Toc502958013"/>
      <w:bookmarkStart w:id="530" w:name="_Toc503293657"/>
      <w:bookmarkStart w:id="531" w:name="_Toc503293919"/>
      <w:bookmarkStart w:id="532" w:name="_Toc503863312"/>
      <w:bookmarkStart w:id="533" w:name="_Toc503863540"/>
    </w:p>
    <w:p w14:paraId="42DEFE0F" w14:textId="537B4AC0" w:rsidR="00F44157" w:rsidRPr="008608AA" w:rsidRDefault="00333557" w:rsidP="0025459A">
      <w:pPr>
        <w:pStyle w:val="Heading3"/>
      </w:pPr>
      <w:bookmarkStart w:id="534" w:name="_Toc517391840"/>
      <w:bookmarkStart w:id="535" w:name="_Toc517393234"/>
      <w:bookmarkStart w:id="536" w:name="_Toc517718975"/>
      <w:bookmarkStart w:id="537" w:name="_Toc517796932"/>
      <w:r w:rsidRPr="008608AA">
        <w:t>Data and indicators</w:t>
      </w:r>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p>
    <w:p w14:paraId="7FC55193" w14:textId="38A408F4" w:rsidR="00F44157" w:rsidRPr="008608AA" w:rsidRDefault="00DF7063" w:rsidP="00B50F8F">
      <w:r w:rsidRPr="008608AA">
        <w:t>The Intergovernmental Science-Policy Platform on Biodiversity and Ecosystem Services</w:t>
      </w:r>
      <w:r w:rsidR="00333557" w:rsidRPr="008608AA">
        <w:t xml:space="preserve"> use</w:t>
      </w:r>
      <w:r w:rsidR="002D7EEC" w:rsidRPr="008608AA">
        <w:t>s indicators in conducting its A</w:t>
      </w:r>
      <w:r w:rsidR="00333557" w:rsidRPr="008608AA">
        <w:t xml:space="preserve">ssessments. Indicators are defined here as data aggregated in a quantitative or qualitative manner that reflect the status, cause or outcome of an object or process, especially towards targets such as the Aichi </w:t>
      </w:r>
      <w:r w:rsidR="0064559E" w:rsidRPr="008608AA">
        <w:t>target</w:t>
      </w:r>
      <w:r w:rsidR="00333557" w:rsidRPr="008608AA">
        <w:t>s or those set by the SDG. Indicators can help simplify the enormous complexity of datasets, variables, frameworks and approaches available to us. They are also useful tools for communicating the results of assessments. It is, however, important to recognize the limitations of a given set of indicators in capturing the complexities of the ‘real world’, since indicators are restricted to what can be measured in a standardized way and for which appropriate data are widely available with good global coverage. Notably, these limitations are especially significant when it comes to assessing non-material benefits of nature to people and in quality of life. Moreover, the meanings of indicators are related to diverse cultural</w:t>
      </w:r>
      <w:r w:rsidR="009660C5" w:rsidRPr="008608AA">
        <w:t xml:space="preserve"> perspectives. Hence, in IPBES A</w:t>
      </w:r>
      <w:r w:rsidR="00333557" w:rsidRPr="008608AA">
        <w:t xml:space="preserve">ssessments, indicators are subjected to critical analysis and review from a diversity of experts.    </w:t>
      </w:r>
    </w:p>
    <w:p w14:paraId="4FD76338" w14:textId="33DF2E81" w:rsidR="00F44157" w:rsidRPr="008608AA" w:rsidRDefault="002D7EEC" w:rsidP="00B50F8F">
      <w:pPr>
        <w:spacing w:before="120" w:after="120"/>
      </w:pPr>
      <w:r w:rsidRPr="008608AA">
        <w:t>The Intergovernmental Science-Policy Platform on Biodiversity and Ecosystem Services</w:t>
      </w:r>
      <w:r w:rsidR="00333557" w:rsidRPr="008608AA">
        <w:t xml:space="preserve"> has consulted widely in arriving at a</w:t>
      </w:r>
      <w:r w:rsidR="009660C5" w:rsidRPr="008608AA">
        <w:t xml:space="preserve"> list of 30 indicators for its A</w:t>
      </w:r>
      <w:r w:rsidR="00333557" w:rsidRPr="008608AA">
        <w:t>ssessments, of which nine are intended to assess socio-ecological status and trends. Indicators have been selected to cover the Conceptual Framework comprehensively as well as being interpretable in what relates to drivers, pressure, status, impact, response´s approach to assessments. Table 1.7 lists the indicators with their role related to drivers, pressure, status, impact, response and IPBES conceptual framework, and their sources in other agencies or more thematically focused assessments.</w:t>
      </w:r>
      <w:r w:rsidR="00333557" w:rsidRPr="008608AA">
        <w:br w:type="page"/>
      </w:r>
    </w:p>
    <w:p w14:paraId="15064E10" w14:textId="6DE4F960" w:rsidR="00F44157" w:rsidRPr="008608AA" w:rsidRDefault="00870677" w:rsidP="00636F57">
      <w:pPr>
        <w:pStyle w:val="Caption"/>
      </w:pPr>
      <w:bookmarkStart w:id="538" w:name="_206ipza" w:colFirst="0" w:colLast="0"/>
      <w:bookmarkEnd w:id="538"/>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1</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7</w:t>
      </w:r>
      <w:r w:rsidR="000E562E">
        <w:rPr>
          <w:noProof/>
        </w:rPr>
        <w:fldChar w:fldCharType="end"/>
      </w:r>
      <w:r w:rsidRPr="008608AA">
        <w:t xml:space="preserve">. </w:t>
      </w:r>
      <w:r w:rsidR="00333557" w:rsidRPr="008608AA">
        <w:t>Core and socio-economic indicators used in IPBES assessments</w:t>
      </w:r>
    </w:p>
    <w:tbl>
      <w:tblPr>
        <w:tblStyle w:val="68"/>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91"/>
        <w:gridCol w:w="159"/>
        <w:gridCol w:w="749"/>
        <w:gridCol w:w="652"/>
        <w:gridCol w:w="312"/>
        <w:gridCol w:w="874"/>
        <w:gridCol w:w="2251"/>
        <w:gridCol w:w="1499"/>
      </w:tblGrid>
      <w:tr w:rsidR="00F44157" w:rsidRPr="00636F57" w14:paraId="78F89D1D" w14:textId="77777777" w:rsidTr="00B50F8F">
        <w:trPr>
          <w:trHeight w:val="480"/>
        </w:trPr>
        <w:tc>
          <w:tcPr>
            <w:tcW w:w="157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DED72D0" w14:textId="77777777" w:rsidR="00F44157" w:rsidRPr="00636F57" w:rsidRDefault="00333557" w:rsidP="00B50F8F">
            <w:pPr>
              <w:jc w:val="center"/>
              <w:rPr>
                <w:b/>
                <w:szCs w:val="22"/>
              </w:rPr>
            </w:pPr>
            <w:r w:rsidRPr="00636F57">
              <w:rPr>
                <w:b/>
                <w:szCs w:val="22"/>
              </w:rPr>
              <w:t>Specific Indicator</w:t>
            </w:r>
          </w:p>
        </w:tc>
        <w:tc>
          <w:tcPr>
            <w:tcW w:w="476" w:type="pct"/>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95A557B" w14:textId="26F0370A" w:rsidR="00F44157" w:rsidRPr="00636F57" w:rsidRDefault="00333557" w:rsidP="00B50F8F">
            <w:pPr>
              <w:jc w:val="center"/>
              <w:rPr>
                <w:b/>
                <w:szCs w:val="22"/>
              </w:rPr>
            </w:pPr>
            <w:r w:rsidRPr="00636F57">
              <w:rPr>
                <w:b/>
                <w:szCs w:val="22"/>
              </w:rPr>
              <w:t xml:space="preserve">Aichi </w:t>
            </w:r>
            <w:r w:rsidR="0064559E" w:rsidRPr="00636F57">
              <w:rPr>
                <w:b/>
                <w:szCs w:val="22"/>
              </w:rPr>
              <w:t>target</w:t>
            </w:r>
          </w:p>
        </w:tc>
        <w:tc>
          <w:tcPr>
            <w:tcW w:w="509" w:type="pct"/>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98E00D6" w14:textId="77777777" w:rsidR="00F44157" w:rsidRPr="00636F57" w:rsidRDefault="00333557" w:rsidP="00B50F8F">
            <w:pPr>
              <w:jc w:val="center"/>
              <w:rPr>
                <w:b/>
                <w:szCs w:val="22"/>
              </w:rPr>
            </w:pPr>
            <w:r w:rsidRPr="00636F57">
              <w:rPr>
                <w:b/>
                <w:szCs w:val="22"/>
              </w:rPr>
              <w:t>DPSIR*</w:t>
            </w:r>
          </w:p>
        </w:tc>
        <w:tc>
          <w:tcPr>
            <w:tcW w:w="461"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7C2F194" w14:textId="77777777" w:rsidR="00F44157" w:rsidRPr="00636F57" w:rsidRDefault="00333557" w:rsidP="00B50F8F">
            <w:pPr>
              <w:jc w:val="center"/>
              <w:rPr>
                <w:b/>
                <w:szCs w:val="22"/>
              </w:rPr>
            </w:pPr>
            <w:r w:rsidRPr="00636F57">
              <w:rPr>
                <w:b/>
                <w:szCs w:val="22"/>
              </w:rPr>
              <w:t>CF**</w:t>
            </w:r>
          </w:p>
        </w:tc>
        <w:tc>
          <w:tcPr>
            <w:tcW w:w="1977" w:type="pct"/>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CBA7A74" w14:textId="77777777" w:rsidR="00F44157" w:rsidRPr="00636F57" w:rsidRDefault="00333557" w:rsidP="00B50F8F">
            <w:pPr>
              <w:jc w:val="center"/>
              <w:rPr>
                <w:b/>
                <w:szCs w:val="22"/>
              </w:rPr>
            </w:pPr>
            <w:r w:rsidRPr="00636F57">
              <w:rPr>
                <w:b/>
                <w:szCs w:val="22"/>
              </w:rPr>
              <w:t>Source</w:t>
            </w:r>
          </w:p>
        </w:tc>
      </w:tr>
      <w:tr w:rsidR="00F44157" w:rsidRPr="00636F57" w14:paraId="2AA2E3DD" w14:textId="77777777" w:rsidTr="00B50F8F">
        <w:trPr>
          <w:trHeight w:val="320"/>
        </w:trPr>
        <w:tc>
          <w:tcPr>
            <w:tcW w:w="5000" w:type="pct"/>
            <w:gridSpan w:val="8"/>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left w:w="70" w:type="dxa"/>
              <w:right w:w="70" w:type="dxa"/>
            </w:tcMar>
            <w:vAlign w:val="center"/>
          </w:tcPr>
          <w:p w14:paraId="74B04DBB" w14:textId="77777777" w:rsidR="00F44157" w:rsidRPr="00636F57" w:rsidRDefault="00333557" w:rsidP="00B50F8F">
            <w:pPr>
              <w:jc w:val="center"/>
              <w:rPr>
                <w:b/>
                <w:szCs w:val="22"/>
              </w:rPr>
            </w:pPr>
            <w:r w:rsidRPr="00636F57">
              <w:rPr>
                <w:b/>
                <w:szCs w:val="22"/>
              </w:rPr>
              <w:t>Core indicators</w:t>
            </w:r>
          </w:p>
        </w:tc>
      </w:tr>
      <w:tr w:rsidR="00F44157" w:rsidRPr="00636F57" w14:paraId="7D1E6D58" w14:textId="77777777" w:rsidTr="00986AF2">
        <w:trPr>
          <w:trHeight w:val="30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460C6289" w14:textId="77777777" w:rsidR="00F44157" w:rsidRPr="00636F57" w:rsidRDefault="00333557" w:rsidP="0025459A">
            <w:pPr>
              <w:rPr>
                <w:szCs w:val="22"/>
              </w:rPr>
            </w:pPr>
            <w:r w:rsidRPr="00636F57">
              <w:rPr>
                <w:szCs w:val="22"/>
              </w:rPr>
              <w:t>Ecological Footprint</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642D0606" w14:textId="77777777" w:rsidR="00F44157" w:rsidRPr="00636F57" w:rsidRDefault="00333557" w:rsidP="0025459A">
            <w:pPr>
              <w:rPr>
                <w:szCs w:val="22"/>
              </w:rPr>
            </w:pPr>
            <w:r w:rsidRPr="00636F57">
              <w:rPr>
                <w:szCs w:val="22"/>
              </w:rPr>
              <w:t>4</w:t>
            </w:r>
          </w:p>
        </w:tc>
        <w:tc>
          <w:tcPr>
            <w:tcW w:w="509" w:type="pct"/>
            <w:gridSpan w:val="2"/>
            <w:tcBorders>
              <w:top w:val="single" w:sz="8" w:space="0" w:color="000000"/>
              <w:left w:val="nil"/>
              <w:bottom w:val="single" w:sz="4" w:space="0" w:color="000000"/>
              <w:right w:val="single" w:sz="4" w:space="0" w:color="000000"/>
            </w:tcBorders>
            <w:shd w:val="clear" w:color="auto" w:fill="auto"/>
            <w:tcMar>
              <w:left w:w="70" w:type="dxa"/>
              <w:right w:w="70" w:type="dxa"/>
            </w:tcMar>
          </w:tcPr>
          <w:p w14:paraId="2E4CEF5E" w14:textId="77777777" w:rsidR="00F44157" w:rsidRPr="00636F57" w:rsidRDefault="00333557" w:rsidP="0025459A">
            <w:pPr>
              <w:rPr>
                <w:szCs w:val="22"/>
              </w:rPr>
            </w:pPr>
            <w:r w:rsidRPr="00636F57">
              <w:rPr>
                <w:szCs w:val="22"/>
              </w:rPr>
              <w:t>P</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5887C529" w14:textId="77777777" w:rsidR="00F44157" w:rsidRPr="00636F57" w:rsidRDefault="00333557" w:rsidP="0025459A">
            <w:pPr>
              <w:rPr>
                <w:szCs w:val="22"/>
              </w:rPr>
            </w:pPr>
            <w:r w:rsidRPr="00636F57">
              <w:rPr>
                <w:szCs w:val="22"/>
              </w:rPr>
              <w:t>DD</w:t>
            </w:r>
          </w:p>
        </w:tc>
        <w:tc>
          <w:tcPr>
            <w:tcW w:w="1977" w:type="pct"/>
            <w:gridSpan w:val="2"/>
            <w:tcBorders>
              <w:top w:val="single" w:sz="8" w:space="0" w:color="000000"/>
              <w:left w:val="nil"/>
              <w:bottom w:val="single" w:sz="4" w:space="0" w:color="000000"/>
              <w:right w:val="single" w:sz="8" w:space="0" w:color="000000"/>
            </w:tcBorders>
            <w:shd w:val="clear" w:color="auto" w:fill="auto"/>
            <w:tcMar>
              <w:left w:w="70" w:type="dxa"/>
              <w:right w:w="70" w:type="dxa"/>
            </w:tcMar>
          </w:tcPr>
          <w:p w14:paraId="6BA391D4" w14:textId="77777777" w:rsidR="00F44157" w:rsidRPr="00636F57" w:rsidRDefault="00333557" w:rsidP="0025459A">
            <w:pPr>
              <w:rPr>
                <w:szCs w:val="22"/>
              </w:rPr>
            </w:pPr>
            <w:r w:rsidRPr="00636F57">
              <w:rPr>
                <w:szCs w:val="22"/>
              </w:rPr>
              <w:t>Global Footprint Network</w:t>
            </w:r>
          </w:p>
        </w:tc>
      </w:tr>
      <w:tr w:rsidR="00F44157" w:rsidRPr="00636F57" w14:paraId="6EDA42DB" w14:textId="77777777" w:rsidTr="00986AF2">
        <w:trPr>
          <w:trHeight w:val="42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1355C893" w14:textId="02302876" w:rsidR="00F44157" w:rsidRPr="00636F57" w:rsidRDefault="00333557" w:rsidP="00774C8C">
            <w:pPr>
              <w:rPr>
                <w:szCs w:val="22"/>
              </w:rPr>
            </w:pPr>
            <w:r w:rsidRPr="00636F57">
              <w:rPr>
                <w:szCs w:val="22"/>
              </w:rPr>
              <w:t xml:space="preserve">Water Footprint </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5CFC6FC4" w14:textId="77777777" w:rsidR="00F44157" w:rsidRPr="00636F57" w:rsidRDefault="00333557" w:rsidP="0025459A">
            <w:pPr>
              <w:rPr>
                <w:szCs w:val="22"/>
              </w:rPr>
            </w:pPr>
            <w:r w:rsidRPr="00636F57">
              <w:rPr>
                <w:szCs w:val="22"/>
              </w:rPr>
              <w:t>4</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5B588D2A" w14:textId="77777777" w:rsidR="00F44157" w:rsidRPr="00636F57" w:rsidRDefault="00333557" w:rsidP="0025459A">
            <w:pPr>
              <w:rPr>
                <w:szCs w:val="22"/>
              </w:rPr>
            </w:pPr>
            <w:r w:rsidRPr="00636F57">
              <w:rPr>
                <w:szCs w:val="22"/>
              </w:rPr>
              <w:t>P</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6F2C71BA" w14:textId="77777777" w:rsidR="00F44157" w:rsidRPr="00636F57" w:rsidRDefault="00333557" w:rsidP="0025459A">
            <w:pPr>
              <w:rPr>
                <w:szCs w:val="22"/>
              </w:rPr>
            </w:pPr>
            <w:r w:rsidRPr="00636F57">
              <w:rPr>
                <w:szCs w:val="22"/>
              </w:rPr>
              <w:t>DD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1713D4E0" w14:textId="77777777" w:rsidR="00F44157" w:rsidRPr="00636F57" w:rsidRDefault="00333557" w:rsidP="0025459A">
            <w:pPr>
              <w:rPr>
                <w:szCs w:val="22"/>
              </w:rPr>
            </w:pPr>
            <w:r w:rsidRPr="00636F57">
              <w:rPr>
                <w:szCs w:val="22"/>
              </w:rPr>
              <w:t>Water Footprint Network</w:t>
            </w:r>
          </w:p>
        </w:tc>
      </w:tr>
      <w:tr w:rsidR="00F44157" w:rsidRPr="00636F57" w14:paraId="025CE7EC" w14:textId="77777777" w:rsidTr="00986AF2">
        <w:trPr>
          <w:trHeight w:val="48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4643AF37" w14:textId="77777777" w:rsidR="00F44157" w:rsidRPr="00636F57" w:rsidRDefault="00333557" w:rsidP="0025459A">
            <w:pPr>
              <w:rPr>
                <w:szCs w:val="22"/>
              </w:rPr>
            </w:pPr>
            <w:r w:rsidRPr="00636F57">
              <w:rPr>
                <w:szCs w:val="22"/>
              </w:rPr>
              <w:t>Percentage of Category 1 nations in CITES</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2DA59AF0" w14:textId="77777777" w:rsidR="00F44157" w:rsidRPr="00636F57" w:rsidRDefault="00333557" w:rsidP="0025459A">
            <w:pPr>
              <w:rPr>
                <w:szCs w:val="22"/>
              </w:rPr>
            </w:pPr>
            <w:r w:rsidRPr="00636F57">
              <w:rPr>
                <w:szCs w:val="22"/>
              </w:rPr>
              <w:t>4</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4535A761" w14:textId="77777777" w:rsidR="00F44157" w:rsidRPr="00636F57" w:rsidRDefault="00333557" w:rsidP="0025459A">
            <w:pPr>
              <w:rPr>
                <w:szCs w:val="22"/>
              </w:rPr>
            </w:pPr>
            <w:r w:rsidRPr="00636F57">
              <w:rPr>
                <w:szCs w:val="22"/>
              </w:rPr>
              <w:t>R</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366304F0" w14:textId="77777777" w:rsidR="00F44157" w:rsidRPr="00636F57" w:rsidRDefault="00333557" w:rsidP="0025459A">
            <w:pPr>
              <w:rPr>
                <w:szCs w:val="22"/>
              </w:rPr>
            </w:pPr>
            <w:r w:rsidRPr="00636F57">
              <w:rPr>
                <w:szCs w:val="22"/>
              </w:rPr>
              <w:t>IGID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0FC136B8" w14:textId="77777777" w:rsidR="00F44157" w:rsidRPr="00636F57" w:rsidRDefault="00333557" w:rsidP="0025459A">
            <w:pPr>
              <w:rPr>
                <w:szCs w:val="22"/>
              </w:rPr>
            </w:pPr>
            <w:r w:rsidRPr="00636F57">
              <w:rPr>
                <w:szCs w:val="22"/>
              </w:rPr>
              <w:t>Convention on International Trade in Endangered Species of Wild Fauna and Flora (CITES)</w:t>
            </w:r>
          </w:p>
        </w:tc>
      </w:tr>
      <w:tr w:rsidR="00F44157" w:rsidRPr="00636F57" w14:paraId="5F6A29EA" w14:textId="77777777" w:rsidTr="00986AF2">
        <w:trPr>
          <w:trHeight w:val="30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4139E941" w14:textId="77777777" w:rsidR="00F44157" w:rsidRPr="00636F57" w:rsidRDefault="00333557" w:rsidP="0025459A">
            <w:pPr>
              <w:rPr>
                <w:szCs w:val="22"/>
              </w:rPr>
            </w:pPr>
            <w:r w:rsidRPr="00636F57">
              <w:rPr>
                <w:szCs w:val="22"/>
              </w:rPr>
              <w:t>Biodiversity Habitat Index</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65B63602" w14:textId="77777777" w:rsidR="00F44157" w:rsidRPr="00636F57" w:rsidRDefault="00333557" w:rsidP="0025459A">
            <w:pPr>
              <w:rPr>
                <w:szCs w:val="22"/>
              </w:rPr>
            </w:pPr>
            <w:r w:rsidRPr="00636F57">
              <w:rPr>
                <w:szCs w:val="22"/>
              </w:rPr>
              <w:t>5</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1A42E1F1" w14:textId="77777777" w:rsidR="00F44157" w:rsidRPr="00636F57" w:rsidRDefault="00333557" w:rsidP="0025459A">
            <w:pPr>
              <w:rPr>
                <w:szCs w:val="22"/>
              </w:rPr>
            </w:pPr>
            <w:r w:rsidRPr="00636F57">
              <w:rPr>
                <w:szCs w:val="22"/>
              </w:rPr>
              <w:t>S</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12E28DA8" w14:textId="77777777" w:rsidR="00F44157" w:rsidRPr="00636F57" w:rsidRDefault="00333557" w:rsidP="0025459A">
            <w:pPr>
              <w:rPr>
                <w:szCs w:val="22"/>
              </w:rPr>
            </w:pPr>
            <w:r w:rsidRPr="00636F57">
              <w:rPr>
                <w:szCs w:val="22"/>
              </w:rPr>
              <w:t>DD, BEF</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186114DD" w14:textId="77777777" w:rsidR="00F44157" w:rsidRPr="00636F57" w:rsidRDefault="00333557" w:rsidP="0025459A">
            <w:pPr>
              <w:rPr>
                <w:szCs w:val="22"/>
              </w:rPr>
            </w:pPr>
            <w:r w:rsidRPr="00636F57">
              <w:rPr>
                <w:szCs w:val="22"/>
              </w:rPr>
              <w:t>GEO BON – CSIRO</w:t>
            </w:r>
          </w:p>
        </w:tc>
      </w:tr>
      <w:tr w:rsidR="00F44157" w:rsidRPr="00636F57" w14:paraId="2440EBBB" w14:textId="77777777" w:rsidTr="00986AF2">
        <w:trPr>
          <w:trHeight w:val="30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06D6E8BA" w14:textId="77777777" w:rsidR="00F44157" w:rsidRPr="00636F57" w:rsidRDefault="00333557" w:rsidP="0025459A">
            <w:pPr>
              <w:rPr>
                <w:szCs w:val="22"/>
              </w:rPr>
            </w:pPr>
            <w:r w:rsidRPr="00636F57">
              <w:rPr>
                <w:szCs w:val="22"/>
              </w:rPr>
              <w:t>Species Habitat Index</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7DAADE90" w14:textId="77777777" w:rsidR="00F44157" w:rsidRPr="00636F57" w:rsidRDefault="00333557" w:rsidP="0025459A">
            <w:pPr>
              <w:rPr>
                <w:szCs w:val="22"/>
              </w:rPr>
            </w:pPr>
            <w:r w:rsidRPr="00636F57">
              <w:rPr>
                <w:szCs w:val="22"/>
              </w:rPr>
              <w:t xml:space="preserve"> 5,  12</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1F2946F5" w14:textId="77777777" w:rsidR="00F44157" w:rsidRPr="00636F57" w:rsidRDefault="00333557" w:rsidP="0025459A">
            <w:pPr>
              <w:rPr>
                <w:szCs w:val="22"/>
              </w:rPr>
            </w:pPr>
            <w:r w:rsidRPr="00636F57">
              <w:rPr>
                <w:szCs w:val="22"/>
              </w:rPr>
              <w:t>P,S</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0D93D63C" w14:textId="77777777" w:rsidR="00F44157" w:rsidRPr="00636F57" w:rsidRDefault="00333557" w:rsidP="0025459A">
            <w:pPr>
              <w:rPr>
                <w:szCs w:val="22"/>
              </w:rPr>
            </w:pPr>
            <w:r w:rsidRPr="00636F57">
              <w:rPr>
                <w:szCs w:val="22"/>
              </w:rPr>
              <w:t>DD, BEF</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7B8E7C3B" w14:textId="77777777" w:rsidR="00F44157" w:rsidRPr="00636F57" w:rsidRDefault="00333557" w:rsidP="0025459A">
            <w:pPr>
              <w:rPr>
                <w:szCs w:val="22"/>
              </w:rPr>
            </w:pPr>
            <w:r w:rsidRPr="00636F57">
              <w:rPr>
                <w:szCs w:val="22"/>
              </w:rPr>
              <w:t>GEO BON - Map of Life</w:t>
            </w:r>
          </w:p>
        </w:tc>
      </w:tr>
      <w:tr w:rsidR="00F44157" w:rsidRPr="00636F57" w14:paraId="4BF406C0" w14:textId="77777777" w:rsidTr="00986AF2">
        <w:trPr>
          <w:trHeight w:val="48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69A027FE" w14:textId="77777777" w:rsidR="00F44157" w:rsidRPr="00636F57" w:rsidRDefault="00333557" w:rsidP="0025459A">
            <w:pPr>
              <w:rPr>
                <w:szCs w:val="22"/>
              </w:rPr>
            </w:pPr>
            <w:r w:rsidRPr="00636F57">
              <w:rPr>
                <w:szCs w:val="22"/>
              </w:rPr>
              <w:t>Forest area as a percentage of total land area</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402B2AEB" w14:textId="77777777" w:rsidR="00F44157" w:rsidRPr="00636F57" w:rsidRDefault="00333557" w:rsidP="0025459A">
            <w:pPr>
              <w:rPr>
                <w:szCs w:val="22"/>
              </w:rPr>
            </w:pPr>
            <w:r w:rsidRPr="00636F57">
              <w:rPr>
                <w:szCs w:val="22"/>
              </w:rPr>
              <w:t>5</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531A4593" w14:textId="77777777" w:rsidR="00F44157" w:rsidRPr="00636F57" w:rsidRDefault="00333557" w:rsidP="0025459A">
            <w:pPr>
              <w:rPr>
                <w:szCs w:val="22"/>
              </w:rPr>
            </w:pPr>
            <w:r w:rsidRPr="00636F57">
              <w:rPr>
                <w:szCs w:val="22"/>
              </w:rPr>
              <w:t>S</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31EBE7D4" w14:textId="77777777" w:rsidR="00F44157" w:rsidRPr="00636F57" w:rsidRDefault="00333557" w:rsidP="0025459A">
            <w:pPr>
              <w:rPr>
                <w:szCs w:val="22"/>
              </w:rPr>
            </w:pPr>
            <w:r w:rsidRPr="00636F57">
              <w:rPr>
                <w:szCs w:val="22"/>
              </w:rPr>
              <w:t>DD, BEF</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4229782C" w14:textId="77777777" w:rsidR="00F44157" w:rsidRPr="00636F57" w:rsidRDefault="00333557" w:rsidP="0025459A">
            <w:pPr>
              <w:rPr>
                <w:szCs w:val="22"/>
              </w:rPr>
            </w:pPr>
            <w:r w:rsidRPr="00636F57">
              <w:rPr>
                <w:szCs w:val="22"/>
              </w:rPr>
              <w:t>FAO</w:t>
            </w:r>
          </w:p>
        </w:tc>
      </w:tr>
      <w:tr w:rsidR="00F44157" w:rsidRPr="00636F57" w14:paraId="5538F147" w14:textId="77777777" w:rsidTr="00986AF2">
        <w:trPr>
          <w:trHeight w:val="12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6BB3DAA0" w14:textId="77777777" w:rsidR="00F44157" w:rsidRPr="00636F57" w:rsidRDefault="00333557" w:rsidP="0025459A">
            <w:pPr>
              <w:rPr>
                <w:szCs w:val="22"/>
              </w:rPr>
            </w:pPr>
            <w:r w:rsidRPr="00636F57">
              <w:rPr>
                <w:szCs w:val="22"/>
              </w:rPr>
              <w:t>Trends in forest extent (tree cover)</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6DD71506" w14:textId="77777777" w:rsidR="00F44157" w:rsidRPr="00636F57" w:rsidRDefault="00333557" w:rsidP="0025459A">
            <w:pPr>
              <w:rPr>
                <w:szCs w:val="22"/>
              </w:rPr>
            </w:pPr>
            <w:r w:rsidRPr="00636F57">
              <w:rPr>
                <w:szCs w:val="22"/>
              </w:rPr>
              <w:t>5</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6F4E6C68" w14:textId="77777777" w:rsidR="00F44157" w:rsidRPr="00636F57" w:rsidRDefault="00333557" w:rsidP="0025459A">
            <w:pPr>
              <w:rPr>
                <w:szCs w:val="22"/>
              </w:rPr>
            </w:pPr>
            <w:r w:rsidRPr="00636F57">
              <w:rPr>
                <w:szCs w:val="22"/>
              </w:rPr>
              <w:t>S</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2EA1BAE8" w14:textId="77777777" w:rsidR="00F44157" w:rsidRPr="00636F57" w:rsidRDefault="00333557" w:rsidP="0025459A">
            <w:pPr>
              <w:rPr>
                <w:szCs w:val="22"/>
              </w:rPr>
            </w:pPr>
            <w:r w:rsidRPr="00636F57">
              <w:rPr>
                <w:szCs w:val="22"/>
              </w:rPr>
              <w:t>DD, BEF</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0D8C2A21" w14:textId="77777777" w:rsidR="00F44157" w:rsidRPr="00636F57" w:rsidRDefault="00333557" w:rsidP="0025459A">
            <w:pPr>
              <w:rPr>
                <w:szCs w:val="22"/>
              </w:rPr>
            </w:pPr>
            <w:r w:rsidRPr="00636F57">
              <w:rPr>
                <w:szCs w:val="22"/>
              </w:rPr>
              <w:t>Hansen et al., 2013</w:t>
            </w:r>
          </w:p>
        </w:tc>
      </w:tr>
      <w:tr w:rsidR="00F44157" w:rsidRPr="00636F57" w14:paraId="4AE3B57D" w14:textId="77777777" w:rsidTr="00986AF2">
        <w:trPr>
          <w:trHeight w:val="90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048D20F7" w14:textId="77777777" w:rsidR="00F44157" w:rsidRPr="00636F57" w:rsidRDefault="00333557" w:rsidP="0025459A">
            <w:pPr>
              <w:rPr>
                <w:szCs w:val="22"/>
              </w:rPr>
            </w:pPr>
            <w:r w:rsidRPr="00636F57">
              <w:rPr>
                <w:szCs w:val="22"/>
              </w:rPr>
              <w:t>Protected area coverage of Key Biodiversity Areas (including Important Bird and Biodiversity Areas, Alliance for Zero Extinction sites)</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353653FC" w14:textId="77777777" w:rsidR="00F44157" w:rsidRPr="00636F57" w:rsidRDefault="00333557" w:rsidP="0025459A">
            <w:pPr>
              <w:rPr>
                <w:szCs w:val="22"/>
              </w:rPr>
            </w:pPr>
            <w:r w:rsidRPr="00636F57">
              <w:rPr>
                <w:szCs w:val="22"/>
              </w:rPr>
              <w:t>5, 11, 12</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0040C37E" w14:textId="77777777" w:rsidR="00F44157" w:rsidRPr="00636F57" w:rsidRDefault="00333557" w:rsidP="0025459A">
            <w:pPr>
              <w:rPr>
                <w:szCs w:val="22"/>
              </w:rPr>
            </w:pPr>
            <w:r w:rsidRPr="00636F57">
              <w:rPr>
                <w:szCs w:val="22"/>
              </w:rPr>
              <w:t>R</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4F985D30" w14:textId="77777777" w:rsidR="00F44157" w:rsidRPr="00636F57" w:rsidRDefault="00333557" w:rsidP="0025459A">
            <w:pPr>
              <w:rPr>
                <w:szCs w:val="22"/>
              </w:rPr>
            </w:pPr>
            <w:r w:rsidRPr="00636F57">
              <w:rPr>
                <w:szCs w:val="22"/>
              </w:rPr>
              <w:t>IGID, DD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233BDEEB" w14:textId="29FAF3C8" w:rsidR="00F44157" w:rsidRPr="00636F57" w:rsidRDefault="00333557" w:rsidP="0025459A">
            <w:pPr>
              <w:rPr>
                <w:szCs w:val="22"/>
              </w:rPr>
            </w:pPr>
            <w:r w:rsidRPr="00636F57">
              <w:rPr>
                <w:szCs w:val="22"/>
              </w:rPr>
              <w:t xml:space="preserve">BirdLife International, </w:t>
            </w:r>
            <w:r w:rsidR="00E36ECB" w:rsidRPr="00636F57">
              <w:rPr>
                <w:szCs w:val="22"/>
              </w:rPr>
              <w:t>the International Union for Conservation of Nature (</w:t>
            </w:r>
            <w:r w:rsidRPr="00636F57">
              <w:rPr>
                <w:szCs w:val="22"/>
              </w:rPr>
              <w:t>IUCN</w:t>
            </w:r>
            <w:r w:rsidR="00E36ECB" w:rsidRPr="00636F57">
              <w:rPr>
                <w:szCs w:val="22"/>
              </w:rPr>
              <w:t>)</w:t>
            </w:r>
            <w:r w:rsidRPr="00636F57">
              <w:rPr>
                <w:szCs w:val="22"/>
              </w:rPr>
              <w:t>, UNEP-WCMC</w:t>
            </w:r>
          </w:p>
        </w:tc>
      </w:tr>
      <w:tr w:rsidR="00F44157" w:rsidRPr="00636F57" w14:paraId="291C88F8" w14:textId="77777777" w:rsidTr="00986AF2">
        <w:trPr>
          <w:trHeight w:val="30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1CB64744" w14:textId="77777777" w:rsidR="00F44157" w:rsidRPr="00636F57" w:rsidRDefault="00333557" w:rsidP="0025459A">
            <w:pPr>
              <w:rPr>
                <w:szCs w:val="22"/>
              </w:rPr>
            </w:pPr>
            <w:r w:rsidRPr="00636F57">
              <w:rPr>
                <w:szCs w:val="22"/>
              </w:rPr>
              <w:t>Total wood removals</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17D8C0CA" w14:textId="77777777" w:rsidR="00F44157" w:rsidRPr="00636F57" w:rsidRDefault="00333557" w:rsidP="0025459A">
            <w:pPr>
              <w:rPr>
                <w:szCs w:val="22"/>
              </w:rPr>
            </w:pPr>
            <w:r w:rsidRPr="00636F57">
              <w:rPr>
                <w:szCs w:val="22"/>
              </w:rPr>
              <w:t>5, 7, 14</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7168CAFD" w14:textId="77777777" w:rsidR="00F44157" w:rsidRPr="00636F57" w:rsidRDefault="00333557" w:rsidP="0025459A">
            <w:pPr>
              <w:rPr>
                <w:szCs w:val="22"/>
              </w:rPr>
            </w:pPr>
            <w:r w:rsidRPr="00636F57">
              <w:rPr>
                <w:szCs w:val="22"/>
              </w:rPr>
              <w:t>S,I</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5C40424C" w14:textId="77777777" w:rsidR="00F44157" w:rsidRPr="00636F57" w:rsidRDefault="00333557" w:rsidP="0025459A">
            <w:pPr>
              <w:rPr>
                <w:szCs w:val="22"/>
              </w:rPr>
            </w:pPr>
            <w:r w:rsidRPr="00636F57">
              <w:rPr>
                <w:szCs w:val="22"/>
              </w:rPr>
              <w:t>DD, NBP</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283C3727" w14:textId="77777777" w:rsidR="00F44157" w:rsidRPr="00636F57" w:rsidRDefault="00333557" w:rsidP="0025459A">
            <w:pPr>
              <w:rPr>
                <w:szCs w:val="22"/>
              </w:rPr>
            </w:pPr>
            <w:r w:rsidRPr="00636F57">
              <w:rPr>
                <w:szCs w:val="22"/>
              </w:rPr>
              <w:t>FAO</w:t>
            </w:r>
          </w:p>
        </w:tc>
      </w:tr>
      <w:tr w:rsidR="00F44157" w:rsidRPr="00636F57" w14:paraId="343E8326" w14:textId="77777777" w:rsidTr="00986AF2">
        <w:trPr>
          <w:trHeight w:val="48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46BF559B" w14:textId="77777777" w:rsidR="00F44157" w:rsidRPr="00636F57" w:rsidRDefault="00333557" w:rsidP="0025459A">
            <w:pPr>
              <w:rPr>
                <w:szCs w:val="22"/>
              </w:rPr>
            </w:pPr>
            <w:r w:rsidRPr="00636F57">
              <w:rPr>
                <w:szCs w:val="22"/>
              </w:rPr>
              <w:t>Estimated fisheries catch and fishing effort</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3543E809" w14:textId="77777777" w:rsidR="00F44157" w:rsidRPr="00636F57" w:rsidRDefault="00333557" w:rsidP="0025459A">
            <w:pPr>
              <w:rPr>
                <w:szCs w:val="22"/>
              </w:rPr>
            </w:pPr>
            <w:r w:rsidRPr="00636F57">
              <w:rPr>
                <w:szCs w:val="22"/>
              </w:rPr>
              <w:t>6</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09297B1D" w14:textId="77777777" w:rsidR="00F44157" w:rsidRPr="00636F57" w:rsidRDefault="00333557" w:rsidP="0025459A">
            <w:pPr>
              <w:rPr>
                <w:szCs w:val="22"/>
              </w:rPr>
            </w:pPr>
            <w:r w:rsidRPr="00636F57">
              <w:rPr>
                <w:szCs w:val="22"/>
              </w:rPr>
              <w:t>P</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1764B2D9" w14:textId="77777777" w:rsidR="00F44157" w:rsidRPr="00636F57" w:rsidRDefault="00333557" w:rsidP="0025459A">
            <w:pPr>
              <w:rPr>
                <w:szCs w:val="22"/>
              </w:rPr>
            </w:pPr>
            <w:r w:rsidRPr="00636F57">
              <w:rPr>
                <w:szCs w:val="22"/>
              </w:rPr>
              <w:t>DD, BEF</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0D2DE1DD" w14:textId="77777777" w:rsidR="00F44157" w:rsidRPr="00636F57" w:rsidRDefault="00333557" w:rsidP="0025459A">
            <w:pPr>
              <w:rPr>
                <w:szCs w:val="22"/>
              </w:rPr>
            </w:pPr>
            <w:r w:rsidRPr="00636F57">
              <w:rPr>
                <w:szCs w:val="22"/>
              </w:rPr>
              <w:t xml:space="preserve">Sea Around Us </w:t>
            </w:r>
          </w:p>
        </w:tc>
      </w:tr>
      <w:tr w:rsidR="00F44157" w:rsidRPr="00636F57" w14:paraId="23AC116D" w14:textId="77777777" w:rsidTr="00986AF2">
        <w:trPr>
          <w:trHeight w:val="60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5D3A148E" w14:textId="77777777" w:rsidR="00F44157" w:rsidRPr="00636F57" w:rsidRDefault="00333557" w:rsidP="0025459A">
            <w:pPr>
              <w:rPr>
                <w:szCs w:val="22"/>
              </w:rPr>
            </w:pPr>
            <w:r w:rsidRPr="00636F57">
              <w:rPr>
                <w:szCs w:val="22"/>
              </w:rPr>
              <w:t>Proportion of fish stocks within biologically sustainable levels</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18337DEE" w14:textId="77777777" w:rsidR="00F44157" w:rsidRPr="00636F57" w:rsidRDefault="00333557" w:rsidP="0025459A">
            <w:pPr>
              <w:rPr>
                <w:szCs w:val="22"/>
              </w:rPr>
            </w:pPr>
            <w:r w:rsidRPr="00636F57">
              <w:rPr>
                <w:szCs w:val="22"/>
              </w:rPr>
              <w:t>6</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0A72CDFC" w14:textId="77777777" w:rsidR="00F44157" w:rsidRPr="00636F57" w:rsidRDefault="00333557" w:rsidP="0025459A">
            <w:pPr>
              <w:rPr>
                <w:szCs w:val="22"/>
              </w:rPr>
            </w:pPr>
            <w:r w:rsidRPr="00636F57">
              <w:rPr>
                <w:szCs w:val="22"/>
              </w:rPr>
              <w:t>S</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7154EAB3" w14:textId="77777777" w:rsidR="00F44157" w:rsidRPr="00636F57" w:rsidRDefault="00333557" w:rsidP="0025459A">
            <w:pPr>
              <w:rPr>
                <w:szCs w:val="22"/>
              </w:rPr>
            </w:pPr>
            <w:r w:rsidRPr="00636F57">
              <w:rPr>
                <w:szCs w:val="22"/>
              </w:rPr>
              <w:t>BEF</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61BCD108" w14:textId="77777777" w:rsidR="00F44157" w:rsidRPr="00636F57" w:rsidRDefault="00333557" w:rsidP="0025459A">
            <w:pPr>
              <w:rPr>
                <w:szCs w:val="22"/>
              </w:rPr>
            </w:pPr>
            <w:r w:rsidRPr="00636F57">
              <w:rPr>
                <w:szCs w:val="22"/>
              </w:rPr>
              <w:t>FAO</w:t>
            </w:r>
          </w:p>
        </w:tc>
      </w:tr>
      <w:tr w:rsidR="00F44157" w:rsidRPr="00636F57" w14:paraId="4461CCB5" w14:textId="77777777" w:rsidTr="00986AF2">
        <w:trPr>
          <w:trHeight w:val="30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1B253D32" w14:textId="77777777" w:rsidR="00F44157" w:rsidRPr="00636F57" w:rsidRDefault="00333557" w:rsidP="0025459A">
            <w:pPr>
              <w:rPr>
                <w:szCs w:val="22"/>
              </w:rPr>
            </w:pPr>
            <w:r w:rsidRPr="00636F57">
              <w:rPr>
                <w:szCs w:val="22"/>
              </w:rPr>
              <w:t>Inland fishery production</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7EA95C49" w14:textId="77777777" w:rsidR="00F44157" w:rsidRPr="00636F57" w:rsidRDefault="00333557" w:rsidP="0025459A">
            <w:pPr>
              <w:rPr>
                <w:szCs w:val="22"/>
              </w:rPr>
            </w:pPr>
            <w:r w:rsidRPr="00636F57">
              <w:rPr>
                <w:szCs w:val="22"/>
              </w:rPr>
              <w:t xml:space="preserve"> 6,  14</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42465468" w14:textId="77777777" w:rsidR="00F44157" w:rsidRPr="00636F57" w:rsidRDefault="00333557" w:rsidP="0025459A">
            <w:pPr>
              <w:rPr>
                <w:szCs w:val="22"/>
              </w:rPr>
            </w:pPr>
            <w:r w:rsidRPr="00636F57">
              <w:rPr>
                <w:szCs w:val="22"/>
              </w:rPr>
              <w:t>S, I</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1F20E53D" w14:textId="77777777" w:rsidR="00F44157" w:rsidRPr="00636F57" w:rsidRDefault="00333557" w:rsidP="0025459A">
            <w:pPr>
              <w:rPr>
                <w:szCs w:val="22"/>
              </w:rPr>
            </w:pPr>
            <w:r w:rsidRPr="00636F57">
              <w:rPr>
                <w:szCs w:val="22"/>
              </w:rPr>
              <w:t>BEF, NBP</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4C070544" w14:textId="77777777" w:rsidR="00F44157" w:rsidRPr="00636F57" w:rsidRDefault="00333557" w:rsidP="0025459A">
            <w:pPr>
              <w:rPr>
                <w:szCs w:val="22"/>
              </w:rPr>
            </w:pPr>
            <w:r w:rsidRPr="00636F57">
              <w:rPr>
                <w:szCs w:val="22"/>
              </w:rPr>
              <w:t>FAO</w:t>
            </w:r>
          </w:p>
        </w:tc>
      </w:tr>
      <w:tr w:rsidR="00F44157" w:rsidRPr="00636F57" w14:paraId="6E7F847A" w14:textId="77777777" w:rsidTr="00986AF2">
        <w:trPr>
          <w:trHeight w:val="30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76F70EC5" w14:textId="77777777" w:rsidR="00F44157" w:rsidRPr="00636F57" w:rsidRDefault="00333557" w:rsidP="0025459A">
            <w:pPr>
              <w:rPr>
                <w:szCs w:val="22"/>
              </w:rPr>
            </w:pPr>
            <w:r w:rsidRPr="00636F57">
              <w:rPr>
                <w:szCs w:val="22"/>
              </w:rPr>
              <w:t>Marine Trophic Index</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7EFEA5A8" w14:textId="77777777" w:rsidR="00F44157" w:rsidRPr="00636F57" w:rsidRDefault="00333557" w:rsidP="0025459A">
            <w:pPr>
              <w:rPr>
                <w:szCs w:val="22"/>
              </w:rPr>
            </w:pPr>
            <w:r w:rsidRPr="00636F57">
              <w:rPr>
                <w:szCs w:val="22"/>
              </w:rPr>
              <w:t>6</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0A26153F" w14:textId="77777777" w:rsidR="00F44157" w:rsidRPr="00636F57" w:rsidRDefault="00333557" w:rsidP="0025459A">
            <w:pPr>
              <w:rPr>
                <w:szCs w:val="22"/>
              </w:rPr>
            </w:pPr>
            <w:r w:rsidRPr="00636F57">
              <w:rPr>
                <w:szCs w:val="22"/>
              </w:rPr>
              <w:t>S</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7209C50F" w14:textId="77777777" w:rsidR="00F44157" w:rsidRPr="00636F57" w:rsidRDefault="00333557" w:rsidP="0025459A">
            <w:pPr>
              <w:rPr>
                <w:szCs w:val="22"/>
              </w:rPr>
            </w:pPr>
            <w:r w:rsidRPr="00636F57">
              <w:rPr>
                <w:szCs w:val="22"/>
              </w:rPr>
              <w:t>DD, BEF</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7BD9D2F9" w14:textId="77777777" w:rsidR="00F44157" w:rsidRPr="00636F57" w:rsidRDefault="00333557" w:rsidP="0025459A">
            <w:pPr>
              <w:rPr>
                <w:szCs w:val="22"/>
              </w:rPr>
            </w:pPr>
            <w:r w:rsidRPr="00636F57">
              <w:rPr>
                <w:szCs w:val="22"/>
              </w:rPr>
              <w:t>Sea Around Us</w:t>
            </w:r>
          </w:p>
        </w:tc>
      </w:tr>
      <w:tr w:rsidR="00F44157" w:rsidRPr="00636F57" w14:paraId="0555333E" w14:textId="77777777" w:rsidTr="00986AF2">
        <w:trPr>
          <w:trHeight w:val="72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2D0A3D6C" w14:textId="77777777" w:rsidR="00F44157" w:rsidRPr="00636F57" w:rsidRDefault="00333557" w:rsidP="0025459A">
            <w:pPr>
              <w:rPr>
                <w:szCs w:val="22"/>
              </w:rPr>
            </w:pPr>
            <w:r w:rsidRPr="00636F57">
              <w:rPr>
                <w:szCs w:val="22"/>
              </w:rPr>
              <w:t>Trends in fisheries certified by the Marine Stewardship Council</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7CE330DF" w14:textId="77777777" w:rsidR="00F44157" w:rsidRPr="00636F57" w:rsidRDefault="00333557" w:rsidP="0025459A">
            <w:pPr>
              <w:rPr>
                <w:szCs w:val="22"/>
              </w:rPr>
            </w:pPr>
            <w:r w:rsidRPr="00636F57">
              <w:rPr>
                <w:szCs w:val="22"/>
              </w:rPr>
              <w:t>6</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32D6D6A5" w14:textId="77777777" w:rsidR="00F44157" w:rsidRPr="00636F57" w:rsidRDefault="00333557" w:rsidP="0025459A">
            <w:pPr>
              <w:rPr>
                <w:szCs w:val="22"/>
              </w:rPr>
            </w:pPr>
            <w:r w:rsidRPr="00636F57">
              <w:rPr>
                <w:szCs w:val="22"/>
              </w:rPr>
              <w:t>R</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76F546B0" w14:textId="77777777" w:rsidR="00F44157" w:rsidRPr="00636F57" w:rsidRDefault="00333557" w:rsidP="0025459A">
            <w:pPr>
              <w:rPr>
                <w:szCs w:val="22"/>
              </w:rPr>
            </w:pPr>
            <w:r w:rsidRPr="00636F57">
              <w:rPr>
                <w:szCs w:val="22"/>
              </w:rPr>
              <w:t>IGID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3AA5CA78" w14:textId="77777777" w:rsidR="00F44157" w:rsidRPr="00636F57" w:rsidRDefault="00333557" w:rsidP="0025459A">
            <w:pPr>
              <w:rPr>
                <w:szCs w:val="22"/>
              </w:rPr>
            </w:pPr>
            <w:r w:rsidRPr="00636F57">
              <w:rPr>
                <w:szCs w:val="22"/>
              </w:rPr>
              <w:t>Marine Stewardship Council</w:t>
            </w:r>
          </w:p>
        </w:tc>
      </w:tr>
      <w:tr w:rsidR="00F44157" w:rsidRPr="00636F57" w14:paraId="42509970" w14:textId="77777777" w:rsidTr="00986AF2">
        <w:trPr>
          <w:trHeight w:val="72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309B763D" w14:textId="77777777" w:rsidR="00F44157" w:rsidRPr="00636F57" w:rsidRDefault="00333557" w:rsidP="0025459A">
            <w:pPr>
              <w:rPr>
                <w:szCs w:val="22"/>
              </w:rPr>
            </w:pPr>
            <w:r w:rsidRPr="00636F57">
              <w:rPr>
                <w:szCs w:val="22"/>
              </w:rPr>
              <w:t>Proportion of area of forest production under FSC and PEFC certification</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5713DC26" w14:textId="77777777" w:rsidR="00F44157" w:rsidRPr="00636F57" w:rsidRDefault="00333557" w:rsidP="0025459A">
            <w:pPr>
              <w:rPr>
                <w:szCs w:val="22"/>
              </w:rPr>
            </w:pPr>
            <w:r w:rsidRPr="00636F57">
              <w:rPr>
                <w:szCs w:val="22"/>
              </w:rPr>
              <w:t>7</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2FF17D6A" w14:textId="77777777" w:rsidR="00F44157" w:rsidRPr="00636F57" w:rsidRDefault="00333557" w:rsidP="0025459A">
            <w:pPr>
              <w:rPr>
                <w:szCs w:val="22"/>
              </w:rPr>
            </w:pPr>
            <w:r w:rsidRPr="00636F57">
              <w:rPr>
                <w:szCs w:val="22"/>
              </w:rPr>
              <w:t>R</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5E651CA7" w14:textId="77777777" w:rsidR="00F44157" w:rsidRPr="00636F57" w:rsidRDefault="00333557" w:rsidP="0025459A">
            <w:pPr>
              <w:rPr>
                <w:szCs w:val="22"/>
              </w:rPr>
            </w:pPr>
            <w:r w:rsidRPr="00636F57">
              <w:rPr>
                <w:szCs w:val="22"/>
              </w:rPr>
              <w:t>IGID, DD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68092801" w14:textId="77777777" w:rsidR="00F44157" w:rsidRPr="00636F57" w:rsidRDefault="00333557" w:rsidP="0025459A">
            <w:pPr>
              <w:rPr>
                <w:szCs w:val="22"/>
              </w:rPr>
            </w:pPr>
            <w:r w:rsidRPr="00636F57">
              <w:rPr>
                <w:szCs w:val="22"/>
              </w:rPr>
              <w:t>Forest Stewardship Council (FSC), Programme for the Endorsement of Forest Certification (PEFC)</w:t>
            </w:r>
          </w:p>
        </w:tc>
      </w:tr>
      <w:tr w:rsidR="00F44157" w:rsidRPr="00636F57" w14:paraId="5C0338D9" w14:textId="77777777" w:rsidTr="00986AF2">
        <w:trPr>
          <w:trHeight w:val="30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291B26D2" w14:textId="77777777" w:rsidR="00F44157" w:rsidRPr="00636F57" w:rsidRDefault="00333557" w:rsidP="0025459A">
            <w:pPr>
              <w:rPr>
                <w:szCs w:val="22"/>
              </w:rPr>
            </w:pPr>
            <w:r w:rsidRPr="00636F57">
              <w:rPr>
                <w:szCs w:val="22"/>
              </w:rPr>
              <w:t>Nitrogen Use Efficiency</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11AD048F" w14:textId="77777777" w:rsidR="00F44157" w:rsidRPr="00636F57" w:rsidRDefault="00333557" w:rsidP="0025459A">
            <w:pPr>
              <w:rPr>
                <w:szCs w:val="22"/>
              </w:rPr>
            </w:pPr>
            <w:r w:rsidRPr="00636F57">
              <w:rPr>
                <w:szCs w:val="22"/>
              </w:rPr>
              <w:t>7</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35949341" w14:textId="77777777" w:rsidR="00F44157" w:rsidRPr="00636F57" w:rsidRDefault="00333557" w:rsidP="0025459A">
            <w:pPr>
              <w:rPr>
                <w:szCs w:val="22"/>
              </w:rPr>
            </w:pPr>
            <w:r w:rsidRPr="00636F57">
              <w:rPr>
                <w:szCs w:val="22"/>
              </w:rPr>
              <w:t>P</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1FE1EC06" w14:textId="77777777" w:rsidR="00F44157" w:rsidRPr="00636F57" w:rsidRDefault="00333557" w:rsidP="0025459A">
            <w:pPr>
              <w:rPr>
                <w:szCs w:val="22"/>
              </w:rPr>
            </w:pPr>
            <w:r w:rsidRPr="00636F57">
              <w:rPr>
                <w:szCs w:val="22"/>
              </w:rPr>
              <w:t>DD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392859A1" w14:textId="60D9F430" w:rsidR="00F44157" w:rsidRPr="00636F57" w:rsidRDefault="00537D7B" w:rsidP="0025459A">
            <w:pPr>
              <w:rPr>
                <w:szCs w:val="22"/>
              </w:rPr>
            </w:pPr>
            <w:r w:rsidRPr="00636F57">
              <w:rPr>
                <w:szCs w:val="22"/>
              </w:rPr>
              <w:t>Lassaletta et al., 2014</w:t>
            </w:r>
            <w:r w:rsidR="00333557" w:rsidRPr="00636F57">
              <w:rPr>
                <w:szCs w:val="22"/>
              </w:rPr>
              <w:t xml:space="preserve"> from Environmental Performance Index (EPI)</w:t>
            </w:r>
          </w:p>
        </w:tc>
      </w:tr>
      <w:tr w:rsidR="00F44157" w:rsidRPr="00636F57" w14:paraId="015DD58D" w14:textId="77777777" w:rsidTr="00986AF2">
        <w:trPr>
          <w:trHeight w:val="24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02A8C1FD" w14:textId="77777777" w:rsidR="00F44157" w:rsidRPr="00636F57" w:rsidRDefault="00333557" w:rsidP="0025459A">
            <w:pPr>
              <w:rPr>
                <w:szCs w:val="22"/>
              </w:rPr>
            </w:pPr>
            <w:r w:rsidRPr="00636F57">
              <w:rPr>
                <w:szCs w:val="22"/>
              </w:rPr>
              <w:t>Nitrogen + Phosphate Fertilizers (N+P205 total nutrients)</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1F26C2A1" w14:textId="77777777" w:rsidR="00F44157" w:rsidRPr="00636F57" w:rsidRDefault="00333557" w:rsidP="0025459A">
            <w:pPr>
              <w:rPr>
                <w:szCs w:val="22"/>
              </w:rPr>
            </w:pPr>
            <w:r w:rsidRPr="00636F57">
              <w:rPr>
                <w:szCs w:val="22"/>
              </w:rPr>
              <w:t>7</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2D056B6A" w14:textId="77777777" w:rsidR="00F44157" w:rsidRPr="00636F57" w:rsidRDefault="00333557" w:rsidP="0025459A">
            <w:pPr>
              <w:rPr>
                <w:szCs w:val="22"/>
              </w:rPr>
            </w:pPr>
            <w:r w:rsidRPr="00636F57">
              <w:rPr>
                <w:szCs w:val="22"/>
              </w:rPr>
              <w:t>P</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43F69295" w14:textId="77777777" w:rsidR="00F44157" w:rsidRPr="00636F57" w:rsidRDefault="00333557" w:rsidP="0025459A">
            <w:pPr>
              <w:rPr>
                <w:szCs w:val="22"/>
              </w:rPr>
            </w:pPr>
            <w:r w:rsidRPr="00636F57">
              <w:rPr>
                <w:szCs w:val="22"/>
              </w:rPr>
              <w:t>DD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65622622" w14:textId="77777777" w:rsidR="00F44157" w:rsidRPr="00636F57" w:rsidRDefault="00333557" w:rsidP="0025459A">
            <w:pPr>
              <w:rPr>
                <w:szCs w:val="22"/>
              </w:rPr>
            </w:pPr>
            <w:r w:rsidRPr="00636F57">
              <w:rPr>
                <w:szCs w:val="22"/>
              </w:rPr>
              <w:t>FAO</w:t>
            </w:r>
          </w:p>
        </w:tc>
      </w:tr>
      <w:tr w:rsidR="00F44157" w:rsidRPr="00636F57" w14:paraId="5716D51F" w14:textId="77777777" w:rsidTr="00986AF2">
        <w:trPr>
          <w:trHeight w:val="30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07D6249E" w14:textId="77777777" w:rsidR="00F44157" w:rsidRPr="00636F57" w:rsidRDefault="00333557" w:rsidP="0025459A">
            <w:pPr>
              <w:rPr>
                <w:szCs w:val="22"/>
              </w:rPr>
            </w:pPr>
            <w:r w:rsidRPr="00636F57">
              <w:rPr>
                <w:szCs w:val="22"/>
              </w:rPr>
              <w:t>Trends in pesticide use</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3D478330" w14:textId="77777777" w:rsidR="00F44157" w:rsidRPr="00636F57" w:rsidRDefault="00333557" w:rsidP="0025459A">
            <w:pPr>
              <w:rPr>
                <w:szCs w:val="22"/>
              </w:rPr>
            </w:pPr>
            <w:r w:rsidRPr="00636F57">
              <w:rPr>
                <w:szCs w:val="22"/>
              </w:rPr>
              <w:t>8</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7B8099D8" w14:textId="77777777" w:rsidR="00F44157" w:rsidRPr="00636F57" w:rsidRDefault="00333557" w:rsidP="0025459A">
            <w:pPr>
              <w:rPr>
                <w:szCs w:val="22"/>
              </w:rPr>
            </w:pPr>
            <w:r w:rsidRPr="00636F57">
              <w:rPr>
                <w:szCs w:val="22"/>
              </w:rPr>
              <w:t>P</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0F9AEE0E" w14:textId="77777777" w:rsidR="00F44157" w:rsidRPr="00636F57" w:rsidRDefault="00333557" w:rsidP="0025459A">
            <w:pPr>
              <w:rPr>
                <w:szCs w:val="22"/>
              </w:rPr>
            </w:pPr>
            <w:r w:rsidRPr="00636F57">
              <w:rPr>
                <w:szCs w:val="22"/>
              </w:rPr>
              <w:t>DD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45AB48DB" w14:textId="77777777" w:rsidR="00F44157" w:rsidRPr="00636F57" w:rsidRDefault="00333557" w:rsidP="0025459A">
            <w:pPr>
              <w:rPr>
                <w:szCs w:val="22"/>
              </w:rPr>
            </w:pPr>
            <w:r w:rsidRPr="00636F57">
              <w:rPr>
                <w:szCs w:val="22"/>
              </w:rPr>
              <w:t>FAO</w:t>
            </w:r>
          </w:p>
        </w:tc>
      </w:tr>
      <w:tr w:rsidR="00F44157" w:rsidRPr="00636F57" w14:paraId="63ABD0C2" w14:textId="77777777" w:rsidTr="00986AF2">
        <w:trPr>
          <w:trHeight w:val="26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21FADEC1" w14:textId="77777777" w:rsidR="00F44157" w:rsidRPr="00636F57" w:rsidRDefault="00333557" w:rsidP="0025459A">
            <w:pPr>
              <w:rPr>
                <w:szCs w:val="22"/>
              </w:rPr>
            </w:pPr>
            <w:r w:rsidRPr="00636F57">
              <w:rPr>
                <w:szCs w:val="22"/>
              </w:rPr>
              <w:t>Trends in nitrogen deposition</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30405972" w14:textId="77777777" w:rsidR="00F44157" w:rsidRPr="00636F57" w:rsidRDefault="00333557" w:rsidP="0025459A">
            <w:pPr>
              <w:rPr>
                <w:szCs w:val="22"/>
              </w:rPr>
            </w:pPr>
            <w:r w:rsidRPr="00636F57">
              <w:rPr>
                <w:szCs w:val="22"/>
              </w:rPr>
              <w:t>8</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2FB44142" w14:textId="77777777" w:rsidR="00F44157" w:rsidRPr="00636F57" w:rsidRDefault="00333557" w:rsidP="0025459A">
            <w:pPr>
              <w:rPr>
                <w:szCs w:val="22"/>
              </w:rPr>
            </w:pPr>
            <w:r w:rsidRPr="00636F57">
              <w:rPr>
                <w:szCs w:val="22"/>
              </w:rPr>
              <w:t>P</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31384876" w14:textId="77777777" w:rsidR="00F44157" w:rsidRPr="00636F57" w:rsidRDefault="00333557" w:rsidP="0025459A">
            <w:pPr>
              <w:rPr>
                <w:szCs w:val="22"/>
              </w:rPr>
            </w:pPr>
            <w:r w:rsidRPr="00636F57">
              <w:rPr>
                <w:szCs w:val="22"/>
              </w:rPr>
              <w:t>DD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57409548" w14:textId="77777777" w:rsidR="00F44157" w:rsidRPr="00636F57" w:rsidRDefault="00333557" w:rsidP="0025459A">
            <w:pPr>
              <w:rPr>
                <w:szCs w:val="22"/>
              </w:rPr>
            </w:pPr>
            <w:r w:rsidRPr="00636F57">
              <w:rPr>
                <w:szCs w:val="22"/>
              </w:rPr>
              <w:t>International Nitrogen Initiative</w:t>
            </w:r>
          </w:p>
        </w:tc>
      </w:tr>
      <w:tr w:rsidR="00F44157" w:rsidRPr="00636F57" w14:paraId="6E23B749" w14:textId="77777777" w:rsidTr="00986AF2">
        <w:trPr>
          <w:trHeight w:val="48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51748801" w14:textId="77777777" w:rsidR="00F44157" w:rsidRPr="00636F57" w:rsidRDefault="00333557" w:rsidP="0025459A">
            <w:pPr>
              <w:rPr>
                <w:szCs w:val="22"/>
              </w:rPr>
            </w:pPr>
            <w:r w:rsidRPr="00636F57">
              <w:rPr>
                <w:szCs w:val="22"/>
              </w:rPr>
              <w:t>Protected Area Connectedness Index</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7E926CEB" w14:textId="77777777" w:rsidR="00F44157" w:rsidRPr="00636F57" w:rsidRDefault="00333557" w:rsidP="0025459A">
            <w:pPr>
              <w:rPr>
                <w:szCs w:val="22"/>
              </w:rPr>
            </w:pPr>
            <w:r w:rsidRPr="00636F57">
              <w:rPr>
                <w:szCs w:val="22"/>
              </w:rPr>
              <w:t>11</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52697C6A" w14:textId="77777777" w:rsidR="00F44157" w:rsidRPr="00636F57" w:rsidRDefault="00333557" w:rsidP="0025459A">
            <w:pPr>
              <w:rPr>
                <w:szCs w:val="22"/>
              </w:rPr>
            </w:pPr>
            <w:r w:rsidRPr="00636F57">
              <w:rPr>
                <w:szCs w:val="22"/>
              </w:rPr>
              <w:t>R</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33D6D0E4" w14:textId="77777777" w:rsidR="00F44157" w:rsidRPr="00636F57" w:rsidRDefault="00333557" w:rsidP="0025459A">
            <w:pPr>
              <w:rPr>
                <w:szCs w:val="22"/>
              </w:rPr>
            </w:pPr>
            <w:r w:rsidRPr="00636F57">
              <w:rPr>
                <w:szCs w:val="22"/>
              </w:rPr>
              <w:t>DD, IGID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53188143" w14:textId="77777777" w:rsidR="00F44157" w:rsidRPr="00636F57" w:rsidRDefault="00333557" w:rsidP="0025459A">
            <w:pPr>
              <w:rPr>
                <w:szCs w:val="22"/>
              </w:rPr>
            </w:pPr>
            <w:r w:rsidRPr="00636F57">
              <w:rPr>
                <w:szCs w:val="22"/>
              </w:rPr>
              <w:t>GEO BON – CSIRO</w:t>
            </w:r>
          </w:p>
        </w:tc>
      </w:tr>
      <w:tr w:rsidR="00F44157" w:rsidRPr="00636F57" w14:paraId="1907305E" w14:textId="77777777" w:rsidTr="00986AF2">
        <w:trPr>
          <w:trHeight w:val="62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6B3B6474" w14:textId="77777777" w:rsidR="00F44157" w:rsidRPr="00636F57" w:rsidRDefault="00333557" w:rsidP="0025459A">
            <w:pPr>
              <w:rPr>
                <w:szCs w:val="22"/>
              </w:rPr>
            </w:pPr>
            <w:r w:rsidRPr="00636F57">
              <w:rPr>
                <w:szCs w:val="22"/>
              </w:rPr>
              <w:t>Percentage of areas covered by protected areas - marine, coastal, terrestrial, inland water</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60899692" w14:textId="77777777" w:rsidR="00F44157" w:rsidRPr="00636F57" w:rsidRDefault="00333557" w:rsidP="0025459A">
            <w:pPr>
              <w:rPr>
                <w:szCs w:val="22"/>
              </w:rPr>
            </w:pPr>
            <w:r w:rsidRPr="00636F57">
              <w:rPr>
                <w:szCs w:val="22"/>
              </w:rPr>
              <w:t>11</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1962568D" w14:textId="77777777" w:rsidR="00F44157" w:rsidRPr="00636F57" w:rsidRDefault="00333557" w:rsidP="0025459A">
            <w:pPr>
              <w:rPr>
                <w:szCs w:val="22"/>
              </w:rPr>
            </w:pPr>
            <w:r w:rsidRPr="00636F57">
              <w:rPr>
                <w:szCs w:val="22"/>
              </w:rPr>
              <w:t>R</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6C9F2E32" w14:textId="77777777" w:rsidR="00F44157" w:rsidRPr="00636F57" w:rsidRDefault="00333557" w:rsidP="0025459A">
            <w:pPr>
              <w:rPr>
                <w:szCs w:val="22"/>
              </w:rPr>
            </w:pPr>
            <w:r w:rsidRPr="00636F57">
              <w:rPr>
                <w:szCs w:val="22"/>
              </w:rPr>
              <w:t>IGID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31BC1F3D" w14:textId="77777777" w:rsidR="00F44157" w:rsidRPr="00636F57" w:rsidRDefault="00333557" w:rsidP="0025459A">
            <w:pPr>
              <w:rPr>
                <w:szCs w:val="22"/>
              </w:rPr>
            </w:pPr>
            <w:r w:rsidRPr="00636F57">
              <w:rPr>
                <w:szCs w:val="22"/>
              </w:rPr>
              <w:t>UNEP-WCMC, IUCN</w:t>
            </w:r>
          </w:p>
        </w:tc>
      </w:tr>
      <w:tr w:rsidR="00F44157" w:rsidRPr="00636F57" w14:paraId="0B59BEF6" w14:textId="77777777" w:rsidTr="00986AF2">
        <w:trPr>
          <w:trHeight w:val="30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43D74B62" w14:textId="77777777" w:rsidR="00F44157" w:rsidRPr="00636F57" w:rsidRDefault="00333557" w:rsidP="0025459A">
            <w:pPr>
              <w:rPr>
                <w:szCs w:val="22"/>
              </w:rPr>
            </w:pPr>
            <w:r w:rsidRPr="00636F57">
              <w:rPr>
                <w:szCs w:val="22"/>
              </w:rPr>
              <w:t>Species Protection Index</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3573C226" w14:textId="77777777" w:rsidR="00F44157" w:rsidRPr="00636F57" w:rsidRDefault="00333557" w:rsidP="0025459A">
            <w:pPr>
              <w:rPr>
                <w:szCs w:val="22"/>
              </w:rPr>
            </w:pPr>
            <w:r w:rsidRPr="00636F57">
              <w:rPr>
                <w:szCs w:val="22"/>
              </w:rPr>
              <w:t>11</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34EBF396" w14:textId="77777777" w:rsidR="00F44157" w:rsidRPr="00636F57" w:rsidRDefault="00333557" w:rsidP="0025459A">
            <w:pPr>
              <w:rPr>
                <w:szCs w:val="22"/>
              </w:rPr>
            </w:pPr>
            <w:r w:rsidRPr="00636F57">
              <w:rPr>
                <w:szCs w:val="22"/>
              </w:rPr>
              <w:t>P,R</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5AEC9BC8" w14:textId="77777777" w:rsidR="00F44157" w:rsidRPr="00636F57" w:rsidRDefault="00333557" w:rsidP="0025459A">
            <w:pPr>
              <w:rPr>
                <w:szCs w:val="22"/>
              </w:rPr>
            </w:pPr>
            <w:r w:rsidRPr="00636F57">
              <w:rPr>
                <w:szCs w:val="22"/>
              </w:rPr>
              <w:t>IGID, DD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42211CC6" w14:textId="77777777" w:rsidR="00F44157" w:rsidRPr="00636F57" w:rsidRDefault="00333557" w:rsidP="0025459A">
            <w:pPr>
              <w:rPr>
                <w:szCs w:val="22"/>
              </w:rPr>
            </w:pPr>
            <w:r w:rsidRPr="00636F57">
              <w:rPr>
                <w:szCs w:val="22"/>
              </w:rPr>
              <w:t>GEO BON - Map of Life</w:t>
            </w:r>
          </w:p>
        </w:tc>
      </w:tr>
      <w:tr w:rsidR="00F44157" w:rsidRPr="00636F57" w14:paraId="1DA28FAC" w14:textId="77777777" w:rsidTr="00986AF2">
        <w:trPr>
          <w:trHeight w:val="48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0CFF8D7B" w14:textId="77777777" w:rsidR="00F44157" w:rsidRPr="00636F57" w:rsidRDefault="00333557" w:rsidP="0025459A">
            <w:pPr>
              <w:rPr>
                <w:szCs w:val="22"/>
              </w:rPr>
            </w:pPr>
            <w:r w:rsidRPr="00636F57">
              <w:rPr>
                <w:szCs w:val="22"/>
              </w:rPr>
              <w:t>Protected area management effectiveness</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42E35E4E" w14:textId="77777777" w:rsidR="00F44157" w:rsidRPr="00636F57" w:rsidRDefault="00333557" w:rsidP="0025459A">
            <w:pPr>
              <w:rPr>
                <w:szCs w:val="22"/>
              </w:rPr>
            </w:pPr>
            <w:r w:rsidRPr="00636F57">
              <w:rPr>
                <w:szCs w:val="22"/>
              </w:rPr>
              <w:t>11</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27A5C023" w14:textId="77777777" w:rsidR="00F44157" w:rsidRPr="00636F57" w:rsidRDefault="00333557" w:rsidP="0025459A">
            <w:pPr>
              <w:rPr>
                <w:szCs w:val="22"/>
              </w:rPr>
            </w:pPr>
            <w:r w:rsidRPr="00636F57">
              <w:rPr>
                <w:szCs w:val="22"/>
              </w:rPr>
              <w:t>R</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1CC8C47A" w14:textId="77777777" w:rsidR="00F44157" w:rsidRPr="00636F57" w:rsidRDefault="00333557" w:rsidP="0025459A">
            <w:pPr>
              <w:rPr>
                <w:szCs w:val="22"/>
              </w:rPr>
            </w:pPr>
            <w:r w:rsidRPr="00636F57">
              <w:rPr>
                <w:szCs w:val="22"/>
              </w:rPr>
              <w:t>IGID, DD, BEF</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5D2633EA" w14:textId="77777777" w:rsidR="00F44157" w:rsidRPr="00636F57" w:rsidRDefault="00333557" w:rsidP="0025459A">
            <w:pPr>
              <w:rPr>
                <w:szCs w:val="22"/>
              </w:rPr>
            </w:pPr>
            <w:r w:rsidRPr="00636F57">
              <w:rPr>
                <w:szCs w:val="22"/>
              </w:rPr>
              <w:t>UNEP-WCMC</w:t>
            </w:r>
          </w:p>
        </w:tc>
      </w:tr>
      <w:tr w:rsidR="00F44157" w:rsidRPr="00636F57" w14:paraId="186D0203" w14:textId="77777777" w:rsidTr="00986AF2">
        <w:trPr>
          <w:trHeight w:val="8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006E7009" w14:textId="77777777" w:rsidR="00F44157" w:rsidRPr="00636F57" w:rsidRDefault="00333557" w:rsidP="0025459A">
            <w:pPr>
              <w:rPr>
                <w:szCs w:val="22"/>
              </w:rPr>
            </w:pPr>
            <w:r w:rsidRPr="00636F57">
              <w:rPr>
                <w:szCs w:val="22"/>
              </w:rPr>
              <w:t>Biodiversity Intactness Index </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27CCC5BD" w14:textId="77777777" w:rsidR="00F44157" w:rsidRPr="00636F57" w:rsidRDefault="00333557" w:rsidP="0025459A">
            <w:pPr>
              <w:rPr>
                <w:szCs w:val="22"/>
              </w:rPr>
            </w:pPr>
            <w:r w:rsidRPr="00636F57">
              <w:rPr>
                <w:szCs w:val="22"/>
              </w:rPr>
              <w:t>12, 14</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75CAAD8A" w14:textId="77777777" w:rsidR="00F44157" w:rsidRPr="00636F57" w:rsidRDefault="00333557" w:rsidP="0025459A">
            <w:pPr>
              <w:rPr>
                <w:szCs w:val="22"/>
              </w:rPr>
            </w:pPr>
            <w:r w:rsidRPr="00636F57">
              <w:rPr>
                <w:szCs w:val="22"/>
              </w:rPr>
              <w:t>P,S</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7B707037" w14:textId="77777777" w:rsidR="00F44157" w:rsidRPr="00636F57" w:rsidRDefault="00333557" w:rsidP="0025459A">
            <w:pPr>
              <w:rPr>
                <w:szCs w:val="22"/>
              </w:rPr>
            </w:pPr>
            <w:r w:rsidRPr="00636F57">
              <w:rPr>
                <w:szCs w:val="22"/>
              </w:rPr>
              <w:t>DD, BEF</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238DF7ED" w14:textId="77777777" w:rsidR="00F44157" w:rsidRPr="00636F57" w:rsidRDefault="00333557" w:rsidP="0025459A">
            <w:pPr>
              <w:rPr>
                <w:szCs w:val="22"/>
              </w:rPr>
            </w:pPr>
            <w:r w:rsidRPr="00636F57">
              <w:rPr>
                <w:szCs w:val="22"/>
              </w:rPr>
              <w:t>GEO BON – PREDICTS</w:t>
            </w:r>
          </w:p>
        </w:tc>
      </w:tr>
      <w:tr w:rsidR="00F44157" w:rsidRPr="00636F57" w14:paraId="489FC86B" w14:textId="77777777" w:rsidTr="00986AF2">
        <w:trPr>
          <w:trHeight w:val="30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28F2E86F" w14:textId="77777777" w:rsidR="00F44157" w:rsidRPr="00636F57" w:rsidRDefault="00333557" w:rsidP="0025459A">
            <w:pPr>
              <w:rPr>
                <w:szCs w:val="22"/>
              </w:rPr>
            </w:pPr>
            <w:r w:rsidRPr="00636F57">
              <w:rPr>
                <w:szCs w:val="22"/>
              </w:rPr>
              <w:t>Red List Index</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09CBBEC6" w14:textId="77777777" w:rsidR="00F44157" w:rsidRPr="00636F57" w:rsidRDefault="00333557" w:rsidP="0025459A">
            <w:pPr>
              <w:rPr>
                <w:szCs w:val="22"/>
              </w:rPr>
            </w:pPr>
            <w:r w:rsidRPr="00636F57">
              <w:rPr>
                <w:szCs w:val="22"/>
              </w:rPr>
              <w:t>12</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68625A3D" w14:textId="77777777" w:rsidR="00F44157" w:rsidRPr="00636F57" w:rsidRDefault="00333557" w:rsidP="0025459A">
            <w:pPr>
              <w:rPr>
                <w:szCs w:val="22"/>
              </w:rPr>
            </w:pPr>
            <w:r w:rsidRPr="00636F57">
              <w:rPr>
                <w:szCs w:val="22"/>
              </w:rPr>
              <w:t>S</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202CCBBA" w14:textId="77777777" w:rsidR="00F44157" w:rsidRPr="00636F57" w:rsidRDefault="00333557" w:rsidP="0025459A">
            <w:pPr>
              <w:rPr>
                <w:szCs w:val="22"/>
              </w:rPr>
            </w:pPr>
            <w:r w:rsidRPr="00636F57">
              <w:rPr>
                <w:szCs w:val="22"/>
              </w:rPr>
              <w:t>BEF</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719051D2" w14:textId="77777777" w:rsidR="00F44157" w:rsidRPr="00636F57" w:rsidRDefault="00333557" w:rsidP="0025459A">
            <w:pPr>
              <w:rPr>
                <w:szCs w:val="22"/>
              </w:rPr>
            </w:pPr>
            <w:r w:rsidRPr="00636F57">
              <w:rPr>
                <w:szCs w:val="22"/>
              </w:rPr>
              <w:t>IUCN, BirdLife International and other Red List Partners</w:t>
            </w:r>
          </w:p>
        </w:tc>
      </w:tr>
      <w:tr w:rsidR="00F44157" w:rsidRPr="00636F57" w14:paraId="7B96426A" w14:textId="77777777" w:rsidTr="00986AF2">
        <w:trPr>
          <w:trHeight w:val="46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34D896B3" w14:textId="77777777" w:rsidR="00F44157" w:rsidRPr="00636F57" w:rsidRDefault="00333557" w:rsidP="0025459A">
            <w:pPr>
              <w:rPr>
                <w:szCs w:val="22"/>
              </w:rPr>
            </w:pPr>
            <w:r w:rsidRPr="00636F57">
              <w:rPr>
                <w:szCs w:val="22"/>
              </w:rPr>
              <w:t>Proportion of local breeds, classified as being at risk, not-at-risk or unknown level of risk of extinction</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741A2518" w14:textId="77777777" w:rsidR="00F44157" w:rsidRPr="00636F57" w:rsidRDefault="00333557" w:rsidP="0025459A">
            <w:pPr>
              <w:rPr>
                <w:szCs w:val="22"/>
              </w:rPr>
            </w:pPr>
            <w:r w:rsidRPr="00636F57">
              <w:rPr>
                <w:szCs w:val="22"/>
              </w:rPr>
              <w:t>13</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2A0E0248" w14:textId="77777777" w:rsidR="00F44157" w:rsidRPr="00636F57" w:rsidRDefault="00333557" w:rsidP="0025459A">
            <w:pPr>
              <w:rPr>
                <w:szCs w:val="22"/>
              </w:rPr>
            </w:pPr>
            <w:r w:rsidRPr="00636F57">
              <w:rPr>
                <w:szCs w:val="22"/>
              </w:rPr>
              <w:t>S</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767A41AB" w14:textId="77777777" w:rsidR="00F44157" w:rsidRPr="00636F57" w:rsidRDefault="00333557" w:rsidP="0025459A">
            <w:pPr>
              <w:rPr>
                <w:szCs w:val="22"/>
              </w:rPr>
            </w:pPr>
            <w:r w:rsidRPr="00636F57">
              <w:rPr>
                <w:szCs w:val="22"/>
              </w:rPr>
              <w:t>BEF, NBP</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4B364232" w14:textId="77777777" w:rsidR="00F44157" w:rsidRPr="00636F57" w:rsidRDefault="00333557" w:rsidP="0025459A">
            <w:pPr>
              <w:rPr>
                <w:szCs w:val="22"/>
              </w:rPr>
            </w:pPr>
            <w:r w:rsidRPr="00636F57">
              <w:rPr>
                <w:szCs w:val="22"/>
              </w:rPr>
              <w:t>FAO</w:t>
            </w:r>
          </w:p>
        </w:tc>
      </w:tr>
      <w:tr w:rsidR="00F44157" w:rsidRPr="00636F57" w14:paraId="2F993CBD" w14:textId="77777777" w:rsidTr="00986AF2">
        <w:trPr>
          <w:trHeight w:val="8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4E7EDCEF" w14:textId="77777777" w:rsidR="00F44157" w:rsidRPr="00636F57" w:rsidRDefault="00333557" w:rsidP="0025459A">
            <w:pPr>
              <w:rPr>
                <w:szCs w:val="22"/>
              </w:rPr>
            </w:pPr>
            <w:r w:rsidRPr="00636F57">
              <w:rPr>
                <w:szCs w:val="22"/>
              </w:rPr>
              <w:t>Percentage of undernourished people</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73EEA38C" w14:textId="77777777" w:rsidR="00F44157" w:rsidRPr="00636F57" w:rsidRDefault="00333557" w:rsidP="0025459A">
            <w:pPr>
              <w:rPr>
                <w:szCs w:val="22"/>
              </w:rPr>
            </w:pPr>
            <w:r w:rsidRPr="00636F57">
              <w:rPr>
                <w:szCs w:val="22"/>
              </w:rPr>
              <w:t>14</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25053330" w14:textId="77777777" w:rsidR="00F44157" w:rsidRPr="00636F57" w:rsidRDefault="00333557" w:rsidP="0025459A">
            <w:pPr>
              <w:rPr>
                <w:szCs w:val="22"/>
              </w:rPr>
            </w:pPr>
            <w:r w:rsidRPr="00636F57">
              <w:rPr>
                <w:szCs w:val="22"/>
              </w:rPr>
              <w:t>I</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53897FB2" w14:textId="77777777" w:rsidR="00F44157" w:rsidRPr="00636F57" w:rsidRDefault="00333557" w:rsidP="0025459A">
            <w:pPr>
              <w:rPr>
                <w:szCs w:val="22"/>
              </w:rPr>
            </w:pPr>
            <w:r w:rsidRPr="00636F57">
              <w:rPr>
                <w:szCs w:val="22"/>
              </w:rPr>
              <w:t>GQL</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5CF49F89" w14:textId="77777777" w:rsidR="00F44157" w:rsidRPr="00636F57" w:rsidRDefault="00333557" w:rsidP="0025459A">
            <w:pPr>
              <w:rPr>
                <w:szCs w:val="22"/>
              </w:rPr>
            </w:pPr>
            <w:r w:rsidRPr="00636F57">
              <w:rPr>
                <w:szCs w:val="22"/>
              </w:rPr>
              <w:t>FAO</w:t>
            </w:r>
          </w:p>
        </w:tc>
      </w:tr>
      <w:tr w:rsidR="00F44157" w:rsidRPr="00636F57" w14:paraId="64AC0D37" w14:textId="77777777" w:rsidTr="00986AF2">
        <w:trPr>
          <w:trHeight w:val="24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24BBDCB4" w14:textId="77777777" w:rsidR="00F44157" w:rsidRPr="00636F57" w:rsidRDefault="00333557" w:rsidP="0025459A">
            <w:pPr>
              <w:rPr>
                <w:szCs w:val="22"/>
              </w:rPr>
            </w:pPr>
            <w:r w:rsidRPr="00636F57">
              <w:rPr>
                <w:szCs w:val="22"/>
              </w:rPr>
              <w:t>Number of countries with developed or revised NBSAPs</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560EA827" w14:textId="77777777" w:rsidR="00F44157" w:rsidRPr="00636F57" w:rsidRDefault="00333557" w:rsidP="0025459A">
            <w:pPr>
              <w:rPr>
                <w:szCs w:val="22"/>
              </w:rPr>
            </w:pPr>
            <w:r w:rsidRPr="00636F57">
              <w:rPr>
                <w:szCs w:val="22"/>
              </w:rPr>
              <w:t>17</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0B55B3F1" w14:textId="77777777" w:rsidR="00F44157" w:rsidRPr="00636F57" w:rsidRDefault="00333557" w:rsidP="0025459A">
            <w:pPr>
              <w:rPr>
                <w:szCs w:val="22"/>
              </w:rPr>
            </w:pPr>
            <w:r w:rsidRPr="00636F57">
              <w:rPr>
                <w:szCs w:val="22"/>
              </w:rPr>
              <w:t>R</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71E4DADF" w14:textId="77777777" w:rsidR="00F44157" w:rsidRPr="00636F57" w:rsidRDefault="00333557" w:rsidP="0025459A">
            <w:pPr>
              <w:rPr>
                <w:szCs w:val="22"/>
              </w:rPr>
            </w:pPr>
            <w:r w:rsidRPr="00636F57">
              <w:rPr>
                <w:szCs w:val="22"/>
              </w:rPr>
              <w:t>IGID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73AD914C" w14:textId="77777777" w:rsidR="00F44157" w:rsidRPr="00636F57" w:rsidRDefault="00333557" w:rsidP="0025459A">
            <w:pPr>
              <w:rPr>
                <w:szCs w:val="22"/>
              </w:rPr>
            </w:pPr>
            <w:r w:rsidRPr="00636F57">
              <w:rPr>
                <w:szCs w:val="22"/>
              </w:rPr>
              <w:t>Secretariat of the Convention on Biological Diversity (CBD)</w:t>
            </w:r>
          </w:p>
        </w:tc>
      </w:tr>
      <w:tr w:rsidR="00F44157" w:rsidRPr="00636F57" w14:paraId="7EDBE80C" w14:textId="77777777" w:rsidTr="00986AF2">
        <w:trPr>
          <w:trHeight w:val="80"/>
        </w:trPr>
        <w:tc>
          <w:tcPr>
            <w:tcW w:w="1577" w:type="pct"/>
            <w:tcBorders>
              <w:top w:val="nil"/>
              <w:left w:val="single" w:sz="8" w:space="0" w:color="000000"/>
              <w:bottom w:val="single" w:sz="4" w:space="0" w:color="000000"/>
              <w:right w:val="single" w:sz="4" w:space="0" w:color="000000"/>
            </w:tcBorders>
            <w:shd w:val="clear" w:color="auto" w:fill="auto"/>
            <w:tcMar>
              <w:left w:w="70" w:type="dxa"/>
              <w:right w:w="70" w:type="dxa"/>
            </w:tcMar>
          </w:tcPr>
          <w:p w14:paraId="3783D385" w14:textId="77777777" w:rsidR="00F44157" w:rsidRPr="00636F57" w:rsidRDefault="00333557" w:rsidP="0025459A">
            <w:pPr>
              <w:rPr>
                <w:szCs w:val="22"/>
              </w:rPr>
            </w:pPr>
            <w:r w:rsidRPr="00636F57">
              <w:rPr>
                <w:szCs w:val="22"/>
              </w:rPr>
              <w:t>Proportion of known species assessed through the IUCN Red List</w:t>
            </w:r>
          </w:p>
        </w:tc>
        <w:tc>
          <w:tcPr>
            <w:tcW w:w="476" w:type="pct"/>
            <w:gridSpan w:val="2"/>
            <w:tcBorders>
              <w:top w:val="nil"/>
              <w:left w:val="nil"/>
              <w:bottom w:val="single" w:sz="4" w:space="0" w:color="000000"/>
              <w:right w:val="single" w:sz="4" w:space="0" w:color="000000"/>
            </w:tcBorders>
            <w:shd w:val="clear" w:color="auto" w:fill="auto"/>
            <w:tcMar>
              <w:left w:w="70" w:type="dxa"/>
              <w:right w:w="70" w:type="dxa"/>
            </w:tcMar>
          </w:tcPr>
          <w:p w14:paraId="5756554E" w14:textId="77777777" w:rsidR="00F44157" w:rsidRPr="00636F57" w:rsidRDefault="00333557" w:rsidP="0025459A">
            <w:pPr>
              <w:rPr>
                <w:szCs w:val="22"/>
              </w:rPr>
            </w:pPr>
            <w:r w:rsidRPr="00636F57">
              <w:rPr>
                <w:szCs w:val="22"/>
              </w:rPr>
              <w:t>19</w:t>
            </w:r>
          </w:p>
        </w:tc>
        <w:tc>
          <w:tcPr>
            <w:tcW w:w="509" w:type="pct"/>
            <w:gridSpan w:val="2"/>
            <w:tcBorders>
              <w:top w:val="single" w:sz="4" w:space="0" w:color="000000"/>
              <w:left w:val="nil"/>
              <w:bottom w:val="single" w:sz="4" w:space="0" w:color="000000"/>
              <w:right w:val="single" w:sz="4" w:space="0" w:color="000000"/>
            </w:tcBorders>
            <w:shd w:val="clear" w:color="auto" w:fill="auto"/>
            <w:tcMar>
              <w:left w:w="70" w:type="dxa"/>
              <w:right w:w="70" w:type="dxa"/>
            </w:tcMar>
          </w:tcPr>
          <w:p w14:paraId="26136FD3" w14:textId="77777777" w:rsidR="00F44157" w:rsidRPr="00636F57" w:rsidRDefault="00333557" w:rsidP="0025459A">
            <w:pPr>
              <w:rPr>
                <w:szCs w:val="22"/>
              </w:rPr>
            </w:pPr>
            <w:r w:rsidRPr="00636F57">
              <w:rPr>
                <w:szCs w:val="22"/>
              </w:rPr>
              <w:t>R</w:t>
            </w:r>
          </w:p>
        </w:tc>
        <w:tc>
          <w:tcPr>
            <w:tcW w:w="461" w:type="pct"/>
            <w:tcBorders>
              <w:top w:val="nil"/>
              <w:left w:val="nil"/>
              <w:bottom w:val="single" w:sz="4" w:space="0" w:color="000000"/>
              <w:right w:val="single" w:sz="4" w:space="0" w:color="000000"/>
            </w:tcBorders>
            <w:shd w:val="clear" w:color="auto" w:fill="auto"/>
            <w:tcMar>
              <w:left w:w="70" w:type="dxa"/>
              <w:right w:w="70" w:type="dxa"/>
            </w:tcMar>
          </w:tcPr>
          <w:p w14:paraId="52B5A700" w14:textId="77777777" w:rsidR="00F44157" w:rsidRPr="00636F57" w:rsidRDefault="00333557" w:rsidP="0025459A">
            <w:pPr>
              <w:rPr>
                <w:szCs w:val="22"/>
              </w:rPr>
            </w:pPr>
            <w:r w:rsidRPr="00636F57">
              <w:rPr>
                <w:szCs w:val="22"/>
              </w:rPr>
              <w:t>IGID</w:t>
            </w:r>
          </w:p>
        </w:tc>
        <w:tc>
          <w:tcPr>
            <w:tcW w:w="1977" w:type="pct"/>
            <w:gridSpan w:val="2"/>
            <w:tcBorders>
              <w:top w:val="single" w:sz="4" w:space="0" w:color="000000"/>
              <w:left w:val="nil"/>
              <w:bottom w:val="single" w:sz="4" w:space="0" w:color="000000"/>
              <w:right w:val="single" w:sz="8" w:space="0" w:color="000000"/>
            </w:tcBorders>
            <w:shd w:val="clear" w:color="auto" w:fill="auto"/>
            <w:tcMar>
              <w:left w:w="70" w:type="dxa"/>
              <w:right w:w="70" w:type="dxa"/>
            </w:tcMar>
          </w:tcPr>
          <w:p w14:paraId="1DD4916E" w14:textId="77777777" w:rsidR="00F44157" w:rsidRPr="00636F57" w:rsidRDefault="00333557" w:rsidP="0025459A">
            <w:pPr>
              <w:rPr>
                <w:szCs w:val="22"/>
              </w:rPr>
            </w:pPr>
            <w:r w:rsidRPr="00636F57">
              <w:rPr>
                <w:szCs w:val="22"/>
              </w:rPr>
              <w:t>IUCN</w:t>
            </w:r>
          </w:p>
        </w:tc>
      </w:tr>
      <w:tr w:rsidR="00F44157" w:rsidRPr="00636F57" w14:paraId="04C7BE7F" w14:textId="77777777" w:rsidTr="00986AF2">
        <w:trPr>
          <w:trHeight w:val="80"/>
        </w:trPr>
        <w:tc>
          <w:tcPr>
            <w:tcW w:w="1577" w:type="pct"/>
            <w:tcBorders>
              <w:top w:val="nil"/>
              <w:left w:val="single" w:sz="8" w:space="0" w:color="000000"/>
              <w:bottom w:val="single" w:sz="8" w:space="0" w:color="000000"/>
              <w:right w:val="single" w:sz="4" w:space="0" w:color="000000"/>
            </w:tcBorders>
            <w:shd w:val="clear" w:color="auto" w:fill="auto"/>
            <w:tcMar>
              <w:left w:w="70" w:type="dxa"/>
              <w:right w:w="70" w:type="dxa"/>
            </w:tcMar>
          </w:tcPr>
          <w:p w14:paraId="55621250" w14:textId="77777777" w:rsidR="00F44157" w:rsidRPr="00636F57" w:rsidRDefault="00333557" w:rsidP="0025459A">
            <w:pPr>
              <w:rPr>
                <w:szCs w:val="22"/>
              </w:rPr>
            </w:pPr>
            <w:r w:rsidRPr="00636F57">
              <w:rPr>
                <w:szCs w:val="22"/>
              </w:rPr>
              <w:t>Species Status Information Index</w:t>
            </w:r>
          </w:p>
        </w:tc>
        <w:tc>
          <w:tcPr>
            <w:tcW w:w="476" w:type="pct"/>
            <w:gridSpan w:val="2"/>
            <w:tcBorders>
              <w:top w:val="nil"/>
              <w:left w:val="nil"/>
              <w:bottom w:val="single" w:sz="8" w:space="0" w:color="000000"/>
              <w:right w:val="single" w:sz="4" w:space="0" w:color="000000"/>
            </w:tcBorders>
            <w:shd w:val="clear" w:color="auto" w:fill="auto"/>
            <w:tcMar>
              <w:left w:w="70" w:type="dxa"/>
              <w:right w:w="70" w:type="dxa"/>
            </w:tcMar>
          </w:tcPr>
          <w:p w14:paraId="2E656DF1" w14:textId="77777777" w:rsidR="00F44157" w:rsidRPr="00636F57" w:rsidRDefault="00333557" w:rsidP="0025459A">
            <w:pPr>
              <w:rPr>
                <w:szCs w:val="22"/>
              </w:rPr>
            </w:pPr>
            <w:r w:rsidRPr="00636F57">
              <w:rPr>
                <w:szCs w:val="22"/>
              </w:rPr>
              <w:t>19</w:t>
            </w:r>
          </w:p>
        </w:tc>
        <w:tc>
          <w:tcPr>
            <w:tcW w:w="509" w:type="pct"/>
            <w:gridSpan w:val="2"/>
            <w:tcBorders>
              <w:top w:val="single" w:sz="4" w:space="0" w:color="000000"/>
              <w:left w:val="nil"/>
              <w:bottom w:val="single" w:sz="8" w:space="0" w:color="000000"/>
              <w:right w:val="single" w:sz="4" w:space="0" w:color="000000"/>
            </w:tcBorders>
            <w:shd w:val="clear" w:color="auto" w:fill="auto"/>
            <w:tcMar>
              <w:left w:w="70" w:type="dxa"/>
              <w:right w:w="70" w:type="dxa"/>
            </w:tcMar>
          </w:tcPr>
          <w:p w14:paraId="04377917" w14:textId="77777777" w:rsidR="00F44157" w:rsidRPr="00636F57" w:rsidRDefault="00333557" w:rsidP="0025459A">
            <w:pPr>
              <w:rPr>
                <w:szCs w:val="22"/>
              </w:rPr>
            </w:pPr>
            <w:r w:rsidRPr="00636F57">
              <w:rPr>
                <w:szCs w:val="22"/>
              </w:rPr>
              <w:t>R</w:t>
            </w:r>
          </w:p>
        </w:tc>
        <w:tc>
          <w:tcPr>
            <w:tcW w:w="461" w:type="pct"/>
            <w:tcBorders>
              <w:top w:val="nil"/>
              <w:left w:val="nil"/>
              <w:bottom w:val="single" w:sz="8" w:space="0" w:color="000000"/>
              <w:right w:val="single" w:sz="4" w:space="0" w:color="000000"/>
            </w:tcBorders>
            <w:shd w:val="clear" w:color="auto" w:fill="auto"/>
            <w:tcMar>
              <w:left w:w="70" w:type="dxa"/>
              <w:right w:w="70" w:type="dxa"/>
            </w:tcMar>
          </w:tcPr>
          <w:p w14:paraId="5F2D2638" w14:textId="77777777" w:rsidR="00F44157" w:rsidRPr="00636F57" w:rsidRDefault="00333557" w:rsidP="0025459A">
            <w:pPr>
              <w:rPr>
                <w:szCs w:val="22"/>
              </w:rPr>
            </w:pPr>
            <w:r w:rsidRPr="00636F57">
              <w:rPr>
                <w:szCs w:val="22"/>
              </w:rPr>
              <w:t>IGID, BEF</w:t>
            </w:r>
          </w:p>
        </w:tc>
        <w:tc>
          <w:tcPr>
            <w:tcW w:w="1977" w:type="pct"/>
            <w:gridSpan w:val="2"/>
            <w:tcBorders>
              <w:top w:val="single" w:sz="4" w:space="0" w:color="000000"/>
              <w:left w:val="nil"/>
              <w:bottom w:val="single" w:sz="8" w:space="0" w:color="000000"/>
              <w:right w:val="single" w:sz="8" w:space="0" w:color="000000"/>
            </w:tcBorders>
            <w:shd w:val="clear" w:color="auto" w:fill="auto"/>
            <w:tcMar>
              <w:left w:w="70" w:type="dxa"/>
              <w:right w:w="70" w:type="dxa"/>
            </w:tcMar>
          </w:tcPr>
          <w:p w14:paraId="62201B64" w14:textId="77777777" w:rsidR="00F44157" w:rsidRPr="00636F57" w:rsidRDefault="00333557" w:rsidP="0025459A">
            <w:pPr>
              <w:rPr>
                <w:szCs w:val="22"/>
              </w:rPr>
            </w:pPr>
            <w:r w:rsidRPr="00636F57">
              <w:rPr>
                <w:szCs w:val="22"/>
              </w:rPr>
              <w:t>GEO BON - Map of Life</w:t>
            </w:r>
          </w:p>
        </w:tc>
      </w:tr>
      <w:tr w:rsidR="00F44157" w:rsidRPr="00636F57" w14:paraId="2692C9AE" w14:textId="77777777" w:rsidTr="00986AF2">
        <w:trPr>
          <w:trHeight w:val="300"/>
        </w:trPr>
        <w:tc>
          <w:tcPr>
            <w:tcW w:w="5000" w:type="pct"/>
            <w:gridSpan w:val="8"/>
            <w:tcBorders>
              <w:top w:val="nil"/>
              <w:left w:val="single" w:sz="4" w:space="0" w:color="000000"/>
              <w:bottom w:val="single" w:sz="4" w:space="0" w:color="000000"/>
              <w:right w:val="single" w:sz="4" w:space="0" w:color="000000"/>
            </w:tcBorders>
            <w:shd w:val="clear" w:color="auto" w:fill="auto"/>
            <w:tcMar>
              <w:left w:w="70" w:type="dxa"/>
              <w:right w:w="70" w:type="dxa"/>
            </w:tcMar>
            <w:vAlign w:val="bottom"/>
          </w:tcPr>
          <w:p w14:paraId="7DE3C894" w14:textId="77777777" w:rsidR="00F44157" w:rsidRPr="00636F57" w:rsidRDefault="00333557" w:rsidP="0025459A">
            <w:pPr>
              <w:jc w:val="center"/>
              <w:rPr>
                <w:rFonts w:eastAsia="Calibri"/>
                <w:szCs w:val="22"/>
              </w:rPr>
            </w:pPr>
            <w:r w:rsidRPr="00636F57">
              <w:rPr>
                <w:rFonts w:eastAsia="Calibri"/>
                <w:szCs w:val="22"/>
              </w:rPr>
              <w:t> </w:t>
            </w:r>
          </w:p>
        </w:tc>
      </w:tr>
      <w:tr w:rsidR="00F44157" w:rsidRPr="00636F57" w14:paraId="741C264F" w14:textId="77777777" w:rsidTr="00B50F8F">
        <w:trPr>
          <w:trHeight w:val="320"/>
        </w:trPr>
        <w:tc>
          <w:tcPr>
            <w:tcW w:w="1660" w:type="pct"/>
            <w:gridSpan w:val="2"/>
            <w:tcBorders>
              <w:top w:val="nil"/>
              <w:left w:val="single" w:sz="8" w:space="0" w:color="000000"/>
              <w:bottom w:val="single" w:sz="8" w:space="0" w:color="000000"/>
              <w:right w:val="single" w:sz="8" w:space="0" w:color="000000"/>
            </w:tcBorders>
            <w:shd w:val="clear" w:color="auto" w:fill="BFBFBF" w:themeFill="background1" w:themeFillShade="BF"/>
            <w:tcMar>
              <w:left w:w="70" w:type="dxa"/>
              <w:right w:w="70" w:type="dxa"/>
            </w:tcMar>
            <w:vAlign w:val="center"/>
          </w:tcPr>
          <w:p w14:paraId="684FF20C" w14:textId="77777777" w:rsidR="00F44157" w:rsidRPr="00636F57" w:rsidRDefault="00333557" w:rsidP="0025459A">
            <w:pPr>
              <w:jc w:val="center"/>
              <w:rPr>
                <w:b/>
                <w:szCs w:val="22"/>
              </w:rPr>
            </w:pPr>
            <w:r w:rsidRPr="00636F57">
              <w:rPr>
                <w:b/>
                <w:szCs w:val="22"/>
              </w:rPr>
              <w:t>Specific Indicator</w:t>
            </w:r>
          </w:p>
        </w:tc>
        <w:tc>
          <w:tcPr>
            <w:tcW w:w="737" w:type="pct"/>
            <w:gridSpan w:val="2"/>
            <w:tcBorders>
              <w:top w:val="nil"/>
              <w:left w:val="nil"/>
              <w:bottom w:val="single" w:sz="8" w:space="0" w:color="000000"/>
              <w:right w:val="single" w:sz="8" w:space="0" w:color="000000"/>
            </w:tcBorders>
            <w:shd w:val="clear" w:color="auto" w:fill="BFBFBF" w:themeFill="background1" w:themeFillShade="BF"/>
            <w:tcMar>
              <w:left w:w="70" w:type="dxa"/>
              <w:right w:w="70" w:type="dxa"/>
            </w:tcMar>
            <w:vAlign w:val="center"/>
          </w:tcPr>
          <w:p w14:paraId="5E05AE65" w14:textId="77777777" w:rsidR="00F44157" w:rsidRPr="00636F57" w:rsidRDefault="00333557" w:rsidP="0025459A">
            <w:pPr>
              <w:jc w:val="center"/>
              <w:rPr>
                <w:b/>
                <w:szCs w:val="22"/>
              </w:rPr>
            </w:pPr>
            <w:r w:rsidRPr="00636F57">
              <w:rPr>
                <w:b/>
                <w:szCs w:val="22"/>
              </w:rPr>
              <w:t>DPSIR*</w:t>
            </w:r>
          </w:p>
        </w:tc>
        <w:tc>
          <w:tcPr>
            <w:tcW w:w="1813" w:type="pct"/>
            <w:gridSpan w:val="3"/>
            <w:tcBorders>
              <w:top w:val="nil"/>
              <w:left w:val="nil"/>
              <w:bottom w:val="single" w:sz="8" w:space="0" w:color="000000"/>
              <w:right w:val="single" w:sz="8" w:space="0" w:color="000000"/>
            </w:tcBorders>
            <w:shd w:val="clear" w:color="auto" w:fill="BFBFBF" w:themeFill="background1" w:themeFillShade="BF"/>
            <w:tcMar>
              <w:left w:w="70" w:type="dxa"/>
              <w:right w:w="70" w:type="dxa"/>
            </w:tcMar>
            <w:vAlign w:val="center"/>
          </w:tcPr>
          <w:p w14:paraId="1B003215" w14:textId="77777777" w:rsidR="00F44157" w:rsidRPr="00636F57" w:rsidRDefault="00333557" w:rsidP="0025459A">
            <w:pPr>
              <w:jc w:val="center"/>
              <w:rPr>
                <w:b/>
                <w:szCs w:val="22"/>
              </w:rPr>
            </w:pPr>
            <w:r w:rsidRPr="00636F57">
              <w:rPr>
                <w:b/>
                <w:szCs w:val="22"/>
              </w:rPr>
              <w:t>CF**</w:t>
            </w:r>
          </w:p>
        </w:tc>
        <w:tc>
          <w:tcPr>
            <w:tcW w:w="790" w:type="pct"/>
            <w:tcBorders>
              <w:top w:val="nil"/>
              <w:left w:val="nil"/>
              <w:bottom w:val="single" w:sz="8" w:space="0" w:color="000000"/>
              <w:right w:val="single" w:sz="8" w:space="0" w:color="000000"/>
            </w:tcBorders>
            <w:shd w:val="clear" w:color="auto" w:fill="BFBFBF" w:themeFill="background1" w:themeFillShade="BF"/>
            <w:tcMar>
              <w:left w:w="70" w:type="dxa"/>
              <w:right w:w="70" w:type="dxa"/>
            </w:tcMar>
            <w:vAlign w:val="center"/>
          </w:tcPr>
          <w:p w14:paraId="718E1DDA" w14:textId="77777777" w:rsidR="00F44157" w:rsidRPr="00636F57" w:rsidRDefault="00333557" w:rsidP="0025459A">
            <w:pPr>
              <w:jc w:val="center"/>
              <w:rPr>
                <w:b/>
                <w:szCs w:val="22"/>
              </w:rPr>
            </w:pPr>
            <w:r w:rsidRPr="00636F57">
              <w:rPr>
                <w:b/>
                <w:szCs w:val="22"/>
              </w:rPr>
              <w:t>Source</w:t>
            </w:r>
          </w:p>
        </w:tc>
      </w:tr>
      <w:tr w:rsidR="00F44157" w:rsidRPr="00636F57" w14:paraId="6D101B75" w14:textId="77777777" w:rsidTr="00B50F8F">
        <w:trPr>
          <w:trHeight w:val="320"/>
        </w:trPr>
        <w:tc>
          <w:tcPr>
            <w:tcW w:w="5000" w:type="pct"/>
            <w:gridSpan w:val="8"/>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left w:w="70" w:type="dxa"/>
              <w:right w:w="70" w:type="dxa"/>
            </w:tcMar>
            <w:vAlign w:val="center"/>
          </w:tcPr>
          <w:p w14:paraId="76F6971D" w14:textId="77777777" w:rsidR="00F44157" w:rsidRPr="00636F57" w:rsidRDefault="00333557" w:rsidP="0025459A">
            <w:pPr>
              <w:jc w:val="center"/>
              <w:rPr>
                <w:b/>
                <w:szCs w:val="22"/>
              </w:rPr>
            </w:pPr>
            <w:r w:rsidRPr="00636F57">
              <w:rPr>
                <w:b/>
                <w:szCs w:val="22"/>
              </w:rPr>
              <w:t>Socio-economic indicators</w:t>
            </w:r>
          </w:p>
        </w:tc>
      </w:tr>
      <w:tr w:rsidR="00F44157" w:rsidRPr="00636F57" w14:paraId="4B5120DD" w14:textId="77777777" w:rsidTr="00986AF2">
        <w:trPr>
          <w:trHeight w:val="80"/>
        </w:trPr>
        <w:tc>
          <w:tcPr>
            <w:tcW w:w="1660" w:type="pct"/>
            <w:gridSpan w:val="2"/>
            <w:tcBorders>
              <w:top w:val="nil"/>
              <w:left w:val="single" w:sz="8" w:space="0" w:color="000000"/>
              <w:bottom w:val="single" w:sz="8" w:space="0" w:color="000000"/>
              <w:right w:val="single" w:sz="8" w:space="0" w:color="000000"/>
            </w:tcBorders>
            <w:shd w:val="clear" w:color="auto" w:fill="auto"/>
            <w:tcMar>
              <w:left w:w="70" w:type="dxa"/>
              <w:right w:w="70" w:type="dxa"/>
            </w:tcMar>
            <w:vAlign w:val="center"/>
          </w:tcPr>
          <w:p w14:paraId="1DFA5550" w14:textId="77777777" w:rsidR="00F44157" w:rsidRPr="00636F57" w:rsidRDefault="00333557" w:rsidP="0025459A">
            <w:pPr>
              <w:rPr>
                <w:szCs w:val="22"/>
              </w:rPr>
            </w:pPr>
            <w:r w:rsidRPr="00636F57">
              <w:rPr>
                <w:szCs w:val="22"/>
              </w:rPr>
              <w:t>GDP</w:t>
            </w:r>
          </w:p>
        </w:tc>
        <w:tc>
          <w:tcPr>
            <w:tcW w:w="737" w:type="pct"/>
            <w:gridSpan w:val="2"/>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27A790A4" w14:textId="77777777" w:rsidR="00F44157" w:rsidRPr="00636F57" w:rsidRDefault="00333557" w:rsidP="0025459A">
            <w:pPr>
              <w:jc w:val="center"/>
              <w:rPr>
                <w:szCs w:val="22"/>
              </w:rPr>
            </w:pPr>
            <w:r w:rsidRPr="00636F57">
              <w:rPr>
                <w:szCs w:val="22"/>
              </w:rPr>
              <w:t>S</w:t>
            </w:r>
          </w:p>
        </w:tc>
        <w:tc>
          <w:tcPr>
            <w:tcW w:w="1813" w:type="pct"/>
            <w:gridSpan w:val="3"/>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6264AE5B" w14:textId="77777777" w:rsidR="00F44157" w:rsidRPr="00636F57" w:rsidRDefault="00333557" w:rsidP="0025459A">
            <w:pPr>
              <w:jc w:val="center"/>
              <w:rPr>
                <w:szCs w:val="22"/>
              </w:rPr>
            </w:pPr>
            <w:r w:rsidRPr="00636F57">
              <w:rPr>
                <w:szCs w:val="22"/>
              </w:rPr>
              <w:t>IGID</w:t>
            </w:r>
          </w:p>
        </w:tc>
        <w:tc>
          <w:tcPr>
            <w:tcW w:w="790" w:type="pct"/>
            <w:tcBorders>
              <w:top w:val="nil"/>
              <w:left w:val="nil"/>
              <w:bottom w:val="single" w:sz="8" w:space="0" w:color="000000"/>
              <w:right w:val="single" w:sz="8" w:space="0" w:color="000000"/>
            </w:tcBorders>
            <w:shd w:val="clear" w:color="auto" w:fill="auto"/>
            <w:tcMar>
              <w:left w:w="70" w:type="dxa"/>
              <w:right w:w="70" w:type="dxa"/>
            </w:tcMar>
            <w:vAlign w:val="center"/>
          </w:tcPr>
          <w:p w14:paraId="4B81BD89" w14:textId="77777777" w:rsidR="00F44157" w:rsidRPr="00636F57" w:rsidRDefault="00333557" w:rsidP="0025459A">
            <w:pPr>
              <w:rPr>
                <w:szCs w:val="22"/>
              </w:rPr>
            </w:pPr>
            <w:r w:rsidRPr="00636F57">
              <w:rPr>
                <w:szCs w:val="22"/>
              </w:rPr>
              <w:t>World Bank</w:t>
            </w:r>
          </w:p>
        </w:tc>
      </w:tr>
      <w:tr w:rsidR="00F44157" w:rsidRPr="00636F57" w14:paraId="6F4B6EEF" w14:textId="77777777" w:rsidTr="00986AF2">
        <w:trPr>
          <w:trHeight w:val="980"/>
        </w:trPr>
        <w:tc>
          <w:tcPr>
            <w:tcW w:w="1660" w:type="pct"/>
            <w:gridSpan w:val="2"/>
            <w:tcBorders>
              <w:top w:val="nil"/>
              <w:left w:val="single" w:sz="8" w:space="0" w:color="000000"/>
              <w:bottom w:val="single" w:sz="8" w:space="0" w:color="000000"/>
              <w:right w:val="single" w:sz="8" w:space="0" w:color="000000"/>
            </w:tcBorders>
            <w:shd w:val="clear" w:color="auto" w:fill="auto"/>
            <w:tcMar>
              <w:left w:w="70" w:type="dxa"/>
              <w:right w:w="70" w:type="dxa"/>
            </w:tcMar>
            <w:vAlign w:val="center"/>
          </w:tcPr>
          <w:p w14:paraId="02668DF0" w14:textId="77777777" w:rsidR="00F44157" w:rsidRPr="00636F57" w:rsidRDefault="00333557" w:rsidP="0025459A">
            <w:pPr>
              <w:rPr>
                <w:szCs w:val="22"/>
              </w:rPr>
            </w:pPr>
            <w:r w:rsidRPr="00636F57">
              <w:rPr>
                <w:szCs w:val="22"/>
              </w:rPr>
              <w:t>Food security: Countries requiring external assistance for food (famine relief)</w:t>
            </w:r>
          </w:p>
        </w:tc>
        <w:tc>
          <w:tcPr>
            <w:tcW w:w="737" w:type="pct"/>
            <w:gridSpan w:val="2"/>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335FE6E3" w14:textId="77777777" w:rsidR="00F44157" w:rsidRPr="00636F57" w:rsidRDefault="00333557" w:rsidP="0025459A">
            <w:pPr>
              <w:jc w:val="center"/>
              <w:rPr>
                <w:szCs w:val="22"/>
              </w:rPr>
            </w:pPr>
            <w:r w:rsidRPr="00636F57">
              <w:rPr>
                <w:szCs w:val="22"/>
              </w:rPr>
              <w:t>S</w:t>
            </w:r>
          </w:p>
        </w:tc>
        <w:tc>
          <w:tcPr>
            <w:tcW w:w="1813" w:type="pct"/>
            <w:gridSpan w:val="3"/>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01295CE0" w14:textId="77777777" w:rsidR="00F44157" w:rsidRPr="00636F57" w:rsidRDefault="00333557" w:rsidP="0025459A">
            <w:pPr>
              <w:jc w:val="center"/>
              <w:rPr>
                <w:szCs w:val="22"/>
              </w:rPr>
            </w:pPr>
            <w:r w:rsidRPr="00636F57">
              <w:rPr>
                <w:szCs w:val="22"/>
              </w:rPr>
              <w:t>GQL</w:t>
            </w:r>
          </w:p>
        </w:tc>
        <w:tc>
          <w:tcPr>
            <w:tcW w:w="790" w:type="pct"/>
            <w:tcBorders>
              <w:top w:val="nil"/>
              <w:left w:val="nil"/>
              <w:bottom w:val="single" w:sz="8" w:space="0" w:color="000000"/>
              <w:right w:val="single" w:sz="8" w:space="0" w:color="000000"/>
            </w:tcBorders>
            <w:shd w:val="clear" w:color="auto" w:fill="auto"/>
            <w:tcMar>
              <w:left w:w="70" w:type="dxa"/>
              <w:right w:w="70" w:type="dxa"/>
            </w:tcMar>
            <w:vAlign w:val="center"/>
          </w:tcPr>
          <w:p w14:paraId="2ADCAFA7" w14:textId="77777777" w:rsidR="00F44157" w:rsidRPr="00636F57" w:rsidRDefault="00333557" w:rsidP="0025459A">
            <w:pPr>
              <w:rPr>
                <w:szCs w:val="22"/>
              </w:rPr>
            </w:pPr>
            <w:r w:rsidRPr="00636F57">
              <w:rPr>
                <w:szCs w:val="22"/>
              </w:rPr>
              <w:t>FAO</w:t>
            </w:r>
          </w:p>
        </w:tc>
      </w:tr>
      <w:tr w:rsidR="00F44157" w:rsidRPr="00636F57" w14:paraId="516B0682" w14:textId="77777777" w:rsidTr="00986AF2">
        <w:trPr>
          <w:trHeight w:val="740"/>
        </w:trPr>
        <w:tc>
          <w:tcPr>
            <w:tcW w:w="1660" w:type="pct"/>
            <w:gridSpan w:val="2"/>
            <w:tcBorders>
              <w:top w:val="nil"/>
              <w:left w:val="single" w:sz="8" w:space="0" w:color="000000"/>
              <w:bottom w:val="single" w:sz="8" w:space="0" w:color="000000"/>
              <w:right w:val="single" w:sz="8" w:space="0" w:color="000000"/>
            </w:tcBorders>
            <w:shd w:val="clear" w:color="auto" w:fill="auto"/>
            <w:tcMar>
              <w:left w:w="70" w:type="dxa"/>
              <w:right w:w="70" w:type="dxa"/>
            </w:tcMar>
            <w:vAlign w:val="center"/>
          </w:tcPr>
          <w:p w14:paraId="3BEBC74A" w14:textId="77777777" w:rsidR="00F44157" w:rsidRPr="00636F57" w:rsidRDefault="00333557" w:rsidP="0025459A">
            <w:pPr>
              <w:rPr>
                <w:szCs w:val="22"/>
              </w:rPr>
            </w:pPr>
            <w:r w:rsidRPr="00636F57">
              <w:rPr>
                <w:szCs w:val="22"/>
              </w:rPr>
              <w:t>Food security: Calorie supply per capita (kcal/capita.day)</w:t>
            </w:r>
          </w:p>
        </w:tc>
        <w:tc>
          <w:tcPr>
            <w:tcW w:w="737" w:type="pct"/>
            <w:gridSpan w:val="2"/>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5F4938DF" w14:textId="77777777" w:rsidR="00F44157" w:rsidRPr="00636F57" w:rsidRDefault="00333557" w:rsidP="0025459A">
            <w:pPr>
              <w:jc w:val="center"/>
              <w:rPr>
                <w:szCs w:val="22"/>
              </w:rPr>
            </w:pPr>
            <w:r w:rsidRPr="00636F57">
              <w:rPr>
                <w:szCs w:val="22"/>
              </w:rPr>
              <w:t>S</w:t>
            </w:r>
          </w:p>
        </w:tc>
        <w:tc>
          <w:tcPr>
            <w:tcW w:w="1813" w:type="pct"/>
            <w:gridSpan w:val="3"/>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1717BECC" w14:textId="77777777" w:rsidR="00F44157" w:rsidRPr="00636F57" w:rsidRDefault="00333557" w:rsidP="0025459A">
            <w:pPr>
              <w:jc w:val="center"/>
              <w:rPr>
                <w:szCs w:val="22"/>
              </w:rPr>
            </w:pPr>
            <w:r w:rsidRPr="00636F57">
              <w:rPr>
                <w:szCs w:val="22"/>
              </w:rPr>
              <w:t>GQL</w:t>
            </w:r>
          </w:p>
        </w:tc>
        <w:tc>
          <w:tcPr>
            <w:tcW w:w="790" w:type="pct"/>
            <w:tcBorders>
              <w:top w:val="nil"/>
              <w:left w:val="nil"/>
              <w:bottom w:val="single" w:sz="8" w:space="0" w:color="000000"/>
              <w:right w:val="single" w:sz="8" w:space="0" w:color="000000"/>
            </w:tcBorders>
            <w:shd w:val="clear" w:color="auto" w:fill="auto"/>
            <w:tcMar>
              <w:left w:w="70" w:type="dxa"/>
              <w:right w:w="70" w:type="dxa"/>
            </w:tcMar>
            <w:vAlign w:val="center"/>
          </w:tcPr>
          <w:p w14:paraId="04FF4E49" w14:textId="77777777" w:rsidR="00F44157" w:rsidRPr="00636F57" w:rsidRDefault="00333557" w:rsidP="0025459A">
            <w:pPr>
              <w:rPr>
                <w:szCs w:val="22"/>
              </w:rPr>
            </w:pPr>
            <w:r w:rsidRPr="00636F57">
              <w:rPr>
                <w:szCs w:val="22"/>
              </w:rPr>
              <w:t>FAO</w:t>
            </w:r>
          </w:p>
        </w:tc>
      </w:tr>
      <w:tr w:rsidR="00F44157" w:rsidRPr="00636F57" w14:paraId="32044F75" w14:textId="77777777" w:rsidTr="00986AF2">
        <w:trPr>
          <w:trHeight w:val="980"/>
        </w:trPr>
        <w:tc>
          <w:tcPr>
            <w:tcW w:w="1660" w:type="pct"/>
            <w:gridSpan w:val="2"/>
            <w:tcBorders>
              <w:top w:val="nil"/>
              <w:left w:val="single" w:sz="8" w:space="0" w:color="000000"/>
              <w:bottom w:val="single" w:sz="8" w:space="0" w:color="000000"/>
              <w:right w:val="single" w:sz="8" w:space="0" w:color="000000"/>
            </w:tcBorders>
            <w:shd w:val="clear" w:color="auto" w:fill="auto"/>
            <w:tcMar>
              <w:left w:w="70" w:type="dxa"/>
              <w:right w:w="70" w:type="dxa"/>
            </w:tcMar>
            <w:vAlign w:val="center"/>
          </w:tcPr>
          <w:p w14:paraId="11E587B7" w14:textId="77777777" w:rsidR="00F44157" w:rsidRPr="00636F57" w:rsidRDefault="00333557" w:rsidP="0025459A">
            <w:pPr>
              <w:rPr>
                <w:szCs w:val="22"/>
              </w:rPr>
            </w:pPr>
            <w:r w:rsidRPr="00636F57">
              <w:rPr>
                <w:szCs w:val="22"/>
              </w:rPr>
              <w:t>Water security: Proportion of population using safely managed drinking water services (SDG 6.1.1)</w:t>
            </w:r>
          </w:p>
        </w:tc>
        <w:tc>
          <w:tcPr>
            <w:tcW w:w="737" w:type="pct"/>
            <w:gridSpan w:val="2"/>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2D942CD5" w14:textId="77777777" w:rsidR="00F44157" w:rsidRPr="00636F57" w:rsidRDefault="00333557" w:rsidP="0025459A">
            <w:pPr>
              <w:jc w:val="center"/>
              <w:rPr>
                <w:szCs w:val="22"/>
              </w:rPr>
            </w:pPr>
            <w:r w:rsidRPr="00636F57">
              <w:rPr>
                <w:szCs w:val="22"/>
              </w:rPr>
              <w:t>S</w:t>
            </w:r>
          </w:p>
        </w:tc>
        <w:tc>
          <w:tcPr>
            <w:tcW w:w="1813" w:type="pct"/>
            <w:gridSpan w:val="3"/>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2888A772" w14:textId="77777777" w:rsidR="00F44157" w:rsidRPr="00636F57" w:rsidRDefault="00333557" w:rsidP="0025459A">
            <w:pPr>
              <w:jc w:val="center"/>
              <w:rPr>
                <w:szCs w:val="22"/>
              </w:rPr>
            </w:pPr>
            <w:r w:rsidRPr="00636F57">
              <w:rPr>
                <w:szCs w:val="22"/>
              </w:rPr>
              <w:t>GQL</w:t>
            </w:r>
          </w:p>
        </w:tc>
        <w:tc>
          <w:tcPr>
            <w:tcW w:w="790" w:type="pct"/>
            <w:tcBorders>
              <w:top w:val="nil"/>
              <w:left w:val="nil"/>
              <w:bottom w:val="single" w:sz="8" w:space="0" w:color="000000"/>
              <w:right w:val="single" w:sz="8" w:space="0" w:color="000000"/>
            </w:tcBorders>
            <w:shd w:val="clear" w:color="auto" w:fill="auto"/>
            <w:tcMar>
              <w:left w:w="70" w:type="dxa"/>
              <w:right w:w="70" w:type="dxa"/>
            </w:tcMar>
            <w:vAlign w:val="center"/>
          </w:tcPr>
          <w:p w14:paraId="1D8C7F82" w14:textId="77777777" w:rsidR="00F44157" w:rsidRPr="00636F57" w:rsidRDefault="00333557" w:rsidP="0025459A">
            <w:pPr>
              <w:rPr>
                <w:szCs w:val="22"/>
              </w:rPr>
            </w:pPr>
            <w:r w:rsidRPr="00636F57">
              <w:rPr>
                <w:szCs w:val="22"/>
              </w:rPr>
              <w:t>UNICEF/WHO</w:t>
            </w:r>
          </w:p>
        </w:tc>
      </w:tr>
      <w:tr w:rsidR="00F44157" w:rsidRPr="00636F57" w14:paraId="17B7F174" w14:textId="77777777" w:rsidTr="00986AF2">
        <w:trPr>
          <w:trHeight w:val="740"/>
        </w:trPr>
        <w:tc>
          <w:tcPr>
            <w:tcW w:w="1660" w:type="pct"/>
            <w:gridSpan w:val="2"/>
            <w:tcBorders>
              <w:top w:val="nil"/>
              <w:left w:val="single" w:sz="8" w:space="0" w:color="000000"/>
              <w:bottom w:val="single" w:sz="8" w:space="0" w:color="000000"/>
              <w:right w:val="single" w:sz="8" w:space="0" w:color="000000"/>
            </w:tcBorders>
            <w:shd w:val="clear" w:color="auto" w:fill="auto"/>
            <w:tcMar>
              <w:left w:w="70" w:type="dxa"/>
              <w:right w:w="70" w:type="dxa"/>
            </w:tcMar>
            <w:vAlign w:val="center"/>
          </w:tcPr>
          <w:p w14:paraId="6A68FBF1" w14:textId="77777777" w:rsidR="00F44157" w:rsidRPr="00636F57" w:rsidRDefault="00333557" w:rsidP="0025459A">
            <w:pPr>
              <w:rPr>
                <w:szCs w:val="22"/>
              </w:rPr>
            </w:pPr>
            <w:r w:rsidRPr="00636F57">
              <w:rPr>
                <w:szCs w:val="22"/>
              </w:rPr>
              <w:t>Water security: Freshwater consumption as % of total renewable water resources</w:t>
            </w:r>
          </w:p>
        </w:tc>
        <w:tc>
          <w:tcPr>
            <w:tcW w:w="737" w:type="pct"/>
            <w:gridSpan w:val="2"/>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58962E7B" w14:textId="77777777" w:rsidR="00F44157" w:rsidRPr="00636F57" w:rsidRDefault="00333557" w:rsidP="0025459A">
            <w:pPr>
              <w:jc w:val="center"/>
              <w:rPr>
                <w:szCs w:val="22"/>
              </w:rPr>
            </w:pPr>
            <w:r w:rsidRPr="00636F57">
              <w:rPr>
                <w:szCs w:val="22"/>
              </w:rPr>
              <w:t>S</w:t>
            </w:r>
          </w:p>
        </w:tc>
        <w:tc>
          <w:tcPr>
            <w:tcW w:w="1813" w:type="pct"/>
            <w:gridSpan w:val="3"/>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14820E09" w14:textId="77777777" w:rsidR="00F44157" w:rsidRPr="00636F57" w:rsidRDefault="00333557" w:rsidP="0025459A">
            <w:pPr>
              <w:jc w:val="center"/>
              <w:rPr>
                <w:szCs w:val="22"/>
              </w:rPr>
            </w:pPr>
            <w:r w:rsidRPr="00636F57">
              <w:rPr>
                <w:szCs w:val="22"/>
              </w:rPr>
              <w:t>GQL</w:t>
            </w:r>
          </w:p>
        </w:tc>
        <w:tc>
          <w:tcPr>
            <w:tcW w:w="790" w:type="pct"/>
            <w:tcBorders>
              <w:top w:val="nil"/>
              <w:left w:val="nil"/>
              <w:bottom w:val="single" w:sz="8" w:space="0" w:color="000000"/>
              <w:right w:val="single" w:sz="8" w:space="0" w:color="000000"/>
            </w:tcBorders>
            <w:shd w:val="clear" w:color="auto" w:fill="auto"/>
            <w:tcMar>
              <w:left w:w="70" w:type="dxa"/>
              <w:right w:w="70" w:type="dxa"/>
            </w:tcMar>
            <w:vAlign w:val="center"/>
          </w:tcPr>
          <w:p w14:paraId="5C613194" w14:textId="77777777" w:rsidR="00F44157" w:rsidRPr="00636F57" w:rsidRDefault="00333557" w:rsidP="0025459A">
            <w:pPr>
              <w:rPr>
                <w:szCs w:val="22"/>
              </w:rPr>
            </w:pPr>
            <w:r w:rsidRPr="00636F57">
              <w:rPr>
                <w:szCs w:val="22"/>
              </w:rPr>
              <w:t>FAO</w:t>
            </w:r>
          </w:p>
        </w:tc>
      </w:tr>
      <w:tr w:rsidR="00F44157" w:rsidRPr="00636F57" w14:paraId="10D23B7C" w14:textId="77777777" w:rsidTr="00986AF2">
        <w:trPr>
          <w:trHeight w:val="320"/>
        </w:trPr>
        <w:tc>
          <w:tcPr>
            <w:tcW w:w="1660" w:type="pct"/>
            <w:gridSpan w:val="2"/>
            <w:tcBorders>
              <w:top w:val="nil"/>
              <w:left w:val="single" w:sz="8" w:space="0" w:color="000000"/>
              <w:bottom w:val="single" w:sz="8" w:space="0" w:color="000000"/>
              <w:right w:val="single" w:sz="8" w:space="0" w:color="000000"/>
            </w:tcBorders>
            <w:shd w:val="clear" w:color="auto" w:fill="auto"/>
            <w:tcMar>
              <w:left w:w="70" w:type="dxa"/>
              <w:right w:w="70" w:type="dxa"/>
            </w:tcMar>
            <w:vAlign w:val="center"/>
          </w:tcPr>
          <w:p w14:paraId="06B6BE32" w14:textId="77777777" w:rsidR="00F44157" w:rsidRPr="00636F57" w:rsidRDefault="00333557" w:rsidP="0025459A">
            <w:pPr>
              <w:rPr>
                <w:szCs w:val="22"/>
              </w:rPr>
            </w:pPr>
            <w:r w:rsidRPr="00636F57">
              <w:rPr>
                <w:szCs w:val="22"/>
              </w:rPr>
              <w:t>Equity: GINI index </w:t>
            </w:r>
          </w:p>
        </w:tc>
        <w:tc>
          <w:tcPr>
            <w:tcW w:w="737" w:type="pct"/>
            <w:gridSpan w:val="2"/>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2BAB297B" w14:textId="77777777" w:rsidR="00F44157" w:rsidRPr="00636F57" w:rsidRDefault="00333557" w:rsidP="0025459A">
            <w:pPr>
              <w:jc w:val="center"/>
              <w:rPr>
                <w:szCs w:val="22"/>
              </w:rPr>
            </w:pPr>
            <w:r w:rsidRPr="00636F57">
              <w:rPr>
                <w:szCs w:val="22"/>
              </w:rPr>
              <w:t>S</w:t>
            </w:r>
          </w:p>
        </w:tc>
        <w:tc>
          <w:tcPr>
            <w:tcW w:w="1813" w:type="pct"/>
            <w:gridSpan w:val="3"/>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606318B1" w14:textId="77777777" w:rsidR="00F44157" w:rsidRPr="00636F57" w:rsidRDefault="00333557" w:rsidP="0025459A">
            <w:pPr>
              <w:jc w:val="center"/>
              <w:rPr>
                <w:szCs w:val="22"/>
              </w:rPr>
            </w:pPr>
            <w:r w:rsidRPr="00636F57">
              <w:rPr>
                <w:szCs w:val="22"/>
              </w:rPr>
              <w:t>GQL</w:t>
            </w:r>
          </w:p>
        </w:tc>
        <w:tc>
          <w:tcPr>
            <w:tcW w:w="790" w:type="pct"/>
            <w:tcBorders>
              <w:top w:val="nil"/>
              <w:left w:val="nil"/>
              <w:bottom w:val="single" w:sz="8" w:space="0" w:color="000000"/>
              <w:right w:val="single" w:sz="8" w:space="0" w:color="000000"/>
            </w:tcBorders>
            <w:shd w:val="clear" w:color="auto" w:fill="auto"/>
            <w:tcMar>
              <w:left w:w="70" w:type="dxa"/>
              <w:right w:w="70" w:type="dxa"/>
            </w:tcMar>
            <w:vAlign w:val="center"/>
          </w:tcPr>
          <w:p w14:paraId="54B7234E" w14:textId="77777777" w:rsidR="00F44157" w:rsidRPr="00636F57" w:rsidRDefault="00333557" w:rsidP="0025459A">
            <w:pPr>
              <w:rPr>
                <w:szCs w:val="22"/>
              </w:rPr>
            </w:pPr>
            <w:r w:rsidRPr="00636F57">
              <w:rPr>
                <w:szCs w:val="22"/>
              </w:rPr>
              <w:t>World Bank</w:t>
            </w:r>
          </w:p>
        </w:tc>
      </w:tr>
      <w:tr w:rsidR="00F44157" w:rsidRPr="00636F57" w14:paraId="015FE4AC" w14:textId="77777777" w:rsidTr="00986AF2">
        <w:trPr>
          <w:trHeight w:val="740"/>
        </w:trPr>
        <w:tc>
          <w:tcPr>
            <w:tcW w:w="1660" w:type="pct"/>
            <w:gridSpan w:val="2"/>
            <w:tcBorders>
              <w:top w:val="nil"/>
              <w:left w:val="single" w:sz="8" w:space="0" w:color="000000"/>
              <w:bottom w:val="single" w:sz="8" w:space="0" w:color="000000"/>
              <w:right w:val="single" w:sz="8" w:space="0" w:color="000000"/>
            </w:tcBorders>
            <w:shd w:val="clear" w:color="auto" w:fill="auto"/>
            <w:tcMar>
              <w:left w:w="70" w:type="dxa"/>
              <w:right w:w="70" w:type="dxa"/>
            </w:tcMar>
            <w:vAlign w:val="center"/>
          </w:tcPr>
          <w:p w14:paraId="6C40B6D9" w14:textId="77777777" w:rsidR="00F44157" w:rsidRPr="00636F57" w:rsidRDefault="00333557" w:rsidP="0025459A">
            <w:pPr>
              <w:rPr>
                <w:szCs w:val="22"/>
              </w:rPr>
            </w:pPr>
            <w:r w:rsidRPr="00636F57">
              <w:rPr>
                <w:szCs w:val="22"/>
              </w:rPr>
              <w:t>Food: World grain production by type/capita.year</w:t>
            </w:r>
          </w:p>
        </w:tc>
        <w:tc>
          <w:tcPr>
            <w:tcW w:w="737" w:type="pct"/>
            <w:gridSpan w:val="2"/>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09B38285" w14:textId="77777777" w:rsidR="00F44157" w:rsidRPr="00636F57" w:rsidRDefault="00333557" w:rsidP="0025459A">
            <w:pPr>
              <w:jc w:val="center"/>
              <w:rPr>
                <w:szCs w:val="22"/>
              </w:rPr>
            </w:pPr>
            <w:r w:rsidRPr="00636F57">
              <w:rPr>
                <w:szCs w:val="22"/>
              </w:rPr>
              <w:t>S</w:t>
            </w:r>
          </w:p>
        </w:tc>
        <w:tc>
          <w:tcPr>
            <w:tcW w:w="1813" w:type="pct"/>
            <w:gridSpan w:val="3"/>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46A2DA25" w14:textId="77777777" w:rsidR="00F44157" w:rsidRPr="00636F57" w:rsidRDefault="00333557" w:rsidP="0025459A">
            <w:pPr>
              <w:jc w:val="center"/>
              <w:rPr>
                <w:szCs w:val="22"/>
              </w:rPr>
            </w:pPr>
            <w:r w:rsidRPr="00636F57">
              <w:rPr>
                <w:szCs w:val="22"/>
              </w:rPr>
              <w:t>NCP</w:t>
            </w:r>
          </w:p>
        </w:tc>
        <w:tc>
          <w:tcPr>
            <w:tcW w:w="790" w:type="pct"/>
            <w:tcBorders>
              <w:top w:val="nil"/>
              <w:left w:val="nil"/>
              <w:bottom w:val="single" w:sz="8" w:space="0" w:color="000000"/>
              <w:right w:val="single" w:sz="8" w:space="0" w:color="000000"/>
            </w:tcBorders>
            <w:shd w:val="clear" w:color="auto" w:fill="auto"/>
            <w:tcMar>
              <w:left w:w="70" w:type="dxa"/>
              <w:right w:w="70" w:type="dxa"/>
            </w:tcMar>
            <w:vAlign w:val="center"/>
          </w:tcPr>
          <w:p w14:paraId="70978F43" w14:textId="77777777" w:rsidR="00F44157" w:rsidRPr="00636F57" w:rsidRDefault="00333557" w:rsidP="0025459A">
            <w:pPr>
              <w:rPr>
                <w:szCs w:val="22"/>
              </w:rPr>
            </w:pPr>
            <w:r w:rsidRPr="00636F57">
              <w:rPr>
                <w:szCs w:val="22"/>
              </w:rPr>
              <w:t>FAO</w:t>
            </w:r>
          </w:p>
        </w:tc>
      </w:tr>
      <w:tr w:rsidR="00F44157" w:rsidRPr="00636F57" w14:paraId="4AFD1E64" w14:textId="77777777" w:rsidTr="00986AF2">
        <w:trPr>
          <w:trHeight w:val="740"/>
        </w:trPr>
        <w:tc>
          <w:tcPr>
            <w:tcW w:w="1660" w:type="pct"/>
            <w:gridSpan w:val="2"/>
            <w:tcBorders>
              <w:top w:val="nil"/>
              <w:left w:val="single" w:sz="8" w:space="0" w:color="000000"/>
              <w:bottom w:val="single" w:sz="8" w:space="0" w:color="000000"/>
              <w:right w:val="single" w:sz="8" w:space="0" w:color="000000"/>
            </w:tcBorders>
            <w:shd w:val="clear" w:color="auto" w:fill="auto"/>
            <w:tcMar>
              <w:left w:w="70" w:type="dxa"/>
              <w:right w:w="70" w:type="dxa"/>
            </w:tcMar>
            <w:vAlign w:val="center"/>
          </w:tcPr>
          <w:p w14:paraId="56D43A2E" w14:textId="77777777" w:rsidR="00F44157" w:rsidRPr="00636F57" w:rsidRDefault="00333557" w:rsidP="0025459A">
            <w:pPr>
              <w:rPr>
                <w:szCs w:val="22"/>
              </w:rPr>
            </w:pPr>
            <w:r w:rsidRPr="00636F57">
              <w:rPr>
                <w:szCs w:val="22"/>
              </w:rPr>
              <w:t>Non-material NCP: Index of Linguistic Diversity (ILD)</w:t>
            </w:r>
          </w:p>
        </w:tc>
        <w:tc>
          <w:tcPr>
            <w:tcW w:w="737" w:type="pct"/>
            <w:gridSpan w:val="2"/>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26C8CA2F" w14:textId="77777777" w:rsidR="00F44157" w:rsidRPr="00636F57" w:rsidRDefault="00333557" w:rsidP="0025459A">
            <w:pPr>
              <w:jc w:val="center"/>
              <w:rPr>
                <w:szCs w:val="22"/>
              </w:rPr>
            </w:pPr>
            <w:r w:rsidRPr="00636F57">
              <w:rPr>
                <w:szCs w:val="22"/>
              </w:rPr>
              <w:t>S,P</w:t>
            </w:r>
          </w:p>
        </w:tc>
        <w:tc>
          <w:tcPr>
            <w:tcW w:w="1813" w:type="pct"/>
            <w:gridSpan w:val="3"/>
            <w:tcBorders>
              <w:top w:val="single" w:sz="8" w:space="0" w:color="000000"/>
              <w:left w:val="nil"/>
              <w:bottom w:val="single" w:sz="8" w:space="0" w:color="000000"/>
              <w:right w:val="single" w:sz="8" w:space="0" w:color="000000"/>
            </w:tcBorders>
            <w:shd w:val="clear" w:color="auto" w:fill="auto"/>
            <w:tcMar>
              <w:left w:w="70" w:type="dxa"/>
              <w:right w:w="70" w:type="dxa"/>
            </w:tcMar>
            <w:vAlign w:val="center"/>
          </w:tcPr>
          <w:p w14:paraId="0001395B" w14:textId="77777777" w:rsidR="00F44157" w:rsidRPr="00636F57" w:rsidRDefault="00333557" w:rsidP="0025459A">
            <w:pPr>
              <w:jc w:val="center"/>
              <w:rPr>
                <w:szCs w:val="22"/>
              </w:rPr>
            </w:pPr>
            <w:r w:rsidRPr="00636F57">
              <w:rPr>
                <w:szCs w:val="22"/>
              </w:rPr>
              <w:t>NCP, IGID</w:t>
            </w:r>
          </w:p>
        </w:tc>
        <w:tc>
          <w:tcPr>
            <w:tcW w:w="790" w:type="pct"/>
            <w:tcBorders>
              <w:top w:val="nil"/>
              <w:left w:val="nil"/>
              <w:bottom w:val="single" w:sz="8" w:space="0" w:color="000000"/>
              <w:right w:val="single" w:sz="8" w:space="0" w:color="000000"/>
            </w:tcBorders>
            <w:shd w:val="clear" w:color="auto" w:fill="auto"/>
            <w:tcMar>
              <w:left w:w="70" w:type="dxa"/>
              <w:right w:w="70" w:type="dxa"/>
            </w:tcMar>
            <w:vAlign w:val="center"/>
          </w:tcPr>
          <w:p w14:paraId="4A020816" w14:textId="77777777" w:rsidR="00F44157" w:rsidRPr="00636F57" w:rsidRDefault="00333557" w:rsidP="0025459A">
            <w:pPr>
              <w:rPr>
                <w:szCs w:val="22"/>
              </w:rPr>
            </w:pPr>
            <w:r w:rsidRPr="00636F57">
              <w:rPr>
                <w:szCs w:val="22"/>
              </w:rPr>
              <w:t>UNESCO</w:t>
            </w:r>
          </w:p>
        </w:tc>
      </w:tr>
    </w:tbl>
    <w:p w14:paraId="6B83C754" w14:textId="77777777" w:rsidR="00F44157" w:rsidRPr="008608AA" w:rsidRDefault="00333557" w:rsidP="0025459A">
      <w:pPr>
        <w:spacing w:line="276" w:lineRule="auto"/>
        <w:rPr>
          <w:sz w:val="20"/>
          <w:szCs w:val="20"/>
        </w:rPr>
      </w:pPr>
      <w:r w:rsidRPr="008608AA">
        <w:rPr>
          <w:sz w:val="20"/>
          <w:szCs w:val="20"/>
        </w:rPr>
        <w:t>* DPSIR – D: Drivers, P: Pressure, S: Status, I: Impact, R: Response</w:t>
      </w:r>
    </w:p>
    <w:p w14:paraId="3982DC06" w14:textId="77777777" w:rsidR="00F44157" w:rsidRPr="008608AA" w:rsidRDefault="00333557" w:rsidP="0025459A">
      <w:pPr>
        <w:spacing w:line="276" w:lineRule="auto"/>
        <w:rPr>
          <w:sz w:val="20"/>
          <w:szCs w:val="20"/>
        </w:rPr>
      </w:pPr>
      <w:r w:rsidRPr="008608AA">
        <w:rPr>
          <w:sz w:val="20"/>
          <w:szCs w:val="20"/>
        </w:rPr>
        <w:t>** CF (Conceptual Framework) – DD: direct driver, NCP: nature’s contributions to people/ ecosystem goods and services, /biodiversity and ecosystem functions, IGID: institutions, governance and other indirect drivers, GQL: good quality of life/human well-being</w:t>
      </w:r>
    </w:p>
    <w:p w14:paraId="6C3FAB6B" w14:textId="63FA9908" w:rsidR="00F44157" w:rsidRPr="008608AA" w:rsidRDefault="00282C6C" w:rsidP="0025459A">
      <w:pPr>
        <w:rPr>
          <w:sz w:val="20"/>
          <w:szCs w:val="20"/>
        </w:rPr>
      </w:pPr>
      <w:r w:rsidRPr="008608AA">
        <w:rPr>
          <w:sz w:val="20"/>
          <w:szCs w:val="20"/>
        </w:rPr>
        <w:t>Source: IPBES (</w:t>
      </w:r>
      <w:r w:rsidR="00333557" w:rsidRPr="008608AA">
        <w:rPr>
          <w:sz w:val="20"/>
          <w:szCs w:val="20"/>
        </w:rPr>
        <w:t>2017b</w:t>
      </w:r>
      <w:r w:rsidRPr="008608AA">
        <w:rPr>
          <w:sz w:val="20"/>
          <w:szCs w:val="20"/>
        </w:rPr>
        <w:t>)</w:t>
      </w:r>
      <w:r w:rsidR="00333557" w:rsidRPr="008608AA">
        <w:rPr>
          <w:sz w:val="20"/>
          <w:szCs w:val="20"/>
        </w:rPr>
        <w:t xml:space="preserve"> and </w:t>
      </w:r>
      <w:hyperlink r:id="rId29">
        <w:r w:rsidR="00333557" w:rsidRPr="008608AA">
          <w:rPr>
            <w:color w:val="0000FF"/>
            <w:sz w:val="20"/>
            <w:szCs w:val="20"/>
            <w:u w:val="single"/>
          </w:rPr>
          <w:t>https://www.ipbes.net/indicators/socioeconomic</w:t>
        </w:r>
      </w:hyperlink>
      <w:r w:rsidR="00333557" w:rsidRPr="008608AA">
        <w:rPr>
          <w:sz w:val="20"/>
          <w:szCs w:val="20"/>
        </w:rPr>
        <w:t xml:space="preserve"> </w:t>
      </w:r>
    </w:p>
    <w:p w14:paraId="18B77A97" w14:textId="77777777" w:rsidR="00B50F8F" w:rsidRPr="008608AA" w:rsidRDefault="00B50F8F" w:rsidP="0025459A">
      <w:pPr>
        <w:rPr>
          <w:sz w:val="20"/>
          <w:szCs w:val="20"/>
        </w:rPr>
      </w:pPr>
    </w:p>
    <w:p w14:paraId="51E6B311" w14:textId="69E73806" w:rsidR="00B50F8F" w:rsidRPr="008608AA" w:rsidRDefault="00B50F8F" w:rsidP="0025459A">
      <w:pPr>
        <w:rPr>
          <w:sz w:val="20"/>
          <w:szCs w:val="20"/>
        </w:rPr>
      </w:pPr>
      <w:r w:rsidRPr="008608AA">
        <w:rPr>
          <w:sz w:val="20"/>
          <w:szCs w:val="20"/>
        </w:rPr>
        <w:br w:type="page"/>
      </w:r>
    </w:p>
    <w:p w14:paraId="665D25BB" w14:textId="77777777" w:rsidR="00B50F8F" w:rsidRPr="008608AA" w:rsidRDefault="00B50F8F" w:rsidP="0025459A">
      <w:pPr>
        <w:rPr>
          <w:sz w:val="20"/>
          <w:szCs w:val="20"/>
        </w:rPr>
      </w:pPr>
    </w:p>
    <w:p w14:paraId="61A00E85" w14:textId="2A1AA799" w:rsidR="00F44157" w:rsidRPr="008608AA" w:rsidRDefault="00333557">
      <w:pPr>
        <w:pStyle w:val="Heading3"/>
      </w:pPr>
      <w:bookmarkStart w:id="539" w:name="_Toc502908192"/>
      <w:bookmarkStart w:id="540" w:name="_Toc502927282"/>
      <w:bookmarkStart w:id="541" w:name="_Toc502951118"/>
      <w:bookmarkStart w:id="542" w:name="_Toc502953561"/>
      <w:bookmarkStart w:id="543" w:name="_Toc502954854"/>
      <w:bookmarkStart w:id="544" w:name="_Toc502957661"/>
      <w:bookmarkStart w:id="545" w:name="_Toc502958014"/>
      <w:bookmarkStart w:id="546" w:name="_Toc503293658"/>
      <w:bookmarkStart w:id="547" w:name="_Toc503293920"/>
      <w:bookmarkStart w:id="548" w:name="_Toc503863313"/>
      <w:bookmarkStart w:id="549" w:name="_Toc503863541"/>
      <w:bookmarkStart w:id="550" w:name="_Toc517391841"/>
      <w:bookmarkStart w:id="551" w:name="_Toc517393235"/>
      <w:bookmarkStart w:id="552" w:name="_Toc517718976"/>
      <w:bookmarkStart w:id="553" w:name="_Toc517796933"/>
      <w:r w:rsidRPr="008608AA">
        <w:t>Process for the production of the Americas assessment report</w:t>
      </w:r>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p>
    <w:p w14:paraId="62C27971" w14:textId="7D60D928" w:rsidR="00B50F8F" w:rsidRPr="008608AA" w:rsidRDefault="000C4622" w:rsidP="0025459A">
      <w:pPr>
        <w:spacing w:before="120"/>
      </w:pPr>
      <w:bookmarkStart w:id="554" w:name="_1egqt2p" w:colFirst="0" w:colLast="0"/>
      <w:bookmarkEnd w:id="554"/>
      <w:r w:rsidRPr="008608AA">
        <w:rPr>
          <w:noProof/>
          <w:lang w:val="en-GB" w:eastAsia="en-GB"/>
        </w:rPr>
        <w:drawing>
          <wp:inline distT="0" distB="0" distL="0" distR="0" wp14:anchorId="2A2A66D9" wp14:editId="1C7E13FA">
            <wp:extent cx="5934075" cy="3429000"/>
            <wp:effectExtent l="0" t="0" r="9525" b="0"/>
            <wp:docPr id="11" name="Imagen 11" descr="C:\Users\Alejandro Valderrama\Downloads\Fig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Alejandro Valderrama\Downloads\Fig1.12.jpg"/>
                    <pic:cNvPicPr>
                      <a:picLocks noChangeAspect="1" noChangeArrowheads="1"/>
                    </pic:cNvPicPr>
                  </pic:nvPicPr>
                  <pic:blipFill rotWithShape="1">
                    <a:blip r:embed="rId30">
                      <a:extLst>
                        <a:ext uri="{28A0092B-C50C-407E-A947-70E740481C1C}">
                          <a14:useLocalDpi xmlns:a14="http://schemas.microsoft.com/office/drawing/2010/main" val="0"/>
                        </a:ext>
                      </a:extLst>
                    </a:blip>
                    <a:srcRect b="59911"/>
                    <a:stretch/>
                  </pic:blipFill>
                  <pic:spPr bwMode="auto">
                    <a:xfrm>
                      <a:off x="0" y="0"/>
                      <a:ext cx="5934075" cy="3429000"/>
                    </a:xfrm>
                    <a:prstGeom prst="rect">
                      <a:avLst/>
                    </a:prstGeom>
                    <a:noFill/>
                    <a:ln>
                      <a:noFill/>
                    </a:ln>
                    <a:extLst>
                      <a:ext uri="{53640926-AAD7-44D8-BBD7-CCE9431645EC}">
                        <a14:shadowObscured xmlns:a14="http://schemas.microsoft.com/office/drawing/2010/main"/>
                      </a:ext>
                    </a:extLst>
                  </pic:spPr>
                </pic:pic>
              </a:graphicData>
            </a:graphic>
          </wp:inline>
        </w:drawing>
      </w:r>
    </w:p>
    <w:p w14:paraId="59B9CFB9" w14:textId="5F18E24E" w:rsidR="00B50F8F" w:rsidRPr="008608AA" w:rsidRDefault="00B50F8F" w:rsidP="0025459A">
      <w:pPr>
        <w:spacing w:before="120"/>
      </w:pPr>
      <w:r w:rsidRPr="008608AA">
        <w:br w:type="textWrapping" w:clear="all"/>
      </w:r>
    </w:p>
    <w:p w14:paraId="690DF33E" w14:textId="24938A51" w:rsidR="00F44157" w:rsidRPr="008608AA" w:rsidRDefault="002D7EEC" w:rsidP="00B50F8F">
      <w:pPr>
        <w:spacing w:before="120"/>
      </w:pPr>
      <w:r w:rsidRPr="008608AA">
        <w:t>This Assessment R</w:t>
      </w:r>
      <w:r w:rsidR="00333557" w:rsidRPr="008608AA">
        <w:t>eport is the result of a four-year process containing five phases (Figure 1.12) and involving more than one hundred experts. At the beginning of 2015 - during the IPBES-3 Plenary - the scope, geographic area, rationale, u</w:t>
      </w:r>
      <w:r w:rsidRPr="008608AA">
        <w:t>tility and assumptions of this A</w:t>
      </w:r>
      <w:r w:rsidR="00333557" w:rsidRPr="008608AA">
        <w:t>ssessment were agreed and approved. Then the process of call and selection of experts (until April 2015) resulted in 92 experts from 20 countries. In addition, through the Technical Support Unit Capacity Building, a pilot program for young researchers was carried out and 6 fellows were selected throughout the continent (one fellow for each chapter).</w:t>
      </w:r>
    </w:p>
    <w:p w14:paraId="57397D7E" w14:textId="1BD7EF87" w:rsidR="005237BC" w:rsidRPr="008608AA" w:rsidRDefault="00333557" w:rsidP="00B50F8F">
      <w:pPr>
        <w:spacing w:before="120" w:after="120"/>
      </w:pPr>
      <w:r w:rsidRPr="008608AA">
        <w:t>During March 2015 to March 2018 the experts wor</w:t>
      </w:r>
      <w:r w:rsidR="002D7EEC" w:rsidRPr="008608AA">
        <w:t>ked on the elaboration of this R</w:t>
      </w:r>
      <w:r w:rsidRPr="008608AA">
        <w:t>eport, which encompassed the preparation of two drafts (which were submitted for external review by experts and governments). After the second draft, a selec</w:t>
      </w:r>
      <w:r w:rsidR="009660C5" w:rsidRPr="008608AA">
        <w:t>tion of experts working on the Regional A</w:t>
      </w:r>
      <w:r w:rsidRPr="008608AA">
        <w:t>ssessment also worked in the construction of the summaries for policymakers. The process will conclude with the presentation of the Americas Assessment and Summary for Policy Makers for approval by the sixth session of the IPBES Plenary (IPBES-6) held in Medellin, Colombia in March 2018.</w:t>
      </w:r>
      <w:r w:rsidR="005237BC" w:rsidRPr="008608AA">
        <w:br w:type="page"/>
      </w:r>
    </w:p>
    <w:p w14:paraId="53904129" w14:textId="77777777" w:rsidR="00F44157" w:rsidRPr="008608AA" w:rsidRDefault="00333557" w:rsidP="00CE2170">
      <w:pPr>
        <w:pStyle w:val="Heading2"/>
      </w:pPr>
      <w:bookmarkStart w:id="555" w:name="_Toc502908193"/>
      <w:bookmarkStart w:id="556" w:name="_Toc502927283"/>
      <w:bookmarkStart w:id="557" w:name="_Toc502951119"/>
      <w:bookmarkStart w:id="558" w:name="_Toc502953562"/>
      <w:bookmarkStart w:id="559" w:name="_Toc502954855"/>
      <w:bookmarkStart w:id="560" w:name="_Toc502957662"/>
      <w:bookmarkStart w:id="561" w:name="_Toc502958015"/>
      <w:bookmarkStart w:id="562" w:name="_Toc503293659"/>
      <w:bookmarkStart w:id="563" w:name="_Toc503293921"/>
      <w:bookmarkStart w:id="564" w:name="_Toc503863314"/>
      <w:bookmarkStart w:id="565" w:name="_Toc503863542"/>
      <w:bookmarkStart w:id="566" w:name="_Toc517718977"/>
      <w:bookmarkStart w:id="567" w:name="_Toc517796934"/>
      <w:bookmarkStart w:id="568" w:name="_Toc517391842"/>
      <w:bookmarkStart w:id="569" w:name="_Toc517393236"/>
      <w:r w:rsidRPr="008608AA">
        <w:t>References</w:t>
      </w:r>
      <w:bookmarkEnd w:id="555"/>
      <w:bookmarkEnd w:id="556"/>
      <w:bookmarkEnd w:id="557"/>
      <w:bookmarkEnd w:id="558"/>
      <w:bookmarkEnd w:id="559"/>
      <w:bookmarkEnd w:id="560"/>
      <w:bookmarkEnd w:id="561"/>
      <w:bookmarkEnd w:id="562"/>
      <w:bookmarkEnd w:id="563"/>
      <w:bookmarkEnd w:id="564"/>
      <w:bookmarkEnd w:id="565"/>
      <w:bookmarkEnd w:id="566"/>
      <w:bookmarkEnd w:id="567"/>
      <w:r w:rsidRPr="008608AA">
        <w:t xml:space="preserve"> </w:t>
      </w:r>
      <w:bookmarkEnd w:id="568"/>
      <w:bookmarkEnd w:id="569"/>
    </w:p>
    <w:p w14:paraId="602C0800" w14:textId="77777777" w:rsidR="00175B47" w:rsidRPr="008608AA" w:rsidRDefault="00175B47" w:rsidP="00E30489">
      <w:pPr>
        <w:ind w:left="779" w:hangingChars="354" w:hanging="779"/>
        <w:contextualSpacing/>
      </w:pPr>
      <w:r w:rsidRPr="008608AA">
        <w:rPr>
          <w:lang w:val="de-DE"/>
        </w:rPr>
        <w:t xml:space="preserve">Aide, T. M., &amp; Grau, H. R. 2004). </w:t>
      </w:r>
      <w:r w:rsidRPr="008608AA">
        <w:t xml:space="preserve">Globalization, migration, and Latin American ecosystems. </w:t>
      </w:r>
      <w:r w:rsidRPr="008608AA">
        <w:rPr>
          <w:i/>
        </w:rPr>
        <w:t>Science</w:t>
      </w:r>
      <w:r w:rsidRPr="008608AA">
        <w:t>, 305(5692), 1915-1916.</w:t>
      </w:r>
    </w:p>
    <w:p w14:paraId="143BD6AC" w14:textId="77777777" w:rsidR="00175B47" w:rsidRPr="008608AA" w:rsidRDefault="00175B47" w:rsidP="00E30489">
      <w:pPr>
        <w:ind w:left="779" w:hangingChars="354" w:hanging="779"/>
        <w:contextualSpacing/>
      </w:pPr>
      <w:r w:rsidRPr="008608AA">
        <w:t xml:space="preserve">Altieri, M. A., &amp; Toledo, V. M. (2011). The agroecological revolution in Latin America: rescuing nature, ensuring food sovereignty and empowering peasants. </w:t>
      </w:r>
      <w:r w:rsidRPr="008608AA">
        <w:rPr>
          <w:i/>
        </w:rPr>
        <w:t>Journal of Peasant Studies</w:t>
      </w:r>
      <w:r w:rsidRPr="008608AA">
        <w:t>, 38(3), 587-612.</w:t>
      </w:r>
    </w:p>
    <w:p w14:paraId="56A742D3" w14:textId="77777777" w:rsidR="00175B47" w:rsidRPr="008608AA" w:rsidRDefault="00175B47" w:rsidP="00E30489">
      <w:pPr>
        <w:ind w:left="779" w:hangingChars="354" w:hanging="779"/>
        <w:contextualSpacing/>
      </w:pPr>
      <w:r w:rsidRPr="008608AA">
        <w:t xml:space="preserve">Alvarez-Filip, L., Dulvy, N. K., Gill, J. A., Côté, I. M., &amp; Watkinson, A. R. (2009). Flattening of Caribbean coral reefs: region-wide declines in architectural complexity. </w:t>
      </w:r>
      <w:r w:rsidRPr="008608AA">
        <w:rPr>
          <w:i/>
        </w:rPr>
        <w:t>Proceedings of the Royal Society of London B: Biological Sciences</w:t>
      </w:r>
      <w:r w:rsidRPr="008608AA">
        <w:t>, 276(1669), 3019-3025.</w:t>
      </w:r>
    </w:p>
    <w:p w14:paraId="69BB7749" w14:textId="77777777" w:rsidR="00175B47" w:rsidRPr="008608AA" w:rsidRDefault="00175B47" w:rsidP="00E30489">
      <w:pPr>
        <w:ind w:left="779" w:hangingChars="354" w:hanging="779"/>
        <w:contextualSpacing/>
      </w:pPr>
      <w:r w:rsidRPr="008608AA">
        <w:t>Amerindian Peoples Association (2017). Land and Territorial Rights. Retrieved from http://apaguyana.weebly.com/land-and-territorial-rights.html.</w:t>
      </w:r>
    </w:p>
    <w:p w14:paraId="57DC152B" w14:textId="77777777" w:rsidR="00175B47" w:rsidRPr="008608AA" w:rsidRDefault="00175B47" w:rsidP="00E30489">
      <w:pPr>
        <w:widowControl w:val="0"/>
        <w:ind w:left="779" w:hangingChars="354" w:hanging="779"/>
        <w:contextualSpacing/>
      </w:pPr>
      <w:r w:rsidRPr="008608AA">
        <w:rPr>
          <w:lang w:val="es-CO"/>
        </w:rPr>
        <w:t xml:space="preserve">Anderson-Teixeira, K. J., Snyder, P. K., Twine, T. E., Cuadra, S. V., Costa, M. H., &amp; DeLucia, E. H. (2012). </w:t>
      </w:r>
      <w:r w:rsidRPr="008608AA">
        <w:t xml:space="preserve">Climate-regulation services of natural and agricultural ecoregions of the Americas. </w:t>
      </w:r>
      <w:r w:rsidRPr="008608AA">
        <w:rPr>
          <w:i/>
        </w:rPr>
        <w:t>Nature Climate Change</w:t>
      </w:r>
      <w:r w:rsidRPr="008608AA">
        <w:t xml:space="preserve">, </w:t>
      </w:r>
      <w:r w:rsidRPr="008608AA">
        <w:rPr>
          <w:i/>
        </w:rPr>
        <w:t>2</w:t>
      </w:r>
      <w:r w:rsidRPr="008608AA">
        <w:t xml:space="preserve">(3), 177–181. </w:t>
      </w:r>
    </w:p>
    <w:p w14:paraId="3124F0CF" w14:textId="77777777" w:rsidR="00175B47" w:rsidRPr="008608AA" w:rsidRDefault="00175B47" w:rsidP="00E30489">
      <w:pPr>
        <w:widowControl w:val="0"/>
        <w:ind w:left="779" w:hangingChars="354" w:hanging="779"/>
        <w:contextualSpacing/>
      </w:pPr>
      <w:r w:rsidRPr="008608AA">
        <w:t xml:space="preserve">Arriagada, R. A., Ferraro, P. J., Sills, E. O., Pattanayak, S. K., &amp; Cordero-Sancho, S. (2012). Do Payments for Environmental Services Affect Forest Cover? A Farm-Level Evaluation from Costa Rica. </w:t>
      </w:r>
      <w:r w:rsidRPr="008608AA">
        <w:rPr>
          <w:i/>
        </w:rPr>
        <w:t>Land Economics</w:t>
      </w:r>
      <w:r w:rsidRPr="008608AA">
        <w:t xml:space="preserve">, </w:t>
      </w:r>
      <w:r w:rsidRPr="008608AA">
        <w:rPr>
          <w:i/>
        </w:rPr>
        <w:t>88</w:t>
      </w:r>
      <w:r w:rsidRPr="008608AA">
        <w:t xml:space="preserve">(2), 382–399. </w:t>
      </w:r>
    </w:p>
    <w:p w14:paraId="7136F509" w14:textId="77777777" w:rsidR="00175B47" w:rsidRPr="008608AA" w:rsidRDefault="00175B47" w:rsidP="00E30489">
      <w:pPr>
        <w:widowControl w:val="0"/>
        <w:autoSpaceDE w:val="0"/>
        <w:autoSpaceDN w:val="0"/>
        <w:adjustRightInd w:val="0"/>
        <w:ind w:left="779" w:hangingChars="354" w:hanging="779"/>
        <w:rPr>
          <w:noProof/>
        </w:rPr>
      </w:pPr>
      <w:r w:rsidRPr="008608AA">
        <w:rPr>
          <w:noProof/>
        </w:rPr>
        <w:t xml:space="preserve">Ash, N., Blanco, H., Brown, C., Garcia, K., Henrichs, T., Lucas, N., Ruadsepp-Heane, C., Simpson, R. D., Scholes, R., Tomich, T., Vira, B., &amp; Zurek, M. (2010). </w:t>
      </w:r>
      <w:r w:rsidRPr="008608AA">
        <w:rPr>
          <w:i/>
          <w:iCs/>
          <w:noProof/>
        </w:rPr>
        <w:t>Ecosystems and human well-being : a manual for assessment practitioners.</w:t>
      </w:r>
      <w:r w:rsidRPr="008608AA">
        <w:rPr>
          <w:noProof/>
        </w:rPr>
        <w:t xml:space="preserve"> Washington DC: Island Press. Retrieved from http://www.ecosystemassessments.net/resources/ecosystems-and-human-well-being-a-manual-for-assessment-practitioners.pdf</w:t>
      </w:r>
    </w:p>
    <w:p w14:paraId="6463512E" w14:textId="77777777" w:rsidR="00175B47" w:rsidRPr="008608AA" w:rsidRDefault="00175B47" w:rsidP="00E30489">
      <w:pPr>
        <w:ind w:left="779" w:hangingChars="354" w:hanging="779"/>
        <w:contextualSpacing/>
      </w:pPr>
      <w:r w:rsidRPr="008608AA">
        <w:rPr>
          <w:lang w:val="pt-BR"/>
        </w:rPr>
        <w:t xml:space="preserve">Barral, M. P., Rey Benayas, J. M., Meli, P., &amp; Maceira, N. O. (2015). </w:t>
      </w:r>
      <w:r w:rsidRPr="008608AA">
        <w:t xml:space="preserve">Quantifying the impacts of ecological restoration on biodiversity and ecosystem services in agroecosystems: A global meta-analysis. Agriculture, Ecosystems &amp; Environment, 202, 223–231. </w:t>
      </w:r>
    </w:p>
    <w:p w14:paraId="512E35BD" w14:textId="77777777" w:rsidR="00175B47" w:rsidRPr="008608AA" w:rsidRDefault="00175B47" w:rsidP="00E30489">
      <w:pPr>
        <w:widowControl w:val="0"/>
        <w:autoSpaceDE w:val="0"/>
        <w:autoSpaceDN w:val="0"/>
        <w:adjustRightInd w:val="0"/>
        <w:ind w:left="779" w:hangingChars="354" w:hanging="779"/>
        <w:rPr>
          <w:noProof/>
        </w:rPr>
      </w:pPr>
      <w:r w:rsidRPr="008608AA">
        <w:rPr>
          <w:noProof/>
        </w:rPr>
        <w:t xml:space="preserve">Baylis, K., Honey-Rosés, J., Börner, J., Corbera, E., Ezzine-de-Blas, D., Ferraro, P. J., Lapeyre, R., Persson, U. M., Pfaff, A., &amp; Wunder, S. (2016). Mainstreaming Impact Evaluation in Nature Conservation. </w:t>
      </w:r>
      <w:r w:rsidRPr="008608AA">
        <w:rPr>
          <w:i/>
          <w:iCs/>
          <w:noProof/>
        </w:rPr>
        <w:t>Conservation Letters</w:t>
      </w:r>
      <w:r w:rsidRPr="008608AA">
        <w:rPr>
          <w:noProof/>
        </w:rPr>
        <w:t xml:space="preserve">, </w:t>
      </w:r>
      <w:r w:rsidRPr="008608AA">
        <w:rPr>
          <w:i/>
          <w:iCs/>
          <w:noProof/>
        </w:rPr>
        <w:t>9</w:t>
      </w:r>
      <w:r w:rsidRPr="008608AA">
        <w:rPr>
          <w:noProof/>
        </w:rPr>
        <w:t xml:space="preserve">(1), 58–64. </w:t>
      </w:r>
    </w:p>
    <w:p w14:paraId="74D0804E" w14:textId="77777777" w:rsidR="00175B47" w:rsidRPr="008608AA" w:rsidRDefault="00175B47" w:rsidP="00E30489">
      <w:pPr>
        <w:widowControl w:val="0"/>
        <w:ind w:left="779" w:hangingChars="354" w:hanging="779"/>
        <w:contextualSpacing/>
      </w:pPr>
      <w:r w:rsidRPr="008608AA">
        <w:rPr>
          <w:lang w:val="de-DE"/>
        </w:rPr>
        <w:t xml:space="preserve">Bazile, D., Jacobsen, S.-E., &amp; Verniau, A. (2016). </w:t>
      </w:r>
      <w:r w:rsidRPr="008608AA">
        <w:t xml:space="preserve">The Global Expansion of Quinoa: Trends and Limits. </w:t>
      </w:r>
      <w:r w:rsidRPr="008608AA">
        <w:rPr>
          <w:i/>
        </w:rPr>
        <w:t>Frontiers in Plant Science</w:t>
      </w:r>
      <w:r w:rsidRPr="008608AA">
        <w:t xml:space="preserve">, </w:t>
      </w:r>
      <w:r w:rsidRPr="008608AA">
        <w:rPr>
          <w:i/>
        </w:rPr>
        <w:t>7</w:t>
      </w:r>
      <w:r w:rsidRPr="008608AA">
        <w:t xml:space="preserve">, 622. </w:t>
      </w:r>
    </w:p>
    <w:p w14:paraId="7DD718B5" w14:textId="77777777" w:rsidR="00175B47" w:rsidRPr="008608AA" w:rsidRDefault="00175B47" w:rsidP="00E30489">
      <w:pPr>
        <w:ind w:left="779" w:hangingChars="354" w:hanging="779"/>
        <w:contextualSpacing/>
      </w:pPr>
      <w:r w:rsidRPr="008608AA">
        <w:t xml:space="preserve">Beard, J. S. (1944). Climax Vegetation in Tropical America. </w:t>
      </w:r>
      <w:r w:rsidRPr="008608AA">
        <w:rPr>
          <w:i/>
        </w:rPr>
        <w:t>Ecology</w:t>
      </w:r>
      <w:r w:rsidRPr="008608AA">
        <w:t xml:space="preserve">, </w:t>
      </w:r>
      <w:r w:rsidRPr="008608AA">
        <w:rPr>
          <w:i/>
        </w:rPr>
        <w:t>25</w:t>
      </w:r>
      <w:r w:rsidRPr="008608AA">
        <w:t>(2), 127–158.</w:t>
      </w:r>
    </w:p>
    <w:p w14:paraId="3FDBD901" w14:textId="77777777" w:rsidR="00175B47" w:rsidRPr="008608AA" w:rsidRDefault="00175B47" w:rsidP="00E30489">
      <w:pPr>
        <w:ind w:left="779" w:hangingChars="354" w:hanging="779"/>
        <w:contextualSpacing/>
      </w:pPr>
      <w:r w:rsidRPr="008608AA">
        <w:t xml:space="preserve">Beddow, J. M., Pardey, P. G., Koo, J., &amp; Wood, S. (2010). The changing landscape of global agriculture. In J. M. Alston, B. A. Babcock, &amp; P. G. Pardey (Eds.), The Midwest Agribusiness Trade Research and Information Center Iowa State University. Ames, Iowa. </w:t>
      </w:r>
    </w:p>
    <w:p w14:paraId="7020E1F0" w14:textId="77777777" w:rsidR="00175B47" w:rsidRPr="008608AA" w:rsidRDefault="00175B47" w:rsidP="00E30489">
      <w:pPr>
        <w:widowControl w:val="0"/>
        <w:autoSpaceDE w:val="0"/>
        <w:autoSpaceDN w:val="0"/>
        <w:adjustRightInd w:val="0"/>
        <w:ind w:left="779" w:hangingChars="354" w:hanging="779"/>
        <w:rPr>
          <w:noProof/>
        </w:rPr>
      </w:pPr>
      <w:r w:rsidRPr="008608AA">
        <w:rPr>
          <w:noProof/>
        </w:rPr>
        <w:t>Bennett, E. M., Lazos, E., Woodward, G., Bennett, E. M., Cramer, W., Begossi, A., Egoh, B. N., Cundill, G., Dı, S., Geijzendorffer, I. R., Krug, C. B., Lavorel, S., Meyfroidt, P., Mooney, H. A., Nel, J. L., Pascual, U., &amp; Payet, K. (2015). Linking biodiversity, ecosystem services , and human well-being : three challenges for designing research for sustainability ScienceDirect Linking biodiversity, ecosystem services, and human Anne-He, (JUNE), 76–85. https://doi.org/10.1016/j.cosust.2015.03.007</w:t>
      </w:r>
    </w:p>
    <w:p w14:paraId="3888A794" w14:textId="77777777" w:rsidR="00175B47" w:rsidRPr="008608AA" w:rsidRDefault="00175B47" w:rsidP="00E30489">
      <w:pPr>
        <w:ind w:left="779" w:hangingChars="354" w:hanging="779"/>
        <w:contextualSpacing/>
      </w:pPr>
      <w:r w:rsidRPr="008608AA">
        <w:t xml:space="preserve">Bennett, E. M., Peterson, G. D., &amp; Gordon, L. J. (2009). Understanding relationships among multiple ecosystem services. </w:t>
      </w:r>
      <w:r w:rsidRPr="008608AA">
        <w:rPr>
          <w:i/>
        </w:rPr>
        <w:t>Ecology Letters</w:t>
      </w:r>
      <w:r w:rsidRPr="008608AA">
        <w:t>, 12(12), 1394-1404.</w:t>
      </w:r>
    </w:p>
    <w:p w14:paraId="6D91A81D" w14:textId="77777777" w:rsidR="00175B47" w:rsidRPr="008608AA" w:rsidRDefault="00175B47" w:rsidP="00E30489">
      <w:pPr>
        <w:widowControl w:val="0"/>
        <w:ind w:left="779" w:hangingChars="354" w:hanging="779"/>
        <w:contextualSpacing/>
        <w:rPr>
          <w:lang w:val="es-CO"/>
        </w:rPr>
      </w:pPr>
      <w:r w:rsidRPr="008608AA">
        <w:t xml:space="preserve">Bennett, G., Gallant, M., &amp; Ten Kate, K. (2017). </w:t>
      </w:r>
      <w:r w:rsidRPr="008608AA">
        <w:rPr>
          <w:i/>
        </w:rPr>
        <w:t>State of Biodiversity Mitigation 2017: Markets and Compensation for Global Infrastructure Development</w:t>
      </w:r>
      <w:r w:rsidRPr="008608AA">
        <w:t xml:space="preserve">. </w:t>
      </w:r>
      <w:r w:rsidRPr="008608AA">
        <w:rPr>
          <w:lang w:val="es-CO"/>
        </w:rPr>
        <w:t>Washington, D.C. https://doi.org/10.18235/0000675</w:t>
      </w:r>
    </w:p>
    <w:p w14:paraId="07EB4817" w14:textId="77777777" w:rsidR="00175B47" w:rsidRPr="008608AA" w:rsidRDefault="00175B47" w:rsidP="00E30489">
      <w:pPr>
        <w:ind w:left="779" w:hangingChars="354" w:hanging="779"/>
        <w:contextualSpacing/>
      </w:pPr>
      <w:r w:rsidRPr="008608AA">
        <w:rPr>
          <w:lang w:val="es-CO"/>
        </w:rPr>
        <w:t xml:space="preserve">Berbés-Blázquez, M., González, J. A., &amp; Pascual, U. (2016). </w:t>
      </w:r>
      <w:r w:rsidRPr="008608AA">
        <w:t xml:space="preserve">Towards an ecosystem services approach that addresses social power relations. </w:t>
      </w:r>
      <w:r w:rsidRPr="008608AA">
        <w:rPr>
          <w:i/>
        </w:rPr>
        <w:t>Current Opinion in Environmental Sustainability</w:t>
      </w:r>
      <w:r w:rsidRPr="008608AA">
        <w:t xml:space="preserve">, 19, 134-143. </w:t>
      </w:r>
    </w:p>
    <w:p w14:paraId="68394F07" w14:textId="77777777" w:rsidR="00175B47" w:rsidRPr="008608AA" w:rsidRDefault="00175B47" w:rsidP="00E30489">
      <w:pPr>
        <w:ind w:left="779" w:hangingChars="354" w:hanging="779"/>
        <w:contextualSpacing/>
      </w:pPr>
      <w:r w:rsidRPr="008608AA">
        <w:t>Berkes, F. (2012). Sacred ecology (Third). New York and London: Routledge Taylor &amp; Francis Group.</w:t>
      </w:r>
    </w:p>
    <w:p w14:paraId="7999B3FA" w14:textId="77777777" w:rsidR="00175B47" w:rsidRPr="008608AA" w:rsidRDefault="00175B47" w:rsidP="00E30489">
      <w:pPr>
        <w:widowControl w:val="0"/>
        <w:autoSpaceDE w:val="0"/>
        <w:autoSpaceDN w:val="0"/>
        <w:adjustRightInd w:val="0"/>
        <w:ind w:left="779" w:hangingChars="354" w:hanging="779"/>
        <w:rPr>
          <w:noProof/>
        </w:rPr>
      </w:pPr>
      <w:r w:rsidRPr="008608AA">
        <w:rPr>
          <w:noProof/>
        </w:rPr>
        <w:t xml:space="preserve">Bhaduri, A., Bogardi, J., Siddiqi, A., Voigt, H., Vörösmarty, C., Pahl-Wostl, C., Bunn, S. E., Shrivastava, P., Lawford, R., Foster, S., Kremer, H., Renaud, F. G., Bruns, A., &amp; Rodríguez Osuna, V. (2016). Achieving Sustainable Development Goals from a Water Perspective. </w:t>
      </w:r>
      <w:r w:rsidRPr="008608AA">
        <w:rPr>
          <w:i/>
          <w:iCs/>
          <w:noProof/>
        </w:rPr>
        <w:t>Frontiers in Environmental Science</w:t>
      </w:r>
      <w:r w:rsidRPr="008608AA">
        <w:rPr>
          <w:noProof/>
        </w:rPr>
        <w:t xml:space="preserve">, </w:t>
      </w:r>
      <w:r w:rsidRPr="008608AA">
        <w:rPr>
          <w:i/>
          <w:iCs/>
          <w:noProof/>
        </w:rPr>
        <w:t>4</w:t>
      </w:r>
      <w:r w:rsidRPr="008608AA">
        <w:rPr>
          <w:noProof/>
        </w:rPr>
        <w:t xml:space="preserve"> (64), 1</w:t>
      </w:r>
      <w:r w:rsidRPr="008608AA">
        <w:t>–13</w:t>
      </w:r>
      <w:r w:rsidRPr="008608AA">
        <w:rPr>
          <w:noProof/>
        </w:rPr>
        <w:t xml:space="preserve">. </w:t>
      </w:r>
    </w:p>
    <w:p w14:paraId="189A885E" w14:textId="77777777" w:rsidR="00175B47" w:rsidRPr="008608AA" w:rsidRDefault="00175B47" w:rsidP="00E30489">
      <w:pPr>
        <w:widowControl w:val="0"/>
        <w:ind w:left="779" w:hangingChars="354" w:hanging="779"/>
        <w:contextualSpacing/>
      </w:pPr>
      <w:r w:rsidRPr="008608AA">
        <w:t xml:space="preserve">Blaser, J., Sarre, A., Poore, D., &amp; Johnson, S. (2011). </w:t>
      </w:r>
      <w:r w:rsidRPr="008608AA">
        <w:rPr>
          <w:i/>
        </w:rPr>
        <w:t>Status of Tropical Forest Management report released | The International Tropical Timber Organization (ITTO)</w:t>
      </w:r>
      <w:r w:rsidRPr="008608AA">
        <w:t>. Yokohama. Retrieved from http://www.itto.int/news_releases/id=2663</w:t>
      </w:r>
    </w:p>
    <w:p w14:paraId="7B6E2C14" w14:textId="77777777" w:rsidR="00175B47" w:rsidRPr="008608AA" w:rsidRDefault="00175B47" w:rsidP="00E30489">
      <w:pPr>
        <w:widowControl w:val="0"/>
        <w:ind w:left="779" w:hangingChars="354" w:hanging="779"/>
        <w:contextualSpacing/>
      </w:pPr>
      <w:r w:rsidRPr="008608AA">
        <w:t xml:space="preserve">Boschetti, F., Walker, I., &amp; Price, J. (2016). Modelling and attitudes towards the future. </w:t>
      </w:r>
      <w:r w:rsidRPr="008608AA">
        <w:rPr>
          <w:i/>
        </w:rPr>
        <w:t>Ecological Modelling</w:t>
      </w:r>
      <w:r w:rsidRPr="008608AA">
        <w:t xml:space="preserve">, </w:t>
      </w:r>
      <w:r w:rsidRPr="008608AA">
        <w:rPr>
          <w:i/>
        </w:rPr>
        <w:t>322</w:t>
      </w:r>
      <w:r w:rsidRPr="008608AA">
        <w:t>, 71–81.</w:t>
      </w:r>
    </w:p>
    <w:p w14:paraId="4C9DE25E" w14:textId="77777777" w:rsidR="00175B47" w:rsidRPr="008608AA" w:rsidRDefault="00175B47" w:rsidP="00E30489">
      <w:pPr>
        <w:widowControl w:val="0"/>
        <w:ind w:left="779" w:hangingChars="354" w:hanging="779"/>
        <w:contextualSpacing/>
      </w:pPr>
      <w:r w:rsidRPr="008608AA">
        <w:t xml:space="preserve">Bruckner T., I.A. Bashmakov, Y. Mulugetta, H. Chum, A. de la Vega Navarro, J. Edmonds, A. Faaij, B. Fungtammasan, A. Garg, E. Hertwich, D. Honnery, D. Infield, M. Kainuma, S. Khennas, S. Kim, H.B. Nimir, K. Riahi, N. Strachan, R. Wiser, and X. Zhang. (2014). </w:t>
      </w:r>
      <w:r w:rsidRPr="008608AA">
        <w:rPr>
          <w:i/>
        </w:rPr>
        <w:t>Energy Systems</w:t>
      </w:r>
      <w:r w:rsidRPr="008608AA">
        <w:t xml:space="preserve">. In: </w:t>
      </w:r>
      <w:r w:rsidRPr="008608AA">
        <w:rPr>
          <w:i/>
        </w:rPr>
        <w:t>Climate Change 2014: Mitigation of Climate Change. Contribution of Working Group III to the Fifth Assessment Report of the Intergovernmental Panel on Climate Change</w:t>
      </w:r>
      <w:r w:rsidRPr="008608AA">
        <w:t xml:space="preserve"> [Edenhofer, O., R. Pichs-Madruga, Y. Sokona, E. Farahani, S. Kadner, K. Seyboth, A. Adler, I. Baum, S. Brunner, P. Eickemeier, B. Kriemann, J. Savolainen, S. Schlömer, C. von Stechow, T. Zwickel and J.C. Minx (eds.)]. Cambridge University Press, Cambridge, United Kingdom and New York, NY, USA.</w:t>
      </w:r>
    </w:p>
    <w:p w14:paraId="60020797" w14:textId="77777777" w:rsidR="00175B47" w:rsidRPr="008608AA" w:rsidRDefault="00175B47" w:rsidP="00E30489">
      <w:pPr>
        <w:ind w:left="779" w:hangingChars="354" w:hanging="779"/>
        <w:contextualSpacing/>
      </w:pPr>
      <w:r w:rsidRPr="008608AA">
        <w:t xml:space="preserve">Buonocore, J. J., Luckow, P., Norris, G., Spengler, J. D., Biewald, B., Fisher, J., &amp; Levy, J. I. (2015). Health and climate benefits of different energy-efficiency and renewable energy choices. </w:t>
      </w:r>
      <w:r w:rsidRPr="008608AA">
        <w:rPr>
          <w:i/>
        </w:rPr>
        <w:t>Nature Climate Change</w:t>
      </w:r>
      <w:r w:rsidRPr="008608AA">
        <w:t xml:space="preserve">, 6(1), 100–105. </w:t>
      </w:r>
    </w:p>
    <w:p w14:paraId="48EA04B8" w14:textId="77777777" w:rsidR="00175B47" w:rsidRPr="008608AA" w:rsidRDefault="00175B47" w:rsidP="00E30489">
      <w:pPr>
        <w:ind w:left="779" w:hangingChars="354" w:hanging="779"/>
        <w:contextualSpacing/>
      </w:pPr>
      <w:r w:rsidRPr="008608AA">
        <w:t xml:space="preserve">Buytaert, W., &amp; De Bièvre, B. (2012). Water for cities: The impact of climate change and demographic growth in the tropical Andes. </w:t>
      </w:r>
      <w:r w:rsidRPr="008608AA">
        <w:rPr>
          <w:i/>
        </w:rPr>
        <w:t>Water Resources Research</w:t>
      </w:r>
      <w:r w:rsidRPr="008608AA">
        <w:t xml:space="preserve">, 48(8), 1–13. </w:t>
      </w:r>
    </w:p>
    <w:p w14:paraId="54C3F104" w14:textId="77777777" w:rsidR="00175B47" w:rsidRPr="008608AA" w:rsidRDefault="00175B47" w:rsidP="00E30489">
      <w:pPr>
        <w:ind w:left="779" w:hangingChars="354" w:hanging="779"/>
        <w:contextualSpacing/>
      </w:pPr>
      <w:r w:rsidRPr="008608AA">
        <w:t>Campetella, C. M., &amp; Vera, C. S. (2002). The influence of the Andes mountains on the South American low</w:t>
      </w:r>
      <w:r w:rsidRPr="008608AA">
        <w:rPr>
          <w:rFonts w:ascii="Cambria Math" w:eastAsia="Calibri" w:hAnsi="Cambria Math" w:cs="Cambria Math"/>
        </w:rPr>
        <w:t>‐</w:t>
      </w:r>
      <w:r w:rsidRPr="008608AA">
        <w:t xml:space="preserve">level flow. </w:t>
      </w:r>
      <w:r w:rsidRPr="008608AA">
        <w:rPr>
          <w:i/>
        </w:rPr>
        <w:t>Geophysical Research Letters</w:t>
      </w:r>
      <w:r w:rsidRPr="008608AA">
        <w:t>, 29(17).</w:t>
      </w:r>
    </w:p>
    <w:p w14:paraId="7C020F0D" w14:textId="77777777" w:rsidR="00175B47" w:rsidRPr="008608AA" w:rsidRDefault="00175B47" w:rsidP="00E30489">
      <w:pPr>
        <w:widowControl w:val="0"/>
        <w:ind w:left="779" w:hangingChars="354" w:hanging="779"/>
        <w:contextualSpacing/>
      </w:pPr>
      <w:r w:rsidRPr="008608AA">
        <w:t xml:space="preserve">Candolle, A. (1884). </w:t>
      </w:r>
      <w:r w:rsidRPr="008608AA">
        <w:rPr>
          <w:i/>
        </w:rPr>
        <w:t>Origin of cultivated plants (The International scientific series)</w:t>
      </w:r>
      <w:r w:rsidRPr="008608AA">
        <w:t xml:space="preserve"> (49th ed.). London: Kegan Paul, Trench and Co. Retrieved from https://www.amazon.com/Origin-cultivated-plants-International-scientific/dp/B00088N86M</w:t>
      </w:r>
    </w:p>
    <w:p w14:paraId="76085570" w14:textId="77777777" w:rsidR="00175B47" w:rsidRPr="008608AA" w:rsidRDefault="00175B47" w:rsidP="00E30489">
      <w:pPr>
        <w:ind w:left="779" w:hangingChars="354" w:hanging="779"/>
        <w:contextualSpacing/>
      </w:pPr>
      <w:r w:rsidRPr="008608AA">
        <w:t xml:space="preserve">Carpenter, S., Bennett, E., &amp; Peterson, G. (2006). Scenarios for ecosystem services: an overview. </w:t>
      </w:r>
      <w:r w:rsidRPr="008608AA">
        <w:rPr>
          <w:i/>
        </w:rPr>
        <w:t>Ecology and Society</w:t>
      </w:r>
      <w:r w:rsidRPr="008608AA">
        <w:t>, 11(1), 29.</w:t>
      </w:r>
    </w:p>
    <w:p w14:paraId="38C2A34C" w14:textId="77777777" w:rsidR="00175B47" w:rsidRPr="008608AA" w:rsidRDefault="00175B47" w:rsidP="00E30489">
      <w:pPr>
        <w:widowControl w:val="0"/>
        <w:ind w:left="779" w:hangingChars="354" w:hanging="779"/>
        <w:contextualSpacing/>
      </w:pPr>
      <w:r w:rsidRPr="008608AA">
        <w:t>CBD. (2010). Linking Biodiversity Conservation and Poverty Aleviation: A State of Knowledge Review. Montreal, Quebec.</w:t>
      </w:r>
    </w:p>
    <w:p w14:paraId="1DFF6CF5" w14:textId="77777777" w:rsidR="00175B47" w:rsidRPr="008608AA" w:rsidRDefault="00175B47" w:rsidP="00E30489">
      <w:pPr>
        <w:widowControl w:val="0"/>
        <w:ind w:left="779" w:hangingChars="354" w:hanging="779"/>
        <w:contextualSpacing/>
      </w:pPr>
      <w:r w:rsidRPr="008608AA">
        <w:t>CBD/FAO/WB/UNEP/UNDP. (2016). Biodiversity and the 2030 Agenda for Sustainable Development. Montreal, Quebec: Convention on Biological Diversity. Retrieved from http://www.undp.org/content/undp/en/home/librarypage/environment-energy/ecosystems_and_biodiversity/biodiversity-and-the-2030-agenda-for-sustainable-development---p.html</w:t>
      </w:r>
    </w:p>
    <w:p w14:paraId="6B03BE61" w14:textId="77777777" w:rsidR="00175B47" w:rsidRPr="008608AA" w:rsidRDefault="00175B47" w:rsidP="00E30489">
      <w:pPr>
        <w:ind w:left="779" w:hangingChars="354" w:hanging="779"/>
        <w:contextualSpacing/>
      </w:pPr>
      <w:r w:rsidRPr="008608AA">
        <w:t>Central Intelligence Agency.  (2015). World Bank Open Data. Retrieved from https://www.cia.gov/library/publications/resources/the-world-factbook/geos/gl.html</w:t>
      </w:r>
    </w:p>
    <w:p w14:paraId="09AB851B" w14:textId="77777777" w:rsidR="00175B47" w:rsidRPr="008608AA" w:rsidRDefault="00175B47" w:rsidP="00E30489">
      <w:pPr>
        <w:ind w:left="779" w:hangingChars="354" w:hanging="779"/>
        <w:contextualSpacing/>
        <w:rPr>
          <w:lang w:val="es-CO"/>
        </w:rPr>
      </w:pPr>
      <w:r w:rsidRPr="008608AA">
        <w:rPr>
          <w:lang w:val="es-CO"/>
        </w:rPr>
        <w:t xml:space="preserve">CEPAL. (2010). Los pueblos indigenas em América Latina. Sistemas de Indicadores Sociodemográficos de Poblaciones Y Pueblos Indígenas. Comisión Económica para América Latina y el Caribe. Retrieved from http://celade.cepal.org/redatam/PRYESP/SISPPI/. </w:t>
      </w:r>
    </w:p>
    <w:p w14:paraId="141E05A6" w14:textId="77777777" w:rsidR="00175B47" w:rsidRPr="008608AA" w:rsidRDefault="00175B47" w:rsidP="00E30489">
      <w:pPr>
        <w:widowControl w:val="0"/>
        <w:autoSpaceDE w:val="0"/>
        <w:autoSpaceDN w:val="0"/>
        <w:adjustRightInd w:val="0"/>
        <w:ind w:left="779" w:hangingChars="354" w:hanging="779"/>
        <w:rPr>
          <w:noProof/>
        </w:rPr>
      </w:pPr>
      <w:r w:rsidRPr="008608AA">
        <w:rPr>
          <w:noProof/>
          <w:lang w:val="es-CO"/>
        </w:rPr>
        <w:t xml:space="preserve">Chan, K. M. A., Balvanera, P., Benessaiah, K., Chapman, M., Díaz, S., Gómez-Baggethun, E., Gould, R., Hannahs, N., Jax, K., Klain, S., Luck, G. W., Martín-López, B., Muraca, B., Norton, B., Ott, K., Pascual, U., Satterfield, T., Tadaki, M., Taggart, J., &amp; Turner, N. (2016b). </w:t>
      </w:r>
      <w:r w:rsidRPr="008608AA">
        <w:rPr>
          <w:noProof/>
        </w:rPr>
        <w:t xml:space="preserve">Why protect nature? Rethinking values and the environment. </w:t>
      </w:r>
      <w:r w:rsidRPr="008608AA">
        <w:rPr>
          <w:i/>
          <w:iCs/>
          <w:noProof/>
        </w:rPr>
        <w:t>PNAS</w:t>
      </w:r>
      <w:r w:rsidRPr="008608AA">
        <w:rPr>
          <w:noProof/>
        </w:rPr>
        <w:t xml:space="preserve">, </w:t>
      </w:r>
      <w:r w:rsidRPr="008608AA">
        <w:rPr>
          <w:i/>
          <w:iCs/>
          <w:noProof/>
        </w:rPr>
        <w:t>113</w:t>
      </w:r>
      <w:r w:rsidRPr="008608AA">
        <w:rPr>
          <w:noProof/>
        </w:rPr>
        <w:t xml:space="preserve">(6), 1462–1465. </w:t>
      </w:r>
    </w:p>
    <w:p w14:paraId="5ECB648E" w14:textId="77777777" w:rsidR="00175B47" w:rsidRPr="008608AA" w:rsidRDefault="00175B47" w:rsidP="00E30489">
      <w:pPr>
        <w:ind w:left="779" w:hangingChars="354" w:hanging="779"/>
        <w:contextualSpacing/>
      </w:pPr>
      <w:r w:rsidRPr="008608AA">
        <w:t>Chivian E. and A. Bernstein. (2010).  How our Health depends on Biodiversity. Center for Health and the Global Environment. Boston.</w:t>
      </w:r>
    </w:p>
    <w:p w14:paraId="3BDD7EB7" w14:textId="77777777" w:rsidR="00175B47" w:rsidRPr="008608AA" w:rsidRDefault="00175B47" w:rsidP="00E30489">
      <w:pPr>
        <w:ind w:left="779" w:hangingChars="354" w:hanging="779"/>
        <w:contextualSpacing/>
      </w:pPr>
      <w:r w:rsidRPr="008608AA">
        <w:t>CIP. (2017). Potato Facts and Figures. A CGIAR Research Center. International Potato Center. Retrieved from http://cipotato.org/</w:t>
      </w:r>
    </w:p>
    <w:p w14:paraId="3B53183C" w14:textId="77777777" w:rsidR="00175B47" w:rsidRPr="008608AA" w:rsidRDefault="00175B47" w:rsidP="00E30489">
      <w:pPr>
        <w:ind w:left="779" w:hangingChars="354" w:hanging="779"/>
        <w:contextualSpacing/>
      </w:pPr>
      <w:r w:rsidRPr="008608AA">
        <w:rPr>
          <w:lang w:val="pt-BR"/>
        </w:rPr>
        <w:t xml:space="preserve">Cisneros, E., Zhou, S. L., &amp; Börner, J. (2015). </w:t>
      </w:r>
      <w:r w:rsidRPr="008608AA">
        <w:t xml:space="preserve">Naming and Shaming for Conservation: Evidence from the Brazilian Amazon. </w:t>
      </w:r>
      <w:r w:rsidRPr="008608AA">
        <w:rPr>
          <w:i/>
        </w:rPr>
        <w:t>PLOS ONE</w:t>
      </w:r>
      <w:r w:rsidRPr="008608AA">
        <w:t xml:space="preserve">, 10(9), e0136402. </w:t>
      </w:r>
    </w:p>
    <w:p w14:paraId="7DD582E5" w14:textId="77777777" w:rsidR="00175B47" w:rsidRPr="008608AA" w:rsidRDefault="00175B47" w:rsidP="00E30489">
      <w:pPr>
        <w:ind w:left="779" w:hangingChars="354" w:hanging="779"/>
        <w:contextualSpacing/>
      </w:pPr>
      <w:r w:rsidRPr="008608AA">
        <w:t xml:space="preserve">Clamen, M., &amp; Macfarlane, D. (2015). The International Joint Commission, Water Levels, and Transboundary Governance in the Great Lakes. Review of Policy Research, 32(1), 40–59. </w:t>
      </w:r>
    </w:p>
    <w:p w14:paraId="030B87E0" w14:textId="77777777" w:rsidR="00175B47" w:rsidRPr="008608AA" w:rsidRDefault="00175B47" w:rsidP="00E30489">
      <w:pPr>
        <w:ind w:left="779" w:hangingChars="354" w:hanging="779"/>
        <w:contextualSpacing/>
        <w:rPr>
          <w:lang w:val="pt-BR"/>
        </w:rPr>
      </w:pPr>
      <w:r w:rsidRPr="008608AA">
        <w:t xml:space="preserve">Claudio, L., Stingone, J., &amp; Godbold, J. (2006). Prevalence of Childhood Asthma in Urban Communities: The Impact of Ethnicity and Income. </w:t>
      </w:r>
      <w:r w:rsidRPr="008608AA">
        <w:rPr>
          <w:i/>
          <w:lang w:val="pt-BR"/>
        </w:rPr>
        <w:t>Annals of Epidemiology</w:t>
      </w:r>
      <w:r w:rsidRPr="008608AA">
        <w:rPr>
          <w:lang w:val="pt-BR"/>
        </w:rPr>
        <w:t xml:space="preserve">, 16(5), 332–340. </w:t>
      </w:r>
    </w:p>
    <w:p w14:paraId="6C685970" w14:textId="77777777" w:rsidR="00175B47" w:rsidRPr="008608AA" w:rsidRDefault="00175B47" w:rsidP="00E30489">
      <w:pPr>
        <w:ind w:left="779" w:hangingChars="354" w:hanging="779"/>
        <w:contextualSpacing/>
      </w:pPr>
      <w:r w:rsidRPr="008608AA">
        <w:rPr>
          <w:lang w:val="pt-BR"/>
        </w:rPr>
        <w:t xml:space="preserve">Clement, C. R., de Cristo-Araújo, M., d’Eeckenbrugge, G. C., Alves Pereira, A., &amp; Picanço-Rodrigues, D. (2010). </w:t>
      </w:r>
      <w:r w:rsidRPr="008608AA">
        <w:t xml:space="preserve">Origin and Domestication of Native Amazonian Crops. </w:t>
      </w:r>
      <w:r w:rsidRPr="008608AA">
        <w:rPr>
          <w:i/>
        </w:rPr>
        <w:t>Diversity</w:t>
      </w:r>
      <w:r w:rsidRPr="008608AA">
        <w:t xml:space="preserve">, 2(1), 72–106. </w:t>
      </w:r>
    </w:p>
    <w:p w14:paraId="7A3C1F50" w14:textId="77777777" w:rsidR="00175B47" w:rsidRPr="008608AA" w:rsidRDefault="00175B47" w:rsidP="00E30489">
      <w:pPr>
        <w:widowControl w:val="0"/>
        <w:ind w:left="779" w:hangingChars="354" w:hanging="779"/>
        <w:contextualSpacing/>
      </w:pPr>
      <w:r w:rsidRPr="008608AA">
        <w:t xml:space="preserve">Coreau, A., Pinay, G., Thompson, J. D., Cheptou, P.-O., &amp; Mermet, L. (2009). The rise of research on futures in ecology: rebalancing scenarios and predictions. </w:t>
      </w:r>
      <w:r w:rsidRPr="008608AA">
        <w:rPr>
          <w:i/>
        </w:rPr>
        <w:t>Ecology Letters</w:t>
      </w:r>
      <w:r w:rsidRPr="008608AA">
        <w:t xml:space="preserve">, </w:t>
      </w:r>
      <w:r w:rsidRPr="008608AA">
        <w:rPr>
          <w:i/>
        </w:rPr>
        <w:t>12</w:t>
      </w:r>
      <w:r w:rsidRPr="008608AA">
        <w:t xml:space="preserve">(12), 1277–1286. </w:t>
      </w:r>
    </w:p>
    <w:p w14:paraId="6F8A3A1E" w14:textId="77777777" w:rsidR="00175B47" w:rsidRPr="008608AA" w:rsidRDefault="00175B47" w:rsidP="00E30489">
      <w:pPr>
        <w:widowControl w:val="0"/>
        <w:autoSpaceDE w:val="0"/>
        <w:autoSpaceDN w:val="0"/>
        <w:adjustRightInd w:val="0"/>
        <w:ind w:left="779" w:hangingChars="354" w:hanging="779"/>
        <w:rPr>
          <w:noProof/>
        </w:rPr>
      </w:pPr>
      <w:r w:rsidRPr="008608AA">
        <w:rPr>
          <w:noProof/>
        </w:rPr>
        <w:t xml:space="preserve">Costanza, R., de Groot, R., Sutton, P., van der Ploeg, S., Anderson, S. J., Kubiszewski, I., Farber, S., &amp; Turner, R. K. (2014). Changes in the global value of ecosystem services. </w:t>
      </w:r>
      <w:r w:rsidRPr="008608AA">
        <w:rPr>
          <w:i/>
          <w:iCs/>
          <w:noProof/>
        </w:rPr>
        <w:t>Global Environmental Change</w:t>
      </w:r>
      <w:r w:rsidRPr="008608AA">
        <w:rPr>
          <w:noProof/>
        </w:rPr>
        <w:t xml:space="preserve">, </w:t>
      </w:r>
      <w:r w:rsidRPr="008608AA">
        <w:rPr>
          <w:i/>
          <w:iCs/>
          <w:noProof/>
        </w:rPr>
        <w:t>26</w:t>
      </w:r>
      <w:r w:rsidRPr="008608AA">
        <w:rPr>
          <w:noProof/>
        </w:rPr>
        <w:t xml:space="preserve">, 152–158. </w:t>
      </w:r>
    </w:p>
    <w:p w14:paraId="24E48D0E" w14:textId="77777777" w:rsidR="00175B47" w:rsidRPr="008608AA" w:rsidRDefault="00175B47" w:rsidP="00E30489">
      <w:pPr>
        <w:widowControl w:val="0"/>
        <w:ind w:left="779" w:hangingChars="354" w:hanging="779"/>
        <w:contextualSpacing/>
      </w:pPr>
      <w:r w:rsidRPr="008608AA">
        <w:t xml:space="preserve">CRFM. (2014). </w:t>
      </w:r>
      <w:r w:rsidRPr="008608AA">
        <w:rPr>
          <w:i/>
        </w:rPr>
        <w:t>Sub-Regional Fisheries Management Plan for Flyingfish in the Eastern Caribbean. CRFM Special Publication No. 2</w:t>
      </w:r>
      <w:r w:rsidRPr="008608AA">
        <w:t>. Retrieved from http://www.fao.org/fi/static-media/MeetingDocuments/WECAFC16/Ref19e.pdf</w:t>
      </w:r>
    </w:p>
    <w:p w14:paraId="6F042B2C" w14:textId="77777777" w:rsidR="00175B47" w:rsidRPr="008608AA" w:rsidRDefault="00175B47" w:rsidP="00E30489">
      <w:pPr>
        <w:widowControl w:val="0"/>
        <w:ind w:left="779" w:hangingChars="354" w:hanging="779"/>
        <w:contextualSpacing/>
      </w:pPr>
      <w:r w:rsidRPr="008608AA">
        <w:t xml:space="preserve">Crosby, A. W. (1987). </w:t>
      </w:r>
      <w:r w:rsidRPr="008608AA">
        <w:rPr>
          <w:i/>
        </w:rPr>
        <w:t>The Columbian voyages, the Columbian exchange, and their historians</w:t>
      </w:r>
      <w:r w:rsidRPr="008608AA">
        <w:t>. Washington DC: American Historical Association. Retrieved from https://quod.lib.umich.edu/cgi/t/text/text-idx?c=acls;cc=acls;view=toc;idno=heb03124.0001.001;rgn=full text</w:t>
      </w:r>
    </w:p>
    <w:p w14:paraId="0DF93611" w14:textId="77777777" w:rsidR="00175B47" w:rsidRPr="008608AA" w:rsidRDefault="00175B47" w:rsidP="00E30489">
      <w:pPr>
        <w:ind w:left="779" w:hangingChars="354" w:hanging="779"/>
        <w:contextualSpacing/>
      </w:pPr>
      <w:r w:rsidRPr="008608AA">
        <w:t>Cultural Survival Quarterly Magazine (2013). Belize: our life, our lands-respect Maya land rights (2013). Retrieved from https://www.culturalsurvival.org/take-action/belize-our-life-our-lands-respect-maya-land-rights/belize-our-life-our-lands-respect</w:t>
      </w:r>
    </w:p>
    <w:p w14:paraId="2C9BE00D" w14:textId="77777777" w:rsidR="00175B47" w:rsidRPr="008608AA" w:rsidRDefault="00175B47" w:rsidP="00E30489">
      <w:pPr>
        <w:ind w:left="779" w:hangingChars="354" w:hanging="779"/>
        <w:contextualSpacing/>
      </w:pPr>
      <w:r w:rsidRPr="008608AA">
        <w:t>Cultural Survival Quarterly Magazine (2017). YURUMEIN (Our Homeland): A Film About Garifuna Cultural Renaissance on St. Vincent. Retrieved from https://www.culturalsurvival.org/news/yurumein-our-homeland-film-about-garifuna-cultural-renaissance-st-vincent</w:t>
      </w:r>
    </w:p>
    <w:p w14:paraId="72EF1D33" w14:textId="77777777" w:rsidR="00175B47" w:rsidRPr="008608AA" w:rsidRDefault="00175B47" w:rsidP="00E30489">
      <w:pPr>
        <w:ind w:left="779" w:hangingChars="354" w:hanging="779"/>
        <w:contextualSpacing/>
      </w:pPr>
      <w:r w:rsidRPr="008608AA">
        <w:t xml:space="preserve">Das, P., &amp; Horton, R. (2017). Pollution, health, and the planet: time for decisive action. </w:t>
      </w:r>
      <w:r w:rsidRPr="008608AA">
        <w:rPr>
          <w:i/>
        </w:rPr>
        <w:t>The Lancet</w:t>
      </w:r>
      <w:r w:rsidRPr="008608AA">
        <w:t xml:space="preserve">, Retrieved from </w:t>
      </w:r>
      <w:hyperlink r:id="rId31">
        <w:r w:rsidRPr="008608AA">
          <w:rPr>
            <w:color w:val="0000FF"/>
            <w:u w:val="single"/>
          </w:rPr>
          <w:t>http://www.thelancet.com/commissions/pollution-and-health</w:t>
        </w:r>
      </w:hyperlink>
      <w:r w:rsidRPr="008608AA">
        <w:t>.</w:t>
      </w:r>
    </w:p>
    <w:p w14:paraId="5A401C7F" w14:textId="77777777" w:rsidR="00175B47" w:rsidRPr="008608AA" w:rsidRDefault="00175B47" w:rsidP="00E30489">
      <w:pPr>
        <w:ind w:left="779" w:hangingChars="354" w:hanging="779"/>
        <w:contextualSpacing/>
      </w:pPr>
      <w:r w:rsidRPr="002365C4">
        <w:rPr>
          <w:lang w:val="fr-FR"/>
        </w:rPr>
        <w:t xml:space="preserve">De Groot, R. S., Wilson, M. A., &amp; Boumans, R. M. (2002). </w:t>
      </w:r>
      <w:r w:rsidRPr="008608AA">
        <w:t xml:space="preserve">A typology for the classification, description and valuation of ecosystem functions, goods and services. </w:t>
      </w:r>
      <w:r w:rsidRPr="008608AA">
        <w:rPr>
          <w:i/>
        </w:rPr>
        <w:t>Ecological Economics</w:t>
      </w:r>
      <w:r w:rsidRPr="008608AA">
        <w:t xml:space="preserve">, 41(3), 393–408. </w:t>
      </w:r>
    </w:p>
    <w:p w14:paraId="68920E6C" w14:textId="77777777" w:rsidR="00175B47" w:rsidRPr="008608AA" w:rsidRDefault="00175B47" w:rsidP="00E30489">
      <w:pPr>
        <w:widowControl w:val="0"/>
        <w:autoSpaceDE w:val="0"/>
        <w:autoSpaceDN w:val="0"/>
        <w:adjustRightInd w:val="0"/>
        <w:ind w:left="779" w:hangingChars="354" w:hanging="779"/>
        <w:rPr>
          <w:noProof/>
        </w:rPr>
      </w:pPr>
      <w:r w:rsidRPr="008608AA">
        <w:rPr>
          <w:noProof/>
        </w:rPr>
        <w:t xml:space="preserve">DeClerck, F. A. J., Chazdon, R., Holl, K. D., Milder, J. C., Finegan, B., Martinez-Salinas, A., Imbach, P., Canet, L., &amp; Ramos, Z. (2010). Biodiversity conservation in human-modified landscapes of Mesoamerica: Past, present and future. </w:t>
      </w:r>
      <w:r w:rsidRPr="008608AA">
        <w:rPr>
          <w:i/>
          <w:iCs/>
          <w:noProof/>
        </w:rPr>
        <w:t>Biological Conservation</w:t>
      </w:r>
      <w:r w:rsidRPr="008608AA">
        <w:rPr>
          <w:noProof/>
        </w:rPr>
        <w:t xml:space="preserve">, </w:t>
      </w:r>
      <w:r w:rsidRPr="008608AA">
        <w:rPr>
          <w:i/>
          <w:iCs/>
          <w:noProof/>
        </w:rPr>
        <w:t>143</w:t>
      </w:r>
      <w:r w:rsidRPr="008608AA">
        <w:rPr>
          <w:noProof/>
        </w:rPr>
        <w:t xml:space="preserve">, 2301–2313. </w:t>
      </w:r>
    </w:p>
    <w:p w14:paraId="464040B7" w14:textId="77777777" w:rsidR="00175B47" w:rsidRPr="008608AA" w:rsidRDefault="00175B47" w:rsidP="00E30489">
      <w:pPr>
        <w:widowControl w:val="0"/>
        <w:ind w:left="779" w:hangingChars="354" w:hanging="779"/>
        <w:contextualSpacing/>
      </w:pPr>
      <w:r w:rsidRPr="008608AA">
        <w:t xml:space="preserve">Diamond, J. M. (1997). </w:t>
      </w:r>
      <w:r w:rsidRPr="008608AA">
        <w:rPr>
          <w:i/>
        </w:rPr>
        <w:t>Guns, germs, and steel : the fates of human societies</w:t>
      </w:r>
      <w:r w:rsidRPr="008608AA">
        <w:t>. New York: W.W. Norton &amp; Co. Retrieved from http://books.wwnorton.com/books/Guns-Germs-and-Steel/</w:t>
      </w:r>
    </w:p>
    <w:p w14:paraId="29FF9382" w14:textId="77777777" w:rsidR="00175B47" w:rsidRPr="008608AA" w:rsidRDefault="00175B47" w:rsidP="00E30489">
      <w:pPr>
        <w:ind w:left="779" w:hangingChars="354" w:hanging="779"/>
        <w:contextualSpacing/>
        <w:rPr>
          <w:lang w:val="fr-CA"/>
        </w:rPr>
      </w:pPr>
      <w:r w:rsidRPr="008608AA">
        <w:rPr>
          <w:lang w:val="de-DE"/>
        </w:rPr>
        <w:t xml:space="preserve">Diaz, R. J., &amp; Rosenberg, R. (2008). </w:t>
      </w:r>
      <w:r w:rsidRPr="008608AA">
        <w:t xml:space="preserve">Spreading dead zones and consequences for marine ecosystems. </w:t>
      </w:r>
      <w:r w:rsidRPr="008608AA">
        <w:rPr>
          <w:i/>
          <w:lang w:val="fr-CA"/>
        </w:rPr>
        <w:t>Science</w:t>
      </w:r>
      <w:r w:rsidRPr="008608AA">
        <w:rPr>
          <w:lang w:val="fr-CA"/>
        </w:rPr>
        <w:t>, 321(5891), 926-929.</w:t>
      </w:r>
    </w:p>
    <w:p w14:paraId="4CCAB2B3" w14:textId="77777777" w:rsidR="00175B47" w:rsidRPr="008608AA" w:rsidRDefault="00175B47" w:rsidP="00E30489">
      <w:pPr>
        <w:widowControl w:val="0"/>
        <w:autoSpaceDE w:val="0"/>
        <w:autoSpaceDN w:val="0"/>
        <w:adjustRightInd w:val="0"/>
        <w:ind w:left="779" w:hangingChars="354" w:hanging="779"/>
        <w:rPr>
          <w:noProof/>
        </w:rPr>
      </w:pPr>
      <w:r w:rsidRPr="008608AA">
        <w:rPr>
          <w:noProof/>
          <w:lang w:val="fr-CA"/>
        </w:rPr>
        <w:t xml:space="preserve">Díaz, S., Demissew, S., Joly, C., Lonsdale, W. M., &amp; Larigauderie, A. (2015). </w:t>
      </w:r>
      <w:r w:rsidRPr="008608AA">
        <w:rPr>
          <w:noProof/>
        </w:rPr>
        <w:t xml:space="preserve">A Rosetta Stone for Nature ’ s Benefits to People. </w:t>
      </w:r>
      <w:r w:rsidRPr="008608AA">
        <w:rPr>
          <w:i/>
          <w:iCs/>
          <w:noProof/>
        </w:rPr>
        <w:t>Plos Biology</w:t>
      </w:r>
      <w:r w:rsidRPr="008608AA">
        <w:rPr>
          <w:noProof/>
        </w:rPr>
        <w:t xml:space="preserve">, 1–8. </w:t>
      </w:r>
    </w:p>
    <w:p w14:paraId="17365A04" w14:textId="77777777" w:rsidR="00175B47" w:rsidRPr="008608AA" w:rsidRDefault="00175B47" w:rsidP="00E30489">
      <w:pPr>
        <w:widowControl w:val="0"/>
        <w:autoSpaceDE w:val="0"/>
        <w:autoSpaceDN w:val="0"/>
        <w:adjustRightInd w:val="0"/>
        <w:ind w:left="779" w:hangingChars="354" w:hanging="779"/>
        <w:rPr>
          <w:noProof/>
        </w:rPr>
      </w:pPr>
      <w:r w:rsidRPr="008608AA">
        <w:rPr>
          <w:noProof/>
        </w:rPr>
        <w:t xml:space="preserve">Dicks, L. V., Viana, B., Bommarco, R., Brosi, B., Arizmendi, M. del C., Cunningham, S. A., Galetto, L., Hill, R., Lopes, A. V., Pires, C., Taki, H., &amp; Potts, S. G. (2016). Ten policies for pollinators. </w:t>
      </w:r>
      <w:r w:rsidRPr="008608AA">
        <w:rPr>
          <w:i/>
          <w:iCs/>
          <w:noProof/>
        </w:rPr>
        <w:t>Science</w:t>
      </w:r>
      <w:r w:rsidRPr="008608AA">
        <w:rPr>
          <w:noProof/>
        </w:rPr>
        <w:t xml:space="preserve">, </w:t>
      </w:r>
      <w:r w:rsidRPr="008608AA">
        <w:rPr>
          <w:i/>
          <w:iCs/>
          <w:noProof/>
        </w:rPr>
        <w:t>354</w:t>
      </w:r>
      <w:r w:rsidRPr="008608AA">
        <w:rPr>
          <w:noProof/>
        </w:rPr>
        <w:t xml:space="preserve">(6315), 975–976. </w:t>
      </w:r>
    </w:p>
    <w:p w14:paraId="1B280EE4" w14:textId="77777777" w:rsidR="00175B47" w:rsidRPr="008608AA" w:rsidRDefault="00175B47" w:rsidP="00E30489">
      <w:pPr>
        <w:widowControl w:val="0"/>
        <w:autoSpaceDE w:val="0"/>
        <w:autoSpaceDN w:val="0"/>
        <w:adjustRightInd w:val="0"/>
        <w:ind w:left="779" w:hangingChars="354" w:hanging="779"/>
        <w:rPr>
          <w:noProof/>
        </w:rPr>
      </w:pPr>
      <w:r w:rsidRPr="008608AA">
        <w:rPr>
          <w:noProof/>
        </w:rPr>
        <w:t xml:space="preserve">Driscoll, C. T., Buonocore, J. J., Levy, J. I., Lambert, K. F., Burtraw, D., Reid, S. B., Fakhraei, H., &amp; Schwartz, J. (2015). US power plant carbon standards and clean air and health co-benefits. </w:t>
      </w:r>
      <w:r w:rsidRPr="008608AA">
        <w:rPr>
          <w:i/>
          <w:iCs/>
          <w:noProof/>
        </w:rPr>
        <w:t>Nature Climate Change</w:t>
      </w:r>
      <w:r w:rsidRPr="008608AA">
        <w:rPr>
          <w:noProof/>
        </w:rPr>
        <w:t xml:space="preserve">, </w:t>
      </w:r>
      <w:r w:rsidRPr="008608AA">
        <w:rPr>
          <w:i/>
          <w:iCs/>
          <w:noProof/>
        </w:rPr>
        <w:t>5</w:t>
      </w:r>
      <w:r w:rsidRPr="008608AA">
        <w:rPr>
          <w:noProof/>
        </w:rPr>
        <w:t xml:space="preserve">(6), 535–540. </w:t>
      </w:r>
    </w:p>
    <w:p w14:paraId="6AD00696" w14:textId="77777777" w:rsidR="00175B47" w:rsidRPr="008608AA" w:rsidRDefault="00175B47" w:rsidP="00E30489">
      <w:pPr>
        <w:ind w:left="779" w:hangingChars="354" w:hanging="779"/>
        <w:contextualSpacing/>
      </w:pPr>
      <w:r w:rsidRPr="008608AA">
        <w:t xml:space="preserve">Dudley, N., Harrison, I. J., Kettunen, M., Madgwick, J., &amp; Mauerhofer, V. (2016). Natural solutions for water management of the future: freshwater protected areas at the 6th World Parks Congress. </w:t>
      </w:r>
      <w:r w:rsidRPr="008608AA">
        <w:rPr>
          <w:i/>
        </w:rPr>
        <w:t>Aquatic Conservation: Marine and Freshwater Ecosystems</w:t>
      </w:r>
      <w:r w:rsidRPr="008608AA">
        <w:t xml:space="preserve">, 26(S1), 121–132. </w:t>
      </w:r>
    </w:p>
    <w:p w14:paraId="49998674" w14:textId="77777777" w:rsidR="00175B47" w:rsidRPr="008608AA" w:rsidRDefault="00175B47" w:rsidP="00E30489">
      <w:pPr>
        <w:ind w:left="779" w:hangingChars="354" w:hanging="779"/>
        <w:contextualSpacing/>
      </w:pPr>
      <w:r w:rsidRPr="008608AA">
        <w:t>EIA. (2017). Energy Information Administration Electricity Generation Dataset. EIA-906/920/923 Data File. U.S. Energy Information Administration. Retrieved from https://www.eia.gov/electricity/data/eia923/</w:t>
      </w:r>
    </w:p>
    <w:p w14:paraId="21C7E197" w14:textId="77777777" w:rsidR="00175B47" w:rsidRPr="008608AA" w:rsidRDefault="00175B47" w:rsidP="00E30489">
      <w:pPr>
        <w:ind w:left="779" w:hangingChars="354" w:hanging="779"/>
        <w:contextualSpacing/>
        <w:rPr>
          <w:lang w:val="es-CO"/>
        </w:rPr>
      </w:pPr>
      <w:r w:rsidRPr="008608AA">
        <w:rPr>
          <w:lang w:val="de-DE"/>
        </w:rPr>
        <w:t xml:space="preserve">Engel, S., Pagiola, S., &amp; Wunder, S. (2008). </w:t>
      </w:r>
      <w:r w:rsidRPr="008608AA">
        <w:t xml:space="preserve">Designing payments for environmental services in theory and practice: An overview of the issues. </w:t>
      </w:r>
      <w:r w:rsidRPr="008608AA">
        <w:rPr>
          <w:i/>
          <w:lang w:val="es-CO"/>
        </w:rPr>
        <w:t>Ecological Economics</w:t>
      </w:r>
      <w:r w:rsidRPr="008608AA">
        <w:rPr>
          <w:lang w:val="es-CO"/>
        </w:rPr>
        <w:t>, 65(4), 663–674.</w:t>
      </w:r>
    </w:p>
    <w:p w14:paraId="0C262258" w14:textId="77777777" w:rsidR="00175B47" w:rsidRPr="008608AA" w:rsidRDefault="00175B47" w:rsidP="00E30489">
      <w:pPr>
        <w:ind w:left="779" w:hangingChars="354" w:hanging="779"/>
        <w:contextualSpacing/>
        <w:rPr>
          <w:lang w:val="es-CO"/>
        </w:rPr>
      </w:pPr>
      <w:r w:rsidRPr="008608AA">
        <w:rPr>
          <w:lang w:val="es-CO"/>
        </w:rPr>
        <w:t>Estado Plurinacional de Bolivia (2015). Vivir Bien en armonía con la Madre Tierra. V Informe Nacional. Convenio de las Naciones Unidas sobre la Biodiversidad Biológica (CBD).</w:t>
      </w:r>
    </w:p>
    <w:p w14:paraId="2E003E32" w14:textId="77777777" w:rsidR="00175B47" w:rsidRPr="008608AA" w:rsidRDefault="00175B47" w:rsidP="00E30489">
      <w:pPr>
        <w:ind w:left="779" w:hangingChars="354" w:hanging="779"/>
        <w:contextualSpacing/>
      </w:pPr>
      <w:r w:rsidRPr="008608AA">
        <w:t xml:space="preserve">FAO. (2012a). Why the Andes Matter. Sustainable Mountain Development RIO 2012 and beyond. Food and Agriculture Organization of United Nations. Retrieved from http://www.fao.org/fileadmin/user_upload/mountain_partnership/docs/Print_E_Brief_Andes-low.pdf </w:t>
      </w:r>
    </w:p>
    <w:p w14:paraId="5A5ECECB" w14:textId="77777777" w:rsidR="00175B47" w:rsidRPr="008608AA" w:rsidRDefault="00175B47" w:rsidP="00E30489">
      <w:pPr>
        <w:ind w:left="779" w:hangingChars="354" w:hanging="779"/>
        <w:contextualSpacing/>
      </w:pPr>
      <w:r w:rsidRPr="008608AA">
        <w:t>FAO. (2012b). Forest tenure in Latin America. Retrieved from http://www.fao.org/forestry/54368/es/guy/.</w:t>
      </w:r>
    </w:p>
    <w:p w14:paraId="0230184B" w14:textId="77777777" w:rsidR="00175B47" w:rsidRPr="008608AA" w:rsidRDefault="00175B47" w:rsidP="00E30489">
      <w:pPr>
        <w:ind w:left="779" w:hangingChars="354" w:hanging="779"/>
        <w:contextualSpacing/>
      </w:pPr>
      <w:r w:rsidRPr="008608AA">
        <w:t>FAO. (2013). The Outlook for Agriculture and Rural Development in the Americas. Food and Agriculture Organization of United Nations. Retrieved from http://www.fao.org/publications/card/en/c/daba72ad-6b98-5a13-88d8-83e796e6c4fa/</w:t>
      </w:r>
    </w:p>
    <w:p w14:paraId="0A20A0DC" w14:textId="77777777" w:rsidR="00175B47" w:rsidRPr="008608AA" w:rsidRDefault="00175B47" w:rsidP="00E30489">
      <w:pPr>
        <w:ind w:left="779" w:hangingChars="354" w:hanging="779"/>
        <w:contextualSpacing/>
      </w:pPr>
      <w:r w:rsidRPr="008608AA">
        <w:t>FAO. (2015). Fishers’ knowledge and the ecosystem approach to fisheries. Regional Office for Latin America and the Caribbean. Food and Agriculture Organization of United Nations. Retrieved from http://www.fao.org/publications/card/en/c/9b643e50-fc20-4565-9962-bdf6d072dd32/</w:t>
      </w:r>
    </w:p>
    <w:p w14:paraId="20C7C076" w14:textId="77777777" w:rsidR="00175B47" w:rsidRPr="008608AA" w:rsidRDefault="00175B47" w:rsidP="00E30489">
      <w:pPr>
        <w:ind w:left="779" w:hangingChars="354" w:hanging="779"/>
        <w:contextualSpacing/>
      </w:pPr>
      <w:r w:rsidRPr="008608AA">
        <w:t xml:space="preserve">Feeley, T. J., Skone, T. J., Stiegel, G. J., McNemar, A., Nemeth, M., Schimmoller, B., Murphy, J. T., &amp; Manfredo, L. (2008). Water: A critical resource in the thermoelectric power industry. </w:t>
      </w:r>
      <w:r w:rsidRPr="008608AA">
        <w:rPr>
          <w:i/>
          <w:iCs/>
        </w:rPr>
        <w:t>Energy</w:t>
      </w:r>
      <w:r w:rsidRPr="008608AA">
        <w:t xml:space="preserve">, </w:t>
      </w:r>
      <w:r w:rsidRPr="008608AA">
        <w:rPr>
          <w:i/>
          <w:iCs/>
        </w:rPr>
        <w:t>33</w:t>
      </w:r>
      <w:r w:rsidRPr="008608AA">
        <w:t>(1), 1–11. https://doi.org/10.1016/j.energy.2007.08.007</w:t>
      </w:r>
    </w:p>
    <w:p w14:paraId="2A2F439A" w14:textId="77777777" w:rsidR="00175B47" w:rsidRPr="008608AA" w:rsidRDefault="00175B47" w:rsidP="00E30489">
      <w:pPr>
        <w:ind w:left="779" w:hangingChars="354" w:hanging="779"/>
        <w:contextualSpacing/>
        <w:rPr>
          <w:lang w:val="fr-CA"/>
        </w:rPr>
      </w:pPr>
      <w:r w:rsidRPr="008608AA">
        <w:t xml:space="preserve">Ferrario, F., Beck, M. W., Storlazzi, C. D., Micheli, F., Shepard, C. C., &amp; Airoldi, L. (2014). The effectiveness of coral reefs for coastal hazard risk reduction and adaptation. </w:t>
      </w:r>
      <w:r w:rsidRPr="008608AA">
        <w:rPr>
          <w:i/>
          <w:lang w:val="fr-CA"/>
        </w:rPr>
        <w:t>Nature Communications</w:t>
      </w:r>
      <w:r w:rsidRPr="008608AA">
        <w:rPr>
          <w:lang w:val="fr-CA"/>
        </w:rPr>
        <w:t xml:space="preserve">, 5, 4794. </w:t>
      </w:r>
    </w:p>
    <w:p w14:paraId="7241463E" w14:textId="77777777" w:rsidR="00175B47" w:rsidRPr="008608AA" w:rsidRDefault="00175B47" w:rsidP="00E30489">
      <w:pPr>
        <w:ind w:left="779" w:hangingChars="354" w:hanging="779"/>
        <w:contextualSpacing/>
      </w:pPr>
      <w:r w:rsidRPr="008608AA">
        <w:rPr>
          <w:lang w:val="fr-CA"/>
        </w:rPr>
        <w:t xml:space="preserve">Ferraro, P. J., Hanauer, M. M., Miteva, D. A., Nelson, J. L., Pattanayak, S. K., Nolte, C., &amp; Sims, K. R. E. (2015). </w:t>
      </w:r>
      <w:r w:rsidRPr="008608AA">
        <w:t xml:space="preserve">Estimating the impacts of conservation on ecosystem services and poverty by integrating modeling and evaluation. </w:t>
      </w:r>
      <w:r w:rsidRPr="008608AA">
        <w:rPr>
          <w:i/>
        </w:rPr>
        <w:t>PNAS</w:t>
      </w:r>
      <w:r w:rsidRPr="008608AA">
        <w:t xml:space="preserve">, 112(24), 7420–5. </w:t>
      </w:r>
    </w:p>
    <w:p w14:paraId="4D30B22B" w14:textId="77777777" w:rsidR="00175B47" w:rsidRPr="008608AA" w:rsidRDefault="00175B47" w:rsidP="00E30489">
      <w:pPr>
        <w:widowControl w:val="0"/>
        <w:autoSpaceDE w:val="0"/>
        <w:autoSpaceDN w:val="0"/>
        <w:adjustRightInd w:val="0"/>
        <w:ind w:left="779" w:hangingChars="354" w:hanging="779"/>
        <w:rPr>
          <w:noProof/>
        </w:rPr>
      </w:pPr>
      <w:r w:rsidRPr="008608AA">
        <w:rPr>
          <w:noProof/>
        </w:rPr>
        <w:t xml:space="preserve">Foley, J. a, Defries, R., Asner, G. P., Barford, C., Bonan, G., Carpenter, S. R., Chapin, F. S., Coe, M. T., Daily, G. C., Gibbs, H. K., Helkowski, J. H., Holloway, T., Howard, E. a, Kucharik, C. J., Monfreda, C., Patz, J. a, Prentice, I. C., Ramankutty, N., &amp; Snyder, P. K. (2005). Global consequences of land use. </w:t>
      </w:r>
      <w:r w:rsidRPr="008608AA">
        <w:rPr>
          <w:i/>
          <w:iCs/>
          <w:noProof/>
        </w:rPr>
        <w:t>Science</w:t>
      </w:r>
      <w:r w:rsidRPr="008608AA">
        <w:rPr>
          <w:noProof/>
        </w:rPr>
        <w:t xml:space="preserve">, </w:t>
      </w:r>
      <w:r w:rsidRPr="008608AA">
        <w:rPr>
          <w:i/>
          <w:iCs/>
          <w:noProof/>
        </w:rPr>
        <w:t>309</w:t>
      </w:r>
      <w:r w:rsidRPr="008608AA">
        <w:rPr>
          <w:noProof/>
        </w:rPr>
        <w:t xml:space="preserve">(5734), 570–574. </w:t>
      </w:r>
    </w:p>
    <w:p w14:paraId="60300498" w14:textId="77777777" w:rsidR="00175B47" w:rsidRPr="008608AA" w:rsidRDefault="00175B47" w:rsidP="00E30489">
      <w:pPr>
        <w:widowControl w:val="0"/>
        <w:autoSpaceDE w:val="0"/>
        <w:autoSpaceDN w:val="0"/>
        <w:adjustRightInd w:val="0"/>
        <w:ind w:left="779" w:hangingChars="354" w:hanging="779"/>
        <w:rPr>
          <w:noProof/>
        </w:rPr>
      </w:pPr>
      <w:r w:rsidRPr="008608AA">
        <w:rPr>
          <w:noProof/>
        </w:rPr>
        <w:t xml:space="preserve">Foley, J. A., Ramankutty, N., Brauman, K. A., Cassidy, E. S., Gerber, J. S., Johnston, M., Mueller, N. D., O’Connell, C., Ray, D. K., West, P. C., Balzer, C., Bennett, E. M., Carpenter, S. R., Hill, J., Monfreda, C., Polasky, S., Rockström, J., Sheehan, J., Siebert, S., Tilman, D., &amp; Zaks, D. P. M. (2011). Solutions for a cultivated planet. </w:t>
      </w:r>
      <w:r w:rsidRPr="008608AA">
        <w:rPr>
          <w:i/>
          <w:iCs/>
          <w:noProof/>
        </w:rPr>
        <w:t>Nature, 478, 337</w:t>
      </w:r>
      <w:r w:rsidRPr="008608AA">
        <w:rPr>
          <w:noProof/>
        </w:rPr>
        <w:t xml:space="preserve">–342. </w:t>
      </w:r>
    </w:p>
    <w:p w14:paraId="2D2D276B" w14:textId="77777777" w:rsidR="00175B47" w:rsidRPr="008608AA" w:rsidRDefault="00175B47" w:rsidP="00E30489">
      <w:pPr>
        <w:widowControl w:val="0"/>
        <w:ind w:left="779" w:hangingChars="354" w:hanging="779"/>
        <w:contextualSpacing/>
      </w:pPr>
      <w:r w:rsidRPr="008608AA">
        <w:t xml:space="preserve">Franklin, J., Ripplinger, J., Freid, E. H., Marcano-Vega, H., &amp; Steadman, D. W. (2015). Regional variation in Caribbean dry forest tree species composition. </w:t>
      </w:r>
      <w:r w:rsidRPr="008608AA">
        <w:rPr>
          <w:i/>
        </w:rPr>
        <w:t>Plant Ecology</w:t>
      </w:r>
      <w:r w:rsidRPr="008608AA">
        <w:t xml:space="preserve">, </w:t>
      </w:r>
      <w:r w:rsidRPr="008608AA">
        <w:rPr>
          <w:i/>
        </w:rPr>
        <w:t>216</w:t>
      </w:r>
      <w:r w:rsidRPr="008608AA">
        <w:t xml:space="preserve">(6), 873–886. </w:t>
      </w:r>
    </w:p>
    <w:p w14:paraId="384DF270" w14:textId="77777777" w:rsidR="00175B47" w:rsidRPr="008608AA" w:rsidRDefault="00175B47" w:rsidP="00E30489">
      <w:pPr>
        <w:ind w:left="779" w:hangingChars="354" w:hanging="779"/>
        <w:contextualSpacing/>
      </w:pPr>
      <w:r w:rsidRPr="008608AA">
        <w:t xml:space="preserve">Fuller, R. A., Irvine, K. N., Devine-Wright, P., Warren, P. H., &amp; Gaston, K. J. (2007). Psychological benefits of greenspace increase with biodiversity. </w:t>
      </w:r>
      <w:r w:rsidRPr="008608AA">
        <w:rPr>
          <w:i/>
        </w:rPr>
        <w:t>Biology Letters</w:t>
      </w:r>
      <w:r w:rsidRPr="008608AA">
        <w:t xml:space="preserve">, 3(4), 390–4. </w:t>
      </w:r>
    </w:p>
    <w:p w14:paraId="215A7FDE" w14:textId="77777777" w:rsidR="00175B47" w:rsidRPr="008608AA" w:rsidRDefault="00175B47" w:rsidP="00E30489">
      <w:pPr>
        <w:ind w:left="779" w:hangingChars="354" w:hanging="779"/>
        <w:contextualSpacing/>
      </w:pPr>
      <w:r w:rsidRPr="008608AA">
        <w:t xml:space="preserve">Galluzzi, G., Eyzaguirre, P., &amp; Negri, V. (2010). Home gardens: neglected hotspots of agro-biodiversity and cultural diversity. </w:t>
      </w:r>
      <w:r w:rsidRPr="008608AA">
        <w:rPr>
          <w:i/>
        </w:rPr>
        <w:t>Biodiversity and Conservation</w:t>
      </w:r>
      <w:r w:rsidRPr="008608AA">
        <w:t xml:space="preserve">, 19(13), 3635–3654. </w:t>
      </w:r>
    </w:p>
    <w:p w14:paraId="27E81E93" w14:textId="77777777" w:rsidR="00175B47" w:rsidRPr="008608AA" w:rsidRDefault="00175B47" w:rsidP="00E30489">
      <w:pPr>
        <w:ind w:left="779" w:hangingChars="354" w:hanging="779"/>
        <w:contextualSpacing/>
      </w:pPr>
      <w:r w:rsidRPr="008608AA">
        <w:t xml:space="preserve">Gander, M. J. (2014). International water law and supporting water management principles in the development of a model transboundary agreement between riparians in international river basins. </w:t>
      </w:r>
      <w:r w:rsidRPr="008608AA">
        <w:rPr>
          <w:i/>
        </w:rPr>
        <w:t>Water International</w:t>
      </w:r>
      <w:r w:rsidRPr="008608AA">
        <w:t xml:space="preserve">, 39(3), 315–332. </w:t>
      </w:r>
    </w:p>
    <w:p w14:paraId="0EE9A65A" w14:textId="77777777" w:rsidR="00175B47" w:rsidRPr="008608AA" w:rsidRDefault="00175B47" w:rsidP="00E30489">
      <w:pPr>
        <w:ind w:left="779" w:hangingChars="354" w:hanging="779"/>
        <w:contextualSpacing/>
      </w:pPr>
      <w:r w:rsidRPr="008608AA">
        <w:t xml:space="preserve">Garbach, K., Milder, J. C., DeClerck, F. A., Montenegro de Wit, M., Driscoll, L., &amp; Gemmill-Herren, B. (2016). Examining multi-functionality for crop yield and ecosystem services in five systems of agroecological intensification. </w:t>
      </w:r>
      <w:r w:rsidRPr="008608AA">
        <w:rPr>
          <w:i/>
        </w:rPr>
        <w:t>International Journal of Agricultural Sustainability</w:t>
      </w:r>
      <w:r w:rsidRPr="008608AA">
        <w:t>, 15(1), 11-28.</w:t>
      </w:r>
    </w:p>
    <w:p w14:paraId="349F7FF8" w14:textId="77777777" w:rsidR="00175B47" w:rsidRPr="008608AA" w:rsidRDefault="00175B47" w:rsidP="00E30489">
      <w:pPr>
        <w:ind w:left="779" w:hangingChars="354" w:hanging="779"/>
        <w:contextualSpacing/>
      </w:pPr>
      <w:r w:rsidRPr="008608AA">
        <w:t xml:space="preserve">Garbach, K., Milder, J., Montenegro, M., Karp, D., &amp; DeClerck, F. (2014). Biodiversity and Ecosystem Services in Agroecosystems. </w:t>
      </w:r>
      <w:r w:rsidRPr="008608AA">
        <w:rPr>
          <w:i/>
        </w:rPr>
        <w:t>Encyclopedia of Agriculture and Food Sys</w:t>
      </w:r>
      <w:r w:rsidRPr="008608AA">
        <w:t xml:space="preserve">tems, 2, 21–40. </w:t>
      </w:r>
    </w:p>
    <w:p w14:paraId="65FD2C8D" w14:textId="77777777" w:rsidR="00175B47" w:rsidRPr="008608AA" w:rsidRDefault="00175B47" w:rsidP="00E30489">
      <w:pPr>
        <w:ind w:left="779" w:hangingChars="354" w:hanging="779"/>
        <w:contextualSpacing/>
      </w:pPr>
      <w:r w:rsidRPr="008608AA">
        <w:rPr>
          <w:lang w:val="fr-CA"/>
        </w:rPr>
        <w:t xml:space="preserve">Garreaud, R. D., Vuille, M., Compagnucci, R., &amp; Marengo, J. (2009). </w:t>
      </w:r>
      <w:r w:rsidRPr="008608AA">
        <w:t xml:space="preserve">Present-day South American climate. </w:t>
      </w:r>
      <w:r w:rsidRPr="008608AA">
        <w:rPr>
          <w:i/>
        </w:rPr>
        <w:t>Palaeogeography, Palaeoclimatology, Palaeoecology</w:t>
      </w:r>
      <w:r w:rsidRPr="008608AA">
        <w:t xml:space="preserve">, </w:t>
      </w:r>
      <w:r w:rsidRPr="008608AA">
        <w:rPr>
          <w:i/>
        </w:rPr>
        <w:t>281</w:t>
      </w:r>
      <w:r w:rsidRPr="008608AA">
        <w:t>(3–4), 180–195.</w:t>
      </w:r>
    </w:p>
    <w:p w14:paraId="3CA306CC" w14:textId="77777777" w:rsidR="00175B47" w:rsidRPr="008608AA" w:rsidRDefault="00175B47" w:rsidP="00E30489">
      <w:pPr>
        <w:widowControl w:val="0"/>
        <w:autoSpaceDE w:val="0"/>
        <w:autoSpaceDN w:val="0"/>
        <w:adjustRightInd w:val="0"/>
        <w:ind w:left="779" w:hangingChars="354" w:hanging="779"/>
        <w:rPr>
          <w:noProof/>
        </w:rPr>
      </w:pPr>
      <w:r w:rsidRPr="008608AA">
        <w:rPr>
          <w:noProof/>
        </w:rPr>
        <w:t xml:space="preserve">Gibbs, H. K., Rausch, L., Munger, J., Schelly, I., Morton, D. C., Noojipady, P., Soares-Filho, B., Barreto, P., Micol, L., &amp; Walker, N. F. (2015). Environment and development. Brazil’s Soy Moratorium. </w:t>
      </w:r>
      <w:r w:rsidRPr="008608AA">
        <w:rPr>
          <w:i/>
          <w:iCs/>
          <w:noProof/>
        </w:rPr>
        <w:t>Science</w:t>
      </w:r>
      <w:r w:rsidRPr="008608AA">
        <w:rPr>
          <w:noProof/>
        </w:rPr>
        <w:t xml:space="preserve">, </w:t>
      </w:r>
      <w:r w:rsidRPr="008608AA">
        <w:rPr>
          <w:i/>
          <w:iCs/>
          <w:noProof/>
        </w:rPr>
        <w:t>347</w:t>
      </w:r>
      <w:r w:rsidRPr="008608AA">
        <w:rPr>
          <w:noProof/>
        </w:rPr>
        <w:t xml:space="preserve">(6220), 377–378. </w:t>
      </w:r>
    </w:p>
    <w:p w14:paraId="55489753" w14:textId="77777777" w:rsidR="00175B47" w:rsidRPr="008608AA" w:rsidRDefault="00175B47" w:rsidP="00E30489">
      <w:pPr>
        <w:ind w:left="779" w:hangingChars="354" w:hanging="779"/>
        <w:contextualSpacing/>
      </w:pPr>
      <w:r w:rsidRPr="008608AA">
        <w:t xml:space="preserve">Gleeson, T., Wada, Y., Bierkens, M. F. P., &amp; van Beek, L. P. H. (2012). Water balance of global aquifers revealed by groundwater footprint. </w:t>
      </w:r>
      <w:r w:rsidRPr="008608AA">
        <w:rPr>
          <w:i/>
        </w:rPr>
        <w:t>Nature</w:t>
      </w:r>
      <w:r w:rsidRPr="008608AA">
        <w:t xml:space="preserve">, 488(7410), 197–200. </w:t>
      </w:r>
    </w:p>
    <w:p w14:paraId="5CE23579" w14:textId="77777777" w:rsidR="00175B47" w:rsidRPr="008608AA" w:rsidRDefault="00175B47" w:rsidP="00E30489">
      <w:pPr>
        <w:ind w:left="779" w:hangingChars="354" w:hanging="779"/>
        <w:contextualSpacing/>
      </w:pPr>
      <w:r w:rsidRPr="008608AA">
        <w:t>Global Footprint Network. (2016). National Footprint Accounts, 2016 Edition.</w:t>
      </w:r>
    </w:p>
    <w:p w14:paraId="6D2A597E" w14:textId="77777777" w:rsidR="00175B47" w:rsidRPr="008608AA" w:rsidRDefault="00175B47" w:rsidP="00E30489">
      <w:pPr>
        <w:widowControl w:val="0"/>
        <w:ind w:left="779" w:hangingChars="354" w:hanging="779"/>
        <w:contextualSpacing/>
      </w:pPr>
      <w:r w:rsidRPr="008608AA">
        <w:t xml:space="preserve">Gomez-Baggethun, E., Barton, D., Berry, P., Dunford, R., &amp; Harrison, P. (2014). Concepts and Methods in Ecosystem Services Valuation. In M. Potschin, R. Haines-Young, R. Fish, &amp; R. K. Turner (Eds.), </w:t>
      </w:r>
      <w:r w:rsidRPr="008608AA">
        <w:rPr>
          <w:i/>
        </w:rPr>
        <w:t xml:space="preserve">Routledge Handbook of Ecosystem Services </w:t>
      </w:r>
      <w:r w:rsidRPr="008608AA">
        <w:t>(pp. 99–111). London and New York: Routledge.</w:t>
      </w:r>
    </w:p>
    <w:p w14:paraId="0CB81E41" w14:textId="77777777" w:rsidR="00175B47" w:rsidRPr="008608AA" w:rsidRDefault="00175B47" w:rsidP="00E30489">
      <w:pPr>
        <w:ind w:left="779" w:hangingChars="354" w:hanging="779"/>
        <w:contextualSpacing/>
      </w:pPr>
      <w:r w:rsidRPr="008608AA">
        <w:t xml:space="preserve">Granger, O. E. (1997). Caribbean Island States: Perils and Prospects in a Changing Global Environment. </w:t>
      </w:r>
      <w:r w:rsidRPr="008608AA">
        <w:rPr>
          <w:i/>
        </w:rPr>
        <w:t>Journal of Coastal Research</w:t>
      </w:r>
      <w:r w:rsidRPr="008608AA">
        <w:t>, (24), 71–93.</w:t>
      </w:r>
    </w:p>
    <w:p w14:paraId="0E6D513F" w14:textId="77777777" w:rsidR="00175B47" w:rsidRPr="008608AA" w:rsidRDefault="00175B47" w:rsidP="00E30489">
      <w:pPr>
        <w:ind w:left="779" w:hangingChars="354" w:hanging="779"/>
        <w:contextualSpacing/>
        <w:rPr>
          <w:lang w:val="es-CO"/>
        </w:rPr>
      </w:pPr>
      <w:r w:rsidRPr="008608AA">
        <w:t xml:space="preserve">Green, P., C.J. Vörösmarty, I. Harrison, T. Farrell, L. Sáenz, B.M. Fekete. (2015). Freshwater ecosystem services supporting humans: Pivoting from water crisis to water solutions. </w:t>
      </w:r>
      <w:r w:rsidRPr="008608AA">
        <w:rPr>
          <w:i/>
          <w:lang w:val="es-CO"/>
        </w:rPr>
        <w:t>Global Environmental Change</w:t>
      </w:r>
      <w:r w:rsidRPr="008608AA">
        <w:rPr>
          <w:lang w:val="es-CO"/>
        </w:rPr>
        <w:t>, 34, 108-118.</w:t>
      </w:r>
    </w:p>
    <w:p w14:paraId="12D2A91E" w14:textId="77777777" w:rsidR="00175B47" w:rsidRPr="008608AA" w:rsidRDefault="00175B47" w:rsidP="00E30489">
      <w:pPr>
        <w:ind w:left="779" w:hangingChars="354" w:hanging="779"/>
        <w:contextualSpacing/>
        <w:rPr>
          <w:lang w:val="es-CO"/>
        </w:rPr>
      </w:pPr>
      <w:r w:rsidRPr="008608AA">
        <w:rPr>
          <w:lang w:val="es-CO"/>
        </w:rPr>
        <w:t xml:space="preserve">Gregor Barié, C. (2014). Nuevas narrativas constitucionales en Bolivia y Ecuador: el buen vivir y los derechos de la naturaleza. Latinoamérica. </w:t>
      </w:r>
      <w:r w:rsidRPr="008608AA">
        <w:rPr>
          <w:i/>
          <w:lang w:val="es-CO"/>
        </w:rPr>
        <w:t>Revista de Estudios Latinoamericanos</w:t>
      </w:r>
      <w:r w:rsidRPr="008608AA">
        <w:rPr>
          <w:lang w:val="es-CO"/>
        </w:rPr>
        <w:t xml:space="preserve">, 59, 9–40. </w:t>
      </w:r>
    </w:p>
    <w:p w14:paraId="36AEA576" w14:textId="77777777" w:rsidR="00175B47" w:rsidRPr="008608AA" w:rsidRDefault="00175B47" w:rsidP="00E30489">
      <w:pPr>
        <w:ind w:left="779" w:hangingChars="354" w:hanging="779"/>
        <w:contextualSpacing/>
        <w:rPr>
          <w:noProof/>
        </w:rPr>
      </w:pPr>
      <w:r w:rsidRPr="008608AA">
        <w:rPr>
          <w:noProof/>
          <w:lang w:val="es-CO"/>
        </w:rPr>
        <w:t xml:space="preserve">Griggs, D., Stafford-Smith, M., Gaffney, O., Rockström, J., Öhman, M. C., Shyamsundar, P., Steffen, W., Glaser, G., Kanie, N., &amp; Noble, I. (2013). </w:t>
      </w:r>
      <w:r w:rsidRPr="008608AA">
        <w:rPr>
          <w:noProof/>
        </w:rPr>
        <w:t xml:space="preserve">Sustainable development goals for people and planet. </w:t>
      </w:r>
      <w:r w:rsidRPr="008608AA">
        <w:rPr>
          <w:i/>
          <w:iCs/>
          <w:noProof/>
        </w:rPr>
        <w:t>Nature</w:t>
      </w:r>
      <w:r w:rsidRPr="008608AA">
        <w:rPr>
          <w:noProof/>
        </w:rPr>
        <w:t xml:space="preserve">, </w:t>
      </w:r>
      <w:r w:rsidRPr="008608AA">
        <w:rPr>
          <w:i/>
          <w:iCs/>
          <w:noProof/>
        </w:rPr>
        <w:t>495</w:t>
      </w:r>
      <w:r w:rsidRPr="008608AA">
        <w:rPr>
          <w:noProof/>
        </w:rPr>
        <w:t>(7441), 305–307. https://doi.org/10.1038/495305a</w:t>
      </w:r>
    </w:p>
    <w:p w14:paraId="650E773B" w14:textId="77777777" w:rsidR="00175B47" w:rsidRPr="008608AA" w:rsidRDefault="00175B47" w:rsidP="00E30489">
      <w:pPr>
        <w:ind w:left="779" w:hangingChars="354" w:hanging="779"/>
        <w:contextualSpacing/>
      </w:pPr>
      <w:r w:rsidRPr="008608AA">
        <w:rPr>
          <w:lang w:val="es-CO"/>
        </w:rPr>
        <w:t xml:space="preserve">Grizzetti, B., Lanzanova, D., Liquete, C., Reynaud, A., &amp; Cardoso, A. C. (2016). </w:t>
      </w:r>
      <w:r w:rsidRPr="008608AA">
        <w:t xml:space="preserve">Assessing water ecosystem services for water resource management. </w:t>
      </w:r>
      <w:r w:rsidRPr="008608AA">
        <w:rPr>
          <w:i/>
        </w:rPr>
        <w:t>Environmental Science &amp; Policy</w:t>
      </w:r>
      <w:r w:rsidRPr="008608AA">
        <w:t xml:space="preserve">, 61, 194–203. </w:t>
      </w:r>
    </w:p>
    <w:p w14:paraId="77010AB1" w14:textId="77777777" w:rsidR="00175B47" w:rsidRPr="008608AA" w:rsidRDefault="00175B47" w:rsidP="00E30489">
      <w:pPr>
        <w:ind w:left="779" w:hangingChars="354" w:hanging="779"/>
        <w:contextualSpacing/>
      </w:pPr>
      <w:r w:rsidRPr="008608AA">
        <w:rPr>
          <w:lang w:val="es-CO"/>
        </w:rPr>
        <w:t xml:space="preserve">Guardiola, J., &amp; García-Quero, F. (2014). </w:t>
      </w:r>
      <w:r w:rsidRPr="008608AA">
        <w:t xml:space="preserve">Buen Vivir (living well) in Ecuador: Community and environmental satisfaction without household material prosperity? </w:t>
      </w:r>
      <w:r w:rsidRPr="008608AA">
        <w:rPr>
          <w:i/>
        </w:rPr>
        <w:t>Ecological Economics</w:t>
      </w:r>
      <w:r w:rsidRPr="008608AA">
        <w:t xml:space="preserve">, 107, 177–184. </w:t>
      </w:r>
    </w:p>
    <w:p w14:paraId="7E041697" w14:textId="77777777" w:rsidR="00175B47" w:rsidRPr="008608AA" w:rsidRDefault="00175B47" w:rsidP="00E30489">
      <w:pPr>
        <w:ind w:left="779" w:hangingChars="354" w:hanging="779"/>
        <w:contextualSpacing/>
      </w:pPr>
      <w:r w:rsidRPr="008608AA">
        <w:t xml:space="preserve">Guedes, G. R., Brondízio, E. S., Barbieri, A. F., Anne, R., Penna-Firme, R., &amp; D’Antona, Á. O. (2012). Poverty and Inequality in the Rural Brazilian Amazon: A Multidimensional Approach. </w:t>
      </w:r>
      <w:r w:rsidRPr="008608AA">
        <w:rPr>
          <w:i/>
        </w:rPr>
        <w:t>Human Ecology</w:t>
      </w:r>
      <w:r w:rsidRPr="008608AA">
        <w:t>, 40(1), 41–57.</w:t>
      </w:r>
    </w:p>
    <w:p w14:paraId="7DE3AD71" w14:textId="77777777" w:rsidR="00175B47" w:rsidRPr="008608AA" w:rsidRDefault="00175B47" w:rsidP="00E30489">
      <w:pPr>
        <w:widowControl w:val="0"/>
        <w:autoSpaceDE w:val="0"/>
        <w:autoSpaceDN w:val="0"/>
        <w:adjustRightInd w:val="0"/>
        <w:ind w:left="779" w:hangingChars="354" w:hanging="779"/>
        <w:rPr>
          <w:noProof/>
        </w:rPr>
      </w:pPr>
      <w:r w:rsidRPr="008608AA">
        <w:rPr>
          <w:noProof/>
        </w:rPr>
        <w:t xml:space="preserve">Gygli, S., Haelg, F., &amp; Sturm, J.-E. (2018). The KOF Globalisation Index – Revisited. </w:t>
      </w:r>
      <w:r w:rsidRPr="008608AA">
        <w:rPr>
          <w:i/>
          <w:iCs/>
          <w:noProof/>
        </w:rPr>
        <w:t>KOF Working Papers</w:t>
      </w:r>
      <w:r w:rsidRPr="008608AA">
        <w:rPr>
          <w:noProof/>
        </w:rPr>
        <w:t>. Zurich: KOF Swiss Economic Institute. Retrieved from https://www.ethz.ch/content/dam/ethz/special-interest/dual/kof-dam/documents/Globalization/2018/KOF_Globalisation_Index_Revisited.pdf</w:t>
      </w:r>
    </w:p>
    <w:p w14:paraId="2281BB5E" w14:textId="77777777" w:rsidR="00175B47" w:rsidRPr="008608AA" w:rsidRDefault="00175B47" w:rsidP="00E30489">
      <w:pPr>
        <w:ind w:left="779" w:hangingChars="354" w:hanging="779"/>
        <w:contextualSpacing/>
      </w:pPr>
      <w:r w:rsidRPr="008608AA">
        <w:t>Haines-Young, R., &amp; Potschin, M. (2012). Common international classification of ecosystem services (CICES, Version 4.1). European Environment Agency, 33.</w:t>
      </w:r>
    </w:p>
    <w:p w14:paraId="65FDCD9A" w14:textId="77777777" w:rsidR="00175B47" w:rsidRPr="008608AA" w:rsidRDefault="00175B47" w:rsidP="00E30489">
      <w:pPr>
        <w:ind w:left="779" w:hangingChars="354" w:hanging="779"/>
        <w:contextualSpacing/>
      </w:pPr>
      <w:r w:rsidRPr="008608AA">
        <w:rPr>
          <w:lang w:val="de-DE"/>
        </w:rPr>
        <w:t xml:space="preserve">Hansen, K.B., Jepsen, Käthe; Jacquelin, Pamela L. (2017). </w:t>
      </w:r>
      <w:r w:rsidRPr="008608AA">
        <w:t>The Indigenous World Copenhagen: International Work Group for Indigenous Affairs (IWGIA). Retrieved from http://www.iwgia.org/publications/search-pubs?publication_id=760</w:t>
      </w:r>
    </w:p>
    <w:p w14:paraId="54C57F96" w14:textId="77777777" w:rsidR="00175B47" w:rsidRPr="008608AA" w:rsidRDefault="00175B47" w:rsidP="00E30489">
      <w:pPr>
        <w:widowControl w:val="0"/>
        <w:ind w:left="779" w:hangingChars="354" w:hanging="779"/>
        <w:contextualSpacing/>
      </w:pPr>
      <w:r w:rsidRPr="008608AA">
        <w:t>Hanson, C., Talberth, J., &amp; Yonavjak, L. (2011). Forests for water: Exploring Payments for Watershed Services in the U.S. South. Washington DC: World Resources Institute. Retrieved from http://pdf.wri.org/forests_for_water.pdf</w:t>
      </w:r>
    </w:p>
    <w:p w14:paraId="37BC73E3" w14:textId="77777777" w:rsidR="00175B47" w:rsidRPr="008608AA" w:rsidRDefault="00175B47" w:rsidP="00E30489">
      <w:pPr>
        <w:widowControl w:val="0"/>
        <w:ind w:left="779" w:hangingChars="354" w:hanging="779"/>
        <w:contextualSpacing/>
      </w:pPr>
      <w:r w:rsidRPr="008608AA">
        <w:t xml:space="preserve">Harrison, I. J., Green, P. A., Farrell, T. A., Juffe-Bignoli, D., Sáenz, L., &amp; Vörösmarty, C. J. (2016). Protected areas and freshwater provisioning: a global assessment of freshwater provision, threats and management strategies to support human water security. </w:t>
      </w:r>
      <w:r w:rsidRPr="008608AA">
        <w:rPr>
          <w:i/>
        </w:rPr>
        <w:t>Aquatic Conservation: Marine and Freshwater Ecosystems</w:t>
      </w:r>
      <w:r w:rsidRPr="008608AA">
        <w:t xml:space="preserve">, </w:t>
      </w:r>
      <w:r w:rsidRPr="008608AA">
        <w:rPr>
          <w:i/>
        </w:rPr>
        <w:t>26</w:t>
      </w:r>
      <w:r w:rsidRPr="008608AA">
        <w:t xml:space="preserve">(S1), 103–120. </w:t>
      </w:r>
    </w:p>
    <w:p w14:paraId="53B68F80" w14:textId="77777777" w:rsidR="00175B47" w:rsidRPr="008608AA" w:rsidRDefault="00175B47" w:rsidP="00E30489">
      <w:pPr>
        <w:widowControl w:val="0"/>
        <w:ind w:left="779" w:hangingChars="354" w:hanging="779"/>
        <w:contextualSpacing/>
      </w:pPr>
      <w:r w:rsidRPr="008608AA">
        <w:t xml:space="preserve">Hawley, K., Moench, M., &amp; Sabbag, L. (2012). </w:t>
      </w:r>
      <w:r w:rsidRPr="008608AA">
        <w:rPr>
          <w:i/>
        </w:rPr>
        <w:t>Understanding the Economics of Flood Risk Reduction: A Preliminary Analysis</w:t>
      </w:r>
      <w:r w:rsidRPr="008608AA">
        <w:t>. Boulder: Institute for Social and Environmental Transition.</w:t>
      </w:r>
    </w:p>
    <w:p w14:paraId="1DABF8A5" w14:textId="77777777" w:rsidR="00175B47" w:rsidRPr="008608AA" w:rsidRDefault="00175B47" w:rsidP="00E30489">
      <w:pPr>
        <w:ind w:left="779" w:hangingChars="354" w:hanging="779"/>
        <w:contextualSpacing/>
      </w:pPr>
      <w:r w:rsidRPr="008608AA">
        <w:t xml:space="preserve">Hermoso, V., Abell, R., Linke, S., &amp; Boon, P. (2016). The role of protected areas for freshwater biodiversity conservation: challenges and opportunities in a rapidly changing world. </w:t>
      </w:r>
      <w:r w:rsidRPr="008608AA">
        <w:rPr>
          <w:i/>
        </w:rPr>
        <w:t>Aquatic Conservation: Marine and Freshwater Ecosystems</w:t>
      </w:r>
      <w:r w:rsidRPr="008608AA">
        <w:t xml:space="preserve">, 26(S1), 3–11. </w:t>
      </w:r>
    </w:p>
    <w:p w14:paraId="696E8EEE" w14:textId="77777777" w:rsidR="00175B47" w:rsidRPr="008608AA" w:rsidRDefault="00175B47" w:rsidP="00E30489">
      <w:pPr>
        <w:widowControl w:val="0"/>
        <w:ind w:left="779" w:hangingChars="354" w:hanging="779"/>
        <w:contextualSpacing/>
        <w:rPr>
          <w:lang w:val="es-CO"/>
        </w:rPr>
      </w:pPr>
      <w:r w:rsidRPr="008608AA">
        <w:t xml:space="preserve">Hughes, T. P. (1994). Catastrophes, phase shifts, and large-scale degradation of a Caribbean coral reef. </w:t>
      </w:r>
      <w:r w:rsidRPr="008608AA">
        <w:rPr>
          <w:i/>
          <w:lang w:val="es-CO"/>
        </w:rPr>
        <w:t>Science</w:t>
      </w:r>
      <w:r w:rsidRPr="008608AA">
        <w:rPr>
          <w:lang w:val="es-CO"/>
        </w:rPr>
        <w:t xml:space="preserve">, </w:t>
      </w:r>
      <w:r w:rsidRPr="008608AA">
        <w:rPr>
          <w:i/>
          <w:lang w:val="es-CO"/>
        </w:rPr>
        <w:t>265</w:t>
      </w:r>
      <w:r w:rsidRPr="008608AA">
        <w:rPr>
          <w:lang w:val="es-CO"/>
        </w:rPr>
        <w:t xml:space="preserve">(5178), 1547–51. </w:t>
      </w:r>
    </w:p>
    <w:p w14:paraId="516E3B1E" w14:textId="77777777" w:rsidR="00175B47" w:rsidRPr="008608AA" w:rsidRDefault="00175B47" w:rsidP="00E30489">
      <w:pPr>
        <w:ind w:left="779" w:hangingChars="354" w:hanging="779"/>
        <w:contextualSpacing/>
        <w:rPr>
          <w:lang w:val="es-CO"/>
        </w:rPr>
      </w:pPr>
      <w:r w:rsidRPr="008608AA">
        <w:rPr>
          <w:lang w:val="es-CO"/>
        </w:rPr>
        <w:t>IBGE. (2017). Instituto Brasileiro de Geografia e Estatística. Países@. Retrieved from http://paises.ibge.gov.br/#/pt/pais</w:t>
      </w:r>
    </w:p>
    <w:p w14:paraId="0CDED501" w14:textId="77777777" w:rsidR="00175B47" w:rsidRPr="008608AA" w:rsidRDefault="00175B47" w:rsidP="00E30489">
      <w:pPr>
        <w:ind w:left="779" w:hangingChars="354" w:hanging="779"/>
        <w:contextualSpacing/>
        <w:rPr>
          <w:lang w:val="es-CO"/>
        </w:rPr>
      </w:pPr>
      <w:r w:rsidRPr="008608AA">
        <w:t xml:space="preserve">IEA (2015). Energy Climate and Change. World Energy Outlook Special Report. </w:t>
      </w:r>
      <w:r w:rsidRPr="008608AA">
        <w:rPr>
          <w:lang w:val="es-CO"/>
        </w:rPr>
        <w:t>(International Energy Agency). Paris.</w:t>
      </w:r>
    </w:p>
    <w:p w14:paraId="5B9E3871" w14:textId="77777777" w:rsidR="00175B47" w:rsidRPr="008608AA" w:rsidRDefault="00175B47" w:rsidP="00E30489">
      <w:pPr>
        <w:ind w:left="779" w:hangingChars="354" w:hanging="779"/>
        <w:contextualSpacing/>
        <w:rPr>
          <w:lang w:val="es-CO"/>
        </w:rPr>
      </w:pPr>
      <w:r w:rsidRPr="008608AA">
        <w:rPr>
          <w:lang w:val="es-CO"/>
        </w:rPr>
        <w:t>Instituto Nacional de Estadística y Geografia México (2015). La Encuesta Intercensal 2015. Retrieved from http://www.beta.inegi.org.mx/proyectos/enchogares/especiales/intercensal/</w:t>
      </w:r>
    </w:p>
    <w:p w14:paraId="5FE81FEA" w14:textId="77777777" w:rsidR="00175B47" w:rsidRPr="008608AA" w:rsidRDefault="00175B47" w:rsidP="00E30489">
      <w:pPr>
        <w:ind w:left="779" w:hangingChars="354" w:hanging="779"/>
        <w:contextualSpacing/>
      </w:pPr>
      <w:r w:rsidRPr="008608AA">
        <w:rPr>
          <w:lang w:val="es-CO"/>
        </w:rPr>
        <w:t xml:space="preserve">Instituto Socioambiental (ISA). (2010). Populações indígenas no Brasil. </w:t>
      </w:r>
      <w:r w:rsidRPr="008608AA">
        <w:t>Retrieved from https://pib.socioambiental.org/pt/c/0/1/2/populacao-indigena-no-brasil</w:t>
      </w:r>
    </w:p>
    <w:p w14:paraId="671D3E2E" w14:textId="77777777" w:rsidR="00175B47" w:rsidRPr="008608AA" w:rsidRDefault="00175B47" w:rsidP="00E30489">
      <w:pPr>
        <w:ind w:left="779" w:hangingChars="354" w:hanging="779"/>
        <w:contextualSpacing/>
      </w:pPr>
      <w:r w:rsidRPr="008608AA">
        <w:t xml:space="preserve">Ioris, A. A. R. (2016). The paradox of poverty in rich ecosystems: impoverishment and development in the Amazon of Brazil and Bolivia. </w:t>
      </w:r>
      <w:r w:rsidRPr="008608AA">
        <w:rPr>
          <w:i/>
        </w:rPr>
        <w:t>The Geographical Journal</w:t>
      </w:r>
      <w:r w:rsidRPr="008608AA">
        <w:t>, 182(2), 178–189.</w:t>
      </w:r>
    </w:p>
    <w:p w14:paraId="67E7534F" w14:textId="77777777" w:rsidR="00175B47" w:rsidRPr="008608AA" w:rsidRDefault="00175B47" w:rsidP="00E30489">
      <w:pPr>
        <w:widowControl w:val="0"/>
        <w:ind w:left="779" w:hangingChars="354" w:hanging="779"/>
        <w:contextualSpacing/>
      </w:pPr>
      <w:r w:rsidRPr="008608AA">
        <w:t xml:space="preserve">IPBES (2016a). Summary for policymakers of the assessment report of the Intergovernmental Science-Policy Platform on Biodiversity and Ecosystem Services on pollinators, pollination and food production.  S.G. Potts, V. L. Imperatriz-Fonseca, H. T. Ngo, J. C. Biesmeijer, T. D. Breeze, L. V. Dicks, L. A. Garibaldi, R. Hill, J. Settele, A. J. Vanbergen, M. A. Aizen, S. A. Cunningham, C. Eardley, B. M. Freitas, N. Gallai, P. G. Kevan, A. Kovács-Hostyánszki, P. K. Kwapong, J. Li, X. Li, D. J. Martins, G. Nates-Parra, J. S. Pettis, R. Rader, and B. F. Viana (eds.). Secretariat of the Intergovernmental Science-Policy Platform on Biodiversity and Ecosystem Services, Bonn, Germany. 36 pages. Retieved from </w:t>
      </w:r>
      <w:hyperlink r:id="rId32" w:history="1">
        <w:r w:rsidRPr="008608AA">
          <w:rPr>
            <w:rStyle w:val="Hyperlink"/>
          </w:rPr>
          <w:t>www.ipbes.net/sites/default/files/downloads/pdf/spm_deliverable_3a_pollination_20170222.pdf</w:t>
        </w:r>
      </w:hyperlink>
      <w:r w:rsidRPr="008608AA">
        <w:t xml:space="preserve"> </w:t>
      </w:r>
    </w:p>
    <w:p w14:paraId="3073ED6B" w14:textId="77777777" w:rsidR="00175B47" w:rsidRPr="008608AA" w:rsidRDefault="00175B47" w:rsidP="00E30489">
      <w:pPr>
        <w:widowControl w:val="0"/>
        <w:ind w:left="779" w:hangingChars="354" w:hanging="779"/>
        <w:contextualSpacing/>
      </w:pPr>
      <w:r w:rsidRPr="008608AA">
        <w:t>IPBES. (2014). Guide on the production and integration of assessments from and across all scales (deliverable 2 (a)). Bonn: IPBES/3/INF/4. Secretariat of the Intergovernmental Science-Policy Platform on Biodiversity and Ecosystem Services.</w:t>
      </w:r>
    </w:p>
    <w:p w14:paraId="6A67F50A" w14:textId="77777777" w:rsidR="00175B47" w:rsidRPr="008608AA" w:rsidRDefault="00175B47" w:rsidP="00E30489">
      <w:pPr>
        <w:widowControl w:val="0"/>
        <w:ind w:left="779" w:hangingChars="354" w:hanging="779"/>
        <w:contextualSpacing/>
      </w:pPr>
      <w:r w:rsidRPr="008608AA">
        <w:t>IPBES. (2015a). Report of the Plenary of the Intergovernmental Science-Policy Platform on Biodiversity and Ecosystem Services on the work of its third session. Annex V Scoping for a regional assessment of biodiversity and ecosystem services and functions for the Americas. Bonn: Secretariat of the Intergovernmental Science-Policy Platform on Biodiversity and Ecosystem Services.</w:t>
      </w:r>
    </w:p>
    <w:p w14:paraId="3130724D" w14:textId="77777777" w:rsidR="00175B47" w:rsidRPr="008608AA" w:rsidRDefault="00175B47" w:rsidP="00E30489">
      <w:pPr>
        <w:widowControl w:val="0"/>
        <w:ind w:left="779" w:hangingChars="354" w:hanging="779"/>
        <w:contextualSpacing/>
      </w:pPr>
      <w:r w:rsidRPr="008608AA">
        <w:t>IPBES. (2015b). Preliminary guide regarding diverse conceptualization of multiple values of nature and its benefits, including biodiversity and ecosystem functions and services (deliverable 3 (d)). Kuala Lumpur: IPBES/4/INF/13. Plenary of the Intergovernmental Science-Policy Platform on Biodiversity and Ecosystem Services Fourth session.</w:t>
      </w:r>
    </w:p>
    <w:p w14:paraId="2A9DBC81" w14:textId="77777777" w:rsidR="00175B47" w:rsidRPr="008608AA" w:rsidRDefault="00175B47" w:rsidP="00E30489">
      <w:pPr>
        <w:widowControl w:val="0"/>
        <w:ind w:left="779" w:hangingChars="354" w:hanging="779"/>
        <w:contextualSpacing/>
      </w:pPr>
      <w:r w:rsidRPr="008608AA">
        <w:t>IPBES. (2016b). The methodological assessment report on Scenarios and Models of Biodiversity and Ecosystem Services of the Intergovernmental Science-Policy Platform on Biodiversity and Ecosystem Services. In S. Ferrier, K. N. Ninan, P. Leadley, R. Alkemade, L. A. Acosta, H. R. Akçakaya, L. Brotons, W. W. L. Cheung, V. Christensen, K. A. Harhash, J. Kabubo-Mariara, C. Lundquist, M. Obersteiner, H. M. Pereira, G. Peterson, R. Pichs-Madruga, N. Ravindranath, C. Rondinini, &amp; B. A. Wintle (Eds.) (p. 348). Bonn, Germany: Secretariat of the Intergovernmental Science-Policy Platform on Biodiversity and Ecosystem Services. Retrieved from https://www.ipbes.net/sites/default/files/downloads/pdf/2016.methodological_assessment_report_scenarios_models.pdf</w:t>
      </w:r>
    </w:p>
    <w:p w14:paraId="0055741D" w14:textId="77777777" w:rsidR="00175B47" w:rsidRPr="008608AA" w:rsidRDefault="00175B47" w:rsidP="00E30489">
      <w:pPr>
        <w:widowControl w:val="0"/>
        <w:ind w:left="779" w:hangingChars="354" w:hanging="779"/>
        <w:contextualSpacing/>
      </w:pPr>
      <w:r w:rsidRPr="008608AA">
        <w:t xml:space="preserve">IPBES. (2017a). Update on the classification of nature’s contributions to people by the Intergovernmental Science-Policy Platform on Biodiversity and Ecosystem Services, Germany: IPBES/5/INF/24. Plenary of the Intergovernmental Science-Policy Platform on Biodiversity and Ecosystem Services Fifth  session. Available from: </w:t>
      </w:r>
      <w:hyperlink r:id="rId33">
        <w:r w:rsidRPr="008608AA">
          <w:rPr>
            <w:color w:val="0000FF"/>
            <w:u w:val="single"/>
          </w:rPr>
          <w:t>https://www.ipbes.net/system/tdf/downloads/pdf/ipbes-5-inf-24.pdf?file=1&amp;type=node&amp;id=534</w:t>
        </w:r>
      </w:hyperlink>
      <w:r w:rsidRPr="008608AA">
        <w:t xml:space="preserve"> </w:t>
      </w:r>
    </w:p>
    <w:p w14:paraId="69542871" w14:textId="77777777" w:rsidR="00175B47" w:rsidRPr="008608AA" w:rsidRDefault="00175B47" w:rsidP="00E30489">
      <w:pPr>
        <w:widowControl w:val="0"/>
        <w:ind w:left="779" w:hangingChars="354" w:hanging="779"/>
        <w:contextualSpacing/>
      </w:pPr>
      <w:r w:rsidRPr="008608AA">
        <w:t xml:space="preserve">IPBES. (2017b). Update on the work on knowledge and data (deliverables 1 (d) and 4 (b)). Germany: IPBES/5/INF/5. Plenary of the Intergovernmental Science-Policy Platform on Biodiversity and Ecosystem Services Fifth  session. Available from: </w:t>
      </w:r>
      <w:hyperlink r:id="rId34">
        <w:r w:rsidRPr="008608AA">
          <w:rPr>
            <w:color w:val="0000FF"/>
            <w:u w:val="single"/>
          </w:rPr>
          <w:t>https://www.ipbes.net/system/tdf/downloads/pdf/ipbes-5-inf-5.pdf?file=1&amp;type=node&amp;id=540</w:t>
        </w:r>
      </w:hyperlink>
    </w:p>
    <w:p w14:paraId="5CA061D3" w14:textId="77777777" w:rsidR="00175B47" w:rsidRPr="008608AA" w:rsidRDefault="00175B47" w:rsidP="00E30489">
      <w:pPr>
        <w:widowControl w:val="0"/>
        <w:ind w:left="779" w:hangingChars="354" w:hanging="779"/>
        <w:contextualSpacing/>
      </w:pPr>
      <w:r w:rsidRPr="008608AA">
        <w:rPr>
          <w:lang w:val="de-DE"/>
        </w:rPr>
        <w:t xml:space="preserve">Jacobsen, S.-E., Sørensen, M., Pedersen, S. M., &amp; Weiner, J. (2013). </w:t>
      </w:r>
      <w:r w:rsidRPr="008608AA">
        <w:t xml:space="preserve">Feeding the world: genetically modified crops versus agricultural biodiversity. </w:t>
      </w:r>
      <w:r w:rsidRPr="008608AA">
        <w:rPr>
          <w:i/>
        </w:rPr>
        <w:t>Agronomy for Sustainable Development</w:t>
      </w:r>
      <w:r w:rsidRPr="008608AA">
        <w:t xml:space="preserve">, </w:t>
      </w:r>
      <w:r w:rsidRPr="008608AA">
        <w:rPr>
          <w:i/>
        </w:rPr>
        <w:t>33</w:t>
      </w:r>
      <w:r w:rsidRPr="008608AA">
        <w:t xml:space="preserve">(4), 651–662. </w:t>
      </w:r>
    </w:p>
    <w:p w14:paraId="0FD5BDA9" w14:textId="77777777" w:rsidR="00175B47" w:rsidRPr="008608AA" w:rsidRDefault="00175B47" w:rsidP="00E30489">
      <w:pPr>
        <w:widowControl w:val="0"/>
        <w:ind w:left="779" w:hangingChars="354" w:hanging="779"/>
        <w:contextualSpacing/>
      </w:pPr>
      <w:r w:rsidRPr="008608AA">
        <w:t xml:space="preserve">Jenkins, C. N., Pimm, S. L., &amp; Joppa, L. N. (2013). Global patterns of terrestrial vertebrate diversity and conservation. </w:t>
      </w:r>
      <w:r w:rsidRPr="008608AA">
        <w:rPr>
          <w:i/>
        </w:rPr>
        <w:t>PNAS</w:t>
      </w:r>
      <w:r w:rsidRPr="008608AA">
        <w:t xml:space="preserve">, </w:t>
      </w:r>
      <w:r w:rsidRPr="008608AA">
        <w:rPr>
          <w:i/>
        </w:rPr>
        <w:t>110</w:t>
      </w:r>
      <w:r w:rsidRPr="008608AA">
        <w:t xml:space="preserve">(28), E2602-10. </w:t>
      </w:r>
    </w:p>
    <w:p w14:paraId="15D9C65A" w14:textId="77777777" w:rsidR="00175B47" w:rsidRPr="008608AA" w:rsidRDefault="00175B47" w:rsidP="00E30489">
      <w:pPr>
        <w:widowControl w:val="0"/>
        <w:ind w:left="779" w:hangingChars="354" w:hanging="779"/>
        <w:contextualSpacing/>
      </w:pPr>
      <w:r w:rsidRPr="008608AA">
        <w:rPr>
          <w:lang w:val="de-DE"/>
        </w:rPr>
        <w:t xml:space="preserve">Jetoo, S., Thorn, A., Friedman, K., Gosman, S., &amp; Krantzberg, G. (2015). </w:t>
      </w:r>
      <w:r w:rsidRPr="008608AA">
        <w:t xml:space="preserve">Governance and geopolitics as drivers of change in the Great Lakes-St. Lawrence basin. </w:t>
      </w:r>
      <w:r w:rsidRPr="008608AA">
        <w:rPr>
          <w:i/>
        </w:rPr>
        <w:t>Journal of Great Lakes Research</w:t>
      </w:r>
      <w:r w:rsidRPr="008608AA">
        <w:t xml:space="preserve">, </w:t>
      </w:r>
      <w:r w:rsidRPr="008608AA">
        <w:rPr>
          <w:i/>
        </w:rPr>
        <w:t>41</w:t>
      </w:r>
      <w:r w:rsidRPr="008608AA">
        <w:t xml:space="preserve">(S1), 108–118. </w:t>
      </w:r>
    </w:p>
    <w:p w14:paraId="5E9B28E2" w14:textId="77777777" w:rsidR="00175B47" w:rsidRPr="008608AA" w:rsidRDefault="00175B47" w:rsidP="00E30489">
      <w:pPr>
        <w:widowControl w:val="0"/>
        <w:ind w:left="779" w:hangingChars="354" w:hanging="779"/>
        <w:contextualSpacing/>
      </w:pPr>
      <w:r w:rsidRPr="008608AA">
        <w:t xml:space="preserve">Johns, C. M. (2017). The Great Lakes, Water Quality and Water Policy in Canada. In S. Renzetti &amp; D. P. Dupont (Eds.) (pp. 159–178). Springer. </w:t>
      </w:r>
    </w:p>
    <w:p w14:paraId="017C5D2B" w14:textId="77777777" w:rsidR="00175B47" w:rsidRPr="008608AA" w:rsidRDefault="00175B47" w:rsidP="00E30489">
      <w:pPr>
        <w:ind w:left="779" w:hangingChars="354" w:hanging="779"/>
        <w:contextualSpacing/>
      </w:pPr>
      <w:r w:rsidRPr="008608AA">
        <w:t xml:space="preserve">Joppa, L. N., &amp; Pfaff, A. (2009). High and Far: Biases in the Location of Protected Areas. </w:t>
      </w:r>
      <w:r w:rsidRPr="008608AA">
        <w:rPr>
          <w:i/>
        </w:rPr>
        <w:t>PloS ONE</w:t>
      </w:r>
      <w:r w:rsidRPr="008608AA">
        <w:t>, 4(12), e8273.</w:t>
      </w:r>
    </w:p>
    <w:p w14:paraId="1B0EDFCA" w14:textId="77777777" w:rsidR="00175B47" w:rsidRPr="008608AA" w:rsidRDefault="00175B47" w:rsidP="00E30489">
      <w:pPr>
        <w:ind w:left="779" w:hangingChars="354" w:hanging="779"/>
        <w:contextualSpacing/>
      </w:pPr>
      <w:r w:rsidRPr="008608AA">
        <w:rPr>
          <w:noProof/>
        </w:rPr>
        <w:t xml:space="preserve">Juffe-Bignoli, D., Burgess, N.D., Bingham, H., Belle, E.M.S., de Lima, M.G., Deguignet, M., Bertzky, B., Milam, A.N., Martinez-Lopez, J., Lewis, E., Eassom, A., Wicander, S., Geldmann, J., van Soesbergen, A., Arnell, A.P., O’Connor, B., Park, S., Shi, Y.N., Danks, F.S., MacSharry, B., Kingston, N. (2014). </w:t>
      </w:r>
      <w:r w:rsidRPr="008608AA">
        <w:rPr>
          <w:i/>
          <w:iCs/>
          <w:noProof/>
        </w:rPr>
        <w:t>Protected Planet Report 2014</w:t>
      </w:r>
      <w:r w:rsidRPr="008608AA">
        <w:rPr>
          <w:noProof/>
        </w:rPr>
        <w:t xml:space="preserve">. Cambridge, UK: UNEP-WCMC. Retrieved from </w:t>
      </w:r>
      <w:hyperlink r:id="rId35" w:tgtFrame="_blank" w:history="1">
        <w:r w:rsidRPr="008608AA">
          <w:rPr>
            <w:color w:val="1155CC"/>
            <w:u w:val="single"/>
          </w:rPr>
          <w:t>http://wdpa.s3.amazonaws.com/WPC2014/protected_planet_report.pdf</w:t>
        </w:r>
      </w:hyperlink>
      <w:r w:rsidRPr="008608AA">
        <w:rPr>
          <w:color w:val="1155CC"/>
          <w:u w:val="single"/>
        </w:rPr>
        <w:t>.</w:t>
      </w:r>
    </w:p>
    <w:p w14:paraId="24ABFF75" w14:textId="77777777" w:rsidR="00175B47" w:rsidRPr="008608AA" w:rsidRDefault="00175B47" w:rsidP="00E30489">
      <w:pPr>
        <w:ind w:left="779" w:hangingChars="354" w:hanging="779"/>
        <w:contextualSpacing/>
      </w:pPr>
      <w:r w:rsidRPr="008608AA">
        <w:t xml:space="preserve">Juffe-Bignoli, D., Harrison, I., Butchart, S. H., Flitcroft, R., Hermoso, V., Jonas, H., Lukasiewicz, A., Thieme, M., Turak, E., Bingham, H., Dalton, J., Darwall, W., Deguignet, M., Dudley, N., Gardner, R., Higgins, J., Kumar, R., Linke, S., Milton, G. R., Pittock, J., Smith, K. G., &amp; van Soesbergen, A. (2016). Achieving Aichi Biodiversity Target 11 to improve the performance of protected areas and conserve freshwater biodiversity. </w:t>
      </w:r>
      <w:r w:rsidRPr="008608AA">
        <w:rPr>
          <w:i/>
          <w:iCs/>
        </w:rPr>
        <w:t>Aquatic Conservation: Marine and Freshwater Ecosystems</w:t>
      </w:r>
      <w:r w:rsidRPr="008608AA">
        <w:t xml:space="preserve">, </w:t>
      </w:r>
      <w:r w:rsidRPr="008608AA">
        <w:rPr>
          <w:i/>
          <w:iCs/>
        </w:rPr>
        <w:t>26</w:t>
      </w:r>
      <w:r w:rsidRPr="008608AA">
        <w:t>, 133–151. https://doi.org/10.1002/aqc.2638</w:t>
      </w:r>
    </w:p>
    <w:p w14:paraId="7573FDE2" w14:textId="77777777" w:rsidR="00175B47" w:rsidRPr="008608AA" w:rsidRDefault="00175B47" w:rsidP="00E30489">
      <w:pPr>
        <w:ind w:left="779" w:hangingChars="354" w:hanging="779"/>
        <w:contextualSpacing/>
      </w:pPr>
      <w:r w:rsidRPr="008608AA">
        <w:t>Kalinago Territory (2017). Home to the indigenous people of Dominica. Dominica’s First Early Inhabitants. Retrieved from http://kalinagoterritory.com/about-us/</w:t>
      </w:r>
    </w:p>
    <w:p w14:paraId="7DDFCF81" w14:textId="77777777" w:rsidR="00175B47" w:rsidRPr="008608AA" w:rsidRDefault="00175B47" w:rsidP="00E30489">
      <w:pPr>
        <w:ind w:left="779" w:hangingChars="354" w:hanging="779"/>
        <w:contextualSpacing/>
      </w:pPr>
      <w:r w:rsidRPr="008608AA">
        <w:t xml:space="preserve">Kaplan, H., Randall, C., Thompson, M. D., Benjamin, C., Trumble, &amp; Al., E. (2017). Coronary atherosclerosis in indigenous South American Tsimane: a cross-sectional cohort study. </w:t>
      </w:r>
      <w:r w:rsidRPr="008608AA">
        <w:rPr>
          <w:i/>
        </w:rPr>
        <w:t>The Lancet</w:t>
      </w:r>
      <w:r w:rsidRPr="008608AA">
        <w:t xml:space="preserve">, 389(10080), 1730–1739. </w:t>
      </w:r>
    </w:p>
    <w:p w14:paraId="0E288EF6" w14:textId="77777777" w:rsidR="00175B47" w:rsidRPr="008608AA" w:rsidRDefault="00175B47" w:rsidP="00E30489">
      <w:pPr>
        <w:widowControl w:val="0"/>
        <w:ind w:left="779" w:hangingChars="354" w:hanging="779"/>
        <w:contextualSpacing/>
      </w:pPr>
      <w:r w:rsidRPr="008608AA">
        <w:t>Kaufmann, D., Kraay, A., &amp; Mastruzzi, M. (2010, September 1). The Worldwide Governance Indicators: Methodology and Analytical Issues. World Bank Policy Research Woking Paper No. 5430.</w:t>
      </w:r>
    </w:p>
    <w:p w14:paraId="45013A06" w14:textId="77777777" w:rsidR="00175B47" w:rsidRPr="008608AA" w:rsidRDefault="00175B47" w:rsidP="00E30489">
      <w:pPr>
        <w:ind w:left="779" w:hangingChars="354" w:hanging="779"/>
        <w:contextualSpacing/>
      </w:pPr>
      <w:r w:rsidRPr="008608AA">
        <w:t xml:space="preserve">Kimbell, A. R., &amp; Brown, H. (2009). Using Forestry to Secure America’s Water Supply. </w:t>
      </w:r>
      <w:r w:rsidRPr="008608AA">
        <w:rPr>
          <w:i/>
        </w:rPr>
        <w:t>Journal of Forestry</w:t>
      </w:r>
      <w:r w:rsidRPr="008608AA">
        <w:t xml:space="preserve">, 107(3), 146–149. </w:t>
      </w:r>
    </w:p>
    <w:p w14:paraId="5B1BDD08" w14:textId="77777777" w:rsidR="00175B47" w:rsidRPr="008608AA" w:rsidRDefault="00175B47" w:rsidP="00E30489">
      <w:pPr>
        <w:ind w:left="779" w:hangingChars="354" w:hanging="779"/>
        <w:contextualSpacing/>
      </w:pPr>
      <w:r w:rsidRPr="008608AA">
        <w:t>Kipuri, N. (2009). Culture. In State of the World‘s Indigenous Peoples. United Nations Department of Economic and Social Affairs, New York.</w:t>
      </w:r>
    </w:p>
    <w:p w14:paraId="56FB687A" w14:textId="77777777" w:rsidR="00175B47" w:rsidRPr="008608AA" w:rsidRDefault="00175B47" w:rsidP="00E30489">
      <w:pPr>
        <w:widowControl w:val="0"/>
        <w:ind w:left="779" w:hangingChars="354" w:hanging="779"/>
        <w:contextualSpacing/>
      </w:pPr>
      <w:r w:rsidRPr="008608AA">
        <w:rPr>
          <w:lang w:val="de-DE"/>
        </w:rPr>
        <w:t xml:space="preserve">Klein, A. M., Müller, C., Hoehn, P., &amp; Kremen, C. (2009). </w:t>
      </w:r>
      <w:r w:rsidRPr="008608AA">
        <w:t xml:space="preserve">Understanding the role of species richness for crop pollination services. In S. Naeem, D. Bunker, A. Hector, M. Loreau, &amp; C. Perrings (Eds.), </w:t>
      </w:r>
      <w:r w:rsidRPr="008608AA">
        <w:rPr>
          <w:i/>
        </w:rPr>
        <w:t>Biodiversity, Ecosystem Functioning, and Human Wellbeing: An Ecological and Economic Perspective</w:t>
      </w:r>
      <w:r w:rsidRPr="008608AA">
        <w:t xml:space="preserve"> (pp. 195–208). Oxford University Press. </w:t>
      </w:r>
    </w:p>
    <w:p w14:paraId="05E3F1BB" w14:textId="77777777" w:rsidR="00175B47" w:rsidRPr="008608AA" w:rsidRDefault="00175B47" w:rsidP="00E30489">
      <w:pPr>
        <w:ind w:left="779" w:hangingChars="354" w:hanging="779"/>
        <w:contextualSpacing/>
      </w:pPr>
      <w:r w:rsidRPr="008608AA">
        <w:t xml:space="preserve">Knowlton, K.,   Rotkin-Ellman, M., Geballe L., Max, W., and G. M. Solomon. (2011). Six Climate Change–Related Events In The United States Accounted For About $14 Billion In Lost Lives And Health Costs. </w:t>
      </w:r>
      <w:r w:rsidRPr="008608AA">
        <w:rPr>
          <w:i/>
        </w:rPr>
        <w:t>Health Affairs</w:t>
      </w:r>
      <w:r w:rsidRPr="008608AA">
        <w:t>, (30)11, 2167-2176.</w:t>
      </w:r>
    </w:p>
    <w:p w14:paraId="14BD4B82" w14:textId="77777777" w:rsidR="00175B47" w:rsidRPr="008608AA" w:rsidRDefault="00175B47" w:rsidP="00E30489">
      <w:pPr>
        <w:ind w:left="779" w:hangingChars="354" w:hanging="779"/>
        <w:contextualSpacing/>
      </w:pPr>
      <w:r w:rsidRPr="008608AA">
        <w:t xml:space="preserve">Kremen, C., &amp; Miles, A. (2012). Ecosystem services in biologically diversified versus conventional farming systems: Benefits, externalities, and trade-offs. </w:t>
      </w:r>
      <w:r w:rsidRPr="008608AA">
        <w:rPr>
          <w:i/>
        </w:rPr>
        <w:t>Ecology and Society</w:t>
      </w:r>
      <w:r w:rsidRPr="008608AA">
        <w:t xml:space="preserve">, </w:t>
      </w:r>
      <w:r w:rsidRPr="008608AA">
        <w:rPr>
          <w:i/>
        </w:rPr>
        <w:t>17</w:t>
      </w:r>
      <w:r w:rsidRPr="008608AA">
        <w:t>(4), 40.</w:t>
      </w:r>
    </w:p>
    <w:p w14:paraId="3D067306" w14:textId="77777777" w:rsidR="00175B47" w:rsidRPr="008608AA" w:rsidRDefault="00175B47" w:rsidP="00E30489">
      <w:pPr>
        <w:widowControl w:val="0"/>
        <w:ind w:left="779" w:hangingChars="354" w:hanging="779"/>
        <w:contextualSpacing/>
      </w:pPr>
      <w:r w:rsidRPr="008608AA">
        <w:t xml:space="preserve">Kremen, C., &amp; Ostfeld, R. S. (2005). A call to ecologists: measuring, analysing, and managing ecosystem services. </w:t>
      </w:r>
      <w:r w:rsidRPr="008608AA">
        <w:rPr>
          <w:i/>
        </w:rPr>
        <w:t>Frontiers in Ecology and the Environment</w:t>
      </w:r>
      <w:r w:rsidRPr="008608AA">
        <w:t xml:space="preserve">, </w:t>
      </w:r>
      <w:r w:rsidRPr="008608AA">
        <w:rPr>
          <w:i/>
        </w:rPr>
        <w:t>3</w:t>
      </w:r>
      <w:r w:rsidRPr="008608AA">
        <w:t xml:space="preserve">(10), 540–548. </w:t>
      </w:r>
    </w:p>
    <w:p w14:paraId="3B777AE2" w14:textId="77777777" w:rsidR="00175B47" w:rsidRPr="008608AA" w:rsidRDefault="00175B47" w:rsidP="00E30489">
      <w:pPr>
        <w:widowControl w:val="0"/>
        <w:ind w:left="779" w:hangingChars="354" w:hanging="779"/>
        <w:contextualSpacing/>
      </w:pPr>
      <w:r w:rsidRPr="008608AA">
        <w:t xml:space="preserve">Laurance, W. F. (1999). Reflections on the tropical deforestation crisis. </w:t>
      </w:r>
      <w:r w:rsidRPr="008608AA">
        <w:rPr>
          <w:i/>
        </w:rPr>
        <w:t>Biological Conservation</w:t>
      </w:r>
      <w:r w:rsidRPr="008608AA">
        <w:t xml:space="preserve">, </w:t>
      </w:r>
      <w:r w:rsidRPr="008608AA">
        <w:rPr>
          <w:i/>
        </w:rPr>
        <w:t>91</w:t>
      </w:r>
      <w:r w:rsidRPr="008608AA">
        <w:t xml:space="preserve">(2–3), 109–117. </w:t>
      </w:r>
    </w:p>
    <w:p w14:paraId="71B1F170" w14:textId="77777777" w:rsidR="00175B47" w:rsidRPr="008608AA" w:rsidRDefault="00175B47" w:rsidP="00E30489">
      <w:pPr>
        <w:ind w:left="779" w:hangingChars="354" w:hanging="779"/>
        <w:contextualSpacing/>
      </w:pPr>
      <w:r w:rsidRPr="008608AA">
        <w:t xml:space="preserve">Leb, C. (2015). One step at a time: international law and the duty to cooperate in the management of shared water resources. </w:t>
      </w:r>
      <w:r w:rsidRPr="008608AA">
        <w:rPr>
          <w:i/>
        </w:rPr>
        <w:t>Water International</w:t>
      </w:r>
      <w:r w:rsidRPr="008608AA">
        <w:t xml:space="preserve">, 40(1), 21–32. </w:t>
      </w:r>
    </w:p>
    <w:p w14:paraId="52883E83" w14:textId="77777777" w:rsidR="00175B47" w:rsidRPr="008608AA" w:rsidRDefault="00175B47" w:rsidP="00E30489">
      <w:pPr>
        <w:ind w:left="779" w:hangingChars="354" w:hanging="779"/>
        <w:contextualSpacing/>
      </w:pPr>
      <w:r w:rsidRPr="008608AA">
        <w:t>Lehner, B., Verdin, K., Jarvis, A. (2006). HydroSHEDS Technical Documentation. World Wildlife Fund, Washington DC. Retrieved from http://hydrosheds.cr.usgs.gov.</w:t>
      </w:r>
    </w:p>
    <w:p w14:paraId="4FD305ED" w14:textId="77777777" w:rsidR="00175B47" w:rsidRPr="008608AA" w:rsidRDefault="00175B47" w:rsidP="00E30489">
      <w:pPr>
        <w:ind w:left="779" w:hangingChars="354" w:hanging="779"/>
        <w:contextualSpacing/>
      </w:pPr>
      <w:r w:rsidRPr="008608AA">
        <w:t>Lopez, L. H. (2009). Reaching the unreached: indigenous intercultural bilingual education in Latin America.  Paper commissioned for the EFA Global Monitoring Report 2010. UNESCO. Retrieved from http://unesdoc.unesco.org/images/0018/001866/186620e.pdf</w:t>
      </w:r>
    </w:p>
    <w:p w14:paraId="6D9722DF" w14:textId="77777777" w:rsidR="00175B47" w:rsidRPr="008608AA" w:rsidRDefault="00175B47" w:rsidP="00E30489">
      <w:pPr>
        <w:widowControl w:val="0"/>
        <w:ind w:left="779" w:hangingChars="354" w:hanging="779"/>
        <w:contextualSpacing/>
      </w:pPr>
      <w:r w:rsidRPr="008608AA">
        <w:t xml:space="preserve">Lugo, A. E. (1995). Management of Tropical Biodiversity. </w:t>
      </w:r>
      <w:r w:rsidRPr="008608AA">
        <w:rPr>
          <w:i/>
        </w:rPr>
        <w:t>Ecological Applications</w:t>
      </w:r>
      <w:r w:rsidRPr="008608AA">
        <w:t xml:space="preserve">, </w:t>
      </w:r>
      <w:r w:rsidRPr="008608AA">
        <w:rPr>
          <w:i/>
        </w:rPr>
        <w:t>5</w:t>
      </w:r>
      <w:r w:rsidRPr="008608AA">
        <w:t xml:space="preserve">(4), 956–961. </w:t>
      </w:r>
    </w:p>
    <w:p w14:paraId="5A21B3AE" w14:textId="77777777" w:rsidR="00175B47" w:rsidRPr="008608AA" w:rsidRDefault="00175B47" w:rsidP="00E30489">
      <w:pPr>
        <w:widowControl w:val="0"/>
        <w:ind w:left="779" w:hangingChars="354" w:hanging="779"/>
        <w:contextualSpacing/>
      </w:pPr>
      <w:r w:rsidRPr="008608AA">
        <w:t xml:space="preserve">Lugo, A. E., Schmidt, R., &amp; Brown, S. (1981). Tropical forests in the Caribbean. </w:t>
      </w:r>
      <w:r w:rsidRPr="008608AA">
        <w:rPr>
          <w:i/>
        </w:rPr>
        <w:t>Ambio</w:t>
      </w:r>
      <w:r w:rsidRPr="008608AA">
        <w:t xml:space="preserve">, </w:t>
      </w:r>
      <w:r w:rsidRPr="008608AA">
        <w:rPr>
          <w:i/>
        </w:rPr>
        <w:t>10</w:t>
      </w:r>
      <w:r w:rsidRPr="008608AA">
        <w:t xml:space="preserve">(6), 318–324. </w:t>
      </w:r>
    </w:p>
    <w:p w14:paraId="59F6FEFD" w14:textId="77777777" w:rsidR="00175B47" w:rsidRPr="008608AA" w:rsidRDefault="00175B47" w:rsidP="00E30489">
      <w:pPr>
        <w:ind w:left="779" w:hangingChars="354" w:hanging="779"/>
        <w:contextualSpacing/>
      </w:pPr>
      <w:r w:rsidRPr="008608AA">
        <w:t>Macknick, J., Newmark, R., Heath, G., &amp; Hallett, K. (2011). A Review of Operational Water Consumption and Withdrawal Factors for Electricity Generating Technologies. Colorado. Retrieved from https://www.nrel.gov/docs/fy11osti/50900.pdf</w:t>
      </w:r>
    </w:p>
    <w:p w14:paraId="73A11583" w14:textId="77777777" w:rsidR="00175B47" w:rsidRPr="008608AA" w:rsidRDefault="00175B47" w:rsidP="00E30489">
      <w:pPr>
        <w:ind w:left="779" w:hangingChars="354" w:hanging="779"/>
        <w:contextualSpacing/>
        <w:rPr>
          <w:color w:val="222222"/>
        </w:rPr>
      </w:pPr>
      <w:r w:rsidRPr="008608AA">
        <w:rPr>
          <w:color w:val="222222"/>
        </w:rPr>
        <w:t>Maller, C., Townsend, M., Pryor, A., Brown, P., &amp; St Leger, L. (2006). Healthy nature healthy people: ‘contact with nature’ as an upstream health promotion intervention for populations. </w:t>
      </w:r>
      <w:r w:rsidRPr="008608AA">
        <w:rPr>
          <w:i/>
          <w:color w:val="222222"/>
        </w:rPr>
        <w:t>Health Promotion International</w:t>
      </w:r>
      <w:r w:rsidRPr="008608AA">
        <w:rPr>
          <w:color w:val="222222"/>
        </w:rPr>
        <w:t>, </w:t>
      </w:r>
      <w:r w:rsidRPr="008608AA">
        <w:rPr>
          <w:i/>
          <w:color w:val="222222"/>
        </w:rPr>
        <w:t>21</w:t>
      </w:r>
      <w:r w:rsidRPr="008608AA">
        <w:rPr>
          <w:color w:val="222222"/>
        </w:rPr>
        <w:t>(1), 45-54.</w:t>
      </w:r>
    </w:p>
    <w:p w14:paraId="05C3281F" w14:textId="77777777" w:rsidR="00175B47" w:rsidRPr="008608AA" w:rsidRDefault="00175B47" w:rsidP="00E30489">
      <w:pPr>
        <w:widowControl w:val="0"/>
        <w:ind w:left="779" w:hangingChars="354" w:hanging="779"/>
        <w:contextualSpacing/>
      </w:pPr>
      <w:r w:rsidRPr="008608AA">
        <w:t xml:space="preserve">Marchant, R. (2010). Understanding complexity in savannas: climate, biodiversity and people. </w:t>
      </w:r>
      <w:r w:rsidRPr="008608AA">
        <w:rPr>
          <w:i/>
        </w:rPr>
        <w:t>Current Opinion in Environmental Sustainability</w:t>
      </w:r>
      <w:r w:rsidRPr="008608AA">
        <w:t xml:space="preserve">, </w:t>
      </w:r>
      <w:r w:rsidRPr="008608AA">
        <w:rPr>
          <w:i/>
        </w:rPr>
        <w:t>2</w:t>
      </w:r>
      <w:r w:rsidRPr="008608AA">
        <w:t xml:space="preserve">(1–2), 101–108. </w:t>
      </w:r>
    </w:p>
    <w:p w14:paraId="2AE6E589" w14:textId="77777777" w:rsidR="00175B47" w:rsidRPr="008608AA" w:rsidRDefault="00175B47" w:rsidP="00E30489">
      <w:pPr>
        <w:ind w:left="779" w:hangingChars="354" w:hanging="779"/>
        <w:contextualSpacing/>
      </w:pPr>
      <w:r w:rsidRPr="008608AA">
        <w:t xml:space="preserve">Marchese, C. (2015). Biodiversity hotspots: A shortcut for a more complicated concept. </w:t>
      </w:r>
      <w:r w:rsidRPr="008608AA">
        <w:rPr>
          <w:i/>
        </w:rPr>
        <w:t>Global Ecology and Conservation</w:t>
      </w:r>
      <w:r w:rsidRPr="008608AA">
        <w:t xml:space="preserve">, 3, 297–309. </w:t>
      </w:r>
    </w:p>
    <w:p w14:paraId="77007C0D" w14:textId="77777777" w:rsidR="00175B47" w:rsidRPr="008608AA" w:rsidRDefault="00175B47" w:rsidP="00E30489">
      <w:pPr>
        <w:ind w:left="779" w:hangingChars="354" w:hanging="779"/>
        <w:contextualSpacing/>
        <w:rPr>
          <w:lang w:val="es-CO"/>
        </w:rPr>
      </w:pPr>
      <w:r w:rsidRPr="008608AA">
        <w:t xml:space="preserve">Marengo, J. A. (2006). On the hydrological cycle of the Amazon Basin: A Historical Review and Current State-of-the-Art. </w:t>
      </w:r>
      <w:r w:rsidRPr="008608AA">
        <w:rPr>
          <w:i/>
          <w:lang w:val="es-CO"/>
        </w:rPr>
        <w:t>Revista Brasileira de Metereologia</w:t>
      </w:r>
      <w:r w:rsidRPr="008608AA">
        <w:rPr>
          <w:lang w:val="es-CO"/>
        </w:rPr>
        <w:t xml:space="preserve">, 21(3), 1–19. </w:t>
      </w:r>
    </w:p>
    <w:p w14:paraId="68A40345" w14:textId="77777777" w:rsidR="00175B47" w:rsidRPr="008608AA" w:rsidRDefault="00175B47" w:rsidP="00E30489">
      <w:pPr>
        <w:widowControl w:val="0"/>
        <w:ind w:left="779" w:hangingChars="354" w:hanging="779"/>
        <w:contextualSpacing/>
      </w:pPr>
      <w:r w:rsidRPr="008608AA">
        <w:rPr>
          <w:lang w:val="es-CO"/>
        </w:rPr>
        <w:t xml:space="preserve">Martin, A., Coolsaet, B., Corbera, E., Dawson, N. M., Fraser, J. A., Lehmann, I., &amp; Rodriguez, I. (2016). </w:t>
      </w:r>
      <w:r w:rsidRPr="008608AA">
        <w:t xml:space="preserve">Justice and conservation: The need to incorporate recognition. </w:t>
      </w:r>
      <w:r w:rsidRPr="008608AA">
        <w:rPr>
          <w:i/>
        </w:rPr>
        <w:t>Biological Conservation</w:t>
      </w:r>
      <w:r w:rsidRPr="008608AA">
        <w:t xml:space="preserve">, </w:t>
      </w:r>
      <w:r w:rsidRPr="008608AA">
        <w:rPr>
          <w:i/>
        </w:rPr>
        <w:t>197</w:t>
      </w:r>
      <w:r w:rsidRPr="008608AA">
        <w:t xml:space="preserve">, 254–261. </w:t>
      </w:r>
    </w:p>
    <w:p w14:paraId="771E5457" w14:textId="77777777" w:rsidR="00175B47" w:rsidRPr="008608AA" w:rsidRDefault="00175B47" w:rsidP="00E30489">
      <w:pPr>
        <w:ind w:left="779" w:hangingChars="354" w:hanging="779"/>
        <w:contextualSpacing/>
      </w:pPr>
      <w:r w:rsidRPr="008608AA">
        <w:t xml:space="preserve">Matson, P. A., Parton, W. J., Power, A. G., &amp; Swift, M. J. (1997). Agricultural intensification and ecosystem properties. </w:t>
      </w:r>
      <w:r w:rsidRPr="008608AA">
        <w:rPr>
          <w:i/>
        </w:rPr>
        <w:t>Science</w:t>
      </w:r>
      <w:r w:rsidRPr="008608AA">
        <w:t>, 277(5325), 504-509.</w:t>
      </w:r>
    </w:p>
    <w:p w14:paraId="61968B7C" w14:textId="77777777" w:rsidR="00175B47" w:rsidRPr="008608AA" w:rsidRDefault="00175B47" w:rsidP="00E30489">
      <w:pPr>
        <w:ind w:left="779" w:hangingChars="354" w:hanging="779"/>
        <w:contextualSpacing/>
      </w:pPr>
      <w:r w:rsidRPr="008608AA">
        <w:t xml:space="preserve">McDonald, R. I., Weber, K. F., Padowski, J., Boucher, T., &amp; Shemie, D. (2016). Estimating watershed degradation over the last century and its impact on water-treatment costs for the world’s large cities. </w:t>
      </w:r>
      <w:r w:rsidRPr="008608AA">
        <w:rPr>
          <w:i/>
        </w:rPr>
        <w:t>PNAS</w:t>
      </w:r>
      <w:r w:rsidRPr="008608AA">
        <w:t xml:space="preserve">, 113(32), 9117–22. </w:t>
      </w:r>
    </w:p>
    <w:p w14:paraId="6771F3E1" w14:textId="77777777" w:rsidR="00175B47" w:rsidRPr="008608AA" w:rsidRDefault="00175B47" w:rsidP="00E30489">
      <w:pPr>
        <w:widowControl w:val="0"/>
        <w:ind w:left="779" w:hangingChars="354" w:hanging="779"/>
        <w:contextualSpacing/>
      </w:pPr>
      <w:r w:rsidRPr="008608AA">
        <w:t>MEA. (2005). Millennium Ecosystem Assessment. Ecosystems and Human Well-being: Synthesis. Washington DC: Island Press.</w:t>
      </w:r>
    </w:p>
    <w:p w14:paraId="19A5E4CB" w14:textId="77777777" w:rsidR="00175B47" w:rsidRPr="008608AA" w:rsidRDefault="00175B47" w:rsidP="00E30489">
      <w:pPr>
        <w:ind w:left="779" w:hangingChars="354" w:hanging="779"/>
        <w:contextualSpacing/>
      </w:pPr>
      <w:r w:rsidRPr="008608AA">
        <w:t xml:space="preserve">Mekonnen M.M. and A.Y. Hoekstra. (2015). Global Gray Water Footprint and Water Pollution Levels Related to Anthropogenic Nitrogen Loads to Fresh Water. </w:t>
      </w:r>
      <w:r w:rsidRPr="008608AA">
        <w:rPr>
          <w:i/>
        </w:rPr>
        <w:t>Environmental Science and Technology</w:t>
      </w:r>
      <w:r w:rsidRPr="008608AA">
        <w:t>, 49 (21), 12860–12868</w:t>
      </w:r>
    </w:p>
    <w:p w14:paraId="0C47025C" w14:textId="77777777" w:rsidR="00175B47" w:rsidRPr="008608AA" w:rsidRDefault="00175B47" w:rsidP="00E30489">
      <w:pPr>
        <w:ind w:left="779" w:hangingChars="354" w:hanging="779"/>
        <w:contextualSpacing/>
      </w:pPr>
      <w:r w:rsidRPr="008608AA">
        <w:t xml:space="preserve">Mekonnen, M. M., &amp; Hoekstra, A. Y. (2016). Four billion people facing severe water scarcity. </w:t>
      </w:r>
      <w:r w:rsidRPr="008608AA">
        <w:rPr>
          <w:i/>
        </w:rPr>
        <w:t>Science Advances</w:t>
      </w:r>
      <w:r w:rsidRPr="008608AA">
        <w:t xml:space="preserve">, 2(2), e1500323–e1500323. </w:t>
      </w:r>
    </w:p>
    <w:p w14:paraId="1B324942" w14:textId="77777777" w:rsidR="00175B47" w:rsidRPr="00CE0821" w:rsidRDefault="00175B47" w:rsidP="00E30489">
      <w:pPr>
        <w:ind w:left="779" w:hangingChars="354" w:hanging="779"/>
        <w:contextualSpacing/>
        <w:rPr>
          <w:lang w:val="es-CO"/>
        </w:rPr>
      </w:pPr>
      <w:r w:rsidRPr="008608AA">
        <w:t xml:space="preserve">Menton, M. C. S., Merry, F. D., Lawrence, A., &amp; Brown, N. (2009). Company–Community Logging Contracts in Amazonian Settlements: Impacts on Livelihoods and NTFP Harvests. </w:t>
      </w:r>
      <w:r w:rsidRPr="00CE0821">
        <w:rPr>
          <w:i/>
          <w:lang w:val="es-CO"/>
        </w:rPr>
        <w:t>Ecology and Society</w:t>
      </w:r>
      <w:r w:rsidRPr="00CE0821">
        <w:rPr>
          <w:lang w:val="es-CO"/>
        </w:rPr>
        <w:t>, 14(1), 39.</w:t>
      </w:r>
    </w:p>
    <w:p w14:paraId="7331278A" w14:textId="77777777" w:rsidR="00175B47" w:rsidRPr="008608AA" w:rsidRDefault="00175B47" w:rsidP="00E30489">
      <w:pPr>
        <w:ind w:left="779" w:hangingChars="354" w:hanging="779"/>
        <w:contextualSpacing/>
        <w:rPr>
          <w:lang w:val="es-ES"/>
        </w:rPr>
      </w:pPr>
      <w:r w:rsidRPr="00CE0821">
        <w:rPr>
          <w:lang w:val="es-CO"/>
        </w:rPr>
        <w:t xml:space="preserve">Miloslavich, P., Klein, E., Díaz, J. M., Hernández, C. E., Bigatti, G., Campos, L., Artigas, F., Castillo, J., Penchaszadeh, P. E., Neill, P. E., Carranza, A., Retana, M. V., Díaz de Astarloa, J. M., Lewis, M., Yorio, P., Piriz, M. L., Rodríguez, D., Yoneshigue-Valentin, Y., Gamboa, L., &amp; Martín, A. (2011). </w:t>
      </w:r>
      <w:r w:rsidRPr="008608AA">
        <w:t xml:space="preserve">Marine Biodiversity in the Atlantic and Pacific Coasts of South America: Knowledge and Gaps. </w:t>
      </w:r>
      <w:r w:rsidRPr="008608AA">
        <w:rPr>
          <w:i/>
          <w:iCs/>
          <w:lang w:val="es-ES"/>
        </w:rPr>
        <w:t>PLoS ONE</w:t>
      </w:r>
      <w:r w:rsidRPr="008608AA">
        <w:rPr>
          <w:lang w:val="es-ES"/>
        </w:rPr>
        <w:t xml:space="preserve">, </w:t>
      </w:r>
      <w:r w:rsidRPr="008608AA">
        <w:rPr>
          <w:i/>
          <w:iCs/>
          <w:lang w:val="es-ES"/>
        </w:rPr>
        <w:t>6</w:t>
      </w:r>
      <w:r w:rsidRPr="008608AA">
        <w:rPr>
          <w:lang w:val="es-ES"/>
        </w:rPr>
        <w:t>(1), e14631. https://doi.org/10.1371/journal.pone.0014631</w:t>
      </w:r>
    </w:p>
    <w:p w14:paraId="3FC6CCAC" w14:textId="77777777" w:rsidR="00175B47" w:rsidRPr="008608AA" w:rsidRDefault="00175B47" w:rsidP="00E30489">
      <w:pPr>
        <w:ind w:left="779" w:hangingChars="354" w:hanging="779"/>
        <w:contextualSpacing/>
        <w:rPr>
          <w:lang w:val="es-CO"/>
        </w:rPr>
      </w:pPr>
      <w:r w:rsidRPr="008608AA">
        <w:rPr>
          <w:lang w:val="es-CO"/>
        </w:rPr>
        <w:t>Ministerio de Desarrollo Social de Chile (2013). Pueblos Indigenas. Retrieved from http://observatorio.ministeriodesarrollosocial.gob.cl/documentos/Casen2013_Pueblos_Indigenas_13mar15_publicacion.pdf.</w:t>
      </w:r>
    </w:p>
    <w:p w14:paraId="48A6BFEB" w14:textId="77777777" w:rsidR="00175B47" w:rsidRPr="008608AA" w:rsidRDefault="00175B47" w:rsidP="00E30489">
      <w:pPr>
        <w:ind w:left="779" w:hangingChars="354" w:hanging="779"/>
        <w:contextualSpacing/>
      </w:pPr>
      <w:r w:rsidRPr="008608AA">
        <w:rPr>
          <w:lang w:val="es-CO"/>
        </w:rPr>
        <w:t xml:space="preserve">Miteva, D. A., Pattanayak, S. K., &amp; Ferraro, P. J. (2012). </w:t>
      </w:r>
      <w:r w:rsidRPr="008608AA">
        <w:t xml:space="preserve">Evaluation of biodiversity policy instruments: what works and what doesn’t? </w:t>
      </w:r>
      <w:r w:rsidRPr="008608AA">
        <w:rPr>
          <w:i/>
        </w:rPr>
        <w:t>Oxford Review of Economic Policy</w:t>
      </w:r>
      <w:r w:rsidRPr="008608AA">
        <w:t xml:space="preserve">, </w:t>
      </w:r>
      <w:r w:rsidRPr="008608AA">
        <w:rPr>
          <w:i/>
        </w:rPr>
        <w:t>28</w:t>
      </w:r>
      <w:r w:rsidRPr="008608AA">
        <w:t>(1), 69–92.</w:t>
      </w:r>
    </w:p>
    <w:p w14:paraId="401D879E" w14:textId="77777777" w:rsidR="00175B47" w:rsidRPr="008608AA" w:rsidRDefault="00175B47" w:rsidP="00E30489">
      <w:pPr>
        <w:ind w:left="779" w:hangingChars="354" w:hanging="779"/>
        <w:contextualSpacing/>
        <w:rPr>
          <w:lang w:val="de-DE"/>
        </w:rPr>
      </w:pPr>
      <w:r w:rsidRPr="008608AA">
        <w:t xml:space="preserve">Montenegro, R. A., &amp; Stephens, C. (2006). Indigenous health in Latin America and the Caribbean. </w:t>
      </w:r>
      <w:r w:rsidRPr="008608AA">
        <w:rPr>
          <w:i/>
          <w:lang w:val="de-DE"/>
        </w:rPr>
        <w:t>The Lancet</w:t>
      </w:r>
      <w:r w:rsidRPr="008608AA">
        <w:rPr>
          <w:lang w:val="de-DE"/>
        </w:rPr>
        <w:t xml:space="preserve">, </w:t>
      </w:r>
      <w:r w:rsidRPr="008608AA">
        <w:rPr>
          <w:i/>
          <w:lang w:val="de-DE"/>
        </w:rPr>
        <w:t>367</w:t>
      </w:r>
      <w:r w:rsidRPr="008608AA">
        <w:rPr>
          <w:lang w:val="de-DE"/>
        </w:rPr>
        <w:t>(9525), 1859–1869.</w:t>
      </w:r>
    </w:p>
    <w:p w14:paraId="47E88BCB" w14:textId="77777777" w:rsidR="00175B47" w:rsidRPr="008608AA" w:rsidRDefault="00175B47" w:rsidP="00E30489">
      <w:pPr>
        <w:widowControl w:val="0"/>
        <w:ind w:left="779" w:hangingChars="354" w:hanging="779"/>
        <w:contextualSpacing/>
      </w:pPr>
      <w:r w:rsidRPr="008608AA">
        <w:t xml:space="preserve">Morello-Frosch, R., Zuk, M., Jerrett, M., Shamasunder, B., &amp; Kyle, A. D. (2011). Understanding The Cumulative Impacts Of Inequalities In Environmental Health: Implications For Policy. </w:t>
      </w:r>
      <w:r w:rsidRPr="008608AA">
        <w:rPr>
          <w:i/>
        </w:rPr>
        <w:t>Health Affairs</w:t>
      </w:r>
      <w:r w:rsidRPr="008608AA">
        <w:t xml:space="preserve">, </w:t>
      </w:r>
      <w:r w:rsidRPr="008608AA">
        <w:rPr>
          <w:i/>
        </w:rPr>
        <w:t>30</w:t>
      </w:r>
      <w:r w:rsidRPr="008608AA">
        <w:t xml:space="preserve">(5), 879–887. </w:t>
      </w:r>
    </w:p>
    <w:p w14:paraId="3F47CAF4" w14:textId="77777777" w:rsidR="00175B47" w:rsidRPr="008608AA" w:rsidRDefault="00175B47" w:rsidP="00E30489">
      <w:pPr>
        <w:ind w:left="779" w:hangingChars="354" w:hanging="779"/>
        <w:contextualSpacing/>
      </w:pPr>
      <w:r w:rsidRPr="008608AA">
        <w:t xml:space="preserve">Mueller, J. M., Swaffar, W., Nielsen, E. A., Springer, A. E., &amp; Lopez, S. M. (2013). Estimating the value of watershed services following forest restoration. </w:t>
      </w:r>
      <w:r w:rsidRPr="008608AA">
        <w:rPr>
          <w:i/>
        </w:rPr>
        <w:t>Water Resources Research</w:t>
      </w:r>
      <w:r w:rsidRPr="008608AA">
        <w:t xml:space="preserve">, 49(4), 1773–1781. </w:t>
      </w:r>
    </w:p>
    <w:p w14:paraId="4041D52C" w14:textId="77777777" w:rsidR="00175B47" w:rsidRPr="008608AA" w:rsidRDefault="00175B47" w:rsidP="00E30489">
      <w:pPr>
        <w:ind w:left="779" w:hangingChars="354" w:hanging="779"/>
        <w:contextualSpacing/>
      </w:pPr>
      <w:r w:rsidRPr="008608AA">
        <w:rPr>
          <w:lang w:val="de-DE"/>
        </w:rPr>
        <w:t xml:space="preserve">Myers, N., Mittermeier, R. A., Mittermeier, C. G., da Fonseca, G. A. B., &amp; Kent, J. (2000). </w:t>
      </w:r>
      <w:r w:rsidRPr="008608AA">
        <w:t xml:space="preserve">Biodiversity hotspots for conservation priorities. </w:t>
      </w:r>
      <w:r w:rsidRPr="008608AA">
        <w:rPr>
          <w:i/>
        </w:rPr>
        <w:t>Nature</w:t>
      </w:r>
      <w:r w:rsidRPr="008608AA">
        <w:t>, 403(6772), 853–858.</w:t>
      </w:r>
    </w:p>
    <w:p w14:paraId="389BCD5B" w14:textId="77777777" w:rsidR="00175B47" w:rsidRPr="008608AA" w:rsidRDefault="00175B47" w:rsidP="00E30489">
      <w:pPr>
        <w:ind w:left="779" w:hangingChars="354" w:hanging="779"/>
        <w:contextualSpacing/>
      </w:pPr>
      <w:r w:rsidRPr="008608AA">
        <w:t xml:space="preserve">Nazareno, A. G., &amp; Laurance, W. F. (2015). Brazil’s drought: Beware deforestation. </w:t>
      </w:r>
      <w:r w:rsidRPr="008608AA">
        <w:rPr>
          <w:i/>
        </w:rPr>
        <w:t>Science</w:t>
      </w:r>
      <w:r w:rsidRPr="008608AA">
        <w:t xml:space="preserve">, 347(6229), 1427. </w:t>
      </w:r>
    </w:p>
    <w:p w14:paraId="4C21E3C4" w14:textId="77777777" w:rsidR="00175B47" w:rsidRPr="008608AA" w:rsidRDefault="00175B47" w:rsidP="00E30489">
      <w:pPr>
        <w:widowControl w:val="0"/>
        <w:ind w:left="779" w:hangingChars="354" w:hanging="779"/>
        <w:contextualSpacing/>
      </w:pPr>
      <w:r w:rsidRPr="008608AA">
        <w:t xml:space="preserve">Nepstad, D. C., Stickler, C. M., Filho, B. S.-, &amp; Merry, F. (2008). Interactions among Amazon land use, forests and climate: prospects for a near-term forest tipping point. </w:t>
      </w:r>
      <w:r w:rsidRPr="008608AA">
        <w:rPr>
          <w:i/>
        </w:rPr>
        <w:t>Philosophical Transactions of the Royal Society of London. Series B, Biological Sciences</w:t>
      </w:r>
      <w:r w:rsidRPr="008608AA">
        <w:t xml:space="preserve">, </w:t>
      </w:r>
      <w:r w:rsidRPr="008608AA">
        <w:rPr>
          <w:i/>
        </w:rPr>
        <w:t>363</w:t>
      </w:r>
      <w:r w:rsidRPr="008608AA">
        <w:t xml:space="preserve">(1498), 1737–46. </w:t>
      </w:r>
    </w:p>
    <w:p w14:paraId="4B2BA986" w14:textId="77777777" w:rsidR="00175B47" w:rsidRPr="008608AA" w:rsidRDefault="00175B47" w:rsidP="00E30489">
      <w:pPr>
        <w:widowControl w:val="0"/>
        <w:ind w:left="779" w:hangingChars="354" w:hanging="779"/>
        <w:contextualSpacing/>
      </w:pPr>
      <w:r w:rsidRPr="008608AA">
        <w:t xml:space="preserve">Nepstad, D., McGrath, D., Stickler, C., Alencar, A., Azevedo, A., Swette, B., Bezerra, T., DiGiano, M., Shimada, J., Seroa da Motta, R., Armijo, E., Castello, L., Brando, P., Hansen, M. C., McGrath-Horn, M., Carvalho, O., &amp; Hess, L. (2014). Slowing Amazon deforestation through public policy and interventions in beef and soy supply chains. </w:t>
      </w:r>
      <w:r w:rsidRPr="008608AA">
        <w:rPr>
          <w:i/>
          <w:iCs/>
        </w:rPr>
        <w:t>Science</w:t>
      </w:r>
      <w:r w:rsidRPr="008608AA">
        <w:t xml:space="preserve">, </w:t>
      </w:r>
      <w:r w:rsidRPr="008608AA">
        <w:rPr>
          <w:i/>
          <w:iCs/>
        </w:rPr>
        <w:t>344</w:t>
      </w:r>
      <w:r w:rsidRPr="008608AA">
        <w:t>(6188), 1118–1123. https://doi.org/10.1126/science.1248525</w:t>
      </w:r>
    </w:p>
    <w:p w14:paraId="651352EB" w14:textId="77777777" w:rsidR="00175B47" w:rsidRPr="008608AA" w:rsidRDefault="00175B47" w:rsidP="00E30489">
      <w:pPr>
        <w:widowControl w:val="0"/>
        <w:ind w:left="779" w:hangingChars="354" w:hanging="779"/>
        <w:contextualSpacing/>
      </w:pPr>
      <w:r w:rsidRPr="008608AA">
        <w:t xml:space="preserve">Nilsson, C., Reidy, C. A., Dynesius, M., &amp; Revenga, C. (2005). Fragmentation and flow regulation of the world’s large river systems. </w:t>
      </w:r>
      <w:r w:rsidRPr="008608AA">
        <w:rPr>
          <w:i/>
        </w:rPr>
        <w:t>Science</w:t>
      </w:r>
      <w:r w:rsidRPr="008608AA">
        <w:t xml:space="preserve">, </w:t>
      </w:r>
      <w:r w:rsidRPr="008608AA">
        <w:rPr>
          <w:i/>
        </w:rPr>
        <w:t>308</w:t>
      </w:r>
      <w:r w:rsidRPr="008608AA">
        <w:t xml:space="preserve">(5720), 405–8. </w:t>
      </w:r>
    </w:p>
    <w:p w14:paraId="3160E806" w14:textId="77777777" w:rsidR="00175B47" w:rsidRPr="008608AA" w:rsidRDefault="00175B47" w:rsidP="00E30489">
      <w:pPr>
        <w:widowControl w:val="0"/>
        <w:autoSpaceDE w:val="0"/>
        <w:autoSpaceDN w:val="0"/>
        <w:adjustRightInd w:val="0"/>
        <w:ind w:left="779" w:hangingChars="354" w:hanging="779"/>
        <w:contextualSpacing/>
        <w:rPr>
          <w:noProof/>
        </w:rPr>
      </w:pPr>
      <w:r w:rsidRPr="008608AA">
        <w:rPr>
          <w:noProof/>
        </w:rPr>
        <w:t xml:space="preserve">Nugent, D., &amp; Sovacool, B. K. (2014). Assessing the lifecycle greenhouse gas emissions from solar PV and wind energy: A critical meta-survey. </w:t>
      </w:r>
      <w:r w:rsidRPr="008608AA">
        <w:rPr>
          <w:i/>
          <w:iCs/>
          <w:noProof/>
        </w:rPr>
        <w:t>Energy Policy</w:t>
      </w:r>
      <w:r w:rsidRPr="008608AA">
        <w:rPr>
          <w:noProof/>
        </w:rPr>
        <w:t xml:space="preserve">, </w:t>
      </w:r>
      <w:r w:rsidRPr="008608AA">
        <w:rPr>
          <w:i/>
          <w:iCs/>
          <w:noProof/>
        </w:rPr>
        <w:t>65</w:t>
      </w:r>
      <w:r w:rsidRPr="008608AA">
        <w:rPr>
          <w:noProof/>
        </w:rPr>
        <w:t>, 229–244.</w:t>
      </w:r>
    </w:p>
    <w:p w14:paraId="6DB2022C" w14:textId="77777777" w:rsidR="00175B47" w:rsidRPr="008608AA" w:rsidRDefault="00175B47" w:rsidP="00E30489">
      <w:pPr>
        <w:widowControl w:val="0"/>
        <w:autoSpaceDE w:val="0"/>
        <w:autoSpaceDN w:val="0"/>
        <w:adjustRightInd w:val="0"/>
        <w:ind w:left="779" w:hangingChars="354" w:hanging="779"/>
      </w:pPr>
      <w:r w:rsidRPr="008608AA">
        <w:t xml:space="preserve">Oliveira, P. J. C., Asner, G. P., Knapp, D. E., Almeyda, A., Galvan-Gildemeister, R., Keene, S., Raybin, R. F., &amp; Smith, R. C. (2007). Land-Use Allocation Protects the Peruvian Amazon. </w:t>
      </w:r>
      <w:r w:rsidRPr="008608AA">
        <w:rPr>
          <w:i/>
          <w:iCs/>
        </w:rPr>
        <w:t>Science</w:t>
      </w:r>
      <w:r w:rsidRPr="008608AA">
        <w:t xml:space="preserve">, </w:t>
      </w:r>
      <w:r w:rsidRPr="008608AA">
        <w:rPr>
          <w:i/>
          <w:iCs/>
        </w:rPr>
        <w:t>317</w:t>
      </w:r>
      <w:r w:rsidRPr="008608AA">
        <w:t>(5842), 1233–1236. https://doi.org/10.1126/science.1146324</w:t>
      </w:r>
    </w:p>
    <w:p w14:paraId="610A4393" w14:textId="77777777" w:rsidR="00175B47" w:rsidRPr="008608AA" w:rsidRDefault="00175B47" w:rsidP="00E30489">
      <w:pPr>
        <w:widowControl w:val="0"/>
        <w:autoSpaceDE w:val="0"/>
        <w:autoSpaceDN w:val="0"/>
        <w:adjustRightInd w:val="0"/>
        <w:ind w:left="779" w:hangingChars="354" w:hanging="779"/>
        <w:rPr>
          <w:noProof/>
        </w:rPr>
      </w:pPr>
      <w:r w:rsidRPr="008608AA">
        <w:rPr>
          <w:noProof/>
        </w:rPr>
        <w:t xml:space="preserve">Olson, D. M., &amp; Dinerstein, E. (2002). The Global 200: Priority Ecoregions for Global Conservation. </w:t>
      </w:r>
      <w:r w:rsidRPr="008608AA">
        <w:rPr>
          <w:i/>
          <w:iCs/>
          <w:noProof/>
        </w:rPr>
        <w:t>Annals of the Missouri Botanical Garden</w:t>
      </w:r>
      <w:r w:rsidRPr="008608AA">
        <w:rPr>
          <w:noProof/>
        </w:rPr>
        <w:t xml:space="preserve">, </w:t>
      </w:r>
      <w:r w:rsidRPr="008608AA">
        <w:rPr>
          <w:i/>
          <w:iCs/>
          <w:noProof/>
        </w:rPr>
        <w:t>89</w:t>
      </w:r>
      <w:r w:rsidRPr="008608AA">
        <w:rPr>
          <w:noProof/>
        </w:rPr>
        <w:t xml:space="preserve">(2), 199. </w:t>
      </w:r>
    </w:p>
    <w:p w14:paraId="61CF4653" w14:textId="77777777" w:rsidR="00175B47" w:rsidRPr="008608AA" w:rsidRDefault="00175B47" w:rsidP="00E30489">
      <w:pPr>
        <w:ind w:left="779" w:hangingChars="354" w:hanging="779"/>
        <w:contextualSpacing/>
      </w:pPr>
      <w:r w:rsidRPr="008608AA">
        <w:t xml:space="preserve">Olson, D. M., Dinerstein, E., Wikramanayake, E. D., Burgess, N. D., Powell, G. V. N., Underwood, E. C., D’amico, J. a., Itoua, I., Strand, H. E., Morrison, J. C., Loucks, C. J., Allnutt, T. F., Ricketts, T. H., Kura, Y., Lamoreux, J. F., Wettengel, W. W., Hedao, P., &amp; Kassem, K. R. (2001). Terrestrial Ecoregions of the World: A New Map of Life on Earth. </w:t>
      </w:r>
      <w:r w:rsidRPr="008608AA">
        <w:rPr>
          <w:i/>
          <w:iCs/>
        </w:rPr>
        <w:t>BioScience</w:t>
      </w:r>
      <w:r w:rsidRPr="008608AA">
        <w:t xml:space="preserve">, </w:t>
      </w:r>
      <w:r w:rsidRPr="008608AA">
        <w:rPr>
          <w:i/>
          <w:iCs/>
        </w:rPr>
        <w:t>51</w:t>
      </w:r>
      <w:r w:rsidRPr="008608AA">
        <w:t>(11), 933. https://doi.org/10.1641/0006-3568(2001)051[0933:TEOTWA]2.0.CO;2</w:t>
      </w:r>
    </w:p>
    <w:p w14:paraId="67C9DBE1" w14:textId="77777777" w:rsidR="00175B47" w:rsidRPr="008608AA" w:rsidRDefault="00175B47" w:rsidP="00E30489">
      <w:pPr>
        <w:ind w:left="779" w:hangingChars="354" w:hanging="779"/>
        <w:contextualSpacing/>
      </w:pPr>
      <w:r w:rsidRPr="008608AA">
        <w:t>Pabon-Zamora, L., A. Fauzi, A. Halim, J. Bezaury-Creel, E. Vega-Lopez, F. Leon, L. Gil &amp; V. Cartaya (2008): Protected areas and human well-being: Experiences from Indonesia, Mexico, Peru and Venezuela. CBD Technical Series No. 36, Secretariat of Convention on Biological Diversity, Montreal, Canada</w:t>
      </w:r>
    </w:p>
    <w:p w14:paraId="46053F00" w14:textId="77777777" w:rsidR="00175B47" w:rsidRPr="008608AA" w:rsidRDefault="00175B47" w:rsidP="00E30489">
      <w:pPr>
        <w:ind w:left="779" w:hangingChars="354" w:hanging="779"/>
        <w:contextualSpacing/>
        <w:rPr>
          <w:lang w:val="es-CO"/>
        </w:rPr>
      </w:pPr>
      <w:r w:rsidRPr="008608AA">
        <w:rPr>
          <w:lang w:val="es-CO"/>
        </w:rPr>
        <w:t>Pacheco, D. (2014). Hacia la descolonización de las políticcas ambientales y de los bosques: el mecanismo conjunto de mitigación y adaptación para el manejo integral y sustentable de los bosques y la Madre Tierra. La Paz: Fundación de la Cordillera, Universidad de la Cordillera.</w:t>
      </w:r>
    </w:p>
    <w:p w14:paraId="524EAAEE" w14:textId="77777777" w:rsidR="00175B47" w:rsidRPr="008608AA" w:rsidRDefault="00175B47" w:rsidP="00E30489">
      <w:pPr>
        <w:widowControl w:val="0"/>
        <w:ind w:left="779" w:hangingChars="354" w:hanging="779"/>
        <w:contextualSpacing/>
        <w:rPr>
          <w:lang w:val="es-CO"/>
        </w:rPr>
      </w:pPr>
      <w:r w:rsidRPr="008608AA">
        <w:rPr>
          <w:lang w:val="es-CO"/>
        </w:rPr>
        <w:t xml:space="preserve">Parra, F., &amp; Casas, A. (2016). Origen y difusión de la domesticación y la agricultura en el Nuevo Mundo. In A. Casas, J. T.-G. Y, &amp; F. Parra (Eds.), </w:t>
      </w:r>
      <w:r w:rsidRPr="008608AA">
        <w:rPr>
          <w:i/>
          <w:lang w:val="es-CO"/>
        </w:rPr>
        <w:t>Domesticación en el Continente Americano. Volumen 1. Manejo de biodiveridad y evolución dirigida por las culturas del Nuevo Mundo</w:t>
      </w:r>
      <w:r w:rsidRPr="008608AA">
        <w:rPr>
          <w:lang w:val="es-CO"/>
        </w:rPr>
        <w:t xml:space="preserve"> (pp. 159–184). Universidad Nacional Autónoma de México /Universidad Nacional Agraria La Molina.</w:t>
      </w:r>
    </w:p>
    <w:p w14:paraId="2F0054B0" w14:textId="77777777" w:rsidR="00175B47" w:rsidRPr="008608AA" w:rsidRDefault="00175B47" w:rsidP="00E30489">
      <w:pPr>
        <w:widowControl w:val="0"/>
        <w:ind w:left="779" w:hangingChars="354" w:hanging="779"/>
        <w:contextualSpacing/>
      </w:pPr>
      <w:r w:rsidRPr="008608AA">
        <w:rPr>
          <w:lang w:val="es-ES"/>
        </w:rPr>
        <w:t xml:space="preserve">Pascual, U., Balvanera, P., Díaz, S., Pataki, G., Roth, E., Stenseke, M., Watson, R. T., Başak Dessane, E., Islar, M., Kelemen, E., Maris, V., Quaas, M., Subramanian, S. M., Wittmer, H., Adlan, A., Ahn, S., Al-Hafedh, Y. S., Amankwah, E., Asah, S. T., Berry, P., Bilgin, A., Breslow, S. J., Bullock, C., Cáceres, D., Daly-Hassen, H., Figueroa, E., Golden, C. D., Gómez-Baggethun, E., González-Jiménez, D., Houdet, J., Keune, H., Kumar, R., Ma, K., May, P. H., Mead, A., O’Farrell, P., Pandit, R., Pengue, W., Pichis-Madruga, R., Popa, F., Preston, S., Pacheco-Balanza, D., Saarikoski, H., Strassburg, B. B., van den Belt, M., Verma, M., Wickson, F., &amp; Yagi, N. (2017). </w:t>
      </w:r>
      <w:r w:rsidRPr="008608AA">
        <w:t xml:space="preserve">Valuing nature’s contributions to people: the IPBES approach. </w:t>
      </w:r>
      <w:r w:rsidRPr="008608AA">
        <w:rPr>
          <w:i/>
          <w:iCs/>
        </w:rPr>
        <w:t>Current Opinion in Environmental Sustainability</w:t>
      </w:r>
      <w:r w:rsidRPr="008608AA">
        <w:t xml:space="preserve">, </w:t>
      </w:r>
      <w:r w:rsidRPr="008608AA">
        <w:rPr>
          <w:i/>
          <w:iCs/>
        </w:rPr>
        <w:t>26</w:t>
      </w:r>
      <w:r w:rsidRPr="008608AA">
        <w:t>–</w:t>
      </w:r>
      <w:r w:rsidRPr="008608AA">
        <w:rPr>
          <w:i/>
          <w:iCs/>
        </w:rPr>
        <w:t>27</w:t>
      </w:r>
      <w:r w:rsidRPr="008608AA">
        <w:t>, 7–16. https://doi.org/10.1016/J.COSUST.2016.12.006</w:t>
      </w:r>
    </w:p>
    <w:p w14:paraId="3ABDB0D1" w14:textId="77777777" w:rsidR="00175B47" w:rsidRPr="008608AA" w:rsidRDefault="00175B47" w:rsidP="00E30489">
      <w:pPr>
        <w:ind w:left="779" w:hangingChars="354" w:hanging="779"/>
        <w:contextualSpacing/>
      </w:pPr>
      <w:r w:rsidRPr="008608AA">
        <w:t xml:space="preserve">Pascual, U., Phelps, J., Garmendia, E., Brown, K., Corbera, E., Martin, A., Gomez-Baggethun, E., &amp; Muradian, R. (2014). Social Equity Matters in Payments for Ecosystem Services. </w:t>
      </w:r>
      <w:r w:rsidRPr="008608AA">
        <w:rPr>
          <w:i/>
          <w:iCs/>
        </w:rPr>
        <w:t>BioScience</w:t>
      </w:r>
      <w:r w:rsidRPr="008608AA">
        <w:t xml:space="preserve">, </w:t>
      </w:r>
      <w:r w:rsidRPr="008608AA">
        <w:rPr>
          <w:i/>
          <w:iCs/>
        </w:rPr>
        <w:t>64</w:t>
      </w:r>
      <w:r w:rsidRPr="008608AA">
        <w:t>(11), 1027–1036. https://doi.org/10.1093/biosci/biu146</w:t>
      </w:r>
    </w:p>
    <w:p w14:paraId="1A350357" w14:textId="77777777" w:rsidR="00175B47" w:rsidRPr="008608AA" w:rsidRDefault="00175B47" w:rsidP="00E30489">
      <w:pPr>
        <w:widowControl w:val="0"/>
        <w:ind w:left="779" w:hangingChars="354" w:hanging="779"/>
        <w:contextualSpacing/>
      </w:pPr>
      <w:r w:rsidRPr="008608AA">
        <w:t xml:space="preserve">Perrings, C., Duraiappah, A., Larigauderie, A., &amp; Mooney, H. (2011). The Biodiversity and Ecosystem Services Science-Policy Interface. </w:t>
      </w:r>
      <w:r w:rsidRPr="008608AA">
        <w:rPr>
          <w:i/>
        </w:rPr>
        <w:t>Science</w:t>
      </w:r>
      <w:r w:rsidRPr="008608AA">
        <w:t xml:space="preserve">, </w:t>
      </w:r>
      <w:r w:rsidRPr="008608AA">
        <w:rPr>
          <w:i/>
        </w:rPr>
        <w:t>331</w:t>
      </w:r>
      <w:r w:rsidRPr="008608AA">
        <w:t>(6021).</w:t>
      </w:r>
    </w:p>
    <w:p w14:paraId="7ECDEA08" w14:textId="77777777" w:rsidR="00175B47" w:rsidRPr="00A3137A" w:rsidRDefault="00175B47" w:rsidP="00E30489">
      <w:pPr>
        <w:widowControl w:val="0"/>
        <w:ind w:left="779" w:hangingChars="354" w:hanging="779"/>
        <w:contextualSpacing/>
      </w:pPr>
      <w:r w:rsidRPr="008608AA">
        <w:t xml:space="preserve">Perry, C. T., Murphy, G. N., Kench, P. S., Smithers, S. G., Edinger, E. N., Steneck, R. S., &amp; Mumby, P. J. (2013). Caribbean-wide decline in carbonate production threatens coral reef growth. </w:t>
      </w:r>
      <w:r w:rsidRPr="00A3137A">
        <w:rPr>
          <w:i/>
        </w:rPr>
        <w:t>Nature Communications</w:t>
      </w:r>
      <w:r w:rsidRPr="00A3137A">
        <w:t xml:space="preserve">, </w:t>
      </w:r>
      <w:r w:rsidRPr="00A3137A">
        <w:rPr>
          <w:i/>
        </w:rPr>
        <w:t>4</w:t>
      </w:r>
      <w:r w:rsidRPr="00A3137A">
        <w:t xml:space="preserve">, 1402. </w:t>
      </w:r>
    </w:p>
    <w:p w14:paraId="3C983569" w14:textId="77777777" w:rsidR="00175B47" w:rsidRPr="008608AA" w:rsidRDefault="00175B47" w:rsidP="00E30489">
      <w:pPr>
        <w:ind w:left="779" w:hangingChars="354" w:hanging="779"/>
        <w:contextualSpacing/>
      </w:pPr>
      <w:r w:rsidRPr="008608AA">
        <w:t xml:space="preserve">Perz, S., Leite, F., Griffin, L., Hoelle, J., Rosero, M., Carvalho, L., Castillo, J., &amp; Rojas, D. (2015). Trans-Boundary Infrastructure and Changes in Rural Livelihood Diversity in the Southwestern Amazon: Resilience and Inequality. </w:t>
      </w:r>
      <w:r w:rsidRPr="008608AA">
        <w:rPr>
          <w:i/>
          <w:iCs/>
        </w:rPr>
        <w:t>Sustainability</w:t>
      </w:r>
      <w:r w:rsidRPr="008608AA">
        <w:t xml:space="preserve">, </w:t>
      </w:r>
      <w:r w:rsidRPr="008608AA">
        <w:rPr>
          <w:i/>
          <w:iCs/>
        </w:rPr>
        <w:t>7</w:t>
      </w:r>
      <w:r w:rsidRPr="008608AA">
        <w:t>(9), 12807–12836. https://doi.org/10.3390/su70912807</w:t>
      </w:r>
    </w:p>
    <w:p w14:paraId="3645C467" w14:textId="77777777" w:rsidR="00175B47" w:rsidRPr="008608AA" w:rsidRDefault="00175B47" w:rsidP="00E30489">
      <w:pPr>
        <w:ind w:left="779" w:hangingChars="354" w:hanging="779"/>
        <w:contextualSpacing/>
      </w:pPr>
      <w:r w:rsidRPr="008608AA">
        <w:t xml:space="preserve">Phillips, O. L., &amp; Brienen, R. J. W. (2017). Carbon uptake by mature Amazon forests has mitigated Amazon nations’ carbon emissions. </w:t>
      </w:r>
      <w:r w:rsidRPr="008608AA">
        <w:rPr>
          <w:i/>
        </w:rPr>
        <w:t>Carbon Balance and Management</w:t>
      </w:r>
      <w:r w:rsidRPr="008608AA">
        <w:t>, 12(1), 1–9.</w:t>
      </w:r>
    </w:p>
    <w:p w14:paraId="2D8C734B" w14:textId="77777777" w:rsidR="00175B47" w:rsidRPr="008608AA" w:rsidRDefault="00175B47" w:rsidP="00E30489">
      <w:pPr>
        <w:widowControl w:val="0"/>
        <w:ind w:left="779" w:hangingChars="354" w:hanging="779"/>
        <w:contextualSpacing/>
      </w:pPr>
      <w:r w:rsidRPr="008608AA">
        <w:t xml:space="preserve">Pilgrim, S., &amp; Pretty, J. N. (2010). </w:t>
      </w:r>
      <w:r w:rsidRPr="008608AA">
        <w:rPr>
          <w:i/>
        </w:rPr>
        <w:t>Nature and Culture: Rebuilding Lost Connections</w:t>
      </w:r>
      <w:r w:rsidRPr="008608AA">
        <w:t>. London, Washington DC.: Earthscan.</w:t>
      </w:r>
    </w:p>
    <w:p w14:paraId="002FCFDA" w14:textId="77777777" w:rsidR="00175B47" w:rsidRPr="008608AA" w:rsidRDefault="00175B47" w:rsidP="00E30489">
      <w:pPr>
        <w:ind w:left="779" w:hangingChars="354" w:hanging="779"/>
        <w:contextualSpacing/>
      </w:pPr>
      <w:r w:rsidRPr="008608AA">
        <w:t xml:space="preserve">Pinho, P. F., Patenaude, G., Ometto, J. P., Meir, P., Toledo, P. M., Coelho, A., &amp; Young, C. E. F. (2014). Ecosystem protection and poverty alleviation in the tropics: Perspective from a historical evolution of policy-making in the Brazilian Amazon. </w:t>
      </w:r>
      <w:r w:rsidRPr="008608AA">
        <w:rPr>
          <w:i/>
        </w:rPr>
        <w:t>Ecosystem Services</w:t>
      </w:r>
      <w:r w:rsidRPr="008608AA">
        <w:t xml:space="preserve">, 8, 97–109. </w:t>
      </w:r>
    </w:p>
    <w:p w14:paraId="45459C3C" w14:textId="77777777" w:rsidR="00175B47" w:rsidRPr="008608AA" w:rsidRDefault="00175B47" w:rsidP="00E30489">
      <w:pPr>
        <w:ind w:left="779" w:hangingChars="354" w:hanging="779"/>
        <w:contextualSpacing/>
        <w:rPr>
          <w:lang w:val="es-CO"/>
        </w:rPr>
      </w:pPr>
      <w:r w:rsidRPr="008608AA">
        <w:t xml:space="preserve">Pires, G. F., &amp; Costa, M. H. (2013). Deforestation causes different subregional effects on the Amazon bioclimatic equilibrium. </w:t>
      </w:r>
      <w:r w:rsidRPr="008608AA">
        <w:rPr>
          <w:i/>
          <w:lang w:val="es-CO"/>
        </w:rPr>
        <w:t>Geophysical Research Letters</w:t>
      </w:r>
      <w:r w:rsidRPr="008608AA">
        <w:rPr>
          <w:lang w:val="es-CO"/>
        </w:rPr>
        <w:t xml:space="preserve">, 40(14), 3618–3623. </w:t>
      </w:r>
    </w:p>
    <w:p w14:paraId="1A8792ED" w14:textId="77777777" w:rsidR="00175B47" w:rsidRPr="008608AA" w:rsidRDefault="00175B47" w:rsidP="00E30489">
      <w:pPr>
        <w:ind w:left="779" w:hangingChars="354" w:hanging="779"/>
        <w:contextualSpacing/>
      </w:pPr>
      <w:r w:rsidRPr="008608AA">
        <w:rPr>
          <w:lang w:val="es-CO"/>
        </w:rPr>
        <w:t xml:space="preserve">PNUD (2013). Atlas Desenvolvimento Humano no Brazil 2013. Programa das Nações Unidas para o Desenvolvimento/ Instituto de Pesquisa Econômica Aplicada/ Fundação João Pinheiro. </w:t>
      </w:r>
      <w:r w:rsidRPr="008608AA">
        <w:t>Retrieved from http://atlasbrasil.org.br/2013/</w:t>
      </w:r>
    </w:p>
    <w:p w14:paraId="5E1C49E4" w14:textId="77777777" w:rsidR="00175B47" w:rsidRPr="008608AA" w:rsidRDefault="00175B47" w:rsidP="00E30489">
      <w:pPr>
        <w:ind w:left="779" w:hangingChars="354" w:hanging="779"/>
        <w:contextualSpacing/>
      </w:pPr>
      <w:r w:rsidRPr="008608AA">
        <w:t xml:space="preserve">Poole, R. (2011). What became of the Taíno. Smithsonian Magazine. Retrieved from </w:t>
      </w:r>
      <w:hyperlink r:id="rId36" w:anchor="2zoQt67hghZcgmpZ.99">
        <w:r w:rsidRPr="008608AA">
          <w:t>http://www.smithsonianmag.com/people-places/what-became-of-the-taino-73824867/#2zoQt67hghZcgmpZ.99</w:t>
        </w:r>
      </w:hyperlink>
    </w:p>
    <w:p w14:paraId="7E4B87B7" w14:textId="77777777" w:rsidR="00175B47" w:rsidRPr="008608AA" w:rsidRDefault="00175B47" w:rsidP="00E30489">
      <w:pPr>
        <w:ind w:left="779" w:hangingChars="354" w:hanging="779"/>
        <w:contextualSpacing/>
      </w:pPr>
      <w:r w:rsidRPr="008608AA">
        <w:t xml:space="preserve">Postel, S. L. (2000). Entering an Era of Water Scarcity: The Challenges Ahead. </w:t>
      </w:r>
      <w:r w:rsidRPr="008608AA">
        <w:rPr>
          <w:i/>
        </w:rPr>
        <w:t>Ecological Applications</w:t>
      </w:r>
      <w:r w:rsidRPr="008608AA">
        <w:t xml:space="preserve">, 10(4), 941–948. </w:t>
      </w:r>
    </w:p>
    <w:p w14:paraId="32A27A28" w14:textId="77777777" w:rsidR="00175B47" w:rsidRPr="008608AA" w:rsidRDefault="00175B47" w:rsidP="00E30489">
      <w:pPr>
        <w:widowControl w:val="0"/>
        <w:ind w:left="779" w:hangingChars="354" w:hanging="779"/>
        <w:contextualSpacing/>
      </w:pPr>
      <w:r w:rsidRPr="008608AA">
        <w:t>Ramsar. (2008). The Changwon Declaration on human well-being and wetlands. Retrieved from http://ramsar.rgis.ch/pdf/cop10/cop10_changwon_english.pdf</w:t>
      </w:r>
    </w:p>
    <w:p w14:paraId="1E3521FB" w14:textId="77777777" w:rsidR="00175B47" w:rsidRPr="008608AA" w:rsidRDefault="00175B47" w:rsidP="00E30489">
      <w:pPr>
        <w:ind w:left="779" w:hangingChars="354" w:hanging="779"/>
        <w:contextualSpacing/>
      </w:pPr>
      <w:r w:rsidRPr="008608AA">
        <w:t xml:space="preserve">Raudsepp-Hearne, C., Peterson, G. D., Tengö, M., Bennett, E. M., Holland, T., Benessaiah, K., Macdonald, G. K., &amp; Pfeifer, L. (2010). Untangling the Environmentalist’s Paradox: Why is Human Well-Being Increasing as Ecosystem Services Degrade? </w:t>
      </w:r>
      <w:r w:rsidRPr="008608AA">
        <w:rPr>
          <w:i/>
          <w:iCs/>
        </w:rPr>
        <w:t>Source: BioScience Articles BioScience</w:t>
      </w:r>
      <w:r w:rsidRPr="008608AA">
        <w:t xml:space="preserve">, </w:t>
      </w:r>
      <w:r w:rsidRPr="008608AA">
        <w:rPr>
          <w:i/>
          <w:iCs/>
        </w:rPr>
        <w:t>60</w:t>
      </w:r>
      <w:r w:rsidRPr="008608AA">
        <w:t>(8), 576–589. https://doi.org/10.1525/bio.2010.60.8.4</w:t>
      </w:r>
    </w:p>
    <w:p w14:paraId="77655EAA" w14:textId="77777777" w:rsidR="00175B47" w:rsidRPr="008608AA" w:rsidRDefault="00175B47" w:rsidP="00E30489">
      <w:pPr>
        <w:widowControl w:val="0"/>
        <w:ind w:left="779" w:hangingChars="354" w:hanging="779"/>
        <w:contextualSpacing/>
      </w:pPr>
      <w:r w:rsidRPr="008608AA">
        <w:t xml:space="preserve">Ribeiro, M. C., Metzger, J. P., Camargo Martensen, A., Ponzoni, F. J., &amp; Hirota, M. M. (2009). The Brazilian Atlantic Forest: How much is left, and how is the remaining forest distributed? Implications for conservation. </w:t>
      </w:r>
      <w:r w:rsidRPr="008608AA">
        <w:rPr>
          <w:i/>
        </w:rPr>
        <w:t>Biological Conservation</w:t>
      </w:r>
      <w:r w:rsidRPr="008608AA">
        <w:t xml:space="preserve">, </w:t>
      </w:r>
      <w:r w:rsidRPr="008608AA">
        <w:rPr>
          <w:i/>
        </w:rPr>
        <w:t>142</w:t>
      </w:r>
      <w:r w:rsidRPr="008608AA">
        <w:t xml:space="preserve">, 1141–1153. </w:t>
      </w:r>
    </w:p>
    <w:p w14:paraId="06EDA0B7" w14:textId="77777777" w:rsidR="00175B47" w:rsidRPr="008608AA" w:rsidRDefault="00175B47" w:rsidP="00E30489">
      <w:pPr>
        <w:ind w:left="779" w:hangingChars="354" w:hanging="779"/>
        <w:contextualSpacing/>
      </w:pPr>
      <w:r w:rsidRPr="008608AA">
        <w:t xml:space="preserve">Rice, J., Gjerde, K. M., Ardron, J., Arico, S., Cresswell, I., Escobar, E., Grant, S., &amp; Vierros, M. (2011). Policy relevance of biogeographic classification for conservation and management of marine biodiversity beyond national jurisdiction, and the GOODS biogeographic classification. </w:t>
      </w:r>
      <w:r w:rsidRPr="008608AA">
        <w:rPr>
          <w:i/>
          <w:iCs/>
        </w:rPr>
        <w:t>Ocean and Coastal Management</w:t>
      </w:r>
      <w:r w:rsidRPr="008608AA">
        <w:t xml:space="preserve">, </w:t>
      </w:r>
      <w:r w:rsidRPr="008608AA">
        <w:rPr>
          <w:i/>
          <w:iCs/>
        </w:rPr>
        <w:t>54</w:t>
      </w:r>
      <w:r w:rsidRPr="008608AA">
        <w:t>, 110–122. https://doi.org/10.1016/j.ocecoaman.2010.10.010</w:t>
      </w:r>
    </w:p>
    <w:p w14:paraId="653B30D2" w14:textId="77777777" w:rsidR="00175B47" w:rsidRPr="008608AA" w:rsidRDefault="00175B47" w:rsidP="00E30489">
      <w:pPr>
        <w:ind w:left="779" w:hangingChars="354" w:hanging="779"/>
        <w:contextualSpacing/>
      </w:pPr>
      <w:r w:rsidRPr="008608AA">
        <w:t xml:space="preserve">Roberts, C. M., McClean, C. J., Veron, J. E. N., Hawkins, J. P., Allen, G. R., McAllister, D. E., Mittermeier, C. G., Schueler, F. W., Spalding, M., Wells, F., Vynne, C., &amp; Werner, T. B. (2002). Marine Biodiversity Hotspots and Conservation Priorities for Tropical Reefs. </w:t>
      </w:r>
      <w:r w:rsidRPr="008608AA">
        <w:rPr>
          <w:i/>
          <w:iCs/>
        </w:rPr>
        <w:t>Science</w:t>
      </w:r>
      <w:r w:rsidRPr="008608AA">
        <w:t xml:space="preserve">, </w:t>
      </w:r>
      <w:r w:rsidRPr="008608AA">
        <w:rPr>
          <w:i/>
          <w:iCs/>
        </w:rPr>
        <w:t>295</w:t>
      </w:r>
      <w:r w:rsidRPr="008608AA">
        <w:t>(5558), 1280–1284. https://doi.org/10.1126/science.1067728</w:t>
      </w:r>
    </w:p>
    <w:p w14:paraId="2ACCC5CD" w14:textId="77777777" w:rsidR="00175B47" w:rsidRPr="00CE0821" w:rsidRDefault="00175B47" w:rsidP="00E30489">
      <w:pPr>
        <w:ind w:left="779" w:hangingChars="354" w:hanging="779"/>
        <w:contextualSpacing/>
      </w:pPr>
      <w:r w:rsidRPr="008608AA">
        <w:rPr>
          <w:lang w:val="es-CO"/>
        </w:rPr>
        <w:t xml:space="preserve">Rodríguez Osuna, V., Navarro Sánchez, G., Sommer, J. H., &amp; Biber-Freudenberger, L. (2017). </w:t>
      </w:r>
      <w:r w:rsidRPr="008608AA">
        <w:t xml:space="preserve">Towards the Integration of Biodiversity in Environmental Impact Assessments of Bolivia. </w:t>
      </w:r>
      <w:r w:rsidRPr="00CE0821">
        <w:t>Cochabamba: Editoria INIA. Center for Development Research (ZEF)-Universidad Católica Boliviana (UCB).</w:t>
      </w:r>
    </w:p>
    <w:p w14:paraId="0CCD1754" w14:textId="77777777" w:rsidR="00175B47" w:rsidRPr="008608AA" w:rsidRDefault="00175B47" w:rsidP="00E30489">
      <w:pPr>
        <w:ind w:left="779" w:hangingChars="354" w:hanging="779"/>
        <w:contextualSpacing/>
      </w:pPr>
      <w:r w:rsidRPr="00CE0821">
        <w:t xml:space="preserve">Rodríguez Osuna, V., P. May, J. Monteiro, R. Wollenweber, H. Hissa, &amp; Costa, M. (2018). </w:t>
      </w:r>
      <w:r w:rsidRPr="008608AA">
        <w:t>Promoting Sustainable Agriculture, Boosting Productivity and Enhancing Climate Mitigation and Adaptation Through the Rio Rural Program, Brazil. Chapter 28. In: Nehren, U., S. Schlueter, C. Raedig, D. Sattler, and H. Hissa (eds.), Strategies and tools for a sustainable Rio de Janeiro. Springer International Publishing.</w:t>
      </w:r>
    </w:p>
    <w:p w14:paraId="33049A6D" w14:textId="77777777" w:rsidR="00175B47" w:rsidRPr="008608AA" w:rsidRDefault="00175B47" w:rsidP="00E30489">
      <w:pPr>
        <w:ind w:left="779" w:hangingChars="354" w:hanging="779"/>
        <w:contextualSpacing/>
      </w:pPr>
      <w:r w:rsidRPr="008608AA">
        <w:rPr>
          <w:lang w:val="de-DE"/>
        </w:rPr>
        <w:t xml:space="preserve">Russi, D., Ten Brink, P., Farmer, A., &amp; Badura, T. (2013). </w:t>
      </w:r>
      <w:r w:rsidRPr="008608AA">
        <w:t>TEEB for Water and Wetlands. London, Brussels. Retrieved from http://www.ramsar.org/sites/default/files/documents/library/teeb_waterwetlands_report_2013.pdf</w:t>
      </w:r>
    </w:p>
    <w:p w14:paraId="52A5282E" w14:textId="77777777" w:rsidR="00175B47" w:rsidRPr="008608AA" w:rsidRDefault="00175B47" w:rsidP="00E30489">
      <w:pPr>
        <w:ind w:left="779" w:hangingChars="354" w:hanging="779"/>
        <w:contextualSpacing/>
      </w:pPr>
      <w:r w:rsidRPr="008608AA">
        <w:t>Santa Rosa First Peoples Community (2015). The establishment of an amerindian heritage village and living museum for the Santa Rosa First Peoples’ community of Arima at Blanchisseuse Road, Arima: excerpts of a preliminary master plan. Retrieved from http://santarosafirstpeoples.org/resource-center/an-amerindian-heritage-complex/</w:t>
      </w:r>
    </w:p>
    <w:p w14:paraId="25034BB9" w14:textId="77777777" w:rsidR="00175B47" w:rsidRPr="008608AA" w:rsidRDefault="00175B47" w:rsidP="00E30489">
      <w:pPr>
        <w:ind w:left="779" w:hangingChars="354" w:hanging="779"/>
        <w:contextualSpacing/>
      </w:pPr>
      <w:r w:rsidRPr="008608AA">
        <w:rPr>
          <w:lang w:val="es-CO"/>
        </w:rPr>
        <w:t xml:space="preserve">Scarano, F. R., &amp; Ceotto, P. (2015). </w:t>
      </w:r>
      <w:r w:rsidRPr="008608AA">
        <w:t xml:space="preserve">Brazilian Atlantic forest: impact, vulnerability, and adaptation to climate change. Biodiversity and Conservation, 24, 2319–2331. </w:t>
      </w:r>
    </w:p>
    <w:p w14:paraId="0A7CB7F9" w14:textId="77777777" w:rsidR="00175B47" w:rsidRPr="008608AA" w:rsidRDefault="00175B47" w:rsidP="00E30489">
      <w:pPr>
        <w:ind w:left="779" w:hangingChars="354" w:hanging="779"/>
        <w:contextualSpacing/>
      </w:pPr>
      <w:r w:rsidRPr="008608AA">
        <w:t xml:space="preserve">Schaaf T. &amp; Lee, C. (2006). Conserving cultural and biological diversity: The role of sacred natural sites and cultural landscapes. International symposium held in Tokyo, Japan, 30 May-2June 2005. Paris: United Nations </w:t>
      </w:r>
    </w:p>
    <w:p w14:paraId="6DAA9509" w14:textId="77777777" w:rsidR="00175B47" w:rsidRPr="008608AA" w:rsidRDefault="00175B47" w:rsidP="00E30489">
      <w:pPr>
        <w:widowControl w:val="0"/>
        <w:ind w:left="779" w:hangingChars="354" w:hanging="779"/>
        <w:contextualSpacing/>
      </w:pPr>
      <w:r w:rsidRPr="008608AA">
        <w:rPr>
          <w:lang w:val="de-DE"/>
        </w:rPr>
        <w:t xml:space="preserve">Schmeller, D. S., &amp; Bridgewater, P. (2016). </w:t>
      </w:r>
      <w:r w:rsidRPr="008608AA">
        <w:t xml:space="preserve">The Intergovernmental Platform on Biodiversity and Ecosystem Services (IPBES): progress and next steps. </w:t>
      </w:r>
      <w:r w:rsidRPr="008608AA">
        <w:rPr>
          <w:i/>
        </w:rPr>
        <w:t>Biodiversity and Conservation</w:t>
      </w:r>
      <w:r w:rsidRPr="008608AA">
        <w:t xml:space="preserve">, </w:t>
      </w:r>
      <w:r w:rsidRPr="008608AA">
        <w:rPr>
          <w:i/>
        </w:rPr>
        <w:t>25</w:t>
      </w:r>
      <w:r w:rsidRPr="008608AA">
        <w:t>(5), 801–805.</w:t>
      </w:r>
    </w:p>
    <w:p w14:paraId="44246258" w14:textId="77777777" w:rsidR="00175B47" w:rsidRPr="008608AA" w:rsidRDefault="00175B47" w:rsidP="00E30489">
      <w:pPr>
        <w:ind w:left="779" w:hangingChars="354" w:hanging="779"/>
        <w:contextualSpacing/>
      </w:pPr>
      <w:r w:rsidRPr="008608AA">
        <w:rPr>
          <w:noProof/>
        </w:rPr>
        <w:t xml:space="preserve">Schwanitz, V. J., Piontek, F., Bertram, C., &amp; Luderer, G. (2014). Long-term climate policy implications of phasing out fossil fuel subsidies. </w:t>
      </w:r>
      <w:r w:rsidRPr="008608AA">
        <w:rPr>
          <w:i/>
          <w:iCs/>
          <w:noProof/>
        </w:rPr>
        <w:t>Energy Policy</w:t>
      </w:r>
      <w:r w:rsidRPr="008608AA">
        <w:rPr>
          <w:noProof/>
        </w:rPr>
        <w:t xml:space="preserve">, </w:t>
      </w:r>
      <w:r w:rsidRPr="008608AA">
        <w:rPr>
          <w:i/>
          <w:iCs/>
          <w:noProof/>
        </w:rPr>
        <w:t>67</w:t>
      </w:r>
      <w:r w:rsidRPr="008608AA">
        <w:rPr>
          <w:noProof/>
        </w:rPr>
        <w:t>, 882–894.</w:t>
      </w:r>
    </w:p>
    <w:p w14:paraId="42DDAF59" w14:textId="77777777" w:rsidR="00175B47" w:rsidRPr="008608AA" w:rsidRDefault="00175B47" w:rsidP="00E30489">
      <w:pPr>
        <w:ind w:left="779" w:hangingChars="354" w:hanging="779"/>
        <w:contextualSpacing/>
      </w:pPr>
      <w:r w:rsidRPr="008608AA">
        <w:t xml:space="preserve">Siegel, K. M. (2017). Regional Environmental Cooperation in the La Plata River Basin. In Regional Environmental Cooperation in South America (pp. 91–121). London: Palgrave Macmillan UK. </w:t>
      </w:r>
    </w:p>
    <w:p w14:paraId="4D9CB9F4" w14:textId="77777777" w:rsidR="00175B47" w:rsidRPr="008608AA" w:rsidRDefault="00175B47" w:rsidP="00E30489">
      <w:pPr>
        <w:ind w:left="779" w:hangingChars="354" w:hanging="779"/>
        <w:contextualSpacing/>
      </w:pPr>
      <w:r w:rsidRPr="008608AA">
        <w:t xml:space="preserve">Spalding, M. D., Fox, H. E., Allen, G. R., Davidson, N., Ferdaña, Z. A., Finlayson, M., Halpern, B. S., Jorge, M. A., Lombana, A., Lourie, S. A., Martin, K. D., Mcmanus, E., Molnar, J., Recchia, C. A., &amp; Robertson, J. (2007). Marine Ecoregions of the World: A Bioregionalization of Coastal and Shelf Areas. </w:t>
      </w:r>
      <w:r w:rsidRPr="008608AA">
        <w:rPr>
          <w:i/>
          <w:iCs/>
        </w:rPr>
        <w:t>Source: BioScience</w:t>
      </w:r>
      <w:r w:rsidRPr="008608AA">
        <w:t xml:space="preserve">, </w:t>
      </w:r>
      <w:r w:rsidRPr="008608AA">
        <w:rPr>
          <w:i/>
          <w:iCs/>
        </w:rPr>
        <w:t>57</w:t>
      </w:r>
      <w:r w:rsidRPr="008608AA">
        <w:t>(7), 573–583. https://doi.org/10.1641/B570707</w:t>
      </w:r>
    </w:p>
    <w:p w14:paraId="1096B091" w14:textId="77777777" w:rsidR="00175B47" w:rsidRPr="008608AA" w:rsidRDefault="00175B47" w:rsidP="00E30489">
      <w:pPr>
        <w:ind w:left="779" w:hangingChars="354" w:hanging="779"/>
        <w:contextualSpacing/>
      </w:pPr>
      <w:r w:rsidRPr="008608AA">
        <w:t>Statistics Canada (2017). Aboriginal peoples Retrieved from http://www.statcan.gc.ca/eng/start</w:t>
      </w:r>
    </w:p>
    <w:p w14:paraId="000065E0" w14:textId="77777777" w:rsidR="00175B47" w:rsidRPr="008608AA" w:rsidRDefault="00175B47" w:rsidP="00E30489">
      <w:pPr>
        <w:ind w:left="779" w:hangingChars="354" w:hanging="779"/>
        <w:contextualSpacing/>
      </w:pPr>
      <w:r w:rsidRPr="008608AA">
        <w:t>TEEB. (2009). TEEB for National and International Policy Makers. Summary: Responding to the Value of Nature 2009. the Approach, Conclusions and Recommendations of TEEB. Wesseling</w:t>
      </w:r>
    </w:p>
    <w:p w14:paraId="2A50E285" w14:textId="77777777" w:rsidR="00175B47" w:rsidRPr="008608AA" w:rsidRDefault="00175B47" w:rsidP="00E30489">
      <w:pPr>
        <w:ind w:left="779" w:hangingChars="354" w:hanging="779"/>
        <w:contextualSpacing/>
      </w:pPr>
      <w:r w:rsidRPr="008608AA">
        <w:t>TEEB. (2010). Mainstreaming the Economics of Nature: A Synthesis of the Approach, Conclusions and Recommendations of TEEB. The Economics of Ecosystems and Biodiversity, Malta</w:t>
      </w:r>
    </w:p>
    <w:p w14:paraId="7C0EDF3B" w14:textId="77777777" w:rsidR="00175B47" w:rsidRPr="008608AA" w:rsidRDefault="00175B47" w:rsidP="00E30489">
      <w:pPr>
        <w:ind w:left="779" w:hangingChars="354" w:hanging="779"/>
        <w:contextualSpacing/>
      </w:pPr>
      <w:r w:rsidRPr="008608AA">
        <w:t xml:space="preserve">Tengö, M., Brondizio, E. S., Elmqvist, T., Malmer, P., &amp; Spierenburg, M. (2014). Connecting Diverse Knowledge Systems for Enhanced Ecosystem Governance: The Multiple Evidence Base Approach. </w:t>
      </w:r>
      <w:r w:rsidRPr="008608AA">
        <w:rPr>
          <w:i/>
        </w:rPr>
        <w:t>AMBIO</w:t>
      </w:r>
      <w:r w:rsidRPr="008608AA">
        <w:t xml:space="preserve">, 43(5), 579–591. </w:t>
      </w:r>
    </w:p>
    <w:p w14:paraId="6196DD08" w14:textId="77777777" w:rsidR="00175B47" w:rsidRPr="008608AA" w:rsidRDefault="00175B47" w:rsidP="00E30489">
      <w:pPr>
        <w:ind w:left="779" w:hangingChars="354" w:hanging="779"/>
        <w:contextualSpacing/>
      </w:pPr>
      <w:r w:rsidRPr="008608AA">
        <w:t>The Economist (2017). Pocket World in Figures. The Economist Newspaper Ltd. Profile Books Ltd. United States</w:t>
      </w:r>
    </w:p>
    <w:p w14:paraId="73AA6CD2" w14:textId="77777777" w:rsidR="00175B47" w:rsidRPr="008608AA" w:rsidRDefault="00175B47" w:rsidP="00E30489">
      <w:pPr>
        <w:ind w:left="779" w:hangingChars="354" w:hanging="779"/>
        <w:contextualSpacing/>
      </w:pPr>
      <w:r w:rsidRPr="008608AA">
        <w:t>Tscharntke, T., Klein, A. M., Kruess, A., Steffan</w:t>
      </w:r>
      <w:r w:rsidRPr="008608AA">
        <w:rPr>
          <w:rFonts w:ascii="Cambria Math" w:eastAsia="Calibri" w:hAnsi="Cambria Math" w:cs="Cambria Math"/>
        </w:rPr>
        <w:t>‐</w:t>
      </w:r>
      <w:r w:rsidRPr="008608AA">
        <w:t xml:space="preserve">Dewenter, I., &amp; Thies, C. (2005). Landscape perspectives on agricultural intensification and biodiversity–ecosystem service management. </w:t>
      </w:r>
      <w:r w:rsidRPr="008608AA">
        <w:rPr>
          <w:i/>
        </w:rPr>
        <w:t>Ecology letters</w:t>
      </w:r>
      <w:r w:rsidRPr="008608AA">
        <w:t>, 8(8), 857-874.</w:t>
      </w:r>
    </w:p>
    <w:p w14:paraId="6C1DAA39" w14:textId="77777777" w:rsidR="00175B47" w:rsidRPr="008608AA" w:rsidRDefault="00175B47" w:rsidP="00E30489">
      <w:pPr>
        <w:ind w:left="779" w:hangingChars="354" w:hanging="779"/>
        <w:contextualSpacing/>
      </w:pPr>
      <w:r w:rsidRPr="008608AA">
        <w:t xml:space="preserve">Tundisi, J. G., Goldemberg, J., Matsumura-Tundisi, T., &amp; Saraiva, A. C. F. (2014). How many more dams in the Amazon? </w:t>
      </w:r>
      <w:r w:rsidRPr="008608AA">
        <w:rPr>
          <w:i/>
        </w:rPr>
        <w:t>Energy Policy</w:t>
      </w:r>
      <w:r w:rsidRPr="008608AA">
        <w:t xml:space="preserve">, 74, 703–708. </w:t>
      </w:r>
    </w:p>
    <w:p w14:paraId="49184950" w14:textId="77777777" w:rsidR="00175B47" w:rsidRPr="008608AA" w:rsidRDefault="00175B47" w:rsidP="00E30489">
      <w:pPr>
        <w:ind w:left="779" w:hangingChars="354" w:hanging="779"/>
        <w:contextualSpacing/>
      </w:pPr>
      <w:r w:rsidRPr="008608AA">
        <w:t>UN (2016a). Summary of the First Global Integrated Marine Assessment. Retrieved from http://www.un.org/Depts/los/global_reporting/WOA_RPROC/Summary.pdf</w:t>
      </w:r>
    </w:p>
    <w:p w14:paraId="43C15E99" w14:textId="77777777" w:rsidR="00175B47" w:rsidRPr="008608AA" w:rsidRDefault="00175B47" w:rsidP="00E30489">
      <w:pPr>
        <w:ind w:left="779" w:hangingChars="354" w:hanging="779"/>
        <w:contextualSpacing/>
      </w:pPr>
      <w:r w:rsidRPr="008608AA">
        <w:t>UN. (2013). World Population Prospects. The 2012 Revision. Highlights and Advance Tables. United Nations New York. Retrieved from https://esa.un.org/unpd/wpp/publications/Files/WPP2012_HIGHLIGHTS.pdf</w:t>
      </w:r>
    </w:p>
    <w:p w14:paraId="6C56F9EF" w14:textId="77777777" w:rsidR="00175B47" w:rsidRPr="008608AA" w:rsidRDefault="00175B47" w:rsidP="00E30489">
      <w:pPr>
        <w:ind w:left="779" w:hangingChars="354" w:hanging="779"/>
        <w:contextualSpacing/>
      </w:pPr>
      <w:r w:rsidRPr="008608AA">
        <w:t>UN. (2015). Transforming our world: the 2030 Agenda for Sustainable Development. Paris: UN General Assembly. Retrieved from https://sustainabledevelopment.un.org/post2015/transformingourworld</w:t>
      </w:r>
    </w:p>
    <w:p w14:paraId="5FBF244F" w14:textId="77777777" w:rsidR="00175B47" w:rsidRPr="008608AA" w:rsidRDefault="00175B47" w:rsidP="00E30489">
      <w:pPr>
        <w:ind w:left="779" w:hangingChars="354" w:hanging="779"/>
        <w:contextualSpacing/>
      </w:pPr>
      <w:r w:rsidRPr="008608AA">
        <w:t>UN. (2016b). Paris Agreement. Paris: United Nations Framework Convention on Climate Change. Retrieved from http://unfccc.int/files/essential_background/convention/application/pdf/english_paris_agreement.pdf</w:t>
      </w:r>
    </w:p>
    <w:p w14:paraId="42E0C67D" w14:textId="77777777" w:rsidR="00175B47" w:rsidRPr="008608AA" w:rsidRDefault="00175B47" w:rsidP="00E30489">
      <w:pPr>
        <w:ind w:left="779" w:hangingChars="354" w:hanging="779"/>
        <w:contextualSpacing/>
      </w:pPr>
      <w:r w:rsidRPr="008608AA">
        <w:t>UN-DESA. (2014). World Urbanization Prospects</w:t>
      </w:r>
      <w:r w:rsidRPr="008608AA">
        <w:rPr>
          <w:i/>
        </w:rPr>
        <w:t>: The 2014 Revision, Highlights (ST/ESA/SER.A/352).</w:t>
      </w:r>
      <w:r w:rsidRPr="008608AA">
        <w:t xml:space="preserve"> United Nations, Department of Economic and Social Affairs, Population Division. Retrieved from </w:t>
      </w:r>
      <w:hyperlink r:id="rId37">
        <w:r w:rsidRPr="008608AA">
          <w:rPr>
            <w:color w:val="0000FF"/>
            <w:u w:val="single"/>
          </w:rPr>
          <w:t>https://esa.un.org/unpd/wup/publications/files/wup2014-highlights.pdf</w:t>
        </w:r>
      </w:hyperlink>
    </w:p>
    <w:p w14:paraId="442B7071" w14:textId="77777777" w:rsidR="00175B47" w:rsidRPr="008608AA" w:rsidRDefault="00175B47" w:rsidP="00E30489">
      <w:pPr>
        <w:ind w:left="779" w:hangingChars="354" w:hanging="779"/>
        <w:contextualSpacing/>
        <w:rPr>
          <w:color w:val="000000"/>
        </w:rPr>
      </w:pPr>
      <w:r w:rsidRPr="008608AA">
        <w:t>UN-DESA. (2016). The World’s Cities in 2016 (Statistical Papers - United Nations (Ser. A), Population and Vital Statistics Report). New York: United Nations.</w:t>
      </w:r>
      <w:r w:rsidRPr="008608AA">
        <w:rPr>
          <w:color w:val="000000"/>
        </w:rPr>
        <w:t xml:space="preserve"> </w:t>
      </w:r>
      <w:hyperlink r:id="rId38" w:history="1">
        <w:r w:rsidRPr="008608AA">
          <w:rPr>
            <w:rStyle w:val="Hyperlink"/>
          </w:rPr>
          <w:t>https://doi.org/10.18356/8519891f-en</w:t>
        </w:r>
      </w:hyperlink>
    </w:p>
    <w:p w14:paraId="51858062" w14:textId="77777777" w:rsidR="00175B47" w:rsidRPr="008608AA" w:rsidRDefault="00175B47" w:rsidP="00E30489">
      <w:pPr>
        <w:ind w:left="779" w:hangingChars="354" w:hanging="779"/>
        <w:contextualSpacing/>
      </w:pPr>
      <w:r w:rsidRPr="008608AA">
        <w:t>UNDP. (2016). Human Development Report 2016. Human Development for Everyone. United Nations Development Programme. Retrieved from http://hdr.undp.org/en/2016-report</w:t>
      </w:r>
    </w:p>
    <w:p w14:paraId="099B0792" w14:textId="77777777" w:rsidR="00175B47" w:rsidRPr="008608AA" w:rsidRDefault="00175B47" w:rsidP="000A77D6">
      <w:pPr>
        <w:ind w:left="779" w:hangingChars="354" w:hanging="779"/>
        <w:contextualSpacing/>
      </w:pPr>
      <w:r w:rsidRPr="008608AA">
        <w:t>UNEP. (2012). Global Environment Outlook. GEO-5: Environment for the future we want. United Nations Environment Programme, Malta. Retrieved from http://web.unep.org/geo/assessments/global-assessments/global-environment-outlook-5</w:t>
      </w:r>
    </w:p>
    <w:p w14:paraId="1B7E28F5" w14:textId="77777777" w:rsidR="00175B47" w:rsidRPr="008608AA" w:rsidRDefault="00175B47" w:rsidP="00E30489">
      <w:pPr>
        <w:ind w:left="779" w:hangingChars="354" w:hanging="779"/>
        <w:contextualSpacing/>
      </w:pPr>
      <w:r w:rsidRPr="008608AA">
        <w:t>UNEP-DHI and UNEP (2016). Transboundary River Basins: Status and Trends. Volume 3: River Basins. United Nations Environment Programme, Nairobi. Retrieved from http://www.geftwap.org/publications/river-basins-spm</w:t>
      </w:r>
    </w:p>
    <w:p w14:paraId="51F60C54" w14:textId="77777777" w:rsidR="00175B47" w:rsidRPr="008608AA" w:rsidRDefault="00175B47" w:rsidP="00E30489">
      <w:pPr>
        <w:ind w:left="779" w:hangingChars="354" w:hanging="779"/>
        <w:contextualSpacing/>
      </w:pPr>
      <w:r w:rsidRPr="008608AA">
        <w:t>UNESCO. (2017). Concept of Governance. United Nations Educational, Scientific and Cultural Organization. Retrieved from http://www.unesco.org/new/en/education/themes/strengthening-education-systems/quality-framework/technical-notes/concept-of-governance</w:t>
      </w:r>
    </w:p>
    <w:p w14:paraId="6743DDBC" w14:textId="77777777" w:rsidR="00175B47" w:rsidRPr="008608AA" w:rsidRDefault="00175B47" w:rsidP="00E30489">
      <w:pPr>
        <w:ind w:left="779" w:hangingChars="354" w:hanging="779"/>
        <w:contextualSpacing/>
      </w:pPr>
      <w:r w:rsidRPr="008608AA">
        <w:t>US Department of the Interior Indians Affair (2017). Retrieved from https://www.bia.gov/FAQs/index.htm.</w:t>
      </w:r>
    </w:p>
    <w:p w14:paraId="319E72BA" w14:textId="77777777" w:rsidR="00175B47" w:rsidRPr="008608AA" w:rsidRDefault="00175B47" w:rsidP="00E30489">
      <w:pPr>
        <w:ind w:left="779" w:hangingChars="354" w:hanging="779"/>
        <w:contextualSpacing/>
      </w:pPr>
      <w:r w:rsidRPr="008608AA">
        <w:t xml:space="preserve">Van Dam, C. (2011). Indigenous territories and REDD in Latin America: Opportunity or threat? </w:t>
      </w:r>
      <w:r w:rsidRPr="008608AA">
        <w:rPr>
          <w:i/>
        </w:rPr>
        <w:t>Forests</w:t>
      </w:r>
      <w:r w:rsidRPr="008608AA">
        <w:t>, 2(1), 394-414.</w:t>
      </w:r>
    </w:p>
    <w:p w14:paraId="26A425F5" w14:textId="77777777" w:rsidR="00175B47" w:rsidRPr="008608AA" w:rsidRDefault="00175B47" w:rsidP="00E30489">
      <w:pPr>
        <w:ind w:left="779" w:hangingChars="354" w:hanging="779"/>
        <w:contextualSpacing/>
      </w:pPr>
      <w:r w:rsidRPr="008608AA">
        <w:t xml:space="preserve">Van Zanten, B. T., Van Beukering, P. J. H., &amp; Wagtendonk, A. J. (2014). Coastal protection by coral reefs: A framework for spatial assessment and economic valuation. </w:t>
      </w:r>
      <w:r w:rsidRPr="008608AA">
        <w:rPr>
          <w:i/>
        </w:rPr>
        <w:t>Ocean and Coastal Management</w:t>
      </w:r>
      <w:r w:rsidRPr="008608AA">
        <w:t xml:space="preserve">, 96, 94–103. </w:t>
      </w:r>
    </w:p>
    <w:p w14:paraId="0251006C" w14:textId="77777777" w:rsidR="00175B47" w:rsidRPr="008608AA" w:rsidRDefault="00175B47" w:rsidP="00E30489">
      <w:pPr>
        <w:ind w:left="779" w:hangingChars="354" w:hanging="779"/>
        <w:contextualSpacing/>
        <w:rPr>
          <w:lang w:val="es-CO"/>
        </w:rPr>
      </w:pPr>
      <w:r w:rsidRPr="008608AA">
        <w:t xml:space="preserve">Veiga, J. B., Tourrand, J. F., Piketty, M. G., Poccard-Chapuis, R., Alves, A. M., &amp; Thales, M. C. (2004). </w:t>
      </w:r>
      <w:r w:rsidRPr="008608AA">
        <w:rPr>
          <w:lang w:val="es-CO"/>
        </w:rPr>
        <w:t>Expansão e Trajetórias da Pecuária na Amazônica: Pará, Brasil. Brasillia: Editora Universidade de Brasilia.</w:t>
      </w:r>
    </w:p>
    <w:p w14:paraId="7889EF98" w14:textId="77777777" w:rsidR="00175B47" w:rsidRPr="00CE0821" w:rsidRDefault="00175B47" w:rsidP="00E30489">
      <w:pPr>
        <w:ind w:left="779" w:hangingChars="354" w:hanging="779"/>
        <w:contextualSpacing/>
      </w:pPr>
      <w:r w:rsidRPr="008608AA">
        <w:t xml:space="preserve">Venter, O., Sanderson, E. W., Magrach, A., Allan, J. R., Beher, J., Jones, K. R., Possingham, H. P., Laurance, W. F., Wood, P., Fekete, B. M., Levy, M. A., &amp; Watson, J. E. M. (2016). Sixteen years of change in the global terrestrial human footprint and implications for biodiversity conservation. </w:t>
      </w:r>
      <w:r w:rsidRPr="00CE0821">
        <w:rPr>
          <w:i/>
          <w:iCs/>
        </w:rPr>
        <w:t>Nature Communications</w:t>
      </w:r>
      <w:r w:rsidRPr="00CE0821">
        <w:t xml:space="preserve">, </w:t>
      </w:r>
      <w:r w:rsidRPr="00CE0821">
        <w:rPr>
          <w:i/>
          <w:iCs/>
        </w:rPr>
        <w:t>7</w:t>
      </w:r>
      <w:r w:rsidRPr="00CE0821">
        <w:t>, 12558. https://doi.org/10.1038/ncomms12558</w:t>
      </w:r>
    </w:p>
    <w:p w14:paraId="5EB99B8C" w14:textId="77777777" w:rsidR="00175B47" w:rsidRPr="008608AA" w:rsidRDefault="00175B47" w:rsidP="00E30489">
      <w:pPr>
        <w:ind w:left="779" w:hangingChars="354" w:hanging="779"/>
        <w:contextualSpacing/>
      </w:pPr>
      <w:r w:rsidRPr="00CE0821">
        <w:t xml:space="preserve">Vogt, N., Pinedo-Vasquez, M., Brondízio, E. S., Rabelo, F. G., Fernandes, K., Almeida, O., Riveiro, S., Deadman, P. J., &amp; Dou, Y. (2016). </w:t>
      </w:r>
      <w:r w:rsidRPr="008608AA">
        <w:t xml:space="preserve">Local ecological knowledge and incremental adaptation to changing flood patterns in the Amazon delta. </w:t>
      </w:r>
      <w:r w:rsidRPr="008608AA">
        <w:rPr>
          <w:i/>
          <w:iCs/>
        </w:rPr>
        <w:t>Sustainability Science</w:t>
      </w:r>
      <w:r w:rsidRPr="008608AA">
        <w:t xml:space="preserve">, </w:t>
      </w:r>
      <w:r w:rsidRPr="008608AA">
        <w:rPr>
          <w:i/>
          <w:iCs/>
        </w:rPr>
        <w:t>11</w:t>
      </w:r>
      <w:r w:rsidRPr="008608AA">
        <w:t>(4), 611–623. https://doi.org/10.1007/s11625-015-0352-2</w:t>
      </w:r>
    </w:p>
    <w:p w14:paraId="1191280C" w14:textId="77777777" w:rsidR="00175B47" w:rsidRPr="008608AA" w:rsidRDefault="00175B47" w:rsidP="00E30489">
      <w:pPr>
        <w:ind w:left="779" w:hangingChars="354" w:hanging="779"/>
        <w:contextualSpacing/>
      </w:pPr>
      <w:r w:rsidRPr="008608AA">
        <w:t xml:space="preserve">Vörösmarty, C. J., Osuna, V. R., Koehler, D. A., Klop, P., Spengler, J. D., Buonocore, J. J., Cak, A. D., Tessler, Z. D., Corsi, F., Green, P. A., &amp; Sánchez, R. (2018). Scientifically assess impacts of sustainable investments. </w:t>
      </w:r>
      <w:r w:rsidRPr="008608AA">
        <w:rPr>
          <w:i/>
          <w:iCs/>
        </w:rPr>
        <w:t>Science (New York, N.Y.)</w:t>
      </w:r>
      <w:r w:rsidRPr="008608AA">
        <w:t xml:space="preserve">, </w:t>
      </w:r>
      <w:r w:rsidRPr="008608AA">
        <w:rPr>
          <w:i/>
          <w:iCs/>
        </w:rPr>
        <w:t>359</w:t>
      </w:r>
      <w:r w:rsidRPr="008608AA">
        <w:t>(6375), 523–525. https://doi.org/10.1126/science.aao3895</w:t>
      </w:r>
    </w:p>
    <w:p w14:paraId="08BA1434" w14:textId="77777777" w:rsidR="00175B47" w:rsidRPr="008608AA" w:rsidRDefault="00175B47" w:rsidP="00E30489">
      <w:pPr>
        <w:ind w:left="779" w:hangingChars="354" w:hanging="779"/>
        <w:contextualSpacing/>
      </w:pPr>
      <w:r w:rsidRPr="008608AA">
        <w:t xml:space="preserve">Watson, J. E. M., Dudley, N., Segan, D. B., &amp; Hockings, M. (2014). The performance and potential of protected areas. </w:t>
      </w:r>
      <w:r w:rsidRPr="008608AA">
        <w:rPr>
          <w:i/>
        </w:rPr>
        <w:t>Nature</w:t>
      </w:r>
      <w:r w:rsidRPr="008608AA">
        <w:t xml:space="preserve">, 515(7525), 67–73. </w:t>
      </w:r>
    </w:p>
    <w:p w14:paraId="65A5B913" w14:textId="77777777" w:rsidR="00175B47" w:rsidRPr="008608AA" w:rsidRDefault="00175B47" w:rsidP="00E30489">
      <w:pPr>
        <w:ind w:left="779" w:hangingChars="354" w:hanging="779"/>
        <w:contextualSpacing/>
      </w:pPr>
      <w:r w:rsidRPr="008608AA">
        <w:t xml:space="preserve">WB &amp;WWF (2003). The importance of forest protected areas to drinking water. Running Pure. Alliance for Forest Conservation and Sustainable Use. Gland/ Washington DC.: The World Bank/WWF Alliance. Retrieved from </w:t>
      </w:r>
      <w:hyperlink r:id="rId39">
        <w:r w:rsidRPr="008608AA">
          <w:rPr>
            <w:color w:val="0000FF"/>
            <w:u w:val="single"/>
          </w:rPr>
          <w:t>http://siteresources.worldbank.org/INTBIODIVERSITY/Resources/RunningPure2003+.pdf</w:t>
        </w:r>
      </w:hyperlink>
      <w:r w:rsidRPr="008608AA">
        <w:t xml:space="preserve"> </w:t>
      </w:r>
    </w:p>
    <w:p w14:paraId="21B9F1DC" w14:textId="77777777" w:rsidR="00175B47" w:rsidRPr="008608AA" w:rsidRDefault="00175B47" w:rsidP="00E30489">
      <w:pPr>
        <w:ind w:left="779" w:hangingChars="354" w:hanging="779"/>
        <w:contextualSpacing/>
      </w:pPr>
      <w:r w:rsidRPr="008608AA">
        <w:t xml:space="preserve">WB (World Bank) &amp; IHME (Institute for Health Metrics and Evaluation) (2016). The Cost of Air Pollution: Strengthening the Economic Case for Action. Washington DC: World Bank. Retrieved from </w:t>
      </w:r>
      <w:hyperlink r:id="rId40">
        <w:r w:rsidRPr="008608AA">
          <w:rPr>
            <w:color w:val="0000FF"/>
            <w:u w:val="single"/>
          </w:rPr>
          <w:t>https://openknowledge.worldbank.org/bitstream/handle/10986/25013/108141.pdf?sequence=4&amp;isAllowed=y</w:t>
        </w:r>
      </w:hyperlink>
      <w:r w:rsidRPr="008608AA">
        <w:t xml:space="preserve"> </w:t>
      </w:r>
    </w:p>
    <w:p w14:paraId="7580443C" w14:textId="77777777" w:rsidR="00175B47" w:rsidRPr="008608AA" w:rsidRDefault="00175B47" w:rsidP="00E30489">
      <w:pPr>
        <w:widowControl w:val="0"/>
        <w:ind w:left="779" w:hangingChars="354" w:hanging="779"/>
        <w:contextualSpacing/>
      </w:pPr>
      <w:r w:rsidRPr="008608AA">
        <w:t>WDPA. (2017). World Database on Protected Areas. ProtectedPlanet. Retrieved from https://www.protectedplanet.net/c/world-database-on-protected-areas</w:t>
      </w:r>
    </w:p>
    <w:p w14:paraId="54C69E4B" w14:textId="77777777" w:rsidR="00175B47" w:rsidRPr="008608AA" w:rsidRDefault="00175B47" w:rsidP="00E30489">
      <w:pPr>
        <w:ind w:left="779" w:hangingChars="354" w:hanging="779"/>
        <w:contextualSpacing/>
        <w:rPr>
          <w:lang w:val="en-GB"/>
        </w:rPr>
      </w:pPr>
      <w:r w:rsidRPr="008608AA">
        <w:t xml:space="preserve">Winemiller, K. O., McIntyre, P. B., Castello, L., Fluet-Chouinard, E., Giarrizzo, T., Nam, S., Baird, I. G., Darwall, W., Lujan, N. K., Harrison, I., Stiassny, M. L. J., Silvano, R. A. M., Fitzgerald, D. B., Pelicice, F. M., Agostinho, A. A., Gomes, L. C., Albert, J. S., Baran, E., Petrere, M., Zarfl, C., Mulligan, M., Sullivan, J. P., Arantes, C. C., Sousa, L. M., Koning, A. A., Hoeinghaus, D. J., Sabaj, M., Lundberg, J. G., Armbruster, J., Thieme, M. L., Petry, P., Zuanon, J., Torrente Vilara, G., Snoeks, J., Ou, C., Rainboth, W., Pavanelli, C. S., Akama, A., van Soesbergen, A., &amp; Sáenz, L. (2016). DEVELOPMENT AND ENVIRONMENT. Balancing hydropower and biodiversity in the Amazon, Congo, and Mekong. </w:t>
      </w:r>
      <w:r w:rsidRPr="008608AA">
        <w:rPr>
          <w:i/>
          <w:iCs/>
        </w:rPr>
        <w:t>Science (New York, N.Y.)</w:t>
      </w:r>
      <w:r w:rsidRPr="008608AA">
        <w:t xml:space="preserve">, </w:t>
      </w:r>
      <w:r w:rsidRPr="008608AA">
        <w:rPr>
          <w:i/>
          <w:iCs/>
        </w:rPr>
        <w:t>351</w:t>
      </w:r>
      <w:r w:rsidRPr="008608AA">
        <w:t>(6269), 128–129. https://doi.org/10.1126/science.aac7082</w:t>
      </w:r>
    </w:p>
    <w:p w14:paraId="62B37DAF" w14:textId="77777777" w:rsidR="00175B47" w:rsidRPr="008608AA" w:rsidRDefault="00175B47" w:rsidP="00E30489">
      <w:pPr>
        <w:ind w:left="779" w:hangingChars="354" w:hanging="779"/>
        <w:contextualSpacing/>
      </w:pPr>
      <w:r w:rsidRPr="008608AA">
        <w:t xml:space="preserve">WOA. (2016). A Regular Process for Global Reporting and Assessment of the State of the Marine Environment, including Socio-economic Aspects. World Ocean Assessment. Division for Ocean Affairs and the Law of the Sea </w:t>
      </w:r>
      <w:hyperlink r:id="rId41">
        <w:r w:rsidRPr="008608AA">
          <w:rPr>
            <w:color w:val="0000FF"/>
            <w:u w:val="single"/>
          </w:rPr>
          <w:t>http://www.un.org/Depts/los/global_reporting/WOA_RegProcess.htm</w:t>
        </w:r>
      </w:hyperlink>
      <w:r w:rsidRPr="008608AA">
        <w:t xml:space="preserve"> </w:t>
      </w:r>
    </w:p>
    <w:p w14:paraId="1AE985A2" w14:textId="77777777" w:rsidR="00175B47" w:rsidRPr="008608AA" w:rsidRDefault="00175B47" w:rsidP="00E30489">
      <w:pPr>
        <w:ind w:left="779" w:hangingChars="354" w:hanging="779"/>
        <w:contextualSpacing/>
      </w:pPr>
      <w:r w:rsidRPr="008608AA">
        <w:t xml:space="preserve">Wood, S. L. R., &amp; DeClerck, F. A. J. (2015). Ecosystems and human well-being in the Sustainable Development Goals. </w:t>
      </w:r>
      <w:r w:rsidRPr="008608AA">
        <w:rPr>
          <w:i/>
        </w:rPr>
        <w:t>Frontiers in Ecology and the Environment</w:t>
      </w:r>
      <w:r w:rsidRPr="008608AA">
        <w:t>, 13(3), 123.</w:t>
      </w:r>
    </w:p>
    <w:p w14:paraId="0BB85047" w14:textId="77777777" w:rsidR="00175B47" w:rsidRPr="008608AA" w:rsidRDefault="00175B47" w:rsidP="00E30489">
      <w:pPr>
        <w:ind w:left="779" w:hangingChars="354" w:hanging="779"/>
        <w:contextualSpacing/>
      </w:pPr>
      <w:r w:rsidRPr="008608AA">
        <w:t xml:space="preserve">World Atlas (2017). The longest coral reefs in the world. Retrieved from </w:t>
      </w:r>
      <w:hyperlink r:id="rId42">
        <w:r w:rsidRPr="008608AA">
          <w:rPr>
            <w:color w:val="0000FF"/>
            <w:u w:val="single"/>
          </w:rPr>
          <w:t>http://www.worldatlas.com/articles/the-longest-coral-reefs-in-the-world.html</w:t>
        </w:r>
      </w:hyperlink>
      <w:r w:rsidRPr="008608AA">
        <w:t xml:space="preserve"> </w:t>
      </w:r>
    </w:p>
    <w:p w14:paraId="38EC5EA7" w14:textId="77777777" w:rsidR="00175B47" w:rsidRPr="008608AA" w:rsidRDefault="00175B47" w:rsidP="00E30489">
      <w:pPr>
        <w:ind w:left="779" w:hangingChars="354" w:hanging="779"/>
        <w:contextualSpacing/>
      </w:pPr>
      <w:r w:rsidRPr="008608AA">
        <w:t xml:space="preserve">World Bank. (2015). World Bank Open Data 2015. Retrieved from http://data.worldbank.org/indicator/SP.POP.TOTL </w:t>
      </w:r>
    </w:p>
    <w:p w14:paraId="5EF8029C" w14:textId="77777777" w:rsidR="00175B47" w:rsidRPr="008608AA" w:rsidRDefault="00175B47" w:rsidP="00E30489">
      <w:pPr>
        <w:ind w:left="779" w:hangingChars="354" w:hanging="779"/>
        <w:contextualSpacing/>
      </w:pPr>
      <w:r w:rsidRPr="008608AA">
        <w:t xml:space="preserve">World Bank. (2017). Data retrieved from World Development Indicators Online (WDI) database. </w:t>
      </w:r>
    </w:p>
    <w:p w14:paraId="6B89019F" w14:textId="77777777" w:rsidR="00175B47" w:rsidRPr="008608AA" w:rsidRDefault="00175B47" w:rsidP="00E30489">
      <w:pPr>
        <w:widowControl w:val="0"/>
        <w:autoSpaceDE w:val="0"/>
        <w:autoSpaceDN w:val="0"/>
        <w:adjustRightInd w:val="0"/>
        <w:ind w:left="779" w:hangingChars="354" w:hanging="779"/>
        <w:contextualSpacing/>
        <w:rPr>
          <w:noProof/>
        </w:rPr>
      </w:pPr>
      <w:r w:rsidRPr="008608AA">
        <w:rPr>
          <w:noProof/>
        </w:rPr>
        <w:t>World Database of Key Biodiversity Areas. (n.d.). Retrieved from www.keybiodiversityareas.org</w:t>
      </w:r>
    </w:p>
    <w:p w14:paraId="021020A2" w14:textId="77777777" w:rsidR="00175B47" w:rsidRPr="008608AA" w:rsidRDefault="00175B47" w:rsidP="00E30489">
      <w:pPr>
        <w:ind w:left="779" w:hangingChars="354" w:hanging="779"/>
        <w:contextualSpacing/>
      </w:pPr>
      <w:r w:rsidRPr="008608AA">
        <w:t xml:space="preserve">Wuenscher, T., Engel, S., &amp; Wunder, S. (2008). Spatial targeting of payments for environmental services: A tool for boosting conservation benefits. </w:t>
      </w:r>
      <w:r w:rsidRPr="008608AA">
        <w:rPr>
          <w:i/>
        </w:rPr>
        <w:t>Ecological Economics</w:t>
      </w:r>
      <w:r w:rsidRPr="008608AA">
        <w:t>, 65(4), 822–833.</w:t>
      </w:r>
    </w:p>
    <w:p w14:paraId="3FC0A1AC" w14:textId="77777777" w:rsidR="00175B47" w:rsidRPr="008608AA" w:rsidRDefault="00175B47" w:rsidP="00E30489">
      <w:pPr>
        <w:widowControl w:val="0"/>
        <w:ind w:left="779" w:hangingChars="354" w:hanging="779"/>
        <w:contextualSpacing/>
      </w:pPr>
      <w:r w:rsidRPr="008608AA">
        <w:t>WWAP. (2015). The United Nations World Water Development Report 2015: Water for a Sustainable World. Paris: United Nations World Water Assessment Programme. Retrieved from http://www.unesco.org/new/en/natural-sciences/environment/water/wwap/wwdr/2015-water-for-a-sustainable-world/</w:t>
      </w:r>
    </w:p>
    <w:p w14:paraId="5C070D84" w14:textId="77777777" w:rsidR="00175B47" w:rsidRPr="008608AA" w:rsidRDefault="00175B47" w:rsidP="00E30489">
      <w:pPr>
        <w:widowControl w:val="0"/>
        <w:ind w:left="779" w:hangingChars="354" w:hanging="779"/>
        <w:contextualSpacing/>
        <w:rPr>
          <w:lang w:val="es-CO"/>
        </w:rPr>
      </w:pPr>
      <w:r w:rsidRPr="008608AA">
        <w:t xml:space="preserve">WWF. (2017). Mesoamerican Reef. Washington DC: World Wildlife Fund. </w:t>
      </w:r>
      <w:r w:rsidRPr="008608AA">
        <w:rPr>
          <w:lang w:val="es-CO"/>
        </w:rPr>
        <w:t>Retrieved from https://www.worldwildlife.org/places/mesoamerican-reef#</w:t>
      </w:r>
    </w:p>
    <w:p w14:paraId="159E5D1E" w14:textId="77777777" w:rsidR="00175B47" w:rsidRPr="008608AA" w:rsidRDefault="00175B47" w:rsidP="00E30489">
      <w:pPr>
        <w:ind w:left="779" w:hangingChars="354" w:hanging="779"/>
        <w:contextualSpacing/>
        <w:rPr>
          <w:lang w:val="es-CO"/>
        </w:rPr>
      </w:pPr>
      <w:r w:rsidRPr="008608AA">
        <w:rPr>
          <w:lang w:val="es-CO"/>
        </w:rPr>
        <w:t>Young, C. E. F., Aguiar, C., &amp; Neto de Souza, E. (2015). Valorando Tempestades: Custo econômico dos eventos climáticos extremos no Brasil nos anos de 2002 – 2012. São Paulo: Observatório do Clima.</w:t>
      </w:r>
    </w:p>
    <w:p w14:paraId="77670B68" w14:textId="77777777" w:rsidR="00175B47" w:rsidRPr="008608AA" w:rsidRDefault="00175B47" w:rsidP="00E30489">
      <w:pPr>
        <w:ind w:left="779" w:hangingChars="354" w:hanging="779"/>
      </w:pPr>
      <w:r w:rsidRPr="008608AA">
        <w:rPr>
          <w:lang w:val="es-CO"/>
        </w:rPr>
        <w:t xml:space="preserve">Zhang, D. Q., Jinadasa, K. B. S. N., Gersberg, R. M., Liu, Y., Ng, W. J., &amp; Tan, S. K. (2014). </w:t>
      </w:r>
      <w:r w:rsidRPr="008608AA">
        <w:t xml:space="preserve">Application of constructed wetlands for wastewater treatment in developing countries – A review of recent developments (2000–2013). </w:t>
      </w:r>
      <w:r w:rsidRPr="008608AA">
        <w:rPr>
          <w:i/>
        </w:rPr>
        <w:t>Journal of Environmental Management</w:t>
      </w:r>
      <w:r w:rsidRPr="008608AA">
        <w:t xml:space="preserve">, </w:t>
      </w:r>
      <w:r w:rsidRPr="008608AA">
        <w:rPr>
          <w:i/>
        </w:rPr>
        <w:t>141</w:t>
      </w:r>
      <w:r w:rsidRPr="008608AA">
        <w:t>, 116–131.</w:t>
      </w:r>
    </w:p>
    <w:bookmarkEnd w:id="19"/>
    <w:bookmarkEnd w:id="20"/>
    <w:p w14:paraId="04C604A9" w14:textId="0056D30F" w:rsidR="00F44157" w:rsidRPr="008608AA" w:rsidRDefault="00333557" w:rsidP="00AC69AD">
      <w:pPr>
        <w:widowControl w:val="0"/>
        <w:spacing w:before="120"/>
        <w:ind w:left="964" w:hangingChars="438" w:hanging="964"/>
        <w:contextualSpacing/>
        <w:sectPr w:rsidR="00F44157" w:rsidRPr="008608AA" w:rsidSect="00E95397">
          <w:headerReference w:type="even" r:id="rId43"/>
          <w:headerReference w:type="default" r:id="rId44"/>
          <w:footerReference w:type="even" r:id="rId45"/>
          <w:footerReference w:type="default" r:id="rId46"/>
          <w:headerReference w:type="first" r:id="rId47"/>
          <w:footerReference w:type="first" r:id="rId48"/>
          <w:pgSz w:w="11907" w:h="16839" w:code="9"/>
          <w:pgMar w:top="907" w:right="992" w:bottom="1418" w:left="1418" w:header="720" w:footer="720" w:gutter="0"/>
          <w:pgNumType w:start="1"/>
          <w:cols w:space="720"/>
          <w:titlePg/>
          <w:docGrid w:linePitch="326"/>
        </w:sectPr>
      </w:pPr>
      <w:r w:rsidRPr="008608AA">
        <w:br w:type="page"/>
      </w:r>
    </w:p>
    <w:p w14:paraId="3BAD68AA" w14:textId="480F5B1F" w:rsidR="00F44157" w:rsidRPr="00800CE7" w:rsidRDefault="007235B9" w:rsidP="004D42ED">
      <w:pPr>
        <w:pStyle w:val="Heading1"/>
        <w:numPr>
          <w:ilvl w:val="0"/>
          <w:numId w:val="0"/>
        </w:numPr>
        <w:ind w:left="432" w:hanging="432"/>
      </w:pPr>
      <w:bookmarkStart w:id="570" w:name="_Toc502908194"/>
      <w:bookmarkStart w:id="571" w:name="_Toc502927284"/>
      <w:bookmarkStart w:id="572" w:name="_Toc502951120"/>
      <w:bookmarkStart w:id="573" w:name="_Toc502953563"/>
      <w:bookmarkStart w:id="574" w:name="_Toc502954856"/>
      <w:bookmarkStart w:id="575" w:name="_Toc502957663"/>
      <w:bookmarkStart w:id="576" w:name="_Toc502957862"/>
      <w:bookmarkStart w:id="577" w:name="_Toc502958016"/>
      <w:bookmarkStart w:id="578" w:name="_Toc503293064"/>
      <w:bookmarkStart w:id="579" w:name="_Toc503293660"/>
      <w:bookmarkStart w:id="580" w:name="_Toc503293922"/>
      <w:bookmarkStart w:id="581" w:name="_Toc503863315"/>
      <w:bookmarkStart w:id="582" w:name="_Toc517393237"/>
      <w:bookmarkStart w:id="583" w:name="_Toc517718978"/>
      <w:bookmarkStart w:id="584" w:name="_Toc517726336"/>
      <w:bookmarkStart w:id="585" w:name="_Toc517796849"/>
      <w:bookmarkStart w:id="586" w:name="_Toc517796935"/>
      <w:bookmarkStart w:id="587" w:name="Chap2"/>
      <w:r w:rsidRPr="00800CE7">
        <w:t>Chapter 2:</w:t>
      </w:r>
      <w:r w:rsidR="00333557" w:rsidRPr="00800CE7">
        <w:t xml:space="preserve"> Nature’s contributions to people and quality of life</w:t>
      </w:r>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p>
    <w:p w14:paraId="34EA3917" w14:textId="77777777" w:rsidR="00800CE7" w:rsidRDefault="00800CE7">
      <w:pPr>
        <w:keepNext/>
        <w:keepLines/>
        <w:tabs>
          <w:tab w:val="left" w:pos="4082"/>
        </w:tabs>
        <w:rPr>
          <w:b/>
        </w:rPr>
      </w:pPr>
    </w:p>
    <w:p w14:paraId="06950E1D" w14:textId="7C611EDF" w:rsidR="00F44157" w:rsidRPr="008608AA" w:rsidRDefault="00333557">
      <w:pPr>
        <w:keepNext/>
        <w:keepLines/>
        <w:tabs>
          <w:tab w:val="left" w:pos="4082"/>
        </w:tabs>
        <w:rPr>
          <w:b/>
        </w:rPr>
      </w:pPr>
      <w:r w:rsidRPr="008608AA">
        <w:rPr>
          <w:b/>
        </w:rPr>
        <w:t xml:space="preserve">Coordinating Lead Authors: </w:t>
      </w:r>
    </w:p>
    <w:p w14:paraId="1F4B2589" w14:textId="77777777" w:rsidR="00F44157" w:rsidRPr="008608AA" w:rsidRDefault="00333557">
      <w:pPr>
        <w:keepNext/>
        <w:keepLines/>
        <w:tabs>
          <w:tab w:val="left" w:pos="4082"/>
        </w:tabs>
        <w:rPr>
          <w:lang w:val="en-GB"/>
        </w:rPr>
      </w:pPr>
      <w:r w:rsidRPr="008608AA">
        <w:rPr>
          <w:lang w:val="en-GB"/>
        </w:rPr>
        <w:t>Cristiana Simão Seixas (Brazil), Christopher B. Anderson (Argentina/USA), Siobhan Fennessy (USA), Bernal Herrera-F (Costa Rica).</w:t>
      </w:r>
    </w:p>
    <w:p w14:paraId="20EBB8B0" w14:textId="77777777" w:rsidR="00F44157" w:rsidRPr="008608AA" w:rsidRDefault="00F44157">
      <w:pPr>
        <w:keepNext/>
        <w:keepLines/>
        <w:tabs>
          <w:tab w:val="left" w:pos="4082"/>
        </w:tabs>
        <w:rPr>
          <w:lang w:val="en-GB"/>
        </w:rPr>
      </w:pPr>
    </w:p>
    <w:p w14:paraId="0E18E918" w14:textId="77777777" w:rsidR="00F44157" w:rsidRPr="008608AA" w:rsidRDefault="00333557">
      <w:pPr>
        <w:keepNext/>
        <w:keepLines/>
        <w:tabs>
          <w:tab w:val="left" w:pos="4082"/>
        </w:tabs>
        <w:rPr>
          <w:b/>
        </w:rPr>
      </w:pPr>
      <w:r w:rsidRPr="008608AA">
        <w:rPr>
          <w:b/>
        </w:rPr>
        <w:t>Lead Authors:</w:t>
      </w:r>
    </w:p>
    <w:p w14:paraId="6CB2F730" w14:textId="77777777" w:rsidR="00F44157" w:rsidRPr="008608AA" w:rsidRDefault="00333557">
      <w:pPr>
        <w:keepNext/>
        <w:keepLines/>
        <w:tabs>
          <w:tab w:val="left" w:pos="4082"/>
        </w:tabs>
      </w:pPr>
      <w:r w:rsidRPr="008608AA">
        <w:t xml:space="preserve">Olga Barbosa (Chile), Richard Cole (USA), Rahanna Juman (Trinidad and Tobago), Laura Lopez-Hoffman (USA), Mónica Moraes R. (Bolivia), Gerhard Overbeck (Brazil/Germany), Wendy R. Townsend (Bolivia/US). </w:t>
      </w:r>
    </w:p>
    <w:p w14:paraId="28C1D27E" w14:textId="77777777" w:rsidR="00F44157" w:rsidRPr="008608AA" w:rsidRDefault="00F44157">
      <w:pPr>
        <w:keepNext/>
        <w:keepLines/>
        <w:tabs>
          <w:tab w:val="left" w:pos="4082"/>
        </w:tabs>
      </w:pPr>
    </w:p>
    <w:p w14:paraId="2EB4EE89" w14:textId="77777777" w:rsidR="00F44157" w:rsidRPr="008608AA" w:rsidRDefault="00333557">
      <w:pPr>
        <w:keepNext/>
        <w:keepLines/>
        <w:tabs>
          <w:tab w:val="left" w:pos="4082"/>
        </w:tabs>
        <w:rPr>
          <w:b/>
          <w:lang w:val="es-CO"/>
        </w:rPr>
      </w:pPr>
      <w:r w:rsidRPr="008608AA">
        <w:rPr>
          <w:b/>
          <w:lang w:val="es-CO"/>
        </w:rPr>
        <w:t xml:space="preserve">Fellow: </w:t>
      </w:r>
    </w:p>
    <w:p w14:paraId="6E2FD189" w14:textId="77777777" w:rsidR="00F44157" w:rsidRPr="008608AA" w:rsidRDefault="00333557">
      <w:pPr>
        <w:keepNext/>
        <w:keepLines/>
        <w:tabs>
          <w:tab w:val="left" w:pos="4082"/>
        </w:tabs>
        <w:rPr>
          <w:lang w:val="es-CO"/>
        </w:rPr>
      </w:pPr>
      <w:r w:rsidRPr="008608AA">
        <w:rPr>
          <w:lang w:val="es-CO"/>
        </w:rPr>
        <w:t>Julio Díaz-José (Mexico).</w:t>
      </w:r>
    </w:p>
    <w:p w14:paraId="3B8677D2" w14:textId="77777777" w:rsidR="00F44157" w:rsidRPr="008608AA" w:rsidRDefault="00F44157">
      <w:pPr>
        <w:keepNext/>
        <w:keepLines/>
        <w:tabs>
          <w:tab w:val="left" w:pos="4082"/>
        </w:tabs>
        <w:rPr>
          <w:lang w:val="es-CO"/>
        </w:rPr>
      </w:pPr>
    </w:p>
    <w:p w14:paraId="30AF814A" w14:textId="77777777" w:rsidR="00F44157" w:rsidRPr="008608AA" w:rsidRDefault="00333557">
      <w:pPr>
        <w:keepNext/>
        <w:keepLines/>
        <w:tabs>
          <w:tab w:val="left" w:pos="4082"/>
        </w:tabs>
        <w:rPr>
          <w:b/>
          <w:lang w:val="es-CO"/>
        </w:rPr>
      </w:pPr>
      <w:r w:rsidRPr="008608AA">
        <w:rPr>
          <w:b/>
          <w:lang w:val="es-CO"/>
        </w:rPr>
        <w:t xml:space="preserve">Contributing Authors: </w:t>
      </w:r>
    </w:p>
    <w:p w14:paraId="57FFD118" w14:textId="77777777" w:rsidR="00F44157" w:rsidRPr="008608AA" w:rsidRDefault="00333557">
      <w:pPr>
        <w:keepNext/>
        <w:keepLines/>
        <w:tabs>
          <w:tab w:val="left" w:pos="4082"/>
        </w:tabs>
        <w:rPr>
          <w:lang w:val="es-CO"/>
        </w:rPr>
      </w:pPr>
      <w:r w:rsidRPr="008608AA">
        <w:rPr>
          <w:lang w:val="es-CO"/>
        </w:rPr>
        <w:t>Edgar Espinoza-Cisneros (Costa Rica), Marcello Hernández-Blanco (Costa Rica), Jake Rice (Canada), Simone Aparecida Veira (Brazil), Carlos Zembrana-Torrelio (Bolivia).</w:t>
      </w:r>
    </w:p>
    <w:p w14:paraId="0C055E10" w14:textId="77777777" w:rsidR="00F44157" w:rsidRPr="008608AA" w:rsidRDefault="00F44157">
      <w:pPr>
        <w:keepNext/>
        <w:keepLines/>
        <w:tabs>
          <w:tab w:val="left" w:pos="4082"/>
        </w:tabs>
        <w:rPr>
          <w:lang w:val="es-CO"/>
        </w:rPr>
      </w:pPr>
    </w:p>
    <w:p w14:paraId="44F64535" w14:textId="77777777" w:rsidR="00F44157" w:rsidRPr="008608AA" w:rsidRDefault="00333557">
      <w:pPr>
        <w:tabs>
          <w:tab w:val="left" w:pos="4082"/>
        </w:tabs>
        <w:rPr>
          <w:b/>
        </w:rPr>
      </w:pPr>
      <w:r w:rsidRPr="008608AA">
        <w:rPr>
          <w:b/>
        </w:rPr>
        <w:t xml:space="preserve">Review Editors: </w:t>
      </w:r>
    </w:p>
    <w:p w14:paraId="3F19BD5C" w14:textId="77777777" w:rsidR="004553C0" w:rsidRPr="00CE0821" w:rsidRDefault="00333557">
      <w:pPr>
        <w:tabs>
          <w:tab w:val="left" w:pos="4082"/>
        </w:tabs>
      </w:pPr>
      <w:r w:rsidRPr="00CE0821">
        <w:t>Laura Nahuelhual (Chile), Brenda Parlee (Canada).</w:t>
      </w:r>
    </w:p>
    <w:p w14:paraId="75B1C3A6" w14:textId="77777777" w:rsidR="004553C0" w:rsidRPr="00CE0821" w:rsidRDefault="004553C0">
      <w:pPr>
        <w:tabs>
          <w:tab w:val="left" w:pos="4082"/>
        </w:tabs>
      </w:pPr>
    </w:p>
    <w:p w14:paraId="6BC1C31D" w14:textId="77777777" w:rsidR="00372BA1" w:rsidRPr="00CE0821" w:rsidRDefault="00372BA1">
      <w:pPr>
        <w:tabs>
          <w:tab w:val="left" w:pos="4082"/>
        </w:tabs>
      </w:pPr>
    </w:p>
    <w:p w14:paraId="2D3B1164" w14:textId="1C28C700" w:rsidR="00E0561F" w:rsidRPr="008608AA" w:rsidRDefault="00E0561F">
      <w:pPr>
        <w:tabs>
          <w:tab w:val="left" w:pos="4082"/>
        </w:tabs>
        <w:rPr>
          <w:b/>
          <w:color w:val="000000"/>
          <w:shd w:val="clear" w:color="auto" w:fill="FFFFFF"/>
        </w:rPr>
      </w:pPr>
      <w:r w:rsidRPr="008608AA">
        <w:rPr>
          <w:b/>
          <w:color w:val="000000"/>
          <w:shd w:val="clear" w:color="auto" w:fill="FFFFFF"/>
        </w:rPr>
        <w:t>Suggested Citation:</w:t>
      </w:r>
    </w:p>
    <w:p w14:paraId="1C3561E2" w14:textId="70982220" w:rsidR="004553C0" w:rsidRPr="008608AA" w:rsidRDefault="00E0561F">
      <w:pPr>
        <w:tabs>
          <w:tab w:val="left" w:pos="4082"/>
        </w:tabs>
        <w:rPr>
          <w:lang w:val="en-GB"/>
        </w:rPr>
      </w:pPr>
      <w:r w:rsidRPr="008608AA">
        <w:rPr>
          <w:color w:val="000000"/>
          <w:shd w:val="clear" w:color="auto" w:fill="FFFFFF"/>
        </w:rPr>
        <w:t>Seixas, C. S., Anderson, C. B., Fennessy, S., Herrera-F., Bernal, Barbosa, O., Cole, R., Juman, R., Lopez-Hoffman, L., Moraes</w:t>
      </w:r>
      <w:r w:rsidR="00F8217B" w:rsidRPr="008608AA">
        <w:rPr>
          <w:color w:val="000000"/>
          <w:shd w:val="clear" w:color="auto" w:fill="FFFFFF"/>
        </w:rPr>
        <w:t>,</w:t>
      </w:r>
      <w:r w:rsidRPr="008608AA">
        <w:rPr>
          <w:color w:val="000000"/>
          <w:shd w:val="clear" w:color="auto" w:fill="FFFFFF"/>
        </w:rPr>
        <w:t xml:space="preserve"> R., M., Overbec</w:t>
      </w:r>
      <w:r w:rsidR="00F8217B" w:rsidRPr="008608AA">
        <w:rPr>
          <w:color w:val="000000"/>
          <w:shd w:val="clear" w:color="auto" w:fill="FFFFFF"/>
        </w:rPr>
        <w:t>k, G., Townsend, W. R., and Díaz</w:t>
      </w:r>
      <w:r w:rsidRPr="008608AA">
        <w:rPr>
          <w:color w:val="000000"/>
          <w:shd w:val="clear" w:color="auto" w:fill="FFFFFF"/>
        </w:rPr>
        <w:t xml:space="preserve">-José, J., Chapter 2: Nature’s contributions to people and quality of life. In IPBES (2018): The IPBES regional assessment report on biodiversity and ecosystem services for the Americas. Rice, J., Seixas, C. S., Zaccagnini, M. E., Bedoya-Gaitán, M., and Valderrama, N. (eds.). Secretariat of the Intergovernmental Science-Policy Platform on Biodiversity and Ecosystem Services, Bonn, Germany, </w:t>
      </w:r>
      <w:r w:rsidR="00B24A76" w:rsidRPr="00B24A76">
        <w:rPr>
          <w:color w:val="000000"/>
          <w:shd w:val="clear" w:color="auto" w:fill="FFFFFF"/>
        </w:rPr>
        <w:t xml:space="preserve">pp. </w:t>
      </w:r>
      <w:r w:rsidR="00286530">
        <w:rPr>
          <w:color w:val="000000"/>
          <w:shd w:val="clear" w:color="auto" w:fill="FFFFFF"/>
        </w:rPr>
        <w:t>xx-xx</w:t>
      </w:r>
    </w:p>
    <w:p w14:paraId="28BB5BE2" w14:textId="77777777" w:rsidR="004553C0" w:rsidRPr="008608AA" w:rsidRDefault="004553C0">
      <w:pPr>
        <w:tabs>
          <w:tab w:val="left" w:pos="4082"/>
        </w:tabs>
        <w:rPr>
          <w:lang w:val="en-GB"/>
        </w:rPr>
      </w:pPr>
    </w:p>
    <w:p w14:paraId="36C0C43E" w14:textId="77777777" w:rsidR="004553C0" w:rsidRPr="008608AA" w:rsidRDefault="004553C0">
      <w:pPr>
        <w:tabs>
          <w:tab w:val="left" w:pos="4082"/>
        </w:tabs>
        <w:rPr>
          <w:lang w:val="en-GB"/>
        </w:rPr>
      </w:pPr>
    </w:p>
    <w:p w14:paraId="36C9E157" w14:textId="7EBCB6BD" w:rsidR="00F44157" w:rsidRPr="008608AA" w:rsidRDefault="00333557">
      <w:pPr>
        <w:tabs>
          <w:tab w:val="left" w:pos="4082"/>
        </w:tabs>
        <w:rPr>
          <w:sz w:val="20"/>
          <w:szCs w:val="20"/>
          <w:lang w:val="en-GB"/>
        </w:rPr>
      </w:pPr>
      <w:r w:rsidRPr="008608AA">
        <w:rPr>
          <w:lang w:val="en-GB"/>
        </w:rPr>
        <w:br w:type="page"/>
      </w:r>
    </w:p>
    <w:p w14:paraId="7A27CD2B" w14:textId="039C03F1" w:rsidR="00735D6C" w:rsidRPr="008608AA" w:rsidRDefault="00735D6C" w:rsidP="00735D6C">
      <w:pPr>
        <w:tabs>
          <w:tab w:val="left" w:pos="4082"/>
        </w:tabs>
        <w:rPr>
          <w:b/>
          <w:sz w:val="28"/>
        </w:rPr>
      </w:pPr>
      <w:r w:rsidRPr="008608AA">
        <w:rPr>
          <w:b/>
          <w:sz w:val="28"/>
        </w:rPr>
        <w:t>Table of contents</w:t>
      </w:r>
      <w:r w:rsidR="009F0E42" w:rsidRPr="008608AA">
        <w:rPr>
          <w:b/>
          <w:sz w:val="28"/>
        </w:rPr>
        <w:t xml:space="preserve"> C</w:t>
      </w:r>
      <w:r w:rsidR="002F3654" w:rsidRPr="008608AA">
        <w:rPr>
          <w:b/>
          <w:sz w:val="28"/>
        </w:rPr>
        <w:t>hapter 2</w:t>
      </w:r>
    </w:p>
    <w:p w14:paraId="135C60FF" w14:textId="77777777" w:rsidR="002B0B9E" w:rsidRPr="008608AA" w:rsidRDefault="002B0B9E" w:rsidP="00735D6C">
      <w:pPr>
        <w:tabs>
          <w:tab w:val="left" w:pos="4082"/>
        </w:tabs>
        <w:rPr>
          <w:b/>
          <w:sz w:val="28"/>
        </w:rPr>
      </w:pPr>
    </w:p>
    <w:p w14:paraId="412444A5" w14:textId="038FC6C9" w:rsidR="00C40619" w:rsidRDefault="002B0B9E">
      <w:pPr>
        <w:pStyle w:val="TOC1"/>
        <w:rPr>
          <w:rFonts w:asciiTheme="minorHAnsi" w:eastAsiaTheme="minorEastAsia" w:hAnsiTheme="minorHAnsi" w:cstheme="minorBidi"/>
          <w:b w:val="0"/>
          <w:bCs w:val="0"/>
          <w:szCs w:val="22"/>
          <w:lang w:val="es-CO" w:eastAsia="es-CO"/>
        </w:rPr>
      </w:pPr>
      <w:r w:rsidRPr="008608AA">
        <w:rPr>
          <w:b w:val="0"/>
          <w:sz w:val="28"/>
        </w:rPr>
        <w:fldChar w:fldCharType="begin"/>
      </w:r>
      <w:r w:rsidRPr="008608AA">
        <w:rPr>
          <w:b w:val="0"/>
          <w:sz w:val="28"/>
        </w:rPr>
        <w:instrText xml:space="preserve"> TO</w:instrText>
      </w:r>
      <w:r w:rsidR="00403781" w:rsidRPr="008608AA">
        <w:rPr>
          <w:b w:val="0"/>
          <w:sz w:val="28"/>
        </w:rPr>
        <w:instrText>C \o "1-4" \h \z \u \b "Chap</w:instrText>
      </w:r>
      <w:r w:rsidRPr="008608AA">
        <w:rPr>
          <w:b w:val="0"/>
          <w:sz w:val="28"/>
        </w:rPr>
        <w:instrText xml:space="preserve">2" </w:instrText>
      </w:r>
      <w:r w:rsidRPr="008608AA">
        <w:rPr>
          <w:b w:val="0"/>
          <w:sz w:val="28"/>
        </w:rPr>
        <w:fldChar w:fldCharType="separate"/>
      </w:r>
      <w:hyperlink w:anchor="_Toc517796935" w:history="1">
        <w:r w:rsidR="00C40619" w:rsidRPr="00ED11E6">
          <w:rPr>
            <w:rStyle w:val="Hyperlink"/>
          </w:rPr>
          <w:t>Chapter 2: Nature’s contributions to people and quality of life</w:t>
        </w:r>
        <w:r w:rsidR="00C40619">
          <w:rPr>
            <w:webHidden/>
          </w:rPr>
          <w:tab/>
        </w:r>
        <w:r w:rsidR="00C40619">
          <w:rPr>
            <w:webHidden/>
          </w:rPr>
          <w:fldChar w:fldCharType="begin"/>
        </w:r>
        <w:r w:rsidR="00C40619">
          <w:rPr>
            <w:webHidden/>
          </w:rPr>
          <w:instrText xml:space="preserve"> PAGEREF _Toc517796935 \h </w:instrText>
        </w:r>
        <w:r w:rsidR="00C40619">
          <w:rPr>
            <w:webHidden/>
          </w:rPr>
        </w:r>
        <w:r w:rsidR="00C40619">
          <w:rPr>
            <w:webHidden/>
          </w:rPr>
          <w:fldChar w:fldCharType="separate"/>
        </w:r>
        <w:r w:rsidR="00402074">
          <w:rPr>
            <w:webHidden/>
          </w:rPr>
          <w:t>66</w:t>
        </w:r>
        <w:r w:rsidR="00C40619">
          <w:rPr>
            <w:webHidden/>
          </w:rPr>
          <w:fldChar w:fldCharType="end"/>
        </w:r>
      </w:hyperlink>
    </w:p>
    <w:p w14:paraId="276A50EC" w14:textId="1352931E" w:rsidR="00C40619" w:rsidRDefault="00E84199">
      <w:pPr>
        <w:pStyle w:val="TOC1"/>
        <w:rPr>
          <w:rFonts w:asciiTheme="minorHAnsi" w:eastAsiaTheme="minorEastAsia" w:hAnsiTheme="minorHAnsi" w:cstheme="minorBidi"/>
          <w:b w:val="0"/>
          <w:bCs w:val="0"/>
          <w:szCs w:val="22"/>
          <w:lang w:val="es-CO" w:eastAsia="es-CO"/>
        </w:rPr>
      </w:pPr>
      <w:hyperlink w:anchor="_Toc517796936" w:history="1">
        <w:r w:rsidR="00C40619" w:rsidRPr="00ED11E6">
          <w:rPr>
            <w:rStyle w:val="Hyperlink"/>
          </w:rPr>
          <w:t>2</w:t>
        </w:r>
        <w:r w:rsidR="00C40619">
          <w:rPr>
            <w:rFonts w:asciiTheme="minorHAnsi" w:eastAsiaTheme="minorEastAsia" w:hAnsiTheme="minorHAnsi" w:cstheme="minorBidi"/>
            <w:b w:val="0"/>
            <w:bCs w:val="0"/>
            <w:szCs w:val="22"/>
            <w:lang w:val="es-CO" w:eastAsia="es-CO"/>
          </w:rPr>
          <w:tab/>
        </w:r>
        <w:r w:rsidR="00C40619" w:rsidRPr="00ED11E6">
          <w:rPr>
            <w:rStyle w:val="Hyperlink"/>
          </w:rPr>
          <w:t>Executive summary</w:t>
        </w:r>
        <w:r w:rsidR="00C40619">
          <w:rPr>
            <w:webHidden/>
          </w:rPr>
          <w:tab/>
        </w:r>
        <w:r w:rsidR="00C40619">
          <w:rPr>
            <w:webHidden/>
          </w:rPr>
          <w:fldChar w:fldCharType="begin"/>
        </w:r>
        <w:r w:rsidR="00C40619">
          <w:rPr>
            <w:webHidden/>
          </w:rPr>
          <w:instrText xml:space="preserve"> PAGEREF _Toc517796936 \h </w:instrText>
        </w:r>
        <w:r w:rsidR="00C40619">
          <w:rPr>
            <w:webHidden/>
          </w:rPr>
        </w:r>
        <w:r w:rsidR="00C40619">
          <w:rPr>
            <w:webHidden/>
          </w:rPr>
          <w:fldChar w:fldCharType="separate"/>
        </w:r>
        <w:r w:rsidR="00402074">
          <w:rPr>
            <w:webHidden/>
          </w:rPr>
          <w:t>68</w:t>
        </w:r>
        <w:r w:rsidR="00C40619">
          <w:rPr>
            <w:webHidden/>
          </w:rPr>
          <w:fldChar w:fldCharType="end"/>
        </w:r>
      </w:hyperlink>
    </w:p>
    <w:p w14:paraId="34AF458D" w14:textId="7A776363" w:rsidR="00C40619" w:rsidRDefault="00E84199">
      <w:pPr>
        <w:pStyle w:val="TOC2"/>
        <w:rPr>
          <w:rFonts w:asciiTheme="minorHAnsi" w:eastAsiaTheme="minorEastAsia" w:hAnsiTheme="minorHAnsi" w:cstheme="minorBidi"/>
          <w:b w:val="0"/>
          <w:bCs w:val="0"/>
          <w:noProof/>
          <w:szCs w:val="22"/>
          <w:lang w:val="es-CO" w:eastAsia="es-CO"/>
        </w:rPr>
      </w:pPr>
      <w:hyperlink w:anchor="_Toc517796937" w:history="1">
        <w:r w:rsidR="00C40619" w:rsidRPr="00ED11E6">
          <w:rPr>
            <w:rStyle w:val="Hyperlink"/>
            <w:noProof/>
            <w14:scene3d>
              <w14:camera w14:prst="orthographicFront"/>
              <w14:lightRig w14:rig="threePt" w14:dir="t">
                <w14:rot w14:lat="0" w14:lon="0" w14:rev="0"/>
              </w14:lightRig>
            </w14:scene3d>
          </w:rPr>
          <w:t>2.1</w:t>
        </w:r>
        <w:r w:rsidR="00C40619">
          <w:rPr>
            <w:rFonts w:asciiTheme="minorHAnsi" w:eastAsiaTheme="minorEastAsia" w:hAnsiTheme="minorHAnsi" w:cstheme="minorBidi"/>
            <w:b w:val="0"/>
            <w:bCs w:val="0"/>
            <w:noProof/>
            <w:szCs w:val="22"/>
            <w:lang w:val="es-CO" w:eastAsia="es-CO"/>
          </w:rPr>
          <w:tab/>
        </w:r>
        <w:r w:rsidR="00C40619" w:rsidRPr="00ED11E6">
          <w:rPr>
            <w:rStyle w:val="Hyperlink"/>
            <w:noProof/>
          </w:rPr>
          <w:t>Introduction</w:t>
        </w:r>
        <w:r w:rsidR="00C40619">
          <w:rPr>
            <w:noProof/>
            <w:webHidden/>
          </w:rPr>
          <w:tab/>
        </w:r>
        <w:r w:rsidR="00C40619">
          <w:rPr>
            <w:noProof/>
            <w:webHidden/>
          </w:rPr>
          <w:fldChar w:fldCharType="begin"/>
        </w:r>
        <w:r w:rsidR="00C40619">
          <w:rPr>
            <w:noProof/>
            <w:webHidden/>
          </w:rPr>
          <w:instrText xml:space="preserve"> PAGEREF _Toc517796937 \h </w:instrText>
        </w:r>
        <w:r w:rsidR="00C40619">
          <w:rPr>
            <w:noProof/>
            <w:webHidden/>
          </w:rPr>
        </w:r>
        <w:r w:rsidR="00C40619">
          <w:rPr>
            <w:noProof/>
            <w:webHidden/>
          </w:rPr>
          <w:fldChar w:fldCharType="separate"/>
        </w:r>
        <w:r w:rsidR="00402074">
          <w:rPr>
            <w:noProof/>
            <w:webHidden/>
          </w:rPr>
          <w:t>71</w:t>
        </w:r>
        <w:r w:rsidR="00C40619">
          <w:rPr>
            <w:noProof/>
            <w:webHidden/>
          </w:rPr>
          <w:fldChar w:fldCharType="end"/>
        </w:r>
      </w:hyperlink>
    </w:p>
    <w:p w14:paraId="430C0791" w14:textId="0E19D0F8"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38" w:history="1">
        <w:r w:rsidR="00C40619" w:rsidRPr="00ED11E6">
          <w:rPr>
            <w:rStyle w:val="Hyperlink"/>
            <w:noProof/>
            <w14:scene3d>
              <w14:camera w14:prst="orthographicFront"/>
              <w14:lightRig w14:rig="threePt" w14:dir="t">
                <w14:rot w14:lat="0" w14:lon="0" w14:rev="0"/>
              </w14:lightRig>
            </w14:scene3d>
          </w:rPr>
          <w:t>2.1.1</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The diversity of nature’s contributions to people and links to quality of life</w:t>
        </w:r>
        <w:r w:rsidR="00C40619">
          <w:rPr>
            <w:noProof/>
            <w:webHidden/>
          </w:rPr>
          <w:tab/>
        </w:r>
        <w:r w:rsidR="00C40619">
          <w:rPr>
            <w:noProof/>
            <w:webHidden/>
          </w:rPr>
          <w:fldChar w:fldCharType="begin"/>
        </w:r>
        <w:r w:rsidR="00C40619">
          <w:rPr>
            <w:noProof/>
            <w:webHidden/>
          </w:rPr>
          <w:instrText xml:space="preserve"> PAGEREF _Toc517796938 \h </w:instrText>
        </w:r>
        <w:r w:rsidR="00C40619">
          <w:rPr>
            <w:noProof/>
            <w:webHidden/>
          </w:rPr>
        </w:r>
        <w:r w:rsidR="00C40619">
          <w:rPr>
            <w:noProof/>
            <w:webHidden/>
          </w:rPr>
          <w:fldChar w:fldCharType="separate"/>
        </w:r>
        <w:r w:rsidR="00402074">
          <w:rPr>
            <w:noProof/>
            <w:webHidden/>
          </w:rPr>
          <w:t>71</w:t>
        </w:r>
        <w:r w:rsidR="00C40619">
          <w:rPr>
            <w:noProof/>
            <w:webHidden/>
          </w:rPr>
          <w:fldChar w:fldCharType="end"/>
        </w:r>
      </w:hyperlink>
    </w:p>
    <w:p w14:paraId="3F8B1B3F" w14:textId="5DE62467"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39" w:history="1">
        <w:r w:rsidR="00C40619" w:rsidRPr="00ED11E6">
          <w:rPr>
            <w:rStyle w:val="Hyperlink"/>
            <w:noProof/>
            <w14:scene3d>
              <w14:camera w14:prst="orthographicFront"/>
              <w14:lightRig w14:rig="threePt" w14:dir="t">
                <w14:rot w14:lat="0" w14:lon="0" w14:rev="0"/>
              </w14:lightRig>
            </w14:scene3d>
          </w:rPr>
          <w:t>2.1.2</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Understanding stakeholder, value and knowledge system diversity in the human-nature relationship and its effect on quality of life</w:t>
        </w:r>
        <w:r w:rsidR="00C40619">
          <w:rPr>
            <w:noProof/>
            <w:webHidden/>
          </w:rPr>
          <w:tab/>
        </w:r>
        <w:r w:rsidR="00C40619">
          <w:rPr>
            <w:noProof/>
            <w:webHidden/>
          </w:rPr>
          <w:fldChar w:fldCharType="begin"/>
        </w:r>
        <w:r w:rsidR="00C40619">
          <w:rPr>
            <w:noProof/>
            <w:webHidden/>
          </w:rPr>
          <w:instrText xml:space="preserve"> PAGEREF _Toc517796939 \h </w:instrText>
        </w:r>
        <w:r w:rsidR="00C40619">
          <w:rPr>
            <w:noProof/>
            <w:webHidden/>
          </w:rPr>
        </w:r>
        <w:r w:rsidR="00C40619">
          <w:rPr>
            <w:noProof/>
            <w:webHidden/>
          </w:rPr>
          <w:fldChar w:fldCharType="separate"/>
        </w:r>
        <w:r w:rsidR="00402074">
          <w:rPr>
            <w:noProof/>
            <w:webHidden/>
          </w:rPr>
          <w:t>73</w:t>
        </w:r>
        <w:r w:rsidR="00C40619">
          <w:rPr>
            <w:noProof/>
            <w:webHidden/>
          </w:rPr>
          <w:fldChar w:fldCharType="end"/>
        </w:r>
      </w:hyperlink>
    </w:p>
    <w:p w14:paraId="56A103FF" w14:textId="4BC09ADE" w:rsidR="00C40619" w:rsidRDefault="00E84199">
      <w:pPr>
        <w:pStyle w:val="TOC2"/>
        <w:rPr>
          <w:rFonts w:asciiTheme="minorHAnsi" w:eastAsiaTheme="minorEastAsia" w:hAnsiTheme="minorHAnsi" w:cstheme="minorBidi"/>
          <w:b w:val="0"/>
          <w:bCs w:val="0"/>
          <w:noProof/>
          <w:szCs w:val="22"/>
          <w:lang w:val="es-CO" w:eastAsia="es-CO"/>
        </w:rPr>
      </w:pPr>
      <w:hyperlink w:anchor="_Toc517796940" w:history="1">
        <w:r w:rsidR="00C40619" w:rsidRPr="00ED11E6">
          <w:rPr>
            <w:rStyle w:val="Hyperlink"/>
            <w:noProof/>
            <w14:scene3d>
              <w14:camera w14:prst="orthographicFront"/>
              <w14:lightRig w14:rig="threePt" w14:dir="t">
                <w14:rot w14:lat="0" w14:lon="0" w14:rev="0"/>
              </w14:lightRig>
            </w14:scene3d>
          </w:rPr>
          <w:t>2.2</w:t>
        </w:r>
        <w:r w:rsidR="00C40619">
          <w:rPr>
            <w:rFonts w:asciiTheme="minorHAnsi" w:eastAsiaTheme="minorEastAsia" w:hAnsiTheme="minorHAnsi" w:cstheme="minorBidi"/>
            <w:b w:val="0"/>
            <w:bCs w:val="0"/>
            <w:noProof/>
            <w:szCs w:val="22"/>
            <w:lang w:val="es-CO" w:eastAsia="es-CO"/>
          </w:rPr>
          <w:tab/>
        </w:r>
        <w:r w:rsidR="00C40619" w:rsidRPr="00ED11E6">
          <w:rPr>
            <w:rStyle w:val="Hyperlink"/>
            <w:noProof/>
          </w:rPr>
          <w:t>Status and trends of nature’s contribution to people in the Americas</w:t>
        </w:r>
        <w:r w:rsidR="00C40619">
          <w:rPr>
            <w:noProof/>
            <w:webHidden/>
          </w:rPr>
          <w:tab/>
        </w:r>
        <w:r w:rsidR="00C40619">
          <w:rPr>
            <w:noProof/>
            <w:webHidden/>
          </w:rPr>
          <w:fldChar w:fldCharType="begin"/>
        </w:r>
        <w:r w:rsidR="00C40619">
          <w:rPr>
            <w:noProof/>
            <w:webHidden/>
          </w:rPr>
          <w:instrText xml:space="preserve"> PAGEREF _Toc517796940 \h </w:instrText>
        </w:r>
        <w:r w:rsidR="00C40619">
          <w:rPr>
            <w:noProof/>
            <w:webHidden/>
          </w:rPr>
        </w:r>
        <w:r w:rsidR="00C40619">
          <w:rPr>
            <w:noProof/>
            <w:webHidden/>
          </w:rPr>
          <w:fldChar w:fldCharType="separate"/>
        </w:r>
        <w:r w:rsidR="00402074">
          <w:rPr>
            <w:noProof/>
            <w:webHidden/>
          </w:rPr>
          <w:t>74</w:t>
        </w:r>
        <w:r w:rsidR="00C40619">
          <w:rPr>
            <w:noProof/>
            <w:webHidden/>
          </w:rPr>
          <w:fldChar w:fldCharType="end"/>
        </w:r>
      </w:hyperlink>
    </w:p>
    <w:p w14:paraId="7A232BBE" w14:textId="13CB2BEC"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41" w:history="1">
        <w:r w:rsidR="00C40619" w:rsidRPr="00ED11E6">
          <w:rPr>
            <w:rStyle w:val="Hyperlink"/>
            <w:noProof/>
            <w14:scene3d>
              <w14:camera w14:prst="orthographicFront"/>
              <w14:lightRig w14:rig="threePt" w14:dir="t">
                <w14:rot w14:lat="0" w14:lon="0" w14:rev="0"/>
              </w14:lightRig>
            </w14:scene3d>
          </w:rPr>
          <w:t>2.2.1</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Food and feed</w:t>
        </w:r>
        <w:r w:rsidR="00C40619">
          <w:rPr>
            <w:noProof/>
            <w:webHidden/>
          </w:rPr>
          <w:tab/>
        </w:r>
        <w:r w:rsidR="00C40619">
          <w:rPr>
            <w:noProof/>
            <w:webHidden/>
          </w:rPr>
          <w:fldChar w:fldCharType="begin"/>
        </w:r>
        <w:r w:rsidR="00C40619">
          <w:rPr>
            <w:noProof/>
            <w:webHidden/>
          </w:rPr>
          <w:instrText xml:space="preserve"> PAGEREF _Toc517796941 \h </w:instrText>
        </w:r>
        <w:r w:rsidR="00C40619">
          <w:rPr>
            <w:noProof/>
            <w:webHidden/>
          </w:rPr>
        </w:r>
        <w:r w:rsidR="00C40619">
          <w:rPr>
            <w:noProof/>
            <w:webHidden/>
          </w:rPr>
          <w:fldChar w:fldCharType="separate"/>
        </w:r>
        <w:r w:rsidR="00402074">
          <w:rPr>
            <w:noProof/>
            <w:webHidden/>
          </w:rPr>
          <w:t>74</w:t>
        </w:r>
        <w:r w:rsidR="00C40619">
          <w:rPr>
            <w:noProof/>
            <w:webHidden/>
          </w:rPr>
          <w:fldChar w:fldCharType="end"/>
        </w:r>
      </w:hyperlink>
    </w:p>
    <w:p w14:paraId="32521D9F" w14:textId="4C361A53"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42" w:history="1">
        <w:r w:rsidR="00C40619" w:rsidRPr="00ED11E6">
          <w:rPr>
            <w:rStyle w:val="Hyperlink"/>
            <w:noProof/>
          </w:rPr>
          <w:t>2.2.1.1</w:t>
        </w:r>
        <w:r w:rsidR="00C40619">
          <w:rPr>
            <w:rFonts w:asciiTheme="minorHAnsi" w:eastAsiaTheme="minorEastAsia" w:hAnsiTheme="minorHAnsi" w:cstheme="minorBidi"/>
            <w:noProof/>
            <w:szCs w:val="22"/>
            <w:lang w:val="es-CO" w:eastAsia="es-CO"/>
          </w:rPr>
          <w:tab/>
        </w:r>
        <w:r w:rsidR="00C40619" w:rsidRPr="00ED11E6">
          <w:rPr>
            <w:rStyle w:val="Hyperlink"/>
            <w:noProof/>
          </w:rPr>
          <w:t>Crops</w:t>
        </w:r>
        <w:r w:rsidR="00C40619">
          <w:rPr>
            <w:noProof/>
            <w:webHidden/>
          </w:rPr>
          <w:tab/>
        </w:r>
        <w:r w:rsidR="00C40619">
          <w:rPr>
            <w:noProof/>
            <w:webHidden/>
          </w:rPr>
          <w:fldChar w:fldCharType="begin"/>
        </w:r>
        <w:r w:rsidR="00C40619">
          <w:rPr>
            <w:noProof/>
            <w:webHidden/>
          </w:rPr>
          <w:instrText xml:space="preserve"> PAGEREF _Toc517796942 \h </w:instrText>
        </w:r>
        <w:r w:rsidR="00C40619">
          <w:rPr>
            <w:noProof/>
            <w:webHidden/>
          </w:rPr>
        </w:r>
        <w:r w:rsidR="00C40619">
          <w:rPr>
            <w:noProof/>
            <w:webHidden/>
          </w:rPr>
          <w:fldChar w:fldCharType="separate"/>
        </w:r>
        <w:r w:rsidR="00402074">
          <w:rPr>
            <w:noProof/>
            <w:webHidden/>
          </w:rPr>
          <w:t>75</w:t>
        </w:r>
        <w:r w:rsidR="00C40619">
          <w:rPr>
            <w:noProof/>
            <w:webHidden/>
          </w:rPr>
          <w:fldChar w:fldCharType="end"/>
        </w:r>
      </w:hyperlink>
    </w:p>
    <w:p w14:paraId="13473182" w14:textId="6F5A98DB"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43" w:history="1">
        <w:r w:rsidR="00C40619" w:rsidRPr="00ED11E6">
          <w:rPr>
            <w:rStyle w:val="Hyperlink"/>
            <w:noProof/>
          </w:rPr>
          <w:t>2.2.1.2</w:t>
        </w:r>
        <w:r w:rsidR="00C40619">
          <w:rPr>
            <w:rFonts w:asciiTheme="minorHAnsi" w:eastAsiaTheme="minorEastAsia" w:hAnsiTheme="minorHAnsi" w:cstheme="minorBidi"/>
            <w:noProof/>
            <w:szCs w:val="22"/>
            <w:lang w:val="es-CO" w:eastAsia="es-CO"/>
          </w:rPr>
          <w:tab/>
        </w:r>
        <w:r w:rsidR="00C40619" w:rsidRPr="00ED11E6">
          <w:rPr>
            <w:rStyle w:val="Hyperlink"/>
            <w:noProof/>
          </w:rPr>
          <w:t>Livestock</w:t>
        </w:r>
        <w:r w:rsidR="00C40619">
          <w:rPr>
            <w:noProof/>
            <w:webHidden/>
          </w:rPr>
          <w:tab/>
        </w:r>
        <w:r w:rsidR="00C40619">
          <w:rPr>
            <w:noProof/>
            <w:webHidden/>
          </w:rPr>
          <w:fldChar w:fldCharType="begin"/>
        </w:r>
        <w:r w:rsidR="00C40619">
          <w:rPr>
            <w:noProof/>
            <w:webHidden/>
          </w:rPr>
          <w:instrText xml:space="preserve"> PAGEREF _Toc517796943 \h </w:instrText>
        </w:r>
        <w:r w:rsidR="00C40619">
          <w:rPr>
            <w:noProof/>
            <w:webHidden/>
          </w:rPr>
        </w:r>
        <w:r w:rsidR="00C40619">
          <w:rPr>
            <w:noProof/>
            <w:webHidden/>
          </w:rPr>
          <w:fldChar w:fldCharType="separate"/>
        </w:r>
        <w:r w:rsidR="00402074">
          <w:rPr>
            <w:noProof/>
            <w:webHidden/>
          </w:rPr>
          <w:t>81</w:t>
        </w:r>
        <w:r w:rsidR="00C40619">
          <w:rPr>
            <w:noProof/>
            <w:webHidden/>
          </w:rPr>
          <w:fldChar w:fldCharType="end"/>
        </w:r>
      </w:hyperlink>
    </w:p>
    <w:p w14:paraId="2D430C6A" w14:textId="4ED39893"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44" w:history="1">
        <w:r w:rsidR="00C40619" w:rsidRPr="00ED11E6">
          <w:rPr>
            <w:rStyle w:val="Hyperlink"/>
            <w:noProof/>
          </w:rPr>
          <w:t>2.2.1.3</w:t>
        </w:r>
        <w:r w:rsidR="00C40619">
          <w:rPr>
            <w:rFonts w:asciiTheme="minorHAnsi" w:eastAsiaTheme="minorEastAsia" w:hAnsiTheme="minorHAnsi" w:cstheme="minorBidi"/>
            <w:noProof/>
            <w:szCs w:val="22"/>
            <w:lang w:val="es-CO" w:eastAsia="es-CO"/>
          </w:rPr>
          <w:tab/>
        </w:r>
        <w:r w:rsidR="00C40619" w:rsidRPr="00ED11E6">
          <w:rPr>
            <w:rStyle w:val="Hyperlink"/>
            <w:noProof/>
          </w:rPr>
          <w:t>Fish (wild, marine, and freshwater fisheries and aquaculture)</w:t>
        </w:r>
        <w:r w:rsidR="00C40619">
          <w:rPr>
            <w:noProof/>
            <w:webHidden/>
          </w:rPr>
          <w:tab/>
        </w:r>
        <w:r w:rsidR="00C40619">
          <w:rPr>
            <w:noProof/>
            <w:webHidden/>
          </w:rPr>
          <w:fldChar w:fldCharType="begin"/>
        </w:r>
        <w:r w:rsidR="00C40619">
          <w:rPr>
            <w:noProof/>
            <w:webHidden/>
          </w:rPr>
          <w:instrText xml:space="preserve"> PAGEREF _Toc517796944 \h </w:instrText>
        </w:r>
        <w:r w:rsidR="00C40619">
          <w:rPr>
            <w:noProof/>
            <w:webHidden/>
          </w:rPr>
        </w:r>
        <w:r w:rsidR="00C40619">
          <w:rPr>
            <w:noProof/>
            <w:webHidden/>
          </w:rPr>
          <w:fldChar w:fldCharType="separate"/>
        </w:r>
        <w:r w:rsidR="00402074">
          <w:rPr>
            <w:noProof/>
            <w:webHidden/>
          </w:rPr>
          <w:t>85</w:t>
        </w:r>
        <w:r w:rsidR="00C40619">
          <w:rPr>
            <w:noProof/>
            <w:webHidden/>
          </w:rPr>
          <w:fldChar w:fldCharType="end"/>
        </w:r>
      </w:hyperlink>
    </w:p>
    <w:p w14:paraId="003FFD3A" w14:textId="7D90E508"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45" w:history="1">
        <w:r w:rsidR="00C40619" w:rsidRPr="00ED11E6">
          <w:rPr>
            <w:rStyle w:val="Hyperlink"/>
            <w:noProof/>
          </w:rPr>
          <w:t>2.2.1.4</w:t>
        </w:r>
        <w:r w:rsidR="00C40619">
          <w:rPr>
            <w:rFonts w:asciiTheme="minorHAnsi" w:eastAsiaTheme="minorEastAsia" w:hAnsiTheme="minorHAnsi" w:cstheme="minorBidi"/>
            <w:noProof/>
            <w:szCs w:val="22"/>
            <w:lang w:val="es-CO" w:eastAsia="es-CO"/>
          </w:rPr>
          <w:tab/>
        </w:r>
        <w:r w:rsidR="00C40619" w:rsidRPr="00ED11E6">
          <w:rPr>
            <w:rStyle w:val="Hyperlink"/>
            <w:noProof/>
          </w:rPr>
          <w:t>Wildlife</w:t>
        </w:r>
        <w:r w:rsidR="00C40619">
          <w:rPr>
            <w:noProof/>
            <w:webHidden/>
          </w:rPr>
          <w:tab/>
        </w:r>
        <w:r w:rsidR="00C40619">
          <w:rPr>
            <w:noProof/>
            <w:webHidden/>
          </w:rPr>
          <w:fldChar w:fldCharType="begin"/>
        </w:r>
        <w:r w:rsidR="00C40619">
          <w:rPr>
            <w:noProof/>
            <w:webHidden/>
          </w:rPr>
          <w:instrText xml:space="preserve"> PAGEREF _Toc517796945 \h </w:instrText>
        </w:r>
        <w:r w:rsidR="00C40619">
          <w:rPr>
            <w:noProof/>
            <w:webHidden/>
          </w:rPr>
        </w:r>
        <w:r w:rsidR="00C40619">
          <w:rPr>
            <w:noProof/>
            <w:webHidden/>
          </w:rPr>
          <w:fldChar w:fldCharType="separate"/>
        </w:r>
        <w:r w:rsidR="00402074">
          <w:rPr>
            <w:noProof/>
            <w:webHidden/>
          </w:rPr>
          <w:t>90</w:t>
        </w:r>
        <w:r w:rsidR="00C40619">
          <w:rPr>
            <w:noProof/>
            <w:webHidden/>
          </w:rPr>
          <w:fldChar w:fldCharType="end"/>
        </w:r>
      </w:hyperlink>
    </w:p>
    <w:p w14:paraId="31E24ED2" w14:textId="261063F1"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46" w:history="1">
        <w:r w:rsidR="00C40619" w:rsidRPr="00ED11E6">
          <w:rPr>
            <w:rStyle w:val="Hyperlink"/>
            <w:noProof/>
          </w:rPr>
          <w:t>2.2.1.5</w:t>
        </w:r>
        <w:r w:rsidR="00C40619">
          <w:rPr>
            <w:rFonts w:asciiTheme="minorHAnsi" w:eastAsiaTheme="minorEastAsia" w:hAnsiTheme="minorHAnsi" w:cstheme="minorBidi"/>
            <w:noProof/>
            <w:szCs w:val="22"/>
            <w:lang w:val="es-CO" w:eastAsia="es-CO"/>
          </w:rPr>
          <w:tab/>
        </w:r>
        <w:r w:rsidR="00C40619" w:rsidRPr="00ED11E6">
          <w:rPr>
            <w:rStyle w:val="Hyperlink"/>
            <w:noProof/>
          </w:rPr>
          <w:t>Organic products</w:t>
        </w:r>
        <w:r w:rsidR="00C40619">
          <w:rPr>
            <w:noProof/>
            <w:webHidden/>
          </w:rPr>
          <w:tab/>
        </w:r>
        <w:r w:rsidR="00C40619">
          <w:rPr>
            <w:noProof/>
            <w:webHidden/>
          </w:rPr>
          <w:fldChar w:fldCharType="begin"/>
        </w:r>
        <w:r w:rsidR="00C40619">
          <w:rPr>
            <w:noProof/>
            <w:webHidden/>
          </w:rPr>
          <w:instrText xml:space="preserve"> PAGEREF _Toc517796946 \h </w:instrText>
        </w:r>
        <w:r w:rsidR="00C40619">
          <w:rPr>
            <w:noProof/>
            <w:webHidden/>
          </w:rPr>
        </w:r>
        <w:r w:rsidR="00C40619">
          <w:rPr>
            <w:noProof/>
            <w:webHidden/>
          </w:rPr>
          <w:fldChar w:fldCharType="separate"/>
        </w:r>
        <w:r w:rsidR="00402074">
          <w:rPr>
            <w:noProof/>
            <w:webHidden/>
          </w:rPr>
          <w:t>92</w:t>
        </w:r>
        <w:r w:rsidR="00C40619">
          <w:rPr>
            <w:noProof/>
            <w:webHidden/>
          </w:rPr>
          <w:fldChar w:fldCharType="end"/>
        </w:r>
      </w:hyperlink>
    </w:p>
    <w:p w14:paraId="51F6A355" w14:textId="596BA2FF"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47" w:history="1">
        <w:r w:rsidR="00C40619" w:rsidRPr="00ED11E6">
          <w:rPr>
            <w:rStyle w:val="Hyperlink"/>
            <w:noProof/>
            <w14:scene3d>
              <w14:camera w14:prst="orthographicFront"/>
              <w14:lightRig w14:rig="threePt" w14:dir="t">
                <w14:rot w14:lat="0" w14:lon="0" w14:rev="0"/>
              </w14:lightRig>
            </w14:scene3d>
          </w:rPr>
          <w:t>2.2.2</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Materials and assistance</w:t>
        </w:r>
        <w:r w:rsidR="00C40619">
          <w:rPr>
            <w:noProof/>
            <w:webHidden/>
          </w:rPr>
          <w:tab/>
        </w:r>
        <w:r w:rsidR="00C40619">
          <w:rPr>
            <w:noProof/>
            <w:webHidden/>
          </w:rPr>
          <w:fldChar w:fldCharType="begin"/>
        </w:r>
        <w:r w:rsidR="00C40619">
          <w:rPr>
            <w:noProof/>
            <w:webHidden/>
          </w:rPr>
          <w:instrText xml:space="preserve"> PAGEREF _Toc517796947 \h </w:instrText>
        </w:r>
        <w:r w:rsidR="00C40619">
          <w:rPr>
            <w:noProof/>
            <w:webHidden/>
          </w:rPr>
        </w:r>
        <w:r w:rsidR="00C40619">
          <w:rPr>
            <w:noProof/>
            <w:webHidden/>
          </w:rPr>
          <w:fldChar w:fldCharType="separate"/>
        </w:r>
        <w:r w:rsidR="00402074">
          <w:rPr>
            <w:noProof/>
            <w:webHidden/>
          </w:rPr>
          <w:t>94</w:t>
        </w:r>
        <w:r w:rsidR="00C40619">
          <w:rPr>
            <w:noProof/>
            <w:webHidden/>
          </w:rPr>
          <w:fldChar w:fldCharType="end"/>
        </w:r>
      </w:hyperlink>
    </w:p>
    <w:p w14:paraId="7DE4E252" w14:textId="5FE01C52"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48" w:history="1">
        <w:r w:rsidR="00C40619" w:rsidRPr="00ED11E6">
          <w:rPr>
            <w:rStyle w:val="Hyperlink"/>
            <w:noProof/>
          </w:rPr>
          <w:t>2.2.2.1</w:t>
        </w:r>
        <w:r w:rsidR="00C40619">
          <w:rPr>
            <w:rFonts w:asciiTheme="minorHAnsi" w:eastAsiaTheme="minorEastAsia" w:hAnsiTheme="minorHAnsi" w:cstheme="minorBidi"/>
            <w:noProof/>
            <w:szCs w:val="22"/>
            <w:lang w:val="es-CO" w:eastAsia="es-CO"/>
          </w:rPr>
          <w:tab/>
        </w:r>
        <w:r w:rsidR="00C40619" w:rsidRPr="00ED11E6">
          <w:rPr>
            <w:rStyle w:val="Hyperlink"/>
            <w:noProof/>
          </w:rPr>
          <w:t>Timber</w:t>
        </w:r>
        <w:r w:rsidR="00C40619">
          <w:rPr>
            <w:noProof/>
            <w:webHidden/>
          </w:rPr>
          <w:tab/>
        </w:r>
        <w:r w:rsidR="00C40619">
          <w:rPr>
            <w:noProof/>
            <w:webHidden/>
          </w:rPr>
          <w:fldChar w:fldCharType="begin"/>
        </w:r>
        <w:r w:rsidR="00C40619">
          <w:rPr>
            <w:noProof/>
            <w:webHidden/>
          </w:rPr>
          <w:instrText xml:space="preserve"> PAGEREF _Toc517796948 \h </w:instrText>
        </w:r>
        <w:r w:rsidR="00C40619">
          <w:rPr>
            <w:noProof/>
            <w:webHidden/>
          </w:rPr>
        </w:r>
        <w:r w:rsidR="00C40619">
          <w:rPr>
            <w:noProof/>
            <w:webHidden/>
          </w:rPr>
          <w:fldChar w:fldCharType="separate"/>
        </w:r>
        <w:r w:rsidR="00402074">
          <w:rPr>
            <w:noProof/>
            <w:webHidden/>
          </w:rPr>
          <w:t>94</w:t>
        </w:r>
        <w:r w:rsidR="00C40619">
          <w:rPr>
            <w:noProof/>
            <w:webHidden/>
          </w:rPr>
          <w:fldChar w:fldCharType="end"/>
        </w:r>
      </w:hyperlink>
    </w:p>
    <w:p w14:paraId="50CB59F3" w14:textId="0EADF938"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49" w:history="1">
        <w:r w:rsidR="00C40619" w:rsidRPr="00ED11E6">
          <w:rPr>
            <w:rStyle w:val="Hyperlink"/>
            <w:noProof/>
          </w:rPr>
          <w:t>2.2.2.2</w:t>
        </w:r>
        <w:r w:rsidR="00C40619">
          <w:rPr>
            <w:rFonts w:asciiTheme="minorHAnsi" w:eastAsiaTheme="minorEastAsia" w:hAnsiTheme="minorHAnsi" w:cstheme="minorBidi"/>
            <w:noProof/>
            <w:szCs w:val="22"/>
            <w:lang w:val="es-CO" w:eastAsia="es-CO"/>
          </w:rPr>
          <w:tab/>
        </w:r>
        <w:r w:rsidR="00C40619" w:rsidRPr="00ED11E6">
          <w:rPr>
            <w:rStyle w:val="Hyperlink"/>
            <w:noProof/>
          </w:rPr>
          <w:t>Fibre</w:t>
        </w:r>
        <w:r w:rsidR="00C40619">
          <w:rPr>
            <w:noProof/>
            <w:webHidden/>
          </w:rPr>
          <w:tab/>
        </w:r>
        <w:r w:rsidR="00C40619">
          <w:rPr>
            <w:noProof/>
            <w:webHidden/>
          </w:rPr>
          <w:fldChar w:fldCharType="begin"/>
        </w:r>
        <w:r w:rsidR="00C40619">
          <w:rPr>
            <w:noProof/>
            <w:webHidden/>
          </w:rPr>
          <w:instrText xml:space="preserve"> PAGEREF _Toc517796949 \h </w:instrText>
        </w:r>
        <w:r w:rsidR="00C40619">
          <w:rPr>
            <w:noProof/>
            <w:webHidden/>
          </w:rPr>
        </w:r>
        <w:r w:rsidR="00C40619">
          <w:rPr>
            <w:noProof/>
            <w:webHidden/>
          </w:rPr>
          <w:fldChar w:fldCharType="separate"/>
        </w:r>
        <w:r w:rsidR="00402074">
          <w:rPr>
            <w:noProof/>
            <w:webHidden/>
          </w:rPr>
          <w:t>98</w:t>
        </w:r>
        <w:r w:rsidR="00C40619">
          <w:rPr>
            <w:noProof/>
            <w:webHidden/>
          </w:rPr>
          <w:fldChar w:fldCharType="end"/>
        </w:r>
      </w:hyperlink>
    </w:p>
    <w:p w14:paraId="2446AA5A" w14:textId="34957E5C"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50" w:history="1">
        <w:r w:rsidR="00C40619" w:rsidRPr="00ED11E6">
          <w:rPr>
            <w:rStyle w:val="Hyperlink"/>
            <w:noProof/>
            <w14:scene3d>
              <w14:camera w14:prst="orthographicFront"/>
              <w14:lightRig w14:rig="threePt" w14:dir="t">
                <w14:rot w14:lat="0" w14:lon="0" w14:rev="0"/>
              </w14:lightRig>
            </w14:scene3d>
          </w:rPr>
          <w:t>2.2.3</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Energy</w:t>
        </w:r>
        <w:r w:rsidR="00C40619">
          <w:rPr>
            <w:noProof/>
            <w:webHidden/>
          </w:rPr>
          <w:tab/>
        </w:r>
        <w:r w:rsidR="00C40619">
          <w:rPr>
            <w:noProof/>
            <w:webHidden/>
          </w:rPr>
          <w:fldChar w:fldCharType="begin"/>
        </w:r>
        <w:r w:rsidR="00C40619">
          <w:rPr>
            <w:noProof/>
            <w:webHidden/>
          </w:rPr>
          <w:instrText xml:space="preserve"> PAGEREF _Toc517796950 \h </w:instrText>
        </w:r>
        <w:r w:rsidR="00C40619">
          <w:rPr>
            <w:noProof/>
            <w:webHidden/>
          </w:rPr>
        </w:r>
        <w:r w:rsidR="00C40619">
          <w:rPr>
            <w:noProof/>
            <w:webHidden/>
          </w:rPr>
          <w:fldChar w:fldCharType="separate"/>
        </w:r>
        <w:r w:rsidR="00402074">
          <w:rPr>
            <w:noProof/>
            <w:webHidden/>
          </w:rPr>
          <w:t>100</w:t>
        </w:r>
        <w:r w:rsidR="00C40619">
          <w:rPr>
            <w:noProof/>
            <w:webHidden/>
          </w:rPr>
          <w:fldChar w:fldCharType="end"/>
        </w:r>
      </w:hyperlink>
    </w:p>
    <w:p w14:paraId="460207D3" w14:textId="2C467B73"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51" w:history="1">
        <w:r w:rsidR="00C40619" w:rsidRPr="00ED11E6">
          <w:rPr>
            <w:rStyle w:val="Hyperlink"/>
            <w:noProof/>
            <w14:scene3d>
              <w14:camera w14:prst="orthographicFront"/>
              <w14:lightRig w14:rig="threePt" w14:dir="t">
                <w14:rot w14:lat="0" w14:lon="0" w14:rev="0"/>
              </w14:lightRig>
            </w14:scene3d>
          </w:rPr>
          <w:t>2.2.4</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Medicinal, biochemical and genetic resources</w:t>
        </w:r>
        <w:r w:rsidR="00C40619">
          <w:rPr>
            <w:noProof/>
            <w:webHidden/>
          </w:rPr>
          <w:tab/>
        </w:r>
        <w:r w:rsidR="00C40619">
          <w:rPr>
            <w:noProof/>
            <w:webHidden/>
          </w:rPr>
          <w:fldChar w:fldCharType="begin"/>
        </w:r>
        <w:r w:rsidR="00C40619">
          <w:rPr>
            <w:noProof/>
            <w:webHidden/>
          </w:rPr>
          <w:instrText xml:space="preserve"> PAGEREF _Toc517796951 \h </w:instrText>
        </w:r>
        <w:r w:rsidR="00C40619">
          <w:rPr>
            <w:noProof/>
            <w:webHidden/>
          </w:rPr>
        </w:r>
        <w:r w:rsidR="00C40619">
          <w:rPr>
            <w:noProof/>
            <w:webHidden/>
          </w:rPr>
          <w:fldChar w:fldCharType="separate"/>
        </w:r>
        <w:r w:rsidR="00402074">
          <w:rPr>
            <w:noProof/>
            <w:webHidden/>
          </w:rPr>
          <w:t>103</w:t>
        </w:r>
        <w:r w:rsidR="00C40619">
          <w:rPr>
            <w:noProof/>
            <w:webHidden/>
          </w:rPr>
          <w:fldChar w:fldCharType="end"/>
        </w:r>
      </w:hyperlink>
    </w:p>
    <w:p w14:paraId="56F30E48" w14:textId="4F92899F"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52" w:history="1">
        <w:r w:rsidR="00C40619" w:rsidRPr="00ED11E6">
          <w:rPr>
            <w:rStyle w:val="Hyperlink"/>
            <w:noProof/>
            <w14:scene3d>
              <w14:camera w14:prst="orthographicFront"/>
              <w14:lightRig w14:rig="threePt" w14:dir="t">
                <w14:rot w14:lat="0" w14:lon="0" w14:rev="0"/>
              </w14:lightRig>
            </w14:scene3d>
          </w:rPr>
          <w:t>2.2.5</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Learning and inspiration</w:t>
        </w:r>
        <w:r w:rsidR="00C40619">
          <w:rPr>
            <w:noProof/>
            <w:webHidden/>
          </w:rPr>
          <w:tab/>
        </w:r>
        <w:r w:rsidR="00C40619">
          <w:rPr>
            <w:noProof/>
            <w:webHidden/>
          </w:rPr>
          <w:fldChar w:fldCharType="begin"/>
        </w:r>
        <w:r w:rsidR="00C40619">
          <w:rPr>
            <w:noProof/>
            <w:webHidden/>
          </w:rPr>
          <w:instrText xml:space="preserve"> PAGEREF _Toc517796952 \h </w:instrText>
        </w:r>
        <w:r w:rsidR="00C40619">
          <w:rPr>
            <w:noProof/>
            <w:webHidden/>
          </w:rPr>
        </w:r>
        <w:r w:rsidR="00C40619">
          <w:rPr>
            <w:noProof/>
            <w:webHidden/>
          </w:rPr>
          <w:fldChar w:fldCharType="separate"/>
        </w:r>
        <w:r w:rsidR="00402074">
          <w:rPr>
            <w:noProof/>
            <w:webHidden/>
          </w:rPr>
          <w:t>107</w:t>
        </w:r>
        <w:r w:rsidR="00C40619">
          <w:rPr>
            <w:noProof/>
            <w:webHidden/>
          </w:rPr>
          <w:fldChar w:fldCharType="end"/>
        </w:r>
      </w:hyperlink>
    </w:p>
    <w:p w14:paraId="4577B7D3" w14:textId="42713A5F"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53" w:history="1">
        <w:r w:rsidR="00C40619" w:rsidRPr="00ED11E6">
          <w:rPr>
            <w:rStyle w:val="Hyperlink"/>
            <w:noProof/>
            <w14:scene3d>
              <w14:camera w14:prst="orthographicFront"/>
              <w14:lightRig w14:rig="threePt" w14:dir="t">
                <w14:rot w14:lat="0" w14:lon="0" w14:rev="0"/>
              </w14:lightRig>
            </w14:scene3d>
          </w:rPr>
          <w:t>2.2.6</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Supporting identities</w:t>
        </w:r>
        <w:r w:rsidR="00C40619">
          <w:rPr>
            <w:noProof/>
            <w:webHidden/>
          </w:rPr>
          <w:tab/>
        </w:r>
        <w:r w:rsidR="00C40619">
          <w:rPr>
            <w:noProof/>
            <w:webHidden/>
          </w:rPr>
          <w:fldChar w:fldCharType="begin"/>
        </w:r>
        <w:r w:rsidR="00C40619">
          <w:rPr>
            <w:noProof/>
            <w:webHidden/>
          </w:rPr>
          <w:instrText xml:space="preserve"> PAGEREF _Toc517796953 \h </w:instrText>
        </w:r>
        <w:r w:rsidR="00C40619">
          <w:rPr>
            <w:noProof/>
            <w:webHidden/>
          </w:rPr>
        </w:r>
        <w:r w:rsidR="00C40619">
          <w:rPr>
            <w:noProof/>
            <w:webHidden/>
          </w:rPr>
          <w:fldChar w:fldCharType="separate"/>
        </w:r>
        <w:r w:rsidR="00402074">
          <w:rPr>
            <w:noProof/>
            <w:webHidden/>
          </w:rPr>
          <w:t>108</w:t>
        </w:r>
        <w:r w:rsidR="00C40619">
          <w:rPr>
            <w:noProof/>
            <w:webHidden/>
          </w:rPr>
          <w:fldChar w:fldCharType="end"/>
        </w:r>
      </w:hyperlink>
    </w:p>
    <w:p w14:paraId="1CD3E110" w14:textId="1F5B4C9D"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54" w:history="1">
        <w:r w:rsidR="00C40619" w:rsidRPr="00ED11E6">
          <w:rPr>
            <w:rStyle w:val="Hyperlink"/>
            <w:noProof/>
            <w14:scene3d>
              <w14:camera w14:prst="orthographicFront"/>
              <w14:lightRig w14:rig="threePt" w14:dir="t">
                <w14:rot w14:lat="0" w14:lon="0" w14:rev="0"/>
              </w14:lightRig>
            </w14:scene3d>
          </w:rPr>
          <w:t>2.2.7</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Physical and psychological experiences</w:t>
        </w:r>
        <w:r w:rsidR="00C40619">
          <w:rPr>
            <w:noProof/>
            <w:webHidden/>
          </w:rPr>
          <w:tab/>
        </w:r>
        <w:r w:rsidR="00C40619">
          <w:rPr>
            <w:noProof/>
            <w:webHidden/>
          </w:rPr>
          <w:fldChar w:fldCharType="begin"/>
        </w:r>
        <w:r w:rsidR="00C40619">
          <w:rPr>
            <w:noProof/>
            <w:webHidden/>
          </w:rPr>
          <w:instrText xml:space="preserve"> PAGEREF _Toc517796954 \h </w:instrText>
        </w:r>
        <w:r w:rsidR="00C40619">
          <w:rPr>
            <w:noProof/>
            <w:webHidden/>
          </w:rPr>
        </w:r>
        <w:r w:rsidR="00C40619">
          <w:rPr>
            <w:noProof/>
            <w:webHidden/>
          </w:rPr>
          <w:fldChar w:fldCharType="separate"/>
        </w:r>
        <w:r w:rsidR="00402074">
          <w:rPr>
            <w:noProof/>
            <w:webHidden/>
          </w:rPr>
          <w:t>109</w:t>
        </w:r>
        <w:r w:rsidR="00C40619">
          <w:rPr>
            <w:noProof/>
            <w:webHidden/>
          </w:rPr>
          <w:fldChar w:fldCharType="end"/>
        </w:r>
      </w:hyperlink>
    </w:p>
    <w:p w14:paraId="076DDA43" w14:textId="5BD98F92"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55" w:history="1">
        <w:r w:rsidR="00C40619" w:rsidRPr="00ED11E6">
          <w:rPr>
            <w:rStyle w:val="Hyperlink"/>
            <w:noProof/>
            <w14:scene3d>
              <w14:camera w14:prst="orthographicFront"/>
              <w14:lightRig w14:rig="threePt" w14:dir="t">
                <w14:rot w14:lat="0" w14:lon="0" w14:rev="0"/>
              </w14:lightRig>
            </w14:scene3d>
          </w:rPr>
          <w:t>2.2.8</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Maintenance of options</w:t>
        </w:r>
        <w:r w:rsidR="00C40619">
          <w:rPr>
            <w:noProof/>
            <w:webHidden/>
          </w:rPr>
          <w:tab/>
        </w:r>
        <w:r w:rsidR="00C40619">
          <w:rPr>
            <w:noProof/>
            <w:webHidden/>
          </w:rPr>
          <w:fldChar w:fldCharType="begin"/>
        </w:r>
        <w:r w:rsidR="00C40619">
          <w:rPr>
            <w:noProof/>
            <w:webHidden/>
          </w:rPr>
          <w:instrText xml:space="preserve"> PAGEREF _Toc517796955 \h </w:instrText>
        </w:r>
        <w:r w:rsidR="00C40619">
          <w:rPr>
            <w:noProof/>
            <w:webHidden/>
          </w:rPr>
        </w:r>
        <w:r w:rsidR="00C40619">
          <w:rPr>
            <w:noProof/>
            <w:webHidden/>
          </w:rPr>
          <w:fldChar w:fldCharType="separate"/>
        </w:r>
        <w:r w:rsidR="00402074">
          <w:rPr>
            <w:noProof/>
            <w:webHidden/>
          </w:rPr>
          <w:t>111</w:t>
        </w:r>
        <w:r w:rsidR="00C40619">
          <w:rPr>
            <w:noProof/>
            <w:webHidden/>
          </w:rPr>
          <w:fldChar w:fldCharType="end"/>
        </w:r>
      </w:hyperlink>
    </w:p>
    <w:p w14:paraId="1C5AFFB4" w14:textId="2E0E7127"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56" w:history="1">
        <w:r w:rsidR="00C40619" w:rsidRPr="00ED11E6">
          <w:rPr>
            <w:rStyle w:val="Hyperlink"/>
            <w:noProof/>
            <w14:scene3d>
              <w14:camera w14:prst="orthographicFront"/>
              <w14:lightRig w14:rig="threePt" w14:dir="t">
                <w14:rot w14:lat="0" w14:lon="0" w14:rev="0"/>
              </w14:lightRig>
            </w14:scene3d>
          </w:rPr>
          <w:t>2.2.9</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Climate regulation</w:t>
        </w:r>
        <w:r w:rsidR="00C40619">
          <w:rPr>
            <w:noProof/>
            <w:webHidden/>
          </w:rPr>
          <w:tab/>
        </w:r>
        <w:r w:rsidR="00C40619">
          <w:rPr>
            <w:noProof/>
            <w:webHidden/>
          </w:rPr>
          <w:fldChar w:fldCharType="begin"/>
        </w:r>
        <w:r w:rsidR="00C40619">
          <w:rPr>
            <w:noProof/>
            <w:webHidden/>
          </w:rPr>
          <w:instrText xml:space="preserve"> PAGEREF _Toc517796956 \h </w:instrText>
        </w:r>
        <w:r w:rsidR="00C40619">
          <w:rPr>
            <w:noProof/>
            <w:webHidden/>
          </w:rPr>
        </w:r>
        <w:r w:rsidR="00C40619">
          <w:rPr>
            <w:noProof/>
            <w:webHidden/>
          </w:rPr>
          <w:fldChar w:fldCharType="separate"/>
        </w:r>
        <w:r w:rsidR="00402074">
          <w:rPr>
            <w:noProof/>
            <w:webHidden/>
          </w:rPr>
          <w:t>114</w:t>
        </w:r>
        <w:r w:rsidR="00C40619">
          <w:rPr>
            <w:noProof/>
            <w:webHidden/>
          </w:rPr>
          <w:fldChar w:fldCharType="end"/>
        </w:r>
      </w:hyperlink>
    </w:p>
    <w:p w14:paraId="6A105B2E" w14:textId="6AF271DA" w:rsidR="00C40619" w:rsidRDefault="00E84199">
      <w:pPr>
        <w:pStyle w:val="TOC3"/>
        <w:tabs>
          <w:tab w:val="left" w:pos="1200"/>
          <w:tab w:val="right" w:leader="dot" w:pos="9487"/>
        </w:tabs>
        <w:rPr>
          <w:rFonts w:asciiTheme="minorHAnsi" w:eastAsiaTheme="minorEastAsia" w:hAnsiTheme="minorHAnsi" w:cstheme="minorBidi"/>
          <w:noProof/>
          <w:sz w:val="22"/>
          <w:szCs w:val="22"/>
          <w:lang w:val="es-CO" w:eastAsia="es-CO"/>
        </w:rPr>
      </w:pPr>
      <w:hyperlink w:anchor="_Toc517796957" w:history="1">
        <w:r w:rsidR="00C40619" w:rsidRPr="00ED11E6">
          <w:rPr>
            <w:rStyle w:val="Hyperlink"/>
            <w:noProof/>
            <w14:scene3d>
              <w14:camera w14:prst="orthographicFront"/>
              <w14:lightRig w14:rig="threePt" w14:dir="t">
                <w14:rot w14:lat="0" w14:lon="0" w14:rev="0"/>
              </w14:lightRig>
            </w14:scene3d>
          </w:rPr>
          <w:t>2.2.10</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Regulation of freshwater quantity, flow and timing</w:t>
        </w:r>
        <w:r w:rsidR="00C40619">
          <w:rPr>
            <w:noProof/>
            <w:webHidden/>
          </w:rPr>
          <w:tab/>
        </w:r>
        <w:r w:rsidR="00C40619">
          <w:rPr>
            <w:noProof/>
            <w:webHidden/>
          </w:rPr>
          <w:fldChar w:fldCharType="begin"/>
        </w:r>
        <w:r w:rsidR="00C40619">
          <w:rPr>
            <w:noProof/>
            <w:webHidden/>
          </w:rPr>
          <w:instrText xml:space="preserve"> PAGEREF _Toc517796957 \h </w:instrText>
        </w:r>
        <w:r w:rsidR="00C40619">
          <w:rPr>
            <w:noProof/>
            <w:webHidden/>
          </w:rPr>
        </w:r>
        <w:r w:rsidR="00C40619">
          <w:rPr>
            <w:noProof/>
            <w:webHidden/>
          </w:rPr>
          <w:fldChar w:fldCharType="separate"/>
        </w:r>
        <w:r w:rsidR="00402074">
          <w:rPr>
            <w:noProof/>
            <w:webHidden/>
          </w:rPr>
          <w:t>117</w:t>
        </w:r>
        <w:r w:rsidR="00C40619">
          <w:rPr>
            <w:noProof/>
            <w:webHidden/>
          </w:rPr>
          <w:fldChar w:fldCharType="end"/>
        </w:r>
      </w:hyperlink>
    </w:p>
    <w:p w14:paraId="1086D5CC" w14:textId="6397A53A" w:rsidR="00C40619" w:rsidRDefault="00E84199">
      <w:pPr>
        <w:pStyle w:val="TOC3"/>
        <w:tabs>
          <w:tab w:val="left" w:pos="1200"/>
          <w:tab w:val="right" w:leader="dot" w:pos="9487"/>
        </w:tabs>
        <w:rPr>
          <w:rFonts w:asciiTheme="minorHAnsi" w:eastAsiaTheme="minorEastAsia" w:hAnsiTheme="minorHAnsi" w:cstheme="minorBidi"/>
          <w:noProof/>
          <w:sz w:val="22"/>
          <w:szCs w:val="22"/>
          <w:lang w:val="es-CO" w:eastAsia="es-CO"/>
        </w:rPr>
      </w:pPr>
      <w:hyperlink w:anchor="_Toc517796958" w:history="1">
        <w:r w:rsidR="00C40619" w:rsidRPr="00ED11E6">
          <w:rPr>
            <w:rStyle w:val="Hyperlink"/>
            <w:noProof/>
            <w14:scene3d>
              <w14:camera w14:prst="orthographicFront"/>
              <w14:lightRig w14:rig="threePt" w14:dir="t">
                <w14:rot w14:lat="0" w14:lon="0" w14:rev="0"/>
              </w14:lightRig>
            </w14:scene3d>
          </w:rPr>
          <w:t>2.2.11</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Regulation of freshwater and coastal water quality</w:t>
        </w:r>
        <w:r w:rsidR="00C40619">
          <w:rPr>
            <w:noProof/>
            <w:webHidden/>
          </w:rPr>
          <w:tab/>
        </w:r>
        <w:r w:rsidR="00C40619">
          <w:rPr>
            <w:noProof/>
            <w:webHidden/>
          </w:rPr>
          <w:fldChar w:fldCharType="begin"/>
        </w:r>
        <w:r w:rsidR="00C40619">
          <w:rPr>
            <w:noProof/>
            <w:webHidden/>
          </w:rPr>
          <w:instrText xml:space="preserve"> PAGEREF _Toc517796958 \h </w:instrText>
        </w:r>
        <w:r w:rsidR="00C40619">
          <w:rPr>
            <w:noProof/>
            <w:webHidden/>
          </w:rPr>
        </w:r>
        <w:r w:rsidR="00C40619">
          <w:rPr>
            <w:noProof/>
            <w:webHidden/>
          </w:rPr>
          <w:fldChar w:fldCharType="separate"/>
        </w:r>
        <w:r w:rsidR="00402074">
          <w:rPr>
            <w:noProof/>
            <w:webHidden/>
          </w:rPr>
          <w:t>119</w:t>
        </w:r>
        <w:r w:rsidR="00C40619">
          <w:rPr>
            <w:noProof/>
            <w:webHidden/>
          </w:rPr>
          <w:fldChar w:fldCharType="end"/>
        </w:r>
      </w:hyperlink>
    </w:p>
    <w:p w14:paraId="1FC49DAC" w14:textId="0BC2B7A8" w:rsidR="00C40619" w:rsidRDefault="00E84199">
      <w:pPr>
        <w:pStyle w:val="TOC3"/>
        <w:tabs>
          <w:tab w:val="left" w:pos="1200"/>
          <w:tab w:val="right" w:leader="dot" w:pos="9487"/>
        </w:tabs>
        <w:rPr>
          <w:rFonts w:asciiTheme="minorHAnsi" w:eastAsiaTheme="minorEastAsia" w:hAnsiTheme="minorHAnsi" w:cstheme="minorBidi"/>
          <w:noProof/>
          <w:sz w:val="22"/>
          <w:szCs w:val="22"/>
          <w:lang w:val="es-CO" w:eastAsia="es-CO"/>
        </w:rPr>
      </w:pPr>
      <w:hyperlink w:anchor="_Toc517796959" w:history="1">
        <w:r w:rsidR="00C40619" w:rsidRPr="00ED11E6">
          <w:rPr>
            <w:rStyle w:val="Hyperlink"/>
            <w:noProof/>
            <w14:scene3d>
              <w14:camera w14:prst="orthographicFront"/>
              <w14:lightRig w14:rig="threePt" w14:dir="t">
                <w14:rot w14:lat="0" w14:lon="0" w14:rev="0"/>
              </w14:lightRig>
            </w14:scene3d>
          </w:rPr>
          <w:t>2.2.12</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Regulation of hazards and extreme events</w:t>
        </w:r>
        <w:r w:rsidR="00C40619">
          <w:rPr>
            <w:noProof/>
            <w:webHidden/>
          </w:rPr>
          <w:tab/>
        </w:r>
        <w:r w:rsidR="00C40619">
          <w:rPr>
            <w:noProof/>
            <w:webHidden/>
          </w:rPr>
          <w:fldChar w:fldCharType="begin"/>
        </w:r>
        <w:r w:rsidR="00C40619">
          <w:rPr>
            <w:noProof/>
            <w:webHidden/>
          </w:rPr>
          <w:instrText xml:space="preserve"> PAGEREF _Toc517796959 \h </w:instrText>
        </w:r>
        <w:r w:rsidR="00C40619">
          <w:rPr>
            <w:noProof/>
            <w:webHidden/>
          </w:rPr>
        </w:r>
        <w:r w:rsidR="00C40619">
          <w:rPr>
            <w:noProof/>
            <w:webHidden/>
          </w:rPr>
          <w:fldChar w:fldCharType="separate"/>
        </w:r>
        <w:r w:rsidR="00402074">
          <w:rPr>
            <w:noProof/>
            <w:webHidden/>
          </w:rPr>
          <w:t>121</w:t>
        </w:r>
        <w:r w:rsidR="00C40619">
          <w:rPr>
            <w:noProof/>
            <w:webHidden/>
          </w:rPr>
          <w:fldChar w:fldCharType="end"/>
        </w:r>
      </w:hyperlink>
    </w:p>
    <w:p w14:paraId="54E1898E" w14:textId="498AB70A" w:rsidR="00C40619" w:rsidRDefault="00E84199">
      <w:pPr>
        <w:pStyle w:val="TOC3"/>
        <w:tabs>
          <w:tab w:val="left" w:pos="1200"/>
          <w:tab w:val="right" w:leader="dot" w:pos="9487"/>
        </w:tabs>
        <w:rPr>
          <w:rFonts w:asciiTheme="minorHAnsi" w:eastAsiaTheme="minorEastAsia" w:hAnsiTheme="minorHAnsi" w:cstheme="minorBidi"/>
          <w:noProof/>
          <w:sz w:val="22"/>
          <w:szCs w:val="22"/>
          <w:lang w:val="es-CO" w:eastAsia="es-CO"/>
        </w:rPr>
      </w:pPr>
      <w:hyperlink w:anchor="_Toc517796960" w:history="1">
        <w:r w:rsidR="00C40619" w:rsidRPr="00ED11E6">
          <w:rPr>
            <w:rStyle w:val="Hyperlink"/>
            <w:noProof/>
            <w14:scene3d>
              <w14:camera w14:prst="orthographicFront"/>
              <w14:lightRig w14:rig="threePt" w14:dir="t">
                <w14:rot w14:lat="0" w14:lon="0" w14:rev="0"/>
              </w14:lightRig>
            </w14:scene3d>
          </w:rPr>
          <w:t>2.2.13</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Habitat creation and maintenance</w:t>
        </w:r>
        <w:r w:rsidR="00C40619">
          <w:rPr>
            <w:noProof/>
            <w:webHidden/>
          </w:rPr>
          <w:tab/>
        </w:r>
        <w:r w:rsidR="00C40619">
          <w:rPr>
            <w:noProof/>
            <w:webHidden/>
          </w:rPr>
          <w:fldChar w:fldCharType="begin"/>
        </w:r>
        <w:r w:rsidR="00C40619">
          <w:rPr>
            <w:noProof/>
            <w:webHidden/>
          </w:rPr>
          <w:instrText xml:space="preserve"> PAGEREF _Toc517796960 \h </w:instrText>
        </w:r>
        <w:r w:rsidR="00C40619">
          <w:rPr>
            <w:noProof/>
            <w:webHidden/>
          </w:rPr>
        </w:r>
        <w:r w:rsidR="00C40619">
          <w:rPr>
            <w:noProof/>
            <w:webHidden/>
          </w:rPr>
          <w:fldChar w:fldCharType="separate"/>
        </w:r>
        <w:r w:rsidR="00402074">
          <w:rPr>
            <w:noProof/>
            <w:webHidden/>
          </w:rPr>
          <w:t>122</w:t>
        </w:r>
        <w:r w:rsidR="00C40619">
          <w:rPr>
            <w:noProof/>
            <w:webHidden/>
          </w:rPr>
          <w:fldChar w:fldCharType="end"/>
        </w:r>
      </w:hyperlink>
    </w:p>
    <w:p w14:paraId="6B66DDA8" w14:textId="1E49B90A" w:rsidR="00C40619" w:rsidRDefault="00E84199">
      <w:pPr>
        <w:pStyle w:val="TOC3"/>
        <w:tabs>
          <w:tab w:val="left" w:pos="1200"/>
          <w:tab w:val="right" w:leader="dot" w:pos="9487"/>
        </w:tabs>
        <w:rPr>
          <w:rFonts w:asciiTheme="minorHAnsi" w:eastAsiaTheme="minorEastAsia" w:hAnsiTheme="minorHAnsi" w:cstheme="minorBidi"/>
          <w:noProof/>
          <w:sz w:val="22"/>
          <w:szCs w:val="22"/>
          <w:lang w:val="es-CO" w:eastAsia="es-CO"/>
        </w:rPr>
      </w:pPr>
      <w:hyperlink w:anchor="_Toc517796961" w:history="1">
        <w:r w:rsidR="00C40619" w:rsidRPr="00ED11E6">
          <w:rPr>
            <w:rStyle w:val="Hyperlink"/>
            <w:noProof/>
            <w14:scene3d>
              <w14:camera w14:prst="orthographicFront"/>
              <w14:lightRig w14:rig="threePt" w14:dir="t">
                <w14:rot w14:lat="0" w14:lon="0" w14:rev="0"/>
              </w14:lightRig>
            </w14:scene3d>
          </w:rPr>
          <w:t>2.2.14</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Regulation of air quality</w:t>
        </w:r>
        <w:r w:rsidR="00C40619">
          <w:rPr>
            <w:noProof/>
            <w:webHidden/>
          </w:rPr>
          <w:tab/>
        </w:r>
        <w:r w:rsidR="00C40619">
          <w:rPr>
            <w:noProof/>
            <w:webHidden/>
          </w:rPr>
          <w:fldChar w:fldCharType="begin"/>
        </w:r>
        <w:r w:rsidR="00C40619">
          <w:rPr>
            <w:noProof/>
            <w:webHidden/>
          </w:rPr>
          <w:instrText xml:space="preserve"> PAGEREF _Toc517796961 \h </w:instrText>
        </w:r>
        <w:r w:rsidR="00C40619">
          <w:rPr>
            <w:noProof/>
            <w:webHidden/>
          </w:rPr>
        </w:r>
        <w:r w:rsidR="00C40619">
          <w:rPr>
            <w:noProof/>
            <w:webHidden/>
          </w:rPr>
          <w:fldChar w:fldCharType="separate"/>
        </w:r>
        <w:r w:rsidR="00402074">
          <w:rPr>
            <w:noProof/>
            <w:webHidden/>
          </w:rPr>
          <w:t>124</w:t>
        </w:r>
        <w:r w:rsidR="00C40619">
          <w:rPr>
            <w:noProof/>
            <w:webHidden/>
          </w:rPr>
          <w:fldChar w:fldCharType="end"/>
        </w:r>
      </w:hyperlink>
    </w:p>
    <w:p w14:paraId="64526466" w14:textId="0C60BB6D" w:rsidR="00C40619" w:rsidRDefault="00E84199">
      <w:pPr>
        <w:pStyle w:val="TOC3"/>
        <w:tabs>
          <w:tab w:val="left" w:pos="1200"/>
          <w:tab w:val="right" w:leader="dot" w:pos="9487"/>
        </w:tabs>
        <w:rPr>
          <w:rFonts w:asciiTheme="minorHAnsi" w:eastAsiaTheme="minorEastAsia" w:hAnsiTheme="minorHAnsi" w:cstheme="minorBidi"/>
          <w:noProof/>
          <w:sz w:val="22"/>
          <w:szCs w:val="22"/>
          <w:lang w:val="es-CO" w:eastAsia="es-CO"/>
        </w:rPr>
      </w:pPr>
      <w:hyperlink w:anchor="_Toc517796962" w:history="1">
        <w:r w:rsidR="00C40619" w:rsidRPr="00ED11E6">
          <w:rPr>
            <w:rStyle w:val="Hyperlink"/>
            <w:noProof/>
            <w14:scene3d>
              <w14:camera w14:prst="orthographicFront"/>
              <w14:lightRig w14:rig="threePt" w14:dir="t">
                <w14:rot w14:lat="0" w14:lon="0" w14:rev="0"/>
              </w14:lightRig>
            </w14:scene3d>
          </w:rPr>
          <w:t>2.2.15</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Regulation of organisms detrimental to humans</w:t>
        </w:r>
        <w:r w:rsidR="00C40619">
          <w:rPr>
            <w:noProof/>
            <w:webHidden/>
          </w:rPr>
          <w:tab/>
        </w:r>
        <w:r w:rsidR="00C40619">
          <w:rPr>
            <w:noProof/>
            <w:webHidden/>
          </w:rPr>
          <w:fldChar w:fldCharType="begin"/>
        </w:r>
        <w:r w:rsidR="00C40619">
          <w:rPr>
            <w:noProof/>
            <w:webHidden/>
          </w:rPr>
          <w:instrText xml:space="preserve"> PAGEREF _Toc517796962 \h </w:instrText>
        </w:r>
        <w:r w:rsidR="00C40619">
          <w:rPr>
            <w:noProof/>
            <w:webHidden/>
          </w:rPr>
        </w:r>
        <w:r w:rsidR="00C40619">
          <w:rPr>
            <w:noProof/>
            <w:webHidden/>
          </w:rPr>
          <w:fldChar w:fldCharType="separate"/>
        </w:r>
        <w:r w:rsidR="00402074">
          <w:rPr>
            <w:noProof/>
            <w:webHidden/>
          </w:rPr>
          <w:t>126</w:t>
        </w:r>
        <w:r w:rsidR="00C40619">
          <w:rPr>
            <w:noProof/>
            <w:webHidden/>
          </w:rPr>
          <w:fldChar w:fldCharType="end"/>
        </w:r>
      </w:hyperlink>
    </w:p>
    <w:p w14:paraId="47E28C53" w14:textId="56AE4EDD" w:rsidR="00C40619" w:rsidRDefault="00E84199">
      <w:pPr>
        <w:pStyle w:val="TOC3"/>
        <w:tabs>
          <w:tab w:val="left" w:pos="1200"/>
          <w:tab w:val="right" w:leader="dot" w:pos="9487"/>
        </w:tabs>
        <w:rPr>
          <w:rFonts w:asciiTheme="minorHAnsi" w:eastAsiaTheme="minorEastAsia" w:hAnsiTheme="minorHAnsi" w:cstheme="minorBidi"/>
          <w:noProof/>
          <w:sz w:val="22"/>
          <w:szCs w:val="22"/>
          <w:lang w:val="es-CO" w:eastAsia="es-CO"/>
        </w:rPr>
      </w:pPr>
      <w:hyperlink w:anchor="_Toc517796963" w:history="1">
        <w:r w:rsidR="00C40619" w:rsidRPr="00ED11E6">
          <w:rPr>
            <w:rStyle w:val="Hyperlink"/>
            <w:noProof/>
            <w14:scene3d>
              <w14:camera w14:prst="orthographicFront"/>
              <w14:lightRig w14:rig="threePt" w14:dir="t">
                <w14:rot w14:lat="0" w14:lon="0" w14:rev="0"/>
              </w14:lightRig>
            </w14:scene3d>
          </w:rPr>
          <w:t>2.2.16</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Pollination and dispersal of seeds and other propagules</w:t>
        </w:r>
        <w:r w:rsidR="00C40619">
          <w:rPr>
            <w:noProof/>
            <w:webHidden/>
          </w:rPr>
          <w:tab/>
        </w:r>
        <w:r w:rsidR="00C40619">
          <w:rPr>
            <w:noProof/>
            <w:webHidden/>
          </w:rPr>
          <w:fldChar w:fldCharType="begin"/>
        </w:r>
        <w:r w:rsidR="00C40619">
          <w:rPr>
            <w:noProof/>
            <w:webHidden/>
          </w:rPr>
          <w:instrText xml:space="preserve"> PAGEREF _Toc517796963 \h </w:instrText>
        </w:r>
        <w:r w:rsidR="00C40619">
          <w:rPr>
            <w:noProof/>
            <w:webHidden/>
          </w:rPr>
        </w:r>
        <w:r w:rsidR="00C40619">
          <w:rPr>
            <w:noProof/>
            <w:webHidden/>
          </w:rPr>
          <w:fldChar w:fldCharType="separate"/>
        </w:r>
        <w:r w:rsidR="00402074">
          <w:rPr>
            <w:noProof/>
            <w:webHidden/>
          </w:rPr>
          <w:t>127</w:t>
        </w:r>
        <w:r w:rsidR="00C40619">
          <w:rPr>
            <w:noProof/>
            <w:webHidden/>
          </w:rPr>
          <w:fldChar w:fldCharType="end"/>
        </w:r>
      </w:hyperlink>
    </w:p>
    <w:p w14:paraId="592E1BE0" w14:textId="26DBB342" w:rsidR="00C40619" w:rsidRDefault="00E84199">
      <w:pPr>
        <w:pStyle w:val="TOC3"/>
        <w:tabs>
          <w:tab w:val="left" w:pos="1200"/>
          <w:tab w:val="right" w:leader="dot" w:pos="9487"/>
        </w:tabs>
        <w:rPr>
          <w:rFonts w:asciiTheme="minorHAnsi" w:eastAsiaTheme="minorEastAsia" w:hAnsiTheme="minorHAnsi" w:cstheme="minorBidi"/>
          <w:noProof/>
          <w:sz w:val="22"/>
          <w:szCs w:val="22"/>
          <w:lang w:val="es-CO" w:eastAsia="es-CO"/>
        </w:rPr>
      </w:pPr>
      <w:hyperlink w:anchor="_Toc517796964" w:history="1">
        <w:r w:rsidR="00C40619" w:rsidRPr="00ED11E6">
          <w:rPr>
            <w:rStyle w:val="Hyperlink"/>
            <w:noProof/>
            <w14:scene3d>
              <w14:camera w14:prst="orthographicFront"/>
              <w14:lightRig w14:rig="threePt" w14:dir="t">
                <w14:rot w14:lat="0" w14:lon="0" w14:rev="0"/>
              </w14:lightRig>
            </w14:scene3d>
          </w:rPr>
          <w:t>2.2.17</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Regulation of ocean acidification</w:t>
        </w:r>
        <w:r w:rsidR="00C40619">
          <w:rPr>
            <w:noProof/>
            <w:webHidden/>
          </w:rPr>
          <w:tab/>
        </w:r>
        <w:r w:rsidR="00C40619">
          <w:rPr>
            <w:noProof/>
            <w:webHidden/>
          </w:rPr>
          <w:fldChar w:fldCharType="begin"/>
        </w:r>
        <w:r w:rsidR="00C40619">
          <w:rPr>
            <w:noProof/>
            <w:webHidden/>
          </w:rPr>
          <w:instrText xml:space="preserve"> PAGEREF _Toc517796964 \h </w:instrText>
        </w:r>
        <w:r w:rsidR="00C40619">
          <w:rPr>
            <w:noProof/>
            <w:webHidden/>
          </w:rPr>
        </w:r>
        <w:r w:rsidR="00C40619">
          <w:rPr>
            <w:noProof/>
            <w:webHidden/>
          </w:rPr>
          <w:fldChar w:fldCharType="separate"/>
        </w:r>
        <w:r w:rsidR="00402074">
          <w:rPr>
            <w:noProof/>
            <w:webHidden/>
          </w:rPr>
          <w:t>130</w:t>
        </w:r>
        <w:r w:rsidR="00C40619">
          <w:rPr>
            <w:noProof/>
            <w:webHidden/>
          </w:rPr>
          <w:fldChar w:fldCharType="end"/>
        </w:r>
      </w:hyperlink>
    </w:p>
    <w:p w14:paraId="58F04467" w14:textId="0335C9D0" w:rsidR="00C40619" w:rsidRDefault="00E84199">
      <w:pPr>
        <w:pStyle w:val="TOC3"/>
        <w:tabs>
          <w:tab w:val="left" w:pos="1200"/>
          <w:tab w:val="right" w:leader="dot" w:pos="9487"/>
        </w:tabs>
        <w:rPr>
          <w:rFonts w:asciiTheme="minorHAnsi" w:eastAsiaTheme="minorEastAsia" w:hAnsiTheme="minorHAnsi" w:cstheme="minorBidi"/>
          <w:noProof/>
          <w:sz w:val="22"/>
          <w:szCs w:val="22"/>
          <w:lang w:val="es-CO" w:eastAsia="es-CO"/>
        </w:rPr>
      </w:pPr>
      <w:hyperlink w:anchor="_Toc517796965" w:history="1">
        <w:r w:rsidR="00C40619" w:rsidRPr="00ED11E6">
          <w:rPr>
            <w:rStyle w:val="Hyperlink"/>
            <w:noProof/>
            <w14:scene3d>
              <w14:camera w14:prst="orthographicFront"/>
              <w14:lightRig w14:rig="threePt" w14:dir="t">
                <w14:rot w14:lat="0" w14:lon="0" w14:rev="0"/>
              </w14:lightRig>
            </w14:scene3d>
          </w:rPr>
          <w:t>2.2.18</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Formation, protection and decontamination of soils and sediments</w:t>
        </w:r>
        <w:r w:rsidR="00C40619">
          <w:rPr>
            <w:noProof/>
            <w:webHidden/>
          </w:rPr>
          <w:tab/>
        </w:r>
        <w:r w:rsidR="00C40619">
          <w:rPr>
            <w:noProof/>
            <w:webHidden/>
          </w:rPr>
          <w:fldChar w:fldCharType="begin"/>
        </w:r>
        <w:r w:rsidR="00C40619">
          <w:rPr>
            <w:noProof/>
            <w:webHidden/>
          </w:rPr>
          <w:instrText xml:space="preserve"> PAGEREF _Toc517796965 \h </w:instrText>
        </w:r>
        <w:r w:rsidR="00C40619">
          <w:rPr>
            <w:noProof/>
            <w:webHidden/>
          </w:rPr>
        </w:r>
        <w:r w:rsidR="00C40619">
          <w:rPr>
            <w:noProof/>
            <w:webHidden/>
          </w:rPr>
          <w:fldChar w:fldCharType="separate"/>
        </w:r>
        <w:r w:rsidR="00402074">
          <w:rPr>
            <w:noProof/>
            <w:webHidden/>
          </w:rPr>
          <w:t>131</w:t>
        </w:r>
        <w:r w:rsidR="00C40619">
          <w:rPr>
            <w:noProof/>
            <w:webHidden/>
          </w:rPr>
          <w:fldChar w:fldCharType="end"/>
        </w:r>
      </w:hyperlink>
    </w:p>
    <w:p w14:paraId="147D1011" w14:textId="4DC1284A" w:rsidR="00C40619" w:rsidRDefault="00E84199">
      <w:pPr>
        <w:pStyle w:val="TOC2"/>
        <w:rPr>
          <w:rFonts w:asciiTheme="minorHAnsi" w:eastAsiaTheme="minorEastAsia" w:hAnsiTheme="minorHAnsi" w:cstheme="minorBidi"/>
          <w:b w:val="0"/>
          <w:bCs w:val="0"/>
          <w:noProof/>
          <w:szCs w:val="22"/>
          <w:lang w:val="es-CO" w:eastAsia="es-CO"/>
        </w:rPr>
      </w:pPr>
      <w:hyperlink w:anchor="_Toc517796966" w:history="1">
        <w:r w:rsidR="00C40619" w:rsidRPr="00ED11E6">
          <w:rPr>
            <w:rStyle w:val="Hyperlink"/>
            <w:noProof/>
            <w14:scene3d>
              <w14:camera w14:prst="orthographicFront"/>
              <w14:lightRig w14:rig="threePt" w14:dir="t">
                <w14:rot w14:lat="0" w14:lon="0" w14:rev="0"/>
              </w14:lightRig>
            </w14:scene3d>
          </w:rPr>
          <w:t>2.3</w:t>
        </w:r>
        <w:r w:rsidR="00C40619">
          <w:rPr>
            <w:rFonts w:asciiTheme="minorHAnsi" w:eastAsiaTheme="minorEastAsia" w:hAnsiTheme="minorHAnsi" w:cstheme="minorBidi"/>
            <w:b w:val="0"/>
            <w:bCs w:val="0"/>
            <w:noProof/>
            <w:szCs w:val="22"/>
            <w:lang w:val="es-CO" w:eastAsia="es-CO"/>
          </w:rPr>
          <w:tab/>
        </w:r>
        <w:r w:rsidR="00C40619" w:rsidRPr="00ED11E6">
          <w:rPr>
            <w:rStyle w:val="Hyperlink"/>
            <w:noProof/>
          </w:rPr>
          <w:t>Effects of trends in nature’s contributions to people on quality of life</w:t>
        </w:r>
        <w:r w:rsidR="00C40619">
          <w:rPr>
            <w:noProof/>
            <w:webHidden/>
          </w:rPr>
          <w:tab/>
        </w:r>
        <w:r w:rsidR="00C40619">
          <w:rPr>
            <w:noProof/>
            <w:webHidden/>
          </w:rPr>
          <w:fldChar w:fldCharType="begin"/>
        </w:r>
        <w:r w:rsidR="00C40619">
          <w:rPr>
            <w:noProof/>
            <w:webHidden/>
          </w:rPr>
          <w:instrText xml:space="preserve"> PAGEREF _Toc517796966 \h </w:instrText>
        </w:r>
        <w:r w:rsidR="00C40619">
          <w:rPr>
            <w:noProof/>
            <w:webHidden/>
          </w:rPr>
        </w:r>
        <w:r w:rsidR="00C40619">
          <w:rPr>
            <w:noProof/>
            <w:webHidden/>
          </w:rPr>
          <w:fldChar w:fldCharType="separate"/>
        </w:r>
        <w:r w:rsidR="00402074">
          <w:rPr>
            <w:noProof/>
            <w:webHidden/>
          </w:rPr>
          <w:t>132</w:t>
        </w:r>
        <w:r w:rsidR="00C40619">
          <w:rPr>
            <w:noProof/>
            <w:webHidden/>
          </w:rPr>
          <w:fldChar w:fldCharType="end"/>
        </w:r>
      </w:hyperlink>
    </w:p>
    <w:p w14:paraId="1CDE1E31" w14:textId="21EDDAA1"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67" w:history="1">
        <w:r w:rsidR="00C40619" w:rsidRPr="00ED11E6">
          <w:rPr>
            <w:rStyle w:val="Hyperlink"/>
            <w:noProof/>
            <w14:scene3d>
              <w14:camera w14:prst="orthographicFront"/>
              <w14:lightRig w14:rig="threePt" w14:dir="t">
                <w14:rot w14:lat="0" w14:lon="0" w14:rev="0"/>
              </w14:lightRig>
            </w14:scene3d>
          </w:rPr>
          <w:t>2.3.1</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Food Security</w:t>
        </w:r>
        <w:r w:rsidR="00C40619">
          <w:rPr>
            <w:noProof/>
            <w:webHidden/>
          </w:rPr>
          <w:tab/>
        </w:r>
        <w:r w:rsidR="00C40619">
          <w:rPr>
            <w:noProof/>
            <w:webHidden/>
          </w:rPr>
          <w:fldChar w:fldCharType="begin"/>
        </w:r>
        <w:r w:rsidR="00C40619">
          <w:rPr>
            <w:noProof/>
            <w:webHidden/>
          </w:rPr>
          <w:instrText xml:space="preserve"> PAGEREF _Toc517796967 \h </w:instrText>
        </w:r>
        <w:r w:rsidR="00C40619">
          <w:rPr>
            <w:noProof/>
            <w:webHidden/>
          </w:rPr>
        </w:r>
        <w:r w:rsidR="00C40619">
          <w:rPr>
            <w:noProof/>
            <w:webHidden/>
          </w:rPr>
          <w:fldChar w:fldCharType="separate"/>
        </w:r>
        <w:r w:rsidR="00402074">
          <w:rPr>
            <w:noProof/>
            <w:webHidden/>
          </w:rPr>
          <w:t>133</w:t>
        </w:r>
        <w:r w:rsidR="00C40619">
          <w:rPr>
            <w:noProof/>
            <w:webHidden/>
          </w:rPr>
          <w:fldChar w:fldCharType="end"/>
        </w:r>
      </w:hyperlink>
    </w:p>
    <w:p w14:paraId="1038F241" w14:textId="0D5D6AB3"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68" w:history="1">
        <w:r w:rsidR="00C40619" w:rsidRPr="00ED11E6">
          <w:rPr>
            <w:rStyle w:val="Hyperlink"/>
            <w:noProof/>
            <w14:scene3d>
              <w14:camera w14:prst="orthographicFront"/>
              <w14:lightRig w14:rig="threePt" w14:dir="t">
                <w14:rot w14:lat="0" w14:lon="0" w14:rev="0"/>
              </w14:lightRig>
            </w14:scene3d>
          </w:rPr>
          <w:t>2.3.2</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Water security</w:t>
        </w:r>
        <w:r w:rsidR="00C40619">
          <w:rPr>
            <w:noProof/>
            <w:webHidden/>
          </w:rPr>
          <w:tab/>
        </w:r>
        <w:r w:rsidR="00C40619">
          <w:rPr>
            <w:noProof/>
            <w:webHidden/>
          </w:rPr>
          <w:fldChar w:fldCharType="begin"/>
        </w:r>
        <w:r w:rsidR="00C40619">
          <w:rPr>
            <w:noProof/>
            <w:webHidden/>
          </w:rPr>
          <w:instrText xml:space="preserve"> PAGEREF _Toc517796968 \h </w:instrText>
        </w:r>
        <w:r w:rsidR="00C40619">
          <w:rPr>
            <w:noProof/>
            <w:webHidden/>
          </w:rPr>
        </w:r>
        <w:r w:rsidR="00C40619">
          <w:rPr>
            <w:noProof/>
            <w:webHidden/>
          </w:rPr>
          <w:fldChar w:fldCharType="separate"/>
        </w:r>
        <w:r w:rsidR="00402074">
          <w:rPr>
            <w:noProof/>
            <w:webHidden/>
          </w:rPr>
          <w:t>140</w:t>
        </w:r>
        <w:r w:rsidR="00C40619">
          <w:rPr>
            <w:noProof/>
            <w:webHidden/>
          </w:rPr>
          <w:fldChar w:fldCharType="end"/>
        </w:r>
      </w:hyperlink>
    </w:p>
    <w:p w14:paraId="73B260C8" w14:textId="4836CD87"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69" w:history="1">
        <w:r w:rsidR="00C40619" w:rsidRPr="00ED11E6">
          <w:rPr>
            <w:rStyle w:val="Hyperlink"/>
            <w:noProof/>
            <w14:scene3d>
              <w14:camera w14:prst="orthographicFront"/>
              <w14:lightRig w14:rig="threePt" w14:dir="t">
                <w14:rot w14:lat="0" w14:lon="0" w14:rev="0"/>
              </w14:lightRig>
            </w14:scene3d>
          </w:rPr>
          <w:t>2.3.3</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Energy security</w:t>
        </w:r>
        <w:r w:rsidR="00C40619">
          <w:rPr>
            <w:noProof/>
            <w:webHidden/>
          </w:rPr>
          <w:tab/>
        </w:r>
        <w:r w:rsidR="00C40619">
          <w:rPr>
            <w:noProof/>
            <w:webHidden/>
          </w:rPr>
          <w:fldChar w:fldCharType="begin"/>
        </w:r>
        <w:r w:rsidR="00C40619">
          <w:rPr>
            <w:noProof/>
            <w:webHidden/>
          </w:rPr>
          <w:instrText xml:space="preserve"> PAGEREF _Toc517796969 \h </w:instrText>
        </w:r>
        <w:r w:rsidR="00C40619">
          <w:rPr>
            <w:noProof/>
            <w:webHidden/>
          </w:rPr>
        </w:r>
        <w:r w:rsidR="00C40619">
          <w:rPr>
            <w:noProof/>
            <w:webHidden/>
          </w:rPr>
          <w:fldChar w:fldCharType="separate"/>
        </w:r>
        <w:r w:rsidR="00402074">
          <w:rPr>
            <w:noProof/>
            <w:webHidden/>
          </w:rPr>
          <w:t>145</w:t>
        </w:r>
        <w:r w:rsidR="00C40619">
          <w:rPr>
            <w:noProof/>
            <w:webHidden/>
          </w:rPr>
          <w:fldChar w:fldCharType="end"/>
        </w:r>
      </w:hyperlink>
    </w:p>
    <w:p w14:paraId="1D37C933" w14:textId="04516863"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70" w:history="1">
        <w:r w:rsidR="00C40619" w:rsidRPr="00ED11E6">
          <w:rPr>
            <w:rStyle w:val="Hyperlink"/>
            <w:noProof/>
            <w14:scene3d>
              <w14:camera w14:prst="orthographicFront"/>
              <w14:lightRig w14:rig="threePt" w14:dir="t">
                <w14:rot w14:lat="0" w14:lon="0" w14:rev="0"/>
              </w14:lightRig>
            </w14:scene3d>
          </w:rPr>
          <w:t>2.3.4</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Health</w:t>
        </w:r>
        <w:r w:rsidR="00C40619">
          <w:rPr>
            <w:noProof/>
            <w:webHidden/>
          </w:rPr>
          <w:tab/>
        </w:r>
        <w:r w:rsidR="00C40619">
          <w:rPr>
            <w:noProof/>
            <w:webHidden/>
          </w:rPr>
          <w:fldChar w:fldCharType="begin"/>
        </w:r>
        <w:r w:rsidR="00C40619">
          <w:rPr>
            <w:noProof/>
            <w:webHidden/>
          </w:rPr>
          <w:instrText xml:space="preserve"> PAGEREF _Toc517796970 \h </w:instrText>
        </w:r>
        <w:r w:rsidR="00C40619">
          <w:rPr>
            <w:noProof/>
            <w:webHidden/>
          </w:rPr>
        </w:r>
        <w:r w:rsidR="00C40619">
          <w:rPr>
            <w:noProof/>
            <w:webHidden/>
          </w:rPr>
          <w:fldChar w:fldCharType="separate"/>
        </w:r>
        <w:r w:rsidR="00402074">
          <w:rPr>
            <w:noProof/>
            <w:webHidden/>
          </w:rPr>
          <w:t>146</w:t>
        </w:r>
        <w:r w:rsidR="00C40619">
          <w:rPr>
            <w:noProof/>
            <w:webHidden/>
          </w:rPr>
          <w:fldChar w:fldCharType="end"/>
        </w:r>
      </w:hyperlink>
    </w:p>
    <w:p w14:paraId="002E7CC7" w14:textId="4FB7B420"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71" w:history="1">
        <w:r w:rsidR="00C40619" w:rsidRPr="00ED11E6">
          <w:rPr>
            <w:rStyle w:val="Hyperlink"/>
            <w:noProof/>
            <w14:scene3d>
              <w14:camera w14:prst="orthographicFront"/>
              <w14:lightRig w14:rig="threePt" w14:dir="t">
                <w14:rot w14:lat="0" w14:lon="0" w14:rev="0"/>
              </w14:lightRig>
            </w14:scene3d>
          </w:rPr>
          <w:t>2.3.5</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Sustainable livelihood</w:t>
        </w:r>
        <w:r w:rsidR="00C40619">
          <w:rPr>
            <w:noProof/>
            <w:webHidden/>
          </w:rPr>
          <w:tab/>
        </w:r>
        <w:r w:rsidR="00C40619">
          <w:rPr>
            <w:noProof/>
            <w:webHidden/>
          </w:rPr>
          <w:fldChar w:fldCharType="begin"/>
        </w:r>
        <w:r w:rsidR="00C40619">
          <w:rPr>
            <w:noProof/>
            <w:webHidden/>
          </w:rPr>
          <w:instrText xml:space="preserve"> PAGEREF _Toc517796971 \h </w:instrText>
        </w:r>
        <w:r w:rsidR="00C40619">
          <w:rPr>
            <w:noProof/>
            <w:webHidden/>
          </w:rPr>
        </w:r>
        <w:r w:rsidR="00C40619">
          <w:rPr>
            <w:noProof/>
            <w:webHidden/>
          </w:rPr>
          <w:fldChar w:fldCharType="separate"/>
        </w:r>
        <w:r w:rsidR="00402074">
          <w:rPr>
            <w:noProof/>
            <w:webHidden/>
          </w:rPr>
          <w:t>149</w:t>
        </w:r>
        <w:r w:rsidR="00C40619">
          <w:rPr>
            <w:noProof/>
            <w:webHidden/>
          </w:rPr>
          <w:fldChar w:fldCharType="end"/>
        </w:r>
      </w:hyperlink>
    </w:p>
    <w:p w14:paraId="12758A34" w14:textId="22A92FA4" w:rsidR="00C40619" w:rsidRDefault="00E84199">
      <w:pPr>
        <w:pStyle w:val="TOC2"/>
        <w:rPr>
          <w:rFonts w:asciiTheme="minorHAnsi" w:eastAsiaTheme="minorEastAsia" w:hAnsiTheme="minorHAnsi" w:cstheme="minorBidi"/>
          <w:b w:val="0"/>
          <w:bCs w:val="0"/>
          <w:noProof/>
          <w:szCs w:val="22"/>
          <w:lang w:val="es-CO" w:eastAsia="es-CO"/>
        </w:rPr>
      </w:pPr>
      <w:hyperlink w:anchor="_Toc517796972" w:history="1">
        <w:r w:rsidR="00C40619" w:rsidRPr="00ED11E6">
          <w:rPr>
            <w:rStyle w:val="Hyperlink"/>
            <w:noProof/>
            <w14:scene3d>
              <w14:camera w14:prst="orthographicFront"/>
              <w14:lightRig w14:rig="threePt" w14:dir="t">
                <w14:rot w14:lat="0" w14:lon="0" w14:rev="0"/>
              </w14:lightRig>
            </w14:scene3d>
          </w:rPr>
          <w:t>2.4</w:t>
        </w:r>
        <w:r w:rsidR="00C40619">
          <w:rPr>
            <w:rFonts w:asciiTheme="minorHAnsi" w:eastAsiaTheme="minorEastAsia" w:hAnsiTheme="minorHAnsi" w:cstheme="minorBidi"/>
            <w:b w:val="0"/>
            <w:bCs w:val="0"/>
            <w:noProof/>
            <w:szCs w:val="22"/>
            <w:lang w:val="es-CO" w:eastAsia="es-CO"/>
          </w:rPr>
          <w:tab/>
        </w:r>
        <w:r w:rsidR="00C40619" w:rsidRPr="00ED11E6">
          <w:rPr>
            <w:rStyle w:val="Hyperlink"/>
            <w:noProof/>
          </w:rPr>
          <w:t>Contributions of indigenous people and local communities to biodiversity and nature’s contributions people</w:t>
        </w:r>
        <w:r w:rsidR="00C40619">
          <w:rPr>
            <w:noProof/>
            <w:webHidden/>
          </w:rPr>
          <w:tab/>
        </w:r>
        <w:r w:rsidR="00C40619">
          <w:rPr>
            <w:noProof/>
            <w:webHidden/>
          </w:rPr>
          <w:fldChar w:fldCharType="begin"/>
        </w:r>
        <w:r w:rsidR="00C40619">
          <w:rPr>
            <w:noProof/>
            <w:webHidden/>
          </w:rPr>
          <w:instrText xml:space="preserve"> PAGEREF _Toc517796972 \h </w:instrText>
        </w:r>
        <w:r w:rsidR="00C40619">
          <w:rPr>
            <w:noProof/>
            <w:webHidden/>
          </w:rPr>
        </w:r>
        <w:r w:rsidR="00C40619">
          <w:rPr>
            <w:noProof/>
            <w:webHidden/>
          </w:rPr>
          <w:fldChar w:fldCharType="separate"/>
        </w:r>
        <w:r w:rsidR="00402074">
          <w:rPr>
            <w:noProof/>
            <w:webHidden/>
          </w:rPr>
          <w:t>151</w:t>
        </w:r>
        <w:r w:rsidR="00C40619">
          <w:rPr>
            <w:noProof/>
            <w:webHidden/>
          </w:rPr>
          <w:fldChar w:fldCharType="end"/>
        </w:r>
      </w:hyperlink>
    </w:p>
    <w:p w14:paraId="4243B14D" w14:textId="60F42DD4" w:rsidR="00C40619" w:rsidRDefault="00E84199">
      <w:pPr>
        <w:pStyle w:val="TOC2"/>
        <w:rPr>
          <w:rFonts w:asciiTheme="minorHAnsi" w:eastAsiaTheme="minorEastAsia" w:hAnsiTheme="minorHAnsi" w:cstheme="minorBidi"/>
          <w:b w:val="0"/>
          <w:bCs w:val="0"/>
          <w:noProof/>
          <w:szCs w:val="22"/>
          <w:lang w:val="es-CO" w:eastAsia="es-CO"/>
        </w:rPr>
      </w:pPr>
      <w:hyperlink w:anchor="_Toc517796973" w:history="1">
        <w:r w:rsidR="00C40619" w:rsidRPr="00ED11E6">
          <w:rPr>
            <w:rStyle w:val="Hyperlink"/>
            <w:noProof/>
            <w14:scene3d>
              <w14:camera w14:prst="orthographicFront"/>
              <w14:lightRig w14:rig="threePt" w14:dir="t">
                <w14:rot w14:lat="0" w14:lon="0" w14:rev="0"/>
              </w14:lightRig>
            </w14:scene3d>
          </w:rPr>
          <w:t>2.5</w:t>
        </w:r>
        <w:r w:rsidR="00C40619">
          <w:rPr>
            <w:rFonts w:asciiTheme="minorHAnsi" w:eastAsiaTheme="minorEastAsia" w:hAnsiTheme="minorHAnsi" w:cstheme="minorBidi"/>
            <w:b w:val="0"/>
            <w:bCs w:val="0"/>
            <w:noProof/>
            <w:szCs w:val="22"/>
            <w:lang w:val="es-CO" w:eastAsia="es-CO"/>
          </w:rPr>
          <w:tab/>
        </w:r>
        <w:r w:rsidR="00C40619" w:rsidRPr="00ED11E6">
          <w:rPr>
            <w:rStyle w:val="Hyperlink"/>
            <w:noProof/>
          </w:rPr>
          <w:t>Addressing access, benefit sharing and values</w:t>
        </w:r>
        <w:r w:rsidR="00C40619">
          <w:rPr>
            <w:noProof/>
            <w:webHidden/>
          </w:rPr>
          <w:tab/>
        </w:r>
        <w:r w:rsidR="00C40619">
          <w:rPr>
            <w:noProof/>
            <w:webHidden/>
          </w:rPr>
          <w:fldChar w:fldCharType="begin"/>
        </w:r>
        <w:r w:rsidR="00C40619">
          <w:rPr>
            <w:noProof/>
            <w:webHidden/>
          </w:rPr>
          <w:instrText xml:space="preserve"> PAGEREF _Toc517796973 \h </w:instrText>
        </w:r>
        <w:r w:rsidR="00C40619">
          <w:rPr>
            <w:noProof/>
            <w:webHidden/>
          </w:rPr>
        </w:r>
        <w:r w:rsidR="00C40619">
          <w:rPr>
            <w:noProof/>
            <w:webHidden/>
          </w:rPr>
          <w:fldChar w:fldCharType="separate"/>
        </w:r>
        <w:r w:rsidR="00402074">
          <w:rPr>
            <w:noProof/>
            <w:webHidden/>
          </w:rPr>
          <w:t>156</w:t>
        </w:r>
        <w:r w:rsidR="00C40619">
          <w:rPr>
            <w:noProof/>
            <w:webHidden/>
          </w:rPr>
          <w:fldChar w:fldCharType="end"/>
        </w:r>
      </w:hyperlink>
    </w:p>
    <w:p w14:paraId="39F5B8F6" w14:textId="00122434"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74" w:history="1">
        <w:r w:rsidR="00C40619" w:rsidRPr="00ED11E6">
          <w:rPr>
            <w:rStyle w:val="Hyperlink"/>
            <w:noProof/>
            <w14:scene3d>
              <w14:camera w14:prst="orthographicFront"/>
              <w14:lightRig w14:rig="threePt" w14:dir="t">
                <w14:rot w14:lat="0" w14:lon="0" w14:rev="0"/>
              </w14:lightRig>
            </w14:scene3d>
          </w:rPr>
          <w:t>2.5.1</w:t>
        </w:r>
        <w:r w:rsidR="00C40619">
          <w:rPr>
            <w:rFonts w:asciiTheme="minorHAnsi" w:eastAsiaTheme="minorEastAsia" w:hAnsiTheme="minorHAnsi" w:cstheme="minorBidi"/>
            <w:noProof/>
            <w:sz w:val="22"/>
            <w:szCs w:val="22"/>
            <w:lang w:val="es-CO" w:eastAsia="es-CO"/>
          </w:rPr>
          <w:tab/>
        </w:r>
        <w:r w:rsidR="00C40619" w:rsidRPr="00ED11E6">
          <w:rPr>
            <w:rStyle w:val="Hyperlink"/>
            <w:noProof/>
          </w:rPr>
          <w:t>Nature’s contributions to people valuations</w:t>
        </w:r>
        <w:r w:rsidR="00C40619">
          <w:rPr>
            <w:noProof/>
            <w:webHidden/>
          </w:rPr>
          <w:tab/>
        </w:r>
        <w:r w:rsidR="00C40619">
          <w:rPr>
            <w:noProof/>
            <w:webHidden/>
          </w:rPr>
          <w:fldChar w:fldCharType="begin"/>
        </w:r>
        <w:r w:rsidR="00C40619">
          <w:rPr>
            <w:noProof/>
            <w:webHidden/>
          </w:rPr>
          <w:instrText xml:space="preserve"> PAGEREF _Toc517796974 \h </w:instrText>
        </w:r>
        <w:r w:rsidR="00C40619">
          <w:rPr>
            <w:noProof/>
            <w:webHidden/>
          </w:rPr>
        </w:r>
        <w:r w:rsidR="00C40619">
          <w:rPr>
            <w:noProof/>
            <w:webHidden/>
          </w:rPr>
          <w:fldChar w:fldCharType="separate"/>
        </w:r>
        <w:r w:rsidR="00402074">
          <w:rPr>
            <w:noProof/>
            <w:webHidden/>
          </w:rPr>
          <w:t>158</w:t>
        </w:r>
        <w:r w:rsidR="00C40619">
          <w:rPr>
            <w:noProof/>
            <w:webHidden/>
          </w:rPr>
          <w:fldChar w:fldCharType="end"/>
        </w:r>
      </w:hyperlink>
    </w:p>
    <w:p w14:paraId="22C58731" w14:textId="03B3765F" w:rsidR="00C40619" w:rsidRDefault="00E84199">
      <w:pPr>
        <w:pStyle w:val="TOC2"/>
        <w:rPr>
          <w:rFonts w:asciiTheme="minorHAnsi" w:eastAsiaTheme="minorEastAsia" w:hAnsiTheme="minorHAnsi" w:cstheme="minorBidi"/>
          <w:b w:val="0"/>
          <w:bCs w:val="0"/>
          <w:noProof/>
          <w:szCs w:val="22"/>
          <w:lang w:val="es-CO" w:eastAsia="es-CO"/>
        </w:rPr>
      </w:pPr>
      <w:hyperlink w:anchor="_Toc517796975" w:history="1">
        <w:r w:rsidR="00C40619" w:rsidRPr="00ED11E6">
          <w:rPr>
            <w:rStyle w:val="Hyperlink"/>
            <w:noProof/>
            <w14:scene3d>
              <w14:camera w14:prst="orthographicFront"/>
              <w14:lightRig w14:rig="threePt" w14:dir="t">
                <w14:rot w14:lat="0" w14:lon="0" w14:rev="0"/>
              </w14:lightRig>
            </w14:scene3d>
          </w:rPr>
          <w:t>2.6</w:t>
        </w:r>
        <w:r w:rsidR="00C40619">
          <w:rPr>
            <w:rFonts w:asciiTheme="minorHAnsi" w:eastAsiaTheme="minorEastAsia" w:hAnsiTheme="minorHAnsi" w:cstheme="minorBidi"/>
            <w:b w:val="0"/>
            <w:bCs w:val="0"/>
            <w:noProof/>
            <w:szCs w:val="22"/>
            <w:lang w:val="es-CO" w:eastAsia="es-CO"/>
          </w:rPr>
          <w:tab/>
        </w:r>
        <w:r w:rsidR="00C40619" w:rsidRPr="00ED11E6">
          <w:rPr>
            <w:rStyle w:val="Hyperlink"/>
            <w:noProof/>
          </w:rPr>
          <w:t>Ecological footprint and biocapacity</w:t>
        </w:r>
        <w:r w:rsidR="00C40619">
          <w:rPr>
            <w:noProof/>
            <w:webHidden/>
          </w:rPr>
          <w:tab/>
        </w:r>
        <w:r w:rsidR="00C40619">
          <w:rPr>
            <w:noProof/>
            <w:webHidden/>
          </w:rPr>
          <w:fldChar w:fldCharType="begin"/>
        </w:r>
        <w:r w:rsidR="00C40619">
          <w:rPr>
            <w:noProof/>
            <w:webHidden/>
          </w:rPr>
          <w:instrText xml:space="preserve"> PAGEREF _Toc517796975 \h </w:instrText>
        </w:r>
        <w:r w:rsidR="00C40619">
          <w:rPr>
            <w:noProof/>
            <w:webHidden/>
          </w:rPr>
        </w:r>
        <w:r w:rsidR="00C40619">
          <w:rPr>
            <w:noProof/>
            <w:webHidden/>
          </w:rPr>
          <w:fldChar w:fldCharType="separate"/>
        </w:r>
        <w:r w:rsidR="00402074">
          <w:rPr>
            <w:noProof/>
            <w:webHidden/>
          </w:rPr>
          <w:t>167</w:t>
        </w:r>
        <w:r w:rsidR="00C40619">
          <w:rPr>
            <w:noProof/>
            <w:webHidden/>
          </w:rPr>
          <w:fldChar w:fldCharType="end"/>
        </w:r>
      </w:hyperlink>
    </w:p>
    <w:p w14:paraId="0EE023C4" w14:textId="43AC8DCB" w:rsidR="00C40619" w:rsidRDefault="00E84199">
      <w:pPr>
        <w:pStyle w:val="TOC2"/>
        <w:rPr>
          <w:rFonts w:asciiTheme="minorHAnsi" w:eastAsiaTheme="minorEastAsia" w:hAnsiTheme="minorHAnsi" w:cstheme="minorBidi"/>
          <w:b w:val="0"/>
          <w:bCs w:val="0"/>
          <w:noProof/>
          <w:szCs w:val="22"/>
          <w:lang w:val="es-CO" w:eastAsia="es-CO"/>
        </w:rPr>
      </w:pPr>
      <w:hyperlink w:anchor="_Toc517796976" w:history="1">
        <w:r w:rsidR="00C40619" w:rsidRPr="00ED11E6">
          <w:rPr>
            <w:rStyle w:val="Hyperlink"/>
            <w:noProof/>
            <w14:scene3d>
              <w14:camera w14:prst="orthographicFront"/>
              <w14:lightRig w14:rig="threePt" w14:dir="t">
                <w14:rot w14:lat="0" w14:lon="0" w14:rev="0"/>
              </w14:lightRig>
            </w14:scene3d>
          </w:rPr>
          <w:t>2.7</w:t>
        </w:r>
        <w:r w:rsidR="00C40619">
          <w:rPr>
            <w:rFonts w:asciiTheme="minorHAnsi" w:eastAsiaTheme="minorEastAsia" w:hAnsiTheme="minorHAnsi" w:cstheme="minorBidi"/>
            <w:b w:val="0"/>
            <w:bCs w:val="0"/>
            <w:noProof/>
            <w:szCs w:val="22"/>
            <w:lang w:val="es-CO" w:eastAsia="es-CO"/>
          </w:rPr>
          <w:tab/>
        </w:r>
        <w:r w:rsidR="00C40619" w:rsidRPr="00ED11E6">
          <w:rPr>
            <w:rStyle w:val="Hyperlink"/>
            <w:noProof/>
          </w:rPr>
          <w:t>Prioritizations and Trade-offs of Nature’s Contributions to People</w:t>
        </w:r>
        <w:r w:rsidR="00C40619">
          <w:rPr>
            <w:noProof/>
            <w:webHidden/>
          </w:rPr>
          <w:tab/>
        </w:r>
        <w:r w:rsidR="00C40619">
          <w:rPr>
            <w:noProof/>
            <w:webHidden/>
          </w:rPr>
          <w:fldChar w:fldCharType="begin"/>
        </w:r>
        <w:r w:rsidR="00C40619">
          <w:rPr>
            <w:noProof/>
            <w:webHidden/>
          </w:rPr>
          <w:instrText xml:space="preserve"> PAGEREF _Toc517796976 \h </w:instrText>
        </w:r>
        <w:r w:rsidR="00C40619">
          <w:rPr>
            <w:noProof/>
            <w:webHidden/>
          </w:rPr>
        </w:r>
        <w:r w:rsidR="00C40619">
          <w:rPr>
            <w:noProof/>
            <w:webHidden/>
          </w:rPr>
          <w:fldChar w:fldCharType="separate"/>
        </w:r>
        <w:r w:rsidR="00402074">
          <w:rPr>
            <w:noProof/>
            <w:webHidden/>
          </w:rPr>
          <w:t>169</w:t>
        </w:r>
        <w:r w:rsidR="00C40619">
          <w:rPr>
            <w:noProof/>
            <w:webHidden/>
          </w:rPr>
          <w:fldChar w:fldCharType="end"/>
        </w:r>
      </w:hyperlink>
    </w:p>
    <w:p w14:paraId="47C8DC30" w14:textId="0AA2EC7A" w:rsidR="00C40619" w:rsidRDefault="00E84199">
      <w:pPr>
        <w:pStyle w:val="TOC2"/>
        <w:rPr>
          <w:rFonts w:asciiTheme="minorHAnsi" w:eastAsiaTheme="minorEastAsia" w:hAnsiTheme="minorHAnsi" w:cstheme="minorBidi"/>
          <w:b w:val="0"/>
          <w:bCs w:val="0"/>
          <w:noProof/>
          <w:szCs w:val="22"/>
          <w:lang w:val="es-CO" w:eastAsia="es-CO"/>
        </w:rPr>
      </w:pPr>
      <w:hyperlink w:anchor="_Toc517796977" w:history="1">
        <w:r w:rsidR="00C40619" w:rsidRPr="00ED11E6">
          <w:rPr>
            <w:rStyle w:val="Hyperlink"/>
            <w:noProof/>
            <w14:scene3d>
              <w14:camera w14:prst="orthographicFront"/>
              <w14:lightRig w14:rig="threePt" w14:dir="t">
                <w14:rot w14:lat="0" w14:lon="0" w14:rev="0"/>
              </w14:lightRig>
            </w14:scene3d>
          </w:rPr>
          <w:t>2.8</w:t>
        </w:r>
        <w:r w:rsidR="00C40619">
          <w:rPr>
            <w:rFonts w:asciiTheme="minorHAnsi" w:eastAsiaTheme="minorEastAsia" w:hAnsiTheme="minorHAnsi" w:cstheme="minorBidi"/>
            <w:b w:val="0"/>
            <w:bCs w:val="0"/>
            <w:noProof/>
            <w:szCs w:val="22"/>
            <w:lang w:val="es-CO" w:eastAsia="es-CO"/>
          </w:rPr>
          <w:tab/>
        </w:r>
        <w:r w:rsidR="00C40619" w:rsidRPr="00ED11E6">
          <w:rPr>
            <w:rStyle w:val="Hyperlink"/>
            <w:noProof/>
          </w:rPr>
          <w:t>Knowledge gaps</w:t>
        </w:r>
        <w:r w:rsidR="00C40619">
          <w:rPr>
            <w:noProof/>
            <w:webHidden/>
          </w:rPr>
          <w:tab/>
        </w:r>
        <w:r w:rsidR="00C40619">
          <w:rPr>
            <w:noProof/>
            <w:webHidden/>
          </w:rPr>
          <w:fldChar w:fldCharType="begin"/>
        </w:r>
        <w:r w:rsidR="00C40619">
          <w:rPr>
            <w:noProof/>
            <w:webHidden/>
          </w:rPr>
          <w:instrText xml:space="preserve"> PAGEREF _Toc517796977 \h </w:instrText>
        </w:r>
        <w:r w:rsidR="00C40619">
          <w:rPr>
            <w:noProof/>
            <w:webHidden/>
          </w:rPr>
        </w:r>
        <w:r w:rsidR="00C40619">
          <w:rPr>
            <w:noProof/>
            <w:webHidden/>
          </w:rPr>
          <w:fldChar w:fldCharType="separate"/>
        </w:r>
        <w:r w:rsidR="00402074">
          <w:rPr>
            <w:noProof/>
            <w:webHidden/>
          </w:rPr>
          <w:t>175</w:t>
        </w:r>
        <w:r w:rsidR="00C40619">
          <w:rPr>
            <w:noProof/>
            <w:webHidden/>
          </w:rPr>
          <w:fldChar w:fldCharType="end"/>
        </w:r>
      </w:hyperlink>
    </w:p>
    <w:p w14:paraId="7FB3E9F0" w14:textId="506A1F3B" w:rsidR="00C40619" w:rsidRDefault="00E84199">
      <w:pPr>
        <w:pStyle w:val="TOC2"/>
        <w:rPr>
          <w:rFonts w:asciiTheme="minorHAnsi" w:eastAsiaTheme="minorEastAsia" w:hAnsiTheme="minorHAnsi" w:cstheme="minorBidi"/>
          <w:b w:val="0"/>
          <w:bCs w:val="0"/>
          <w:noProof/>
          <w:szCs w:val="22"/>
          <w:lang w:val="es-CO" w:eastAsia="es-CO"/>
        </w:rPr>
      </w:pPr>
      <w:hyperlink w:anchor="_Toc517796978" w:history="1">
        <w:r w:rsidR="00C40619" w:rsidRPr="00ED11E6">
          <w:rPr>
            <w:rStyle w:val="Hyperlink"/>
            <w:noProof/>
            <w14:scene3d>
              <w14:camera w14:prst="orthographicFront"/>
              <w14:lightRig w14:rig="threePt" w14:dir="t">
                <w14:rot w14:lat="0" w14:lon="0" w14:rev="0"/>
              </w14:lightRig>
            </w14:scene3d>
          </w:rPr>
          <w:t>2.9</w:t>
        </w:r>
        <w:r w:rsidR="00C40619">
          <w:rPr>
            <w:rFonts w:asciiTheme="minorHAnsi" w:eastAsiaTheme="minorEastAsia" w:hAnsiTheme="minorHAnsi" w:cstheme="minorBidi"/>
            <w:b w:val="0"/>
            <w:bCs w:val="0"/>
            <w:noProof/>
            <w:szCs w:val="22"/>
            <w:lang w:val="es-CO" w:eastAsia="es-CO"/>
          </w:rPr>
          <w:tab/>
        </w:r>
        <w:r w:rsidR="00C40619" w:rsidRPr="00ED11E6">
          <w:rPr>
            <w:rStyle w:val="Hyperlink"/>
            <w:noProof/>
          </w:rPr>
          <w:t>References</w:t>
        </w:r>
        <w:r w:rsidR="00C40619">
          <w:rPr>
            <w:noProof/>
            <w:webHidden/>
          </w:rPr>
          <w:tab/>
        </w:r>
        <w:r w:rsidR="00C40619">
          <w:rPr>
            <w:noProof/>
            <w:webHidden/>
          </w:rPr>
          <w:fldChar w:fldCharType="begin"/>
        </w:r>
        <w:r w:rsidR="00C40619">
          <w:rPr>
            <w:noProof/>
            <w:webHidden/>
          </w:rPr>
          <w:instrText xml:space="preserve"> PAGEREF _Toc517796978 \h </w:instrText>
        </w:r>
        <w:r w:rsidR="00C40619">
          <w:rPr>
            <w:noProof/>
            <w:webHidden/>
          </w:rPr>
        </w:r>
        <w:r w:rsidR="00C40619">
          <w:rPr>
            <w:noProof/>
            <w:webHidden/>
          </w:rPr>
          <w:fldChar w:fldCharType="separate"/>
        </w:r>
        <w:r w:rsidR="00402074">
          <w:rPr>
            <w:noProof/>
            <w:webHidden/>
          </w:rPr>
          <w:t>177</w:t>
        </w:r>
        <w:r w:rsidR="00C40619">
          <w:rPr>
            <w:noProof/>
            <w:webHidden/>
          </w:rPr>
          <w:fldChar w:fldCharType="end"/>
        </w:r>
      </w:hyperlink>
    </w:p>
    <w:p w14:paraId="72311266" w14:textId="6C5983DA" w:rsidR="002B0B9E" w:rsidRPr="008608AA" w:rsidRDefault="002B0B9E" w:rsidP="00735D6C">
      <w:pPr>
        <w:tabs>
          <w:tab w:val="left" w:pos="4082"/>
        </w:tabs>
        <w:rPr>
          <w:b/>
          <w:sz w:val="28"/>
        </w:rPr>
      </w:pPr>
      <w:r w:rsidRPr="008608AA">
        <w:rPr>
          <w:b/>
          <w:sz w:val="28"/>
        </w:rPr>
        <w:fldChar w:fldCharType="end"/>
      </w:r>
      <w:r w:rsidRPr="008608AA">
        <w:rPr>
          <w:b/>
          <w:sz w:val="28"/>
        </w:rPr>
        <w:br w:type="page"/>
      </w:r>
    </w:p>
    <w:p w14:paraId="7FDCCF26" w14:textId="69F9E763" w:rsidR="00A00405" w:rsidRPr="008608AA" w:rsidRDefault="007C0AFD" w:rsidP="00C459D5">
      <w:pPr>
        <w:pStyle w:val="Heading1"/>
      </w:pPr>
      <w:bookmarkStart w:id="588" w:name="_sqyw64" w:colFirst="0" w:colLast="0"/>
      <w:bookmarkStart w:id="589" w:name="_Toc517393238"/>
      <w:bookmarkStart w:id="590" w:name="_Toc517396041"/>
      <w:bookmarkStart w:id="591" w:name="_Toc517396054"/>
      <w:bookmarkStart w:id="592" w:name="_Toc517717333"/>
      <w:bookmarkStart w:id="593" w:name="_Toc517718979"/>
      <w:bookmarkStart w:id="594" w:name="_Toc517726337"/>
      <w:bookmarkStart w:id="595" w:name="_Toc517727247"/>
      <w:bookmarkStart w:id="596" w:name="_Toc517795119"/>
      <w:bookmarkStart w:id="597" w:name="_Toc517796806"/>
      <w:bookmarkStart w:id="598" w:name="_Toc517796850"/>
      <w:bookmarkStart w:id="599" w:name="_Toc517796936"/>
      <w:bookmarkStart w:id="600" w:name="_Toc502927285"/>
      <w:bookmarkStart w:id="601" w:name="_Toc502951121"/>
      <w:bookmarkStart w:id="602" w:name="_Toc502953564"/>
      <w:bookmarkStart w:id="603" w:name="_Toc502954857"/>
      <w:bookmarkStart w:id="604" w:name="_Toc502957664"/>
      <w:bookmarkStart w:id="605" w:name="_Toc502957863"/>
      <w:bookmarkStart w:id="606" w:name="_Toc503293065"/>
      <w:bookmarkStart w:id="607" w:name="_Toc503293661"/>
      <w:bookmarkStart w:id="608" w:name="_Toc503293923"/>
      <w:bookmarkStart w:id="609" w:name="_Toc503863316"/>
      <w:bookmarkStart w:id="610" w:name="_Toc503863544"/>
      <w:bookmarkEnd w:id="588"/>
      <w:r w:rsidRPr="008608AA">
        <w:t>Executive s</w:t>
      </w:r>
      <w:r w:rsidR="00A00405" w:rsidRPr="008608AA">
        <w:t>ummary</w:t>
      </w:r>
      <w:bookmarkEnd w:id="589"/>
      <w:bookmarkEnd w:id="590"/>
      <w:bookmarkEnd w:id="591"/>
      <w:bookmarkEnd w:id="592"/>
      <w:bookmarkEnd w:id="593"/>
      <w:bookmarkEnd w:id="594"/>
      <w:bookmarkEnd w:id="595"/>
      <w:bookmarkEnd w:id="596"/>
      <w:bookmarkEnd w:id="597"/>
      <w:bookmarkEnd w:id="598"/>
      <w:bookmarkEnd w:id="599"/>
    </w:p>
    <w:p w14:paraId="5503F052" w14:textId="5D810408" w:rsidR="00A00405" w:rsidRPr="008608AA" w:rsidRDefault="00A00405" w:rsidP="00B33BD5">
      <w:pPr>
        <w:numPr>
          <w:ilvl w:val="0"/>
          <w:numId w:val="6"/>
        </w:numPr>
        <w:spacing w:after="120"/>
      </w:pPr>
      <w:r w:rsidRPr="008608AA">
        <w:rPr>
          <w:b/>
        </w:rPr>
        <w:t>In the Americas, nature has an exceptional ability to contribute to human quality of life, due to its high biological diversity and productivity</w:t>
      </w:r>
      <w:r w:rsidRPr="008608AA">
        <w:t xml:space="preserve"> (</w:t>
      </w:r>
      <w:r w:rsidRPr="008608AA">
        <w:rPr>
          <w:i/>
        </w:rPr>
        <w:t>well established</w:t>
      </w:r>
      <w:r w:rsidRPr="008608AA">
        <w:t>). Producing 40.5 per cent of the world’s biocapacity, its residents have three times more resources per capita than an average global citizen {2.6, Table 2.24}, but availability and nature’s benefits are not shared equitably among social groups, countries, and subregions {2.5, 2.6, 2.7, Figure 2.36} (</w:t>
      </w:r>
      <w:r w:rsidRPr="008608AA">
        <w:rPr>
          <w:i/>
        </w:rPr>
        <w:t>well established</w:t>
      </w:r>
      <w:r w:rsidRPr="008608AA">
        <w:t xml:space="preserve">). </w:t>
      </w:r>
    </w:p>
    <w:p w14:paraId="13275C06" w14:textId="116B1B75" w:rsidR="00A00405" w:rsidRPr="008608AA" w:rsidRDefault="00A00405" w:rsidP="00B33BD5">
      <w:pPr>
        <w:numPr>
          <w:ilvl w:val="0"/>
          <w:numId w:val="6"/>
        </w:numPr>
        <w:spacing w:after="120"/>
      </w:pPr>
      <w:r w:rsidRPr="008608AA">
        <w:rPr>
          <w:b/>
        </w:rPr>
        <w:t>In the Americas, nature is used more intensively than the global average {2.6}</w:t>
      </w:r>
      <w:r w:rsidRPr="008608AA">
        <w:t>. The region hosts 13 per cent of the planet’s</w:t>
      </w:r>
      <w:r w:rsidR="00BD4834" w:rsidRPr="008608AA">
        <w:t xml:space="preserve"> human population, causing 22.8 per cent</w:t>
      </w:r>
      <w:r w:rsidRPr="008608AA">
        <w:t xml:space="preserve"> of the global ecological footprint; North America accounts for 63 per cent of the America’s total {Table 2.24}. Despite some cultures and lifestyles sustainably managing natural resources and achieving good quality of life in all subregions, the aggregate ecological footprint is u</w:t>
      </w:r>
      <w:r w:rsidR="007C0AFD" w:rsidRPr="008608AA">
        <w:t>nsustainable and has increased two to three</w:t>
      </w:r>
      <w:r w:rsidRPr="008608AA">
        <w:t>-fold since 1960. Patterns vary among countries and subregions {Table 2.24, Figure 2.36}; South America is the only subregion to retain a “reserve” of biocapacity; the others exceed nature’s ability to renew its contributions to human quality of life (</w:t>
      </w:r>
      <w:r w:rsidRPr="008608AA">
        <w:rPr>
          <w:i/>
        </w:rPr>
        <w:t>well established</w:t>
      </w:r>
      <w:r w:rsidRPr="008608AA">
        <w:t>).</w:t>
      </w:r>
    </w:p>
    <w:p w14:paraId="68020AAC" w14:textId="2098A136" w:rsidR="00A00405" w:rsidRPr="00800CE7" w:rsidRDefault="00A00405" w:rsidP="00B33BD5">
      <w:pPr>
        <w:numPr>
          <w:ilvl w:val="0"/>
          <w:numId w:val="6"/>
        </w:numPr>
        <w:spacing w:after="120"/>
      </w:pPr>
      <w:r w:rsidRPr="008608AA">
        <w:rPr>
          <w:b/>
          <w:color w:val="222222"/>
        </w:rPr>
        <w:t>The Americas’ outstanding cultural diversity is highly threatened (</w:t>
      </w:r>
      <w:r w:rsidRPr="008608AA">
        <w:rPr>
          <w:b/>
          <w:i/>
          <w:color w:val="222222"/>
        </w:rPr>
        <w:t>well established</w:t>
      </w:r>
      <w:r w:rsidRPr="008608AA">
        <w:rPr>
          <w:b/>
          <w:color w:val="222222"/>
        </w:rPr>
        <w:t>).</w:t>
      </w:r>
      <w:r w:rsidRPr="008608AA">
        <w:rPr>
          <w:color w:val="222222"/>
        </w:rPr>
        <w:t xml:space="preserve"> While the region hosts 15 per cent of the world’s languages, 61 per cent of this linguistic diversity (and associated cultures) is in troub</w:t>
      </w:r>
      <w:r w:rsidR="00C93299" w:rsidRPr="008608AA">
        <w:rPr>
          <w:color w:val="222222"/>
        </w:rPr>
        <w:t>le or dying {Table 2.1}. Major i</w:t>
      </w:r>
      <w:r w:rsidRPr="008608AA">
        <w:rPr>
          <w:color w:val="222222"/>
        </w:rPr>
        <w:t>nd</w:t>
      </w:r>
      <w:r w:rsidR="00C93299" w:rsidRPr="008608AA">
        <w:rPr>
          <w:color w:val="222222"/>
        </w:rPr>
        <w:t>igenous and local k</w:t>
      </w:r>
      <w:r w:rsidR="004D2115" w:rsidRPr="008608AA">
        <w:rPr>
          <w:color w:val="222222"/>
        </w:rPr>
        <w:t xml:space="preserve">nowledge </w:t>
      </w:r>
      <w:r w:rsidR="00413B11" w:rsidRPr="008608AA">
        <w:rPr>
          <w:color w:val="222222"/>
        </w:rPr>
        <w:t>systems (e.g.</w:t>
      </w:r>
      <w:r w:rsidRPr="008608AA">
        <w:rPr>
          <w:color w:val="222222"/>
        </w:rPr>
        <w:t xml:space="preserve"> in the central Andes and the Arctic) have shown their capacity to wisely manage territories based on particular values, technologies and practices, despite globalization processes {2.4} (</w:t>
      </w:r>
      <w:r w:rsidRPr="008608AA">
        <w:rPr>
          <w:i/>
          <w:color w:val="222222"/>
        </w:rPr>
        <w:t>well established</w:t>
      </w:r>
      <w:r w:rsidRPr="008608AA">
        <w:rPr>
          <w:color w:val="222222"/>
        </w:rPr>
        <w:t xml:space="preserve">). The Americas’ diversity of cultures, including </w:t>
      </w:r>
      <w:r w:rsidRPr="00800CE7">
        <w:t xml:space="preserve">those arising from its immigrants, provide opportunities to develop sustainable practices and respect for nature. </w:t>
      </w:r>
    </w:p>
    <w:p w14:paraId="3160670A" w14:textId="7B8F53FA" w:rsidR="00A00405" w:rsidRPr="00800CE7" w:rsidRDefault="00A00405" w:rsidP="00B33BD5">
      <w:pPr>
        <w:numPr>
          <w:ilvl w:val="0"/>
          <w:numId w:val="6"/>
        </w:numPr>
        <w:spacing w:after="120"/>
      </w:pPr>
      <w:r w:rsidRPr="00800CE7">
        <w:rPr>
          <w:b/>
        </w:rPr>
        <w:t>Food production is increasing in the Americas and is important for food security from local to global scales. Large-scale agriculture often replaces natural ecosystems with simpler o</w:t>
      </w:r>
      <w:r w:rsidR="008D41BB" w:rsidRPr="00800CE7">
        <w:rPr>
          <w:b/>
        </w:rPr>
        <w:t>nes, converting multiple nature’</w:t>
      </w:r>
      <w:r w:rsidRPr="00800CE7">
        <w:rPr>
          <w:b/>
        </w:rPr>
        <w:t>s contributions to peop</w:t>
      </w:r>
      <w:r w:rsidR="004D2115" w:rsidRPr="00800CE7">
        <w:rPr>
          <w:b/>
        </w:rPr>
        <w:t>le</w:t>
      </w:r>
      <w:r w:rsidRPr="00800CE7">
        <w:rPr>
          <w:b/>
        </w:rPr>
        <w:t xml:space="preserve"> and diverse live</w:t>
      </w:r>
      <w:r w:rsidR="004D2115" w:rsidRPr="00800CE7">
        <w:rPr>
          <w:b/>
        </w:rPr>
        <w:t>lihoods to one or many fewer nature</w:t>
      </w:r>
      <w:r w:rsidR="008D41BB" w:rsidRPr="00800CE7">
        <w:rPr>
          <w:b/>
        </w:rPr>
        <w:t>’s</w:t>
      </w:r>
      <w:r w:rsidR="004D2115" w:rsidRPr="00800CE7">
        <w:rPr>
          <w:b/>
        </w:rPr>
        <w:t xml:space="preserve"> contributions to people</w:t>
      </w:r>
      <w:r w:rsidRPr="00800CE7">
        <w:rPr>
          <w:b/>
        </w:rPr>
        <w:t xml:space="preserve"> or stakeholders. </w:t>
      </w:r>
      <w:r w:rsidRPr="00800CE7">
        <w:t>Since 1960, crop production increased, except in the Caribbean. Natural habitat conversion and increased land productivity improved efforts to satisfy human demands for meat, crops and other commodities {2.2.1} at the expense of reduced biodiversity. This improved incomes for many rural people, while marginalizing others {</w:t>
      </w:r>
      <w:r w:rsidR="00847F60" w:rsidRPr="00800CE7">
        <w:t>e.g.</w:t>
      </w:r>
      <w:r w:rsidRPr="00800CE7">
        <w:t xml:space="preserve"> Box 2.3}. Indigenous people</w:t>
      </w:r>
      <w:r w:rsidR="00C93299" w:rsidRPr="00800CE7">
        <w:t>s</w:t>
      </w:r>
      <w:r w:rsidRPr="00800CE7">
        <w:t xml:space="preserve"> and local communities have millennial polyculture and agroforestry systems that provide livelihoods, maintain biodiversity and shape landscapes {2.4} (</w:t>
      </w:r>
      <w:r w:rsidRPr="00800CE7">
        <w:rPr>
          <w:i/>
        </w:rPr>
        <w:t>well established</w:t>
      </w:r>
      <w:r w:rsidRPr="00800CE7">
        <w:t>).</w:t>
      </w:r>
    </w:p>
    <w:p w14:paraId="5A5DBC74" w14:textId="584D7603" w:rsidR="00A00405" w:rsidRPr="00800CE7" w:rsidRDefault="00A00405" w:rsidP="00B33BD5">
      <w:pPr>
        <w:numPr>
          <w:ilvl w:val="0"/>
          <w:numId w:val="6"/>
        </w:numPr>
        <w:spacing w:after="120"/>
      </w:pPr>
      <w:r w:rsidRPr="00800CE7">
        <w:rPr>
          <w:b/>
        </w:rPr>
        <w:t xml:space="preserve">The region has largely overcome food insecurity, but disparities persist among countries and subregions. Hunger remains a problem and obesity is increasing. </w:t>
      </w:r>
      <w:r w:rsidRPr="00800CE7">
        <w:t>Undernou</w:t>
      </w:r>
      <w:r w:rsidR="004D2115" w:rsidRPr="00800CE7">
        <w:t xml:space="preserve">rishment affects more than </w:t>
      </w:r>
      <w:r w:rsidRPr="00800CE7">
        <w:t>40 million people in Mesoamerica and South America, and 3.6 million face severe food insecurity in North America {2.3.1}. In Latin America and the Caribbean, undernourishment declined from 14.7 per cent of the popu</w:t>
      </w:r>
      <w:r w:rsidR="00BD4834" w:rsidRPr="00800CE7">
        <w:t>lation between 1990 and 1992 to 5.5 per cent</w:t>
      </w:r>
      <w:r w:rsidRPr="00800CE7">
        <w:t xml:space="preserve"> </w:t>
      </w:r>
      <w:r w:rsidR="00BD4834" w:rsidRPr="00800CE7">
        <w:t>between 2014 and 20</w:t>
      </w:r>
      <w:r w:rsidRPr="00800CE7">
        <w:t>16 {2.3.1}, while obesity greatl</w:t>
      </w:r>
      <w:r w:rsidR="004D2115" w:rsidRPr="00800CE7">
        <w:t xml:space="preserve">y increased in all subregions (more than </w:t>
      </w:r>
      <w:r w:rsidRPr="00800CE7">
        <w:t>30 per cent o</w:t>
      </w:r>
      <w:r w:rsidR="004D2115" w:rsidRPr="00800CE7">
        <w:t xml:space="preserve">f adults in North America, and more than </w:t>
      </w:r>
      <w:r w:rsidRPr="00800CE7">
        <w:t>20 per cent elsewhere) {2.3.1} (</w:t>
      </w:r>
      <w:r w:rsidRPr="00800CE7">
        <w:rPr>
          <w:i/>
        </w:rPr>
        <w:t>well established</w:t>
      </w:r>
      <w:r w:rsidRPr="00800CE7">
        <w:t>). Nutrition indicator improvements are associated with good economic performance, increased food/feed productivity {2.2.1}, but also social policies, and is not merely a result of per capita Gross Domestic Product (</w:t>
      </w:r>
      <w:r w:rsidRPr="00800CE7">
        <w:rPr>
          <w:i/>
        </w:rPr>
        <w:t>established, but incomplete</w:t>
      </w:r>
      <w:r w:rsidRPr="00800CE7">
        <w:t xml:space="preserve">). </w:t>
      </w:r>
    </w:p>
    <w:p w14:paraId="59139577" w14:textId="3C8835C5" w:rsidR="00A00405" w:rsidRPr="008608AA" w:rsidRDefault="00A00405" w:rsidP="00B33BD5">
      <w:pPr>
        <w:numPr>
          <w:ilvl w:val="0"/>
          <w:numId w:val="6"/>
        </w:numPr>
        <w:spacing w:after="120"/>
      </w:pPr>
      <w:r w:rsidRPr="00800CE7">
        <w:rPr>
          <w:b/>
        </w:rPr>
        <w:t>Regionally, freshwater is abundant, but areas affected by water scarcity are increasing. Water ins</w:t>
      </w:r>
      <w:r w:rsidR="004D2115" w:rsidRPr="00800CE7">
        <w:rPr>
          <w:b/>
        </w:rPr>
        <w:t xml:space="preserve">ecurity affects more than </w:t>
      </w:r>
      <w:r w:rsidRPr="00800CE7">
        <w:rPr>
          <w:b/>
        </w:rPr>
        <w:t xml:space="preserve">50 per cent of the region’s </w:t>
      </w:r>
      <w:r w:rsidRPr="008608AA">
        <w:rPr>
          <w:b/>
        </w:rPr>
        <w:t>population (</w:t>
      </w:r>
      <w:r w:rsidRPr="008608AA">
        <w:rPr>
          <w:b/>
          <w:i/>
        </w:rPr>
        <w:t>well established</w:t>
      </w:r>
      <w:r w:rsidRPr="008608AA">
        <w:rPr>
          <w:b/>
        </w:rPr>
        <w:t>)</w:t>
      </w:r>
      <w:r w:rsidRPr="008608AA">
        <w:t xml:space="preserve">. </w:t>
      </w:r>
      <w:r w:rsidRPr="008608AA">
        <w:rPr>
          <w:b/>
        </w:rPr>
        <w:t>Imports of “virtual water,” in food and other commodities, from water-rich areas helps offset scarcity, but at the expense of environmental damage, like dead zones in the Gulf of Mexico from pollution and agrochemicals (</w:t>
      </w:r>
      <w:r w:rsidR="000F2D6F" w:rsidRPr="008608AA">
        <w:rPr>
          <w:b/>
          <w:i/>
        </w:rPr>
        <w:t>established</w:t>
      </w:r>
      <w:r w:rsidRPr="008608AA">
        <w:rPr>
          <w:b/>
          <w:i/>
        </w:rPr>
        <w:t xml:space="preserve"> but incomplete</w:t>
      </w:r>
      <w:r w:rsidRPr="008608AA">
        <w:rPr>
          <w:b/>
        </w:rPr>
        <w:t>).</w:t>
      </w:r>
      <w:r w:rsidRPr="008608AA">
        <w:t xml:space="preserve"> Per capita freshw</w:t>
      </w:r>
      <w:r w:rsidR="004D2115" w:rsidRPr="008608AA">
        <w:t xml:space="preserve">ater availability decreased by around </w:t>
      </w:r>
      <w:r w:rsidRPr="008608AA">
        <w:t>50 per cent in 50 years due to population increases {2.2.10, Figure 2.19}. Management improvements provide more people access to clean water but may reduce water supply to ecosystems {Figure 2.29} (</w:t>
      </w:r>
      <w:r w:rsidRPr="008608AA">
        <w:rPr>
          <w:i/>
        </w:rPr>
        <w:t>well established</w:t>
      </w:r>
      <w:r w:rsidRPr="008608AA">
        <w:t>).</w:t>
      </w:r>
      <w:r w:rsidRPr="008608AA">
        <w:rPr>
          <w:i/>
        </w:rPr>
        <w:t xml:space="preserve"> </w:t>
      </w:r>
      <w:r w:rsidRPr="008608AA">
        <w:t>Non-consumptive use by industry is the largest beneficiary in North America, while agriculture is first in other subregions. Mesoame</w:t>
      </w:r>
      <w:r w:rsidR="00BD4834" w:rsidRPr="008608AA">
        <w:t xml:space="preserve">rica and South America consume less than </w:t>
      </w:r>
      <w:r w:rsidRPr="008608AA">
        <w:t>10 per cent of the global wa</w:t>
      </w:r>
      <w:r w:rsidR="004D2115" w:rsidRPr="008608AA">
        <w:t xml:space="preserve">ter budget; North America uses around </w:t>
      </w:r>
      <w:r w:rsidR="00BD4834" w:rsidRPr="008608AA">
        <w:t xml:space="preserve">15 to </w:t>
      </w:r>
      <w:r w:rsidRPr="008608AA">
        <w:t>20 per cent</w:t>
      </w:r>
      <w:r w:rsidR="00BD4834" w:rsidRPr="008608AA">
        <w:t xml:space="preserve"> (more than three times</w:t>
      </w:r>
      <w:r w:rsidRPr="008608AA">
        <w:t xml:space="preserve"> regional per capita use), but its water withdrawals are declining {2.3.2} (</w:t>
      </w:r>
      <w:r w:rsidR="000F2D6F" w:rsidRPr="008608AA">
        <w:rPr>
          <w:i/>
        </w:rPr>
        <w:t>established</w:t>
      </w:r>
      <w:r w:rsidRPr="008608AA">
        <w:rPr>
          <w:i/>
        </w:rPr>
        <w:t xml:space="preserve"> but incomplete</w:t>
      </w:r>
      <w:r w:rsidRPr="008608AA">
        <w:t xml:space="preserve">). </w:t>
      </w:r>
    </w:p>
    <w:p w14:paraId="5F59E293" w14:textId="4A2B56B1" w:rsidR="00A00405" w:rsidRPr="008608AA" w:rsidRDefault="00A00405" w:rsidP="00B33BD5">
      <w:pPr>
        <w:numPr>
          <w:ilvl w:val="0"/>
          <w:numId w:val="6"/>
        </w:numPr>
        <w:spacing w:after="120"/>
      </w:pPr>
      <w:r w:rsidRPr="008608AA">
        <w:rPr>
          <w:b/>
          <w:color w:val="222222"/>
        </w:rPr>
        <w:t xml:space="preserve">Energy produced from biodiversity (wood, biofuels) and hydropower increased regionally, contributing to energy security. Large-scale bio-energy production has trade-offs with food production and biodiversity, affecting local populations that depend on nature for livelihoods.  </w:t>
      </w:r>
      <w:r w:rsidRPr="008608AA">
        <w:t xml:space="preserve">In about one third of countries, 100 per cent of people have access to electric power; in the rest at least 80 per cent have access (except one country). Only 11 countries depend on renewable energy (hydro, solar, wind and biomass-based energy) for more than 60 per cent of their electricity {Table 2.6}. Biofuels are increasingly important in South and North America’s energy matrix with </w:t>
      </w:r>
      <w:r w:rsidR="000338BC" w:rsidRPr="008608AA">
        <w:t>the United States of America</w:t>
      </w:r>
      <w:r w:rsidRPr="008608AA">
        <w:t xml:space="preserve"> and Brazil leading the world in ethanol production. Fuelwood is important for cooking, heating and lighting in localities with little or no access to electricity {2.3.3}. In North America, wood fuel is mostly for industrial use, whereas in South and Mesoamerica it is used in households {2.2.3} (</w:t>
      </w:r>
      <w:r w:rsidRPr="008608AA">
        <w:rPr>
          <w:i/>
        </w:rPr>
        <w:t>well established</w:t>
      </w:r>
      <w:r w:rsidRPr="008608AA">
        <w:t xml:space="preserve">). </w:t>
      </w:r>
    </w:p>
    <w:p w14:paraId="16561445" w14:textId="7B0B375C" w:rsidR="00A00405" w:rsidRPr="008608AA" w:rsidRDefault="00A00405" w:rsidP="00B33BD5">
      <w:pPr>
        <w:numPr>
          <w:ilvl w:val="0"/>
          <w:numId w:val="6"/>
        </w:numPr>
        <w:spacing w:after="120"/>
      </w:pPr>
      <w:r w:rsidRPr="008608AA">
        <w:rPr>
          <w:b/>
        </w:rPr>
        <w:t xml:space="preserve">Human health depends directly and indirectly on nature. Biodiversity is a source of medicinal plants and animals, and chemodiversity with high potential economic value for pharmacological products. </w:t>
      </w:r>
      <w:r w:rsidRPr="008608AA">
        <w:t>Medicinal and aromatic plants</w:t>
      </w:r>
      <w:r w:rsidR="00BD4834" w:rsidRPr="008608AA">
        <w:t xml:space="preserve"> in the Americas are valued at around </w:t>
      </w:r>
      <w:r w:rsidRPr="008608AA">
        <w:t>$2 billion per year in 2016 dollars, and international trade is expanding {2.2.4} (</w:t>
      </w:r>
      <w:r w:rsidRPr="008608AA">
        <w:rPr>
          <w:i/>
        </w:rPr>
        <w:t>well established</w:t>
      </w:r>
      <w:r w:rsidRPr="008608AA">
        <w:t xml:space="preserve">). Experiencing nature and other non-material </w:t>
      </w:r>
      <w:r w:rsidR="008D41BB" w:rsidRPr="008608AA">
        <w:t>nature</w:t>
      </w:r>
      <w:r w:rsidR="00BF1E76" w:rsidRPr="008608AA">
        <w:t>’s</w:t>
      </w:r>
      <w:r w:rsidR="008D41BB" w:rsidRPr="008608AA">
        <w:t xml:space="preserve"> contributions to people</w:t>
      </w:r>
      <w:r w:rsidRPr="008608AA">
        <w:t xml:space="preserve"> positively affect mental and physical health. Urban green spaces can decrease obesity in inner-city minority youth, and access to nature affects the recuperation of cancer survivors and the well-being of elderly disabled people {2.2.5, 2.3.5}. In addition, nature regulates pests and diseases and environmental quality. Ecosystem degradation, including biodiversity loss, can increase incidence</w:t>
      </w:r>
      <w:r w:rsidR="008D41BB" w:rsidRPr="008608AA">
        <w:t xml:space="preserve"> of vector-borne maladies like Lyme disease, dengue fever and Z</w:t>
      </w:r>
      <w:r w:rsidRPr="008608AA">
        <w:t>ika virus {2.2.</w:t>
      </w:r>
      <w:r w:rsidR="00BD4834" w:rsidRPr="008608AA">
        <w:t xml:space="preserve">15}. Plus, over 8,000 children under the age of </w:t>
      </w:r>
      <w:r w:rsidR="005F718F" w:rsidRPr="008608AA">
        <w:t>five</w:t>
      </w:r>
      <w:r w:rsidRPr="008608AA">
        <w:t xml:space="preserve"> years-old die annually in the Americas due to water-related diarrhea {2.2.11} (</w:t>
      </w:r>
      <w:r w:rsidRPr="008608AA">
        <w:rPr>
          <w:i/>
        </w:rPr>
        <w:t>well established</w:t>
      </w:r>
      <w:r w:rsidRPr="008608AA">
        <w:t xml:space="preserve">). </w:t>
      </w:r>
    </w:p>
    <w:p w14:paraId="7F545FFF" w14:textId="6228CCEB" w:rsidR="00A00405" w:rsidRPr="008608AA" w:rsidRDefault="00A00405" w:rsidP="00B33BD5">
      <w:pPr>
        <w:numPr>
          <w:ilvl w:val="0"/>
          <w:numId w:val="6"/>
        </w:numPr>
        <w:spacing w:after="120"/>
      </w:pPr>
      <w:r w:rsidRPr="008608AA">
        <w:rPr>
          <w:b/>
        </w:rPr>
        <w:t>Comprehensively evaluating how</w:t>
      </w:r>
      <w:r w:rsidR="00BD4834" w:rsidRPr="008608AA">
        <w:rPr>
          <w:b/>
        </w:rPr>
        <w:t xml:space="preserve"> </w:t>
      </w:r>
      <w:r w:rsidR="00BF1E76" w:rsidRPr="008608AA">
        <w:rPr>
          <w:b/>
        </w:rPr>
        <w:t xml:space="preserve">nature’s </w:t>
      </w:r>
      <w:r w:rsidR="00BD4834" w:rsidRPr="008608AA">
        <w:rPr>
          <w:b/>
        </w:rPr>
        <w:t>contributions to people</w:t>
      </w:r>
      <w:r w:rsidRPr="008608AA">
        <w:rPr>
          <w:b/>
        </w:rPr>
        <w:t xml:space="preserve"> support good quality of life requires assessing the multiple values and value systems that underlie humans’ relationships with nature (2.5.1, Table 2.15, Table 2.21)</w:t>
      </w:r>
      <w:r w:rsidRPr="008608AA">
        <w:t xml:space="preserve">. For example, food and feed can be evaluated relative to their biophysical metrics, like species richness or land cover occupied by biodiversity used as food {2.2.1}. However, edible biodiversity has health effects that can be positive (malnutrition has decreased in the last decades in the Americas) </w:t>
      </w:r>
      <w:r w:rsidR="00337A10" w:rsidRPr="008608AA">
        <w:t xml:space="preserve">{2.3.1} </w:t>
      </w:r>
      <w:r w:rsidRPr="008608AA">
        <w:t>or negative (agriculture-related pollution)</w:t>
      </w:r>
      <w:r w:rsidR="00337A10" w:rsidRPr="008608AA">
        <w:t xml:space="preserve"> {2.2.1}</w:t>
      </w:r>
      <w:r w:rsidRPr="008608AA">
        <w:t>; and also relates to meaningful socio-cultural practices and nature-based livelihoods {2.2.1, 2.2.6, 2.3.5, 2.4} (</w:t>
      </w:r>
      <w:r w:rsidRPr="008608AA">
        <w:rPr>
          <w:i/>
        </w:rPr>
        <w:t>well established</w:t>
      </w:r>
      <w:r w:rsidRPr="008608AA">
        <w:t>).</w:t>
      </w:r>
    </w:p>
    <w:p w14:paraId="62F3BE09" w14:textId="6847EF79" w:rsidR="00A00405" w:rsidRPr="008608AA" w:rsidRDefault="00A00405" w:rsidP="00B33BD5">
      <w:pPr>
        <w:numPr>
          <w:ilvl w:val="0"/>
          <w:numId w:val="6"/>
        </w:numPr>
        <w:spacing w:after="120"/>
      </w:pPr>
      <w:r w:rsidRPr="008608AA">
        <w:rPr>
          <w:b/>
        </w:rPr>
        <w:t xml:space="preserve">When economic values are assessed, the Americas’ terrestrial </w:t>
      </w:r>
      <w:r w:rsidR="008D41BB" w:rsidRPr="008608AA">
        <w:rPr>
          <w:b/>
        </w:rPr>
        <w:t>nature contributions to people</w:t>
      </w:r>
      <w:r w:rsidRPr="008608AA">
        <w:rPr>
          <w:b/>
        </w:rPr>
        <w:t xml:space="preserve"> are equivalent to its Gross Domestic Product.</w:t>
      </w:r>
      <w:r w:rsidRPr="008608AA">
        <w:t xml:space="preserve"> The regional monetary value of terrestrial ecosystem services is estimated at $24.3 trillion per year, similar to the region’s $25.3 trillion Gross Domestic Product (2011 values). Brazil, </w:t>
      </w:r>
      <w:r w:rsidR="000338BC" w:rsidRPr="008608AA">
        <w:t xml:space="preserve">the United States of America </w:t>
      </w:r>
      <w:r w:rsidRPr="008608AA">
        <w:t xml:space="preserve">and Canada accounted for the largest monetary values ($6.8, $5.3 and $3.6 trillion per year, respectively). Antigua and Barbuda, The Bahamas, and Saint Vincent and the Grenadines had the highest values per area ($22, $21 and $18 thousand per </w:t>
      </w:r>
      <w:r w:rsidR="004F4EC8" w:rsidRPr="008608AA">
        <w:t>hectares</w:t>
      </w:r>
      <w:r w:rsidR="003532C4" w:rsidRPr="008608AA">
        <w:t xml:space="preserve"> </w:t>
      </w:r>
      <w:r w:rsidRPr="008608AA">
        <w:t>per year, respectively). Countries’ size and the monetary value of specific ecosystem types cause these differences; biomes like coastal wetlands and rainforests having particularly high economic values {2.5.1, Table 2.22, 2.23} (</w:t>
      </w:r>
      <w:r w:rsidRPr="008608AA">
        <w:rPr>
          <w:i/>
        </w:rPr>
        <w:t>established, but incomplete</w:t>
      </w:r>
      <w:r w:rsidRPr="008608AA">
        <w:t>).</w:t>
      </w:r>
    </w:p>
    <w:p w14:paraId="3BCE379C" w14:textId="33CAC328" w:rsidR="00A00405" w:rsidRPr="008608AA" w:rsidRDefault="00A00405" w:rsidP="00B33BD5">
      <w:pPr>
        <w:numPr>
          <w:ilvl w:val="0"/>
          <w:numId w:val="6"/>
        </w:numPr>
        <w:spacing w:after="120"/>
      </w:pPr>
      <w:r w:rsidRPr="008608AA">
        <w:rPr>
          <w:b/>
        </w:rPr>
        <w:t>Value plurality in the Americas shapes use, management and conservation of nature {2.1.2, 2.5}.</w:t>
      </w:r>
      <w:r w:rsidRPr="008608AA">
        <w:rPr>
          <w:b/>
          <w:color w:val="538135"/>
        </w:rPr>
        <w:t xml:space="preserve"> </w:t>
      </w:r>
      <w:r w:rsidRPr="008608AA">
        <w:rPr>
          <w:b/>
        </w:rPr>
        <w:t>Governance processes and tools, like prioritization and cost-benefit analysis, need to take into account multiple values {2.5.1, 2.7} (</w:t>
      </w:r>
      <w:r w:rsidRPr="008608AA">
        <w:rPr>
          <w:b/>
          <w:i/>
        </w:rPr>
        <w:t>established but incomplete</w:t>
      </w:r>
      <w:r w:rsidRPr="008608AA">
        <w:rPr>
          <w:b/>
        </w:rPr>
        <w:t xml:space="preserve">). </w:t>
      </w:r>
      <w:r w:rsidRPr="008608AA">
        <w:t xml:space="preserve">Doing so helps ensure </w:t>
      </w:r>
      <w:r w:rsidR="008D41BB" w:rsidRPr="008608AA">
        <w:t>nature´s contributions to people</w:t>
      </w:r>
      <w:r w:rsidRPr="008608AA">
        <w:t xml:space="preserve"> are prioritized in policy interventions to achieve specific sustainable development goals {Figure 2.37}. While it is clear that some material </w:t>
      </w:r>
      <w:r w:rsidR="005F718F" w:rsidRPr="008608AA">
        <w:t>nature’s contributions to people</w:t>
      </w:r>
      <w:r w:rsidRPr="008608AA">
        <w:t>, like food and e</w:t>
      </w:r>
      <w:r w:rsidR="00585EAD" w:rsidRPr="008608AA">
        <w:t>nergy, are crucial to overcome Sustainable Development G</w:t>
      </w:r>
      <w:r w:rsidRPr="008608AA">
        <w:t>oals</w:t>
      </w:r>
      <w:r w:rsidR="00A175AC" w:rsidRPr="008608AA">
        <w:t xml:space="preserve"> 1 and 2 (no p</w:t>
      </w:r>
      <w:r w:rsidRPr="008608AA">
        <w:t>o</w:t>
      </w:r>
      <w:r w:rsidR="00A175AC" w:rsidRPr="008608AA">
        <w:t>verty and zero h</w:t>
      </w:r>
      <w:r w:rsidRPr="008608AA">
        <w:t xml:space="preserve">unger), it is evident that the values plurality involved in quality of life from non-material </w:t>
      </w:r>
      <w:r w:rsidR="00BF1E76" w:rsidRPr="008608AA">
        <w:t>nature’s contributions to people</w:t>
      </w:r>
      <w:r w:rsidR="005F718F" w:rsidRPr="008608AA">
        <w:t xml:space="preserve"> (learning and i</w:t>
      </w:r>
      <w:r w:rsidRPr="008608AA">
        <w:t xml:space="preserve">nspiration), and transversal </w:t>
      </w:r>
      <w:r w:rsidR="00BF1E76" w:rsidRPr="008608AA">
        <w:t>nature’s contributions to people (maintenance of o</w:t>
      </w:r>
      <w:r w:rsidRPr="008608AA">
        <w:t xml:space="preserve">ptions) are equally important {2.7, Table 2.25}. </w:t>
      </w:r>
    </w:p>
    <w:p w14:paraId="71383B6D" w14:textId="0F7AC59E" w:rsidR="00A00405" w:rsidRPr="008608AA" w:rsidRDefault="00A00405" w:rsidP="00B33BD5">
      <w:pPr>
        <w:numPr>
          <w:ilvl w:val="0"/>
          <w:numId w:val="6"/>
        </w:numPr>
        <w:spacing w:after="120"/>
      </w:pPr>
      <w:r w:rsidRPr="008608AA">
        <w:rPr>
          <w:b/>
        </w:rPr>
        <w:t xml:space="preserve">Nature-based livelihoods, like fishers, farmers, loggers, ecotourism, depend on material </w:t>
      </w:r>
      <w:r w:rsidR="00BF1E76" w:rsidRPr="008608AA">
        <w:rPr>
          <w:b/>
        </w:rPr>
        <w:t>nature’s contributions to people</w:t>
      </w:r>
      <w:r w:rsidR="005F718F" w:rsidRPr="008608AA">
        <w:rPr>
          <w:b/>
        </w:rPr>
        <w:t xml:space="preserve"> (e.g.</w:t>
      </w:r>
      <w:r w:rsidRPr="008608AA">
        <w:rPr>
          <w:b/>
        </w:rPr>
        <w:t xml:space="preserve"> food) with high economic value that are quantified in national accounting, non-material </w:t>
      </w:r>
      <w:r w:rsidR="00BF1E76" w:rsidRPr="008608AA">
        <w:rPr>
          <w:b/>
        </w:rPr>
        <w:t xml:space="preserve">nature’s contributions to people </w:t>
      </w:r>
      <w:r w:rsidRPr="008608AA">
        <w:rPr>
          <w:b/>
        </w:rPr>
        <w:t xml:space="preserve">that provide learning and experiences and support identities, as well as regulating </w:t>
      </w:r>
      <w:r w:rsidR="00BF1E76" w:rsidRPr="008608AA">
        <w:rPr>
          <w:b/>
        </w:rPr>
        <w:t xml:space="preserve">nature’s contributions to people </w:t>
      </w:r>
      <w:r w:rsidRPr="008608AA">
        <w:rPr>
          <w:b/>
        </w:rPr>
        <w:t xml:space="preserve">that control disasters and disease. </w:t>
      </w:r>
      <w:r w:rsidRPr="008608AA">
        <w:t xml:space="preserve">As the Americas’ population becomes increasingly urban, trade-offs between city dwellers and rural residents mean that decision-making power rests with those who have a less direct relationship to nature for their livelihoods </w:t>
      </w:r>
      <w:r w:rsidR="001D1E97" w:rsidRPr="008608AA">
        <w:t xml:space="preserve">{2.1.1, 2.2.1.3, 2.3.1, 2.3.5, 2.5.1} </w:t>
      </w:r>
      <w:r w:rsidRPr="008608AA">
        <w:t>(</w:t>
      </w:r>
      <w:r w:rsidRPr="008608AA">
        <w:rPr>
          <w:i/>
        </w:rPr>
        <w:t>well established</w:t>
      </w:r>
      <w:r w:rsidRPr="008608AA">
        <w:t>).</w:t>
      </w:r>
      <w:r w:rsidRPr="008608AA">
        <w:rPr>
          <w:i/>
        </w:rPr>
        <w:t xml:space="preserve"> </w:t>
      </w:r>
    </w:p>
    <w:p w14:paraId="154CCA0C" w14:textId="3ECC891B" w:rsidR="00A00405" w:rsidRPr="008608AA" w:rsidRDefault="00A00405" w:rsidP="00B33BD5">
      <w:pPr>
        <w:numPr>
          <w:ilvl w:val="0"/>
          <w:numId w:val="6"/>
        </w:numPr>
        <w:spacing w:after="120"/>
      </w:pPr>
      <w:r w:rsidRPr="008608AA">
        <w:rPr>
          <w:b/>
        </w:rPr>
        <w:t xml:space="preserve">While protected areas help ensure </w:t>
      </w:r>
      <w:r w:rsidR="00BF1E76" w:rsidRPr="008608AA">
        <w:rPr>
          <w:b/>
        </w:rPr>
        <w:t>nature’s contributions to people</w:t>
      </w:r>
      <w:r w:rsidRPr="008608AA">
        <w:rPr>
          <w:b/>
        </w:rPr>
        <w:t xml:space="preserve">, nature’s benefits also can be enhanced within human-dominated landscapes. Multifunctional landscapes contribute diverse </w:t>
      </w:r>
      <w:r w:rsidR="00BF1E76" w:rsidRPr="008608AA">
        <w:rPr>
          <w:b/>
        </w:rPr>
        <w:t xml:space="preserve">nature’s contributions to people </w:t>
      </w:r>
      <w:r w:rsidRPr="008608AA">
        <w:rPr>
          <w:b/>
        </w:rPr>
        <w:t>and maintain long-term access</w:t>
      </w:r>
      <w:r w:rsidRPr="008608AA">
        <w:t xml:space="preserve">. Both preserving and restoring ecosystems maintain </w:t>
      </w:r>
      <w:r w:rsidR="00BF1E76" w:rsidRPr="008608AA">
        <w:t xml:space="preserve">nature’s contributions to people </w:t>
      </w:r>
      <w:r w:rsidRPr="008608AA">
        <w:t>like pollination, pest control, water resources, erosion control and humans experience with nature. In North America, the fraction of protected land area (11.6 per cent) is less than the proportion of protected territorial marine waters (16.4 per cent). In Mesoamerica, the Carribbean and South America, the fraction of protected land area (23.5 per cent) exceeds the proportion of protected territorial marine waters (15.5 per cent) (</w:t>
      </w:r>
      <w:r w:rsidRPr="008608AA">
        <w:rPr>
          <w:i/>
        </w:rPr>
        <w:t>well established</w:t>
      </w:r>
      <w:r w:rsidRPr="008608AA">
        <w:t>). Indigenous land also can protect nature and constitutes 19.5 per cent, 11.1 per cent, 1.2 per cent of land in Mesoamerica, South and North America {2.2.8} (</w:t>
      </w:r>
      <w:r w:rsidR="00337A10" w:rsidRPr="008608AA">
        <w:rPr>
          <w:i/>
        </w:rPr>
        <w:t>established</w:t>
      </w:r>
      <w:r w:rsidRPr="008608AA">
        <w:rPr>
          <w:i/>
        </w:rPr>
        <w:t xml:space="preserve"> but incomplete</w:t>
      </w:r>
      <w:r w:rsidRPr="008608AA">
        <w:t xml:space="preserve">). </w:t>
      </w:r>
    </w:p>
    <w:p w14:paraId="3DEFF52B" w14:textId="205FE3AF" w:rsidR="00A00405" w:rsidRPr="008608AA" w:rsidRDefault="00A00405" w:rsidP="00B33BD5">
      <w:pPr>
        <w:numPr>
          <w:ilvl w:val="0"/>
          <w:numId w:val="6"/>
        </w:numPr>
        <w:spacing w:after="120"/>
      </w:pPr>
      <w:r w:rsidRPr="008608AA">
        <w:rPr>
          <w:b/>
        </w:rPr>
        <w:t xml:space="preserve">While poverty rates have decreased since the 1990s, large populations, particularly in Mesoamerica, South America and the Caribbean are still vulnerable. Social inequality is high; 10 of the world’s 15 countries with the most unequally income distribution are in the Americas {2.3.5}. </w:t>
      </w:r>
      <w:r w:rsidRPr="008608AA">
        <w:t>Data indicate that S</w:t>
      </w:r>
      <w:r w:rsidR="005F718F" w:rsidRPr="008608AA">
        <w:t>outh America has the most socio</w:t>
      </w:r>
      <w:r w:rsidRPr="008608AA">
        <w:t>environmental conflicts (</w:t>
      </w:r>
      <w:r w:rsidRPr="008608AA">
        <w:rPr>
          <w:i/>
        </w:rPr>
        <w:t>inconclusive</w:t>
      </w:r>
      <w:r w:rsidRPr="008608AA">
        <w:t xml:space="preserve">). Even when nations enshrine citizens’ rights to nature and </w:t>
      </w:r>
      <w:r w:rsidR="00BF1E76" w:rsidRPr="008608AA">
        <w:t>nature’s contributions to people</w:t>
      </w:r>
      <w:r w:rsidRPr="008608AA">
        <w:t>, like clean water, little information exists regarding trends and status of actual access and benefits sharing for different social actors {2.5} (</w:t>
      </w:r>
      <w:r w:rsidR="00337A10" w:rsidRPr="008608AA">
        <w:rPr>
          <w:i/>
        </w:rPr>
        <w:t>established</w:t>
      </w:r>
      <w:r w:rsidRPr="008608AA">
        <w:rPr>
          <w:i/>
        </w:rPr>
        <w:t xml:space="preserve"> but incomplete</w:t>
      </w:r>
      <w:r w:rsidRPr="008608AA">
        <w:t xml:space="preserve">). </w:t>
      </w:r>
    </w:p>
    <w:p w14:paraId="399D3F0C" w14:textId="1A2CF9C3" w:rsidR="00A00405" w:rsidRPr="008608AA" w:rsidRDefault="00A00405" w:rsidP="00B33BD5">
      <w:pPr>
        <w:numPr>
          <w:ilvl w:val="0"/>
          <w:numId w:val="6"/>
        </w:numPr>
        <w:spacing w:after="120"/>
      </w:pPr>
      <w:r w:rsidRPr="008608AA">
        <w:rPr>
          <w:b/>
        </w:rPr>
        <w:t xml:space="preserve">Loss and degradation of wetlands and forests have reduced </w:t>
      </w:r>
      <w:r w:rsidR="00BF1E76" w:rsidRPr="008608AA">
        <w:rPr>
          <w:b/>
        </w:rPr>
        <w:t xml:space="preserve">nature’s contributions to people </w:t>
      </w:r>
      <w:r w:rsidRPr="008608AA">
        <w:rPr>
          <w:b/>
        </w:rPr>
        <w:t>for climate regulation and adaptation to hazardous and extreme events (</w:t>
      </w:r>
      <w:r w:rsidRPr="008608AA">
        <w:rPr>
          <w:b/>
          <w:i/>
        </w:rPr>
        <w:t>established but incomplete</w:t>
      </w:r>
      <w:r w:rsidRPr="008608AA">
        <w:rPr>
          <w:b/>
        </w:rPr>
        <w:t xml:space="preserve">). </w:t>
      </w:r>
      <w:r w:rsidRPr="008608AA">
        <w:t>Carbon stored in wetland soils and forests is critical for climate regulation {2.2.9} (</w:t>
      </w:r>
      <w:r w:rsidRPr="008608AA">
        <w:rPr>
          <w:i/>
        </w:rPr>
        <w:t>well established</w:t>
      </w:r>
      <w:r w:rsidRPr="008608AA">
        <w:t>). Wetlands reduce disast</w:t>
      </w:r>
      <w:r w:rsidR="00C93299" w:rsidRPr="008608AA">
        <w:t>er risk and cleanup costs (e.g.</w:t>
      </w:r>
      <w:r w:rsidRPr="008608AA">
        <w:t xml:space="preserve"> </w:t>
      </w:r>
      <w:r w:rsidR="000338BC" w:rsidRPr="008608AA">
        <w:t>the United States of America</w:t>
      </w:r>
      <w:r w:rsidRPr="008608AA">
        <w:t xml:space="preserve"> coastal wetlands re</w:t>
      </w:r>
      <w:r w:rsidR="00BF1E76" w:rsidRPr="008608AA">
        <w:t>duced storm damage by around $625 million during h</w:t>
      </w:r>
      <w:r w:rsidRPr="008608AA">
        <w:t>urricane Sandy) (</w:t>
      </w:r>
      <w:r w:rsidR="00337A10" w:rsidRPr="008608AA">
        <w:rPr>
          <w:i/>
        </w:rPr>
        <w:t>established</w:t>
      </w:r>
      <w:r w:rsidRPr="008608AA">
        <w:rPr>
          <w:i/>
        </w:rPr>
        <w:t xml:space="preserve"> but incomplete</w:t>
      </w:r>
      <w:r w:rsidRPr="008608AA">
        <w:t>). Peak flood flows are moderated by the presence of riparian wetlands, floodplains, lakes and ponds. Natural vegetation also moderates the chances of avalanches and landslides {2.2.12} (</w:t>
      </w:r>
      <w:r w:rsidR="00337A10" w:rsidRPr="008608AA">
        <w:rPr>
          <w:i/>
        </w:rPr>
        <w:t>established</w:t>
      </w:r>
      <w:r w:rsidRPr="008608AA">
        <w:rPr>
          <w:i/>
        </w:rPr>
        <w:t xml:space="preserve"> but incomplete</w:t>
      </w:r>
      <w:r w:rsidRPr="008608AA">
        <w:t>).</w:t>
      </w:r>
    </w:p>
    <w:p w14:paraId="608893B0" w14:textId="383E02FF" w:rsidR="00A00405" w:rsidRPr="008608AA" w:rsidRDefault="00A00405" w:rsidP="00B33BD5">
      <w:pPr>
        <w:numPr>
          <w:ilvl w:val="0"/>
          <w:numId w:val="6"/>
        </w:numPr>
        <w:spacing w:after="120"/>
        <w:rPr>
          <w:b/>
        </w:rPr>
      </w:pPr>
      <w:r w:rsidRPr="008608AA">
        <w:rPr>
          <w:b/>
        </w:rPr>
        <w:t>Information gaps detected during this assessment include: i) social data are generally collected at the political scale, while ecological information is taken at the ecosystem or biome levels, impeding integration and comparison, ii) some political entities are under-represented or absent from globa</w:t>
      </w:r>
      <w:r w:rsidR="00C93299" w:rsidRPr="008608AA">
        <w:rPr>
          <w:b/>
        </w:rPr>
        <w:t>l country-level databases (e.g.</w:t>
      </w:r>
      <w:r w:rsidRPr="008608AA">
        <w:rPr>
          <w:b/>
        </w:rPr>
        <w:t xml:space="preserve"> Greenland), iii) relative absence of long-term data, particularly for some regulating and non-material </w:t>
      </w:r>
      <w:r w:rsidR="0055438E" w:rsidRPr="008608AA">
        <w:rPr>
          <w:b/>
        </w:rPr>
        <w:t>nature’s contributions to people</w:t>
      </w:r>
      <w:r w:rsidRPr="008608AA">
        <w:rPr>
          <w:b/>
        </w:rPr>
        <w:t>, and iv) relative absence of multiple valuations and trade-off analysis of human-nature relationships</w:t>
      </w:r>
      <w:r w:rsidR="00337A10" w:rsidRPr="008608AA">
        <w:rPr>
          <w:b/>
        </w:rPr>
        <w:t xml:space="preserve"> {2.8}</w:t>
      </w:r>
      <w:r w:rsidRPr="008608AA">
        <w:rPr>
          <w:b/>
        </w:rPr>
        <w:t>.</w:t>
      </w:r>
      <w:r w:rsidRPr="008608AA">
        <w:rPr>
          <w:b/>
        </w:rPr>
        <w:br w:type="page"/>
      </w:r>
    </w:p>
    <w:p w14:paraId="7296A917" w14:textId="77777777" w:rsidR="00A00405" w:rsidRPr="008608AA" w:rsidRDefault="00A00405" w:rsidP="00AB5E93">
      <w:pPr>
        <w:pStyle w:val="Heading2"/>
        <w:rPr>
          <w:szCs w:val="24"/>
        </w:rPr>
      </w:pPr>
      <w:bookmarkStart w:id="611" w:name="_Toc517393239"/>
      <w:bookmarkStart w:id="612" w:name="_Toc517718980"/>
      <w:bookmarkStart w:id="613" w:name="_Toc517796937"/>
      <w:r w:rsidRPr="008608AA">
        <w:t>Introduction</w:t>
      </w:r>
      <w:bookmarkEnd w:id="611"/>
      <w:bookmarkEnd w:id="612"/>
      <w:bookmarkEnd w:id="613"/>
    </w:p>
    <w:p w14:paraId="18E1D59D" w14:textId="24C8518A" w:rsidR="00A00405" w:rsidRPr="008608AA" w:rsidRDefault="00A00405" w:rsidP="00C459D5">
      <w:pPr>
        <w:spacing w:after="120"/>
      </w:pPr>
      <w:r w:rsidRPr="008608AA">
        <w:t>Humans and nature are inextricably and intricately linked (see Chapter 1</w:t>
      </w:r>
      <w:r w:rsidRPr="008608AA">
        <w:rPr>
          <w:b/>
        </w:rPr>
        <w:t xml:space="preserve">, </w:t>
      </w:r>
      <w:r w:rsidRPr="008608AA">
        <w:t>Figure 1.4). Human well-being depends upon nature in ways that are direct or indirect, simple or complex, and reciprocal or uni-directional (Pascual et al., 2017). In the Americas region, the strength and intensity of these human-nature relationships vary over time (</w:t>
      </w:r>
      <w:r w:rsidR="00847F60" w:rsidRPr="008608AA">
        <w:t>e.g.</w:t>
      </w:r>
      <w:r w:rsidRPr="008608AA">
        <w:t xml:space="preserve"> within and between generations), between subregions (</w:t>
      </w:r>
      <w:r w:rsidR="00847F60" w:rsidRPr="008608AA">
        <w:t>e.g.</w:t>
      </w:r>
      <w:r w:rsidRPr="008608AA">
        <w:t xml:space="preserve"> North America, Mesoamerica, Caribbean, South America) and among different social groups (</w:t>
      </w:r>
      <w:r w:rsidR="00847F60" w:rsidRPr="008608AA">
        <w:t>e.g.</w:t>
      </w:r>
      <w:r w:rsidRPr="008608AA">
        <w:t xml:space="preserve"> primary and secondary users of nature) (MEA, 2005). In addition, the ways we conceive, study, value, and manage these links are variable, depending on one’s worldviews and value systems; therefore, appreciating the different ways that nature is valued broadens our understanding of the benefits it provides. While it is increasingly understood that human-nature connections are ubiquitous and important, however, their breadth and nuance make them difficult to incorporate into political and technical decision-making processes (see</w:t>
      </w:r>
      <w:r w:rsidRPr="008608AA">
        <w:rPr>
          <w:b/>
        </w:rPr>
        <w:t xml:space="preserve"> </w:t>
      </w:r>
      <w:r w:rsidRPr="008608AA">
        <w:t xml:space="preserve">Chapter 6), and more fully describing and quantifying </w:t>
      </w:r>
      <w:r w:rsidR="00901429" w:rsidRPr="008608AA">
        <w:t>n</w:t>
      </w:r>
      <w:r w:rsidRPr="008608AA">
        <w:t xml:space="preserve">ature’s </w:t>
      </w:r>
      <w:r w:rsidR="00901429" w:rsidRPr="008608AA">
        <w:t>c</w:t>
      </w:r>
      <w:r w:rsidRPr="008608AA">
        <w:t xml:space="preserve">ontributions to </w:t>
      </w:r>
      <w:r w:rsidR="00901429" w:rsidRPr="008608AA">
        <w:t>p</w:t>
      </w:r>
      <w:r w:rsidRPr="008608AA">
        <w:t xml:space="preserve">eople (NCP) become crucial for motivating, orienting and justifying policy development and management actions (Díaz et al., 2015). </w:t>
      </w:r>
    </w:p>
    <w:p w14:paraId="2ACC9E0F" w14:textId="47F3D969" w:rsidR="00A00405" w:rsidRPr="008608AA" w:rsidRDefault="00A00405" w:rsidP="00C459D5">
      <w:pPr>
        <w:spacing w:after="120"/>
      </w:pPr>
      <w:r w:rsidRPr="008608AA">
        <w:t>The utilitarian assumptions that underlie the ecosystem services evaluations of human-nature relations are not sufficiently broad to ensure a full understanding of how peoples around the world interact with and benefit from nature. It provides a useful framework, however, for assessing the importance of ecosystems and has become a core concept in wide use by many countries and organizations worldwide, providing valuable language and tools for common discussion and understanding (Laterra et al., 2011; Seppelt et al., 2011; Balvanera et al., 2012; Pascual et al., 2017).  The Intergovernmental Science-Policy Platform on Biodiversity and Ecosystem Services (IPBES) has introduced complementary concepts like NCP and quality of life, which help interpret the significance of the globe’s biodiversity to diverse people and their understandings of well-being. Therefore, the IPBES conceptual framework (Díaz et al., 2015; Pascual et al., 2017) employs two strategies: 1) it builds upon the ecosystem services paradigm to assess how NCP affect human well-being (</w:t>
      </w:r>
      <w:r w:rsidR="00B20C8E" w:rsidRPr="008608AA">
        <w:t>section</w:t>
      </w:r>
      <w:r w:rsidRPr="008608AA">
        <w:t xml:space="preserve"> 2.1.1), and 2) it recognizes and seeks to incorporate multiple social actors, who hold diverse values and knowledge systems in the appraisal of both NCP and quality of life (</w:t>
      </w:r>
      <w:r w:rsidR="00B20C8E" w:rsidRPr="008608AA">
        <w:t>section</w:t>
      </w:r>
      <w:r w:rsidRPr="008608AA">
        <w:t xml:space="preserve"> 2.1.2).</w:t>
      </w:r>
    </w:p>
    <w:p w14:paraId="06D87DDE" w14:textId="0A752A09" w:rsidR="00A00405" w:rsidRPr="008608AA" w:rsidRDefault="00A00405" w:rsidP="00C459D5">
      <w:pPr>
        <w:spacing w:after="120"/>
      </w:pPr>
      <w:r w:rsidRPr="008608AA">
        <w:t>In this context, Chapter 2 of the IPBES Americas Regional and Subregional Assessment reflects a shift in emphasis from ecosystem services to NCP as a way to more explicitly highlight the role of nature in supporting quality of life and broaden our appreciation to be more inclusive of worldview and value plurality (Pascual et al., 2017). Current information on the values of nature is largely a result of the academic history of the ecosystem services concept. As this approach has increased exponentially throughout the world (Seppelt et al., 2011) and the Americas (Laterra et al., 2011; Balvanera et al., 2012), most studies have concentrated on two aspects of human-nature interactions: (a) addressing how ecosystem properties (</w:t>
      </w:r>
      <w:r w:rsidR="00847F60" w:rsidRPr="008608AA">
        <w:t>e.g.</w:t>
      </w:r>
      <w:r w:rsidRPr="008608AA">
        <w:t xml:space="preserve"> biotic assemblages) and functions (</w:t>
      </w:r>
      <w:r w:rsidR="00847F60" w:rsidRPr="008608AA">
        <w:t>e.g.</w:t>
      </w:r>
      <w:r w:rsidRPr="008608AA">
        <w:t xml:space="preserve"> biogeochemical cycles) are used by humans and human institutions (i.e. managed) to produce “final services” (</w:t>
      </w:r>
      <w:r w:rsidRPr="008608AA">
        <w:rPr>
          <w:i/>
        </w:rPr>
        <w:t>sensu</w:t>
      </w:r>
      <w:r w:rsidRPr="008608AA">
        <w:t xml:space="preserve"> Fisher et al., 2009), and (b) the economic valuation of these benefits to human society. This chapter reflects these approaches to valuation and also seeks to enhance them with a values plurality strategy that recognizes other valuation methodologies (</w:t>
      </w:r>
      <w:r w:rsidR="00B20C8E" w:rsidRPr="008608AA">
        <w:t>section</w:t>
      </w:r>
      <w:r w:rsidRPr="008608AA">
        <w:t xml:space="preserve"> 2.5.1). </w:t>
      </w:r>
    </w:p>
    <w:p w14:paraId="6E2A1109" w14:textId="77777777" w:rsidR="00C459D5" w:rsidRPr="008608AA" w:rsidRDefault="00C459D5" w:rsidP="00C459D5">
      <w:pPr>
        <w:spacing w:after="120"/>
      </w:pPr>
    </w:p>
    <w:p w14:paraId="3A616E03" w14:textId="77777777" w:rsidR="00A00405" w:rsidRPr="008608AA" w:rsidRDefault="00A00405" w:rsidP="00AB5E93">
      <w:pPr>
        <w:pStyle w:val="Heading3"/>
      </w:pPr>
      <w:bookmarkStart w:id="614" w:name="_Toc517393240"/>
      <w:bookmarkStart w:id="615" w:name="_Toc517718981"/>
      <w:bookmarkStart w:id="616" w:name="_Toc517796938"/>
      <w:r w:rsidRPr="008608AA">
        <w:t>The diversity of nature’s contributions to people and links to quality of life</w:t>
      </w:r>
      <w:bookmarkEnd w:id="614"/>
      <w:bookmarkEnd w:id="615"/>
      <w:bookmarkEnd w:id="616"/>
      <w:r w:rsidRPr="008608AA">
        <w:t xml:space="preserve"> </w:t>
      </w:r>
    </w:p>
    <w:p w14:paraId="46C6440D" w14:textId="63F005CC" w:rsidR="00A00405" w:rsidRPr="008608AA" w:rsidRDefault="00A00405" w:rsidP="00C459D5">
      <w:pPr>
        <w:spacing w:after="120"/>
      </w:pPr>
      <w:r w:rsidRPr="008608AA">
        <w:t>N</w:t>
      </w:r>
      <w:r w:rsidR="001D1E97" w:rsidRPr="008608AA">
        <w:t>ature’s contributions to people</w:t>
      </w:r>
      <w:r w:rsidRPr="008608AA">
        <w:t xml:space="preserve"> encompass a broad array of material, non-material and regulating biophysical benefits to humans (geophysical benefits are not addressed here) (see Chapter 1, Table 1.1) and underlie key components of human well-being that define a good quality of life (Daily, 1997; MA,</w:t>
      </w:r>
      <w:r w:rsidRPr="008608AA">
        <w:rPr>
          <w:i/>
        </w:rPr>
        <w:t xml:space="preserve"> </w:t>
      </w:r>
      <w:r w:rsidRPr="008608AA">
        <w:t xml:space="preserve">2005). Specifically, the Americas’ biological and ecosystem diversity make material contributions, in the form of food, fiber, energy, water, materials and assistance (fiber, dyes, cloth, decorations, labor, transportation, pets), medicine, and biochemical and genetic resources, to the security of livelihoods and energy. Regulating contributions of nature, including habitat and soil creation and maintenance, pollination and seed dispersal, and the control of diseases, pests, natural disasters, climate, air and water quality, and ocean acidification, strongly affect human health and the securities of food and water. Non-material contributions, such as learning and inspiration, psychological and physical experiences, support for identities, and the maintenance of options, are key to sustaining place-based livelihoods (or ways of living) and cultural continuity. In turn, these NCP are constituted from the region’s high biological and ecosystem diversity, which provide such attributes and functions as habitat for species, biomass production, carbon storage, or nutrient uptake (see Chapter 3), and as such, biodiversity and ecosystems are embedded in the ecosystem services that produce NCP (Worm et al., 2006). </w:t>
      </w:r>
    </w:p>
    <w:p w14:paraId="3F2D9431" w14:textId="77777777" w:rsidR="00A00405" w:rsidRPr="008608AA" w:rsidRDefault="00A00405" w:rsidP="00C459D5">
      <w:pPr>
        <w:spacing w:after="120"/>
      </w:pPr>
      <w:r w:rsidRPr="008608AA">
        <w:t xml:space="preserve">While it is critical to identify and account for the specificity of place, culture and community in any assessment, studies have shown that biological and cultural diversity and extinction risk follow similar geographic patterns at a global scale (Collard &amp; Foley, 2002; Sutherland, 2003). The Americas present a unique scenario for studying these patterns, though, and their implication for human well-being. First, the region displays a greater latitudinal range than any other (~80°N-56°S). Furthermore, it hosts not only a great diversity of species and biomes (see Chapter 3), but also numerous cultures. Indeed, the Americas have the highest cultural diversity of any region (Collard &amp; Foley, 2002), but many of these human groups are small. Only about 6.5% of region’s total population of approximately 1 billion is categorized as indigenous, but in the Mesoamerica subregion the percentage increases to 16.9% of the population (see Chapter 1, Table 1.3). At the same time, the Americas host ~15% of the world’s living languages, but this linguistic diversity is highly threatened. Globally, the Americas is the region with the greatest number of dying languages (n=341, Table 2.1), and overall, ~61% of the Americas’ languages are considered “in trouble” or “dying” (Simons &amp; Fennig, 2017), which is greater than the percentage of biological species in the equivalent threatened status (see Chapter 3). </w:t>
      </w:r>
    </w:p>
    <w:p w14:paraId="529B041A" w14:textId="771383DF" w:rsidR="00A00405"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w:t>
      </w:r>
      <w:r w:rsidR="000E562E">
        <w:rPr>
          <w:noProof/>
        </w:rPr>
        <w:fldChar w:fldCharType="end"/>
      </w:r>
      <w:r w:rsidRPr="008608AA">
        <w:t xml:space="preserve">. </w:t>
      </w:r>
      <w:r w:rsidR="00C459D5" w:rsidRPr="008608AA">
        <w:t>Languages from the Americas per subregion, indicating conservation status.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806"/>
        <w:gridCol w:w="1389"/>
        <w:gridCol w:w="1389"/>
        <w:gridCol w:w="1389"/>
        <w:gridCol w:w="2514"/>
      </w:tblGrid>
      <w:tr w:rsidR="00A00405" w:rsidRPr="00800CE7" w14:paraId="5B62CD82" w14:textId="77777777" w:rsidTr="00C459D5">
        <w:trPr>
          <w:trHeight w:val="300"/>
          <w:jc w:val="center"/>
        </w:trPr>
        <w:tc>
          <w:tcPr>
            <w:tcW w:w="1479" w:type="pct"/>
            <w:shd w:val="clear" w:color="auto" w:fill="BFBFBF" w:themeFill="background1" w:themeFillShade="BF"/>
            <w:vAlign w:val="bottom"/>
          </w:tcPr>
          <w:p w14:paraId="25D09EF0" w14:textId="77777777" w:rsidR="00A00405" w:rsidRPr="00800CE7" w:rsidRDefault="00A00405" w:rsidP="00A00405">
            <w:pPr>
              <w:rPr>
                <w:b/>
                <w:szCs w:val="22"/>
              </w:rPr>
            </w:pPr>
          </w:p>
        </w:tc>
        <w:tc>
          <w:tcPr>
            <w:tcW w:w="732" w:type="pct"/>
            <w:shd w:val="clear" w:color="auto" w:fill="BFBFBF" w:themeFill="background1" w:themeFillShade="BF"/>
            <w:vAlign w:val="bottom"/>
          </w:tcPr>
          <w:p w14:paraId="4F6E33CE" w14:textId="77777777" w:rsidR="00A00405" w:rsidRPr="00800CE7" w:rsidRDefault="00A00405" w:rsidP="00A00405">
            <w:pPr>
              <w:jc w:val="center"/>
              <w:rPr>
                <w:b/>
                <w:szCs w:val="22"/>
              </w:rPr>
            </w:pPr>
            <w:r w:rsidRPr="00800CE7">
              <w:rPr>
                <w:b/>
                <w:szCs w:val="22"/>
              </w:rPr>
              <w:t>Total Languages</w:t>
            </w:r>
          </w:p>
        </w:tc>
        <w:tc>
          <w:tcPr>
            <w:tcW w:w="732" w:type="pct"/>
            <w:shd w:val="clear" w:color="auto" w:fill="BFBFBF" w:themeFill="background1" w:themeFillShade="BF"/>
            <w:vAlign w:val="bottom"/>
          </w:tcPr>
          <w:p w14:paraId="51C63EC6" w14:textId="77777777" w:rsidR="00A00405" w:rsidRPr="00800CE7" w:rsidRDefault="00A00405" w:rsidP="00A00405">
            <w:pPr>
              <w:jc w:val="center"/>
              <w:rPr>
                <w:b/>
                <w:szCs w:val="22"/>
              </w:rPr>
            </w:pPr>
            <w:r w:rsidRPr="00800CE7">
              <w:rPr>
                <w:b/>
                <w:szCs w:val="22"/>
              </w:rPr>
              <w:t>Languages in Trouble</w:t>
            </w:r>
          </w:p>
        </w:tc>
        <w:tc>
          <w:tcPr>
            <w:tcW w:w="732" w:type="pct"/>
            <w:shd w:val="clear" w:color="auto" w:fill="BFBFBF" w:themeFill="background1" w:themeFillShade="BF"/>
            <w:vAlign w:val="bottom"/>
          </w:tcPr>
          <w:p w14:paraId="3D632312" w14:textId="77777777" w:rsidR="00A00405" w:rsidRPr="00800CE7" w:rsidRDefault="00A00405" w:rsidP="00A00405">
            <w:pPr>
              <w:jc w:val="center"/>
              <w:rPr>
                <w:b/>
                <w:szCs w:val="22"/>
              </w:rPr>
            </w:pPr>
            <w:r w:rsidRPr="00800CE7">
              <w:rPr>
                <w:b/>
                <w:szCs w:val="22"/>
              </w:rPr>
              <w:t>Dying Languages</w:t>
            </w:r>
          </w:p>
        </w:tc>
        <w:tc>
          <w:tcPr>
            <w:tcW w:w="1325" w:type="pct"/>
            <w:shd w:val="clear" w:color="auto" w:fill="BFBFBF" w:themeFill="background1" w:themeFillShade="BF"/>
            <w:vAlign w:val="bottom"/>
          </w:tcPr>
          <w:p w14:paraId="1F454E05" w14:textId="77777777" w:rsidR="00A00405" w:rsidRPr="00800CE7" w:rsidRDefault="00A00405" w:rsidP="00A00405">
            <w:pPr>
              <w:jc w:val="center"/>
              <w:rPr>
                <w:b/>
                <w:szCs w:val="22"/>
              </w:rPr>
            </w:pPr>
            <w:r w:rsidRPr="00800CE7">
              <w:rPr>
                <w:b/>
                <w:szCs w:val="22"/>
              </w:rPr>
              <w:t>Total</w:t>
            </w:r>
          </w:p>
          <w:p w14:paraId="40CEDF8C" w14:textId="77777777" w:rsidR="00A00405" w:rsidRPr="00800CE7" w:rsidRDefault="00A00405" w:rsidP="00A00405">
            <w:pPr>
              <w:jc w:val="center"/>
              <w:rPr>
                <w:b/>
                <w:szCs w:val="22"/>
              </w:rPr>
            </w:pPr>
            <w:r w:rsidRPr="00800CE7">
              <w:rPr>
                <w:b/>
                <w:szCs w:val="22"/>
              </w:rPr>
              <w:t>%Threatened</w:t>
            </w:r>
          </w:p>
        </w:tc>
      </w:tr>
      <w:tr w:rsidR="00A00405" w:rsidRPr="00800CE7" w14:paraId="3C00C3EC" w14:textId="77777777" w:rsidTr="00C459D5">
        <w:trPr>
          <w:trHeight w:val="300"/>
          <w:jc w:val="center"/>
        </w:trPr>
        <w:tc>
          <w:tcPr>
            <w:tcW w:w="1479" w:type="pct"/>
            <w:shd w:val="clear" w:color="auto" w:fill="auto"/>
            <w:vAlign w:val="bottom"/>
          </w:tcPr>
          <w:p w14:paraId="7872D149" w14:textId="77777777" w:rsidR="00A00405" w:rsidRPr="00800CE7" w:rsidRDefault="00A00405" w:rsidP="00A00405">
            <w:pPr>
              <w:rPr>
                <w:b/>
                <w:szCs w:val="22"/>
              </w:rPr>
            </w:pPr>
            <w:r w:rsidRPr="00800CE7">
              <w:rPr>
                <w:b/>
                <w:szCs w:val="22"/>
              </w:rPr>
              <w:t>North America</w:t>
            </w:r>
          </w:p>
        </w:tc>
        <w:tc>
          <w:tcPr>
            <w:tcW w:w="732" w:type="pct"/>
            <w:shd w:val="clear" w:color="auto" w:fill="auto"/>
            <w:vAlign w:val="bottom"/>
          </w:tcPr>
          <w:p w14:paraId="67D3CE49" w14:textId="77777777" w:rsidR="00A00405" w:rsidRPr="00800CE7" w:rsidRDefault="00A00405" w:rsidP="00A00405">
            <w:pPr>
              <w:jc w:val="center"/>
              <w:rPr>
                <w:szCs w:val="22"/>
              </w:rPr>
            </w:pPr>
            <w:r w:rsidRPr="00800CE7">
              <w:rPr>
                <w:szCs w:val="22"/>
              </w:rPr>
              <w:t>256</w:t>
            </w:r>
          </w:p>
        </w:tc>
        <w:tc>
          <w:tcPr>
            <w:tcW w:w="732" w:type="pct"/>
            <w:shd w:val="clear" w:color="auto" w:fill="auto"/>
            <w:vAlign w:val="bottom"/>
          </w:tcPr>
          <w:p w14:paraId="439DAE98" w14:textId="77777777" w:rsidR="00A00405" w:rsidRPr="00800CE7" w:rsidRDefault="00A00405" w:rsidP="00A00405">
            <w:pPr>
              <w:jc w:val="center"/>
              <w:rPr>
                <w:szCs w:val="22"/>
              </w:rPr>
            </w:pPr>
            <w:r w:rsidRPr="00800CE7">
              <w:rPr>
                <w:szCs w:val="22"/>
              </w:rPr>
              <w:t>80</w:t>
            </w:r>
          </w:p>
        </w:tc>
        <w:tc>
          <w:tcPr>
            <w:tcW w:w="732" w:type="pct"/>
            <w:shd w:val="clear" w:color="auto" w:fill="auto"/>
            <w:vAlign w:val="bottom"/>
          </w:tcPr>
          <w:p w14:paraId="133FE286" w14:textId="77777777" w:rsidR="00A00405" w:rsidRPr="00800CE7" w:rsidRDefault="00A00405" w:rsidP="00A00405">
            <w:pPr>
              <w:jc w:val="center"/>
              <w:rPr>
                <w:szCs w:val="22"/>
              </w:rPr>
            </w:pPr>
            <w:r w:rsidRPr="00800CE7">
              <w:rPr>
                <w:szCs w:val="22"/>
              </w:rPr>
              <w:t>157</w:t>
            </w:r>
          </w:p>
        </w:tc>
        <w:tc>
          <w:tcPr>
            <w:tcW w:w="1325" w:type="pct"/>
            <w:shd w:val="clear" w:color="auto" w:fill="auto"/>
            <w:vAlign w:val="bottom"/>
          </w:tcPr>
          <w:p w14:paraId="14E1F856" w14:textId="77777777" w:rsidR="00A00405" w:rsidRPr="00800CE7" w:rsidRDefault="00A00405" w:rsidP="00A00405">
            <w:pPr>
              <w:jc w:val="center"/>
              <w:rPr>
                <w:szCs w:val="22"/>
              </w:rPr>
            </w:pPr>
            <w:r w:rsidRPr="00800CE7">
              <w:rPr>
                <w:szCs w:val="22"/>
              </w:rPr>
              <w:t>92.6</w:t>
            </w:r>
          </w:p>
        </w:tc>
      </w:tr>
      <w:tr w:rsidR="00A00405" w:rsidRPr="00800CE7" w14:paraId="0B6203EE" w14:textId="77777777" w:rsidTr="00C459D5">
        <w:trPr>
          <w:trHeight w:val="300"/>
          <w:jc w:val="center"/>
        </w:trPr>
        <w:tc>
          <w:tcPr>
            <w:tcW w:w="1479" w:type="pct"/>
            <w:shd w:val="clear" w:color="auto" w:fill="auto"/>
            <w:vAlign w:val="bottom"/>
          </w:tcPr>
          <w:p w14:paraId="046915EC" w14:textId="77777777" w:rsidR="00A00405" w:rsidRPr="00800CE7" w:rsidRDefault="00A00405" w:rsidP="00A00405">
            <w:pPr>
              <w:rPr>
                <w:b/>
                <w:szCs w:val="22"/>
              </w:rPr>
            </w:pPr>
            <w:r w:rsidRPr="00800CE7">
              <w:rPr>
                <w:b/>
                <w:szCs w:val="22"/>
              </w:rPr>
              <w:t>Mesoamerica</w:t>
            </w:r>
          </w:p>
        </w:tc>
        <w:tc>
          <w:tcPr>
            <w:tcW w:w="732" w:type="pct"/>
            <w:shd w:val="clear" w:color="auto" w:fill="auto"/>
            <w:vAlign w:val="bottom"/>
          </w:tcPr>
          <w:p w14:paraId="4E7AA266" w14:textId="77777777" w:rsidR="00A00405" w:rsidRPr="00800CE7" w:rsidRDefault="00A00405" w:rsidP="00A00405">
            <w:pPr>
              <w:jc w:val="center"/>
              <w:rPr>
                <w:szCs w:val="22"/>
              </w:rPr>
            </w:pPr>
            <w:r w:rsidRPr="00800CE7">
              <w:rPr>
                <w:szCs w:val="22"/>
              </w:rPr>
              <w:t>326</w:t>
            </w:r>
          </w:p>
        </w:tc>
        <w:tc>
          <w:tcPr>
            <w:tcW w:w="732" w:type="pct"/>
            <w:shd w:val="clear" w:color="auto" w:fill="auto"/>
            <w:vAlign w:val="bottom"/>
          </w:tcPr>
          <w:p w14:paraId="51B50E93" w14:textId="77777777" w:rsidR="00A00405" w:rsidRPr="00800CE7" w:rsidRDefault="00A00405" w:rsidP="00A00405">
            <w:pPr>
              <w:jc w:val="center"/>
              <w:rPr>
                <w:szCs w:val="22"/>
              </w:rPr>
            </w:pPr>
            <w:r w:rsidRPr="00800CE7">
              <w:rPr>
                <w:szCs w:val="22"/>
              </w:rPr>
              <w:t>91</w:t>
            </w:r>
          </w:p>
        </w:tc>
        <w:tc>
          <w:tcPr>
            <w:tcW w:w="732" w:type="pct"/>
            <w:shd w:val="clear" w:color="auto" w:fill="auto"/>
            <w:vAlign w:val="bottom"/>
          </w:tcPr>
          <w:p w14:paraId="29FD1058" w14:textId="77777777" w:rsidR="00A00405" w:rsidRPr="00800CE7" w:rsidRDefault="00A00405" w:rsidP="00A00405">
            <w:pPr>
              <w:jc w:val="center"/>
              <w:rPr>
                <w:szCs w:val="22"/>
              </w:rPr>
            </w:pPr>
            <w:r w:rsidRPr="00800CE7">
              <w:rPr>
                <w:szCs w:val="22"/>
              </w:rPr>
              <w:t>42</w:t>
            </w:r>
          </w:p>
        </w:tc>
        <w:tc>
          <w:tcPr>
            <w:tcW w:w="1325" w:type="pct"/>
            <w:shd w:val="clear" w:color="auto" w:fill="auto"/>
            <w:vAlign w:val="bottom"/>
          </w:tcPr>
          <w:p w14:paraId="6C68CBDE" w14:textId="77777777" w:rsidR="00A00405" w:rsidRPr="00800CE7" w:rsidRDefault="00A00405" w:rsidP="00A00405">
            <w:pPr>
              <w:jc w:val="center"/>
              <w:rPr>
                <w:szCs w:val="22"/>
              </w:rPr>
            </w:pPr>
            <w:r w:rsidRPr="00800CE7">
              <w:rPr>
                <w:szCs w:val="22"/>
              </w:rPr>
              <w:t>40.8</w:t>
            </w:r>
          </w:p>
        </w:tc>
      </w:tr>
      <w:tr w:rsidR="00A00405" w:rsidRPr="00800CE7" w14:paraId="1EDD48B1" w14:textId="77777777" w:rsidTr="00C459D5">
        <w:trPr>
          <w:trHeight w:val="300"/>
          <w:jc w:val="center"/>
        </w:trPr>
        <w:tc>
          <w:tcPr>
            <w:tcW w:w="1479" w:type="pct"/>
            <w:shd w:val="clear" w:color="auto" w:fill="auto"/>
            <w:vAlign w:val="bottom"/>
          </w:tcPr>
          <w:p w14:paraId="4A3D73BD" w14:textId="77777777" w:rsidR="00A00405" w:rsidRPr="00800CE7" w:rsidRDefault="00A00405" w:rsidP="00A00405">
            <w:pPr>
              <w:rPr>
                <w:b/>
                <w:szCs w:val="22"/>
              </w:rPr>
            </w:pPr>
            <w:r w:rsidRPr="00800CE7">
              <w:rPr>
                <w:b/>
                <w:szCs w:val="22"/>
              </w:rPr>
              <w:t>Caribbean</w:t>
            </w:r>
          </w:p>
        </w:tc>
        <w:tc>
          <w:tcPr>
            <w:tcW w:w="732" w:type="pct"/>
            <w:shd w:val="clear" w:color="auto" w:fill="auto"/>
            <w:vAlign w:val="bottom"/>
          </w:tcPr>
          <w:p w14:paraId="328DEEEE" w14:textId="77777777" w:rsidR="00A00405" w:rsidRPr="00800CE7" w:rsidRDefault="00A00405" w:rsidP="00A00405">
            <w:pPr>
              <w:jc w:val="center"/>
              <w:rPr>
                <w:szCs w:val="22"/>
              </w:rPr>
            </w:pPr>
            <w:r w:rsidRPr="00800CE7">
              <w:rPr>
                <w:szCs w:val="22"/>
              </w:rPr>
              <w:t>23</w:t>
            </w:r>
          </w:p>
        </w:tc>
        <w:tc>
          <w:tcPr>
            <w:tcW w:w="732" w:type="pct"/>
            <w:shd w:val="clear" w:color="auto" w:fill="auto"/>
            <w:vAlign w:val="bottom"/>
          </w:tcPr>
          <w:p w14:paraId="0A13EF10" w14:textId="77777777" w:rsidR="00A00405" w:rsidRPr="00800CE7" w:rsidRDefault="00A00405" w:rsidP="00A00405">
            <w:pPr>
              <w:jc w:val="center"/>
              <w:rPr>
                <w:szCs w:val="22"/>
              </w:rPr>
            </w:pPr>
            <w:r w:rsidRPr="00800CE7">
              <w:rPr>
                <w:szCs w:val="22"/>
              </w:rPr>
              <w:t>3</w:t>
            </w:r>
          </w:p>
        </w:tc>
        <w:tc>
          <w:tcPr>
            <w:tcW w:w="732" w:type="pct"/>
            <w:shd w:val="clear" w:color="auto" w:fill="auto"/>
            <w:vAlign w:val="bottom"/>
          </w:tcPr>
          <w:p w14:paraId="39C7010B" w14:textId="77777777" w:rsidR="00A00405" w:rsidRPr="00800CE7" w:rsidRDefault="00A00405" w:rsidP="00A00405">
            <w:pPr>
              <w:jc w:val="center"/>
              <w:rPr>
                <w:szCs w:val="22"/>
              </w:rPr>
            </w:pPr>
            <w:r w:rsidRPr="00800CE7">
              <w:rPr>
                <w:szCs w:val="22"/>
              </w:rPr>
              <w:t>3</w:t>
            </w:r>
          </w:p>
        </w:tc>
        <w:tc>
          <w:tcPr>
            <w:tcW w:w="1325" w:type="pct"/>
            <w:shd w:val="clear" w:color="auto" w:fill="auto"/>
            <w:vAlign w:val="bottom"/>
          </w:tcPr>
          <w:p w14:paraId="227FE0BC" w14:textId="77777777" w:rsidR="00A00405" w:rsidRPr="00800CE7" w:rsidRDefault="00A00405" w:rsidP="00A00405">
            <w:pPr>
              <w:jc w:val="center"/>
              <w:rPr>
                <w:szCs w:val="22"/>
              </w:rPr>
            </w:pPr>
            <w:r w:rsidRPr="00800CE7">
              <w:rPr>
                <w:szCs w:val="22"/>
              </w:rPr>
              <w:t>26.1</w:t>
            </w:r>
          </w:p>
        </w:tc>
      </w:tr>
      <w:tr w:rsidR="00A00405" w:rsidRPr="00800CE7" w14:paraId="13C274F7" w14:textId="77777777" w:rsidTr="00C459D5">
        <w:trPr>
          <w:trHeight w:val="300"/>
          <w:jc w:val="center"/>
        </w:trPr>
        <w:tc>
          <w:tcPr>
            <w:tcW w:w="1479" w:type="pct"/>
            <w:shd w:val="clear" w:color="auto" w:fill="auto"/>
            <w:vAlign w:val="bottom"/>
          </w:tcPr>
          <w:p w14:paraId="2A3A7137" w14:textId="77777777" w:rsidR="00A00405" w:rsidRPr="00800CE7" w:rsidRDefault="00A00405" w:rsidP="00A00405">
            <w:pPr>
              <w:rPr>
                <w:b/>
                <w:szCs w:val="22"/>
              </w:rPr>
            </w:pPr>
            <w:r w:rsidRPr="00800CE7">
              <w:rPr>
                <w:b/>
                <w:szCs w:val="22"/>
              </w:rPr>
              <w:t>South America</w:t>
            </w:r>
          </w:p>
        </w:tc>
        <w:tc>
          <w:tcPr>
            <w:tcW w:w="732" w:type="pct"/>
            <w:shd w:val="clear" w:color="auto" w:fill="auto"/>
            <w:vAlign w:val="bottom"/>
          </w:tcPr>
          <w:p w14:paraId="1F160653" w14:textId="77777777" w:rsidR="00A00405" w:rsidRPr="00800CE7" w:rsidRDefault="00A00405" w:rsidP="00A00405">
            <w:pPr>
              <w:jc w:val="center"/>
              <w:rPr>
                <w:szCs w:val="22"/>
              </w:rPr>
            </w:pPr>
            <w:r w:rsidRPr="00800CE7">
              <w:rPr>
                <w:szCs w:val="22"/>
              </w:rPr>
              <w:t>456</w:t>
            </w:r>
          </w:p>
        </w:tc>
        <w:tc>
          <w:tcPr>
            <w:tcW w:w="732" w:type="pct"/>
            <w:shd w:val="clear" w:color="auto" w:fill="auto"/>
            <w:vAlign w:val="bottom"/>
          </w:tcPr>
          <w:p w14:paraId="2AFD7299" w14:textId="77777777" w:rsidR="00A00405" w:rsidRPr="00800CE7" w:rsidRDefault="00A00405" w:rsidP="00A00405">
            <w:pPr>
              <w:jc w:val="center"/>
              <w:rPr>
                <w:szCs w:val="22"/>
              </w:rPr>
            </w:pPr>
            <w:r w:rsidRPr="00800CE7">
              <w:rPr>
                <w:szCs w:val="22"/>
              </w:rPr>
              <w:t>133</w:t>
            </w:r>
          </w:p>
        </w:tc>
        <w:tc>
          <w:tcPr>
            <w:tcW w:w="732" w:type="pct"/>
            <w:shd w:val="clear" w:color="auto" w:fill="auto"/>
            <w:vAlign w:val="bottom"/>
          </w:tcPr>
          <w:p w14:paraId="58222641" w14:textId="77777777" w:rsidR="00A00405" w:rsidRPr="00800CE7" w:rsidRDefault="00A00405" w:rsidP="00A00405">
            <w:pPr>
              <w:jc w:val="center"/>
              <w:rPr>
                <w:szCs w:val="22"/>
              </w:rPr>
            </w:pPr>
            <w:r w:rsidRPr="00800CE7">
              <w:rPr>
                <w:szCs w:val="22"/>
              </w:rPr>
              <w:t>139</w:t>
            </w:r>
          </w:p>
        </w:tc>
        <w:tc>
          <w:tcPr>
            <w:tcW w:w="1325" w:type="pct"/>
            <w:shd w:val="clear" w:color="auto" w:fill="auto"/>
            <w:vAlign w:val="bottom"/>
          </w:tcPr>
          <w:p w14:paraId="3122812D" w14:textId="77777777" w:rsidR="00A00405" w:rsidRPr="00800CE7" w:rsidRDefault="00A00405" w:rsidP="00A00405">
            <w:pPr>
              <w:jc w:val="center"/>
              <w:rPr>
                <w:szCs w:val="22"/>
              </w:rPr>
            </w:pPr>
            <w:r w:rsidRPr="00800CE7">
              <w:rPr>
                <w:szCs w:val="22"/>
              </w:rPr>
              <w:t>59.6</w:t>
            </w:r>
          </w:p>
        </w:tc>
      </w:tr>
      <w:tr w:rsidR="00A00405" w:rsidRPr="00800CE7" w14:paraId="3802833B" w14:textId="77777777" w:rsidTr="00C459D5">
        <w:trPr>
          <w:trHeight w:val="300"/>
          <w:jc w:val="center"/>
        </w:trPr>
        <w:tc>
          <w:tcPr>
            <w:tcW w:w="1479" w:type="pct"/>
            <w:shd w:val="clear" w:color="auto" w:fill="auto"/>
            <w:vAlign w:val="bottom"/>
          </w:tcPr>
          <w:p w14:paraId="260DE480" w14:textId="77777777" w:rsidR="00A00405" w:rsidRPr="00800CE7" w:rsidRDefault="00A00405" w:rsidP="00A00405">
            <w:pPr>
              <w:rPr>
                <w:b/>
                <w:szCs w:val="22"/>
              </w:rPr>
            </w:pPr>
            <w:r w:rsidRPr="00800CE7">
              <w:rPr>
                <w:b/>
                <w:szCs w:val="22"/>
              </w:rPr>
              <w:t>Americas Region</w:t>
            </w:r>
          </w:p>
        </w:tc>
        <w:tc>
          <w:tcPr>
            <w:tcW w:w="732" w:type="pct"/>
            <w:shd w:val="clear" w:color="auto" w:fill="auto"/>
            <w:vAlign w:val="bottom"/>
          </w:tcPr>
          <w:p w14:paraId="7E03C1E3" w14:textId="77777777" w:rsidR="00A00405" w:rsidRPr="00800CE7" w:rsidRDefault="00A00405" w:rsidP="00A00405">
            <w:pPr>
              <w:jc w:val="center"/>
              <w:rPr>
                <w:b/>
                <w:szCs w:val="22"/>
              </w:rPr>
            </w:pPr>
            <w:r w:rsidRPr="00800CE7">
              <w:rPr>
                <w:b/>
                <w:szCs w:val="22"/>
              </w:rPr>
              <w:t>1,061</w:t>
            </w:r>
          </w:p>
        </w:tc>
        <w:tc>
          <w:tcPr>
            <w:tcW w:w="732" w:type="pct"/>
            <w:shd w:val="clear" w:color="auto" w:fill="auto"/>
            <w:vAlign w:val="bottom"/>
          </w:tcPr>
          <w:p w14:paraId="713214ED" w14:textId="77777777" w:rsidR="00A00405" w:rsidRPr="00800CE7" w:rsidRDefault="00A00405" w:rsidP="00A00405">
            <w:pPr>
              <w:jc w:val="center"/>
              <w:rPr>
                <w:b/>
                <w:szCs w:val="22"/>
              </w:rPr>
            </w:pPr>
            <w:r w:rsidRPr="00800CE7">
              <w:rPr>
                <w:b/>
                <w:szCs w:val="22"/>
              </w:rPr>
              <w:t>307</w:t>
            </w:r>
          </w:p>
        </w:tc>
        <w:tc>
          <w:tcPr>
            <w:tcW w:w="732" w:type="pct"/>
            <w:shd w:val="clear" w:color="auto" w:fill="auto"/>
            <w:vAlign w:val="bottom"/>
          </w:tcPr>
          <w:p w14:paraId="2959C4DB" w14:textId="77777777" w:rsidR="00A00405" w:rsidRPr="00800CE7" w:rsidRDefault="00A00405" w:rsidP="00A00405">
            <w:pPr>
              <w:jc w:val="center"/>
              <w:rPr>
                <w:b/>
                <w:szCs w:val="22"/>
              </w:rPr>
            </w:pPr>
            <w:r w:rsidRPr="00800CE7">
              <w:rPr>
                <w:b/>
                <w:szCs w:val="22"/>
              </w:rPr>
              <w:t>341</w:t>
            </w:r>
          </w:p>
        </w:tc>
        <w:tc>
          <w:tcPr>
            <w:tcW w:w="1325" w:type="pct"/>
            <w:shd w:val="clear" w:color="auto" w:fill="auto"/>
            <w:vAlign w:val="bottom"/>
          </w:tcPr>
          <w:p w14:paraId="73E1C9AA" w14:textId="77777777" w:rsidR="00A00405" w:rsidRPr="00800CE7" w:rsidRDefault="00A00405" w:rsidP="00A00405">
            <w:pPr>
              <w:jc w:val="center"/>
              <w:rPr>
                <w:b/>
                <w:szCs w:val="22"/>
              </w:rPr>
            </w:pPr>
            <w:r w:rsidRPr="00800CE7">
              <w:rPr>
                <w:b/>
                <w:szCs w:val="22"/>
              </w:rPr>
              <w:t>61.1</w:t>
            </w:r>
          </w:p>
        </w:tc>
      </w:tr>
      <w:tr w:rsidR="00A00405" w:rsidRPr="00800CE7" w14:paraId="10A61714" w14:textId="77777777" w:rsidTr="00C459D5">
        <w:trPr>
          <w:trHeight w:val="300"/>
          <w:jc w:val="center"/>
        </w:trPr>
        <w:tc>
          <w:tcPr>
            <w:tcW w:w="1479" w:type="pct"/>
            <w:shd w:val="clear" w:color="auto" w:fill="auto"/>
            <w:vAlign w:val="bottom"/>
          </w:tcPr>
          <w:p w14:paraId="53714DAB" w14:textId="77777777" w:rsidR="00A00405" w:rsidRPr="00800CE7" w:rsidRDefault="00A00405" w:rsidP="00A00405">
            <w:pPr>
              <w:rPr>
                <w:b/>
                <w:szCs w:val="22"/>
              </w:rPr>
            </w:pPr>
            <w:r w:rsidRPr="00800CE7">
              <w:rPr>
                <w:b/>
                <w:szCs w:val="22"/>
              </w:rPr>
              <w:t>Global</w:t>
            </w:r>
          </w:p>
        </w:tc>
        <w:tc>
          <w:tcPr>
            <w:tcW w:w="732" w:type="pct"/>
            <w:shd w:val="clear" w:color="auto" w:fill="auto"/>
            <w:vAlign w:val="bottom"/>
          </w:tcPr>
          <w:p w14:paraId="3CBD6DCA" w14:textId="77777777" w:rsidR="00A00405" w:rsidRPr="00800CE7" w:rsidRDefault="00A00405" w:rsidP="00A00405">
            <w:pPr>
              <w:jc w:val="center"/>
              <w:rPr>
                <w:szCs w:val="22"/>
              </w:rPr>
            </w:pPr>
            <w:r w:rsidRPr="00800CE7">
              <w:rPr>
                <w:szCs w:val="22"/>
              </w:rPr>
              <w:t>7,099</w:t>
            </w:r>
          </w:p>
        </w:tc>
        <w:tc>
          <w:tcPr>
            <w:tcW w:w="732" w:type="pct"/>
            <w:shd w:val="clear" w:color="auto" w:fill="auto"/>
            <w:vAlign w:val="bottom"/>
          </w:tcPr>
          <w:p w14:paraId="4A29C1F6" w14:textId="77777777" w:rsidR="00A00405" w:rsidRPr="00800CE7" w:rsidRDefault="00A00405" w:rsidP="00A00405">
            <w:pPr>
              <w:jc w:val="center"/>
              <w:rPr>
                <w:szCs w:val="22"/>
              </w:rPr>
            </w:pPr>
            <w:r w:rsidRPr="00800CE7">
              <w:rPr>
                <w:szCs w:val="22"/>
              </w:rPr>
              <w:t>1,547</w:t>
            </w:r>
          </w:p>
        </w:tc>
        <w:tc>
          <w:tcPr>
            <w:tcW w:w="732" w:type="pct"/>
            <w:shd w:val="clear" w:color="auto" w:fill="auto"/>
            <w:vAlign w:val="bottom"/>
          </w:tcPr>
          <w:p w14:paraId="3F02E391" w14:textId="77777777" w:rsidR="00A00405" w:rsidRPr="00800CE7" w:rsidRDefault="00A00405" w:rsidP="00A00405">
            <w:pPr>
              <w:jc w:val="center"/>
              <w:rPr>
                <w:szCs w:val="22"/>
              </w:rPr>
            </w:pPr>
            <w:r w:rsidRPr="00800CE7">
              <w:rPr>
                <w:szCs w:val="22"/>
              </w:rPr>
              <w:t>920</w:t>
            </w:r>
          </w:p>
        </w:tc>
        <w:tc>
          <w:tcPr>
            <w:tcW w:w="1325" w:type="pct"/>
            <w:shd w:val="clear" w:color="auto" w:fill="auto"/>
            <w:vAlign w:val="bottom"/>
          </w:tcPr>
          <w:p w14:paraId="6CE10C69" w14:textId="77777777" w:rsidR="00A00405" w:rsidRPr="00800CE7" w:rsidRDefault="00A00405" w:rsidP="00A00405">
            <w:pPr>
              <w:jc w:val="center"/>
              <w:rPr>
                <w:szCs w:val="22"/>
              </w:rPr>
            </w:pPr>
            <w:r w:rsidRPr="00800CE7">
              <w:rPr>
                <w:szCs w:val="22"/>
              </w:rPr>
              <w:t>34.8</w:t>
            </w:r>
          </w:p>
        </w:tc>
      </w:tr>
      <w:tr w:rsidR="00A00405" w:rsidRPr="00800CE7" w14:paraId="367C7C20" w14:textId="77777777" w:rsidTr="00C459D5">
        <w:trPr>
          <w:trHeight w:val="300"/>
          <w:jc w:val="center"/>
        </w:trPr>
        <w:tc>
          <w:tcPr>
            <w:tcW w:w="1479" w:type="pct"/>
            <w:shd w:val="clear" w:color="auto" w:fill="auto"/>
            <w:vAlign w:val="bottom"/>
          </w:tcPr>
          <w:p w14:paraId="4ED0025A" w14:textId="77777777" w:rsidR="00A00405" w:rsidRPr="00800CE7" w:rsidRDefault="00A00405" w:rsidP="00A00405">
            <w:pPr>
              <w:rPr>
                <w:b/>
                <w:szCs w:val="22"/>
              </w:rPr>
            </w:pPr>
            <w:r w:rsidRPr="00800CE7">
              <w:rPr>
                <w:b/>
                <w:szCs w:val="22"/>
              </w:rPr>
              <w:t>Americas as % of Global</w:t>
            </w:r>
          </w:p>
        </w:tc>
        <w:tc>
          <w:tcPr>
            <w:tcW w:w="732" w:type="pct"/>
            <w:shd w:val="clear" w:color="auto" w:fill="auto"/>
            <w:vAlign w:val="bottom"/>
          </w:tcPr>
          <w:p w14:paraId="1CF7175B" w14:textId="77777777" w:rsidR="00A00405" w:rsidRPr="00800CE7" w:rsidRDefault="00A00405" w:rsidP="00A00405">
            <w:pPr>
              <w:jc w:val="center"/>
              <w:rPr>
                <w:szCs w:val="22"/>
              </w:rPr>
            </w:pPr>
            <w:r w:rsidRPr="00800CE7">
              <w:rPr>
                <w:szCs w:val="22"/>
              </w:rPr>
              <w:t>14.9</w:t>
            </w:r>
          </w:p>
        </w:tc>
        <w:tc>
          <w:tcPr>
            <w:tcW w:w="732" w:type="pct"/>
            <w:shd w:val="clear" w:color="auto" w:fill="auto"/>
            <w:vAlign w:val="bottom"/>
          </w:tcPr>
          <w:p w14:paraId="4E47BDAC" w14:textId="77777777" w:rsidR="00A00405" w:rsidRPr="00800CE7" w:rsidRDefault="00A00405" w:rsidP="00A00405">
            <w:pPr>
              <w:jc w:val="center"/>
              <w:rPr>
                <w:szCs w:val="22"/>
              </w:rPr>
            </w:pPr>
            <w:r w:rsidRPr="00800CE7">
              <w:rPr>
                <w:szCs w:val="22"/>
              </w:rPr>
              <w:t>19.8</w:t>
            </w:r>
          </w:p>
        </w:tc>
        <w:tc>
          <w:tcPr>
            <w:tcW w:w="732" w:type="pct"/>
            <w:shd w:val="clear" w:color="auto" w:fill="auto"/>
            <w:vAlign w:val="bottom"/>
          </w:tcPr>
          <w:p w14:paraId="3144517E" w14:textId="77777777" w:rsidR="00A00405" w:rsidRPr="00800CE7" w:rsidRDefault="00A00405" w:rsidP="00A00405">
            <w:pPr>
              <w:jc w:val="center"/>
              <w:rPr>
                <w:szCs w:val="22"/>
              </w:rPr>
            </w:pPr>
            <w:r w:rsidRPr="00800CE7">
              <w:rPr>
                <w:szCs w:val="22"/>
              </w:rPr>
              <w:t>37.1</w:t>
            </w:r>
          </w:p>
        </w:tc>
        <w:tc>
          <w:tcPr>
            <w:tcW w:w="1325" w:type="pct"/>
            <w:shd w:val="clear" w:color="auto" w:fill="auto"/>
            <w:vAlign w:val="bottom"/>
          </w:tcPr>
          <w:p w14:paraId="24F718BB" w14:textId="77777777" w:rsidR="00A00405" w:rsidRPr="00800CE7" w:rsidRDefault="00A00405" w:rsidP="00A00405">
            <w:pPr>
              <w:jc w:val="center"/>
              <w:rPr>
                <w:szCs w:val="22"/>
              </w:rPr>
            </w:pPr>
            <w:r w:rsidRPr="00800CE7">
              <w:rPr>
                <w:szCs w:val="22"/>
              </w:rPr>
              <w:t>26.3</w:t>
            </w:r>
          </w:p>
        </w:tc>
      </w:tr>
      <w:tr w:rsidR="00A00405" w:rsidRPr="00800CE7" w14:paraId="40F043AE" w14:textId="77777777" w:rsidTr="00A00405">
        <w:trPr>
          <w:trHeight w:val="300"/>
          <w:jc w:val="center"/>
        </w:trPr>
        <w:tc>
          <w:tcPr>
            <w:tcW w:w="5000" w:type="pct"/>
            <w:gridSpan w:val="5"/>
            <w:shd w:val="clear" w:color="auto" w:fill="auto"/>
            <w:vAlign w:val="bottom"/>
          </w:tcPr>
          <w:p w14:paraId="60B2A852" w14:textId="3CDBD4A5" w:rsidR="00A00405" w:rsidRPr="004D42ED" w:rsidRDefault="00A00405" w:rsidP="0044060E">
            <w:pPr>
              <w:rPr>
                <w:sz w:val="20"/>
                <w:szCs w:val="20"/>
              </w:rPr>
            </w:pPr>
            <w:r w:rsidRPr="004D42ED">
              <w:rPr>
                <w:sz w:val="20"/>
                <w:szCs w:val="20"/>
              </w:rPr>
              <w:t xml:space="preserve">Source: Simons </w:t>
            </w:r>
            <w:r w:rsidR="0044060E" w:rsidRPr="004D42ED">
              <w:rPr>
                <w:sz w:val="20"/>
                <w:szCs w:val="20"/>
              </w:rPr>
              <w:t>&amp;</w:t>
            </w:r>
            <w:r w:rsidRPr="004D42ED">
              <w:rPr>
                <w:sz w:val="20"/>
                <w:szCs w:val="20"/>
              </w:rPr>
              <w:t xml:space="preserve"> Fennig (2017).</w:t>
            </w:r>
          </w:p>
        </w:tc>
      </w:tr>
    </w:tbl>
    <w:p w14:paraId="5C6147A5" w14:textId="77777777" w:rsidR="00A00405" w:rsidRPr="008608AA" w:rsidRDefault="00A00405" w:rsidP="00C459D5">
      <w:pPr>
        <w:spacing w:before="240" w:after="120"/>
      </w:pPr>
      <w:r w:rsidRPr="008608AA">
        <w:t xml:space="preserve">The interaction of the Americas’ social and ecological diversity provides multiple, often unapparent, ways for humans to relate to nature. For example, the domestication of plants in the Amazon in the pre-Colombian era continues to structure the vegetation composition of the modern forest (Levis et al., 2017). However, the scholarship on the NCP-quality of life relationship does not fully address this complexity. The number of studies on the benefits people receive from nature has a bias towards Western developed nations; one major review found that 79% of such publications were from North America and Europe with none from South America and Africa (Keniger et al., 2013). There are also gaps in the information available on different biomes or valuation methodologies. For example, a review of the effects of conservation interventions on human well-being in countries that were not members of the Organization for Economic Cooperation and Development found that among 1,043 studies evaluated, there was a clear emphasis on research in forested ecosystems and the material and economic benefits of conservation and the effects on governance (McKinnon et al., 2016). Other aspects of well-being, such as health and livelihoods have been less studied, and overall, only 9% of publications used quantitative methods. Therefore, although there is clear consensus in the literature that NCP are important for human well-being, it is often difficult to discern the status and trends in the ways the constituent parts interact. </w:t>
      </w:r>
    </w:p>
    <w:p w14:paraId="1B067230" w14:textId="45745935" w:rsidR="00A00405" w:rsidRPr="008608AA" w:rsidRDefault="00A00405" w:rsidP="00C459D5">
      <w:pPr>
        <w:spacing w:after="120"/>
      </w:pPr>
      <w:r w:rsidRPr="008608AA">
        <w:t xml:space="preserve">At the same time, while long-term quantitative information is sometimes lacking, insights can be gained by examining the qualitative ways that NCP and human well-being are related, including a mechanistic understanding of how knowing, perceiving, interacting with and living in nature affects well-being (Russell et al., 2013). This chapter seeks to highlight these relationships and the particular values at stake (see Table 2.1 in the document IPBES/3/INF/7 </w:t>
      </w:r>
      <w:r w:rsidR="005F1E09" w:rsidRPr="008608AA">
        <w:t>“</w:t>
      </w:r>
      <w:r w:rsidRPr="008608AA">
        <w:t>Preliminary guide regarding diverse conceptualization of multiple values of nature and its benefits, including biodiversity and ecosystem functions and services</w:t>
      </w:r>
      <w:r w:rsidR="005F1E09" w:rsidRPr="008608AA">
        <w:t>”</w:t>
      </w:r>
      <w:r w:rsidRPr="008608AA">
        <w:t>, and also Table 2.21 in section 2.5.1 of this chapter). For example, there is a well-established and plural human-nature relationship between salmon and various indigenous peoples and local communities in northwest North America. On the one hand, salmon are used to help satisfy material needs of direct beneficiaries (</w:t>
      </w:r>
      <w:r w:rsidR="00847F60" w:rsidRPr="008608AA">
        <w:t>e.g.</w:t>
      </w:r>
      <w:r w:rsidRPr="008608AA">
        <w:t xml:space="preserve"> meat) and also represent an economic resource for indirect users. At the same time, some groups value salmon for their aesthetic/spiritual properties that contribute to non-material NCP (NRC, 1996). Furthermore, the value of an NCP to quality of life can vary over timing of its delivery. For example, in the case of habitat conversion and pesticide application to increase crop yields, it is necessary to also account for the concomitant reduction in pollinators that ultimately can jeopardize food security in the medium- to long-term (IPBES, 2016). </w:t>
      </w:r>
    </w:p>
    <w:p w14:paraId="61576ED5" w14:textId="7B7922AD" w:rsidR="00A00405" w:rsidRPr="008608AA" w:rsidRDefault="00A00405" w:rsidP="00C459D5">
      <w:pPr>
        <w:spacing w:after="120"/>
      </w:pPr>
      <w:r w:rsidRPr="008608AA">
        <w:t>Consequently, IPBES’ current assessments of the NCP-quality of life relationship provide a way to systematize and monitor how human development and environmental conservation relate to one another and how different values and timescales are linked. This effort also advances and complements other international programs like the United Nations (UN) Sustainable Development Goals (SDG) and the Convention on Biological Diversity’s (CBD)</w:t>
      </w:r>
      <w:r w:rsidR="00847F60" w:rsidRPr="008608AA">
        <w:t xml:space="preserve"> Aichi t</w:t>
      </w:r>
      <w:r w:rsidRPr="008608AA">
        <w:t>argets, which share an expansive understanding of the human-nature relationship and an emphasis on developing quantitative measures that allow implementation in policy- and decision-making.</w:t>
      </w:r>
    </w:p>
    <w:p w14:paraId="7243C196" w14:textId="77777777" w:rsidR="00A00405" w:rsidRPr="008608AA" w:rsidRDefault="00A00405" w:rsidP="00A00405">
      <w:pPr>
        <w:spacing w:after="120"/>
      </w:pPr>
    </w:p>
    <w:p w14:paraId="2C667A06" w14:textId="77777777" w:rsidR="00A00405" w:rsidRPr="008608AA" w:rsidRDefault="00A00405" w:rsidP="00AB5E93">
      <w:pPr>
        <w:pStyle w:val="Heading3"/>
      </w:pPr>
      <w:bookmarkStart w:id="617" w:name="_Toc517393241"/>
      <w:bookmarkStart w:id="618" w:name="_Toc517718982"/>
      <w:bookmarkStart w:id="619" w:name="_Toc517796939"/>
      <w:r w:rsidRPr="008608AA">
        <w:t>Understanding stakeholder, value and knowledge system diversity in the human-nature relationship and its effect on quality of life</w:t>
      </w:r>
      <w:bookmarkEnd w:id="617"/>
      <w:bookmarkEnd w:id="618"/>
      <w:bookmarkEnd w:id="619"/>
      <w:r w:rsidRPr="008608AA">
        <w:t xml:space="preserve"> </w:t>
      </w:r>
    </w:p>
    <w:p w14:paraId="72640C9F" w14:textId="4F28F556" w:rsidR="00A00405" w:rsidRPr="008608AA" w:rsidRDefault="00A00405" w:rsidP="00C459D5">
      <w:pPr>
        <w:spacing w:after="120"/>
      </w:pPr>
      <w:r w:rsidRPr="008608AA">
        <w:t>Evaluating the relationships that humans develop with nature requires taking into account the diversity of stakeholders, their values and knowledge systems. For instance, the distribution of benefits and disservices varies within and between social groups, whereby asymmetries in access to nature that are based on gender, age, social role or status, and other characteristics affect outcomes regarding human well-being. Stakeholders, in turn, may define their well-being based on group values, determined as a function of their social role or way of life (</w:t>
      </w:r>
      <w:r w:rsidR="00847F60" w:rsidRPr="008608AA">
        <w:t>e.g.</w:t>
      </w:r>
      <w:r w:rsidRPr="008608AA">
        <w:t xml:space="preserve"> farmers, decision-makers or local residents), or based on their personal interests (</w:t>
      </w:r>
      <w:r w:rsidR="00847F60" w:rsidRPr="008608AA">
        <w:t>e.g.</w:t>
      </w:r>
      <w:r w:rsidRPr="008608AA">
        <w:t xml:space="preserve"> users, providers or intermediaries of nature’s contributions to people). Consequently, social valuation of nature and its ecosystem benefits and services varies, depending on individual stakeholder traits, such as socio-economic status and literacy levels (</w:t>
      </w:r>
      <w:r w:rsidR="00847F60" w:rsidRPr="008608AA">
        <w:t>e.g.</w:t>
      </w:r>
      <w:r w:rsidRPr="008608AA">
        <w:t xml:space="preserve"> factors that affect willingness to pay for ecosystem services, Silva et al., 2016) and also on broader worldviews that are shared by specific cultures or social groups (</w:t>
      </w:r>
      <w:r w:rsidR="00847F60" w:rsidRPr="008608AA">
        <w:t>e.g.</w:t>
      </w:r>
      <w:r w:rsidRPr="008608AA">
        <w:t xml:space="preserve"> Andean cosmology, which considers the human-nature relationship reciprocal, Zenteno-Brun, 2009) . </w:t>
      </w:r>
    </w:p>
    <w:p w14:paraId="034524CE" w14:textId="58668615" w:rsidR="00A00405" w:rsidRPr="008608AA" w:rsidRDefault="00A00405" w:rsidP="00C459D5">
      <w:pPr>
        <w:spacing w:after="120"/>
      </w:pPr>
      <w:r w:rsidRPr="008608AA">
        <w:t>Furthermore, the loss of ecosystem services does not impact communities equally; often losses are felt disproportionately by marginalized peoples (</w:t>
      </w:r>
      <w:r w:rsidR="00847F60" w:rsidRPr="008608AA">
        <w:t>e.g.</w:t>
      </w:r>
      <w:r w:rsidRPr="008608AA">
        <w:t xml:space="preserve"> developing nations, lower income communities, and ethnic groups with more direct traditional ties to nature) (MEA, 2005). Moreover, powerful stakeholders, such as large industry and government agencies, have greater capacity to impose their worldview and values upon others by more heavily influencing management decisions, compared to less powerful social actors, such as small-scale farmers or indigenous hunters, whose quality of life depends more directly upon local ecosystems (</w:t>
      </w:r>
      <w:r w:rsidR="00847F60" w:rsidRPr="008608AA">
        <w:t>e.g.</w:t>
      </w:r>
      <w:r w:rsidRPr="008608AA">
        <w:t xml:space="preserve"> Darvill &amp; Lindo, 2016). Indeed, different groups may not only have divergent power, uses and interests, but they also may define the very concepts of nature and quality of life based on different knowledge systems (IPBES/4/INF/13). </w:t>
      </w:r>
    </w:p>
    <w:p w14:paraId="0EA19BD3" w14:textId="0D910638" w:rsidR="00A00405" w:rsidRPr="008608AA" w:rsidRDefault="00A00405" w:rsidP="00C459D5">
      <w:pPr>
        <w:spacing w:after="120"/>
      </w:pPr>
      <w:r w:rsidRPr="008608AA">
        <w:t>Balancing the contested needs, demands and conceptualizations of nature proves increasingly difficult, as species and ecosystems are shared across a greater number of stakeholders and jurisdictions (i.e. telecoupling). When conflicts between social groups arise, it is important that these also be understood from the standpoint of stakeholder value and knowledge diversity, which must be incorporated for successful management (Mouchet et al., 2014). For example, when confronted with the possibility of building a dam on the Upper Peace River in British Columbia, Canada, environmentalists, government officials and recreationists placed lower value on provisioning ecosystem services than First Nations peoples, hunter/anglers and agriculturalists. In contrast, cultural ecosystem services, such as the aesthetics and beauty of landscapes, landscapes for sense-of-place, and recreation were consistently ranked highly across all groups (Darvill &amp; Lindo, 2016). It is important, therefore, to recognize the multiple ways of understanding nature for decision-makers to incorporate the breadth of values at stake before conflicts occur (Jones-Walters &amp; Cil, 2011; Klain &amp; Chan, 2012). By elucidating the stakeholders, values, and knowledge systems at play, programs can determine the underlying preferences and motivations that characterize social-ecological interactions and the subsequent valuation of ecosystem services (</w:t>
      </w:r>
      <w:r w:rsidR="00847F60" w:rsidRPr="008608AA">
        <w:t>e.g.</w:t>
      </w:r>
      <w:r w:rsidRPr="008608AA">
        <w:t xml:space="preserve"> Silva et al., 2016), and better management plans can avoid conflicts by not taking decisions that create asymmetries in the availability of ecosystem services or that unwittingly prioritize one stakeholder or value over others (Howe et al., 2014). </w:t>
      </w:r>
    </w:p>
    <w:p w14:paraId="68E3AED7" w14:textId="3B94F449" w:rsidR="00A00405" w:rsidRPr="008608AA" w:rsidRDefault="00A00405" w:rsidP="00C459D5">
      <w:pPr>
        <w:spacing w:after="120"/>
      </w:pPr>
      <w:r w:rsidRPr="008608AA">
        <w:t>In the following sections, we assess the status and trends of NCP and how these ecosystem services impact human well-being in the Americas. This assessment uses and expands upon the ecosystem services paradigm (Ehrlich &amp; Mooney, 1983), which rose to prominence in the ecological sciences as part of a broader academic and intergovernmental understanding that human societies (including economies) are bound by ecological constraints (Meadows et al., 1972; Brundtland et al., 1987). Subsequently, the concept was developed as a central element in the fields of economics and natural resource management (Gómez-Baggethun et al., 2010), and today it is found expressed in policy instruments across the Americas (</w:t>
      </w:r>
      <w:r w:rsidR="00847F60" w:rsidRPr="008608AA">
        <w:t>e.g.</w:t>
      </w:r>
      <w:r w:rsidRPr="008608AA">
        <w:t xml:space="preserve"> native forestry laws in Argentina #26,331, Bolivia #1,700, Brazil #11,284 and Chile #20,283) and international initiatives (</w:t>
      </w:r>
      <w:r w:rsidR="00847F60" w:rsidRPr="008608AA">
        <w:t>e.g.</w:t>
      </w:r>
      <w:r w:rsidRPr="008608AA">
        <w:t xml:space="preserve"> World Bank’s Wealth Accounting and the Valuation of Ecosystem Services and The Economics of Ecosystems and Biodiversity).</w:t>
      </w:r>
      <w:r w:rsidRPr="008608AA">
        <w:rPr>
          <w:i/>
        </w:rPr>
        <w:t xml:space="preserve"> </w:t>
      </w:r>
    </w:p>
    <w:p w14:paraId="01B76000" w14:textId="77777777" w:rsidR="00A00405" w:rsidRPr="008608AA" w:rsidRDefault="00A00405" w:rsidP="00C459D5">
      <w:pPr>
        <w:spacing w:after="120"/>
      </w:pPr>
      <w:r w:rsidRPr="008608AA">
        <w:t xml:space="preserve">The IPBES approach aims to broaden the valuation of nature by explicitly incorporating stakeholders, values and knowledge systems (Pascual et al., 2017). This socio-cultural valuation approach (see Scholte et al., 2015) facilitates a broader understanding that integrates insights from environmental philosophy and ethics (intrinsic, instrumental and relational values, Rolston, 1986; Callicott, 1989; Chan et al., 2016) and environmental social science disciplines, such as sociology, social psychology and anthropology (Keen et al., 2005; Clayton &amp; Myers, 2009; Steg et al., 2013; Díaz et al., 2015), with an explicit recognition and validation of the values and knowledge held by indigenous peoples and local communities. In keeping with this approach to values, it is equally important to recognize from where one speaks, and this chapter (and the entire </w:t>
      </w:r>
      <w:r w:rsidRPr="008608AA">
        <w:rPr>
          <w:i/>
        </w:rPr>
        <w:t>Americas Assessment</w:t>
      </w:r>
      <w:r w:rsidRPr="008608AA">
        <w:t>) was developed primarily by academic scientists with a natural science education and background. However, by making this fact explicit and applying the integrated assessment methodologies developed by IPBES, such limitations can be addressed, but should never be overlooked in the interpretation and analysis of findings.</w:t>
      </w:r>
    </w:p>
    <w:p w14:paraId="72EA9712" w14:textId="1DCF52E7" w:rsidR="00A00405" w:rsidRPr="008608AA" w:rsidRDefault="00A00405" w:rsidP="00AB5E93">
      <w:pPr>
        <w:pStyle w:val="Heading2"/>
      </w:pPr>
      <w:bookmarkStart w:id="620" w:name="_Toc517393242"/>
      <w:bookmarkStart w:id="621" w:name="_Toc517718983"/>
      <w:bookmarkStart w:id="622" w:name="_Toc517796940"/>
      <w:r w:rsidRPr="008608AA">
        <w:t xml:space="preserve">Status and </w:t>
      </w:r>
      <w:r w:rsidR="00546FB4" w:rsidRPr="008608AA">
        <w:t>t</w:t>
      </w:r>
      <w:r w:rsidRPr="008608AA">
        <w:t xml:space="preserve">rends of </w:t>
      </w:r>
      <w:r w:rsidR="00546FB4" w:rsidRPr="008608AA">
        <w:t>n</w:t>
      </w:r>
      <w:r w:rsidRPr="008608AA">
        <w:t xml:space="preserve">ature’s </w:t>
      </w:r>
      <w:r w:rsidR="00546FB4" w:rsidRPr="008608AA">
        <w:t>c</w:t>
      </w:r>
      <w:r w:rsidRPr="008608AA">
        <w:t xml:space="preserve">ontribution to </w:t>
      </w:r>
      <w:r w:rsidR="00546FB4" w:rsidRPr="008608AA">
        <w:t>p</w:t>
      </w:r>
      <w:r w:rsidRPr="008608AA">
        <w:t>eople in the Americas</w:t>
      </w:r>
      <w:bookmarkEnd w:id="620"/>
      <w:bookmarkEnd w:id="621"/>
      <w:bookmarkEnd w:id="622"/>
    </w:p>
    <w:p w14:paraId="5BC7F2B7" w14:textId="20B73BDC" w:rsidR="00C459D5" w:rsidRPr="008608AA" w:rsidRDefault="00A00405" w:rsidP="00C459D5">
      <w:pPr>
        <w:spacing w:after="120"/>
      </w:pPr>
      <w:r w:rsidRPr="008608AA">
        <w:t xml:space="preserve">In the following sub-sections we present: (i) data showing the status and trends of NCP in the Americas and its subregions (North America, Mesoamerica, the Caribbean and South America); (ii) the contributions of each category of NCP to quality of life (i.e. human well-being);  (iii) select case studies to demonstrate relevance, observed differences between subregions, and differences in cultural values or trends in a particular variable; and (iv) where appropriate, a brief description of drivers affecting the NCP and it links to well-being (see Chapter 4 for a quantitative discussion on drivers and impacts). The section is organized by material, non-material and regulating NCP (see Table 1.4 in Chapter 1). </w:t>
      </w:r>
    </w:p>
    <w:p w14:paraId="3080378C" w14:textId="77777777" w:rsidR="00C459D5" w:rsidRPr="008608AA" w:rsidRDefault="00C459D5" w:rsidP="00C459D5">
      <w:pPr>
        <w:spacing w:after="120"/>
      </w:pPr>
    </w:p>
    <w:p w14:paraId="561D5B7E" w14:textId="09181275" w:rsidR="00A00405" w:rsidRPr="008608AA" w:rsidRDefault="00A00405" w:rsidP="00AB5E93">
      <w:pPr>
        <w:pStyle w:val="Heading3"/>
      </w:pPr>
      <w:bookmarkStart w:id="623" w:name="_Toc517393243"/>
      <w:bookmarkStart w:id="624" w:name="_Toc517718984"/>
      <w:bookmarkStart w:id="625" w:name="_Toc517796941"/>
      <w:r w:rsidRPr="008608AA">
        <w:t xml:space="preserve">Food and </w:t>
      </w:r>
      <w:r w:rsidR="00546FB4" w:rsidRPr="008608AA">
        <w:t>f</w:t>
      </w:r>
      <w:r w:rsidRPr="008608AA">
        <w:t>eed</w:t>
      </w:r>
      <w:bookmarkEnd w:id="623"/>
      <w:bookmarkEnd w:id="624"/>
      <w:bookmarkEnd w:id="625"/>
    </w:p>
    <w:p w14:paraId="56860DA9" w14:textId="48F18E99" w:rsidR="00AB5E93" w:rsidRPr="008608AA" w:rsidRDefault="00A00405" w:rsidP="00C459D5">
      <w:pPr>
        <w:spacing w:after="120"/>
      </w:pPr>
      <w:r w:rsidRPr="008608AA">
        <w:t>Agriculture is a dominant form of land management globally, and agricultural ecosystems cover nearly 40% of the Earth’s terrestrial surface area. According to the Food and Agriculture Organization of the United Nations (2014a) most farms are owned by the families that work them; they tend to be small and found in rural areas of developing countries. Many small family producers are poor, food insecure and have limited access to markets and services. Despite this, they cultivate their own land and produce food for a substantial proportion of the world's population. In addition to agriculture, they engage in many other (often informal) economic activities to supplement their reduced incomes. Agricultural ecosystems are managed by people mainly to meet food, fiber (</w:t>
      </w:r>
      <w:r w:rsidR="00B20C8E" w:rsidRPr="008608AA">
        <w:t>section</w:t>
      </w:r>
      <w:r w:rsidRPr="008608AA">
        <w:t xml:space="preserve"> 2.2.2) and fuel needs (</w:t>
      </w:r>
      <w:r w:rsidR="00B20C8E" w:rsidRPr="008608AA">
        <w:t>section</w:t>
      </w:r>
      <w:r w:rsidRPr="008608AA">
        <w:t xml:space="preserve"> 2.2.3) (FAO, 2014a). An extensive body of evidence shows that agricultural investment is one of the most important and effective strategies for economic growth and poverty reduction in rural areas (FAO, 2015). Continuing growth of populations and increasing consumption per capita means that the global demand for food will increase for at least another half-century. The competition for land, water, and energy, in addition to the overexploitation of fisheries, will affect humans’ ability to produce food and contribute to the urgent requirement to reduce the impact of the food system on the environment and other NCP. Plus, the effects of climate change are a further threat (Alston et al., 2000, see Chapter 4 for more details). </w:t>
      </w:r>
    </w:p>
    <w:p w14:paraId="75F86CC7" w14:textId="77777777" w:rsidR="00AB5E93" w:rsidRPr="008608AA" w:rsidRDefault="00AB5E93" w:rsidP="00C459D5">
      <w:pPr>
        <w:spacing w:after="120"/>
      </w:pPr>
    </w:p>
    <w:p w14:paraId="5A4C9356" w14:textId="41DFBA6B" w:rsidR="00A00405" w:rsidRPr="008608AA" w:rsidRDefault="00A00405" w:rsidP="00AB5E93">
      <w:pPr>
        <w:pStyle w:val="Heading4"/>
      </w:pPr>
      <w:bookmarkStart w:id="626" w:name="_Toc517393244"/>
      <w:bookmarkStart w:id="627" w:name="_Toc517718985"/>
      <w:bookmarkStart w:id="628" w:name="_Toc517796942"/>
      <w:r w:rsidRPr="008608AA">
        <w:t>Crops</w:t>
      </w:r>
      <w:bookmarkEnd w:id="626"/>
      <w:bookmarkEnd w:id="627"/>
      <w:bookmarkEnd w:id="628"/>
      <w:r w:rsidRPr="008608AA">
        <w:t xml:space="preserve">  </w:t>
      </w:r>
    </w:p>
    <w:p w14:paraId="46BD1EE9" w14:textId="77777777" w:rsidR="00A00405" w:rsidRPr="008608AA" w:rsidRDefault="00A00405" w:rsidP="00AF256C">
      <w:pPr>
        <w:spacing w:after="120"/>
      </w:pPr>
      <w:r w:rsidRPr="008608AA">
        <w:t xml:space="preserve">The Americas play a key role in the sources and production of crops in the world’s economy, showing an increase in production rates for some commodities that is higher than the global trend. The Americas provided about 17% of global production in oil crops and 10% of coarse grain (primarily corn). The region is also a net exporter of sugar and honey, with exports more than doubling between 2000 and 2011 (FAO, 2014a). This growth is due to the tremendous increase in exports from Brazil (from 6.5 million tons of sugar in 2000 to 25.5 million tons in 2011), making it the world’s largest sugar exporter. </w:t>
      </w:r>
    </w:p>
    <w:p w14:paraId="6057B439" w14:textId="5A92A3B2" w:rsidR="00A00405" w:rsidRPr="008608AA" w:rsidRDefault="00A00405" w:rsidP="00AF256C">
      <w:pPr>
        <w:spacing w:after="120"/>
      </w:pPr>
      <w:r w:rsidRPr="008608AA">
        <w:t>The average agricultural productivity in the Americas, measured as the real agricultural aggregate value per farm worker was $3,070 from 2000 to 2009. This regional average is much lower than specific subregions or countries. For example, in Canada it is $42,965 per farm worker (</w:t>
      </w:r>
      <w:r w:rsidR="005F64F4" w:rsidRPr="008608AA">
        <w:t xml:space="preserve">The </w:t>
      </w:r>
      <w:r w:rsidRPr="008608AA">
        <w:t xml:space="preserve">World Bank, 2012). The increase of the real agricultural aggregate value of the South American subregion was an extraordinary 10.8% in 2009, almost three percentage points above the subregional </w:t>
      </w:r>
      <w:r w:rsidR="0063020B" w:rsidRPr="008608AA">
        <w:t>Gross Domestic Product (GDP</w:t>
      </w:r>
      <w:r w:rsidRPr="008608AA">
        <w:t>) increase (see Chapter 1), primarily due to record wheat yields in Brazil and Argentina and corn in Argentina (CEPAL/FAO/IICA, 2012).</w:t>
      </w:r>
    </w:p>
    <w:p w14:paraId="1FA9D7E9" w14:textId="44D3CCE5" w:rsidR="00A00405" w:rsidRPr="008608AA" w:rsidRDefault="00A00405" w:rsidP="00AF256C">
      <w:pPr>
        <w:spacing w:after="120"/>
      </w:pPr>
      <w:r w:rsidRPr="008608AA">
        <w:t>Crop production increased overall between 1961-2013 (Figure 2.1). In the Caribbean, however, where sugar had been the most important agricultural commodity, production significantly decreased (FAO, 2014a). This was in part a result of the USA economic blockade of Cuba, and of more competitive sugar production in other regions (FAO, 1997). In Mesoamerica, some crop decreases were mainly due to changes in trade policies with a tendency to deregulate domestic markets and reduce trade barriers. On the other hand, North America registers a constant growth for soybean and wheat crop production, while other crops remained stable. In South America, soybean and corn production increased substantially in recent years. By 2014, the area allocated per subregion for cereal cultivation stands at &gt;127 million hectares, where North America accounts for &gt;50% of the region’s total and annual growth was only observed for cereal production in Mesoamerica and the Caribbean (Figure 2.1).</w:t>
      </w:r>
    </w:p>
    <w:p w14:paraId="5C15D26A" w14:textId="2FB7C636" w:rsidR="00AF256C" w:rsidRPr="008608AA" w:rsidRDefault="00AF256C" w:rsidP="00AF256C">
      <w:pPr>
        <w:spacing w:before="240"/>
        <w:jc w:val="center"/>
      </w:pPr>
    </w:p>
    <w:p w14:paraId="72BD3B25" w14:textId="7E1EDCA3" w:rsidR="00AF256C" w:rsidRPr="008608AA" w:rsidRDefault="00452A91" w:rsidP="00AF256C">
      <w:pPr>
        <w:spacing w:before="240"/>
        <w:jc w:val="center"/>
      </w:pPr>
      <w:r w:rsidRPr="008608AA">
        <w:rPr>
          <w:noProof/>
          <w:lang w:val="en-GB" w:eastAsia="en-GB"/>
        </w:rPr>
        <w:drawing>
          <wp:inline distT="0" distB="0" distL="0" distR="0" wp14:anchorId="0E93EFA4" wp14:editId="2F37F932">
            <wp:extent cx="5934075" cy="4981575"/>
            <wp:effectExtent l="0" t="0" r="9525" b="9525"/>
            <wp:docPr id="16" name="Imagen 16" descr="C:\Users\Alejandro Valderrama\Downloads\Fig2.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7" descr="C:\Users\Alejandro Valderrama\Downloads\Fig2.01A.jpg"/>
                    <pic:cNvPicPr>
                      <a:picLocks noChangeAspect="1" noChangeArrowheads="1"/>
                    </pic:cNvPicPr>
                  </pic:nvPicPr>
                  <pic:blipFill rotWithShape="1">
                    <a:blip r:embed="rId49">
                      <a:extLst>
                        <a:ext uri="{28A0092B-C50C-407E-A947-70E740481C1C}">
                          <a14:useLocalDpi xmlns:a14="http://schemas.microsoft.com/office/drawing/2010/main" val="0"/>
                        </a:ext>
                      </a:extLst>
                    </a:blip>
                    <a:srcRect b="41760"/>
                    <a:stretch/>
                  </pic:blipFill>
                  <pic:spPr bwMode="auto">
                    <a:xfrm>
                      <a:off x="0" y="0"/>
                      <a:ext cx="5934075" cy="4981575"/>
                    </a:xfrm>
                    <a:prstGeom prst="rect">
                      <a:avLst/>
                    </a:prstGeom>
                    <a:noFill/>
                    <a:ln>
                      <a:noFill/>
                    </a:ln>
                    <a:extLst>
                      <a:ext uri="{53640926-AAD7-44D8-BBD7-CCE9431645EC}">
                        <a14:shadowObscured xmlns:a14="http://schemas.microsoft.com/office/drawing/2010/main"/>
                      </a:ext>
                    </a:extLst>
                  </pic:spPr>
                </pic:pic>
              </a:graphicData>
            </a:graphic>
          </wp:inline>
        </w:drawing>
      </w:r>
    </w:p>
    <w:p w14:paraId="115FC750" w14:textId="77777777" w:rsidR="00452A91" w:rsidRPr="008608AA" w:rsidRDefault="00452A91" w:rsidP="00AF256C">
      <w:pPr>
        <w:spacing w:before="240"/>
        <w:jc w:val="center"/>
      </w:pPr>
    </w:p>
    <w:p w14:paraId="226DFADE" w14:textId="38DFE6C8" w:rsidR="00452A91" w:rsidRPr="008608AA" w:rsidRDefault="00452A91" w:rsidP="00AF256C">
      <w:pPr>
        <w:spacing w:before="240"/>
        <w:jc w:val="center"/>
      </w:pPr>
      <w:r w:rsidRPr="008608AA">
        <w:rPr>
          <w:noProof/>
          <w:lang w:val="en-GB" w:eastAsia="en-GB"/>
        </w:rPr>
        <w:drawing>
          <wp:inline distT="0" distB="0" distL="0" distR="0" wp14:anchorId="66EB9E0A" wp14:editId="4DE04340">
            <wp:extent cx="5934075" cy="4991100"/>
            <wp:effectExtent l="0" t="0" r="9525" b="0"/>
            <wp:docPr id="17" name="Imagen 17" descr="C:\Users\Alejandro Valderrama\Downloads\Fig2.0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8" descr="C:\Users\Alejandro Valderrama\Downloads\Fig2.01B.jpg"/>
                    <pic:cNvPicPr>
                      <a:picLocks noChangeAspect="1" noChangeArrowheads="1"/>
                    </pic:cNvPicPr>
                  </pic:nvPicPr>
                  <pic:blipFill rotWithShape="1">
                    <a:blip r:embed="rId50">
                      <a:extLst>
                        <a:ext uri="{28A0092B-C50C-407E-A947-70E740481C1C}">
                          <a14:useLocalDpi xmlns:a14="http://schemas.microsoft.com/office/drawing/2010/main" val="0"/>
                        </a:ext>
                      </a:extLst>
                    </a:blip>
                    <a:srcRect b="41648"/>
                    <a:stretch/>
                  </pic:blipFill>
                  <pic:spPr bwMode="auto">
                    <a:xfrm>
                      <a:off x="0" y="0"/>
                      <a:ext cx="5934075" cy="4991100"/>
                    </a:xfrm>
                    <a:prstGeom prst="rect">
                      <a:avLst/>
                    </a:prstGeom>
                    <a:noFill/>
                    <a:ln>
                      <a:noFill/>
                    </a:ln>
                    <a:extLst>
                      <a:ext uri="{53640926-AAD7-44D8-BBD7-CCE9431645EC}">
                        <a14:shadowObscured xmlns:a14="http://schemas.microsoft.com/office/drawing/2010/main"/>
                      </a:ext>
                    </a:extLst>
                  </pic:spPr>
                </pic:pic>
              </a:graphicData>
            </a:graphic>
          </wp:inline>
        </w:drawing>
      </w:r>
    </w:p>
    <w:p w14:paraId="48180907" w14:textId="6092FA7E" w:rsidR="00A00405" w:rsidRPr="008608AA" w:rsidRDefault="00A00405" w:rsidP="00AF256C">
      <w:pPr>
        <w:spacing w:before="240"/>
      </w:pPr>
      <w:r w:rsidRPr="008608AA">
        <w:t>Overall, the Americas has positioned itself well in the international market of agricultural goods, and the export of agricultural products has increased dramatically for all subregions in the Americas, except the Caribbean. (CEPAL/FAO/IICA 2012). Without considering the type of crops, a comparative view shows patterns with export and import values for the Americas (Figure 2.2). The Caribbean’s decrease in exports is the result of reductions in sugar cane export since 1989, while the export of soybeans was the most important crop commodity from South America (Figure 2.3). Throughout the past 50 years, corn, soybean and wheat showed the highest export values for North America, and bananas, vegetables and sugar for Mesoamerica.</w:t>
      </w:r>
    </w:p>
    <w:p w14:paraId="5D1F1E7E" w14:textId="77777777" w:rsidR="00A00405" w:rsidRPr="008608AA" w:rsidRDefault="00A00405" w:rsidP="00A00405">
      <w:pPr>
        <w:spacing w:before="240"/>
      </w:pPr>
    </w:p>
    <w:p w14:paraId="30FA22D3" w14:textId="3EA382B8" w:rsidR="00A00405" w:rsidRPr="008608AA" w:rsidRDefault="00A00405" w:rsidP="00AF256C">
      <w:pPr>
        <w:jc w:val="center"/>
      </w:pPr>
      <w:r w:rsidRPr="008608AA">
        <w:br w:type="page"/>
      </w:r>
      <w:r w:rsidR="00452A91" w:rsidRPr="008608AA">
        <w:rPr>
          <w:noProof/>
          <w:lang w:val="en-GB" w:eastAsia="en-GB"/>
        </w:rPr>
        <w:drawing>
          <wp:inline distT="0" distB="0" distL="0" distR="0" wp14:anchorId="1D74D78D" wp14:editId="18FC14B2">
            <wp:extent cx="5934075" cy="5514975"/>
            <wp:effectExtent l="0" t="0" r="9525" b="9525"/>
            <wp:docPr id="18" name="Imagen 18" descr="C:\Users\Alejandro Valderrama\Downloads\Fig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6" descr="C:\Users\Alejandro Valderrama\Downloads\Fig2.02.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334" b="35189"/>
                    <a:stretch/>
                  </pic:blipFill>
                  <pic:spPr bwMode="auto">
                    <a:xfrm>
                      <a:off x="0" y="0"/>
                      <a:ext cx="5934075" cy="5514975"/>
                    </a:xfrm>
                    <a:prstGeom prst="rect">
                      <a:avLst/>
                    </a:prstGeom>
                    <a:noFill/>
                    <a:ln>
                      <a:noFill/>
                    </a:ln>
                    <a:extLst>
                      <a:ext uri="{53640926-AAD7-44D8-BBD7-CCE9431645EC}">
                        <a14:shadowObscured xmlns:a14="http://schemas.microsoft.com/office/drawing/2010/main"/>
                      </a:ext>
                    </a:extLst>
                  </pic:spPr>
                </pic:pic>
              </a:graphicData>
            </a:graphic>
          </wp:inline>
        </w:drawing>
      </w:r>
    </w:p>
    <w:p w14:paraId="673870C3" w14:textId="77777777" w:rsidR="00AF256C" w:rsidRPr="008608AA" w:rsidRDefault="00AF256C" w:rsidP="00A00405"/>
    <w:p w14:paraId="7B4ACDFD" w14:textId="77777777" w:rsidR="00AF256C" w:rsidRPr="008608AA" w:rsidRDefault="00AF256C" w:rsidP="00A00405"/>
    <w:p w14:paraId="0EB2290F" w14:textId="4B906A45" w:rsidR="00AF256C" w:rsidRPr="008608AA" w:rsidRDefault="00452A91" w:rsidP="00AF256C">
      <w:pPr>
        <w:spacing w:after="120"/>
        <w:jc w:val="center"/>
      </w:pPr>
      <w:r w:rsidRPr="008608AA">
        <w:rPr>
          <w:noProof/>
          <w:lang w:val="en-GB" w:eastAsia="en-GB"/>
        </w:rPr>
        <w:drawing>
          <wp:inline distT="0" distB="0" distL="0" distR="0" wp14:anchorId="60790A64" wp14:editId="6DD9CF02">
            <wp:extent cx="5934075" cy="7562850"/>
            <wp:effectExtent l="0" t="0" r="9525" b="0"/>
            <wp:docPr id="19" name="Imagen 19" descr="C:\Users\Alejandro Valderrama\Downloads\Fi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8" descr="C:\Users\Alejandro Valderrama\Downloads\Fig2.3.jpg"/>
                    <pic:cNvPicPr>
                      <a:picLocks noChangeAspect="1" noChangeArrowheads="1"/>
                    </pic:cNvPicPr>
                  </pic:nvPicPr>
                  <pic:blipFill rotWithShape="1">
                    <a:blip r:embed="rId52">
                      <a:extLst>
                        <a:ext uri="{28A0092B-C50C-407E-A947-70E740481C1C}">
                          <a14:useLocalDpi xmlns:a14="http://schemas.microsoft.com/office/drawing/2010/main" val="0"/>
                        </a:ext>
                      </a:extLst>
                    </a:blip>
                    <a:srcRect b="11581"/>
                    <a:stretch/>
                  </pic:blipFill>
                  <pic:spPr bwMode="auto">
                    <a:xfrm>
                      <a:off x="0" y="0"/>
                      <a:ext cx="5934075" cy="7562850"/>
                    </a:xfrm>
                    <a:prstGeom prst="rect">
                      <a:avLst/>
                    </a:prstGeom>
                    <a:noFill/>
                    <a:ln>
                      <a:noFill/>
                    </a:ln>
                    <a:extLst>
                      <a:ext uri="{53640926-AAD7-44D8-BBD7-CCE9431645EC}">
                        <a14:shadowObscured xmlns:a14="http://schemas.microsoft.com/office/drawing/2010/main"/>
                      </a:ext>
                    </a:extLst>
                  </pic:spPr>
                </pic:pic>
              </a:graphicData>
            </a:graphic>
          </wp:inline>
        </w:drawing>
      </w:r>
    </w:p>
    <w:p w14:paraId="68E75A1A" w14:textId="0875CD61" w:rsidR="00960578" w:rsidRPr="008608AA" w:rsidRDefault="007F26AC" w:rsidP="00AF256C">
      <w:pPr>
        <w:spacing w:after="120"/>
        <w:jc w:val="center"/>
      </w:pPr>
      <w:r w:rsidRPr="008608AA">
        <w:rPr>
          <w:noProof/>
          <w:lang w:val="en-GB" w:eastAsia="en-GB"/>
        </w:rPr>
        <w:drawing>
          <wp:inline distT="0" distB="0" distL="0" distR="0" wp14:anchorId="14C34859" wp14:editId="0A073A26">
            <wp:extent cx="5553075" cy="6516668"/>
            <wp:effectExtent l="0" t="0" r="0" b="0"/>
            <wp:docPr id="20" name="Imagen 20" descr="C:\Users\Alejandro Valderrama\Downloads\Fig2.3-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0" descr="C:\Users\Alejandro Valderrama\Downloads\Fig2.3-pg2.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4748" r="6803" b="19805"/>
                    <a:stretch/>
                  </pic:blipFill>
                  <pic:spPr bwMode="auto">
                    <a:xfrm>
                      <a:off x="0" y="0"/>
                      <a:ext cx="5553075" cy="6516668"/>
                    </a:xfrm>
                    <a:prstGeom prst="rect">
                      <a:avLst/>
                    </a:prstGeom>
                    <a:noFill/>
                    <a:ln>
                      <a:noFill/>
                    </a:ln>
                    <a:extLst>
                      <a:ext uri="{53640926-AAD7-44D8-BBD7-CCE9431645EC}">
                        <a14:shadowObscured xmlns:a14="http://schemas.microsoft.com/office/drawing/2010/main"/>
                      </a:ext>
                    </a:extLst>
                  </pic:spPr>
                </pic:pic>
              </a:graphicData>
            </a:graphic>
          </wp:inline>
        </w:drawing>
      </w:r>
    </w:p>
    <w:p w14:paraId="3D63E762" w14:textId="77777777" w:rsidR="00960578" w:rsidRPr="008608AA" w:rsidRDefault="00960578" w:rsidP="00960578">
      <w:pPr>
        <w:spacing w:after="120"/>
      </w:pPr>
    </w:p>
    <w:p w14:paraId="40B60FE8" w14:textId="623E872A" w:rsidR="00A00405" w:rsidRPr="008608AA" w:rsidRDefault="00A00405" w:rsidP="00960578">
      <w:pPr>
        <w:spacing w:after="120"/>
      </w:pPr>
      <w:r w:rsidRPr="008608AA">
        <w:t>With agricultural industrialization and the increasing use of commercially-distributed seeds, native cultivars or breeds that are important for the long-term food security of American people are increasingly at risk of extinction. For example, the availability of lands under adequate climatic and soil conditions restricts crop production, and irrigation will become increasingly important in many subregions as agricultural land use has expanded (Fischer et al., 2002). Based on currently available soil, terrain, and climati</w:t>
      </w:r>
      <w:r w:rsidR="007F26AC" w:rsidRPr="008608AA">
        <w:t>c data, the Global Agro-ecologi</w:t>
      </w:r>
      <w:r w:rsidRPr="008608AA">
        <w:t xml:space="preserve">al Zones assessment estimates there are 10.5 billion </w:t>
      </w:r>
      <w:r w:rsidR="004F4EC8" w:rsidRPr="008608AA">
        <w:t>hectares</w:t>
      </w:r>
      <w:r w:rsidRPr="008608AA">
        <w:t xml:space="preserve">of agricultural land globally and 4.2 billion </w:t>
      </w:r>
      <w:r w:rsidR="004F4EC8" w:rsidRPr="008608AA">
        <w:t xml:space="preserve">hectares </w:t>
      </w:r>
      <w:r w:rsidRPr="008608AA">
        <w:t>for the Americas (CEPAL/FAO/IICA, 2012). The increasing demand for crops, however is evidenced by crop importation in all subregions (Figure 2.2). For example, corn imports increased in all subregions, while wheat increased in all but the North American subregion.</w:t>
      </w:r>
    </w:p>
    <w:p w14:paraId="238CFBD8" w14:textId="2DCD5F74" w:rsidR="00A00405" w:rsidRPr="008608AA" w:rsidRDefault="00A00405" w:rsidP="00960578">
      <w:pPr>
        <w:spacing w:after="120"/>
      </w:pPr>
      <w:r w:rsidRPr="008608AA">
        <w:t>The Americas region has a high diversity of useful plants that historically have been naturalized and diversified creating crops, cultivars, and varieties based on properties such as weight and nutrition, and value for local communities (</w:t>
      </w:r>
      <w:r w:rsidR="00B20C8E" w:rsidRPr="008608AA">
        <w:t>section</w:t>
      </w:r>
      <w:r w:rsidRPr="008608AA">
        <w:t xml:space="preserve"> 2.4). Staple foods like potatoes, corn, pepper, many varieties of beans, and tomatoes, were developed as food products by people long before European settlement; these traditions remain alive, especially in the farmers of indigenous descent from Mexico to Argentina (FAO, 2014a). The risk of extinction of native cultivars or breeds is a concern for the long-term food security of people in the Americas; the largest contributor to the loss of wild relatives of today’s crop species is the destruction of natural landscapes. The loss of genetic diversity is also a major concern; according to FAO (1999), since the 1900s some 75% of plant genetic diversity has been lost as farmers worldwide have abandoned their multiple local varieties and landraces for genetically-uniform, high-yielding varieties. In addition, wild populations that can be genetically stronger and with better resistance to pests have also disappeared or are no longer used to improve cultivated plants.</w:t>
      </w:r>
    </w:p>
    <w:p w14:paraId="72A648A9" w14:textId="662682FC" w:rsidR="00A00405" w:rsidRPr="008608AA" w:rsidRDefault="00A00405" w:rsidP="00960578">
      <w:pPr>
        <w:spacing w:after="120"/>
      </w:pPr>
      <w:r w:rsidRPr="008608AA">
        <w:t>An example is the cultivation of corn (</w:t>
      </w:r>
      <w:r w:rsidRPr="008608AA">
        <w:rPr>
          <w:i/>
        </w:rPr>
        <w:t>Zea mays</w:t>
      </w:r>
      <w:r w:rsidRPr="008608AA">
        <w:t>). The primary gene pool includes maize and teosinte (</w:t>
      </w:r>
      <w:r w:rsidRPr="008608AA">
        <w:rPr>
          <w:i/>
        </w:rPr>
        <w:t>Zea mays</w:t>
      </w:r>
      <w:r w:rsidRPr="008608AA">
        <w:t xml:space="preserve"> subsp. </w:t>
      </w:r>
      <w:r w:rsidRPr="008608AA">
        <w:rPr>
          <w:i/>
        </w:rPr>
        <w:t>parviglumis</w:t>
      </w:r>
      <w:r w:rsidRPr="008608AA">
        <w:t xml:space="preserve">), with which maize hybridizes rapidly and produces fertile progeny. The secondary gene pool includes </w:t>
      </w:r>
      <w:r w:rsidRPr="008608AA">
        <w:rPr>
          <w:i/>
        </w:rPr>
        <w:t>Tripsacum</w:t>
      </w:r>
      <w:r w:rsidRPr="008608AA">
        <w:t xml:space="preserve"> species (approximately 16), some of which are at risk of extinction, and the variability among native maize breeds (about 300 have been identified) exceeds that of any other crop (GCDT, 2007). A second case is the cassava (</w:t>
      </w:r>
      <w:r w:rsidRPr="008608AA">
        <w:rPr>
          <w:i/>
        </w:rPr>
        <w:t>Manihot esculenta</w:t>
      </w:r>
      <w:r w:rsidRPr="008608AA">
        <w:t xml:space="preserve">), which is important not only for the Americas region, but it is essential for food security in most parts of Africa. The gene pool is composed of this species and between 70 and 100 wild </w:t>
      </w:r>
      <w:r w:rsidRPr="008608AA">
        <w:rPr>
          <w:i/>
        </w:rPr>
        <w:t>Manihot</w:t>
      </w:r>
      <w:r w:rsidRPr="008608AA">
        <w:t xml:space="preserve"> species, such as </w:t>
      </w:r>
      <w:r w:rsidRPr="008608AA">
        <w:rPr>
          <w:i/>
        </w:rPr>
        <w:t>M. flabellifolia</w:t>
      </w:r>
      <w:r w:rsidRPr="008608AA">
        <w:t xml:space="preserve"> and </w:t>
      </w:r>
      <w:r w:rsidRPr="008608AA">
        <w:rPr>
          <w:i/>
        </w:rPr>
        <w:t>M. peruviana;</w:t>
      </w:r>
      <w:r w:rsidRPr="008608AA">
        <w:t xml:space="preserve"> the wild primary sources of genes and genetic combinations of the new varieties are difficult to use and preserve (Allem et al., 2001). A third example is an Andean tuber, the potato (</w:t>
      </w:r>
      <w:r w:rsidRPr="008608AA">
        <w:rPr>
          <w:i/>
        </w:rPr>
        <w:t>Solanum tuberosum</w:t>
      </w:r>
      <w:r w:rsidRPr="008608AA">
        <w:t xml:space="preserve">). A recent study on the effect of climate change predicts that between 7 and 13 out of a total of 108 wild potato species may be driven to extinction (Jarvis et al. 2008) and there are reports on the vulnerability of </w:t>
      </w:r>
      <w:r w:rsidRPr="008608AA">
        <w:rPr>
          <w:i/>
        </w:rPr>
        <w:t>Solanum phureja</w:t>
      </w:r>
      <w:r w:rsidRPr="008608AA">
        <w:t>, a diploid species grown in the Andean zone (Terrazas et al., 2008).</w:t>
      </w:r>
    </w:p>
    <w:p w14:paraId="177B2C53" w14:textId="77777777" w:rsidR="00AB5E93" w:rsidRPr="008608AA" w:rsidRDefault="00AB5E93" w:rsidP="00960578">
      <w:pPr>
        <w:spacing w:after="120"/>
      </w:pPr>
    </w:p>
    <w:p w14:paraId="703E6843" w14:textId="3CB06C33" w:rsidR="00A00405" w:rsidRPr="008608AA" w:rsidRDefault="00A00405" w:rsidP="00AB5E93">
      <w:pPr>
        <w:pStyle w:val="Heading4"/>
      </w:pPr>
      <w:bookmarkStart w:id="629" w:name="_Toc517393245"/>
      <w:bookmarkStart w:id="630" w:name="_Toc517718986"/>
      <w:bookmarkStart w:id="631" w:name="_Toc517796943"/>
      <w:r w:rsidRPr="008608AA">
        <w:t>Livestock</w:t>
      </w:r>
      <w:bookmarkEnd w:id="629"/>
      <w:bookmarkEnd w:id="630"/>
      <w:bookmarkEnd w:id="631"/>
    </w:p>
    <w:p w14:paraId="2532CFB2" w14:textId="3C42543C" w:rsidR="00A00405" w:rsidRPr="008608AA" w:rsidRDefault="00A00405" w:rsidP="00960578">
      <w:pPr>
        <w:spacing w:after="120"/>
      </w:pPr>
      <w:r w:rsidRPr="008608AA">
        <w:t>Livestock production is one of the fastest-growing agricultural sectors, especially in developing countries (</w:t>
      </w:r>
      <w:r w:rsidR="00F41B91" w:rsidRPr="008608AA">
        <w:t xml:space="preserve">The </w:t>
      </w:r>
      <w:r w:rsidRPr="008608AA">
        <w:t xml:space="preserve">World Bank, 2009), with large contributions to local, regional and global economies. Livestock production systems provide several benefits including food for direct consumption or for commercial use on local, regional, national or global markets. The most important marketable products are meat, milk and eggs, with North and South America clearly leading in terms of export values (Table 2.2). Importantly, crop production in some regions serves as feed and fodder for livestock in other parts of the world: Argentina (31,200,000 Metric tons-MT), Brazil (15,500,000 MT) and the USA (11,068,000 MT) are the leading countries in exports of soybean meal, with most of the production going to the European Union (19,500,000 MT), followed by </w:t>
      </w:r>
      <w:r w:rsidR="003E4F63" w:rsidRPr="008608AA">
        <w:t>Asian countries (estimates for 2</w:t>
      </w:r>
      <w:r w:rsidRPr="008608AA">
        <w:t>017; source: www.indexmundi.com, based on United States Department of Agriculture data).</w:t>
      </w:r>
    </w:p>
    <w:p w14:paraId="524E7B8D" w14:textId="57E5F02C" w:rsidR="007F26AC" w:rsidRPr="008608AA" w:rsidRDefault="007F26AC" w:rsidP="00960578">
      <w:pPr>
        <w:spacing w:after="120"/>
      </w:pPr>
      <w:r w:rsidRPr="008608AA">
        <w:br w:type="page"/>
      </w:r>
    </w:p>
    <w:p w14:paraId="2956B529" w14:textId="43A572AD" w:rsidR="00A00405"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2</w:t>
      </w:r>
      <w:r w:rsidR="000E562E">
        <w:rPr>
          <w:noProof/>
        </w:rPr>
        <w:fldChar w:fldCharType="end"/>
      </w:r>
      <w:r w:rsidR="00960578" w:rsidRPr="008608AA">
        <w:t>. Livestock trade monetary values in the Americas.</w:t>
      </w:r>
    </w:p>
    <w:tbl>
      <w:tblPr>
        <w:tblW w:w="5000" w:type="pct"/>
        <w:jc w:val="center"/>
        <w:tblLayout w:type="fixed"/>
        <w:tblLook w:val="0400" w:firstRow="0" w:lastRow="0" w:firstColumn="0" w:lastColumn="0" w:noHBand="0" w:noVBand="1"/>
      </w:tblPr>
      <w:tblGrid>
        <w:gridCol w:w="1105"/>
        <w:gridCol w:w="720"/>
        <w:gridCol w:w="1004"/>
        <w:gridCol w:w="1116"/>
        <w:gridCol w:w="1116"/>
        <w:gridCol w:w="266"/>
        <w:gridCol w:w="1040"/>
        <w:gridCol w:w="1004"/>
        <w:gridCol w:w="1116"/>
        <w:gridCol w:w="1000"/>
      </w:tblGrid>
      <w:tr w:rsidR="00A00405" w:rsidRPr="00800CE7" w14:paraId="6FDFDDD0" w14:textId="77777777" w:rsidTr="0010725E">
        <w:trPr>
          <w:trHeight w:val="300"/>
          <w:jc w:val="center"/>
        </w:trPr>
        <w:tc>
          <w:tcPr>
            <w:tcW w:w="583" w:type="pct"/>
            <w:vMerge w:val="restart"/>
            <w:tcBorders>
              <w:top w:val="single" w:sz="4" w:space="0" w:color="000000"/>
              <w:left w:val="single" w:sz="4" w:space="0" w:color="000000"/>
              <w:bottom w:val="single" w:sz="4" w:space="0" w:color="000000"/>
              <w:right w:val="nil"/>
            </w:tcBorders>
            <w:shd w:val="clear" w:color="auto" w:fill="BFBFBF" w:themeFill="background1" w:themeFillShade="BF"/>
            <w:vAlign w:val="center"/>
          </w:tcPr>
          <w:p w14:paraId="17D47770" w14:textId="77777777" w:rsidR="00A00405" w:rsidRPr="00800CE7" w:rsidRDefault="00A00405" w:rsidP="00A00405">
            <w:pPr>
              <w:jc w:val="center"/>
              <w:rPr>
                <w:b/>
                <w:szCs w:val="22"/>
              </w:rPr>
            </w:pPr>
            <w:r w:rsidRPr="00800CE7">
              <w:rPr>
                <w:b/>
                <w:szCs w:val="22"/>
              </w:rPr>
              <w:t>Item</w:t>
            </w:r>
          </w:p>
        </w:tc>
        <w:tc>
          <w:tcPr>
            <w:tcW w:w="2084" w:type="pct"/>
            <w:gridSpan w:val="4"/>
            <w:tcBorders>
              <w:top w:val="single" w:sz="4" w:space="0" w:color="000000"/>
              <w:left w:val="nil"/>
              <w:bottom w:val="single" w:sz="4" w:space="0" w:color="000000"/>
              <w:right w:val="nil"/>
            </w:tcBorders>
            <w:shd w:val="clear" w:color="auto" w:fill="BFBFBF" w:themeFill="background1" w:themeFillShade="BF"/>
            <w:vAlign w:val="center"/>
          </w:tcPr>
          <w:p w14:paraId="4CF6BC7C" w14:textId="2B36D39E" w:rsidR="00A00405" w:rsidRPr="00800CE7" w:rsidRDefault="00A00405" w:rsidP="00A00405">
            <w:pPr>
              <w:jc w:val="center"/>
              <w:rPr>
                <w:b/>
                <w:szCs w:val="22"/>
              </w:rPr>
            </w:pPr>
            <w:r w:rsidRPr="00800CE7">
              <w:rPr>
                <w:b/>
                <w:szCs w:val="22"/>
              </w:rPr>
              <w:t>Export Value (US $ in millions)</w:t>
            </w:r>
          </w:p>
        </w:tc>
        <w:tc>
          <w:tcPr>
            <w:tcW w:w="140" w:type="pct"/>
            <w:tcBorders>
              <w:top w:val="single" w:sz="4" w:space="0" w:color="000000"/>
              <w:left w:val="nil"/>
              <w:bottom w:val="nil"/>
              <w:right w:val="nil"/>
            </w:tcBorders>
            <w:shd w:val="clear" w:color="auto" w:fill="BFBFBF" w:themeFill="background1" w:themeFillShade="BF"/>
            <w:vAlign w:val="center"/>
          </w:tcPr>
          <w:p w14:paraId="30A9AEC0" w14:textId="77777777" w:rsidR="00A00405" w:rsidRPr="00800CE7" w:rsidRDefault="00A00405" w:rsidP="00A00405">
            <w:pPr>
              <w:jc w:val="center"/>
              <w:rPr>
                <w:b/>
                <w:szCs w:val="22"/>
              </w:rPr>
            </w:pPr>
          </w:p>
        </w:tc>
        <w:tc>
          <w:tcPr>
            <w:tcW w:w="2193" w:type="pct"/>
            <w:gridSpan w:val="4"/>
            <w:tcBorders>
              <w:top w:val="single" w:sz="4" w:space="0" w:color="000000"/>
              <w:left w:val="nil"/>
              <w:bottom w:val="single" w:sz="4" w:space="0" w:color="000000"/>
              <w:right w:val="single" w:sz="4" w:space="0" w:color="000000"/>
            </w:tcBorders>
            <w:shd w:val="clear" w:color="auto" w:fill="BFBFBF" w:themeFill="background1" w:themeFillShade="BF"/>
            <w:vAlign w:val="center"/>
          </w:tcPr>
          <w:p w14:paraId="78A1BD16" w14:textId="3D8B5604" w:rsidR="00A00405" w:rsidRPr="00800CE7" w:rsidRDefault="00A00405" w:rsidP="00A00405">
            <w:pPr>
              <w:jc w:val="center"/>
              <w:rPr>
                <w:b/>
                <w:szCs w:val="22"/>
              </w:rPr>
            </w:pPr>
            <w:r w:rsidRPr="00800CE7">
              <w:rPr>
                <w:b/>
                <w:szCs w:val="22"/>
              </w:rPr>
              <w:t>Import Value (US $ in millions)</w:t>
            </w:r>
          </w:p>
        </w:tc>
      </w:tr>
      <w:tr w:rsidR="00A00405" w:rsidRPr="00800CE7" w14:paraId="68DFC9DE" w14:textId="77777777" w:rsidTr="0010725E">
        <w:trPr>
          <w:trHeight w:val="480"/>
          <w:jc w:val="center"/>
        </w:trPr>
        <w:tc>
          <w:tcPr>
            <w:tcW w:w="583" w:type="pct"/>
            <w:vMerge/>
            <w:tcBorders>
              <w:top w:val="single" w:sz="4" w:space="0" w:color="000000"/>
              <w:left w:val="single" w:sz="4" w:space="0" w:color="000000"/>
              <w:bottom w:val="single" w:sz="4" w:space="0" w:color="000000"/>
              <w:right w:val="nil"/>
            </w:tcBorders>
            <w:shd w:val="clear" w:color="auto" w:fill="BFBFBF" w:themeFill="background1" w:themeFillShade="BF"/>
            <w:vAlign w:val="center"/>
          </w:tcPr>
          <w:p w14:paraId="7A4D7942" w14:textId="77777777" w:rsidR="00A00405" w:rsidRPr="00800CE7" w:rsidRDefault="00A00405" w:rsidP="00A00405">
            <w:pPr>
              <w:jc w:val="center"/>
              <w:rPr>
                <w:b/>
                <w:szCs w:val="22"/>
              </w:rPr>
            </w:pPr>
          </w:p>
        </w:tc>
        <w:tc>
          <w:tcPr>
            <w:tcW w:w="380" w:type="pct"/>
            <w:tcBorders>
              <w:top w:val="nil"/>
              <w:left w:val="nil"/>
              <w:bottom w:val="single" w:sz="4" w:space="0" w:color="000000"/>
              <w:right w:val="nil"/>
            </w:tcBorders>
            <w:shd w:val="clear" w:color="auto" w:fill="BFBFBF" w:themeFill="background1" w:themeFillShade="BF"/>
            <w:vAlign w:val="center"/>
          </w:tcPr>
          <w:p w14:paraId="0931CD32" w14:textId="77777777" w:rsidR="00A00405" w:rsidRPr="00800CE7" w:rsidRDefault="00A00405" w:rsidP="00A00405">
            <w:pPr>
              <w:jc w:val="center"/>
              <w:rPr>
                <w:b/>
                <w:szCs w:val="22"/>
              </w:rPr>
            </w:pPr>
            <w:r w:rsidRPr="00800CE7">
              <w:rPr>
                <w:b/>
                <w:szCs w:val="22"/>
              </w:rPr>
              <w:t>CA</w:t>
            </w:r>
          </w:p>
        </w:tc>
        <w:tc>
          <w:tcPr>
            <w:tcW w:w="529" w:type="pct"/>
            <w:tcBorders>
              <w:top w:val="nil"/>
              <w:left w:val="nil"/>
              <w:bottom w:val="single" w:sz="4" w:space="0" w:color="000000"/>
              <w:right w:val="nil"/>
            </w:tcBorders>
            <w:shd w:val="clear" w:color="auto" w:fill="BFBFBF" w:themeFill="background1" w:themeFillShade="BF"/>
            <w:vAlign w:val="center"/>
          </w:tcPr>
          <w:p w14:paraId="5699A026" w14:textId="77777777" w:rsidR="00A00405" w:rsidRPr="00800CE7" w:rsidRDefault="00A00405" w:rsidP="00A00405">
            <w:pPr>
              <w:jc w:val="center"/>
              <w:rPr>
                <w:b/>
                <w:szCs w:val="22"/>
              </w:rPr>
            </w:pPr>
            <w:r w:rsidRPr="00800CE7">
              <w:rPr>
                <w:b/>
                <w:szCs w:val="22"/>
              </w:rPr>
              <w:t>MA</w:t>
            </w:r>
          </w:p>
        </w:tc>
        <w:tc>
          <w:tcPr>
            <w:tcW w:w="588" w:type="pct"/>
            <w:tcBorders>
              <w:top w:val="nil"/>
              <w:left w:val="nil"/>
              <w:bottom w:val="single" w:sz="4" w:space="0" w:color="000000"/>
              <w:right w:val="nil"/>
            </w:tcBorders>
            <w:shd w:val="clear" w:color="auto" w:fill="BFBFBF" w:themeFill="background1" w:themeFillShade="BF"/>
            <w:vAlign w:val="center"/>
          </w:tcPr>
          <w:p w14:paraId="5EA1B95B" w14:textId="77777777" w:rsidR="00A00405" w:rsidRPr="00800CE7" w:rsidRDefault="00A00405" w:rsidP="00A00405">
            <w:pPr>
              <w:jc w:val="center"/>
              <w:rPr>
                <w:b/>
                <w:szCs w:val="22"/>
              </w:rPr>
            </w:pPr>
            <w:r w:rsidRPr="00800CE7">
              <w:rPr>
                <w:b/>
                <w:szCs w:val="22"/>
              </w:rPr>
              <w:t>NA</w:t>
            </w:r>
          </w:p>
        </w:tc>
        <w:tc>
          <w:tcPr>
            <w:tcW w:w="588" w:type="pct"/>
            <w:tcBorders>
              <w:top w:val="nil"/>
              <w:left w:val="nil"/>
              <w:bottom w:val="single" w:sz="4" w:space="0" w:color="000000"/>
              <w:right w:val="nil"/>
            </w:tcBorders>
            <w:shd w:val="clear" w:color="auto" w:fill="BFBFBF" w:themeFill="background1" w:themeFillShade="BF"/>
            <w:vAlign w:val="center"/>
          </w:tcPr>
          <w:p w14:paraId="7D50B2F1" w14:textId="77777777" w:rsidR="00A00405" w:rsidRPr="00800CE7" w:rsidRDefault="00A00405" w:rsidP="00A00405">
            <w:pPr>
              <w:jc w:val="center"/>
              <w:rPr>
                <w:b/>
                <w:szCs w:val="22"/>
              </w:rPr>
            </w:pPr>
            <w:r w:rsidRPr="00800CE7">
              <w:rPr>
                <w:b/>
                <w:szCs w:val="22"/>
              </w:rPr>
              <w:t>SA</w:t>
            </w:r>
          </w:p>
        </w:tc>
        <w:tc>
          <w:tcPr>
            <w:tcW w:w="140" w:type="pct"/>
            <w:tcBorders>
              <w:top w:val="nil"/>
              <w:left w:val="nil"/>
              <w:bottom w:val="single" w:sz="4" w:space="0" w:color="000000"/>
              <w:right w:val="nil"/>
            </w:tcBorders>
            <w:shd w:val="clear" w:color="auto" w:fill="BFBFBF" w:themeFill="background1" w:themeFillShade="BF"/>
            <w:vAlign w:val="center"/>
          </w:tcPr>
          <w:p w14:paraId="1BEDD46B" w14:textId="77777777" w:rsidR="00A00405" w:rsidRPr="00800CE7" w:rsidRDefault="00A00405" w:rsidP="00A00405">
            <w:pPr>
              <w:jc w:val="center"/>
              <w:rPr>
                <w:b/>
                <w:szCs w:val="22"/>
              </w:rPr>
            </w:pPr>
          </w:p>
        </w:tc>
        <w:tc>
          <w:tcPr>
            <w:tcW w:w="548" w:type="pct"/>
            <w:tcBorders>
              <w:top w:val="single" w:sz="4" w:space="0" w:color="000000"/>
              <w:left w:val="nil"/>
              <w:bottom w:val="single" w:sz="4" w:space="0" w:color="000000"/>
              <w:right w:val="nil"/>
            </w:tcBorders>
            <w:shd w:val="clear" w:color="auto" w:fill="BFBFBF" w:themeFill="background1" w:themeFillShade="BF"/>
            <w:vAlign w:val="center"/>
          </w:tcPr>
          <w:p w14:paraId="0DFAD2EF" w14:textId="77777777" w:rsidR="00A00405" w:rsidRPr="00800CE7" w:rsidRDefault="00A00405" w:rsidP="00A00405">
            <w:pPr>
              <w:jc w:val="center"/>
              <w:rPr>
                <w:b/>
                <w:szCs w:val="22"/>
              </w:rPr>
            </w:pPr>
            <w:r w:rsidRPr="00800CE7">
              <w:rPr>
                <w:b/>
                <w:szCs w:val="22"/>
              </w:rPr>
              <w:t>CA</w:t>
            </w:r>
          </w:p>
        </w:tc>
        <w:tc>
          <w:tcPr>
            <w:tcW w:w="529" w:type="pct"/>
            <w:tcBorders>
              <w:top w:val="single" w:sz="4" w:space="0" w:color="000000"/>
              <w:left w:val="nil"/>
              <w:bottom w:val="single" w:sz="4" w:space="0" w:color="000000"/>
              <w:right w:val="nil"/>
            </w:tcBorders>
            <w:shd w:val="clear" w:color="auto" w:fill="BFBFBF" w:themeFill="background1" w:themeFillShade="BF"/>
            <w:vAlign w:val="center"/>
          </w:tcPr>
          <w:p w14:paraId="6A7AC7EE" w14:textId="77777777" w:rsidR="00A00405" w:rsidRPr="00800CE7" w:rsidRDefault="00A00405" w:rsidP="00A00405">
            <w:pPr>
              <w:jc w:val="center"/>
              <w:rPr>
                <w:b/>
                <w:szCs w:val="22"/>
              </w:rPr>
            </w:pPr>
            <w:r w:rsidRPr="00800CE7">
              <w:rPr>
                <w:b/>
                <w:szCs w:val="22"/>
              </w:rPr>
              <w:t>MA</w:t>
            </w:r>
          </w:p>
        </w:tc>
        <w:tc>
          <w:tcPr>
            <w:tcW w:w="588" w:type="pct"/>
            <w:tcBorders>
              <w:top w:val="single" w:sz="4" w:space="0" w:color="000000"/>
              <w:left w:val="nil"/>
              <w:bottom w:val="single" w:sz="4" w:space="0" w:color="000000"/>
              <w:right w:val="nil"/>
            </w:tcBorders>
            <w:shd w:val="clear" w:color="auto" w:fill="BFBFBF" w:themeFill="background1" w:themeFillShade="BF"/>
            <w:vAlign w:val="center"/>
          </w:tcPr>
          <w:p w14:paraId="0354DCA4" w14:textId="77777777" w:rsidR="00A00405" w:rsidRPr="00800CE7" w:rsidRDefault="00A00405" w:rsidP="00A00405">
            <w:pPr>
              <w:jc w:val="center"/>
              <w:rPr>
                <w:b/>
                <w:szCs w:val="22"/>
              </w:rPr>
            </w:pPr>
            <w:r w:rsidRPr="00800CE7">
              <w:rPr>
                <w:b/>
                <w:szCs w:val="22"/>
              </w:rPr>
              <w:t>NA</w:t>
            </w:r>
          </w:p>
        </w:tc>
        <w:tc>
          <w:tcPr>
            <w:tcW w:w="529" w:type="pct"/>
            <w:tcBorders>
              <w:top w:val="single" w:sz="4" w:space="0" w:color="000000"/>
              <w:left w:val="nil"/>
              <w:bottom w:val="single" w:sz="4" w:space="0" w:color="000000"/>
              <w:right w:val="single" w:sz="4" w:space="0" w:color="000000"/>
            </w:tcBorders>
            <w:shd w:val="clear" w:color="auto" w:fill="BFBFBF" w:themeFill="background1" w:themeFillShade="BF"/>
            <w:vAlign w:val="center"/>
          </w:tcPr>
          <w:p w14:paraId="69A1379F" w14:textId="77777777" w:rsidR="00A00405" w:rsidRPr="00800CE7" w:rsidRDefault="00A00405" w:rsidP="00A00405">
            <w:pPr>
              <w:jc w:val="center"/>
              <w:rPr>
                <w:b/>
                <w:szCs w:val="22"/>
              </w:rPr>
            </w:pPr>
            <w:r w:rsidRPr="00800CE7">
              <w:rPr>
                <w:b/>
                <w:szCs w:val="22"/>
              </w:rPr>
              <w:t>SA</w:t>
            </w:r>
          </w:p>
        </w:tc>
      </w:tr>
      <w:tr w:rsidR="00A00405" w:rsidRPr="00800CE7" w14:paraId="3FBEDFA3" w14:textId="77777777" w:rsidTr="0010725E">
        <w:trPr>
          <w:trHeight w:val="300"/>
          <w:jc w:val="center"/>
        </w:trPr>
        <w:tc>
          <w:tcPr>
            <w:tcW w:w="583" w:type="pct"/>
            <w:tcBorders>
              <w:top w:val="nil"/>
              <w:left w:val="single" w:sz="4" w:space="0" w:color="000000"/>
              <w:bottom w:val="nil"/>
              <w:right w:val="nil"/>
            </w:tcBorders>
            <w:shd w:val="clear" w:color="auto" w:fill="auto"/>
            <w:vAlign w:val="bottom"/>
          </w:tcPr>
          <w:p w14:paraId="6C504B32" w14:textId="77777777" w:rsidR="00A00405" w:rsidRPr="00800CE7" w:rsidRDefault="00A00405" w:rsidP="00A00405">
            <w:pPr>
              <w:rPr>
                <w:szCs w:val="22"/>
              </w:rPr>
            </w:pPr>
            <w:r w:rsidRPr="00800CE7">
              <w:rPr>
                <w:szCs w:val="22"/>
              </w:rPr>
              <w:t>Eggs</w:t>
            </w:r>
          </w:p>
        </w:tc>
        <w:tc>
          <w:tcPr>
            <w:tcW w:w="380" w:type="pct"/>
            <w:tcBorders>
              <w:top w:val="nil"/>
              <w:left w:val="nil"/>
              <w:bottom w:val="nil"/>
              <w:right w:val="nil"/>
            </w:tcBorders>
            <w:shd w:val="clear" w:color="auto" w:fill="auto"/>
            <w:vAlign w:val="bottom"/>
          </w:tcPr>
          <w:p w14:paraId="5F61BF8A" w14:textId="77777777" w:rsidR="00A00405" w:rsidRPr="00800CE7" w:rsidRDefault="00A00405" w:rsidP="00A00405">
            <w:pPr>
              <w:rPr>
                <w:szCs w:val="22"/>
              </w:rPr>
            </w:pPr>
            <w:r w:rsidRPr="00800CE7">
              <w:rPr>
                <w:szCs w:val="22"/>
              </w:rPr>
              <w:t>21.1</w:t>
            </w:r>
          </w:p>
        </w:tc>
        <w:tc>
          <w:tcPr>
            <w:tcW w:w="529" w:type="pct"/>
            <w:tcBorders>
              <w:top w:val="nil"/>
              <w:left w:val="nil"/>
              <w:bottom w:val="nil"/>
              <w:right w:val="nil"/>
            </w:tcBorders>
            <w:shd w:val="clear" w:color="auto" w:fill="auto"/>
            <w:vAlign w:val="bottom"/>
          </w:tcPr>
          <w:p w14:paraId="43FDED12" w14:textId="77777777" w:rsidR="00A00405" w:rsidRPr="00800CE7" w:rsidRDefault="00A00405" w:rsidP="00A00405">
            <w:pPr>
              <w:rPr>
                <w:szCs w:val="22"/>
              </w:rPr>
            </w:pPr>
            <w:r w:rsidRPr="00800CE7">
              <w:rPr>
                <w:szCs w:val="22"/>
              </w:rPr>
              <w:t>283.5</w:t>
            </w:r>
          </w:p>
        </w:tc>
        <w:tc>
          <w:tcPr>
            <w:tcW w:w="588" w:type="pct"/>
            <w:tcBorders>
              <w:top w:val="nil"/>
              <w:left w:val="nil"/>
              <w:bottom w:val="nil"/>
              <w:right w:val="nil"/>
            </w:tcBorders>
            <w:shd w:val="clear" w:color="auto" w:fill="auto"/>
            <w:vAlign w:val="bottom"/>
          </w:tcPr>
          <w:p w14:paraId="7F7CA081" w14:textId="77777777" w:rsidR="00A00405" w:rsidRPr="00800CE7" w:rsidRDefault="00A00405" w:rsidP="00A00405">
            <w:pPr>
              <w:rPr>
                <w:szCs w:val="22"/>
              </w:rPr>
            </w:pPr>
            <w:r w:rsidRPr="00800CE7">
              <w:rPr>
                <w:szCs w:val="22"/>
              </w:rPr>
              <w:t>5815.8</w:t>
            </w:r>
          </w:p>
        </w:tc>
        <w:tc>
          <w:tcPr>
            <w:tcW w:w="588" w:type="pct"/>
            <w:tcBorders>
              <w:top w:val="nil"/>
              <w:left w:val="nil"/>
              <w:bottom w:val="nil"/>
              <w:right w:val="nil"/>
            </w:tcBorders>
            <w:shd w:val="clear" w:color="auto" w:fill="auto"/>
            <w:vAlign w:val="bottom"/>
          </w:tcPr>
          <w:p w14:paraId="6B267450" w14:textId="77777777" w:rsidR="00A00405" w:rsidRPr="00800CE7" w:rsidRDefault="00A00405" w:rsidP="00A00405">
            <w:pPr>
              <w:rPr>
                <w:szCs w:val="22"/>
              </w:rPr>
            </w:pPr>
            <w:r w:rsidRPr="00800CE7">
              <w:rPr>
                <w:szCs w:val="22"/>
              </w:rPr>
              <w:t>1149.4</w:t>
            </w:r>
          </w:p>
        </w:tc>
        <w:tc>
          <w:tcPr>
            <w:tcW w:w="140" w:type="pct"/>
            <w:tcBorders>
              <w:top w:val="nil"/>
              <w:left w:val="nil"/>
              <w:bottom w:val="nil"/>
              <w:right w:val="nil"/>
            </w:tcBorders>
            <w:shd w:val="clear" w:color="auto" w:fill="auto"/>
            <w:vAlign w:val="bottom"/>
          </w:tcPr>
          <w:p w14:paraId="3D492037" w14:textId="77777777" w:rsidR="00A00405" w:rsidRPr="00800CE7" w:rsidRDefault="00A00405" w:rsidP="00A00405">
            <w:pPr>
              <w:rPr>
                <w:szCs w:val="22"/>
              </w:rPr>
            </w:pPr>
          </w:p>
        </w:tc>
        <w:tc>
          <w:tcPr>
            <w:tcW w:w="548" w:type="pct"/>
            <w:tcBorders>
              <w:top w:val="nil"/>
              <w:left w:val="nil"/>
              <w:bottom w:val="nil"/>
              <w:right w:val="nil"/>
            </w:tcBorders>
            <w:shd w:val="clear" w:color="auto" w:fill="auto"/>
            <w:vAlign w:val="bottom"/>
          </w:tcPr>
          <w:p w14:paraId="3965C143" w14:textId="77777777" w:rsidR="00A00405" w:rsidRPr="00800CE7" w:rsidRDefault="00A00405" w:rsidP="00A00405">
            <w:pPr>
              <w:rPr>
                <w:szCs w:val="22"/>
              </w:rPr>
            </w:pPr>
            <w:r w:rsidRPr="00800CE7">
              <w:rPr>
                <w:szCs w:val="22"/>
              </w:rPr>
              <w:t>903.2</w:t>
            </w:r>
          </w:p>
        </w:tc>
        <w:tc>
          <w:tcPr>
            <w:tcW w:w="529" w:type="pct"/>
            <w:tcBorders>
              <w:top w:val="nil"/>
              <w:left w:val="nil"/>
              <w:bottom w:val="nil"/>
              <w:right w:val="nil"/>
            </w:tcBorders>
            <w:shd w:val="clear" w:color="auto" w:fill="auto"/>
            <w:vAlign w:val="bottom"/>
          </w:tcPr>
          <w:p w14:paraId="0FB3F4AB" w14:textId="77777777" w:rsidR="00A00405" w:rsidRPr="00800CE7" w:rsidRDefault="00A00405" w:rsidP="00A00405">
            <w:pPr>
              <w:rPr>
                <w:szCs w:val="22"/>
              </w:rPr>
            </w:pPr>
            <w:r w:rsidRPr="00800CE7">
              <w:rPr>
                <w:szCs w:val="22"/>
              </w:rPr>
              <w:t>1206.3</w:t>
            </w:r>
          </w:p>
        </w:tc>
        <w:tc>
          <w:tcPr>
            <w:tcW w:w="588" w:type="pct"/>
            <w:tcBorders>
              <w:top w:val="nil"/>
              <w:left w:val="nil"/>
              <w:bottom w:val="nil"/>
              <w:right w:val="nil"/>
            </w:tcBorders>
            <w:shd w:val="clear" w:color="auto" w:fill="auto"/>
            <w:vAlign w:val="bottom"/>
          </w:tcPr>
          <w:p w14:paraId="05BE08FC" w14:textId="77777777" w:rsidR="00A00405" w:rsidRPr="00800CE7" w:rsidRDefault="00A00405" w:rsidP="00A00405">
            <w:pPr>
              <w:rPr>
                <w:szCs w:val="22"/>
              </w:rPr>
            </w:pPr>
            <w:r w:rsidRPr="00800CE7">
              <w:rPr>
                <w:szCs w:val="22"/>
              </w:rPr>
              <w:t>2015.8</w:t>
            </w:r>
          </w:p>
        </w:tc>
        <w:tc>
          <w:tcPr>
            <w:tcW w:w="529" w:type="pct"/>
            <w:tcBorders>
              <w:top w:val="nil"/>
              <w:left w:val="nil"/>
              <w:bottom w:val="nil"/>
              <w:right w:val="single" w:sz="4" w:space="0" w:color="000000"/>
            </w:tcBorders>
            <w:shd w:val="clear" w:color="auto" w:fill="auto"/>
            <w:vAlign w:val="bottom"/>
          </w:tcPr>
          <w:p w14:paraId="666B5C40" w14:textId="77777777" w:rsidR="00A00405" w:rsidRPr="00800CE7" w:rsidRDefault="00A00405" w:rsidP="00A00405">
            <w:pPr>
              <w:rPr>
                <w:szCs w:val="22"/>
              </w:rPr>
            </w:pPr>
            <w:r w:rsidRPr="00800CE7">
              <w:rPr>
                <w:szCs w:val="22"/>
              </w:rPr>
              <w:t>1155.4</w:t>
            </w:r>
          </w:p>
        </w:tc>
      </w:tr>
      <w:tr w:rsidR="00A00405" w:rsidRPr="00800CE7" w14:paraId="6599160C" w14:textId="77777777" w:rsidTr="0010725E">
        <w:trPr>
          <w:trHeight w:val="300"/>
          <w:jc w:val="center"/>
        </w:trPr>
        <w:tc>
          <w:tcPr>
            <w:tcW w:w="583" w:type="pct"/>
            <w:tcBorders>
              <w:top w:val="nil"/>
              <w:left w:val="single" w:sz="4" w:space="0" w:color="000000"/>
              <w:bottom w:val="nil"/>
              <w:right w:val="nil"/>
            </w:tcBorders>
            <w:shd w:val="clear" w:color="auto" w:fill="auto"/>
            <w:vAlign w:val="bottom"/>
          </w:tcPr>
          <w:p w14:paraId="189648A2" w14:textId="77777777" w:rsidR="00A00405" w:rsidRPr="00800CE7" w:rsidRDefault="00A00405" w:rsidP="00A00405">
            <w:pPr>
              <w:rPr>
                <w:szCs w:val="22"/>
              </w:rPr>
            </w:pPr>
            <w:r w:rsidRPr="00800CE7">
              <w:rPr>
                <w:szCs w:val="22"/>
              </w:rPr>
              <w:t xml:space="preserve">Meat Bovine </w:t>
            </w:r>
          </w:p>
        </w:tc>
        <w:tc>
          <w:tcPr>
            <w:tcW w:w="380" w:type="pct"/>
            <w:tcBorders>
              <w:top w:val="nil"/>
              <w:left w:val="nil"/>
              <w:bottom w:val="nil"/>
              <w:right w:val="nil"/>
            </w:tcBorders>
            <w:shd w:val="clear" w:color="auto" w:fill="auto"/>
            <w:vAlign w:val="bottom"/>
          </w:tcPr>
          <w:p w14:paraId="586D2F37" w14:textId="77777777" w:rsidR="00A00405" w:rsidRPr="00800CE7" w:rsidRDefault="00A00405" w:rsidP="00A00405">
            <w:pPr>
              <w:rPr>
                <w:szCs w:val="22"/>
              </w:rPr>
            </w:pPr>
            <w:r w:rsidRPr="00800CE7">
              <w:rPr>
                <w:szCs w:val="22"/>
              </w:rPr>
              <w:t>375.4</w:t>
            </w:r>
          </w:p>
        </w:tc>
        <w:tc>
          <w:tcPr>
            <w:tcW w:w="529" w:type="pct"/>
            <w:tcBorders>
              <w:top w:val="nil"/>
              <w:left w:val="nil"/>
              <w:bottom w:val="nil"/>
              <w:right w:val="nil"/>
            </w:tcBorders>
            <w:shd w:val="clear" w:color="auto" w:fill="auto"/>
            <w:vAlign w:val="bottom"/>
          </w:tcPr>
          <w:p w14:paraId="6FB92BF1" w14:textId="77777777" w:rsidR="00A00405" w:rsidRPr="00800CE7" w:rsidRDefault="00A00405" w:rsidP="00A00405">
            <w:pPr>
              <w:rPr>
                <w:szCs w:val="22"/>
              </w:rPr>
            </w:pPr>
            <w:r w:rsidRPr="00800CE7">
              <w:rPr>
                <w:szCs w:val="22"/>
              </w:rPr>
              <w:t>11690.2</w:t>
            </w:r>
          </w:p>
        </w:tc>
        <w:tc>
          <w:tcPr>
            <w:tcW w:w="588" w:type="pct"/>
            <w:tcBorders>
              <w:top w:val="nil"/>
              <w:left w:val="nil"/>
              <w:bottom w:val="nil"/>
              <w:right w:val="nil"/>
            </w:tcBorders>
            <w:shd w:val="clear" w:color="auto" w:fill="auto"/>
            <w:vAlign w:val="bottom"/>
          </w:tcPr>
          <w:p w14:paraId="2DD7AA06" w14:textId="77777777" w:rsidR="00A00405" w:rsidRPr="00800CE7" w:rsidRDefault="00A00405" w:rsidP="00A00405">
            <w:pPr>
              <w:rPr>
                <w:szCs w:val="22"/>
              </w:rPr>
            </w:pPr>
            <w:r w:rsidRPr="00800CE7">
              <w:rPr>
                <w:szCs w:val="22"/>
              </w:rPr>
              <w:t>91526.1</w:t>
            </w:r>
          </w:p>
        </w:tc>
        <w:tc>
          <w:tcPr>
            <w:tcW w:w="588" w:type="pct"/>
            <w:tcBorders>
              <w:top w:val="nil"/>
              <w:left w:val="nil"/>
              <w:bottom w:val="nil"/>
              <w:right w:val="nil"/>
            </w:tcBorders>
            <w:shd w:val="clear" w:color="auto" w:fill="auto"/>
            <w:vAlign w:val="bottom"/>
          </w:tcPr>
          <w:p w14:paraId="45A26A31" w14:textId="77777777" w:rsidR="00A00405" w:rsidRPr="00800CE7" w:rsidRDefault="00A00405" w:rsidP="00A00405">
            <w:pPr>
              <w:rPr>
                <w:szCs w:val="22"/>
              </w:rPr>
            </w:pPr>
            <w:r w:rsidRPr="00800CE7">
              <w:rPr>
                <w:szCs w:val="22"/>
              </w:rPr>
              <w:t>96448.0</w:t>
            </w:r>
          </w:p>
        </w:tc>
        <w:tc>
          <w:tcPr>
            <w:tcW w:w="140" w:type="pct"/>
            <w:tcBorders>
              <w:top w:val="nil"/>
              <w:left w:val="nil"/>
              <w:bottom w:val="nil"/>
              <w:right w:val="nil"/>
            </w:tcBorders>
            <w:shd w:val="clear" w:color="auto" w:fill="auto"/>
            <w:vAlign w:val="bottom"/>
          </w:tcPr>
          <w:p w14:paraId="02D0B49E" w14:textId="77777777" w:rsidR="00A00405" w:rsidRPr="00800CE7" w:rsidRDefault="00A00405" w:rsidP="00A00405">
            <w:pPr>
              <w:rPr>
                <w:szCs w:val="22"/>
              </w:rPr>
            </w:pPr>
          </w:p>
        </w:tc>
        <w:tc>
          <w:tcPr>
            <w:tcW w:w="548" w:type="pct"/>
            <w:tcBorders>
              <w:top w:val="nil"/>
              <w:left w:val="nil"/>
              <w:bottom w:val="nil"/>
              <w:right w:val="nil"/>
            </w:tcBorders>
            <w:shd w:val="clear" w:color="auto" w:fill="auto"/>
            <w:vAlign w:val="bottom"/>
          </w:tcPr>
          <w:p w14:paraId="1BADCA92" w14:textId="77777777" w:rsidR="00A00405" w:rsidRPr="00800CE7" w:rsidRDefault="00A00405" w:rsidP="00A00405">
            <w:pPr>
              <w:rPr>
                <w:szCs w:val="22"/>
              </w:rPr>
            </w:pPr>
            <w:r w:rsidRPr="00800CE7">
              <w:rPr>
                <w:szCs w:val="22"/>
              </w:rPr>
              <w:t>3042.1</w:t>
            </w:r>
          </w:p>
        </w:tc>
        <w:tc>
          <w:tcPr>
            <w:tcW w:w="529" w:type="pct"/>
            <w:tcBorders>
              <w:top w:val="nil"/>
              <w:left w:val="nil"/>
              <w:bottom w:val="nil"/>
              <w:right w:val="nil"/>
            </w:tcBorders>
            <w:shd w:val="clear" w:color="auto" w:fill="auto"/>
            <w:vAlign w:val="bottom"/>
          </w:tcPr>
          <w:p w14:paraId="75410D38" w14:textId="77777777" w:rsidR="00A00405" w:rsidRPr="00800CE7" w:rsidRDefault="00A00405" w:rsidP="00A00405">
            <w:pPr>
              <w:rPr>
                <w:szCs w:val="22"/>
              </w:rPr>
            </w:pPr>
            <w:r w:rsidRPr="00800CE7">
              <w:rPr>
                <w:szCs w:val="22"/>
              </w:rPr>
              <w:t>17610.0</w:t>
            </w:r>
          </w:p>
        </w:tc>
        <w:tc>
          <w:tcPr>
            <w:tcW w:w="588" w:type="pct"/>
            <w:tcBorders>
              <w:top w:val="nil"/>
              <w:left w:val="nil"/>
              <w:bottom w:val="nil"/>
              <w:right w:val="nil"/>
            </w:tcBorders>
            <w:shd w:val="clear" w:color="auto" w:fill="auto"/>
            <w:vAlign w:val="bottom"/>
          </w:tcPr>
          <w:p w14:paraId="5BA50771" w14:textId="77777777" w:rsidR="00A00405" w:rsidRPr="00800CE7" w:rsidRDefault="00A00405" w:rsidP="00A00405">
            <w:pPr>
              <w:rPr>
                <w:szCs w:val="22"/>
              </w:rPr>
            </w:pPr>
            <w:r w:rsidRPr="00800CE7">
              <w:rPr>
                <w:szCs w:val="22"/>
              </w:rPr>
              <w:t>99398.5</w:t>
            </w:r>
          </w:p>
        </w:tc>
        <w:tc>
          <w:tcPr>
            <w:tcW w:w="529" w:type="pct"/>
            <w:tcBorders>
              <w:top w:val="nil"/>
              <w:left w:val="nil"/>
              <w:bottom w:val="nil"/>
              <w:right w:val="single" w:sz="4" w:space="0" w:color="000000"/>
            </w:tcBorders>
            <w:shd w:val="clear" w:color="auto" w:fill="auto"/>
            <w:vAlign w:val="bottom"/>
          </w:tcPr>
          <w:p w14:paraId="651B5BAE" w14:textId="77777777" w:rsidR="00A00405" w:rsidRPr="00800CE7" w:rsidRDefault="00A00405" w:rsidP="00A00405">
            <w:pPr>
              <w:rPr>
                <w:szCs w:val="22"/>
              </w:rPr>
            </w:pPr>
            <w:r w:rsidRPr="00800CE7">
              <w:rPr>
                <w:szCs w:val="22"/>
              </w:rPr>
              <w:t>20061.2</w:t>
            </w:r>
          </w:p>
        </w:tc>
      </w:tr>
      <w:tr w:rsidR="00A00405" w:rsidRPr="00800CE7" w14:paraId="48E96152" w14:textId="77777777" w:rsidTr="0010725E">
        <w:trPr>
          <w:trHeight w:val="320"/>
          <w:jc w:val="center"/>
        </w:trPr>
        <w:tc>
          <w:tcPr>
            <w:tcW w:w="583" w:type="pct"/>
            <w:tcBorders>
              <w:top w:val="nil"/>
              <w:left w:val="single" w:sz="4" w:space="0" w:color="000000"/>
              <w:bottom w:val="nil"/>
              <w:right w:val="nil"/>
            </w:tcBorders>
            <w:shd w:val="clear" w:color="auto" w:fill="auto"/>
            <w:vAlign w:val="bottom"/>
          </w:tcPr>
          <w:p w14:paraId="3CEFC385" w14:textId="77777777" w:rsidR="00A00405" w:rsidRPr="00800CE7" w:rsidRDefault="00A00405" w:rsidP="00A00405">
            <w:pPr>
              <w:rPr>
                <w:szCs w:val="22"/>
              </w:rPr>
            </w:pPr>
            <w:r w:rsidRPr="00800CE7">
              <w:rPr>
                <w:szCs w:val="22"/>
              </w:rPr>
              <w:t>Meat Swine</w:t>
            </w:r>
          </w:p>
        </w:tc>
        <w:tc>
          <w:tcPr>
            <w:tcW w:w="380" w:type="pct"/>
            <w:tcBorders>
              <w:top w:val="nil"/>
              <w:left w:val="nil"/>
              <w:bottom w:val="nil"/>
              <w:right w:val="nil"/>
            </w:tcBorders>
            <w:shd w:val="clear" w:color="auto" w:fill="auto"/>
            <w:vAlign w:val="bottom"/>
          </w:tcPr>
          <w:p w14:paraId="552C9424" w14:textId="77777777" w:rsidR="00A00405" w:rsidRPr="00800CE7" w:rsidRDefault="00A00405" w:rsidP="00A00405">
            <w:pPr>
              <w:rPr>
                <w:szCs w:val="22"/>
              </w:rPr>
            </w:pPr>
            <w:r w:rsidRPr="00800CE7">
              <w:rPr>
                <w:szCs w:val="22"/>
              </w:rPr>
              <w:t>7.5</w:t>
            </w:r>
          </w:p>
        </w:tc>
        <w:tc>
          <w:tcPr>
            <w:tcW w:w="529" w:type="pct"/>
            <w:tcBorders>
              <w:top w:val="nil"/>
              <w:left w:val="nil"/>
              <w:bottom w:val="nil"/>
              <w:right w:val="nil"/>
            </w:tcBorders>
            <w:shd w:val="clear" w:color="auto" w:fill="auto"/>
            <w:vAlign w:val="bottom"/>
          </w:tcPr>
          <w:p w14:paraId="2A3C0637" w14:textId="77777777" w:rsidR="00A00405" w:rsidRPr="00800CE7" w:rsidRDefault="00A00405" w:rsidP="00A00405">
            <w:pPr>
              <w:rPr>
                <w:szCs w:val="22"/>
              </w:rPr>
            </w:pPr>
            <w:r w:rsidRPr="00800CE7">
              <w:rPr>
                <w:szCs w:val="22"/>
              </w:rPr>
              <w:t>4015.3</w:t>
            </w:r>
          </w:p>
        </w:tc>
        <w:tc>
          <w:tcPr>
            <w:tcW w:w="588" w:type="pct"/>
            <w:tcBorders>
              <w:top w:val="nil"/>
              <w:left w:val="nil"/>
              <w:bottom w:val="nil"/>
              <w:right w:val="nil"/>
            </w:tcBorders>
            <w:shd w:val="clear" w:color="auto" w:fill="auto"/>
            <w:vAlign w:val="bottom"/>
          </w:tcPr>
          <w:p w14:paraId="5BC73D5A" w14:textId="77777777" w:rsidR="00A00405" w:rsidRPr="00800CE7" w:rsidRDefault="00A00405" w:rsidP="00A00405">
            <w:pPr>
              <w:rPr>
                <w:szCs w:val="22"/>
              </w:rPr>
            </w:pPr>
            <w:r w:rsidRPr="00800CE7">
              <w:rPr>
                <w:szCs w:val="22"/>
              </w:rPr>
              <w:t>83110.3</w:t>
            </w:r>
          </w:p>
        </w:tc>
        <w:tc>
          <w:tcPr>
            <w:tcW w:w="588" w:type="pct"/>
            <w:tcBorders>
              <w:top w:val="nil"/>
              <w:left w:val="nil"/>
              <w:bottom w:val="nil"/>
              <w:right w:val="nil"/>
            </w:tcBorders>
            <w:shd w:val="clear" w:color="auto" w:fill="auto"/>
            <w:vAlign w:val="bottom"/>
          </w:tcPr>
          <w:p w14:paraId="05898994" w14:textId="77777777" w:rsidR="00A00405" w:rsidRPr="00800CE7" w:rsidRDefault="00A00405" w:rsidP="00A00405">
            <w:pPr>
              <w:rPr>
                <w:szCs w:val="22"/>
              </w:rPr>
            </w:pPr>
            <w:r w:rsidRPr="00800CE7">
              <w:rPr>
                <w:szCs w:val="22"/>
              </w:rPr>
              <w:t>18337.4</w:t>
            </w:r>
          </w:p>
        </w:tc>
        <w:tc>
          <w:tcPr>
            <w:tcW w:w="140" w:type="pct"/>
            <w:tcBorders>
              <w:top w:val="nil"/>
              <w:left w:val="nil"/>
              <w:bottom w:val="nil"/>
              <w:right w:val="nil"/>
            </w:tcBorders>
            <w:shd w:val="clear" w:color="auto" w:fill="auto"/>
            <w:vAlign w:val="bottom"/>
          </w:tcPr>
          <w:p w14:paraId="086FAB1E" w14:textId="77777777" w:rsidR="00A00405" w:rsidRPr="00800CE7" w:rsidRDefault="00A00405" w:rsidP="00A00405">
            <w:pPr>
              <w:rPr>
                <w:szCs w:val="22"/>
              </w:rPr>
            </w:pPr>
          </w:p>
        </w:tc>
        <w:tc>
          <w:tcPr>
            <w:tcW w:w="548" w:type="pct"/>
            <w:tcBorders>
              <w:top w:val="nil"/>
              <w:left w:val="nil"/>
              <w:bottom w:val="nil"/>
              <w:right w:val="nil"/>
            </w:tcBorders>
            <w:shd w:val="clear" w:color="auto" w:fill="auto"/>
            <w:vAlign w:val="bottom"/>
          </w:tcPr>
          <w:p w14:paraId="3F0441CA" w14:textId="77777777" w:rsidR="00A00405" w:rsidRPr="00800CE7" w:rsidRDefault="00A00405" w:rsidP="00A00405">
            <w:pPr>
              <w:rPr>
                <w:szCs w:val="22"/>
              </w:rPr>
            </w:pPr>
            <w:r w:rsidRPr="00800CE7">
              <w:rPr>
                <w:szCs w:val="22"/>
              </w:rPr>
              <w:t>1556.7</w:t>
            </w:r>
          </w:p>
        </w:tc>
        <w:tc>
          <w:tcPr>
            <w:tcW w:w="529" w:type="pct"/>
            <w:tcBorders>
              <w:top w:val="nil"/>
              <w:left w:val="nil"/>
              <w:bottom w:val="nil"/>
              <w:right w:val="nil"/>
            </w:tcBorders>
            <w:shd w:val="clear" w:color="auto" w:fill="auto"/>
            <w:vAlign w:val="bottom"/>
          </w:tcPr>
          <w:p w14:paraId="215CBC73" w14:textId="77777777" w:rsidR="00A00405" w:rsidRPr="00800CE7" w:rsidRDefault="00A00405" w:rsidP="00A00405">
            <w:pPr>
              <w:rPr>
                <w:szCs w:val="22"/>
              </w:rPr>
            </w:pPr>
            <w:r w:rsidRPr="00800CE7">
              <w:rPr>
                <w:szCs w:val="22"/>
              </w:rPr>
              <w:t>10308.7</w:t>
            </w:r>
          </w:p>
        </w:tc>
        <w:tc>
          <w:tcPr>
            <w:tcW w:w="588" w:type="pct"/>
            <w:tcBorders>
              <w:top w:val="nil"/>
              <w:left w:val="nil"/>
              <w:bottom w:val="nil"/>
              <w:right w:val="nil"/>
            </w:tcBorders>
            <w:shd w:val="clear" w:color="auto" w:fill="auto"/>
            <w:vAlign w:val="bottom"/>
          </w:tcPr>
          <w:p w14:paraId="7DB647FD" w14:textId="77777777" w:rsidR="00A00405" w:rsidRPr="00800CE7" w:rsidRDefault="00A00405" w:rsidP="00A00405">
            <w:pPr>
              <w:rPr>
                <w:szCs w:val="22"/>
              </w:rPr>
            </w:pPr>
            <w:r w:rsidRPr="00800CE7">
              <w:rPr>
                <w:szCs w:val="22"/>
              </w:rPr>
              <w:t>26719.0</w:t>
            </w:r>
          </w:p>
        </w:tc>
        <w:tc>
          <w:tcPr>
            <w:tcW w:w="529" w:type="pct"/>
            <w:tcBorders>
              <w:top w:val="nil"/>
              <w:left w:val="nil"/>
              <w:bottom w:val="nil"/>
              <w:right w:val="single" w:sz="4" w:space="0" w:color="000000"/>
            </w:tcBorders>
            <w:shd w:val="clear" w:color="auto" w:fill="auto"/>
            <w:vAlign w:val="bottom"/>
          </w:tcPr>
          <w:p w14:paraId="54F4A84C" w14:textId="77777777" w:rsidR="00A00405" w:rsidRPr="00800CE7" w:rsidRDefault="00A00405" w:rsidP="00A00405">
            <w:pPr>
              <w:rPr>
                <w:szCs w:val="22"/>
              </w:rPr>
            </w:pPr>
            <w:r w:rsidRPr="00800CE7">
              <w:rPr>
                <w:szCs w:val="22"/>
              </w:rPr>
              <w:t>3274.4</w:t>
            </w:r>
          </w:p>
        </w:tc>
      </w:tr>
      <w:tr w:rsidR="00A00405" w:rsidRPr="00800CE7" w14:paraId="4E042026" w14:textId="77777777" w:rsidTr="0010725E">
        <w:trPr>
          <w:trHeight w:val="300"/>
          <w:jc w:val="center"/>
        </w:trPr>
        <w:tc>
          <w:tcPr>
            <w:tcW w:w="583" w:type="pct"/>
            <w:tcBorders>
              <w:top w:val="nil"/>
              <w:left w:val="single" w:sz="4" w:space="0" w:color="000000"/>
              <w:bottom w:val="nil"/>
              <w:right w:val="nil"/>
            </w:tcBorders>
            <w:shd w:val="clear" w:color="auto" w:fill="auto"/>
            <w:vAlign w:val="bottom"/>
          </w:tcPr>
          <w:p w14:paraId="3C476E57" w14:textId="77777777" w:rsidR="00A00405" w:rsidRPr="00800CE7" w:rsidRDefault="00A00405" w:rsidP="00A00405">
            <w:pPr>
              <w:rPr>
                <w:szCs w:val="22"/>
              </w:rPr>
            </w:pPr>
            <w:r w:rsidRPr="00800CE7">
              <w:rPr>
                <w:szCs w:val="22"/>
              </w:rPr>
              <w:t xml:space="preserve">Meat Poultry </w:t>
            </w:r>
          </w:p>
        </w:tc>
        <w:tc>
          <w:tcPr>
            <w:tcW w:w="380" w:type="pct"/>
            <w:tcBorders>
              <w:top w:val="nil"/>
              <w:left w:val="nil"/>
              <w:bottom w:val="nil"/>
              <w:right w:val="nil"/>
            </w:tcBorders>
            <w:shd w:val="clear" w:color="auto" w:fill="auto"/>
            <w:vAlign w:val="bottom"/>
          </w:tcPr>
          <w:p w14:paraId="1B60DA7F" w14:textId="77777777" w:rsidR="00A00405" w:rsidRPr="00800CE7" w:rsidRDefault="00A00405" w:rsidP="00A00405">
            <w:pPr>
              <w:rPr>
                <w:szCs w:val="22"/>
              </w:rPr>
            </w:pPr>
            <w:r w:rsidRPr="00800CE7">
              <w:rPr>
                <w:szCs w:val="22"/>
              </w:rPr>
              <w:t>59.2</w:t>
            </w:r>
          </w:p>
        </w:tc>
        <w:tc>
          <w:tcPr>
            <w:tcW w:w="529" w:type="pct"/>
            <w:tcBorders>
              <w:top w:val="nil"/>
              <w:left w:val="nil"/>
              <w:bottom w:val="nil"/>
              <w:right w:val="nil"/>
            </w:tcBorders>
            <w:shd w:val="clear" w:color="auto" w:fill="auto"/>
            <w:vAlign w:val="bottom"/>
          </w:tcPr>
          <w:p w14:paraId="6DAAFA46" w14:textId="77777777" w:rsidR="00A00405" w:rsidRPr="00800CE7" w:rsidRDefault="00A00405" w:rsidP="00A00405">
            <w:pPr>
              <w:rPr>
                <w:szCs w:val="22"/>
              </w:rPr>
            </w:pPr>
            <w:r w:rsidRPr="00800CE7">
              <w:rPr>
                <w:szCs w:val="22"/>
              </w:rPr>
              <w:t>322.3</w:t>
            </w:r>
          </w:p>
        </w:tc>
        <w:tc>
          <w:tcPr>
            <w:tcW w:w="588" w:type="pct"/>
            <w:tcBorders>
              <w:top w:val="nil"/>
              <w:left w:val="nil"/>
              <w:bottom w:val="nil"/>
              <w:right w:val="nil"/>
            </w:tcBorders>
            <w:shd w:val="clear" w:color="auto" w:fill="auto"/>
            <w:vAlign w:val="bottom"/>
          </w:tcPr>
          <w:p w14:paraId="53503BDA" w14:textId="77777777" w:rsidR="00A00405" w:rsidRPr="00800CE7" w:rsidRDefault="00A00405" w:rsidP="00A00405">
            <w:pPr>
              <w:rPr>
                <w:szCs w:val="22"/>
              </w:rPr>
            </w:pPr>
            <w:r w:rsidRPr="00800CE7">
              <w:rPr>
                <w:szCs w:val="22"/>
              </w:rPr>
              <w:t>65792.7</w:t>
            </w:r>
          </w:p>
        </w:tc>
        <w:tc>
          <w:tcPr>
            <w:tcW w:w="588" w:type="pct"/>
            <w:tcBorders>
              <w:top w:val="nil"/>
              <w:left w:val="nil"/>
              <w:bottom w:val="nil"/>
              <w:right w:val="nil"/>
            </w:tcBorders>
            <w:shd w:val="clear" w:color="auto" w:fill="auto"/>
            <w:vAlign w:val="bottom"/>
          </w:tcPr>
          <w:p w14:paraId="4814EDBD" w14:textId="77777777" w:rsidR="00A00405" w:rsidRPr="00800CE7" w:rsidRDefault="00A00405" w:rsidP="00A00405">
            <w:pPr>
              <w:rPr>
                <w:szCs w:val="22"/>
              </w:rPr>
            </w:pPr>
            <w:r w:rsidRPr="00800CE7">
              <w:rPr>
                <w:szCs w:val="22"/>
              </w:rPr>
              <w:t>72244.6</w:t>
            </w:r>
          </w:p>
        </w:tc>
        <w:tc>
          <w:tcPr>
            <w:tcW w:w="140" w:type="pct"/>
            <w:tcBorders>
              <w:top w:val="nil"/>
              <w:left w:val="nil"/>
              <w:bottom w:val="nil"/>
              <w:right w:val="nil"/>
            </w:tcBorders>
            <w:shd w:val="clear" w:color="auto" w:fill="auto"/>
            <w:vAlign w:val="bottom"/>
          </w:tcPr>
          <w:p w14:paraId="65F159CE" w14:textId="77777777" w:rsidR="00A00405" w:rsidRPr="00800CE7" w:rsidRDefault="00A00405" w:rsidP="00A00405">
            <w:pPr>
              <w:rPr>
                <w:szCs w:val="22"/>
              </w:rPr>
            </w:pPr>
          </w:p>
        </w:tc>
        <w:tc>
          <w:tcPr>
            <w:tcW w:w="548" w:type="pct"/>
            <w:tcBorders>
              <w:top w:val="nil"/>
              <w:left w:val="nil"/>
              <w:bottom w:val="nil"/>
              <w:right w:val="nil"/>
            </w:tcBorders>
            <w:shd w:val="clear" w:color="auto" w:fill="auto"/>
            <w:vAlign w:val="bottom"/>
          </w:tcPr>
          <w:p w14:paraId="770F0E1F" w14:textId="77777777" w:rsidR="00A00405" w:rsidRPr="00800CE7" w:rsidRDefault="00A00405" w:rsidP="00A00405">
            <w:pPr>
              <w:rPr>
                <w:szCs w:val="22"/>
              </w:rPr>
            </w:pPr>
            <w:r w:rsidRPr="00800CE7">
              <w:rPr>
                <w:szCs w:val="22"/>
              </w:rPr>
              <w:t>6574.8</w:t>
            </w:r>
          </w:p>
        </w:tc>
        <w:tc>
          <w:tcPr>
            <w:tcW w:w="529" w:type="pct"/>
            <w:tcBorders>
              <w:top w:val="nil"/>
              <w:left w:val="nil"/>
              <w:bottom w:val="nil"/>
              <w:right w:val="nil"/>
            </w:tcBorders>
            <w:shd w:val="clear" w:color="auto" w:fill="auto"/>
            <w:vAlign w:val="bottom"/>
          </w:tcPr>
          <w:p w14:paraId="179DB6BF" w14:textId="77777777" w:rsidR="00A00405" w:rsidRPr="00800CE7" w:rsidRDefault="00A00405" w:rsidP="00A00405">
            <w:pPr>
              <w:rPr>
                <w:szCs w:val="22"/>
              </w:rPr>
            </w:pPr>
            <w:r w:rsidRPr="00800CE7">
              <w:rPr>
                <w:szCs w:val="22"/>
              </w:rPr>
              <w:t>11883.9</w:t>
            </w:r>
          </w:p>
        </w:tc>
        <w:tc>
          <w:tcPr>
            <w:tcW w:w="588" w:type="pct"/>
            <w:tcBorders>
              <w:top w:val="nil"/>
              <w:left w:val="nil"/>
              <w:bottom w:val="nil"/>
              <w:right w:val="nil"/>
            </w:tcBorders>
            <w:shd w:val="clear" w:color="auto" w:fill="auto"/>
            <w:vAlign w:val="bottom"/>
          </w:tcPr>
          <w:p w14:paraId="18787E0D" w14:textId="77777777" w:rsidR="00A00405" w:rsidRPr="00800CE7" w:rsidRDefault="00A00405" w:rsidP="00A00405">
            <w:pPr>
              <w:rPr>
                <w:szCs w:val="22"/>
              </w:rPr>
            </w:pPr>
            <w:r w:rsidRPr="00800CE7">
              <w:rPr>
                <w:szCs w:val="22"/>
              </w:rPr>
              <w:t>7066.9</w:t>
            </w:r>
          </w:p>
        </w:tc>
        <w:tc>
          <w:tcPr>
            <w:tcW w:w="529" w:type="pct"/>
            <w:tcBorders>
              <w:top w:val="nil"/>
              <w:left w:val="nil"/>
              <w:bottom w:val="nil"/>
              <w:right w:val="single" w:sz="4" w:space="0" w:color="000000"/>
            </w:tcBorders>
            <w:shd w:val="clear" w:color="auto" w:fill="auto"/>
            <w:vAlign w:val="bottom"/>
          </w:tcPr>
          <w:p w14:paraId="61888932" w14:textId="77777777" w:rsidR="00A00405" w:rsidRPr="00800CE7" w:rsidRDefault="00A00405" w:rsidP="00A00405">
            <w:pPr>
              <w:rPr>
                <w:szCs w:val="22"/>
              </w:rPr>
            </w:pPr>
            <w:r w:rsidRPr="00800CE7">
              <w:rPr>
                <w:szCs w:val="22"/>
              </w:rPr>
              <w:t>6208.9</w:t>
            </w:r>
          </w:p>
        </w:tc>
      </w:tr>
      <w:tr w:rsidR="00A00405" w:rsidRPr="00800CE7" w14:paraId="02A389FA" w14:textId="77777777" w:rsidTr="0010725E">
        <w:trPr>
          <w:trHeight w:val="300"/>
          <w:jc w:val="center"/>
        </w:trPr>
        <w:tc>
          <w:tcPr>
            <w:tcW w:w="583" w:type="pct"/>
            <w:tcBorders>
              <w:top w:val="nil"/>
              <w:left w:val="single" w:sz="4" w:space="0" w:color="000000"/>
              <w:bottom w:val="nil"/>
              <w:right w:val="nil"/>
            </w:tcBorders>
            <w:shd w:val="clear" w:color="auto" w:fill="auto"/>
            <w:vAlign w:val="bottom"/>
          </w:tcPr>
          <w:p w14:paraId="0F523B9B" w14:textId="77777777" w:rsidR="00A00405" w:rsidRPr="00800CE7" w:rsidRDefault="00A00405" w:rsidP="00A00405">
            <w:pPr>
              <w:rPr>
                <w:szCs w:val="22"/>
              </w:rPr>
            </w:pPr>
            <w:r w:rsidRPr="00800CE7">
              <w:rPr>
                <w:szCs w:val="22"/>
              </w:rPr>
              <w:t>Meat Sheep</w:t>
            </w:r>
          </w:p>
        </w:tc>
        <w:tc>
          <w:tcPr>
            <w:tcW w:w="380" w:type="pct"/>
            <w:tcBorders>
              <w:top w:val="nil"/>
              <w:left w:val="nil"/>
              <w:bottom w:val="nil"/>
              <w:right w:val="nil"/>
            </w:tcBorders>
            <w:shd w:val="clear" w:color="auto" w:fill="auto"/>
            <w:vAlign w:val="bottom"/>
          </w:tcPr>
          <w:p w14:paraId="60C56F11" w14:textId="77777777" w:rsidR="00A00405" w:rsidRPr="00800CE7" w:rsidRDefault="00A00405" w:rsidP="00A00405">
            <w:pPr>
              <w:rPr>
                <w:szCs w:val="22"/>
              </w:rPr>
            </w:pPr>
            <w:r w:rsidRPr="00800CE7">
              <w:rPr>
                <w:szCs w:val="22"/>
              </w:rPr>
              <w:t>5.8</w:t>
            </w:r>
          </w:p>
        </w:tc>
        <w:tc>
          <w:tcPr>
            <w:tcW w:w="529" w:type="pct"/>
            <w:tcBorders>
              <w:top w:val="nil"/>
              <w:left w:val="nil"/>
              <w:bottom w:val="nil"/>
              <w:right w:val="nil"/>
            </w:tcBorders>
            <w:shd w:val="clear" w:color="auto" w:fill="auto"/>
            <w:vAlign w:val="bottom"/>
          </w:tcPr>
          <w:p w14:paraId="1142BD24" w14:textId="77777777" w:rsidR="00A00405" w:rsidRPr="00800CE7" w:rsidRDefault="00A00405" w:rsidP="00A00405">
            <w:pPr>
              <w:rPr>
                <w:szCs w:val="22"/>
              </w:rPr>
            </w:pPr>
            <w:r w:rsidRPr="00800CE7">
              <w:rPr>
                <w:szCs w:val="22"/>
              </w:rPr>
              <w:t>10.7</w:t>
            </w:r>
          </w:p>
        </w:tc>
        <w:tc>
          <w:tcPr>
            <w:tcW w:w="588" w:type="pct"/>
            <w:tcBorders>
              <w:top w:val="nil"/>
              <w:left w:val="nil"/>
              <w:bottom w:val="nil"/>
              <w:right w:val="nil"/>
            </w:tcBorders>
            <w:shd w:val="clear" w:color="auto" w:fill="auto"/>
            <w:vAlign w:val="bottom"/>
          </w:tcPr>
          <w:p w14:paraId="485EB903" w14:textId="77777777" w:rsidR="00A00405" w:rsidRPr="00800CE7" w:rsidRDefault="00A00405" w:rsidP="00A00405">
            <w:pPr>
              <w:rPr>
                <w:szCs w:val="22"/>
              </w:rPr>
            </w:pPr>
            <w:r w:rsidRPr="00800CE7">
              <w:rPr>
                <w:szCs w:val="22"/>
              </w:rPr>
              <w:t>431.7</w:t>
            </w:r>
          </w:p>
        </w:tc>
        <w:tc>
          <w:tcPr>
            <w:tcW w:w="588" w:type="pct"/>
            <w:tcBorders>
              <w:top w:val="nil"/>
              <w:left w:val="nil"/>
              <w:bottom w:val="nil"/>
              <w:right w:val="nil"/>
            </w:tcBorders>
            <w:shd w:val="clear" w:color="auto" w:fill="auto"/>
            <w:vAlign w:val="bottom"/>
          </w:tcPr>
          <w:p w14:paraId="74EC84FF" w14:textId="77777777" w:rsidR="00A00405" w:rsidRPr="00800CE7" w:rsidRDefault="00A00405" w:rsidP="00A00405">
            <w:pPr>
              <w:rPr>
                <w:szCs w:val="22"/>
              </w:rPr>
            </w:pPr>
            <w:r w:rsidRPr="00800CE7">
              <w:rPr>
                <w:szCs w:val="22"/>
              </w:rPr>
              <w:t>2531.2</w:t>
            </w:r>
          </w:p>
        </w:tc>
        <w:tc>
          <w:tcPr>
            <w:tcW w:w="140" w:type="pct"/>
            <w:tcBorders>
              <w:top w:val="nil"/>
              <w:left w:val="nil"/>
              <w:bottom w:val="nil"/>
              <w:right w:val="nil"/>
            </w:tcBorders>
            <w:shd w:val="clear" w:color="auto" w:fill="auto"/>
            <w:vAlign w:val="bottom"/>
          </w:tcPr>
          <w:p w14:paraId="30B733D5" w14:textId="77777777" w:rsidR="00A00405" w:rsidRPr="00800CE7" w:rsidRDefault="00A00405" w:rsidP="00A00405">
            <w:pPr>
              <w:rPr>
                <w:szCs w:val="22"/>
              </w:rPr>
            </w:pPr>
          </w:p>
        </w:tc>
        <w:tc>
          <w:tcPr>
            <w:tcW w:w="548" w:type="pct"/>
            <w:tcBorders>
              <w:top w:val="nil"/>
              <w:left w:val="nil"/>
              <w:bottom w:val="nil"/>
              <w:right w:val="nil"/>
            </w:tcBorders>
            <w:shd w:val="clear" w:color="auto" w:fill="auto"/>
            <w:vAlign w:val="bottom"/>
          </w:tcPr>
          <w:p w14:paraId="7F4C3C54" w14:textId="77777777" w:rsidR="00A00405" w:rsidRPr="00800CE7" w:rsidRDefault="00A00405" w:rsidP="00A00405">
            <w:pPr>
              <w:rPr>
                <w:szCs w:val="22"/>
              </w:rPr>
            </w:pPr>
            <w:r w:rsidRPr="00800CE7">
              <w:rPr>
                <w:szCs w:val="22"/>
              </w:rPr>
              <w:t>854.0</w:t>
            </w:r>
          </w:p>
        </w:tc>
        <w:tc>
          <w:tcPr>
            <w:tcW w:w="529" w:type="pct"/>
            <w:tcBorders>
              <w:top w:val="nil"/>
              <w:left w:val="nil"/>
              <w:bottom w:val="nil"/>
              <w:right w:val="nil"/>
            </w:tcBorders>
            <w:shd w:val="clear" w:color="auto" w:fill="auto"/>
            <w:vAlign w:val="bottom"/>
          </w:tcPr>
          <w:p w14:paraId="2AB36D6F" w14:textId="77777777" w:rsidR="00A00405" w:rsidRPr="00800CE7" w:rsidRDefault="00A00405" w:rsidP="00A00405">
            <w:pPr>
              <w:rPr>
                <w:szCs w:val="22"/>
              </w:rPr>
            </w:pPr>
            <w:r w:rsidRPr="00800CE7">
              <w:rPr>
                <w:szCs w:val="22"/>
              </w:rPr>
              <w:t>1078.7</w:t>
            </w:r>
          </w:p>
        </w:tc>
        <w:tc>
          <w:tcPr>
            <w:tcW w:w="588" w:type="pct"/>
            <w:tcBorders>
              <w:top w:val="nil"/>
              <w:left w:val="nil"/>
              <w:bottom w:val="nil"/>
              <w:right w:val="nil"/>
            </w:tcBorders>
            <w:shd w:val="clear" w:color="auto" w:fill="auto"/>
            <w:vAlign w:val="bottom"/>
          </w:tcPr>
          <w:p w14:paraId="407A0C2C" w14:textId="77777777" w:rsidR="00A00405" w:rsidRPr="00800CE7" w:rsidRDefault="00A00405" w:rsidP="00A00405">
            <w:pPr>
              <w:rPr>
                <w:szCs w:val="22"/>
              </w:rPr>
            </w:pPr>
            <w:r w:rsidRPr="00800CE7">
              <w:rPr>
                <w:szCs w:val="22"/>
              </w:rPr>
              <w:t>11111.9</w:t>
            </w:r>
          </w:p>
        </w:tc>
        <w:tc>
          <w:tcPr>
            <w:tcW w:w="529" w:type="pct"/>
            <w:tcBorders>
              <w:top w:val="nil"/>
              <w:left w:val="nil"/>
              <w:bottom w:val="nil"/>
              <w:right w:val="single" w:sz="4" w:space="0" w:color="000000"/>
            </w:tcBorders>
            <w:shd w:val="clear" w:color="auto" w:fill="auto"/>
            <w:vAlign w:val="bottom"/>
          </w:tcPr>
          <w:p w14:paraId="2531CD73" w14:textId="77777777" w:rsidR="00A00405" w:rsidRPr="00800CE7" w:rsidRDefault="00A00405" w:rsidP="00A00405">
            <w:pPr>
              <w:rPr>
                <w:szCs w:val="22"/>
              </w:rPr>
            </w:pPr>
            <w:r w:rsidRPr="00800CE7">
              <w:rPr>
                <w:szCs w:val="22"/>
              </w:rPr>
              <w:t>558.9</w:t>
            </w:r>
          </w:p>
        </w:tc>
      </w:tr>
      <w:tr w:rsidR="00A00405" w:rsidRPr="00800CE7" w14:paraId="5CBAC343" w14:textId="77777777" w:rsidTr="0010725E">
        <w:trPr>
          <w:trHeight w:val="300"/>
          <w:jc w:val="center"/>
        </w:trPr>
        <w:tc>
          <w:tcPr>
            <w:tcW w:w="583" w:type="pct"/>
            <w:tcBorders>
              <w:top w:val="nil"/>
              <w:left w:val="single" w:sz="4" w:space="0" w:color="000000"/>
              <w:bottom w:val="single" w:sz="4" w:space="0" w:color="000000"/>
              <w:right w:val="nil"/>
            </w:tcBorders>
            <w:shd w:val="clear" w:color="auto" w:fill="auto"/>
            <w:vAlign w:val="bottom"/>
          </w:tcPr>
          <w:p w14:paraId="56F0DD16" w14:textId="77777777" w:rsidR="00A00405" w:rsidRPr="00800CE7" w:rsidRDefault="00A00405" w:rsidP="00A00405">
            <w:pPr>
              <w:rPr>
                <w:szCs w:val="22"/>
              </w:rPr>
            </w:pPr>
            <w:r w:rsidRPr="00800CE7">
              <w:rPr>
                <w:szCs w:val="22"/>
              </w:rPr>
              <w:t xml:space="preserve">Milk </w:t>
            </w:r>
          </w:p>
        </w:tc>
        <w:tc>
          <w:tcPr>
            <w:tcW w:w="380" w:type="pct"/>
            <w:tcBorders>
              <w:top w:val="nil"/>
              <w:left w:val="nil"/>
              <w:bottom w:val="single" w:sz="4" w:space="0" w:color="000000"/>
              <w:right w:val="nil"/>
            </w:tcBorders>
            <w:shd w:val="clear" w:color="auto" w:fill="auto"/>
            <w:vAlign w:val="bottom"/>
          </w:tcPr>
          <w:p w14:paraId="715E87B5" w14:textId="77777777" w:rsidR="00A00405" w:rsidRPr="00800CE7" w:rsidRDefault="00A00405" w:rsidP="00A00405">
            <w:pPr>
              <w:rPr>
                <w:szCs w:val="22"/>
              </w:rPr>
            </w:pPr>
            <w:r w:rsidRPr="00800CE7">
              <w:rPr>
                <w:szCs w:val="22"/>
              </w:rPr>
              <w:t>206.0</w:t>
            </w:r>
          </w:p>
        </w:tc>
        <w:tc>
          <w:tcPr>
            <w:tcW w:w="529" w:type="pct"/>
            <w:tcBorders>
              <w:top w:val="nil"/>
              <w:left w:val="nil"/>
              <w:bottom w:val="single" w:sz="4" w:space="0" w:color="000000"/>
              <w:right w:val="nil"/>
            </w:tcBorders>
            <w:shd w:val="clear" w:color="auto" w:fill="auto"/>
            <w:vAlign w:val="bottom"/>
          </w:tcPr>
          <w:p w14:paraId="52891F1E" w14:textId="77777777" w:rsidR="00A00405" w:rsidRPr="00800CE7" w:rsidRDefault="00A00405" w:rsidP="00A00405">
            <w:pPr>
              <w:rPr>
                <w:szCs w:val="22"/>
              </w:rPr>
            </w:pPr>
            <w:r w:rsidRPr="00800CE7">
              <w:rPr>
                <w:szCs w:val="22"/>
              </w:rPr>
              <w:t>2611.1</w:t>
            </w:r>
          </w:p>
        </w:tc>
        <w:tc>
          <w:tcPr>
            <w:tcW w:w="588" w:type="pct"/>
            <w:tcBorders>
              <w:top w:val="nil"/>
              <w:left w:val="nil"/>
              <w:bottom w:val="single" w:sz="4" w:space="0" w:color="000000"/>
              <w:right w:val="nil"/>
            </w:tcBorders>
            <w:shd w:val="clear" w:color="auto" w:fill="auto"/>
            <w:vAlign w:val="bottom"/>
          </w:tcPr>
          <w:p w14:paraId="717B9F2E" w14:textId="77777777" w:rsidR="00A00405" w:rsidRPr="00800CE7" w:rsidRDefault="00A00405" w:rsidP="00A00405">
            <w:pPr>
              <w:rPr>
                <w:szCs w:val="22"/>
              </w:rPr>
            </w:pPr>
            <w:r w:rsidRPr="00800CE7">
              <w:rPr>
                <w:szCs w:val="22"/>
              </w:rPr>
              <w:t>31350.9</w:t>
            </w:r>
          </w:p>
        </w:tc>
        <w:tc>
          <w:tcPr>
            <w:tcW w:w="588" w:type="pct"/>
            <w:tcBorders>
              <w:top w:val="nil"/>
              <w:left w:val="nil"/>
              <w:bottom w:val="single" w:sz="4" w:space="0" w:color="000000"/>
              <w:right w:val="nil"/>
            </w:tcBorders>
            <w:shd w:val="clear" w:color="auto" w:fill="auto"/>
            <w:vAlign w:val="bottom"/>
          </w:tcPr>
          <w:p w14:paraId="2E96AD62" w14:textId="77777777" w:rsidR="00A00405" w:rsidRPr="00800CE7" w:rsidRDefault="00A00405" w:rsidP="00A00405">
            <w:pPr>
              <w:rPr>
                <w:szCs w:val="22"/>
              </w:rPr>
            </w:pPr>
            <w:r w:rsidRPr="00800CE7">
              <w:rPr>
                <w:szCs w:val="22"/>
              </w:rPr>
              <w:t>17362.7</w:t>
            </w:r>
          </w:p>
        </w:tc>
        <w:tc>
          <w:tcPr>
            <w:tcW w:w="140" w:type="pct"/>
            <w:tcBorders>
              <w:top w:val="nil"/>
              <w:left w:val="nil"/>
              <w:bottom w:val="single" w:sz="4" w:space="0" w:color="000000"/>
              <w:right w:val="nil"/>
            </w:tcBorders>
            <w:shd w:val="clear" w:color="auto" w:fill="auto"/>
            <w:vAlign w:val="bottom"/>
          </w:tcPr>
          <w:p w14:paraId="6586643D" w14:textId="77777777" w:rsidR="00A00405" w:rsidRPr="00800CE7" w:rsidRDefault="00A00405" w:rsidP="00A00405">
            <w:pPr>
              <w:rPr>
                <w:szCs w:val="22"/>
              </w:rPr>
            </w:pPr>
            <w:r w:rsidRPr="00800CE7">
              <w:rPr>
                <w:szCs w:val="22"/>
              </w:rPr>
              <w:t> </w:t>
            </w:r>
          </w:p>
        </w:tc>
        <w:tc>
          <w:tcPr>
            <w:tcW w:w="548" w:type="pct"/>
            <w:tcBorders>
              <w:top w:val="nil"/>
              <w:left w:val="nil"/>
              <w:bottom w:val="single" w:sz="4" w:space="0" w:color="000000"/>
              <w:right w:val="nil"/>
            </w:tcBorders>
            <w:shd w:val="clear" w:color="auto" w:fill="auto"/>
            <w:vAlign w:val="bottom"/>
          </w:tcPr>
          <w:p w14:paraId="6FC0579E" w14:textId="77777777" w:rsidR="00A00405" w:rsidRPr="00800CE7" w:rsidRDefault="00A00405" w:rsidP="00A00405">
            <w:pPr>
              <w:rPr>
                <w:szCs w:val="22"/>
              </w:rPr>
            </w:pPr>
            <w:r w:rsidRPr="00800CE7">
              <w:rPr>
                <w:szCs w:val="22"/>
              </w:rPr>
              <w:t>9886.7</w:t>
            </w:r>
          </w:p>
        </w:tc>
        <w:tc>
          <w:tcPr>
            <w:tcW w:w="529" w:type="pct"/>
            <w:tcBorders>
              <w:top w:val="nil"/>
              <w:left w:val="nil"/>
              <w:bottom w:val="single" w:sz="4" w:space="0" w:color="000000"/>
              <w:right w:val="nil"/>
            </w:tcBorders>
            <w:shd w:val="clear" w:color="auto" w:fill="auto"/>
            <w:vAlign w:val="bottom"/>
          </w:tcPr>
          <w:p w14:paraId="40EE31F9" w14:textId="77777777" w:rsidR="00A00405" w:rsidRPr="00800CE7" w:rsidRDefault="00A00405" w:rsidP="00A00405">
            <w:pPr>
              <w:rPr>
                <w:szCs w:val="22"/>
              </w:rPr>
            </w:pPr>
            <w:r w:rsidRPr="00800CE7">
              <w:rPr>
                <w:szCs w:val="22"/>
              </w:rPr>
              <w:t>21703.2</w:t>
            </w:r>
          </w:p>
        </w:tc>
        <w:tc>
          <w:tcPr>
            <w:tcW w:w="588" w:type="pct"/>
            <w:tcBorders>
              <w:top w:val="nil"/>
              <w:left w:val="nil"/>
              <w:bottom w:val="single" w:sz="4" w:space="0" w:color="000000"/>
              <w:right w:val="nil"/>
            </w:tcBorders>
            <w:shd w:val="clear" w:color="auto" w:fill="auto"/>
            <w:vAlign w:val="bottom"/>
          </w:tcPr>
          <w:p w14:paraId="0CFFF4C0" w14:textId="77777777" w:rsidR="00A00405" w:rsidRPr="00800CE7" w:rsidRDefault="00A00405" w:rsidP="00A00405">
            <w:pPr>
              <w:rPr>
                <w:szCs w:val="22"/>
              </w:rPr>
            </w:pPr>
            <w:r w:rsidRPr="00800CE7">
              <w:rPr>
                <w:szCs w:val="22"/>
              </w:rPr>
              <w:t>7992.1</w:t>
            </w:r>
          </w:p>
        </w:tc>
        <w:tc>
          <w:tcPr>
            <w:tcW w:w="529" w:type="pct"/>
            <w:tcBorders>
              <w:top w:val="nil"/>
              <w:left w:val="nil"/>
              <w:bottom w:val="single" w:sz="4" w:space="0" w:color="000000"/>
              <w:right w:val="single" w:sz="4" w:space="0" w:color="000000"/>
            </w:tcBorders>
            <w:shd w:val="clear" w:color="auto" w:fill="auto"/>
            <w:vAlign w:val="bottom"/>
          </w:tcPr>
          <w:p w14:paraId="525D34AD" w14:textId="77777777" w:rsidR="00A00405" w:rsidRPr="00800CE7" w:rsidRDefault="00A00405" w:rsidP="00A00405">
            <w:pPr>
              <w:rPr>
                <w:szCs w:val="22"/>
              </w:rPr>
            </w:pPr>
            <w:r w:rsidRPr="00800CE7">
              <w:rPr>
                <w:szCs w:val="22"/>
              </w:rPr>
              <w:t>23747.1</w:t>
            </w:r>
          </w:p>
        </w:tc>
      </w:tr>
      <w:tr w:rsidR="00A00405" w:rsidRPr="00800CE7" w14:paraId="60B7BEDA" w14:textId="77777777" w:rsidTr="0010725E">
        <w:trPr>
          <w:trHeight w:val="300"/>
          <w:jc w:val="center"/>
        </w:trPr>
        <w:tc>
          <w:tcPr>
            <w:tcW w:w="583" w:type="pct"/>
            <w:tcBorders>
              <w:top w:val="nil"/>
              <w:left w:val="single" w:sz="4" w:space="0" w:color="000000"/>
              <w:bottom w:val="single" w:sz="4" w:space="0" w:color="auto"/>
              <w:right w:val="nil"/>
            </w:tcBorders>
            <w:shd w:val="clear" w:color="auto" w:fill="auto"/>
            <w:vAlign w:val="bottom"/>
          </w:tcPr>
          <w:p w14:paraId="03E1C932" w14:textId="77777777" w:rsidR="00A00405" w:rsidRPr="00800CE7" w:rsidRDefault="00A00405" w:rsidP="00A00405">
            <w:pPr>
              <w:ind w:firstLine="181"/>
              <w:rPr>
                <w:b/>
                <w:szCs w:val="22"/>
              </w:rPr>
            </w:pPr>
            <w:r w:rsidRPr="00800CE7">
              <w:rPr>
                <w:b/>
                <w:szCs w:val="22"/>
              </w:rPr>
              <w:t>Total</w:t>
            </w:r>
          </w:p>
        </w:tc>
        <w:tc>
          <w:tcPr>
            <w:tcW w:w="380" w:type="pct"/>
            <w:tcBorders>
              <w:top w:val="nil"/>
              <w:left w:val="nil"/>
              <w:bottom w:val="single" w:sz="4" w:space="0" w:color="auto"/>
              <w:right w:val="nil"/>
            </w:tcBorders>
            <w:shd w:val="clear" w:color="auto" w:fill="auto"/>
            <w:vAlign w:val="bottom"/>
          </w:tcPr>
          <w:p w14:paraId="07F02D34" w14:textId="77777777" w:rsidR="00A00405" w:rsidRPr="00800CE7" w:rsidRDefault="00A00405" w:rsidP="00A00405">
            <w:pPr>
              <w:rPr>
                <w:b/>
                <w:szCs w:val="22"/>
              </w:rPr>
            </w:pPr>
            <w:r w:rsidRPr="00800CE7">
              <w:rPr>
                <w:b/>
                <w:szCs w:val="22"/>
              </w:rPr>
              <w:t>674.9</w:t>
            </w:r>
          </w:p>
        </w:tc>
        <w:tc>
          <w:tcPr>
            <w:tcW w:w="529" w:type="pct"/>
            <w:tcBorders>
              <w:top w:val="nil"/>
              <w:left w:val="nil"/>
              <w:bottom w:val="single" w:sz="4" w:space="0" w:color="auto"/>
              <w:right w:val="nil"/>
            </w:tcBorders>
            <w:shd w:val="clear" w:color="auto" w:fill="auto"/>
            <w:vAlign w:val="bottom"/>
          </w:tcPr>
          <w:p w14:paraId="2402D38C" w14:textId="77777777" w:rsidR="00A00405" w:rsidRPr="00800CE7" w:rsidRDefault="00A00405" w:rsidP="00A00405">
            <w:pPr>
              <w:rPr>
                <w:b/>
                <w:szCs w:val="22"/>
              </w:rPr>
            </w:pPr>
            <w:r w:rsidRPr="00800CE7">
              <w:rPr>
                <w:b/>
                <w:szCs w:val="22"/>
              </w:rPr>
              <w:t>18.933.0</w:t>
            </w:r>
          </w:p>
        </w:tc>
        <w:tc>
          <w:tcPr>
            <w:tcW w:w="588" w:type="pct"/>
            <w:tcBorders>
              <w:top w:val="nil"/>
              <w:left w:val="nil"/>
              <w:bottom w:val="single" w:sz="4" w:space="0" w:color="auto"/>
              <w:right w:val="nil"/>
            </w:tcBorders>
            <w:shd w:val="clear" w:color="auto" w:fill="auto"/>
            <w:vAlign w:val="bottom"/>
          </w:tcPr>
          <w:p w14:paraId="1B7A696B" w14:textId="77777777" w:rsidR="00A00405" w:rsidRPr="00800CE7" w:rsidRDefault="00A00405" w:rsidP="00A00405">
            <w:pPr>
              <w:rPr>
                <w:b/>
                <w:szCs w:val="22"/>
              </w:rPr>
            </w:pPr>
            <w:r w:rsidRPr="00800CE7">
              <w:rPr>
                <w:b/>
                <w:szCs w:val="22"/>
              </w:rPr>
              <w:t>278.027.3</w:t>
            </w:r>
          </w:p>
        </w:tc>
        <w:tc>
          <w:tcPr>
            <w:tcW w:w="588" w:type="pct"/>
            <w:tcBorders>
              <w:top w:val="nil"/>
              <w:left w:val="nil"/>
              <w:bottom w:val="single" w:sz="4" w:space="0" w:color="auto"/>
              <w:right w:val="nil"/>
            </w:tcBorders>
            <w:shd w:val="clear" w:color="auto" w:fill="auto"/>
            <w:vAlign w:val="bottom"/>
          </w:tcPr>
          <w:p w14:paraId="422AF341" w14:textId="77777777" w:rsidR="00A00405" w:rsidRPr="00800CE7" w:rsidRDefault="00A00405" w:rsidP="00A00405">
            <w:pPr>
              <w:rPr>
                <w:b/>
                <w:szCs w:val="22"/>
              </w:rPr>
            </w:pPr>
            <w:r w:rsidRPr="00800CE7">
              <w:rPr>
                <w:b/>
                <w:szCs w:val="22"/>
              </w:rPr>
              <w:t>208.073.3</w:t>
            </w:r>
          </w:p>
        </w:tc>
        <w:tc>
          <w:tcPr>
            <w:tcW w:w="140" w:type="pct"/>
            <w:tcBorders>
              <w:top w:val="nil"/>
              <w:left w:val="nil"/>
              <w:bottom w:val="single" w:sz="4" w:space="0" w:color="auto"/>
              <w:right w:val="nil"/>
            </w:tcBorders>
            <w:shd w:val="clear" w:color="auto" w:fill="auto"/>
            <w:vAlign w:val="bottom"/>
          </w:tcPr>
          <w:p w14:paraId="04C2E619" w14:textId="77777777" w:rsidR="00A00405" w:rsidRPr="00800CE7" w:rsidRDefault="00A00405" w:rsidP="00A00405">
            <w:pPr>
              <w:rPr>
                <w:b/>
                <w:szCs w:val="22"/>
              </w:rPr>
            </w:pPr>
          </w:p>
        </w:tc>
        <w:tc>
          <w:tcPr>
            <w:tcW w:w="548" w:type="pct"/>
            <w:tcBorders>
              <w:top w:val="nil"/>
              <w:left w:val="nil"/>
              <w:bottom w:val="single" w:sz="4" w:space="0" w:color="auto"/>
              <w:right w:val="nil"/>
            </w:tcBorders>
            <w:shd w:val="clear" w:color="auto" w:fill="auto"/>
            <w:vAlign w:val="bottom"/>
          </w:tcPr>
          <w:p w14:paraId="44020C9F" w14:textId="77777777" w:rsidR="00A00405" w:rsidRPr="00800CE7" w:rsidRDefault="00A00405" w:rsidP="00A00405">
            <w:pPr>
              <w:rPr>
                <w:b/>
                <w:szCs w:val="22"/>
              </w:rPr>
            </w:pPr>
            <w:r w:rsidRPr="00800CE7">
              <w:rPr>
                <w:b/>
                <w:szCs w:val="22"/>
              </w:rPr>
              <w:t>22.817.6</w:t>
            </w:r>
          </w:p>
        </w:tc>
        <w:tc>
          <w:tcPr>
            <w:tcW w:w="529" w:type="pct"/>
            <w:tcBorders>
              <w:top w:val="nil"/>
              <w:left w:val="nil"/>
              <w:bottom w:val="single" w:sz="4" w:space="0" w:color="auto"/>
              <w:right w:val="nil"/>
            </w:tcBorders>
            <w:shd w:val="clear" w:color="auto" w:fill="auto"/>
            <w:vAlign w:val="bottom"/>
          </w:tcPr>
          <w:p w14:paraId="1DAB0ACD" w14:textId="77777777" w:rsidR="00A00405" w:rsidRPr="00800CE7" w:rsidRDefault="00A00405" w:rsidP="00A00405">
            <w:pPr>
              <w:rPr>
                <w:b/>
                <w:szCs w:val="22"/>
              </w:rPr>
            </w:pPr>
            <w:r w:rsidRPr="00800CE7">
              <w:rPr>
                <w:b/>
                <w:szCs w:val="22"/>
              </w:rPr>
              <w:t>63.790.7</w:t>
            </w:r>
          </w:p>
        </w:tc>
        <w:tc>
          <w:tcPr>
            <w:tcW w:w="588" w:type="pct"/>
            <w:tcBorders>
              <w:top w:val="nil"/>
              <w:left w:val="nil"/>
              <w:bottom w:val="single" w:sz="4" w:space="0" w:color="auto"/>
              <w:right w:val="nil"/>
            </w:tcBorders>
            <w:shd w:val="clear" w:color="auto" w:fill="auto"/>
            <w:vAlign w:val="bottom"/>
          </w:tcPr>
          <w:p w14:paraId="45CA288C" w14:textId="77777777" w:rsidR="00A00405" w:rsidRPr="00800CE7" w:rsidRDefault="00A00405" w:rsidP="00A00405">
            <w:pPr>
              <w:rPr>
                <w:b/>
                <w:szCs w:val="22"/>
              </w:rPr>
            </w:pPr>
            <w:r w:rsidRPr="00800CE7">
              <w:rPr>
                <w:b/>
                <w:szCs w:val="22"/>
              </w:rPr>
              <w:t>154.304.2</w:t>
            </w:r>
          </w:p>
        </w:tc>
        <w:tc>
          <w:tcPr>
            <w:tcW w:w="529" w:type="pct"/>
            <w:tcBorders>
              <w:top w:val="nil"/>
              <w:left w:val="nil"/>
              <w:bottom w:val="single" w:sz="4" w:space="0" w:color="auto"/>
              <w:right w:val="single" w:sz="4" w:space="0" w:color="000000"/>
            </w:tcBorders>
            <w:shd w:val="clear" w:color="auto" w:fill="auto"/>
            <w:vAlign w:val="bottom"/>
          </w:tcPr>
          <w:p w14:paraId="77826709" w14:textId="77777777" w:rsidR="00A00405" w:rsidRPr="00800CE7" w:rsidRDefault="00A00405" w:rsidP="00A00405">
            <w:pPr>
              <w:rPr>
                <w:b/>
                <w:szCs w:val="22"/>
              </w:rPr>
            </w:pPr>
            <w:r w:rsidRPr="00800CE7">
              <w:rPr>
                <w:b/>
                <w:szCs w:val="22"/>
              </w:rPr>
              <w:t>55.005.9</w:t>
            </w:r>
          </w:p>
        </w:tc>
      </w:tr>
      <w:tr w:rsidR="00A00405" w:rsidRPr="00800CE7" w14:paraId="16D11F15" w14:textId="77777777" w:rsidTr="0010725E">
        <w:trPr>
          <w:trHeight w:val="300"/>
          <w:jc w:val="center"/>
        </w:trPr>
        <w:tc>
          <w:tcPr>
            <w:tcW w:w="5000" w:type="pct"/>
            <w:gridSpan w:val="10"/>
            <w:tcBorders>
              <w:top w:val="single" w:sz="4" w:space="0" w:color="auto"/>
              <w:left w:val="single" w:sz="4" w:space="0" w:color="000000"/>
              <w:bottom w:val="single" w:sz="4" w:space="0" w:color="000000"/>
              <w:right w:val="single" w:sz="4" w:space="0" w:color="000000"/>
            </w:tcBorders>
            <w:shd w:val="clear" w:color="auto" w:fill="auto"/>
            <w:vAlign w:val="bottom"/>
          </w:tcPr>
          <w:p w14:paraId="04219155" w14:textId="77777777" w:rsidR="00A00405" w:rsidRPr="004D42ED" w:rsidRDefault="00A00405" w:rsidP="00A00405">
            <w:pPr>
              <w:rPr>
                <w:sz w:val="20"/>
                <w:szCs w:val="20"/>
              </w:rPr>
            </w:pPr>
            <w:r w:rsidRPr="004D42ED">
              <w:rPr>
                <w:sz w:val="20"/>
                <w:szCs w:val="20"/>
                <w:lang w:val="es-CO"/>
              </w:rPr>
              <w:t xml:space="preserve">Caribbean (CA), Mesoamerica (MA), North America (NA), South America (SA). </w:t>
            </w:r>
            <w:r w:rsidRPr="004D42ED">
              <w:rPr>
                <w:sz w:val="20"/>
                <w:szCs w:val="20"/>
              </w:rPr>
              <w:t>Source: FAOStat (2015)</w:t>
            </w:r>
          </w:p>
        </w:tc>
      </w:tr>
    </w:tbl>
    <w:p w14:paraId="6FA21AC1" w14:textId="46DAFFC3" w:rsidR="00A00405" w:rsidRPr="008608AA" w:rsidRDefault="00A00405" w:rsidP="00960578">
      <w:pPr>
        <w:spacing w:before="240"/>
      </w:pPr>
      <w:r w:rsidRPr="008608AA">
        <w:t>Depending on the methods used, livestock production can have positive or negative effects on natural-resources, public health (</w:t>
      </w:r>
      <w:r w:rsidR="00847F60" w:rsidRPr="008608AA">
        <w:t>e.g.</w:t>
      </w:r>
      <w:r w:rsidRPr="008608AA">
        <w:t xml:space="preserve"> through contaminated water supplies), and social equity (</w:t>
      </w:r>
      <w:r w:rsidR="005F64F4" w:rsidRPr="008608AA">
        <w:t xml:space="preserve">The </w:t>
      </w:r>
      <w:r w:rsidRPr="008608AA">
        <w:t xml:space="preserve">World Bank, 2009). Drivers for production and choice of production systems are population growth (higher food demand globally), urbanization (with infrastructure improvements, </w:t>
      </w:r>
      <w:r w:rsidR="00847F60" w:rsidRPr="008608AA">
        <w:t>e.g.</w:t>
      </w:r>
      <w:r w:rsidRPr="008608AA">
        <w:t xml:space="preserve"> cold chains) and income growth (Thornton, 2010). Rising demands lead to the transformation of natural ecosystems into lands for food (Alkemade et al., 2013). Global demand together with rising productivity has led to an increase in livestock, particularly in South America (Figure 2.4), and the Americas are predicted to have the largest expansion of rangeland area between 2000 - 2030 (Alkemade et al., 2013). Importantly, unlike crop species in the Americas, livestock production depends almost exclusively on domesticated animals originally exotic to the Americas that were introduced during European colonization of the region more than 400 years ago. Exceptions are camelids (llama and alpaca, domesticated from guanaco {</w:t>
      </w:r>
      <w:r w:rsidRPr="008608AA">
        <w:rPr>
          <w:i/>
        </w:rPr>
        <w:t>Lama guanicoe</w:t>
      </w:r>
      <w:r w:rsidRPr="008608AA">
        <w:t>} and vicuña {</w:t>
      </w:r>
      <w:r w:rsidRPr="008608AA">
        <w:rPr>
          <w:i/>
        </w:rPr>
        <w:t>Vicugna vicugna</w:t>
      </w:r>
      <w:r w:rsidRPr="008608AA">
        <w:t>}, respectively) and some small rodents (</w:t>
      </w:r>
      <w:r w:rsidR="00847F60" w:rsidRPr="008608AA">
        <w:t>e.g.</w:t>
      </w:r>
      <w:r w:rsidRPr="008608AA">
        <w:t xml:space="preserve"> guinea pig {</w:t>
      </w:r>
      <w:r w:rsidRPr="008608AA">
        <w:rPr>
          <w:i/>
        </w:rPr>
        <w:t>Cavia porcellus</w:t>
      </w:r>
      <w:r w:rsidRPr="008608AA">
        <w:t>}) in South America. However, the total number of camelids in South America in 2014 represent only 0.25% of total number of cattle.</w:t>
      </w:r>
    </w:p>
    <w:p w14:paraId="41BBEC4D" w14:textId="1D184E46" w:rsidR="00960578" w:rsidRPr="008608AA" w:rsidRDefault="007F26AC" w:rsidP="00960578">
      <w:pPr>
        <w:spacing w:before="240"/>
        <w:jc w:val="center"/>
      </w:pPr>
      <w:r w:rsidRPr="008608AA">
        <w:rPr>
          <w:noProof/>
          <w:lang w:val="en-GB" w:eastAsia="en-GB"/>
        </w:rPr>
        <w:drawing>
          <wp:inline distT="0" distB="0" distL="0" distR="0" wp14:anchorId="25BCA958" wp14:editId="63C291C6">
            <wp:extent cx="5934075" cy="7029450"/>
            <wp:effectExtent l="0" t="0" r="9525" b="0"/>
            <wp:docPr id="21" name="Imagen 21" descr="C:\Users\Alejandro Valderrama\Downloads\Fi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5" descr="C:\Users\Alejandro Valderrama\Downloads\Fig2.4.jpg"/>
                    <pic:cNvPicPr>
                      <a:picLocks noChangeAspect="1" noChangeArrowheads="1"/>
                    </pic:cNvPicPr>
                  </pic:nvPicPr>
                  <pic:blipFill rotWithShape="1">
                    <a:blip r:embed="rId54">
                      <a:extLst>
                        <a:ext uri="{28A0092B-C50C-407E-A947-70E740481C1C}">
                          <a14:useLocalDpi xmlns:a14="http://schemas.microsoft.com/office/drawing/2010/main" val="0"/>
                        </a:ext>
                      </a:extLst>
                    </a:blip>
                    <a:srcRect b="17817"/>
                    <a:stretch/>
                  </pic:blipFill>
                  <pic:spPr bwMode="auto">
                    <a:xfrm>
                      <a:off x="0" y="0"/>
                      <a:ext cx="5934075" cy="7029450"/>
                    </a:xfrm>
                    <a:prstGeom prst="rect">
                      <a:avLst/>
                    </a:prstGeom>
                    <a:noFill/>
                    <a:ln>
                      <a:noFill/>
                    </a:ln>
                    <a:extLst>
                      <a:ext uri="{53640926-AAD7-44D8-BBD7-CCE9431645EC}">
                        <a14:shadowObscured xmlns:a14="http://schemas.microsoft.com/office/drawing/2010/main"/>
                      </a:ext>
                    </a:extLst>
                  </pic:spPr>
                </pic:pic>
              </a:graphicData>
            </a:graphic>
          </wp:inline>
        </w:drawing>
      </w:r>
    </w:p>
    <w:p w14:paraId="61650EF3" w14:textId="77777777" w:rsidR="00960578" w:rsidRPr="008608AA" w:rsidRDefault="00960578" w:rsidP="00960578">
      <w:pPr>
        <w:spacing w:before="240"/>
      </w:pPr>
    </w:p>
    <w:p w14:paraId="38E94BCF" w14:textId="77777777" w:rsidR="00A00405" w:rsidRPr="008608AA" w:rsidRDefault="00A00405" w:rsidP="00A00405">
      <w:pPr>
        <w:spacing w:before="240"/>
      </w:pPr>
    </w:p>
    <w:p w14:paraId="43B26F19" w14:textId="40EC0EC0" w:rsidR="00960578" w:rsidRPr="008608AA" w:rsidRDefault="007F26AC" w:rsidP="00960578">
      <w:pPr>
        <w:shd w:val="clear" w:color="auto" w:fill="FFFFFF"/>
        <w:spacing w:before="240" w:after="120"/>
        <w:jc w:val="center"/>
      </w:pPr>
      <w:r w:rsidRPr="008608AA">
        <w:rPr>
          <w:noProof/>
          <w:lang w:val="en-GB" w:eastAsia="en-GB"/>
        </w:rPr>
        <w:drawing>
          <wp:inline distT="0" distB="0" distL="0" distR="0" wp14:anchorId="5FE1D0B3" wp14:editId="13500343">
            <wp:extent cx="5610225" cy="6315075"/>
            <wp:effectExtent l="0" t="0" r="9525" b="9525"/>
            <wp:docPr id="22" name="Imagen 22" descr="C:\Users\Alejandro Valderrama\Downloads\Fig2.4-p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7" descr="C:\Users\Alejandro Valderrama\Downloads\Fig2.4-pag2.jpg"/>
                    <pic:cNvPicPr>
                      <a:picLocks noChangeAspect="1" noChangeArrowheads="1"/>
                    </pic:cNvPicPr>
                  </pic:nvPicPr>
                  <pic:blipFill rotWithShape="1">
                    <a:blip r:embed="rId55">
                      <a:extLst>
                        <a:ext uri="{28A0092B-C50C-407E-A947-70E740481C1C}">
                          <a14:useLocalDpi xmlns:a14="http://schemas.microsoft.com/office/drawing/2010/main" val="0"/>
                        </a:ext>
                      </a:extLst>
                    </a:blip>
                    <a:srcRect r="6804" b="18949"/>
                    <a:stretch/>
                  </pic:blipFill>
                  <pic:spPr bwMode="auto">
                    <a:xfrm>
                      <a:off x="0" y="0"/>
                      <a:ext cx="5610225" cy="6315075"/>
                    </a:xfrm>
                    <a:prstGeom prst="rect">
                      <a:avLst/>
                    </a:prstGeom>
                    <a:noFill/>
                    <a:ln>
                      <a:noFill/>
                    </a:ln>
                    <a:extLst>
                      <a:ext uri="{53640926-AAD7-44D8-BBD7-CCE9431645EC}">
                        <a14:shadowObscured xmlns:a14="http://schemas.microsoft.com/office/drawing/2010/main"/>
                      </a:ext>
                    </a:extLst>
                  </pic:spPr>
                </pic:pic>
              </a:graphicData>
            </a:graphic>
          </wp:inline>
        </w:drawing>
      </w:r>
    </w:p>
    <w:p w14:paraId="423A30CD" w14:textId="77777777" w:rsidR="00A00405" w:rsidRPr="008608AA" w:rsidRDefault="00A00405" w:rsidP="00960578">
      <w:pPr>
        <w:shd w:val="clear" w:color="auto" w:fill="FFFFFF"/>
        <w:spacing w:before="240" w:after="120"/>
      </w:pPr>
      <w:r w:rsidRPr="008608AA">
        <w:t xml:space="preserve">Natural grasslands comprise almost 30% of the Americas (White et al., 2000), dominating the landscape in a diversity of regions including the Patagonia steppe (Argentina), the Pampas grasslands (northern Argentina, Uruguay, southern Brazil) and the North American prairie (USA, Canada). Here, sustainable grazing by livestock can be an economic activity that does not deplete the resource, in contrast to row crop agricultural land use (Herendeen &amp; Wildermuth, 2002). This is because these natural grasslands evolved under the presence of large herbivores, whose role is now at least partly taken by domesticated animals. Natural rangelands provide many other benefits than those related directly to livestock production. For example, natural grassland conservation contributes to carbon storage in soil, prevents soil erosion, preserves groundwater quality and quantity, conserves native biodiversity and sustains local landscapes (Tanaka et al., 2011). </w:t>
      </w:r>
    </w:p>
    <w:p w14:paraId="4D6EFC8B" w14:textId="77777777" w:rsidR="00A00405" w:rsidRPr="008608AA" w:rsidRDefault="00A00405" w:rsidP="00960578">
      <w:pPr>
        <w:shd w:val="clear" w:color="auto" w:fill="FFFFFF"/>
        <w:spacing w:after="120"/>
      </w:pPr>
      <w:r w:rsidRPr="008608AA">
        <w:t>In other biomes – the most prominent example being Brazil’s Amazon forest– livestock grazing occurs after complete destruction of the natural ecosystems, or livestock may be raised in confined systems, based on feed produced in the place of natural systems, such as soybeans. Rarely does economic data on livestock distinguish the different production systems, which is a problem for measuring the relative degree of benefits and impacts regarding nature. Indeed, detailed sub-national characterization of livestock production, trends, and changes in relation with the ecological features of the area in question is necessary for an evaluation of the impacts of livestock production.</w:t>
      </w:r>
    </w:p>
    <w:p w14:paraId="35DB32B2" w14:textId="2F9B5D4B" w:rsidR="00A00405" w:rsidRPr="008608AA" w:rsidRDefault="00A00405" w:rsidP="00960578">
      <w:pPr>
        <w:shd w:val="clear" w:color="auto" w:fill="FFFFFF"/>
        <w:spacing w:after="120"/>
      </w:pPr>
      <w:r w:rsidRPr="008608AA">
        <w:t>From a subregional perspective, in 2015, the livestock industry in the USA contributed over $60 billion to the national economy (USDA, 2017), clearly showing the importance of livestock production across biomes and production systems, including in small-scale systems, such has in the Great Plains where more than 85% of farms and ranches had less than 100 head of cattle (Mitchell, 2000). Trends of livestock numbers over the past decades in North America vary; the numbers of cattle and sheep are decreasing, and pigs and especially chicken – i.e., livestock raised mostly in confined systems – are increasing. For the near future, meat production is expected to increase for pork and chicken, meaning an intensification of production.</w:t>
      </w:r>
    </w:p>
    <w:p w14:paraId="3534941B" w14:textId="48AF9F23" w:rsidR="00A00405" w:rsidRPr="008608AA" w:rsidRDefault="00A00405" w:rsidP="00960578">
      <w:pPr>
        <w:spacing w:after="120"/>
      </w:pPr>
      <w:r w:rsidRPr="008608AA">
        <w:t>In South America, the products derived from natural grasslands are an important basis for regional or national economies. In 2013, the beef cattle population in southern Brazilian grasslands amounted to 13,592,000 heads (Souza et al., 2014) and just to the south Uruguay held 11,800,000 heads of cattle in 2014 (USDA, 2014). Together, Brazil and Argentina produced 19.6% of global beef production in 2015 (FAS/USDA). In Uruguay, where cattle are produced predominantly on natural rangelands, 240,150 tons of beef were exported with a total value of $1.3 billion in 2013 (USDA, 2014).</w:t>
      </w:r>
    </w:p>
    <w:p w14:paraId="3D22A78D" w14:textId="40C6E821" w:rsidR="00A00405" w:rsidRPr="008608AA" w:rsidRDefault="00A00405" w:rsidP="00960578">
      <w:pPr>
        <w:spacing w:after="120"/>
      </w:pPr>
      <w:r w:rsidRPr="008608AA">
        <w:t xml:space="preserve">Even though productivity and thus economic returns may be lower, grazing is also important in some tropical savannas, such as in central Brazil (Carvalho, 2014) or the Llanos in northern South America (White &amp; Thompson, 1955), where it presents a type of land use compatible with conservation of natural ecosystems and also of cultural significance. On the other hand, deforestation to gain land for other land uses, including livestock production, remains a major issue in tropical forest regions (see Chapter 4). After a clear reduction beginning in 2004, deforestation rates are on the rise again in Brazil, to cite just one example. </w:t>
      </w:r>
    </w:p>
    <w:p w14:paraId="75829A98" w14:textId="7A05ACB6" w:rsidR="00A00405" w:rsidRPr="008608AA" w:rsidRDefault="00A00405" w:rsidP="00960578">
      <w:pPr>
        <w:spacing w:after="120"/>
      </w:pPr>
      <w:r w:rsidRPr="008608AA">
        <w:t>Livestock production in Mesoamerica is characterized by extensive grazing systems and mixed crop-livestock farming systems (Hellin et al., 2013), which are a key contributor to national food production and rural livelihoods, and play a central role in food security and economic stability (</w:t>
      </w:r>
      <w:r w:rsidR="00B20C8E" w:rsidRPr="008608AA">
        <w:t>section</w:t>
      </w:r>
      <w:r w:rsidRPr="008608AA">
        <w:t xml:space="preserve">s 2.3.1 and 2.3.5). In northern Mexico, where livestock grazing occurs in arid ecosystems and intensive feedlots, a variety of supplementary feeds are used. Plus, livestock expansion by converting forests to pasture is projected to be nearly insignificant in Costa Rica while impacting a considerable portion of Nicaragua’s and Panama’s forest cover. This poses a risk to sensitive biological areas that have been identified (Wassenaar et al., 2007). In Mexico, livestock in pastures with introduced grasses has been the principal cause of tropical dry forest conversion (Trilleras et al., 2015). </w:t>
      </w:r>
    </w:p>
    <w:p w14:paraId="797BA523" w14:textId="77777777" w:rsidR="00AB5E93" w:rsidRPr="008608AA" w:rsidRDefault="00AB5E93" w:rsidP="00960578">
      <w:pPr>
        <w:spacing w:after="120"/>
      </w:pPr>
    </w:p>
    <w:p w14:paraId="2E71B946" w14:textId="40237E2B" w:rsidR="00A00405" w:rsidRPr="008608AA" w:rsidRDefault="00A00405" w:rsidP="00A00405">
      <w:pPr>
        <w:pStyle w:val="Heading4"/>
        <w:ind w:left="0" w:firstLine="0"/>
      </w:pPr>
      <w:bookmarkStart w:id="632" w:name="_Toc517393246"/>
      <w:bookmarkStart w:id="633" w:name="_Toc517718987"/>
      <w:bookmarkStart w:id="634" w:name="_Toc517796944"/>
      <w:r w:rsidRPr="008608AA">
        <w:t>Fish (</w:t>
      </w:r>
      <w:r w:rsidR="008E3A0C" w:rsidRPr="008608AA">
        <w:t>w</w:t>
      </w:r>
      <w:r w:rsidRPr="008608AA">
        <w:t xml:space="preserve">ild, </w:t>
      </w:r>
      <w:r w:rsidR="008E3A0C" w:rsidRPr="008608AA">
        <w:t>m</w:t>
      </w:r>
      <w:r w:rsidRPr="008608AA">
        <w:t xml:space="preserve">arine, and </w:t>
      </w:r>
      <w:r w:rsidR="008E3A0C" w:rsidRPr="008608AA">
        <w:t>f</w:t>
      </w:r>
      <w:r w:rsidRPr="008608AA">
        <w:t xml:space="preserve">reshwater </w:t>
      </w:r>
      <w:r w:rsidR="008E3A0C" w:rsidRPr="008608AA">
        <w:t>f</w:t>
      </w:r>
      <w:r w:rsidRPr="008608AA">
        <w:t xml:space="preserve">isheries and </w:t>
      </w:r>
      <w:r w:rsidR="008E3A0C" w:rsidRPr="008608AA">
        <w:t>a</w:t>
      </w:r>
      <w:r w:rsidRPr="008608AA">
        <w:t>quaculture)</w:t>
      </w:r>
      <w:bookmarkEnd w:id="632"/>
      <w:bookmarkEnd w:id="633"/>
      <w:bookmarkEnd w:id="634"/>
      <w:r w:rsidRPr="008608AA">
        <w:t xml:space="preserve"> </w:t>
      </w:r>
    </w:p>
    <w:p w14:paraId="007D1BA2" w14:textId="30331771" w:rsidR="008E3A0C" w:rsidRPr="008608AA" w:rsidRDefault="00A00405" w:rsidP="00AB5E93">
      <w:pPr>
        <w:keepNext/>
      </w:pPr>
      <w:r w:rsidRPr="008608AA">
        <w:t>Wetlands, rivers, lakes, estuaries, and oceans have long been vital sources of fish and shellfish products, and their contributions are widely recognized as one of the healthiest sources of animal protein for human consumption (Nesheim &amp; Yaktine, 2007; Fernandes et al., 2012; FAO, 2014b). This NCP, however, is compromised in some locations and species by the contamination of fish tissues with toxic compounds (United Nations Oceans and Law of the Sea, 2016; Bonito et al., 2016). The relative contributions of fish to humans are indicated by yield, consumption, and economic data based on job number and economic benefits (see Box 2.1 and 2.2). In the Americas, wild capture fisheries produced 17.9 million tons in 2012, and aquaculture yielded about 3.2 million tons, or about 15% of the total (FAO, 2014b; United Nations Oceans and Law of the Sea, 2016). Most of the wild capture fishery yield is marine, and inland continental waters (mostly freshwater) produce only about 3% of the total capture in the Americas, which notwithstanding the low absolute value can be locally important (FAO, 2014b). The locations of exceptionally important freshwater fisheres in the Aemricas include the Amazon River in South America (</w:t>
      </w:r>
      <w:r w:rsidR="00847F60" w:rsidRPr="008608AA">
        <w:t>e.g.</w:t>
      </w:r>
      <w:r w:rsidRPr="008608AA">
        <w:t xml:space="preserve"> Bastos &amp; Petrere, 2010; Isaac et al., 2015) and the Great Lakes and Upper Mississippi River in North America (GLMRIST, 2012). While the ecological production of wild fisheries is a natural service, aquacultural production is largely a function of human efforts. Aquaculture in the Americas (mainly Chile, Brazil and the USA) contributes nearly 5% to the world fish yield (FAO 2014b), or at a subregional level is constitutes 9% to the total fish/shellfish yield in North America, 13% in Mesoamerica and the Caribbean, and 22% in South America (FAO, 2014b). Aquaculture production often comes at environmental costs.</w:t>
      </w:r>
    </w:p>
    <w:p w14:paraId="5A0DEAC2" w14:textId="5A99CA13" w:rsidR="00A00405" w:rsidRPr="008608AA" w:rsidRDefault="00A00405" w:rsidP="00AB5E93">
      <w:pPr>
        <w:keepNext/>
        <w:rPr>
          <w:b/>
        </w:rPr>
      </w:pPr>
      <w:r w:rsidRPr="008608AA">
        <w:t xml:space="preserve"> </w:t>
      </w:r>
    </w:p>
    <w:p w14:paraId="62F40431" w14:textId="6FBA4F5F" w:rsidR="00A00405" w:rsidRPr="008608AA" w:rsidRDefault="00A00405" w:rsidP="00AB5E93">
      <w:pPr>
        <w:spacing w:after="120"/>
      </w:pPr>
      <w:r w:rsidRPr="008608AA">
        <w:t>Fish is the major source of high quality protein in many countries (</w:t>
      </w:r>
      <w:r w:rsidR="00847F60" w:rsidRPr="008608AA">
        <w:t>e.g.</w:t>
      </w:r>
      <w:r w:rsidRPr="008608AA">
        <w:t xml:space="preserve"> Islam &amp; Berkes, 2016; Hanazaki et al., 2013), but is less than 6% of the protein in the average diet in the Americas (FAO, 2014b). Overall, North American per capita consumption (~20 kg/yr) is greater than in Mesoamerica, the Caribbean and South America (~10 kg/yr) (FAO, 2014b).  Variability in consumption among nations is high and may be related to the proximity of a population to marine ecosystems, as well as cultural practices and preferences. At the extremes, fish consumption averages only 2.2 kg/yr in inland Bolivia and 53.4 kg/yr on the Caribbean island of Antiqua (FAO, 2014b). Commercial fisheries are also major sources of animal feed, fertilizer, and fish oil (FAO, 2014b). Other products include glue, pearls, buttons, and medications. </w:t>
      </w:r>
    </w:p>
    <w:p w14:paraId="4651C556" w14:textId="50C69BDE" w:rsidR="00A00405" w:rsidRPr="008608AA" w:rsidRDefault="00A00405" w:rsidP="00AB5E93">
      <w:pPr>
        <w:spacing w:after="120"/>
      </w:pPr>
      <w:r w:rsidRPr="008608AA">
        <w:t>Commercial fisheries provide employment for about 325,000 people in North America and 2,444,000 people in Mesoamerica, the Caribbean and South America (FAO, 2016d). Job numbers and per capita income vary widely, depending on the specific fishery and its location. While fishers comprise less than 1% of the North American work force, in the Caribbean they constitute about 5% (Masters, 2014).  Employment is, however, often physically difficult and hazardous; the second most dead</w:t>
      </w:r>
      <w:r w:rsidR="00012A38" w:rsidRPr="008608AA">
        <w:t>ly job in the USA (USBC, 2016).</w:t>
      </w:r>
      <w:r w:rsidRPr="008608AA">
        <w:t xml:space="preserve"> Sport fisheries also provide jobs for many people. In the USA alone in 2010, they supported over 820,000 jobs and $35 billion in salaries and wages (FWS, 2011).  Aquaculture employs 356,000 people in Mesoamerica, the Caribbean and South America and 9,000 in North America (FAO,</w:t>
      </w:r>
      <w:r w:rsidR="00165A3B" w:rsidRPr="008608AA">
        <w:t xml:space="preserve"> 2016</w:t>
      </w:r>
      <w:r w:rsidRPr="008608AA">
        <w:t>). Small scale and subsistence fisheries play a major role in providing food and income security for rural and coastal communities, particularly in Meso</w:t>
      </w:r>
      <w:r w:rsidR="007916D2" w:rsidRPr="008608AA">
        <w:t>america and South America (e.g.</w:t>
      </w:r>
      <w:r w:rsidRPr="008608AA">
        <w:t xml:space="preserve"> Hanazaki et al., 2013), but also among the indigenous group of North America (</w:t>
      </w:r>
      <w:r w:rsidR="007916D2" w:rsidRPr="008608AA">
        <w:t>e.g.</w:t>
      </w:r>
      <w:r w:rsidRPr="008608AA">
        <w:t xml:space="preserve"> Islam &amp; Berkes, 2016). Weeratunge et al. (2014) emphasized the contribution of the material, relational and subjective dimensions of small-scale fisheries to the well-being of individuals and communities.  The role of women directly or indirectly involved in many fisheries contributes to household security throughout the Americas. For instance, the Sirionó of Bolivia, fishing supplies an important contribution to family nutrition (23%), one that is accessible to women and children who practice the activity daily (Townsend, 1995).</w:t>
      </w:r>
    </w:p>
    <w:p w14:paraId="4A0C3F8B" w14:textId="77777777" w:rsidR="00A00405" w:rsidRPr="008608AA" w:rsidRDefault="00A00405" w:rsidP="00AB5E93">
      <w:pPr>
        <w:spacing w:after="120"/>
      </w:pPr>
      <w:r w:rsidRPr="008608AA">
        <w:t xml:space="preserve">The world’s commercial production of wild fisheries increased until about 1990 and then plateaued (FAO, 2014b), largely in response to reaching nature’s sustainability limits (Pauly, 2002). While the wild fish yield has been stable since the 1990s, catch composition has changed, as some stocks were depleted and others increased in importance (Pauly, 2002; Rose &amp; Rowe, 2015; Pershing et al., 2015).  In the Americas, the yield of wild fisheries also peaked in the 1990s (Figure 2.5) and has declined somewhat in North America and in the Caribbean (FAO, 2014b), where overfishing threatens up to 70% of coral reef ecosystems (Burke et al., 2011). The steep increase of freshwater yield in North and South America, shown in Figure 2.5, parallels the increased importance of aquaculture as wild capture fisheries plateaued. Aquacultural yield has increased rapidly since 1990, allowing the upward trend in total fish yield to be maintained (FAO, 2014b).  </w:t>
      </w:r>
    </w:p>
    <w:p w14:paraId="52EEA664" w14:textId="460F4899" w:rsidR="00A00405" w:rsidRPr="008608AA" w:rsidRDefault="00A00405" w:rsidP="00AB5E93">
      <w:pPr>
        <w:spacing w:after="120"/>
      </w:pPr>
      <w:r w:rsidRPr="008608AA">
        <w:t>After sustained increases between 2004 and 2011, the fraction of fisheries catch certified for its legal origin and process by the Marine Ste</w:t>
      </w:r>
      <w:r w:rsidR="00B700CF" w:rsidRPr="008608AA">
        <w:t>wardship Council</w:t>
      </w:r>
      <w:r w:rsidRPr="008608AA">
        <w:t xml:space="preserve"> has recently plateaued in the Americas at less than 10%, which is a value similar to East Asia and the Pacific, but less than half the percentage attained in Europe (Figure 2.6).</w:t>
      </w:r>
    </w:p>
    <w:p w14:paraId="6B602253" w14:textId="0A32EB60" w:rsidR="00AB5E93" w:rsidRPr="008608AA" w:rsidRDefault="00A00405" w:rsidP="00AB5E93">
      <w:pPr>
        <w:spacing w:after="120"/>
      </w:pPr>
      <w:r w:rsidRPr="008608AA">
        <w:t>Between 2000 and 2014 in North America, the number of people employed declined by 7% in commercial fisheries and 44% in aquaculture (FAO, 2016d). During the same period in the rest of the Americas, the number increased by 37% in commercial fisheries and 66% in aquaculture. These different trends may be related to competition and the physical difficulty and dangers associated with wild fisheries in North America, leading to further mechanization and job replacement; while in the other three subregions, a lack of jobs and unregulated fisheries may drive many people to this sector to increase local food and livelihood security.</w:t>
      </w:r>
    </w:p>
    <w:p w14:paraId="7B3AB144" w14:textId="50AC169B" w:rsidR="00AB5E93" w:rsidRPr="008608AA" w:rsidRDefault="002F5C7B" w:rsidP="00AB5E93">
      <w:pPr>
        <w:spacing w:before="240"/>
        <w:jc w:val="center"/>
      </w:pPr>
      <w:r w:rsidRPr="008608AA">
        <w:rPr>
          <w:noProof/>
          <w:lang w:val="en-GB" w:eastAsia="en-GB"/>
        </w:rPr>
        <w:drawing>
          <wp:inline distT="0" distB="0" distL="0" distR="0" wp14:anchorId="13322373" wp14:editId="5E4A171B">
            <wp:extent cx="5934075" cy="7019925"/>
            <wp:effectExtent l="0" t="0" r="9525" b="9525"/>
            <wp:docPr id="2" name="Imagen 2" descr="C:\Users\laura.valderrama.ANTCO\Downloads\AM_Fig2.5_p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valderrama.ANTCO\Downloads\AM_Fig2.5_pag1.jpg"/>
                    <pic:cNvPicPr>
                      <a:picLocks noChangeAspect="1" noChangeArrowheads="1"/>
                    </pic:cNvPicPr>
                  </pic:nvPicPr>
                  <pic:blipFill rotWithShape="1">
                    <a:blip r:embed="rId56">
                      <a:extLst>
                        <a:ext uri="{28A0092B-C50C-407E-A947-70E740481C1C}">
                          <a14:useLocalDpi xmlns:a14="http://schemas.microsoft.com/office/drawing/2010/main" val="0"/>
                        </a:ext>
                      </a:extLst>
                    </a:blip>
                    <a:srcRect b="17929"/>
                    <a:stretch/>
                  </pic:blipFill>
                  <pic:spPr bwMode="auto">
                    <a:xfrm>
                      <a:off x="0" y="0"/>
                      <a:ext cx="5934075" cy="7019925"/>
                    </a:xfrm>
                    <a:prstGeom prst="rect">
                      <a:avLst/>
                    </a:prstGeom>
                    <a:noFill/>
                    <a:ln>
                      <a:noFill/>
                    </a:ln>
                    <a:extLst>
                      <a:ext uri="{53640926-AAD7-44D8-BBD7-CCE9431645EC}">
                        <a14:shadowObscured xmlns:a14="http://schemas.microsoft.com/office/drawing/2010/main"/>
                      </a:ext>
                    </a:extLst>
                  </pic:spPr>
                </pic:pic>
              </a:graphicData>
            </a:graphic>
          </wp:inline>
        </w:drawing>
      </w:r>
    </w:p>
    <w:p w14:paraId="74EC0A34" w14:textId="6F993430" w:rsidR="002F5C7B" w:rsidRPr="008608AA" w:rsidRDefault="002F5C7B" w:rsidP="00AB5E93">
      <w:pPr>
        <w:spacing w:before="240"/>
        <w:jc w:val="center"/>
      </w:pPr>
      <w:r w:rsidRPr="008608AA">
        <w:rPr>
          <w:noProof/>
          <w:lang w:val="en-GB" w:eastAsia="en-GB"/>
        </w:rPr>
        <w:drawing>
          <wp:inline distT="0" distB="0" distL="0" distR="0" wp14:anchorId="606D131F" wp14:editId="21C14766">
            <wp:extent cx="5505450" cy="6529484"/>
            <wp:effectExtent l="0" t="0" r="0" b="5080"/>
            <wp:docPr id="12" name="Imagen 12" descr="C:\Users\laura.valderrama.ANTCO\Downloads\AM_Fig2.5_p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valderrama.ANTCO\Downloads\AM_Fig2.5_pag2.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5221" r="8861" b="21271"/>
                    <a:stretch/>
                  </pic:blipFill>
                  <pic:spPr bwMode="auto">
                    <a:xfrm>
                      <a:off x="0" y="0"/>
                      <a:ext cx="5506494" cy="6530722"/>
                    </a:xfrm>
                    <a:prstGeom prst="rect">
                      <a:avLst/>
                    </a:prstGeom>
                    <a:noFill/>
                    <a:ln>
                      <a:noFill/>
                    </a:ln>
                    <a:extLst>
                      <a:ext uri="{53640926-AAD7-44D8-BBD7-CCE9431645EC}">
                        <a14:shadowObscured xmlns:a14="http://schemas.microsoft.com/office/drawing/2010/main"/>
                      </a:ext>
                    </a:extLst>
                  </pic:spPr>
                </pic:pic>
              </a:graphicData>
            </a:graphic>
          </wp:inline>
        </w:drawing>
      </w:r>
    </w:p>
    <w:p w14:paraId="57B45314" w14:textId="15AF894C" w:rsidR="00A00405" w:rsidRPr="008608AA" w:rsidRDefault="00A00405" w:rsidP="004671B9">
      <w:pPr>
        <w:spacing w:before="240"/>
      </w:pPr>
      <w:r w:rsidRPr="008608AA">
        <w:t>The main drivers of future impacts on the provision of these services are increased demand for fish, which is a function of population number and per capita consumption. The pressure on wild fisheries is moderated by harvest regulations, improved fisheries techniques, and aquacultural development (FAO, 2016d.) Total aquacultural yield is projected to increase significantly in the future while the total yield from wild fisheries remains generally stable as composition changes (FAO, 2014b). Fish protein consumption depends largely on availability and price changes. The economic setbacks of some countries in the Americas has pushed more people into lower-income fisheries (mainly artisanal, small-scale fisheries), which often exploit near shore stocks unsustainably. Future trends indicate that the overall number of jobs will decrease in response to mechanization.</w:t>
      </w:r>
    </w:p>
    <w:p w14:paraId="26470243" w14:textId="11AED57F" w:rsidR="004671B9" w:rsidRPr="008608AA" w:rsidRDefault="007F26AC" w:rsidP="004671B9">
      <w:pPr>
        <w:spacing w:before="240"/>
        <w:jc w:val="center"/>
      </w:pPr>
      <w:r w:rsidRPr="008608AA">
        <w:rPr>
          <w:noProof/>
          <w:lang w:val="en-GB" w:eastAsia="en-GB"/>
        </w:rPr>
        <w:drawing>
          <wp:inline distT="0" distB="0" distL="0" distR="0" wp14:anchorId="476AF954" wp14:editId="64CE25B7">
            <wp:extent cx="5610225" cy="3566050"/>
            <wp:effectExtent l="0" t="0" r="0" b="0"/>
            <wp:docPr id="24" name="Imagen 24" descr="C:\Users\Alejandro Valderrama\Downloads\Fig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1" descr="C:\Users\Alejandro Valderrama\Downloads\Fig2.6.jpg"/>
                    <pic:cNvPicPr>
                      <a:picLocks noChangeAspect="1" noChangeArrowheads="1"/>
                    </pic:cNvPicPr>
                  </pic:nvPicPr>
                  <pic:blipFill rotWithShape="1">
                    <a:blip r:embed="rId58">
                      <a:extLst>
                        <a:ext uri="{28A0092B-C50C-407E-A947-70E740481C1C}">
                          <a14:useLocalDpi xmlns:a14="http://schemas.microsoft.com/office/drawing/2010/main" val="0"/>
                        </a:ext>
                      </a:extLst>
                    </a:blip>
                    <a:srcRect b="55902"/>
                    <a:stretch/>
                  </pic:blipFill>
                  <pic:spPr bwMode="auto">
                    <a:xfrm>
                      <a:off x="0" y="0"/>
                      <a:ext cx="5617295" cy="3570544"/>
                    </a:xfrm>
                    <a:prstGeom prst="rect">
                      <a:avLst/>
                    </a:prstGeom>
                    <a:noFill/>
                    <a:ln>
                      <a:noFill/>
                    </a:ln>
                    <a:extLst>
                      <a:ext uri="{53640926-AAD7-44D8-BBD7-CCE9431645EC}">
                        <a14:shadowObscured xmlns:a14="http://schemas.microsoft.com/office/drawing/2010/main"/>
                      </a:ext>
                    </a:extLst>
                  </pic:spPr>
                </pic:pic>
              </a:graphicData>
            </a:graphic>
          </wp:inline>
        </w:drawing>
      </w:r>
    </w:p>
    <w:p w14:paraId="74D004A4" w14:textId="33AB0DD9" w:rsidR="00A00405" w:rsidRPr="008608AA" w:rsidRDefault="004671B9" w:rsidP="004671B9">
      <w:pPr>
        <w:pStyle w:val="Caption"/>
        <w:rPr>
          <w:b w:val="0"/>
          <w:sz w:val="20"/>
        </w:rPr>
      </w:pPr>
      <w:bookmarkStart w:id="635" w:name="_Toc516922436"/>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w:t>
      </w:r>
      <w:r w:rsidR="000E562E">
        <w:rPr>
          <w:noProof/>
        </w:rPr>
        <w:fldChar w:fldCharType="end"/>
      </w:r>
      <w:r w:rsidRPr="008608AA">
        <w:t xml:space="preserve"> </w:t>
      </w:r>
      <w:r w:rsidR="00A00405" w:rsidRPr="008608AA">
        <w:t>Economic value of fisheries contributions to human quality of life</w:t>
      </w:r>
      <w:r w:rsidR="008E3A0C" w:rsidRPr="008608AA">
        <w:rPr>
          <w:b w:val="0"/>
          <w:sz w:val="20"/>
        </w:rPr>
        <w:t>.</w:t>
      </w:r>
      <w:bookmarkEnd w:id="635"/>
    </w:p>
    <w:tbl>
      <w:tblPr>
        <w:tblStyle w:val="TableGrid"/>
        <w:tblW w:w="0" w:type="auto"/>
        <w:tblLook w:val="04A0" w:firstRow="1" w:lastRow="0" w:firstColumn="1" w:lastColumn="0" w:noHBand="0" w:noVBand="1"/>
      </w:tblPr>
      <w:tblGrid>
        <w:gridCol w:w="9487"/>
      </w:tblGrid>
      <w:tr w:rsidR="004671B9" w:rsidRPr="0010725E" w14:paraId="34E74C69" w14:textId="77777777" w:rsidTr="004671B9">
        <w:tc>
          <w:tcPr>
            <w:tcW w:w="9637" w:type="dxa"/>
          </w:tcPr>
          <w:p w14:paraId="286B24F3" w14:textId="77777777" w:rsidR="004671B9" w:rsidRPr="0010725E" w:rsidRDefault="004671B9" w:rsidP="004671B9">
            <w:pPr>
              <w:rPr>
                <w:szCs w:val="22"/>
              </w:rPr>
            </w:pPr>
            <w:r w:rsidRPr="0010725E">
              <w:rPr>
                <w:szCs w:val="22"/>
              </w:rPr>
              <w:t xml:space="preserve">Measuring the economic value of fishery services to human quality of life in a manner that allows comparisons across different ecosystem types and subregions is complicated by inadequate data. Most comparable economic estimates of fisheries’ ecosystem services, based on annual per hectare monetary values, are for wetland ecosystems with readily definable boundaries (all values reported here are adjusted to 2016 USA dollars). They vary widely among fishery locations and conditions. For inland wetlands, Woodward and Wui (2001) estimated benefits between $488/ha/yr and $25,394/ha/yr for numerous sites in North America and Europe, and Seidl and Moraes (2000) estimated $86/ha/yr for the Pantanal in Brazil. Early estimates for coastal wetlands include $133 (Costanza &amp; Farber, 1987), $179 for shrimp alone (Barbier &amp; Strand, 1998), and more recently, $3,959 for combined fishing and hunting (Camacho-Valdez et al., 2013). </w:t>
            </w:r>
          </w:p>
          <w:p w14:paraId="6DA3830C" w14:textId="317538B9" w:rsidR="004671B9" w:rsidRPr="0010725E" w:rsidRDefault="004671B9" w:rsidP="004671B9">
            <w:pPr>
              <w:rPr>
                <w:szCs w:val="22"/>
              </w:rPr>
            </w:pPr>
            <w:r w:rsidRPr="0010725E">
              <w:rPr>
                <w:szCs w:val="22"/>
              </w:rPr>
              <w:t>The dock-side value of marine and lake catch provides a high estimate of natural service benefits. However, outside the USA, where it was recently valued at $5.5 billion per year (NMFS, 2016), the data for dock-side sales (points of first sale) are inconsistently documented.  A rough estimate of the world dock-side value per unit area of oceans and the Laurentian Great Lakes in North America was estimated, using production data from FAO (2014 a, b) and the Great Lakes and Mississippi River Basin geographical area (GLMRIST, 2012) and an assumed $1/kg dockside value, like that of the USA. These estimates found a much lower economic value for oceans and the Great Lakes, compared to wetlands, with $0.025/hectare for oceanic fishery services and $0.035/hectare for the Laurentian Great Lakes.</w:t>
            </w:r>
          </w:p>
        </w:tc>
      </w:tr>
    </w:tbl>
    <w:p w14:paraId="219FEDEE" w14:textId="77777777" w:rsidR="00360ADC" w:rsidRDefault="00360ADC" w:rsidP="004671B9">
      <w:pPr>
        <w:pStyle w:val="Caption"/>
        <w:rPr>
          <w:lang w:val="en-US"/>
        </w:rPr>
      </w:pPr>
      <w:bookmarkStart w:id="636" w:name="_Toc516922437"/>
    </w:p>
    <w:p w14:paraId="3BB48AF2" w14:textId="77777777" w:rsidR="00360ADC" w:rsidRDefault="00360ADC" w:rsidP="004671B9">
      <w:pPr>
        <w:pStyle w:val="Caption"/>
        <w:rPr>
          <w:lang w:val="en-US"/>
        </w:rPr>
      </w:pPr>
    </w:p>
    <w:p w14:paraId="197E7FC7" w14:textId="77777777" w:rsidR="00360ADC" w:rsidRDefault="00360ADC" w:rsidP="004671B9">
      <w:pPr>
        <w:pStyle w:val="Caption"/>
        <w:rPr>
          <w:lang w:val="en-US"/>
        </w:rPr>
      </w:pPr>
    </w:p>
    <w:p w14:paraId="46F109DD" w14:textId="77777777" w:rsidR="00360ADC" w:rsidRDefault="00360ADC" w:rsidP="004671B9">
      <w:pPr>
        <w:pStyle w:val="Caption"/>
        <w:rPr>
          <w:lang w:val="en-US"/>
        </w:rPr>
      </w:pPr>
    </w:p>
    <w:p w14:paraId="6D7C23A2" w14:textId="77777777" w:rsidR="00360ADC" w:rsidRDefault="00360ADC" w:rsidP="004671B9">
      <w:pPr>
        <w:pStyle w:val="Caption"/>
        <w:rPr>
          <w:lang w:val="en-US"/>
        </w:rPr>
      </w:pPr>
    </w:p>
    <w:p w14:paraId="713FDDEA" w14:textId="77777777" w:rsidR="00652F70" w:rsidRPr="00652F70" w:rsidRDefault="00652F70" w:rsidP="00652F70">
      <w:pPr>
        <w:rPr>
          <w:lang w:eastAsia="ja-JP"/>
        </w:rPr>
      </w:pPr>
    </w:p>
    <w:p w14:paraId="70402D95" w14:textId="46963B21" w:rsidR="004671B9" w:rsidRPr="008608AA" w:rsidRDefault="004671B9" w:rsidP="004671B9">
      <w:pPr>
        <w:pStyle w:val="Caption"/>
        <w:rPr>
          <w:b w:val="0"/>
          <w:sz w:val="20"/>
        </w:rPr>
      </w:pPr>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2</w:t>
      </w:r>
      <w:r w:rsidR="000E562E">
        <w:rPr>
          <w:noProof/>
        </w:rPr>
        <w:fldChar w:fldCharType="end"/>
      </w:r>
      <w:r w:rsidR="00A00405" w:rsidRPr="008608AA">
        <w:rPr>
          <w:b w:val="0"/>
          <w:sz w:val="20"/>
        </w:rPr>
        <w:t xml:space="preserve"> </w:t>
      </w:r>
      <w:r w:rsidR="00A00405" w:rsidRPr="008608AA">
        <w:t>Caribbean coral reef contribution to fisheries and human quality of life</w:t>
      </w:r>
      <w:r w:rsidR="00A00405" w:rsidRPr="008608AA">
        <w:rPr>
          <w:b w:val="0"/>
          <w:sz w:val="20"/>
        </w:rPr>
        <w:t>.</w:t>
      </w:r>
      <w:bookmarkEnd w:id="636"/>
      <w:r w:rsidR="00A00405" w:rsidRPr="008608AA">
        <w:rPr>
          <w:b w:val="0"/>
          <w:sz w:val="20"/>
        </w:rPr>
        <w:t xml:space="preserve"> </w:t>
      </w:r>
    </w:p>
    <w:tbl>
      <w:tblPr>
        <w:tblStyle w:val="TableGrid"/>
        <w:tblW w:w="0" w:type="auto"/>
        <w:tblLook w:val="04A0" w:firstRow="1" w:lastRow="0" w:firstColumn="1" w:lastColumn="0" w:noHBand="0" w:noVBand="1"/>
      </w:tblPr>
      <w:tblGrid>
        <w:gridCol w:w="9487"/>
      </w:tblGrid>
      <w:tr w:rsidR="004671B9" w:rsidRPr="0010725E" w14:paraId="02D27067" w14:textId="77777777" w:rsidTr="004671B9">
        <w:tc>
          <w:tcPr>
            <w:tcW w:w="9637" w:type="dxa"/>
          </w:tcPr>
          <w:p w14:paraId="5E2EE3FA" w14:textId="77777777" w:rsidR="004671B9" w:rsidRPr="0010725E" w:rsidRDefault="004671B9" w:rsidP="004671B9">
            <w:pPr>
              <w:spacing w:before="120"/>
              <w:rPr>
                <w:szCs w:val="22"/>
              </w:rPr>
            </w:pPr>
            <w:r w:rsidRPr="0010725E">
              <w:rPr>
                <w:szCs w:val="22"/>
              </w:rPr>
              <w:t xml:space="preserve">Coral reefs in the Caribbean provide a wide range of services for almost 40 million people, which affect livelihood, economic progress, food security, cultural expressions and communion with nature (Jackson et al., 2014). They are the basis of the tourism and fishing industries in the insular Caribbean and most of Mesoamerica and the southeastern USA (UNEP, 2010). Both tourism and fisheries development are major contributors to GDP and employment in the region. </w:t>
            </w:r>
            <w:r w:rsidRPr="0010725E">
              <w:rPr>
                <w:color w:val="231F20"/>
                <w:szCs w:val="22"/>
              </w:rPr>
              <w:t>It is estimated</w:t>
            </w:r>
            <w:r w:rsidRPr="0010725E">
              <w:rPr>
                <w:szCs w:val="22"/>
              </w:rPr>
              <w:t xml:space="preserve"> that nearly 350,000 persons were employed in the fishing section in 2011 in 17 Caribbean countries including Guyana and Surinam; this represents about 5% of the total work force (Masters, 2014).</w:t>
            </w:r>
          </w:p>
          <w:p w14:paraId="5DF7B472" w14:textId="47ECCF61" w:rsidR="004671B9" w:rsidRPr="0010725E" w:rsidRDefault="004671B9" w:rsidP="004671B9">
            <w:pPr>
              <w:pStyle w:val="Caption"/>
              <w:rPr>
                <w:b w:val="0"/>
                <w:szCs w:val="22"/>
              </w:rPr>
            </w:pPr>
            <w:r w:rsidRPr="0010725E">
              <w:rPr>
                <w:b w:val="0"/>
                <w:color w:val="231F20"/>
                <w:szCs w:val="22"/>
              </w:rPr>
              <w:t>The annual value of services provided by Caribbean coral reefs has been estimated at between $3.1 billion and $4.6 billion, and t</w:t>
            </w:r>
            <w:r w:rsidRPr="0010725E">
              <w:rPr>
                <w:b w:val="0"/>
                <w:szCs w:val="22"/>
              </w:rPr>
              <w:t xml:space="preserve">he total economic impact of coral reef-associated fisheries was about $0.8–1.1 million per year in Tobago and $0.5–0.8 million per year in St. Lucia </w:t>
            </w:r>
            <w:r w:rsidRPr="0010725E">
              <w:rPr>
                <w:b w:val="0"/>
                <w:color w:val="231F20"/>
                <w:szCs w:val="22"/>
              </w:rPr>
              <w:t xml:space="preserve">(Burke and Maidens 2004). </w:t>
            </w:r>
            <w:r w:rsidRPr="0010725E">
              <w:rPr>
                <w:b w:val="0"/>
                <w:szCs w:val="22"/>
              </w:rPr>
              <w:t>Mahon et al.</w:t>
            </w:r>
            <w:r w:rsidRPr="0010725E">
              <w:rPr>
                <w:b w:val="0"/>
                <w:i/>
                <w:szCs w:val="22"/>
              </w:rPr>
              <w:t xml:space="preserve"> </w:t>
            </w:r>
            <w:r w:rsidRPr="0010725E">
              <w:rPr>
                <w:b w:val="0"/>
                <w:szCs w:val="22"/>
              </w:rPr>
              <w:t xml:space="preserve">(2007), showed that as the fish moved through the various market pathways to the consumer it increases in value, contributes to livelihoods, and that the overall additional value was 2.6 times the landed value of the fishery. In 2011-2012, at ex-vessel prices (the point of first sale) the value of the marine capture fishery production for the Caribbean region was estimated at $392.9 million annually and the aquaculture fishery at $28.9 million annually, giving a total value of approximately $421.8 million over the period (Masters 2014). </w:t>
            </w:r>
            <w:r w:rsidRPr="0010725E">
              <w:rPr>
                <w:b w:val="0"/>
                <w:color w:val="231F20"/>
                <w:szCs w:val="22"/>
              </w:rPr>
              <w:t>It is estimated that the continued decline of coral reefs could cost the region between $350 million and $870 million per year by 2050 (Burke &amp; Maidens, 2004; Agard &amp; Cropper, 2007).</w:t>
            </w:r>
          </w:p>
        </w:tc>
      </w:tr>
    </w:tbl>
    <w:p w14:paraId="4881DD1B" w14:textId="5DD323ED" w:rsidR="00A00405" w:rsidRPr="008608AA" w:rsidRDefault="00A00405" w:rsidP="00A00405">
      <w:pPr>
        <w:pStyle w:val="Heading4"/>
        <w:spacing w:before="240"/>
        <w:ind w:left="0" w:firstLine="0"/>
      </w:pPr>
      <w:bookmarkStart w:id="637" w:name="_Toc517393247"/>
      <w:bookmarkStart w:id="638" w:name="_Toc517718988"/>
      <w:bookmarkStart w:id="639" w:name="_Toc517796945"/>
      <w:r w:rsidRPr="008608AA">
        <w:t>Wildlife</w:t>
      </w:r>
      <w:bookmarkEnd w:id="637"/>
      <w:bookmarkEnd w:id="638"/>
      <w:bookmarkEnd w:id="639"/>
    </w:p>
    <w:p w14:paraId="390C2701" w14:textId="0449E6C5" w:rsidR="00A00405" w:rsidRPr="008608AA" w:rsidRDefault="00A00405" w:rsidP="004671B9">
      <w:r w:rsidRPr="008608AA">
        <w:t>Wild game provides an important food resource to many people of the Americas, especially indigenous peoples and local communities, but it also has important recreational and cultural values (</w:t>
      </w:r>
      <w:r w:rsidR="00B20C8E" w:rsidRPr="008608AA">
        <w:t>section</w:t>
      </w:r>
      <w:r w:rsidRPr="008608AA">
        <w:t>s 2.2.5, 2.2.6, 2.5.1). In Bolivia, for instance, if indigenous people had to replace the protein contributed by nature through their hunting efforts, they would need to pay from $60 to $120 per family per month (Copa &amp; Townsend, 2004; Townsend &amp; Gomez, 2010), and the estimated monetary value of this NCP in the state of Santa Cruz alone is between $3 to $24 million a year (Gobierno Autonomo Departamental de Santa Cruz</w:t>
      </w:r>
      <w:r w:rsidRPr="008608AA">
        <w:rPr>
          <w:i/>
        </w:rPr>
        <w:t>,</w:t>
      </w:r>
      <w:r w:rsidRPr="008608AA">
        <w:t xml:space="preserve"> 2009). In Caribbean island nations, which import most of their food, especially meat, wildlife management can also be a way to search for food sovereignty (</w:t>
      </w:r>
      <w:r w:rsidR="00847F60" w:rsidRPr="008608AA">
        <w:t>e.g.</w:t>
      </w:r>
      <w:r w:rsidRPr="008608AA">
        <w:t xml:space="preserve"> captive breeding programs for some Neotropical mammals (Singh et al., 2016). Meanwhile, in Mesoamerica many of the harvested wildlife species are those whose adaptation to humans (Linares, 1976).  For example, the Maya consciously use their </w:t>
      </w:r>
      <w:r w:rsidRPr="008608AA">
        <w:rPr>
          <w:i/>
        </w:rPr>
        <w:t>milpa</w:t>
      </w:r>
      <w:r w:rsidRPr="008608AA">
        <w:t xml:space="preserve">, or garden plots, to attract game and increase their hunting potential (Jorgenson, 1993; Santos-Fita et al., 2012). Today’s Mesoamerican indigenous groups are mostly sedentary, without access to extensive hunting territories and rely principally on their agricultural production (Santos–Fita et al., 2012), but they still maintain an important cultural and spiritual relationship with wildlife, even though it has become mainly a supplement to their family’s nutrition (Garcia del Valle et al., 2015; Santos Fita et al., 2015). Finally, Table 2.3 presents summary information about ungulates that are key subsistence species in North America. </w:t>
      </w:r>
      <w:r w:rsidRPr="008608AA">
        <w:br w:type="page"/>
      </w:r>
    </w:p>
    <w:p w14:paraId="777270A8" w14:textId="3BF5E78C" w:rsidR="004671B9"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3</w:t>
      </w:r>
      <w:r w:rsidR="000E562E">
        <w:rPr>
          <w:noProof/>
        </w:rPr>
        <w:fldChar w:fldCharType="end"/>
      </w:r>
      <w:r w:rsidRPr="008608AA">
        <w:t xml:space="preserve">. </w:t>
      </w:r>
      <w:r w:rsidR="004671B9" w:rsidRPr="008608AA">
        <w:t>Ungulate species most utilized in North America.</w:t>
      </w:r>
    </w:p>
    <w:tbl>
      <w:tblPr>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03"/>
        <w:gridCol w:w="1585"/>
        <w:gridCol w:w="2237"/>
        <w:gridCol w:w="2170"/>
        <w:gridCol w:w="1467"/>
      </w:tblGrid>
      <w:tr w:rsidR="00A00405" w:rsidRPr="00360ADC" w14:paraId="32C29B72" w14:textId="77777777" w:rsidTr="0010725E">
        <w:trPr>
          <w:trHeight w:val="526"/>
          <w:jc w:val="center"/>
        </w:trPr>
        <w:tc>
          <w:tcPr>
            <w:tcW w:w="1603" w:type="dxa"/>
            <w:shd w:val="clear" w:color="auto" w:fill="BFBFBF" w:themeFill="background1" w:themeFillShade="BF"/>
            <w:vAlign w:val="center"/>
          </w:tcPr>
          <w:p w14:paraId="6245E029" w14:textId="77777777" w:rsidR="00A00405" w:rsidRPr="00360ADC" w:rsidRDefault="00A00405" w:rsidP="004671B9">
            <w:pPr>
              <w:jc w:val="center"/>
              <w:rPr>
                <w:b/>
                <w:sz w:val="20"/>
                <w:szCs w:val="20"/>
              </w:rPr>
            </w:pPr>
            <w:r w:rsidRPr="00360ADC">
              <w:rPr>
                <w:b/>
                <w:sz w:val="20"/>
                <w:szCs w:val="20"/>
              </w:rPr>
              <w:t>Scientific name</w:t>
            </w:r>
          </w:p>
        </w:tc>
        <w:tc>
          <w:tcPr>
            <w:tcW w:w="1585" w:type="dxa"/>
            <w:shd w:val="clear" w:color="auto" w:fill="BFBFBF" w:themeFill="background1" w:themeFillShade="BF"/>
            <w:vAlign w:val="center"/>
          </w:tcPr>
          <w:p w14:paraId="2DB55E96" w14:textId="77777777" w:rsidR="00A00405" w:rsidRPr="00360ADC" w:rsidRDefault="00A00405" w:rsidP="004671B9">
            <w:pPr>
              <w:jc w:val="center"/>
              <w:rPr>
                <w:b/>
                <w:sz w:val="20"/>
                <w:szCs w:val="20"/>
              </w:rPr>
            </w:pPr>
            <w:r w:rsidRPr="00360ADC">
              <w:rPr>
                <w:b/>
                <w:sz w:val="20"/>
                <w:szCs w:val="20"/>
              </w:rPr>
              <w:t>Common name</w:t>
            </w:r>
          </w:p>
        </w:tc>
        <w:tc>
          <w:tcPr>
            <w:tcW w:w="2237" w:type="dxa"/>
            <w:shd w:val="clear" w:color="auto" w:fill="BFBFBF" w:themeFill="background1" w:themeFillShade="BF"/>
            <w:vAlign w:val="center"/>
          </w:tcPr>
          <w:p w14:paraId="21FA643B" w14:textId="77777777" w:rsidR="00A00405" w:rsidRPr="00360ADC" w:rsidRDefault="00A00405" w:rsidP="004671B9">
            <w:pPr>
              <w:jc w:val="center"/>
              <w:rPr>
                <w:b/>
                <w:sz w:val="20"/>
                <w:szCs w:val="20"/>
              </w:rPr>
            </w:pPr>
            <w:r w:rsidRPr="00360ADC">
              <w:rPr>
                <w:b/>
                <w:sz w:val="20"/>
                <w:szCs w:val="20"/>
              </w:rPr>
              <w:t>Distribution</w:t>
            </w:r>
          </w:p>
        </w:tc>
        <w:tc>
          <w:tcPr>
            <w:tcW w:w="2170" w:type="dxa"/>
            <w:shd w:val="clear" w:color="auto" w:fill="BFBFBF" w:themeFill="background1" w:themeFillShade="BF"/>
            <w:vAlign w:val="center"/>
          </w:tcPr>
          <w:p w14:paraId="1DE3E6B4" w14:textId="77777777" w:rsidR="00A00405" w:rsidRPr="00360ADC" w:rsidRDefault="00A00405" w:rsidP="004671B9">
            <w:pPr>
              <w:jc w:val="center"/>
              <w:rPr>
                <w:b/>
                <w:sz w:val="20"/>
                <w:szCs w:val="20"/>
              </w:rPr>
            </w:pPr>
            <w:r w:rsidRPr="00360ADC">
              <w:rPr>
                <w:b/>
                <w:sz w:val="20"/>
                <w:szCs w:val="20"/>
              </w:rPr>
              <w:t>Group size - Land use</w:t>
            </w:r>
          </w:p>
        </w:tc>
        <w:tc>
          <w:tcPr>
            <w:tcW w:w="1467" w:type="dxa"/>
            <w:shd w:val="clear" w:color="auto" w:fill="BFBFBF" w:themeFill="background1" w:themeFillShade="BF"/>
            <w:vAlign w:val="center"/>
          </w:tcPr>
          <w:p w14:paraId="4B1654DE" w14:textId="77777777" w:rsidR="00A00405" w:rsidRPr="00360ADC" w:rsidRDefault="00A00405" w:rsidP="004671B9">
            <w:pPr>
              <w:jc w:val="center"/>
              <w:rPr>
                <w:b/>
                <w:sz w:val="20"/>
                <w:szCs w:val="20"/>
              </w:rPr>
            </w:pPr>
            <w:r w:rsidRPr="00360ADC">
              <w:rPr>
                <w:b/>
                <w:sz w:val="20"/>
                <w:szCs w:val="20"/>
              </w:rPr>
              <w:t>Source</w:t>
            </w:r>
          </w:p>
        </w:tc>
      </w:tr>
      <w:tr w:rsidR="00A00405" w:rsidRPr="00360ADC" w14:paraId="1D7EF7E1" w14:textId="77777777" w:rsidTr="0010725E">
        <w:trPr>
          <w:trHeight w:val="1082"/>
          <w:jc w:val="center"/>
        </w:trPr>
        <w:tc>
          <w:tcPr>
            <w:tcW w:w="1603" w:type="dxa"/>
          </w:tcPr>
          <w:p w14:paraId="6ED2333C" w14:textId="77777777" w:rsidR="00A00405" w:rsidRPr="00360ADC" w:rsidRDefault="00A00405" w:rsidP="00A00405">
            <w:pPr>
              <w:rPr>
                <w:i/>
                <w:sz w:val="20"/>
                <w:szCs w:val="20"/>
              </w:rPr>
            </w:pPr>
            <w:r w:rsidRPr="00360ADC">
              <w:rPr>
                <w:i/>
                <w:sz w:val="20"/>
                <w:szCs w:val="20"/>
              </w:rPr>
              <w:t>Rangifer tarandus</w:t>
            </w:r>
          </w:p>
        </w:tc>
        <w:tc>
          <w:tcPr>
            <w:tcW w:w="1585" w:type="dxa"/>
          </w:tcPr>
          <w:p w14:paraId="1104884D" w14:textId="77777777" w:rsidR="00A00405" w:rsidRPr="00360ADC" w:rsidRDefault="00A00405" w:rsidP="00A00405">
            <w:pPr>
              <w:rPr>
                <w:sz w:val="20"/>
                <w:szCs w:val="20"/>
              </w:rPr>
            </w:pPr>
            <w:r w:rsidRPr="00360ADC">
              <w:rPr>
                <w:sz w:val="20"/>
                <w:szCs w:val="20"/>
              </w:rPr>
              <w:t>Caribou</w:t>
            </w:r>
          </w:p>
        </w:tc>
        <w:tc>
          <w:tcPr>
            <w:tcW w:w="2237" w:type="dxa"/>
          </w:tcPr>
          <w:p w14:paraId="75ED9D0E" w14:textId="77777777" w:rsidR="00A00405" w:rsidRPr="00360ADC" w:rsidRDefault="00A00405" w:rsidP="00A00405">
            <w:pPr>
              <w:rPr>
                <w:sz w:val="20"/>
                <w:szCs w:val="20"/>
              </w:rPr>
            </w:pPr>
            <w:r w:rsidRPr="00360ADC">
              <w:rPr>
                <w:sz w:val="20"/>
                <w:szCs w:val="20"/>
              </w:rPr>
              <w:t>Large populations in Arctic, subarctic and boreal regions of Canada, Alaska</w:t>
            </w:r>
          </w:p>
        </w:tc>
        <w:tc>
          <w:tcPr>
            <w:tcW w:w="2170" w:type="dxa"/>
          </w:tcPr>
          <w:p w14:paraId="37AF0CEF" w14:textId="77777777" w:rsidR="00A00405" w:rsidRPr="00360ADC" w:rsidRDefault="00A00405" w:rsidP="00A00405">
            <w:pPr>
              <w:rPr>
                <w:sz w:val="20"/>
                <w:szCs w:val="20"/>
              </w:rPr>
            </w:pPr>
            <w:r w:rsidRPr="00360ADC">
              <w:rPr>
                <w:sz w:val="20"/>
                <w:szCs w:val="20"/>
              </w:rPr>
              <w:t>Large herds - Migratory</w:t>
            </w:r>
          </w:p>
        </w:tc>
        <w:tc>
          <w:tcPr>
            <w:tcW w:w="1467" w:type="dxa"/>
          </w:tcPr>
          <w:p w14:paraId="51900790" w14:textId="2B7DD470" w:rsidR="00A00405" w:rsidRPr="00360ADC" w:rsidRDefault="00A00405" w:rsidP="00A00405">
            <w:pPr>
              <w:rPr>
                <w:sz w:val="20"/>
                <w:szCs w:val="20"/>
              </w:rPr>
            </w:pPr>
            <w:r w:rsidRPr="00360ADC">
              <w:rPr>
                <w:sz w:val="20"/>
                <w:szCs w:val="20"/>
              </w:rPr>
              <w:t xml:space="preserve">White </w:t>
            </w:r>
            <w:r w:rsidR="00EA3EC6" w:rsidRPr="00360ADC">
              <w:rPr>
                <w:sz w:val="20"/>
                <w:szCs w:val="20"/>
              </w:rPr>
              <w:t>(</w:t>
            </w:r>
            <w:r w:rsidRPr="00360ADC">
              <w:rPr>
                <w:sz w:val="20"/>
                <w:szCs w:val="20"/>
              </w:rPr>
              <w:t>1975</w:t>
            </w:r>
            <w:r w:rsidR="00EA3EC6" w:rsidRPr="00360ADC">
              <w:rPr>
                <w:sz w:val="20"/>
                <w:szCs w:val="20"/>
              </w:rPr>
              <w:t>)</w:t>
            </w:r>
          </w:p>
        </w:tc>
      </w:tr>
      <w:tr w:rsidR="00A00405" w:rsidRPr="00360ADC" w14:paraId="108B4A6E" w14:textId="77777777" w:rsidTr="0010725E">
        <w:trPr>
          <w:trHeight w:val="797"/>
          <w:jc w:val="center"/>
        </w:trPr>
        <w:tc>
          <w:tcPr>
            <w:tcW w:w="1603" w:type="dxa"/>
          </w:tcPr>
          <w:p w14:paraId="2AF8410A" w14:textId="77777777" w:rsidR="00A00405" w:rsidRPr="00360ADC" w:rsidRDefault="00A00405" w:rsidP="00A00405">
            <w:pPr>
              <w:rPr>
                <w:i/>
                <w:sz w:val="20"/>
                <w:szCs w:val="20"/>
              </w:rPr>
            </w:pPr>
            <w:r w:rsidRPr="00360ADC">
              <w:rPr>
                <w:i/>
                <w:sz w:val="20"/>
                <w:szCs w:val="20"/>
              </w:rPr>
              <w:t xml:space="preserve">Alces alces </w:t>
            </w:r>
          </w:p>
        </w:tc>
        <w:tc>
          <w:tcPr>
            <w:tcW w:w="1585" w:type="dxa"/>
          </w:tcPr>
          <w:p w14:paraId="10E3EF5B" w14:textId="77777777" w:rsidR="00A00405" w:rsidRPr="00360ADC" w:rsidRDefault="00A00405" w:rsidP="00A00405">
            <w:pPr>
              <w:rPr>
                <w:sz w:val="20"/>
                <w:szCs w:val="20"/>
              </w:rPr>
            </w:pPr>
            <w:r w:rsidRPr="00360ADC">
              <w:rPr>
                <w:sz w:val="20"/>
                <w:szCs w:val="20"/>
              </w:rPr>
              <w:t>Moose</w:t>
            </w:r>
          </w:p>
        </w:tc>
        <w:tc>
          <w:tcPr>
            <w:tcW w:w="2237" w:type="dxa"/>
          </w:tcPr>
          <w:p w14:paraId="13623DEB" w14:textId="77777777" w:rsidR="00A00405" w:rsidRPr="00360ADC" w:rsidRDefault="00A00405" w:rsidP="00A00405">
            <w:pPr>
              <w:rPr>
                <w:sz w:val="20"/>
                <w:szCs w:val="20"/>
              </w:rPr>
            </w:pPr>
            <w:r w:rsidRPr="00360ADC">
              <w:rPr>
                <w:sz w:val="20"/>
                <w:szCs w:val="20"/>
              </w:rPr>
              <w:t>Boreal regions of North America</w:t>
            </w:r>
          </w:p>
        </w:tc>
        <w:tc>
          <w:tcPr>
            <w:tcW w:w="2170" w:type="dxa"/>
          </w:tcPr>
          <w:p w14:paraId="3AEE1B44" w14:textId="77777777" w:rsidR="00A00405" w:rsidRPr="00360ADC" w:rsidRDefault="00A00405" w:rsidP="00A00405">
            <w:pPr>
              <w:rPr>
                <w:sz w:val="20"/>
                <w:szCs w:val="20"/>
              </w:rPr>
            </w:pPr>
            <w:r w:rsidRPr="00360ADC">
              <w:rPr>
                <w:sz w:val="20"/>
                <w:szCs w:val="20"/>
              </w:rPr>
              <w:t xml:space="preserve">Resident, and some migratory </w:t>
            </w:r>
          </w:p>
        </w:tc>
        <w:tc>
          <w:tcPr>
            <w:tcW w:w="1467" w:type="dxa"/>
          </w:tcPr>
          <w:p w14:paraId="5B98D0B3" w14:textId="16847F85" w:rsidR="00A00405" w:rsidRPr="00360ADC" w:rsidRDefault="00A00405" w:rsidP="00EA3EC6">
            <w:pPr>
              <w:rPr>
                <w:sz w:val="20"/>
                <w:szCs w:val="20"/>
              </w:rPr>
            </w:pPr>
            <w:r w:rsidRPr="00360ADC">
              <w:rPr>
                <w:sz w:val="20"/>
                <w:szCs w:val="20"/>
              </w:rPr>
              <w:t xml:space="preserve">Franzmann </w:t>
            </w:r>
            <w:r w:rsidR="00EA3EC6" w:rsidRPr="00360ADC">
              <w:rPr>
                <w:sz w:val="20"/>
                <w:szCs w:val="20"/>
              </w:rPr>
              <w:t>&amp;</w:t>
            </w:r>
            <w:r w:rsidRPr="00360ADC">
              <w:rPr>
                <w:sz w:val="20"/>
                <w:szCs w:val="20"/>
              </w:rPr>
              <w:t xml:space="preserve"> Schwartz </w:t>
            </w:r>
            <w:r w:rsidR="00EA3EC6" w:rsidRPr="00360ADC">
              <w:rPr>
                <w:sz w:val="20"/>
                <w:szCs w:val="20"/>
              </w:rPr>
              <w:t>(</w:t>
            </w:r>
            <w:r w:rsidRPr="00360ADC">
              <w:rPr>
                <w:sz w:val="20"/>
                <w:szCs w:val="20"/>
              </w:rPr>
              <w:t>2007</w:t>
            </w:r>
            <w:r w:rsidR="00EA3EC6" w:rsidRPr="00360ADC">
              <w:rPr>
                <w:sz w:val="20"/>
                <w:szCs w:val="20"/>
              </w:rPr>
              <w:t>)</w:t>
            </w:r>
          </w:p>
        </w:tc>
      </w:tr>
      <w:tr w:rsidR="00A00405" w:rsidRPr="00360ADC" w14:paraId="77E235E1" w14:textId="77777777" w:rsidTr="00360ADC">
        <w:trPr>
          <w:trHeight w:val="1962"/>
          <w:jc w:val="center"/>
        </w:trPr>
        <w:tc>
          <w:tcPr>
            <w:tcW w:w="1603" w:type="dxa"/>
          </w:tcPr>
          <w:p w14:paraId="4AB32AE9" w14:textId="77777777" w:rsidR="00A00405" w:rsidRPr="00360ADC" w:rsidRDefault="00A00405" w:rsidP="00A00405">
            <w:pPr>
              <w:rPr>
                <w:i/>
                <w:sz w:val="20"/>
                <w:szCs w:val="20"/>
              </w:rPr>
            </w:pPr>
            <w:r w:rsidRPr="00360ADC">
              <w:rPr>
                <w:i/>
                <w:sz w:val="20"/>
                <w:szCs w:val="20"/>
              </w:rPr>
              <w:t>Cervus elpahus</w:t>
            </w:r>
          </w:p>
        </w:tc>
        <w:tc>
          <w:tcPr>
            <w:tcW w:w="1585" w:type="dxa"/>
          </w:tcPr>
          <w:p w14:paraId="56821B63" w14:textId="77777777" w:rsidR="00A00405" w:rsidRPr="00360ADC" w:rsidRDefault="00A00405" w:rsidP="00A00405">
            <w:pPr>
              <w:rPr>
                <w:sz w:val="20"/>
                <w:szCs w:val="20"/>
              </w:rPr>
            </w:pPr>
            <w:r w:rsidRPr="00360ADC">
              <w:rPr>
                <w:sz w:val="20"/>
                <w:szCs w:val="20"/>
              </w:rPr>
              <w:t xml:space="preserve">Elk </w:t>
            </w:r>
          </w:p>
        </w:tc>
        <w:tc>
          <w:tcPr>
            <w:tcW w:w="2237" w:type="dxa"/>
          </w:tcPr>
          <w:p w14:paraId="586190A3" w14:textId="77777777" w:rsidR="00A00405" w:rsidRPr="00360ADC" w:rsidRDefault="00A00405" w:rsidP="00A00405">
            <w:pPr>
              <w:rPr>
                <w:sz w:val="20"/>
                <w:szCs w:val="20"/>
              </w:rPr>
            </w:pPr>
            <w:r w:rsidRPr="00360ADC">
              <w:rPr>
                <w:sz w:val="20"/>
                <w:szCs w:val="20"/>
              </w:rPr>
              <w:t>Western North America - once the most widespread North American deer ranging almost coast to coast, now found primarily in western mountain regions</w:t>
            </w:r>
          </w:p>
        </w:tc>
        <w:tc>
          <w:tcPr>
            <w:tcW w:w="2170" w:type="dxa"/>
          </w:tcPr>
          <w:p w14:paraId="31F697BB" w14:textId="77777777" w:rsidR="00A00405" w:rsidRPr="00360ADC" w:rsidRDefault="00A00405" w:rsidP="00A00405">
            <w:pPr>
              <w:rPr>
                <w:sz w:val="20"/>
                <w:szCs w:val="20"/>
              </w:rPr>
            </w:pPr>
            <w:r w:rsidRPr="00360ADC">
              <w:rPr>
                <w:sz w:val="20"/>
                <w:szCs w:val="20"/>
              </w:rPr>
              <w:t>Small groups, local seasonal migration</w:t>
            </w:r>
          </w:p>
        </w:tc>
        <w:tc>
          <w:tcPr>
            <w:tcW w:w="1467" w:type="dxa"/>
          </w:tcPr>
          <w:p w14:paraId="5C27A498" w14:textId="16A69C57" w:rsidR="00A00405" w:rsidRPr="00360ADC" w:rsidRDefault="00A00405" w:rsidP="00EA3EC6">
            <w:pPr>
              <w:rPr>
                <w:sz w:val="20"/>
                <w:szCs w:val="20"/>
              </w:rPr>
            </w:pPr>
            <w:r w:rsidRPr="00360ADC">
              <w:rPr>
                <w:sz w:val="20"/>
                <w:szCs w:val="20"/>
              </w:rPr>
              <w:t>Thomas</w:t>
            </w:r>
            <w:r w:rsidR="00EA3EC6" w:rsidRPr="00360ADC">
              <w:rPr>
                <w:sz w:val="20"/>
                <w:szCs w:val="20"/>
              </w:rPr>
              <w:t xml:space="preserve"> &amp;</w:t>
            </w:r>
            <w:r w:rsidRPr="00360ADC">
              <w:rPr>
                <w:sz w:val="20"/>
                <w:szCs w:val="20"/>
              </w:rPr>
              <w:t xml:space="preserve"> Toweill </w:t>
            </w:r>
            <w:r w:rsidR="00EA3EC6" w:rsidRPr="00360ADC">
              <w:rPr>
                <w:sz w:val="20"/>
                <w:szCs w:val="20"/>
              </w:rPr>
              <w:t>(</w:t>
            </w:r>
            <w:r w:rsidRPr="00360ADC">
              <w:rPr>
                <w:sz w:val="20"/>
                <w:szCs w:val="20"/>
              </w:rPr>
              <w:t>1982</w:t>
            </w:r>
            <w:r w:rsidR="00EA3EC6" w:rsidRPr="00360ADC">
              <w:rPr>
                <w:sz w:val="20"/>
                <w:szCs w:val="20"/>
              </w:rPr>
              <w:t>)</w:t>
            </w:r>
            <w:r w:rsidRPr="00360ADC">
              <w:rPr>
                <w:sz w:val="20"/>
                <w:szCs w:val="20"/>
              </w:rPr>
              <w:t xml:space="preserve">, Houston </w:t>
            </w:r>
            <w:r w:rsidR="00EA3EC6" w:rsidRPr="00360ADC">
              <w:rPr>
                <w:sz w:val="20"/>
                <w:szCs w:val="20"/>
              </w:rPr>
              <w:t>(</w:t>
            </w:r>
            <w:r w:rsidRPr="00360ADC">
              <w:rPr>
                <w:sz w:val="20"/>
                <w:szCs w:val="20"/>
              </w:rPr>
              <w:t>1982</w:t>
            </w:r>
            <w:r w:rsidR="00EA3EC6" w:rsidRPr="00360ADC">
              <w:rPr>
                <w:sz w:val="20"/>
                <w:szCs w:val="20"/>
              </w:rPr>
              <w:t>)</w:t>
            </w:r>
            <w:r w:rsidRPr="00360ADC">
              <w:rPr>
                <w:sz w:val="20"/>
                <w:szCs w:val="20"/>
              </w:rPr>
              <w:t xml:space="preserve"> </w:t>
            </w:r>
          </w:p>
        </w:tc>
      </w:tr>
      <w:tr w:rsidR="00A00405" w:rsidRPr="00360ADC" w14:paraId="01595FA7" w14:textId="77777777" w:rsidTr="00360ADC">
        <w:trPr>
          <w:trHeight w:val="2206"/>
          <w:jc w:val="center"/>
        </w:trPr>
        <w:tc>
          <w:tcPr>
            <w:tcW w:w="1603" w:type="dxa"/>
          </w:tcPr>
          <w:p w14:paraId="3C39F0B3" w14:textId="77777777" w:rsidR="00A00405" w:rsidRPr="00360ADC" w:rsidRDefault="00A00405" w:rsidP="00A00405">
            <w:pPr>
              <w:rPr>
                <w:sz w:val="20"/>
                <w:szCs w:val="20"/>
              </w:rPr>
            </w:pPr>
            <w:r w:rsidRPr="00360ADC">
              <w:rPr>
                <w:i/>
                <w:sz w:val="20"/>
                <w:szCs w:val="20"/>
              </w:rPr>
              <w:t>Antilocapra americana</w:t>
            </w:r>
          </w:p>
        </w:tc>
        <w:tc>
          <w:tcPr>
            <w:tcW w:w="1585" w:type="dxa"/>
          </w:tcPr>
          <w:p w14:paraId="15D3D587" w14:textId="77777777" w:rsidR="00A00405" w:rsidRPr="00360ADC" w:rsidRDefault="00A00405" w:rsidP="00A00405">
            <w:pPr>
              <w:rPr>
                <w:sz w:val="20"/>
                <w:szCs w:val="20"/>
              </w:rPr>
            </w:pPr>
            <w:r w:rsidRPr="00360ADC">
              <w:rPr>
                <w:sz w:val="20"/>
                <w:szCs w:val="20"/>
              </w:rPr>
              <w:t>Pronghorn antelope</w:t>
            </w:r>
          </w:p>
        </w:tc>
        <w:tc>
          <w:tcPr>
            <w:tcW w:w="2237" w:type="dxa"/>
          </w:tcPr>
          <w:p w14:paraId="7AB34EFE" w14:textId="77777777" w:rsidR="00A00405" w:rsidRPr="00360ADC" w:rsidRDefault="00A00405" w:rsidP="00A00405">
            <w:pPr>
              <w:rPr>
                <w:sz w:val="20"/>
                <w:szCs w:val="20"/>
              </w:rPr>
            </w:pPr>
            <w:r w:rsidRPr="00360ADC">
              <w:rPr>
                <w:sz w:val="20"/>
                <w:szCs w:val="20"/>
              </w:rPr>
              <w:t>Dry open areas, including brushlands, grasslands, and deserts of interior western and central North America. In Canada, pronghorn occur only in southern Alberta and Saskatchewan</w:t>
            </w:r>
          </w:p>
        </w:tc>
        <w:tc>
          <w:tcPr>
            <w:tcW w:w="2170" w:type="dxa"/>
          </w:tcPr>
          <w:p w14:paraId="4BEA53E5" w14:textId="77777777" w:rsidR="00A00405" w:rsidRPr="00360ADC" w:rsidRDefault="00A00405" w:rsidP="00A00405">
            <w:pPr>
              <w:rPr>
                <w:sz w:val="20"/>
                <w:szCs w:val="20"/>
              </w:rPr>
            </w:pPr>
            <w:r w:rsidRPr="00360ADC">
              <w:rPr>
                <w:sz w:val="20"/>
                <w:szCs w:val="20"/>
              </w:rPr>
              <w:t>Small to larger groupings, generally restricted due to limited habitat</w:t>
            </w:r>
          </w:p>
        </w:tc>
        <w:tc>
          <w:tcPr>
            <w:tcW w:w="1467" w:type="dxa"/>
          </w:tcPr>
          <w:p w14:paraId="77A14823" w14:textId="226B2E9D" w:rsidR="00A00405" w:rsidRPr="00360ADC" w:rsidRDefault="00A00405" w:rsidP="00EA3EC6">
            <w:pPr>
              <w:rPr>
                <w:sz w:val="20"/>
                <w:szCs w:val="20"/>
              </w:rPr>
            </w:pPr>
            <w:r w:rsidRPr="00360ADC">
              <w:rPr>
                <w:sz w:val="20"/>
                <w:szCs w:val="20"/>
              </w:rPr>
              <w:t xml:space="preserve">O’Gara </w:t>
            </w:r>
            <w:r w:rsidR="00EA3EC6" w:rsidRPr="00360ADC">
              <w:rPr>
                <w:sz w:val="20"/>
                <w:szCs w:val="20"/>
              </w:rPr>
              <w:t xml:space="preserve">&amp; </w:t>
            </w:r>
            <w:r w:rsidRPr="00360ADC">
              <w:rPr>
                <w:sz w:val="20"/>
                <w:szCs w:val="20"/>
              </w:rPr>
              <w:t xml:space="preserve">Yoakum </w:t>
            </w:r>
            <w:r w:rsidR="00EA3EC6" w:rsidRPr="00360ADC">
              <w:rPr>
                <w:sz w:val="20"/>
                <w:szCs w:val="20"/>
              </w:rPr>
              <w:t>(</w:t>
            </w:r>
            <w:r w:rsidRPr="00360ADC">
              <w:rPr>
                <w:sz w:val="20"/>
                <w:szCs w:val="20"/>
              </w:rPr>
              <w:t>2004</w:t>
            </w:r>
            <w:r w:rsidR="00EA3EC6" w:rsidRPr="00360ADC">
              <w:rPr>
                <w:sz w:val="20"/>
                <w:szCs w:val="20"/>
              </w:rPr>
              <w:t>)</w:t>
            </w:r>
          </w:p>
        </w:tc>
      </w:tr>
      <w:tr w:rsidR="00A00405" w:rsidRPr="00360ADC" w14:paraId="277A7651" w14:textId="77777777" w:rsidTr="00360ADC">
        <w:trPr>
          <w:trHeight w:val="1791"/>
          <w:jc w:val="center"/>
        </w:trPr>
        <w:tc>
          <w:tcPr>
            <w:tcW w:w="1603" w:type="dxa"/>
          </w:tcPr>
          <w:p w14:paraId="5CB743BC" w14:textId="77777777" w:rsidR="00A00405" w:rsidRPr="00360ADC" w:rsidRDefault="00A00405" w:rsidP="00A00405">
            <w:pPr>
              <w:rPr>
                <w:sz w:val="20"/>
                <w:szCs w:val="20"/>
              </w:rPr>
            </w:pPr>
            <w:r w:rsidRPr="00360ADC">
              <w:rPr>
                <w:i/>
                <w:sz w:val="20"/>
                <w:szCs w:val="20"/>
              </w:rPr>
              <w:t>Bison bison</w:t>
            </w:r>
          </w:p>
        </w:tc>
        <w:tc>
          <w:tcPr>
            <w:tcW w:w="1585" w:type="dxa"/>
          </w:tcPr>
          <w:p w14:paraId="7DAE7ABB" w14:textId="77777777" w:rsidR="00A00405" w:rsidRPr="00360ADC" w:rsidRDefault="00A00405" w:rsidP="00A00405">
            <w:pPr>
              <w:rPr>
                <w:sz w:val="20"/>
                <w:szCs w:val="20"/>
              </w:rPr>
            </w:pPr>
            <w:r w:rsidRPr="00360ADC">
              <w:rPr>
                <w:sz w:val="20"/>
                <w:szCs w:val="20"/>
              </w:rPr>
              <w:t>Bison, Buffalo</w:t>
            </w:r>
          </w:p>
        </w:tc>
        <w:tc>
          <w:tcPr>
            <w:tcW w:w="2237" w:type="dxa"/>
          </w:tcPr>
          <w:p w14:paraId="29A751C5" w14:textId="77777777" w:rsidR="00A00405" w:rsidRPr="00360ADC" w:rsidRDefault="00A00405" w:rsidP="00A00405">
            <w:pPr>
              <w:rPr>
                <w:sz w:val="20"/>
                <w:szCs w:val="20"/>
              </w:rPr>
            </w:pPr>
            <w:r w:rsidRPr="00360ADC">
              <w:rPr>
                <w:sz w:val="20"/>
                <w:szCs w:val="20"/>
              </w:rPr>
              <w:t xml:space="preserve">Wood Bison subspecies-boreal forest in the Yukon and Northwestern Canada.  </w:t>
            </w:r>
          </w:p>
          <w:p w14:paraId="12F8B388" w14:textId="77777777" w:rsidR="00A00405" w:rsidRPr="00360ADC" w:rsidRDefault="00A00405" w:rsidP="00A00405">
            <w:pPr>
              <w:rPr>
                <w:sz w:val="20"/>
                <w:szCs w:val="20"/>
              </w:rPr>
            </w:pPr>
            <w:r w:rsidRPr="00360ADC">
              <w:rPr>
                <w:sz w:val="20"/>
                <w:szCs w:val="20"/>
              </w:rPr>
              <w:t>Plains Bison - Southern Great Plains of North America.</w:t>
            </w:r>
          </w:p>
        </w:tc>
        <w:tc>
          <w:tcPr>
            <w:tcW w:w="2170" w:type="dxa"/>
          </w:tcPr>
          <w:p w14:paraId="6A0C2E63" w14:textId="77777777" w:rsidR="00A00405" w:rsidRPr="00360ADC" w:rsidRDefault="00A00405" w:rsidP="00A00405">
            <w:pPr>
              <w:rPr>
                <w:sz w:val="20"/>
                <w:szCs w:val="20"/>
              </w:rPr>
            </w:pPr>
            <w:r w:rsidRPr="00360ADC">
              <w:rPr>
                <w:sz w:val="20"/>
                <w:szCs w:val="20"/>
              </w:rPr>
              <w:t>Originally large herds- now small groupings or local herds restricted in movement</w:t>
            </w:r>
          </w:p>
        </w:tc>
        <w:tc>
          <w:tcPr>
            <w:tcW w:w="1467" w:type="dxa"/>
          </w:tcPr>
          <w:p w14:paraId="705C7ED4" w14:textId="5677A469" w:rsidR="00A00405" w:rsidRPr="00360ADC" w:rsidRDefault="00A00405" w:rsidP="00A00405">
            <w:pPr>
              <w:rPr>
                <w:sz w:val="20"/>
                <w:szCs w:val="20"/>
              </w:rPr>
            </w:pPr>
            <w:r w:rsidRPr="00360ADC">
              <w:rPr>
                <w:sz w:val="20"/>
                <w:szCs w:val="20"/>
              </w:rPr>
              <w:t xml:space="preserve">Lott </w:t>
            </w:r>
            <w:r w:rsidR="00EA3EC6" w:rsidRPr="00360ADC">
              <w:rPr>
                <w:sz w:val="20"/>
                <w:szCs w:val="20"/>
              </w:rPr>
              <w:t>(</w:t>
            </w:r>
            <w:r w:rsidRPr="00360ADC">
              <w:rPr>
                <w:sz w:val="20"/>
                <w:szCs w:val="20"/>
              </w:rPr>
              <w:t>2002</w:t>
            </w:r>
            <w:r w:rsidR="00EA3EC6" w:rsidRPr="00360ADC">
              <w:rPr>
                <w:sz w:val="20"/>
                <w:szCs w:val="20"/>
              </w:rPr>
              <w:t>)</w:t>
            </w:r>
          </w:p>
        </w:tc>
      </w:tr>
      <w:tr w:rsidR="00A00405" w:rsidRPr="00360ADC" w14:paraId="6862B59E" w14:textId="77777777" w:rsidTr="0010725E">
        <w:trPr>
          <w:trHeight w:val="797"/>
          <w:jc w:val="center"/>
        </w:trPr>
        <w:tc>
          <w:tcPr>
            <w:tcW w:w="1603" w:type="dxa"/>
          </w:tcPr>
          <w:p w14:paraId="2019B91A" w14:textId="77777777" w:rsidR="00A00405" w:rsidRPr="00360ADC" w:rsidRDefault="00A00405" w:rsidP="00A00405">
            <w:pPr>
              <w:rPr>
                <w:sz w:val="20"/>
                <w:szCs w:val="20"/>
              </w:rPr>
            </w:pPr>
            <w:r w:rsidRPr="00360ADC">
              <w:rPr>
                <w:i/>
                <w:sz w:val="20"/>
                <w:szCs w:val="20"/>
              </w:rPr>
              <w:t>Oreamnos americanus</w:t>
            </w:r>
          </w:p>
        </w:tc>
        <w:tc>
          <w:tcPr>
            <w:tcW w:w="1585" w:type="dxa"/>
          </w:tcPr>
          <w:p w14:paraId="15DECC5A" w14:textId="77777777" w:rsidR="00A00405" w:rsidRPr="00360ADC" w:rsidRDefault="00A00405" w:rsidP="00A00405">
            <w:pPr>
              <w:rPr>
                <w:sz w:val="20"/>
                <w:szCs w:val="20"/>
              </w:rPr>
            </w:pPr>
            <w:r w:rsidRPr="00360ADC">
              <w:rPr>
                <w:sz w:val="20"/>
                <w:szCs w:val="20"/>
              </w:rPr>
              <w:t>Mountain goat</w:t>
            </w:r>
          </w:p>
        </w:tc>
        <w:tc>
          <w:tcPr>
            <w:tcW w:w="2237" w:type="dxa"/>
          </w:tcPr>
          <w:p w14:paraId="1F524B20" w14:textId="77777777" w:rsidR="00A00405" w:rsidRPr="00360ADC" w:rsidRDefault="00A00405" w:rsidP="00A00405">
            <w:pPr>
              <w:rPr>
                <w:sz w:val="20"/>
                <w:szCs w:val="20"/>
              </w:rPr>
            </w:pPr>
            <w:r w:rsidRPr="00360ADC">
              <w:rPr>
                <w:sz w:val="20"/>
                <w:szCs w:val="20"/>
              </w:rPr>
              <w:t>Mountainous regions of western North America</w:t>
            </w:r>
          </w:p>
        </w:tc>
        <w:tc>
          <w:tcPr>
            <w:tcW w:w="2170" w:type="dxa"/>
          </w:tcPr>
          <w:p w14:paraId="3318C778" w14:textId="77777777" w:rsidR="00A00405" w:rsidRPr="00360ADC" w:rsidRDefault="00A00405" w:rsidP="00A00405">
            <w:pPr>
              <w:rPr>
                <w:sz w:val="20"/>
                <w:szCs w:val="20"/>
              </w:rPr>
            </w:pPr>
            <w:r w:rsidRPr="00360ADC">
              <w:rPr>
                <w:sz w:val="20"/>
                <w:szCs w:val="20"/>
              </w:rPr>
              <w:t xml:space="preserve">Small groups, local movements </w:t>
            </w:r>
          </w:p>
        </w:tc>
        <w:tc>
          <w:tcPr>
            <w:tcW w:w="1467" w:type="dxa"/>
          </w:tcPr>
          <w:p w14:paraId="58A90CF3" w14:textId="457488B4" w:rsidR="00A00405" w:rsidRPr="00360ADC" w:rsidRDefault="00A00405" w:rsidP="00A00405">
            <w:pPr>
              <w:rPr>
                <w:sz w:val="20"/>
                <w:szCs w:val="20"/>
              </w:rPr>
            </w:pPr>
            <w:r w:rsidRPr="00360ADC">
              <w:rPr>
                <w:sz w:val="20"/>
                <w:szCs w:val="20"/>
              </w:rPr>
              <w:t xml:space="preserve">Festa-Bianchet </w:t>
            </w:r>
            <w:r w:rsidR="00EA3EC6" w:rsidRPr="00360ADC">
              <w:rPr>
                <w:sz w:val="20"/>
                <w:szCs w:val="20"/>
              </w:rPr>
              <w:t>(</w:t>
            </w:r>
            <w:r w:rsidRPr="00360ADC">
              <w:rPr>
                <w:sz w:val="20"/>
                <w:szCs w:val="20"/>
              </w:rPr>
              <w:t>2008</w:t>
            </w:r>
            <w:r w:rsidR="00EA3EC6" w:rsidRPr="00360ADC">
              <w:rPr>
                <w:sz w:val="20"/>
                <w:szCs w:val="20"/>
              </w:rPr>
              <w:t>)</w:t>
            </w:r>
          </w:p>
        </w:tc>
      </w:tr>
      <w:tr w:rsidR="00A00405" w:rsidRPr="00360ADC" w14:paraId="136682F9" w14:textId="77777777" w:rsidTr="00360ADC">
        <w:trPr>
          <w:trHeight w:val="1223"/>
          <w:jc w:val="center"/>
        </w:trPr>
        <w:tc>
          <w:tcPr>
            <w:tcW w:w="1603" w:type="dxa"/>
          </w:tcPr>
          <w:p w14:paraId="2DDE6B75" w14:textId="77777777" w:rsidR="00A00405" w:rsidRPr="00360ADC" w:rsidRDefault="00A00405" w:rsidP="00A00405">
            <w:pPr>
              <w:rPr>
                <w:sz w:val="20"/>
                <w:szCs w:val="20"/>
              </w:rPr>
            </w:pPr>
            <w:r w:rsidRPr="00360ADC">
              <w:rPr>
                <w:i/>
                <w:sz w:val="20"/>
                <w:szCs w:val="20"/>
              </w:rPr>
              <w:t>Ovis canadensis</w:t>
            </w:r>
            <w:r w:rsidRPr="00360ADC">
              <w:rPr>
                <w:sz w:val="20"/>
                <w:szCs w:val="20"/>
              </w:rPr>
              <w:t xml:space="preserve">, </w:t>
            </w:r>
            <w:r w:rsidRPr="00360ADC">
              <w:rPr>
                <w:i/>
                <w:sz w:val="20"/>
                <w:szCs w:val="20"/>
              </w:rPr>
              <w:t>Ovis dalli</w:t>
            </w:r>
          </w:p>
        </w:tc>
        <w:tc>
          <w:tcPr>
            <w:tcW w:w="1585" w:type="dxa"/>
          </w:tcPr>
          <w:p w14:paraId="48CD210C" w14:textId="77777777" w:rsidR="00A00405" w:rsidRPr="00360ADC" w:rsidRDefault="00A00405" w:rsidP="00A00405">
            <w:pPr>
              <w:rPr>
                <w:sz w:val="20"/>
                <w:szCs w:val="20"/>
              </w:rPr>
            </w:pPr>
            <w:r w:rsidRPr="00360ADC">
              <w:rPr>
                <w:sz w:val="20"/>
                <w:szCs w:val="20"/>
              </w:rPr>
              <w:t xml:space="preserve">Rocky mountain bighorn sheep, Dall’s mountain sheep </w:t>
            </w:r>
          </w:p>
        </w:tc>
        <w:tc>
          <w:tcPr>
            <w:tcW w:w="2237" w:type="dxa"/>
          </w:tcPr>
          <w:p w14:paraId="0079B662" w14:textId="3AC5BEF8" w:rsidR="00A00405" w:rsidRPr="00360ADC" w:rsidRDefault="00A00405" w:rsidP="00A00405">
            <w:pPr>
              <w:rPr>
                <w:sz w:val="20"/>
                <w:szCs w:val="20"/>
              </w:rPr>
            </w:pPr>
            <w:r w:rsidRPr="00360ADC">
              <w:rPr>
                <w:sz w:val="20"/>
                <w:szCs w:val="20"/>
              </w:rPr>
              <w:t>Southern British Columbia and southwestern Alberta</w:t>
            </w:r>
            <w:r w:rsidR="009D1F69" w:rsidRPr="00360ADC">
              <w:rPr>
                <w:sz w:val="20"/>
                <w:szCs w:val="20"/>
              </w:rPr>
              <w:t>,</w:t>
            </w:r>
            <w:r w:rsidRPr="00360ADC">
              <w:rPr>
                <w:sz w:val="20"/>
                <w:szCs w:val="20"/>
              </w:rPr>
              <w:t xml:space="preserve"> Canada to northwestern USA, including Alaska</w:t>
            </w:r>
          </w:p>
        </w:tc>
        <w:tc>
          <w:tcPr>
            <w:tcW w:w="2170" w:type="dxa"/>
          </w:tcPr>
          <w:p w14:paraId="58568C17" w14:textId="77777777" w:rsidR="00A00405" w:rsidRPr="00360ADC" w:rsidRDefault="00A00405" w:rsidP="00A00405">
            <w:pPr>
              <w:rPr>
                <w:sz w:val="20"/>
                <w:szCs w:val="20"/>
              </w:rPr>
            </w:pPr>
            <w:r w:rsidRPr="00360ADC">
              <w:rPr>
                <w:sz w:val="20"/>
                <w:szCs w:val="20"/>
              </w:rPr>
              <w:t>Social animals with local altitudinal migration</w:t>
            </w:r>
          </w:p>
        </w:tc>
        <w:tc>
          <w:tcPr>
            <w:tcW w:w="1467" w:type="dxa"/>
          </w:tcPr>
          <w:p w14:paraId="0B493AEE" w14:textId="6AA092D4" w:rsidR="00A00405" w:rsidRPr="00360ADC" w:rsidRDefault="00EA3EC6" w:rsidP="00EA3EC6">
            <w:pPr>
              <w:rPr>
                <w:sz w:val="20"/>
                <w:szCs w:val="20"/>
              </w:rPr>
            </w:pPr>
            <w:r w:rsidRPr="00360ADC">
              <w:rPr>
                <w:sz w:val="20"/>
                <w:szCs w:val="20"/>
              </w:rPr>
              <w:t>Valdez &amp;</w:t>
            </w:r>
            <w:r w:rsidR="00A00405" w:rsidRPr="00360ADC">
              <w:rPr>
                <w:sz w:val="20"/>
                <w:szCs w:val="20"/>
              </w:rPr>
              <w:t xml:space="preserve"> Krausman </w:t>
            </w:r>
            <w:r w:rsidRPr="00360ADC">
              <w:rPr>
                <w:sz w:val="20"/>
                <w:szCs w:val="20"/>
              </w:rPr>
              <w:t>(</w:t>
            </w:r>
            <w:r w:rsidR="00A00405" w:rsidRPr="00360ADC">
              <w:rPr>
                <w:sz w:val="20"/>
                <w:szCs w:val="20"/>
              </w:rPr>
              <w:t>1999</w:t>
            </w:r>
            <w:r w:rsidRPr="00360ADC">
              <w:rPr>
                <w:sz w:val="20"/>
                <w:szCs w:val="20"/>
              </w:rPr>
              <w:t>)</w:t>
            </w:r>
          </w:p>
        </w:tc>
      </w:tr>
      <w:tr w:rsidR="00A00405" w:rsidRPr="00360ADC" w14:paraId="40FE5DB1" w14:textId="77777777" w:rsidTr="00360ADC">
        <w:trPr>
          <w:trHeight w:val="1113"/>
          <w:jc w:val="center"/>
        </w:trPr>
        <w:tc>
          <w:tcPr>
            <w:tcW w:w="1603" w:type="dxa"/>
          </w:tcPr>
          <w:p w14:paraId="5EBB3B02" w14:textId="77777777" w:rsidR="00A00405" w:rsidRPr="00360ADC" w:rsidRDefault="00A00405" w:rsidP="00A00405">
            <w:pPr>
              <w:rPr>
                <w:i/>
                <w:sz w:val="20"/>
                <w:szCs w:val="20"/>
              </w:rPr>
            </w:pPr>
            <w:r w:rsidRPr="00360ADC">
              <w:rPr>
                <w:i/>
                <w:sz w:val="20"/>
                <w:szCs w:val="20"/>
              </w:rPr>
              <w:t>Odocoileus hemionus/</w:t>
            </w:r>
          </w:p>
          <w:p w14:paraId="4FD3B08A" w14:textId="77777777" w:rsidR="00A00405" w:rsidRPr="00360ADC" w:rsidRDefault="00A00405" w:rsidP="00A00405">
            <w:pPr>
              <w:rPr>
                <w:sz w:val="20"/>
                <w:szCs w:val="20"/>
              </w:rPr>
            </w:pPr>
            <w:r w:rsidRPr="00360ADC">
              <w:rPr>
                <w:i/>
                <w:sz w:val="20"/>
                <w:szCs w:val="20"/>
              </w:rPr>
              <w:t>Odocoileus virginianus</w:t>
            </w:r>
          </w:p>
        </w:tc>
        <w:tc>
          <w:tcPr>
            <w:tcW w:w="1585" w:type="dxa"/>
          </w:tcPr>
          <w:p w14:paraId="07287ECB" w14:textId="77777777" w:rsidR="00A00405" w:rsidRPr="00360ADC" w:rsidRDefault="00A00405" w:rsidP="00A00405">
            <w:pPr>
              <w:rPr>
                <w:sz w:val="20"/>
                <w:szCs w:val="20"/>
              </w:rPr>
            </w:pPr>
            <w:r w:rsidRPr="00360ADC">
              <w:rPr>
                <w:sz w:val="20"/>
                <w:szCs w:val="20"/>
              </w:rPr>
              <w:t>Mule deer/ White-tailed deer</w:t>
            </w:r>
          </w:p>
        </w:tc>
        <w:tc>
          <w:tcPr>
            <w:tcW w:w="2237" w:type="dxa"/>
          </w:tcPr>
          <w:p w14:paraId="3794F15C" w14:textId="77777777" w:rsidR="00A00405" w:rsidRPr="00360ADC" w:rsidRDefault="00A00405" w:rsidP="00A00405">
            <w:pPr>
              <w:rPr>
                <w:sz w:val="20"/>
                <w:szCs w:val="20"/>
              </w:rPr>
            </w:pPr>
            <w:r w:rsidRPr="00360ADC">
              <w:rPr>
                <w:sz w:val="20"/>
                <w:szCs w:val="20"/>
              </w:rPr>
              <w:t>From Mexico to Alaska/ North America through northern South America</w:t>
            </w:r>
          </w:p>
        </w:tc>
        <w:tc>
          <w:tcPr>
            <w:tcW w:w="2170" w:type="dxa"/>
          </w:tcPr>
          <w:p w14:paraId="67FC386D" w14:textId="77777777" w:rsidR="00A00405" w:rsidRPr="00360ADC" w:rsidRDefault="00A00405" w:rsidP="00A00405">
            <w:pPr>
              <w:rPr>
                <w:sz w:val="20"/>
                <w:szCs w:val="20"/>
              </w:rPr>
            </w:pPr>
            <w:r w:rsidRPr="00360ADC">
              <w:rPr>
                <w:sz w:val="20"/>
                <w:szCs w:val="20"/>
              </w:rPr>
              <w:t xml:space="preserve">Individuals or small groups, local, possible altitudinal migration </w:t>
            </w:r>
          </w:p>
        </w:tc>
        <w:tc>
          <w:tcPr>
            <w:tcW w:w="1467" w:type="dxa"/>
          </w:tcPr>
          <w:p w14:paraId="520D9DEA" w14:textId="3CA6E9D5" w:rsidR="00A00405" w:rsidRPr="00360ADC" w:rsidRDefault="00A00405" w:rsidP="00A00405">
            <w:pPr>
              <w:rPr>
                <w:sz w:val="20"/>
                <w:szCs w:val="20"/>
              </w:rPr>
            </w:pPr>
            <w:r w:rsidRPr="00360ADC">
              <w:rPr>
                <w:sz w:val="20"/>
                <w:szCs w:val="20"/>
              </w:rPr>
              <w:t xml:space="preserve">Halls </w:t>
            </w:r>
            <w:r w:rsidR="00EA3EC6" w:rsidRPr="00360ADC">
              <w:rPr>
                <w:sz w:val="20"/>
                <w:szCs w:val="20"/>
              </w:rPr>
              <w:t>(</w:t>
            </w:r>
            <w:r w:rsidRPr="00360ADC">
              <w:rPr>
                <w:sz w:val="20"/>
                <w:szCs w:val="20"/>
              </w:rPr>
              <w:t>1984</w:t>
            </w:r>
            <w:r w:rsidR="00EA3EC6" w:rsidRPr="00360ADC">
              <w:rPr>
                <w:sz w:val="20"/>
                <w:szCs w:val="20"/>
              </w:rPr>
              <w:t>),</w:t>
            </w:r>
          </w:p>
          <w:p w14:paraId="6F6FFE8F" w14:textId="36A39564" w:rsidR="00A00405" w:rsidRPr="00360ADC" w:rsidRDefault="00A00405" w:rsidP="00A00405">
            <w:pPr>
              <w:rPr>
                <w:sz w:val="20"/>
                <w:szCs w:val="20"/>
              </w:rPr>
            </w:pPr>
            <w:r w:rsidRPr="00360ADC">
              <w:rPr>
                <w:sz w:val="20"/>
                <w:szCs w:val="20"/>
              </w:rPr>
              <w:t xml:space="preserve">Wallmo </w:t>
            </w:r>
            <w:r w:rsidR="00EA3EC6" w:rsidRPr="00360ADC">
              <w:rPr>
                <w:sz w:val="20"/>
                <w:szCs w:val="20"/>
              </w:rPr>
              <w:t>(</w:t>
            </w:r>
            <w:r w:rsidRPr="00360ADC">
              <w:rPr>
                <w:sz w:val="20"/>
                <w:szCs w:val="20"/>
              </w:rPr>
              <w:t>1981</w:t>
            </w:r>
            <w:r w:rsidR="00EA3EC6" w:rsidRPr="00360ADC">
              <w:rPr>
                <w:sz w:val="20"/>
                <w:szCs w:val="20"/>
              </w:rPr>
              <w:t>)</w:t>
            </w:r>
          </w:p>
          <w:p w14:paraId="3685AB03" w14:textId="11AB600D" w:rsidR="00A00405" w:rsidRPr="00360ADC" w:rsidRDefault="00A00405" w:rsidP="00EA3EC6">
            <w:pPr>
              <w:rPr>
                <w:sz w:val="20"/>
                <w:szCs w:val="20"/>
              </w:rPr>
            </w:pPr>
            <w:r w:rsidRPr="00360ADC">
              <w:rPr>
                <w:sz w:val="20"/>
                <w:szCs w:val="20"/>
              </w:rPr>
              <w:t>Wilson</w:t>
            </w:r>
            <w:r w:rsidR="00EA3EC6" w:rsidRPr="00360ADC">
              <w:rPr>
                <w:sz w:val="20"/>
                <w:szCs w:val="20"/>
              </w:rPr>
              <w:t xml:space="preserve"> &amp; Ruff (1</w:t>
            </w:r>
            <w:r w:rsidRPr="00360ADC">
              <w:rPr>
                <w:sz w:val="20"/>
                <w:szCs w:val="20"/>
              </w:rPr>
              <w:t>999</w:t>
            </w:r>
            <w:r w:rsidR="00EA3EC6" w:rsidRPr="00360ADC">
              <w:rPr>
                <w:sz w:val="20"/>
                <w:szCs w:val="20"/>
              </w:rPr>
              <w:t>)</w:t>
            </w:r>
          </w:p>
        </w:tc>
      </w:tr>
      <w:tr w:rsidR="00A00405" w:rsidRPr="00360ADC" w14:paraId="20E8A559" w14:textId="77777777" w:rsidTr="0010725E">
        <w:trPr>
          <w:trHeight w:val="526"/>
          <w:jc w:val="center"/>
        </w:trPr>
        <w:tc>
          <w:tcPr>
            <w:tcW w:w="1603" w:type="dxa"/>
          </w:tcPr>
          <w:p w14:paraId="795D33B4" w14:textId="77777777" w:rsidR="00A00405" w:rsidRPr="00360ADC" w:rsidRDefault="00A00405" w:rsidP="00A00405">
            <w:pPr>
              <w:rPr>
                <w:sz w:val="20"/>
                <w:szCs w:val="20"/>
              </w:rPr>
            </w:pPr>
            <w:r w:rsidRPr="00360ADC">
              <w:rPr>
                <w:i/>
                <w:sz w:val="20"/>
                <w:szCs w:val="20"/>
              </w:rPr>
              <w:t>Ovibos moschatus</w:t>
            </w:r>
          </w:p>
        </w:tc>
        <w:tc>
          <w:tcPr>
            <w:tcW w:w="1585" w:type="dxa"/>
          </w:tcPr>
          <w:p w14:paraId="07956985" w14:textId="77777777" w:rsidR="00A00405" w:rsidRPr="00360ADC" w:rsidRDefault="00A00405" w:rsidP="00A00405">
            <w:pPr>
              <w:rPr>
                <w:sz w:val="20"/>
                <w:szCs w:val="20"/>
              </w:rPr>
            </w:pPr>
            <w:r w:rsidRPr="00360ADC">
              <w:rPr>
                <w:sz w:val="20"/>
                <w:szCs w:val="20"/>
              </w:rPr>
              <w:t>Muskox</w:t>
            </w:r>
          </w:p>
        </w:tc>
        <w:tc>
          <w:tcPr>
            <w:tcW w:w="2237" w:type="dxa"/>
          </w:tcPr>
          <w:p w14:paraId="09FDC0CD" w14:textId="77777777" w:rsidR="00A00405" w:rsidRPr="00360ADC" w:rsidRDefault="00A00405" w:rsidP="00A00405">
            <w:pPr>
              <w:rPr>
                <w:sz w:val="20"/>
                <w:szCs w:val="20"/>
              </w:rPr>
            </w:pPr>
            <w:r w:rsidRPr="00360ADC">
              <w:rPr>
                <w:sz w:val="20"/>
                <w:szCs w:val="20"/>
              </w:rPr>
              <w:t>Islands and mainland in the Canadian Arctic and Greenland, introduced in parts of Alaska</w:t>
            </w:r>
          </w:p>
        </w:tc>
        <w:tc>
          <w:tcPr>
            <w:tcW w:w="2170" w:type="dxa"/>
          </w:tcPr>
          <w:p w14:paraId="66DA35C3" w14:textId="77777777" w:rsidR="00A00405" w:rsidRPr="00360ADC" w:rsidRDefault="00A00405" w:rsidP="00A00405">
            <w:pPr>
              <w:rPr>
                <w:sz w:val="20"/>
                <w:szCs w:val="20"/>
              </w:rPr>
            </w:pPr>
            <w:r w:rsidRPr="00360ADC">
              <w:rPr>
                <w:sz w:val="20"/>
                <w:szCs w:val="20"/>
              </w:rPr>
              <w:t xml:space="preserve">Localized groups </w:t>
            </w:r>
          </w:p>
        </w:tc>
        <w:tc>
          <w:tcPr>
            <w:tcW w:w="1467" w:type="dxa"/>
          </w:tcPr>
          <w:p w14:paraId="5C4D6A02" w14:textId="05D875EE" w:rsidR="00A00405" w:rsidRPr="00360ADC" w:rsidRDefault="00EA3EC6" w:rsidP="00A00405">
            <w:pPr>
              <w:rPr>
                <w:sz w:val="20"/>
                <w:szCs w:val="20"/>
              </w:rPr>
            </w:pPr>
            <w:r w:rsidRPr="00360ADC">
              <w:rPr>
                <w:sz w:val="20"/>
                <w:szCs w:val="20"/>
              </w:rPr>
              <w:t>Wilson &amp; Ruff (1999)</w:t>
            </w:r>
          </w:p>
        </w:tc>
      </w:tr>
      <w:tr w:rsidR="00A00405" w:rsidRPr="00360ADC" w14:paraId="044F2A6D" w14:textId="77777777" w:rsidTr="0010725E">
        <w:trPr>
          <w:trHeight w:val="270"/>
          <w:jc w:val="center"/>
        </w:trPr>
        <w:tc>
          <w:tcPr>
            <w:tcW w:w="9062" w:type="dxa"/>
            <w:gridSpan w:val="5"/>
          </w:tcPr>
          <w:p w14:paraId="181BF9E9" w14:textId="21CAFEBF" w:rsidR="00A00405" w:rsidRPr="00360ADC" w:rsidRDefault="00A00405" w:rsidP="00BA7B8F">
            <w:pPr>
              <w:rPr>
                <w:sz w:val="20"/>
                <w:szCs w:val="20"/>
              </w:rPr>
            </w:pPr>
            <w:r w:rsidRPr="00360ADC">
              <w:rPr>
                <w:sz w:val="20"/>
                <w:szCs w:val="20"/>
              </w:rPr>
              <w:t xml:space="preserve">Source: Kuhnlein </w:t>
            </w:r>
            <w:r w:rsidR="00BA7B8F" w:rsidRPr="00360ADC">
              <w:rPr>
                <w:sz w:val="20"/>
                <w:szCs w:val="20"/>
              </w:rPr>
              <w:t>&amp;</w:t>
            </w:r>
            <w:r w:rsidR="00EA3EC6" w:rsidRPr="00360ADC">
              <w:rPr>
                <w:sz w:val="20"/>
                <w:szCs w:val="20"/>
              </w:rPr>
              <w:t xml:space="preserve"> Humphries (</w:t>
            </w:r>
            <w:r w:rsidRPr="00360ADC">
              <w:rPr>
                <w:sz w:val="20"/>
                <w:szCs w:val="20"/>
              </w:rPr>
              <w:t>2017</w:t>
            </w:r>
            <w:r w:rsidR="00EA3EC6" w:rsidRPr="00360ADC">
              <w:rPr>
                <w:sz w:val="20"/>
                <w:szCs w:val="20"/>
              </w:rPr>
              <w:t>)</w:t>
            </w:r>
            <w:r w:rsidRPr="00360ADC">
              <w:rPr>
                <w:sz w:val="20"/>
                <w:szCs w:val="20"/>
              </w:rPr>
              <w:t>.</w:t>
            </w:r>
          </w:p>
        </w:tc>
      </w:tr>
    </w:tbl>
    <w:p w14:paraId="6C1B55B6" w14:textId="6B63A71D" w:rsidR="00A00405" w:rsidRPr="008608AA" w:rsidRDefault="00A00405" w:rsidP="00A00405"/>
    <w:p w14:paraId="6FB41735" w14:textId="424E40E1" w:rsidR="00A00405" w:rsidRPr="008608AA" w:rsidRDefault="00A00405" w:rsidP="004671B9">
      <w:pPr>
        <w:spacing w:after="120"/>
      </w:pPr>
      <w:r w:rsidRPr="008608AA">
        <w:t xml:space="preserve">A great diversity of species are harvested within susbsitence (non-commerical) economies in the Americas. Indigenous groups incorporate a great diversity of wildlife into their diet and consume at least 527 animal species of freshwater, marine, and terrestrial organisms (Kuhnlein and Humphries 2017).  Ungulates are the most consistently hunted wildlife group used for food and subsistence (Robinson &amp; Redford, 1991; Townsend &amp; Rumiz, 2004; Iwamura et al., 2014; Townsend &amp; Gomez, 2010; Constantino, 2016), except where their use might be prohibited by cultural controls such as cultural preferences (Ayala, 1997), taboos (Reichel–Dolmatoff, 1971; Baleé, 1985, 1993), the absence of a species’ preferred habitat and/or its deterioration (Cuellar, 1997), or over-exploitation (Mittermeier, 1991; Peres, 1990, 1991; Atunes et al., 2016).  Indeed, some tribes have strict taboos which dictate which taxa are edible. For instance, the Ayoreo tribe of Bolivia and Paraguay forbid hunting most mammals and focus on land tortoises (Ayala, 1997), or the Kalapalo people of Brazil consider that all terrestrial mammals are taboo, but can consume primates (Basso, 1973). Urbani (2005) reviewed 56 wildlife hunting publications in South America, finding that 33 of the studied human groups included primates in the species they hunted. Among mammals, hoofed animals are very often top on the list of species used in all the Americas, but waterfowl and game birds are also important, depending on specific ecosystems. </w:t>
      </w:r>
    </w:p>
    <w:p w14:paraId="6AEB4244" w14:textId="216D080E" w:rsidR="00A00405" w:rsidRPr="008608AA" w:rsidRDefault="00A00405" w:rsidP="004671B9">
      <w:pPr>
        <w:spacing w:after="120"/>
      </w:pPr>
      <w:r w:rsidRPr="008608AA">
        <w:t>It has been estimated that sustainable hunting in tropical forests requires at least 1 km</w:t>
      </w:r>
      <w:r w:rsidRPr="008608AA">
        <w:rPr>
          <w:vertAlign w:val="superscript"/>
        </w:rPr>
        <w:t>2</w:t>
      </w:r>
      <w:r w:rsidRPr="008608AA">
        <w:t xml:space="preserve">/person (Robinson &amp; Bennet, 2000). In this context, sustainable production of the 8 most-harvested species in Mesoamerica and South America (i.e. collared peccary, </w:t>
      </w:r>
      <w:r w:rsidRPr="008608AA">
        <w:rPr>
          <w:i/>
        </w:rPr>
        <w:t>Tayassu tajacu</w:t>
      </w:r>
      <w:r w:rsidRPr="008608AA">
        <w:t>; red brocket,</w:t>
      </w:r>
      <w:r w:rsidRPr="008608AA">
        <w:rPr>
          <w:i/>
        </w:rPr>
        <w:t xml:space="preserve"> Mazama americana</w:t>
      </w:r>
      <w:r w:rsidRPr="008608AA">
        <w:t>; grey (or brown) brocket,</w:t>
      </w:r>
      <w:r w:rsidRPr="008608AA">
        <w:rPr>
          <w:i/>
        </w:rPr>
        <w:t xml:space="preserve"> Mazama gouazoubira</w:t>
      </w:r>
      <w:r w:rsidRPr="008608AA">
        <w:t>; South American tapir,</w:t>
      </w:r>
      <w:r w:rsidRPr="008608AA">
        <w:rPr>
          <w:i/>
        </w:rPr>
        <w:t xml:space="preserve"> Tapirus terrestris</w:t>
      </w:r>
      <w:r w:rsidRPr="008608AA">
        <w:t>; lowland paca,</w:t>
      </w:r>
      <w:r w:rsidRPr="008608AA">
        <w:rPr>
          <w:i/>
        </w:rPr>
        <w:t xml:space="preserve"> Cunniculus paca</w:t>
      </w:r>
      <w:r w:rsidRPr="008608AA">
        <w:t>;</w:t>
      </w:r>
      <w:r w:rsidRPr="008608AA">
        <w:rPr>
          <w:i/>
        </w:rPr>
        <w:t xml:space="preserve"> </w:t>
      </w:r>
      <w:r w:rsidRPr="008608AA">
        <w:t>brown agouti,</w:t>
      </w:r>
      <w:r w:rsidRPr="008608AA">
        <w:rPr>
          <w:i/>
        </w:rPr>
        <w:t xml:space="preserve"> Dasyprocta variegate</w:t>
      </w:r>
      <w:r w:rsidRPr="008608AA">
        <w:t>;  nine-banded armadillo,</w:t>
      </w:r>
      <w:r w:rsidRPr="008608AA">
        <w:rPr>
          <w:i/>
        </w:rPr>
        <w:t xml:space="preserve"> Dasypus novemcinctus</w:t>
      </w:r>
      <w:r w:rsidRPr="008608AA">
        <w:t xml:space="preserve">; and Southern America coati, </w:t>
      </w:r>
      <w:r w:rsidRPr="008608AA">
        <w:rPr>
          <w:i/>
        </w:rPr>
        <w:t>Nasua nasua</w:t>
      </w:r>
      <w:r w:rsidRPr="008608AA">
        <w:t xml:space="preserve">) could reach about 1.4 kg/ha/yr of wild meat in natural tropical forests (Gobierno Autonomo Departamental de Santa Cruz, 2009). However, sustainable production is completely contingent on maintaining the wildlife production lands in good condition (Altrichter, 2006; Silvius et al., 2004; Townsend, 2010; Alvarez &amp; Shany, 2012). </w:t>
      </w:r>
    </w:p>
    <w:p w14:paraId="5E5A07D6" w14:textId="50E4B406" w:rsidR="00A00405" w:rsidRPr="008608AA" w:rsidRDefault="00A00405" w:rsidP="004671B9">
      <w:pPr>
        <w:spacing w:after="120"/>
      </w:pPr>
      <w:r w:rsidRPr="008608AA">
        <w:t>In North America, wildlif</w:t>
      </w:r>
      <w:r w:rsidR="00E86371" w:rsidRPr="008608AA">
        <w:t>e hunting requires a permit, so</w:t>
      </w:r>
      <w:r w:rsidRPr="008608AA">
        <w:t> species populations can be managed and harvest levels controlled.  Indigenous people  have prioritized access in some areas, including Canada where rights to harvest wildlife and fish are protected where treaties have been signed. Historically, wildlife harvesting represented a significant proportion of protein consumed; however, decreases in biodiversity of wildlife species, habitat degradation and decreased access (</w:t>
      </w:r>
      <w:r w:rsidR="00847F60" w:rsidRPr="008608AA">
        <w:t>e.g.</w:t>
      </w:r>
      <w:r w:rsidRPr="008608AA">
        <w:t xml:space="preserve"> physical and regulatory) has contributed to a steep decline in wildlife harvesting in many areas of the Americas. While only 6% of the population participates in recreational hunting (Mahoney, 2009), these programs generate revenue, not only to government agencies via the permit process, but also an estimated $25 billion in retail sales yearly and $17 million in wages and salaries is generated yearly (IAFWA, 2002). The tax revenue to the USA from retail and permits is estimated to be more than $2.4 billion per year and trends in participation of recreational wildlife use in USA have been stable over the past few decades. In addition, the sale of hunting permits provides in large conservation benefits. In Canada, for example, the revenue generated from the sale of habitat conservation stamps, affixed to the migratory game birds permits, funds habitat conservation projects, and since 1985, &gt;$50 million has been generated to support 1,500 habitat conservatio</w:t>
      </w:r>
      <w:r w:rsidR="00B700CF" w:rsidRPr="008608AA">
        <w:t>n projects across the country. Mexico uses wildlife management u</w:t>
      </w:r>
      <w:r w:rsidRPr="008608AA">
        <w:t>nits as a strategy to combine conservation of game species with economic activities via the sal</w:t>
      </w:r>
      <w:r w:rsidR="00B700CF" w:rsidRPr="008608AA">
        <w:t>e of animals or hunting. These wildlife management u</w:t>
      </w:r>
      <w:r w:rsidRPr="008608AA">
        <w:t>nits can be part of community activities or take place on private lands</w:t>
      </w:r>
      <w:r w:rsidR="009852C9" w:rsidRPr="008608AA">
        <w:t xml:space="preserve"> </w:t>
      </w:r>
      <w:r w:rsidRPr="008608AA">
        <w:t>(</w:t>
      </w:r>
      <w:hyperlink r:id="rId59">
        <w:r w:rsidRPr="008608AA">
          <w:rPr>
            <w:color w:val="0000FF"/>
            <w:u w:val="single"/>
          </w:rPr>
          <w:t>http://www.biodiversidad.gob.mx/usos/UMAs.html</w:t>
        </w:r>
      </w:hyperlink>
      <w:r w:rsidRPr="008608AA">
        <w:t>). In some instances, wildlife on common lands are managed as a common use resource, whereby different organizations can develop hunting activities and sometimes there is no payment for hunting by external people, but rather an exchange f</w:t>
      </w:r>
      <w:r w:rsidR="00B700CF" w:rsidRPr="008608AA">
        <w:t>or external merchandise. These wildlife m</w:t>
      </w:r>
      <w:r w:rsidRPr="008608AA">
        <w:t xml:space="preserve">anagement </w:t>
      </w:r>
      <w:r w:rsidR="00B700CF" w:rsidRPr="008608AA">
        <w:t>u</w:t>
      </w:r>
      <w:r w:rsidRPr="008608AA">
        <w:t>nits have been underway in Mexico since 1997, and currently 37% of Mexican municipalities have them, recording 417 species (</w:t>
      </w:r>
      <w:hyperlink r:id="rId60">
        <w:r w:rsidRPr="008608AA">
          <w:rPr>
            <w:color w:val="0000FF"/>
            <w:u w:val="single"/>
          </w:rPr>
          <w:t>http://www.biodiversidad.gob.mx/ usos/UMAs.html</w:t>
        </w:r>
      </w:hyperlink>
      <w:r w:rsidRPr="008608AA">
        <w:rPr>
          <w:color w:val="0000FF"/>
          <w:u w:val="single"/>
        </w:rPr>
        <w:t>)</w:t>
      </w:r>
      <w:r w:rsidRPr="008608AA">
        <w:t xml:space="preserve">.  </w:t>
      </w:r>
    </w:p>
    <w:p w14:paraId="3EEB948E" w14:textId="690F0695" w:rsidR="00A00405" w:rsidRPr="008608AA" w:rsidRDefault="00A00405" w:rsidP="00F47C38">
      <w:pPr>
        <w:pStyle w:val="Heading4"/>
        <w:spacing w:before="240"/>
        <w:ind w:left="0" w:firstLine="0"/>
      </w:pPr>
      <w:bookmarkStart w:id="640" w:name="_Toc517393248"/>
      <w:bookmarkStart w:id="641" w:name="_Toc517718989"/>
      <w:bookmarkStart w:id="642" w:name="_Toc517796946"/>
      <w:r w:rsidRPr="008608AA">
        <w:t>Organic products</w:t>
      </w:r>
      <w:bookmarkEnd w:id="640"/>
      <w:bookmarkEnd w:id="641"/>
      <w:bookmarkEnd w:id="642"/>
      <w:r w:rsidRPr="008608AA">
        <w:t xml:space="preserve"> </w:t>
      </w:r>
    </w:p>
    <w:p w14:paraId="6EAED011" w14:textId="1690AE56" w:rsidR="00A00405" w:rsidRPr="008608AA" w:rsidRDefault="00A00405" w:rsidP="004671B9">
      <w:pPr>
        <w:spacing w:after="120"/>
      </w:pPr>
      <w:r w:rsidRPr="008608AA">
        <w:t xml:space="preserve">Over the past two decades, in the face of increase used of pesticides on plants and antibiotics and growth hormones in animal products, more consumers are buying organic food to assure their quality of life. They are willing to pay a premium for better health, environment quality and animal welfare (Dimitri &amp; Greene, 2002). For example, the market value for organic foods in the USA, especially fruit and vegetables, nearly tripled over the last decade (Figure 2.7), and the area of land under organic farming has increased over the past decades (Figure 2.8, </w:t>
      </w:r>
      <w:r w:rsidR="00B20C8E" w:rsidRPr="008608AA">
        <w:t>section</w:t>
      </w:r>
      <w:r w:rsidRPr="008608AA">
        <w:t xml:space="preserve"> 2.2.8).</w:t>
      </w:r>
    </w:p>
    <w:p w14:paraId="657745B1" w14:textId="70AF673F" w:rsidR="00A00405" w:rsidRPr="008608AA" w:rsidRDefault="00A00405" w:rsidP="00021A2E">
      <w:pPr>
        <w:spacing w:after="120"/>
      </w:pPr>
      <w:r w:rsidRPr="008608AA">
        <w:t>According to FAO (2007), small-scale farmers have been successful in adopting organic practices and marketing their products (</w:t>
      </w:r>
      <w:r w:rsidR="00847F60" w:rsidRPr="008608AA">
        <w:t>e.g.</w:t>
      </w:r>
      <w:r w:rsidRPr="008608AA">
        <w:t xml:space="preserve"> in supermarkets or farmers markets in cities where organic and local vegetables are sold). In this study, covering 14 farmer groups with more than 5,100 </w:t>
      </w:r>
      <w:r w:rsidR="004F4EC8" w:rsidRPr="008608AA">
        <w:t>small farmers, each with about two</w:t>
      </w:r>
      <w:r w:rsidRPr="008608AA">
        <w:t xml:space="preserve"> h</w:t>
      </w:r>
      <w:r w:rsidR="004F4EC8" w:rsidRPr="008608AA">
        <w:t>ectares</w:t>
      </w:r>
      <w:r w:rsidRPr="008608AA">
        <w:t xml:space="preserve"> of land in six countries (Argentina, Costa Rica, Dominican Republic, El Salvador, Guatemala and Mexico), organic farming systems were found to 1) embody many elements of sustainability that make them effective tools to help reduce poverty and improve food security including; 2) support long-term commitments to soil fertility, particularly reducing soil erosion and degradation or desertification; 3) reduce external energy consumption and water requirements; 4) enhance the value of in knowledge-intensive rather than capital- and resource-intensive practices; 5) link traditional knowledge with modern methods such as bio-controls and efficient nutrient management; and 6) integrate traditional knowledge, joint problem solving and farmer-to-farmer exchange to improve community relations and lead to greater involveme</w:t>
      </w:r>
      <w:r w:rsidR="00021A2E" w:rsidRPr="008608AA">
        <w:t>nt and commitment of producers.</w:t>
      </w:r>
    </w:p>
    <w:p w14:paraId="4A88622B" w14:textId="77777777" w:rsidR="00A00405" w:rsidRPr="008608AA" w:rsidRDefault="00A00405" w:rsidP="00A00405">
      <w:pPr>
        <w:rPr>
          <w:sz w:val="20"/>
        </w:rPr>
      </w:pPr>
    </w:p>
    <w:p w14:paraId="6D2AF1BF" w14:textId="4DA9EE90" w:rsidR="00A00405" w:rsidRPr="008608AA" w:rsidRDefault="007F26AC" w:rsidP="00021A2E">
      <w:pPr>
        <w:jc w:val="center"/>
        <w:rPr>
          <w:sz w:val="20"/>
        </w:rPr>
      </w:pPr>
      <w:r w:rsidRPr="008608AA">
        <w:rPr>
          <w:noProof/>
          <w:sz w:val="20"/>
          <w:lang w:val="en-GB" w:eastAsia="en-GB"/>
        </w:rPr>
        <w:drawing>
          <wp:inline distT="0" distB="0" distL="0" distR="0" wp14:anchorId="2BD00A8C" wp14:editId="12B75B7D">
            <wp:extent cx="5934075" cy="4705350"/>
            <wp:effectExtent l="0" t="0" r="9525" b="0"/>
            <wp:docPr id="25" name="Imagen 25" descr="C:\Users\Alejandro Valderrama\Downloads\Fig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3" descr="C:\Users\Alejandro Valderrama\Downloads\Fig2.7.jpg"/>
                    <pic:cNvPicPr>
                      <a:picLocks noChangeAspect="1" noChangeArrowheads="1"/>
                    </pic:cNvPicPr>
                  </pic:nvPicPr>
                  <pic:blipFill rotWithShape="1">
                    <a:blip r:embed="rId61">
                      <a:extLst>
                        <a:ext uri="{28A0092B-C50C-407E-A947-70E740481C1C}">
                          <a14:useLocalDpi xmlns:a14="http://schemas.microsoft.com/office/drawing/2010/main" val="0"/>
                        </a:ext>
                      </a:extLst>
                    </a:blip>
                    <a:srcRect b="44989"/>
                    <a:stretch/>
                  </pic:blipFill>
                  <pic:spPr bwMode="auto">
                    <a:xfrm>
                      <a:off x="0" y="0"/>
                      <a:ext cx="5934075" cy="4705350"/>
                    </a:xfrm>
                    <a:prstGeom prst="rect">
                      <a:avLst/>
                    </a:prstGeom>
                    <a:noFill/>
                    <a:ln>
                      <a:noFill/>
                    </a:ln>
                    <a:extLst>
                      <a:ext uri="{53640926-AAD7-44D8-BBD7-CCE9431645EC}">
                        <a14:shadowObscured xmlns:a14="http://schemas.microsoft.com/office/drawing/2010/main"/>
                      </a:ext>
                    </a:extLst>
                  </pic:spPr>
                </pic:pic>
              </a:graphicData>
            </a:graphic>
          </wp:inline>
        </w:drawing>
      </w:r>
    </w:p>
    <w:p w14:paraId="23891C55" w14:textId="77777777" w:rsidR="00A00405" w:rsidRPr="008608AA" w:rsidRDefault="00A00405" w:rsidP="00A00405">
      <w:pPr>
        <w:rPr>
          <w:sz w:val="20"/>
        </w:rPr>
      </w:pPr>
    </w:p>
    <w:p w14:paraId="42E4884F" w14:textId="77777777" w:rsidR="00A00405" w:rsidRPr="008608AA" w:rsidRDefault="00A00405" w:rsidP="00A00405">
      <w:pPr>
        <w:rPr>
          <w:sz w:val="20"/>
        </w:rPr>
      </w:pPr>
    </w:p>
    <w:p w14:paraId="544E18D6" w14:textId="6F0B9E36" w:rsidR="00A00405" w:rsidRPr="008608AA" w:rsidRDefault="007F26AC" w:rsidP="001D7C20">
      <w:pPr>
        <w:jc w:val="center"/>
        <w:rPr>
          <w:sz w:val="20"/>
        </w:rPr>
      </w:pPr>
      <w:r w:rsidRPr="008608AA">
        <w:rPr>
          <w:noProof/>
          <w:sz w:val="20"/>
          <w:lang w:val="en-GB" w:eastAsia="en-GB"/>
        </w:rPr>
        <w:drawing>
          <wp:inline distT="0" distB="0" distL="0" distR="0" wp14:anchorId="7A769BDD" wp14:editId="72F901D6">
            <wp:extent cx="5934075" cy="5286375"/>
            <wp:effectExtent l="0" t="0" r="9525" b="9525"/>
            <wp:docPr id="26" name="Imagen 26" descr="C:\Users\Alejandro Valderrama\Downloads\Fig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C:\Users\Alejandro Valderrama\Downloads\Fig2.8.jpg"/>
                    <pic:cNvPicPr>
                      <a:picLocks noChangeAspect="1" noChangeArrowheads="1"/>
                    </pic:cNvPicPr>
                  </pic:nvPicPr>
                  <pic:blipFill rotWithShape="1">
                    <a:blip r:embed="rId62">
                      <a:extLst>
                        <a:ext uri="{28A0092B-C50C-407E-A947-70E740481C1C}">
                          <a14:useLocalDpi xmlns:a14="http://schemas.microsoft.com/office/drawing/2010/main" val="0"/>
                        </a:ext>
                      </a:extLst>
                    </a:blip>
                    <a:srcRect b="38196"/>
                    <a:stretch/>
                  </pic:blipFill>
                  <pic:spPr bwMode="auto">
                    <a:xfrm>
                      <a:off x="0" y="0"/>
                      <a:ext cx="5934075" cy="5286375"/>
                    </a:xfrm>
                    <a:prstGeom prst="rect">
                      <a:avLst/>
                    </a:prstGeom>
                    <a:noFill/>
                    <a:ln>
                      <a:noFill/>
                    </a:ln>
                    <a:extLst>
                      <a:ext uri="{53640926-AAD7-44D8-BBD7-CCE9431645EC}">
                        <a14:shadowObscured xmlns:a14="http://schemas.microsoft.com/office/drawing/2010/main"/>
                      </a:ext>
                    </a:extLst>
                  </pic:spPr>
                </pic:pic>
              </a:graphicData>
            </a:graphic>
          </wp:inline>
        </w:drawing>
      </w:r>
    </w:p>
    <w:p w14:paraId="531BB749" w14:textId="77777777" w:rsidR="00A00405" w:rsidRPr="008608AA" w:rsidRDefault="00A00405" w:rsidP="00A00405">
      <w:pPr>
        <w:rPr>
          <w:sz w:val="20"/>
        </w:rPr>
      </w:pPr>
    </w:p>
    <w:p w14:paraId="69535AC9" w14:textId="77777777" w:rsidR="00A00405" w:rsidRPr="008608AA" w:rsidRDefault="00A00405" w:rsidP="00A00405">
      <w:pPr>
        <w:rPr>
          <w:sz w:val="20"/>
        </w:rPr>
      </w:pPr>
    </w:p>
    <w:p w14:paraId="48B350AF" w14:textId="56F8790B" w:rsidR="00A00405" w:rsidRPr="008608AA" w:rsidRDefault="00A00405" w:rsidP="001D7C20">
      <w:pPr>
        <w:pStyle w:val="Heading3"/>
      </w:pPr>
      <w:bookmarkStart w:id="643" w:name="_Toc517393249"/>
      <w:bookmarkStart w:id="644" w:name="_Toc517718990"/>
      <w:bookmarkStart w:id="645" w:name="_Toc517796947"/>
      <w:r w:rsidRPr="008608AA">
        <w:t>Materials and assistance</w:t>
      </w:r>
      <w:bookmarkEnd w:id="643"/>
      <w:bookmarkEnd w:id="644"/>
      <w:bookmarkEnd w:id="645"/>
      <w:r w:rsidRPr="008608AA">
        <w:t xml:space="preserve"> </w:t>
      </w:r>
    </w:p>
    <w:p w14:paraId="222B18B3" w14:textId="6D6485E9" w:rsidR="00A00405" w:rsidRPr="008608AA" w:rsidRDefault="00A00405" w:rsidP="001D7C20">
      <w:pPr>
        <w:shd w:val="clear" w:color="auto" w:fill="FFFFFF"/>
        <w:spacing w:after="120"/>
      </w:pPr>
      <w:r w:rsidRPr="008608AA">
        <w:t>Timber and fiber are essential provisioning services for a good quality of life. They provide shelter through construction materials, clothing, and raw materials for industries and manufacturing. Extraction, processing, production and trade of these services are also important livelihood activities of many individuals worldwide (</w:t>
      </w:r>
      <w:r w:rsidR="00B20C8E" w:rsidRPr="008608AA">
        <w:t>section</w:t>
      </w:r>
      <w:r w:rsidRPr="008608AA">
        <w:t xml:space="preserve"> 2.3.5).  Production rates of this NCP have increased considerably over the last several decades, helping improve the quality of life for many with some associated negative social and environmental impacts notwithstanding. However, rates of production have slowed down and are expected to continue declining as new technologies and production substitutes emerge. There are stark variations between subregions in production and consumption of various timber and fiber services, as shown below.</w:t>
      </w:r>
    </w:p>
    <w:p w14:paraId="184A854A" w14:textId="77777777" w:rsidR="001D7C20" w:rsidRPr="008608AA" w:rsidRDefault="001D7C20" w:rsidP="001D7C20">
      <w:pPr>
        <w:shd w:val="clear" w:color="auto" w:fill="FFFFFF"/>
        <w:spacing w:after="120"/>
      </w:pPr>
    </w:p>
    <w:p w14:paraId="6A5F5DAC" w14:textId="7DE8240C" w:rsidR="00A00405" w:rsidRPr="008608AA" w:rsidRDefault="00A00405" w:rsidP="00A00405">
      <w:pPr>
        <w:pStyle w:val="Heading4"/>
        <w:ind w:left="0" w:firstLine="0"/>
      </w:pPr>
      <w:bookmarkStart w:id="646" w:name="_Toc517393250"/>
      <w:bookmarkStart w:id="647" w:name="_Toc517718991"/>
      <w:bookmarkStart w:id="648" w:name="_Toc517796948"/>
      <w:r w:rsidRPr="008608AA">
        <w:t>Timber</w:t>
      </w:r>
      <w:bookmarkEnd w:id="646"/>
      <w:bookmarkEnd w:id="647"/>
      <w:bookmarkEnd w:id="648"/>
      <w:r w:rsidRPr="008608AA">
        <w:t xml:space="preserve"> </w:t>
      </w:r>
    </w:p>
    <w:p w14:paraId="679976BC" w14:textId="77777777" w:rsidR="00A00405" w:rsidRPr="008608AA" w:rsidRDefault="00A00405" w:rsidP="001D7C20">
      <w:pPr>
        <w:shd w:val="clear" w:color="auto" w:fill="FFFFFF"/>
        <w:spacing w:after="120"/>
      </w:pPr>
      <w:r w:rsidRPr="008608AA">
        <w:t xml:space="preserve">North America is the largest producer and, in some cases, consumer of timber products. In this subregion, for instance, coniferous sawnwood greatly outpaces other subregion’s production, peaking in the late 1990’s and early 2000’s (Figure 2.9). </w:t>
      </w:r>
    </w:p>
    <w:p w14:paraId="4DBBDB17" w14:textId="77777777" w:rsidR="001D7C20" w:rsidRPr="008608AA" w:rsidRDefault="001D7C20" w:rsidP="001D7C20">
      <w:pPr>
        <w:shd w:val="clear" w:color="auto" w:fill="FFFFFF"/>
        <w:spacing w:after="120"/>
      </w:pPr>
    </w:p>
    <w:p w14:paraId="3AD0EF6D" w14:textId="77777777" w:rsidR="001D7C20" w:rsidRPr="008608AA" w:rsidRDefault="001D7C20" w:rsidP="001D7C20">
      <w:pPr>
        <w:shd w:val="clear" w:color="auto" w:fill="FFFFFF"/>
        <w:spacing w:after="120"/>
      </w:pPr>
    </w:p>
    <w:p w14:paraId="61196F30" w14:textId="7594BF61" w:rsidR="001D7C20" w:rsidRPr="008608AA" w:rsidRDefault="007F26AC" w:rsidP="001D7C20">
      <w:pPr>
        <w:spacing w:before="240"/>
        <w:jc w:val="center"/>
      </w:pPr>
      <w:r w:rsidRPr="008608AA">
        <w:rPr>
          <w:noProof/>
          <w:lang w:val="en-GB" w:eastAsia="en-GB"/>
        </w:rPr>
        <w:drawing>
          <wp:inline distT="0" distB="0" distL="0" distR="0" wp14:anchorId="4E2352FB" wp14:editId="2A422AD7">
            <wp:extent cx="5934075" cy="4648200"/>
            <wp:effectExtent l="0" t="0" r="9525" b="0"/>
            <wp:docPr id="27" name="Imagen 27" descr="C:\Users\Alejandro Valderrama\Downloads\Fig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7" descr="C:\Users\Alejandro Valderrama\Downloads\Fig2.9.jpg"/>
                    <pic:cNvPicPr>
                      <a:picLocks noChangeAspect="1" noChangeArrowheads="1"/>
                    </pic:cNvPicPr>
                  </pic:nvPicPr>
                  <pic:blipFill rotWithShape="1">
                    <a:blip r:embed="rId63">
                      <a:extLst>
                        <a:ext uri="{28A0092B-C50C-407E-A947-70E740481C1C}">
                          <a14:useLocalDpi xmlns:a14="http://schemas.microsoft.com/office/drawing/2010/main" val="0"/>
                        </a:ext>
                      </a:extLst>
                    </a:blip>
                    <a:srcRect b="45657"/>
                    <a:stretch/>
                  </pic:blipFill>
                  <pic:spPr bwMode="auto">
                    <a:xfrm>
                      <a:off x="0" y="0"/>
                      <a:ext cx="5934075" cy="4648200"/>
                    </a:xfrm>
                    <a:prstGeom prst="rect">
                      <a:avLst/>
                    </a:prstGeom>
                    <a:noFill/>
                    <a:ln>
                      <a:noFill/>
                    </a:ln>
                    <a:extLst>
                      <a:ext uri="{53640926-AAD7-44D8-BBD7-CCE9431645EC}">
                        <a14:shadowObscured xmlns:a14="http://schemas.microsoft.com/office/drawing/2010/main"/>
                      </a:ext>
                    </a:extLst>
                  </pic:spPr>
                </pic:pic>
              </a:graphicData>
            </a:graphic>
          </wp:inline>
        </w:drawing>
      </w:r>
    </w:p>
    <w:p w14:paraId="5B031CFF" w14:textId="70BAF4A7" w:rsidR="00A00405" w:rsidRPr="008608AA" w:rsidRDefault="00A00405" w:rsidP="00A00405">
      <w:pPr>
        <w:spacing w:before="240"/>
      </w:pPr>
      <w:r w:rsidRPr="008608AA">
        <w:t>Countries with the highest wood removals in the Americas are the USA, Brazil and Canada, as partially reflected in their gross value-added USA dollars in the forestry sector (Table 2.4). In 2011, approximately 858 million m</w:t>
      </w:r>
      <w:r w:rsidRPr="008608AA">
        <w:rPr>
          <w:vertAlign w:val="superscript"/>
        </w:rPr>
        <w:t>3</w:t>
      </w:r>
      <w:r w:rsidRPr="008608AA">
        <w:t xml:space="preserve"> of wood were removed in the Americas region alone, and between 1990 and 2011, annual wood removals in North America were varied, with a decrease following the 2008 financial downturn. Furthermore, the share of woodfuel also varies by subregion, accounting for only 9% of total removals in North America, whereas in South America and Mesoamerica it accounts for 78% and 88%, respectively (Figure 2.10). </w:t>
      </w:r>
    </w:p>
    <w:p w14:paraId="645FF1C3" w14:textId="58DDD078" w:rsidR="001D7C20" w:rsidRPr="008608AA" w:rsidRDefault="007F26AC" w:rsidP="007F26AC">
      <w:pPr>
        <w:spacing w:before="240"/>
        <w:jc w:val="center"/>
      </w:pPr>
      <w:r w:rsidRPr="008608AA">
        <w:rPr>
          <w:noProof/>
          <w:lang w:val="en-GB" w:eastAsia="en-GB"/>
        </w:rPr>
        <w:drawing>
          <wp:inline distT="0" distB="0" distL="0" distR="0" wp14:anchorId="5093FB33" wp14:editId="4223220B">
            <wp:extent cx="5934075" cy="3781425"/>
            <wp:effectExtent l="0" t="0" r="9525" b="9525"/>
            <wp:docPr id="28" name="Imagen 28" descr="C:\Users\Alejandro Valderrama\Downloads\Fig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9" descr="C:\Users\Alejandro Valderrama\Downloads\Fig2.10.jpg"/>
                    <pic:cNvPicPr>
                      <a:picLocks noChangeAspect="1" noChangeArrowheads="1"/>
                    </pic:cNvPicPr>
                  </pic:nvPicPr>
                  <pic:blipFill rotWithShape="1">
                    <a:blip r:embed="rId64">
                      <a:extLst>
                        <a:ext uri="{28A0092B-C50C-407E-A947-70E740481C1C}">
                          <a14:useLocalDpi xmlns:a14="http://schemas.microsoft.com/office/drawing/2010/main" val="0"/>
                        </a:ext>
                      </a:extLst>
                    </a:blip>
                    <a:srcRect b="55791"/>
                    <a:stretch/>
                  </pic:blipFill>
                  <pic:spPr bwMode="auto">
                    <a:xfrm>
                      <a:off x="0" y="0"/>
                      <a:ext cx="5934075" cy="3781425"/>
                    </a:xfrm>
                    <a:prstGeom prst="rect">
                      <a:avLst/>
                    </a:prstGeom>
                    <a:noFill/>
                    <a:ln>
                      <a:noFill/>
                    </a:ln>
                    <a:extLst>
                      <a:ext uri="{53640926-AAD7-44D8-BBD7-CCE9431645EC}">
                        <a14:shadowObscured xmlns:a14="http://schemas.microsoft.com/office/drawing/2010/main"/>
                      </a:ext>
                    </a:extLst>
                  </pic:spPr>
                </pic:pic>
              </a:graphicData>
            </a:graphic>
          </wp:inline>
        </w:drawing>
      </w:r>
    </w:p>
    <w:p w14:paraId="4A6D34FE" w14:textId="764565E6" w:rsidR="00F32C42"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4</w:t>
      </w:r>
      <w:r w:rsidR="000E562E">
        <w:rPr>
          <w:noProof/>
        </w:rPr>
        <w:fldChar w:fldCharType="end"/>
      </w:r>
      <w:r w:rsidR="001D7C20" w:rsidRPr="008608AA">
        <w:t>. Top ten countries value-added (US $ in millions in 2011 prices and exchange rate) in the forestry sector 1990-2011.</w:t>
      </w:r>
    </w:p>
    <w:tbl>
      <w:tblPr>
        <w:tblW w:w="88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4"/>
        <w:gridCol w:w="1103"/>
        <w:gridCol w:w="1426"/>
        <w:gridCol w:w="1426"/>
        <w:gridCol w:w="1240"/>
        <w:gridCol w:w="1237"/>
      </w:tblGrid>
      <w:tr w:rsidR="00F32C42" w:rsidRPr="0010725E" w14:paraId="026E3A1E" w14:textId="77777777" w:rsidTr="001D7C20">
        <w:trPr>
          <w:trHeight w:val="300"/>
          <w:jc w:val="center"/>
        </w:trPr>
        <w:tc>
          <w:tcPr>
            <w:tcW w:w="2424" w:type="dxa"/>
            <w:shd w:val="clear" w:color="auto" w:fill="BFBFBF" w:themeFill="background1" w:themeFillShade="BF"/>
            <w:vAlign w:val="center"/>
          </w:tcPr>
          <w:p w14:paraId="70586858" w14:textId="77777777" w:rsidR="00F32C42" w:rsidRPr="0010725E" w:rsidRDefault="00F32C42" w:rsidP="001D7C20">
            <w:pPr>
              <w:jc w:val="center"/>
              <w:rPr>
                <w:b/>
                <w:szCs w:val="22"/>
              </w:rPr>
            </w:pPr>
            <w:r w:rsidRPr="0010725E">
              <w:rPr>
                <w:b/>
                <w:szCs w:val="22"/>
              </w:rPr>
              <w:t>Country</w:t>
            </w:r>
          </w:p>
        </w:tc>
        <w:tc>
          <w:tcPr>
            <w:tcW w:w="1103" w:type="dxa"/>
            <w:shd w:val="clear" w:color="auto" w:fill="BFBFBF" w:themeFill="background1" w:themeFillShade="BF"/>
            <w:vAlign w:val="center"/>
          </w:tcPr>
          <w:p w14:paraId="0AA7FA93" w14:textId="77777777" w:rsidR="00F32C42" w:rsidRPr="0010725E" w:rsidRDefault="00F32C42" w:rsidP="001D7C20">
            <w:pPr>
              <w:jc w:val="center"/>
              <w:rPr>
                <w:b/>
                <w:szCs w:val="22"/>
              </w:rPr>
            </w:pPr>
            <w:r w:rsidRPr="0010725E">
              <w:rPr>
                <w:b/>
                <w:szCs w:val="22"/>
              </w:rPr>
              <w:t>1990</w:t>
            </w:r>
          </w:p>
        </w:tc>
        <w:tc>
          <w:tcPr>
            <w:tcW w:w="1426" w:type="dxa"/>
            <w:shd w:val="clear" w:color="auto" w:fill="BFBFBF" w:themeFill="background1" w:themeFillShade="BF"/>
            <w:vAlign w:val="center"/>
          </w:tcPr>
          <w:p w14:paraId="69447D97" w14:textId="77777777" w:rsidR="00F32C42" w:rsidRPr="0010725E" w:rsidRDefault="00F32C42" w:rsidP="001D7C20">
            <w:pPr>
              <w:jc w:val="center"/>
              <w:rPr>
                <w:b/>
                <w:szCs w:val="22"/>
              </w:rPr>
            </w:pPr>
            <w:r w:rsidRPr="0010725E">
              <w:rPr>
                <w:b/>
                <w:szCs w:val="22"/>
              </w:rPr>
              <w:t>1995</w:t>
            </w:r>
          </w:p>
        </w:tc>
        <w:tc>
          <w:tcPr>
            <w:tcW w:w="1426" w:type="dxa"/>
            <w:shd w:val="clear" w:color="auto" w:fill="BFBFBF" w:themeFill="background1" w:themeFillShade="BF"/>
            <w:vAlign w:val="center"/>
          </w:tcPr>
          <w:p w14:paraId="0392FFCC" w14:textId="77777777" w:rsidR="00F32C42" w:rsidRPr="0010725E" w:rsidRDefault="00F32C42" w:rsidP="001D7C20">
            <w:pPr>
              <w:jc w:val="center"/>
              <w:rPr>
                <w:b/>
                <w:szCs w:val="22"/>
              </w:rPr>
            </w:pPr>
            <w:r w:rsidRPr="0010725E">
              <w:rPr>
                <w:b/>
                <w:szCs w:val="22"/>
              </w:rPr>
              <w:t>2000</w:t>
            </w:r>
          </w:p>
        </w:tc>
        <w:tc>
          <w:tcPr>
            <w:tcW w:w="1240" w:type="dxa"/>
            <w:shd w:val="clear" w:color="auto" w:fill="BFBFBF" w:themeFill="background1" w:themeFillShade="BF"/>
            <w:vAlign w:val="center"/>
          </w:tcPr>
          <w:p w14:paraId="396BE4D7" w14:textId="77777777" w:rsidR="00F32C42" w:rsidRPr="0010725E" w:rsidRDefault="00F32C42" w:rsidP="001D7C20">
            <w:pPr>
              <w:jc w:val="center"/>
              <w:rPr>
                <w:b/>
                <w:szCs w:val="22"/>
              </w:rPr>
            </w:pPr>
            <w:r w:rsidRPr="0010725E">
              <w:rPr>
                <w:b/>
                <w:szCs w:val="22"/>
              </w:rPr>
              <w:t>2011</w:t>
            </w:r>
          </w:p>
        </w:tc>
        <w:tc>
          <w:tcPr>
            <w:tcW w:w="1237" w:type="dxa"/>
            <w:shd w:val="clear" w:color="auto" w:fill="BFBFBF" w:themeFill="background1" w:themeFillShade="BF"/>
            <w:vAlign w:val="center"/>
          </w:tcPr>
          <w:p w14:paraId="7B36DAA1" w14:textId="77777777" w:rsidR="00F32C42" w:rsidRPr="0010725E" w:rsidRDefault="00F32C42" w:rsidP="001D7C20">
            <w:pPr>
              <w:jc w:val="center"/>
              <w:rPr>
                <w:b/>
                <w:szCs w:val="22"/>
              </w:rPr>
            </w:pPr>
            <w:r w:rsidRPr="0010725E">
              <w:rPr>
                <w:b/>
                <w:szCs w:val="22"/>
              </w:rPr>
              <w:t>AAGR</w:t>
            </w:r>
          </w:p>
        </w:tc>
      </w:tr>
      <w:tr w:rsidR="00F32C42" w:rsidRPr="0010725E" w14:paraId="0BE30C96" w14:textId="77777777" w:rsidTr="001D7C20">
        <w:trPr>
          <w:trHeight w:val="300"/>
          <w:jc w:val="center"/>
        </w:trPr>
        <w:tc>
          <w:tcPr>
            <w:tcW w:w="2424" w:type="dxa"/>
            <w:shd w:val="clear" w:color="auto" w:fill="auto"/>
            <w:vAlign w:val="bottom"/>
          </w:tcPr>
          <w:p w14:paraId="59B84C77" w14:textId="77777777" w:rsidR="00F32C42" w:rsidRPr="0010725E" w:rsidRDefault="00F32C42" w:rsidP="00F32C42">
            <w:pPr>
              <w:rPr>
                <w:szCs w:val="22"/>
              </w:rPr>
            </w:pPr>
            <w:r w:rsidRPr="0010725E">
              <w:rPr>
                <w:szCs w:val="22"/>
              </w:rPr>
              <w:t>USA</w:t>
            </w:r>
          </w:p>
        </w:tc>
        <w:tc>
          <w:tcPr>
            <w:tcW w:w="1103" w:type="dxa"/>
            <w:shd w:val="clear" w:color="auto" w:fill="auto"/>
            <w:vAlign w:val="bottom"/>
          </w:tcPr>
          <w:p w14:paraId="0E5A5A96" w14:textId="77777777" w:rsidR="00F32C42" w:rsidRPr="0010725E" w:rsidRDefault="00F32C42" w:rsidP="00F32C42">
            <w:pPr>
              <w:jc w:val="center"/>
              <w:rPr>
                <w:szCs w:val="22"/>
              </w:rPr>
            </w:pPr>
            <w:r w:rsidRPr="0010725E">
              <w:rPr>
                <w:szCs w:val="22"/>
              </w:rPr>
              <w:t>110,346</w:t>
            </w:r>
          </w:p>
        </w:tc>
        <w:tc>
          <w:tcPr>
            <w:tcW w:w="1426" w:type="dxa"/>
            <w:shd w:val="clear" w:color="auto" w:fill="auto"/>
            <w:vAlign w:val="bottom"/>
          </w:tcPr>
          <w:p w14:paraId="3B51DF72" w14:textId="77777777" w:rsidR="00F32C42" w:rsidRPr="0010725E" w:rsidRDefault="00F32C42" w:rsidP="00F32C42">
            <w:pPr>
              <w:jc w:val="center"/>
              <w:rPr>
                <w:szCs w:val="22"/>
              </w:rPr>
            </w:pPr>
            <w:r w:rsidRPr="0010725E">
              <w:rPr>
                <w:szCs w:val="22"/>
              </w:rPr>
              <w:t>132,476</w:t>
            </w:r>
          </w:p>
        </w:tc>
        <w:tc>
          <w:tcPr>
            <w:tcW w:w="1426" w:type="dxa"/>
            <w:shd w:val="clear" w:color="auto" w:fill="auto"/>
            <w:vAlign w:val="bottom"/>
          </w:tcPr>
          <w:p w14:paraId="4EF5DFAC" w14:textId="77777777" w:rsidR="00F32C42" w:rsidRPr="0010725E" w:rsidRDefault="00F32C42" w:rsidP="00F32C42">
            <w:pPr>
              <w:jc w:val="center"/>
              <w:rPr>
                <w:szCs w:val="22"/>
              </w:rPr>
            </w:pPr>
            <w:r w:rsidRPr="0010725E">
              <w:rPr>
                <w:szCs w:val="22"/>
              </w:rPr>
              <w:t>135,498</w:t>
            </w:r>
          </w:p>
        </w:tc>
        <w:tc>
          <w:tcPr>
            <w:tcW w:w="1240" w:type="dxa"/>
            <w:shd w:val="clear" w:color="auto" w:fill="auto"/>
            <w:vAlign w:val="bottom"/>
          </w:tcPr>
          <w:p w14:paraId="4992995C" w14:textId="77777777" w:rsidR="00F32C42" w:rsidRPr="0010725E" w:rsidRDefault="00F32C42" w:rsidP="00F32C42">
            <w:pPr>
              <w:jc w:val="center"/>
              <w:rPr>
                <w:szCs w:val="22"/>
              </w:rPr>
            </w:pPr>
            <w:r w:rsidRPr="0010725E">
              <w:rPr>
                <w:szCs w:val="22"/>
              </w:rPr>
              <w:t>95,664</w:t>
            </w:r>
          </w:p>
        </w:tc>
        <w:tc>
          <w:tcPr>
            <w:tcW w:w="1237" w:type="dxa"/>
            <w:shd w:val="clear" w:color="auto" w:fill="auto"/>
            <w:vAlign w:val="bottom"/>
          </w:tcPr>
          <w:p w14:paraId="18122A07" w14:textId="77777777" w:rsidR="00F32C42" w:rsidRPr="0010725E" w:rsidRDefault="00F32C42" w:rsidP="00F32C42">
            <w:pPr>
              <w:jc w:val="center"/>
              <w:rPr>
                <w:szCs w:val="22"/>
              </w:rPr>
            </w:pPr>
            <w:r w:rsidRPr="0010725E">
              <w:rPr>
                <w:szCs w:val="22"/>
              </w:rPr>
              <w:t>-0.7</w:t>
            </w:r>
          </w:p>
        </w:tc>
      </w:tr>
      <w:tr w:rsidR="00F32C42" w:rsidRPr="0010725E" w14:paraId="085120FA" w14:textId="77777777" w:rsidTr="001D7C20">
        <w:trPr>
          <w:trHeight w:val="300"/>
          <w:jc w:val="center"/>
        </w:trPr>
        <w:tc>
          <w:tcPr>
            <w:tcW w:w="2424" w:type="dxa"/>
            <w:shd w:val="clear" w:color="auto" w:fill="auto"/>
            <w:vAlign w:val="bottom"/>
          </w:tcPr>
          <w:p w14:paraId="20669941" w14:textId="77777777" w:rsidR="00F32C42" w:rsidRPr="0010725E" w:rsidRDefault="00F32C42" w:rsidP="00F32C42">
            <w:pPr>
              <w:rPr>
                <w:szCs w:val="22"/>
              </w:rPr>
            </w:pPr>
            <w:r w:rsidRPr="0010725E">
              <w:rPr>
                <w:szCs w:val="22"/>
              </w:rPr>
              <w:t>Brazil</w:t>
            </w:r>
          </w:p>
        </w:tc>
        <w:tc>
          <w:tcPr>
            <w:tcW w:w="1103" w:type="dxa"/>
            <w:shd w:val="clear" w:color="auto" w:fill="auto"/>
            <w:vAlign w:val="bottom"/>
          </w:tcPr>
          <w:p w14:paraId="1B122663" w14:textId="77777777" w:rsidR="00F32C42" w:rsidRPr="0010725E" w:rsidRDefault="00F32C42" w:rsidP="00F32C42">
            <w:pPr>
              <w:jc w:val="center"/>
              <w:rPr>
                <w:szCs w:val="22"/>
              </w:rPr>
            </w:pPr>
            <w:r w:rsidRPr="0010725E">
              <w:rPr>
                <w:szCs w:val="22"/>
              </w:rPr>
              <w:t>24,732</w:t>
            </w:r>
          </w:p>
        </w:tc>
        <w:tc>
          <w:tcPr>
            <w:tcW w:w="1426" w:type="dxa"/>
            <w:shd w:val="clear" w:color="auto" w:fill="auto"/>
            <w:vAlign w:val="bottom"/>
          </w:tcPr>
          <w:p w14:paraId="22575A4A" w14:textId="77777777" w:rsidR="00F32C42" w:rsidRPr="0010725E" w:rsidRDefault="00F32C42" w:rsidP="00F32C42">
            <w:pPr>
              <w:jc w:val="center"/>
              <w:rPr>
                <w:szCs w:val="22"/>
              </w:rPr>
            </w:pPr>
            <w:r w:rsidRPr="0010725E">
              <w:rPr>
                <w:szCs w:val="22"/>
              </w:rPr>
              <w:t>24,522</w:t>
            </w:r>
          </w:p>
        </w:tc>
        <w:tc>
          <w:tcPr>
            <w:tcW w:w="1426" w:type="dxa"/>
            <w:shd w:val="clear" w:color="auto" w:fill="auto"/>
            <w:vAlign w:val="bottom"/>
          </w:tcPr>
          <w:p w14:paraId="0C2F96D0" w14:textId="77777777" w:rsidR="00F32C42" w:rsidRPr="0010725E" w:rsidRDefault="00F32C42" w:rsidP="00F32C42">
            <w:pPr>
              <w:jc w:val="center"/>
              <w:rPr>
                <w:szCs w:val="22"/>
              </w:rPr>
            </w:pPr>
            <w:r w:rsidRPr="0010725E">
              <w:rPr>
                <w:szCs w:val="22"/>
              </w:rPr>
              <w:t>19,928</w:t>
            </w:r>
          </w:p>
        </w:tc>
        <w:tc>
          <w:tcPr>
            <w:tcW w:w="1240" w:type="dxa"/>
            <w:shd w:val="clear" w:color="auto" w:fill="auto"/>
            <w:vAlign w:val="bottom"/>
          </w:tcPr>
          <w:p w14:paraId="18B95972" w14:textId="77777777" w:rsidR="00F32C42" w:rsidRPr="0010725E" w:rsidRDefault="00F32C42" w:rsidP="00F32C42">
            <w:pPr>
              <w:jc w:val="center"/>
              <w:rPr>
                <w:szCs w:val="22"/>
              </w:rPr>
            </w:pPr>
            <w:r w:rsidRPr="0010725E">
              <w:rPr>
                <w:szCs w:val="22"/>
              </w:rPr>
              <w:t>22,513</w:t>
            </w:r>
          </w:p>
        </w:tc>
        <w:tc>
          <w:tcPr>
            <w:tcW w:w="1237" w:type="dxa"/>
            <w:shd w:val="clear" w:color="auto" w:fill="auto"/>
            <w:vAlign w:val="bottom"/>
          </w:tcPr>
          <w:p w14:paraId="19A92084" w14:textId="77777777" w:rsidR="00F32C42" w:rsidRPr="0010725E" w:rsidRDefault="00F32C42" w:rsidP="00F32C42">
            <w:pPr>
              <w:jc w:val="center"/>
              <w:rPr>
                <w:szCs w:val="22"/>
              </w:rPr>
            </w:pPr>
            <w:r w:rsidRPr="0010725E">
              <w:rPr>
                <w:szCs w:val="22"/>
              </w:rPr>
              <w:t>-0.4</w:t>
            </w:r>
          </w:p>
        </w:tc>
      </w:tr>
      <w:tr w:rsidR="00F32C42" w:rsidRPr="0010725E" w14:paraId="17965BBE" w14:textId="77777777" w:rsidTr="001D7C20">
        <w:trPr>
          <w:trHeight w:val="300"/>
          <w:jc w:val="center"/>
        </w:trPr>
        <w:tc>
          <w:tcPr>
            <w:tcW w:w="2424" w:type="dxa"/>
            <w:shd w:val="clear" w:color="auto" w:fill="auto"/>
            <w:vAlign w:val="bottom"/>
          </w:tcPr>
          <w:p w14:paraId="2B6AD310" w14:textId="77777777" w:rsidR="00F32C42" w:rsidRPr="0010725E" w:rsidRDefault="00F32C42" w:rsidP="00F32C42">
            <w:pPr>
              <w:rPr>
                <w:szCs w:val="22"/>
              </w:rPr>
            </w:pPr>
            <w:r w:rsidRPr="0010725E">
              <w:rPr>
                <w:szCs w:val="22"/>
              </w:rPr>
              <w:t>Canada</w:t>
            </w:r>
          </w:p>
        </w:tc>
        <w:tc>
          <w:tcPr>
            <w:tcW w:w="1103" w:type="dxa"/>
            <w:shd w:val="clear" w:color="auto" w:fill="auto"/>
            <w:vAlign w:val="bottom"/>
          </w:tcPr>
          <w:p w14:paraId="3C2FE827" w14:textId="77777777" w:rsidR="00F32C42" w:rsidRPr="0010725E" w:rsidRDefault="00F32C42" w:rsidP="00F32C42">
            <w:pPr>
              <w:jc w:val="center"/>
              <w:rPr>
                <w:szCs w:val="22"/>
              </w:rPr>
            </w:pPr>
            <w:r w:rsidRPr="0010725E">
              <w:rPr>
                <w:szCs w:val="22"/>
              </w:rPr>
              <w:t>26,392</w:t>
            </w:r>
          </w:p>
        </w:tc>
        <w:tc>
          <w:tcPr>
            <w:tcW w:w="1426" w:type="dxa"/>
            <w:shd w:val="clear" w:color="auto" w:fill="auto"/>
            <w:vAlign w:val="bottom"/>
          </w:tcPr>
          <w:p w14:paraId="14E9E3C2" w14:textId="77777777" w:rsidR="00F32C42" w:rsidRPr="0010725E" w:rsidRDefault="00F32C42" w:rsidP="00F32C42">
            <w:pPr>
              <w:jc w:val="center"/>
              <w:rPr>
                <w:szCs w:val="22"/>
              </w:rPr>
            </w:pPr>
            <w:r w:rsidRPr="0010725E">
              <w:rPr>
                <w:szCs w:val="22"/>
              </w:rPr>
              <w:t>41,116</w:t>
            </w:r>
          </w:p>
        </w:tc>
        <w:tc>
          <w:tcPr>
            <w:tcW w:w="1426" w:type="dxa"/>
            <w:shd w:val="clear" w:color="auto" w:fill="auto"/>
            <w:vAlign w:val="bottom"/>
          </w:tcPr>
          <w:p w14:paraId="6BD336CE" w14:textId="77777777" w:rsidR="00F32C42" w:rsidRPr="0010725E" w:rsidRDefault="00F32C42" w:rsidP="00F32C42">
            <w:pPr>
              <w:jc w:val="center"/>
              <w:rPr>
                <w:szCs w:val="22"/>
              </w:rPr>
            </w:pPr>
            <w:r w:rsidRPr="0010725E">
              <w:rPr>
                <w:szCs w:val="22"/>
              </w:rPr>
              <w:t>43,339</w:t>
            </w:r>
          </w:p>
        </w:tc>
        <w:tc>
          <w:tcPr>
            <w:tcW w:w="1240" w:type="dxa"/>
            <w:shd w:val="clear" w:color="auto" w:fill="auto"/>
            <w:vAlign w:val="bottom"/>
          </w:tcPr>
          <w:p w14:paraId="20EA78EB" w14:textId="77777777" w:rsidR="00F32C42" w:rsidRPr="0010725E" w:rsidRDefault="00F32C42" w:rsidP="00F32C42">
            <w:pPr>
              <w:jc w:val="center"/>
              <w:rPr>
                <w:szCs w:val="22"/>
              </w:rPr>
            </w:pPr>
            <w:r w:rsidRPr="0010725E">
              <w:rPr>
                <w:szCs w:val="22"/>
              </w:rPr>
              <w:t>19,789</w:t>
            </w:r>
          </w:p>
        </w:tc>
        <w:tc>
          <w:tcPr>
            <w:tcW w:w="1237" w:type="dxa"/>
            <w:shd w:val="clear" w:color="auto" w:fill="auto"/>
            <w:vAlign w:val="bottom"/>
          </w:tcPr>
          <w:p w14:paraId="5E2DA16B" w14:textId="77777777" w:rsidR="00F32C42" w:rsidRPr="0010725E" w:rsidRDefault="00F32C42" w:rsidP="00F32C42">
            <w:pPr>
              <w:jc w:val="center"/>
              <w:rPr>
                <w:szCs w:val="22"/>
              </w:rPr>
            </w:pPr>
            <w:r w:rsidRPr="0010725E">
              <w:rPr>
                <w:szCs w:val="22"/>
              </w:rPr>
              <w:t>-1.4</w:t>
            </w:r>
          </w:p>
        </w:tc>
      </w:tr>
      <w:tr w:rsidR="00F32C42" w:rsidRPr="0010725E" w14:paraId="5F1C7040" w14:textId="77777777" w:rsidTr="001D7C20">
        <w:trPr>
          <w:trHeight w:val="300"/>
          <w:jc w:val="center"/>
        </w:trPr>
        <w:tc>
          <w:tcPr>
            <w:tcW w:w="2424" w:type="dxa"/>
            <w:shd w:val="clear" w:color="auto" w:fill="auto"/>
            <w:vAlign w:val="bottom"/>
          </w:tcPr>
          <w:p w14:paraId="7E4A41A4" w14:textId="77777777" w:rsidR="00F32C42" w:rsidRPr="0010725E" w:rsidRDefault="00F32C42" w:rsidP="00F32C42">
            <w:pPr>
              <w:rPr>
                <w:szCs w:val="22"/>
              </w:rPr>
            </w:pPr>
            <w:r w:rsidRPr="0010725E">
              <w:rPr>
                <w:szCs w:val="22"/>
              </w:rPr>
              <w:t>Chile</w:t>
            </w:r>
          </w:p>
        </w:tc>
        <w:tc>
          <w:tcPr>
            <w:tcW w:w="1103" w:type="dxa"/>
            <w:shd w:val="clear" w:color="auto" w:fill="auto"/>
            <w:vAlign w:val="bottom"/>
          </w:tcPr>
          <w:p w14:paraId="01C52492" w14:textId="77777777" w:rsidR="00F32C42" w:rsidRPr="0010725E" w:rsidRDefault="00F32C42" w:rsidP="00F32C42">
            <w:pPr>
              <w:jc w:val="center"/>
              <w:rPr>
                <w:szCs w:val="22"/>
              </w:rPr>
            </w:pPr>
            <w:r w:rsidRPr="0010725E">
              <w:rPr>
                <w:szCs w:val="22"/>
              </w:rPr>
              <w:t>2,605</w:t>
            </w:r>
          </w:p>
        </w:tc>
        <w:tc>
          <w:tcPr>
            <w:tcW w:w="1426" w:type="dxa"/>
            <w:shd w:val="clear" w:color="auto" w:fill="auto"/>
            <w:vAlign w:val="bottom"/>
          </w:tcPr>
          <w:p w14:paraId="0318AF6A" w14:textId="77777777" w:rsidR="00F32C42" w:rsidRPr="0010725E" w:rsidRDefault="00F32C42" w:rsidP="00F32C42">
            <w:pPr>
              <w:jc w:val="center"/>
              <w:rPr>
                <w:szCs w:val="22"/>
              </w:rPr>
            </w:pPr>
            <w:r w:rsidRPr="0010725E">
              <w:rPr>
                <w:szCs w:val="22"/>
              </w:rPr>
              <w:t>4,449</w:t>
            </w:r>
          </w:p>
        </w:tc>
        <w:tc>
          <w:tcPr>
            <w:tcW w:w="1426" w:type="dxa"/>
            <w:shd w:val="clear" w:color="auto" w:fill="auto"/>
            <w:vAlign w:val="bottom"/>
          </w:tcPr>
          <w:p w14:paraId="650E15BA" w14:textId="77777777" w:rsidR="00F32C42" w:rsidRPr="0010725E" w:rsidRDefault="00F32C42" w:rsidP="00F32C42">
            <w:pPr>
              <w:jc w:val="center"/>
              <w:rPr>
                <w:szCs w:val="22"/>
              </w:rPr>
            </w:pPr>
            <w:r w:rsidRPr="0010725E">
              <w:rPr>
                <w:szCs w:val="22"/>
              </w:rPr>
              <w:t>5,432</w:t>
            </w:r>
          </w:p>
        </w:tc>
        <w:tc>
          <w:tcPr>
            <w:tcW w:w="1240" w:type="dxa"/>
            <w:shd w:val="clear" w:color="auto" w:fill="auto"/>
            <w:vAlign w:val="bottom"/>
          </w:tcPr>
          <w:p w14:paraId="68647574" w14:textId="77777777" w:rsidR="00F32C42" w:rsidRPr="0010725E" w:rsidRDefault="00F32C42" w:rsidP="00F32C42">
            <w:pPr>
              <w:jc w:val="center"/>
              <w:rPr>
                <w:szCs w:val="22"/>
              </w:rPr>
            </w:pPr>
            <w:r w:rsidRPr="0010725E">
              <w:rPr>
                <w:szCs w:val="22"/>
              </w:rPr>
              <w:t>7,596</w:t>
            </w:r>
          </w:p>
        </w:tc>
        <w:tc>
          <w:tcPr>
            <w:tcW w:w="1237" w:type="dxa"/>
            <w:shd w:val="clear" w:color="auto" w:fill="auto"/>
            <w:vAlign w:val="bottom"/>
          </w:tcPr>
          <w:p w14:paraId="70FAC31F" w14:textId="77777777" w:rsidR="00F32C42" w:rsidRPr="0010725E" w:rsidRDefault="00F32C42" w:rsidP="00F32C42">
            <w:pPr>
              <w:jc w:val="center"/>
              <w:rPr>
                <w:szCs w:val="22"/>
              </w:rPr>
            </w:pPr>
            <w:r w:rsidRPr="0010725E">
              <w:rPr>
                <w:szCs w:val="22"/>
              </w:rPr>
              <w:t>5.2</w:t>
            </w:r>
          </w:p>
        </w:tc>
      </w:tr>
      <w:tr w:rsidR="00F32C42" w:rsidRPr="0010725E" w14:paraId="7136E192" w14:textId="77777777" w:rsidTr="001D7C20">
        <w:trPr>
          <w:trHeight w:val="300"/>
          <w:jc w:val="center"/>
        </w:trPr>
        <w:tc>
          <w:tcPr>
            <w:tcW w:w="2424" w:type="dxa"/>
            <w:shd w:val="clear" w:color="auto" w:fill="auto"/>
            <w:vAlign w:val="bottom"/>
          </w:tcPr>
          <w:p w14:paraId="610B27FB" w14:textId="77777777" w:rsidR="00F32C42" w:rsidRPr="0010725E" w:rsidRDefault="00F32C42" w:rsidP="00F32C42">
            <w:pPr>
              <w:rPr>
                <w:szCs w:val="22"/>
              </w:rPr>
            </w:pPr>
            <w:r w:rsidRPr="0010725E">
              <w:rPr>
                <w:szCs w:val="22"/>
              </w:rPr>
              <w:t>Mexico</w:t>
            </w:r>
          </w:p>
        </w:tc>
        <w:tc>
          <w:tcPr>
            <w:tcW w:w="1103" w:type="dxa"/>
            <w:shd w:val="clear" w:color="auto" w:fill="auto"/>
            <w:vAlign w:val="bottom"/>
          </w:tcPr>
          <w:p w14:paraId="0409B522" w14:textId="77777777" w:rsidR="00F32C42" w:rsidRPr="0010725E" w:rsidRDefault="00F32C42" w:rsidP="00F32C42">
            <w:pPr>
              <w:jc w:val="center"/>
              <w:rPr>
                <w:szCs w:val="22"/>
              </w:rPr>
            </w:pPr>
            <w:r w:rsidRPr="0010725E">
              <w:rPr>
                <w:szCs w:val="22"/>
              </w:rPr>
              <w:t>7,123</w:t>
            </w:r>
          </w:p>
        </w:tc>
        <w:tc>
          <w:tcPr>
            <w:tcW w:w="1426" w:type="dxa"/>
            <w:shd w:val="clear" w:color="auto" w:fill="auto"/>
            <w:vAlign w:val="bottom"/>
          </w:tcPr>
          <w:p w14:paraId="037690E1" w14:textId="77777777" w:rsidR="00F32C42" w:rsidRPr="0010725E" w:rsidRDefault="00F32C42" w:rsidP="00F32C42">
            <w:pPr>
              <w:jc w:val="center"/>
              <w:rPr>
                <w:szCs w:val="22"/>
              </w:rPr>
            </w:pPr>
            <w:r w:rsidRPr="0010725E">
              <w:rPr>
                <w:szCs w:val="22"/>
              </w:rPr>
              <w:t>5,618</w:t>
            </w:r>
          </w:p>
        </w:tc>
        <w:tc>
          <w:tcPr>
            <w:tcW w:w="1426" w:type="dxa"/>
            <w:shd w:val="clear" w:color="auto" w:fill="auto"/>
            <w:vAlign w:val="bottom"/>
          </w:tcPr>
          <w:p w14:paraId="76A0ABB3" w14:textId="77777777" w:rsidR="00F32C42" w:rsidRPr="0010725E" w:rsidRDefault="00F32C42" w:rsidP="00F32C42">
            <w:pPr>
              <w:jc w:val="center"/>
              <w:rPr>
                <w:szCs w:val="22"/>
              </w:rPr>
            </w:pPr>
            <w:r w:rsidRPr="0010725E">
              <w:rPr>
                <w:szCs w:val="22"/>
              </w:rPr>
              <w:t>7,021</w:t>
            </w:r>
          </w:p>
        </w:tc>
        <w:tc>
          <w:tcPr>
            <w:tcW w:w="1240" w:type="dxa"/>
            <w:shd w:val="clear" w:color="auto" w:fill="auto"/>
            <w:vAlign w:val="bottom"/>
          </w:tcPr>
          <w:p w14:paraId="0CE7F96D" w14:textId="77777777" w:rsidR="00F32C42" w:rsidRPr="0010725E" w:rsidRDefault="00F32C42" w:rsidP="00F32C42">
            <w:pPr>
              <w:jc w:val="center"/>
              <w:rPr>
                <w:szCs w:val="22"/>
              </w:rPr>
            </w:pPr>
            <w:r w:rsidRPr="0010725E">
              <w:rPr>
                <w:szCs w:val="22"/>
              </w:rPr>
              <w:t>6,954</w:t>
            </w:r>
          </w:p>
        </w:tc>
        <w:tc>
          <w:tcPr>
            <w:tcW w:w="1237" w:type="dxa"/>
            <w:shd w:val="clear" w:color="auto" w:fill="auto"/>
            <w:vAlign w:val="bottom"/>
          </w:tcPr>
          <w:p w14:paraId="3A5886C4" w14:textId="77777777" w:rsidR="00F32C42" w:rsidRPr="0010725E" w:rsidRDefault="00F32C42" w:rsidP="00F32C42">
            <w:pPr>
              <w:jc w:val="center"/>
              <w:rPr>
                <w:szCs w:val="22"/>
              </w:rPr>
            </w:pPr>
            <w:r w:rsidRPr="0010725E">
              <w:rPr>
                <w:szCs w:val="22"/>
              </w:rPr>
              <w:t>-0.1</w:t>
            </w:r>
          </w:p>
        </w:tc>
      </w:tr>
      <w:tr w:rsidR="00F32C42" w:rsidRPr="0010725E" w14:paraId="2C71E3B8" w14:textId="77777777" w:rsidTr="001D7C20">
        <w:trPr>
          <w:trHeight w:val="300"/>
          <w:jc w:val="center"/>
        </w:trPr>
        <w:tc>
          <w:tcPr>
            <w:tcW w:w="2424" w:type="dxa"/>
            <w:shd w:val="clear" w:color="auto" w:fill="auto"/>
            <w:vAlign w:val="bottom"/>
          </w:tcPr>
          <w:p w14:paraId="61788C1B" w14:textId="77777777" w:rsidR="00F32C42" w:rsidRPr="0010725E" w:rsidRDefault="00F32C42" w:rsidP="00F32C42">
            <w:pPr>
              <w:rPr>
                <w:szCs w:val="22"/>
              </w:rPr>
            </w:pPr>
            <w:r w:rsidRPr="0010725E">
              <w:rPr>
                <w:szCs w:val="22"/>
              </w:rPr>
              <w:t>Argentina</w:t>
            </w:r>
          </w:p>
        </w:tc>
        <w:tc>
          <w:tcPr>
            <w:tcW w:w="1103" w:type="dxa"/>
            <w:shd w:val="clear" w:color="auto" w:fill="auto"/>
            <w:vAlign w:val="bottom"/>
          </w:tcPr>
          <w:p w14:paraId="68A3E191" w14:textId="77777777" w:rsidR="00F32C42" w:rsidRPr="0010725E" w:rsidRDefault="00F32C42" w:rsidP="00F32C42">
            <w:pPr>
              <w:jc w:val="center"/>
              <w:rPr>
                <w:szCs w:val="22"/>
              </w:rPr>
            </w:pPr>
            <w:r w:rsidRPr="0010725E">
              <w:rPr>
                <w:szCs w:val="22"/>
              </w:rPr>
              <w:t>1,607</w:t>
            </w:r>
          </w:p>
        </w:tc>
        <w:tc>
          <w:tcPr>
            <w:tcW w:w="1426" w:type="dxa"/>
            <w:shd w:val="clear" w:color="auto" w:fill="auto"/>
            <w:vAlign w:val="bottom"/>
          </w:tcPr>
          <w:p w14:paraId="721157E2" w14:textId="77777777" w:rsidR="00F32C42" w:rsidRPr="0010725E" w:rsidRDefault="00F32C42" w:rsidP="00F32C42">
            <w:pPr>
              <w:jc w:val="center"/>
              <w:rPr>
                <w:szCs w:val="22"/>
              </w:rPr>
            </w:pPr>
            <w:r w:rsidRPr="0010725E">
              <w:rPr>
                <w:szCs w:val="22"/>
              </w:rPr>
              <w:t>1,19</w:t>
            </w:r>
          </w:p>
        </w:tc>
        <w:tc>
          <w:tcPr>
            <w:tcW w:w="1426" w:type="dxa"/>
            <w:shd w:val="clear" w:color="auto" w:fill="auto"/>
            <w:vAlign w:val="bottom"/>
          </w:tcPr>
          <w:p w14:paraId="1E655BA2" w14:textId="77777777" w:rsidR="00F32C42" w:rsidRPr="0010725E" w:rsidRDefault="00F32C42" w:rsidP="00F32C42">
            <w:pPr>
              <w:jc w:val="center"/>
              <w:rPr>
                <w:szCs w:val="22"/>
              </w:rPr>
            </w:pPr>
            <w:r w:rsidRPr="0010725E">
              <w:rPr>
                <w:szCs w:val="22"/>
              </w:rPr>
              <w:t>1,477</w:t>
            </w:r>
          </w:p>
        </w:tc>
        <w:tc>
          <w:tcPr>
            <w:tcW w:w="1240" w:type="dxa"/>
            <w:shd w:val="clear" w:color="auto" w:fill="auto"/>
            <w:vAlign w:val="bottom"/>
          </w:tcPr>
          <w:p w14:paraId="31792A4C" w14:textId="77777777" w:rsidR="00F32C42" w:rsidRPr="0010725E" w:rsidRDefault="00F32C42" w:rsidP="00F32C42">
            <w:pPr>
              <w:jc w:val="center"/>
              <w:rPr>
                <w:szCs w:val="22"/>
              </w:rPr>
            </w:pPr>
            <w:r w:rsidRPr="0010725E">
              <w:rPr>
                <w:szCs w:val="22"/>
              </w:rPr>
              <w:t>2,055</w:t>
            </w:r>
          </w:p>
        </w:tc>
        <w:tc>
          <w:tcPr>
            <w:tcW w:w="1237" w:type="dxa"/>
            <w:shd w:val="clear" w:color="auto" w:fill="auto"/>
            <w:vAlign w:val="bottom"/>
          </w:tcPr>
          <w:p w14:paraId="1058744A" w14:textId="77777777" w:rsidR="00F32C42" w:rsidRPr="0010725E" w:rsidRDefault="00F32C42" w:rsidP="00F32C42">
            <w:pPr>
              <w:jc w:val="center"/>
              <w:rPr>
                <w:szCs w:val="22"/>
              </w:rPr>
            </w:pPr>
            <w:r w:rsidRPr="0010725E">
              <w:rPr>
                <w:szCs w:val="22"/>
              </w:rPr>
              <w:t>1.2</w:t>
            </w:r>
          </w:p>
        </w:tc>
      </w:tr>
      <w:tr w:rsidR="00F32C42" w:rsidRPr="0010725E" w14:paraId="6F2533DF" w14:textId="77777777" w:rsidTr="001D7C20">
        <w:trPr>
          <w:trHeight w:val="300"/>
          <w:jc w:val="center"/>
        </w:trPr>
        <w:tc>
          <w:tcPr>
            <w:tcW w:w="2424" w:type="dxa"/>
            <w:shd w:val="clear" w:color="auto" w:fill="auto"/>
            <w:vAlign w:val="bottom"/>
          </w:tcPr>
          <w:p w14:paraId="2839E376" w14:textId="77777777" w:rsidR="00F32C42" w:rsidRPr="0010725E" w:rsidRDefault="00F32C42" w:rsidP="00F32C42">
            <w:pPr>
              <w:rPr>
                <w:szCs w:val="22"/>
              </w:rPr>
            </w:pPr>
            <w:r w:rsidRPr="0010725E">
              <w:rPr>
                <w:szCs w:val="22"/>
              </w:rPr>
              <w:t>Colombia</w:t>
            </w:r>
          </w:p>
        </w:tc>
        <w:tc>
          <w:tcPr>
            <w:tcW w:w="1103" w:type="dxa"/>
            <w:shd w:val="clear" w:color="auto" w:fill="auto"/>
            <w:vAlign w:val="bottom"/>
          </w:tcPr>
          <w:p w14:paraId="4FD7E2A2" w14:textId="77777777" w:rsidR="00F32C42" w:rsidRPr="0010725E" w:rsidRDefault="00F32C42" w:rsidP="00F32C42">
            <w:pPr>
              <w:jc w:val="center"/>
              <w:rPr>
                <w:szCs w:val="22"/>
              </w:rPr>
            </w:pPr>
            <w:r w:rsidRPr="0010725E">
              <w:rPr>
                <w:szCs w:val="22"/>
              </w:rPr>
              <w:t>2,192</w:t>
            </w:r>
          </w:p>
        </w:tc>
        <w:tc>
          <w:tcPr>
            <w:tcW w:w="1426" w:type="dxa"/>
            <w:shd w:val="clear" w:color="auto" w:fill="auto"/>
            <w:vAlign w:val="bottom"/>
          </w:tcPr>
          <w:p w14:paraId="281E469B" w14:textId="77777777" w:rsidR="00F32C42" w:rsidRPr="0010725E" w:rsidRDefault="00F32C42" w:rsidP="00F32C42">
            <w:pPr>
              <w:jc w:val="center"/>
              <w:rPr>
                <w:szCs w:val="22"/>
              </w:rPr>
            </w:pPr>
            <w:r w:rsidRPr="0010725E">
              <w:rPr>
                <w:szCs w:val="22"/>
              </w:rPr>
              <w:t>1,906</w:t>
            </w:r>
          </w:p>
        </w:tc>
        <w:tc>
          <w:tcPr>
            <w:tcW w:w="1426" w:type="dxa"/>
            <w:shd w:val="clear" w:color="auto" w:fill="auto"/>
            <w:vAlign w:val="bottom"/>
          </w:tcPr>
          <w:p w14:paraId="2C877569" w14:textId="77777777" w:rsidR="00F32C42" w:rsidRPr="0010725E" w:rsidRDefault="00F32C42" w:rsidP="00F32C42">
            <w:pPr>
              <w:jc w:val="center"/>
              <w:rPr>
                <w:szCs w:val="22"/>
              </w:rPr>
            </w:pPr>
            <w:r w:rsidRPr="0010725E">
              <w:rPr>
                <w:szCs w:val="22"/>
              </w:rPr>
              <w:t>1,956</w:t>
            </w:r>
          </w:p>
        </w:tc>
        <w:tc>
          <w:tcPr>
            <w:tcW w:w="1240" w:type="dxa"/>
            <w:shd w:val="clear" w:color="auto" w:fill="auto"/>
            <w:vAlign w:val="bottom"/>
          </w:tcPr>
          <w:p w14:paraId="63B01376" w14:textId="77777777" w:rsidR="00F32C42" w:rsidRPr="0010725E" w:rsidRDefault="00F32C42" w:rsidP="00F32C42">
            <w:pPr>
              <w:jc w:val="center"/>
              <w:rPr>
                <w:szCs w:val="22"/>
              </w:rPr>
            </w:pPr>
            <w:r w:rsidRPr="0010725E">
              <w:rPr>
                <w:szCs w:val="22"/>
              </w:rPr>
              <w:t>1,826</w:t>
            </w:r>
          </w:p>
        </w:tc>
        <w:tc>
          <w:tcPr>
            <w:tcW w:w="1237" w:type="dxa"/>
            <w:shd w:val="clear" w:color="auto" w:fill="auto"/>
            <w:vAlign w:val="bottom"/>
          </w:tcPr>
          <w:p w14:paraId="74E7794B" w14:textId="77777777" w:rsidR="00F32C42" w:rsidRPr="0010725E" w:rsidRDefault="00F32C42" w:rsidP="00F32C42">
            <w:pPr>
              <w:jc w:val="center"/>
              <w:rPr>
                <w:szCs w:val="22"/>
              </w:rPr>
            </w:pPr>
            <w:r w:rsidRPr="0010725E">
              <w:rPr>
                <w:szCs w:val="22"/>
              </w:rPr>
              <w:t>-0.9</w:t>
            </w:r>
          </w:p>
        </w:tc>
      </w:tr>
      <w:tr w:rsidR="00F32C42" w:rsidRPr="0010725E" w14:paraId="220A7DB9" w14:textId="77777777" w:rsidTr="001D7C20">
        <w:trPr>
          <w:trHeight w:val="300"/>
          <w:jc w:val="center"/>
        </w:trPr>
        <w:tc>
          <w:tcPr>
            <w:tcW w:w="2424" w:type="dxa"/>
            <w:shd w:val="clear" w:color="auto" w:fill="auto"/>
            <w:vAlign w:val="bottom"/>
          </w:tcPr>
          <w:p w14:paraId="0143D525" w14:textId="77777777" w:rsidR="00F32C42" w:rsidRPr="0010725E" w:rsidRDefault="00F32C42" w:rsidP="00F32C42">
            <w:pPr>
              <w:rPr>
                <w:szCs w:val="22"/>
              </w:rPr>
            </w:pPr>
            <w:r w:rsidRPr="0010725E">
              <w:rPr>
                <w:szCs w:val="22"/>
              </w:rPr>
              <w:t>Ecuador</w:t>
            </w:r>
          </w:p>
        </w:tc>
        <w:tc>
          <w:tcPr>
            <w:tcW w:w="1103" w:type="dxa"/>
            <w:shd w:val="clear" w:color="auto" w:fill="auto"/>
            <w:vAlign w:val="bottom"/>
          </w:tcPr>
          <w:p w14:paraId="2254ABE8" w14:textId="77777777" w:rsidR="00F32C42" w:rsidRPr="0010725E" w:rsidRDefault="00F32C42" w:rsidP="00F32C42">
            <w:pPr>
              <w:jc w:val="center"/>
              <w:rPr>
                <w:szCs w:val="22"/>
              </w:rPr>
            </w:pPr>
            <w:r w:rsidRPr="0010725E">
              <w:rPr>
                <w:szCs w:val="22"/>
              </w:rPr>
              <w:t>1,803</w:t>
            </w:r>
          </w:p>
        </w:tc>
        <w:tc>
          <w:tcPr>
            <w:tcW w:w="1426" w:type="dxa"/>
            <w:shd w:val="clear" w:color="auto" w:fill="auto"/>
            <w:vAlign w:val="bottom"/>
          </w:tcPr>
          <w:p w14:paraId="2553B75B" w14:textId="77777777" w:rsidR="00F32C42" w:rsidRPr="0010725E" w:rsidRDefault="00F32C42" w:rsidP="00F32C42">
            <w:pPr>
              <w:jc w:val="center"/>
              <w:rPr>
                <w:szCs w:val="22"/>
              </w:rPr>
            </w:pPr>
            <w:r w:rsidRPr="0010725E">
              <w:rPr>
                <w:szCs w:val="22"/>
              </w:rPr>
              <w:t>2,421</w:t>
            </w:r>
          </w:p>
        </w:tc>
        <w:tc>
          <w:tcPr>
            <w:tcW w:w="1426" w:type="dxa"/>
            <w:shd w:val="clear" w:color="auto" w:fill="auto"/>
            <w:vAlign w:val="bottom"/>
          </w:tcPr>
          <w:p w14:paraId="17ADD565" w14:textId="77777777" w:rsidR="00F32C42" w:rsidRPr="0010725E" w:rsidRDefault="00F32C42" w:rsidP="00F32C42">
            <w:pPr>
              <w:jc w:val="center"/>
              <w:rPr>
                <w:szCs w:val="22"/>
              </w:rPr>
            </w:pPr>
            <w:r w:rsidRPr="0010725E">
              <w:rPr>
                <w:szCs w:val="22"/>
              </w:rPr>
              <w:t>1,946</w:t>
            </w:r>
          </w:p>
        </w:tc>
        <w:tc>
          <w:tcPr>
            <w:tcW w:w="1240" w:type="dxa"/>
            <w:shd w:val="clear" w:color="auto" w:fill="auto"/>
            <w:vAlign w:val="bottom"/>
          </w:tcPr>
          <w:p w14:paraId="02E04FC9" w14:textId="77777777" w:rsidR="00F32C42" w:rsidRPr="0010725E" w:rsidRDefault="00F32C42" w:rsidP="00F32C42">
            <w:pPr>
              <w:jc w:val="center"/>
              <w:rPr>
                <w:szCs w:val="22"/>
              </w:rPr>
            </w:pPr>
            <w:r w:rsidRPr="0010725E">
              <w:rPr>
                <w:szCs w:val="22"/>
              </w:rPr>
              <w:t>1,741</w:t>
            </w:r>
          </w:p>
        </w:tc>
        <w:tc>
          <w:tcPr>
            <w:tcW w:w="1237" w:type="dxa"/>
            <w:shd w:val="clear" w:color="auto" w:fill="auto"/>
            <w:vAlign w:val="bottom"/>
          </w:tcPr>
          <w:p w14:paraId="726183CE" w14:textId="77777777" w:rsidR="00F32C42" w:rsidRPr="0010725E" w:rsidRDefault="00F32C42" w:rsidP="00F32C42">
            <w:pPr>
              <w:jc w:val="center"/>
              <w:rPr>
                <w:szCs w:val="22"/>
              </w:rPr>
            </w:pPr>
            <w:r w:rsidRPr="0010725E">
              <w:rPr>
                <w:szCs w:val="22"/>
              </w:rPr>
              <w:t>-0.2</w:t>
            </w:r>
          </w:p>
        </w:tc>
      </w:tr>
      <w:tr w:rsidR="00F32C42" w:rsidRPr="0010725E" w14:paraId="1E813E7F" w14:textId="77777777" w:rsidTr="001D7C20">
        <w:trPr>
          <w:trHeight w:val="300"/>
          <w:jc w:val="center"/>
        </w:trPr>
        <w:tc>
          <w:tcPr>
            <w:tcW w:w="2424" w:type="dxa"/>
            <w:shd w:val="clear" w:color="auto" w:fill="auto"/>
            <w:vAlign w:val="bottom"/>
          </w:tcPr>
          <w:p w14:paraId="0785E92B" w14:textId="77777777" w:rsidR="00F32C42" w:rsidRPr="0010725E" w:rsidRDefault="00F32C42" w:rsidP="00F32C42">
            <w:pPr>
              <w:rPr>
                <w:szCs w:val="22"/>
              </w:rPr>
            </w:pPr>
            <w:r w:rsidRPr="0010725E">
              <w:rPr>
                <w:szCs w:val="22"/>
              </w:rPr>
              <w:t xml:space="preserve">Venezuela </w:t>
            </w:r>
          </w:p>
        </w:tc>
        <w:tc>
          <w:tcPr>
            <w:tcW w:w="1103" w:type="dxa"/>
            <w:shd w:val="clear" w:color="auto" w:fill="auto"/>
            <w:vAlign w:val="bottom"/>
          </w:tcPr>
          <w:p w14:paraId="374ECA9F" w14:textId="77777777" w:rsidR="00F32C42" w:rsidRPr="0010725E" w:rsidRDefault="00F32C42" w:rsidP="00F32C42">
            <w:pPr>
              <w:jc w:val="center"/>
              <w:rPr>
                <w:szCs w:val="22"/>
              </w:rPr>
            </w:pPr>
            <w:r w:rsidRPr="0010725E">
              <w:rPr>
                <w:szCs w:val="22"/>
              </w:rPr>
              <w:t>658</w:t>
            </w:r>
          </w:p>
        </w:tc>
        <w:tc>
          <w:tcPr>
            <w:tcW w:w="1426" w:type="dxa"/>
            <w:shd w:val="clear" w:color="auto" w:fill="auto"/>
            <w:vAlign w:val="bottom"/>
          </w:tcPr>
          <w:p w14:paraId="64C011D9" w14:textId="77777777" w:rsidR="00F32C42" w:rsidRPr="0010725E" w:rsidRDefault="00F32C42" w:rsidP="00F32C42">
            <w:pPr>
              <w:jc w:val="center"/>
              <w:rPr>
                <w:szCs w:val="22"/>
              </w:rPr>
            </w:pPr>
            <w:r w:rsidRPr="0010725E">
              <w:rPr>
                <w:szCs w:val="22"/>
              </w:rPr>
              <w:t>747</w:t>
            </w:r>
          </w:p>
        </w:tc>
        <w:tc>
          <w:tcPr>
            <w:tcW w:w="1426" w:type="dxa"/>
            <w:shd w:val="clear" w:color="auto" w:fill="auto"/>
            <w:vAlign w:val="bottom"/>
          </w:tcPr>
          <w:p w14:paraId="377994BD" w14:textId="77777777" w:rsidR="00F32C42" w:rsidRPr="0010725E" w:rsidRDefault="00F32C42" w:rsidP="00F32C42">
            <w:pPr>
              <w:jc w:val="center"/>
              <w:rPr>
                <w:szCs w:val="22"/>
              </w:rPr>
            </w:pPr>
            <w:r w:rsidRPr="0010725E">
              <w:rPr>
                <w:szCs w:val="22"/>
              </w:rPr>
              <w:t>675</w:t>
            </w:r>
          </w:p>
        </w:tc>
        <w:tc>
          <w:tcPr>
            <w:tcW w:w="1240" w:type="dxa"/>
            <w:shd w:val="clear" w:color="auto" w:fill="auto"/>
            <w:vAlign w:val="bottom"/>
          </w:tcPr>
          <w:p w14:paraId="4E4BE782" w14:textId="77777777" w:rsidR="00F32C42" w:rsidRPr="0010725E" w:rsidRDefault="00F32C42" w:rsidP="00F32C42">
            <w:pPr>
              <w:jc w:val="center"/>
              <w:rPr>
                <w:szCs w:val="22"/>
              </w:rPr>
            </w:pPr>
            <w:r w:rsidRPr="0010725E">
              <w:rPr>
                <w:szCs w:val="22"/>
              </w:rPr>
              <w:t>1,43</w:t>
            </w:r>
          </w:p>
        </w:tc>
        <w:tc>
          <w:tcPr>
            <w:tcW w:w="1237" w:type="dxa"/>
            <w:shd w:val="clear" w:color="auto" w:fill="auto"/>
            <w:vAlign w:val="bottom"/>
          </w:tcPr>
          <w:p w14:paraId="50FD3FB1" w14:textId="77777777" w:rsidR="00F32C42" w:rsidRPr="0010725E" w:rsidRDefault="00F32C42" w:rsidP="00F32C42">
            <w:pPr>
              <w:jc w:val="center"/>
              <w:rPr>
                <w:szCs w:val="22"/>
              </w:rPr>
            </w:pPr>
            <w:r w:rsidRPr="0010725E">
              <w:rPr>
                <w:szCs w:val="22"/>
              </w:rPr>
              <w:t>-25.3</w:t>
            </w:r>
          </w:p>
        </w:tc>
      </w:tr>
      <w:tr w:rsidR="00F32C42" w:rsidRPr="0010725E" w14:paraId="6676EA20" w14:textId="77777777" w:rsidTr="001D7C20">
        <w:trPr>
          <w:trHeight w:val="300"/>
          <w:jc w:val="center"/>
        </w:trPr>
        <w:tc>
          <w:tcPr>
            <w:tcW w:w="2424" w:type="dxa"/>
            <w:shd w:val="clear" w:color="auto" w:fill="auto"/>
            <w:vAlign w:val="bottom"/>
          </w:tcPr>
          <w:p w14:paraId="5F4755C4" w14:textId="77777777" w:rsidR="00F32C42" w:rsidRPr="0010725E" w:rsidRDefault="00F32C42" w:rsidP="00F32C42">
            <w:pPr>
              <w:rPr>
                <w:szCs w:val="22"/>
              </w:rPr>
            </w:pPr>
            <w:r w:rsidRPr="0010725E">
              <w:rPr>
                <w:szCs w:val="22"/>
              </w:rPr>
              <w:t>Peru</w:t>
            </w:r>
          </w:p>
        </w:tc>
        <w:tc>
          <w:tcPr>
            <w:tcW w:w="1103" w:type="dxa"/>
            <w:shd w:val="clear" w:color="auto" w:fill="auto"/>
            <w:vAlign w:val="bottom"/>
          </w:tcPr>
          <w:p w14:paraId="4EB232EB" w14:textId="77777777" w:rsidR="00F32C42" w:rsidRPr="0010725E" w:rsidRDefault="00F32C42" w:rsidP="00F32C42">
            <w:pPr>
              <w:jc w:val="center"/>
              <w:rPr>
                <w:szCs w:val="22"/>
              </w:rPr>
            </w:pPr>
            <w:r w:rsidRPr="0010725E">
              <w:rPr>
                <w:szCs w:val="22"/>
              </w:rPr>
              <w:t>542</w:t>
            </w:r>
          </w:p>
        </w:tc>
        <w:tc>
          <w:tcPr>
            <w:tcW w:w="1426" w:type="dxa"/>
            <w:shd w:val="clear" w:color="auto" w:fill="auto"/>
            <w:vAlign w:val="bottom"/>
          </w:tcPr>
          <w:p w14:paraId="25583EBC" w14:textId="77777777" w:rsidR="00F32C42" w:rsidRPr="0010725E" w:rsidRDefault="00F32C42" w:rsidP="00F32C42">
            <w:pPr>
              <w:jc w:val="center"/>
              <w:rPr>
                <w:szCs w:val="22"/>
              </w:rPr>
            </w:pPr>
            <w:r w:rsidRPr="0010725E">
              <w:rPr>
                <w:szCs w:val="22"/>
              </w:rPr>
              <w:t>702</w:t>
            </w:r>
          </w:p>
        </w:tc>
        <w:tc>
          <w:tcPr>
            <w:tcW w:w="1426" w:type="dxa"/>
            <w:shd w:val="clear" w:color="auto" w:fill="auto"/>
            <w:vAlign w:val="bottom"/>
          </w:tcPr>
          <w:p w14:paraId="456B7236" w14:textId="77777777" w:rsidR="00F32C42" w:rsidRPr="0010725E" w:rsidRDefault="00F32C42" w:rsidP="00F32C42">
            <w:pPr>
              <w:jc w:val="center"/>
              <w:rPr>
                <w:szCs w:val="22"/>
              </w:rPr>
            </w:pPr>
            <w:r w:rsidRPr="0010725E">
              <w:rPr>
                <w:szCs w:val="22"/>
              </w:rPr>
              <w:t>849</w:t>
            </w:r>
          </w:p>
        </w:tc>
        <w:tc>
          <w:tcPr>
            <w:tcW w:w="1240" w:type="dxa"/>
            <w:shd w:val="clear" w:color="auto" w:fill="auto"/>
            <w:vAlign w:val="bottom"/>
          </w:tcPr>
          <w:p w14:paraId="46095922" w14:textId="77777777" w:rsidR="00F32C42" w:rsidRPr="0010725E" w:rsidRDefault="00F32C42" w:rsidP="00F32C42">
            <w:pPr>
              <w:jc w:val="center"/>
              <w:rPr>
                <w:szCs w:val="22"/>
              </w:rPr>
            </w:pPr>
            <w:r w:rsidRPr="0010725E">
              <w:rPr>
                <w:szCs w:val="22"/>
              </w:rPr>
              <w:t>1,316</w:t>
            </w:r>
          </w:p>
        </w:tc>
        <w:tc>
          <w:tcPr>
            <w:tcW w:w="1237" w:type="dxa"/>
            <w:shd w:val="clear" w:color="auto" w:fill="auto"/>
            <w:vAlign w:val="bottom"/>
          </w:tcPr>
          <w:p w14:paraId="6FAD4D2F" w14:textId="77777777" w:rsidR="00F32C42" w:rsidRPr="0010725E" w:rsidRDefault="00F32C42" w:rsidP="00F32C42">
            <w:pPr>
              <w:jc w:val="center"/>
              <w:rPr>
                <w:szCs w:val="22"/>
              </w:rPr>
            </w:pPr>
            <w:r w:rsidRPr="0010725E">
              <w:rPr>
                <w:szCs w:val="22"/>
              </w:rPr>
              <w:t>-24.9</w:t>
            </w:r>
          </w:p>
        </w:tc>
      </w:tr>
      <w:tr w:rsidR="00F32C42" w:rsidRPr="0010725E" w14:paraId="656FB785" w14:textId="77777777" w:rsidTr="001D7C20">
        <w:trPr>
          <w:trHeight w:val="300"/>
          <w:jc w:val="center"/>
        </w:trPr>
        <w:tc>
          <w:tcPr>
            <w:tcW w:w="8856" w:type="dxa"/>
            <w:gridSpan w:val="6"/>
            <w:shd w:val="clear" w:color="auto" w:fill="auto"/>
            <w:vAlign w:val="bottom"/>
          </w:tcPr>
          <w:p w14:paraId="7B00B6BF" w14:textId="77777777" w:rsidR="00F32C42" w:rsidRPr="0010725E" w:rsidRDefault="00F32C42" w:rsidP="00F32C42">
            <w:pPr>
              <w:shd w:val="clear" w:color="auto" w:fill="FFFFFF"/>
              <w:rPr>
                <w:b/>
                <w:szCs w:val="22"/>
              </w:rPr>
            </w:pPr>
            <w:r w:rsidRPr="0010725E">
              <w:rPr>
                <w:b/>
                <w:szCs w:val="22"/>
              </w:rPr>
              <w:t>AAGR: Average Annual Growth Rate. Source: Forest Resources Assessment (2015).</w:t>
            </w:r>
          </w:p>
        </w:tc>
      </w:tr>
    </w:tbl>
    <w:p w14:paraId="4FCABB07" w14:textId="2A87224E" w:rsidR="001D7C20" w:rsidRPr="008608AA" w:rsidRDefault="00A00405" w:rsidP="001D7C20">
      <w:pPr>
        <w:spacing w:before="240"/>
      </w:pPr>
      <w:r w:rsidRPr="008608AA">
        <w:t>Timber extraction, as with many other production activities, is driven by various underlying factors interacting synergistically in space and time (Geist et al., 2006). For instance, cultural factors drive preferences for wood products; in many cases they covary with human population growth, technological factors, and industrial growth. These drivers tend to be regional to global in scope, act in complex ways and are usually mediated by institutional factors (Bryan, 2013; Lambin et al., 2001). Cultural preferences for sustainably harvested wood have continued to drive market-based certification schemes in the forestry sector (MacDicken et al., 2015). Regionally, since 2000, North American timber operations top other Americas subregions in the total area under international forest certification schemes, as in the case of the Forest Stewardship Council certification (Figure 2.11).</w:t>
      </w:r>
    </w:p>
    <w:p w14:paraId="2F75D8AE" w14:textId="12654FD8" w:rsidR="001D7C20" w:rsidRPr="008608AA" w:rsidRDefault="007F26AC" w:rsidP="001D7C20">
      <w:pPr>
        <w:spacing w:before="240"/>
        <w:jc w:val="center"/>
      </w:pPr>
      <w:r w:rsidRPr="008608AA">
        <w:rPr>
          <w:noProof/>
          <w:lang w:val="en-GB" w:eastAsia="en-GB"/>
        </w:rPr>
        <w:drawing>
          <wp:inline distT="0" distB="0" distL="0" distR="0" wp14:anchorId="1A3D1CD2" wp14:editId="5C80A0B8">
            <wp:extent cx="5934075" cy="3752850"/>
            <wp:effectExtent l="0" t="0" r="9525" b="0"/>
            <wp:docPr id="29" name="Imagen 29" descr="C:\Users\Alejandro Valderrama\Downloads\Fig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1" descr="C:\Users\Alejandro Valderrama\Downloads\Fig2.11.jpg"/>
                    <pic:cNvPicPr>
                      <a:picLocks noChangeAspect="1" noChangeArrowheads="1"/>
                    </pic:cNvPicPr>
                  </pic:nvPicPr>
                  <pic:blipFill rotWithShape="1">
                    <a:blip r:embed="rId65">
                      <a:extLst>
                        <a:ext uri="{28A0092B-C50C-407E-A947-70E740481C1C}">
                          <a14:useLocalDpi xmlns:a14="http://schemas.microsoft.com/office/drawing/2010/main" val="0"/>
                        </a:ext>
                      </a:extLst>
                    </a:blip>
                    <a:srcRect b="56125"/>
                    <a:stretch/>
                  </pic:blipFill>
                  <pic:spPr bwMode="auto">
                    <a:xfrm>
                      <a:off x="0" y="0"/>
                      <a:ext cx="5934075" cy="3752850"/>
                    </a:xfrm>
                    <a:prstGeom prst="rect">
                      <a:avLst/>
                    </a:prstGeom>
                    <a:noFill/>
                    <a:ln>
                      <a:noFill/>
                    </a:ln>
                    <a:extLst>
                      <a:ext uri="{53640926-AAD7-44D8-BBD7-CCE9431645EC}">
                        <a14:shadowObscured xmlns:a14="http://schemas.microsoft.com/office/drawing/2010/main"/>
                      </a:ext>
                    </a:extLst>
                  </pic:spPr>
                </pic:pic>
              </a:graphicData>
            </a:graphic>
          </wp:inline>
        </w:drawing>
      </w:r>
    </w:p>
    <w:p w14:paraId="4907E8A7" w14:textId="6AC2A1A6" w:rsidR="00F32C42" w:rsidRPr="008608AA" w:rsidRDefault="00A00405" w:rsidP="001D7C20">
      <w:pPr>
        <w:spacing w:before="240"/>
      </w:pPr>
      <w:r w:rsidRPr="008608AA">
        <w:t>Meanwhile, technological advancements continue to play an increasingly important role in driving production of forest products. Remote sensing technologies, for instance, facilitate and inform forest product operations, policies and decision-making (Romijn et al., 2015). Also, the increasingly widespread use of electronic media and mobile technologies has substantially reduced demand for paper products in many parts of the world, as have improvements in the production and commercialization of wood substitutes (FAO, 2016a). Income growth continues to dictate both demand and production of wood products. The largest economies in the world, particularly the USA, China, Germany and the United Kingdom, lead as major consumers of many forest products, including industrial roundwood, wood pellets, sawnwood, and paper and paperboard (FAO, 2016a), showing a strong link between demand and economic might.  Emerging markets and production sites in China and India have been pivotal in driving timber demand and production in the Americas and elsewhere the last few decades, owing to their robust manufacturing sectors as well as the expansion of their economic middle class. Policy and institutional factors also have determined wood product demand. International agreements and policies in Europe, for instance, have spiked demand for wood biofuels, as have forest policy incentives for some products in certain locales (</w:t>
      </w:r>
      <w:r w:rsidR="00847F60" w:rsidRPr="008608AA">
        <w:t>e.g.</w:t>
      </w:r>
      <w:r w:rsidRPr="008608AA">
        <w:t xml:space="preserve"> Farley &amp; Costanza, 2010; Lawler et al., 2014). Forest management institutions and local governance systems are key mediators between demand forces and production trajectories in the forestry sector (FAO, 2016b). </w:t>
      </w:r>
    </w:p>
    <w:p w14:paraId="44877BD4" w14:textId="4F753339" w:rsidR="00A00405" w:rsidRPr="008608AA" w:rsidRDefault="00A00405" w:rsidP="001D7C20">
      <w:pPr>
        <w:spacing w:before="240"/>
      </w:pPr>
      <w:r w:rsidRPr="008608AA">
        <w:t xml:space="preserve">Forest and timber extraction activities contribute to biodiversity loss through fragmentation, habitat destruction and single-species plantation systems (Lawler et al., 2014) (see also Chapter 4). Some NCP are negatively affected through soil degradation, reduced water regulation and quality, as well as impeded carbon storage capacities. Further, timber activities may lead to losses of cultural traditions and diversity, and reduced access to key ecosystem services for traditional forest-dependent communities. However, positive ecological effects may ensue through restoration practices such as reforestation or afforestation activities in previously degraded/cleared lands (FAO, 2016b). Some positive social impacts include employment opportunities and subsistence means for rural populations, overall economic growth, provision of energy supplies, and building materials (FAO, 2016b; Whiteman et al.,  2015).  </w:t>
      </w:r>
    </w:p>
    <w:p w14:paraId="1D3BCA7B" w14:textId="77777777" w:rsidR="001D7C20" w:rsidRPr="008608AA" w:rsidRDefault="001D7C20" w:rsidP="001D7C20">
      <w:pPr>
        <w:spacing w:before="240"/>
      </w:pPr>
    </w:p>
    <w:p w14:paraId="1CA65DBE" w14:textId="19D38762" w:rsidR="00A00405" w:rsidRPr="008608AA" w:rsidRDefault="00B700CF" w:rsidP="00A00405">
      <w:pPr>
        <w:pStyle w:val="Heading4"/>
        <w:ind w:left="0" w:firstLine="0"/>
      </w:pPr>
      <w:bookmarkStart w:id="649" w:name="_Toc517393251"/>
      <w:bookmarkStart w:id="650" w:name="_Toc517718992"/>
      <w:bookmarkStart w:id="651" w:name="_Toc517796949"/>
      <w:r w:rsidRPr="008608AA">
        <w:t>Fibre</w:t>
      </w:r>
      <w:bookmarkEnd w:id="649"/>
      <w:bookmarkEnd w:id="650"/>
      <w:bookmarkEnd w:id="651"/>
    </w:p>
    <w:p w14:paraId="356700D0" w14:textId="792315D1" w:rsidR="00A00405" w:rsidRPr="008608AA" w:rsidRDefault="00A00405" w:rsidP="001D7C20">
      <w:pPr>
        <w:spacing w:after="120"/>
      </w:pPr>
      <w:r w:rsidRPr="008608AA">
        <w:t>Fib</w:t>
      </w:r>
      <w:r w:rsidR="00B700CF" w:rsidRPr="008608AA">
        <w:t>re</w:t>
      </w:r>
      <w:r w:rsidRPr="008608AA">
        <w:t>s have been used by humans since early times, and are key components of well-being through provision of shelter, clothing, and other benefits. They are used to fabricate products such as building materials, paper, cordage, textiles, baskets, brooms, and rugs. Aside from plants, fibers are also obtained from animal and mineral sources. Fi</w:t>
      </w:r>
      <w:r w:rsidR="00B700CF" w:rsidRPr="008608AA">
        <w:t>b</w:t>
      </w:r>
      <w:r w:rsidRPr="008608AA">
        <w:t>r</w:t>
      </w:r>
      <w:r w:rsidR="00B700CF" w:rsidRPr="008608AA">
        <w:t>e</w:t>
      </w:r>
      <w:r w:rsidRPr="008608AA">
        <w:t>s have been widely used in the Americas for millennia. Cotton, flax, hemp, jute and sisal are the most c</w:t>
      </w:r>
      <w:r w:rsidR="00B700CF" w:rsidRPr="008608AA">
        <w:t>ommonly produced vegetable fibre</w:t>
      </w:r>
      <w:r w:rsidRPr="008608AA">
        <w:t>s in this region (Table 2.5). North America stands out as the highest producer of cotton, while production in South America is increasing (Figure 2.12).</w:t>
      </w:r>
    </w:p>
    <w:p w14:paraId="4B970DA5" w14:textId="5F29255F" w:rsidR="00A00405"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5</w:t>
      </w:r>
      <w:r w:rsidR="000E562E">
        <w:rPr>
          <w:noProof/>
        </w:rPr>
        <w:fldChar w:fldCharType="end"/>
      </w:r>
      <w:r w:rsidR="001D7C20" w:rsidRPr="008608AA">
        <w:t>. Important plant fibers in the Americas and their uses.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850"/>
        <w:gridCol w:w="1501"/>
        <w:gridCol w:w="1448"/>
        <w:gridCol w:w="2582"/>
        <w:gridCol w:w="1543"/>
        <w:gridCol w:w="1563"/>
      </w:tblGrid>
      <w:tr w:rsidR="00A00405" w:rsidRPr="0010725E" w14:paraId="6DD2BB6E" w14:textId="77777777" w:rsidTr="001D7C20">
        <w:trPr>
          <w:trHeight w:val="300"/>
        </w:trPr>
        <w:tc>
          <w:tcPr>
            <w:tcW w:w="448" w:type="pct"/>
            <w:shd w:val="clear" w:color="auto" w:fill="BFBFBF" w:themeFill="background1" w:themeFillShade="BF"/>
            <w:vAlign w:val="center"/>
          </w:tcPr>
          <w:p w14:paraId="7F0844FD" w14:textId="77777777" w:rsidR="00A00405" w:rsidRPr="0010725E" w:rsidRDefault="00A00405" w:rsidP="001D7C20">
            <w:pPr>
              <w:jc w:val="center"/>
              <w:rPr>
                <w:b/>
                <w:szCs w:val="22"/>
              </w:rPr>
            </w:pPr>
            <w:r w:rsidRPr="0010725E">
              <w:rPr>
                <w:b/>
                <w:szCs w:val="22"/>
              </w:rPr>
              <w:t>Plant</w:t>
            </w:r>
          </w:p>
        </w:tc>
        <w:tc>
          <w:tcPr>
            <w:tcW w:w="791" w:type="pct"/>
            <w:shd w:val="clear" w:color="auto" w:fill="BFBFBF" w:themeFill="background1" w:themeFillShade="BF"/>
            <w:vAlign w:val="center"/>
          </w:tcPr>
          <w:p w14:paraId="7B4B933F" w14:textId="4774DA64" w:rsidR="00A00405" w:rsidRPr="0010725E" w:rsidRDefault="00A00405" w:rsidP="001D7C20">
            <w:pPr>
              <w:tabs>
                <w:tab w:val="center" w:pos="2012"/>
              </w:tabs>
              <w:jc w:val="center"/>
              <w:rPr>
                <w:b/>
                <w:szCs w:val="22"/>
              </w:rPr>
            </w:pPr>
            <w:r w:rsidRPr="0010725E">
              <w:rPr>
                <w:b/>
                <w:szCs w:val="22"/>
              </w:rPr>
              <w:t>Scientific name</w:t>
            </w:r>
          </w:p>
        </w:tc>
        <w:tc>
          <w:tcPr>
            <w:tcW w:w="763" w:type="pct"/>
            <w:shd w:val="clear" w:color="auto" w:fill="BFBFBF" w:themeFill="background1" w:themeFillShade="BF"/>
            <w:vAlign w:val="center"/>
          </w:tcPr>
          <w:p w14:paraId="1D5CC31D" w14:textId="77777777" w:rsidR="00A00405" w:rsidRPr="0010725E" w:rsidRDefault="00A00405" w:rsidP="001D7C20">
            <w:pPr>
              <w:jc w:val="center"/>
              <w:rPr>
                <w:b/>
                <w:szCs w:val="22"/>
              </w:rPr>
            </w:pPr>
            <w:r w:rsidRPr="0010725E">
              <w:rPr>
                <w:b/>
                <w:szCs w:val="22"/>
              </w:rPr>
              <w:t>Family</w:t>
            </w:r>
          </w:p>
        </w:tc>
        <w:tc>
          <w:tcPr>
            <w:tcW w:w="1361" w:type="pct"/>
            <w:shd w:val="clear" w:color="auto" w:fill="BFBFBF" w:themeFill="background1" w:themeFillShade="BF"/>
            <w:vAlign w:val="center"/>
          </w:tcPr>
          <w:p w14:paraId="0AB5E051" w14:textId="77777777" w:rsidR="00A00405" w:rsidRPr="0010725E" w:rsidRDefault="00A00405" w:rsidP="001D7C20">
            <w:pPr>
              <w:jc w:val="center"/>
              <w:rPr>
                <w:b/>
                <w:szCs w:val="22"/>
              </w:rPr>
            </w:pPr>
            <w:r w:rsidRPr="0010725E">
              <w:rPr>
                <w:b/>
                <w:szCs w:val="22"/>
              </w:rPr>
              <w:t>Description</w:t>
            </w:r>
          </w:p>
        </w:tc>
        <w:tc>
          <w:tcPr>
            <w:tcW w:w="813" w:type="pct"/>
            <w:shd w:val="clear" w:color="auto" w:fill="BFBFBF" w:themeFill="background1" w:themeFillShade="BF"/>
            <w:vAlign w:val="center"/>
          </w:tcPr>
          <w:p w14:paraId="7E6B406A" w14:textId="77777777" w:rsidR="00A00405" w:rsidRPr="0010725E" w:rsidRDefault="00A00405" w:rsidP="001D7C20">
            <w:pPr>
              <w:jc w:val="center"/>
              <w:rPr>
                <w:b/>
                <w:szCs w:val="22"/>
              </w:rPr>
            </w:pPr>
            <w:r w:rsidRPr="0010725E">
              <w:rPr>
                <w:b/>
                <w:szCs w:val="22"/>
              </w:rPr>
              <w:t>Diameter</w:t>
            </w:r>
          </w:p>
        </w:tc>
        <w:tc>
          <w:tcPr>
            <w:tcW w:w="824" w:type="pct"/>
            <w:shd w:val="clear" w:color="auto" w:fill="BFBFBF" w:themeFill="background1" w:themeFillShade="BF"/>
            <w:vAlign w:val="center"/>
          </w:tcPr>
          <w:p w14:paraId="73931D2A" w14:textId="77777777" w:rsidR="00A00405" w:rsidRPr="0010725E" w:rsidRDefault="00A00405" w:rsidP="001D7C20">
            <w:pPr>
              <w:jc w:val="center"/>
              <w:rPr>
                <w:b/>
                <w:szCs w:val="22"/>
              </w:rPr>
            </w:pPr>
            <w:r w:rsidRPr="0010725E">
              <w:rPr>
                <w:b/>
                <w:szCs w:val="22"/>
              </w:rPr>
              <w:t>Use</w:t>
            </w:r>
          </w:p>
        </w:tc>
      </w:tr>
      <w:tr w:rsidR="00A00405" w:rsidRPr="0010725E" w14:paraId="5019D5B8" w14:textId="77777777" w:rsidTr="001D7C20">
        <w:trPr>
          <w:trHeight w:val="816"/>
        </w:trPr>
        <w:tc>
          <w:tcPr>
            <w:tcW w:w="448" w:type="pct"/>
          </w:tcPr>
          <w:p w14:paraId="486D6FCF" w14:textId="77777777" w:rsidR="00A00405" w:rsidRPr="0010725E" w:rsidRDefault="00A00405" w:rsidP="00A00405">
            <w:pPr>
              <w:rPr>
                <w:szCs w:val="22"/>
              </w:rPr>
            </w:pPr>
            <w:r w:rsidRPr="0010725E">
              <w:rPr>
                <w:szCs w:val="22"/>
              </w:rPr>
              <w:t>Cotton</w:t>
            </w:r>
          </w:p>
        </w:tc>
        <w:tc>
          <w:tcPr>
            <w:tcW w:w="791" w:type="pct"/>
          </w:tcPr>
          <w:p w14:paraId="296733FD" w14:textId="77777777" w:rsidR="00A00405" w:rsidRPr="0010725E" w:rsidRDefault="00A00405" w:rsidP="00A00405">
            <w:pPr>
              <w:rPr>
                <w:i/>
                <w:szCs w:val="22"/>
              </w:rPr>
            </w:pPr>
            <w:r w:rsidRPr="0010725E">
              <w:rPr>
                <w:i/>
                <w:szCs w:val="22"/>
              </w:rPr>
              <w:t>Gossypium hirsutum; Gossypium barbadense</w:t>
            </w:r>
          </w:p>
        </w:tc>
        <w:tc>
          <w:tcPr>
            <w:tcW w:w="763" w:type="pct"/>
          </w:tcPr>
          <w:p w14:paraId="774237F0" w14:textId="77777777" w:rsidR="00A00405" w:rsidRPr="0010725E" w:rsidRDefault="00A00405" w:rsidP="00A00405">
            <w:pPr>
              <w:rPr>
                <w:szCs w:val="22"/>
              </w:rPr>
            </w:pPr>
            <w:r w:rsidRPr="0010725E">
              <w:rPr>
                <w:szCs w:val="22"/>
              </w:rPr>
              <w:t>Malvaceae</w:t>
            </w:r>
          </w:p>
        </w:tc>
        <w:tc>
          <w:tcPr>
            <w:tcW w:w="1361" w:type="pct"/>
          </w:tcPr>
          <w:p w14:paraId="4268F9E2" w14:textId="11E0E417" w:rsidR="00A00405" w:rsidRPr="0010725E" w:rsidRDefault="00A00405" w:rsidP="00A00405">
            <w:pPr>
              <w:rPr>
                <w:szCs w:val="22"/>
              </w:rPr>
            </w:pPr>
            <w:r w:rsidRPr="0010725E">
              <w:rPr>
                <w:szCs w:val="22"/>
              </w:rPr>
              <w:t>The world's most popular natural fibre, cotton is almost pure cellulose, absorbs moisture easily.</w:t>
            </w:r>
          </w:p>
        </w:tc>
        <w:tc>
          <w:tcPr>
            <w:tcW w:w="813" w:type="pct"/>
          </w:tcPr>
          <w:p w14:paraId="50472B24" w14:textId="1D5771CB" w:rsidR="00A00405" w:rsidRPr="0010725E" w:rsidRDefault="00A00405" w:rsidP="00A00405">
            <w:pPr>
              <w:rPr>
                <w:szCs w:val="22"/>
              </w:rPr>
            </w:pPr>
            <w:r w:rsidRPr="0010725E">
              <w:rPr>
                <w:szCs w:val="22"/>
              </w:rPr>
              <w:t>Fibre length varies from 10 to 65 mm, and diameter from 11 to 22 microns</w:t>
            </w:r>
          </w:p>
        </w:tc>
        <w:tc>
          <w:tcPr>
            <w:tcW w:w="824" w:type="pct"/>
          </w:tcPr>
          <w:p w14:paraId="554EEE53" w14:textId="77777777" w:rsidR="00A00405" w:rsidRPr="0010725E" w:rsidRDefault="00A00405" w:rsidP="00A00405">
            <w:pPr>
              <w:rPr>
                <w:szCs w:val="22"/>
              </w:rPr>
            </w:pPr>
            <w:r w:rsidRPr="0010725E">
              <w:rPr>
                <w:szCs w:val="22"/>
              </w:rPr>
              <w:t>Cotton cloth</w:t>
            </w:r>
          </w:p>
        </w:tc>
      </w:tr>
      <w:tr w:rsidR="00A00405" w:rsidRPr="0010725E" w14:paraId="130E3305" w14:textId="77777777" w:rsidTr="001D7C20">
        <w:trPr>
          <w:trHeight w:val="985"/>
        </w:trPr>
        <w:tc>
          <w:tcPr>
            <w:tcW w:w="448" w:type="pct"/>
          </w:tcPr>
          <w:p w14:paraId="0A28DF72" w14:textId="77777777" w:rsidR="00A00405" w:rsidRPr="0010725E" w:rsidRDefault="00A00405" w:rsidP="00A00405">
            <w:pPr>
              <w:rPr>
                <w:szCs w:val="22"/>
              </w:rPr>
            </w:pPr>
            <w:r w:rsidRPr="0010725E">
              <w:rPr>
                <w:szCs w:val="22"/>
              </w:rPr>
              <w:t>Flax</w:t>
            </w:r>
          </w:p>
        </w:tc>
        <w:tc>
          <w:tcPr>
            <w:tcW w:w="791" w:type="pct"/>
          </w:tcPr>
          <w:p w14:paraId="5D10C598" w14:textId="77777777" w:rsidR="00A00405" w:rsidRPr="0010725E" w:rsidRDefault="00A00405" w:rsidP="00A00405">
            <w:pPr>
              <w:rPr>
                <w:i/>
                <w:szCs w:val="22"/>
              </w:rPr>
            </w:pPr>
            <w:r w:rsidRPr="0010725E">
              <w:rPr>
                <w:i/>
                <w:szCs w:val="22"/>
              </w:rPr>
              <w:t>Linum usitatissimum</w:t>
            </w:r>
          </w:p>
        </w:tc>
        <w:tc>
          <w:tcPr>
            <w:tcW w:w="763" w:type="pct"/>
          </w:tcPr>
          <w:p w14:paraId="6779465C" w14:textId="77777777" w:rsidR="00A00405" w:rsidRPr="0010725E" w:rsidRDefault="00A00405" w:rsidP="00A00405">
            <w:pPr>
              <w:rPr>
                <w:szCs w:val="22"/>
              </w:rPr>
            </w:pPr>
            <w:r w:rsidRPr="0010725E">
              <w:rPr>
                <w:szCs w:val="22"/>
              </w:rPr>
              <w:t>Linaceae</w:t>
            </w:r>
          </w:p>
        </w:tc>
        <w:tc>
          <w:tcPr>
            <w:tcW w:w="1361" w:type="pct"/>
          </w:tcPr>
          <w:p w14:paraId="328D3813" w14:textId="5BF7D6A2" w:rsidR="00A00405" w:rsidRPr="0010725E" w:rsidRDefault="00A00405" w:rsidP="00A00405">
            <w:pPr>
              <w:rPr>
                <w:szCs w:val="22"/>
              </w:rPr>
            </w:pPr>
            <w:r w:rsidRPr="0010725E">
              <w:rPr>
                <w:szCs w:val="22"/>
              </w:rPr>
              <w:t xml:space="preserve">The fibre is a cellulose polymer, its structure is stronger and stiffer and absorb and release water quickly. </w:t>
            </w:r>
          </w:p>
        </w:tc>
        <w:tc>
          <w:tcPr>
            <w:tcW w:w="813" w:type="pct"/>
          </w:tcPr>
          <w:p w14:paraId="6EAD0605" w14:textId="73CAB449" w:rsidR="00A00405" w:rsidRPr="0010725E" w:rsidRDefault="00A00405" w:rsidP="00A00405">
            <w:pPr>
              <w:rPr>
                <w:szCs w:val="22"/>
              </w:rPr>
            </w:pPr>
            <w:r w:rsidRPr="0010725E">
              <w:rPr>
                <w:szCs w:val="22"/>
              </w:rPr>
              <w:t>Flax fibres range in length up to 90 cm, and average 12 to 16 microns in diameter</w:t>
            </w:r>
          </w:p>
        </w:tc>
        <w:tc>
          <w:tcPr>
            <w:tcW w:w="824" w:type="pct"/>
          </w:tcPr>
          <w:p w14:paraId="7ECCD4D7" w14:textId="77777777" w:rsidR="00A00405" w:rsidRPr="0010725E" w:rsidRDefault="00A00405" w:rsidP="00A00405">
            <w:pPr>
              <w:rPr>
                <w:szCs w:val="22"/>
              </w:rPr>
            </w:pPr>
            <w:r w:rsidRPr="0010725E">
              <w:rPr>
                <w:szCs w:val="22"/>
              </w:rPr>
              <w:t>Linen</w:t>
            </w:r>
          </w:p>
        </w:tc>
      </w:tr>
      <w:tr w:rsidR="00A00405" w:rsidRPr="0010725E" w14:paraId="4000CEDB" w14:textId="77777777" w:rsidTr="001D7C20">
        <w:trPr>
          <w:trHeight w:val="971"/>
        </w:trPr>
        <w:tc>
          <w:tcPr>
            <w:tcW w:w="448" w:type="pct"/>
          </w:tcPr>
          <w:p w14:paraId="22C8047C" w14:textId="77777777" w:rsidR="00A00405" w:rsidRPr="0010725E" w:rsidRDefault="00A00405" w:rsidP="00A00405">
            <w:pPr>
              <w:rPr>
                <w:szCs w:val="22"/>
              </w:rPr>
            </w:pPr>
            <w:r w:rsidRPr="0010725E">
              <w:rPr>
                <w:szCs w:val="22"/>
              </w:rPr>
              <w:t>Hemp</w:t>
            </w:r>
          </w:p>
        </w:tc>
        <w:tc>
          <w:tcPr>
            <w:tcW w:w="791" w:type="pct"/>
          </w:tcPr>
          <w:p w14:paraId="6E60CF54" w14:textId="77777777" w:rsidR="00A00405" w:rsidRPr="0010725E" w:rsidRDefault="00A00405" w:rsidP="00A00405">
            <w:pPr>
              <w:rPr>
                <w:i/>
                <w:szCs w:val="22"/>
              </w:rPr>
            </w:pPr>
            <w:r w:rsidRPr="0010725E">
              <w:rPr>
                <w:i/>
                <w:szCs w:val="22"/>
              </w:rPr>
              <w:t>Cannabis sativa</w:t>
            </w:r>
          </w:p>
        </w:tc>
        <w:tc>
          <w:tcPr>
            <w:tcW w:w="763" w:type="pct"/>
          </w:tcPr>
          <w:p w14:paraId="12FEB1E5" w14:textId="77777777" w:rsidR="00A00405" w:rsidRPr="0010725E" w:rsidRDefault="00A00405" w:rsidP="00A00405">
            <w:pPr>
              <w:rPr>
                <w:szCs w:val="22"/>
              </w:rPr>
            </w:pPr>
            <w:r w:rsidRPr="0010725E">
              <w:rPr>
                <w:szCs w:val="22"/>
              </w:rPr>
              <w:t>Cannabaceae</w:t>
            </w:r>
          </w:p>
        </w:tc>
        <w:tc>
          <w:tcPr>
            <w:tcW w:w="1361" w:type="pct"/>
          </w:tcPr>
          <w:p w14:paraId="4FFB52B7" w14:textId="77777777" w:rsidR="00A00405" w:rsidRPr="0010725E" w:rsidRDefault="00A00405" w:rsidP="00A00405">
            <w:pPr>
              <w:rPr>
                <w:szCs w:val="22"/>
              </w:rPr>
            </w:pPr>
            <w:r w:rsidRPr="0010725E">
              <w:rPr>
                <w:szCs w:val="22"/>
              </w:rPr>
              <w:t>Around 70% cellulose, containing low levels of lignin (8-10%).  Is a heat conductor, resist mildew and has natural anti-bacterial properties.</w:t>
            </w:r>
          </w:p>
        </w:tc>
        <w:tc>
          <w:tcPr>
            <w:tcW w:w="813" w:type="pct"/>
          </w:tcPr>
          <w:p w14:paraId="77A11CFB" w14:textId="68A7E955" w:rsidR="00A00405" w:rsidRPr="0010725E" w:rsidRDefault="00A00405" w:rsidP="00A00405">
            <w:pPr>
              <w:rPr>
                <w:szCs w:val="22"/>
              </w:rPr>
            </w:pPr>
            <w:r w:rsidRPr="0010725E">
              <w:rPr>
                <w:szCs w:val="22"/>
              </w:rPr>
              <w:t>The fibre diameter ranges from 15 to 50 microns.</w:t>
            </w:r>
          </w:p>
        </w:tc>
        <w:tc>
          <w:tcPr>
            <w:tcW w:w="824" w:type="pct"/>
          </w:tcPr>
          <w:p w14:paraId="7AE1B59A" w14:textId="77777777" w:rsidR="00A00405" w:rsidRPr="0010725E" w:rsidRDefault="00A00405" w:rsidP="00A00405">
            <w:pPr>
              <w:rPr>
                <w:szCs w:val="22"/>
              </w:rPr>
            </w:pPr>
            <w:r w:rsidRPr="0010725E">
              <w:rPr>
                <w:szCs w:val="22"/>
              </w:rPr>
              <w:t>Hemp cloth, canvas, cordage</w:t>
            </w:r>
          </w:p>
        </w:tc>
      </w:tr>
      <w:tr w:rsidR="00A00405" w:rsidRPr="0010725E" w14:paraId="6BFA14DF" w14:textId="77777777" w:rsidTr="001D7C20">
        <w:trPr>
          <w:trHeight w:val="985"/>
        </w:trPr>
        <w:tc>
          <w:tcPr>
            <w:tcW w:w="448" w:type="pct"/>
          </w:tcPr>
          <w:p w14:paraId="7A0C6F69" w14:textId="77777777" w:rsidR="00A00405" w:rsidRPr="0010725E" w:rsidRDefault="00A00405" w:rsidP="00A00405">
            <w:pPr>
              <w:rPr>
                <w:szCs w:val="22"/>
              </w:rPr>
            </w:pPr>
            <w:r w:rsidRPr="0010725E">
              <w:rPr>
                <w:szCs w:val="22"/>
              </w:rPr>
              <w:t>Jute</w:t>
            </w:r>
          </w:p>
        </w:tc>
        <w:tc>
          <w:tcPr>
            <w:tcW w:w="791" w:type="pct"/>
          </w:tcPr>
          <w:p w14:paraId="4A1B16C4" w14:textId="77777777" w:rsidR="00A00405" w:rsidRPr="0010725E" w:rsidRDefault="00A00405" w:rsidP="00A00405">
            <w:pPr>
              <w:rPr>
                <w:i/>
                <w:szCs w:val="22"/>
              </w:rPr>
            </w:pPr>
            <w:r w:rsidRPr="0010725E">
              <w:rPr>
                <w:i/>
                <w:szCs w:val="22"/>
              </w:rPr>
              <w:t>Corchorus spp.</w:t>
            </w:r>
          </w:p>
        </w:tc>
        <w:tc>
          <w:tcPr>
            <w:tcW w:w="763" w:type="pct"/>
          </w:tcPr>
          <w:p w14:paraId="0C452E5B" w14:textId="77777777" w:rsidR="00A00405" w:rsidRPr="0010725E" w:rsidRDefault="00A00405" w:rsidP="00A00405">
            <w:pPr>
              <w:rPr>
                <w:szCs w:val="22"/>
              </w:rPr>
            </w:pPr>
            <w:r w:rsidRPr="0010725E">
              <w:rPr>
                <w:szCs w:val="22"/>
              </w:rPr>
              <w:t xml:space="preserve"> Malvaceae</w:t>
            </w:r>
          </w:p>
        </w:tc>
        <w:tc>
          <w:tcPr>
            <w:tcW w:w="1361" w:type="pct"/>
          </w:tcPr>
          <w:p w14:paraId="551001AB" w14:textId="77777777" w:rsidR="00A00405" w:rsidRPr="0010725E" w:rsidRDefault="00A00405" w:rsidP="00A00405">
            <w:pPr>
              <w:rPr>
                <w:szCs w:val="22"/>
              </w:rPr>
            </w:pPr>
            <w:r w:rsidRPr="0010725E">
              <w:rPr>
                <w:szCs w:val="22"/>
              </w:rPr>
              <w:t>Jute is long, soft and shiny with high insulating and anti-static properties, moderate moisture regain and low thermal conductivity.</w:t>
            </w:r>
          </w:p>
        </w:tc>
        <w:tc>
          <w:tcPr>
            <w:tcW w:w="813" w:type="pct"/>
          </w:tcPr>
          <w:p w14:paraId="621CE831" w14:textId="263F38D1" w:rsidR="00A00405" w:rsidRPr="0010725E" w:rsidRDefault="00A00405" w:rsidP="00A00405">
            <w:pPr>
              <w:rPr>
                <w:szCs w:val="22"/>
              </w:rPr>
            </w:pPr>
            <w:r w:rsidRPr="0010725E">
              <w:rPr>
                <w:szCs w:val="22"/>
              </w:rPr>
              <w:t>The fibre length ranges from 1 to 4 m and a diameter of from 17 to 20 microns</w:t>
            </w:r>
          </w:p>
        </w:tc>
        <w:tc>
          <w:tcPr>
            <w:tcW w:w="824" w:type="pct"/>
          </w:tcPr>
          <w:p w14:paraId="0A048F4C" w14:textId="77777777" w:rsidR="00A00405" w:rsidRPr="0010725E" w:rsidRDefault="00A00405" w:rsidP="00A00405">
            <w:pPr>
              <w:rPr>
                <w:szCs w:val="22"/>
              </w:rPr>
            </w:pPr>
            <w:r w:rsidRPr="0010725E">
              <w:rPr>
                <w:szCs w:val="22"/>
              </w:rPr>
              <w:t xml:space="preserve"> Burlap</w:t>
            </w:r>
          </w:p>
        </w:tc>
      </w:tr>
      <w:tr w:rsidR="00A00405" w:rsidRPr="0010725E" w14:paraId="1C5B411A" w14:textId="77777777" w:rsidTr="001D7C20">
        <w:trPr>
          <w:trHeight w:val="983"/>
        </w:trPr>
        <w:tc>
          <w:tcPr>
            <w:tcW w:w="448" w:type="pct"/>
          </w:tcPr>
          <w:p w14:paraId="73FFAD0A" w14:textId="77777777" w:rsidR="00A00405" w:rsidRPr="0010725E" w:rsidRDefault="00A00405" w:rsidP="00A00405">
            <w:pPr>
              <w:rPr>
                <w:szCs w:val="22"/>
              </w:rPr>
            </w:pPr>
            <w:r w:rsidRPr="0010725E">
              <w:rPr>
                <w:szCs w:val="22"/>
              </w:rPr>
              <w:t>Sisal</w:t>
            </w:r>
          </w:p>
        </w:tc>
        <w:tc>
          <w:tcPr>
            <w:tcW w:w="791" w:type="pct"/>
          </w:tcPr>
          <w:p w14:paraId="329E468E" w14:textId="77777777" w:rsidR="00A00405" w:rsidRPr="0010725E" w:rsidRDefault="00A00405" w:rsidP="00A00405">
            <w:pPr>
              <w:rPr>
                <w:i/>
                <w:szCs w:val="22"/>
              </w:rPr>
            </w:pPr>
            <w:r w:rsidRPr="0010725E">
              <w:rPr>
                <w:i/>
                <w:szCs w:val="22"/>
              </w:rPr>
              <w:t>Agave sisalana; Agave fourcroydes</w:t>
            </w:r>
          </w:p>
        </w:tc>
        <w:tc>
          <w:tcPr>
            <w:tcW w:w="763" w:type="pct"/>
          </w:tcPr>
          <w:p w14:paraId="7D057B0B" w14:textId="77777777" w:rsidR="00A00405" w:rsidRPr="0010725E" w:rsidRDefault="00A00405" w:rsidP="00A00405">
            <w:pPr>
              <w:rPr>
                <w:szCs w:val="22"/>
              </w:rPr>
            </w:pPr>
            <w:r w:rsidRPr="0010725E">
              <w:rPr>
                <w:szCs w:val="22"/>
              </w:rPr>
              <w:t>Agavaceae</w:t>
            </w:r>
          </w:p>
        </w:tc>
        <w:tc>
          <w:tcPr>
            <w:tcW w:w="1361" w:type="pct"/>
          </w:tcPr>
          <w:p w14:paraId="564E3D72" w14:textId="77777777" w:rsidR="00A00405" w:rsidRPr="0010725E" w:rsidRDefault="00A00405" w:rsidP="00A00405">
            <w:pPr>
              <w:rPr>
                <w:szCs w:val="22"/>
              </w:rPr>
            </w:pPr>
            <w:r w:rsidRPr="0010725E">
              <w:rPr>
                <w:szCs w:val="22"/>
              </w:rPr>
              <w:t xml:space="preserve">Sisal is coarse, hard, strong, durable and stretchable. Resists the saltwater deterioration, has a fine surface texture appropriate for a wide range of dyes. </w:t>
            </w:r>
          </w:p>
        </w:tc>
        <w:tc>
          <w:tcPr>
            <w:tcW w:w="813" w:type="pct"/>
          </w:tcPr>
          <w:p w14:paraId="12982059" w14:textId="3FE79D10" w:rsidR="00A00405" w:rsidRPr="0010725E" w:rsidRDefault="00A00405" w:rsidP="00A00405">
            <w:pPr>
              <w:rPr>
                <w:szCs w:val="22"/>
              </w:rPr>
            </w:pPr>
            <w:r w:rsidRPr="0010725E">
              <w:rPr>
                <w:szCs w:val="22"/>
              </w:rPr>
              <w:t>The fibre measures up to 1 m in length, with a diameter of 200 to 400 microns.</w:t>
            </w:r>
          </w:p>
        </w:tc>
        <w:tc>
          <w:tcPr>
            <w:tcW w:w="824" w:type="pct"/>
          </w:tcPr>
          <w:p w14:paraId="711DB951" w14:textId="77777777" w:rsidR="00A00405" w:rsidRPr="0010725E" w:rsidRDefault="00A00405" w:rsidP="00A00405">
            <w:pPr>
              <w:rPr>
                <w:szCs w:val="22"/>
              </w:rPr>
            </w:pPr>
            <w:r w:rsidRPr="0010725E">
              <w:rPr>
                <w:szCs w:val="22"/>
              </w:rPr>
              <w:t>Cordage, matting</w:t>
            </w:r>
          </w:p>
        </w:tc>
      </w:tr>
      <w:tr w:rsidR="00A00405" w:rsidRPr="0010725E" w14:paraId="0CBFFE7D" w14:textId="77777777" w:rsidTr="00A00405">
        <w:trPr>
          <w:trHeight w:val="300"/>
        </w:trPr>
        <w:tc>
          <w:tcPr>
            <w:tcW w:w="5000" w:type="pct"/>
            <w:gridSpan w:val="6"/>
          </w:tcPr>
          <w:p w14:paraId="73DD52D7" w14:textId="0C1900C4" w:rsidR="00A00405" w:rsidRPr="0010725E" w:rsidRDefault="00A00405" w:rsidP="00EA3EC6">
            <w:pPr>
              <w:rPr>
                <w:sz w:val="20"/>
                <w:szCs w:val="20"/>
              </w:rPr>
            </w:pPr>
            <w:r w:rsidRPr="0010725E">
              <w:rPr>
                <w:sz w:val="20"/>
                <w:szCs w:val="20"/>
              </w:rPr>
              <w:t xml:space="preserve">Source: adapted from Levetin </w:t>
            </w:r>
            <w:r w:rsidR="00EA3EC6" w:rsidRPr="0010725E">
              <w:rPr>
                <w:sz w:val="20"/>
                <w:szCs w:val="20"/>
              </w:rPr>
              <w:t>&amp;</w:t>
            </w:r>
            <w:r w:rsidRPr="0010725E">
              <w:rPr>
                <w:sz w:val="20"/>
                <w:szCs w:val="20"/>
              </w:rPr>
              <w:t xml:space="preserve"> McMahon (2008), FAO (2009) International Year of Natural</w:t>
            </w:r>
            <w:r w:rsidR="00A95E38" w:rsidRPr="0010725E">
              <w:rPr>
                <w:sz w:val="20"/>
                <w:szCs w:val="20"/>
              </w:rPr>
              <w:t xml:space="preserve"> </w:t>
            </w:r>
            <w:r w:rsidRPr="0010725E">
              <w:rPr>
                <w:sz w:val="20"/>
                <w:szCs w:val="20"/>
              </w:rPr>
              <w:t>Fibres (http://www.naturalfibres2009.org/en/fibres/index.html)</w:t>
            </w:r>
          </w:p>
        </w:tc>
      </w:tr>
    </w:tbl>
    <w:p w14:paraId="681CA9B2" w14:textId="2FC5209C" w:rsidR="001D7C20" w:rsidRPr="008608AA" w:rsidRDefault="007F26AC" w:rsidP="001D7C20">
      <w:pPr>
        <w:spacing w:before="240" w:after="120"/>
        <w:jc w:val="center"/>
      </w:pPr>
      <w:r w:rsidRPr="008608AA">
        <w:rPr>
          <w:noProof/>
          <w:lang w:val="en-GB" w:eastAsia="en-GB"/>
        </w:rPr>
        <w:drawing>
          <wp:inline distT="0" distB="0" distL="0" distR="0" wp14:anchorId="4FD8F48F" wp14:editId="4200E8A0">
            <wp:extent cx="5934075" cy="6267450"/>
            <wp:effectExtent l="0" t="0" r="9525" b="0"/>
            <wp:docPr id="30" name="Imagen 30" descr="C:\Users\Alejandro Valderrama\Downloads\Fig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3" descr="C:\Users\Alejandro Valderrama\Downloads\Fig2.12.jpg"/>
                    <pic:cNvPicPr>
                      <a:picLocks noChangeAspect="1" noChangeArrowheads="1"/>
                    </pic:cNvPicPr>
                  </pic:nvPicPr>
                  <pic:blipFill rotWithShape="1">
                    <a:blip r:embed="rId66">
                      <a:extLst>
                        <a:ext uri="{28A0092B-C50C-407E-A947-70E740481C1C}">
                          <a14:useLocalDpi xmlns:a14="http://schemas.microsoft.com/office/drawing/2010/main" val="0"/>
                        </a:ext>
                      </a:extLst>
                    </a:blip>
                    <a:srcRect b="26726"/>
                    <a:stretch/>
                  </pic:blipFill>
                  <pic:spPr bwMode="auto">
                    <a:xfrm>
                      <a:off x="0" y="0"/>
                      <a:ext cx="5934075" cy="6267450"/>
                    </a:xfrm>
                    <a:prstGeom prst="rect">
                      <a:avLst/>
                    </a:prstGeom>
                    <a:noFill/>
                    <a:ln>
                      <a:noFill/>
                    </a:ln>
                    <a:extLst>
                      <a:ext uri="{53640926-AAD7-44D8-BBD7-CCE9431645EC}">
                        <a14:shadowObscured xmlns:a14="http://schemas.microsoft.com/office/drawing/2010/main"/>
                      </a:ext>
                    </a:extLst>
                  </pic:spPr>
                </pic:pic>
              </a:graphicData>
            </a:graphic>
          </wp:inline>
        </w:drawing>
      </w:r>
    </w:p>
    <w:p w14:paraId="0E5C2A16" w14:textId="2EA705E1" w:rsidR="00A00405" w:rsidRPr="008608AA" w:rsidRDefault="00A00405" w:rsidP="001D7C20">
      <w:pPr>
        <w:spacing w:before="240" w:after="120"/>
      </w:pPr>
      <w:r w:rsidRPr="008608AA">
        <w:t xml:space="preserve">South America and Mesoamerica have been important producers of plant </w:t>
      </w:r>
      <w:r w:rsidR="00B700CF" w:rsidRPr="008608AA">
        <w:t>fibres</w:t>
      </w:r>
      <w:r w:rsidRPr="008608AA">
        <w:t xml:space="preserve">, such as agave and flax, albeit with decreasing trends recently (Figure 2.12). Production of these </w:t>
      </w:r>
      <w:r w:rsidR="00B700CF" w:rsidRPr="008608AA">
        <w:t>fibres</w:t>
      </w:r>
      <w:r w:rsidRPr="008608AA">
        <w:t xml:space="preserve"> is strongly characterized by peaks driven by diverse underlying factors. For instance, since the 1960s, agave production has been intermittent with sharp increases starting in the 1970’s in South America and in the 1990’s for both Mesoamerica and South America. The Caribbean, on the other hand, has shown a relatively stable trend towards decline since the 1960s for agave. Production of sisal has shown a similar behavior, although with more abrupt declines recently for some subregions. Production of jute in South America has shown similar peaks, but with a more prominent decreasing tendency since the 1960’s (Figure 2.12). </w:t>
      </w:r>
    </w:p>
    <w:p w14:paraId="0F36B8EA" w14:textId="3E77A2EE" w:rsidR="002927DD" w:rsidRPr="008608AA" w:rsidRDefault="00A00405" w:rsidP="001D7C20">
      <w:pPr>
        <w:shd w:val="clear" w:color="auto" w:fill="FFFFFF"/>
      </w:pPr>
      <w:r w:rsidRPr="008608AA">
        <w:t xml:space="preserve">Production of certain animal </w:t>
      </w:r>
      <w:r w:rsidR="00B700CF" w:rsidRPr="008608AA">
        <w:t>fibres</w:t>
      </w:r>
      <w:r w:rsidRPr="008608AA">
        <w:t xml:space="preserve"> also shows sharp production peaks. In South America, raw silk production, for instance, is declining after a peak in the mid-1990’s (Figure 2.12). Wool production has also declined over the last decades, particularly in South America. This is in large part due to the increasing use of synthetic substitutes for clothing (Figure 2.12).</w:t>
      </w:r>
    </w:p>
    <w:p w14:paraId="00C74BD0" w14:textId="4160AD31" w:rsidR="00A00405" w:rsidRPr="008608AA" w:rsidRDefault="00A00405" w:rsidP="001D7C20">
      <w:pPr>
        <w:shd w:val="clear" w:color="auto" w:fill="FFFFFF"/>
      </w:pPr>
      <w:r w:rsidRPr="008608AA">
        <w:t xml:space="preserve"> </w:t>
      </w:r>
    </w:p>
    <w:p w14:paraId="78B4186A" w14:textId="77777777" w:rsidR="00A00405" w:rsidRPr="008608AA" w:rsidRDefault="00A00405" w:rsidP="001D7C20">
      <w:pPr>
        <w:spacing w:after="120"/>
      </w:pPr>
      <w:r w:rsidRPr="008608AA">
        <w:t xml:space="preserve">As with timber products, cultural factors play a pivotal role in driving large-scale fiber production and demand (Graham-Rowe, 2011). Many consumers have preferences for particular types of plant and animal fibers, such as skins, furs, wood-based fibers, cotton, silk, wools and hairs used to fabricate a gamut of product types including clothing, fashion accessories, ornaments, and furnishings. These preferences, in turn, are driven largely by fashion trends propagated through globalized media. Population growth also constitutes a significant driver of fiber production and consumption. In some cases, demand for certain types of animal and plant fibers has stagnated or decreased thanks to the more pervasive use of alternative synthetic. Agricultural biotechnologies also continue to strongly influence fiber production (Ali &amp; Abdulai, 2010), as do policies and institutional factors largely through regulatory mechanisms such as controls and restrictions on trade, poaching and illegal harvesting of fibers. </w:t>
      </w:r>
    </w:p>
    <w:p w14:paraId="3019A102" w14:textId="77777777" w:rsidR="00A00405" w:rsidRPr="008608AA" w:rsidRDefault="00A00405" w:rsidP="001D7C20">
      <w:pPr>
        <w:spacing w:after="120"/>
      </w:pPr>
      <w:r w:rsidRPr="008608AA">
        <w:t xml:space="preserve">The environmental impacts associated with fiber production depend on the type of fiber, the extraction methods, as well as the scale of production (Clay, 2004). This includes impacts through substantial pesticide use, soil degradation and salinization, and water diversion for irrigation. Other environmental impacts include significant reductions in the populations of wild species used for vegetable and animal fibers that may lead to vulnerability of population declines for those species. Some of these species also play pivotal roles in ecosystems, potentially leading to impacts in local to regional ecological function, and compromising overall ecosystem integrity. Animal husbandry operations associated with fiber production also can have environmental impacts through clearing of forests for pasture, which is typically associated with reduced biodiversity, greenhouse gas emissions, soil degradation and reduced water quality and regulation capabilities (Chhabra et al., 2006).  </w:t>
      </w:r>
    </w:p>
    <w:p w14:paraId="62428A8A" w14:textId="3098219E" w:rsidR="00A00405" w:rsidRPr="008608AA" w:rsidRDefault="00A00405" w:rsidP="001D7C20">
      <w:pPr>
        <w:spacing w:after="120"/>
        <w:rPr>
          <w:color w:val="1F4E79"/>
        </w:rPr>
      </w:pPr>
      <w:r w:rsidRPr="008608AA">
        <w:t xml:space="preserve">Finally, </w:t>
      </w:r>
      <w:r w:rsidR="00B700CF" w:rsidRPr="008608AA">
        <w:t>fibres</w:t>
      </w:r>
      <w:r w:rsidRPr="008608AA">
        <w:t xml:space="preserve"> are vital provisioning services for human well-being, and many livelihoods worldwide are based on the production and trade of fiber goods (Ruiz-Pérez et al., 2004) (</w:t>
      </w:r>
      <w:r w:rsidR="00B20C8E" w:rsidRPr="008608AA">
        <w:t>section</w:t>
      </w:r>
      <w:r w:rsidRPr="008608AA">
        <w:t xml:space="preserve"> 2.3.5). </w:t>
      </w:r>
      <w:r w:rsidR="00B700CF" w:rsidRPr="008608AA">
        <w:t>Fibres</w:t>
      </w:r>
      <w:r w:rsidRPr="008608AA">
        <w:t xml:space="preserve"> are not only important for essential uses, such as clothing and shelter, but also for other non-essential commodities that in many cases are an important component of well-being for many societies, such as elements of the material culture of many traditional and non-traditional groups (Godoy et al., 2005).</w:t>
      </w:r>
      <w:r w:rsidRPr="008608AA">
        <w:rPr>
          <w:color w:val="1F4E79"/>
        </w:rPr>
        <w:t xml:space="preserve"> </w:t>
      </w:r>
    </w:p>
    <w:p w14:paraId="57ADE47E" w14:textId="77777777" w:rsidR="001D7C20" w:rsidRPr="008608AA" w:rsidRDefault="001D7C20" w:rsidP="001D7C20">
      <w:pPr>
        <w:spacing w:after="120"/>
        <w:rPr>
          <w:color w:val="1F4E79"/>
        </w:rPr>
      </w:pPr>
    </w:p>
    <w:p w14:paraId="2DC9AE8B" w14:textId="77777777" w:rsidR="00A00405" w:rsidRPr="008608AA" w:rsidRDefault="00A00405" w:rsidP="001D7C20">
      <w:pPr>
        <w:pStyle w:val="Heading3"/>
      </w:pPr>
      <w:bookmarkStart w:id="652" w:name="_Toc517393252"/>
      <w:bookmarkStart w:id="653" w:name="_Toc517718993"/>
      <w:bookmarkStart w:id="654" w:name="_Toc517796950"/>
      <w:r w:rsidRPr="008608AA">
        <w:t>Energy</w:t>
      </w:r>
      <w:bookmarkEnd w:id="652"/>
      <w:bookmarkEnd w:id="653"/>
      <w:bookmarkEnd w:id="654"/>
      <w:r w:rsidRPr="008608AA">
        <w:t xml:space="preserve"> </w:t>
      </w:r>
    </w:p>
    <w:p w14:paraId="2D39DF3E" w14:textId="1CADE777" w:rsidR="00A00405" w:rsidRPr="008608AA" w:rsidRDefault="00A00405" w:rsidP="001D7C20">
      <w:pPr>
        <w:shd w:val="clear" w:color="auto" w:fill="FFFFFF"/>
        <w:spacing w:after="120"/>
      </w:pPr>
      <w:r w:rsidRPr="008608AA">
        <w:t>Energy is an important input for the agricultural, industrial and transport sectors and private individuals, constituting an important basis of human well-being. Energy consumption is directly linked to human activities. For example, the amount of energy used by agriculture is increasing worldwide, as mechanization, especially in developing countries, increases. Energy production and consumption vary greatly among and within subregions in the Americas, with the highest level of consumption level occurring in North America (</w:t>
      </w:r>
      <w:r w:rsidR="00DA6C0B" w:rsidRPr="008608AA">
        <w:t>Figure 2.13</w:t>
      </w:r>
      <w:r w:rsidRPr="008608AA">
        <w:t xml:space="preserve">). </w:t>
      </w:r>
    </w:p>
    <w:p w14:paraId="2FA4277F" w14:textId="6C48B846" w:rsidR="001D7C20" w:rsidRPr="008608AA" w:rsidRDefault="00A00405" w:rsidP="001D7C20">
      <w:pPr>
        <w:shd w:val="clear" w:color="auto" w:fill="FFFFFF"/>
        <w:spacing w:after="120"/>
      </w:pPr>
      <w:r w:rsidRPr="008608AA">
        <w:t>Natural ecosystems provide different kinds of renewable energy, such as heat (</w:t>
      </w:r>
      <w:r w:rsidR="00847F60" w:rsidRPr="008608AA">
        <w:t>e.g.</w:t>
      </w:r>
      <w:r w:rsidRPr="008608AA">
        <w:t xml:space="preserve"> burning of wood or charcoal), electricity (</w:t>
      </w:r>
      <w:r w:rsidR="00847F60" w:rsidRPr="008608AA">
        <w:t>e.g.</w:t>
      </w:r>
      <w:r w:rsidRPr="008608AA">
        <w:t xml:space="preserve"> hydropower) and biomass fuels. Electricity derived directly from natural resources has an extremely high importance in South America, where 81% of produced energy is from renewable sources, mainly hydropower (Table 2.6). In 2011, 55% of the energy matrix of Mesoamerica, the Caribbean and South America came from hydropower (WWAP, 2015). Brazil currently has 158 hydroelectric plants in operation, which total more than 89 gigawatts, with 9 additional plants under construction and another 26 authorized (Tolmasquim, 2016). If micro-hydropower stations are included the number jumps to 1,100 hydroelectric stations (Rocha et al., 2015). Energy production by hydropower is increasing despite substantial controversy over impacts to biodiversity, natural ecosystems, and local populations, including indigenous peoples and local communities (Rocha et al., 2015). </w:t>
      </w:r>
    </w:p>
    <w:p w14:paraId="3CD24F30" w14:textId="75460472" w:rsidR="00593E3A" w:rsidRDefault="00593E3A" w:rsidP="001D7C20">
      <w:pPr>
        <w:shd w:val="clear" w:color="auto" w:fill="FFFFFF"/>
        <w:spacing w:after="120"/>
      </w:pPr>
    </w:p>
    <w:p w14:paraId="1A258533" w14:textId="77777777" w:rsidR="00E95397" w:rsidRDefault="00E95397" w:rsidP="001D7C20">
      <w:pPr>
        <w:shd w:val="clear" w:color="auto" w:fill="FFFFFF"/>
        <w:spacing w:after="120"/>
      </w:pPr>
    </w:p>
    <w:p w14:paraId="04FA3162" w14:textId="3F02251E" w:rsidR="0010725E" w:rsidRDefault="0010725E" w:rsidP="001D7C20">
      <w:pPr>
        <w:shd w:val="clear" w:color="auto" w:fill="FFFFFF"/>
        <w:spacing w:after="120"/>
      </w:pPr>
    </w:p>
    <w:p w14:paraId="5056D640" w14:textId="6250E022" w:rsidR="0010725E" w:rsidRDefault="0010725E" w:rsidP="001D7C20">
      <w:pPr>
        <w:shd w:val="clear" w:color="auto" w:fill="FFFFFF"/>
        <w:spacing w:after="120"/>
      </w:pPr>
    </w:p>
    <w:p w14:paraId="53B355A3" w14:textId="77777777" w:rsidR="0010725E" w:rsidRPr="008608AA" w:rsidRDefault="0010725E" w:rsidP="001D7C20">
      <w:pPr>
        <w:shd w:val="clear" w:color="auto" w:fill="FFFFFF"/>
        <w:spacing w:after="120"/>
      </w:pPr>
    </w:p>
    <w:p w14:paraId="203611B6" w14:textId="3046361B" w:rsidR="00A00405"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6</w:t>
      </w:r>
      <w:r w:rsidR="000E562E">
        <w:rPr>
          <w:noProof/>
        </w:rPr>
        <w:fldChar w:fldCharType="end"/>
      </w:r>
      <w:r w:rsidR="001D7C20" w:rsidRPr="008608AA">
        <w:t>. Per capita annual energy consumption (total kWh/year) in the Americas and percentage (%) of electricity consumption derived from renewable resources by country.</w:t>
      </w:r>
    </w:p>
    <w:tbl>
      <w:tblPr>
        <w:tblW w:w="5000" w:type="pct"/>
        <w:jc w:val="center"/>
        <w:tblLook w:val="0400" w:firstRow="0" w:lastRow="0" w:firstColumn="0" w:lastColumn="0" w:noHBand="0" w:noVBand="1"/>
      </w:tblPr>
      <w:tblGrid>
        <w:gridCol w:w="3252"/>
        <w:gridCol w:w="1469"/>
        <w:gridCol w:w="1436"/>
        <w:gridCol w:w="1503"/>
        <w:gridCol w:w="1827"/>
      </w:tblGrid>
      <w:tr w:rsidR="00A00405" w:rsidRPr="0010725E" w14:paraId="52C5926A" w14:textId="77777777" w:rsidTr="001D7C20">
        <w:trPr>
          <w:trHeight w:val="180"/>
          <w:jc w:val="center"/>
        </w:trPr>
        <w:tc>
          <w:tcPr>
            <w:tcW w:w="171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bottom"/>
          </w:tcPr>
          <w:p w14:paraId="5A7D1DD1" w14:textId="77777777" w:rsidR="00A00405" w:rsidRPr="0010725E" w:rsidRDefault="00A00405" w:rsidP="00A00405">
            <w:pPr>
              <w:jc w:val="center"/>
              <w:rPr>
                <w:b/>
                <w:szCs w:val="22"/>
              </w:rPr>
            </w:pPr>
          </w:p>
        </w:tc>
        <w:tc>
          <w:tcPr>
            <w:tcW w:w="774" w:type="pct"/>
            <w:tcBorders>
              <w:top w:val="single" w:sz="4" w:space="0" w:color="000000"/>
              <w:left w:val="nil"/>
              <w:bottom w:val="single" w:sz="4" w:space="0" w:color="000000"/>
              <w:right w:val="single" w:sz="4" w:space="0" w:color="000000"/>
            </w:tcBorders>
            <w:shd w:val="clear" w:color="auto" w:fill="BFBFBF" w:themeFill="background1" w:themeFillShade="BF"/>
            <w:vAlign w:val="bottom"/>
          </w:tcPr>
          <w:p w14:paraId="0CEDBAFD" w14:textId="77777777" w:rsidR="00A00405" w:rsidRPr="0010725E" w:rsidRDefault="00A00405" w:rsidP="001D7C20">
            <w:pPr>
              <w:jc w:val="center"/>
              <w:rPr>
                <w:b/>
                <w:szCs w:val="22"/>
              </w:rPr>
            </w:pPr>
            <w:r w:rsidRPr="0010725E">
              <w:rPr>
                <w:b/>
                <w:szCs w:val="22"/>
              </w:rPr>
              <w:t>2003</w:t>
            </w:r>
          </w:p>
        </w:tc>
        <w:tc>
          <w:tcPr>
            <w:tcW w:w="757" w:type="pct"/>
            <w:tcBorders>
              <w:top w:val="single" w:sz="4" w:space="0" w:color="000000"/>
              <w:left w:val="nil"/>
              <w:bottom w:val="single" w:sz="4" w:space="0" w:color="000000"/>
              <w:right w:val="single" w:sz="4" w:space="0" w:color="000000"/>
            </w:tcBorders>
            <w:shd w:val="clear" w:color="auto" w:fill="BFBFBF" w:themeFill="background1" w:themeFillShade="BF"/>
            <w:vAlign w:val="bottom"/>
          </w:tcPr>
          <w:p w14:paraId="172B2A25" w14:textId="77777777" w:rsidR="00A00405" w:rsidRPr="0010725E" w:rsidRDefault="00A00405" w:rsidP="001D7C20">
            <w:pPr>
              <w:jc w:val="center"/>
              <w:rPr>
                <w:b/>
                <w:szCs w:val="22"/>
              </w:rPr>
            </w:pPr>
            <w:r w:rsidRPr="0010725E">
              <w:rPr>
                <w:b/>
                <w:szCs w:val="22"/>
              </w:rPr>
              <w:t>2013</w:t>
            </w:r>
          </w:p>
        </w:tc>
        <w:tc>
          <w:tcPr>
            <w:tcW w:w="792" w:type="pct"/>
            <w:tcBorders>
              <w:top w:val="single" w:sz="4" w:space="0" w:color="000000"/>
              <w:left w:val="nil"/>
              <w:bottom w:val="single" w:sz="4" w:space="0" w:color="000000"/>
              <w:right w:val="single" w:sz="4" w:space="0" w:color="000000"/>
            </w:tcBorders>
            <w:shd w:val="clear" w:color="auto" w:fill="BFBFBF" w:themeFill="background1" w:themeFillShade="BF"/>
            <w:vAlign w:val="center"/>
          </w:tcPr>
          <w:p w14:paraId="6DFC83B0" w14:textId="77777777" w:rsidR="00A00405" w:rsidRPr="0010725E" w:rsidRDefault="00A00405" w:rsidP="001D7C20">
            <w:pPr>
              <w:jc w:val="center"/>
              <w:rPr>
                <w:b/>
                <w:szCs w:val="22"/>
              </w:rPr>
            </w:pPr>
            <w:r w:rsidRPr="0010725E">
              <w:rPr>
                <w:b/>
                <w:szCs w:val="22"/>
              </w:rPr>
              <w:t>% Change</w:t>
            </w:r>
          </w:p>
        </w:tc>
        <w:tc>
          <w:tcPr>
            <w:tcW w:w="96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B54E443" w14:textId="77777777" w:rsidR="00A00405" w:rsidRPr="0010725E" w:rsidRDefault="00A00405" w:rsidP="001D7C20">
            <w:pPr>
              <w:jc w:val="center"/>
              <w:rPr>
                <w:b/>
                <w:szCs w:val="22"/>
              </w:rPr>
            </w:pPr>
            <w:r w:rsidRPr="0010725E">
              <w:rPr>
                <w:b/>
                <w:szCs w:val="22"/>
              </w:rPr>
              <w:t>% Renewable</w:t>
            </w:r>
          </w:p>
        </w:tc>
      </w:tr>
      <w:tr w:rsidR="00A00405" w:rsidRPr="0010725E" w14:paraId="099A8CC0" w14:textId="77777777" w:rsidTr="001D7C20">
        <w:trPr>
          <w:trHeight w:val="220"/>
          <w:jc w:val="center"/>
        </w:trPr>
        <w:tc>
          <w:tcPr>
            <w:tcW w:w="1714" w:type="pct"/>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008ECF91" w14:textId="77777777" w:rsidR="00A00405" w:rsidRPr="0010725E" w:rsidRDefault="00A00405" w:rsidP="00A00405">
            <w:pPr>
              <w:rPr>
                <w:b/>
                <w:szCs w:val="22"/>
              </w:rPr>
            </w:pPr>
            <w:r w:rsidRPr="0010725E">
              <w:rPr>
                <w:b/>
                <w:szCs w:val="22"/>
              </w:rPr>
              <w:t>North America</w:t>
            </w:r>
          </w:p>
        </w:tc>
        <w:tc>
          <w:tcPr>
            <w:tcW w:w="774" w:type="pct"/>
            <w:tcBorders>
              <w:top w:val="nil"/>
              <w:left w:val="nil"/>
              <w:bottom w:val="single" w:sz="4" w:space="0" w:color="000000"/>
              <w:right w:val="single" w:sz="4" w:space="0" w:color="000000"/>
            </w:tcBorders>
            <w:shd w:val="clear" w:color="auto" w:fill="BFBFBF" w:themeFill="background1" w:themeFillShade="BF"/>
            <w:vAlign w:val="bottom"/>
          </w:tcPr>
          <w:p w14:paraId="01BDA61A" w14:textId="77777777" w:rsidR="00A00405" w:rsidRPr="0010725E" w:rsidRDefault="00A00405" w:rsidP="00A00405">
            <w:pPr>
              <w:rPr>
                <w:szCs w:val="22"/>
              </w:rPr>
            </w:pPr>
            <w:r w:rsidRPr="0010725E">
              <w:rPr>
                <w:szCs w:val="22"/>
              </w:rPr>
              <w:t xml:space="preserve"> </w:t>
            </w:r>
          </w:p>
        </w:tc>
        <w:tc>
          <w:tcPr>
            <w:tcW w:w="757" w:type="pct"/>
            <w:tcBorders>
              <w:top w:val="nil"/>
              <w:left w:val="nil"/>
              <w:bottom w:val="single" w:sz="4" w:space="0" w:color="000000"/>
              <w:right w:val="single" w:sz="4" w:space="0" w:color="000000"/>
            </w:tcBorders>
            <w:shd w:val="clear" w:color="auto" w:fill="BFBFBF" w:themeFill="background1" w:themeFillShade="BF"/>
            <w:vAlign w:val="bottom"/>
          </w:tcPr>
          <w:p w14:paraId="6399DE4E" w14:textId="77777777" w:rsidR="00A00405" w:rsidRPr="0010725E" w:rsidRDefault="00A00405" w:rsidP="00A00405">
            <w:pPr>
              <w:rPr>
                <w:szCs w:val="22"/>
              </w:rPr>
            </w:pPr>
          </w:p>
        </w:tc>
        <w:tc>
          <w:tcPr>
            <w:tcW w:w="792" w:type="pct"/>
            <w:tcBorders>
              <w:top w:val="single" w:sz="4" w:space="0" w:color="000000"/>
              <w:left w:val="nil"/>
              <w:bottom w:val="single" w:sz="4" w:space="0" w:color="000000"/>
              <w:right w:val="single" w:sz="4" w:space="0" w:color="000000"/>
            </w:tcBorders>
            <w:shd w:val="clear" w:color="auto" w:fill="BFBFBF" w:themeFill="background1" w:themeFillShade="BF"/>
            <w:vAlign w:val="center"/>
          </w:tcPr>
          <w:p w14:paraId="20F237C8" w14:textId="77777777" w:rsidR="00A00405" w:rsidRPr="0010725E" w:rsidRDefault="00A00405" w:rsidP="00A00405">
            <w:pPr>
              <w:rPr>
                <w:szCs w:val="22"/>
              </w:rPr>
            </w:pPr>
            <w:r w:rsidRPr="0010725E">
              <w:rPr>
                <w:szCs w:val="22"/>
              </w:rPr>
              <w:t> </w:t>
            </w:r>
          </w:p>
        </w:tc>
        <w:tc>
          <w:tcPr>
            <w:tcW w:w="96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752ABEE" w14:textId="77777777" w:rsidR="00A00405" w:rsidRPr="0010725E" w:rsidRDefault="00A00405" w:rsidP="00A00405">
            <w:pPr>
              <w:rPr>
                <w:szCs w:val="22"/>
              </w:rPr>
            </w:pPr>
            <w:r w:rsidRPr="0010725E">
              <w:rPr>
                <w:szCs w:val="22"/>
              </w:rPr>
              <w:t> </w:t>
            </w:r>
          </w:p>
        </w:tc>
      </w:tr>
      <w:tr w:rsidR="00A00405" w:rsidRPr="0010725E" w14:paraId="3C369C46" w14:textId="77777777" w:rsidTr="001D7C20">
        <w:trPr>
          <w:trHeight w:val="18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09165993" w14:textId="77777777" w:rsidR="00A00405" w:rsidRPr="0010725E" w:rsidRDefault="00A00405" w:rsidP="00A00405">
            <w:pPr>
              <w:rPr>
                <w:b/>
                <w:i/>
                <w:szCs w:val="22"/>
              </w:rPr>
            </w:pPr>
            <w:r w:rsidRPr="0010725E">
              <w:rPr>
                <w:szCs w:val="22"/>
              </w:rPr>
              <w:t>Canada</w:t>
            </w:r>
          </w:p>
        </w:tc>
        <w:tc>
          <w:tcPr>
            <w:tcW w:w="774" w:type="pct"/>
            <w:tcBorders>
              <w:top w:val="nil"/>
              <w:left w:val="nil"/>
              <w:bottom w:val="single" w:sz="4" w:space="0" w:color="000000"/>
              <w:right w:val="single" w:sz="4" w:space="0" w:color="000000"/>
            </w:tcBorders>
            <w:shd w:val="clear" w:color="auto" w:fill="auto"/>
            <w:vAlign w:val="bottom"/>
          </w:tcPr>
          <w:p w14:paraId="39771C3E" w14:textId="77777777" w:rsidR="00A00405" w:rsidRPr="0010725E" w:rsidRDefault="00A00405" w:rsidP="00780487">
            <w:pPr>
              <w:rPr>
                <w:szCs w:val="22"/>
              </w:rPr>
            </w:pPr>
            <w:r w:rsidRPr="0010725E">
              <w:rPr>
                <w:szCs w:val="22"/>
              </w:rPr>
              <w:t>86,127.7</w:t>
            </w:r>
          </w:p>
        </w:tc>
        <w:tc>
          <w:tcPr>
            <w:tcW w:w="757" w:type="pct"/>
            <w:tcBorders>
              <w:top w:val="nil"/>
              <w:left w:val="nil"/>
              <w:bottom w:val="single" w:sz="4" w:space="0" w:color="000000"/>
              <w:right w:val="single" w:sz="4" w:space="0" w:color="000000"/>
            </w:tcBorders>
            <w:shd w:val="clear" w:color="auto" w:fill="auto"/>
            <w:vAlign w:val="bottom"/>
          </w:tcPr>
          <w:p w14:paraId="29834713" w14:textId="77777777" w:rsidR="00A00405" w:rsidRPr="0010725E" w:rsidRDefault="00A00405" w:rsidP="00780487">
            <w:pPr>
              <w:rPr>
                <w:szCs w:val="22"/>
              </w:rPr>
            </w:pPr>
            <w:r w:rsidRPr="0010725E">
              <w:rPr>
                <w:szCs w:val="22"/>
              </w:rPr>
              <w:t>84,057.2</w:t>
            </w:r>
          </w:p>
        </w:tc>
        <w:tc>
          <w:tcPr>
            <w:tcW w:w="792" w:type="pct"/>
            <w:tcBorders>
              <w:top w:val="single" w:sz="4" w:space="0" w:color="000000"/>
              <w:left w:val="nil"/>
              <w:bottom w:val="single" w:sz="4" w:space="0" w:color="000000"/>
              <w:right w:val="single" w:sz="4" w:space="0" w:color="000000"/>
            </w:tcBorders>
            <w:vAlign w:val="center"/>
          </w:tcPr>
          <w:p w14:paraId="2C4A617F" w14:textId="77777777" w:rsidR="00A00405" w:rsidRPr="0010725E" w:rsidRDefault="00A00405" w:rsidP="00A00405">
            <w:pPr>
              <w:rPr>
                <w:szCs w:val="22"/>
              </w:rPr>
            </w:pPr>
            <w:r w:rsidRPr="0010725E">
              <w:rPr>
                <w:szCs w:val="22"/>
              </w:rPr>
              <w:t>-2.5</w:t>
            </w:r>
          </w:p>
        </w:tc>
        <w:tc>
          <w:tcPr>
            <w:tcW w:w="963" w:type="pct"/>
            <w:tcBorders>
              <w:top w:val="single" w:sz="4" w:space="0" w:color="000000"/>
              <w:left w:val="single" w:sz="4" w:space="0" w:color="000000"/>
              <w:bottom w:val="single" w:sz="4" w:space="0" w:color="000000"/>
              <w:right w:val="single" w:sz="4" w:space="0" w:color="000000"/>
            </w:tcBorders>
            <w:vAlign w:val="center"/>
          </w:tcPr>
          <w:p w14:paraId="3C8B0474" w14:textId="77777777" w:rsidR="00A00405" w:rsidRPr="0010725E" w:rsidRDefault="00A00405" w:rsidP="00A00405">
            <w:pPr>
              <w:rPr>
                <w:szCs w:val="22"/>
              </w:rPr>
            </w:pPr>
            <w:r w:rsidRPr="0010725E">
              <w:rPr>
                <w:szCs w:val="22"/>
              </w:rPr>
              <w:t>64.5</w:t>
            </w:r>
          </w:p>
        </w:tc>
      </w:tr>
      <w:tr w:rsidR="00A00405" w:rsidRPr="0010725E" w14:paraId="7B3BBF35"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161603DF" w14:textId="03FCD4A6" w:rsidR="00A00405" w:rsidRPr="0010725E" w:rsidRDefault="00A00405" w:rsidP="001D7C20">
            <w:pPr>
              <w:rPr>
                <w:b/>
                <w:i/>
                <w:szCs w:val="22"/>
              </w:rPr>
            </w:pPr>
            <w:r w:rsidRPr="0010725E">
              <w:rPr>
                <w:szCs w:val="22"/>
              </w:rPr>
              <w:t>USA</w:t>
            </w:r>
          </w:p>
        </w:tc>
        <w:tc>
          <w:tcPr>
            <w:tcW w:w="774" w:type="pct"/>
            <w:tcBorders>
              <w:top w:val="nil"/>
              <w:left w:val="nil"/>
              <w:bottom w:val="single" w:sz="4" w:space="0" w:color="000000"/>
              <w:right w:val="single" w:sz="4" w:space="0" w:color="000000"/>
            </w:tcBorders>
            <w:shd w:val="clear" w:color="auto" w:fill="auto"/>
            <w:vAlign w:val="bottom"/>
          </w:tcPr>
          <w:p w14:paraId="659F3EB4" w14:textId="77777777" w:rsidR="00A00405" w:rsidRPr="0010725E" w:rsidRDefault="00A00405" w:rsidP="00780487">
            <w:pPr>
              <w:rPr>
                <w:szCs w:val="22"/>
              </w:rPr>
            </w:pPr>
            <w:r w:rsidRPr="0010725E">
              <w:rPr>
                <w:szCs w:val="22"/>
              </w:rPr>
              <w:t>83,617.1</w:t>
            </w:r>
          </w:p>
        </w:tc>
        <w:tc>
          <w:tcPr>
            <w:tcW w:w="757" w:type="pct"/>
            <w:tcBorders>
              <w:top w:val="nil"/>
              <w:left w:val="nil"/>
              <w:bottom w:val="single" w:sz="4" w:space="0" w:color="000000"/>
              <w:right w:val="single" w:sz="4" w:space="0" w:color="000000"/>
            </w:tcBorders>
            <w:shd w:val="clear" w:color="auto" w:fill="auto"/>
            <w:vAlign w:val="bottom"/>
          </w:tcPr>
          <w:p w14:paraId="29355E2D" w14:textId="77777777" w:rsidR="00A00405" w:rsidRPr="0010725E" w:rsidRDefault="00A00405" w:rsidP="00780487">
            <w:pPr>
              <w:rPr>
                <w:szCs w:val="22"/>
              </w:rPr>
            </w:pPr>
            <w:r w:rsidRPr="0010725E">
              <w:rPr>
                <w:szCs w:val="22"/>
              </w:rPr>
              <w:t>80,715.6</w:t>
            </w:r>
          </w:p>
        </w:tc>
        <w:tc>
          <w:tcPr>
            <w:tcW w:w="792" w:type="pct"/>
            <w:tcBorders>
              <w:top w:val="single" w:sz="4" w:space="0" w:color="000000"/>
              <w:left w:val="nil"/>
              <w:bottom w:val="single" w:sz="4" w:space="0" w:color="000000"/>
              <w:right w:val="single" w:sz="4" w:space="0" w:color="000000"/>
            </w:tcBorders>
            <w:vAlign w:val="center"/>
          </w:tcPr>
          <w:p w14:paraId="7F6AB591" w14:textId="77777777" w:rsidR="00A00405" w:rsidRPr="0010725E" w:rsidRDefault="00A00405" w:rsidP="00A00405">
            <w:pPr>
              <w:rPr>
                <w:szCs w:val="22"/>
              </w:rPr>
            </w:pPr>
            <w:r w:rsidRPr="0010725E">
              <w:rPr>
                <w:szCs w:val="22"/>
              </w:rPr>
              <w:t>-3.6</w:t>
            </w:r>
          </w:p>
        </w:tc>
        <w:tc>
          <w:tcPr>
            <w:tcW w:w="963" w:type="pct"/>
            <w:tcBorders>
              <w:top w:val="single" w:sz="4" w:space="0" w:color="000000"/>
              <w:left w:val="single" w:sz="4" w:space="0" w:color="000000"/>
              <w:bottom w:val="single" w:sz="4" w:space="0" w:color="000000"/>
              <w:right w:val="single" w:sz="4" w:space="0" w:color="000000"/>
            </w:tcBorders>
            <w:vAlign w:val="center"/>
          </w:tcPr>
          <w:p w14:paraId="3BC477FB" w14:textId="77777777" w:rsidR="00A00405" w:rsidRPr="0010725E" w:rsidRDefault="00A00405" w:rsidP="00A00405">
            <w:pPr>
              <w:rPr>
                <w:szCs w:val="22"/>
              </w:rPr>
            </w:pPr>
            <w:r w:rsidRPr="0010725E">
              <w:rPr>
                <w:szCs w:val="22"/>
              </w:rPr>
              <w:t>14.3</w:t>
            </w:r>
          </w:p>
        </w:tc>
      </w:tr>
      <w:tr w:rsidR="00A00405" w:rsidRPr="0010725E" w14:paraId="027CE8B0"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BFBFBF" w:themeFill="background1" w:themeFillShade="BF"/>
            <w:vAlign w:val="center"/>
          </w:tcPr>
          <w:p w14:paraId="3E234B17" w14:textId="77777777" w:rsidR="00A00405" w:rsidRPr="0010725E" w:rsidRDefault="00A00405" w:rsidP="001D7C20">
            <w:pPr>
              <w:rPr>
                <w:b/>
                <w:szCs w:val="22"/>
              </w:rPr>
            </w:pPr>
            <w:r w:rsidRPr="0010725E">
              <w:rPr>
                <w:b/>
                <w:szCs w:val="22"/>
              </w:rPr>
              <w:t>Mesoamerica</w:t>
            </w:r>
          </w:p>
        </w:tc>
        <w:tc>
          <w:tcPr>
            <w:tcW w:w="774" w:type="pct"/>
            <w:tcBorders>
              <w:top w:val="nil"/>
              <w:left w:val="nil"/>
              <w:bottom w:val="single" w:sz="4" w:space="0" w:color="000000"/>
              <w:right w:val="single" w:sz="4" w:space="0" w:color="000000"/>
            </w:tcBorders>
            <w:shd w:val="clear" w:color="auto" w:fill="BFBFBF" w:themeFill="background1" w:themeFillShade="BF"/>
            <w:vAlign w:val="center"/>
          </w:tcPr>
          <w:p w14:paraId="6B048E7D" w14:textId="77777777" w:rsidR="00A00405" w:rsidRPr="0010725E" w:rsidRDefault="00A00405" w:rsidP="001D7C20">
            <w:pPr>
              <w:rPr>
                <w:b/>
                <w:szCs w:val="22"/>
              </w:rPr>
            </w:pPr>
          </w:p>
        </w:tc>
        <w:tc>
          <w:tcPr>
            <w:tcW w:w="757" w:type="pct"/>
            <w:tcBorders>
              <w:top w:val="nil"/>
              <w:left w:val="nil"/>
              <w:bottom w:val="single" w:sz="4" w:space="0" w:color="000000"/>
              <w:right w:val="single" w:sz="4" w:space="0" w:color="000000"/>
            </w:tcBorders>
            <w:shd w:val="clear" w:color="auto" w:fill="BFBFBF" w:themeFill="background1" w:themeFillShade="BF"/>
            <w:vAlign w:val="center"/>
          </w:tcPr>
          <w:p w14:paraId="28DB4926" w14:textId="77777777" w:rsidR="00A00405" w:rsidRPr="0010725E" w:rsidRDefault="00A00405" w:rsidP="001D7C20">
            <w:pPr>
              <w:rPr>
                <w:b/>
                <w:szCs w:val="22"/>
              </w:rPr>
            </w:pPr>
          </w:p>
        </w:tc>
        <w:tc>
          <w:tcPr>
            <w:tcW w:w="792" w:type="pct"/>
            <w:tcBorders>
              <w:top w:val="single" w:sz="4" w:space="0" w:color="000000"/>
              <w:left w:val="nil"/>
              <w:bottom w:val="single" w:sz="4" w:space="0" w:color="000000"/>
              <w:right w:val="single" w:sz="4" w:space="0" w:color="000000"/>
            </w:tcBorders>
            <w:shd w:val="clear" w:color="auto" w:fill="BFBFBF" w:themeFill="background1" w:themeFillShade="BF"/>
            <w:vAlign w:val="center"/>
          </w:tcPr>
          <w:p w14:paraId="7F91F478" w14:textId="77777777" w:rsidR="00A00405" w:rsidRPr="0010725E" w:rsidRDefault="00A00405" w:rsidP="001D7C20">
            <w:pPr>
              <w:rPr>
                <w:b/>
                <w:szCs w:val="22"/>
              </w:rPr>
            </w:pPr>
          </w:p>
        </w:tc>
        <w:tc>
          <w:tcPr>
            <w:tcW w:w="96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D5C8C3E" w14:textId="77777777" w:rsidR="00A00405" w:rsidRPr="0010725E" w:rsidRDefault="00A00405" w:rsidP="001D7C20">
            <w:pPr>
              <w:rPr>
                <w:b/>
                <w:szCs w:val="22"/>
              </w:rPr>
            </w:pPr>
          </w:p>
        </w:tc>
      </w:tr>
      <w:tr w:rsidR="00A00405" w:rsidRPr="0010725E" w14:paraId="7D2270B9"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0CF76A54" w14:textId="77777777" w:rsidR="00A00405" w:rsidRPr="0010725E" w:rsidRDefault="00A00405" w:rsidP="00A00405">
            <w:pPr>
              <w:rPr>
                <w:szCs w:val="22"/>
              </w:rPr>
            </w:pPr>
            <w:r w:rsidRPr="0010725E">
              <w:rPr>
                <w:szCs w:val="22"/>
              </w:rPr>
              <w:t>Costa Rica</w:t>
            </w:r>
          </w:p>
        </w:tc>
        <w:tc>
          <w:tcPr>
            <w:tcW w:w="774" w:type="pct"/>
            <w:tcBorders>
              <w:top w:val="nil"/>
              <w:left w:val="nil"/>
              <w:bottom w:val="single" w:sz="4" w:space="0" w:color="000000"/>
              <w:right w:val="single" w:sz="4" w:space="0" w:color="000000"/>
            </w:tcBorders>
            <w:shd w:val="clear" w:color="auto" w:fill="auto"/>
            <w:vAlign w:val="bottom"/>
          </w:tcPr>
          <w:p w14:paraId="0AB6C973" w14:textId="77777777" w:rsidR="00A00405" w:rsidRPr="0010725E" w:rsidRDefault="00A00405" w:rsidP="00A00405">
            <w:pPr>
              <w:rPr>
                <w:szCs w:val="22"/>
              </w:rPr>
            </w:pPr>
            <w:r w:rsidRPr="0010725E">
              <w:rPr>
                <w:szCs w:val="22"/>
              </w:rPr>
              <w:t>11,645.6</w:t>
            </w:r>
          </w:p>
        </w:tc>
        <w:tc>
          <w:tcPr>
            <w:tcW w:w="757" w:type="pct"/>
            <w:tcBorders>
              <w:top w:val="nil"/>
              <w:left w:val="nil"/>
              <w:bottom w:val="single" w:sz="4" w:space="0" w:color="000000"/>
              <w:right w:val="single" w:sz="4" w:space="0" w:color="000000"/>
            </w:tcBorders>
            <w:shd w:val="clear" w:color="auto" w:fill="auto"/>
            <w:vAlign w:val="bottom"/>
          </w:tcPr>
          <w:p w14:paraId="215AFC57" w14:textId="77777777" w:rsidR="00A00405" w:rsidRPr="0010725E" w:rsidRDefault="00A00405" w:rsidP="00A00405">
            <w:pPr>
              <w:rPr>
                <w:szCs w:val="22"/>
              </w:rPr>
            </w:pPr>
            <w:r w:rsidRPr="0010725E">
              <w:rPr>
                <w:szCs w:val="22"/>
              </w:rPr>
              <w:t>12,009.4</w:t>
            </w:r>
          </w:p>
        </w:tc>
        <w:tc>
          <w:tcPr>
            <w:tcW w:w="792" w:type="pct"/>
            <w:tcBorders>
              <w:top w:val="single" w:sz="4" w:space="0" w:color="000000"/>
              <w:left w:val="nil"/>
              <w:bottom w:val="single" w:sz="4" w:space="0" w:color="000000"/>
              <w:right w:val="single" w:sz="4" w:space="0" w:color="000000"/>
            </w:tcBorders>
            <w:vAlign w:val="center"/>
          </w:tcPr>
          <w:p w14:paraId="3A8F4956" w14:textId="77777777" w:rsidR="00A00405" w:rsidRPr="0010725E" w:rsidRDefault="00A00405" w:rsidP="00A00405">
            <w:pPr>
              <w:rPr>
                <w:szCs w:val="22"/>
              </w:rPr>
            </w:pPr>
            <w:r w:rsidRPr="0010725E">
              <w:rPr>
                <w:szCs w:val="22"/>
              </w:rPr>
              <w:t>3.0</w:t>
            </w:r>
          </w:p>
        </w:tc>
        <w:tc>
          <w:tcPr>
            <w:tcW w:w="963" w:type="pct"/>
            <w:tcBorders>
              <w:top w:val="single" w:sz="4" w:space="0" w:color="000000"/>
              <w:left w:val="single" w:sz="4" w:space="0" w:color="000000"/>
              <w:bottom w:val="single" w:sz="4" w:space="0" w:color="000000"/>
              <w:right w:val="single" w:sz="4" w:space="0" w:color="000000"/>
            </w:tcBorders>
            <w:vAlign w:val="center"/>
          </w:tcPr>
          <w:p w14:paraId="25FD2FE0" w14:textId="77777777" w:rsidR="00A00405" w:rsidRPr="0010725E" w:rsidRDefault="00A00405" w:rsidP="00A00405">
            <w:pPr>
              <w:rPr>
                <w:szCs w:val="22"/>
              </w:rPr>
            </w:pPr>
            <w:r w:rsidRPr="0010725E">
              <w:rPr>
                <w:szCs w:val="22"/>
              </w:rPr>
              <w:t>92.2</w:t>
            </w:r>
          </w:p>
        </w:tc>
      </w:tr>
      <w:tr w:rsidR="00A00405" w:rsidRPr="0010725E" w14:paraId="53FB9E8D"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2D4B6CEF" w14:textId="77777777" w:rsidR="00A00405" w:rsidRPr="0010725E" w:rsidRDefault="00A00405" w:rsidP="00A00405">
            <w:pPr>
              <w:rPr>
                <w:szCs w:val="22"/>
              </w:rPr>
            </w:pPr>
            <w:r w:rsidRPr="0010725E">
              <w:rPr>
                <w:szCs w:val="22"/>
              </w:rPr>
              <w:t>El Salvador</w:t>
            </w:r>
          </w:p>
        </w:tc>
        <w:tc>
          <w:tcPr>
            <w:tcW w:w="774" w:type="pct"/>
            <w:tcBorders>
              <w:top w:val="nil"/>
              <w:left w:val="nil"/>
              <w:bottom w:val="single" w:sz="4" w:space="0" w:color="000000"/>
              <w:right w:val="single" w:sz="4" w:space="0" w:color="000000"/>
            </w:tcBorders>
            <w:shd w:val="clear" w:color="auto" w:fill="auto"/>
            <w:vAlign w:val="bottom"/>
          </w:tcPr>
          <w:p w14:paraId="419ECCE3" w14:textId="77777777" w:rsidR="00A00405" w:rsidRPr="0010725E" w:rsidRDefault="00A00405" w:rsidP="00A00405">
            <w:pPr>
              <w:rPr>
                <w:szCs w:val="22"/>
              </w:rPr>
            </w:pPr>
            <w:r w:rsidRPr="0010725E">
              <w:rPr>
                <w:szCs w:val="22"/>
              </w:rPr>
              <w:t>7,899.9</w:t>
            </w:r>
          </w:p>
        </w:tc>
        <w:tc>
          <w:tcPr>
            <w:tcW w:w="757" w:type="pct"/>
            <w:tcBorders>
              <w:top w:val="nil"/>
              <w:left w:val="nil"/>
              <w:bottom w:val="single" w:sz="4" w:space="0" w:color="000000"/>
              <w:right w:val="single" w:sz="4" w:space="0" w:color="000000"/>
            </w:tcBorders>
            <w:shd w:val="clear" w:color="auto" w:fill="auto"/>
            <w:vAlign w:val="bottom"/>
          </w:tcPr>
          <w:p w14:paraId="042705EC" w14:textId="77777777" w:rsidR="00A00405" w:rsidRPr="0010725E" w:rsidRDefault="00A00405" w:rsidP="00A00405">
            <w:pPr>
              <w:rPr>
                <w:szCs w:val="22"/>
              </w:rPr>
            </w:pPr>
            <w:r w:rsidRPr="0010725E">
              <w:rPr>
                <w:szCs w:val="22"/>
              </w:rPr>
              <w:t>8,093.6</w:t>
            </w:r>
          </w:p>
        </w:tc>
        <w:tc>
          <w:tcPr>
            <w:tcW w:w="792" w:type="pct"/>
            <w:tcBorders>
              <w:top w:val="single" w:sz="4" w:space="0" w:color="000000"/>
              <w:left w:val="nil"/>
              <w:bottom w:val="single" w:sz="4" w:space="0" w:color="000000"/>
              <w:right w:val="single" w:sz="4" w:space="0" w:color="000000"/>
            </w:tcBorders>
            <w:vAlign w:val="center"/>
          </w:tcPr>
          <w:p w14:paraId="681ADFF6" w14:textId="77777777" w:rsidR="00A00405" w:rsidRPr="0010725E" w:rsidRDefault="00A00405" w:rsidP="00A00405">
            <w:pPr>
              <w:rPr>
                <w:szCs w:val="22"/>
              </w:rPr>
            </w:pPr>
            <w:r w:rsidRPr="0010725E">
              <w:rPr>
                <w:szCs w:val="22"/>
              </w:rPr>
              <w:t>2.4</w:t>
            </w:r>
          </w:p>
        </w:tc>
        <w:tc>
          <w:tcPr>
            <w:tcW w:w="963" w:type="pct"/>
            <w:tcBorders>
              <w:top w:val="single" w:sz="4" w:space="0" w:color="000000"/>
              <w:left w:val="single" w:sz="4" w:space="0" w:color="000000"/>
              <w:bottom w:val="single" w:sz="4" w:space="0" w:color="000000"/>
              <w:right w:val="single" w:sz="4" w:space="0" w:color="000000"/>
            </w:tcBorders>
            <w:vAlign w:val="center"/>
          </w:tcPr>
          <w:p w14:paraId="6A0EC72B" w14:textId="77777777" w:rsidR="00A00405" w:rsidRPr="0010725E" w:rsidRDefault="00A00405" w:rsidP="00A00405">
            <w:pPr>
              <w:rPr>
                <w:szCs w:val="22"/>
              </w:rPr>
            </w:pPr>
            <w:r w:rsidRPr="0010725E">
              <w:rPr>
                <w:szCs w:val="22"/>
              </w:rPr>
              <w:t>60.7</w:t>
            </w:r>
          </w:p>
        </w:tc>
      </w:tr>
      <w:tr w:rsidR="00A00405" w:rsidRPr="0010725E" w14:paraId="6CFFFAA7" w14:textId="77777777" w:rsidTr="001D7C20">
        <w:trPr>
          <w:trHeight w:val="320"/>
          <w:jc w:val="center"/>
        </w:trPr>
        <w:tc>
          <w:tcPr>
            <w:tcW w:w="171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76FE7092" w14:textId="77777777" w:rsidR="00A00405" w:rsidRPr="0010725E" w:rsidRDefault="00A00405" w:rsidP="00A00405">
            <w:pPr>
              <w:rPr>
                <w:szCs w:val="22"/>
              </w:rPr>
            </w:pPr>
            <w:r w:rsidRPr="0010725E">
              <w:rPr>
                <w:szCs w:val="22"/>
              </w:rPr>
              <w:t>Honduras</w:t>
            </w:r>
          </w:p>
        </w:tc>
        <w:tc>
          <w:tcPr>
            <w:tcW w:w="774" w:type="pct"/>
            <w:tcBorders>
              <w:top w:val="single" w:sz="4" w:space="0" w:color="000000"/>
              <w:left w:val="nil"/>
              <w:bottom w:val="single" w:sz="4" w:space="0" w:color="000000"/>
              <w:right w:val="single" w:sz="4" w:space="0" w:color="000000"/>
            </w:tcBorders>
            <w:shd w:val="clear" w:color="auto" w:fill="auto"/>
            <w:vAlign w:val="bottom"/>
          </w:tcPr>
          <w:p w14:paraId="1A3179B7" w14:textId="77777777" w:rsidR="00A00405" w:rsidRPr="0010725E" w:rsidRDefault="00A00405" w:rsidP="00A00405">
            <w:pPr>
              <w:rPr>
                <w:szCs w:val="22"/>
              </w:rPr>
            </w:pPr>
            <w:r w:rsidRPr="0010725E">
              <w:rPr>
                <w:szCs w:val="22"/>
              </w:rPr>
              <w:t>7013.7</w:t>
            </w:r>
          </w:p>
        </w:tc>
        <w:tc>
          <w:tcPr>
            <w:tcW w:w="757" w:type="pct"/>
            <w:tcBorders>
              <w:top w:val="single" w:sz="4" w:space="0" w:color="000000"/>
              <w:left w:val="nil"/>
              <w:bottom w:val="single" w:sz="4" w:space="0" w:color="000000"/>
              <w:right w:val="single" w:sz="4" w:space="0" w:color="000000"/>
            </w:tcBorders>
            <w:shd w:val="clear" w:color="auto" w:fill="auto"/>
            <w:vAlign w:val="bottom"/>
          </w:tcPr>
          <w:p w14:paraId="771731E0" w14:textId="77777777" w:rsidR="00A00405" w:rsidRPr="0010725E" w:rsidRDefault="00A00405" w:rsidP="00A00405">
            <w:pPr>
              <w:rPr>
                <w:szCs w:val="22"/>
              </w:rPr>
            </w:pPr>
            <w:r w:rsidRPr="0010725E">
              <w:rPr>
                <w:szCs w:val="22"/>
              </w:rPr>
              <w:t>7,731.6</w:t>
            </w:r>
          </w:p>
        </w:tc>
        <w:tc>
          <w:tcPr>
            <w:tcW w:w="792" w:type="pct"/>
            <w:tcBorders>
              <w:top w:val="single" w:sz="4" w:space="0" w:color="000000"/>
              <w:left w:val="nil"/>
              <w:bottom w:val="single" w:sz="4" w:space="0" w:color="000000"/>
              <w:right w:val="single" w:sz="4" w:space="0" w:color="000000"/>
            </w:tcBorders>
            <w:vAlign w:val="center"/>
          </w:tcPr>
          <w:p w14:paraId="4FE15AC1" w14:textId="77777777" w:rsidR="00A00405" w:rsidRPr="0010725E" w:rsidRDefault="00A00405" w:rsidP="00A00405">
            <w:pPr>
              <w:rPr>
                <w:szCs w:val="22"/>
              </w:rPr>
            </w:pPr>
            <w:r w:rsidRPr="0010725E">
              <w:rPr>
                <w:szCs w:val="22"/>
              </w:rPr>
              <w:t>9.3</w:t>
            </w:r>
          </w:p>
        </w:tc>
        <w:tc>
          <w:tcPr>
            <w:tcW w:w="963" w:type="pct"/>
            <w:tcBorders>
              <w:top w:val="single" w:sz="4" w:space="0" w:color="000000"/>
              <w:left w:val="single" w:sz="4" w:space="0" w:color="000000"/>
              <w:bottom w:val="single" w:sz="4" w:space="0" w:color="000000"/>
              <w:right w:val="single" w:sz="4" w:space="0" w:color="000000"/>
            </w:tcBorders>
            <w:vAlign w:val="center"/>
          </w:tcPr>
          <w:p w14:paraId="13638C09" w14:textId="77777777" w:rsidR="00A00405" w:rsidRPr="0010725E" w:rsidRDefault="00A00405" w:rsidP="00A00405">
            <w:pPr>
              <w:rPr>
                <w:szCs w:val="22"/>
              </w:rPr>
            </w:pPr>
            <w:r w:rsidRPr="0010725E">
              <w:rPr>
                <w:szCs w:val="22"/>
              </w:rPr>
              <w:t>45.1</w:t>
            </w:r>
          </w:p>
        </w:tc>
      </w:tr>
      <w:tr w:rsidR="00A00405" w:rsidRPr="0010725E" w14:paraId="4C272F2F" w14:textId="77777777" w:rsidTr="001D7C20">
        <w:trPr>
          <w:trHeight w:val="320"/>
          <w:jc w:val="center"/>
        </w:trPr>
        <w:tc>
          <w:tcPr>
            <w:tcW w:w="171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333FBA27" w14:textId="77777777" w:rsidR="00A00405" w:rsidRPr="0010725E" w:rsidRDefault="00A00405" w:rsidP="00A00405">
            <w:pPr>
              <w:rPr>
                <w:szCs w:val="22"/>
              </w:rPr>
            </w:pPr>
            <w:r w:rsidRPr="0010725E">
              <w:rPr>
                <w:szCs w:val="22"/>
              </w:rPr>
              <w:t>Guatemala</w:t>
            </w:r>
          </w:p>
        </w:tc>
        <w:tc>
          <w:tcPr>
            <w:tcW w:w="774" w:type="pct"/>
            <w:tcBorders>
              <w:top w:val="single" w:sz="4" w:space="0" w:color="000000"/>
              <w:left w:val="nil"/>
              <w:bottom w:val="single" w:sz="4" w:space="0" w:color="000000"/>
              <w:right w:val="single" w:sz="4" w:space="0" w:color="000000"/>
            </w:tcBorders>
            <w:shd w:val="clear" w:color="auto" w:fill="auto"/>
            <w:vAlign w:val="bottom"/>
          </w:tcPr>
          <w:p w14:paraId="2ED529C9" w14:textId="77777777" w:rsidR="00A00405" w:rsidRPr="0010725E" w:rsidRDefault="00A00405" w:rsidP="00A00405">
            <w:pPr>
              <w:rPr>
                <w:szCs w:val="22"/>
              </w:rPr>
            </w:pPr>
            <w:r w:rsidRPr="0010725E">
              <w:rPr>
                <w:szCs w:val="22"/>
              </w:rPr>
              <w:t>8,318.9</w:t>
            </w:r>
          </w:p>
        </w:tc>
        <w:tc>
          <w:tcPr>
            <w:tcW w:w="757" w:type="pct"/>
            <w:tcBorders>
              <w:top w:val="single" w:sz="4" w:space="0" w:color="000000"/>
              <w:left w:val="nil"/>
              <w:bottom w:val="single" w:sz="4" w:space="0" w:color="000000"/>
              <w:right w:val="single" w:sz="4" w:space="0" w:color="000000"/>
            </w:tcBorders>
            <w:shd w:val="clear" w:color="auto" w:fill="auto"/>
            <w:vAlign w:val="bottom"/>
          </w:tcPr>
          <w:p w14:paraId="42B0BFAA" w14:textId="77777777" w:rsidR="00A00405" w:rsidRPr="0010725E" w:rsidRDefault="00A00405" w:rsidP="00A00405">
            <w:pPr>
              <w:rPr>
                <w:szCs w:val="22"/>
              </w:rPr>
            </w:pPr>
            <w:r w:rsidRPr="0010725E">
              <w:rPr>
                <w:szCs w:val="22"/>
              </w:rPr>
              <w:t>8,958.9</w:t>
            </w:r>
          </w:p>
        </w:tc>
        <w:tc>
          <w:tcPr>
            <w:tcW w:w="792" w:type="pct"/>
            <w:tcBorders>
              <w:top w:val="single" w:sz="4" w:space="0" w:color="000000"/>
              <w:left w:val="nil"/>
              <w:bottom w:val="single" w:sz="4" w:space="0" w:color="000000"/>
              <w:right w:val="single" w:sz="4" w:space="0" w:color="000000"/>
            </w:tcBorders>
            <w:vAlign w:val="center"/>
          </w:tcPr>
          <w:p w14:paraId="11B5A6B7" w14:textId="77777777" w:rsidR="00A00405" w:rsidRPr="0010725E" w:rsidRDefault="00A00405" w:rsidP="00A00405">
            <w:pPr>
              <w:rPr>
                <w:szCs w:val="22"/>
              </w:rPr>
            </w:pPr>
            <w:r w:rsidRPr="0010725E">
              <w:rPr>
                <w:szCs w:val="22"/>
              </w:rPr>
              <w:t>7.1</w:t>
            </w:r>
          </w:p>
        </w:tc>
        <w:tc>
          <w:tcPr>
            <w:tcW w:w="963" w:type="pct"/>
            <w:tcBorders>
              <w:top w:val="single" w:sz="4" w:space="0" w:color="000000"/>
              <w:left w:val="single" w:sz="4" w:space="0" w:color="000000"/>
              <w:bottom w:val="single" w:sz="4" w:space="0" w:color="000000"/>
              <w:right w:val="single" w:sz="4" w:space="0" w:color="000000"/>
            </w:tcBorders>
            <w:vAlign w:val="center"/>
          </w:tcPr>
          <w:p w14:paraId="00C978AD" w14:textId="77777777" w:rsidR="00A00405" w:rsidRPr="0010725E" w:rsidRDefault="00A00405" w:rsidP="00A00405">
            <w:pPr>
              <w:rPr>
                <w:szCs w:val="22"/>
              </w:rPr>
            </w:pPr>
            <w:r w:rsidRPr="0010725E">
              <w:rPr>
                <w:szCs w:val="22"/>
              </w:rPr>
              <w:t>68.1</w:t>
            </w:r>
          </w:p>
        </w:tc>
      </w:tr>
      <w:tr w:rsidR="00A00405" w:rsidRPr="0010725E" w14:paraId="2EC71CF7"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1649E99B" w14:textId="77777777" w:rsidR="00A00405" w:rsidRPr="0010725E" w:rsidRDefault="00A00405" w:rsidP="00A00405">
            <w:pPr>
              <w:rPr>
                <w:szCs w:val="22"/>
              </w:rPr>
            </w:pPr>
            <w:r w:rsidRPr="0010725E">
              <w:rPr>
                <w:szCs w:val="22"/>
              </w:rPr>
              <w:t>Mexico</w:t>
            </w:r>
          </w:p>
        </w:tc>
        <w:tc>
          <w:tcPr>
            <w:tcW w:w="774" w:type="pct"/>
            <w:tcBorders>
              <w:top w:val="nil"/>
              <w:left w:val="nil"/>
              <w:bottom w:val="single" w:sz="4" w:space="0" w:color="000000"/>
              <w:right w:val="single" w:sz="4" w:space="0" w:color="000000"/>
            </w:tcBorders>
            <w:shd w:val="clear" w:color="auto" w:fill="auto"/>
            <w:vAlign w:val="bottom"/>
          </w:tcPr>
          <w:p w14:paraId="2C93A1D9" w14:textId="77777777" w:rsidR="00A00405" w:rsidRPr="0010725E" w:rsidRDefault="00A00405" w:rsidP="00A00405">
            <w:pPr>
              <w:rPr>
                <w:szCs w:val="22"/>
              </w:rPr>
            </w:pPr>
            <w:r w:rsidRPr="0010725E">
              <w:rPr>
                <w:szCs w:val="22"/>
              </w:rPr>
              <w:t>18,328.0</w:t>
            </w:r>
          </w:p>
        </w:tc>
        <w:tc>
          <w:tcPr>
            <w:tcW w:w="757" w:type="pct"/>
            <w:tcBorders>
              <w:top w:val="nil"/>
              <w:left w:val="nil"/>
              <w:bottom w:val="single" w:sz="4" w:space="0" w:color="000000"/>
              <w:right w:val="single" w:sz="4" w:space="0" w:color="000000"/>
            </w:tcBorders>
            <w:shd w:val="clear" w:color="auto" w:fill="auto"/>
            <w:vAlign w:val="bottom"/>
          </w:tcPr>
          <w:p w14:paraId="36B4C0B3" w14:textId="77777777" w:rsidR="00A00405" w:rsidRPr="0010725E" w:rsidRDefault="00A00405" w:rsidP="00A00405">
            <w:pPr>
              <w:rPr>
                <w:szCs w:val="22"/>
              </w:rPr>
            </w:pPr>
            <w:r w:rsidRPr="0010725E">
              <w:rPr>
                <w:szCs w:val="22"/>
              </w:rPr>
              <w:t>18,040.4</w:t>
            </w:r>
          </w:p>
        </w:tc>
        <w:tc>
          <w:tcPr>
            <w:tcW w:w="792" w:type="pct"/>
            <w:tcBorders>
              <w:top w:val="single" w:sz="4" w:space="0" w:color="000000"/>
              <w:left w:val="nil"/>
              <w:bottom w:val="single" w:sz="4" w:space="0" w:color="000000"/>
              <w:right w:val="single" w:sz="4" w:space="0" w:color="000000"/>
            </w:tcBorders>
            <w:vAlign w:val="center"/>
          </w:tcPr>
          <w:p w14:paraId="4F5155B7" w14:textId="77777777" w:rsidR="00A00405" w:rsidRPr="0010725E" w:rsidRDefault="00A00405" w:rsidP="00A00405">
            <w:pPr>
              <w:rPr>
                <w:szCs w:val="22"/>
              </w:rPr>
            </w:pPr>
            <w:r w:rsidRPr="0010725E">
              <w:rPr>
                <w:szCs w:val="22"/>
              </w:rPr>
              <w:t>-1.6</w:t>
            </w:r>
          </w:p>
        </w:tc>
        <w:tc>
          <w:tcPr>
            <w:tcW w:w="963" w:type="pct"/>
            <w:tcBorders>
              <w:top w:val="single" w:sz="4" w:space="0" w:color="000000"/>
              <w:left w:val="single" w:sz="4" w:space="0" w:color="000000"/>
              <w:bottom w:val="single" w:sz="4" w:space="0" w:color="000000"/>
              <w:right w:val="single" w:sz="4" w:space="0" w:color="000000"/>
            </w:tcBorders>
            <w:vAlign w:val="center"/>
          </w:tcPr>
          <w:p w14:paraId="7E521A47" w14:textId="77777777" w:rsidR="00A00405" w:rsidRPr="0010725E" w:rsidRDefault="00A00405" w:rsidP="00A00405">
            <w:pPr>
              <w:rPr>
                <w:szCs w:val="22"/>
              </w:rPr>
            </w:pPr>
            <w:r w:rsidRPr="0010725E">
              <w:rPr>
                <w:szCs w:val="22"/>
              </w:rPr>
              <w:t>15.7</w:t>
            </w:r>
          </w:p>
        </w:tc>
      </w:tr>
      <w:tr w:rsidR="00A00405" w:rsidRPr="0010725E" w14:paraId="456E9667"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27AEFD48" w14:textId="77777777" w:rsidR="00A00405" w:rsidRPr="0010725E" w:rsidRDefault="00A00405" w:rsidP="00A00405">
            <w:pPr>
              <w:rPr>
                <w:szCs w:val="22"/>
              </w:rPr>
            </w:pPr>
            <w:r w:rsidRPr="0010725E">
              <w:rPr>
                <w:szCs w:val="22"/>
              </w:rPr>
              <w:t>Nicaragua</w:t>
            </w:r>
          </w:p>
        </w:tc>
        <w:tc>
          <w:tcPr>
            <w:tcW w:w="774" w:type="pct"/>
            <w:tcBorders>
              <w:top w:val="nil"/>
              <w:left w:val="nil"/>
              <w:bottom w:val="single" w:sz="4" w:space="0" w:color="000000"/>
              <w:right w:val="single" w:sz="4" w:space="0" w:color="000000"/>
            </w:tcBorders>
            <w:shd w:val="clear" w:color="auto" w:fill="auto"/>
            <w:vAlign w:val="bottom"/>
          </w:tcPr>
          <w:p w14:paraId="7F378CEB" w14:textId="77777777" w:rsidR="00A00405" w:rsidRPr="0010725E" w:rsidRDefault="00A00405" w:rsidP="00A00405">
            <w:pPr>
              <w:rPr>
                <w:szCs w:val="22"/>
              </w:rPr>
            </w:pPr>
            <w:r w:rsidRPr="0010725E">
              <w:rPr>
                <w:szCs w:val="22"/>
              </w:rPr>
              <w:t>6,325.5</w:t>
            </w:r>
          </w:p>
        </w:tc>
        <w:tc>
          <w:tcPr>
            <w:tcW w:w="757" w:type="pct"/>
            <w:tcBorders>
              <w:top w:val="nil"/>
              <w:left w:val="nil"/>
              <w:bottom w:val="single" w:sz="4" w:space="0" w:color="000000"/>
              <w:right w:val="single" w:sz="4" w:space="0" w:color="000000"/>
            </w:tcBorders>
            <w:shd w:val="clear" w:color="auto" w:fill="auto"/>
            <w:vAlign w:val="bottom"/>
          </w:tcPr>
          <w:p w14:paraId="11260471" w14:textId="77777777" w:rsidR="00A00405" w:rsidRPr="0010725E" w:rsidRDefault="00A00405" w:rsidP="00A00405">
            <w:pPr>
              <w:rPr>
                <w:szCs w:val="22"/>
              </w:rPr>
            </w:pPr>
            <w:r w:rsidRPr="0010725E">
              <w:rPr>
                <w:szCs w:val="22"/>
              </w:rPr>
              <w:t>6,928.6</w:t>
            </w:r>
          </w:p>
        </w:tc>
        <w:tc>
          <w:tcPr>
            <w:tcW w:w="792" w:type="pct"/>
            <w:tcBorders>
              <w:top w:val="single" w:sz="4" w:space="0" w:color="000000"/>
              <w:left w:val="nil"/>
              <w:bottom w:val="single" w:sz="4" w:space="0" w:color="000000"/>
              <w:right w:val="single" w:sz="4" w:space="0" w:color="000000"/>
            </w:tcBorders>
            <w:vAlign w:val="center"/>
          </w:tcPr>
          <w:p w14:paraId="7A851A45" w14:textId="77777777" w:rsidR="00A00405" w:rsidRPr="0010725E" w:rsidRDefault="00A00405" w:rsidP="00A00405">
            <w:pPr>
              <w:rPr>
                <w:szCs w:val="22"/>
              </w:rPr>
            </w:pPr>
            <w:r w:rsidRPr="0010725E">
              <w:rPr>
                <w:szCs w:val="22"/>
              </w:rPr>
              <w:t>8.7</w:t>
            </w:r>
          </w:p>
        </w:tc>
        <w:tc>
          <w:tcPr>
            <w:tcW w:w="963" w:type="pct"/>
            <w:tcBorders>
              <w:top w:val="single" w:sz="4" w:space="0" w:color="000000"/>
              <w:left w:val="single" w:sz="4" w:space="0" w:color="000000"/>
              <w:bottom w:val="single" w:sz="4" w:space="0" w:color="000000"/>
              <w:right w:val="single" w:sz="4" w:space="0" w:color="000000"/>
            </w:tcBorders>
            <w:vAlign w:val="center"/>
          </w:tcPr>
          <w:p w14:paraId="5F4DC43F" w14:textId="77777777" w:rsidR="00A00405" w:rsidRPr="0010725E" w:rsidRDefault="00A00405" w:rsidP="00A00405">
            <w:pPr>
              <w:rPr>
                <w:szCs w:val="22"/>
              </w:rPr>
            </w:pPr>
            <w:r w:rsidRPr="0010725E">
              <w:rPr>
                <w:szCs w:val="22"/>
              </w:rPr>
              <w:t>41.1</w:t>
            </w:r>
          </w:p>
        </w:tc>
      </w:tr>
      <w:tr w:rsidR="00A00405" w:rsidRPr="0010725E" w14:paraId="36D3B938"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3E8CCE60" w14:textId="77777777" w:rsidR="00A00405" w:rsidRPr="0010725E" w:rsidRDefault="00A00405" w:rsidP="00A00405">
            <w:pPr>
              <w:rPr>
                <w:szCs w:val="22"/>
              </w:rPr>
            </w:pPr>
            <w:r w:rsidRPr="0010725E">
              <w:rPr>
                <w:szCs w:val="22"/>
              </w:rPr>
              <w:t>Panama</w:t>
            </w:r>
          </w:p>
        </w:tc>
        <w:tc>
          <w:tcPr>
            <w:tcW w:w="774" w:type="pct"/>
            <w:tcBorders>
              <w:top w:val="nil"/>
              <w:left w:val="nil"/>
              <w:bottom w:val="single" w:sz="4" w:space="0" w:color="000000"/>
              <w:right w:val="single" w:sz="4" w:space="0" w:color="000000"/>
            </w:tcBorders>
            <w:shd w:val="clear" w:color="auto" w:fill="auto"/>
            <w:vAlign w:val="bottom"/>
          </w:tcPr>
          <w:p w14:paraId="3AD6145D" w14:textId="77777777" w:rsidR="00A00405" w:rsidRPr="0010725E" w:rsidRDefault="00A00405" w:rsidP="00A00405">
            <w:pPr>
              <w:rPr>
                <w:szCs w:val="22"/>
              </w:rPr>
            </w:pPr>
            <w:r w:rsidRPr="0010725E">
              <w:rPr>
                <w:szCs w:val="22"/>
              </w:rPr>
              <w:t>12,519.6</w:t>
            </w:r>
          </w:p>
        </w:tc>
        <w:tc>
          <w:tcPr>
            <w:tcW w:w="757" w:type="pct"/>
            <w:tcBorders>
              <w:top w:val="nil"/>
              <w:left w:val="nil"/>
              <w:bottom w:val="single" w:sz="4" w:space="0" w:color="000000"/>
              <w:right w:val="single" w:sz="4" w:space="0" w:color="000000"/>
            </w:tcBorders>
            <w:shd w:val="clear" w:color="auto" w:fill="auto"/>
            <w:vAlign w:val="bottom"/>
          </w:tcPr>
          <w:p w14:paraId="41D8054F" w14:textId="77777777" w:rsidR="00A00405" w:rsidRPr="0010725E" w:rsidRDefault="00A00405" w:rsidP="00A00405">
            <w:pPr>
              <w:rPr>
                <w:szCs w:val="22"/>
              </w:rPr>
            </w:pPr>
            <w:r w:rsidRPr="0010725E">
              <w:rPr>
                <w:szCs w:val="22"/>
              </w:rPr>
              <w:t>12,341.7</w:t>
            </w:r>
          </w:p>
        </w:tc>
        <w:tc>
          <w:tcPr>
            <w:tcW w:w="792" w:type="pct"/>
            <w:tcBorders>
              <w:top w:val="single" w:sz="4" w:space="0" w:color="000000"/>
              <w:left w:val="nil"/>
              <w:bottom w:val="single" w:sz="4" w:space="0" w:color="000000"/>
              <w:right w:val="single" w:sz="4" w:space="0" w:color="000000"/>
            </w:tcBorders>
            <w:vAlign w:val="center"/>
          </w:tcPr>
          <w:p w14:paraId="17507328" w14:textId="77777777" w:rsidR="00A00405" w:rsidRPr="0010725E" w:rsidRDefault="00A00405" w:rsidP="00A00405">
            <w:pPr>
              <w:rPr>
                <w:szCs w:val="22"/>
              </w:rPr>
            </w:pPr>
            <w:r w:rsidRPr="0010725E">
              <w:rPr>
                <w:szCs w:val="22"/>
              </w:rPr>
              <w:t>-1.4</w:t>
            </w:r>
          </w:p>
        </w:tc>
        <w:tc>
          <w:tcPr>
            <w:tcW w:w="963" w:type="pct"/>
            <w:tcBorders>
              <w:top w:val="single" w:sz="4" w:space="0" w:color="000000"/>
              <w:left w:val="single" w:sz="4" w:space="0" w:color="000000"/>
              <w:bottom w:val="single" w:sz="4" w:space="0" w:color="000000"/>
              <w:right w:val="single" w:sz="4" w:space="0" w:color="000000"/>
            </w:tcBorders>
            <w:vAlign w:val="center"/>
          </w:tcPr>
          <w:p w14:paraId="045E75A4" w14:textId="77777777" w:rsidR="00A00405" w:rsidRPr="0010725E" w:rsidRDefault="00A00405" w:rsidP="00A00405">
            <w:pPr>
              <w:rPr>
                <w:szCs w:val="22"/>
              </w:rPr>
            </w:pPr>
            <w:r w:rsidRPr="0010725E">
              <w:rPr>
                <w:szCs w:val="22"/>
              </w:rPr>
              <w:t>64.1</w:t>
            </w:r>
          </w:p>
        </w:tc>
      </w:tr>
      <w:tr w:rsidR="00A00405" w:rsidRPr="0010725E" w14:paraId="6FD90D1F" w14:textId="77777777" w:rsidTr="001D7C20">
        <w:trPr>
          <w:trHeight w:val="320"/>
          <w:jc w:val="center"/>
        </w:trPr>
        <w:tc>
          <w:tcPr>
            <w:tcW w:w="171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3756C5D" w14:textId="77777777" w:rsidR="00A00405" w:rsidRPr="0010725E" w:rsidRDefault="00A00405" w:rsidP="001D7C20">
            <w:pPr>
              <w:rPr>
                <w:szCs w:val="22"/>
              </w:rPr>
            </w:pPr>
            <w:r w:rsidRPr="0010725E">
              <w:rPr>
                <w:b/>
                <w:szCs w:val="22"/>
              </w:rPr>
              <w:t>Caribbean</w:t>
            </w:r>
          </w:p>
        </w:tc>
        <w:tc>
          <w:tcPr>
            <w:tcW w:w="774" w:type="pct"/>
            <w:tcBorders>
              <w:top w:val="single" w:sz="4" w:space="0" w:color="000000"/>
              <w:left w:val="nil"/>
              <w:bottom w:val="single" w:sz="4" w:space="0" w:color="000000"/>
              <w:right w:val="single" w:sz="4" w:space="0" w:color="000000"/>
            </w:tcBorders>
            <w:shd w:val="clear" w:color="auto" w:fill="BFBFBF" w:themeFill="background1" w:themeFillShade="BF"/>
            <w:vAlign w:val="center"/>
          </w:tcPr>
          <w:p w14:paraId="7ACB0F83" w14:textId="77777777" w:rsidR="00A00405" w:rsidRPr="0010725E" w:rsidRDefault="00A00405" w:rsidP="001D7C20">
            <w:pPr>
              <w:rPr>
                <w:szCs w:val="22"/>
              </w:rPr>
            </w:pPr>
            <w:r w:rsidRPr="0010725E">
              <w:rPr>
                <w:szCs w:val="22"/>
              </w:rPr>
              <w:t xml:space="preserve"> </w:t>
            </w:r>
          </w:p>
        </w:tc>
        <w:tc>
          <w:tcPr>
            <w:tcW w:w="757" w:type="pct"/>
            <w:tcBorders>
              <w:top w:val="single" w:sz="4" w:space="0" w:color="000000"/>
              <w:left w:val="nil"/>
              <w:bottom w:val="single" w:sz="4" w:space="0" w:color="000000"/>
              <w:right w:val="single" w:sz="4" w:space="0" w:color="000000"/>
            </w:tcBorders>
            <w:shd w:val="clear" w:color="auto" w:fill="BFBFBF" w:themeFill="background1" w:themeFillShade="BF"/>
            <w:vAlign w:val="center"/>
          </w:tcPr>
          <w:p w14:paraId="5B1F0BCD" w14:textId="77777777" w:rsidR="00A00405" w:rsidRPr="0010725E" w:rsidRDefault="00A00405" w:rsidP="001D7C20">
            <w:pPr>
              <w:rPr>
                <w:szCs w:val="22"/>
              </w:rPr>
            </w:pPr>
          </w:p>
        </w:tc>
        <w:tc>
          <w:tcPr>
            <w:tcW w:w="792" w:type="pct"/>
            <w:tcBorders>
              <w:top w:val="single" w:sz="4" w:space="0" w:color="000000"/>
              <w:left w:val="nil"/>
              <w:bottom w:val="single" w:sz="4" w:space="0" w:color="000000"/>
              <w:right w:val="single" w:sz="4" w:space="0" w:color="000000"/>
            </w:tcBorders>
            <w:shd w:val="clear" w:color="auto" w:fill="BFBFBF" w:themeFill="background1" w:themeFillShade="BF"/>
            <w:vAlign w:val="center"/>
          </w:tcPr>
          <w:p w14:paraId="51149103" w14:textId="77777777" w:rsidR="00A00405" w:rsidRPr="0010725E" w:rsidRDefault="00A00405" w:rsidP="001D7C20">
            <w:pPr>
              <w:rPr>
                <w:szCs w:val="22"/>
              </w:rPr>
            </w:pPr>
          </w:p>
        </w:tc>
        <w:tc>
          <w:tcPr>
            <w:tcW w:w="96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D0BFC41" w14:textId="77777777" w:rsidR="00A00405" w:rsidRPr="0010725E" w:rsidRDefault="00A00405" w:rsidP="001D7C20">
            <w:pPr>
              <w:rPr>
                <w:szCs w:val="22"/>
              </w:rPr>
            </w:pPr>
          </w:p>
        </w:tc>
      </w:tr>
      <w:tr w:rsidR="00A00405" w:rsidRPr="0010725E" w14:paraId="1D44207E"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74D95159" w14:textId="77777777" w:rsidR="00A00405" w:rsidRPr="0010725E" w:rsidRDefault="00A00405" w:rsidP="00A00405">
            <w:pPr>
              <w:rPr>
                <w:szCs w:val="22"/>
              </w:rPr>
            </w:pPr>
            <w:r w:rsidRPr="0010725E">
              <w:rPr>
                <w:szCs w:val="22"/>
              </w:rPr>
              <w:t>Cuba</w:t>
            </w:r>
          </w:p>
        </w:tc>
        <w:tc>
          <w:tcPr>
            <w:tcW w:w="774" w:type="pct"/>
            <w:tcBorders>
              <w:top w:val="nil"/>
              <w:left w:val="nil"/>
              <w:bottom w:val="single" w:sz="4" w:space="0" w:color="000000"/>
              <w:right w:val="single" w:sz="4" w:space="0" w:color="000000"/>
            </w:tcBorders>
            <w:shd w:val="clear" w:color="auto" w:fill="auto"/>
            <w:vAlign w:val="bottom"/>
          </w:tcPr>
          <w:p w14:paraId="5012C389" w14:textId="77777777" w:rsidR="00A00405" w:rsidRPr="0010725E" w:rsidRDefault="00A00405" w:rsidP="00A00405">
            <w:pPr>
              <w:rPr>
                <w:szCs w:val="22"/>
              </w:rPr>
            </w:pPr>
            <w:r w:rsidRPr="0010725E">
              <w:rPr>
                <w:szCs w:val="22"/>
              </w:rPr>
              <w:t>11382.7</w:t>
            </w:r>
          </w:p>
        </w:tc>
        <w:tc>
          <w:tcPr>
            <w:tcW w:w="757" w:type="pct"/>
            <w:tcBorders>
              <w:top w:val="nil"/>
              <w:left w:val="nil"/>
              <w:bottom w:val="single" w:sz="4" w:space="0" w:color="000000"/>
              <w:right w:val="single" w:sz="4" w:space="0" w:color="000000"/>
            </w:tcBorders>
            <w:shd w:val="clear" w:color="auto" w:fill="auto"/>
            <w:vAlign w:val="bottom"/>
          </w:tcPr>
          <w:p w14:paraId="7AE43083" w14:textId="77777777" w:rsidR="00A00405" w:rsidRPr="0010725E" w:rsidRDefault="00A00405" w:rsidP="00A00405">
            <w:pPr>
              <w:rPr>
                <w:szCs w:val="22"/>
              </w:rPr>
            </w:pPr>
            <w:r w:rsidRPr="0010725E">
              <w:rPr>
                <w:szCs w:val="22"/>
              </w:rPr>
              <w:t>12,031.3</w:t>
            </w:r>
          </w:p>
        </w:tc>
        <w:tc>
          <w:tcPr>
            <w:tcW w:w="792" w:type="pct"/>
            <w:tcBorders>
              <w:top w:val="single" w:sz="4" w:space="0" w:color="000000"/>
              <w:left w:val="nil"/>
              <w:bottom w:val="single" w:sz="4" w:space="0" w:color="000000"/>
              <w:right w:val="single" w:sz="4" w:space="0" w:color="000000"/>
            </w:tcBorders>
            <w:vAlign w:val="center"/>
          </w:tcPr>
          <w:p w14:paraId="1F261850" w14:textId="77777777" w:rsidR="00A00405" w:rsidRPr="0010725E" w:rsidRDefault="00A00405" w:rsidP="00A00405">
            <w:pPr>
              <w:rPr>
                <w:szCs w:val="22"/>
              </w:rPr>
            </w:pPr>
            <w:r w:rsidRPr="0010725E">
              <w:rPr>
                <w:szCs w:val="22"/>
              </w:rPr>
              <w:t>5.4</w:t>
            </w:r>
          </w:p>
        </w:tc>
        <w:tc>
          <w:tcPr>
            <w:tcW w:w="963" w:type="pct"/>
            <w:tcBorders>
              <w:top w:val="single" w:sz="4" w:space="0" w:color="000000"/>
              <w:left w:val="single" w:sz="4" w:space="0" w:color="000000"/>
              <w:bottom w:val="single" w:sz="4" w:space="0" w:color="000000"/>
              <w:right w:val="single" w:sz="4" w:space="0" w:color="000000"/>
            </w:tcBorders>
            <w:vAlign w:val="center"/>
          </w:tcPr>
          <w:p w14:paraId="137F7F52" w14:textId="77777777" w:rsidR="00A00405" w:rsidRPr="0010725E" w:rsidRDefault="00A00405" w:rsidP="00A00405">
            <w:pPr>
              <w:rPr>
                <w:szCs w:val="22"/>
              </w:rPr>
            </w:pPr>
            <w:r w:rsidRPr="0010725E">
              <w:rPr>
                <w:szCs w:val="22"/>
              </w:rPr>
              <w:t>4.0</w:t>
            </w:r>
          </w:p>
        </w:tc>
      </w:tr>
      <w:tr w:rsidR="00A00405" w:rsidRPr="0010725E" w14:paraId="46496F17"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599F41FC" w14:textId="77777777" w:rsidR="00A00405" w:rsidRPr="0010725E" w:rsidRDefault="00A00405" w:rsidP="00A00405">
            <w:pPr>
              <w:rPr>
                <w:szCs w:val="22"/>
              </w:rPr>
            </w:pPr>
            <w:r w:rsidRPr="0010725E">
              <w:rPr>
                <w:szCs w:val="22"/>
              </w:rPr>
              <w:t>Dominican Republic</w:t>
            </w:r>
          </w:p>
        </w:tc>
        <w:tc>
          <w:tcPr>
            <w:tcW w:w="774" w:type="pct"/>
            <w:tcBorders>
              <w:top w:val="nil"/>
              <w:left w:val="nil"/>
              <w:bottom w:val="single" w:sz="4" w:space="0" w:color="000000"/>
              <w:right w:val="single" w:sz="4" w:space="0" w:color="000000"/>
            </w:tcBorders>
            <w:shd w:val="clear" w:color="auto" w:fill="auto"/>
            <w:vAlign w:val="bottom"/>
          </w:tcPr>
          <w:p w14:paraId="4DB353F0" w14:textId="77777777" w:rsidR="00A00405" w:rsidRPr="0010725E" w:rsidRDefault="00A00405" w:rsidP="00A00405">
            <w:pPr>
              <w:rPr>
                <w:szCs w:val="22"/>
              </w:rPr>
            </w:pPr>
            <w:r w:rsidRPr="0010725E">
              <w:rPr>
                <w:szCs w:val="22"/>
              </w:rPr>
              <w:t>9803.9</w:t>
            </w:r>
          </w:p>
        </w:tc>
        <w:tc>
          <w:tcPr>
            <w:tcW w:w="757" w:type="pct"/>
            <w:tcBorders>
              <w:top w:val="nil"/>
              <w:left w:val="nil"/>
              <w:bottom w:val="single" w:sz="4" w:space="0" w:color="000000"/>
              <w:right w:val="single" w:sz="4" w:space="0" w:color="000000"/>
            </w:tcBorders>
            <w:shd w:val="clear" w:color="auto" w:fill="auto"/>
            <w:vAlign w:val="bottom"/>
          </w:tcPr>
          <w:p w14:paraId="73A7ED89" w14:textId="77777777" w:rsidR="00A00405" w:rsidRPr="0010725E" w:rsidRDefault="00A00405" w:rsidP="00A00405">
            <w:pPr>
              <w:rPr>
                <w:szCs w:val="22"/>
              </w:rPr>
            </w:pPr>
            <w:r w:rsidRPr="0010725E">
              <w:rPr>
                <w:szCs w:val="22"/>
              </w:rPr>
              <w:t>8,535.5</w:t>
            </w:r>
          </w:p>
        </w:tc>
        <w:tc>
          <w:tcPr>
            <w:tcW w:w="792" w:type="pct"/>
            <w:tcBorders>
              <w:top w:val="single" w:sz="4" w:space="0" w:color="000000"/>
              <w:left w:val="nil"/>
              <w:bottom w:val="single" w:sz="4" w:space="0" w:color="000000"/>
              <w:right w:val="single" w:sz="4" w:space="0" w:color="000000"/>
            </w:tcBorders>
            <w:vAlign w:val="center"/>
          </w:tcPr>
          <w:p w14:paraId="0C508853" w14:textId="77777777" w:rsidR="00A00405" w:rsidRPr="0010725E" w:rsidRDefault="00A00405" w:rsidP="00A00405">
            <w:pPr>
              <w:rPr>
                <w:szCs w:val="22"/>
              </w:rPr>
            </w:pPr>
            <w:r w:rsidRPr="0010725E">
              <w:rPr>
                <w:szCs w:val="22"/>
              </w:rPr>
              <w:t>-14.9</w:t>
            </w:r>
          </w:p>
        </w:tc>
        <w:tc>
          <w:tcPr>
            <w:tcW w:w="963" w:type="pct"/>
            <w:tcBorders>
              <w:top w:val="single" w:sz="4" w:space="0" w:color="000000"/>
              <w:left w:val="single" w:sz="4" w:space="0" w:color="000000"/>
              <w:bottom w:val="single" w:sz="4" w:space="0" w:color="000000"/>
              <w:right w:val="single" w:sz="4" w:space="0" w:color="000000"/>
            </w:tcBorders>
            <w:vAlign w:val="center"/>
          </w:tcPr>
          <w:p w14:paraId="088A8CD5" w14:textId="77777777" w:rsidR="00A00405" w:rsidRPr="0010725E" w:rsidRDefault="00A00405" w:rsidP="00A00405">
            <w:pPr>
              <w:rPr>
                <w:szCs w:val="22"/>
              </w:rPr>
            </w:pPr>
            <w:r w:rsidRPr="0010725E">
              <w:rPr>
                <w:szCs w:val="22"/>
              </w:rPr>
              <w:t>13.8</w:t>
            </w:r>
          </w:p>
        </w:tc>
      </w:tr>
      <w:tr w:rsidR="00A00405" w:rsidRPr="0010725E" w14:paraId="18DF1F63"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0A37A98A" w14:textId="77777777" w:rsidR="00A00405" w:rsidRPr="0010725E" w:rsidRDefault="00A00405" w:rsidP="00A00405">
            <w:pPr>
              <w:rPr>
                <w:szCs w:val="22"/>
              </w:rPr>
            </w:pPr>
            <w:r w:rsidRPr="0010725E">
              <w:rPr>
                <w:szCs w:val="22"/>
              </w:rPr>
              <w:t>Haiti</w:t>
            </w:r>
          </w:p>
        </w:tc>
        <w:tc>
          <w:tcPr>
            <w:tcW w:w="774" w:type="pct"/>
            <w:tcBorders>
              <w:top w:val="nil"/>
              <w:left w:val="nil"/>
              <w:bottom w:val="single" w:sz="4" w:space="0" w:color="000000"/>
              <w:right w:val="single" w:sz="4" w:space="0" w:color="000000"/>
            </w:tcBorders>
            <w:shd w:val="clear" w:color="auto" w:fill="auto"/>
            <w:vAlign w:val="bottom"/>
          </w:tcPr>
          <w:p w14:paraId="146FC0FE" w14:textId="77777777" w:rsidR="00A00405" w:rsidRPr="0010725E" w:rsidRDefault="00A00405" w:rsidP="00A00405">
            <w:pPr>
              <w:rPr>
                <w:szCs w:val="22"/>
              </w:rPr>
            </w:pPr>
            <w:r w:rsidRPr="0010725E">
              <w:rPr>
                <w:szCs w:val="22"/>
              </w:rPr>
              <w:t>2672.8</w:t>
            </w:r>
          </w:p>
        </w:tc>
        <w:tc>
          <w:tcPr>
            <w:tcW w:w="757" w:type="pct"/>
            <w:tcBorders>
              <w:top w:val="nil"/>
              <w:left w:val="nil"/>
              <w:bottom w:val="single" w:sz="4" w:space="0" w:color="000000"/>
              <w:right w:val="single" w:sz="4" w:space="0" w:color="000000"/>
            </w:tcBorders>
            <w:shd w:val="clear" w:color="auto" w:fill="auto"/>
            <w:vAlign w:val="bottom"/>
          </w:tcPr>
          <w:p w14:paraId="1E4B8A0C" w14:textId="77777777" w:rsidR="00A00405" w:rsidRPr="0010725E" w:rsidRDefault="00A00405" w:rsidP="00A00405">
            <w:pPr>
              <w:rPr>
                <w:szCs w:val="22"/>
              </w:rPr>
            </w:pPr>
            <w:r w:rsidRPr="0010725E">
              <w:rPr>
                <w:szCs w:val="22"/>
              </w:rPr>
              <w:t>4,589.0</w:t>
            </w:r>
          </w:p>
        </w:tc>
        <w:tc>
          <w:tcPr>
            <w:tcW w:w="792" w:type="pct"/>
            <w:tcBorders>
              <w:top w:val="single" w:sz="4" w:space="0" w:color="000000"/>
              <w:left w:val="nil"/>
              <w:bottom w:val="single" w:sz="4" w:space="0" w:color="000000"/>
              <w:right w:val="single" w:sz="4" w:space="0" w:color="000000"/>
            </w:tcBorders>
            <w:vAlign w:val="center"/>
          </w:tcPr>
          <w:p w14:paraId="52FBA38F" w14:textId="77777777" w:rsidR="00A00405" w:rsidRPr="0010725E" w:rsidRDefault="00A00405" w:rsidP="00A00405">
            <w:pPr>
              <w:rPr>
                <w:szCs w:val="22"/>
              </w:rPr>
            </w:pPr>
            <w:r w:rsidRPr="0010725E">
              <w:rPr>
                <w:szCs w:val="22"/>
              </w:rPr>
              <w:t>41.8</w:t>
            </w:r>
          </w:p>
        </w:tc>
        <w:tc>
          <w:tcPr>
            <w:tcW w:w="963" w:type="pct"/>
            <w:tcBorders>
              <w:top w:val="single" w:sz="4" w:space="0" w:color="000000"/>
              <w:left w:val="single" w:sz="4" w:space="0" w:color="000000"/>
              <w:bottom w:val="single" w:sz="4" w:space="0" w:color="000000"/>
              <w:right w:val="single" w:sz="4" w:space="0" w:color="000000"/>
            </w:tcBorders>
            <w:vAlign w:val="center"/>
          </w:tcPr>
          <w:p w14:paraId="1ABE7D71" w14:textId="77777777" w:rsidR="00A00405" w:rsidRPr="0010725E" w:rsidRDefault="00A00405" w:rsidP="00A00405">
            <w:pPr>
              <w:rPr>
                <w:szCs w:val="22"/>
              </w:rPr>
            </w:pPr>
            <w:r w:rsidRPr="0010725E">
              <w:rPr>
                <w:szCs w:val="22"/>
              </w:rPr>
              <w:t>14.5</w:t>
            </w:r>
          </w:p>
        </w:tc>
      </w:tr>
      <w:tr w:rsidR="00A00405" w:rsidRPr="0010725E" w14:paraId="3ADD2B40"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42C3C972" w14:textId="77777777" w:rsidR="00A00405" w:rsidRPr="0010725E" w:rsidRDefault="00A00405" w:rsidP="00A00405">
            <w:pPr>
              <w:rPr>
                <w:szCs w:val="22"/>
              </w:rPr>
            </w:pPr>
            <w:r w:rsidRPr="0010725E">
              <w:rPr>
                <w:szCs w:val="22"/>
              </w:rPr>
              <w:t>Jamaica</w:t>
            </w:r>
          </w:p>
        </w:tc>
        <w:tc>
          <w:tcPr>
            <w:tcW w:w="774" w:type="pct"/>
            <w:tcBorders>
              <w:top w:val="nil"/>
              <w:left w:val="nil"/>
              <w:bottom w:val="single" w:sz="4" w:space="0" w:color="000000"/>
              <w:right w:val="single" w:sz="4" w:space="0" w:color="000000"/>
            </w:tcBorders>
            <w:shd w:val="clear" w:color="auto" w:fill="auto"/>
            <w:vAlign w:val="bottom"/>
          </w:tcPr>
          <w:p w14:paraId="6C13E1E5" w14:textId="77777777" w:rsidR="00A00405" w:rsidRPr="0010725E" w:rsidRDefault="00A00405" w:rsidP="00A00405">
            <w:pPr>
              <w:rPr>
                <w:szCs w:val="22"/>
              </w:rPr>
            </w:pPr>
            <w:r w:rsidRPr="0010725E">
              <w:rPr>
                <w:szCs w:val="22"/>
              </w:rPr>
              <w:t>13190.2</w:t>
            </w:r>
          </w:p>
        </w:tc>
        <w:tc>
          <w:tcPr>
            <w:tcW w:w="757" w:type="pct"/>
            <w:tcBorders>
              <w:top w:val="nil"/>
              <w:left w:val="nil"/>
              <w:bottom w:val="single" w:sz="4" w:space="0" w:color="000000"/>
              <w:right w:val="single" w:sz="4" w:space="0" w:color="000000"/>
            </w:tcBorders>
            <w:shd w:val="clear" w:color="auto" w:fill="auto"/>
            <w:vAlign w:val="bottom"/>
          </w:tcPr>
          <w:p w14:paraId="51CDF2F8" w14:textId="77777777" w:rsidR="00A00405" w:rsidRPr="0010725E" w:rsidRDefault="00A00405" w:rsidP="00A00405">
            <w:pPr>
              <w:rPr>
                <w:szCs w:val="22"/>
              </w:rPr>
            </w:pPr>
            <w:r w:rsidRPr="0010725E">
              <w:rPr>
                <w:szCs w:val="22"/>
              </w:rPr>
              <w:t>12,646.7</w:t>
            </w:r>
          </w:p>
        </w:tc>
        <w:tc>
          <w:tcPr>
            <w:tcW w:w="792" w:type="pct"/>
            <w:tcBorders>
              <w:top w:val="single" w:sz="4" w:space="0" w:color="000000"/>
              <w:left w:val="nil"/>
              <w:bottom w:val="single" w:sz="4" w:space="0" w:color="000000"/>
              <w:right w:val="single" w:sz="4" w:space="0" w:color="000000"/>
            </w:tcBorders>
            <w:vAlign w:val="center"/>
          </w:tcPr>
          <w:p w14:paraId="64EEF9C5" w14:textId="77777777" w:rsidR="00A00405" w:rsidRPr="0010725E" w:rsidRDefault="00A00405" w:rsidP="00A00405">
            <w:pPr>
              <w:rPr>
                <w:szCs w:val="22"/>
              </w:rPr>
            </w:pPr>
            <w:r w:rsidRPr="0010725E">
              <w:rPr>
                <w:szCs w:val="22"/>
              </w:rPr>
              <w:t>-4.3</w:t>
            </w:r>
          </w:p>
        </w:tc>
        <w:tc>
          <w:tcPr>
            <w:tcW w:w="963" w:type="pct"/>
            <w:tcBorders>
              <w:top w:val="single" w:sz="4" w:space="0" w:color="000000"/>
              <w:left w:val="single" w:sz="4" w:space="0" w:color="000000"/>
              <w:bottom w:val="single" w:sz="4" w:space="0" w:color="000000"/>
              <w:right w:val="single" w:sz="4" w:space="0" w:color="000000"/>
            </w:tcBorders>
            <w:vAlign w:val="center"/>
          </w:tcPr>
          <w:p w14:paraId="3EF0E710" w14:textId="77777777" w:rsidR="00A00405" w:rsidRPr="0010725E" w:rsidRDefault="00A00405" w:rsidP="00A00405">
            <w:pPr>
              <w:rPr>
                <w:szCs w:val="22"/>
              </w:rPr>
            </w:pPr>
            <w:r w:rsidRPr="0010725E">
              <w:rPr>
                <w:szCs w:val="22"/>
              </w:rPr>
              <w:t>9.3</w:t>
            </w:r>
          </w:p>
        </w:tc>
      </w:tr>
      <w:tr w:rsidR="00A00405" w:rsidRPr="0010725E" w14:paraId="337CE3CA"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51D1194E" w14:textId="77777777" w:rsidR="00A00405" w:rsidRPr="0010725E" w:rsidRDefault="00A00405" w:rsidP="00A00405">
            <w:pPr>
              <w:rPr>
                <w:szCs w:val="22"/>
              </w:rPr>
            </w:pPr>
            <w:r w:rsidRPr="0010725E">
              <w:rPr>
                <w:szCs w:val="22"/>
              </w:rPr>
              <w:t>Trinidad &amp; Tobago</w:t>
            </w:r>
          </w:p>
        </w:tc>
        <w:tc>
          <w:tcPr>
            <w:tcW w:w="774" w:type="pct"/>
            <w:tcBorders>
              <w:top w:val="nil"/>
              <w:left w:val="nil"/>
              <w:bottom w:val="single" w:sz="4" w:space="0" w:color="000000"/>
              <w:right w:val="single" w:sz="4" w:space="0" w:color="000000"/>
            </w:tcBorders>
            <w:shd w:val="clear" w:color="auto" w:fill="auto"/>
            <w:vAlign w:val="bottom"/>
          </w:tcPr>
          <w:p w14:paraId="5DC4A41E" w14:textId="77777777" w:rsidR="00A00405" w:rsidRPr="0010725E" w:rsidRDefault="00A00405" w:rsidP="00780487">
            <w:pPr>
              <w:rPr>
                <w:szCs w:val="22"/>
              </w:rPr>
            </w:pPr>
            <w:r w:rsidRPr="0010725E">
              <w:rPr>
                <w:szCs w:val="22"/>
              </w:rPr>
              <w:t>18,5725.2</w:t>
            </w:r>
          </w:p>
        </w:tc>
        <w:tc>
          <w:tcPr>
            <w:tcW w:w="757" w:type="pct"/>
            <w:tcBorders>
              <w:top w:val="nil"/>
              <w:left w:val="nil"/>
              <w:bottom w:val="single" w:sz="4" w:space="0" w:color="000000"/>
              <w:right w:val="single" w:sz="4" w:space="0" w:color="000000"/>
            </w:tcBorders>
            <w:shd w:val="clear" w:color="auto" w:fill="auto"/>
            <w:vAlign w:val="bottom"/>
          </w:tcPr>
          <w:p w14:paraId="5BD90A7C" w14:textId="77777777" w:rsidR="00A00405" w:rsidRPr="0010725E" w:rsidRDefault="00A00405" w:rsidP="00780487">
            <w:pPr>
              <w:rPr>
                <w:szCs w:val="22"/>
              </w:rPr>
            </w:pPr>
            <w:r w:rsidRPr="0010725E">
              <w:rPr>
                <w:szCs w:val="22"/>
              </w:rPr>
              <w:t>16,9668.6</w:t>
            </w:r>
          </w:p>
        </w:tc>
        <w:tc>
          <w:tcPr>
            <w:tcW w:w="792" w:type="pct"/>
            <w:tcBorders>
              <w:top w:val="single" w:sz="4" w:space="0" w:color="000000"/>
              <w:left w:val="nil"/>
              <w:bottom w:val="single" w:sz="4" w:space="0" w:color="000000"/>
              <w:right w:val="single" w:sz="4" w:space="0" w:color="000000"/>
            </w:tcBorders>
            <w:vAlign w:val="center"/>
          </w:tcPr>
          <w:p w14:paraId="30740CFE" w14:textId="77777777" w:rsidR="00A00405" w:rsidRPr="0010725E" w:rsidRDefault="00A00405" w:rsidP="00A00405">
            <w:pPr>
              <w:rPr>
                <w:szCs w:val="22"/>
              </w:rPr>
            </w:pPr>
            <w:r w:rsidRPr="0010725E">
              <w:rPr>
                <w:szCs w:val="22"/>
              </w:rPr>
              <w:t>-9.5</w:t>
            </w:r>
          </w:p>
        </w:tc>
        <w:tc>
          <w:tcPr>
            <w:tcW w:w="963" w:type="pct"/>
            <w:tcBorders>
              <w:top w:val="single" w:sz="4" w:space="0" w:color="000000"/>
              <w:left w:val="single" w:sz="4" w:space="0" w:color="000000"/>
              <w:bottom w:val="single" w:sz="4" w:space="0" w:color="000000"/>
              <w:right w:val="single" w:sz="4" w:space="0" w:color="000000"/>
            </w:tcBorders>
            <w:vAlign w:val="center"/>
          </w:tcPr>
          <w:p w14:paraId="6F232CDC" w14:textId="77777777" w:rsidR="00A00405" w:rsidRPr="0010725E" w:rsidRDefault="00A00405" w:rsidP="00A00405">
            <w:pPr>
              <w:rPr>
                <w:szCs w:val="22"/>
              </w:rPr>
            </w:pPr>
            <w:r w:rsidRPr="0010725E">
              <w:rPr>
                <w:szCs w:val="22"/>
              </w:rPr>
              <w:t>0.2</w:t>
            </w:r>
          </w:p>
        </w:tc>
      </w:tr>
      <w:tr w:rsidR="00A00405" w:rsidRPr="0010725E" w14:paraId="06BB809C"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BFBFBF" w:themeFill="background1" w:themeFillShade="BF"/>
            <w:vAlign w:val="center"/>
          </w:tcPr>
          <w:p w14:paraId="593B9D90" w14:textId="77777777" w:rsidR="00A00405" w:rsidRPr="0010725E" w:rsidRDefault="00A00405" w:rsidP="001D7C20">
            <w:pPr>
              <w:rPr>
                <w:szCs w:val="22"/>
              </w:rPr>
            </w:pPr>
            <w:r w:rsidRPr="0010725E">
              <w:rPr>
                <w:b/>
                <w:szCs w:val="22"/>
              </w:rPr>
              <w:t>South America</w:t>
            </w:r>
          </w:p>
        </w:tc>
        <w:tc>
          <w:tcPr>
            <w:tcW w:w="774" w:type="pct"/>
            <w:tcBorders>
              <w:top w:val="nil"/>
              <w:left w:val="nil"/>
              <w:bottom w:val="single" w:sz="4" w:space="0" w:color="000000"/>
              <w:right w:val="single" w:sz="4" w:space="0" w:color="000000"/>
            </w:tcBorders>
            <w:shd w:val="clear" w:color="auto" w:fill="BFBFBF" w:themeFill="background1" w:themeFillShade="BF"/>
            <w:vAlign w:val="center"/>
          </w:tcPr>
          <w:p w14:paraId="5F188DB4" w14:textId="77777777" w:rsidR="00A00405" w:rsidRPr="0010725E" w:rsidRDefault="00A00405" w:rsidP="001D7C20">
            <w:pPr>
              <w:rPr>
                <w:szCs w:val="22"/>
              </w:rPr>
            </w:pPr>
            <w:r w:rsidRPr="0010725E">
              <w:rPr>
                <w:szCs w:val="22"/>
              </w:rPr>
              <w:t xml:space="preserve"> </w:t>
            </w:r>
          </w:p>
        </w:tc>
        <w:tc>
          <w:tcPr>
            <w:tcW w:w="757" w:type="pct"/>
            <w:tcBorders>
              <w:top w:val="nil"/>
              <w:left w:val="nil"/>
              <w:bottom w:val="single" w:sz="4" w:space="0" w:color="000000"/>
              <w:right w:val="single" w:sz="4" w:space="0" w:color="000000"/>
            </w:tcBorders>
            <w:shd w:val="clear" w:color="auto" w:fill="BFBFBF" w:themeFill="background1" w:themeFillShade="BF"/>
            <w:vAlign w:val="center"/>
          </w:tcPr>
          <w:p w14:paraId="4C011DEA" w14:textId="77777777" w:rsidR="00A00405" w:rsidRPr="0010725E" w:rsidRDefault="00A00405" w:rsidP="001D7C20">
            <w:pPr>
              <w:rPr>
                <w:szCs w:val="22"/>
              </w:rPr>
            </w:pPr>
          </w:p>
        </w:tc>
        <w:tc>
          <w:tcPr>
            <w:tcW w:w="792" w:type="pct"/>
            <w:tcBorders>
              <w:top w:val="single" w:sz="4" w:space="0" w:color="000000"/>
              <w:left w:val="nil"/>
              <w:bottom w:val="single" w:sz="4" w:space="0" w:color="000000"/>
              <w:right w:val="single" w:sz="4" w:space="0" w:color="000000"/>
            </w:tcBorders>
            <w:shd w:val="clear" w:color="auto" w:fill="BFBFBF" w:themeFill="background1" w:themeFillShade="BF"/>
            <w:vAlign w:val="center"/>
          </w:tcPr>
          <w:p w14:paraId="61E56695" w14:textId="77777777" w:rsidR="00A00405" w:rsidRPr="0010725E" w:rsidRDefault="00A00405" w:rsidP="001D7C20">
            <w:pPr>
              <w:rPr>
                <w:szCs w:val="22"/>
              </w:rPr>
            </w:pPr>
          </w:p>
        </w:tc>
        <w:tc>
          <w:tcPr>
            <w:tcW w:w="96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89D5465" w14:textId="77777777" w:rsidR="00A00405" w:rsidRPr="0010725E" w:rsidRDefault="00A00405" w:rsidP="001D7C20">
            <w:pPr>
              <w:rPr>
                <w:szCs w:val="22"/>
              </w:rPr>
            </w:pPr>
          </w:p>
        </w:tc>
      </w:tr>
      <w:tr w:rsidR="00A00405" w:rsidRPr="0010725E" w14:paraId="4E4DD5AE" w14:textId="77777777" w:rsidTr="001D7C20">
        <w:trPr>
          <w:trHeight w:val="320"/>
          <w:jc w:val="center"/>
        </w:trPr>
        <w:tc>
          <w:tcPr>
            <w:tcW w:w="171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624192F2" w14:textId="77777777" w:rsidR="00A00405" w:rsidRPr="0010725E" w:rsidRDefault="00A00405" w:rsidP="00A00405">
            <w:pPr>
              <w:rPr>
                <w:szCs w:val="22"/>
              </w:rPr>
            </w:pPr>
            <w:r w:rsidRPr="0010725E">
              <w:rPr>
                <w:szCs w:val="22"/>
              </w:rPr>
              <w:t>Argentina</w:t>
            </w:r>
          </w:p>
        </w:tc>
        <w:tc>
          <w:tcPr>
            <w:tcW w:w="774" w:type="pct"/>
            <w:tcBorders>
              <w:top w:val="single" w:sz="4" w:space="0" w:color="000000"/>
              <w:left w:val="nil"/>
              <w:bottom w:val="single" w:sz="4" w:space="0" w:color="000000"/>
              <w:right w:val="single" w:sz="4" w:space="0" w:color="000000"/>
            </w:tcBorders>
            <w:shd w:val="clear" w:color="auto" w:fill="auto"/>
            <w:vAlign w:val="bottom"/>
          </w:tcPr>
          <w:p w14:paraId="08AF498D" w14:textId="77777777" w:rsidR="00A00405" w:rsidRPr="0010725E" w:rsidRDefault="00A00405" w:rsidP="00A00405">
            <w:pPr>
              <w:rPr>
                <w:szCs w:val="22"/>
              </w:rPr>
            </w:pPr>
            <w:r w:rsidRPr="0010725E">
              <w:rPr>
                <w:szCs w:val="22"/>
              </w:rPr>
              <w:t>21,554.7</w:t>
            </w:r>
          </w:p>
        </w:tc>
        <w:tc>
          <w:tcPr>
            <w:tcW w:w="757" w:type="pct"/>
            <w:tcBorders>
              <w:top w:val="single" w:sz="4" w:space="0" w:color="000000"/>
              <w:left w:val="nil"/>
              <w:bottom w:val="single" w:sz="4" w:space="0" w:color="000000"/>
              <w:right w:val="single" w:sz="4" w:space="0" w:color="000000"/>
            </w:tcBorders>
            <w:shd w:val="clear" w:color="auto" w:fill="auto"/>
            <w:vAlign w:val="bottom"/>
          </w:tcPr>
          <w:p w14:paraId="47A54E76" w14:textId="77777777" w:rsidR="00A00405" w:rsidRPr="0010725E" w:rsidRDefault="00A00405" w:rsidP="00A00405">
            <w:pPr>
              <w:rPr>
                <w:szCs w:val="22"/>
              </w:rPr>
            </w:pPr>
            <w:r w:rsidRPr="0010725E">
              <w:rPr>
                <w:szCs w:val="22"/>
              </w:rPr>
              <w:t>22,112.2</w:t>
            </w:r>
          </w:p>
        </w:tc>
        <w:tc>
          <w:tcPr>
            <w:tcW w:w="792" w:type="pct"/>
            <w:tcBorders>
              <w:top w:val="single" w:sz="4" w:space="0" w:color="000000"/>
              <w:left w:val="nil"/>
              <w:bottom w:val="single" w:sz="4" w:space="0" w:color="000000"/>
              <w:right w:val="single" w:sz="4" w:space="0" w:color="000000"/>
            </w:tcBorders>
            <w:vAlign w:val="center"/>
          </w:tcPr>
          <w:p w14:paraId="2BBFCD1A" w14:textId="77777777" w:rsidR="00A00405" w:rsidRPr="0010725E" w:rsidRDefault="00A00405" w:rsidP="00A00405">
            <w:pPr>
              <w:rPr>
                <w:szCs w:val="22"/>
              </w:rPr>
            </w:pPr>
            <w:r w:rsidRPr="0010725E">
              <w:rPr>
                <w:szCs w:val="22"/>
              </w:rPr>
              <w:t>2.5</w:t>
            </w:r>
          </w:p>
        </w:tc>
        <w:tc>
          <w:tcPr>
            <w:tcW w:w="963" w:type="pct"/>
            <w:tcBorders>
              <w:top w:val="single" w:sz="4" w:space="0" w:color="000000"/>
              <w:left w:val="single" w:sz="4" w:space="0" w:color="000000"/>
              <w:bottom w:val="single" w:sz="4" w:space="0" w:color="000000"/>
              <w:right w:val="single" w:sz="4" w:space="0" w:color="000000"/>
            </w:tcBorders>
            <w:vAlign w:val="center"/>
          </w:tcPr>
          <w:p w14:paraId="782C15D0" w14:textId="77777777" w:rsidR="00A00405" w:rsidRPr="0010725E" w:rsidRDefault="00A00405" w:rsidP="00A00405">
            <w:pPr>
              <w:rPr>
                <w:szCs w:val="22"/>
              </w:rPr>
            </w:pPr>
            <w:r w:rsidRPr="0010725E">
              <w:rPr>
                <w:szCs w:val="22"/>
              </w:rPr>
              <w:t>31.1</w:t>
            </w:r>
          </w:p>
        </w:tc>
      </w:tr>
      <w:tr w:rsidR="00A00405" w:rsidRPr="0010725E" w14:paraId="61112DF7"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1B0B5DA3" w14:textId="77777777" w:rsidR="00A00405" w:rsidRPr="0010725E" w:rsidRDefault="00A00405" w:rsidP="00A00405">
            <w:pPr>
              <w:rPr>
                <w:szCs w:val="22"/>
              </w:rPr>
            </w:pPr>
            <w:r w:rsidRPr="0010725E">
              <w:rPr>
                <w:szCs w:val="22"/>
              </w:rPr>
              <w:t>Bolivia</w:t>
            </w:r>
          </w:p>
        </w:tc>
        <w:tc>
          <w:tcPr>
            <w:tcW w:w="774" w:type="pct"/>
            <w:tcBorders>
              <w:top w:val="nil"/>
              <w:left w:val="nil"/>
              <w:bottom w:val="single" w:sz="4" w:space="0" w:color="000000"/>
              <w:right w:val="single" w:sz="4" w:space="0" w:color="000000"/>
            </w:tcBorders>
            <w:shd w:val="clear" w:color="auto" w:fill="auto"/>
            <w:vAlign w:val="bottom"/>
          </w:tcPr>
          <w:p w14:paraId="1E13FF7F" w14:textId="77777777" w:rsidR="00A00405" w:rsidRPr="0010725E" w:rsidRDefault="00A00405" w:rsidP="00A00405">
            <w:pPr>
              <w:rPr>
                <w:szCs w:val="22"/>
              </w:rPr>
            </w:pPr>
            <w:r w:rsidRPr="0010725E">
              <w:rPr>
                <w:szCs w:val="22"/>
              </w:rPr>
              <w:t>8,605.6</w:t>
            </w:r>
          </w:p>
        </w:tc>
        <w:tc>
          <w:tcPr>
            <w:tcW w:w="757" w:type="pct"/>
            <w:tcBorders>
              <w:top w:val="nil"/>
              <w:left w:val="nil"/>
              <w:bottom w:val="single" w:sz="4" w:space="0" w:color="000000"/>
              <w:right w:val="single" w:sz="4" w:space="0" w:color="000000"/>
            </w:tcBorders>
            <w:shd w:val="clear" w:color="auto" w:fill="auto"/>
            <w:vAlign w:val="bottom"/>
          </w:tcPr>
          <w:p w14:paraId="003D7758" w14:textId="77777777" w:rsidR="00A00405" w:rsidRPr="0010725E" w:rsidRDefault="00A00405" w:rsidP="00A00405">
            <w:pPr>
              <w:rPr>
                <w:szCs w:val="22"/>
              </w:rPr>
            </w:pPr>
            <w:r w:rsidRPr="0010725E">
              <w:rPr>
                <w:szCs w:val="22"/>
              </w:rPr>
              <w:t>9,167.5</w:t>
            </w:r>
          </w:p>
        </w:tc>
        <w:tc>
          <w:tcPr>
            <w:tcW w:w="792" w:type="pct"/>
            <w:tcBorders>
              <w:top w:val="single" w:sz="4" w:space="0" w:color="000000"/>
              <w:left w:val="nil"/>
              <w:bottom w:val="single" w:sz="4" w:space="0" w:color="000000"/>
              <w:right w:val="single" w:sz="4" w:space="0" w:color="000000"/>
            </w:tcBorders>
            <w:vAlign w:val="center"/>
          </w:tcPr>
          <w:p w14:paraId="51181407" w14:textId="77777777" w:rsidR="00A00405" w:rsidRPr="0010725E" w:rsidRDefault="00A00405" w:rsidP="00A00405">
            <w:pPr>
              <w:rPr>
                <w:szCs w:val="22"/>
              </w:rPr>
            </w:pPr>
            <w:r w:rsidRPr="0010725E">
              <w:rPr>
                <w:szCs w:val="22"/>
              </w:rPr>
              <w:t>6.1</w:t>
            </w:r>
          </w:p>
        </w:tc>
        <w:tc>
          <w:tcPr>
            <w:tcW w:w="963" w:type="pct"/>
            <w:tcBorders>
              <w:top w:val="single" w:sz="4" w:space="0" w:color="000000"/>
              <w:left w:val="single" w:sz="4" w:space="0" w:color="000000"/>
              <w:bottom w:val="single" w:sz="4" w:space="0" w:color="000000"/>
              <w:right w:val="single" w:sz="4" w:space="0" w:color="000000"/>
            </w:tcBorders>
            <w:vAlign w:val="center"/>
          </w:tcPr>
          <w:p w14:paraId="23C53F11" w14:textId="77777777" w:rsidR="00A00405" w:rsidRPr="0010725E" w:rsidRDefault="00A00405" w:rsidP="00A00405">
            <w:pPr>
              <w:rPr>
                <w:szCs w:val="22"/>
              </w:rPr>
            </w:pPr>
            <w:r w:rsidRPr="0010725E">
              <w:rPr>
                <w:szCs w:val="22"/>
              </w:rPr>
              <w:t>34.9</w:t>
            </w:r>
          </w:p>
        </w:tc>
      </w:tr>
      <w:tr w:rsidR="00A00405" w:rsidRPr="0010725E" w14:paraId="40AD31B2"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6B1D3ECF" w14:textId="77777777" w:rsidR="00A00405" w:rsidRPr="0010725E" w:rsidRDefault="00A00405" w:rsidP="00A00405">
            <w:pPr>
              <w:rPr>
                <w:szCs w:val="22"/>
              </w:rPr>
            </w:pPr>
            <w:r w:rsidRPr="0010725E">
              <w:rPr>
                <w:szCs w:val="22"/>
              </w:rPr>
              <w:t>Brazil</w:t>
            </w:r>
          </w:p>
        </w:tc>
        <w:tc>
          <w:tcPr>
            <w:tcW w:w="774" w:type="pct"/>
            <w:tcBorders>
              <w:top w:val="nil"/>
              <w:left w:val="nil"/>
              <w:bottom w:val="single" w:sz="4" w:space="0" w:color="000000"/>
              <w:right w:val="single" w:sz="4" w:space="0" w:color="000000"/>
            </w:tcBorders>
            <w:shd w:val="clear" w:color="auto" w:fill="auto"/>
            <w:vAlign w:val="bottom"/>
          </w:tcPr>
          <w:p w14:paraId="5BFF827C" w14:textId="77777777" w:rsidR="00A00405" w:rsidRPr="0010725E" w:rsidRDefault="00A00405" w:rsidP="00A00405">
            <w:pPr>
              <w:rPr>
                <w:szCs w:val="22"/>
              </w:rPr>
            </w:pPr>
            <w:r w:rsidRPr="0010725E">
              <w:rPr>
                <w:szCs w:val="22"/>
              </w:rPr>
              <w:t>15,902.4</w:t>
            </w:r>
          </w:p>
        </w:tc>
        <w:tc>
          <w:tcPr>
            <w:tcW w:w="757" w:type="pct"/>
            <w:tcBorders>
              <w:top w:val="nil"/>
              <w:left w:val="nil"/>
              <w:bottom w:val="single" w:sz="4" w:space="0" w:color="000000"/>
              <w:right w:val="single" w:sz="4" w:space="0" w:color="000000"/>
            </w:tcBorders>
            <w:shd w:val="clear" w:color="auto" w:fill="auto"/>
            <w:vAlign w:val="bottom"/>
          </w:tcPr>
          <w:p w14:paraId="743DAF7A" w14:textId="77777777" w:rsidR="00A00405" w:rsidRPr="0010725E" w:rsidRDefault="00A00405" w:rsidP="00A00405">
            <w:pPr>
              <w:rPr>
                <w:szCs w:val="22"/>
              </w:rPr>
            </w:pPr>
            <w:r w:rsidRPr="0010725E">
              <w:rPr>
                <w:szCs w:val="22"/>
              </w:rPr>
              <w:t>16,780.8</w:t>
            </w:r>
          </w:p>
        </w:tc>
        <w:tc>
          <w:tcPr>
            <w:tcW w:w="792" w:type="pct"/>
            <w:tcBorders>
              <w:top w:val="single" w:sz="4" w:space="0" w:color="000000"/>
              <w:left w:val="nil"/>
              <w:bottom w:val="single" w:sz="4" w:space="0" w:color="000000"/>
              <w:right w:val="single" w:sz="4" w:space="0" w:color="000000"/>
            </w:tcBorders>
            <w:vAlign w:val="center"/>
          </w:tcPr>
          <w:p w14:paraId="7D81D2C1" w14:textId="77777777" w:rsidR="00A00405" w:rsidRPr="0010725E" w:rsidRDefault="00A00405" w:rsidP="00A00405">
            <w:pPr>
              <w:rPr>
                <w:szCs w:val="22"/>
              </w:rPr>
            </w:pPr>
            <w:r w:rsidRPr="0010725E">
              <w:rPr>
                <w:szCs w:val="22"/>
              </w:rPr>
              <w:t>5.2</w:t>
            </w:r>
          </w:p>
        </w:tc>
        <w:tc>
          <w:tcPr>
            <w:tcW w:w="963" w:type="pct"/>
            <w:tcBorders>
              <w:top w:val="single" w:sz="4" w:space="0" w:color="000000"/>
              <w:left w:val="single" w:sz="4" w:space="0" w:color="000000"/>
              <w:bottom w:val="single" w:sz="4" w:space="0" w:color="000000"/>
              <w:right w:val="single" w:sz="4" w:space="0" w:color="000000"/>
            </w:tcBorders>
            <w:vAlign w:val="center"/>
          </w:tcPr>
          <w:p w14:paraId="787F24A1" w14:textId="77777777" w:rsidR="00A00405" w:rsidRPr="0010725E" w:rsidRDefault="00A00405" w:rsidP="00A00405">
            <w:pPr>
              <w:rPr>
                <w:szCs w:val="22"/>
              </w:rPr>
            </w:pPr>
            <w:r w:rsidRPr="0010725E">
              <w:rPr>
                <w:szCs w:val="22"/>
              </w:rPr>
              <w:t>84.0</w:t>
            </w:r>
          </w:p>
        </w:tc>
      </w:tr>
      <w:tr w:rsidR="00A00405" w:rsidRPr="0010725E" w14:paraId="30AA3A43"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4F584138" w14:textId="77777777" w:rsidR="00A00405" w:rsidRPr="0010725E" w:rsidRDefault="00A00405" w:rsidP="00A00405">
            <w:pPr>
              <w:rPr>
                <w:szCs w:val="22"/>
              </w:rPr>
            </w:pPr>
            <w:r w:rsidRPr="0010725E">
              <w:rPr>
                <w:szCs w:val="22"/>
              </w:rPr>
              <w:t>Chile</w:t>
            </w:r>
          </w:p>
        </w:tc>
        <w:tc>
          <w:tcPr>
            <w:tcW w:w="774" w:type="pct"/>
            <w:tcBorders>
              <w:top w:val="nil"/>
              <w:left w:val="nil"/>
              <w:bottom w:val="single" w:sz="4" w:space="0" w:color="000000"/>
              <w:right w:val="single" w:sz="4" w:space="0" w:color="000000"/>
            </w:tcBorders>
            <w:shd w:val="clear" w:color="auto" w:fill="auto"/>
            <w:vAlign w:val="bottom"/>
          </w:tcPr>
          <w:p w14:paraId="07CAED18" w14:textId="77777777" w:rsidR="00A00405" w:rsidRPr="0010725E" w:rsidRDefault="00A00405" w:rsidP="00A00405">
            <w:pPr>
              <w:rPr>
                <w:szCs w:val="22"/>
              </w:rPr>
            </w:pPr>
            <w:r w:rsidRPr="0010725E">
              <w:rPr>
                <w:szCs w:val="22"/>
              </w:rPr>
              <w:t>21,086.6</w:t>
            </w:r>
          </w:p>
        </w:tc>
        <w:tc>
          <w:tcPr>
            <w:tcW w:w="757" w:type="pct"/>
            <w:tcBorders>
              <w:top w:val="nil"/>
              <w:left w:val="nil"/>
              <w:bottom w:val="single" w:sz="4" w:space="0" w:color="000000"/>
              <w:right w:val="single" w:sz="4" w:space="0" w:color="000000"/>
            </w:tcBorders>
            <w:shd w:val="clear" w:color="auto" w:fill="auto"/>
            <w:vAlign w:val="bottom"/>
          </w:tcPr>
          <w:p w14:paraId="0EF66CD7" w14:textId="77777777" w:rsidR="00A00405" w:rsidRPr="0010725E" w:rsidRDefault="00A00405" w:rsidP="00A00405">
            <w:pPr>
              <w:rPr>
                <w:szCs w:val="22"/>
              </w:rPr>
            </w:pPr>
            <w:r w:rsidRPr="0010725E">
              <w:rPr>
                <w:szCs w:val="22"/>
              </w:rPr>
              <w:t>25,689.6</w:t>
            </w:r>
          </w:p>
        </w:tc>
        <w:tc>
          <w:tcPr>
            <w:tcW w:w="792" w:type="pct"/>
            <w:tcBorders>
              <w:top w:val="single" w:sz="4" w:space="0" w:color="000000"/>
              <w:left w:val="nil"/>
              <w:bottom w:val="single" w:sz="4" w:space="0" w:color="000000"/>
              <w:right w:val="single" w:sz="4" w:space="0" w:color="000000"/>
            </w:tcBorders>
            <w:vAlign w:val="center"/>
          </w:tcPr>
          <w:p w14:paraId="1EBA33A6" w14:textId="77777777" w:rsidR="00A00405" w:rsidRPr="0010725E" w:rsidRDefault="00A00405" w:rsidP="00A00405">
            <w:pPr>
              <w:rPr>
                <w:szCs w:val="22"/>
              </w:rPr>
            </w:pPr>
            <w:r w:rsidRPr="0010725E">
              <w:rPr>
                <w:szCs w:val="22"/>
              </w:rPr>
              <w:t>17.9</w:t>
            </w:r>
          </w:p>
        </w:tc>
        <w:tc>
          <w:tcPr>
            <w:tcW w:w="963" w:type="pct"/>
            <w:tcBorders>
              <w:top w:val="single" w:sz="4" w:space="0" w:color="000000"/>
              <w:left w:val="single" w:sz="4" w:space="0" w:color="000000"/>
              <w:bottom w:val="single" w:sz="4" w:space="0" w:color="000000"/>
              <w:right w:val="single" w:sz="4" w:space="0" w:color="000000"/>
            </w:tcBorders>
            <w:vAlign w:val="center"/>
          </w:tcPr>
          <w:p w14:paraId="685C1BFA" w14:textId="77777777" w:rsidR="00A00405" w:rsidRPr="0010725E" w:rsidRDefault="00A00405" w:rsidP="00A00405">
            <w:pPr>
              <w:rPr>
                <w:szCs w:val="22"/>
              </w:rPr>
            </w:pPr>
            <w:r w:rsidRPr="0010725E">
              <w:rPr>
                <w:szCs w:val="22"/>
              </w:rPr>
              <w:t>37.7</w:t>
            </w:r>
          </w:p>
        </w:tc>
      </w:tr>
      <w:tr w:rsidR="00A00405" w:rsidRPr="0010725E" w14:paraId="61035079" w14:textId="77777777" w:rsidTr="001D7C20">
        <w:trPr>
          <w:trHeight w:val="320"/>
          <w:jc w:val="center"/>
        </w:trPr>
        <w:tc>
          <w:tcPr>
            <w:tcW w:w="171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0D89DA29" w14:textId="77777777" w:rsidR="00A00405" w:rsidRPr="0010725E" w:rsidRDefault="00A00405" w:rsidP="00A00405">
            <w:pPr>
              <w:rPr>
                <w:szCs w:val="22"/>
              </w:rPr>
            </w:pPr>
            <w:r w:rsidRPr="0010725E">
              <w:rPr>
                <w:szCs w:val="22"/>
              </w:rPr>
              <w:t>Colombia</w:t>
            </w:r>
          </w:p>
        </w:tc>
        <w:tc>
          <w:tcPr>
            <w:tcW w:w="774" w:type="pct"/>
            <w:tcBorders>
              <w:top w:val="single" w:sz="4" w:space="0" w:color="000000"/>
              <w:left w:val="nil"/>
              <w:bottom w:val="single" w:sz="4" w:space="0" w:color="000000"/>
              <w:right w:val="single" w:sz="4" w:space="0" w:color="000000"/>
            </w:tcBorders>
            <w:shd w:val="clear" w:color="auto" w:fill="auto"/>
            <w:vAlign w:val="bottom"/>
          </w:tcPr>
          <w:p w14:paraId="7C8304BF" w14:textId="77777777" w:rsidR="00A00405" w:rsidRPr="0010725E" w:rsidRDefault="00A00405" w:rsidP="00A00405">
            <w:pPr>
              <w:rPr>
                <w:szCs w:val="22"/>
              </w:rPr>
            </w:pPr>
            <w:r w:rsidRPr="0010725E">
              <w:rPr>
                <w:szCs w:val="22"/>
              </w:rPr>
              <w:t>8,127.0</w:t>
            </w:r>
          </w:p>
        </w:tc>
        <w:tc>
          <w:tcPr>
            <w:tcW w:w="757" w:type="pct"/>
            <w:tcBorders>
              <w:top w:val="single" w:sz="4" w:space="0" w:color="000000"/>
              <w:left w:val="nil"/>
              <w:bottom w:val="single" w:sz="4" w:space="0" w:color="000000"/>
              <w:right w:val="single" w:sz="4" w:space="0" w:color="000000"/>
            </w:tcBorders>
            <w:shd w:val="clear" w:color="auto" w:fill="auto"/>
            <w:vAlign w:val="bottom"/>
          </w:tcPr>
          <w:p w14:paraId="495A19E2" w14:textId="77777777" w:rsidR="00A00405" w:rsidRPr="0010725E" w:rsidRDefault="00A00405" w:rsidP="00A00405">
            <w:pPr>
              <w:rPr>
                <w:szCs w:val="22"/>
              </w:rPr>
            </w:pPr>
            <w:r w:rsidRPr="0010725E">
              <w:rPr>
                <w:szCs w:val="22"/>
              </w:rPr>
              <w:t>7,801.7</w:t>
            </w:r>
          </w:p>
        </w:tc>
        <w:tc>
          <w:tcPr>
            <w:tcW w:w="792" w:type="pct"/>
            <w:tcBorders>
              <w:top w:val="single" w:sz="4" w:space="0" w:color="000000"/>
              <w:left w:val="nil"/>
              <w:bottom w:val="single" w:sz="4" w:space="0" w:color="000000"/>
              <w:right w:val="single" w:sz="4" w:space="0" w:color="000000"/>
            </w:tcBorders>
            <w:vAlign w:val="center"/>
          </w:tcPr>
          <w:p w14:paraId="209FCEBE" w14:textId="77777777" w:rsidR="00A00405" w:rsidRPr="0010725E" w:rsidRDefault="00A00405" w:rsidP="00A00405">
            <w:pPr>
              <w:rPr>
                <w:szCs w:val="22"/>
              </w:rPr>
            </w:pPr>
            <w:r w:rsidRPr="0010725E">
              <w:rPr>
                <w:szCs w:val="22"/>
              </w:rPr>
              <w:t>-4.2</w:t>
            </w:r>
          </w:p>
        </w:tc>
        <w:tc>
          <w:tcPr>
            <w:tcW w:w="963" w:type="pct"/>
            <w:tcBorders>
              <w:top w:val="single" w:sz="4" w:space="0" w:color="000000"/>
              <w:left w:val="single" w:sz="4" w:space="0" w:color="000000"/>
              <w:bottom w:val="single" w:sz="4" w:space="0" w:color="000000"/>
              <w:right w:val="single" w:sz="4" w:space="0" w:color="000000"/>
            </w:tcBorders>
            <w:vAlign w:val="center"/>
          </w:tcPr>
          <w:p w14:paraId="2DCB081F" w14:textId="77777777" w:rsidR="00A00405" w:rsidRPr="0010725E" w:rsidRDefault="00A00405" w:rsidP="00A00405">
            <w:pPr>
              <w:rPr>
                <w:szCs w:val="22"/>
              </w:rPr>
            </w:pPr>
            <w:r w:rsidRPr="0010725E">
              <w:rPr>
                <w:szCs w:val="22"/>
              </w:rPr>
              <w:t>82.5</w:t>
            </w:r>
          </w:p>
        </w:tc>
      </w:tr>
      <w:tr w:rsidR="00A00405" w:rsidRPr="0010725E" w14:paraId="7EF48B23"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5733092C" w14:textId="77777777" w:rsidR="00A00405" w:rsidRPr="0010725E" w:rsidRDefault="00A00405" w:rsidP="00A00405">
            <w:pPr>
              <w:rPr>
                <w:szCs w:val="22"/>
              </w:rPr>
            </w:pPr>
            <w:r w:rsidRPr="0010725E">
              <w:rPr>
                <w:szCs w:val="22"/>
              </w:rPr>
              <w:t>Ecuador</w:t>
            </w:r>
          </w:p>
        </w:tc>
        <w:tc>
          <w:tcPr>
            <w:tcW w:w="774" w:type="pct"/>
            <w:tcBorders>
              <w:top w:val="nil"/>
              <w:left w:val="nil"/>
              <w:bottom w:val="single" w:sz="4" w:space="0" w:color="000000"/>
              <w:right w:val="single" w:sz="4" w:space="0" w:color="000000"/>
            </w:tcBorders>
            <w:shd w:val="clear" w:color="auto" w:fill="auto"/>
            <w:vAlign w:val="bottom"/>
          </w:tcPr>
          <w:p w14:paraId="5BF3C74E" w14:textId="77777777" w:rsidR="00A00405" w:rsidRPr="0010725E" w:rsidRDefault="00A00405" w:rsidP="00A00405">
            <w:pPr>
              <w:rPr>
                <w:szCs w:val="22"/>
              </w:rPr>
            </w:pPr>
            <w:r w:rsidRPr="0010725E">
              <w:rPr>
                <w:szCs w:val="22"/>
              </w:rPr>
              <w:t>9,760.9</w:t>
            </w:r>
          </w:p>
        </w:tc>
        <w:tc>
          <w:tcPr>
            <w:tcW w:w="757" w:type="pct"/>
            <w:tcBorders>
              <w:top w:val="nil"/>
              <w:left w:val="nil"/>
              <w:bottom w:val="single" w:sz="4" w:space="0" w:color="000000"/>
              <w:right w:val="single" w:sz="4" w:space="0" w:color="000000"/>
            </w:tcBorders>
            <w:shd w:val="clear" w:color="auto" w:fill="auto"/>
            <w:vAlign w:val="bottom"/>
          </w:tcPr>
          <w:p w14:paraId="3231F1E0" w14:textId="77777777" w:rsidR="00A00405" w:rsidRPr="0010725E" w:rsidRDefault="00A00405" w:rsidP="00A00405">
            <w:pPr>
              <w:rPr>
                <w:szCs w:val="22"/>
              </w:rPr>
            </w:pPr>
            <w:r w:rsidRPr="0010725E">
              <w:rPr>
                <w:szCs w:val="22"/>
              </w:rPr>
              <w:t>11,434.4</w:t>
            </w:r>
          </w:p>
        </w:tc>
        <w:tc>
          <w:tcPr>
            <w:tcW w:w="792" w:type="pct"/>
            <w:tcBorders>
              <w:top w:val="single" w:sz="4" w:space="0" w:color="000000"/>
              <w:left w:val="nil"/>
              <w:bottom w:val="single" w:sz="4" w:space="0" w:color="000000"/>
              <w:right w:val="single" w:sz="4" w:space="0" w:color="000000"/>
            </w:tcBorders>
            <w:vAlign w:val="center"/>
          </w:tcPr>
          <w:p w14:paraId="4118DF7D" w14:textId="77777777" w:rsidR="00A00405" w:rsidRPr="0010725E" w:rsidRDefault="00A00405" w:rsidP="00A00405">
            <w:pPr>
              <w:rPr>
                <w:szCs w:val="22"/>
              </w:rPr>
            </w:pPr>
            <w:r w:rsidRPr="0010725E">
              <w:rPr>
                <w:szCs w:val="22"/>
              </w:rPr>
              <w:t>14.6</w:t>
            </w:r>
          </w:p>
        </w:tc>
        <w:tc>
          <w:tcPr>
            <w:tcW w:w="963" w:type="pct"/>
            <w:tcBorders>
              <w:top w:val="single" w:sz="4" w:space="0" w:color="000000"/>
              <w:left w:val="single" w:sz="4" w:space="0" w:color="000000"/>
              <w:bottom w:val="single" w:sz="4" w:space="0" w:color="000000"/>
              <w:right w:val="single" w:sz="4" w:space="0" w:color="000000"/>
            </w:tcBorders>
            <w:vAlign w:val="center"/>
          </w:tcPr>
          <w:p w14:paraId="72429254" w14:textId="77777777" w:rsidR="00A00405" w:rsidRPr="0010725E" w:rsidRDefault="00A00405" w:rsidP="00A00405">
            <w:pPr>
              <w:rPr>
                <w:szCs w:val="22"/>
              </w:rPr>
            </w:pPr>
            <w:r w:rsidRPr="0010725E">
              <w:rPr>
                <w:szCs w:val="22"/>
              </w:rPr>
              <w:t>56.2</w:t>
            </w:r>
          </w:p>
        </w:tc>
      </w:tr>
      <w:tr w:rsidR="00A00405" w:rsidRPr="0010725E" w14:paraId="4B932801"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068AA9D7" w14:textId="77777777" w:rsidR="00A00405" w:rsidRPr="0010725E" w:rsidRDefault="00A00405" w:rsidP="00A00405">
            <w:pPr>
              <w:rPr>
                <w:szCs w:val="22"/>
              </w:rPr>
            </w:pPr>
            <w:r w:rsidRPr="0010725E">
              <w:rPr>
                <w:szCs w:val="22"/>
              </w:rPr>
              <w:t>Paraguay</w:t>
            </w:r>
          </w:p>
        </w:tc>
        <w:tc>
          <w:tcPr>
            <w:tcW w:w="774" w:type="pct"/>
            <w:tcBorders>
              <w:top w:val="nil"/>
              <w:left w:val="nil"/>
              <w:bottom w:val="single" w:sz="4" w:space="0" w:color="000000"/>
              <w:right w:val="single" w:sz="4" w:space="0" w:color="000000"/>
            </w:tcBorders>
            <w:shd w:val="clear" w:color="auto" w:fill="auto"/>
            <w:vAlign w:val="bottom"/>
          </w:tcPr>
          <w:p w14:paraId="10A254C8" w14:textId="77777777" w:rsidR="00A00405" w:rsidRPr="0010725E" w:rsidRDefault="00A00405" w:rsidP="00A00405">
            <w:pPr>
              <w:rPr>
                <w:szCs w:val="22"/>
              </w:rPr>
            </w:pPr>
            <w:r w:rsidRPr="0010725E">
              <w:rPr>
                <w:szCs w:val="22"/>
              </w:rPr>
              <w:t>8,658.2</w:t>
            </w:r>
          </w:p>
        </w:tc>
        <w:tc>
          <w:tcPr>
            <w:tcW w:w="757" w:type="pct"/>
            <w:tcBorders>
              <w:top w:val="nil"/>
              <w:left w:val="nil"/>
              <w:bottom w:val="single" w:sz="4" w:space="0" w:color="000000"/>
              <w:right w:val="single" w:sz="4" w:space="0" w:color="000000"/>
            </w:tcBorders>
            <w:shd w:val="clear" w:color="auto" w:fill="auto"/>
            <w:vAlign w:val="bottom"/>
          </w:tcPr>
          <w:p w14:paraId="3E9B2E8F" w14:textId="77777777" w:rsidR="00A00405" w:rsidRPr="0010725E" w:rsidRDefault="00A00405" w:rsidP="00A00405">
            <w:pPr>
              <w:rPr>
                <w:szCs w:val="22"/>
              </w:rPr>
            </w:pPr>
            <w:r w:rsidRPr="0010725E">
              <w:rPr>
                <w:szCs w:val="22"/>
              </w:rPr>
              <w:t>8,918.5</w:t>
            </w:r>
          </w:p>
        </w:tc>
        <w:tc>
          <w:tcPr>
            <w:tcW w:w="792" w:type="pct"/>
            <w:tcBorders>
              <w:top w:val="single" w:sz="4" w:space="0" w:color="000000"/>
              <w:left w:val="nil"/>
              <w:bottom w:val="single" w:sz="4" w:space="0" w:color="000000"/>
              <w:right w:val="single" w:sz="4" w:space="0" w:color="000000"/>
            </w:tcBorders>
            <w:vAlign w:val="center"/>
          </w:tcPr>
          <w:p w14:paraId="6255FCBD" w14:textId="77777777" w:rsidR="00A00405" w:rsidRPr="0010725E" w:rsidRDefault="00A00405" w:rsidP="00A00405">
            <w:pPr>
              <w:rPr>
                <w:szCs w:val="22"/>
              </w:rPr>
            </w:pPr>
            <w:r w:rsidRPr="0010725E">
              <w:rPr>
                <w:szCs w:val="22"/>
              </w:rPr>
              <w:t>2.9</w:t>
            </w:r>
          </w:p>
        </w:tc>
        <w:tc>
          <w:tcPr>
            <w:tcW w:w="963" w:type="pct"/>
            <w:tcBorders>
              <w:top w:val="single" w:sz="4" w:space="0" w:color="000000"/>
              <w:left w:val="single" w:sz="4" w:space="0" w:color="000000"/>
              <w:bottom w:val="single" w:sz="4" w:space="0" w:color="000000"/>
              <w:right w:val="single" w:sz="4" w:space="0" w:color="000000"/>
            </w:tcBorders>
            <w:vAlign w:val="center"/>
          </w:tcPr>
          <w:p w14:paraId="17CDC1DE" w14:textId="77777777" w:rsidR="00A00405" w:rsidRPr="0010725E" w:rsidRDefault="00A00405" w:rsidP="00A00405">
            <w:pPr>
              <w:rPr>
                <w:szCs w:val="22"/>
              </w:rPr>
            </w:pPr>
            <w:r w:rsidRPr="0010725E">
              <w:rPr>
                <w:szCs w:val="22"/>
              </w:rPr>
              <w:t>100</w:t>
            </w:r>
          </w:p>
        </w:tc>
      </w:tr>
      <w:tr w:rsidR="00A00405" w:rsidRPr="0010725E" w14:paraId="30673F4C"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67729DB4" w14:textId="77777777" w:rsidR="00A00405" w:rsidRPr="0010725E" w:rsidRDefault="00A00405" w:rsidP="00A00405">
            <w:pPr>
              <w:rPr>
                <w:szCs w:val="22"/>
              </w:rPr>
            </w:pPr>
            <w:r w:rsidRPr="0010725E">
              <w:rPr>
                <w:szCs w:val="22"/>
              </w:rPr>
              <w:t>Peru</w:t>
            </w:r>
          </w:p>
        </w:tc>
        <w:tc>
          <w:tcPr>
            <w:tcW w:w="774" w:type="pct"/>
            <w:tcBorders>
              <w:top w:val="nil"/>
              <w:left w:val="nil"/>
              <w:bottom w:val="single" w:sz="4" w:space="0" w:color="000000"/>
              <w:right w:val="single" w:sz="4" w:space="0" w:color="000000"/>
            </w:tcBorders>
            <w:shd w:val="clear" w:color="auto" w:fill="auto"/>
            <w:vAlign w:val="bottom"/>
          </w:tcPr>
          <w:p w14:paraId="3318FF72" w14:textId="77777777" w:rsidR="00A00405" w:rsidRPr="0010725E" w:rsidRDefault="00A00405" w:rsidP="00A00405">
            <w:pPr>
              <w:rPr>
                <w:szCs w:val="22"/>
              </w:rPr>
            </w:pPr>
            <w:r w:rsidRPr="0010725E">
              <w:rPr>
                <w:szCs w:val="22"/>
              </w:rPr>
              <w:t>7,786.0</w:t>
            </w:r>
          </w:p>
        </w:tc>
        <w:tc>
          <w:tcPr>
            <w:tcW w:w="757" w:type="pct"/>
            <w:tcBorders>
              <w:top w:val="nil"/>
              <w:left w:val="nil"/>
              <w:bottom w:val="single" w:sz="4" w:space="0" w:color="000000"/>
              <w:right w:val="single" w:sz="4" w:space="0" w:color="000000"/>
            </w:tcBorders>
            <w:shd w:val="clear" w:color="auto" w:fill="auto"/>
            <w:vAlign w:val="bottom"/>
          </w:tcPr>
          <w:p w14:paraId="610C9852" w14:textId="77777777" w:rsidR="00A00405" w:rsidRPr="0010725E" w:rsidRDefault="00A00405" w:rsidP="00A00405">
            <w:pPr>
              <w:rPr>
                <w:szCs w:val="22"/>
              </w:rPr>
            </w:pPr>
            <w:r w:rsidRPr="0010725E">
              <w:rPr>
                <w:szCs w:val="22"/>
              </w:rPr>
              <w:t>8,267.2</w:t>
            </w:r>
          </w:p>
        </w:tc>
        <w:tc>
          <w:tcPr>
            <w:tcW w:w="792" w:type="pct"/>
            <w:tcBorders>
              <w:top w:val="single" w:sz="4" w:space="0" w:color="000000"/>
              <w:left w:val="nil"/>
              <w:bottom w:val="single" w:sz="4" w:space="0" w:color="000000"/>
              <w:right w:val="single" w:sz="4" w:space="0" w:color="000000"/>
            </w:tcBorders>
            <w:vAlign w:val="center"/>
          </w:tcPr>
          <w:p w14:paraId="3B3C6ECF" w14:textId="77777777" w:rsidR="00A00405" w:rsidRPr="0010725E" w:rsidRDefault="00A00405" w:rsidP="00A00405">
            <w:pPr>
              <w:rPr>
                <w:szCs w:val="22"/>
              </w:rPr>
            </w:pPr>
            <w:r w:rsidRPr="0010725E">
              <w:rPr>
                <w:szCs w:val="22"/>
              </w:rPr>
              <w:t>5.8</w:t>
            </w:r>
          </w:p>
        </w:tc>
        <w:tc>
          <w:tcPr>
            <w:tcW w:w="963" w:type="pct"/>
            <w:tcBorders>
              <w:top w:val="single" w:sz="4" w:space="0" w:color="000000"/>
              <w:left w:val="single" w:sz="4" w:space="0" w:color="000000"/>
              <w:bottom w:val="single" w:sz="4" w:space="0" w:color="000000"/>
              <w:right w:val="single" w:sz="4" w:space="0" w:color="000000"/>
            </w:tcBorders>
            <w:vAlign w:val="center"/>
          </w:tcPr>
          <w:p w14:paraId="1873E00E" w14:textId="77777777" w:rsidR="00A00405" w:rsidRPr="0010725E" w:rsidRDefault="00A00405" w:rsidP="00A00405">
            <w:pPr>
              <w:rPr>
                <w:szCs w:val="22"/>
              </w:rPr>
            </w:pPr>
            <w:r w:rsidRPr="0010725E">
              <w:rPr>
                <w:szCs w:val="22"/>
              </w:rPr>
              <w:t>57.6</w:t>
            </w:r>
          </w:p>
        </w:tc>
      </w:tr>
      <w:tr w:rsidR="00A00405" w:rsidRPr="0010725E" w14:paraId="532F08EC" w14:textId="77777777" w:rsidTr="001D7C20">
        <w:trPr>
          <w:trHeight w:val="320"/>
          <w:jc w:val="center"/>
        </w:trPr>
        <w:tc>
          <w:tcPr>
            <w:tcW w:w="171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03F401A8" w14:textId="77777777" w:rsidR="00A00405" w:rsidRPr="0010725E" w:rsidRDefault="00A00405" w:rsidP="00A00405">
            <w:pPr>
              <w:rPr>
                <w:szCs w:val="22"/>
              </w:rPr>
            </w:pPr>
            <w:r w:rsidRPr="0010725E">
              <w:rPr>
                <w:szCs w:val="22"/>
              </w:rPr>
              <w:t>Uruguay</w:t>
            </w:r>
          </w:p>
        </w:tc>
        <w:tc>
          <w:tcPr>
            <w:tcW w:w="774" w:type="pct"/>
            <w:tcBorders>
              <w:top w:val="single" w:sz="4" w:space="0" w:color="000000"/>
              <w:left w:val="nil"/>
              <w:bottom w:val="single" w:sz="4" w:space="0" w:color="000000"/>
              <w:right w:val="single" w:sz="4" w:space="0" w:color="000000"/>
            </w:tcBorders>
            <w:shd w:val="clear" w:color="auto" w:fill="auto"/>
            <w:vAlign w:val="bottom"/>
          </w:tcPr>
          <w:p w14:paraId="42F0429A" w14:textId="77777777" w:rsidR="00A00405" w:rsidRPr="0010725E" w:rsidRDefault="00A00405" w:rsidP="00A00405">
            <w:pPr>
              <w:rPr>
                <w:szCs w:val="22"/>
              </w:rPr>
            </w:pPr>
            <w:r w:rsidRPr="0010725E">
              <w:rPr>
                <w:szCs w:val="22"/>
              </w:rPr>
              <w:t>14,482.3</w:t>
            </w:r>
          </w:p>
        </w:tc>
        <w:tc>
          <w:tcPr>
            <w:tcW w:w="757" w:type="pct"/>
            <w:tcBorders>
              <w:top w:val="single" w:sz="4" w:space="0" w:color="000000"/>
              <w:left w:val="nil"/>
              <w:bottom w:val="single" w:sz="4" w:space="0" w:color="000000"/>
              <w:right w:val="single" w:sz="4" w:space="0" w:color="000000"/>
            </w:tcBorders>
            <w:shd w:val="clear" w:color="auto" w:fill="auto"/>
            <w:vAlign w:val="bottom"/>
          </w:tcPr>
          <w:p w14:paraId="1637ED1B" w14:textId="77777777" w:rsidR="00A00405" w:rsidRPr="0010725E" w:rsidRDefault="00A00405" w:rsidP="00A00405">
            <w:pPr>
              <w:rPr>
                <w:szCs w:val="22"/>
              </w:rPr>
            </w:pPr>
            <w:r w:rsidRPr="0010725E">
              <w:rPr>
                <w:szCs w:val="22"/>
              </w:rPr>
              <w:t>15,762.1</w:t>
            </w:r>
          </w:p>
        </w:tc>
        <w:tc>
          <w:tcPr>
            <w:tcW w:w="792" w:type="pct"/>
            <w:tcBorders>
              <w:top w:val="single" w:sz="4" w:space="0" w:color="000000"/>
              <w:left w:val="nil"/>
              <w:bottom w:val="single" w:sz="4" w:space="0" w:color="000000"/>
              <w:right w:val="single" w:sz="4" w:space="0" w:color="000000"/>
            </w:tcBorders>
            <w:vAlign w:val="center"/>
          </w:tcPr>
          <w:p w14:paraId="7A8FF282" w14:textId="77777777" w:rsidR="00A00405" w:rsidRPr="0010725E" w:rsidRDefault="00A00405" w:rsidP="00A00405">
            <w:pPr>
              <w:rPr>
                <w:szCs w:val="22"/>
              </w:rPr>
            </w:pPr>
            <w:r w:rsidRPr="0010725E">
              <w:rPr>
                <w:szCs w:val="22"/>
              </w:rPr>
              <w:t>8.1</w:t>
            </w:r>
          </w:p>
        </w:tc>
        <w:tc>
          <w:tcPr>
            <w:tcW w:w="963" w:type="pct"/>
            <w:tcBorders>
              <w:top w:val="single" w:sz="4" w:space="0" w:color="000000"/>
              <w:left w:val="single" w:sz="4" w:space="0" w:color="000000"/>
              <w:bottom w:val="single" w:sz="4" w:space="0" w:color="000000"/>
              <w:right w:val="single" w:sz="4" w:space="0" w:color="000000"/>
            </w:tcBorders>
            <w:vAlign w:val="center"/>
          </w:tcPr>
          <w:p w14:paraId="7F574CEC" w14:textId="77777777" w:rsidR="00A00405" w:rsidRPr="0010725E" w:rsidRDefault="00A00405" w:rsidP="00A00405">
            <w:pPr>
              <w:rPr>
                <w:szCs w:val="22"/>
              </w:rPr>
            </w:pPr>
            <w:r w:rsidRPr="0010725E">
              <w:rPr>
                <w:szCs w:val="22"/>
              </w:rPr>
              <w:t>63.0</w:t>
            </w:r>
          </w:p>
        </w:tc>
      </w:tr>
      <w:tr w:rsidR="00A00405" w:rsidRPr="0010725E" w14:paraId="00C8D27C" w14:textId="77777777" w:rsidTr="001D7C20">
        <w:trPr>
          <w:trHeight w:val="320"/>
          <w:jc w:val="center"/>
        </w:trPr>
        <w:tc>
          <w:tcPr>
            <w:tcW w:w="1714" w:type="pct"/>
            <w:tcBorders>
              <w:top w:val="nil"/>
              <w:left w:val="single" w:sz="4" w:space="0" w:color="000000"/>
              <w:bottom w:val="single" w:sz="4" w:space="0" w:color="000000"/>
              <w:right w:val="single" w:sz="4" w:space="0" w:color="000000"/>
            </w:tcBorders>
            <w:shd w:val="clear" w:color="auto" w:fill="auto"/>
            <w:vAlign w:val="bottom"/>
          </w:tcPr>
          <w:p w14:paraId="4E762412" w14:textId="77777777" w:rsidR="00A00405" w:rsidRPr="0010725E" w:rsidRDefault="00A00405" w:rsidP="00A00405">
            <w:pPr>
              <w:rPr>
                <w:szCs w:val="22"/>
              </w:rPr>
            </w:pPr>
            <w:r w:rsidRPr="0010725E">
              <w:rPr>
                <w:szCs w:val="22"/>
              </w:rPr>
              <w:t>Venezuela</w:t>
            </w:r>
          </w:p>
        </w:tc>
        <w:tc>
          <w:tcPr>
            <w:tcW w:w="774" w:type="pct"/>
            <w:tcBorders>
              <w:top w:val="nil"/>
              <w:left w:val="nil"/>
              <w:bottom w:val="single" w:sz="4" w:space="0" w:color="000000"/>
              <w:right w:val="single" w:sz="4" w:space="0" w:color="000000"/>
            </w:tcBorders>
            <w:shd w:val="clear" w:color="auto" w:fill="auto"/>
            <w:vAlign w:val="bottom"/>
          </w:tcPr>
          <w:p w14:paraId="25529451" w14:textId="77777777" w:rsidR="00A00405" w:rsidRPr="0010725E" w:rsidRDefault="00A00405" w:rsidP="00A00405">
            <w:pPr>
              <w:rPr>
                <w:szCs w:val="22"/>
              </w:rPr>
            </w:pPr>
            <w:r w:rsidRPr="0010725E">
              <w:rPr>
                <w:szCs w:val="22"/>
              </w:rPr>
              <w:t>31,145.6</w:t>
            </w:r>
          </w:p>
        </w:tc>
        <w:tc>
          <w:tcPr>
            <w:tcW w:w="757" w:type="pct"/>
            <w:tcBorders>
              <w:top w:val="nil"/>
              <w:left w:val="nil"/>
              <w:bottom w:val="single" w:sz="4" w:space="0" w:color="000000"/>
              <w:right w:val="single" w:sz="4" w:space="0" w:color="000000"/>
            </w:tcBorders>
            <w:shd w:val="clear" w:color="auto" w:fill="auto"/>
            <w:vAlign w:val="bottom"/>
          </w:tcPr>
          <w:p w14:paraId="6C10AFBB" w14:textId="77777777" w:rsidR="00A00405" w:rsidRPr="0010725E" w:rsidRDefault="00A00405" w:rsidP="00A00405">
            <w:pPr>
              <w:rPr>
                <w:szCs w:val="22"/>
              </w:rPr>
            </w:pPr>
            <w:r w:rsidRPr="0010725E">
              <w:rPr>
                <w:szCs w:val="22"/>
              </w:rPr>
              <w:t>26,507.5</w:t>
            </w:r>
          </w:p>
        </w:tc>
        <w:tc>
          <w:tcPr>
            <w:tcW w:w="792" w:type="pct"/>
            <w:tcBorders>
              <w:top w:val="single" w:sz="4" w:space="0" w:color="000000"/>
              <w:left w:val="nil"/>
              <w:bottom w:val="single" w:sz="4" w:space="0" w:color="000000"/>
              <w:right w:val="single" w:sz="4" w:space="0" w:color="000000"/>
            </w:tcBorders>
            <w:vAlign w:val="center"/>
          </w:tcPr>
          <w:p w14:paraId="57327DA3" w14:textId="77777777" w:rsidR="00A00405" w:rsidRPr="0010725E" w:rsidRDefault="00A00405" w:rsidP="00A00405">
            <w:pPr>
              <w:rPr>
                <w:szCs w:val="22"/>
              </w:rPr>
            </w:pPr>
            <w:r w:rsidRPr="0010725E">
              <w:rPr>
                <w:szCs w:val="22"/>
              </w:rPr>
              <w:t>-17.5</w:t>
            </w:r>
          </w:p>
        </w:tc>
        <w:tc>
          <w:tcPr>
            <w:tcW w:w="963" w:type="pct"/>
            <w:tcBorders>
              <w:top w:val="single" w:sz="4" w:space="0" w:color="000000"/>
              <w:left w:val="single" w:sz="4" w:space="0" w:color="000000"/>
              <w:bottom w:val="single" w:sz="4" w:space="0" w:color="000000"/>
              <w:right w:val="single" w:sz="4" w:space="0" w:color="000000"/>
            </w:tcBorders>
            <w:vAlign w:val="bottom"/>
          </w:tcPr>
          <w:p w14:paraId="470AB4D9" w14:textId="77777777" w:rsidR="00A00405" w:rsidRPr="0010725E" w:rsidRDefault="00A00405" w:rsidP="00A00405">
            <w:pPr>
              <w:rPr>
                <w:szCs w:val="22"/>
              </w:rPr>
            </w:pPr>
            <w:r w:rsidRPr="0010725E">
              <w:rPr>
                <w:szCs w:val="22"/>
              </w:rPr>
              <w:t>66.0</w:t>
            </w:r>
          </w:p>
        </w:tc>
      </w:tr>
      <w:tr w:rsidR="00A00405" w:rsidRPr="0010725E" w14:paraId="298BA8DA" w14:textId="77777777" w:rsidTr="00A00405">
        <w:trPr>
          <w:trHeight w:val="32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vAlign w:val="bottom"/>
          </w:tcPr>
          <w:p w14:paraId="333F96DF" w14:textId="57A66633" w:rsidR="00A00405" w:rsidRPr="0010725E" w:rsidRDefault="00A00405" w:rsidP="00A00405">
            <w:pPr>
              <w:shd w:val="clear" w:color="auto" w:fill="FFFFFF"/>
              <w:rPr>
                <w:sz w:val="20"/>
                <w:szCs w:val="20"/>
              </w:rPr>
            </w:pPr>
            <w:r w:rsidRPr="0010725E">
              <w:rPr>
                <w:sz w:val="20"/>
                <w:szCs w:val="20"/>
              </w:rPr>
              <w:t>Sources: Total energy consumption from World Bank (2017</w:t>
            </w:r>
            <w:r w:rsidR="00F41B91" w:rsidRPr="0010725E">
              <w:rPr>
                <w:sz w:val="20"/>
                <w:szCs w:val="20"/>
              </w:rPr>
              <w:t>a</w:t>
            </w:r>
            <w:r w:rsidRPr="0010725E">
              <w:rPr>
                <w:sz w:val="20"/>
                <w:szCs w:val="20"/>
              </w:rPr>
              <w:t xml:space="preserve">) </w:t>
            </w:r>
            <w:r w:rsidRPr="0010725E">
              <w:rPr>
                <w:i/>
                <w:sz w:val="20"/>
                <w:szCs w:val="20"/>
              </w:rPr>
              <w:t>World Development Indicators</w:t>
            </w:r>
            <w:r w:rsidRPr="0010725E">
              <w:rPr>
                <w:sz w:val="20"/>
                <w:szCs w:val="20"/>
              </w:rPr>
              <w:t xml:space="preserve">. Indicator: Energy Use Per Capita. </w:t>
            </w:r>
            <w:hyperlink r:id="rId67">
              <w:r w:rsidRPr="0010725E">
                <w:rPr>
                  <w:color w:val="0000FF"/>
                  <w:sz w:val="20"/>
                  <w:szCs w:val="20"/>
                  <w:u w:val="single"/>
                </w:rPr>
                <w:t>https://data.worldbank.org/indicator</w:t>
              </w:r>
            </w:hyperlink>
            <w:r w:rsidRPr="0010725E">
              <w:rPr>
                <w:sz w:val="20"/>
                <w:szCs w:val="20"/>
              </w:rPr>
              <w:t xml:space="preserve"> (Energy &amp; Mining – Energy use). Pecertange of electricity from EIA (2016) during 2012, except USA (data from 2014) and Argentina (data from 2015).</w:t>
            </w:r>
          </w:p>
        </w:tc>
      </w:tr>
    </w:tbl>
    <w:p w14:paraId="6DD98F3E" w14:textId="77777777" w:rsidR="00A00405" w:rsidRPr="008608AA" w:rsidRDefault="00A00405" w:rsidP="00A00405">
      <w:pPr>
        <w:shd w:val="clear" w:color="auto" w:fill="FFFFFF"/>
        <w:rPr>
          <w:sz w:val="20"/>
          <w:szCs w:val="20"/>
        </w:rPr>
      </w:pPr>
    </w:p>
    <w:p w14:paraId="5D68B51C" w14:textId="5F3F2F09" w:rsidR="001D7C20" w:rsidRPr="008608AA" w:rsidRDefault="007F26AC" w:rsidP="001D7C20">
      <w:pPr>
        <w:shd w:val="clear" w:color="auto" w:fill="FFFFFF"/>
        <w:jc w:val="center"/>
        <w:rPr>
          <w:sz w:val="20"/>
          <w:szCs w:val="20"/>
        </w:rPr>
      </w:pPr>
      <w:r w:rsidRPr="008608AA">
        <w:rPr>
          <w:noProof/>
          <w:sz w:val="20"/>
          <w:szCs w:val="20"/>
          <w:lang w:val="en-GB" w:eastAsia="en-GB"/>
        </w:rPr>
        <w:drawing>
          <wp:inline distT="0" distB="0" distL="0" distR="0" wp14:anchorId="4BE64B06" wp14:editId="0A4E2F85">
            <wp:extent cx="5934075" cy="4019550"/>
            <wp:effectExtent l="0" t="0" r="9525" b="0"/>
            <wp:docPr id="31" name="Imagen 31" descr="C:\Users\Alejandro Valderrama\Downloads\Fig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5" descr="C:\Users\Alejandro Valderrama\Downloads\Fig2.13.jpg"/>
                    <pic:cNvPicPr>
                      <a:picLocks noChangeAspect="1" noChangeArrowheads="1"/>
                    </pic:cNvPicPr>
                  </pic:nvPicPr>
                  <pic:blipFill rotWithShape="1">
                    <a:blip r:embed="rId68">
                      <a:extLst>
                        <a:ext uri="{28A0092B-C50C-407E-A947-70E740481C1C}">
                          <a14:useLocalDpi xmlns:a14="http://schemas.microsoft.com/office/drawing/2010/main" val="0"/>
                        </a:ext>
                      </a:extLst>
                    </a:blip>
                    <a:srcRect b="53007"/>
                    <a:stretch/>
                  </pic:blipFill>
                  <pic:spPr bwMode="auto">
                    <a:xfrm>
                      <a:off x="0" y="0"/>
                      <a:ext cx="5934075" cy="4019550"/>
                    </a:xfrm>
                    <a:prstGeom prst="rect">
                      <a:avLst/>
                    </a:prstGeom>
                    <a:noFill/>
                    <a:ln>
                      <a:noFill/>
                    </a:ln>
                    <a:extLst>
                      <a:ext uri="{53640926-AAD7-44D8-BBD7-CCE9431645EC}">
                        <a14:shadowObscured xmlns:a14="http://schemas.microsoft.com/office/drawing/2010/main"/>
                      </a:ext>
                    </a:extLst>
                  </pic:spPr>
                </pic:pic>
              </a:graphicData>
            </a:graphic>
          </wp:inline>
        </w:drawing>
      </w:r>
    </w:p>
    <w:p w14:paraId="4C8AAE5D" w14:textId="20CA453B" w:rsidR="00A00405" w:rsidRPr="008608AA" w:rsidRDefault="00A00405" w:rsidP="00780487">
      <w:pPr>
        <w:shd w:val="clear" w:color="auto" w:fill="FFFFFF"/>
        <w:spacing w:before="240" w:after="120"/>
      </w:pPr>
      <w:r w:rsidRPr="008608AA">
        <w:t>Biomass fuels are a direct benefit of nature for humans. Biomass can be used for heating (</w:t>
      </w:r>
      <w:r w:rsidR="00847F60" w:rsidRPr="008608AA">
        <w:t>e.g.</w:t>
      </w:r>
      <w:r w:rsidRPr="008608AA">
        <w:t xml:space="preserve"> firewood, charcoal), production of electricity and transportation fuel. There are many techniques to transform biomass into energy (Figure 2.14), and biofuels could be an important energy source in the future, as they have environmental benefits and can provide income for rural populations involved in production (Nigam &amp; Singh, 2011). Even in the highly developed USA, 2.5 million households (2.1%) use wood as the main source for home heating. In an additional 9 million households (7.7%), wood is used as a secondary heating fuel (EIA, 2014: </w:t>
      </w:r>
      <w:hyperlink r:id="rId69">
        <w:r w:rsidRPr="008608AA">
          <w:rPr>
            <w:color w:val="0000FF"/>
            <w:u w:val="single"/>
          </w:rPr>
          <w:t>https://www.eia.gov/todayinenergy/detail.php?id=15431</w:t>
        </w:r>
      </w:hyperlink>
      <w:r w:rsidRPr="008608AA">
        <w:t>). In Brazil, 53% of rural and 5% of urban population rely on biomass as their principal energy source for cooking. The average for the other South American countries is even higher (62% in rural and 9% in urban areas; IEA, 2006). Charcoal remains an important energy source throughout the Americas (Table 2.7), both for household and industrial use (</w:t>
      </w:r>
      <w:r w:rsidR="00847F60" w:rsidRPr="008608AA">
        <w:t>e.g.</w:t>
      </w:r>
      <w:r w:rsidRPr="008608AA">
        <w:t xml:space="preserve"> Brazil, where most of the charcoal is used in industry; GIZ, 2014). While important especially for rural populations with little access to other sources, there may be negative impacts on the environment due to overexploitation, as well as negative effects on human health (</w:t>
      </w:r>
      <w:r w:rsidR="00B20C8E" w:rsidRPr="008608AA">
        <w:t>section</w:t>
      </w:r>
      <w:r w:rsidRPr="008608AA">
        <w:t xml:space="preserve"> 2.3.4). </w:t>
      </w:r>
    </w:p>
    <w:p w14:paraId="0ACEA428" w14:textId="5FA48A47" w:rsidR="00780487"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7</w:t>
      </w:r>
      <w:r w:rsidR="000E562E">
        <w:rPr>
          <w:noProof/>
        </w:rPr>
        <w:fldChar w:fldCharType="end"/>
      </w:r>
      <w:r w:rsidR="00780487" w:rsidRPr="008608AA">
        <w:t>. Charcoal production (tons) in the Americas by subregion</w:t>
      </w:r>
    </w:p>
    <w:tbl>
      <w:tblPr>
        <w:tblW w:w="5000" w:type="pct"/>
        <w:jc w:val="center"/>
        <w:tblLook w:val="0400" w:firstRow="0" w:lastRow="0" w:firstColumn="0" w:lastColumn="0" w:noHBand="0" w:noVBand="1"/>
      </w:tblPr>
      <w:tblGrid>
        <w:gridCol w:w="2715"/>
        <w:gridCol w:w="1827"/>
        <w:gridCol w:w="1649"/>
        <w:gridCol w:w="1649"/>
        <w:gridCol w:w="1647"/>
      </w:tblGrid>
      <w:tr w:rsidR="00A00405" w:rsidRPr="0010725E" w14:paraId="2E1CF1AD" w14:textId="77777777" w:rsidTr="00780487">
        <w:trPr>
          <w:trHeight w:val="320"/>
          <w:jc w:val="center"/>
        </w:trPr>
        <w:tc>
          <w:tcPr>
            <w:tcW w:w="1431"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B9470A2" w14:textId="1D407BCA" w:rsidR="00A00405" w:rsidRPr="0010725E" w:rsidRDefault="00A00405" w:rsidP="00780487">
            <w:pPr>
              <w:jc w:val="center"/>
              <w:rPr>
                <w:b/>
                <w:szCs w:val="22"/>
              </w:rPr>
            </w:pPr>
          </w:p>
        </w:tc>
        <w:tc>
          <w:tcPr>
            <w:tcW w:w="963" w:type="pct"/>
            <w:tcBorders>
              <w:top w:val="single" w:sz="4" w:space="0" w:color="000000"/>
              <w:left w:val="nil"/>
              <w:bottom w:val="single" w:sz="4" w:space="0" w:color="000000"/>
              <w:right w:val="single" w:sz="4" w:space="0" w:color="000000"/>
            </w:tcBorders>
            <w:shd w:val="clear" w:color="auto" w:fill="BFBFBF" w:themeFill="background1" w:themeFillShade="BF"/>
            <w:vAlign w:val="center"/>
          </w:tcPr>
          <w:p w14:paraId="28B1C2FB" w14:textId="77777777" w:rsidR="00A00405" w:rsidRPr="0010725E" w:rsidRDefault="00A00405" w:rsidP="00780487">
            <w:pPr>
              <w:jc w:val="center"/>
              <w:rPr>
                <w:b/>
                <w:szCs w:val="22"/>
              </w:rPr>
            </w:pPr>
            <w:r w:rsidRPr="0010725E">
              <w:rPr>
                <w:b/>
                <w:szCs w:val="22"/>
              </w:rPr>
              <w:t>1986</w:t>
            </w:r>
          </w:p>
        </w:tc>
        <w:tc>
          <w:tcPr>
            <w:tcW w:w="869" w:type="pct"/>
            <w:tcBorders>
              <w:top w:val="single" w:sz="4" w:space="0" w:color="000000"/>
              <w:left w:val="nil"/>
              <w:bottom w:val="single" w:sz="4" w:space="0" w:color="000000"/>
              <w:right w:val="single" w:sz="4" w:space="0" w:color="000000"/>
            </w:tcBorders>
            <w:shd w:val="clear" w:color="auto" w:fill="BFBFBF" w:themeFill="background1" w:themeFillShade="BF"/>
            <w:vAlign w:val="center"/>
          </w:tcPr>
          <w:p w14:paraId="4691DFA4" w14:textId="77777777" w:rsidR="00A00405" w:rsidRPr="0010725E" w:rsidRDefault="00A00405" w:rsidP="00780487">
            <w:pPr>
              <w:jc w:val="center"/>
              <w:rPr>
                <w:b/>
                <w:szCs w:val="22"/>
              </w:rPr>
            </w:pPr>
            <w:r w:rsidRPr="0010725E">
              <w:rPr>
                <w:b/>
                <w:szCs w:val="22"/>
              </w:rPr>
              <w:t>1996</w:t>
            </w:r>
          </w:p>
        </w:tc>
        <w:tc>
          <w:tcPr>
            <w:tcW w:w="869" w:type="pct"/>
            <w:tcBorders>
              <w:top w:val="single" w:sz="4" w:space="0" w:color="000000"/>
              <w:left w:val="nil"/>
              <w:bottom w:val="single" w:sz="4" w:space="0" w:color="000000"/>
              <w:right w:val="single" w:sz="4" w:space="0" w:color="000000"/>
            </w:tcBorders>
            <w:shd w:val="clear" w:color="auto" w:fill="BFBFBF" w:themeFill="background1" w:themeFillShade="BF"/>
            <w:vAlign w:val="center"/>
          </w:tcPr>
          <w:p w14:paraId="653D62DA" w14:textId="77777777" w:rsidR="00A00405" w:rsidRPr="0010725E" w:rsidRDefault="00A00405" w:rsidP="00780487">
            <w:pPr>
              <w:jc w:val="center"/>
              <w:rPr>
                <w:b/>
                <w:szCs w:val="22"/>
              </w:rPr>
            </w:pPr>
            <w:r w:rsidRPr="0010725E">
              <w:rPr>
                <w:b/>
                <w:szCs w:val="22"/>
              </w:rPr>
              <w:t>2006</w:t>
            </w:r>
          </w:p>
        </w:tc>
        <w:tc>
          <w:tcPr>
            <w:tcW w:w="868" w:type="pct"/>
            <w:tcBorders>
              <w:top w:val="single" w:sz="4" w:space="0" w:color="000000"/>
              <w:left w:val="nil"/>
              <w:bottom w:val="single" w:sz="4" w:space="0" w:color="000000"/>
              <w:right w:val="single" w:sz="4" w:space="0" w:color="000000"/>
            </w:tcBorders>
            <w:shd w:val="clear" w:color="auto" w:fill="BFBFBF" w:themeFill="background1" w:themeFillShade="BF"/>
            <w:vAlign w:val="center"/>
          </w:tcPr>
          <w:p w14:paraId="7F0641F3" w14:textId="77777777" w:rsidR="00A00405" w:rsidRPr="0010725E" w:rsidRDefault="00A00405" w:rsidP="00780487">
            <w:pPr>
              <w:jc w:val="center"/>
              <w:rPr>
                <w:b/>
                <w:szCs w:val="22"/>
              </w:rPr>
            </w:pPr>
            <w:r w:rsidRPr="0010725E">
              <w:rPr>
                <w:b/>
                <w:szCs w:val="22"/>
              </w:rPr>
              <w:t>2016</w:t>
            </w:r>
          </w:p>
        </w:tc>
      </w:tr>
      <w:tr w:rsidR="00A00405" w:rsidRPr="0010725E" w14:paraId="410D464F" w14:textId="77777777" w:rsidTr="00780487">
        <w:trPr>
          <w:trHeight w:val="320"/>
          <w:jc w:val="center"/>
        </w:trPr>
        <w:tc>
          <w:tcPr>
            <w:tcW w:w="1431" w:type="pct"/>
            <w:tcBorders>
              <w:top w:val="nil"/>
              <w:left w:val="single" w:sz="4" w:space="0" w:color="000000"/>
              <w:bottom w:val="single" w:sz="4" w:space="0" w:color="000000"/>
              <w:right w:val="single" w:sz="4" w:space="0" w:color="000000"/>
            </w:tcBorders>
            <w:shd w:val="clear" w:color="auto" w:fill="auto"/>
            <w:vAlign w:val="bottom"/>
          </w:tcPr>
          <w:p w14:paraId="277050FE" w14:textId="77777777" w:rsidR="00A00405" w:rsidRPr="0010725E" w:rsidRDefault="00A00405" w:rsidP="00A00405">
            <w:pPr>
              <w:rPr>
                <w:szCs w:val="22"/>
              </w:rPr>
            </w:pPr>
            <w:r w:rsidRPr="0010725E">
              <w:rPr>
                <w:szCs w:val="22"/>
              </w:rPr>
              <w:t>North America</w:t>
            </w:r>
          </w:p>
        </w:tc>
        <w:tc>
          <w:tcPr>
            <w:tcW w:w="963" w:type="pct"/>
            <w:tcBorders>
              <w:top w:val="nil"/>
              <w:left w:val="nil"/>
              <w:bottom w:val="single" w:sz="4" w:space="0" w:color="000000"/>
              <w:right w:val="single" w:sz="4" w:space="0" w:color="000000"/>
            </w:tcBorders>
            <w:shd w:val="clear" w:color="auto" w:fill="auto"/>
            <w:vAlign w:val="bottom"/>
          </w:tcPr>
          <w:p w14:paraId="1ADFDD45" w14:textId="77777777" w:rsidR="00A00405" w:rsidRPr="0010725E" w:rsidRDefault="00A00405" w:rsidP="00A00405">
            <w:pPr>
              <w:jc w:val="center"/>
              <w:rPr>
                <w:szCs w:val="22"/>
              </w:rPr>
            </w:pPr>
            <w:r w:rsidRPr="0010725E">
              <w:rPr>
                <w:szCs w:val="22"/>
              </w:rPr>
              <w:t>500,000</w:t>
            </w:r>
          </w:p>
        </w:tc>
        <w:tc>
          <w:tcPr>
            <w:tcW w:w="869" w:type="pct"/>
            <w:tcBorders>
              <w:top w:val="nil"/>
              <w:left w:val="nil"/>
              <w:bottom w:val="single" w:sz="4" w:space="0" w:color="000000"/>
              <w:right w:val="single" w:sz="4" w:space="0" w:color="000000"/>
            </w:tcBorders>
            <w:shd w:val="clear" w:color="auto" w:fill="auto"/>
            <w:vAlign w:val="bottom"/>
          </w:tcPr>
          <w:p w14:paraId="19384E00" w14:textId="77777777" w:rsidR="00A00405" w:rsidRPr="0010725E" w:rsidRDefault="00A00405" w:rsidP="00A00405">
            <w:pPr>
              <w:jc w:val="center"/>
              <w:rPr>
                <w:szCs w:val="22"/>
              </w:rPr>
            </w:pPr>
            <w:r w:rsidRPr="0010725E">
              <w:rPr>
                <w:szCs w:val="22"/>
              </w:rPr>
              <w:t>789,000</w:t>
            </w:r>
          </w:p>
        </w:tc>
        <w:tc>
          <w:tcPr>
            <w:tcW w:w="869" w:type="pct"/>
            <w:tcBorders>
              <w:top w:val="nil"/>
              <w:left w:val="nil"/>
              <w:bottom w:val="single" w:sz="4" w:space="0" w:color="000000"/>
              <w:right w:val="single" w:sz="4" w:space="0" w:color="000000"/>
            </w:tcBorders>
            <w:shd w:val="clear" w:color="auto" w:fill="auto"/>
            <w:vAlign w:val="bottom"/>
          </w:tcPr>
          <w:p w14:paraId="201516BE" w14:textId="77777777" w:rsidR="00A00405" w:rsidRPr="0010725E" w:rsidRDefault="00A00405" w:rsidP="00A00405">
            <w:pPr>
              <w:jc w:val="center"/>
              <w:rPr>
                <w:szCs w:val="22"/>
              </w:rPr>
            </w:pPr>
            <w:r w:rsidRPr="0010725E">
              <w:rPr>
                <w:szCs w:val="22"/>
              </w:rPr>
              <w:t>901,800</w:t>
            </w:r>
          </w:p>
        </w:tc>
        <w:tc>
          <w:tcPr>
            <w:tcW w:w="868" w:type="pct"/>
            <w:tcBorders>
              <w:top w:val="nil"/>
              <w:left w:val="nil"/>
              <w:bottom w:val="single" w:sz="4" w:space="0" w:color="000000"/>
              <w:right w:val="single" w:sz="4" w:space="0" w:color="000000"/>
            </w:tcBorders>
            <w:shd w:val="clear" w:color="auto" w:fill="auto"/>
            <w:vAlign w:val="bottom"/>
          </w:tcPr>
          <w:p w14:paraId="64162819" w14:textId="77777777" w:rsidR="00A00405" w:rsidRPr="0010725E" w:rsidRDefault="00A00405" w:rsidP="00A00405">
            <w:pPr>
              <w:jc w:val="center"/>
              <w:rPr>
                <w:szCs w:val="22"/>
              </w:rPr>
            </w:pPr>
            <w:r w:rsidRPr="0010725E">
              <w:rPr>
                <w:szCs w:val="22"/>
              </w:rPr>
              <w:t>982,260</w:t>
            </w:r>
          </w:p>
        </w:tc>
      </w:tr>
      <w:tr w:rsidR="00A00405" w:rsidRPr="0010725E" w14:paraId="44EF4C1C" w14:textId="77777777" w:rsidTr="00780487">
        <w:trPr>
          <w:trHeight w:val="320"/>
          <w:jc w:val="center"/>
        </w:trPr>
        <w:tc>
          <w:tcPr>
            <w:tcW w:w="1431" w:type="pct"/>
            <w:tcBorders>
              <w:top w:val="nil"/>
              <w:left w:val="single" w:sz="4" w:space="0" w:color="000000"/>
              <w:bottom w:val="single" w:sz="4" w:space="0" w:color="000000"/>
              <w:right w:val="single" w:sz="4" w:space="0" w:color="000000"/>
            </w:tcBorders>
            <w:shd w:val="clear" w:color="auto" w:fill="auto"/>
            <w:vAlign w:val="bottom"/>
          </w:tcPr>
          <w:p w14:paraId="354F2EE0" w14:textId="77777777" w:rsidR="00A00405" w:rsidRPr="0010725E" w:rsidRDefault="00A00405" w:rsidP="00A00405">
            <w:pPr>
              <w:rPr>
                <w:szCs w:val="22"/>
              </w:rPr>
            </w:pPr>
            <w:r w:rsidRPr="0010725E">
              <w:rPr>
                <w:szCs w:val="22"/>
              </w:rPr>
              <w:t>Mesoamerica</w:t>
            </w:r>
          </w:p>
        </w:tc>
        <w:tc>
          <w:tcPr>
            <w:tcW w:w="963" w:type="pct"/>
            <w:tcBorders>
              <w:top w:val="nil"/>
              <w:left w:val="nil"/>
              <w:bottom w:val="single" w:sz="4" w:space="0" w:color="000000"/>
              <w:right w:val="single" w:sz="4" w:space="0" w:color="000000"/>
            </w:tcBorders>
            <w:shd w:val="clear" w:color="auto" w:fill="auto"/>
            <w:vAlign w:val="bottom"/>
          </w:tcPr>
          <w:p w14:paraId="39C6099D" w14:textId="77777777" w:rsidR="00A00405" w:rsidRPr="0010725E" w:rsidRDefault="00A00405" w:rsidP="00A00405">
            <w:pPr>
              <w:jc w:val="center"/>
              <w:rPr>
                <w:szCs w:val="22"/>
              </w:rPr>
            </w:pPr>
            <w:r w:rsidRPr="0010725E">
              <w:rPr>
                <w:szCs w:val="22"/>
              </w:rPr>
              <w:t>166,318</w:t>
            </w:r>
          </w:p>
        </w:tc>
        <w:tc>
          <w:tcPr>
            <w:tcW w:w="869" w:type="pct"/>
            <w:tcBorders>
              <w:top w:val="nil"/>
              <w:left w:val="nil"/>
              <w:bottom w:val="single" w:sz="4" w:space="0" w:color="000000"/>
              <w:right w:val="single" w:sz="4" w:space="0" w:color="000000"/>
            </w:tcBorders>
            <w:shd w:val="clear" w:color="auto" w:fill="auto"/>
            <w:vAlign w:val="bottom"/>
          </w:tcPr>
          <w:p w14:paraId="7D6B9563" w14:textId="77777777" w:rsidR="00A00405" w:rsidRPr="0010725E" w:rsidRDefault="00A00405" w:rsidP="00A00405">
            <w:pPr>
              <w:jc w:val="center"/>
              <w:rPr>
                <w:szCs w:val="22"/>
              </w:rPr>
            </w:pPr>
            <w:r w:rsidRPr="0010725E">
              <w:rPr>
                <w:szCs w:val="22"/>
              </w:rPr>
              <w:t>117,691</w:t>
            </w:r>
          </w:p>
        </w:tc>
        <w:tc>
          <w:tcPr>
            <w:tcW w:w="869" w:type="pct"/>
            <w:tcBorders>
              <w:top w:val="nil"/>
              <w:left w:val="nil"/>
              <w:bottom w:val="single" w:sz="4" w:space="0" w:color="000000"/>
              <w:right w:val="single" w:sz="4" w:space="0" w:color="000000"/>
            </w:tcBorders>
            <w:shd w:val="clear" w:color="auto" w:fill="auto"/>
            <w:vAlign w:val="bottom"/>
          </w:tcPr>
          <w:p w14:paraId="234EF080" w14:textId="77777777" w:rsidR="00A00405" w:rsidRPr="0010725E" w:rsidRDefault="00A00405" w:rsidP="00A00405">
            <w:pPr>
              <w:jc w:val="center"/>
              <w:rPr>
                <w:szCs w:val="22"/>
              </w:rPr>
            </w:pPr>
            <w:r w:rsidRPr="0010725E">
              <w:rPr>
                <w:szCs w:val="22"/>
              </w:rPr>
              <w:t>190,742</w:t>
            </w:r>
          </w:p>
        </w:tc>
        <w:tc>
          <w:tcPr>
            <w:tcW w:w="868" w:type="pct"/>
            <w:tcBorders>
              <w:top w:val="nil"/>
              <w:left w:val="nil"/>
              <w:bottom w:val="single" w:sz="4" w:space="0" w:color="000000"/>
              <w:right w:val="single" w:sz="4" w:space="0" w:color="000000"/>
            </w:tcBorders>
            <w:shd w:val="clear" w:color="auto" w:fill="auto"/>
            <w:vAlign w:val="bottom"/>
          </w:tcPr>
          <w:p w14:paraId="266D29F4" w14:textId="77777777" w:rsidR="00A00405" w:rsidRPr="0010725E" w:rsidRDefault="00A00405" w:rsidP="00A00405">
            <w:pPr>
              <w:jc w:val="center"/>
              <w:rPr>
                <w:szCs w:val="22"/>
              </w:rPr>
            </w:pPr>
            <w:r w:rsidRPr="0010725E">
              <w:rPr>
                <w:szCs w:val="22"/>
              </w:rPr>
              <w:t>195,272</w:t>
            </w:r>
          </w:p>
        </w:tc>
      </w:tr>
      <w:tr w:rsidR="00A00405" w:rsidRPr="0010725E" w14:paraId="724D5E32" w14:textId="77777777" w:rsidTr="00780487">
        <w:trPr>
          <w:trHeight w:val="320"/>
          <w:jc w:val="center"/>
        </w:trPr>
        <w:tc>
          <w:tcPr>
            <w:tcW w:w="1431" w:type="pct"/>
            <w:tcBorders>
              <w:top w:val="nil"/>
              <w:left w:val="single" w:sz="4" w:space="0" w:color="000000"/>
              <w:bottom w:val="single" w:sz="4" w:space="0" w:color="000000"/>
              <w:right w:val="single" w:sz="4" w:space="0" w:color="000000"/>
            </w:tcBorders>
            <w:shd w:val="clear" w:color="auto" w:fill="auto"/>
            <w:vAlign w:val="bottom"/>
          </w:tcPr>
          <w:p w14:paraId="2B47992D" w14:textId="77777777" w:rsidR="00A00405" w:rsidRPr="0010725E" w:rsidRDefault="00A00405" w:rsidP="00A00405">
            <w:pPr>
              <w:rPr>
                <w:szCs w:val="22"/>
              </w:rPr>
            </w:pPr>
            <w:r w:rsidRPr="0010725E">
              <w:rPr>
                <w:szCs w:val="22"/>
              </w:rPr>
              <w:t>Caribbean</w:t>
            </w:r>
          </w:p>
        </w:tc>
        <w:tc>
          <w:tcPr>
            <w:tcW w:w="963" w:type="pct"/>
            <w:tcBorders>
              <w:top w:val="nil"/>
              <w:left w:val="nil"/>
              <w:bottom w:val="single" w:sz="4" w:space="0" w:color="000000"/>
              <w:right w:val="single" w:sz="4" w:space="0" w:color="000000"/>
            </w:tcBorders>
            <w:shd w:val="clear" w:color="auto" w:fill="auto"/>
            <w:vAlign w:val="bottom"/>
          </w:tcPr>
          <w:p w14:paraId="74CC265E" w14:textId="77777777" w:rsidR="00A00405" w:rsidRPr="0010725E" w:rsidRDefault="00A00405" w:rsidP="00A00405">
            <w:pPr>
              <w:jc w:val="center"/>
              <w:rPr>
                <w:szCs w:val="22"/>
              </w:rPr>
            </w:pPr>
            <w:r w:rsidRPr="0010725E">
              <w:rPr>
                <w:szCs w:val="22"/>
              </w:rPr>
              <w:t>115,447</w:t>
            </w:r>
          </w:p>
        </w:tc>
        <w:tc>
          <w:tcPr>
            <w:tcW w:w="869" w:type="pct"/>
            <w:tcBorders>
              <w:top w:val="nil"/>
              <w:left w:val="nil"/>
              <w:bottom w:val="single" w:sz="4" w:space="0" w:color="000000"/>
              <w:right w:val="single" w:sz="4" w:space="0" w:color="000000"/>
            </w:tcBorders>
            <w:shd w:val="clear" w:color="auto" w:fill="auto"/>
            <w:vAlign w:val="bottom"/>
          </w:tcPr>
          <w:p w14:paraId="56E8C7E0" w14:textId="77777777" w:rsidR="00A00405" w:rsidRPr="0010725E" w:rsidRDefault="00A00405" w:rsidP="00A00405">
            <w:pPr>
              <w:jc w:val="center"/>
              <w:rPr>
                <w:szCs w:val="22"/>
              </w:rPr>
            </w:pPr>
            <w:r w:rsidRPr="0010725E">
              <w:rPr>
                <w:szCs w:val="22"/>
              </w:rPr>
              <w:t>130,704</w:t>
            </w:r>
          </w:p>
        </w:tc>
        <w:tc>
          <w:tcPr>
            <w:tcW w:w="869" w:type="pct"/>
            <w:tcBorders>
              <w:top w:val="nil"/>
              <w:left w:val="nil"/>
              <w:bottom w:val="single" w:sz="4" w:space="0" w:color="000000"/>
              <w:right w:val="single" w:sz="4" w:space="0" w:color="000000"/>
            </w:tcBorders>
            <w:shd w:val="clear" w:color="auto" w:fill="auto"/>
            <w:vAlign w:val="bottom"/>
          </w:tcPr>
          <w:p w14:paraId="3B48D396" w14:textId="77777777" w:rsidR="00A00405" w:rsidRPr="0010725E" w:rsidRDefault="00A00405" w:rsidP="00A00405">
            <w:pPr>
              <w:jc w:val="center"/>
              <w:rPr>
                <w:szCs w:val="22"/>
              </w:rPr>
            </w:pPr>
            <w:r w:rsidRPr="0010725E">
              <w:rPr>
                <w:szCs w:val="22"/>
              </w:rPr>
              <w:t>132,801</w:t>
            </w:r>
          </w:p>
        </w:tc>
        <w:tc>
          <w:tcPr>
            <w:tcW w:w="868" w:type="pct"/>
            <w:tcBorders>
              <w:top w:val="nil"/>
              <w:left w:val="nil"/>
              <w:bottom w:val="single" w:sz="4" w:space="0" w:color="000000"/>
              <w:right w:val="single" w:sz="4" w:space="0" w:color="000000"/>
            </w:tcBorders>
            <w:shd w:val="clear" w:color="auto" w:fill="auto"/>
            <w:vAlign w:val="bottom"/>
          </w:tcPr>
          <w:p w14:paraId="73E9FAF4" w14:textId="77777777" w:rsidR="00A00405" w:rsidRPr="0010725E" w:rsidRDefault="00A00405" w:rsidP="00A00405">
            <w:pPr>
              <w:jc w:val="center"/>
              <w:rPr>
                <w:szCs w:val="22"/>
              </w:rPr>
            </w:pPr>
            <w:r w:rsidRPr="0010725E">
              <w:rPr>
                <w:szCs w:val="22"/>
              </w:rPr>
              <w:t>177,774</w:t>
            </w:r>
          </w:p>
        </w:tc>
      </w:tr>
      <w:tr w:rsidR="00A00405" w:rsidRPr="0010725E" w14:paraId="2FE9C031" w14:textId="77777777" w:rsidTr="00780487">
        <w:trPr>
          <w:trHeight w:val="320"/>
          <w:jc w:val="center"/>
        </w:trPr>
        <w:tc>
          <w:tcPr>
            <w:tcW w:w="1431" w:type="pct"/>
            <w:tcBorders>
              <w:top w:val="single" w:sz="4" w:space="0" w:color="000000"/>
              <w:left w:val="single" w:sz="4" w:space="0" w:color="000000"/>
              <w:bottom w:val="single" w:sz="4" w:space="0" w:color="000000"/>
              <w:right w:val="single" w:sz="4" w:space="0" w:color="000000"/>
            </w:tcBorders>
            <w:shd w:val="clear" w:color="auto" w:fill="auto"/>
            <w:vAlign w:val="bottom"/>
          </w:tcPr>
          <w:p w14:paraId="1D23923C" w14:textId="77777777" w:rsidR="00A00405" w:rsidRPr="0010725E" w:rsidRDefault="00A00405" w:rsidP="00A00405">
            <w:pPr>
              <w:rPr>
                <w:szCs w:val="22"/>
              </w:rPr>
            </w:pPr>
            <w:r w:rsidRPr="0010725E">
              <w:rPr>
                <w:szCs w:val="22"/>
              </w:rPr>
              <w:t>South America</w:t>
            </w:r>
          </w:p>
        </w:tc>
        <w:tc>
          <w:tcPr>
            <w:tcW w:w="963" w:type="pct"/>
            <w:tcBorders>
              <w:top w:val="single" w:sz="4" w:space="0" w:color="000000"/>
              <w:left w:val="nil"/>
              <w:bottom w:val="single" w:sz="4" w:space="0" w:color="000000"/>
              <w:right w:val="single" w:sz="4" w:space="0" w:color="000000"/>
            </w:tcBorders>
            <w:shd w:val="clear" w:color="auto" w:fill="auto"/>
            <w:vAlign w:val="bottom"/>
          </w:tcPr>
          <w:p w14:paraId="78ADDB30" w14:textId="77777777" w:rsidR="00A00405" w:rsidRPr="0010725E" w:rsidRDefault="00A00405" w:rsidP="00A00405">
            <w:pPr>
              <w:jc w:val="center"/>
              <w:rPr>
                <w:szCs w:val="22"/>
              </w:rPr>
            </w:pPr>
            <w:r w:rsidRPr="0010725E">
              <w:rPr>
                <w:szCs w:val="22"/>
              </w:rPr>
              <w:t>10,779,511</w:t>
            </w:r>
          </w:p>
        </w:tc>
        <w:tc>
          <w:tcPr>
            <w:tcW w:w="869" w:type="pct"/>
            <w:tcBorders>
              <w:top w:val="single" w:sz="4" w:space="0" w:color="000000"/>
              <w:left w:val="nil"/>
              <w:bottom w:val="single" w:sz="4" w:space="0" w:color="000000"/>
              <w:right w:val="single" w:sz="4" w:space="0" w:color="000000"/>
            </w:tcBorders>
            <w:shd w:val="clear" w:color="auto" w:fill="auto"/>
            <w:vAlign w:val="bottom"/>
          </w:tcPr>
          <w:p w14:paraId="40BEC702" w14:textId="77777777" w:rsidR="00A00405" w:rsidRPr="0010725E" w:rsidRDefault="00A00405" w:rsidP="00A00405">
            <w:pPr>
              <w:jc w:val="center"/>
              <w:rPr>
                <w:szCs w:val="22"/>
              </w:rPr>
            </w:pPr>
            <w:r w:rsidRPr="0010725E">
              <w:rPr>
                <w:szCs w:val="22"/>
              </w:rPr>
              <w:t>8,,779130</w:t>
            </w:r>
          </w:p>
        </w:tc>
        <w:tc>
          <w:tcPr>
            <w:tcW w:w="869" w:type="pct"/>
            <w:tcBorders>
              <w:top w:val="single" w:sz="4" w:space="0" w:color="000000"/>
              <w:left w:val="nil"/>
              <w:bottom w:val="single" w:sz="4" w:space="0" w:color="000000"/>
              <w:right w:val="single" w:sz="4" w:space="0" w:color="000000"/>
            </w:tcBorders>
            <w:shd w:val="clear" w:color="auto" w:fill="auto"/>
            <w:vAlign w:val="bottom"/>
          </w:tcPr>
          <w:p w14:paraId="71E57A41" w14:textId="77777777" w:rsidR="00A00405" w:rsidRPr="0010725E" w:rsidRDefault="00A00405" w:rsidP="00A00405">
            <w:pPr>
              <w:jc w:val="center"/>
              <w:rPr>
                <w:szCs w:val="22"/>
              </w:rPr>
            </w:pPr>
            <w:r w:rsidRPr="0010725E">
              <w:rPr>
                <w:szCs w:val="22"/>
              </w:rPr>
              <w:t>9,532,494</w:t>
            </w:r>
          </w:p>
        </w:tc>
        <w:tc>
          <w:tcPr>
            <w:tcW w:w="868" w:type="pct"/>
            <w:tcBorders>
              <w:top w:val="single" w:sz="4" w:space="0" w:color="000000"/>
              <w:left w:val="nil"/>
              <w:bottom w:val="single" w:sz="4" w:space="0" w:color="000000"/>
              <w:right w:val="single" w:sz="4" w:space="0" w:color="000000"/>
            </w:tcBorders>
            <w:shd w:val="clear" w:color="auto" w:fill="auto"/>
            <w:vAlign w:val="bottom"/>
          </w:tcPr>
          <w:p w14:paraId="0B900A59" w14:textId="77777777" w:rsidR="00A00405" w:rsidRPr="0010725E" w:rsidRDefault="00A00405" w:rsidP="00A00405">
            <w:pPr>
              <w:jc w:val="center"/>
              <w:rPr>
                <w:szCs w:val="22"/>
              </w:rPr>
            </w:pPr>
            <w:r w:rsidRPr="0010725E">
              <w:rPr>
                <w:szCs w:val="22"/>
              </w:rPr>
              <w:t>8,283,537</w:t>
            </w:r>
          </w:p>
        </w:tc>
      </w:tr>
      <w:tr w:rsidR="00A00405" w:rsidRPr="0010725E" w14:paraId="5D65C7A9" w14:textId="77777777" w:rsidTr="00A00405">
        <w:trPr>
          <w:trHeight w:val="32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vAlign w:val="bottom"/>
          </w:tcPr>
          <w:p w14:paraId="357ED2B2" w14:textId="68822EB9" w:rsidR="00A00405" w:rsidRPr="0010725E" w:rsidRDefault="00A00405" w:rsidP="002D2C47">
            <w:pPr>
              <w:rPr>
                <w:sz w:val="20"/>
                <w:szCs w:val="20"/>
              </w:rPr>
            </w:pPr>
            <w:r w:rsidRPr="0010725E">
              <w:rPr>
                <w:sz w:val="20"/>
                <w:szCs w:val="20"/>
              </w:rPr>
              <w:t xml:space="preserve">Source: </w:t>
            </w:r>
            <w:r w:rsidR="002D2C47" w:rsidRPr="0010725E">
              <w:rPr>
                <w:sz w:val="20"/>
                <w:szCs w:val="20"/>
              </w:rPr>
              <w:t xml:space="preserve">FAOStat (2017). Forestry Production and Trade. </w:t>
            </w:r>
            <w:hyperlink r:id="rId70" w:history="1">
              <w:r w:rsidR="002D2C47" w:rsidRPr="0010725E">
                <w:rPr>
                  <w:rStyle w:val="Hyperlink"/>
                  <w:sz w:val="20"/>
                  <w:szCs w:val="20"/>
                </w:rPr>
                <w:t>http://www.fao.org/faostat/en/#data/FO</w:t>
              </w:r>
            </w:hyperlink>
            <w:r w:rsidR="002D2C47" w:rsidRPr="0010725E">
              <w:rPr>
                <w:sz w:val="20"/>
                <w:szCs w:val="20"/>
              </w:rPr>
              <w:t>. Wood charcoal. Last updated December 12, 2017</w:t>
            </w:r>
            <w:r w:rsidRPr="0010725E">
              <w:rPr>
                <w:sz w:val="20"/>
                <w:szCs w:val="20"/>
              </w:rPr>
              <w:t>.</w:t>
            </w:r>
          </w:p>
        </w:tc>
      </w:tr>
    </w:tbl>
    <w:p w14:paraId="167EB010" w14:textId="2D40E70A" w:rsidR="00A00405" w:rsidRPr="008608AA" w:rsidRDefault="00A00405" w:rsidP="00780487">
      <w:pPr>
        <w:spacing w:before="240"/>
      </w:pPr>
      <w:r w:rsidRPr="008608AA">
        <w:t>On an industrial level, electricity derived from biomass is increasingly important, especially in South America (Figure 2.13). Brazil particularly uses a great deal of bagasse, produced from sugar cane, that is left over from ethanol production. The use of biomass for fuel production is an important part of the South and North American energy matrix. The USA and Brazil are the world’s largest producers of ethanol fuel, 14.8 and 7.1 billion gallons/year, respectively. In fact, the Americas is by far the most important region in the world for ethanol production. Recently, the USA agricultural sector reported significant growth in corn-derived ethanol production, which was encouraged in 2002 by oil price increases and after 2007 by government support policies mandating ethanol use; one negative consequence was a trade-off in which natural habitats were converted to high input agriculture for corn production (Faber &amp; Male, 2012). Gasoline in the USA contains approximately 10% ethanol and in Brazil, 25%. However, due to the large land areas needed for production of first generation secondary biofuels, the biofuels also have the problem of competing for land needed for food supply, necessitating the need for other solutions, for example, by third generation biofuels (Nigam &amp; Singh, 2011).</w:t>
      </w:r>
    </w:p>
    <w:p w14:paraId="7387D2D4" w14:textId="10CF811D" w:rsidR="00780487" w:rsidRPr="008608AA" w:rsidRDefault="007F26AC" w:rsidP="00780487">
      <w:pPr>
        <w:spacing w:before="240"/>
        <w:jc w:val="center"/>
      </w:pPr>
      <w:r w:rsidRPr="008608AA">
        <w:rPr>
          <w:noProof/>
          <w:lang w:val="en-GB" w:eastAsia="en-GB"/>
        </w:rPr>
        <w:drawing>
          <wp:inline distT="0" distB="0" distL="0" distR="0" wp14:anchorId="2E6E23C3" wp14:editId="1ABA3A94">
            <wp:extent cx="5934075" cy="4305300"/>
            <wp:effectExtent l="0" t="0" r="9525" b="0"/>
            <wp:docPr id="224" name="Imagen 224" descr="C:\Users\Alejandro Valderrama\Downloads\FIg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7" descr="C:\Users\Alejandro Valderrama\Downloads\FIg2.14.jpg"/>
                    <pic:cNvPicPr>
                      <a:picLocks noChangeAspect="1" noChangeArrowheads="1"/>
                    </pic:cNvPicPr>
                  </pic:nvPicPr>
                  <pic:blipFill rotWithShape="1">
                    <a:blip r:embed="rId71">
                      <a:extLst>
                        <a:ext uri="{28A0092B-C50C-407E-A947-70E740481C1C}">
                          <a14:useLocalDpi xmlns:a14="http://schemas.microsoft.com/office/drawing/2010/main" val="0"/>
                        </a:ext>
                      </a:extLst>
                    </a:blip>
                    <a:srcRect b="49666"/>
                    <a:stretch/>
                  </pic:blipFill>
                  <pic:spPr bwMode="auto">
                    <a:xfrm>
                      <a:off x="0" y="0"/>
                      <a:ext cx="5934075" cy="4305300"/>
                    </a:xfrm>
                    <a:prstGeom prst="rect">
                      <a:avLst/>
                    </a:prstGeom>
                    <a:noFill/>
                    <a:ln>
                      <a:noFill/>
                    </a:ln>
                    <a:extLst>
                      <a:ext uri="{53640926-AAD7-44D8-BBD7-CCE9431645EC}">
                        <a14:shadowObscured xmlns:a14="http://schemas.microsoft.com/office/drawing/2010/main"/>
                      </a:ext>
                    </a:extLst>
                  </pic:spPr>
                </pic:pic>
              </a:graphicData>
            </a:graphic>
          </wp:inline>
        </w:drawing>
      </w:r>
    </w:p>
    <w:p w14:paraId="2DEC236E" w14:textId="77777777" w:rsidR="00780487" w:rsidRPr="008608AA" w:rsidRDefault="00780487" w:rsidP="008B3BCD"/>
    <w:p w14:paraId="3EE86210" w14:textId="77777777" w:rsidR="00A00405" w:rsidRPr="008608AA" w:rsidRDefault="00A00405" w:rsidP="00780487">
      <w:pPr>
        <w:pStyle w:val="Heading3"/>
      </w:pPr>
      <w:bookmarkStart w:id="655" w:name="_Toc517393253"/>
      <w:bookmarkStart w:id="656" w:name="_Toc517718994"/>
      <w:bookmarkStart w:id="657" w:name="_Toc517796951"/>
      <w:r w:rsidRPr="008608AA">
        <w:t>Medicinal, biochemical and genetic resources</w:t>
      </w:r>
      <w:bookmarkEnd w:id="655"/>
      <w:bookmarkEnd w:id="656"/>
      <w:bookmarkEnd w:id="657"/>
      <w:r w:rsidRPr="008608AA">
        <w:t xml:space="preserve"> </w:t>
      </w:r>
    </w:p>
    <w:p w14:paraId="7406D168" w14:textId="74BDD7D2" w:rsidR="00A00405" w:rsidRPr="008608AA" w:rsidRDefault="00A00405" w:rsidP="00780487">
      <w:pPr>
        <w:widowControl w:val="0"/>
        <w:spacing w:after="120"/>
      </w:pPr>
      <w:r w:rsidRPr="008608AA">
        <w:t>Medicines are a crucial NCP derived from biochemical and genetic resources that are obtained from natural and anthropogenic ecosystems, including medicinal plants produced commercially. Between 25-30% of modern medicines come from natural products, including plants, animals and minerals (WHO,</w:t>
      </w:r>
      <w:r w:rsidR="00F86F6E" w:rsidRPr="008608AA">
        <w:t xml:space="preserve"> 2013</w:t>
      </w:r>
      <w:r w:rsidRPr="008608AA">
        <w:t>). Indigenous peoples and local communities have rich knowledge systems regarding the curative properties of different taxa, as well as the recipes and instructions for their preparation and use. Between 65-80% of the population in developing countries use medicinal plants as remedies (Palhares et al., 2015). Plus, this NCP is intertwined with cultural beliefs and values held by diverse peoples. Plant medicines are made from leaves, roots, flowers, barks, saps and gums, seeds, oils and can be infused in water or oil, ground, used fresh or dried, imbibed, rubbed or inhaled, just to name a few of the diverse ways people use their medicines.  The same is true for the medicinal use of animals with products derived from hair, skin, blood, bones, horns, bile, musk, and fats, as well as the whole body of certain insects like ants. Traditional medicines heal physical, psychological and spiritual ills, often without a distinction between them. Although the connection between humans and medicinal plants is long standing, the interest in medicinal products derived from plants has increased since the 20</w:t>
      </w:r>
      <w:r w:rsidRPr="008608AA">
        <w:rPr>
          <w:vertAlign w:val="superscript"/>
        </w:rPr>
        <w:t>th</w:t>
      </w:r>
      <w:r w:rsidRPr="008608AA">
        <w:t xml:space="preserve"> century. The industrial-scale use of medicinal plants ranges from herbal teas, new drugs, pharmaceutical auxiliary products, health foods, phytopharmaceuticals and intermediates for drug manufacturing (De Silva, 1997). It is estimated that nearly 30% of commercially sold therapeutic medications are derived mainly from plants and microorganisms. In areas such as oncology, this number reaches 60%. </w:t>
      </w:r>
    </w:p>
    <w:p w14:paraId="449C7B91" w14:textId="4DAA27DA" w:rsidR="00A00405" w:rsidRPr="008608AA" w:rsidRDefault="00A00405" w:rsidP="00780487">
      <w:pPr>
        <w:widowControl w:val="0"/>
        <w:spacing w:after="120"/>
      </w:pPr>
      <w:r w:rsidRPr="008608AA">
        <w:t>Many local medicinal plants and aromatic herbs used globally are grown in home gardens and not as large scale crops (de Padua et al., 1999). Local and endemic species are almost always connected to a wild harvest while introduced species tend to be used in larger scale productions (Walter &amp; Gillett, 1998). Some herbal supply companies reported to Rainforest Alliance that between 60-90% of their volume of primary material was cultivated. However, this percentage was of only 10 to 40% of the species they use, and the rest were harvested from wild populations (Laird &amp; Pierce, 2002).  A total of 546 medicinal plant taxa are used by indigenous peoples of the Canadian boreal forest, from which the most frequently used plant parts are roots, leaves, whole plants, fruits and rhizomes to the treatment of gastro-intestinal disorders, musculoskeletal disorders, cold, cough and sore throat, injuries, respiratory system disorders, urinary system disorders, and dermatological infections (Uprety et al., 2012). In Mesoamerica and the Caribbean region, Alonso-Castro et al. (2016) documented 104 plant species belonging to 55 families that are used as immune-stimulants, of which only 27% have been the subject of pharmacological studies. Kujawska et al. (2017) registered 509 botanical species used as medicinal plants in Argentina, comparing their use by three cultural groups of people: Guarani Indians, Criollos (mestizos), and Polish immigrants. The Guarani were the most expert in medicinal plants, using the greatest diversity of species (n=397). Polish immigrants used the least (n=137), in part due to the challenges of establishing a new pharmacopedia in their new, highly diverse environ</w:t>
      </w:r>
      <w:r w:rsidR="00BB0272" w:rsidRPr="008608AA">
        <w:t>ment. In the tropical Atlantic f</w:t>
      </w:r>
      <w:r w:rsidRPr="008608AA">
        <w:t>orest of Brazil, Di Stasi et al. (2002) documented a pharmacological inventory with people from rural and urban communities that includes 290 herbal remedies prepared from 114 medicinal plants cited for 628 medicinal uses. Clearly the Americas host a large percentage of the world’s 28,187 known medicinal plants (Willis, 2017). For example, at the country level, numerous reports show the high levels of medicinal plant biodiversity used in the Americas, including 2,500 in the USA (Moerman</w:t>
      </w:r>
      <w:r w:rsidR="00CD5D68" w:rsidRPr="008608AA">
        <w:t>,</w:t>
      </w:r>
      <w:r w:rsidRPr="008608AA">
        <w:t xml:space="preserve"> 1996), 4,000 in Mexico (Caballero et al., 1998), 5,000 in Colombia (Fonnegra &amp; Jimenez, 2007), and  1,529 in Argentina (Barboza et al., 2009).  </w:t>
      </w:r>
    </w:p>
    <w:p w14:paraId="423D3C06" w14:textId="707110A9" w:rsidR="00A00405" w:rsidRPr="008608AA" w:rsidRDefault="00A00405" w:rsidP="00780487">
      <w:pPr>
        <w:spacing w:after="120"/>
      </w:pPr>
      <w:r w:rsidRPr="008608AA">
        <w:t xml:space="preserve">In addition to medicinal plants, animal-based remedies (zootherapy) are found in the all the Americas subregions, mainly used by indigenous peoples and local communities. Alves </w:t>
      </w:r>
      <w:r w:rsidR="00BB0272" w:rsidRPr="008608AA">
        <w:t>&amp;</w:t>
      </w:r>
      <w:r w:rsidRPr="008608AA">
        <w:t xml:space="preserve"> Alves (2011) reviewed the literature from Latin America and found that at least 584 animal species, distributed in 13 taxonomic categories, are used in traditional medicine (Figure 2.15). The use of wildlife as medicine represents not only an economic benefit from sales or by saving money for families, but it constitutes a knowledge and value system tied to inheritance, belonging, and identity. </w:t>
      </w:r>
    </w:p>
    <w:p w14:paraId="571800A9" w14:textId="5CE1BE9D" w:rsidR="00780487" w:rsidRPr="008608AA" w:rsidRDefault="007F26AC" w:rsidP="00780487">
      <w:pPr>
        <w:spacing w:before="240" w:after="120"/>
        <w:jc w:val="center"/>
      </w:pPr>
      <w:r w:rsidRPr="008608AA">
        <w:rPr>
          <w:noProof/>
          <w:lang w:val="en-GB" w:eastAsia="en-GB"/>
        </w:rPr>
        <w:drawing>
          <wp:inline distT="0" distB="0" distL="0" distR="0" wp14:anchorId="3519A576" wp14:editId="160489FE">
            <wp:extent cx="5934075" cy="3571875"/>
            <wp:effectExtent l="0" t="0" r="9525" b="9525"/>
            <wp:docPr id="225" name="Imagen 225" descr="C:\Users\Alejandro Valderrama\Downloads\Fig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9" descr="C:\Users\Alejandro Valderrama\Downloads\Fig2.15.jpg"/>
                    <pic:cNvPicPr>
                      <a:picLocks noChangeAspect="1" noChangeArrowheads="1"/>
                    </pic:cNvPicPr>
                  </pic:nvPicPr>
                  <pic:blipFill rotWithShape="1">
                    <a:blip r:embed="rId72">
                      <a:extLst>
                        <a:ext uri="{28A0092B-C50C-407E-A947-70E740481C1C}">
                          <a14:useLocalDpi xmlns:a14="http://schemas.microsoft.com/office/drawing/2010/main" val="0"/>
                        </a:ext>
                      </a:extLst>
                    </a:blip>
                    <a:srcRect b="58240"/>
                    <a:stretch/>
                  </pic:blipFill>
                  <pic:spPr bwMode="auto">
                    <a:xfrm>
                      <a:off x="0" y="0"/>
                      <a:ext cx="5934075" cy="3571875"/>
                    </a:xfrm>
                    <a:prstGeom prst="rect">
                      <a:avLst/>
                    </a:prstGeom>
                    <a:noFill/>
                    <a:ln>
                      <a:noFill/>
                    </a:ln>
                    <a:extLst>
                      <a:ext uri="{53640926-AAD7-44D8-BBD7-CCE9431645EC}">
                        <a14:shadowObscured xmlns:a14="http://schemas.microsoft.com/office/drawing/2010/main"/>
                      </a:ext>
                    </a:extLst>
                  </pic:spPr>
                </pic:pic>
              </a:graphicData>
            </a:graphic>
          </wp:inline>
        </w:drawing>
      </w:r>
    </w:p>
    <w:p w14:paraId="4D6E4390" w14:textId="776607DD" w:rsidR="00A00405" w:rsidRPr="008608AA" w:rsidRDefault="00A00405" w:rsidP="00780487">
      <w:pPr>
        <w:spacing w:before="240" w:after="120"/>
      </w:pPr>
      <w:r w:rsidRPr="008608AA">
        <w:t>International trade in medicinal plants is expanding (Table 2.8), and exports are largely in an unprocessed or slightly processed form with much of the economic return going to intermediaries. As a consequence of this increase in economic activity, the monetary value of medicinal plants has also grown. In 2000, $17 billion was spent in the USA on traditional herbal medicines. In 2002, the annual global market for herbal medicines was estimate to be worth $60 billion (WHO, 2002) and by 2012 the global industry in traditional chinese medicine alone was reported to be worth $83 billion (Royal Botanical Gardens Kew</w:t>
      </w:r>
      <w:r w:rsidR="00CD5D68" w:rsidRPr="008608AA">
        <w:t>,</w:t>
      </w:r>
      <w:r w:rsidRPr="008608AA">
        <w:t xml:space="preserve"> 2017) Still native chemodiveristy is an almost untapped source of economic development with a very low environmental impact, since once isolated and tested the new compounds are synthesized to be produced in the scale needed for a new medicine. New compounds can also be important for the food and for the agrochemical industry (Kalin-Arroyo et al., 2009; Desmarchelier, 2010; Joly &amp; Bolzani, 2017). Furthermore, the advent of genetic techniques that permitted the isolation/expression of biosynthetic cassettes from microbes may well be the new frontier for natural products lead discovery. It is now apparent that biodiversity may be much greater in those organism, and the numbers of potential species involved in the microbial world are many orders of magnitude greater than those of plants and multi-celled animals.</w:t>
      </w:r>
    </w:p>
    <w:p w14:paraId="2048ABE3" w14:textId="4238508F" w:rsidR="00593E3A" w:rsidRPr="008608AA" w:rsidRDefault="00593E3A" w:rsidP="00780487">
      <w:pPr>
        <w:spacing w:before="240" w:after="120"/>
      </w:pPr>
      <w:r w:rsidRPr="008608AA">
        <w:br w:type="page"/>
      </w:r>
    </w:p>
    <w:p w14:paraId="77F514B7" w14:textId="16A1AC8B" w:rsidR="00780487"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8</w:t>
      </w:r>
      <w:r w:rsidR="000E562E">
        <w:rPr>
          <w:noProof/>
        </w:rPr>
        <w:fldChar w:fldCharType="end"/>
      </w:r>
      <w:r w:rsidR="00780487" w:rsidRPr="008608AA">
        <w:t>. Volume of medicinal plant exports from the Americas by subregion and country.</w:t>
      </w:r>
    </w:p>
    <w:tbl>
      <w:tblPr>
        <w:tblW w:w="5000" w:type="pct"/>
        <w:jc w:val="center"/>
        <w:tblLook w:val="0400" w:firstRow="0" w:lastRow="0" w:firstColumn="0" w:lastColumn="0" w:noHBand="0" w:noVBand="1"/>
      </w:tblPr>
      <w:tblGrid>
        <w:gridCol w:w="3974"/>
        <w:gridCol w:w="990"/>
        <w:gridCol w:w="903"/>
        <w:gridCol w:w="903"/>
        <w:gridCol w:w="903"/>
        <w:gridCol w:w="903"/>
        <w:gridCol w:w="911"/>
      </w:tblGrid>
      <w:tr w:rsidR="00A00405" w:rsidRPr="0010725E" w14:paraId="512B835D" w14:textId="77777777" w:rsidTr="00780487">
        <w:trPr>
          <w:trHeight w:val="300"/>
          <w:jc w:val="center"/>
        </w:trPr>
        <w:tc>
          <w:tcPr>
            <w:tcW w:w="2094" w:type="pct"/>
            <w:vMerge w:val="restar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823D6A8" w14:textId="77777777" w:rsidR="00A00405" w:rsidRPr="0010725E" w:rsidRDefault="00A00405" w:rsidP="00A00405">
            <w:pPr>
              <w:jc w:val="center"/>
              <w:rPr>
                <w:b/>
                <w:szCs w:val="22"/>
              </w:rPr>
            </w:pPr>
            <w:r w:rsidRPr="0010725E">
              <w:rPr>
                <w:b/>
                <w:szCs w:val="22"/>
              </w:rPr>
              <w:t>Region/country</w:t>
            </w:r>
          </w:p>
        </w:tc>
        <w:tc>
          <w:tcPr>
            <w:tcW w:w="2906" w:type="pct"/>
            <w:gridSpan w:val="6"/>
            <w:tcBorders>
              <w:top w:val="single" w:sz="4" w:space="0" w:color="000000"/>
              <w:left w:val="nil"/>
              <w:bottom w:val="single" w:sz="4" w:space="0" w:color="000000"/>
              <w:right w:val="single" w:sz="4" w:space="0" w:color="000000"/>
            </w:tcBorders>
            <w:shd w:val="clear" w:color="auto" w:fill="BFBFBF" w:themeFill="background1" w:themeFillShade="BF"/>
            <w:vAlign w:val="bottom"/>
          </w:tcPr>
          <w:p w14:paraId="51EECC96" w14:textId="77777777" w:rsidR="00A00405" w:rsidRPr="0010725E" w:rsidRDefault="00A00405" w:rsidP="00A00405">
            <w:pPr>
              <w:jc w:val="center"/>
              <w:rPr>
                <w:b/>
                <w:szCs w:val="22"/>
              </w:rPr>
            </w:pPr>
            <w:r w:rsidRPr="0010725E">
              <w:rPr>
                <w:b/>
                <w:szCs w:val="22"/>
              </w:rPr>
              <w:t>Exports volume of medicinal plants</w:t>
            </w:r>
          </w:p>
        </w:tc>
      </w:tr>
      <w:tr w:rsidR="00A00405" w:rsidRPr="0010725E" w14:paraId="25DD2288" w14:textId="77777777" w:rsidTr="00780487">
        <w:trPr>
          <w:trHeight w:val="300"/>
          <w:jc w:val="center"/>
        </w:trPr>
        <w:tc>
          <w:tcPr>
            <w:tcW w:w="2094" w:type="pct"/>
            <w:vMerge/>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D5B5DB5" w14:textId="77777777" w:rsidR="00A00405" w:rsidRPr="0010725E" w:rsidRDefault="00A00405" w:rsidP="00A00405">
            <w:pPr>
              <w:rPr>
                <w:b/>
                <w:i/>
                <w:szCs w:val="22"/>
              </w:rPr>
            </w:pPr>
          </w:p>
        </w:tc>
        <w:tc>
          <w:tcPr>
            <w:tcW w:w="522" w:type="pct"/>
            <w:tcBorders>
              <w:top w:val="nil"/>
              <w:left w:val="nil"/>
              <w:bottom w:val="single" w:sz="4" w:space="0" w:color="000000"/>
              <w:right w:val="single" w:sz="4" w:space="0" w:color="000000"/>
            </w:tcBorders>
            <w:shd w:val="clear" w:color="auto" w:fill="BFBFBF" w:themeFill="background1" w:themeFillShade="BF"/>
            <w:vAlign w:val="center"/>
          </w:tcPr>
          <w:p w14:paraId="052690D8" w14:textId="77777777" w:rsidR="00A00405" w:rsidRPr="0010725E" w:rsidRDefault="00A00405" w:rsidP="00A00405">
            <w:pPr>
              <w:jc w:val="center"/>
              <w:rPr>
                <w:b/>
                <w:szCs w:val="22"/>
              </w:rPr>
            </w:pPr>
            <w:r w:rsidRPr="0010725E">
              <w:rPr>
                <w:b/>
                <w:szCs w:val="22"/>
              </w:rPr>
              <w:t>1991</w:t>
            </w:r>
          </w:p>
        </w:tc>
        <w:tc>
          <w:tcPr>
            <w:tcW w:w="476" w:type="pct"/>
            <w:tcBorders>
              <w:top w:val="nil"/>
              <w:left w:val="nil"/>
              <w:bottom w:val="single" w:sz="4" w:space="0" w:color="000000"/>
              <w:right w:val="single" w:sz="4" w:space="0" w:color="000000"/>
            </w:tcBorders>
            <w:shd w:val="clear" w:color="auto" w:fill="BFBFBF" w:themeFill="background1" w:themeFillShade="BF"/>
            <w:vAlign w:val="center"/>
          </w:tcPr>
          <w:p w14:paraId="338F68C4" w14:textId="77777777" w:rsidR="00A00405" w:rsidRPr="0010725E" w:rsidRDefault="00A00405" w:rsidP="00A00405">
            <w:pPr>
              <w:jc w:val="center"/>
              <w:rPr>
                <w:b/>
                <w:szCs w:val="22"/>
              </w:rPr>
            </w:pPr>
            <w:r w:rsidRPr="0010725E">
              <w:rPr>
                <w:b/>
                <w:szCs w:val="22"/>
              </w:rPr>
              <w:t>1994</w:t>
            </w:r>
          </w:p>
        </w:tc>
        <w:tc>
          <w:tcPr>
            <w:tcW w:w="476" w:type="pct"/>
            <w:tcBorders>
              <w:top w:val="nil"/>
              <w:left w:val="nil"/>
              <w:bottom w:val="single" w:sz="4" w:space="0" w:color="000000"/>
              <w:right w:val="single" w:sz="4" w:space="0" w:color="000000"/>
            </w:tcBorders>
            <w:shd w:val="clear" w:color="auto" w:fill="BFBFBF" w:themeFill="background1" w:themeFillShade="BF"/>
            <w:vAlign w:val="center"/>
          </w:tcPr>
          <w:p w14:paraId="1FB2E6D2" w14:textId="77777777" w:rsidR="00A00405" w:rsidRPr="0010725E" w:rsidRDefault="00A00405" w:rsidP="00A00405">
            <w:pPr>
              <w:jc w:val="center"/>
              <w:rPr>
                <w:b/>
                <w:szCs w:val="22"/>
              </w:rPr>
            </w:pPr>
            <w:r w:rsidRPr="0010725E">
              <w:rPr>
                <w:b/>
                <w:szCs w:val="22"/>
              </w:rPr>
              <w:t>1996</w:t>
            </w:r>
          </w:p>
        </w:tc>
        <w:tc>
          <w:tcPr>
            <w:tcW w:w="476" w:type="pct"/>
            <w:tcBorders>
              <w:top w:val="nil"/>
              <w:left w:val="nil"/>
              <w:bottom w:val="single" w:sz="4" w:space="0" w:color="000000"/>
              <w:right w:val="single" w:sz="4" w:space="0" w:color="000000"/>
            </w:tcBorders>
            <w:shd w:val="clear" w:color="auto" w:fill="BFBFBF" w:themeFill="background1" w:themeFillShade="BF"/>
            <w:vAlign w:val="center"/>
          </w:tcPr>
          <w:p w14:paraId="2D4DC1EF" w14:textId="77777777" w:rsidR="00A00405" w:rsidRPr="0010725E" w:rsidRDefault="00A00405" w:rsidP="00A00405">
            <w:pPr>
              <w:jc w:val="center"/>
              <w:rPr>
                <w:b/>
                <w:szCs w:val="22"/>
              </w:rPr>
            </w:pPr>
            <w:r w:rsidRPr="0010725E">
              <w:rPr>
                <w:b/>
                <w:szCs w:val="22"/>
              </w:rPr>
              <w:t>1998</w:t>
            </w:r>
          </w:p>
        </w:tc>
        <w:tc>
          <w:tcPr>
            <w:tcW w:w="476" w:type="pct"/>
            <w:tcBorders>
              <w:top w:val="nil"/>
              <w:left w:val="nil"/>
              <w:bottom w:val="single" w:sz="4" w:space="0" w:color="000000"/>
              <w:right w:val="single" w:sz="4" w:space="0" w:color="000000"/>
            </w:tcBorders>
            <w:shd w:val="clear" w:color="auto" w:fill="BFBFBF" w:themeFill="background1" w:themeFillShade="BF"/>
            <w:vAlign w:val="center"/>
          </w:tcPr>
          <w:p w14:paraId="1B15B7C8" w14:textId="77777777" w:rsidR="00A00405" w:rsidRPr="0010725E" w:rsidRDefault="00A00405" w:rsidP="00A00405">
            <w:pPr>
              <w:jc w:val="center"/>
              <w:rPr>
                <w:b/>
                <w:szCs w:val="22"/>
              </w:rPr>
            </w:pPr>
            <w:r w:rsidRPr="0010725E">
              <w:rPr>
                <w:b/>
                <w:szCs w:val="22"/>
              </w:rPr>
              <w:t>2000</w:t>
            </w:r>
          </w:p>
        </w:tc>
        <w:tc>
          <w:tcPr>
            <w:tcW w:w="479" w:type="pct"/>
            <w:tcBorders>
              <w:top w:val="nil"/>
              <w:left w:val="nil"/>
              <w:bottom w:val="single" w:sz="4" w:space="0" w:color="000000"/>
              <w:right w:val="single" w:sz="4" w:space="0" w:color="000000"/>
            </w:tcBorders>
            <w:shd w:val="clear" w:color="auto" w:fill="BFBFBF" w:themeFill="background1" w:themeFillShade="BF"/>
            <w:vAlign w:val="center"/>
          </w:tcPr>
          <w:p w14:paraId="2B3831D9" w14:textId="77777777" w:rsidR="00A00405" w:rsidRPr="0010725E" w:rsidRDefault="00A00405" w:rsidP="00A00405">
            <w:pPr>
              <w:jc w:val="center"/>
              <w:rPr>
                <w:b/>
                <w:szCs w:val="22"/>
              </w:rPr>
            </w:pPr>
            <w:r w:rsidRPr="0010725E">
              <w:rPr>
                <w:b/>
                <w:szCs w:val="22"/>
              </w:rPr>
              <w:t>2002</w:t>
            </w:r>
          </w:p>
        </w:tc>
      </w:tr>
      <w:tr w:rsidR="00A00405" w:rsidRPr="0010725E" w14:paraId="4182D843"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2F8286EF" w14:textId="77777777" w:rsidR="00A00405" w:rsidRPr="0010725E" w:rsidRDefault="00A00405" w:rsidP="00A00405">
            <w:pPr>
              <w:rPr>
                <w:b/>
                <w:szCs w:val="22"/>
              </w:rPr>
            </w:pPr>
            <w:r w:rsidRPr="0010725E">
              <w:rPr>
                <w:b/>
                <w:szCs w:val="22"/>
              </w:rPr>
              <w:t>Global</w:t>
            </w:r>
          </w:p>
        </w:tc>
        <w:tc>
          <w:tcPr>
            <w:tcW w:w="522" w:type="pct"/>
            <w:tcBorders>
              <w:top w:val="nil"/>
              <w:left w:val="nil"/>
              <w:bottom w:val="single" w:sz="4" w:space="0" w:color="000000"/>
              <w:right w:val="single" w:sz="4" w:space="0" w:color="000000"/>
            </w:tcBorders>
            <w:shd w:val="clear" w:color="auto" w:fill="auto"/>
            <w:vAlign w:val="center"/>
          </w:tcPr>
          <w:p w14:paraId="3D7F5C43" w14:textId="77777777" w:rsidR="00A00405" w:rsidRPr="0010725E" w:rsidRDefault="00A00405" w:rsidP="00A00405">
            <w:pPr>
              <w:jc w:val="center"/>
              <w:rPr>
                <w:b/>
                <w:szCs w:val="22"/>
              </w:rPr>
            </w:pPr>
            <w:r w:rsidRPr="0010725E">
              <w:rPr>
                <w:b/>
                <w:szCs w:val="22"/>
              </w:rPr>
              <w:t>371.9</w:t>
            </w:r>
          </w:p>
        </w:tc>
        <w:tc>
          <w:tcPr>
            <w:tcW w:w="476" w:type="pct"/>
            <w:tcBorders>
              <w:top w:val="nil"/>
              <w:left w:val="nil"/>
              <w:bottom w:val="single" w:sz="4" w:space="0" w:color="000000"/>
              <w:right w:val="single" w:sz="4" w:space="0" w:color="000000"/>
            </w:tcBorders>
            <w:shd w:val="clear" w:color="auto" w:fill="auto"/>
            <w:vAlign w:val="center"/>
          </w:tcPr>
          <w:p w14:paraId="5A033D39" w14:textId="77777777" w:rsidR="00A00405" w:rsidRPr="0010725E" w:rsidRDefault="00A00405" w:rsidP="00A00405">
            <w:pPr>
              <w:jc w:val="center"/>
              <w:rPr>
                <w:b/>
                <w:szCs w:val="22"/>
              </w:rPr>
            </w:pPr>
            <w:r w:rsidRPr="0010725E">
              <w:rPr>
                <w:b/>
                <w:szCs w:val="22"/>
              </w:rPr>
              <w:t>449.4</w:t>
            </w:r>
          </w:p>
        </w:tc>
        <w:tc>
          <w:tcPr>
            <w:tcW w:w="476" w:type="pct"/>
            <w:tcBorders>
              <w:top w:val="nil"/>
              <w:left w:val="nil"/>
              <w:bottom w:val="single" w:sz="4" w:space="0" w:color="000000"/>
              <w:right w:val="single" w:sz="4" w:space="0" w:color="000000"/>
            </w:tcBorders>
            <w:shd w:val="clear" w:color="auto" w:fill="auto"/>
            <w:vAlign w:val="center"/>
          </w:tcPr>
          <w:p w14:paraId="4950871A" w14:textId="77777777" w:rsidR="00A00405" w:rsidRPr="0010725E" w:rsidRDefault="00A00405" w:rsidP="00A00405">
            <w:pPr>
              <w:jc w:val="center"/>
              <w:rPr>
                <w:b/>
                <w:szCs w:val="22"/>
              </w:rPr>
            </w:pPr>
            <w:r w:rsidRPr="0010725E">
              <w:rPr>
                <w:b/>
                <w:szCs w:val="22"/>
              </w:rPr>
              <w:t>489.0</w:t>
            </w:r>
          </w:p>
        </w:tc>
        <w:tc>
          <w:tcPr>
            <w:tcW w:w="476" w:type="pct"/>
            <w:tcBorders>
              <w:top w:val="nil"/>
              <w:left w:val="nil"/>
              <w:bottom w:val="single" w:sz="4" w:space="0" w:color="000000"/>
              <w:right w:val="single" w:sz="4" w:space="0" w:color="000000"/>
            </w:tcBorders>
            <w:shd w:val="clear" w:color="auto" w:fill="auto"/>
            <w:vAlign w:val="center"/>
          </w:tcPr>
          <w:p w14:paraId="315BD0A8" w14:textId="77777777" w:rsidR="00A00405" w:rsidRPr="0010725E" w:rsidRDefault="00A00405" w:rsidP="00A00405">
            <w:pPr>
              <w:jc w:val="center"/>
              <w:rPr>
                <w:b/>
                <w:szCs w:val="22"/>
              </w:rPr>
            </w:pPr>
            <w:r w:rsidRPr="0010725E">
              <w:rPr>
                <w:b/>
                <w:szCs w:val="22"/>
              </w:rPr>
              <w:t>463.7</w:t>
            </w:r>
          </w:p>
        </w:tc>
        <w:tc>
          <w:tcPr>
            <w:tcW w:w="476" w:type="pct"/>
            <w:tcBorders>
              <w:top w:val="nil"/>
              <w:left w:val="nil"/>
              <w:bottom w:val="single" w:sz="4" w:space="0" w:color="000000"/>
              <w:right w:val="single" w:sz="4" w:space="0" w:color="000000"/>
            </w:tcBorders>
            <w:shd w:val="clear" w:color="auto" w:fill="auto"/>
            <w:vAlign w:val="center"/>
          </w:tcPr>
          <w:p w14:paraId="2A607933" w14:textId="77777777" w:rsidR="00A00405" w:rsidRPr="0010725E" w:rsidRDefault="00A00405" w:rsidP="00A00405">
            <w:pPr>
              <w:jc w:val="center"/>
              <w:rPr>
                <w:b/>
                <w:szCs w:val="22"/>
              </w:rPr>
            </w:pPr>
            <w:r w:rsidRPr="0010725E">
              <w:rPr>
                <w:b/>
                <w:szCs w:val="22"/>
              </w:rPr>
              <w:t>529.1</w:t>
            </w:r>
          </w:p>
        </w:tc>
        <w:tc>
          <w:tcPr>
            <w:tcW w:w="479" w:type="pct"/>
            <w:tcBorders>
              <w:top w:val="nil"/>
              <w:left w:val="nil"/>
              <w:bottom w:val="single" w:sz="4" w:space="0" w:color="000000"/>
              <w:right w:val="single" w:sz="4" w:space="0" w:color="000000"/>
            </w:tcBorders>
            <w:shd w:val="clear" w:color="auto" w:fill="auto"/>
            <w:vAlign w:val="center"/>
          </w:tcPr>
          <w:p w14:paraId="52166DE5" w14:textId="77777777" w:rsidR="00A00405" w:rsidRPr="0010725E" w:rsidRDefault="00A00405" w:rsidP="00A00405">
            <w:pPr>
              <w:jc w:val="center"/>
              <w:rPr>
                <w:b/>
                <w:szCs w:val="22"/>
              </w:rPr>
            </w:pPr>
            <w:r w:rsidRPr="0010725E">
              <w:rPr>
                <w:b/>
                <w:szCs w:val="22"/>
              </w:rPr>
              <w:t>583.6</w:t>
            </w:r>
          </w:p>
        </w:tc>
      </w:tr>
      <w:tr w:rsidR="00A00405" w:rsidRPr="0010725E" w14:paraId="47712ADF"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53AF55A9" w14:textId="77777777" w:rsidR="00A00405" w:rsidRPr="0010725E" w:rsidRDefault="00A00405" w:rsidP="00A00405">
            <w:pPr>
              <w:rPr>
                <w:b/>
                <w:szCs w:val="22"/>
              </w:rPr>
            </w:pPr>
            <w:r w:rsidRPr="0010725E">
              <w:rPr>
                <w:b/>
                <w:szCs w:val="22"/>
              </w:rPr>
              <w:t>North America</w:t>
            </w:r>
          </w:p>
        </w:tc>
        <w:tc>
          <w:tcPr>
            <w:tcW w:w="522" w:type="pct"/>
            <w:tcBorders>
              <w:top w:val="nil"/>
              <w:left w:val="nil"/>
              <w:bottom w:val="single" w:sz="4" w:space="0" w:color="000000"/>
              <w:right w:val="single" w:sz="4" w:space="0" w:color="000000"/>
            </w:tcBorders>
            <w:shd w:val="clear" w:color="auto" w:fill="auto"/>
            <w:vAlign w:val="center"/>
          </w:tcPr>
          <w:p w14:paraId="08760DA3" w14:textId="77777777" w:rsidR="00A00405" w:rsidRPr="0010725E" w:rsidRDefault="00A00405" w:rsidP="00A00405">
            <w:pPr>
              <w:jc w:val="center"/>
              <w:rPr>
                <w:b/>
                <w:szCs w:val="22"/>
              </w:rPr>
            </w:pPr>
            <w:r w:rsidRPr="0010725E">
              <w:rPr>
                <w:b/>
                <w:szCs w:val="22"/>
              </w:rPr>
              <w:t>8.0</w:t>
            </w:r>
          </w:p>
        </w:tc>
        <w:tc>
          <w:tcPr>
            <w:tcW w:w="476" w:type="pct"/>
            <w:tcBorders>
              <w:top w:val="nil"/>
              <w:left w:val="nil"/>
              <w:bottom w:val="single" w:sz="4" w:space="0" w:color="000000"/>
              <w:right w:val="single" w:sz="4" w:space="0" w:color="000000"/>
            </w:tcBorders>
            <w:shd w:val="clear" w:color="auto" w:fill="auto"/>
            <w:vAlign w:val="center"/>
          </w:tcPr>
          <w:p w14:paraId="33F5E681" w14:textId="77777777" w:rsidR="00A00405" w:rsidRPr="0010725E" w:rsidRDefault="00A00405" w:rsidP="00A00405">
            <w:pPr>
              <w:jc w:val="center"/>
              <w:rPr>
                <w:b/>
                <w:szCs w:val="22"/>
              </w:rPr>
            </w:pPr>
            <w:r w:rsidRPr="0010725E">
              <w:rPr>
                <w:b/>
                <w:szCs w:val="22"/>
              </w:rPr>
              <w:t>13.8</w:t>
            </w:r>
          </w:p>
        </w:tc>
        <w:tc>
          <w:tcPr>
            <w:tcW w:w="476" w:type="pct"/>
            <w:tcBorders>
              <w:top w:val="nil"/>
              <w:left w:val="nil"/>
              <w:bottom w:val="single" w:sz="4" w:space="0" w:color="000000"/>
              <w:right w:val="single" w:sz="4" w:space="0" w:color="000000"/>
            </w:tcBorders>
            <w:shd w:val="clear" w:color="auto" w:fill="auto"/>
            <w:vAlign w:val="center"/>
          </w:tcPr>
          <w:p w14:paraId="7B98B6DB" w14:textId="77777777" w:rsidR="00A00405" w:rsidRPr="0010725E" w:rsidRDefault="00A00405" w:rsidP="00A00405">
            <w:pPr>
              <w:jc w:val="center"/>
              <w:rPr>
                <w:b/>
                <w:szCs w:val="22"/>
              </w:rPr>
            </w:pPr>
            <w:r w:rsidRPr="0010725E">
              <w:rPr>
                <w:b/>
                <w:szCs w:val="22"/>
              </w:rPr>
              <w:t>15.3</w:t>
            </w:r>
          </w:p>
        </w:tc>
        <w:tc>
          <w:tcPr>
            <w:tcW w:w="476" w:type="pct"/>
            <w:tcBorders>
              <w:top w:val="nil"/>
              <w:left w:val="nil"/>
              <w:bottom w:val="single" w:sz="4" w:space="0" w:color="000000"/>
              <w:right w:val="single" w:sz="4" w:space="0" w:color="000000"/>
            </w:tcBorders>
            <w:shd w:val="clear" w:color="auto" w:fill="auto"/>
            <w:vAlign w:val="center"/>
          </w:tcPr>
          <w:p w14:paraId="2CABE127" w14:textId="77777777" w:rsidR="00A00405" w:rsidRPr="0010725E" w:rsidRDefault="00A00405" w:rsidP="00A00405">
            <w:pPr>
              <w:jc w:val="center"/>
              <w:rPr>
                <w:b/>
                <w:szCs w:val="22"/>
              </w:rPr>
            </w:pPr>
            <w:r w:rsidRPr="0010725E">
              <w:rPr>
                <w:b/>
                <w:szCs w:val="22"/>
              </w:rPr>
              <w:t>19.3</w:t>
            </w:r>
          </w:p>
        </w:tc>
        <w:tc>
          <w:tcPr>
            <w:tcW w:w="476" w:type="pct"/>
            <w:tcBorders>
              <w:top w:val="nil"/>
              <w:left w:val="nil"/>
              <w:bottom w:val="single" w:sz="4" w:space="0" w:color="000000"/>
              <w:right w:val="single" w:sz="4" w:space="0" w:color="000000"/>
            </w:tcBorders>
            <w:shd w:val="clear" w:color="auto" w:fill="auto"/>
            <w:vAlign w:val="center"/>
          </w:tcPr>
          <w:p w14:paraId="58E956BB" w14:textId="77777777" w:rsidR="00A00405" w:rsidRPr="0010725E" w:rsidRDefault="00A00405" w:rsidP="00A00405">
            <w:pPr>
              <w:jc w:val="center"/>
              <w:rPr>
                <w:b/>
                <w:szCs w:val="22"/>
              </w:rPr>
            </w:pPr>
            <w:r w:rsidRPr="0010725E">
              <w:rPr>
                <w:b/>
                <w:szCs w:val="22"/>
              </w:rPr>
              <w:t>19.7</w:t>
            </w:r>
          </w:p>
        </w:tc>
        <w:tc>
          <w:tcPr>
            <w:tcW w:w="479" w:type="pct"/>
            <w:tcBorders>
              <w:top w:val="nil"/>
              <w:left w:val="nil"/>
              <w:bottom w:val="single" w:sz="4" w:space="0" w:color="000000"/>
              <w:right w:val="single" w:sz="4" w:space="0" w:color="000000"/>
            </w:tcBorders>
            <w:shd w:val="clear" w:color="auto" w:fill="auto"/>
            <w:vAlign w:val="center"/>
          </w:tcPr>
          <w:p w14:paraId="0AB11B4E" w14:textId="77777777" w:rsidR="00A00405" w:rsidRPr="0010725E" w:rsidRDefault="00A00405" w:rsidP="00A00405">
            <w:pPr>
              <w:jc w:val="center"/>
              <w:rPr>
                <w:b/>
                <w:szCs w:val="22"/>
              </w:rPr>
            </w:pPr>
            <w:r w:rsidRPr="0010725E">
              <w:rPr>
                <w:b/>
                <w:szCs w:val="22"/>
              </w:rPr>
              <w:t>15.7</w:t>
            </w:r>
          </w:p>
        </w:tc>
      </w:tr>
      <w:tr w:rsidR="00A00405" w:rsidRPr="0010725E" w14:paraId="29B2A1B3"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5B8674F1" w14:textId="77777777" w:rsidR="00A00405" w:rsidRPr="0010725E" w:rsidRDefault="00A00405" w:rsidP="00A00405">
            <w:pPr>
              <w:rPr>
                <w:szCs w:val="22"/>
              </w:rPr>
            </w:pPr>
            <w:r w:rsidRPr="0010725E">
              <w:rPr>
                <w:szCs w:val="22"/>
              </w:rPr>
              <w:t>USA</w:t>
            </w:r>
          </w:p>
        </w:tc>
        <w:tc>
          <w:tcPr>
            <w:tcW w:w="522" w:type="pct"/>
            <w:tcBorders>
              <w:top w:val="nil"/>
              <w:left w:val="nil"/>
              <w:bottom w:val="single" w:sz="4" w:space="0" w:color="000000"/>
              <w:right w:val="single" w:sz="4" w:space="0" w:color="000000"/>
            </w:tcBorders>
            <w:shd w:val="clear" w:color="auto" w:fill="auto"/>
            <w:vAlign w:val="center"/>
          </w:tcPr>
          <w:p w14:paraId="504129C6" w14:textId="77777777" w:rsidR="00A00405" w:rsidRPr="0010725E" w:rsidRDefault="00A00405" w:rsidP="00A00405">
            <w:pPr>
              <w:jc w:val="center"/>
              <w:rPr>
                <w:szCs w:val="22"/>
              </w:rPr>
            </w:pPr>
            <w:r w:rsidRPr="0010725E">
              <w:rPr>
                <w:szCs w:val="22"/>
              </w:rPr>
              <w:t>7.7</w:t>
            </w:r>
          </w:p>
        </w:tc>
        <w:tc>
          <w:tcPr>
            <w:tcW w:w="476" w:type="pct"/>
            <w:tcBorders>
              <w:top w:val="nil"/>
              <w:left w:val="nil"/>
              <w:bottom w:val="single" w:sz="4" w:space="0" w:color="000000"/>
              <w:right w:val="single" w:sz="4" w:space="0" w:color="000000"/>
            </w:tcBorders>
            <w:shd w:val="clear" w:color="auto" w:fill="auto"/>
            <w:vAlign w:val="center"/>
          </w:tcPr>
          <w:p w14:paraId="6EEC842B" w14:textId="77777777" w:rsidR="00A00405" w:rsidRPr="0010725E" w:rsidRDefault="00A00405" w:rsidP="00A00405">
            <w:pPr>
              <w:jc w:val="center"/>
              <w:rPr>
                <w:szCs w:val="22"/>
              </w:rPr>
            </w:pPr>
            <w:r w:rsidRPr="0010725E">
              <w:rPr>
                <w:szCs w:val="22"/>
              </w:rPr>
              <w:t>13.2</w:t>
            </w:r>
          </w:p>
        </w:tc>
        <w:tc>
          <w:tcPr>
            <w:tcW w:w="476" w:type="pct"/>
            <w:tcBorders>
              <w:top w:val="nil"/>
              <w:left w:val="nil"/>
              <w:bottom w:val="single" w:sz="4" w:space="0" w:color="000000"/>
              <w:right w:val="single" w:sz="4" w:space="0" w:color="000000"/>
            </w:tcBorders>
            <w:shd w:val="clear" w:color="auto" w:fill="auto"/>
            <w:vAlign w:val="center"/>
          </w:tcPr>
          <w:p w14:paraId="02974D67" w14:textId="77777777" w:rsidR="00A00405" w:rsidRPr="0010725E" w:rsidRDefault="00A00405" w:rsidP="00A00405">
            <w:pPr>
              <w:jc w:val="center"/>
              <w:rPr>
                <w:szCs w:val="22"/>
              </w:rPr>
            </w:pPr>
            <w:r w:rsidRPr="0010725E">
              <w:rPr>
                <w:szCs w:val="22"/>
              </w:rPr>
              <w:t>14.0</w:t>
            </w:r>
          </w:p>
        </w:tc>
        <w:tc>
          <w:tcPr>
            <w:tcW w:w="476" w:type="pct"/>
            <w:tcBorders>
              <w:top w:val="nil"/>
              <w:left w:val="nil"/>
              <w:bottom w:val="single" w:sz="4" w:space="0" w:color="000000"/>
              <w:right w:val="single" w:sz="4" w:space="0" w:color="000000"/>
            </w:tcBorders>
            <w:shd w:val="clear" w:color="auto" w:fill="auto"/>
            <w:vAlign w:val="center"/>
          </w:tcPr>
          <w:p w14:paraId="01810B90" w14:textId="77777777" w:rsidR="00A00405" w:rsidRPr="0010725E" w:rsidRDefault="00A00405" w:rsidP="00A00405">
            <w:pPr>
              <w:jc w:val="center"/>
              <w:rPr>
                <w:szCs w:val="22"/>
              </w:rPr>
            </w:pPr>
            <w:r w:rsidRPr="0010725E">
              <w:rPr>
                <w:szCs w:val="22"/>
              </w:rPr>
              <w:t>17.4</w:t>
            </w:r>
          </w:p>
        </w:tc>
        <w:tc>
          <w:tcPr>
            <w:tcW w:w="476" w:type="pct"/>
            <w:tcBorders>
              <w:top w:val="nil"/>
              <w:left w:val="nil"/>
              <w:bottom w:val="single" w:sz="4" w:space="0" w:color="000000"/>
              <w:right w:val="single" w:sz="4" w:space="0" w:color="000000"/>
            </w:tcBorders>
            <w:shd w:val="clear" w:color="auto" w:fill="auto"/>
            <w:vAlign w:val="center"/>
          </w:tcPr>
          <w:p w14:paraId="4EA54E0F" w14:textId="77777777" w:rsidR="00A00405" w:rsidRPr="0010725E" w:rsidRDefault="00A00405" w:rsidP="00A00405">
            <w:pPr>
              <w:jc w:val="center"/>
              <w:rPr>
                <w:szCs w:val="22"/>
              </w:rPr>
            </w:pPr>
            <w:r w:rsidRPr="0010725E">
              <w:rPr>
                <w:szCs w:val="22"/>
              </w:rPr>
              <w:t>18.0</w:t>
            </w:r>
          </w:p>
        </w:tc>
        <w:tc>
          <w:tcPr>
            <w:tcW w:w="479" w:type="pct"/>
            <w:tcBorders>
              <w:top w:val="nil"/>
              <w:left w:val="nil"/>
              <w:bottom w:val="single" w:sz="4" w:space="0" w:color="000000"/>
              <w:right w:val="single" w:sz="4" w:space="0" w:color="000000"/>
            </w:tcBorders>
            <w:shd w:val="clear" w:color="auto" w:fill="auto"/>
            <w:vAlign w:val="center"/>
          </w:tcPr>
          <w:p w14:paraId="36B06F82" w14:textId="77777777" w:rsidR="00A00405" w:rsidRPr="0010725E" w:rsidRDefault="00A00405" w:rsidP="00A00405">
            <w:pPr>
              <w:jc w:val="center"/>
              <w:rPr>
                <w:szCs w:val="22"/>
              </w:rPr>
            </w:pPr>
            <w:r w:rsidRPr="0010725E">
              <w:rPr>
                <w:szCs w:val="22"/>
              </w:rPr>
              <w:t>12.6</w:t>
            </w:r>
          </w:p>
        </w:tc>
      </w:tr>
      <w:tr w:rsidR="00A00405" w:rsidRPr="0010725E" w14:paraId="40248C99"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44F210D7" w14:textId="77777777" w:rsidR="00A00405" w:rsidRPr="0010725E" w:rsidRDefault="00A00405" w:rsidP="00A00405">
            <w:pPr>
              <w:rPr>
                <w:szCs w:val="22"/>
              </w:rPr>
            </w:pPr>
            <w:r w:rsidRPr="0010725E">
              <w:rPr>
                <w:szCs w:val="22"/>
              </w:rPr>
              <w:t>Canada</w:t>
            </w:r>
          </w:p>
        </w:tc>
        <w:tc>
          <w:tcPr>
            <w:tcW w:w="522" w:type="pct"/>
            <w:tcBorders>
              <w:top w:val="nil"/>
              <w:left w:val="nil"/>
              <w:bottom w:val="single" w:sz="4" w:space="0" w:color="000000"/>
              <w:right w:val="single" w:sz="4" w:space="0" w:color="000000"/>
            </w:tcBorders>
            <w:shd w:val="clear" w:color="auto" w:fill="auto"/>
            <w:vAlign w:val="center"/>
          </w:tcPr>
          <w:p w14:paraId="157CE685" w14:textId="77777777" w:rsidR="00A00405" w:rsidRPr="0010725E" w:rsidRDefault="00A00405" w:rsidP="00A00405">
            <w:pPr>
              <w:jc w:val="center"/>
              <w:rPr>
                <w:szCs w:val="22"/>
              </w:rPr>
            </w:pPr>
            <w:r w:rsidRPr="0010725E">
              <w:rPr>
                <w:szCs w:val="22"/>
              </w:rPr>
              <w:t>0.3</w:t>
            </w:r>
          </w:p>
        </w:tc>
        <w:tc>
          <w:tcPr>
            <w:tcW w:w="476" w:type="pct"/>
            <w:tcBorders>
              <w:top w:val="nil"/>
              <w:left w:val="nil"/>
              <w:bottom w:val="single" w:sz="4" w:space="0" w:color="000000"/>
              <w:right w:val="single" w:sz="4" w:space="0" w:color="000000"/>
            </w:tcBorders>
            <w:shd w:val="clear" w:color="auto" w:fill="auto"/>
            <w:vAlign w:val="center"/>
          </w:tcPr>
          <w:p w14:paraId="73A42AB2" w14:textId="77777777" w:rsidR="00A00405" w:rsidRPr="0010725E" w:rsidRDefault="00A00405" w:rsidP="00A00405">
            <w:pPr>
              <w:jc w:val="center"/>
              <w:rPr>
                <w:szCs w:val="22"/>
              </w:rPr>
            </w:pPr>
            <w:r w:rsidRPr="0010725E">
              <w:rPr>
                <w:szCs w:val="22"/>
              </w:rPr>
              <w:t>0.6</w:t>
            </w:r>
          </w:p>
        </w:tc>
        <w:tc>
          <w:tcPr>
            <w:tcW w:w="476" w:type="pct"/>
            <w:tcBorders>
              <w:top w:val="nil"/>
              <w:left w:val="nil"/>
              <w:bottom w:val="single" w:sz="4" w:space="0" w:color="000000"/>
              <w:right w:val="single" w:sz="4" w:space="0" w:color="000000"/>
            </w:tcBorders>
            <w:shd w:val="clear" w:color="auto" w:fill="auto"/>
            <w:vAlign w:val="center"/>
          </w:tcPr>
          <w:p w14:paraId="7C06D935" w14:textId="77777777" w:rsidR="00A00405" w:rsidRPr="0010725E" w:rsidRDefault="00A00405" w:rsidP="00A00405">
            <w:pPr>
              <w:jc w:val="center"/>
              <w:rPr>
                <w:szCs w:val="22"/>
              </w:rPr>
            </w:pPr>
            <w:r w:rsidRPr="0010725E">
              <w:rPr>
                <w:szCs w:val="22"/>
              </w:rPr>
              <w:t>1.3</w:t>
            </w:r>
          </w:p>
        </w:tc>
        <w:tc>
          <w:tcPr>
            <w:tcW w:w="476" w:type="pct"/>
            <w:tcBorders>
              <w:top w:val="nil"/>
              <w:left w:val="nil"/>
              <w:bottom w:val="single" w:sz="4" w:space="0" w:color="000000"/>
              <w:right w:val="single" w:sz="4" w:space="0" w:color="000000"/>
            </w:tcBorders>
            <w:shd w:val="clear" w:color="auto" w:fill="auto"/>
            <w:vAlign w:val="center"/>
          </w:tcPr>
          <w:p w14:paraId="2DC7D1D9" w14:textId="77777777" w:rsidR="00A00405" w:rsidRPr="0010725E" w:rsidRDefault="00A00405" w:rsidP="00A00405">
            <w:pPr>
              <w:jc w:val="center"/>
              <w:rPr>
                <w:szCs w:val="22"/>
              </w:rPr>
            </w:pPr>
            <w:r w:rsidRPr="0010725E">
              <w:rPr>
                <w:szCs w:val="22"/>
              </w:rPr>
              <w:t>1.9</w:t>
            </w:r>
          </w:p>
        </w:tc>
        <w:tc>
          <w:tcPr>
            <w:tcW w:w="476" w:type="pct"/>
            <w:tcBorders>
              <w:top w:val="nil"/>
              <w:left w:val="nil"/>
              <w:bottom w:val="single" w:sz="4" w:space="0" w:color="000000"/>
              <w:right w:val="single" w:sz="4" w:space="0" w:color="000000"/>
            </w:tcBorders>
            <w:shd w:val="clear" w:color="auto" w:fill="auto"/>
            <w:vAlign w:val="center"/>
          </w:tcPr>
          <w:p w14:paraId="65CA3497" w14:textId="77777777" w:rsidR="00A00405" w:rsidRPr="0010725E" w:rsidRDefault="00A00405" w:rsidP="00A00405">
            <w:pPr>
              <w:jc w:val="center"/>
              <w:rPr>
                <w:szCs w:val="22"/>
              </w:rPr>
            </w:pPr>
            <w:r w:rsidRPr="0010725E">
              <w:rPr>
                <w:szCs w:val="22"/>
              </w:rPr>
              <w:t>1.7</w:t>
            </w:r>
          </w:p>
        </w:tc>
        <w:tc>
          <w:tcPr>
            <w:tcW w:w="479" w:type="pct"/>
            <w:tcBorders>
              <w:top w:val="nil"/>
              <w:left w:val="nil"/>
              <w:bottom w:val="single" w:sz="4" w:space="0" w:color="000000"/>
              <w:right w:val="single" w:sz="4" w:space="0" w:color="000000"/>
            </w:tcBorders>
            <w:shd w:val="clear" w:color="auto" w:fill="auto"/>
            <w:vAlign w:val="center"/>
          </w:tcPr>
          <w:p w14:paraId="19507EFE" w14:textId="77777777" w:rsidR="00A00405" w:rsidRPr="0010725E" w:rsidRDefault="00A00405" w:rsidP="00A00405">
            <w:pPr>
              <w:jc w:val="center"/>
              <w:rPr>
                <w:szCs w:val="22"/>
              </w:rPr>
            </w:pPr>
            <w:r w:rsidRPr="0010725E">
              <w:rPr>
                <w:szCs w:val="22"/>
              </w:rPr>
              <w:t>3.1</w:t>
            </w:r>
          </w:p>
        </w:tc>
      </w:tr>
      <w:tr w:rsidR="00A00405" w:rsidRPr="0010725E" w14:paraId="5AC982A4"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55329782" w14:textId="77777777" w:rsidR="00A00405" w:rsidRPr="0010725E" w:rsidRDefault="00A00405" w:rsidP="00A00405">
            <w:pPr>
              <w:rPr>
                <w:b/>
                <w:szCs w:val="22"/>
              </w:rPr>
            </w:pPr>
            <w:r w:rsidRPr="0010725E">
              <w:rPr>
                <w:b/>
                <w:szCs w:val="22"/>
              </w:rPr>
              <w:t>Mesoamerica and the Caribbean</w:t>
            </w:r>
          </w:p>
        </w:tc>
        <w:tc>
          <w:tcPr>
            <w:tcW w:w="522" w:type="pct"/>
            <w:tcBorders>
              <w:top w:val="nil"/>
              <w:left w:val="nil"/>
              <w:bottom w:val="single" w:sz="4" w:space="0" w:color="000000"/>
              <w:right w:val="single" w:sz="4" w:space="0" w:color="000000"/>
            </w:tcBorders>
            <w:shd w:val="clear" w:color="auto" w:fill="auto"/>
            <w:vAlign w:val="center"/>
          </w:tcPr>
          <w:p w14:paraId="10EB2C79" w14:textId="77777777" w:rsidR="00A00405" w:rsidRPr="0010725E" w:rsidRDefault="00A00405" w:rsidP="00A00405">
            <w:pPr>
              <w:jc w:val="center"/>
              <w:rPr>
                <w:b/>
                <w:szCs w:val="22"/>
              </w:rPr>
            </w:pPr>
            <w:r w:rsidRPr="0010725E">
              <w:rPr>
                <w:b/>
                <w:szCs w:val="22"/>
              </w:rPr>
              <w:t>8.1</w:t>
            </w:r>
          </w:p>
        </w:tc>
        <w:tc>
          <w:tcPr>
            <w:tcW w:w="476" w:type="pct"/>
            <w:tcBorders>
              <w:top w:val="nil"/>
              <w:left w:val="nil"/>
              <w:bottom w:val="single" w:sz="4" w:space="0" w:color="000000"/>
              <w:right w:val="single" w:sz="4" w:space="0" w:color="000000"/>
            </w:tcBorders>
            <w:shd w:val="clear" w:color="auto" w:fill="auto"/>
            <w:vAlign w:val="center"/>
          </w:tcPr>
          <w:p w14:paraId="2915D40F" w14:textId="77777777" w:rsidR="00A00405" w:rsidRPr="0010725E" w:rsidRDefault="00A00405" w:rsidP="00A00405">
            <w:pPr>
              <w:jc w:val="center"/>
              <w:rPr>
                <w:b/>
                <w:szCs w:val="22"/>
              </w:rPr>
            </w:pPr>
            <w:r w:rsidRPr="0010725E">
              <w:rPr>
                <w:b/>
                <w:szCs w:val="22"/>
              </w:rPr>
              <w:t>5.9</w:t>
            </w:r>
          </w:p>
        </w:tc>
        <w:tc>
          <w:tcPr>
            <w:tcW w:w="476" w:type="pct"/>
            <w:tcBorders>
              <w:top w:val="nil"/>
              <w:left w:val="nil"/>
              <w:bottom w:val="single" w:sz="4" w:space="0" w:color="000000"/>
              <w:right w:val="single" w:sz="4" w:space="0" w:color="000000"/>
            </w:tcBorders>
            <w:shd w:val="clear" w:color="auto" w:fill="auto"/>
            <w:vAlign w:val="center"/>
          </w:tcPr>
          <w:p w14:paraId="4574FC78" w14:textId="77777777" w:rsidR="00A00405" w:rsidRPr="0010725E" w:rsidRDefault="00A00405" w:rsidP="00A00405">
            <w:pPr>
              <w:jc w:val="center"/>
              <w:rPr>
                <w:b/>
                <w:szCs w:val="22"/>
              </w:rPr>
            </w:pPr>
            <w:r w:rsidRPr="0010725E">
              <w:rPr>
                <w:b/>
                <w:szCs w:val="22"/>
              </w:rPr>
              <w:t>15.9</w:t>
            </w:r>
          </w:p>
        </w:tc>
        <w:tc>
          <w:tcPr>
            <w:tcW w:w="476" w:type="pct"/>
            <w:tcBorders>
              <w:top w:val="nil"/>
              <w:left w:val="nil"/>
              <w:bottom w:val="single" w:sz="4" w:space="0" w:color="000000"/>
              <w:right w:val="single" w:sz="4" w:space="0" w:color="000000"/>
            </w:tcBorders>
            <w:shd w:val="clear" w:color="auto" w:fill="auto"/>
            <w:vAlign w:val="center"/>
          </w:tcPr>
          <w:p w14:paraId="34066A33" w14:textId="77777777" w:rsidR="00A00405" w:rsidRPr="0010725E" w:rsidRDefault="00A00405" w:rsidP="00A00405">
            <w:pPr>
              <w:jc w:val="center"/>
              <w:rPr>
                <w:b/>
                <w:szCs w:val="22"/>
              </w:rPr>
            </w:pPr>
            <w:r w:rsidRPr="0010725E">
              <w:rPr>
                <w:b/>
                <w:szCs w:val="22"/>
              </w:rPr>
              <w:t>14.9</w:t>
            </w:r>
          </w:p>
        </w:tc>
        <w:tc>
          <w:tcPr>
            <w:tcW w:w="476" w:type="pct"/>
            <w:tcBorders>
              <w:top w:val="nil"/>
              <w:left w:val="nil"/>
              <w:bottom w:val="single" w:sz="4" w:space="0" w:color="000000"/>
              <w:right w:val="single" w:sz="4" w:space="0" w:color="000000"/>
            </w:tcBorders>
            <w:shd w:val="clear" w:color="auto" w:fill="auto"/>
            <w:vAlign w:val="center"/>
          </w:tcPr>
          <w:p w14:paraId="752501DD" w14:textId="77777777" w:rsidR="00A00405" w:rsidRPr="0010725E" w:rsidRDefault="00A00405" w:rsidP="00A00405">
            <w:pPr>
              <w:jc w:val="center"/>
              <w:rPr>
                <w:b/>
                <w:szCs w:val="22"/>
              </w:rPr>
            </w:pPr>
            <w:r w:rsidRPr="0010725E">
              <w:rPr>
                <w:b/>
                <w:szCs w:val="22"/>
              </w:rPr>
              <w:t>43.1</w:t>
            </w:r>
          </w:p>
        </w:tc>
        <w:tc>
          <w:tcPr>
            <w:tcW w:w="479" w:type="pct"/>
            <w:tcBorders>
              <w:top w:val="nil"/>
              <w:left w:val="nil"/>
              <w:bottom w:val="single" w:sz="4" w:space="0" w:color="000000"/>
              <w:right w:val="single" w:sz="4" w:space="0" w:color="000000"/>
            </w:tcBorders>
            <w:shd w:val="clear" w:color="auto" w:fill="auto"/>
            <w:vAlign w:val="center"/>
          </w:tcPr>
          <w:p w14:paraId="27C5653C" w14:textId="77777777" w:rsidR="00A00405" w:rsidRPr="0010725E" w:rsidRDefault="00A00405" w:rsidP="00A00405">
            <w:pPr>
              <w:jc w:val="center"/>
              <w:rPr>
                <w:b/>
                <w:szCs w:val="22"/>
              </w:rPr>
            </w:pPr>
            <w:r w:rsidRPr="0010725E">
              <w:rPr>
                <w:b/>
                <w:szCs w:val="22"/>
              </w:rPr>
              <w:t>131.0</w:t>
            </w:r>
          </w:p>
        </w:tc>
      </w:tr>
      <w:tr w:rsidR="00A00405" w:rsidRPr="0010725E" w14:paraId="6965F7C6"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7FA5B13B" w14:textId="77777777" w:rsidR="00A00405" w:rsidRPr="0010725E" w:rsidRDefault="00A00405" w:rsidP="00A00405">
            <w:pPr>
              <w:rPr>
                <w:szCs w:val="22"/>
              </w:rPr>
            </w:pPr>
            <w:r w:rsidRPr="0010725E">
              <w:rPr>
                <w:szCs w:val="22"/>
              </w:rPr>
              <w:t>Mexico</w:t>
            </w:r>
          </w:p>
        </w:tc>
        <w:tc>
          <w:tcPr>
            <w:tcW w:w="522" w:type="pct"/>
            <w:tcBorders>
              <w:top w:val="nil"/>
              <w:left w:val="nil"/>
              <w:bottom w:val="single" w:sz="4" w:space="0" w:color="000000"/>
              <w:right w:val="single" w:sz="4" w:space="0" w:color="000000"/>
            </w:tcBorders>
            <w:shd w:val="clear" w:color="auto" w:fill="auto"/>
            <w:vAlign w:val="center"/>
          </w:tcPr>
          <w:p w14:paraId="128D149B" w14:textId="77777777" w:rsidR="00A00405" w:rsidRPr="0010725E" w:rsidRDefault="00A00405" w:rsidP="00A00405">
            <w:pPr>
              <w:jc w:val="center"/>
              <w:rPr>
                <w:szCs w:val="22"/>
              </w:rPr>
            </w:pPr>
            <w:r w:rsidRPr="0010725E">
              <w:rPr>
                <w:szCs w:val="22"/>
              </w:rPr>
              <w:t>8.0</w:t>
            </w:r>
          </w:p>
        </w:tc>
        <w:tc>
          <w:tcPr>
            <w:tcW w:w="476" w:type="pct"/>
            <w:tcBorders>
              <w:top w:val="nil"/>
              <w:left w:val="nil"/>
              <w:bottom w:val="single" w:sz="4" w:space="0" w:color="000000"/>
              <w:right w:val="single" w:sz="4" w:space="0" w:color="000000"/>
            </w:tcBorders>
            <w:shd w:val="clear" w:color="auto" w:fill="auto"/>
            <w:vAlign w:val="center"/>
          </w:tcPr>
          <w:p w14:paraId="495C2EA3" w14:textId="77777777" w:rsidR="00A00405" w:rsidRPr="0010725E" w:rsidRDefault="00A00405" w:rsidP="00A00405">
            <w:pPr>
              <w:jc w:val="center"/>
              <w:rPr>
                <w:szCs w:val="22"/>
              </w:rPr>
            </w:pPr>
            <w:r w:rsidRPr="0010725E">
              <w:rPr>
                <w:szCs w:val="22"/>
              </w:rPr>
              <w:t>5.2</w:t>
            </w:r>
          </w:p>
        </w:tc>
        <w:tc>
          <w:tcPr>
            <w:tcW w:w="476" w:type="pct"/>
            <w:tcBorders>
              <w:top w:val="nil"/>
              <w:left w:val="nil"/>
              <w:bottom w:val="single" w:sz="4" w:space="0" w:color="000000"/>
              <w:right w:val="single" w:sz="4" w:space="0" w:color="000000"/>
            </w:tcBorders>
            <w:shd w:val="clear" w:color="auto" w:fill="auto"/>
            <w:vAlign w:val="center"/>
          </w:tcPr>
          <w:p w14:paraId="7076031F" w14:textId="77777777" w:rsidR="00A00405" w:rsidRPr="0010725E" w:rsidRDefault="00A00405" w:rsidP="00A00405">
            <w:pPr>
              <w:jc w:val="center"/>
              <w:rPr>
                <w:szCs w:val="22"/>
              </w:rPr>
            </w:pPr>
            <w:r w:rsidRPr="0010725E">
              <w:rPr>
                <w:szCs w:val="22"/>
              </w:rPr>
              <w:t>15.1</w:t>
            </w:r>
          </w:p>
        </w:tc>
        <w:tc>
          <w:tcPr>
            <w:tcW w:w="476" w:type="pct"/>
            <w:tcBorders>
              <w:top w:val="nil"/>
              <w:left w:val="nil"/>
              <w:bottom w:val="single" w:sz="4" w:space="0" w:color="000000"/>
              <w:right w:val="single" w:sz="4" w:space="0" w:color="000000"/>
            </w:tcBorders>
            <w:shd w:val="clear" w:color="auto" w:fill="auto"/>
            <w:vAlign w:val="center"/>
          </w:tcPr>
          <w:p w14:paraId="7A62A947" w14:textId="77777777" w:rsidR="00A00405" w:rsidRPr="0010725E" w:rsidRDefault="00A00405" w:rsidP="00A00405">
            <w:pPr>
              <w:jc w:val="center"/>
              <w:rPr>
                <w:szCs w:val="22"/>
              </w:rPr>
            </w:pPr>
            <w:r w:rsidRPr="0010725E">
              <w:rPr>
                <w:szCs w:val="22"/>
              </w:rPr>
              <w:t>13.9</w:t>
            </w:r>
          </w:p>
        </w:tc>
        <w:tc>
          <w:tcPr>
            <w:tcW w:w="476" w:type="pct"/>
            <w:tcBorders>
              <w:top w:val="nil"/>
              <w:left w:val="nil"/>
              <w:bottom w:val="single" w:sz="4" w:space="0" w:color="000000"/>
              <w:right w:val="single" w:sz="4" w:space="0" w:color="000000"/>
            </w:tcBorders>
            <w:shd w:val="clear" w:color="auto" w:fill="auto"/>
            <w:vAlign w:val="center"/>
          </w:tcPr>
          <w:p w14:paraId="36051416" w14:textId="77777777" w:rsidR="00A00405" w:rsidRPr="0010725E" w:rsidRDefault="00A00405" w:rsidP="00A00405">
            <w:pPr>
              <w:jc w:val="center"/>
              <w:rPr>
                <w:szCs w:val="22"/>
              </w:rPr>
            </w:pPr>
            <w:r w:rsidRPr="0010725E">
              <w:rPr>
                <w:szCs w:val="22"/>
              </w:rPr>
              <w:t>42.6</w:t>
            </w:r>
          </w:p>
        </w:tc>
        <w:tc>
          <w:tcPr>
            <w:tcW w:w="479" w:type="pct"/>
            <w:tcBorders>
              <w:top w:val="nil"/>
              <w:left w:val="nil"/>
              <w:bottom w:val="single" w:sz="4" w:space="0" w:color="000000"/>
              <w:right w:val="single" w:sz="4" w:space="0" w:color="000000"/>
            </w:tcBorders>
            <w:shd w:val="clear" w:color="auto" w:fill="auto"/>
            <w:vAlign w:val="center"/>
          </w:tcPr>
          <w:p w14:paraId="7BE05D3D" w14:textId="77777777" w:rsidR="00A00405" w:rsidRPr="0010725E" w:rsidRDefault="00A00405" w:rsidP="00A00405">
            <w:pPr>
              <w:jc w:val="center"/>
              <w:rPr>
                <w:szCs w:val="22"/>
              </w:rPr>
            </w:pPr>
            <w:r w:rsidRPr="0010725E">
              <w:rPr>
                <w:szCs w:val="22"/>
              </w:rPr>
              <w:t>130.2</w:t>
            </w:r>
          </w:p>
        </w:tc>
      </w:tr>
      <w:tr w:rsidR="00A00405" w:rsidRPr="0010725E" w14:paraId="5050A3A8"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07DF68A2" w14:textId="77777777" w:rsidR="00A00405" w:rsidRPr="0010725E" w:rsidRDefault="00A00405" w:rsidP="00A00405">
            <w:pPr>
              <w:rPr>
                <w:szCs w:val="22"/>
              </w:rPr>
            </w:pPr>
            <w:r w:rsidRPr="0010725E">
              <w:rPr>
                <w:szCs w:val="22"/>
              </w:rPr>
              <w:t>Dominican Republic</w:t>
            </w:r>
          </w:p>
        </w:tc>
        <w:tc>
          <w:tcPr>
            <w:tcW w:w="522" w:type="pct"/>
            <w:tcBorders>
              <w:top w:val="nil"/>
              <w:left w:val="nil"/>
              <w:bottom w:val="single" w:sz="4" w:space="0" w:color="000000"/>
              <w:right w:val="single" w:sz="4" w:space="0" w:color="000000"/>
            </w:tcBorders>
            <w:shd w:val="clear" w:color="auto" w:fill="auto"/>
            <w:vAlign w:val="center"/>
          </w:tcPr>
          <w:p w14:paraId="20BDD270" w14:textId="77777777" w:rsidR="00A00405" w:rsidRPr="0010725E" w:rsidRDefault="00A00405" w:rsidP="00A00405">
            <w:pPr>
              <w:jc w:val="center"/>
              <w:rPr>
                <w:szCs w:val="22"/>
              </w:rPr>
            </w:pPr>
            <w:r w:rsidRPr="0010725E">
              <w:rPr>
                <w:szCs w:val="22"/>
              </w:rPr>
              <w:t>0.0</w:t>
            </w:r>
          </w:p>
        </w:tc>
        <w:tc>
          <w:tcPr>
            <w:tcW w:w="476" w:type="pct"/>
            <w:tcBorders>
              <w:top w:val="nil"/>
              <w:left w:val="nil"/>
              <w:bottom w:val="single" w:sz="4" w:space="0" w:color="000000"/>
              <w:right w:val="single" w:sz="4" w:space="0" w:color="000000"/>
            </w:tcBorders>
            <w:shd w:val="clear" w:color="auto" w:fill="auto"/>
            <w:vAlign w:val="center"/>
          </w:tcPr>
          <w:p w14:paraId="2D3EE662" w14:textId="77777777" w:rsidR="00A00405" w:rsidRPr="0010725E" w:rsidRDefault="00A00405" w:rsidP="00A00405">
            <w:pPr>
              <w:jc w:val="center"/>
              <w:rPr>
                <w:szCs w:val="22"/>
              </w:rPr>
            </w:pPr>
            <w:r w:rsidRPr="0010725E">
              <w:rPr>
                <w:szCs w:val="22"/>
              </w:rPr>
              <w:t>0.0</w:t>
            </w:r>
          </w:p>
        </w:tc>
        <w:tc>
          <w:tcPr>
            <w:tcW w:w="476" w:type="pct"/>
            <w:tcBorders>
              <w:top w:val="nil"/>
              <w:left w:val="nil"/>
              <w:bottom w:val="single" w:sz="4" w:space="0" w:color="000000"/>
              <w:right w:val="single" w:sz="4" w:space="0" w:color="000000"/>
            </w:tcBorders>
            <w:shd w:val="clear" w:color="auto" w:fill="auto"/>
            <w:vAlign w:val="center"/>
          </w:tcPr>
          <w:p w14:paraId="61191351" w14:textId="77777777" w:rsidR="00A00405" w:rsidRPr="0010725E" w:rsidRDefault="00A00405" w:rsidP="00A00405">
            <w:pPr>
              <w:jc w:val="center"/>
              <w:rPr>
                <w:szCs w:val="22"/>
              </w:rPr>
            </w:pPr>
            <w:r w:rsidRPr="0010725E">
              <w:rPr>
                <w:szCs w:val="22"/>
              </w:rPr>
              <w:t>0.0</w:t>
            </w:r>
          </w:p>
        </w:tc>
        <w:tc>
          <w:tcPr>
            <w:tcW w:w="476" w:type="pct"/>
            <w:tcBorders>
              <w:top w:val="nil"/>
              <w:left w:val="nil"/>
              <w:bottom w:val="single" w:sz="4" w:space="0" w:color="000000"/>
              <w:right w:val="single" w:sz="4" w:space="0" w:color="000000"/>
            </w:tcBorders>
            <w:shd w:val="clear" w:color="auto" w:fill="auto"/>
            <w:vAlign w:val="center"/>
          </w:tcPr>
          <w:p w14:paraId="1A0702D7" w14:textId="77777777" w:rsidR="00A00405" w:rsidRPr="0010725E" w:rsidRDefault="00A00405" w:rsidP="00A00405">
            <w:pPr>
              <w:jc w:val="center"/>
              <w:rPr>
                <w:szCs w:val="22"/>
              </w:rPr>
            </w:pPr>
            <w:r w:rsidRPr="0010725E">
              <w:rPr>
                <w:szCs w:val="22"/>
              </w:rPr>
              <w:t>0.0</w:t>
            </w:r>
          </w:p>
        </w:tc>
        <w:tc>
          <w:tcPr>
            <w:tcW w:w="476" w:type="pct"/>
            <w:tcBorders>
              <w:top w:val="nil"/>
              <w:left w:val="nil"/>
              <w:bottom w:val="single" w:sz="4" w:space="0" w:color="000000"/>
              <w:right w:val="single" w:sz="4" w:space="0" w:color="000000"/>
            </w:tcBorders>
            <w:shd w:val="clear" w:color="auto" w:fill="auto"/>
            <w:vAlign w:val="center"/>
          </w:tcPr>
          <w:p w14:paraId="1A04A19D" w14:textId="77777777" w:rsidR="00A00405" w:rsidRPr="0010725E" w:rsidRDefault="00A00405" w:rsidP="00A00405">
            <w:pPr>
              <w:jc w:val="center"/>
              <w:rPr>
                <w:szCs w:val="22"/>
              </w:rPr>
            </w:pPr>
            <w:r w:rsidRPr="0010725E">
              <w:rPr>
                <w:szCs w:val="22"/>
              </w:rPr>
              <w:t>0.1</w:t>
            </w:r>
          </w:p>
        </w:tc>
        <w:tc>
          <w:tcPr>
            <w:tcW w:w="479" w:type="pct"/>
            <w:tcBorders>
              <w:top w:val="nil"/>
              <w:left w:val="nil"/>
              <w:bottom w:val="single" w:sz="4" w:space="0" w:color="000000"/>
              <w:right w:val="single" w:sz="4" w:space="0" w:color="000000"/>
            </w:tcBorders>
            <w:shd w:val="clear" w:color="auto" w:fill="auto"/>
            <w:vAlign w:val="center"/>
          </w:tcPr>
          <w:p w14:paraId="3EB8BDA8" w14:textId="77777777" w:rsidR="00A00405" w:rsidRPr="0010725E" w:rsidRDefault="00A00405" w:rsidP="00A00405">
            <w:pPr>
              <w:jc w:val="center"/>
              <w:rPr>
                <w:szCs w:val="22"/>
              </w:rPr>
            </w:pPr>
            <w:r w:rsidRPr="0010725E">
              <w:rPr>
                <w:szCs w:val="22"/>
              </w:rPr>
              <w:t>0.2</w:t>
            </w:r>
          </w:p>
        </w:tc>
      </w:tr>
      <w:tr w:rsidR="00A00405" w:rsidRPr="0010725E" w14:paraId="278E36A0"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40A344C4" w14:textId="77777777" w:rsidR="00A00405" w:rsidRPr="0010725E" w:rsidRDefault="00A00405" w:rsidP="00A00405">
            <w:pPr>
              <w:rPr>
                <w:szCs w:val="22"/>
              </w:rPr>
            </w:pPr>
            <w:r w:rsidRPr="0010725E">
              <w:rPr>
                <w:szCs w:val="22"/>
              </w:rPr>
              <w:t>Costa Rica</w:t>
            </w:r>
          </w:p>
        </w:tc>
        <w:tc>
          <w:tcPr>
            <w:tcW w:w="522" w:type="pct"/>
            <w:tcBorders>
              <w:top w:val="nil"/>
              <w:left w:val="nil"/>
              <w:bottom w:val="single" w:sz="4" w:space="0" w:color="000000"/>
              <w:right w:val="single" w:sz="4" w:space="0" w:color="000000"/>
            </w:tcBorders>
            <w:shd w:val="clear" w:color="auto" w:fill="auto"/>
            <w:vAlign w:val="center"/>
          </w:tcPr>
          <w:p w14:paraId="5291D9C9" w14:textId="77777777" w:rsidR="00A00405" w:rsidRPr="0010725E" w:rsidRDefault="00A00405" w:rsidP="00A00405">
            <w:pPr>
              <w:jc w:val="center"/>
              <w:rPr>
                <w:szCs w:val="22"/>
              </w:rPr>
            </w:pPr>
            <w:r w:rsidRPr="0010725E">
              <w:rPr>
                <w:szCs w:val="22"/>
              </w:rPr>
              <w:t>0.0</w:t>
            </w:r>
          </w:p>
        </w:tc>
        <w:tc>
          <w:tcPr>
            <w:tcW w:w="476" w:type="pct"/>
            <w:tcBorders>
              <w:top w:val="nil"/>
              <w:left w:val="nil"/>
              <w:bottom w:val="single" w:sz="4" w:space="0" w:color="000000"/>
              <w:right w:val="single" w:sz="4" w:space="0" w:color="000000"/>
            </w:tcBorders>
            <w:shd w:val="clear" w:color="auto" w:fill="auto"/>
            <w:vAlign w:val="center"/>
          </w:tcPr>
          <w:p w14:paraId="405CD1E8" w14:textId="77777777" w:rsidR="00A00405" w:rsidRPr="0010725E" w:rsidRDefault="00A00405" w:rsidP="00A00405">
            <w:pPr>
              <w:jc w:val="center"/>
              <w:rPr>
                <w:szCs w:val="22"/>
              </w:rPr>
            </w:pPr>
            <w:r w:rsidRPr="0010725E">
              <w:rPr>
                <w:szCs w:val="22"/>
              </w:rPr>
              <w:t>0.1</w:t>
            </w:r>
          </w:p>
        </w:tc>
        <w:tc>
          <w:tcPr>
            <w:tcW w:w="476" w:type="pct"/>
            <w:tcBorders>
              <w:top w:val="nil"/>
              <w:left w:val="nil"/>
              <w:bottom w:val="single" w:sz="4" w:space="0" w:color="000000"/>
              <w:right w:val="single" w:sz="4" w:space="0" w:color="000000"/>
            </w:tcBorders>
            <w:shd w:val="clear" w:color="auto" w:fill="auto"/>
            <w:vAlign w:val="center"/>
          </w:tcPr>
          <w:p w14:paraId="43ED7B9C" w14:textId="77777777" w:rsidR="00A00405" w:rsidRPr="0010725E" w:rsidRDefault="00A00405" w:rsidP="00A00405">
            <w:pPr>
              <w:jc w:val="center"/>
              <w:rPr>
                <w:szCs w:val="22"/>
              </w:rPr>
            </w:pPr>
            <w:r w:rsidRPr="0010725E">
              <w:rPr>
                <w:szCs w:val="22"/>
              </w:rPr>
              <w:t>0.2</w:t>
            </w:r>
          </w:p>
        </w:tc>
        <w:tc>
          <w:tcPr>
            <w:tcW w:w="476" w:type="pct"/>
            <w:tcBorders>
              <w:top w:val="nil"/>
              <w:left w:val="nil"/>
              <w:bottom w:val="single" w:sz="4" w:space="0" w:color="000000"/>
              <w:right w:val="single" w:sz="4" w:space="0" w:color="000000"/>
            </w:tcBorders>
            <w:shd w:val="clear" w:color="auto" w:fill="auto"/>
            <w:vAlign w:val="center"/>
          </w:tcPr>
          <w:p w14:paraId="08ABF0B5" w14:textId="77777777" w:rsidR="00A00405" w:rsidRPr="0010725E" w:rsidRDefault="00A00405" w:rsidP="00A00405">
            <w:pPr>
              <w:jc w:val="center"/>
              <w:rPr>
                <w:szCs w:val="22"/>
              </w:rPr>
            </w:pPr>
            <w:r w:rsidRPr="0010725E">
              <w:rPr>
                <w:szCs w:val="22"/>
              </w:rPr>
              <w:t>0.1</w:t>
            </w:r>
          </w:p>
        </w:tc>
        <w:tc>
          <w:tcPr>
            <w:tcW w:w="476" w:type="pct"/>
            <w:tcBorders>
              <w:top w:val="nil"/>
              <w:left w:val="nil"/>
              <w:bottom w:val="single" w:sz="4" w:space="0" w:color="000000"/>
              <w:right w:val="single" w:sz="4" w:space="0" w:color="000000"/>
            </w:tcBorders>
            <w:shd w:val="clear" w:color="auto" w:fill="auto"/>
            <w:vAlign w:val="center"/>
          </w:tcPr>
          <w:p w14:paraId="473E0BD9" w14:textId="77777777" w:rsidR="00A00405" w:rsidRPr="0010725E" w:rsidRDefault="00A00405" w:rsidP="00A00405">
            <w:pPr>
              <w:jc w:val="center"/>
              <w:rPr>
                <w:szCs w:val="22"/>
              </w:rPr>
            </w:pPr>
            <w:r w:rsidRPr="0010725E">
              <w:rPr>
                <w:szCs w:val="22"/>
              </w:rPr>
              <w:t>0.1</w:t>
            </w:r>
          </w:p>
        </w:tc>
        <w:tc>
          <w:tcPr>
            <w:tcW w:w="479" w:type="pct"/>
            <w:tcBorders>
              <w:top w:val="nil"/>
              <w:left w:val="nil"/>
              <w:bottom w:val="single" w:sz="4" w:space="0" w:color="000000"/>
              <w:right w:val="single" w:sz="4" w:space="0" w:color="000000"/>
            </w:tcBorders>
            <w:shd w:val="clear" w:color="auto" w:fill="auto"/>
            <w:vAlign w:val="center"/>
          </w:tcPr>
          <w:p w14:paraId="3259513C" w14:textId="77777777" w:rsidR="00A00405" w:rsidRPr="0010725E" w:rsidRDefault="00A00405" w:rsidP="00A00405">
            <w:pPr>
              <w:jc w:val="center"/>
              <w:rPr>
                <w:szCs w:val="22"/>
              </w:rPr>
            </w:pPr>
            <w:r w:rsidRPr="0010725E">
              <w:rPr>
                <w:szCs w:val="22"/>
              </w:rPr>
              <w:t>0.1</w:t>
            </w:r>
          </w:p>
        </w:tc>
      </w:tr>
      <w:tr w:rsidR="00A00405" w:rsidRPr="0010725E" w14:paraId="148304A3"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15D26B13" w14:textId="77777777" w:rsidR="00A00405" w:rsidRPr="0010725E" w:rsidRDefault="00A00405" w:rsidP="00A00405">
            <w:pPr>
              <w:rPr>
                <w:b/>
                <w:szCs w:val="22"/>
              </w:rPr>
            </w:pPr>
            <w:r w:rsidRPr="0010725E">
              <w:rPr>
                <w:b/>
                <w:szCs w:val="22"/>
              </w:rPr>
              <w:t>South America</w:t>
            </w:r>
          </w:p>
        </w:tc>
        <w:tc>
          <w:tcPr>
            <w:tcW w:w="522" w:type="pct"/>
            <w:tcBorders>
              <w:top w:val="nil"/>
              <w:left w:val="nil"/>
              <w:bottom w:val="single" w:sz="4" w:space="0" w:color="000000"/>
              <w:right w:val="single" w:sz="4" w:space="0" w:color="000000"/>
            </w:tcBorders>
            <w:shd w:val="clear" w:color="auto" w:fill="auto"/>
            <w:vAlign w:val="center"/>
          </w:tcPr>
          <w:p w14:paraId="44626E4D" w14:textId="77777777" w:rsidR="00A00405" w:rsidRPr="0010725E" w:rsidRDefault="00A00405" w:rsidP="00A00405">
            <w:pPr>
              <w:jc w:val="center"/>
              <w:rPr>
                <w:b/>
                <w:szCs w:val="22"/>
              </w:rPr>
            </w:pPr>
            <w:r w:rsidRPr="0010725E">
              <w:rPr>
                <w:b/>
                <w:szCs w:val="22"/>
              </w:rPr>
              <w:t>16.4</w:t>
            </w:r>
          </w:p>
        </w:tc>
        <w:tc>
          <w:tcPr>
            <w:tcW w:w="476" w:type="pct"/>
            <w:tcBorders>
              <w:top w:val="nil"/>
              <w:left w:val="nil"/>
              <w:bottom w:val="single" w:sz="4" w:space="0" w:color="000000"/>
              <w:right w:val="single" w:sz="4" w:space="0" w:color="000000"/>
            </w:tcBorders>
            <w:shd w:val="clear" w:color="auto" w:fill="auto"/>
            <w:vAlign w:val="center"/>
          </w:tcPr>
          <w:p w14:paraId="0F2E54DF" w14:textId="77777777" w:rsidR="00A00405" w:rsidRPr="0010725E" w:rsidRDefault="00A00405" w:rsidP="00A00405">
            <w:pPr>
              <w:jc w:val="center"/>
              <w:rPr>
                <w:b/>
                <w:szCs w:val="22"/>
              </w:rPr>
            </w:pPr>
            <w:r w:rsidRPr="0010725E">
              <w:rPr>
                <w:b/>
                <w:szCs w:val="22"/>
              </w:rPr>
              <w:t>16.5</w:t>
            </w:r>
          </w:p>
        </w:tc>
        <w:tc>
          <w:tcPr>
            <w:tcW w:w="476" w:type="pct"/>
            <w:tcBorders>
              <w:top w:val="nil"/>
              <w:left w:val="nil"/>
              <w:bottom w:val="single" w:sz="4" w:space="0" w:color="000000"/>
              <w:right w:val="single" w:sz="4" w:space="0" w:color="000000"/>
            </w:tcBorders>
            <w:shd w:val="clear" w:color="auto" w:fill="auto"/>
            <w:vAlign w:val="center"/>
          </w:tcPr>
          <w:p w14:paraId="7F7A9AC4" w14:textId="77777777" w:rsidR="00A00405" w:rsidRPr="0010725E" w:rsidRDefault="00A00405" w:rsidP="00A00405">
            <w:pPr>
              <w:jc w:val="center"/>
              <w:rPr>
                <w:b/>
                <w:szCs w:val="22"/>
              </w:rPr>
            </w:pPr>
            <w:r w:rsidRPr="0010725E">
              <w:rPr>
                <w:b/>
                <w:szCs w:val="22"/>
              </w:rPr>
              <w:t>20.1</w:t>
            </w:r>
          </w:p>
        </w:tc>
        <w:tc>
          <w:tcPr>
            <w:tcW w:w="476" w:type="pct"/>
            <w:tcBorders>
              <w:top w:val="nil"/>
              <w:left w:val="nil"/>
              <w:bottom w:val="single" w:sz="4" w:space="0" w:color="000000"/>
              <w:right w:val="single" w:sz="4" w:space="0" w:color="000000"/>
            </w:tcBorders>
            <w:shd w:val="clear" w:color="auto" w:fill="auto"/>
            <w:vAlign w:val="center"/>
          </w:tcPr>
          <w:p w14:paraId="1D905468" w14:textId="77777777" w:rsidR="00A00405" w:rsidRPr="0010725E" w:rsidRDefault="00A00405" w:rsidP="00A00405">
            <w:pPr>
              <w:jc w:val="center"/>
              <w:rPr>
                <w:b/>
                <w:szCs w:val="22"/>
              </w:rPr>
            </w:pPr>
            <w:r w:rsidRPr="0010725E">
              <w:rPr>
                <w:b/>
                <w:szCs w:val="22"/>
              </w:rPr>
              <w:t>23.2</w:t>
            </w:r>
          </w:p>
        </w:tc>
        <w:tc>
          <w:tcPr>
            <w:tcW w:w="476" w:type="pct"/>
            <w:tcBorders>
              <w:top w:val="nil"/>
              <w:left w:val="nil"/>
              <w:bottom w:val="single" w:sz="4" w:space="0" w:color="000000"/>
              <w:right w:val="single" w:sz="4" w:space="0" w:color="000000"/>
            </w:tcBorders>
            <w:shd w:val="clear" w:color="auto" w:fill="auto"/>
            <w:vAlign w:val="center"/>
          </w:tcPr>
          <w:p w14:paraId="4502CF5B" w14:textId="77777777" w:rsidR="00A00405" w:rsidRPr="0010725E" w:rsidRDefault="00A00405" w:rsidP="00A00405">
            <w:pPr>
              <w:jc w:val="center"/>
              <w:rPr>
                <w:b/>
                <w:szCs w:val="22"/>
              </w:rPr>
            </w:pPr>
            <w:r w:rsidRPr="0010725E">
              <w:rPr>
                <w:b/>
                <w:szCs w:val="22"/>
              </w:rPr>
              <w:t>17.4</w:t>
            </w:r>
          </w:p>
        </w:tc>
        <w:tc>
          <w:tcPr>
            <w:tcW w:w="479" w:type="pct"/>
            <w:tcBorders>
              <w:top w:val="nil"/>
              <w:left w:val="nil"/>
              <w:bottom w:val="single" w:sz="4" w:space="0" w:color="000000"/>
              <w:right w:val="single" w:sz="4" w:space="0" w:color="000000"/>
            </w:tcBorders>
            <w:shd w:val="clear" w:color="auto" w:fill="auto"/>
            <w:vAlign w:val="center"/>
          </w:tcPr>
          <w:p w14:paraId="17D9AB08" w14:textId="77777777" w:rsidR="00A00405" w:rsidRPr="0010725E" w:rsidRDefault="00A00405" w:rsidP="00A00405">
            <w:pPr>
              <w:jc w:val="center"/>
              <w:rPr>
                <w:b/>
                <w:szCs w:val="22"/>
              </w:rPr>
            </w:pPr>
            <w:r w:rsidRPr="0010725E">
              <w:rPr>
                <w:b/>
                <w:szCs w:val="22"/>
              </w:rPr>
              <w:t>20.9</w:t>
            </w:r>
          </w:p>
        </w:tc>
      </w:tr>
      <w:tr w:rsidR="00A00405" w:rsidRPr="0010725E" w14:paraId="272634F1"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01559392" w14:textId="77777777" w:rsidR="00A00405" w:rsidRPr="0010725E" w:rsidRDefault="00A00405" w:rsidP="00A00405">
            <w:pPr>
              <w:rPr>
                <w:szCs w:val="22"/>
              </w:rPr>
            </w:pPr>
            <w:r w:rsidRPr="0010725E">
              <w:rPr>
                <w:szCs w:val="22"/>
              </w:rPr>
              <w:t>Chile</w:t>
            </w:r>
          </w:p>
        </w:tc>
        <w:tc>
          <w:tcPr>
            <w:tcW w:w="522" w:type="pct"/>
            <w:tcBorders>
              <w:top w:val="nil"/>
              <w:left w:val="nil"/>
              <w:bottom w:val="single" w:sz="4" w:space="0" w:color="000000"/>
              <w:right w:val="single" w:sz="4" w:space="0" w:color="000000"/>
            </w:tcBorders>
            <w:shd w:val="clear" w:color="auto" w:fill="auto"/>
            <w:vAlign w:val="center"/>
          </w:tcPr>
          <w:p w14:paraId="4B0AFDEA" w14:textId="77777777" w:rsidR="00A00405" w:rsidRPr="0010725E" w:rsidRDefault="00A00405" w:rsidP="00A00405">
            <w:pPr>
              <w:jc w:val="center"/>
              <w:rPr>
                <w:szCs w:val="22"/>
              </w:rPr>
            </w:pPr>
            <w:r w:rsidRPr="0010725E">
              <w:rPr>
                <w:szCs w:val="22"/>
              </w:rPr>
              <w:t>9.7</w:t>
            </w:r>
          </w:p>
        </w:tc>
        <w:tc>
          <w:tcPr>
            <w:tcW w:w="476" w:type="pct"/>
            <w:tcBorders>
              <w:top w:val="nil"/>
              <w:left w:val="nil"/>
              <w:bottom w:val="single" w:sz="4" w:space="0" w:color="000000"/>
              <w:right w:val="single" w:sz="4" w:space="0" w:color="000000"/>
            </w:tcBorders>
            <w:shd w:val="clear" w:color="auto" w:fill="auto"/>
            <w:vAlign w:val="center"/>
          </w:tcPr>
          <w:p w14:paraId="7FBBC47C" w14:textId="77777777" w:rsidR="00A00405" w:rsidRPr="0010725E" w:rsidRDefault="00A00405" w:rsidP="00A00405">
            <w:pPr>
              <w:jc w:val="center"/>
              <w:rPr>
                <w:szCs w:val="22"/>
              </w:rPr>
            </w:pPr>
            <w:r w:rsidRPr="0010725E">
              <w:rPr>
                <w:szCs w:val="22"/>
              </w:rPr>
              <w:t>10.4</w:t>
            </w:r>
          </w:p>
        </w:tc>
        <w:tc>
          <w:tcPr>
            <w:tcW w:w="476" w:type="pct"/>
            <w:tcBorders>
              <w:top w:val="nil"/>
              <w:left w:val="nil"/>
              <w:bottom w:val="single" w:sz="4" w:space="0" w:color="000000"/>
              <w:right w:val="single" w:sz="4" w:space="0" w:color="000000"/>
            </w:tcBorders>
            <w:shd w:val="clear" w:color="auto" w:fill="auto"/>
            <w:vAlign w:val="center"/>
          </w:tcPr>
          <w:p w14:paraId="616DC37A" w14:textId="77777777" w:rsidR="00A00405" w:rsidRPr="0010725E" w:rsidRDefault="00A00405" w:rsidP="00A00405">
            <w:pPr>
              <w:jc w:val="center"/>
              <w:rPr>
                <w:szCs w:val="22"/>
              </w:rPr>
            </w:pPr>
            <w:r w:rsidRPr="0010725E">
              <w:rPr>
                <w:szCs w:val="22"/>
              </w:rPr>
              <w:t>13.7</w:t>
            </w:r>
          </w:p>
        </w:tc>
        <w:tc>
          <w:tcPr>
            <w:tcW w:w="476" w:type="pct"/>
            <w:tcBorders>
              <w:top w:val="nil"/>
              <w:left w:val="nil"/>
              <w:bottom w:val="single" w:sz="4" w:space="0" w:color="000000"/>
              <w:right w:val="single" w:sz="4" w:space="0" w:color="000000"/>
            </w:tcBorders>
            <w:shd w:val="clear" w:color="auto" w:fill="auto"/>
            <w:vAlign w:val="center"/>
          </w:tcPr>
          <w:p w14:paraId="4AF11808" w14:textId="77777777" w:rsidR="00A00405" w:rsidRPr="0010725E" w:rsidRDefault="00A00405" w:rsidP="00A00405">
            <w:pPr>
              <w:jc w:val="center"/>
              <w:rPr>
                <w:szCs w:val="22"/>
              </w:rPr>
            </w:pPr>
            <w:r w:rsidRPr="0010725E">
              <w:rPr>
                <w:szCs w:val="22"/>
              </w:rPr>
              <w:t>15.8</w:t>
            </w:r>
          </w:p>
        </w:tc>
        <w:tc>
          <w:tcPr>
            <w:tcW w:w="476" w:type="pct"/>
            <w:tcBorders>
              <w:top w:val="nil"/>
              <w:left w:val="nil"/>
              <w:bottom w:val="single" w:sz="4" w:space="0" w:color="000000"/>
              <w:right w:val="single" w:sz="4" w:space="0" w:color="000000"/>
            </w:tcBorders>
            <w:shd w:val="clear" w:color="auto" w:fill="auto"/>
            <w:vAlign w:val="center"/>
          </w:tcPr>
          <w:p w14:paraId="1E33B649" w14:textId="77777777" w:rsidR="00A00405" w:rsidRPr="0010725E" w:rsidRDefault="00A00405" w:rsidP="00A00405">
            <w:pPr>
              <w:jc w:val="center"/>
              <w:rPr>
                <w:szCs w:val="22"/>
              </w:rPr>
            </w:pPr>
            <w:r w:rsidRPr="0010725E">
              <w:rPr>
                <w:szCs w:val="22"/>
              </w:rPr>
              <w:t>9.9</w:t>
            </w:r>
          </w:p>
        </w:tc>
        <w:tc>
          <w:tcPr>
            <w:tcW w:w="479" w:type="pct"/>
            <w:tcBorders>
              <w:top w:val="nil"/>
              <w:left w:val="nil"/>
              <w:bottom w:val="single" w:sz="4" w:space="0" w:color="000000"/>
              <w:right w:val="single" w:sz="4" w:space="0" w:color="000000"/>
            </w:tcBorders>
            <w:shd w:val="clear" w:color="auto" w:fill="auto"/>
            <w:vAlign w:val="center"/>
          </w:tcPr>
          <w:p w14:paraId="40E4DE05" w14:textId="77777777" w:rsidR="00A00405" w:rsidRPr="0010725E" w:rsidRDefault="00A00405" w:rsidP="00A00405">
            <w:pPr>
              <w:jc w:val="center"/>
              <w:rPr>
                <w:szCs w:val="22"/>
              </w:rPr>
            </w:pPr>
            <w:r w:rsidRPr="0010725E">
              <w:rPr>
                <w:szCs w:val="22"/>
              </w:rPr>
              <w:t>10.0</w:t>
            </w:r>
          </w:p>
        </w:tc>
      </w:tr>
      <w:tr w:rsidR="00A00405" w:rsidRPr="0010725E" w14:paraId="4B0BDD60"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7FC9D431" w14:textId="77777777" w:rsidR="00A00405" w:rsidRPr="0010725E" w:rsidRDefault="00A00405" w:rsidP="00A00405">
            <w:pPr>
              <w:rPr>
                <w:szCs w:val="22"/>
              </w:rPr>
            </w:pPr>
            <w:r w:rsidRPr="0010725E">
              <w:rPr>
                <w:szCs w:val="22"/>
              </w:rPr>
              <w:t>Argentina</w:t>
            </w:r>
          </w:p>
        </w:tc>
        <w:tc>
          <w:tcPr>
            <w:tcW w:w="522" w:type="pct"/>
            <w:tcBorders>
              <w:top w:val="nil"/>
              <w:left w:val="nil"/>
              <w:bottom w:val="single" w:sz="4" w:space="0" w:color="000000"/>
              <w:right w:val="single" w:sz="4" w:space="0" w:color="000000"/>
            </w:tcBorders>
            <w:shd w:val="clear" w:color="auto" w:fill="auto"/>
            <w:vAlign w:val="center"/>
          </w:tcPr>
          <w:p w14:paraId="7CDE6969" w14:textId="77777777" w:rsidR="00A00405" w:rsidRPr="0010725E" w:rsidRDefault="00A00405" w:rsidP="00A00405">
            <w:pPr>
              <w:jc w:val="center"/>
              <w:rPr>
                <w:szCs w:val="22"/>
              </w:rPr>
            </w:pPr>
            <w:r w:rsidRPr="0010725E">
              <w:rPr>
                <w:szCs w:val="22"/>
              </w:rPr>
              <w:t>3.2</w:t>
            </w:r>
          </w:p>
        </w:tc>
        <w:tc>
          <w:tcPr>
            <w:tcW w:w="476" w:type="pct"/>
            <w:tcBorders>
              <w:top w:val="nil"/>
              <w:left w:val="nil"/>
              <w:bottom w:val="single" w:sz="4" w:space="0" w:color="000000"/>
              <w:right w:val="single" w:sz="4" w:space="0" w:color="000000"/>
            </w:tcBorders>
            <w:shd w:val="clear" w:color="auto" w:fill="auto"/>
            <w:vAlign w:val="center"/>
          </w:tcPr>
          <w:p w14:paraId="7B7EED08" w14:textId="77777777" w:rsidR="00A00405" w:rsidRPr="0010725E" w:rsidRDefault="00A00405" w:rsidP="00A00405">
            <w:pPr>
              <w:jc w:val="center"/>
              <w:rPr>
                <w:szCs w:val="22"/>
              </w:rPr>
            </w:pPr>
            <w:r w:rsidRPr="0010725E">
              <w:rPr>
                <w:szCs w:val="22"/>
              </w:rPr>
              <w:t>2.3</w:t>
            </w:r>
          </w:p>
        </w:tc>
        <w:tc>
          <w:tcPr>
            <w:tcW w:w="476" w:type="pct"/>
            <w:tcBorders>
              <w:top w:val="nil"/>
              <w:left w:val="nil"/>
              <w:bottom w:val="single" w:sz="4" w:space="0" w:color="000000"/>
              <w:right w:val="single" w:sz="4" w:space="0" w:color="000000"/>
            </w:tcBorders>
            <w:shd w:val="clear" w:color="auto" w:fill="auto"/>
            <w:vAlign w:val="center"/>
          </w:tcPr>
          <w:p w14:paraId="4F5850E7" w14:textId="77777777" w:rsidR="00A00405" w:rsidRPr="0010725E" w:rsidRDefault="00A00405" w:rsidP="00A00405">
            <w:pPr>
              <w:jc w:val="center"/>
              <w:rPr>
                <w:szCs w:val="22"/>
              </w:rPr>
            </w:pPr>
            <w:r w:rsidRPr="0010725E">
              <w:rPr>
                <w:szCs w:val="22"/>
              </w:rPr>
              <w:t>2.4</w:t>
            </w:r>
          </w:p>
        </w:tc>
        <w:tc>
          <w:tcPr>
            <w:tcW w:w="476" w:type="pct"/>
            <w:tcBorders>
              <w:top w:val="nil"/>
              <w:left w:val="nil"/>
              <w:bottom w:val="single" w:sz="4" w:space="0" w:color="000000"/>
              <w:right w:val="single" w:sz="4" w:space="0" w:color="000000"/>
            </w:tcBorders>
            <w:shd w:val="clear" w:color="auto" w:fill="auto"/>
            <w:vAlign w:val="center"/>
          </w:tcPr>
          <w:p w14:paraId="0A2497A5" w14:textId="77777777" w:rsidR="00A00405" w:rsidRPr="0010725E" w:rsidRDefault="00A00405" w:rsidP="00A00405">
            <w:pPr>
              <w:jc w:val="center"/>
              <w:rPr>
                <w:szCs w:val="22"/>
              </w:rPr>
            </w:pPr>
            <w:r w:rsidRPr="0010725E">
              <w:rPr>
                <w:szCs w:val="22"/>
              </w:rPr>
              <w:t>2.2</w:t>
            </w:r>
          </w:p>
        </w:tc>
        <w:tc>
          <w:tcPr>
            <w:tcW w:w="476" w:type="pct"/>
            <w:tcBorders>
              <w:top w:val="nil"/>
              <w:left w:val="nil"/>
              <w:bottom w:val="single" w:sz="4" w:space="0" w:color="000000"/>
              <w:right w:val="single" w:sz="4" w:space="0" w:color="000000"/>
            </w:tcBorders>
            <w:shd w:val="clear" w:color="auto" w:fill="auto"/>
            <w:vAlign w:val="center"/>
          </w:tcPr>
          <w:p w14:paraId="38DA53BB" w14:textId="77777777" w:rsidR="00A00405" w:rsidRPr="0010725E" w:rsidRDefault="00A00405" w:rsidP="00A00405">
            <w:pPr>
              <w:jc w:val="center"/>
              <w:rPr>
                <w:szCs w:val="22"/>
              </w:rPr>
            </w:pPr>
            <w:r w:rsidRPr="0010725E">
              <w:rPr>
                <w:szCs w:val="22"/>
              </w:rPr>
              <w:t>1.6</w:t>
            </w:r>
          </w:p>
        </w:tc>
        <w:tc>
          <w:tcPr>
            <w:tcW w:w="479" w:type="pct"/>
            <w:tcBorders>
              <w:top w:val="nil"/>
              <w:left w:val="nil"/>
              <w:bottom w:val="single" w:sz="4" w:space="0" w:color="000000"/>
              <w:right w:val="single" w:sz="4" w:space="0" w:color="000000"/>
            </w:tcBorders>
            <w:shd w:val="clear" w:color="auto" w:fill="auto"/>
            <w:vAlign w:val="center"/>
          </w:tcPr>
          <w:p w14:paraId="2ACB0F04" w14:textId="77777777" w:rsidR="00A00405" w:rsidRPr="0010725E" w:rsidRDefault="00A00405" w:rsidP="00A00405">
            <w:pPr>
              <w:jc w:val="center"/>
              <w:rPr>
                <w:szCs w:val="22"/>
              </w:rPr>
            </w:pPr>
            <w:r w:rsidRPr="0010725E">
              <w:rPr>
                <w:szCs w:val="22"/>
              </w:rPr>
              <w:t>1.2</w:t>
            </w:r>
          </w:p>
        </w:tc>
      </w:tr>
      <w:tr w:rsidR="00A00405" w:rsidRPr="0010725E" w14:paraId="7CBFCF63"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21388C4F" w14:textId="77777777" w:rsidR="00A00405" w:rsidRPr="0010725E" w:rsidRDefault="00A00405" w:rsidP="00A00405">
            <w:pPr>
              <w:rPr>
                <w:szCs w:val="22"/>
              </w:rPr>
            </w:pPr>
            <w:r w:rsidRPr="0010725E">
              <w:rPr>
                <w:szCs w:val="22"/>
              </w:rPr>
              <w:t>Peru</w:t>
            </w:r>
          </w:p>
        </w:tc>
        <w:tc>
          <w:tcPr>
            <w:tcW w:w="522" w:type="pct"/>
            <w:tcBorders>
              <w:top w:val="nil"/>
              <w:left w:val="nil"/>
              <w:bottom w:val="single" w:sz="4" w:space="0" w:color="000000"/>
              <w:right w:val="single" w:sz="4" w:space="0" w:color="000000"/>
            </w:tcBorders>
            <w:shd w:val="clear" w:color="auto" w:fill="auto"/>
            <w:vAlign w:val="center"/>
          </w:tcPr>
          <w:p w14:paraId="116B83C6" w14:textId="77777777" w:rsidR="00A00405" w:rsidRPr="0010725E" w:rsidRDefault="00A00405" w:rsidP="00A00405">
            <w:pPr>
              <w:jc w:val="center"/>
              <w:rPr>
                <w:szCs w:val="22"/>
              </w:rPr>
            </w:pPr>
            <w:r w:rsidRPr="0010725E">
              <w:rPr>
                <w:szCs w:val="22"/>
              </w:rPr>
              <w:t>1.5</w:t>
            </w:r>
          </w:p>
        </w:tc>
        <w:tc>
          <w:tcPr>
            <w:tcW w:w="476" w:type="pct"/>
            <w:tcBorders>
              <w:top w:val="nil"/>
              <w:left w:val="nil"/>
              <w:bottom w:val="single" w:sz="4" w:space="0" w:color="000000"/>
              <w:right w:val="single" w:sz="4" w:space="0" w:color="000000"/>
            </w:tcBorders>
            <w:shd w:val="clear" w:color="auto" w:fill="auto"/>
            <w:vAlign w:val="center"/>
          </w:tcPr>
          <w:p w14:paraId="64AB0AEF" w14:textId="77777777" w:rsidR="00A00405" w:rsidRPr="0010725E" w:rsidRDefault="00A00405" w:rsidP="00A00405">
            <w:pPr>
              <w:jc w:val="center"/>
              <w:rPr>
                <w:szCs w:val="22"/>
              </w:rPr>
            </w:pPr>
            <w:r w:rsidRPr="0010725E">
              <w:rPr>
                <w:szCs w:val="22"/>
              </w:rPr>
              <w:t>1.8</w:t>
            </w:r>
          </w:p>
        </w:tc>
        <w:tc>
          <w:tcPr>
            <w:tcW w:w="476" w:type="pct"/>
            <w:tcBorders>
              <w:top w:val="nil"/>
              <w:left w:val="nil"/>
              <w:bottom w:val="single" w:sz="4" w:space="0" w:color="000000"/>
              <w:right w:val="single" w:sz="4" w:space="0" w:color="000000"/>
            </w:tcBorders>
            <w:shd w:val="clear" w:color="auto" w:fill="auto"/>
            <w:vAlign w:val="center"/>
          </w:tcPr>
          <w:p w14:paraId="10CF6205" w14:textId="77777777" w:rsidR="00A00405" w:rsidRPr="0010725E" w:rsidRDefault="00A00405" w:rsidP="00A00405">
            <w:pPr>
              <w:jc w:val="center"/>
              <w:rPr>
                <w:szCs w:val="22"/>
              </w:rPr>
            </w:pPr>
            <w:r w:rsidRPr="0010725E">
              <w:rPr>
                <w:szCs w:val="22"/>
              </w:rPr>
              <w:t>1.6</w:t>
            </w:r>
          </w:p>
        </w:tc>
        <w:tc>
          <w:tcPr>
            <w:tcW w:w="476" w:type="pct"/>
            <w:tcBorders>
              <w:top w:val="nil"/>
              <w:left w:val="nil"/>
              <w:bottom w:val="single" w:sz="4" w:space="0" w:color="000000"/>
              <w:right w:val="single" w:sz="4" w:space="0" w:color="000000"/>
            </w:tcBorders>
            <w:shd w:val="clear" w:color="auto" w:fill="auto"/>
            <w:vAlign w:val="center"/>
          </w:tcPr>
          <w:p w14:paraId="7EF02291" w14:textId="77777777" w:rsidR="00A00405" w:rsidRPr="0010725E" w:rsidRDefault="00A00405" w:rsidP="00A00405">
            <w:pPr>
              <w:jc w:val="center"/>
              <w:rPr>
                <w:szCs w:val="22"/>
              </w:rPr>
            </w:pPr>
            <w:r w:rsidRPr="0010725E">
              <w:rPr>
                <w:szCs w:val="22"/>
              </w:rPr>
              <w:t>1.7</w:t>
            </w:r>
          </w:p>
        </w:tc>
        <w:tc>
          <w:tcPr>
            <w:tcW w:w="476" w:type="pct"/>
            <w:tcBorders>
              <w:top w:val="nil"/>
              <w:left w:val="nil"/>
              <w:bottom w:val="single" w:sz="4" w:space="0" w:color="000000"/>
              <w:right w:val="single" w:sz="4" w:space="0" w:color="000000"/>
            </w:tcBorders>
            <w:shd w:val="clear" w:color="auto" w:fill="auto"/>
            <w:vAlign w:val="center"/>
          </w:tcPr>
          <w:p w14:paraId="5D6B2330" w14:textId="77777777" w:rsidR="00A00405" w:rsidRPr="0010725E" w:rsidRDefault="00A00405" w:rsidP="00A00405">
            <w:pPr>
              <w:jc w:val="center"/>
              <w:rPr>
                <w:szCs w:val="22"/>
              </w:rPr>
            </w:pPr>
            <w:r w:rsidRPr="0010725E">
              <w:rPr>
                <w:szCs w:val="22"/>
              </w:rPr>
              <w:t>2.4</w:t>
            </w:r>
          </w:p>
        </w:tc>
        <w:tc>
          <w:tcPr>
            <w:tcW w:w="479" w:type="pct"/>
            <w:tcBorders>
              <w:top w:val="nil"/>
              <w:left w:val="nil"/>
              <w:bottom w:val="single" w:sz="4" w:space="0" w:color="000000"/>
              <w:right w:val="single" w:sz="4" w:space="0" w:color="000000"/>
            </w:tcBorders>
            <w:shd w:val="clear" w:color="auto" w:fill="auto"/>
            <w:vAlign w:val="center"/>
          </w:tcPr>
          <w:p w14:paraId="7231D4DB" w14:textId="77777777" w:rsidR="00A00405" w:rsidRPr="0010725E" w:rsidRDefault="00A00405" w:rsidP="00A00405">
            <w:pPr>
              <w:jc w:val="center"/>
              <w:rPr>
                <w:szCs w:val="22"/>
              </w:rPr>
            </w:pPr>
            <w:r w:rsidRPr="0010725E">
              <w:rPr>
                <w:szCs w:val="22"/>
              </w:rPr>
              <w:t>3.4</w:t>
            </w:r>
          </w:p>
        </w:tc>
      </w:tr>
      <w:tr w:rsidR="00A00405" w:rsidRPr="0010725E" w14:paraId="27338940"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658416A7" w14:textId="77777777" w:rsidR="00A00405" w:rsidRPr="0010725E" w:rsidRDefault="00A00405" w:rsidP="00A00405">
            <w:pPr>
              <w:rPr>
                <w:szCs w:val="22"/>
              </w:rPr>
            </w:pPr>
            <w:r w:rsidRPr="0010725E">
              <w:rPr>
                <w:szCs w:val="22"/>
              </w:rPr>
              <w:t>Brazil</w:t>
            </w:r>
          </w:p>
        </w:tc>
        <w:tc>
          <w:tcPr>
            <w:tcW w:w="522" w:type="pct"/>
            <w:tcBorders>
              <w:top w:val="nil"/>
              <w:left w:val="nil"/>
              <w:bottom w:val="single" w:sz="4" w:space="0" w:color="000000"/>
              <w:right w:val="single" w:sz="4" w:space="0" w:color="000000"/>
            </w:tcBorders>
            <w:shd w:val="clear" w:color="auto" w:fill="auto"/>
            <w:vAlign w:val="center"/>
          </w:tcPr>
          <w:p w14:paraId="1765F118" w14:textId="77777777" w:rsidR="00A00405" w:rsidRPr="0010725E" w:rsidRDefault="00A00405" w:rsidP="00A00405">
            <w:pPr>
              <w:jc w:val="center"/>
              <w:rPr>
                <w:szCs w:val="22"/>
              </w:rPr>
            </w:pPr>
            <w:r w:rsidRPr="0010725E">
              <w:rPr>
                <w:szCs w:val="22"/>
              </w:rPr>
              <w:t>1.0</w:t>
            </w:r>
          </w:p>
        </w:tc>
        <w:tc>
          <w:tcPr>
            <w:tcW w:w="476" w:type="pct"/>
            <w:tcBorders>
              <w:top w:val="nil"/>
              <w:left w:val="nil"/>
              <w:bottom w:val="single" w:sz="4" w:space="0" w:color="000000"/>
              <w:right w:val="single" w:sz="4" w:space="0" w:color="000000"/>
            </w:tcBorders>
            <w:shd w:val="clear" w:color="auto" w:fill="auto"/>
            <w:vAlign w:val="center"/>
          </w:tcPr>
          <w:p w14:paraId="3CDED2D3" w14:textId="77777777" w:rsidR="00A00405" w:rsidRPr="0010725E" w:rsidRDefault="00A00405" w:rsidP="00A00405">
            <w:pPr>
              <w:jc w:val="center"/>
              <w:rPr>
                <w:szCs w:val="22"/>
              </w:rPr>
            </w:pPr>
            <w:r w:rsidRPr="0010725E">
              <w:rPr>
                <w:szCs w:val="22"/>
              </w:rPr>
              <w:t>0.9</w:t>
            </w:r>
          </w:p>
        </w:tc>
        <w:tc>
          <w:tcPr>
            <w:tcW w:w="476" w:type="pct"/>
            <w:tcBorders>
              <w:top w:val="nil"/>
              <w:left w:val="nil"/>
              <w:bottom w:val="single" w:sz="4" w:space="0" w:color="000000"/>
              <w:right w:val="single" w:sz="4" w:space="0" w:color="000000"/>
            </w:tcBorders>
            <w:shd w:val="clear" w:color="auto" w:fill="auto"/>
            <w:vAlign w:val="center"/>
          </w:tcPr>
          <w:p w14:paraId="4B4ACFD4" w14:textId="77777777" w:rsidR="00A00405" w:rsidRPr="0010725E" w:rsidRDefault="00A00405" w:rsidP="00A00405">
            <w:pPr>
              <w:jc w:val="center"/>
              <w:rPr>
                <w:szCs w:val="22"/>
              </w:rPr>
            </w:pPr>
            <w:r w:rsidRPr="0010725E">
              <w:rPr>
                <w:szCs w:val="22"/>
              </w:rPr>
              <w:t>1.2</w:t>
            </w:r>
          </w:p>
        </w:tc>
        <w:tc>
          <w:tcPr>
            <w:tcW w:w="476" w:type="pct"/>
            <w:tcBorders>
              <w:top w:val="nil"/>
              <w:left w:val="nil"/>
              <w:bottom w:val="single" w:sz="4" w:space="0" w:color="000000"/>
              <w:right w:val="single" w:sz="4" w:space="0" w:color="000000"/>
            </w:tcBorders>
            <w:shd w:val="clear" w:color="auto" w:fill="auto"/>
            <w:vAlign w:val="center"/>
          </w:tcPr>
          <w:p w14:paraId="1013D66E" w14:textId="77777777" w:rsidR="00A00405" w:rsidRPr="0010725E" w:rsidRDefault="00A00405" w:rsidP="00A00405">
            <w:pPr>
              <w:jc w:val="center"/>
              <w:rPr>
                <w:szCs w:val="22"/>
              </w:rPr>
            </w:pPr>
            <w:r w:rsidRPr="0010725E">
              <w:rPr>
                <w:szCs w:val="22"/>
              </w:rPr>
              <w:t>1.7</w:t>
            </w:r>
          </w:p>
        </w:tc>
        <w:tc>
          <w:tcPr>
            <w:tcW w:w="476" w:type="pct"/>
            <w:tcBorders>
              <w:top w:val="nil"/>
              <w:left w:val="nil"/>
              <w:bottom w:val="single" w:sz="4" w:space="0" w:color="000000"/>
              <w:right w:val="single" w:sz="4" w:space="0" w:color="000000"/>
            </w:tcBorders>
            <w:shd w:val="clear" w:color="auto" w:fill="auto"/>
            <w:vAlign w:val="center"/>
          </w:tcPr>
          <w:p w14:paraId="6415E857" w14:textId="77777777" w:rsidR="00A00405" w:rsidRPr="0010725E" w:rsidRDefault="00A00405" w:rsidP="00A00405">
            <w:pPr>
              <w:jc w:val="center"/>
              <w:rPr>
                <w:szCs w:val="22"/>
              </w:rPr>
            </w:pPr>
            <w:r w:rsidRPr="0010725E">
              <w:rPr>
                <w:szCs w:val="22"/>
              </w:rPr>
              <w:t>1.8</w:t>
            </w:r>
          </w:p>
        </w:tc>
        <w:tc>
          <w:tcPr>
            <w:tcW w:w="479" w:type="pct"/>
            <w:tcBorders>
              <w:top w:val="nil"/>
              <w:left w:val="nil"/>
              <w:bottom w:val="single" w:sz="4" w:space="0" w:color="000000"/>
              <w:right w:val="single" w:sz="4" w:space="0" w:color="000000"/>
            </w:tcBorders>
            <w:shd w:val="clear" w:color="auto" w:fill="auto"/>
            <w:vAlign w:val="center"/>
          </w:tcPr>
          <w:p w14:paraId="377F3C28" w14:textId="77777777" w:rsidR="00A00405" w:rsidRPr="0010725E" w:rsidRDefault="00A00405" w:rsidP="00A00405">
            <w:pPr>
              <w:jc w:val="center"/>
              <w:rPr>
                <w:szCs w:val="22"/>
              </w:rPr>
            </w:pPr>
            <w:r w:rsidRPr="0010725E">
              <w:rPr>
                <w:szCs w:val="22"/>
              </w:rPr>
              <w:t>2.0</w:t>
            </w:r>
          </w:p>
        </w:tc>
      </w:tr>
      <w:tr w:rsidR="00A00405" w:rsidRPr="0010725E" w14:paraId="23459C44" w14:textId="77777777" w:rsidTr="00780487">
        <w:trPr>
          <w:trHeight w:val="300"/>
          <w:jc w:val="center"/>
        </w:trPr>
        <w:tc>
          <w:tcPr>
            <w:tcW w:w="2094" w:type="pct"/>
            <w:tcBorders>
              <w:top w:val="nil"/>
              <w:left w:val="single" w:sz="4" w:space="0" w:color="000000"/>
              <w:bottom w:val="single" w:sz="4" w:space="0" w:color="000000"/>
              <w:right w:val="single" w:sz="4" w:space="0" w:color="000000"/>
            </w:tcBorders>
            <w:shd w:val="clear" w:color="auto" w:fill="auto"/>
            <w:vAlign w:val="bottom"/>
          </w:tcPr>
          <w:p w14:paraId="7F2510FF" w14:textId="77777777" w:rsidR="00A00405" w:rsidRPr="0010725E" w:rsidRDefault="00A00405" w:rsidP="00A00405">
            <w:pPr>
              <w:rPr>
                <w:szCs w:val="22"/>
              </w:rPr>
            </w:pPr>
            <w:r w:rsidRPr="0010725E">
              <w:rPr>
                <w:szCs w:val="22"/>
              </w:rPr>
              <w:t>Bolivia</w:t>
            </w:r>
          </w:p>
        </w:tc>
        <w:tc>
          <w:tcPr>
            <w:tcW w:w="522" w:type="pct"/>
            <w:tcBorders>
              <w:top w:val="nil"/>
              <w:left w:val="nil"/>
              <w:bottom w:val="single" w:sz="4" w:space="0" w:color="000000"/>
              <w:right w:val="single" w:sz="4" w:space="0" w:color="000000"/>
            </w:tcBorders>
            <w:shd w:val="clear" w:color="auto" w:fill="auto"/>
            <w:vAlign w:val="center"/>
          </w:tcPr>
          <w:p w14:paraId="4C0A020B" w14:textId="77777777" w:rsidR="00A00405" w:rsidRPr="0010725E" w:rsidRDefault="00A00405" w:rsidP="00A00405">
            <w:pPr>
              <w:jc w:val="center"/>
              <w:rPr>
                <w:szCs w:val="22"/>
              </w:rPr>
            </w:pPr>
            <w:r w:rsidRPr="0010725E">
              <w:rPr>
                <w:szCs w:val="22"/>
              </w:rPr>
              <w:t>0.6</w:t>
            </w:r>
          </w:p>
        </w:tc>
        <w:tc>
          <w:tcPr>
            <w:tcW w:w="476" w:type="pct"/>
            <w:tcBorders>
              <w:top w:val="nil"/>
              <w:left w:val="nil"/>
              <w:bottom w:val="single" w:sz="4" w:space="0" w:color="000000"/>
              <w:right w:val="single" w:sz="4" w:space="0" w:color="000000"/>
            </w:tcBorders>
            <w:shd w:val="clear" w:color="auto" w:fill="auto"/>
            <w:vAlign w:val="center"/>
          </w:tcPr>
          <w:p w14:paraId="36FD4021" w14:textId="77777777" w:rsidR="00A00405" w:rsidRPr="0010725E" w:rsidRDefault="00A00405" w:rsidP="00A00405">
            <w:pPr>
              <w:jc w:val="center"/>
              <w:rPr>
                <w:szCs w:val="22"/>
              </w:rPr>
            </w:pPr>
            <w:r w:rsidRPr="0010725E">
              <w:rPr>
                <w:szCs w:val="22"/>
              </w:rPr>
              <w:t>0.5</w:t>
            </w:r>
          </w:p>
        </w:tc>
        <w:tc>
          <w:tcPr>
            <w:tcW w:w="476" w:type="pct"/>
            <w:tcBorders>
              <w:top w:val="nil"/>
              <w:left w:val="nil"/>
              <w:bottom w:val="single" w:sz="4" w:space="0" w:color="000000"/>
              <w:right w:val="single" w:sz="4" w:space="0" w:color="000000"/>
            </w:tcBorders>
            <w:shd w:val="clear" w:color="auto" w:fill="auto"/>
            <w:vAlign w:val="center"/>
          </w:tcPr>
          <w:p w14:paraId="2C920D8D" w14:textId="77777777" w:rsidR="00A00405" w:rsidRPr="0010725E" w:rsidRDefault="00A00405" w:rsidP="00A00405">
            <w:pPr>
              <w:jc w:val="center"/>
              <w:rPr>
                <w:szCs w:val="22"/>
              </w:rPr>
            </w:pPr>
            <w:r w:rsidRPr="0010725E">
              <w:rPr>
                <w:szCs w:val="22"/>
              </w:rPr>
              <w:t>0.6</w:t>
            </w:r>
          </w:p>
        </w:tc>
        <w:tc>
          <w:tcPr>
            <w:tcW w:w="476" w:type="pct"/>
            <w:tcBorders>
              <w:top w:val="nil"/>
              <w:left w:val="nil"/>
              <w:bottom w:val="single" w:sz="4" w:space="0" w:color="000000"/>
              <w:right w:val="single" w:sz="4" w:space="0" w:color="000000"/>
            </w:tcBorders>
            <w:shd w:val="clear" w:color="auto" w:fill="auto"/>
            <w:vAlign w:val="center"/>
          </w:tcPr>
          <w:p w14:paraId="7A1EB2B6" w14:textId="77777777" w:rsidR="00A00405" w:rsidRPr="0010725E" w:rsidRDefault="00A00405" w:rsidP="00A00405">
            <w:pPr>
              <w:jc w:val="center"/>
              <w:rPr>
                <w:szCs w:val="22"/>
              </w:rPr>
            </w:pPr>
            <w:r w:rsidRPr="0010725E">
              <w:rPr>
                <w:szCs w:val="22"/>
              </w:rPr>
              <w:t>0.6</w:t>
            </w:r>
          </w:p>
        </w:tc>
        <w:tc>
          <w:tcPr>
            <w:tcW w:w="476" w:type="pct"/>
            <w:tcBorders>
              <w:top w:val="nil"/>
              <w:left w:val="nil"/>
              <w:bottom w:val="single" w:sz="4" w:space="0" w:color="000000"/>
              <w:right w:val="single" w:sz="4" w:space="0" w:color="000000"/>
            </w:tcBorders>
            <w:shd w:val="clear" w:color="auto" w:fill="auto"/>
            <w:vAlign w:val="center"/>
          </w:tcPr>
          <w:p w14:paraId="06BADDD1" w14:textId="77777777" w:rsidR="00A00405" w:rsidRPr="0010725E" w:rsidRDefault="00A00405" w:rsidP="00A00405">
            <w:pPr>
              <w:jc w:val="center"/>
              <w:rPr>
                <w:szCs w:val="22"/>
              </w:rPr>
            </w:pPr>
            <w:r w:rsidRPr="0010725E">
              <w:rPr>
                <w:szCs w:val="22"/>
              </w:rPr>
              <w:t>0.3</w:t>
            </w:r>
          </w:p>
        </w:tc>
        <w:tc>
          <w:tcPr>
            <w:tcW w:w="479" w:type="pct"/>
            <w:tcBorders>
              <w:top w:val="nil"/>
              <w:left w:val="nil"/>
              <w:bottom w:val="single" w:sz="4" w:space="0" w:color="000000"/>
              <w:right w:val="single" w:sz="4" w:space="0" w:color="000000"/>
            </w:tcBorders>
            <w:shd w:val="clear" w:color="auto" w:fill="auto"/>
            <w:vAlign w:val="center"/>
          </w:tcPr>
          <w:p w14:paraId="49DC4B67" w14:textId="77777777" w:rsidR="00A00405" w:rsidRPr="0010725E" w:rsidRDefault="00A00405" w:rsidP="00A00405">
            <w:pPr>
              <w:jc w:val="center"/>
              <w:rPr>
                <w:szCs w:val="22"/>
              </w:rPr>
            </w:pPr>
            <w:r w:rsidRPr="0010725E">
              <w:rPr>
                <w:szCs w:val="22"/>
              </w:rPr>
              <w:t>0.4</w:t>
            </w:r>
          </w:p>
        </w:tc>
      </w:tr>
      <w:tr w:rsidR="00A00405" w:rsidRPr="0010725E" w14:paraId="0D92D1F5" w14:textId="77777777" w:rsidTr="00780487">
        <w:trPr>
          <w:trHeight w:val="300"/>
          <w:jc w:val="center"/>
        </w:trPr>
        <w:tc>
          <w:tcPr>
            <w:tcW w:w="209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40889B1E" w14:textId="77777777" w:rsidR="00A00405" w:rsidRPr="0010725E" w:rsidRDefault="00A00405" w:rsidP="00A00405">
            <w:pPr>
              <w:rPr>
                <w:szCs w:val="22"/>
              </w:rPr>
            </w:pPr>
            <w:r w:rsidRPr="0010725E">
              <w:rPr>
                <w:szCs w:val="22"/>
              </w:rPr>
              <w:t>Ecuador</w:t>
            </w:r>
          </w:p>
        </w:tc>
        <w:tc>
          <w:tcPr>
            <w:tcW w:w="522" w:type="pct"/>
            <w:tcBorders>
              <w:top w:val="single" w:sz="4" w:space="0" w:color="000000"/>
              <w:left w:val="nil"/>
              <w:bottom w:val="single" w:sz="4" w:space="0" w:color="000000"/>
              <w:right w:val="single" w:sz="4" w:space="0" w:color="000000"/>
            </w:tcBorders>
            <w:shd w:val="clear" w:color="auto" w:fill="auto"/>
            <w:vAlign w:val="center"/>
          </w:tcPr>
          <w:p w14:paraId="53B3B380" w14:textId="77777777" w:rsidR="00A00405" w:rsidRPr="0010725E" w:rsidRDefault="00A00405" w:rsidP="00A00405">
            <w:pPr>
              <w:jc w:val="center"/>
              <w:rPr>
                <w:szCs w:val="22"/>
              </w:rPr>
            </w:pPr>
            <w:r w:rsidRPr="0010725E">
              <w:rPr>
                <w:szCs w:val="22"/>
              </w:rPr>
              <w:t>0.1</w:t>
            </w:r>
          </w:p>
        </w:tc>
        <w:tc>
          <w:tcPr>
            <w:tcW w:w="476" w:type="pct"/>
            <w:tcBorders>
              <w:top w:val="single" w:sz="4" w:space="0" w:color="000000"/>
              <w:left w:val="nil"/>
              <w:bottom w:val="single" w:sz="4" w:space="0" w:color="000000"/>
              <w:right w:val="single" w:sz="4" w:space="0" w:color="000000"/>
            </w:tcBorders>
            <w:shd w:val="clear" w:color="auto" w:fill="auto"/>
            <w:vAlign w:val="center"/>
          </w:tcPr>
          <w:p w14:paraId="2FFA1B07" w14:textId="77777777" w:rsidR="00A00405" w:rsidRPr="0010725E" w:rsidRDefault="00A00405" w:rsidP="00A00405">
            <w:pPr>
              <w:jc w:val="center"/>
              <w:rPr>
                <w:szCs w:val="22"/>
              </w:rPr>
            </w:pPr>
            <w:r w:rsidRPr="0010725E">
              <w:rPr>
                <w:szCs w:val="22"/>
              </w:rPr>
              <w:t>0.2</w:t>
            </w:r>
          </w:p>
        </w:tc>
        <w:tc>
          <w:tcPr>
            <w:tcW w:w="476" w:type="pct"/>
            <w:tcBorders>
              <w:top w:val="single" w:sz="4" w:space="0" w:color="000000"/>
              <w:left w:val="nil"/>
              <w:bottom w:val="single" w:sz="4" w:space="0" w:color="000000"/>
              <w:right w:val="single" w:sz="4" w:space="0" w:color="000000"/>
            </w:tcBorders>
            <w:shd w:val="clear" w:color="auto" w:fill="auto"/>
            <w:vAlign w:val="center"/>
          </w:tcPr>
          <w:p w14:paraId="28EBBA1B" w14:textId="77777777" w:rsidR="00A00405" w:rsidRPr="0010725E" w:rsidRDefault="00A00405" w:rsidP="00A00405">
            <w:pPr>
              <w:jc w:val="center"/>
              <w:rPr>
                <w:szCs w:val="22"/>
              </w:rPr>
            </w:pPr>
            <w:r w:rsidRPr="0010725E">
              <w:rPr>
                <w:szCs w:val="22"/>
              </w:rPr>
              <w:t>0.2</w:t>
            </w:r>
          </w:p>
        </w:tc>
        <w:tc>
          <w:tcPr>
            <w:tcW w:w="476" w:type="pct"/>
            <w:tcBorders>
              <w:top w:val="single" w:sz="4" w:space="0" w:color="000000"/>
              <w:left w:val="nil"/>
              <w:bottom w:val="single" w:sz="4" w:space="0" w:color="000000"/>
              <w:right w:val="single" w:sz="4" w:space="0" w:color="000000"/>
            </w:tcBorders>
            <w:shd w:val="clear" w:color="auto" w:fill="auto"/>
            <w:vAlign w:val="center"/>
          </w:tcPr>
          <w:p w14:paraId="764F5A1F" w14:textId="77777777" w:rsidR="00A00405" w:rsidRPr="0010725E" w:rsidRDefault="00A00405" w:rsidP="00A00405">
            <w:pPr>
              <w:jc w:val="center"/>
              <w:rPr>
                <w:szCs w:val="22"/>
              </w:rPr>
            </w:pPr>
            <w:r w:rsidRPr="0010725E">
              <w:rPr>
                <w:szCs w:val="22"/>
              </w:rPr>
              <w:t>0.2</w:t>
            </w:r>
          </w:p>
        </w:tc>
        <w:tc>
          <w:tcPr>
            <w:tcW w:w="476" w:type="pct"/>
            <w:tcBorders>
              <w:top w:val="single" w:sz="4" w:space="0" w:color="000000"/>
              <w:left w:val="nil"/>
              <w:bottom w:val="single" w:sz="4" w:space="0" w:color="000000"/>
              <w:right w:val="single" w:sz="4" w:space="0" w:color="000000"/>
            </w:tcBorders>
            <w:shd w:val="clear" w:color="auto" w:fill="auto"/>
            <w:vAlign w:val="center"/>
          </w:tcPr>
          <w:p w14:paraId="5D415FEE" w14:textId="77777777" w:rsidR="00A00405" w:rsidRPr="0010725E" w:rsidRDefault="00A00405" w:rsidP="00A00405">
            <w:pPr>
              <w:jc w:val="center"/>
              <w:rPr>
                <w:szCs w:val="22"/>
              </w:rPr>
            </w:pPr>
            <w:r w:rsidRPr="0010725E">
              <w:rPr>
                <w:szCs w:val="22"/>
              </w:rPr>
              <w:t>0.8</w:t>
            </w:r>
          </w:p>
        </w:tc>
        <w:tc>
          <w:tcPr>
            <w:tcW w:w="479" w:type="pct"/>
            <w:tcBorders>
              <w:top w:val="single" w:sz="4" w:space="0" w:color="000000"/>
              <w:left w:val="nil"/>
              <w:bottom w:val="single" w:sz="4" w:space="0" w:color="000000"/>
              <w:right w:val="single" w:sz="4" w:space="0" w:color="000000"/>
            </w:tcBorders>
            <w:shd w:val="clear" w:color="auto" w:fill="auto"/>
            <w:vAlign w:val="center"/>
          </w:tcPr>
          <w:p w14:paraId="300A134A" w14:textId="77777777" w:rsidR="00A00405" w:rsidRPr="0010725E" w:rsidRDefault="00A00405" w:rsidP="00A00405">
            <w:pPr>
              <w:jc w:val="center"/>
              <w:rPr>
                <w:szCs w:val="22"/>
              </w:rPr>
            </w:pPr>
            <w:r w:rsidRPr="0010725E">
              <w:rPr>
                <w:szCs w:val="22"/>
              </w:rPr>
              <w:t>2.3</w:t>
            </w:r>
          </w:p>
        </w:tc>
      </w:tr>
      <w:tr w:rsidR="00A00405" w:rsidRPr="0010725E" w14:paraId="4C3CA88C" w14:textId="77777777" w:rsidTr="00A00405">
        <w:trPr>
          <w:trHeight w:val="300"/>
          <w:jc w:val="center"/>
        </w:trPr>
        <w:tc>
          <w:tcPr>
            <w:tcW w:w="5000" w:type="pct"/>
            <w:gridSpan w:val="7"/>
            <w:tcBorders>
              <w:top w:val="single" w:sz="4" w:space="0" w:color="000000"/>
              <w:left w:val="single" w:sz="4" w:space="0" w:color="000000"/>
              <w:bottom w:val="single" w:sz="4" w:space="0" w:color="000000"/>
              <w:right w:val="single" w:sz="4" w:space="0" w:color="000000"/>
            </w:tcBorders>
            <w:shd w:val="clear" w:color="auto" w:fill="auto"/>
            <w:vAlign w:val="bottom"/>
          </w:tcPr>
          <w:p w14:paraId="548D4FD6" w14:textId="77777777" w:rsidR="00A00405" w:rsidRPr="004D42ED" w:rsidRDefault="00A00405" w:rsidP="00A00405">
            <w:pPr>
              <w:rPr>
                <w:sz w:val="20"/>
                <w:szCs w:val="20"/>
              </w:rPr>
            </w:pPr>
            <w:r w:rsidRPr="004D42ED">
              <w:rPr>
                <w:sz w:val="20"/>
                <w:szCs w:val="20"/>
              </w:rPr>
              <w:t>Source: FAO (2002)</w:t>
            </w:r>
          </w:p>
        </w:tc>
      </w:tr>
    </w:tbl>
    <w:p w14:paraId="62D48ACC" w14:textId="77777777" w:rsidR="00593E3A" w:rsidRPr="008608AA" w:rsidRDefault="00A00405" w:rsidP="00EA3EC6">
      <w:pPr>
        <w:spacing w:before="240"/>
      </w:pPr>
      <w:r w:rsidRPr="008608AA">
        <w:t xml:space="preserve">Indeed, the history of peoples in the Americas is intimately linked to the land, water, plants and wildlife, including medicinal uses of these (Toledo &amp; Barrera-Bassols, 2008). However, medicinal species are being harvested at ever-expanding volumes to fulfill the regional and international demand, mostly from the wild (Kuipers, 1997; Lange, 1998). The technical advances in the pharmaceutical industry permit synthesis of some active compounds, but of the 45 plant-based drugs developed from tropical rain forest species in the 1990’s none is known to be synthesized (Farnsworth &amp; Soejarto, 1991). Efforts at synthesis of the phytochemical complexity of tropical plants have not been economically successful, thus companies require natural sources of raw materials (Laird, 1999). Therefore, the degradation and transformation of natural habitats affects this NCP negatively impacts the primary health care option of millions of urban and rural citizens (Shanley &amp; Luz, 2003). In this context, the consequence of biodiversity loss affects not only potential research into the pharmaceutical benefits of these species, but is particularly devastating to </w:t>
      </w:r>
      <w:r w:rsidR="00BB0272" w:rsidRPr="008608AA">
        <w:t>those people without access to w</w:t>
      </w:r>
      <w:r w:rsidRPr="008608AA">
        <w:t>estern medicines (Box 2.3).</w:t>
      </w:r>
    </w:p>
    <w:p w14:paraId="4E1ADA9A" w14:textId="1A98D59A" w:rsidR="00A00405" w:rsidRPr="008608AA" w:rsidRDefault="00780487" w:rsidP="00EA3EC6">
      <w:pPr>
        <w:spacing w:before="240"/>
        <w:rPr>
          <w:b/>
        </w:rPr>
      </w:pPr>
      <w:bookmarkStart w:id="658" w:name="_Toc516922438"/>
      <w:r w:rsidRPr="008608AA">
        <w:rPr>
          <w:b/>
        </w:rPr>
        <w:t xml:space="preserve">Box </w:t>
      </w:r>
      <w:r w:rsidR="00BD08BA" w:rsidRPr="008608AA">
        <w:rPr>
          <w:b/>
        </w:rPr>
        <w:fldChar w:fldCharType="begin"/>
      </w:r>
      <w:r w:rsidR="00BD08BA" w:rsidRPr="008608AA">
        <w:rPr>
          <w:b/>
        </w:rPr>
        <w:instrText xml:space="preserve"> STYLEREF 1 \s </w:instrText>
      </w:r>
      <w:r w:rsidR="00BD08BA" w:rsidRPr="008608AA">
        <w:rPr>
          <w:b/>
        </w:rPr>
        <w:fldChar w:fldCharType="separate"/>
      </w:r>
      <w:r w:rsidR="00402074">
        <w:rPr>
          <w:b/>
          <w:noProof/>
        </w:rPr>
        <w:t>2</w:t>
      </w:r>
      <w:r w:rsidR="00BD08BA" w:rsidRPr="008608AA">
        <w:rPr>
          <w:b/>
        </w:rPr>
        <w:fldChar w:fldCharType="end"/>
      </w:r>
      <w:r w:rsidR="00BD08BA" w:rsidRPr="008608AA">
        <w:rPr>
          <w:b/>
        </w:rPr>
        <w:t>.</w:t>
      </w:r>
      <w:r w:rsidR="00BD08BA" w:rsidRPr="008608AA">
        <w:rPr>
          <w:b/>
        </w:rPr>
        <w:fldChar w:fldCharType="begin"/>
      </w:r>
      <w:r w:rsidR="00BD08BA" w:rsidRPr="008608AA">
        <w:rPr>
          <w:b/>
        </w:rPr>
        <w:instrText xml:space="preserve"> SEQ Box \* ARABIC \s 1 </w:instrText>
      </w:r>
      <w:r w:rsidR="00BD08BA" w:rsidRPr="008608AA">
        <w:rPr>
          <w:b/>
        </w:rPr>
        <w:fldChar w:fldCharType="separate"/>
      </w:r>
      <w:r w:rsidR="00402074">
        <w:rPr>
          <w:b/>
          <w:noProof/>
        </w:rPr>
        <w:t>3</w:t>
      </w:r>
      <w:r w:rsidR="00BD08BA" w:rsidRPr="008608AA">
        <w:rPr>
          <w:b/>
        </w:rPr>
        <w:fldChar w:fldCharType="end"/>
      </w:r>
      <w:r w:rsidR="00A00405" w:rsidRPr="008608AA">
        <w:rPr>
          <w:b/>
        </w:rPr>
        <w:t xml:space="preserve"> Traditional medicine in Cerrado, Brazil. Source: Dias </w:t>
      </w:r>
      <w:r w:rsidR="00EA3EC6" w:rsidRPr="008608AA">
        <w:rPr>
          <w:b/>
        </w:rPr>
        <w:t>&amp;</w:t>
      </w:r>
      <w:r w:rsidR="00A00405" w:rsidRPr="008608AA">
        <w:rPr>
          <w:b/>
        </w:rPr>
        <w:t xml:space="preserve"> Laureano (2017).</w:t>
      </w:r>
      <w:bookmarkEnd w:id="658"/>
      <w:r w:rsidR="00A00405" w:rsidRPr="008608AA">
        <w:rPr>
          <w:b/>
        </w:rPr>
        <w:t xml:space="preserve"> </w:t>
      </w:r>
    </w:p>
    <w:tbl>
      <w:tblPr>
        <w:tblW w:w="5000" w:type="pct"/>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487"/>
      </w:tblGrid>
      <w:tr w:rsidR="00A00405" w:rsidRPr="0010725E" w14:paraId="16B5677B" w14:textId="77777777" w:rsidTr="00A00405">
        <w:trPr>
          <w:jc w:val="right"/>
        </w:trPr>
        <w:tc>
          <w:tcPr>
            <w:tcW w:w="5000" w:type="pct"/>
          </w:tcPr>
          <w:p w14:paraId="77411451" w14:textId="77777777" w:rsidR="00A00405" w:rsidRPr="0010725E" w:rsidRDefault="00A00405" w:rsidP="00780487">
            <w:pPr>
              <w:spacing w:before="120" w:after="120"/>
              <w:rPr>
                <w:rFonts w:ascii="Arial" w:eastAsiaTheme="majorEastAsia" w:hAnsi="Arial" w:cstheme="majorBidi"/>
                <w:b/>
                <w:i/>
                <w:iCs/>
                <w:szCs w:val="22"/>
              </w:rPr>
            </w:pPr>
            <w:r w:rsidRPr="0010725E">
              <w:rPr>
                <w:szCs w:val="22"/>
              </w:rPr>
              <w:t xml:space="preserve">In the Brazilian Cerrado (savanna-type biome), </w:t>
            </w:r>
            <w:r w:rsidRPr="0010725E">
              <w:rPr>
                <w:i/>
                <w:szCs w:val="22"/>
              </w:rPr>
              <w:t>raizeiras</w:t>
            </w:r>
            <w:r w:rsidRPr="0010725E">
              <w:rPr>
                <w:szCs w:val="22"/>
              </w:rPr>
              <w:t xml:space="preserve"> (local healers –mainly women - and midwifes) use a diversity of medicinal plants to treat the ailments of rural people. In the state of Minas Gerais alone, 264 different medicinal plants are used by </w:t>
            </w:r>
            <w:r w:rsidRPr="0010725E">
              <w:rPr>
                <w:i/>
                <w:szCs w:val="22"/>
              </w:rPr>
              <w:t>raizeiras</w:t>
            </w:r>
            <w:r w:rsidRPr="0010725E">
              <w:rPr>
                <w:szCs w:val="22"/>
              </w:rPr>
              <w:t xml:space="preserve">, 40% of them being wild plants (Dias &amp; Laureano, 2010). </w:t>
            </w:r>
            <w:r w:rsidRPr="0010725E">
              <w:rPr>
                <w:i/>
                <w:szCs w:val="22"/>
              </w:rPr>
              <w:t>Raizeiras</w:t>
            </w:r>
            <w:r w:rsidRPr="0010725E">
              <w:rPr>
                <w:szCs w:val="22"/>
              </w:rPr>
              <w:t xml:space="preserve"> organize themselves in “community pharmacies” to produce medicine to be sold locally, where there is no access to state-supported medical nor conventional drugstores. </w:t>
            </w:r>
            <w:r w:rsidRPr="0010725E">
              <w:rPr>
                <w:i/>
                <w:szCs w:val="22"/>
              </w:rPr>
              <w:t>Raizeiras</w:t>
            </w:r>
            <w:r w:rsidRPr="0010725E">
              <w:rPr>
                <w:szCs w:val="22"/>
              </w:rPr>
              <w:t xml:space="preserve"> are able to identify the causes of illness, whether congenital, socioenomic, endemic or mental illness (often related to spiritual causes).  Local medicines are usually imbued by values attributed to faith and spirituality, including prayers, religious rituals, and indigenous local knowledge. Also, such knowledge to collect and manage plants in ways that conserve them for future generations. Nevertheless, the conversion of Cerrado vegetation due to agribusiness expansion and the restriction of access to previously commonly-held land are current threats to these “community pharmacies,” putting at risk the health of thousands of people in central Brazil. This is one of many of examples from Mesoamericaand South America; see: </w:t>
            </w:r>
            <w:hyperlink r:id="rId73">
              <w:r w:rsidRPr="0010725E">
                <w:rPr>
                  <w:color w:val="0000FF"/>
                  <w:szCs w:val="22"/>
                  <w:u w:val="single"/>
                </w:rPr>
                <w:t>http://www.biodiversidad.gob.mx/Biodiversitas/Articulos/biodiv62art3.pdf</w:t>
              </w:r>
            </w:hyperlink>
            <w:r w:rsidRPr="0010725E">
              <w:rPr>
                <w:szCs w:val="22"/>
              </w:rPr>
              <w:t xml:space="preserve"> </w:t>
            </w:r>
          </w:p>
        </w:tc>
      </w:tr>
    </w:tbl>
    <w:p w14:paraId="484F9D7E" w14:textId="77777777" w:rsidR="00A00405" w:rsidRPr="008608AA" w:rsidRDefault="00A00405" w:rsidP="00780487">
      <w:pPr>
        <w:pStyle w:val="Heading3"/>
      </w:pPr>
      <w:bookmarkStart w:id="659" w:name="_Toc517393254"/>
      <w:bookmarkStart w:id="660" w:name="_Toc517718995"/>
      <w:bookmarkStart w:id="661" w:name="_Toc517796952"/>
      <w:r w:rsidRPr="008608AA">
        <w:t>Learning and inspiration</w:t>
      </w:r>
      <w:bookmarkEnd w:id="659"/>
      <w:bookmarkEnd w:id="660"/>
      <w:bookmarkEnd w:id="661"/>
    </w:p>
    <w:p w14:paraId="3159D360" w14:textId="2692C9B4" w:rsidR="00A00405" w:rsidRPr="008608AA" w:rsidRDefault="00A00405" w:rsidP="00780487">
      <w:pPr>
        <w:spacing w:after="120"/>
      </w:pPr>
      <w:r w:rsidRPr="008608AA">
        <w:t>Landscapes and seascapes, whether natural or transformed by anthropogenic activities, as well as biotic organisms, provide opportunities for learning and inspiration for humans in all biomes and subregions of the Americas. Indigenous language, knowledge and practices, as well as local farm knowledge and practice are transmitted through living in nature. Fishing and hunting knowledge too are transmitted through practice. In the USA alone, each year an estimated 29.6 million people over 16 years of age fished in freshwater ecosystems for a total of 463 million days, another 8.9 million people over 16 years of age fished in marine environments for a total of 99 million days, and over 2.5 million people over 16 years of age hunted for migratory birds (mostly waterfowl) for a total of 23 million days. Plus, about 22.5 million (9% of all people over 16 years of age) travel away from home to watch wildlife, and 45 million actively observed biodiversity around the home (</w:t>
      </w:r>
      <w:r w:rsidR="00847F60" w:rsidRPr="008608AA">
        <w:t>e.g.</w:t>
      </w:r>
      <w:r w:rsidRPr="008608AA">
        <w:t xml:space="preserve"> bird feeders) (FWS, 2011).</w:t>
      </w:r>
    </w:p>
    <w:p w14:paraId="5E0ED33A" w14:textId="77777777" w:rsidR="00A00405" w:rsidRPr="008608AA" w:rsidRDefault="00A00405" w:rsidP="00780487">
      <w:pPr>
        <w:spacing w:after="120"/>
      </w:pPr>
      <w:r w:rsidRPr="008608AA">
        <w:t>In a global review of the strong benefits that interacting with nature has on cognitive ability and function, Keniger et al. (2013) identified the following benefits: attentional restoration, reduced mental fatigue, improved academic performance, education/learning opportunities, improved ability to perform tasks, improved cognitive function in children, and improved productivity. In urban settings, the restorative benefits of a view of nature, even if only from a window, has been documented (Kaplan et al., 2001). Keniger et al. (2013) argue that there is good evidence that exposure to nature in both urban and wilderness settings may improve cognitive performance, as demonstrated by studies in Michigan (Berman et al., 2008) and in California (Hartig et al., 1991). On the other hand, Russell et al. (2013), in a review on how knowing and experiencing nature influence human well-being, have discussed the relative lack of empirical studies regarding the effects of nature on learning.</w:t>
      </w:r>
    </w:p>
    <w:p w14:paraId="79CA519A" w14:textId="01CA156D" w:rsidR="00A00405" w:rsidRPr="008608AA" w:rsidRDefault="00A00405" w:rsidP="00780487">
      <w:pPr>
        <w:spacing w:after="120"/>
      </w:pPr>
      <w:r w:rsidRPr="008608AA">
        <w:t xml:space="preserve">Some religions make use of plants and animals to connect humans to the spiritual world. For instance, the use of </w:t>
      </w:r>
      <w:r w:rsidRPr="008608AA">
        <w:rPr>
          <w:i/>
        </w:rPr>
        <w:t>ayahuasca</w:t>
      </w:r>
      <w:r w:rsidRPr="008608AA">
        <w:t>, a drink made of two Amazonian plant species (</w:t>
      </w:r>
      <w:r w:rsidRPr="008608AA">
        <w:rPr>
          <w:i/>
        </w:rPr>
        <w:t>Banisteriopsis caapi</w:t>
      </w:r>
      <w:r w:rsidRPr="008608AA">
        <w:t xml:space="preserve"> and </w:t>
      </w:r>
      <w:r w:rsidRPr="008608AA">
        <w:rPr>
          <w:i/>
        </w:rPr>
        <w:t>Psychotria viridis</w:t>
      </w:r>
      <w:r w:rsidRPr="008608AA">
        <w:t xml:space="preserve">) has become more and more popular through the </w:t>
      </w:r>
      <w:r w:rsidRPr="008608AA">
        <w:rPr>
          <w:i/>
        </w:rPr>
        <w:t>Santo Daime</w:t>
      </w:r>
      <w:r w:rsidRPr="008608AA">
        <w:t xml:space="preserve"> religion in many urban centers in parts of South America (Labate, 2004). There are very few studies that investigate the role of nature as spiritual inspiration for non-indigenous people in the Americas. Fredrickson and Anderson (1999) claim that outdoor recreational trips act as spiritual inspiration for women experiencing wilderness in the USA, and in many coastal and rural communities of the Americas, people with no access to weather forecast “read nature’s signs” to plan their planting, harvesting or fishing activities. Nature is also an unlimited source for scientific research, and environmental education programs are growing, often with the goal of increasing ecological literacy (McBeth, 2011). In urban areas, green space, zoos, aquariums and botanical gardens are all facilities to promote learning experiences for people. In the USA, more than 183 million people visit aquariums and zoos annually (AZA, 2017). Additionally, a large portion of artwork produced by humankind is inspired in nature, in particular those produced by indigenous peoples and local communities.</w:t>
      </w:r>
    </w:p>
    <w:p w14:paraId="3C9EB9A4" w14:textId="47E8BF75" w:rsidR="00A00405" w:rsidRPr="008608AA" w:rsidRDefault="00A00405" w:rsidP="00780487">
      <w:pPr>
        <w:spacing w:after="120"/>
      </w:pPr>
      <w:r w:rsidRPr="008608AA">
        <w:t xml:space="preserve">Quantifying how much learning and inspiration from nature contribute to human quality of life is not a trivial task. However, one way to assess how the Americas’ peoples value nature for its power to inspire is through institutions that establish rights to relational ecosystem values, as the case from the USA illustrated in Box 2.4.  </w:t>
      </w:r>
    </w:p>
    <w:p w14:paraId="3044A2CB" w14:textId="022D5D1E" w:rsidR="00A00405" w:rsidRPr="008608AA" w:rsidRDefault="00780487" w:rsidP="00780487">
      <w:pPr>
        <w:pStyle w:val="Caption"/>
        <w:rPr>
          <w:b w:val="0"/>
          <w:sz w:val="20"/>
        </w:rPr>
      </w:pPr>
      <w:bookmarkStart w:id="662" w:name="_Toc516922439"/>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4</w:t>
      </w:r>
      <w:r w:rsidR="000E562E">
        <w:rPr>
          <w:noProof/>
        </w:rPr>
        <w:fldChar w:fldCharType="end"/>
      </w:r>
      <w:r w:rsidRPr="008608AA">
        <w:t xml:space="preserve">. </w:t>
      </w:r>
      <w:r w:rsidR="00A00405" w:rsidRPr="008608AA">
        <w:t>Institutions to establish rights to relational ecosystem values</w:t>
      </w:r>
      <w:r w:rsidR="00A00405" w:rsidRPr="008608AA">
        <w:rPr>
          <w:b w:val="0"/>
          <w:sz w:val="20"/>
        </w:rPr>
        <w:t>.</w:t>
      </w:r>
      <w:bookmarkEnd w:id="662"/>
    </w:p>
    <w:tbl>
      <w:tblPr>
        <w:tblW w:w="5000" w:type="pct"/>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487"/>
      </w:tblGrid>
      <w:tr w:rsidR="00A00405" w:rsidRPr="0010725E" w14:paraId="53D62357" w14:textId="77777777" w:rsidTr="00A00405">
        <w:trPr>
          <w:jc w:val="right"/>
        </w:trPr>
        <w:tc>
          <w:tcPr>
            <w:tcW w:w="5000" w:type="pct"/>
          </w:tcPr>
          <w:p w14:paraId="542613E5" w14:textId="77777777" w:rsidR="00A00405" w:rsidRPr="0010725E" w:rsidRDefault="00A00405" w:rsidP="00780487">
            <w:pPr>
              <w:spacing w:after="120"/>
              <w:rPr>
                <w:szCs w:val="22"/>
              </w:rPr>
            </w:pPr>
            <w:r w:rsidRPr="0010725E">
              <w:rPr>
                <w:szCs w:val="22"/>
              </w:rPr>
              <w:t>Just as institutions and governance systems exist to manage instrumental values of ecosystems – the benefits people receive from nature – so too do they exist to manage relational values. The USA provides two prominent examples of national laws established to protect the relational values required for human well-being, living in balance with nature, and spiritual fulfillment. The first is the National Park Service Act of 1916, which established a federal agency to manage areas of extraordinary natural and historical importance to people. Franklin Lane, Secretary of the Interior at the time of the establishment of the National Parks Service, described its lands as “set apart for the use, observation, health, and pleasure of the people.” Nearly 50 years later, the Wilderness Act was passed in 1964 to preserve and ensure continued, but limited access by people to areas “in such manner as will leave them unimpaired for future use and enjoyment as wilderness....” In signing the Wilderness Act, President Lyndon Johnson expressed the purpose of the law as maintaining human well-being through a relationship with nature, indicating that “... once man can no longer walk with beauty or wonder at nature, his spirit will wither and his sustenance be wasted.” Together the National Parks Service and the Wilderness Preservation System protect nearly 80 million hectares of wild lands and sites of historic or spiritual significance and can serve as a model for institutional approaches to ensuring the provision of relational services. The clear purpose of these laws is to preserve current and future access to relational ecosystem values, including protecting places of special significance to people and providing assurance that millions of hectares are available to maintain peoples’ basic connection with nature for learning, inspiration and other non-material NCP.</w:t>
            </w:r>
          </w:p>
        </w:tc>
      </w:tr>
    </w:tbl>
    <w:p w14:paraId="4705BE60" w14:textId="77777777" w:rsidR="00780487" w:rsidRPr="008608AA" w:rsidRDefault="00A00405" w:rsidP="00780487">
      <w:pPr>
        <w:spacing w:before="240" w:after="120"/>
      </w:pPr>
      <w:r w:rsidRPr="008608AA">
        <w:t xml:space="preserve">Another way to assess how people value nature is through the impact of losing it. In the Americas, most cities are growing at the expense of agricultural areas (HABITAT, 2012), leading to cultural transformations, such as the loss of knowledge and appreciation for native biodiversity that is also linked to rituals and other cultural uses. In fact, globally the capacity of ecosystems to provide cultural services have strongly decreased in the past century (MEA, 2005). For example, the direct degradation of the environment or the decoupling of the ways of living in a habitat also harm sense of place, language diversity and local ecological knowledge (Rozzi et al., 2006, 2012). This is linked to the fact that 61% of the native languages of Americas are either in trouble or dying (Table 2.1 , Simons &amp; Fennig, 2017). </w:t>
      </w:r>
    </w:p>
    <w:p w14:paraId="591690B4" w14:textId="42654D0E" w:rsidR="00A00405" w:rsidRPr="008608AA" w:rsidRDefault="00A00405" w:rsidP="00780487">
      <w:pPr>
        <w:spacing w:before="240" w:after="120"/>
      </w:pPr>
      <w:r w:rsidRPr="008608AA">
        <w:t xml:space="preserve"> </w:t>
      </w:r>
    </w:p>
    <w:p w14:paraId="51BA29E6" w14:textId="77777777" w:rsidR="00A00405" w:rsidRPr="008608AA" w:rsidRDefault="00A00405" w:rsidP="00780487">
      <w:pPr>
        <w:pStyle w:val="Heading3"/>
      </w:pPr>
      <w:bookmarkStart w:id="663" w:name="_Toc517393255"/>
      <w:bookmarkStart w:id="664" w:name="_Toc517718996"/>
      <w:bookmarkStart w:id="665" w:name="_Toc517796953"/>
      <w:r w:rsidRPr="008608AA">
        <w:t>Supporting identities</w:t>
      </w:r>
      <w:bookmarkEnd w:id="663"/>
      <w:bookmarkEnd w:id="664"/>
      <w:bookmarkEnd w:id="665"/>
    </w:p>
    <w:p w14:paraId="6DE63498" w14:textId="106E333C" w:rsidR="00A00405" w:rsidRPr="008608AA" w:rsidRDefault="00A00405" w:rsidP="00780487">
      <w:pPr>
        <w:spacing w:after="120"/>
      </w:pPr>
      <w:r w:rsidRPr="008608AA">
        <w:t>Nature supports human identities by providing materials and physical places that in turn are part of symbolic and social relationships that form cultural identities. For example, in the Bolivian Andes, the maintenance of well-organized ancestral indigenous agriculture and llama herding emphasizes the respectful use of the environment, conceived of as Mother Earth (or Pachamama) (Choque, 2017). Indeed, nature provides the basis for religious and spiritual experiences in many cultures. In Brazil, Fernandes-Pinto (2017) registered over 400 sacred natural sites representing a variety of ecosystems (</w:t>
      </w:r>
      <w:r w:rsidR="00847F60" w:rsidRPr="008608AA">
        <w:t>e.g.</w:t>
      </w:r>
      <w:r w:rsidRPr="008608AA">
        <w:t xml:space="preserve"> streams, forest, coastal habitats) associated with a diversity of cultures and religions. The author also observed the religious use of public lands in over 100</w:t>
      </w:r>
      <w:r w:rsidR="00BB0272" w:rsidRPr="008608AA">
        <w:t xml:space="preserve"> Brazilian protected areas.</w:t>
      </w:r>
      <w:r w:rsidRPr="008608AA">
        <w:t xml:space="preserve"> Ecuador has recognized the important link of biodiversity and local culture by declaring “Intangible Areas” (like the Tagaeri Taromenane of Yasuní Biosphere Reserve), which are large extensions of biodiverse territory where indigenous pe</w:t>
      </w:r>
      <w:r w:rsidR="00B21B4F" w:rsidRPr="008608AA">
        <w:t>oples want to be isolated from w</w:t>
      </w:r>
      <w:r w:rsidRPr="008608AA">
        <w:t>estern culture. This is one of the best examples of zoning protected areas that take into consideration the relationships between nature and society, with legally functioning frameworks (</w:t>
      </w:r>
      <w:hyperlink r:id="rId74">
        <w:r w:rsidRPr="008608AA">
          <w:rPr>
            <w:color w:val="0000FF"/>
            <w:u w:val="single"/>
          </w:rPr>
          <w:t>http://wrm.org.uy/es/articulos-del-boletin-wrm/seccion1/ecuador-la-zona-intangible-tagaeri-taromenane-del-yasuni/</w:t>
        </w:r>
      </w:hyperlink>
      <w:r w:rsidRPr="008608AA">
        <w:t xml:space="preserve">).  </w:t>
      </w:r>
    </w:p>
    <w:p w14:paraId="337C9578" w14:textId="630883E3" w:rsidR="00A00405" w:rsidRPr="008608AA" w:rsidRDefault="00A00405" w:rsidP="00780487">
      <w:pPr>
        <w:spacing w:after="120"/>
      </w:pPr>
      <w:r w:rsidRPr="008608AA">
        <w:t>Material NCP, like food, also contribute to the cultural identity of indigenous people and local communities. For example, apart from food, North American indigenous peoples value wildlife as an integral part of their way of life and many follow complex rituals, which guide their relationship with their subsistence species, including identity in clan names, oral histories (Erdoes &amp; Ortiz, 1985), ceremonial preparation for hunting and cooking, transformation and spiritual communication (</w:t>
      </w:r>
      <w:hyperlink r:id="rId75" w:history="1">
        <w:r w:rsidR="00BB0272" w:rsidRPr="008608AA">
          <w:rPr>
            <w:rStyle w:val="Hyperlink"/>
          </w:rPr>
          <w:t>http://www.traditionalanimalfoods.org</w:t>
        </w:r>
      </w:hyperlink>
      <w:r w:rsidRPr="008608AA">
        <w:t>)  (Kuhnlein &amp; Humphrie</w:t>
      </w:r>
      <w:r w:rsidR="00BB0272" w:rsidRPr="008608AA">
        <w:t xml:space="preserve">s, 2017). </w:t>
      </w:r>
      <w:r w:rsidRPr="008608AA">
        <w:t xml:space="preserve">In biomes like the Canadian tundra (Kuhnlein &amp; Chan, 2000; Usher, 2002), local economies are made up of a mix of cash and subsistence, depending strongly not only on the availability of local resources, but also on cultural knowledge, traditionally transmitted from generation to generation, regarding the ways of preparation, storage, and distribution of food and resources. Therefore, Inuit identity is supported by their environment and the traditional cultural practices conducted in it, especially hunting, and in this sense, the consumption of wild animal meat is vital not only for Inuit health, but also their identity. Within the Inuit knowledge and value system, hunted animals, such as seals or polar bears, and humans are linked together in a spiritual relationship that both depend upon (Borré, 1991; Dowsley, 2010; Fialkowski, 2012). Among the Quileute this physical-spiritual connection is acknowledged by throwing the bones and head of the first salmon caught back into the river to ensure good will of the salmon spirits. This was also meant to symbolize taking only what was needed, but served as a reminder to strive for balance (Fialkowski, 2012). </w:t>
      </w:r>
    </w:p>
    <w:p w14:paraId="4D7EE5F3" w14:textId="46D1D190" w:rsidR="00A00405" w:rsidRPr="008608AA" w:rsidRDefault="00A00405" w:rsidP="00780487">
      <w:pPr>
        <w:spacing w:after="120"/>
      </w:pPr>
      <w:r w:rsidRPr="008608AA">
        <w:t>While attempts at monetization of ecosystem services may lead to some insights on the values of nature, broader considerations related to spirituality, cultural identity or social cohesion are not easily characterized in this value system, making them too often underrepresented in decision making and in scientific assessments at subregional and regional levels. Recent approaches to integrate social and ecological factors, which can help to identify the instrumental, intrinsic and relational values of nature, could improve attention to cultural and identity in the long-term (Chan et al., 2012). Notwithstanding the lack of systematic data on status and trends, it is well established that nature substantively supports such economic activities as hunting and fishing. In turn, hunting is inextricably related to leadership building, territorial control, and cultural stories (Townsend &amp; Macuritofe-Ramírez, 1995; Erdoes &amp; Ortiz, 1985; Urbani, 2005; Urbani &amp; Cormier, 2015; Cormier &amp; Urbani, 2008), art (Salinas, 2010) and rituals (Baleé, 1985) of indigenous peoples and local communities throughout the Americas. Fishing too is valued for its contributions to food and livelihood securities, and like hunting and fishing practices also connote cultural values that have to do with a “way of life,” cultural continuity, knowledge systems and connections to place (</w:t>
      </w:r>
      <w:r w:rsidR="00847F60" w:rsidRPr="008608AA">
        <w:t>e.g.</w:t>
      </w:r>
      <w:r w:rsidRPr="008608AA">
        <w:t xml:space="preserve"> Trimble &amp; Johnson, 2013).  </w:t>
      </w:r>
    </w:p>
    <w:p w14:paraId="18486E73" w14:textId="0503CC8F" w:rsidR="00A00405" w:rsidRPr="008608AA" w:rsidRDefault="00A00405" w:rsidP="00780487">
      <w:pPr>
        <w:spacing w:after="120"/>
      </w:pPr>
      <w:r w:rsidRPr="008608AA">
        <w:t>There is strong evidence that both species and cultural diversity are decreasing in the Americas (see Chapter 3 and section 2.1) and changes in development models that act as drivers (see Chapter 4) also lead to an erosion of nature’s support for identities and this trend is increasing. Drivers of such change include internal migration (</w:t>
      </w:r>
      <w:r w:rsidR="00847F60" w:rsidRPr="008608AA">
        <w:t>e.g.</w:t>
      </w:r>
      <w:r w:rsidRPr="008608AA">
        <w:t xml:space="preserve"> rural to urban), cultural assimilation, restricted access to nature (</w:t>
      </w:r>
      <w:r w:rsidR="00B20C8E" w:rsidRPr="008608AA">
        <w:t>section</w:t>
      </w:r>
      <w:r w:rsidRPr="008608AA">
        <w:t xml:space="preserve"> 2.5), limiting the practices and relationships with nature, which are the constituents of cultures and identities. For instance, tropical dry forests are valued in additional ways aside from a utilitarian approach based on economic market values of goods and services provided (Birch et al., 2010; Castillo et al., 2005; Maass et al., 2005). Socio-cultural values in these forests are particularly important for many traditional and indigenous populations whose identities, worldviews, cosmologies and traditions are closely linked with particular characteristics and conditions of these ecosystems (Balvanera et al., 2011). In turn, identity and culture of a place can feed back into well-being via other mechanisms, like tourism, as many people visit such places for aesthetic enjoyment and spiritual fulfillment. These services are also less emanble to pecuniary valuation methods than provisioning services or material NCP, yet in many instances represent a key factor for good social relations.</w:t>
      </w:r>
    </w:p>
    <w:p w14:paraId="2DC1FD15" w14:textId="266B106B" w:rsidR="00A00405" w:rsidRPr="008608AA" w:rsidRDefault="00A00405" w:rsidP="00780487">
      <w:pPr>
        <w:spacing w:after="120"/>
      </w:pPr>
      <w:r w:rsidRPr="008608AA">
        <w:t>Erosion of nature’s support for identity has a direct effect on well-being. For instance, in Canada, loss of cultural identity has impacted the mental health of the First Nations, Inuit, and Métis, leading to high rates of depression, alcoholism, suicide, and violence in many communities, with the greatest impact on youth (Kirmayer et al., 2000). Many First Nations youth are unable to take on their traditional cultures because so many practices have been restricted by losing access to traditional lands. For example, many tribes in the USA plains states that revere the buffalo (</w:t>
      </w:r>
      <w:r w:rsidRPr="008608AA">
        <w:rPr>
          <w:i/>
        </w:rPr>
        <w:t>Bison bison</w:t>
      </w:r>
      <w:r w:rsidRPr="008608AA">
        <w:t xml:space="preserve">) for its power and the good fortune the buffalo spirit brought to the tribe, no longer have access to the animal. The eroded cultural identity associated with losing access to traditional lands has meant that many indigenous people now suffer from chronic socio-economic problems (Carpenter &amp; Halbritter, 2001). Unfortunately this trend is also observed among other American indigenous peoples. For instance, the suicide rate among Guaraní Kaiowá and Nandeva youth in Brazil is higher than the national average, and the rate appears to be increasing among young males (Coloma et al., 2006). </w:t>
      </w:r>
    </w:p>
    <w:p w14:paraId="4349E64E" w14:textId="77777777" w:rsidR="00780487" w:rsidRPr="008608AA" w:rsidRDefault="00780487" w:rsidP="00780487">
      <w:pPr>
        <w:spacing w:after="120"/>
      </w:pPr>
    </w:p>
    <w:p w14:paraId="0616D72A" w14:textId="77777777" w:rsidR="00A00405" w:rsidRPr="008608AA" w:rsidRDefault="00A00405" w:rsidP="00780487">
      <w:pPr>
        <w:pStyle w:val="Heading3"/>
      </w:pPr>
      <w:bookmarkStart w:id="666" w:name="_Toc517393256"/>
      <w:bookmarkStart w:id="667" w:name="_Toc517718997"/>
      <w:bookmarkStart w:id="668" w:name="_Toc517796954"/>
      <w:r w:rsidRPr="008608AA">
        <w:t>Physical and psychological experiences</w:t>
      </w:r>
      <w:bookmarkEnd w:id="666"/>
      <w:bookmarkEnd w:id="667"/>
      <w:bookmarkEnd w:id="668"/>
      <w:r w:rsidRPr="008608AA">
        <w:t xml:space="preserve"> </w:t>
      </w:r>
    </w:p>
    <w:p w14:paraId="48A71BFF" w14:textId="0CD80BC0" w:rsidR="00870677" w:rsidRPr="008608AA" w:rsidRDefault="00A00405" w:rsidP="00780487">
      <w:pPr>
        <w:spacing w:after="120"/>
      </w:pPr>
      <w:r w:rsidRPr="008608AA">
        <w:t xml:space="preserve">Literature reviews on how knowing and experiencing nature influences human well-being have clearly shown its benefits on mental and physical health. Russell </w:t>
      </w:r>
      <w:r w:rsidR="00BB0272" w:rsidRPr="008608AA">
        <w:t>et al. (2013) conclude that “t</w:t>
      </w:r>
      <w:r w:rsidRPr="008608AA">
        <w:t>he balance of evidence indicates conclusively that knowing and experiencing nature makes us generally happier, healthier people.” Conversely, experiencing the loss of an ecosystem service, led respondents to report that their emotional, psychological, or spiritual well-being is harmed; highlighting the importance that nature has on their quality of life (Federal Provincial and Territorial Governments of Canada, 2012). Relative to other non-material NCP, there is a large amount of literature linking nature with well-being through increased health benefits. This is particularly important in urban environments, where increasingly larger proportions of people live (Table 2.9), and where stressors like increased noise, over stimulation, and health problems derived from sedentary lifestyles are frequent. For example, a recent and exhaustive review on the benefits of interacting with nature presents a wide range of studies demonstrating benefits to physical health, cognitive performance and psychological well-being with fewer, studies reporting on social cohesion and spiritual benefits (Keniger et al., 2013). These same authors showed that studies on the benefits people receive from interacting with nature have a regional bias towards Western developed nations with 79% of the 59 studies assessed reporting results from North America and Europe and none for South America and Africa. The authors conclude that, although a broad range of benefits that accrue from interacting with nature have been described, most of the evidence is descriptive. Therefore, less is known about the mechanisms by which benefits are delivered, the characteristics of natural settings and how these characteristics may affect the resulting benefits in different geographical locations, cultures and socio-economic groups. This complexity is important to understand, though, to improve urban and regional planning that enhances well-being through nature interaction. This is particularly vital as most subregions in the Americas are strongly urbanized and this trend is increasing (see also Chapter 1) so that the large majority of the population has limited access to natural or wild landscapes and seascapes. Although information is limited, the valuation of natural areas has been more studied in Northern Hemisphere cities (see Niemela et al.,</w:t>
      </w:r>
      <w:r w:rsidR="00D03B0D" w:rsidRPr="008608AA">
        <w:t xml:space="preserve"> 2010</w:t>
      </w:r>
      <w:r w:rsidRPr="008608AA">
        <w:t>), where nature changes dramatically year round in contrast to countries located in tropical regions. Low valuation of nature and/or the loss of human-nature interactions can have serious consequences on people, not only in the decrease of benefits derived, but also the disconnection from nature that results (Soga &amp; Gaston, 2016). This can decrease favorable attitudes and behavior, decreasing motivation to protect it (Lopez-Mosquera &amp; Sanchez, 2012; Dallimer et al., 2014).</w:t>
      </w:r>
    </w:p>
    <w:p w14:paraId="606E0A6D" w14:textId="7EB74619" w:rsidR="00A00405"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9</w:t>
      </w:r>
      <w:r w:rsidR="000E562E">
        <w:rPr>
          <w:noProof/>
        </w:rPr>
        <w:fldChar w:fldCharType="end"/>
      </w:r>
      <w:r w:rsidRPr="008608AA">
        <w:t xml:space="preserve">. </w:t>
      </w:r>
      <w:r w:rsidR="00780487" w:rsidRPr="008608AA">
        <w:t>Proportion and annual rate change in urban population in the Americas by subregion.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73"/>
        <w:gridCol w:w="1609"/>
        <w:gridCol w:w="1222"/>
        <w:gridCol w:w="1319"/>
        <w:gridCol w:w="2964"/>
      </w:tblGrid>
      <w:tr w:rsidR="00A00405" w:rsidRPr="0010725E" w14:paraId="1135DC1F" w14:textId="77777777" w:rsidTr="00780487">
        <w:trPr>
          <w:trHeight w:val="320"/>
        </w:trPr>
        <w:tc>
          <w:tcPr>
            <w:tcW w:w="1251" w:type="pct"/>
            <w:shd w:val="clear" w:color="auto" w:fill="BFBFBF" w:themeFill="background1" w:themeFillShade="BF"/>
            <w:vAlign w:val="center"/>
          </w:tcPr>
          <w:p w14:paraId="24693E2A" w14:textId="77777777" w:rsidR="00A00405" w:rsidRPr="0010725E" w:rsidRDefault="00A00405" w:rsidP="00780487">
            <w:pPr>
              <w:jc w:val="center"/>
              <w:rPr>
                <w:b/>
                <w:szCs w:val="22"/>
              </w:rPr>
            </w:pPr>
            <w:r w:rsidRPr="0010725E">
              <w:rPr>
                <w:b/>
                <w:szCs w:val="22"/>
              </w:rPr>
              <w:t>Subregions</w:t>
            </w:r>
          </w:p>
        </w:tc>
        <w:tc>
          <w:tcPr>
            <w:tcW w:w="2187" w:type="pct"/>
            <w:gridSpan w:val="3"/>
            <w:shd w:val="clear" w:color="auto" w:fill="BFBFBF" w:themeFill="background1" w:themeFillShade="BF"/>
            <w:vAlign w:val="center"/>
          </w:tcPr>
          <w:p w14:paraId="74829C55" w14:textId="77777777" w:rsidR="00A00405" w:rsidRPr="0010725E" w:rsidRDefault="00A00405" w:rsidP="00780487">
            <w:pPr>
              <w:jc w:val="center"/>
              <w:rPr>
                <w:b/>
                <w:szCs w:val="22"/>
              </w:rPr>
            </w:pPr>
            <w:r w:rsidRPr="0010725E">
              <w:rPr>
                <w:b/>
                <w:szCs w:val="22"/>
              </w:rPr>
              <w:t>% of urban population</w:t>
            </w:r>
          </w:p>
        </w:tc>
        <w:tc>
          <w:tcPr>
            <w:tcW w:w="1562" w:type="pct"/>
            <w:shd w:val="clear" w:color="auto" w:fill="BFBFBF" w:themeFill="background1" w:themeFillShade="BF"/>
            <w:vAlign w:val="center"/>
          </w:tcPr>
          <w:p w14:paraId="51B4693B" w14:textId="10037F9F" w:rsidR="00A00405" w:rsidRPr="0010725E" w:rsidRDefault="00A00405" w:rsidP="00780487">
            <w:pPr>
              <w:jc w:val="center"/>
              <w:rPr>
                <w:b/>
                <w:szCs w:val="22"/>
              </w:rPr>
            </w:pPr>
            <w:r w:rsidRPr="0010725E">
              <w:rPr>
                <w:b/>
                <w:szCs w:val="22"/>
              </w:rPr>
              <w:t>% annual rate change in urban population</w:t>
            </w:r>
          </w:p>
        </w:tc>
      </w:tr>
      <w:tr w:rsidR="00A00405" w:rsidRPr="0010725E" w14:paraId="0F6B34EA" w14:textId="77777777" w:rsidTr="00780487">
        <w:trPr>
          <w:trHeight w:val="320"/>
        </w:trPr>
        <w:tc>
          <w:tcPr>
            <w:tcW w:w="1251" w:type="pct"/>
            <w:shd w:val="clear" w:color="auto" w:fill="BFBFBF" w:themeFill="background1" w:themeFillShade="BF"/>
            <w:vAlign w:val="center"/>
          </w:tcPr>
          <w:p w14:paraId="5A4A4303" w14:textId="77777777" w:rsidR="00A00405" w:rsidRPr="0010725E" w:rsidRDefault="00A00405" w:rsidP="00780487">
            <w:pPr>
              <w:jc w:val="center"/>
              <w:rPr>
                <w:b/>
                <w:szCs w:val="22"/>
              </w:rPr>
            </w:pPr>
          </w:p>
        </w:tc>
        <w:tc>
          <w:tcPr>
            <w:tcW w:w="848" w:type="pct"/>
            <w:shd w:val="clear" w:color="auto" w:fill="BFBFBF" w:themeFill="background1" w:themeFillShade="BF"/>
            <w:vAlign w:val="center"/>
          </w:tcPr>
          <w:p w14:paraId="6DF9BB4E" w14:textId="77777777" w:rsidR="00A00405" w:rsidRPr="0010725E" w:rsidRDefault="00A00405" w:rsidP="00780487">
            <w:pPr>
              <w:jc w:val="center"/>
              <w:rPr>
                <w:b/>
                <w:szCs w:val="22"/>
              </w:rPr>
            </w:pPr>
            <w:r w:rsidRPr="0010725E">
              <w:rPr>
                <w:b/>
                <w:szCs w:val="22"/>
              </w:rPr>
              <w:t>1990</w:t>
            </w:r>
          </w:p>
        </w:tc>
        <w:tc>
          <w:tcPr>
            <w:tcW w:w="644" w:type="pct"/>
            <w:shd w:val="clear" w:color="auto" w:fill="BFBFBF" w:themeFill="background1" w:themeFillShade="BF"/>
            <w:vAlign w:val="center"/>
          </w:tcPr>
          <w:p w14:paraId="20938AC9" w14:textId="77777777" w:rsidR="00A00405" w:rsidRPr="0010725E" w:rsidRDefault="00A00405" w:rsidP="00780487">
            <w:pPr>
              <w:jc w:val="center"/>
              <w:rPr>
                <w:b/>
                <w:szCs w:val="22"/>
              </w:rPr>
            </w:pPr>
            <w:r w:rsidRPr="0010725E">
              <w:rPr>
                <w:b/>
                <w:szCs w:val="22"/>
              </w:rPr>
              <w:t>2014</w:t>
            </w:r>
          </w:p>
        </w:tc>
        <w:tc>
          <w:tcPr>
            <w:tcW w:w="695" w:type="pct"/>
            <w:shd w:val="clear" w:color="auto" w:fill="BFBFBF" w:themeFill="background1" w:themeFillShade="BF"/>
            <w:vAlign w:val="center"/>
          </w:tcPr>
          <w:p w14:paraId="574006C7" w14:textId="77777777" w:rsidR="00A00405" w:rsidRPr="0010725E" w:rsidRDefault="00A00405" w:rsidP="00780487">
            <w:pPr>
              <w:jc w:val="center"/>
              <w:rPr>
                <w:b/>
                <w:szCs w:val="22"/>
              </w:rPr>
            </w:pPr>
            <w:r w:rsidRPr="0010725E">
              <w:rPr>
                <w:b/>
                <w:szCs w:val="22"/>
              </w:rPr>
              <w:t>2050</w:t>
            </w:r>
          </w:p>
        </w:tc>
        <w:tc>
          <w:tcPr>
            <w:tcW w:w="1562" w:type="pct"/>
            <w:shd w:val="clear" w:color="auto" w:fill="BFBFBF" w:themeFill="background1" w:themeFillShade="BF"/>
            <w:vAlign w:val="center"/>
          </w:tcPr>
          <w:p w14:paraId="4E50DE41" w14:textId="77777777" w:rsidR="00A00405" w:rsidRPr="0010725E" w:rsidRDefault="00A00405" w:rsidP="00780487">
            <w:pPr>
              <w:jc w:val="center"/>
              <w:rPr>
                <w:b/>
                <w:szCs w:val="22"/>
              </w:rPr>
            </w:pPr>
            <w:r w:rsidRPr="0010725E">
              <w:rPr>
                <w:b/>
                <w:szCs w:val="22"/>
              </w:rPr>
              <w:t>(2010-2015)</w:t>
            </w:r>
          </w:p>
        </w:tc>
      </w:tr>
      <w:tr w:rsidR="00A00405" w:rsidRPr="0010725E" w14:paraId="5D40B6F7" w14:textId="77777777" w:rsidTr="00A00405">
        <w:trPr>
          <w:trHeight w:val="320"/>
        </w:trPr>
        <w:tc>
          <w:tcPr>
            <w:tcW w:w="1251" w:type="pct"/>
            <w:shd w:val="clear" w:color="auto" w:fill="auto"/>
            <w:vAlign w:val="bottom"/>
          </w:tcPr>
          <w:p w14:paraId="1ED9AB8F" w14:textId="77777777" w:rsidR="00A00405" w:rsidRPr="0010725E" w:rsidRDefault="00A00405" w:rsidP="00A00405">
            <w:pPr>
              <w:rPr>
                <w:szCs w:val="22"/>
              </w:rPr>
            </w:pPr>
            <w:r w:rsidRPr="0010725E">
              <w:rPr>
                <w:szCs w:val="22"/>
              </w:rPr>
              <w:t>North America</w:t>
            </w:r>
          </w:p>
        </w:tc>
        <w:tc>
          <w:tcPr>
            <w:tcW w:w="848" w:type="pct"/>
            <w:shd w:val="clear" w:color="auto" w:fill="auto"/>
            <w:vAlign w:val="bottom"/>
          </w:tcPr>
          <w:p w14:paraId="1F97496B" w14:textId="77777777" w:rsidR="00A00405" w:rsidRPr="0010725E" w:rsidRDefault="00A00405" w:rsidP="00A00405">
            <w:pPr>
              <w:jc w:val="center"/>
              <w:rPr>
                <w:szCs w:val="22"/>
              </w:rPr>
            </w:pPr>
            <w:r w:rsidRPr="0010725E">
              <w:rPr>
                <w:szCs w:val="22"/>
              </w:rPr>
              <w:t>75</w:t>
            </w:r>
          </w:p>
        </w:tc>
        <w:tc>
          <w:tcPr>
            <w:tcW w:w="644" w:type="pct"/>
            <w:shd w:val="clear" w:color="auto" w:fill="auto"/>
            <w:vAlign w:val="bottom"/>
          </w:tcPr>
          <w:p w14:paraId="09E857C1" w14:textId="77777777" w:rsidR="00A00405" w:rsidRPr="0010725E" w:rsidRDefault="00A00405" w:rsidP="00A00405">
            <w:pPr>
              <w:jc w:val="center"/>
              <w:rPr>
                <w:szCs w:val="22"/>
              </w:rPr>
            </w:pPr>
            <w:r w:rsidRPr="0010725E">
              <w:rPr>
                <w:szCs w:val="22"/>
              </w:rPr>
              <w:t>81</w:t>
            </w:r>
          </w:p>
        </w:tc>
        <w:tc>
          <w:tcPr>
            <w:tcW w:w="695" w:type="pct"/>
            <w:shd w:val="clear" w:color="auto" w:fill="auto"/>
            <w:vAlign w:val="bottom"/>
          </w:tcPr>
          <w:p w14:paraId="317B3E56" w14:textId="77777777" w:rsidR="00A00405" w:rsidRPr="0010725E" w:rsidRDefault="00A00405" w:rsidP="00A00405">
            <w:pPr>
              <w:jc w:val="center"/>
              <w:rPr>
                <w:szCs w:val="22"/>
              </w:rPr>
            </w:pPr>
            <w:r w:rsidRPr="0010725E">
              <w:rPr>
                <w:szCs w:val="22"/>
              </w:rPr>
              <w:t>87</w:t>
            </w:r>
          </w:p>
        </w:tc>
        <w:tc>
          <w:tcPr>
            <w:tcW w:w="1562" w:type="pct"/>
          </w:tcPr>
          <w:p w14:paraId="60133E0F" w14:textId="77777777" w:rsidR="00A00405" w:rsidRPr="0010725E" w:rsidRDefault="00A00405" w:rsidP="00A00405">
            <w:pPr>
              <w:jc w:val="center"/>
              <w:rPr>
                <w:szCs w:val="22"/>
              </w:rPr>
            </w:pPr>
            <w:r w:rsidRPr="0010725E">
              <w:rPr>
                <w:szCs w:val="22"/>
              </w:rPr>
              <w:t>0.2</w:t>
            </w:r>
          </w:p>
        </w:tc>
      </w:tr>
      <w:tr w:rsidR="00A00405" w:rsidRPr="0010725E" w14:paraId="6FA0C739" w14:textId="77777777" w:rsidTr="00A00405">
        <w:trPr>
          <w:trHeight w:val="320"/>
        </w:trPr>
        <w:tc>
          <w:tcPr>
            <w:tcW w:w="1251" w:type="pct"/>
            <w:shd w:val="clear" w:color="auto" w:fill="auto"/>
            <w:vAlign w:val="bottom"/>
          </w:tcPr>
          <w:p w14:paraId="16B802B1" w14:textId="77777777" w:rsidR="00A00405" w:rsidRPr="0010725E" w:rsidRDefault="00A00405" w:rsidP="00A00405">
            <w:pPr>
              <w:rPr>
                <w:szCs w:val="22"/>
              </w:rPr>
            </w:pPr>
            <w:r w:rsidRPr="0010725E">
              <w:rPr>
                <w:szCs w:val="22"/>
              </w:rPr>
              <w:t>Mesoamerica</w:t>
            </w:r>
          </w:p>
        </w:tc>
        <w:tc>
          <w:tcPr>
            <w:tcW w:w="848" w:type="pct"/>
            <w:shd w:val="clear" w:color="auto" w:fill="auto"/>
            <w:vAlign w:val="bottom"/>
          </w:tcPr>
          <w:p w14:paraId="2C4BF56D" w14:textId="77777777" w:rsidR="00A00405" w:rsidRPr="0010725E" w:rsidRDefault="00A00405" w:rsidP="00A00405">
            <w:pPr>
              <w:jc w:val="center"/>
              <w:rPr>
                <w:szCs w:val="22"/>
              </w:rPr>
            </w:pPr>
            <w:r w:rsidRPr="0010725E">
              <w:rPr>
                <w:szCs w:val="22"/>
              </w:rPr>
              <w:t>65</w:t>
            </w:r>
          </w:p>
        </w:tc>
        <w:tc>
          <w:tcPr>
            <w:tcW w:w="644" w:type="pct"/>
            <w:shd w:val="clear" w:color="auto" w:fill="auto"/>
            <w:vAlign w:val="bottom"/>
          </w:tcPr>
          <w:p w14:paraId="7913281E" w14:textId="77777777" w:rsidR="00A00405" w:rsidRPr="0010725E" w:rsidRDefault="00A00405" w:rsidP="00A00405">
            <w:pPr>
              <w:jc w:val="center"/>
              <w:rPr>
                <w:szCs w:val="22"/>
              </w:rPr>
            </w:pPr>
            <w:r w:rsidRPr="0010725E">
              <w:rPr>
                <w:szCs w:val="22"/>
              </w:rPr>
              <w:t>73</w:t>
            </w:r>
          </w:p>
        </w:tc>
        <w:tc>
          <w:tcPr>
            <w:tcW w:w="695" w:type="pct"/>
            <w:shd w:val="clear" w:color="auto" w:fill="auto"/>
            <w:vAlign w:val="bottom"/>
          </w:tcPr>
          <w:p w14:paraId="6EF6F8B6" w14:textId="77777777" w:rsidR="00A00405" w:rsidRPr="0010725E" w:rsidRDefault="00A00405" w:rsidP="00A00405">
            <w:pPr>
              <w:jc w:val="center"/>
              <w:rPr>
                <w:szCs w:val="22"/>
              </w:rPr>
            </w:pPr>
            <w:r w:rsidRPr="0010725E">
              <w:rPr>
                <w:szCs w:val="22"/>
              </w:rPr>
              <w:t>82</w:t>
            </w:r>
          </w:p>
        </w:tc>
        <w:tc>
          <w:tcPr>
            <w:tcW w:w="1562" w:type="pct"/>
          </w:tcPr>
          <w:p w14:paraId="13B05B07" w14:textId="77777777" w:rsidR="00A00405" w:rsidRPr="0010725E" w:rsidRDefault="00A00405" w:rsidP="00A00405">
            <w:pPr>
              <w:jc w:val="center"/>
              <w:rPr>
                <w:szCs w:val="22"/>
              </w:rPr>
            </w:pPr>
            <w:r w:rsidRPr="0010725E">
              <w:rPr>
                <w:szCs w:val="22"/>
              </w:rPr>
              <w:t>0.4</w:t>
            </w:r>
          </w:p>
        </w:tc>
      </w:tr>
      <w:tr w:rsidR="00A00405" w:rsidRPr="0010725E" w14:paraId="2DB4C257" w14:textId="77777777" w:rsidTr="00A00405">
        <w:trPr>
          <w:trHeight w:val="320"/>
        </w:trPr>
        <w:tc>
          <w:tcPr>
            <w:tcW w:w="1251" w:type="pct"/>
            <w:shd w:val="clear" w:color="auto" w:fill="auto"/>
            <w:vAlign w:val="bottom"/>
          </w:tcPr>
          <w:p w14:paraId="0607D1F1" w14:textId="77777777" w:rsidR="00A00405" w:rsidRPr="0010725E" w:rsidRDefault="00A00405" w:rsidP="00A00405">
            <w:pPr>
              <w:rPr>
                <w:szCs w:val="22"/>
              </w:rPr>
            </w:pPr>
            <w:r w:rsidRPr="0010725E">
              <w:rPr>
                <w:szCs w:val="22"/>
              </w:rPr>
              <w:t>Caribbean</w:t>
            </w:r>
          </w:p>
        </w:tc>
        <w:tc>
          <w:tcPr>
            <w:tcW w:w="848" w:type="pct"/>
            <w:shd w:val="clear" w:color="auto" w:fill="auto"/>
            <w:vAlign w:val="bottom"/>
          </w:tcPr>
          <w:p w14:paraId="750DC451" w14:textId="77777777" w:rsidR="00A00405" w:rsidRPr="0010725E" w:rsidRDefault="00A00405" w:rsidP="00A00405">
            <w:pPr>
              <w:jc w:val="center"/>
              <w:rPr>
                <w:szCs w:val="22"/>
              </w:rPr>
            </w:pPr>
            <w:r w:rsidRPr="0010725E">
              <w:rPr>
                <w:szCs w:val="22"/>
              </w:rPr>
              <w:t>58</w:t>
            </w:r>
          </w:p>
        </w:tc>
        <w:tc>
          <w:tcPr>
            <w:tcW w:w="644" w:type="pct"/>
            <w:shd w:val="clear" w:color="auto" w:fill="auto"/>
            <w:vAlign w:val="bottom"/>
          </w:tcPr>
          <w:p w14:paraId="2C31595A" w14:textId="77777777" w:rsidR="00A00405" w:rsidRPr="0010725E" w:rsidRDefault="00A00405" w:rsidP="00A00405">
            <w:pPr>
              <w:jc w:val="center"/>
              <w:rPr>
                <w:szCs w:val="22"/>
              </w:rPr>
            </w:pPr>
            <w:r w:rsidRPr="0010725E">
              <w:rPr>
                <w:szCs w:val="22"/>
              </w:rPr>
              <w:t>70</w:t>
            </w:r>
          </w:p>
        </w:tc>
        <w:tc>
          <w:tcPr>
            <w:tcW w:w="695" w:type="pct"/>
            <w:shd w:val="clear" w:color="auto" w:fill="auto"/>
            <w:vAlign w:val="bottom"/>
          </w:tcPr>
          <w:p w14:paraId="7C3DAA55" w14:textId="77777777" w:rsidR="00A00405" w:rsidRPr="0010725E" w:rsidRDefault="00A00405" w:rsidP="00A00405">
            <w:pPr>
              <w:jc w:val="center"/>
              <w:rPr>
                <w:szCs w:val="22"/>
              </w:rPr>
            </w:pPr>
            <w:r w:rsidRPr="0010725E">
              <w:rPr>
                <w:szCs w:val="22"/>
              </w:rPr>
              <w:t>81</w:t>
            </w:r>
          </w:p>
        </w:tc>
        <w:tc>
          <w:tcPr>
            <w:tcW w:w="1562" w:type="pct"/>
          </w:tcPr>
          <w:p w14:paraId="64BC7A82" w14:textId="77777777" w:rsidR="00A00405" w:rsidRPr="0010725E" w:rsidRDefault="00A00405" w:rsidP="00A00405">
            <w:pPr>
              <w:jc w:val="center"/>
              <w:rPr>
                <w:szCs w:val="22"/>
              </w:rPr>
            </w:pPr>
            <w:r w:rsidRPr="0010725E">
              <w:rPr>
                <w:szCs w:val="22"/>
              </w:rPr>
              <w:t>0.8</w:t>
            </w:r>
          </w:p>
        </w:tc>
      </w:tr>
      <w:tr w:rsidR="00A00405" w:rsidRPr="0010725E" w14:paraId="438B6121" w14:textId="77777777" w:rsidTr="00A00405">
        <w:trPr>
          <w:trHeight w:val="320"/>
        </w:trPr>
        <w:tc>
          <w:tcPr>
            <w:tcW w:w="1251" w:type="pct"/>
            <w:shd w:val="clear" w:color="auto" w:fill="auto"/>
            <w:vAlign w:val="bottom"/>
          </w:tcPr>
          <w:p w14:paraId="0A9059C7" w14:textId="77777777" w:rsidR="00A00405" w:rsidRPr="0010725E" w:rsidRDefault="00A00405" w:rsidP="00A00405">
            <w:pPr>
              <w:rPr>
                <w:szCs w:val="22"/>
              </w:rPr>
            </w:pPr>
            <w:r w:rsidRPr="0010725E">
              <w:rPr>
                <w:szCs w:val="22"/>
              </w:rPr>
              <w:t>South America</w:t>
            </w:r>
          </w:p>
        </w:tc>
        <w:tc>
          <w:tcPr>
            <w:tcW w:w="848" w:type="pct"/>
            <w:shd w:val="clear" w:color="auto" w:fill="auto"/>
            <w:vAlign w:val="bottom"/>
          </w:tcPr>
          <w:p w14:paraId="5ED0D66C" w14:textId="77777777" w:rsidR="00A00405" w:rsidRPr="0010725E" w:rsidRDefault="00A00405" w:rsidP="00A00405">
            <w:pPr>
              <w:jc w:val="center"/>
              <w:rPr>
                <w:szCs w:val="22"/>
              </w:rPr>
            </w:pPr>
            <w:r w:rsidRPr="0010725E">
              <w:rPr>
                <w:szCs w:val="22"/>
              </w:rPr>
              <w:t>74</w:t>
            </w:r>
          </w:p>
        </w:tc>
        <w:tc>
          <w:tcPr>
            <w:tcW w:w="644" w:type="pct"/>
            <w:shd w:val="clear" w:color="auto" w:fill="auto"/>
            <w:vAlign w:val="bottom"/>
          </w:tcPr>
          <w:p w14:paraId="0CBED0BE" w14:textId="77777777" w:rsidR="00A00405" w:rsidRPr="0010725E" w:rsidRDefault="00A00405" w:rsidP="00A00405">
            <w:pPr>
              <w:jc w:val="center"/>
              <w:rPr>
                <w:szCs w:val="22"/>
              </w:rPr>
            </w:pPr>
            <w:r w:rsidRPr="0010725E">
              <w:rPr>
                <w:szCs w:val="22"/>
              </w:rPr>
              <w:t>83</w:t>
            </w:r>
          </w:p>
        </w:tc>
        <w:tc>
          <w:tcPr>
            <w:tcW w:w="695" w:type="pct"/>
            <w:shd w:val="clear" w:color="auto" w:fill="auto"/>
            <w:vAlign w:val="bottom"/>
          </w:tcPr>
          <w:p w14:paraId="0F5AC4E5" w14:textId="77777777" w:rsidR="00A00405" w:rsidRPr="0010725E" w:rsidRDefault="00A00405" w:rsidP="00A00405">
            <w:pPr>
              <w:jc w:val="center"/>
              <w:rPr>
                <w:szCs w:val="22"/>
              </w:rPr>
            </w:pPr>
            <w:r w:rsidRPr="0010725E">
              <w:rPr>
                <w:szCs w:val="22"/>
              </w:rPr>
              <w:t>89</w:t>
            </w:r>
          </w:p>
        </w:tc>
        <w:tc>
          <w:tcPr>
            <w:tcW w:w="1562" w:type="pct"/>
          </w:tcPr>
          <w:p w14:paraId="28403DB0" w14:textId="77777777" w:rsidR="00A00405" w:rsidRPr="0010725E" w:rsidRDefault="00A00405" w:rsidP="00A00405">
            <w:pPr>
              <w:jc w:val="center"/>
              <w:rPr>
                <w:szCs w:val="22"/>
              </w:rPr>
            </w:pPr>
            <w:r w:rsidRPr="0010725E">
              <w:rPr>
                <w:szCs w:val="22"/>
              </w:rPr>
              <w:t>0.3</w:t>
            </w:r>
          </w:p>
        </w:tc>
      </w:tr>
      <w:tr w:rsidR="00A00405" w:rsidRPr="0010725E" w14:paraId="619DEC86" w14:textId="77777777" w:rsidTr="00A00405">
        <w:trPr>
          <w:trHeight w:val="320"/>
        </w:trPr>
        <w:tc>
          <w:tcPr>
            <w:tcW w:w="5000" w:type="pct"/>
            <w:gridSpan w:val="5"/>
            <w:shd w:val="clear" w:color="auto" w:fill="auto"/>
            <w:vAlign w:val="bottom"/>
          </w:tcPr>
          <w:p w14:paraId="551A00CF" w14:textId="1A500EB2" w:rsidR="00A00405" w:rsidRPr="0010725E" w:rsidRDefault="00A00405" w:rsidP="00A00405">
            <w:pPr>
              <w:rPr>
                <w:sz w:val="20"/>
                <w:szCs w:val="20"/>
              </w:rPr>
            </w:pPr>
            <w:r w:rsidRPr="0010725E">
              <w:rPr>
                <w:sz w:val="20"/>
                <w:szCs w:val="20"/>
              </w:rPr>
              <w:t>Source: Uni</w:t>
            </w:r>
            <w:r w:rsidR="001F130A" w:rsidRPr="0010725E">
              <w:rPr>
                <w:sz w:val="20"/>
                <w:szCs w:val="20"/>
              </w:rPr>
              <w:t>ted Nations Population Division (</w:t>
            </w:r>
            <w:r w:rsidRPr="0010725E">
              <w:rPr>
                <w:sz w:val="20"/>
                <w:szCs w:val="20"/>
              </w:rPr>
              <w:t xml:space="preserve"> 2014</w:t>
            </w:r>
            <w:r w:rsidR="001F130A" w:rsidRPr="0010725E">
              <w:rPr>
                <w:sz w:val="20"/>
                <w:szCs w:val="20"/>
              </w:rPr>
              <w:t>)</w:t>
            </w:r>
            <w:r w:rsidRPr="0010725E">
              <w:rPr>
                <w:sz w:val="20"/>
                <w:szCs w:val="20"/>
              </w:rPr>
              <w:t>.</w:t>
            </w:r>
          </w:p>
        </w:tc>
      </w:tr>
    </w:tbl>
    <w:p w14:paraId="0287BD08" w14:textId="7EF5CE56" w:rsidR="00A00405" w:rsidRPr="008608AA" w:rsidRDefault="00A00405" w:rsidP="00780487">
      <w:pPr>
        <w:shd w:val="clear" w:color="auto" w:fill="FFFFFF"/>
        <w:spacing w:before="240"/>
      </w:pPr>
      <w:r w:rsidRPr="008608AA">
        <w:t>One way to assess physical and psychological experiences with nature is through nature-related tourism assessments (Table 2.10). Nature-based tourism generates both livelihoods and income for providers, ranging from small rural communities and protected areas to large coastal resorts. Overall, tourism is a major resource for many economies in mountainous areas, and studies also have shown that protection of watersheds provides greater economic value than resource extraction (The Mountain Institute, 1998; UNEP, 2008). In addition, it generates leisure experience for costumers. For instance, in addition to being associated with export earnings, coffee plantations provide cultural services and earnings from agrotourism activities in places like Mexico and Guatemala (Lyon, 2013). Protected areas also provide income through jobs and park fees. For example, some important national parks in the USA are located in the Rocky Mountains (</w:t>
      </w:r>
      <w:r w:rsidR="00847F60" w:rsidRPr="008608AA">
        <w:t>e.g.</w:t>
      </w:r>
      <w:r w:rsidRPr="008608AA">
        <w:t xml:space="preserve"> Yellowstone, Grand Teton, Glacier, and Rocky Mountain National Parks) and protect outstanding examples of mid-latitude alpine and subalpine environments in North America (Funk et al., 2014). Among Brazil’s national parks, 20 receive more than 10,000 visitors per year (data for 2013; de Castro et al., 2015). Numbers of visitors are primarily determined by the natural beauty of the region and by the variety of opportunities for recreation and associated services and infrastructure (de Castro et al., 2015). In 2013, Tijuca National Park, situated within the city of Rio de Janeiro, Brazil, and Iguaçu (Brazil) and Iguazu (Argentina) National Parks, with their famous waterfall, received between 1.5 and 2.8 million visitors, respectively (data only for the Brazilian portion of Iguaçu). Together this accounts for 74% of total visitation in Brazilian national parks. Interestingly, the forests in Tijuca National Park are actually the result of a reforestation program in the 19th century, when more than 70,000 trees were planted to protect local water resources with their high importance for Rio de Janeiro. </w:t>
      </w:r>
    </w:p>
    <w:p w14:paraId="4F1AD9ED" w14:textId="58683F85" w:rsidR="00780487"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10</w:t>
      </w:r>
      <w:r w:rsidR="000E562E">
        <w:rPr>
          <w:noProof/>
        </w:rPr>
        <w:fldChar w:fldCharType="end"/>
      </w:r>
      <w:r w:rsidR="00780487" w:rsidRPr="008608AA">
        <w:t>. Examples of economic valuation of the nature-related tourism sector.</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006"/>
        <w:gridCol w:w="3229"/>
        <w:gridCol w:w="2252"/>
      </w:tblGrid>
      <w:tr w:rsidR="00A00405" w:rsidRPr="0010725E" w14:paraId="6E4153A2" w14:textId="77777777" w:rsidTr="00A00405">
        <w:tc>
          <w:tcPr>
            <w:tcW w:w="2111" w:type="pct"/>
          </w:tcPr>
          <w:p w14:paraId="564BF148" w14:textId="77777777" w:rsidR="00A00405" w:rsidRPr="0010725E" w:rsidRDefault="00A00405" w:rsidP="00A00405">
            <w:pPr>
              <w:rPr>
                <w:szCs w:val="22"/>
              </w:rPr>
            </w:pPr>
            <w:r w:rsidRPr="0010725E">
              <w:rPr>
                <w:szCs w:val="22"/>
              </w:rPr>
              <w:t>Winter tourism (skiing) industry in USA for 2009-2010</w:t>
            </w:r>
          </w:p>
        </w:tc>
        <w:tc>
          <w:tcPr>
            <w:tcW w:w="1702" w:type="pct"/>
          </w:tcPr>
          <w:p w14:paraId="3A744CB8" w14:textId="77777777" w:rsidR="00A00405" w:rsidRPr="0010725E" w:rsidRDefault="00A00405" w:rsidP="0010725E">
            <w:pPr>
              <w:jc w:val="left"/>
              <w:rPr>
                <w:szCs w:val="22"/>
              </w:rPr>
            </w:pPr>
            <w:r w:rsidRPr="0010725E">
              <w:rPr>
                <w:szCs w:val="22"/>
              </w:rPr>
              <w:t>$12.2 billion</w:t>
            </w:r>
          </w:p>
        </w:tc>
        <w:tc>
          <w:tcPr>
            <w:tcW w:w="1187" w:type="pct"/>
          </w:tcPr>
          <w:p w14:paraId="1AB00876" w14:textId="5BB9FEA7" w:rsidR="00A00405" w:rsidRPr="0010725E" w:rsidRDefault="001F130A" w:rsidP="00A00405">
            <w:pPr>
              <w:rPr>
                <w:szCs w:val="22"/>
              </w:rPr>
            </w:pPr>
            <w:r w:rsidRPr="0010725E">
              <w:rPr>
                <w:szCs w:val="22"/>
              </w:rPr>
              <w:t>Burakowski &amp; Magnusson (</w:t>
            </w:r>
            <w:r w:rsidR="00A00405" w:rsidRPr="0010725E">
              <w:rPr>
                <w:szCs w:val="22"/>
              </w:rPr>
              <w:t xml:space="preserve"> 2012</w:t>
            </w:r>
            <w:r w:rsidRPr="0010725E">
              <w:rPr>
                <w:szCs w:val="22"/>
              </w:rPr>
              <w:t>)</w:t>
            </w:r>
          </w:p>
        </w:tc>
      </w:tr>
      <w:tr w:rsidR="00A00405" w:rsidRPr="0010725E" w14:paraId="32008E14" w14:textId="77777777" w:rsidTr="00A00405">
        <w:tc>
          <w:tcPr>
            <w:tcW w:w="2111" w:type="pct"/>
          </w:tcPr>
          <w:p w14:paraId="5B32539A" w14:textId="403A4E8D" w:rsidR="00A00405" w:rsidRPr="0010725E" w:rsidRDefault="00A00405" w:rsidP="00A00405">
            <w:pPr>
              <w:rPr>
                <w:szCs w:val="22"/>
              </w:rPr>
            </w:pPr>
            <w:r w:rsidRPr="0010725E">
              <w:rPr>
                <w:szCs w:val="22"/>
              </w:rPr>
              <w:t>Tourism in the Caribbean</w:t>
            </w:r>
          </w:p>
        </w:tc>
        <w:tc>
          <w:tcPr>
            <w:tcW w:w="1702" w:type="pct"/>
          </w:tcPr>
          <w:p w14:paraId="34BE2E90" w14:textId="77777777" w:rsidR="00A00405" w:rsidRPr="0010725E" w:rsidRDefault="00A00405" w:rsidP="0010725E">
            <w:pPr>
              <w:jc w:val="left"/>
              <w:rPr>
                <w:szCs w:val="22"/>
              </w:rPr>
            </w:pPr>
            <w:r w:rsidRPr="0010725E">
              <w:rPr>
                <w:szCs w:val="22"/>
              </w:rPr>
              <w:t xml:space="preserve">$28.4 billion </w:t>
            </w:r>
            <w:r w:rsidRPr="0010725E">
              <w:rPr>
                <w:szCs w:val="22"/>
              </w:rPr>
              <w:br/>
              <w:t>(13% of GDP)</w:t>
            </w:r>
          </w:p>
        </w:tc>
        <w:tc>
          <w:tcPr>
            <w:tcW w:w="1187" w:type="pct"/>
          </w:tcPr>
          <w:p w14:paraId="7F0D0833" w14:textId="0077FA73" w:rsidR="00A00405" w:rsidRPr="0010725E" w:rsidRDefault="001F130A" w:rsidP="00A00405">
            <w:pPr>
              <w:rPr>
                <w:szCs w:val="22"/>
              </w:rPr>
            </w:pPr>
            <w:r w:rsidRPr="0010725E">
              <w:rPr>
                <w:szCs w:val="22"/>
              </w:rPr>
              <w:t>CARSEA (</w:t>
            </w:r>
            <w:r w:rsidR="00A00405" w:rsidRPr="0010725E">
              <w:rPr>
                <w:szCs w:val="22"/>
              </w:rPr>
              <w:t xml:space="preserve"> 2007</w:t>
            </w:r>
            <w:r w:rsidRPr="0010725E">
              <w:rPr>
                <w:szCs w:val="22"/>
              </w:rPr>
              <w:t>)</w:t>
            </w:r>
          </w:p>
        </w:tc>
      </w:tr>
      <w:tr w:rsidR="00A00405" w:rsidRPr="0010725E" w14:paraId="22E1E536" w14:textId="77777777" w:rsidTr="00A00405">
        <w:tc>
          <w:tcPr>
            <w:tcW w:w="2111" w:type="pct"/>
          </w:tcPr>
          <w:p w14:paraId="5A57715A" w14:textId="6DE79D70" w:rsidR="00A00405" w:rsidRPr="0010725E" w:rsidRDefault="00A00405" w:rsidP="00A00405">
            <w:pPr>
              <w:rPr>
                <w:szCs w:val="22"/>
              </w:rPr>
            </w:pPr>
            <w:r w:rsidRPr="0010725E">
              <w:rPr>
                <w:szCs w:val="22"/>
              </w:rPr>
              <w:t xml:space="preserve">Coral reef associated tourism and fishery in St. Maarten </w:t>
            </w:r>
          </w:p>
        </w:tc>
        <w:tc>
          <w:tcPr>
            <w:tcW w:w="1702" w:type="pct"/>
          </w:tcPr>
          <w:p w14:paraId="67A46C99" w14:textId="77777777" w:rsidR="00A00405" w:rsidRPr="0010725E" w:rsidRDefault="00A00405" w:rsidP="0010725E">
            <w:pPr>
              <w:jc w:val="left"/>
              <w:rPr>
                <w:szCs w:val="22"/>
              </w:rPr>
            </w:pPr>
            <w:r w:rsidRPr="0010725E">
              <w:rPr>
                <w:szCs w:val="22"/>
              </w:rPr>
              <w:t>$57.6 million</w:t>
            </w:r>
          </w:p>
        </w:tc>
        <w:tc>
          <w:tcPr>
            <w:tcW w:w="1187" w:type="pct"/>
          </w:tcPr>
          <w:p w14:paraId="29E720CB" w14:textId="3D9F7AC5" w:rsidR="00A00405" w:rsidRPr="0010725E" w:rsidRDefault="001F130A" w:rsidP="00A00405">
            <w:pPr>
              <w:rPr>
                <w:szCs w:val="22"/>
              </w:rPr>
            </w:pPr>
            <w:r w:rsidRPr="0010725E">
              <w:rPr>
                <w:szCs w:val="22"/>
              </w:rPr>
              <w:t>Bervoets (</w:t>
            </w:r>
            <w:r w:rsidR="00A00405" w:rsidRPr="0010725E">
              <w:rPr>
                <w:szCs w:val="22"/>
              </w:rPr>
              <w:t>2010</w:t>
            </w:r>
            <w:r w:rsidRPr="0010725E">
              <w:rPr>
                <w:szCs w:val="22"/>
              </w:rPr>
              <w:t>)</w:t>
            </w:r>
          </w:p>
        </w:tc>
      </w:tr>
      <w:tr w:rsidR="00A00405" w:rsidRPr="0010725E" w14:paraId="6ABBE350" w14:textId="77777777" w:rsidTr="00A00405">
        <w:tc>
          <w:tcPr>
            <w:tcW w:w="2111" w:type="pct"/>
          </w:tcPr>
          <w:p w14:paraId="4F231DCF" w14:textId="6E7A7CD3" w:rsidR="00A00405" w:rsidRPr="0010725E" w:rsidRDefault="00A00405" w:rsidP="00A00405">
            <w:pPr>
              <w:rPr>
                <w:szCs w:val="22"/>
              </w:rPr>
            </w:pPr>
            <w:r w:rsidRPr="0010725E">
              <w:rPr>
                <w:szCs w:val="22"/>
              </w:rPr>
              <w:t>Coral reef associated tourism/recreation in Tobago for 2006</w:t>
            </w:r>
          </w:p>
        </w:tc>
        <w:tc>
          <w:tcPr>
            <w:tcW w:w="1702" w:type="pct"/>
          </w:tcPr>
          <w:p w14:paraId="113B7C32" w14:textId="77777777" w:rsidR="00A00405" w:rsidRPr="0010725E" w:rsidRDefault="00A00405" w:rsidP="0010725E">
            <w:pPr>
              <w:jc w:val="left"/>
              <w:rPr>
                <w:szCs w:val="22"/>
              </w:rPr>
            </w:pPr>
            <w:r w:rsidRPr="0010725E">
              <w:rPr>
                <w:szCs w:val="22"/>
              </w:rPr>
              <w:t>$101–130 million</w:t>
            </w:r>
          </w:p>
        </w:tc>
        <w:tc>
          <w:tcPr>
            <w:tcW w:w="1187" w:type="pct"/>
          </w:tcPr>
          <w:p w14:paraId="32185684" w14:textId="4F51ECB3" w:rsidR="00A00405" w:rsidRPr="0010725E" w:rsidRDefault="001F130A" w:rsidP="00A00405">
            <w:pPr>
              <w:rPr>
                <w:szCs w:val="22"/>
              </w:rPr>
            </w:pPr>
            <w:r w:rsidRPr="0010725E">
              <w:rPr>
                <w:i/>
                <w:szCs w:val="22"/>
              </w:rPr>
              <w:t>Kushner et al</w:t>
            </w:r>
            <w:r w:rsidRPr="0010725E">
              <w:rPr>
                <w:szCs w:val="22"/>
              </w:rPr>
              <w:t>. (</w:t>
            </w:r>
            <w:r w:rsidR="00A00405" w:rsidRPr="0010725E">
              <w:rPr>
                <w:szCs w:val="22"/>
              </w:rPr>
              <w:t>2011</w:t>
            </w:r>
            <w:r w:rsidRPr="0010725E">
              <w:rPr>
                <w:szCs w:val="22"/>
              </w:rPr>
              <w:t>)</w:t>
            </w:r>
          </w:p>
        </w:tc>
      </w:tr>
      <w:tr w:rsidR="00A00405" w:rsidRPr="0010725E" w14:paraId="79283AC5" w14:textId="77777777" w:rsidTr="00A00405">
        <w:tc>
          <w:tcPr>
            <w:tcW w:w="2111" w:type="pct"/>
          </w:tcPr>
          <w:p w14:paraId="450C5A57" w14:textId="5AE06AE4" w:rsidR="00A00405" w:rsidRPr="0010725E" w:rsidRDefault="00A00405" w:rsidP="00A00405">
            <w:pPr>
              <w:rPr>
                <w:szCs w:val="22"/>
              </w:rPr>
            </w:pPr>
            <w:r w:rsidRPr="0010725E">
              <w:rPr>
                <w:szCs w:val="22"/>
              </w:rPr>
              <w:t>Coral reef associated tourism/recreation in St. Lucia for 2006</w:t>
            </w:r>
          </w:p>
        </w:tc>
        <w:tc>
          <w:tcPr>
            <w:tcW w:w="1702" w:type="pct"/>
          </w:tcPr>
          <w:p w14:paraId="05F29320" w14:textId="77777777" w:rsidR="00A00405" w:rsidRPr="0010725E" w:rsidRDefault="00A00405" w:rsidP="0010725E">
            <w:pPr>
              <w:jc w:val="left"/>
              <w:rPr>
                <w:szCs w:val="22"/>
              </w:rPr>
            </w:pPr>
            <w:r w:rsidRPr="0010725E">
              <w:rPr>
                <w:szCs w:val="22"/>
              </w:rPr>
              <w:t>$160–194 million</w:t>
            </w:r>
          </w:p>
        </w:tc>
        <w:tc>
          <w:tcPr>
            <w:tcW w:w="1187" w:type="pct"/>
          </w:tcPr>
          <w:p w14:paraId="4602EC18" w14:textId="314D29B4" w:rsidR="00A00405" w:rsidRPr="0010725E" w:rsidRDefault="001F130A" w:rsidP="00A00405">
            <w:pPr>
              <w:rPr>
                <w:szCs w:val="22"/>
              </w:rPr>
            </w:pPr>
            <w:r w:rsidRPr="0010725E">
              <w:rPr>
                <w:i/>
                <w:szCs w:val="22"/>
              </w:rPr>
              <w:t>Kushner et al</w:t>
            </w:r>
            <w:r w:rsidRPr="0010725E">
              <w:rPr>
                <w:szCs w:val="22"/>
              </w:rPr>
              <w:t>. (2011)</w:t>
            </w:r>
          </w:p>
        </w:tc>
      </w:tr>
      <w:tr w:rsidR="00A00405" w:rsidRPr="0010725E" w14:paraId="5CED657B" w14:textId="77777777" w:rsidTr="00A00405">
        <w:tc>
          <w:tcPr>
            <w:tcW w:w="2111" w:type="pct"/>
          </w:tcPr>
          <w:p w14:paraId="1763808B" w14:textId="4AF14711" w:rsidR="00A00405" w:rsidRPr="0010725E" w:rsidRDefault="00A00405" w:rsidP="00A00405">
            <w:pPr>
              <w:rPr>
                <w:szCs w:val="22"/>
              </w:rPr>
            </w:pPr>
            <w:r w:rsidRPr="0010725E">
              <w:rPr>
                <w:szCs w:val="22"/>
              </w:rPr>
              <w:t xml:space="preserve">Sport fishing and waterfowl hunting on 1.3 million acres in coastal Louisiana, USA </w:t>
            </w:r>
          </w:p>
        </w:tc>
        <w:tc>
          <w:tcPr>
            <w:tcW w:w="1702" w:type="pct"/>
          </w:tcPr>
          <w:p w14:paraId="5F471A67" w14:textId="77777777" w:rsidR="00A00405" w:rsidRPr="0010725E" w:rsidRDefault="00A00405" w:rsidP="0010725E">
            <w:pPr>
              <w:jc w:val="left"/>
              <w:rPr>
                <w:szCs w:val="22"/>
              </w:rPr>
            </w:pPr>
            <w:r w:rsidRPr="0010725E">
              <w:rPr>
                <w:szCs w:val="22"/>
              </w:rPr>
              <w:t xml:space="preserve">$272 million </w:t>
            </w:r>
            <w:r w:rsidRPr="0010725E">
              <w:rPr>
                <w:szCs w:val="22"/>
              </w:rPr>
              <w:br/>
              <w:t>(converted from 1990 US $)</w:t>
            </w:r>
          </w:p>
        </w:tc>
        <w:tc>
          <w:tcPr>
            <w:tcW w:w="1187" w:type="pct"/>
          </w:tcPr>
          <w:p w14:paraId="45CCCD51" w14:textId="2B5EC064" w:rsidR="00A00405" w:rsidRPr="0010725E" w:rsidRDefault="001F130A" w:rsidP="00A00405">
            <w:pPr>
              <w:rPr>
                <w:szCs w:val="22"/>
              </w:rPr>
            </w:pPr>
            <w:r w:rsidRPr="0010725E">
              <w:rPr>
                <w:szCs w:val="22"/>
              </w:rPr>
              <w:t xml:space="preserve">Bergstrom </w:t>
            </w:r>
            <w:r w:rsidRPr="0010725E">
              <w:rPr>
                <w:i/>
                <w:szCs w:val="22"/>
              </w:rPr>
              <w:t>et al</w:t>
            </w:r>
            <w:r w:rsidRPr="0010725E">
              <w:rPr>
                <w:szCs w:val="22"/>
              </w:rPr>
              <w:t>. (</w:t>
            </w:r>
            <w:r w:rsidR="00A00405" w:rsidRPr="0010725E">
              <w:rPr>
                <w:szCs w:val="22"/>
              </w:rPr>
              <w:t>1990</w:t>
            </w:r>
            <w:r w:rsidRPr="0010725E">
              <w:rPr>
                <w:szCs w:val="22"/>
              </w:rPr>
              <w:t>)</w:t>
            </w:r>
          </w:p>
        </w:tc>
      </w:tr>
      <w:tr w:rsidR="00A00405" w:rsidRPr="0010725E" w14:paraId="068AC590" w14:textId="77777777" w:rsidTr="00A00405">
        <w:tc>
          <w:tcPr>
            <w:tcW w:w="2111" w:type="pct"/>
          </w:tcPr>
          <w:p w14:paraId="1A5AFD59" w14:textId="77777777" w:rsidR="00A00405" w:rsidRPr="0010725E" w:rsidRDefault="00A00405" w:rsidP="00A00405">
            <w:pPr>
              <w:rPr>
                <w:szCs w:val="22"/>
              </w:rPr>
            </w:pPr>
            <w:r w:rsidRPr="0010725E">
              <w:rPr>
                <w:szCs w:val="22"/>
              </w:rPr>
              <w:t>Maya Biosphere Reserve in the Petén area of Guatemala</w:t>
            </w:r>
          </w:p>
        </w:tc>
        <w:tc>
          <w:tcPr>
            <w:tcW w:w="1702" w:type="pct"/>
          </w:tcPr>
          <w:p w14:paraId="2FB5F4C2" w14:textId="77777777" w:rsidR="00A00405" w:rsidRPr="0010725E" w:rsidRDefault="00A00405" w:rsidP="0010725E">
            <w:pPr>
              <w:jc w:val="left"/>
              <w:rPr>
                <w:szCs w:val="22"/>
              </w:rPr>
            </w:pPr>
            <w:r w:rsidRPr="0010725E">
              <w:rPr>
                <w:szCs w:val="22"/>
              </w:rPr>
              <w:t>$47 million and provides employment to 7000 people</w:t>
            </w:r>
          </w:p>
        </w:tc>
        <w:tc>
          <w:tcPr>
            <w:tcW w:w="1187" w:type="pct"/>
          </w:tcPr>
          <w:p w14:paraId="727B7D81" w14:textId="779E3001" w:rsidR="00A00405" w:rsidRPr="0010725E" w:rsidRDefault="001F130A" w:rsidP="00A00405">
            <w:pPr>
              <w:rPr>
                <w:szCs w:val="22"/>
              </w:rPr>
            </w:pPr>
            <w:r w:rsidRPr="0010725E">
              <w:rPr>
                <w:szCs w:val="22"/>
              </w:rPr>
              <w:t>CBD (</w:t>
            </w:r>
            <w:r w:rsidR="00A00405" w:rsidRPr="0010725E">
              <w:rPr>
                <w:szCs w:val="22"/>
              </w:rPr>
              <w:t xml:space="preserve"> 2008</w:t>
            </w:r>
            <w:r w:rsidRPr="0010725E">
              <w:rPr>
                <w:szCs w:val="22"/>
              </w:rPr>
              <w:t>)</w:t>
            </w:r>
          </w:p>
        </w:tc>
      </w:tr>
      <w:tr w:rsidR="00A00405" w:rsidRPr="0010725E" w14:paraId="46D2C2AE" w14:textId="77777777" w:rsidTr="00A00405">
        <w:tc>
          <w:tcPr>
            <w:tcW w:w="2111" w:type="pct"/>
          </w:tcPr>
          <w:p w14:paraId="14C9D6FE" w14:textId="5E57F49A" w:rsidR="00A00405" w:rsidRPr="0010725E" w:rsidRDefault="00A00405" w:rsidP="00A00405">
            <w:pPr>
              <w:rPr>
                <w:szCs w:val="22"/>
              </w:rPr>
            </w:pPr>
            <w:r w:rsidRPr="0010725E">
              <w:rPr>
                <w:szCs w:val="22"/>
              </w:rPr>
              <w:t>National protected areas in Costa Rica</w:t>
            </w:r>
          </w:p>
        </w:tc>
        <w:tc>
          <w:tcPr>
            <w:tcW w:w="1702" w:type="pct"/>
          </w:tcPr>
          <w:p w14:paraId="1E499229" w14:textId="77777777" w:rsidR="00A00405" w:rsidRPr="0010725E" w:rsidRDefault="00A00405" w:rsidP="0010725E">
            <w:pPr>
              <w:jc w:val="left"/>
              <w:rPr>
                <w:szCs w:val="22"/>
              </w:rPr>
            </w:pPr>
            <w:r w:rsidRPr="0010725E">
              <w:rPr>
                <w:szCs w:val="22"/>
              </w:rPr>
              <w:t>$1.3 billion in 2009 (~5% of GDP)</w:t>
            </w:r>
          </w:p>
        </w:tc>
        <w:tc>
          <w:tcPr>
            <w:tcW w:w="1187" w:type="pct"/>
          </w:tcPr>
          <w:p w14:paraId="0778F81A" w14:textId="17038482" w:rsidR="00A00405" w:rsidRPr="0010725E" w:rsidRDefault="001F130A" w:rsidP="00A00405">
            <w:pPr>
              <w:rPr>
                <w:szCs w:val="22"/>
              </w:rPr>
            </w:pPr>
            <w:r w:rsidRPr="0010725E">
              <w:rPr>
                <w:szCs w:val="22"/>
              </w:rPr>
              <w:t>Moreno (</w:t>
            </w:r>
            <w:r w:rsidR="00A00405" w:rsidRPr="0010725E">
              <w:rPr>
                <w:szCs w:val="22"/>
              </w:rPr>
              <w:t>2011</w:t>
            </w:r>
            <w:r w:rsidRPr="0010725E">
              <w:rPr>
                <w:szCs w:val="22"/>
              </w:rPr>
              <w:t>)</w:t>
            </w:r>
          </w:p>
        </w:tc>
      </w:tr>
    </w:tbl>
    <w:p w14:paraId="1E8360C2" w14:textId="1099D198" w:rsidR="00A00405" w:rsidRPr="008608AA" w:rsidRDefault="00A00405" w:rsidP="00780487">
      <w:pPr>
        <w:spacing w:before="240" w:after="120"/>
      </w:pPr>
      <w:r w:rsidRPr="008608AA">
        <w:t xml:space="preserve">The Caribbean’s islands are more dependent on income from tourism than that of any other part of the world, accounting for 15.5% of total employment (CARSEA, 2007). In 2015, about 9 million tourists visited the subregion (CTO, 2015). </w:t>
      </w:r>
      <w:r w:rsidRPr="008608AA">
        <w:rPr>
          <w:color w:val="231F20"/>
        </w:rPr>
        <w:t>In 2013, international tourism receipts were 45% of total exports. For example, the earnings from tourism were more than 8</w:t>
      </w:r>
      <w:r w:rsidR="00DD0C0C" w:rsidRPr="008608AA">
        <w:rPr>
          <w:color w:val="231F20"/>
        </w:rPr>
        <w:t>0% of total service exports in T</w:t>
      </w:r>
      <w:r w:rsidRPr="008608AA">
        <w:rPr>
          <w:color w:val="231F20"/>
        </w:rPr>
        <w:t xml:space="preserve">he Bahamas and Saint Lucia, and more than 70% in Aruba, the Dominican Republic, Grenada and Jamaica (IDB, 2016). </w:t>
      </w:r>
      <w:r w:rsidRPr="008608AA">
        <w:t xml:space="preserve">The tourism sector has required large investments in coastal development to cater for the high influx of tourists and the associated demand for hotels, marinas, harbors, shops, and sports facilities. These rapid developments have had major impacts on the coral reefs; with 32% of Caribbean coral reefs estimated to be threatened by coastal development (Bryant et al., 1998). Additionally, in many areas the sheer numbers of dive and snorkel tourists cause direct damage to coral reefs. Average coral cover declined by more than 50% from 1970 to 2011, but the disparity among locations was great (Jackson et al., 2014). </w:t>
      </w:r>
    </w:p>
    <w:p w14:paraId="5EE7FA9D" w14:textId="7286A929" w:rsidR="00780487" w:rsidRPr="008608AA" w:rsidRDefault="00A00405" w:rsidP="00780487">
      <w:pPr>
        <w:spacing w:after="120"/>
      </w:pPr>
      <w:r w:rsidRPr="008608AA">
        <w:t>Nature contributes to tourists indirectly through the benefits gained from the recreational experiences. Based on USA expenditures for sport fishing and dock-side expenditures for commercial fish, the benefits from sportfishing rival the food and raw material benefits from commercial fishing. In the USA alone in 2010, an estimated 33 million people over 16 fished for sport for a total of 554 million days supporting over 820,000 jobs and $35 billion in salaries and wages (FWS,</w:t>
      </w:r>
      <w:r w:rsidR="00F86F6E" w:rsidRPr="008608AA">
        <w:t xml:space="preserve"> 2011</w:t>
      </w:r>
      <w:r w:rsidRPr="008608AA">
        <w:t>). Over 80% of USA anglers fished in freshwaters (FWS,</w:t>
      </w:r>
      <w:r w:rsidR="00F86F6E" w:rsidRPr="008608AA">
        <w:t xml:space="preserve"> 2011</w:t>
      </w:r>
      <w:r w:rsidRPr="008608AA">
        <w:t xml:space="preserve">), spending in total, &gt; $47 billion on the sport. The $4.9 billion spent by salt-water anglers in 2014 rivaled the $5.5 billion for dockside purchases of commercial fish (NMFS, 2016), which is an important trade-off consideration in fishery management decision-making. Since the tourist industry benefits from greater recreational expenditure and the recreationists benefit from a less expensive satisfying experience, there is an optimum balance of costs and benefits that maximizes benefits across both groups. </w:t>
      </w:r>
    </w:p>
    <w:p w14:paraId="3123BA42" w14:textId="04863A25" w:rsidR="00A00405" w:rsidRPr="008608AA" w:rsidRDefault="00A00405" w:rsidP="00780487">
      <w:pPr>
        <w:spacing w:after="120"/>
      </w:pPr>
      <w:r w:rsidRPr="008608AA">
        <w:t xml:space="preserve"> </w:t>
      </w:r>
    </w:p>
    <w:p w14:paraId="42AD5044" w14:textId="77777777" w:rsidR="00A00405" w:rsidRPr="008608AA" w:rsidRDefault="00A00405" w:rsidP="00780487">
      <w:pPr>
        <w:pStyle w:val="Heading3"/>
      </w:pPr>
      <w:bookmarkStart w:id="669" w:name="_Toc517393257"/>
      <w:bookmarkStart w:id="670" w:name="_Toc517718998"/>
      <w:bookmarkStart w:id="671" w:name="_Toc517796955"/>
      <w:r w:rsidRPr="008608AA">
        <w:t>Maintenance of options</w:t>
      </w:r>
      <w:bookmarkEnd w:id="669"/>
      <w:bookmarkEnd w:id="670"/>
      <w:bookmarkEnd w:id="671"/>
    </w:p>
    <w:p w14:paraId="5B6B0050" w14:textId="633CF150" w:rsidR="00A00405" w:rsidRPr="008608AA" w:rsidRDefault="00A00405" w:rsidP="00780487">
      <w:pPr>
        <w:spacing w:after="120"/>
      </w:pPr>
      <w:r w:rsidRPr="008608AA">
        <w:t>An overarching benefit of ecosystems is their ability to provide services and maintain options for a good quality of life for both present and future generations. These options are sustained by biodiversity and are lost as biodiversity is eroded. Since the future is uncertain, any loss of the irreplaceable attributes of nature diminishes the potential for improved quality of human life. Future options can be maintained by either protecting species from loss or by setting aside areas that support the diversity of ecosystem elements in all their characteristic complexity. Species protection through various laws like</w:t>
      </w:r>
      <w:r w:rsidR="00263006" w:rsidRPr="008608AA">
        <w:t xml:space="preserve"> the USA Endangered Species Act</w:t>
      </w:r>
      <w:r w:rsidRPr="008608AA">
        <w:t xml:space="preserve"> and the multi-lateral Convention on International Trade of Endangered Species (CITES) work toward this end. But the strategic protection of land and water from destructive use may be the most widely advocated policy instrument to maintain options sustained by biodiversity, including ecosystem restoration where needed. These and other instruments are described in Chapter 6, including ecosystem restoration. </w:t>
      </w:r>
    </w:p>
    <w:p w14:paraId="32F7F3E6" w14:textId="748EADCE" w:rsidR="00A00405" w:rsidRPr="008608AA" w:rsidRDefault="00A00405" w:rsidP="00780487">
      <w:pPr>
        <w:spacing w:after="120"/>
      </w:pPr>
      <w:r w:rsidRPr="008608AA">
        <w:t>Most nations in the Americas now recognize the value of protecting critical geographical areas and threatened species from consumptive use and to maintain ecosystem functionality through sustainable use of ecological resources. Furthermore, establishing protected areas for restoration of key resources for local communities has also been demonstrated to provide important benefits (</w:t>
      </w:r>
      <w:r w:rsidR="00847F60" w:rsidRPr="008608AA">
        <w:t>e.g.</w:t>
      </w:r>
      <w:r w:rsidRPr="008608AA">
        <w:t xml:space="preserve"> Aburto-Oropeza et al., 2011).</w:t>
      </w:r>
      <w:r w:rsidRPr="008608AA">
        <w:rPr>
          <w:color w:val="545454"/>
        </w:rPr>
        <w:t xml:space="preserve"> </w:t>
      </w:r>
      <w:r w:rsidRPr="008608AA">
        <w:t>The proportion of land and marine areas with valuable ecological resources now claimed to be protected from destructive use is 14.8% worldwide ranging from 11.6 % in North America to 23.3% in Latin America and the Caribbean (World Bank Database</w:t>
      </w:r>
      <w:r w:rsidR="00BA2062" w:rsidRPr="008608AA">
        <w:t>, 2017b,</w:t>
      </w:r>
      <w:r w:rsidRPr="008608AA">
        <w:t xml:space="preserve"> http://data.worldbank.org/indicator/ER.LND.PTLD.ZS). There is also recognition that indigenous lands may be a powerful instrument for protecting nature, and initial estimates suggest that at least 1.2% of the land area of North America, 19.5% of Mesoamerica, and 10.5% of South America are protected through this designation (see Chapter 1, section 1.6.2).   </w:t>
      </w:r>
    </w:p>
    <w:p w14:paraId="6D549B8A" w14:textId="77777777" w:rsidR="00A00405" w:rsidRPr="008608AA" w:rsidRDefault="00A00405" w:rsidP="00780487">
      <w:pPr>
        <w:spacing w:after="120"/>
      </w:pPr>
      <w:r w:rsidRPr="008608AA">
        <w:t xml:space="preserve">Not all biomes are equally protected, however. Portillo-Quintero and Sánchez-Azofeifa (2010) found only 0.3% of the total area with tropical dry forest is under some category of protection in Mesoamerica, ranging from less than 0.4% in Mexico and El Salvador to 15% in Costa Rica. About 12% of the northern temperate forests of Canada are under protection and about 6% of all forest is being sustainably managed as described by the Forest Stewardship Council (https://ic.fsc.org/en). In the southern temperate forest ecoregion, extensive protected areas are owned by private individuals, NGOs and governments (Soutullo and Gudynas 2006, Rozzi et al. 2012). For example, 57.3% of the Magallanes Region in southernmost Chile is under government protection (SIB Magallanes, 2017). Grasslands and savannas cover 30% of the Americas’ terrestrial surface, span from South to North America, and cover a broad altitudinal gradient. Nevertheless, they are a poorly protected biome, primarily because grasslands have experienced extensive transformation for agriculture production. Of the five biomes in Brazil (rainforest, dry woodlands, savanna, grassland and wetlands), the Pampas grassland biome has the highest Conservation Risk Index (Overbeck et al., 2015). Ecological restoration and rehabilitation are likely to be essential strategies for maintaining endangered options in these highly degraded ecosystems (Galatowitsch, 2012). </w:t>
      </w:r>
    </w:p>
    <w:p w14:paraId="2C716081" w14:textId="04F1C37F" w:rsidR="00780487" w:rsidRPr="008608AA" w:rsidRDefault="00A00405" w:rsidP="00593E3A">
      <w:pPr>
        <w:spacing w:after="120"/>
        <w:rPr>
          <w:u w:val="single"/>
        </w:rPr>
      </w:pPr>
      <w:r w:rsidRPr="008608AA">
        <w:t>Protected areas help to avoid habitat degradation and loss of biodiversity and so make significant contributions to providing a variety of NCP (Bruner et al., 2001; Dudley et al., 2007; Andam et al., 2008; Leverington et al., 2010; Joppa et al., 2008; Nagendra, 2008; Nelson &amp; Chomitz, 2011; Ferraro &amp; Hanauer, 2011). The capacity to maintain NCP is highly correlated with management ability and investments (Dudley, 2008) (see Chapter 6). In the USA, for example, ~28% of federal public land area is managed for multiple uses, including protection of threatened species and their habitats (Bowes &amp; Krutilla, 1989). World protected areas are estimated to store over 312 gigatons of carbon or 15% of the terrestrial carbon stock (Kapos et al., 2008). Marine protected areas have p</w:t>
      </w:r>
      <w:r w:rsidR="0070609A" w:rsidRPr="008608AA">
        <w:t>r</w:t>
      </w:r>
      <w:r w:rsidRPr="008608AA">
        <w:t>oven to be effective at preserving biodiversity, but differing views on their goals have resulted in conflicts about whether to manage for preservation or integrated sustainable use (Agardy et al., 2011). Wetlands (both coastal and inland) identified as sites of international importance by the Ramsar Convention are the focus of national and international cooperation for the conservation of biodiversity and are managed for sustainable or “wise-use” by fostering wetland dependent human activities and livelihoods, for example food production (such as wild rice, waterfowl), the regulation of water supplies, tourism and education. As of 2016, there were nearly 650,000 km</w:t>
      </w:r>
      <w:r w:rsidRPr="008608AA">
        <w:rPr>
          <w:vertAlign w:val="superscript"/>
        </w:rPr>
        <w:t>2</w:t>
      </w:r>
      <w:r w:rsidRPr="008608AA">
        <w:t xml:space="preserve"> of wetlands identified as internationally important in the Americas (Figure 2.16; </w:t>
      </w:r>
      <w:hyperlink r:id="rId76">
        <w:r w:rsidRPr="008608AA">
          <w:rPr>
            <w:color w:val="0000FF"/>
            <w:u w:val="single"/>
          </w:rPr>
          <w:t>http://www.ramsar.org/about/wetlands-of-international-importance-ramsar-sites)</w:t>
        </w:r>
      </w:hyperlink>
      <w:r w:rsidRPr="008608AA">
        <w:rPr>
          <w:color w:val="0000FF"/>
          <w:u w:val="single"/>
        </w:rPr>
        <w:t xml:space="preserve">. </w:t>
      </w:r>
    </w:p>
    <w:p w14:paraId="73159DA4" w14:textId="60277E3A" w:rsidR="00780487" w:rsidRPr="008608AA" w:rsidRDefault="007F26AC" w:rsidP="00780487">
      <w:pPr>
        <w:spacing w:before="240" w:after="120"/>
        <w:jc w:val="center"/>
      </w:pPr>
      <w:r w:rsidRPr="008608AA">
        <w:rPr>
          <w:noProof/>
          <w:lang w:val="en-GB" w:eastAsia="en-GB"/>
        </w:rPr>
        <w:drawing>
          <wp:inline distT="0" distB="0" distL="0" distR="0" wp14:anchorId="235DEE67" wp14:editId="6E1D98BB">
            <wp:extent cx="5934075" cy="2847975"/>
            <wp:effectExtent l="0" t="0" r="9525" b="9525"/>
            <wp:docPr id="226" name="Imagen 226" descr="C:\Users\Alejandro Valderrama\Downloads\Fig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1" descr="C:\Users\Alejandro Valderrama\Downloads\Fig2.16.jpg"/>
                    <pic:cNvPicPr>
                      <a:picLocks noChangeAspect="1" noChangeArrowheads="1"/>
                    </pic:cNvPicPr>
                  </pic:nvPicPr>
                  <pic:blipFill rotWithShape="1">
                    <a:blip r:embed="rId77">
                      <a:extLst>
                        <a:ext uri="{28A0092B-C50C-407E-A947-70E740481C1C}">
                          <a14:useLocalDpi xmlns:a14="http://schemas.microsoft.com/office/drawing/2010/main" val="0"/>
                        </a:ext>
                      </a:extLst>
                    </a:blip>
                    <a:srcRect b="66704"/>
                    <a:stretch/>
                  </pic:blipFill>
                  <pic:spPr bwMode="auto">
                    <a:xfrm>
                      <a:off x="0" y="0"/>
                      <a:ext cx="5934075" cy="2847975"/>
                    </a:xfrm>
                    <a:prstGeom prst="rect">
                      <a:avLst/>
                    </a:prstGeom>
                    <a:noFill/>
                    <a:ln>
                      <a:noFill/>
                    </a:ln>
                    <a:extLst>
                      <a:ext uri="{53640926-AAD7-44D8-BBD7-CCE9431645EC}">
                        <a14:shadowObscured xmlns:a14="http://schemas.microsoft.com/office/drawing/2010/main"/>
                      </a:ext>
                    </a:extLst>
                  </pic:spPr>
                </pic:pic>
              </a:graphicData>
            </a:graphic>
          </wp:inline>
        </w:drawing>
      </w:r>
    </w:p>
    <w:p w14:paraId="354AED28" w14:textId="69670E59" w:rsidR="00592528" w:rsidRPr="008608AA" w:rsidRDefault="00A00405" w:rsidP="00592528">
      <w:pPr>
        <w:spacing w:before="240" w:after="120"/>
      </w:pPr>
      <w:r w:rsidRPr="008608AA">
        <w:t>In the Americas, the areas protected by law or other official action increased rapidly between 1970 to 2010 to about 17% o</w:t>
      </w:r>
      <w:r w:rsidR="0070609A" w:rsidRPr="008608AA">
        <w:t>f the total area identified as key biodiversity a</w:t>
      </w:r>
      <w:r w:rsidRPr="008608AA">
        <w:t>reas by conservation organizations, but has slowed down more recently (see Chapter 3). The creation of new protected areas peaked between 1980 and 2000 in North America and the Caribbean, and since 2000 in Mesoamerica and South America (Figure 2.17). In North America, the fraction of land area protected (11.6%) is less than the fraction of territorial marine waters protected (16.4%). In Mesoamerica, the Carribbean and South America, the fraction of land area protected (23.5%) exceeds the fraction of territorial marine waters protected (15.5%) (World Bank, 2017</w:t>
      </w:r>
      <w:r w:rsidR="00BA2062" w:rsidRPr="008608AA">
        <w:t>c</w:t>
      </w:r>
      <w:r w:rsidRPr="008608AA">
        <w:t xml:space="preserve">, </w:t>
      </w:r>
      <w:hyperlink r:id="rId78">
        <w:r w:rsidRPr="008608AA">
          <w:rPr>
            <w:color w:val="0000FF"/>
            <w:u w:val="single"/>
          </w:rPr>
          <w:t>https://data.worldbank.org/indicator/ER.PTD.TOTL.ZS?view=chart</w:t>
        </w:r>
      </w:hyperlink>
      <w:r w:rsidR="00592528" w:rsidRPr="008608AA">
        <w:t xml:space="preserve">). </w:t>
      </w:r>
    </w:p>
    <w:p w14:paraId="1678F50B" w14:textId="482A8BFB" w:rsidR="00592528" w:rsidRPr="008608AA" w:rsidRDefault="007F26AC" w:rsidP="00592528">
      <w:pPr>
        <w:spacing w:before="240" w:after="120"/>
        <w:jc w:val="center"/>
      </w:pPr>
      <w:r w:rsidRPr="008608AA">
        <w:rPr>
          <w:noProof/>
          <w:lang w:val="en-GB" w:eastAsia="en-GB"/>
        </w:rPr>
        <w:drawing>
          <wp:inline distT="0" distB="0" distL="0" distR="0" wp14:anchorId="5B256C5B" wp14:editId="35A750A2">
            <wp:extent cx="5934075" cy="5172075"/>
            <wp:effectExtent l="0" t="0" r="9525" b="9525"/>
            <wp:docPr id="227" name="Imagen 227" descr="C:\Users\Alejandro Valderrama\Downloads\Fig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3" descr="C:\Users\Alejandro Valderrama\Downloads\Fig2.17.jpg"/>
                    <pic:cNvPicPr>
                      <a:picLocks noChangeAspect="1" noChangeArrowheads="1"/>
                    </pic:cNvPicPr>
                  </pic:nvPicPr>
                  <pic:blipFill rotWithShape="1">
                    <a:blip r:embed="rId79">
                      <a:extLst>
                        <a:ext uri="{28A0092B-C50C-407E-A947-70E740481C1C}">
                          <a14:useLocalDpi xmlns:a14="http://schemas.microsoft.com/office/drawing/2010/main" val="0"/>
                        </a:ext>
                      </a:extLst>
                    </a:blip>
                    <a:srcRect b="39532"/>
                    <a:stretch/>
                  </pic:blipFill>
                  <pic:spPr bwMode="auto">
                    <a:xfrm>
                      <a:off x="0" y="0"/>
                      <a:ext cx="5934075" cy="5172075"/>
                    </a:xfrm>
                    <a:prstGeom prst="rect">
                      <a:avLst/>
                    </a:prstGeom>
                    <a:noFill/>
                    <a:ln>
                      <a:noFill/>
                    </a:ln>
                    <a:extLst>
                      <a:ext uri="{53640926-AAD7-44D8-BBD7-CCE9431645EC}">
                        <a14:shadowObscured xmlns:a14="http://schemas.microsoft.com/office/drawing/2010/main"/>
                      </a:ext>
                    </a:extLst>
                  </pic:spPr>
                </pic:pic>
              </a:graphicData>
            </a:graphic>
          </wp:inline>
        </w:drawing>
      </w:r>
    </w:p>
    <w:p w14:paraId="3972F0A2" w14:textId="437F2970" w:rsidR="00A00405" w:rsidRPr="008608AA" w:rsidRDefault="00A00405" w:rsidP="00592528">
      <w:pPr>
        <w:spacing w:before="240" w:after="120"/>
      </w:pPr>
      <w:r w:rsidRPr="008608AA">
        <w:t>Present and future land and water protection and restoration could moderate some potential effects of future climate change by protecting and enhancing vital NCP, such as the regulation of water flow and quality, feeding and nursery areas for fisheries, wildlife and other species on which human societies depend, resistance to invasive alien species, coastal erosion protection, reservoirs of wild crop relatives, and carbon storage (World Bank</w:t>
      </w:r>
      <w:r w:rsidR="00F41B91" w:rsidRPr="008608AA">
        <w:t xml:space="preserve"> et al.</w:t>
      </w:r>
      <w:r w:rsidRPr="008608AA">
        <w:t>, 2010). In the Brazilian Amazon, for example, protected areas and reserves for indigenous peoples could prevent an estimated 670,000 km² of deforestation by 2050, representing 8 billion tons of avoided carbon emissions, contingent on effective management across diverse jurisdictions including state, private sector, indigenous groups and local communities (</w:t>
      </w:r>
      <w:r w:rsidR="00F86F6E" w:rsidRPr="008608AA">
        <w:t>Dudley et al., 2009</w:t>
      </w:r>
      <w:r w:rsidRPr="008608AA">
        <w:t>).  But adaptation to climate change could also require even greater protection and restoration to conserve and recover required connectivity in areas where biomes and ecosystems are highly fragmented. Despite the conservation benefits, the establishment of protected areas requires consideration of trade-offs associated with potential negative impacts on local livelihoods and well-being (</w:t>
      </w:r>
      <w:r w:rsidR="00847F60" w:rsidRPr="008608AA">
        <w:t>e.g.</w:t>
      </w:r>
      <w:r w:rsidRPr="008608AA">
        <w:t xml:space="preserve"> displacement, restricted access to medicinal plants and animals as well as food and sacred sites). Pullin et al. (2013) performed a systematic review of the impacts of protected areas on human well-being globally, using cases from North, Mesoamerica and South America and found that the existing evidence is inconclusive about the best way to inform policy makers about win-win solutions for promoting both NCP and quality of life. </w:t>
      </w:r>
    </w:p>
    <w:p w14:paraId="30D22185" w14:textId="77777777" w:rsidR="00592528" w:rsidRPr="008608AA" w:rsidRDefault="00592528" w:rsidP="00592528">
      <w:pPr>
        <w:spacing w:before="240" w:after="120"/>
      </w:pPr>
    </w:p>
    <w:p w14:paraId="09863D36" w14:textId="715D4017" w:rsidR="00A00405" w:rsidRPr="008608AA" w:rsidRDefault="00A00405" w:rsidP="00592528">
      <w:pPr>
        <w:pStyle w:val="Heading3"/>
      </w:pPr>
      <w:bookmarkStart w:id="672" w:name="_Toc517393258"/>
      <w:bookmarkStart w:id="673" w:name="_Toc517718999"/>
      <w:bookmarkStart w:id="674" w:name="_Toc517796956"/>
      <w:r w:rsidRPr="008608AA">
        <w:t>Climate regulation</w:t>
      </w:r>
      <w:bookmarkEnd w:id="672"/>
      <w:bookmarkEnd w:id="673"/>
      <w:bookmarkEnd w:id="674"/>
    </w:p>
    <w:p w14:paraId="7DE70998" w14:textId="7DBC279F" w:rsidR="00A00405" w:rsidRPr="008608AA" w:rsidRDefault="00A00405" w:rsidP="00592528">
      <w:pPr>
        <w:widowControl w:val="0"/>
        <w:spacing w:after="120"/>
      </w:pPr>
      <w:r w:rsidRPr="008608AA">
        <w:t>Many ecosystems are effective at taking up and storing carbon, thereby helping to regulate climate. Carbon uptake and storage helps mitigate the accumulation of greenhouse gasses in the atmosphere that result from fossil fuel combustion (270</w:t>
      </w:r>
      <w:r w:rsidRPr="008608AA">
        <w:rPr>
          <w:u w:val="single"/>
        </w:rPr>
        <w:t>+</w:t>
      </w:r>
      <w:r w:rsidRPr="008608AA">
        <w:t>30 Pg C released since the Industrial Revolution), land use change (136</w:t>
      </w:r>
      <w:r w:rsidRPr="008608AA">
        <w:rPr>
          <w:u w:val="single"/>
        </w:rPr>
        <w:t>+</w:t>
      </w:r>
      <w:r w:rsidRPr="008608AA">
        <w:t>55 Pg released from deforestation, biomass burning, wetland drainage and conversion to agriculture), and soils due to land degradation (78</w:t>
      </w:r>
      <w:r w:rsidRPr="008608AA">
        <w:rPr>
          <w:u w:val="single"/>
        </w:rPr>
        <w:t>+</w:t>
      </w:r>
      <w:r w:rsidRPr="008608AA">
        <w:t xml:space="preserve">12 Pg C) (Lal 2004). Micro-climate regulation is facilitated by the presence of natural vegetation that helps modify temperatures and soil water content, due to the effects of vegetation on albedo (the ability of an area to reflect solar energy). It should be noted that while the use of fossil fuels is changing the biosphere it also has contributed to improvements in human health and prosperity (Costello 2009). </w:t>
      </w:r>
    </w:p>
    <w:p w14:paraId="23680947" w14:textId="54F5642D" w:rsidR="00A00405" w:rsidRPr="008608AA" w:rsidRDefault="00A00405" w:rsidP="00592528">
      <w:pPr>
        <w:widowControl w:val="0"/>
        <w:spacing w:after="120"/>
      </w:pPr>
      <w:r w:rsidRPr="008608AA">
        <w:t>Human well-being is directly and indirectly linked to climate. For instance, the redistribution of species (i.e. latitudinal shifts) predicted to occur in response to climate change is expected to have far reaching effects with changes in agricultural production and the abundance of species that many people rely on for food (</w:t>
      </w:r>
      <w:r w:rsidR="00847F60" w:rsidRPr="008608AA">
        <w:t>e.g.</w:t>
      </w:r>
      <w:r w:rsidRPr="008608AA">
        <w:t xml:space="preserve"> species of fish, crops, pollinators), impacting food security (Pecl et al., 2017). Shifting climate zones will affect local communities’ use of traditional travel routes where, for example, they pursue activities such as reindeer herding, hunting, and berry harvesting. The range of disease carrying organisms will also change, potentially introducing vector-borne diseases to new areas with increased incidence of virus transmission like malaria and Zika (Pecl et al., 2017). Generally, climate change poses a threat to water and food security, and is expected to lead to an increase in extreme events that may, in turn, cause human migration (‘climate refugees’) from storms, floods, and wildfires, particularly in urban settings (Patz et al., 2005). The impacts of climate refugees for countries in the Americas will be felt both for those sending out and receiving refugees. Increases in human mortality rates between the mid-1970s and 2000 due to climate change are estimated to range from 0-70 deaths per million people in the Americas; this risk is projected to more than double by 2030 (Patz et al., 2005). Ultimately, the impact of climate change is expected to be largest for populations with limited access to resources and who have contributed little to its cause (Costello et al., 2009), thereby invoking issues related to environmental justice. For its part, biodiversity can modify both exposure and impacts from extreme events. </w:t>
      </w:r>
    </w:p>
    <w:p w14:paraId="6938A269" w14:textId="3E77FC28" w:rsidR="00A00405" w:rsidRPr="008608AA" w:rsidRDefault="00A00405" w:rsidP="00592528">
      <w:pPr>
        <w:spacing w:after="120"/>
      </w:pPr>
      <w:r w:rsidRPr="008608AA">
        <w:t xml:space="preserve">In general, </w:t>
      </w:r>
      <w:r w:rsidR="00E03ED4" w:rsidRPr="008608AA">
        <w:t>carbon dioxide</w:t>
      </w:r>
      <w:r w:rsidRPr="008608AA">
        <w:t xml:space="preserve"> uptake through plant photosynthesis is the world’s greatest carbon sink. Forest growth can store carbon dioxide for up to 800 years; rates of carbon uptake vary with climate and can also increase due to the deposition of atmospheric nitrogen, which acts as a fertilizer and increases tree growth rates (Luyssaet et al., 2008). The Amazon rainforest alone is estimated to hold 90,140 billion metric tons of carbon (Fauset et al., 2015). Deforestation is a leading contributor to climate change, responsible for an estimated 15% of global greenhouse gas emissions. Millions of hectares of tropical forests are cleared annually, primarily for agriculture (small scale and large scale farming and grazing) (FAO, 2016), and the loss of soil carbon in cleared areas can amount to 40% over the first 5 years (Detwiler, 1986). In cases where harvested wood is used to make consumer products, carbon is stored through the life cycle of the wood, and subsequent forest regrowth sequesters additional carbon, mitigating greenhouse gas emissions (Smyth et al., 2014). Recovery or restoration of degraded and deforested lands can increase carbon uptake from the atmosphere, increase the flow of ecosystem services, and help alleviate rural poverty (Lamb et al., 2005).   </w:t>
      </w:r>
    </w:p>
    <w:p w14:paraId="3CBB8A22" w14:textId="5933143B" w:rsidR="00A00405" w:rsidRPr="008608AA" w:rsidRDefault="00A00405" w:rsidP="00592528">
      <w:pPr>
        <w:spacing w:after="120"/>
      </w:pPr>
      <w:r w:rsidRPr="008608AA">
        <w:t xml:space="preserve">Globally, soils are a major reservoir of carbon, second only to that which is held in ocean waters (Schlesinger &amp; Bernhardt, 2013). Soil carbon content varies dramatically by region and ecosystem type, from agricultural soils that contain an average of only 0.5%–2 % carbon, to peat soils that can be more than 50% carbon (Immirzi et al., 1992; Lal et al., 1995). Wetlands are one of the most effective carbon sinks; with coastal wetlands (which hold so-called “blue carbon”) and peatlands that collectively store about 30% of the world’s total soil carbon (Lal, 2008; Mitsch &amp; Gosselink, 2007). The rate of annual carbon burial for salt marshes (87.2 ± 9.6 teragrams of carbon per year) exceeds that of tropical rainforests (53 ± 9.6 teragrams of carbon per year), despite their much smaller aerial extent (Figure 2.18, Mcleod et al., 2011). </w:t>
      </w:r>
    </w:p>
    <w:p w14:paraId="01AF1B17" w14:textId="578D95B6" w:rsidR="00A00405" w:rsidRPr="008608AA" w:rsidRDefault="00A00405" w:rsidP="00592528">
      <w:pPr>
        <w:widowControl w:val="0"/>
        <w:spacing w:after="120"/>
      </w:pPr>
      <w:r w:rsidRPr="008608AA">
        <w:t xml:space="preserve">Despite widespread wetland losses, particularly in North America, these ecosystems play a critical carbon capture role. For example, the soil carbon held in wetlands in the conterminous USA is estimated at 11.5 Pg C, or nearly 1% of the world’s total soil carbon (Nahlik &amp; Fennessy, 2016). Canada is home to 25% of the world’s wetlands despite losing 32 hectares of wetland area each day, which results in a carbon release equivalent to putting an additional 2,247 cars on the road each day (NAWCC, 2017). Thawing permafrost due to global warming increases microbial decomposition of previously frozen organic carbon, releasing carbon dioxide to the atmosphere, causing a significant positive feedback process (Schuur et al., 2008). For Canadian permafrost, Tarnocai (2006) estimated that 48 Pg C could be released within the current century if the mean annual air temperature increased by 4°C. Wetland protection is critical to prevent further loss of habitat and carbon release. Consequently, Canada has begun to use wetland protection to meet its international greenhouse gas emission targets. </w:t>
      </w:r>
    </w:p>
    <w:p w14:paraId="085CB07B" w14:textId="5F7A8942" w:rsidR="00592528" w:rsidRPr="008608AA" w:rsidRDefault="007F26AC" w:rsidP="00592528">
      <w:pPr>
        <w:spacing w:before="240" w:after="120"/>
        <w:jc w:val="center"/>
      </w:pPr>
      <w:r w:rsidRPr="008608AA">
        <w:rPr>
          <w:noProof/>
          <w:lang w:val="en-GB" w:eastAsia="en-GB"/>
        </w:rPr>
        <w:drawing>
          <wp:inline distT="0" distB="0" distL="0" distR="0" wp14:anchorId="267F72D3" wp14:editId="66A47652">
            <wp:extent cx="5934075" cy="3114675"/>
            <wp:effectExtent l="0" t="0" r="9525" b="9525"/>
            <wp:docPr id="228" name="Imagen 228" descr="C:\Users\Alejandro Valderrama\Downloads\Fig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5" descr="C:\Users\Alejandro Valderrama\Downloads\Fig2.18.jpg"/>
                    <pic:cNvPicPr>
                      <a:picLocks noChangeAspect="1" noChangeArrowheads="1"/>
                    </pic:cNvPicPr>
                  </pic:nvPicPr>
                  <pic:blipFill rotWithShape="1">
                    <a:blip r:embed="rId80">
                      <a:extLst>
                        <a:ext uri="{28A0092B-C50C-407E-A947-70E740481C1C}">
                          <a14:useLocalDpi xmlns:a14="http://schemas.microsoft.com/office/drawing/2010/main" val="0"/>
                        </a:ext>
                      </a:extLst>
                    </a:blip>
                    <a:srcRect b="63586"/>
                    <a:stretch/>
                  </pic:blipFill>
                  <pic:spPr bwMode="auto">
                    <a:xfrm>
                      <a:off x="0" y="0"/>
                      <a:ext cx="5934075" cy="3114675"/>
                    </a:xfrm>
                    <a:prstGeom prst="rect">
                      <a:avLst/>
                    </a:prstGeom>
                    <a:noFill/>
                    <a:ln>
                      <a:noFill/>
                    </a:ln>
                    <a:extLst>
                      <a:ext uri="{53640926-AAD7-44D8-BBD7-CCE9431645EC}">
                        <a14:shadowObscured xmlns:a14="http://schemas.microsoft.com/office/drawing/2010/main"/>
                      </a:ext>
                    </a:extLst>
                  </pic:spPr>
                </pic:pic>
              </a:graphicData>
            </a:graphic>
          </wp:inline>
        </w:drawing>
      </w:r>
    </w:p>
    <w:p w14:paraId="6CC4AA31" w14:textId="223E11DB" w:rsidR="00A00405" w:rsidRPr="008608AA" w:rsidRDefault="00A00405" w:rsidP="00592528">
      <w:pPr>
        <w:spacing w:before="240" w:after="120"/>
      </w:pPr>
      <w:r w:rsidRPr="008608AA">
        <w:t>The release of methane from wetlands and other ecosystems offsets some of this natural carbon uptake. Wetlands emit an estimated 115-227 teragrams of methane (CH</w:t>
      </w:r>
      <w:r w:rsidRPr="008608AA">
        <w:rPr>
          <w:vertAlign w:val="subscript"/>
        </w:rPr>
        <w:t>4</w:t>
      </w:r>
      <w:r w:rsidRPr="008608AA">
        <w:t xml:space="preserve">), a potent greenhouse each year, amounting to 20-25% the total global methane emissions. Rates vary by region, for example wetlands in the continental USA emit an estimated 5.5 teragrams per year, while those in Costa Rica produced about 0.80 teragrams per year (Nahlik &amp; Mitsch, 2011), or approximately 0.6% of global tropical wetland emissions. Conversion of wetlands to rice agriculture creates a substantial source. Livestock production also contributes because of cattle’s unique digestive tract (enteric fermentation), contributing an estimated 2.2 billion tons of carbon dioxide equivalent greenhouse gases annually (or 35% of total anthropogenic methane emissions). South, Mesoamerica and the Caribbean contribute the most methane (equivalent to almost 1.3 gigatons </w:t>
      </w:r>
      <w:r w:rsidR="00E03ED4" w:rsidRPr="008608AA">
        <w:t>carbon dioxide</w:t>
      </w:r>
      <w:r w:rsidRPr="008608AA">
        <w:t xml:space="preserve">) from the production of specialized beef, while North America produces 0.6 gigatons </w:t>
      </w:r>
      <w:r w:rsidR="00E03ED4" w:rsidRPr="008608AA">
        <w:t>carbon dioxide</w:t>
      </w:r>
      <w:r w:rsidRPr="008608AA">
        <w:t xml:space="preserve"> equivalent (Gerber et al., 2013).  </w:t>
      </w:r>
    </w:p>
    <w:p w14:paraId="4FC20D7D" w14:textId="55C714C7" w:rsidR="00A00405" w:rsidRPr="008608AA" w:rsidRDefault="00A00405" w:rsidP="00592528">
      <w:pPr>
        <w:spacing w:after="120"/>
      </w:pPr>
      <w:r w:rsidRPr="008608AA">
        <w:t>Terrestrial ecosystems affect climate through biophysical feedbacks between vegetation and the atmosphere, and in most circumstances, this is expected to increase the effects of climate change. For example, changing land use alters the surface albedo, or the fraction of solar energy that is reflected from the earth’s surface. As tundra snow and ice melt and boreal forests migrate north, highly reflective, white surfaces are replaced by darker vegetation with lower albedo. Areas with darker surfaces absorb more solar energy, leading to higher temperatures. This can increase warming by an additional 1.6</w:t>
      </w:r>
      <w:r w:rsidRPr="008608AA">
        <w:rPr>
          <w:vertAlign w:val="superscript"/>
        </w:rPr>
        <w:t>o</w:t>
      </w:r>
      <w:r w:rsidRPr="008608AA">
        <w:t>C over the 3.3</w:t>
      </w:r>
      <w:r w:rsidRPr="008608AA">
        <w:rPr>
          <w:vertAlign w:val="superscript"/>
        </w:rPr>
        <w:t>o</w:t>
      </w:r>
      <w:r w:rsidRPr="008608AA">
        <w:t xml:space="preserve">C warming predicted if atmospheric </w:t>
      </w:r>
      <w:r w:rsidR="00E03ED4" w:rsidRPr="008608AA">
        <w:t>carbon dioxide</w:t>
      </w:r>
      <w:r w:rsidRPr="008608AA">
        <w:t xml:space="preserve"> doubles.  Similarly, the conversion of tropical forests to pasture replaces forest canopies with pasture grasses, whose leaves are smaller, with lower surface roughness and shallower roots. These traits reduce the cooling effect of evapotranspiration leading to higher local temperatures. At the regional scale, this can reduce annual rainfall and lead to a net warming effect of 1-2</w:t>
      </w:r>
      <w:r w:rsidRPr="008608AA">
        <w:rPr>
          <w:vertAlign w:val="superscript"/>
        </w:rPr>
        <w:t>o</w:t>
      </w:r>
      <w:r w:rsidRPr="008608AA">
        <w:t xml:space="preserve">C (Costa &amp; Foley, 2000; Foley et al., 2003).  </w:t>
      </w:r>
    </w:p>
    <w:p w14:paraId="3E392A8C" w14:textId="77777777" w:rsidR="00592528" w:rsidRPr="008608AA" w:rsidRDefault="00592528" w:rsidP="00592528">
      <w:pPr>
        <w:spacing w:after="120"/>
      </w:pPr>
    </w:p>
    <w:p w14:paraId="628C5FA1" w14:textId="0756E45D" w:rsidR="00A00405" w:rsidRPr="008608AA" w:rsidRDefault="0010725E" w:rsidP="00592528">
      <w:pPr>
        <w:pStyle w:val="Heading3"/>
      </w:pPr>
      <w:bookmarkStart w:id="675" w:name="_Toc517393259"/>
      <w:bookmarkStart w:id="676" w:name="_Toc517719000"/>
      <w:r>
        <w:t xml:space="preserve"> </w:t>
      </w:r>
      <w:bookmarkStart w:id="677" w:name="_Toc517796957"/>
      <w:r w:rsidR="00A00405" w:rsidRPr="008608AA">
        <w:t>Regulation of freshwater quantity, flow and timing</w:t>
      </w:r>
      <w:bookmarkEnd w:id="675"/>
      <w:bookmarkEnd w:id="676"/>
      <w:bookmarkEnd w:id="677"/>
      <w:r w:rsidR="00A00405" w:rsidRPr="008608AA">
        <w:t xml:space="preserve"> </w:t>
      </w:r>
    </w:p>
    <w:p w14:paraId="3E3DA0EB" w14:textId="686B45D4" w:rsidR="00A00405" w:rsidRPr="008608AA" w:rsidRDefault="00A00405" w:rsidP="00592528">
      <w:pPr>
        <w:spacing w:after="120"/>
      </w:pPr>
      <w:r w:rsidRPr="008608AA">
        <w:t>There is no substitute for freshwater; it is an essential contribution of nature to people.  As water cycles through the biosphere, its distribution varies in ways that determine its utility for domestic consumption (drinking, cleaning), agriculture, industry (including hydropower), transportation, and recreation (Feldman, 2012; Soloman, 2010; Gleick, 2014). Freshwater supply is regulated by terrestrial, wetland, river, floodplain and lake ecosystems. Water is also central in many cultures as a source of identity, livelihoods, as well as a source of customs that inform techniques to use and manage water (Wouters &amp; Tran, 2011).</w:t>
      </w:r>
    </w:p>
    <w:p w14:paraId="5D5333C2" w14:textId="77777777" w:rsidR="00A00405" w:rsidRPr="008608AA" w:rsidRDefault="00A00405" w:rsidP="00592528">
      <w:pPr>
        <w:spacing w:after="120"/>
      </w:pPr>
      <w:r w:rsidRPr="008608AA">
        <w:t xml:space="preserve">Freshwater ecosystems are a function of their watershed, or the hydrologically defined land area that integrates the terrestrial areas from which water drains. This includes any stressors that alter water quality and quantity, and the stakeholders that depend directly on the goods and services they supply. The seasonal stability and timing of water supplies are as important as the total annual supply for many domestic, industrial, and navigation uses (Soloman, 2010; Feldman, 2012). Some of this service provision is geophysical, including properties of reservoirs engineered to improve upon natural regulation of freshwater quantity, flow and timing. Vegetation and soils interact with the geophysical of watersheds to intercept rainfall and surface flows, store groundwater, and discharge it more uniformly into surface flows (Brooks et al., 2012). Vegetation and soils interact with the geophysical characteristics of watersheds to intercept rainfall in the canopies (Carlyle-Moses &amp; Gash, 2011), intercept surface flows, store groundwater, and discharge it more uniformly into surface flows (Brooks et al., 2012). Removal of native vegetation as well as afforestation over grasslands or savannas (Jackson et al., 2005) alters the patterns of regional water delivery (Mueller et al., 2013). </w:t>
      </w:r>
    </w:p>
    <w:p w14:paraId="5BF571E4" w14:textId="77777777" w:rsidR="00A00405" w:rsidRPr="008608AA" w:rsidRDefault="00A00405" w:rsidP="00592528">
      <w:pPr>
        <w:spacing w:after="120"/>
      </w:pPr>
      <w:r w:rsidRPr="008608AA">
        <w:t>The ecosystems most recognized for the regulation of freshwater supplies are wetlands (MA, 2005; Purkey et al., 1998) and forests (Oswalt &amp; Smith, 2014); including mountain forests in semi-arid to arid regions (Mueller et al., 2013). Wetlands contribute to groundwater storage and the stability of freshwater delivery (Lehner &amp; Doll, 2004; SCBD, 2012). Forests contribute an estimated 53% of human water supplies for the conterminous USA (Oswalt &amp; Smith, 2014). Deforestation decreases evapotranspiration and the interception of rainfall, increasing surface runoff (Foley et al., 2007) and decreasing base flows, such as from the deforested slopes of the tropical Andes (Buytaerti &amp; Breuer, 2013). Throughout the Americas, many wells, human-made water supply impoundments, and water distribution systems have been constructed to increase the reliability of freshwater supply (Cech, 2010).</w:t>
      </w:r>
    </w:p>
    <w:p w14:paraId="721F1E8D" w14:textId="43D7084A" w:rsidR="00A00405" w:rsidRPr="008608AA" w:rsidRDefault="00A00405" w:rsidP="00592528">
      <w:pPr>
        <w:spacing w:after="120"/>
      </w:pPr>
      <w:r w:rsidRPr="008608AA">
        <w:t>Freshwater supply has been the subject of economic valuation for a few wetland ecosystems. Values per hectare per year (all values are adjusted to 2016 US</w:t>
      </w:r>
      <w:r w:rsidR="00264A3D" w:rsidRPr="008608AA">
        <w:t>A dollars</w:t>
      </w:r>
      <w:r w:rsidRPr="008608AA">
        <w:t>) range from $6 (Troy &amp; Wilson, 2006), to $141 (Roberts &amp; Leitch, 1997), to</w:t>
      </w:r>
      <w:r w:rsidR="00770D8C" w:rsidRPr="008608AA">
        <w:t xml:space="preserve"> $8,942</w:t>
      </w:r>
      <w:r w:rsidRPr="008608AA">
        <w:t>. In Brazil, the economic value assigned to the exceptionally large Pantanal wetland is $54/ha/yr</w:t>
      </w:r>
      <w:r w:rsidRPr="008608AA">
        <w:rPr>
          <w:vertAlign w:val="superscript"/>
        </w:rPr>
        <w:t xml:space="preserve"> </w:t>
      </w:r>
      <w:r w:rsidRPr="008608AA">
        <w:t xml:space="preserve">(Siedl &amp; Moraes, 2000). Values vary widely as a function of the numbers and distribution of users, scarcity of freshwater supplies, and estimation methods. Market valuation of water supply for various uses may not capture the total value, which can include the nonuse value of scarce biodiversity maintained by part of the supply and various other social-cultural values.  </w:t>
      </w:r>
    </w:p>
    <w:p w14:paraId="32221EA4" w14:textId="527A52CD" w:rsidR="00592528" w:rsidRPr="008608AA" w:rsidRDefault="00A00405" w:rsidP="00592528">
      <w:pPr>
        <w:spacing w:after="120"/>
      </w:pPr>
      <w:r w:rsidRPr="008608AA">
        <w:t>In general, the Americas are rich in freshwater resources, contributing nearly 50% of the total global discharge into the oceans (Fekete et al., 1999). However, water supply varies widely across regions, especially in South America. The supply of freshwater has been subject to increasing pressure as consumptive use, pollution, and populations continue to increase (Postel, 2000; WWAP, 2009; Gleick, 2014), with an average 50% decrease in availability per capita (Figure 2.19). Still, the overall per capita availability is considered to be high in most subregions, except for the Carribean. The availability of renewable freshwater per capita in 2014 was 8,836 m</w:t>
      </w:r>
      <w:r w:rsidRPr="008608AA">
        <w:rPr>
          <w:vertAlign w:val="superscript"/>
        </w:rPr>
        <w:t xml:space="preserve">3 </w:t>
      </w:r>
      <w:r w:rsidRPr="008608AA">
        <w:t>in North America and 22,162 m</w:t>
      </w:r>
      <w:r w:rsidRPr="008608AA">
        <w:rPr>
          <w:vertAlign w:val="superscript"/>
        </w:rPr>
        <w:t>3</w:t>
      </w:r>
      <w:r w:rsidRPr="008608AA">
        <w:t xml:space="preserve"> in Latin America and the Caribbean. However, individual nations vary widely from 315,480 m</w:t>
      </w:r>
      <w:r w:rsidRPr="008608AA">
        <w:rPr>
          <w:vertAlign w:val="superscript"/>
        </w:rPr>
        <w:t xml:space="preserve">3 </w:t>
      </w:r>
      <w:r w:rsidRPr="008608AA">
        <w:t>in Guyana to the lowest supplies in the Caribbean—as low as 282 m</w:t>
      </w:r>
      <w:r w:rsidRPr="008608AA">
        <w:rPr>
          <w:vertAlign w:val="superscript"/>
        </w:rPr>
        <w:t xml:space="preserve">3 </w:t>
      </w:r>
      <w:r w:rsidRPr="008608AA">
        <w:t>in Barbados (World Bank,</w:t>
      </w:r>
      <w:r w:rsidR="00F70FEA" w:rsidRPr="008608AA">
        <w:t xml:space="preserve"> 2017</w:t>
      </w:r>
      <w:r w:rsidRPr="008608AA">
        <w:t xml:space="preserve">). Latin Americans use less than 10% of the global total while North Americans use about 15-20%, reflecting the fact that per capita use is over three times as great. </w:t>
      </w:r>
    </w:p>
    <w:p w14:paraId="1A315C79" w14:textId="17DC8253" w:rsidR="00592528" w:rsidRPr="008608AA" w:rsidRDefault="007F26AC" w:rsidP="00592528">
      <w:pPr>
        <w:spacing w:before="240" w:after="120"/>
        <w:jc w:val="center"/>
      </w:pPr>
      <w:r w:rsidRPr="008608AA">
        <w:rPr>
          <w:noProof/>
          <w:lang w:val="en-GB" w:eastAsia="en-GB"/>
        </w:rPr>
        <w:drawing>
          <wp:inline distT="0" distB="0" distL="0" distR="0" wp14:anchorId="1E49FDB2" wp14:editId="5C201023">
            <wp:extent cx="5934075" cy="4010025"/>
            <wp:effectExtent l="0" t="0" r="9525" b="9525"/>
            <wp:docPr id="229" name="Imagen 229" descr="C:\Users\Alejandro Valderrama\Downloads\Fig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7" descr="C:\Users\Alejandro Valderrama\Downloads\Fig2.19.jpg"/>
                    <pic:cNvPicPr>
                      <a:picLocks noChangeAspect="1" noChangeArrowheads="1"/>
                    </pic:cNvPicPr>
                  </pic:nvPicPr>
                  <pic:blipFill rotWithShape="1">
                    <a:blip r:embed="rId81">
                      <a:extLst>
                        <a:ext uri="{28A0092B-C50C-407E-A947-70E740481C1C}">
                          <a14:useLocalDpi xmlns:a14="http://schemas.microsoft.com/office/drawing/2010/main" val="0"/>
                        </a:ext>
                      </a:extLst>
                    </a:blip>
                    <a:srcRect b="53118"/>
                    <a:stretch/>
                  </pic:blipFill>
                  <pic:spPr bwMode="auto">
                    <a:xfrm>
                      <a:off x="0" y="0"/>
                      <a:ext cx="5934075" cy="4010025"/>
                    </a:xfrm>
                    <a:prstGeom prst="rect">
                      <a:avLst/>
                    </a:prstGeom>
                    <a:noFill/>
                    <a:ln>
                      <a:noFill/>
                    </a:ln>
                    <a:extLst>
                      <a:ext uri="{53640926-AAD7-44D8-BBD7-CCE9431645EC}">
                        <a14:shadowObscured xmlns:a14="http://schemas.microsoft.com/office/drawing/2010/main"/>
                      </a:ext>
                    </a:extLst>
                  </pic:spPr>
                </pic:pic>
              </a:graphicData>
            </a:graphic>
          </wp:inline>
        </w:drawing>
      </w:r>
    </w:p>
    <w:p w14:paraId="1CCD4F08" w14:textId="72B55DE7" w:rsidR="00A00405" w:rsidRPr="008608AA" w:rsidRDefault="00A00405" w:rsidP="00592528">
      <w:pPr>
        <w:spacing w:before="240" w:after="120"/>
      </w:pPr>
      <w:r w:rsidRPr="008608AA">
        <w:t>In general, per capita water supply remains sustainable in the Americas, with the exception of the Caribbean, but locally severe water scarcity occurs where high population density intersects with aridity, small river basins and declines in water storage in wetlands and glaciers (</w:t>
      </w:r>
      <w:r w:rsidR="00847F60" w:rsidRPr="008608AA">
        <w:t>e.g.</w:t>
      </w:r>
      <w:r w:rsidRPr="008608AA">
        <w:t xml:space="preserve"> Bogota, Quito, La Paz, Lima; Buytaert &amp; De Biever, 2012). In many high altitude (e.g. Andes) and high latitude regions, glaciers play a significant role in providing water resources for large human populations (Chevalier et al., 2011; Francou et al., 2003). In early 2000 tropical glaciers covered a total area of 1,920 km</w:t>
      </w:r>
      <w:r w:rsidRPr="008608AA">
        <w:rPr>
          <w:vertAlign w:val="superscript"/>
        </w:rPr>
        <w:t>2</w:t>
      </w:r>
      <w:r w:rsidRPr="008608AA">
        <w:t>, primarily in the Andes from Colombia to Bolivia, concentrated in Peru (70%) and Bolivia (20%) (Francou &amp; Vincent, 2007; Herzog et al., 2012). Climate warming and deglaciation poses a threat to water supplies for local communities throughout the region, and this is exacerbated by El Niño events (Francou et al., 2003). These circumstances increase reliance on technological solutions for water storage and transport, including foods imported from water rich areas (UN, 2015). For example, infrastructure such as d</w:t>
      </w:r>
      <w:r w:rsidRPr="008608AA">
        <w:rPr>
          <w:color w:val="222222"/>
        </w:rPr>
        <w:t xml:space="preserve">am building is a common means to stabilize water supplies and regulate flows, although dams also have impacts on other NCP (Palmer, 2010).  </w:t>
      </w:r>
    </w:p>
    <w:p w14:paraId="0B5DBA81" w14:textId="77777777" w:rsidR="00A00405" w:rsidRPr="008608AA" w:rsidRDefault="00A00405" w:rsidP="00592528">
      <w:pPr>
        <w:spacing w:after="120"/>
      </w:pPr>
      <w:r w:rsidRPr="008608AA">
        <w:t xml:space="preserve">However, a trade-off is that technology often adds additional stressors that can impact NCP. Water supply dams, for example, degrade fish habitat services and decrease total water quantity through surface evaporation (Lindstrom &amp; Granit, 2012). </w:t>
      </w:r>
    </w:p>
    <w:p w14:paraId="25C89D1D" w14:textId="09826A5F" w:rsidR="00A00405" w:rsidRPr="008608AA" w:rsidRDefault="00A00405" w:rsidP="00592528">
      <w:pPr>
        <w:spacing w:after="120"/>
      </w:pPr>
      <w:r w:rsidRPr="008608AA">
        <w:t>Water supply service are significantly reduced by the conversion of land to agricultural and urban-industrial uses that are less capable of intercepting runoff (Postel &amp; Thompson, 2005). Even where forested ecosystems remain largely intact, past wildfire and livestock management practices can contribute to reduced and more variable total water discharge (Postel &amp; Thomson, 2005; Mueller et al., 2013). Trends show that the conversion of natural ecosystems to agriculture, urban-industrial and other human use is decreasing in the Americas, largely as a consequence of natural areas protection, but significant rates of conversion continue in the Amazon basin and other locations in South America (Soares-Filho</w:t>
      </w:r>
      <w:r w:rsidR="00A3608A" w:rsidRPr="008608AA">
        <w:t xml:space="preserve"> et al., 2006</w:t>
      </w:r>
      <w:r w:rsidRPr="008608AA">
        <w:t xml:space="preserve">), leading to altered precipitation and water supply services. </w:t>
      </w:r>
    </w:p>
    <w:p w14:paraId="369A47D2" w14:textId="77777777" w:rsidR="00592528" w:rsidRPr="008608AA" w:rsidRDefault="00A00405" w:rsidP="00592528">
      <w:pPr>
        <w:spacing w:after="120"/>
      </w:pPr>
      <w:r w:rsidRPr="008608AA">
        <w:t>The restoration of freshwater ecosystems along with improvements in the efficiency of water use (</w:t>
      </w:r>
      <w:r w:rsidR="00847F60" w:rsidRPr="008608AA">
        <w:t>e.g.</w:t>
      </w:r>
      <w:r w:rsidRPr="008608AA">
        <w:t xml:space="preserve"> for agriculture) can reverse many trends associated with impacts to the services they provide (Postel, 2000; Bossio et al., 2009). Large-scale projects in Mesoamerica and North America, for example</w:t>
      </w:r>
      <w:r w:rsidRPr="008608AA">
        <w:rPr>
          <w:color w:val="2E2E2E"/>
        </w:rPr>
        <w:t xml:space="preserve"> efforts to restore the Florida Everglades, </w:t>
      </w:r>
      <w:r w:rsidRPr="008608AA">
        <w:t>are designed in part to quantifiably increase various benefits such as groundwater recharge as a source of drinking water for adjacent urban areas. Payment for ecosystems services can incentivize landowners to undertake reforestation and promote water security (NAS, 2016; Lamb et al., 2005).</w:t>
      </w:r>
    </w:p>
    <w:p w14:paraId="1C40287F" w14:textId="57C21389" w:rsidR="00A00405" w:rsidRPr="008608AA" w:rsidRDefault="00A00405" w:rsidP="00592528">
      <w:pPr>
        <w:spacing w:after="120"/>
        <w:rPr>
          <w:color w:val="FF0000"/>
        </w:rPr>
      </w:pPr>
      <w:r w:rsidRPr="008608AA">
        <w:t xml:space="preserve"> </w:t>
      </w:r>
    </w:p>
    <w:p w14:paraId="645E4423" w14:textId="7B773D32" w:rsidR="00A00405" w:rsidRPr="008608AA" w:rsidRDefault="0010725E" w:rsidP="00592528">
      <w:pPr>
        <w:pStyle w:val="Heading3"/>
      </w:pPr>
      <w:bookmarkStart w:id="678" w:name="_Toc517393260"/>
      <w:bookmarkStart w:id="679" w:name="_Toc517719001"/>
      <w:r>
        <w:t xml:space="preserve"> </w:t>
      </w:r>
      <w:bookmarkStart w:id="680" w:name="_Toc517796958"/>
      <w:r w:rsidR="00A00405" w:rsidRPr="008608AA">
        <w:t>Regulation of freshwater and coastal water quality</w:t>
      </w:r>
      <w:bookmarkEnd w:id="678"/>
      <w:bookmarkEnd w:id="679"/>
      <w:bookmarkEnd w:id="680"/>
      <w:r w:rsidR="00A00405" w:rsidRPr="008608AA">
        <w:t xml:space="preserve"> </w:t>
      </w:r>
    </w:p>
    <w:p w14:paraId="0F68CECE" w14:textId="30DF1BE7" w:rsidR="00A00405" w:rsidRPr="008608AA" w:rsidRDefault="00A00405" w:rsidP="00592528">
      <w:pPr>
        <w:spacing w:after="120"/>
      </w:pPr>
      <w:r w:rsidRPr="008608AA">
        <w:t>Water of suitable quality is an essential contribution of nature that directly supports human health, high levels of biodiversity, and many types of economic development. High quality water is needed for domestic, agricultural and urban uses, and indirectly contributes to the maintenance of natural fish and shellfish production, water-based recreation, option maintenance, waterborne pest and disease regulation, and other benefits addressed elsewhere in this chapter (Palmer et al., 2009; Layke, 2009; Postel &amp; Thompson, 2005; Mitsch et al</w:t>
      </w:r>
      <w:r w:rsidR="00134E5B" w:rsidRPr="008608AA">
        <w:t>.,</w:t>
      </w:r>
      <w:r w:rsidRPr="008608AA">
        <w:t xml:space="preserve"> 2001). The capacity of undisturbed terrestrial, riparian, and aquatic ecosystems to regulate water quality is well documented (e.g, Borman </w:t>
      </w:r>
      <w:r w:rsidR="00134E5B" w:rsidRPr="008608AA">
        <w:t>&amp;</w:t>
      </w:r>
      <w:r w:rsidRPr="008608AA">
        <w:t xml:space="preserve"> Likens, 1965; Fontescue, 1980; Brauman et al</w:t>
      </w:r>
      <w:r w:rsidR="00134E5B" w:rsidRPr="008608AA">
        <w:t>.,</w:t>
      </w:r>
      <w:r w:rsidRPr="008608AA">
        <w:t xml:space="preserve"> 2007; Mitsch &amp;</w:t>
      </w:r>
      <w:r w:rsidR="00D03B0D" w:rsidRPr="008608AA">
        <w:t xml:space="preserve"> Gosse</w:t>
      </w:r>
      <w:r w:rsidRPr="008608AA">
        <w:t xml:space="preserve">link, 2015; Chapin et al., 2011; Schlesinger &amp; Bernhardt, 2013). Wetlands and riparian zones are particularly effective per unit area (Mitsch &amp; Gosselink, 2015), but upland ecosystems, particularly intact forests and grasslands, are vital because of their larger expanse. Water quality improvement is derived largely from the filtration, retention and sequestration of sediment, nutrients, pathogens, and toxic metals released into the environment by agriculture, industry and mining that, left unchecked, degrade water quality (Starr, 2000; Grigal, 2003; Verhoeven et al., 2005; Sheoran &amp; Sheoran, 2006; Kahn et al., 2009; Ali et al., 2013; Brown &amp; Froemke, 2011).  </w:t>
      </w:r>
    </w:p>
    <w:p w14:paraId="42D27161" w14:textId="6871A6EF" w:rsidR="00A00405" w:rsidRPr="008608AA" w:rsidRDefault="00A00405" w:rsidP="00592528">
      <w:pPr>
        <w:spacing w:after="120"/>
      </w:pPr>
      <w:r w:rsidRPr="008608AA">
        <w:t>The benefits of water quality regulatory services have been economically valued for a variety of specific ecosystem and geographical settings, particularly wetlands. As illustrated in Table 2.11, estimates are highly variable, being dependent on environmental and social context, as well as methodology.</w:t>
      </w:r>
    </w:p>
    <w:p w14:paraId="5517F1D8" w14:textId="63237C75" w:rsidR="00593E3A" w:rsidRPr="008608AA" w:rsidRDefault="00593E3A" w:rsidP="00592528">
      <w:pPr>
        <w:spacing w:after="120"/>
      </w:pPr>
      <w:r w:rsidRPr="008608AA">
        <w:br w:type="page"/>
      </w:r>
    </w:p>
    <w:p w14:paraId="4B745D37" w14:textId="7E48B0BF" w:rsidR="00592528"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11</w:t>
      </w:r>
      <w:r w:rsidR="000E562E">
        <w:rPr>
          <w:noProof/>
        </w:rPr>
        <w:fldChar w:fldCharType="end"/>
      </w:r>
      <w:r w:rsidR="00592528" w:rsidRPr="008608AA">
        <w:t>. Estimated monetary benefit per hectare provided by the water quality regulatory services in various ecosystem types and locations.</w:t>
      </w:r>
      <w:r w:rsidR="00592528" w:rsidRPr="008608AA">
        <w:rPr>
          <w:b w:val="0"/>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089"/>
        <w:gridCol w:w="2402"/>
        <w:gridCol w:w="1939"/>
        <w:gridCol w:w="3057"/>
      </w:tblGrid>
      <w:tr w:rsidR="00A00405" w:rsidRPr="0010725E" w14:paraId="35CC27AA" w14:textId="77777777" w:rsidTr="00592528">
        <w:tc>
          <w:tcPr>
            <w:tcW w:w="1101" w:type="pct"/>
            <w:shd w:val="clear" w:color="auto" w:fill="BFBFBF" w:themeFill="background1" w:themeFillShade="BF"/>
            <w:vAlign w:val="center"/>
          </w:tcPr>
          <w:p w14:paraId="4EC9ADB2" w14:textId="77777777" w:rsidR="00A00405" w:rsidRPr="0010725E" w:rsidRDefault="00A00405" w:rsidP="00592528">
            <w:pPr>
              <w:jc w:val="center"/>
              <w:rPr>
                <w:b/>
                <w:szCs w:val="22"/>
              </w:rPr>
            </w:pPr>
            <w:r w:rsidRPr="0010725E">
              <w:rPr>
                <w:b/>
                <w:szCs w:val="22"/>
              </w:rPr>
              <w:t>Ecosystem type</w:t>
            </w:r>
          </w:p>
        </w:tc>
        <w:tc>
          <w:tcPr>
            <w:tcW w:w="1266" w:type="pct"/>
            <w:shd w:val="clear" w:color="auto" w:fill="BFBFBF" w:themeFill="background1" w:themeFillShade="BF"/>
            <w:vAlign w:val="center"/>
          </w:tcPr>
          <w:p w14:paraId="2A1973A9" w14:textId="77777777" w:rsidR="00A00405" w:rsidRPr="0010725E" w:rsidRDefault="00A00405" w:rsidP="00592528">
            <w:pPr>
              <w:jc w:val="center"/>
              <w:rPr>
                <w:b/>
                <w:szCs w:val="22"/>
              </w:rPr>
            </w:pPr>
            <w:r w:rsidRPr="0010725E">
              <w:rPr>
                <w:b/>
                <w:szCs w:val="22"/>
              </w:rPr>
              <w:t>Location</w:t>
            </w:r>
          </w:p>
        </w:tc>
        <w:tc>
          <w:tcPr>
            <w:tcW w:w="1022" w:type="pct"/>
            <w:shd w:val="clear" w:color="auto" w:fill="BFBFBF" w:themeFill="background1" w:themeFillShade="BF"/>
            <w:vAlign w:val="center"/>
          </w:tcPr>
          <w:p w14:paraId="2D76E6BF" w14:textId="77777777" w:rsidR="00A00405" w:rsidRPr="0010725E" w:rsidRDefault="00A00405" w:rsidP="00592528">
            <w:pPr>
              <w:jc w:val="center"/>
              <w:rPr>
                <w:b/>
                <w:szCs w:val="22"/>
              </w:rPr>
            </w:pPr>
            <w:r w:rsidRPr="0010725E">
              <w:rPr>
                <w:b/>
                <w:szCs w:val="22"/>
              </w:rPr>
              <w:t>Economic Value (US $/ha/yr)</w:t>
            </w:r>
          </w:p>
        </w:tc>
        <w:tc>
          <w:tcPr>
            <w:tcW w:w="1612" w:type="pct"/>
            <w:shd w:val="clear" w:color="auto" w:fill="BFBFBF" w:themeFill="background1" w:themeFillShade="BF"/>
            <w:vAlign w:val="center"/>
          </w:tcPr>
          <w:p w14:paraId="457F0ABF" w14:textId="77777777" w:rsidR="00A00405" w:rsidRPr="0010725E" w:rsidRDefault="00A00405" w:rsidP="00592528">
            <w:pPr>
              <w:jc w:val="center"/>
              <w:rPr>
                <w:b/>
                <w:szCs w:val="22"/>
              </w:rPr>
            </w:pPr>
            <w:r w:rsidRPr="0010725E">
              <w:rPr>
                <w:b/>
                <w:szCs w:val="22"/>
              </w:rPr>
              <w:t>References</w:t>
            </w:r>
          </w:p>
        </w:tc>
      </w:tr>
      <w:tr w:rsidR="00A00405" w:rsidRPr="0010725E" w14:paraId="2B518E10" w14:textId="77777777" w:rsidTr="00592528">
        <w:tc>
          <w:tcPr>
            <w:tcW w:w="1101" w:type="pct"/>
          </w:tcPr>
          <w:p w14:paraId="741A7C45" w14:textId="77777777" w:rsidR="00A00405" w:rsidRPr="0010725E" w:rsidRDefault="00A00405" w:rsidP="00A00405">
            <w:pPr>
              <w:rPr>
                <w:b/>
                <w:szCs w:val="22"/>
              </w:rPr>
            </w:pPr>
            <w:r w:rsidRPr="0010725E">
              <w:rPr>
                <w:b/>
                <w:szCs w:val="22"/>
              </w:rPr>
              <w:t>Inland Wetlands</w:t>
            </w:r>
          </w:p>
        </w:tc>
        <w:tc>
          <w:tcPr>
            <w:tcW w:w="1266" w:type="pct"/>
          </w:tcPr>
          <w:p w14:paraId="371E6944" w14:textId="77777777" w:rsidR="00A00405" w:rsidRPr="0010725E" w:rsidRDefault="00A00405" w:rsidP="00A00405">
            <w:pPr>
              <w:rPr>
                <w:szCs w:val="22"/>
              </w:rPr>
            </w:pPr>
            <w:r w:rsidRPr="0010725E">
              <w:rPr>
                <w:szCs w:val="22"/>
              </w:rPr>
              <w:t>North America</w:t>
            </w:r>
          </w:p>
        </w:tc>
        <w:tc>
          <w:tcPr>
            <w:tcW w:w="1022" w:type="pct"/>
          </w:tcPr>
          <w:p w14:paraId="24B91578" w14:textId="77777777" w:rsidR="00A00405" w:rsidRPr="0010725E" w:rsidRDefault="00A00405" w:rsidP="00A00405">
            <w:pPr>
              <w:jc w:val="right"/>
              <w:rPr>
                <w:szCs w:val="22"/>
              </w:rPr>
            </w:pPr>
            <w:r w:rsidRPr="0010725E">
              <w:rPr>
                <w:szCs w:val="22"/>
              </w:rPr>
              <w:t>1,011 - 2,087</w:t>
            </w:r>
          </w:p>
        </w:tc>
        <w:tc>
          <w:tcPr>
            <w:tcW w:w="1612" w:type="pct"/>
          </w:tcPr>
          <w:p w14:paraId="6B79662C" w14:textId="77777777" w:rsidR="00A00405" w:rsidRPr="0010725E" w:rsidRDefault="00A00405" w:rsidP="00A00405">
            <w:pPr>
              <w:rPr>
                <w:szCs w:val="22"/>
              </w:rPr>
            </w:pPr>
            <w:r w:rsidRPr="0010725E">
              <w:rPr>
                <w:szCs w:val="22"/>
              </w:rPr>
              <w:t xml:space="preserve">Jenkins </w:t>
            </w:r>
            <w:r w:rsidRPr="0010725E">
              <w:rPr>
                <w:i/>
                <w:szCs w:val="22"/>
              </w:rPr>
              <w:t>et al.</w:t>
            </w:r>
            <w:r w:rsidRPr="0010725E">
              <w:rPr>
                <w:szCs w:val="22"/>
              </w:rPr>
              <w:t xml:space="preserve"> (2010)</w:t>
            </w:r>
          </w:p>
        </w:tc>
      </w:tr>
      <w:tr w:rsidR="00A00405" w:rsidRPr="0010725E" w14:paraId="089EBF17" w14:textId="77777777" w:rsidTr="00592528">
        <w:tc>
          <w:tcPr>
            <w:tcW w:w="1101" w:type="pct"/>
          </w:tcPr>
          <w:p w14:paraId="72C3BAD3" w14:textId="77777777" w:rsidR="00A00405" w:rsidRPr="0010725E" w:rsidRDefault="00A00405" w:rsidP="00A00405">
            <w:pPr>
              <w:rPr>
                <w:b/>
                <w:szCs w:val="22"/>
              </w:rPr>
            </w:pPr>
          </w:p>
        </w:tc>
        <w:tc>
          <w:tcPr>
            <w:tcW w:w="1266" w:type="pct"/>
          </w:tcPr>
          <w:p w14:paraId="59E327A3" w14:textId="77777777" w:rsidR="00A00405" w:rsidRPr="0010725E" w:rsidRDefault="00A00405" w:rsidP="00A00405">
            <w:pPr>
              <w:rPr>
                <w:szCs w:val="22"/>
              </w:rPr>
            </w:pPr>
            <w:r w:rsidRPr="0010725E">
              <w:rPr>
                <w:szCs w:val="22"/>
              </w:rPr>
              <w:t>North America</w:t>
            </w:r>
          </w:p>
        </w:tc>
        <w:tc>
          <w:tcPr>
            <w:tcW w:w="1022" w:type="pct"/>
          </w:tcPr>
          <w:p w14:paraId="7A748322" w14:textId="77777777" w:rsidR="00A00405" w:rsidRPr="0010725E" w:rsidRDefault="00A00405" w:rsidP="00A00405">
            <w:pPr>
              <w:jc w:val="right"/>
              <w:rPr>
                <w:szCs w:val="22"/>
              </w:rPr>
            </w:pPr>
            <w:r w:rsidRPr="0010725E">
              <w:rPr>
                <w:szCs w:val="22"/>
              </w:rPr>
              <w:t>31,235</w:t>
            </w:r>
          </w:p>
        </w:tc>
        <w:tc>
          <w:tcPr>
            <w:tcW w:w="1612" w:type="pct"/>
          </w:tcPr>
          <w:p w14:paraId="62D7B745" w14:textId="7C237206" w:rsidR="00A00405" w:rsidRPr="0010725E" w:rsidRDefault="00A00405" w:rsidP="001F130A">
            <w:pPr>
              <w:rPr>
                <w:szCs w:val="22"/>
              </w:rPr>
            </w:pPr>
            <w:r w:rsidRPr="0010725E">
              <w:rPr>
                <w:szCs w:val="22"/>
              </w:rPr>
              <w:t xml:space="preserve">Troy </w:t>
            </w:r>
            <w:r w:rsidR="001F130A" w:rsidRPr="0010725E">
              <w:rPr>
                <w:szCs w:val="22"/>
              </w:rPr>
              <w:t>&amp;</w:t>
            </w:r>
            <w:r w:rsidRPr="0010725E">
              <w:rPr>
                <w:szCs w:val="22"/>
              </w:rPr>
              <w:t>Wilson (2006)</w:t>
            </w:r>
          </w:p>
        </w:tc>
      </w:tr>
      <w:tr w:rsidR="00A00405" w:rsidRPr="0010725E" w14:paraId="047262D7" w14:textId="77777777" w:rsidTr="00592528">
        <w:tc>
          <w:tcPr>
            <w:tcW w:w="1101" w:type="pct"/>
          </w:tcPr>
          <w:p w14:paraId="4D1593D8" w14:textId="77777777" w:rsidR="00A00405" w:rsidRPr="0010725E" w:rsidRDefault="00A00405" w:rsidP="00A00405">
            <w:pPr>
              <w:rPr>
                <w:b/>
                <w:szCs w:val="22"/>
              </w:rPr>
            </w:pPr>
          </w:p>
        </w:tc>
        <w:tc>
          <w:tcPr>
            <w:tcW w:w="1266" w:type="pct"/>
          </w:tcPr>
          <w:p w14:paraId="4FD5B20A" w14:textId="77777777" w:rsidR="00A00405" w:rsidRPr="0010725E" w:rsidRDefault="00A00405" w:rsidP="00A00405">
            <w:pPr>
              <w:rPr>
                <w:szCs w:val="22"/>
              </w:rPr>
            </w:pPr>
            <w:r w:rsidRPr="0010725E">
              <w:rPr>
                <w:szCs w:val="22"/>
              </w:rPr>
              <w:t xml:space="preserve">South America (Brazil) </w:t>
            </w:r>
          </w:p>
        </w:tc>
        <w:tc>
          <w:tcPr>
            <w:tcW w:w="1022" w:type="pct"/>
          </w:tcPr>
          <w:p w14:paraId="541C0B0A" w14:textId="77777777" w:rsidR="00A00405" w:rsidRPr="0010725E" w:rsidRDefault="00A00405" w:rsidP="00A00405">
            <w:pPr>
              <w:jc w:val="right"/>
              <w:rPr>
                <w:szCs w:val="22"/>
              </w:rPr>
            </w:pPr>
            <w:r w:rsidRPr="0010725E">
              <w:rPr>
                <w:szCs w:val="22"/>
              </w:rPr>
              <w:t>14</w:t>
            </w:r>
          </w:p>
        </w:tc>
        <w:tc>
          <w:tcPr>
            <w:tcW w:w="1612" w:type="pct"/>
          </w:tcPr>
          <w:p w14:paraId="52E05D91" w14:textId="30059474" w:rsidR="00A00405" w:rsidRPr="0010725E" w:rsidRDefault="00A00405" w:rsidP="001F130A">
            <w:pPr>
              <w:rPr>
                <w:szCs w:val="22"/>
              </w:rPr>
            </w:pPr>
            <w:r w:rsidRPr="0010725E">
              <w:rPr>
                <w:szCs w:val="22"/>
              </w:rPr>
              <w:t xml:space="preserve">Siedl </w:t>
            </w:r>
            <w:r w:rsidR="001F130A" w:rsidRPr="0010725E">
              <w:rPr>
                <w:szCs w:val="22"/>
              </w:rPr>
              <w:t>&amp;</w:t>
            </w:r>
            <w:r w:rsidRPr="0010725E">
              <w:rPr>
                <w:szCs w:val="22"/>
              </w:rPr>
              <w:t>Moraes (2000)</w:t>
            </w:r>
          </w:p>
        </w:tc>
      </w:tr>
      <w:tr w:rsidR="00A00405" w:rsidRPr="0010725E" w14:paraId="1FFE06B8" w14:textId="77777777" w:rsidTr="00592528">
        <w:tc>
          <w:tcPr>
            <w:tcW w:w="1101" w:type="pct"/>
          </w:tcPr>
          <w:p w14:paraId="33467972" w14:textId="77777777" w:rsidR="00A00405" w:rsidRPr="0010725E" w:rsidRDefault="00A00405" w:rsidP="00A00405">
            <w:pPr>
              <w:rPr>
                <w:b/>
                <w:szCs w:val="22"/>
              </w:rPr>
            </w:pPr>
            <w:r w:rsidRPr="0010725E">
              <w:rPr>
                <w:b/>
                <w:szCs w:val="22"/>
              </w:rPr>
              <w:t>Coastal Wetlands</w:t>
            </w:r>
          </w:p>
        </w:tc>
        <w:tc>
          <w:tcPr>
            <w:tcW w:w="1266" w:type="pct"/>
          </w:tcPr>
          <w:p w14:paraId="31ADCBC1" w14:textId="77777777" w:rsidR="00A00405" w:rsidRPr="0010725E" w:rsidRDefault="00A00405" w:rsidP="00A00405">
            <w:pPr>
              <w:rPr>
                <w:szCs w:val="22"/>
              </w:rPr>
            </w:pPr>
            <w:r w:rsidRPr="0010725E">
              <w:rPr>
                <w:szCs w:val="22"/>
              </w:rPr>
              <w:t>North America</w:t>
            </w:r>
          </w:p>
        </w:tc>
        <w:tc>
          <w:tcPr>
            <w:tcW w:w="1022" w:type="pct"/>
          </w:tcPr>
          <w:p w14:paraId="736E6D92" w14:textId="77777777" w:rsidR="00A00405" w:rsidRPr="0010725E" w:rsidRDefault="00A00405" w:rsidP="00A00405">
            <w:pPr>
              <w:jc w:val="right"/>
              <w:rPr>
                <w:szCs w:val="22"/>
              </w:rPr>
            </w:pPr>
            <w:r w:rsidRPr="0010725E">
              <w:rPr>
                <w:szCs w:val="22"/>
              </w:rPr>
              <w:t>260</w:t>
            </w:r>
          </w:p>
        </w:tc>
        <w:tc>
          <w:tcPr>
            <w:tcW w:w="1612" w:type="pct"/>
          </w:tcPr>
          <w:p w14:paraId="6E6E7EA9" w14:textId="2F252269" w:rsidR="00A00405" w:rsidRPr="0010725E" w:rsidRDefault="00A00405" w:rsidP="001F130A">
            <w:pPr>
              <w:rPr>
                <w:szCs w:val="22"/>
              </w:rPr>
            </w:pPr>
            <w:r w:rsidRPr="0010725E">
              <w:rPr>
                <w:szCs w:val="22"/>
              </w:rPr>
              <w:t xml:space="preserve">Troy </w:t>
            </w:r>
            <w:r w:rsidR="001F130A" w:rsidRPr="0010725E">
              <w:rPr>
                <w:szCs w:val="22"/>
              </w:rPr>
              <w:t>&amp;</w:t>
            </w:r>
            <w:r w:rsidRPr="0010725E">
              <w:rPr>
                <w:szCs w:val="22"/>
              </w:rPr>
              <w:t xml:space="preserve"> Wilson (2006)</w:t>
            </w:r>
          </w:p>
        </w:tc>
      </w:tr>
      <w:tr w:rsidR="00A00405" w:rsidRPr="0010725E" w14:paraId="73E7D286" w14:textId="77777777" w:rsidTr="00592528">
        <w:tc>
          <w:tcPr>
            <w:tcW w:w="1101" w:type="pct"/>
          </w:tcPr>
          <w:p w14:paraId="6F5474EB" w14:textId="77777777" w:rsidR="00A00405" w:rsidRPr="0010725E" w:rsidRDefault="00A00405" w:rsidP="00A00405">
            <w:pPr>
              <w:rPr>
                <w:b/>
                <w:szCs w:val="22"/>
              </w:rPr>
            </w:pPr>
          </w:p>
        </w:tc>
        <w:tc>
          <w:tcPr>
            <w:tcW w:w="1266" w:type="pct"/>
          </w:tcPr>
          <w:p w14:paraId="16163E6E" w14:textId="77777777" w:rsidR="00A00405" w:rsidRPr="0010725E" w:rsidRDefault="00A00405" w:rsidP="00A00405">
            <w:pPr>
              <w:rPr>
                <w:szCs w:val="22"/>
              </w:rPr>
            </w:pPr>
            <w:r w:rsidRPr="0010725E">
              <w:rPr>
                <w:szCs w:val="22"/>
              </w:rPr>
              <w:t>North America</w:t>
            </w:r>
          </w:p>
        </w:tc>
        <w:tc>
          <w:tcPr>
            <w:tcW w:w="1022" w:type="pct"/>
          </w:tcPr>
          <w:p w14:paraId="6E65BA87" w14:textId="77777777" w:rsidR="00A00405" w:rsidRPr="0010725E" w:rsidRDefault="00A00405" w:rsidP="00A00405">
            <w:pPr>
              <w:jc w:val="right"/>
              <w:rPr>
                <w:szCs w:val="22"/>
              </w:rPr>
            </w:pPr>
            <w:r w:rsidRPr="0010725E">
              <w:rPr>
                <w:szCs w:val="22"/>
              </w:rPr>
              <w:t>3,060 - 135,330</w:t>
            </w:r>
          </w:p>
        </w:tc>
        <w:tc>
          <w:tcPr>
            <w:tcW w:w="1612" w:type="pct"/>
          </w:tcPr>
          <w:p w14:paraId="4FB1D291" w14:textId="4907F4C0" w:rsidR="00A00405" w:rsidRPr="0010725E" w:rsidRDefault="00A00405" w:rsidP="00A00405">
            <w:pPr>
              <w:rPr>
                <w:szCs w:val="22"/>
              </w:rPr>
            </w:pPr>
            <w:r w:rsidRPr="0010725E">
              <w:rPr>
                <w:szCs w:val="22"/>
              </w:rPr>
              <w:t xml:space="preserve">Breaux </w:t>
            </w:r>
            <w:r w:rsidR="001F130A" w:rsidRPr="0010725E">
              <w:rPr>
                <w:i/>
                <w:szCs w:val="22"/>
              </w:rPr>
              <w:t>et al.</w:t>
            </w:r>
            <w:r w:rsidRPr="0010725E">
              <w:rPr>
                <w:szCs w:val="22"/>
              </w:rPr>
              <w:t>. (1995)</w:t>
            </w:r>
          </w:p>
        </w:tc>
      </w:tr>
      <w:tr w:rsidR="00A00405" w:rsidRPr="0010725E" w14:paraId="7AD4B494" w14:textId="77777777" w:rsidTr="00592528">
        <w:tc>
          <w:tcPr>
            <w:tcW w:w="1101" w:type="pct"/>
          </w:tcPr>
          <w:p w14:paraId="1F845452" w14:textId="77777777" w:rsidR="00A00405" w:rsidRPr="0010725E" w:rsidRDefault="00A00405" w:rsidP="00A00405">
            <w:pPr>
              <w:rPr>
                <w:b/>
                <w:szCs w:val="22"/>
              </w:rPr>
            </w:pPr>
          </w:p>
        </w:tc>
        <w:tc>
          <w:tcPr>
            <w:tcW w:w="1266" w:type="pct"/>
          </w:tcPr>
          <w:p w14:paraId="32A38829" w14:textId="77777777" w:rsidR="00A00405" w:rsidRPr="0010725E" w:rsidRDefault="00A00405" w:rsidP="00A00405">
            <w:pPr>
              <w:rPr>
                <w:szCs w:val="22"/>
              </w:rPr>
            </w:pPr>
            <w:r w:rsidRPr="0010725E">
              <w:rPr>
                <w:szCs w:val="22"/>
              </w:rPr>
              <w:t>North America</w:t>
            </w:r>
          </w:p>
        </w:tc>
        <w:tc>
          <w:tcPr>
            <w:tcW w:w="1022" w:type="pct"/>
          </w:tcPr>
          <w:p w14:paraId="46AB537A" w14:textId="77777777" w:rsidR="00A00405" w:rsidRPr="0010725E" w:rsidRDefault="00A00405" w:rsidP="00A00405">
            <w:pPr>
              <w:jc w:val="right"/>
              <w:rPr>
                <w:szCs w:val="22"/>
              </w:rPr>
            </w:pPr>
            <w:r w:rsidRPr="0010725E">
              <w:rPr>
                <w:szCs w:val="22"/>
              </w:rPr>
              <w:t>17,840</w:t>
            </w:r>
          </w:p>
        </w:tc>
        <w:tc>
          <w:tcPr>
            <w:tcW w:w="1612" w:type="pct"/>
          </w:tcPr>
          <w:p w14:paraId="35AE4D35" w14:textId="5B3F95BA" w:rsidR="00A00405" w:rsidRPr="0010725E" w:rsidRDefault="00A00405" w:rsidP="00A00405">
            <w:pPr>
              <w:rPr>
                <w:szCs w:val="22"/>
              </w:rPr>
            </w:pPr>
            <w:r w:rsidRPr="0010725E">
              <w:rPr>
                <w:szCs w:val="22"/>
              </w:rPr>
              <w:t xml:space="preserve">Costanza </w:t>
            </w:r>
            <w:r w:rsidR="001F130A" w:rsidRPr="0010725E">
              <w:rPr>
                <w:i/>
                <w:szCs w:val="22"/>
              </w:rPr>
              <w:t>et al.</w:t>
            </w:r>
            <w:r w:rsidRPr="0010725E">
              <w:rPr>
                <w:szCs w:val="22"/>
              </w:rPr>
              <w:t>. (2006)</w:t>
            </w:r>
          </w:p>
        </w:tc>
      </w:tr>
      <w:tr w:rsidR="00A00405" w:rsidRPr="0010725E" w14:paraId="2D491589" w14:textId="77777777" w:rsidTr="00592528">
        <w:tc>
          <w:tcPr>
            <w:tcW w:w="1101" w:type="pct"/>
          </w:tcPr>
          <w:p w14:paraId="4D209929" w14:textId="77777777" w:rsidR="00A00405" w:rsidRPr="0010725E" w:rsidRDefault="00A00405" w:rsidP="00A00405">
            <w:pPr>
              <w:rPr>
                <w:b/>
                <w:szCs w:val="22"/>
              </w:rPr>
            </w:pPr>
          </w:p>
        </w:tc>
        <w:tc>
          <w:tcPr>
            <w:tcW w:w="1266" w:type="pct"/>
          </w:tcPr>
          <w:p w14:paraId="76A09C6C" w14:textId="77777777" w:rsidR="00A00405" w:rsidRPr="0010725E" w:rsidRDefault="00A00405" w:rsidP="00A00405">
            <w:pPr>
              <w:rPr>
                <w:szCs w:val="22"/>
              </w:rPr>
            </w:pPr>
            <w:r w:rsidRPr="0010725E">
              <w:rPr>
                <w:szCs w:val="22"/>
              </w:rPr>
              <w:t>North America</w:t>
            </w:r>
          </w:p>
        </w:tc>
        <w:tc>
          <w:tcPr>
            <w:tcW w:w="1022" w:type="pct"/>
          </w:tcPr>
          <w:p w14:paraId="0A9DD5F8" w14:textId="77777777" w:rsidR="00A00405" w:rsidRPr="0010725E" w:rsidRDefault="00A00405" w:rsidP="00A00405">
            <w:pPr>
              <w:jc w:val="right"/>
              <w:rPr>
                <w:szCs w:val="22"/>
              </w:rPr>
            </w:pPr>
            <w:r w:rsidRPr="0010725E">
              <w:rPr>
                <w:szCs w:val="22"/>
              </w:rPr>
              <w:t>19,013</w:t>
            </w:r>
          </w:p>
        </w:tc>
        <w:tc>
          <w:tcPr>
            <w:tcW w:w="1612" w:type="pct"/>
          </w:tcPr>
          <w:p w14:paraId="642652F3" w14:textId="40E14C0F" w:rsidR="00A00405" w:rsidRPr="0010725E" w:rsidRDefault="00A00405" w:rsidP="001F130A">
            <w:pPr>
              <w:rPr>
                <w:szCs w:val="22"/>
              </w:rPr>
            </w:pPr>
            <w:r w:rsidRPr="0010725E">
              <w:rPr>
                <w:szCs w:val="22"/>
              </w:rPr>
              <w:t xml:space="preserve">Thibodeau </w:t>
            </w:r>
            <w:r w:rsidR="001F130A" w:rsidRPr="0010725E">
              <w:rPr>
                <w:szCs w:val="22"/>
              </w:rPr>
              <w:t>&amp;</w:t>
            </w:r>
            <w:r w:rsidRPr="0010725E">
              <w:rPr>
                <w:szCs w:val="22"/>
              </w:rPr>
              <w:t xml:space="preserve"> Ostro (1981)</w:t>
            </w:r>
          </w:p>
        </w:tc>
      </w:tr>
      <w:tr w:rsidR="00A00405" w:rsidRPr="0010725E" w14:paraId="264BEE85" w14:textId="77777777" w:rsidTr="00592528">
        <w:tc>
          <w:tcPr>
            <w:tcW w:w="1101" w:type="pct"/>
          </w:tcPr>
          <w:p w14:paraId="67CBF9C4" w14:textId="77777777" w:rsidR="00A00405" w:rsidRPr="0010725E" w:rsidRDefault="00A00405" w:rsidP="00A00405">
            <w:pPr>
              <w:rPr>
                <w:b/>
                <w:szCs w:val="22"/>
              </w:rPr>
            </w:pPr>
          </w:p>
        </w:tc>
        <w:tc>
          <w:tcPr>
            <w:tcW w:w="1266" w:type="pct"/>
          </w:tcPr>
          <w:p w14:paraId="1739BB9B" w14:textId="77777777" w:rsidR="00A00405" w:rsidRPr="0010725E" w:rsidRDefault="00A00405" w:rsidP="00A00405">
            <w:pPr>
              <w:rPr>
                <w:szCs w:val="22"/>
              </w:rPr>
            </w:pPr>
            <w:r w:rsidRPr="0010725E">
              <w:rPr>
                <w:szCs w:val="22"/>
              </w:rPr>
              <w:t>Mesoamerica</w:t>
            </w:r>
          </w:p>
        </w:tc>
        <w:tc>
          <w:tcPr>
            <w:tcW w:w="1022" w:type="pct"/>
          </w:tcPr>
          <w:p w14:paraId="1CDEF643" w14:textId="77777777" w:rsidR="00A00405" w:rsidRPr="0010725E" w:rsidRDefault="00A00405" w:rsidP="00A00405">
            <w:pPr>
              <w:jc w:val="right"/>
              <w:rPr>
                <w:szCs w:val="22"/>
              </w:rPr>
            </w:pPr>
            <w:r w:rsidRPr="0010725E">
              <w:rPr>
                <w:szCs w:val="22"/>
              </w:rPr>
              <w:t>1,757</w:t>
            </w:r>
          </w:p>
        </w:tc>
        <w:tc>
          <w:tcPr>
            <w:tcW w:w="1612" w:type="pct"/>
          </w:tcPr>
          <w:p w14:paraId="309A30B9" w14:textId="6A7DDB2B" w:rsidR="00A00405" w:rsidRPr="0010725E" w:rsidRDefault="00A00405" w:rsidP="00A00405">
            <w:pPr>
              <w:rPr>
                <w:szCs w:val="22"/>
              </w:rPr>
            </w:pPr>
            <w:r w:rsidRPr="0010725E">
              <w:rPr>
                <w:szCs w:val="22"/>
              </w:rPr>
              <w:t xml:space="preserve">Cabrera </w:t>
            </w:r>
            <w:r w:rsidR="001F130A" w:rsidRPr="0010725E">
              <w:rPr>
                <w:i/>
                <w:szCs w:val="22"/>
              </w:rPr>
              <w:t>et al.</w:t>
            </w:r>
            <w:r w:rsidR="001F130A" w:rsidRPr="0010725E">
              <w:rPr>
                <w:szCs w:val="22"/>
              </w:rPr>
              <w:t xml:space="preserve"> </w:t>
            </w:r>
            <w:r w:rsidRPr="0010725E">
              <w:rPr>
                <w:szCs w:val="22"/>
              </w:rPr>
              <w:t>(1998)</w:t>
            </w:r>
          </w:p>
        </w:tc>
      </w:tr>
      <w:tr w:rsidR="00A00405" w:rsidRPr="0010725E" w14:paraId="44AC0920" w14:textId="77777777" w:rsidTr="00592528">
        <w:tc>
          <w:tcPr>
            <w:tcW w:w="1101" w:type="pct"/>
          </w:tcPr>
          <w:p w14:paraId="4A0A1877" w14:textId="77777777" w:rsidR="00A00405" w:rsidRPr="0010725E" w:rsidRDefault="00A00405" w:rsidP="00A00405">
            <w:pPr>
              <w:rPr>
                <w:b/>
                <w:szCs w:val="22"/>
              </w:rPr>
            </w:pPr>
          </w:p>
        </w:tc>
        <w:tc>
          <w:tcPr>
            <w:tcW w:w="1266" w:type="pct"/>
          </w:tcPr>
          <w:p w14:paraId="00597742" w14:textId="77777777" w:rsidR="00A00405" w:rsidRPr="0010725E" w:rsidRDefault="00A00405" w:rsidP="00A00405">
            <w:pPr>
              <w:rPr>
                <w:szCs w:val="22"/>
              </w:rPr>
            </w:pPr>
            <w:r w:rsidRPr="0010725E">
              <w:rPr>
                <w:szCs w:val="22"/>
              </w:rPr>
              <w:t>Mesoamerica</w:t>
            </w:r>
          </w:p>
        </w:tc>
        <w:tc>
          <w:tcPr>
            <w:tcW w:w="1022" w:type="pct"/>
          </w:tcPr>
          <w:p w14:paraId="0340D348" w14:textId="77777777" w:rsidR="00A00405" w:rsidRPr="0010725E" w:rsidRDefault="00A00405" w:rsidP="00A00405">
            <w:pPr>
              <w:jc w:val="right"/>
              <w:rPr>
                <w:szCs w:val="22"/>
              </w:rPr>
            </w:pPr>
            <w:r w:rsidRPr="0010725E">
              <w:rPr>
                <w:szCs w:val="22"/>
              </w:rPr>
              <w:t>28,529</w:t>
            </w:r>
          </w:p>
        </w:tc>
        <w:tc>
          <w:tcPr>
            <w:tcW w:w="1612" w:type="pct"/>
          </w:tcPr>
          <w:p w14:paraId="68F61C64" w14:textId="15A9D06E" w:rsidR="00A00405" w:rsidRPr="0010725E" w:rsidRDefault="00A00405" w:rsidP="00A00405">
            <w:pPr>
              <w:rPr>
                <w:szCs w:val="22"/>
              </w:rPr>
            </w:pPr>
            <w:r w:rsidRPr="0010725E">
              <w:rPr>
                <w:szCs w:val="22"/>
              </w:rPr>
              <w:t xml:space="preserve">Camacho-Valdez </w:t>
            </w:r>
            <w:r w:rsidR="001F130A" w:rsidRPr="0010725E">
              <w:rPr>
                <w:i/>
                <w:szCs w:val="22"/>
              </w:rPr>
              <w:t>et al.</w:t>
            </w:r>
            <w:r w:rsidR="001F130A" w:rsidRPr="0010725E">
              <w:rPr>
                <w:szCs w:val="22"/>
              </w:rPr>
              <w:t xml:space="preserve"> </w:t>
            </w:r>
            <w:r w:rsidRPr="0010725E">
              <w:rPr>
                <w:szCs w:val="22"/>
              </w:rPr>
              <w:t>(2013)</w:t>
            </w:r>
          </w:p>
        </w:tc>
      </w:tr>
      <w:tr w:rsidR="00A00405" w:rsidRPr="0010725E" w14:paraId="352679B4" w14:textId="77777777" w:rsidTr="00592528">
        <w:tc>
          <w:tcPr>
            <w:tcW w:w="1101" w:type="pct"/>
          </w:tcPr>
          <w:p w14:paraId="16E6DE41" w14:textId="77777777" w:rsidR="00A00405" w:rsidRPr="0010725E" w:rsidRDefault="00A00405" w:rsidP="00A00405">
            <w:pPr>
              <w:rPr>
                <w:b/>
                <w:szCs w:val="22"/>
              </w:rPr>
            </w:pPr>
            <w:r w:rsidRPr="0010725E">
              <w:rPr>
                <w:b/>
                <w:szCs w:val="22"/>
              </w:rPr>
              <w:t>Forests</w:t>
            </w:r>
          </w:p>
        </w:tc>
        <w:tc>
          <w:tcPr>
            <w:tcW w:w="1266" w:type="pct"/>
          </w:tcPr>
          <w:p w14:paraId="31E91DFC" w14:textId="77777777" w:rsidR="00A00405" w:rsidRPr="0010725E" w:rsidRDefault="00A00405" w:rsidP="00A00405">
            <w:pPr>
              <w:rPr>
                <w:szCs w:val="22"/>
              </w:rPr>
            </w:pPr>
            <w:r w:rsidRPr="0010725E">
              <w:rPr>
                <w:szCs w:val="22"/>
              </w:rPr>
              <w:t>Mesoamerica</w:t>
            </w:r>
          </w:p>
        </w:tc>
        <w:tc>
          <w:tcPr>
            <w:tcW w:w="1022" w:type="pct"/>
          </w:tcPr>
          <w:p w14:paraId="57301321" w14:textId="77777777" w:rsidR="00A00405" w:rsidRPr="0010725E" w:rsidRDefault="00A00405" w:rsidP="00A00405">
            <w:pPr>
              <w:jc w:val="right"/>
              <w:rPr>
                <w:szCs w:val="22"/>
              </w:rPr>
            </w:pPr>
            <w:r w:rsidRPr="0010725E">
              <w:rPr>
                <w:szCs w:val="22"/>
              </w:rPr>
              <w:t>17</w:t>
            </w:r>
          </w:p>
        </w:tc>
        <w:tc>
          <w:tcPr>
            <w:tcW w:w="1612" w:type="pct"/>
          </w:tcPr>
          <w:p w14:paraId="6A5AB6DF" w14:textId="77777777" w:rsidR="00A00405" w:rsidRPr="0010725E" w:rsidRDefault="00A00405" w:rsidP="00A00405">
            <w:pPr>
              <w:rPr>
                <w:szCs w:val="22"/>
              </w:rPr>
            </w:pPr>
            <w:r w:rsidRPr="0010725E">
              <w:rPr>
                <w:szCs w:val="22"/>
              </w:rPr>
              <w:t xml:space="preserve">Ammour </w:t>
            </w:r>
            <w:r w:rsidRPr="0010725E">
              <w:rPr>
                <w:i/>
                <w:szCs w:val="22"/>
              </w:rPr>
              <w:t>et al.</w:t>
            </w:r>
            <w:r w:rsidRPr="0010725E">
              <w:rPr>
                <w:szCs w:val="22"/>
              </w:rPr>
              <w:t xml:space="preserve"> (2000)</w:t>
            </w:r>
          </w:p>
        </w:tc>
      </w:tr>
      <w:tr w:rsidR="00A00405" w:rsidRPr="0010725E" w14:paraId="0E7F474B" w14:textId="77777777" w:rsidTr="00592528">
        <w:tc>
          <w:tcPr>
            <w:tcW w:w="1101" w:type="pct"/>
          </w:tcPr>
          <w:p w14:paraId="2017CF6D" w14:textId="77777777" w:rsidR="00A00405" w:rsidRPr="0010725E" w:rsidRDefault="00A00405" w:rsidP="00A00405">
            <w:pPr>
              <w:rPr>
                <w:b/>
                <w:szCs w:val="22"/>
              </w:rPr>
            </w:pPr>
          </w:p>
        </w:tc>
        <w:tc>
          <w:tcPr>
            <w:tcW w:w="1266" w:type="pct"/>
          </w:tcPr>
          <w:p w14:paraId="4C7D44B1" w14:textId="77777777" w:rsidR="00A00405" w:rsidRPr="0010725E" w:rsidRDefault="00A00405" w:rsidP="00A00405">
            <w:pPr>
              <w:rPr>
                <w:szCs w:val="22"/>
              </w:rPr>
            </w:pPr>
            <w:r w:rsidRPr="0010725E">
              <w:rPr>
                <w:szCs w:val="22"/>
              </w:rPr>
              <w:t>Global Tropical</w:t>
            </w:r>
          </w:p>
        </w:tc>
        <w:tc>
          <w:tcPr>
            <w:tcW w:w="1022" w:type="pct"/>
          </w:tcPr>
          <w:p w14:paraId="7CC107B3" w14:textId="77777777" w:rsidR="00A00405" w:rsidRPr="0010725E" w:rsidRDefault="00A00405" w:rsidP="00A00405">
            <w:pPr>
              <w:jc w:val="right"/>
              <w:rPr>
                <w:szCs w:val="22"/>
              </w:rPr>
            </w:pPr>
            <w:r w:rsidRPr="0010725E">
              <w:rPr>
                <w:szCs w:val="22"/>
              </w:rPr>
              <w:t>20 – 1150</w:t>
            </w:r>
          </w:p>
        </w:tc>
        <w:tc>
          <w:tcPr>
            <w:tcW w:w="1612" w:type="pct"/>
          </w:tcPr>
          <w:p w14:paraId="14515039" w14:textId="77777777" w:rsidR="00A00405" w:rsidRPr="0010725E" w:rsidRDefault="00A00405" w:rsidP="00A00405">
            <w:pPr>
              <w:rPr>
                <w:szCs w:val="22"/>
              </w:rPr>
            </w:pPr>
            <w:r w:rsidRPr="0010725E">
              <w:rPr>
                <w:szCs w:val="22"/>
              </w:rPr>
              <w:t>Pearce (2001)</w:t>
            </w:r>
          </w:p>
        </w:tc>
      </w:tr>
      <w:tr w:rsidR="00A00405" w:rsidRPr="0010725E" w14:paraId="54D3CF1F" w14:textId="77777777" w:rsidTr="00592528">
        <w:tc>
          <w:tcPr>
            <w:tcW w:w="1101" w:type="pct"/>
          </w:tcPr>
          <w:p w14:paraId="43DEBEA5" w14:textId="77777777" w:rsidR="00A00405" w:rsidRPr="0010725E" w:rsidRDefault="00A00405" w:rsidP="00A00405">
            <w:pPr>
              <w:rPr>
                <w:szCs w:val="22"/>
              </w:rPr>
            </w:pPr>
          </w:p>
        </w:tc>
        <w:tc>
          <w:tcPr>
            <w:tcW w:w="1266" w:type="pct"/>
          </w:tcPr>
          <w:p w14:paraId="534494D6" w14:textId="77777777" w:rsidR="00A00405" w:rsidRPr="0010725E" w:rsidRDefault="00A00405" w:rsidP="00A00405">
            <w:pPr>
              <w:rPr>
                <w:szCs w:val="22"/>
              </w:rPr>
            </w:pPr>
            <w:r w:rsidRPr="0010725E">
              <w:rPr>
                <w:szCs w:val="22"/>
              </w:rPr>
              <w:t>Global Temperate</w:t>
            </w:r>
          </w:p>
        </w:tc>
        <w:tc>
          <w:tcPr>
            <w:tcW w:w="1022" w:type="pct"/>
          </w:tcPr>
          <w:p w14:paraId="090EA7DE" w14:textId="77777777" w:rsidR="00A00405" w:rsidRPr="0010725E" w:rsidRDefault="00A00405" w:rsidP="00A00405">
            <w:pPr>
              <w:jc w:val="right"/>
              <w:rPr>
                <w:szCs w:val="22"/>
              </w:rPr>
            </w:pPr>
            <w:r w:rsidRPr="0010725E">
              <w:rPr>
                <w:szCs w:val="22"/>
              </w:rPr>
              <w:t>7 – 68</w:t>
            </w:r>
          </w:p>
        </w:tc>
        <w:tc>
          <w:tcPr>
            <w:tcW w:w="1612" w:type="pct"/>
          </w:tcPr>
          <w:p w14:paraId="124AA620" w14:textId="77777777" w:rsidR="00A00405" w:rsidRPr="0010725E" w:rsidRDefault="00A00405" w:rsidP="00A00405">
            <w:pPr>
              <w:rPr>
                <w:szCs w:val="22"/>
              </w:rPr>
            </w:pPr>
            <w:r w:rsidRPr="0010725E">
              <w:rPr>
                <w:szCs w:val="22"/>
              </w:rPr>
              <w:t>Pearce (2001)</w:t>
            </w:r>
          </w:p>
        </w:tc>
      </w:tr>
    </w:tbl>
    <w:p w14:paraId="5CBDCCA0" w14:textId="5E595FB0" w:rsidR="00A00405" w:rsidRPr="008608AA" w:rsidRDefault="00A00405" w:rsidP="00592528">
      <w:pPr>
        <w:spacing w:before="240" w:after="120"/>
      </w:pPr>
      <w:r w:rsidRPr="008608AA">
        <w:t>Degraded water quality is a growing risk to public health, food security and biodiversity (UN Water, 2016). Clean water is a prerequisite to reduce the spread of water borne diseases and vectors that spread disease, such as mosquitoes. Globally, one in nine people do not have access to clean water and more than 3.4 million people die each year from water borne disease (WHO, 2008). These are spread by a variety of species, such as the marsh snail (</w:t>
      </w:r>
      <w:r w:rsidRPr="008608AA">
        <w:rPr>
          <w:i/>
        </w:rPr>
        <w:t>Biomphalaria glabrata),</w:t>
      </w:r>
      <w:r w:rsidRPr="008608AA">
        <w:t xml:space="preserve"> which transmits </w:t>
      </w:r>
      <w:r w:rsidRPr="008608AA">
        <w:rPr>
          <w:i/>
        </w:rPr>
        <w:t>Schistosoma mansoni</w:t>
      </w:r>
      <w:r w:rsidRPr="008608AA">
        <w:t>, and mosquites (</w:t>
      </w:r>
      <w:r w:rsidRPr="008608AA">
        <w:rPr>
          <w:i/>
        </w:rPr>
        <w:t>Aedes</w:t>
      </w:r>
      <w:r w:rsidRPr="008608AA">
        <w:t xml:space="preserve"> spp.) that spread viruses causing, for instance, chikungunya, dengue, and zika. Diarrhea caused by contaminated water and poor sanitation is a leading killer of children and, while declining, accounted in 2015 for 9% of deaths of children under age 5 globally. The Americas have the lowest rates of any region, and by subregion diarrhea accounted for 1% (North America) 5% (Mesoamerica) 2% (Caribbean) and 3% (South America) of deaths for children under age 5, which totals 8,228 for the entire region (WHO &amp; MCEE estimates, 2015). Water pollutants can also contaminate aquatic species used as sources of food, for example the accumulation of toxic compounds in fish tissues in some locations (United Nations Oceans and Law of the Sea, 2016). For example, mercury contamination of fish is reported widely across the Americas, from northern Canada (Scheuhammer et al., 2015), the USA (where fish consumption advisories are in effect in every state; Wentz et al., 2014), and Amazon basin rivers (Webb et al., 2015). Exposure to mercury from fish consumption carries human health risks because it is a neurotoxin (causing damage to the central nervous system at higher concentration) that causes impairments to brain function in children, and acts as an endocrine disrupter at lower concentrations (Wentz et al., 2014). </w:t>
      </w:r>
    </w:p>
    <w:p w14:paraId="785FF355" w14:textId="77777777" w:rsidR="00A00405" w:rsidRPr="008608AA" w:rsidRDefault="00A00405" w:rsidP="00592528">
      <w:pPr>
        <w:spacing w:after="120"/>
      </w:pPr>
      <w:r w:rsidRPr="008608AA">
        <w:t>The variation in water quality between and within subregions is a function of the type, extent, and intensity of land use; how water is used; the degree of economic development, and other stressors (Palmer, 2010). Developing countries typically have less capacity to improve degraded water quality, thus water of substandard quality is often relied on for many uses, including drinking water (Zimmerman et al., 2008). Even if engineered solutions to water quality degradation were available to them, it may not solve all problems. Low enforcement of the law in some developing countries and corruption are responsible for water pollution in basins where industrial activities are prevalent. Some news about Río Santiago in Jalisco, México: http://interactive.fusion.net/river-of-death/</w:t>
      </w:r>
    </w:p>
    <w:p w14:paraId="14070296" w14:textId="75FED3EB" w:rsidR="00A00405" w:rsidRPr="008608AA" w:rsidRDefault="00A00405" w:rsidP="00592528">
      <w:pPr>
        <w:spacing w:after="120"/>
      </w:pPr>
      <w:r w:rsidRPr="008608AA">
        <w:t xml:space="preserve">The negative trends in ecosystem regulation of water quality in the Americas are largely due to the conversion of original ecosystems to agricultural and urban-industrial ecosystems maintained for human use. Only recently have we recognized trade-offs between the benefits from ecosystem conversion and lost water quality benefits (Foley et al., 2005; Brown &amp; Froemke, 2012; </w:t>
      </w:r>
      <w:r w:rsidR="00B20C8E" w:rsidRPr="008608AA">
        <w:t>section</w:t>
      </w:r>
      <w:r w:rsidRPr="008608AA">
        <w:t xml:space="preserve"> 2.7 for a more thorough discussion of trade-offs). Agricultural lands, with characteristically high nutrient runoff, cause widespread eutrophication of inland and coastal waters, as well as hypoxic ‘dead zones’ throughout the Americas, most famously in the Gulf of Mexico off the shore of the USA (Diaz &amp; Rosenberg, 2008), all of which can degrade commercial fishery and recreational services, influencing culture and livelihoods. The occurence of dead zones has increased exponentially since the 1960s (Diaz &amp; Rosenberg, 2008). Where data on trends are available, water quality is often declining, for example national survyes in the USA streams and rivers show that more than 40% of stream miles suffer from nutrient pollution, and over the period 2004-2009, 9% fewer stream miles were rated as having good overall water quality and high levels of nutrients. Degradation of water quality diminishes its use for human consumption, for instance algal blooms of </w:t>
      </w:r>
      <w:r w:rsidRPr="008608AA">
        <w:rPr>
          <w:i/>
        </w:rPr>
        <w:t>Microcystis spp.</w:t>
      </w:r>
      <w:r w:rsidRPr="008608AA">
        <w:t xml:space="preserve"> and other cyanobacteria can release microcystin, a potent liver toxin that has safeguards set by the World Health Organization. Between 2007 and 2012, an assessment of USA lakes showed a nearly 10% increase in the detection of micocysitn. Extreme events result in beach closings and contaminate potable water supplies, such as the drinking water ban that occurred in Toledo, OH during the summer of 2011 (Paerl &amp; Huisman, 2008; Michalak et al., 2013). Wetland restoration has been suggested as a means of recreating the ecosystem services that reduce nutrient runoff and regulate water quality in highly agricultural watersheds (Mitsch et al., 2001). </w:t>
      </w:r>
    </w:p>
    <w:p w14:paraId="5CE994CC" w14:textId="77777777" w:rsidR="00592528" w:rsidRPr="008608AA" w:rsidRDefault="00A00405" w:rsidP="00592528">
      <w:pPr>
        <w:spacing w:after="120"/>
      </w:pPr>
      <w:r w:rsidRPr="008608AA">
        <w:t xml:space="preserve">Future trends in the Americas are uncertain but as human populations and economies grow, the demand for clean water will increase and could exceed supply by 40 % (UN, 2013). Water quality issues are increasing in some developing areas where rapid urbanization and industrialization are responsible for acute water pollution problems. The Río Santiago in México, which has toxic levels of arsenic from industrial waste, is an example (Rizo-Decelis and Andreo 2015; Fusion, 2015 </w:t>
      </w:r>
      <w:hyperlink r:id="rId82">
        <w:r w:rsidRPr="008608AA">
          <w:rPr>
            <w:color w:val="0000FF"/>
            <w:u w:val="single"/>
          </w:rPr>
          <w:t>http://interactive.fusion.net/river-of-death/)</w:t>
        </w:r>
      </w:hyperlink>
      <w:r w:rsidRPr="008608AA">
        <w:t>. Engineering solutions to water quality problems have been effective in the past, but are expensive, rely on fossil fuels for power, and are impractical for dispersed (non-point) sources of pollutants in agricultural and urban ecosystems.</w:t>
      </w:r>
    </w:p>
    <w:p w14:paraId="6BFAEDF6" w14:textId="07FE4C93" w:rsidR="00A00405" w:rsidRPr="008608AA" w:rsidRDefault="00A00405" w:rsidP="00592528">
      <w:pPr>
        <w:spacing w:after="120"/>
      </w:pPr>
      <w:r w:rsidRPr="008608AA">
        <w:t xml:space="preserve"> </w:t>
      </w:r>
    </w:p>
    <w:p w14:paraId="1487DC6C" w14:textId="4E306CDE" w:rsidR="00A00405" w:rsidRPr="008608AA" w:rsidRDefault="0010725E" w:rsidP="00592528">
      <w:pPr>
        <w:pStyle w:val="Heading3"/>
      </w:pPr>
      <w:bookmarkStart w:id="681" w:name="_Toc517393261"/>
      <w:bookmarkStart w:id="682" w:name="_Toc517719002"/>
      <w:r>
        <w:t xml:space="preserve"> </w:t>
      </w:r>
      <w:bookmarkStart w:id="683" w:name="_Toc517796959"/>
      <w:r w:rsidR="00A00405" w:rsidRPr="008608AA">
        <w:t>Regulation of hazards and extreme events</w:t>
      </w:r>
      <w:bookmarkEnd w:id="681"/>
      <w:bookmarkEnd w:id="682"/>
      <w:bookmarkEnd w:id="683"/>
    </w:p>
    <w:p w14:paraId="3B1FDDFF" w14:textId="77777777" w:rsidR="00A00405" w:rsidRPr="008608AA" w:rsidRDefault="00A00405" w:rsidP="00592528">
      <w:pPr>
        <w:spacing w:after="120"/>
      </w:pPr>
      <w:r w:rsidRPr="008608AA">
        <w:t xml:space="preserve">People are periodically exposed to hazardous and extreme events that diminish their quality of life (Smith, 2013; Shi &amp; Kasperson, 2015). Nature often contributes to the moderation of extreme events that include floods, storm damage and storm surges, landslides (including avalanches), droughts, extreme heat, windstorms, and fire. </w:t>
      </w:r>
    </w:p>
    <w:p w14:paraId="50945368" w14:textId="77777777" w:rsidR="00A00405" w:rsidRPr="008608AA" w:rsidRDefault="00A00405" w:rsidP="00592528">
      <w:pPr>
        <w:spacing w:after="120"/>
      </w:pPr>
      <w:r w:rsidRPr="008608AA">
        <w:t xml:space="preserve">In river flooding, the peak discharges of streams and rivers are moderated by the capacity of watersheds to divert water into surface and groundwater storage </w:t>
      </w:r>
      <w:r w:rsidRPr="008608AA">
        <w:rPr>
          <w:color w:val="2E2E2E"/>
        </w:rPr>
        <w:t xml:space="preserve">(Dunne &amp; Leopold, 1978; </w:t>
      </w:r>
      <w:r w:rsidRPr="008608AA">
        <w:t xml:space="preserve">Bosch &amp; Hewlett, 1982; Deberry, 2004; Brooks et al., 2012). Among the better predictors of peak stream discharge are watershed slope, soil saturation, and the amount of impervious surface, either natural or human made. The presence of plant and animal communities typically increase surface roughness, which slows water flows and increases infiltration into short- and long-term groundwater storage (Brooks et al., 2012). In mountainous areas, evergreen trees help hold the snow in place and shade it from rapid melting (Bosch &amp; Hewlett, 1982; Harr, 1986). </w:t>
      </w:r>
    </w:p>
    <w:p w14:paraId="65509977" w14:textId="77777777" w:rsidR="00A00405" w:rsidRPr="008608AA" w:rsidRDefault="00A00405" w:rsidP="00592528">
      <w:pPr>
        <w:spacing w:after="120"/>
      </w:pPr>
      <w:r w:rsidRPr="008608AA">
        <w:t xml:space="preserve">Vegetation also moderates the chances of snow avalanches and landslides that are caused by events such as earthquakes and extreme precipitation events. While the slope and underlying geological structure are major determinants of the size and extent of avalanches and landslides (Lu &amp; Godt, 2013; Ren, 2015), vegetation can have moderating effects on surface structure, such as the ability of tree roots to bind slope substrates into forms more resistant to slope slippage.  For instance, in the Andes, the likelihood of landslides increases with land use and time since deforestation (Vanacker et al., 2003). </w:t>
      </w:r>
    </w:p>
    <w:p w14:paraId="601C5E84" w14:textId="77777777" w:rsidR="00A00405" w:rsidRPr="008608AA" w:rsidRDefault="00A00405" w:rsidP="00592528">
      <w:pPr>
        <w:spacing w:after="120"/>
      </w:pPr>
      <w:r w:rsidRPr="008608AA">
        <w:t xml:space="preserve">Extreme heat, drought, and fire are typically viewed as threats to ecosystems (Daily, 1997; Allen &amp; Breshears, 1998; Sun et al., 2015), but many ecosystems have evolved with natural drought, heat, and fire and some natural ecosystems can moderate local drought, heat, and fire effects, largely through their influence on water storage capacity (Brooks et al., 2012), shade and transpiration (Jenerette et al., 2011). Climate regulation at global scales is addressed in section 2.2.9. The vulnerability of forest ecosystems to fire and other sources of stress increases when they are stressed by disease, heat or water deficiencies (Barnes et al., 1998), or by poor management (Omi, 2005). The costs of wildfire damage and management are increasing (Gorte, 2013).  Part of this cost appears to be due to degraded natural services resulting from poor management practices (Omi, 2005).  Improved management includes proactive actions such as prescribe burns and managed buffers between forests and residential areas, but is costly. Reactive wildfire management costs alone are high, in part because of insufficient investment in proactive management. For example, the Federal appropriations for fighting wildfires in the USA was nearly $3 billion in 2012 and has in general been increasing as the size and frequency of fires has increased in response to environmental changes (Gorte, 2013). </w:t>
      </w:r>
    </w:p>
    <w:p w14:paraId="3B62EA8F" w14:textId="777F7326" w:rsidR="00A00405" w:rsidRPr="008608AA" w:rsidRDefault="00A00405" w:rsidP="00592528">
      <w:pPr>
        <w:spacing w:after="120"/>
      </w:pPr>
      <w:r w:rsidRPr="008608AA">
        <w:t xml:space="preserve">While storms (including hurricanes) have significant effects on coastal ecosystems (Lugo, 2008; Mitchell, 2012; Morton &amp; Barras, 2011), coastal wetlands and coral reefs moderate hurricane impacts on coastal communities, buffering against storms and storm surges (Costanza et al., 2008; Bravo de Gueni et al., 2009; Barbier &amp; Enchelmeyer, 2014; McIvor et al., 2012; Van Zanten et al., 2014). For example, existing coastal wetlands reduced damage from “Superstorm Sandy,” which hit the USA east coast in 2012, by an estimated $625 million. In response, shoreline modification in the New York City region now includes restoring salt marsh habitat as an alternative or accompaniment to ‘hard’ infrastructure (Grime et al., 2016). Although studies are few, mangrove ecosystems can moderate storm surges by slowing water flow and reducing wave action, with an estimated 5 to 50 cm decrease in water levels per kilometer width of mangroves (McIvor et al., 2012).   </w:t>
      </w:r>
    </w:p>
    <w:p w14:paraId="5CCD4C69" w14:textId="767A357D" w:rsidR="00A00405" w:rsidRPr="008608AA" w:rsidRDefault="00A00405" w:rsidP="00592528">
      <w:pPr>
        <w:spacing w:after="120"/>
      </w:pPr>
      <w:r w:rsidRPr="008608AA">
        <w:t>Anticipated climate change could increase the impacts of hazardous events in various ways (IPCC, 2007), placing more stress on ecosystems and more pressure on whatever mitigating services they may provide. The impacts of climate change, however, may be moderated by reducing local human impacts on ecosystems. Recent trends indicate that more ocean, land, and wetland areas are now protected than in the past (</w:t>
      </w:r>
      <w:r w:rsidR="00B20C8E" w:rsidRPr="008608AA">
        <w:t>section</w:t>
      </w:r>
      <w:r w:rsidRPr="008608AA">
        <w:t xml:space="preserve"> 2.2.8). </w:t>
      </w:r>
    </w:p>
    <w:p w14:paraId="4AF93787" w14:textId="28A52089" w:rsidR="00A00405" w:rsidRPr="008608AA" w:rsidRDefault="00A00405" w:rsidP="00592528">
      <w:pPr>
        <w:spacing w:after="120"/>
      </w:pPr>
      <w:r w:rsidRPr="008608AA">
        <w:t>Nature can improve quality of life by providing necessary resources and space to recover after extreme events. For example, in a study conducted in Valdivia, Chile, urban wetlands were found to be one of the most mentioned urban spaces that were used for earthquake recovery. However the actual use of those spaces vary depending on their biophysical characteristics that modify their utilitarian benefits and therefore the level of protection they provide (Barbosa &amp; Villagra, 2015). Other examples are places such as plazas, parks and free areas, which after catastrophes, are used as places for refuge and can potentially satisfy the need for adaptation (Villagra et al., 2014). This is consistent with the services that the use of green spaces offers. As recognition of the role of natural ecosystem functions has increased, they are increasingly included in what is called “green infrastructure” or “</w:t>
      </w:r>
      <w:r w:rsidR="00D03B0D" w:rsidRPr="008608AA">
        <w:t>nature-based infrastructure (Niemela</w:t>
      </w:r>
      <w:r w:rsidRPr="008608AA">
        <w:t>,</w:t>
      </w:r>
      <w:r w:rsidR="00D03B0D" w:rsidRPr="008608AA">
        <w:t xml:space="preserve"> 2011</w:t>
      </w:r>
      <w:r w:rsidRPr="008608AA">
        <w:t xml:space="preserve">) as management measures (Benedict &amp; McMahon, 2002; Cunniff &amp; Schwartz, 2015).  </w:t>
      </w:r>
    </w:p>
    <w:p w14:paraId="41CC5D8C" w14:textId="77777777" w:rsidR="00592528" w:rsidRPr="008608AA" w:rsidRDefault="00592528" w:rsidP="00592528">
      <w:pPr>
        <w:spacing w:after="120"/>
      </w:pPr>
    </w:p>
    <w:p w14:paraId="55D418A6" w14:textId="595DF8CE" w:rsidR="00A00405" w:rsidRPr="008608AA" w:rsidRDefault="0010725E" w:rsidP="0010725E">
      <w:pPr>
        <w:pStyle w:val="Heading3"/>
      </w:pPr>
      <w:bookmarkStart w:id="684" w:name="_Toc517393262"/>
      <w:bookmarkStart w:id="685" w:name="_Toc517719003"/>
      <w:r>
        <w:t xml:space="preserve"> </w:t>
      </w:r>
      <w:bookmarkStart w:id="686" w:name="_Toc517796960"/>
      <w:r w:rsidR="00A00405" w:rsidRPr="008608AA">
        <w:t>Habitat creation and maintenance</w:t>
      </w:r>
      <w:bookmarkEnd w:id="684"/>
      <w:bookmarkEnd w:id="685"/>
      <w:bookmarkEnd w:id="686"/>
    </w:p>
    <w:p w14:paraId="44C273A4" w14:textId="77777777" w:rsidR="00A00405" w:rsidRPr="008608AA" w:rsidRDefault="00A00405" w:rsidP="00592528">
      <w:pPr>
        <w:spacing w:after="120"/>
      </w:pPr>
      <w:r w:rsidRPr="008608AA">
        <w:t xml:space="preserve">In landscapes dominated by anthropogenic land use, such as agriculture and silviculture, but also in cities, the presence of natural habitat in sufficient amount is of high importance both for biodiversity maintenance and for humans. In Buenos Aires, Argentina, for example, a study recognizes the importance of green spaces as places of opportunity for education and engagement with nature (Morello &amp; Rodriguez, 2001). In Colombia, the Medellin Green Belt project´s aim is to “create a healthier urban living environment for humans and nature alike” and eventually devote this area for landscape restoration to better support native biodiversity (Pauchard &amp; Barbosa, 2013). These initiatives in the southern hemisphere are important, as urban vegetation has not nearly achieved the same attention as it has in northern hemisphere cities (see Niemelä et al., 2011). In urban areas, green spaces underpin ecological functions that result in NCP to society (Barbosa et al., 2007), which corresponds to the concept of green infrastructure that not only includes natural vegetation or green spaces in general, but also human modified green structures such as green walls and roofs, eco-bridges and corridors, artificial wetlands etc., all of which provide some benefits for biodiversity or humans, especially in, but not restricted to, cities. </w:t>
      </w:r>
    </w:p>
    <w:p w14:paraId="72DB4486" w14:textId="242A80AC" w:rsidR="00A00405" w:rsidRPr="008608AA" w:rsidRDefault="00A00405" w:rsidP="00592528">
      <w:pPr>
        <w:spacing w:after="120"/>
      </w:pPr>
      <w:r w:rsidRPr="008608AA">
        <w:t xml:space="preserve">In agriculture ecosystems, the creation of habitat for biodiversity maintenance has been related to several benefits to people directly (habitat for fisheries, for game species, medicinal plants, water quality improvement and to prevent soil loss), and indirectly by benefiting their crops or other production systems (biological control, pollination, dung burial by beetles; </w:t>
      </w:r>
      <w:r w:rsidR="00847F60" w:rsidRPr="008608AA">
        <w:t>e.g.</w:t>
      </w:r>
      <w:r w:rsidRPr="008608AA">
        <w:t xml:space="preserve"> Steel et al., 2017; IPBES, 2016; Weyland </w:t>
      </w:r>
      <w:r w:rsidR="002927DD" w:rsidRPr="008608AA">
        <w:t>&amp;</w:t>
      </w:r>
      <w:r w:rsidRPr="008608AA">
        <w:t xml:space="preserve"> Zaccagnini, 2008</w:t>
      </w:r>
      <w:r w:rsidR="002927DD" w:rsidRPr="008608AA">
        <w:t xml:space="preserve">; </w:t>
      </w:r>
      <w:r w:rsidRPr="008608AA">
        <w:t xml:space="preserve">Viers et al., 2013). A variety of ecosystem types such as natural and created wetlands, riparian areas, hedgerows, vegetation strips, and vegetation islands placed between continuously cropped areas, serve as corridors for the movement of different species groups increasing biodiversity locally (Goijman </w:t>
      </w:r>
      <w:r w:rsidR="002927DD" w:rsidRPr="008608AA">
        <w:t>&amp;</w:t>
      </w:r>
      <w:r w:rsidRPr="008608AA">
        <w:t xml:space="preserve"> Zaccagnini, 2008</w:t>
      </w:r>
      <w:r w:rsidR="002927DD" w:rsidRPr="008608AA">
        <w:t>;</w:t>
      </w:r>
      <w:r w:rsidRPr="008608AA">
        <w:t xml:space="preserve"> Zaccagnini et al.</w:t>
      </w:r>
      <w:r w:rsidR="002927DD" w:rsidRPr="008608AA">
        <w:t>,</w:t>
      </w:r>
      <w:r w:rsidRPr="008608AA">
        <w:t xml:space="preserve"> 2014) and regionaly (Goijman et al.</w:t>
      </w:r>
      <w:r w:rsidR="002927DD" w:rsidRPr="008608AA">
        <w:t>,</w:t>
      </w:r>
      <w:r w:rsidRPr="008608AA">
        <w:t xml:space="preserve"> 2015). They also contribute ecosystem services by improving downstream water quality by filtering agricultural chemicals (Peterjohn &amp; Correll, 1984; Hilty &amp; Merenlender, 2004; Fennessy &amp; Craft, 2011). Ecosystem services such as pollination, can increases with a proper landscape design such as interspersing crops with wild lands and native habitat patches (Brosi et al., 2008). For example, coffee yields increased fully 20% in Costa Rica as distance between fields and native forests decreased (Ricketts et al., 2004). </w:t>
      </w:r>
    </w:p>
    <w:p w14:paraId="60E0C2BC" w14:textId="1065E522" w:rsidR="00A00405" w:rsidRPr="008608AA" w:rsidRDefault="00A00405" w:rsidP="00592528">
      <w:pPr>
        <w:spacing w:after="120"/>
      </w:pPr>
      <w:r w:rsidRPr="008608AA">
        <w:t>Legislation that aims at maintaining natural vegetation within agricultural landscapes is of high relevance, for example in Brazil, where by law at least 20% of natural ecosystems (80% in forest area and 35% in savanna areas in the Legal Amazon Region; Federal law 12.651 from May 25</w:t>
      </w:r>
      <w:r w:rsidRPr="008608AA">
        <w:rPr>
          <w:vertAlign w:val="superscript"/>
        </w:rPr>
        <w:t>th</w:t>
      </w:r>
      <w:r w:rsidRPr="008608AA">
        <w:t>, 2012) must be maintained in any rural property above a certain size in the so-called Legal Reserve, and where ecosystems adjacent to rivers, on steep hillslopes and hill tops are placed in Permanent Protection Areas. However, it is important to consider the scale (extent and distances) of natural elements in the landscape: optimum values will depend on the benefits to be achieved. Landscape heterogeneity and multifunctionality usually provide most habitat functions and se</w:t>
      </w:r>
      <w:r w:rsidR="00DA6C0B" w:rsidRPr="008608AA">
        <w:t>veral</w:t>
      </w:r>
      <w:r w:rsidRPr="008608AA">
        <w:t xml:space="preserve"> other benefits (Landis, 2017).</w:t>
      </w:r>
    </w:p>
    <w:p w14:paraId="582D9BE6" w14:textId="4C000457" w:rsidR="00592528" w:rsidRDefault="00A00405" w:rsidP="00592528">
      <w:pPr>
        <w:spacing w:after="120"/>
      </w:pPr>
      <w:r w:rsidRPr="008608AA">
        <w:t xml:space="preserve">Nonetheless, throughout the Americas, natural ecosystems have been widely destroyed, mostly for production of food or other benefits. An example is Brazil’s Atlantic forest region, one of the regions that first were subjected to dramatic land use change in the Americas. Here, today only 11-16% of area are covered by natural ecosystems remain, and most of them small and fragmented (80% of area in patches of less than 50 hectares; Ribeiro et al., 2011). In many other countries, some regions have seen similarly strong land use change and thus losses in biodiversity and ecosystem services. Ecological restoration has been recognized as critical to maintain or recover biodiversity, NCP, and human wellbeing (Aronson et al., 2006; Perring et al., 2015), and ambitious goals have been established throughout the world. A prominent example is the Bonn Challenge, where more than 30 countries, including 13 from the Americas, committed to restore 150 million hectares of the world’s deforested and degraded lands by 2020 (including 44.9 million hectares in the Americas), and 350 million hectares by 2030 (Table 2.12; </w:t>
      </w:r>
      <w:hyperlink r:id="rId83">
        <w:r w:rsidRPr="008608AA">
          <w:rPr>
            <w:color w:val="0000FF"/>
            <w:u w:val="single"/>
          </w:rPr>
          <w:t>www.bonnchallenge.org)</w:t>
        </w:r>
      </w:hyperlink>
      <w:r w:rsidRPr="008608AA">
        <w:t>. The importance of these efforts is highlighted by the fact that the Americas house one-third (or eight) of the originally proposed 25 biodiversity hotpots (Myers et al., 2000), including in the Caribbean and Mesoamerica. Recovery of NCP means that restoration goals must go beyond the restoration of biodiversity and consider ecological processes and services, as well as social and economic aspects (</w:t>
      </w:r>
      <w:r w:rsidR="00847F60" w:rsidRPr="008608AA">
        <w:t>e.g.</w:t>
      </w:r>
      <w:r w:rsidRPr="008608AA">
        <w:t xml:space="preserve"> Wortley et al., 2013; Kollmann et al., 2016). Where possible, care must be taken to ‘restore’ an ecosystem that is based on the characteristics of the original one (see Veldman et al., 2015). However, it may not always be possible to restore original conditions, especially as global climate change shifts habitat conditions and species distribution ranges. In the context of climate change, the maintenance or restoration of reasonable amounts of natural habitats and of corridors that connect them is critical to promote the adaptation of natural ecosystems to climate conditions: ecological corridors are critical for dispersal processes in the landscape and the migration of species in reaction to human activities (Robillard et al., 2015; Haddad et al., 2000). For example, these serve as stepping stones for migrating species through California’s agricultural landscapes</w:t>
      </w:r>
      <w:r w:rsidR="00593E3A" w:rsidRPr="008608AA">
        <w:t xml:space="preserve"> (Hilty &amp; Merenlender, 2004). </w:t>
      </w:r>
    </w:p>
    <w:p w14:paraId="37B34B4F" w14:textId="0747756A" w:rsidR="0010725E" w:rsidRDefault="0010725E" w:rsidP="00592528">
      <w:pPr>
        <w:spacing w:after="120"/>
      </w:pPr>
    </w:p>
    <w:p w14:paraId="5B701509" w14:textId="381547A5" w:rsidR="0010725E" w:rsidRDefault="0010725E" w:rsidP="00592528">
      <w:pPr>
        <w:spacing w:after="120"/>
      </w:pPr>
    </w:p>
    <w:p w14:paraId="236A660D" w14:textId="562F3D42" w:rsidR="0010725E" w:rsidRDefault="0010725E" w:rsidP="00592528">
      <w:pPr>
        <w:spacing w:after="120"/>
      </w:pPr>
    </w:p>
    <w:p w14:paraId="6D4DEE02" w14:textId="74F4E1D9" w:rsidR="0010725E" w:rsidRDefault="0010725E" w:rsidP="00592528">
      <w:pPr>
        <w:spacing w:after="120"/>
      </w:pPr>
    </w:p>
    <w:p w14:paraId="7189300D" w14:textId="24B3BC14" w:rsidR="0010725E" w:rsidRDefault="0010725E" w:rsidP="00592528">
      <w:pPr>
        <w:spacing w:after="120"/>
      </w:pPr>
    </w:p>
    <w:p w14:paraId="1E43222F" w14:textId="65BBF557" w:rsidR="0010725E" w:rsidRDefault="0010725E" w:rsidP="00592528">
      <w:pPr>
        <w:spacing w:after="120"/>
      </w:pPr>
    </w:p>
    <w:p w14:paraId="76C00256" w14:textId="2FE8F583" w:rsidR="0010725E" w:rsidRDefault="0010725E" w:rsidP="00592528">
      <w:pPr>
        <w:spacing w:after="120"/>
      </w:pPr>
    </w:p>
    <w:p w14:paraId="171F7A2F" w14:textId="77777777" w:rsidR="0010725E" w:rsidRPr="008608AA" w:rsidRDefault="0010725E" w:rsidP="00592528">
      <w:pPr>
        <w:spacing w:after="120"/>
      </w:pPr>
    </w:p>
    <w:p w14:paraId="68C2B0CD" w14:textId="63289313" w:rsidR="00592528"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12</w:t>
      </w:r>
      <w:r w:rsidR="000E562E">
        <w:rPr>
          <w:noProof/>
        </w:rPr>
        <w:fldChar w:fldCharType="end"/>
      </w:r>
      <w:r w:rsidR="00592528" w:rsidRPr="008608AA">
        <w:t>. Restoration commitments of countries from North America, Mesoamerica and South America to the Bonn Challenge (no Caribbean countries have made commitments).</w:t>
      </w:r>
    </w:p>
    <w:tbl>
      <w:tblPr>
        <w:tblW w:w="5000" w:type="pct"/>
        <w:jc w:val="center"/>
        <w:tblLook w:val="0400" w:firstRow="0" w:lastRow="0" w:firstColumn="0" w:lastColumn="0" w:noHBand="0" w:noVBand="1"/>
      </w:tblPr>
      <w:tblGrid>
        <w:gridCol w:w="4706"/>
        <w:gridCol w:w="4781"/>
      </w:tblGrid>
      <w:tr w:rsidR="00A00405" w:rsidRPr="0010725E" w14:paraId="1628FC8F" w14:textId="77777777" w:rsidTr="00592528">
        <w:trPr>
          <w:trHeight w:val="284"/>
          <w:jc w:val="center"/>
        </w:trPr>
        <w:tc>
          <w:tcPr>
            <w:tcW w:w="248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bottom"/>
          </w:tcPr>
          <w:p w14:paraId="49B29127" w14:textId="77777777" w:rsidR="00A00405" w:rsidRPr="0010725E" w:rsidRDefault="00A00405" w:rsidP="00EC4610">
            <w:pPr>
              <w:spacing w:after="120"/>
              <w:contextualSpacing/>
              <w:rPr>
                <w:b/>
                <w:szCs w:val="22"/>
              </w:rPr>
            </w:pPr>
            <w:r w:rsidRPr="0010725E">
              <w:rPr>
                <w:b/>
                <w:szCs w:val="22"/>
              </w:rPr>
              <w:t>Country</w:t>
            </w:r>
          </w:p>
        </w:tc>
        <w:tc>
          <w:tcPr>
            <w:tcW w:w="2520" w:type="pct"/>
            <w:tcBorders>
              <w:top w:val="single" w:sz="4" w:space="0" w:color="000000"/>
              <w:left w:val="nil"/>
              <w:bottom w:val="single" w:sz="4" w:space="0" w:color="000000"/>
              <w:right w:val="single" w:sz="4" w:space="0" w:color="000000"/>
            </w:tcBorders>
            <w:shd w:val="clear" w:color="auto" w:fill="BFBFBF" w:themeFill="background1" w:themeFillShade="BF"/>
            <w:vAlign w:val="bottom"/>
          </w:tcPr>
          <w:p w14:paraId="62774F45" w14:textId="77777777" w:rsidR="00A00405" w:rsidRPr="0010725E" w:rsidRDefault="00A00405" w:rsidP="00EC4610">
            <w:pPr>
              <w:spacing w:after="120"/>
              <w:contextualSpacing/>
              <w:jc w:val="center"/>
              <w:rPr>
                <w:b/>
                <w:szCs w:val="22"/>
              </w:rPr>
            </w:pPr>
            <w:r w:rsidRPr="0010725E">
              <w:rPr>
                <w:b/>
                <w:szCs w:val="22"/>
              </w:rPr>
              <w:t>Bonn Challenge Commitment (hectares)</w:t>
            </w:r>
          </w:p>
        </w:tc>
      </w:tr>
      <w:tr w:rsidR="00A00405" w:rsidRPr="0010725E" w14:paraId="2C5201D8" w14:textId="77777777" w:rsidTr="00A00405">
        <w:trPr>
          <w:trHeight w:val="284"/>
          <w:jc w:val="center"/>
        </w:trPr>
        <w:tc>
          <w:tcPr>
            <w:tcW w:w="2480" w:type="pct"/>
            <w:tcBorders>
              <w:top w:val="single" w:sz="4" w:space="0" w:color="000000"/>
              <w:left w:val="single" w:sz="4" w:space="0" w:color="000000"/>
              <w:bottom w:val="single" w:sz="4" w:space="0" w:color="000000"/>
              <w:right w:val="single" w:sz="4" w:space="0" w:color="000000"/>
            </w:tcBorders>
            <w:shd w:val="clear" w:color="auto" w:fill="auto"/>
            <w:vAlign w:val="bottom"/>
          </w:tcPr>
          <w:p w14:paraId="3D6DC268" w14:textId="77777777" w:rsidR="00A00405" w:rsidRPr="0010725E" w:rsidRDefault="00A00405" w:rsidP="00EC4610">
            <w:pPr>
              <w:spacing w:after="120"/>
              <w:contextualSpacing/>
              <w:rPr>
                <w:b/>
                <w:szCs w:val="22"/>
              </w:rPr>
            </w:pPr>
            <w:r w:rsidRPr="0010725E">
              <w:rPr>
                <w:b/>
                <w:szCs w:val="22"/>
              </w:rPr>
              <w:t>North America</w:t>
            </w:r>
          </w:p>
        </w:tc>
        <w:tc>
          <w:tcPr>
            <w:tcW w:w="2520" w:type="pct"/>
            <w:tcBorders>
              <w:top w:val="single" w:sz="4" w:space="0" w:color="000000"/>
              <w:left w:val="nil"/>
              <w:bottom w:val="single" w:sz="4" w:space="0" w:color="000000"/>
              <w:right w:val="single" w:sz="4" w:space="0" w:color="000000"/>
            </w:tcBorders>
            <w:shd w:val="clear" w:color="auto" w:fill="auto"/>
            <w:vAlign w:val="bottom"/>
          </w:tcPr>
          <w:p w14:paraId="36C7DC0F" w14:textId="77777777" w:rsidR="00A00405" w:rsidRPr="0010725E" w:rsidRDefault="00A00405" w:rsidP="00EC4610">
            <w:pPr>
              <w:spacing w:after="120"/>
              <w:contextualSpacing/>
              <w:jc w:val="center"/>
              <w:rPr>
                <w:b/>
                <w:szCs w:val="22"/>
              </w:rPr>
            </w:pPr>
          </w:p>
        </w:tc>
      </w:tr>
      <w:tr w:rsidR="00A00405" w:rsidRPr="0010725E" w14:paraId="0430BCB9" w14:textId="77777777" w:rsidTr="00A00405">
        <w:trPr>
          <w:trHeight w:val="284"/>
          <w:jc w:val="center"/>
        </w:trPr>
        <w:tc>
          <w:tcPr>
            <w:tcW w:w="2480" w:type="pct"/>
            <w:tcBorders>
              <w:top w:val="nil"/>
              <w:left w:val="single" w:sz="4" w:space="0" w:color="000000"/>
              <w:bottom w:val="single" w:sz="4" w:space="0" w:color="000000"/>
              <w:right w:val="single" w:sz="4" w:space="0" w:color="000000"/>
            </w:tcBorders>
            <w:shd w:val="clear" w:color="auto" w:fill="auto"/>
            <w:vAlign w:val="bottom"/>
          </w:tcPr>
          <w:p w14:paraId="611D7F80" w14:textId="77777777" w:rsidR="00A00405" w:rsidRPr="0010725E" w:rsidRDefault="00A00405" w:rsidP="00EC4610">
            <w:pPr>
              <w:spacing w:after="120"/>
              <w:contextualSpacing/>
              <w:rPr>
                <w:b/>
                <w:szCs w:val="22"/>
              </w:rPr>
            </w:pPr>
            <w:r w:rsidRPr="0010725E">
              <w:rPr>
                <w:szCs w:val="22"/>
              </w:rPr>
              <w:t>USA</w:t>
            </w:r>
          </w:p>
        </w:tc>
        <w:tc>
          <w:tcPr>
            <w:tcW w:w="2520" w:type="pct"/>
            <w:tcBorders>
              <w:top w:val="nil"/>
              <w:left w:val="nil"/>
              <w:bottom w:val="single" w:sz="4" w:space="0" w:color="000000"/>
              <w:right w:val="single" w:sz="4" w:space="0" w:color="000000"/>
            </w:tcBorders>
            <w:shd w:val="clear" w:color="auto" w:fill="auto"/>
            <w:vAlign w:val="bottom"/>
          </w:tcPr>
          <w:p w14:paraId="43B14F01" w14:textId="77777777" w:rsidR="00A00405" w:rsidRPr="0010725E" w:rsidRDefault="00A00405" w:rsidP="00EC4610">
            <w:pPr>
              <w:spacing w:after="120"/>
              <w:contextualSpacing/>
              <w:jc w:val="center"/>
              <w:rPr>
                <w:b/>
                <w:szCs w:val="22"/>
              </w:rPr>
            </w:pPr>
            <w:r w:rsidRPr="0010725E">
              <w:rPr>
                <w:szCs w:val="22"/>
              </w:rPr>
              <w:t>15 million</w:t>
            </w:r>
          </w:p>
        </w:tc>
      </w:tr>
      <w:tr w:rsidR="00A00405" w:rsidRPr="0010725E" w14:paraId="3DD9255E" w14:textId="77777777" w:rsidTr="00A00405">
        <w:trPr>
          <w:trHeight w:val="284"/>
          <w:jc w:val="center"/>
        </w:trPr>
        <w:tc>
          <w:tcPr>
            <w:tcW w:w="2480" w:type="pct"/>
            <w:tcBorders>
              <w:top w:val="single" w:sz="4" w:space="0" w:color="000000"/>
              <w:left w:val="single" w:sz="4" w:space="0" w:color="000000"/>
              <w:bottom w:val="single" w:sz="4" w:space="0" w:color="000000"/>
              <w:right w:val="single" w:sz="4" w:space="0" w:color="000000"/>
            </w:tcBorders>
            <w:shd w:val="clear" w:color="auto" w:fill="auto"/>
            <w:vAlign w:val="bottom"/>
          </w:tcPr>
          <w:p w14:paraId="5CC4B323" w14:textId="77777777" w:rsidR="00A00405" w:rsidRPr="0010725E" w:rsidRDefault="00A00405" w:rsidP="00EC4610">
            <w:pPr>
              <w:spacing w:after="120"/>
              <w:contextualSpacing/>
              <w:rPr>
                <w:b/>
                <w:szCs w:val="22"/>
              </w:rPr>
            </w:pPr>
            <w:r w:rsidRPr="0010725E">
              <w:rPr>
                <w:b/>
                <w:szCs w:val="22"/>
              </w:rPr>
              <w:t>Mesoamerica</w:t>
            </w:r>
          </w:p>
        </w:tc>
        <w:tc>
          <w:tcPr>
            <w:tcW w:w="2520" w:type="pct"/>
            <w:tcBorders>
              <w:top w:val="single" w:sz="4" w:space="0" w:color="000000"/>
              <w:left w:val="nil"/>
              <w:bottom w:val="single" w:sz="4" w:space="0" w:color="000000"/>
              <w:right w:val="single" w:sz="4" w:space="0" w:color="000000"/>
            </w:tcBorders>
            <w:shd w:val="clear" w:color="auto" w:fill="auto"/>
            <w:vAlign w:val="bottom"/>
          </w:tcPr>
          <w:p w14:paraId="01192CD2" w14:textId="77777777" w:rsidR="00A00405" w:rsidRPr="0010725E" w:rsidRDefault="00A00405" w:rsidP="00EC4610">
            <w:pPr>
              <w:spacing w:after="120"/>
              <w:contextualSpacing/>
              <w:jc w:val="center"/>
              <w:rPr>
                <w:b/>
                <w:szCs w:val="22"/>
              </w:rPr>
            </w:pPr>
          </w:p>
        </w:tc>
      </w:tr>
      <w:tr w:rsidR="00A00405" w:rsidRPr="0010725E" w14:paraId="4135E827" w14:textId="77777777" w:rsidTr="00A00405">
        <w:trPr>
          <w:trHeight w:val="284"/>
          <w:jc w:val="center"/>
        </w:trPr>
        <w:tc>
          <w:tcPr>
            <w:tcW w:w="2480" w:type="pct"/>
            <w:tcBorders>
              <w:top w:val="nil"/>
              <w:left w:val="single" w:sz="4" w:space="0" w:color="000000"/>
              <w:bottom w:val="single" w:sz="4" w:space="0" w:color="000000"/>
              <w:right w:val="single" w:sz="4" w:space="0" w:color="000000"/>
            </w:tcBorders>
            <w:shd w:val="clear" w:color="auto" w:fill="auto"/>
            <w:vAlign w:val="bottom"/>
          </w:tcPr>
          <w:p w14:paraId="4E7B6004" w14:textId="77777777" w:rsidR="00A00405" w:rsidRPr="0010725E" w:rsidRDefault="00A00405" w:rsidP="00EC4610">
            <w:pPr>
              <w:spacing w:after="120"/>
              <w:contextualSpacing/>
              <w:rPr>
                <w:b/>
                <w:szCs w:val="22"/>
              </w:rPr>
            </w:pPr>
            <w:r w:rsidRPr="0010725E">
              <w:rPr>
                <w:szCs w:val="22"/>
              </w:rPr>
              <w:t>Costa Rica</w:t>
            </w:r>
          </w:p>
        </w:tc>
        <w:tc>
          <w:tcPr>
            <w:tcW w:w="2520" w:type="pct"/>
            <w:tcBorders>
              <w:top w:val="nil"/>
              <w:left w:val="nil"/>
              <w:bottom w:val="single" w:sz="4" w:space="0" w:color="000000"/>
              <w:right w:val="single" w:sz="4" w:space="0" w:color="000000"/>
            </w:tcBorders>
            <w:shd w:val="clear" w:color="auto" w:fill="auto"/>
            <w:vAlign w:val="bottom"/>
          </w:tcPr>
          <w:p w14:paraId="6E1F48BA" w14:textId="77777777" w:rsidR="00A00405" w:rsidRPr="0010725E" w:rsidRDefault="00A00405" w:rsidP="00EC4610">
            <w:pPr>
              <w:spacing w:after="120"/>
              <w:contextualSpacing/>
              <w:jc w:val="center"/>
              <w:rPr>
                <w:b/>
                <w:szCs w:val="22"/>
              </w:rPr>
            </w:pPr>
            <w:r w:rsidRPr="0010725E">
              <w:rPr>
                <w:szCs w:val="22"/>
              </w:rPr>
              <w:t>1 million</w:t>
            </w:r>
          </w:p>
        </w:tc>
      </w:tr>
      <w:tr w:rsidR="00A00405" w:rsidRPr="0010725E" w14:paraId="00FA46CB" w14:textId="77777777" w:rsidTr="00A00405">
        <w:trPr>
          <w:trHeight w:val="284"/>
          <w:jc w:val="center"/>
        </w:trPr>
        <w:tc>
          <w:tcPr>
            <w:tcW w:w="2480" w:type="pct"/>
            <w:tcBorders>
              <w:top w:val="nil"/>
              <w:left w:val="single" w:sz="4" w:space="0" w:color="000000"/>
              <w:bottom w:val="single" w:sz="4" w:space="0" w:color="000000"/>
              <w:right w:val="single" w:sz="4" w:space="0" w:color="000000"/>
            </w:tcBorders>
            <w:shd w:val="clear" w:color="auto" w:fill="auto"/>
            <w:vAlign w:val="bottom"/>
          </w:tcPr>
          <w:p w14:paraId="4C17FF40" w14:textId="77777777" w:rsidR="00A00405" w:rsidRPr="0010725E" w:rsidRDefault="00A00405" w:rsidP="00EC4610">
            <w:pPr>
              <w:spacing w:after="120"/>
              <w:contextualSpacing/>
              <w:rPr>
                <w:b/>
                <w:szCs w:val="22"/>
              </w:rPr>
            </w:pPr>
            <w:r w:rsidRPr="0010725E">
              <w:rPr>
                <w:szCs w:val="22"/>
              </w:rPr>
              <w:t>El Salvador</w:t>
            </w:r>
          </w:p>
        </w:tc>
        <w:tc>
          <w:tcPr>
            <w:tcW w:w="2520" w:type="pct"/>
            <w:tcBorders>
              <w:top w:val="nil"/>
              <w:left w:val="nil"/>
              <w:bottom w:val="single" w:sz="4" w:space="0" w:color="000000"/>
              <w:right w:val="single" w:sz="4" w:space="0" w:color="000000"/>
            </w:tcBorders>
            <w:shd w:val="clear" w:color="auto" w:fill="auto"/>
            <w:vAlign w:val="bottom"/>
          </w:tcPr>
          <w:p w14:paraId="4FA82758" w14:textId="77777777" w:rsidR="00A00405" w:rsidRPr="0010725E" w:rsidRDefault="00A00405" w:rsidP="00EC4610">
            <w:pPr>
              <w:spacing w:after="120"/>
              <w:contextualSpacing/>
              <w:jc w:val="center"/>
              <w:rPr>
                <w:b/>
                <w:szCs w:val="22"/>
              </w:rPr>
            </w:pPr>
            <w:r w:rsidRPr="0010725E">
              <w:rPr>
                <w:szCs w:val="22"/>
              </w:rPr>
              <w:t>1 million</w:t>
            </w:r>
          </w:p>
        </w:tc>
      </w:tr>
      <w:tr w:rsidR="00A00405" w:rsidRPr="0010725E" w14:paraId="267A37CF" w14:textId="77777777" w:rsidTr="00A00405">
        <w:trPr>
          <w:trHeight w:val="284"/>
          <w:jc w:val="center"/>
        </w:trPr>
        <w:tc>
          <w:tcPr>
            <w:tcW w:w="2480" w:type="pct"/>
            <w:tcBorders>
              <w:top w:val="nil"/>
              <w:left w:val="single" w:sz="4" w:space="0" w:color="000000"/>
              <w:bottom w:val="single" w:sz="4" w:space="0" w:color="000000"/>
              <w:right w:val="single" w:sz="4" w:space="0" w:color="000000"/>
            </w:tcBorders>
            <w:shd w:val="clear" w:color="auto" w:fill="auto"/>
            <w:vAlign w:val="bottom"/>
          </w:tcPr>
          <w:p w14:paraId="1C7A9BD6" w14:textId="77777777" w:rsidR="00A00405" w:rsidRPr="0010725E" w:rsidRDefault="00A00405" w:rsidP="00EC4610">
            <w:pPr>
              <w:spacing w:after="120"/>
              <w:contextualSpacing/>
              <w:rPr>
                <w:b/>
                <w:szCs w:val="22"/>
              </w:rPr>
            </w:pPr>
            <w:r w:rsidRPr="0010725E">
              <w:rPr>
                <w:szCs w:val="22"/>
              </w:rPr>
              <w:t>Guatemala</w:t>
            </w:r>
          </w:p>
        </w:tc>
        <w:tc>
          <w:tcPr>
            <w:tcW w:w="2520" w:type="pct"/>
            <w:tcBorders>
              <w:top w:val="nil"/>
              <w:left w:val="nil"/>
              <w:bottom w:val="single" w:sz="4" w:space="0" w:color="000000"/>
              <w:right w:val="single" w:sz="4" w:space="0" w:color="000000"/>
            </w:tcBorders>
            <w:shd w:val="clear" w:color="auto" w:fill="auto"/>
            <w:vAlign w:val="bottom"/>
          </w:tcPr>
          <w:p w14:paraId="26B91C2A" w14:textId="77777777" w:rsidR="00A00405" w:rsidRPr="0010725E" w:rsidRDefault="00A00405" w:rsidP="00EC4610">
            <w:pPr>
              <w:spacing w:after="120"/>
              <w:contextualSpacing/>
              <w:jc w:val="center"/>
              <w:rPr>
                <w:b/>
                <w:szCs w:val="22"/>
              </w:rPr>
            </w:pPr>
            <w:r w:rsidRPr="0010725E">
              <w:rPr>
                <w:szCs w:val="22"/>
              </w:rPr>
              <w:t>1.2 million</w:t>
            </w:r>
          </w:p>
        </w:tc>
      </w:tr>
      <w:tr w:rsidR="00A00405" w:rsidRPr="0010725E" w14:paraId="106B9C9F" w14:textId="77777777" w:rsidTr="00A00405">
        <w:trPr>
          <w:trHeight w:val="284"/>
          <w:jc w:val="center"/>
        </w:trPr>
        <w:tc>
          <w:tcPr>
            <w:tcW w:w="2480" w:type="pct"/>
            <w:tcBorders>
              <w:top w:val="nil"/>
              <w:left w:val="single" w:sz="4" w:space="0" w:color="000000"/>
              <w:bottom w:val="single" w:sz="4" w:space="0" w:color="000000"/>
              <w:right w:val="single" w:sz="4" w:space="0" w:color="000000"/>
            </w:tcBorders>
            <w:shd w:val="clear" w:color="auto" w:fill="auto"/>
            <w:vAlign w:val="bottom"/>
          </w:tcPr>
          <w:p w14:paraId="39BBD967" w14:textId="77777777" w:rsidR="00A00405" w:rsidRPr="0010725E" w:rsidRDefault="00A00405" w:rsidP="00EC4610">
            <w:pPr>
              <w:spacing w:after="120"/>
              <w:contextualSpacing/>
              <w:rPr>
                <w:b/>
                <w:szCs w:val="22"/>
              </w:rPr>
            </w:pPr>
            <w:r w:rsidRPr="0010725E">
              <w:rPr>
                <w:szCs w:val="22"/>
              </w:rPr>
              <w:t>Honduras</w:t>
            </w:r>
          </w:p>
        </w:tc>
        <w:tc>
          <w:tcPr>
            <w:tcW w:w="2520" w:type="pct"/>
            <w:tcBorders>
              <w:top w:val="nil"/>
              <w:left w:val="nil"/>
              <w:bottom w:val="single" w:sz="4" w:space="0" w:color="000000"/>
              <w:right w:val="single" w:sz="4" w:space="0" w:color="000000"/>
            </w:tcBorders>
            <w:shd w:val="clear" w:color="auto" w:fill="auto"/>
            <w:vAlign w:val="bottom"/>
          </w:tcPr>
          <w:p w14:paraId="76901467" w14:textId="77777777" w:rsidR="00A00405" w:rsidRPr="0010725E" w:rsidRDefault="00A00405" w:rsidP="00EC4610">
            <w:pPr>
              <w:spacing w:after="120"/>
              <w:contextualSpacing/>
              <w:jc w:val="center"/>
              <w:rPr>
                <w:b/>
                <w:szCs w:val="22"/>
              </w:rPr>
            </w:pPr>
            <w:r w:rsidRPr="0010725E">
              <w:rPr>
                <w:szCs w:val="22"/>
              </w:rPr>
              <w:t>1 million</w:t>
            </w:r>
          </w:p>
        </w:tc>
      </w:tr>
      <w:tr w:rsidR="00A00405" w:rsidRPr="0010725E" w14:paraId="5824C775" w14:textId="77777777" w:rsidTr="00A00405">
        <w:trPr>
          <w:trHeight w:val="284"/>
          <w:jc w:val="center"/>
        </w:trPr>
        <w:tc>
          <w:tcPr>
            <w:tcW w:w="2480" w:type="pct"/>
            <w:tcBorders>
              <w:top w:val="nil"/>
              <w:left w:val="single" w:sz="4" w:space="0" w:color="000000"/>
              <w:bottom w:val="single" w:sz="4" w:space="0" w:color="000000"/>
              <w:right w:val="single" w:sz="4" w:space="0" w:color="000000"/>
            </w:tcBorders>
            <w:shd w:val="clear" w:color="auto" w:fill="auto"/>
            <w:vAlign w:val="bottom"/>
          </w:tcPr>
          <w:p w14:paraId="0B643424" w14:textId="77777777" w:rsidR="00A00405" w:rsidRPr="0010725E" w:rsidRDefault="00A00405" w:rsidP="00EC4610">
            <w:pPr>
              <w:spacing w:after="120"/>
              <w:contextualSpacing/>
              <w:rPr>
                <w:b/>
                <w:szCs w:val="22"/>
              </w:rPr>
            </w:pPr>
            <w:r w:rsidRPr="0010725E">
              <w:rPr>
                <w:szCs w:val="22"/>
              </w:rPr>
              <w:t>Mexico</w:t>
            </w:r>
          </w:p>
        </w:tc>
        <w:tc>
          <w:tcPr>
            <w:tcW w:w="2520" w:type="pct"/>
            <w:tcBorders>
              <w:top w:val="nil"/>
              <w:left w:val="nil"/>
              <w:bottom w:val="single" w:sz="4" w:space="0" w:color="000000"/>
              <w:right w:val="single" w:sz="4" w:space="0" w:color="000000"/>
            </w:tcBorders>
            <w:shd w:val="clear" w:color="auto" w:fill="auto"/>
            <w:vAlign w:val="bottom"/>
          </w:tcPr>
          <w:p w14:paraId="1E30FB48" w14:textId="77777777" w:rsidR="00A00405" w:rsidRPr="0010725E" w:rsidRDefault="00A00405" w:rsidP="00EC4610">
            <w:pPr>
              <w:spacing w:after="120"/>
              <w:contextualSpacing/>
              <w:jc w:val="center"/>
              <w:rPr>
                <w:b/>
                <w:szCs w:val="22"/>
              </w:rPr>
            </w:pPr>
            <w:r w:rsidRPr="0010725E">
              <w:rPr>
                <w:szCs w:val="22"/>
              </w:rPr>
              <w:t>6.5 million</w:t>
            </w:r>
          </w:p>
        </w:tc>
      </w:tr>
      <w:tr w:rsidR="00A00405" w:rsidRPr="0010725E" w14:paraId="3401535B" w14:textId="77777777" w:rsidTr="00A00405">
        <w:trPr>
          <w:trHeight w:val="284"/>
          <w:jc w:val="center"/>
        </w:trPr>
        <w:tc>
          <w:tcPr>
            <w:tcW w:w="2480" w:type="pct"/>
            <w:tcBorders>
              <w:top w:val="nil"/>
              <w:left w:val="single" w:sz="4" w:space="0" w:color="000000"/>
              <w:bottom w:val="single" w:sz="4" w:space="0" w:color="000000"/>
              <w:right w:val="single" w:sz="4" w:space="0" w:color="000000"/>
            </w:tcBorders>
            <w:shd w:val="clear" w:color="auto" w:fill="auto"/>
            <w:vAlign w:val="bottom"/>
          </w:tcPr>
          <w:p w14:paraId="1604A63A" w14:textId="77777777" w:rsidR="00A00405" w:rsidRPr="0010725E" w:rsidRDefault="00A00405" w:rsidP="00EC4610">
            <w:pPr>
              <w:spacing w:after="120"/>
              <w:contextualSpacing/>
              <w:rPr>
                <w:b/>
                <w:szCs w:val="22"/>
              </w:rPr>
            </w:pPr>
            <w:r w:rsidRPr="0010725E">
              <w:rPr>
                <w:szCs w:val="22"/>
              </w:rPr>
              <w:t>Panama</w:t>
            </w:r>
          </w:p>
        </w:tc>
        <w:tc>
          <w:tcPr>
            <w:tcW w:w="2520" w:type="pct"/>
            <w:tcBorders>
              <w:top w:val="nil"/>
              <w:left w:val="nil"/>
              <w:bottom w:val="single" w:sz="4" w:space="0" w:color="000000"/>
              <w:right w:val="single" w:sz="4" w:space="0" w:color="000000"/>
            </w:tcBorders>
            <w:shd w:val="clear" w:color="auto" w:fill="auto"/>
            <w:vAlign w:val="bottom"/>
          </w:tcPr>
          <w:p w14:paraId="4B69C6ED" w14:textId="77777777" w:rsidR="00A00405" w:rsidRPr="0010725E" w:rsidRDefault="00A00405" w:rsidP="00EC4610">
            <w:pPr>
              <w:spacing w:after="120"/>
              <w:contextualSpacing/>
              <w:jc w:val="center"/>
              <w:rPr>
                <w:b/>
                <w:szCs w:val="22"/>
              </w:rPr>
            </w:pPr>
            <w:r w:rsidRPr="0010725E">
              <w:rPr>
                <w:szCs w:val="22"/>
              </w:rPr>
              <w:t>1 million</w:t>
            </w:r>
          </w:p>
        </w:tc>
      </w:tr>
      <w:tr w:rsidR="00A00405" w:rsidRPr="0010725E" w14:paraId="7ADA3B5C" w14:textId="77777777" w:rsidTr="00A00405">
        <w:trPr>
          <w:trHeight w:val="284"/>
          <w:jc w:val="center"/>
        </w:trPr>
        <w:tc>
          <w:tcPr>
            <w:tcW w:w="2480" w:type="pct"/>
            <w:tcBorders>
              <w:top w:val="single" w:sz="4" w:space="0" w:color="000000"/>
              <w:left w:val="single" w:sz="4" w:space="0" w:color="000000"/>
              <w:bottom w:val="single" w:sz="4" w:space="0" w:color="000000"/>
              <w:right w:val="single" w:sz="4" w:space="0" w:color="000000"/>
            </w:tcBorders>
            <w:shd w:val="clear" w:color="auto" w:fill="auto"/>
            <w:vAlign w:val="bottom"/>
          </w:tcPr>
          <w:p w14:paraId="31E79B0F" w14:textId="77777777" w:rsidR="00A00405" w:rsidRPr="0010725E" w:rsidRDefault="00A00405" w:rsidP="00EC4610">
            <w:pPr>
              <w:spacing w:after="120"/>
              <w:contextualSpacing/>
              <w:rPr>
                <w:b/>
                <w:szCs w:val="22"/>
              </w:rPr>
            </w:pPr>
            <w:r w:rsidRPr="0010725E">
              <w:rPr>
                <w:b/>
                <w:szCs w:val="22"/>
              </w:rPr>
              <w:t>South America</w:t>
            </w:r>
          </w:p>
        </w:tc>
        <w:tc>
          <w:tcPr>
            <w:tcW w:w="2520" w:type="pct"/>
            <w:tcBorders>
              <w:top w:val="single" w:sz="4" w:space="0" w:color="000000"/>
              <w:left w:val="nil"/>
              <w:bottom w:val="single" w:sz="4" w:space="0" w:color="000000"/>
              <w:right w:val="single" w:sz="4" w:space="0" w:color="000000"/>
            </w:tcBorders>
            <w:shd w:val="clear" w:color="auto" w:fill="auto"/>
            <w:vAlign w:val="bottom"/>
          </w:tcPr>
          <w:p w14:paraId="1D344F7D" w14:textId="77777777" w:rsidR="00A00405" w:rsidRPr="0010725E" w:rsidRDefault="00A00405" w:rsidP="00EC4610">
            <w:pPr>
              <w:spacing w:after="120"/>
              <w:contextualSpacing/>
              <w:jc w:val="center"/>
              <w:rPr>
                <w:b/>
                <w:szCs w:val="22"/>
              </w:rPr>
            </w:pPr>
          </w:p>
        </w:tc>
      </w:tr>
      <w:tr w:rsidR="00A00405" w:rsidRPr="0010725E" w14:paraId="1A6281B8" w14:textId="77777777" w:rsidTr="00A00405">
        <w:trPr>
          <w:trHeight w:val="284"/>
          <w:jc w:val="center"/>
        </w:trPr>
        <w:tc>
          <w:tcPr>
            <w:tcW w:w="2480" w:type="pct"/>
            <w:tcBorders>
              <w:top w:val="nil"/>
              <w:left w:val="single" w:sz="4" w:space="0" w:color="000000"/>
              <w:bottom w:val="single" w:sz="4" w:space="0" w:color="000000"/>
              <w:right w:val="single" w:sz="4" w:space="0" w:color="000000"/>
            </w:tcBorders>
            <w:shd w:val="clear" w:color="auto" w:fill="auto"/>
            <w:vAlign w:val="bottom"/>
          </w:tcPr>
          <w:p w14:paraId="2124272B" w14:textId="77777777" w:rsidR="00A00405" w:rsidRPr="0010725E" w:rsidRDefault="00A00405" w:rsidP="00EC4610">
            <w:pPr>
              <w:spacing w:after="120"/>
              <w:contextualSpacing/>
              <w:rPr>
                <w:b/>
                <w:szCs w:val="22"/>
              </w:rPr>
            </w:pPr>
            <w:r w:rsidRPr="0010725E">
              <w:rPr>
                <w:szCs w:val="22"/>
              </w:rPr>
              <w:t>Brazil</w:t>
            </w:r>
          </w:p>
        </w:tc>
        <w:tc>
          <w:tcPr>
            <w:tcW w:w="2520" w:type="pct"/>
            <w:tcBorders>
              <w:top w:val="nil"/>
              <w:left w:val="nil"/>
              <w:bottom w:val="single" w:sz="4" w:space="0" w:color="000000"/>
              <w:right w:val="single" w:sz="4" w:space="0" w:color="000000"/>
            </w:tcBorders>
            <w:shd w:val="clear" w:color="auto" w:fill="auto"/>
            <w:vAlign w:val="bottom"/>
          </w:tcPr>
          <w:p w14:paraId="02FF6215" w14:textId="77777777" w:rsidR="00A00405" w:rsidRPr="0010725E" w:rsidRDefault="00A00405" w:rsidP="00EC4610">
            <w:pPr>
              <w:spacing w:after="120"/>
              <w:contextualSpacing/>
              <w:jc w:val="center"/>
              <w:rPr>
                <w:b/>
                <w:szCs w:val="22"/>
              </w:rPr>
            </w:pPr>
            <w:r w:rsidRPr="0010725E">
              <w:rPr>
                <w:szCs w:val="22"/>
              </w:rPr>
              <w:t>12 million</w:t>
            </w:r>
          </w:p>
        </w:tc>
      </w:tr>
      <w:tr w:rsidR="00A00405" w:rsidRPr="0010725E" w14:paraId="6DDB22F6" w14:textId="77777777" w:rsidTr="00A00405">
        <w:trPr>
          <w:trHeight w:val="284"/>
          <w:jc w:val="center"/>
        </w:trPr>
        <w:tc>
          <w:tcPr>
            <w:tcW w:w="2480" w:type="pct"/>
            <w:tcBorders>
              <w:top w:val="nil"/>
              <w:left w:val="single" w:sz="4" w:space="0" w:color="000000"/>
              <w:bottom w:val="single" w:sz="4" w:space="0" w:color="000000"/>
              <w:right w:val="single" w:sz="4" w:space="0" w:color="000000"/>
            </w:tcBorders>
            <w:shd w:val="clear" w:color="auto" w:fill="auto"/>
            <w:vAlign w:val="bottom"/>
          </w:tcPr>
          <w:p w14:paraId="50172B43" w14:textId="77777777" w:rsidR="00A00405" w:rsidRPr="0010725E" w:rsidRDefault="00A00405" w:rsidP="00EC4610">
            <w:pPr>
              <w:spacing w:after="120"/>
              <w:contextualSpacing/>
              <w:rPr>
                <w:b/>
                <w:szCs w:val="22"/>
              </w:rPr>
            </w:pPr>
            <w:r w:rsidRPr="0010725E">
              <w:rPr>
                <w:szCs w:val="22"/>
              </w:rPr>
              <w:t>Peru</w:t>
            </w:r>
          </w:p>
        </w:tc>
        <w:tc>
          <w:tcPr>
            <w:tcW w:w="2520" w:type="pct"/>
            <w:tcBorders>
              <w:top w:val="nil"/>
              <w:left w:val="nil"/>
              <w:bottom w:val="single" w:sz="4" w:space="0" w:color="000000"/>
              <w:right w:val="single" w:sz="4" w:space="0" w:color="000000"/>
            </w:tcBorders>
            <w:shd w:val="clear" w:color="auto" w:fill="auto"/>
            <w:vAlign w:val="bottom"/>
          </w:tcPr>
          <w:p w14:paraId="23E39BC2" w14:textId="77777777" w:rsidR="00A00405" w:rsidRPr="0010725E" w:rsidRDefault="00A00405" w:rsidP="00EC4610">
            <w:pPr>
              <w:spacing w:after="120"/>
              <w:contextualSpacing/>
              <w:jc w:val="center"/>
              <w:rPr>
                <w:b/>
                <w:szCs w:val="22"/>
              </w:rPr>
            </w:pPr>
            <w:r w:rsidRPr="0010725E">
              <w:rPr>
                <w:szCs w:val="22"/>
              </w:rPr>
              <w:t>3.2 million</w:t>
            </w:r>
          </w:p>
        </w:tc>
      </w:tr>
      <w:tr w:rsidR="00A00405" w:rsidRPr="0010725E" w14:paraId="41B0BA27" w14:textId="77777777" w:rsidTr="00A00405">
        <w:trPr>
          <w:trHeight w:val="284"/>
          <w:jc w:val="center"/>
        </w:trPr>
        <w:tc>
          <w:tcPr>
            <w:tcW w:w="2480" w:type="pct"/>
            <w:tcBorders>
              <w:top w:val="single" w:sz="4" w:space="0" w:color="000000"/>
              <w:left w:val="single" w:sz="4" w:space="0" w:color="000000"/>
              <w:bottom w:val="single" w:sz="4" w:space="0" w:color="000000"/>
              <w:right w:val="single" w:sz="4" w:space="0" w:color="000000"/>
            </w:tcBorders>
            <w:shd w:val="clear" w:color="auto" w:fill="auto"/>
            <w:vAlign w:val="bottom"/>
          </w:tcPr>
          <w:p w14:paraId="0AD92E22" w14:textId="77777777" w:rsidR="00A00405" w:rsidRPr="0010725E" w:rsidRDefault="00A00405" w:rsidP="00EC4610">
            <w:pPr>
              <w:spacing w:after="120"/>
              <w:contextualSpacing/>
              <w:rPr>
                <w:b/>
                <w:szCs w:val="22"/>
              </w:rPr>
            </w:pPr>
            <w:r w:rsidRPr="0010725E">
              <w:rPr>
                <w:szCs w:val="22"/>
              </w:rPr>
              <w:t xml:space="preserve">Argentina </w:t>
            </w:r>
          </w:p>
        </w:tc>
        <w:tc>
          <w:tcPr>
            <w:tcW w:w="2520" w:type="pct"/>
            <w:tcBorders>
              <w:top w:val="single" w:sz="4" w:space="0" w:color="000000"/>
              <w:left w:val="nil"/>
              <w:bottom w:val="single" w:sz="4" w:space="0" w:color="000000"/>
              <w:right w:val="single" w:sz="4" w:space="0" w:color="000000"/>
            </w:tcBorders>
            <w:shd w:val="clear" w:color="auto" w:fill="auto"/>
            <w:vAlign w:val="bottom"/>
          </w:tcPr>
          <w:p w14:paraId="48CB7E15" w14:textId="77777777" w:rsidR="00A00405" w:rsidRPr="0010725E" w:rsidRDefault="00A00405" w:rsidP="00EC4610">
            <w:pPr>
              <w:spacing w:after="120"/>
              <w:contextualSpacing/>
              <w:jc w:val="center"/>
              <w:rPr>
                <w:b/>
                <w:szCs w:val="22"/>
              </w:rPr>
            </w:pPr>
            <w:r w:rsidRPr="0010725E">
              <w:rPr>
                <w:szCs w:val="22"/>
              </w:rPr>
              <w:t>1 million</w:t>
            </w:r>
          </w:p>
        </w:tc>
      </w:tr>
      <w:tr w:rsidR="00A00405" w:rsidRPr="0010725E" w14:paraId="28CB8854" w14:textId="77777777" w:rsidTr="00A00405">
        <w:trPr>
          <w:trHeight w:val="284"/>
          <w:jc w:val="center"/>
        </w:trPr>
        <w:tc>
          <w:tcPr>
            <w:tcW w:w="2480" w:type="pct"/>
            <w:tcBorders>
              <w:top w:val="nil"/>
              <w:left w:val="single" w:sz="4" w:space="0" w:color="000000"/>
              <w:bottom w:val="single" w:sz="4" w:space="0" w:color="000000"/>
              <w:right w:val="single" w:sz="4" w:space="0" w:color="000000"/>
            </w:tcBorders>
            <w:shd w:val="clear" w:color="auto" w:fill="auto"/>
            <w:vAlign w:val="bottom"/>
          </w:tcPr>
          <w:p w14:paraId="33E251CB" w14:textId="77777777" w:rsidR="00A00405" w:rsidRPr="0010725E" w:rsidRDefault="00A00405" w:rsidP="00EC4610">
            <w:pPr>
              <w:spacing w:after="120"/>
              <w:contextualSpacing/>
              <w:rPr>
                <w:b/>
                <w:szCs w:val="22"/>
              </w:rPr>
            </w:pPr>
            <w:r w:rsidRPr="0010725E">
              <w:rPr>
                <w:szCs w:val="22"/>
              </w:rPr>
              <w:t>Colombia</w:t>
            </w:r>
          </w:p>
        </w:tc>
        <w:tc>
          <w:tcPr>
            <w:tcW w:w="2520" w:type="pct"/>
            <w:tcBorders>
              <w:top w:val="nil"/>
              <w:left w:val="nil"/>
              <w:bottom w:val="single" w:sz="4" w:space="0" w:color="000000"/>
              <w:right w:val="single" w:sz="4" w:space="0" w:color="000000"/>
            </w:tcBorders>
            <w:shd w:val="clear" w:color="auto" w:fill="auto"/>
            <w:vAlign w:val="bottom"/>
          </w:tcPr>
          <w:p w14:paraId="0C68BA9B" w14:textId="77777777" w:rsidR="00A00405" w:rsidRPr="0010725E" w:rsidRDefault="00A00405" w:rsidP="00EC4610">
            <w:pPr>
              <w:spacing w:after="120"/>
              <w:contextualSpacing/>
              <w:jc w:val="center"/>
              <w:rPr>
                <w:b/>
                <w:szCs w:val="22"/>
              </w:rPr>
            </w:pPr>
            <w:r w:rsidRPr="0010725E">
              <w:rPr>
                <w:szCs w:val="22"/>
              </w:rPr>
              <w:t>1 million</w:t>
            </w:r>
          </w:p>
        </w:tc>
      </w:tr>
      <w:tr w:rsidR="00A00405" w:rsidRPr="0010725E" w14:paraId="54A279A4" w14:textId="77777777" w:rsidTr="00A00405">
        <w:trPr>
          <w:trHeight w:val="284"/>
          <w:jc w:val="center"/>
        </w:trPr>
        <w:tc>
          <w:tcPr>
            <w:tcW w:w="2480" w:type="pct"/>
            <w:tcBorders>
              <w:top w:val="nil"/>
              <w:left w:val="single" w:sz="4" w:space="0" w:color="000000"/>
              <w:bottom w:val="single" w:sz="4" w:space="0" w:color="000000"/>
              <w:right w:val="single" w:sz="4" w:space="0" w:color="000000"/>
            </w:tcBorders>
            <w:shd w:val="clear" w:color="auto" w:fill="auto"/>
            <w:vAlign w:val="bottom"/>
          </w:tcPr>
          <w:p w14:paraId="2339C4F3" w14:textId="77777777" w:rsidR="00A00405" w:rsidRPr="0010725E" w:rsidRDefault="00A00405" w:rsidP="00EC4610">
            <w:pPr>
              <w:spacing w:after="120"/>
              <w:contextualSpacing/>
              <w:rPr>
                <w:b/>
                <w:szCs w:val="22"/>
              </w:rPr>
            </w:pPr>
            <w:r w:rsidRPr="0010725E">
              <w:rPr>
                <w:szCs w:val="22"/>
              </w:rPr>
              <w:t>Chile</w:t>
            </w:r>
          </w:p>
        </w:tc>
        <w:tc>
          <w:tcPr>
            <w:tcW w:w="2520" w:type="pct"/>
            <w:tcBorders>
              <w:top w:val="nil"/>
              <w:left w:val="nil"/>
              <w:bottom w:val="single" w:sz="4" w:space="0" w:color="000000"/>
              <w:right w:val="single" w:sz="4" w:space="0" w:color="000000"/>
            </w:tcBorders>
            <w:shd w:val="clear" w:color="auto" w:fill="auto"/>
            <w:vAlign w:val="bottom"/>
          </w:tcPr>
          <w:p w14:paraId="7A456E39" w14:textId="77777777" w:rsidR="00A00405" w:rsidRPr="0010725E" w:rsidRDefault="00A00405" w:rsidP="00EC4610">
            <w:pPr>
              <w:spacing w:after="120"/>
              <w:contextualSpacing/>
              <w:jc w:val="center"/>
              <w:rPr>
                <w:b/>
                <w:szCs w:val="22"/>
              </w:rPr>
            </w:pPr>
            <w:r w:rsidRPr="0010725E">
              <w:rPr>
                <w:szCs w:val="22"/>
              </w:rPr>
              <w:t>0.5 million</w:t>
            </w:r>
          </w:p>
        </w:tc>
      </w:tr>
      <w:tr w:rsidR="00A00405" w:rsidRPr="0010725E" w14:paraId="3ABD386A" w14:textId="77777777" w:rsidTr="00A00405">
        <w:trPr>
          <w:trHeight w:val="284"/>
          <w:jc w:val="center"/>
        </w:trPr>
        <w:tc>
          <w:tcPr>
            <w:tcW w:w="2480" w:type="pct"/>
            <w:tcBorders>
              <w:top w:val="single" w:sz="4" w:space="0" w:color="000000"/>
              <w:left w:val="single" w:sz="4" w:space="0" w:color="000000"/>
              <w:bottom w:val="single" w:sz="4" w:space="0" w:color="000000"/>
              <w:right w:val="single" w:sz="4" w:space="0" w:color="000000"/>
            </w:tcBorders>
            <w:shd w:val="clear" w:color="auto" w:fill="auto"/>
            <w:vAlign w:val="bottom"/>
          </w:tcPr>
          <w:p w14:paraId="78216902" w14:textId="77777777" w:rsidR="00A00405" w:rsidRPr="0010725E" w:rsidRDefault="00A00405" w:rsidP="00EC4610">
            <w:pPr>
              <w:spacing w:after="120"/>
              <w:contextualSpacing/>
              <w:rPr>
                <w:b/>
                <w:szCs w:val="22"/>
              </w:rPr>
            </w:pPr>
            <w:r w:rsidRPr="0010725E">
              <w:rPr>
                <w:szCs w:val="22"/>
              </w:rPr>
              <w:t>Ecuador</w:t>
            </w:r>
          </w:p>
        </w:tc>
        <w:tc>
          <w:tcPr>
            <w:tcW w:w="2520" w:type="pct"/>
            <w:tcBorders>
              <w:top w:val="single" w:sz="4" w:space="0" w:color="000000"/>
              <w:left w:val="nil"/>
              <w:bottom w:val="single" w:sz="4" w:space="0" w:color="000000"/>
              <w:right w:val="single" w:sz="4" w:space="0" w:color="000000"/>
            </w:tcBorders>
            <w:shd w:val="clear" w:color="auto" w:fill="auto"/>
            <w:vAlign w:val="bottom"/>
          </w:tcPr>
          <w:p w14:paraId="34C6692A" w14:textId="77777777" w:rsidR="00A00405" w:rsidRPr="0010725E" w:rsidRDefault="00A00405" w:rsidP="00EC4610">
            <w:pPr>
              <w:spacing w:after="120"/>
              <w:contextualSpacing/>
              <w:jc w:val="center"/>
              <w:rPr>
                <w:b/>
                <w:szCs w:val="22"/>
              </w:rPr>
            </w:pPr>
            <w:r w:rsidRPr="0010725E">
              <w:rPr>
                <w:szCs w:val="22"/>
              </w:rPr>
              <w:t>0.5 million</w:t>
            </w:r>
          </w:p>
        </w:tc>
      </w:tr>
      <w:tr w:rsidR="00A00405" w:rsidRPr="0010725E" w14:paraId="50E5914E" w14:textId="77777777" w:rsidTr="00A00405">
        <w:trPr>
          <w:trHeight w:val="66"/>
          <w:jc w:val="center"/>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082A1147" w14:textId="77777777" w:rsidR="00A00405" w:rsidRPr="0010725E" w:rsidRDefault="00A00405" w:rsidP="00EC4610">
            <w:pPr>
              <w:keepNext/>
              <w:spacing w:after="120"/>
              <w:contextualSpacing/>
              <w:rPr>
                <w:b/>
                <w:szCs w:val="22"/>
              </w:rPr>
            </w:pPr>
            <w:r w:rsidRPr="0010725E">
              <w:rPr>
                <w:b/>
                <w:szCs w:val="22"/>
              </w:rPr>
              <w:t xml:space="preserve">Source: </w:t>
            </w:r>
            <w:hyperlink r:id="rId84" w:history="1">
              <w:r w:rsidRPr="0010725E">
                <w:rPr>
                  <w:rStyle w:val="Hyperlink"/>
                  <w:szCs w:val="22"/>
                </w:rPr>
                <w:t>www.bonnchallenge.org</w:t>
              </w:r>
            </w:hyperlink>
          </w:p>
        </w:tc>
      </w:tr>
    </w:tbl>
    <w:p w14:paraId="1204463D" w14:textId="77777777" w:rsidR="00A00405" w:rsidRPr="008608AA" w:rsidRDefault="00A00405" w:rsidP="00592528">
      <w:pPr>
        <w:spacing w:before="240" w:after="120"/>
      </w:pPr>
      <w:r w:rsidRPr="008608AA">
        <w:t>A top priority is to protect and maintain natural habitats in agricultural landscapes (Scherr et al., 2008). Such ‘ecoagricultural’ landscapes simultaneously provide multiple benefits of nature to people, including food production, biodiversity support, with less environmental impact. Here, organic farming also makes important contribution. Organic farming has increased considerably in the past years throughout the Americas, with Argentina (3,073,412 ha), the USA (2,029,327 ha), Uruguay (1,307,421 ha), Canada (944,558 ha), and Brazil (750,000 ha) leading as countries with the most area under organic farming practices (Willer &amp; Lernoud, 2017). Still, this is only a small fraction of total agricultural area in most countries in the Americas.</w:t>
      </w:r>
    </w:p>
    <w:p w14:paraId="49075106" w14:textId="77777777" w:rsidR="00A00405" w:rsidRPr="008608AA" w:rsidRDefault="00A00405" w:rsidP="00592528">
      <w:pPr>
        <w:spacing w:after="120"/>
      </w:pPr>
      <w:r w:rsidRPr="008608AA">
        <w:t xml:space="preserve">Before intensive agriculture was spread globally, fueled by the green revolution, agricultural activity relied entirely on ecosystem services such as soil formation and fertilization, natural pest control. Some of these natural ecosystem functions have diminished or disappeared from intensive crop fields – and been replaced by chemical (e.g. pesticides, fertilizers) and energy inputs (combustibles). </w:t>
      </w:r>
    </w:p>
    <w:p w14:paraId="64556C36" w14:textId="77777777" w:rsidR="00592528" w:rsidRPr="008608AA" w:rsidRDefault="00A00405" w:rsidP="00592528">
      <w:pPr>
        <w:spacing w:after="120"/>
      </w:pPr>
      <w:r w:rsidRPr="008608AA">
        <w:t>Importantly, indigenous and local management practices can contribute to enhance NCP both in terrestrial and aquatic ecosystems. For instance, Begossi (1998) describe how the diversity of management practices regarding small-scale slash-and-burn agriculture and fisheries produce NCP and increase resilience in local communities of Cablocos from the Amazon rain forest and Caiçaras from the Atlantic forest in Brazil. Another example is the many First Nations groups in Canada restoring and/or enhancing stream habitats for salmon fisheries (Garner &amp; Parfitt, 2006).</w:t>
      </w:r>
    </w:p>
    <w:p w14:paraId="38BC3C3B" w14:textId="3C252DC2" w:rsidR="00A00405" w:rsidRPr="008608AA" w:rsidRDefault="00A00405" w:rsidP="00592528">
      <w:pPr>
        <w:spacing w:after="120"/>
      </w:pPr>
      <w:r w:rsidRPr="008608AA">
        <w:t xml:space="preserve"> </w:t>
      </w:r>
    </w:p>
    <w:p w14:paraId="285F703D" w14:textId="7BBFADD6" w:rsidR="00A00405" w:rsidRPr="008608AA" w:rsidRDefault="00E95397" w:rsidP="00592528">
      <w:pPr>
        <w:pStyle w:val="Heading3"/>
      </w:pPr>
      <w:bookmarkStart w:id="687" w:name="_Toc517393263"/>
      <w:bookmarkStart w:id="688" w:name="_Toc517719004"/>
      <w:bookmarkStart w:id="689" w:name="_Toc517796961"/>
      <w:r>
        <w:t xml:space="preserve"> </w:t>
      </w:r>
      <w:r w:rsidR="00A00405" w:rsidRPr="008608AA">
        <w:t>Regulation of air quality</w:t>
      </w:r>
      <w:bookmarkEnd w:id="687"/>
      <w:bookmarkEnd w:id="688"/>
      <w:bookmarkEnd w:id="689"/>
      <w:r w:rsidR="00A00405" w:rsidRPr="008608AA">
        <w:t xml:space="preserve"> </w:t>
      </w:r>
    </w:p>
    <w:p w14:paraId="70618E9A" w14:textId="21C58726" w:rsidR="00A00405" w:rsidRPr="008608AA" w:rsidRDefault="00A00405" w:rsidP="00592528">
      <w:pPr>
        <w:spacing w:after="120"/>
      </w:pPr>
      <w:r w:rsidRPr="008608AA">
        <w:t>Ecosystems have an important role in regulating air quality through the exchange of trace gasses and deposition of particulate matter. This can have positive effects on air quality as pollutants are removed by interception by, or deposition on vegetation. The deposition of nutrients (e.g. nitrogen) in moderate amounts can increase primary productivity, particularly in areas where nitrogen is limiting (Dise</w:t>
      </w:r>
      <w:r w:rsidR="00AB5E93" w:rsidRPr="008608AA">
        <w:t xml:space="preserve"> et al.</w:t>
      </w:r>
      <w:r w:rsidRPr="008608AA">
        <w:t>, 2011). However, excessive deposition may damage vegetation, reducing its capacity to provide this and other benefits to human well-being.  In some cases vegetation can have a negative effect by emitting precursors to other, more serious air pollutants.</w:t>
      </w:r>
    </w:p>
    <w:p w14:paraId="69A89DDB" w14:textId="4BC4C960" w:rsidR="00A00405" w:rsidRPr="008608AA" w:rsidRDefault="00A00405" w:rsidP="00592528">
      <w:pPr>
        <w:spacing w:after="120"/>
      </w:pPr>
      <w:r w:rsidRPr="008608AA">
        <w:t>Human activities related to industry, energy generation, and transportation generate emissions that diminish air quality by releasing particulate matter, nitrogen oxides, ammonia, sulfur dioxide, and carbon monoxide (Smith et al., 2013).  The costs of particulate and gaseous air pollutants to human health can be considerable, although these are not well quantified in many subregions of the Americas. Outdoor air pollution is a major environmental health risk, particularly in urban areas where sources of pollutants are concentrated.  Fine particulate matter (&lt;2.5 µm, or particulate matter2.5) is strongly linked to diseases such as lung cancer, and pulmonary and cardiovascular diseases. In 2014, an estimated 90% of people globally living in cities experienced particulate matter at levels above World Health Organization guidelines. Limited progress in improving air quality over the past decade points to the difficulty in reaching the Sustainable Development Goal 11.6, related to reducing the adverse environmental impacts of living in cities, including those related to air quality (WHO, 2016). In regions where air pollution is high, other services such as crop production and those related to forest growth (carbon sequestration, support of biodiversity) can be impacted (Grimm et al., 2008; Dise</w:t>
      </w:r>
      <w:r w:rsidR="00AB5E93" w:rsidRPr="008608AA">
        <w:t xml:space="preserve"> et al., </w:t>
      </w:r>
      <w:r w:rsidRPr="008608AA">
        <w:t>2011). Globally it is recognized that production of air pollutants in one region (e.g. from industrial activities or forest/biomass burning) can circulate to other regions contributing to negative human health effects and crop damage (Akimoto, 2003; Hollaway et al., 2012).  For exa</w:t>
      </w:r>
      <w:r w:rsidR="004A266A" w:rsidRPr="008608AA">
        <w:t>mple, nitrogen oxides</w:t>
      </w:r>
      <w:r w:rsidRPr="008608AA">
        <w:t xml:space="preserve"> emissions from North America lead to ozone formation and crop production losses, particularly to corn and soybean) in Europe and other portions of the northern hemisphere (Hollaway et al., 2012).  </w:t>
      </w:r>
    </w:p>
    <w:p w14:paraId="04BCDAC4" w14:textId="196CD7D3" w:rsidR="00A00405" w:rsidRPr="008608AA" w:rsidRDefault="00A00405" w:rsidP="00592528">
      <w:pPr>
        <w:spacing w:after="120"/>
      </w:pPr>
      <w:r w:rsidRPr="008608AA">
        <w:t>Urban forests and street trees are increasingly recognized as contributing to improved air quality with associated reductions in health risks. The ability of trees to absorb pollutants and promote deposition of particulates can directly benefit human health, although much of the evidence is through modeling estimates at regional scales, making site specific predictions difficult (Salmond et al., 2016).  The benefits that trees and other vegetation provide have resulted in programs to promote tree planting and the ‘greening’ of cities (Salmond et al., 2016).  The demonstrated value of urban trees includes cooling of local temperatures and mitigation of heat stress, both by shade and evaporative cooling. The removal or particulates from air provides substantial benefits. Modeling studies show that urban forests in Santiago, Chile remove an estimated 14.8 – 17.3 g particulate matter10 per m</w:t>
      </w:r>
      <w:r w:rsidRPr="008608AA">
        <w:rPr>
          <w:vertAlign w:val="superscript"/>
        </w:rPr>
        <w:t>2</w:t>
      </w:r>
      <w:r w:rsidR="00263006" w:rsidRPr="008608AA">
        <w:t xml:space="preserve"> per </w:t>
      </w:r>
      <w:r w:rsidRPr="008608AA">
        <w:t>y</w:t>
      </w:r>
      <w:r w:rsidR="00263006" w:rsidRPr="008608AA">
        <w:t>ea</w:t>
      </w:r>
      <w:r w:rsidRPr="008608AA">
        <w:t>r, effectively increasing air quality (Escobedo et al., 2008). Parks can also have substantial benefits, for example, vegetation in a peri-urban park in Mexico City, one of the most air polluted cities in the Americas, reduced ozone by 1%, particulate matter10 by 2%, and carbon monoxide by 0.2% of the annual concentration (Baumgardner et al., 2012).  In a recent review, 89% (34 of 38) of studies examining air quality showed a demonstrated improvement due to the reductions in particulate matter, ozone, sulfur dioxide, nitrogen dioxide, and carbon monoxide (Roy et al., 2012). Economically, tree planting in urban areas has been reported to have a net benefit, with cost benefit ratios of 3.8:1 to 4.5:0 (Salmond et al.,</w:t>
      </w:r>
      <w:r w:rsidR="00D03B0D" w:rsidRPr="008608AA">
        <w:t xml:space="preserve"> 2016</w:t>
      </w:r>
      <w:r w:rsidRPr="008608AA">
        <w:t>).</w:t>
      </w:r>
    </w:p>
    <w:p w14:paraId="5C213C83" w14:textId="4C0B142E" w:rsidR="00A00405" w:rsidRPr="008608AA" w:rsidRDefault="00A00405" w:rsidP="00592528">
      <w:pPr>
        <w:spacing w:after="120"/>
      </w:pPr>
      <w:r w:rsidRPr="008608AA">
        <w:t>Some ecosystems are sources of air pollutants (disservices), for example agricultural systems that emit ammonia and nitrite as a result of fertilizer use and livestock operations. A disservice of urban trees is the emission of gasses that are precursors to secondary pollutants for example, volatile organic compounds that are involved in the formation of ground level ozone (so called “bad ozone” to distinguish it from good ozone in the upper atmosphere that blocks harmful UV radiation) (Horowitz, 2006; Salmond et al.,</w:t>
      </w:r>
      <w:r w:rsidR="00D03B0D" w:rsidRPr="008608AA">
        <w:t xml:space="preserve"> 2016</w:t>
      </w:r>
      <w:r w:rsidRPr="008608AA">
        <w:t xml:space="preserve">). The emission of these compounds has been shown to vary by tree species (Roy et al., 2012). Increasing ground level ozone has been linked to reduced lung function and worsening of existing conditions such as emphysema (WHO, 2005).  Ozone pollution has also been documented to reduce crop production through damage to staple crops such as soybean, maize, and wheat. In 2000, global reductions in yield due to ozone exposure were estimated as 8.5-14% for soybean, 3.9-15% for wheat, and 2.2-5.5% for maize, worth an estimated $11-18 billion (Avnery et al., 2011).  </w:t>
      </w:r>
    </w:p>
    <w:p w14:paraId="021B46FC" w14:textId="77777777" w:rsidR="00A00405" w:rsidRPr="008608AA" w:rsidRDefault="00A00405" w:rsidP="00592528">
      <w:pPr>
        <w:spacing w:after="120"/>
      </w:pPr>
      <w:r w:rsidRPr="008608AA">
        <w:t xml:space="preserve">Finally, trees and other vegetation, particularly in urban areas, also provide important social and cultural values by providing opportunities for recreation, aesthetic enjoyment, and allowing residents an opportunity to ‘connect with nature’ (Roy et al., 2012). </w:t>
      </w:r>
    </w:p>
    <w:p w14:paraId="795932A8" w14:textId="77777777" w:rsidR="00592528" w:rsidRPr="008608AA" w:rsidRDefault="00592528" w:rsidP="00592528">
      <w:pPr>
        <w:spacing w:after="120"/>
      </w:pPr>
    </w:p>
    <w:p w14:paraId="6B7ED968" w14:textId="1D4FB3D2" w:rsidR="00A00405" w:rsidRPr="008608AA" w:rsidRDefault="00E95397" w:rsidP="00592528">
      <w:pPr>
        <w:pStyle w:val="Heading3"/>
      </w:pPr>
      <w:bookmarkStart w:id="690" w:name="_Toc517393264"/>
      <w:bookmarkStart w:id="691" w:name="_Toc517719005"/>
      <w:bookmarkStart w:id="692" w:name="_Toc517796962"/>
      <w:r>
        <w:t xml:space="preserve"> </w:t>
      </w:r>
      <w:r w:rsidR="00A00405" w:rsidRPr="008608AA">
        <w:t>Regulation of organisms detrimental to humans</w:t>
      </w:r>
      <w:bookmarkEnd w:id="690"/>
      <w:bookmarkEnd w:id="691"/>
      <w:bookmarkEnd w:id="692"/>
    </w:p>
    <w:p w14:paraId="7C675CE5" w14:textId="453EEF8B" w:rsidR="00A00405" w:rsidRPr="008608AA" w:rsidRDefault="00A00405" w:rsidP="00592528">
      <w:pPr>
        <w:spacing w:after="120"/>
      </w:pPr>
      <w:r w:rsidRPr="008608AA">
        <w:t>Human health is intimately interconnected with biodiversity and the health of our ecosystems. There are different ways in which biodiversity can provide health and well-being to humans, thus improving quality of life, including psychological, physiological (</w:t>
      </w:r>
      <w:r w:rsidR="00847F60" w:rsidRPr="008608AA">
        <w:t>e.g.</w:t>
      </w:r>
      <w:r w:rsidRPr="008608AA">
        <w:t xml:space="preserve"> food provision), and traditional and modern medicines. Another important benefit from biodiversity to human health is the capacity to regulate the transmission and prevalence of some infectious diseases.</w:t>
      </w:r>
    </w:p>
    <w:p w14:paraId="2463C689" w14:textId="1626686C" w:rsidR="00A00405" w:rsidRPr="008608AA" w:rsidRDefault="00A00405" w:rsidP="00592528">
      <w:pPr>
        <w:spacing w:after="120"/>
      </w:pPr>
      <w:r w:rsidRPr="008608AA">
        <w:t>The causes behind disease emergence in humans are similar to those affecting the loss of biodiversity, including habitat change, overexploitation and destructive harvest, pollution, invasive alien species and climate change (Romanelli et al., 2015). In particular, the connections between animals and environment and the emergence of infectious diseases in humans are highly relevant (Taylor, 2001). For example, the majority of human infectious diseases emerged from zoonotic pathogens (transmitted from animals), with most of these caused by pathogens with a wildlife origin, including the emergence of HIV/AIDS</w:t>
      </w:r>
      <w:r w:rsidR="00554807" w:rsidRPr="008608AA">
        <w:t xml:space="preserve"> (Human Immunodeficiency Virus Infection / Acquired Immune Deficiency Syndrome; </w:t>
      </w:r>
      <w:r w:rsidRPr="008608AA">
        <w:t xml:space="preserve">from primates hunted for human consumption), which has caused millions of human deaths as well as an economic and health burden for the past 40 years (Jones et al., 200; Allen et al., 2017; Ostfeld, 2017). </w:t>
      </w:r>
    </w:p>
    <w:p w14:paraId="22C44DAA" w14:textId="77777777" w:rsidR="00A00405" w:rsidRPr="008608AA" w:rsidRDefault="00A00405" w:rsidP="00592528">
      <w:pPr>
        <w:spacing w:after="120"/>
      </w:pPr>
      <w:r w:rsidRPr="008608AA">
        <w:t>Land use changes driven by road building, deforestation and expansion of agricultural fields are a main cause of outbreaks of infectious diseases, including the emergence of new pathogens (Loh et al., 2015; Romanelli et al., 2015). Documented examples exist for increased transmission of Dengue fever, yellow fever, leishmaniasis (Walsh, 1993; Willcox &amp; Ellis, 2006) and malaria (Walsh, 1993; Vittor et al., 2006; Pattanayak &amp; Yasuoka, 2008). Models that link malaria epidemiology with socio-economic and demographic data shows an increase in prevalence in early stages of land development, followed by a decrease in cases over time (Baeza et al., 2017). Depending on the type of land cover and socio-economic factors, land use change can lead to a higher or lower rates of malaria transmission compared to undisturbed areas. Mining activities and hydroelectric dam building have been shown to be reservoirs for malaria (Bardach et al., 2015; Castellanos, 2016). In general, vector-borne disease incidence is also likely to increase as hydroelectric dams proliferate on the Amazon and its tributaries, even as some consider hydropower a clean energy source. In regions with large hydropower plants, the rate of malaria is 278 times higher than in forested areas (Afrane et al., 2006).</w:t>
      </w:r>
    </w:p>
    <w:p w14:paraId="5FE428B4" w14:textId="6AC75679" w:rsidR="00A00405" w:rsidRPr="008608AA" w:rsidRDefault="00A00405" w:rsidP="00592528">
      <w:pPr>
        <w:spacing w:after="120"/>
      </w:pPr>
      <w:r w:rsidRPr="008608AA">
        <w:t>Increased harvest and exploitative practices, such as hunting and mixing of wildlife and domestic species in markets, can also change the pathogen dynamics and favor the spillover and further spread of pathogens in humans. For example, in 2009 an outbreak of influenza-like respiratory illness started in Mexico and quickly spread through the world. When the pathogen responsible for this outbreak (H1N1 virus) was isolated, the genetic composition showed a reassortment of genes from a variety of domestic, wildlife and human origin, including</w:t>
      </w:r>
      <w:r w:rsidR="00263006" w:rsidRPr="008608AA">
        <w:t xml:space="preserve"> the</w:t>
      </w:r>
      <w:r w:rsidRPr="008608AA">
        <w:t xml:space="preserve"> North American and Eurasian avian virus, human virus and swine virus (Neumann et al., 2009). One month after the initial outbreak 41 countries reported more than 11,034 cases, including 85 deaths (Novel Swine-Origin Influenza A (H1N1) (</w:t>
      </w:r>
      <w:r w:rsidR="00D03B0D" w:rsidRPr="008608AA">
        <w:t>(Novel Swine-Origin Influenza A (H1N1) Virus Investigation Team, 2009</w:t>
      </w:r>
      <w:r w:rsidRPr="008608AA">
        <w:t>). The economic impact to Mexico’s tourism industry totaled nearly $3 billion in losses plus a pork trade deficit in the tens of millions of US</w:t>
      </w:r>
      <w:r w:rsidR="00264A3D" w:rsidRPr="008608AA">
        <w:t>A</w:t>
      </w:r>
      <w:r w:rsidRPr="008608AA">
        <w:t xml:space="preserve"> dollars (Rassy, 2013). </w:t>
      </w:r>
    </w:p>
    <w:p w14:paraId="4EFA7933" w14:textId="77777777" w:rsidR="00A00405" w:rsidRPr="008608AA" w:rsidRDefault="00A00405" w:rsidP="00592528">
      <w:pPr>
        <w:spacing w:after="120"/>
      </w:pPr>
      <w:r w:rsidRPr="008608AA">
        <w:t xml:space="preserve">Environmental pollution poses direct threats to biodiversity and human health.  In particular, the use of antimicrobials for humans and animal medicine as well as food production can disrupt microbial composition and also can lead to develop anti-microbial-resistant infections. Similarly, contaminated water could enable the long-term persistence of human pathogens such as </w:t>
      </w:r>
      <w:r w:rsidRPr="008608AA">
        <w:rPr>
          <w:i/>
        </w:rPr>
        <w:t>Vibrio cholerae</w:t>
      </w:r>
      <w:r w:rsidRPr="008608AA">
        <w:t>, leptospirosis and parasitic worm-transmitted schistosomiasis, and may promote growth of harmful algal blooms that may be toxic to marine life (including food sources) and even directly to humans.</w:t>
      </w:r>
    </w:p>
    <w:p w14:paraId="7A08845F" w14:textId="385FEB09" w:rsidR="00A00405" w:rsidRPr="008608AA" w:rsidRDefault="00A00405" w:rsidP="00592528">
      <w:pPr>
        <w:spacing w:after="120"/>
      </w:pPr>
      <w:r w:rsidRPr="008608AA">
        <w:t>Biodiversity and human health are also likely to be affected by climate change and extreme weather events. For example, shifts in species ranges may facilitate the redistribution of hosts and their pathogens (Pecl et al., 2017). Future forecasts of precipitation and temperature suggests that mosquito vectors (</w:t>
      </w:r>
      <w:r w:rsidR="00847F60" w:rsidRPr="008608AA">
        <w:t>e.g.</w:t>
      </w:r>
      <w:r w:rsidRPr="008608AA">
        <w:t xml:space="preserve"> </w:t>
      </w:r>
      <w:r w:rsidRPr="008608AA">
        <w:rPr>
          <w:i/>
        </w:rPr>
        <w:t>Anopheles</w:t>
      </w:r>
      <w:r w:rsidRPr="008608AA">
        <w:t xml:space="preserve">, </w:t>
      </w:r>
      <w:r w:rsidRPr="008608AA">
        <w:rPr>
          <w:i/>
        </w:rPr>
        <w:t>Aedes</w:t>
      </w:r>
      <w:r w:rsidRPr="008608AA">
        <w:t>) will reach new suitable areas with the poleward and elevation migrations, particularly in tropical regions (Siraj et al., 2014). For example, climate change may play an import role shaping the suitability for vector-borne diseases such as malaria (Caminade et al., 2014). Human populations may also su</w:t>
      </w:r>
      <w:r w:rsidRPr="008608AA">
        <w:rPr>
          <w:rFonts w:ascii="Cambria" w:eastAsia="Cambria" w:hAnsi="Cambria" w:cs="Cambria"/>
        </w:rPr>
        <w:t>ﬀ</w:t>
      </w:r>
      <w:r w:rsidRPr="008608AA">
        <w:t>er health impacts from extreme weather (</w:t>
      </w:r>
      <w:r w:rsidR="00847F60" w:rsidRPr="008608AA">
        <w:t>e.g.</w:t>
      </w:r>
      <w:r w:rsidRPr="008608AA">
        <w:t xml:space="preserve"> heat or cold exposure injuries and water-borne diseases from flood events).</w:t>
      </w:r>
    </w:p>
    <w:p w14:paraId="33CB3177" w14:textId="1F41AA43" w:rsidR="00A00405" w:rsidRPr="008608AA" w:rsidRDefault="00A00405" w:rsidP="00592528">
      <w:pPr>
        <w:spacing w:after="120"/>
      </w:pPr>
      <w:r w:rsidRPr="008608AA">
        <w:t>Alteration of species diversity dynamics, particularly community composition can potentially affect infectious disease transmission (Terborgh et al., 2001; Ostfeld &amp; Holt, 2004; Rocha et al., 2013) and have further negative effects on humans. For example, increased acai plantations and removal of wildlife in the Brazilian Amazon has led to a higher number of Chagas disease cases in the region (Araújo et al., 2009; da Xavier et al., 2012).  By feeding on already ill or disabled individuals, predators may also play an important role in controlling the emergence and spread of diseases. Changes to species migration (</w:t>
      </w:r>
      <w:r w:rsidR="00847F60" w:rsidRPr="008608AA">
        <w:t>e.g.</w:t>
      </w:r>
      <w:r w:rsidRPr="008608AA">
        <w:t xml:space="preserve"> via habitat fragmentation) can displace wild animal populations, and may create negative novel species interactions, particularly around forest edges.</w:t>
      </w:r>
    </w:p>
    <w:p w14:paraId="15356CF0" w14:textId="77777777" w:rsidR="00A00405" w:rsidRPr="008608AA" w:rsidRDefault="00A00405" w:rsidP="00592528">
      <w:pPr>
        <w:spacing w:after="120"/>
      </w:pPr>
      <w:r w:rsidRPr="008608AA">
        <w:t xml:space="preserve">In addition, other studies have proposed the dilution effect hypothesis stating that high biodiversity could reduce the risk of pathogen transmission (Norman et al., 1999, Ostfeld &amp; Keesing, 2000; Johnson &amp; Thieltges, 2010). This pattern has been observed in different disease systems such as Hantavirus (Suzan et al., 2009), Lyme disease (Werden et al., 2014), West Nile virus (Allan et al., 2009) among others (a detailed review can be found in Ostfeld &amp; Keesing, 2012). Several studies have also contested the generality of the dilution effect and consider that it only applies under specific circumstances (Salkeld et al., 2013; Wood et al., 2014). In general, studies should take into account the particular host-pathogen system, the scale of analysis and the risk indicator used (Huang et al., 2016). </w:t>
      </w:r>
    </w:p>
    <w:p w14:paraId="3DA0EA56" w14:textId="5E0EB285" w:rsidR="00A00405" w:rsidRPr="008608AA" w:rsidRDefault="00A00405" w:rsidP="00592528">
      <w:pPr>
        <w:spacing w:after="120"/>
      </w:pPr>
      <w:r w:rsidRPr="008608AA">
        <w:t>Even non-zoonotic disease may have indirect impacts on human health and well-being. For example, declin</w:t>
      </w:r>
      <w:r w:rsidR="00263006" w:rsidRPr="008608AA">
        <w:t>es in bats due to disease like white nose s</w:t>
      </w:r>
      <w:r w:rsidRPr="008608AA">
        <w:t>yndrome in North America could affect the production of the ecosystem services they provide – among them, pest control and pollination (Boyles et al., 2011). Avian scavengers, such as vultures ,provide an essential ecosystem service through their scavenging on carrion, preventing pathogen contamination of water bodies and food sources. However, certain chemicals, including some insecticides and rodenticides, can be highly poisonous to scavengers. The scarcity of research on scavenger exposures to toxins (</w:t>
      </w:r>
      <w:r w:rsidR="00847F60" w:rsidRPr="008608AA">
        <w:t>e.g.</w:t>
      </w:r>
      <w:r w:rsidRPr="008608AA">
        <w:t xml:space="preserve"> lead) in Latin America has been noted, which is particularly concerning given the continued use of some potent pesticides in South America (Lambertucci et al., 2011). </w:t>
      </w:r>
    </w:p>
    <w:p w14:paraId="614AB317" w14:textId="77777777" w:rsidR="00A00405" w:rsidRPr="008608AA" w:rsidRDefault="00A00405" w:rsidP="00592528">
      <w:pPr>
        <w:spacing w:after="120"/>
        <w:rPr>
          <w:b/>
        </w:rPr>
      </w:pPr>
      <w:r w:rsidRPr="008608AA">
        <w:t>In some cases, wildlife may serve as sentinels for human disease risk. In 2012, a report of six howler monkey carcasses found near a wildlife sanctuary in Bolivia led to rapid specimen collection and screening. The Ministry of Public Health was notified upon detection of a Flavivirus, and preventive vaccination and public health awareness campaigns were launched. Further testing ultimately indicated infection with Yellow Fever virus – the first such mortality event in howler monkeys ever reported in the country. No human cases were reported, likely due to the swift information sharing and mobilization of prevention measures (Uhart et al., 2013).</w:t>
      </w:r>
    </w:p>
    <w:p w14:paraId="09C56EFF" w14:textId="2BD7BA76" w:rsidR="00A00405" w:rsidRPr="008608AA" w:rsidRDefault="0010725E" w:rsidP="00592528">
      <w:pPr>
        <w:pStyle w:val="Heading3"/>
      </w:pPr>
      <w:bookmarkStart w:id="693" w:name="_Toc517393265"/>
      <w:bookmarkStart w:id="694" w:name="_Toc517719006"/>
      <w:r>
        <w:t xml:space="preserve"> </w:t>
      </w:r>
      <w:bookmarkStart w:id="695" w:name="_Toc517796963"/>
      <w:r w:rsidR="00A00405" w:rsidRPr="008608AA">
        <w:t>Pollination and dispersal of seeds and other propagules</w:t>
      </w:r>
      <w:bookmarkEnd w:id="693"/>
      <w:bookmarkEnd w:id="694"/>
      <w:bookmarkEnd w:id="695"/>
    </w:p>
    <w:p w14:paraId="0C883E92" w14:textId="37984ADA" w:rsidR="00A00405" w:rsidRDefault="00A00405" w:rsidP="00592528">
      <w:pPr>
        <w:spacing w:after="120"/>
      </w:pPr>
      <w:r w:rsidRPr="008608AA">
        <w:t>Pollination is an ecosystem function that is fundamental to plant reproduction, food production and the maintenance of terrestrial biodiversity. As an ecosystem service, more than 75% of the leading types of global food crops benefitting from animal pollination (IPBES, 2016). As a result pollination is also important to social and economic systems that directly affect human well-being. For example, this NCP represents billions of US</w:t>
      </w:r>
      <w:r w:rsidR="00264A3D" w:rsidRPr="008608AA">
        <w:t>A</w:t>
      </w:r>
      <w:r w:rsidRPr="008608AA">
        <w:t xml:space="preserve"> dollars annually to local and national economies (Table 2.13). </w:t>
      </w:r>
    </w:p>
    <w:p w14:paraId="687C51E7" w14:textId="6DD349EA" w:rsidR="0010725E" w:rsidRDefault="0010725E" w:rsidP="00592528">
      <w:pPr>
        <w:spacing w:after="120"/>
      </w:pPr>
    </w:p>
    <w:p w14:paraId="5DC77CF5" w14:textId="09486E6A" w:rsidR="0010725E" w:rsidRDefault="0010725E" w:rsidP="00592528">
      <w:pPr>
        <w:spacing w:after="120"/>
      </w:pPr>
    </w:p>
    <w:p w14:paraId="3AC08D7C" w14:textId="20B35CF7" w:rsidR="0010725E" w:rsidRDefault="0010725E" w:rsidP="00592528">
      <w:pPr>
        <w:spacing w:after="120"/>
      </w:pPr>
    </w:p>
    <w:p w14:paraId="1C022BD3" w14:textId="4BB2B7ED" w:rsidR="0010725E" w:rsidRDefault="0010725E" w:rsidP="00592528">
      <w:pPr>
        <w:spacing w:after="120"/>
      </w:pPr>
    </w:p>
    <w:p w14:paraId="2246EF31" w14:textId="26BFE876" w:rsidR="0010725E" w:rsidRDefault="0010725E" w:rsidP="00592528">
      <w:pPr>
        <w:spacing w:after="120"/>
      </w:pPr>
    </w:p>
    <w:p w14:paraId="2B45B6DC" w14:textId="0E1F0213" w:rsidR="0010725E" w:rsidRDefault="0010725E" w:rsidP="00592528">
      <w:pPr>
        <w:spacing w:after="120"/>
      </w:pPr>
    </w:p>
    <w:p w14:paraId="569F5284" w14:textId="77777777" w:rsidR="0010725E" w:rsidRPr="008608AA" w:rsidRDefault="0010725E" w:rsidP="00592528">
      <w:pPr>
        <w:spacing w:after="120"/>
      </w:pPr>
    </w:p>
    <w:p w14:paraId="6DF9464C" w14:textId="33E5349F" w:rsidR="00592528"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13</w:t>
      </w:r>
      <w:r w:rsidR="000E562E">
        <w:rPr>
          <w:noProof/>
        </w:rPr>
        <w:fldChar w:fldCharType="end"/>
      </w:r>
      <w:r w:rsidR="00592528" w:rsidRPr="008608AA">
        <w:t xml:space="preserve">. Economic valuation of </w:t>
      </w:r>
      <w:r w:rsidR="001F130A" w:rsidRPr="008608AA">
        <w:t>n</w:t>
      </w:r>
      <w:r w:rsidR="00592528" w:rsidRPr="008608AA">
        <w:t xml:space="preserve">ature </w:t>
      </w:r>
      <w:r w:rsidR="001F130A" w:rsidRPr="008608AA">
        <w:t>c</w:t>
      </w:r>
      <w:r w:rsidR="00592528" w:rsidRPr="008608AA">
        <w:t xml:space="preserve">ontributions to </w:t>
      </w:r>
      <w:r w:rsidR="001F130A" w:rsidRPr="008608AA">
        <w:t>p</w:t>
      </w:r>
      <w:r w:rsidR="00592528" w:rsidRPr="008608AA">
        <w:t>eople via pollinators and pollination in the Americas.</w:t>
      </w:r>
    </w:p>
    <w:tbl>
      <w:tblPr>
        <w:tblW w:w="5000" w:type="pct"/>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94"/>
        <w:gridCol w:w="7593"/>
      </w:tblGrid>
      <w:tr w:rsidR="00A00405" w:rsidRPr="0010725E" w14:paraId="6E8408FA" w14:textId="77777777" w:rsidTr="00592528">
        <w:trPr>
          <w:jc w:val="right"/>
        </w:trPr>
        <w:tc>
          <w:tcPr>
            <w:tcW w:w="998" w:type="pct"/>
            <w:shd w:val="clear" w:color="auto" w:fill="BFBFBF" w:themeFill="background1" w:themeFillShade="BF"/>
            <w:vAlign w:val="center"/>
          </w:tcPr>
          <w:p w14:paraId="7C51A894" w14:textId="77777777" w:rsidR="00A00405" w:rsidRPr="0010725E" w:rsidRDefault="00A00405" w:rsidP="00592528">
            <w:pPr>
              <w:jc w:val="center"/>
              <w:rPr>
                <w:b/>
                <w:szCs w:val="22"/>
              </w:rPr>
            </w:pPr>
            <w:r w:rsidRPr="0010725E">
              <w:rPr>
                <w:b/>
                <w:szCs w:val="22"/>
              </w:rPr>
              <w:t>Subregion</w:t>
            </w:r>
          </w:p>
        </w:tc>
        <w:tc>
          <w:tcPr>
            <w:tcW w:w="4002" w:type="pct"/>
            <w:shd w:val="clear" w:color="auto" w:fill="BFBFBF" w:themeFill="background1" w:themeFillShade="BF"/>
            <w:vAlign w:val="center"/>
          </w:tcPr>
          <w:p w14:paraId="63BD416E" w14:textId="5B527BFF" w:rsidR="00A00405" w:rsidRPr="0010725E" w:rsidRDefault="00A00405" w:rsidP="00592528">
            <w:pPr>
              <w:jc w:val="center"/>
              <w:rPr>
                <w:b/>
                <w:szCs w:val="22"/>
              </w:rPr>
            </w:pPr>
            <w:r w:rsidRPr="0010725E">
              <w:rPr>
                <w:b/>
                <w:szCs w:val="22"/>
              </w:rPr>
              <w:t>Economic contribution of pollination NCP</w:t>
            </w:r>
          </w:p>
        </w:tc>
      </w:tr>
      <w:tr w:rsidR="00A00405" w:rsidRPr="0010725E" w14:paraId="1FAA9D5E" w14:textId="77777777" w:rsidTr="00A00405">
        <w:trPr>
          <w:jc w:val="right"/>
        </w:trPr>
        <w:tc>
          <w:tcPr>
            <w:tcW w:w="998" w:type="pct"/>
            <w:vAlign w:val="center"/>
          </w:tcPr>
          <w:p w14:paraId="5A594DDD" w14:textId="77777777" w:rsidR="00A00405" w:rsidRPr="0010725E" w:rsidRDefault="00A00405" w:rsidP="00A00405">
            <w:pPr>
              <w:rPr>
                <w:szCs w:val="22"/>
              </w:rPr>
            </w:pPr>
            <w:r w:rsidRPr="0010725E">
              <w:rPr>
                <w:szCs w:val="22"/>
              </w:rPr>
              <w:t>North America</w:t>
            </w:r>
          </w:p>
        </w:tc>
        <w:tc>
          <w:tcPr>
            <w:tcW w:w="4002" w:type="pct"/>
          </w:tcPr>
          <w:p w14:paraId="2F0CF89E" w14:textId="77777777" w:rsidR="00A00405" w:rsidRPr="0010725E" w:rsidRDefault="00A00405" w:rsidP="00A00405">
            <w:pPr>
              <w:rPr>
                <w:szCs w:val="22"/>
              </w:rPr>
            </w:pPr>
            <w:r w:rsidRPr="0010725E">
              <w:rPr>
                <w:szCs w:val="22"/>
              </w:rPr>
              <w:t xml:space="preserve">It has been estimated that insect-pollinated crops directly contributed $20 billion to the USA economy in the year 2000. If this calculation were to include indirect products, such as milk and beef from cattle fed on alfalfa, the value of pollinators to agricultural production would be raised to $40 billion in the USA alone (Marks, 2005).  </w:t>
            </w:r>
          </w:p>
        </w:tc>
      </w:tr>
      <w:tr w:rsidR="00A00405" w:rsidRPr="0010725E" w14:paraId="09BD2ABA" w14:textId="77777777" w:rsidTr="00A00405">
        <w:trPr>
          <w:jc w:val="right"/>
        </w:trPr>
        <w:tc>
          <w:tcPr>
            <w:tcW w:w="998" w:type="pct"/>
            <w:vAlign w:val="center"/>
          </w:tcPr>
          <w:p w14:paraId="6F63DC10" w14:textId="77777777" w:rsidR="00A00405" w:rsidRPr="0010725E" w:rsidRDefault="00A00405" w:rsidP="00A00405">
            <w:pPr>
              <w:rPr>
                <w:szCs w:val="22"/>
              </w:rPr>
            </w:pPr>
            <w:r w:rsidRPr="0010725E">
              <w:rPr>
                <w:szCs w:val="22"/>
              </w:rPr>
              <w:t>Mesoamerica</w:t>
            </w:r>
          </w:p>
        </w:tc>
        <w:tc>
          <w:tcPr>
            <w:tcW w:w="4002" w:type="pct"/>
          </w:tcPr>
          <w:p w14:paraId="64FE4580" w14:textId="78CB47C9" w:rsidR="00A00405" w:rsidRPr="0010725E" w:rsidRDefault="00A00405" w:rsidP="00A00405">
            <w:pPr>
              <w:rPr>
                <w:szCs w:val="22"/>
              </w:rPr>
            </w:pPr>
            <w:r w:rsidRPr="0010725E">
              <w:rPr>
                <w:szCs w:val="22"/>
              </w:rPr>
              <w:t xml:space="preserve">In Mexico, the overall income generated by non-pollinator-dependent crops is considerable smaller amount compared to that obtained from pollinator dependent crops which represents 54% of the yield value, it means, in terms of productivity, pollinator-dependent crops produce significantly more volume (Ashworth </w:t>
            </w:r>
            <w:r w:rsidRPr="0010725E">
              <w:rPr>
                <w:i/>
                <w:szCs w:val="22"/>
              </w:rPr>
              <w:t>et al.,</w:t>
            </w:r>
            <w:r w:rsidRPr="0010725E">
              <w:rPr>
                <w:szCs w:val="22"/>
              </w:rPr>
              <w:t xml:space="preserve"> 2009)</w:t>
            </w:r>
          </w:p>
        </w:tc>
      </w:tr>
      <w:tr w:rsidR="00A00405" w:rsidRPr="0010725E" w14:paraId="36886158" w14:textId="77777777" w:rsidTr="00A00405">
        <w:trPr>
          <w:trHeight w:val="1423"/>
          <w:jc w:val="right"/>
        </w:trPr>
        <w:tc>
          <w:tcPr>
            <w:tcW w:w="998" w:type="pct"/>
            <w:vMerge w:val="restart"/>
            <w:vAlign w:val="center"/>
          </w:tcPr>
          <w:p w14:paraId="391CD246" w14:textId="77777777" w:rsidR="00A00405" w:rsidRPr="0010725E" w:rsidRDefault="00A00405" w:rsidP="00A00405">
            <w:pPr>
              <w:rPr>
                <w:szCs w:val="22"/>
              </w:rPr>
            </w:pPr>
            <w:r w:rsidRPr="0010725E">
              <w:rPr>
                <w:szCs w:val="22"/>
              </w:rPr>
              <w:t>South America</w:t>
            </w:r>
          </w:p>
        </w:tc>
        <w:tc>
          <w:tcPr>
            <w:tcW w:w="4002" w:type="pct"/>
          </w:tcPr>
          <w:p w14:paraId="21BBA3D2" w14:textId="77777777" w:rsidR="00A00405" w:rsidRPr="0010725E" w:rsidRDefault="00A00405" w:rsidP="00A00405">
            <w:pPr>
              <w:rPr>
                <w:szCs w:val="22"/>
              </w:rPr>
            </w:pPr>
            <w:r w:rsidRPr="0010725E">
              <w:rPr>
                <w:szCs w:val="22"/>
              </w:rPr>
              <w:t xml:space="preserve">Giannini </w:t>
            </w:r>
            <w:r w:rsidRPr="0010725E">
              <w:rPr>
                <w:i/>
                <w:szCs w:val="22"/>
              </w:rPr>
              <w:t>et al.</w:t>
            </w:r>
            <w:r w:rsidRPr="0010725E">
              <w:rPr>
                <w:szCs w:val="22"/>
              </w:rPr>
              <w:t xml:space="preserve"> (2015) estimated the economic value of pollination for 44 crops in Brazil and found that the highest values obtained were for soybean (~$5.7 billion, DR=0.25), coffee ($1.9 billion, DR=.25), tomato ($992 million, DR=0.65), cotton ($827 million, DR=0.25), cocoa beans ($533 million, DR=0.95), and orange ($522 million, DR=0.25). The total value of annual production of dependent crops was $45 billion, and the total contribution of pollinators corresponded to $12 billion, that is, 30% of the total production.</w:t>
            </w:r>
          </w:p>
        </w:tc>
      </w:tr>
      <w:tr w:rsidR="00A00405" w:rsidRPr="0010725E" w14:paraId="4CE25593" w14:textId="77777777" w:rsidTr="00A00405">
        <w:trPr>
          <w:jc w:val="right"/>
        </w:trPr>
        <w:tc>
          <w:tcPr>
            <w:tcW w:w="998" w:type="pct"/>
            <w:vMerge/>
            <w:vAlign w:val="center"/>
          </w:tcPr>
          <w:p w14:paraId="290B2D55" w14:textId="77777777" w:rsidR="00A00405" w:rsidRPr="0010725E" w:rsidRDefault="00A00405" w:rsidP="00A00405">
            <w:pPr>
              <w:rPr>
                <w:szCs w:val="22"/>
              </w:rPr>
            </w:pPr>
          </w:p>
        </w:tc>
        <w:tc>
          <w:tcPr>
            <w:tcW w:w="4002" w:type="pct"/>
          </w:tcPr>
          <w:p w14:paraId="2CD6F0D8" w14:textId="021BB4F3" w:rsidR="00A00405" w:rsidRPr="0010725E" w:rsidRDefault="00A00405" w:rsidP="00AA1263">
            <w:pPr>
              <w:rPr>
                <w:szCs w:val="22"/>
              </w:rPr>
            </w:pPr>
            <w:r w:rsidRPr="0010725E">
              <w:rPr>
                <w:szCs w:val="22"/>
              </w:rPr>
              <w:t xml:space="preserve">Pollination provided by wild bees is a biodiversity-linked ecosystem service that is likely to common in the Andean montane environment. Biotic pollination is common at all latitudes and altitudes of the Andes (Arroyo </w:t>
            </w:r>
            <w:r w:rsidRPr="0010725E">
              <w:rPr>
                <w:i/>
                <w:szCs w:val="22"/>
              </w:rPr>
              <w:t>et al</w:t>
            </w:r>
            <w:r w:rsidRPr="0010725E">
              <w:rPr>
                <w:szCs w:val="22"/>
              </w:rPr>
              <w:t xml:space="preserve">., 1982, Kessler, 2001b, Aizen </w:t>
            </w:r>
            <w:r w:rsidRPr="0010725E">
              <w:rPr>
                <w:i/>
                <w:szCs w:val="22"/>
              </w:rPr>
              <w:t>et al.,</w:t>
            </w:r>
            <w:r w:rsidRPr="0010725E">
              <w:rPr>
                <w:szCs w:val="22"/>
              </w:rPr>
              <w:t xml:space="preserve"> 2002, Kay </w:t>
            </w:r>
            <w:r w:rsidRPr="0010725E">
              <w:rPr>
                <w:i/>
                <w:szCs w:val="22"/>
              </w:rPr>
              <w:t>et al</w:t>
            </w:r>
            <w:r w:rsidRPr="0010725E">
              <w:rPr>
                <w:szCs w:val="22"/>
              </w:rPr>
              <w:t xml:space="preserve">., 2005, Kromer </w:t>
            </w:r>
            <w:r w:rsidRPr="0010725E">
              <w:rPr>
                <w:i/>
                <w:szCs w:val="22"/>
              </w:rPr>
              <w:t>et al.,</w:t>
            </w:r>
            <w:r w:rsidRPr="0010725E">
              <w:rPr>
                <w:szCs w:val="22"/>
              </w:rPr>
              <w:t xml:space="preserve"> 2006, Barrios </w:t>
            </w:r>
            <w:r w:rsidRPr="0010725E">
              <w:rPr>
                <w:i/>
                <w:szCs w:val="22"/>
              </w:rPr>
              <w:t>et al</w:t>
            </w:r>
            <w:r w:rsidR="00AA1263" w:rsidRPr="0010725E">
              <w:rPr>
                <w:szCs w:val="22"/>
              </w:rPr>
              <w:t>., 2010</w:t>
            </w:r>
            <w:r w:rsidRPr="0010725E">
              <w:rPr>
                <w:szCs w:val="22"/>
              </w:rPr>
              <w:t xml:space="preserve">, Smith-Ramirez </w:t>
            </w:r>
            <w:r w:rsidRPr="0010725E">
              <w:rPr>
                <w:i/>
                <w:szCs w:val="22"/>
              </w:rPr>
              <w:t>et al.,</w:t>
            </w:r>
            <w:r w:rsidRPr="0010725E">
              <w:rPr>
                <w:szCs w:val="22"/>
              </w:rPr>
              <w:t xml:space="preserve"> 2014).</w:t>
            </w:r>
          </w:p>
        </w:tc>
      </w:tr>
      <w:tr w:rsidR="00A00405" w:rsidRPr="0010725E" w14:paraId="2CADAA74" w14:textId="77777777" w:rsidTr="00A00405">
        <w:trPr>
          <w:jc w:val="right"/>
        </w:trPr>
        <w:tc>
          <w:tcPr>
            <w:tcW w:w="998" w:type="pct"/>
            <w:vMerge/>
            <w:vAlign w:val="center"/>
          </w:tcPr>
          <w:p w14:paraId="21F9D0B4" w14:textId="77777777" w:rsidR="00A00405" w:rsidRPr="0010725E" w:rsidRDefault="00A00405" w:rsidP="00A00405">
            <w:pPr>
              <w:rPr>
                <w:szCs w:val="22"/>
              </w:rPr>
            </w:pPr>
          </w:p>
        </w:tc>
        <w:tc>
          <w:tcPr>
            <w:tcW w:w="4002" w:type="pct"/>
          </w:tcPr>
          <w:p w14:paraId="07C85D3D" w14:textId="21FFB3D5" w:rsidR="00A00405" w:rsidRPr="0010725E" w:rsidRDefault="00A00405" w:rsidP="004F4EC8">
            <w:pPr>
              <w:rPr>
                <w:szCs w:val="22"/>
              </w:rPr>
            </w:pPr>
            <w:r w:rsidRPr="0010725E">
              <w:rPr>
                <w:szCs w:val="22"/>
              </w:rPr>
              <w:t>In Colombian coffee plantations, the value that could be lost in farmers’ income from a reduction in pollinators for native bee pollination (i.e. stingless bees) was calculated to be $16.5 ± 33.2 per h</w:t>
            </w:r>
            <w:r w:rsidR="004F4EC8" w:rsidRPr="0010725E">
              <w:rPr>
                <w:szCs w:val="22"/>
              </w:rPr>
              <w:t>ectare</w:t>
            </w:r>
            <w:r w:rsidRPr="0010725E">
              <w:rPr>
                <w:szCs w:val="22"/>
              </w:rPr>
              <w:t xml:space="preserve"> per 2010/2011 harvest (1.7 ± 0.8% of farmer’s net revenue), and $129.6 ± 65.7 per </w:t>
            </w:r>
            <w:r w:rsidR="004F4EC8" w:rsidRPr="0010725E">
              <w:rPr>
                <w:szCs w:val="22"/>
              </w:rPr>
              <w:t xml:space="preserve">hectare  </w:t>
            </w:r>
            <w:r w:rsidRPr="0010725E">
              <w:rPr>
                <w:szCs w:val="22"/>
              </w:rPr>
              <w:t xml:space="preserve">per 2010/2011 harvest (3.7 ± 0.9% of farmer’s net revenue) for honeybees. The large difference in valuation between stingless and honeybee values is noteworthy and the narrow range of variability for stingless bees (Bravo-Monroy </w:t>
            </w:r>
            <w:r w:rsidRPr="0010725E">
              <w:rPr>
                <w:i/>
                <w:szCs w:val="22"/>
              </w:rPr>
              <w:t>et al.,</w:t>
            </w:r>
            <w:r w:rsidRPr="0010725E">
              <w:rPr>
                <w:szCs w:val="22"/>
              </w:rPr>
              <w:t xml:space="preserve"> 2015).</w:t>
            </w:r>
          </w:p>
        </w:tc>
      </w:tr>
      <w:tr w:rsidR="00A00405" w:rsidRPr="0010725E" w14:paraId="10653389" w14:textId="77777777" w:rsidTr="00A00405">
        <w:trPr>
          <w:jc w:val="right"/>
        </w:trPr>
        <w:tc>
          <w:tcPr>
            <w:tcW w:w="5000" w:type="pct"/>
            <w:gridSpan w:val="2"/>
            <w:vAlign w:val="center"/>
          </w:tcPr>
          <w:p w14:paraId="1D70EDF3" w14:textId="58E6D708" w:rsidR="00A00405" w:rsidRPr="0010725E" w:rsidRDefault="00A00405" w:rsidP="00A00405">
            <w:pPr>
              <w:rPr>
                <w:szCs w:val="22"/>
              </w:rPr>
            </w:pPr>
            <w:r w:rsidRPr="0010725E">
              <w:rPr>
                <w:szCs w:val="22"/>
              </w:rPr>
              <w:t>Dependence rate on pollinators (DR) is classified as being: essential, DR=0.95 (meaning that the value of pollination-driven yield lies between 90 and 100%); great, DR=0.65 (40–90% of yield is dependent on pollination); and modest, DR=0.25 (10–40% of yield is dependent on pollination).</w:t>
            </w:r>
          </w:p>
        </w:tc>
      </w:tr>
    </w:tbl>
    <w:p w14:paraId="73BC727E" w14:textId="6112EB01" w:rsidR="00226592" w:rsidRPr="008608AA" w:rsidRDefault="00A00405" w:rsidP="00592528">
      <w:pPr>
        <w:spacing w:before="240"/>
      </w:pPr>
      <w:r w:rsidRPr="008608AA">
        <w:t>Plants in the Americas are pollinated by several wild species including native bees and bumblebees, butterflies, moths, wasps, beetles, birds, bats and other vertebrates. Crops are mainly  pollinated by introduced honey bees (</w:t>
      </w:r>
      <w:r w:rsidRPr="008608AA">
        <w:rPr>
          <w:i/>
        </w:rPr>
        <w:t>Apis mellifera</w:t>
      </w:r>
      <w:r w:rsidRPr="008608AA">
        <w:t>) and bumblebees (</w:t>
      </w:r>
      <w:r w:rsidR="00847F60" w:rsidRPr="008608AA">
        <w:t>e.g.</w:t>
      </w:r>
      <w:r w:rsidRPr="008608AA">
        <w:t xml:space="preserve"> </w:t>
      </w:r>
      <w:r w:rsidRPr="008608AA">
        <w:rPr>
          <w:i/>
        </w:rPr>
        <w:t>Bombus terrestris</w:t>
      </w:r>
      <w:r w:rsidRPr="008608AA">
        <w:t xml:space="preserve">) (Committee on the Status of Pollinators, 2007). Although bees are considered to be the most important pollinators, insects other than bees are efficient pollinators as well and provide 39% of visits to crops (Rader et al., 2015). There are also local products in which pollinators play a key role; for instance, the </w:t>
      </w:r>
      <w:r w:rsidRPr="008608AA">
        <w:rPr>
          <w:i/>
        </w:rPr>
        <w:t>kapok</w:t>
      </w:r>
      <w:r w:rsidRPr="008608AA">
        <w:t xml:space="preserve"> is a bat-pollinated tree that produces silky fibers used in bedding and cushion materials and also many bat-pollinated cacti throughout the Americas produce edible fruits (Garibaldi &amp; Muchhala, 2011). In addition, seagrasses that form extensive meadows in shallow marine waters are pollinated by invertebrate fauna (van Tussenbroek et al., 2016). These seagrasses are amongst the world’s most productive ecosystems and provide several NCP, such as habitat maintenance, regulation of freshwater and coastal water quality and protection and decontamination of soils and sediments. </w:t>
      </w:r>
    </w:p>
    <w:p w14:paraId="4C88F1D3" w14:textId="77777777" w:rsidR="00226592" w:rsidRPr="008608AA" w:rsidRDefault="00226592" w:rsidP="00592528"/>
    <w:p w14:paraId="5A2F9CA6" w14:textId="4C8485EC" w:rsidR="00A00405" w:rsidRPr="008608AA" w:rsidRDefault="00A00405" w:rsidP="00592528">
      <w:r w:rsidRPr="008608AA">
        <w:t xml:space="preserve">Indigenous and local knowledge of native bee species included specific emphasis on stingless bees (Table 2.14). Today, managed pollination is largely based on </w:t>
      </w:r>
      <w:r w:rsidRPr="008608AA">
        <w:rPr>
          <w:i/>
        </w:rPr>
        <w:t>A. mellifera</w:t>
      </w:r>
      <w:r w:rsidRPr="008608AA">
        <w:t xml:space="preserve">, an exotic species for America, which has become the major commercial pollinator, as well as other bee species and bumblebees. Displacement of native pollinators by </w:t>
      </w:r>
      <w:r w:rsidRPr="008608AA">
        <w:rPr>
          <w:i/>
        </w:rPr>
        <w:t>A. mellifera</w:t>
      </w:r>
      <w:r w:rsidRPr="008608AA">
        <w:t xml:space="preserve"> has also occurred in Mexico (Pinkus-Rendon et al., 2005) and by </w:t>
      </w:r>
      <w:r w:rsidRPr="008608AA">
        <w:rPr>
          <w:i/>
        </w:rPr>
        <w:t>B. terrestris</w:t>
      </w:r>
      <w:r w:rsidRPr="008608AA">
        <w:t xml:space="preserve"> in Chile and Argentina (Morales &amp; Aizen, 2008). In the Americas region, the number of managed colonies in the last 50 years has increased from 10 to 11.3 million beehives in 2014; in South America the number of colonies has increased, but in North America this trend has decreased (Figure 2.20). As a reduction in colony numbers will lead to a reduction in pollination services, this relationship is not fixed. For example, in the USA beekeepers face trade-offs between the quantities of honey they can produce and the earnings they get from pollination services, since the movement of colonies places stress on the bees and reduces honey productivity (Burgett et al., 2010). Honeybees play a key role to increase yields and the quality of many crops for food production, considering that 50% of the cultivated area relies on pollination, around 1.5 million of colonies are needed to satisfy the global demand (Pirk et al., 2017). The importance of bees for food production (cereals, vegetables, fruits and honey) has stimulated a detailed indigenous knowledge in this pollinator (Box 2.5.</w:t>
      </w:r>
      <w:r w:rsidR="00592528" w:rsidRPr="008608AA">
        <w:t xml:space="preserve">). </w:t>
      </w:r>
    </w:p>
    <w:p w14:paraId="635DBC56" w14:textId="2EDA8109" w:rsidR="00592528"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14</w:t>
      </w:r>
      <w:r w:rsidR="000E562E">
        <w:rPr>
          <w:noProof/>
        </w:rPr>
        <w:fldChar w:fldCharType="end"/>
      </w:r>
      <w:r w:rsidR="00592528" w:rsidRPr="008608AA">
        <w:t>. Bee species diversity links with indigenous and local knowledge of stingless bee pollinators.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815"/>
        <w:gridCol w:w="1820"/>
        <w:gridCol w:w="2425"/>
        <w:gridCol w:w="2427"/>
      </w:tblGrid>
      <w:tr w:rsidR="00A00405" w:rsidRPr="0010725E" w14:paraId="5D26D304" w14:textId="77777777" w:rsidTr="00592528">
        <w:trPr>
          <w:jc w:val="center"/>
        </w:trPr>
        <w:tc>
          <w:tcPr>
            <w:tcW w:w="1484" w:type="pct"/>
            <w:shd w:val="clear" w:color="auto" w:fill="BFBFBF" w:themeFill="background1" w:themeFillShade="BF"/>
            <w:vAlign w:val="center"/>
          </w:tcPr>
          <w:p w14:paraId="13FAEA88" w14:textId="77777777" w:rsidR="00A00405" w:rsidRPr="0010725E" w:rsidRDefault="00A00405" w:rsidP="00592528">
            <w:pPr>
              <w:jc w:val="center"/>
              <w:rPr>
                <w:b/>
                <w:szCs w:val="22"/>
              </w:rPr>
            </w:pPr>
            <w:r w:rsidRPr="0010725E">
              <w:rPr>
                <w:b/>
                <w:szCs w:val="22"/>
              </w:rPr>
              <w:t>Country</w:t>
            </w:r>
          </w:p>
        </w:tc>
        <w:tc>
          <w:tcPr>
            <w:tcW w:w="959" w:type="pct"/>
            <w:shd w:val="clear" w:color="auto" w:fill="BFBFBF" w:themeFill="background1" w:themeFillShade="BF"/>
            <w:vAlign w:val="center"/>
          </w:tcPr>
          <w:p w14:paraId="1C040E7E" w14:textId="77777777" w:rsidR="00A00405" w:rsidRPr="0010725E" w:rsidRDefault="00A00405" w:rsidP="00592528">
            <w:pPr>
              <w:jc w:val="center"/>
              <w:rPr>
                <w:b/>
                <w:szCs w:val="22"/>
              </w:rPr>
            </w:pPr>
            <w:r w:rsidRPr="0010725E">
              <w:rPr>
                <w:b/>
                <w:szCs w:val="22"/>
              </w:rPr>
              <w:t>Total</w:t>
            </w:r>
          </w:p>
          <w:p w14:paraId="62ACBC42" w14:textId="77777777" w:rsidR="00A00405" w:rsidRPr="0010725E" w:rsidRDefault="00A00405" w:rsidP="00592528">
            <w:pPr>
              <w:jc w:val="center"/>
              <w:rPr>
                <w:b/>
                <w:szCs w:val="22"/>
              </w:rPr>
            </w:pPr>
            <w:r w:rsidRPr="0010725E">
              <w:rPr>
                <w:b/>
                <w:szCs w:val="22"/>
              </w:rPr>
              <w:t>Bee Species</w:t>
            </w:r>
          </w:p>
        </w:tc>
        <w:tc>
          <w:tcPr>
            <w:tcW w:w="1278" w:type="pct"/>
            <w:shd w:val="clear" w:color="auto" w:fill="BFBFBF" w:themeFill="background1" w:themeFillShade="BF"/>
            <w:vAlign w:val="center"/>
          </w:tcPr>
          <w:p w14:paraId="17BF0A91" w14:textId="77777777" w:rsidR="00A00405" w:rsidRPr="0010725E" w:rsidRDefault="00A00405" w:rsidP="00592528">
            <w:pPr>
              <w:jc w:val="center"/>
              <w:rPr>
                <w:b/>
                <w:szCs w:val="22"/>
              </w:rPr>
            </w:pPr>
            <w:r w:rsidRPr="0010725E">
              <w:rPr>
                <w:b/>
                <w:szCs w:val="22"/>
              </w:rPr>
              <w:t>Stingless Bees</w:t>
            </w:r>
          </w:p>
          <w:p w14:paraId="1705274F" w14:textId="77777777" w:rsidR="00A00405" w:rsidRPr="0010725E" w:rsidRDefault="00A00405" w:rsidP="00592528">
            <w:pPr>
              <w:jc w:val="center"/>
              <w:rPr>
                <w:b/>
                <w:szCs w:val="22"/>
              </w:rPr>
            </w:pPr>
            <w:r w:rsidRPr="0010725E">
              <w:rPr>
                <w:b/>
                <w:szCs w:val="22"/>
              </w:rPr>
              <w:t># (%)</w:t>
            </w:r>
          </w:p>
        </w:tc>
        <w:tc>
          <w:tcPr>
            <w:tcW w:w="1279" w:type="pct"/>
            <w:shd w:val="clear" w:color="auto" w:fill="BFBFBF" w:themeFill="background1" w:themeFillShade="BF"/>
            <w:vAlign w:val="center"/>
          </w:tcPr>
          <w:p w14:paraId="3BC1B1E1" w14:textId="77777777" w:rsidR="00A00405" w:rsidRPr="0010725E" w:rsidRDefault="00A00405" w:rsidP="00592528">
            <w:pPr>
              <w:jc w:val="center"/>
              <w:rPr>
                <w:b/>
                <w:szCs w:val="22"/>
              </w:rPr>
            </w:pPr>
            <w:r w:rsidRPr="0010725E">
              <w:rPr>
                <w:b/>
                <w:szCs w:val="22"/>
              </w:rPr>
              <w:t>Stingless Bees Used</w:t>
            </w:r>
          </w:p>
          <w:p w14:paraId="10D1D6B7" w14:textId="77777777" w:rsidR="00A00405" w:rsidRPr="0010725E" w:rsidRDefault="00A00405" w:rsidP="00592528">
            <w:pPr>
              <w:jc w:val="center"/>
              <w:rPr>
                <w:b/>
                <w:szCs w:val="22"/>
              </w:rPr>
            </w:pPr>
            <w:r w:rsidRPr="0010725E">
              <w:rPr>
                <w:b/>
                <w:szCs w:val="22"/>
              </w:rPr>
              <w:t># (%)</w:t>
            </w:r>
          </w:p>
        </w:tc>
      </w:tr>
      <w:tr w:rsidR="00A00405" w:rsidRPr="0010725E" w14:paraId="6C8B347A" w14:textId="77777777" w:rsidTr="00A00405">
        <w:trPr>
          <w:jc w:val="center"/>
        </w:trPr>
        <w:tc>
          <w:tcPr>
            <w:tcW w:w="1484" w:type="pct"/>
          </w:tcPr>
          <w:p w14:paraId="357A248F" w14:textId="77777777" w:rsidR="00A00405" w:rsidRPr="0010725E" w:rsidRDefault="00A00405" w:rsidP="00A00405">
            <w:pPr>
              <w:rPr>
                <w:szCs w:val="22"/>
              </w:rPr>
            </w:pPr>
            <w:r w:rsidRPr="0010725E">
              <w:rPr>
                <w:szCs w:val="22"/>
              </w:rPr>
              <w:t>Mexico</w:t>
            </w:r>
          </w:p>
        </w:tc>
        <w:tc>
          <w:tcPr>
            <w:tcW w:w="959" w:type="pct"/>
          </w:tcPr>
          <w:p w14:paraId="29D94F34" w14:textId="77777777" w:rsidR="00A00405" w:rsidRPr="0010725E" w:rsidRDefault="00A00405" w:rsidP="00A00405">
            <w:pPr>
              <w:jc w:val="center"/>
              <w:rPr>
                <w:szCs w:val="22"/>
              </w:rPr>
            </w:pPr>
            <w:r w:rsidRPr="0010725E">
              <w:rPr>
                <w:szCs w:val="22"/>
              </w:rPr>
              <w:t>1,795</w:t>
            </w:r>
          </w:p>
        </w:tc>
        <w:tc>
          <w:tcPr>
            <w:tcW w:w="1278" w:type="pct"/>
          </w:tcPr>
          <w:p w14:paraId="10C03BC9" w14:textId="77777777" w:rsidR="00A00405" w:rsidRPr="0010725E" w:rsidRDefault="00A00405" w:rsidP="00A00405">
            <w:pPr>
              <w:jc w:val="center"/>
              <w:rPr>
                <w:szCs w:val="22"/>
              </w:rPr>
            </w:pPr>
            <w:r w:rsidRPr="0010725E">
              <w:rPr>
                <w:szCs w:val="22"/>
              </w:rPr>
              <w:t>46 (2.6)</w:t>
            </w:r>
          </w:p>
        </w:tc>
        <w:tc>
          <w:tcPr>
            <w:tcW w:w="1279" w:type="pct"/>
          </w:tcPr>
          <w:p w14:paraId="39C242D8" w14:textId="77777777" w:rsidR="00A00405" w:rsidRPr="0010725E" w:rsidRDefault="00A00405" w:rsidP="00A00405">
            <w:pPr>
              <w:jc w:val="center"/>
              <w:rPr>
                <w:szCs w:val="22"/>
              </w:rPr>
            </w:pPr>
            <w:r w:rsidRPr="0010725E">
              <w:rPr>
                <w:szCs w:val="22"/>
              </w:rPr>
              <w:t>19 (41.3)</w:t>
            </w:r>
          </w:p>
        </w:tc>
      </w:tr>
      <w:tr w:rsidR="00A00405" w:rsidRPr="0010725E" w14:paraId="0ABF70A2" w14:textId="77777777" w:rsidTr="00A00405">
        <w:trPr>
          <w:jc w:val="center"/>
        </w:trPr>
        <w:tc>
          <w:tcPr>
            <w:tcW w:w="1484" w:type="pct"/>
          </w:tcPr>
          <w:p w14:paraId="33692E9F" w14:textId="77777777" w:rsidR="00A00405" w:rsidRPr="0010725E" w:rsidRDefault="00A00405" w:rsidP="00A00405">
            <w:pPr>
              <w:rPr>
                <w:szCs w:val="22"/>
              </w:rPr>
            </w:pPr>
            <w:r w:rsidRPr="0010725E">
              <w:rPr>
                <w:szCs w:val="22"/>
              </w:rPr>
              <w:t>Costa Rica</w:t>
            </w:r>
          </w:p>
        </w:tc>
        <w:tc>
          <w:tcPr>
            <w:tcW w:w="959" w:type="pct"/>
          </w:tcPr>
          <w:p w14:paraId="652E5ECE" w14:textId="77777777" w:rsidR="00A00405" w:rsidRPr="0010725E" w:rsidRDefault="00A00405" w:rsidP="00A00405">
            <w:pPr>
              <w:jc w:val="center"/>
              <w:rPr>
                <w:szCs w:val="22"/>
              </w:rPr>
            </w:pPr>
            <w:r w:rsidRPr="0010725E">
              <w:rPr>
                <w:szCs w:val="22"/>
              </w:rPr>
              <w:t>785</w:t>
            </w:r>
          </w:p>
        </w:tc>
        <w:tc>
          <w:tcPr>
            <w:tcW w:w="1278" w:type="pct"/>
          </w:tcPr>
          <w:p w14:paraId="3EF7E4E5" w14:textId="77777777" w:rsidR="00A00405" w:rsidRPr="0010725E" w:rsidRDefault="00A00405" w:rsidP="00A00405">
            <w:pPr>
              <w:jc w:val="center"/>
              <w:rPr>
                <w:szCs w:val="22"/>
              </w:rPr>
            </w:pPr>
            <w:r w:rsidRPr="0010725E">
              <w:rPr>
                <w:szCs w:val="22"/>
              </w:rPr>
              <w:t>58 (7.3)</w:t>
            </w:r>
          </w:p>
        </w:tc>
        <w:tc>
          <w:tcPr>
            <w:tcW w:w="1279" w:type="pct"/>
          </w:tcPr>
          <w:p w14:paraId="4714F9C9" w14:textId="77777777" w:rsidR="00A00405" w:rsidRPr="0010725E" w:rsidRDefault="00A00405" w:rsidP="00A00405">
            <w:pPr>
              <w:jc w:val="center"/>
              <w:rPr>
                <w:szCs w:val="22"/>
              </w:rPr>
            </w:pPr>
            <w:r w:rsidRPr="0010725E">
              <w:rPr>
                <w:szCs w:val="22"/>
              </w:rPr>
              <w:t>2 (4.2)</w:t>
            </w:r>
          </w:p>
        </w:tc>
      </w:tr>
      <w:tr w:rsidR="00A00405" w:rsidRPr="0010725E" w14:paraId="401EB925" w14:textId="77777777" w:rsidTr="00A00405">
        <w:trPr>
          <w:jc w:val="center"/>
        </w:trPr>
        <w:tc>
          <w:tcPr>
            <w:tcW w:w="1484" w:type="pct"/>
          </w:tcPr>
          <w:p w14:paraId="6D50BDCE" w14:textId="77777777" w:rsidR="00A00405" w:rsidRPr="0010725E" w:rsidRDefault="00A00405" w:rsidP="00A00405">
            <w:pPr>
              <w:rPr>
                <w:szCs w:val="22"/>
              </w:rPr>
            </w:pPr>
            <w:r w:rsidRPr="0010725E">
              <w:rPr>
                <w:szCs w:val="22"/>
              </w:rPr>
              <w:t>Colombia</w:t>
            </w:r>
          </w:p>
        </w:tc>
        <w:tc>
          <w:tcPr>
            <w:tcW w:w="959" w:type="pct"/>
          </w:tcPr>
          <w:p w14:paraId="4D8E8890" w14:textId="77777777" w:rsidR="00A00405" w:rsidRPr="0010725E" w:rsidRDefault="00A00405" w:rsidP="00A00405">
            <w:pPr>
              <w:jc w:val="center"/>
              <w:rPr>
                <w:szCs w:val="22"/>
              </w:rPr>
            </w:pPr>
            <w:r w:rsidRPr="0010725E">
              <w:rPr>
                <w:szCs w:val="22"/>
              </w:rPr>
              <w:t>541</w:t>
            </w:r>
          </w:p>
        </w:tc>
        <w:tc>
          <w:tcPr>
            <w:tcW w:w="1278" w:type="pct"/>
          </w:tcPr>
          <w:p w14:paraId="7019D88C" w14:textId="77777777" w:rsidR="00A00405" w:rsidRPr="0010725E" w:rsidRDefault="00A00405" w:rsidP="00A00405">
            <w:pPr>
              <w:jc w:val="center"/>
              <w:rPr>
                <w:szCs w:val="22"/>
              </w:rPr>
            </w:pPr>
            <w:r w:rsidRPr="0010725E">
              <w:rPr>
                <w:szCs w:val="22"/>
              </w:rPr>
              <w:t>101 (20.0)</w:t>
            </w:r>
          </w:p>
        </w:tc>
        <w:tc>
          <w:tcPr>
            <w:tcW w:w="1279" w:type="pct"/>
          </w:tcPr>
          <w:p w14:paraId="2A9563B4" w14:textId="77777777" w:rsidR="00A00405" w:rsidRPr="0010725E" w:rsidRDefault="00A00405" w:rsidP="00A00405">
            <w:pPr>
              <w:jc w:val="center"/>
              <w:rPr>
                <w:szCs w:val="22"/>
              </w:rPr>
            </w:pPr>
            <w:r w:rsidRPr="0010725E">
              <w:rPr>
                <w:szCs w:val="22"/>
              </w:rPr>
              <w:t>17 (16.8)</w:t>
            </w:r>
          </w:p>
        </w:tc>
      </w:tr>
      <w:tr w:rsidR="00A00405" w:rsidRPr="0010725E" w14:paraId="38AD54D9" w14:textId="77777777" w:rsidTr="00A00405">
        <w:trPr>
          <w:jc w:val="center"/>
        </w:trPr>
        <w:tc>
          <w:tcPr>
            <w:tcW w:w="1484" w:type="pct"/>
          </w:tcPr>
          <w:p w14:paraId="75B1A897" w14:textId="77777777" w:rsidR="00A00405" w:rsidRPr="0010725E" w:rsidRDefault="00A00405" w:rsidP="00A00405">
            <w:pPr>
              <w:rPr>
                <w:szCs w:val="22"/>
              </w:rPr>
            </w:pPr>
            <w:r w:rsidRPr="0010725E">
              <w:rPr>
                <w:szCs w:val="22"/>
              </w:rPr>
              <w:t>French Guiana</w:t>
            </w:r>
          </w:p>
        </w:tc>
        <w:tc>
          <w:tcPr>
            <w:tcW w:w="959" w:type="pct"/>
          </w:tcPr>
          <w:p w14:paraId="3B9D9521" w14:textId="77777777" w:rsidR="00A00405" w:rsidRPr="0010725E" w:rsidRDefault="00A00405" w:rsidP="00A00405">
            <w:pPr>
              <w:jc w:val="center"/>
              <w:rPr>
                <w:szCs w:val="22"/>
              </w:rPr>
            </w:pPr>
            <w:r w:rsidRPr="0010725E">
              <w:rPr>
                <w:szCs w:val="22"/>
              </w:rPr>
              <w:t>210</w:t>
            </w:r>
          </w:p>
        </w:tc>
        <w:tc>
          <w:tcPr>
            <w:tcW w:w="1278" w:type="pct"/>
          </w:tcPr>
          <w:p w14:paraId="276ED899" w14:textId="77777777" w:rsidR="00A00405" w:rsidRPr="0010725E" w:rsidRDefault="00A00405" w:rsidP="00A00405">
            <w:pPr>
              <w:jc w:val="center"/>
              <w:rPr>
                <w:szCs w:val="22"/>
              </w:rPr>
            </w:pPr>
            <w:r w:rsidRPr="0010725E">
              <w:rPr>
                <w:szCs w:val="22"/>
              </w:rPr>
              <w:t>80 (38)</w:t>
            </w:r>
          </w:p>
        </w:tc>
        <w:tc>
          <w:tcPr>
            <w:tcW w:w="1279" w:type="pct"/>
          </w:tcPr>
          <w:p w14:paraId="6278359B" w14:textId="77777777" w:rsidR="00A00405" w:rsidRPr="0010725E" w:rsidRDefault="00A00405" w:rsidP="00A00405">
            <w:pPr>
              <w:jc w:val="center"/>
              <w:rPr>
                <w:szCs w:val="22"/>
              </w:rPr>
            </w:pPr>
            <w:r w:rsidRPr="0010725E">
              <w:rPr>
                <w:szCs w:val="22"/>
              </w:rPr>
              <w:t>2 (2.5)</w:t>
            </w:r>
          </w:p>
        </w:tc>
      </w:tr>
      <w:tr w:rsidR="00A00405" w:rsidRPr="0010725E" w14:paraId="72DD0F72" w14:textId="77777777" w:rsidTr="00A00405">
        <w:trPr>
          <w:jc w:val="center"/>
        </w:trPr>
        <w:tc>
          <w:tcPr>
            <w:tcW w:w="1484" w:type="pct"/>
          </w:tcPr>
          <w:p w14:paraId="6C9CE4FE" w14:textId="77777777" w:rsidR="00A00405" w:rsidRPr="0010725E" w:rsidRDefault="00A00405" w:rsidP="00A00405">
            <w:pPr>
              <w:rPr>
                <w:szCs w:val="22"/>
              </w:rPr>
            </w:pPr>
            <w:r w:rsidRPr="0010725E">
              <w:rPr>
                <w:szCs w:val="22"/>
              </w:rPr>
              <w:t>Peru</w:t>
            </w:r>
          </w:p>
        </w:tc>
        <w:tc>
          <w:tcPr>
            <w:tcW w:w="959" w:type="pct"/>
          </w:tcPr>
          <w:p w14:paraId="5A09CE25" w14:textId="77777777" w:rsidR="00A00405" w:rsidRPr="0010725E" w:rsidRDefault="00A00405" w:rsidP="00A00405">
            <w:pPr>
              <w:jc w:val="center"/>
              <w:rPr>
                <w:szCs w:val="22"/>
              </w:rPr>
            </w:pPr>
            <w:r w:rsidRPr="0010725E">
              <w:rPr>
                <w:szCs w:val="22"/>
              </w:rPr>
              <w:t>688</w:t>
            </w:r>
          </w:p>
        </w:tc>
        <w:tc>
          <w:tcPr>
            <w:tcW w:w="1278" w:type="pct"/>
          </w:tcPr>
          <w:p w14:paraId="4536549B" w14:textId="77777777" w:rsidR="00A00405" w:rsidRPr="0010725E" w:rsidRDefault="00A00405" w:rsidP="00A00405">
            <w:pPr>
              <w:jc w:val="center"/>
              <w:rPr>
                <w:szCs w:val="22"/>
              </w:rPr>
            </w:pPr>
            <w:r w:rsidRPr="0010725E">
              <w:rPr>
                <w:szCs w:val="22"/>
              </w:rPr>
              <w:t>100 (14.5)</w:t>
            </w:r>
          </w:p>
        </w:tc>
        <w:tc>
          <w:tcPr>
            <w:tcW w:w="1279" w:type="pct"/>
          </w:tcPr>
          <w:p w14:paraId="50589F1E" w14:textId="77777777" w:rsidR="00A00405" w:rsidRPr="0010725E" w:rsidRDefault="00A00405" w:rsidP="00A00405">
            <w:pPr>
              <w:jc w:val="center"/>
              <w:rPr>
                <w:szCs w:val="22"/>
              </w:rPr>
            </w:pPr>
            <w:r w:rsidRPr="0010725E">
              <w:rPr>
                <w:szCs w:val="22"/>
              </w:rPr>
              <w:t>12 (12)</w:t>
            </w:r>
          </w:p>
        </w:tc>
      </w:tr>
      <w:tr w:rsidR="00A00405" w:rsidRPr="0010725E" w14:paraId="10F93E58" w14:textId="77777777" w:rsidTr="00A00405">
        <w:trPr>
          <w:jc w:val="center"/>
        </w:trPr>
        <w:tc>
          <w:tcPr>
            <w:tcW w:w="1484" w:type="pct"/>
          </w:tcPr>
          <w:p w14:paraId="25A6888B" w14:textId="77777777" w:rsidR="00A00405" w:rsidRPr="0010725E" w:rsidRDefault="00A00405" w:rsidP="00A00405">
            <w:pPr>
              <w:rPr>
                <w:szCs w:val="22"/>
              </w:rPr>
            </w:pPr>
            <w:r w:rsidRPr="0010725E">
              <w:rPr>
                <w:szCs w:val="22"/>
              </w:rPr>
              <w:t>Brazil</w:t>
            </w:r>
          </w:p>
        </w:tc>
        <w:tc>
          <w:tcPr>
            <w:tcW w:w="959" w:type="pct"/>
          </w:tcPr>
          <w:p w14:paraId="00D1075B" w14:textId="77777777" w:rsidR="00A00405" w:rsidRPr="0010725E" w:rsidRDefault="00A00405" w:rsidP="00A00405">
            <w:pPr>
              <w:jc w:val="center"/>
              <w:rPr>
                <w:szCs w:val="22"/>
              </w:rPr>
            </w:pPr>
            <w:r w:rsidRPr="0010725E">
              <w:rPr>
                <w:szCs w:val="22"/>
              </w:rPr>
              <w:t>1,814</w:t>
            </w:r>
          </w:p>
        </w:tc>
        <w:tc>
          <w:tcPr>
            <w:tcW w:w="1278" w:type="pct"/>
          </w:tcPr>
          <w:p w14:paraId="6E13CCC7" w14:textId="77777777" w:rsidR="00A00405" w:rsidRPr="0010725E" w:rsidRDefault="00A00405" w:rsidP="00A00405">
            <w:pPr>
              <w:jc w:val="center"/>
              <w:rPr>
                <w:szCs w:val="22"/>
              </w:rPr>
            </w:pPr>
            <w:r w:rsidRPr="0010725E">
              <w:rPr>
                <w:szCs w:val="22"/>
              </w:rPr>
              <w:t>236 (13.0)</w:t>
            </w:r>
          </w:p>
        </w:tc>
        <w:tc>
          <w:tcPr>
            <w:tcW w:w="1279" w:type="pct"/>
          </w:tcPr>
          <w:p w14:paraId="08A3DA45" w14:textId="77777777" w:rsidR="00A00405" w:rsidRPr="0010725E" w:rsidRDefault="00A00405" w:rsidP="00A00405">
            <w:pPr>
              <w:jc w:val="center"/>
              <w:rPr>
                <w:szCs w:val="22"/>
              </w:rPr>
            </w:pPr>
            <w:r w:rsidRPr="0010725E">
              <w:rPr>
                <w:szCs w:val="22"/>
              </w:rPr>
              <w:t>21 (8.9)</w:t>
            </w:r>
          </w:p>
        </w:tc>
      </w:tr>
      <w:tr w:rsidR="00A00405" w:rsidRPr="0010725E" w14:paraId="6486A262" w14:textId="77777777" w:rsidTr="00A00405">
        <w:trPr>
          <w:jc w:val="center"/>
        </w:trPr>
        <w:tc>
          <w:tcPr>
            <w:tcW w:w="5000" w:type="pct"/>
            <w:gridSpan w:val="4"/>
          </w:tcPr>
          <w:p w14:paraId="44D96F10" w14:textId="77777777" w:rsidR="00A00405" w:rsidRPr="0010725E" w:rsidRDefault="00A00405" w:rsidP="00A00405">
            <w:pPr>
              <w:rPr>
                <w:szCs w:val="22"/>
              </w:rPr>
            </w:pPr>
            <w:r w:rsidRPr="0010725E">
              <w:rPr>
                <w:szCs w:val="22"/>
              </w:rPr>
              <w:t xml:space="preserve">Source: Ayala </w:t>
            </w:r>
            <w:r w:rsidRPr="0010725E">
              <w:rPr>
                <w:i/>
                <w:szCs w:val="22"/>
              </w:rPr>
              <w:t>et al.</w:t>
            </w:r>
            <w:r w:rsidRPr="0010725E">
              <w:rPr>
                <w:szCs w:val="22"/>
              </w:rPr>
              <w:t xml:space="preserve"> (2013).</w:t>
            </w:r>
          </w:p>
        </w:tc>
      </w:tr>
    </w:tbl>
    <w:p w14:paraId="1C10872F" w14:textId="77777777" w:rsidR="00A00405" w:rsidRPr="008608AA" w:rsidRDefault="00A00405" w:rsidP="00A00405"/>
    <w:p w14:paraId="13128B46" w14:textId="77777777" w:rsidR="00592528" w:rsidRPr="008608AA" w:rsidRDefault="00592528" w:rsidP="00A00405">
      <w:pPr>
        <w:spacing w:before="240"/>
      </w:pPr>
    </w:p>
    <w:p w14:paraId="451CE18A" w14:textId="3A498AB6" w:rsidR="00592528" w:rsidRPr="008608AA" w:rsidRDefault="007F26AC" w:rsidP="00592528">
      <w:pPr>
        <w:spacing w:before="240"/>
        <w:jc w:val="center"/>
      </w:pPr>
      <w:r w:rsidRPr="008608AA">
        <w:rPr>
          <w:noProof/>
          <w:lang w:val="en-GB" w:eastAsia="en-GB"/>
        </w:rPr>
        <w:drawing>
          <wp:inline distT="0" distB="0" distL="0" distR="0" wp14:anchorId="55B77D37" wp14:editId="6B4B2F18">
            <wp:extent cx="5934075" cy="3609975"/>
            <wp:effectExtent l="0" t="0" r="9525" b="9525"/>
            <wp:docPr id="230" name="Imagen 230" descr="C:\Users\Alejandro Valderrama\Downloads\FIg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3" descr="C:\Users\Alejandro Valderrama\Downloads\FIg2.20.jpg"/>
                    <pic:cNvPicPr>
                      <a:picLocks noChangeAspect="1" noChangeArrowheads="1"/>
                    </pic:cNvPicPr>
                  </pic:nvPicPr>
                  <pic:blipFill rotWithShape="1">
                    <a:blip r:embed="rId85">
                      <a:extLst>
                        <a:ext uri="{28A0092B-C50C-407E-A947-70E740481C1C}">
                          <a14:useLocalDpi xmlns:a14="http://schemas.microsoft.com/office/drawing/2010/main" val="0"/>
                        </a:ext>
                      </a:extLst>
                    </a:blip>
                    <a:srcRect b="57795"/>
                    <a:stretch/>
                  </pic:blipFill>
                  <pic:spPr bwMode="auto">
                    <a:xfrm>
                      <a:off x="0" y="0"/>
                      <a:ext cx="5934075" cy="3609975"/>
                    </a:xfrm>
                    <a:prstGeom prst="rect">
                      <a:avLst/>
                    </a:prstGeom>
                    <a:noFill/>
                    <a:ln>
                      <a:noFill/>
                    </a:ln>
                    <a:extLst>
                      <a:ext uri="{53640926-AAD7-44D8-BBD7-CCE9431645EC}">
                        <a14:shadowObscured xmlns:a14="http://schemas.microsoft.com/office/drawing/2010/main"/>
                      </a:ext>
                    </a:extLst>
                  </pic:spPr>
                </pic:pic>
              </a:graphicData>
            </a:graphic>
          </wp:inline>
        </w:drawing>
      </w:r>
    </w:p>
    <w:p w14:paraId="0FE7AAFE" w14:textId="7493DDCA" w:rsidR="00A00405" w:rsidRPr="008608AA" w:rsidRDefault="00A00405" w:rsidP="00592528">
      <w:pPr>
        <w:spacing w:before="240"/>
      </w:pPr>
      <w:r w:rsidRPr="008608AA">
        <w:t>Wild pollinators have declined in occurrence and diversity at local and regional scales. Some of the drivers of pollinator decline are: i) land-use change; ii) intensive agricultural management and pesticide use; iii) environment pollution; iv) introduction of alien species: plants, pollinators, pests and pathogens and v) climate change (IPBES, 2016; Potts et al., 2010). Recent studies suggest that viruses found in (</w:t>
      </w:r>
      <w:r w:rsidRPr="008608AA">
        <w:rPr>
          <w:i/>
        </w:rPr>
        <w:t>A. mellifera</w:t>
      </w:r>
      <w:r w:rsidRPr="008608AA">
        <w:t xml:space="preserve">) have recently been detected in other wild bee species (Tehel et al., 2016) and has the potential to make that population decline in those species. The predicted climate change may affect negatively several species associated with tomato production in Brazil (Elias et al., 2017). </w:t>
      </w:r>
    </w:p>
    <w:p w14:paraId="459797F5" w14:textId="464092F8" w:rsidR="00A00405" w:rsidRPr="008608AA" w:rsidRDefault="00AA085D" w:rsidP="00AA085D">
      <w:pPr>
        <w:pStyle w:val="Caption"/>
        <w:rPr>
          <w:b w:val="0"/>
        </w:rPr>
      </w:pPr>
      <w:bookmarkStart w:id="696" w:name="_Toc516922440"/>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5</w:t>
      </w:r>
      <w:r w:rsidR="000E562E">
        <w:rPr>
          <w:noProof/>
        </w:rPr>
        <w:fldChar w:fldCharType="end"/>
      </w:r>
      <w:r w:rsidRPr="008608AA">
        <w:t xml:space="preserve">. </w:t>
      </w:r>
      <w:r w:rsidR="00A00405" w:rsidRPr="008608AA">
        <w:t>The importance of indigenous and local knowledge of bee pollinators</w:t>
      </w:r>
      <w:bookmarkEnd w:id="696"/>
      <w:r w:rsidR="00A00405" w:rsidRPr="008608AA">
        <w:rPr>
          <w:b w:val="0"/>
        </w:rPr>
        <w:t xml:space="preserve"> </w:t>
      </w:r>
    </w:p>
    <w:tbl>
      <w:tblPr>
        <w:tblW w:w="5000" w:type="pct"/>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487"/>
      </w:tblGrid>
      <w:tr w:rsidR="00A00405" w:rsidRPr="0010725E" w14:paraId="0EA1D40F" w14:textId="77777777" w:rsidTr="00A00405">
        <w:trPr>
          <w:jc w:val="right"/>
        </w:trPr>
        <w:tc>
          <w:tcPr>
            <w:tcW w:w="5000" w:type="pct"/>
          </w:tcPr>
          <w:p w14:paraId="63AD68FE" w14:textId="63211F5D" w:rsidR="00A00405" w:rsidRPr="0010725E" w:rsidRDefault="00A00405" w:rsidP="00AA085D">
            <w:pPr>
              <w:spacing w:after="120"/>
              <w:rPr>
                <w:szCs w:val="22"/>
              </w:rPr>
            </w:pPr>
            <w:r w:rsidRPr="0010725E">
              <w:rPr>
                <w:szCs w:val="22"/>
              </w:rPr>
              <w:t xml:space="preserve">According to Jones (2013), in Argentina one of the first travelers from Europa wrote: “An Indian goes into a wood with an axe and the first tree he comes to that has an entrance hole to a bees’ nest. By boring other holes he gets five or six jugs of pure honey. These bees are small and have no sting…” Breeding and handling of the stingless bee </w:t>
            </w:r>
            <w:r w:rsidRPr="0010725E">
              <w:rPr>
                <w:i/>
                <w:szCs w:val="22"/>
              </w:rPr>
              <w:t>Melipona beecheii</w:t>
            </w:r>
            <w:r w:rsidRPr="0010725E">
              <w:rPr>
                <w:szCs w:val="22"/>
              </w:rPr>
              <w:t xml:space="preserve">, also known as </w:t>
            </w:r>
            <w:r w:rsidRPr="0010725E">
              <w:rPr>
                <w:i/>
                <w:szCs w:val="22"/>
              </w:rPr>
              <w:t>xunan kab</w:t>
            </w:r>
            <w:r w:rsidRPr="0010725E">
              <w:rPr>
                <w:szCs w:val="22"/>
              </w:rPr>
              <w:t xml:space="preserve">, is the longest traditionally managed bee in Mesoamerica (Villanueva-Gutierrez et al., 2013). The practice of beekeeping by ancient Mayans was documented by one of the Mayan codices (the </w:t>
            </w:r>
            <w:r w:rsidRPr="0010725E">
              <w:rPr>
                <w:i/>
                <w:szCs w:val="22"/>
              </w:rPr>
              <w:t>Tro-Cortesianus</w:t>
            </w:r>
            <w:r w:rsidR="00EB76E5" w:rsidRPr="0010725E">
              <w:rPr>
                <w:szCs w:val="22"/>
              </w:rPr>
              <w:t xml:space="preserve"> c</w:t>
            </w:r>
            <w:r w:rsidRPr="0010725E">
              <w:rPr>
                <w:szCs w:val="22"/>
              </w:rPr>
              <w:t>odex), dating from the Postclassic period of Mesoamerican chronology (</w:t>
            </w:r>
            <w:r w:rsidRPr="0010725E">
              <w:rPr>
                <w:i/>
                <w:szCs w:val="22"/>
              </w:rPr>
              <w:t>circa</w:t>
            </w:r>
            <w:r w:rsidRPr="0010725E">
              <w:rPr>
                <w:szCs w:val="22"/>
              </w:rPr>
              <w:t xml:space="preserve"> 900–1521 CE), and it is estimated that there are 46 stingless bees species in the Mayan territority (Lyver et al., 2015). In Brazil, the Kayapó also breed stingless bees, using the honey for both daily and ritual uses. Studies have also registered the knowledge of the Guarani and Pankararé tribes related to morphologic and ethological descriptions, distribution, and dispersal of bees, as well as practical issues related to manipulation and extraction of honey. The Enawene-Nawe group recognized 48 stingless bee species, and this knowledge even helps clarify the biology of some species (dos Santos &amp; Antonini, 2008). In Costa Rica, there are 20 stingless bee genera and 58 species present, and 20 different hived or semi-domesticated species have been reported in the provinces of Guanacaste, Puntarenas, San José, Cartago and Heredia (Vit et al., 2013). In summary, stingless bees are economically, ecologically and culturally important to many indigenous peoples and local communities in the Americas. They are one of the most important pollinators of native and cultivated tropical plants, while products such as honey, pollen and cerumen have also been used by indigenous and non-indigenous people in the Americas (Ayala et al., 2013). </w:t>
            </w:r>
          </w:p>
        </w:tc>
      </w:tr>
    </w:tbl>
    <w:p w14:paraId="67B07D0D" w14:textId="77777777" w:rsidR="00AA085D" w:rsidRPr="008608AA" w:rsidRDefault="00AA085D" w:rsidP="008B3BCD"/>
    <w:p w14:paraId="7150F99F" w14:textId="599E3E72" w:rsidR="00A00405" w:rsidRPr="008608AA" w:rsidRDefault="00E95397" w:rsidP="00AA085D">
      <w:pPr>
        <w:pStyle w:val="Heading3"/>
      </w:pPr>
      <w:bookmarkStart w:id="697" w:name="_Toc517393266"/>
      <w:bookmarkStart w:id="698" w:name="_Toc517719007"/>
      <w:bookmarkStart w:id="699" w:name="_Toc517796964"/>
      <w:r>
        <w:t xml:space="preserve"> </w:t>
      </w:r>
      <w:r w:rsidR="00A00405" w:rsidRPr="008608AA">
        <w:t>Regulation of ocean acidification</w:t>
      </w:r>
      <w:bookmarkEnd w:id="697"/>
      <w:bookmarkEnd w:id="698"/>
      <w:bookmarkEnd w:id="699"/>
      <w:r w:rsidR="00A00405" w:rsidRPr="008608AA">
        <w:t xml:space="preserve"> </w:t>
      </w:r>
    </w:p>
    <w:p w14:paraId="4A852F1D" w14:textId="03444373" w:rsidR="00A00405" w:rsidRPr="008608AA" w:rsidRDefault="00A00405" w:rsidP="00AA085D">
      <w:r w:rsidRPr="008608AA">
        <w:t>O</w:t>
      </w:r>
      <w:r w:rsidR="00E03ED4" w:rsidRPr="008608AA">
        <w:t>ne fourth of the carbon dioxide</w:t>
      </w:r>
      <w:r w:rsidRPr="008608AA">
        <w:t xml:space="preserve"> released into the atmosphere from anthropogenic activities is absorbed by the ocean (Le Quéré et al., 2010), and since the industrial revolution about 375 billion tons of carbon have been emitted to the atmosphere as </w:t>
      </w:r>
      <w:r w:rsidR="00E03ED4" w:rsidRPr="008608AA">
        <w:t>carbon dioxide</w:t>
      </w:r>
      <w:r w:rsidRPr="008608AA">
        <w:t xml:space="preserve"> (WMO, 2012). When </w:t>
      </w:r>
      <w:r w:rsidR="00E03ED4" w:rsidRPr="008608AA">
        <w:t>carbon dioxide</w:t>
      </w:r>
      <w:r w:rsidRPr="008608AA">
        <w:t xml:space="preserve"> enters the ocean it changes seawater chemistry, resulting in increased seawater acidity; the ocean has become 27% more acidic since the beginning of the industrial revolution. Increased acidification reduces the concentration of calcium carbonate (CaCO</w:t>
      </w:r>
      <w:r w:rsidRPr="008608AA">
        <w:rPr>
          <w:vertAlign w:val="subscript"/>
        </w:rPr>
        <w:t>3</w:t>
      </w:r>
      <w:r w:rsidRPr="008608AA">
        <w:t>), which poses a major threat to calcifying marine organisms, such as coral (Raven at al., 2005; Kleypas et al., 2006). Yields from commercial and subsistence fisheries are expected to be reduced substantially, especially for shellfish fisheries (Cooley &amp; Doney, 2009), although the magnitude of reductions depends on many social and economic aspects of the fisheries and their capacities to adapt (Voss et al., 2015). Both coastal warm-water and deep-sea cold water coral reefs, are biodiversity hotspots (see</w:t>
      </w:r>
      <w:r w:rsidRPr="008608AA">
        <w:rPr>
          <w:b/>
        </w:rPr>
        <w:t xml:space="preserve"> </w:t>
      </w:r>
      <w:r w:rsidRPr="008608AA">
        <w:t xml:space="preserve">Chapter 3), and also seriously threatened by increasing ocean acidity (Mora et al., 2016), with again limits to capacity for adaptation ecologically (Khan et al., 2015) and for the communities dependent on coral reefs for livelihoods.  </w:t>
      </w:r>
    </w:p>
    <w:p w14:paraId="726D4A2B" w14:textId="77777777" w:rsidR="00A00405" w:rsidRPr="008608AA" w:rsidRDefault="00A00405" w:rsidP="00AA085D"/>
    <w:p w14:paraId="65C33D45" w14:textId="1D2D9E4C" w:rsidR="00A00405" w:rsidRPr="008608AA" w:rsidRDefault="00A00405" w:rsidP="00AA085D">
      <w:r w:rsidRPr="008608AA">
        <w:t>Ocean acidification is affecting not just marine biota directly dependent on CaCO</w:t>
      </w:r>
      <w:r w:rsidRPr="008608AA">
        <w:rPr>
          <w:vertAlign w:val="subscript"/>
        </w:rPr>
        <w:t>3</w:t>
      </w:r>
      <w:r w:rsidR="00BD1803" w:rsidRPr="008608AA">
        <w:rPr>
          <w:vertAlign w:val="subscript"/>
        </w:rPr>
        <w:t xml:space="preserve"> </w:t>
      </w:r>
      <w:r w:rsidRPr="008608AA">
        <w:t xml:space="preserve">for physical structure, but also the people that depend on the marine biota for livelihoods and food security. However, coastal ecosystems can help to address this threat from climate change. Coastal blue carbon ecosystems (mangroves, tidal marshes, and seagrasses) represent important climate mitigation opportunities due to their ability to function as carbon sinks, sequestering </w:t>
      </w:r>
      <w:r w:rsidR="00E03ED4" w:rsidRPr="008608AA">
        <w:t>carbon dioxide</w:t>
      </w:r>
      <w:r w:rsidRPr="008608AA">
        <w:t xml:space="preserve"> from the atmosphere and oceans (Chmura et al., 2013; Lavery et al., 2013). For instance, vegetated wetlands occupy only 2% of seabed area, yet represent 50% of carbon transfer from oceans to sedi</w:t>
      </w:r>
      <w:r w:rsidR="00BA2062" w:rsidRPr="008608AA">
        <w:t>ments (World Bank et al.,</w:t>
      </w:r>
      <w:r w:rsidRPr="008608AA">
        <w:t xml:space="preserve"> 2010). Evidence is emerging that suggests mangroves may be able to partially mitigate acidification of coastal tropical waters (Sippo et al., 2016).  </w:t>
      </w:r>
    </w:p>
    <w:p w14:paraId="0E125E68" w14:textId="77777777" w:rsidR="00A00405" w:rsidRPr="008608AA" w:rsidRDefault="00A00405" w:rsidP="00A00405"/>
    <w:p w14:paraId="71BC6331" w14:textId="2A1E409D" w:rsidR="00A00405" w:rsidRPr="008608AA" w:rsidRDefault="00E95397" w:rsidP="00AA085D">
      <w:pPr>
        <w:pStyle w:val="Heading3"/>
      </w:pPr>
      <w:bookmarkStart w:id="700" w:name="_Toc517393267"/>
      <w:bookmarkStart w:id="701" w:name="_Toc517719008"/>
      <w:bookmarkStart w:id="702" w:name="_Toc517796965"/>
      <w:r>
        <w:t xml:space="preserve"> </w:t>
      </w:r>
      <w:r w:rsidR="00A00405" w:rsidRPr="008608AA">
        <w:t>Formation, protection and decontamination of soils and sediments</w:t>
      </w:r>
      <w:bookmarkEnd w:id="700"/>
      <w:bookmarkEnd w:id="701"/>
      <w:bookmarkEnd w:id="702"/>
      <w:r w:rsidR="00A00405" w:rsidRPr="008608AA">
        <w:t xml:space="preserve"> </w:t>
      </w:r>
    </w:p>
    <w:p w14:paraId="63363D78" w14:textId="5B077044" w:rsidR="00A00405" w:rsidRPr="008608AA" w:rsidRDefault="00A00405" w:rsidP="00AA085D">
      <w:r w:rsidRPr="008608AA">
        <w:t>Soil is a multiphase system composed of solids (minerals, organic matter and biota), liquids and gases (Ugolini &amp; Spaltenstein, 1992). It is a source of water and nutrients for plants and microorganisms and is the physical support systsem for terrestrial vegetation, playing a key role in the global reduction–oxidation cycles of carbon and nitrogen (Chapin et al., 2011). Soil systems are subject to natural changes, including both directional and cyclic changes that occur over time scales ranging from days to millennia.</w:t>
      </w:r>
    </w:p>
    <w:p w14:paraId="6939D9DA" w14:textId="77777777" w:rsidR="00BD1803" w:rsidRPr="008608AA" w:rsidRDefault="00BD1803" w:rsidP="00AA085D"/>
    <w:p w14:paraId="7E31671C" w14:textId="5EACDCAF" w:rsidR="00A00405" w:rsidRPr="008608AA" w:rsidRDefault="00A00405" w:rsidP="00AA085D">
      <w:r w:rsidRPr="008608AA">
        <w:t xml:space="preserve">Soil properties result from the dynamic balance of soil formation (it can take up to 1000 years to form 1 cm of soil, Wall &amp; Six, 2015) and soil loss. Soil formation depends on the balance between soil development, deposition, and erosion (Chapin et al., 2011), and was originally governed by at least five independent control variables: climate, topography, parent material, potential biota and time (Amundson &amp; Jenny, 1997). For thousands of years, humans have altered soils, but this influence has greatly increased since the early twentieth century. Humans are now an important agent of soil formation (Schmidt et al., 2014) and alteration, and soils around the world have been irrevocably altered (Amundson &amp; Jenny, 1997) – a process called soil degradation. Irreversible loss of soil is a result of human depletion, including soil erosion, salinization, and other degradation processes. Human-induced soil degradation in America with high and very high severity occurs mainly in Mesoamerica and Caribbean, but extensive land areas are also on human-induced soil degradation in both North America and South America, notably due to agriculture (Karlen &amp; Rice, 2015, see Chapter 4). </w:t>
      </w:r>
    </w:p>
    <w:p w14:paraId="484DA910" w14:textId="77777777" w:rsidR="00A00405" w:rsidRPr="008608AA" w:rsidRDefault="00A00405" w:rsidP="00AA085D"/>
    <w:p w14:paraId="78BA4080" w14:textId="3AB12668" w:rsidR="00AA085D" w:rsidRPr="008608AA" w:rsidRDefault="00A00405" w:rsidP="00593E3A">
      <w:r w:rsidRPr="008608AA">
        <w:t>Soil is the largest terrestrial carbon pool (Scharlemann et al., 2014). Carbon content in the topsoil in the Americas ranges from 2 to 3% by weight (Figure 2.21), although some soil types (</w:t>
      </w:r>
      <w:r w:rsidR="00847F60" w:rsidRPr="008608AA">
        <w:t>e.g.</w:t>
      </w:r>
      <w:r w:rsidRPr="008608AA">
        <w:t xml:space="preserve"> wetlands, peatlands) have much higher soil carbon content. Soil degradation and changes in land use can strongly affect its capacity to store carbon (</w:t>
      </w:r>
      <w:r w:rsidR="00B20C8E" w:rsidRPr="008608AA">
        <w:t>section</w:t>
      </w:r>
      <w:r w:rsidRPr="008608AA">
        <w:t xml:space="preserve"> 2.2.9). </w:t>
      </w:r>
    </w:p>
    <w:p w14:paraId="6FAF52AC" w14:textId="50E99A9C" w:rsidR="00AA085D" w:rsidRPr="008608AA" w:rsidRDefault="007F26AC" w:rsidP="00AA085D">
      <w:pPr>
        <w:spacing w:before="240"/>
        <w:jc w:val="center"/>
      </w:pPr>
      <w:r w:rsidRPr="008608AA">
        <w:rPr>
          <w:noProof/>
          <w:lang w:val="en-GB" w:eastAsia="en-GB"/>
        </w:rPr>
        <w:drawing>
          <wp:inline distT="0" distB="0" distL="0" distR="0" wp14:anchorId="63890603" wp14:editId="3C2F6D31">
            <wp:extent cx="5934075" cy="3390900"/>
            <wp:effectExtent l="0" t="0" r="9525" b="0"/>
            <wp:docPr id="231" name="Imagen 231" descr="C:\Users\Alejandro Valderrama\Downloads\Fig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5" descr="C:\Users\Alejandro Valderrama\Downloads\Fig2.21.jpg"/>
                    <pic:cNvPicPr>
                      <a:picLocks noChangeAspect="1" noChangeArrowheads="1"/>
                    </pic:cNvPicPr>
                  </pic:nvPicPr>
                  <pic:blipFill rotWithShape="1">
                    <a:blip r:embed="rId86">
                      <a:extLst>
                        <a:ext uri="{28A0092B-C50C-407E-A947-70E740481C1C}">
                          <a14:useLocalDpi xmlns:a14="http://schemas.microsoft.com/office/drawing/2010/main" val="0"/>
                        </a:ext>
                      </a:extLst>
                    </a:blip>
                    <a:srcRect b="60357"/>
                    <a:stretch/>
                  </pic:blipFill>
                  <pic:spPr bwMode="auto">
                    <a:xfrm>
                      <a:off x="0" y="0"/>
                      <a:ext cx="5934075" cy="3390900"/>
                    </a:xfrm>
                    <a:prstGeom prst="rect">
                      <a:avLst/>
                    </a:prstGeom>
                    <a:noFill/>
                    <a:ln>
                      <a:noFill/>
                    </a:ln>
                    <a:extLst>
                      <a:ext uri="{53640926-AAD7-44D8-BBD7-CCE9431645EC}">
                        <a14:shadowObscured xmlns:a14="http://schemas.microsoft.com/office/drawing/2010/main"/>
                      </a:ext>
                    </a:extLst>
                  </pic:spPr>
                </pic:pic>
              </a:graphicData>
            </a:graphic>
          </wp:inline>
        </w:drawing>
      </w:r>
    </w:p>
    <w:p w14:paraId="0480D672" w14:textId="340370C5" w:rsidR="00A00405" w:rsidRPr="008608AA" w:rsidRDefault="00A00405" w:rsidP="00AA085D">
      <w:pPr>
        <w:spacing w:before="240"/>
      </w:pPr>
      <w:r w:rsidRPr="008608AA">
        <w:t xml:space="preserve">According to Guo </w:t>
      </w:r>
      <w:r w:rsidR="00EB76E5" w:rsidRPr="008608AA">
        <w:t>&amp;</w:t>
      </w:r>
      <w:r w:rsidRPr="008608AA">
        <w:t xml:space="preserve"> Gifford (2002), land use change can either reduce or increase carbon storage up to 80%. In general, changes in forest to crop lands can reduce carbon storage by 40% and a change from pasture to crops can reduce it by up to 60%. On the other hand, soil carbon stocks can increase after some types of land use change, for example from native forest to pasture (~10%), crop to pasture (~20%) and crop to plantation (~60%). The increase in soil organic matter stocks may be due to several factors, including (i) the large amount of fine roots which contribute to the reduction of water and gas exchange, decreasing soil organic carbon decomposition rates and (ii) the fact that soil under pasture is not disturbed (plowed) as are croplands among others (Rittl et al., 2017)</w:t>
      </w:r>
    </w:p>
    <w:p w14:paraId="5DAF732F" w14:textId="77777777" w:rsidR="00A00405" w:rsidRPr="008608AA" w:rsidRDefault="00A00405" w:rsidP="00AA085D"/>
    <w:p w14:paraId="2EE2AC84" w14:textId="3ED77FB2" w:rsidR="00A00405" w:rsidRPr="008608AA" w:rsidRDefault="00A00405" w:rsidP="00AA085D">
      <w:r w:rsidRPr="008608AA">
        <w:t>Soil biodiversity is another component strongly affected by human-induced changes (Wall et al., 2015). These changes may have a cascade effect on soil diversity and extend beyond the site of the disturbance (Haddad et al., 2015). Wall et al. (2015) suggest that reducing soil biodiversity may lead to an increased risk of diseases caused by: (i) human pests and pathogens, (ii) less nutritious foods, and (iii) lack of water for the environment (Figure 2.22) as shown below. Soil biodiversity can be maintained and partially restored if well managed. Good soil biodiversity management practices should focus on maintenance of amount and quality of soil organic matter and the prevention of soil erosion. Additionally, agricultural systems with fewer inputs may promote self-regulating systems and higher biodiversity (Thiele-Bruhn et al.,</w:t>
      </w:r>
      <w:r w:rsidR="00EB76E5" w:rsidRPr="008608AA">
        <w:t xml:space="preserve"> 2012). </w:t>
      </w:r>
      <w:r w:rsidRPr="008608AA">
        <w:t>This is particularly important to approach the SDG2 (Z</w:t>
      </w:r>
      <w:r w:rsidR="00EB76E5" w:rsidRPr="008608AA">
        <w:t>ero h</w:t>
      </w:r>
      <w:r w:rsidRPr="008608AA">
        <w:t>unger), SDG3 (</w:t>
      </w:r>
      <w:r w:rsidR="00EB76E5" w:rsidRPr="008608AA">
        <w:t>Good health and w</w:t>
      </w:r>
      <w:r w:rsidRPr="008608AA">
        <w:t>ell-being), SDG12 (</w:t>
      </w:r>
      <w:r w:rsidR="00EB76E5" w:rsidRPr="008608AA">
        <w:t>Responsible p</w:t>
      </w:r>
      <w:r w:rsidRPr="008608AA">
        <w:t xml:space="preserve">roduction and </w:t>
      </w:r>
      <w:r w:rsidR="00EB76E5" w:rsidRPr="008608AA">
        <w:t>c</w:t>
      </w:r>
      <w:r w:rsidRPr="008608AA">
        <w:t xml:space="preserve">onsumption) and SDG15 (Life on </w:t>
      </w:r>
      <w:r w:rsidR="00EB76E5" w:rsidRPr="008608AA">
        <w:t>l</w:t>
      </w:r>
      <w:r w:rsidRPr="008608AA">
        <w:t>and). Maintaining the soil-clean water-clean air dynamic is fundamental to food production, the quality and quantity of water and its effects on food security and quality of life (Wall &amp; Six, 2015; Wall et al., 2015).</w:t>
      </w:r>
    </w:p>
    <w:p w14:paraId="490100A5" w14:textId="77777777" w:rsidR="00A00405" w:rsidRPr="008608AA" w:rsidRDefault="00A00405" w:rsidP="00A00405"/>
    <w:p w14:paraId="3A722177" w14:textId="77777777" w:rsidR="00AA085D" w:rsidRPr="008608AA" w:rsidRDefault="00AA085D" w:rsidP="00A00405"/>
    <w:p w14:paraId="0CEFEA31" w14:textId="25E2972C" w:rsidR="00AA085D" w:rsidRPr="008608AA" w:rsidRDefault="00DF75EC" w:rsidP="001362C8">
      <w:r w:rsidRPr="008608AA">
        <w:rPr>
          <w:noProof/>
          <w:lang w:val="en-GB" w:eastAsia="en-GB"/>
        </w:rPr>
        <w:drawing>
          <wp:inline distT="0" distB="0" distL="0" distR="0" wp14:anchorId="17B40988" wp14:editId="00332835">
            <wp:extent cx="5934075" cy="3905250"/>
            <wp:effectExtent l="0" t="0" r="9525" b="0"/>
            <wp:docPr id="251" name="Imagen 251" descr="C:\Users\Alejandro Valderrama\Desktop\IPBES 2\figuras\Chap 2\FIg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2" descr="C:\Users\Alejandro Valderrama\Desktop\IPBES 2\figuras\Chap 2\FIg2.22.jpg"/>
                    <pic:cNvPicPr>
                      <a:picLocks noChangeAspect="1" noChangeArrowheads="1"/>
                    </pic:cNvPicPr>
                  </pic:nvPicPr>
                  <pic:blipFill rotWithShape="1">
                    <a:blip r:embed="rId87">
                      <a:extLst>
                        <a:ext uri="{28A0092B-C50C-407E-A947-70E740481C1C}">
                          <a14:useLocalDpi xmlns:a14="http://schemas.microsoft.com/office/drawing/2010/main" val="0"/>
                        </a:ext>
                      </a:extLst>
                    </a:blip>
                    <a:srcRect b="54343"/>
                    <a:stretch/>
                  </pic:blipFill>
                  <pic:spPr bwMode="auto">
                    <a:xfrm>
                      <a:off x="0" y="0"/>
                      <a:ext cx="5934075" cy="3905250"/>
                    </a:xfrm>
                    <a:prstGeom prst="rect">
                      <a:avLst/>
                    </a:prstGeom>
                    <a:noFill/>
                    <a:ln>
                      <a:noFill/>
                    </a:ln>
                    <a:extLst>
                      <a:ext uri="{53640926-AAD7-44D8-BBD7-CCE9431645EC}">
                        <a14:shadowObscured xmlns:a14="http://schemas.microsoft.com/office/drawing/2010/main"/>
                      </a:ext>
                    </a:extLst>
                  </pic:spPr>
                </pic:pic>
              </a:graphicData>
            </a:graphic>
          </wp:inline>
        </w:drawing>
      </w:r>
    </w:p>
    <w:p w14:paraId="7087059D" w14:textId="77777777" w:rsidR="00AA085D" w:rsidRPr="008608AA" w:rsidRDefault="00AA085D" w:rsidP="00AA085D">
      <w:pPr>
        <w:rPr>
          <w:lang w:val="en-GB" w:eastAsia="es-CO"/>
        </w:rPr>
      </w:pPr>
    </w:p>
    <w:p w14:paraId="0CDBF356" w14:textId="6AF8015C" w:rsidR="00A00405" w:rsidRPr="008608AA" w:rsidRDefault="00A00405" w:rsidP="00AA085D">
      <w:pPr>
        <w:pStyle w:val="Heading2"/>
      </w:pPr>
      <w:bookmarkStart w:id="703" w:name="_Toc517393268"/>
      <w:bookmarkStart w:id="704" w:name="_Toc517719009"/>
      <w:bookmarkStart w:id="705" w:name="_Toc517796966"/>
      <w:r w:rsidRPr="008608AA">
        <w:t>Effects of trends in nature’s contributions to people on quality of life</w:t>
      </w:r>
      <w:bookmarkEnd w:id="703"/>
      <w:bookmarkEnd w:id="704"/>
      <w:bookmarkEnd w:id="705"/>
      <w:r w:rsidRPr="008608AA">
        <w:t xml:space="preserve">   </w:t>
      </w:r>
    </w:p>
    <w:p w14:paraId="6D12E4FC" w14:textId="562C6BF9" w:rsidR="00AA085D" w:rsidRPr="008608AA" w:rsidRDefault="00A00405" w:rsidP="00AA085D">
      <w:r w:rsidRPr="008608AA">
        <w:t>Links between NCP and quality of life have been conceptually described in many instances (</w:t>
      </w:r>
      <w:r w:rsidR="00847F60" w:rsidRPr="008608AA">
        <w:t>e.g.</w:t>
      </w:r>
      <w:r w:rsidRPr="008608AA">
        <w:t xml:space="preserve"> Diaz et al., 2015; Pascual et al., 2017). Nevertheless, to our knowledge, a clear picture of what bundles of NCP contribute to each aspect of well-being has not been shown. In this sense, our team performed a Delphi process (Hasson et al., 2000; Landeta, 2006), which relied on a panel of experts (11 leading authors of this chapters) to build consensus through interactive rounds of scoring the links between each of the 18 NCP and six elements of quality of life: food security, water security, energy security, health, livelihood security (as well as securing ways of living), and experiencing nature (</w:t>
      </w:r>
      <w:r w:rsidR="00847F60" w:rsidRPr="008608AA">
        <w:t>e.g.</w:t>
      </w:r>
      <w:r w:rsidRPr="008608AA">
        <w:t xml:space="preserve"> the emotional and spiritual securities that may contribute, for instance, to cultural continuity). The emerging picture is presented in Table 2.15. In the following subsections, each of these six elements of quality of life will be discussed in turn with the focus on the SDGs, supporting the 2030 Agenda of the United Nations Development Program, as well as the CBD Aichi </w:t>
      </w:r>
      <w:r w:rsidR="00847F60" w:rsidRPr="008608AA">
        <w:t>target</w:t>
      </w:r>
      <w:r w:rsidR="00226592" w:rsidRPr="008608AA">
        <w:t>s</w:t>
      </w:r>
      <w:r w:rsidRPr="008608AA">
        <w:t>.</w:t>
      </w:r>
    </w:p>
    <w:p w14:paraId="06A839A5" w14:textId="290C0D6C" w:rsidR="00AA085D"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15</w:t>
      </w:r>
      <w:r w:rsidR="000E562E">
        <w:rPr>
          <w:noProof/>
        </w:rPr>
        <w:fldChar w:fldCharType="end"/>
      </w:r>
      <w:r w:rsidR="00AA085D" w:rsidRPr="008608AA">
        <w:t>. The relationship between 18 of nature’s contributiosn to people (NCP) and six elements of a good quality of life were assessed based on the expert opinion of 11 chapter lead authors, using the Delphi method.  Mean valuesstandard error of a two-round scoring exercise are reported. Authors were asked to evaluate the strength of the relationships with 0 = none, 1 = weak, 2 = moderate and 3 = high.</w:t>
      </w:r>
    </w:p>
    <w:p w14:paraId="494D4C24" w14:textId="77777777" w:rsidR="00FD5400" w:rsidRPr="008608AA" w:rsidRDefault="00FD5400" w:rsidP="00FD5400">
      <w:pPr>
        <w:rPr>
          <w:lang w:val="en-GB" w:eastAsia="ja-JP"/>
        </w:rPr>
      </w:pPr>
    </w:p>
    <w:p w14:paraId="48C9D511" w14:textId="488AEB17" w:rsidR="00AA085D" w:rsidRPr="008608AA" w:rsidRDefault="00FD5400" w:rsidP="00FD5400">
      <w:r w:rsidRPr="008608AA">
        <w:rPr>
          <w:noProof/>
          <w:lang w:val="en-GB" w:eastAsia="en-GB"/>
        </w:rPr>
        <w:drawing>
          <wp:inline distT="0" distB="0" distL="0" distR="0" wp14:anchorId="1AAA3C5A" wp14:editId="37015602">
            <wp:extent cx="5934075" cy="5734050"/>
            <wp:effectExtent l="0" t="0" r="9525" b="0"/>
            <wp:docPr id="250" name="Imagen 250" descr="C:\Users\Alejandro Valderrama\Downloads\Table 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0" descr="C:\Users\Alejandro Valderrama\Downloads\Table 2.15.jpg"/>
                    <pic:cNvPicPr>
                      <a:picLocks noChangeAspect="1" noChangeArrowheads="1"/>
                    </pic:cNvPicPr>
                  </pic:nvPicPr>
                  <pic:blipFill rotWithShape="1">
                    <a:blip r:embed="rId88">
                      <a:extLst>
                        <a:ext uri="{28A0092B-C50C-407E-A947-70E740481C1C}">
                          <a14:useLocalDpi xmlns:a14="http://schemas.microsoft.com/office/drawing/2010/main" val="0"/>
                        </a:ext>
                      </a:extLst>
                    </a:blip>
                    <a:srcRect b="32962"/>
                    <a:stretch/>
                  </pic:blipFill>
                  <pic:spPr bwMode="auto">
                    <a:xfrm>
                      <a:off x="0" y="0"/>
                      <a:ext cx="5934075" cy="5734050"/>
                    </a:xfrm>
                    <a:prstGeom prst="rect">
                      <a:avLst/>
                    </a:prstGeom>
                    <a:noFill/>
                    <a:ln>
                      <a:noFill/>
                    </a:ln>
                    <a:extLst>
                      <a:ext uri="{53640926-AAD7-44D8-BBD7-CCE9431645EC}">
                        <a14:shadowObscured xmlns:a14="http://schemas.microsoft.com/office/drawing/2010/main"/>
                      </a:ext>
                    </a:extLst>
                  </pic:spPr>
                </pic:pic>
              </a:graphicData>
            </a:graphic>
          </wp:inline>
        </w:drawing>
      </w:r>
    </w:p>
    <w:p w14:paraId="2DBF95E2" w14:textId="77777777" w:rsidR="00AA085D" w:rsidRPr="008608AA" w:rsidRDefault="00AA085D" w:rsidP="008B3BCD"/>
    <w:p w14:paraId="30ACE05A" w14:textId="77777777" w:rsidR="00A00405" w:rsidRPr="008608AA" w:rsidRDefault="00A00405" w:rsidP="00AA085D">
      <w:pPr>
        <w:pStyle w:val="Heading3"/>
      </w:pPr>
      <w:bookmarkStart w:id="706" w:name="_Toc517393269"/>
      <w:bookmarkStart w:id="707" w:name="_Toc517719010"/>
      <w:bookmarkStart w:id="708" w:name="_Toc517796967"/>
      <w:r w:rsidRPr="008608AA">
        <w:t>Food Security</w:t>
      </w:r>
      <w:bookmarkEnd w:id="706"/>
      <w:bookmarkEnd w:id="707"/>
      <w:bookmarkEnd w:id="708"/>
    </w:p>
    <w:p w14:paraId="73279CC2" w14:textId="77777777" w:rsidR="00A00405" w:rsidRPr="008608AA" w:rsidRDefault="00A00405" w:rsidP="00AA085D">
      <w:r w:rsidRPr="008608AA">
        <w:t>Food is an essential part of human well-being. It provides us the energy and nutrients, and ensuring access to food is crucial to achieve a healthy and productive life. Food security is “a situation that exists when all people, at all times, have physical, social and economic access to sufficient, safe and nutritious food that meets their dietary needs and food preferences for an active and healthy life” (FAO, 2006) and this concept is determined by three factors: availability, access to adequate resources or entitlements, and utilization of food through an adequate diet. Those factors are intrinsically hierarchical, in which availability is required but not sufficient to ensure access, which is not necessarily stable, and may not be sufficient for effective utilization (Barrett, 2010). However, this concept has been in part criticized for being too narrow, and failing to consider other relevant factors, including policy, equity, and diversity (Wittman et al., 2016), as well as for not taking full account of the traditional food practices (Power, 2008). Recently, the ethical and human right dimension of food has come into focus through the SDG 2, which aims to end all forms of hunger and malnutrition by 2030, making sure all people – especially children – have access to sufficient and nutritious food all year round (UN, 2016). Food production systems are supported by the services provided by natural ecosystems, such as pollination, biological pest control, maintenance of soil structure and fertility, nutrient cycling and hydrological services. In turn, this activity also generates ecosystem services such as soil regulation, climate stabilization through greenhouse gas mitigation, biodiversity support and water purification, but it is also responsible for damage such as, nutrient pollution, biodiversity loss, and greenhouse gas emissions (Power, 2010; Pretty, 2008; Robertson et al., 2014; Stallman, 2011). Historically the availability of food has increased thanks to advances in agricultural production, and increased yields. According Schmitz et al. (2014) during the pre-industrial period, cropland expansion was the source of increased agricultural production, but since the mid-20</w:t>
      </w:r>
      <w:r w:rsidRPr="008608AA">
        <w:rPr>
          <w:vertAlign w:val="superscript"/>
        </w:rPr>
        <w:t>th</w:t>
      </w:r>
      <w:r w:rsidRPr="008608AA">
        <w:t xml:space="preserve"> century intensification through new technologies is the main cause of growth. As a result, while the area of cropland increased by about 15% worldwide between 1955 and 2005, agricultural production increased by more than 200%. </w:t>
      </w:r>
    </w:p>
    <w:p w14:paraId="51B5A3EE" w14:textId="77777777" w:rsidR="00A00405" w:rsidRPr="008608AA" w:rsidRDefault="00A00405" w:rsidP="00AA085D"/>
    <w:p w14:paraId="5DF7B8E5" w14:textId="6272923D" w:rsidR="00AA085D" w:rsidRPr="008608AA" w:rsidRDefault="00A00405" w:rsidP="00AA085D">
      <w:r w:rsidRPr="008608AA">
        <w:t>Although some crop yields are increasing faster than the rate of population growth (see Figure 2.23) much of the agricultural production is exported to other regions or devoted to other sectors. For example,  soybeans have become one of the most important agricultural commodity in Brazil (Pashaei Kamali et al., 2016) and Argentina (Vazquez et al., 2017), due to an increase in global demand for soybean flour and oil of which about 70% of the production is exported to China (USDA, 2016). In the last 10 years, the use of maize for fuel production has increased, accounting for approximately 40% of the maize production in USA, and affecting maize prices for animal and human consumption (Ranum et al., 2014). Wheat, maize, rice and soybean are projected to provide 85% of the increase in food cereal consumption to 2050, and maize and soybean will continue to provide the animal food calories, converting crops into secondary protein supply for humans (Fischer et al., 2014). However, increasing yields will address only one aspect (availability) of food security, which requires multiple approaches and solutions (Poppy et al.,</w:t>
      </w:r>
      <w:r w:rsidR="00AA085D" w:rsidRPr="008608AA">
        <w:t xml:space="preserve"> 2014). </w:t>
      </w:r>
    </w:p>
    <w:p w14:paraId="16D30094" w14:textId="2A1C2C95" w:rsidR="00AA085D" w:rsidRPr="008608AA" w:rsidRDefault="00E4616E" w:rsidP="00AA085D">
      <w:pPr>
        <w:spacing w:before="240"/>
        <w:jc w:val="center"/>
      </w:pPr>
      <w:r w:rsidRPr="008608AA">
        <w:rPr>
          <w:noProof/>
          <w:lang w:val="en-GB" w:eastAsia="en-GB"/>
        </w:rPr>
        <w:drawing>
          <wp:inline distT="0" distB="0" distL="0" distR="0" wp14:anchorId="1E924C9C" wp14:editId="5C0ED122">
            <wp:extent cx="5934075" cy="3238500"/>
            <wp:effectExtent l="0" t="0" r="9525" b="0"/>
            <wp:docPr id="232" name="Imagen 232" descr="C:\Users\Alejandro Valderrama\Downloads\Fig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7" descr="C:\Users\Alejandro Valderrama\Downloads\Fig2.23.jpg"/>
                    <pic:cNvPicPr>
                      <a:picLocks noChangeAspect="1" noChangeArrowheads="1"/>
                    </pic:cNvPicPr>
                  </pic:nvPicPr>
                  <pic:blipFill rotWithShape="1">
                    <a:blip r:embed="rId89">
                      <a:extLst>
                        <a:ext uri="{28A0092B-C50C-407E-A947-70E740481C1C}">
                          <a14:useLocalDpi xmlns:a14="http://schemas.microsoft.com/office/drawing/2010/main" val="0"/>
                        </a:ext>
                      </a:extLst>
                    </a:blip>
                    <a:srcRect b="62138"/>
                    <a:stretch/>
                  </pic:blipFill>
                  <pic:spPr bwMode="auto">
                    <a:xfrm>
                      <a:off x="0" y="0"/>
                      <a:ext cx="5934075" cy="3238500"/>
                    </a:xfrm>
                    <a:prstGeom prst="rect">
                      <a:avLst/>
                    </a:prstGeom>
                    <a:noFill/>
                    <a:ln>
                      <a:noFill/>
                    </a:ln>
                    <a:extLst>
                      <a:ext uri="{53640926-AAD7-44D8-BBD7-CCE9431645EC}">
                        <a14:shadowObscured xmlns:a14="http://schemas.microsoft.com/office/drawing/2010/main"/>
                      </a:ext>
                    </a:extLst>
                  </pic:spPr>
                </pic:pic>
              </a:graphicData>
            </a:graphic>
          </wp:inline>
        </w:drawing>
      </w:r>
    </w:p>
    <w:p w14:paraId="581ACEF5" w14:textId="05E27777" w:rsidR="00A00405" w:rsidRPr="008608AA" w:rsidRDefault="00A00405" w:rsidP="00AA085D">
      <w:pPr>
        <w:spacing w:before="240"/>
      </w:pPr>
      <w:r w:rsidRPr="008608AA">
        <w:t xml:space="preserve">In the Americas region, per capita calorie and protein demand increased during the period between 1961 and 2013, mainly from animal products in developing countries (Figure 2.24) showing differences between regions. Products from livestock are the principal protein source in all regions, and according to Sans </w:t>
      </w:r>
      <w:r w:rsidR="00EB76E5" w:rsidRPr="008608AA">
        <w:t>&amp;</w:t>
      </w:r>
      <w:r w:rsidRPr="008608AA">
        <w:t xml:space="preserve"> Combris (2015) meat consumption has surged over the last 50 years, rising from 61 g per person per day in 1961 to 80 g per person per day in 2011 worldwide. In Mesoamerica, maize has been the major source of food energy, where the highest consumption was 267 and 187 gram per capita per day in Mexico and Guatemala, respectively. During the last 30 years in the USA, 43% of maize production is used to feed animals to support the high consumption of animal products (Ranum et al., 2014). In North America, wheat</w:t>
      </w:r>
      <w:r w:rsidRPr="008608AA">
        <w:rPr>
          <w:b/>
        </w:rPr>
        <w:t xml:space="preserve"> </w:t>
      </w:r>
      <w:r w:rsidRPr="008608AA">
        <w:t>has historically been the main source of calories and protein from cereals, whereas rice has the highest importance in the Caribbean region, and both wheat and rice rank high as cereal food sources in South America. Despite the low per capita intake of fish and shellfish, when data are aggregated by subregion, fish and shellfish are vital for food security in coastal area and in wetlands of all subregions of the Americas, particularly for small-scale fishers and their families (Béné et al., 2007), as fish is considered the healthiest sources of animal protein for human consumption (</w:t>
      </w:r>
      <w:r w:rsidR="00B20C8E" w:rsidRPr="008608AA">
        <w:t>section</w:t>
      </w:r>
      <w:r w:rsidRPr="008608AA">
        <w:t xml:space="preserve"> 2.2.1.3 for more details). </w:t>
      </w:r>
    </w:p>
    <w:p w14:paraId="7E445D69" w14:textId="321F7F8A" w:rsidR="00AA085D" w:rsidRPr="008608AA" w:rsidRDefault="00E4616E" w:rsidP="00AA085D">
      <w:pPr>
        <w:spacing w:before="240"/>
        <w:jc w:val="center"/>
      </w:pPr>
      <w:r w:rsidRPr="008608AA">
        <w:rPr>
          <w:noProof/>
          <w:lang w:val="en-GB" w:eastAsia="en-GB"/>
        </w:rPr>
        <w:drawing>
          <wp:inline distT="0" distB="0" distL="0" distR="0" wp14:anchorId="3F06E7B3" wp14:editId="3EC8A675">
            <wp:extent cx="5934075" cy="4905375"/>
            <wp:effectExtent l="0" t="0" r="9525" b="9525"/>
            <wp:docPr id="233" name="Imagen 233" descr="C:\Users\Alejandro Valderrama\Downloads\FIg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9" descr="C:\Users\Alejandro Valderrama\Downloads\FIg2.24.jpg"/>
                    <pic:cNvPicPr>
                      <a:picLocks noChangeAspect="1" noChangeArrowheads="1"/>
                    </pic:cNvPicPr>
                  </pic:nvPicPr>
                  <pic:blipFill rotWithShape="1">
                    <a:blip r:embed="rId90">
                      <a:extLst>
                        <a:ext uri="{28A0092B-C50C-407E-A947-70E740481C1C}">
                          <a14:useLocalDpi xmlns:a14="http://schemas.microsoft.com/office/drawing/2010/main" val="0"/>
                        </a:ext>
                      </a:extLst>
                    </a:blip>
                    <a:srcRect b="42650"/>
                    <a:stretch/>
                  </pic:blipFill>
                  <pic:spPr bwMode="auto">
                    <a:xfrm>
                      <a:off x="0" y="0"/>
                      <a:ext cx="5934075" cy="4905375"/>
                    </a:xfrm>
                    <a:prstGeom prst="rect">
                      <a:avLst/>
                    </a:prstGeom>
                    <a:noFill/>
                    <a:ln>
                      <a:noFill/>
                    </a:ln>
                    <a:extLst>
                      <a:ext uri="{53640926-AAD7-44D8-BBD7-CCE9431645EC}">
                        <a14:shadowObscured xmlns:a14="http://schemas.microsoft.com/office/drawing/2010/main"/>
                      </a:ext>
                    </a:extLst>
                  </pic:spPr>
                </pic:pic>
              </a:graphicData>
            </a:graphic>
          </wp:inline>
        </w:drawing>
      </w:r>
    </w:p>
    <w:p w14:paraId="0C02D249" w14:textId="77777777" w:rsidR="00593E3A" w:rsidRPr="008608AA" w:rsidRDefault="00593E3A" w:rsidP="00593E3A"/>
    <w:p w14:paraId="4F6F5D8D" w14:textId="2D4D5D58" w:rsidR="00593E3A" w:rsidRPr="008608AA" w:rsidRDefault="00A00405" w:rsidP="00593E3A">
      <w:r w:rsidRPr="008608AA">
        <w:t>The Americas’ population is projected to reach 1.2 billion by 2050, an increase of 22.7% over the current population (UN Department of Economic and Social Affairs, Population Division, 2015). Although as a region, the Americas has largely overcome food insecurity during the last few decades, differences exist between countries and subregions. Undernourishment in Mesoamerica, the Caribbean and South America has been reduced from 14.7% to 5.5% in the past 20 years, but over 40.7 million people remain undernourished in Latin America and 3.6 million face severe food insecurity in North America (FAO, 2017, p. 90). In North America, food insecurity is linked to households with incomes near or below the federal poverty line, households with children headed by single women or single men, w</w:t>
      </w:r>
      <w:r w:rsidR="00EB76E5" w:rsidRPr="008608AA">
        <w:t>omen and men living alone, and black- and hispanic-h</w:t>
      </w:r>
      <w:r w:rsidRPr="008608AA">
        <w:t>eaded households (Coleman-Jensen et al., 2016). In Mesoamerica, the percentage of undernourished people has declined from 14.7% in 1990–92 to 5.5% in 2014–16 (FAO, IFAD &amp; WFP, 2015), but in the Caribbean this proportion still varies widely, with the average at a staggering 19.8% (Table 2.16). Progress in reducing poor nutrition is associated with good economic performance, growth in the agricultural sector, and social protection policies, and not because of</w:t>
      </w:r>
      <w:r w:rsidR="00593E3A" w:rsidRPr="008608AA">
        <w:t xml:space="preserve"> better household income alone.</w:t>
      </w:r>
    </w:p>
    <w:p w14:paraId="35F7D3C3" w14:textId="77777777" w:rsidR="00593E3A" w:rsidRPr="008608AA" w:rsidRDefault="00593E3A" w:rsidP="00593E3A"/>
    <w:p w14:paraId="67BF8365" w14:textId="46AD70BF" w:rsidR="00881509" w:rsidRPr="008608AA" w:rsidRDefault="00A00405" w:rsidP="00AA085D">
      <w:r w:rsidRPr="008608AA">
        <w:t xml:space="preserve">According to Barret (2010), most severe food insecurity is associated with chronic poverty. In the Americas, agriculture is the principal driving force of the rural economy and, for those developing countries without substantial mineral resources, often the whole economy. Agriculture on its own can lead to growth in countries with a high share of agriculture in GDP (FAO, 2015). Nevertheless, in the poorest areas of Latin America (northeastern Brazil, southern Mexico, the Andes, and the densely settled hillside areas of Central America and the Caribbean), rural poverty, population growth, and unsustainable agricultural systems are leading to the degradation of many NCP as well as the breakdown of indigenous communities and their natural resource management systems (Pichon &amp; Uquillas, 1997). Then, more sustainable forms of land use and efficient agricultural production systems (Pretty, 2010) are needed for poverty reduction and improve the food security. </w:t>
      </w:r>
    </w:p>
    <w:p w14:paraId="3DE9CC55" w14:textId="6CEBA6D9" w:rsidR="00AA085D"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16</w:t>
      </w:r>
      <w:r w:rsidR="000E562E">
        <w:rPr>
          <w:noProof/>
        </w:rPr>
        <w:fldChar w:fldCharType="end"/>
      </w:r>
      <w:r w:rsidR="00881509" w:rsidRPr="008608AA">
        <w:t xml:space="preserve">. </w:t>
      </w:r>
      <w:r w:rsidR="00AA085D" w:rsidRPr="008608AA">
        <w:t>Prevalence of undernourishment in the Americas.</w:t>
      </w:r>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86"/>
        <w:gridCol w:w="706"/>
        <w:gridCol w:w="624"/>
        <w:gridCol w:w="588"/>
        <w:gridCol w:w="588"/>
        <w:gridCol w:w="595"/>
        <w:gridCol w:w="249"/>
        <w:gridCol w:w="807"/>
        <w:gridCol w:w="279"/>
        <w:gridCol w:w="588"/>
        <w:gridCol w:w="588"/>
        <w:gridCol w:w="588"/>
        <w:gridCol w:w="588"/>
        <w:gridCol w:w="594"/>
        <w:gridCol w:w="249"/>
        <w:gridCol w:w="805"/>
      </w:tblGrid>
      <w:tr w:rsidR="00A00405" w:rsidRPr="0010725E" w14:paraId="1DBC0511" w14:textId="77777777" w:rsidTr="0010725E">
        <w:trPr>
          <w:trHeight w:val="306"/>
        </w:trPr>
        <w:tc>
          <w:tcPr>
            <w:tcW w:w="524" w:type="pct"/>
            <w:vMerge w:val="restart"/>
            <w:shd w:val="clear" w:color="auto" w:fill="BFBFBF" w:themeFill="background1" w:themeFillShade="BF"/>
            <w:vAlign w:val="center"/>
          </w:tcPr>
          <w:p w14:paraId="3C1FE97E" w14:textId="77777777" w:rsidR="00A00405" w:rsidRPr="0010725E" w:rsidRDefault="00A00405" w:rsidP="00881509">
            <w:pPr>
              <w:jc w:val="center"/>
              <w:rPr>
                <w:b/>
                <w:sz w:val="20"/>
                <w:szCs w:val="20"/>
              </w:rPr>
            </w:pPr>
            <w:r w:rsidRPr="0010725E">
              <w:rPr>
                <w:b/>
                <w:sz w:val="20"/>
                <w:szCs w:val="20"/>
              </w:rPr>
              <w:t>Subregions</w:t>
            </w:r>
          </w:p>
        </w:tc>
        <w:tc>
          <w:tcPr>
            <w:tcW w:w="2206" w:type="pct"/>
            <w:gridSpan w:val="7"/>
            <w:shd w:val="clear" w:color="auto" w:fill="BFBFBF" w:themeFill="background1" w:themeFillShade="BF"/>
            <w:vAlign w:val="center"/>
          </w:tcPr>
          <w:p w14:paraId="2F4D65EF" w14:textId="77777777" w:rsidR="00A00405" w:rsidRPr="0010725E" w:rsidRDefault="00A00405" w:rsidP="00881509">
            <w:pPr>
              <w:jc w:val="center"/>
              <w:rPr>
                <w:b/>
                <w:sz w:val="20"/>
                <w:szCs w:val="20"/>
              </w:rPr>
            </w:pPr>
            <w:r w:rsidRPr="0010725E">
              <w:rPr>
                <w:b/>
                <w:sz w:val="20"/>
                <w:szCs w:val="20"/>
              </w:rPr>
              <w:t>Number of people undernourished</w:t>
            </w:r>
          </w:p>
        </w:tc>
        <w:tc>
          <w:tcPr>
            <w:tcW w:w="148" w:type="pct"/>
            <w:shd w:val="clear" w:color="auto" w:fill="BFBFBF" w:themeFill="background1" w:themeFillShade="BF"/>
            <w:vAlign w:val="center"/>
          </w:tcPr>
          <w:p w14:paraId="474C4F86" w14:textId="50456AD4" w:rsidR="00A00405" w:rsidRPr="0010725E" w:rsidRDefault="00A00405" w:rsidP="00881509">
            <w:pPr>
              <w:jc w:val="center"/>
              <w:rPr>
                <w:b/>
                <w:sz w:val="20"/>
                <w:szCs w:val="20"/>
              </w:rPr>
            </w:pPr>
          </w:p>
        </w:tc>
        <w:tc>
          <w:tcPr>
            <w:tcW w:w="2122" w:type="pct"/>
            <w:gridSpan w:val="7"/>
            <w:shd w:val="clear" w:color="auto" w:fill="BFBFBF" w:themeFill="background1" w:themeFillShade="BF"/>
            <w:vAlign w:val="center"/>
          </w:tcPr>
          <w:p w14:paraId="5593AF61" w14:textId="77777777" w:rsidR="00A00405" w:rsidRPr="0010725E" w:rsidRDefault="00A00405" w:rsidP="00881509">
            <w:pPr>
              <w:jc w:val="center"/>
              <w:rPr>
                <w:b/>
                <w:sz w:val="20"/>
                <w:szCs w:val="20"/>
              </w:rPr>
            </w:pPr>
            <w:r w:rsidRPr="0010725E">
              <w:rPr>
                <w:b/>
                <w:sz w:val="20"/>
                <w:szCs w:val="20"/>
              </w:rPr>
              <w:t>Proportion of undernourished in total population (%)</w:t>
            </w:r>
          </w:p>
        </w:tc>
      </w:tr>
      <w:tr w:rsidR="00881509" w:rsidRPr="0010725E" w14:paraId="129A7B05" w14:textId="77777777" w:rsidTr="0010725E">
        <w:trPr>
          <w:cantSplit/>
          <w:trHeight w:val="1134"/>
        </w:trPr>
        <w:tc>
          <w:tcPr>
            <w:tcW w:w="524" w:type="pct"/>
            <w:vMerge/>
            <w:shd w:val="clear" w:color="auto" w:fill="BFBFBF" w:themeFill="background1" w:themeFillShade="BF"/>
            <w:vAlign w:val="center"/>
          </w:tcPr>
          <w:p w14:paraId="511B1512" w14:textId="77777777" w:rsidR="00A00405" w:rsidRPr="0010725E" w:rsidRDefault="00A00405" w:rsidP="00881509">
            <w:pPr>
              <w:jc w:val="center"/>
              <w:rPr>
                <w:b/>
                <w:sz w:val="20"/>
                <w:szCs w:val="20"/>
              </w:rPr>
            </w:pPr>
          </w:p>
        </w:tc>
        <w:tc>
          <w:tcPr>
            <w:tcW w:w="375" w:type="pct"/>
            <w:shd w:val="clear" w:color="auto" w:fill="BFBFBF" w:themeFill="background1" w:themeFillShade="BF"/>
            <w:textDirection w:val="btLr"/>
            <w:vAlign w:val="center"/>
          </w:tcPr>
          <w:p w14:paraId="170440B6" w14:textId="77777777" w:rsidR="00A00405" w:rsidRPr="0010725E" w:rsidRDefault="00A00405" w:rsidP="0010725E">
            <w:pPr>
              <w:ind w:left="113" w:right="113"/>
              <w:jc w:val="center"/>
              <w:rPr>
                <w:b/>
                <w:sz w:val="20"/>
                <w:szCs w:val="20"/>
              </w:rPr>
            </w:pPr>
            <w:r w:rsidRPr="0010725E">
              <w:rPr>
                <w:b/>
                <w:sz w:val="20"/>
                <w:szCs w:val="20"/>
              </w:rPr>
              <w:t>1990-92</w:t>
            </w:r>
          </w:p>
        </w:tc>
        <w:tc>
          <w:tcPr>
            <w:tcW w:w="331" w:type="pct"/>
            <w:shd w:val="clear" w:color="auto" w:fill="BFBFBF" w:themeFill="background1" w:themeFillShade="BF"/>
            <w:textDirection w:val="btLr"/>
            <w:vAlign w:val="center"/>
          </w:tcPr>
          <w:p w14:paraId="1933528C" w14:textId="77777777" w:rsidR="00A00405" w:rsidRPr="0010725E" w:rsidRDefault="00A00405" w:rsidP="0010725E">
            <w:pPr>
              <w:ind w:left="113" w:right="113"/>
              <w:jc w:val="center"/>
              <w:rPr>
                <w:b/>
                <w:sz w:val="20"/>
                <w:szCs w:val="20"/>
              </w:rPr>
            </w:pPr>
            <w:r w:rsidRPr="0010725E">
              <w:rPr>
                <w:b/>
                <w:sz w:val="20"/>
                <w:szCs w:val="20"/>
              </w:rPr>
              <w:t>2000-02</w:t>
            </w:r>
          </w:p>
        </w:tc>
        <w:tc>
          <w:tcPr>
            <w:tcW w:w="312" w:type="pct"/>
            <w:shd w:val="clear" w:color="auto" w:fill="BFBFBF" w:themeFill="background1" w:themeFillShade="BF"/>
            <w:textDirection w:val="btLr"/>
            <w:vAlign w:val="center"/>
          </w:tcPr>
          <w:p w14:paraId="60F282D3" w14:textId="77777777" w:rsidR="00A00405" w:rsidRPr="0010725E" w:rsidRDefault="00A00405" w:rsidP="0010725E">
            <w:pPr>
              <w:ind w:left="113" w:right="113"/>
              <w:jc w:val="center"/>
              <w:rPr>
                <w:b/>
                <w:sz w:val="20"/>
                <w:szCs w:val="20"/>
              </w:rPr>
            </w:pPr>
            <w:r w:rsidRPr="0010725E">
              <w:rPr>
                <w:b/>
                <w:sz w:val="20"/>
                <w:szCs w:val="20"/>
              </w:rPr>
              <w:t>2005-07</w:t>
            </w:r>
          </w:p>
        </w:tc>
        <w:tc>
          <w:tcPr>
            <w:tcW w:w="312" w:type="pct"/>
            <w:shd w:val="clear" w:color="auto" w:fill="BFBFBF" w:themeFill="background1" w:themeFillShade="BF"/>
            <w:textDirection w:val="btLr"/>
            <w:vAlign w:val="center"/>
          </w:tcPr>
          <w:p w14:paraId="5291BACF" w14:textId="77777777" w:rsidR="00A00405" w:rsidRPr="0010725E" w:rsidRDefault="00A00405" w:rsidP="0010725E">
            <w:pPr>
              <w:ind w:left="113" w:right="113"/>
              <w:jc w:val="center"/>
              <w:rPr>
                <w:b/>
                <w:sz w:val="20"/>
                <w:szCs w:val="20"/>
              </w:rPr>
            </w:pPr>
            <w:r w:rsidRPr="0010725E">
              <w:rPr>
                <w:b/>
                <w:sz w:val="20"/>
                <w:szCs w:val="20"/>
              </w:rPr>
              <w:t>2010-12</w:t>
            </w:r>
          </w:p>
        </w:tc>
        <w:tc>
          <w:tcPr>
            <w:tcW w:w="316" w:type="pct"/>
            <w:shd w:val="clear" w:color="auto" w:fill="BFBFBF" w:themeFill="background1" w:themeFillShade="BF"/>
            <w:textDirection w:val="btLr"/>
            <w:vAlign w:val="center"/>
          </w:tcPr>
          <w:p w14:paraId="3BB86F17" w14:textId="77777777" w:rsidR="00A00405" w:rsidRPr="0010725E" w:rsidRDefault="00A00405" w:rsidP="0010725E">
            <w:pPr>
              <w:ind w:left="113" w:right="113"/>
              <w:jc w:val="center"/>
              <w:rPr>
                <w:b/>
                <w:sz w:val="20"/>
                <w:szCs w:val="20"/>
              </w:rPr>
            </w:pPr>
            <w:r w:rsidRPr="0010725E">
              <w:rPr>
                <w:b/>
                <w:sz w:val="20"/>
                <w:szCs w:val="20"/>
              </w:rPr>
              <w:t>2014-16</w:t>
            </w:r>
          </w:p>
        </w:tc>
        <w:tc>
          <w:tcPr>
            <w:tcW w:w="132" w:type="pct"/>
            <w:shd w:val="clear" w:color="auto" w:fill="BFBFBF" w:themeFill="background1" w:themeFillShade="BF"/>
            <w:vAlign w:val="center"/>
          </w:tcPr>
          <w:p w14:paraId="2D8AA1AB" w14:textId="77777777" w:rsidR="00A00405" w:rsidRPr="0010725E" w:rsidRDefault="00A00405" w:rsidP="00881509">
            <w:pPr>
              <w:jc w:val="center"/>
              <w:rPr>
                <w:b/>
                <w:sz w:val="20"/>
                <w:szCs w:val="20"/>
              </w:rPr>
            </w:pPr>
          </w:p>
        </w:tc>
        <w:tc>
          <w:tcPr>
            <w:tcW w:w="428" w:type="pct"/>
            <w:shd w:val="clear" w:color="auto" w:fill="BFBFBF" w:themeFill="background1" w:themeFillShade="BF"/>
            <w:vAlign w:val="center"/>
          </w:tcPr>
          <w:p w14:paraId="3A68EE92" w14:textId="77777777" w:rsidR="00A00405" w:rsidRPr="0010725E" w:rsidRDefault="00A00405" w:rsidP="00881509">
            <w:pPr>
              <w:jc w:val="center"/>
              <w:rPr>
                <w:b/>
                <w:sz w:val="20"/>
                <w:szCs w:val="20"/>
              </w:rPr>
            </w:pPr>
            <w:r w:rsidRPr="0010725E">
              <w:rPr>
                <w:b/>
                <w:sz w:val="20"/>
                <w:szCs w:val="20"/>
              </w:rPr>
              <w:t>Change</w:t>
            </w:r>
          </w:p>
          <w:p w14:paraId="66951B86" w14:textId="77777777" w:rsidR="00A00405" w:rsidRPr="0010725E" w:rsidRDefault="00A00405" w:rsidP="00881509">
            <w:pPr>
              <w:jc w:val="center"/>
              <w:rPr>
                <w:b/>
                <w:sz w:val="20"/>
                <w:szCs w:val="20"/>
              </w:rPr>
            </w:pPr>
            <w:r w:rsidRPr="0010725E">
              <w:rPr>
                <w:b/>
                <w:sz w:val="20"/>
                <w:szCs w:val="20"/>
              </w:rPr>
              <w:t>1990-2016</w:t>
            </w:r>
          </w:p>
        </w:tc>
        <w:tc>
          <w:tcPr>
            <w:tcW w:w="148" w:type="pct"/>
            <w:shd w:val="clear" w:color="auto" w:fill="BFBFBF" w:themeFill="background1" w:themeFillShade="BF"/>
            <w:vAlign w:val="center"/>
          </w:tcPr>
          <w:p w14:paraId="014DBE46" w14:textId="77777777" w:rsidR="00A00405" w:rsidRPr="0010725E" w:rsidRDefault="00A00405" w:rsidP="00881509">
            <w:pPr>
              <w:jc w:val="center"/>
              <w:rPr>
                <w:b/>
                <w:sz w:val="20"/>
                <w:szCs w:val="20"/>
              </w:rPr>
            </w:pPr>
          </w:p>
        </w:tc>
        <w:tc>
          <w:tcPr>
            <w:tcW w:w="312" w:type="pct"/>
            <w:shd w:val="clear" w:color="auto" w:fill="BFBFBF" w:themeFill="background1" w:themeFillShade="BF"/>
            <w:textDirection w:val="btLr"/>
            <w:vAlign w:val="center"/>
          </w:tcPr>
          <w:p w14:paraId="1E8927B3" w14:textId="77777777" w:rsidR="00A00405" w:rsidRPr="0010725E" w:rsidRDefault="00A00405" w:rsidP="0010725E">
            <w:pPr>
              <w:ind w:left="113" w:right="113"/>
              <w:jc w:val="center"/>
              <w:rPr>
                <w:b/>
                <w:sz w:val="20"/>
                <w:szCs w:val="20"/>
              </w:rPr>
            </w:pPr>
            <w:r w:rsidRPr="0010725E">
              <w:rPr>
                <w:b/>
                <w:sz w:val="20"/>
                <w:szCs w:val="20"/>
              </w:rPr>
              <w:t>1990-92</w:t>
            </w:r>
          </w:p>
        </w:tc>
        <w:tc>
          <w:tcPr>
            <w:tcW w:w="312" w:type="pct"/>
            <w:shd w:val="clear" w:color="auto" w:fill="BFBFBF" w:themeFill="background1" w:themeFillShade="BF"/>
            <w:textDirection w:val="btLr"/>
            <w:vAlign w:val="center"/>
          </w:tcPr>
          <w:p w14:paraId="0EC4AE36" w14:textId="77777777" w:rsidR="00A00405" w:rsidRPr="0010725E" w:rsidRDefault="00A00405" w:rsidP="0010725E">
            <w:pPr>
              <w:ind w:left="113" w:right="113"/>
              <w:jc w:val="center"/>
              <w:rPr>
                <w:b/>
                <w:sz w:val="20"/>
                <w:szCs w:val="20"/>
              </w:rPr>
            </w:pPr>
            <w:r w:rsidRPr="0010725E">
              <w:rPr>
                <w:b/>
                <w:sz w:val="20"/>
                <w:szCs w:val="20"/>
              </w:rPr>
              <w:t>2000-02</w:t>
            </w:r>
          </w:p>
        </w:tc>
        <w:tc>
          <w:tcPr>
            <w:tcW w:w="312" w:type="pct"/>
            <w:shd w:val="clear" w:color="auto" w:fill="BFBFBF" w:themeFill="background1" w:themeFillShade="BF"/>
            <w:textDirection w:val="btLr"/>
            <w:vAlign w:val="center"/>
          </w:tcPr>
          <w:p w14:paraId="2A5C04BB" w14:textId="77777777" w:rsidR="00A00405" w:rsidRPr="0010725E" w:rsidRDefault="00A00405" w:rsidP="0010725E">
            <w:pPr>
              <w:ind w:left="113" w:right="113"/>
              <w:jc w:val="center"/>
              <w:rPr>
                <w:b/>
                <w:sz w:val="20"/>
                <w:szCs w:val="20"/>
              </w:rPr>
            </w:pPr>
            <w:r w:rsidRPr="0010725E">
              <w:rPr>
                <w:b/>
                <w:sz w:val="20"/>
                <w:szCs w:val="20"/>
              </w:rPr>
              <w:t>2005-07</w:t>
            </w:r>
          </w:p>
        </w:tc>
        <w:tc>
          <w:tcPr>
            <w:tcW w:w="312" w:type="pct"/>
            <w:shd w:val="clear" w:color="auto" w:fill="BFBFBF" w:themeFill="background1" w:themeFillShade="BF"/>
            <w:textDirection w:val="btLr"/>
            <w:vAlign w:val="center"/>
          </w:tcPr>
          <w:p w14:paraId="272E311F" w14:textId="77777777" w:rsidR="00A00405" w:rsidRPr="0010725E" w:rsidRDefault="00A00405" w:rsidP="0010725E">
            <w:pPr>
              <w:ind w:left="113" w:right="113"/>
              <w:jc w:val="center"/>
              <w:rPr>
                <w:b/>
                <w:sz w:val="20"/>
                <w:szCs w:val="20"/>
              </w:rPr>
            </w:pPr>
            <w:r w:rsidRPr="0010725E">
              <w:rPr>
                <w:b/>
                <w:sz w:val="20"/>
                <w:szCs w:val="20"/>
              </w:rPr>
              <w:t>2010-12</w:t>
            </w:r>
          </w:p>
        </w:tc>
        <w:tc>
          <w:tcPr>
            <w:tcW w:w="315" w:type="pct"/>
            <w:shd w:val="clear" w:color="auto" w:fill="BFBFBF" w:themeFill="background1" w:themeFillShade="BF"/>
            <w:textDirection w:val="btLr"/>
            <w:vAlign w:val="center"/>
          </w:tcPr>
          <w:p w14:paraId="321F306A" w14:textId="77777777" w:rsidR="00A00405" w:rsidRPr="0010725E" w:rsidRDefault="00A00405" w:rsidP="0010725E">
            <w:pPr>
              <w:ind w:left="113" w:right="113"/>
              <w:jc w:val="center"/>
              <w:rPr>
                <w:b/>
                <w:sz w:val="20"/>
                <w:szCs w:val="20"/>
              </w:rPr>
            </w:pPr>
            <w:r w:rsidRPr="0010725E">
              <w:rPr>
                <w:b/>
                <w:sz w:val="20"/>
                <w:szCs w:val="20"/>
              </w:rPr>
              <w:t>2014-16</w:t>
            </w:r>
          </w:p>
        </w:tc>
        <w:tc>
          <w:tcPr>
            <w:tcW w:w="132" w:type="pct"/>
            <w:shd w:val="clear" w:color="auto" w:fill="BFBFBF" w:themeFill="background1" w:themeFillShade="BF"/>
            <w:vAlign w:val="center"/>
          </w:tcPr>
          <w:p w14:paraId="719132E6" w14:textId="77777777" w:rsidR="00A00405" w:rsidRPr="0010725E" w:rsidRDefault="00A00405" w:rsidP="00881509">
            <w:pPr>
              <w:jc w:val="center"/>
              <w:rPr>
                <w:b/>
                <w:sz w:val="20"/>
                <w:szCs w:val="20"/>
              </w:rPr>
            </w:pPr>
          </w:p>
        </w:tc>
        <w:tc>
          <w:tcPr>
            <w:tcW w:w="426" w:type="pct"/>
            <w:shd w:val="clear" w:color="auto" w:fill="BFBFBF" w:themeFill="background1" w:themeFillShade="BF"/>
            <w:vAlign w:val="center"/>
          </w:tcPr>
          <w:p w14:paraId="6A5AA8B0" w14:textId="77777777" w:rsidR="00A00405" w:rsidRPr="0010725E" w:rsidRDefault="00A00405" w:rsidP="00881509">
            <w:pPr>
              <w:jc w:val="center"/>
              <w:rPr>
                <w:b/>
                <w:sz w:val="20"/>
                <w:szCs w:val="20"/>
              </w:rPr>
            </w:pPr>
            <w:r w:rsidRPr="0010725E">
              <w:rPr>
                <w:b/>
                <w:sz w:val="20"/>
                <w:szCs w:val="20"/>
              </w:rPr>
              <w:t>Change</w:t>
            </w:r>
          </w:p>
          <w:p w14:paraId="33064539" w14:textId="77777777" w:rsidR="00A00405" w:rsidRPr="0010725E" w:rsidRDefault="00A00405" w:rsidP="00881509">
            <w:pPr>
              <w:jc w:val="center"/>
              <w:rPr>
                <w:b/>
                <w:sz w:val="20"/>
                <w:szCs w:val="20"/>
              </w:rPr>
            </w:pPr>
            <w:r w:rsidRPr="0010725E">
              <w:rPr>
                <w:b/>
                <w:sz w:val="20"/>
                <w:szCs w:val="20"/>
              </w:rPr>
              <w:t>1990-2016</w:t>
            </w:r>
          </w:p>
        </w:tc>
      </w:tr>
      <w:tr w:rsidR="00A00405" w:rsidRPr="0010725E" w14:paraId="185278F2" w14:textId="77777777" w:rsidTr="0010725E">
        <w:trPr>
          <w:trHeight w:val="285"/>
        </w:trPr>
        <w:tc>
          <w:tcPr>
            <w:tcW w:w="524" w:type="pct"/>
            <w:vMerge/>
            <w:shd w:val="clear" w:color="auto" w:fill="BFBFBF" w:themeFill="background1" w:themeFillShade="BF"/>
            <w:vAlign w:val="center"/>
          </w:tcPr>
          <w:p w14:paraId="4B6E2417" w14:textId="77777777" w:rsidR="00A00405" w:rsidRPr="0010725E" w:rsidRDefault="00A00405" w:rsidP="00881509">
            <w:pPr>
              <w:jc w:val="center"/>
              <w:rPr>
                <w:b/>
                <w:sz w:val="20"/>
                <w:szCs w:val="20"/>
              </w:rPr>
            </w:pPr>
          </w:p>
        </w:tc>
        <w:tc>
          <w:tcPr>
            <w:tcW w:w="1646" w:type="pct"/>
            <w:gridSpan w:val="5"/>
            <w:shd w:val="clear" w:color="auto" w:fill="BFBFBF" w:themeFill="background1" w:themeFillShade="BF"/>
            <w:vAlign w:val="center"/>
          </w:tcPr>
          <w:p w14:paraId="5B6B65D0" w14:textId="77777777" w:rsidR="00A00405" w:rsidRPr="0010725E" w:rsidRDefault="00A00405" w:rsidP="00881509">
            <w:pPr>
              <w:jc w:val="center"/>
              <w:rPr>
                <w:b/>
                <w:sz w:val="20"/>
                <w:szCs w:val="20"/>
              </w:rPr>
            </w:pPr>
            <w:r w:rsidRPr="0010725E">
              <w:rPr>
                <w:b/>
                <w:sz w:val="20"/>
                <w:szCs w:val="20"/>
              </w:rPr>
              <w:t>(millions)</w:t>
            </w:r>
          </w:p>
        </w:tc>
        <w:tc>
          <w:tcPr>
            <w:tcW w:w="132" w:type="pct"/>
            <w:shd w:val="clear" w:color="auto" w:fill="BFBFBF" w:themeFill="background1" w:themeFillShade="BF"/>
            <w:vAlign w:val="center"/>
          </w:tcPr>
          <w:p w14:paraId="422DC623" w14:textId="77777777" w:rsidR="00A00405" w:rsidRPr="0010725E" w:rsidRDefault="00A00405" w:rsidP="00881509">
            <w:pPr>
              <w:jc w:val="center"/>
              <w:rPr>
                <w:b/>
                <w:sz w:val="20"/>
                <w:szCs w:val="20"/>
              </w:rPr>
            </w:pPr>
          </w:p>
        </w:tc>
        <w:tc>
          <w:tcPr>
            <w:tcW w:w="428" w:type="pct"/>
            <w:shd w:val="clear" w:color="auto" w:fill="BFBFBF" w:themeFill="background1" w:themeFillShade="BF"/>
            <w:vAlign w:val="center"/>
          </w:tcPr>
          <w:p w14:paraId="711703EE" w14:textId="77777777" w:rsidR="00A00405" w:rsidRPr="0010725E" w:rsidRDefault="00A00405" w:rsidP="00881509">
            <w:pPr>
              <w:jc w:val="center"/>
              <w:rPr>
                <w:b/>
                <w:sz w:val="20"/>
                <w:szCs w:val="20"/>
              </w:rPr>
            </w:pPr>
            <w:r w:rsidRPr="0010725E">
              <w:rPr>
                <w:b/>
                <w:sz w:val="20"/>
                <w:szCs w:val="20"/>
              </w:rPr>
              <w:t>%</w:t>
            </w:r>
          </w:p>
        </w:tc>
        <w:tc>
          <w:tcPr>
            <w:tcW w:w="148" w:type="pct"/>
            <w:shd w:val="clear" w:color="auto" w:fill="BFBFBF" w:themeFill="background1" w:themeFillShade="BF"/>
            <w:vAlign w:val="center"/>
          </w:tcPr>
          <w:p w14:paraId="1AFEABC9" w14:textId="77777777" w:rsidR="00A00405" w:rsidRPr="0010725E" w:rsidRDefault="00A00405" w:rsidP="00881509">
            <w:pPr>
              <w:jc w:val="center"/>
              <w:rPr>
                <w:b/>
                <w:sz w:val="20"/>
                <w:szCs w:val="20"/>
              </w:rPr>
            </w:pPr>
          </w:p>
        </w:tc>
        <w:tc>
          <w:tcPr>
            <w:tcW w:w="1563" w:type="pct"/>
            <w:gridSpan w:val="5"/>
            <w:shd w:val="clear" w:color="auto" w:fill="BFBFBF" w:themeFill="background1" w:themeFillShade="BF"/>
            <w:vAlign w:val="center"/>
          </w:tcPr>
          <w:p w14:paraId="37110E45" w14:textId="77777777" w:rsidR="00A00405" w:rsidRPr="0010725E" w:rsidRDefault="00A00405" w:rsidP="00881509">
            <w:pPr>
              <w:jc w:val="center"/>
              <w:rPr>
                <w:b/>
                <w:sz w:val="20"/>
                <w:szCs w:val="20"/>
              </w:rPr>
            </w:pPr>
            <w:r w:rsidRPr="0010725E">
              <w:rPr>
                <w:b/>
                <w:sz w:val="20"/>
                <w:szCs w:val="20"/>
              </w:rPr>
              <w:t>%</w:t>
            </w:r>
          </w:p>
        </w:tc>
        <w:tc>
          <w:tcPr>
            <w:tcW w:w="132" w:type="pct"/>
            <w:shd w:val="clear" w:color="auto" w:fill="BFBFBF" w:themeFill="background1" w:themeFillShade="BF"/>
            <w:vAlign w:val="center"/>
          </w:tcPr>
          <w:p w14:paraId="245D3526" w14:textId="77777777" w:rsidR="00A00405" w:rsidRPr="0010725E" w:rsidRDefault="00A00405" w:rsidP="00881509">
            <w:pPr>
              <w:jc w:val="center"/>
              <w:rPr>
                <w:b/>
                <w:sz w:val="20"/>
                <w:szCs w:val="20"/>
              </w:rPr>
            </w:pPr>
          </w:p>
        </w:tc>
        <w:tc>
          <w:tcPr>
            <w:tcW w:w="426" w:type="pct"/>
            <w:shd w:val="clear" w:color="auto" w:fill="BFBFBF" w:themeFill="background1" w:themeFillShade="BF"/>
            <w:vAlign w:val="center"/>
          </w:tcPr>
          <w:p w14:paraId="26CCC29B" w14:textId="77777777" w:rsidR="00A00405" w:rsidRPr="0010725E" w:rsidRDefault="00A00405" w:rsidP="00881509">
            <w:pPr>
              <w:jc w:val="center"/>
              <w:rPr>
                <w:b/>
                <w:sz w:val="20"/>
                <w:szCs w:val="20"/>
              </w:rPr>
            </w:pPr>
            <w:r w:rsidRPr="0010725E">
              <w:rPr>
                <w:b/>
                <w:sz w:val="20"/>
                <w:szCs w:val="20"/>
              </w:rPr>
              <w:t>%</w:t>
            </w:r>
          </w:p>
        </w:tc>
      </w:tr>
      <w:tr w:rsidR="00A00405" w:rsidRPr="0010725E" w14:paraId="2350F96F" w14:textId="77777777" w:rsidTr="0010725E">
        <w:trPr>
          <w:trHeight w:val="306"/>
        </w:trPr>
        <w:tc>
          <w:tcPr>
            <w:tcW w:w="524" w:type="pct"/>
            <w:shd w:val="clear" w:color="auto" w:fill="auto"/>
          </w:tcPr>
          <w:p w14:paraId="2EF69E14" w14:textId="77777777" w:rsidR="00A00405" w:rsidRPr="0010725E" w:rsidRDefault="00A00405" w:rsidP="00A00405">
            <w:pPr>
              <w:rPr>
                <w:b/>
                <w:sz w:val="20"/>
                <w:szCs w:val="20"/>
              </w:rPr>
            </w:pPr>
            <w:r w:rsidRPr="0010725E">
              <w:rPr>
                <w:b/>
                <w:sz w:val="20"/>
                <w:szCs w:val="20"/>
              </w:rPr>
              <w:t>North America</w:t>
            </w:r>
          </w:p>
        </w:tc>
        <w:tc>
          <w:tcPr>
            <w:tcW w:w="375" w:type="pct"/>
            <w:shd w:val="clear" w:color="auto" w:fill="auto"/>
          </w:tcPr>
          <w:p w14:paraId="461B27A7" w14:textId="77777777" w:rsidR="00A00405" w:rsidRPr="0010725E" w:rsidRDefault="00A00405" w:rsidP="00A00405">
            <w:pPr>
              <w:jc w:val="center"/>
              <w:rPr>
                <w:sz w:val="20"/>
                <w:szCs w:val="20"/>
              </w:rPr>
            </w:pPr>
          </w:p>
        </w:tc>
        <w:tc>
          <w:tcPr>
            <w:tcW w:w="331" w:type="pct"/>
            <w:shd w:val="clear" w:color="auto" w:fill="auto"/>
          </w:tcPr>
          <w:p w14:paraId="1ACD08F6" w14:textId="77777777" w:rsidR="00A00405" w:rsidRPr="0010725E" w:rsidRDefault="00A00405" w:rsidP="00A00405">
            <w:pPr>
              <w:jc w:val="center"/>
              <w:rPr>
                <w:sz w:val="20"/>
                <w:szCs w:val="20"/>
              </w:rPr>
            </w:pPr>
          </w:p>
        </w:tc>
        <w:tc>
          <w:tcPr>
            <w:tcW w:w="312" w:type="pct"/>
            <w:shd w:val="clear" w:color="auto" w:fill="auto"/>
          </w:tcPr>
          <w:p w14:paraId="46DD904C" w14:textId="77777777" w:rsidR="00A00405" w:rsidRPr="0010725E" w:rsidRDefault="00A00405" w:rsidP="00A00405">
            <w:pPr>
              <w:jc w:val="center"/>
              <w:rPr>
                <w:sz w:val="20"/>
                <w:szCs w:val="20"/>
              </w:rPr>
            </w:pPr>
          </w:p>
        </w:tc>
        <w:tc>
          <w:tcPr>
            <w:tcW w:w="312" w:type="pct"/>
            <w:shd w:val="clear" w:color="auto" w:fill="auto"/>
          </w:tcPr>
          <w:p w14:paraId="3CF57FA9" w14:textId="77777777" w:rsidR="00A00405" w:rsidRPr="0010725E" w:rsidRDefault="00A00405" w:rsidP="00A00405">
            <w:pPr>
              <w:jc w:val="center"/>
              <w:rPr>
                <w:sz w:val="20"/>
                <w:szCs w:val="20"/>
              </w:rPr>
            </w:pPr>
          </w:p>
        </w:tc>
        <w:tc>
          <w:tcPr>
            <w:tcW w:w="316" w:type="pct"/>
            <w:shd w:val="clear" w:color="auto" w:fill="auto"/>
          </w:tcPr>
          <w:p w14:paraId="312F5E3F" w14:textId="77777777" w:rsidR="00A00405" w:rsidRPr="0010725E" w:rsidRDefault="00A00405" w:rsidP="00A00405">
            <w:pPr>
              <w:jc w:val="center"/>
              <w:rPr>
                <w:sz w:val="20"/>
                <w:szCs w:val="20"/>
              </w:rPr>
            </w:pPr>
          </w:p>
        </w:tc>
        <w:tc>
          <w:tcPr>
            <w:tcW w:w="132" w:type="pct"/>
            <w:shd w:val="clear" w:color="auto" w:fill="auto"/>
          </w:tcPr>
          <w:p w14:paraId="013F674A" w14:textId="77777777" w:rsidR="00A00405" w:rsidRPr="0010725E" w:rsidRDefault="00A00405" w:rsidP="00A00405">
            <w:pPr>
              <w:jc w:val="center"/>
              <w:rPr>
                <w:sz w:val="20"/>
                <w:szCs w:val="20"/>
              </w:rPr>
            </w:pPr>
          </w:p>
        </w:tc>
        <w:tc>
          <w:tcPr>
            <w:tcW w:w="428" w:type="pct"/>
            <w:shd w:val="clear" w:color="auto" w:fill="auto"/>
          </w:tcPr>
          <w:p w14:paraId="786A3189" w14:textId="77777777" w:rsidR="00A00405" w:rsidRPr="0010725E" w:rsidRDefault="00A00405" w:rsidP="00A00405">
            <w:pPr>
              <w:jc w:val="center"/>
              <w:rPr>
                <w:sz w:val="20"/>
                <w:szCs w:val="20"/>
              </w:rPr>
            </w:pPr>
          </w:p>
        </w:tc>
        <w:tc>
          <w:tcPr>
            <w:tcW w:w="148" w:type="pct"/>
            <w:shd w:val="clear" w:color="auto" w:fill="auto"/>
          </w:tcPr>
          <w:p w14:paraId="1CFB42B1" w14:textId="77777777" w:rsidR="00A00405" w:rsidRPr="0010725E" w:rsidRDefault="00A00405" w:rsidP="00A00405">
            <w:pPr>
              <w:jc w:val="center"/>
              <w:rPr>
                <w:sz w:val="20"/>
                <w:szCs w:val="20"/>
              </w:rPr>
            </w:pPr>
          </w:p>
        </w:tc>
        <w:tc>
          <w:tcPr>
            <w:tcW w:w="312" w:type="pct"/>
            <w:shd w:val="clear" w:color="auto" w:fill="auto"/>
          </w:tcPr>
          <w:p w14:paraId="6E3A514C" w14:textId="77777777" w:rsidR="00A00405" w:rsidRPr="0010725E" w:rsidRDefault="00A00405" w:rsidP="00A00405">
            <w:pPr>
              <w:jc w:val="center"/>
              <w:rPr>
                <w:sz w:val="20"/>
                <w:szCs w:val="20"/>
              </w:rPr>
            </w:pPr>
            <w:r w:rsidRPr="0010725E">
              <w:rPr>
                <w:sz w:val="20"/>
                <w:szCs w:val="20"/>
              </w:rPr>
              <w:t>&lt;5.0</w:t>
            </w:r>
          </w:p>
        </w:tc>
        <w:tc>
          <w:tcPr>
            <w:tcW w:w="312" w:type="pct"/>
            <w:shd w:val="clear" w:color="auto" w:fill="auto"/>
          </w:tcPr>
          <w:p w14:paraId="4E4DB803" w14:textId="77777777" w:rsidR="00A00405" w:rsidRPr="0010725E" w:rsidRDefault="00A00405" w:rsidP="00A00405">
            <w:pPr>
              <w:jc w:val="center"/>
              <w:rPr>
                <w:sz w:val="20"/>
                <w:szCs w:val="20"/>
              </w:rPr>
            </w:pPr>
            <w:r w:rsidRPr="0010725E">
              <w:rPr>
                <w:sz w:val="20"/>
                <w:szCs w:val="20"/>
              </w:rPr>
              <w:t>&lt;5.0</w:t>
            </w:r>
          </w:p>
        </w:tc>
        <w:tc>
          <w:tcPr>
            <w:tcW w:w="312" w:type="pct"/>
            <w:shd w:val="clear" w:color="auto" w:fill="auto"/>
          </w:tcPr>
          <w:p w14:paraId="1699180B" w14:textId="77777777" w:rsidR="00A00405" w:rsidRPr="0010725E" w:rsidRDefault="00A00405" w:rsidP="00A00405">
            <w:pPr>
              <w:jc w:val="center"/>
              <w:rPr>
                <w:sz w:val="20"/>
                <w:szCs w:val="20"/>
              </w:rPr>
            </w:pPr>
            <w:r w:rsidRPr="0010725E">
              <w:rPr>
                <w:sz w:val="20"/>
                <w:szCs w:val="20"/>
              </w:rPr>
              <w:t>&lt;5.0</w:t>
            </w:r>
          </w:p>
        </w:tc>
        <w:tc>
          <w:tcPr>
            <w:tcW w:w="312" w:type="pct"/>
            <w:shd w:val="clear" w:color="auto" w:fill="auto"/>
          </w:tcPr>
          <w:p w14:paraId="0A3C2661" w14:textId="77777777" w:rsidR="00A00405" w:rsidRPr="0010725E" w:rsidRDefault="00A00405" w:rsidP="00A00405">
            <w:pPr>
              <w:jc w:val="center"/>
              <w:rPr>
                <w:sz w:val="20"/>
                <w:szCs w:val="20"/>
              </w:rPr>
            </w:pPr>
            <w:r w:rsidRPr="0010725E">
              <w:rPr>
                <w:sz w:val="20"/>
                <w:szCs w:val="20"/>
              </w:rPr>
              <w:t>&lt;5.0</w:t>
            </w:r>
          </w:p>
        </w:tc>
        <w:tc>
          <w:tcPr>
            <w:tcW w:w="315" w:type="pct"/>
            <w:shd w:val="clear" w:color="auto" w:fill="auto"/>
          </w:tcPr>
          <w:p w14:paraId="40991C8C" w14:textId="77777777" w:rsidR="00A00405" w:rsidRPr="0010725E" w:rsidRDefault="00A00405" w:rsidP="00A00405">
            <w:pPr>
              <w:jc w:val="center"/>
              <w:rPr>
                <w:sz w:val="20"/>
                <w:szCs w:val="20"/>
              </w:rPr>
            </w:pPr>
            <w:r w:rsidRPr="0010725E">
              <w:rPr>
                <w:sz w:val="20"/>
                <w:szCs w:val="20"/>
              </w:rPr>
              <w:t>&lt;5.0</w:t>
            </w:r>
          </w:p>
        </w:tc>
        <w:tc>
          <w:tcPr>
            <w:tcW w:w="132" w:type="pct"/>
            <w:shd w:val="clear" w:color="auto" w:fill="auto"/>
          </w:tcPr>
          <w:p w14:paraId="4CE9015F" w14:textId="77777777" w:rsidR="00A00405" w:rsidRPr="0010725E" w:rsidRDefault="00A00405" w:rsidP="00A00405">
            <w:pPr>
              <w:jc w:val="center"/>
              <w:rPr>
                <w:b/>
                <w:sz w:val="20"/>
                <w:szCs w:val="20"/>
              </w:rPr>
            </w:pPr>
          </w:p>
        </w:tc>
        <w:tc>
          <w:tcPr>
            <w:tcW w:w="426" w:type="pct"/>
            <w:shd w:val="clear" w:color="auto" w:fill="auto"/>
          </w:tcPr>
          <w:p w14:paraId="21E6838A" w14:textId="77777777" w:rsidR="00A00405" w:rsidRPr="0010725E" w:rsidRDefault="00A00405" w:rsidP="00A00405">
            <w:pPr>
              <w:jc w:val="center"/>
              <w:rPr>
                <w:b/>
                <w:sz w:val="20"/>
                <w:szCs w:val="20"/>
              </w:rPr>
            </w:pPr>
            <w:r w:rsidRPr="0010725E">
              <w:rPr>
                <w:sz w:val="20"/>
                <w:szCs w:val="20"/>
              </w:rPr>
              <w:t>na</w:t>
            </w:r>
          </w:p>
        </w:tc>
      </w:tr>
      <w:tr w:rsidR="00A00405" w:rsidRPr="0010725E" w14:paraId="11A39E3B" w14:textId="77777777" w:rsidTr="0010725E">
        <w:trPr>
          <w:trHeight w:val="306"/>
        </w:trPr>
        <w:tc>
          <w:tcPr>
            <w:tcW w:w="524" w:type="pct"/>
            <w:shd w:val="clear" w:color="auto" w:fill="auto"/>
          </w:tcPr>
          <w:p w14:paraId="747DE8EB" w14:textId="77777777" w:rsidR="00A00405" w:rsidRPr="0010725E" w:rsidRDefault="00A00405" w:rsidP="00A00405">
            <w:pPr>
              <w:rPr>
                <w:b/>
                <w:sz w:val="20"/>
                <w:szCs w:val="20"/>
              </w:rPr>
            </w:pPr>
            <w:r w:rsidRPr="0010725E">
              <w:rPr>
                <w:b/>
                <w:sz w:val="20"/>
                <w:szCs w:val="20"/>
              </w:rPr>
              <w:t>Mesoamerica</w:t>
            </w:r>
          </w:p>
        </w:tc>
        <w:tc>
          <w:tcPr>
            <w:tcW w:w="375" w:type="pct"/>
            <w:shd w:val="clear" w:color="auto" w:fill="auto"/>
          </w:tcPr>
          <w:p w14:paraId="1D5D7828" w14:textId="77777777" w:rsidR="00A00405" w:rsidRPr="0010725E" w:rsidRDefault="00A00405" w:rsidP="00A00405">
            <w:pPr>
              <w:jc w:val="center"/>
              <w:rPr>
                <w:sz w:val="20"/>
                <w:szCs w:val="20"/>
              </w:rPr>
            </w:pPr>
            <w:r w:rsidRPr="0010725E">
              <w:rPr>
                <w:sz w:val="20"/>
                <w:szCs w:val="20"/>
              </w:rPr>
              <w:t>12.6</w:t>
            </w:r>
          </w:p>
        </w:tc>
        <w:tc>
          <w:tcPr>
            <w:tcW w:w="331" w:type="pct"/>
            <w:shd w:val="clear" w:color="auto" w:fill="auto"/>
          </w:tcPr>
          <w:p w14:paraId="25D768E1" w14:textId="77777777" w:rsidR="00A00405" w:rsidRPr="0010725E" w:rsidRDefault="00A00405" w:rsidP="00A00405">
            <w:pPr>
              <w:jc w:val="center"/>
              <w:rPr>
                <w:sz w:val="20"/>
                <w:szCs w:val="20"/>
              </w:rPr>
            </w:pPr>
            <w:r w:rsidRPr="0010725E">
              <w:rPr>
                <w:sz w:val="20"/>
                <w:szCs w:val="20"/>
              </w:rPr>
              <w:t>11.8</w:t>
            </w:r>
          </w:p>
        </w:tc>
        <w:tc>
          <w:tcPr>
            <w:tcW w:w="312" w:type="pct"/>
            <w:shd w:val="clear" w:color="auto" w:fill="auto"/>
          </w:tcPr>
          <w:p w14:paraId="53DF4B1E" w14:textId="77777777" w:rsidR="00A00405" w:rsidRPr="0010725E" w:rsidRDefault="00A00405" w:rsidP="00A00405">
            <w:pPr>
              <w:jc w:val="center"/>
              <w:rPr>
                <w:sz w:val="20"/>
                <w:szCs w:val="20"/>
              </w:rPr>
            </w:pPr>
            <w:r w:rsidRPr="0010725E">
              <w:rPr>
                <w:sz w:val="20"/>
                <w:szCs w:val="20"/>
              </w:rPr>
              <w:t>11.6</w:t>
            </w:r>
          </w:p>
        </w:tc>
        <w:tc>
          <w:tcPr>
            <w:tcW w:w="312" w:type="pct"/>
            <w:shd w:val="clear" w:color="auto" w:fill="auto"/>
          </w:tcPr>
          <w:p w14:paraId="38518D66" w14:textId="77777777" w:rsidR="00A00405" w:rsidRPr="0010725E" w:rsidRDefault="00A00405" w:rsidP="00A00405">
            <w:pPr>
              <w:jc w:val="center"/>
              <w:rPr>
                <w:sz w:val="20"/>
                <w:szCs w:val="20"/>
              </w:rPr>
            </w:pPr>
            <w:r w:rsidRPr="0010725E">
              <w:rPr>
                <w:sz w:val="20"/>
                <w:szCs w:val="20"/>
              </w:rPr>
              <w:t>11.3</w:t>
            </w:r>
          </w:p>
        </w:tc>
        <w:tc>
          <w:tcPr>
            <w:tcW w:w="316" w:type="pct"/>
            <w:shd w:val="clear" w:color="auto" w:fill="auto"/>
          </w:tcPr>
          <w:p w14:paraId="2BAA512E" w14:textId="77777777" w:rsidR="00A00405" w:rsidRPr="0010725E" w:rsidRDefault="00A00405" w:rsidP="00A00405">
            <w:pPr>
              <w:jc w:val="center"/>
              <w:rPr>
                <w:sz w:val="20"/>
                <w:szCs w:val="20"/>
              </w:rPr>
            </w:pPr>
            <w:r w:rsidRPr="0010725E">
              <w:rPr>
                <w:sz w:val="20"/>
                <w:szCs w:val="20"/>
              </w:rPr>
              <w:t>11.4</w:t>
            </w:r>
          </w:p>
        </w:tc>
        <w:tc>
          <w:tcPr>
            <w:tcW w:w="132" w:type="pct"/>
            <w:shd w:val="clear" w:color="auto" w:fill="auto"/>
          </w:tcPr>
          <w:p w14:paraId="3FF9245B" w14:textId="77777777" w:rsidR="00A00405" w:rsidRPr="0010725E" w:rsidRDefault="00A00405" w:rsidP="00A00405">
            <w:pPr>
              <w:jc w:val="center"/>
              <w:rPr>
                <w:sz w:val="20"/>
                <w:szCs w:val="20"/>
              </w:rPr>
            </w:pPr>
          </w:p>
        </w:tc>
        <w:tc>
          <w:tcPr>
            <w:tcW w:w="428" w:type="pct"/>
            <w:shd w:val="clear" w:color="auto" w:fill="auto"/>
          </w:tcPr>
          <w:p w14:paraId="53F49E4F" w14:textId="77777777" w:rsidR="00A00405" w:rsidRPr="0010725E" w:rsidRDefault="00A00405" w:rsidP="00A00405">
            <w:pPr>
              <w:jc w:val="center"/>
              <w:rPr>
                <w:sz w:val="20"/>
                <w:szCs w:val="20"/>
              </w:rPr>
            </w:pPr>
            <w:r w:rsidRPr="0010725E">
              <w:rPr>
                <w:sz w:val="20"/>
                <w:szCs w:val="20"/>
              </w:rPr>
              <w:t>–9.6</w:t>
            </w:r>
          </w:p>
        </w:tc>
        <w:tc>
          <w:tcPr>
            <w:tcW w:w="148" w:type="pct"/>
            <w:shd w:val="clear" w:color="auto" w:fill="auto"/>
          </w:tcPr>
          <w:p w14:paraId="6A6A2213" w14:textId="77777777" w:rsidR="00A00405" w:rsidRPr="0010725E" w:rsidRDefault="00A00405" w:rsidP="00A00405">
            <w:pPr>
              <w:jc w:val="center"/>
              <w:rPr>
                <w:sz w:val="20"/>
                <w:szCs w:val="20"/>
              </w:rPr>
            </w:pPr>
          </w:p>
        </w:tc>
        <w:tc>
          <w:tcPr>
            <w:tcW w:w="312" w:type="pct"/>
            <w:shd w:val="clear" w:color="auto" w:fill="auto"/>
          </w:tcPr>
          <w:p w14:paraId="04AA29E4" w14:textId="77777777" w:rsidR="00A00405" w:rsidRPr="0010725E" w:rsidRDefault="00A00405" w:rsidP="00A00405">
            <w:pPr>
              <w:jc w:val="center"/>
              <w:rPr>
                <w:sz w:val="20"/>
                <w:szCs w:val="20"/>
              </w:rPr>
            </w:pPr>
            <w:r w:rsidRPr="0010725E">
              <w:rPr>
                <w:sz w:val="20"/>
                <w:szCs w:val="20"/>
              </w:rPr>
              <w:t>10.7</w:t>
            </w:r>
          </w:p>
        </w:tc>
        <w:tc>
          <w:tcPr>
            <w:tcW w:w="312" w:type="pct"/>
            <w:shd w:val="clear" w:color="auto" w:fill="auto"/>
          </w:tcPr>
          <w:p w14:paraId="0F15D464" w14:textId="77777777" w:rsidR="00A00405" w:rsidRPr="0010725E" w:rsidRDefault="00A00405" w:rsidP="00A00405">
            <w:pPr>
              <w:jc w:val="center"/>
              <w:rPr>
                <w:sz w:val="20"/>
                <w:szCs w:val="20"/>
              </w:rPr>
            </w:pPr>
            <w:r w:rsidRPr="0010725E">
              <w:rPr>
                <w:sz w:val="20"/>
                <w:szCs w:val="20"/>
              </w:rPr>
              <w:t>8.3</w:t>
            </w:r>
          </w:p>
        </w:tc>
        <w:tc>
          <w:tcPr>
            <w:tcW w:w="312" w:type="pct"/>
            <w:shd w:val="clear" w:color="auto" w:fill="auto"/>
          </w:tcPr>
          <w:p w14:paraId="5381BB85" w14:textId="77777777" w:rsidR="00A00405" w:rsidRPr="0010725E" w:rsidRDefault="00A00405" w:rsidP="00A00405">
            <w:pPr>
              <w:jc w:val="center"/>
              <w:rPr>
                <w:sz w:val="20"/>
                <w:szCs w:val="20"/>
              </w:rPr>
            </w:pPr>
            <w:r w:rsidRPr="0010725E">
              <w:rPr>
                <w:sz w:val="20"/>
                <w:szCs w:val="20"/>
              </w:rPr>
              <w:t>7.6</w:t>
            </w:r>
          </w:p>
        </w:tc>
        <w:tc>
          <w:tcPr>
            <w:tcW w:w="312" w:type="pct"/>
            <w:shd w:val="clear" w:color="auto" w:fill="auto"/>
          </w:tcPr>
          <w:p w14:paraId="3303CA30" w14:textId="77777777" w:rsidR="00A00405" w:rsidRPr="0010725E" w:rsidRDefault="00A00405" w:rsidP="00A00405">
            <w:pPr>
              <w:jc w:val="center"/>
              <w:rPr>
                <w:sz w:val="20"/>
                <w:szCs w:val="20"/>
              </w:rPr>
            </w:pPr>
            <w:r w:rsidRPr="0010725E">
              <w:rPr>
                <w:sz w:val="20"/>
                <w:szCs w:val="20"/>
              </w:rPr>
              <w:t>6.9</w:t>
            </w:r>
          </w:p>
        </w:tc>
        <w:tc>
          <w:tcPr>
            <w:tcW w:w="315" w:type="pct"/>
            <w:shd w:val="clear" w:color="auto" w:fill="auto"/>
          </w:tcPr>
          <w:p w14:paraId="33706A5B" w14:textId="77777777" w:rsidR="00A00405" w:rsidRPr="0010725E" w:rsidRDefault="00A00405" w:rsidP="00A00405">
            <w:pPr>
              <w:jc w:val="center"/>
              <w:rPr>
                <w:sz w:val="20"/>
                <w:szCs w:val="20"/>
              </w:rPr>
            </w:pPr>
            <w:r w:rsidRPr="0010725E">
              <w:rPr>
                <w:sz w:val="20"/>
                <w:szCs w:val="20"/>
              </w:rPr>
              <w:t>6.6</w:t>
            </w:r>
          </w:p>
        </w:tc>
        <w:tc>
          <w:tcPr>
            <w:tcW w:w="132" w:type="pct"/>
            <w:shd w:val="clear" w:color="auto" w:fill="auto"/>
          </w:tcPr>
          <w:p w14:paraId="7AACF381" w14:textId="77777777" w:rsidR="00A00405" w:rsidRPr="0010725E" w:rsidRDefault="00A00405" w:rsidP="00A00405">
            <w:pPr>
              <w:jc w:val="center"/>
              <w:rPr>
                <w:b/>
                <w:sz w:val="20"/>
                <w:szCs w:val="20"/>
              </w:rPr>
            </w:pPr>
          </w:p>
        </w:tc>
        <w:tc>
          <w:tcPr>
            <w:tcW w:w="426" w:type="pct"/>
            <w:shd w:val="clear" w:color="auto" w:fill="auto"/>
          </w:tcPr>
          <w:p w14:paraId="5806A2E2" w14:textId="77777777" w:rsidR="00A00405" w:rsidRPr="0010725E" w:rsidRDefault="00A00405" w:rsidP="00A00405">
            <w:pPr>
              <w:jc w:val="center"/>
              <w:rPr>
                <w:b/>
                <w:sz w:val="20"/>
                <w:szCs w:val="20"/>
              </w:rPr>
            </w:pPr>
            <w:r w:rsidRPr="0010725E">
              <w:rPr>
                <w:b/>
                <w:sz w:val="20"/>
                <w:szCs w:val="20"/>
              </w:rPr>
              <w:t>–38.2</w:t>
            </w:r>
          </w:p>
        </w:tc>
      </w:tr>
      <w:tr w:rsidR="00A00405" w:rsidRPr="0010725E" w14:paraId="099485DA" w14:textId="77777777" w:rsidTr="0010725E">
        <w:trPr>
          <w:trHeight w:val="306"/>
        </w:trPr>
        <w:tc>
          <w:tcPr>
            <w:tcW w:w="524" w:type="pct"/>
            <w:shd w:val="clear" w:color="auto" w:fill="auto"/>
          </w:tcPr>
          <w:p w14:paraId="4CFA0703" w14:textId="77777777" w:rsidR="00A00405" w:rsidRPr="0010725E" w:rsidRDefault="00A00405" w:rsidP="00A00405">
            <w:pPr>
              <w:rPr>
                <w:b/>
                <w:sz w:val="20"/>
                <w:szCs w:val="20"/>
              </w:rPr>
            </w:pPr>
            <w:r w:rsidRPr="0010725E">
              <w:rPr>
                <w:b/>
                <w:sz w:val="20"/>
                <w:szCs w:val="20"/>
              </w:rPr>
              <w:t>Caribbean</w:t>
            </w:r>
          </w:p>
        </w:tc>
        <w:tc>
          <w:tcPr>
            <w:tcW w:w="375" w:type="pct"/>
            <w:shd w:val="clear" w:color="auto" w:fill="auto"/>
          </w:tcPr>
          <w:p w14:paraId="2EEBE62B" w14:textId="77777777" w:rsidR="00A00405" w:rsidRPr="0010725E" w:rsidRDefault="00A00405" w:rsidP="00A00405">
            <w:pPr>
              <w:jc w:val="center"/>
              <w:rPr>
                <w:sz w:val="20"/>
                <w:szCs w:val="20"/>
              </w:rPr>
            </w:pPr>
            <w:r w:rsidRPr="0010725E">
              <w:rPr>
                <w:sz w:val="20"/>
                <w:szCs w:val="20"/>
              </w:rPr>
              <w:t>8.1</w:t>
            </w:r>
          </w:p>
        </w:tc>
        <w:tc>
          <w:tcPr>
            <w:tcW w:w="331" w:type="pct"/>
            <w:shd w:val="clear" w:color="auto" w:fill="auto"/>
          </w:tcPr>
          <w:p w14:paraId="2AE9BE90" w14:textId="77777777" w:rsidR="00A00405" w:rsidRPr="0010725E" w:rsidRDefault="00A00405" w:rsidP="00A00405">
            <w:pPr>
              <w:jc w:val="center"/>
              <w:rPr>
                <w:sz w:val="20"/>
                <w:szCs w:val="20"/>
              </w:rPr>
            </w:pPr>
            <w:r w:rsidRPr="0010725E">
              <w:rPr>
                <w:sz w:val="20"/>
                <w:szCs w:val="20"/>
              </w:rPr>
              <w:t>8.2</w:t>
            </w:r>
          </w:p>
        </w:tc>
        <w:tc>
          <w:tcPr>
            <w:tcW w:w="312" w:type="pct"/>
            <w:shd w:val="clear" w:color="auto" w:fill="auto"/>
          </w:tcPr>
          <w:p w14:paraId="644063F7" w14:textId="77777777" w:rsidR="00A00405" w:rsidRPr="0010725E" w:rsidRDefault="00A00405" w:rsidP="00A00405">
            <w:pPr>
              <w:jc w:val="center"/>
              <w:rPr>
                <w:sz w:val="20"/>
                <w:szCs w:val="20"/>
              </w:rPr>
            </w:pPr>
            <w:r w:rsidRPr="0010725E">
              <w:rPr>
                <w:sz w:val="20"/>
                <w:szCs w:val="20"/>
              </w:rPr>
              <w:t>8.3</w:t>
            </w:r>
          </w:p>
        </w:tc>
        <w:tc>
          <w:tcPr>
            <w:tcW w:w="312" w:type="pct"/>
            <w:shd w:val="clear" w:color="auto" w:fill="auto"/>
          </w:tcPr>
          <w:p w14:paraId="1547E9C7" w14:textId="77777777" w:rsidR="00A00405" w:rsidRPr="0010725E" w:rsidRDefault="00A00405" w:rsidP="00A00405">
            <w:pPr>
              <w:jc w:val="center"/>
              <w:rPr>
                <w:sz w:val="20"/>
                <w:szCs w:val="20"/>
              </w:rPr>
            </w:pPr>
            <w:r w:rsidRPr="0010725E">
              <w:rPr>
                <w:sz w:val="20"/>
                <w:szCs w:val="20"/>
              </w:rPr>
              <w:t>7.3</w:t>
            </w:r>
          </w:p>
        </w:tc>
        <w:tc>
          <w:tcPr>
            <w:tcW w:w="316" w:type="pct"/>
            <w:shd w:val="clear" w:color="auto" w:fill="auto"/>
          </w:tcPr>
          <w:p w14:paraId="02E0321E" w14:textId="77777777" w:rsidR="00A00405" w:rsidRPr="0010725E" w:rsidRDefault="00A00405" w:rsidP="00A00405">
            <w:pPr>
              <w:jc w:val="center"/>
              <w:rPr>
                <w:sz w:val="20"/>
                <w:szCs w:val="20"/>
              </w:rPr>
            </w:pPr>
            <w:r w:rsidRPr="0010725E">
              <w:rPr>
                <w:sz w:val="20"/>
                <w:szCs w:val="20"/>
              </w:rPr>
              <w:t>7.5</w:t>
            </w:r>
          </w:p>
        </w:tc>
        <w:tc>
          <w:tcPr>
            <w:tcW w:w="132" w:type="pct"/>
            <w:shd w:val="clear" w:color="auto" w:fill="auto"/>
          </w:tcPr>
          <w:p w14:paraId="6DEF4C90" w14:textId="77777777" w:rsidR="00A00405" w:rsidRPr="0010725E" w:rsidRDefault="00A00405" w:rsidP="00A00405">
            <w:pPr>
              <w:jc w:val="center"/>
              <w:rPr>
                <w:sz w:val="20"/>
                <w:szCs w:val="20"/>
              </w:rPr>
            </w:pPr>
          </w:p>
        </w:tc>
        <w:tc>
          <w:tcPr>
            <w:tcW w:w="428" w:type="pct"/>
            <w:shd w:val="clear" w:color="auto" w:fill="auto"/>
          </w:tcPr>
          <w:p w14:paraId="10591BD7" w14:textId="77777777" w:rsidR="00A00405" w:rsidRPr="0010725E" w:rsidRDefault="00A00405" w:rsidP="00A00405">
            <w:pPr>
              <w:jc w:val="center"/>
              <w:rPr>
                <w:sz w:val="20"/>
                <w:szCs w:val="20"/>
              </w:rPr>
            </w:pPr>
            <w:r w:rsidRPr="0010725E">
              <w:rPr>
                <w:sz w:val="20"/>
                <w:szCs w:val="20"/>
              </w:rPr>
              <w:t>–7.2</w:t>
            </w:r>
          </w:p>
        </w:tc>
        <w:tc>
          <w:tcPr>
            <w:tcW w:w="148" w:type="pct"/>
            <w:shd w:val="clear" w:color="auto" w:fill="auto"/>
          </w:tcPr>
          <w:p w14:paraId="458DC452" w14:textId="77777777" w:rsidR="00A00405" w:rsidRPr="0010725E" w:rsidRDefault="00A00405" w:rsidP="00A00405">
            <w:pPr>
              <w:jc w:val="center"/>
              <w:rPr>
                <w:sz w:val="20"/>
                <w:szCs w:val="20"/>
              </w:rPr>
            </w:pPr>
          </w:p>
        </w:tc>
        <w:tc>
          <w:tcPr>
            <w:tcW w:w="312" w:type="pct"/>
            <w:shd w:val="clear" w:color="auto" w:fill="auto"/>
          </w:tcPr>
          <w:p w14:paraId="6AB166FC" w14:textId="77777777" w:rsidR="00A00405" w:rsidRPr="0010725E" w:rsidRDefault="00A00405" w:rsidP="00A00405">
            <w:pPr>
              <w:jc w:val="center"/>
              <w:rPr>
                <w:sz w:val="20"/>
                <w:szCs w:val="20"/>
              </w:rPr>
            </w:pPr>
            <w:r w:rsidRPr="0010725E">
              <w:rPr>
                <w:sz w:val="20"/>
                <w:szCs w:val="20"/>
              </w:rPr>
              <w:t>27</w:t>
            </w:r>
          </w:p>
        </w:tc>
        <w:tc>
          <w:tcPr>
            <w:tcW w:w="312" w:type="pct"/>
            <w:shd w:val="clear" w:color="auto" w:fill="auto"/>
          </w:tcPr>
          <w:p w14:paraId="32C8D2A6" w14:textId="77777777" w:rsidR="00A00405" w:rsidRPr="0010725E" w:rsidRDefault="00A00405" w:rsidP="00A00405">
            <w:pPr>
              <w:jc w:val="center"/>
              <w:rPr>
                <w:sz w:val="20"/>
                <w:szCs w:val="20"/>
              </w:rPr>
            </w:pPr>
            <w:r w:rsidRPr="0010725E">
              <w:rPr>
                <w:sz w:val="20"/>
                <w:szCs w:val="20"/>
              </w:rPr>
              <w:t>24.4</w:t>
            </w:r>
          </w:p>
        </w:tc>
        <w:tc>
          <w:tcPr>
            <w:tcW w:w="312" w:type="pct"/>
            <w:shd w:val="clear" w:color="auto" w:fill="auto"/>
          </w:tcPr>
          <w:p w14:paraId="5D4602DE" w14:textId="77777777" w:rsidR="00A00405" w:rsidRPr="0010725E" w:rsidRDefault="00A00405" w:rsidP="00A00405">
            <w:pPr>
              <w:jc w:val="center"/>
              <w:rPr>
                <w:sz w:val="20"/>
                <w:szCs w:val="20"/>
              </w:rPr>
            </w:pPr>
            <w:r w:rsidRPr="0010725E">
              <w:rPr>
                <w:sz w:val="20"/>
                <w:szCs w:val="20"/>
              </w:rPr>
              <w:t>23.5</w:t>
            </w:r>
          </w:p>
        </w:tc>
        <w:tc>
          <w:tcPr>
            <w:tcW w:w="312" w:type="pct"/>
            <w:shd w:val="clear" w:color="auto" w:fill="auto"/>
          </w:tcPr>
          <w:p w14:paraId="61E8F34F" w14:textId="77777777" w:rsidR="00A00405" w:rsidRPr="0010725E" w:rsidRDefault="00A00405" w:rsidP="00A00405">
            <w:pPr>
              <w:jc w:val="center"/>
              <w:rPr>
                <w:sz w:val="20"/>
                <w:szCs w:val="20"/>
              </w:rPr>
            </w:pPr>
            <w:r w:rsidRPr="0010725E">
              <w:rPr>
                <w:sz w:val="20"/>
                <w:szCs w:val="20"/>
              </w:rPr>
              <w:t>19.8</w:t>
            </w:r>
          </w:p>
        </w:tc>
        <w:tc>
          <w:tcPr>
            <w:tcW w:w="315" w:type="pct"/>
            <w:shd w:val="clear" w:color="auto" w:fill="auto"/>
          </w:tcPr>
          <w:p w14:paraId="40CB16C9" w14:textId="77777777" w:rsidR="00A00405" w:rsidRPr="0010725E" w:rsidRDefault="00A00405" w:rsidP="00A00405">
            <w:pPr>
              <w:jc w:val="center"/>
              <w:rPr>
                <w:sz w:val="20"/>
                <w:szCs w:val="20"/>
              </w:rPr>
            </w:pPr>
            <w:r w:rsidRPr="0010725E">
              <w:rPr>
                <w:sz w:val="20"/>
                <w:szCs w:val="20"/>
              </w:rPr>
              <w:t>19.8</w:t>
            </w:r>
          </w:p>
        </w:tc>
        <w:tc>
          <w:tcPr>
            <w:tcW w:w="132" w:type="pct"/>
            <w:shd w:val="clear" w:color="auto" w:fill="auto"/>
          </w:tcPr>
          <w:p w14:paraId="4A35E4E0" w14:textId="77777777" w:rsidR="00A00405" w:rsidRPr="0010725E" w:rsidRDefault="00A00405" w:rsidP="00A00405">
            <w:pPr>
              <w:jc w:val="center"/>
              <w:rPr>
                <w:b/>
                <w:sz w:val="20"/>
                <w:szCs w:val="20"/>
              </w:rPr>
            </w:pPr>
          </w:p>
        </w:tc>
        <w:tc>
          <w:tcPr>
            <w:tcW w:w="426" w:type="pct"/>
            <w:shd w:val="clear" w:color="auto" w:fill="auto"/>
          </w:tcPr>
          <w:p w14:paraId="109A46A3" w14:textId="77777777" w:rsidR="00A00405" w:rsidRPr="0010725E" w:rsidRDefault="00A00405" w:rsidP="00A00405">
            <w:pPr>
              <w:jc w:val="center"/>
              <w:rPr>
                <w:b/>
                <w:sz w:val="20"/>
                <w:szCs w:val="20"/>
              </w:rPr>
            </w:pPr>
            <w:r w:rsidRPr="0010725E">
              <w:rPr>
                <w:b/>
                <w:sz w:val="20"/>
                <w:szCs w:val="20"/>
              </w:rPr>
              <w:t>–26.6</w:t>
            </w:r>
          </w:p>
        </w:tc>
      </w:tr>
      <w:tr w:rsidR="00A00405" w:rsidRPr="0010725E" w14:paraId="7D96F3F6" w14:textId="77777777" w:rsidTr="0010725E">
        <w:trPr>
          <w:trHeight w:val="306"/>
        </w:trPr>
        <w:tc>
          <w:tcPr>
            <w:tcW w:w="524" w:type="pct"/>
            <w:shd w:val="clear" w:color="auto" w:fill="auto"/>
          </w:tcPr>
          <w:p w14:paraId="21DFBD3C" w14:textId="77777777" w:rsidR="00A00405" w:rsidRPr="0010725E" w:rsidRDefault="00A00405" w:rsidP="00A00405">
            <w:pPr>
              <w:rPr>
                <w:b/>
                <w:sz w:val="20"/>
                <w:szCs w:val="20"/>
              </w:rPr>
            </w:pPr>
            <w:r w:rsidRPr="0010725E">
              <w:rPr>
                <w:b/>
                <w:sz w:val="20"/>
                <w:szCs w:val="20"/>
              </w:rPr>
              <w:t>South America</w:t>
            </w:r>
          </w:p>
        </w:tc>
        <w:tc>
          <w:tcPr>
            <w:tcW w:w="375" w:type="pct"/>
            <w:shd w:val="clear" w:color="auto" w:fill="auto"/>
          </w:tcPr>
          <w:p w14:paraId="1F6B73C0" w14:textId="77777777" w:rsidR="00A00405" w:rsidRPr="0010725E" w:rsidRDefault="00A00405" w:rsidP="00A00405">
            <w:pPr>
              <w:jc w:val="center"/>
              <w:rPr>
                <w:sz w:val="20"/>
                <w:szCs w:val="20"/>
              </w:rPr>
            </w:pPr>
            <w:r w:rsidRPr="0010725E">
              <w:rPr>
                <w:sz w:val="20"/>
                <w:szCs w:val="20"/>
              </w:rPr>
              <w:t>45.4</w:t>
            </w:r>
          </w:p>
        </w:tc>
        <w:tc>
          <w:tcPr>
            <w:tcW w:w="331" w:type="pct"/>
            <w:shd w:val="clear" w:color="auto" w:fill="auto"/>
          </w:tcPr>
          <w:p w14:paraId="78445521" w14:textId="77777777" w:rsidR="00A00405" w:rsidRPr="0010725E" w:rsidRDefault="00A00405" w:rsidP="00A00405">
            <w:pPr>
              <w:jc w:val="center"/>
              <w:rPr>
                <w:sz w:val="20"/>
                <w:szCs w:val="20"/>
              </w:rPr>
            </w:pPr>
            <w:r w:rsidRPr="0010725E">
              <w:rPr>
                <w:sz w:val="20"/>
                <w:szCs w:val="20"/>
              </w:rPr>
              <w:t>40.3</w:t>
            </w:r>
          </w:p>
        </w:tc>
        <w:tc>
          <w:tcPr>
            <w:tcW w:w="312" w:type="pct"/>
            <w:shd w:val="clear" w:color="auto" w:fill="auto"/>
          </w:tcPr>
          <w:p w14:paraId="7082BEA8" w14:textId="77777777" w:rsidR="00A00405" w:rsidRPr="0010725E" w:rsidRDefault="00A00405" w:rsidP="00A00405">
            <w:pPr>
              <w:jc w:val="center"/>
              <w:rPr>
                <w:sz w:val="20"/>
                <w:szCs w:val="20"/>
              </w:rPr>
            </w:pPr>
            <w:r w:rsidRPr="0010725E">
              <w:rPr>
                <w:sz w:val="20"/>
                <w:szCs w:val="20"/>
              </w:rPr>
              <w:t>27.2</w:t>
            </w:r>
          </w:p>
        </w:tc>
        <w:tc>
          <w:tcPr>
            <w:tcW w:w="312" w:type="pct"/>
            <w:shd w:val="clear" w:color="auto" w:fill="auto"/>
          </w:tcPr>
          <w:p w14:paraId="62D933FB" w14:textId="77777777" w:rsidR="00A00405" w:rsidRPr="0010725E" w:rsidRDefault="00A00405" w:rsidP="00A00405">
            <w:pPr>
              <w:jc w:val="center"/>
              <w:rPr>
                <w:sz w:val="20"/>
                <w:szCs w:val="20"/>
              </w:rPr>
            </w:pPr>
            <w:r w:rsidRPr="0010725E">
              <w:rPr>
                <w:sz w:val="20"/>
                <w:szCs w:val="20"/>
              </w:rPr>
              <w:t>ns</w:t>
            </w:r>
          </w:p>
        </w:tc>
        <w:tc>
          <w:tcPr>
            <w:tcW w:w="316" w:type="pct"/>
            <w:shd w:val="clear" w:color="auto" w:fill="auto"/>
          </w:tcPr>
          <w:p w14:paraId="41AC1540" w14:textId="77777777" w:rsidR="00A00405" w:rsidRPr="0010725E" w:rsidRDefault="00A00405" w:rsidP="00A00405">
            <w:pPr>
              <w:jc w:val="center"/>
              <w:rPr>
                <w:sz w:val="20"/>
                <w:szCs w:val="20"/>
              </w:rPr>
            </w:pPr>
            <w:r w:rsidRPr="0010725E">
              <w:rPr>
                <w:sz w:val="20"/>
                <w:szCs w:val="20"/>
              </w:rPr>
              <w:t>ns</w:t>
            </w:r>
          </w:p>
        </w:tc>
        <w:tc>
          <w:tcPr>
            <w:tcW w:w="132" w:type="pct"/>
            <w:shd w:val="clear" w:color="auto" w:fill="auto"/>
          </w:tcPr>
          <w:p w14:paraId="01B815C4" w14:textId="77777777" w:rsidR="00A00405" w:rsidRPr="0010725E" w:rsidRDefault="00A00405" w:rsidP="00A00405">
            <w:pPr>
              <w:jc w:val="center"/>
              <w:rPr>
                <w:sz w:val="20"/>
                <w:szCs w:val="20"/>
              </w:rPr>
            </w:pPr>
          </w:p>
        </w:tc>
        <w:tc>
          <w:tcPr>
            <w:tcW w:w="428" w:type="pct"/>
            <w:shd w:val="clear" w:color="auto" w:fill="auto"/>
          </w:tcPr>
          <w:p w14:paraId="0E27A7B2" w14:textId="77777777" w:rsidR="00A00405" w:rsidRPr="0010725E" w:rsidRDefault="00A00405" w:rsidP="00A00405">
            <w:pPr>
              <w:jc w:val="center"/>
              <w:rPr>
                <w:sz w:val="20"/>
                <w:szCs w:val="20"/>
              </w:rPr>
            </w:pPr>
            <w:r w:rsidRPr="0010725E">
              <w:rPr>
                <w:sz w:val="20"/>
                <w:szCs w:val="20"/>
              </w:rPr>
              <w:t>&lt;–50.0</w:t>
            </w:r>
          </w:p>
        </w:tc>
        <w:tc>
          <w:tcPr>
            <w:tcW w:w="148" w:type="pct"/>
            <w:shd w:val="clear" w:color="auto" w:fill="auto"/>
          </w:tcPr>
          <w:p w14:paraId="22590094" w14:textId="77777777" w:rsidR="00A00405" w:rsidRPr="0010725E" w:rsidRDefault="00A00405" w:rsidP="00A00405">
            <w:pPr>
              <w:jc w:val="center"/>
              <w:rPr>
                <w:sz w:val="20"/>
                <w:szCs w:val="20"/>
              </w:rPr>
            </w:pPr>
          </w:p>
        </w:tc>
        <w:tc>
          <w:tcPr>
            <w:tcW w:w="312" w:type="pct"/>
            <w:shd w:val="clear" w:color="auto" w:fill="auto"/>
          </w:tcPr>
          <w:p w14:paraId="4B77FEFD" w14:textId="77777777" w:rsidR="00A00405" w:rsidRPr="0010725E" w:rsidRDefault="00A00405" w:rsidP="00A00405">
            <w:pPr>
              <w:jc w:val="center"/>
              <w:rPr>
                <w:sz w:val="20"/>
                <w:szCs w:val="20"/>
              </w:rPr>
            </w:pPr>
            <w:r w:rsidRPr="0010725E">
              <w:rPr>
                <w:sz w:val="20"/>
                <w:szCs w:val="20"/>
              </w:rPr>
              <w:t>15.1</w:t>
            </w:r>
          </w:p>
        </w:tc>
        <w:tc>
          <w:tcPr>
            <w:tcW w:w="312" w:type="pct"/>
            <w:shd w:val="clear" w:color="auto" w:fill="auto"/>
          </w:tcPr>
          <w:p w14:paraId="557E05DA" w14:textId="77777777" w:rsidR="00A00405" w:rsidRPr="0010725E" w:rsidRDefault="00A00405" w:rsidP="00A00405">
            <w:pPr>
              <w:jc w:val="center"/>
              <w:rPr>
                <w:sz w:val="20"/>
                <w:szCs w:val="20"/>
              </w:rPr>
            </w:pPr>
            <w:r w:rsidRPr="0010725E">
              <w:rPr>
                <w:sz w:val="20"/>
                <w:szCs w:val="20"/>
              </w:rPr>
              <w:t>11.4</w:t>
            </w:r>
          </w:p>
        </w:tc>
        <w:tc>
          <w:tcPr>
            <w:tcW w:w="312" w:type="pct"/>
            <w:shd w:val="clear" w:color="auto" w:fill="auto"/>
          </w:tcPr>
          <w:p w14:paraId="5EB36325" w14:textId="77777777" w:rsidR="00A00405" w:rsidRPr="0010725E" w:rsidRDefault="00A00405" w:rsidP="00A00405">
            <w:pPr>
              <w:jc w:val="center"/>
              <w:rPr>
                <w:sz w:val="20"/>
                <w:szCs w:val="20"/>
              </w:rPr>
            </w:pPr>
            <w:r w:rsidRPr="0010725E">
              <w:rPr>
                <w:sz w:val="20"/>
                <w:szCs w:val="20"/>
              </w:rPr>
              <w:t>7.2</w:t>
            </w:r>
          </w:p>
        </w:tc>
        <w:tc>
          <w:tcPr>
            <w:tcW w:w="312" w:type="pct"/>
            <w:shd w:val="clear" w:color="auto" w:fill="auto"/>
          </w:tcPr>
          <w:p w14:paraId="22EF7250" w14:textId="77777777" w:rsidR="00A00405" w:rsidRPr="0010725E" w:rsidRDefault="00A00405" w:rsidP="00A00405">
            <w:pPr>
              <w:jc w:val="center"/>
              <w:rPr>
                <w:sz w:val="20"/>
                <w:szCs w:val="20"/>
              </w:rPr>
            </w:pPr>
            <w:r w:rsidRPr="0010725E">
              <w:rPr>
                <w:sz w:val="20"/>
                <w:szCs w:val="20"/>
              </w:rPr>
              <w:t>&lt;5.0</w:t>
            </w:r>
          </w:p>
        </w:tc>
        <w:tc>
          <w:tcPr>
            <w:tcW w:w="315" w:type="pct"/>
            <w:shd w:val="clear" w:color="auto" w:fill="auto"/>
          </w:tcPr>
          <w:p w14:paraId="570121CE" w14:textId="77777777" w:rsidR="00A00405" w:rsidRPr="0010725E" w:rsidRDefault="00A00405" w:rsidP="00A00405">
            <w:pPr>
              <w:jc w:val="center"/>
              <w:rPr>
                <w:sz w:val="20"/>
                <w:szCs w:val="20"/>
              </w:rPr>
            </w:pPr>
            <w:r w:rsidRPr="0010725E">
              <w:rPr>
                <w:sz w:val="20"/>
                <w:szCs w:val="20"/>
              </w:rPr>
              <w:t>&lt;5.0</w:t>
            </w:r>
          </w:p>
        </w:tc>
        <w:tc>
          <w:tcPr>
            <w:tcW w:w="132" w:type="pct"/>
            <w:shd w:val="clear" w:color="auto" w:fill="auto"/>
          </w:tcPr>
          <w:p w14:paraId="617AC542" w14:textId="77777777" w:rsidR="00A00405" w:rsidRPr="0010725E" w:rsidRDefault="00A00405" w:rsidP="00A00405">
            <w:pPr>
              <w:jc w:val="center"/>
              <w:rPr>
                <w:b/>
                <w:sz w:val="20"/>
                <w:szCs w:val="20"/>
              </w:rPr>
            </w:pPr>
          </w:p>
        </w:tc>
        <w:tc>
          <w:tcPr>
            <w:tcW w:w="426" w:type="pct"/>
            <w:shd w:val="clear" w:color="auto" w:fill="auto"/>
          </w:tcPr>
          <w:p w14:paraId="3DEE649F" w14:textId="77777777" w:rsidR="00A00405" w:rsidRPr="0010725E" w:rsidRDefault="00A00405" w:rsidP="00A00405">
            <w:pPr>
              <w:jc w:val="center"/>
              <w:rPr>
                <w:b/>
                <w:sz w:val="20"/>
                <w:szCs w:val="20"/>
              </w:rPr>
            </w:pPr>
            <w:r w:rsidRPr="0010725E">
              <w:rPr>
                <w:b/>
                <w:sz w:val="20"/>
                <w:szCs w:val="20"/>
              </w:rPr>
              <w:t>na</w:t>
            </w:r>
          </w:p>
        </w:tc>
      </w:tr>
      <w:tr w:rsidR="00A00405" w:rsidRPr="0010725E" w14:paraId="3B6A38B0" w14:textId="77777777" w:rsidTr="00881509">
        <w:trPr>
          <w:trHeight w:val="306"/>
        </w:trPr>
        <w:tc>
          <w:tcPr>
            <w:tcW w:w="5000" w:type="pct"/>
            <w:gridSpan w:val="16"/>
            <w:shd w:val="clear" w:color="auto" w:fill="auto"/>
          </w:tcPr>
          <w:p w14:paraId="231A1A28" w14:textId="31845297" w:rsidR="00A00405" w:rsidRPr="0010725E" w:rsidRDefault="00A00405" w:rsidP="00322A42">
            <w:pPr>
              <w:keepNext/>
              <w:rPr>
                <w:sz w:val="20"/>
                <w:szCs w:val="20"/>
              </w:rPr>
            </w:pPr>
            <w:r w:rsidRPr="0010725E">
              <w:rPr>
                <w:sz w:val="20"/>
                <w:szCs w:val="20"/>
              </w:rPr>
              <w:t>na: not applicable; ns: not statistically significant.  Source: FAO</w:t>
            </w:r>
            <w:r w:rsidR="00322A42" w:rsidRPr="0010725E">
              <w:rPr>
                <w:sz w:val="20"/>
                <w:szCs w:val="20"/>
              </w:rPr>
              <w:t xml:space="preserve"> </w:t>
            </w:r>
            <w:r w:rsidR="00322A42" w:rsidRPr="0010725E">
              <w:rPr>
                <w:i/>
                <w:sz w:val="20"/>
                <w:szCs w:val="20"/>
              </w:rPr>
              <w:t>et al.</w:t>
            </w:r>
            <w:r w:rsidRPr="0010725E">
              <w:rPr>
                <w:sz w:val="20"/>
                <w:szCs w:val="20"/>
              </w:rPr>
              <w:t xml:space="preserve"> (2015)</w:t>
            </w:r>
          </w:p>
        </w:tc>
      </w:tr>
    </w:tbl>
    <w:p w14:paraId="750D8EB4" w14:textId="1F9EF15E" w:rsidR="00A00405" w:rsidRPr="008608AA" w:rsidRDefault="00A00405" w:rsidP="00881509">
      <w:pPr>
        <w:spacing w:before="240"/>
      </w:pPr>
      <w:r w:rsidRPr="008608AA">
        <w:t xml:space="preserve">The Global Food Security Index (http://foodsecurityindex.eiu.com/) addresses the issues of affordability, availability and utilization to understand the risk of food security in countries and regions. The countries are grouped in quartiles based on: best environment, good environment, moderate environment and those that need improvement. Based on the analysis of this index, the North American subregion and Canada and the USA at the country-level do not face food insecurity, but certainly certain social sectors still face hunger and malnutrition (Table 2.16). Data from the FAO (Figure 2.25) indicate that Mesoamerica, the Caribbean and South America are making greater progress towards food security and achieving SDG 2 (Zero </w:t>
      </w:r>
      <w:r w:rsidR="00EB76E5" w:rsidRPr="008608AA">
        <w:t>h</w:t>
      </w:r>
      <w:r w:rsidRPr="008608AA">
        <w:t xml:space="preserve">unger), compared to other global regions. Yet, the Caribbean subregion is still particularly vulnerable and some countries in Mesoamerica and South America maintain high levels of food insecurity. </w:t>
      </w:r>
    </w:p>
    <w:p w14:paraId="7E06972A" w14:textId="459A222A" w:rsidR="00881509" w:rsidRPr="008608AA" w:rsidRDefault="00A00405" w:rsidP="00881509">
      <w:pPr>
        <w:spacing w:before="240"/>
      </w:pPr>
      <w:r w:rsidRPr="008608AA">
        <w:t>Considering the role of family farmers in food security, Graeub et al. (2016) provide a rough estimate of the calorie requirements in each country currently being supplied by family farmers. While countries in North America and Mesoamerica are, on average, 60% sufficient, South America achieved only 36% sufficiency (the lowest level of any world region).</w:t>
      </w:r>
    </w:p>
    <w:p w14:paraId="24287645" w14:textId="06E22F0B" w:rsidR="00A00405" w:rsidRPr="008608AA" w:rsidRDefault="00E4616E" w:rsidP="00881509">
      <w:pPr>
        <w:spacing w:before="240"/>
        <w:jc w:val="center"/>
      </w:pPr>
      <w:r w:rsidRPr="008608AA">
        <w:rPr>
          <w:noProof/>
          <w:lang w:val="en-GB" w:eastAsia="en-GB"/>
        </w:rPr>
        <w:drawing>
          <wp:inline distT="0" distB="0" distL="0" distR="0" wp14:anchorId="03FCE722" wp14:editId="042EA2A5">
            <wp:extent cx="5934075" cy="5791200"/>
            <wp:effectExtent l="0" t="0" r="9525" b="0"/>
            <wp:docPr id="234" name="Imagen 234" descr="C:\Users\Alejandro Valderrama\Downloads\Fig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1" descr="C:\Users\Alejandro Valderrama\Downloads\Fig2.25.jpg"/>
                    <pic:cNvPicPr>
                      <a:picLocks noChangeAspect="1" noChangeArrowheads="1"/>
                    </pic:cNvPicPr>
                  </pic:nvPicPr>
                  <pic:blipFill rotWithShape="1">
                    <a:blip r:embed="rId91">
                      <a:extLst>
                        <a:ext uri="{28A0092B-C50C-407E-A947-70E740481C1C}">
                          <a14:useLocalDpi xmlns:a14="http://schemas.microsoft.com/office/drawing/2010/main" val="0"/>
                        </a:ext>
                      </a:extLst>
                    </a:blip>
                    <a:srcRect b="32294"/>
                    <a:stretch/>
                  </pic:blipFill>
                  <pic:spPr bwMode="auto">
                    <a:xfrm>
                      <a:off x="0" y="0"/>
                      <a:ext cx="5934075" cy="5791200"/>
                    </a:xfrm>
                    <a:prstGeom prst="rect">
                      <a:avLst/>
                    </a:prstGeom>
                    <a:noFill/>
                    <a:ln>
                      <a:noFill/>
                    </a:ln>
                    <a:extLst>
                      <a:ext uri="{53640926-AAD7-44D8-BBD7-CCE9431645EC}">
                        <a14:shadowObscured xmlns:a14="http://schemas.microsoft.com/office/drawing/2010/main"/>
                      </a:ext>
                    </a:extLst>
                  </pic:spPr>
                </pic:pic>
              </a:graphicData>
            </a:graphic>
          </wp:inline>
        </w:drawing>
      </w:r>
    </w:p>
    <w:p w14:paraId="7DE3C094" w14:textId="7485B48F" w:rsidR="00A00405" w:rsidRPr="008608AA" w:rsidRDefault="00A00405" w:rsidP="00E4616E">
      <w:pPr>
        <w:spacing w:before="240"/>
      </w:pPr>
      <w:r w:rsidRPr="008608AA">
        <w:t>Food consumption patterns also showed a transition. During the last decades, they passed from the high prevalence of under-nutrition to over-nutrition (Kearney, 2010). Drivers such as the increase in the human population, rural-to-urban migration and income increases in developing countries created challenges in managing a balanced diet (Nantapo et al., 2015); in addition, the increased intake of high sugar and high fat foods characteristic of modern diets lead to a growing number of diseases associated with unbalanced nutrition, such as obesity (Figure 2.26) and diabetes (Pretty et al., 2010). Hence, this leads to the greater pressure on the food supply system, increased competition among food producers for land, water and energy, ultimately leading to negative effects on the environment (Godfray et al., 201</w:t>
      </w:r>
      <w:r w:rsidR="00AB5E93" w:rsidRPr="008608AA">
        <w:t>0</w:t>
      </w:r>
      <w:r w:rsidRPr="008608AA">
        <w:t>). According to World Health Organization, the cause of obesity and being overweight is an increased intake of energy-dense foods high in fat and an increase in physical inactivity associated to urban lifestyles and modes of transportation. Today, obesity has reached epidemic magnitudes worldwide, with at least 2.8 million people dying each year because of being overweight or obese (WHO, 2017). Findings suggest that the increase in food energy supply explains the increase in average population body weight, mainly for high-income countries (Vandevijvere et al., 2015), but now also for lo</w:t>
      </w:r>
      <w:r w:rsidR="00E4616E" w:rsidRPr="008608AA">
        <w:t xml:space="preserve">w and middle-income countries. </w:t>
      </w:r>
    </w:p>
    <w:p w14:paraId="5B132C20" w14:textId="16167A34" w:rsidR="00881509" w:rsidRPr="008608AA" w:rsidRDefault="00E4616E" w:rsidP="00881509">
      <w:pPr>
        <w:spacing w:before="240"/>
        <w:jc w:val="center"/>
      </w:pPr>
      <w:r w:rsidRPr="008608AA">
        <w:rPr>
          <w:noProof/>
          <w:lang w:val="en-GB" w:eastAsia="en-GB"/>
        </w:rPr>
        <w:drawing>
          <wp:inline distT="0" distB="0" distL="0" distR="0" wp14:anchorId="10ED995C" wp14:editId="73DE41F6">
            <wp:extent cx="5934075" cy="3371850"/>
            <wp:effectExtent l="0" t="0" r="9525" b="0"/>
            <wp:docPr id="235" name="Imagen 235" descr="C:\Users\Alejandro Valderrama\Downloads\Fig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3" descr="C:\Users\Alejandro Valderrama\Downloads\Fig2.26.jpg"/>
                    <pic:cNvPicPr>
                      <a:picLocks noChangeAspect="1" noChangeArrowheads="1"/>
                    </pic:cNvPicPr>
                  </pic:nvPicPr>
                  <pic:blipFill rotWithShape="1">
                    <a:blip r:embed="rId92">
                      <a:extLst>
                        <a:ext uri="{28A0092B-C50C-407E-A947-70E740481C1C}">
                          <a14:useLocalDpi xmlns:a14="http://schemas.microsoft.com/office/drawing/2010/main" val="0"/>
                        </a:ext>
                      </a:extLst>
                    </a:blip>
                    <a:srcRect b="60579"/>
                    <a:stretch/>
                  </pic:blipFill>
                  <pic:spPr bwMode="auto">
                    <a:xfrm>
                      <a:off x="0" y="0"/>
                      <a:ext cx="5934075" cy="3371850"/>
                    </a:xfrm>
                    <a:prstGeom prst="rect">
                      <a:avLst/>
                    </a:prstGeom>
                    <a:noFill/>
                    <a:ln>
                      <a:noFill/>
                    </a:ln>
                    <a:extLst>
                      <a:ext uri="{53640926-AAD7-44D8-BBD7-CCE9431645EC}">
                        <a14:shadowObscured xmlns:a14="http://schemas.microsoft.com/office/drawing/2010/main"/>
                      </a:ext>
                    </a:extLst>
                  </pic:spPr>
                </pic:pic>
              </a:graphicData>
            </a:graphic>
          </wp:inline>
        </w:drawing>
      </w:r>
    </w:p>
    <w:p w14:paraId="2B3B06A0" w14:textId="2D114AB8" w:rsidR="00A00405" w:rsidRPr="008608AA" w:rsidRDefault="00A00405" w:rsidP="00881509">
      <w:pPr>
        <w:spacing w:before="240"/>
      </w:pPr>
      <w:r w:rsidRPr="008608AA">
        <w:t>Another important issue of concern regarding food security regards the production of Genetically Modified Organisms (GMO). In the Americas, GMO technology is widespread in USA, Brazil and Canada. For instance, the production of GMO soybean, cotton and corn skyrocketed in the past two decades (Figure 2.27). Nevertheless, there is concern about the safety of GMOs, and there is no scientific consensus on GMO safety to date (Hilbeck et al., 2015).</w:t>
      </w:r>
    </w:p>
    <w:p w14:paraId="0B6C389F" w14:textId="77777777" w:rsidR="00593E3A" w:rsidRPr="008608AA" w:rsidRDefault="00593E3A" w:rsidP="00881509">
      <w:pPr>
        <w:spacing w:before="240"/>
      </w:pPr>
    </w:p>
    <w:p w14:paraId="43AC3CA1" w14:textId="12DF01A0" w:rsidR="00881509" w:rsidRPr="008608AA" w:rsidRDefault="00E4616E" w:rsidP="00DF75EC">
      <w:r w:rsidRPr="008608AA">
        <w:rPr>
          <w:noProof/>
          <w:lang w:val="en-GB" w:eastAsia="en-GB"/>
        </w:rPr>
        <w:drawing>
          <wp:inline distT="0" distB="0" distL="0" distR="0" wp14:anchorId="37BA4054" wp14:editId="08424877">
            <wp:extent cx="5934075" cy="4295775"/>
            <wp:effectExtent l="0" t="0" r="9525" b="9525"/>
            <wp:docPr id="236" name="Imagen 236" descr="C:\Users\Alejandro Valderrama\Downloads\Fig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5" descr="C:\Users\Alejandro Valderrama\Downloads\Fig2.27.jpg"/>
                    <pic:cNvPicPr>
                      <a:picLocks noChangeAspect="1" noChangeArrowheads="1"/>
                    </pic:cNvPicPr>
                  </pic:nvPicPr>
                  <pic:blipFill rotWithShape="1">
                    <a:blip r:embed="rId93">
                      <a:extLst>
                        <a:ext uri="{28A0092B-C50C-407E-A947-70E740481C1C}">
                          <a14:useLocalDpi xmlns:a14="http://schemas.microsoft.com/office/drawing/2010/main" val="0"/>
                        </a:ext>
                      </a:extLst>
                    </a:blip>
                    <a:srcRect b="49778"/>
                    <a:stretch/>
                  </pic:blipFill>
                  <pic:spPr bwMode="auto">
                    <a:xfrm>
                      <a:off x="0" y="0"/>
                      <a:ext cx="5934075" cy="4295775"/>
                    </a:xfrm>
                    <a:prstGeom prst="rect">
                      <a:avLst/>
                    </a:prstGeom>
                    <a:noFill/>
                    <a:ln>
                      <a:noFill/>
                    </a:ln>
                    <a:extLst>
                      <a:ext uri="{53640926-AAD7-44D8-BBD7-CCE9431645EC}">
                        <a14:shadowObscured xmlns:a14="http://schemas.microsoft.com/office/drawing/2010/main"/>
                      </a:ext>
                    </a:extLst>
                  </pic:spPr>
                </pic:pic>
              </a:graphicData>
            </a:graphic>
          </wp:inline>
        </w:drawing>
      </w:r>
    </w:p>
    <w:p w14:paraId="03453507" w14:textId="77777777" w:rsidR="00881509" w:rsidRPr="008608AA" w:rsidRDefault="00881509" w:rsidP="008B3BCD"/>
    <w:p w14:paraId="4068943D" w14:textId="419EC700" w:rsidR="00A00405" w:rsidRPr="008608AA" w:rsidRDefault="00DA20B6" w:rsidP="00881509">
      <w:pPr>
        <w:pStyle w:val="Heading3"/>
      </w:pPr>
      <w:bookmarkStart w:id="709" w:name="_Toc517393270"/>
      <w:bookmarkStart w:id="710" w:name="_Toc517719011"/>
      <w:bookmarkStart w:id="711" w:name="_Toc517796968"/>
      <w:r w:rsidRPr="008608AA">
        <w:t>Water s</w:t>
      </w:r>
      <w:r w:rsidR="00A00405" w:rsidRPr="008608AA">
        <w:t>ecurity</w:t>
      </w:r>
      <w:bookmarkEnd w:id="709"/>
      <w:bookmarkEnd w:id="710"/>
      <w:bookmarkEnd w:id="711"/>
    </w:p>
    <w:p w14:paraId="070BB890" w14:textId="5A79E046" w:rsidR="00A00405" w:rsidRPr="008608AA" w:rsidRDefault="00A00405" w:rsidP="00881509">
      <w:pPr>
        <w:spacing w:after="120"/>
      </w:pPr>
      <w:r w:rsidRPr="008608AA">
        <w:t xml:space="preserve">Water is vital for the survival of humans and ecosystems. It is fundamental for material, recreational, aesthetic, and spiritual basis of life, and ensuring access to safe water is essential for the provision of other rights such as food, health and welfare. Water security refers to a supply of water of adequate quantity and quality needed to sustain health, livelihoods, economic development, and ecosystems, and protect against water-borne pollution and water-related disasters (UN, 2013; Grey &amp; Sadoff, 2007). The finite amount of available freshwater can limit the progress made towards the three dimensions of sustainable development (social, economic, environmental), and this constraint is increasing. Sustainable Development Goal 6 addresses this, with the target of ensuring the availability and sustainable management of clean water and sanitation by 2030, taking into account issues related to both water quantity and quality (UN, 2016). SDG 6 is, in turn, linked or relevant to the Aichi Biodiversity </w:t>
      </w:r>
      <w:r w:rsidR="00847F60" w:rsidRPr="008608AA">
        <w:t>target</w:t>
      </w:r>
      <w:r w:rsidRPr="008608AA">
        <w:t>s 8, 11, 14, 15, which refer to water security as an essential element of quality of life.</w:t>
      </w:r>
    </w:p>
    <w:p w14:paraId="111001D9" w14:textId="4412E3A9" w:rsidR="00881509" w:rsidRPr="008608AA" w:rsidRDefault="00A00405" w:rsidP="00881509">
      <w:pPr>
        <w:spacing w:after="120"/>
      </w:pPr>
      <w:r w:rsidRPr="008608AA">
        <w:t xml:space="preserve">Water insecurity occurs when human and environmental factors create variability in the availability </w:t>
      </w:r>
      <w:r w:rsidR="00955B83" w:rsidRPr="008608AA">
        <w:t>of water, relative to its need.</w:t>
      </w:r>
      <w:r w:rsidRPr="008608AA">
        <w:t xml:space="preserve"> Factors such as climate change, population growth, changing land use (increasing agricultural and urban lands), and pollutants alter water quality and affect its supply; this is exacerbated by economic disparity and poor governance and in some cases, for example in Nunavut, Canada, the loss of indigenous knowledge systems (Gain et al., 2016; Vorosmarty et al., 2015; Medeiros et al., 2017). Water security index scores, which are based on indicators derived from SDG 6, indicate relatively high scores for most of the Americas, with low scores in western Peru and southern Bolivia (Figure 2.28). In some areas facing water scarcity (</w:t>
      </w:r>
      <w:r w:rsidR="00847F60" w:rsidRPr="008608AA">
        <w:t>e.g.</w:t>
      </w:r>
      <w:r w:rsidRPr="008608AA">
        <w:t xml:space="preserve"> portions the southwestern USA and Mexico) water security index scores are higher than predicted due to the mitigating effects of technology based water management. Engineering solutions to replace the ecosystem services can be effective but expensive, and tend to rely on fossil fuels. A heavy dependence on technology to meet water deman</w:t>
      </w:r>
      <w:r w:rsidR="00955B83" w:rsidRPr="008608AA">
        <w:t xml:space="preserve">ds may produce false security. </w:t>
      </w:r>
      <w:r w:rsidRPr="008608AA">
        <w:t xml:space="preserve">Desalination plants are one example. In northwest Mexico desalination plants are in widespread use despite their high environmental impacts, including those to adjacent marine ecosystems where plant effluents decrease coastal productivity and the livelihoods of local communities (Cortes et al., 2012; McEvoy &amp; Wilder, 2012). </w:t>
      </w:r>
    </w:p>
    <w:p w14:paraId="4597CFA2" w14:textId="05CCDAA2" w:rsidR="00881509" w:rsidRPr="008608AA" w:rsidRDefault="00E4616E" w:rsidP="00881509">
      <w:pPr>
        <w:spacing w:before="240" w:after="120"/>
        <w:jc w:val="center"/>
      </w:pPr>
      <w:r w:rsidRPr="008608AA">
        <w:rPr>
          <w:noProof/>
          <w:lang w:val="en-GB" w:eastAsia="en-GB"/>
        </w:rPr>
        <w:drawing>
          <wp:inline distT="0" distB="0" distL="0" distR="0" wp14:anchorId="61B6D3E3" wp14:editId="64F4A99E">
            <wp:extent cx="5934075" cy="3009900"/>
            <wp:effectExtent l="0" t="0" r="9525" b="0"/>
            <wp:docPr id="237" name="Imagen 237" descr="C:\Users\Alejandro Valderrama\Downloads\Fig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7" descr="C:\Users\Alejandro Valderrama\Downloads\Fig2.28.jpg"/>
                    <pic:cNvPicPr>
                      <a:picLocks noChangeAspect="1" noChangeArrowheads="1"/>
                    </pic:cNvPicPr>
                  </pic:nvPicPr>
                  <pic:blipFill rotWithShape="1">
                    <a:blip r:embed="rId94">
                      <a:extLst>
                        <a:ext uri="{28A0092B-C50C-407E-A947-70E740481C1C}">
                          <a14:useLocalDpi xmlns:a14="http://schemas.microsoft.com/office/drawing/2010/main" val="0"/>
                        </a:ext>
                      </a:extLst>
                    </a:blip>
                    <a:srcRect b="64811"/>
                    <a:stretch/>
                  </pic:blipFill>
                  <pic:spPr bwMode="auto">
                    <a:xfrm>
                      <a:off x="0" y="0"/>
                      <a:ext cx="5934075" cy="3009900"/>
                    </a:xfrm>
                    <a:prstGeom prst="rect">
                      <a:avLst/>
                    </a:prstGeom>
                    <a:noFill/>
                    <a:ln>
                      <a:noFill/>
                    </a:ln>
                    <a:extLst>
                      <a:ext uri="{53640926-AAD7-44D8-BBD7-CCE9431645EC}">
                        <a14:shadowObscured xmlns:a14="http://schemas.microsoft.com/office/drawing/2010/main"/>
                      </a:ext>
                    </a:extLst>
                  </pic:spPr>
                </pic:pic>
              </a:graphicData>
            </a:graphic>
          </wp:inline>
        </w:drawing>
      </w:r>
    </w:p>
    <w:p w14:paraId="64806378" w14:textId="6C055EA1" w:rsidR="00A00405" w:rsidRPr="008608AA" w:rsidRDefault="00A00405" w:rsidP="00881509">
      <w:pPr>
        <w:spacing w:before="240" w:after="120"/>
      </w:pPr>
      <w:r w:rsidRPr="008608AA">
        <w:t>Considerable progress has been made in the Americas in providing access to improved water sources since 1990, with access in nearly all regions at or above 90% of the population; only the rural populations in South and Mesoamerica lag at about 80% (Figure 2.29). The proportion of the rural poor in South America with access to potable water has increased only 10% in 30 years, leavi</w:t>
      </w:r>
      <w:r w:rsidR="00955B83" w:rsidRPr="008608AA">
        <w:t xml:space="preserve">ng 18% without access in 2015. </w:t>
      </w:r>
      <w:r w:rsidRPr="008608AA">
        <w:t xml:space="preserve">Overall demands for water in the Americas are increasing, particularly in areas of high economic development. At the same time, human activities lead to increasing pollutant loads that compromise both the support of biodiversity and the safety of water supplies. Assessments of water demands by subregion mask the high degree of spatial variability in water demand for production, and the threats they pose to water security (Hoekstra et al., 2012). </w:t>
      </w:r>
    </w:p>
    <w:p w14:paraId="2C74D2BA" w14:textId="77777777" w:rsidR="00A00405" w:rsidRPr="008608AA" w:rsidRDefault="00A00405" w:rsidP="00881509">
      <w:pPr>
        <w:spacing w:after="120"/>
      </w:pPr>
      <w:r w:rsidRPr="008608AA">
        <w:t>Access to sanitation and hygiene is also a key part of the definition of water security. As a right of all humans it helps safeguard health and well-being, and is a key in alleviating poverty. Access to sanitation is increasing, although it lags behind access to improved drinking water sources, particularly for rural populations and the poor. There are still 2.4 billion people globally who lack access to basic sanitation services, such as toilets or latrine (WWAP, 2015).</w:t>
      </w:r>
    </w:p>
    <w:p w14:paraId="45229B15" w14:textId="77777777" w:rsidR="00881509" w:rsidRPr="008608AA" w:rsidRDefault="00881509" w:rsidP="00881509">
      <w:pPr>
        <w:spacing w:after="120"/>
      </w:pPr>
    </w:p>
    <w:p w14:paraId="4885CD39" w14:textId="3EB48E6A" w:rsidR="00881509" w:rsidRPr="008608AA" w:rsidRDefault="00E4616E" w:rsidP="00881509">
      <w:pPr>
        <w:spacing w:after="120"/>
        <w:jc w:val="center"/>
      </w:pPr>
      <w:r w:rsidRPr="008608AA">
        <w:rPr>
          <w:noProof/>
          <w:lang w:val="en-GB" w:eastAsia="en-GB"/>
        </w:rPr>
        <w:drawing>
          <wp:inline distT="0" distB="0" distL="0" distR="0" wp14:anchorId="5B2415F6" wp14:editId="34E63CAB">
            <wp:extent cx="5934075" cy="4305300"/>
            <wp:effectExtent l="0" t="0" r="9525" b="0"/>
            <wp:docPr id="239" name="Imagen 239" descr="C:\Users\Alejandro Valderrama\Downloads\Fig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9" descr="C:\Users\Alejandro Valderrama\Downloads\Fig2.29.jpg"/>
                    <pic:cNvPicPr>
                      <a:picLocks noChangeAspect="1" noChangeArrowheads="1"/>
                    </pic:cNvPicPr>
                  </pic:nvPicPr>
                  <pic:blipFill rotWithShape="1">
                    <a:blip r:embed="rId95">
                      <a:extLst>
                        <a:ext uri="{28A0092B-C50C-407E-A947-70E740481C1C}">
                          <a14:useLocalDpi xmlns:a14="http://schemas.microsoft.com/office/drawing/2010/main" val="0"/>
                        </a:ext>
                      </a:extLst>
                    </a:blip>
                    <a:srcRect b="49666"/>
                    <a:stretch/>
                  </pic:blipFill>
                  <pic:spPr bwMode="auto">
                    <a:xfrm>
                      <a:off x="0" y="0"/>
                      <a:ext cx="5934075" cy="4305300"/>
                    </a:xfrm>
                    <a:prstGeom prst="rect">
                      <a:avLst/>
                    </a:prstGeom>
                    <a:noFill/>
                    <a:ln>
                      <a:noFill/>
                    </a:ln>
                    <a:extLst>
                      <a:ext uri="{53640926-AAD7-44D8-BBD7-CCE9431645EC}">
                        <a14:shadowObscured xmlns:a14="http://schemas.microsoft.com/office/drawing/2010/main"/>
                      </a:ext>
                    </a:extLst>
                  </pic:spPr>
                </pic:pic>
              </a:graphicData>
            </a:graphic>
          </wp:inline>
        </w:drawing>
      </w:r>
    </w:p>
    <w:p w14:paraId="2F9EAFE9" w14:textId="605A5D47" w:rsidR="00A00405" w:rsidRPr="008608AA" w:rsidRDefault="00A00405" w:rsidP="00881509">
      <w:pPr>
        <w:spacing w:before="240" w:after="120"/>
      </w:pPr>
      <w:r w:rsidRPr="008608AA">
        <w:t>Water use in the Americas is dominated by agricultural needs (Table 2.17, Gleick, 2014). In Mesoamerica, South America and the Caribbean, about 74% of freshwater is used for agriculture and domestic use is the second largest consumer. In contrast, use in North America is dominated by industry, largely due to water withdrawals for industrial cooling, for example by power plants, that account for almost 50% of freshwater withdrawals. This use is not consumptive; consumptive uses of water by industry are much lower (Kenny et al., 2009; Gleick, 2014). Forecasting future water withdrawals under climate change indicates increasing future demand in South America, mostly for industrial use, and relatively stable future demands in North America (IPCC, 2002; Alcamo et al., 2007). Locally non-sustainable use of freshwater, such as the withdrawal of fossil groundwater from aquifers with no long-term net recharge for irrigation is common in the arid regions, particularly in North America (Shilkomanov &amp; Rodda, 2003). The use of groundwater in the USA has greatly increased food production and been a source of water for decades, providing drinking water for about half the total population and nearly all of the rural population, as well as providing over 50 billion gallons per day for agricultural needs. However, it’s cumulative depletion, for example between 1900 and 2008 was about 1,000 km</w:t>
      </w:r>
      <w:r w:rsidRPr="008608AA">
        <w:rPr>
          <w:vertAlign w:val="superscript"/>
        </w:rPr>
        <w:t>3</w:t>
      </w:r>
      <w:r w:rsidRPr="008608AA">
        <w:t>—equivalent to about twice the water volume of Lake Erie (Konikow, 2013) - now poses a threat to water security as aquifers are drawn down, particularly in the plain states (Vorosmarty et al., 2010).</w:t>
      </w:r>
    </w:p>
    <w:p w14:paraId="6F681D60" w14:textId="5464FD24" w:rsidR="00881509" w:rsidRPr="008608AA" w:rsidRDefault="00A00405" w:rsidP="00881509">
      <w:pPr>
        <w:spacing w:after="120"/>
      </w:pPr>
      <w:r w:rsidRPr="008608AA">
        <w:t>Nature’s provision of freshwater supplies often requires human intervention to withdraw, divert, and transport water to engineered storage sites and sites of use (Viessman &amp; Hammer, 2008; Verma et al., 2015). Many wells, human-made water supply impoundments, and water distribution systems have been constructed to increase the reliability of freshwater supply (Cech, 2010), although these may reduce water available to support biodiversity. Dam building and the creation of other structural facilities (</w:t>
      </w:r>
      <w:r w:rsidR="00847F60" w:rsidRPr="008608AA">
        <w:t>e.g.</w:t>
      </w:r>
      <w:r w:rsidRPr="008608AA">
        <w:t xml:space="preserve"> canals, channels and pipes) are a common means to manage water supplies and stabilize flows (Grigg, 2005), although dams are increasingly recognized for their heavy impacts on other NCP (Palmer, 2010). The impacts to local communities are equally as great through the disruption or displacement of local communities, a loss of a sense of belonging, and loss of farmland and cultural heritage (Tucker et al., 2016)</w:t>
      </w:r>
    </w:p>
    <w:p w14:paraId="16727352" w14:textId="14C982A7" w:rsidR="00881509"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17</w:t>
      </w:r>
      <w:r w:rsidR="000E562E">
        <w:rPr>
          <w:noProof/>
        </w:rPr>
        <w:fldChar w:fldCharType="end"/>
      </w:r>
      <w:r w:rsidR="00881509" w:rsidRPr="008608AA">
        <w:t>. Water withdrawals (cubic kilometers/year and %) by use category. The highest use in each subregion is highlighted</w:t>
      </w:r>
      <w:r w:rsidR="00881509" w:rsidRPr="008608AA">
        <w:rPr>
          <w:b w:val="0"/>
        </w:rPr>
        <w:t>.</w:t>
      </w:r>
    </w:p>
    <w:tbl>
      <w:tblPr>
        <w:tblW w:w="47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706"/>
        <w:gridCol w:w="957"/>
        <w:gridCol w:w="1147"/>
        <w:gridCol w:w="954"/>
        <w:gridCol w:w="1185"/>
        <w:gridCol w:w="1094"/>
        <w:gridCol w:w="1063"/>
        <w:gridCol w:w="994"/>
      </w:tblGrid>
      <w:tr w:rsidR="00A00405" w:rsidRPr="0010725E" w14:paraId="1DCE8E25" w14:textId="77777777" w:rsidTr="00881509">
        <w:trPr>
          <w:trHeight w:val="352"/>
        </w:trPr>
        <w:tc>
          <w:tcPr>
            <w:tcW w:w="938" w:type="pct"/>
            <w:shd w:val="clear" w:color="auto" w:fill="BFBFBF"/>
            <w:vAlign w:val="center"/>
          </w:tcPr>
          <w:p w14:paraId="53AC26CF" w14:textId="29103FB0" w:rsidR="00A00405" w:rsidRPr="0010725E" w:rsidRDefault="00A00405" w:rsidP="00881509">
            <w:pPr>
              <w:tabs>
                <w:tab w:val="left" w:pos="1056"/>
              </w:tabs>
              <w:spacing w:after="120"/>
              <w:jc w:val="center"/>
              <w:rPr>
                <w:b/>
                <w:szCs w:val="22"/>
              </w:rPr>
            </w:pPr>
            <w:r w:rsidRPr="0010725E">
              <w:rPr>
                <w:b/>
                <w:szCs w:val="22"/>
              </w:rPr>
              <w:t>Region</w:t>
            </w:r>
          </w:p>
        </w:tc>
        <w:tc>
          <w:tcPr>
            <w:tcW w:w="1156" w:type="pct"/>
            <w:gridSpan w:val="2"/>
            <w:shd w:val="clear" w:color="auto" w:fill="BFBFBF"/>
            <w:vAlign w:val="center"/>
          </w:tcPr>
          <w:p w14:paraId="0E59B608" w14:textId="77777777" w:rsidR="00A00405" w:rsidRPr="0010725E" w:rsidRDefault="00A00405" w:rsidP="00881509">
            <w:pPr>
              <w:spacing w:after="120"/>
              <w:jc w:val="center"/>
              <w:rPr>
                <w:b/>
                <w:szCs w:val="22"/>
              </w:rPr>
            </w:pPr>
            <w:r w:rsidRPr="0010725E">
              <w:rPr>
                <w:b/>
                <w:szCs w:val="22"/>
              </w:rPr>
              <w:t>Municipal Use</w:t>
            </w:r>
          </w:p>
        </w:tc>
        <w:tc>
          <w:tcPr>
            <w:tcW w:w="1175" w:type="pct"/>
            <w:gridSpan w:val="2"/>
            <w:shd w:val="clear" w:color="auto" w:fill="BFBFBF"/>
            <w:vAlign w:val="center"/>
          </w:tcPr>
          <w:p w14:paraId="22A91ACA" w14:textId="77777777" w:rsidR="00A00405" w:rsidRPr="0010725E" w:rsidRDefault="00A00405" w:rsidP="00881509">
            <w:pPr>
              <w:spacing w:after="120"/>
              <w:jc w:val="center"/>
              <w:rPr>
                <w:b/>
                <w:szCs w:val="22"/>
              </w:rPr>
            </w:pPr>
            <w:r w:rsidRPr="0010725E">
              <w:rPr>
                <w:b/>
                <w:szCs w:val="22"/>
              </w:rPr>
              <w:t>Industrial Use</w:t>
            </w:r>
          </w:p>
        </w:tc>
        <w:tc>
          <w:tcPr>
            <w:tcW w:w="1185" w:type="pct"/>
            <w:gridSpan w:val="2"/>
            <w:shd w:val="clear" w:color="auto" w:fill="BFBFBF"/>
            <w:vAlign w:val="center"/>
          </w:tcPr>
          <w:p w14:paraId="4C756E9B" w14:textId="77777777" w:rsidR="00A00405" w:rsidRPr="0010725E" w:rsidRDefault="00A00405" w:rsidP="00881509">
            <w:pPr>
              <w:spacing w:after="120"/>
              <w:jc w:val="center"/>
              <w:rPr>
                <w:b/>
                <w:szCs w:val="22"/>
              </w:rPr>
            </w:pPr>
            <w:r w:rsidRPr="0010725E">
              <w:rPr>
                <w:b/>
                <w:szCs w:val="22"/>
              </w:rPr>
              <w:t>Agricultural Use</w:t>
            </w:r>
          </w:p>
        </w:tc>
        <w:tc>
          <w:tcPr>
            <w:tcW w:w="546" w:type="pct"/>
            <w:shd w:val="clear" w:color="auto" w:fill="BFBFBF"/>
            <w:vAlign w:val="center"/>
          </w:tcPr>
          <w:p w14:paraId="50210520" w14:textId="77777777" w:rsidR="00A00405" w:rsidRPr="0010725E" w:rsidRDefault="00A00405" w:rsidP="00881509">
            <w:pPr>
              <w:spacing w:after="120"/>
              <w:jc w:val="center"/>
              <w:rPr>
                <w:b/>
                <w:szCs w:val="22"/>
              </w:rPr>
            </w:pPr>
            <w:r w:rsidRPr="0010725E">
              <w:rPr>
                <w:b/>
                <w:szCs w:val="22"/>
              </w:rPr>
              <w:t>Total</w:t>
            </w:r>
          </w:p>
        </w:tc>
      </w:tr>
      <w:tr w:rsidR="00A00405" w:rsidRPr="0010725E" w14:paraId="79766968" w14:textId="77777777" w:rsidTr="00881509">
        <w:trPr>
          <w:trHeight w:val="352"/>
        </w:trPr>
        <w:tc>
          <w:tcPr>
            <w:tcW w:w="938" w:type="pct"/>
          </w:tcPr>
          <w:p w14:paraId="182FDC0A" w14:textId="77777777" w:rsidR="00A00405" w:rsidRPr="0010725E" w:rsidRDefault="00A00405" w:rsidP="00A00405">
            <w:pPr>
              <w:spacing w:after="120"/>
              <w:rPr>
                <w:szCs w:val="22"/>
              </w:rPr>
            </w:pPr>
          </w:p>
        </w:tc>
        <w:tc>
          <w:tcPr>
            <w:tcW w:w="526" w:type="pct"/>
          </w:tcPr>
          <w:p w14:paraId="7F1920C1" w14:textId="77777777" w:rsidR="00A00405" w:rsidRPr="0010725E" w:rsidRDefault="00A00405" w:rsidP="00A00405">
            <w:pPr>
              <w:spacing w:after="120"/>
              <w:jc w:val="center"/>
              <w:rPr>
                <w:szCs w:val="22"/>
              </w:rPr>
            </w:pPr>
            <w:r w:rsidRPr="0010725E">
              <w:rPr>
                <w:szCs w:val="22"/>
              </w:rPr>
              <w:t>km</w:t>
            </w:r>
            <w:r w:rsidRPr="0010725E">
              <w:rPr>
                <w:szCs w:val="22"/>
                <w:vertAlign w:val="superscript"/>
              </w:rPr>
              <w:t>3</w:t>
            </w:r>
            <w:r w:rsidRPr="0010725E">
              <w:rPr>
                <w:szCs w:val="22"/>
              </w:rPr>
              <w:t xml:space="preserve"> yr</w:t>
            </w:r>
            <w:r w:rsidRPr="0010725E">
              <w:rPr>
                <w:szCs w:val="22"/>
                <w:vertAlign w:val="superscript"/>
              </w:rPr>
              <w:t>-1</w:t>
            </w:r>
          </w:p>
        </w:tc>
        <w:tc>
          <w:tcPr>
            <w:tcW w:w="630" w:type="pct"/>
          </w:tcPr>
          <w:p w14:paraId="020A8401" w14:textId="77777777" w:rsidR="00A00405" w:rsidRPr="0010725E" w:rsidRDefault="00A00405" w:rsidP="00A00405">
            <w:pPr>
              <w:spacing w:after="120"/>
              <w:jc w:val="center"/>
              <w:rPr>
                <w:szCs w:val="22"/>
              </w:rPr>
            </w:pPr>
            <w:r w:rsidRPr="0010725E">
              <w:rPr>
                <w:szCs w:val="22"/>
              </w:rPr>
              <w:t>% of total</w:t>
            </w:r>
          </w:p>
        </w:tc>
        <w:tc>
          <w:tcPr>
            <w:tcW w:w="524" w:type="pct"/>
          </w:tcPr>
          <w:p w14:paraId="6876BF73" w14:textId="77777777" w:rsidR="00A00405" w:rsidRPr="0010725E" w:rsidRDefault="00A00405" w:rsidP="00A00405">
            <w:pPr>
              <w:spacing w:after="120"/>
              <w:jc w:val="center"/>
              <w:rPr>
                <w:szCs w:val="22"/>
              </w:rPr>
            </w:pPr>
            <w:r w:rsidRPr="0010725E">
              <w:rPr>
                <w:szCs w:val="22"/>
              </w:rPr>
              <w:t>km</w:t>
            </w:r>
            <w:r w:rsidRPr="0010725E">
              <w:rPr>
                <w:szCs w:val="22"/>
                <w:vertAlign w:val="superscript"/>
              </w:rPr>
              <w:t>3</w:t>
            </w:r>
            <w:r w:rsidRPr="0010725E">
              <w:rPr>
                <w:szCs w:val="22"/>
              </w:rPr>
              <w:t xml:space="preserve"> yr</w:t>
            </w:r>
            <w:r w:rsidRPr="0010725E">
              <w:rPr>
                <w:szCs w:val="22"/>
                <w:vertAlign w:val="superscript"/>
              </w:rPr>
              <w:t>-1</w:t>
            </w:r>
          </w:p>
        </w:tc>
        <w:tc>
          <w:tcPr>
            <w:tcW w:w="651" w:type="pct"/>
          </w:tcPr>
          <w:p w14:paraId="2E9B9B9D" w14:textId="77777777" w:rsidR="00A00405" w:rsidRPr="0010725E" w:rsidRDefault="00A00405" w:rsidP="00A00405">
            <w:pPr>
              <w:spacing w:after="120"/>
              <w:jc w:val="center"/>
              <w:rPr>
                <w:szCs w:val="22"/>
              </w:rPr>
            </w:pPr>
            <w:r w:rsidRPr="0010725E">
              <w:rPr>
                <w:szCs w:val="22"/>
              </w:rPr>
              <w:t>% of total</w:t>
            </w:r>
          </w:p>
        </w:tc>
        <w:tc>
          <w:tcPr>
            <w:tcW w:w="601" w:type="pct"/>
          </w:tcPr>
          <w:p w14:paraId="22AD91AE" w14:textId="77777777" w:rsidR="00A00405" w:rsidRPr="0010725E" w:rsidRDefault="00A00405" w:rsidP="00A00405">
            <w:pPr>
              <w:spacing w:after="120"/>
              <w:jc w:val="center"/>
              <w:rPr>
                <w:szCs w:val="22"/>
              </w:rPr>
            </w:pPr>
            <w:r w:rsidRPr="0010725E">
              <w:rPr>
                <w:szCs w:val="22"/>
              </w:rPr>
              <w:t>km</w:t>
            </w:r>
            <w:r w:rsidRPr="0010725E">
              <w:rPr>
                <w:szCs w:val="22"/>
                <w:vertAlign w:val="superscript"/>
              </w:rPr>
              <w:t>3</w:t>
            </w:r>
            <w:r w:rsidRPr="0010725E">
              <w:rPr>
                <w:szCs w:val="22"/>
              </w:rPr>
              <w:t xml:space="preserve"> yr</w:t>
            </w:r>
            <w:r w:rsidRPr="0010725E">
              <w:rPr>
                <w:szCs w:val="22"/>
                <w:vertAlign w:val="superscript"/>
              </w:rPr>
              <w:t>-1</w:t>
            </w:r>
          </w:p>
        </w:tc>
        <w:tc>
          <w:tcPr>
            <w:tcW w:w="584" w:type="pct"/>
          </w:tcPr>
          <w:p w14:paraId="77BA8A29" w14:textId="77777777" w:rsidR="00A00405" w:rsidRPr="0010725E" w:rsidRDefault="00A00405" w:rsidP="00A00405">
            <w:pPr>
              <w:spacing w:after="120"/>
              <w:jc w:val="center"/>
              <w:rPr>
                <w:szCs w:val="22"/>
              </w:rPr>
            </w:pPr>
            <w:r w:rsidRPr="0010725E">
              <w:rPr>
                <w:szCs w:val="22"/>
              </w:rPr>
              <w:t>% of total</w:t>
            </w:r>
          </w:p>
        </w:tc>
        <w:tc>
          <w:tcPr>
            <w:tcW w:w="546" w:type="pct"/>
          </w:tcPr>
          <w:p w14:paraId="4A5351D0" w14:textId="77777777" w:rsidR="00A00405" w:rsidRPr="0010725E" w:rsidRDefault="00A00405" w:rsidP="00A00405">
            <w:pPr>
              <w:spacing w:after="120"/>
              <w:jc w:val="center"/>
              <w:rPr>
                <w:szCs w:val="22"/>
              </w:rPr>
            </w:pPr>
            <w:r w:rsidRPr="0010725E">
              <w:rPr>
                <w:szCs w:val="22"/>
              </w:rPr>
              <w:t>km</w:t>
            </w:r>
            <w:r w:rsidRPr="0010725E">
              <w:rPr>
                <w:szCs w:val="22"/>
                <w:vertAlign w:val="superscript"/>
              </w:rPr>
              <w:t>3</w:t>
            </w:r>
            <w:r w:rsidRPr="0010725E">
              <w:rPr>
                <w:szCs w:val="22"/>
              </w:rPr>
              <w:t xml:space="preserve"> yr</w:t>
            </w:r>
            <w:r w:rsidRPr="0010725E">
              <w:rPr>
                <w:szCs w:val="22"/>
                <w:vertAlign w:val="superscript"/>
              </w:rPr>
              <w:t>-1</w:t>
            </w:r>
          </w:p>
        </w:tc>
      </w:tr>
      <w:tr w:rsidR="00A00405" w:rsidRPr="0010725E" w14:paraId="3EA5D9D7" w14:textId="77777777" w:rsidTr="00881509">
        <w:trPr>
          <w:trHeight w:val="352"/>
        </w:trPr>
        <w:tc>
          <w:tcPr>
            <w:tcW w:w="938" w:type="pct"/>
          </w:tcPr>
          <w:p w14:paraId="4EB6BA9C" w14:textId="77777777" w:rsidR="00A00405" w:rsidRPr="0010725E" w:rsidRDefault="00A00405" w:rsidP="00A00405">
            <w:pPr>
              <w:spacing w:after="120"/>
              <w:rPr>
                <w:b/>
                <w:szCs w:val="22"/>
              </w:rPr>
            </w:pPr>
            <w:r w:rsidRPr="0010725E">
              <w:rPr>
                <w:b/>
                <w:szCs w:val="22"/>
              </w:rPr>
              <w:t>North America</w:t>
            </w:r>
          </w:p>
        </w:tc>
        <w:tc>
          <w:tcPr>
            <w:tcW w:w="526" w:type="pct"/>
          </w:tcPr>
          <w:p w14:paraId="5321C804" w14:textId="77777777" w:rsidR="00A00405" w:rsidRPr="0010725E" w:rsidRDefault="00A00405" w:rsidP="00A00405">
            <w:pPr>
              <w:spacing w:after="120"/>
              <w:jc w:val="center"/>
              <w:rPr>
                <w:szCs w:val="22"/>
              </w:rPr>
            </w:pPr>
            <w:r w:rsidRPr="0010725E">
              <w:rPr>
                <w:szCs w:val="22"/>
              </w:rPr>
              <w:t>68.0</w:t>
            </w:r>
          </w:p>
        </w:tc>
        <w:tc>
          <w:tcPr>
            <w:tcW w:w="630" w:type="pct"/>
          </w:tcPr>
          <w:p w14:paraId="52031705" w14:textId="77777777" w:rsidR="00A00405" w:rsidRPr="0010725E" w:rsidRDefault="00A00405" w:rsidP="00A00405">
            <w:pPr>
              <w:spacing w:after="120"/>
              <w:jc w:val="center"/>
              <w:rPr>
                <w:szCs w:val="22"/>
              </w:rPr>
            </w:pPr>
            <w:r w:rsidRPr="0010725E">
              <w:rPr>
                <w:szCs w:val="22"/>
              </w:rPr>
              <w:t>13.0</w:t>
            </w:r>
          </w:p>
        </w:tc>
        <w:tc>
          <w:tcPr>
            <w:tcW w:w="524" w:type="pct"/>
          </w:tcPr>
          <w:p w14:paraId="5B97054A" w14:textId="77777777" w:rsidR="00A00405" w:rsidRPr="0010725E" w:rsidRDefault="00A00405" w:rsidP="00A00405">
            <w:pPr>
              <w:spacing w:after="120"/>
              <w:jc w:val="center"/>
              <w:rPr>
                <w:szCs w:val="22"/>
              </w:rPr>
            </w:pPr>
            <w:r w:rsidRPr="0010725E">
              <w:rPr>
                <w:szCs w:val="22"/>
              </w:rPr>
              <w:t>281.5</w:t>
            </w:r>
          </w:p>
        </w:tc>
        <w:tc>
          <w:tcPr>
            <w:tcW w:w="651" w:type="pct"/>
            <w:shd w:val="clear" w:color="auto" w:fill="D0CECE"/>
          </w:tcPr>
          <w:p w14:paraId="4BB2C5FE" w14:textId="77777777" w:rsidR="00A00405" w:rsidRPr="0010725E" w:rsidRDefault="00A00405" w:rsidP="00A00405">
            <w:pPr>
              <w:spacing w:after="120"/>
              <w:jc w:val="center"/>
              <w:rPr>
                <w:szCs w:val="22"/>
              </w:rPr>
            </w:pPr>
            <w:r w:rsidRPr="0010725E">
              <w:rPr>
                <w:szCs w:val="22"/>
              </w:rPr>
              <w:t>53.1</w:t>
            </w:r>
          </w:p>
        </w:tc>
        <w:tc>
          <w:tcPr>
            <w:tcW w:w="601" w:type="pct"/>
          </w:tcPr>
          <w:p w14:paraId="24628082" w14:textId="77777777" w:rsidR="00A00405" w:rsidRPr="0010725E" w:rsidRDefault="00A00405" w:rsidP="00A00405">
            <w:pPr>
              <w:spacing w:after="120"/>
              <w:jc w:val="center"/>
              <w:rPr>
                <w:szCs w:val="22"/>
              </w:rPr>
            </w:pPr>
            <w:r w:rsidRPr="0010725E">
              <w:rPr>
                <w:szCs w:val="22"/>
              </w:rPr>
              <w:t>179.8</w:t>
            </w:r>
          </w:p>
        </w:tc>
        <w:tc>
          <w:tcPr>
            <w:tcW w:w="584" w:type="pct"/>
          </w:tcPr>
          <w:p w14:paraId="71E8CFE5" w14:textId="77777777" w:rsidR="00A00405" w:rsidRPr="0010725E" w:rsidRDefault="00A00405" w:rsidP="00A00405">
            <w:pPr>
              <w:spacing w:after="120"/>
              <w:jc w:val="center"/>
              <w:rPr>
                <w:szCs w:val="22"/>
              </w:rPr>
            </w:pPr>
            <w:r w:rsidRPr="0010725E">
              <w:rPr>
                <w:szCs w:val="22"/>
              </w:rPr>
              <w:t>34.6</w:t>
            </w:r>
          </w:p>
        </w:tc>
        <w:tc>
          <w:tcPr>
            <w:tcW w:w="546" w:type="pct"/>
          </w:tcPr>
          <w:p w14:paraId="0B7C67C6" w14:textId="77777777" w:rsidR="00A00405" w:rsidRPr="0010725E" w:rsidRDefault="00A00405" w:rsidP="00A00405">
            <w:pPr>
              <w:spacing w:after="120"/>
              <w:jc w:val="center"/>
              <w:rPr>
                <w:szCs w:val="22"/>
              </w:rPr>
            </w:pPr>
            <w:r w:rsidRPr="0010725E">
              <w:rPr>
                <w:szCs w:val="22"/>
              </w:rPr>
              <w:t>610.0</w:t>
            </w:r>
          </w:p>
        </w:tc>
      </w:tr>
      <w:tr w:rsidR="00A00405" w:rsidRPr="0010725E" w14:paraId="40ECE249" w14:textId="77777777" w:rsidTr="00881509">
        <w:trPr>
          <w:trHeight w:val="352"/>
        </w:trPr>
        <w:tc>
          <w:tcPr>
            <w:tcW w:w="938" w:type="pct"/>
          </w:tcPr>
          <w:p w14:paraId="7BA2EECF" w14:textId="77777777" w:rsidR="00A00405" w:rsidRPr="0010725E" w:rsidRDefault="00A00405" w:rsidP="00A00405">
            <w:pPr>
              <w:spacing w:after="120"/>
              <w:rPr>
                <w:b/>
                <w:szCs w:val="22"/>
              </w:rPr>
            </w:pPr>
            <w:r w:rsidRPr="0010725E">
              <w:rPr>
                <w:b/>
                <w:szCs w:val="22"/>
              </w:rPr>
              <w:t>Mesoamerica</w:t>
            </w:r>
          </w:p>
        </w:tc>
        <w:tc>
          <w:tcPr>
            <w:tcW w:w="526" w:type="pct"/>
          </w:tcPr>
          <w:p w14:paraId="34B07602" w14:textId="77777777" w:rsidR="00A00405" w:rsidRPr="0010725E" w:rsidRDefault="00A00405" w:rsidP="00A00405">
            <w:pPr>
              <w:spacing w:after="120"/>
              <w:jc w:val="center"/>
              <w:rPr>
                <w:szCs w:val="22"/>
              </w:rPr>
            </w:pPr>
            <w:r w:rsidRPr="0010725E">
              <w:rPr>
                <w:szCs w:val="22"/>
              </w:rPr>
              <w:t>14.7</w:t>
            </w:r>
          </w:p>
        </w:tc>
        <w:tc>
          <w:tcPr>
            <w:tcW w:w="630" w:type="pct"/>
          </w:tcPr>
          <w:p w14:paraId="70ABF979" w14:textId="77777777" w:rsidR="00A00405" w:rsidRPr="0010725E" w:rsidRDefault="00A00405" w:rsidP="00A00405">
            <w:pPr>
              <w:spacing w:after="120"/>
              <w:jc w:val="center"/>
              <w:rPr>
                <w:szCs w:val="22"/>
              </w:rPr>
            </w:pPr>
            <w:r w:rsidRPr="0010725E">
              <w:rPr>
                <w:szCs w:val="22"/>
              </w:rPr>
              <w:t>16.0</w:t>
            </w:r>
          </w:p>
        </w:tc>
        <w:tc>
          <w:tcPr>
            <w:tcW w:w="524" w:type="pct"/>
          </w:tcPr>
          <w:p w14:paraId="108E937E" w14:textId="77777777" w:rsidR="00A00405" w:rsidRPr="0010725E" w:rsidRDefault="00A00405" w:rsidP="00A00405">
            <w:pPr>
              <w:spacing w:after="120"/>
              <w:jc w:val="center"/>
              <w:rPr>
                <w:szCs w:val="22"/>
              </w:rPr>
            </w:pPr>
            <w:r w:rsidRPr="0010725E">
              <w:rPr>
                <w:szCs w:val="22"/>
              </w:rPr>
              <w:t>8.6</w:t>
            </w:r>
          </w:p>
        </w:tc>
        <w:tc>
          <w:tcPr>
            <w:tcW w:w="651" w:type="pct"/>
          </w:tcPr>
          <w:p w14:paraId="48BCF80E" w14:textId="77777777" w:rsidR="00A00405" w:rsidRPr="0010725E" w:rsidRDefault="00A00405" w:rsidP="00A00405">
            <w:pPr>
              <w:spacing w:after="120"/>
              <w:jc w:val="center"/>
              <w:rPr>
                <w:szCs w:val="22"/>
              </w:rPr>
            </w:pPr>
            <w:r w:rsidRPr="0010725E">
              <w:rPr>
                <w:szCs w:val="22"/>
              </w:rPr>
              <w:t>9.0</w:t>
            </w:r>
          </w:p>
        </w:tc>
        <w:tc>
          <w:tcPr>
            <w:tcW w:w="601" w:type="pct"/>
          </w:tcPr>
          <w:p w14:paraId="1484FC2B" w14:textId="77777777" w:rsidR="00A00405" w:rsidRPr="0010725E" w:rsidRDefault="00A00405" w:rsidP="00A00405">
            <w:pPr>
              <w:spacing w:after="120"/>
              <w:jc w:val="center"/>
              <w:rPr>
                <w:szCs w:val="22"/>
              </w:rPr>
            </w:pPr>
            <w:r w:rsidRPr="0010725E">
              <w:rPr>
                <w:szCs w:val="22"/>
              </w:rPr>
              <w:t>79.1</w:t>
            </w:r>
          </w:p>
        </w:tc>
        <w:tc>
          <w:tcPr>
            <w:tcW w:w="584" w:type="pct"/>
            <w:shd w:val="clear" w:color="auto" w:fill="D0CECE"/>
          </w:tcPr>
          <w:p w14:paraId="4CCAB13F" w14:textId="77777777" w:rsidR="00A00405" w:rsidRPr="0010725E" w:rsidRDefault="00A00405" w:rsidP="00A00405">
            <w:pPr>
              <w:spacing w:after="120"/>
              <w:jc w:val="center"/>
              <w:rPr>
                <w:szCs w:val="22"/>
              </w:rPr>
            </w:pPr>
            <w:r w:rsidRPr="0010725E">
              <w:rPr>
                <w:szCs w:val="22"/>
              </w:rPr>
              <w:t>75.0</w:t>
            </w:r>
          </w:p>
        </w:tc>
        <w:tc>
          <w:tcPr>
            <w:tcW w:w="546" w:type="pct"/>
          </w:tcPr>
          <w:p w14:paraId="16FE9D80" w14:textId="77777777" w:rsidR="00A00405" w:rsidRPr="0010725E" w:rsidRDefault="00A00405" w:rsidP="00A00405">
            <w:pPr>
              <w:spacing w:after="120"/>
              <w:jc w:val="center"/>
              <w:rPr>
                <w:szCs w:val="22"/>
              </w:rPr>
            </w:pPr>
            <w:r w:rsidRPr="0010725E">
              <w:rPr>
                <w:szCs w:val="22"/>
              </w:rPr>
              <w:t>92.4</w:t>
            </w:r>
          </w:p>
        </w:tc>
      </w:tr>
      <w:tr w:rsidR="00A00405" w:rsidRPr="0010725E" w14:paraId="4BF6D999" w14:textId="77777777" w:rsidTr="00881509">
        <w:trPr>
          <w:trHeight w:val="364"/>
        </w:trPr>
        <w:tc>
          <w:tcPr>
            <w:tcW w:w="938" w:type="pct"/>
          </w:tcPr>
          <w:p w14:paraId="5AB1D97E" w14:textId="77777777" w:rsidR="00A00405" w:rsidRPr="0010725E" w:rsidRDefault="00A00405" w:rsidP="00A00405">
            <w:pPr>
              <w:spacing w:after="120"/>
              <w:rPr>
                <w:b/>
                <w:szCs w:val="22"/>
              </w:rPr>
            </w:pPr>
            <w:r w:rsidRPr="0010725E">
              <w:rPr>
                <w:b/>
                <w:szCs w:val="22"/>
              </w:rPr>
              <w:t xml:space="preserve">Caribbean </w:t>
            </w:r>
          </w:p>
        </w:tc>
        <w:tc>
          <w:tcPr>
            <w:tcW w:w="526" w:type="pct"/>
          </w:tcPr>
          <w:p w14:paraId="73F1A1D8" w14:textId="77777777" w:rsidR="00A00405" w:rsidRPr="0010725E" w:rsidRDefault="00A00405" w:rsidP="00A00405">
            <w:pPr>
              <w:spacing w:after="120"/>
              <w:jc w:val="center"/>
              <w:rPr>
                <w:szCs w:val="22"/>
              </w:rPr>
            </w:pPr>
            <w:r w:rsidRPr="0010725E">
              <w:rPr>
                <w:szCs w:val="22"/>
              </w:rPr>
              <w:t>4.4</w:t>
            </w:r>
          </w:p>
        </w:tc>
        <w:tc>
          <w:tcPr>
            <w:tcW w:w="630" w:type="pct"/>
          </w:tcPr>
          <w:p w14:paraId="17DACAF7" w14:textId="77777777" w:rsidR="00A00405" w:rsidRPr="0010725E" w:rsidRDefault="00A00405" w:rsidP="00A00405">
            <w:pPr>
              <w:spacing w:after="120"/>
              <w:jc w:val="center"/>
              <w:rPr>
                <w:szCs w:val="22"/>
              </w:rPr>
            </w:pPr>
            <w:r w:rsidRPr="0010725E">
              <w:rPr>
                <w:szCs w:val="22"/>
              </w:rPr>
              <w:t>21.0</w:t>
            </w:r>
          </w:p>
        </w:tc>
        <w:tc>
          <w:tcPr>
            <w:tcW w:w="524" w:type="pct"/>
          </w:tcPr>
          <w:p w14:paraId="3FA923FF" w14:textId="77777777" w:rsidR="00A00405" w:rsidRPr="0010725E" w:rsidRDefault="00A00405" w:rsidP="00A00405">
            <w:pPr>
              <w:spacing w:after="120"/>
              <w:jc w:val="center"/>
              <w:rPr>
                <w:szCs w:val="22"/>
              </w:rPr>
            </w:pPr>
            <w:r w:rsidRPr="0010725E">
              <w:rPr>
                <w:szCs w:val="22"/>
              </w:rPr>
              <w:t>4.7</w:t>
            </w:r>
          </w:p>
        </w:tc>
        <w:tc>
          <w:tcPr>
            <w:tcW w:w="651" w:type="pct"/>
          </w:tcPr>
          <w:p w14:paraId="56D6C54D" w14:textId="77777777" w:rsidR="00A00405" w:rsidRPr="0010725E" w:rsidRDefault="00A00405" w:rsidP="00A00405">
            <w:pPr>
              <w:spacing w:after="120"/>
              <w:jc w:val="center"/>
              <w:rPr>
                <w:szCs w:val="22"/>
              </w:rPr>
            </w:pPr>
            <w:r w:rsidRPr="0010725E">
              <w:rPr>
                <w:szCs w:val="22"/>
              </w:rPr>
              <w:t>22.4</w:t>
            </w:r>
          </w:p>
        </w:tc>
        <w:tc>
          <w:tcPr>
            <w:tcW w:w="601" w:type="pct"/>
          </w:tcPr>
          <w:p w14:paraId="085C08BF" w14:textId="77777777" w:rsidR="00A00405" w:rsidRPr="0010725E" w:rsidRDefault="00A00405" w:rsidP="00A00405">
            <w:pPr>
              <w:spacing w:after="120"/>
              <w:jc w:val="center"/>
              <w:rPr>
                <w:szCs w:val="22"/>
              </w:rPr>
            </w:pPr>
            <w:r w:rsidRPr="0010725E">
              <w:rPr>
                <w:szCs w:val="22"/>
              </w:rPr>
              <w:t>12.1</w:t>
            </w:r>
          </w:p>
        </w:tc>
        <w:tc>
          <w:tcPr>
            <w:tcW w:w="584" w:type="pct"/>
            <w:shd w:val="clear" w:color="auto" w:fill="D0CECE"/>
          </w:tcPr>
          <w:p w14:paraId="4DC83ED5" w14:textId="77777777" w:rsidR="00A00405" w:rsidRPr="0010725E" w:rsidRDefault="00A00405" w:rsidP="00A00405">
            <w:pPr>
              <w:spacing w:after="120"/>
              <w:jc w:val="center"/>
              <w:rPr>
                <w:szCs w:val="22"/>
              </w:rPr>
            </w:pPr>
            <w:r w:rsidRPr="0010725E">
              <w:rPr>
                <w:szCs w:val="22"/>
              </w:rPr>
              <w:t>67.6</w:t>
            </w:r>
          </w:p>
        </w:tc>
        <w:tc>
          <w:tcPr>
            <w:tcW w:w="546" w:type="pct"/>
          </w:tcPr>
          <w:p w14:paraId="161F5B1B" w14:textId="77777777" w:rsidR="00A00405" w:rsidRPr="0010725E" w:rsidRDefault="00A00405" w:rsidP="00A00405">
            <w:pPr>
              <w:spacing w:after="120"/>
              <w:jc w:val="center"/>
              <w:rPr>
                <w:szCs w:val="22"/>
              </w:rPr>
            </w:pPr>
            <w:r w:rsidRPr="0010725E">
              <w:rPr>
                <w:szCs w:val="22"/>
              </w:rPr>
              <w:t>21.1</w:t>
            </w:r>
          </w:p>
        </w:tc>
      </w:tr>
      <w:tr w:rsidR="00A00405" w:rsidRPr="0010725E" w14:paraId="4BA5021B" w14:textId="77777777" w:rsidTr="00881509">
        <w:trPr>
          <w:trHeight w:val="352"/>
        </w:trPr>
        <w:tc>
          <w:tcPr>
            <w:tcW w:w="938" w:type="pct"/>
          </w:tcPr>
          <w:p w14:paraId="5806A4A9" w14:textId="77777777" w:rsidR="00A00405" w:rsidRPr="0010725E" w:rsidRDefault="00A00405" w:rsidP="00A00405">
            <w:pPr>
              <w:spacing w:after="120"/>
              <w:rPr>
                <w:b/>
                <w:szCs w:val="22"/>
              </w:rPr>
            </w:pPr>
            <w:r w:rsidRPr="0010725E">
              <w:rPr>
                <w:b/>
                <w:szCs w:val="22"/>
              </w:rPr>
              <w:t>South America</w:t>
            </w:r>
          </w:p>
        </w:tc>
        <w:tc>
          <w:tcPr>
            <w:tcW w:w="526" w:type="pct"/>
          </w:tcPr>
          <w:p w14:paraId="11E7DEAF" w14:textId="77777777" w:rsidR="00A00405" w:rsidRPr="0010725E" w:rsidRDefault="00A00405" w:rsidP="00A00405">
            <w:pPr>
              <w:spacing w:after="120"/>
              <w:jc w:val="center"/>
              <w:rPr>
                <w:szCs w:val="22"/>
              </w:rPr>
            </w:pPr>
            <w:r w:rsidRPr="0010725E">
              <w:rPr>
                <w:szCs w:val="22"/>
              </w:rPr>
              <w:t>36.0</w:t>
            </w:r>
          </w:p>
        </w:tc>
        <w:tc>
          <w:tcPr>
            <w:tcW w:w="630" w:type="pct"/>
          </w:tcPr>
          <w:p w14:paraId="075699A6" w14:textId="77777777" w:rsidR="00A00405" w:rsidRPr="0010725E" w:rsidRDefault="00A00405" w:rsidP="00A00405">
            <w:pPr>
              <w:spacing w:after="120"/>
              <w:jc w:val="center"/>
              <w:rPr>
                <w:szCs w:val="22"/>
              </w:rPr>
            </w:pPr>
            <w:r w:rsidRPr="0010725E">
              <w:rPr>
                <w:szCs w:val="22"/>
              </w:rPr>
              <w:t>17.0</w:t>
            </w:r>
          </w:p>
        </w:tc>
        <w:tc>
          <w:tcPr>
            <w:tcW w:w="524" w:type="pct"/>
          </w:tcPr>
          <w:p w14:paraId="20512004" w14:textId="77777777" w:rsidR="00A00405" w:rsidRPr="0010725E" w:rsidRDefault="00A00405" w:rsidP="00A00405">
            <w:pPr>
              <w:spacing w:after="120"/>
              <w:jc w:val="center"/>
              <w:rPr>
                <w:szCs w:val="22"/>
              </w:rPr>
            </w:pPr>
            <w:r w:rsidRPr="0010725E">
              <w:rPr>
                <w:szCs w:val="22"/>
              </w:rPr>
              <w:t>26.0</w:t>
            </w:r>
          </w:p>
        </w:tc>
        <w:tc>
          <w:tcPr>
            <w:tcW w:w="651" w:type="pct"/>
          </w:tcPr>
          <w:p w14:paraId="63460175" w14:textId="77777777" w:rsidR="00A00405" w:rsidRPr="0010725E" w:rsidRDefault="00A00405" w:rsidP="00A00405">
            <w:pPr>
              <w:spacing w:after="120"/>
              <w:jc w:val="center"/>
              <w:rPr>
                <w:szCs w:val="22"/>
              </w:rPr>
            </w:pPr>
            <w:r w:rsidRPr="0010725E">
              <w:rPr>
                <w:szCs w:val="22"/>
              </w:rPr>
              <w:t>12.0</w:t>
            </w:r>
          </w:p>
        </w:tc>
        <w:tc>
          <w:tcPr>
            <w:tcW w:w="601" w:type="pct"/>
          </w:tcPr>
          <w:p w14:paraId="0FB2D4B3" w14:textId="77777777" w:rsidR="00A00405" w:rsidRPr="0010725E" w:rsidRDefault="00A00405" w:rsidP="00A00405">
            <w:pPr>
              <w:spacing w:after="120"/>
              <w:jc w:val="center"/>
              <w:rPr>
                <w:szCs w:val="22"/>
              </w:rPr>
            </w:pPr>
            <w:r w:rsidRPr="0010725E">
              <w:rPr>
                <w:szCs w:val="22"/>
              </w:rPr>
              <w:t>154</w:t>
            </w:r>
          </w:p>
        </w:tc>
        <w:tc>
          <w:tcPr>
            <w:tcW w:w="584" w:type="pct"/>
            <w:shd w:val="clear" w:color="auto" w:fill="D0CECE"/>
          </w:tcPr>
          <w:p w14:paraId="5A969FC8" w14:textId="77777777" w:rsidR="00A00405" w:rsidRPr="0010725E" w:rsidRDefault="00A00405" w:rsidP="00A00405">
            <w:pPr>
              <w:spacing w:after="120"/>
              <w:jc w:val="center"/>
              <w:rPr>
                <w:szCs w:val="22"/>
              </w:rPr>
            </w:pPr>
            <w:r w:rsidRPr="0010725E">
              <w:rPr>
                <w:szCs w:val="22"/>
              </w:rPr>
              <w:t>71.0</w:t>
            </w:r>
          </w:p>
        </w:tc>
        <w:tc>
          <w:tcPr>
            <w:tcW w:w="546" w:type="pct"/>
          </w:tcPr>
          <w:p w14:paraId="5F7CA3CE" w14:textId="77777777" w:rsidR="00A00405" w:rsidRPr="0010725E" w:rsidRDefault="00A00405" w:rsidP="00A00405">
            <w:pPr>
              <w:spacing w:after="120"/>
              <w:jc w:val="center"/>
              <w:rPr>
                <w:szCs w:val="22"/>
              </w:rPr>
            </w:pPr>
            <w:r w:rsidRPr="0010725E">
              <w:rPr>
                <w:szCs w:val="22"/>
              </w:rPr>
              <w:t>216.0</w:t>
            </w:r>
          </w:p>
        </w:tc>
      </w:tr>
      <w:tr w:rsidR="00A00405" w:rsidRPr="0010725E" w14:paraId="2A0435D0" w14:textId="77777777" w:rsidTr="00881509">
        <w:trPr>
          <w:trHeight w:val="230"/>
        </w:trPr>
        <w:tc>
          <w:tcPr>
            <w:tcW w:w="4999" w:type="pct"/>
            <w:gridSpan w:val="8"/>
          </w:tcPr>
          <w:p w14:paraId="144EB1B5" w14:textId="312BF876" w:rsidR="00A00405" w:rsidRPr="0010725E" w:rsidRDefault="00322A42" w:rsidP="00322A42">
            <w:pPr>
              <w:rPr>
                <w:sz w:val="20"/>
                <w:szCs w:val="20"/>
              </w:rPr>
            </w:pPr>
            <w:r w:rsidRPr="0010725E">
              <w:rPr>
                <w:sz w:val="20"/>
                <w:szCs w:val="20"/>
              </w:rPr>
              <w:t>Source: FAO Aquastat (</w:t>
            </w:r>
            <w:r w:rsidR="00A00405" w:rsidRPr="0010725E">
              <w:rPr>
                <w:sz w:val="20"/>
                <w:szCs w:val="20"/>
              </w:rPr>
              <w:t>2015</w:t>
            </w:r>
            <w:r w:rsidRPr="0010725E">
              <w:rPr>
                <w:sz w:val="20"/>
                <w:szCs w:val="20"/>
              </w:rPr>
              <w:t>)</w:t>
            </w:r>
            <w:r w:rsidR="00A00405" w:rsidRPr="0010725E">
              <w:rPr>
                <w:sz w:val="20"/>
                <w:szCs w:val="20"/>
              </w:rPr>
              <w:t xml:space="preserve"> </w:t>
            </w:r>
          </w:p>
        </w:tc>
      </w:tr>
    </w:tbl>
    <w:p w14:paraId="7E9123DB" w14:textId="06CC3872" w:rsidR="00A00405" w:rsidRPr="008608AA" w:rsidRDefault="00A00405" w:rsidP="00881509">
      <w:pPr>
        <w:spacing w:before="240" w:after="120"/>
      </w:pPr>
      <w:r w:rsidRPr="008608AA">
        <w:t xml:space="preserve">Human appropriation of freshwater supplies (water volume consumed) can be assessed using the water footprint (Figure 2.30), represented by three components: blue water (the surface and ground water consumed, for example in irrigated agriculture, industry, and domestic), green water (rainwater stored in soil that is consumed, </w:t>
      </w:r>
      <w:r w:rsidR="00847F60" w:rsidRPr="008608AA">
        <w:t>e.g.</w:t>
      </w:r>
      <w:r w:rsidRPr="008608AA">
        <w:t xml:space="preserve"> in crop production) and grey water (freshwater required to assimilate waste using existing water quality standards; Figure 2.31). The global water footprint between 1996-2005 was 9</w:t>
      </w:r>
      <w:r w:rsidR="00955B83" w:rsidRPr="008608AA">
        <w:t>,</w:t>
      </w:r>
      <w:r w:rsidRPr="008608AA">
        <w:t xml:space="preserve">087 billion cubic meters per year; agricultural production contributes 92% to the total footprint. </w:t>
      </w:r>
    </w:p>
    <w:p w14:paraId="21198AB6" w14:textId="77777777" w:rsidR="00A00405" w:rsidRPr="008608AA" w:rsidRDefault="00A00405" w:rsidP="00881509">
      <w:pPr>
        <w:spacing w:after="120"/>
      </w:pPr>
      <w:r w:rsidRPr="008608AA">
        <w:t xml:space="preserve">A substantial portion (20%) of the global water footprint supports agricultural production for export to other countries, or </w:t>
      </w:r>
      <w:r w:rsidRPr="008608AA">
        <w:rPr>
          <w:i/>
        </w:rPr>
        <w:t>virtual water</w:t>
      </w:r>
      <w:r w:rsidRPr="008608AA">
        <w:t xml:space="preserve"> (the flow of water hidden in food and other commodities). This allows water poor regions to support larger human populations by importing water intensive crops, thereby preserving local water resources. Subregions in the Americas tend to be major water exporters, particularly the USA, Brazil, Argentina, and Canada (Figure 2.32, Mekonnen &amp; Hoekstra, 2011).</w:t>
      </w:r>
    </w:p>
    <w:p w14:paraId="083BCEEF" w14:textId="77777777" w:rsidR="00881509" w:rsidRPr="008608AA" w:rsidRDefault="00881509" w:rsidP="00A00405"/>
    <w:p w14:paraId="797E5F3E" w14:textId="193ADBA5" w:rsidR="00881509" w:rsidRPr="008608AA" w:rsidRDefault="00E4616E" w:rsidP="00881509">
      <w:pPr>
        <w:jc w:val="center"/>
      </w:pPr>
      <w:r w:rsidRPr="008608AA">
        <w:rPr>
          <w:noProof/>
          <w:lang w:val="en-GB" w:eastAsia="en-GB"/>
        </w:rPr>
        <w:drawing>
          <wp:inline distT="0" distB="0" distL="0" distR="0" wp14:anchorId="10318630" wp14:editId="2E0A8392">
            <wp:extent cx="5934075" cy="4743450"/>
            <wp:effectExtent l="0" t="0" r="9525" b="0"/>
            <wp:docPr id="240" name="Imagen 240" descr="C:\Users\Alejandro Valderrama\Downloads\Fig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1" descr="C:\Users\Alejandro Valderrama\Downloads\Fig2.30.jpg"/>
                    <pic:cNvPicPr>
                      <a:picLocks noChangeAspect="1" noChangeArrowheads="1"/>
                    </pic:cNvPicPr>
                  </pic:nvPicPr>
                  <pic:blipFill rotWithShape="1">
                    <a:blip r:embed="rId96">
                      <a:extLst>
                        <a:ext uri="{28A0092B-C50C-407E-A947-70E740481C1C}">
                          <a14:useLocalDpi xmlns:a14="http://schemas.microsoft.com/office/drawing/2010/main" val="0"/>
                        </a:ext>
                      </a:extLst>
                    </a:blip>
                    <a:srcRect b="44544"/>
                    <a:stretch/>
                  </pic:blipFill>
                  <pic:spPr bwMode="auto">
                    <a:xfrm>
                      <a:off x="0" y="0"/>
                      <a:ext cx="5934075" cy="4743450"/>
                    </a:xfrm>
                    <a:prstGeom prst="rect">
                      <a:avLst/>
                    </a:prstGeom>
                    <a:noFill/>
                    <a:ln>
                      <a:noFill/>
                    </a:ln>
                    <a:extLst>
                      <a:ext uri="{53640926-AAD7-44D8-BBD7-CCE9431645EC}">
                        <a14:shadowObscured xmlns:a14="http://schemas.microsoft.com/office/drawing/2010/main"/>
                      </a:ext>
                    </a:extLst>
                  </pic:spPr>
                </pic:pic>
              </a:graphicData>
            </a:graphic>
          </wp:inline>
        </w:drawing>
      </w:r>
    </w:p>
    <w:p w14:paraId="7615F3E3" w14:textId="1972320C" w:rsidR="00881509" w:rsidRPr="008608AA" w:rsidRDefault="00E4616E" w:rsidP="00E4616E">
      <w:pPr>
        <w:spacing w:before="240"/>
      </w:pPr>
      <w:r w:rsidRPr="008608AA">
        <w:rPr>
          <w:noProof/>
          <w:lang w:val="en-GB" w:eastAsia="en-GB"/>
        </w:rPr>
        <w:drawing>
          <wp:inline distT="0" distB="0" distL="0" distR="0" wp14:anchorId="16C31080" wp14:editId="60527B11">
            <wp:extent cx="5934075" cy="3571875"/>
            <wp:effectExtent l="0" t="0" r="9525" b="9525"/>
            <wp:docPr id="241" name="Imagen 241" descr="C:\Users\Alejandro Valderrama\Downloads\Fig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3" descr="C:\Users\Alejandro Valderrama\Downloads\Fig2.31.jpg"/>
                    <pic:cNvPicPr>
                      <a:picLocks noChangeAspect="1" noChangeArrowheads="1"/>
                    </pic:cNvPicPr>
                  </pic:nvPicPr>
                  <pic:blipFill rotWithShape="1">
                    <a:blip r:embed="rId97">
                      <a:extLst>
                        <a:ext uri="{28A0092B-C50C-407E-A947-70E740481C1C}">
                          <a14:useLocalDpi xmlns:a14="http://schemas.microsoft.com/office/drawing/2010/main" val="0"/>
                        </a:ext>
                      </a:extLst>
                    </a:blip>
                    <a:srcRect b="58240"/>
                    <a:stretch/>
                  </pic:blipFill>
                  <pic:spPr bwMode="auto">
                    <a:xfrm>
                      <a:off x="0" y="0"/>
                      <a:ext cx="5934075" cy="3571875"/>
                    </a:xfrm>
                    <a:prstGeom prst="rect">
                      <a:avLst/>
                    </a:prstGeom>
                    <a:noFill/>
                    <a:ln>
                      <a:noFill/>
                    </a:ln>
                    <a:extLst>
                      <a:ext uri="{53640926-AAD7-44D8-BBD7-CCE9431645EC}">
                        <a14:shadowObscured xmlns:a14="http://schemas.microsoft.com/office/drawing/2010/main"/>
                      </a:ext>
                    </a:extLst>
                  </pic:spPr>
                </pic:pic>
              </a:graphicData>
            </a:graphic>
          </wp:inline>
        </w:drawing>
      </w:r>
    </w:p>
    <w:p w14:paraId="0C2724CE" w14:textId="3F39D094" w:rsidR="00881509" w:rsidRPr="008608AA" w:rsidRDefault="00E4616E" w:rsidP="00881509">
      <w:pPr>
        <w:spacing w:before="240" w:after="120"/>
        <w:jc w:val="center"/>
      </w:pPr>
      <w:r w:rsidRPr="008608AA">
        <w:rPr>
          <w:noProof/>
          <w:lang w:val="en-GB" w:eastAsia="en-GB"/>
        </w:rPr>
        <w:drawing>
          <wp:inline distT="0" distB="0" distL="0" distR="0" wp14:anchorId="30B01882" wp14:editId="5A567ECD">
            <wp:extent cx="5934075" cy="3381375"/>
            <wp:effectExtent l="0" t="0" r="9525" b="9525"/>
            <wp:docPr id="242" name="Imagen 242" descr="C:\Users\Alejandro Valderrama\Downloads\Fig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5" descr="C:\Users\Alejandro Valderrama\Downloads\Fig2.32.jpg"/>
                    <pic:cNvPicPr>
                      <a:picLocks noChangeAspect="1" noChangeArrowheads="1"/>
                    </pic:cNvPicPr>
                  </pic:nvPicPr>
                  <pic:blipFill rotWithShape="1">
                    <a:blip r:embed="rId98">
                      <a:extLst>
                        <a:ext uri="{28A0092B-C50C-407E-A947-70E740481C1C}">
                          <a14:useLocalDpi xmlns:a14="http://schemas.microsoft.com/office/drawing/2010/main" val="0"/>
                        </a:ext>
                      </a:extLst>
                    </a:blip>
                    <a:srcRect b="60468"/>
                    <a:stretch/>
                  </pic:blipFill>
                  <pic:spPr bwMode="auto">
                    <a:xfrm>
                      <a:off x="0" y="0"/>
                      <a:ext cx="5934075" cy="3381375"/>
                    </a:xfrm>
                    <a:prstGeom prst="rect">
                      <a:avLst/>
                    </a:prstGeom>
                    <a:noFill/>
                    <a:ln>
                      <a:noFill/>
                    </a:ln>
                    <a:extLst>
                      <a:ext uri="{53640926-AAD7-44D8-BBD7-CCE9431645EC}">
                        <a14:shadowObscured xmlns:a14="http://schemas.microsoft.com/office/drawing/2010/main"/>
                      </a:ext>
                    </a:extLst>
                  </pic:spPr>
                </pic:pic>
              </a:graphicData>
            </a:graphic>
          </wp:inline>
        </w:drawing>
      </w:r>
    </w:p>
    <w:p w14:paraId="6FCB9736" w14:textId="48C4B521" w:rsidR="00A00405" w:rsidRPr="008608AA" w:rsidRDefault="00A00405" w:rsidP="00881509">
      <w:pPr>
        <w:spacing w:before="240" w:after="120"/>
      </w:pPr>
      <w:r w:rsidRPr="008608AA">
        <w:t xml:space="preserve">Effective water management is dependent on effective land management (Bossio et al., 2010). Natural ecosystems such as forests, wetlands, riparian zones and floodplains, and grasslands help to maintain water quality through filtration, groundwater renewal, and maintenance of natural flows (Honda &amp; Durigan, 2016). The loss of natural ecosystems reduces their benefits, presenting risks to human health in the form of decreased drinking water quality, higher water costs that have a greater impact on the poor, and decreases in crop yields and hydroelectric power due to reduced flows in the dry season (Postel &amp; Thompson, 2005). The benefits of maintaining healthy watersheds to preserve water supplies are well supported, although insufficient, across the Americas. For example, in Quito, Ecuador, more than 1.5 million residents receive drinking water from two protected areas in the Andes, the Cayambe - Coca (400,00 ha) and Antisana ecological reserves (120,000 ha).  As part of Ecuador’s National Parks System, these areas are also used for cattle, dairy, and timber production, and supports a human population of 27,000. A trust fund was established to provide payments to landowners in return for their work to protect water quality (Pagiola et al., 2002). In the Dominican Republic, the Madre de las Aguas Conservation Area conserves the source of 17 rivers that provide water for irrigation and domestic use to over half of the country’s population. The area makes up about 5% of the area of the Dominican Republic, and contains many local stakeholders that live in small rural communities. It also supports a rich diversity of species.  The protected watershed of Banff National Park in Canada flows into Alberta’s Bow River Basin that is home to 1.2 million people. These areas support mixed use while supplying drinking water, for example by providing recreational opportunities and support to farmers and industries (WCPA, 2012). In Central America, the city of Tegucigalpa in Honduras is one of several large Latin American cities that protect surrounding cloud forest to guarantee water supplies, in this case in the La Tigra National Park (Hamilton, 2008). In Costa Rica, </w:t>
      </w:r>
      <w:r w:rsidRPr="008608AA">
        <w:rPr>
          <w:i/>
        </w:rPr>
        <w:t>Agua Tica</w:t>
      </w:r>
      <w:r w:rsidRPr="008608AA">
        <w:t xml:space="preserve"> is an initiative to contribute to water security of the Greater Metropolitan Area of San Jose through watershed conservation. In California, USA, around 85% of San Francisco’s drinking water comes from snowmelt captured in a reservoir in Yosemite National Park</w:t>
      </w:r>
      <w:r w:rsidRPr="008608AA">
        <w:rPr>
          <w:sz w:val="20"/>
          <w:szCs w:val="20"/>
          <w:vertAlign w:val="superscript"/>
        </w:rPr>
        <w:t xml:space="preserve"> </w:t>
      </w:r>
      <w:r w:rsidRPr="008608AA">
        <w:t xml:space="preserve">(CBD, 2008). In nearly all of these cases (and there are other examples) the beneficiaries of the water supply services are not the same as those who bear the costs of providing those benefits. Linking the providers to the beneficiaries is important in designing the mechanisms that make agreements possible, for example direct payments and/or trust funds to provide grants to support environmentally sustainable development projects for communities in the watersheds. Thus, watershed protection can be integrated with rural development and livelihoods (Postel &amp; Thompson, 2005). </w:t>
      </w:r>
    </w:p>
    <w:p w14:paraId="1D8C9E11" w14:textId="77777777" w:rsidR="00881509" w:rsidRPr="008608AA" w:rsidRDefault="00A00405" w:rsidP="00881509">
      <w:pPr>
        <w:spacing w:after="120"/>
      </w:pPr>
      <w:r w:rsidRPr="008608AA">
        <w:t>Wetlands are particularly effective at regulating flows and purifying water. The Ramsar Convention lists wetlands that have been designated as Wetlands of International Importance and promotes their wise use in the context of sustainable development to benefit people and biodiversity (</w:t>
      </w:r>
      <w:hyperlink r:id="rId99">
        <w:r w:rsidRPr="008608AA">
          <w:rPr>
            <w:color w:val="0000FF"/>
            <w:u w:val="single"/>
          </w:rPr>
          <w:t>www.ramsar.org</w:t>
        </w:r>
      </w:hyperlink>
      <w:r w:rsidRPr="008608AA">
        <w:t>). Nearly 650,000 km</w:t>
      </w:r>
      <w:r w:rsidRPr="008608AA">
        <w:rPr>
          <w:vertAlign w:val="superscript"/>
        </w:rPr>
        <w:t>2</w:t>
      </w:r>
      <w:r w:rsidRPr="008608AA">
        <w:t xml:space="preserve"> of wetlands have been designated as internationally important in the Americas, over half of which is in South America (see Figure 2.16). This reflects their links to food security and livelihoods, for example over 660 million people globally rely on fishing and aquaculture for a living, and many fish species reproduce in coastal wetlands, contributing to dietary diversity. Ramsar wetlands also allow for continued socio-cultural traditions and income generation (Horwitz et al.,</w:t>
      </w:r>
      <w:r w:rsidR="00955B83" w:rsidRPr="008608AA">
        <w:t xml:space="preserve"> 2012). </w:t>
      </w:r>
      <w:r w:rsidRPr="008608AA">
        <w:t>For this reason, Mexico proposed and the Ramsar Convention accepted in its 12</w:t>
      </w:r>
      <w:r w:rsidRPr="008608AA">
        <w:rPr>
          <w:vertAlign w:val="superscript"/>
        </w:rPr>
        <w:t>th</w:t>
      </w:r>
      <w:r w:rsidRPr="008608AA">
        <w:t xml:space="preserve"> Conference of the Parties (Uruguay 2015) the Resolution XII.12 for ensuring and protecting the freshwater incomes from the wise use of wetlands and so conserving benefits provided to society, at the present and in the future (</w:t>
      </w:r>
      <w:hyperlink r:id="rId100">
        <w:r w:rsidRPr="008608AA">
          <w:rPr>
            <w:color w:val="0000FF"/>
            <w:u w:val="single"/>
          </w:rPr>
          <w:t>http://www.ramsar.org/sites/default/files/documents/library/cop12_res12_water_requirements_e.pdf</w:t>
        </w:r>
      </w:hyperlink>
      <w:r w:rsidRPr="008608AA">
        <w:t>). Despite the benefits of designation, there are gaps in the designation of internationally important wetlands, for example the Cerrado wetlands (</w:t>
      </w:r>
      <w:r w:rsidRPr="008608AA">
        <w:rPr>
          <w:i/>
        </w:rPr>
        <w:t>Veredas</w:t>
      </w:r>
      <w:r w:rsidRPr="008608AA">
        <w:t>) are vital for the regulation of water flows of most rivers in Brazil yet have not been recognized. Over the next 20 years, there will be unprecedented pressure on resources in the Americas as global demands for food, energy, and shelter increase. At the center of the crisis is water (UN, 2013).</w:t>
      </w:r>
    </w:p>
    <w:p w14:paraId="7074E781" w14:textId="3698B550" w:rsidR="00A00405" w:rsidRPr="008608AA" w:rsidRDefault="00A00405" w:rsidP="00881509">
      <w:pPr>
        <w:spacing w:after="120"/>
      </w:pPr>
      <w:r w:rsidRPr="008608AA">
        <w:t xml:space="preserve">  </w:t>
      </w:r>
    </w:p>
    <w:p w14:paraId="4FE2277D" w14:textId="34680160" w:rsidR="00A00405" w:rsidRPr="008608AA" w:rsidRDefault="00DA20B6" w:rsidP="00881509">
      <w:pPr>
        <w:pStyle w:val="Heading3"/>
      </w:pPr>
      <w:bookmarkStart w:id="712" w:name="_Toc517393271"/>
      <w:bookmarkStart w:id="713" w:name="_Toc517719012"/>
      <w:bookmarkStart w:id="714" w:name="_Toc517796969"/>
      <w:r w:rsidRPr="008608AA">
        <w:t>Energy s</w:t>
      </w:r>
      <w:r w:rsidR="00A00405" w:rsidRPr="008608AA">
        <w:t>ecurity</w:t>
      </w:r>
      <w:bookmarkEnd w:id="712"/>
      <w:bookmarkEnd w:id="713"/>
      <w:bookmarkEnd w:id="714"/>
      <w:r w:rsidR="00A00405" w:rsidRPr="008608AA">
        <w:t xml:space="preserve"> </w:t>
      </w:r>
    </w:p>
    <w:p w14:paraId="3211C858" w14:textId="674327FC" w:rsidR="00A00405" w:rsidRPr="008608AA" w:rsidRDefault="00A00405" w:rsidP="00881509">
      <w:pPr>
        <w:spacing w:after="120"/>
      </w:pPr>
      <w:r w:rsidRPr="008608AA">
        <w:t xml:space="preserve">The UN defines energy security as being able to have access to clean, reliable and affordable energy, which is crucial for such human activities as cooking, heating, lighting, communications and production, but in addition we must consider the reliability and price of the energy source (IEA, 2017). From the perspective of sustainability, energy has been described as “the golden thread” connecting economic growth, social equity, and environmental sustainability. With this in mind, the UN General Assembly in 2012 embraced the ‘Sustainable Energy for All’ objectives for 2030, aiming to: 1) achieve universal access to modern energy, 2) double the historic rate of improvement of energy efficiency, and 3) double the share of renewable energy in the </w:t>
      </w:r>
      <w:r w:rsidR="00955B83" w:rsidRPr="008608AA">
        <w:t>global energy mix. In 2015, SDG</w:t>
      </w:r>
      <w:r w:rsidRPr="008608AA">
        <w:t>7 was adopted for 2030, to “ensure access to affordable, reliable, sustainable, and modern energy for all,” building further on the three Sustainable Energy for All objectives. Later in 2015, at the historic 21st Conference of the Parties to the UN Framework Convention on Climate Change, countries from</w:t>
      </w:r>
      <w:r w:rsidR="00955B83" w:rsidRPr="008608AA">
        <w:t xml:space="preserve"> around the world committed to nationally determined c</w:t>
      </w:r>
      <w:r w:rsidRPr="008608AA">
        <w:t xml:space="preserve">ontributions, many calling for progress on the sustainable energy agenda (IEA, 2017). As a result, SDG 7 is interconnected with all other SDGs. </w:t>
      </w:r>
    </w:p>
    <w:p w14:paraId="6F3F9AF4" w14:textId="77777777" w:rsidR="00A00405" w:rsidRPr="008608AA" w:rsidRDefault="00A00405" w:rsidP="00881509">
      <w:pPr>
        <w:spacing w:after="120"/>
      </w:pPr>
      <w:r w:rsidRPr="008608AA">
        <w:t xml:space="preserve">In about 33% of the countries of the Americas, including the North American countries of Canada and USA, 100% of people have access to electric power, in the other 67% at least 80 % have access, with exception of Haiti where only 38% of the population receives electric power. The role biodiversity plays in providing energy through fuelwood for cooking, heating and lighting in localities with little or no access to electric power is enormous, although it is often poorly quantified. Hence, unsustainable use of fuelwood in such areas is a major threat to energy security, particularly for the already disadvantage people. </w:t>
      </w:r>
    </w:p>
    <w:p w14:paraId="76286B50" w14:textId="77777777" w:rsidR="00A00405" w:rsidRPr="008608AA" w:rsidRDefault="00A00405" w:rsidP="00881509">
      <w:pPr>
        <w:spacing w:after="120"/>
      </w:pPr>
      <w:r w:rsidRPr="008608AA">
        <w:t>When discussing energy security in the context of NCP, it is important to realize that only part of the past, current and future energy supply comes from nature: other sources not considered in this framework, including fossil fuels and those renewables that are derived from solar and wind. Considering the fast changes in the energy sector, in terms of main energy sources, production and transportation structure and also demands, embedded in complex political settings and unequal distribution of different energy sources around the world, an assessment of NCP contribution to energy security is difficult. Overall energy security, including aspects related to energy equity and sustainability, is high for North American countries, intermediate for South American countries and low for Caribbean and Central American countries.</w:t>
      </w:r>
    </w:p>
    <w:p w14:paraId="07A9D2D4" w14:textId="77777777" w:rsidR="00A00405" w:rsidRPr="008608AA" w:rsidRDefault="00A00405" w:rsidP="00881509">
      <w:pPr>
        <w:spacing w:after="120"/>
      </w:pPr>
      <w:r w:rsidRPr="008608AA">
        <w:t>The World Energy Council (2017) considers Latin America, with its high dependence on hydropower for electricity production, as vulnerable to extreme climate events and facing socio-economic challenges from the impacts of large hydropower projects. The report also acknowledges the surprisingly low use of renewable energies based on sun and wind, despite high potential. Development of these techniques could not only be efficient in terms of energy security, but also to decrease pressures on NCP by reducing emissions of climate-relevant gases from fossil fuels and impact of hydropower or biomass extraction. In the USA, in contrast, electrical generation from non-hydro renewables (including solar, wind and biomass-based energy) has more than tripled over the past decade, surpassing in 2014 hydro-power electrical generation (EIA, 2017), thus reducing direct pressures on NCP. In many parts of the Americas, however we can expect conflicts between energy security and food security, in particular as fossil fuels will be replaced by fuels derived from biomass (Fischer et al. 2009, Koizumi 2014). This is also expressed in the values of the World Energy Council’s Energy Trilemma Index that ranks countries based on the three dimensions energy security, enerqy equity (accessability and affordability) and environmental sustainability (Table 2.18).</w:t>
      </w:r>
    </w:p>
    <w:p w14:paraId="431E9ACB" w14:textId="78E04C48" w:rsidR="00DA20B6"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18</w:t>
      </w:r>
      <w:r w:rsidR="000E562E">
        <w:rPr>
          <w:noProof/>
        </w:rPr>
        <w:fldChar w:fldCharType="end"/>
      </w:r>
      <w:r w:rsidR="00881509" w:rsidRPr="008608AA">
        <w:t xml:space="preserve">. The Energy Trilemma Index is shown from countries in the Americas. This index includes energy security, energy equity and environmental sustainability to produce an overall score. Country rank indicates the position of each in the context of the global list, which goes from 1 (Switzerland) to 125 (Benin).  </w:t>
      </w:r>
    </w:p>
    <w:tbl>
      <w:tblPr>
        <w:tblW w:w="5000" w:type="pct"/>
        <w:jc w:val="center"/>
        <w:tblLook w:val="0400" w:firstRow="0" w:lastRow="0" w:firstColumn="0" w:lastColumn="0" w:noHBand="0" w:noVBand="1"/>
      </w:tblPr>
      <w:tblGrid>
        <w:gridCol w:w="1561"/>
        <w:gridCol w:w="2150"/>
        <w:gridCol w:w="1778"/>
        <w:gridCol w:w="1607"/>
        <w:gridCol w:w="2391"/>
      </w:tblGrid>
      <w:tr w:rsidR="00A00405" w:rsidRPr="0010725E" w14:paraId="2EB23D97" w14:textId="77777777" w:rsidTr="00881509">
        <w:trPr>
          <w:trHeight w:val="180"/>
          <w:jc w:val="center"/>
        </w:trPr>
        <w:tc>
          <w:tcPr>
            <w:tcW w:w="82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B569945" w14:textId="77777777" w:rsidR="00A00405" w:rsidRPr="0010725E" w:rsidRDefault="00A00405" w:rsidP="00A00405">
            <w:pPr>
              <w:keepNext/>
              <w:keepLines/>
              <w:jc w:val="center"/>
              <w:rPr>
                <w:b/>
                <w:szCs w:val="22"/>
              </w:rPr>
            </w:pPr>
            <w:r w:rsidRPr="0010725E">
              <w:rPr>
                <w:b/>
                <w:szCs w:val="22"/>
              </w:rPr>
              <w:t>Country rank</w:t>
            </w:r>
          </w:p>
        </w:tc>
        <w:tc>
          <w:tcPr>
            <w:tcW w:w="113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442CDED" w14:textId="77777777" w:rsidR="00A00405" w:rsidRPr="0010725E" w:rsidRDefault="00A00405" w:rsidP="00A00405">
            <w:pPr>
              <w:keepNext/>
              <w:keepLines/>
              <w:jc w:val="center"/>
              <w:rPr>
                <w:b/>
                <w:szCs w:val="22"/>
              </w:rPr>
            </w:pPr>
            <w:r w:rsidRPr="0010725E">
              <w:rPr>
                <w:b/>
                <w:szCs w:val="22"/>
              </w:rPr>
              <w:t>Subregion/Country</w:t>
            </w:r>
          </w:p>
        </w:tc>
        <w:tc>
          <w:tcPr>
            <w:tcW w:w="93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1E2B91E" w14:textId="77777777" w:rsidR="00A00405" w:rsidRPr="0010725E" w:rsidRDefault="00A00405" w:rsidP="00A00405">
            <w:pPr>
              <w:jc w:val="center"/>
              <w:rPr>
                <w:b/>
                <w:szCs w:val="22"/>
              </w:rPr>
            </w:pPr>
            <w:r w:rsidRPr="0010725E">
              <w:rPr>
                <w:b/>
                <w:szCs w:val="22"/>
              </w:rPr>
              <w:t>Energy Security</w:t>
            </w:r>
          </w:p>
        </w:tc>
        <w:tc>
          <w:tcPr>
            <w:tcW w:w="84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1E47A55" w14:textId="77777777" w:rsidR="00A00405" w:rsidRPr="0010725E" w:rsidRDefault="00A00405" w:rsidP="00A00405">
            <w:pPr>
              <w:jc w:val="center"/>
              <w:rPr>
                <w:b/>
                <w:szCs w:val="22"/>
              </w:rPr>
            </w:pPr>
            <w:r w:rsidRPr="0010725E">
              <w:rPr>
                <w:b/>
                <w:szCs w:val="22"/>
              </w:rPr>
              <w:t>Energy Equity</w:t>
            </w:r>
          </w:p>
        </w:tc>
        <w:tc>
          <w:tcPr>
            <w:tcW w:w="126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535DED3" w14:textId="77777777" w:rsidR="00A00405" w:rsidRPr="0010725E" w:rsidRDefault="00A00405" w:rsidP="00A00405">
            <w:pPr>
              <w:jc w:val="center"/>
              <w:rPr>
                <w:b/>
                <w:szCs w:val="22"/>
              </w:rPr>
            </w:pPr>
            <w:r w:rsidRPr="0010725E">
              <w:rPr>
                <w:b/>
                <w:szCs w:val="22"/>
              </w:rPr>
              <w:t>Environmental Sustainability</w:t>
            </w:r>
          </w:p>
        </w:tc>
      </w:tr>
      <w:tr w:rsidR="00A00405" w:rsidRPr="0010725E" w14:paraId="392AD25B" w14:textId="77777777" w:rsidTr="00881509">
        <w:trPr>
          <w:trHeight w:val="160"/>
          <w:jc w:val="center"/>
        </w:trPr>
        <w:tc>
          <w:tcPr>
            <w:tcW w:w="82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6F183EE" w14:textId="77777777" w:rsidR="00A00405" w:rsidRPr="0010725E" w:rsidRDefault="00A00405" w:rsidP="00A00405">
            <w:pPr>
              <w:jc w:val="center"/>
              <w:rPr>
                <w:szCs w:val="22"/>
              </w:rPr>
            </w:pPr>
          </w:p>
        </w:tc>
        <w:tc>
          <w:tcPr>
            <w:tcW w:w="113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A5EEC2B" w14:textId="77777777" w:rsidR="00A00405" w:rsidRPr="0010725E" w:rsidRDefault="00A00405" w:rsidP="00A00405">
            <w:pPr>
              <w:jc w:val="center"/>
              <w:rPr>
                <w:szCs w:val="22"/>
              </w:rPr>
            </w:pPr>
            <w:r w:rsidRPr="0010725E">
              <w:rPr>
                <w:szCs w:val="22"/>
              </w:rPr>
              <w:t>Caribbean</w:t>
            </w:r>
          </w:p>
        </w:tc>
        <w:tc>
          <w:tcPr>
            <w:tcW w:w="937"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6971BFE" w14:textId="77777777" w:rsidR="00A00405" w:rsidRPr="0010725E" w:rsidRDefault="00A00405" w:rsidP="00A00405">
            <w:pPr>
              <w:jc w:val="center"/>
              <w:rPr>
                <w:szCs w:val="22"/>
              </w:rPr>
            </w:pPr>
          </w:p>
        </w:tc>
        <w:tc>
          <w:tcPr>
            <w:tcW w:w="847"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E19A82F" w14:textId="77777777" w:rsidR="00A00405" w:rsidRPr="0010725E" w:rsidRDefault="00A00405" w:rsidP="00A00405">
            <w:pPr>
              <w:jc w:val="center"/>
              <w:rPr>
                <w:szCs w:val="22"/>
              </w:rPr>
            </w:pPr>
          </w:p>
        </w:tc>
        <w:tc>
          <w:tcPr>
            <w:tcW w:w="126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955BC70" w14:textId="77777777" w:rsidR="00A00405" w:rsidRPr="0010725E" w:rsidRDefault="00A00405" w:rsidP="00A00405">
            <w:pPr>
              <w:jc w:val="center"/>
              <w:rPr>
                <w:szCs w:val="22"/>
              </w:rPr>
            </w:pPr>
          </w:p>
        </w:tc>
      </w:tr>
      <w:tr w:rsidR="00A00405" w:rsidRPr="0010725E" w14:paraId="5C7AC95A" w14:textId="77777777" w:rsidTr="00881509">
        <w:trPr>
          <w:trHeight w:val="80"/>
          <w:jc w:val="center"/>
        </w:trPr>
        <w:tc>
          <w:tcPr>
            <w:tcW w:w="823" w:type="pct"/>
            <w:tcBorders>
              <w:top w:val="single" w:sz="4" w:space="0" w:color="auto"/>
              <w:left w:val="single" w:sz="4" w:space="0" w:color="000000"/>
              <w:bottom w:val="single" w:sz="4" w:space="0" w:color="000000"/>
              <w:right w:val="single" w:sz="4" w:space="0" w:color="000000"/>
            </w:tcBorders>
            <w:vAlign w:val="bottom"/>
          </w:tcPr>
          <w:p w14:paraId="3AD4B358" w14:textId="77777777" w:rsidR="00A00405" w:rsidRPr="0010725E" w:rsidRDefault="00A00405" w:rsidP="00A00405">
            <w:pPr>
              <w:jc w:val="center"/>
              <w:rPr>
                <w:szCs w:val="22"/>
              </w:rPr>
            </w:pPr>
            <w:r w:rsidRPr="0010725E">
              <w:rPr>
                <w:szCs w:val="22"/>
              </w:rPr>
              <w:t>77</w:t>
            </w:r>
          </w:p>
        </w:tc>
        <w:tc>
          <w:tcPr>
            <w:tcW w:w="1133" w:type="pct"/>
            <w:tcBorders>
              <w:top w:val="single" w:sz="4" w:space="0" w:color="auto"/>
              <w:left w:val="single" w:sz="4" w:space="0" w:color="000000"/>
              <w:bottom w:val="single" w:sz="4" w:space="0" w:color="000000"/>
              <w:right w:val="single" w:sz="4" w:space="0" w:color="000000"/>
            </w:tcBorders>
            <w:shd w:val="clear" w:color="auto" w:fill="auto"/>
            <w:vAlign w:val="bottom"/>
          </w:tcPr>
          <w:p w14:paraId="0CF0F8FC" w14:textId="77777777" w:rsidR="00A00405" w:rsidRPr="0010725E" w:rsidRDefault="00A00405" w:rsidP="00A00405">
            <w:pPr>
              <w:jc w:val="center"/>
              <w:rPr>
                <w:szCs w:val="22"/>
              </w:rPr>
            </w:pPr>
            <w:r w:rsidRPr="0010725E">
              <w:rPr>
                <w:szCs w:val="22"/>
              </w:rPr>
              <w:t>Dominican Republic</w:t>
            </w:r>
          </w:p>
        </w:tc>
        <w:tc>
          <w:tcPr>
            <w:tcW w:w="937" w:type="pct"/>
            <w:tcBorders>
              <w:top w:val="single" w:sz="4" w:space="0" w:color="auto"/>
              <w:left w:val="nil"/>
              <w:bottom w:val="single" w:sz="4" w:space="0" w:color="000000"/>
              <w:right w:val="single" w:sz="4" w:space="0" w:color="000000"/>
            </w:tcBorders>
            <w:shd w:val="clear" w:color="auto" w:fill="auto"/>
            <w:vAlign w:val="bottom"/>
          </w:tcPr>
          <w:p w14:paraId="138C9000" w14:textId="77777777" w:rsidR="00A00405" w:rsidRPr="0010725E" w:rsidRDefault="00A00405" w:rsidP="00A00405">
            <w:pPr>
              <w:jc w:val="center"/>
              <w:rPr>
                <w:szCs w:val="22"/>
              </w:rPr>
            </w:pPr>
            <w:r w:rsidRPr="0010725E">
              <w:rPr>
                <w:szCs w:val="22"/>
              </w:rPr>
              <w:t>121</w:t>
            </w:r>
          </w:p>
        </w:tc>
        <w:tc>
          <w:tcPr>
            <w:tcW w:w="847" w:type="pct"/>
            <w:tcBorders>
              <w:top w:val="single" w:sz="4" w:space="0" w:color="auto"/>
              <w:left w:val="nil"/>
              <w:bottom w:val="single" w:sz="4" w:space="0" w:color="000000"/>
              <w:right w:val="single" w:sz="4" w:space="0" w:color="000000"/>
            </w:tcBorders>
            <w:shd w:val="clear" w:color="auto" w:fill="auto"/>
            <w:vAlign w:val="bottom"/>
          </w:tcPr>
          <w:p w14:paraId="127D092C" w14:textId="77777777" w:rsidR="00A00405" w:rsidRPr="0010725E" w:rsidRDefault="00A00405" w:rsidP="00A00405">
            <w:pPr>
              <w:jc w:val="center"/>
              <w:rPr>
                <w:szCs w:val="22"/>
              </w:rPr>
            </w:pPr>
            <w:r w:rsidRPr="0010725E">
              <w:rPr>
                <w:szCs w:val="22"/>
              </w:rPr>
              <w:t>75</w:t>
            </w:r>
          </w:p>
        </w:tc>
        <w:tc>
          <w:tcPr>
            <w:tcW w:w="1260" w:type="pct"/>
            <w:tcBorders>
              <w:top w:val="single" w:sz="4" w:space="0" w:color="auto"/>
              <w:left w:val="nil"/>
              <w:bottom w:val="single" w:sz="4" w:space="0" w:color="000000"/>
              <w:right w:val="single" w:sz="4" w:space="0" w:color="000000"/>
            </w:tcBorders>
            <w:shd w:val="clear" w:color="auto" w:fill="auto"/>
            <w:vAlign w:val="bottom"/>
          </w:tcPr>
          <w:p w14:paraId="61D5A729" w14:textId="77777777" w:rsidR="00A00405" w:rsidRPr="0010725E" w:rsidRDefault="00A00405" w:rsidP="00A00405">
            <w:pPr>
              <w:jc w:val="center"/>
              <w:rPr>
                <w:szCs w:val="22"/>
              </w:rPr>
            </w:pPr>
            <w:r w:rsidRPr="0010725E">
              <w:rPr>
                <w:szCs w:val="22"/>
              </w:rPr>
              <w:t>13</w:t>
            </w:r>
          </w:p>
        </w:tc>
      </w:tr>
      <w:tr w:rsidR="00A00405" w:rsidRPr="0010725E" w14:paraId="43E36CFD" w14:textId="77777777" w:rsidTr="00A00405">
        <w:trPr>
          <w:trHeight w:val="80"/>
          <w:jc w:val="center"/>
        </w:trPr>
        <w:tc>
          <w:tcPr>
            <w:tcW w:w="823" w:type="pct"/>
            <w:tcBorders>
              <w:top w:val="nil"/>
              <w:left w:val="single" w:sz="4" w:space="0" w:color="000000"/>
              <w:bottom w:val="single" w:sz="4" w:space="0" w:color="000000"/>
              <w:right w:val="single" w:sz="4" w:space="0" w:color="000000"/>
            </w:tcBorders>
            <w:vAlign w:val="bottom"/>
          </w:tcPr>
          <w:p w14:paraId="6D8B6C64" w14:textId="77777777" w:rsidR="00A00405" w:rsidRPr="0010725E" w:rsidRDefault="00A00405" w:rsidP="00A00405">
            <w:pPr>
              <w:jc w:val="center"/>
              <w:rPr>
                <w:szCs w:val="22"/>
              </w:rPr>
            </w:pPr>
            <w:r w:rsidRPr="0010725E">
              <w:rPr>
                <w:szCs w:val="22"/>
              </w:rPr>
              <w:t>79</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18CA2B59" w14:textId="77777777" w:rsidR="00A00405" w:rsidRPr="0010725E" w:rsidRDefault="00A00405" w:rsidP="00A00405">
            <w:pPr>
              <w:jc w:val="center"/>
              <w:rPr>
                <w:szCs w:val="22"/>
              </w:rPr>
            </w:pPr>
            <w:r w:rsidRPr="0010725E">
              <w:rPr>
                <w:szCs w:val="22"/>
              </w:rPr>
              <w:t>Panama</w:t>
            </w:r>
          </w:p>
        </w:tc>
        <w:tc>
          <w:tcPr>
            <w:tcW w:w="937" w:type="pct"/>
            <w:tcBorders>
              <w:top w:val="nil"/>
              <w:left w:val="nil"/>
              <w:bottom w:val="single" w:sz="4" w:space="0" w:color="000000"/>
              <w:right w:val="single" w:sz="4" w:space="0" w:color="000000"/>
            </w:tcBorders>
            <w:shd w:val="clear" w:color="auto" w:fill="auto"/>
            <w:vAlign w:val="bottom"/>
          </w:tcPr>
          <w:p w14:paraId="1EEDA1EB" w14:textId="77777777" w:rsidR="00A00405" w:rsidRPr="0010725E" w:rsidRDefault="00A00405" w:rsidP="00A00405">
            <w:pPr>
              <w:jc w:val="center"/>
              <w:rPr>
                <w:szCs w:val="22"/>
              </w:rPr>
            </w:pPr>
            <w:r w:rsidRPr="0010725E">
              <w:rPr>
                <w:szCs w:val="22"/>
              </w:rPr>
              <w:t>118</w:t>
            </w:r>
          </w:p>
        </w:tc>
        <w:tc>
          <w:tcPr>
            <w:tcW w:w="847" w:type="pct"/>
            <w:tcBorders>
              <w:top w:val="nil"/>
              <w:left w:val="nil"/>
              <w:bottom w:val="single" w:sz="4" w:space="0" w:color="000000"/>
              <w:right w:val="single" w:sz="4" w:space="0" w:color="000000"/>
            </w:tcBorders>
            <w:shd w:val="clear" w:color="auto" w:fill="auto"/>
            <w:vAlign w:val="bottom"/>
          </w:tcPr>
          <w:p w14:paraId="1D696AC5" w14:textId="77777777" w:rsidR="00A00405" w:rsidRPr="0010725E" w:rsidRDefault="00A00405" w:rsidP="00A00405">
            <w:pPr>
              <w:jc w:val="center"/>
              <w:rPr>
                <w:szCs w:val="22"/>
              </w:rPr>
            </w:pPr>
            <w:r w:rsidRPr="0010725E">
              <w:rPr>
                <w:szCs w:val="22"/>
              </w:rPr>
              <w:t>76</w:t>
            </w:r>
          </w:p>
        </w:tc>
        <w:tc>
          <w:tcPr>
            <w:tcW w:w="1260" w:type="pct"/>
            <w:tcBorders>
              <w:top w:val="nil"/>
              <w:left w:val="nil"/>
              <w:bottom w:val="single" w:sz="4" w:space="0" w:color="000000"/>
              <w:right w:val="single" w:sz="4" w:space="0" w:color="000000"/>
            </w:tcBorders>
            <w:shd w:val="clear" w:color="auto" w:fill="auto"/>
            <w:vAlign w:val="bottom"/>
          </w:tcPr>
          <w:p w14:paraId="7031DC75" w14:textId="77777777" w:rsidR="00A00405" w:rsidRPr="0010725E" w:rsidRDefault="00A00405" w:rsidP="00A00405">
            <w:pPr>
              <w:jc w:val="center"/>
              <w:rPr>
                <w:szCs w:val="22"/>
              </w:rPr>
            </w:pPr>
            <w:r w:rsidRPr="0010725E">
              <w:rPr>
                <w:szCs w:val="22"/>
              </w:rPr>
              <w:t>47</w:t>
            </w:r>
          </w:p>
        </w:tc>
      </w:tr>
      <w:tr w:rsidR="00A00405" w:rsidRPr="0010725E" w14:paraId="748C2E02" w14:textId="77777777" w:rsidTr="00A00405">
        <w:trPr>
          <w:trHeight w:val="160"/>
          <w:jc w:val="center"/>
        </w:trPr>
        <w:tc>
          <w:tcPr>
            <w:tcW w:w="823" w:type="pct"/>
            <w:tcBorders>
              <w:top w:val="nil"/>
              <w:left w:val="single" w:sz="4" w:space="0" w:color="000000"/>
              <w:bottom w:val="single" w:sz="4" w:space="0" w:color="000000"/>
              <w:right w:val="single" w:sz="4" w:space="0" w:color="000000"/>
            </w:tcBorders>
            <w:vAlign w:val="bottom"/>
          </w:tcPr>
          <w:p w14:paraId="06D902C0" w14:textId="77777777" w:rsidR="00A00405" w:rsidRPr="0010725E" w:rsidRDefault="00A00405" w:rsidP="00A00405">
            <w:pPr>
              <w:jc w:val="center"/>
              <w:rPr>
                <w:szCs w:val="22"/>
              </w:rPr>
            </w:pPr>
            <w:r w:rsidRPr="0010725E">
              <w:rPr>
                <w:szCs w:val="22"/>
              </w:rPr>
              <w:t>90</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4E4B3540" w14:textId="77777777" w:rsidR="00A00405" w:rsidRPr="0010725E" w:rsidRDefault="00A00405" w:rsidP="00A00405">
            <w:pPr>
              <w:jc w:val="center"/>
              <w:rPr>
                <w:szCs w:val="22"/>
              </w:rPr>
            </w:pPr>
            <w:r w:rsidRPr="0010725E">
              <w:rPr>
                <w:szCs w:val="22"/>
              </w:rPr>
              <w:t>Trinidad &amp; Tobago</w:t>
            </w:r>
          </w:p>
        </w:tc>
        <w:tc>
          <w:tcPr>
            <w:tcW w:w="937" w:type="pct"/>
            <w:tcBorders>
              <w:top w:val="nil"/>
              <w:left w:val="nil"/>
              <w:bottom w:val="single" w:sz="4" w:space="0" w:color="000000"/>
              <w:right w:val="single" w:sz="4" w:space="0" w:color="000000"/>
            </w:tcBorders>
            <w:shd w:val="clear" w:color="auto" w:fill="auto"/>
            <w:vAlign w:val="bottom"/>
          </w:tcPr>
          <w:p w14:paraId="3646A640" w14:textId="77777777" w:rsidR="00A00405" w:rsidRPr="0010725E" w:rsidRDefault="00A00405" w:rsidP="00A00405">
            <w:pPr>
              <w:jc w:val="center"/>
              <w:rPr>
                <w:szCs w:val="22"/>
              </w:rPr>
            </w:pPr>
            <w:r w:rsidRPr="0010725E">
              <w:rPr>
                <w:szCs w:val="22"/>
              </w:rPr>
              <w:t>99</w:t>
            </w:r>
          </w:p>
        </w:tc>
        <w:tc>
          <w:tcPr>
            <w:tcW w:w="847" w:type="pct"/>
            <w:tcBorders>
              <w:top w:val="nil"/>
              <w:left w:val="nil"/>
              <w:bottom w:val="single" w:sz="4" w:space="0" w:color="000000"/>
              <w:right w:val="single" w:sz="4" w:space="0" w:color="000000"/>
            </w:tcBorders>
            <w:shd w:val="clear" w:color="auto" w:fill="auto"/>
            <w:vAlign w:val="bottom"/>
          </w:tcPr>
          <w:p w14:paraId="4F64C276" w14:textId="77777777" w:rsidR="00A00405" w:rsidRPr="0010725E" w:rsidRDefault="00A00405" w:rsidP="00A00405">
            <w:pPr>
              <w:jc w:val="center"/>
              <w:rPr>
                <w:szCs w:val="22"/>
              </w:rPr>
            </w:pPr>
            <w:r w:rsidRPr="0010725E">
              <w:rPr>
                <w:szCs w:val="22"/>
              </w:rPr>
              <w:t>48</w:t>
            </w:r>
          </w:p>
        </w:tc>
        <w:tc>
          <w:tcPr>
            <w:tcW w:w="1260" w:type="pct"/>
            <w:tcBorders>
              <w:top w:val="nil"/>
              <w:left w:val="nil"/>
              <w:bottom w:val="single" w:sz="4" w:space="0" w:color="000000"/>
              <w:right w:val="single" w:sz="4" w:space="0" w:color="000000"/>
            </w:tcBorders>
            <w:shd w:val="clear" w:color="auto" w:fill="auto"/>
            <w:vAlign w:val="bottom"/>
          </w:tcPr>
          <w:p w14:paraId="67850135" w14:textId="77777777" w:rsidR="00A00405" w:rsidRPr="0010725E" w:rsidRDefault="00A00405" w:rsidP="00A00405">
            <w:pPr>
              <w:jc w:val="center"/>
              <w:rPr>
                <w:szCs w:val="22"/>
              </w:rPr>
            </w:pPr>
            <w:r w:rsidRPr="0010725E">
              <w:rPr>
                <w:szCs w:val="22"/>
              </w:rPr>
              <w:t>123</w:t>
            </w:r>
          </w:p>
        </w:tc>
      </w:tr>
      <w:tr w:rsidR="00A00405" w:rsidRPr="0010725E" w14:paraId="6496964F" w14:textId="77777777" w:rsidTr="00A00405">
        <w:trPr>
          <w:trHeight w:val="160"/>
          <w:jc w:val="center"/>
        </w:trPr>
        <w:tc>
          <w:tcPr>
            <w:tcW w:w="823" w:type="pct"/>
            <w:tcBorders>
              <w:top w:val="nil"/>
              <w:left w:val="single" w:sz="4" w:space="0" w:color="000000"/>
              <w:bottom w:val="single" w:sz="4" w:space="0" w:color="000000"/>
              <w:right w:val="single" w:sz="4" w:space="0" w:color="000000"/>
            </w:tcBorders>
            <w:vAlign w:val="bottom"/>
          </w:tcPr>
          <w:p w14:paraId="40CE082D" w14:textId="77777777" w:rsidR="00A00405" w:rsidRPr="0010725E" w:rsidRDefault="00A00405" w:rsidP="00A00405">
            <w:pPr>
              <w:jc w:val="center"/>
              <w:rPr>
                <w:szCs w:val="22"/>
              </w:rPr>
            </w:pPr>
            <w:r w:rsidRPr="0010725E">
              <w:rPr>
                <w:szCs w:val="22"/>
              </w:rPr>
              <w:t>98</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3B1C6D28" w14:textId="77777777" w:rsidR="00A00405" w:rsidRPr="0010725E" w:rsidRDefault="00A00405" w:rsidP="00A00405">
            <w:pPr>
              <w:jc w:val="center"/>
              <w:rPr>
                <w:szCs w:val="22"/>
              </w:rPr>
            </w:pPr>
            <w:r w:rsidRPr="0010725E">
              <w:rPr>
                <w:szCs w:val="22"/>
              </w:rPr>
              <w:t>Jamaica</w:t>
            </w:r>
          </w:p>
        </w:tc>
        <w:tc>
          <w:tcPr>
            <w:tcW w:w="937" w:type="pct"/>
            <w:tcBorders>
              <w:top w:val="nil"/>
              <w:left w:val="nil"/>
              <w:bottom w:val="single" w:sz="4" w:space="0" w:color="000000"/>
              <w:right w:val="single" w:sz="4" w:space="0" w:color="000000"/>
            </w:tcBorders>
            <w:shd w:val="clear" w:color="auto" w:fill="auto"/>
            <w:vAlign w:val="bottom"/>
          </w:tcPr>
          <w:p w14:paraId="4C9463F5" w14:textId="77777777" w:rsidR="00A00405" w:rsidRPr="0010725E" w:rsidRDefault="00A00405" w:rsidP="00A00405">
            <w:pPr>
              <w:jc w:val="center"/>
              <w:rPr>
                <w:szCs w:val="22"/>
              </w:rPr>
            </w:pPr>
            <w:r w:rsidRPr="0010725E">
              <w:rPr>
                <w:szCs w:val="22"/>
              </w:rPr>
              <w:t>120</w:t>
            </w:r>
          </w:p>
        </w:tc>
        <w:tc>
          <w:tcPr>
            <w:tcW w:w="847" w:type="pct"/>
            <w:tcBorders>
              <w:top w:val="nil"/>
              <w:left w:val="nil"/>
              <w:bottom w:val="single" w:sz="4" w:space="0" w:color="000000"/>
              <w:right w:val="single" w:sz="4" w:space="0" w:color="000000"/>
            </w:tcBorders>
            <w:shd w:val="clear" w:color="auto" w:fill="auto"/>
            <w:vAlign w:val="bottom"/>
          </w:tcPr>
          <w:p w14:paraId="73CB9254" w14:textId="77777777" w:rsidR="00A00405" w:rsidRPr="0010725E" w:rsidRDefault="00A00405" w:rsidP="00A00405">
            <w:pPr>
              <w:jc w:val="center"/>
              <w:rPr>
                <w:szCs w:val="22"/>
              </w:rPr>
            </w:pPr>
            <w:r w:rsidRPr="0010725E">
              <w:rPr>
                <w:szCs w:val="22"/>
              </w:rPr>
              <w:t>89</w:t>
            </w:r>
          </w:p>
        </w:tc>
        <w:tc>
          <w:tcPr>
            <w:tcW w:w="1260" w:type="pct"/>
            <w:tcBorders>
              <w:top w:val="nil"/>
              <w:left w:val="nil"/>
              <w:bottom w:val="single" w:sz="4" w:space="0" w:color="000000"/>
              <w:right w:val="single" w:sz="4" w:space="0" w:color="000000"/>
            </w:tcBorders>
            <w:shd w:val="clear" w:color="auto" w:fill="auto"/>
            <w:vAlign w:val="bottom"/>
          </w:tcPr>
          <w:p w14:paraId="63B9A908" w14:textId="77777777" w:rsidR="00A00405" w:rsidRPr="0010725E" w:rsidRDefault="00A00405" w:rsidP="00A00405">
            <w:pPr>
              <w:jc w:val="center"/>
              <w:rPr>
                <w:szCs w:val="22"/>
              </w:rPr>
            </w:pPr>
            <w:r w:rsidRPr="0010725E">
              <w:rPr>
                <w:szCs w:val="22"/>
              </w:rPr>
              <w:t>72</w:t>
            </w:r>
          </w:p>
        </w:tc>
      </w:tr>
      <w:tr w:rsidR="00A00405" w:rsidRPr="0010725E" w14:paraId="0CC7E761" w14:textId="77777777" w:rsidTr="00881509">
        <w:trPr>
          <w:trHeight w:val="160"/>
          <w:jc w:val="center"/>
        </w:trPr>
        <w:tc>
          <w:tcPr>
            <w:tcW w:w="823" w:type="pct"/>
            <w:tcBorders>
              <w:top w:val="single" w:sz="4" w:space="0" w:color="000000"/>
              <w:left w:val="single" w:sz="4" w:space="0" w:color="000000"/>
              <w:bottom w:val="single" w:sz="4" w:space="0" w:color="000000"/>
              <w:right w:val="nil"/>
            </w:tcBorders>
            <w:shd w:val="clear" w:color="auto" w:fill="BFBFBF" w:themeFill="background1" w:themeFillShade="BF"/>
            <w:vAlign w:val="bottom"/>
          </w:tcPr>
          <w:p w14:paraId="00113EF4" w14:textId="77777777" w:rsidR="00A00405" w:rsidRPr="0010725E" w:rsidRDefault="00A00405" w:rsidP="00A00405">
            <w:pPr>
              <w:jc w:val="center"/>
              <w:rPr>
                <w:szCs w:val="22"/>
              </w:rPr>
            </w:pPr>
          </w:p>
        </w:tc>
        <w:tc>
          <w:tcPr>
            <w:tcW w:w="1133" w:type="pct"/>
            <w:tcBorders>
              <w:top w:val="single" w:sz="4" w:space="0" w:color="000000"/>
              <w:left w:val="single" w:sz="4" w:space="0" w:color="000000"/>
              <w:bottom w:val="single" w:sz="4" w:space="0" w:color="000000"/>
              <w:right w:val="nil"/>
            </w:tcBorders>
            <w:shd w:val="clear" w:color="auto" w:fill="BFBFBF" w:themeFill="background1" w:themeFillShade="BF"/>
            <w:vAlign w:val="bottom"/>
          </w:tcPr>
          <w:p w14:paraId="30A8B97C" w14:textId="77777777" w:rsidR="00A00405" w:rsidRPr="0010725E" w:rsidRDefault="00A00405" w:rsidP="00A00405">
            <w:pPr>
              <w:jc w:val="center"/>
              <w:rPr>
                <w:szCs w:val="22"/>
              </w:rPr>
            </w:pPr>
            <w:r w:rsidRPr="0010725E">
              <w:rPr>
                <w:szCs w:val="22"/>
              </w:rPr>
              <w:t>Central America</w:t>
            </w:r>
          </w:p>
        </w:tc>
        <w:tc>
          <w:tcPr>
            <w:tcW w:w="937" w:type="pct"/>
            <w:tcBorders>
              <w:top w:val="single" w:sz="4" w:space="0" w:color="000000"/>
              <w:left w:val="nil"/>
              <w:bottom w:val="single" w:sz="4" w:space="0" w:color="000000"/>
              <w:right w:val="nil"/>
            </w:tcBorders>
            <w:shd w:val="clear" w:color="auto" w:fill="BFBFBF" w:themeFill="background1" w:themeFillShade="BF"/>
            <w:vAlign w:val="bottom"/>
          </w:tcPr>
          <w:p w14:paraId="53E08F48" w14:textId="77777777" w:rsidR="00A00405" w:rsidRPr="0010725E" w:rsidRDefault="00A00405" w:rsidP="00A00405">
            <w:pPr>
              <w:jc w:val="center"/>
              <w:rPr>
                <w:szCs w:val="22"/>
              </w:rPr>
            </w:pPr>
          </w:p>
        </w:tc>
        <w:tc>
          <w:tcPr>
            <w:tcW w:w="847" w:type="pct"/>
            <w:tcBorders>
              <w:top w:val="single" w:sz="4" w:space="0" w:color="000000"/>
              <w:left w:val="nil"/>
              <w:bottom w:val="single" w:sz="4" w:space="0" w:color="000000"/>
              <w:right w:val="nil"/>
            </w:tcBorders>
            <w:shd w:val="clear" w:color="auto" w:fill="BFBFBF" w:themeFill="background1" w:themeFillShade="BF"/>
            <w:vAlign w:val="bottom"/>
          </w:tcPr>
          <w:p w14:paraId="68E59E56" w14:textId="77777777" w:rsidR="00A00405" w:rsidRPr="0010725E" w:rsidRDefault="00A00405" w:rsidP="00A00405">
            <w:pPr>
              <w:jc w:val="center"/>
              <w:rPr>
                <w:szCs w:val="22"/>
              </w:rPr>
            </w:pPr>
          </w:p>
        </w:tc>
        <w:tc>
          <w:tcPr>
            <w:tcW w:w="1260" w:type="pct"/>
            <w:tcBorders>
              <w:top w:val="single" w:sz="4" w:space="0" w:color="000000"/>
              <w:left w:val="nil"/>
              <w:bottom w:val="single" w:sz="4" w:space="0" w:color="000000"/>
              <w:right w:val="single" w:sz="4" w:space="0" w:color="000000"/>
            </w:tcBorders>
            <w:shd w:val="clear" w:color="auto" w:fill="BFBFBF" w:themeFill="background1" w:themeFillShade="BF"/>
            <w:vAlign w:val="bottom"/>
          </w:tcPr>
          <w:p w14:paraId="4BF839A2" w14:textId="77777777" w:rsidR="00A00405" w:rsidRPr="0010725E" w:rsidRDefault="00A00405" w:rsidP="00A00405">
            <w:pPr>
              <w:jc w:val="center"/>
              <w:rPr>
                <w:szCs w:val="22"/>
              </w:rPr>
            </w:pPr>
          </w:p>
        </w:tc>
      </w:tr>
      <w:tr w:rsidR="00A00405" w:rsidRPr="0010725E" w14:paraId="429F9514" w14:textId="77777777" w:rsidTr="00A00405">
        <w:trPr>
          <w:trHeight w:val="60"/>
          <w:jc w:val="center"/>
        </w:trPr>
        <w:tc>
          <w:tcPr>
            <w:tcW w:w="823" w:type="pct"/>
            <w:tcBorders>
              <w:top w:val="nil"/>
              <w:left w:val="single" w:sz="4" w:space="0" w:color="000000"/>
              <w:bottom w:val="single" w:sz="4" w:space="0" w:color="000000"/>
              <w:right w:val="single" w:sz="4" w:space="0" w:color="000000"/>
            </w:tcBorders>
            <w:vAlign w:val="bottom"/>
          </w:tcPr>
          <w:p w14:paraId="6C041A73" w14:textId="77777777" w:rsidR="00A00405" w:rsidRPr="0010725E" w:rsidRDefault="00A00405" w:rsidP="00A00405">
            <w:pPr>
              <w:jc w:val="center"/>
              <w:rPr>
                <w:szCs w:val="22"/>
              </w:rPr>
            </w:pPr>
            <w:r w:rsidRPr="0010725E">
              <w:rPr>
                <w:szCs w:val="22"/>
              </w:rPr>
              <w:t>42</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7477A00A" w14:textId="77777777" w:rsidR="00A00405" w:rsidRPr="0010725E" w:rsidRDefault="00A00405" w:rsidP="00A00405">
            <w:pPr>
              <w:jc w:val="center"/>
              <w:rPr>
                <w:szCs w:val="22"/>
              </w:rPr>
            </w:pPr>
            <w:r w:rsidRPr="0010725E">
              <w:rPr>
                <w:szCs w:val="22"/>
              </w:rPr>
              <w:t>Costa Rica</w:t>
            </w:r>
          </w:p>
        </w:tc>
        <w:tc>
          <w:tcPr>
            <w:tcW w:w="937" w:type="pct"/>
            <w:tcBorders>
              <w:top w:val="nil"/>
              <w:left w:val="nil"/>
              <w:bottom w:val="single" w:sz="4" w:space="0" w:color="000000"/>
              <w:right w:val="single" w:sz="4" w:space="0" w:color="000000"/>
            </w:tcBorders>
            <w:shd w:val="clear" w:color="auto" w:fill="auto"/>
            <w:vAlign w:val="bottom"/>
          </w:tcPr>
          <w:p w14:paraId="2C439FFD" w14:textId="77777777" w:rsidR="00A00405" w:rsidRPr="0010725E" w:rsidRDefault="00A00405" w:rsidP="00A00405">
            <w:pPr>
              <w:jc w:val="center"/>
              <w:rPr>
                <w:szCs w:val="22"/>
              </w:rPr>
            </w:pPr>
            <w:r w:rsidRPr="0010725E">
              <w:rPr>
                <w:szCs w:val="22"/>
              </w:rPr>
              <w:t>89</w:t>
            </w:r>
          </w:p>
        </w:tc>
        <w:tc>
          <w:tcPr>
            <w:tcW w:w="847" w:type="pct"/>
            <w:tcBorders>
              <w:top w:val="nil"/>
              <w:left w:val="nil"/>
              <w:bottom w:val="single" w:sz="4" w:space="0" w:color="000000"/>
              <w:right w:val="single" w:sz="4" w:space="0" w:color="000000"/>
            </w:tcBorders>
            <w:shd w:val="clear" w:color="auto" w:fill="auto"/>
            <w:vAlign w:val="bottom"/>
          </w:tcPr>
          <w:p w14:paraId="395D663B" w14:textId="77777777" w:rsidR="00A00405" w:rsidRPr="0010725E" w:rsidRDefault="00A00405" w:rsidP="00A00405">
            <w:pPr>
              <w:jc w:val="center"/>
              <w:rPr>
                <w:szCs w:val="22"/>
              </w:rPr>
            </w:pPr>
            <w:r w:rsidRPr="0010725E">
              <w:rPr>
                <w:szCs w:val="22"/>
              </w:rPr>
              <w:t>64</w:t>
            </w:r>
          </w:p>
        </w:tc>
        <w:tc>
          <w:tcPr>
            <w:tcW w:w="1260" w:type="pct"/>
            <w:tcBorders>
              <w:top w:val="nil"/>
              <w:left w:val="nil"/>
              <w:bottom w:val="single" w:sz="4" w:space="0" w:color="000000"/>
              <w:right w:val="single" w:sz="4" w:space="0" w:color="000000"/>
            </w:tcBorders>
            <w:shd w:val="clear" w:color="auto" w:fill="auto"/>
            <w:vAlign w:val="bottom"/>
          </w:tcPr>
          <w:p w14:paraId="4F27BD8C" w14:textId="77777777" w:rsidR="00A00405" w:rsidRPr="0010725E" w:rsidRDefault="00A00405" w:rsidP="00A00405">
            <w:pPr>
              <w:jc w:val="center"/>
              <w:rPr>
                <w:szCs w:val="22"/>
              </w:rPr>
            </w:pPr>
            <w:r w:rsidRPr="0010725E">
              <w:rPr>
                <w:szCs w:val="22"/>
              </w:rPr>
              <w:t>5</w:t>
            </w:r>
          </w:p>
        </w:tc>
      </w:tr>
      <w:tr w:rsidR="00A00405" w:rsidRPr="0010725E" w14:paraId="3A1D3F1F" w14:textId="77777777" w:rsidTr="00A00405">
        <w:trPr>
          <w:trHeight w:val="240"/>
          <w:jc w:val="center"/>
        </w:trPr>
        <w:tc>
          <w:tcPr>
            <w:tcW w:w="823" w:type="pct"/>
            <w:tcBorders>
              <w:top w:val="nil"/>
              <w:left w:val="single" w:sz="4" w:space="0" w:color="000000"/>
              <w:bottom w:val="single" w:sz="4" w:space="0" w:color="000000"/>
              <w:right w:val="single" w:sz="4" w:space="0" w:color="000000"/>
            </w:tcBorders>
            <w:vAlign w:val="bottom"/>
          </w:tcPr>
          <w:p w14:paraId="7F26E559" w14:textId="77777777" w:rsidR="00A00405" w:rsidRPr="0010725E" w:rsidRDefault="00A00405" w:rsidP="00A00405">
            <w:pPr>
              <w:jc w:val="center"/>
              <w:rPr>
                <w:szCs w:val="22"/>
              </w:rPr>
            </w:pPr>
            <w:r w:rsidRPr="0010725E">
              <w:rPr>
                <w:szCs w:val="22"/>
              </w:rPr>
              <w:t>52</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1239734F" w14:textId="77777777" w:rsidR="00A00405" w:rsidRPr="0010725E" w:rsidRDefault="00A00405" w:rsidP="00A00405">
            <w:pPr>
              <w:jc w:val="center"/>
              <w:rPr>
                <w:szCs w:val="22"/>
              </w:rPr>
            </w:pPr>
            <w:r w:rsidRPr="0010725E">
              <w:rPr>
                <w:szCs w:val="22"/>
              </w:rPr>
              <w:t>Mexico</w:t>
            </w:r>
          </w:p>
        </w:tc>
        <w:tc>
          <w:tcPr>
            <w:tcW w:w="937" w:type="pct"/>
            <w:tcBorders>
              <w:top w:val="nil"/>
              <w:left w:val="nil"/>
              <w:bottom w:val="single" w:sz="4" w:space="0" w:color="000000"/>
              <w:right w:val="single" w:sz="4" w:space="0" w:color="000000"/>
            </w:tcBorders>
            <w:shd w:val="clear" w:color="auto" w:fill="auto"/>
            <w:vAlign w:val="bottom"/>
          </w:tcPr>
          <w:p w14:paraId="4109476F" w14:textId="77777777" w:rsidR="00A00405" w:rsidRPr="0010725E" w:rsidRDefault="00A00405" w:rsidP="00A00405">
            <w:pPr>
              <w:jc w:val="center"/>
              <w:rPr>
                <w:szCs w:val="22"/>
              </w:rPr>
            </w:pPr>
            <w:r w:rsidRPr="0010725E">
              <w:rPr>
                <w:szCs w:val="22"/>
              </w:rPr>
              <w:t>59</w:t>
            </w:r>
          </w:p>
        </w:tc>
        <w:tc>
          <w:tcPr>
            <w:tcW w:w="847" w:type="pct"/>
            <w:tcBorders>
              <w:top w:val="nil"/>
              <w:left w:val="nil"/>
              <w:bottom w:val="single" w:sz="4" w:space="0" w:color="000000"/>
              <w:right w:val="single" w:sz="4" w:space="0" w:color="000000"/>
            </w:tcBorders>
            <w:shd w:val="clear" w:color="auto" w:fill="auto"/>
            <w:vAlign w:val="bottom"/>
          </w:tcPr>
          <w:p w14:paraId="1C064DD6" w14:textId="77777777" w:rsidR="00A00405" w:rsidRPr="0010725E" w:rsidRDefault="00A00405" w:rsidP="00A00405">
            <w:pPr>
              <w:jc w:val="center"/>
              <w:rPr>
                <w:szCs w:val="22"/>
              </w:rPr>
            </w:pPr>
            <w:r w:rsidRPr="0010725E">
              <w:rPr>
                <w:szCs w:val="22"/>
              </w:rPr>
              <w:t>71</w:t>
            </w:r>
          </w:p>
        </w:tc>
        <w:tc>
          <w:tcPr>
            <w:tcW w:w="1260" w:type="pct"/>
            <w:tcBorders>
              <w:top w:val="nil"/>
              <w:left w:val="nil"/>
              <w:bottom w:val="single" w:sz="4" w:space="0" w:color="000000"/>
              <w:right w:val="single" w:sz="4" w:space="0" w:color="000000"/>
            </w:tcBorders>
            <w:shd w:val="clear" w:color="auto" w:fill="auto"/>
            <w:vAlign w:val="bottom"/>
          </w:tcPr>
          <w:p w14:paraId="38E4BC6C" w14:textId="77777777" w:rsidR="00A00405" w:rsidRPr="0010725E" w:rsidRDefault="00A00405" w:rsidP="00A00405">
            <w:pPr>
              <w:jc w:val="center"/>
              <w:rPr>
                <w:szCs w:val="22"/>
              </w:rPr>
            </w:pPr>
            <w:r w:rsidRPr="0010725E">
              <w:rPr>
                <w:szCs w:val="22"/>
              </w:rPr>
              <w:t>55</w:t>
            </w:r>
          </w:p>
        </w:tc>
      </w:tr>
      <w:tr w:rsidR="00A00405" w:rsidRPr="0010725E" w14:paraId="25EED9D9" w14:textId="77777777" w:rsidTr="00A00405">
        <w:trPr>
          <w:trHeight w:val="140"/>
          <w:jc w:val="center"/>
        </w:trPr>
        <w:tc>
          <w:tcPr>
            <w:tcW w:w="823" w:type="pct"/>
            <w:tcBorders>
              <w:top w:val="nil"/>
              <w:left w:val="single" w:sz="4" w:space="0" w:color="000000"/>
              <w:bottom w:val="single" w:sz="4" w:space="0" w:color="000000"/>
              <w:right w:val="single" w:sz="4" w:space="0" w:color="000000"/>
            </w:tcBorders>
            <w:vAlign w:val="bottom"/>
          </w:tcPr>
          <w:p w14:paraId="0F0B5178" w14:textId="77777777" w:rsidR="00A00405" w:rsidRPr="0010725E" w:rsidRDefault="00A00405" w:rsidP="00A00405">
            <w:pPr>
              <w:jc w:val="center"/>
              <w:rPr>
                <w:szCs w:val="22"/>
              </w:rPr>
            </w:pPr>
            <w:r w:rsidRPr="0010725E">
              <w:rPr>
                <w:szCs w:val="22"/>
              </w:rPr>
              <w:t>71</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40412DD4" w14:textId="77777777" w:rsidR="00A00405" w:rsidRPr="0010725E" w:rsidRDefault="00A00405" w:rsidP="00A00405">
            <w:pPr>
              <w:jc w:val="center"/>
              <w:rPr>
                <w:szCs w:val="22"/>
              </w:rPr>
            </w:pPr>
            <w:r w:rsidRPr="0010725E">
              <w:rPr>
                <w:szCs w:val="22"/>
              </w:rPr>
              <w:t>El Salvador</w:t>
            </w:r>
          </w:p>
        </w:tc>
        <w:tc>
          <w:tcPr>
            <w:tcW w:w="937" w:type="pct"/>
            <w:tcBorders>
              <w:top w:val="nil"/>
              <w:left w:val="nil"/>
              <w:bottom w:val="single" w:sz="4" w:space="0" w:color="000000"/>
              <w:right w:val="single" w:sz="4" w:space="0" w:color="000000"/>
            </w:tcBorders>
            <w:shd w:val="clear" w:color="auto" w:fill="auto"/>
            <w:vAlign w:val="bottom"/>
          </w:tcPr>
          <w:p w14:paraId="1F87F190" w14:textId="77777777" w:rsidR="00A00405" w:rsidRPr="0010725E" w:rsidRDefault="00A00405" w:rsidP="00A00405">
            <w:pPr>
              <w:jc w:val="center"/>
              <w:rPr>
                <w:szCs w:val="22"/>
              </w:rPr>
            </w:pPr>
            <w:r w:rsidRPr="0010725E">
              <w:rPr>
                <w:szCs w:val="22"/>
              </w:rPr>
              <w:t>87</w:t>
            </w:r>
          </w:p>
        </w:tc>
        <w:tc>
          <w:tcPr>
            <w:tcW w:w="847" w:type="pct"/>
            <w:tcBorders>
              <w:top w:val="nil"/>
              <w:left w:val="nil"/>
              <w:bottom w:val="single" w:sz="4" w:space="0" w:color="000000"/>
              <w:right w:val="single" w:sz="4" w:space="0" w:color="000000"/>
            </w:tcBorders>
            <w:shd w:val="clear" w:color="auto" w:fill="auto"/>
            <w:vAlign w:val="bottom"/>
          </w:tcPr>
          <w:p w14:paraId="3D4AE918" w14:textId="77777777" w:rsidR="00A00405" w:rsidRPr="0010725E" w:rsidRDefault="00A00405" w:rsidP="00A00405">
            <w:pPr>
              <w:jc w:val="center"/>
              <w:rPr>
                <w:szCs w:val="22"/>
              </w:rPr>
            </w:pPr>
            <w:r w:rsidRPr="0010725E">
              <w:rPr>
                <w:szCs w:val="22"/>
              </w:rPr>
              <w:t>83</w:t>
            </w:r>
          </w:p>
        </w:tc>
        <w:tc>
          <w:tcPr>
            <w:tcW w:w="1260" w:type="pct"/>
            <w:tcBorders>
              <w:top w:val="nil"/>
              <w:left w:val="nil"/>
              <w:bottom w:val="single" w:sz="4" w:space="0" w:color="000000"/>
              <w:right w:val="single" w:sz="4" w:space="0" w:color="000000"/>
            </w:tcBorders>
            <w:shd w:val="clear" w:color="auto" w:fill="auto"/>
            <w:vAlign w:val="bottom"/>
          </w:tcPr>
          <w:p w14:paraId="7DDD1801" w14:textId="77777777" w:rsidR="00A00405" w:rsidRPr="0010725E" w:rsidRDefault="00A00405" w:rsidP="00A00405">
            <w:pPr>
              <w:jc w:val="center"/>
              <w:rPr>
                <w:szCs w:val="22"/>
              </w:rPr>
            </w:pPr>
            <w:r w:rsidRPr="0010725E">
              <w:rPr>
                <w:szCs w:val="22"/>
              </w:rPr>
              <w:t>21</w:t>
            </w:r>
          </w:p>
        </w:tc>
      </w:tr>
      <w:tr w:rsidR="00A00405" w:rsidRPr="0010725E" w14:paraId="58364AAC" w14:textId="77777777" w:rsidTr="00A00405">
        <w:trPr>
          <w:trHeight w:val="240"/>
          <w:jc w:val="center"/>
        </w:trPr>
        <w:tc>
          <w:tcPr>
            <w:tcW w:w="823" w:type="pct"/>
            <w:tcBorders>
              <w:top w:val="nil"/>
              <w:left w:val="single" w:sz="4" w:space="0" w:color="000000"/>
              <w:bottom w:val="single" w:sz="4" w:space="0" w:color="000000"/>
              <w:right w:val="single" w:sz="4" w:space="0" w:color="000000"/>
            </w:tcBorders>
            <w:vAlign w:val="bottom"/>
          </w:tcPr>
          <w:p w14:paraId="57281A7E" w14:textId="77777777" w:rsidR="00A00405" w:rsidRPr="0010725E" w:rsidRDefault="00A00405" w:rsidP="00A00405">
            <w:pPr>
              <w:jc w:val="center"/>
              <w:rPr>
                <w:szCs w:val="22"/>
              </w:rPr>
            </w:pPr>
            <w:r w:rsidRPr="0010725E">
              <w:rPr>
                <w:szCs w:val="22"/>
              </w:rPr>
              <w:t>110</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388D4A9C" w14:textId="77777777" w:rsidR="00A00405" w:rsidRPr="0010725E" w:rsidRDefault="00A00405" w:rsidP="00A00405">
            <w:pPr>
              <w:jc w:val="center"/>
              <w:rPr>
                <w:szCs w:val="22"/>
              </w:rPr>
            </w:pPr>
            <w:r w:rsidRPr="0010725E">
              <w:rPr>
                <w:szCs w:val="22"/>
              </w:rPr>
              <w:t>Honduras</w:t>
            </w:r>
          </w:p>
        </w:tc>
        <w:tc>
          <w:tcPr>
            <w:tcW w:w="937" w:type="pct"/>
            <w:tcBorders>
              <w:top w:val="nil"/>
              <w:left w:val="nil"/>
              <w:bottom w:val="single" w:sz="4" w:space="0" w:color="000000"/>
              <w:right w:val="single" w:sz="4" w:space="0" w:color="000000"/>
            </w:tcBorders>
            <w:shd w:val="clear" w:color="auto" w:fill="auto"/>
            <w:vAlign w:val="bottom"/>
          </w:tcPr>
          <w:p w14:paraId="1F741FA9" w14:textId="77777777" w:rsidR="00A00405" w:rsidRPr="0010725E" w:rsidRDefault="00A00405" w:rsidP="00A00405">
            <w:pPr>
              <w:jc w:val="center"/>
              <w:rPr>
                <w:szCs w:val="22"/>
              </w:rPr>
            </w:pPr>
            <w:r w:rsidRPr="0010725E">
              <w:rPr>
                <w:szCs w:val="22"/>
              </w:rPr>
              <w:t>107</w:t>
            </w:r>
          </w:p>
        </w:tc>
        <w:tc>
          <w:tcPr>
            <w:tcW w:w="847" w:type="pct"/>
            <w:tcBorders>
              <w:top w:val="nil"/>
              <w:left w:val="nil"/>
              <w:bottom w:val="single" w:sz="4" w:space="0" w:color="000000"/>
              <w:right w:val="single" w:sz="4" w:space="0" w:color="000000"/>
            </w:tcBorders>
            <w:shd w:val="clear" w:color="auto" w:fill="auto"/>
            <w:vAlign w:val="bottom"/>
          </w:tcPr>
          <w:p w14:paraId="44EF59D4" w14:textId="77777777" w:rsidR="00A00405" w:rsidRPr="0010725E" w:rsidRDefault="00A00405" w:rsidP="00A00405">
            <w:pPr>
              <w:jc w:val="center"/>
              <w:rPr>
                <w:szCs w:val="22"/>
              </w:rPr>
            </w:pPr>
            <w:r w:rsidRPr="0010725E">
              <w:rPr>
                <w:szCs w:val="22"/>
              </w:rPr>
              <w:t>101</w:t>
            </w:r>
          </w:p>
        </w:tc>
        <w:tc>
          <w:tcPr>
            <w:tcW w:w="1260" w:type="pct"/>
            <w:tcBorders>
              <w:top w:val="nil"/>
              <w:left w:val="nil"/>
              <w:bottom w:val="single" w:sz="4" w:space="0" w:color="000000"/>
              <w:right w:val="single" w:sz="4" w:space="0" w:color="000000"/>
            </w:tcBorders>
            <w:shd w:val="clear" w:color="auto" w:fill="auto"/>
            <w:vAlign w:val="bottom"/>
          </w:tcPr>
          <w:p w14:paraId="2D560623" w14:textId="77777777" w:rsidR="00A00405" w:rsidRPr="0010725E" w:rsidRDefault="00A00405" w:rsidP="00A00405">
            <w:pPr>
              <w:jc w:val="center"/>
              <w:rPr>
                <w:szCs w:val="22"/>
              </w:rPr>
            </w:pPr>
            <w:r w:rsidRPr="0010725E">
              <w:rPr>
                <w:szCs w:val="22"/>
              </w:rPr>
              <w:t>118</w:t>
            </w:r>
          </w:p>
        </w:tc>
      </w:tr>
      <w:tr w:rsidR="00A00405" w:rsidRPr="0010725E" w14:paraId="23B4545A" w14:textId="77777777" w:rsidTr="00881509">
        <w:trPr>
          <w:trHeight w:val="220"/>
          <w:jc w:val="center"/>
        </w:trPr>
        <w:tc>
          <w:tcPr>
            <w:tcW w:w="823" w:type="pct"/>
            <w:tcBorders>
              <w:top w:val="single" w:sz="4" w:space="0" w:color="000000"/>
              <w:left w:val="single" w:sz="4" w:space="0" w:color="000000"/>
              <w:bottom w:val="single" w:sz="4" w:space="0" w:color="000000"/>
              <w:right w:val="nil"/>
            </w:tcBorders>
            <w:shd w:val="clear" w:color="auto" w:fill="BFBFBF" w:themeFill="background1" w:themeFillShade="BF"/>
            <w:vAlign w:val="bottom"/>
          </w:tcPr>
          <w:p w14:paraId="35DBA025" w14:textId="77777777" w:rsidR="00A00405" w:rsidRPr="0010725E" w:rsidRDefault="00A00405" w:rsidP="00A00405">
            <w:pPr>
              <w:jc w:val="center"/>
              <w:rPr>
                <w:szCs w:val="22"/>
              </w:rPr>
            </w:pPr>
          </w:p>
        </w:tc>
        <w:tc>
          <w:tcPr>
            <w:tcW w:w="1133" w:type="pct"/>
            <w:tcBorders>
              <w:top w:val="single" w:sz="4" w:space="0" w:color="000000"/>
              <w:left w:val="single" w:sz="4" w:space="0" w:color="000000"/>
              <w:bottom w:val="single" w:sz="4" w:space="0" w:color="000000"/>
              <w:right w:val="nil"/>
            </w:tcBorders>
            <w:shd w:val="clear" w:color="auto" w:fill="BFBFBF" w:themeFill="background1" w:themeFillShade="BF"/>
            <w:vAlign w:val="bottom"/>
          </w:tcPr>
          <w:p w14:paraId="459B885A" w14:textId="77777777" w:rsidR="00A00405" w:rsidRPr="0010725E" w:rsidRDefault="00A00405" w:rsidP="00A00405">
            <w:pPr>
              <w:jc w:val="center"/>
              <w:rPr>
                <w:szCs w:val="22"/>
              </w:rPr>
            </w:pPr>
            <w:r w:rsidRPr="0010725E">
              <w:rPr>
                <w:szCs w:val="22"/>
              </w:rPr>
              <w:t>North America</w:t>
            </w:r>
          </w:p>
        </w:tc>
        <w:tc>
          <w:tcPr>
            <w:tcW w:w="937" w:type="pct"/>
            <w:tcBorders>
              <w:top w:val="single" w:sz="4" w:space="0" w:color="000000"/>
              <w:left w:val="nil"/>
              <w:bottom w:val="single" w:sz="4" w:space="0" w:color="000000"/>
              <w:right w:val="nil"/>
            </w:tcBorders>
            <w:shd w:val="clear" w:color="auto" w:fill="BFBFBF" w:themeFill="background1" w:themeFillShade="BF"/>
            <w:vAlign w:val="bottom"/>
          </w:tcPr>
          <w:p w14:paraId="7ACAC786" w14:textId="77777777" w:rsidR="00A00405" w:rsidRPr="0010725E" w:rsidRDefault="00A00405" w:rsidP="00A00405">
            <w:pPr>
              <w:jc w:val="center"/>
              <w:rPr>
                <w:szCs w:val="22"/>
              </w:rPr>
            </w:pPr>
          </w:p>
        </w:tc>
        <w:tc>
          <w:tcPr>
            <w:tcW w:w="847" w:type="pct"/>
            <w:tcBorders>
              <w:top w:val="single" w:sz="4" w:space="0" w:color="000000"/>
              <w:left w:val="nil"/>
              <w:bottom w:val="single" w:sz="4" w:space="0" w:color="000000"/>
              <w:right w:val="nil"/>
            </w:tcBorders>
            <w:shd w:val="clear" w:color="auto" w:fill="BFBFBF" w:themeFill="background1" w:themeFillShade="BF"/>
            <w:vAlign w:val="bottom"/>
          </w:tcPr>
          <w:p w14:paraId="50554FEC" w14:textId="77777777" w:rsidR="00A00405" w:rsidRPr="0010725E" w:rsidRDefault="00A00405" w:rsidP="00A00405">
            <w:pPr>
              <w:jc w:val="center"/>
              <w:rPr>
                <w:szCs w:val="22"/>
              </w:rPr>
            </w:pPr>
          </w:p>
        </w:tc>
        <w:tc>
          <w:tcPr>
            <w:tcW w:w="1260" w:type="pct"/>
            <w:tcBorders>
              <w:top w:val="single" w:sz="4" w:space="0" w:color="000000"/>
              <w:left w:val="nil"/>
              <w:bottom w:val="single" w:sz="4" w:space="0" w:color="000000"/>
              <w:right w:val="single" w:sz="4" w:space="0" w:color="000000"/>
            </w:tcBorders>
            <w:shd w:val="clear" w:color="auto" w:fill="BFBFBF" w:themeFill="background1" w:themeFillShade="BF"/>
            <w:vAlign w:val="bottom"/>
          </w:tcPr>
          <w:p w14:paraId="73E7EE78" w14:textId="77777777" w:rsidR="00A00405" w:rsidRPr="0010725E" w:rsidRDefault="00A00405" w:rsidP="00A00405">
            <w:pPr>
              <w:jc w:val="center"/>
              <w:rPr>
                <w:szCs w:val="22"/>
              </w:rPr>
            </w:pPr>
          </w:p>
        </w:tc>
      </w:tr>
      <w:tr w:rsidR="00A00405" w:rsidRPr="0010725E" w14:paraId="11D56E5B" w14:textId="77777777" w:rsidTr="00A00405">
        <w:trPr>
          <w:trHeight w:val="220"/>
          <w:jc w:val="center"/>
        </w:trPr>
        <w:tc>
          <w:tcPr>
            <w:tcW w:w="823" w:type="pct"/>
            <w:tcBorders>
              <w:top w:val="nil"/>
              <w:left w:val="single" w:sz="4" w:space="0" w:color="000000"/>
              <w:bottom w:val="single" w:sz="4" w:space="0" w:color="000000"/>
              <w:right w:val="single" w:sz="4" w:space="0" w:color="000000"/>
            </w:tcBorders>
            <w:vAlign w:val="bottom"/>
          </w:tcPr>
          <w:p w14:paraId="5814C3C1" w14:textId="77777777" w:rsidR="00A00405" w:rsidRPr="0010725E" w:rsidRDefault="00A00405" w:rsidP="00A00405">
            <w:pPr>
              <w:jc w:val="center"/>
              <w:rPr>
                <w:szCs w:val="22"/>
              </w:rPr>
            </w:pPr>
            <w:r w:rsidRPr="0010725E">
              <w:rPr>
                <w:szCs w:val="22"/>
              </w:rPr>
              <w:t>14</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2FA6B2C2" w14:textId="77777777" w:rsidR="00A00405" w:rsidRPr="0010725E" w:rsidRDefault="00A00405" w:rsidP="00A00405">
            <w:pPr>
              <w:jc w:val="center"/>
              <w:rPr>
                <w:szCs w:val="22"/>
              </w:rPr>
            </w:pPr>
            <w:r w:rsidRPr="0010725E">
              <w:rPr>
                <w:szCs w:val="22"/>
              </w:rPr>
              <w:t>USA</w:t>
            </w:r>
          </w:p>
        </w:tc>
        <w:tc>
          <w:tcPr>
            <w:tcW w:w="937" w:type="pct"/>
            <w:tcBorders>
              <w:top w:val="nil"/>
              <w:left w:val="nil"/>
              <w:bottom w:val="single" w:sz="4" w:space="0" w:color="000000"/>
              <w:right w:val="single" w:sz="4" w:space="0" w:color="000000"/>
            </w:tcBorders>
            <w:shd w:val="clear" w:color="auto" w:fill="auto"/>
            <w:vAlign w:val="bottom"/>
          </w:tcPr>
          <w:p w14:paraId="292488AE" w14:textId="77777777" w:rsidR="00A00405" w:rsidRPr="0010725E" w:rsidRDefault="00A00405" w:rsidP="00A00405">
            <w:pPr>
              <w:jc w:val="center"/>
              <w:rPr>
                <w:szCs w:val="22"/>
              </w:rPr>
            </w:pPr>
            <w:r w:rsidRPr="0010725E">
              <w:rPr>
                <w:szCs w:val="22"/>
              </w:rPr>
              <w:t>4</w:t>
            </w:r>
          </w:p>
        </w:tc>
        <w:tc>
          <w:tcPr>
            <w:tcW w:w="847" w:type="pct"/>
            <w:tcBorders>
              <w:top w:val="nil"/>
              <w:left w:val="nil"/>
              <w:bottom w:val="single" w:sz="4" w:space="0" w:color="000000"/>
              <w:right w:val="single" w:sz="4" w:space="0" w:color="000000"/>
            </w:tcBorders>
            <w:shd w:val="clear" w:color="auto" w:fill="auto"/>
            <w:vAlign w:val="bottom"/>
          </w:tcPr>
          <w:p w14:paraId="799C4AA2" w14:textId="77777777" w:rsidR="00A00405" w:rsidRPr="0010725E" w:rsidRDefault="00A00405" w:rsidP="00A00405">
            <w:pPr>
              <w:jc w:val="center"/>
              <w:rPr>
                <w:szCs w:val="22"/>
              </w:rPr>
            </w:pPr>
            <w:r w:rsidRPr="0010725E">
              <w:rPr>
                <w:szCs w:val="22"/>
              </w:rPr>
              <w:t>13</w:t>
            </w:r>
          </w:p>
        </w:tc>
        <w:tc>
          <w:tcPr>
            <w:tcW w:w="1260" w:type="pct"/>
            <w:tcBorders>
              <w:top w:val="nil"/>
              <w:left w:val="nil"/>
              <w:bottom w:val="single" w:sz="4" w:space="0" w:color="000000"/>
              <w:right w:val="single" w:sz="4" w:space="0" w:color="000000"/>
            </w:tcBorders>
            <w:shd w:val="clear" w:color="auto" w:fill="auto"/>
            <w:vAlign w:val="bottom"/>
          </w:tcPr>
          <w:p w14:paraId="7BE8175E" w14:textId="77777777" w:rsidR="00A00405" w:rsidRPr="0010725E" w:rsidRDefault="00A00405" w:rsidP="00A00405">
            <w:pPr>
              <w:jc w:val="center"/>
              <w:rPr>
                <w:szCs w:val="22"/>
              </w:rPr>
            </w:pPr>
            <w:r w:rsidRPr="0010725E">
              <w:rPr>
                <w:szCs w:val="22"/>
              </w:rPr>
              <w:t>73</w:t>
            </w:r>
          </w:p>
        </w:tc>
      </w:tr>
      <w:tr w:rsidR="00A00405" w:rsidRPr="0010725E" w14:paraId="7EAE76C2" w14:textId="77777777" w:rsidTr="00A00405">
        <w:trPr>
          <w:trHeight w:val="120"/>
          <w:jc w:val="center"/>
        </w:trPr>
        <w:tc>
          <w:tcPr>
            <w:tcW w:w="823" w:type="pct"/>
            <w:tcBorders>
              <w:top w:val="nil"/>
              <w:left w:val="single" w:sz="4" w:space="0" w:color="000000"/>
              <w:bottom w:val="single" w:sz="4" w:space="0" w:color="000000"/>
              <w:right w:val="single" w:sz="4" w:space="0" w:color="000000"/>
            </w:tcBorders>
            <w:vAlign w:val="bottom"/>
          </w:tcPr>
          <w:p w14:paraId="43F7609D" w14:textId="77777777" w:rsidR="00A00405" w:rsidRPr="0010725E" w:rsidRDefault="00A00405" w:rsidP="00A00405">
            <w:pPr>
              <w:jc w:val="center"/>
              <w:rPr>
                <w:szCs w:val="22"/>
              </w:rPr>
            </w:pPr>
            <w:r w:rsidRPr="0010725E">
              <w:rPr>
                <w:szCs w:val="22"/>
              </w:rPr>
              <w:t>22</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044252C9" w14:textId="77777777" w:rsidR="00A00405" w:rsidRPr="0010725E" w:rsidRDefault="00A00405" w:rsidP="00A00405">
            <w:pPr>
              <w:jc w:val="center"/>
              <w:rPr>
                <w:szCs w:val="22"/>
              </w:rPr>
            </w:pPr>
            <w:r w:rsidRPr="0010725E">
              <w:rPr>
                <w:szCs w:val="22"/>
              </w:rPr>
              <w:t>Canada</w:t>
            </w:r>
          </w:p>
        </w:tc>
        <w:tc>
          <w:tcPr>
            <w:tcW w:w="937" w:type="pct"/>
            <w:tcBorders>
              <w:top w:val="nil"/>
              <w:left w:val="nil"/>
              <w:bottom w:val="single" w:sz="4" w:space="0" w:color="000000"/>
              <w:right w:val="single" w:sz="4" w:space="0" w:color="000000"/>
            </w:tcBorders>
            <w:shd w:val="clear" w:color="auto" w:fill="auto"/>
            <w:vAlign w:val="bottom"/>
          </w:tcPr>
          <w:p w14:paraId="7F6EA422" w14:textId="77777777" w:rsidR="00A00405" w:rsidRPr="0010725E" w:rsidRDefault="00A00405" w:rsidP="00A00405">
            <w:pPr>
              <w:jc w:val="center"/>
              <w:rPr>
                <w:szCs w:val="22"/>
              </w:rPr>
            </w:pPr>
            <w:r w:rsidRPr="0010725E">
              <w:rPr>
                <w:szCs w:val="22"/>
              </w:rPr>
              <w:t>5</w:t>
            </w:r>
          </w:p>
        </w:tc>
        <w:tc>
          <w:tcPr>
            <w:tcW w:w="847" w:type="pct"/>
            <w:tcBorders>
              <w:top w:val="nil"/>
              <w:left w:val="nil"/>
              <w:bottom w:val="single" w:sz="4" w:space="0" w:color="000000"/>
              <w:right w:val="single" w:sz="4" w:space="0" w:color="000000"/>
            </w:tcBorders>
            <w:shd w:val="clear" w:color="auto" w:fill="auto"/>
            <w:vAlign w:val="bottom"/>
          </w:tcPr>
          <w:p w14:paraId="529BB89E" w14:textId="77777777" w:rsidR="00A00405" w:rsidRPr="0010725E" w:rsidRDefault="00A00405" w:rsidP="00A00405">
            <w:pPr>
              <w:jc w:val="center"/>
              <w:rPr>
                <w:szCs w:val="22"/>
              </w:rPr>
            </w:pPr>
            <w:r w:rsidRPr="0010725E">
              <w:rPr>
                <w:szCs w:val="22"/>
              </w:rPr>
              <w:t>11</w:t>
            </w:r>
          </w:p>
        </w:tc>
        <w:tc>
          <w:tcPr>
            <w:tcW w:w="1260" w:type="pct"/>
            <w:tcBorders>
              <w:top w:val="nil"/>
              <w:left w:val="nil"/>
              <w:bottom w:val="single" w:sz="4" w:space="0" w:color="000000"/>
              <w:right w:val="single" w:sz="4" w:space="0" w:color="000000"/>
            </w:tcBorders>
            <w:shd w:val="clear" w:color="auto" w:fill="auto"/>
            <w:vAlign w:val="bottom"/>
          </w:tcPr>
          <w:p w14:paraId="3B066070" w14:textId="77777777" w:rsidR="00A00405" w:rsidRPr="0010725E" w:rsidRDefault="00A00405" w:rsidP="00A00405">
            <w:pPr>
              <w:jc w:val="center"/>
              <w:rPr>
                <w:szCs w:val="22"/>
              </w:rPr>
            </w:pPr>
            <w:r w:rsidRPr="0010725E">
              <w:rPr>
                <w:szCs w:val="22"/>
              </w:rPr>
              <w:t>96</w:t>
            </w:r>
          </w:p>
        </w:tc>
      </w:tr>
      <w:tr w:rsidR="00A00405" w:rsidRPr="0010725E" w14:paraId="43F5768C" w14:textId="77777777" w:rsidTr="00881509">
        <w:trPr>
          <w:trHeight w:val="200"/>
          <w:jc w:val="center"/>
        </w:trPr>
        <w:tc>
          <w:tcPr>
            <w:tcW w:w="823" w:type="pct"/>
            <w:tcBorders>
              <w:top w:val="single" w:sz="4" w:space="0" w:color="000000"/>
              <w:left w:val="single" w:sz="4" w:space="0" w:color="000000"/>
              <w:bottom w:val="single" w:sz="4" w:space="0" w:color="000000"/>
              <w:right w:val="nil"/>
            </w:tcBorders>
            <w:shd w:val="clear" w:color="auto" w:fill="BFBFBF" w:themeFill="background1" w:themeFillShade="BF"/>
            <w:vAlign w:val="bottom"/>
          </w:tcPr>
          <w:p w14:paraId="060EFB06" w14:textId="77777777" w:rsidR="00A00405" w:rsidRPr="0010725E" w:rsidRDefault="00A00405" w:rsidP="00A00405">
            <w:pPr>
              <w:jc w:val="center"/>
              <w:rPr>
                <w:szCs w:val="22"/>
              </w:rPr>
            </w:pPr>
          </w:p>
        </w:tc>
        <w:tc>
          <w:tcPr>
            <w:tcW w:w="1133" w:type="pct"/>
            <w:tcBorders>
              <w:top w:val="single" w:sz="4" w:space="0" w:color="000000"/>
              <w:left w:val="single" w:sz="4" w:space="0" w:color="000000"/>
              <w:bottom w:val="single" w:sz="4" w:space="0" w:color="000000"/>
              <w:right w:val="nil"/>
            </w:tcBorders>
            <w:shd w:val="clear" w:color="auto" w:fill="BFBFBF" w:themeFill="background1" w:themeFillShade="BF"/>
            <w:vAlign w:val="bottom"/>
          </w:tcPr>
          <w:p w14:paraId="07C0C31D" w14:textId="77777777" w:rsidR="00A00405" w:rsidRPr="0010725E" w:rsidRDefault="00A00405" w:rsidP="00A00405">
            <w:pPr>
              <w:jc w:val="center"/>
              <w:rPr>
                <w:szCs w:val="22"/>
              </w:rPr>
            </w:pPr>
            <w:r w:rsidRPr="0010725E">
              <w:rPr>
                <w:szCs w:val="22"/>
              </w:rPr>
              <w:t>South America</w:t>
            </w:r>
          </w:p>
        </w:tc>
        <w:tc>
          <w:tcPr>
            <w:tcW w:w="937" w:type="pct"/>
            <w:tcBorders>
              <w:top w:val="single" w:sz="4" w:space="0" w:color="000000"/>
              <w:left w:val="nil"/>
              <w:bottom w:val="single" w:sz="4" w:space="0" w:color="000000"/>
              <w:right w:val="nil"/>
            </w:tcBorders>
            <w:shd w:val="clear" w:color="auto" w:fill="BFBFBF" w:themeFill="background1" w:themeFillShade="BF"/>
            <w:vAlign w:val="bottom"/>
          </w:tcPr>
          <w:p w14:paraId="0909F047" w14:textId="77777777" w:rsidR="00A00405" w:rsidRPr="0010725E" w:rsidRDefault="00A00405" w:rsidP="00A00405">
            <w:pPr>
              <w:jc w:val="center"/>
              <w:rPr>
                <w:szCs w:val="22"/>
              </w:rPr>
            </w:pPr>
          </w:p>
        </w:tc>
        <w:tc>
          <w:tcPr>
            <w:tcW w:w="847" w:type="pct"/>
            <w:tcBorders>
              <w:top w:val="single" w:sz="4" w:space="0" w:color="000000"/>
              <w:left w:val="nil"/>
              <w:bottom w:val="single" w:sz="4" w:space="0" w:color="000000"/>
              <w:right w:val="nil"/>
            </w:tcBorders>
            <w:shd w:val="clear" w:color="auto" w:fill="BFBFBF" w:themeFill="background1" w:themeFillShade="BF"/>
            <w:vAlign w:val="bottom"/>
          </w:tcPr>
          <w:p w14:paraId="5D5384DF" w14:textId="77777777" w:rsidR="00A00405" w:rsidRPr="0010725E" w:rsidRDefault="00A00405" w:rsidP="00A00405">
            <w:pPr>
              <w:jc w:val="center"/>
              <w:rPr>
                <w:szCs w:val="22"/>
              </w:rPr>
            </w:pPr>
          </w:p>
        </w:tc>
        <w:tc>
          <w:tcPr>
            <w:tcW w:w="1260" w:type="pct"/>
            <w:tcBorders>
              <w:top w:val="single" w:sz="4" w:space="0" w:color="000000"/>
              <w:left w:val="nil"/>
              <w:bottom w:val="single" w:sz="4" w:space="0" w:color="000000"/>
              <w:right w:val="single" w:sz="4" w:space="0" w:color="000000"/>
            </w:tcBorders>
            <w:shd w:val="clear" w:color="auto" w:fill="BFBFBF" w:themeFill="background1" w:themeFillShade="BF"/>
            <w:vAlign w:val="bottom"/>
          </w:tcPr>
          <w:p w14:paraId="681D37E0" w14:textId="77777777" w:rsidR="00A00405" w:rsidRPr="0010725E" w:rsidRDefault="00A00405" w:rsidP="00A00405">
            <w:pPr>
              <w:jc w:val="center"/>
              <w:rPr>
                <w:szCs w:val="22"/>
              </w:rPr>
            </w:pPr>
          </w:p>
        </w:tc>
      </w:tr>
      <w:tr w:rsidR="00A00405" w:rsidRPr="0010725E" w14:paraId="70155549" w14:textId="77777777" w:rsidTr="00A00405">
        <w:trPr>
          <w:trHeight w:val="240"/>
          <w:jc w:val="center"/>
        </w:trPr>
        <w:tc>
          <w:tcPr>
            <w:tcW w:w="823" w:type="pct"/>
            <w:tcBorders>
              <w:top w:val="nil"/>
              <w:left w:val="single" w:sz="4" w:space="0" w:color="000000"/>
              <w:bottom w:val="single" w:sz="4" w:space="0" w:color="000000"/>
              <w:right w:val="single" w:sz="4" w:space="0" w:color="000000"/>
            </w:tcBorders>
            <w:vAlign w:val="bottom"/>
          </w:tcPr>
          <w:p w14:paraId="3AD1C176" w14:textId="77777777" w:rsidR="00A00405" w:rsidRPr="0010725E" w:rsidRDefault="00A00405" w:rsidP="00A00405">
            <w:pPr>
              <w:jc w:val="center"/>
              <w:rPr>
                <w:szCs w:val="22"/>
              </w:rPr>
            </w:pPr>
            <w:r w:rsidRPr="0010725E">
              <w:rPr>
                <w:szCs w:val="22"/>
              </w:rPr>
              <w:t>27</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1BF79539" w14:textId="77777777" w:rsidR="00A00405" w:rsidRPr="0010725E" w:rsidRDefault="00A00405" w:rsidP="00A00405">
            <w:pPr>
              <w:jc w:val="center"/>
              <w:rPr>
                <w:szCs w:val="22"/>
              </w:rPr>
            </w:pPr>
            <w:r w:rsidRPr="0010725E">
              <w:rPr>
                <w:szCs w:val="22"/>
              </w:rPr>
              <w:t>Uruguay</w:t>
            </w:r>
          </w:p>
        </w:tc>
        <w:tc>
          <w:tcPr>
            <w:tcW w:w="937" w:type="pct"/>
            <w:tcBorders>
              <w:top w:val="nil"/>
              <w:left w:val="nil"/>
              <w:bottom w:val="single" w:sz="4" w:space="0" w:color="000000"/>
              <w:right w:val="single" w:sz="4" w:space="0" w:color="000000"/>
            </w:tcBorders>
            <w:shd w:val="clear" w:color="auto" w:fill="auto"/>
            <w:vAlign w:val="bottom"/>
          </w:tcPr>
          <w:p w14:paraId="04247EE2" w14:textId="77777777" w:rsidR="00A00405" w:rsidRPr="0010725E" w:rsidRDefault="00A00405" w:rsidP="00A00405">
            <w:pPr>
              <w:jc w:val="center"/>
              <w:rPr>
                <w:szCs w:val="22"/>
              </w:rPr>
            </w:pPr>
            <w:r w:rsidRPr="0010725E">
              <w:rPr>
                <w:szCs w:val="22"/>
              </w:rPr>
              <w:t>40</w:t>
            </w:r>
          </w:p>
        </w:tc>
        <w:tc>
          <w:tcPr>
            <w:tcW w:w="847" w:type="pct"/>
            <w:tcBorders>
              <w:top w:val="nil"/>
              <w:left w:val="nil"/>
              <w:bottom w:val="single" w:sz="4" w:space="0" w:color="000000"/>
              <w:right w:val="single" w:sz="4" w:space="0" w:color="000000"/>
            </w:tcBorders>
            <w:shd w:val="clear" w:color="auto" w:fill="auto"/>
            <w:vAlign w:val="bottom"/>
          </w:tcPr>
          <w:p w14:paraId="0724490C" w14:textId="77777777" w:rsidR="00A00405" w:rsidRPr="0010725E" w:rsidRDefault="00A00405" w:rsidP="00A00405">
            <w:pPr>
              <w:jc w:val="center"/>
              <w:rPr>
                <w:szCs w:val="22"/>
              </w:rPr>
            </w:pPr>
            <w:r w:rsidRPr="0010725E">
              <w:rPr>
                <w:szCs w:val="22"/>
              </w:rPr>
              <w:t>51</w:t>
            </w:r>
          </w:p>
        </w:tc>
        <w:tc>
          <w:tcPr>
            <w:tcW w:w="1260" w:type="pct"/>
            <w:tcBorders>
              <w:top w:val="nil"/>
              <w:left w:val="nil"/>
              <w:bottom w:val="single" w:sz="4" w:space="0" w:color="000000"/>
              <w:right w:val="single" w:sz="4" w:space="0" w:color="000000"/>
            </w:tcBorders>
            <w:shd w:val="clear" w:color="auto" w:fill="auto"/>
            <w:vAlign w:val="bottom"/>
          </w:tcPr>
          <w:p w14:paraId="1612F388" w14:textId="77777777" w:rsidR="00A00405" w:rsidRPr="0010725E" w:rsidRDefault="00A00405" w:rsidP="00A00405">
            <w:pPr>
              <w:jc w:val="center"/>
              <w:rPr>
                <w:szCs w:val="22"/>
              </w:rPr>
            </w:pPr>
            <w:r w:rsidRPr="0010725E">
              <w:rPr>
                <w:szCs w:val="22"/>
              </w:rPr>
              <w:t>16</w:t>
            </w:r>
          </w:p>
        </w:tc>
      </w:tr>
      <w:tr w:rsidR="00A00405" w:rsidRPr="0010725E" w14:paraId="0E6692BE" w14:textId="77777777" w:rsidTr="00A00405">
        <w:trPr>
          <w:trHeight w:val="260"/>
          <w:jc w:val="center"/>
        </w:trPr>
        <w:tc>
          <w:tcPr>
            <w:tcW w:w="823" w:type="pct"/>
            <w:tcBorders>
              <w:top w:val="nil"/>
              <w:left w:val="single" w:sz="4" w:space="0" w:color="000000"/>
              <w:bottom w:val="single" w:sz="4" w:space="0" w:color="000000"/>
              <w:right w:val="single" w:sz="4" w:space="0" w:color="000000"/>
            </w:tcBorders>
            <w:vAlign w:val="bottom"/>
          </w:tcPr>
          <w:p w14:paraId="7D75CA27" w14:textId="77777777" w:rsidR="00A00405" w:rsidRPr="0010725E" w:rsidRDefault="00A00405" w:rsidP="00A00405">
            <w:pPr>
              <w:jc w:val="center"/>
              <w:rPr>
                <w:szCs w:val="22"/>
              </w:rPr>
            </w:pPr>
            <w:r w:rsidRPr="0010725E">
              <w:rPr>
                <w:szCs w:val="22"/>
              </w:rPr>
              <w:t>38</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2AD92518" w14:textId="77777777" w:rsidR="00A00405" w:rsidRPr="0010725E" w:rsidRDefault="00A00405" w:rsidP="00A00405">
            <w:pPr>
              <w:jc w:val="center"/>
              <w:rPr>
                <w:szCs w:val="22"/>
              </w:rPr>
            </w:pPr>
            <w:r w:rsidRPr="0010725E">
              <w:rPr>
                <w:szCs w:val="22"/>
              </w:rPr>
              <w:t>Chile</w:t>
            </w:r>
          </w:p>
        </w:tc>
        <w:tc>
          <w:tcPr>
            <w:tcW w:w="937" w:type="pct"/>
            <w:tcBorders>
              <w:top w:val="nil"/>
              <w:left w:val="nil"/>
              <w:bottom w:val="single" w:sz="4" w:space="0" w:color="000000"/>
              <w:right w:val="single" w:sz="4" w:space="0" w:color="000000"/>
            </w:tcBorders>
            <w:shd w:val="clear" w:color="auto" w:fill="auto"/>
            <w:vAlign w:val="bottom"/>
          </w:tcPr>
          <w:p w14:paraId="6770C4FC" w14:textId="77777777" w:rsidR="00A00405" w:rsidRPr="0010725E" w:rsidRDefault="00A00405" w:rsidP="00A00405">
            <w:pPr>
              <w:jc w:val="center"/>
              <w:rPr>
                <w:szCs w:val="22"/>
              </w:rPr>
            </w:pPr>
            <w:r w:rsidRPr="0010725E">
              <w:rPr>
                <w:szCs w:val="22"/>
              </w:rPr>
              <w:t>44</w:t>
            </w:r>
          </w:p>
        </w:tc>
        <w:tc>
          <w:tcPr>
            <w:tcW w:w="847" w:type="pct"/>
            <w:tcBorders>
              <w:top w:val="nil"/>
              <w:left w:val="nil"/>
              <w:bottom w:val="single" w:sz="4" w:space="0" w:color="000000"/>
              <w:right w:val="single" w:sz="4" w:space="0" w:color="000000"/>
            </w:tcBorders>
            <w:shd w:val="clear" w:color="auto" w:fill="auto"/>
            <w:vAlign w:val="bottom"/>
          </w:tcPr>
          <w:p w14:paraId="6C41EB62" w14:textId="77777777" w:rsidR="00A00405" w:rsidRPr="0010725E" w:rsidRDefault="00A00405" w:rsidP="00A00405">
            <w:pPr>
              <w:jc w:val="center"/>
              <w:rPr>
                <w:szCs w:val="22"/>
              </w:rPr>
            </w:pPr>
            <w:r w:rsidRPr="0010725E">
              <w:rPr>
                <w:szCs w:val="22"/>
              </w:rPr>
              <w:t>66</w:t>
            </w:r>
          </w:p>
        </w:tc>
        <w:tc>
          <w:tcPr>
            <w:tcW w:w="1260" w:type="pct"/>
            <w:tcBorders>
              <w:top w:val="nil"/>
              <w:left w:val="nil"/>
              <w:bottom w:val="single" w:sz="4" w:space="0" w:color="000000"/>
              <w:right w:val="single" w:sz="4" w:space="0" w:color="000000"/>
            </w:tcBorders>
            <w:shd w:val="clear" w:color="auto" w:fill="auto"/>
            <w:vAlign w:val="bottom"/>
          </w:tcPr>
          <w:p w14:paraId="37F007C3" w14:textId="77777777" w:rsidR="00A00405" w:rsidRPr="0010725E" w:rsidRDefault="00A00405" w:rsidP="00A00405">
            <w:pPr>
              <w:jc w:val="center"/>
              <w:rPr>
                <w:szCs w:val="22"/>
              </w:rPr>
            </w:pPr>
            <w:r w:rsidRPr="0010725E">
              <w:rPr>
                <w:szCs w:val="22"/>
              </w:rPr>
              <w:t>48</w:t>
            </w:r>
          </w:p>
        </w:tc>
      </w:tr>
      <w:tr w:rsidR="00A00405" w:rsidRPr="0010725E" w14:paraId="558637B0" w14:textId="77777777" w:rsidTr="00A00405">
        <w:trPr>
          <w:trHeight w:val="120"/>
          <w:jc w:val="center"/>
        </w:trPr>
        <w:tc>
          <w:tcPr>
            <w:tcW w:w="823" w:type="pct"/>
            <w:tcBorders>
              <w:top w:val="nil"/>
              <w:left w:val="single" w:sz="4" w:space="0" w:color="000000"/>
              <w:bottom w:val="single" w:sz="4" w:space="0" w:color="000000"/>
              <w:right w:val="single" w:sz="4" w:space="0" w:color="000000"/>
            </w:tcBorders>
            <w:vAlign w:val="bottom"/>
          </w:tcPr>
          <w:p w14:paraId="101840C5" w14:textId="77777777" w:rsidR="00A00405" w:rsidRPr="0010725E" w:rsidRDefault="00A00405" w:rsidP="00A00405">
            <w:pPr>
              <w:jc w:val="center"/>
              <w:rPr>
                <w:szCs w:val="22"/>
              </w:rPr>
            </w:pPr>
            <w:r w:rsidRPr="0010725E">
              <w:rPr>
                <w:szCs w:val="22"/>
              </w:rPr>
              <w:t>41</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0D796C75" w14:textId="77777777" w:rsidR="00A00405" w:rsidRPr="0010725E" w:rsidRDefault="00A00405" w:rsidP="00A00405">
            <w:pPr>
              <w:jc w:val="center"/>
              <w:rPr>
                <w:szCs w:val="22"/>
              </w:rPr>
            </w:pPr>
            <w:r w:rsidRPr="0010725E">
              <w:rPr>
                <w:szCs w:val="22"/>
              </w:rPr>
              <w:t>Colombia</w:t>
            </w:r>
          </w:p>
        </w:tc>
        <w:tc>
          <w:tcPr>
            <w:tcW w:w="937" w:type="pct"/>
            <w:tcBorders>
              <w:top w:val="nil"/>
              <w:left w:val="nil"/>
              <w:bottom w:val="single" w:sz="4" w:space="0" w:color="000000"/>
              <w:right w:val="single" w:sz="4" w:space="0" w:color="000000"/>
            </w:tcBorders>
            <w:shd w:val="clear" w:color="auto" w:fill="auto"/>
            <w:vAlign w:val="bottom"/>
          </w:tcPr>
          <w:p w14:paraId="06428266" w14:textId="77777777" w:rsidR="00A00405" w:rsidRPr="0010725E" w:rsidRDefault="00A00405" w:rsidP="00A00405">
            <w:pPr>
              <w:jc w:val="center"/>
              <w:rPr>
                <w:szCs w:val="22"/>
              </w:rPr>
            </w:pPr>
            <w:r w:rsidRPr="0010725E">
              <w:rPr>
                <w:szCs w:val="22"/>
              </w:rPr>
              <w:t>36</w:t>
            </w:r>
          </w:p>
        </w:tc>
        <w:tc>
          <w:tcPr>
            <w:tcW w:w="847" w:type="pct"/>
            <w:tcBorders>
              <w:top w:val="nil"/>
              <w:left w:val="nil"/>
              <w:bottom w:val="single" w:sz="4" w:space="0" w:color="000000"/>
              <w:right w:val="single" w:sz="4" w:space="0" w:color="000000"/>
            </w:tcBorders>
            <w:shd w:val="clear" w:color="auto" w:fill="auto"/>
            <w:vAlign w:val="bottom"/>
          </w:tcPr>
          <w:p w14:paraId="409137E1" w14:textId="77777777" w:rsidR="00A00405" w:rsidRPr="0010725E" w:rsidRDefault="00A00405" w:rsidP="00A00405">
            <w:pPr>
              <w:jc w:val="center"/>
              <w:rPr>
                <w:szCs w:val="22"/>
              </w:rPr>
            </w:pPr>
            <w:r w:rsidRPr="0010725E">
              <w:rPr>
                <w:szCs w:val="22"/>
              </w:rPr>
              <w:t>80</w:t>
            </w:r>
          </w:p>
        </w:tc>
        <w:tc>
          <w:tcPr>
            <w:tcW w:w="1260" w:type="pct"/>
            <w:tcBorders>
              <w:top w:val="nil"/>
              <w:left w:val="nil"/>
              <w:bottom w:val="single" w:sz="4" w:space="0" w:color="000000"/>
              <w:right w:val="single" w:sz="4" w:space="0" w:color="000000"/>
            </w:tcBorders>
            <w:shd w:val="clear" w:color="auto" w:fill="auto"/>
            <w:vAlign w:val="bottom"/>
          </w:tcPr>
          <w:p w14:paraId="1E198EC1" w14:textId="77777777" w:rsidR="00A00405" w:rsidRPr="0010725E" w:rsidRDefault="00A00405" w:rsidP="00A00405">
            <w:pPr>
              <w:jc w:val="center"/>
              <w:rPr>
                <w:szCs w:val="22"/>
              </w:rPr>
            </w:pPr>
            <w:r w:rsidRPr="0010725E">
              <w:rPr>
                <w:szCs w:val="22"/>
              </w:rPr>
              <w:t>10</w:t>
            </w:r>
          </w:p>
        </w:tc>
      </w:tr>
      <w:tr w:rsidR="00A00405" w:rsidRPr="0010725E" w14:paraId="3333D830" w14:textId="77777777" w:rsidTr="00A00405">
        <w:trPr>
          <w:trHeight w:val="240"/>
          <w:jc w:val="center"/>
        </w:trPr>
        <w:tc>
          <w:tcPr>
            <w:tcW w:w="823" w:type="pct"/>
            <w:tcBorders>
              <w:top w:val="nil"/>
              <w:left w:val="single" w:sz="4" w:space="0" w:color="000000"/>
              <w:bottom w:val="single" w:sz="4" w:space="0" w:color="000000"/>
              <w:right w:val="single" w:sz="4" w:space="0" w:color="000000"/>
            </w:tcBorders>
            <w:vAlign w:val="bottom"/>
          </w:tcPr>
          <w:p w14:paraId="19132FE9" w14:textId="77777777" w:rsidR="00A00405" w:rsidRPr="0010725E" w:rsidRDefault="00A00405" w:rsidP="00A00405">
            <w:pPr>
              <w:jc w:val="center"/>
              <w:rPr>
                <w:szCs w:val="22"/>
              </w:rPr>
            </w:pPr>
            <w:r w:rsidRPr="0010725E">
              <w:rPr>
                <w:szCs w:val="22"/>
              </w:rPr>
              <w:t>50</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1021B060" w14:textId="77777777" w:rsidR="00A00405" w:rsidRPr="0010725E" w:rsidRDefault="00A00405" w:rsidP="00A00405">
            <w:pPr>
              <w:jc w:val="center"/>
              <w:rPr>
                <w:szCs w:val="22"/>
              </w:rPr>
            </w:pPr>
            <w:r w:rsidRPr="0010725E">
              <w:rPr>
                <w:szCs w:val="22"/>
              </w:rPr>
              <w:t>Ecuador</w:t>
            </w:r>
          </w:p>
        </w:tc>
        <w:tc>
          <w:tcPr>
            <w:tcW w:w="937" w:type="pct"/>
            <w:tcBorders>
              <w:top w:val="nil"/>
              <w:left w:val="nil"/>
              <w:bottom w:val="single" w:sz="4" w:space="0" w:color="000000"/>
              <w:right w:val="single" w:sz="4" w:space="0" w:color="000000"/>
            </w:tcBorders>
            <w:shd w:val="clear" w:color="auto" w:fill="auto"/>
            <w:vAlign w:val="bottom"/>
          </w:tcPr>
          <w:p w14:paraId="77780539" w14:textId="77777777" w:rsidR="00A00405" w:rsidRPr="0010725E" w:rsidRDefault="00A00405" w:rsidP="00A00405">
            <w:pPr>
              <w:jc w:val="center"/>
              <w:rPr>
                <w:szCs w:val="22"/>
              </w:rPr>
            </w:pPr>
            <w:r w:rsidRPr="0010725E">
              <w:rPr>
                <w:szCs w:val="22"/>
              </w:rPr>
              <w:t>50</w:t>
            </w:r>
          </w:p>
        </w:tc>
        <w:tc>
          <w:tcPr>
            <w:tcW w:w="847" w:type="pct"/>
            <w:tcBorders>
              <w:top w:val="nil"/>
              <w:left w:val="nil"/>
              <w:bottom w:val="single" w:sz="4" w:space="0" w:color="000000"/>
              <w:right w:val="single" w:sz="4" w:space="0" w:color="000000"/>
            </w:tcBorders>
            <w:shd w:val="clear" w:color="auto" w:fill="auto"/>
            <w:vAlign w:val="bottom"/>
          </w:tcPr>
          <w:p w14:paraId="526D5E4E" w14:textId="77777777" w:rsidR="00A00405" w:rsidRPr="0010725E" w:rsidRDefault="00A00405" w:rsidP="00A00405">
            <w:pPr>
              <w:jc w:val="center"/>
              <w:rPr>
                <w:szCs w:val="22"/>
              </w:rPr>
            </w:pPr>
            <w:r w:rsidRPr="0010725E">
              <w:rPr>
                <w:szCs w:val="22"/>
              </w:rPr>
              <w:t>46</w:t>
            </w:r>
          </w:p>
        </w:tc>
        <w:tc>
          <w:tcPr>
            <w:tcW w:w="1260" w:type="pct"/>
            <w:tcBorders>
              <w:top w:val="nil"/>
              <w:left w:val="nil"/>
              <w:bottom w:val="single" w:sz="4" w:space="0" w:color="000000"/>
              <w:right w:val="single" w:sz="4" w:space="0" w:color="000000"/>
            </w:tcBorders>
            <w:shd w:val="clear" w:color="auto" w:fill="auto"/>
            <w:vAlign w:val="bottom"/>
          </w:tcPr>
          <w:p w14:paraId="48C7C741" w14:textId="77777777" w:rsidR="00A00405" w:rsidRPr="0010725E" w:rsidRDefault="00A00405" w:rsidP="00A00405">
            <w:pPr>
              <w:jc w:val="center"/>
              <w:rPr>
                <w:szCs w:val="22"/>
              </w:rPr>
            </w:pPr>
            <w:r w:rsidRPr="0010725E">
              <w:rPr>
                <w:szCs w:val="22"/>
              </w:rPr>
              <w:t>79</w:t>
            </w:r>
          </w:p>
        </w:tc>
      </w:tr>
      <w:tr w:rsidR="00A00405" w:rsidRPr="0010725E" w14:paraId="0C0B906B" w14:textId="77777777" w:rsidTr="00A00405">
        <w:trPr>
          <w:trHeight w:val="260"/>
          <w:jc w:val="center"/>
        </w:trPr>
        <w:tc>
          <w:tcPr>
            <w:tcW w:w="823" w:type="pct"/>
            <w:tcBorders>
              <w:top w:val="nil"/>
              <w:left w:val="single" w:sz="4" w:space="0" w:color="000000"/>
              <w:bottom w:val="single" w:sz="4" w:space="0" w:color="000000"/>
              <w:right w:val="single" w:sz="4" w:space="0" w:color="000000"/>
            </w:tcBorders>
            <w:vAlign w:val="bottom"/>
          </w:tcPr>
          <w:p w14:paraId="66F97F87" w14:textId="77777777" w:rsidR="00A00405" w:rsidRPr="0010725E" w:rsidRDefault="00A00405" w:rsidP="00A00405">
            <w:pPr>
              <w:jc w:val="center"/>
              <w:rPr>
                <w:szCs w:val="22"/>
              </w:rPr>
            </w:pPr>
            <w:r w:rsidRPr="0010725E">
              <w:rPr>
                <w:szCs w:val="22"/>
              </w:rPr>
              <w:t>57</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0C9E52EF" w14:textId="77777777" w:rsidR="00A00405" w:rsidRPr="0010725E" w:rsidRDefault="00A00405" w:rsidP="00A00405">
            <w:pPr>
              <w:jc w:val="center"/>
              <w:rPr>
                <w:szCs w:val="22"/>
              </w:rPr>
            </w:pPr>
            <w:r w:rsidRPr="0010725E">
              <w:rPr>
                <w:szCs w:val="22"/>
              </w:rPr>
              <w:t>Brazil</w:t>
            </w:r>
          </w:p>
        </w:tc>
        <w:tc>
          <w:tcPr>
            <w:tcW w:w="937" w:type="pct"/>
            <w:tcBorders>
              <w:top w:val="nil"/>
              <w:left w:val="nil"/>
              <w:bottom w:val="single" w:sz="4" w:space="0" w:color="000000"/>
              <w:right w:val="single" w:sz="4" w:space="0" w:color="000000"/>
            </w:tcBorders>
            <w:shd w:val="clear" w:color="auto" w:fill="auto"/>
            <w:vAlign w:val="bottom"/>
          </w:tcPr>
          <w:p w14:paraId="30E05C17" w14:textId="77777777" w:rsidR="00A00405" w:rsidRPr="0010725E" w:rsidRDefault="00A00405" w:rsidP="00A00405">
            <w:pPr>
              <w:jc w:val="center"/>
              <w:rPr>
                <w:szCs w:val="22"/>
              </w:rPr>
            </w:pPr>
            <w:r w:rsidRPr="0010725E">
              <w:rPr>
                <w:szCs w:val="22"/>
              </w:rPr>
              <w:t>68</w:t>
            </w:r>
          </w:p>
        </w:tc>
        <w:tc>
          <w:tcPr>
            <w:tcW w:w="847" w:type="pct"/>
            <w:tcBorders>
              <w:top w:val="nil"/>
              <w:left w:val="nil"/>
              <w:bottom w:val="single" w:sz="4" w:space="0" w:color="000000"/>
              <w:right w:val="single" w:sz="4" w:space="0" w:color="000000"/>
            </w:tcBorders>
            <w:shd w:val="clear" w:color="auto" w:fill="auto"/>
            <w:vAlign w:val="bottom"/>
          </w:tcPr>
          <w:p w14:paraId="2A3999DA" w14:textId="77777777" w:rsidR="00A00405" w:rsidRPr="0010725E" w:rsidRDefault="00A00405" w:rsidP="00A00405">
            <w:pPr>
              <w:jc w:val="center"/>
              <w:rPr>
                <w:szCs w:val="22"/>
              </w:rPr>
            </w:pPr>
            <w:r w:rsidRPr="0010725E">
              <w:rPr>
                <w:szCs w:val="22"/>
              </w:rPr>
              <w:t>70</w:t>
            </w:r>
          </w:p>
        </w:tc>
        <w:tc>
          <w:tcPr>
            <w:tcW w:w="1260" w:type="pct"/>
            <w:tcBorders>
              <w:top w:val="nil"/>
              <w:left w:val="nil"/>
              <w:bottom w:val="single" w:sz="4" w:space="0" w:color="000000"/>
              <w:right w:val="single" w:sz="4" w:space="0" w:color="000000"/>
            </w:tcBorders>
            <w:shd w:val="clear" w:color="auto" w:fill="auto"/>
            <w:vAlign w:val="bottom"/>
          </w:tcPr>
          <w:p w14:paraId="7ECFFC36" w14:textId="77777777" w:rsidR="00A00405" w:rsidRPr="0010725E" w:rsidRDefault="00A00405" w:rsidP="00A00405">
            <w:pPr>
              <w:jc w:val="center"/>
              <w:rPr>
                <w:szCs w:val="22"/>
              </w:rPr>
            </w:pPr>
            <w:r w:rsidRPr="0010725E">
              <w:rPr>
                <w:szCs w:val="22"/>
              </w:rPr>
              <w:t>46</w:t>
            </w:r>
          </w:p>
        </w:tc>
      </w:tr>
      <w:tr w:rsidR="00A00405" w:rsidRPr="0010725E" w14:paraId="3C2C3FC0" w14:textId="77777777" w:rsidTr="00A00405">
        <w:trPr>
          <w:trHeight w:val="200"/>
          <w:jc w:val="center"/>
        </w:trPr>
        <w:tc>
          <w:tcPr>
            <w:tcW w:w="823" w:type="pct"/>
            <w:tcBorders>
              <w:top w:val="nil"/>
              <w:left w:val="single" w:sz="4" w:space="0" w:color="000000"/>
              <w:bottom w:val="single" w:sz="4" w:space="0" w:color="000000"/>
              <w:right w:val="single" w:sz="4" w:space="0" w:color="000000"/>
            </w:tcBorders>
            <w:vAlign w:val="bottom"/>
          </w:tcPr>
          <w:p w14:paraId="32B00275" w14:textId="77777777" w:rsidR="00A00405" w:rsidRPr="0010725E" w:rsidRDefault="00A00405" w:rsidP="00A00405">
            <w:pPr>
              <w:jc w:val="center"/>
              <w:rPr>
                <w:szCs w:val="22"/>
              </w:rPr>
            </w:pPr>
            <w:r w:rsidRPr="0010725E">
              <w:rPr>
                <w:szCs w:val="22"/>
              </w:rPr>
              <w:t>58</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255B1514" w14:textId="77777777" w:rsidR="00A00405" w:rsidRPr="0010725E" w:rsidRDefault="00A00405" w:rsidP="00A00405">
            <w:pPr>
              <w:jc w:val="center"/>
              <w:rPr>
                <w:szCs w:val="22"/>
              </w:rPr>
            </w:pPr>
            <w:r w:rsidRPr="0010725E">
              <w:rPr>
                <w:szCs w:val="22"/>
              </w:rPr>
              <w:t>Argentina</w:t>
            </w:r>
          </w:p>
        </w:tc>
        <w:tc>
          <w:tcPr>
            <w:tcW w:w="937" w:type="pct"/>
            <w:tcBorders>
              <w:top w:val="nil"/>
              <w:left w:val="nil"/>
              <w:bottom w:val="single" w:sz="4" w:space="0" w:color="000000"/>
              <w:right w:val="single" w:sz="4" w:space="0" w:color="000000"/>
            </w:tcBorders>
            <w:shd w:val="clear" w:color="auto" w:fill="auto"/>
            <w:vAlign w:val="bottom"/>
          </w:tcPr>
          <w:p w14:paraId="32445A30" w14:textId="77777777" w:rsidR="00A00405" w:rsidRPr="0010725E" w:rsidRDefault="00A00405" w:rsidP="00A00405">
            <w:pPr>
              <w:jc w:val="center"/>
              <w:rPr>
                <w:szCs w:val="22"/>
              </w:rPr>
            </w:pPr>
            <w:r w:rsidRPr="0010725E">
              <w:rPr>
                <w:szCs w:val="22"/>
              </w:rPr>
              <w:t>48</w:t>
            </w:r>
          </w:p>
        </w:tc>
        <w:tc>
          <w:tcPr>
            <w:tcW w:w="847" w:type="pct"/>
            <w:tcBorders>
              <w:top w:val="nil"/>
              <w:left w:val="nil"/>
              <w:bottom w:val="single" w:sz="4" w:space="0" w:color="000000"/>
              <w:right w:val="single" w:sz="4" w:space="0" w:color="000000"/>
            </w:tcBorders>
            <w:shd w:val="clear" w:color="auto" w:fill="auto"/>
            <w:vAlign w:val="bottom"/>
          </w:tcPr>
          <w:p w14:paraId="0344A694" w14:textId="77777777" w:rsidR="00A00405" w:rsidRPr="0010725E" w:rsidRDefault="00A00405" w:rsidP="00A00405">
            <w:pPr>
              <w:jc w:val="center"/>
              <w:rPr>
                <w:szCs w:val="22"/>
              </w:rPr>
            </w:pPr>
            <w:r w:rsidRPr="0010725E">
              <w:rPr>
                <w:szCs w:val="22"/>
              </w:rPr>
              <w:t>69</w:t>
            </w:r>
          </w:p>
        </w:tc>
        <w:tc>
          <w:tcPr>
            <w:tcW w:w="1260" w:type="pct"/>
            <w:tcBorders>
              <w:top w:val="nil"/>
              <w:left w:val="nil"/>
              <w:bottom w:val="single" w:sz="4" w:space="0" w:color="000000"/>
              <w:right w:val="single" w:sz="4" w:space="0" w:color="000000"/>
            </w:tcBorders>
            <w:shd w:val="clear" w:color="auto" w:fill="auto"/>
            <w:vAlign w:val="bottom"/>
          </w:tcPr>
          <w:p w14:paraId="7BB725A6" w14:textId="77777777" w:rsidR="00A00405" w:rsidRPr="0010725E" w:rsidRDefault="00A00405" w:rsidP="00A00405">
            <w:pPr>
              <w:jc w:val="center"/>
              <w:rPr>
                <w:szCs w:val="22"/>
              </w:rPr>
            </w:pPr>
            <w:r w:rsidRPr="0010725E">
              <w:rPr>
                <w:szCs w:val="22"/>
              </w:rPr>
              <w:t>69</w:t>
            </w:r>
          </w:p>
        </w:tc>
      </w:tr>
      <w:tr w:rsidR="00A00405" w:rsidRPr="0010725E" w14:paraId="27BD3885" w14:textId="77777777" w:rsidTr="00A00405">
        <w:trPr>
          <w:trHeight w:val="240"/>
          <w:jc w:val="center"/>
        </w:trPr>
        <w:tc>
          <w:tcPr>
            <w:tcW w:w="823" w:type="pct"/>
            <w:tcBorders>
              <w:top w:val="nil"/>
              <w:left w:val="single" w:sz="4" w:space="0" w:color="000000"/>
              <w:bottom w:val="single" w:sz="4" w:space="0" w:color="000000"/>
              <w:right w:val="single" w:sz="4" w:space="0" w:color="000000"/>
            </w:tcBorders>
            <w:vAlign w:val="bottom"/>
          </w:tcPr>
          <w:p w14:paraId="08968FA1" w14:textId="77777777" w:rsidR="00A00405" w:rsidRPr="0010725E" w:rsidRDefault="00A00405" w:rsidP="00A00405">
            <w:pPr>
              <w:jc w:val="center"/>
              <w:rPr>
                <w:szCs w:val="22"/>
              </w:rPr>
            </w:pPr>
            <w:r w:rsidRPr="0010725E">
              <w:rPr>
                <w:szCs w:val="22"/>
              </w:rPr>
              <w:t>62</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1310D607" w14:textId="77777777" w:rsidR="00A00405" w:rsidRPr="0010725E" w:rsidRDefault="00A00405" w:rsidP="00A00405">
            <w:pPr>
              <w:jc w:val="center"/>
              <w:rPr>
                <w:szCs w:val="22"/>
              </w:rPr>
            </w:pPr>
            <w:r w:rsidRPr="0010725E">
              <w:rPr>
                <w:szCs w:val="22"/>
              </w:rPr>
              <w:t>Venezuela</w:t>
            </w:r>
          </w:p>
        </w:tc>
        <w:tc>
          <w:tcPr>
            <w:tcW w:w="937" w:type="pct"/>
            <w:tcBorders>
              <w:top w:val="nil"/>
              <w:left w:val="nil"/>
              <w:bottom w:val="single" w:sz="4" w:space="0" w:color="000000"/>
              <w:right w:val="single" w:sz="4" w:space="0" w:color="000000"/>
            </w:tcBorders>
            <w:shd w:val="clear" w:color="auto" w:fill="auto"/>
            <w:vAlign w:val="bottom"/>
          </w:tcPr>
          <w:p w14:paraId="07EF8969" w14:textId="77777777" w:rsidR="00A00405" w:rsidRPr="0010725E" w:rsidRDefault="00A00405" w:rsidP="00A00405">
            <w:pPr>
              <w:jc w:val="center"/>
              <w:rPr>
                <w:szCs w:val="22"/>
              </w:rPr>
            </w:pPr>
            <w:r w:rsidRPr="0010725E">
              <w:rPr>
                <w:szCs w:val="22"/>
              </w:rPr>
              <w:t>21</w:t>
            </w:r>
          </w:p>
        </w:tc>
        <w:tc>
          <w:tcPr>
            <w:tcW w:w="847" w:type="pct"/>
            <w:tcBorders>
              <w:top w:val="nil"/>
              <w:left w:val="nil"/>
              <w:bottom w:val="single" w:sz="4" w:space="0" w:color="000000"/>
              <w:right w:val="single" w:sz="4" w:space="0" w:color="000000"/>
            </w:tcBorders>
            <w:shd w:val="clear" w:color="auto" w:fill="auto"/>
            <w:vAlign w:val="bottom"/>
          </w:tcPr>
          <w:p w14:paraId="0B7743D6" w14:textId="77777777" w:rsidR="00A00405" w:rsidRPr="0010725E" w:rsidRDefault="00A00405" w:rsidP="00A00405">
            <w:pPr>
              <w:jc w:val="center"/>
              <w:rPr>
                <w:szCs w:val="22"/>
              </w:rPr>
            </w:pPr>
            <w:r w:rsidRPr="0010725E">
              <w:rPr>
                <w:szCs w:val="22"/>
              </w:rPr>
              <w:t>68</w:t>
            </w:r>
          </w:p>
        </w:tc>
        <w:tc>
          <w:tcPr>
            <w:tcW w:w="1260" w:type="pct"/>
            <w:tcBorders>
              <w:top w:val="nil"/>
              <w:left w:val="nil"/>
              <w:bottom w:val="single" w:sz="4" w:space="0" w:color="000000"/>
              <w:right w:val="single" w:sz="4" w:space="0" w:color="000000"/>
            </w:tcBorders>
            <w:shd w:val="clear" w:color="auto" w:fill="auto"/>
            <w:vAlign w:val="bottom"/>
          </w:tcPr>
          <w:p w14:paraId="79720F2D" w14:textId="77777777" w:rsidR="00A00405" w:rsidRPr="0010725E" w:rsidRDefault="00A00405" w:rsidP="00A00405">
            <w:pPr>
              <w:jc w:val="center"/>
              <w:rPr>
                <w:szCs w:val="22"/>
              </w:rPr>
            </w:pPr>
            <w:r w:rsidRPr="0010725E">
              <w:rPr>
                <w:szCs w:val="22"/>
              </w:rPr>
              <w:t>87</w:t>
            </w:r>
          </w:p>
        </w:tc>
      </w:tr>
      <w:tr w:rsidR="00A00405" w:rsidRPr="0010725E" w14:paraId="04A0A746" w14:textId="77777777" w:rsidTr="00A00405">
        <w:trPr>
          <w:trHeight w:val="180"/>
          <w:jc w:val="center"/>
        </w:trPr>
        <w:tc>
          <w:tcPr>
            <w:tcW w:w="823" w:type="pct"/>
            <w:tcBorders>
              <w:top w:val="nil"/>
              <w:left w:val="single" w:sz="4" w:space="0" w:color="000000"/>
              <w:bottom w:val="single" w:sz="4" w:space="0" w:color="000000"/>
              <w:right w:val="single" w:sz="4" w:space="0" w:color="000000"/>
            </w:tcBorders>
            <w:vAlign w:val="bottom"/>
          </w:tcPr>
          <w:p w14:paraId="212E13DF" w14:textId="77777777" w:rsidR="00A00405" w:rsidRPr="0010725E" w:rsidRDefault="00A00405" w:rsidP="00A00405">
            <w:pPr>
              <w:jc w:val="center"/>
              <w:rPr>
                <w:szCs w:val="22"/>
              </w:rPr>
            </w:pPr>
            <w:r w:rsidRPr="0010725E">
              <w:rPr>
                <w:szCs w:val="22"/>
              </w:rPr>
              <w:t>64</w:t>
            </w:r>
          </w:p>
        </w:tc>
        <w:tc>
          <w:tcPr>
            <w:tcW w:w="1133" w:type="pct"/>
            <w:tcBorders>
              <w:top w:val="nil"/>
              <w:left w:val="single" w:sz="4" w:space="0" w:color="000000"/>
              <w:bottom w:val="single" w:sz="4" w:space="0" w:color="000000"/>
              <w:right w:val="single" w:sz="4" w:space="0" w:color="000000"/>
            </w:tcBorders>
            <w:shd w:val="clear" w:color="auto" w:fill="auto"/>
            <w:vAlign w:val="bottom"/>
          </w:tcPr>
          <w:p w14:paraId="7FBD0569" w14:textId="77777777" w:rsidR="00A00405" w:rsidRPr="0010725E" w:rsidRDefault="00A00405" w:rsidP="00A00405">
            <w:pPr>
              <w:jc w:val="center"/>
              <w:rPr>
                <w:szCs w:val="22"/>
              </w:rPr>
            </w:pPr>
            <w:r w:rsidRPr="0010725E">
              <w:rPr>
                <w:szCs w:val="22"/>
              </w:rPr>
              <w:t>Peru</w:t>
            </w:r>
          </w:p>
        </w:tc>
        <w:tc>
          <w:tcPr>
            <w:tcW w:w="937" w:type="pct"/>
            <w:tcBorders>
              <w:top w:val="nil"/>
              <w:left w:val="nil"/>
              <w:bottom w:val="single" w:sz="4" w:space="0" w:color="000000"/>
              <w:right w:val="single" w:sz="4" w:space="0" w:color="000000"/>
            </w:tcBorders>
            <w:shd w:val="clear" w:color="auto" w:fill="auto"/>
            <w:vAlign w:val="bottom"/>
          </w:tcPr>
          <w:p w14:paraId="11857E37" w14:textId="77777777" w:rsidR="00A00405" w:rsidRPr="0010725E" w:rsidRDefault="00A00405" w:rsidP="00A00405">
            <w:pPr>
              <w:jc w:val="center"/>
              <w:rPr>
                <w:szCs w:val="22"/>
              </w:rPr>
            </w:pPr>
            <w:r w:rsidRPr="0010725E">
              <w:rPr>
                <w:szCs w:val="22"/>
              </w:rPr>
              <w:t>54</w:t>
            </w:r>
          </w:p>
        </w:tc>
        <w:tc>
          <w:tcPr>
            <w:tcW w:w="847" w:type="pct"/>
            <w:tcBorders>
              <w:top w:val="nil"/>
              <w:left w:val="nil"/>
              <w:bottom w:val="single" w:sz="4" w:space="0" w:color="000000"/>
              <w:right w:val="single" w:sz="4" w:space="0" w:color="000000"/>
            </w:tcBorders>
            <w:shd w:val="clear" w:color="auto" w:fill="auto"/>
            <w:vAlign w:val="bottom"/>
          </w:tcPr>
          <w:p w14:paraId="4947BB34" w14:textId="77777777" w:rsidR="00A00405" w:rsidRPr="0010725E" w:rsidRDefault="00A00405" w:rsidP="00A00405">
            <w:pPr>
              <w:jc w:val="center"/>
              <w:rPr>
                <w:szCs w:val="22"/>
              </w:rPr>
            </w:pPr>
            <w:r w:rsidRPr="0010725E">
              <w:rPr>
                <w:szCs w:val="22"/>
              </w:rPr>
              <w:t>84</w:t>
            </w:r>
          </w:p>
        </w:tc>
        <w:tc>
          <w:tcPr>
            <w:tcW w:w="1260" w:type="pct"/>
            <w:tcBorders>
              <w:top w:val="nil"/>
              <w:left w:val="nil"/>
              <w:bottom w:val="single" w:sz="4" w:space="0" w:color="000000"/>
              <w:right w:val="single" w:sz="4" w:space="0" w:color="000000"/>
            </w:tcBorders>
            <w:shd w:val="clear" w:color="auto" w:fill="auto"/>
            <w:vAlign w:val="bottom"/>
          </w:tcPr>
          <w:p w14:paraId="5FE58EB5" w14:textId="77777777" w:rsidR="00A00405" w:rsidRPr="0010725E" w:rsidRDefault="00A00405" w:rsidP="00A00405">
            <w:pPr>
              <w:jc w:val="center"/>
              <w:rPr>
                <w:szCs w:val="22"/>
              </w:rPr>
            </w:pPr>
            <w:r w:rsidRPr="0010725E">
              <w:rPr>
                <w:szCs w:val="22"/>
              </w:rPr>
              <w:t>38</w:t>
            </w:r>
          </w:p>
        </w:tc>
      </w:tr>
      <w:tr w:rsidR="00A00405" w:rsidRPr="0010725E" w14:paraId="3BC1BEE6" w14:textId="77777777" w:rsidTr="00A00405">
        <w:trPr>
          <w:trHeight w:val="200"/>
          <w:jc w:val="center"/>
        </w:trPr>
        <w:tc>
          <w:tcPr>
            <w:tcW w:w="823" w:type="pct"/>
            <w:tcBorders>
              <w:top w:val="single" w:sz="4" w:space="0" w:color="000000"/>
              <w:left w:val="single" w:sz="4" w:space="0" w:color="000000"/>
              <w:bottom w:val="single" w:sz="4" w:space="0" w:color="000000"/>
              <w:right w:val="single" w:sz="4" w:space="0" w:color="000000"/>
            </w:tcBorders>
            <w:vAlign w:val="bottom"/>
          </w:tcPr>
          <w:p w14:paraId="223DE307" w14:textId="77777777" w:rsidR="00A00405" w:rsidRPr="0010725E" w:rsidRDefault="00A00405" w:rsidP="00A00405">
            <w:pPr>
              <w:jc w:val="center"/>
              <w:rPr>
                <w:szCs w:val="22"/>
              </w:rPr>
            </w:pPr>
            <w:r w:rsidRPr="0010725E">
              <w:rPr>
                <w:szCs w:val="22"/>
              </w:rPr>
              <w:t>89</w:t>
            </w:r>
          </w:p>
        </w:tc>
        <w:tc>
          <w:tcPr>
            <w:tcW w:w="1133" w:type="pct"/>
            <w:tcBorders>
              <w:top w:val="single" w:sz="4" w:space="0" w:color="000000"/>
              <w:left w:val="single" w:sz="4" w:space="0" w:color="000000"/>
              <w:bottom w:val="single" w:sz="4" w:space="0" w:color="000000"/>
              <w:right w:val="single" w:sz="4" w:space="0" w:color="000000"/>
            </w:tcBorders>
            <w:shd w:val="clear" w:color="auto" w:fill="auto"/>
            <w:vAlign w:val="bottom"/>
          </w:tcPr>
          <w:p w14:paraId="3B3B38AB" w14:textId="77777777" w:rsidR="00A00405" w:rsidRPr="0010725E" w:rsidRDefault="00A00405" w:rsidP="00A00405">
            <w:pPr>
              <w:jc w:val="center"/>
              <w:rPr>
                <w:szCs w:val="22"/>
              </w:rPr>
            </w:pPr>
            <w:r w:rsidRPr="0010725E">
              <w:rPr>
                <w:szCs w:val="22"/>
              </w:rPr>
              <w:t>Paraguay</w:t>
            </w:r>
          </w:p>
        </w:tc>
        <w:tc>
          <w:tcPr>
            <w:tcW w:w="937" w:type="pct"/>
            <w:tcBorders>
              <w:top w:val="single" w:sz="4" w:space="0" w:color="000000"/>
              <w:left w:val="nil"/>
              <w:bottom w:val="single" w:sz="4" w:space="0" w:color="000000"/>
              <w:right w:val="single" w:sz="4" w:space="0" w:color="000000"/>
            </w:tcBorders>
            <w:shd w:val="clear" w:color="auto" w:fill="auto"/>
            <w:vAlign w:val="bottom"/>
          </w:tcPr>
          <w:p w14:paraId="69F9C9A4" w14:textId="77777777" w:rsidR="00A00405" w:rsidRPr="0010725E" w:rsidRDefault="00A00405" w:rsidP="00A00405">
            <w:pPr>
              <w:jc w:val="center"/>
              <w:rPr>
                <w:szCs w:val="22"/>
              </w:rPr>
            </w:pPr>
            <w:r w:rsidRPr="0010725E">
              <w:rPr>
                <w:szCs w:val="22"/>
              </w:rPr>
              <w:t>96</w:t>
            </w:r>
          </w:p>
        </w:tc>
        <w:tc>
          <w:tcPr>
            <w:tcW w:w="847" w:type="pct"/>
            <w:tcBorders>
              <w:top w:val="single" w:sz="4" w:space="0" w:color="000000"/>
              <w:left w:val="nil"/>
              <w:bottom w:val="single" w:sz="4" w:space="0" w:color="000000"/>
              <w:right w:val="single" w:sz="4" w:space="0" w:color="000000"/>
            </w:tcBorders>
            <w:shd w:val="clear" w:color="auto" w:fill="auto"/>
            <w:vAlign w:val="bottom"/>
          </w:tcPr>
          <w:p w14:paraId="2EB98A65" w14:textId="77777777" w:rsidR="00A00405" w:rsidRPr="0010725E" w:rsidRDefault="00A00405" w:rsidP="00A00405">
            <w:pPr>
              <w:jc w:val="center"/>
              <w:rPr>
                <w:szCs w:val="22"/>
              </w:rPr>
            </w:pPr>
            <w:r w:rsidRPr="0010725E">
              <w:rPr>
                <w:szCs w:val="22"/>
              </w:rPr>
              <w:t>86</w:t>
            </w:r>
          </w:p>
        </w:tc>
        <w:tc>
          <w:tcPr>
            <w:tcW w:w="1260" w:type="pct"/>
            <w:tcBorders>
              <w:top w:val="single" w:sz="4" w:space="0" w:color="000000"/>
              <w:left w:val="nil"/>
              <w:bottom w:val="single" w:sz="4" w:space="0" w:color="000000"/>
              <w:right w:val="single" w:sz="4" w:space="0" w:color="000000"/>
            </w:tcBorders>
            <w:shd w:val="clear" w:color="auto" w:fill="auto"/>
            <w:vAlign w:val="bottom"/>
          </w:tcPr>
          <w:p w14:paraId="1EFF1B29" w14:textId="77777777" w:rsidR="00A00405" w:rsidRPr="0010725E" w:rsidRDefault="00A00405" w:rsidP="00A00405">
            <w:pPr>
              <w:jc w:val="center"/>
              <w:rPr>
                <w:szCs w:val="22"/>
              </w:rPr>
            </w:pPr>
            <w:r w:rsidRPr="0010725E">
              <w:rPr>
                <w:szCs w:val="22"/>
              </w:rPr>
              <w:t>57</w:t>
            </w:r>
          </w:p>
        </w:tc>
      </w:tr>
      <w:tr w:rsidR="00A00405" w:rsidRPr="0010725E" w14:paraId="36B0FB22" w14:textId="77777777" w:rsidTr="00A00405">
        <w:trPr>
          <w:trHeight w:val="200"/>
          <w:jc w:val="center"/>
        </w:trPr>
        <w:tc>
          <w:tcPr>
            <w:tcW w:w="5000" w:type="pct"/>
            <w:gridSpan w:val="5"/>
            <w:tcBorders>
              <w:top w:val="single" w:sz="4" w:space="0" w:color="000000"/>
              <w:left w:val="single" w:sz="4" w:space="0" w:color="000000"/>
              <w:bottom w:val="single" w:sz="4" w:space="0" w:color="000000"/>
              <w:right w:val="single" w:sz="4" w:space="0" w:color="000000"/>
            </w:tcBorders>
            <w:vAlign w:val="bottom"/>
          </w:tcPr>
          <w:p w14:paraId="12C55094" w14:textId="4EC310B3" w:rsidR="00A00405" w:rsidRPr="0010725E" w:rsidRDefault="00A00405" w:rsidP="00322A42">
            <w:pPr>
              <w:rPr>
                <w:sz w:val="20"/>
                <w:szCs w:val="20"/>
              </w:rPr>
            </w:pPr>
            <w:r w:rsidRPr="0010725E">
              <w:rPr>
                <w:sz w:val="20"/>
                <w:szCs w:val="20"/>
              </w:rPr>
              <w:t xml:space="preserve">Source: World Energy Council available at: https://trilemma.worldenergy.org  (accessed </w:t>
            </w:r>
            <w:r w:rsidR="00322A42" w:rsidRPr="0010725E">
              <w:rPr>
                <w:sz w:val="20"/>
                <w:szCs w:val="20"/>
              </w:rPr>
              <w:t xml:space="preserve">March 9, </w:t>
            </w:r>
            <w:r w:rsidRPr="0010725E">
              <w:rPr>
                <w:sz w:val="20"/>
                <w:szCs w:val="20"/>
              </w:rPr>
              <w:t xml:space="preserve">2017). </w:t>
            </w:r>
          </w:p>
        </w:tc>
      </w:tr>
    </w:tbl>
    <w:p w14:paraId="377D3009" w14:textId="77777777" w:rsidR="00881509" w:rsidRPr="008608AA" w:rsidRDefault="00881509" w:rsidP="008B3BCD"/>
    <w:p w14:paraId="3E9F1820" w14:textId="77777777" w:rsidR="00A00405" w:rsidRPr="008608AA" w:rsidRDefault="00A00405" w:rsidP="00881509">
      <w:pPr>
        <w:pStyle w:val="Heading3"/>
      </w:pPr>
      <w:bookmarkStart w:id="715" w:name="_Toc517393272"/>
      <w:bookmarkStart w:id="716" w:name="_Toc517719013"/>
      <w:bookmarkStart w:id="717" w:name="_Toc517796970"/>
      <w:r w:rsidRPr="008608AA">
        <w:t>Health</w:t>
      </w:r>
      <w:bookmarkEnd w:id="715"/>
      <w:bookmarkEnd w:id="716"/>
      <w:bookmarkEnd w:id="717"/>
      <w:r w:rsidRPr="008608AA">
        <w:t xml:space="preserve">  </w:t>
      </w:r>
    </w:p>
    <w:p w14:paraId="786D561E" w14:textId="56B67684" w:rsidR="00A00405" w:rsidRPr="008608AA" w:rsidRDefault="00A00405" w:rsidP="00881509">
      <w:pPr>
        <w:spacing w:after="120"/>
      </w:pPr>
      <w:r w:rsidRPr="008608AA">
        <w:t xml:space="preserve">Human health is a core component of quality of life, which has many measurable attributes (Salim et al., 1999). According to the World Health Organization, “health is a state of complete physical, mental and social well-being and not merely the absence of disease or infirmity,” and also, healthy living conditions have physical, biological, cultural and spiritual components (Corvalán et al., 2005). Health is determined by social, economic and environmental factors, and biodiversity supports a diversity of NCP that are essential to human health and quality of life, including food (provide nutrition), medicinal organisms and their products, physical and psychological experiences, regulation of water quality, regulation of air quality, regulation of hazards and extreme events, and regulation of organisms detrimental to humans; thus biodiversity is a key determinant and the conservation and sustainable use of biodiversity can benefit human health (World Health Organization and Secretariat of the Convention on Biological Diversity, 2015). Attaining good health and wellbeing is the aim of SDG3. In fact, health is intrinsically related to food and water security (sections 2.3.1 and 2.3.2). </w:t>
      </w:r>
    </w:p>
    <w:p w14:paraId="158DBC94" w14:textId="3AC62662" w:rsidR="00A00405" w:rsidRPr="008608AA" w:rsidRDefault="00A00405" w:rsidP="00881509">
      <w:pPr>
        <w:spacing w:after="120"/>
      </w:pPr>
      <w:r w:rsidRPr="008608AA">
        <w:t xml:space="preserve">Biodiversity plays a key role for a dietary balance. However, population increase, urbanization and industrial agriculture have changed production and consumption patterns. Calories obtained from meat, sugars and oils have increased during the last decades. In contrast, the consumption of fiber-rich foods such as whole grains, pulses and roots have declined (World Cancer Research Fund International, 2014). This nutrition transition affects dietary patterns in many countries of the Americas region, where the increase in consumption of meat and processed food has favored the occurrence of noncommunicable diseases (Webber et al., 2012; Claro et al., 2013; Pou et al., 2016). </w:t>
      </w:r>
    </w:p>
    <w:p w14:paraId="79884105" w14:textId="0DEC248D" w:rsidR="00A00405" w:rsidRPr="008608AA" w:rsidRDefault="00A00405" w:rsidP="00881509">
      <w:pPr>
        <w:spacing w:after="120"/>
      </w:pPr>
      <w:r w:rsidRPr="008608AA">
        <w:t>Historically, biodiversity has sustained medicine around the world. Plants have been used for health purposes by indigenous people and local communities, as a result of practicing the traditional medicine, defined as “the sum total of the knowledge, skill, and practices based on the theories, beliefs, and experiences indigenous to different cultures, whether explicable or not, used in the maintenance of health as well as in the prevention, diagnosis, improvement or treatment of physical and mental illness</w:t>
      </w:r>
      <w:r w:rsidRPr="008608AA">
        <w:rPr>
          <w:i/>
        </w:rPr>
        <w:t>”</w:t>
      </w:r>
      <w:r w:rsidR="00BA7B8F" w:rsidRPr="008608AA">
        <w:t xml:space="preserve"> </w:t>
      </w:r>
      <w:r w:rsidRPr="008608AA">
        <w:t xml:space="preserve">(World Health Organization, 2013). Nevertheless, medicinal plants are not only used by locals, but also for international trade to produce extracts, phytopharmaceuticals and cosmetics. It is estimated that the average global export of medicinal plants during the year 2014 was around 702,000 tons valued at $3.6 billion. Chile and Peru are important suppliers, while USA is the major consumer (Vasisht et al., 2016). The penicillins, as well as nine of the 13 other major classes of antibiotics in use, are derived from microorganisms, and more than half of the approved drugs by the USA Food and Drug Administration between 1981-2010 had natural product origins. This is in spite of the fact that only a small fraction of the total plant species that populate the earth have been studied for pharmacological purposes (World Health Organization </w:t>
      </w:r>
      <w:r w:rsidR="00BA7B8F" w:rsidRPr="008608AA">
        <w:t>&amp;</w:t>
      </w:r>
      <w:r w:rsidRPr="008608AA">
        <w:t xml:space="preserve"> Secretariat of the Convention on Biological Diversity, 2015).</w:t>
      </w:r>
    </w:p>
    <w:p w14:paraId="7B33530D" w14:textId="0F8219A8" w:rsidR="00A00405" w:rsidRPr="008608AA" w:rsidRDefault="00A00405" w:rsidP="00881509">
      <w:pPr>
        <w:spacing w:after="120"/>
      </w:pPr>
      <w:r w:rsidRPr="008608AA">
        <w:t xml:space="preserve">In North America, there is a robust body of literature regarding the health effects of access to nature for different social groups. Specifically, in urban areas, access to parks and green spaces improves health not only by the physical activities one can conduct in these places, but also simply providing views from windows and even indoor plants can produce a similar, positive health outcome (Grinde &amp; Patil, 2009). In Vancouver, Canada, providing elderly adults (65-86 y.o.) access to nature was shown to provide greater mental, social and physical health. This was in response to therapeutic landscapes with “green” (i.e. vegetated) and “blue” (i.e. aquatic) features that, given the limited mobility of some elderly citizens, were accessed not only via direct interaction, but also via perception (i.e. looking from window) (Finlay et al., 2015). Similarly, inner-city hispanic youth in Houston, Texas (USA) were found to have improved health when there were larger and more abundant trees near them, as well as smaller distances between tree patches (Kim et al., 2016).In terms of regulation of organisms detrimental to humans, freshwater wetlands as riparian buffer may improve the bacterial water quality, by eliminating livestock manure in streams as well catching of bacteria by the riparian vegetation (Collins &amp; Rutherford, 2004). Deforestation degrades the disease regulation services and may increase disease transmission such as with Dengue fever, yellow fever, leishmaniasis (Walsh, 1993; Willcox &amp; Ellis, 2006) and malaria (Walsh, 1993; Vittor et al., 2006; Pattanayak &amp; Yasuoka, 2008). Mining operations in Colombia have been shown to be reservoirs for malaria (Castellanos, 2016). Both selective logging and general deforestation may amplify other disease risks (Foley et al., 2007). </w:t>
      </w:r>
    </w:p>
    <w:p w14:paraId="7B060BD6" w14:textId="45C96F02" w:rsidR="00A00405" w:rsidRPr="008608AA" w:rsidRDefault="00A00405" w:rsidP="00881509">
      <w:pPr>
        <w:spacing w:after="120"/>
      </w:pPr>
      <w:r w:rsidRPr="008608AA">
        <w:t>Beyond the direct impact of diseases on human health, forest degradation also impacts medicinal plant populations. Forest degradation and transformation negatively impacts the discovery of potential remedies for people in the developed world and also causes the erosion of one of today´s primary health care options for Amazonian’s urban and rural citizens (Shanley &amp; Luz, 2003). An increase in insect-vector diseases is also likely as hydroelectric dams proliferate on the Amazon and its tributaries, despite the fact that some consider hydropower a clean energy source. The necessary access to water and sanitation for good health is discussed in section 2.3.2. Nevertheless, an effort to assess the health and social status of indigenous and tribal peoples relative to benchmark populations from a sample of 23 countries (including five from South America, two from North America and one from Mesoamerica) provide evidence of poorer health and social outcomes for indigenous peoples than for non-indigenous populations (Anderson et al., 2016). The reduced access to land and its biodiversity, and consequent change in indigenous diet has contributed to this scenario.</w:t>
      </w:r>
    </w:p>
    <w:p w14:paraId="6BE2FD74" w14:textId="797F127C" w:rsidR="00A00405" w:rsidRPr="008608AA" w:rsidRDefault="00A00405" w:rsidP="00593E3A">
      <w:pPr>
        <w:spacing w:after="120"/>
      </w:pPr>
      <w:r w:rsidRPr="008608AA">
        <w:t>Despite biodiversity’s important role in regulating air quality, the complex mixture of emissions from industrial activity, households, cars and trucks have a harmful effect on health. In high-income countries, urban outdoor air pollution ranks in the top ten risk factors to health, and is the first environmental risk factor. Air pollution, natural disasters, disease outbreaks, environmental contaminants such as lead exposure, unsafe water and lack of sanitation, all contribute to the high percentage of deaths attributed to envir</w:t>
      </w:r>
      <w:r w:rsidR="00593E3A" w:rsidRPr="008608AA">
        <w:t xml:space="preserve">onmental causes (Figure 2.33). </w:t>
      </w:r>
    </w:p>
    <w:p w14:paraId="58A897A5" w14:textId="33F9A302" w:rsidR="00881509" w:rsidRPr="008608AA" w:rsidRDefault="00E4616E" w:rsidP="00881509">
      <w:pPr>
        <w:spacing w:before="240" w:after="120"/>
        <w:jc w:val="center"/>
      </w:pPr>
      <w:r w:rsidRPr="008608AA">
        <w:rPr>
          <w:noProof/>
          <w:lang w:val="en-GB" w:eastAsia="en-GB"/>
        </w:rPr>
        <w:drawing>
          <wp:inline distT="0" distB="0" distL="0" distR="0" wp14:anchorId="20307B59" wp14:editId="77BE6112">
            <wp:extent cx="5934075" cy="4257675"/>
            <wp:effectExtent l="0" t="0" r="9525" b="9525"/>
            <wp:docPr id="243" name="Imagen 243" descr="C:\Users\Alejandro Valderrama\Downloads\Fig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C:\Users\Alejandro Valderrama\Downloads\Fig2.33.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b="50223"/>
                    <a:stretch/>
                  </pic:blipFill>
                  <pic:spPr bwMode="auto">
                    <a:xfrm>
                      <a:off x="0" y="0"/>
                      <a:ext cx="5934075" cy="4257675"/>
                    </a:xfrm>
                    <a:prstGeom prst="rect">
                      <a:avLst/>
                    </a:prstGeom>
                    <a:noFill/>
                    <a:ln>
                      <a:noFill/>
                    </a:ln>
                    <a:extLst>
                      <a:ext uri="{53640926-AAD7-44D8-BBD7-CCE9431645EC}">
                        <a14:shadowObscured xmlns:a14="http://schemas.microsoft.com/office/drawing/2010/main"/>
                      </a:ext>
                    </a:extLst>
                  </pic:spPr>
                </pic:pic>
              </a:graphicData>
            </a:graphic>
          </wp:inline>
        </w:drawing>
      </w:r>
    </w:p>
    <w:p w14:paraId="57C780A9" w14:textId="5BFD3BDC" w:rsidR="00A00405" w:rsidRPr="008608AA" w:rsidRDefault="00A00405" w:rsidP="00881509">
      <w:pPr>
        <w:spacing w:before="240" w:after="120"/>
      </w:pPr>
      <w:r w:rsidRPr="008608AA">
        <w:t xml:space="preserve">Coastal ecosystems can alleviate the impacts of an extreme event on human systems (Bravo de Guenni et al., 2009). For example, mangroves reduce the risk of wave damages, large storms, tsunami damage, erosion and bind soils together and keep up with the sea level rise (Spalding et al., 2014); forest and wetlands combat flash flooding, acting like sponges to absorb the excess of water after storms and releasing it more slowly (Delach, 2012); forests prevent landslides by reinforcing soil layers with roots and reduce soil moisture through interception, evaporation and transpiration (FAO, 2010), and the control of invasive species in forest could reduce the impact of destructive fires (Delach, 2012). Suitable management of ecosystems can be an important mechanism to reduce vulnerability and reduce negative impacts of extreme events. </w:t>
      </w:r>
    </w:p>
    <w:p w14:paraId="25B37893" w14:textId="791A0378" w:rsidR="007E29D9" w:rsidRPr="008608AA" w:rsidRDefault="00A00405" w:rsidP="00881509">
      <w:pPr>
        <w:spacing w:before="240" w:after="120"/>
      </w:pPr>
      <w:r w:rsidRPr="008608AA">
        <w:t xml:space="preserve">Finally, direct drivers of biodiversity loss that affect human health include land-use change, overexploitation, habitat loss, pollution, invasive species and climate change (World Health Organization </w:t>
      </w:r>
      <w:r w:rsidR="00BA7B8F" w:rsidRPr="008608AA">
        <w:t>&amp;</w:t>
      </w:r>
      <w:r w:rsidRPr="008608AA">
        <w:t xml:space="preserve"> Secretariat of the Convention on Biological Diversity, 2015). The largest health impacts due to biodiversity losses are projected to be increases in undernutrition, and higher rates of disease, injuries and deaths from natural disasters. The interaction between biodiversity and health are both positive and negative (Figure 2.34), resulting in trade-offs that will be critical for decision making. </w:t>
      </w:r>
    </w:p>
    <w:p w14:paraId="7125769E" w14:textId="262F749B" w:rsidR="007E29D9" w:rsidRPr="008608AA" w:rsidRDefault="00E4616E" w:rsidP="007E29D9">
      <w:pPr>
        <w:spacing w:before="240" w:after="120"/>
        <w:jc w:val="center"/>
      </w:pPr>
      <w:r w:rsidRPr="008608AA">
        <w:rPr>
          <w:noProof/>
          <w:lang w:val="en-GB" w:eastAsia="en-GB"/>
        </w:rPr>
        <w:drawing>
          <wp:inline distT="0" distB="0" distL="0" distR="0" wp14:anchorId="787D1F08" wp14:editId="39B0EC26">
            <wp:extent cx="5934075" cy="4200525"/>
            <wp:effectExtent l="0" t="0" r="9525" b="9525"/>
            <wp:docPr id="244" name="Imagen 244" descr="C:\Users\Alejandro Valderrama\Downloads\fig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9" descr="C:\Users\Alejandro Valderrama\Downloads\fig2.34.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b="50891"/>
                    <a:stretch/>
                  </pic:blipFill>
                  <pic:spPr bwMode="auto">
                    <a:xfrm>
                      <a:off x="0" y="0"/>
                      <a:ext cx="5934075" cy="4200525"/>
                    </a:xfrm>
                    <a:prstGeom prst="rect">
                      <a:avLst/>
                    </a:prstGeom>
                    <a:noFill/>
                    <a:ln>
                      <a:noFill/>
                    </a:ln>
                    <a:extLst>
                      <a:ext uri="{53640926-AAD7-44D8-BBD7-CCE9431645EC}">
                        <a14:shadowObscured xmlns:a14="http://schemas.microsoft.com/office/drawing/2010/main"/>
                      </a:ext>
                    </a:extLst>
                  </pic:spPr>
                </pic:pic>
              </a:graphicData>
            </a:graphic>
          </wp:inline>
        </w:drawing>
      </w:r>
    </w:p>
    <w:p w14:paraId="3D03F3E1" w14:textId="77777777" w:rsidR="007E29D9" w:rsidRPr="008608AA" w:rsidRDefault="007E29D9" w:rsidP="007E29D9">
      <w:pPr>
        <w:spacing w:before="240" w:after="120"/>
        <w:jc w:val="center"/>
      </w:pPr>
    </w:p>
    <w:p w14:paraId="1CEEBF7B" w14:textId="76DB06A7" w:rsidR="00A00405" w:rsidRPr="008608AA" w:rsidRDefault="00F84E20" w:rsidP="007E29D9">
      <w:pPr>
        <w:pStyle w:val="Heading3"/>
      </w:pPr>
      <w:bookmarkStart w:id="718" w:name="_Toc517393273"/>
      <w:bookmarkStart w:id="719" w:name="_Toc517719014"/>
      <w:bookmarkStart w:id="720" w:name="_Toc517796971"/>
      <w:r w:rsidRPr="008608AA">
        <w:t>Sustainable l</w:t>
      </w:r>
      <w:r w:rsidR="00A00405" w:rsidRPr="008608AA">
        <w:t>ivelihood</w:t>
      </w:r>
      <w:bookmarkEnd w:id="718"/>
      <w:bookmarkEnd w:id="719"/>
      <w:bookmarkEnd w:id="720"/>
    </w:p>
    <w:p w14:paraId="0E348217" w14:textId="77777777" w:rsidR="00A00405" w:rsidRPr="008608AA" w:rsidRDefault="00A00405" w:rsidP="007E29D9">
      <w:pPr>
        <w:spacing w:after="120"/>
      </w:pPr>
      <w:r w:rsidRPr="008608AA">
        <w:t xml:space="preserve">Livelihoods depend upon economic conditions, such as employment and income, as well as broader socio-cultural aspects that affect “ways of living” and incorporate nature via cultural identity, sense of place, and social cohesion. As seen in section 2.2, numerous NCP directly support income security, but in different ways between subregions. For example, between 1995 and 2012, the number of people employed as commercial fishers and fish farmers declined by 15.4% in North America, but increased by 49.8% elsewhere in the Americas (FAO, 2014b), mostly associated with the rise of aquaculture rather than native fisheries. In the Caribbean, however, coastal ecosystems continue to support a fisheries industry, which contributes about $1.2 billion annually in export earnings (CARSEA, 2007). The importance of fisheries to livelihoods in the Caribbean is reflected not only in monetary figures; fish products account for ~7% of the protein consumed by people in the Caribbean subregion and is a “way of life” for fishermen, which transcends being a merely “job” or income. Furthermore, sustainable small-scale fishing livelihoods can be compatible with marine protected areas and in turn contribute to the implementation of these conservation initiatives (Charles et al., 2016). In this way, coastal ecosystems can be used for multiple benefits to multiple beneficiaries, providing food, income and livelihoods to fishermen, but also tourism and travel to other stakeholders, which in the case of the Caribbean constituted 15.5% of the subregion’s total employment in 2004 (nearly twice the global average). In this same time period, coastal tourism and travel in the Caribbean contributed $28.4 billion to the subregion’s GDP, which is 13% of total economic production (CARSEA, 2007).  </w:t>
      </w:r>
    </w:p>
    <w:p w14:paraId="0F6F6CDF" w14:textId="249A5189" w:rsidR="00A00405" w:rsidRPr="008608AA" w:rsidRDefault="00BA7B8F" w:rsidP="007E29D9">
      <w:pPr>
        <w:spacing w:after="120"/>
      </w:pPr>
      <w:r w:rsidRPr="008608AA">
        <w:t>Similarly, in the Andes m</w:t>
      </w:r>
      <w:r w:rsidR="00A00405" w:rsidRPr="008608AA">
        <w:t xml:space="preserve">ountains, sparsely-vegetated highland ecosystems support the livelihoods of about 6% of the biome’s 85 million human inhabitants, while another 34% of the population live off grazing lands often interspersed with other habitat types. Plus, in this area, approximately 5% of people live in and their livelihoods depend on protected areas (Huddleston et al., 2003). In the Andean altiplano (3,900 – 4,900 m.a.s.l), shared between Argentina, Bolivia, Chile, and Peru, various indigenous communities derive not only their economic security from the NCP of this biome, but their rich cultural tradition of beliefs and rituals, and a particular worldview that mediates their interaction with the environment, are also based on the particular elements that nature provides here (Lichtenstein &amp; Vilá, 2003). Furthermore, secondary stakeholders depend upon these ecosystems for their livelihoods, given that mountain ecosystems contribute to the human populations at lower elevations via the regulation of water flow, energy, waste assimilation and drinking water (Bradley et al., 2006; Buytaert et al., 2006; Vuille et al., 2008). </w:t>
      </w:r>
    </w:p>
    <w:p w14:paraId="40B0698C" w14:textId="0C56F92A" w:rsidR="00A00405" w:rsidRPr="008608AA" w:rsidRDefault="00A00405" w:rsidP="007E29D9">
      <w:pPr>
        <w:spacing w:after="120"/>
      </w:pPr>
      <w:r w:rsidRPr="008608AA">
        <w:t>For the temperate forests of North and South America, we can distinguish the contribution of nature to specific stakeholders, including direct users, such as many rural communities of both indigenous and immigrant ancestry, whose livelihoods depend on benefits from these forest ecosystems for material subsistence (</w:t>
      </w:r>
      <w:r w:rsidR="00847F60" w:rsidRPr="008608AA">
        <w:t>e.g.</w:t>
      </w:r>
      <w:r w:rsidRPr="008608AA">
        <w:t xml:space="preserve"> logging, Nelson et al., 2008) or cultural practices (</w:t>
      </w:r>
      <w:r w:rsidR="00847F60" w:rsidRPr="008608AA">
        <w:t>e.g.</w:t>
      </w:r>
      <w:r w:rsidRPr="008608AA">
        <w:t xml:space="preserve"> non-timber forest products, Ladio, 2011). Research in both North and South America has described how community-based restoration and management not only improve ecosystem services and benefits, but also can be part of work security and increasing social capital (</w:t>
      </w:r>
      <w:r w:rsidR="00847F60" w:rsidRPr="008608AA">
        <w:t>e.g.</w:t>
      </w:r>
      <w:r w:rsidRPr="008608AA">
        <w:t xml:space="preserve"> Donoso et al., 2014). However, in the negotiation of trade-offs between livelihoods of primary and secondary beneficiaries, rural communities often comprise a smaller portion of the total population in the Ame</w:t>
      </w:r>
      <w:r w:rsidR="007A6432" w:rsidRPr="008608AA">
        <w:t>ricas, and most people reside in</w:t>
      </w:r>
      <w:r w:rsidRPr="008608AA">
        <w:t xml:space="preserve"> urban areas, indicating that decision-making power rests with “secondary users” who have a less direct relationship to NCP for their livelihoods.</w:t>
      </w:r>
    </w:p>
    <w:p w14:paraId="4ACE0516" w14:textId="10D84867" w:rsidR="00A00405" w:rsidRPr="008608AA" w:rsidRDefault="00A00405" w:rsidP="007E29D9">
      <w:pPr>
        <w:spacing w:after="120"/>
      </w:pPr>
      <w:r w:rsidRPr="008608AA">
        <w:t>In the Americas, we are confronted with major challenges in addressing sustainable livelihoods, in part because there are great disparities in economic security, which represent</w:t>
      </w:r>
      <w:r w:rsidR="00BA7B8F" w:rsidRPr="008608AA">
        <w:t>s an obstacle in achieving SDG</w:t>
      </w:r>
      <w:r w:rsidRPr="008608AA">
        <w:t xml:space="preserve">8 and </w:t>
      </w:r>
      <w:r w:rsidR="00BA7B8F" w:rsidRPr="008608AA">
        <w:t>SDG1</w:t>
      </w:r>
      <w:r w:rsidRPr="008608AA">
        <w:t>0. Income distribution both between and within subregions is very heterogeneous. For example, the mean per capita GDP is $50,935 (±$1,711 Standard Deviation) for countries in North America, $9,883 (±$5,965) in the Caribbean, $8,436 (±$4,585) in South America, and finally $5,477 (±$3,554) in Mesoamerica (IMF World Economic Outlook Database, 2015). As can be seen from the s</w:t>
      </w:r>
      <w:r w:rsidR="00BA7B8F" w:rsidRPr="008608AA">
        <w:t>tandard deviation</w:t>
      </w:r>
      <w:r w:rsidRPr="008608AA">
        <w:t xml:space="preserve">, the between-country variability is high in all subregions except North America (i.e. Canada and USA). Furthermore, while from 1993 to 2013, Mesoamerica, the Caribbean and South America reduced their overall rates of moderate poverty ($2.5 to $4 per day) from 16.8% to 12.9% and extreme poverty (less than $2.5 per day) from 26.6% to 11.5%, at the same time 25-30 million people are still considered vulnerable to falling back into detrimental economic conditions (UNDP, 2016). In addition, both Canada and the USA have seen increases in income inequality, attaining levels of inequality that are higher than the Organization for Economic Cooperation and Development </w:t>
      </w:r>
      <w:r w:rsidR="00F90B7C" w:rsidRPr="008608AA">
        <w:t xml:space="preserve">(OECD) </w:t>
      </w:r>
      <w:r w:rsidRPr="008608AA">
        <w:t xml:space="preserve">average (OECD, 2008). For its part, Mesoamerica, the Caribbean and South America together also have 10 of the world’s 15 countries with the most unequal income distribution (UNDP, 2016). </w:t>
      </w:r>
    </w:p>
    <w:p w14:paraId="5CA6060A" w14:textId="17D96495" w:rsidR="00A00405" w:rsidRPr="008608AA" w:rsidRDefault="00A00405" w:rsidP="007E29D9">
      <w:pPr>
        <w:spacing w:after="120"/>
      </w:pPr>
      <w:r w:rsidRPr="008608AA">
        <w:t>Yet, biodiversity-based livelihoods can be sustained when people have the social capital to cope with and recover from stresses and shocks, while maintaining or enhancing their capabilities and assets both now and in the future without undermining the natural resource base (Chambers &amp; Conway, 1992). At the same time, though, broader policies and strategies are necessary, considering that sustainable livelihoods in today’s world depend on telecoupled and globalized processes. As such, increases in corporate social responsibility and environmental sustainability initiatives are important to harness market forces and orient them towards favoring desired outcomes like specific sustainable livelihoods (</w:t>
      </w:r>
      <w:r w:rsidR="00847F60" w:rsidRPr="008608AA">
        <w:t>e.g.</w:t>
      </w:r>
      <w:r w:rsidRPr="008608AA">
        <w:t xml:space="preserve"> small-scale farming, well-managed fishing). Meanwhile, government strategies, such as multi-use protected areas, create the conditions to not only conserve nature, but protect the livelihoods that have evolved for millennia in these same ecosystems. Indeed, such multi-faceted strategies are requisite to achieve SDG14 (Life below </w:t>
      </w:r>
      <w:r w:rsidR="00BA7B8F" w:rsidRPr="008608AA">
        <w:t>water) and SDG</w:t>
      </w:r>
      <w:r w:rsidRPr="008608AA">
        <w:t xml:space="preserve">15 (Life on </w:t>
      </w:r>
      <w:r w:rsidR="00BA7B8F" w:rsidRPr="008608AA">
        <w:t>l</w:t>
      </w:r>
      <w:r w:rsidRPr="008608AA">
        <w:t>and), which in turn are underlain by sustainable livelihoods.</w:t>
      </w:r>
    </w:p>
    <w:p w14:paraId="5BAFC432" w14:textId="77777777" w:rsidR="007E29D9" w:rsidRPr="008608AA" w:rsidRDefault="007E29D9" w:rsidP="007E29D9">
      <w:pPr>
        <w:spacing w:after="120"/>
      </w:pPr>
    </w:p>
    <w:p w14:paraId="6842A0CC" w14:textId="77777777" w:rsidR="00A00405" w:rsidRPr="008608AA" w:rsidRDefault="00A00405" w:rsidP="007E29D9">
      <w:pPr>
        <w:pStyle w:val="Heading2"/>
      </w:pPr>
      <w:bookmarkStart w:id="721" w:name="_Toc517393274"/>
      <w:bookmarkStart w:id="722" w:name="_Toc517719015"/>
      <w:bookmarkStart w:id="723" w:name="_Toc517796972"/>
      <w:r w:rsidRPr="008608AA">
        <w:t>Contributions of indigenous people and local communities to biodiversity and nature’s contributions people</w:t>
      </w:r>
      <w:bookmarkEnd w:id="721"/>
      <w:bookmarkEnd w:id="722"/>
      <w:bookmarkEnd w:id="723"/>
    </w:p>
    <w:p w14:paraId="5F1F92EA" w14:textId="01069A9E" w:rsidR="00A00405" w:rsidRPr="008608AA" w:rsidRDefault="00A00405" w:rsidP="007E29D9">
      <w:pPr>
        <w:spacing w:after="120"/>
      </w:pPr>
      <w:r w:rsidRPr="008608AA">
        <w:t>Cultivated plants, or cultigens, are a main inheritance we receive from nature. This heritage contributed greatly to the development of mankind, and the history of cultigens is part of our own history as they were created by humans and have been used for millennia (Krapovickas, 2010). For example, maize is the cereal of the peoples and cultures of the Americas. Known or postulated geographic zones of domestication for some neotropical crops, on the basis of molecular, archaeological, and ecological evidence, show various origin areas (Piperno, 2011, Figure 2.35).</w:t>
      </w:r>
    </w:p>
    <w:p w14:paraId="72B6DF56" w14:textId="5A6B86A9" w:rsidR="007E29D9" w:rsidRPr="008608AA" w:rsidRDefault="00E4616E" w:rsidP="007E29D9">
      <w:pPr>
        <w:spacing w:after="120"/>
        <w:jc w:val="center"/>
      </w:pPr>
      <w:r w:rsidRPr="008608AA">
        <w:rPr>
          <w:noProof/>
          <w:lang w:val="en-GB" w:eastAsia="en-GB"/>
        </w:rPr>
        <w:drawing>
          <wp:inline distT="0" distB="0" distL="0" distR="0" wp14:anchorId="20A080AB" wp14:editId="1F3A5702">
            <wp:extent cx="5702966" cy="7991475"/>
            <wp:effectExtent l="0" t="0" r="0" b="0"/>
            <wp:docPr id="245" name="Imagen 245" descr="C:\Users\Alejandro Valderrama\Downloads\Fig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1" descr="C:\Users\Alejandro Valderrama\Downloads\Fig2.35.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b="2784"/>
                    <a:stretch/>
                  </pic:blipFill>
                  <pic:spPr bwMode="auto">
                    <a:xfrm>
                      <a:off x="0" y="0"/>
                      <a:ext cx="5704437" cy="7993536"/>
                    </a:xfrm>
                    <a:prstGeom prst="rect">
                      <a:avLst/>
                    </a:prstGeom>
                    <a:noFill/>
                    <a:ln>
                      <a:noFill/>
                    </a:ln>
                    <a:extLst>
                      <a:ext uri="{53640926-AAD7-44D8-BBD7-CCE9431645EC}">
                        <a14:shadowObscured xmlns:a14="http://schemas.microsoft.com/office/drawing/2010/main"/>
                      </a:ext>
                    </a:extLst>
                  </pic:spPr>
                </pic:pic>
              </a:graphicData>
            </a:graphic>
          </wp:inline>
        </w:drawing>
      </w:r>
    </w:p>
    <w:p w14:paraId="5F69EDF4" w14:textId="77777777" w:rsidR="007E29D9" w:rsidRPr="008608AA" w:rsidRDefault="007E29D9" w:rsidP="007E29D9"/>
    <w:p w14:paraId="755F79FD" w14:textId="6AC63B85" w:rsidR="00A00405" w:rsidRPr="008608AA" w:rsidRDefault="00A00405" w:rsidP="007E29D9">
      <w:r w:rsidRPr="008608AA">
        <w:t xml:space="preserve">The oldest civilizations of America - from the Olmecs and Teotihuacans in Mesoamerica, to the Incas and Quechuas in the Andes of South America - were accompanied in their development by potato plants (Serratos Hernández, 2009). The first cultivated potatoes were probably selected between 6,000 and 10,000 years ago, north of Lake Titicaca in the Andes shared between Peru and Bolivia, and </w:t>
      </w:r>
      <w:r w:rsidRPr="008608AA">
        <w:rPr>
          <w:i/>
        </w:rPr>
        <w:t>Solanum</w:t>
      </w:r>
      <w:r w:rsidRPr="008608AA">
        <w:t xml:space="preserve"> L. sect. </w:t>
      </w:r>
      <w:r w:rsidRPr="008608AA">
        <w:rPr>
          <w:i/>
        </w:rPr>
        <w:t>petota</w:t>
      </w:r>
      <w:r w:rsidRPr="008608AA">
        <w:t xml:space="preserve"> grows from the southwest of the USA to the south of Chile (Rodríguez, 2010). Archaeological and genetic evidence has helped to understand the origin of three of the oldest and most important American crops in pre-Columbian and present times: maize, common bean and Lima bean (Chacón, 2009). Archeological evidence has also pointed out least 83 Amazonian native species containing populations domesticated to some degree before European conquest, indicating that Amazonia was also major center of crop domestication (Clement et al., 2015). </w:t>
      </w:r>
    </w:p>
    <w:p w14:paraId="51E63ECC" w14:textId="77777777" w:rsidR="007E29D9" w:rsidRPr="008608AA" w:rsidRDefault="007E29D9" w:rsidP="007E29D9"/>
    <w:p w14:paraId="7F780233" w14:textId="4233E9FE" w:rsidR="007E29D9" w:rsidRPr="008608AA" w:rsidRDefault="00A00405" w:rsidP="007E29D9">
      <w:r w:rsidRPr="008608AA">
        <w:t xml:space="preserve">According to the Vavilov concept of plant origin centers, major food crops developed over millennia and originated from a central point from which humans dispersed them. These ‘‘centers of origin’’ represent locations with great genetic diversity of crop species (Hummer &amp; Hancock, 2015). The Americas host a diverse and rich variety of species that have been cultivated by humans for food and a wide variety of resource uses. Cultures throughout the Americas have continually enriched world food and nutrition (Janick, 2013, Table 2.19). </w:t>
      </w:r>
    </w:p>
    <w:p w14:paraId="75079F2E" w14:textId="74D6458F" w:rsidR="00A00405"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19</w:t>
      </w:r>
      <w:r w:rsidR="000E562E">
        <w:rPr>
          <w:noProof/>
        </w:rPr>
        <w:fldChar w:fldCharType="end"/>
      </w:r>
      <w:r w:rsidR="007E29D9" w:rsidRPr="008608AA">
        <w:t>. Selected indigenous crops of native plant species used throughout the Americas.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689"/>
        <w:gridCol w:w="3195"/>
        <w:gridCol w:w="3603"/>
      </w:tblGrid>
      <w:tr w:rsidR="00A00405" w:rsidRPr="0010725E" w14:paraId="7C83A3BF" w14:textId="77777777" w:rsidTr="007E29D9">
        <w:trPr>
          <w:trHeight w:val="198"/>
          <w:jc w:val="center"/>
        </w:trPr>
        <w:tc>
          <w:tcPr>
            <w:tcW w:w="1417" w:type="pct"/>
            <w:shd w:val="clear" w:color="auto" w:fill="BFBFBF" w:themeFill="background1" w:themeFillShade="BF"/>
          </w:tcPr>
          <w:p w14:paraId="346A79D8" w14:textId="77777777" w:rsidR="00A00405" w:rsidRPr="0010725E" w:rsidRDefault="00A00405" w:rsidP="007E29D9">
            <w:pPr>
              <w:jc w:val="center"/>
              <w:rPr>
                <w:b/>
                <w:szCs w:val="22"/>
              </w:rPr>
            </w:pPr>
            <w:r w:rsidRPr="0010725E">
              <w:rPr>
                <w:b/>
                <w:szCs w:val="22"/>
              </w:rPr>
              <w:t>New World crops</w:t>
            </w:r>
          </w:p>
        </w:tc>
        <w:tc>
          <w:tcPr>
            <w:tcW w:w="1684" w:type="pct"/>
            <w:shd w:val="clear" w:color="auto" w:fill="BFBFBF" w:themeFill="background1" w:themeFillShade="BF"/>
          </w:tcPr>
          <w:p w14:paraId="73D134F3" w14:textId="77777777" w:rsidR="00A00405" w:rsidRPr="0010725E" w:rsidRDefault="00A00405" w:rsidP="007E29D9">
            <w:pPr>
              <w:jc w:val="center"/>
              <w:rPr>
                <w:b/>
                <w:szCs w:val="22"/>
              </w:rPr>
            </w:pPr>
            <w:r w:rsidRPr="0010725E">
              <w:rPr>
                <w:b/>
                <w:szCs w:val="22"/>
              </w:rPr>
              <w:t>Species</w:t>
            </w:r>
          </w:p>
        </w:tc>
        <w:tc>
          <w:tcPr>
            <w:tcW w:w="1899" w:type="pct"/>
            <w:shd w:val="clear" w:color="auto" w:fill="BFBFBF" w:themeFill="background1" w:themeFillShade="BF"/>
          </w:tcPr>
          <w:p w14:paraId="3BE9342E" w14:textId="77777777" w:rsidR="00A00405" w:rsidRPr="0010725E" w:rsidRDefault="00A00405" w:rsidP="007E29D9">
            <w:pPr>
              <w:jc w:val="center"/>
              <w:rPr>
                <w:b/>
                <w:szCs w:val="22"/>
              </w:rPr>
            </w:pPr>
            <w:r w:rsidRPr="0010725E">
              <w:rPr>
                <w:b/>
                <w:szCs w:val="22"/>
              </w:rPr>
              <w:t>New World origin</w:t>
            </w:r>
          </w:p>
        </w:tc>
      </w:tr>
      <w:tr w:rsidR="00A00405" w:rsidRPr="0010725E" w14:paraId="54ED087F" w14:textId="77777777" w:rsidTr="00A00405">
        <w:trPr>
          <w:trHeight w:val="198"/>
          <w:jc w:val="center"/>
        </w:trPr>
        <w:tc>
          <w:tcPr>
            <w:tcW w:w="1417" w:type="pct"/>
            <w:shd w:val="clear" w:color="auto" w:fill="auto"/>
          </w:tcPr>
          <w:p w14:paraId="612DCAD3" w14:textId="77777777" w:rsidR="00A00405" w:rsidRPr="0010725E" w:rsidRDefault="00A00405" w:rsidP="00A00405">
            <w:pPr>
              <w:rPr>
                <w:b/>
                <w:szCs w:val="22"/>
              </w:rPr>
            </w:pPr>
            <w:r w:rsidRPr="0010725E">
              <w:rPr>
                <w:b/>
                <w:szCs w:val="22"/>
              </w:rPr>
              <w:t>Cereals and pseudocereals</w:t>
            </w:r>
          </w:p>
        </w:tc>
        <w:tc>
          <w:tcPr>
            <w:tcW w:w="1684" w:type="pct"/>
            <w:shd w:val="clear" w:color="auto" w:fill="auto"/>
          </w:tcPr>
          <w:p w14:paraId="34CAE4FB" w14:textId="77777777" w:rsidR="00A00405" w:rsidRPr="0010725E" w:rsidRDefault="00A00405" w:rsidP="00A00405">
            <w:pPr>
              <w:rPr>
                <w:b/>
                <w:szCs w:val="22"/>
              </w:rPr>
            </w:pPr>
          </w:p>
        </w:tc>
        <w:tc>
          <w:tcPr>
            <w:tcW w:w="1899" w:type="pct"/>
            <w:shd w:val="clear" w:color="auto" w:fill="auto"/>
          </w:tcPr>
          <w:p w14:paraId="66BF5356" w14:textId="77777777" w:rsidR="00A00405" w:rsidRPr="0010725E" w:rsidRDefault="00A00405" w:rsidP="00A00405">
            <w:pPr>
              <w:rPr>
                <w:b/>
                <w:szCs w:val="22"/>
              </w:rPr>
            </w:pPr>
          </w:p>
        </w:tc>
      </w:tr>
      <w:tr w:rsidR="00A00405" w:rsidRPr="0010725E" w14:paraId="5FF7D42C" w14:textId="77777777" w:rsidTr="00A00405">
        <w:trPr>
          <w:trHeight w:val="198"/>
          <w:jc w:val="center"/>
        </w:trPr>
        <w:tc>
          <w:tcPr>
            <w:tcW w:w="1417" w:type="pct"/>
            <w:shd w:val="clear" w:color="auto" w:fill="auto"/>
          </w:tcPr>
          <w:p w14:paraId="246BCC73" w14:textId="77777777" w:rsidR="00A00405" w:rsidRPr="0010725E" w:rsidRDefault="00A00405" w:rsidP="00A00405">
            <w:pPr>
              <w:rPr>
                <w:szCs w:val="22"/>
              </w:rPr>
            </w:pPr>
            <w:r w:rsidRPr="0010725E">
              <w:rPr>
                <w:szCs w:val="22"/>
              </w:rPr>
              <w:t xml:space="preserve">   Amaranth</w:t>
            </w:r>
          </w:p>
        </w:tc>
        <w:tc>
          <w:tcPr>
            <w:tcW w:w="1684" w:type="pct"/>
            <w:shd w:val="clear" w:color="auto" w:fill="auto"/>
          </w:tcPr>
          <w:p w14:paraId="568F2939" w14:textId="77777777" w:rsidR="00A00405" w:rsidRPr="0010725E" w:rsidRDefault="00A00405" w:rsidP="00A00405">
            <w:pPr>
              <w:rPr>
                <w:szCs w:val="22"/>
              </w:rPr>
            </w:pPr>
            <w:r w:rsidRPr="0010725E">
              <w:rPr>
                <w:i/>
                <w:szCs w:val="22"/>
              </w:rPr>
              <w:t>Amaranthus</w:t>
            </w:r>
            <w:r w:rsidRPr="0010725E">
              <w:rPr>
                <w:szCs w:val="22"/>
              </w:rPr>
              <w:t xml:space="preserve"> spp.</w:t>
            </w:r>
          </w:p>
        </w:tc>
        <w:tc>
          <w:tcPr>
            <w:tcW w:w="1899" w:type="pct"/>
            <w:shd w:val="clear" w:color="auto" w:fill="auto"/>
          </w:tcPr>
          <w:p w14:paraId="4D2D5A8E" w14:textId="77777777" w:rsidR="00A00405" w:rsidRPr="0010725E" w:rsidRDefault="00A00405" w:rsidP="00A00405">
            <w:pPr>
              <w:rPr>
                <w:szCs w:val="22"/>
              </w:rPr>
            </w:pPr>
            <w:r w:rsidRPr="0010725E">
              <w:rPr>
                <w:szCs w:val="22"/>
              </w:rPr>
              <w:t>Mexico</w:t>
            </w:r>
          </w:p>
        </w:tc>
      </w:tr>
      <w:tr w:rsidR="00A00405" w:rsidRPr="0010725E" w14:paraId="4E212F60" w14:textId="77777777" w:rsidTr="00A00405">
        <w:trPr>
          <w:trHeight w:val="198"/>
          <w:jc w:val="center"/>
        </w:trPr>
        <w:tc>
          <w:tcPr>
            <w:tcW w:w="1417" w:type="pct"/>
            <w:shd w:val="clear" w:color="auto" w:fill="auto"/>
          </w:tcPr>
          <w:p w14:paraId="41938CFA" w14:textId="77777777" w:rsidR="00A00405" w:rsidRPr="0010725E" w:rsidRDefault="00A00405" w:rsidP="00A00405">
            <w:pPr>
              <w:rPr>
                <w:szCs w:val="22"/>
              </w:rPr>
            </w:pPr>
            <w:r w:rsidRPr="0010725E">
              <w:rPr>
                <w:szCs w:val="22"/>
              </w:rPr>
              <w:t xml:space="preserve">   Maize</w:t>
            </w:r>
          </w:p>
        </w:tc>
        <w:tc>
          <w:tcPr>
            <w:tcW w:w="1684" w:type="pct"/>
            <w:shd w:val="clear" w:color="auto" w:fill="auto"/>
          </w:tcPr>
          <w:p w14:paraId="5494295D" w14:textId="77777777" w:rsidR="00A00405" w:rsidRPr="0010725E" w:rsidRDefault="00A00405" w:rsidP="00A00405">
            <w:pPr>
              <w:rPr>
                <w:i/>
                <w:szCs w:val="22"/>
              </w:rPr>
            </w:pPr>
            <w:r w:rsidRPr="0010725E">
              <w:rPr>
                <w:i/>
                <w:szCs w:val="22"/>
              </w:rPr>
              <w:t>Zea mays</w:t>
            </w:r>
          </w:p>
        </w:tc>
        <w:tc>
          <w:tcPr>
            <w:tcW w:w="1899" w:type="pct"/>
            <w:shd w:val="clear" w:color="auto" w:fill="auto"/>
          </w:tcPr>
          <w:p w14:paraId="5303A6C2" w14:textId="77777777" w:rsidR="00A00405" w:rsidRPr="0010725E" w:rsidRDefault="00A00405" w:rsidP="00A00405">
            <w:pPr>
              <w:rPr>
                <w:szCs w:val="22"/>
              </w:rPr>
            </w:pPr>
            <w:r w:rsidRPr="0010725E">
              <w:rPr>
                <w:szCs w:val="22"/>
              </w:rPr>
              <w:t>Mesoamerica</w:t>
            </w:r>
          </w:p>
        </w:tc>
      </w:tr>
      <w:tr w:rsidR="00A00405" w:rsidRPr="0010725E" w14:paraId="0AD0ADF5" w14:textId="77777777" w:rsidTr="00A00405">
        <w:trPr>
          <w:trHeight w:val="198"/>
          <w:jc w:val="center"/>
        </w:trPr>
        <w:tc>
          <w:tcPr>
            <w:tcW w:w="1417" w:type="pct"/>
            <w:shd w:val="clear" w:color="auto" w:fill="auto"/>
          </w:tcPr>
          <w:p w14:paraId="6A2359FA" w14:textId="77777777" w:rsidR="00A00405" w:rsidRPr="0010725E" w:rsidRDefault="00A00405" w:rsidP="00A00405">
            <w:pPr>
              <w:rPr>
                <w:szCs w:val="22"/>
              </w:rPr>
            </w:pPr>
            <w:r w:rsidRPr="0010725E">
              <w:rPr>
                <w:szCs w:val="22"/>
              </w:rPr>
              <w:t xml:space="preserve">   Quinoa</w:t>
            </w:r>
          </w:p>
        </w:tc>
        <w:tc>
          <w:tcPr>
            <w:tcW w:w="1684" w:type="pct"/>
            <w:shd w:val="clear" w:color="auto" w:fill="auto"/>
          </w:tcPr>
          <w:p w14:paraId="693FBF6F" w14:textId="77777777" w:rsidR="00A00405" w:rsidRPr="0010725E" w:rsidRDefault="00A00405" w:rsidP="00A00405">
            <w:pPr>
              <w:rPr>
                <w:i/>
                <w:szCs w:val="22"/>
              </w:rPr>
            </w:pPr>
            <w:r w:rsidRPr="0010725E">
              <w:rPr>
                <w:i/>
                <w:szCs w:val="22"/>
              </w:rPr>
              <w:t>Chenopodium quinoa</w:t>
            </w:r>
          </w:p>
        </w:tc>
        <w:tc>
          <w:tcPr>
            <w:tcW w:w="1899" w:type="pct"/>
            <w:shd w:val="clear" w:color="auto" w:fill="auto"/>
          </w:tcPr>
          <w:p w14:paraId="4D9FE994" w14:textId="77777777" w:rsidR="00A00405" w:rsidRPr="0010725E" w:rsidRDefault="00A00405" w:rsidP="00A00405">
            <w:pPr>
              <w:rPr>
                <w:szCs w:val="22"/>
              </w:rPr>
            </w:pPr>
            <w:r w:rsidRPr="0010725E">
              <w:rPr>
                <w:szCs w:val="22"/>
              </w:rPr>
              <w:t>Andean highlands</w:t>
            </w:r>
          </w:p>
        </w:tc>
      </w:tr>
      <w:tr w:rsidR="00A00405" w:rsidRPr="0010725E" w14:paraId="4A52D1F6" w14:textId="77777777" w:rsidTr="00A00405">
        <w:trPr>
          <w:trHeight w:val="198"/>
          <w:jc w:val="center"/>
        </w:trPr>
        <w:tc>
          <w:tcPr>
            <w:tcW w:w="1417" w:type="pct"/>
            <w:shd w:val="clear" w:color="auto" w:fill="auto"/>
          </w:tcPr>
          <w:p w14:paraId="02AE45A8" w14:textId="77777777" w:rsidR="00A00405" w:rsidRPr="0010725E" w:rsidRDefault="00A00405" w:rsidP="00A00405">
            <w:pPr>
              <w:rPr>
                <w:szCs w:val="22"/>
              </w:rPr>
            </w:pPr>
            <w:r w:rsidRPr="0010725E">
              <w:rPr>
                <w:szCs w:val="22"/>
              </w:rPr>
              <w:t xml:space="preserve">   Wild rice</w:t>
            </w:r>
          </w:p>
        </w:tc>
        <w:tc>
          <w:tcPr>
            <w:tcW w:w="1684" w:type="pct"/>
            <w:shd w:val="clear" w:color="auto" w:fill="auto"/>
          </w:tcPr>
          <w:p w14:paraId="72B2F39A" w14:textId="77777777" w:rsidR="00A00405" w:rsidRPr="0010725E" w:rsidRDefault="00A00405" w:rsidP="00A00405">
            <w:pPr>
              <w:rPr>
                <w:i/>
                <w:szCs w:val="22"/>
              </w:rPr>
            </w:pPr>
            <w:r w:rsidRPr="0010725E">
              <w:rPr>
                <w:i/>
                <w:szCs w:val="22"/>
              </w:rPr>
              <w:t>Zizania palustris</w:t>
            </w:r>
          </w:p>
        </w:tc>
        <w:tc>
          <w:tcPr>
            <w:tcW w:w="1899" w:type="pct"/>
            <w:shd w:val="clear" w:color="auto" w:fill="auto"/>
          </w:tcPr>
          <w:p w14:paraId="56385647" w14:textId="77777777" w:rsidR="00A00405" w:rsidRPr="0010725E" w:rsidRDefault="00A00405" w:rsidP="00A00405">
            <w:pPr>
              <w:rPr>
                <w:szCs w:val="22"/>
              </w:rPr>
            </w:pPr>
            <w:r w:rsidRPr="0010725E">
              <w:rPr>
                <w:szCs w:val="22"/>
              </w:rPr>
              <w:t>Northern North America</w:t>
            </w:r>
          </w:p>
        </w:tc>
      </w:tr>
      <w:tr w:rsidR="00A00405" w:rsidRPr="0010725E" w14:paraId="43D85FEB" w14:textId="77777777" w:rsidTr="00A00405">
        <w:trPr>
          <w:trHeight w:val="198"/>
          <w:jc w:val="center"/>
        </w:trPr>
        <w:tc>
          <w:tcPr>
            <w:tcW w:w="1417" w:type="pct"/>
            <w:shd w:val="clear" w:color="auto" w:fill="auto"/>
          </w:tcPr>
          <w:p w14:paraId="664DA0FB" w14:textId="77777777" w:rsidR="00A00405" w:rsidRPr="0010725E" w:rsidRDefault="00A00405" w:rsidP="00A00405">
            <w:pPr>
              <w:rPr>
                <w:b/>
                <w:szCs w:val="22"/>
              </w:rPr>
            </w:pPr>
            <w:r w:rsidRPr="0010725E">
              <w:rPr>
                <w:b/>
                <w:szCs w:val="22"/>
              </w:rPr>
              <w:t>Legumes</w:t>
            </w:r>
          </w:p>
        </w:tc>
        <w:tc>
          <w:tcPr>
            <w:tcW w:w="1684" w:type="pct"/>
            <w:shd w:val="clear" w:color="auto" w:fill="auto"/>
          </w:tcPr>
          <w:p w14:paraId="4B25BC7D" w14:textId="77777777" w:rsidR="00A00405" w:rsidRPr="0010725E" w:rsidRDefault="00A00405" w:rsidP="00A00405">
            <w:pPr>
              <w:rPr>
                <w:b/>
                <w:szCs w:val="22"/>
              </w:rPr>
            </w:pPr>
          </w:p>
        </w:tc>
        <w:tc>
          <w:tcPr>
            <w:tcW w:w="1899" w:type="pct"/>
            <w:shd w:val="clear" w:color="auto" w:fill="auto"/>
          </w:tcPr>
          <w:p w14:paraId="01BCD231" w14:textId="77777777" w:rsidR="00A00405" w:rsidRPr="0010725E" w:rsidRDefault="00A00405" w:rsidP="00A00405">
            <w:pPr>
              <w:rPr>
                <w:b/>
                <w:szCs w:val="22"/>
              </w:rPr>
            </w:pPr>
          </w:p>
        </w:tc>
      </w:tr>
      <w:tr w:rsidR="00A00405" w:rsidRPr="0010725E" w14:paraId="6E49F191" w14:textId="77777777" w:rsidTr="00A00405">
        <w:trPr>
          <w:trHeight w:val="198"/>
          <w:jc w:val="center"/>
        </w:trPr>
        <w:tc>
          <w:tcPr>
            <w:tcW w:w="1417" w:type="pct"/>
            <w:shd w:val="clear" w:color="auto" w:fill="auto"/>
          </w:tcPr>
          <w:p w14:paraId="5EE4841A" w14:textId="77777777" w:rsidR="00A00405" w:rsidRPr="0010725E" w:rsidRDefault="00A00405" w:rsidP="00A00405">
            <w:pPr>
              <w:rPr>
                <w:szCs w:val="22"/>
              </w:rPr>
            </w:pPr>
            <w:r w:rsidRPr="0010725E">
              <w:rPr>
                <w:szCs w:val="22"/>
              </w:rPr>
              <w:t xml:space="preserve">   Common bean</w:t>
            </w:r>
          </w:p>
        </w:tc>
        <w:tc>
          <w:tcPr>
            <w:tcW w:w="1684" w:type="pct"/>
            <w:shd w:val="clear" w:color="auto" w:fill="auto"/>
          </w:tcPr>
          <w:p w14:paraId="7FACC018" w14:textId="77777777" w:rsidR="00A00405" w:rsidRPr="0010725E" w:rsidRDefault="00A00405" w:rsidP="00A00405">
            <w:pPr>
              <w:rPr>
                <w:i/>
                <w:szCs w:val="22"/>
              </w:rPr>
            </w:pPr>
            <w:r w:rsidRPr="0010725E">
              <w:rPr>
                <w:i/>
                <w:szCs w:val="22"/>
              </w:rPr>
              <w:t>Phaseolus vulgaris</w:t>
            </w:r>
          </w:p>
        </w:tc>
        <w:tc>
          <w:tcPr>
            <w:tcW w:w="1899" w:type="pct"/>
            <w:shd w:val="clear" w:color="auto" w:fill="auto"/>
          </w:tcPr>
          <w:p w14:paraId="21525314" w14:textId="77777777" w:rsidR="00A00405" w:rsidRPr="0010725E" w:rsidRDefault="00A00405" w:rsidP="00A00405">
            <w:pPr>
              <w:rPr>
                <w:szCs w:val="22"/>
              </w:rPr>
            </w:pPr>
            <w:r w:rsidRPr="0010725E">
              <w:rPr>
                <w:szCs w:val="22"/>
              </w:rPr>
              <w:t>South America</w:t>
            </w:r>
          </w:p>
        </w:tc>
      </w:tr>
      <w:tr w:rsidR="00A00405" w:rsidRPr="0010725E" w14:paraId="03C60C29" w14:textId="77777777" w:rsidTr="00A00405">
        <w:trPr>
          <w:trHeight w:val="198"/>
          <w:jc w:val="center"/>
        </w:trPr>
        <w:tc>
          <w:tcPr>
            <w:tcW w:w="1417" w:type="pct"/>
            <w:shd w:val="clear" w:color="auto" w:fill="auto"/>
          </w:tcPr>
          <w:p w14:paraId="25C53692" w14:textId="77777777" w:rsidR="00A00405" w:rsidRPr="0010725E" w:rsidRDefault="00A00405" w:rsidP="00A00405">
            <w:pPr>
              <w:rPr>
                <w:szCs w:val="22"/>
              </w:rPr>
            </w:pPr>
            <w:r w:rsidRPr="0010725E">
              <w:rPr>
                <w:szCs w:val="22"/>
              </w:rPr>
              <w:t xml:space="preserve">   Lima bean</w:t>
            </w:r>
          </w:p>
        </w:tc>
        <w:tc>
          <w:tcPr>
            <w:tcW w:w="1684" w:type="pct"/>
            <w:shd w:val="clear" w:color="auto" w:fill="auto"/>
          </w:tcPr>
          <w:p w14:paraId="19CB5249" w14:textId="77777777" w:rsidR="00A00405" w:rsidRPr="0010725E" w:rsidRDefault="00A00405" w:rsidP="00A00405">
            <w:pPr>
              <w:rPr>
                <w:i/>
                <w:szCs w:val="22"/>
              </w:rPr>
            </w:pPr>
            <w:r w:rsidRPr="0010725E">
              <w:rPr>
                <w:i/>
                <w:szCs w:val="22"/>
              </w:rPr>
              <w:t>Phaseolus lunatus</w:t>
            </w:r>
          </w:p>
        </w:tc>
        <w:tc>
          <w:tcPr>
            <w:tcW w:w="1899" w:type="pct"/>
            <w:shd w:val="clear" w:color="auto" w:fill="auto"/>
          </w:tcPr>
          <w:p w14:paraId="28208CCB" w14:textId="77777777" w:rsidR="00A00405" w:rsidRPr="0010725E" w:rsidRDefault="00A00405" w:rsidP="00A00405">
            <w:pPr>
              <w:rPr>
                <w:szCs w:val="22"/>
              </w:rPr>
            </w:pPr>
            <w:r w:rsidRPr="0010725E">
              <w:rPr>
                <w:szCs w:val="22"/>
              </w:rPr>
              <w:t>South America</w:t>
            </w:r>
          </w:p>
        </w:tc>
      </w:tr>
      <w:tr w:rsidR="00A00405" w:rsidRPr="0010725E" w14:paraId="12A878A1" w14:textId="77777777" w:rsidTr="00A00405">
        <w:trPr>
          <w:trHeight w:val="198"/>
          <w:jc w:val="center"/>
        </w:trPr>
        <w:tc>
          <w:tcPr>
            <w:tcW w:w="1417" w:type="pct"/>
            <w:shd w:val="clear" w:color="auto" w:fill="auto"/>
          </w:tcPr>
          <w:p w14:paraId="5FCD2E26" w14:textId="77777777" w:rsidR="00A00405" w:rsidRPr="0010725E" w:rsidRDefault="00A00405" w:rsidP="00A00405">
            <w:pPr>
              <w:rPr>
                <w:szCs w:val="22"/>
              </w:rPr>
            </w:pPr>
            <w:r w:rsidRPr="0010725E">
              <w:rPr>
                <w:szCs w:val="22"/>
              </w:rPr>
              <w:t xml:space="preserve">   Peanut</w:t>
            </w:r>
          </w:p>
        </w:tc>
        <w:tc>
          <w:tcPr>
            <w:tcW w:w="1684" w:type="pct"/>
            <w:shd w:val="clear" w:color="auto" w:fill="auto"/>
          </w:tcPr>
          <w:p w14:paraId="5D705CEB" w14:textId="77777777" w:rsidR="00A00405" w:rsidRPr="0010725E" w:rsidRDefault="00A00405" w:rsidP="00A00405">
            <w:pPr>
              <w:rPr>
                <w:i/>
                <w:szCs w:val="22"/>
              </w:rPr>
            </w:pPr>
            <w:r w:rsidRPr="0010725E">
              <w:rPr>
                <w:i/>
                <w:szCs w:val="22"/>
              </w:rPr>
              <w:t>Arachis hypogaea</w:t>
            </w:r>
          </w:p>
        </w:tc>
        <w:tc>
          <w:tcPr>
            <w:tcW w:w="1899" w:type="pct"/>
            <w:shd w:val="clear" w:color="auto" w:fill="auto"/>
          </w:tcPr>
          <w:p w14:paraId="3AA9798A" w14:textId="77777777" w:rsidR="00A00405" w:rsidRPr="0010725E" w:rsidRDefault="00A00405" w:rsidP="00A00405">
            <w:pPr>
              <w:rPr>
                <w:szCs w:val="22"/>
              </w:rPr>
            </w:pPr>
            <w:r w:rsidRPr="0010725E">
              <w:rPr>
                <w:szCs w:val="22"/>
              </w:rPr>
              <w:t>Bolivian-Brazilian-Paraguayan center</w:t>
            </w:r>
          </w:p>
        </w:tc>
      </w:tr>
      <w:tr w:rsidR="00A00405" w:rsidRPr="0010725E" w14:paraId="1959B9BC" w14:textId="77777777" w:rsidTr="00A00405">
        <w:trPr>
          <w:trHeight w:val="198"/>
          <w:jc w:val="center"/>
        </w:trPr>
        <w:tc>
          <w:tcPr>
            <w:tcW w:w="1417" w:type="pct"/>
            <w:shd w:val="clear" w:color="auto" w:fill="auto"/>
          </w:tcPr>
          <w:p w14:paraId="642875A1" w14:textId="77777777" w:rsidR="00A00405" w:rsidRPr="0010725E" w:rsidRDefault="00A00405" w:rsidP="00A00405">
            <w:pPr>
              <w:rPr>
                <w:b/>
                <w:szCs w:val="22"/>
              </w:rPr>
            </w:pPr>
            <w:r w:rsidRPr="0010725E">
              <w:rPr>
                <w:b/>
                <w:szCs w:val="22"/>
              </w:rPr>
              <w:t>Cucurbits</w:t>
            </w:r>
          </w:p>
        </w:tc>
        <w:tc>
          <w:tcPr>
            <w:tcW w:w="1684" w:type="pct"/>
            <w:shd w:val="clear" w:color="auto" w:fill="auto"/>
          </w:tcPr>
          <w:p w14:paraId="7F3583B7" w14:textId="77777777" w:rsidR="00A00405" w:rsidRPr="0010725E" w:rsidRDefault="00A00405" w:rsidP="00A00405">
            <w:pPr>
              <w:rPr>
                <w:b/>
                <w:szCs w:val="22"/>
              </w:rPr>
            </w:pPr>
          </w:p>
        </w:tc>
        <w:tc>
          <w:tcPr>
            <w:tcW w:w="1899" w:type="pct"/>
            <w:shd w:val="clear" w:color="auto" w:fill="auto"/>
          </w:tcPr>
          <w:p w14:paraId="430B08B4" w14:textId="77777777" w:rsidR="00A00405" w:rsidRPr="0010725E" w:rsidRDefault="00A00405" w:rsidP="00A00405">
            <w:pPr>
              <w:rPr>
                <w:b/>
                <w:szCs w:val="22"/>
              </w:rPr>
            </w:pPr>
          </w:p>
        </w:tc>
      </w:tr>
      <w:tr w:rsidR="00A00405" w:rsidRPr="0010725E" w14:paraId="753A137C" w14:textId="77777777" w:rsidTr="00A00405">
        <w:trPr>
          <w:trHeight w:val="198"/>
          <w:jc w:val="center"/>
        </w:trPr>
        <w:tc>
          <w:tcPr>
            <w:tcW w:w="1417" w:type="pct"/>
            <w:shd w:val="clear" w:color="auto" w:fill="auto"/>
          </w:tcPr>
          <w:p w14:paraId="22371AB2" w14:textId="77777777" w:rsidR="00A00405" w:rsidRPr="0010725E" w:rsidRDefault="00A00405" w:rsidP="00A00405">
            <w:pPr>
              <w:rPr>
                <w:szCs w:val="22"/>
              </w:rPr>
            </w:pPr>
            <w:r w:rsidRPr="0010725E">
              <w:rPr>
                <w:szCs w:val="22"/>
              </w:rPr>
              <w:t xml:space="preserve">   Chayote</w:t>
            </w:r>
          </w:p>
        </w:tc>
        <w:tc>
          <w:tcPr>
            <w:tcW w:w="1684" w:type="pct"/>
            <w:shd w:val="clear" w:color="auto" w:fill="auto"/>
          </w:tcPr>
          <w:p w14:paraId="3707D763" w14:textId="77777777" w:rsidR="00A00405" w:rsidRPr="0010725E" w:rsidRDefault="00A00405" w:rsidP="00A00405">
            <w:pPr>
              <w:rPr>
                <w:i/>
                <w:szCs w:val="22"/>
              </w:rPr>
            </w:pPr>
            <w:r w:rsidRPr="0010725E">
              <w:rPr>
                <w:i/>
                <w:szCs w:val="22"/>
              </w:rPr>
              <w:t>Sechium edule</w:t>
            </w:r>
          </w:p>
        </w:tc>
        <w:tc>
          <w:tcPr>
            <w:tcW w:w="1899" w:type="pct"/>
            <w:shd w:val="clear" w:color="auto" w:fill="auto"/>
          </w:tcPr>
          <w:p w14:paraId="42DEB7B3" w14:textId="77777777" w:rsidR="00A00405" w:rsidRPr="0010725E" w:rsidRDefault="00A00405" w:rsidP="00A00405">
            <w:pPr>
              <w:rPr>
                <w:szCs w:val="22"/>
              </w:rPr>
            </w:pPr>
            <w:r w:rsidRPr="0010725E">
              <w:rPr>
                <w:szCs w:val="22"/>
              </w:rPr>
              <w:t>Mexico, Central America</w:t>
            </w:r>
          </w:p>
        </w:tc>
      </w:tr>
      <w:tr w:rsidR="00A00405" w:rsidRPr="0010725E" w14:paraId="47412C5B" w14:textId="77777777" w:rsidTr="00A00405">
        <w:trPr>
          <w:trHeight w:val="198"/>
          <w:jc w:val="center"/>
        </w:trPr>
        <w:tc>
          <w:tcPr>
            <w:tcW w:w="1417" w:type="pct"/>
            <w:shd w:val="clear" w:color="auto" w:fill="auto"/>
          </w:tcPr>
          <w:p w14:paraId="500A647F" w14:textId="77777777" w:rsidR="00A00405" w:rsidRPr="0010725E" w:rsidRDefault="00A00405" w:rsidP="00A00405">
            <w:pPr>
              <w:rPr>
                <w:szCs w:val="22"/>
              </w:rPr>
            </w:pPr>
            <w:r w:rsidRPr="0010725E">
              <w:rPr>
                <w:szCs w:val="22"/>
              </w:rPr>
              <w:t xml:space="preserve">   Pumpkin</w:t>
            </w:r>
          </w:p>
        </w:tc>
        <w:tc>
          <w:tcPr>
            <w:tcW w:w="1684" w:type="pct"/>
            <w:shd w:val="clear" w:color="auto" w:fill="auto"/>
          </w:tcPr>
          <w:p w14:paraId="39BE3E12" w14:textId="77777777" w:rsidR="00A00405" w:rsidRPr="0010725E" w:rsidRDefault="00A00405" w:rsidP="00A00405">
            <w:pPr>
              <w:rPr>
                <w:i/>
                <w:szCs w:val="22"/>
              </w:rPr>
            </w:pPr>
            <w:r w:rsidRPr="0010725E">
              <w:rPr>
                <w:i/>
                <w:szCs w:val="22"/>
              </w:rPr>
              <w:t>Cucurbita maxima</w:t>
            </w:r>
          </w:p>
        </w:tc>
        <w:tc>
          <w:tcPr>
            <w:tcW w:w="1899" w:type="pct"/>
            <w:shd w:val="clear" w:color="auto" w:fill="auto"/>
          </w:tcPr>
          <w:p w14:paraId="525FFB86" w14:textId="77777777" w:rsidR="00A00405" w:rsidRPr="0010725E" w:rsidRDefault="00A00405" w:rsidP="00A00405">
            <w:pPr>
              <w:rPr>
                <w:szCs w:val="22"/>
              </w:rPr>
            </w:pPr>
            <w:r w:rsidRPr="0010725E">
              <w:rPr>
                <w:szCs w:val="22"/>
              </w:rPr>
              <w:t>South America</w:t>
            </w:r>
          </w:p>
        </w:tc>
      </w:tr>
      <w:tr w:rsidR="00A00405" w:rsidRPr="0010725E" w14:paraId="0AE47E58" w14:textId="77777777" w:rsidTr="00A00405">
        <w:trPr>
          <w:trHeight w:val="198"/>
          <w:jc w:val="center"/>
        </w:trPr>
        <w:tc>
          <w:tcPr>
            <w:tcW w:w="1417" w:type="pct"/>
            <w:shd w:val="clear" w:color="auto" w:fill="auto"/>
          </w:tcPr>
          <w:p w14:paraId="2A4F6F62" w14:textId="77777777" w:rsidR="00A00405" w:rsidRPr="0010725E" w:rsidRDefault="00A00405" w:rsidP="00A00405">
            <w:pPr>
              <w:rPr>
                <w:szCs w:val="22"/>
              </w:rPr>
            </w:pPr>
            <w:r w:rsidRPr="0010725E">
              <w:rPr>
                <w:szCs w:val="22"/>
              </w:rPr>
              <w:t xml:space="preserve">   Squash</w:t>
            </w:r>
          </w:p>
        </w:tc>
        <w:tc>
          <w:tcPr>
            <w:tcW w:w="1684" w:type="pct"/>
            <w:shd w:val="clear" w:color="auto" w:fill="auto"/>
          </w:tcPr>
          <w:p w14:paraId="4470D1A7" w14:textId="77777777" w:rsidR="00A00405" w:rsidRPr="0010725E" w:rsidRDefault="00A00405" w:rsidP="00A00405">
            <w:pPr>
              <w:rPr>
                <w:i/>
                <w:szCs w:val="22"/>
              </w:rPr>
            </w:pPr>
            <w:r w:rsidRPr="0010725E">
              <w:rPr>
                <w:i/>
                <w:szCs w:val="22"/>
              </w:rPr>
              <w:t>Cucurbita moschata, C. pepo</w:t>
            </w:r>
          </w:p>
        </w:tc>
        <w:tc>
          <w:tcPr>
            <w:tcW w:w="1899" w:type="pct"/>
            <w:shd w:val="clear" w:color="auto" w:fill="auto"/>
          </w:tcPr>
          <w:p w14:paraId="3727BF59" w14:textId="77777777" w:rsidR="00A00405" w:rsidRPr="0010725E" w:rsidRDefault="00A00405" w:rsidP="00A00405">
            <w:pPr>
              <w:rPr>
                <w:szCs w:val="22"/>
              </w:rPr>
            </w:pPr>
            <w:r w:rsidRPr="0010725E">
              <w:rPr>
                <w:szCs w:val="22"/>
              </w:rPr>
              <w:t>Mexico</w:t>
            </w:r>
          </w:p>
        </w:tc>
      </w:tr>
      <w:tr w:rsidR="00A00405" w:rsidRPr="0010725E" w14:paraId="650028E8" w14:textId="77777777" w:rsidTr="00A00405">
        <w:trPr>
          <w:trHeight w:val="198"/>
          <w:jc w:val="center"/>
        </w:trPr>
        <w:tc>
          <w:tcPr>
            <w:tcW w:w="1417" w:type="pct"/>
            <w:shd w:val="clear" w:color="auto" w:fill="auto"/>
          </w:tcPr>
          <w:p w14:paraId="7ACFB49B" w14:textId="77777777" w:rsidR="00A00405" w:rsidRPr="0010725E" w:rsidRDefault="00A00405" w:rsidP="00A00405">
            <w:pPr>
              <w:rPr>
                <w:b/>
                <w:szCs w:val="22"/>
              </w:rPr>
            </w:pPr>
            <w:r w:rsidRPr="0010725E">
              <w:rPr>
                <w:b/>
                <w:szCs w:val="22"/>
              </w:rPr>
              <w:t>Solanaceous fruits</w:t>
            </w:r>
          </w:p>
        </w:tc>
        <w:tc>
          <w:tcPr>
            <w:tcW w:w="1684" w:type="pct"/>
            <w:shd w:val="clear" w:color="auto" w:fill="auto"/>
          </w:tcPr>
          <w:p w14:paraId="0D5098D2" w14:textId="77777777" w:rsidR="00A00405" w:rsidRPr="0010725E" w:rsidRDefault="00A00405" w:rsidP="00A00405">
            <w:pPr>
              <w:rPr>
                <w:b/>
                <w:szCs w:val="22"/>
              </w:rPr>
            </w:pPr>
          </w:p>
        </w:tc>
        <w:tc>
          <w:tcPr>
            <w:tcW w:w="1899" w:type="pct"/>
            <w:shd w:val="clear" w:color="auto" w:fill="auto"/>
          </w:tcPr>
          <w:p w14:paraId="6803632A" w14:textId="77777777" w:rsidR="00A00405" w:rsidRPr="0010725E" w:rsidRDefault="00A00405" w:rsidP="00A00405">
            <w:pPr>
              <w:rPr>
                <w:b/>
                <w:szCs w:val="22"/>
              </w:rPr>
            </w:pPr>
          </w:p>
        </w:tc>
      </w:tr>
      <w:tr w:rsidR="00A00405" w:rsidRPr="0010725E" w14:paraId="75C92A34" w14:textId="77777777" w:rsidTr="00A00405">
        <w:trPr>
          <w:trHeight w:val="198"/>
          <w:jc w:val="center"/>
        </w:trPr>
        <w:tc>
          <w:tcPr>
            <w:tcW w:w="1417" w:type="pct"/>
            <w:shd w:val="clear" w:color="auto" w:fill="auto"/>
          </w:tcPr>
          <w:p w14:paraId="522E46A3" w14:textId="77777777" w:rsidR="00A00405" w:rsidRPr="0010725E" w:rsidRDefault="00A00405" w:rsidP="00A00405">
            <w:pPr>
              <w:rPr>
                <w:szCs w:val="22"/>
              </w:rPr>
            </w:pPr>
            <w:r w:rsidRPr="0010725E">
              <w:rPr>
                <w:szCs w:val="22"/>
              </w:rPr>
              <w:t xml:space="preserve"> Capsicum peppers</w:t>
            </w:r>
          </w:p>
        </w:tc>
        <w:tc>
          <w:tcPr>
            <w:tcW w:w="1684" w:type="pct"/>
            <w:shd w:val="clear" w:color="auto" w:fill="auto"/>
          </w:tcPr>
          <w:p w14:paraId="5458CCCE" w14:textId="77777777" w:rsidR="00A00405" w:rsidRPr="0010725E" w:rsidRDefault="00A00405" w:rsidP="00A00405">
            <w:pPr>
              <w:rPr>
                <w:i/>
                <w:szCs w:val="22"/>
                <w:lang w:val="pt-BR"/>
              </w:rPr>
            </w:pPr>
            <w:r w:rsidRPr="0010725E">
              <w:rPr>
                <w:i/>
                <w:szCs w:val="22"/>
                <w:lang w:val="pt-BR"/>
              </w:rPr>
              <w:t>Capsicum annuum, C. bacattum, C. chinenese, C. frutescens, C. pubescens</w:t>
            </w:r>
          </w:p>
        </w:tc>
        <w:tc>
          <w:tcPr>
            <w:tcW w:w="1899" w:type="pct"/>
            <w:shd w:val="clear" w:color="auto" w:fill="auto"/>
          </w:tcPr>
          <w:p w14:paraId="6DB5E2C2" w14:textId="77777777" w:rsidR="00A00405" w:rsidRPr="0010725E" w:rsidRDefault="00A00405" w:rsidP="00A00405">
            <w:pPr>
              <w:rPr>
                <w:szCs w:val="22"/>
              </w:rPr>
            </w:pPr>
            <w:r w:rsidRPr="0010725E">
              <w:rPr>
                <w:szCs w:val="22"/>
              </w:rPr>
              <w:t>South America, northern Peru, central Bolivia</w:t>
            </w:r>
          </w:p>
        </w:tc>
      </w:tr>
      <w:tr w:rsidR="00A00405" w:rsidRPr="0010725E" w14:paraId="116F11E0" w14:textId="77777777" w:rsidTr="00A00405">
        <w:trPr>
          <w:trHeight w:val="198"/>
          <w:jc w:val="center"/>
        </w:trPr>
        <w:tc>
          <w:tcPr>
            <w:tcW w:w="1417" w:type="pct"/>
            <w:shd w:val="clear" w:color="auto" w:fill="auto"/>
          </w:tcPr>
          <w:p w14:paraId="4165054D" w14:textId="77777777" w:rsidR="00A00405" w:rsidRPr="0010725E" w:rsidRDefault="00A00405" w:rsidP="00A00405">
            <w:pPr>
              <w:rPr>
                <w:szCs w:val="22"/>
              </w:rPr>
            </w:pPr>
            <w:r w:rsidRPr="0010725E">
              <w:rPr>
                <w:szCs w:val="22"/>
              </w:rPr>
              <w:t xml:space="preserve">   Ground cherry, husk tomato</w:t>
            </w:r>
          </w:p>
        </w:tc>
        <w:tc>
          <w:tcPr>
            <w:tcW w:w="1684" w:type="pct"/>
            <w:shd w:val="clear" w:color="auto" w:fill="auto"/>
          </w:tcPr>
          <w:p w14:paraId="5B8930EA" w14:textId="77777777" w:rsidR="00A00405" w:rsidRPr="0010725E" w:rsidRDefault="00A00405" w:rsidP="00A00405">
            <w:pPr>
              <w:rPr>
                <w:i/>
                <w:szCs w:val="22"/>
              </w:rPr>
            </w:pPr>
            <w:r w:rsidRPr="0010725E">
              <w:rPr>
                <w:i/>
                <w:szCs w:val="22"/>
              </w:rPr>
              <w:t>Physalis peruviana, P. philadelphica</w:t>
            </w:r>
          </w:p>
        </w:tc>
        <w:tc>
          <w:tcPr>
            <w:tcW w:w="1899" w:type="pct"/>
            <w:shd w:val="clear" w:color="auto" w:fill="auto"/>
          </w:tcPr>
          <w:p w14:paraId="392667F6" w14:textId="77777777" w:rsidR="00A00405" w:rsidRPr="0010725E" w:rsidRDefault="00A00405" w:rsidP="00A00405">
            <w:pPr>
              <w:rPr>
                <w:szCs w:val="22"/>
              </w:rPr>
            </w:pPr>
            <w:r w:rsidRPr="0010725E">
              <w:rPr>
                <w:szCs w:val="22"/>
              </w:rPr>
              <w:t>Central America</w:t>
            </w:r>
          </w:p>
        </w:tc>
      </w:tr>
      <w:tr w:rsidR="00A00405" w:rsidRPr="0010725E" w14:paraId="46FE0866" w14:textId="77777777" w:rsidTr="00A00405">
        <w:trPr>
          <w:trHeight w:val="198"/>
          <w:jc w:val="center"/>
        </w:trPr>
        <w:tc>
          <w:tcPr>
            <w:tcW w:w="1417" w:type="pct"/>
            <w:shd w:val="clear" w:color="auto" w:fill="auto"/>
          </w:tcPr>
          <w:p w14:paraId="6D0D791E" w14:textId="77777777" w:rsidR="00A00405" w:rsidRPr="0010725E" w:rsidRDefault="00A00405" w:rsidP="00A00405">
            <w:pPr>
              <w:rPr>
                <w:szCs w:val="22"/>
              </w:rPr>
            </w:pPr>
            <w:r w:rsidRPr="0010725E">
              <w:rPr>
                <w:szCs w:val="22"/>
              </w:rPr>
              <w:t xml:space="preserve">   Pepino</w:t>
            </w:r>
          </w:p>
        </w:tc>
        <w:tc>
          <w:tcPr>
            <w:tcW w:w="1684" w:type="pct"/>
            <w:shd w:val="clear" w:color="auto" w:fill="auto"/>
          </w:tcPr>
          <w:p w14:paraId="38EC5D53" w14:textId="77777777" w:rsidR="00A00405" w:rsidRPr="0010725E" w:rsidRDefault="00A00405" w:rsidP="00A00405">
            <w:pPr>
              <w:rPr>
                <w:i/>
                <w:szCs w:val="22"/>
              </w:rPr>
            </w:pPr>
            <w:r w:rsidRPr="0010725E">
              <w:rPr>
                <w:i/>
                <w:szCs w:val="22"/>
              </w:rPr>
              <w:t>Solanum muricatum</w:t>
            </w:r>
          </w:p>
        </w:tc>
        <w:tc>
          <w:tcPr>
            <w:tcW w:w="1899" w:type="pct"/>
            <w:shd w:val="clear" w:color="auto" w:fill="auto"/>
          </w:tcPr>
          <w:p w14:paraId="5EC50281" w14:textId="77777777" w:rsidR="00A00405" w:rsidRPr="0010725E" w:rsidRDefault="00A00405" w:rsidP="00A00405">
            <w:pPr>
              <w:rPr>
                <w:szCs w:val="22"/>
              </w:rPr>
            </w:pPr>
            <w:r w:rsidRPr="0010725E">
              <w:rPr>
                <w:szCs w:val="22"/>
              </w:rPr>
              <w:t>Tropical America</w:t>
            </w:r>
          </w:p>
        </w:tc>
      </w:tr>
      <w:tr w:rsidR="00A00405" w:rsidRPr="0010725E" w14:paraId="028392BD" w14:textId="77777777" w:rsidTr="00A00405">
        <w:trPr>
          <w:trHeight w:val="198"/>
          <w:jc w:val="center"/>
        </w:trPr>
        <w:tc>
          <w:tcPr>
            <w:tcW w:w="1417" w:type="pct"/>
            <w:shd w:val="clear" w:color="auto" w:fill="auto"/>
          </w:tcPr>
          <w:p w14:paraId="1A94FC5C" w14:textId="77777777" w:rsidR="00A00405" w:rsidRPr="0010725E" w:rsidRDefault="00A00405" w:rsidP="00A00405">
            <w:pPr>
              <w:rPr>
                <w:szCs w:val="22"/>
              </w:rPr>
            </w:pPr>
            <w:r w:rsidRPr="0010725E">
              <w:rPr>
                <w:szCs w:val="22"/>
              </w:rPr>
              <w:t xml:space="preserve">   Tomato</w:t>
            </w:r>
          </w:p>
        </w:tc>
        <w:tc>
          <w:tcPr>
            <w:tcW w:w="1684" w:type="pct"/>
            <w:shd w:val="clear" w:color="auto" w:fill="auto"/>
          </w:tcPr>
          <w:p w14:paraId="60A21DF3" w14:textId="77777777" w:rsidR="00A00405" w:rsidRPr="0010725E" w:rsidRDefault="00A00405" w:rsidP="00A00405">
            <w:pPr>
              <w:rPr>
                <w:i/>
                <w:szCs w:val="22"/>
              </w:rPr>
            </w:pPr>
            <w:r w:rsidRPr="0010725E">
              <w:rPr>
                <w:i/>
                <w:szCs w:val="22"/>
              </w:rPr>
              <w:t>Solanum lycopersicum</w:t>
            </w:r>
          </w:p>
        </w:tc>
        <w:tc>
          <w:tcPr>
            <w:tcW w:w="1899" w:type="pct"/>
            <w:shd w:val="clear" w:color="auto" w:fill="auto"/>
          </w:tcPr>
          <w:p w14:paraId="4663ECE3" w14:textId="77777777" w:rsidR="00A00405" w:rsidRPr="0010725E" w:rsidRDefault="00A00405" w:rsidP="00A00405">
            <w:pPr>
              <w:rPr>
                <w:szCs w:val="22"/>
              </w:rPr>
            </w:pPr>
            <w:r w:rsidRPr="0010725E">
              <w:rPr>
                <w:szCs w:val="22"/>
              </w:rPr>
              <w:t>Western South America</w:t>
            </w:r>
          </w:p>
        </w:tc>
      </w:tr>
      <w:tr w:rsidR="00A00405" w:rsidRPr="0010725E" w14:paraId="4797CE6E" w14:textId="77777777" w:rsidTr="00A00405">
        <w:trPr>
          <w:trHeight w:val="198"/>
          <w:jc w:val="center"/>
        </w:trPr>
        <w:tc>
          <w:tcPr>
            <w:tcW w:w="1417" w:type="pct"/>
            <w:shd w:val="clear" w:color="auto" w:fill="auto"/>
          </w:tcPr>
          <w:p w14:paraId="0CA12113" w14:textId="77777777" w:rsidR="00A00405" w:rsidRPr="0010725E" w:rsidRDefault="00A00405" w:rsidP="00A00405">
            <w:pPr>
              <w:rPr>
                <w:b/>
                <w:szCs w:val="22"/>
              </w:rPr>
            </w:pPr>
            <w:r w:rsidRPr="0010725E">
              <w:rPr>
                <w:b/>
                <w:szCs w:val="22"/>
              </w:rPr>
              <w:t>Roots and tubers</w:t>
            </w:r>
          </w:p>
        </w:tc>
        <w:tc>
          <w:tcPr>
            <w:tcW w:w="1684" w:type="pct"/>
            <w:shd w:val="clear" w:color="auto" w:fill="auto"/>
          </w:tcPr>
          <w:p w14:paraId="1C7E832A" w14:textId="77777777" w:rsidR="00A00405" w:rsidRPr="0010725E" w:rsidRDefault="00A00405" w:rsidP="00A00405">
            <w:pPr>
              <w:rPr>
                <w:b/>
                <w:szCs w:val="22"/>
              </w:rPr>
            </w:pPr>
          </w:p>
        </w:tc>
        <w:tc>
          <w:tcPr>
            <w:tcW w:w="1899" w:type="pct"/>
            <w:shd w:val="clear" w:color="auto" w:fill="auto"/>
          </w:tcPr>
          <w:p w14:paraId="3C7AA1A3" w14:textId="77777777" w:rsidR="00A00405" w:rsidRPr="0010725E" w:rsidRDefault="00A00405" w:rsidP="00A00405">
            <w:pPr>
              <w:rPr>
                <w:b/>
                <w:szCs w:val="22"/>
              </w:rPr>
            </w:pPr>
          </w:p>
        </w:tc>
      </w:tr>
      <w:tr w:rsidR="00A00405" w:rsidRPr="0010725E" w14:paraId="503B5CA2" w14:textId="77777777" w:rsidTr="00A00405">
        <w:trPr>
          <w:trHeight w:val="198"/>
          <w:jc w:val="center"/>
        </w:trPr>
        <w:tc>
          <w:tcPr>
            <w:tcW w:w="1417" w:type="pct"/>
            <w:shd w:val="clear" w:color="auto" w:fill="auto"/>
          </w:tcPr>
          <w:p w14:paraId="25D73CD0" w14:textId="77777777" w:rsidR="00A00405" w:rsidRPr="0010725E" w:rsidRDefault="00A00405" w:rsidP="00A00405">
            <w:pPr>
              <w:rPr>
                <w:szCs w:val="22"/>
              </w:rPr>
            </w:pPr>
            <w:r w:rsidRPr="0010725E">
              <w:rPr>
                <w:szCs w:val="22"/>
              </w:rPr>
              <w:t xml:space="preserve">   Cassava</w:t>
            </w:r>
          </w:p>
        </w:tc>
        <w:tc>
          <w:tcPr>
            <w:tcW w:w="1684" w:type="pct"/>
            <w:shd w:val="clear" w:color="auto" w:fill="auto"/>
          </w:tcPr>
          <w:p w14:paraId="4D44ABC9" w14:textId="77777777" w:rsidR="00A00405" w:rsidRPr="0010725E" w:rsidRDefault="00A00405" w:rsidP="00A00405">
            <w:pPr>
              <w:rPr>
                <w:i/>
                <w:szCs w:val="22"/>
              </w:rPr>
            </w:pPr>
            <w:r w:rsidRPr="0010725E">
              <w:rPr>
                <w:i/>
                <w:szCs w:val="22"/>
              </w:rPr>
              <w:t>Manihot utilissima</w:t>
            </w:r>
          </w:p>
        </w:tc>
        <w:tc>
          <w:tcPr>
            <w:tcW w:w="1899" w:type="pct"/>
            <w:shd w:val="clear" w:color="auto" w:fill="auto"/>
          </w:tcPr>
          <w:p w14:paraId="5E7F2F03" w14:textId="77777777" w:rsidR="00A00405" w:rsidRPr="0010725E" w:rsidRDefault="00A00405" w:rsidP="00A00405">
            <w:pPr>
              <w:rPr>
                <w:szCs w:val="22"/>
              </w:rPr>
            </w:pPr>
            <w:r w:rsidRPr="0010725E">
              <w:rPr>
                <w:szCs w:val="22"/>
              </w:rPr>
              <w:t>Brazil</w:t>
            </w:r>
          </w:p>
        </w:tc>
      </w:tr>
      <w:tr w:rsidR="00A00405" w:rsidRPr="0010725E" w14:paraId="25815DC5" w14:textId="77777777" w:rsidTr="00A00405">
        <w:trPr>
          <w:trHeight w:val="198"/>
          <w:jc w:val="center"/>
        </w:trPr>
        <w:tc>
          <w:tcPr>
            <w:tcW w:w="1417" w:type="pct"/>
            <w:shd w:val="clear" w:color="auto" w:fill="auto"/>
          </w:tcPr>
          <w:p w14:paraId="105D84D4" w14:textId="77777777" w:rsidR="00A00405" w:rsidRPr="0010725E" w:rsidRDefault="00A00405" w:rsidP="00A00405">
            <w:pPr>
              <w:rPr>
                <w:szCs w:val="22"/>
              </w:rPr>
            </w:pPr>
            <w:r w:rsidRPr="0010725E">
              <w:rPr>
                <w:szCs w:val="22"/>
              </w:rPr>
              <w:t xml:space="preserve">   Potato</w:t>
            </w:r>
          </w:p>
        </w:tc>
        <w:tc>
          <w:tcPr>
            <w:tcW w:w="1684" w:type="pct"/>
            <w:shd w:val="clear" w:color="auto" w:fill="auto"/>
          </w:tcPr>
          <w:p w14:paraId="6EBD618D" w14:textId="77777777" w:rsidR="00A00405" w:rsidRPr="0010725E" w:rsidRDefault="00A00405" w:rsidP="00A00405">
            <w:pPr>
              <w:rPr>
                <w:i/>
                <w:szCs w:val="22"/>
              </w:rPr>
            </w:pPr>
            <w:r w:rsidRPr="0010725E">
              <w:rPr>
                <w:i/>
                <w:szCs w:val="22"/>
              </w:rPr>
              <w:t>Solanum tuberosum</w:t>
            </w:r>
          </w:p>
        </w:tc>
        <w:tc>
          <w:tcPr>
            <w:tcW w:w="1899" w:type="pct"/>
            <w:shd w:val="clear" w:color="auto" w:fill="auto"/>
          </w:tcPr>
          <w:p w14:paraId="72544253" w14:textId="77777777" w:rsidR="00A00405" w:rsidRPr="0010725E" w:rsidRDefault="00A00405" w:rsidP="00A00405">
            <w:pPr>
              <w:rPr>
                <w:szCs w:val="22"/>
              </w:rPr>
            </w:pPr>
            <w:r w:rsidRPr="0010725E">
              <w:rPr>
                <w:szCs w:val="22"/>
              </w:rPr>
              <w:t>Peru and Bolivia</w:t>
            </w:r>
          </w:p>
        </w:tc>
      </w:tr>
      <w:tr w:rsidR="00A00405" w:rsidRPr="0010725E" w14:paraId="7B6B79F1" w14:textId="77777777" w:rsidTr="00A00405">
        <w:trPr>
          <w:trHeight w:val="198"/>
          <w:jc w:val="center"/>
        </w:trPr>
        <w:tc>
          <w:tcPr>
            <w:tcW w:w="1417" w:type="pct"/>
            <w:shd w:val="clear" w:color="auto" w:fill="auto"/>
          </w:tcPr>
          <w:p w14:paraId="6EF70C88" w14:textId="77777777" w:rsidR="00A00405" w:rsidRPr="0010725E" w:rsidRDefault="00A00405" w:rsidP="00A00405">
            <w:pPr>
              <w:rPr>
                <w:szCs w:val="22"/>
              </w:rPr>
            </w:pPr>
            <w:r w:rsidRPr="0010725E">
              <w:rPr>
                <w:szCs w:val="22"/>
              </w:rPr>
              <w:t xml:space="preserve">   Sweetpotato</w:t>
            </w:r>
          </w:p>
        </w:tc>
        <w:tc>
          <w:tcPr>
            <w:tcW w:w="1684" w:type="pct"/>
            <w:shd w:val="clear" w:color="auto" w:fill="auto"/>
          </w:tcPr>
          <w:p w14:paraId="16A89F91" w14:textId="77777777" w:rsidR="00A00405" w:rsidRPr="0010725E" w:rsidRDefault="00A00405" w:rsidP="00A00405">
            <w:pPr>
              <w:rPr>
                <w:i/>
                <w:szCs w:val="22"/>
              </w:rPr>
            </w:pPr>
            <w:r w:rsidRPr="0010725E">
              <w:rPr>
                <w:i/>
                <w:szCs w:val="22"/>
              </w:rPr>
              <w:t>Ipomoea batatas</w:t>
            </w:r>
          </w:p>
        </w:tc>
        <w:tc>
          <w:tcPr>
            <w:tcW w:w="1899" w:type="pct"/>
            <w:shd w:val="clear" w:color="auto" w:fill="auto"/>
          </w:tcPr>
          <w:p w14:paraId="5DFE2F5A" w14:textId="77777777" w:rsidR="00A00405" w:rsidRPr="0010725E" w:rsidRDefault="00A00405" w:rsidP="00A00405">
            <w:pPr>
              <w:rPr>
                <w:szCs w:val="22"/>
              </w:rPr>
            </w:pPr>
            <w:r w:rsidRPr="0010725E">
              <w:rPr>
                <w:szCs w:val="22"/>
              </w:rPr>
              <w:t>Central America</w:t>
            </w:r>
          </w:p>
        </w:tc>
      </w:tr>
      <w:tr w:rsidR="00A00405" w:rsidRPr="0010725E" w14:paraId="01FA3E40" w14:textId="77777777" w:rsidTr="00A00405">
        <w:trPr>
          <w:trHeight w:val="198"/>
          <w:jc w:val="center"/>
        </w:trPr>
        <w:tc>
          <w:tcPr>
            <w:tcW w:w="1417" w:type="pct"/>
            <w:shd w:val="clear" w:color="auto" w:fill="auto"/>
          </w:tcPr>
          <w:p w14:paraId="6532021E" w14:textId="77777777" w:rsidR="00A00405" w:rsidRPr="0010725E" w:rsidRDefault="00A00405" w:rsidP="00A00405">
            <w:pPr>
              <w:rPr>
                <w:b/>
                <w:szCs w:val="22"/>
              </w:rPr>
            </w:pPr>
            <w:r w:rsidRPr="0010725E">
              <w:rPr>
                <w:b/>
                <w:szCs w:val="22"/>
              </w:rPr>
              <w:t>Fruits and nuts</w:t>
            </w:r>
          </w:p>
        </w:tc>
        <w:tc>
          <w:tcPr>
            <w:tcW w:w="1684" w:type="pct"/>
            <w:shd w:val="clear" w:color="auto" w:fill="auto"/>
          </w:tcPr>
          <w:p w14:paraId="4A882492" w14:textId="77777777" w:rsidR="00A00405" w:rsidRPr="0010725E" w:rsidRDefault="00A00405" w:rsidP="00A00405">
            <w:pPr>
              <w:rPr>
                <w:b/>
                <w:szCs w:val="22"/>
              </w:rPr>
            </w:pPr>
          </w:p>
        </w:tc>
        <w:tc>
          <w:tcPr>
            <w:tcW w:w="1899" w:type="pct"/>
            <w:shd w:val="clear" w:color="auto" w:fill="auto"/>
          </w:tcPr>
          <w:p w14:paraId="63EFCF8D" w14:textId="77777777" w:rsidR="00A00405" w:rsidRPr="0010725E" w:rsidRDefault="00A00405" w:rsidP="00A00405">
            <w:pPr>
              <w:rPr>
                <w:b/>
                <w:szCs w:val="22"/>
              </w:rPr>
            </w:pPr>
          </w:p>
        </w:tc>
      </w:tr>
      <w:tr w:rsidR="00A00405" w:rsidRPr="0010725E" w14:paraId="4B4489C3" w14:textId="77777777" w:rsidTr="00A00405">
        <w:trPr>
          <w:trHeight w:val="198"/>
          <w:jc w:val="center"/>
        </w:trPr>
        <w:tc>
          <w:tcPr>
            <w:tcW w:w="1417" w:type="pct"/>
            <w:shd w:val="clear" w:color="auto" w:fill="auto"/>
          </w:tcPr>
          <w:p w14:paraId="7832D18C" w14:textId="77777777" w:rsidR="00A00405" w:rsidRPr="0010725E" w:rsidRDefault="00A00405" w:rsidP="00A00405">
            <w:pPr>
              <w:rPr>
                <w:szCs w:val="22"/>
              </w:rPr>
            </w:pPr>
            <w:r w:rsidRPr="0010725E">
              <w:rPr>
                <w:szCs w:val="22"/>
              </w:rPr>
              <w:t xml:space="preserve">   Annona</w:t>
            </w:r>
          </w:p>
        </w:tc>
        <w:tc>
          <w:tcPr>
            <w:tcW w:w="1684" w:type="pct"/>
            <w:shd w:val="clear" w:color="auto" w:fill="auto"/>
          </w:tcPr>
          <w:p w14:paraId="509DDFD2" w14:textId="77777777" w:rsidR="00A00405" w:rsidRPr="0010725E" w:rsidRDefault="00A00405" w:rsidP="00A00405">
            <w:pPr>
              <w:rPr>
                <w:i/>
                <w:szCs w:val="22"/>
              </w:rPr>
            </w:pPr>
            <w:r w:rsidRPr="0010725E">
              <w:rPr>
                <w:i/>
                <w:szCs w:val="22"/>
              </w:rPr>
              <w:t>Annona cherimola</w:t>
            </w:r>
          </w:p>
        </w:tc>
        <w:tc>
          <w:tcPr>
            <w:tcW w:w="1899" w:type="pct"/>
            <w:shd w:val="clear" w:color="auto" w:fill="auto"/>
          </w:tcPr>
          <w:p w14:paraId="53A064B6" w14:textId="77777777" w:rsidR="00A00405" w:rsidRPr="0010725E" w:rsidRDefault="00A00405" w:rsidP="00A00405">
            <w:pPr>
              <w:rPr>
                <w:szCs w:val="22"/>
              </w:rPr>
            </w:pPr>
            <w:r w:rsidRPr="0010725E">
              <w:rPr>
                <w:szCs w:val="22"/>
              </w:rPr>
              <w:t>Brazil</w:t>
            </w:r>
          </w:p>
        </w:tc>
      </w:tr>
      <w:tr w:rsidR="00A00405" w:rsidRPr="0010725E" w14:paraId="17D35D19" w14:textId="77777777" w:rsidTr="00A00405">
        <w:trPr>
          <w:trHeight w:val="198"/>
          <w:jc w:val="center"/>
        </w:trPr>
        <w:tc>
          <w:tcPr>
            <w:tcW w:w="1417" w:type="pct"/>
            <w:shd w:val="clear" w:color="auto" w:fill="auto"/>
          </w:tcPr>
          <w:p w14:paraId="1F65CA0B" w14:textId="77777777" w:rsidR="00A00405" w:rsidRPr="0010725E" w:rsidRDefault="00A00405" w:rsidP="00A00405">
            <w:pPr>
              <w:rPr>
                <w:szCs w:val="22"/>
              </w:rPr>
            </w:pPr>
            <w:r w:rsidRPr="0010725E">
              <w:rPr>
                <w:szCs w:val="22"/>
              </w:rPr>
              <w:t xml:space="preserve">   Avocado</w:t>
            </w:r>
          </w:p>
        </w:tc>
        <w:tc>
          <w:tcPr>
            <w:tcW w:w="1684" w:type="pct"/>
            <w:shd w:val="clear" w:color="auto" w:fill="auto"/>
          </w:tcPr>
          <w:p w14:paraId="1F04D76C" w14:textId="77777777" w:rsidR="00A00405" w:rsidRPr="0010725E" w:rsidRDefault="00A00405" w:rsidP="00A00405">
            <w:pPr>
              <w:rPr>
                <w:i/>
                <w:szCs w:val="22"/>
              </w:rPr>
            </w:pPr>
            <w:r w:rsidRPr="0010725E">
              <w:rPr>
                <w:i/>
                <w:szCs w:val="22"/>
              </w:rPr>
              <w:t>Persea americana</w:t>
            </w:r>
          </w:p>
        </w:tc>
        <w:tc>
          <w:tcPr>
            <w:tcW w:w="1899" w:type="pct"/>
            <w:shd w:val="clear" w:color="auto" w:fill="auto"/>
          </w:tcPr>
          <w:p w14:paraId="17C91265" w14:textId="77777777" w:rsidR="00A00405" w:rsidRPr="0010725E" w:rsidRDefault="00A00405" w:rsidP="00A00405">
            <w:pPr>
              <w:rPr>
                <w:szCs w:val="22"/>
              </w:rPr>
            </w:pPr>
            <w:r w:rsidRPr="0010725E">
              <w:rPr>
                <w:szCs w:val="22"/>
              </w:rPr>
              <w:t>Mesoamerica</w:t>
            </w:r>
          </w:p>
        </w:tc>
      </w:tr>
      <w:tr w:rsidR="00A00405" w:rsidRPr="0010725E" w14:paraId="32B4A0AD" w14:textId="77777777" w:rsidTr="00A00405">
        <w:trPr>
          <w:trHeight w:val="198"/>
          <w:jc w:val="center"/>
        </w:trPr>
        <w:tc>
          <w:tcPr>
            <w:tcW w:w="1417" w:type="pct"/>
            <w:shd w:val="clear" w:color="auto" w:fill="auto"/>
          </w:tcPr>
          <w:p w14:paraId="22A74899" w14:textId="77777777" w:rsidR="00A00405" w:rsidRPr="0010725E" w:rsidRDefault="00A00405" w:rsidP="00A00405">
            <w:pPr>
              <w:rPr>
                <w:szCs w:val="22"/>
              </w:rPr>
            </w:pPr>
            <w:r w:rsidRPr="0010725E">
              <w:rPr>
                <w:szCs w:val="22"/>
              </w:rPr>
              <w:t xml:space="preserve">   Black raspberry</w:t>
            </w:r>
          </w:p>
        </w:tc>
        <w:tc>
          <w:tcPr>
            <w:tcW w:w="1684" w:type="pct"/>
            <w:shd w:val="clear" w:color="auto" w:fill="auto"/>
          </w:tcPr>
          <w:p w14:paraId="0698D81F" w14:textId="77777777" w:rsidR="00A00405" w:rsidRPr="0010725E" w:rsidRDefault="00A00405" w:rsidP="00A00405">
            <w:pPr>
              <w:rPr>
                <w:i/>
                <w:szCs w:val="22"/>
              </w:rPr>
            </w:pPr>
            <w:r w:rsidRPr="0010725E">
              <w:rPr>
                <w:i/>
                <w:szCs w:val="22"/>
              </w:rPr>
              <w:t>Rubus occidentalis</w:t>
            </w:r>
          </w:p>
        </w:tc>
        <w:tc>
          <w:tcPr>
            <w:tcW w:w="1899" w:type="pct"/>
            <w:shd w:val="clear" w:color="auto" w:fill="auto"/>
          </w:tcPr>
          <w:p w14:paraId="30A7DC21" w14:textId="77777777" w:rsidR="00A00405" w:rsidRPr="0010725E" w:rsidRDefault="00A00405" w:rsidP="00A00405">
            <w:pPr>
              <w:rPr>
                <w:szCs w:val="22"/>
              </w:rPr>
            </w:pPr>
            <w:r w:rsidRPr="0010725E">
              <w:rPr>
                <w:szCs w:val="22"/>
              </w:rPr>
              <w:t>North America</w:t>
            </w:r>
          </w:p>
        </w:tc>
      </w:tr>
      <w:tr w:rsidR="00A00405" w:rsidRPr="0010725E" w14:paraId="0030B9C3" w14:textId="77777777" w:rsidTr="00A00405">
        <w:trPr>
          <w:trHeight w:val="198"/>
          <w:jc w:val="center"/>
        </w:trPr>
        <w:tc>
          <w:tcPr>
            <w:tcW w:w="1417" w:type="pct"/>
            <w:shd w:val="clear" w:color="auto" w:fill="auto"/>
          </w:tcPr>
          <w:p w14:paraId="5684D9A6" w14:textId="77777777" w:rsidR="00A00405" w:rsidRPr="0010725E" w:rsidRDefault="00A00405" w:rsidP="00A00405">
            <w:pPr>
              <w:rPr>
                <w:szCs w:val="22"/>
              </w:rPr>
            </w:pPr>
            <w:r w:rsidRPr="0010725E">
              <w:rPr>
                <w:szCs w:val="22"/>
              </w:rPr>
              <w:t xml:space="preserve">   Brazil/Amazonian nut</w:t>
            </w:r>
          </w:p>
        </w:tc>
        <w:tc>
          <w:tcPr>
            <w:tcW w:w="1684" w:type="pct"/>
            <w:shd w:val="clear" w:color="auto" w:fill="auto"/>
          </w:tcPr>
          <w:p w14:paraId="419E961D" w14:textId="77777777" w:rsidR="00A00405" w:rsidRPr="0010725E" w:rsidRDefault="00A00405" w:rsidP="00A00405">
            <w:pPr>
              <w:rPr>
                <w:i/>
                <w:szCs w:val="22"/>
              </w:rPr>
            </w:pPr>
            <w:r w:rsidRPr="0010725E">
              <w:rPr>
                <w:i/>
                <w:szCs w:val="22"/>
              </w:rPr>
              <w:t>Bertholletia excelsa</w:t>
            </w:r>
          </w:p>
        </w:tc>
        <w:tc>
          <w:tcPr>
            <w:tcW w:w="1899" w:type="pct"/>
            <w:shd w:val="clear" w:color="auto" w:fill="auto"/>
          </w:tcPr>
          <w:p w14:paraId="7BF1A415" w14:textId="77777777" w:rsidR="00A00405" w:rsidRPr="0010725E" w:rsidRDefault="00A00405" w:rsidP="00A00405">
            <w:pPr>
              <w:rPr>
                <w:szCs w:val="22"/>
              </w:rPr>
            </w:pPr>
            <w:r w:rsidRPr="0010725E">
              <w:rPr>
                <w:szCs w:val="22"/>
              </w:rPr>
              <w:t>Amazon</w:t>
            </w:r>
          </w:p>
        </w:tc>
      </w:tr>
      <w:tr w:rsidR="00A00405" w:rsidRPr="0010725E" w14:paraId="022068CD" w14:textId="77777777" w:rsidTr="00A00405">
        <w:trPr>
          <w:trHeight w:val="198"/>
          <w:jc w:val="center"/>
        </w:trPr>
        <w:tc>
          <w:tcPr>
            <w:tcW w:w="1417" w:type="pct"/>
            <w:shd w:val="clear" w:color="auto" w:fill="auto"/>
          </w:tcPr>
          <w:p w14:paraId="68531254" w14:textId="77777777" w:rsidR="00A00405" w:rsidRPr="0010725E" w:rsidRDefault="00A00405" w:rsidP="00A00405">
            <w:pPr>
              <w:rPr>
                <w:szCs w:val="22"/>
              </w:rPr>
            </w:pPr>
            <w:r w:rsidRPr="0010725E">
              <w:rPr>
                <w:szCs w:val="22"/>
              </w:rPr>
              <w:t xml:space="preserve">   Blueberry</w:t>
            </w:r>
          </w:p>
        </w:tc>
        <w:tc>
          <w:tcPr>
            <w:tcW w:w="1684" w:type="pct"/>
            <w:shd w:val="clear" w:color="auto" w:fill="auto"/>
          </w:tcPr>
          <w:p w14:paraId="55F30BF7" w14:textId="77777777" w:rsidR="00A00405" w:rsidRPr="0010725E" w:rsidRDefault="00A00405" w:rsidP="00A00405">
            <w:pPr>
              <w:rPr>
                <w:i/>
                <w:szCs w:val="22"/>
              </w:rPr>
            </w:pPr>
            <w:r w:rsidRPr="0010725E">
              <w:rPr>
                <w:i/>
                <w:szCs w:val="22"/>
              </w:rPr>
              <w:t>Vaccinium corymbosum</w:t>
            </w:r>
          </w:p>
        </w:tc>
        <w:tc>
          <w:tcPr>
            <w:tcW w:w="1899" w:type="pct"/>
            <w:shd w:val="clear" w:color="auto" w:fill="auto"/>
          </w:tcPr>
          <w:p w14:paraId="681ED6B9" w14:textId="77777777" w:rsidR="00A00405" w:rsidRPr="0010725E" w:rsidRDefault="00A00405" w:rsidP="00A00405">
            <w:pPr>
              <w:rPr>
                <w:szCs w:val="22"/>
              </w:rPr>
            </w:pPr>
            <w:r w:rsidRPr="0010725E">
              <w:rPr>
                <w:szCs w:val="22"/>
              </w:rPr>
              <w:t>North America</w:t>
            </w:r>
          </w:p>
        </w:tc>
      </w:tr>
      <w:tr w:rsidR="00A00405" w:rsidRPr="0010725E" w14:paraId="5D6F75C3" w14:textId="77777777" w:rsidTr="00A00405">
        <w:trPr>
          <w:trHeight w:val="198"/>
          <w:jc w:val="center"/>
        </w:trPr>
        <w:tc>
          <w:tcPr>
            <w:tcW w:w="1417" w:type="pct"/>
            <w:shd w:val="clear" w:color="auto" w:fill="auto"/>
          </w:tcPr>
          <w:p w14:paraId="30614209" w14:textId="77777777" w:rsidR="00A00405" w:rsidRPr="0010725E" w:rsidRDefault="00A00405" w:rsidP="00A00405">
            <w:pPr>
              <w:rPr>
                <w:szCs w:val="22"/>
              </w:rPr>
            </w:pPr>
            <w:r w:rsidRPr="0010725E">
              <w:rPr>
                <w:szCs w:val="22"/>
              </w:rPr>
              <w:t xml:space="preserve">   Cacao</w:t>
            </w:r>
          </w:p>
        </w:tc>
        <w:tc>
          <w:tcPr>
            <w:tcW w:w="1684" w:type="pct"/>
            <w:shd w:val="clear" w:color="auto" w:fill="auto"/>
          </w:tcPr>
          <w:p w14:paraId="1E2F2AA4" w14:textId="77777777" w:rsidR="00A00405" w:rsidRPr="0010725E" w:rsidRDefault="00A00405" w:rsidP="00A00405">
            <w:pPr>
              <w:rPr>
                <w:i/>
                <w:szCs w:val="22"/>
              </w:rPr>
            </w:pPr>
            <w:r w:rsidRPr="0010725E">
              <w:rPr>
                <w:i/>
                <w:szCs w:val="22"/>
              </w:rPr>
              <w:t>Theobroma cacao</w:t>
            </w:r>
          </w:p>
        </w:tc>
        <w:tc>
          <w:tcPr>
            <w:tcW w:w="1899" w:type="pct"/>
            <w:shd w:val="clear" w:color="auto" w:fill="auto"/>
          </w:tcPr>
          <w:p w14:paraId="1283981E" w14:textId="77777777" w:rsidR="00A00405" w:rsidRPr="0010725E" w:rsidRDefault="00A00405" w:rsidP="00A00405">
            <w:pPr>
              <w:rPr>
                <w:szCs w:val="22"/>
              </w:rPr>
            </w:pPr>
            <w:r w:rsidRPr="0010725E">
              <w:rPr>
                <w:szCs w:val="22"/>
              </w:rPr>
              <w:t>Tropical America</w:t>
            </w:r>
          </w:p>
        </w:tc>
      </w:tr>
      <w:tr w:rsidR="00A00405" w:rsidRPr="0010725E" w14:paraId="2796A729" w14:textId="77777777" w:rsidTr="00A00405">
        <w:trPr>
          <w:trHeight w:val="198"/>
          <w:jc w:val="center"/>
        </w:trPr>
        <w:tc>
          <w:tcPr>
            <w:tcW w:w="1417" w:type="pct"/>
            <w:shd w:val="clear" w:color="auto" w:fill="auto"/>
          </w:tcPr>
          <w:p w14:paraId="1805A2E4" w14:textId="77777777" w:rsidR="00A00405" w:rsidRPr="0010725E" w:rsidRDefault="00A00405" w:rsidP="00A00405">
            <w:pPr>
              <w:rPr>
                <w:szCs w:val="22"/>
              </w:rPr>
            </w:pPr>
            <w:r w:rsidRPr="0010725E">
              <w:rPr>
                <w:szCs w:val="22"/>
              </w:rPr>
              <w:t xml:space="preserve">   Cactus</w:t>
            </w:r>
          </w:p>
        </w:tc>
        <w:tc>
          <w:tcPr>
            <w:tcW w:w="1684" w:type="pct"/>
            <w:shd w:val="clear" w:color="auto" w:fill="auto"/>
          </w:tcPr>
          <w:p w14:paraId="2B46D1A2" w14:textId="77777777" w:rsidR="00A00405" w:rsidRPr="0010725E" w:rsidRDefault="00A00405" w:rsidP="00A00405">
            <w:pPr>
              <w:rPr>
                <w:i/>
                <w:szCs w:val="22"/>
              </w:rPr>
            </w:pPr>
            <w:r w:rsidRPr="0010725E">
              <w:rPr>
                <w:i/>
                <w:szCs w:val="22"/>
              </w:rPr>
              <w:t>Opuntia ficus-indica</w:t>
            </w:r>
          </w:p>
        </w:tc>
        <w:tc>
          <w:tcPr>
            <w:tcW w:w="1899" w:type="pct"/>
            <w:shd w:val="clear" w:color="auto" w:fill="auto"/>
          </w:tcPr>
          <w:p w14:paraId="56E4EE4B" w14:textId="77777777" w:rsidR="00A00405" w:rsidRPr="0010725E" w:rsidRDefault="00A00405" w:rsidP="00A00405">
            <w:pPr>
              <w:rPr>
                <w:szCs w:val="22"/>
              </w:rPr>
            </w:pPr>
            <w:r w:rsidRPr="0010725E">
              <w:rPr>
                <w:szCs w:val="22"/>
              </w:rPr>
              <w:t>Mexico</w:t>
            </w:r>
          </w:p>
        </w:tc>
      </w:tr>
      <w:tr w:rsidR="00A00405" w:rsidRPr="0010725E" w14:paraId="45661C12" w14:textId="77777777" w:rsidTr="00A00405">
        <w:trPr>
          <w:trHeight w:val="198"/>
          <w:jc w:val="center"/>
        </w:trPr>
        <w:tc>
          <w:tcPr>
            <w:tcW w:w="1417" w:type="pct"/>
            <w:shd w:val="clear" w:color="auto" w:fill="auto"/>
          </w:tcPr>
          <w:p w14:paraId="5997A9A8" w14:textId="77777777" w:rsidR="00A00405" w:rsidRPr="0010725E" w:rsidRDefault="00A00405" w:rsidP="00A00405">
            <w:pPr>
              <w:rPr>
                <w:szCs w:val="22"/>
              </w:rPr>
            </w:pPr>
            <w:r w:rsidRPr="0010725E">
              <w:rPr>
                <w:szCs w:val="22"/>
              </w:rPr>
              <w:t xml:space="preserve">   Cashew</w:t>
            </w:r>
          </w:p>
        </w:tc>
        <w:tc>
          <w:tcPr>
            <w:tcW w:w="1684" w:type="pct"/>
            <w:shd w:val="clear" w:color="auto" w:fill="auto"/>
          </w:tcPr>
          <w:p w14:paraId="2A54831A" w14:textId="77777777" w:rsidR="00A00405" w:rsidRPr="0010725E" w:rsidRDefault="00A00405" w:rsidP="00A00405">
            <w:pPr>
              <w:rPr>
                <w:i/>
                <w:szCs w:val="22"/>
              </w:rPr>
            </w:pPr>
            <w:r w:rsidRPr="0010725E">
              <w:rPr>
                <w:i/>
                <w:szCs w:val="22"/>
              </w:rPr>
              <w:t>Anacardium esculenta</w:t>
            </w:r>
          </w:p>
        </w:tc>
        <w:tc>
          <w:tcPr>
            <w:tcW w:w="1899" w:type="pct"/>
            <w:shd w:val="clear" w:color="auto" w:fill="auto"/>
          </w:tcPr>
          <w:p w14:paraId="07363399" w14:textId="77777777" w:rsidR="00A00405" w:rsidRPr="0010725E" w:rsidRDefault="00A00405" w:rsidP="00A00405">
            <w:pPr>
              <w:rPr>
                <w:szCs w:val="22"/>
              </w:rPr>
            </w:pPr>
            <w:r w:rsidRPr="0010725E">
              <w:rPr>
                <w:szCs w:val="22"/>
              </w:rPr>
              <w:t>Brazil</w:t>
            </w:r>
          </w:p>
        </w:tc>
      </w:tr>
      <w:tr w:rsidR="00A00405" w:rsidRPr="0010725E" w14:paraId="2FB550C7" w14:textId="77777777" w:rsidTr="00A00405">
        <w:trPr>
          <w:trHeight w:val="198"/>
          <w:jc w:val="center"/>
        </w:trPr>
        <w:tc>
          <w:tcPr>
            <w:tcW w:w="1417" w:type="pct"/>
            <w:shd w:val="clear" w:color="auto" w:fill="auto"/>
          </w:tcPr>
          <w:p w14:paraId="794FADCF" w14:textId="77777777" w:rsidR="00A00405" w:rsidRPr="0010725E" w:rsidRDefault="00A00405" w:rsidP="00A00405">
            <w:pPr>
              <w:rPr>
                <w:szCs w:val="22"/>
              </w:rPr>
            </w:pPr>
            <w:r w:rsidRPr="0010725E">
              <w:rPr>
                <w:szCs w:val="22"/>
              </w:rPr>
              <w:t xml:space="preserve">   Cranberry</w:t>
            </w:r>
          </w:p>
        </w:tc>
        <w:tc>
          <w:tcPr>
            <w:tcW w:w="1684" w:type="pct"/>
            <w:shd w:val="clear" w:color="auto" w:fill="auto"/>
          </w:tcPr>
          <w:p w14:paraId="00CBE526" w14:textId="77777777" w:rsidR="00A00405" w:rsidRPr="0010725E" w:rsidRDefault="00A00405" w:rsidP="00A00405">
            <w:pPr>
              <w:rPr>
                <w:i/>
                <w:szCs w:val="22"/>
              </w:rPr>
            </w:pPr>
            <w:r w:rsidRPr="0010725E">
              <w:rPr>
                <w:i/>
                <w:szCs w:val="22"/>
              </w:rPr>
              <w:t>Vaccinium macrocarpon</w:t>
            </w:r>
          </w:p>
        </w:tc>
        <w:tc>
          <w:tcPr>
            <w:tcW w:w="1899" w:type="pct"/>
            <w:shd w:val="clear" w:color="auto" w:fill="auto"/>
          </w:tcPr>
          <w:p w14:paraId="29229B87" w14:textId="77777777" w:rsidR="00A00405" w:rsidRPr="0010725E" w:rsidRDefault="00A00405" w:rsidP="00A00405">
            <w:pPr>
              <w:rPr>
                <w:szCs w:val="22"/>
              </w:rPr>
            </w:pPr>
            <w:r w:rsidRPr="0010725E">
              <w:rPr>
                <w:szCs w:val="22"/>
              </w:rPr>
              <w:t>North America</w:t>
            </w:r>
          </w:p>
        </w:tc>
      </w:tr>
      <w:tr w:rsidR="00A00405" w:rsidRPr="0010725E" w14:paraId="4BE4E84D" w14:textId="77777777" w:rsidTr="00A00405">
        <w:trPr>
          <w:trHeight w:val="198"/>
          <w:jc w:val="center"/>
        </w:trPr>
        <w:tc>
          <w:tcPr>
            <w:tcW w:w="1417" w:type="pct"/>
            <w:shd w:val="clear" w:color="auto" w:fill="auto"/>
          </w:tcPr>
          <w:p w14:paraId="59E8B340" w14:textId="77777777" w:rsidR="00A00405" w:rsidRPr="0010725E" w:rsidRDefault="00A00405" w:rsidP="00A00405">
            <w:pPr>
              <w:rPr>
                <w:szCs w:val="22"/>
              </w:rPr>
            </w:pPr>
            <w:r w:rsidRPr="0010725E">
              <w:rPr>
                <w:szCs w:val="22"/>
              </w:rPr>
              <w:t xml:space="preserve">   Guava</w:t>
            </w:r>
          </w:p>
        </w:tc>
        <w:tc>
          <w:tcPr>
            <w:tcW w:w="1684" w:type="pct"/>
            <w:shd w:val="clear" w:color="auto" w:fill="auto"/>
          </w:tcPr>
          <w:p w14:paraId="4F319559" w14:textId="77777777" w:rsidR="00A00405" w:rsidRPr="0010725E" w:rsidRDefault="00A00405" w:rsidP="00A00405">
            <w:pPr>
              <w:rPr>
                <w:i/>
                <w:szCs w:val="22"/>
              </w:rPr>
            </w:pPr>
            <w:r w:rsidRPr="0010725E">
              <w:rPr>
                <w:i/>
                <w:szCs w:val="22"/>
              </w:rPr>
              <w:t>Psidium guajava</w:t>
            </w:r>
          </w:p>
        </w:tc>
        <w:tc>
          <w:tcPr>
            <w:tcW w:w="1899" w:type="pct"/>
            <w:shd w:val="clear" w:color="auto" w:fill="auto"/>
          </w:tcPr>
          <w:p w14:paraId="3C3B597D" w14:textId="77777777" w:rsidR="00A00405" w:rsidRPr="0010725E" w:rsidRDefault="00A00405" w:rsidP="00A00405">
            <w:pPr>
              <w:rPr>
                <w:szCs w:val="22"/>
              </w:rPr>
            </w:pPr>
            <w:r w:rsidRPr="0010725E">
              <w:rPr>
                <w:szCs w:val="22"/>
              </w:rPr>
              <w:t>Tropical America</w:t>
            </w:r>
          </w:p>
        </w:tc>
      </w:tr>
      <w:tr w:rsidR="00A00405" w:rsidRPr="0010725E" w14:paraId="6C216D5A" w14:textId="77777777" w:rsidTr="00A00405">
        <w:trPr>
          <w:trHeight w:val="198"/>
          <w:jc w:val="center"/>
        </w:trPr>
        <w:tc>
          <w:tcPr>
            <w:tcW w:w="1417" w:type="pct"/>
            <w:shd w:val="clear" w:color="auto" w:fill="auto"/>
          </w:tcPr>
          <w:p w14:paraId="27B0AE49" w14:textId="77777777" w:rsidR="00A00405" w:rsidRPr="0010725E" w:rsidRDefault="00A00405" w:rsidP="00A00405">
            <w:pPr>
              <w:rPr>
                <w:szCs w:val="22"/>
              </w:rPr>
            </w:pPr>
            <w:r w:rsidRPr="0010725E">
              <w:rPr>
                <w:szCs w:val="22"/>
              </w:rPr>
              <w:t xml:space="preserve">   Jaboticaba</w:t>
            </w:r>
          </w:p>
        </w:tc>
        <w:tc>
          <w:tcPr>
            <w:tcW w:w="1684" w:type="pct"/>
            <w:shd w:val="clear" w:color="auto" w:fill="auto"/>
          </w:tcPr>
          <w:p w14:paraId="401AF7F8" w14:textId="77777777" w:rsidR="00A00405" w:rsidRPr="0010725E" w:rsidRDefault="00A00405" w:rsidP="00A00405">
            <w:pPr>
              <w:rPr>
                <w:i/>
                <w:szCs w:val="22"/>
              </w:rPr>
            </w:pPr>
            <w:r w:rsidRPr="0010725E">
              <w:rPr>
                <w:i/>
                <w:szCs w:val="22"/>
              </w:rPr>
              <w:t>Myrciaria cauliflora</w:t>
            </w:r>
          </w:p>
        </w:tc>
        <w:tc>
          <w:tcPr>
            <w:tcW w:w="1899" w:type="pct"/>
            <w:shd w:val="clear" w:color="auto" w:fill="auto"/>
          </w:tcPr>
          <w:p w14:paraId="65A7A994" w14:textId="77777777" w:rsidR="00A00405" w:rsidRPr="0010725E" w:rsidRDefault="00A00405" w:rsidP="00A00405">
            <w:pPr>
              <w:rPr>
                <w:szCs w:val="22"/>
              </w:rPr>
            </w:pPr>
            <w:r w:rsidRPr="0010725E">
              <w:rPr>
                <w:szCs w:val="22"/>
              </w:rPr>
              <w:t>South America</w:t>
            </w:r>
          </w:p>
        </w:tc>
      </w:tr>
      <w:tr w:rsidR="00A00405" w:rsidRPr="0010725E" w14:paraId="0578BFEF" w14:textId="77777777" w:rsidTr="00A00405">
        <w:trPr>
          <w:trHeight w:val="198"/>
          <w:jc w:val="center"/>
        </w:trPr>
        <w:tc>
          <w:tcPr>
            <w:tcW w:w="1417" w:type="pct"/>
            <w:shd w:val="clear" w:color="auto" w:fill="auto"/>
          </w:tcPr>
          <w:p w14:paraId="596D06B0" w14:textId="77777777" w:rsidR="00A00405" w:rsidRPr="0010725E" w:rsidRDefault="00A00405" w:rsidP="00A00405">
            <w:pPr>
              <w:rPr>
                <w:szCs w:val="22"/>
              </w:rPr>
            </w:pPr>
            <w:r w:rsidRPr="0010725E">
              <w:rPr>
                <w:szCs w:val="22"/>
              </w:rPr>
              <w:t xml:space="preserve">   Mamey</w:t>
            </w:r>
          </w:p>
        </w:tc>
        <w:tc>
          <w:tcPr>
            <w:tcW w:w="1684" w:type="pct"/>
            <w:shd w:val="clear" w:color="auto" w:fill="auto"/>
          </w:tcPr>
          <w:p w14:paraId="46A6647B" w14:textId="77777777" w:rsidR="00A00405" w:rsidRPr="0010725E" w:rsidRDefault="00A00405" w:rsidP="00A00405">
            <w:pPr>
              <w:rPr>
                <w:i/>
                <w:szCs w:val="22"/>
              </w:rPr>
            </w:pPr>
            <w:r w:rsidRPr="0010725E">
              <w:rPr>
                <w:i/>
                <w:szCs w:val="22"/>
              </w:rPr>
              <w:t>Mammea americana</w:t>
            </w:r>
          </w:p>
        </w:tc>
        <w:tc>
          <w:tcPr>
            <w:tcW w:w="1899" w:type="pct"/>
            <w:shd w:val="clear" w:color="auto" w:fill="auto"/>
          </w:tcPr>
          <w:p w14:paraId="786994A7" w14:textId="77777777" w:rsidR="00A00405" w:rsidRPr="0010725E" w:rsidRDefault="00A00405" w:rsidP="00A00405">
            <w:pPr>
              <w:rPr>
                <w:szCs w:val="22"/>
              </w:rPr>
            </w:pPr>
            <w:r w:rsidRPr="0010725E">
              <w:rPr>
                <w:szCs w:val="22"/>
              </w:rPr>
              <w:t>West Indies, northern South America</w:t>
            </w:r>
          </w:p>
        </w:tc>
      </w:tr>
      <w:tr w:rsidR="00A00405" w:rsidRPr="0010725E" w14:paraId="20832417" w14:textId="77777777" w:rsidTr="00A00405">
        <w:trPr>
          <w:trHeight w:val="198"/>
          <w:jc w:val="center"/>
        </w:trPr>
        <w:tc>
          <w:tcPr>
            <w:tcW w:w="1417" w:type="pct"/>
            <w:shd w:val="clear" w:color="auto" w:fill="auto"/>
          </w:tcPr>
          <w:p w14:paraId="0467F1A5" w14:textId="77777777" w:rsidR="00A00405" w:rsidRPr="0010725E" w:rsidRDefault="00A00405" w:rsidP="00A00405">
            <w:pPr>
              <w:rPr>
                <w:szCs w:val="22"/>
              </w:rPr>
            </w:pPr>
            <w:r w:rsidRPr="0010725E">
              <w:rPr>
                <w:szCs w:val="22"/>
              </w:rPr>
              <w:t xml:space="preserve">   Papaya</w:t>
            </w:r>
          </w:p>
        </w:tc>
        <w:tc>
          <w:tcPr>
            <w:tcW w:w="1684" w:type="pct"/>
            <w:shd w:val="clear" w:color="auto" w:fill="auto"/>
          </w:tcPr>
          <w:p w14:paraId="22ADF4CD" w14:textId="77777777" w:rsidR="00A00405" w:rsidRPr="0010725E" w:rsidRDefault="00A00405" w:rsidP="00A00405">
            <w:pPr>
              <w:rPr>
                <w:i/>
                <w:szCs w:val="22"/>
              </w:rPr>
            </w:pPr>
            <w:r w:rsidRPr="0010725E">
              <w:rPr>
                <w:i/>
                <w:szCs w:val="22"/>
              </w:rPr>
              <w:t>Carica papaya</w:t>
            </w:r>
          </w:p>
        </w:tc>
        <w:tc>
          <w:tcPr>
            <w:tcW w:w="1899" w:type="pct"/>
            <w:shd w:val="clear" w:color="auto" w:fill="auto"/>
          </w:tcPr>
          <w:p w14:paraId="0695163F" w14:textId="77777777" w:rsidR="00A00405" w:rsidRPr="0010725E" w:rsidRDefault="00A00405" w:rsidP="00A00405">
            <w:pPr>
              <w:rPr>
                <w:szCs w:val="22"/>
              </w:rPr>
            </w:pPr>
            <w:r w:rsidRPr="0010725E">
              <w:rPr>
                <w:szCs w:val="22"/>
              </w:rPr>
              <w:t>Tropical America</w:t>
            </w:r>
          </w:p>
        </w:tc>
      </w:tr>
      <w:tr w:rsidR="00A00405" w:rsidRPr="0010725E" w14:paraId="38CA211C" w14:textId="77777777" w:rsidTr="00A00405">
        <w:trPr>
          <w:trHeight w:val="198"/>
          <w:jc w:val="center"/>
        </w:trPr>
        <w:tc>
          <w:tcPr>
            <w:tcW w:w="1417" w:type="pct"/>
            <w:shd w:val="clear" w:color="auto" w:fill="auto"/>
          </w:tcPr>
          <w:p w14:paraId="620C387B" w14:textId="77777777" w:rsidR="00A00405" w:rsidRPr="0010725E" w:rsidRDefault="00A00405" w:rsidP="00A00405">
            <w:pPr>
              <w:rPr>
                <w:szCs w:val="22"/>
              </w:rPr>
            </w:pPr>
            <w:r w:rsidRPr="0010725E">
              <w:rPr>
                <w:szCs w:val="22"/>
              </w:rPr>
              <w:t xml:space="preserve">   Pejibaye palm</w:t>
            </w:r>
          </w:p>
        </w:tc>
        <w:tc>
          <w:tcPr>
            <w:tcW w:w="1684" w:type="pct"/>
            <w:shd w:val="clear" w:color="auto" w:fill="auto"/>
          </w:tcPr>
          <w:p w14:paraId="09DFB462" w14:textId="77777777" w:rsidR="00A00405" w:rsidRPr="0010725E" w:rsidRDefault="00A00405" w:rsidP="00A00405">
            <w:pPr>
              <w:rPr>
                <w:i/>
                <w:szCs w:val="22"/>
              </w:rPr>
            </w:pPr>
            <w:r w:rsidRPr="0010725E">
              <w:rPr>
                <w:i/>
                <w:szCs w:val="22"/>
              </w:rPr>
              <w:t>Bactris gasipaes</w:t>
            </w:r>
          </w:p>
        </w:tc>
        <w:tc>
          <w:tcPr>
            <w:tcW w:w="1899" w:type="pct"/>
            <w:shd w:val="clear" w:color="auto" w:fill="auto"/>
          </w:tcPr>
          <w:p w14:paraId="6617C414" w14:textId="77777777" w:rsidR="00A00405" w:rsidRPr="0010725E" w:rsidRDefault="00A00405" w:rsidP="00A00405">
            <w:pPr>
              <w:rPr>
                <w:szCs w:val="22"/>
              </w:rPr>
            </w:pPr>
            <w:r w:rsidRPr="0010725E">
              <w:rPr>
                <w:szCs w:val="22"/>
              </w:rPr>
              <w:t>Southwestern Amazon</w:t>
            </w:r>
          </w:p>
        </w:tc>
      </w:tr>
      <w:tr w:rsidR="00A00405" w:rsidRPr="0010725E" w14:paraId="6B2F7E43" w14:textId="77777777" w:rsidTr="00A00405">
        <w:trPr>
          <w:trHeight w:val="198"/>
          <w:jc w:val="center"/>
        </w:trPr>
        <w:tc>
          <w:tcPr>
            <w:tcW w:w="1417" w:type="pct"/>
            <w:shd w:val="clear" w:color="auto" w:fill="auto"/>
          </w:tcPr>
          <w:p w14:paraId="3D6513F3" w14:textId="77777777" w:rsidR="00A00405" w:rsidRPr="0010725E" w:rsidRDefault="00A00405" w:rsidP="00A00405">
            <w:pPr>
              <w:rPr>
                <w:szCs w:val="22"/>
              </w:rPr>
            </w:pPr>
            <w:r w:rsidRPr="0010725E">
              <w:rPr>
                <w:szCs w:val="22"/>
              </w:rPr>
              <w:t xml:space="preserve">   Pineapple</w:t>
            </w:r>
          </w:p>
        </w:tc>
        <w:tc>
          <w:tcPr>
            <w:tcW w:w="1684" w:type="pct"/>
            <w:shd w:val="clear" w:color="auto" w:fill="auto"/>
          </w:tcPr>
          <w:p w14:paraId="69BB36E1" w14:textId="77777777" w:rsidR="00A00405" w:rsidRPr="0010725E" w:rsidRDefault="00A00405" w:rsidP="00A00405">
            <w:pPr>
              <w:rPr>
                <w:i/>
                <w:szCs w:val="22"/>
              </w:rPr>
            </w:pPr>
            <w:r w:rsidRPr="0010725E">
              <w:rPr>
                <w:i/>
                <w:szCs w:val="22"/>
              </w:rPr>
              <w:t>Ananas comosus</w:t>
            </w:r>
          </w:p>
        </w:tc>
        <w:tc>
          <w:tcPr>
            <w:tcW w:w="1899" w:type="pct"/>
            <w:shd w:val="clear" w:color="auto" w:fill="auto"/>
          </w:tcPr>
          <w:p w14:paraId="4E353B44" w14:textId="77777777" w:rsidR="00A00405" w:rsidRPr="0010725E" w:rsidRDefault="00A00405" w:rsidP="00A00405">
            <w:pPr>
              <w:rPr>
                <w:szCs w:val="22"/>
              </w:rPr>
            </w:pPr>
            <w:r w:rsidRPr="0010725E">
              <w:rPr>
                <w:szCs w:val="22"/>
              </w:rPr>
              <w:t>Tropical South America</w:t>
            </w:r>
          </w:p>
        </w:tc>
      </w:tr>
      <w:tr w:rsidR="00A00405" w:rsidRPr="0010725E" w14:paraId="4AB8E051" w14:textId="77777777" w:rsidTr="00A00405">
        <w:trPr>
          <w:trHeight w:val="198"/>
          <w:jc w:val="center"/>
        </w:trPr>
        <w:tc>
          <w:tcPr>
            <w:tcW w:w="1417" w:type="pct"/>
            <w:shd w:val="clear" w:color="auto" w:fill="auto"/>
          </w:tcPr>
          <w:p w14:paraId="180BB306" w14:textId="77777777" w:rsidR="00A00405" w:rsidRPr="0010725E" w:rsidRDefault="00A00405" w:rsidP="00A00405">
            <w:pPr>
              <w:rPr>
                <w:szCs w:val="22"/>
              </w:rPr>
            </w:pPr>
            <w:r w:rsidRPr="0010725E">
              <w:rPr>
                <w:szCs w:val="22"/>
              </w:rPr>
              <w:t xml:space="preserve">   Pitaya</w:t>
            </w:r>
          </w:p>
        </w:tc>
        <w:tc>
          <w:tcPr>
            <w:tcW w:w="1684" w:type="pct"/>
            <w:shd w:val="clear" w:color="auto" w:fill="auto"/>
          </w:tcPr>
          <w:p w14:paraId="13DFA933" w14:textId="77777777" w:rsidR="00A00405" w:rsidRPr="0010725E" w:rsidRDefault="00A00405" w:rsidP="00A00405">
            <w:pPr>
              <w:rPr>
                <w:i/>
                <w:szCs w:val="22"/>
              </w:rPr>
            </w:pPr>
            <w:r w:rsidRPr="0010725E">
              <w:rPr>
                <w:i/>
                <w:szCs w:val="22"/>
              </w:rPr>
              <w:t xml:space="preserve">Stenocereus </w:t>
            </w:r>
            <w:r w:rsidRPr="0010725E">
              <w:rPr>
                <w:szCs w:val="22"/>
              </w:rPr>
              <w:t>spp.</w:t>
            </w:r>
          </w:p>
        </w:tc>
        <w:tc>
          <w:tcPr>
            <w:tcW w:w="1899" w:type="pct"/>
            <w:shd w:val="clear" w:color="auto" w:fill="auto"/>
          </w:tcPr>
          <w:p w14:paraId="066ACFF7" w14:textId="77777777" w:rsidR="00A00405" w:rsidRPr="0010725E" w:rsidRDefault="00A00405" w:rsidP="00A00405">
            <w:pPr>
              <w:rPr>
                <w:szCs w:val="22"/>
              </w:rPr>
            </w:pPr>
            <w:r w:rsidRPr="0010725E">
              <w:rPr>
                <w:szCs w:val="22"/>
              </w:rPr>
              <w:t>Mexico</w:t>
            </w:r>
          </w:p>
        </w:tc>
      </w:tr>
      <w:tr w:rsidR="00A00405" w:rsidRPr="0010725E" w14:paraId="75B7CA42" w14:textId="77777777" w:rsidTr="00A00405">
        <w:trPr>
          <w:trHeight w:val="198"/>
          <w:jc w:val="center"/>
        </w:trPr>
        <w:tc>
          <w:tcPr>
            <w:tcW w:w="1417" w:type="pct"/>
            <w:shd w:val="clear" w:color="auto" w:fill="auto"/>
          </w:tcPr>
          <w:p w14:paraId="318255FF" w14:textId="77777777" w:rsidR="00A00405" w:rsidRPr="0010725E" w:rsidRDefault="00A00405" w:rsidP="00A00405">
            <w:pPr>
              <w:rPr>
                <w:szCs w:val="22"/>
              </w:rPr>
            </w:pPr>
            <w:r w:rsidRPr="0010725E">
              <w:rPr>
                <w:szCs w:val="22"/>
              </w:rPr>
              <w:t xml:space="preserve">   Strawberry</w:t>
            </w:r>
          </w:p>
        </w:tc>
        <w:tc>
          <w:tcPr>
            <w:tcW w:w="1684" w:type="pct"/>
            <w:shd w:val="clear" w:color="auto" w:fill="auto"/>
          </w:tcPr>
          <w:p w14:paraId="7029F7EB" w14:textId="77777777" w:rsidR="00A00405" w:rsidRPr="0010725E" w:rsidRDefault="00A00405" w:rsidP="00A00405">
            <w:pPr>
              <w:rPr>
                <w:i/>
                <w:szCs w:val="22"/>
              </w:rPr>
            </w:pPr>
            <w:r w:rsidRPr="0010725E">
              <w:rPr>
                <w:i/>
                <w:szCs w:val="22"/>
              </w:rPr>
              <w:t>Fragaria chiloensis</w:t>
            </w:r>
          </w:p>
        </w:tc>
        <w:tc>
          <w:tcPr>
            <w:tcW w:w="1899" w:type="pct"/>
            <w:shd w:val="clear" w:color="auto" w:fill="auto"/>
          </w:tcPr>
          <w:p w14:paraId="1518DBE0" w14:textId="378CF038" w:rsidR="00A00405" w:rsidRPr="0010725E" w:rsidRDefault="00A00405" w:rsidP="00A00405">
            <w:pPr>
              <w:rPr>
                <w:szCs w:val="22"/>
              </w:rPr>
            </w:pPr>
            <w:r w:rsidRPr="0010725E">
              <w:rPr>
                <w:szCs w:val="22"/>
              </w:rPr>
              <w:t>Pacific coast: N</w:t>
            </w:r>
            <w:r w:rsidR="00C166FF" w:rsidRPr="0010725E">
              <w:rPr>
                <w:szCs w:val="22"/>
              </w:rPr>
              <w:t>orth</w:t>
            </w:r>
            <w:r w:rsidRPr="0010725E">
              <w:rPr>
                <w:szCs w:val="22"/>
              </w:rPr>
              <w:t xml:space="preserve"> and S</w:t>
            </w:r>
            <w:r w:rsidR="00C166FF" w:rsidRPr="0010725E">
              <w:rPr>
                <w:szCs w:val="22"/>
              </w:rPr>
              <w:t>outh</w:t>
            </w:r>
            <w:r w:rsidRPr="0010725E">
              <w:rPr>
                <w:szCs w:val="22"/>
              </w:rPr>
              <w:t xml:space="preserve"> America</w:t>
            </w:r>
          </w:p>
        </w:tc>
      </w:tr>
      <w:tr w:rsidR="00A00405" w:rsidRPr="0010725E" w14:paraId="16061E3A" w14:textId="77777777" w:rsidTr="00A00405">
        <w:trPr>
          <w:trHeight w:val="198"/>
          <w:jc w:val="center"/>
        </w:trPr>
        <w:tc>
          <w:tcPr>
            <w:tcW w:w="1417" w:type="pct"/>
            <w:shd w:val="clear" w:color="auto" w:fill="auto"/>
          </w:tcPr>
          <w:p w14:paraId="26D7346C" w14:textId="77777777" w:rsidR="00A00405" w:rsidRPr="0010725E" w:rsidRDefault="00A00405" w:rsidP="00A00405">
            <w:pPr>
              <w:rPr>
                <w:szCs w:val="22"/>
              </w:rPr>
            </w:pPr>
            <w:r w:rsidRPr="0010725E">
              <w:rPr>
                <w:szCs w:val="22"/>
              </w:rPr>
              <w:t xml:space="preserve">   Soursop</w:t>
            </w:r>
          </w:p>
        </w:tc>
        <w:tc>
          <w:tcPr>
            <w:tcW w:w="1684" w:type="pct"/>
            <w:shd w:val="clear" w:color="auto" w:fill="auto"/>
          </w:tcPr>
          <w:p w14:paraId="2902E32F" w14:textId="77777777" w:rsidR="00A00405" w:rsidRPr="0010725E" w:rsidRDefault="00A00405" w:rsidP="00A00405">
            <w:pPr>
              <w:rPr>
                <w:i/>
                <w:szCs w:val="22"/>
              </w:rPr>
            </w:pPr>
            <w:r w:rsidRPr="0010725E">
              <w:rPr>
                <w:i/>
                <w:szCs w:val="22"/>
              </w:rPr>
              <w:t>Annona muricata</w:t>
            </w:r>
          </w:p>
        </w:tc>
        <w:tc>
          <w:tcPr>
            <w:tcW w:w="1899" w:type="pct"/>
            <w:shd w:val="clear" w:color="auto" w:fill="auto"/>
          </w:tcPr>
          <w:p w14:paraId="6ED254A5" w14:textId="77777777" w:rsidR="00A00405" w:rsidRPr="0010725E" w:rsidRDefault="00A00405" w:rsidP="00A00405">
            <w:pPr>
              <w:rPr>
                <w:szCs w:val="22"/>
              </w:rPr>
            </w:pPr>
            <w:r w:rsidRPr="0010725E">
              <w:rPr>
                <w:szCs w:val="22"/>
              </w:rPr>
              <w:t>Peru-Ecuador</w:t>
            </w:r>
          </w:p>
        </w:tc>
      </w:tr>
      <w:tr w:rsidR="00A00405" w:rsidRPr="0010725E" w14:paraId="6933DAEA" w14:textId="77777777" w:rsidTr="00A00405">
        <w:trPr>
          <w:trHeight w:val="198"/>
          <w:jc w:val="center"/>
        </w:trPr>
        <w:tc>
          <w:tcPr>
            <w:tcW w:w="1417" w:type="pct"/>
            <w:shd w:val="clear" w:color="auto" w:fill="auto"/>
          </w:tcPr>
          <w:p w14:paraId="03C25A49" w14:textId="77777777" w:rsidR="00A00405" w:rsidRPr="0010725E" w:rsidRDefault="00A00405" w:rsidP="00A00405">
            <w:pPr>
              <w:rPr>
                <w:b/>
                <w:szCs w:val="22"/>
              </w:rPr>
            </w:pPr>
            <w:r w:rsidRPr="0010725E">
              <w:rPr>
                <w:b/>
                <w:szCs w:val="22"/>
              </w:rPr>
              <w:t>Industrials</w:t>
            </w:r>
          </w:p>
        </w:tc>
        <w:tc>
          <w:tcPr>
            <w:tcW w:w="1684" w:type="pct"/>
            <w:shd w:val="clear" w:color="auto" w:fill="auto"/>
          </w:tcPr>
          <w:p w14:paraId="520E535F" w14:textId="77777777" w:rsidR="00A00405" w:rsidRPr="0010725E" w:rsidRDefault="00A00405" w:rsidP="00A00405">
            <w:pPr>
              <w:rPr>
                <w:b/>
                <w:szCs w:val="22"/>
              </w:rPr>
            </w:pPr>
          </w:p>
        </w:tc>
        <w:tc>
          <w:tcPr>
            <w:tcW w:w="1899" w:type="pct"/>
            <w:shd w:val="clear" w:color="auto" w:fill="auto"/>
          </w:tcPr>
          <w:p w14:paraId="0AA14DD7" w14:textId="77777777" w:rsidR="00A00405" w:rsidRPr="0010725E" w:rsidRDefault="00A00405" w:rsidP="00A00405">
            <w:pPr>
              <w:rPr>
                <w:b/>
                <w:szCs w:val="22"/>
              </w:rPr>
            </w:pPr>
          </w:p>
        </w:tc>
      </w:tr>
      <w:tr w:rsidR="00A00405" w:rsidRPr="0010725E" w14:paraId="62BD58BD" w14:textId="77777777" w:rsidTr="00A00405">
        <w:trPr>
          <w:trHeight w:val="198"/>
          <w:jc w:val="center"/>
        </w:trPr>
        <w:tc>
          <w:tcPr>
            <w:tcW w:w="1417" w:type="pct"/>
            <w:shd w:val="clear" w:color="auto" w:fill="auto"/>
          </w:tcPr>
          <w:p w14:paraId="05622A7D" w14:textId="77777777" w:rsidR="00A00405" w:rsidRPr="0010725E" w:rsidRDefault="00A00405" w:rsidP="00A00405">
            <w:pPr>
              <w:rPr>
                <w:szCs w:val="22"/>
              </w:rPr>
            </w:pPr>
            <w:r w:rsidRPr="0010725E">
              <w:rPr>
                <w:szCs w:val="22"/>
              </w:rPr>
              <w:t xml:space="preserve">   Asai palm</w:t>
            </w:r>
          </w:p>
        </w:tc>
        <w:tc>
          <w:tcPr>
            <w:tcW w:w="1684" w:type="pct"/>
            <w:shd w:val="clear" w:color="auto" w:fill="auto"/>
          </w:tcPr>
          <w:p w14:paraId="2204AAF8" w14:textId="77777777" w:rsidR="00A00405" w:rsidRPr="0010725E" w:rsidRDefault="00A00405" w:rsidP="00A00405">
            <w:pPr>
              <w:rPr>
                <w:i/>
                <w:szCs w:val="22"/>
              </w:rPr>
            </w:pPr>
            <w:r w:rsidRPr="0010725E">
              <w:rPr>
                <w:i/>
                <w:szCs w:val="22"/>
              </w:rPr>
              <w:t>Euterpe oleracea, E. precatoria</w:t>
            </w:r>
          </w:p>
        </w:tc>
        <w:tc>
          <w:tcPr>
            <w:tcW w:w="1899" w:type="pct"/>
            <w:shd w:val="clear" w:color="auto" w:fill="auto"/>
          </w:tcPr>
          <w:p w14:paraId="281FB05B" w14:textId="77777777" w:rsidR="00A00405" w:rsidRPr="0010725E" w:rsidRDefault="00A00405" w:rsidP="00A00405">
            <w:pPr>
              <w:rPr>
                <w:szCs w:val="22"/>
              </w:rPr>
            </w:pPr>
            <w:r w:rsidRPr="0010725E">
              <w:rPr>
                <w:szCs w:val="22"/>
              </w:rPr>
              <w:t>Amazon</w:t>
            </w:r>
          </w:p>
        </w:tc>
      </w:tr>
      <w:tr w:rsidR="00A00405" w:rsidRPr="0010725E" w14:paraId="1C887237" w14:textId="77777777" w:rsidTr="00A00405">
        <w:trPr>
          <w:trHeight w:val="198"/>
          <w:jc w:val="center"/>
        </w:trPr>
        <w:tc>
          <w:tcPr>
            <w:tcW w:w="1417" w:type="pct"/>
            <w:shd w:val="clear" w:color="auto" w:fill="auto"/>
          </w:tcPr>
          <w:p w14:paraId="15024805" w14:textId="77777777" w:rsidR="00A00405" w:rsidRPr="0010725E" w:rsidRDefault="00A00405" w:rsidP="00A00405">
            <w:pPr>
              <w:rPr>
                <w:szCs w:val="22"/>
              </w:rPr>
            </w:pPr>
            <w:r w:rsidRPr="0010725E">
              <w:rPr>
                <w:szCs w:val="22"/>
              </w:rPr>
              <w:t xml:space="preserve">   Cotton</w:t>
            </w:r>
          </w:p>
        </w:tc>
        <w:tc>
          <w:tcPr>
            <w:tcW w:w="1684" w:type="pct"/>
            <w:shd w:val="clear" w:color="auto" w:fill="auto"/>
          </w:tcPr>
          <w:p w14:paraId="139196E0" w14:textId="77777777" w:rsidR="00A00405" w:rsidRPr="0010725E" w:rsidRDefault="00A00405" w:rsidP="00A00405">
            <w:pPr>
              <w:rPr>
                <w:i/>
                <w:szCs w:val="22"/>
              </w:rPr>
            </w:pPr>
            <w:r w:rsidRPr="0010725E">
              <w:rPr>
                <w:i/>
                <w:szCs w:val="22"/>
              </w:rPr>
              <w:t>Gossypium hirsutum, G. barbadense</w:t>
            </w:r>
          </w:p>
        </w:tc>
        <w:tc>
          <w:tcPr>
            <w:tcW w:w="1899" w:type="pct"/>
            <w:shd w:val="clear" w:color="auto" w:fill="auto"/>
          </w:tcPr>
          <w:p w14:paraId="5355C58C" w14:textId="77777777" w:rsidR="00A00405" w:rsidRPr="0010725E" w:rsidRDefault="00A00405" w:rsidP="00A00405">
            <w:pPr>
              <w:rPr>
                <w:szCs w:val="22"/>
              </w:rPr>
            </w:pPr>
            <w:r w:rsidRPr="0010725E">
              <w:rPr>
                <w:szCs w:val="22"/>
              </w:rPr>
              <w:t>Central America, Brazil</w:t>
            </w:r>
          </w:p>
        </w:tc>
      </w:tr>
      <w:tr w:rsidR="00A00405" w:rsidRPr="0010725E" w14:paraId="7766D974" w14:textId="77777777" w:rsidTr="00A00405">
        <w:trPr>
          <w:trHeight w:val="198"/>
          <w:jc w:val="center"/>
        </w:trPr>
        <w:tc>
          <w:tcPr>
            <w:tcW w:w="1417" w:type="pct"/>
            <w:shd w:val="clear" w:color="auto" w:fill="auto"/>
          </w:tcPr>
          <w:p w14:paraId="3992601A" w14:textId="77777777" w:rsidR="00A00405" w:rsidRPr="0010725E" w:rsidRDefault="00A00405" w:rsidP="00A00405">
            <w:pPr>
              <w:rPr>
                <w:szCs w:val="22"/>
              </w:rPr>
            </w:pPr>
            <w:r w:rsidRPr="0010725E">
              <w:rPr>
                <w:szCs w:val="22"/>
              </w:rPr>
              <w:t xml:space="preserve">   Quinine</w:t>
            </w:r>
          </w:p>
        </w:tc>
        <w:tc>
          <w:tcPr>
            <w:tcW w:w="1684" w:type="pct"/>
            <w:shd w:val="clear" w:color="auto" w:fill="auto"/>
          </w:tcPr>
          <w:p w14:paraId="3F7DA128" w14:textId="77777777" w:rsidR="00A00405" w:rsidRPr="0010725E" w:rsidRDefault="00A00405" w:rsidP="00A00405">
            <w:pPr>
              <w:rPr>
                <w:i/>
                <w:szCs w:val="22"/>
              </w:rPr>
            </w:pPr>
            <w:r w:rsidRPr="0010725E">
              <w:rPr>
                <w:i/>
                <w:szCs w:val="22"/>
              </w:rPr>
              <w:t>Cinchona calisaya</w:t>
            </w:r>
          </w:p>
        </w:tc>
        <w:tc>
          <w:tcPr>
            <w:tcW w:w="1899" w:type="pct"/>
            <w:shd w:val="clear" w:color="auto" w:fill="auto"/>
          </w:tcPr>
          <w:p w14:paraId="519C61F5" w14:textId="77777777" w:rsidR="00A00405" w:rsidRPr="0010725E" w:rsidRDefault="00A00405" w:rsidP="00A00405">
            <w:pPr>
              <w:rPr>
                <w:szCs w:val="22"/>
              </w:rPr>
            </w:pPr>
            <w:r w:rsidRPr="0010725E">
              <w:rPr>
                <w:szCs w:val="22"/>
              </w:rPr>
              <w:t>Peru-Bolivia</w:t>
            </w:r>
          </w:p>
        </w:tc>
      </w:tr>
      <w:tr w:rsidR="00A00405" w:rsidRPr="0010725E" w14:paraId="50BD1420" w14:textId="77777777" w:rsidTr="00A00405">
        <w:trPr>
          <w:trHeight w:val="198"/>
          <w:jc w:val="center"/>
        </w:trPr>
        <w:tc>
          <w:tcPr>
            <w:tcW w:w="1417" w:type="pct"/>
            <w:shd w:val="clear" w:color="auto" w:fill="auto"/>
          </w:tcPr>
          <w:p w14:paraId="3FB13518" w14:textId="77777777" w:rsidR="00A00405" w:rsidRPr="0010725E" w:rsidRDefault="00A00405" w:rsidP="00A00405">
            <w:pPr>
              <w:rPr>
                <w:szCs w:val="22"/>
              </w:rPr>
            </w:pPr>
            <w:r w:rsidRPr="0010725E">
              <w:rPr>
                <w:szCs w:val="22"/>
              </w:rPr>
              <w:t xml:space="preserve">   Rubber</w:t>
            </w:r>
          </w:p>
        </w:tc>
        <w:tc>
          <w:tcPr>
            <w:tcW w:w="1684" w:type="pct"/>
            <w:shd w:val="clear" w:color="auto" w:fill="auto"/>
          </w:tcPr>
          <w:p w14:paraId="0C4EC099" w14:textId="77777777" w:rsidR="00A00405" w:rsidRPr="0010725E" w:rsidRDefault="00A00405" w:rsidP="00A00405">
            <w:pPr>
              <w:rPr>
                <w:i/>
                <w:szCs w:val="22"/>
              </w:rPr>
            </w:pPr>
            <w:r w:rsidRPr="0010725E">
              <w:rPr>
                <w:i/>
                <w:szCs w:val="22"/>
              </w:rPr>
              <w:t>Hevea brasiliensis</w:t>
            </w:r>
          </w:p>
        </w:tc>
        <w:tc>
          <w:tcPr>
            <w:tcW w:w="1899" w:type="pct"/>
            <w:shd w:val="clear" w:color="auto" w:fill="auto"/>
          </w:tcPr>
          <w:p w14:paraId="443F701E" w14:textId="77777777" w:rsidR="00A00405" w:rsidRPr="0010725E" w:rsidRDefault="00A00405" w:rsidP="00A00405">
            <w:pPr>
              <w:rPr>
                <w:szCs w:val="22"/>
              </w:rPr>
            </w:pPr>
            <w:r w:rsidRPr="0010725E">
              <w:rPr>
                <w:szCs w:val="22"/>
              </w:rPr>
              <w:t>Amazon</w:t>
            </w:r>
          </w:p>
        </w:tc>
      </w:tr>
      <w:tr w:rsidR="00A00405" w:rsidRPr="0010725E" w14:paraId="36CC67A0" w14:textId="77777777" w:rsidTr="00A00405">
        <w:trPr>
          <w:trHeight w:val="198"/>
          <w:jc w:val="center"/>
        </w:trPr>
        <w:tc>
          <w:tcPr>
            <w:tcW w:w="1417" w:type="pct"/>
            <w:shd w:val="clear" w:color="auto" w:fill="auto"/>
          </w:tcPr>
          <w:p w14:paraId="00B9F8AE" w14:textId="77777777" w:rsidR="00A00405" w:rsidRPr="0010725E" w:rsidRDefault="00A00405" w:rsidP="00A00405">
            <w:pPr>
              <w:rPr>
                <w:szCs w:val="22"/>
              </w:rPr>
            </w:pPr>
            <w:r w:rsidRPr="0010725E">
              <w:rPr>
                <w:szCs w:val="22"/>
              </w:rPr>
              <w:t xml:space="preserve">   Tobacco</w:t>
            </w:r>
          </w:p>
        </w:tc>
        <w:tc>
          <w:tcPr>
            <w:tcW w:w="1684" w:type="pct"/>
            <w:shd w:val="clear" w:color="auto" w:fill="auto"/>
          </w:tcPr>
          <w:p w14:paraId="7985D1A5" w14:textId="77777777" w:rsidR="00A00405" w:rsidRPr="0010725E" w:rsidRDefault="00A00405" w:rsidP="00A00405">
            <w:pPr>
              <w:rPr>
                <w:i/>
                <w:szCs w:val="22"/>
              </w:rPr>
            </w:pPr>
            <w:r w:rsidRPr="0010725E">
              <w:rPr>
                <w:i/>
                <w:szCs w:val="22"/>
              </w:rPr>
              <w:t>Nicotiana rustica, N. tabacum</w:t>
            </w:r>
          </w:p>
        </w:tc>
        <w:tc>
          <w:tcPr>
            <w:tcW w:w="1899" w:type="pct"/>
            <w:shd w:val="clear" w:color="auto" w:fill="auto"/>
          </w:tcPr>
          <w:p w14:paraId="1DC8AE1E" w14:textId="77777777" w:rsidR="00A00405" w:rsidRPr="0010725E" w:rsidRDefault="00A00405" w:rsidP="00A00405">
            <w:pPr>
              <w:rPr>
                <w:szCs w:val="22"/>
              </w:rPr>
            </w:pPr>
            <w:r w:rsidRPr="0010725E">
              <w:rPr>
                <w:szCs w:val="22"/>
              </w:rPr>
              <w:t>Mexico, Central America</w:t>
            </w:r>
          </w:p>
        </w:tc>
      </w:tr>
      <w:tr w:rsidR="00A00405" w:rsidRPr="0010725E" w14:paraId="14EBBB63" w14:textId="77777777" w:rsidTr="00A00405">
        <w:trPr>
          <w:trHeight w:val="198"/>
          <w:jc w:val="center"/>
        </w:trPr>
        <w:tc>
          <w:tcPr>
            <w:tcW w:w="1417" w:type="pct"/>
            <w:shd w:val="clear" w:color="auto" w:fill="auto"/>
          </w:tcPr>
          <w:p w14:paraId="5AB03DD7" w14:textId="77777777" w:rsidR="00A00405" w:rsidRPr="0010725E" w:rsidRDefault="00A00405" w:rsidP="00A00405">
            <w:pPr>
              <w:rPr>
                <w:b/>
                <w:szCs w:val="22"/>
              </w:rPr>
            </w:pPr>
            <w:r w:rsidRPr="0010725E">
              <w:rPr>
                <w:b/>
                <w:szCs w:val="22"/>
              </w:rPr>
              <w:t>Ornamentals</w:t>
            </w:r>
          </w:p>
        </w:tc>
        <w:tc>
          <w:tcPr>
            <w:tcW w:w="1684" w:type="pct"/>
            <w:shd w:val="clear" w:color="auto" w:fill="auto"/>
          </w:tcPr>
          <w:p w14:paraId="36413D58" w14:textId="77777777" w:rsidR="00A00405" w:rsidRPr="0010725E" w:rsidRDefault="00A00405" w:rsidP="00A00405">
            <w:pPr>
              <w:rPr>
                <w:b/>
                <w:szCs w:val="22"/>
              </w:rPr>
            </w:pPr>
          </w:p>
        </w:tc>
        <w:tc>
          <w:tcPr>
            <w:tcW w:w="1899" w:type="pct"/>
            <w:shd w:val="clear" w:color="auto" w:fill="auto"/>
          </w:tcPr>
          <w:p w14:paraId="7FDB2372" w14:textId="77777777" w:rsidR="00A00405" w:rsidRPr="0010725E" w:rsidRDefault="00A00405" w:rsidP="00A00405">
            <w:pPr>
              <w:rPr>
                <w:b/>
                <w:szCs w:val="22"/>
              </w:rPr>
            </w:pPr>
          </w:p>
        </w:tc>
      </w:tr>
      <w:tr w:rsidR="00A00405" w:rsidRPr="0010725E" w14:paraId="55B4BF06" w14:textId="77777777" w:rsidTr="00A00405">
        <w:trPr>
          <w:trHeight w:val="198"/>
          <w:jc w:val="center"/>
        </w:trPr>
        <w:tc>
          <w:tcPr>
            <w:tcW w:w="1417" w:type="pct"/>
            <w:shd w:val="clear" w:color="auto" w:fill="auto"/>
          </w:tcPr>
          <w:p w14:paraId="328078E4" w14:textId="77777777" w:rsidR="00A00405" w:rsidRPr="0010725E" w:rsidRDefault="00A00405" w:rsidP="00A00405">
            <w:pPr>
              <w:rPr>
                <w:szCs w:val="22"/>
              </w:rPr>
            </w:pPr>
            <w:r w:rsidRPr="0010725E">
              <w:rPr>
                <w:szCs w:val="22"/>
              </w:rPr>
              <w:t xml:space="preserve">   Dahlia</w:t>
            </w:r>
          </w:p>
        </w:tc>
        <w:tc>
          <w:tcPr>
            <w:tcW w:w="1684" w:type="pct"/>
            <w:shd w:val="clear" w:color="auto" w:fill="auto"/>
          </w:tcPr>
          <w:p w14:paraId="05AA97F3" w14:textId="77777777" w:rsidR="00A00405" w:rsidRPr="0010725E" w:rsidRDefault="00A00405" w:rsidP="00A00405">
            <w:pPr>
              <w:rPr>
                <w:i/>
                <w:szCs w:val="22"/>
              </w:rPr>
            </w:pPr>
            <w:r w:rsidRPr="0010725E">
              <w:rPr>
                <w:i/>
                <w:szCs w:val="22"/>
              </w:rPr>
              <w:t xml:space="preserve">Dahlia </w:t>
            </w:r>
            <w:r w:rsidRPr="0010725E">
              <w:rPr>
                <w:szCs w:val="22"/>
              </w:rPr>
              <w:t>spp.</w:t>
            </w:r>
          </w:p>
        </w:tc>
        <w:tc>
          <w:tcPr>
            <w:tcW w:w="1899" w:type="pct"/>
            <w:shd w:val="clear" w:color="auto" w:fill="auto"/>
          </w:tcPr>
          <w:p w14:paraId="7C9405F0" w14:textId="77777777" w:rsidR="00A00405" w:rsidRPr="0010725E" w:rsidRDefault="00A00405" w:rsidP="00A00405">
            <w:pPr>
              <w:rPr>
                <w:szCs w:val="22"/>
              </w:rPr>
            </w:pPr>
            <w:r w:rsidRPr="0010725E">
              <w:rPr>
                <w:szCs w:val="22"/>
              </w:rPr>
              <w:t>Mesoamerica</w:t>
            </w:r>
          </w:p>
        </w:tc>
      </w:tr>
      <w:tr w:rsidR="00A00405" w:rsidRPr="0010725E" w14:paraId="3E1B9B9F" w14:textId="77777777" w:rsidTr="00A00405">
        <w:trPr>
          <w:trHeight w:val="198"/>
          <w:jc w:val="center"/>
        </w:trPr>
        <w:tc>
          <w:tcPr>
            <w:tcW w:w="1417" w:type="pct"/>
            <w:shd w:val="clear" w:color="auto" w:fill="auto"/>
          </w:tcPr>
          <w:p w14:paraId="12112652" w14:textId="77777777" w:rsidR="00A00405" w:rsidRPr="0010725E" w:rsidRDefault="00A00405" w:rsidP="00A00405">
            <w:pPr>
              <w:rPr>
                <w:szCs w:val="22"/>
              </w:rPr>
            </w:pPr>
            <w:r w:rsidRPr="0010725E">
              <w:rPr>
                <w:szCs w:val="22"/>
              </w:rPr>
              <w:t xml:space="preserve">   Fuchsia</w:t>
            </w:r>
          </w:p>
        </w:tc>
        <w:tc>
          <w:tcPr>
            <w:tcW w:w="1684" w:type="pct"/>
            <w:shd w:val="clear" w:color="auto" w:fill="auto"/>
          </w:tcPr>
          <w:p w14:paraId="36F7C2CC" w14:textId="77777777" w:rsidR="00A00405" w:rsidRPr="0010725E" w:rsidRDefault="00A00405" w:rsidP="00A00405">
            <w:pPr>
              <w:rPr>
                <w:i/>
                <w:szCs w:val="22"/>
              </w:rPr>
            </w:pPr>
            <w:r w:rsidRPr="0010725E">
              <w:rPr>
                <w:i/>
                <w:szCs w:val="22"/>
              </w:rPr>
              <w:t>Fuchsia triphylla</w:t>
            </w:r>
          </w:p>
        </w:tc>
        <w:tc>
          <w:tcPr>
            <w:tcW w:w="1899" w:type="pct"/>
            <w:shd w:val="clear" w:color="auto" w:fill="auto"/>
          </w:tcPr>
          <w:p w14:paraId="59F8EFFD" w14:textId="77777777" w:rsidR="00A00405" w:rsidRPr="0010725E" w:rsidRDefault="00A00405" w:rsidP="00A00405">
            <w:pPr>
              <w:rPr>
                <w:szCs w:val="22"/>
              </w:rPr>
            </w:pPr>
            <w:r w:rsidRPr="0010725E">
              <w:rPr>
                <w:szCs w:val="22"/>
              </w:rPr>
              <w:t>Hispaniola, South America</w:t>
            </w:r>
          </w:p>
        </w:tc>
      </w:tr>
      <w:tr w:rsidR="00A00405" w:rsidRPr="0010725E" w14:paraId="5558506E" w14:textId="77777777" w:rsidTr="00A00405">
        <w:trPr>
          <w:trHeight w:val="198"/>
          <w:jc w:val="center"/>
        </w:trPr>
        <w:tc>
          <w:tcPr>
            <w:tcW w:w="1417" w:type="pct"/>
            <w:shd w:val="clear" w:color="auto" w:fill="auto"/>
          </w:tcPr>
          <w:p w14:paraId="442DED04" w14:textId="77777777" w:rsidR="00A00405" w:rsidRPr="0010725E" w:rsidRDefault="00A00405" w:rsidP="00A00405">
            <w:pPr>
              <w:rPr>
                <w:szCs w:val="22"/>
              </w:rPr>
            </w:pPr>
            <w:r w:rsidRPr="0010725E">
              <w:rPr>
                <w:szCs w:val="22"/>
              </w:rPr>
              <w:t xml:space="preserve">   Petunia</w:t>
            </w:r>
          </w:p>
        </w:tc>
        <w:tc>
          <w:tcPr>
            <w:tcW w:w="1684" w:type="pct"/>
            <w:shd w:val="clear" w:color="auto" w:fill="auto"/>
          </w:tcPr>
          <w:p w14:paraId="30EA8C85" w14:textId="77777777" w:rsidR="00A00405" w:rsidRPr="0010725E" w:rsidRDefault="00A00405" w:rsidP="00A00405">
            <w:pPr>
              <w:rPr>
                <w:i/>
                <w:szCs w:val="22"/>
              </w:rPr>
            </w:pPr>
            <w:r w:rsidRPr="0010725E">
              <w:rPr>
                <w:i/>
                <w:szCs w:val="22"/>
              </w:rPr>
              <w:t xml:space="preserve">Petunia </w:t>
            </w:r>
            <w:r w:rsidRPr="0010725E">
              <w:rPr>
                <w:szCs w:val="22"/>
              </w:rPr>
              <w:t>spp.</w:t>
            </w:r>
          </w:p>
        </w:tc>
        <w:tc>
          <w:tcPr>
            <w:tcW w:w="1899" w:type="pct"/>
            <w:shd w:val="clear" w:color="auto" w:fill="auto"/>
          </w:tcPr>
          <w:p w14:paraId="311D8A88" w14:textId="77777777" w:rsidR="00A00405" w:rsidRPr="0010725E" w:rsidRDefault="00A00405" w:rsidP="00A00405">
            <w:pPr>
              <w:rPr>
                <w:szCs w:val="22"/>
              </w:rPr>
            </w:pPr>
            <w:r w:rsidRPr="0010725E">
              <w:rPr>
                <w:szCs w:val="22"/>
              </w:rPr>
              <w:t>South America</w:t>
            </w:r>
          </w:p>
        </w:tc>
      </w:tr>
      <w:tr w:rsidR="00A00405" w:rsidRPr="0010725E" w14:paraId="1CECEC09" w14:textId="77777777" w:rsidTr="00A00405">
        <w:trPr>
          <w:trHeight w:val="198"/>
          <w:jc w:val="center"/>
        </w:trPr>
        <w:tc>
          <w:tcPr>
            <w:tcW w:w="1417" w:type="pct"/>
            <w:shd w:val="clear" w:color="auto" w:fill="auto"/>
          </w:tcPr>
          <w:p w14:paraId="381281AD" w14:textId="77777777" w:rsidR="00A00405" w:rsidRPr="0010725E" w:rsidRDefault="00A00405" w:rsidP="00A00405">
            <w:pPr>
              <w:rPr>
                <w:szCs w:val="22"/>
              </w:rPr>
            </w:pPr>
            <w:r w:rsidRPr="0010725E">
              <w:rPr>
                <w:szCs w:val="22"/>
              </w:rPr>
              <w:t xml:space="preserve">   Sunflower</w:t>
            </w:r>
          </w:p>
        </w:tc>
        <w:tc>
          <w:tcPr>
            <w:tcW w:w="1684" w:type="pct"/>
            <w:shd w:val="clear" w:color="auto" w:fill="auto"/>
          </w:tcPr>
          <w:p w14:paraId="39058B09" w14:textId="77777777" w:rsidR="00A00405" w:rsidRPr="0010725E" w:rsidRDefault="00A00405" w:rsidP="00A00405">
            <w:pPr>
              <w:rPr>
                <w:i/>
                <w:szCs w:val="22"/>
              </w:rPr>
            </w:pPr>
            <w:r w:rsidRPr="0010725E">
              <w:rPr>
                <w:i/>
                <w:szCs w:val="22"/>
              </w:rPr>
              <w:t>Helianthus annuus</w:t>
            </w:r>
          </w:p>
        </w:tc>
        <w:tc>
          <w:tcPr>
            <w:tcW w:w="1899" w:type="pct"/>
            <w:shd w:val="clear" w:color="auto" w:fill="auto"/>
          </w:tcPr>
          <w:p w14:paraId="24B3B329" w14:textId="77777777" w:rsidR="00A00405" w:rsidRPr="0010725E" w:rsidRDefault="00A00405" w:rsidP="00A00405">
            <w:pPr>
              <w:rPr>
                <w:szCs w:val="22"/>
              </w:rPr>
            </w:pPr>
            <w:r w:rsidRPr="0010725E">
              <w:rPr>
                <w:szCs w:val="22"/>
              </w:rPr>
              <w:t>North America</w:t>
            </w:r>
          </w:p>
        </w:tc>
      </w:tr>
      <w:tr w:rsidR="00A00405" w:rsidRPr="0010725E" w14:paraId="3C15F8FC" w14:textId="77777777" w:rsidTr="00A00405">
        <w:trPr>
          <w:trHeight w:val="198"/>
          <w:jc w:val="center"/>
        </w:trPr>
        <w:tc>
          <w:tcPr>
            <w:tcW w:w="5000" w:type="pct"/>
            <w:gridSpan w:val="3"/>
            <w:shd w:val="clear" w:color="auto" w:fill="auto"/>
          </w:tcPr>
          <w:p w14:paraId="4827DB54" w14:textId="77777777" w:rsidR="00A00405" w:rsidRPr="0010725E" w:rsidRDefault="00A00405" w:rsidP="00A00405">
            <w:pPr>
              <w:rPr>
                <w:sz w:val="20"/>
                <w:szCs w:val="20"/>
              </w:rPr>
            </w:pPr>
            <w:r w:rsidRPr="0010725E">
              <w:rPr>
                <w:sz w:val="20"/>
                <w:szCs w:val="20"/>
              </w:rPr>
              <w:t>Source: Modified from Janick (2013).</w:t>
            </w:r>
          </w:p>
        </w:tc>
      </w:tr>
    </w:tbl>
    <w:p w14:paraId="13F1B56C" w14:textId="77777777" w:rsidR="0010725E" w:rsidRDefault="0010725E" w:rsidP="0010725E"/>
    <w:p w14:paraId="55C4AF24" w14:textId="270F6064" w:rsidR="00A00405" w:rsidRPr="008608AA" w:rsidRDefault="00A00405" w:rsidP="0010725E">
      <w:r w:rsidRPr="008608AA">
        <w:t xml:space="preserve">Over the centuries, indigenous management practices also shaped landscapes (Balèe, 2013 and contributed to highly productive soil formation, such as the dark soils in Amazonia (Schmidt et al., 2014). Modern tree communities in Amazonia are structured to an important extent by a long history of plant domestication by Amazonian peoples (Levis et al., 2017). A recent review on agrobiodiversity in the Amazonia pointed out that swidden agriculture may increase diversity in ecosystem ensuring </w:t>
      </w:r>
      <w:r w:rsidRPr="008608AA">
        <w:rPr>
          <w:i/>
        </w:rPr>
        <w:t>in situ</w:t>
      </w:r>
      <w:r w:rsidRPr="008608AA">
        <w:t xml:space="preserve"> conservation. Another review confirms the importance of indigenous people and local communities for conserving and enhancing biodiversity in the Americas, and the important role of women in agrobiodiversity innovation, experimentation, selection and diffusion (Emperaire, 2017). Like their pre-Columbian ancestors, indigenous peoples and local communities are also contributing to high forest biodiversity in the Amazonia. As poin</w:t>
      </w:r>
      <w:r w:rsidR="004F124C" w:rsidRPr="008608AA">
        <w:t>ted out by Carneiro da Cunha &amp;</w:t>
      </w:r>
      <w:r w:rsidRPr="008608AA">
        <w:t xml:space="preserve"> Morin de Lima (2017) “there is no clear-cut division between management of forests and agriculture as long as traditional long fallow systems endure. After all, fallows are intended to revert to forest, and to a large extent, it is fallow management that will result in humanised forests” Another example of agroforestry productive systems with edible plants is the </w:t>
      </w:r>
      <w:r w:rsidRPr="008608AA">
        <w:rPr>
          <w:i/>
        </w:rPr>
        <w:t>milpa</w:t>
      </w:r>
      <w:r w:rsidRPr="008608AA">
        <w:t xml:space="preserve"> in Mexico, that is based on the culture around cocoa plantations in Tabasco or the culture around coffee plantations in Chiapas (González, 2004; De Beenhouwer et al., 2013; Cruz-Coutiño, 2014). Also significant are the systems based on the association of production of commercial cacao with wild species with the association of shade trees and nitrogen fixation in humid forests of Bolivia and Peru.</w:t>
      </w:r>
    </w:p>
    <w:p w14:paraId="59654280" w14:textId="67D3F2D4" w:rsidR="007E29D9" w:rsidRPr="008608AA" w:rsidRDefault="00A00405" w:rsidP="007E29D9">
      <w:pPr>
        <w:spacing w:after="120"/>
      </w:pPr>
      <w:r w:rsidRPr="008608AA">
        <w:t>On-farm conservation of germplasm diversity is observed through great numbers of varieties of cultivated plants by indigenous people as local communities of mix-heritage people (Carneiro da Cunha &amp; Morin de Lima, 2017). Table 2.20 shows the varieties cultivated for only one species (manioc) in different parts of Amazonia. According to Mendoza (2010), in Bolivia 19 wild species are widely represented, ranging from the lower Andean to Amazonian and Cerrado landscapes.</w:t>
      </w:r>
      <w:r w:rsidR="007E29D9" w:rsidRPr="008608AA">
        <w:br w:type="page"/>
      </w:r>
    </w:p>
    <w:p w14:paraId="757FE2B3" w14:textId="161B12D3" w:rsidR="00A00405"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20</w:t>
      </w:r>
      <w:r w:rsidR="000E562E">
        <w:rPr>
          <w:noProof/>
        </w:rPr>
        <w:fldChar w:fldCharType="end"/>
      </w:r>
      <w:r w:rsidRPr="008608AA">
        <w:t xml:space="preserve">. </w:t>
      </w:r>
      <w:r w:rsidR="007E29D9" w:rsidRPr="008608AA">
        <w:t>Varietal diversity of Manioc (</w:t>
      </w:r>
      <w:r w:rsidR="007E29D9" w:rsidRPr="008608AA">
        <w:rPr>
          <w:i/>
        </w:rPr>
        <w:t>Manihot esculenta</w:t>
      </w:r>
      <w:r w:rsidR="007E29D9" w:rsidRPr="008608AA">
        <w:t>, Euphorbiaceae) in terms of taste in South America</w:t>
      </w:r>
      <w:r w:rsidR="007E29D9" w:rsidRPr="008608AA">
        <w:rPr>
          <w:b w:val="0"/>
          <w:sz w:val="20"/>
          <w:szCs w:val="20"/>
        </w:rPr>
        <w:t>.</w:t>
      </w:r>
      <w:r w:rsidR="00A00405" w:rsidRPr="008608AA">
        <w:t xml:space="preserve">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635"/>
        <w:gridCol w:w="2376"/>
        <w:gridCol w:w="1031"/>
        <w:gridCol w:w="987"/>
        <w:gridCol w:w="1458"/>
      </w:tblGrid>
      <w:tr w:rsidR="00A00405" w:rsidRPr="0010725E" w14:paraId="63B1A43D" w14:textId="77777777" w:rsidTr="007E29D9">
        <w:trPr>
          <w:trHeight w:val="20"/>
          <w:jc w:val="center"/>
        </w:trPr>
        <w:tc>
          <w:tcPr>
            <w:tcW w:w="1939" w:type="pct"/>
            <w:shd w:val="clear" w:color="auto" w:fill="BFBFBF" w:themeFill="background1" w:themeFillShade="BF"/>
            <w:vAlign w:val="center"/>
          </w:tcPr>
          <w:p w14:paraId="6928DA59" w14:textId="77777777" w:rsidR="00A00405" w:rsidRPr="0010725E" w:rsidRDefault="00A00405" w:rsidP="00A00405">
            <w:pPr>
              <w:widowControl w:val="0"/>
              <w:ind w:left="103" w:right="148"/>
              <w:contextualSpacing/>
              <w:jc w:val="center"/>
              <w:rPr>
                <w:b/>
                <w:szCs w:val="22"/>
              </w:rPr>
            </w:pPr>
            <w:r w:rsidRPr="0010725E">
              <w:rPr>
                <w:b/>
                <w:szCs w:val="22"/>
              </w:rPr>
              <w:t>Indigenous Peoples &amp; Local Communities</w:t>
            </w:r>
          </w:p>
        </w:tc>
        <w:tc>
          <w:tcPr>
            <w:tcW w:w="1275" w:type="pct"/>
            <w:shd w:val="clear" w:color="auto" w:fill="BFBFBF" w:themeFill="background1" w:themeFillShade="BF"/>
            <w:vAlign w:val="center"/>
          </w:tcPr>
          <w:p w14:paraId="5F4D82FD" w14:textId="77777777" w:rsidR="00A00405" w:rsidRPr="0010725E" w:rsidRDefault="00A00405" w:rsidP="00A00405">
            <w:pPr>
              <w:widowControl w:val="0"/>
              <w:ind w:left="643" w:right="531"/>
              <w:contextualSpacing/>
              <w:jc w:val="center"/>
              <w:rPr>
                <w:b/>
                <w:szCs w:val="22"/>
              </w:rPr>
            </w:pPr>
            <w:r w:rsidRPr="0010725E">
              <w:rPr>
                <w:b/>
                <w:szCs w:val="22"/>
              </w:rPr>
              <w:t>Location</w:t>
            </w:r>
          </w:p>
        </w:tc>
        <w:tc>
          <w:tcPr>
            <w:tcW w:w="497" w:type="pct"/>
            <w:shd w:val="clear" w:color="auto" w:fill="BFBFBF" w:themeFill="background1" w:themeFillShade="BF"/>
            <w:vAlign w:val="center"/>
          </w:tcPr>
          <w:p w14:paraId="3BA70B03" w14:textId="77777777" w:rsidR="00A00405" w:rsidRPr="0010725E" w:rsidRDefault="00A00405" w:rsidP="00A00405">
            <w:pPr>
              <w:widowControl w:val="0"/>
              <w:ind w:left="124" w:right="125"/>
              <w:contextualSpacing/>
              <w:jc w:val="center"/>
              <w:rPr>
                <w:b/>
                <w:szCs w:val="22"/>
              </w:rPr>
            </w:pPr>
            <w:r w:rsidRPr="0010725E">
              <w:rPr>
                <w:b/>
                <w:szCs w:val="22"/>
              </w:rPr>
              <w:t>Sweet</w:t>
            </w:r>
          </w:p>
        </w:tc>
        <w:tc>
          <w:tcPr>
            <w:tcW w:w="498" w:type="pct"/>
            <w:shd w:val="clear" w:color="auto" w:fill="BFBFBF" w:themeFill="background1" w:themeFillShade="BF"/>
            <w:vAlign w:val="center"/>
          </w:tcPr>
          <w:p w14:paraId="125E4989" w14:textId="77777777" w:rsidR="00A00405" w:rsidRPr="0010725E" w:rsidRDefault="00A00405" w:rsidP="00A00405">
            <w:pPr>
              <w:widowControl w:val="0"/>
              <w:ind w:left="126" w:right="126"/>
              <w:contextualSpacing/>
              <w:jc w:val="center"/>
              <w:rPr>
                <w:b/>
                <w:szCs w:val="22"/>
              </w:rPr>
            </w:pPr>
            <w:r w:rsidRPr="0010725E">
              <w:rPr>
                <w:b/>
                <w:szCs w:val="22"/>
              </w:rPr>
              <w:t>Bitter</w:t>
            </w:r>
          </w:p>
        </w:tc>
        <w:tc>
          <w:tcPr>
            <w:tcW w:w="791" w:type="pct"/>
            <w:shd w:val="clear" w:color="auto" w:fill="BFBFBF" w:themeFill="background1" w:themeFillShade="BF"/>
            <w:vAlign w:val="center"/>
          </w:tcPr>
          <w:p w14:paraId="4637BF45" w14:textId="77777777" w:rsidR="00A00405" w:rsidRPr="0010725E" w:rsidRDefault="00A00405" w:rsidP="00A00405">
            <w:pPr>
              <w:widowControl w:val="0"/>
              <w:ind w:left="215" w:right="108" w:hanging="92"/>
              <w:contextualSpacing/>
              <w:jc w:val="center"/>
              <w:rPr>
                <w:b/>
                <w:szCs w:val="22"/>
              </w:rPr>
            </w:pPr>
            <w:r w:rsidRPr="0010725E">
              <w:rPr>
                <w:b/>
                <w:szCs w:val="22"/>
              </w:rPr>
              <w:t>Sweet + Bitter</w:t>
            </w:r>
          </w:p>
        </w:tc>
      </w:tr>
      <w:tr w:rsidR="00A00405" w:rsidRPr="0010725E" w14:paraId="3943D7AF" w14:textId="77777777" w:rsidTr="007E29D9">
        <w:trPr>
          <w:trHeight w:val="20"/>
          <w:jc w:val="center"/>
        </w:trPr>
        <w:tc>
          <w:tcPr>
            <w:tcW w:w="1939" w:type="pct"/>
          </w:tcPr>
          <w:p w14:paraId="30F6A0C3" w14:textId="77777777" w:rsidR="00A00405" w:rsidRPr="0010725E" w:rsidRDefault="00A00405" w:rsidP="00A00405">
            <w:pPr>
              <w:widowControl w:val="0"/>
              <w:ind w:left="103" w:right="148"/>
              <w:contextualSpacing/>
              <w:rPr>
                <w:szCs w:val="22"/>
              </w:rPr>
            </w:pPr>
            <w:r w:rsidRPr="0010725E">
              <w:rPr>
                <w:szCs w:val="22"/>
              </w:rPr>
              <w:t>Amuesha (Aruak)</w:t>
            </w:r>
          </w:p>
        </w:tc>
        <w:tc>
          <w:tcPr>
            <w:tcW w:w="1275" w:type="pct"/>
          </w:tcPr>
          <w:p w14:paraId="00822233" w14:textId="77777777" w:rsidR="00A00405" w:rsidRPr="0010725E" w:rsidRDefault="00A00405" w:rsidP="00A00405">
            <w:pPr>
              <w:widowControl w:val="0"/>
              <w:ind w:left="103" w:right="531"/>
              <w:contextualSpacing/>
              <w:rPr>
                <w:szCs w:val="22"/>
              </w:rPr>
            </w:pPr>
            <w:r w:rsidRPr="0010725E">
              <w:rPr>
                <w:szCs w:val="22"/>
              </w:rPr>
              <w:t>Peru</w:t>
            </w:r>
          </w:p>
        </w:tc>
        <w:tc>
          <w:tcPr>
            <w:tcW w:w="497" w:type="pct"/>
          </w:tcPr>
          <w:p w14:paraId="1B66AB56" w14:textId="77777777" w:rsidR="00A00405" w:rsidRPr="0010725E" w:rsidRDefault="00A00405" w:rsidP="00A00405">
            <w:pPr>
              <w:contextualSpacing/>
              <w:rPr>
                <w:szCs w:val="22"/>
              </w:rPr>
            </w:pPr>
          </w:p>
        </w:tc>
        <w:tc>
          <w:tcPr>
            <w:tcW w:w="498" w:type="pct"/>
          </w:tcPr>
          <w:p w14:paraId="4CC7CD8C" w14:textId="77777777" w:rsidR="00A00405" w:rsidRPr="0010725E" w:rsidRDefault="00A00405" w:rsidP="00A00405">
            <w:pPr>
              <w:contextualSpacing/>
              <w:rPr>
                <w:szCs w:val="22"/>
              </w:rPr>
            </w:pPr>
          </w:p>
        </w:tc>
        <w:tc>
          <w:tcPr>
            <w:tcW w:w="791" w:type="pct"/>
          </w:tcPr>
          <w:p w14:paraId="282547E5" w14:textId="77777777" w:rsidR="00A00405" w:rsidRPr="0010725E" w:rsidRDefault="00A00405" w:rsidP="00A00405">
            <w:pPr>
              <w:widowControl w:val="0"/>
              <w:ind w:left="158" w:right="158"/>
              <w:contextualSpacing/>
              <w:jc w:val="center"/>
              <w:rPr>
                <w:szCs w:val="22"/>
              </w:rPr>
            </w:pPr>
            <w:r w:rsidRPr="0010725E">
              <w:rPr>
                <w:szCs w:val="22"/>
              </w:rPr>
              <w:t>204</w:t>
            </w:r>
          </w:p>
        </w:tc>
      </w:tr>
      <w:tr w:rsidR="00A00405" w:rsidRPr="0010725E" w14:paraId="75B65036" w14:textId="77777777" w:rsidTr="007E29D9">
        <w:trPr>
          <w:trHeight w:val="20"/>
          <w:jc w:val="center"/>
        </w:trPr>
        <w:tc>
          <w:tcPr>
            <w:tcW w:w="1939" w:type="pct"/>
          </w:tcPr>
          <w:p w14:paraId="7AB636F4" w14:textId="77777777" w:rsidR="00A00405" w:rsidRPr="0010725E" w:rsidRDefault="00A00405" w:rsidP="00A00405">
            <w:pPr>
              <w:widowControl w:val="0"/>
              <w:ind w:left="103" w:right="148"/>
              <w:contextualSpacing/>
              <w:rPr>
                <w:szCs w:val="22"/>
              </w:rPr>
            </w:pPr>
            <w:r w:rsidRPr="0010725E">
              <w:rPr>
                <w:szCs w:val="22"/>
              </w:rPr>
              <w:t>Wanana, Tukano, Arapaso</w:t>
            </w:r>
          </w:p>
        </w:tc>
        <w:tc>
          <w:tcPr>
            <w:tcW w:w="1275" w:type="pct"/>
          </w:tcPr>
          <w:p w14:paraId="3B671B70" w14:textId="77777777" w:rsidR="00A00405" w:rsidRPr="0010725E" w:rsidRDefault="00A00405" w:rsidP="00A00405">
            <w:pPr>
              <w:widowControl w:val="0"/>
              <w:ind w:left="103" w:right="531"/>
              <w:contextualSpacing/>
              <w:rPr>
                <w:szCs w:val="22"/>
              </w:rPr>
            </w:pPr>
            <w:r w:rsidRPr="0010725E">
              <w:rPr>
                <w:szCs w:val="22"/>
              </w:rPr>
              <w:t>Middle Uaupés, AM, Brasil</w:t>
            </w:r>
          </w:p>
        </w:tc>
        <w:tc>
          <w:tcPr>
            <w:tcW w:w="497" w:type="pct"/>
          </w:tcPr>
          <w:p w14:paraId="7D9467A2" w14:textId="77777777" w:rsidR="00A00405" w:rsidRPr="0010725E" w:rsidRDefault="00A00405" w:rsidP="00A00405">
            <w:pPr>
              <w:contextualSpacing/>
              <w:rPr>
                <w:szCs w:val="22"/>
              </w:rPr>
            </w:pPr>
          </w:p>
        </w:tc>
        <w:tc>
          <w:tcPr>
            <w:tcW w:w="498" w:type="pct"/>
          </w:tcPr>
          <w:p w14:paraId="4158AAC9" w14:textId="77777777" w:rsidR="00A00405" w:rsidRPr="0010725E" w:rsidRDefault="00A00405" w:rsidP="00A00405">
            <w:pPr>
              <w:contextualSpacing/>
              <w:rPr>
                <w:szCs w:val="22"/>
              </w:rPr>
            </w:pPr>
          </w:p>
        </w:tc>
        <w:tc>
          <w:tcPr>
            <w:tcW w:w="791" w:type="pct"/>
          </w:tcPr>
          <w:p w14:paraId="019CC175" w14:textId="77777777" w:rsidR="00A00405" w:rsidRPr="0010725E" w:rsidRDefault="00A00405" w:rsidP="00A00405">
            <w:pPr>
              <w:widowControl w:val="0"/>
              <w:ind w:left="158" w:right="158"/>
              <w:contextualSpacing/>
              <w:jc w:val="center"/>
              <w:rPr>
                <w:szCs w:val="22"/>
              </w:rPr>
            </w:pPr>
            <w:r w:rsidRPr="0010725E">
              <w:rPr>
                <w:szCs w:val="22"/>
              </w:rPr>
              <w:t>137</w:t>
            </w:r>
          </w:p>
        </w:tc>
      </w:tr>
      <w:tr w:rsidR="00A00405" w:rsidRPr="0010725E" w14:paraId="57878D28" w14:textId="77777777" w:rsidTr="007E29D9">
        <w:trPr>
          <w:trHeight w:val="20"/>
          <w:jc w:val="center"/>
        </w:trPr>
        <w:tc>
          <w:tcPr>
            <w:tcW w:w="1939" w:type="pct"/>
          </w:tcPr>
          <w:p w14:paraId="6E3015FC" w14:textId="77777777" w:rsidR="00A00405" w:rsidRPr="0010725E" w:rsidRDefault="00A00405" w:rsidP="00A00405">
            <w:pPr>
              <w:widowControl w:val="0"/>
              <w:ind w:left="103" w:right="148"/>
              <w:contextualSpacing/>
              <w:rPr>
                <w:szCs w:val="22"/>
              </w:rPr>
            </w:pPr>
            <w:r w:rsidRPr="0010725E">
              <w:rPr>
                <w:szCs w:val="22"/>
              </w:rPr>
              <w:t>Pluri-ethnic communities: Barcelos</w:t>
            </w:r>
          </w:p>
        </w:tc>
        <w:tc>
          <w:tcPr>
            <w:tcW w:w="1275" w:type="pct"/>
          </w:tcPr>
          <w:p w14:paraId="45C85F5B" w14:textId="77777777" w:rsidR="00A00405" w:rsidRPr="0010725E" w:rsidRDefault="00A00405" w:rsidP="00A00405">
            <w:pPr>
              <w:widowControl w:val="0"/>
              <w:ind w:left="103" w:right="268"/>
              <w:contextualSpacing/>
              <w:rPr>
                <w:szCs w:val="22"/>
              </w:rPr>
            </w:pPr>
            <w:r w:rsidRPr="0010725E">
              <w:rPr>
                <w:szCs w:val="22"/>
              </w:rPr>
              <w:t>Middle Rio Negro, AM, Brazil</w:t>
            </w:r>
          </w:p>
        </w:tc>
        <w:tc>
          <w:tcPr>
            <w:tcW w:w="497" w:type="pct"/>
          </w:tcPr>
          <w:p w14:paraId="32FEF4CF" w14:textId="77777777" w:rsidR="00A00405" w:rsidRPr="0010725E" w:rsidRDefault="00A00405" w:rsidP="00A00405">
            <w:pPr>
              <w:contextualSpacing/>
              <w:rPr>
                <w:szCs w:val="22"/>
              </w:rPr>
            </w:pPr>
          </w:p>
        </w:tc>
        <w:tc>
          <w:tcPr>
            <w:tcW w:w="498" w:type="pct"/>
          </w:tcPr>
          <w:p w14:paraId="7A027F5D" w14:textId="77777777" w:rsidR="00A00405" w:rsidRPr="0010725E" w:rsidRDefault="00A00405" w:rsidP="00A00405">
            <w:pPr>
              <w:contextualSpacing/>
              <w:rPr>
                <w:szCs w:val="22"/>
              </w:rPr>
            </w:pPr>
          </w:p>
        </w:tc>
        <w:tc>
          <w:tcPr>
            <w:tcW w:w="791" w:type="pct"/>
          </w:tcPr>
          <w:p w14:paraId="4CDD0EA4" w14:textId="77777777" w:rsidR="00A00405" w:rsidRPr="0010725E" w:rsidRDefault="00A00405" w:rsidP="00A00405">
            <w:pPr>
              <w:widowControl w:val="0"/>
              <w:ind w:left="158" w:right="158"/>
              <w:contextualSpacing/>
              <w:jc w:val="center"/>
              <w:rPr>
                <w:szCs w:val="22"/>
              </w:rPr>
            </w:pPr>
            <w:r w:rsidRPr="0010725E">
              <w:rPr>
                <w:szCs w:val="22"/>
              </w:rPr>
              <w:t>120</w:t>
            </w:r>
          </w:p>
        </w:tc>
      </w:tr>
      <w:tr w:rsidR="00A00405" w:rsidRPr="0010725E" w14:paraId="5DF941A5" w14:textId="77777777" w:rsidTr="007E29D9">
        <w:trPr>
          <w:trHeight w:val="20"/>
          <w:jc w:val="center"/>
        </w:trPr>
        <w:tc>
          <w:tcPr>
            <w:tcW w:w="1939" w:type="pct"/>
          </w:tcPr>
          <w:p w14:paraId="063F20BC" w14:textId="77777777" w:rsidR="00A00405" w:rsidRPr="0010725E" w:rsidRDefault="00A00405" w:rsidP="00A00405">
            <w:pPr>
              <w:widowControl w:val="0"/>
              <w:ind w:left="103" w:right="148"/>
              <w:contextualSpacing/>
              <w:rPr>
                <w:szCs w:val="22"/>
              </w:rPr>
            </w:pPr>
            <w:r w:rsidRPr="0010725E">
              <w:rPr>
                <w:szCs w:val="22"/>
              </w:rPr>
              <w:t>Piaroa (Piaroa-Saliban)</w:t>
            </w:r>
          </w:p>
        </w:tc>
        <w:tc>
          <w:tcPr>
            <w:tcW w:w="1275" w:type="pct"/>
          </w:tcPr>
          <w:p w14:paraId="3ED780AC" w14:textId="77777777" w:rsidR="00A00405" w:rsidRPr="0010725E" w:rsidRDefault="00A00405" w:rsidP="00A00405">
            <w:pPr>
              <w:widowControl w:val="0"/>
              <w:ind w:left="103" w:right="104"/>
              <w:contextualSpacing/>
              <w:rPr>
                <w:szCs w:val="22"/>
              </w:rPr>
            </w:pPr>
            <w:r w:rsidRPr="0010725E">
              <w:rPr>
                <w:szCs w:val="22"/>
              </w:rPr>
              <w:t>Cuao and Manapiare (Orinoco basin), Venezuela</w:t>
            </w:r>
          </w:p>
        </w:tc>
        <w:tc>
          <w:tcPr>
            <w:tcW w:w="497" w:type="pct"/>
          </w:tcPr>
          <w:p w14:paraId="6C701F0C" w14:textId="77777777" w:rsidR="00A00405" w:rsidRPr="0010725E" w:rsidRDefault="00A00405" w:rsidP="00A00405">
            <w:pPr>
              <w:contextualSpacing/>
              <w:rPr>
                <w:szCs w:val="22"/>
              </w:rPr>
            </w:pPr>
          </w:p>
        </w:tc>
        <w:tc>
          <w:tcPr>
            <w:tcW w:w="498" w:type="pct"/>
          </w:tcPr>
          <w:p w14:paraId="24640406" w14:textId="77777777" w:rsidR="00A00405" w:rsidRPr="0010725E" w:rsidRDefault="00A00405" w:rsidP="00A00405">
            <w:pPr>
              <w:contextualSpacing/>
              <w:rPr>
                <w:szCs w:val="22"/>
              </w:rPr>
            </w:pPr>
          </w:p>
        </w:tc>
        <w:tc>
          <w:tcPr>
            <w:tcW w:w="791" w:type="pct"/>
          </w:tcPr>
          <w:p w14:paraId="2BFB2CFA" w14:textId="77777777" w:rsidR="00A00405" w:rsidRPr="0010725E" w:rsidRDefault="00A00405" w:rsidP="00A00405">
            <w:pPr>
              <w:widowControl w:val="0"/>
              <w:ind w:left="158" w:right="158"/>
              <w:contextualSpacing/>
              <w:jc w:val="center"/>
              <w:rPr>
                <w:szCs w:val="22"/>
              </w:rPr>
            </w:pPr>
            <w:r w:rsidRPr="0010725E">
              <w:rPr>
                <w:szCs w:val="22"/>
              </w:rPr>
              <w:t>113</w:t>
            </w:r>
          </w:p>
        </w:tc>
      </w:tr>
      <w:tr w:rsidR="00A00405" w:rsidRPr="0010725E" w14:paraId="3A577E0C" w14:textId="77777777" w:rsidTr="007E29D9">
        <w:trPr>
          <w:trHeight w:val="20"/>
          <w:jc w:val="center"/>
        </w:trPr>
        <w:tc>
          <w:tcPr>
            <w:tcW w:w="1939" w:type="pct"/>
          </w:tcPr>
          <w:p w14:paraId="3E583414" w14:textId="77777777" w:rsidR="00A00405" w:rsidRPr="0010725E" w:rsidRDefault="00A00405" w:rsidP="00A00405">
            <w:pPr>
              <w:widowControl w:val="0"/>
              <w:ind w:left="103" w:right="520"/>
              <w:contextualSpacing/>
              <w:rPr>
                <w:szCs w:val="22"/>
              </w:rPr>
            </w:pPr>
            <w:r w:rsidRPr="0010725E">
              <w:rPr>
                <w:szCs w:val="22"/>
              </w:rPr>
              <w:t>Pluri-ethnic communities: Santa Isabel</w:t>
            </w:r>
          </w:p>
        </w:tc>
        <w:tc>
          <w:tcPr>
            <w:tcW w:w="1275" w:type="pct"/>
          </w:tcPr>
          <w:p w14:paraId="58D2B4A3" w14:textId="77777777" w:rsidR="00A00405" w:rsidRPr="0010725E" w:rsidRDefault="00A00405" w:rsidP="00A00405">
            <w:pPr>
              <w:widowControl w:val="0"/>
              <w:ind w:left="103" w:right="274"/>
              <w:contextualSpacing/>
              <w:rPr>
                <w:szCs w:val="22"/>
              </w:rPr>
            </w:pPr>
            <w:r w:rsidRPr="0010725E">
              <w:rPr>
                <w:szCs w:val="22"/>
              </w:rPr>
              <w:t>Upper-Middle Rio Negro, AM, Brazil</w:t>
            </w:r>
          </w:p>
        </w:tc>
        <w:tc>
          <w:tcPr>
            <w:tcW w:w="497" w:type="pct"/>
          </w:tcPr>
          <w:p w14:paraId="2668B519" w14:textId="77777777" w:rsidR="00A00405" w:rsidRPr="0010725E" w:rsidRDefault="00A00405" w:rsidP="00A00405">
            <w:pPr>
              <w:contextualSpacing/>
              <w:rPr>
                <w:szCs w:val="22"/>
              </w:rPr>
            </w:pPr>
          </w:p>
        </w:tc>
        <w:tc>
          <w:tcPr>
            <w:tcW w:w="498" w:type="pct"/>
          </w:tcPr>
          <w:p w14:paraId="19F8386E" w14:textId="77777777" w:rsidR="00A00405" w:rsidRPr="0010725E" w:rsidRDefault="00A00405" w:rsidP="00A00405">
            <w:pPr>
              <w:contextualSpacing/>
              <w:rPr>
                <w:szCs w:val="22"/>
              </w:rPr>
            </w:pPr>
          </w:p>
        </w:tc>
        <w:tc>
          <w:tcPr>
            <w:tcW w:w="791" w:type="pct"/>
          </w:tcPr>
          <w:p w14:paraId="62999E37" w14:textId="77777777" w:rsidR="00A00405" w:rsidRPr="0010725E" w:rsidRDefault="00A00405" w:rsidP="00A00405">
            <w:pPr>
              <w:widowControl w:val="0"/>
              <w:ind w:left="158" w:right="158"/>
              <w:contextualSpacing/>
              <w:jc w:val="center"/>
              <w:rPr>
                <w:szCs w:val="22"/>
              </w:rPr>
            </w:pPr>
            <w:r w:rsidRPr="0010725E">
              <w:rPr>
                <w:szCs w:val="22"/>
              </w:rPr>
              <w:t>106</w:t>
            </w:r>
          </w:p>
        </w:tc>
      </w:tr>
      <w:tr w:rsidR="00A00405" w:rsidRPr="0010725E" w14:paraId="1DA8FE6F" w14:textId="77777777" w:rsidTr="007E29D9">
        <w:trPr>
          <w:trHeight w:val="20"/>
          <w:jc w:val="center"/>
        </w:trPr>
        <w:tc>
          <w:tcPr>
            <w:tcW w:w="1939" w:type="pct"/>
          </w:tcPr>
          <w:p w14:paraId="498B5293" w14:textId="77777777" w:rsidR="00A00405" w:rsidRPr="0010725E" w:rsidRDefault="00A00405" w:rsidP="00A00405">
            <w:pPr>
              <w:widowControl w:val="0"/>
              <w:ind w:left="103" w:right="148"/>
              <w:contextualSpacing/>
              <w:rPr>
                <w:szCs w:val="22"/>
              </w:rPr>
            </w:pPr>
            <w:r w:rsidRPr="0010725E">
              <w:rPr>
                <w:szCs w:val="22"/>
              </w:rPr>
              <w:t>Tukano (Uaupes)</w:t>
            </w:r>
          </w:p>
        </w:tc>
        <w:tc>
          <w:tcPr>
            <w:tcW w:w="1275" w:type="pct"/>
          </w:tcPr>
          <w:p w14:paraId="00EB9E6F" w14:textId="77777777" w:rsidR="00A00405" w:rsidRPr="0010725E" w:rsidRDefault="00A00405" w:rsidP="00A00405">
            <w:pPr>
              <w:widowControl w:val="0"/>
              <w:ind w:left="103" w:right="104"/>
              <w:contextualSpacing/>
              <w:rPr>
                <w:szCs w:val="22"/>
              </w:rPr>
            </w:pPr>
            <w:r w:rsidRPr="0010725E">
              <w:rPr>
                <w:szCs w:val="22"/>
              </w:rPr>
              <w:t>Uaupés, AM, Brazil</w:t>
            </w:r>
          </w:p>
        </w:tc>
        <w:tc>
          <w:tcPr>
            <w:tcW w:w="497" w:type="pct"/>
          </w:tcPr>
          <w:p w14:paraId="6A29B14F" w14:textId="77777777" w:rsidR="00A00405" w:rsidRPr="0010725E" w:rsidRDefault="00A00405" w:rsidP="00A00405">
            <w:pPr>
              <w:contextualSpacing/>
              <w:rPr>
                <w:szCs w:val="22"/>
              </w:rPr>
            </w:pPr>
          </w:p>
        </w:tc>
        <w:tc>
          <w:tcPr>
            <w:tcW w:w="498" w:type="pct"/>
          </w:tcPr>
          <w:p w14:paraId="5C840B40" w14:textId="77777777" w:rsidR="00A00405" w:rsidRPr="0010725E" w:rsidRDefault="00A00405" w:rsidP="00A00405">
            <w:pPr>
              <w:contextualSpacing/>
              <w:rPr>
                <w:szCs w:val="22"/>
              </w:rPr>
            </w:pPr>
          </w:p>
        </w:tc>
        <w:tc>
          <w:tcPr>
            <w:tcW w:w="791" w:type="pct"/>
          </w:tcPr>
          <w:p w14:paraId="50B07C9A" w14:textId="77777777" w:rsidR="00A00405" w:rsidRPr="0010725E" w:rsidRDefault="00A00405" w:rsidP="00A00405">
            <w:pPr>
              <w:widowControl w:val="0"/>
              <w:ind w:left="158" w:right="158"/>
              <w:contextualSpacing/>
              <w:jc w:val="center"/>
              <w:rPr>
                <w:szCs w:val="22"/>
              </w:rPr>
            </w:pPr>
            <w:r w:rsidRPr="0010725E">
              <w:rPr>
                <w:szCs w:val="22"/>
              </w:rPr>
              <w:t>100</w:t>
            </w:r>
          </w:p>
        </w:tc>
      </w:tr>
      <w:tr w:rsidR="00A00405" w:rsidRPr="0010725E" w14:paraId="200696A8" w14:textId="77777777" w:rsidTr="007E29D9">
        <w:trPr>
          <w:trHeight w:val="20"/>
          <w:jc w:val="center"/>
        </w:trPr>
        <w:tc>
          <w:tcPr>
            <w:tcW w:w="1939" w:type="pct"/>
          </w:tcPr>
          <w:p w14:paraId="77359DAC" w14:textId="77777777" w:rsidR="00A00405" w:rsidRPr="0010725E" w:rsidRDefault="00A00405" w:rsidP="00A00405">
            <w:pPr>
              <w:widowControl w:val="0"/>
              <w:ind w:left="103" w:right="148"/>
              <w:contextualSpacing/>
              <w:rPr>
                <w:szCs w:val="22"/>
              </w:rPr>
            </w:pPr>
            <w:r w:rsidRPr="0010725E">
              <w:rPr>
                <w:szCs w:val="22"/>
              </w:rPr>
              <w:t>Aguaruna (Jivaro)</w:t>
            </w:r>
          </w:p>
        </w:tc>
        <w:tc>
          <w:tcPr>
            <w:tcW w:w="1275" w:type="pct"/>
          </w:tcPr>
          <w:p w14:paraId="5EEEB5E9" w14:textId="77777777" w:rsidR="00A00405" w:rsidRPr="0010725E" w:rsidRDefault="00A00405" w:rsidP="00A00405">
            <w:pPr>
              <w:widowControl w:val="0"/>
              <w:ind w:left="103" w:right="104"/>
              <w:contextualSpacing/>
              <w:rPr>
                <w:szCs w:val="22"/>
              </w:rPr>
            </w:pPr>
            <w:r w:rsidRPr="0010725E">
              <w:rPr>
                <w:szCs w:val="22"/>
              </w:rPr>
              <w:t>North Central Peru</w:t>
            </w:r>
          </w:p>
        </w:tc>
        <w:tc>
          <w:tcPr>
            <w:tcW w:w="497" w:type="pct"/>
          </w:tcPr>
          <w:p w14:paraId="06C5912D" w14:textId="77777777" w:rsidR="00A00405" w:rsidRPr="0010725E" w:rsidRDefault="00A00405" w:rsidP="00A00405">
            <w:pPr>
              <w:contextualSpacing/>
              <w:rPr>
                <w:szCs w:val="22"/>
              </w:rPr>
            </w:pPr>
          </w:p>
        </w:tc>
        <w:tc>
          <w:tcPr>
            <w:tcW w:w="498" w:type="pct"/>
          </w:tcPr>
          <w:p w14:paraId="645F238B" w14:textId="77777777" w:rsidR="00A00405" w:rsidRPr="0010725E" w:rsidRDefault="00A00405" w:rsidP="00A00405">
            <w:pPr>
              <w:contextualSpacing/>
              <w:rPr>
                <w:szCs w:val="22"/>
              </w:rPr>
            </w:pPr>
          </w:p>
        </w:tc>
        <w:tc>
          <w:tcPr>
            <w:tcW w:w="791" w:type="pct"/>
          </w:tcPr>
          <w:p w14:paraId="30E36E2E" w14:textId="77777777" w:rsidR="00A00405" w:rsidRPr="0010725E" w:rsidRDefault="00A00405" w:rsidP="00A00405">
            <w:pPr>
              <w:widowControl w:val="0"/>
              <w:ind w:left="158" w:right="158"/>
              <w:contextualSpacing/>
              <w:jc w:val="center"/>
              <w:rPr>
                <w:szCs w:val="22"/>
              </w:rPr>
            </w:pPr>
            <w:r w:rsidRPr="0010725E">
              <w:rPr>
                <w:szCs w:val="22"/>
              </w:rPr>
              <w:t>100</w:t>
            </w:r>
          </w:p>
        </w:tc>
      </w:tr>
      <w:tr w:rsidR="00A00405" w:rsidRPr="0010725E" w14:paraId="1316BC64" w14:textId="77777777" w:rsidTr="007E29D9">
        <w:trPr>
          <w:trHeight w:val="20"/>
          <w:jc w:val="center"/>
        </w:trPr>
        <w:tc>
          <w:tcPr>
            <w:tcW w:w="1939" w:type="pct"/>
          </w:tcPr>
          <w:p w14:paraId="37CE6A7F" w14:textId="77777777" w:rsidR="00A00405" w:rsidRPr="0010725E" w:rsidRDefault="00A00405" w:rsidP="00A00405">
            <w:pPr>
              <w:widowControl w:val="0"/>
              <w:ind w:left="103" w:right="148"/>
              <w:contextualSpacing/>
              <w:rPr>
                <w:szCs w:val="22"/>
              </w:rPr>
            </w:pPr>
            <w:r w:rsidRPr="0010725E">
              <w:rPr>
                <w:szCs w:val="22"/>
              </w:rPr>
              <w:t>Huambisa (Jivaro)</w:t>
            </w:r>
          </w:p>
        </w:tc>
        <w:tc>
          <w:tcPr>
            <w:tcW w:w="1275" w:type="pct"/>
          </w:tcPr>
          <w:p w14:paraId="04D85E36" w14:textId="77777777" w:rsidR="00A00405" w:rsidRPr="0010725E" w:rsidRDefault="00A00405" w:rsidP="00A00405">
            <w:pPr>
              <w:widowControl w:val="0"/>
              <w:ind w:left="103" w:right="531"/>
              <w:contextualSpacing/>
              <w:rPr>
                <w:szCs w:val="22"/>
              </w:rPr>
            </w:pPr>
            <w:r w:rsidRPr="0010725E">
              <w:rPr>
                <w:szCs w:val="22"/>
              </w:rPr>
              <w:t>Peru</w:t>
            </w:r>
          </w:p>
        </w:tc>
        <w:tc>
          <w:tcPr>
            <w:tcW w:w="497" w:type="pct"/>
          </w:tcPr>
          <w:p w14:paraId="7BA2E972" w14:textId="77777777" w:rsidR="00A00405" w:rsidRPr="0010725E" w:rsidRDefault="00A00405" w:rsidP="00A00405">
            <w:pPr>
              <w:contextualSpacing/>
              <w:rPr>
                <w:szCs w:val="22"/>
              </w:rPr>
            </w:pPr>
          </w:p>
        </w:tc>
        <w:tc>
          <w:tcPr>
            <w:tcW w:w="498" w:type="pct"/>
          </w:tcPr>
          <w:p w14:paraId="33E2C495" w14:textId="77777777" w:rsidR="00A00405" w:rsidRPr="0010725E" w:rsidRDefault="00A00405" w:rsidP="00A00405">
            <w:pPr>
              <w:contextualSpacing/>
              <w:rPr>
                <w:szCs w:val="22"/>
              </w:rPr>
            </w:pPr>
          </w:p>
        </w:tc>
        <w:tc>
          <w:tcPr>
            <w:tcW w:w="791" w:type="pct"/>
          </w:tcPr>
          <w:p w14:paraId="1D9C5FDF" w14:textId="77777777" w:rsidR="00A00405" w:rsidRPr="0010725E" w:rsidRDefault="00A00405" w:rsidP="00A00405">
            <w:pPr>
              <w:widowControl w:val="0"/>
              <w:ind w:left="158" w:right="158"/>
              <w:contextualSpacing/>
              <w:jc w:val="center"/>
              <w:rPr>
                <w:szCs w:val="22"/>
              </w:rPr>
            </w:pPr>
            <w:r w:rsidRPr="0010725E">
              <w:rPr>
                <w:szCs w:val="22"/>
              </w:rPr>
              <w:t>100</w:t>
            </w:r>
          </w:p>
        </w:tc>
      </w:tr>
      <w:tr w:rsidR="00A00405" w:rsidRPr="0010725E" w14:paraId="084E94A6" w14:textId="77777777" w:rsidTr="007E29D9">
        <w:trPr>
          <w:trHeight w:val="20"/>
          <w:jc w:val="center"/>
        </w:trPr>
        <w:tc>
          <w:tcPr>
            <w:tcW w:w="1939" w:type="pct"/>
          </w:tcPr>
          <w:p w14:paraId="6A45FBA7" w14:textId="77777777" w:rsidR="00A00405" w:rsidRPr="0010725E" w:rsidRDefault="00A00405" w:rsidP="00A00405">
            <w:pPr>
              <w:widowControl w:val="0"/>
              <w:ind w:left="103" w:right="148"/>
              <w:contextualSpacing/>
              <w:rPr>
                <w:szCs w:val="22"/>
              </w:rPr>
            </w:pPr>
            <w:r w:rsidRPr="0010725E">
              <w:rPr>
                <w:szCs w:val="22"/>
              </w:rPr>
              <w:t>Tatuyo (Tukano)</w:t>
            </w:r>
          </w:p>
        </w:tc>
        <w:tc>
          <w:tcPr>
            <w:tcW w:w="1275" w:type="pct"/>
          </w:tcPr>
          <w:p w14:paraId="19D41FC5" w14:textId="77777777" w:rsidR="00A00405" w:rsidRPr="0010725E" w:rsidRDefault="00A00405" w:rsidP="00A00405">
            <w:pPr>
              <w:widowControl w:val="0"/>
              <w:ind w:left="103" w:right="104"/>
              <w:contextualSpacing/>
              <w:rPr>
                <w:szCs w:val="22"/>
              </w:rPr>
            </w:pPr>
            <w:r w:rsidRPr="0010725E">
              <w:rPr>
                <w:szCs w:val="22"/>
              </w:rPr>
              <w:t>Uaupés, AM, Brazil</w:t>
            </w:r>
          </w:p>
        </w:tc>
        <w:tc>
          <w:tcPr>
            <w:tcW w:w="497" w:type="pct"/>
          </w:tcPr>
          <w:p w14:paraId="79D383D5" w14:textId="77777777" w:rsidR="00A00405" w:rsidRPr="0010725E" w:rsidRDefault="00A00405" w:rsidP="00A00405">
            <w:pPr>
              <w:contextualSpacing/>
              <w:rPr>
                <w:szCs w:val="22"/>
              </w:rPr>
            </w:pPr>
          </w:p>
        </w:tc>
        <w:tc>
          <w:tcPr>
            <w:tcW w:w="498" w:type="pct"/>
          </w:tcPr>
          <w:p w14:paraId="42757638" w14:textId="77777777" w:rsidR="00A00405" w:rsidRPr="0010725E" w:rsidRDefault="00A00405" w:rsidP="00A00405">
            <w:pPr>
              <w:contextualSpacing/>
              <w:rPr>
                <w:szCs w:val="22"/>
              </w:rPr>
            </w:pPr>
          </w:p>
        </w:tc>
        <w:tc>
          <w:tcPr>
            <w:tcW w:w="791" w:type="pct"/>
          </w:tcPr>
          <w:p w14:paraId="2F45154A" w14:textId="77777777" w:rsidR="00A00405" w:rsidRPr="0010725E" w:rsidRDefault="00A00405" w:rsidP="00A00405">
            <w:pPr>
              <w:widowControl w:val="0"/>
              <w:ind w:left="158" w:right="158"/>
              <w:contextualSpacing/>
              <w:jc w:val="center"/>
              <w:rPr>
                <w:szCs w:val="22"/>
              </w:rPr>
            </w:pPr>
            <w:r w:rsidRPr="0010725E">
              <w:rPr>
                <w:szCs w:val="22"/>
              </w:rPr>
              <w:t>100</w:t>
            </w:r>
          </w:p>
        </w:tc>
      </w:tr>
      <w:tr w:rsidR="00A00405" w:rsidRPr="0010725E" w14:paraId="21724361" w14:textId="77777777" w:rsidTr="007E29D9">
        <w:trPr>
          <w:trHeight w:val="20"/>
          <w:jc w:val="center"/>
        </w:trPr>
        <w:tc>
          <w:tcPr>
            <w:tcW w:w="1939" w:type="pct"/>
          </w:tcPr>
          <w:p w14:paraId="49A952D6" w14:textId="77777777" w:rsidR="00A00405" w:rsidRPr="0010725E" w:rsidRDefault="00A00405" w:rsidP="00A00405">
            <w:pPr>
              <w:widowControl w:val="0"/>
              <w:ind w:left="103" w:right="148"/>
              <w:contextualSpacing/>
              <w:rPr>
                <w:szCs w:val="22"/>
              </w:rPr>
            </w:pPr>
            <w:r w:rsidRPr="0010725E">
              <w:rPr>
                <w:szCs w:val="22"/>
              </w:rPr>
              <w:t>Wajãpi (Tupi-Guarani)</w:t>
            </w:r>
          </w:p>
        </w:tc>
        <w:tc>
          <w:tcPr>
            <w:tcW w:w="1275" w:type="pct"/>
          </w:tcPr>
          <w:p w14:paraId="7FDBADDC" w14:textId="77777777" w:rsidR="00A00405" w:rsidRPr="0010725E" w:rsidRDefault="00A00405" w:rsidP="00A00405">
            <w:pPr>
              <w:widowControl w:val="0"/>
              <w:ind w:left="103" w:right="531"/>
              <w:contextualSpacing/>
              <w:rPr>
                <w:szCs w:val="22"/>
              </w:rPr>
            </w:pPr>
            <w:r w:rsidRPr="0010725E">
              <w:rPr>
                <w:szCs w:val="22"/>
              </w:rPr>
              <w:t>Amapá, Brazil</w:t>
            </w:r>
          </w:p>
        </w:tc>
        <w:tc>
          <w:tcPr>
            <w:tcW w:w="497" w:type="pct"/>
          </w:tcPr>
          <w:p w14:paraId="29A9D41F" w14:textId="77777777" w:rsidR="00A00405" w:rsidRPr="0010725E" w:rsidRDefault="00A00405" w:rsidP="00A00405">
            <w:pPr>
              <w:widowControl w:val="0"/>
              <w:ind w:left="124" w:right="124"/>
              <w:contextualSpacing/>
              <w:jc w:val="center"/>
              <w:rPr>
                <w:szCs w:val="22"/>
              </w:rPr>
            </w:pPr>
            <w:r w:rsidRPr="0010725E">
              <w:rPr>
                <w:szCs w:val="22"/>
              </w:rPr>
              <w:t>94</w:t>
            </w:r>
          </w:p>
        </w:tc>
        <w:tc>
          <w:tcPr>
            <w:tcW w:w="498" w:type="pct"/>
          </w:tcPr>
          <w:p w14:paraId="733B8532" w14:textId="77777777" w:rsidR="00A00405" w:rsidRPr="0010725E" w:rsidRDefault="00A00405" w:rsidP="00A00405">
            <w:pPr>
              <w:widowControl w:val="0"/>
              <w:ind w:right="2"/>
              <w:contextualSpacing/>
              <w:jc w:val="center"/>
              <w:rPr>
                <w:szCs w:val="22"/>
              </w:rPr>
            </w:pPr>
            <w:r w:rsidRPr="0010725E">
              <w:rPr>
                <w:szCs w:val="22"/>
              </w:rPr>
              <w:t>3</w:t>
            </w:r>
          </w:p>
        </w:tc>
        <w:tc>
          <w:tcPr>
            <w:tcW w:w="791" w:type="pct"/>
          </w:tcPr>
          <w:p w14:paraId="4D71CA7F" w14:textId="77777777" w:rsidR="00A00405" w:rsidRPr="0010725E" w:rsidRDefault="00A00405" w:rsidP="00A00405">
            <w:pPr>
              <w:widowControl w:val="0"/>
              <w:ind w:left="158" w:right="158"/>
              <w:contextualSpacing/>
              <w:jc w:val="center"/>
              <w:rPr>
                <w:szCs w:val="22"/>
              </w:rPr>
            </w:pPr>
            <w:r w:rsidRPr="0010725E">
              <w:rPr>
                <w:szCs w:val="22"/>
              </w:rPr>
              <w:t>97</w:t>
            </w:r>
          </w:p>
        </w:tc>
      </w:tr>
      <w:tr w:rsidR="00A00405" w:rsidRPr="0010725E" w14:paraId="7772CA6C" w14:textId="77777777" w:rsidTr="007E29D9">
        <w:trPr>
          <w:trHeight w:val="20"/>
          <w:jc w:val="center"/>
        </w:trPr>
        <w:tc>
          <w:tcPr>
            <w:tcW w:w="1939" w:type="pct"/>
          </w:tcPr>
          <w:p w14:paraId="378FA087" w14:textId="77777777" w:rsidR="00A00405" w:rsidRPr="0010725E" w:rsidRDefault="00A00405" w:rsidP="00A00405">
            <w:pPr>
              <w:widowControl w:val="0"/>
              <w:ind w:left="103" w:right="148"/>
              <w:contextualSpacing/>
              <w:rPr>
                <w:szCs w:val="22"/>
              </w:rPr>
            </w:pPr>
            <w:r w:rsidRPr="0010725E">
              <w:rPr>
                <w:szCs w:val="22"/>
              </w:rPr>
              <w:t>Aluku (“quilombola”)</w:t>
            </w:r>
          </w:p>
        </w:tc>
        <w:tc>
          <w:tcPr>
            <w:tcW w:w="1275" w:type="pct"/>
          </w:tcPr>
          <w:p w14:paraId="1C0E2F0A" w14:textId="77777777" w:rsidR="00A00405" w:rsidRPr="0010725E" w:rsidRDefault="00A00405" w:rsidP="00A00405">
            <w:pPr>
              <w:widowControl w:val="0"/>
              <w:ind w:left="103" w:right="531"/>
              <w:contextualSpacing/>
              <w:rPr>
                <w:szCs w:val="22"/>
              </w:rPr>
            </w:pPr>
            <w:r w:rsidRPr="0010725E">
              <w:rPr>
                <w:szCs w:val="22"/>
              </w:rPr>
              <w:t>French Guiana</w:t>
            </w:r>
          </w:p>
        </w:tc>
        <w:tc>
          <w:tcPr>
            <w:tcW w:w="497" w:type="pct"/>
          </w:tcPr>
          <w:p w14:paraId="672F5DDC" w14:textId="77777777" w:rsidR="00A00405" w:rsidRPr="0010725E" w:rsidRDefault="00A00405" w:rsidP="00A00405">
            <w:pPr>
              <w:contextualSpacing/>
              <w:rPr>
                <w:szCs w:val="22"/>
              </w:rPr>
            </w:pPr>
          </w:p>
        </w:tc>
        <w:tc>
          <w:tcPr>
            <w:tcW w:w="498" w:type="pct"/>
          </w:tcPr>
          <w:p w14:paraId="1F30A8DA" w14:textId="77777777" w:rsidR="00A00405" w:rsidRPr="0010725E" w:rsidRDefault="00A00405" w:rsidP="00A00405">
            <w:pPr>
              <w:contextualSpacing/>
              <w:rPr>
                <w:szCs w:val="22"/>
              </w:rPr>
            </w:pPr>
          </w:p>
        </w:tc>
        <w:tc>
          <w:tcPr>
            <w:tcW w:w="791" w:type="pct"/>
          </w:tcPr>
          <w:p w14:paraId="28CA6433" w14:textId="77777777" w:rsidR="00A00405" w:rsidRPr="0010725E" w:rsidRDefault="00A00405" w:rsidP="00A00405">
            <w:pPr>
              <w:widowControl w:val="0"/>
              <w:ind w:left="158" w:right="158"/>
              <w:contextualSpacing/>
              <w:jc w:val="center"/>
              <w:rPr>
                <w:szCs w:val="22"/>
              </w:rPr>
            </w:pPr>
            <w:r w:rsidRPr="0010725E">
              <w:rPr>
                <w:szCs w:val="22"/>
              </w:rPr>
              <w:t>90</w:t>
            </w:r>
          </w:p>
        </w:tc>
      </w:tr>
      <w:tr w:rsidR="00A00405" w:rsidRPr="0010725E" w14:paraId="5D34630D" w14:textId="77777777" w:rsidTr="007E29D9">
        <w:trPr>
          <w:trHeight w:val="20"/>
          <w:jc w:val="center"/>
        </w:trPr>
        <w:tc>
          <w:tcPr>
            <w:tcW w:w="1939" w:type="pct"/>
          </w:tcPr>
          <w:p w14:paraId="09CC7F88" w14:textId="77777777" w:rsidR="00A00405" w:rsidRPr="0010725E" w:rsidRDefault="00A00405" w:rsidP="00A00405">
            <w:pPr>
              <w:widowControl w:val="0"/>
              <w:ind w:left="103" w:right="698"/>
              <w:contextualSpacing/>
              <w:rPr>
                <w:szCs w:val="22"/>
              </w:rPr>
            </w:pPr>
            <w:r w:rsidRPr="0010725E">
              <w:rPr>
                <w:szCs w:val="22"/>
              </w:rPr>
              <w:t>Makushi (Karib) e Wapishana (Aruak)</w:t>
            </w:r>
          </w:p>
        </w:tc>
        <w:tc>
          <w:tcPr>
            <w:tcW w:w="1275" w:type="pct"/>
          </w:tcPr>
          <w:p w14:paraId="05454646" w14:textId="77777777" w:rsidR="00A00405" w:rsidRPr="0010725E" w:rsidRDefault="00A00405" w:rsidP="00A00405">
            <w:pPr>
              <w:widowControl w:val="0"/>
              <w:ind w:left="103" w:right="214"/>
              <w:contextualSpacing/>
              <w:rPr>
                <w:szCs w:val="22"/>
              </w:rPr>
            </w:pPr>
            <w:r w:rsidRPr="0010725E">
              <w:rPr>
                <w:szCs w:val="22"/>
              </w:rPr>
              <w:t>Roraima, Brazil Guyana, Venezuela</w:t>
            </w:r>
          </w:p>
        </w:tc>
        <w:tc>
          <w:tcPr>
            <w:tcW w:w="497" w:type="pct"/>
          </w:tcPr>
          <w:p w14:paraId="4DA591F1" w14:textId="77777777" w:rsidR="00A00405" w:rsidRPr="0010725E" w:rsidRDefault="00A00405" w:rsidP="00A00405">
            <w:pPr>
              <w:contextualSpacing/>
              <w:rPr>
                <w:szCs w:val="22"/>
              </w:rPr>
            </w:pPr>
          </w:p>
        </w:tc>
        <w:tc>
          <w:tcPr>
            <w:tcW w:w="498" w:type="pct"/>
          </w:tcPr>
          <w:p w14:paraId="63DCB253" w14:textId="77777777" w:rsidR="00A00405" w:rsidRPr="0010725E" w:rsidRDefault="00A00405" w:rsidP="00A00405">
            <w:pPr>
              <w:contextualSpacing/>
              <w:rPr>
                <w:szCs w:val="22"/>
              </w:rPr>
            </w:pPr>
          </w:p>
        </w:tc>
        <w:tc>
          <w:tcPr>
            <w:tcW w:w="791" w:type="pct"/>
          </w:tcPr>
          <w:p w14:paraId="24B209F3" w14:textId="77777777" w:rsidR="00A00405" w:rsidRPr="0010725E" w:rsidRDefault="00A00405" w:rsidP="00A00405">
            <w:pPr>
              <w:widowControl w:val="0"/>
              <w:ind w:left="158" w:right="158"/>
              <w:contextualSpacing/>
              <w:jc w:val="center"/>
              <w:rPr>
                <w:szCs w:val="22"/>
              </w:rPr>
            </w:pPr>
            <w:r w:rsidRPr="0010725E">
              <w:rPr>
                <w:szCs w:val="22"/>
              </w:rPr>
              <w:t>76,77</w:t>
            </w:r>
          </w:p>
        </w:tc>
      </w:tr>
      <w:tr w:rsidR="00A00405" w:rsidRPr="0010725E" w14:paraId="5CC57DB6" w14:textId="77777777" w:rsidTr="007E29D9">
        <w:trPr>
          <w:trHeight w:val="20"/>
          <w:jc w:val="center"/>
        </w:trPr>
        <w:tc>
          <w:tcPr>
            <w:tcW w:w="1939" w:type="pct"/>
          </w:tcPr>
          <w:p w14:paraId="3DC8D745" w14:textId="77777777" w:rsidR="00A00405" w:rsidRPr="0010725E" w:rsidRDefault="00A00405" w:rsidP="00A00405">
            <w:pPr>
              <w:keepNext/>
              <w:keepLines/>
              <w:widowControl w:val="0"/>
              <w:ind w:left="103" w:right="148"/>
              <w:contextualSpacing/>
              <w:rPr>
                <w:szCs w:val="22"/>
                <w:lang w:val="es-CO"/>
              </w:rPr>
            </w:pPr>
            <w:r w:rsidRPr="0010725E">
              <w:rPr>
                <w:szCs w:val="22"/>
                <w:lang w:val="es-CO"/>
              </w:rPr>
              <w:t>Cubeo, Piratapuia e Tukano (Tukano), Tikuna (Tikuna) e Sateré- Mawé (Mawé)</w:t>
            </w:r>
          </w:p>
        </w:tc>
        <w:tc>
          <w:tcPr>
            <w:tcW w:w="1275" w:type="pct"/>
          </w:tcPr>
          <w:p w14:paraId="5CF73AF8" w14:textId="77777777" w:rsidR="00A00405" w:rsidRPr="0010725E" w:rsidRDefault="00A00405" w:rsidP="00A00405">
            <w:pPr>
              <w:keepNext/>
              <w:keepLines/>
              <w:widowControl w:val="0"/>
              <w:ind w:left="103" w:right="329"/>
              <w:contextualSpacing/>
              <w:rPr>
                <w:szCs w:val="22"/>
                <w:lang w:val="pt-BR"/>
              </w:rPr>
            </w:pPr>
            <w:r w:rsidRPr="0010725E">
              <w:rPr>
                <w:szCs w:val="22"/>
                <w:lang w:val="pt-BR"/>
              </w:rPr>
              <w:t>Cuieiras river, Lower Rio Negro, AM, Brazil</w:t>
            </w:r>
          </w:p>
        </w:tc>
        <w:tc>
          <w:tcPr>
            <w:tcW w:w="497" w:type="pct"/>
          </w:tcPr>
          <w:p w14:paraId="139E322F" w14:textId="77777777" w:rsidR="00A00405" w:rsidRPr="0010725E" w:rsidRDefault="00A00405" w:rsidP="00A00405">
            <w:pPr>
              <w:widowControl w:val="0"/>
              <w:ind w:left="124" w:right="124"/>
              <w:contextualSpacing/>
              <w:jc w:val="center"/>
              <w:rPr>
                <w:szCs w:val="22"/>
              </w:rPr>
            </w:pPr>
            <w:r w:rsidRPr="0010725E">
              <w:rPr>
                <w:szCs w:val="22"/>
              </w:rPr>
              <w:t>65</w:t>
            </w:r>
          </w:p>
        </w:tc>
        <w:tc>
          <w:tcPr>
            <w:tcW w:w="498" w:type="pct"/>
          </w:tcPr>
          <w:p w14:paraId="36F7F2BE" w14:textId="77777777" w:rsidR="00A00405" w:rsidRPr="0010725E" w:rsidRDefault="00A00405" w:rsidP="00A00405">
            <w:pPr>
              <w:widowControl w:val="0"/>
              <w:ind w:right="2"/>
              <w:contextualSpacing/>
              <w:jc w:val="center"/>
              <w:rPr>
                <w:szCs w:val="22"/>
              </w:rPr>
            </w:pPr>
            <w:r w:rsidRPr="0010725E">
              <w:rPr>
                <w:szCs w:val="22"/>
              </w:rPr>
              <w:t>5</w:t>
            </w:r>
          </w:p>
        </w:tc>
        <w:tc>
          <w:tcPr>
            <w:tcW w:w="791" w:type="pct"/>
          </w:tcPr>
          <w:p w14:paraId="6128294E" w14:textId="77777777" w:rsidR="00A00405" w:rsidRPr="0010725E" w:rsidRDefault="00A00405" w:rsidP="00A00405">
            <w:pPr>
              <w:widowControl w:val="0"/>
              <w:ind w:left="158" w:right="158"/>
              <w:contextualSpacing/>
              <w:jc w:val="center"/>
              <w:rPr>
                <w:szCs w:val="22"/>
              </w:rPr>
            </w:pPr>
            <w:r w:rsidRPr="0010725E">
              <w:rPr>
                <w:szCs w:val="22"/>
              </w:rPr>
              <w:t>70</w:t>
            </w:r>
          </w:p>
        </w:tc>
      </w:tr>
      <w:tr w:rsidR="00A00405" w:rsidRPr="0010725E" w14:paraId="098A119C" w14:textId="77777777" w:rsidTr="007E29D9">
        <w:trPr>
          <w:trHeight w:val="20"/>
          <w:jc w:val="center"/>
        </w:trPr>
        <w:tc>
          <w:tcPr>
            <w:tcW w:w="1939" w:type="pct"/>
          </w:tcPr>
          <w:p w14:paraId="1F7489EF" w14:textId="77777777" w:rsidR="00A00405" w:rsidRPr="0010725E" w:rsidRDefault="00A00405" w:rsidP="00A00405">
            <w:pPr>
              <w:widowControl w:val="0"/>
              <w:ind w:left="103" w:right="148"/>
              <w:contextualSpacing/>
              <w:rPr>
                <w:szCs w:val="22"/>
              </w:rPr>
            </w:pPr>
            <w:r w:rsidRPr="0010725E">
              <w:rPr>
                <w:szCs w:val="22"/>
              </w:rPr>
              <w:t>Wayana (Karib)</w:t>
            </w:r>
          </w:p>
        </w:tc>
        <w:tc>
          <w:tcPr>
            <w:tcW w:w="1275" w:type="pct"/>
          </w:tcPr>
          <w:p w14:paraId="54DC4EFE" w14:textId="77777777" w:rsidR="00A00405" w:rsidRPr="0010725E" w:rsidRDefault="00A00405" w:rsidP="00A00405">
            <w:pPr>
              <w:widowControl w:val="0"/>
              <w:ind w:left="103" w:right="531"/>
              <w:contextualSpacing/>
              <w:rPr>
                <w:szCs w:val="22"/>
              </w:rPr>
            </w:pPr>
            <w:r w:rsidRPr="0010725E">
              <w:rPr>
                <w:szCs w:val="22"/>
              </w:rPr>
              <w:t>French Guiana</w:t>
            </w:r>
          </w:p>
        </w:tc>
        <w:tc>
          <w:tcPr>
            <w:tcW w:w="497" w:type="pct"/>
          </w:tcPr>
          <w:p w14:paraId="22CF56D1" w14:textId="77777777" w:rsidR="00A00405" w:rsidRPr="0010725E" w:rsidRDefault="00A00405" w:rsidP="00A00405">
            <w:pPr>
              <w:contextualSpacing/>
              <w:rPr>
                <w:szCs w:val="22"/>
              </w:rPr>
            </w:pPr>
          </w:p>
        </w:tc>
        <w:tc>
          <w:tcPr>
            <w:tcW w:w="498" w:type="pct"/>
          </w:tcPr>
          <w:p w14:paraId="07426306" w14:textId="77777777" w:rsidR="00A00405" w:rsidRPr="0010725E" w:rsidRDefault="00A00405" w:rsidP="00A00405">
            <w:pPr>
              <w:contextualSpacing/>
              <w:rPr>
                <w:szCs w:val="22"/>
              </w:rPr>
            </w:pPr>
          </w:p>
        </w:tc>
        <w:tc>
          <w:tcPr>
            <w:tcW w:w="791" w:type="pct"/>
          </w:tcPr>
          <w:p w14:paraId="18DDA184" w14:textId="77777777" w:rsidR="00A00405" w:rsidRPr="0010725E" w:rsidRDefault="00A00405" w:rsidP="00A00405">
            <w:pPr>
              <w:widowControl w:val="0"/>
              <w:ind w:left="158" w:right="158"/>
              <w:contextualSpacing/>
              <w:jc w:val="center"/>
              <w:rPr>
                <w:szCs w:val="22"/>
              </w:rPr>
            </w:pPr>
            <w:r w:rsidRPr="0010725E">
              <w:rPr>
                <w:szCs w:val="22"/>
              </w:rPr>
              <w:t>65</w:t>
            </w:r>
          </w:p>
        </w:tc>
      </w:tr>
      <w:tr w:rsidR="00A00405" w:rsidRPr="0010725E" w14:paraId="7887DEE2" w14:textId="77777777" w:rsidTr="007E29D9">
        <w:trPr>
          <w:trHeight w:val="20"/>
          <w:jc w:val="center"/>
        </w:trPr>
        <w:tc>
          <w:tcPr>
            <w:tcW w:w="1939" w:type="pct"/>
          </w:tcPr>
          <w:p w14:paraId="10D23A2F" w14:textId="77777777" w:rsidR="00A00405" w:rsidRPr="0010725E" w:rsidRDefault="00A00405" w:rsidP="00A00405">
            <w:pPr>
              <w:widowControl w:val="0"/>
              <w:ind w:left="103" w:right="148"/>
              <w:contextualSpacing/>
              <w:rPr>
                <w:szCs w:val="22"/>
              </w:rPr>
            </w:pPr>
            <w:r w:rsidRPr="0010725E">
              <w:rPr>
                <w:szCs w:val="22"/>
              </w:rPr>
              <w:t>Pluri-ethnic communities</w:t>
            </w:r>
          </w:p>
        </w:tc>
        <w:tc>
          <w:tcPr>
            <w:tcW w:w="1275" w:type="pct"/>
          </w:tcPr>
          <w:p w14:paraId="6C0ECC80" w14:textId="77777777" w:rsidR="00A00405" w:rsidRPr="0010725E" w:rsidRDefault="00A00405" w:rsidP="00A00405">
            <w:pPr>
              <w:widowControl w:val="0"/>
              <w:ind w:left="103" w:right="268"/>
              <w:contextualSpacing/>
              <w:rPr>
                <w:szCs w:val="22"/>
              </w:rPr>
            </w:pPr>
            <w:r w:rsidRPr="0010725E">
              <w:rPr>
                <w:szCs w:val="22"/>
              </w:rPr>
              <w:t>Middle Rio Negro, AM, Brazil</w:t>
            </w:r>
          </w:p>
        </w:tc>
        <w:tc>
          <w:tcPr>
            <w:tcW w:w="497" w:type="pct"/>
          </w:tcPr>
          <w:p w14:paraId="0EC849E2" w14:textId="77777777" w:rsidR="00A00405" w:rsidRPr="0010725E" w:rsidRDefault="00A00405" w:rsidP="00A00405">
            <w:pPr>
              <w:contextualSpacing/>
              <w:rPr>
                <w:szCs w:val="22"/>
              </w:rPr>
            </w:pPr>
          </w:p>
        </w:tc>
        <w:tc>
          <w:tcPr>
            <w:tcW w:w="498" w:type="pct"/>
          </w:tcPr>
          <w:p w14:paraId="34C70E7C" w14:textId="77777777" w:rsidR="00A00405" w:rsidRPr="0010725E" w:rsidRDefault="00A00405" w:rsidP="00A00405">
            <w:pPr>
              <w:contextualSpacing/>
              <w:rPr>
                <w:szCs w:val="22"/>
              </w:rPr>
            </w:pPr>
          </w:p>
        </w:tc>
        <w:tc>
          <w:tcPr>
            <w:tcW w:w="791" w:type="pct"/>
          </w:tcPr>
          <w:p w14:paraId="53838B67" w14:textId="77777777" w:rsidR="00A00405" w:rsidRPr="0010725E" w:rsidRDefault="00A00405" w:rsidP="00A00405">
            <w:pPr>
              <w:widowControl w:val="0"/>
              <w:ind w:left="158" w:right="158"/>
              <w:contextualSpacing/>
              <w:jc w:val="center"/>
              <w:rPr>
                <w:szCs w:val="22"/>
              </w:rPr>
            </w:pPr>
            <w:r w:rsidRPr="0010725E">
              <w:rPr>
                <w:szCs w:val="22"/>
              </w:rPr>
              <w:t>64</w:t>
            </w:r>
          </w:p>
        </w:tc>
      </w:tr>
      <w:tr w:rsidR="00A00405" w:rsidRPr="0010725E" w14:paraId="1A47B18D" w14:textId="77777777" w:rsidTr="007E29D9">
        <w:trPr>
          <w:trHeight w:val="20"/>
          <w:jc w:val="center"/>
        </w:trPr>
        <w:tc>
          <w:tcPr>
            <w:tcW w:w="1939" w:type="pct"/>
          </w:tcPr>
          <w:p w14:paraId="0F7E7698" w14:textId="77777777" w:rsidR="00A00405" w:rsidRPr="0010725E" w:rsidRDefault="00A00405" w:rsidP="00A00405">
            <w:pPr>
              <w:widowControl w:val="0"/>
              <w:ind w:left="103" w:right="148"/>
              <w:contextualSpacing/>
              <w:rPr>
                <w:szCs w:val="22"/>
              </w:rPr>
            </w:pPr>
            <w:r w:rsidRPr="0010725E">
              <w:rPr>
                <w:szCs w:val="22"/>
              </w:rPr>
              <w:t>Bare (Aruak)</w:t>
            </w:r>
          </w:p>
        </w:tc>
        <w:tc>
          <w:tcPr>
            <w:tcW w:w="1275" w:type="pct"/>
          </w:tcPr>
          <w:p w14:paraId="01986DAE" w14:textId="77777777" w:rsidR="00A00405" w:rsidRPr="0010725E" w:rsidRDefault="00A00405" w:rsidP="00A00405">
            <w:pPr>
              <w:widowControl w:val="0"/>
              <w:ind w:left="103" w:right="354"/>
              <w:contextualSpacing/>
              <w:rPr>
                <w:szCs w:val="22"/>
              </w:rPr>
            </w:pPr>
            <w:r w:rsidRPr="0010725E">
              <w:rPr>
                <w:szCs w:val="22"/>
              </w:rPr>
              <w:t>Upper Rio Negro, AM, Brazil</w:t>
            </w:r>
          </w:p>
        </w:tc>
        <w:tc>
          <w:tcPr>
            <w:tcW w:w="497" w:type="pct"/>
          </w:tcPr>
          <w:p w14:paraId="4FB45220" w14:textId="77777777" w:rsidR="00A00405" w:rsidRPr="0010725E" w:rsidRDefault="00A00405" w:rsidP="00A00405">
            <w:pPr>
              <w:contextualSpacing/>
              <w:rPr>
                <w:szCs w:val="22"/>
              </w:rPr>
            </w:pPr>
          </w:p>
        </w:tc>
        <w:tc>
          <w:tcPr>
            <w:tcW w:w="498" w:type="pct"/>
          </w:tcPr>
          <w:p w14:paraId="53BF6C05" w14:textId="77777777" w:rsidR="00A00405" w:rsidRPr="0010725E" w:rsidRDefault="00A00405" w:rsidP="00A00405">
            <w:pPr>
              <w:contextualSpacing/>
              <w:rPr>
                <w:szCs w:val="22"/>
              </w:rPr>
            </w:pPr>
          </w:p>
        </w:tc>
        <w:tc>
          <w:tcPr>
            <w:tcW w:w="791" w:type="pct"/>
          </w:tcPr>
          <w:p w14:paraId="719FCB50" w14:textId="77777777" w:rsidR="00A00405" w:rsidRPr="0010725E" w:rsidRDefault="00A00405" w:rsidP="00A00405">
            <w:pPr>
              <w:widowControl w:val="0"/>
              <w:ind w:left="158" w:right="158"/>
              <w:contextualSpacing/>
              <w:jc w:val="center"/>
              <w:rPr>
                <w:szCs w:val="22"/>
              </w:rPr>
            </w:pPr>
            <w:r w:rsidRPr="0010725E">
              <w:rPr>
                <w:szCs w:val="22"/>
              </w:rPr>
              <w:t>60</w:t>
            </w:r>
          </w:p>
        </w:tc>
      </w:tr>
      <w:tr w:rsidR="00A00405" w:rsidRPr="0010725E" w14:paraId="448854CD" w14:textId="77777777" w:rsidTr="007E29D9">
        <w:trPr>
          <w:trHeight w:val="20"/>
          <w:jc w:val="center"/>
        </w:trPr>
        <w:tc>
          <w:tcPr>
            <w:tcW w:w="1939" w:type="pct"/>
          </w:tcPr>
          <w:p w14:paraId="4B7340DE" w14:textId="77777777" w:rsidR="00A00405" w:rsidRPr="0010725E" w:rsidRDefault="00A00405" w:rsidP="00A00405">
            <w:pPr>
              <w:widowControl w:val="0"/>
              <w:ind w:left="103" w:right="331"/>
              <w:contextualSpacing/>
              <w:rPr>
                <w:szCs w:val="22"/>
              </w:rPr>
            </w:pPr>
            <w:r w:rsidRPr="0010725E">
              <w:rPr>
                <w:szCs w:val="22"/>
              </w:rPr>
              <w:t>Local communities Mamirauá and Amanã</w:t>
            </w:r>
          </w:p>
        </w:tc>
        <w:tc>
          <w:tcPr>
            <w:tcW w:w="1275" w:type="pct"/>
          </w:tcPr>
          <w:p w14:paraId="1F8C6BE7" w14:textId="77777777" w:rsidR="00A00405" w:rsidRPr="0010725E" w:rsidRDefault="00A00405" w:rsidP="00A00405">
            <w:pPr>
              <w:widowControl w:val="0"/>
              <w:ind w:left="103" w:right="372"/>
              <w:contextualSpacing/>
              <w:rPr>
                <w:szCs w:val="22"/>
              </w:rPr>
            </w:pPr>
            <w:r w:rsidRPr="0010725E">
              <w:rPr>
                <w:szCs w:val="22"/>
              </w:rPr>
              <w:t>Middle Solimões, AM, Brazil</w:t>
            </w:r>
          </w:p>
        </w:tc>
        <w:tc>
          <w:tcPr>
            <w:tcW w:w="497" w:type="pct"/>
          </w:tcPr>
          <w:p w14:paraId="69143BEE" w14:textId="77777777" w:rsidR="00A00405" w:rsidRPr="0010725E" w:rsidRDefault="00A00405" w:rsidP="00A00405">
            <w:pPr>
              <w:contextualSpacing/>
              <w:rPr>
                <w:szCs w:val="22"/>
              </w:rPr>
            </w:pPr>
          </w:p>
        </w:tc>
        <w:tc>
          <w:tcPr>
            <w:tcW w:w="498" w:type="pct"/>
          </w:tcPr>
          <w:p w14:paraId="484C1072" w14:textId="77777777" w:rsidR="00A00405" w:rsidRPr="0010725E" w:rsidRDefault="00A00405" w:rsidP="00A00405">
            <w:pPr>
              <w:contextualSpacing/>
              <w:rPr>
                <w:szCs w:val="22"/>
              </w:rPr>
            </w:pPr>
          </w:p>
        </w:tc>
        <w:tc>
          <w:tcPr>
            <w:tcW w:w="791" w:type="pct"/>
          </w:tcPr>
          <w:p w14:paraId="291FD057" w14:textId="77777777" w:rsidR="00A00405" w:rsidRPr="0010725E" w:rsidRDefault="00A00405" w:rsidP="00A00405">
            <w:pPr>
              <w:widowControl w:val="0"/>
              <w:ind w:left="158" w:right="158"/>
              <w:contextualSpacing/>
              <w:jc w:val="center"/>
              <w:rPr>
                <w:szCs w:val="22"/>
              </w:rPr>
            </w:pPr>
            <w:r w:rsidRPr="0010725E">
              <w:rPr>
                <w:szCs w:val="22"/>
              </w:rPr>
              <w:t>54</w:t>
            </w:r>
          </w:p>
        </w:tc>
      </w:tr>
      <w:tr w:rsidR="00A00405" w:rsidRPr="0010725E" w14:paraId="6905FAAB" w14:textId="77777777" w:rsidTr="007E29D9">
        <w:trPr>
          <w:trHeight w:val="20"/>
          <w:jc w:val="center"/>
        </w:trPr>
        <w:tc>
          <w:tcPr>
            <w:tcW w:w="1939" w:type="pct"/>
          </w:tcPr>
          <w:p w14:paraId="3D2A02FB" w14:textId="77777777" w:rsidR="00A00405" w:rsidRPr="0010725E" w:rsidRDefault="00A00405" w:rsidP="00A00405">
            <w:pPr>
              <w:widowControl w:val="0"/>
              <w:ind w:left="103" w:right="148"/>
              <w:contextualSpacing/>
              <w:rPr>
                <w:szCs w:val="22"/>
              </w:rPr>
            </w:pPr>
            <w:r w:rsidRPr="0010725E">
              <w:rPr>
                <w:szCs w:val="22"/>
              </w:rPr>
              <w:t>Kayapo-Mebêngôkre (Jê)</w:t>
            </w:r>
          </w:p>
        </w:tc>
        <w:tc>
          <w:tcPr>
            <w:tcW w:w="1275" w:type="pct"/>
          </w:tcPr>
          <w:p w14:paraId="0FC12E1B" w14:textId="77777777" w:rsidR="00A00405" w:rsidRPr="0010725E" w:rsidRDefault="00A00405" w:rsidP="00A00405">
            <w:pPr>
              <w:widowControl w:val="0"/>
              <w:ind w:left="103" w:right="531"/>
              <w:contextualSpacing/>
              <w:rPr>
                <w:szCs w:val="22"/>
              </w:rPr>
            </w:pPr>
            <w:r w:rsidRPr="0010725E">
              <w:rPr>
                <w:szCs w:val="22"/>
              </w:rPr>
              <w:t>Pará, Brazil</w:t>
            </w:r>
          </w:p>
        </w:tc>
        <w:tc>
          <w:tcPr>
            <w:tcW w:w="497" w:type="pct"/>
          </w:tcPr>
          <w:p w14:paraId="011269E6" w14:textId="77777777" w:rsidR="00A00405" w:rsidRPr="0010725E" w:rsidRDefault="00A00405" w:rsidP="00A00405">
            <w:pPr>
              <w:contextualSpacing/>
              <w:rPr>
                <w:szCs w:val="22"/>
              </w:rPr>
            </w:pPr>
          </w:p>
        </w:tc>
        <w:tc>
          <w:tcPr>
            <w:tcW w:w="498" w:type="pct"/>
          </w:tcPr>
          <w:p w14:paraId="3A7556D9" w14:textId="77777777" w:rsidR="00A00405" w:rsidRPr="0010725E" w:rsidRDefault="00A00405" w:rsidP="00A00405">
            <w:pPr>
              <w:contextualSpacing/>
              <w:rPr>
                <w:szCs w:val="22"/>
              </w:rPr>
            </w:pPr>
          </w:p>
        </w:tc>
        <w:tc>
          <w:tcPr>
            <w:tcW w:w="791" w:type="pct"/>
          </w:tcPr>
          <w:p w14:paraId="4291A8D0" w14:textId="77777777" w:rsidR="00A00405" w:rsidRPr="0010725E" w:rsidRDefault="00A00405" w:rsidP="00A00405">
            <w:pPr>
              <w:widowControl w:val="0"/>
              <w:ind w:left="158" w:right="158"/>
              <w:contextualSpacing/>
              <w:jc w:val="center"/>
              <w:rPr>
                <w:szCs w:val="22"/>
              </w:rPr>
            </w:pPr>
            <w:r w:rsidRPr="0010725E">
              <w:rPr>
                <w:szCs w:val="22"/>
              </w:rPr>
              <w:t>46</w:t>
            </w:r>
          </w:p>
        </w:tc>
      </w:tr>
      <w:tr w:rsidR="00A00405" w:rsidRPr="0010725E" w14:paraId="308D60B1" w14:textId="77777777" w:rsidTr="007E29D9">
        <w:trPr>
          <w:trHeight w:val="20"/>
          <w:jc w:val="center"/>
        </w:trPr>
        <w:tc>
          <w:tcPr>
            <w:tcW w:w="1939" w:type="pct"/>
          </w:tcPr>
          <w:p w14:paraId="256E5A6C" w14:textId="77777777" w:rsidR="00A00405" w:rsidRPr="0010725E" w:rsidRDefault="00A00405" w:rsidP="00A00405">
            <w:pPr>
              <w:widowControl w:val="0"/>
              <w:ind w:left="103" w:right="148"/>
              <w:contextualSpacing/>
              <w:rPr>
                <w:szCs w:val="22"/>
              </w:rPr>
            </w:pPr>
            <w:r w:rsidRPr="0010725E">
              <w:rPr>
                <w:szCs w:val="22"/>
              </w:rPr>
              <w:t>Kuikuro (Karib)</w:t>
            </w:r>
          </w:p>
        </w:tc>
        <w:tc>
          <w:tcPr>
            <w:tcW w:w="1275" w:type="pct"/>
          </w:tcPr>
          <w:p w14:paraId="158FB515" w14:textId="77777777" w:rsidR="00A00405" w:rsidRPr="0010725E" w:rsidRDefault="00A00405" w:rsidP="00A00405">
            <w:pPr>
              <w:keepNext/>
              <w:keepLines/>
              <w:widowControl w:val="0"/>
              <w:ind w:left="103" w:right="207"/>
              <w:contextualSpacing/>
              <w:rPr>
                <w:szCs w:val="22"/>
                <w:lang w:val="pt-BR"/>
              </w:rPr>
            </w:pPr>
            <w:r w:rsidRPr="0010725E">
              <w:rPr>
                <w:szCs w:val="22"/>
                <w:lang w:val="pt-BR"/>
              </w:rPr>
              <w:t>Upper Xingu, Mato Grosso, Brazil</w:t>
            </w:r>
          </w:p>
        </w:tc>
        <w:tc>
          <w:tcPr>
            <w:tcW w:w="497" w:type="pct"/>
          </w:tcPr>
          <w:p w14:paraId="4522A3EC" w14:textId="77777777" w:rsidR="00A00405" w:rsidRPr="0010725E" w:rsidRDefault="00A00405" w:rsidP="00A00405">
            <w:pPr>
              <w:keepNext/>
              <w:keepLines/>
              <w:spacing w:before="100" w:line="276" w:lineRule="auto"/>
              <w:contextualSpacing/>
              <w:rPr>
                <w:szCs w:val="22"/>
                <w:lang w:val="pt-BR"/>
              </w:rPr>
            </w:pPr>
          </w:p>
        </w:tc>
        <w:tc>
          <w:tcPr>
            <w:tcW w:w="498" w:type="pct"/>
          </w:tcPr>
          <w:p w14:paraId="5CF75E8A" w14:textId="77777777" w:rsidR="00A00405" w:rsidRPr="0010725E" w:rsidRDefault="00A00405" w:rsidP="00A00405">
            <w:pPr>
              <w:keepNext/>
              <w:keepLines/>
              <w:spacing w:before="100" w:line="276" w:lineRule="auto"/>
              <w:contextualSpacing/>
              <w:rPr>
                <w:szCs w:val="22"/>
                <w:lang w:val="pt-BR"/>
              </w:rPr>
            </w:pPr>
          </w:p>
        </w:tc>
        <w:tc>
          <w:tcPr>
            <w:tcW w:w="791" w:type="pct"/>
          </w:tcPr>
          <w:p w14:paraId="18F2AAC1" w14:textId="77777777" w:rsidR="00A00405" w:rsidRPr="0010725E" w:rsidRDefault="00A00405" w:rsidP="00A00405">
            <w:pPr>
              <w:widowControl w:val="0"/>
              <w:ind w:left="158" w:right="160"/>
              <w:contextualSpacing/>
              <w:jc w:val="center"/>
              <w:rPr>
                <w:szCs w:val="22"/>
              </w:rPr>
            </w:pPr>
            <w:r w:rsidRPr="0010725E">
              <w:rPr>
                <w:szCs w:val="22"/>
              </w:rPr>
              <w:t>36-46</w:t>
            </w:r>
          </w:p>
        </w:tc>
      </w:tr>
      <w:tr w:rsidR="00A00405" w:rsidRPr="0010725E" w14:paraId="0B663E4B" w14:textId="77777777" w:rsidTr="007E29D9">
        <w:trPr>
          <w:trHeight w:val="20"/>
          <w:jc w:val="center"/>
        </w:trPr>
        <w:tc>
          <w:tcPr>
            <w:tcW w:w="1939" w:type="pct"/>
          </w:tcPr>
          <w:p w14:paraId="3AC33114" w14:textId="77777777" w:rsidR="00A00405" w:rsidRPr="0010725E" w:rsidRDefault="00A00405" w:rsidP="00A00405">
            <w:pPr>
              <w:widowControl w:val="0"/>
              <w:ind w:left="103" w:right="148"/>
              <w:contextualSpacing/>
              <w:rPr>
                <w:szCs w:val="22"/>
              </w:rPr>
            </w:pPr>
            <w:r w:rsidRPr="0010725E">
              <w:rPr>
                <w:szCs w:val="22"/>
              </w:rPr>
              <w:t>Pataxó (Macro-Jê)</w:t>
            </w:r>
          </w:p>
        </w:tc>
        <w:tc>
          <w:tcPr>
            <w:tcW w:w="1275" w:type="pct"/>
          </w:tcPr>
          <w:p w14:paraId="6D3EB0BE" w14:textId="77777777" w:rsidR="00A00405" w:rsidRPr="0010725E" w:rsidRDefault="00A00405" w:rsidP="00A00405">
            <w:pPr>
              <w:widowControl w:val="0"/>
              <w:ind w:left="103" w:right="531"/>
              <w:contextualSpacing/>
              <w:rPr>
                <w:szCs w:val="22"/>
              </w:rPr>
            </w:pPr>
            <w:r w:rsidRPr="0010725E">
              <w:rPr>
                <w:szCs w:val="22"/>
              </w:rPr>
              <w:t>Bahia, Brazil</w:t>
            </w:r>
          </w:p>
        </w:tc>
        <w:tc>
          <w:tcPr>
            <w:tcW w:w="497" w:type="pct"/>
          </w:tcPr>
          <w:p w14:paraId="190F591E" w14:textId="77777777" w:rsidR="00A00405" w:rsidRPr="0010725E" w:rsidRDefault="00A00405" w:rsidP="00A00405">
            <w:pPr>
              <w:contextualSpacing/>
              <w:rPr>
                <w:szCs w:val="22"/>
              </w:rPr>
            </w:pPr>
          </w:p>
        </w:tc>
        <w:tc>
          <w:tcPr>
            <w:tcW w:w="498" w:type="pct"/>
          </w:tcPr>
          <w:p w14:paraId="7CDAA38B" w14:textId="77777777" w:rsidR="00A00405" w:rsidRPr="0010725E" w:rsidRDefault="00A00405" w:rsidP="00A00405">
            <w:pPr>
              <w:contextualSpacing/>
              <w:rPr>
                <w:szCs w:val="22"/>
              </w:rPr>
            </w:pPr>
          </w:p>
        </w:tc>
        <w:tc>
          <w:tcPr>
            <w:tcW w:w="791" w:type="pct"/>
          </w:tcPr>
          <w:p w14:paraId="6AC10EEB" w14:textId="77777777" w:rsidR="00A00405" w:rsidRPr="0010725E" w:rsidRDefault="00A00405" w:rsidP="00A00405">
            <w:pPr>
              <w:widowControl w:val="0"/>
              <w:ind w:left="158" w:right="158"/>
              <w:contextualSpacing/>
              <w:jc w:val="center"/>
              <w:rPr>
                <w:szCs w:val="22"/>
              </w:rPr>
            </w:pPr>
            <w:r w:rsidRPr="0010725E">
              <w:rPr>
                <w:szCs w:val="22"/>
              </w:rPr>
              <w:t>34</w:t>
            </w:r>
          </w:p>
        </w:tc>
      </w:tr>
      <w:tr w:rsidR="00A00405" w:rsidRPr="0010725E" w14:paraId="47FA3C4B" w14:textId="77777777" w:rsidTr="007E29D9">
        <w:trPr>
          <w:trHeight w:val="20"/>
          <w:jc w:val="center"/>
        </w:trPr>
        <w:tc>
          <w:tcPr>
            <w:tcW w:w="1939" w:type="pct"/>
          </w:tcPr>
          <w:p w14:paraId="6C706C74" w14:textId="77777777" w:rsidR="00A00405" w:rsidRPr="0010725E" w:rsidRDefault="00A00405" w:rsidP="00A00405">
            <w:pPr>
              <w:widowControl w:val="0"/>
              <w:ind w:left="103" w:right="148"/>
              <w:contextualSpacing/>
              <w:rPr>
                <w:szCs w:val="22"/>
              </w:rPr>
            </w:pPr>
            <w:r w:rsidRPr="0010725E">
              <w:rPr>
                <w:szCs w:val="22"/>
              </w:rPr>
              <w:t>Paumari (Arawa)</w:t>
            </w:r>
          </w:p>
        </w:tc>
        <w:tc>
          <w:tcPr>
            <w:tcW w:w="1275" w:type="pct"/>
          </w:tcPr>
          <w:p w14:paraId="2FFD9A99" w14:textId="77777777" w:rsidR="00A00405" w:rsidRPr="0010725E" w:rsidRDefault="00A00405" w:rsidP="00A00405">
            <w:pPr>
              <w:widowControl w:val="0"/>
              <w:ind w:left="103" w:right="268"/>
              <w:contextualSpacing/>
              <w:rPr>
                <w:szCs w:val="22"/>
              </w:rPr>
            </w:pPr>
            <w:r w:rsidRPr="0010725E">
              <w:rPr>
                <w:szCs w:val="22"/>
              </w:rPr>
              <w:t>Purus, AM, Brazil</w:t>
            </w:r>
          </w:p>
        </w:tc>
        <w:tc>
          <w:tcPr>
            <w:tcW w:w="497" w:type="pct"/>
          </w:tcPr>
          <w:p w14:paraId="2F20AE2F" w14:textId="77777777" w:rsidR="00A00405" w:rsidRPr="0010725E" w:rsidRDefault="00A00405" w:rsidP="00A00405">
            <w:pPr>
              <w:contextualSpacing/>
              <w:rPr>
                <w:szCs w:val="22"/>
              </w:rPr>
            </w:pPr>
          </w:p>
        </w:tc>
        <w:tc>
          <w:tcPr>
            <w:tcW w:w="498" w:type="pct"/>
          </w:tcPr>
          <w:p w14:paraId="13C7094F" w14:textId="77777777" w:rsidR="00A00405" w:rsidRPr="0010725E" w:rsidRDefault="00A00405" w:rsidP="00A00405">
            <w:pPr>
              <w:contextualSpacing/>
              <w:rPr>
                <w:szCs w:val="22"/>
              </w:rPr>
            </w:pPr>
          </w:p>
        </w:tc>
        <w:tc>
          <w:tcPr>
            <w:tcW w:w="791" w:type="pct"/>
          </w:tcPr>
          <w:p w14:paraId="55BCD312" w14:textId="77777777" w:rsidR="00A00405" w:rsidRPr="0010725E" w:rsidRDefault="00A00405" w:rsidP="00A00405">
            <w:pPr>
              <w:widowControl w:val="0"/>
              <w:ind w:left="158" w:right="160"/>
              <w:contextualSpacing/>
              <w:jc w:val="center"/>
              <w:rPr>
                <w:szCs w:val="22"/>
              </w:rPr>
            </w:pPr>
            <w:r w:rsidRPr="0010725E">
              <w:rPr>
                <w:szCs w:val="22"/>
              </w:rPr>
              <w:t>14 - 30</w:t>
            </w:r>
          </w:p>
        </w:tc>
      </w:tr>
      <w:tr w:rsidR="00A00405" w:rsidRPr="0010725E" w14:paraId="310B2F1A" w14:textId="77777777" w:rsidTr="007E29D9">
        <w:trPr>
          <w:trHeight w:val="20"/>
          <w:jc w:val="center"/>
        </w:trPr>
        <w:tc>
          <w:tcPr>
            <w:tcW w:w="1939" w:type="pct"/>
          </w:tcPr>
          <w:p w14:paraId="65E7F285" w14:textId="77777777" w:rsidR="00A00405" w:rsidRPr="0010725E" w:rsidRDefault="00A00405" w:rsidP="00A00405">
            <w:pPr>
              <w:widowControl w:val="0"/>
              <w:ind w:left="103" w:right="148"/>
              <w:contextualSpacing/>
              <w:rPr>
                <w:szCs w:val="22"/>
              </w:rPr>
            </w:pPr>
            <w:r w:rsidRPr="0010725E">
              <w:rPr>
                <w:szCs w:val="22"/>
              </w:rPr>
              <w:t>Krahô (Timbira-Jê)</w:t>
            </w:r>
          </w:p>
        </w:tc>
        <w:tc>
          <w:tcPr>
            <w:tcW w:w="1275" w:type="pct"/>
          </w:tcPr>
          <w:p w14:paraId="0E4FBA07" w14:textId="77777777" w:rsidR="00A00405" w:rsidRPr="0010725E" w:rsidRDefault="00A00405" w:rsidP="00A00405">
            <w:pPr>
              <w:widowControl w:val="0"/>
              <w:ind w:left="103" w:right="268"/>
              <w:contextualSpacing/>
              <w:rPr>
                <w:szCs w:val="22"/>
              </w:rPr>
            </w:pPr>
            <w:r w:rsidRPr="0010725E">
              <w:rPr>
                <w:szCs w:val="22"/>
              </w:rPr>
              <w:t>Tocantins, Brazil</w:t>
            </w:r>
          </w:p>
        </w:tc>
        <w:tc>
          <w:tcPr>
            <w:tcW w:w="497" w:type="pct"/>
          </w:tcPr>
          <w:p w14:paraId="23A04CA0" w14:textId="77777777" w:rsidR="00A00405" w:rsidRPr="0010725E" w:rsidRDefault="00A00405" w:rsidP="00A00405">
            <w:pPr>
              <w:widowControl w:val="0"/>
              <w:contextualSpacing/>
              <w:jc w:val="center"/>
              <w:rPr>
                <w:szCs w:val="22"/>
              </w:rPr>
            </w:pPr>
            <w:r w:rsidRPr="0010725E">
              <w:rPr>
                <w:szCs w:val="22"/>
              </w:rPr>
              <w:t>9</w:t>
            </w:r>
          </w:p>
        </w:tc>
        <w:tc>
          <w:tcPr>
            <w:tcW w:w="498" w:type="pct"/>
          </w:tcPr>
          <w:p w14:paraId="57A864CC" w14:textId="77777777" w:rsidR="00A00405" w:rsidRPr="0010725E" w:rsidRDefault="00A00405" w:rsidP="00A00405">
            <w:pPr>
              <w:widowControl w:val="0"/>
              <w:ind w:left="124" w:right="126"/>
              <w:contextualSpacing/>
              <w:jc w:val="center"/>
              <w:rPr>
                <w:szCs w:val="22"/>
              </w:rPr>
            </w:pPr>
            <w:r w:rsidRPr="0010725E">
              <w:rPr>
                <w:szCs w:val="22"/>
              </w:rPr>
              <w:t>12</w:t>
            </w:r>
          </w:p>
        </w:tc>
        <w:tc>
          <w:tcPr>
            <w:tcW w:w="791" w:type="pct"/>
          </w:tcPr>
          <w:p w14:paraId="722FDBAB" w14:textId="77777777" w:rsidR="00A00405" w:rsidRPr="0010725E" w:rsidRDefault="00A00405" w:rsidP="00A00405">
            <w:pPr>
              <w:widowControl w:val="0"/>
              <w:ind w:left="158" w:right="158"/>
              <w:contextualSpacing/>
              <w:jc w:val="center"/>
              <w:rPr>
                <w:szCs w:val="22"/>
              </w:rPr>
            </w:pPr>
            <w:r w:rsidRPr="0010725E">
              <w:rPr>
                <w:szCs w:val="22"/>
              </w:rPr>
              <w:t>21</w:t>
            </w:r>
          </w:p>
        </w:tc>
      </w:tr>
      <w:tr w:rsidR="00A00405" w:rsidRPr="0010725E" w14:paraId="553ED6F6" w14:textId="77777777" w:rsidTr="007E29D9">
        <w:trPr>
          <w:trHeight w:val="20"/>
          <w:jc w:val="center"/>
        </w:trPr>
        <w:tc>
          <w:tcPr>
            <w:tcW w:w="1939" w:type="pct"/>
          </w:tcPr>
          <w:p w14:paraId="151AB537" w14:textId="77777777" w:rsidR="00A00405" w:rsidRPr="0010725E" w:rsidRDefault="00A00405" w:rsidP="00A00405">
            <w:pPr>
              <w:widowControl w:val="0"/>
              <w:ind w:left="103"/>
              <w:contextualSpacing/>
              <w:rPr>
                <w:szCs w:val="22"/>
              </w:rPr>
            </w:pPr>
            <w:r w:rsidRPr="0010725E">
              <w:rPr>
                <w:szCs w:val="22"/>
              </w:rPr>
              <w:t>Canela-Ramkokamekra (Timbira-Jê)</w:t>
            </w:r>
          </w:p>
        </w:tc>
        <w:tc>
          <w:tcPr>
            <w:tcW w:w="1275" w:type="pct"/>
          </w:tcPr>
          <w:p w14:paraId="3CA6BE5F" w14:textId="77777777" w:rsidR="00A00405" w:rsidRPr="0010725E" w:rsidRDefault="00A00405" w:rsidP="00A00405">
            <w:pPr>
              <w:widowControl w:val="0"/>
              <w:ind w:left="103" w:right="268"/>
              <w:contextualSpacing/>
              <w:rPr>
                <w:szCs w:val="22"/>
              </w:rPr>
            </w:pPr>
            <w:r w:rsidRPr="0010725E">
              <w:rPr>
                <w:szCs w:val="22"/>
              </w:rPr>
              <w:t>Maranhão, Brazil</w:t>
            </w:r>
          </w:p>
        </w:tc>
        <w:tc>
          <w:tcPr>
            <w:tcW w:w="497" w:type="pct"/>
          </w:tcPr>
          <w:p w14:paraId="63E20F9C" w14:textId="77777777" w:rsidR="00A00405" w:rsidRPr="0010725E" w:rsidRDefault="00A00405" w:rsidP="00A00405">
            <w:pPr>
              <w:widowControl w:val="0"/>
              <w:contextualSpacing/>
              <w:jc w:val="center"/>
              <w:rPr>
                <w:szCs w:val="22"/>
              </w:rPr>
            </w:pPr>
            <w:r w:rsidRPr="0010725E">
              <w:rPr>
                <w:szCs w:val="22"/>
              </w:rPr>
              <w:t>7</w:t>
            </w:r>
          </w:p>
        </w:tc>
        <w:tc>
          <w:tcPr>
            <w:tcW w:w="498" w:type="pct"/>
          </w:tcPr>
          <w:p w14:paraId="727DD05A" w14:textId="77777777" w:rsidR="00A00405" w:rsidRPr="0010725E" w:rsidRDefault="00A00405" w:rsidP="00A00405">
            <w:pPr>
              <w:widowControl w:val="0"/>
              <w:ind w:right="2"/>
              <w:contextualSpacing/>
              <w:jc w:val="center"/>
              <w:rPr>
                <w:szCs w:val="22"/>
              </w:rPr>
            </w:pPr>
            <w:r w:rsidRPr="0010725E">
              <w:rPr>
                <w:szCs w:val="22"/>
              </w:rPr>
              <w:t>9</w:t>
            </w:r>
          </w:p>
        </w:tc>
        <w:tc>
          <w:tcPr>
            <w:tcW w:w="791" w:type="pct"/>
          </w:tcPr>
          <w:p w14:paraId="5FAEF020" w14:textId="77777777" w:rsidR="00A00405" w:rsidRPr="0010725E" w:rsidRDefault="00A00405" w:rsidP="00A00405">
            <w:pPr>
              <w:widowControl w:val="0"/>
              <w:ind w:left="158" w:right="158"/>
              <w:contextualSpacing/>
              <w:jc w:val="center"/>
              <w:rPr>
                <w:szCs w:val="22"/>
              </w:rPr>
            </w:pPr>
            <w:r w:rsidRPr="0010725E">
              <w:rPr>
                <w:szCs w:val="22"/>
              </w:rPr>
              <w:t>16</w:t>
            </w:r>
          </w:p>
        </w:tc>
      </w:tr>
      <w:tr w:rsidR="00A00405" w:rsidRPr="0010725E" w14:paraId="64D893F4" w14:textId="77777777" w:rsidTr="007E29D9">
        <w:trPr>
          <w:trHeight w:val="20"/>
          <w:jc w:val="center"/>
        </w:trPr>
        <w:tc>
          <w:tcPr>
            <w:tcW w:w="1939" w:type="pct"/>
          </w:tcPr>
          <w:p w14:paraId="66C98550" w14:textId="77777777" w:rsidR="00A00405" w:rsidRPr="0010725E" w:rsidRDefault="00A00405" w:rsidP="00A00405">
            <w:pPr>
              <w:widowControl w:val="0"/>
              <w:ind w:left="103" w:right="148"/>
              <w:contextualSpacing/>
              <w:rPr>
                <w:szCs w:val="22"/>
              </w:rPr>
            </w:pPr>
            <w:r w:rsidRPr="0010725E">
              <w:rPr>
                <w:szCs w:val="22"/>
              </w:rPr>
              <w:t>Kaiabi (Tupi-Guarani)</w:t>
            </w:r>
          </w:p>
        </w:tc>
        <w:tc>
          <w:tcPr>
            <w:tcW w:w="1275" w:type="pct"/>
          </w:tcPr>
          <w:p w14:paraId="5C0C481F" w14:textId="77777777" w:rsidR="00A00405" w:rsidRPr="0010725E" w:rsidRDefault="00A00405" w:rsidP="00A00405">
            <w:pPr>
              <w:widowControl w:val="0"/>
              <w:ind w:left="103" w:right="104"/>
              <w:contextualSpacing/>
              <w:rPr>
                <w:szCs w:val="22"/>
              </w:rPr>
            </w:pPr>
            <w:r w:rsidRPr="0010725E">
              <w:rPr>
                <w:szCs w:val="22"/>
              </w:rPr>
              <w:t>Mato Grosso, Brazil</w:t>
            </w:r>
          </w:p>
        </w:tc>
        <w:tc>
          <w:tcPr>
            <w:tcW w:w="497" w:type="pct"/>
          </w:tcPr>
          <w:p w14:paraId="5E37A2FA" w14:textId="77777777" w:rsidR="00A00405" w:rsidRPr="0010725E" w:rsidRDefault="00A00405" w:rsidP="00A00405">
            <w:pPr>
              <w:widowControl w:val="0"/>
              <w:contextualSpacing/>
              <w:jc w:val="center"/>
              <w:rPr>
                <w:szCs w:val="22"/>
              </w:rPr>
            </w:pPr>
            <w:r w:rsidRPr="0010725E">
              <w:rPr>
                <w:szCs w:val="22"/>
              </w:rPr>
              <w:t>9</w:t>
            </w:r>
          </w:p>
        </w:tc>
        <w:tc>
          <w:tcPr>
            <w:tcW w:w="498" w:type="pct"/>
          </w:tcPr>
          <w:p w14:paraId="1774493C" w14:textId="77777777" w:rsidR="00A00405" w:rsidRPr="0010725E" w:rsidRDefault="00A00405" w:rsidP="00A00405">
            <w:pPr>
              <w:widowControl w:val="0"/>
              <w:ind w:right="2"/>
              <w:contextualSpacing/>
              <w:jc w:val="center"/>
              <w:rPr>
                <w:szCs w:val="22"/>
              </w:rPr>
            </w:pPr>
            <w:r w:rsidRPr="0010725E">
              <w:rPr>
                <w:szCs w:val="22"/>
              </w:rPr>
              <w:t>6</w:t>
            </w:r>
          </w:p>
        </w:tc>
        <w:tc>
          <w:tcPr>
            <w:tcW w:w="791" w:type="pct"/>
          </w:tcPr>
          <w:p w14:paraId="632A324D" w14:textId="77777777" w:rsidR="00A00405" w:rsidRPr="0010725E" w:rsidRDefault="00A00405" w:rsidP="00A00405">
            <w:pPr>
              <w:widowControl w:val="0"/>
              <w:ind w:left="158" w:right="158"/>
              <w:contextualSpacing/>
              <w:jc w:val="center"/>
              <w:rPr>
                <w:szCs w:val="22"/>
              </w:rPr>
            </w:pPr>
            <w:r w:rsidRPr="0010725E">
              <w:rPr>
                <w:szCs w:val="22"/>
              </w:rPr>
              <w:t>15</w:t>
            </w:r>
          </w:p>
        </w:tc>
      </w:tr>
      <w:tr w:rsidR="00A00405" w:rsidRPr="0010725E" w14:paraId="51E76E39" w14:textId="77777777" w:rsidTr="007E29D9">
        <w:trPr>
          <w:trHeight w:val="20"/>
          <w:jc w:val="center"/>
        </w:trPr>
        <w:tc>
          <w:tcPr>
            <w:tcW w:w="1939" w:type="pct"/>
          </w:tcPr>
          <w:p w14:paraId="63B0EBA1" w14:textId="77777777" w:rsidR="00A00405" w:rsidRPr="0010725E" w:rsidRDefault="00A00405" w:rsidP="00A00405">
            <w:pPr>
              <w:widowControl w:val="0"/>
              <w:ind w:left="103" w:right="148"/>
              <w:contextualSpacing/>
              <w:rPr>
                <w:szCs w:val="22"/>
              </w:rPr>
            </w:pPr>
            <w:r w:rsidRPr="0010725E">
              <w:rPr>
                <w:szCs w:val="22"/>
              </w:rPr>
              <w:t>Enawenê-Nawê (Aruak)</w:t>
            </w:r>
          </w:p>
        </w:tc>
        <w:tc>
          <w:tcPr>
            <w:tcW w:w="1275" w:type="pct"/>
          </w:tcPr>
          <w:p w14:paraId="154C6039" w14:textId="77777777" w:rsidR="00A00405" w:rsidRPr="0010725E" w:rsidRDefault="00A00405" w:rsidP="00A00405">
            <w:pPr>
              <w:widowControl w:val="0"/>
              <w:ind w:left="103" w:right="104"/>
              <w:contextualSpacing/>
              <w:rPr>
                <w:szCs w:val="22"/>
              </w:rPr>
            </w:pPr>
            <w:r w:rsidRPr="0010725E">
              <w:rPr>
                <w:szCs w:val="22"/>
              </w:rPr>
              <w:t>Mato Grosso, Brazil</w:t>
            </w:r>
          </w:p>
        </w:tc>
        <w:tc>
          <w:tcPr>
            <w:tcW w:w="497" w:type="pct"/>
          </w:tcPr>
          <w:p w14:paraId="2E14314A" w14:textId="77777777" w:rsidR="00A00405" w:rsidRPr="0010725E" w:rsidRDefault="00A00405" w:rsidP="00A00405">
            <w:pPr>
              <w:widowControl w:val="0"/>
              <w:ind w:left="124" w:right="124"/>
              <w:contextualSpacing/>
              <w:jc w:val="center"/>
              <w:rPr>
                <w:szCs w:val="22"/>
              </w:rPr>
            </w:pPr>
            <w:r w:rsidRPr="0010725E">
              <w:rPr>
                <w:szCs w:val="22"/>
              </w:rPr>
              <w:t>14</w:t>
            </w:r>
          </w:p>
        </w:tc>
        <w:tc>
          <w:tcPr>
            <w:tcW w:w="498" w:type="pct"/>
          </w:tcPr>
          <w:p w14:paraId="57B3C1C4" w14:textId="77777777" w:rsidR="00A00405" w:rsidRPr="0010725E" w:rsidRDefault="00A00405" w:rsidP="00A00405">
            <w:pPr>
              <w:widowControl w:val="0"/>
              <w:ind w:right="2"/>
              <w:contextualSpacing/>
              <w:jc w:val="center"/>
              <w:rPr>
                <w:szCs w:val="22"/>
              </w:rPr>
            </w:pPr>
            <w:r w:rsidRPr="0010725E">
              <w:rPr>
                <w:szCs w:val="22"/>
              </w:rPr>
              <w:t>1</w:t>
            </w:r>
          </w:p>
        </w:tc>
        <w:tc>
          <w:tcPr>
            <w:tcW w:w="791" w:type="pct"/>
          </w:tcPr>
          <w:p w14:paraId="261D6CE6" w14:textId="77777777" w:rsidR="00A00405" w:rsidRPr="0010725E" w:rsidRDefault="00A00405" w:rsidP="00A00405">
            <w:pPr>
              <w:widowControl w:val="0"/>
              <w:ind w:left="158" w:right="158"/>
              <w:contextualSpacing/>
              <w:jc w:val="center"/>
              <w:rPr>
                <w:szCs w:val="22"/>
              </w:rPr>
            </w:pPr>
            <w:r w:rsidRPr="0010725E">
              <w:rPr>
                <w:szCs w:val="22"/>
              </w:rPr>
              <w:t>15</w:t>
            </w:r>
          </w:p>
        </w:tc>
      </w:tr>
      <w:tr w:rsidR="00A00405" w:rsidRPr="0010725E" w14:paraId="5CF50FA8" w14:textId="77777777" w:rsidTr="00A00405">
        <w:trPr>
          <w:trHeight w:val="20"/>
          <w:jc w:val="center"/>
        </w:trPr>
        <w:tc>
          <w:tcPr>
            <w:tcW w:w="5000" w:type="pct"/>
            <w:gridSpan w:val="5"/>
          </w:tcPr>
          <w:p w14:paraId="367C632A" w14:textId="4A948ED4" w:rsidR="00A00405" w:rsidRPr="0010725E" w:rsidRDefault="00A00405" w:rsidP="00322A42">
            <w:pPr>
              <w:contextualSpacing/>
              <w:rPr>
                <w:sz w:val="20"/>
                <w:szCs w:val="20"/>
              </w:rPr>
            </w:pPr>
            <w:r w:rsidRPr="0010725E">
              <w:rPr>
                <w:sz w:val="20"/>
                <w:szCs w:val="20"/>
              </w:rPr>
              <w:t>Source</w:t>
            </w:r>
            <w:r w:rsidR="002D2C47" w:rsidRPr="0010725E">
              <w:rPr>
                <w:sz w:val="20"/>
                <w:szCs w:val="20"/>
              </w:rPr>
              <w:t xml:space="preserve">: compiled by Carneiro da Cunha </w:t>
            </w:r>
            <w:r w:rsidR="00322A42" w:rsidRPr="0010725E">
              <w:rPr>
                <w:sz w:val="20"/>
                <w:szCs w:val="20"/>
              </w:rPr>
              <w:t>&amp;</w:t>
            </w:r>
            <w:r w:rsidRPr="0010725E">
              <w:rPr>
                <w:sz w:val="20"/>
                <w:szCs w:val="20"/>
              </w:rPr>
              <w:t xml:space="preserve"> Morin de Lima (</w:t>
            </w:r>
            <w:r w:rsidR="00322A42" w:rsidRPr="0010725E">
              <w:rPr>
                <w:sz w:val="20"/>
                <w:szCs w:val="20"/>
              </w:rPr>
              <w:t>2017</w:t>
            </w:r>
            <w:r w:rsidRPr="0010725E">
              <w:rPr>
                <w:sz w:val="20"/>
                <w:szCs w:val="20"/>
              </w:rPr>
              <w:t>).</w:t>
            </w:r>
          </w:p>
        </w:tc>
      </w:tr>
    </w:tbl>
    <w:p w14:paraId="6D33911B" w14:textId="28FF83C2" w:rsidR="00692612" w:rsidRPr="008608AA" w:rsidRDefault="00A00405" w:rsidP="007E29D9">
      <w:pPr>
        <w:spacing w:before="240"/>
      </w:pPr>
      <w:r w:rsidRPr="008608AA">
        <w:t>Indigenous knowledge and management practices also play an important role in conserving aquatic resources in both freshwater and marine environments. The First Salmon ceremony practiced by many indigenous groups in the Pacific Northwest of North America is an example: it indicates the annual opening of the fishery and its ecological function is also consistent</w:t>
      </w:r>
      <w:r w:rsidRPr="008608AA">
        <w:rPr>
          <w:i/>
        </w:rPr>
        <w:t xml:space="preserve"> </w:t>
      </w:r>
      <w:r w:rsidRPr="008608AA">
        <w:t xml:space="preserve">with cultural values encoded in stories and rituals about respecting salmon, allowing creatures to reproduce, not interfering with the leaders in migration, and reciprocal obligations of humans and non-human beings, in general (Berkes, 2008). For example in the Amazonian hydraulic system of embankments (locally known as </w:t>
      </w:r>
      <w:r w:rsidRPr="008608AA">
        <w:rPr>
          <w:i/>
        </w:rPr>
        <w:t>camellones</w:t>
      </w:r>
      <w:r w:rsidRPr="008608AA">
        <w:t xml:space="preserve">) in the Llanos de Moxos (Bolivia) and Acre and Rondonia (Brazil) has been a way of taming the landscape in the face of continuous floods, instead of taming species, designing a variety of permanent and seasonal habitats and ecotones for the fish fauna and other wild foods may proliferate; in addition to providing elevations for crops, housing and ponds to store water and food, such as mollusks, fish, reptiles, generating more attractive conditions for the fauna of interest (Denevan, 1966; Erickson, 2010). Also in the highlands of the Andes, the agricultural infrastructure of the </w:t>
      </w:r>
      <w:r w:rsidRPr="008608AA">
        <w:rPr>
          <w:i/>
        </w:rPr>
        <w:t>suka kollus</w:t>
      </w:r>
      <w:r w:rsidRPr="008608AA">
        <w:t xml:space="preserve"> in relation to the Titicaca Lake (shared by Peru and Bolivia) is the oldest one in South America (Erickson, 2006). Basically, these structures consist of a series of land platforms surrounded by water channels and arranged in different ways according to the slope and are constructed by digging the ground for the formation of earth channels and the soil of the channels is distributed above the platforms, raising the original surface of the ground. The </w:t>
      </w:r>
      <w:r w:rsidRPr="008608AA">
        <w:rPr>
          <w:i/>
        </w:rPr>
        <w:t>suka kollus</w:t>
      </w:r>
      <w:r w:rsidRPr="008608AA">
        <w:t xml:space="preserve"> form a microclimate that allows to obtain high yields (potatoes and fish farming), reduce the effects of frost on crops, recycle the nutrients contained in the organic matter of the canals, drain excess water and irrigate crops (Erickson, 2006).</w:t>
      </w:r>
      <w:r w:rsidR="00692612" w:rsidRPr="008608AA">
        <w:t xml:space="preserve"> </w:t>
      </w:r>
    </w:p>
    <w:p w14:paraId="56094E6E" w14:textId="1EA19FAC" w:rsidR="00A00405" w:rsidRPr="008608AA" w:rsidRDefault="00A00405" w:rsidP="007E29D9">
      <w:pPr>
        <w:spacing w:before="240"/>
      </w:pPr>
      <w:r w:rsidRPr="008608AA">
        <w:t xml:space="preserve">Indigenous and local knowledge systems plays a key role in food production systems, they are important resource in the conservation of domestic crop varieties for many species and wild plant as well as animal communities (Nakashima &amp; Roué, 2002). For example, traditional livestock production systems include animals as an integral part of the landscape; in some parts of the highlands of Peru alpaca and vicuña are considered flagship species, and this has allowed rural tourism (Hoffmann et al., 2014), while in Mesoamerica and South America, oxen or bulls have been used for plowing and horses or mules for cultivation  (Starkey, 2010). However, in the conversion of natural ecosystems to those altered for intensive food production, many of the properties linked to cultural services of indigenous peoples are reduced, and one of the major problems indigenous peoples face is land use change and degradation, which leads to the transformation or loss of traditional knowledge (Danver, 2015). For example, the </w:t>
      </w:r>
      <w:r w:rsidRPr="008608AA">
        <w:rPr>
          <w:i/>
        </w:rPr>
        <w:t>aynuqas</w:t>
      </w:r>
      <w:r w:rsidRPr="008608AA">
        <w:t xml:space="preserve"> system applied in the Andes of Bolivia and Peru, organizes the agricultural production to dry land as the livestock by the use of the grasses (Benavidez, 1999). It is part of the historical memory of the community and is one of the constituent elements of its identity; the succession and rotation of the plots function as a spatial and temporal reference that preserves the recollection of the crops, good or bad (Riviére, 1994). Traditional management has varied like the intensive use of fodder, the use of chemical fertilizers and pesticides, as well as incentives for raising cattle (Hervé &amp; Ayangma, 2000).</w:t>
      </w:r>
    </w:p>
    <w:p w14:paraId="2BC6B33C" w14:textId="77777777" w:rsidR="007E29D9" w:rsidRPr="008608AA" w:rsidRDefault="007E29D9" w:rsidP="007E29D9">
      <w:pPr>
        <w:spacing w:before="240"/>
      </w:pPr>
    </w:p>
    <w:p w14:paraId="3E12A6DB" w14:textId="3F59029B" w:rsidR="00A00405" w:rsidRPr="008608AA" w:rsidRDefault="00692612" w:rsidP="007E29D9">
      <w:pPr>
        <w:pStyle w:val="Heading2"/>
      </w:pPr>
      <w:bookmarkStart w:id="724" w:name="_Toc517393275"/>
      <w:bookmarkStart w:id="725" w:name="_Toc517719016"/>
      <w:bookmarkStart w:id="726" w:name="_Toc517796973"/>
      <w:r w:rsidRPr="008608AA">
        <w:t>Addressing access, benefit sharing and v</w:t>
      </w:r>
      <w:r w:rsidR="00A00405" w:rsidRPr="008608AA">
        <w:t>alues</w:t>
      </w:r>
      <w:bookmarkEnd w:id="724"/>
      <w:bookmarkEnd w:id="725"/>
      <w:bookmarkEnd w:id="726"/>
    </w:p>
    <w:p w14:paraId="6C97F1AD" w14:textId="2EAACE6F" w:rsidR="00A00405" w:rsidRPr="008608AA" w:rsidRDefault="00A00405" w:rsidP="007E29D9">
      <w:pPr>
        <w:spacing w:after="120"/>
      </w:pPr>
      <w:r w:rsidRPr="008608AA">
        <w:t>Access is fundamental to obtain the benefits that accrue to well-being from the direct use and experience of nature; benefit sharing too is required for nature’s contributions to people to be distributed among different stakeholders, particularly those that are not directly connected to an ecosystem and/or have less power. For example, family farmers account for more than 80% of all farmers in the Americas (excluding the Caribbean), which is below the global proportion of 98%. Nevertheless, only 18% of agricultural lands are held by family farmers in South America and 68% in North America and Mesoamerica (Graeub et al., 2016). Inequity in land access, particularly in South America, conditions the human-nature relationships that can take place in a given location, which in turn leads to different benefits but also affects the values that are represented in decision-making regarding how ecosystems are used towards quality of life. Consequently, specific policies have been developed to promote access and benefit sharing (see examples in Chapter 6), but while many nations enshrine these as rights, even delineated in their constitutions, legislation and jurisprudence (</w:t>
      </w:r>
      <w:r w:rsidR="00847F60" w:rsidRPr="008608AA">
        <w:t>e.g.</w:t>
      </w:r>
      <w:r w:rsidRPr="008608AA">
        <w:t xml:space="preserve"> more than half of Mesoamerican and South American countries recognize a legal ri</w:t>
      </w:r>
      <w:r w:rsidR="0088306D" w:rsidRPr="008608AA">
        <w:t>ght to water</w:t>
      </w:r>
      <w:r w:rsidRPr="008608AA">
        <w:t xml:space="preserve"> </w:t>
      </w:r>
      <w:r w:rsidR="0088306D" w:rsidRPr="008608AA">
        <w:t>(</w:t>
      </w:r>
      <w:r w:rsidRPr="008608AA">
        <w:t>Mora Portuguez &amp; Dubois Cisneros, 2015)</w:t>
      </w:r>
      <w:r w:rsidR="0088306D" w:rsidRPr="008608AA">
        <w:t>)</w:t>
      </w:r>
      <w:r w:rsidRPr="008608AA">
        <w:t xml:space="preserve">, little information exists on the broad-scale status and trends of the relationship between access and benefit sharing, values and well-being, limiting comparisons between subregions or biomes. </w:t>
      </w:r>
    </w:p>
    <w:p w14:paraId="1C1F7D0D" w14:textId="01E4C72D" w:rsidR="00A00405" w:rsidRPr="008608AA" w:rsidRDefault="00A00405" w:rsidP="007E29D9">
      <w:pPr>
        <w:spacing w:after="120"/>
      </w:pPr>
      <w:r w:rsidRPr="008608AA">
        <w:t>Nonetheless, it is possible to find the consequences of a lack of access and benefit sharing when socio-environmental conflicts arise throughout the region, which are based not only on divergent uses and interests between social groups, but also on inherent differences in values and knowledge systems that are at play in these trade-offs (Temper et al., 2015). For example, conflicts over access and benefit sharing can occur due to discrepancies over resource use (</w:t>
      </w:r>
      <w:r w:rsidR="00847F60" w:rsidRPr="008608AA">
        <w:t>e.g.</w:t>
      </w:r>
      <w:r w:rsidRPr="008608AA">
        <w:t xml:space="preserve"> mining versus water rights) or the distribution of costs/benefits (</w:t>
      </w:r>
      <w:r w:rsidR="00847F60" w:rsidRPr="008608AA">
        <w:t>e.g.</w:t>
      </w:r>
      <w:r w:rsidRPr="008608AA">
        <w:t xml:space="preserve"> pesticides to increase crop yields versus health impacts to adjacent communities), but also broader social constructs based on worldviews regarding property tenure (</w:t>
      </w:r>
      <w:r w:rsidR="00847F60" w:rsidRPr="008608AA">
        <w:t>e.g.</w:t>
      </w:r>
      <w:r w:rsidRPr="008608AA">
        <w:t xml:space="preserve"> indigenous versus private rights) and management jurisdictions (</w:t>
      </w:r>
      <w:r w:rsidR="00847F60" w:rsidRPr="008608AA">
        <w:t>e.g.</w:t>
      </w:r>
      <w:r w:rsidRPr="008608AA">
        <w:t xml:space="preserve"> traditional or commons management versus state protected areas). The ecosystem services literature has emphasized payment for ecosystem services (Wunder, 2005, see Chapter 6), which is one attempt to re-connect human societies and relate diverse stakeholders to not only receive a benefit, such as food or water (FAO, 2011a), but also contribute to its continuation or compensate the stakeholders who provide the service. This approach has also been identified as a way to monetarize the contribution of protected areas to social well-being and better include them in decision-making, specifically in Latin America (FAO, 2009). For example, to better link the use and provision of water, in Quito, Ecuador, city dwellers pay small landowners in the headwaters of streams and rivers to conserve riparian vegetation (Espinosa, 2005). In 2013, Colombia also implemented a payment for ecosystem services initiative for water resources (Decree 953/13). Similarly, Costa Rica’s national payment for ecosystem services scheme aims to conserve forests, and their associated ecosystem service, but while being lauded for its innovation, the program has also been criticized for not actually translating into economic benefits for participants (Arriagada et al., 2015). Therefore, while payment for ecosystem services has received significant attention from academics and governmental institutions, other proposals are also needed, including ecotourism development models, land use zoning and informed consent for development projects (see Chapter 6 for a full discussion on policy).</w:t>
      </w:r>
    </w:p>
    <w:p w14:paraId="7F0D114B" w14:textId="52781D3C" w:rsidR="00A00405" w:rsidRPr="008608AA" w:rsidRDefault="00A00405" w:rsidP="007E29D9">
      <w:pPr>
        <w:spacing w:after="120"/>
      </w:pPr>
      <w:r w:rsidRPr="008608AA">
        <w:t xml:space="preserve">Nonetheless, conflicts regarding access and benefit sharing of nature appear to be increasing. Regional observatories have been established with a particular emphasis on mining (see </w:t>
      </w:r>
      <w:hyperlink r:id="rId104">
        <w:r w:rsidRPr="008608AA">
          <w:rPr>
            <w:color w:val="0000FF"/>
            <w:u w:val="single"/>
          </w:rPr>
          <w:t>https://www.ocmal.org/</w:t>
        </w:r>
      </w:hyperlink>
      <w:r w:rsidRPr="008608AA">
        <w:t>). Data from the Environmental Justice Atlas indicate that there are important differences in the number of conflicts per country and subregion (</w:t>
      </w:r>
      <w:r w:rsidR="00847F60" w:rsidRPr="008608AA">
        <w:t>e.g.</w:t>
      </w:r>
      <w:r w:rsidRPr="008608AA">
        <w:t xml:space="preserve"> 137 in North America, 137 in Mesoamerica, 4 in the Caribbean, 490 in South America), which could be due to variation in the issues surrounding the use of nature, but it can also be the result of social factors, such as leadership, social capital, organization capacity and power relationships. Chile’s National Human Rights Institute (</w:t>
      </w:r>
      <w:hyperlink r:id="rId105">
        <w:r w:rsidRPr="008608AA">
          <w:rPr>
            <w:color w:val="0000FF"/>
            <w:u w:val="single"/>
          </w:rPr>
          <w:t>http://www.indh.cl/mapadeconflictos</w:t>
        </w:r>
      </w:hyperlink>
      <w:r w:rsidRPr="008608AA">
        <w:t>) has shown that approximately 30% of socio-environmental conflicts in its jurisdiction occur in indigenous territories, but only 18% are caused by mining. Agro-industrial expansion has also been identified as an important driver of socio-environmental conflicts in subtropical and tropical portions of South America, where concentrated land tenure displaces local users and affects not only livelihoods (</w:t>
      </w:r>
      <w:r w:rsidR="00B20C8E" w:rsidRPr="008608AA">
        <w:t>section</w:t>
      </w:r>
      <w:r w:rsidRPr="008608AA">
        <w:t xml:space="preserve"> 2.3.5), but also broader measures of biodiversity and ecosystem services (Cáceres et al., 2015). Some state protected areas can also have a similar effect to limit access and benefit sharing for local stakeholders who conducted traditional management of an area for hunting, fishing or swidden agriculture, giving rise to the term “conservation refugees” that are particularly problematic in areas like the Atlantic forest biome of Brazil (</w:t>
      </w:r>
      <w:r w:rsidR="00847F60" w:rsidRPr="008608AA">
        <w:t>e.g.</w:t>
      </w:r>
      <w:r w:rsidRPr="008608AA">
        <w:t xml:space="preserve"> Bahia et al. 2014, see Chapter 1, section 1.6.2). </w:t>
      </w:r>
    </w:p>
    <w:p w14:paraId="210EB802" w14:textId="0AE3861E" w:rsidR="00A00405" w:rsidRPr="008608AA" w:rsidRDefault="00A00405" w:rsidP="007E29D9">
      <w:pPr>
        <w:spacing w:after="120"/>
      </w:pPr>
      <w:r w:rsidRPr="008608AA">
        <w:t xml:space="preserve">In conclusion, while payment for ecosystem services is one of the principal mechanisms proposed to help achieve Aichi </w:t>
      </w:r>
      <w:r w:rsidR="00847F60" w:rsidRPr="008608AA">
        <w:t>target</w:t>
      </w:r>
      <w:r w:rsidRPr="008608AA">
        <w:t xml:space="preserve"> 3 and SDG10 and reconcile the distribution of the costs and benefits of providing nature’s contributions to people, it does not necessarily account for inter-generational equity, nor does it account for alternative values and value systems. Since the current use of forests, fisheries, freshwater and other natural resources in most parts of the world is judged to be unsustainable and species loss to extinction has accelerated (Travis &amp; Hester, 1991; Cohen, 1995; Jackson et al., 2001; Brown et al., 2005; MA, 2005; IPCC, 2007; Dawson et al., 2011, see also Chapter 3), the options and actions of future generations and stakeholders with alternative worldviews are compromised unless significant efforts are made to not only maintain and/or restore the capacity of nature to provide benefits to people, but also reconcile the access and benefit sharing of nature between social groups and generations (</w:t>
      </w:r>
      <w:r w:rsidR="00B20C8E" w:rsidRPr="008608AA">
        <w:t>section</w:t>
      </w:r>
      <w:r w:rsidRPr="008608AA">
        <w:t xml:space="preserve"> 2.6 on Ecological footprint and biocapacity section). Such efforts require institutional change at several levels (see Box 2.6). </w:t>
      </w:r>
    </w:p>
    <w:p w14:paraId="559CF08F" w14:textId="77777777" w:rsidR="00593E3A" w:rsidRDefault="00593E3A" w:rsidP="007E29D9">
      <w:pPr>
        <w:spacing w:after="120"/>
      </w:pPr>
    </w:p>
    <w:p w14:paraId="7BF607DC" w14:textId="120D9557" w:rsidR="00564C75" w:rsidRDefault="00564C75" w:rsidP="007E29D9">
      <w:pPr>
        <w:spacing w:after="120"/>
      </w:pPr>
    </w:p>
    <w:p w14:paraId="2E26D6E4" w14:textId="77777777" w:rsidR="0010725E" w:rsidRDefault="0010725E" w:rsidP="007E29D9">
      <w:pPr>
        <w:spacing w:after="120"/>
      </w:pPr>
    </w:p>
    <w:p w14:paraId="289884B3" w14:textId="77777777" w:rsidR="00564C75" w:rsidRPr="008608AA" w:rsidRDefault="00564C75" w:rsidP="007E29D9">
      <w:pPr>
        <w:spacing w:after="120"/>
      </w:pPr>
    </w:p>
    <w:p w14:paraId="4CB5E504" w14:textId="3E5EA9F1" w:rsidR="00A00405" w:rsidRPr="008608AA" w:rsidRDefault="007E29D9" w:rsidP="007E29D9">
      <w:pPr>
        <w:pStyle w:val="Caption"/>
      </w:pPr>
      <w:bookmarkStart w:id="727" w:name="_Toc516922441"/>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6</w:t>
      </w:r>
      <w:r w:rsidR="000E562E">
        <w:rPr>
          <w:noProof/>
        </w:rPr>
        <w:fldChar w:fldCharType="end"/>
      </w:r>
      <w:r w:rsidRPr="008608AA">
        <w:t xml:space="preserve">. </w:t>
      </w:r>
      <w:r w:rsidR="00A00405" w:rsidRPr="008608AA">
        <w:t>Institutions mediating access to nature´s contributions to people.</w:t>
      </w:r>
      <w:bookmarkEnd w:id="727"/>
    </w:p>
    <w:tbl>
      <w:tblPr>
        <w:tblW w:w="5000" w:type="pct"/>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487"/>
      </w:tblGrid>
      <w:tr w:rsidR="00A00405" w:rsidRPr="0010725E" w14:paraId="7021FE25" w14:textId="77777777" w:rsidTr="00A00405">
        <w:trPr>
          <w:jc w:val="right"/>
        </w:trPr>
        <w:tc>
          <w:tcPr>
            <w:tcW w:w="5000" w:type="pct"/>
          </w:tcPr>
          <w:p w14:paraId="791F9E72" w14:textId="77777777" w:rsidR="00A00405" w:rsidRPr="0010725E" w:rsidRDefault="00A00405" w:rsidP="008C40F1">
            <w:pPr>
              <w:spacing w:after="120"/>
              <w:rPr>
                <w:szCs w:val="22"/>
              </w:rPr>
            </w:pPr>
            <w:r w:rsidRPr="0010725E">
              <w:rPr>
                <w:szCs w:val="22"/>
              </w:rPr>
              <w:t xml:space="preserve">Institutions link changes in the production of ecosystem services to changes in human well-being. Berbes-Blazquez et al. (2016) define institutions as “the arrangements that people design to regulate their interactions with ecosystems and may include organizations as well as rule systems”. While studies have assessed the value of nature to people and the effects of nature’s services on quality of life, scholarship has less frequently focused on the formal and informal institutional systems that determine the type of access members of a community have to nature’s contributions. Berbes-Blazquez et al. (2016) identify three specific gaps in knowledge in this area: 1) data concerning the effects of improved ecosystem service flows on human well-being, when power dynamics impact the distribution of benefits; 2) data concerning the co-production of ecosystem services, which involves a relationship between social and ecological systems; and 3) data concerning the historical factors that have shaped power relations between institutions and social groups that use and distribute ecosystem services. </w:t>
            </w:r>
          </w:p>
          <w:p w14:paraId="4D0E6D01" w14:textId="1EC6AC89" w:rsidR="00A00405" w:rsidRPr="0010725E" w:rsidRDefault="00A00405" w:rsidP="008C40F1">
            <w:pPr>
              <w:spacing w:after="120"/>
              <w:rPr>
                <w:szCs w:val="22"/>
              </w:rPr>
            </w:pPr>
            <w:r w:rsidRPr="0010725E">
              <w:rPr>
                <w:szCs w:val="22"/>
              </w:rPr>
              <w:t>Power dynamics between institutional and governance systems and various social groups are in large part responsible for shaping the way nature’s contributions to people are conceived and valued and subsequently produced and distributed. Understanding and changing such dynamics is particularly rel</w:t>
            </w:r>
            <w:r w:rsidR="0088306D" w:rsidRPr="0010725E">
              <w:rPr>
                <w:szCs w:val="22"/>
              </w:rPr>
              <w:t>evant to attain SDG10 (Reduced i</w:t>
            </w:r>
            <w:r w:rsidRPr="0010725E">
              <w:rPr>
                <w:szCs w:val="22"/>
              </w:rPr>
              <w:t xml:space="preserve">nqualities). At times, power dynamics leads to unequal access to nature’s services. For example, Costa Rica’s Limón Province produced $822 million of foreign exchange in bananas (a provisioning ecosystem service) and yet is ranked among the poorest provinces in the country (Sánchez Rojas et al., 2013). In this case, nature’s benefits became commodities in a market economy that contribute to foreign actors within powerful institutions at a cost to the quality of life of the community that produced and exported the goods (Berbes-Blazquez et al., 2016). This case also illustrates that local communities, which are most impacted by the degradation of nature and its services, often are also least able to advocate for themselves because external institutions exert a disproportionate amount of control over local management decisions. </w:t>
            </w:r>
          </w:p>
          <w:p w14:paraId="3D78A74A" w14:textId="77777777" w:rsidR="00A00405" w:rsidRPr="0010725E" w:rsidRDefault="00A00405" w:rsidP="008C40F1">
            <w:pPr>
              <w:spacing w:after="120"/>
              <w:rPr>
                <w:szCs w:val="22"/>
              </w:rPr>
            </w:pPr>
            <w:r w:rsidRPr="0010725E">
              <w:rPr>
                <w:szCs w:val="22"/>
              </w:rPr>
              <w:t xml:space="preserve">Institutional relations also impact access to other services. Protected areas were first established in the USA at the end of the nineteenth century by way of the national park system. As subsequent decades saw the creation of protected areas across the globe, the social impacts of some became evident (Adams &amp; Hutton, 2007). For example, the largest protected area in Central America, ‘Bosawas’ National Natural Resource Reserve in Nicaragua, was created in 1991 without the consultation of the indigenous communities and mestizo farmers inhabiting the area (Kaimowitz et al., 2003). NCP in this reserve are numerous: from land for agricultural production of corn, beans and rice, to coveted species of trees such as mahogany and cedar, to countless animals, all of which constitute the full range of services from provisioning to cultural. In the interest of conservation, the creation of protected areass has facilitated institutional actors to make rules about the use of nature’s contributions to people. With the establishment of protected areass as an institutional way to conserve nature and its benefits, it is also essential to understand the issues that arise with regards to access and sharing of those benefits. </w:t>
            </w:r>
          </w:p>
          <w:p w14:paraId="58B6993F" w14:textId="77777777" w:rsidR="00A00405" w:rsidRPr="0010725E" w:rsidRDefault="00A00405" w:rsidP="008C40F1">
            <w:pPr>
              <w:rPr>
                <w:szCs w:val="22"/>
              </w:rPr>
            </w:pPr>
            <w:r w:rsidRPr="0010725E">
              <w:rPr>
                <w:szCs w:val="22"/>
              </w:rPr>
              <w:t xml:space="preserve">Institutions regulate the control and access to ecosystem services. Well-functioning institutions may contribute to making ecosystem services become ecosystem benefits to all members of a community. However, there is a severe lack of empirical data on the accessibility of nature’s contributions to various social groups, as regulated by institutions. This means there is a lack of understanding about how power relations, values and knowledge systems vary between social groups and how these affect the institutions that shape environmental outcomes and access to benefits. </w:t>
            </w:r>
          </w:p>
        </w:tc>
      </w:tr>
    </w:tbl>
    <w:p w14:paraId="7CB96089" w14:textId="77777777" w:rsidR="007E29D9" w:rsidRPr="008608AA" w:rsidRDefault="007E29D9" w:rsidP="008B3BCD"/>
    <w:p w14:paraId="631FBFBC" w14:textId="25E4CD06" w:rsidR="00A00405" w:rsidRPr="008608AA" w:rsidRDefault="00A00405" w:rsidP="007E29D9">
      <w:pPr>
        <w:pStyle w:val="Heading3"/>
      </w:pPr>
      <w:bookmarkStart w:id="728" w:name="_Toc517393276"/>
      <w:bookmarkStart w:id="729" w:name="_Toc517719017"/>
      <w:bookmarkStart w:id="730" w:name="_Toc517796974"/>
      <w:r w:rsidRPr="008608AA">
        <w:t>N</w:t>
      </w:r>
      <w:r w:rsidR="00692612" w:rsidRPr="008608AA">
        <w:t xml:space="preserve">ature’s contributions to people </w:t>
      </w:r>
      <w:r w:rsidRPr="008608AA">
        <w:t>valuations</w:t>
      </w:r>
      <w:bookmarkEnd w:id="728"/>
      <w:bookmarkEnd w:id="729"/>
      <w:bookmarkEnd w:id="730"/>
    </w:p>
    <w:p w14:paraId="6519F725" w14:textId="77777777" w:rsidR="00E95397" w:rsidRDefault="00E95397" w:rsidP="007E29D9"/>
    <w:p w14:paraId="540B7785" w14:textId="48B1B92E" w:rsidR="00A00405" w:rsidRPr="008608AA" w:rsidRDefault="00A00405" w:rsidP="00E95397">
      <w:pPr>
        <w:jc w:val="left"/>
        <w:sectPr w:rsidR="00A00405" w:rsidRPr="008608AA" w:rsidSect="00AA085D">
          <w:pgSz w:w="11907" w:h="16839" w:code="9"/>
          <w:pgMar w:top="907" w:right="992" w:bottom="1418" w:left="1418" w:header="720" w:footer="720" w:gutter="0"/>
          <w:cols w:space="720"/>
          <w:docGrid w:linePitch="326"/>
        </w:sectPr>
      </w:pPr>
      <w:r w:rsidRPr="008608AA">
        <w:t>As noted in section 2.1, IPBES understands the multiple values and valuation methods involved in assessing NCP. This value plurality has been demonstrated throughout Chapter 2 with numerous quantitative and qualitative data. In Table 2.21, we synthesize examples of valuation from the perspectives of biophysical, health, socio-cultural and holistic ILK approaches. Then, we highlight the economic values of nature in the subsequent section and tables (see below). Specifically, the summary (Table 2.21) illustrates how a specific NCP can support different aspects and dimensions of good quality of life for humans. Indeed, it is crucial to understand that while the provision of ecosystem services depends upon their biophysical elements and dynamics (</w:t>
      </w:r>
      <w:r w:rsidR="00847F60" w:rsidRPr="008608AA">
        <w:t>e.g.</w:t>
      </w:r>
      <w:r w:rsidRPr="008608AA">
        <w:t xml:space="preserve"> biodiversity, ecosystem functions), the translation of these ecological features into human well-being requires each NCP to be understood in terms of differe</w:t>
      </w:r>
      <w:r w:rsidR="00564C75">
        <w:t>ntial values and value systems.</w:t>
      </w:r>
    </w:p>
    <w:p w14:paraId="56F51C8E" w14:textId="3E101628" w:rsidR="00A00405" w:rsidRPr="008608AA" w:rsidRDefault="00870677" w:rsidP="00870677">
      <w:pPr>
        <w:pStyle w:val="Caption"/>
        <w:keepNext/>
        <w:rPr>
          <w:b w:val="0"/>
          <w:sz w:val="20"/>
        </w:rPr>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21</w:t>
      </w:r>
      <w:r w:rsidR="000E562E">
        <w:rPr>
          <w:noProof/>
        </w:rPr>
        <w:fldChar w:fldCharType="end"/>
      </w:r>
      <w:r w:rsidR="007E29D9" w:rsidRPr="008608AA">
        <w:t xml:space="preserve">. </w:t>
      </w:r>
      <w:r w:rsidR="00A00405" w:rsidRPr="008608AA">
        <w:t>Nature’s contributions to people support human well-being via multiple values and value systems.</w:t>
      </w:r>
    </w:p>
    <w:tbl>
      <w:tblPr>
        <w:tblW w:w="5000" w:type="pct"/>
        <w:tblLook w:val="0400" w:firstRow="0" w:lastRow="0" w:firstColumn="0" w:lastColumn="0" w:noHBand="0" w:noVBand="1"/>
      </w:tblPr>
      <w:tblGrid>
        <w:gridCol w:w="1966"/>
        <w:gridCol w:w="2953"/>
        <w:gridCol w:w="3052"/>
        <w:gridCol w:w="3078"/>
        <w:gridCol w:w="3455"/>
      </w:tblGrid>
      <w:tr w:rsidR="00A00405" w:rsidRPr="008608AA" w14:paraId="4B73C01E"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14555B5D" w14:textId="77777777" w:rsidR="00A00405" w:rsidRPr="008608AA" w:rsidRDefault="00A00405" w:rsidP="00A00405">
            <w:pPr>
              <w:ind w:left="113" w:right="113"/>
              <w:jc w:val="center"/>
              <w:rPr>
                <w:b/>
                <w:sz w:val="18"/>
                <w:szCs w:val="18"/>
              </w:rPr>
            </w:pPr>
          </w:p>
        </w:tc>
        <w:tc>
          <w:tcPr>
            <w:tcW w:w="4322" w:type="pct"/>
            <w:gridSpan w:val="4"/>
            <w:tcBorders>
              <w:top w:val="single" w:sz="4" w:space="0" w:color="auto"/>
              <w:left w:val="single" w:sz="4" w:space="0" w:color="auto"/>
              <w:bottom w:val="single" w:sz="4" w:space="0" w:color="auto"/>
              <w:right w:val="single" w:sz="4" w:space="0" w:color="auto"/>
            </w:tcBorders>
            <w:shd w:val="clear" w:color="auto" w:fill="FFFFFF"/>
          </w:tcPr>
          <w:p w14:paraId="299EC837" w14:textId="77777777" w:rsidR="00A00405" w:rsidRPr="008608AA" w:rsidRDefault="00A00405" w:rsidP="00A00405">
            <w:pPr>
              <w:jc w:val="center"/>
              <w:rPr>
                <w:b/>
                <w:sz w:val="18"/>
                <w:szCs w:val="18"/>
              </w:rPr>
            </w:pPr>
            <w:r w:rsidRPr="008608AA">
              <w:rPr>
                <w:b/>
                <w:sz w:val="18"/>
                <w:szCs w:val="18"/>
              </w:rPr>
              <w:t>Valuation approaches</w:t>
            </w:r>
          </w:p>
        </w:tc>
      </w:tr>
      <w:tr w:rsidR="00A00405" w:rsidRPr="008608AA" w14:paraId="02686486"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329E2C72" w14:textId="77777777" w:rsidR="00A00405" w:rsidRPr="008608AA" w:rsidRDefault="00A00405" w:rsidP="00A00405">
            <w:pPr>
              <w:ind w:left="113" w:right="113"/>
              <w:jc w:val="center"/>
              <w:rPr>
                <w:b/>
                <w:sz w:val="18"/>
                <w:szCs w:val="18"/>
              </w:rPr>
            </w:pPr>
            <w:r w:rsidRPr="008608AA">
              <w:rPr>
                <w:b/>
                <w:sz w:val="18"/>
                <w:szCs w:val="18"/>
              </w:rPr>
              <w:t>NCP</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791BDA51" w14:textId="77777777" w:rsidR="00A00405" w:rsidRPr="008608AA" w:rsidRDefault="00A00405" w:rsidP="00A00405">
            <w:pPr>
              <w:jc w:val="center"/>
              <w:rPr>
                <w:b/>
                <w:sz w:val="18"/>
                <w:szCs w:val="18"/>
              </w:rPr>
            </w:pPr>
            <w:r w:rsidRPr="008608AA">
              <w:rPr>
                <w:b/>
                <w:sz w:val="18"/>
                <w:szCs w:val="18"/>
              </w:rPr>
              <w:t>Biophysical</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3C934B83" w14:textId="77777777" w:rsidR="00A00405" w:rsidRPr="008608AA" w:rsidRDefault="00A00405" w:rsidP="00A00405">
            <w:pPr>
              <w:jc w:val="center"/>
              <w:rPr>
                <w:b/>
                <w:sz w:val="18"/>
                <w:szCs w:val="18"/>
              </w:rPr>
            </w:pPr>
            <w:r w:rsidRPr="008608AA">
              <w:rPr>
                <w:b/>
                <w:sz w:val="18"/>
                <w:szCs w:val="18"/>
              </w:rPr>
              <w:t>Health</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79C4C49E" w14:textId="77777777" w:rsidR="00A00405" w:rsidRPr="008608AA" w:rsidRDefault="00A00405" w:rsidP="00A00405">
            <w:pPr>
              <w:jc w:val="center"/>
              <w:rPr>
                <w:b/>
                <w:sz w:val="18"/>
                <w:szCs w:val="18"/>
              </w:rPr>
            </w:pPr>
            <w:r w:rsidRPr="008608AA">
              <w:rPr>
                <w:b/>
                <w:sz w:val="18"/>
                <w:szCs w:val="18"/>
              </w:rPr>
              <w:t>Socio-cultural</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0CB7CE0C" w14:textId="77777777" w:rsidR="00A00405" w:rsidRPr="008608AA" w:rsidRDefault="00A00405" w:rsidP="00A00405">
            <w:pPr>
              <w:jc w:val="center"/>
              <w:rPr>
                <w:b/>
                <w:sz w:val="18"/>
                <w:szCs w:val="18"/>
              </w:rPr>
            </w:pPr>
            <w:r w:rsidRPr="008608AA">
              <w:rPr>
                <w:b/>
                <w:sz w:val="18"/>
                <w:szCs w:val="18"/>
              </w:rPr>
              <w:t>Holistic ILK</w:t>
            </w:r>
          </w:p>
        </w:tc>
      </w:tr>
      <w:tr w:rsidR="00A00405" w:rsidRPr="008608AA" w14:paraId="7E5696AA"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79E52B10" w14:textId="77777777" w:rsidR="00A00405" w:rsidRPr="008608AA" w:rsidRDefault="00A00405" w:rsidP="00A00405">
            <w:pPr>
              <w:ind w:left="113" w:right="113"/>
              <w:jc w:val="center"/>
              <w:rPr>
                <w:sz w:val="20"/>
                <w:szCs w:val="20"/>
              </w:rPr>
            </w:pPr>
            <w:r w:rsidRPr="008608AA">
              <w:rPr>
                <w:sz w:val="20"/>
                <w:szCs w:val="20"/>
              </w:rPr>
              <w:t>Food and feed</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67B20278" w14:textId="43F21188" w:rsidR="00A00405" w:rsidRPr="008608AA" w:rsidRDefault="00A00405" w:rsidP="00A00405">
            <w:pPr>
              <w:rPr>
                <w:sz w:val="20"/>
                <w:szCs w:val="20"/>
              </w:rPr>
            </w:pPr>
            <w:r w:rsidRPr="008608AA">
              <w:rPr>
                <w:sz w:val="20"/>
                <w:szCs w:val="20"/>
              </w:rPr>
              <w:t>Edible plant and animal species (both domestic and wild) can be evaluated regarding such attributes as species richness or the surface area they cover. For example, section 2.2.1 highlights the extensive increases in monocultured commodity and industrial -scale crop and livestock species (</w:t>
            </w:r>
            <w:r w:rsidR="00847F60" w:rsidRPr="008608AA">
              <w:rPr>
                <w:sz w:val="20"/>
                <w:szCs w:val="20"/>
              </w:rPr>
              <w:t>e.g.</w:t>
            </w:r>
            <w:r w:rsidRPr="008608AA">
              <w:rPr>
                <w:sz w:val="20"/>
                <w:szCs w:val="20"/>
              </w:rPr>
              <w:t xml:space="preserve"> corn, soybean, cotton, cattle) throughout the Americas. Also, in the Americas, though, we find traditional management practices that promote agricultural biodiversity (2.4) and use wildlife and fisheries for both food and feed (2.2.1, 2.3.1).</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33159787" w14:textId="2233D9D2" w:rsidR="00A00405" w:rsidRPr="008608AA" w:rsidRDefault="00A00405" w:rsidP="00A00405">
            <w:pPr>
              <w:rPr>
                <w:sz w:val="20"/>
                <w:szCs w:val="20"/>
              </w:rPr>
            </w:pPr>
            <w:r w:rsidRPr="008608AA">
              <w:rPr>
                <w:sz w:val="20"/>
                <w:szCs w:val="20"/>
              </w:rPr>
              <w:t>Food and feed clearly constitute a basic human need for good health, and significant improvements are observed in the Americas regarding overcoming malnutrition based on increased food availability (2.3.1). However, efforts are also increasing to enhance food production without pesticides (</w:t>
            </w:r>
            <w:r w:rsidR="00847F60" w:rsidRPr="008608AA">
              <w:rPr>
                <w:sz w:val="20"/>
                <w:szCs w:val="20"/>
              </w:rPr>
              <w:t>e.g.</w:t>
            </w:r>
            <w:r w:rsidRPr="008608AA">
              <w:rPr>
                <w:sz w:val="20"/>
                <w:szCs w:val="20"/>
              </w:rPr>
              <w:t xml:space="preserve"> organic farming, sustainability certifications) to reduce health risks associated with industrial-scale food production (2.2.1).</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5E62D907" w14:textId="155384E8" w:rsidR="00A00405" w:rsidRPr="008608AA" w:rsidRDefault="00A00405" w:rsidP="00A00405">
            <w:pPr>
              <w:rPr>
                <w:sz w:val="20"/>
                <w:szCs w:val="20"/>
              </w:rPr>
            </w:pPr>
            <w:r w:rsidRPr="008608AA">
              <w:rPr>
                <w:sz w:val="20"/>
                <w:szCs w:val="20"/>
              </w:rPr>
              <w:t>Food-related activities (</w:t>
            </w:r>
            <w:r w:rsidR="00847F60" w:rsidRPr="008608AA">
              <w:rPr>
                <w:sz w:val="20"/>
                <w:szCs w:val="20"/>
              </w:rPr>
              <w:t>e.g.</w:t>
            </w:r>
            <w:r w:rsidRPr="008608AA">
              <w:rPr>
                <w:sz w:val="20"/>
                <w:szCs w:val="20"/>
              </w:rPr>
              <w:t xml:space="preserve"> farming, livestock management, hunting, fishing) are closely related to regional cultures and ways of life (2.3.5). For example, North American cowboys Mesoamerican </w:t>
            </w:r>
            <w:r w:rsidRPr="008608AA">
              <w:rPr>
                <w:i/>
                <w:sz w:val="20"/>
                <w:szCs w:val="20"/>
              </w:rPr>
              <w:t>vaqueros</w:t>
            </w:r>
            <w:r w:rsidRPr="008608AA">
              <w:rPr>
                <w:sz w:val="20"/>
                <w:szCs w:val="20"/>
              </w:rPr>
              <w:t xml:space="preserve"> and South American </w:t>
            </w:r>
            <w:r w:rsidRPr="008608AA">
              <w:rPr>
                <w:i/>
                <w:sz w:val="20"/>
                <w:szCs w:val="20"/>
              </w:rPr>
              <w:t>gauchos</w:t>
            </w:r>
            <w:r w:rsidRPr="008608AA">
              <w:rPr>
                <w:sz w:val="20"/>
                <w:szCs w:val="20"/>
              </w:rPr>
              <w:t xml:space="preserve"> all work with and produce livestock, but these terms also represent regional identities reflected in music, culinary customs and handicraft (2.2.6).</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112CCA39" w14:textId="54CD76B9" w:rsidR="00A00405" w:rsidRPr="008608AA" w:rsidRDefault="00A00405" w:rsidP="00A00405">
            <w:pPr>
              <w:rPr>
                <w:sz w:val="20"/>
                <w:szCs w:val="20"/>
              </w:rPr>
            </w:pPr>
            <w:r w:rsidRPr="008608AA">
              <w:rPr>
                <w:sz w:val="20"/>
                <w:szCs w:val="20"/>
              </w:rPr>
              <w:t>In indigenous and local communities, mixed economies of cash and subsistence depend not only on the availability of local resources, but also on cultural knowledge regarding the ways of preparing, storing and distributing food (2.2.1, 2.2.6). For example, within the Inuit knowledge/value system, hunted animals (</w:t>
            </w:r>
            <w:r w:rsidR="00847F60" w:rsidRPr="008608AA">
              <w:rPr>
                <w:sz w:val="20"/>
                <w:szCs w:val="20"/>
              </w:rPr>
              <w:t>e.g.</w:t>
            </w:r>
            <w:r w:rsidRPr="008608AA">
              <w:rPr>
                <w:sz w:val="20"/>
                <w:szCs w:val="20"/>
              </w:rPr>
              <w:t xml:space="preserve"> seals, polar bears) and humans are linked together in a spiritual relationship that both depend upon. Among the Quileute, this physical-spiritual connection with food is acknowledged by throwing the bones and head of the first salmon caught back into the river to ensure the salmon spirits’ good will. Plus, ILK values systems often incorporate limits (</w:t>
            </w:r>
            <w:r w:rsidR="00847F60" w:rsidRPr="008608AA">
              <w:rPr>
                <w:sz w:val="20"/>
                <w:szCs w:val="20"/>
              </w:rPr>
              <w:t>e.g.</w:t>
            </w:r>
            <w:r w:rsidRPr="008608AA">
              <w:rPr>
                <w:sz w:val="20"/>
                <w:szCs w:val="20"/>
              </w:rPr>
              <w:t xml:space="preserve"> taboos about when food items are temporally or spatially restricted) that promote conservation and protection of some species. Similarly, in the Bolivian Andes, ancestral agriculture and llama herding emphasizes respectful use of the environment linked to Mother Earth (</w:t>
            </w:r>
            <w:r w:rsidRPr="008608AA">
              <w:rPr>
                <w:i/>
                <w:sz w:val="20"/>
                <w:szCs w:val="20"/>
              </w:rPr>
              <w:t>Pachamama</w:t>
            </w:r>
            <w:r w:rsidRPr="008608AA">
              <w:rPr>
                <w:sz w:val="20"/>
                <w:szCs w:val="20"/>
              </w:rPr>
              <w:t>) (2.2.6, 2.4).</w:t>
            </w:r>
          </w:p>
        </w:tc>
      </w:tr>
      <w:tr w:rsidR="00A00405" w:rsidRPr="008608AA" w14:paraId="082F6098"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5ADEED2B" w14:textId="77777777" w:rsidR="00A00405" w:rsidRPr="008608AA" w:rsidRDefault="00A00405" w:rsidP="00A00405">
            <w:pPr>
              <w:ind w:left="113" w:right="113"/>
              <w:jc w:val="center"/>
              <w:rPr>
                <w:sz w:val="20"/>
                <w:szCs w:val="20"/>
              </w:rPr>
            </w:pPr>
            <w:r w:rsidRPr="008608AA">
              <w:rPr>
                <w:sz w:val="20"/>
                <w:szCs w:val="20"/>
              </w:rPr>
              <w:t>Materials and assistance</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353D7CBD" w14:textId="77777777" w:rsidR="00A00405" w:rsidRPr="008608AA" w:rsidRDefault="00A00405" w:rsidP="00A00405">
            <w:pPr>
              <w:rPr>
                <w:sz w:val="20"/>
                <w:szCs w:val="20"/>
              </w:rPr>
            </w:pPr>
            <w:r w:rsidRPr="008608AA">
              <w:rPr>
                <w:sz w:val="20"/>
                <w:szCs w:val="20"/>
              </w:rPr>
              <w:t xml:space="preserve"> Biodiversity used for fiber and other materials include extensive lands used for forestry and certain crops, like cotton and flax (2.2.2). </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12E72AA4" w14:textId="77777777" w:rsidR="00A00405" w:rsidRPr="008608AA" w:rsidRDefault="00A00405" w:rsidP="00A00405">
            <w:pPr>
              <w:rPr>
                <w:sz w:val="20"/>
                <w:szCs w:val="20"/>
              </w:rPr>
            </w:pPr>
            <w:r w:rsidRPr="008608AA">
              <w:rPr>
                <w:sz w:val="20"/>
                <w:szCs w:val="20"/>
              </w:rPr>
              <w:t>Materials derived from nature provide shelter and clothing, which in turn are fundamental for a healthy life (2.2.2).</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495B9019" w14:textId="4DDCCD3B" w:rsidR="00A00405" w:rsidRPr="008608AA" w:rsidRDefault="00A00405" w:rsidP="00A00405">
            <w:pPr>
              <w:rPr>
                <w:sz w:val="20"/>
                <w:szCs w:val="20"/>
              </w:rPr>
            </w:pPr>
            <w:r w:rsidRPr="008608AA">
              <w:rPr>
                <w:sz w:val="20"/>
                <w:szCs w:val="20"/>
              </w:rPr>
              <w:t>As with food and feed, certain livelihoods are associated with the production of this NCP (</w:t>
            </w:r>
            <w:r w:rsidR="00847F60" w:rsidRPr="008608AA">
              <w:rPr>
                <w:sz w:val="20"/>
                <w:szCs w:val="20"/>
              </w:rPr>
              <w:t>e.g.</w:t>
            </w:r>
            <w:r w:rsidRPr="008608AA">
              <w:rPr>
                <w:sz w:val="20"/>
                <w:szCs w:val="20"/>
              </w:rPr>
              <w:t xml:space="preserve"> loggers), but materials derived from nature also constitute elements used in cultural practices (2.3.5).</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58B3E39A" w14:textId="41E37D63" w:rsidR="00A00405" w:rsidRPr="008608AA" w:rsidRDefault="00A00405" w:rsidP="00A00405">
            <w:pPr>
              <w:rPr>
                <w:sz w:val="20"/>
                <w:szCs w:val="20"/>
              </w:rPr>
            </w:pPr>
            <w:r w:rsidRPr="008608AA">
              <w:rPr>
                <w:sz w:val="20"/>
                <w:szCs w:val="20"/>
              </w:rPr>
              <w:t>Many of the health and socio-cultural benefits related to materials and assistance provided by nature is derived via the knowledge systems that allow their use and incorporation (</w:t>
            </w:r>
            <w:r w:rsidR="00847F60" w:rsidRPr="008608AA">
              <w:rPr>
                <w:sz w:val="20"/>
                <w:szCs w:val="20"/>
              </w:rPr>
              <w:t>e.g.</w:t>
            </w:r>
            <w:r w:rsidRPr="008608AA">
              <w:rPr>
                <w:sz w:val="20"/>
                <w:szCs w:val="20"/>
              </w:rPr>
              <w:t xml:space="preserve"> methods of construction or tools and elements produced from natural elements) (2.4). </w:t>
            </w:r>
          </w:p>
        </w:tc>
      </w:tr>
      <w:tr w:rsidR="00A00405" w:rsidRPr="008608AA" w14:paraId="163A273A"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1C994BF0" w14:textId="77777777" w:rsidR="00A00405" w:rsidRPr="008608AA" w:rsidRDefault="00A00405" w:rsidP="00A00405">
            <w:pPr>
              <w:ind w:left="113" w:right="113"/>
              <w:jc w:val="center"/>
              <w:rPr>
                <w:sz w:val="20"/>
                <w:szCs w:val="20"/>
              </w:rPr>
            </w:pPr>
            <w:r w:rsidRPr="008608AA">
              <w:rPr>
                <w:sz w:val="20"/>
                <w:szCs w:val="20"/>
              </w:rPr>
              <w:t>Energy</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4002E9D0" w14:textId="4661ABB3" w:rsidR="00A00405" w:rsidRPr="008608AA" w:rsidRDefault="00A00405" w:rsidP="00A00405">
            <w:pPr>
              <w:rPr>
                <w:sz w:val="20"/>
                <w:szCs w:val="20"/>
              </w:rPr>
            </w:pPr>
            <w:r w:rsidRPr="008608AA">
              <w:rPr>
                <w:sz w:val="20"/>
                <w:szCs w:val="20"/>
              </w:rPr>
              <w:t> Biodiversity-derived energy includes the species and biomass produced specifically for this purpose (</w:t>
            </w:r>
            <w:r w:rsidR="00847F60" w:rsidRPr="008608AA">
              <w:rPr>
                <w:sz w:val="20"/>
                <w:szCs w:val="20"/>
              </w:rPr>
              <w:t>e.g.</w:t>
            </w:r>
            <w:r w:rsidRPr="008608AA">
              <w:rPr>
                <w:sz w:val="20"/>
                <w:szCs w:val="20"/>
              </w:rPr>
              <w:t xml:space="preserve"> biofuels) and also secondary products of other activities (</w:t>
            </w:r>
            <w:r w:rsidR="00847F60" w:rsidRPr="008608AA">
              <w:rPr>
                <w:sz w:val="20"/>
                <w:szCs w:val="20"/>
              </w:rPr>
              <w:t>e.g.</w:t>
            </w:r>
            <w:r w:rsidRPr="008608AA">
              <w:rPr>
                <w:sz w:val="20"/>
                <w:szCs w:val="20"/>
              </w:rPr>
              <w:t xml:space="preserve"> left over forestry biomass). Also,  hydropower depends on biophysical dynamics of the watersheds related to hydrological regime (2.2.3).</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4AD0B02C" w14:textId="5593D5F1" w:rsidR="00A00405" w:rsidRPr="008608AA" w:rsidRDefault="00A00405" w:rsidP="00A00405">
            <w:pPr>
              <w:rPr>
                <w:sz w:val="20"/>
                <w:szCs w:val="20"/>
              </w:rPr>
            </w:pPr>
            <w:r w:rsidRPr="008608AA">
              <w:rPr>
                <w:sz w:val="20"/>
                <w:szCs w:val="20"/>
              </w:rPr>
              <w:t>Energy is a crucial element for human health (</w:t>
            </w:r>
            <w:r w:rsidR="00847F60" w:rsidRPr="008608AA">
              <w:rPr>
                <w:sz w:val="20"/>
                <w:szCs w:val="20"/>
              </w:rPr>
              <w:t>e.g.</w:t>
            </w:r>
            <w:r w:rsidRPr="008608AA">
              <w:rPr>
                <w:sz w:val="20"/>
                <w:szCs w:val="20"/>
              </w:rPr>
              <w:t xml:space="preserve"> in colder climates that require heating), but pollution derived from energy use and production (</w:t>
            </w:r>
            <w:r w:rsidR="00847F60" w:rsidRPr="008608AA">
              <w:rPr>
                <w:sz w:val="20"/>
                <w:szCs w:val="20"/>
              </w:rPr>
              <w:t>e.g.</w:t>
            </w:r>
            <w:r w:rsidRPr="008608AA">
              <w:rPr>
                <w:sz w:val="20"/>
                <w:szCs w:val="20"/>
              </w:rPr>
              <w:t xml:space="preserve"> air pollution, water contamination, ecosystem conversion for monoculture biofuels) is also an important driver of human health problems (2.2.3, 2.3.3).</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43035922" w14:textId="77777777" w:rsidR="00A00405" w:rsidRPr="008608AA" w:rsidRDefault="00A00405" w:rsidP="00A00405">
            <w:pPr>
              <w:rPr>
                <w:sz w:val="20"/>
                <w:szCs w:val="20"/>
              </w:rPr>
            </w:pPr>
            <w:r w:rsidRPr="008608AA">
              <w:rPr>
                <w:sz w:val="20"/>
                <w:szCs w:val="20"/>
              </w:rPr>
              <w:t> </w:t>
            </w:r>
          </w:p>
        </w:tc>
        <w:tc>
          <w:tcPr>
            <w:tcW w:w="1191" w:type="pct"/>
            <w:tcBorders>
              <w:top w:val="single" w:sz="4" w:space="0" w:color="auto"/>
              <w:left w:val="single" w:sz="4" w:space="0" w:color="auto"/>
              <w:bottom w:val="single" w:sz="4" w:space="0" w:color="auto"/>
              <w:right w:val="single" w:sz="4" w:space="0" w:color="auto"/>
            </w:tcBorders>
            <w:shd w:val="clear" w:color="auto" w:fill="auto"/>
          </w:tcPr>
          <w:p w14:paraId="727F3C53" w14:textId="77777777" w:rsidR="00A00405" w:rsidRPr="008608AA" w:rsidRDefault="00A00405" w:rsidP="00A00405">
            <w:pPr>
              <w:rPr>
                <w:sz w:val="20"/>
                <w:szCs w:val="20"/>
              </w:rPr>
            </w:pPr>
            <w:r w:rsidRPr="008608AA">
              <w:rPr>
                <w:sz w:val="20"/>
                <w:szCs w:val="20"/>
              </w:rPr>
              <w:t> </w:t>
            </w:r>
          </w:p>
        </w:tc>
      </w:tr>
      <w:tr w:rsidR="00A00405" w:rsidRPr="008608AA" w14:paraId="3B5E747C"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4FFFA546" w14:textId="77777777" w:rsidR="00A00405" w:rsidRPr="008608AA" w:rsidRDefault="00A00405" w:rsidP="00A00405">
            <w:pPr>
              <w:ind w:left="113" w:right="113"/>
              <w:jc w:val="center"/>
              <w:rPr>
                <w:sz w:val="20"/>
                <w:szCs w:val="20"/>
              </w:rPr>
            </w:pPr>
            <w:r w:rsidRPr="008608AA">
              <w:rPr>
                <w:sz w:val="20"/>
                <w:szCs w:val="20"/>
              </w:rPr>
              <w:t>Medical, biochemical and genetic resources</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1D745A07" w14:textId="77777777" w:rsidR="00A00405" w:rsidRPr="008608AA" w:rsidRDefault="00A00405" w:rsidP="00A00405">
            <w:pPr>
              <w:rPr>
                <w:sz w:val="20"/>
                <w:szCs w:val="20"/>
              </w:rPr>
            </w:pPr>
            <w:r w:rsidRPr="008608AA">
              <w:rPr>
                <w:sz w:val="20"/>
                <w:szCs w:val="20"/>
              </w:rPr>
              <w:t>Plant and animals species found in both domestic and wild settings are the source of numerous medical biochemical and genetic resources (2.2.4). For example, in the Brazilian state of Minas Gerais, 264 different plants are known to have medicinal properties, and 40% of them wild (Box 2.3).</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13AE9217" w14:textId="77777777" w:rsidR="00A00405" w:rsidRPr="008608AA" w:rsidRDefault="00A00405" w:rsidP="00A00405">
            <w:pPr>
              <w:rPr>
                <w:sz w:val="20"/>
                <w:szCs w:val="20"/>
              </w:rPr>
            </w:pPr>
            <w:r w:rsidRPr="008608AA">
              <w:rPr>
                <w:sz w:val="20"/>
                <w:szCs w:val="20"/>
              </w:rPr>
              <w:t xml:space="preserve">Throughout the Americas, medicinal plants and animals can be meaningful contributions to human health (2.2.4, 2.3.4). For example, in the Brazilian Cerrado savanna, a diversity of medicinal plants is a significant component of the treatment that rural peoples can access for their own medical care (Box 2.3). </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2B274423" w14:textId="77777777" w:rsidR="00A00405" w:rsidRPr="008608AA" w:rsidRDefault="00A00405" w:rsidP="00A00405">
            <w:pPr>
              <w:rPr>
                <w:sz w:val="20"/>
                <w:szCs w:val="20"/>
              </w:rPr>
            </w:pPr>
            <w:r w:rsidRPr="008608AA">
              <w:rPr>
                <w:sz w:val="20"/>
                <w:szCs w:val="20"/>
              </w:rPr>
              <w:t xml:space="preserve">From this same example in Brazil, local healers –mainly women – are known as </w:t>
            </w:r>
            <w:r w:rsidRPr="008608AA">
              <w:rPr>
                <w:i/>
                <w:sz w:val="20"/>
                <w:szCs w:val="20"/>
              </w:rPr>
              <w:t>raizeiras</w:t>
            </w:r>
            <w:r w:rsidRPr="008608AA">
              <w:rPr>
                <w:sz w:val="20"/>
                <w:szCs w:val="20"/>
              </w:rPr>
              <w:t>, specializing in the use of these contributions from nature as part of their local identity and culture (Box 2.3).</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1C6DCD02" w14:textId="77777777" w:rsidR="00A00405" w:rsidRPr="008608AA" w:rsidRDefault="00A00405" w:rsidP="00A00405">
            <w:pPr>
              <w:rPr>
                <w:sz w:val="20"/>
                <w:szCs w:val="20"/>
              </w:rPr>
            </w:pPr>
            <w:r w:rsidRPr="008608AA">
              <w:rPr>
                <w:sz w:val="20"/>
                <w:szCs w:val="20"/>
              </w:rPr>
              <w:t>Use of medical plants is intrinsically linked to indigenous and local knowledge and people who use and integrate them into their lives (2.2.4).</w:t>
            </w:r>
          </w:p>
        </w:tc>
      </w:tr>
      <w:tr w:rsidR="00A00405" w:rsidRPr="008608AA" w14:paraId="5A27A0CE"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31A779B6" w14:textId="77777777" w:rsidR="00A00405" w:rsidRPr="008608AA" w:rsidRDefault="00A00405" w:rsidP="00A00405">
            <w:pPr>
              <w:ind w:left="113" w:right="113"/>
              <w:jc w:val="center"/>
              <w:rPr>
                <w:sz w:val="20"/>
                <w:szCs w:val="20"/>
              </w:rPr>
            </w:pPr>
            <w:r w:rsidRPr="008608AA">
              <w:rPr>
                <w:sz w:val="20"/>
                <w:szCs w:val="20"/>
              </w:rPr>
              <w:t>Learning and inspiration</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00F50B98" w14:textId="77777777" w:rsidR="00A00405" w:rsidRPr="008608AA" w:rsidRDefault="00A00405" w:rsidP="00A00405">
            <w:pPr>
              <w:rPr>
                <w:sz w:val="20"/>
                <w:szCs w:val="20"/>
              </w:rPr>
            </w:pPr>
            <w:r w:rsidRPr="008608AA">
              <w:rPr>
                <w:sz w:val="20"/>
                <w:szCs w:val="20"/>
              </w:rPr>
              <w:t> </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53CA7CD7" w14:textId="77777777" w:rsidR="00A00405" w:rsidRPr="008608AA" w:rsidRDefault="00A00405" w:rsidP="00A00405">
            <w:pPr>
              <w:rPr>
                <w:sz w:val="20"/>
                <w:szCs w:val="20"/>
              </w:rPr>
            </w:pPr>
            <w:r w:rsidRPr="008608AA">
              <w:rPr>
                <w:sz w:val="20"/>
                <w:szCs w:val="20"/>
              </w:rPr>
              <w:t>Benefits of the learning and inspiration derived nature are well established regarding their effects on mental and physical health (2.2.5).</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1A242DE8" w14:textId="7FF7109A" w:rsidR="00A00405" w:rsidRPr="008608AA" w:rsidRDefault="00A00405" w:rsidP="00A00405">
            <w:pPr>
              <w:rPr>
                <w:sz w:val="20"/>
                <w:szCs w:val="20"/>
              </w:rPr>
            </w:pPr>
            <w:r w:rsidRPr="008608AA">
              <w:rPr>
                <w:sz w:val="20"/>
                <w:szCs w:val="20"/>
              </w:rPr>
              <w:t>Many social, cultural and economic practices, (</w:t>
            </w:r>
            <w:r w:rsidR="00847F60" w:rsidRPr="008608AA">
              <w:rPr>
                <w:sz w:val="20"/>
                <w:szCs w:val="20"/>
              </w:rPr>
              <w:t>e.g.</w:t>
            </w:r>
            <w:r w:rsidRPr="008608AA">
              <w:rPr>
                <w:sz w:val="20"/>
                <w:szCs w:val="20"/>
              </w:rPr>
              <w:t xml:space="preserve"> outdoor recreation) provide spiritual regeneration and leisure possibilities (2.2.5, 2.3.5).</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7901EE80" w14:textId="77777777" w:rsidR="00A00405" w:rsidRPr="008608AA" w:rsidRDefault="00A00405" w:rsidP="00A00405">
            <w:pPr>
              <w:rPr>
                <w:sz w:val="20"/>
                <w:szCs w:val="20"/>
              </w:rPr>
            </w:pPr>
            <w:r w:rsidRPr="008608AA">
              <w:rPr>
                <w:sz w:val="20"/>
                <w:szCs w:val="20"/>
              </w:rPr>
              <w:t>Nature’s relevance for spiritual practices is clear for many indigenous and local peoples. For example, hunting and wildlife are integral to indigenous cultures and their continuity, and the antiquity of this relationship is demonstrated from the depiction of wildlife and hunting in artwork from pre-Colombian ceramics and petroglyphs. Plus, nature-based rituals and dances still accompany indigenous persons from birth to death (2.2.6).</w:t>
            </w:r>
          </w:p>
        </w:tc>
      </w:tr>
      <w:tr w:rsidR="00A00405" w:rsidRPr="008608AA" w14:paraId="793798B2"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3D50E5DD" w14:textId="77777777" w:rsidR="00A00405" w:rsidRPr="008608AA" w:rsidRDefault="00A00405" w:rsidP="00A00405">
            <w:pPr>
              <w:ind w:left="113" w:right="113"/>
              <w:jc w:val="center"/>
              <w:rPr>
                <w:sz w:val="20"/>
                <w:szCs w:val="20"/>
              </w:rPr>
            </w:pPr>
            <w:r w:rsidRPr="008608AA">
              <w:rPr>
                <w:sz w:val="20"/>
                <w:szCs w:val="20"/>
              </w:rPr>
              <w:t>Supporting identities</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638F1FC2" w14:textId="77777777" w:rsidR="00A00405" w:rsidRPr="008608AA" w:rsidRDefault="00A00405" w:rsidP="00A00405">
            <w:pPr>
              <w:rPr>
                <w:sz w:val="20"/>
                <w:szCs w:val="20"/>
              </w:rPr>
            </w:pPr>
            <w:r w:rsidRPr="008608AA">
              <w:rPr>
                <w:sz w:val="20"/>
                <w:szCs w:val="20"/>
              </w:rPr>
              <w:t> </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04C23277" w14:textId="77777777" w:rsidR="00A00405" w:rsidRPr="008608AA" w:rsidRDefault="00A00405" w:rsidP="00A00405">
            <w:pPr>
              <w:rPr>
                <w:sz w:val="20"/>
                <w:szCs w:val="20"/>
              </w:rPr>
            </w:pPr>
            <w:r w:rsidRPr="008608AA">
              <w:rPr>
                <w:sz w:val="20"/>
                <w:szCs w:val="20"/>
              </w:rPr>
              <w:t xml:space="preserve">The same elements of nature that are part of one’s identity also directly affect health. For example, in Canada, loss of cultural identity is associated with negative mental health consequences for First Nations peoples, leading to high rates of depression, alcoholism, suicide, and violence with the greatest impact on youth (2.2.6). </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2916C2AB" w14:textId="20C66501" w:rsidR="00A00405" w:rsidRPr="008608AA" w:rsidRDefault="00A00405" w:rsidP="00A00405">
            <w:pPr>
              <w:rPr>
                <w:sz w:val="20"/>
                <w:szCs w:val="20"/>
              </w:rPr>
            </w:pPr>
            <w:r w:rsidRPr="008608AA">
              <w:rPr>
                <w:sz w:val="20"/>
                <w:szCs w:val="20"/>
              </w:rPr>
              <w:t>Nature-based elements of cultural identity can be found throughout the Americas. For example, in Brazil, over 400 sacred natural sites are found in a variety of natural environments (</w:t>
            </w:r>
            <w:r w:rsidR="00847F60" w:rsidRPr="008608AA">
              <w:rPr>
                <w:sz w:val="20"/>
                <w:szCs w:val="20"/>
              </w:rPr>
              <w:t>e.g.</w:t>
            </w:r>
            <w:r w:rsidRPr="008608AA">
              <w:rPr>
                <w:sz w:val="20"/>
                <w:szCs w:val="20"/>
              </w:rPr>
              <w:t xml:space="preserve"> streams, forest, coastal habitats) and are associated with a diversity of cultures and religions (2.2.6). </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6936DFE1" w14:textId="77777777" w:rsidR="00A00405" w:rsidRPr="008608AA" w:rsidRDefault="00A00405" w:rsidP="00A00405">
            <w:pPr>
              <w:rPr>
                <w:sz w:val="20"/>
                <w:szCs w:val="20"/>
              </w:rPr>
            </w:pPr>
            <w:r w:rsidRPr="008608AA">
              <w:rPr>
                <w:sz w:val="20"/>
                <w:szCs w:val="20"/>
              </w:rPr>
              <w:t>Some indigenous peoples use clan names, construct totems or have relatives from other species, and therefore a species’ extinction means the loss of cultural identity, as well, based on a familiar understanding of the relationship between humans and other elements of biodiversity (2.2.1, 2.2.6).</w:t>
            </w:r>
          </w:p>
        </w:tc>
      </w:tr>
      <w:tr w:rsidR="00A00405" w:rsidRPr="008608AA" w14:paraId="43F2EA90"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64E9DC53" w14:textId="77777777" w:rsidR="00A00405" w:rsidRPr="008608AA" w:rsidRDefault="00A00405" w:rsidP="00A00405">
            <w:pPr>
              <w:ind w:left="113" w:right="113"/>
              <w:jc w:val="center"/>
              <w:rPr>
                <w:sz w:val="20"/>
                <w:szCs w:val="20"/>
              </w:rPr>
            </w:pPr>
            <w:r w:rsidRPr="008608AA">
              <w:rPr>
                <w:sz w:val="20"/>
                <w:szCs w:val="20"/>
              </w:rPr>
              <w:t>Physical and psychological experiences</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7AB63923" w14:textId="77777777" w:rsidR="00A00405" w:rsidRPr="008608AA" w:rsidRDefault="00A00405" w:rsidP="00A00405">
            <w:pPr>
              <w:rPr>
                <w:sz w:val="20"/>
                <w:szCs w:val="20"/>
              </w:rPr>
            </w:pPr>
            <w:r w:rsidRPr="008608AA">
              <w:rPr>
                <w:sz w:val="20"/>
                <w:szCs w:val="20"/>
              </w:rPr>
              <w:t> </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3BBADD84" w14:textId="77777777" w:rsidR="00A00405" w:rsidRPr="008608AA" w:rsidRDefault="00A00405" w:rsidP="00A00405">
            <w:pPr>
              <w:rPr>
                <w:sz w:val="20"/>
                <w:szCs w:val="20"/>
              </w:rPr>
            </w:pPr>
            <w:r w:rsidRPr="008608AA">
              <w:rPr>
                <w:sz w:val="20"/>
                <w:szCs w:val="20"/>
              </w:rPr>
              <w:t>A systematic literature review showed that conclusive evidence supports that knowing and experiencing nature makes us generally happier, healthier people  (see Russell et al. 2013) (2.1.1, 2.2.7, 2.3.4)</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0AD0D6B7" w14:textId="77777777" w:rsidR="00A00405" w:rsidRPr="008608AA" w:rsidRDefault="00A00405" w:rsidP="00A00405">
            <w:pPr>
              <w:rPr>
                <w:sz w:val="20"/>
                <w:szCs w:val="20"/>
              </w:rPr>
            </w:pPr>
            <w:r w:rsidRPr="008608AA">
              <w:rPr>
                <w:sz w:val="20"/>
                <w:szCs w:val="20"/>
              </w:rPr>
              <w:t>Experiences in nature are the basis for nature tourism in many regions of the Americas (expand, give examples), including visits to protected areas and coral reefs, snow skiing and birdwatching (2.2.7).</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08C9E215" w14:textId="77777777" w:rsidR="00A00405" w:rsidRPr="008608AA" w:rsidRDefault="00A00405" w:rsidP="00A00405">
            <w:pPr>
              <w:rPr>
                <w:sz w:val="20"/>
                <w:szCs w:val="20"/>
              </w:rPr>
            </w:pPr>
            <w:r w:rsidRPr="008608AA">
              <w:rPr>
                <w:sz w:val="20"/>
                <w:szCs w:val="20"/>
              </w:rPr>
              <w:t>Physical and psychological experiences with nature form an important part of ILK systems. In some indigenous communities, for example, hunting prowess is a sign of leadership potential, and sharing hunting gains with family and others gives a good measure of community standing and self-esteem (2.2.6).</w:t>
            </w:r>
          </w:p>
        </w:tc>
      </w:tr>
      <w:tr w:rsidR="00A00405" w:rsidRPr="008608AA" w14:paraId="35DC2446"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591D7339" w14:textId="77777777" w:rsidR="00A00405" w:rsidRPr="008608AA" w:rsidRDefault="00A00405" w:rsidP="00A00405">
            <w:pPr>
              <w:ind w:left="113" w:right="113"/>
              <w:jc w:val="center"/>
              <w:rPr>
                <w:sz w:val="20"/>
                <w:szCs w:val="20"/>
              </w:rPr>
            </w:pPr>
            <w:r w:rsidRPr="008608AA">
              <w:rPr>
                <w:sz w:val="20"/>
                <w:szCs w:val="20"/>
              </w:rPr>
              <w:t>Maintenance of options</w:t>
            </w:r>
          </w:p>
        </w:tc>
        <w:tc>
          <w:tcPr>
            <w:tcW w:w="1018" w:type="pct"/>
            <w:tcBorders>
              <w:top w:val="single" w:sz="4" w:space="0" w:color="auto"/>
              <w:left w:val="single" w:sz="4" w:space="0" w:color="auto"/>
              <w:bottom w:val="single" w:sz="4" w:space="0" w:color="auto"/>
              <w:right w:val="single" w:sz="4" w:space="0" w:color="auto"/>
            </w:tcBorders>
            <w:shd w:val="clear" w:color="auto" w:fill="auto"/>
          </w:tcPr>
          <w:p w14:paraId="59DA3489" w14:textId="77777777" w:rsidR="00A00405" w:rsidRPr="008608AA" w:rsidRDefault="00A00405" w:rsidP="00A00405">
            <w:pPr>
              <w:rPr>
                <w:sz w:val="20"/>
                <w:szCs w:val="20"/>
              </w:rPr>
            </w:pPr>
            <w:r w:rsidRPr="008608AA">
              <w:rPr>
                <w:sz w:val="20"/>
                <w:szCs w:val="20"/>
              </w:rPr>
              <w:t xml:space="preserve">Protected areas are one biophysical measurement of maintaining the options of nature. These, in turn, can be evaluated in terms of terms of their extent or connectivity (2.2.8). </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231E5C04" w14:textId="77777777" w:rsidR="00A00405" w:rsidRPr="008608AA" w:rsidRDefault="00A00405" w:rsidP="00A00405">
            <w:pPr>
              <w:rPr>
                <w:sz w:val="20"/>
                <w:szCs w:val="20"/>
              </w:rPr>
            </w:pPr>
            <w:r w:rsidRPr="008608AA">
              <w:rPr>
                <w:sz w:val="20"/>
                <w:szCs w:val="20"/>
              </w:rPr>
              <w:t>Preserving natural areas also allows experiences in nature that provide physical and mental health and happiness (see above).</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5EBCBCAC" w14:textId="77777777" w:rsidR="00A00405" w:rsidRPr="008608AA" w:rsidRDefault="00A00405" w:rsidP="00A00405">
            <w:pPr>
              <w:rPr>
                <w:sz w:val="20"/>
                <w:szCs w:val="20"/>
              </w:rPr>
            </w:pPr>
            <w:r w:rsidRPr="008608AA">
              <w:rPr>
                <w:sz w:val="20"/>
                <w:szCs w:val="20"/>
              </w:rPr>
              <w:t>The maintenance of options for nature permits specific cultural and social activities that allow relational values, which are important for both individuals and also social groups (2.2.8).</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099F0DAC" w14:textId="77777777" w:rsidR="00A00405" w:rsidRPr="008608AA" w:rsidRDefault="00A00405" w:rsidP="00A00405">
            <w:pPr>
              <w:rPr>
                <w:sz w:val="20"/>
                <w:szCs w:val="20"/>
              </w:rPr>
            </w:pPr>
            <w:r w:rsidRPr="008608AA">
              <w:rPr>
                <w:sz w:val="20"/>
                <w:szCs w:val="20"/>
              </w:rPr>
              <w:t>Preserving natural areas and the species they contain often means preserving the cultural context of indigenous people (2.4).</w:t>
            </w:r>
          </w:p>
        </w:tc>
      </w:tr>
      <w:tr w:rsidR="00A00405" w:rsidRPr="008608AA" w14:paraId="1DA9A3DE"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59687263" w14:textId="77777777" w:rsidR="00A00405" w:rsidRPr="008608AA" w:rsidRDefault="00A00405" w:rsidP="00A00405">
            <w:pPr>
              <w:ind w:left="113" w:right="113"/>
              <w:jc w:val="center"/>
              <w:rPr>
                <w:sz w:val="20"/>
                <w:szCs w:val="20"/>
              </w:rPr>
            </w:pPr>
            <w:r w:rsidRPr="008608AA">
              <w:rPr>
                <w:sz w:val="20"/>
                <w:szCs w:val="20"/>
              </w:rPr>
              <w:t>Climate regulation</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16F91B75" w14:textId="77777777" w:rsidR="00A00405" w:rsidRPr="008608AA" w:rsidRDefault="00A00405" w:rsidP="00A00405">
            <w:pPr>
              <w:rPr>
                <w:sz w:val="20"/>
                <w:szCs w:val="20"/>
              </w:rPr>
            </w:pPr>
            <w:r w:rsidRPr="008608AA">
              <w:rPr>
                <w:sz w:val="20"/>
                <w:szCs w:val="20"/>
              </w:rPr>
              <w:t>Species distributions -and the use species in agriculture- is linked to climatic factors that are a principal component of the ecological niche of all species. Plus, changes in climate affect such biophysical measures as sea level, weather patterns and freshwater distribution and dynamics (2.2.9).</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6D9F02A9" w14:textId="77777777" w:rsidR="00A00405" w:rsidRPr="008608AA" w:rsidRDefault="00A00405" w:rsidP="00A00405">
            <w:pPr>
              <w:rPr>
                <w:sz w:val="20"/>
                <w:szCs w:val="20"/>
              </w:rPr>
            </w:pPr>
            <w:r w:rsidRPr="008608AA">
              <w:rPr>
                <w:sz w:val="20"/>
                <w:szCs w:val="20"/>
              </w:rPr>
              <w:t>A change in climate has led to range shifts of disease carrying organisms, potentially introducing vector-borne diseases to new regions, with increased incidence of, for example, malaria and zika virus (2.2.9). Climate change also poses a threat to food and water security that ultimately affect health (2.3.1, 2.3.2).</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0835FF37" w14:textId="77777777" w:rsidR="00A00405" w:rsidRPr="008608AA" w:rsidRDefault="00A00405" w:rsidP="00A00405">
            <w:pPr>
              <w:rPr>
                <w:sz w:val="20"/>
                <w:szCs w:val="20"/>
              </w:rPr>
            </w:pPr>
            <w:r w:rsidRPr="008608AA">
              <w:rPr>
                <w:sz w:val="20"/>
                <w:szCs w:val="20"/>
              </w:rPr>
              <w:t>Extreme events can cause not only death and incur large economic costs, but also drive human migration (‘climate refugees’) that affect regional and global demography and culture. In cities, improvements in design and planning can create microclimates can mitigate heat waves or heat islands (2.2.9).</w:t>
            </w:r>
          </w:p>
        </w:tc>
        <w:tc>
          <w:tcPr>
            <w:tcW w:w="1191" w:type="pct"/>
            <w:tcBorders>
              <w:top w:val="single" w:sz="4" w:space="0" w:color="auto"/>
              <w:left w:val="single" w:sz="4" w:space="0" w:color="auto"/>
              <w:bottom w:val="single" w:sz="4" w:space="0" w:color="auto"/>
              <w:right w:val="single" w:sz="4" w:space="0" w:color="auto"/>
            </w:tcBorders>
            <w:shd w:val="clear" w:color="auto" w:fill="auto"/>
          </w:tcPr>
          <w:p w14:paraId="1A8C9129" w14:textId="77777777" w:rsidR="00A00405" w:rsidRPr="008608AA" w:rsidRDefault="00A00405" w:rsidP="00A00405">
            <w:pPr>
              <w:rPr>
                <w:sz w:val="20"/>
                <w:szCs w:val="20"/>
              </w:rPr>
            </w:pPr>
          </w:p>
        </w:tc>
      </w:tr>
      <w:tr w:rsidR="00A00405" w:rsidRPr="008608AA" w14:paraId="68600725"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10004A8D" w14:textId="77777777" w:rsidR="00A00405" w:rsidRPr="008608AA" w:rsidRDefault="00A00405" w:rsidP="00A00405">
            <w:pPr>
              <w:ind w:left="113" w:right="113"/>
              <w:jc w:val="center"/>
              <w:rPr>
                <w:sz w:val="20"/>
                <w:szCs w:val="20"/>
              </w:rPr>
            </w:pPr>
            <w:r w:rsidRPr="008608AA">
              <w:rPr>
                <w:sz w:val="20"/>
                <w:szCs w:val="20"/>
              </w:rPr>
              <w:t>Regulation of freshwater quantity, flow and timing</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7638C0F6" w14:textId="77777777" w:rsidR="00A00405" w:rsidRPr="008608AA" w:rsidRDefault="00A00405" w:rsidP="00A00405">
            <w:pPr>
              <w:rPr>
                <w:sz w:val="20"/>
                <w:szCs w:val="20"/>
              </w:rPr>
            </w:pPr>
            <w:r w:rsidRPr="008608AA">
              <w:rPr>
                <w:sz w:val="20"/>
                <w:szCs w:val="20"/>
              </w:rPr>
              <w:t>Aquatic (rivers, streams, lakes) and terrestrial/aquatic (watersheds, wetlands) ecosystems, as well as their biodiversity, are crucial for controlling the dynamics of water cycles and regimes (2.2.10).</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7A4F90FA" w14:textId="77777777" w:rsidR="00A00405" w:rsidRPr="008608AA" w:rsidRDefault="00A00405" w:rsidP="00A00405">
            <w:pPr>
              <w:rPr>
                <w:sz w:val="20"/>
                <w:szCs w:val="20"/>
              </w:rPr>
            </w:pPr>
            <w:r w:rsidRPr="008608AA">
              <w:rPr>
                <w:sz w:val="20"/>
                <w:szCs w:val="20"/>
              </w:rPr>
              <w:t xml:space="preserve">Access to freshwater in sufficient quantity is essential for human health, and currently in the Americas there is not only water scarcity in arid zones, but per capita availability is also decreasing (2.3.2). </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5979D183" w14:textId="77777777" w:rsidR="00A00405" w:rsidRPr="008608AA" w:rsidRDefault="00A00405" w:rsidP="00A00405">
            <w:pPr>
              <w:rPr>
                <w:sz w:val="20"/>
                <w:szCs w:val="20"/>
              </w:rPr>
            </w:pPr>
            <w:r w:rsidRPr="008608AA">
              <w:rPr>
                <w:sz w:val="20"/>
                <w:szCs w:val="20"/>
              </w:rPr>
              <w:t>Lakes and rivers allow for many cultural and recreational activities and are the location for significant relational values inherent in the places where humans interact (2.2.10).</w:t>
            </w:r>
          </w:p>
        </w:tc>
        <w:tc>
          <w:tcPr>
            <w:tcW w:w="1191" w:type="pct"/>
            <w:tcBorders>
              <w:top w:val="single" w:sz="4" w:space="0" w:color="auto"/>
              <w:left w:val="single" w:sz="4" w:space="0" w:color="auto"/>
              <w:bottom w:val="single" w:sz="4" w:space="0" w:color="auto"/>
              <w:right w:val="single" w:sz="4" w:space="0" w:color="auto"/>
            </w:tcBorders>
            <w:shd w:val="clear" w:color="auto" w:fill="auto"/>
          </w:tcPr>
          <w:p w14:paraId="316770D2" w14:textId="77777777" w:rsidR="00A00405" w:rsidRPr="008608AA" w:rsidRDefault="00A00405" w:rsidP="00A00405">
            <w:pPr>
              <w:rPr>
                <w:sz w:val="20"/>
                <w:szCs w:val="20"/>
              </w:rPr>
            </w:pPr>
            <w:r w:rsidRPr="008608AA">
              <w:rPr>
                <w:sz w:val="20"/>
                <w:szCs w:val="20"/>
              </w:rPr>
              <w:t>Damming of rivers in the Pacific Northwest of North America affected salmon harvests, which are important to First Nations peoples.  Accordingly, their cultural knowledge includes bio-specific and local bio indicators which are interpreted in specific management rituals and other activities regarding water regulation (2.4).</w:t>
            </w:r>
          </w:p>
        </w:tc>
      </w:tr>
      <w:tr w:rsidR="00A00405" w:rsidRPr="008608AA" w14:paraId="0912CAF7"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46FF14FF" w14:textId="77777777" w:rsidR="00A00405" w:rsidRPr="008608AA" w:rsidRDefault="00A00405" w:rsidP="007E29D9">
            <w:pPr>
              <w:pBdr>
                <w:top w:val="nil"/>
                <w:left w:val="nil"/>
                <w:bottom w:val="nil"/>
                <w:right w:val="nil"/>
                <w:between w:val="nil"/>
              </w:pBdr>
              <w:ind w:left="113" w:right="113"/>
              <w:jc w:val="center"/>
              <w:rPr>
                <w:b/>
                <w:sz w:val="20"/>
                <w:szCs w:val="20"/>
              </w:rPr>
            </w:pPr>
            <w:r w:rsidRPr="008608AA">
              <w:rPr>
                <w:b/>
                <w:sz w:val="20"/>
                <w:szCs w:val="20"/>
              </w:rPr>
              <w:t>Regulation of freshwater and coastal water quality</w:t>
            </w:r>
          </w:p>
          <w:p w14:paraId="42D54C75" w14:textId="77777777" w:rsidR="00A00405" w:rsidRPr="008608AA" w:rsidRDefault="00A00405" w:rsidP="00A00405">
            <w:pPr>
              <w:ind w:left="113" w:right="113"/>
              <w:jc w:val="center"/>
              <w:rPr>
                <w:sz w:val="20"/>
                <w:szCs w:val="20"/>
              </w:rPr>
            </w:pP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0BE30BD5" w14:textId="77777777" w:rsidR="00A00405" w:rsidRPr="008608AA" w:rsidRDefault="00A00405" w:rsidP="00A00405">
            <w:pPr>
              <w:rPr>
                <w:sz w:val="20"/>
                <w:szCs w:val="20"/>
              </w:rPr>
            </w:pPr>
            <w:r w:rsidRPr="008608AA">
              <w:rPr>
                <w:sz w:val="20"/>
                <w:szCs w:val="20"/>
              </w:rPr>
              <w:t>Water quality depends heavily on maintaining intact biodiversity and ecosystems (2.2.11).</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2049B05D" w14:textId="77777777" w:rsidR="00A00405" w:rsidRPr="008608AA" w:rsidRDefault="00A00405" w:rsidP="00A00405">
            <w:pPr>
              <w:rPr>
                <w:sz w:val="20"/>
                <w:szCs w:val="20"/>
              </w:rPr>
            </w:pPr>
            <w:r w:rsidRPr="008608AA">
              <w:rPr>
                <w:sz w:val="20"/>
                <w:szCs w:val="20"/>
              </w:rPr>
              <w:t>Contaminated water is associated with vector-borne diseases (2.3.4). For example, diahera cuased poor water sanitation is the cause of 1% (North America) 5% (Mesoamerica) 2% (Caribbean) and 3% (South America) of childhood deaths (&lt;5 years) (2.2.11).</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45FFAC49" w14:textId="77777777" w:rsidR="00A00405" w:rsidRPr="008608AA" w:rsidRDefault="00A00405" w:rsidP="00A00405">
            <w:pPr>
              <w:rPr>
                <w:sz w:val="20"/>
                <w:szCs w:val="20"/>
              </w:rPr>
            </w:pP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7C8157D0" w14:textId="77777777" w:rsidR="00A00405" w:rsidRPr="008608AA" w:rsidRDefault="00A00405" w:rsidP="00A00405">
            <w:pPr>
              <w:rPr>
                <w:sz w:val="20"/>
                <w:szCs w:val="20"/>
              </w:rPr>
            </w:pPr>
          </w:p>
        </w:tc>
      </w:tr>
      <w:tr w:rsidR="00A00405" w:rsidRPr="008608AA" w14:paraId="78EBFCF0"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310117B5" w14:textId="77777777" w:rsidR="00A00405" w:rsidRPr="008608AA" w:rsidRDefault="00A00405" w:rsidP="00A00405">
            <w:pPr>
              <w:ind w:left="113" w:right="113"/>
              <w:jc w:val="center"/>
              <w:rPr>
                <w:sz w:val="20"/>
                <w:szCs w:val="20"/>
              </w:rPr>
            </w:pPr>
            <w:r w:rsidRPr="008608AA">
              <w:rPr>
                <w:sz w:val="20"/>
                <w:szCs w:val="20"/>
              </w:rPr>
              <w:t>Regulation of hazards and extreme events</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11F75A84" w14:textId="77777777" w:rsidR="00A00405" w:rsidRPr="008608AA" w:rsidRDefault="00A00405" w:rsidP="00A00405">
            <w:pPr>
              <w:rPr>
                <w:sz w:val="20"/>
                <w:szCs w:val="20"/>
              </w:rPr>
            </w:pPr>
            <w:r w:rsidRPr="008608AA">
              <w:rPr>
                <w:sz w:val="20"/>
                <w:szCs w:val="20"/>
              </w:rPr>
              <w:t>Hazards and extreme events can be studied from a biophysical perspective, such as effects to biodiversity or changes in geomorphology as a result of erosion or landslides (2.2.12).</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595832AC" w14:textId="7D9B9D27" w:rsidR="00A00405" w:rsidRPr="008608AA" w:rsidRDefault="00A00405" w:rsidP="00A00405">
            <w:pPr>
              <w:rPr>
                <w:sz w:val="20"/>
                <w:szCs w:val="20"/>
              </w:rPr>
            </w:pPr>
            <w:r w:rsidRPr="008608AA">
              <w:rPr>
                <w:sz w:val="20"/>
                <w:szCs w:val="20"/>
              </w:rPr>
              <w:t>In its worst form, natural hazards (</w:t>
            </w:r>
            <w:r w:rsidR="00847F60" w:rsidRPr="008608AA">
              <w:rPr>
                <w:sz w:val="20"/>
                <w:szCs w:val="20"/>
              </w:rPr>
              <w:t>e.g.</w:t>
            </w:r>
            <w:r w:rsidRPr="008608AA">
              <w:rPr>
                <w:sz w:val="20"/>
                <w:szCs w:val="20"/>
              </w:rPr>
              <w:t xml:space="preserve"> earthquakes) and extreme events (</w:t>
            </w:r>
            <w:r w:rsidR="00847F60" w:rsidRPr="008608AA">
              <w:rPr>
                <w:sz w:val="20"/>
                <w:szCs w:val="20"/>
              </w:rPr>
              <w:t>e.g.</w:t>
            </w:r>
            <w:r w:rsidRPr="008608AA">
              <w:rPr>
                <w:sz w:val="20"/>
                <w:szCs w:val="20"/>
              </w:rPr>
              <w:t xml:space="preserve"> hurricanes) can cause human death (2.2.12).</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279CDD95" w14:textId="77777777" w:rsidR="00A00405" w:rsidRPr="008608AA" w:rsidRDefault="00A00405" w:rsidP="00A00405">
            <w:pPr>
              <w:rPr>
                <w:sz w:val="20"/>
                <w:szCs w:val="20"/>
              </w:rPr>
            </w:pPr>
            <w:r w:rsidRPr="008608AA">
              <w:rPr>
                <w:sz w:val="20"/>
                <w:szCs w:val="20"/>
              </w:rPr>
              <w:t>Ultimately, natural disasters affect human livelihoods via impacts to economies and entire societies (2.2.12).</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47ED6296" w14:textId="77777777" w:rsidR="00A00405" w:rsidRPr="008608AA" w:rsidRDefault="00A00405" w:rsidP="00A00405">
            <w:pPr>
              <w:rPr>
                <w:sz w:val="20"/>
                <w:szCs w:val="20"/>
              </w:rPr>
            </w:pPr>
            <w:r w:rsidRPr="008608AA">
              <w:rPr>
                <w:sz w:val="20"/>
                <w:szCs w:val="20"/>
              </w:rPr>
              <w:t>Traditional practices of subsistence harvesting of mangrove ecosystems have maintained vegetation cover and protected islands and mainland from storm surge and erosion (2.2.12).</w:t>
            </w:r>
          </w:p>
        </w:tc>
      </w:tr>
      <w:tr w:rsidR="00A00405" w:rsidRPr="008608AA" w14:paraId="021D73E9"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10538B56" w14:textId="77777777" w:rsidR="00A00405" w:rsidRPr="008608AA" w:rsidRDefault="00A00405" w:rsidP="00A00405">
            <w:pPr>
              <w:ind w:left="113" w:right="113"/>
              <w:jc w:val="center"/>
              <w:rPr>
                <w:sz w:val="20"/>
                <w:szCs w:val="20"/>
              </w:rPr>
            </w:pPr>
            <w:r w:rsidRPr="008608AA">
              <w:rPr>
                <w:sz w:val="20"/>
                <w:szCs w:val="20"/>
              </w:rPr>
              <w:t>Habitat creation and maintenance</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7015175D" w14:textId="77777777" w:rsidR="00A00405" w:rsidRPr="008608AA" w:rsidRDefault="00A00405" w:rsidP="00A00405">
            <w:pPr>
              <w:rPr>
                <w:sz w:val="20"/>
                <w:szCs w:val="20"/>
              </w:rPr>
            </w:pPr>
            <w:r w:rsidRPr="008608AA">
              <w:rPr>
                <w:sz w:val="20"/>
                <w:szCs w:val="20"/>
              </w:rPr>
              <w:t>Habitat creation and maintenance can produce higher connectivity, and enhance other NCP, such as pollination, pest control, water provision, and erosion prevention. In cities, improvement of microclimatic and hydrological conditions by presence of more and high-quality green infrastructure (2.2.12, 2.2.13).</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742E42AB" w14:textId="77777777" w:rsidR="00A00405" w:rsidRPr="008608AA" w:rsidRDefault="00A00405" w:rsidP="00A00405">
            <w:pPr>
              <w:rPr>
                <w:sz w:val="20"/>
                <w:szCs w:val="20"/>
              </w:rPr>
            </w:pPr>
            <w:r w:rsidRPr="008608AA">
              <w:rPr>
                <w:sz w:val="20"/>
                <w:szCs w:val="20"/>
              </w:rPr>
              <w:t>The high importance of green spaces for improvement of living conditions and quality of live in city is especially important (2.2.12, 2.2.13).</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2DC08BF0" w14:textId="77777777" w:rsidR="00A00405" w:rsidRPr="008608AA" w:rsidRDefault="00A00405" w:rsidP="00A00405">
            <w:pPr>
              <w:rPr>
                <w:sz w:val="20"/>
                <w:szCs w:val="20"/>
              </w:rPr>
            </w:pPr>
            <w:r w:rsidRPr="008608AA">
              <w:rPr>
                <w:sz w:val="20"/>
                <w:szCs w:val="20"/>
              </w:rPr>
              <w:t> Urban green spaces also constitute places that affect not just the health of inhabitants, but also provide the location of important cultural activities that constitute the relational values of nature (2.2.5).</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4EC54CBB" w14:textId="77777777" w:rsidR="00A00405" w:rsidRPr="008608AA" w:rsidRDefault="00A00405" w:rsidP="00A00405">
            <w:pPr>
              <w:rPr>
                <w:sz w:val="20"/>
                <w:szCs w:val="20"/>
              </w:rPr>
            </w:pPr>
            <w:r w:rsidRPr="008608AA">
              <w:rPr>
                <w:sz w:val="20"/>
                <w:szCs w:val="20"/>
              </w:rPr>
              <w:t>Some traditional agriculture practiced by indigenous people is based on a rotation system of multi-aged and multi-species farm plots, which can increase diversity and create productive successional stage (2.4).</w:t>
            </w:r>
          </w:p>
        </w:tc>
      </w:tr>
      <w:tr w:rsidR="00A00405" w:rsidRPr="008608AA" w14:paraId="64245C9C"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3EF45A2E" w14:textId="77777777" w:rsidR="00A00405" w:rsidRPr="008608AA" w:rsidRDefault="00A00405" w:rsidP="00A00405">
            <w:pPr>
              <w:ind w:left="113" w:right="113"/>
              <w:jc w:val="center"/>
              <w:rPr>
                <w:sz w:val="20"/>
                <w:szCs w:val="20"/>
              </w:rPr>
            </w:pPr>
            <w:r w:rsidRPr="008608AA">
              <w:rPr>
                <w:sz w:val="20"/>
                <w:szCs w:val="20"/>
              </w:rPr>
              <w:t>Regulation of air quality</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3F347AD1" w14:textId="77777777" w:rsidR="00A00405" w:rsidRPr="008608AA" w:rsidRDefault="00A00405" w:rsidP="00A00405">
            <w:pPr>
              <w:rPr>
                <w:sz w:val="20"/>
                <w:szCs w:val="20"/>
              </w:rPr>
            </w:pPr>
            <w:r w:rsidRPr="008608AA">
              <w:rPr>
                <w:sz w:val="20"/>
                <w:szCs w:val="20"/>
              </w:rPr>
              <w:t>The constituents and dynamics of air quality can be studied regarding their chemical and physical properties (2.2.14).</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5B58882E" w14:textId="77777777" w:rsidR="00A00405" w:rsidRPr="008608AA" w:rsidRDefault="00A00405" w:rsidP="00A00405">
            <w:pPr>
              <w:rPr>
                <w:sz w:val="20"/>
                <w:szCs w:val="20"/>
              </w:rPr>
            </w:pPr>
            <w:r w:rsidRPr="008608AA">
              <w:rPr>
                <w:sz w:val="20"/>
                <w:szCs w:val="20"/>
              </w:rPr>
              <w:t>Air quality is a key factor that determines healthy environments. In 2012, there were more than 5 million deaths and disability-adjusted life years in the Americas (2.3.4).</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6E6D27E5" w14:textId="77777777" w:rsidR="00A00405" w:rsidRPr="008608AA" w:rsidRDefault="00A00405" w:rsidP="00A00405">
            <w:pPr>
              <w:rPr>
                <w:sz w:val="20"/>
                <w:szCs w:val="20"/>
              </w:rPr>
            </w:pPr>
            <w:r w:rsidRPr="008608AA">
              <w:rPr>
                <w:sz w:val="20"/>
                <w:szCs w:val="20"/>
              </w:rPr>
              <w:t> </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6CA07E90" w14:textId="77777777" w:rsidR="00A00405" w:rsidRPr="008608AA" w:rsidRDefault="00A00405" w:rsidP="00A00405">
            <w:pPr>
              <w:rPr>
                <w:sz w:val="20"/>
                <w:szCs w:val="20"/>
              </w:rPr>
            </w:pPr>
          </w:p>
        </w:tc>
      </w:tr>
      <w:tr w:rsidR="00A00405" w:rsidRPr="008608AA" w14:paraId="6070D042"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6201C814" w14:textId="77777777" w:rsidR="00A00405" w:rsidRPr="008608AA" w:rsidRDefault="00A00405" w:rsidP="00A00405">
            <w:pPr>
              <w:ind w:left="113" w:right="113"/>
              <w:jc w:val="center"/>
              <w:rPr>
                <w:sz w:val="20"/>
                <w:szCs w:val="20"/>
              </w:rPr>
            </w:pPr>
            <w:r w:rsidRPr="008608AA">
              <w:rPr>
                <w:sz w:val="20"/>
                <w:szCs w:val="20"/>
              </w:rPr>
              <w:t>Regulation of organisms detrimental to humans</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79658752" w14:textId="77777777" w:rsidR="00A00405" w:rsidRPr="008608AA" w:rsidRDefault="00A00405" w:rsidP="00A00405">
            <w:pPr>
              <w:rPr>
                <w:sz w:val="20"/>
                <w:szCs w:val="20"/>
              </w:rPr>
            </w:pPr>
            <w:r w:rsidRPr="008608AA">
              <w:rPr>
                <w:sz w:val="20"/>
                <w:szCs w:val="20"/>
              </w:rPr>
              <w:t> Harmful species, including viruses, plants and animals (both native and exotic) constitute an element of biodiversity in themselves that can be studied as such (2.2.15).</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47054FBF" w14:textId="5F016EF3" w:rsidR="00A00405" w:rsidRPr="008608AA" w:rsidRDefault="00A00405" w:rsidP="00A00405">
            <w:pPr>
              <w:rPr>
                <w:sz w:val="20"/>
                <w:szCs w:val="20"/>
              </w:rPr>
            </w:pPr>
            <w:r w:rsidRPr="008608AA">
              <w:rPr>
                <w:sz w:val="20"/>
                <w:szCs w:val="20"/>
              </w:rPr>
              <w:t>The reduction of organisms that are detrimental to human health, especially tropical diseases (</w:t>
            </w:r>
            <w:r w:rsidR="00847F60" w:rsidRPr="008608AA">
              <w:rPr>
                <w:sz w:val="20"/>
                <w:szCs w:val="20"/>
              </w:rPr>
              <w:t>e.g.</w:t>
            </w:r>
            <w:r w:rsidRPr="008608AA">
              <w:rPr>
                <w:sz w:val="20"/>
                <w:szCs w:val="20"/>
              </w:rPr>
              <w:t xml:space="preserve"> malaria, dengue, zika) has immediate benefits for human health (2.2.15, 2.3.4).</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31D12F13" w14:textId="77777777" w:rsidR="00A00405" w:rsidRPr="008608AA" w:rsidRDefault="00A00405" w:rsidP="00A00405">
            <w:pPr>
              <w:rPr>
                <w:sz w:val="20"/>
                <w:szCs w:val="20"/>
              </w:rPr>
            </w:pPr>
            <w:r w:rsidRPr="008608AA">
              <w:rPr>
                <w:sz w:val="20"/>
                <w:szCs w:val="20"/>
              </w:rPr>
              <w:t> </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4107B9D4" w14:textId="77777777" w:rsidR="00A00405" w:rsidRPr="008608AA" w:rsidRDefault="00A00405" w:rsidP="00A00405">
            <w:pPr>
              <w:rPr>
                <w:sz w:val="20"/>
                <w:szCs w:val="20"/>
              </w:rPr>
            </w:pPr>
            <w:r w:rsidRPr="008608AA">
              <w:rPr>
                <w:sz w:val="20"/>
                <w:szCs w:val="20"/>
              </w:rPr>
              <w:t>Indigenous and local knowledge includes organic compounds that were used as poisons by some indigenous peoples, especially on arrows and spears, and in food. Some of these compounds are used today in insecticides (2.2.15).</w:t>
            </w:r>
          </w:p>
        </w:tc>
      </w:tr>
      <w:tr w:rsidR="00A00405" w:rsidRPr="008608AA" w14:paraId="43DCA15E"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62F25070" w14:textId="77777777" w:rsidR="00A00405" w:rsidRPr="008608AA" w:rsidRDefault="00A00405" w:rsidP="00A00405">
            <w:pPr>
              <w:ind w:left="113" w:right="113"/>
              <w:jc w:val="center"/>
              <w:rPr>
                <w:sz w:val="20"/>
                <w:szCs w:val="20"/>
              </w:rPr>
            </w:pPr>
            <w:r w:rsidRPr="008608AA">
              <w:rPr>
                <w:sz w:val="20"/>
                <w:szCs w:val="20"/>
              </w:rPr>
              <w:t>Pollination and dispersal of seeds and other propagules</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0504B813" w14:textId="77777777" w:rsidR="00A00405" w:rsidRPr="008608AA" w:rsidRDefault="00A00405" w:rsidP="00A00405">
            <w:pPr>
              <w:rPr>
                <w:sz w:val="20"/>
                <w:szCs w:val="20"/>
              </w:rPr>
            </w:pPr>
            <w:r w:rsidRPr="008608AA">
              <w:rPr>
                <w:sz w:val="20"/>
                <w:szCs w:val="20"/>
              </w:rPr>
              <w:t>Pollination and seed dispersal are important ecosystem functions and the species that conduct these processes are part of the region’s biodiversity. For example, there may be upwards of 500 species of native bees in Bolivia (2.2.16).</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21166D26" w14:textId="77777777" w:rsidR="00A00405" w:rsidRPr="008608AA" w:rsidRDefault="00A00405" w:rsidP="00A00405">
            <w:pPr>
              <w:rPr>
                <w:sz w:val="20"/>
                <w:szCs w:val="20"/>
              </w:rPr>
            </w:pPr>
            <w:r w:rsidRPr="008608AA">
              <w:rPr>
                <w:sz w:val="20"/>
                <w:szCs w:val="20"/>
              </w:rPr>
              <w:t>Pollination and seed dispersal are crucial for food production, which directly affect health and nutrition (see above Food and feed NCP).</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7465FFC7" w14:textId="77777777" w:rsidR="00A00405" w:rsidRPr="008608AA" w:rsidRDefault="00A00405" w:rsidP="00A00405">
            <w:pPr>
              <w:rPr>
                <w:sz w:val="20"/>
                <w:szCs w:val="20"/>
              </w:rPr>
            </w:pPr>
            <w:r w:rsidRPr="008608AA">
              <w:rPr>
                <w:sz w:val="20"/>
                <w:szCs w:val="20"/>
              </w:rPr>
              <w:t>Beekeeping not only provides pollination and food, but also constitutes an economic activity and livelihood for people throughout the Americas (2.2.16).</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08125F3F" w14:textId="77777777" w:rsidR="00A00405" w:rsidRPr="008608AA" w:rsidRDefault="00A00405" w:rsidP="00A00405">
            <w:pPr>
              <w:rPr>
                <w:sz w:val="20"/>
                <w:szCs w:val="20"/>
              </w:rPr>
            </w:pPr>
            <w:r w:rsidRPr="008608AA">
              <w:rPr>
                <w:sz w:val="20"/>
                <w:szCs w:val="20"/>
              </w:rPr>
              <w:t>Indigenous local knowledge is rich in detail about local native bee species (Box 2.5).</w:t>
            </w:r>
          </w:p>
        </w:tc>
      </w:tr>
      <w:tr w:rsidR="00A00405" w:rsidRPr="008608AA" w14:paraId="6BA0E067"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022776CF" w14:textId="77777777" w:rsidR="00A00405" w:rsidRPr="008608AA" w:rsidRDefault="00A00405" w:rsidP="00A00405">
            <w:pPr>
              <w:ind w:left="113" w:right="113"/>
              <w:jc w:val="center"/>
              <w:rPr>
                <w:sz w:val="20"/>
                <w:szCs w:val="20"/>
              </w:rPr>
            </w:pPr>
            <w:r w:rsidRPr="008608AA">
              <w:rPr>
                <w:sz w:val="20"/>
                <w:szCs w:val="20"/>
              </w:rPr>
              <w:t>Regulation of ocean acidification</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3F0586A4" w14:textId="77777777" w:rsidR="00A00405" w:rsidRPr="008608AA" w:rsidRDefault="00A00405" w:rsidP="00A00405">
            <w:pPr>
              <w:rPr>
                <w:sz w:val="20"/>
                <w:szCs w:val="20"/>
              </w:rPr>
            </w:pPr>
            <w:r w:rsidRPr="008608AA">
              <w:rPr>
                <w:sz w:val="20"/>
                <w:szCs w:val="20"/>
              </w:rPr>
              <w:t>Ocean acidification has been shown to have severe negative effects on ecosystem processes and on a large number of marine organisms (2.2.17).</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520B1832" w14:textId="77777777" w:rsidR="00A00405" w:rsidRPr="008608AA" w:rsidRDefault="00A00405" w:rsidP="00A00405">
            <w:pPr>
              <w:rPr>
                <w:sz w:val="20"/>
                <w:szCs w:val="20"/>
              </w:rPr>
            </w:pPr>
            <w:r w:rsidRPr="008608AA">
              <w:rPr>
                <w:sz w:val="20"/>
                <w:szCs w:val="20"/>
              </w:rPr>
              <w:t>Due to ocean acidification, marine fisheries can be negatively impacted, which could ultimately affect food that sustains healthy human populations (2.2.17).</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0EAC261C" w14:textId="77777777" w:rsidR="00A00405" w:rsidRPr="008608AA" w:rsidRDefault="00A00405" w:rsidP="00A00405">
            <w:pPr>
              <w:rPr>
                <w:sz w:val="20"/>
                <w:szCs w:val="20"/>
              </w:rPr>
            </w:pPr>
            <w:r w:rsidRPr="008608AA">
              <w:rPr>
                <w:sz w:val="20"/>
                <w:szCs w:val="20"/>
              </w:rPr>
              <w:t>Furthermore, the loss of fisheries also constitutes the loss of the fishing way of living (2.2.17).</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7D3EC1E1" w14:textId="77777777" w:rsidR="00A00405" w:rsidRPr="008608AA" w:rsidRDefault="00A00405" w:rsidP="00A00405">
            <w:pPr>
              <w:rPr>
                <w:sz w:val="20"/>
                <w:szCs w:val="20"/>
              </w:rPr>
            </w:pPr>
            <w:r w:rsidRPr="008608AA">
              <w:rPr>
                <w:sz w:val="20"/>
                <w:szCs w:val="20"/>
              </w:rPr>
              <w:t> </w:t>
            </w:r>
          </w:p>
        </w:tc>
      </w:tr>
      <w:tr w:rsidR="00A00405" w:rsidRPr="008608AA" w14:paraId="1EC852C9" w14:textId="77777777" w:rsidTr="00360ADC">
        <w:trPr>
          <w:trHeight w:val="20"/>
        </w:trPr>
        <w:tc>
          <w:tcPr>
            <w:tcW w:w="678" w:type="pct"/>
            <w:tcBorders>
              <w:top w:val="single" w:sz="4" w:space="0" w:color="auto"/>
              <w:left w:val="single" w:sz="4" w:space="0" w:color="auto"/>
              <w:bottom w:val="single" w:sz="4" w:space="0" w:color="auto"/>
              <w:right w:val="single" w:sz="4" w:space="0" w:color="auto"/>
            </w:tcBorders>
            <w:shd w:val="clear" w:color="auto" w:fill="FFFFFF"/>
          </w:tcPr>
          <w:p w14:paraId="15CDBF70" w14:textId="77777777" w:rsidR="00A00405" w:rsidRPr="008608AA" w:rsidRDefault="00A00405" w:rsidP="00A00405">
            <w:pPr>
              <w:ind w:left="113" w:right="113"/>
              <w:jc w:val="center"/>
              <w:rPr>
                <w:sz w:val="20"/>
                <w:szCs w:val="20"/>
              </w:rPr>
            </w:pPr>
            <w:r w:rsidRPr="008608AA">
              <w:rPr>
                <w:sz w:val="20"/>
                <w:szCs w:val="20"/>
              </w:rPr>
              <w:t>Formation, protection &amp; decontamination of soils &amp; sediments</w:t>
            </w:r>
          </w:p>
        </w:tc>
        <w:tc>
          <w:tcPr>
            <w:tcW w:w="1018" w:type="pct"/>
            <w:tcBorders>
              <w:top w:val="single" w:sz="4" w:space="0" w:color="auto"/>
              <w:left w:val="single" w:sz="4" w:space="0" w:color="auto"/>
              <w:bottom w:val="single" w:sz="4" w:space="0" w:color="auto"/>
              <w:right w:val="single" w:sz="4" w:space="0" w:color="auto"/>
            </w:tcBorders>
            <w:shd w:val="clear" w:color="auto" w:fill="FFFFFF"/>
          </w:tcPr>
          <w:p w14:paraId="1135F472" w14:textId="77777777" w:rsidR="00A00405" w:rsidRPr="008608AA" w:rsidRDefault="00A00405" w:rsidP="00A00405">
            <w:pPr>
              <w:rPr>
                <w:sz w:val="20"/>
                <w:szCs w:val="20"/>
              </w:rPr>
            </w:pPr>
            <w:r w:rsidRPr="008608AA">
              <w:rPr>
                <w:sz w:val="20"/>
                <w:szCs w:val="20"/>
              </w:rPr>
              <w:t>Protection of soils from erosion and pollution is essential to prevent ecosystem degradation (2.2.18).</w:t>
            </w:r>
          </w:p>
        </w:tc>
        <w:tc>
          <w:tcPr>
            <w:tcW w:w="1052" w:type="pct"/>
            <w:tcBorders>
              <w:top w:val="single" w:sz="4" w:space="0" w:color="auto"/>
              <w:left w:val="single" w:sz="4" w:space="0" w:color="auto"/>
              <w:bottom w:val="single" w:sz="4" w:space="0" w:color="auto"/>
              <w:right w:val="single" w:sz="4" w:space="0" w:color="auto"/>
            </w:tcBorders>
            <w:shd w:val="clear" w:color="auto" w:fill="FFFFFF"/>
          </w:tcPr>
          <w:p w14:paraId="5DEF7B33" w14:textId="77777777" w:rsidR="00A00405" w:rsidRPr="008608AA" w:rsidRDefault="00A00405" w:rsidP="00A00405">
            <w:pPr>
              <w:rPr>
                <w:sz w:val="20"/>
                <w:szCs w:val="20"/>
              </w:rPr>
            </w:pPr>
            <w:r w:rsidRPr="008608AA">
              <w:rPr>
                <w:sz w:val="20"/>
                <w:szCs w:val="20"/>
              </w:rPr>
              <w:t>Good soil and sediment conditions clearly underpin other NCP, like Food and feed, that affect human health (see above).</w:t>
            </w:r>
          </w:p>
        </w:tc>
        <w:tc>
          <w:tcPr>
            <w:tcW w:w="1061" w:type="pct"/>
            <w:tcBorders>
              <w:top w:val="single" w:sz="4" w:space="0" w:color="auto"/>
              <w:left w:val="single" w:sz="4" w:space="0" w:color="auto"/>
              <w:bottom w:val="single" w:sz="4" w:space="0" w:color="auto"/>
              <w:right w:val="single" w:sz="4" w:space="0" w:color="auto"/>
            </w:tcBorders>
            <w:shd w:val="clear" w:color="auto" w:fill="FFFFFF"/>
          </w:tcPr>
          <w:p w14:paraId="47563FCC" w14:textId="77777777" w:rsidR="00A00405" w:rsidRPr="008608AA" w:rsidRDefault="00A00405" w:rsidP="00A00405">
            <w:pPr>
              <w:rPr>
                <w:sz w:val="20"/>
                <w:szCs w:val="20"/>
              </w:rPr>
            </w:pPr>
            <w:r w:rsidRPr="008608AA">
              <w:rPr>
                <w:sz w:val="20"/>
                <w:szCs w:val="20"/>
              </w:rPr>
              <w:t>Likewise, this NCP affects livelihoods based on nature, such as farming, forestry, livestock and also affects access to nature for cultural practices.</w:t>
            </w:r>
          </w:p>
        </w:tc>
        <w:tc>
          <w:tcPr>
            <w:tcW w:w="1191" w:type="pct"/>
            <w:tcBorders>
              <w:top w:val="single" w:sz="4" w:space="0" w:color="auto"/>
              <w:left w:val="single" w:sz="4" w:space="0" w:color="auto"/>
              <w:bottom w:val="single" w:sz="4" w:space="0" w:color="auto"/>
              <w:right w:val="single" w:sz="4" w:space="0" w:color="auto"/>
            </w:tcBorders>
            <w:shd w:val="clear" w:color="auto" w:fill="FFFFFF"/>
          </w:tcPr>
          <w:p w14:paraId="52DA6101" w14:textId="77777777" w:rsidR="00A00405" w:rsidRPr="008608AA" w:rsidRDefault="00A00405" w:rsidP="00A00405">
            <w:pPr>
              <w:rPr>
                <w:sz w:val="20"/>
                <w:szCs w:val="20"/>
              </w:rPr>
            </w:pPr>
            <w:r w:rsidRPr="008608AA">
              <w:rPr>
                <w:sz w:val="20"/>
                <w:szCs w:val="20"/>
              </w:rPr>
              <w:t>Indigenous management practices have shaped landscapes and contributed to highly productive soil formation, such as the dark soils in Amazonia (2.4).</w:t>
            </w:r>
          </w:p>
        </w:tc>
      </w:tr>
    </w:tbl>
    <w:p w14:paraId="7F892A71" w14:textId="77777777" w:rsidR="00564C75" w:rsidRDefault="00564C75" w:rsidP="00A00405">
      <w:pPr>
        <w:widowControl w:val="0"/>
        <w:spacing w:line="276" w:lineRule="auto"/>
      </w:pPr>
    </w:p>
    <w:p w14:paraId="4C2E3A05" w14:textId="77777777" w:rsidR="00564C75" w:rsidRDefault="00564C75" w:rsidP="00A00405">
      <w:pPr>
        <w:widowControl w:val="0"/>
        <w:spacing w:line="276" w:lineRule="auto"/>
      </w:pPr>
    </w:p>
    <w:p w14:paraId="061CA052" w14:textId="6457FADD" w:rsidR="00A00405" w:rsidRDefault="00A00405" w:rsidP="00A00405">
      <w:pPr>
        <w:widowControl w:val="0"/>
        <w:spacing w:line="276" w:lineRule="auto"/>
      </w:pPr>
    </w:p>
    <w:p w14:paraId="203B5FA3" w14:textId="77777777" w:rsidR="00564C75" w:rsidRDefault="00564C75" w:rsidP="00A00405">
      <w:pPr>
        <w:widowControl w:val="0"/>
        <w:spacing w:line="276" w:lineRule="auto"/>
      </w:pPr>
    </w:p>
    <w:p w14:paraId="20D0A651" w14:textId="77777777" w:rsidR="00564C75" w:rsidRPr="008608AA" w:rsidRDefault="00564C75" w:rsidP="00A00405">
      <w:pPr>
        <w:widowControl w:val="0"/>
        <w:spacing w:line="276" w:lineRule="auto"/>
        <w:sectPr w:rsidR="00564C75" w:rsidRPr="008608AA" w:rsidSect="007E29D9">
          <w:pgSz w:w="16839" w:h="11907" w:orient="landscape" w:code="9"/>
          <w:pgMar w:top="992" w:right="1418" w:bottom="1418" w:left="907" w:header="720" w:footer="720" w:gutter="0"/>
          <w:cols w:space="720"/>
          <w:docGrid w:linePitch="326"/>
        </w:sectPr>
      </w:pPr>
    </w:p>
    <w:p w14:paraId="133F1F37" w14:textId="58D5D0D4" w:rsidR="00014CD1" w:rsidRPr="008608AA" w:rsidRDefault="00A00405" w:rsidP="007E29D9">
      <w:r w:rsidRPr="008608AA">
        <w:t>At the same time, the monetary economic values of nature are especially important and can be directly incorporated into national budgeting and accounting procedures to rationalize cost-benefit analyses and planning. The ecosystem services mo</w:t>
      </w:r>
      <w:r w:rsidR="0088306D" w:rsidRPr="008608AA">
        <w:t>netary value in millions of US</w:t>
      </w:r>
      <w:r w:rsidR="003532C4" w:rsidRPr="008608AA">
        <w:t>A</w:t>
      </w:r>
      <w:r w:rsidR="0088306D" w:rsidRPr="008608AA">
        <w:t xml:space="preserve"> dollars</w:t>
      </w:r>
      <w:r w:rsidRPr="008608AA">
        <w:t xml:space="preserve"> per year for the 33 countries of Latin America and the Caribbean is presented in Table 2.22. These estimates were based on data from Costanza et al. (2014), which updated the seminal Costanza et al. (1997) study. Furthermore, for Table 2.22, we incorporated data on Canada and the USA from Kubiszewski et al. (2017). Based on these studies, the total terrestrial ecosystem services monetary value for the Americas region was $24.3 trillion per year in 2011, which is equivalent to the region’s 2011 GDP ($25.3 trillion per year, </w:t>
      </w:r>
      <w:r w:rsidR="00F21A9E" w:rsidRPr="008608AA">
        <w:t xml:space="preserve">The </w:t>
      </w:r>
      <w:r w:rsidRPr="008608AA">
        <w:t>World Bank Database,</w:t>
      </w:r>
      <w:r w:rsidR="00F21A9E" w:rsidRPr="008608AA">
        <w:t xml:space="preserve"> 2017a,</w:t>
      </w:r>
      <w:r w:rsidRPr="008608AA">
        <w:t xml:space="preserve"> accessed </w:t>
      </w:r>
      <w:r w:rsidR="00642977" w:rsidRPr="008608AA">
        <w:t xml:space="preserve">November 15, </w:t>
      </w:r>
      <w:r w:rsidRPr="008608AA">
        <w:t>2017).</w:t>
      </w:r>
      <w:r w:rsidR="00014CD1" w:rsidRPr="008608AA">
        <w:br w:type="page"/>
      </w:r>
    </w:p>
    <w:p w14:paraId="546DCA97" w14:textId="46EA4635" w:rsidR="007E29D9"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22</w:t>
      </w:r>
      <w:r w:rsidR="000E562E">
        <w:rPr>
          <w:noProof/>
        </w:rPr>
        <w:fldChar w:fldCharType="end"/>
      </w:r>
      <w:r w:rsidRPr="008608AA">
        <w:t xml:space="preserve">. </w:t>
      </w:r>
      <w:r w:rsidR="00014CD1" w:rsidRPr="008608AA">
        <w:t>Monetary valuation of ecosystem services in the Americas.</w:t>
      </w:r>
    </w:p>
    <w:tbl>
      <w:tblPr>
        <w:tblW w:w="493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877"/>
        <w:gridCol w:w="2784"/>
        <w:gridCol w:w="1573"/>
        <w:gridCol w:w="2132"/>
      </w:tblGrid>
      <w:tr w:rsidR="00A00405" w:rsidRPr="004D42ED" w14:paraId="7929326A" w14:textId="77777777" w:rsidTr="00014CD1">
        <w:trPr>
          <w:trHeight w:val="320"/>
          <w:tblHeader/>
          <w:jc w:val="center"/>
        </w:trPr>
        <w:tc>
          <w:tcPr>
            <w:tcW w:w="1536" w:type="pct"/>
            <w:shd w:val="clear" w:color="auto" w:fill="BFBFBF" w:themeFill="background1" w:themeFillShade="BF"/>
            <w:vAlign w:val="center"/>
          </w:tcPr>
          <w:p w14:paraId="2A121347" w14:textId="77777777" w:rsidR="00A00405" w:rsidRPr="004D42ED" w:rsidRDefault="00A00405" w:rsidP="00014CD1">
            <w:pPr>
              <w:jc w:val="center"/>
              <w:rPr>
                <w:b/>
                <w:szCs w:val="22"/>
              </w:rPr>
            </w:pPr>
            <w:r w:rsidRPr="004D42ED">
              <w:rPr>
                <w:b/>
                <w:szCs w:val="22"/>
              </w:rPr>
              <w:t>Country</w:t>
            </w:r>
          </w:p>
        </w:tc>
        <w:tc>
          <w:tcPr>
            <w:tcW w:w="3464" w:type="pct"/>
            <w:gridSpan w:val="3"/>
            <w:shd w:val="clear" w:color="auto" w:fill="BFBFBF" w:themeFill="background1" w:themeFillShade="BF"/>
            <w:vAlign w:val="center"/>
          </w:tcPr>
          <w:p w14:paraId="127A4EAE" w14:textId="77777777" w:rsidR="00A00405" w:rsidRPr="004D42ED" w:rsidRDefault="00A00405" w:rsidP="00014CD1">
            <w:pPr>
              <w:jc w:val="center"/>
              <w:rPr>
                <w:b/>
                <w:szCs w:val="22"/>
              </w:rPr>
            </w:pPr>
            <w:r w:rsidRPr="004D42ED">
              <w:rPr>
                <w:b/>
                <w:szCs w:val="22"/>
              </w:rPr>
              <w:t>Ecosystem Service Monetary Value</w:t>
            </w:r>
          </w:p>
        </w:tc>
      </w:tr>
      <w:tr w:rsidR="00A00405" w:rsidRPr="004D42ED" w14:paraId="6CF48EE2" w14:textId="77777777" w:rsidTr="00014CD1">
        <w:trPr>
          <w:trHeight w:val="320"/>
          <w:tblHeader/>
          <w:jc w:val="center"/>
        </w:trPr>
        <w:tc>
          <w:tcPr>
            <w:tcW w:w="1536" w:type="pct"/>
            <w:shd w:val="clear" w:color="auto" w:fill="BFBFBF" w:themeFill="background1" w:themeFillShade="BF"/>
            <w:vAlign w:val="center"/>
          </w:tcPr>
          <w:p w14:paraId="3C7FF81B" w14:textId="77777777" w:rsidR="00A00405" w:rsidRPr="004D42ED" w:rsidRDefault="00A00405" w:rsidP="00014CD1">
            <w:pPr>
              <w:jc w:val="center"/>
              <w:rPr>
                <w:b/>
                <w:szCs w:val="22"/>
              </w:rPr>
            </w:pPr>
            <w:r w:rsidRPr="004D42ED">
              <w:rPr>
                <w:b/>
                <w:szCs w:val="22"/>
              </w:rPr>
              <w:t>Subregion</w:t>
            </w:r>
          </w:p>
        </w:tc>
        <w:tc>
          <w:tcPr>
            <w:tcW w:w="1486" w:type="pct"/>
            <w:shd w:val="clear" w:color="auto" w:fill="BFBFBF" w:themeFill="background1" w:themeFillShade="BF"/>
            <w:vAlign w:val="center"/>
          </w:tcPr>
          <w:p w14:paraId="145DF75B" w14:textId="77777777" w:rsidR="00A00405" w:rsidRPr="004D42ED" w:rsidRDefault="00A00405" w:rsidP="00014CD1">
            <w:pPr>
              <w:jc w:val="center"/>
              <w:rPr>
                <w:b/>
                <w:szCs w:val="22"/>
              </w:rPr>
            </w:pPr>
            <w:r w:rsidRPr="004D42ED">
              <w:rPr>
                <w:b/>
                <w:szCs w:val="22"/>
              </w:rPr>
              <w:t>total US $ (x 1 million) / yr</w:t>
            </w:r>
          </w:p>
        </w:tc>
        <w:tc>
          <w:tcPr>
            <w:tcW w:w="840" w:type="pct"/>
            <w:shd w:val="clear" w:color="auto" w:fill="BFBFBF" w:themeFill="background1" w:themeFillShade="BF"/>
            <w:vAlign w:val="center"/>
          </w:tcPr>
          <w:p w14:paraId="73E725D6" w14:textId="77777777" w:rsidR="00A00405" w:rsidRPr="004D42ED" w:rsidRDefault="00A00405" w:rsidP="00014CD1">
            <w:pPr>
              <w:jc w:val="center"/>
              <w:rPr>
                <w:b/>
                <w:szCs w:val="22"/>
              </w:rPr>
            </w:pPr>
            <w:r w:rsidRPr="004D42ED">
              <w:rPr>
                <w:b/>
                <w:szCs w:val="22"/>
              </w:rPr>
              <w:t>US $ / ha / yr</w:t>
            </w:r>
          </w:p>
        </w:tc>
        <w:tc>
          <w:tcPr>
            <w:tcW w:w="1138" w:type="pct"/>
            <w:shd w:val="clear" w:color="auto" w:fill="BFBFBF" w:themeFill="background1" w:themeFillShade="BF"/>
            <w:vAlign w:val="center"/>
          </w:tcPr>
          <w:p w14:paraId="05A38366" w14:textId="77777777" w:rsidR="00A00405" w:rsidRPr="004D42ED" w:rsidRDefault="00A00405" w:rsidP="00014CD1">
            <w:pPr>
              <w:jc w:val="center"/>
              <w:rPr>
                <w:b/>
                <w:szCs w:val="22"/>
              </w:rPr>
            </w:pPr>
            <w:r w:rsidRPr="004D42ED">
              <w:rPr>
                <w:b/>
                <w:szCs w:val="22"/>
              </w:rPr>
              <w:t>US $ per capita / yr</w:t>
            </w:r>
          </w:p>
        </w:tc>
      </w:tr>
      <w:tr w:rsidR="00A00405" w:rsidRPr="004D42ED" w14:paraId="0C157F7A" w14:textId="77777777" w:rsidTr="00014CD1">
        <w:trPr>
          <w:trHeight w:val="300"/>
          <w:tblHeader/>
          <w:jc w:val="center"/>
        </w:trPr>
        <w:tc>
          <w:tcPr>
            <w:tcW w:w="1536" w:type="pct"/>
            <w:shd w:val="clear" w:color="auto" w:fill="auto"/>
            <w:vAlign w:val="bottom"/>
          </w:tcPr>
          <w:p w14:paraId="7D1A6218" w14:textId="77777777" w:rsidR="00A00405" w:rsidRPr="004D42ED" w:rsidRDefault="00A00405" w:rsidP="00A00405">
            <w:pPr>
              <w:rPr>
                <w:szCs w:val="22"/>
              </w:rPr>
            </w:pPr>
            <w:r w:rsidRPr="004D42ED">
              <w:rPr>
                <w:szCs w:val="22"/>
              </w:rPr>
              <w:t>Canada</w:t>
            </w:r>
          </w:p>
        </w:tc>
        <w:tc>
          <w:tcPr>
            <w:tcW w:w="1486" w:type="pct"/>
            <w:shd w:val="clear" w:color="auto" w:fill="auto"/>
            <w:vAlign w:val="bottom"/>
          </w:tcPr>
          <w:p w14:paraId="7832256E" w14:textId="77777777" w:rsidR="00A00405" w:rsidRPr="004D42ED" w:rsidRDefault="00A00405" w:rsidP="00A00405">
            <w:pPr>
              <w:jc w:val="center"/>
              <w:rPr>
                <w:szCs w:val="22"/>
              </w:rPr>
            </w:pPr>
            <w:r w:rsidRPr="004D42ED">
              <w:rPr>
                <w:szCs w:val="22"/>
              </w:rPr>
              <w:t>$3,584,661</w:t>
            </w:r>
          </w:p>
        </w:tc>
        <w:tc>
          <w:tcPr>
            <w:tcW w:w="840" w:type="pct"/>
            <w:shd w:val="clear" w:color="auto" w:fill="auto"/>
            <w:vAlign w:val="bottom"/>
          </w:tcPr>
          <w:p w14:paraId="36D2F0C3" w14:textId="77777777" w:rsidR="00A00405" w:rsidRPr="004D42ED" w:rsidRDefault="00A00405" w:rsidP="00A00405">
            <w:pPr>
              <w:jc w:val="center"/>
              <w:rPr>
                <w:szCs w:val="22"/>
              </w:rPr>
            </w:pPr>
            <w:r w:rsidRPr="004D42ED">
              <w:rPr>
                <w:szCs w:val="22"/>
              </w:rPr>
              <w:t>$3,590</w:t>
            </w:r>
          </w:p>
        </w:tc>
        <w:tc>
          <w:tcPr>
            <w:tcW w:w="1138" w:type="pct"/>
            <w:shd w:val="clear" w:color="auto" w:fill="auto"/>
            <w:vAlign w:val="bottom"/>
          </w:tcPr>
          <w:p w14:paraId="556B2FCC" w14:textId="77777777" w:rsidR="00A00405" w:rsidRPr="004D42ED" w:rsidRDefault="00A00405" w:rsidP="00A00405">
            <w:pPr>
              <w:jc w:val="center"/>
              <w:rPr>
                <w:szCs w:val="22"/>
              </w:rPr>
            </w:pPr>
            <w:r w:rsidRPr="004D42ED">
              <w:rPr>
                <w:szCs w:val="22"/>
              </w:rPr>
              <w:t>$99,985</w:t>
            </w:r>
          </w:p>
        </w:tc>
      </w:tr>
      <w:tr w:rsidR="00A00405" w:rsidRPr="004D42ED" w14:paraId="4D72C477" w14:textId="77777777" w:rsidTr="00014CD1">
        <w:trPr>
          <w:trHeight w:val="300"/>
          <w:tblHeader/>
          <w:jc w:val="center"/>
        </w:trPr>
        <w:tc>
          <w:tcPr>
            <w:tcW w:w="1536" w:type="pct"/>
            <w:shd w:val="clear" w:color="auto" w:fill="auto"/>
            <w:vAlign w:val="bottom"/>
          </w:tcPr>
          <w:p w14:paraId="2FC8210C" w14:textId="77777777" w:rsidR="00A00405" w:rsidRPr="004D42ED" w:rsidRDefault="00A00405" w:rsidP="00A00405">
            <w:pPr>
              <w:rPr>
                <w:szCs w:val="22"/>
              </w:rPr>
            </w:pPr>
            <w:r w:rsidRPr="004D42ED">
              <w:rPr>
                <w:szCs w:val="22"/>
              </w:rPr>
              <w:t>USA</w:t>
            </w:r>
          </w:p>
        </w:tc>
        <w:tc>
          <w:tcPr>
            <w:tcW w:w="1486" w:type="pct"/>
            <w:shd w:val="clear" w:color="auto" w:fill="auto"/>
            <w:vAlign w:val="bottom"/>
          </w:tcPr>
          <w:p w14:paraId="2BA885E7" w14:textId="77777777" w:rsidR="00A00405" w:rsidRPr="004D42ED" w:rsidRDefault="00A00405" w:rsidP="00A00405">
            <w:pPr>
              <w:jc w:val="center"/>
              <w:rPr>
                <w:szCs w:val="22"/>
              </w:rPr>
            </w:pPr>
            <w:r w:rsidRPr="004D42ED">
              <w:rPr>
                <w:szCs w:val="22"/>
              </w:rPr>
              <w:t>$5,331,051</w:t>
            </w:r>
          </w:p>
        </w:tc>
        <w:tc>
          <w:tcPr>
            <w:tcW w:w="840" w:type="pct"/>
            <w:shd w:val="clear" w:color="auto" w:fill="auto"/>
            <w:vAlign w:val="bottom"/>
          </w:tcPr>
          <w:p w14:paraId="7B25BFC3" w14:textId="77777777" w:rsidR="00A00405" w:rsidRPr="004D42ED" w:rsidRDefault="00A00405" w:rsidP="00A00405">
            <w:pPr>
              <w:jc w:val="center"/>
              <w:rPr>
                <w:szCs w:val="22"/>
              </w:rPr>
            </w:pPr>
            <w:r w:rsidRPr="004D42ED">
              <w:rPr>
                <w:szCs w:val="22"/>
              </w:rPr>
              <w:t>$5,422</w:t>
            </w:r>
          </w:p>
        </w:tc>
        <w:tc>
          <w:tcPr>
            <w:tcW w:w="1138" w:type="pct"/>
            <w:shd w:val="clear" w:color="auto" w:fill="auto"/>
            <w:vAlign w:val="bottom"/>
          </w:tcPr>
          <w:p w14:paraId="723A9BAA" w14:textId="77777777" w:rsidR="00A00405" w:rsidRPr="004D42ED" w:rsidRDefault="00A00405" w:rsidP="00A00405">
            <w:pPr>
              <w:jc w:val="center"/>
              <w:rPr>
                <w:szCs w:val="22"/>
              </w:rPr>
            </w:pPr>
            <w:r w:rsidRPr="004D42ED">
              <w:rPr>
                <w:szCs w:val="22"/>
              </w:rPr>
              <w:t>$16,586</w:t>
            </w:r>
          </w:p>
        </w:tc>
      </w:tr>
      <w:tr w:rsidR="00A00405" w:rsidRPr="004D42ED" w14:paraId="7811D1BA" w14:textId="77777777" w:rsidTr="00014CD1">
        <w:trPr>
          <w:trHeight w:val="300"/>
          <w:tblHeader/>
          <w:jc w:val="center"/>
        </w:trPr>
        <w:tc>
          <w:tcPr>
            <w:tcW w:w="1536" w:type="pct"/>
            <w:shd w:val="clear" w:color="auto" w:fill="BFBFBF" w:themeFill="background1" w:themeFillShade="BF"/>
            <w:vAlign w:val="center"/>
          </w:tcPr>
          <w:p w14:paraId="46E7DEE0" w14:textId="77777777" w:rsidR="00A00405" w:rsidRPr="004D42ED" w:rsidRDefault="00A00405" w:rsidP="00014CD1">
            <w:pPr>
              <w:rPr>
                <w:b/>
                <w:szCs w:val="22"/>
              </w:rPr>
            </w:pPr>
            <w:r w:rsidRPr="004D42ED">
              <w:rPr>
                <w:b/>
                <w:szCs w:val="22"/>
              </w:rPr>
              <w:t>North America</w:t>
            </w:r>
          </w:p>
        </w:tc>
        <w:tc>
          <w:tcPr>
            <w:tcW w:w="1486" w:type="pct"/>
            <w:shd w:val="clear" w:color="auto" w:fill="BFBFBF" w:themeFill="background1" w:themeFillShade="BF"/>
            <w:vAlign w:val="center"/>
          </w:tcPr>
          <w:p w14:paraId="485E0274" w14:textId="77777777" w:rsidR="00A00405" w:rsidRPr="004D42ED" w:rsidRDefault="00A00405" w:rsidP="00014CD1">
            <w:pPr>
              <w:jc w:val="center"/>
              <w:rPr>
                <w:b/>
                <w:szCs w:val="22"/>
              </w:rPr>
            </w:pPr>
            <w:r w:rsidRPr="004D42ED">
              <w:rPr>
                <w:b/>
                <w:szCs w:val="22"/>
              </w:rPr>
              <w:t>$8,915,712</w:t>
            </w:r>
          </w:p>
        </w:tc>
        <w:tc>
          <w:tcPr>
            <w:tcW w:w="840" w:type="pct"/>
            <w:shd w:val="clear" w:color="auto" w:fill="BFBFBF" w:themeFill="background1" w:themeFillShade="BF"/>
            <w:vAlign w:val="center"/>
          </w:tcPr>
          <w:p w14:paraId="5990F621" w14:textId="77777777" w:rsidR="00A00405" w:rsidRPr="004D42ED" w:rsidRDefault="00A00405" w:rsidP="00014CD1">
            <w:pPr>
              <w:jc w:val="center"/>
              <w:rPr>
                <w:b/>
                <w:szCs w:val="22"/>
              </w:rPr>
            </w:pPr>
            <w:r w:rsidRPr="004D42ED">
              <w:rPr>
                <w:b/>
                <w:szCs w:val="22"/>
              </w:rPr>
              <w:t>$4,056</w:t>
            </w:r>
          </w:p>
        </w:tc>
        <w:tc>
          <w:tcPr>
            <w:tcW w:w="1138" w:type="pct"/>
            <w:shd w:val="clear" w:color="auto" w:fill="BFBFBF" w:themeFill="background1" w:themeFillShade="BF"/>
            <w:vAlign w:val="center"/>
          </w:tcPr>
          <w:p w14:paraId="293F2F99" w14:textId="77777777" w:rsidR="00A00405" w:rsidRPr="004D42ED" w:rsidRDefault="00A00405" w:rsidP="00014CD1">
            <w:pPr>
              <w:jc w:val="center"/>
              <w:rPr>
                <w:b/>
                <w:szCs w:val="22"/>
              </w:rPr>
            </w:pPr>
            <w:r w:rsidRPr="004D42ED">
              <w:rPr>
                <w:b/>
                <w:szCs w:val="22"/>
              </w:rPr>
              <w:t>$24,951</w:t>
            </w:r>
          </w:p>
        </w:tc>
      </w:tr>
      <w:tr w:rsidR="00A00405" w:rsidRPr="004D42ED" w14:paraId="3BF4CA3F" w14:textId="77777777" w:rsidTr="00014CD1">
        <w:trPr>
          <w:trHeight w:val="300"/>
          <w:tblHeader/>
          <w:jc w:val="center"/>
        </w:trPr>
        <w:tc>
          <w:tcPr>
            <w:tcW w:w="1536" w:type="pct"/>
            <w:shd w:val="clear" w:color="auto" w:fill="auto"/>
            <w:vAlign w:val="bottom"/>
          </w:tcPr>
          <w:p w14:paraId="5EA7C1E8" w14:textId="77777777" w:rsidR="00A00405" w:rsidRPr="004D42ED" w:rsidRDefault="00A00405" w:rsidP="00A00405">
            <w:pPr>
              <w:rPr>
                <w:szCs w:val="22"/>
              </w:rPr>
            </w:pPr>
            <w:r w:rsidRPr="004D42ED">
              <w:rPr>
                <w:szCs w:val="22"/>
              </w:rPr>
              <w:t>Belize</w:t>
            </w:r>
          </w:p>
        </w:tc>
        <w:tc>
          <w:tcPr>
            <w:tcW w:w="1486" w:type="pct"/>
            <w:shd w:val="clear" w:color="auto" w:fill="auto"/>
            <w:vAlign w:val="bottom"/>
          </w:tcPr>
          <w:p w14:paraId="64C6CC80" w14:textId="77777777" w:rsidR="00A00405" w:rsidRPr="004D42ED" w:rsidRDefault="00A00405" w:rsidP="00A00405">
            <w:pPr>
              <w:jc w:val="center"/>
              <w:rPr>
                <w:szCs w:val="22"/>
              </w:rPr>
            </w:pPr>
            <w:r w:rsidRPr="004D42ED">
              <w:rPr>
                <w:szCs w:val="22"/>
              </w:rPr>
              <w:t>$11,647</w:t>
            </w:r>
          </w:p>
        </w:tc>
        <w:tc>
          <w:tcPr>
            <w:tcW w:w="840" w:type="pct"/>
            <w:shd w:val="clear" w:color="auto" w:fill="auto"/>
            <w:vAlign w:val="bottom"/>
          </w:tcPr>
          <w:p w14:paraId="39A047EE" w14:textId="77777777" w:rsidR="00A00405" w:rsidRPr="004D42ED" w:rsidRDefault="00A00405" w:rsidP="00A00405">
            <w:pPr>
              <w:jc w:val="center"/>
              <w:rPr>
                <w:szCs w:val="22"/>
              </w:rPr>
            </w:pPr>
            <w:r w:rsidRPr="004D42ED">
              <w:rPr>
                <w:szCs w:val="22"/>
              </w:rPr>
              <w:t>$5,070</w:t>
            </w:r>
          </w:p>
        </w:tc>
        <w:tc>
          <w:tcPr>
            <w:tcW w:w="1138" w:type="pct"/>
            <w:shd w:val="clear" w:color="auto" w:fill="auto"/>
            <w:vAlign w:val="bottom"/>
          </w:tcPr>
          <w:p w14:paraId="54F451D9" w14:textId="77777777" w:rsidR="00A00405" w:rsidRPr="004D42ED" w:rsidRDefault="00A00405" w:rsidP="00A00405">
            <w:pPr>
              <w:jc w:val="center"/>
              <w:rPr>
                <w:szCs w:val="22"/>
              </w:rPr>
            </w:pPr>
            <w:r w:rsidRPr="004D42ED">
              <w:rPr>
                <w:szCs w:val="22"/>
              </w:rPr>
              <w:t>$32,442</w:t>
            </w:r>
          </w:p>
        </w:tc>
      </w:tr>
      <w:tr w:rsidR="00A00405" w:rsidRPr="004D42ED" w14:paraId="5FDFDC04" w14:textId="77777777" w:rsidTr="00014CD1">
        <w:trPr>
          <w:trHeight w:val="300"/>
          <w:tblHeader/>
          <w:jc w:val="center"/>
        </w:trPr>
        <w:tc>
          <w:tcPr>
            <w:tcW w:w="1536" w:type="pct"/>
            <w:shd w:val="clear" w:color="auto" w:fill="auto"/>
            <w:vAlign w:val="bottom"/>
          </w:tcPr>
          <w:p w14:paraId="38FFB99D" w14:textId="77777777" w:rsidR="00A00405" w:rsidRPr="004D42ED" w:rsidRDefault="00A00405" w:rsidP="00A00405">
            <w:pPr>
              <w:rPr>
                <w:szCs w:val="22"/>
              </w:rPr>
            </w:pPr>
            <w:r w:rsidRPr="004D42ED">
              <w:rPr>
                <w:szCs w:val="22"/>
              </w:rPr>
              <w:t>Costa Rica</w:t>
            </w:r>
          </w:p>
        </w:tc>
        <w:tc>
          <w:tcPr>
            <w:tcW w:w="1486" w:type="pct"/>
            <w:shd w:val="clear" w:color="auto" w:fill="auto"/>
            <w:vAlign w:val="bottom"/>
          </w:tcPr>
          <w:p w14:paraId="45809700" w14:textId="77777777" w:rsidR="00A00405" w:rsidRPr="004D42ED" w:rsidRDefault="00A00405" w:rsidP="00A00405">
            <w:pPr>
              <w:jc w:val="center"/>
              <w:rPr>
                <w:szCs w:val="22"/>
              </w:rPr>
            </w:pPr>
            <w:r w:rsidRPr="004D42ED">
              <w:rPr>
                <w:szCs w:val="22"/>
              </w:rPr>
              <w:t>$42,444</w:t>
            </w:r>
          </w:p>
        </w:tc>
        <w:tc>
          <w:tcPr>
            <w:tcW w:w="840" w:type="pct"/>
            <w:shd w:val="clear" w:color="auto" w:fill="auto"/>
            <w:vAlign w:val="bottom"/>
          </w:tcPr>
          <w:p w14:paraId="712DA21B" w14:textId="77777777" w:rsidR="00A00405" w:rsidRPr="004D42ED" w:rsidRDefault="00A00405" w:rsidP="00A00405">
            <w:pPr>
              <w:jc w:val="center"/>
              <w:rPr>
                <w:szCs w:val="22"/>
              </w:rPr>
            </w:pPr>
            <w:r w:rsidRPr="004D42ED">
              <w:rPr>
                <w:szCs w:val="22"/>
              </w:rPr>
              <w:t>$8,306</w:t>
            </w:r>
          </w:p>
        </w:tc>
        <w:tc>
          <w:tcPr>
            <w:tcW w:w="1138" w:type="pct"/>
            <w:shd w:val="clear" w:color="auto" w:fill="auto"/>
            <w:vAlign w:val="bottom"/>
          </w:tcPr>
          <w:p w14:paraId="7EB0CE1B" w14:textId="77777777" w:rsidR="00A00405" w:rsidRPr="004D42ED" w:rsidRDefault="00A00405" w:rsidP="00A00405">
            <w:pPr>
              <w:jc w:val="center"/>
              <w:rPr>
                <w:szCs w:val="22"/>
              </w:rPr>
            </w:pPr>
            <w:r w:rsidRPr="004D42ED">
              <w:rPr>
                <w:szCs w:val="22"/>
              </w:rPr>
              <w:t>$8,828</w:t>
            </w:r>
          </w:p>
        </w:tc>
      </w:tr>
      <w:tr w:rsidR="00A00405" w:rsidRPr="004D42ED" w14:paraId="515054A3" w14:textId="77777777" w:rsidTr="00014CD1">
        <w:trPr>
          <w:trHeight w:val="300"/>
          <w:tblHeader/>
          <w:jc w:val="center"/>
        </w:trPr>
        <w:tc>
          <w:tcPr>
            <w:tcW w:w="1536" w:type="pct"/>
            <w:shd w:val="clear" w:color="auto" w:fill="auto"/>
            <w:vAlign w:val="bottom"/>
          </w:tcPr>
          <w:p w14:paraId="2A08692F" w14:textId="77777777" w:rsidR="00A00405" w:rsidRPr="004D42ED" w:rsidRDefault="00A00405" w:rsidP="00A00405">
            <w:pPr>
              <w:rPr>
                <w:szCs w:val="22"/>
              </w:rPr>
            </w:pPr>
            <w:r w:rsidRPr="004D42ED">
              <w:rPr>
                <w:szCs w:val="22"/>
              </w:rPr>
              <w:t>El Salvador</w:t>
            </w:r>
          </w:p>
        </w:tc>
        <w:tc>
          <w:tcPr>
            <w:tcW w:w="1486" w:type="pct"/>
            <w:shd w:val="clear" w:color="auto" w:fill="auto"/>
            <w:vAlign w:val="bottom"/>
          </w:tcPr>
          <w:p w14:paraId="1FB800D9" w14:textId="77777777" w:rsidR="00A00405" w:rsidRPr="004D42ED" w:rsidRDefault="00A00405" w:rsidP="00A00405">
            <w:pPr>
              <w:jc w:val="center"/>
              <w:rPr>
                <w:szCs w:val="22"/>
              </w:rPr>
            </w:pPr>
            <w:r w:rsidRPr="004D42ED">
              <w:rPr>
                <w:szCs w:val="22"/>
              </w:rPr>
              <w:t>$14,953</w:t>
            </w:r>
          </w:p>
        </w:tc>
        <w:tc>
          <w:tcPr>
            <w:tcW w:w="840" w:type="pct"/>
            <w:shd w:val="clear" w:color="auto" w:fill="auto"/>
            <w:vAlign w:val="bottom"/>
          </w:tcPr>
          <w:p w14:paraId="71055753" w14:textId="77777777" w:rsidR="00A00405" w:rsidRPr="004D42ED" w:rsidRDefault="00A00405" w:rsidP="00A00405">
            <w:pPr>
              <w:jc w:val="center"/>
              <w:rPr>
                <w:szCs w:val="22"/>
              </w:rPr>
            </w:pPr>
            <w:r w:rsidRPr="004D42ED">
              <w:rPr>
                <w:szCs w:val="22"/>
              </w:rPr>
              <w:t>$7,107</w:t>
            </w:r>
          </w:p>
        </w:tc>
        <w:tc>
          <w:tcPr>
            <w:tcW w:w="1138" w:type="pct"/>
            <w:shd w:val="clear" w:color="auto" w:fill="auto"/>
            <w:vAlign w:val="bottom"/>
          </w:tcPr>
          <w:p w14:paraId="74F40AD4" w14:textId="77777777" w:rsidR="00A00405" w:rsidRPr="004D42ED" w:rsidRDefault="00A00405" w:rsidP="00A00405">
            <w:pPr>
              <w:jc w:val="center"/>
              <w:rPr>
                <w:szCs w:val="22"/>
              </w:rPr>
            </w:pPr>
            <w:r w:rsidRPr="004D42ED">
              <w:rPr>
                <w:szCs w:val="22"/>
              </w:rPr>
              <w:t>$2,441</w:t>
            </w:r>
          </w:p>
        </w:tc>
      </w:tr>
      <w:tr w:rsidR="00A00405" w:rsidRPr="004D42ED" w14:paraId="7438AA6B" w14:textId="77777777" w:rsidTr="00014CD1">
        <w:trPr>
          <w:trHeight w:val="300"/>
          <w:tblHeader/>
          <w:jc w:val="center"/>
        </w:trPr>
        <w:tc>
          <w:tcPr>
            <w:tcW w:w="1536" w:type="pct"/>
            <w:shd w:val="clear" w:color="auto" w:fill="auto"/>
            <w:vAlign w:val="bottom"/>
          </w:tcPr>
          <w:p w14:paraId="11CBC12B" w14:textId="77777777" w:rsidR="00A00405" w:rsidRPr="004D42ED" w:rsidRDefault="00A00405" w:rsidP="00A00405">
            <w:pPr>
              <w:rPr>
                <w:szCs w:val="22"/>
              </w:rPr>
            </w:pPr>
            <w:r w:rsidRPr="004D42ED">
              <w:rPr>
                <w:szCs w:val="22"/>
              </w:rPr>
              <w:t>Guatemala</w:t>
            </w:r>
          </w:p>
        </w:tc>
        <w:tc>
          <w:tcPr>
            <w:tcW w:w="1486" w:type="pct"/>
            <w:shd w:val="clear" w:color="auto" w:fill="auto"/>
            <w:vAlign w:val="bottom"/>
          </w:tcPr>
          <w:p w14:paraId="50BE3AD4" w14:textId="77777777" w:rsidR="00A00405" w:rsidRPr="004D42ED" w:rsidRDefault="00A00405" w:rsidP="00A00405">
            <w:pPr>
              <w:jc w:val="center"/>
              <w:rPr>
                <w:szCs w:val="22"/>
              </w:rPr>
            </w:pPr>
            <w:r w:rsidRPr="004D42ED">
              <w:rPr>
                <w:szCs w:val="22"/>
              </w:rPr>
              <w:t>$58,364</w:t>
            </w:r>
          </w:p>
        </w:tc>
        <w:tc>
          <w:tcPr>
            <w:tcW w:w="840" w:type="pct"/>
            <w:shd w:val="clear" w:color="auto" w:fill="auto"/>
            <w:vAlign w:val="bottom"/>
          </w:tcPr>
          <w:p w14:paraId="2CE3B74D" w14:textId="77777777" w:rsidR="00A00405" w:rsidRPr="004D42ED" w:rsidRDefault="00A00405" w:rsidP="00A00405">
            <w:pPr>
              <w:jc w:val="center"/>
              <w:rPr>
                <w:szCs w:val="22"/>
              </w:rPr>
            </w:pPr>
            <w:r w:rsidRPr="004D42ED">
              <w:rPr>
                <w:szCs w:val="22"/>
              </w:rPr>
              <w:t>$5,355</w:t>
            </w:r>
          </w:p>
        </w:tc>
        <w:tc>
          <w:tcPr>
            <w:tcW w:w="1138" w:type="pct"/>
            <w:shd w:val="clear" w:color="auto" w:fill="auto"/>
            <w:vAlign w:val="bottom"/>
          </w:tcPr>
          <w:p w14:paraId="36FBC81C" w14:textId="77777777" w:rsidR="00A00405" w:rsidRPr="004D42ED" w:rsidRDefault="00A00405" w:rsidP="00A00405">
            <w:pPr>
              <w:jc w:val="center"/>
              <w:rPr>
                <w:szCs w:val="22"/>
              </w:rPr>
            </w:pPr>
            <w:r w:rsidRPr="004D42ED">
              <w:rPr>
                <w:szCs w:val="22"/>
              </w:rPr>
              <w:t>$3,571</w:t>
            </w:r>
          </w:p>
        </w:tc>
      </w:tr>
      <w:tr w:rsidR="00A00405" w:rsidRPr="004D42ED" w14:paraId="0A8DFC2B" w14:textId="77777777" w:rsidTr="00014CD1">
        <w:trPr>
          <w:trHeight w:val="300"/>
          <w:tblHeader/>
          <w:jc w:val="center"/>
        </w:trPr>
        <w:tc>
          <w:tcPr>
            <w:tcW w:w="1536" w:type="pct"/>
            <w:shd w:val="clear" w:color="auto" w:fill="auto"/>
            <w:vAlign w:val="bottom"/>
          </w:tcPr>
          <w:p w14:paraId="3CEEB951" w14:textId="77777777" w:rsidR="00A00405" w:rsidRPr="004D42ED" w:rsidRDefault="00A00405" w:rsidP="00A00405">
            <w:pPr>
              <w:rPr>
                <w:szCs w:val="22"/>
              </w:rPr>
            </w:pPr>
            <w:r w:rsidRPr="004D42ED">
              <w:rPr>
                <w:szCs w:val="22"/>
              </w:rPr>
              <w:t>Honduras</w:t>
            </w:r>
          </w:p>
        </w:tc>
        <w:tc>
          <w:tcPr>
            <w:tcW w:w="1486" w:type="pct"/>
            <w:shd w:val="clear" w:color="auto" w:fill="auto"/>
            <w:vAlign w:val="bottom"/>
          </w:tcPr>
          <w:p w14:paraId="2D482860" w14:textId="77777777" w:rsidR="00A00405" w:rsidRPr="004D42ED" w:rsidRDefault="00A00405" w:rsidP="00A00405">
            <w:pPr>
              <w:jc w:val="center"/>
              <w:rPr>
                <w:szCs w:val="22"/>
              </w:rPr>
            </w:pPr>
            <w:r w:rsidRPr="004D42ED">
              <w:rPr>
                <w:szCs w:val="22"/>
              </w:rPr>
              <w:t>$66,954</w:t>
            </w:r>
          </w:p>
        </w:tc>
        <w:tc>
          <w:tcPr>
            <w:tcW w:w="840" w:type="pct"/>
            <w:shd w:val="clear" w:color="auto" w:fill="auto"/>
            <w:vAlign w:val="bottom"/>
          </w:tcPr>
          <w:p w14:paraId="4441BD72" w14:textId="77777777" w:rsidR="00A00405" w:rsidRPr="004D42ED" w:rsidRDefault="00A00405" w:rsidP="00A00405">
            <w:pPr>
              <w:jc w:val="center"/>
              <w:rPr>
                <w:szCs w:val="22"/>
              </w:rPr>
            </w:pPr>
            <w:r w:rsidRPr="004D42ED">
              <w:rPr>
                <w:szCs w:val="22"/>
              </w:rPr>
              <w:t>$5,952</w:t>
            </w:r>
          </w:p>
        </w:tc>
        <w:tc>
          <w:tcPr>
            <w:tcW w:w="1138" w:type="pct"/>
            <w:shd w:val="clear" w:color="auto" w:fill="auto"/>
            <w:vAlign w:val="bottom"/>
          </w:tcPr>
          <w:p w14:paraId="290D9EB3" w14:textId="77777777" w:rsidR="00A00405" w:rsidRPr="004D42ED" w:rsidRDefault="00A00405" w:rsidP="00A00405">
            <w:pPr>
              <w:jc w:val="center"/>
              <w:rPr>
                <w:szCs w:val="22"/>
              </w:rPr>
            </w:pPr>
            <w:r w:rsidRPr="004D42ED">
              <w:rPr>
                <w:szCs w:val="22"/>
              </w:rPr>
              <w:t>$8,292</w:t>
            </w:r>
          </w:p>
        </w:tc>
      </w:tr>
      <w:tr w:rsidR="00A00405" w:rsidRPr="004D42ED" w14:paraId="789943E0" w14:textId="77777777" w:rsidTr="00014CD1">
        <w:trPr>
          <w:trHeight w:val="300"/>
          <w:tblHeader/>
          <w:jc w:val="center"/>
        </w:trPr>
        <w:tc>
          <w:tcPr>
            <w:tcW w:w="1536" w:type="pct"/>
            <w:shd w:val="clear" w:color="auto" w:fill="auto"/>
            <w:vAlign w:val="bottom"/>
          </w:tcPr>
          <w:p w14:paraId="040FA783" w14:textId="77777777" w:rsidR="00A00405" w:rsidRPr="004D42ED" w:rsidRDefault="00A00405" w:rsidP="00A00405">
            <w:pPr>
              <w:rPr>
                <w:szCs w:val="22"/>
              </w:rPr>
            </w:pPr>
            <w:r w:rsidRPr="004D42ED">
              <w:rPr>
                <w:szCs w:val="22"/>
              </w:rPr>
              <w:t>Mexico</w:t>
            </w:r>
          </w:p>
        </w:tc>
        <w:tc>
          <w:tcPr>
            <w:tcW w:w="1486" w:type="pct"/>
            <w:shd w:val="clear" w:color="auto" w:fill="auto"/>
            <w:vAlign w:val="bottom"/>
          </w:tcPr>
          <w:p w14:paraId="6799EE4E" w14:textId="77777777" w:rsidR="00A00405" w:rsidRPr="004D42ED" w:rsidRDefault="00A00405" w:rsidP="00A00405">
            <w:pPr>
              <w:jc w:val="center"/>
              <w:rPr>
                <w:szCs w:val="22"/>
              </w:rPr>
            </w:pPr>
            <w:r w:rsidRPr="004D42ED">
              <w:rPr>
                <w:szCs w:val="22"/>
              </w:rPr>
              <w:t>$848,935</w:t>
            </w:r>
          </w:p>
        </w:tc>
        <w:tc>
          <w:tcPr>
            <w:tcW w:w="840" w:type="pct"/>
            <w:shd w:val="clear" w:color="auto" w:fill="auto"/>
            <w:vAlign w:val="bottom"/>
          </w:tcPr>
          <w:p w14:paraId="17581C80" w14:textId="77777777" w:rsidR="00A00405" w:rsidRPr="004D42ED" w:rsidRDefault="00A00405" w:rsidP="00A00405">
            <w:pPr>
              <w:jc w:val="center"/>
              <w:rPr>
                <w:szCs w:val="22"/>
              </w:rPr>
            </w:pPr>
            <w:r w:rsidRPr="004D42ED">
              <w:rPr>
                <w:szCs w:val="22"/>
              </w:rPr>
              <w:t>$4,322</w:t>
            </w:r>
          </w:p>
        </w:tc>
        <w:tc>
          <w:tcPr>
            <w:tcW w:w="1138" w:type="pct"/>
            <w:shd w:val="clear" w:color="auto" w:fill="auto"/>
            <w:vAlign w:val="bottom"/>
          </w:tcPr>
          <w:p w14:paraId="2A4A1F23" w14:textId="77777777" w:rsidR="00A00405" w:rsidRPr="004D42ED" w:rsidRDefault="00A00405" w:rsidP="00A00405">
            <w:pPr>
              <w:jc w:val="center"/>
              <w:rPr>
                <w:szCs w:val="22"/>
              </w:rPr>
            </w:pPr>
            <w:r w:rsidRPr="004D42ED">
              <w:rPr>
                <w:szCs w:val="22"/>
              </w:rPr>
              <w:t>$6,684</w:t>
            </w:r>
          </w:p>
        </w:tc>
      </w:tr>
      <w:tr w:rsidR="00A00405" w:rsidRPr="004D42ED" w14:paraId="13740970" w14:textId="77777777" w:rsidTr="00014CD1">
        <w:trPr>
          <w:trHeight w:val="300"/>
          <w:tblHeader/>
          <w:jc w:val="center"/>
        </w:trPr>
        <w:tc>
          <w:tcPr>
            <w:tcW w:w="1536" w:type="pct"/>
            <w:shd w:val="clear" w:color="auto" w:fill="auto"/>
            <w:vAlign w:val="bottom"/>
          </w:tcPr>
          <w:p w14:paraId="2ACDD120" w14:textId="77777777" w:rsidR="00A00405" w:rsidRPr="004D42ED" w:rsidRDefault="00A00405" w:rsidP="00A00405">
            <w:pPr>
              <w:rPr>
                <w:szCs w:val="22"/>
              </w:rPr>
            </w:pPr>
            <w:r w:rsidRPr="004D42ED">
              <w:rPr>
                <w:szCs w:val="22"/>
              </w:rPr>
              <w:t>Nicaragua</w:t>
            </w:r>
          </w:p>
        </w:tc>
        <w:tc>
          <w:tcPr>
            <w:tcW w:w="1486" w:type="pct"/>
            <w:shd w:val="clear" w:color="auto" w:fill="auto"/>
            <w:vAlign w:val="bottom"/>
          </w:tcPr>
          <w:p w14:paraId="34DC9011" w14:textId="77777777" w:rsidR="00A00405" w:rsidRPr="004D42ED" w:rsidRDefault="00A00405" w:rsidP="00A00405">
            <w:pPr>
              <w:jc w:val="center"/>
              <w:rPr>
                <w:szCs w:val="22"/>
              </w:rPr>
            </w:pPr>
            <w:r w:rsidRPr="004D42ED">
              <w:rPr>
                <w:szCs w:val="22"/>
              </w:rPr>
              <w:t>$87,309</w:t>
            </w:r>
          </w:p>
        </w:tc>
        <w:tc>
          <w:tcPr>
            <w:tcW w:w="840" w:type="pct"/>
            <w:shd w:val="clear" w:color="auto" w:fill="auto"/>
            <w:vAlign w:val="bottom"/>
          </w:tcPr>
          <w:p w14:paraId="0C8FB50B" w14:textId="77777777" w:rsidR="00A00405" w:rsidRPr="004D42ED" w:rsidRDefault="00A00405" w:rsidP="00A00405">
            <w:pPr>
              <w:jc w:val="center"/>
              <w:rPr>
                <w:szCs w:val="22"/>
              </w:rPr>
            </w:pPr>
            <w:r w:rsidRPr="004D42ED">
              <w:rPr>
                <w:szCs w:val="22"/>
              </w:rPr>
              <w:t>$6,697</w:t>
            </w:r>
          </w:p>
        </w:tc>
        <w:tc>
          <w:tcPr>
            <w:tcW w:w="1138" w:type="pct"/>
            <w:shd w:val="clear" w:color="auto" w:fill="auto"/>
            <w:vAlign w:val="bottom"/>
          </w:tcPr>
          <w:p w14:paraId="00212ACF" w14:textId="77777777" w:rsidR="00A00405" w:rsidRPr="004D42ED" w:rsidRDefault="00A00405" w:rsidP="00A00405">
            <w:pPr>
              <w:jc w:val="center"/>
              <w:rPr>
                <w:szCs w:val="22"/>
              </w:rPr>
            </w:pPr>
            <w:r w:rsidRPr="004D42ED">
              <w:rPr>
                <w:szCs w:val="22"/>
              </w:rPr>
              <w:t>$14,355</w:t>
            </w:r>
          </w:p>
        </w:tc>
      </w:tr>
      <w:tr w:rsidR="00A00405" w:rsidRPr="004D42ED" w14:paraId="05144B75" w14:textId="77777777" w:rsidTr="00014CD1">
        <w:trPr>
          <w:trHeight w:val="300"/>
          <w:tblHeader/>
          <w:jc w:val="center"/>
        </w:trPr>
        <w:tc>
          <w:tcPr>
            <w:tcW w:w="1536" w:type="pct"/>
            <w:shd w:val="clear" w:color="auto" w:fill="auto"/>
            <w:vAlign w:val="bottom"/>
          </w:tcPr>
          <w:p w14:paraId="659AD70B" w14:textId="77777777" w:rsidR="00A00405" w:rsidRPr="004D42ED" w:rsidRDefault="00A00405" w:rsidP="00A00405">
            <w:pPr>
              <w:rPr>
                <w:szCs w:val="22"/>
              </w:rPr>
            </w:pPr>
            <w:r w:rsidRPr="004D42ED">
              <w:rPr>
                <w:szCs w:val="22"/>
              </w:rPr>
              <w:t>Panama</w:t>
            </w:r>
          </w:p>
        </w:tc>
        <w:tc>
          <w:tcPr>
            <w:tcW w:w="1486" w:type="pct"/>
            <w:shd w:val="clear" w:color="auto" w:fill="auto"/>
            <w:vAlign w:val="bottom"/>
          </w:tcPr>
          <w:p w14:paraId="0038A28A" w14:textId="77777777" w:rsidR="00A00405" w:rsidRPr="004D42ED" w:rsidRDefault="00A00405" w:rsidP="00A00405">
            <w:pPr>
              <w:jc w:val="center"/>
              <w:rPr>
                <w:szCs w:val="22"/>
              </w:rPr>
            </w:pPr>
            <w:r w:rsidRPr="004D42ED">
              <w:rPr>
                <w:szCs w:val="22"/>
              </w:rPr>
              <w:t>$51,622</w:t>
            </w:r>
          </w:p>
        </w:tc>
        <w:tc>
          <w:tcPr>
            <w:tcW w:w="840" w:type="pct"/>
            <w:shd w:val="clear" w:color="auto" w:fill="auto"/>
            <w:vAlign w:val="bottom"/>
          </w:tcPr>
          <w:p w14:paraId="17C03026" w14:textId="77777777" w:rsidR="00A00405" w:rsidRPr="004D42ED" w:rsidRDefault="00A00405" w:rsidP="00A00405">
            <w:pPr>
              <w:jc w:val="center"/>
              <w:rPr>
                <w:szCs w:val="22"/>
              </w:rPr>
            </w:pPr>
            <w:r w:rsidRPr="004D42ED">
              <w:rPr>
                <w:szCs w:val="22"/>
              </w:rPr>
              <w:t>$6,845</w:t>
            </w:r>
          </w:p>
        </w:tc>
        <w:tc>
          <w:tcPr>
            <w:tcW w:w="1138" w:type="pct"/>
            <w:shd w:val="clear" w:color="auto" w:fill="auto"/>
            <w:vAlign w:val="bottom"/>
          </w:tcPr>
          <w:p w14:paraId="4303D522" w14:textId="77777777" w:rsidR="00A00405" w:rsidRPr="004D42ED" w:rsidRDefault="00A00405" w:rsidP="00A00405">
            <w:pPr>
              <w:jc w:val="center"/>
              <w:rPr>
                <w:szCs w:val="22"/>
              </w:rPr>
            </w:pPr>
            <w:r w:rsidRPr="004D42ED">
              <w:rPr>
                <w:szCs w:val="22"/>
              </w:rPr>
              <w:t>$13,139</w:t>
            </w:r>
          </w:p>
        </w:tc>
      </w:tr>
      <w:tr w:rsidR="00A00405" w:rsidRPr="004D42ED" w14:paraId="37431903" w14:textId="77777777" w:rsidTr="00014CD1">
        <w:trPr>
          <w:trHeight w:val="300"/>
          <w:tblHeader/>
          <w:jc w:val="center"/>
        </w:trPr>
        <w:tc>
          <w:tcPr>
            <w:tcW w:w="1536" w:type="pct"/>
            <w:shd w:val="clear" w:color="auto" w:fill="BFBFBF" w:themeFill="background1" w:themeFillShade="BF"/>
            <w:vAlign w:val="bottom"/>
          </w:tcPr>
          <w:p w14:paraId="769F85D7" w14:textId="77777777" w:rsidR="00A00405" w:rsidRPr="004D42ED" w:rsidRDefault="00A00405" w:rsidP="00A00405">
            <w:pPr>
              <w:rPr>
                <w:b/>
                <w:szCs w:val="22"/>
              </w:rPr>
            </w:pPr>
            <w:r w:rsidRPr="004D42ED">
              <w:rPr>
                <w:b/>
                <w:szCs w:val="22"/>
              </w:rPr>
              <w:t>Mesoamerica</w:t>
            </w:r>
          </w:p>
        </w:tc>
        <w:tc>
          <w:tcPr>
            <w:tcW w:w="1486" w:type="pct"/>
            <w:shd w:val="clear" w:color="auto" w:fill="BFBFBF" w:themeFill="background1" w:themeFillShade="BF"/>
            <w:vAlign w:val="bottom"/>
          </w:tcPr>
          <w:p w14:paraId="60DE8E1A" w14:textId="77777777" w:rsidR="00A00405" w:rsidRPr="004D42ED" w:rsidRDefault="00A00405" w:rsidP="00A00405">
            <w:pPr>
              <w:jc w:val="center"/>
              <w:rPr>
                <w:b/>
                <w:szCs w:val="22"/>
              </w:rPr>
            </w:pPr>
            <w:r w:rsidRPr="004D42ED">
              <w:rPr>
                <w:b/>
                <w:szCs w:val="22"/>
              </w:rPr>
              <w:t>$1,182,228</w:t>
            </w:r>
          </w:p>
        </w:tc>
        <w:tc>
          <w:tcPr>
            <w:tcW w:w="840" w:type="pct"/>
            <w:shd w:val="clear" w:color="auto" w:fill="BFBFBF" w:themeFill="background1" w:themeFillShade="BF"/>
            <w:vAlign w:val="bottom"/>
          </w:tcPr>
          <w:p w14:paraId="54FE652B" w14:textId="77777777" w:rsidR="00A00405" w:rsidRPr="004D42ED" w:rsidRDefault="00A00405" w:rsidP="00A00405">
            <w:pPr>
              <w:jc w:val="center"/>
              <w:rPr>
                <w:b/>
                <w:szCs w:val="22"/>
              </w:rPr>
            </w:pPr>
            <w:r w:rsidRPr="004D42ED">
              <w:rPr>
                <w:b/>
                <w:szCs w:val="22"/>
              </w:rPr>
              <w:t>$4,754</w:t>
            </w:r>
          </w:p>
        </w:tc>
        <w:tc>
          <w:tcPr>
            <w:tcW w:w="1138" w:type="pct"/>
            <w:shd w:val="clear" w:color="auto" w:fill="BFBFBF" w:themeFill="background1" w:themeFillShade="BF"/>
            <w:vAlign w:val="bottom"/>
          </w:tcPr>
          <w:p w14:paraId="3E7C07C6" w14:textId="77777777" w:rsidR="00A00405" w:rsidRPr="004D42ED" w:rsidRDefault="00A00405" w:rsidP="00A00405">
            <w:pPr>
              <w:jc w:val="center"/>
              <w:rPr>
                <w:b/>
                <w:szCs w:val="22"/>
              </w:rPr>
            </w:pPr>
            <w:r w:rsidRPr="004D42ED">
              <w:rPr>
                <w:b/>
                <w:szCs w:val="22"/>
              </w:rPr>
              <w:t>$6,844</w:t>
            </w:r>
          </w:p>
        </w:tc>
      </w:tr>
      <w:tr w:rsidR="00A00405" w:rsidRPr="004D42ED" w14:paraId="4D9FA6D5" w14:textId="77777777" w:rsidTr="00014CD1">
        <w:trPr>
          <w:trHeight w:val="300"/>
          <w:tblHeader/>
          <w:jc w:val="center"/>
        </w:trPr>
        <w:tc>
          <w:tcPr>
            <w:tcW w:w="1536" w:type="pct"/>
            <w:shd w:val="clear" w:color="auto" w:fill="auto"/>
            <w:vAlign w:val="bottom"/>
          </w:tcPr>
          <w:p w14:paraId="24235904" w14:textId="77777777" w:rsidR="00A00405" w:rsidRPr="004D42ED" w:rsidRDefault="00A00405" w:rsidP="00A00405">
            <w:pPr>
              <w:rPr>
                <w:szCs w:val="22"/>
              </w:rPr>
            </w:pPr>
            <w:r w:rsidRPr="004D42ED">
              <w:rPr>
                <w:szCs w:val="22"/>
              </w:rPr>
              <w:t>Antigua and Barbuda</w:t>
            </w:r>
          </w:p>
        </w:tc>
        <w:tc>
          <w:tcPr>
            <w:tcW w:w="1486" w:type="pct"/>
            <w:shd w:val="clear" w:color="auto" w:fill="auto"/>
            <w:vAlign w:val="bottom"/>
          </w:tcPr>
          <w:p w14:paraId="7B1AA885" w14:textId="77777777" w:rsidR="00A00405" w:rsidRPr="004D42ED" w:rsidRDefault="00A00405" w:rsidP="00A00405">
            <w:pPr>
              <w:jc w:val="center"/>
              <w:rPr>
                <w:szCs w:val="22"/>
              </w:rPr>
            </w:pPr>
            <w:r w:rsidRPr="004D42ED">
              <w:rPr>
                <w:szCs w:val="22"/>
              </w:rPr>
              <w:t>$985</w:t>
            </w:r>
          </w:p>
        </w:tc>
        <w:tc>
          <w:tcPr>
            <w:tcW w:w="840" w:type="pct"/>
            <w:shd w:val="clear" w:color="auto" w:fill="auto"/>
            <w:vAlign w:val="bottom"/>
          </w:tcPr>
          <w:p w14:paraId="48BFEDC0" w14:textId="77777777" w:rsidR="00A00405" w:rsidRPr="004D42ED" w:rsidRDefault="00A00405" w:rsidP="00A00405">
            <w:pPr>
              <w:jc w:val="center"/>
              <w:rPr>
                <w:szCs w:val="22"/>
              </w:rPr>
            </w:pPr>
            <w:r w:rsidRPr="004D42ED">
              <w:rPr>
                <w:szCs w:val="22"/>
              </w:rPr>
              <w:t>$22,378</w:t>
            </w:r>
          </w:p>
        </w:tc>
        <w:tc>
          <w:tcPr>
            <w:tcW w:w="1138" w:type="pct"/>
            <w:shd w:val="clear" w:color="auto" w:fill="auto"/>
            <w:vAlign w:val="bottom"/>
          </w:tcPr>
          <w:p w14:paraId="0610CD46" w14:textId="77777777" w:rsidR="00A00405" w:rsidRPr="004D42ED" w:rsidRDefault="00A00405" w:rsidP="00A00405">
            <w:pPr>
              <w:jc w:val="center"/>
              <w:rPr>
                <w:szCs w:val="22"/>
              </w:rPr>
            </w:pPr>
            <w:r w:rsidRPr="004D42ED">
              <w:rPr>
                <w:szCs w:val="22"/>
              </w:rPr>
              <w:t>$10,703</w:t>
            </w:r>
          </w:p>
        </w:tc>
      </w:tr>
      <w:tr w:rsidR="00A00405" w:rsidRPr="004D42ED" w14:paraId="47F9B5E9" w14:textId="77777777" w:rsidTr="00014CD1">
        <w:trPr>
          <w:trHeight w:val="300"/>
          <w:tblHeader/>
          <w:jc w:val="center"/>
        </w:trPr>
        <w:tc>
          <w:tcPr>
            <w:tcW w:w="1536" w:type="pct"/>
            <w:shd w:val="clear" w:color="auto" w:fill="auto"/>
            <w:vAlign w:val="bottom"/>
          </w:tcPr>
          <w:p w14:paraId="00D02042" w14:textId="065DA00D" w:rsidR="00A00405" w:rsidRPr="004D42ED" w:rsidRDefault="00014CD1" w:rsidP="00A00405">
            <w:pPr>
              <w:rPr>
                <w:szCs w:val="22"/>
              </w:rPr>
            </w:pPr>
            <w:r w:rsidRPr="004D42ED">
              <w:rPr>
                <w:szCs w:val="22"/>
              </w:rPr>
              <w:t xml:space="preserve">The </w:t>
            </w:r>
            <w:r w:rsidR="00A00405" w:rsidRPr="004D42ED">
              <w:rPr>
                <w:szCs w:val="22"/>
              </w:rPr>
              <w:t>Bahamas</w:t>
            </w:r>
          </w:p>
        </w:tc>
        <w:tc>
          <w:tcPr>
            <w:tcW w:w="1486" w:type="pct"/>
            <w:shd w:val="clear" w:color="auto" w:fill="auto"/>
            <w:vAlign w:val="bottom"/>
          </w:tcPr>
          <w:p w14:paraId="4B724683" w14:textId="77777777" w:rsidR="00A00405" w:rsidRPr="004D42ED" w:rsidRDefault="00A00405" w:rsidP="00A00405">
            <w:pPr>
              <w:jc w:val="center"/>
              <w:rPr>
                <w:szCs w:val="22"/>
              </w:rPr>
            </w:pPr>
            <w:r w:rsidRPr="004D42ED">
              <w:rPr>
                <w:szCs w:val="22"/>
              </w:rPr>
              <w:t>$28,623</w:t>
            </w:r>
          </w:p>
        </w:tc>
        <w:tc>
          <w:tcPr>
            <w:tcW w:w="840" w:type="pct"/>
            <w:shd w:val="clear" w:color="auto" w:fill="auto"/>
            <w:vAlign w:val="bottom"/>
          </w:tcPr>
          <w:p w14:paraId="7A07F4D1" w14:textId="77777777" w:rsidR="00A00405" w:rsidRPr="004D42ED" w:rsidRDefault="00A00405" w:rsidP="00A00405">
            <w:pPr>
              <w:jc w:val="center"/>
              <w:rPr>
                <w:szCs w:val="22"/>
              </w:rPr>
            </w:pPr>
            <w:r w:rsidRPr="004D42ED">
              <w:rPr>
                <w:szCs w:val="22"/>
              </w:rPr>
              <w:t>$20,622</w:t>
            </w:r>
          </w:p>
        </w:tc>
        <w:tc>
          <w:tcPr>
            <w:tcW w:w="1138" w:type="pct"/>
            <w:shd w:val="clear" w:color="auto" w:fill="auto"/>
            <w:vAlign w:val="bottom"/>
          </w:tcPr>
          <w:p w14:paraId="1E47EA71" w14:textId="77777777" w:rsidR="00A00405" w:rsidRPr="004D42ED" w:rsidRDefault="00A00405" w:rsidP="00A00405">
            <w:pPr>
              <w:jc w:val="center"/>
              <w:rPr>
                <w:szCs w:val="22"/>
              </w:rPr>
            </w:pPr>
            <w:r w:rsidRPr="004D42ED">
              <w:rPr>
                <w:szCs w:val="22"/>
              </w:rPr>
              <w:t>$73,771</w:t>
            </w:r>
          </w:p>
        </w:tc>
      </w:tr>
      <w:tr w:rsidR="00A00405" w:rsidRPr="004D42ED" w14:paraId="0BBB0C48" w14:textId="77777777" w:rsidTr="00014CD1">
        <w:trPr>
          <w:trHeight w:val="300"/>
          <w:tblHeader/>
          <w:jc w:val="center"/>
        </w:trPr>
        <w:tc>
          <w:tcPr>
            <w:tcW w:w="1536" w:type="pct"/>
            <w:shd w:val="clear" w:color="auto" w:fill="auto"/>
            <w:vAlign w:val="bottom"/>
          </w:tcPr>
          <w:p w14:paraId="51C482B6" w14:textId="77777777" w:rsidR="00A00405" w:rsidRPr="004D42ED" w:rsidRDefault="00A00405" w:rsidP="00A00405">
            <w:pPr>
              <w:rPr>
                <w:szCs w:val="22"/>
              </w:rPr>
            </w:pPr>
            <w:r w:rsidRPr="004D42ED">
              <w:rPr>
                <w:szCs w:val="22"/>
              </w:rPr>
              <w:t>Barbados</w:t>
            </w:r>
          </w:p>
        </w:tc>
        <w:tc>
          <w:tcPr>
            <w:tcW w:w="1486" w:type="pct"/>
            <w:shd w:val="clear" w:color="auto" w:fill="auto"/>
            <w:vAlign w:val="bottom"/>
          </w:tcPr>
          <w:p w14:paraId="7AD75C80" w14:textId="77777777" w:rsidR="00A00405" w:rsidRPr="004D42ED" w:rsidRDefault="00A00405" w:rsidP="00A00405">
            <w:pPr>
              <w:jc w:val="center"/>
              <w:rPr>
                <w:szCs w:val="22"/>
              </w:rPr>
            </w:pPr>
            <w:r w:rsidRPr="004D42ED">
              <w:rPr>
                <w:szCs w:val="22"/>
              </w:rPr>
              <w:t>$322</w:t>
            </w:r>
          </w:p>
        </w:tc>
        <w:tc>
          <w:tcPr>
            <w:tcW w:w="840" w:type="pct"/>
            <w:shd w:val="clear" w:color="auto" w:fill="auto"/>
            <w:vAlign w:val="bottom"/>
          </w:tcPr>
          <w:p w14:paraId="33049948" w14:textId="77777777" w:rsidR="00A00405" w:rsidRPr="004D42ED" w:rsidRDefault="00A00405" w:rsidP="00A00405">
            <w:pPr>
              <w:jc w:val="center"/>
              <w:rPr>
                <w:szCs w:val="22"/>
              </w:rPr>
            </w:pPr>
            <w:r w:rsidRPr="004D42ED">
              <w:rPr>
                <w:szCs w:val="22"/>
              </w:rPr>
              <w:t>$7,495</w:t>
            </w:r>
          </w:p>
        </w:tc>
        <w:tc>
          <w:tcPr>
            <w:tcW w:w="1138" w:type="pct"/>
            <w:shd w:val="clear" w:color="auto" w:fill="auto"/>
            <w:vAlign w:val="bottom"/>
          </w:tcPr>
          <w:p w14:paraId="52791F85" w14:textId="77777777" w:rsidR="00A00405" w:rsidRPr="004D42ED" w:rsidRDefault="00A00405" w:rsidP="00A00405">
            <w:pPr>
              <w:jc w:val="center"/>
              <w:rPr>
                <w:szCs w:val="22"/>
              </w:rPr>
            </w:pPr>
            <w:r w:rsidRPr="004D42ED">
              <w:rPr>
                <w:szCs w:val="22"/>
              </w:rPr>
              <w:t>$1,135</w:t>
            </w:r>
          </w:p>
        </w:tc>
      </w:tr>
      <w:tr w:rsidR="00A00405" w:rsidRPr="004D42ED" w14:paraId="10E494C9" w14:textId="77777777" w:rsidTr="00014CD1">
        <w:trPr>
          <w:trHeight w:val="300"/>
          <w:tblHeader/>
          <w:jc w:val="center"/>
        </w:trPr>
        <w:tc>
          <w:tcPr>
            <w:tcW w:w="1536" w:type="pct"/>
            <w:shd w:val="clear" w:color="auto" w:fill="auto"/>
            <w:vAlign w:val="bottom"/>
          </w:tcPr>
          <w:p w14:paraId="21D2ED44" w14:textId="77777777" w:rsidR="00A00405" w:rsidRPr="004D42ED" w:rsidRDefault="00A00405" w:rsidP="00A00405">
            <w:pPr>
              <w:rPr>
                <w:szCs w:val="22"/>
              </w:rPr>
            </w:pPr>
            <w:r w:rsidRPr="004D42ED">
              <w:rPr>
                <w:szCs w:val="22"/>
              </w:rPr>
              <w:t>Cuba</w:t>
            </w:r>
          </w:p>
        </w:tc>
        <w:tc>
          <w:tcPr>
            <w:tcW w:w="1486" w:type="pct"/>
            <w:shd w:val="clear" w:color="auto" w:fill="auto"/>
            <w:vAlign w:val="bottom"/>
          </w:tcPr>
          <w:p w14:paraId="33E50BA4" w14:textId="77777777" w:rsidR="00A00405" w:rsidRPr="004D42ED" w:rsidRDefault="00A00405" w:rsidP="00A00405">
            <w:pPr>
              <w:jc w:val="center"/>
              <w:rPr>
                <w:szCs w:val="22"/>
              </w:rPr>
            </w:pPr>
            <w:r w:rsidRPr="004D42ED">
              <w:rPr>
                <w:szCs w:val="22"/>
              </w:rPr>
              <w:t>$68,757</w:t>
            </w:r>
          </w:p>
        </w:tc>
        <w:tc>
          <w:tcPr>
            <w:tcW w:w="840" w:type="pct"/>
            <w:shd w:val="clear" w:color="auto" w:fill="auto"/>
            <w:vAlign w:val="bottom"/>
          </w:tcPr>
          <w:p w14:paraId="74FC666C" w14:textId="77777777" w:rsidR="00A00405" w:rsidRPr="004D42ED" w:rsidRDefault="00A00405" w:rsidP="00A00405">
            <w:pPr>
              <w:jc w:val="center"/>
              <w:rPr>
                <w:szCs w:val="22"/>
              </w:rPr>
            </w:pPr>
            <w:r w:rsidRPr="004D42ED">
              <w:rPr>
                <w:szCs w:val="22"/>
              </w:rPr>
              <w:t>$6,257</w:t>
            </w:r>
          </w:p>
        </w:tc>
        <w:tc>
          <w:tcPr>
            <w:tcW w:w="1138" w:type="pct"/>
            <w:shd w:val="clear" w:color="auto" w:fill="auto"/>
            <w:vAlign w:val="bottom"/>
          </w:tcPr>
          <w:p w14:paraId="11F220E4" w14:textId="77777777" w:rsidR="00A00405" w:rsidRPr="004D42ED" w:rsidRDefault="00A00405" w:rsidP="00A00405">
            <w:pPr>
              <w:jc w:val="center"/>
              <w:rPr>
                <w:szCs w:val="22"/>
              </w:rPr>
            </w:pPr>
            <w:r w:rsidRPr="004D42ED">
              <w:rPr>
                <w:szCs w:val="22"/>
              </w:rPr>
              <w:t>$6,037</w:t>
            </w:r>
          </w:p>
        </w:tc>
      </w:tr>
      <w:tr w:rsidR="00A00405" w:rsidRPr="004D42ED" w14:paraId="4C809326" w14:textId="77777777" w:rsidTr="00014CD1">
        <w:trPr>
          <w:trHeight w:val="300"/>
          <w:tblHeader/>
          <w:jc w:val="center"/>
        </w:trPr>
        <w:tc>
          <w:tcPr>
            <w:tcW w:w="1536" w:type="pct"/>
            <w:shd w:val="clear" w:color="auto" w:fill="auto"/>
            <w:vAlign w:val="bottom"/>
          </w:tcPr>
          <w:p w14:paraId="2C2CA136" w14:textId="77777777" w:rsidR="00A00405" w:rsidRPr="004D42ED" w:rsidRDefault="00A00405" w:rsidP="00A00405">
            <w:pPr>
              <w:rPr>
                <w:szCs w:val="22"/>
              </w:rPr>
            </w:pPr>
            <w:r w:rsidRPr="004D42ED">
              <w:rPr>
                <w:szCs w:val="22"/>
              </w:rPr>
              <w:t>Dominica</w:t>
            </w:r>
          </w:p>
        </w:tc>
        <w:tc>
          <w:tcPr>
            <w:tcW w:w="1486" w:type="pct"/>
            <w:shd w:val="clear" w:color="auto" w:fill="auto"/>
            <w:vAlign w:val="bottom"/>
          </w:tcPr>
          <w:p w14:paraId="47316551" w14:textId="77777777" w:rsidR="00A00405" w:rsidRPr="004D42ED" w:rsidRDefault="00A00405" w:rsidP="00A00405">
            <w:pPr>
              <w:jc w:val="center"/>
              <w:rPr>
                <w:szCs w:val="22"/>
              </w:rPr>
            </w:pPr>
            <w:r w:rsidRPr="004D42ED">
              <w:rPr>
                <w:szCs w:val="22"/>
              </w:rPr>
              <w:t>$586</w:t>
            </w:r>
          </w:p>
        </w:tc>
        <w:tc>
          <w:tcPr>
            <w:tcW w:w="840" w:type="pct"/>
            <w:shd w:val="clear" w:color="auto" w:fill="auto"/>
            <w:vAlign w:val="bottom"/>
          </w:tcPr>
          <w:p w14:paraId="4D089FF4" w14:textId="77777777" w:rsidR="00A00405" w:rsidRPr="004D42ED" w:rsidRDefault="00A00405" w:rsidP="00A00405">
            <w:pPr>
              <w:jc w:val="center"/>
              <w:rPr>
                <w:szCs w:val="22"/>
              </w:rPr>
            </w:pPr>
            <w:r w:rsidRPr="004D42ED">
              <w:rPr>
                <w:szCs w:val="22"/>
              </w:rPr>
              <w:t>$7,815</w:t>
            </w:r>
          </w:p>
        </w:tc>
        <w:tc>
          <w:tcPr>
            <w:tcW w:w="1138" w:type="pct"/>
            <w:shd w:val="clear" w:color="auto" w:fill="auto"/>
            <w:vAlign w:val="bottom"/>
          </w:tcPr>
          <w:p w14:paraId="5EED3113" w14:textId="77777777" w:rsidR="00A00405" w:rsidRPr="004D42ED" w:rsidRDefault="00A00405" w:rsidP="00A00405">
            <w:pPr>
              <w:jc w:val="center"/>
              <w:rPr>
                <w:szCs w:val="22"/>
              </w:rPr>
            </w:pPr>
            <w:r w:rsidRPr="004D42ED">
              <w:rPr>
                <w:szCs w:val="22"/>
              </w:rPr>
              <w:t>$8,029</w:t>
            </w:r>
          </w:p>
        </w:tc>
      </w:tr>
      <w:tr w:rsidR="00A00405" w:rsidRPr="004D42ED" w14:paraId="5EBB70AB" w14:textId="77777777" w:rsidTr="00014CD1">
        <w:trPr>
          <w:trHeight w:val="300"/>
          <w:tblHeader/>
          <w:jc w:val="center"/>
        </w:trPr>
        <w:tc>
          <w:tcPr>
            <w:tcW w:w="1536" w:type="pct"/>
            <w:shd w:val="clear" w:color="auto" w:fill="auto"/>
            <w:vAlign w:val="bottom"/>
          </w:tcPr>
          <w:p w14:paraId="7B99EC32" w14:textId="77777777" w:rsidR="00A00405" w:rsidRPr="004D42ED" w:rsidRDefault="00A00405" w:rsidP="00A00405">
            <w:pPr>
              <w:rPr>
                <w:szCs w:val="22"/>
              </w:rPr>
            </w:pPr>
            <w:r w:rsidRPr="004D42ED">
              <w:rPr>
                <w:szCs w:val="22"/>
              </w:rPr>
              <w:t>Dominican Republic</w:t>
            </w:r>
          </w:p>
        </w:tc>
        <w:tc>
          <w:tcPr>
            <w:tcW w:w="1486" w:type="pct"/>
            <w:shd w:val="clear" w:color="auto" w:fill="auto"/>
            <w:vAlign w:val="bottom"/>
          </w:tcPr>
          <w:p w14:paraId="5B0740BC" w14:textId="77777777" w:rsidR="00A00405" w:rsidRPr="004D42ED" w:rsidRDefault="00A00405" w:rsidP="00A00405">
            <w:pPr>
              <w:jc w:val="center"/>
              <w:rPr>
                <w:szCs w:val="22"/>
              </w:rPr>
            </w:pPr>
            <w:r w:rsidRPr="004D42ED">
              <w:rPr>
                <w:szCs w:val="22"/>
              </w:rPr>
              <w:t>$26,451</w:t>
            </w:r>
          </w:p>
        </w:tc>
        <w:tc>
          <w:tcPr>
            <w:tcW w:w="840" w:type="pct"/>
            <w:shd w:val="clear" w:color="auto" w:fill="auto"/>
            <w:vAlign w:val="bottom"/>
          </w:tcPr>
          <w:p w14:paraId="404B4ED4" w14:textId="77777777" w:rsidR="00A00405" w:rsidRPr="004D42ED" w:rsidRDefault="00A00405" w:rsidP="00A00405">
            <w:pPr>
              <w:jc w:val="center"/>
              <w:rPr>
                <w:szCs w:val="22"/>
              </w:rPr>
            </w:pPr>
            <w:r w:rsidRPr="004D42ED">
              <w:rPr>
                <w:szCs w:val="22"/>
              </w:rPr>
              <w:t>$5,435</w:t>
            </w:r>
          </w:p>
        </w:tc>
        <w:tc>
          <w:tcPr>
            <w:tcW w:w="1138" w:type="pct"/>
            <w:shd w:val="clear" w:color="auto" w:fill="auto"/>
            <w:vAlign w:val="bottom"/>
          </w:tcPr>
          <w:p w14:paraId="241BEF63" w14:textId="77777777" w:rsidR="00A00405" w:rsidRPr="004D42ED" w:rsidRDefault="00A00405" w:rsidP="00A00405">
            <w:pPr>
              <w:jc w:val="center"/>
              <w:rPr>
                <w:szCs w:val="22"/>
              </w:rPr>
            </w:pPr>
            <w:r w:rsidRPr="004D42ED">
              <w:rPr>
                <w:szCs w:val="22"/>
              </w:rPr>
              <w:t>$2,512</w:t>
            </w:r>
          </w:p>
        </w:tc>
      </w:tr>
      <w:tr w:rsidR="00A00405" w:rsidRPr="004D42ED" w14:paraId="0A5C165C" w14:textId="77777777" w:rsidTr="00014CD1">
        <w:trPr>
          <w:trHeight w:val="300"/>
          <w:tblHeader/>
          <w:jc w:val="center"/>
        </w:trPr>
        <w:tc>
          <w:tcPr>
            <w:tcW w:w="1536" w:type="pct"/>
            <w:shd w:val="clear" w:color="auto" w:fill="auto"/>
            <w:vAlign w:val="bottom"/>
          </w:tcPr>
          <w:p w14:paraId="57DE49CE" w14:textId="77777777" w:rsidR="00A00405" w:rsidRPr="004D42ED" w:rsidRDefault="00A00405" w:rsidP="00A00405">
            <w:pPr>
              <w:rPr>
                <w:szCs w:val="22"/>
              </w:rPr>
            </w:pPr>
            <w:r w:rsidRPr="004D42ED">
              <w:rPr>
                <w:szCs w:val="22"/>
              </w:rPr>
              <w:t>Grenada</w:t>
            </w:r>
          </w:p>
        </w:tc>
        <w:tc>
          <w:tcPr>
            <w:tcW w:w="1486" w:type="pct"/>
            <w:shd w:val="clear" w:color="auto" w:fill="auto"/>
            <w:vAlign w:val="bottom"/>
          </w:tcPr>
          <w:p w14:paraId="05C23D14" w14:textId="77777777" w:rsidR="00A00405" w:rsidRPr="004D42ED" w:rsidRDefault="00A00405" w:rsidP="00A00405">
            <w:pPr>
              <w:jc w:val="center"/>
              <w:rPr>
                <w:szCs w:val="22"/>
              </w:rPr>
            </w:pPr>
            <w:r w:rsidRPr="004D42ED">
              <w:rPr>
                <w:szCs w:val="22"/>
              </w:rPr>
              <w:t>$289</w:t>
            </w:r>
          </w:p>
        </w:tc>
        <w:tc>
          <w:tcPr>
            <w:tcW w:w="840" w:type="pct"/>
            <w:shd w:val="clear" w:color="auto" w:fill="auto"/>
            <w:vAlign w:val="bottom"/>
          </w:tcPr>
          <w:p w14:paraId="07ADE88F" w14:textId="77777777" w:rsidR="00A00405" w:rsidRPr="004D42ED" w:rsidRDefault="00A00405" w:rsidP="00A00405">
            <w:pPr>
              <w:jc w:val="center"/>
              <w:rPr>
                <w:szCs w:val="22"/>
              </w:rPr>
            </w:pPr>
            <w:r w:rsidRPr="004D42ED">
              <w:rPr>
                <w:szCs w:val="22"/>
              </w:rPr>
              <w:t>$8,252</w:t>
            </w:r>
          </w:p>
        </w:tc>
        <w:tc>
          <w:tcPr>
            <w:tcW w:w="1138" w:type="pct"/>
            <w:shd w:val="clear" w:color="auto" w:fill="auto"/>
            <w:vAlign w:val="bottom"/>
          </w:tcPr>
          <w:p w14:paraId="35BF6395" w14:textId="77777777" w:rsidR="00A00405" w:rsidRPr="004D42ED" w:rsidRDefault="00A00405" w:rsidP="00A00405">
            <w:pPr>
              <w:jc w:val="center"/>
              <w:rPr>
                <w:szCs w:val="22"/>
              </w:rPr>
            </w:pPr>
            <w:r w:rsidRPr="004D42ED">
              <w:rPr>
                <w:szCs w:val="22"/>
              </w:rPr>
              <w:t>$2,699</w:t>
            </w:r>
          </w:p>
        </w:tc>
      </w:tr>
      <w:tr w:rsidR="00A00405" w:rsidRPr="004D42ED" w14:paraId="127E37B7" w14:textId="77777777" w:rsidTr="00014CD1">
        <w:trPr>
          <w:trHeight w:val="300"/>
          <w:tblHeader/>
          <w:jc w:val="center"/>
        </w:trPr>
        <w:tc>
          <w:tcPr>
            <w:tcW w:w="1536" w:type="pct"/>
            <w:shd w:val="clear" w:color="auto" w:fill="auto"/>
            <w:vAlign w:val="bottom"/>
          </w:tcPr>
          <w:p w14:paraId="09D288FD" w14:textId="77777777" w:rsidR="00A00405" w:rsidRPr="004D42ED" w:rsidRDefault="00A00405" w:rsidP="00A00405">
            <w:pPr>
              <w:rPr>
                <w:szCs w:val="22"/>
              </w:rPr>
            </w:pPr>
            <w:r w:rsidRPr="004D42ED">
              <w:rPr>
                <w:szCs w:val="22"/>
              </w:rPr>
              <w:t>Haiti</w:t>
            </w:r>
          </w:p>
        </w:tc>
        <w:tc>
          <w:tcPr>
            <w:tcW w:w="1486" w:type="pct"/>
            <w:shd w:val="clear" w:color="auto" w:fill="auto"/>
            <w:vAlign w:val="bottom"/>
          </w:tcPr>
          <w:p w14:paraId="6CDE02E9" w14:textId="77777777" w:rsidR="00A00405" w:rsidRPr="004D42ED" w:rsidRDefault="00A00405" w:rsidP="00A00405">
            <w:pPr>
              <w:jc w:val="center"/>
              <w:rPr>
                <w:szCs w:val="22"/>
              </w:rPr>
            </w:pPr>
            <w:r w:rsidRPr="004D42ED">
              <w:rPr>
                <w:szCs w:val="22"/>
              </w:rPr>
              <w:t>$15,837</w:t>
            </w:r>
          </w:p>
        </w:tc>
        <w:tc>
          <w:tcPr>
            <w:tcW w:w="840" w:type="pct"/>
            <w:shd w:val="clear" w:color="auto" w:fill="auto"/>
            <w:vAlign w:val="bottom"/>
          </w:tcPr>
          <w:p w14:paraId="1C229CE8" w14:textId="77777777" w:rsidR="00A00405" w:rsidRPr="004D42ED" w:rsidRDefault="00A00405" w:rsidP="00A00405">
            <w:pPr>
              <w:jc w:val="center"/>
              <w:rPr>
                <w:szCs w:val="22"/>
              </w:rPr>
            </w:pPr>
            <w:r w:rsidRPr="004D42ED">
              <w:rPr>
                <w:szCs w:val="22"/>
              </w:rPr>
              <w:t>$5,707</w:t>
            </w:r>
          </w:p>
        </w:tc>
        <w:tc>
          <w:tcPr>
            <w:tcW w:w="1138" w:type="pct"/>
            <w:shd w:val="clear" w:color="auto" w:fill="auto"/>
            <w:vAlign w:val="bottom"/>
          </w:tcPr>
          <w:p w14:paraId="76EA3849" w14:textId="77777777" w:rsidR="00A00405" w:rsidRPr="004D42ED" w:rsidRDefault="00A00405" w:rsidP="00A00405">
            <w:pPr>
              <w:jc w:val="center"/>
              <w:rPr>
                <w:szCs w:val="22"/>
              </w:rPr>
            </w:pPr>
            <w:r w:rsidRPr="004D42ED">
              <w:rPr>
                <w:szCs w:val="22"/>
              </w:rPr>
              <w:t>$1,479</w:t>
            </w:r>
          </w:p>
        </w:tc>
      </w:tr>
      <w:tr w:rsidR="00A00405" w:rsidRPr="004D42ED" w14:paraId="6DBDD082" w14:textId="77777777" w:rsidTr="00014CD1">
        <w:trPr>
          <w:trHeight w:val="300"/>
          <w:tblHeader/>
          <w:jc w:val="center"/>
        </w:trPr>
        <w:tc>
          <w:tcPr>
            <w:tcW w:w="1536" w:type="pct"/>
            <w:shd w:val="clear" w:color="auto" w:fill="auto"/>
            <w:vAlign w:val="bottom"/>
          </w:tcPr>
          <w:p w14:paraId="0F2C303D" w14:textId="77777777" w:rsidR="00A00405" w:rsidRPr="004D42ED" w:rsidRDefault="00A00405" w:rsidP="00A00405">
            <w:pPr>
              <w:rPr>
                <w:szCs w:val="22"/>
              </w:rPr>
            </w:pPr>
            <w:r w:rsidRPr="004D42ED">
              <w:rPr>
                <w:szCs w:val="22"/>
              </w:rPr>
              <w:t>Jamaica</w:t>
            </w:r>
          </w:p>
        </w:tc>
        <w:tc>
          <w:tcPr>
            <w:tcW w:w="1486" w:type="pct"/>
            <w:shd w:val="clear" w:color="auto" w:fill="auto"/>
            <w:vAlign w:val="bottom"/>
          </w:tcPr>
          <w:p w14:paraId="2D4355F3" w14:textId="77777777" w:rsidR="00A00405" w:rsidRPr="004D42ED" w:rsidRDefault="00A00405" w:rsidP="00A00405">
            <w:pPr>
              <w:jc w:val="center"/>
              <w:rPr>
                <w:szCs w:val="22"/>
              </w:rPr>
            </w:pPr>
            <w:r w:rsidRPr="004D42ED">
              <w:rPr>
                <w:szCs w:val="22"/>
              </w:rPr>
              <w:t>$6,156</w:t>
            </w:r>
          </w:p>
        </w:tc>
        <w:tc>
          <w:tcPr>
            <w:tcW w:w="840" w:type="pct"/>
            <w:shd w:val="clear" w:color="auto" w:fill="auto"/>
            <w:vAlign w:val="bottom"/>
          </w:tcPr>
          <w:p w14:paraId="0B451130" w14:textId="77777777" w:rsidR="00A00405" w:rsidRPr="004D42ED" w:rsidRDefault="00A00405" w:rsidP="00A00405">
            <w:pPr>
              <w:jc w:val="center"/>
              <w:rPr>
                <w:szCs w:val="22"/>
              </w:rPr>
            </w:pPr>
            <w:r w:rsidRPr="004D42ED">
              <w:rPr>
                <w:szCs w:val="22"/>
              </w:rPr>
              <w:t>$5,601</w:t>
            </w:r>
          </w:p>
        </w:tc>
        <w:tc>
          <w:tcPr>
            <w:tcW w:w="1138" w:type="pct"/>
            <w:shd w:val="clear" w:color="auto" w:fill="auto"/>
            <w:vAlign w:val="bottom"/>
          </w:tcPr>
          <w:p w14:paraId="73B123F8" w14:textId="77777777" w:rsidR="00A00405" w:rsidRPr="004D42ED" w:rsidRDefault="00A00405" w:rsidP="00A00405">
            <w:pPr>
              <w:jc w:val="center"/>
              <w:rPr>
                <w:szCs w:val="22"/>
              </w:rPr>
            </w:pPr>
            <w:r w:rsidRPr="004D42ED">
              <w:rPr>
                <w:szCs w:val="22"/>
              </w:rPr>
              <w:t>$2,258</w:t>
            </w:r>
          </w:p>
        </w:tc>
      </w:tr>
      <w:tr w:rsidR="00A00405" w:rsidRPr="004D42ED" w14:paraId="05B3F4E6" w14:textId="77777777" w:rsidTr="00014CD1">
        <w:trPr>
          <w:trHeight w:val="300"/>
          <w:tblHeader/>
          <w:jc w:val="center"/>
        </w:trPr>
        <w:tc>
          <w:tcPr>
            <w:tcW w:w="1536" w:type="pct"/>
            <w:shd w:val="clear" w:color="auto" w:fill="auto"/>
            <w:vAlign w:val="bottom"/>
          </w:tcPr>
          <w:p w14:paraId="25F50F54" w14:textId="77777777" w:rsidR="00A00405" w:rsidRPr="004D42ED" w:rsidRDefault="00A00405" w:rsidP="00A00405">
            <w:pPr>
              <w:rPr>
                <w:szCs w:val="22"/>
              </w:rPr>
            </w:pPr>
            <w:r w:rsidRPr="004D42ED">
              <w:rPr>
                <w:szCs w:val="22"/>
              </w:rPr>
              <w:t>St. Kitts and Nevis</w:t>
            </w:r>
          </w:p>
        </w:tc>
        <w:tc>
          <w:tcPr>
            <w:tcW w:w="1486" w:type="pct"/>
            <w:shd w:val="clear" w:color="auto" w:fill="auto"/>
            <w:vAlign w:val="bottom"/>
          </w:tcPr>
          <w:p w14:paraId="4559C5FC" w14:textId="77777777" w:rsidR="00A00405" w:rsidRPr="004D42ED" w:rsidRDefault="00A00405" w:rsidP="00A00405">
            <w:pPr>
              <w:jc w:val="center"/>
              <w:rPr>
                <w:szCs w:val="22"/>
              </w:rPr>
            </w:pPr>
            <w:r w:rsidRPr="004D42ED">
              <w:rPr>
                <w:szCs w:val="22"/>
              </w:rPr>
              <w:t>$201</w:t>
            </w:r>
          </w:p>
        </w:tc>
        <w:tc>
          <w:tcPr>
            <w:tcW w:w="840" w:type="pct"/>
            <w:shd w:val="clear" w:color="auto" w:fill="auto"/>
            <w:vAlign w:val="bottom"/>
          </w:tcPr>
          <w:p w14:paraId="200D1E6E" w14:textId="77777777" w:rsidR="00A00405" w:rsidRPr="004D42ED" w:rsidRDefault="00A00405" w:rsidP="00A00405">
            <w:pPr>
              <w:jc w:val="center"/>
              <w:rPr>
                <w:szCs w:val="22"/>
              </w:rPr>
            </w:pPr>
            <w:r w:rsidRPr="004D42ED">
              <w:rPr>
                <w:szCs w:val="22"/>
              </w:rPr>
              <w:t>$7,734</w:t>
            </w:r>
          </w:p>
        </w:tc>
        <w:tc>
          <w:tcPr>
            <w:tcW w:w="1138" w:type="pct"/>
            <w:shd w:val="clear" w:color="auto" w:fill="auto"/>
            <w:vAlign w:val="bottom"/>
          </w:tcPr>
          <w:p w14:paraId="3255192F" w14:textId="77777777" w:rsidR="00A00405" w:rsidRPr="004D42ED" w:rsidRDefault="00A00405" w:rsidP="00A00405">
            <w:pPr>
              <w:jc w:val="center"/>
              <w:rPr>
                <w:szCs w:val="22"/>
              </w:rPr>
            </w:pPr>
            <w:r w:rsidRPr="004D42ED">
              <w:rPr>
                <w:szCs w:val="22"/>
              </w:rPr>
              <w:t>$3,591</w:t>
            </w:r>
          </w:p>
        </w:tc>
      </w:tr>
      <w:tr w:rsidR="00A00405" w:rsidRPr="004D42ED" w14:paraId="24CAA7E8" w14:textId="77777777" w:rsidTr="00014CD1">
        <w:trPr>
          <w:trHeight w:val="300"/>
          <w:tblHeader/>
          <w:jc w:val="center"/>
        </w:trPr>
        <w:tc>
          <w:tcPr>
            <w:tcW w:w="1536" w:type="pct"/>
            <w:shd w:val="clear" w:color="auto" w:fill="auto"/>
            <w:vAlign w:val="bottom"/>
          </w:tcPr>
          <w:p w14:paraId="63C6C058" w14:textId="77777777" w:rsidR="00A00405" w:rsidRPr="004D42ED" w:rsidRDefault="00A00405" w:rsidP="00A00405">
            <w:pPr>
              <w:rPr>
                <w:szCs w:val="22"/>
              </w:rPr>
            </w:pPr>
            <w:r w:rsidRPr="004D42ED">
              <w:rPr>
                <w:szCs w:val="22"/>
              </w:rPr>
              <w:t>St. Lucia</w:t>
            </w:r>
          </w:p>
        </w:tc>
        <w:tc>
          <w:tcPr>
            <w:tcW w:w="1486" w:type="pct"/>
            <w:shd w:val="clear" w:color="auto" w:fill="auto"/>
            <w:vAlign w:val="bottom"/>
          </w:tcPr>
          <w:p w14:paraId="5ACDD0ED" w14:textId="77777777" w:rsidR="00A00405" w:rsidRPr="004D42ED" w:rsidRDefault="00A00405" w:rsidP="00A00405">
            <w:pPr>
              <w:jc w:val="center"/>
              <w:rPr>
                <w:szCs w:val="22"/>
              </w:rPr>
            </w:pPr>
            <w:r w:rsidRPr="004D42ED">
              <w:rPr>
                <w:szCs w:val="22"/>
              </w:rPr>
              <w:t>$537</w:t>
            </w:r>
          </w:p>
        </w:tc>
        <w:tc>
          <w:tcPr>
            <w:tcW w:w="840" w:type="pct"/>
            <w:shd w:val="clear" w:color="auto" w:fill="auto"/>
            <w:vAlign w:val="bottom"/>
          </w:tcPr>
          <w:p w14:paraId="24D4EF96" w14:textId="77777777" w:rsidR="00A00405" w:rsidRPr="004D42ED" w:rsidRDefault="00A00405" w:rsidP="00A00405">
            <w:pPr>
              <w:jc w:val="center"/>
              <w:rPr>
                <w:szCs w:val="22"/>
              </w:rPr>
            </w:pPr>
            <w:r w:rsidRPr="004D42ED">
              <w:rPr>
                <w:szCs w:val="22"/>
              </w:rPr>
              <w:t>$8,667</w:t>
            </w:r>
          </w:p>
        </w:tc>
        <w:tc>
          <w:tcPr>
            <w:tcW w:w="1138" w:type="pct"/>
            <w:shd w:val="clear" w:color="auto" w:fill="auto"/>
            <w:vAlign w:val="bottom"/>
          </w:tcPr>
          <w:p w14:paraId="17F81F04" w14:textId="77777777" w:rsidR="00A00405" w:rsidRPr="004D42ED" w:rsidRDefault="00A00405" w:rsidP="00A00405">
            <w:pPr>
              <w:jc w:val="center"/>
              <w:rPr>
                <w:szCs w:val="22"/>
              </w:rPr>
            </w:pPr>
            <w:r w:rsidRPr="004D42ED">
              <w:rPr>
                <w:szCs w:val="22"/>
              </w:rPr>
              <w:t>$2,905</w:t>
            </w:r>
          </w:p>
        </w:tc>
      </w:tr>
      <w:tr w:rsidR="00A00405" w:rsidRPr="004D42ED" w14:paraId="702D9E66" w14:textId="77777777" w:rsidTr="00014CD1">
        <w:trPr>
          <w:trHeight w:val="300"/>
          <w:tblHeader/>
          <w:jc w:val="center"/>
        </w:trPr>
        <w:tc>
          <w:tcPr>
            <w:tcW w:w="1536" w:type="pct"/>
            <w:shd w:val="clear" w:color="auto" w:fill="auto"/>
            <w:vAlign w:val="bottom"/>
          </w:tcPr>
          <w:p w14:paraId="0D9845C0" w14:textId="77777777" w:rsidR="00A00405" w:rsidRPr="004D42ED" w:rsidRDefault="00A00405" w:rsidP="00A00405">
            <w:pPr>
              <w:rPr>
                <w:szCs w:val="22"/>
              </w:rPr>
            </w:pPr>
            <w:r w:rsidRPr="004D42ED">
              <w:rPr>
                <w:szCs w:val="22"/>
              </w:rPr>
              <w:t>St. Vincent &amp; the Grenadines</w:t>
            </w:r>
          </w:p>
        </w:tc>
        <w:tc>
          <w:tcPr>
            <w:tcW w:w="1486" w:type="pct"/>
            <w:shd w:val="clear" w:color="auto" w:fill="auto"/>
            <w:vAlign w:val="bottom"/>
          </w:tcPr>
          <w:p w14:paraId="25B8A1C1" w14:textId="77777777" w:rsidR="00A00405" w:rsidRPr="004D42ED" w:rsidRDefault="00A00405" w:rsidP="00A00405">
            <w:pPr>
              <w:jc w:val="center"/>
              <w:rPr>
                <w:szCs w:val="22"/>
              </w:rPr>
            </w:pPr>
            <w:r w:rsidRPr="004D42ED">
              <w:rPr>
                <w:szCs w:val="22"/>
              </w:rPr>
              <w:t>$692</w:t>
            </w:r>
          </w:p>
        </w:tc>
        <w:tc>
          <w:tcPr>
            <w:tcW w:w="840" w:type="pct"/>
            <w:shd w:val="clear" w:color="auto" w:fill="auto"/>
            <w:vAlign w:val="bottom"/>
          </w:tcPr>
          <w:p w14:paraId="37223C22" w14:textId="77777777" w:rsidR="00A00405" w:rsidRPr="004D42ED" w:rsidRDefault="00A00405" w:rsidP="00A00405">
            <w:pPr>
              <w:jc w:val="center"/>
              <w:rPr>
                <w:szCs w:val="22"/>
              </w:rPr>
            </w:pPr>
            <w:r w:rsidRPr="004D42ED">
              <w:rPr>
                <w:szCs w:val="22"/>
              </w:rPr>
              <w:t>$17,755</w:t>
            </w:r>
          </w:p>
        </w:tc>
        <w:tc>
          <w:tcPr>
            <w:tcW w:w="1138" w:type="pct"/>
            <w:shd w:val="clear" w:color="auto" w:fill="auto"/>
            <w:vAlign w:val="bottom"/>
          </w:tcPr>
          <w:p w14:paraId="3769C815" w14:textId="77777777" w:rsidR="00A00405" w:rsidRPr="004D42ED" w:rsidRDefault="00A00405" w:rsidP="00A00405">
            <w:pPr>
              <w:jc w:val="center"/>
              <w:rPr>
                <w:szCs w:val="22"/>
              </w:rPr>
            </w:pPr>
            <w:r w:rsidRPr="004D42ED">
              <w:rPr>
                <w:szCs w:val="22"/>
              </w:rPr>
              <w:t>$6,353</w:t>
            </w:r>
          </w:p>
        </w:tc>
      </w:tr>
      <w:tr w:rsidR="00A00405" w:rsidRPr="004D42ED" w14:paraId="5522CF9F" w14:textId="77777777" w:rsidTr="00014CD1">
        <w:trPr>
          <w:trHeight w:val="300"/>
          <w:tblHeader/>
          <w:jc w:val="center"/>
        </w:trPr>
        <w:tc>
          <w:tcPr>
            <w:tcW w:w="1536" w:type="pct"/>
            <w:shd w:val="clear" w:color="auto" w:fill="auto"/>
            <w:vAlign w:val="bottom"/>
          </w:tcPr>
          <w:p w14:paraId="2122A7EB" w14:textId="77777777" w:rsidR="00A00405" w:rsidRPr="004D42ED" w:rsidRDefault="00A00405" w:rsidP="00A00405">
            <w:pPr>
              <w:rPr>
                <w:szCs w:val="22"/>
              </w:rPr>
            </w:pPr>
            <w:r w:rsidRPr="004D42ED">
              <w:rPr>
                <w:szCs w:val="22"/>
              </w:rPr>
              <w:t>Trinidad &amp; Tobago</w:t>
            </w:r>
          </w:p>
        </w:tc>
        <w:tc>
          <w:tcPr>
            <w:tcW w:w="1486" w:type="pct"/>
            <w:shd w:val="clear" w:color="auto" w:fill="auto"/>
            <w:vAlign w:val="bottom"/>
          </w:tcPr>
          <w:p w14:paraId="49909566" w14:textId="77777777" w:rsidR="00A00405" w:rsidRPr="004D42ED" w:rsidRDefault="00A00405" w:rsidP="00A00405">
            <w:pPr>
              <w:jc w:val="center"/>
              <w:rPr>
                <w:szCs w:val="22"/>
              </w:rPr>
            </w:pPr>
            <w:r w:rsidRPr="004D42ED">
              <w:rPr>
                <w:szCs w:val="22"/>
              </w:rPr>
              <w:t>$6,016</w:t>
            </w:r>
          </w:p>
        </w:tc>
        <w:tc>
          <w:tcPr>
            <w:tcW w:w="840" w:type="pct"/>
            <w:shd w:val="clear" w:color="auto" w:fill="auto"/>
            <w:vAlign w:val="bottom"/>
          </w:tcPr>
          <w:p w14:paraId="4AC03848" w14:textId="77777777" w:rsidR="00A00405" w:rsidRPr="004D42ED" w:rsidRDefault="00A00405" w:rsidP="00A00405">
            <w:pPr>
              <w:jc w:val="center"/>
              <w:rPr>
                <w:szCs w:val="22"/>
              </w:rPr>
            </w:pPr>
            <w:r w:rsidRPr="004D42ED">
              <w:rPr>
                <w:szCs w:val="22"/>
              </w:rPr>
              <w:t>$11,728</w:t>
            </w:r>
          </w:p>
        </w:tc>
        <w:tc>
          <w:tcPr>
            <w:tcW w:w="1138" w:type="pct"/>
            <w:shd w:val="clear" w:color="auto" w:fill="auto"/>
            <w:vAlign w:val="bottom"/>
          </w:tcPr>
          <w:p w14:paraId="4B3BEDE9" w14:textId="77777777" w:rsidR="00A00405" w:rsidRPr="004D42ED" w:rsidRDefault="00A00405" w:rsidP="00A00405">
            <w:pPr>
              <w:jc w:val="center"/>
              <w:rPr>
                <w:szCs w:val="22"/>
              </w:rPr>
            </w:pPr>
            <w:r w:rsidRPr="004D42ED">
              <w:rPr>
                <w:szCs w:val="22"/>
              </w:rPr>
              <w:t>$4,424</w:t>
            </w:r>
          </w:p>
        </w:tc>
      </w:tr>
      <w:tr w:rsidR="00A00405" w:rsidRPr="004D42ED" w14:paraId="7DABB71B" w14:textId="77777777" w:rsidTr="00014CD1">
        <w:trPr>
          <w:trHeight w:val="300"/>
          <w:tblHeader/>
          <w:jc w:val="center"/>
        </w:trPr>
        <w:tc>
          <w:tcPr>
            <w:tcW w:w="1536" w:type="pct"/>
            <w:shd w:val="clear" w:color="auto" w:fill="BFBFBF" w:themeFill="background1" w:themeFillShade="BF"/>
            <w:vAlign w:val="bottom"/>
          </w:tcPr>
          <w:p w14:paraId="3383E7A5" w14:textId="77777777" w:rsidR="00A00405" w:rsidRPr="004D42ED" w:rsidRDefault="00A00405" w:rsidP="00A00405">
            <w:pPr>
              <w:rPr>
                <w:b/>
                <w:szCs w:val="22"/>
              </w:rPr>
            </w:pPr>
            <w:r w:rsidRPr="004D42ED">
              <w:rPr>
                <w:b/>
                <w:szCs w:val="22"/>
              </w:rPr>
              <w:t>Caribbean</w:t>
            </w:r>
          </w:p>
        </w:tc>
        <w:tc>
          <w:tcPr>
            <w:tcW w:w="1486" w:type="pct"/>
            <w:shd w:val="clear" w:color="auto" w:fill="BFBFBF" w:themeFill="background1" w:themeFillShade="BF"/>
            <w:vAlign w:val="bottom"/>
          </w:tcPr>
          <w:p w14:paraId="665A7975" w14:textId="77777777" w:rsidR="00A00405" w:rsidRPr="004D42ED" w:rsidRDefault="00A00405" w:rsidP="00A00405">
            <w:pPr>
              <w:jc w:val="center"/>
              <w:rPr>
                <w:b/>
                <w:szCs w:val="22"/>
              </w:rPr>
            </w:pPr>
            <w:r w:rsidRPr="004D42ED">
              <w:rPr>
                <w:b/>
                <w:szCs w:val="22"/>
              </w:rPr>
              <w:t>$155,453</w:t>
            </w:r>
          </w:p>
        </w:tc>
        <w:tc>
          <w:tcPr>
            <w:tcW w:w="840" w:type="pct"/>
            <w:shd w:val="clear" w:color="auto" w:fill="BFBFBF" w:themeFill="background1" w:themeFillShade="BF"/>
            <w:vAlign w:val="bottom"/>
          </w:tcPr>
          <w:p w14:paraId="37F27983" w14:textId="77777777" w:rsidR="00A00405" w:rsidRPr="004D42ED" w:rsidRDefault="00A00405" w:rsidP="00A00405">
            <w:pPr>
              <w:jc w:val="center"/>
              <w:rPr>
                <w:b/>
                <w:szCs w:val="22"/>
              </w:rPr>
            </w:pPr>
            <w:r w:rsidRPr="004D42ED">
              <w:rPr>
                <w:b/>
                <w:szCs w:val="22"/>
              </w:rPr>
              <w:t>$7,081</w:t>
            </w:r>
          </w:p>
        </w:tc>
        <w:tc>
          <w:tcPr>
            <w:tcW w:w="1138" w:type="pct"/>
            <w:shd w:val="clear" w:color="auto" w:fill="BFBFBF" w:themeFill="background1" w:themeFillShade="BF"/>
            <w:vAlign w:val="bottom"/>
          </w:tcPr>
          <w:p w14:paraId="6C2C61AA" w14:textId="77777777" w:rsidR="00A00405" w:rsidRPr="004D42ED" w:rsidRDefault="00A00405" w:rsidP="00A00405">
            <w:pPr>
              <w:jc w:val="center"/>
              <w:rPr>
                <w:b/>
                <w:szCs w:val="22"/>
              </w:rPr>
            </w:pPr>
            <w:r w:rsidRPr="004D42ED">
              <w:rPr>
                <w:b/>
                <w:szCs w:val="22"/>
              </w:rPr>
              <w:t>$4,090</w:t>
            </w:r>
          </w:p>
        </w:tc>
      </w:tr>
      <w:tr w:rsidR="00A00405" w:rsidRPr="004D42ED" w14:paraId="3B9EAC22" w14:textId="77777777" w:rsidTr="00014CD1">
        <w:trPr>
          <w:trHeight w:val="300"/>
          <w:tblHeader/>
          <w:jc w:val="center"/>
        </w:trPr>
        <w:tc>
          <w:tcPr>
            <w:tcW w:w="1536" w:type="pct"/>
            <w:shd w:val="clear" w:color="auto" w:fill="auto"/>
            <w:vAlign w:val="bottom"/>
          </w:tcPr>
          <w:p w14:paraId="3F9C8CDB" w14:textId="77777777" w:rsidR="00A00405" w:rsidRPr="004D42ED" w:rsidRDefault="00A00405" w:rsidP="00A00405">
            <w:pPr>
              <w:rPr>
                <w:szCs w:val="22"/>
              </w:rPr>
            </w:pPr>
            <w:r w:rsidRPr="004D42ED">
              <w:rPr>
                <w:szCs w:val="22"/>
              </w:rPr>
              <w:t>Argentina</w:t>
            </w:r>
          </w:p>
        </w:tc>
        <w:tc>
          <w:tcPr>
            <w:tcW w:w="1486" w:type="pct"/>
            <w:shd w:val="clear" w:color="auto" w:fill="auto"/>
            <w:vAlign w:val="bottom"/>
          </w:tcPr>
          <w:p w14:paraId="73D485BF" w14:textId="77777777" w:rsidR="00A00405" w:rsidRPr="004D42ED" w:rsidRDefault="00A00405" w:rsidP="00A00405">
            <w:pPr>
              <w:jc w:val="center"/>
              <w:rPr>
                <w:szCs w:val="22"/>
              </w:rPr>
            </w:pPr>
            <w:r w:rsidRPr="004D42ED">
              <w:rPr>
                <w:szCs w:val="22"/>
              </w:rPr>
              <w:t>$2,212,877</w:t>
            </w:r>
          </w:p>
        </w:tc>
        <w:tc>
          <w:tcPr>
            <w:tcW w:w="840" w:type="pct"/>
            <w:shd w:val="clear" w:color="auto" w:fill="auto"/>
            <w:vAlign w:val="bottom"/>
          </w:tcPr>
          <w:p w14:paraId="3B1BE893" w14:textId="77777777" w:rsidR="00A00405" w:rsidRPr="004D42ED" w:rsidRDefault="00A00405" w:rsidP="00A00405">
            <w:pPr>
              <w:jc w:val="center"/>
              <w:rPr>
                <w:szCs w:val="22"/>
              </w:rPr>
            </w:pPr>
            <w:r w:rsidRPr="004D42ED">
              <w:rPr>
                <w:szCs w:val="22"/>
              </w:rPr>
              <w:t>$7,926</w:t>
            </w:r>
          </w:p>
        </w:tc>
        <w:tc>
          <w:tcPr>
            <w:tcW w:w="1138" w:type="pct"/>
            <w:shd w:val="clear" w:color="auto" w:fill="auto"/>
            <w:vAlign w:val="bottom"/>
          </w:tcPr>
          <w:p w14:paraId="38B6105E" w14:textId="77777777" w:rsidR="00A00405" w:rsidRPr="004D42ED" w:rsidRDefault="00A00405" w:rsidP="00A00405">
            <w:pPr>
              <w:jc w:val="center"/>
              <w:rPr>
                <w:szCs w:val="22"/>
              </w:rPr>
            </w:pPr>
            <w:r w:rsidRPr="004D42ED">
              <w:rPr>
                <w:szCs w:val="22"/>
              </w:rPr>
              <w:t>$50,969</w:t>
            </w:r>
          </w:p>
        </w:tc>
      </w:tr>
      <w:tr w:rsidR="00A00405" w:rsidRPr="004D42ED" w14:paraId="6D6C3C05" w14:textId="77777777" w:rsidTr="00014CD1">
        <w:trPr>
          <w:trHeight w:val="300"/>
          <w:tblHeader/>
          <w:jc w:val="center"/>
        </w:trPr>
        <w:tc>
          <w:tcPr>
            <w:tcW w:w="1536" w:type="pct"/>
            <w:shd w:val="clear" w:color="auto" w:fill="auto"/>
            <w:vAlign w:val="bottom"/>
          </w:tcPr>
          <w:p w14:paraId="513E60DA" w14:textId="77777777" w:rsidR="00A00405" w:rsidRPr="004D42ED" w:rsidRDefault="00A00405" w:rsidP="00A00405">
            <w:pPr>
              <w:rPr>
                <w:szCs w:val="22"/>
              </w:rPr>
            </w:pPr>
            <w:r w:rsidRPr="004D42ED">
              <w:rPr>
                <w:szCs w:val="22"/>
              </w:rPr>
              <w:t>Bolivia</w:t>
            </w:r>
          </w:p>
        </w:tc>
        <w:tc>
          <w:tcPr>
            <w:tcW w:w="1486" w:type="pct"/>
            <w:shd w:val="clear" w:color="auto" w:fill="auto"/>
            <w:vAlign w:val="bottom"/>
          </w:tcPr>
          <w:p w14:paraId="6116767E" w14:textId="77777777" w:rsidR="00A00405" w:rsidRPr="004D42ED" w:rsidRDefault="00A00405" w:rsidP="00A00405">
            <w:pPr>
              <w:jc w:val="center"/>
              <w:rPr>
                <w:szCs w:val="22"/>
              </w:rPr>
            </w:pPr>
            <w:r w:rsidRPr="004D42ED">
              <w:rPr>
                <w:szCs w:val="22"/>
              </w:rPr>
              <w:t>$1,294,751</w:t>
            </w:r>
          </w:p>
        </w:tc>
        <w:tc>
          <w:tcPr>
            <w:tcW w:w="840" w:type="pct"/>
            <w:shd w:val="clear" w:color="auto" w:fill="auto"/>
            <w:vAlign w:val="bottom"/>
          </w:tcPr>
          <w:p w14:paraId="35CC9DCF" w14:textId="77777777" w:rsidR="00A00405" w:rsidRPr="004D42ED" w:rsidRDefault="00A00405" w:rsidP="00A00405">
            <w:pPr>
              <w:jc w:val="center"/>
              <w:rPr>
                <w:szCs w:val="22"/>
              </w:rPr>
            </w:pPr>
            <w:r w:rsidRPr="004D42ED">
              <w:rPr>
                <w:szCs w:val="22"/>
              </w:rPr>
              <w:t>$11,786</w:t>
            </w:r>
          </w:p>
        </w:tc>
        <w:tc>
          <w:tcPr>
            <w:tcW w:w="1138" w:type="pct"/>
            <w:shd w:val="clear" w:color="auto" w:fill="auto"/>
            <w:vAlign w:val="bottom"/>
          </w:tcPr>
          <w:p w14:paraId="05CEE678" w14:textId="77777777" w:rsidR="00A00405" w:rsidRPr="004D42ED" w:rsidRDefault="00A00405" w:rsidP="00A00405">
            <w:pPr>
              <w:jc w:val="center"/>
              <w:rPr>
                <w:szCs w:val="22"/>
              </w:rPr>
            </w:pPr>
            <w:r w:rsidRPr="004D42ED">
              <w:rPr>
                <w:szCs w:val="22"/>
              </w:rPr>
              <w:t>$120,723</w:t>
            </w:r>
          </w:p>
        </w:tc>
      </w:tr>
      <w:tr w:rsidR="00A00405" w:rsidRPr="004D42ED" w14:paraId="345477DF" w14:textId="77777777" w:rsidTr="00014CD1">
        <w:trPr>
          <w:trHeight w:val="300"/>
          <w:tblHeader/>
          <w:jc w:val="center"/>
        </w:trPr>
        <w:tc>
          <w:tcPr>
            <w:tcW w:w="1536" w:type="pct"/>
            <w:shd w:val="clear" w:color="auto" w:fill="auto"/>
            <w:vAlign w:val="bottom"/>
          </w:tcPr>
          <w:p w14:paraId="6C476F05" w14:textId="77777777" w:rsidR="00A00405" w:rsidRPr="004D42ED" w:rsidRDefault="00A00405" w:rsidP="00A00405">
            <w:pPr>
              <w:rPr>
                <w:szCs w:val="22"/>
              </w:rPr>
            </w:pPr>
            <w:r w:rsidRPr="004D42ED">
              <w:rPr>
                <w:szCs w:val="22"/>
              </w:rPr>
              <w:t>Brazil</w:t>
            </w:r>
          </w:p>
        </w:tc>
        <w:tc>
          <w:tcPr>
            <w:tcW w:w="1486" w:type="pct"/>
            <w:shd w:val="clear" w:color="auto" w:fill="auto"/>
            <w:vAlign w:val="bottom"/>
          </w:tcPr>
          <w:p w14:paraId="0B7AFF8A" w14:textId="77777777" w:rsidR="00A00405" w:rsidRPr="004D42ED" w:rsidRDefault="00A00405" w:rsidP="00A00405">
            <w:pPr>
              <w:jc w:val="center"/>
              <w:rPr>
                <w:szCs w:val="22"/>
              </w:rPr>
            </w:pPr>
            <w:r w:rsidRPr="004D42ED">
              <w:rPr>
                <w:szCs w:val="22"/>
              </w:rPr>
              <w:t>$6,768,369</w:t>
            </w:r>
          </w:p>
        </w:tc>
        <w:tc>
          <w:tcPr>
            <w:tcW w:w="840" w:type="pct"/>
            <w:shd w:val="clear" w:color="auto" w:fill="auto"/>
            <w:vAlign w:val="bottom"/>
          </w:tcPr>
          <w:p w14:paraId="08AA1A31" w14:textId="77777777" w:rsidR="00A00405" w:rsidRPr="004D42ED" w:rsidRDefault="00A00405" w:rsidP="00A00405">
            <w:pPr>
              <w:jc w:val="center"/>
              <w:rPr>
                <w:szCs w:val="22"/>
              </w:rPr>
            </w:pPr>
            <w:r w:rsidRPr="004D42ED">
              <w:rPr>
                <w:szCs w:val="22"/>
              </w:rPr>
              <w:t>$7,948</w:t>
            </w:r>
          </w:p>
        </w:tc>
        <w:tc>
          <w:tcPr>
            <w:tcW w:w="1138" w:type="pct"/>
            <w:shd w:val="clear" w:color="auto" w:fill="auto"/>
            <w:vAlign w:val="bottom"/>
          </w:tcPr>
          <w:p w14:paraId="00BB811A" w14:textId="77777777" w:rsidR="00A00405" w:rsidRPr="004D42ED" w:rsidRDefault="00A00405" w:rsidP="00A00405">
            <w:pPr>
              <w:jc w:val="center"/>
              <w:rPr>
                <w:szCs w:val="22"/>
              </w:rPr>
            </w:pPr>
            <w:r w:rsidRPr="004D42ED">
              <w:rPr>
                <w:szCs w:val="22"/>
              </w:rPr>
              <w:t>$32,564</w:t>
            </w:r>
          </w:p>
        </w:tc>
      </w:tr>
      <w:tr w:rsidR="00A00405" w:rsidRPr="004D42ED" w14:paraId="7D33534A" w14:textId="77777777" w:rsidTr="00014CD1">
        <w:trPr>
          <w:trHeight w:val="300"/>
          <w:tblHeader/>
          <w:jc w:val="center"/>
        </w:trPr>
        <w:tc>
          <w:tcPr>
            <w:tcW w:w="1536" w:type="pct"/>
            <w:shd w:val="clear" w:color="auto" w:fill="auto"/>
            <w:vAlign w:val="bottom"/>
          </w:tcPr>
          <w:p w14:paraId="27876D0C" w14:textId="77777777" w:rsidR="00A00405" w:rsidRPr="004D42ED" w:rsidRDefault="00A00405" w:rsidP="00A00405">
            <w:pPr>
              <w:rPr>
                <w:szCs w:val="22"/>
              </w:rPr>
            </w:pPr>
            <w:r w:rsidRPr="004D42ED">
              <w:rPr>
                <w:szCs w:val="22"/>
              </w:rPr>
              <w:t>Chile</w:t>
            </w:r>
          </w:p>
        </w:tc>
        <w:tc>
          <w:tcPr>
            <w:tcW w:w="1486" w:type="pct"/>
            <w:shd w:val="clear" w:color="auto" w:fill="auto"/>
            <w:vAlign w:val="bottom"/>
          </w:tcPr>
          <w:p w14:paraId="116F2BD5" w14:textId="77777777" w:rsidR="00A00405" w:rsidRPr="004D42ED" w:rsidRDefault="00A00405" w:rsidP="00A00405">
            <w:pPr>
              <w:jc w:val="center"/>
              <w:rPr>
                <w:szCs w:val="22"/>
              </w:rPr>
            </w:pPr>
            <w:r w:rsidRPr="004D42ED">
              <w:rPr>
                <w:szCs w:val="22"/>
              </w:rPr>
              <w:t>$298,938</w:t>
            </w:r>
          </w:p>
        </w:tc>
        <w:tc>
          <w:tcPr>
            <w:tcW w:w="840" w:type="pct"/>
            <w:shd w:val="clear" w:color="auto" w:fill="auto"/>
            <w:vAlign w:val="bottom"/>
          </w:tcPr>
          <w:p w14:paraId="70F14AA1" w14:textId="77777777" w:rsidR="00A00405" w:rsidRPr="004D42ED" w:rsidRDefault="00A00405" w:rsidP="00A00405">
            <w:pPr>
              <w:jc w:val="center"/>
              <w:rPr>
                <w:szCs w:val="22"/>
              </w:rPr>
            </w:pPr>
            <w:r w:rsidRPr="004D42ED">
              <w:rPr>
                <w:szCs w:val="22"/>
              </w:rPr>
              <w:t>$3,954</w:t>
            </w:r>
          </w:p>
        </w:tc>
        <w:tc>
          <w:tcPr>
            <w:tcW w:w="1138" w:type="pct"/>
            <w:shd w:val="clear" w:color="auto" w:fill="auto"/>
            <w:vAlign w:val="bottom"/>
          </w:tcPr>
          <w:p w14:paraId="73C8E62D" w14:textId="77777777" w:rsidR="00A00405" w:rsidRPr="004D42ED" w:rsidRDefault="00A00405" w:rsidP="00A00405">
            <w:pPr>
              <w:jc w:val="center"/>
              <w:rPr>
                <w:szCs w:val="22"/>
              </w:rPr>
            </w:pPr>
            <w:r w:rsidRPr="004D42ED">
              <w:rPr>
                <w:szCs w:val="22"/>
              </w:rPr>
              <w:t>$16,656</w:t>
            </w:r>
          </w:p>
        </w:tc>
      </w:tr>
      <w:tr w:rsidR="00A00405" w:rsidRPr="004D42ED" w14:paraId="44C80CB1" w14:textId="77777777" w:rsidTr="00014CD1">
        <w:trPr>
          <w:trHeight w:val="300"/>
          <w:tblHeader/>
          <w:jc w:val="center"/>
        </w:trPr>
        <w:tc>
          <w:tcPr>
            <w:tcW w:w="1536" w:type="pct"/>
            <w:shd w:val="clear" w:color="auto" w:fill="auto"/>
            <w:vAlign w:val="bottom"/>
          </w:tcPr>
          <w:p w14:paraId="350F4355" w14:textId="77777777" w:rsidR="00A00405" w:rsidRPr="004D42ED" w:rsidRDefault="00A00405" w:rsidP="00A00405">
            <w:pPr>
              <w:rPr>
                <w:szCs w:val="22"/>
              </w:rPr>
            </w:pPr>
            <w:r w:rsidRPr="004D42ED">
              <w:rPr>
                <w:szCs w:val="22"/>
              </w:rPr>
              <w:t>Colombia</w:t>
            </w:r>
          </w:p>
        </w:tc>
        <w:tc>
          <w:tcPr>
            <w:tcW w:w="1486" w:type="pct"/>
            <w:shd w:val="clear" w:color="auto" w:fill="auto"/>
            <w:vAlign w:val="bottom"/>
          </w:tcPr>
          <w:p w14:paraId="2596DAB0" w14:textId="77777777" w:rsidR="00A00405" w:rsidRPr="004D42ED" w:rsidRDefault="00A00405" w:rsidP="00A00405">
            <w:pPr>
              <w:jc w:val="center"/>
              <w:rPr>
                <w:szCs w:val="22"/>
              </w:rPr>
            </w:pPr>
            <w:r w:rsidRPr="004D42ED">
              <w:rPr>
                <w:szCs w:val="22"/>
              </w:rPr>
              <w:t>$717,015</w:t>
            </w:r>
          </w:p>
        </w:tc>
        <w:tc>
          <w:tcPr>
            <w:tcW w:w="840" w:type="pct"/>
            <w:shd w:val="clear" w:color="auto" w:fill="auto"/>
            <w:vAlign w:val="bottom"/>
          </w:tcPr>
          <w:p w14:paraId="27505E5E" w14:textId="77777777" w:rsidR="00A00405" w:rsidRPr="004D42ED" w:rsidRDefault="00A00405" w:rsidP="00A00405">
            <w:pPr>
              <w:jc w:val="center"/>
              <w:rPr>
                <w:szCs w:val="22"/>
              </w:rPr>
            </w:pPr>
            <w:r w:rsidRPr="004D42ED">
              <w:rPr>
                <w:szCs w:val="22"/>
              </w:rPr>
              <w:t>$6,280</w:t>
            </w:r>
          </w:p>
        </w:tc>
        <w:tc>
          <w:tcPr>
            <w:tcW w:w="1138" w:type="pct"/>
            <w:shd w:val="clear" w:color="auto" w:fill="auto"/>
            <w:vAlign w:val="bottom"/>
          </w:tcPr>
          <w:p w14:paraId="5140FA1D" w14:textId="77777777" w:rsidR="00A00405" w:rsidRPr="004D42ED" w:rsidRDefault="00A00405" w:rsidP="00A00405">
            <w:pPr>
              <w:jc w:val="center"/>
              <w:rPr>
                <w:szCs w:val="22"/>
              </w:rPr>
            </w:pPr>
            <w:r w:rsidRPr="004D42ED">
              <w:rPr>
                <w:szCs w:val="22"/>
              </w:rPr>
              <w:t>$14,867</w:t>
            </w:r>
          </w:p>
        </w:tc>
      </w:tr>
      <w:tr w:rsidR="00A00405" w:rsidRPr="004D42ED" w14:paraId="2B586471" w14:textId="77777777" w:rsidTr="00014CD1">
        <w:trPr>
          <w:trHeight w:val="300"/>
          <w:tblHeader/>
          <w:jc w:val="center"/>
        </w:trPr>
        <w:tc>
          <w:tcPr>
            <w:tcW w:w="1536" w:type="pct"/>
            <w:shd w:val="clear" w:color="auto" w:fill="auto"/>
            <w:vAlign w:val="bottom"/>
          </w:tcPr>
          <w:p w14:paraId="499BBA31" w14:textId="77777777" w:rsidR="00A00405" w:rsidRPr="004D42ED" w:rsidRDefault="00A00405" w:rsidP="00A00405">
            <w:pPr>
              <w:rPr>
                <w:szCs w:val="22"/>
              </w:rPr>
            </w:pPr>
            <w:r w:rsidRPr="004D42ED">
              <w:rPr>
                <w:szCs w:val="22"/>
              </w:rPr>
              <w:t>Ecuador</w:t>
            </w:r>
          </w:p>
        </w:tc>
        <w:tc>
          <w:tcPr>
            <w:tcW w:w="1486" w:type="pct"/>
            <w:shd w:val="clear" w:color="auto" w:fill="auto"/>
            <w:vAlign w:val="bottom"/>
          </w:tcPr>
          <w:p w14:paraId="7642C61C" w14:textId="77777777" w:rsidR="00A00405" w:rsidRPr="004D42ED" w:rsidRDefault="00A00405" w:rsidP="00A00405">
            <w:pPr>
              <w:jc w:val="center"/>
              <w:rPr>
                <w:szCs w:val="22"/>
              </w:rPr>
            </w:pPr>
            <w:r w:rsidRPr="004D42ED">
              <w:rPr>
                <w:szCs w:val="22"/>
              </w:rPr>
              <w:t>$160,915</w:t>
            </w:r>
          </w:p>
        </w:tc>
        <w:tc>
          <w:tcPr>
            <w:tcW w:w="840" w:type="pct"/>
            <w:shd w:val="clear" w:color="auto" w:fill="auto"/>
            <w:vAlign w:val="bottom"/>
          </w:tcPr>
          <w:p w14:paraId="7AB717FB" w14:textId="77777777" w:rsidR="00A00405" w:rsidRPr="004D42ED" w:rsidRDefault="00A00405" w:rsidP="00A00405">
            <w:pPr>
              <w:jc w:val="center"/>
              <w:rPr>
                <w:szCs w:val="22"/>
              </w:rPr>
            </w:pPr>
            <w:r w:rsidRPr="004D42ED">
              <w:rPr>
                <w:szCs w:val="22"/>
              </w:rPr>
              <w:t>$6,277</w:t>
            </w:r>
          </w:p>
        </w:tc>
        <w:tc>
          <w:tcPr>
            <w:tcW w:w="1138" w:type="pct"/>
            <w:shd w:val="clear" w:color="auto" w:fill="auto"/>
            <w:vAlign w:val="bottom"/>
          </w:tcPr>
          <w:p w14:paraId="5D1FE31B" w14:textId="77777777" w:rsidR="00A00405" w:rsidRPr="004D42ED" w:rsidRDefault="00A00405" w:rsidP="00A00405">
            <w:pPr>
              <w:jc w:val="center"/>
              <w:rPr>
                <w:szCs w:val="22"/>
              </w:rPr>
            </w:pPr>
            <w:r w:rsidRPr="004D42ED">
              <w:rPr>
                <w:szCs w:val="22"/>
              </w:rPr>
              <w:t>$9,967</w:t>
            </w:r>
          </w:p>
        </w:tc>
      </w:tr>
      <w:tr w:rsidR="00A00405" w:rsidRPr="004D42ED" w14:paraId="58D93AD8" w14:textId="77777777" w:rsidTr="00014CD1">
        <w:trPr>
          <w:trHeight w:val="300"/>
          <w:tblHeader/>
          <w:jc w:val="center"/>
        </w:trPr>
        <w:tc>
          <w:tcPr>
            <w:tcW w:w="1536" w:type="pct"/>
            <w:shd w:val="clear" w:color="auto" w:fill="auto"/>
            <w:vAlign w:val="bottom"/>
          </w:tcPr>
          <w:p w14:paraId="79121086" w14:textId="77777777" w:rsidR="00A00405" w:rsidRPr="004D42ED" w:rsidRDefault="00A00405" w:rsidP="00A00405">
            <w:pPr>
              <w:rPr>
                <w:szCs w:val="22"/>
              </w:rPr>
            </w:pPr>
            <w:r w:rsidRPr="004D42ED">
              <w:rPr>
                <w:szCs w:val="22"/>
              </w:rPr>
              <w:t>Guyana</w:t>
            </w:r>
          </w:p>
        </w:tc>
        <w:tc>
          <w:tcPr>
            <w:tcW w:w="1486" w:type="pct"/>
            <w:shd w:val="clear" w:color="auto" w:fill="auto"/>
            <w:vAlign w:val="bottom"/>
          </w:tcPr>
          <w:p w14:paraId="4510DDD7" w14:textId="77777777" w:rsidR="00A00405" w:rsidRPr="004D42ED" w:rsidRDefault="00A00405" w:rsidP="00A00405">
            <w:pPr>
              <w:jc w:val="center"/>
              <w:rPr>
                <w:szCs w:val="22"/>
              </w:rPr>
            </w:pPr>
            <w:r w:rsidRPr="004D42ED">
              <w:rPr>
                <w:szCs w:val="22"/>
              </w:rPr>
              <w:t>$182,562</w:t>
            </w:r>
          </w:p>
        </w:tc>
        <w:tc>
          <w:tcPr>
            <w:tcW w:w="840" w:type="pct"/>
            <w:shd w:val="clear" w:color="auto" w:fill="auto"/>
            <w:vAlign w:val="bottom"/>
          </w:tcPr>
          <w:p w14:paraId="331B5002" w14:textId="77777777" w:rsidR="00A00405" w:rsidRPr="004D42ED" w:rsidRDefault="00A00405" w:rsidP="00A00405">
            <w:pPr>
              <w:jc w:val="center"/>
              <w:rPr>
                <w:szCs w:val="22"/>
              </w:rPr>
            </w:pPr>
            <w:r w:rsidRPr="004D42ED">
              <w:rPr>
                <w:szCs w:val="22"/>
              </w:rPr>
              <w:t>$8,492</w:t>
            </w:r>
          </w:p>
        </w:tc>
        <w:tc>
          <w:tcPr>
            <w:tcW w:w="1138" w:type="pct"/>
            <w:shd w:val="clear" w:color="auto" w:fill="auto"/>
            <w:vAlign w:val="bottom"/>
          </w:tcPr>
          <w:p w14:paraId="39D91A78" w14:textId="77777777" w:rsidR="00A00405" w:rsidRPr="004D42ED" w:rsidRDefault="00A00405" w:rsidP="00A00405">
            <w:pPr>
              <w:jc w:val="center"/>
              <w:rPr>
                <w:szCs w:val="22"/>
              </w:rPr>
            </w:pPr>
            <w:r w:rsidRPr="004D42ED">
              <w:rPr>
                <w:szCs w:val="22"/>
              </w:rPr>
              <w:t>$238,021</w:t>
            </w:r>
          </w:p>
        </w:tc>
      </w:tr>
      <w:tr w:rsidR="00A00405" w:rsidRPr="004D42ED" w14:paraId="684EB27B" w14:textId="77777777" w:rsidTr="00014CD1">
        <w:trPr>
          <w:trHeight w:val="300"/>
          <w:tblHeader/>
          <w:jc w:val="center"/>
        </w:trPr>
        <w:tc>
          <w:tcPr>
            <w:tcW w:w="1536" w:type="pct"/>
            <w:shd w:val="clear" w:color="auto" w:fill="auto"/>
            <w:vAlign w:val="bottom"/>
          </w:tcPr>
          <w:p w14:paraId="20B354BA" w14:textId="77777777" w:rsidR="00A00405" w:rsidRPr="004D42ED" w:rsidRDefault="00A00405" w:rsidP="00A00405">
            <w:pPr>
              <w:rPr>
                <w:szCs w:val="22"/>
              </w:rPr>
            </w:pPr>
            <w:r w:rsidRPr="004D42ED">
              <w:rPr>
                <w:szCs w:val="22"/>
              </w:rPr>
              <w:t>Paraguay</w:t>
            </w:r>
          </w:p>
        </w:tc>
        <w:tc>
          <w:tcPr>
            <w:tcW w:w="1486" w:type="pct"/>
            <w:shd w:val="clear" w:color="auto" w:fill="auto"/>
            <w:vAlign w:val="bottom"/>
          </w:tcPr>
          <w:p w14:paraId="1AC61866" w14:textId="77777777" w:rsidR="00A00405" w:rsidRPr="004D42ED" w:rsidRDefault="00A00405" w:rsidP="00A00405">
            <w:pPr>
              <w:jc w:val="center"/>
              <w:rPr>
                <w:szCs w:val="22"/>
              </w:rPr>
            </w:pPr>
            <w:r w:rsidRPr="004D42ED">
              <w:rPr>
                <w:szCs w:val="22"/>
              </w:rPr>
              <w:t>$496,869</w:t>
            </w:r>
          </w:p>
        </w:tc>
        <w:tc>
          <w:tcPr>
            <w:tcW w:w="840" w:type="pct"/>
            <w:shd w:val="clear" w:color="auto" w:fill="auto"/>
            <w:vAlign w:val="bottom"/>
          </w:tcPr>
          <w:p w14:paraId="3CA2B6B4" w14:textId="77777777" w:rsidR="00A00405" w:rsidRPr="004D42ED" w:rsidRDefault="00A00405" w:rsidP="00A00405">
            <w:pPr>
              <w:jc w:val="center"/>
              <w:rPr>
                <w:szCs w:val="22"/>
              </w:rPr>
            </w:pPr>
            <w:r w:rsidRPr="004D42ED">
              <w:rPr>
                <w:szCs w:val="22"/>
              </w:rPr>
              <w:t>$12,216</w:t>
            </w:r>
          </w:p>
        </w:tc>
        <w:tc>
          <w:tcPr>
            <w:tcW w:w="1138" w:type="pct"/>
            <w:shd w:val="clear" w:color="auto" w:fill="auto"/>
            <w:vAlign w:val="bottom"/>
          </w:tcPr>
          <w:p w14:paraId="4947F354" w14:textId="77777777" w:rsidR="00A00405" w:rsidRPr="004D42ED" w:rsidRDefault="00A00405" w:rsidP="00A00405">
            <w:pPr>
              <w:jc w:val="center"/>
              <w:rPr>
                <w:szCs w:val="22"/>
              </w:rPr>
            </w:pPr>
            <w:r w:rsidRPr="004D42ED">
              <w:rPr>
                <w:szCs w:val="22"/>
              </w:rPr>
              <w:t>$74,841</w:t>
            </w:r>
          </w:p>
        </w:tc>
      </w:tr>
      <w:tr w:rsidR="00A00405" w:rsidRPr="004D42ED" w14:paraId="15C86B48" w14:textId="77777777" w:rsidTr="00014CD1">
        <w:trPr>
          <w:trHeight w:val="300"/>
          <w:tblHeader/>
          <w:jc w:val="center"/>
        </w:trPr>
        <w:tc>
          <w:tcPr>
            <w:tcW w:w="1536" w:type="pct"/>
            <w:shd w:val="clear" w:color="auto" w:fill="auto"/>
            <w:vAlign w:val="bottom"/>
          </w:tcPr>
          <w:p w14:paraId="2E221823" w14:textId="77777777" w:rsidR="00A00405" w:rsidRPr="004D42ED" w:rsidRDefault="00A00405" w:rsidP="00A00405">
            <w:pPr>
              <w:rPr>
                <w:szCs w:val="22"/>
              </w:rPr>
            </w:pPr>
            <w:r w:rsidRPr="004D42ED">
              <w:rPr>
                <w:szCs w:val="22"/>
              </w:rPr>
              <w:t>Peru</w:t>
            </w:r>
          </w:p>
        </w:tc>
        <w:tc>
          <w:tcPr>
            <w:tcW w:w="1486" w:type="pct"/>
            <w:shd w:val="clear" w:color="auto" w:fill="auto"/>
            <w:vAlign w:val="bottom"/>
          </w:tcPr>
          <w:p w14:paraId="6D04CF6D" w14:textId="77777777" w:rsidR="00A00405" w:rsidRPr="004D42ED" w:rsidRDefault="00A00405" w:rsidP="00A00405">
            <w:pPr>
              <w:jc w:val="center"/>
              <w:rPr>
                <w:szCs w:val="22"/>
              </w:rPr>
            </w:pPr>
            <w:r w:rsidRPr="004D42ED">
              <w:rPr>
                <w:szCs w:val="22"/>
              </w:rPr>
              <w:t>$922,717</w:t>
            </w:r>
          </w:p>
        </w:tc>
        <w:tc>
          <w:tcPr>
            <w:tcW w:w="840" w:type="pct"/>
            <w:shd w:val="clear" w:color="auto" w:fill="auto"/>
            <w:vAlign w:val="bottom"/>
          </w:tcPr>
          <w:p w14:paraId="6C968B32" w14:textId="77777777" w:rsidR="00A00405" w:rsidRPr="004D42ED" w:rsidRDefault="00A00405" w:rsidP="00A00405">
            <w:pPr>
              <w:jc w:val="center"/>
              <w:rPr>
                <w:szCs w:val="22"/>
              </w:rPr>
            </w:pPr>
            <w:r w:rsidRPr="004D42ED">
              <w:rPr>
                <w:szCs w:val="22"/>
              </w:rPr>
              <w:t>$7,179</w:t>
            </w:r>
          </w:p>
        </w:tc>
        <w:tc>
          <w:tcPr>
            <w:tcW w:w="1138" w:type="pct"/>
            <w:shd w:val="clear" w:color="auto" w:fill="auto"/>
            <w:vAlign w:val="bottom"/>
          </w:tcPr>
          <w:p w14:paraId="6666EE14" w14:textId="77777777" w:rsidR="00A00405" w:rsidRPr="004D42ED" w:rsidRDefault="00A00405" w:rsidP="00A00405">
            <w:pPr>
              <w:jc w:val="center"/>
              <w:rPr>
                <w:szCs w:val="22"/>
              </w:rPr>
            </w:pPr>
            <w:r w:rsidRPr="004D42ED">
              <w:rPr>
                <w:szCs w:val="22"/>
              </w:rPr>
              <w:t>$29,407</w:t>
            </w:r>
          </w:p>
        </w:tc>
      </w:tr>
      <w:tr w:rsidR="00A00405" w:rsidRPr="004D42ED" w14:paraId="177149D3" w14:textId="77777777" w:rsidTr="00014CD1">
        <w:trPr>
          <w:trHeight w:val="300"/>
          <w:tblHeader/>
          <w:jc w:val="center"/>
        </w:trPr>
        <w:tc>
          <w:tcPr>
            <w:tcW w:w="1536" w:type="pct"/>
            <w:shd w:val="clear" w:color="auto" w:fill="auto"/>
            <w:vAlign w:val="bottom"/>
          </w:tcPr>
          <w:p w14:paraId="44C85FDB" w14:textId="77777777" w:rsidR="00A00405" w:rsidRPr="004D42ED" w:rsidRDefault="00A00405" w:rsidP="00A00405">
            <w:pPr>
              <w:rPr>
                <w:szCs w:val="22"/>
              </w:rPr>
            </w:pPr>
            <w:r w:rsidRPr="004D42ED">
              <w:rPr>
                <w:szCs w:val="22"/>
              </w:rPr>
              <w:t>Surinam</w:t>
            </w:r>
          </w:p>
        </w:tc>
        <w:tc>
          <w:tcPr>
            <w:tcW w:w="1486" w:type="pct"/>
            <w:shd w:val="clear" w:color="auto" w:fill="auto"/>
            <w:vAlign w:val="bottom"/>
          </w:tcPr>
          <w:p w14:paraId="56121EF6" w14:textId="77777777" w:rsidR="00A00405" w:rsidRPr="004D42ED" w:rsidRDefault="00A00405" w:rsidP="00A00405">
            <w:pPr>
              <w:jc w:val="center"/>
              <w:rPr>
                <w:szCs w:val="22"/>
              </w:rPr>
            </w:pPr>
            <w:r w:rsidRPr="004D42ED">
              <w:rPr>
                <w:szCs w:val="22"/>
              </w:rPr>
              <w:t>$141,562</w:t>
            </w:r>
          </w:p>
        </w:tc>
        <w:tc>
          <w:tcPr>
            <w:tcW w:w="840" w:type="pct"/>
            <w:shd w:val="clear" w:color="auto" w:fill="auto"/>
            <w:vAlign w:val="bottom"/>
          </w:tcPr>
          <w:p w14:paraId="103AAB5F" w14:textId="77777777" w:rsidR="00A00405" w:rsidRPr="004D42ED" w:rsidRDefault="00A00405" w:rsidP="00A00405">
            <w:pPr>
              <w:jc w:val="center"/>
              <w:rPr>
                <w:szCs w:val="22"/>
              </w:rPr>
            </w:pPr>
            <w:r w:rsidRPr="004D42ED">
              <w:rPr>
                <w:szCs w:val="22"/>
              </w:rPr>
              <w:t>$8,641</w:t>
            </w:r>
          </w:p>
        </w:tc>
        <w:tc>
          <w:tcPr>
            <w:tcW w:w="1138" w:type="pct"/>
            <w:shd w:val="clear" w:color="auto" w:fill="auto"/>
            <w:vAlign w:val="bottom"/>
          </w:tcPr>
          <w:p w14:paraId="35CD137C" w14:textId="77777777" w:rsidR="00A00405" w:rsidRPr="004D42ED" w:rsidRDefault="00A00405" w:rsidP="00A00405">
            <w:pPr>
              <w:jc w:val="center"/>
              <w:rPr>
                <w:szCs w:val="22"/>
              </w:rPr>
            </w:pPr>
            <w:r w:rsidRPr="004D42ED">
              <w:rPr>
                <w:szCs w:val="22"/>
              </w:rPr>
              <w:t>$260,703</w:t>
            </w:r>
          </w:p>
        </w:tc>
      </w:tr>
      <w:tr w:rsidR="00A00405" w:rsidRPr="004D42ED" w14:paraId="47551838" w14:textId="77777777" w:rsidTr="00014CD1">
        <w:trPr>
          <w:trHeight w:val="300"/>
          <w:tblHeader/>
          <w:jc w:val="center"/>
        </w:trPr>
        <w:tc>
          <w:tcPr>
            <w:tcW w:w="1536" w:type="pct"/>
            <w:shd w:val="clear" w:color="auto" w:fill="auto"/>
            <w:vAlign w:val="bottom"/>
          </w:tcPr>
          <w:p w14:paraId="7029EBF5" w14:textId="77777777" w:rsidR="00A00405" w:rsidRPr="004D42ED" w:rsidRDefault="00A00405" w:rsidP="00A00405">
            <w:pPr>
              <w:rPr>
                <w:szCs w:val="22"/>
              </w:rPr>
            </w:pPr>
            <w:r w:rsidRPr="004D42ED">
              <w:rPr>
                <w:szCs w:val="22"/>
              </w:rPr>
              <w:t>Uruguay</w:t>
            </w:r>
          </w:p>
        </w:tc>
        <w:tc>
          <w:tcPr>
            <w:tcW w:w="1486" w:type="pct"/>
            <w:shd w:val="clear" w:color="auto" w:fill="auto"/>
            <w:vAlign w:val="bottom"/>
          </w:tcPr>
          <w:p w14:paraId="134DFAB6" w14:textId="77777777" w:rsidR="00A00405" w:rsidRPr="004D42ED" w:rsidRDefault="00A00405" w:rsidP="00A00405">
            <w:pPr>
              <w:jc w:val="center"/>
              <w:rPr>
                <w:szCs w:val="22"/>
              </w:rPr>
            </w:pPr>
            <w:r w:rsidRPr="004D42ED">
              <w:rPr>
                <w:szCs w:val="22"/>
              </w:rPr>
              <w:t>$125,929</w:t>
            </w:r>
          </w:p>
        </w:tc>
        <w:tc>
          <w:tcPr>
            <w:tcW w:w="840" w:type="pct"/>
            <w:shd w:val="clear" w:color="auto" w:fill="auto"/>
            <w:vAlign w:val="bottom"/>
          </w:tcPr>
          <w:p w14:paraId="3197D064" w14:textId="77777777" w:rsidR="00A00405" w:rsidRPr="004D42ED" w:rsidRDefault="00A00405" w:rsidP="00A00405">
            <w:pPr>
              <w:jc w:val="center"/>
              <w:rPr>
                <w:szCs w:val="22"/>
              </w:rPr>
            </w:pPr>
            <w:r w:rsidRPr="004D42ED">
              <w:rPr>
                <w:szCs w:val="22"/>
              </w:rPr>
              <w:t>$7,146</w:t>
            </w:r>
          </w:p>
        </w:tc>
        <w:tc>
          <w:tcPr>
            <w:tcW w:w="1138" w:type="pct"/>
            <w:shd w:val="clear" w:color="auto" w:fill="auto"/>
            <w:vAlign w:val="bottom"/>
          </w:tcPr>
          <w:p w14:paraId="28224F9E" w14:textId="77777777" w:rsidR="00A00405" w:rsidRPr="004D42ED" w:rsidRDefault="00A00405" w:rsidP="00A00405">
            <w:pPr>
              <w:jc w:val="center"/>
              <w:rPr>
                <w:szCs w:val="22"/>
              </w:rPr>
            </w:pPr>
            <w:r w:rsidRPr="004D42ED">
              <w:rPr>
                <w:szCs w:val="22"/>
              </w:rPr>
              <w:t>$36,693</w:t>
            </w:r>
          </w:p>
        </w:tc>
      </w:tr>
      <w:tr w:rsidR="00A00405" w:rsidRPr="004D42ED" w14:paraId="2B2303F4" w14:textId="77777777" w:rsidTr="00014CD1">
        <w:trPr>
          <w:trHeight w:val="300"/>
          <w:tblHeader/>
          <w:jc w:val="center"/>
        </w:trPr>
        <w:tc>
          <w:tcPr>
            <w:tcW w:w="1536" w:type="pct"/>
            <w:shd w:val="clear" w:color="auto" w:fill="auto"/>
            <w:vAlign w:val="bottom"/>
          </w:tcPr>
          <w:p w14:paraId="268F028C" w14:textId="77777777" w:rsidR="00A00405" w:rsidRPr="004D42ED" w:rsidRDefault="00A00405" w:rsidP="00A00405">
            <w:pPr>
              <w:rPr>
                <w:szCs w:val="22"/>
              </w:rPr>
            </w:pPr>
            <w:r w:rsidRPr="004D42ED">
              <w:rPr>
                <w:szCs w:val="22"/>
              </w:rPr>
              <w:t>Venezuela</w:t>
            </w:r>
          </w:p>
        </w:tc>
        <w:tc>
          <w:tcPr>
            <w:tcW w:w="1486" w:type="pct"/>
            <w:shd w:val="clear" w:color="auto" w:fill="auto"/>
            <w:vAlign w:val="bottom"/>
          </w:tcPr>
          <w:p w14:paraId="57618568" w14:textId="77777777" w:rsidR="00A00405" w:rsidRPr="004D42ED" w:rsidRDefault="00A00405" w:rsidP="00A00405">
            <w:pPr>
              <w:jc w:val="center"/>
              <w:rPr>
                <w:szCs w:val="22"/>
              </w:rPr>
            </w:pPr>
            <w:r w:rsidRPr="004D42ED">
              <w:rPr>
                <w:szCs w:val="22"/>
              </w:rPr>
              <w:t>$691,372</w:t>
            </w:r>
          </w:p>
        </w:tc>
        <w:tc>
          <w:tcPr>
            <w:tcW w:w="840" w:type="pct"/>
            <w:shd w:val="clear" w:color="auto" w:fill="auto"/>
            <w:vAlign w:val="bottom"/>
          </w:tcPr>
          <w:p w14:paraId="5347CABC" w14:textId="77777777" w:rsidR="00A00405" w:rsidRPr="004D42ED" w:rsidRDefault="00A00405" w:rsidP="00A00405">
            <w:pPr>
              <w:jc w:val="center"/>
              <w:rPr>
                <w:szCs w:val="22"/>
              </w:rPr>
            </w:pPr>
            <w:r w:rsidRPr="004D42ED">
              <w:rPr>
                <w:szCs w:val="22"/>
              </w:rPr>
              <w:t>$7,580</w:t>
            </w:r>
          </w:p>
        </w:tc>
        <w:tc>
          <w:tcPr>
            <w:tcW w:w="1138" w:type="pct"/>
            <w:shd w:val="clear" w:color="auto" w:fill="auto"/>
            <w:vAlign w:val="bottom"/>
          </w:tcPr>
          <w:p w14:paraId="043973FB" w14:textId="77777777" w:rsidR="00A00405" w:rsidRPr="004D42ED" w:rsidRDefault="00A00405" w:rsidP="00A00405">
            <w:pPr>
              <w:jc w:val="center"/>
              <w:rPr>
                <w:szCs w:val="22"/>
              </w:rPr>
            </w:pPr>
            <w:r w:rsidRPr="004D42ED">
              <w:rPr>
                <w:szCs w:val="22"/>
              </w:rPr>
              <w:t>$22,225</w:t>
            </w:r>
          </w:p>
        </w:tc>
      </w:tr>
      <w:tr w:rsidR="00A00405" w:rsidRPr="004D42ED" w14:paraId="0B950FDA" w14:textId="77777777" w:rsidTr="00014CD1">
        <w:trPr>
          <w:trHeight w:val="300"/>
          <w:tblHeader/>
          <w:jc w:val="center"/>
        </w:trPr>
        <w:tc>
          <w:tcPr>
            <w:tcW w:w="1536" w:type="pct"/>
            <w:shd w:val="clear" w:color="auto" w:fill="BFBFBF" w:themeFill="background1" w:themeFillShade="BF"/>
            <w:vAlign w:val="bottom"/>
          </w:tcPr>
          <w:p w14:paraId="795B8213" w14:textId="77777777" w:rsidR="00A00405" w:rsidRPr="004D42ED" w:rsidRDefault="00A00405" w:rsidP="00A00405">
            <w:pPr>
              <w:rPr>
                <w:b/>
                <w:szCs w:val="22"/>
              </w:rPr>
            </w:pPr>
            <w:r w:rsidRPr="004D42ED">
              <w:rPr>
                <w:b/>
                <w:szCs w:val="22"/>
              </w:rPr>
              <w:t>South America</w:t>
            </w:r>
          </w:p>
        </w:tc>
        <w:tc>
          <w:tcPr>
            <w:tcW w:w="1486" w:type="pct"/>
            <w:shd w:val="clear" w:color="auto" w:fill="BFBFBF" w:themeFill="background1" w:themeFillShade="BF"/>
            <w:vAlign w:val="bottom"/>
          </w:tcPr>
          <w:p w14:paraId="469A1C52" w14:textId="77777777" w:rsidR="00A00405" w:rsidRPr="004D42ED" w:rsidRDefault="00A00405" w:rsidP="00A00405">
            <w:pPr>
              <w:jc w:val="center"/>
              <w:rPr>
                <w:b/>
                <w:szCs w:val="22"/>
              </w:rPr>
            </w:pPr>
            <w:r w:rsidRPr="004D42ED">
              <w:rPr>
                <w:b/>
                <w:szCs w:val="22"/>
              </w:rPr>
              <w:t>$14,013,877</w:t>
            </w:r>
          </w:p>
        </w:tc>
        <w:tc>
          <w:tcPr>
            <w:tcW w:w="840" w:type="pct"/>
            <w:shd w:val="clear" w:color="auto" w:fill="BFBFBF" w:themeFill="background1" w:themeFillShade="BF"/>
            <w:vAlign w:val="bottom"/>
          </w:tcPr>
          <w:p w14:paraId="213D54BA" w14:textId="77777777" w:rsidR="00A00405" w:rsidRPr="004D42ED" w:rsidRDefault="00A00405" w:rsidP="00A00405">
            <w:pPr>
              <w:jc w:val="center"/>
              <w:rPr>
                <w:b/>
                <w:szCs w:val="22"/>
              </w:rPr>
            </w:pPr>
            <w:r w:rsidRPr="004D42ED">
              <w:rPr>
                <w:b/>
                <w:szCs w:val="22"/>
              </w:rPr>
              <w:t>$7,872</w:t>
            </w:r>
          </w:p>
        </w:tc>
        <w:tc>
          <w:tcPr>
            <w:tcW w:w="1138" w:type="pct"/>
            <w:shd w:val="clear" w:color="auto" w:fill="BFBFBF" w:themeFill="background1" w:themeFillShade="BF"/>
            <w:vAlign w:val="bottom"/>
          </w:tcPr>
          <w:p w14:paraId="48E81C5E" w14:textId="77777777" w:rsidR="00A00405" w:rsidRPr="004D42ED" w:rsidRDefault="00A00405" w:rsidP="00A00405">
            <w:pPr>
              <w:jc w:val="center"/>
              <w:rPr>
                <w:b/>
                <w:szCs w:val="22"/>
              </w:rPr>
            </w:pPr>
            <w:r w:rsidRPr="004D42ED">
              <w:rPr>
                <w:b/>
                <w:szCs w:val="22"/>
              </w:rPr>
              <w:t>$33,492</w:t>
            </w:r>
          </w:p>
        </w:tc>
      </w:tr>
      <w:tr w:rsidR="00A00405" w:rsidRPr="004D42ED" w14:paraId="777ABD46" w14:textId="77777777" w:rsidTr="00014CD1">
        <w:trPr>
          <w:trHeight w:val="300"/>
          <w:tblHeader/>
          <w:jc w:val="center"/>
        </w:trPr>
        <w:tc>
          <w:tcPr>
            <w:tcW w:w="1536" w:type="pct"/>
            <w:shd w:val="clear" w:color="auto" w:fill="BFBFBF" w:themeFill="background1" w:themeFillShade="BF"/>
            <w:vAlign w:val="bottom"/>
          </w:tcPr>
          <w:p w14:paraId="708DDF88" w14:textId="77777777" w:rsidR="00A00405" w:rsidRPr="004D42ED" w:rsidRDefault="00A00405" w:rsidP="00A00405">
            <w:pPr>
              <w:rPr>
                <w:b/>
                <w:szCs w:val="22"/>
              </w:rPr>
            </w:pPr>
            <w:r w:rsidRPr="004D42ED">
              <w:rPr>
                <w:b/>
                <w:szCs w:val="22"/>
              </w:rPr>
              <w:t>Americas Total</w:t>
            </w:r>
          </w:p>
        </w:tc>
        <w:tc>
          <w:tcPr>
            <w:tcW w:w="1486" w:type="pct"/>
            <w:shd w:val="clear" w:color="auto" w:fill="BFBFBF" w:themeFill="background1" w:themeFillShade="BF"/>
            <w:vAlign w:val="bottom"/>
          </w:tcPr>
          <w:p w14:paraId="0DC54D3C" w14:textId="77777777" w:rsidR="00A00405" w:rsidRPr="004D42ED" w:rsidRDefault="00A00405" w:rsidP="00A00405">
            <w:pPr>
              <w:jc w:val="center"/>
              <w:rPr>
                <w:b/>
                <w:szCs w:val="22"/>
              </w:rPr>
            </w:pPr>
            <w:r w:rsidRPr="004D42ED">
              <w:rPr>
                <w:b/>
                <w:szCs w:val="22"/>
              </w:rPr>
              <w:t>$24,267,270</w:t>
            </w:r>
          </w:p>
        </w:tc>
        <w:tc>
          <w:tcPr>
            <w:tcW w:w="840" w:type="pct"/>
            <w:shd w:val="clear" w:color="auto" w:fill="BFBFBF" w:themeFill="background1" w:themeFillShade="BF"/>
            <w:vAlign w:val="bottom"/>
          </w:tcPr>
          <w:p w14:paraId="6530AEC4" w14:textId="77777777" w:rsidR="00A00405" w:rsidRPr="004D42ED" w:rsidRDefault="00A00405" w:rsidP="00A00405">
            <w:pPr>
              <w:jc w:val="center"/>
              <w:rPr>
                <w:b/>
                <w:szCs w:val="22"/>
              </w:rPr>
            </w:pPr>
            <w:r w:rsidRPr="004D42ED">
              <w:rPr>
                <w:b/>
                <w:szCs w:val="22"/>
              </w:rPr>
              <w:t>$5,711</w:t>
            </w:r>
          </w:p>
        </w:tc>
        <w:tc>
          <w:tcPr>
            <w:tcW w:w="1138" w:type="pct"/>
            <w:shd w:val="clear" w:color="auto" w:fill="BFBFBF" w:themeFill="background1" w:themeFillShade="BF"/>
            <w:vAlign w:val="bottom"/>
          </w:tcPr>
          <w:p w14:paraId="17AD8958" w14:textId="77777777" w:rsidR="00A00405" w:rsidRPr="004D42ED" w:rsidRDefault="00A00405" w:rsidP="00A00405">
            <w:pPr>
              <w:jc w:val="center"/>
              <w:rPr>
                <w:b/>
                <w:szCs w:val="22"/>
              </w:rPr>
            </w:pPr>
            <w:r w:rsidRPr="004D42ED">
              <w:rPr>
                <w:b/>
                <w:szCs w:val="22"/>
              </w:rPr>
              <w:t>$24,599</w:t>
            </w:r>
          </w:p>
        </w:tc>
      </w:tr>
      <w:tr w:rsidR="00A00405" w:rsidRPr="004D42ED" w14:paraId="5B03F5FC" w14:textId="77777777" w:rsidTr="00A00405">
        <w:trPr>
          <w:trHeight w:val="300"/>
          <w:tblHeader/>
          <w:jc w:val="center"/>
        </w:trPr>
        <w:tc>
          <w:tcPr>
            <w:tcW w:w="5000" w:type="pct"/>
            <w:gridSpan w:val="4"/>
            <w:shd w:val="clear" w:color="auto" w:fill="auto"/>
            <w:vAlign w:val="bottom"/>
          </w:tcPr>
          <w:p w14:paraId="3ABC0B22" w14:textId="77777777" w:rsidR="00A00405" w:rsidRPr="004D42ED" w:rsidRDefault="00A00405" w:rsidP="00A00405">
            <w:pPr>
              <w:rPr>
                <w:color w:val="FF0000"/>
                <w:sz w:val="20"/>
                <w:szCs w:val="20"/>
              </w:rPr>
            </w:pPr>
            <w:r w:rsidRPr="004D42ED">
              <w:rPr>
                <w:sz w:val="20"/>
                <w:szCs w:val="20"/>
              </w:rPr>
              <w:t xml:space="preserve">Source: Total country-level values prepared by M. Hernández-Blanco from data in Costanza </w:t>
            </w:r>
            <w:r w:rsidRPr="004D42ED">
              <w:rPr>
                <w:i/>
                <w:sz w:val="20"/>
                <w:szCs w:val="20"/>
              </w:rPr>
              <w:t>et al</w:t>
            </w:r>
            <w:r w:rsidRPr="004D42ED">
              <w:rPr>
                <w:sz w:val="20"/>
                <w:szCs w:val="20"/>
              </w:rPr>
              <w:t xml:space="preserve">. (2014) and  Kubiszewski </w:t>
            </w:r>
            <w:r w:rsidRPr="004D42ED">
              <w:rPr>
                <w:i/>
                <w:sz w:val="20"/>
                <w:szCs w:val="20"/>
              </w:rPr>
              <w:t>et al.</w:t>
            </w:r>
            <w:r w:rsidRPr="004D42ED">
              <w:rPr>
                <w:sz w:val="20"/>
                <w:szCs w:val="20"/>
              </w:rPr>
              <w:t xml:space="preserve"> (2017). Greenland and French Guyana are not included.</w:t>
            </w:r>
          </w:p>
        </w:tc>
      </w:tr>
    </w:tbl>
    <w:p w14:paraId="4200AE32" w14:textId="77777777" w:rsidR="00A00405" w:rsidRPr="008608AA" w:rsidRDefault="00A00405" w:rsidP="00014CD1">
      <w:pPr>
        <w:spacing w:before="100" w:beforeAutospacing="1" w:after="120"/>
      </w:pPr>
      <w:r w:rsidRPr="008608AA">
        <w:t>Economic valuation of natural capital in this case was made using the benefit transfer methodology, which represents a first approach in estimating the monetary value of ecosystem services, especially when the area of scope is as large as an entire region. Further work must be developed to refine these findings. In addition, it is worth noting that the monetary value of each biome assessed here depends on the availability of research, and some are much more studied than others. Likewise, some ecosystem services have been more investigated than others, and therefore sometimes these can represent a significant portion of the ecosystem service monetary valuation in such summary exercises.</w:t>
      </w:r>
    </w:p>
    <w:p w14:paraId="2F27925A" w14:textId="15B2A1E1" w:rsidR="00A00405" w:rsidRPr="008608AA" w:rsidRDefault="00A00405" w:rsidP="00014CD1">
      <w:pPr>
        <w:spacing w:before="100" w:beforeAutospacing="1" w:after="120"/>
      </w:pPr>
      <w:r w:rsidRPr="008608AA">
        <w:t>Nonetheless, from these data, we see that Brazil has the largest monetary value for its ecosystem services at $6.8 trillion per year, due to its size and the vast cover of its rainforest biome. The USA and Canada followed with $5.3 and $3.6 trillion per year, respectively (Table 2.22). Yet, when the monetary value of ecosystem services was assessed on a per unit basis, a different vision emerges. For example, per hectare, the highest values are found in the C</w:t>
      </w:r>
      <w:r w:rsidR="00DD0C0C" w:rsidRPr="008608AA">
        <w:t>aribbean, where countries like T</w:t>
      </w:r>
      <w:r w:rsidRPr="008608AA">
        <w:t xml:space="preserve">he Bahamas and Antigua &amp; Barbuda have &gt; $20,000 per </w:t>
      </w:r>
      <w:r w:rsidR="004F4EC8" w:rsidRPr="008608AA">
        <w:t xml:space="preserve">hectare  </w:t>
      </w:r>
      <w:r w:rsidRPr="008608AA">
        <w:t xml:space="preserve">per year. In South America, both Bolivia and Paraguay also have very high values, at &gt; $10,000 per </w:t>
      </w:r>
      <w:r w:rsidR="004F4EC8" w:rsidRPr="008608AA">
        <w:t xml:space="preserve">hectare  </w:t>
      </w:r>
      <w:r w:rsidRPr="008608AA">
        <w:t>per year. Meanwhile, when expressed on a per person basis, Guyana ($238,021 per capita per year) and Suriname ($260,703 per capita per year) are about 10-fold greater than the average regional value of $24,599 per capita per year.  Other countries that are at least 2-fold greater than the regional value include Argentina ($50,969 per capita per year), Paraguay ($74,941 per capita per year), Canada ($99,985 per capita per year) and Bolivia ($120,723 per capita per year). Furthermore, the economic contribution of nature varies by biome. Using the Ecosystem Services Partnership’s database (Van der Ploeg &amp; de Groot, 2010), we see that in particular coral reefs and wetlands are highly valuable in economic terms (Table 2.23). Kubiszewski et al. (2017) have shown globally that coral reefs and wetlands (coastal and inland) have extremely high economic value per hectare ($352,249 / ha, $140,174 / ha, respectively), while among terrestrial biomes, tropical forests are highest ($5,382.00 / ha) for natural environments and urban areas ($6,661.00 / ha) for anthropogenic habitats.</w:t>
      </w:r>
    </w:p>
    <w:p w14:paraId="235BD3A6" w14:textId="53BD769E" w:rsidR="00014CD1" w:rsidRPr="008608AA" w:rsidRDefault="00870677" w:rsidP="00870677">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23</w:t>
      </w:r>
      <w:r w:rsidR="000E562E">
        <w:rPr>
          <w:noProof/>
        </w:rPr>
        <w:fldChar w:fldCharType="end"/>
      </w:r>
      <w:r w:rsidRPr="008608AA">
        <w:t xml:space="preserve">. </w:t>
      </w:r>
      <w:r w:rsidR="00014CD1" w:rsidRPr="008608AA">
        <w:t>Literature review of the habitat-specific monetary value of ecosystem services calculated for biomes in the Americas.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772"/>
        <w:gridCol w:w="2085"/>
        <w:gridCol w:w="1985"/>
        <w:gridCol w:w="2645"/>
      </w:tblGrid>
      <w:tr w:rsidR="00A00405" w:rsidRPr="004D42ED" w14:paraId="2AF76E1C" w14:textId="77777777" w:rsidTr="00014CD1">
        <w:trPr>
          <w:trHeight w:val="600"/>
          <w:jc w:val="center"/>
        </w:trPr>
        <w:tc>
          <w:tcPr>
            <w:tcW w:w="1461" w:type="pct"/>
            <w:shd w:val="clear" w:color="auto" w:fill="BFBFBF" w:themeFill="background1" w:themeFillShade="BF"/>
            <w:vAlign w:val="center"/>
          </w:tcPr>
          <w:p w14:paraId="7F00F560" w14:textId="77777777" w:rsidR="00A00405" w:rsidRPr="004D42ED" w:rsidRDefault="00A00405" w:rsidP="00A00405">
            <w:pPr>
              <w:rPr>
                <w:b/>
                <w:szCs w:val="22"/>
              </w:rPr>
            </w:pPr>
            <w:r w:rsidRPr="004D42ED">
              <w:rPr>
                <w:b/>
                <w:szCs w:val="22"/>
              </w:rPr>
              <w:t>Biome</w:t>
            </w:r>
          </w:p>
        </w:tc>
        <w:tc>
          <w:tcPr>
            <w:tcW w:w="1099" w:type="pct"/>
            <w:shd w:val="clear" w:color="auto" w:fill="BFBFBF" w:themeFill="background1" w:themeFillShade="BF"/>
            <w:vAlign w:val="center"/>
          </w:tcPr>
          <w:p w14:paraId="62D26FEA" w14:textId="77777777" w:rsidR="00A00405" w:rsidRPr="004D42ED" w:rsidRDefault="00A00405" w:rsidP="00A00405">
            <w:pPr>
              <w:jc w:val="center"/>
              <w:rPr>
                <w:b/>
                <w:szCs w:val="22"/>
              </w:rPr>
            </w:pPr>
            <w:r w:rsidRPr="004D42ED">
              <w:rPr>
                <w:b/>
                <w:szCs w:val="22"/>
              </w:rPr>
              <w:t>Number of studies</w:t>
            </w:r>
          </w:p>
        </w:tc>
        <w:tc>
          <w:tcPr>
            <w:tcW w:w="1046" w:type="pct"/>
            <w:shd w:val="clear" w:color="auto" w:fill="BFBFBF" w:themeFill="background1" w:themeFillShade="BF"/>
            <w:vAlign w:val="center"/>
          </w:tcPr>
          <w:p w14:paraId="3E1C5094" w14:textId="77777777" w:rsidR="00A00405" w:rsidRPr="004D42ED" w:rsidRDefault="00A00405" w:rsidP="00A00405">
            <w:pPr>
              <w:jc w:val="center"/>
              <w:rPr>
                <w:b/>
                <w:szCs w:val="22"/>
              </w:rPr>
            </w:pPr>
            <w:r w:rsidRPr="004D42ED">
              <w:rPr>
                <w:b/>
                <w:szCs w:val="22"/>
              </w:rPr>
              <w:t>Range</w:t>
            </w:r>
          </w:p>
          <w:p w14:paraId="5F4C1F2C" w14:textId="77777777" w:rsidR="00A00405" w:rsidRPr="004D42ED" w:rsidRDefault="00A00405" w:rsidP="00A00405">
            <w:pPr>
              <w:jc w:val="center"/>
              <w:rPr>
                <w:b/>
                <w:szCs w:val="22"/>
              </w:rPr>
            </w:pPr>
            <w:r w:rsidRPr="004D42ED">
              <w:rPr>
                <w:b/>
                <w:szCs w:val="22"/>
              </w:rPr>
              <w:t>(US $ / ha / yr)</w:t>
            </w:r>
          </w:p>
        </w:tc>
        <w:tc>
          <w:tcPr>
            <w:tcW w:w="1394" w:type="pct"/>
            <w:shd w:val="clear" w:color="auto" w:fill="BFBFBF" w:themeFill="background1" w:themeFillShade="BF"/>
            <w:vAlign w:val="center"/>
          </w:tcPr>
          <w:p w14:paraId="0654B9EC" w14:textId="77777777" w:rsidR="00A00405" w:rsidRPr="004D42ED" w:rsidRDefault="00A00405" w:rsidP="00A00405">
            <w:pPr>
              <w:jc w:val="center"/>
              <w:rPr>
                <w:b/>
                <w:szCs w:val="22"/>
              </w:rPr>
            </w:pPr>
            <w:r w:rsidRPr="004D42ED">
              <w:rPr>
                <w:b/>
                <w:szCs w:val="22"/>
              </w:rPr>
              <w:t>Median</w:t>
            </w:r>
          </w:p>
          <w:p w14:paraId="7B6D4B87" w14:textId="77777777" w:rsidR="00A00405" w:rsidRPr="004D42ED" w:rsidRDefault="00A00405" w:rsidP="00A00405">
            <w:pPr>
              <w:jc w:val="center"/>
              <w:rPr>
                <w:b/>
                <w:szCs w:val="22"/>
              </w:rPr>
            </w:pPr>
            <w:r w:rsidRPr="004D42ED">
              <w:rPr>
                <w:b/>
                <w:szCs w:val="22"/>
              </w:rPr>
              <w:t>(US $ / ha / yr)</w:t>
            </w:r>
          </w:p>
        </w:tc>
      </w:tr>
      <w:tr w:rsidR="00A00405" w:rsidRPr="004D42ED" w14:paraId="2DFDC5BA" w14:textId="77777777" w:rsidTr="00A00405">
        <w:trPr>
          <w:trHeight w:val="320"/>
          <w:jc w:val="center"/>
        </w:trPr>
        <w:tc>
          <w:tcPr>
            <w:tcW w:w="1461" w:type="pct"/>
            <w:vAlign w:val="center"/>
          </w:tcPr>
          <w:p w14:paraId="7147E995" w14:textId="77777777" w:rsidR="00A00405" w:rsidRPr="004D42ED" w:rsidRDefault="00A00405" w:rsidP="00A00405">
            <w:pPr>
              <w:rPr>
                <w:szCs w:val="22"/>
              </w:rPr>
            </w:pPr>
            <w:r w:rsidRPr="004D42ED">
              <w:rPr>
                <w:szCs w:val="22"/>
              </w:rPr>
              <w:t>Boreal/Temperate Forests</w:t>
            </w:r>
          </w:p>
        </w:tc>
        <w:tc>
          <w:tcPr>
            <w:tcW w:w="1099" w:type="pct"/>
            <w:shd w:val="clear" w:color="auto" w:fill="auto"/>
            <w:vAlign w:val="center"/>
          </w:tcPr>
          <w:p w14:paraId="6ED8E8EB" w14:textId="77777777" w:rsidR="00A00405" w:rsidRPr="004D42ED" w:rsidRDefault="00A00405" w:rsidP="00A00405">
            <w:pPr>
              <w:jc w:val="center"/>
              <w:rPr>
                <w:szCs w:val="22"/>
              </w:rPr>
            </w:pPr>
            <w:r w:rsidRPr="004D42ED">
              <w:rPr>
                <w:szCs w:val="22"/>
              </w:rPr>
              <w:t>7</w:t>
            </w:r>
          </w:p>
        </w:tc>
        <w:tc>
          <w:tcPr>
            <w:tcW w:w="1046" w:type="pct"/>
            <w:shd w:val="clear" w:color="auto" w:fill="auto"/>
            <w:vAlign w:val="center"/>
          </w:tcPr>
          <w:p w14:paraId="126C7FE0" w14:textId="77777777" w:rsidR="00A00405" w:rsidRPr="004D42ED" w:rsidRDefault="00A00405" w:rsidP="00A00405">
            <w:pPr>
              <w:jc w:val="center"/>
              <w:rPr>
                <w:szCs w:val="22"/>
              </w:rPr>
            </w:pPr>
            <w:r w:rsidRPr="004D42ED">
              <w:rPr>
                <w:szCs w:val="22"/>
              </w:rPr>
              <w:t>0.01 – 4,400.00</w:t>
            </w:r>
          </w:p>
        </w:tc>
        <w:tc>
          <w:tcPr>
            <w:tcW w:w="1394" w:type="pct"/>
            <w:shd w:val="clear" w:color="auto" w:fill="auto"/>
            <w:vAlign w:val="center"/>
          </w:tcPr>
          <w:p w14:paraId="67727BA1" w14:textId="77777777" w:rsidR="00A00405" w:rsidRPr="004D42ED" w:rsidRDefault="00A00405" w:rsidP="00A00405">
            <w:pPr>
              <w:jc w:val="center"/>
              <w:rPr>
                <w:szCs w:val="22"/>
              </w:rPr>
            </w:pPr>
            <w:r w:rsidRPr="004D42ED">
              <w:rPr>
                <w:szCs w:val="22"/>
              </w:rPr>
              <w:t>82.72</w:t>
            </w:r>
          </w:p>
        </w:tc>
      </w:tr>
      <w:tr w:rsidR="00A00405" w:rsidRPr="004D42ED" w14:paraId="540B552E" w14:textId="77777777" w:rsidTr="00A00405">
        <w:trPr>
          <w:trHeight w:val="320"/>
          <w:jc w:val="center"/>
        </w:trPr>
        <w:tc>
          <w:tcPr>
            <w:tcW w:w="1461" w:type="pct"/>
            <w:vAlign w:val="center"/>
          </w:tcPr>
          <w:p w14:paraId="7B973C2B" w14:textId="77777777" w:rsidR="00A00405" w:rsidRPr="004D42ED" w:rsidRDefault="00A00405" w:rsidP="00A00405">
            <w:pPr>
              <w:rPr>
                <w:szCs w:val="22"/>
              </w:rPr>
            </w:pPr>
            <w:r w:rsidRPr="004D42ED">
              <w:rPr>
                <w:szCs w:val="22"/>
              </w:rPr>
              <w:t>Coastal/Coastal Wetlands</w:t>
            </w:r>
          </w:p>
        </w:tc>
        <w:tc>
          <w:tcPr>
            <w:tcW w:w="1099" w:type="pct"/>
            <w:shd w:val="clear" w:color="auto" w:fill="auto"/>
            <w:vAlign w:val="center"/>
          </w:tcPr>
          <w:p w14:paraId="73EC4863" w14:textId="77777777" w:rsidR="00A00405" w:rsidRPr="004D42ED" w:rsidRDefault="00A00405" w:rsidP="00A00405">
            <w:pPr>
              <w:jc w:val="center"/>
              <w:rPr>
                <w:szCs w:val="22"/>
              </w:rPr>
            </w:pPr>
            <w:r w:rsidRPr="004D42ED">
              <w:rPr>
                <w:szCs w:val="22"/>
              </w:rPr>
              <w:t>14</w:t>
            </w:r>
          </w:p>
        </w:tc>
        <w:tc>
          <w:tcPr>
            <w:tcW w:w="1046" w:type="pct"/>
            <w:shd w:val="clear" w:color="auto" w:fill="auto"/>
            <w:vAlign w:val="center"/>
          </w:tcPr>
          <w:p w14:paraId="4AA1E717" w14:textId="77777777" w:rsidR="00A00405" w:rsidRPr="004D42ED" w:rsidRDefault="00A00405" w:rsidP="00A00405">
            <w:pPr>
              <w:jc w:val="center"/>
              <w:rPr>
                <w:szCs w:val="22"/>
              </w:rPr>
            </w:pPr>
            <w:r w:rsidRPr="004D42ED">
              <w:rPr>
                <w:szCs w:val="22"/>
              </w:rPr>
              <w:t>25.00 – 2,243.47</w:t>
            </w:r>
          </w:p>
        </w:tc>
        <w:tc>
          <w:tcPr>
            <w:tcW w:w="1394" w:type="pct"/>
            <w:shd w:val="clear" w:color="auto" w:fill="auto"/>
            <w:vAlign w:val="center"/>
          </w:tcPr>
          <w:p w14:paraId="402B3133" w14:textId="77777777" w:rsidR="00A00405" w:rsidRPr="004D42ED" w:rsidRDefault="00A00405" w:rsidP="00A00405">
            <w:pPr>
              <w:jc w:val="center"/>
              <w:rPr>
                <w:szCs w:val="22"/>
              </w:rPr>
            </w:pPr>
            <w:r w:rsidRPr="004D42ED">
              <w:rPr>
                <w:szCs w:val="22"/>
              </w:rPr>
              <w:t>423.95</w:t>
            </w:r>
          </w:p>
        </w:tc>
      </w:tr>
      <w:tr w:rsidR="00A00405" w:rsidRPr="004D42ED" w14:paraId="1B61FFC6" w14:textId="77777777" w:rsidTr="00A00405">
        <w:trPr>
          <w:trHeight w:val="320"/>
          <w:jc w:val="center"/>
        </w:trPr>
        <w:tc>
          <w:tcPr>
            <w:tcW w:w="1461" w:type="pct"/>
            <w:vAlign w:val="center"/>
          </w:tcPr>
          <w:p w14:paraId="51CFB5E1" w14:textId="77777777" w:rsidR="00A00405" w:rsidRPr="004D42ED" w:rsidRDefault="00A00405" w:rsidP="00A00405">
            <w:pPr>
              <w:rPr>
                <w:szCs w:val="22"/>
              </w:rPr>
            </w:pPr>
            <w:r w:rsidRPr="004D42ED">
              <w:rPr>
                <w:szCs w:val="22"/>
              </w:rPr>
              <w:t>Coral Reefs</w:t>
            </w:r>
          </w:p>
        </w:tc>
        <w:tc>
          <w:tcPr>
            <w:tcW w:w="1099" w:type="pct"/>
            <w:shd w:val="clear" w:color="auto" w:fill="auto"/>
            <w:vAlign w:val="center"/>
          </w:tcPr>
          <w:p w14:paraId="28814F5B" w14:textId="77777777" w:rsidR="00A00405" w:rsidRPr="004D42ED" w:rsidRDefault="00A00405" w:rsidP="00A00405">
            <w:pPr>
              <w:jc w:val="center"/>
              <w:rPr>
                <w:szCs w:val="22"/>
              </w:rPr>
            </w:pPr>
            <w:r w:rsidRPr="004D42ED">
              <w:rPr>
                <w:szCs w:val="22"/>
              </w:rPr>
              <w:t>48</w:t>
            </w:r>
          </w:p>
        </w:tc>
        <w:tc>
          <w:tcPr>
            <w:tcW w:w="1046" w:type="pct"/>
            <w:shd w:val="clear" w:color="auto" w:fill="auto"/>
            <w:vAlign w:val="center"/>
          </w:tcPr>
          <w:p w14:paraId="03CE2F01" w14:textId="77777777" w:rsidR="00A00405" w:rsidRPr="004D42ED" w:rsidRDefault="00A00405" w:rsidP="00A00405">
            <w:pPr>
              <w:jc w:val="center"/>
              <w:rPr>
                <w:szCs w:val="22"/>
              </w:rPr>
            </w:pPr>
            <w:r w:rsidRPr="004D42ED">
              <w:rPr>
                <w:szCs w:val="22"/>
              </w:rPr>
              <w:t>2.13 – 955,419.00</w:t>
            </w:r>
          </w:p>
        </w:tc>
        <w:tc>
          <w:tcPr>
            <w:tcW w:w="1394" w:type="pct"/>
            <w:shd w:val="clear" w:color="auto" w:fill="auto"/>
            <w:vAlign w:val="center"/>
          </w:tcPr>
          <w:p w14:paraId="17EDDDC8" w14:textId="77777777" w:rsidR="00A00405" w:rsidRPr="004D42ED" w:rsidRDefault="00A00405" w:rsidP="00A00405">
            <w:pPr>
              <w:jc w:val="center"/>
              <w:rPr>
                <w:szCs w:val="22"/>
              </w:rPr>
            </w:pPr>
            <w:r w:rsidRPr="004D42ED">
              <w:rPr>
                <w:szCs w:val="22"/>
              </w:rPr>
              <w:t>1,789.89</w:t>
            </w:r>
          </w:p>
        </w:tc>
      </w:tr>
      <w:tr w:rsidR="00A00405" w:rsidRPr="004D42ED" w14:paraId="0EE5FA33" w14:textId="77777777" w:rsidTr="00A00405">
        <w:trPr>
          <w:trHeight w:val="320"/>
          <w:jc w:val="center"/>
        </w:trPr>
        <w:tc>
          <w:tcPr>
            <w:tcW w:w="1461" w:type="pct"/>
            <w:vAlign w:val="center"/>
          </w:tcPr>
          <w:p w14:paraId="199E18A9" w14:textId="77777777" w:rsidR="00A00405" w:rsidRPr="004D42ED" w:rsidRDefault="00A00405" w:rsidP="00A00405">
            <w:pPr>
              <w:rPr>
                <w:szCs w:val="22"/>
              </w:rPr>
            </w:pPr>
            <w:r w:rsidRPr="004D42ED">
              <w:rPr>
                <w:szCs w:val="22"/>
              </w:rPr>
              <w:t>Grasslands</w:t>
            </w:r>
          </w:p>
        </w:tc>
        <w:tc>
          <w:tcPr>
            <w:tcW w:w="1099" w:type="pct"/>
            <w:shd w:val="clear" w:color="auto" w:fill="auto"/>
            <w:vAlign w:val="center"/>
          </w:tcPr>
          <w:p w14:paraId="6124DB0B" w14:textId="77777777" w:rsidR="00A00405" w:rsidRPr="004D42ED" w:rsidRDefault="00A00405" w:rsidP="00A00405">
            <w:pPr>
              <w:jc w:val="center"/>
              <w:rPr>
                <w:szCs w:val="22"/>
              </w:rPr>
            </w:pPr>
            <w:r w:rsidRPr="004D42ED">
              <w:rPr>
                <w:szCs w:val="22"/>
              </w:rPr>
              <w:t>8</w:t>
            </w:r>
          </w:p>
        </w:tc>
        <w:tc>
          <w:tcPr>
            <w:tcW w:w="1046" w:type="pct"/>
            <w:shd w:val="clear" w:color="auto" w:fill="auto"/>
            <w:vAlign w:val="center"/>
          </w:tcPr>
          <w:p w14:paraId="5DF4120E" w14:textId="77777777" w:rsidR="00A00405" w:rsidRPr="004D42ED" w:rsidRDefault="00A00405" w:rsidP="00A00405">
            <w:pPr>
              <w:jc w:val="center"/>
              <w:rPr>
                <w:szCs w:val="22"/>
              </w:rPr>
            </w:pPr>
            <w:r w:rsidRPr="004D42ED">
              <w:rPr>
                <w:szCs w:val="22"/>
              </w:rPr>
              <w:t>83.22 – 8,483.59</w:t>
            </w:r>
          </w:p>
        </w:tc>
        <w:tc>
          <w:tcPr>
            <w:tcW w:w="1394" w:type="pct"/>
            <w:shd w:val="clear" w:color="auto" w:fill="auto"/>
            <w:vAlign w:val="center"/>
          </w:tcPr>
          <w:p w14:paraId="776593DA" w14:textId="77777777" w:rsidR="00A00405" w:rsidRPr="004D42ED" w:rsidRDefault="00A00405" w:rsidP="00A00405">
            <w:pPr>
              <w:jc w:val="center"/>
              <w:rPr>
                <w:szCs w:val="22"/>
              </w:rPr>
            </w:pPr>
            <w:r w:rsidRPr="004D42ED">
              <w:rPr>
                <w:szCs w:val="22"/>
              </w:rPr>
              <w:t>157.00</w:t>
            </w:r>
          </w:p>
        </w:tc>
      </w:tr>
      <w:tr w:rsidR="00A00405" w:rsidRPr="004D42ED" w14:paraId="2C2E5A87" w14:textId="77777777" w:rsidTr="00A00405">
        <w:trPr>
          <w:trHeight w:val="320"/>
          <w:jc w:val="center"/>
        </w:trPr>
        <w:tc>
          <w:tcPr>
            <w:tcW w:w="1461" w:type="pct"/>
            <w:vAlign w:val="center"/>
          </w:tcPr>
          <w:p w14:paraId="27BC2E80" w14:textId="77777777" w:rsidR="00A00405" w:rsidRPr="004D42ED" w:rsidRDefault="00A00405" w:rsidP="00A00405">
            <w:pPr>
              <w:rPr>
                <w:szCs w:val="22"/>
              </w:rPr>
            </w:pPr>
            <w:r w:rsidRPr="004D42ED">
              <w:rPr>
                <w:szCs w:val="22"/>
              </w:rPr>
              <w:t>Inland Wetlands</w:t>
            </w:r>
          </w:p>
        </w:tc>
        <w:tc>
          <w:tcPr>
            <w:tcW w:w="1099" w:type="pct"/>
            <w:shd w:val="clear" w:color="auto" w:fill="auto"/>
            <w:vAlign w:val="center"/>
          </w:tcPr>
          <w:p w14:paraId="7950B246" w14:textId="77777777" w:rsidR="00A00405" w:rsidRPr="004D42ED" w:rsidRDefault="00A00405" w:rsidP="00A00405">
            <w:pPr>
              <w:jc w:val="center"/>
              <w:rPr>
                <w:szCs w:val="22"/>
              </w:rPr>
            </w:pPr>
            <w:r w:rsidRPr="004D42ED">
              <w:rPr>
                <w:szCs w:val="22"/>
              </w:rPr>
              <w:t>2</w:t>
            </w:r>
          </w:p>
        </w:tc>
        <w:tc>
          <w:tcPr>
            <w:tcW w:w="1046" w:type="pct"/>
            <w:shd w:val="clear" w:color="auto" w:fill="auto"/>
            <w:vAlign w:val="center"/>
          </w:tcPr>
          <w:p w14:paraId="27D4161A" w14:textId="77777777" w:rsidR="00A00405" w:rsidRPr="004D42ED" w:rsidRDefault="00A00405" w:rsidP="00A00405">
            <w:pPr>
              <w:jc w:val="center"/>
              <w:rPr>
                <w:szCs w:val="22"/>
              </w:rPr>
            </w:pPr>
            <w:r w:rsidRPr="004D42ED">
              <w:rPr>
                <w:szCs w:val="22"/>
              </w:rPr>
              <w:t>83.22 – 8,483.59</w:t>
            </w:r>
          </w:p>
        </w:tc>
        <w:tc>
          <w:tcPr>
            <w:tcW w:w="1394" w:type="pct"/>
            <w:shd w:val="clear" w:color="auto" w:fill="auto"/>
            <w:vAlign w:val="center"/>
          </w:tcPr>
          <w:p w14:paraId="0E60A1DD" w14:textId="77777777" w:rsidR="00A00405" w:rsidRPr="004D42ED" w:rsidRDefault="00A00405" w:rsidP="00A00405">
            <w:pPr>
              <w:jc w:val="center"/>
              <w:rPr>
                <w:szCs w:val="22"/>
              </w:rPr>
            </w:pPr>
            <w:r w:rsidRPr="004D42ED">
              <w:rPr>
                <w:szCs w:val="22"/>
              </w:rPr>
              <w:t>--</w:t>
            </w:r>
          </w:p>
        </w:tc>
      </w:tr>
      <w:tr w:rsidR="00A00405" w:rsidRPr="004D42ED" w14:paraId="38531BD8" w14:textId="77777777" w:rsidTr="00A00405">
        <w:trPr>
          <w:trHeight w:val="320"/>
          <w:jc w:val="center"/>
        </w:trPr>
        <w:tc>
          <w:tcPr>
            <w:tcW w:w="1461" w:type="pct"/>
            <w:vAlign w:val="center"/>
          </w:tcPr>
          <w:p w14:paraId="0953AC36" w14:textId="77777777" w:rsidR="00A00405" w:rsidRPr="004D42ED" w:rsidRDefault="00A00405" w:rsidP="00A00405">
            <w:pPr>
              <w:rPr>
                <w:szCs w:val="22"/>
              </w:rPr>
            </w:pPr>
            <w:r w:rsidRPr="004D42ED">
              <w:rPr>
                <w:szCs w:val="22"/>
              </w:rPr>
              <w:t>Tropical Forests</w:t>
            </w:r>
          </w:p>
        </w:tc>
        <w:tc>
          <w:tcPr>
            <w:tcW w:w="1099" w:type="pct"/>
            <w:shd w:val="clear" w:color="auto" w:fill="auto"/>
            <w:vAlign w:val="center"/>
          </w:tcPr>
          <w:p w14:paraId="6A024BD0" w14:textId="77777777" w:rsidR="00A00405" w:rsidRPr="004D42ED" w:rsidRDefault="00A00405" w:rsidP="00A00405">
            <w:pPr>
              <w:jc w:val="center"/>
              <w:rPr>
                <w:szCs w:val="22"/>
              </w:rPr>
            </w:pPr>
            <w:r w:rsidRPr="004D42ED">
              <w:rPr>
                <w:szCs w:val="22"/>
              </w:rPr>
              <w:t>25</w:t>
            </w:r>
          </w:p>
        </w:tc>
        <w:tc>
          <w:tcPr>
            <w:tcW w:w="1046" w:type="pct"/>
            <w:shd w:val="clear" w:color="auto" w:fill="auto"/>
            <w:vAlign w:val="center"/>
          </w:tcPr>
          <w:p w14:paraId="75234D3D" w14:textId="77777777" w:rsidR="00A00405" w:rsidRPr="004D42ED" w:rsidRDefault="00A00405" w:rsidP="00A00405">
            <w:pPr>
              <w:jc w:val="center"/>
              <w:rPr>
                <w:szCs w:val="22"/>
              </w:rPr>
            </w:pPr>
            <w:r w:rsidRPr="004D42ED">
              <w:rPr>
                <w:szCs w:val="22"/>
              </w:rPr>
              <w:t>0.60 – 1,627.50</w:t>
            </w:r>
          </w:p>
        </w:tc>
        <w:tc>
          <w:tcPr>
            <w:tcW w:w="1394" w:type="pct"/>
            <w:shd w:val="clear" w:color="auto" w:fill="auto"/>
            <w:vAlign w:val="center"/>
          </w:tcPr>
          <w:p w14:paraId="665725D4" w14:textId="77777777" w:rsidR="00A00405" w:rsidRPr="004D42ED" w:rsidRDefault="00A00405" w:rsidP="00A00405">
            <w:pPr>
              <w:jc w:val="center"/>
              <w:rPr>
                <w:szCs w:val="22"/>
              </w:rPr>
            </w:pPr>
            <w:r w:rsidRPr="004D42ED">
              <w:rPr>
                <w:szCs w:val="22"/>
              </w:rPr>
              <w:t>24.27</w:t>
            </w:r>
          </w:p>
        </w:tc>
      </w:tr>
      <w:tr w:rsidR="00A00405" w:rsidRPr="004D42ED" w14:paraId="6927DD54" w14:textId="77777777" w:rsidTr="00A00405">
        <w:trPr>
          <w:trHeight w:val="320"/>
          <w:jc w:val="center"/>
        </w:trPr>
        <w:tc>
          <w:tcPr>
            <w:tcW w:w="5000" w:type="pct"/>
            <w:gridSpan w:val="4"/>
            <w:vAlign w:val="center"/>
          </w:tcPr>
          <w:p w14:paraId="67600189" w14:textId="2E050225" w:rsidR="00A00405" w:rsidRPr="004D42ED" w:rsidRDefault="00A00405" w:rsidP="00642977">
            <w:pPr>
              <w:rPr>
                <w:sz w:val="20"/>
                <w:szCs w:val="20"/>
              </w:rPr>
            </w:pPr>
            <w:r w:rsidRPr="004D42ED">
              <w:rPr>
                <w:sz w:val="20"/>
                <w:szCs w:val="20"/>
              </w:rPr>
              <w:t xml:space="preserve">Source: Data from Van der Ploeg </w:t>
            </w:r>
            <w:r w:rsidR="00642977" w:rsidRPr="004D42ED">
              <w:rPr>
                <w:sz w:val="20"/>
                <w:szCs w:val="20"/>
              </w:rPr>
              <w:t>&amp;</w:t>
            </w:r>
            <w:r w:rsidRPr="004D42ED">
              <w:rPr>
                <w:sz w:val="20"/>
                <w:szCs w:val="20"/>
              </w:rPr>
              <w:t xml:space="preserve"> de Groot (2010,) and selected based on studies since 1997 that expressed their results in US $ / ha / yr. The range in monetary values is wide due to the diversity of ecosystem services evaluated in these studies, which also heavily affects the median of some biomes, especially tropical forests.</w:t>
            </w:r>
          </w:p>
        </w:tc>
      </w:tr>
    </w:tbl>
    <w:p w14:paraId="1E4AC899" w14:textId="77777777" w:rsidR="00014CD1" w:rsidRPr="008608AA" w:rsidRDefault="00014CD1" w:rsidP="008B3BCD"/>
    <w:p w14:paraId="3962C352" w14:textId="77777777" w:rsidR="00A00405" w:rsidRPr="008608AA" w:rsidRDefault="00A00405" w:rsidP="00014CD1">
      <w:pPr>
        <w:pStyle w:val="Heading2"/>
      </w:pPr>
      <w:bookmarkStart w:id="731" w:name="_Toc517393277"/>
      <w:bookmarkStart w:id="732" w:name="_Toc517719018"/>
      <w:bookmarkStart w:id="733" w:name="_Toc517796975"/>
      <w:r w:rsidRPr="008608AA">
        <w:t>Ecological footprint and biocapacity</w:t>
      </w:r>
      <w:bookmarkEnd w:id="731"/>
      <w:bookmarkEnd w:id="732"/>
      <w:bookmarkEnd w:id="733"/>
    </w:p>
    <w:p w14:paraId="1CEBF888" w14:textId="0918CC63" w:rsidR="00A00405" w:rsidRPr="008608AA" w:rsidRDefault="00A00405" w:rsidP="00014CD1">
      <w:pPr>
        <w:spacing w:after="120"/>
      </w:pPr>
      <w:r w:rsidRPr="008608AA">
        <w:t>Ecological footprint accounting assesses how much humans are demanding from the planet (i.e. ecological footprint), compared to what the planet’s ecosystems are capable of renewing (i.e. biocapacity). Many human activities place demands on the planet’s biodiversity and ecosystems (</w:t>
      </w:r>
      <w:r w:rsidR="00847F60" w:rsidRPr="008608AA">
        <w:t>e.g.</w:t>
      </w:r>
      <w:r w:rsidRPr="008608AA">
        <w:t xml:space="preserve"> food production, housing and infrastructure, transportation). All of these demands compete for biologically productive space. Therefore, both demand on and availability of regenerative capacity can be approximated by adding up the mutually exclusive biologically-productive areas for providing these benefits of nature. By comparing the amount of capacity demanded for human uses with the amount of total biocapacity available, ecological footprint accounting measures the extent to which human demands on nature exceed the biosphere’s capacity to meet those demands. If human societies take more than what nature can renew, then biodiversity and ecosystems services inherently will be put under stresses that threaten their continuity and ability to contribute to human quality of life in the future. </w:t>
      </w:r>
    </w:p>
    <w:p w14:paraId="23AA47C9" w14:textId="768E04A1" w:rsidR="00A00405" w:rsidRPr="008608AA" w:rsidRDefault="00A00405" w:rsidP="00014CD1">
      <w:pPr>
        <w:spacing w:after="120"/>
      </w:pPr>
      <w:r w:rsidRPr="008608AA">
        <w:t xml:space="preserve">By 2003, the global ecological footprint exceeded the Earth’s biocapacity by over 25% (Loh &amp; Goldfinger, 2006). In 2012, demand exceeded capacity by 60%, and projections are that by 2020 it will be 75% greater than the planet’s ability to sustain these uses (WWF, 2016). The status and trends of the Americas’ ecological footprint coincide with this overall global increase (Table 2.24), which is occurring at the same time as observed declines in biodiversity (Wilson, 1988; Botkin et al., 2007) and decreases in the provision of many ecosystem services (MA, 2005, </w:t>
      </w:r>
      <w:r w:rsidR="00B20C8E" w:rsidRPr="008608AA">
        <w:t>section</w:t>
      </w:r>
      <w:r w:rsidRPr="008608AA">
        <w:t xml:space="preserve">s 2.2.1 to 2.2.18). Based on Global Footprint Network data, the Americas represent 22.8% of the total global ecological footprint, but only have about 13% of its human population. This higher than average resource use also is reflected in the Americas’ per capita ecological footprint, which is 169% higher than the global average. Since 1960, all subregions in the Americas have experienced increases in their ecological footprint, with declines in the per capita biocapacity during this same time period. Nonetheless, the Americas hosts a great wealth of natural resources compared to the rest of the planet, as evidenced by the fact that the region contributes 40.5% of the world’s biocapacity, and has 299% more resources available from nature per capita than an average global citizen (Table 2.24). </w:t>
      </w:r>
    </w:p>
    <w:p w14:paraId="56909D58" w14:textId="77777777" w:rsidR="00A00405" w:rsidRPr="008608AA" w:rsidRDefault="00A00405" w:rsidP="00014CD1">
      <w:pPr>
        <w:spacing w:after="120"/>
      </w:pPr>
      <w:r w:rsidRPr="008608AA">
        <w:t>Intra-regionally, though, there are large variations in both ecological footprint and biocapacity. For example, North America has a 2.7, 4.1 and 4.6 times greater per capita ecological footprint than South America, Mesoamerica and the Caribbean, respectively (Table 2.24). At the subregional level, only South America retains a “reserve” of biocapacity for future use, due to its relative low ecological footprint and extremely high biocapacity; the other three subregions currently are exceeding nature’s ability to renew the resources and services that contribute to human well-being.</w:t>
      </w:r>
    </w:p>
    <w:p w14:paraId="35FE49A8" w14:textId="3394B3A9" w:rsidR="00014CD1" w:rsidRPr="008608AA" w:rsidRDefault="00870677" w:rsidP="00870677">
      <w:pPr>
        <w:pStyle w:val="Caption"/>
        <w:keepNext/>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24</w:t>
      </w:r>
      <w:r w:rsidR="000E562E">
        <w:rPr>
          <w:noProof/>
        </w:rPr>
        <w:fldChar w:fldCharType="end"/>
      </w:r>
      <w:r w:rsidR="00014CD1" w:rsidRPr="008608AA">
        <w:t xml:space="preserve">. Overall, the Americas region has a high ecological footprint and biocapacity with large variation between subregions. Ecological Footprint Network data from 2012 are shown as global hectares per capita and the total number of global hectares. Negative values are presented in </w:t>
      </w:r>
      <w:r w:rsidR="00014CD1" w:rsidRPr="008608AA">
        <w:rPr>
          <w:color w:val="FF0000"/>
        </w:rPr>
        <w:t>(red).</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72"/>
        <w:gridCol w:w="1186"/>
        <w:gridCol w:w="1837"/>
        <w:gridCol w:w="1211"/>
        <w:gridCol w:w="1438"/>
        <w:gridCol w:w="1315"/>
        <w:gridCol w:w="1028"/>
      </w:tblGrid>
      <w:tr w:rsidR="00A00405" w:rsidRPr="004D42ED" w14:paraId="17AF6906" w14:textId="77777777" w:rsidTr="00014CD1">
        <w:trPr>
          <w:trHeight w:val="440"/>
        </w:trPr>
        <w:tc>
          <w:tcPr>
            <w:tcW w:w="776" w:type="pct"/>
            <w:shd w:val="clear" w:color="auto" w:fill="BFBFBF" w:themeFill="background1" w:themeFillShade="BF"/>
            <w:vAlign w:val="center"/>
          </w:tcPr>
          <w:p w14:paraId="3F1FE6AD" w14:textId="77777777" w:rsidR="00A00405" w:rsidRPr="004D42ED" w:rsidRDefault="00A00405" w:rsidP="00A00405">
            <w:pPr>
              <w:jc w:val="center"/>
              <w:rPr>
                <w:b/>
                <w:szCs w:val="22"/>
              </w:rPr>
            </w:pPr>
          </w:p>
        </w:tc>
        <w:tc>
          <w:tcPr>
            <w:tcW w:w="625" w:type="pct"/>
            <w:shd w:val="clear" w:color="auto" w:fill="BFBFBF" w:themeFill="background1" w:themeFillShade="BF"/>
            <w:vAlign w:val="center"/>
          </w:tcPr>
          <w:p w14:paraId="45E14DA5" w14:textId="77777777" w:rsidR="00A00405" w:rsidRPr="004D42ED" w:rsidRDefault="00A00405" w:rsidP="00A00405">
            <w:pPr>
              <w:jc w:val="center"/>
              <w:rPr>
                <w:b/>
                <w:szCs w:val="22"/>
              </w:rPr>
            </w:pPr>
            <w:r w:rsidRPr="004D42ED">
              <w:rPr>
                <w:b/>
                <w:szCs w:val="22"/>
              </w:rPr>
              <w:t>Ecological footprint               (gl ha per capita)</w:t>
            </w:r>
          </w:p>
        </w:tc>
        <w:tc>
          <w:tcPr>
            <w:tcW w:w="968" w:type="pct"/>
            <w:shd w:val="clear" w:color="auto" w:fill="BFBFBF" w:themeFill="background1" w:themeFillShade="BF"/>
            <w:vAlign w:val="center"/>
          </w:tcPr>
          <w:p w14:paraId="6F6C81C3" w14:textId="77777777" w:rsidR="00A00405" w:rsidRPr="004D42ED" w:rsidRDefault="00A00405" w:rsidP="00A00405">
            <w:pPr>
              <w:jc w:val="center"/>
              <w:rPr>
                <w:b/>
                <w:szCs w:val="22"/>
              </w:rPr>
            </w:pPr>
            <w:r w:rsidRPr="004D42ED">
              <w:rPr>
                <w:b/>
                <w:szCs w:val="22"/>
              </w:rPr>
              <w:t>Biocapacity        (gl ha per capita)</w:t>
            </w:r>
          </w:p>
        </w:tc>
        <w:tc>
          <w:tcPr>
            <w:tcW w:w="638" w:type="pct"/>
            <w:shd w:val="clear" w:color="auto" w:fill="BFBFBF" w:themeFill="background1" w:themeFillShade="BF"/>
            <w:vAlign w:val="center"/>
          </w:tcPr>
          <w:p w14:paraId="30BB1957" w14:textId="77777777" w:rsidR="00A00405" w:rsidRPr="004D42ED" w:rsidRDefault="00A00405" w:rsidP="00A00405">
            <w:pPr>
              <w:jc w:val="center"/>
              <w:rPr>
                <w:b/>
                <w:szCs w:val="22"/>
                <w:lang w:val="es-CO"/>
              </w:rPr>
            </w:pPr>
            <w:r w:rsidRPr="004D42ED">
              <w:rPr>
                <w:b/>
                <w:szCs w:val="22"/>
                <w:lang w:val="es-CO"/>
              </w:rPr>
              <w:t>Reserve              (gl ha per capita)</w:t>
            </w:r>
          </w:p>
        </w:tc>
        <w:tc>
          <w:tcPr>
            <w:tcW w:w="758" w:type="pct"/>
            <w:shd w:val="clear" w:color="auto" w:fill="BFBFBF" w:themeFill="background1" w:themeFillShade="BF"/>
            <w:vAlign w:val="center"/>
          </w:tcPr>
          <w:p w14:paraId="14C7F00E" w14:textId="77777777" w:rsidR="00A00405" w:rsidRPr="004D42ED" w:rsidRDefault="00A00405" w:rsidP="00A00405">
            <w:pPr>
              <w:jc w:val="center"/>
              <w:rPr>
                <w:b/>
                <w:szCs w:val="22"/>
              </w:rPr>
            </w:pPr>
            <w:r w:rsidRPr="004D42ED">
              <w:rPr>
                <w:b/>
                <w:szCs w:val="22"/>
              </w:rPr>
              <w:t>Ecological footprint</w:t>
            </w:r>
          </w:p>
          <w:p w14:paraId="55510D92" w14:textId="77777777" w:rsidR="00A00405" w:rsidRPr="004D42ED" w:rsidRDefault="00A00405" w:rsidP="00A00405">
            <w:pPr>
              <w:jc w:val="center"/>
              <w:rPr>
                <w:b/>
                <w:szCs w:val="22"/>
              </w:rPr>
            </w:pPr>
            <w:r w:rsidRPr="004D42ED">
              <w:rPr>
                <w:b/>
                <w:szCs w:val="22"/>
              </w:rPr>
              <w:t>(gl ha)</w:t>
            </w:r>
          </w:p>
        </w:tc>
        <w:tc>
          <w:tcPr>
            <w:tcW w:w="693" w:type="pct"/>
            <w:shd w:val="clear" w:color="auto" w:fill="BFBFBF" w:themeFill="background1" w:themeFillShade="BF"/>
            <w:vAlign w:val="center"/>
          </w:tcPr>
          <w:p w14:paraId="218274A1" w14:textId="77777777" w:rsidR="00A00405" w:rsidRPr="004D42ED" w:rsidRDefault="00A00405" w:rsidP="00A00405">
            <w:pPr>
              <w:jc w:val="center"/>
              <w:rPr>
                <w:b/>
                <w:szCs w:val="22"/>
              </w:rPr>
            </w:pPr>
            <w:r w:rsidRPr="004D42ED">
              <w:rPr>
                <w:b/>
                <w:szCs w:val="22"/>
              </w:rPr>
              <w:t>Biocapacity (gl ha)</w:t>
            </w:r>
          </w:p>
        </w:tc>
        <w:tc>
          <w:tcPr>
            <w:tcW w:w="543" w:type="pct"/>
            <w:shd w:val="clear" w:color="auto" w:fill="BFBFBF" w:themeFill="background1" w:themeFillShade="BF"/>
            <w:vAlign w:val="center"/>
          </w:tcPr>
          <w:p w14:paraId="24C10F1E" w14:textId="77777777" w:rsidR="00A00405" w:rsidRPr="004D42ED" w:rsidRDefault="00A00405" w:rsidP="00A00405">
            <w:pPr>
              <w:jc w:val="center"/>
              <w:rPr>
                <w:b/>
                <w:szCs w:val="22"/>
              </w:rPr>
            </w:pPr>
            <w:r w:rsidRPr="004D42ED">
              <w:rPr>
                <w:b/>
                <w:szCs w:val="22"/>
              </w:rPr>
              <w:t>Reserve</w:t>
            </w:r>
          </w:p>
          <w:p w14:paraId="1D6DC871" w14:textId="77777777" w:rsidR="00A00405" w:rsidRPr="004D42ED" w:rsidRDefault="00A00405" w:rsidP="00A00405">
            <w:pPr>
              <w:jc w:val="center"/>
              <w:rPr>
                <w:b/>
                <w:szCs w:val="22"/>
              </w:rPr>
            </w:pPr>
            <w:r w:rsidRPr="004D42ED">
              <w:rPr>
                <w:b/>
                <w:szCs w:val="22"/>
              </w:rPr>
              <w:t>(gl ha)</w:t>
            </w:r>
          </w:p>
        </w:tc>
      </w:tr>
      <w:tr w:rsidR="00A00405" w:rsidRPr="004D42ED" w14:paraId="37CAE30B" w14:textId="77777777" w:rsidTr="00014CD1">
        <w:trPr>
          <w:trHeight w:val="300"/>
        </w:trPr>
        <w:tc>
          <w:tcPr>
            <w:tcW w:w="776" w:type="pct"/>
            <w:shd w:val="clear" w:color="auto" w:fill="auto"/>
            <w:vAlign w:val="bottom"/>
          </w:tcPr>
          <w:p w14:paraId="3F5CDA14" w14:textId="77777777" w:rsidR="00A00405" w:rsidRPr="004D42ED" w:rsidRDefault="00A00405" w:rsidP="00A00405">
            <w:pPr>
              <w:rPr>
                <w:b/>
                <w:szCs w:val="22"/>
              </w:rPr>
            </w:pPr>
            <w:r w:rsidRPr="004D42ED">
              <w:rPr>
                <w:b/>
                <w:szCs w:val="22"/>
              </w:rPr>
              <w:t>North America</w:t>
            </w:r>
          </w:p>
        </w:tc>
        <w:tc>
          <w:tcPr>
            <w:tcW w:w="625" w:type="pct"/>
            <w:shd w:val="clear" w:color="auto" w:fill="auto"/>
            <w:vAlign w:val="bottom"/>
          </w:tcPr>
          <w:p w14:paraId="6827155E" w14:textId="77777777" w:rsidR="00A00405" w:rsidRPr="004D42ED" w:rsidRDefault="00A00405" w:rsidP="00A00405">
            <w:pPr>
              <w:jc w:val="center"/>
              <w:rPr>
                <w:szCs w:val="22"/>
              </w:rPr>
            </w:pPr>
            <w:r w:rsidRPr="004D42ED">
              <w:rPr>
                <w:szCs w:val="22"/>
              </w:rPr>
              <w:t>8.2</w:t>
            </w:r>
          </w:p>
        </w:tc>
        <w:tc>
          <w:tcPr>
            <w:tcW w:w="968" w:type="pct"/>
            <w:shd w:val="clear" w:color="auto" w:fill="auto"/>
            <w:vAlign w:val="bottom"/>
          </w:tcPr>
          <w:p w14:paraId="3E6BAAC3" w14:textId="77777777" w:rsidR="00A00405" w:rsidRPr="004D42ED" w:rsidRDefault="00A00405" w:rsidP="00A00405">
            <w:pPr>
              <w:jc w:val="center"/>
              <w:rPr>
                <w:szCs w:val="22"/>
              </w:rPr>
            </w:pPr>
            <w:r w:rsidRPr="004D42ED">
              <w:rPr>
                <w:szCs w:val="22"/>
              </w:rPr>
              <w:t>5.0</w:t>
            </w:r>
          </w:p>
        </w:tc>
        <w:tc>
          <w:tcPr>
            <w:tcW w:w="638" w:type="pct"/>
            <w:shd w:val="clear" w:color="auto" w:fill="auto"/>
            <w:vAlign w:val="bottom"/>
          </w:tcPr>
          <w:p w14:paraId="4382DF18" w14:textId="77777777" w:rsidR="00A00405" w:rsidRPr="004D42ED" w:rsidRDefault="00A00405" w:rsidP="00A00405">
            <w:pPr>
              <w:jc w:val="center"/>
              <w:rPr>
                <w:szCs w:val="22"/>
              </w:rPr>
            </w:pPr>
            <w:r w:rsidRPr="004D42ED">
              <w:rPr>
                <w:color w:val="FF0000"/>
                <w:szCs w:val="22"/>
              </w:rPr>
              <w:t>(3.2)</w:t>
            </w:r>
          </w:p>
        </w:tc>
        <w:tc>
          <w:tcPr>
            <w:tcW w:w="758" w:type="pct"/>
            <w:shd w:val="clear" w:color="auto" w:fill="auto"/>
            <w:vAlign w:val="bottom"/>
          </w:tcPr>
          <w:p w14:paraId="0EB576E9" w14:textId="77777777" w:rsidR="00A00405" w:rsidRPr="004D42ED" w:rsidRDefault="00A00405" w:rsidP="00A00405">
            <w:pPr>
              <w:jc w:val="center"/>
              <w:rPr>
                <w:szCs w:val="22"/>
              </w:rPr>
            </w:pPr>
            <w:r w:rsidRPr="004D42ED">
              <w:rPr>
                <w:szCs w:val="22"/>
              </w:rPr>
              <w:t>2894.5</w:t>
            </w:r>
          </w:p>
        </w:tc>
        <w:tc>
          <w:tcPr>
            <w:tcW w:w="693" w:type="pct"/>
            <w:shd w:val="clear" w:color="auto" w:fill="auto"/>
            <w:vAlign w:val="bottom"/>
          </w:tcPr>
          <w:p w14:paraId="629F7E4B" w14:textId="77777777" w:rsidR="00A00405" w:rsidRPr="004D42ED" w:rsidRDefault="00A00405" w:rsidP="00A00405">
            <w:pPr>
              <w:jc w:val="center"/>
              <w:rPr>
                <w:szCs w:val="22"/>
              </w:rPr>
            </w:pPr>
            <w:r w:rsidRPr="004D42ED">
              <w:rPr>
                <w:szCs w:val="22"/>
              </w:rPr>
              <w:t>1751.6</w:t>
            </w:r>
          </w:p>
        </w:tc>
        <w:tc>
          <w:tcPr>
            <w:tcW w:w="543" w:type="pct"/>
            <w:shd w:val="clear" w:color="auto" w:fill="auto"/>
            <w:vAlign w:val="bottom"/>
          </w:tcPr>
          <w:p w14:paraId="1BBCDF30" w14:textId="77777777" w:rsidR="00A00405" w:rsidRPr="004D42ED" w:rsidRDefault="00A00405" w:rsidP="00A00405">
            <w:pPr>
              <w:jc w:val="center"/>
              <w:rPr>
                <w:szCs w:val="22"/>
              </w:rPr>
            </w:pPr>
            <w:r w:rsidRPr="004D42ED">
              <w:rPr>
                <w:color w:val="FF0000"/>
                <w:szCs w:val="22"/>
              </w:rPr>
              <w:t>(1,142.9)</w:t>
            </w:r>
          </w:p>
        </w:tc>
      </w:tr>
      <w:tr w:rsidR="00A00405" w:rsidRPr="004D42ED" w14:paraId="7F17B5BA" w14:textId="77777777" w:rsidTr="00014CD1">
        <w:trPr>
          <w:trHeight w:val="300"/>
        </w:trPr>
        <w:tc>
          <w:tcPr>
            <w:tcW w:w="776" w:type="pct"/>
            <w:shd w:val="clear" w:color="auto" w:fill="auto"/>
            <w:vAlign w:val="bottom"/>
          </w:tcPr>
          <w:p w14:paraId="7D74F615" w14:textId="77777777" w:rsidR="00A00405" w:rsidRPr="004D42ED" w:rsidRDefault="00A00405" w:rsidP="00A00405">
            <w:pPr>
              <w:rPr>
                <w:b/>
                <w:szCs w:val="22"/>
              </w:rPr>
            </w:pPr>
            <w:r w:rsidRPr="004D42ED">
              <w:rPr>
                <w:b/>
                <w:szCs w:val="22"/>
              </w:rPr>
              <w:t>Mesoamerica</w:t>
            </w:r>
          </w:p>
        </w:tc>
        <w:tc>
          <w:tcPr>
            <w:tcW w:w="625" w:type="pct"/>
            <w:shd w:val="clear" w:color="auto" w:fill="auto"/>
            <w:vAlign w:val="bottom"/>
          </w:tcPr>
          <w:p w14:paraId="0B1182B6" w14:textId="77777777" w:rsidR="00A00405" w:rsidRPr="004D42ED" w:rsidRDefault="00A00405" w:rsidP="00A00405">
            <w:pPr>
              <w:jc w:val="center"/>
              <w:rPr>
                <w:szCs w:val="22"/>
              </w:rPr>
            </w:pPr>
            <w:r w:rsidRPr="004D42ED">
              <w:rPr>
                <w:szCs w:val="22"/>
              </w:rPr>
              <w:t>2.7</w:t>
            </w:r>
          </w:p>
        </w:tc>
        <w:tc>
          <w:tcPr>
            <w:tcW w:w="968" w:type="pct"/>
            <w:shd w:val="clear" w:color="auto" w:fill="auto"/>
            <w:vAlign w:val="bottom"/>
          </w:tcPr>
          <w:p w14:paraId="39D035FE" w14:textId="77777777" w:rsidR="00A00405" w:rsidRPr="004D42ED" w:rsidRDefault="00A00405" w:rsidP="00A00405">
            <w:pPr>
              <w:jc w:val="center"/>
              <w:rPr>
                <w:szCs w:val="22"/>
              </w:rPr>
            </w:pPr>
            <w:r w:rsidRPr="004D42ED">
              <w:rPr>
                <w:szCs w:val="22"/>
              </w:rPr>
              <w:t>1.3</w:t>
            </w:r>
          </w:p>
        </w:tc>
        <w:tc>
          <w:tcPr>
            <w:tcW w:w="638" w:type="pct"/>
            <w:shd w:val="clear" w:color="auto" w:fill="auto"/>
            <w:vAlign w:val="bottom"/>
          </w:tcPr>
          <w:p w14:paraId="03B41BC2" w14:textId="77777777" w:rsidR="00A00405" w:rsidRPr="004D42ED" w:rsidRDefault="00A00405" w:rsidP="00A00405">
            <w:pPr>
              <w:jc w:val="center"/>
              <w:rPr>
                <w:szCs w:val="22"/>
              </w:rPr>
            </w:pPr>
            <w:r w:rsidRPr="004D42ED">
              <w:rPr>
                <w:color w:val="FF0000"/>
                <w:szCs w:val="22"/>
              </w:rPr>
              <w:t>(1.3)</w:t>
            </w:r>
          </w:p>
        </w:tc>
        <w:tc>
          <w:tcPr>
            <w:tcW w:w="758" w:type="pct"/>
            <w:shd w:val="clear" w:color="auto" w:fill="auto"/>
            <w:vAlign w:val="bottom"/>
          </w:tcPr>
          <w:p w14:paraId="2F9983B8" w14:textId="77777777" w:rsidR="00A00405" w:rsidRPr="004D42ED" w:rsidRDefault="00A00405" w:rsidP="00A00405">
            <w:pPr>
              <w:jc w:val="center"/>
              <w:rPr>
                <w:szCs w:val="22"/>
              </w:rPr>
            </w:pPr>
            <w:r w:rsidRPr="004D42ED">
              <w:rPr>
                <w:szCs w:val="22"/>
              </w:rPr>
              <w:t>436.7</w:t>
            </w:r>
          </w:p>
        </w:tc>
        <w:tc>
          <w:tcPr>
            <w:tcW w:w="693" w:type="pct"/>
            <w:shd w:val="clear" w:color="auto" w:fill="auto"/>
            <w:vAlign w:val="bottom"/>
          </w:tcPr>
          <w:p w14:paraId="2F5F040F" w14:textId="77777777" w:rsidR="00A00405" w:rsidRPr="004D42ED" w:rsidRDefault="00A00405" w:rsidP="00A00405">
            <w:pPr>
              <w:jc w:val="center"/>
              <w:rPr>
                <w:szCs w:val="22"/>
              </w:rPr>
            </w:pPr>
            <w:r w:rsidRPr="004D42ED">
              <w:rPr>
                <w:szCs w:val="22"/>
              </w:rPr>
              <w:t>218.3</w:t>
            </w:r>
          </w:p>
        </w:tc>
        <w:tc>
          <w:tcPr>
            <w:tcW w:w="543" w:type="pct"/>
            <w:shd w:val="clear" w:color="auto" w:fill="auto"/>
            <w:vAlign w:val="bottom"/>
          </w:tcPr>
          <w:p w14:paraId="6B2B8199" w14:textId="77777777" w:rsidR="00A00405" w:rsidRPr="004D42ED" w:rsidRDefault="00A00405" w:rsidP="00A00405">
            <w:pPr>
              <w:jc w:val="center"/>
              <w:rPr>
                <w:szCs w:val="22"/>
              </w:rPr>
            </w:pPr>
            <w:r w:rsidRPr="004D42ED">
              <w:rPr>
                <w:color w:val="FF0000"/>
                <w:szCs w:val="22"/>
              </w:rPr>
              <w:t>(218.4)</w:t>
            </w:r>
          </w:p>
        </w:tc>
      </w:tr>
      <w:tr w:rsidR="00A00405" w:rsidRPr="004D42ED" w14:paraId="193AA198" w14:textId="77777777" w:rsidTr="00014CD1">
        <w:trPr>
          <w:trHeight w:val="300"/>
        </w:trPr>
        <w:tc>
          <w:tcPr>
            <w:tcW w:w="776" w:type="pct"/>
            <w:shd w:val="clear" w:color="auto" w:fill="auto"/>
            <w:vAlign w:val="bottom"/>
          </w:tcPr>
          <w:p w14:paraId="4BA3972E" w14:textId="77777777" w:rsidR="00A00405" w:rsidRPr="004D42ED" w:rsidRDefault="00A00405" w:rsidP="00A00405">
            <w:pPr>
              <w:rPr>
                <w:b/>
                <w:szCs w:val="22"/>
              </w:rPr>
            </w:pPr>
            <w:r w:rsidRPr="004D42ED">
              <w:rPr>
                <w:b/>
                <w:szCs w:val="22"/>
              </w:rPr>
              <w:t>Caribbean</w:t>
            </w:r>
          </w:p>
        </w:tc>
        <w:tc>
          <w:tcPr>
            <w:tcW w:w="625" w:type="pct"/>
            <w:shd w:val="clear" w:color="auto" w:fill="auto"/>
            <w:vAlign w:val="bottom"/>
          </w:tcPr>
          <w:p w14:paraId="5DEBAE3B" w14:textId="77777777" w:rsidR="00A00405" w:rsidRPr="004D42ED" w:rsidRDefault="00A00405" w:rsidP="00A00405">
            <w:pPr>
              <w:jc w:val="center"/>
              <w:rPr>
                <w:szCs w:val="22"/>
              </w:rPr>
            </w:pPr>
            <w:r w:rsidRPr="004D42ED">
              <w:rPr>
                <w:szCs w:val="22"/>
              </w:rPr>
              <w:t>1.8</w:t>
            </w:r>
          </w:p>
        </w:tc>
        <w:tc>
          <w:tcPr>
            <w:tcW w:w="968" w:type="pct"/>
            <w:shd w:val="clear" w:color="auto" w:fill="auto"/>
            <w:vAlign w:val="bottom"/>
          </w:tcPr>
          <w:p w14:paraId="3587E434" w14:textId="77777777" w:rsidR="00A00405" w:rsidRPr="004D42ED" w:rsidRDefault="00A00405" w:rsidP="00A00405">
            <w:pPr>
              <w:jc w:val="center"/>
              <w:rPr>
                <w:szCs w:val="22"/>
              </w:rPr>
            </w:pPr>
            <w:r w:rsidRPr="004D42ED">
              <w:rPr>
                <w:szCs w:val="22"/>
              </w:rPr>
              <w:t>0.7</w:t>
            </w:r>
          </w:p>
        </w:tc>
        <w:tc>
          <w:tcPr>
            <w:tcW w:w="638" w:type="pct"/>
            <w:shd w:val="clear" w:color="auto" w:fill="auto"/>
            <w:vAlign w:val="bottom"/>
          </w:tcPr>
          <w:p w14:paraId="394A5F68" w14:textId="77777777" w:rsidR="00A00405" w:rsidRPr="004D42ED" w:rsidRDefault="00A00405" w:rsidP="00A00405">
            <w:pPr>
              <w:jc w:val="center"/>
              <w:rPr>
                <w:szCs w:val="22"/>
              </w:rPr>
            </w:pPr>
            <w:r w:rsidRPr="004D42ED">
              <w:rPr>
                <w:color w:val="FF0000"/>
                <w:szCs w:val="22"/>
              </w:rPr>
              <w:t>(1.2)</w:t>
            </w:r>
          </w:p>
        </w:tc>
        <w:tc>
          <w:tcPr>
            <w:tcW w:w="758" w:type="pct"/>
            <w:shd w:val="clear" w:color="auto" w:fill="auto"/>
            <w:vAlign w:val="bottom"/>
          </w:tcPr>
          <w:p w14:paraId="753ADB51" w14:textId="77777777" w:rsidR="00A00405" w:rsidRPr="004D42ED" w:rsidRDefault="00A00405" w:rsidP="00A00405">
            <w:pPr>
              <w:jc w:val="center"/>
              <w:rPr>
                <w:szCs w:val="22"/>
              </w:rPr>
            </w:pPr>
            <w:r w:rsidRPr="004D42ED">
              <w:rPr>
                <w:szCs w:val="22"/>
              </w:rPr>
              <w:t>69.5</w:t>
            </w:r>
          </w:p>
        </w:tc>
        <w:tc>
          <w:tcPr>
            <w:tcW w:w="693" w:type="pct"/>
            <w:shd w:val="clear" w:color="auto" w:fill="auto"/>
            <w:vAlign w:val="bottom"/>
          </w:tcPr>
          <w:p w14:paraId="6DFC97A7" w14:textId="77777777" w:rsidR="00A00405" w:rsidRPr="004D42ED" w:rsidRDefault="00A00405" w:rsidP="00A00405">
            <w:pPr>
              <w:jc w:val="center"/>
              <w:rPr>
                <w:szCs w:val="22"/>
              </w:rPr>
            </w:pPr>
            <w:r w:rsidRPr="004D42ED">
              <w:rPr>
                <w:szCs w:val="22"/>
              </w:rPr>
              <w:t>25.0</w:t>
            </w:r>
          </w:p>
        </w:tc>
        <w:tc>
          <w:tcPr>
            <w:tcW w:w="543" w:type="pct"/>
            <w:shd w:val="clear" w:color="auto" w:fill="auto"/>
            <w:vAlign w:val="bottom"/>
          </w:tcPr>
          <w:p w14:paraId="0E52CACC" w14:textId="77777777" w:rsidR="00A00405" w:rsidRPr="004D42ED" w:rsidRDefault="00A00405" w:rsidP="00A00405">
            <w:pPr>
              <w:jc w:val="center"/>
              <w:rPr>
                <w:szCs w:val="22"/>
              </w:rPr>
            </w:pPr>
            <w:r w:rsidRPr="004D42ED">
              <w:rPr>
                <w:color w:val="FF0000"/>
                <w:szCs w:val="22"/>
              </w:rPr>
              <w:t>(44.5)</w:t>
            </w:r>
          </w:p>
        </w:tc>
      </w:tr>
      <w:tr w:rsidR="00A00405" w:rsidRPr="004D42ED" w14:paraId="687A0435" w14:textId="77777777" w:rsidTr="00014CD1">
        <w:trPr>
          <w:trHeight w:val="300"/>
        </w:trPr>
        <w:tc>
          <w:tcPr>
            <w:tcW w:w="776" w:type="pct"/>
            <w:shd w:val="clear" w:color="auto" w:fill="auto"/>
            <w:vAlign w:val="bottom"/>
          </w:tcPr>
          <w:p w14:paraId="79560182" w14:textId="77777777" w:rsidR="00A00405" w:rsidRPr="004D42ED" w:rsidRDefault="00A00405" w:rsidP="00A00405">
            <w:pPr>
              <w:rPr>
                <w:b/>
                <w:szCs w:val="22"/>
              </w:rPr>
            </w:pPr>
            <w:r w:rsidRPr="004D42ED">
              <w:rPr>
                <w:b/>
                <w:szCs w:val="22"/>
              </w:rPr>
              <w:t>South America</w:t>
            </w:r>
          </w:p>
        </w:tc>
        <w:tc>
          <w:tcPr>
            <w:tcW w:w="625" w:type="pct"/>
            <w:shd w:val="clear" w:color="auto" w:fill="auto"/>
            <w:vAlign w:val="bottom"/>
          </w:tcPr>
          <w:p w14:paraId="7384C864" w14:textId="77777777" w:rsidR="00A00405" w:rsidRPr="004D42ED" w:rsidRDefault="00A00405" w:rsidP="00A00405">
            <w:pPr>
              <w:jc w:val="center"/>
              <w:rPr>
                <w:szCs w:val="22"/>
              </w:rPr>
            </w:pPr>
            <w:r w:rsidRPr="004D42ED">
              <w:rPr>
                <w:szCs w:val="22"/>
              </w:rPr>
              <w:t>3.0</w:t>
            </w:r>
          </w:p>
        </w:tc>
        <w:tc>
          <w:tcPr>
            <w:tcW w:w="968" w:type="pct"/>
            <w:shd w:val="clear" w:color="auto" w:fill="auto"/>
            <w:vAlign w:val="bottom"/>
          </w:tcPr>
          <w:p w14:paraId="4808A162" w14:textId="77777777" w:rsidR="00A00405" w:rsidRPr="004D42ED" w:rsidRDefault="00A00405" w:rsidP="00A00405">
            <w:pPr>
              <w:jc w:val="center"/>
              <w:rPr>
                <w:szCs w:val="22"/>
              </w:rPr>
            </w:pPr>
            <w:r w:rsidRPr="004D42ED">
              <w:rPr>
                <w:szCs w:val="22"/>
              </w:rPr>
              <w:t>7.4</w:t>
            </w:r>
          </w:p>
        </w:tc>
        <w:tc>
          <w:tcPr>
            <w:tcW w:w="638" w:type="pct"/>
            <w:shd w:val="clear" w:color="auto" w:fill="auto"/>
            <w:vAlign w:val="bottom"/>
          </w:tcPr>
          <w:p w14:paraId="0E240C97" w14:textId="77777777" w:rsidR="00A00405" w:rsidRPr="004D42ED" w:rsidRDefault="00A00405" w:rsidP="00A00405">
            <w:pPr>
              <w:jc w:val="center"/>
              <w:rPr>
                <w:szCs w:val="22"/>
              </w:rPr>
            </w:pPr>
            <w:r w:rsidRPr="004D42ED">
              <w:rPr>
                <w:szCs w:val="22"/>
              </w:rPr>
              <w:t>4.4</w:t>
            </w:r>
          </w:p>
        </w:tc>
        <w:tc>
          <w:tcPr>
            <w:tcW w:w="758" w:type="pct"/>
            <w:shd w:val="clear" w:color="auto" w:fill="auto"/>
            <w:vAlign w:val="bottom"/>
          </w:tcPr>
          <w:p w14:paraId="1803A41F" w14:textId="77777777" w:rsidR="00A00405" w:rsidRPr="004D42ED" w:rsidRDefault="00A00405" w:rsidP="00A00405">
            <w:pPr>
              <w:jc w:val="center"/>
              <w:rPr>
                <w:szCs w:val="22"/>
              </w:rPr>
            </w:pPr>
            <w:r w:rsidRPr="004D42ED">
              <w:rPr>
                <w:szCs w:val="22"/>
              </w:rPr>
              <w:t>1195.2</w:t>
            </w:r>
          </w:p>
        </w:tc>
        <w:tc>
          <w:tcPr>
            <w:tcW w:w="693" w:type="pct"/>
            <w:shd w:val="clear" w:color="auto" w:fill="auto"/>
            <w:vAlign w:val="bottom"/>
          </w:tcPr>
          <w:p w14:paraId="5EBBF3A1" w14:textId="77777777" w:rsidR="00A00405" w:rsidRPr="004D42ED" w:rsidRDefault="00A00405" w:rsidP="00A00405">
            <w:pPr>
              <w:jc w:val="center"/>
              <w:rPr>
                <w:szCs w:val="22"/>
              </w:rPr>
            </w:pPr>
            <w:r w:rsidRPr="004D42ED">
              <w:rPr>
                <w:szCs w:val="22"/>
              </w:rPr>
              <w:t>2969.1</w:t>
            </w:r>
          </w:p>
        </w:tc>
        <w:tc>
          <w:tcPr>
            <w:tcW w:w="543" w:type="pct"/>
            <w:shd w:val="clear" w:color="auto" w:fill="auto"/>
            <w:vAlign w:val="bottom"/>
          </w:tcPr>
          <w:p w14:paraId="6B7E546F" w14:textId="77777777" w:rsidR="00A00405" w:rsidRPr="004D42ED" w:rsidRDefault="00A00405" w:rsidP="00A00405">
            <w:pPr>
              <w:jc w:val="center"/>
              <w:rPr>
                <w:szCs w:val="22"/>
              </w:rPr>
            </w:pPr>
            <w:r w:rsidRPr="004D42ED">
              <w:rPr>
                <w:szCs w:val="22"/>
              </w:rPr>
              <w:t>1,773.8</w:t>
            </w:r>
          </w:p>
        </w:tc>
      </w:tr>
      <w:tr w:rsidR="00A00405" w:rsidRPr="004D42ED" w14:paraId="1B097F25" w14:textId="77777777" w:rsidTr="00014CD1">
        <w:trPr>
          <w:trHeight w:val="300"/>
        </w:trPr>
        <w:tc>
          <w:tcPr>
            <w:tcW w:w="776" w:type="pct"/>
            <w:shd w:val="clear" w:color="auto" w:fill="auto"/>
            <w:vAlign w:val="bottom"/>
          </w:tcPr>
          <w:p w14:paraId="2C005606" w14:textId="77777777" w:rsidR="00A00405" w:rsidRPr="004D42ED" w:rsidRDefault="00A00405" w:rsidP="00A00405">
            <w:pPr>
              <w:rPr>
                <w:b/>
                <w:szCs w:val="22"/>
              </w:rPr>
            </w:pPr>
            <w:r w:rsidRPr="004D42ED">
              <w:rPr>
                <w:b/>
                <w:szCs w:val="22"/>
              </w:rPr>
              <w:t>Americas Region</w:t>
            </w:r>
          </w:p>
        </w:tc>
        <w:tc>
          <w:tcPr>
            <w:tcW w:w="625" w:type="pct"/>
            <w:shd w:val="clear" w:color="auto" w:fill="auto"/>
            <w:vAlign w:val="bottom"/>
          </w:tcPr>
          <w:p w14:paraId="23F0E5D2" w14:textId="77777777" w:rsidR="00A00405" w:rsidRPr="004D42ED" w:rsidRDefault="00A00405" w:rsidP="00A00405">
            <w:pPr>
              <w:jc w:val="center"/>
              <w:rPr>
                <w:szCs w:val="22"/>
              </w:rPr>
            </w:pPr>
            <w:r w:rsidRPr="004D42ED">
              <w:rPr>
                <w:szCs w:val="22"/>
              </w:rPr>
              <w:t>4.8</w:t>
            </w:r>
          </w:p>
        </w:tc>
        <w:tc>
          <w:tcPr>
            <w:tcW w:w="968" w:type="pct"/>
            <w:shd w:val="clear" w:color="auto" w:fill="auto"/>
            <w:vAlign w:val="bottom"/>
          </w:tcPr>
          <w:p w14:paraId="6BAD6142" w14:textId="77777777" w:rsidR="00A00405" w:rsidRPr="004D42ED" w:rsidRDefault="00A00405" w:rsidP="00A00405">
            <w:pPr>
              <w:jc w:val="center"/>
              <w:rPr>
                <w:szCs w:val="22"/>
              </w:rPr>
            </w:pPr>
            <w:r w:rsidRPr="004D42ED">
              <w:rPr>
                <w:szCs w:val="22"/>
              </w:rPr>
              <w:t>5.2</w:t>
            </w:r>
          </w:p>
        </w:tc>
        <w:tc>
          <w:tcPr>
            <w:tcW w:w="638" w:type="pct"/>
            <w:shd w:val="clear" w:color="auto" w:fill="auto"/>
            <w:vAlign w:val="bottom"/>
          </w:tcPr>
          <w:p w14:paraId="7579151D" w14:textId="77777777" w:rsidR="00A00405" w:rsidRPr="004D42ED" w:rsidRDefault="00A00405" w:rsidP="00A00405">
            <w:pPr>
              <w:jc w:val="center"/>
              <w:rPr>
                <w:szCs w:val="22"/>
              </w:rPr>
            </w:pPr>
            <w:r w:rsidRPr="004D42ED">
              <w:rPr>
                <w:szCs w:val="22"/>
              </w:rPr>
              <w:t>0.4</w:t>
            </w:r>
          </w:p>
        </w:tc>
        <w:tc>
          <w:tcPr>
            <w:tcW w:w="758" w:type="pct"/>
            <w:shd w:val="clear" w:color="auto" w:fill="auto"/>
            <w:vAlign w:val="bottom"/>
          </w:tcPr>
          <w:p w14:paraId="412BE85B" w14:textId="77777777" w:rsidR="00A00405" w:rsidRPr="004D42ED" w:rsidRDefault="00A00405" w:rsidP="00A00405">
            <w:pPr>
              <w:jc w:val="center"/>
              <w:rPr>
                <w:szCs w:val="22"/>
              </w:rPr>
            </w:pPr>
            <w:r w:rsidRPr="004D42ED">
              <w:rPr>
                <w:szCs w:val="22"/>
              </w:rPr>
              <w:t>4595.9</w:t>
            </w:r>
          </w:p>
        </w:tc>
        <w:tc>
          <w:tcPr>
            <w:tcW w:w="693" w:type="pct"/>
            <w:shd w:val="clear" w:color="auto" w:fill="auto"/>
            <w:vAlign w:val="bottom"/>
          </w:tcPr>
          <w:p w14:paraId="4C7DB769" w14:textId="77777777" w:rsidR="00A00405" w:rsidRPr="004D42ED" w:rsidRDefault="00A00405" w:rsidP="00A00405">
            <w:pPr>
              <w:jc w:val="center"/>
              <w:rPr>
                <w:szCs w:val="22"/>
              </w:rPr>
            </w:pPr>
            <w:r w:rsidRPr="004D42ED">
              <w:rPr>
                <w:szCs w:val="22"/>
              </w:rPr>
              <w:t>4964.0</w:t>
            </w:r>
          </w:p>
        </w:tc>
        <w:tc>
          <w:tcPr>
            <w:tcW w:w="543" w:type="pct"/>
            <w:shd w:val="clear" w:color="auto" w:fill="auto"/>
            <w:vAlign w:val="bottom"/>
          </w:tcPr>
          <w:p w14:paraId="0DF21482" w14:textId="77777777" w:rsidR="00A00405" w:rsidRPr="004D42ED" w:rsidRDefault="00A00405" w:rsidP="00A00405">
            <w:pPr>
              <w:jc w:val="center"/>
              <w:rPr>
                <w:szCs w:val="22"/>
              </w:rPr>
            </w:pPr>
            <w:r w:rsidRPr="004D42ED">
              <w:rPr>
                <w:szCs w:val="22"/>
              </w:rPr>
              <w:t>368.0</w:t>
            </w:r>
          </w:p>
        </w:tc>
      </w:tr>
      <w:tr w:rsidR="00A00405" w:rsidRPr="004D42ED" w14:paraId="6097A9F0" w14:textId="77777777" w:rsidTr="00014CD1">
        <w:trPr>
          <w:trHeight w:val="300"/>
        </w:trPr>
        <w:tc>
          <w:tcPr>
            <w:tcW w:w="776" w:type="pct"/>
            <w:shd w:val="clear" w:color="auto" w:fill="auto"/>
            <w:vAlign w:val="bottom"/>
          </w:tcPr>
          <w:p w14:paraId="565F5F98" w14:textId="77777777" w:rsidR="00A00405" w:rsidRPr="004D42ED" w:rsidRDefault="00A00405" w:rsidP="00A00405">
            <w:pPr>
              <w:rPr>
                <w:b/>
                <w:szCs w:val="22"/>
              </w:rPr>
            </w:pPr>
            <w:r w:rsidRPr="004D42ED">
              <w:rPr>
                <w:b/>
                <w:szCs w:val="22"/>
              </w:rPr>
              <w:t>Global</w:t>
            </w:r>
          </w:p>
        </w:tc>
        <w:tc>
          <w:tcPr>
            <w:tcW w:w="625" w:type="pct"/>
            <w:shd w:val="clear" w:color="auto" w:fill="auto"/>
            <w:vAlign w:val="bottom"/>
          </w:tcPr>
          <w:p w14:paraId="23E32A0E" w14:textId="77777777" w:rsidR="00A00405" w:rsidRPr="004D42ED" w:rsidRDefault="00A00405" w:rsidP="00A00405">
            <w:pPr>
              <w:jc w:val="center"/>
              <w:rPr>
                <w:szCs w:val="22"/>
              </w:rPr>
            </w:pPr>
            <w:r w:rsidRPr="004D42ED">
              <w:rPr>
                <w:szCs w:val="22"/>
              </w:rPr>
              <w:t>2.8</w:t>
            </w:r>
          </w:p>
        </w:tc>
        <w:tc>
          <w:tcPr>
            <w:tcW w:w="968" w:type="pct"/>
            <w:shd w:val="clear" w:color="auto" w:fill="auto"/>
            <w:vAlign w:val="bottom"/>
          </w:tcPr>
          <w:p w14:paraId="5CD11AC6" w14:textId="77777777" w:rsidR="00A00405" w:rsidRPr="004D42ED" w:rsidRDefault="00A00405" w:rsidP="00A00405">
            <w:pPr>
              <w:jc w:val="center"/>
              <w:rPr>
                <w:szCs w:val="22"/>
              </w:rPr>
            </w:pPr>
            <w:r w:rsidRPr="004D42ED">
              <w:rPr>
                <w:szCs w:val="22"/>
              </w:rPr>
              <w:t>1.7</w:t>
            </w:r>
          </w:p>
        </w:tc>
        <w:tc>
          <w:tcPr>
            <w:tcW w:w="638" w:type="pct"/>
            <w:shd w:val="clear" w:color="auto" w:fill="auto"/>
            <w:vAlign w:val="bottom"/>
          </w:tcPr>
          <w:p w14:paraId="5CFD06E7" w14:textId="77777777" w:rsidR="00A00405" w:rsidRPr="004D42ED" w:rsidRDefault="00A00405" w:rsidP="00A00405">
            <w:pPr>
              <w:jc w:val="center"/>
              <w:rPr>
                <w:szCs w:val="22"/>
              </w:rPr>
            </w:pPr>
            <w:r w:rsidRPr="004D42ED">
              <w:rPr>
                <w:color w:val="FF0000"/>
                <w:szCs w:val="22"/>
              </w:rPr>
              <w:t>(1.1)</w:t>
            </w:r>
          </w:p>
        </w:tc>
        <w:tc>
          <w:tcPr>
            <w:tcW w:w="758" w:type="pct"/>
            <w:shd w:val="clear" w:color="auto" w:fill="auto"/>
            <w:vAlign w:val="bottom"/>
          </w:tcPr>
          <w:p w14:paraId="71FEB81D" w14:textId="77777777" w:rsidR="00A00405" w:rsidRPr="004D42ED" w:rsidRDefault="00A00405" w:rsidP="00A00405">
            <w:pPr>
              <w:jc w:val="center"/>
              <w:rPr>
                <w:szCs w:val="22"/>
              </w:rPr>
            </w:pPr>
            <w:r w:rsidRPr="004D42ED">
              <w:rPr>
                <w:szCs w:val="22"/>
              </w:rPr>
              <w:t>20114.4</w:t>
            </w:r>
          </w:p>
        </w:tc>
        <w:tc>
          <w:tcPr>
            <w:tcW w:w="693" w:type="pct"/>
            <w:shd w:val="clear" w:color="auto" w:fill="auto"/>
            <w:vAlign w:val="bottom"/>
          </w:tcPr>
          <w:p w14:paraId="53EA1576" w14:textId="77777777" w:rsidR="00A00405" w:rsidRPr="004D42ED" w:rsidRDefault="00A00405" w:rsidP="00A00405">
            <w:pPr>
              <w:jc w:val="center"/>
              <w:rPr>
                <w:szCs w:val="22"/>
              </w:rPr>
            </w:pPr>
            <w:r w:rsidRPr="004D42ED">
              <w:rPr>
                <w:szCs w:val="22"/>
              </w:rPr>
              <w:t>12243.5</w:t>
            </w:r>
          </w:p>
        </w:tc>
        <w:tc>
          <w:tcPr>
            <w:tcW w:w="543" w:type="pct"/>
            <w:shd w:val="clear" w:color="auto" w:fill="auto"/>
            <w:vAlign w:val="bottom"/>
          </w:tcPr>
          <w:p w14:paraId="5646437B" w14:textId="77777777" w:rsidR="00A00405" w:rsidRPr="004D42ED" w:rsidRDefault="00A00405" w:rsidP="00A00405">
            <w:pPr>
              <w:jc w:val="center"/>
              <w:rPr>
                <w:szCs w:val="22"/>
              </w:rPr>
            </w:pPr>
            <w:r w:rsidRPr="004D42ED">
              <w:rPr>
                <w:color w:val="FF0000"/>
                <w:szCs w:val="22"/>
              </w:rPr>
              <w:t>(7,870.9)</w:t>
            </w:r>
          </w:p>
        </w:tc>
      </w:tr>
      <w:tr w:rsidR="00A00405" w:rsidRPr="004D42ED" w14:paraId="2C78CF30" w14:textId="77777777" w:rsidTr="00014CD1">
        <w:trPr>
          <w:trHeight w:val="300"/>
        </w:trPr>
        <w:tc>
          <w:tcPr>
            <w:tcW w:w="776" w:type="pct"/>
            <w:shd w:val="clear" w:color="auto" w:fill="auto"/>
            <w:vAlign w:val="bottom"/>
          </w:tcPr>
          <w:p w14:paraId="355F3760" w14:textId="77777777" w:rsidR="00A00405" w:rsidRPr="004D42ED" w:rsidRDefault="00A00405" w:rsidP="00A00405">
            <w:pPr>
              <w:ind w:left="342" w:hanging="342"/>
              <w:rPr>
                <w:b/>
                <w:szCs w:val="22"/>
              </w:rPr>
            </w:pPr>
            <w:r w:rsidRPr="004D42ED">
              <w:rPr>
                <w:b/>
                <w:szCs w:val="22"/>
              </w:rPr>
              <w:t xml:space="preserve">Americas as </w:t>
            </w:r>
          </w:p>
          <w:p w14:paraId="20DC39E4" w14:textId="0DC4DA94" w:rsidR="00A00405" w:rsidRPr="004D42ED" w:rsidRDefault="00A00405" w:rsidP="00A00405">
            <w:pPr>
              <w:rPr>
                <w:b/>
                <w:szCs w:val="22"/>
              </w:rPr>
            </w:pPr>
            <w:r w:rsidRPr="004D42ED">
              <w:rPr>
                <w:b/>
                <w:szCs w:val="22"/>
              </w:rPr>
              <w:t>% of Global</w:t>
            </w:r>
          </w:p>
        </w:tc>
        <w:tc>
          <w:tcPr>
            <w:tcW w:w="625" w:type="pct"/>
            <w:shd w:val="clear" w:color="auto" w:fill="auto"/>
            <w:vAlign w:val="bottom"/>
          </w:tcPr>
          <w:p w14:paraId="3BA59567" w14:textId="77777777" w:rsidR="00A00405" w:rsidRPr="004D42ED" w:rsidRDefault="00A00405" w:rsidP="00A00405">
            <w:pPr>
              <w:jc w:val="center"/>
              <w:rPr>
                <w:szCs w:val="22"/>
              </w:rPr>
            </w:pPr>
            <w:r w:rsidRPr="004D42ED">
              <w:rPr>
                <w:szCs w:val="22"/>
              </w:rPr>
              <w:t>169.0</w:t>
            </w:r>
          </w:p>
        </w:tc>
        <w:tc>
          <w:tcPr>
            <w:tcW w:w="968" w:type="pct"/>
            <w:shd w:val="clear" w:color="auto" w:fill="auto"/>
            <w:vAlign w:val="bottom"/>
          </w:tcPr>
          <w:p w14:paraId="5A616563" w14:textId="77777777" w:rsidR="00A00405" w:rsidRPr="004D42ED" w:rsidRDefault="00A00405" w:rsidP="00A00405">
            <w:pPr>
              <w:jc w:val="center"/>
              <w:rPr>
                <w:szCs w:val="22"/>
              </w:rPr>
            </w:pPr>
            <w:r w:rsidRPr="004D42ED">
              <w:rPr>
                <w:szCs w:val="22"/>
              </w:rPr>
              <w:t>299.4</w:t>
            </w:r>
          </w:p>
        </w:tc>
        <w:tc>
          <w:tcPr>
            <w:tcW w:w="638" w:type="pct"/>
            <w:shd w:val="clear" w:color="auto" w:fill="auto"/>
            <w:vAlign w:val="bottom"/>
          </w:tcPr>
          <w:p w14:paraId="657B600D" w14:textId="77777777" w:rsidR="00A00405" w:rsidRPr="004D42ED" w:rsidRDefault="00A00405" w:rsidP="00A00405">
            <w:pPr>
              <w:jc w:val="center"/>
              <w:rPr>
                <w:szCs w:val="22"/>
              </w:rPr>
            </w:pPr>
          </w:p>
        </w:tc>
        <w:tc>
          <w:tcPr>
            <w:tcW w:w="758" w:type="pct"/>
            <w:shd w:val="clear" w:color="auto" w:fill="auto"/>
            <w:vAlign w:val="bottom"/>
          </w:tcPr>
          <w:p w14:paraId="4920D1CD" w14:textId="77777777" w:rsidR="00A00405" w:rsidRPr="004D42ED" w:rsidRDefault="00A00405" w:rsidP="00A00405">
            <w:pPr>
              <w:jc w:val="center"/>
              <w:rPr>
                <w:szCs w:val="22"/>
              </w:rPr>
            </w:pPr>
            <w:r w:rsidRPr="004D42ED">
              <w:rPr>
                <w:szCs w:val="22"/>
              </w:rPr>
              <w:t>22.8</w:t>
            </w:r>
          </w:p>
        </w:tc>
        <w:tc>
          <w:tcPr>
            <w:tcW w:w="693" w:type="pct"/>
            <w:shd w:val="clear" w:color="auto" w:fill="auto"/>
            <w:vAlign w:val="bottom"/>
          </w:tcPr>
          <w:p w14:paraId="0B1D81B7" w14:textId="77777777" w:rsidR="00A00405" w:rsidRPr="004D42ED" w:rsidRDefault="00A00405" w:rsidP="00A00405">
            <w:pPr>
              <w:jc w:val="center"/>
              <w:rPr>
                <w:szCs w:val="22"/>
              </w:rPr>
            </w:pPr>
            <w:r w:rsidRPr="004D42ED">
              <w:rPr>
                <w:szCs w:val="22"/>
              </w:rPr>
              <w:t>40.5</w:t>
            </w:r>
          </w:p>
        </w:tc>
        <w:tc>
          <w:tcPr>
            <w:tcW w:w="543" w:type="pct"/>
            <w:shd w:val="clear" w:color="auto" w:fill="auto"/>
            <w:vAlign w:val="bottom"/>
          </w:tcPr>
          <w:p w14:paraId="0605ED9A" w14:textId="77777777" w:rsidR="00A00405" w:rsidRPr="004D42ED" w:rsidRDefault="00A00405" w:rsidP="00A00405">
            <w:pPr>
              <w:jc w:val="center"/>
              <w:rPr>
                <w:szCs w:val="22"/>
              </w:rPr>
            </w:pPr>
          </w:p>
        </w:tc>
      </w:tr>
      <w:tr w:rsidR="00A00405" w:rsidRPr="004D42ED" w14:paraId="77BD5AD1" w14:textId="77777777" w:rsidTr="00A00405">
        <w:trPr>
          <w:trHeight w:val="300"/>
        </w:trPr>
        <w:tc>
          <w:tcPr>
            <w:tcW w:w="5000" w:type="pct"/>
            <w:gridSpan w:val="7"/>
            <w:shd w:val="clear" w:color="auto" w:fill="auto"/>
            <w:vAlign w:val="bottom"/>
          </w:tcPr>
          <w:p w14:paraId="31B13EA7" w14:textId="77777777" w:rsidR="00A00405" w:rsidRPr="004D42ED" w:rsidRDefault="00A00405" w:rsidP="00A00405">
            <w:pPr>
              <w:rPr>
                <w:sz w:val="20"/>
                <w:szCs w:val="20"/>
              </w:rPr>
            </w:pPr>
            <w:r w:rsidRPr="004D42ED">
              <w:rPr>
                <w:sz w:val="20"/>
                <w:szCs w:val="20"/>
              </w:rPr>
              <w:t>Source: Global Footprint Network  (2016) and see also WWF (2016).</w:t>
            </w:r>
          </w:p>
        </w:tc>
      </w:tr>
    </w:tbl>
    <w:p w14:paraId="3651EF13" w14:textId="77777777" w:rsidR="00A00405" w:rsidRPr="008608AA" w:rsidRDefault="00A00405" w:rsidP="00A00405">
      <w:pPr>
        <w:widowControl w:val="0"/>
        <w:spacing w:line="276" w:lineRule="auto"/>
        <w:sectPr w:rsidR="00A00405" w:rsidRPr="008608AA" w:rsidSect="007E29D9">
          <w:pgSz w:w="11907" w:h="16839" w:code="9"/>
          <w:pgMar w:top="907" w:right="992" w:bottom="1418" w:left="1418" w:header="720" w:footer="720" w:gutter="0"/>
          <w:cols w:space="720"/>
          <w:docGrid w:linePitch="326"/>
        </w:sectPr>
      </w:pPr>
    </w:p>
    <w:p w14:paraId="3C86CAF0" w14:textId="77777777" w:rsidR="00014CD1" w:rsidRPr="008608AA" w:rsidRDefault="00014CD1" w:rsidP="00692612">
      <w:pPr>
        <w:spacing w:after="120"/>
      </w:pPr>
    </w:p>
    <w:p w14:paraId="37A0AC40" w14:textId="77777777" w:rsidR="00A00405" w:rsidRPr="008608AA" w:rsidRDefault="00A00405" w:rsidP="00014CD1">
      <w:pPr>
        <w:spacing w:after="120"/>
      </w:pPr>
      <w:r w:rsidRPr="008608AA">
        <w:t xml:space="preserve">Based on the world’s overall biocapacity to produce 1.7 global hectares per person in 2012, only four countries in the Americas are consuming (i.e. their ecological footprint) within these sustainability limits: Haiti, Dominican Republic, Honduras and Nicaragua. However, only the Dominican Republic is considered to have both a sustainable ecological footprint and a high HDI (Human Development Index). Indeed, the relationship between the consumption of natural resources and HDI is not uniform. For example, in the Caribbean, countries attain similar development outcomes (i.e. low variation in the x-axis for HDI), but have extremely different ecological footprints (i.e. high variation along the y-axis for global hectares consumed per capita). In contrast, in South America, countries attained very different development outcomes (i.e. high variation in the x-axis for HDI) with similar ecological footprints (i.e. low variation along the y-axis for global hectares consumed per capita) (Figure 2.36). </w:t>
      </w:r>
    </w:p>
    <w:p w14:paraId="02A18AF7" w14:textId="22166C57" w:rsidR="00A00405" w:rsidRPr="008608AA" w:rsidRDefault="00A00405" w:rsidP="00014CD1">
      <w:pPr>
        <w:spacing w:after="120"/>
      </w:pPr>
      <w:r w:rsidRPr="008608AA">
        <w:t>In conclusion, most countries in the Americas are exceeding their biocapacity, and the fact that local environments are increasingly teleconnected to other parts of the planet means that biocapacity in one region or subregion may be used by beneficiaries in another. However, these findings also indicate that the relationship between consumptive uses of nature and development is not linear (i.e. high ecological footprints within a subregion do not always lead to increases in HDI). Consequently, policy-makers have an opportunity to implement strategies that reconcile sustainable use and human development (see Chapter 6</w:t>
      </w:r>
      <w:r w:rsidR="00014CD1" w:rsidRPr="008608AA">
        <w:t xml:space="preserve">). </w:t>
      </w:r>
    </w:p>
    <w:p w14:paraId="1C677F5F" w14:textId="77777777" w:rsidR="0079399A" w:rsidRPr="008608AA" w:rsidRDefault="0079399A" w:rsidP="00014CD1">
      <w:pPr>
        <w:spacing w:after="120"/>
      </w:pPr>
    </w:p>
    <w:p w14:paraId="6FED607F" w14:textId="3EA7C440" w:rsidR="00014CD1" w:rsidRPr="008608AA" w:rsidRDefault="0079399A" w:rsidP="00014CD1">
      <w:pPr>
        <w:spacing w:after="120"/>
        <w:jc w:val="center"/>
      </w:pPr>
      <w:r w:rsidRPr="008608AA">
        <w:rPr>
          <w:noProof/>
          <w:lang w:val="en-GB" w:eastAsia="en-GB"/>
        </w:rPr>
        <w:drawing>
          <wp:inline distT="0" distB="0" distL="0" distR="0" wp14:anchorId="5FD71E2F" wp14:editId="105EB58C">
            <wp:extent cx="5934075" cy="4286250"/>
            <wp:effectExtent l="0" t="0" r="9525" b="0"/>
            <wp:docPr id="249" name="Imagen 249" descr="C:\Users\Alejandro Valderrama\Downloads\AM_Figure 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 descr="C:\Users\Alejandro Valderrama\Downloads\AM_Figure 2.36.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b="49889"/>
                    <a:stretch/>
                  </pic:blipFill>
                  <pic:spPr bwMode="auto">
                    <a:xfrm>
                      <a:off x="0" y="0"/>
                      <a:ext cx="5934075" cy="4286250"/>
                    </a:xfrm>
                    <a:prstGeom prst="rect">
                      <a:avLst/>
                    </a:prstGeom>
                    <a:noFill/>
                    <a:ln>
                      <a:noFill/>
                    </a:ln>
                    <a:extLst>
                      <a:ext uri="{53640926-AAD7-44D8-BBD7-CCE9431645EC}">
                        <a14:shadowObscured xmlns:a14="http://schemas.microsoft.com/office/drawing/2010/main"/>
                      </a:ext>
                    </a:extLst>
                  </pic:spPr>
                </pic:pic>
              </a:graphicData>
            </a:graphic>
          </wp:inline>
        </w:drawing>
      </w:r>
    </w:p>
    <w:p w14:paraId="51470A50" w14:textId="77777777" w:rsidR="00014CD1" w:rsidRPr="008608AA" w:rsidRDefault="00014CD1" w:rsidP="008B3BCD"/>
    <w:p w14:paraId="2CE89D91" w14:textId="77777777" w:rsidR="00A00405" w:rsidRPr="008608AA" w:rsidRDefault="00A00405" w:rsidP="00014CD1">
      <w:pPr>
        <w:pStyle w:val="Heading2"/>
      </w:pPr>
      <w:bookmarkStart w:id="734" w:name="_Toc517393278"/>
      <w:bookmarkStart w:id="735" w:name="_Toc517719019"/>
      <w:bookmarkStart w:id="736" w:name="_Toc517796976"/>
      <w:r w:rsidRPr="008608AA">
        <w:t>Prioritizations and Trade-offs of Nature’s Contributions to People</w:t>
      </w:r>
      <w:bookmarkEnd w:id="734"/>
      <w:bookmarkEnd w:id="735"/>
      <w:bookmarkEnd w:id="736"/>
    </w:p>
    <w:p w14:paraId="72F19430" w14:textId="1EEE203F" w:rsidR="00A00405" w:rsidRPr="008608AA" w:rsidRDefault="00A00405" w:rsidP="00014CD1">
      <w:r w:rsidRPr="008608AA">
        <w:t xml:space="preserve">Policy-making regarding nature and its contributions to people requires approaches that allow decision-makers to maximize their time, resources and effectiveness. Two such tools are prioritization and trade-off analyses. We lay out two specific aspects to consider: i) prioritization by experts regarding specific NCP required to meet development targets and ii) trade-offs that take into account value and stakeholder plurality. </w:t>
      </w:r>
    </w:p>
    <w:p w14:paraId="38CED9BB" w14:textId="77777777" w:rsidR="00A00405" w:rsidRPr="008608AA" w:rsidRDefault="00A00405" w:rsidP="00014CD1"/>
    <w:p w14:paraId="7283A689" w14:textId="22CAAA16" w:rsidR="00A00405" w:rsidRPr="008608AA" w:rsidRDefault="00A00405" w:rsidP="00014CD1">
      <w:pPr>
        <w:spacing w:after="120"/>
      </w:pPr>
      <w:r w:rsidRPr="008608AA">
        <w:t>To determine the relative importance of specific NCP for attaining the SDG, the Americas Regional Assessment conducted a Delphi evaluation-consensus process among its network of experts. The purpose of this exercise was to provide guidance regarding the most important NCP that a decision-maker would need to incorporate into policies to attain these SDGs. All experts involved in the Assessment (Chairs, Coordinating Lead Authors, Lead Authors and Fellows) were invited to participate in this evaluation, which consisted of an expert assessment of the “top three” NCP for each SDG. As per the Delphi methodology (see Landeta, 2006), this process consisted of four steps: 1) An initial survey was conducted based on each individual’s determination between 0 and 3 NCP a policy-maker would need to prior</w:t>
      </w:r>
      <w:r w:rsidR="0088306D" w:rsidRPr="008608AA">
        <w:t>itize most to achieve each SDG;</w:t>
      </w:r>
      <w:r w:rsidRPr="008608AA">
        <w:t xml:space="preserve"> 2) Survey coordinators then synthesized the results </w:t>
      </w:r>
      <w:r w:rsidR="0088306D" w:rsidRPr="008608AA">
        <w:t>into summary tables and figures;</w:t>
      </w:r>
      <w:r w:rsidRPr="008608AA">
        <w:t xml:space="preserve"> 3) This synthesis information then was provided only to those experts who responded to the survey in step 1, and they were asked to compare the group’s collective knowledge to their individual responses. Upon reflection, each respondent was offered the opportunity to a) modify their NCP/SDG evaluation in a second survey or b) keep their re</w:t>
      </w:r>
      <w:r w:rsidR="0088306D" w:rsidRPr="008608AA">
        <w:t>sponses as originally submitted;</w:t>
      </w:r>
      <w:r w:rsidRPr="008608AA">
        <w:t xml:space="preserve"> 4) Finally, the product of the entire process was developed from the final answers based on step 3 responses. This iterative process, inherent to the Delphi methodology, is meant to facilitate group learning and to achieve a greater level of consensus and precision in the establishment of this prioritization. </w:t>
      </w:r>
    </w:p>
    <w:p w14:paraId="3F98BA2C" w14:textId="77777777" w:rsidR="00A00405" w:rsidRPr="008608AA" w:rsidRDefault="00A00405" w:rsidP="00014CD1">
      <w:pPr>
        <w:spacing w:after="120"/>
      </w:pPr>
      <w:r w:rsidRPr="008608AA">
        <w:t>Results are presented as the percentage of respondents who identified each NCP as a “top 3” for a given SDG. These values were color-coded to indicate the level of consensus among respondents, with darker red indicating a greater level of agreement between experts (Figure 2.37, see also Figure 10 of the Summary for Policy Makers (SPM)). In addition, we calculated the importance value (IV, maximum = 2) of each NCP, considering its “relative abundance” among all responses identified as a priority for any of the SDGs (n</w:t>
      </w:r>
      <w:r w:rsidRPr="008608AA">
        <w:rPr>
          <w:vertAlign w:val="subscript"/>
        </w:rPr>
        <w:t xml:space="preserve">i </w:t>
      </w:r>
      <w:r w:rsidRPr="008608AA">
        <w:t>/ n</w:t>
      </w:r>
      <w:r w:rsidRPr="008608AA">
        <w:rPr>
          <w:vertAlign w:val="subscript"/>
        </w:rPr>
        <w:t xml:space="preserve">total, </w:t>
      </w:r>
      <w:r w:rsidRPr="008608AA">
        <w:t>where n</w:t>
      </w:r>
      <w:r w:rsidRPr="008608AA">
        <w:rPr>
          <w:vertAlign w:val="subscript"/>
        </w:rPr>
        <w:t>i</w:t>
      </w:r>
      <w:r w:rsidRPr="008608AA">
        <w:t xml:space="preserve"> is the number of times a specific NCP was identified as priority across all 17 SDGs and n</w:t>
      </w:r>
      <w:r w:rsidRPr="008608AA">
        <w:rPr>
          <w:vertAlign w:val="subscript"/>
        </w:rPr>
        <w:t>total</w:t>
      </w:r>
      <w:r w:rsidRPr="008608AA">
        <w:t xml:space="preserve"> = 31 responses x 17 SDGs = 547) and “relative frequency” (f</w:t>
      </w:r>
      <w:r w:rsidRPr="008608AA">
        <w:rPr>
          <w:vertAlign w:val="subscript"/>
        </w:rPr>
        <w:t xml:space="preserve">i </w:t>
      </w:r>
      <w:r w:rsidRPr="008608AA">
        <w:t>/ f</w:t>
      </w:r>
      <w:r w:rsidRPr="008608AA">
        <w:rPr>
          <w:vertAlign w:val="subscript"/>
        </w:rPr>
        <w:t>total</w:t>
      </w:r>
      <w:r w:rsidRPr="008608AA">
        <w:t>, where f</w:t>
      </w:r>
      <w:r w:rsidRPr="008608AA">
        <w:rPr>
          <w:vertAlign w:val="subscript"/>
        </w:rPr>
        <w:t>i</w:t>
      </w:r>
      <w:r w:rsidRPr="008608AA">
        <w:t xml:space="preserve"> is the number of SDGs that included a specific NCP as priority, and f</w:t>
      </w:r>
      <w:r w:rsidRPr="008608AA">
        <w:rPr>
          <w:vertAlign w:val="subscript"/>
        </w:rPr>
        <w:t>total</w:t>
      </w:r>
      <w:r w:rsidRPr="008608AA">
        <w:t xml:space="preserve"> is all 17 SDGs). </w:t>
      </w:r>
    </w:p>
    <w:p w14:paraId="612B131B" w14:textId="5928EC3C" w:rsidR="00A00405" w:rsidRPr="008608AA" w:rsidRDefault="00A00405" w:rsidP="00014CD1">
      <w:pPr>
        <w:spacing w:after="120"/>
      </w:pPr>
      <w:r w:rsidRPr="008608AA">
        <w:t>We found that some NCP/SDG relationships are intuitive and have a clear consensus among respondents. For example, Food and Feed is ess</w:t>
      </w:r>
      <w:r w:rsidR="0088306D" w:rsidRPr="008608AA">
        <w:t>ential to overcoming SDG1 (End poverty) and SDG2 (Zero h</w:t>
      </w:r>
      <w:r w:rsidRPr="008608AA">
        <w:t>unger). The two NCP related to water regulation also are cle</w:t>
      </w:r>
      <w:r w:rsidR="0088306D" w:rsidRPr="008608AA">
        <w:t>arly necessary for SDG6 (Clean water and s</w:t>
      </w:r>
      <w:r w:rsidRPr="008608AA">
        <w:t xml:space="preserve">antiation). Other SDGs, though, lack a clear relationship with priority NCP. For example, SDGs 8, 9, 10 and 11 fall into this category, and overall we can say that their relationship with nature is either less direct or more multi-faceted, given their focus on such aspects of development as promoting sustained and inclusive development based on resilient infrastructure. </w:t>
      </w:r>
    </w:p>
    <w:p w14:paraId="4C88ECF1" w14:textId="04F10666" w:rsidR="00A00405" w:rsidRPr="008608AA" w:rsidRDefault="00A00405" w:rsidP="00014CD1">
      <w:pPr>
        <w:spacing w:after="120"/>
      </w:pPr>
      <w:r w:rsidRPr="008608AA">
        <w:t xml:space="preserve">If we consider the categories of material, non-material and regulating NCP, material NCP are related to SDGs 1, 2, 3, 7 and 12, which can be explained by their importance to food security, energy security and health, as well as reducing the ecological footprint by changing patterns of production and consumption. Non-material NCP were related to SDGs 4, 5, 16 and 17, given their importance for subjective aspects of development, including education and gender equity, but also because they take into account intangible values related to global policies and cooperation to achieve sustainability. Finally, the regulating NCP are specific to climate, water and soil and are related to SDGs 6, 13, 14 and 15; these show some most consistent declines across the units of analysis (Figure SPM 10). </w:t>
      </w:r>
    </w:p>
    <w:p w14:paraId="3BF6B63D" w14:textId="4F60D6EF" w:rsidR="00A00405" w:rsidRPr="008608AA" w:rsidRDefault="00E4616E" w:rsidP="00014CD1">
      <w:pPr>
        <w:spacing w:after="120"/>
        <w:jc w:val="center"/>
      </w:pPr>
      <w:r w:rsidRPr="008608AA">
        <w:rPr>
          <w:noProof/>
          <w:lang w:val="en-GB" w:eastAsia="en-GB"/>
        </w:rPr>
        <w:drawing>
          <wp:inline distT="0" distB="0" distL="0" distR="0" wp14:anchorId="350FFE31" wp14:editId="36049BB4">
            <wp:extent cx="5934075" cy="6810375"/>
            <wp:effectExtent l="0" t="0" r="9525" b="9525"/>
            <wp:docPr id="246" name="Imagen 246" descr="C:\Users\Alejandro Valderrama\Downloads\Fig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3" descr="C:\Users\Alejandro Valderrama\Downloads\Fig2.37.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b="20378"/>
                    <a:stretch/>
                  </pic:blipFill>
                  <pic:spPr bwMode="auto">
                    <a:xfrm>
                      <a:off x="0" y="0"/>
                      <a:ext cx="5934075" cy="6810375"/>
                    </a:xfrm>
                    <a:prstGeom prst="rect">
                      <a:avLst/>
                    </a:prstGeom>
                    <a:noFill/>
                    <a:ln>
                      <a:noFill/>
                    </a:ln>
                    <a:extLst>
                      <a:ext uri="{53640926-AAD7-44D8-BBD7-CCE9431645EC}">
                        <a14:shadowObscured xmlns:a14="http://schemas.microsoft.com/office/drawing/2010/main"/>
                      </a:ext>
                    </a:extLst>
                  </pic:spPr>
                </pic:pic>
              </a:graphicData>
            </a:graphic>
          </wp:inline>
        </w:drawing>
      </w:r>
    </w:p>
    <w:p w14:paraId="2115DF54" w14:textId="13AA05C0" w:rsidR="00A00405" w:rsidRPr="008608AA" w:rsidRDefault="00A00405" w:rsidP="00014CD1">
      <w:pPr>
        <w:spacing w:before="240"/>
      </w:pPr>
      <w:r w:rsidRPr="008608AA">
        <w:t xml:space="preserve">The importance value, which integrates both the number of times a NCP was prioritized by experts and the frequency of SDGs for which it was prioritized, demonstrates that material, non-material and regulating NCP must be considered to achieve the SDGs. In the case of Maintenance of Options, which obtained the greatest importance value (Table 2.25), it is transversal to SDGs and is also a transversal to all three NCP categories. These IV scores do not, however, suggest the importance of a specific NCP to a given SDG. Rather they demonstrate the overall importance to the suite of SDGs. For example, Pollination and Seed Dispersal is ranked low overall, but are crucial to SDG2 (Zero </w:t>
      </w:r>
      <w:r w:rsidR="0088306D" w:rsidRPr="008608AA">
        <w:t>h</w:t>
      </w:r>
      <w:r w:rsidRPr="008608AA">
        <w:t>unger) (see Table 2.25).</w:t>
      </w:r>
      <w:r w:rsidRPr="008608AA">
        <w:br w:type="page"/>
      </w:r>
    </w:p>
    <w:p w14:paraId="1B6DB55C" w14:textId="4C5F1AEF" w:rsidR="00014CD1" w:rsidRPr="008608AA" w:rsidRDefault="00870677" w:rsidP="00870677">
      <w:pPr>
        <w:pStyle w:val="Caption"/>
        <w:keepNext/>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2</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25</w:t>
      </w:r>
      <w:r w:rsidR="000E562E">
        <w:rPr>
          <w:noProof/>
        </w:rPr>
        <w:fldChar w:fldCharType="end"/>
      </w:r>
      <w:r w:rsidR="00014CD1" w:rsidRPr="008608AA">
        <w:t>. Importance values (IV) were calculated for each of nature’s contributions to people regarding its role in the achievement of all Sustainable Development Goals. Maximum IV =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7239"/>
        <w:gridCol w:w="1362"/>
        <w:gridCol w:w="886"/>
      </w:tblGrid>
      <w:tr w:rsidR="00A00405" w:rsidRPr="004D42ED" w14:paraId="356099F0" w14:textId="77777777" w:rsidTr="00360ADC">
        <w:trPr>
          <w:trHeight w:val="20"/>
        </w:trPr>
        <w:tc>
          <w:tcPr>
            <w:tcW w:w="5000" w:type="pct"/>
            <w:gridSpan w:val="3"/>
            <w:shd w:val="clear" w:color="auto" w:fill="auto"/>
          </w:tcPr>
          <w:p w14:paraId="5F254F50" w14:textId="61F55293" w:rsidR="00A00405" w:rsidRPr="004D42ED" w:rsidRDefault="00A00405" w:rsidP="00014CD1">
            <w:pPr>
              <w:rPr>
                <w:b/>
                <w:szCs w:val="22"/>
              </w:rPr>
            </w:pPr>
          </w:p>
        </w:tc>
      </w:tr>
      <w:tr w:rsidR="00A00405" w:rsidRPr="004D42ED" w14:paraId="6E74DE40" w14:textId="77777777" w:rsidTr="00360ADC">
        <w:trPr>
          <w:trHeight w:val="20"/>
        </w:trPr>
        <w:tc>
          <w:tcPr>
            <w:tcW w:w="3815" w:type="pct"/>
            <w:shd w:val="clear" w:color="auto" w:fill="auto"/>
          </w:tcPr>
          <w:p w14:paraId="55FE58EA" w14:textId="77777777" w:rsidR="00A00405" w:rsidRPr="004D42ED" w:rsidRDefault="00A00405" w:rsidP="00A00405">
            <w:pPr>
              <w:rPr>
                <w:b/>
                <w:szCs w:val="22"/>
              </w:rPr>
            </w:pPr>
            <w:r w:rsidRPr="004D42ED">
              <w:rPr>
                <w:b/>
                <w:szCs w:val="22"/>
              </w:rPr>
              <w:t>NCP</w:t>
            </w:r>
          </w:p>
        </w:tc>
        <w:tc>
          <w:tcPr>
            <w:tcW w:w="718" w:type="pct"/>
          </w:tcPr>
          <w:p w14:paraId="19A5E2D9" w14:textId="77777777" w:rsidR="00A00405" w:rsidRPr="004D42ED" w:rsidRDefault="00A00405" w:rsidP="00A00405">
            <w:pPr>
              <w:rPr>
                <w:b/>
                <w:szCs w:val="22"/>
              </w:rPr>
            </w:pPr>
            <w:r w:rsidRPr="004D42ED">
              <w:rPr>
                <w:b/>
                <w:szCs w:val="22"/>
              </w:rPr>
              <w:t>Category</w:t>
            </w:r>
          </w:p>
        </w:tc>
        <w:tc>
          <w:tcPr>
            <w:tcW w:w="467" w:type="pct"/>
            <w:shd w:val="clear" w:color="auto" w:fill="auto"/>
          </w:tcPr>
          <w:p w14:paraId="0BFC7082" w14:textId="77777777" w:rsidR="00A00405" w:rsidRPr="004D42ED" w:rsidRDefault="00A00405" w:rsidP="00A00405">
            <w:pPr>
              <w:rPr>
                <w:b/>
                <w:szCs w:val="22"/>
              </w:rPr>
            </w:pPr>
            <w:r w:rsidRPr="004D42ED">
              <w:rPr>
                <w:b/>
                <w:szCs w:val="22"/>
              </w:rPr>
              <w:t>IV</w:t>
            </w:r>
          </w:p>
        </w:tc>
      </w:tr>
      <w:tr w:rsidR="00A00405" w:rsidRPr="004D42ED" w14:paraId="3C137F96" w14:textId="77777777" w:rsidTr="00360ADC">
        <w:trPr>
          <w:trHeight w:val="20"/>
        </w:trPr>
        <w:tc>
          <w:tcPr>
            <w:tcW w:w="3815" w:type="pct"/>
            <w:shd w:val="clear" w:color="auto" w:fill="auto"/>
          </w:tcPr>
          <w:p w14:paraId="147F31D7" w14:textId="77777777" w:rsidR="00A00405" w:rsidRPr="004D42ED" w:rsidRDefault="00A00405" w:rsidP="00A00405">
            <w:pPr>
              <w:rPr>
                <w:szCs w:val="22"/>
              </w:rPr>
            </w:pPr>
            <w:r w:rsidRPr="004D42ED">
              <w:rPr>
                <w:szCs w:val="22"/>
              </w:rPr>
              <w:t>Maintenance of options</w:t>
            </w:r>
          </w:p>
        </w:tc>
        <w:tc>
          <w:tcPr>
            <w:tcW w:w="718" w:type="pct"/>
          </w:tcPr>
          <w:p w14:paraId="6EA7D0DB" w14:textId="77777777" w:rsidR="00A00405" w:rsidRPr="004D42ED" w:rsidRDefault="00A00405" w:rsidP="00A00405">
            <w:pPr>
              <w:rPr>
                <w:szCs w:val="22"/>
              </w:rPr>
            </w:pPr>
            <w:r w:rsidRPr="004D42ED">
              <w:rPr>
                <w:szCs w:val="22"/>
              </w:rPr>
              <w:t>---</w:t>
            </w:r>
          </w:p>
        </w:tc>
        <w:tc>
          <w:tcPr>
            <w:tcW w:w="467" w:type="pct"/>
            <w:shd w:val="clear" w:color="auto" w:fill="auto"/>
          </w:tcPr>
          <w:p w14:paraId="370453E6" w14:textId="77777777" w:rsidR="00A00405" w:rsidRPr="004D42ED" w:rsidRDefault="00A00405" w:rsidP="00A00405">
            <w:pPr>
              <w:rPr>
                <w:szCs w:val="22"/>
              </w:rPr>
            </w:pPr>
            <w:r w:rsidRPr="004D42ED">
              <w:rPr>
                <w:szCs w:val="22"/>
              </w:rPr>
              <w:t>1.24</w:t>
            </w:r>
          </w:p>
        </w:tc>
      </w:tr>
      <w:tr w:rsidR="00A00405" w:rsidRPr="004D42ED" w14:paraId="351AFF94" w14:textId="77777777" w:rsidTr="00360ADC">
        <w:trPr>
          <w:trHeight w:val="20"/>
        </w:trPr>
        <w:tc>
          <w:tcPr>
            <w:tcW w:w="3815" w:type="pct"/>
            <w:shd w:val="clear" w:color="auto" w:fill="auto"/>
          </w:tcPr>
          <w:p w14:paraId="53127FF2" w14:textId="77777777" w:rsidR="00A00405" w:rsidRPr="004D42ED" w:rsidRDefault="00A00405" w:rsidP="00A00405">
            <w:pPr>
              <w:rPr>
                <w:szCs w:val="22"/>
              </w:rPr>
            </w:pPr>
            <w:r w:rsidRPr="004D42ED">
              <w:rPr>
                <w:szCs w:val="22"/>
              </w:rPr>
              <w:t>Energy</w:t>
            </w:r>
          </w:p>
        </w:tc>
        <w:tc>
          <w:tcPr>
            <w:tcW w:w="718" w:type="pct"/>
          </w:tcPr>
          <w:p w14:paraId="07C35AAF" w14:textId="77777777" w:rsidR="00A00405" w:rsidRPr="004D42ED" w:rsidRDefault="00A00405" w:rsidP="00A00405">
            <w:pPr>
              <w:rPr>
                <w:szCs w:val="22"/>
              </w:rPr>
            </w:pPr>
            <w:r w:rsidRPr="004D42ED">
              <w:rPr>
                <w:szCs w:val="22"/>
              </w:rPr>
              <w:t>M</w:t>
            </w:r>
          </w:p>
        </w:tc>
        <w:tc>
          <w:tcPr>
            <w:tcW w:w="467" w:type="pct"/>
            <w:shd w:val="clear" w:color="auto" w:fill="auto"/>
          </w:tcPr>
          <w:p w14:paraId="6C7A9109" w14:textId="77777777" w:rsidR="00A00405" w:rsidRPr="004D42ED" w:rsidRDefault="00A00405" w:rsidP="00A00405">
            <w:pPr>
              <w:rPr>
                <w:szCs w:val="22"/>
              </w:rPr>
            </w:pPr>
            <w:r w:rsidRPr="004D42ED">
              <w:rPr>
                <w:szCs w:val="22"/>
              </w:rPr>
              <w:t>1.18</w:t>
            </w:r>
          </w:p>
        </w:tc>
      </w:tr>
      <w:tr w:rsidR="00A00405" w:rsidRPr="004D42ED" w14:paraId="601E30BD" w14:textId="77777777" w:rsidTr="00360ADC">
        <w:trPr>
          <w:trHeight w:val="20"/>
        </w:trPr>
        <w:tc>
          <w:tcPr>
            <w:tcW w:w="3815" w:type="pct"/>
            <w:shd w:val="clear" w:color="auto" w:fill="auto"/>
          </w:tcPr>
          <w:p w14:paraId="67CBAD9A" w14:textId="77777777" w:rsidR="00A00405" w:rsidRPr="004D42ED" w:rsidRDefault="00A00405" w:rsidP="00A00405">
            <w:pPr>
              <w:rPr>
                <w:szCs w:val="22"/>
              </w:rPr>
            </w:pPr>
            <w:r w:rsidRPr="004D42ED">
              <w:rPr>
                <w:szCs w:val="22"/>
              </w:rPr>
              <w:t>Learning and inspiration</w:t>
            </w:r>
          </w:p>
        </w:tc>
        <w:tc>
          <w:tcPr>
            <w:tcW w:w="718" w:type="pct"/>
          </w:tcPr>
          <w:p w14:paraId="0BCFC8D0" w14:textId="77777777" w:rsidR="00A00405" w:rsidRPr="004D42ED" w:rsidRDefault="00A00405" w:rsidP="00A00405">
            <w:pPr>
              <w:rPr>
                <w:szCs w:val="22"/>
              </w:rPr>
            </w:pPr>
            <w:r w:rsidRPr="004D42ED">
              <w:rPr>
                <w:szCs w:val="22"/>
              </w:rPr>
              <w:t>N</w:t>
            </w:r>
          </w:p>
        </w:tc>
        <w:tc>
          <w:tcPr>
            <w:tcW w:w="467" w:type="pct"/>
            <w:shd w:val="clear" w:color="auto" w:fill="auto"/>
          </w:tcPr>
          <w:p w14:paraId="3D577B33" w14:textId="77777777" w:rsidR="00A00405" w:rsidRPr="004D42ED" w:rsidRDefault="00A00405" w:rsidP="00A00405">
            <w:pPr>
              <w:rPr>
                <w:szCs w:val="22"/>
              </w:rPr>
            </w:pPr>
            <w:r w:rsidRPr="004D42ED">
              <w:rPr>
                <w:szCs w:val="22"/>
              </w:rPr>
              <w:t>1.16</w:t>
            </w:r>
          </w:p>
        </w:tc>
      </w:tr>
      <w:tr w:rsidR="00A00405" w:rsidRPr="004D42ED" w14:paraId="123E118D" w14:textId="77777777" w:rsidTr="00360ADC">
        <w:trPr>
          <w:trHeight w:val="20"/>
        </w:trPr>
        <w:tc>
          <w:tcPr>
            <w:tcW w:w="3815" w:type="pct"/>
            <w:shd w:val="clear" w:color="auto" w:fill="auto"/>
          </w:tcPr>
          <w:p w14:paraId="01409B01" w14:textId="77777777" w:rsidR="00A00405" w:rsidRPr="004D42ED" w:rsidRDefault="00A00405" w:rsidP="00A00405">
            <w:pPr>
              <w:rPr>
                <w:szCs w:val="22"/>
              </w:rPr>
            </w:pPr>
            <w:r w:rsidRPr="004D42ED">
              <w:rPr>
                <w:szCs w:val="22"/>
              </w:rPr>
              <w:t>Food and feed</w:t>
            </w:r>
          </w:p>
        </w:tc>
        <w:tc>
          <w:tcPr>
            <w:tcW w:w="718" w:type="pct"/>
          </w:tcPr>
          <w:p w14:paraId="26872EC3" w14:textId="77777777" w:rsidR="00A00405" w:rsidRPr="004D42ED" w:rsidRDefault="00A00405" w:rsidP="00A00405">
            <w:pPr>
              <w:rPr>
                <w:szCs w:val="22"/>
              </w:rPr>
            </w:pPr>
            <w:r w:rsidRPr="004D42ED">
              <w:rPr>
                <w:szCs w:val="22"/>
              </w:rPr>
              <w:t>M</w:t>
            </w:r>
          </w:p>
        </w:tc>
        <w:tc>
          <w:tcPr>
            <w:tcW w:w="467" w:type="pct"/>
            <w:shd w:val="clear" w:color="auto" w:fill="auto"/>
          </w:tcPr>
          <w:p w14:paraId="2B19A790" w14:textId="77777777" w:rsidR="00A00405" w:rsidRPr="004D42ED" w:rsidRDefault="00A00405" w:rsidP="00A00405">
            <w:pPr>
              <w:rPr>
                <w:szCs w:val="22"/>
              </w:rPr>
            </w:pPr>
            <w:r w:rsidRPr="004D42ED">
              <w:rPr>
                <w:szCs w:val="22"/>
              </w:rPr>
              <w:t>1.13</w:t>
            </w:r>
          </w:p>
        </w:tc>
      </w:tr>
      <w:tr w:rsidR="00A00405" w:rsidRPr="004D42ED" w14:paraId="40C19485" w14:textId="77777777" w:rsidTr="00360ADC">
        <w:trPr>
          <w:trHeight w:val="20"/>
        </w:trPr>
        <w:tc>
          <w:tcPr>
            <w:tcW w:w="3815" w:type="pct"/>
            <w:shd w:val="clear" w:color="auto" w:fill="auto"/>
          </w:tcPr>
          <w:p w14:paraId="7233FBF7" w14:textId="77777777" w:rsidR="00A00405" w:rsidRPr="004D42ED" w:rsidRDefault="00A00405" w:rsidP="00A00405">
            <w:pPr>
              <w:rPr>
                <w:szCs w:val="22"/>
              </w:rPr>
            </w:pPr>
            <w:r w:rsidRPr="004D42ED">
              <w:rPr>
                <w:szCs w:val="22"/>
              </w:rPr>
              <w:t>Materials and assistance</w:t>
            </w:r>
          </w:p>
        </w:tc>
        <w:tc>
          <w:tcPr>
            <w:tcW w:w="718" w:type="pct"/>
          </w:tcPr>
          <w:p w14:paraId="4F561B98" w14:textId="77777777" w:rsidR="00A00405" w:rsidRPr="004D42ED" w:rsidRDefault="00A00405" w:rsidP="00A00405">
            <w:pPr>
              <w:rPr>
                <w:szCs w:val="22"/>
              </w:rPr>
            </w:pPr>
            <w:r w:rsidRPr="004D42ED">
              <w:rPr>
                <w:szCs w:val="22"/>
              </w:rPr>
              <w:t>M</w:t>
            </w:r>
          </w:p>
        </w:tc>
        <w:tc>
          <w:tcPr>
            <w:tcW w:w="467" w:type="pct"/>
            <w:shd w:val="clear" w:color="auto" w:fill="auto"/>
          </w:tcPr>
          <w:p w14:paraId="356D64D2" w14:textId="77777777" w:rsidR="00A00405" w:rsidRPr="004D42ED" w:rsidRDefault="00A00405" w:rsidP="00A00405">
            <w:pPr>
              <w:rPr>
                <w:szCs w:val="22"/>
              </w:rPr>
            </w:pPr>
            <w:r w:rsidRPr="004D42ED">
              <w:rPr>
                <w:szCs w:val="22"/>
              </w:rPr>
              <w:t>1.06</w:t>
            </w:r>
          </w:p>
        </w:tc>
      </w:tr>
      <w:tr w:rsidR="00A00405" w:rsidRPr="004D42ED" w14:paraId="3F3E82EE" w14:textId="77777777" w:rsidTr="00360ADC">
        <w:trPr>
          <w:trHeight w:val="20"/>
        </w:trPr>
        <w:tc>
          <w:tcPr>
            <w:tcW w:w="3815" w:type="pct"/>
            <w:shd w:val="clear" w:color="auto" w:fill="auto"/>
          </w:tcPr>
          <w:p w14:paraId="5D6B900D" w14:textId="77777777" w:rsidR="00A00405" w:rsidRPr="004D42ED" w:rsidRDefault="00A00405" w:rsidP="00A00405">
            <w:pPr>
              <w:rPr>
                <w:szCs w:val="22"/>
              </w:rPr>
            </w:pPr>
            <w:r w:rsidRPr="004D42ED">
              <w:rPr>
                <w:szCs w:val="22"/>
              </w:rPr>
              <w:t>Climate regulation</w:t>
            </w:r>
          </w:p>
        </w:tc>
        <w:tc>
          <w:tcPr>
            <w:tcW w:w="718" w:type="pct"/>
          </w:tcPr>
          <w:p w14:paraId="0282257B" w14:textId="77777777" w:rsidR="00A00405" w:rsidRPr="004D42ED" w:rsidRDefault="00A00405" w:rsidP="00A00405">
            <w:pPr>
              <w:rPr>
                <w:szCs w:val="22"/>
              </w:rPr>
            </w:pPr>
            <w:r w:rsidRPr="004D42ED">
              <w:rPr>
                <w:szCs w:val="22"/>
              </w:rPr>
              <w:t>R</w:t>
            </w:r>
          </w:p>
        </w:tc>
        <w:tc>
          <w:tcPr>
            <w:tcW w:w="467" w:type="pct"/>
            <w:shd w:val="clear" w:color="auto" w:fill="auto"/>
          </w:tcPr>
          <w:p w14:paraId="55E4A298" w14:textId="77777777" w:rsidR="00A00405" w:rsidRPr="004D42ED" w:rsidRDefault="00A00405" w:rsidP="00A00405">
            <w:pPr>
              <w:rPr>
                <w:szCs w:val="22"/>
              </w:rPr>
            </w:pPr>
            <w:r w:rsidRPr="004D42ED">
              <w:rPr>
                <w:szCs w:val="22"/>
              </w:rPr>
              <w:t>1.00</w:t>
            </w:r>
          </w:p>
        </w:tc>
      </w:tr>
      <w:tr w:rsidR="00A00405" w:rsidRPr="004D42ED" w14:paraId="63B652F0" w14:textId="77777777" w:rsidTr="00360ADC">
        <w:trPr>
          <w:trHeight w:val="20"/>
        </w:trPr>
        <w:tc>
          <w:tcPr>
            <w:tcW w:w="3815" w:type="pct"/>
            <w:shd w:val="clear" w:color="auto" w:fill="auto"/>
          </w:tcPr>
          <w:p w14:paraId="5C31A98B" w14:textId="77777777" w:rsidR="00A00405" w:rsidRPr="004D42ED" w:rsidRDefault="00A00405" w:rsidP="00A00405">
            <w:pPr>
              <w:rPr>
                <w:szCs w:val="22"/>
              </w:rPr>
            </w:pPr>
            <w:r w:rsidRPr="004D42ED">
              <w:rPr>
                <w:szCs w:val="22"/>
              </w:rPr>
              <w:t>Regulation of freshwater quantity, flow and timing</w:t>
            </w:r>
          </w:p>
        </w:tc>
        <w:tc>
          <w:tcPr>
            <w:tcW w:w="718" w:type="pct"/>
          </w:tcPr>
          <w:p w14:paraId="78422577" w14:textId="77777777" w:rsidR="00A00405" w:rsidRPr="004D42ED" w:rsidRDefault="00A00405" w:rsidP="00A00405">
            <w:pPr>
              <w:rPr>
                <w:szCs w:val="22"/>
              </w:rPr>
            </w:pPr>
            <w:r w:rsidRPr="004D42ED">
              <w:rPr>
                <w:szCs w:val="22"/>
              </w:rPr>
              <w:t>R</w:t>
            </w:r>
          </w:p>
        </w:tc>
        <w:tc>
          <w:tcPr>
            <w:tcW w:w="467" w:type="pct"/>
            <w:shd w:val="clear" w:color="auto" w:fill="auto"/>
          </w:tcPr>
          <w:p w14:paraId="1CA43C9F" w14:textId="77777777" w:rsidR="00A00405" w:rsidRPr="004D42ED" w:rsidRDefault="00A00405" w:rsidP="00A00405">
            <w:pPr>
              <w:rPr>
                <w:szCs w:val="22"/>
              </w:rPr>
            </w:pPr>
            <w:r w:rsidRPr="004D42ED">
              <w:rPr>
                <w:szCs w:val="22"/>
              </w:rPr>
              <w:t>0.98</w:t>
            </w:r>
          </w:p>
        </w:tc>
      </w:tr>
      <w:tr w:rsidR="00A00405" w:rsidRPr="004D42ED" w14:paraId="07487107" w14:textId="77777777" w:rsidTr="00360ADC">
        <w:trPr>
          <w:trHeight w:val="20"/>
        </w:trPr>
        <w:tc>
          <w:tcPr>
            <w:tcW w:w="3815" w:type="pct"/>
            <w:shd w:val="clear" w:color="auto" w:fill="auto"/>
          </w:tcPr>
          <w:p w14:paraId="64989D59" w14:textId="77777777" w:rsidR="00A00405" w:rsidRPr="004D42ED" w:rsidRDefault="00A00405" w:rsidP="00A00405">
            <w:pPr>
              <w:rPr>
                <w:szCs w:val="22"/>
              </w:rPr>
            </w:pPr>
            <w:r w:rsidRPr="004D42ED">
              <w:rPr>
                <w:szCs w:val="22"/>
              </w:rPr>
              <w:t>Supporting identities</w:t>
            </w:r>
          </w:p>
        </w:tc>
        <w:tc>
          <w:tcPr>
            <w:tcW w:w="718" w:type="pct"/>
          </w:tcPr>
          <w:p w14:paraId="4DD94935" w14:textId="77777777" w:rsidR="00A00405" w:rsidRPr="004D42ED" w:rsidRDefault="00A00405" w:rsidP="00A00405">
            <w:pPr>
              <w:rPr>
                <w:szCs w:val="22"/>
              </w:rPr>
            </w:pPr>
            <w:r w:rsidRPr="004D42ED">
              <w:rPr>
                <w:szCs w:val="22"/>
              </w:rPr>
              <w:t>N</w:t>
            </w:r>
          </w:p>
        </w:tc>
        <w:tc>
          <w:tcPr>
            <w:tcW w:w="467" w:type="pct"/>
            <w:shd w:val="clear" w:color="auto" w:fill="auto"/>
          </w:tcPr>
          <w:p w14:paraId="23DA42FC" w14:textId="77777777" w:rsidR="00A00405" w:rsidRPr="004D42ED" w:rsidRDefault="00A00405" w:rsidP="00A00405">
            <w:pPr>
              <w:rPr>
                <w:szCs w:val="22"/>
              </w:rPr>
            </w:pPr>
            <w:r w:rsidRPr="004D42ED">
              <w:rPr>
                <w:szCs w:val="22"/>
              </w:rPr>
              <w:t>0.96</w:t>
            </w:r>
          </w:p>
        </w:tc>
      </w:tr>
      <w:tr w:rsidR="00A00405" w:rsidRPr="004D42ED" w14:paraId="6BB20A22" w14:textId="77777777" w:rsidTr="00360ADC">
        <w:trPr>
          <w:trHeight w:val="20"/>
        </w:trPr>
        <w:tc>
          <w:tcPr>
            <w:tcW w:w="3815" w:type="pct"/>
            <w:shd w:val="clear" w:color="auto" w:fill="auto"/>
          </w:tcPr>
          <w:p w14:paraId="0124C4DB" w14:textId="77777777" w:rsidR="00A00405" w:rsidRPr="004D42ED" w:rsidRDefault="00A00405" w:rsidP="00A00405">
            <w:pPr>
              <w:rPr>
                <w:szCs w:val="22"/>
              </w:rPr>
            </w:pPr>
            <w:r w:rsidRPr="004D42ED">
              <w:rPr>
                <w:szCs w:val="22"/>
              </w:rPr>
              <w:t>Regulation of hazards and extreme events</w:t>
            </w:r>
          </w:p>
        </w:tc>
        <w:tc>
          <w:tcPr>
            <w:tcW w:w="718" w:type="pct"/>
          </w:tcPr>
          <w:p w14:paraId="7AA0B895" w14:textId="77777777" w:rsidR="00A00405" w:rsidRPr="004D42ED" w:rsidRDefault="00A00405" w:rsidP="00A00405">
            <w:pPr>
              <w:rPr>
                <w:szCs w:val="22"/>
              </w:rPr>
            </w:pPr>
            <w:r w:rsidRPr="004D42ED">
              <w:rPr>
                <w:szCs w:val="22"/>
              </w:rPr>
              <w:t>R</w:t>
            </w:r>
          </w:p>
        </w:tc>
        <w:tc>
          <w:tcPr>
            <w:tcW w:w="467" w:type="pct"/>
            <w:shd w:val="clear" w:color="auto" w:fill="auto"/>
          </w:tcPr>
          <w:p w14:paraId="02D620B9" w14:textId="77777777" w:rsidR="00A00405" w:rsidRPr="004D42ED" w:rsidRDefault="00A00405" w:rsidP="00A00405">
            <w:pPr>
              <w:rPr>
                <w:szCs w:val="22"/>
              </w:rPr>
            </w:pPr>
            <w:r w:rsidRPr="004D42ED">
              <w:rPr>
                <w:szCs w:val="22"/>
              </w:rPr>
              <w:t>0.90</w:t>
            </w:r>
          </w:p>
        </w:tc>
      </w:tr>
      <w:tr w:rsidR="00A00405" w:rsidRPr="004D42ED" w14:paraId="5085DE59" w14:textId="77777777" w:rsidTr="00360ADC">
        <w:trPr>
          <w:trHeight w:val="20"/>
        </w:trPr>
        <w:tc>
          <w:tcPr>
            <w:tcW w:w="3815" w:type="pct"/>
            <w:shd w:val="clear" w:color="auto" w:fill="auto"/>
          </w:tcPr>
          <w:p w14:paraId="283BABA6" w14:textId="77777777" w:rsidR="00A00405" w:rsidRPr="004D42ED" w:rsidRDefault="00A00405" w:rsidP="00A00405">
            <w:pPr>
              <w:rPr>
                <w:szCs w:val="22"/>
              </w:rPr>
            </w:pPr>
            <w:r w:rsidRPr="004D42ED">
              <w:rPr>
                <w:szCs w:val="22"/>
              </w:rPr>
              <w:t>Habitat creation and maintenance</w:t>
            </w:r>
          </w:p>
        </w:tc>
        <w:tc>
          <w:tcPr>
            <w:tcW w:w="718" w:type="pct"/>
          </w:tcPr>
          <w:p w14:paraId="1434BC13" w14:textId="77777777" w:rsidR="00A00405" w:rsidRPr="004D42ED" w:rsidRDefault="00A00405" w:rsidP="00A00405">
            <w:pPr>
              <w:rPr>
                <w:szCs w:val="22"/>
              </w:rPr>
            </w:pPr>
            <w:r w:rsidRPr="004D42ED">
              <w:rPr>
                <w:szCs w:val="22"/>
              </w:rPr>
              <w:t>R</w:t>
            </w:r>
          </w:p>
        </w:tc>
        <w:tc>
          <w:tcPr>
            <w:tcW w:w="467" w:type="pct"/>
            <w:shd w:val="clear" w:color="auto" w:fill="auto"/>
          </w:tcPr>
          <w:p w14:paraId="461FE44B" w14:textId="77777777" w:rsidR="00A00405" w:rsidRPr="004D42ED" w:rsidRDefault="00A00405" w:rsidP="00A00405">
            <w:pPr>
              <w:rPr>
                <w:szCs w:val="22"/>
              </w:rPr>
            </w:pPr>
            <w:r w:rsidRPr="004D42ED">
              <w:rPr>
                <w:szCs w:val="22"/>
              </w:rPr>
              <w:t>0.89</w:t>
            </w:r>
          </w:p>
        </w:tc>
      </w:tr>
      <w:tr w:rsidR="00A00405" w:rsidRPr="004D42ED" w14:paraId="563010EE" w14:textId="77777777" w:rsidTr="00360ADC">
        <w:trPr>
          <w:trHeight w:val="20"/>
        </w:trPr>
        <w:tc>
          <w:tcPr>
            <w:tcW w:w="3815" w:type="pct"/>
            <w:shd w:val="clear" w:color="auto" w:fill="auto"/>
          </w:tcPr>
          <w:p w14:paraId="3AAFD2A6" w14:textId="77777777" w:rsidR="00A00405" w:rsidRPr="004D42ED" w:rsidRDefault="00A00405" w:rsidP="00A00405">
            <w:pPr>
              <w:rPr>
                <w:szCs w:val="22"/>
              </w:rPr>
            </w:pPr>
            <w:r w:rsidRPr="004D42ED">
              <w:rPr>
                <w:szCs w:val="22"/>
              </w:rPr>
              <w:t>Regulation of freshwater and coastal water quality</w:t>
            </w:r>
          </w:p>
        </w:tc>
        <w:tc>
          <w:tcPr>
            <w:tcW w:w="718" w:type="pct"/>
          </w:tcPr>
          <w:p w14:paraId="06310DBD" w14:textId="77777777" w:rsidR="00A00405" w:rsidRPr="004D42ED" w:rsidRDefault="00A00405" w:rsidP="00A00405">
            <w:pPr>
              <w:rPr>
                <w:szCs w:val="22"/>
              </w:rPr>
            </w:pPr>
            <w:r w:rsidRPr="004D42ED">
              <w:rPr>
                <w:szCs w:val="22"/>
              </w:rPr>
              <w:t>R</w:t>
            </w:r>
          </w:p>
        </w:tc>
        <w:tc>
          <w:tcPr>
            <w:tcW w:w="467" w:type="pct"/>
            <w:shd w:val="clear" w:color="auto" w:fill="auto"/>
          </w:tcPr>
          <w:p w14:paraId="22E8C090" w14:textId="77777777" w:rsidR="00A00405" w:rsidRPr="004D42ED" w:rsidRDefault="00A00405" w:rsidP="00A00405">
            <w:pPr>
              <w:rPr>
                <w:szCs w:val="22"/>
              </w:rPr>
            </w:pPr>
            <w:r w:rsidRPr="004D42ED">
              <w:rPr>
                <w:szCs w:val="22"/>
              </w:rPr>
              <w:t>0.78</w:t>
            </w:r>
          </w:p>
        </w:tc>
      </w:tr>
      <w:tr w:rsidR="00A00405" w:rsidRPr="004D42ED" w14:paraId="479393A1" w14:textId="77777777" w:rsidTr="00360ADC">
        <w:trPr>
          <w:trHeight w:val="20"/>
        </w:trPr>
        <w:tc>
          <w:tcPr>
            <w:tcW w:w="3815" w:type="pct"/>
            <w:shd w:val="clear" w:color="auto" w:fill="auto"/>
          </w:tcPr>
          <w:p w14:paraId="0D065248" w14:textId="77777777" w:rsidR="00A00405" w:rsidRPr="004D42ED" w:rsidRDefault="00A00405" w:rsidP="00A00405">
            <w:pPr>
              <w:rPr>
                <w:szCs w:val="22"/>
              </w:rPr>
            </w:pPr>
            <w:r w:rsidRPr="004D42ED">
              <w:rPr>
                <w:szCs w:val="22"/>
              </w:rPr>
              <w:t>Formation, protection, decontamination of soils &amp; sediments</w:t>
            </w:r>
          </w:p>
        </w:tc>
        <w:tc>
          <w:tcPr>
            <w:tcW w:w="718" w:type="pct"/>
          </w:tcPr>
          <w:p w14:paraId="468F4323" w14:textId="77777777" w:rsidR="00A00405" w:rsidRPr="004D42ED" w:rsidRDefault="00A00405" w:rsidP="00A00405">
            <w:pPr>
              <w:rPr>
                <w:szCs w:val="22"/>
              </w:rPr>
            </w:pPr>
            <w:r w:rsidRPr="004D42ED">
              <w:rPr>
                <w:szCs w:val="22"/>
              </w:rPr>
              <w:t>R</w:t>
            </w:r>
          </w:p>
        </w:tc>
        <w:tc>
          <w:tcPr>
            <w:tcW w:w="467" w:type="pct"/>
            <w:shd w:val="clear" w:color="auto" w:fill="auto"/>
          </w:tcPr>
          <w:p w14:paraId="010F6B4A" w14:textId="77777777" w:rsidR="00A00405" w:rsidRPr="004D42ED" w:rsidRDefault="00A00405" w:rsidP="00A00405">
            <w:pPr>
              <w:rPr>
                <w:szCs w:val="22"/>
              </w:rPr>
            </w:pPr>
            <w:r w:rsidRPr="004D42ED">
              <w:rPr>
                <w:szCs w:val="22"/>
              </w:rPr>
              <w:t>0.69</w:t>
            </w:r>
          </w:p>
        </w:tc>
      </w:tr>
      <w:tr w:rsidR="00A00405" w:rsidRPr="004D42ED" w14:paraId="5866E712" w14:textId="77777777" w:rsidTr="00360ADC">
        <w:trPr>
          <w:trHeight w:val="20"/>
        </w:trPr>
        <w:tc>
          <w:tcPr>
            <w:tcW w:w="3815" w:type="pct"/>
            <w:shd w:val="clear" w:color="auto" w:fill="auto"/>
          </w:tcPr>
          <w:p w14:paraId="0393659A" w14:textId="77777777" w:rsidR="00A00405" w:rsidRPr="004D42ED" w:rsidRDefault="00A00405" w:rsidP="00A00405">
            <w:pPr>
              <w:rPr>
                <w:szCs w:val="22"/>
              </w:rPr>
            </w:pPr>
            <w:r w:rsidRPr="004D42ED">
              <w:rPr>
                <w:szCs w:val="22"/>
              </w:rPr>
              <w:t>Medicinal, biochemical and genetic resources</w:t>
            </w:r>
          </w:p>
        </w:tc>
        <w:tc>
          <w:tcPr>
            <w:tcW w:w="718" w:type="pct"/>
          </w:tcPr>
          <w:p w14:paraId="48AD8948" w14:textId="77777777" w:rsidR="00A00405" w:rsidRPr="004D42ED" w:rsidRDefault="00A00405" w:rsidP="00A00405">
            <w:pPr>
              <w:rPr>
                <w:szCs w:val="22"/>
              </w:rPr>
            </w:pPr>
            <w:r w:rsidRPr="004D42ED">
              <w:rPr>
                <w:szCs w:val="22"/>
              </w:rPr>
              <w:t>M</w:t>
            </w:r>
          </w:p>
        </w:tc>
        <w:tc>
          <w:tcPr>
            <w:tcW w:w="467" w:type="pct"/>
            <w:shd w:val="clear" w:color="auto" w:fill="auto"/>
          </w:tcPr>
          <w:p w14:paraId="44785BCF" w14:textId="77777777" w:rsidR="00A00405" w:rsidRPr="004D42ED" w:rsidRDefault="00A00405" w:rsidP="00A00405">
            <w:pPr>
              <w:rPr>
                <w:szCs w:val="22"/>
              </w:rPr>
            </w:pPr>
            <w:r w:rsidRPr="004D42ED">
              <w:rPr>
                <w:szCs w:val="22"/>
              </w:rPr>
              <w:t>0.67</w:t>
            </w:r>
          </w:p>
        </w:tc>
      </w:tr>
      <w:tr w:rsidR="00A00405" w:rsidRPr="004D42ED" w14:paraId="03F46DA0" w14:textId="77777777" w:rsidTr="00360ADC">
        <w:trPr>
          <w:trHeight w:val="20"/>
        </w:trPr>
        <w:tc>
          <w:tcPr>
            <w:tcW w:w="3815" w:type="pct"/>
            <w:shd w:val="clear" w:color="auto" w:fill="auto"/>
          </w:tcPr>
          <w:p w14:paraId="7EBB7354" w14:textId="77777777" w:rsidR="00A00405" w:rsidRPr="004D42ED" w:rsidRDefault="00A00405" w:rsidP="00A00405">
            <w:pPr>
              <w:rPr>
                <w:szCs w:val="22"/>
              </w:rPr>
            </w:pPr>
            <w:r w:rsidRPr="004D42ED">
              <w:rPr>
                <w:szCs w:val="22"/>
              </w:rPr>
              <w:t>Regulation of ocean acidification</w:t>
            </w:r>
          </w:p>
        </w:tc>
        <w:tc>
          <w:tcPr>
            <w:tcW w:w="718" w:type="pct"/>
          </w:tcPr>
          <w:p w14:paraId="78445CE4" w14:textId="77777777" w:rsidR="00A00405" w:rsidRPr="004D42ED" w:rsidRDefault="00A00405" w:rsidP="00A00405">
            <w:pPr>
              <w:rPr>
                <w:szCs w:val="22"/>
              </w:rPr>
            </w:pPr>
            <w:r w:rsidRPr="004D42ED">
              <w:rPr>
                <w:szCs w:val="22"/>
              </w:rPr>
              <w:t>R</w:t>
            </w:r>
          </w:p>
        </w:tc>
        <w:tc>
          <w:tcPr>
            <w:tcW w:w="467" w:type="pct"/>
            <w:shd w:val="clear" w:color="auto" w:fill="auto"/>
          </w:tcPr>
          <w:p w14:paraId="71AC8EEF" w14:textId="77777777" w:rsidR="00A00405" w:rsidRPr="004D42ED" w:rsidRDefault="00A00405" w:rsidP="00A00405">
            <w:pPr>
              <w:rPr>
                <w:szCs w:val="22"/>
              </w:rPr>
            </w:pPr>
            <w:r w:rsidRPr="004D42ED">
              <w:rPr>
                <w:szCs w:val="22"/>
              </w:rPr>
              <w:t>0.60</w:t>
            </w:r>
          </w:p>
        </w:tc>
      </w:tr>
      <w:tr w:rsidR="00A00405" w:rsidRPr="004D42ED" w14:paraId="07469517" w14:textId="77777777" w:rsidTr="00360ADC">
        <w:trPr>
          <w:trHeight w:val="20"/>
        </w:trPr>
        <w:tc>
          <w:tcPr>
            <w:tcW w:w="3815" w:type="pct"/>
            <w:shd w:val="clear" w:color="auto" w:fill="auto"/>
          </w:tcPr>
          <w:p w14:paraId="531E3DE9" w14:textId="77777777" w:rsidR="00A00405" w:rsidRPr="004D42ED" w:rsidRDefault="00A00405" w:rsidP="00A00405">
            <w:pPr>
              <w:rPr>
                <w:szCs w:val="22"/>
              </w:rPr>
            </w:pPr>
            <w:r w:rsidRPr="004D42ED">
              <w:rPr>
                <w:szCs w:val="22"/>
              </w:rPr>
              <w:t>Physical and psychological experiences</w:t>
            </w:r>
          </w:p>
        </w:tc>
        <w:tc>
          <w:tcPr>
            <w:tcW w:w="718" w:type="pct"/>
          </w:tcPr>
          <w:p w14:paraId="4A39E29E" w14:textId="77777777" w:rsidR="00A00405" w:rsidRPr="004D42ED" w:rsidRDefault="00A00405" w:rsidP="00A00405">
            <w:pPr>
              <w:rPr>
                <w:szCs w:val="22"/>
              </w:rPr>
            </w:pPr>
            <w:r w:rsidRPr="004D42ED">
              <w:rPr>
                <w:szCs w:val="22"/>
              </w:rPr>
              <w:t>N</w:t>
            </w:r>
          </w:p>
        </w:tc>
        <w:tc>
          <w:tcPr>
            <w:tcW w:w="467" w:type="pct"/>
            <w:shd w:val="clear" w:color="auto" w:fill="auto"/>
          </w:tcPr>
          <w:p w14:paraId="29B7B279" w14:textId="77777777" w:rsidR="00A00405" w:rsidRPr="004D42ED" w:rsidRDefault="00A00405" w:rsidP="00A00405">
            <w:pPr>
              <w:rPr>
                <w:szCs w:val="22"/>
              </w:rPr>
            </w:pPr>
            <w:r w:rsidRPr="004D42ED">
              <w:rPr>
                <w:szCs w:val="22"/>
              </w:rPr>
              <w:t>0.57</w:t>
            </w:r>
          </w:p>
        </w:tc>
      </w:tr>
      <w:tr w:rsidR="00A00405" w:rsidRPr="004D42ED" w14:paraId="771B22F5" w14:textId="77777777" w:rsidTr="00360ADC">
        <w:trPr>
          <w:trHeight w:val="20"/>
        </w:trPr>
        <w:tc>
          <w:tcPr>
            <w:tcW w:w="3815" w:type="pct"/>
            <w:shd w:val="clear" w:color="auto" w:fill="auto"/>
          </w:tcPr>
          <w:p w14:paraId="39D2519F" w14:textId="77777777" w:rsidR="00A00405" w:rsidRPr="004D42ED" w:rsidRDefault="00A00405" w:rsidP="00A00405">
            <w:pPr>
              <w:rPr>
                <w:szCs w:val="22"/>
              </w:rPr>
            </w:pPr>
            <w:r w:rsidRPr="004D42ED">
              <w:rPr>
                <w:szCs w:val="22"/>
              </w:rPr>
              <w:t>Regulation of organisms detrimental to humans</w:t>
            </w:r>
          </w:p>
        </w:tc>
        <w:tc>
          <w:tcPr>
            <w:tcW w:w="718" w:type="pct"/>
          </w:tcPr>
          <w:p w14:paraId="5492186D" w14:textId="77777777" w:rsidR="00A00405" w:rsidRPr="004D42ED" w:rsidRDefault="00A00405" w:rsidP="00A00405">
            <w:pPr>
              <w:rPr>
                <w:szCs w:val="22"/>
              </w:rPr>
            </w:pPr>
            <w:r w:rsidRPr="004D42ED">
              <w:rPr>
                <w:szCs w:val="22"/>
              </w:rPr>
              <w:t>R</w:t>
            </w:r>
          </w:p>
        </w:tc>
        <w:tc>
          <w:tcPr>
            <w:tcW w:w="467" w:type="pct"/>
            <w:shd w:val="clear" w:color="auto" w:fill="auto"/>
          </w:tcPr>
          <w:p w14:paraId="03BFFB5F" w14:textId="77777777" w:rsidR="00A00405" w:rsidRPr="004D42ED" w:rsidRDefault="00A00405" w:rsidP="00A00405">
            <w:pPr>
              <w:rPr>
                <w:szCs w:val="22"/>
              </w:rPr>
            </w:pPr>
            <w:r w:rsidRPr="004D42ED">
              <w:rPr>
                <w:szCs w:val="22"/>
              </w:rPr>
              <w:t>0.45</w:t>
            </w:r>
          </w:p>
        </w:tc>
      </w:tr>
      <w:tr w:rsidR="00A00405" w:rsidRPr="004D42ED" w14:paraId="2AA366B3" w14:textId="77777777" w:rsidTr="00360ADC">
        <w:trPr>
          <w:trHeight w:val="20"/>
        </w:trPr>
        <w:tc>
          <w:tcPr>
            <w:tcW w:w="3815" w:type="pct"/>
            <w:shd w:val="clear" w:color="auto" w:fill="auto"/>
          </w:tcPr>
          <w:p w14:paraId="6718FABA" w14:textId="77777777" w:rsidR="00A00405" w:rsidRPr="004D42ED" w:rsidRDefault="00A00405" w:rsidP="00A00405">
            <w:pPr>
              <w:rPr>
                <w:szCs w:val="22"/>
              </w:rPr>
            </w:pPr>
            <w:r w:rsidRPr="004D42ED">
              <w:rPr>
                <w:szCs w:val="22"/>
              </w:rPr>
              <w:t>Regulation of air quality</w:t>
            </w:r>
          </w:p>
        </w:tc>
        <w:tc>
          <w:tcPr>
            <w:tcW w:w="718" w:type="pct"/>
          </w:tcPr>
          <w:p w14:paraId="445796CC" w14:textId="77777777" w:rsidR="00A00405" w:rsidRPr="004D42ED" w:rsidRDefault="00A00405" w:rsidP="00A00405">
            <w:pPr>
              <w:rPr>
                <w:szCs w:val="22"/>
              </w:rPr>
            </w:pPr>
            <w:r w:rsidRPr="004D42ED">
              <w:rPr>
                <w:szCs w:val="22"/>
              </w:rPr>
              <w:t>R</w:t>
            </w:r>
          </w:p>
        </w:tc>
        <w:tc>
          <w:tcPr>
            <w:tcW w:w="467" w:type="pct"/>
            <w:shd w:val="clear" w:color="auto" w:fill="auto"/>
          </w:tcPr>
          <w:p w14:paraId="6F40F928" w14:textId="77777777" w:rsidR="00A00405" w:rsidRPr="004D42ED" w:rsidRDefault="00A00405" w:rsidP="00A00405">
            <w:pPr>
              <w:rPr>
                <w:szCs w:val="22"/>
              </w:rPr>
            </w:pPr>
            <w:r w:rsidRPr="004D42ED">
              <w:rPr>
                <w:szCs w:val="22"/>
              </w:rPr>
              <w:t>0.32</w:t>
            </w:r>
          </w:p>
        </w:tc>
      </w:tr>
      <w:tr w:rsidR="00A00405" w:rsidRPr="004D42ED" w14:paraId="2AD05D2E" w14:textId="77777777" w:rsidTr="00360ADC">
        <w:trPr>
          <w:trHeight w:val="20"/>
        </w:trPr>
        <w:tc>
          <w:tcPr>
            <w:tcW w:w="3815" w:type="pct"/>
            <w:shd w:val="clear" w:color="auto" w:fill="auto"/>
          </w:tcPr>
          <w:p w14:paraId="59A79B8C" w14:textId="77777777" w:rsidR="00A00405" w:rsidRPr="004D42ED" w:rsidRDefault="00A00405" w:rsidP="00A00405">
            <w:pPr>
              <w:rPr>
                <w:szCs w:val="22"/>
              </w:rPr>
            </w:pPr>
            <w:r w:rsidRPr="004D42ED">
              <w:rPr>
                <w:szCs w:val="22"/>
              </w:rPr>
              <w:t>Pollination and dispersal of seeds and other propagules</w:t>
            </w:r>
          </w:p>
        </w:tc>
        <w:tc>
          <w:tcPr>
            <w:tcW w:w="718" w:type="pct"/>
          </w:tcPr>
          <w:p w14:paraId="0E071E62" w14:textId="77777777" w:rsidR="00A00405" w:rsidRPr="004D42ED" w:rsidRDefault="00A00405" w:rsidP="00A00405">
            <w:pPr>
              <w:rPr>
                <w:szCs w:val="22"/>
              </w:rPr>
            </w:pPr>
            <w:r w:rsidRPr="004D42ED">
              <w:rPr>
                <w:szCs w:val="22"/>
              </w:rPr>
              <w:t>R</w:t>
            </w:r>
          </w:p>
        </w:tc>
        <w:tc>
          <w:tcPr>
            <w:tcW w:w="467" w:type="pct"/>
            <w:shd w:val="clear" w:color="auto" w:fill="auto"/>
          </w:tcPr>
          <w:p w14:paraId="422544E2" w14:textId="77777777" w:rsidR="00A00405" w:rsidRPr="004D42ED" w:rsidRDefault="00A00405" w:rsidP="00A00405">
            <w:pPr>
              <w:rPr>
                <w:szCs w:val="22"/>
              </w:rPr>
            </w:pPr>
            <w:r w:rsidRPr="004D42ED">
              <w:rPr>
                <w:szCs w:val="22"/>
              </w:rPr>
              <w:t>0.30</w:t>
            </w:r>
          </w:p>
        </w:tc>
      </w:tr>
    </w:tbl>
    <w:p w14:paraId="169387B4" w14:textId="31691325" w:rsidR="00A00405" w:rsidRPr="008608AA" w:rsidRDefault="00A00405" w:rsidP="00014CD1">
      <w:pPr>
        <w:spacing w:before="240"/>
      </w:pPr>
      <w:r w:rsidRPr="008608AA">
        <w:t>Such trade-offs between NCP are inherent in decision-making. Indeed, trade-offs occur when an ecosystem loses or has reduced one or more NCP to increase or gain another NCP, for instance, through economic development or restoration of some previous more natural state (</w:t>
      </w:r>
      <w:r w:rsidR="00847F60" w:rsidRPr="008608AA">
        <w:t>e.g.</w:t>
      </w:r>
      <w:r w:rsidRPr="008608AA">
        <w:t xml:space="preserve"> Elmqvist et al., 2010). The analysis of these trade-offs examines not only the overall gain in human quality of life, but how those benefits are distributed; that is, who loses and who wins. A frequent objective of government trade-off analysis is to seek the mix of “co-benefits” that maximizes human well-being over both present and future generations (see example in Box 2.6).  </w:t>
      </w:r>
    </w:p>
    <w:p w14:paraId="34C9BDA3" w14:textId="77777777" w:rsidR="00A00405" w:rsidRPr="008608AA" w:rsidRDefault="00A00405" w:rsidP="00014CD1"/>
    <w:p w14:paraId="3A7CE75D" w14:textId="335E3AA6" w:rsidR="00A00405" w:rsidRPr="008608AA" w:rsidRDefault="00A00405" w:rsidP="00014CD1">
      <w:r w:rsidRPr="008608AA">
        <w:t>Trade-off analysis is an essential aspect of any decision to invest in the protection or restoration of NCP (Leader-Williams et al., 2010). Figure 2.38 (Foley et al., 2005) illustrates the types of trade-offs that may occur when natural landscapes are protected or converted to agricultural use, or when some of the ecosystem services of agricultural landscapes are restored. This agricultural example applies generally to any land or water development. For example, electing to maintain and protect natural landscapes foregoes the benefits of agricultural development but maintains a potentially wide variety of benefits from natural services (see Figure 2.38 left). On the other hand, electing to farm comes at the cost of these other NCP to obtain the benefits provided by intensive agriculture. However, the maximum human benefit may be produced when natural services are partially restored in farmed landscapes, while retaining sustainable crop production. Nonetheless, an adequate cost-benefit analysis of these trade-offs must take into account the fact that some benefits are valued in monetary units (</w:t>
      </w:r>
      <w:r w:rsidR="00847F60" w:rsidRPr="008608AA">
        <w:t>e.g.</w:t>
      </w:r>
      <w:r w:rsidRPr="008608AA">
        <w:t xml:space="preserve"> agricultural commodities) while other are often not acceptably measured in economic terms (</w:t>
      </w:r>
      <w:r w:rsidR="00847F60" w:rsidRPr="008608AA">
        <w:t>e.g.</w:t>
      </w:r>
      <w:r w:rsidRPr="008608AA">
        <w:t xml:space="preserve"> sustainable livelihoods, sense of place) (Fig. 2.37 right). Preserving biodiversity, also identified in Figure 2.38, denies destructive use and the monetary measurement of the non-use value that justifies the preservation is controversial and not accepted all stakeholders (NRC, 2005). Therefore, government agencies concerned with development policies that reconcile environmental and social outcomes are required to recognize the different units of measure for use and nonuse values and integrate this subjectivity into the benefits that are being traded off and analyzed. It has been clearly shown that in governance and decision making, inequities in the distribution of benefits among stakeholders must be considered in addition to the risks that management plans may fail (Hanley &amp; Spash, 1993; Boardman et al., 2011), which requires taking into account this value plurality in the trade-off assessment.</w:t>
      </w:r>
    </w:p>
    <w:p w14:paraId="2A411A6B" w14:textId="77777777" w:rsidR="00E95397" w:rsidRDefault="00E95397" w:rsidP="00014CD1">
      <w:pPr>
        <w:spacing w:after="120"/>
      </w:pPr>
    </w:p>
    <w:p w14:paraId="1B1E845B" w14:textId="4506A051" w:rsidR="00A00405" w:rsidRPr="008608AA" w:rsidRDefault="00A00405" w:rsidP="00014CD1">
      <w:pPr>
        <w:spacing w:after="120"/>
      </w:pPr>
      <w:r w:rsidRPr="008608AA">
        <w:t xml:space="preserve">Trade-off analysis may be relatively simple when the benefits from different services and the costs of protecting, developing, or restoring them can be measured in the same units of value, such as monetary currency (Boardman et al., 2011). For instance, tourism is a major resource for such mountain economies, and studies in many regions have shown that protection of watersheds provides greater economic value than resource extraction (The Mountain Institute, 1998; UNEP, 2008). In Figure 2.38, most ecosystem services are material or regulating NCP and have use value, which can, in general, be measured monetarily (NRC, 2005; Tietenberg &amp; Lewis, 2014; Harris &amp; Roach, 2014). Nevertheless, we may also need to address non-use values, such as trade-offs between use and protection to preserve options for future generations, between material and non-material NCP, or when the same NCP are valued through different values systems, or even when they are provided at different scales. An example of the latter is given by Raudsepp-Hearne et al. (2010), who observed in Quebec, Canada, that landscape-scale trade-offs between provisioning (material NCP) and almost all regulating and cultural (regulating and non-material NCP) ecosystem services, and they show that a greater diversity of ecosystem services is positively correlated with the provision of regulating ecosystem services. Trade-off analysis is also complicated by consideration of who benefits and who bears the costs, and by inexperience in communicating across different value systems and worldviews. </w:t>
      </w:r>
    </w:p>
    <w:p w14:paraId="7CC85552" w14:textId="77777777" w:rsidR="00A00405" w:rsidRPr="008608AA" w:rsidRDefault="00A00405" w:rsidP="00014CD1">
      <w:pPr>
        <w:spacing w:after="120"/>
      </w:pPr>
      <w:r w:rsidRPr="008608AA">
        <w:t>Below, we pose some of the questions that we tried to address in the prior sections (with different levels of success, in part due to knowledge gaps).</w:t>
      </w:r>
    </w:p>
    <w:p w14:paraId="2C7E28D2" w14:textId="77777777" w:rsidR="00A00405" w:rsidRPr="008608AA" w:rsidRDefault="00A00405" w:rsidP="00937445">
      <w:pPr>
        <w:pStyle w:val="ListParagraph"/>
        <w:numPr>
          <w:ilvl w:val="0"/>
          <w:numId w:val="32"/>
        </w:numPr>
        <w:spacing w:after="0"/>
      </w:pPr>
      <w:r w:rsidRPr="008608AA">
        <w:t xml:space="preserve">What are the trade-offs of expanding cropland and rangeland over natural ecosystems to feed animals or other nations? </w:t>
      </w:r>
    </w:p>
    <w:p w14:paraId="7EF0C7D8" w14:textId="77777777" w:rsidR="00A00405" w:rsidRPr="008608AA" w:rsidRDefault="00A00405" w:rsidP="00937445">
      <w:pPr>
        <w:pStyle w:val="ListParagraph"/>
        <w:numPr>
          <w:ilvl w:val="0"/>
          <w:numId w:val="32"/>
        </w:numPr>
        <w:spacing w:after="0"/>
      </w:pPr>
      <w:r w:rsidRPr="008608AA">
        <w:t xml:space="preserve">What are the trade-off between food security and energy security regarding biomass production? </w:t>
      </w:r>
    </w:p>
    <w:p w14:paraId="762F9536" w14:textId="77777777" w:rsidR="00A00405" w:rsidRPr="008608AA" w:rsidRDefault="00A00405" w:rsidP="00937445">
      <w:pPr>
        <w:pStyle w:val="ListParagraph"/>
        <w:numPr>
          <w:ilvl w:val="0"/>
          <w:numId w:val="32"/>
        </w:numPr>
        <w:spacing w:after="0"/>
      </w:pPr>
      <w:r w:rsidRPr="008608AA">
        <w:t xml:space="preserve">What are the trade-offs of building hydropower plants and dams (such as Belo Monte in Brazilian Amazon) over the land of indigenous groups with high risk of culture and language extinction, and the loss of aquatic and terrestrial biodiversity? </w:t>
      </w:r>
    </w:p>
    <w:p w14:paraId="1A7C409D" w14:textId="3B283086" w:rsidR="00A00405" w:rsidRPr="008608AA" w:rsidRDefault="00A00405" w:rsidP="00937445">
      <w:pPr>
        <w:pStyle w:val="ListParagraph"/>
        <w:numPr>
          <w:ilvl w:val="0"/>
          <w:numId w:val="32"/>
        </w:numPr>
        <w:spacing w:after="0"/>
      </w:pPr>
      <w:r w:rsidRPr="008608AA">
        <w:t>What are the trade-offs of mining over indigenous land or protected areas (</w:t>
      </w:r>
      <w:r w:rsidR="00847F60" w:rsidRPr="008608AA">
        <w:t>e.g.</w:t>
      </w:r>
      <w:r w:rsidRPr="008608AA">
        <w:t xml:space="preserve"> the development of oil sands extraction and pipelines built over First Nations and Métis settlements living in northern Alberta, Canada)? </w:t>
      </w:r>
    </w:p>
    <w:p w14:paraId="2BC79496" w14:textId="03064FA5" w:rsidR="00A00405" w:rsidRPr="008608AA" w:rsidRDefault="00A00405" w:rsidP="00937445">
      <w:pPr>
        <w:pStyle w:val="ListParagraph"/>
        <w:numPr>
          <w:ilvl w:val="0"/>
          <w:numId w:val="32"/>
        </w:numPr>
        <w:spacing w:after="0"/>
      </w:pPr>
      <w:r w:rsidRPr="008608AA">
        <w:t>What are the trade-offs of implementing no-take protected areas for conserving future options while creating “conservation refugees” and decimating cultures? No-take protected areas (International Union for Conservation of Nature, category I and II) are an important strategy to maintain options for the future, but may affect cultural continuity and livelihoods of displaced indigenous groups and local communities?</w:t>
      </w:r>
    </w:p>
    <w:p w14:paraId="229C1842" w14:textId="77777777" w:rsidR="00A00405" w:rsidRPr="008608AA" w:rsidRDefault="00A00405" w:rsidP="00937445">
      <w:pPr>
        <w:pStyle w:val="ListParagraph"/>
        <w:numPr>
          <w:ilvl w:val="0"/>
          <w:numId w:val="32"/>
        </w:numPr>
        <w:spacing w:after="0"/>
      </w:pPr>
      <w:r w:rsidRPr="008608AA">
        <w:t xml:space="preserve">What are the trade-off of GMO production, conventional agriculture and organic production? </w:t>
      </w:r>
    </w:p>
    <w:p w14:paraId="595B66AE" w14:textId="6968AA5E" w:rsidR="00A00405" w:rsidRPr="008608AA" w:rsidRDefault="00A00405" w:rsidP="00937445">
      <w:pPr>
        <w:pStyle w:val="ListParagraph"/>
        <w:numPr>
          <w:ilvl w:val="0"/>
          <w:numId w:val="32"/>
        </w:numPr>
        <w:spacing w:after="0"/>
      </w:pPr>
      <w:r w:rsidRPr="008608AA">
        <w:t xml:space="preserve">What are the trade-offs of fisheries closures for conservation purpose and increased aquaculture production (including all its environmental impacts) versus the devastation of thousands of local fisher livelihoods? </w:t>
      </w:r>
    </w:p>
    <w:p w14:paraId="227EFEB9" w14:textId="77777777" w:rsidR="00A00405" w:rsidRPr="008608AA" w:rsidRDefault="00A00405" w:rsidP="00937445">
      <w:pPr>
        <w:pStyle w:val="ListParagraph"/>
        <w:numPr>
          <w:ilvl w:val="0"/>
          <w:numId w:val="32"/>
        </w:numPr>
        <w:spacing w:after="0"/>
      </w:pPr>
      <w:r w:rsidRPr="008608AA">
        <w:t xml:space="preserve">What are the trade-offs of increased urbanization and economic growth versus health and livelihood security? </w:t>
      </w:r>
    </w:p>
    <w:p w14:paraId="7CFECD0E" w14:textId="77777777" w:rsidR="00A00405" w:rsidRPr="008608AA" w:rsidRDefault="00A00405" w:rsidP="00937445">
      <w:pPr>
        <w:pStyle w:val="ListParagraph"/>
        <w:numPr>
          <w:ilvl w:val="0"/>
          <w:numId w:val="32"/>
        </w:numPr>
        <w:spacing w:after="0"/>
      </w:pPr>
      <w:r w:rsidRPr="008608AA">
        <w:t>What are the trade-offs of water usage for agriculture production versus human needs, and the needs of resident species?</w:t>
      </w:r>
    </w:p>
    <w:p w14:paraId="560D87B9" w14:textId="7D43F136" w:rsidR="00A00405" w:rsidRPr="008608AA" w:rsidRDefault="00A00405" w:rsidP="00937445">
      <w:pPr>
        <w:pStyle w:val="ListParagraph"/>
        <w:numPr>
          <w:ilvl w:val="0"/>
          <w:numId w:val="32"/>
        </w:numPr>
        <w:spacing w:after="0"/>
      </w:pPr>
      <w:r w:rsidRPr="008608AA">
        <w:t>What are the trade-offs of conserving watersheds versus extracting its resources?</w:t>
      </w:r>
    </w:p>
    <w:p w14:paraId="601CA4F0" w14:textId="77777777" w:rsidR="00A00405" w:rsidRPr="008608AA" w:rsidRDefault="00A00405" w:rsidP="00937445">
      <w:pPr>
        <w:pStyle w:val="ListParagraph"/>
        <w:numPr>
          <w:ilvl w:val="0"/>
          <w:numId w:val="32"/>
        </w:numPr>
        <w:spacing w:after="0"/>
      </w:pPr>
      <w:r w:rsidRPr="008608AA">
        <w:t xml:space="preserve">What are the consequences of protecting or restoring landscapes for food, water, raw materials, energy, and cultural security? </w:t>
      </w:r>
    </w:p>
    <w:p w14:paraId="45F07822" w14:textId="3C245C93" w:rsidR="00A00405" w:rsidRPr="008608AA" w:rsidRDefault="00A00405" w:rsidP="00937445">
      <w:pPr>
        <w:pStyle w:val="ListParagraph"/>
        <w:numPr>
          <w:ilvl w:val="0"/>
          <w:numId w:val="32"/>
        </w:numPr>
        <w:spacing w:after="0"/>
      </w:pPr>
      <w:r w:rsidRPr="008608AA">
        <w:t xml:space="preserve">How much could the health, pleasure, and other aspects of well-being for future generations be compromised by a massive loss to extinction of options maintained by species? </w:t>
      </w:r>
    </w:p>
    <w:p w14:paraId="353D8E3D" w14:textId="77777777" w:rsidR="00A00405" w:rsidRPr="008608AA" w:rsidRDefault="00A00405" w:rsidP="00937445">
      <w:pPr>
        <w:pStyle w:val="ListParagraph"/>
        <w:numPr>
          <w:ilvl w:val="0"/>
          <w:numId w:val="32"/>
        </w:numPr>
        <w:spacing w:after="0"/>
      </w:pPr>
      <w:r w:rsidRPr="008608AA">
        <w:t xml:space="preserve">Is service restoration always an option, or are the risks and uncertainties often too great to rely on as a correction for what turns out to be a bad development decision?  </w:t>
      </w:r>
    </w:p>
    <w:p w14:paraId="1586847E" w14:textId="77777777" w:rsidR="00A00405" w:rsidRPr="008608AA" w:rsidRDefault="00A00405" w:rsidP="00937445">
      <w:pPr>
        <w:pStyle w:val="ListParagraph"/>
        <w:numPr>
          <w:ilvl w:val="0"/>
          <w:numId w:val="32"/>
        </w:numPr>
        <w:spacing w:after="0"/>
      </w:pPr>
      <w:r w:rsidRPr="008608AA">
        <w:t>How can the uncertainty associated with subjective comparisons of relative service value, as expressed in different units of measure, be improved?</w:t>
      </w:r>
    </w:p>
    <w:p w14:paraId="64959071" w14:textId="77777777" w:rsidR="00A00405" w:rsidRPr="008608AA" w:rsidRDefault="00A00405" w:rsidP="00A00405">
      <w:pPr>
        <w:pStyle w:val="ListParagraph"/>
      </w:pPr>
    </w:p>
    <w:p w14:paraId="36B945A1" w14:textId="5AE0961D" w:rsidR="00A00405" w:rsidRPr="008608AA" w:rsidRDefault="00A00405" w:rsidP="00014CD1">
      <w:pPr>
        <w:spacing w:after="120"/>
      </w:pPr>
      <w:r w:rsidRPr="008608AA">
        <w:t xml:space="preserve">These and many others are questions that decision–makers face when planning policies, strategies, actions. The consequences of trade-offs made during decision making may extend well into the future and require complex trend analysis for forecasting future needs across the full spectrum of benefits and costs. This chapter is intended to shed some light on these questions by showing how NCP affect quality of life in different biomes and subregions of the Americas. </w:t>
      </w:r>
    </w:p>
    <w:p w14:paraId="78951EFB" w14:textId="6F7C5F89" w:rsidR="00014CD1" w:rsidRPr="008608AA" w:rsidRDefault="0079399A" w:rsidP="00DF75EC">
      <w:r w:rsidRPr="008608AA">
        <w:rPr>
          <w:noProof/>
          <w:lang w:val="en-GB" w:eastAsia="en-GB"/>
        </w:rPr>
        <w:drawing>
          <wp:inline distT="0" distB="0" distL="0" distR="0" wp14:anchorId="51C126FF" wp14:editId="2CE8DBFC">
            <wp:extent cx="5934075" cy="7620000"/>
            <wp:effectExtent l="0" t="0" r="9525" b="0"/>
            <wp:docPr id="248" name="Imagen 248" descr="C:\Users\Alejandro Valderrama\Downloads\Fig2.38-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6" descr="C:\Users\Alejandro Valderrama\Downloads\Fig2.38-V2.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b="10913"/>
                    <a:stretch/>
                  </pic:blipFill>
                  <pic:spPr bwMode="auto">
                    <a:xfrm>
                      <a:off x="0" y="0"/>
                      <a:ext cx="5934075" cy="7620000"/>
                    </a:xfrm>
                    <a:prstGeom prst="rect">
                      <a:avLst/>
                    </a:prstGeom>
                    <a:noFill/>
                    <a:ln>
                      <a:noFill/>
                    </a:ln>
                    <a:extLst>
                      <a:ext uri="{53640926-AAD7-44D8-BBD7-CCE9431645EC}">
                        <a14:shadowObscured xmlns:a14="http://schemas.microsoft.com/office/drawing/2010/main"/>
                      </a:ext>
                    </a:extLst>
                  </pic:spPr>
                </pic:pic>
              </a:graphicData>
            </a:graphic>
          </wp:inline>
        </w:drawing>
      </w:r>
    </w:p>
    <w:p w14:paraId="74EBBD55" w14:textId="77777777" w:rsidR="00014CD1" w:rsidRPr="008608AA" w:rsidRDefault="00014CD1" w:rsidP="00014CD1">
      <w:pPr>
        <w:rPr>
          <w:lang w:val="en-GB" w:eastAsia="es-CO"/>
        </w:rPr>
      </w:pPr>
    </w:p>
    <w:p w14:paraId="33B67251" w14:textId="0BD289E8" w:rsidR="00A00405" w:rsidRPr="008608AA" w:rsidRDefault="00692612" w:rsidP="00014CD1">
      <w:pPr>
        <w:pStyle w:val="Heading2"/>
      </w:pPr>
      <w:bookmarkStart w:id="737" w:name="_Toc517393279"/>
      <w:bookmarkStart w:id="738" w:name="_Toc517719020"/>
      <w:bookmarkStart w:id="739" w:name="_Toc517796977"/>
      <w:r w:rsidRPr="008608AA">
        <w:t>Knowledge g</w:t>
      </w:r>
      <w:r w:rsidR="00A00405" w:rsidRPr="008608AA">
        <w:t>aps</w:t>
      </w:r>
      <w:bookmarkEnd w:id="737"/>
      <w:bookmarkEnd w:id="738"/>
      <w:bookmarkEnd w:id="739"/>
      <w:r w:rsidR="00A00405" w:rsidRPr="008608AA">
        <w:t xml:space="preserve"> </w:t>
      </w:r>
    </w:p>
    <w:p w14:paraId="794C5248" w14:textId="44246B9F" w:rsidR="00A00405" w:rsidRPr="008608AA" w:rsidRDefault="00A00405" w:rsidP="00014CD1">
      <w:pPr>
        <w:spacing w:after="120"/>
      </w:pPr>
      <w:r w:rsidRPr="008608AA">
        <w:t>Despite many advances in ecosystem service science and the connection of ecosystems to human well-being, more comprehensive assessments of costs, benefits and values are necessary to more fully understand the relationship of nature and quality of life at the regional and subregional scales. There is still a narrow focus on one or few services (NCP), and without a proper understanding of their relationships and interactions (Bennett et al., 2009). More holistic evaluations should put greater attention on the role of regulating and non-material (cultural) NCP when assessing land change processes and well change in the ocean. Admittedly, there are more difficulties in quantifying and valuing these less tangible NCP, which are more amenable to the standardization of monetary values via market mechanisms (</w:t>
      </w:r>
      <w:r w:rsidR="00B20C8E" w:rsidRPr="008608AA">
        <w:t>section</w:t>
      </w:r>
      <w:r w:rsidRPr="008608AA">
        <w:t>s 2.2.5, 2.2.6, 2.2.7). At the same time, we should point out that non-material NCP, like identities, are closely linked to human rights considerations, which in fact makes economic, cost-benefit type analyses inappropriate, and in violation of international agreements. Plus, we observed frequent gaps in databases, due to the fact that most social data is collected at the political scale, while ecological information is often specific to an ecosystem or biome. Even so, some political entities (</w:t>
      </w:r>
      <w:r w:rsidR="00847F60" w:rsidRPr="008608AA">
        <w:t>e.g.</w:t>
      </w:r>
      <w:r w:rsidRPr="008608AA">
        <w:t xml:space="preserve"> Greenland) are almost entirely absent from global databases managed by the UN, World Bank and others, thus limiting country-level comparisons on all aspects of both social and ecological data.</w:t>
      </w:r>
    </w:p>
    <w:p w14:paraId="7FFD9195" w14:textId="3DEC60B6" w:rsidR="00A3137A" w:rsidRDefault="00A3137A" w:rsidP="00A00405">
      <w:pPr>
        <w:spacing w:after="120"/>
      </w:pPr>
      <w:r>
        <w:br w:type="page"/>
      </w:r>
    </w:p>
    <w:p w14:paraId="3DC70407" w14:textId="77777777" w:rsidR="00A00405" w:rsidRPr="008608AA" w:rsidRDefault="00A00405" w:rsidP="00014CD1">
      <w:pPr>
        <w:pStyle w:val="Heading2"/>
      </w:pPr>
      <w:bookmarkStart w:id="740" w:name="_Toc517393280"/>
      <w:bookmarkStart w:id="741" w:name="_Toc517719021"/>
      <w:bookmarkStart w:id="742" w:name="_Toc517796978"/>
      <w:r w:rsidRPr="008608AA">
        <w:t>References</w:t>
      </w:r>
      <w:bookmarkEnd w:id="740"/>
      <w:bookmarkEnd w:id="741"/>
      <w:bookmarkEnd w:id="742"/>
    </w:p>
    <w:bookmarkEnd w:id="600"/>
    <w:bookmarkEnd w:id="601"/>
    <w:bookmarkEnd w:id="602"/>
    <w:bookmarkEnd w:id="603"/>
    <w:bookmarkEnd w:id="604"/>
    <w:bookmarkEnd w:id="605"/>
    <w:bookmarkEnd w:id="606"/>
    <w:bookmarkEnd w:id="607"/>
    <w:bookmarkEnd w:id="608"/>
    <w:bookmarkEnd w:id="609"/>
    <w:bookmarkEnd w:id="610"/>
    <w:p w14:paraId="2497A94A" w14:textId="77777777" w:rsidR="00DD4E98" w:rsidRPr="008608AA" w:rsidRDefault="00DD4E98" w:rsidP="00DD4E98">
      <w:pPr>
        <w:widowControl w:val="0"/>
        <w:ind w:left="906" w:hangingChars="412" w:hanging="906"/>
        <w:contextualSpacing/>
      </w:pPr>
      <w:r w:rsidRPr="008608AA">
        <w:rPr>
          <w:lang w:val="es-CO"/>
        </w:rPr>
        <w:t xml:space="preserve">Aburto-Oropeza, O., Erisman, B., Galland, G. R., Mascareñas-Osorio, I., Sala, E., &amp; Ezcurra, E. (2011). </w:t>
      </w:r>
      <w:r w:rsidRPr="008608AA">
        <w:t xml:space="preserve">Large recovery of fish biomass in a no-take marine reserve. </w:t>
      </w:r>
      <w:r w:rsidRPr="008608AA">
        <w:rPr>
          <w:i/>
        </w:rPr>
        <w:t>PLoS ONE</w:t>
      </w:r>
      <w:r w:rsidRPr="008608AA">
        <w:t xml:space="preserve">, </w:t>
      </w:r>
      <w:r w:rsidRPr="008608AA">
        <w:rPr>
          <w:i/>
        </w:rPr>
        <w:t>6</w:t>
      </w:r>
      <w:r w:rsidRPr="008608AA">
        <w:t>(8). https://doi.org/10.1371/journal.pone.0023601</w:t>
      </w:r>
    </w:p>
    <w:p w14:paraId="69465319" w14:textId="77777777" w:rsidR="00DD4E98" w:rsidRPr="008608AA" w:rsidRDefault="00DD4E98" w:rsidP="00DD4E98">
      <w:pPr>
        <w:widowControl w:val="0"/>
        <w:ind w:left="906" w:hangingChars="412" w:hanging="906"/>
        <w:contextualSpacing/>
      </w:pPr>
      <w:r w:rsidRPr="008608AA">
        <w:t xml:space="preserve">Adams, W. M., &amp; Hutton, J. (2007). People, Parks and Poverty: Political Ecology and Biodiversity Conservation. </w:t>
      </w:r>
      <w:r w:rsidRPr="008608AA">
        <w:rPr>
          <w:i/>
        </w:rPr>
        <w:t>Conservation and Society</w:t>
      </w:r>
      <w:r w:rsidRPr="008608AA">
        <w:t xml:space="preserve">, </w:t>
      </w:r>
      <w:r w:rsidRPr="008608AA">
        <w:rPr>
          <w:i/>
        </w:rPr>
        <w:t>5</w:t>
      </w:r>
      <w:r w:rsidRPr="008608AA">
        <w:t>(2), (pp. 147–183).</w:t>
      </w:r>
    </w:p>
    <w:p w14:paraId="49EED068" w14:textId="77777777" w:rsidR="00DD4E98" w:rsidRPr="008608AA" w:rsidRDefault="00DD4E98" w:rsidP="00DD4E98">
      <w:pPr>
        <w:widowControl w:val="0"/>
        <w:ind w:left="906" w:hangingChars="412" w:hanging="906"/>
        <w:contextualSpacing/>
      </w:pPr>
      <w:r w:rsidRPr="008608AA">
        <w:t xml:space="preserve">Afrane, Y. A., Zhou, G., Lawson, B. W., Githeko, A. K., &amp; Yan, G. (2006). Effects of microclimatic changes caused by deforestation on the survivorship and reproductive fitness of Anopheles gambiae in western Kenya highlands. </w:t>
      </w:r>
      <w:r w:rsidRPr="008608AA">
        <w:rPr>
          <w:i/>
        </w:rPr>
        <w:t>American Journal of Tropical Medicine and Hygiene</w:t>
      </w:r>
      <w:r w:rsidRPr="008608AA">
        <w:t xml:space="preserve">, </w:t>
      </w:r>
      <w:r w:rsidRPr="008608AA">
        <w:rPr>
          <w:i/>
        </w:rPr>
        <w:t>74</w:t>
      </w:r>
      <w:r w:rsidRPr="008608AA">
        <w:t>(5), (pp. 772–778). https://doi.org/74/5/772 {pii}</w:t>
      </w:r>
    </w:p>
    <w:p w14:paraId="69BDF5F4" w14:textId="77777777" w:rsidR="00DD4E98" w:rsidRPr="008608AA" w:rsidRDefault="00DD4E98" w:rsidP="00DD4E98">
      <w:pPr>
        <w:widowControl w:val="0"/>
        <w:ind w:left="906" w:hangingChars="412" w:hanging="906"/>
        <w:contextualSpacing/>
      </w:pPr>
      <w:r w:rsidRPr="008608AA">
        <w:t xml:space="preserve">Agard, J., &amp; Cropper, A. (2007). Caribbean Sea Ecosystem Assessment. A sub-global component of the Millenium Ecosystem Assessment. </w:t>
      </w:r>
      <w:r w:rsidRPr="008608AA">
        <w:rPr>
          <w:i/>
        </w:rPr>
        <w:t>Caribbean Marine Studies Special Ed</w:t>
      </w:r>
      <w:r w:rsidRPr="008608AA">
        <w:t>.</w:t>
      </w:r>
    </w:p>
    <w:p w14:paraId="3791791E" w14:textId="77777777" w:rsidR="00DD4E98" w:rsidRPr="008608AA" w:rsidRDefault="00DD4E98" w:rsidP="00DD4E98">
      <w:pPr>
        <w:widowControl w:val="0"/>
        <w:ind w:left="906" w:hangingChars="412" w:hanging="906"/>
        <w:contextualSpacing/>
      </w:pPr>
      <w:r w:rsidRPr="008608AA">
        <w:t xml:space="preserve">Agardy, T., di Sciara, G. N., &amp; Christie, P. (2011). Mind the gap: Addressing the shortcomings of marine protected areas through large scale marine spatial planning. </w:t>
      </w:r>
      <w:r w:rsidRPr="008608AA">
        <w:rPr>
          <w:i/>
        </w:rPr>
        <w:t>Marine Policy</w:t>
      </w:r>
      <w:r w:rsidRPr="008608AA">
        <w:t xml:space="preserve">, </w:t>
      </w:r>
      <w:r w:rsidRPr="008608AA">
        <w:rPr>
          <w:i/>
        </w:rPr>
        <w:t>35</w:t>
      </w:r>
      <w:r w:rsidRPr="008608AA">
        <w:t>(2), (pp. 226–232). https://doi.org/https://doi.org/10.1016/j.marpol.2010.10.006</w:t>
      </w:r>
    </w:p>
    <w:p w14:paraId="62E047D1" w14:textId="77777777" w:rsidR="00DD4E98" w:rsidRPr="008608AA" w:rsidRDefault="00DD4E98" w:rsidP="00DD4E98">
      <w:pPr>
        <w:widowControl w:val="0"/>
        <w:ind w:left="906" w:hangingChars="412" w:hanging="906"/>
        <w:contextualSpacing/>
        <w:rPr>
          <w:lang w:val="es-CO"/>
        </w:rPr>
      </w:pPr>
      <w:r w:rsidRPr="00CE0821">
        <w:rPr>
          <w:lang w:val="es-CO"/>
        </w:rPr>
        <w:t xml:space="preserve">Aizen, M. A., Vázquez, D. P., &amp; Smith-Ramírez, C. (2002). </w:t>
      </w:r>
      <w:r w:rsidRPr="008608AA">
        <w:rPr>
          <w:lang w:val="es-CO"/>
        </w:rPr>
        <w:t xml:space="preserve">Historia natural y conservación de los mutualismos planta-animal del bosque templado de Sudamerica austral. </w:t>
      </w:r>
      <w:r w:rsidRPr="008608AA">
        <w:rPr>
          <w:i/>
          <w:lang w:val="es-CO"/>
        </w:rPr>
        <w:t>Revista Chilena de Historia Natural</w:t>
      </w:r>
      <w:r w:rsidRPr="008608AA">
        <w:rPr>
          <w:lang w:val="es-CO"/>
        </w:rPr>
        <w:t xml:space="preserve">, </w:t>
      </w:r>
      <w:r w:rsidRPr="008608AA">
        <w:rPr>
          <w:i/>
          <w:lang w:val="es-CO"/>
        </w:rPr>
        <w:t>75</w:t>
      </w:r>
      <w:r w:rsidRPr="008608AA">
        <w:rPr>
          <w:lang w:val="es-CO"/>
        </w:rPr>
        <w:t>(1), (pp. 79–97). https://doi.org/10.4067/S0716-078X2002000100008</w:t>
      </w:r>
    </w:p>
    <w:p w14:paraId="5130078C" w14:textId="77777777" w:rsidR="00DD4E98" w:rsidRPr="00A3137A" w:rsidRDefault="00DD4E98" w:rsidP="00DD4E98">
      <w:pPr>
        <w:widowControl w:val="0"/>
        <w:ind w:left="906" w:hangingChars="412" w:hanging="906"/>
        <w:contextualSpacing/>
        <w:rPr>
          <w:lang w:val="fr-FR"/>
        </w:rPr>
      </w:pPr>
      <w:r w:rsidRPr="008608AA">
        <w:t xml:space="preserve">Akimoto, H. (2003). </w:t>
      </w:r>
      <w:r w:rsidRPr="008608AA">
        <w:rPr>
          <w:i/>
        </w:rPr>
        <w:t>Global Air Quality and Pollution</w:t>
      </w:r>
      <w:r w:rsidRPr="008608AA">
        <w:t xml:space="preserve">. </w:t>
      </w:r>
      <w:r w:rsidRPr="00A3137A">
        <w:rPr>
          <w:i/>
          <w:lang w:val="fr-FR"/>
        </w:rPr>
        <w:t>Science</w:t>
      </w:r>
      <w:r w:rsidRPr="00A3137A">
        <w:rPr>
          <w:lang w:val="fr-FR"/>
        </w:rPr>
        <w:t xml:space="preserve">, </w:t>
      </w:r>
      <w:r w:rsidRPr="00A3137A">
        <w:rPr>
          <w:i/>
          <w:lang w:val="fr-FR"/>
        </w:rPr>
        <w:t>302</w:t>
      </w:r>
      <w:r w:rsidRPr="00A3137A">
        <w:rPr>
          <w:lang w:val="fr-FR"/>
        </w:rPr>
        <w:t>(5651), (pp. 1716–1719). https://doi.org/10.1126/science.1092666</w:t>
      </w:r>
    </w:p>
    <w:p w14:paraId="3A9E71E8" w14:textId="77777777" w:rsidR="00DD4E98" w:rsidRPr="00A3137A" w:rsidRDefault="00DD4E98" w:rsidP="00DD4E98">
      <w:pPr>
        <w:widowControl w:val="0"/>
        <w:ind w:left="906" w:hangingChars="412" w:hanging="906"/>
        <w:contextualSpacing/>
        <w:rPr>
          <w:lang w:val="fr-FR"/>
        </w:rPr>
      </w:pPr>
      <w:r w:rsidRPr="008608AA">
        <w:t xml:space="preserve">Alcamo, J., Florke, M., &amp; Marker, M. (2007). Future long-term changes in global water resources driven by socio-economic and climatic changes. </w:t>
      </w:r>
      <w:r w:rsidRPr="00A3137A">
        <w:rPr>
          <w:i/>
          <w:lang w:val="fr-FR"/>
        </w:rPr>
        <w:t>Hydrological Sciences Journal</w:t>
      </w:r>
      <w:r w:rsidRPr="00A3137A">
        <w:rPr>
          <w:lang w:val="fr-FR"/>
        </w:rPr>
        <w:t xml:space="preserve">, </w:t>
      </w:r>
      <w:r w:rsidRPr="00A3137A">
        <w:rPr>
          <w:i/>
          <w:lang w:val="fr-FR"/>
        </w:rPr>
        <w:t>52</w:t>
      </w:r>
      <w:r w:rsidRPr="00A3137A">
        <w:rPr>
          <w:lang w:val="fr-FR"/>
        </w:rPr>
        <w:t>(2), (pp. 247–275). https://doi.org/10.1623/hysj.52.2.247</w:t>
      </w:r>
    </w:p>
    <w:p w14:paraId="6B84A845" w14:textId="77777777" w:rsidR="00DD4E98" w:rsidRPr="008608AA" w:rsidRDefault="00DD4E98" w:rsidP="00DD4E98">
      <w:pPr>
        <w:widowControl w:val="0"/>
        <w:ind w:left="906" w:hangingChars="412" w:hanging="906"/>
        <w:contextualSpacing/>
      </w:pPr>
      <w:r w:rsidRPr="00A3137A">
        <w:rPr>
          <w:lang w:val="fr-FR"/>
        </w:rPr>
        <w:t xml:space="preserve">Ali, A., &amp; Abdulai, A. (2010). </w:t>
      </w:r>
      <w:r w:rsidRPr="008608AA">
        <w:t xml:space="preserve">The Adoption of Genetically Modified Cotton and Poverty Reduction in Pakistan. </w:t>
      </w:r>
      <w:r w:rsidRPr="008608AA">
        <w:rPr>
          <w:i/>
        </w:rPr>
        <w:t>Journal of Agricultural Economics</w:t>
      </w:r>
      <w:r w:rsidRPr="008608AA">
        <w:t xml:space="preserve">, </w:t>
      </w:r>
      <w:r w:rsidRPr="008608AA">
        <w:rPr>
          <w:i/>
        </w:rPr>
        <w:t>61</w:t>
      </w:r>
      <w:r w:rsidRPr="008608AA">
        <w:t>(1), (pp. 175–192). https://doi.org/10.1111/j.1477-9552.2009.00227.x</w:t>
      </w:r>
    </w:p>
    <w:p w14:paraId="5B385AD9" w14:textId="77777777" w:rsidR="00DD4E98" w:rsidRPr="008608AA" w:rsidRDefault="00DD4E98" w:rsidP="00DD4E98">
      <w:pPr>
        <w:widowControl w:val="0"/>
        <w:ind w:left="906" w:hangingChars="412" w:hanging="906"/>
        <w:contextualSpacing/>
        <w:rPr>
          <w:lang w:val="de-DE"/>
        </w:rPr>
      </w:pPr>
      <w:r w:rsidRPr="008608AA">
        <w:t xml:space="preserve">Ali, H., Khan, E., &amp; Sajad, M. A. (2013). Phytoremediation of heavy metals—Concepts and applications. </w:t>
      </w:r>
      <w:r w:rsidRPr="008608AA">
        <w:rPr>
          <w:i/>
          <w:lang w:val="de-DE"/>
        </w:rPr>
        <w:t>Chemosphere</w:t>
      </w:r>
      <w:r w:rsidRPr="008608AA">
        <w:rPr>
          <w:lang w:val="de-DE"/>
        </w:rPr>
        <w:t xml:space="preserve">, </w:t>
      </w:r>
      <w:r w:rsidRPr="008608AA">
        <w:rPr>
          <w:i/>
          <w:lang w:val="de-DE"/>
        </w:rPr>
        <w:t>91</w:t>
      </w:r>
      <w:r w:rsidRPr="008608AA">
        <w:rPr>
          <w:lang w:val="de-DE"/>
        </w:rPr>
        <w:t xml:space="preserve">(7), </w:t>
      </w:r>
      <w:r w:rsidRPr="008608AA">
        <w:t xml:space="preserve">(pp. </w:t>
      </w:r>
      <w:r w:rsidRPr="008608AA">
        <w:rPr>
          <w:lang w:val="de-DE"/>
        </w:rPr>
        <w:t>869–881). https://doi.org/https://doi.org/10.1016/j.chemosphere.2013.01.075</w:t>
      </w:r>
    </w:p>
    <w:p w14:paraId="1C02135F" w14:textId="77777777" w:rsidR="00DD4E98" w:rsidRPr="008608AA" w:rsidRDefault="00DD4E98" w:rsidP="00DD4E98">
      <w:pPr>
        <w:widowControl w:val="0"/>
        <w:ind w:left="906" w:hangingChars="412" w:hanging="906"/>
        <w:contextualSpacing/>
      </w:pPr>
      <w:r w:rsidRPr="008608AA">
        <w:rPr>
          <w:lang w:val="de-DE"/>
        </w:rPr>
        <w:t xml:space="preserve">Alkemade, R., Reid, R. S., van den Berg, M., de Leeuw, J., &amp; Jeuken, M. (2013). </w:t>
      </w:r>
      <w:r w:rsidRPr="008608AA">
        <w:t xml:space="preserve">Assessing the impacts of livestock production on biodiversity in rangeland ecosystems. </w:t>
      </w:r>
      <w:r w:rsidRPr="008608AA">
        <w:rPr>
          <w:i/>
        </w:rPr>
        <w:t>Proceedings of the National Academy of Sciences</w:t>
      </w:r>
      <w:r w:rsidRPr="008608AA">
        <w:t xml:space="preserve">, </w:t>
      </w:r>
      <w:r w:rsidRPr="008608AA">
        <w:rPr>
          <w:i/>
        </w:rPr>
        <w:t>110</w:t>
      </w:r>
      <w:r w:rsidRPr="008608AA">
        <w:t>(52), (pp. 20900–20905). https://doi.org/10.1073/pnas.1011013108</w:t>
      </w:r>
    </w:p>
    <w:p w14:paraId="16ADE381" w14:textId="77777777" w:rsidR="00DD4E98" w:rsidRPr="008608AA" w:rsidRDefault="00DD4E98" w:rsidP="00DD4E98">
      <w:pPr>
        <w:widowControl w:val="0"/>
        <w:ind w:left="906" w:hangingChars="412" w:hanging="906"/>
        <w:contextualSpacing/>
      </w:pPr>
      <w:r w:rsidRPr="008608AA">
        <w:t xml:space="preserve">Allan, B. F., Langerhans, R. B., Ryberg, W. A., Landesman, W. J., Griffin, N. W., Katz, R. S., Oberle, B. J., Schutzenhofer, M. R., Smyth, K. N., de St. Maurice, A., Clark, L., Crooks, K. R., Hernandez, D. E., McLean, R. G., Ostfeld, R. S., &amp; Chase, J. M. (2009). Ecological correlates of risk and incidence of West Nile virus in the United States. </w:t>
      </w:r>
      <w:r w:rsidRPr="008608AA">
        <w:rPr>
          <w:i/>
          <w:iCs/>
        </w:rPr>
        <w:t>Oecologia</w:t>
      </w:r>
      <w:r w:rsidRPr="008608AA">
        <w:t xml:space="preserve">, </w:t>
      </w:r>
      <w:r w:rsidRPr="008608AA">
        <w:rPr>
          <w:i/>
          <w:iCs/>
        </w:rPr>
        <w:t>158</w:t>
      </w:r>
      <w:r w:rsidRPr="008608AA">
        <w:t>(4), 699–708. https://doi.org/10.1007/s00442-008-1169-9</w:t>
      </w:r>
    </w:p>
    <w:p w14:paraId="27FD83FD" w14:textId="77777777" w:rsidR="00DD4E98" w:rsidRPr="008608AA" w:rsidRDefault="00DD4E98" w:rsidP="00DD4E98">
      <w:pPr>
        <w:widowControl w:val="0"/>
        <w:ind w:left="906" w:hangingChars="412" w:hanging="906"/>
        <w:contextualSpacing/>
      </w:pPr>
      <w:r w:rsidRPr="008608AA">
        <w:t xml:space="preserve">Allan, B. F., Tallis, H., Chaplin-Kramer, R., Huckett, S., Kowal, V. A., Musengezi, J., Okanga, S., Ostfeld, R. S., Schieltz, J., Warui, C. M., Wood, S. A., &amp; Keesing, F. (2017). Can integrating wildlife and livestock enhance ecosystem services in central Kenya? </w:t>
      </w:r>
      <w:r w:rsidRPr="008608AA">
        <w:rPr>
          <w:i/>
          <w:iCs/>
        </w:rPr>
        <w:t>Frontiers in Ecology and the Environment</w:t>
      </w:r>
      <w:r w:rsidRPr="008608AA">
        <w:t xml:space="preserve">, </w:t>
      </w:r>
      <w:r w:rsidRPr="008608AA">
        <w:rPr>
          <w:i/>
          <w:iCs/>
        </w:rPr>
        <w:t>15</w:t>
      </w:r>
      <w:r w:rsidRPr="008608AA">
        <w:t>(6), 328–335. https://doi.org/10.1002/fee.1501</w:t>
      </w:r>
    </w:p>
    <w:p w14:paraId="43BD3642" w14:textId="77777777" w:rsidR="00DD4E98" w:rsidRPr="00CE0821" w:rsidRDefault="00DD4E98" w:rsidP="00DD4E98">
      <w:pPr>
        <w:widowControl w:val="0"/>
        <w:ind w:left="906" w:hangingChars="412" w:hanging="906"/>
        <w:contextualSpacing/>
        <w:rPr>
          <w:lang w:val="es-CO"/>
        </w:rPr>
      </w:pPr>
      <w:r w:rsidRPr="00CE0821">
        <w:rPr>
          <w:lang w:val="es-CO"/>
        </w:rPr>
        <w:t>Allem, A. C., Mendes, R. A., Salomão, A. N., &amp; Burle, M. L. (2001). The primary gene pool of cassava (</w:t>
      </w:r>
      <w:r w:rsidRPr="00CE0821">
        <w:rPr>
          <w:i/>
          <w:lang w:val="es-CO"/>
        </w:rPr>
        <w:t>Manihot esculenta</w:t>
      </w:r>
      <w:r w:rsidRPr="00CE0821">
        <w:rPr>
          <w:lang w:val="es-CO"/>
        </w:rPr>
        <w:t xml:space="preserve"> Crantz subspecies </w:t>
      </w:r>
      <w:r w:rsidRPr="00CE0821">
        <w:rPr>
          <w:i/>
          <w:lang w:val="es-CO"/>
        </w:rPr>
        <w:t>esculenta</w:t>
      </w:r>
      <w:r w:rsidRPr="00CE0821">
        <w:rPr>
          <w:lang w:val="es-CO"/>
        </w:rPr>
        <w:t xml:space="preserve">, Euphorbiaceae). </w:t>
      </w:r>
      <w:r w:rsidRPr="00CE0821">
        <w:rPr>
          <w:i/>
          <w:lang w:val="es-CO"/>
        </w:rPr>
        <w:t>Euphytica</w:t>
      </w:r>
      <w:r w:rsidRPr="00CE0821">
        <w:rPr>
          <w:lang w:val="es-CO"/>
        </w:rPr>
        <w:t xml:space="preserve">, </w:t>
      </w:r>
      <w:r w:rsidRPr="00CE0821">
        <w:rPr>
          <w:i/>
          <w:lang w:val="es-CO"/>
        </w:rPr>
        <w:t>120</w:t>
      </w:r>
      <w:r w:rsidRPr="00CE0821">
        <w:rPr>
          <w:lang w:val="es-CO"/>
        </w:rPr>
        <w:t>, (pp. 127–132).</w:t>
      </w:r>
    </w:p>
    <w:p w14:paraId="4CD76867" w14:textId="77777777" w:rsidR="00DD4E98" w:rsidRPr="008608AA" w:rsidRDefault="00DD4E98" w:rsidP="00DD4E98">
      <w:pPr>
        <w:widowControl w:val="0"/>
        <w:ind w:left="906" w:hangingChars="412" w:hanging="906"/>
        <w:contextualSpacing/>
      </w:pPr>
      <w:r w:rsidRPr="00CE0821">
        <w:rPr>
          <w:lang w:val="es-CO"/>
        </w:rPr>
        <w:t xml:space="preserve">Allen, C. D., &amp; Breshears, D. D. (1998). </w:t>
      </w:r>
      <w:r w:rsidRPr="008608AA">
        <w:t xml:space="preserve">Drought-induced shift of a forest-woodland ecotone: Rapid landscape response to climate variation. </w:t>
      </w:r>
      <w:r w:rsidRPr="008608AA">
        <w:rPr>
          <w:i/>
        </w:rPr>
        <w:t>Proceedings of the National Academy of Sciences</w:t>
      </w:r>
      <w:r w:rsidRPr="008608AA">
        <w:t xml:space="preserve">, </w:t>
      </w:r>
      <w:r w:rsidRPr="008608AA">
        <w:rPr>
          <w:i/>
        </w:rPr>
        <w:t>95</w:t>
      </w:r>
      <w:r w:rsidRPr="008608AA">
        <w:t>(25), (pp. 14839–14842). https://doi.org/10.1073/pnas.95.25.14839</w:t>
      </w:r>
    </w:p>
    <w:p w14:paraId="7ECD1CDE" w14:textId="77777777" w:rsidR="00DD4E98" w:rsidRPr="008608AA" w:rsidRDefault="00DD4E98" w:rsidP="00DD4E98">
      <w:pPr>
        <w:widowControl w:val="0"/>
        <w:ind w:left="906" w:hangingChars="412" w:hanging="906"/>
        <w:contextualSpacing/>
      </w:pPr>
      <w:r w:rsidRPr="008608AA">
        <w:rPr>
          <w:lang w:val="es-CO"/>
        </w:rPr>
        <w:t xml:space="preserve">Alonso-Castro, A., Juárez-Vázquez, M., &amp; Campo-Xolalpa, N. (2016). </w:t>
      </w:r>
      <w:r w:rsidRPr="008608AA">
        <w:t xml:space="preserve">Medicinal Plants from Mexico , Central America , and the Caribbean Used as Immunostimulants. </w:t>
      </w:r>
      <w:r w:rsidRPr="008608AA">
        <w:rPr>
          <w:i/>
        </w:rPr>
        <w:t>Evidence-Based Complementary and AlternativeMedicine</w:t>
      </w:r>
      <w:r w:rsidRPr="008608AA">
        <w:t xml:space="preserve">, </w:t>
      </w:r>
      <w:r w:rsidRPr="008608AA">
        <w:rPr>
          <w:i/>
        </w:rPr>
        <w:t>2016</w:t>
      </w:r>
      <w:r w:rsidRPr="008608AA">
        <w:t>, (pp. 1–16). https://doi.org/10.1155/2016/4017676</w:t>
      </w:r>
    </w:p>
    <w:p w14:paraId="1DD96E9B" w14:textId="77777777" w:rsidR="00DD4E98" w:rsidRPr="008608AA" w:rsidRDefault="00DD4E98" w:rsidP="00DD4E98">
      <w:pPr>
        <w:widowControl w:val="0"/>
        <w:ind w:left="906" w:hangingChars="412" w:hanging="906"/>
        <w:contextualSpacing/>
        <w:rPr>
          <w:lang w:val="es-CO"/>
        </w:rPr>
      </w:pPr>
      <w:r w:rsidRPr="008608AA">
        <w:t xml:space="preserve">Alston, J. M., Chan-Kang, C., M.C.Marra, Pardey, P. G., &amp; Wyatt., T. J. (2000). </w:t>
      </w:r>
      <w:r w:rsidRPr="008608AA">
        <w:rPr>
          <w:i/>
        </w:rPr>
        <w:t>A meta analysis of rates of return to agricultural R&amp;D: ex pede herculem?</w:t>
      </w:r>
      <w:r w:rsidRPr="008608AA">
        <w:t xml:space="preserve"> </w:t>
      </w:r>
      <w:r w:rsidRPr="008608AA">
        <w:rPr>
          <w:lang w:val="es-CO"/>
        </w:rPr>
        <w:t>Washington, D.C.</w:t>
      </w:r>
    </w:p>
    <w:p w14:paraId="3974F0D3" w14:textId="77777777" w:rsidR="00DD4E98" w:rsidRPr="008608AA" w:rsidRDefault="00DD4E98" w:rsidP="00DD4E98">
      <w:pPr>
        <w:widowControl w:val="0"/>
        <w:ind w:left="906" w:hangingChars="412" w:hanging="906"/>
        <w:contextualSpacing/>
        <w:rPr>
          <w:lang w:val="es-CO"/>
        </w:rPr>
      </w:pPr>
      <w:r w:rsidRPr="008608AA">
        <w:rPr>
          <w:lang w:val="es-CO"/>
        </w:rPr>
        <w:t xml:space="preserve">Altrichter, M. (2006). </w:t>
      </w:r>
      <w:r w:rsidRPr="008608AA">
        <w:rPr>
          <w:i/>
          <w:lang w:val="es-CO"/>
        </w:rPr>
        <w:t>Interacciones entre la gente y la fauna en el Chaco Argentino</w:t>
      </w:r>
      <w:r w:rsidRPr="008608AA">
        <w:rPr>
          <w:lang w:val="es-CO"/>
        </w:rPr>
        <w:t>. Córdoba, Argentina: Secertaría de Ambiente y Desarrollo Sustentable.</w:t>
      </w:r>
    </w:p>
    <w:p w14:paraId="56479130" w14:textId="77777777" w:rsidR="00DD4E98" w:rsidRPr="008608AA" w:rsidRDefault="00DD4E98" w:rsidP="00DD4E98">
      <w:pPr>
        <w:widowControl w:val="0"/>
        <w:ind w:left="906" w:hangingChars="412" w:hanging="906"/>
        <w:contextualSpacing/>
        <w:rPr>
          <w:lang w:val="es-CO"/>
        </w:rPr>
      </w:pPr>
      <w:r w:rsidRPr="008608AA">
        <w:rPr>
          <w:lang w:val="es-CO"/>
        </w:rPr>
        <w:t xml:space="preserve">Álvarez, J., &amp; Shany, N. (2012). Una experiencia de gestión participativa de la biodiversidad con comunidades amazónicas. </w:t>
      </w:r>
      <w:r w:rsidRPr="008608AA">
        <w:rPr>
          <w:i/>
          <w:lang w:val="es-CO"/>
        </w:rPr>
        <w:t>Revista Peruana de Biología</w:t>
      </w:r>
      <w:r w:rsidRPr="008608AA">
        <w:rPr>
          <w:lang w:val="es-CO"/>
        </w:rPr>
        <w:t xml:space="preserve">, </w:t>
      </w:r>
      <w:r w:rsidRPr="008608AA">
        <w:rPr>
          <w:i/>
          <w:lang w:val="es-CO"/>
        </w:rPr>
        <w:t>19</w:t>
      </w:r>
      <w:r w:rsidRPr="008608AA">
        <w:rPr>
          <w:lang w:val="es-CO"/>
        </w:rPr>
        <w:t>(2). https://doi.org/10.15381/rpb.v19i2.846</w:t>
      </w:r>
    </w:p>
    <w:p w14:paraId="1299C3AB" w14:textId="77777777" w:rsidR="00DD4E98" w:rsidRPr="008608AA" w:rsidRDefault="00DD4E98" w:rsidP="00DD4E98">
      <w:pPr>
        <w:widowControl w:val="0"/>
        <w:ind w:left="906" w:hangingChars="412" w:hanging="906"/>
        <w:contextualSpacing/>
      </w:pPr>
      <w:r w:rsidRPr="008608AA">
        <w:rPr>
          <w:lang w:val="es-CO"/>
        </w:rPr>
        <w:t xml:space="preserve">Alves, R. R., &amp; Alves, H. N. (2011). </w:t>
      </w:r>
      <w:r w:rsidRPr="008608AA">
        <w:t xml:space="preserve">The faunal drugstore: Animal-based remedies used in traditional medicines in Latin America. </w:t>
      </w:r>
      <w:r w:rsidRPr="008608AA">
        <w:rPr>
          <w:i/>
        </w:rPr>
        <w:t>Journal of Ethnobiology and Ethnomedicine</w:t>
      </w:r>
      <w:r w:rsidRPr="008608AA">
        <w:t xml:space="preserve">, </w:t>
      </w:r>
      <w:r w:rsidRPr="008608AA">
        <w:rPr>
          <w:i/>
        </w:rPr>
        <w:t>7</w:t>
      </w:r>
      <w:r w:rsidRPr="008608AA">
        <w:t>(1), (pp. 9). https://doi.org/10.1186/1746-4269-7-9</w:t>
      </w:r>
    </w:p>
    <w:p w14:paraId="2FF439CF" w14:textId="77777777" w:rsidR="00DD4E98" w:rsidRPr="008608AA" w:rsidRDefault="00DD4E98" w:rsidP="00DD4E98">
      <w:pPr>
        <w:widowControl w:val="0"/>
        <w:ind w:left="906" w:hangingChars="412" w:hanging="906"/>
        <w:contextualSpacing/>
        <w:rPr>
          <w:lang w:val="de-DE"/>
        </w:rPr>
      </w:pPr>
      <w:r w:rsidRPr="008608AA">
        <w:t xml:space="preserve">Ammour, T., Windevoxhel, N., &amp; Sención, G. (2000). Economic valuation of mangrove ecosystems and subtropical forests in Central America. In M. Dore &amp; R. Guevera (Eds.), </w:t>
      </w:r>
      <w:r w:rsidRPr="008608AA">
        <w:rPr>
          <w:i/>
        </w:rPr>
        <w:t>Sustainable forest management and global climate change: selected case studies from the Americas</w:t>
      </w:r>
      <w:r w:rsidRPr="008608AA">
        <w:t xml:space="preserve"> (pp. 166–197). </w:t>
      </w:r>
      <w:r w:rsidRPr="008608AA">
        <w:rPr>
          <w:lang w:val="de-DE"/>
        </w:rPr>
        <w:t>Cheltenham, UK: Edward Elgar Publishing Ltd.</w:t>
      </w:r>
    </w:p>
    <w:p w14:paraId="475A8700" w14:textId="77777777" w:rsidR="00DD4E98" w:rsidRPr="008608AA" w:rsidRDefault="00DD4E98" w:rsidP="00DD4E98">
      <w:pPr>
        <w:widowControl w:val="0"/>
        <w:ind w:left="906" w:hangingChars="412" w:hanging="906"/>
        <w:contextualSpacing/>
        <w:rPr>
          <w:lang w:val="es-CO"/>
        </w:rPr>
      </w:pPr>
      <w:r w:rsidRPr="008608AA">
        <w:rPr>
          <w:lang w:val="de-DE"/>
        </w:rPr>
        <w:t xml:space="preserve">Amundson, R., &amp; Jenny, H. (1997). </w:t>
      </w:r>
      <w:r w:rsidRPr="008608AA">
        <w:t xml:space="preserve">On a State Factor Model of Ecosystems. </w:t>
      </w:r>
      <w:r w:rsidRPr="008608AA">
        <w:rPr>
          <w:i/>
          <w:lang w:val="es-CO"/>
        </w:rPr>
        <w:t>BioScience</w:t>
      </w:r>
      <w:r w:rsidRPr="008608AA">
        <w:rPr>
          <w:lang w:val="es-CO"/>
        </w:rPr>
        <w:t xml:space="preserve">, </w:t>
      </w:r>
      <w:r w:rsidRPr="008608AA">
        <w:rPr>
          <w:i/>
          <w:lang w:val="es-CO"/>
        </w:rPr>
        <w:t>47</w:t>
      </w:r>
      <w:r w:rsidRPr="008608AA">
        <w:rPr>
          <w:lang w:val="es-CO"/>
        </w:rPr>
        <w:t>(8), (pp. 536–543). https://doi.org/10.2307/1313122</w:t>
      </w:r>
    </w:p>
    <w:p w14:paraId="76F9EBCE" w14:textId="77777777" w:rsidR="00DD4E98" w:rsidRPr="008608AA" w:rsidRDefault="00DD4E98" w:rsidP="00DD4E98">
      <w:pPr>
        <w:widowControl w:val="0"/>
        <w:ind w:left="906" w:hangingChars="412" w:hanging="906"/>
        <w:contextualSpacing/>
      </w:pPr>
      <w:r w:rsidRPr="008608AA">
        <w:rPr>
          <w:lang w:val="es-CO"/>
        </w:rPr>
        <w:t xml:space="preserve">Andam, K. S., Ferraro, P. J., Pfaff, A., Sanchez-Azofeifa, G. A., &amp; Robalino, J. A. (2008). </w:t>
      </w:r>
      <w:r w:rsidRPr="008608AA">
        <w:t xml:space="preserve">Measuring the effectiveness of protected area networks in reducing deforestation. </w:t>
      </w:r>
      <w:r w:rsidRPr="008608AA">
        <w:rPr>
          <w:i/>
        </w:rPr>
        <w:t>Proceedings of the National Academy of Sciences</w:t>
      </w:r>
      <w:r w:rsidRPr="008608AA">
        <w:t xml:space="preserve">, </w:t>
      </w:r>
      <w:r w:rsidRPr="008608AA">
        <w:rPr>
          <w:i/>
        </w:rPr>
        <w:t>105</w:t>
      </w:r>
      <w:r w:rsidRPr="008608AA">
        <w:t>(42), (pp. 16089–16094). https://doi.org/10.1073/pnas.0800437105</w:t>
      </w:r>
    </w:p>
    <w:p w14:paraId="6CD831BF"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Anderson, I., Robson, B., Connolly, M., Al-Yaman, F., Bjertness, E., King, A., Tynan, M., Madden, R., Bang, A., Coimbra, C. E. A., Pesantes, M. A., Amigo, H., Andronov, S., Armien, B., Obando, D. A., Axelsson, P., Bhatti, Z. S., Bhutta, Z. A., Bjerregaard, P., Bjertness, M. B., Briceno-Leon, R., Broderstad, A. R., Bustos, P., Chongsuvivatwong, V., Chu, J., Deji, Gouda, J., Harikumar, R., Htay, T. T., Htet, A. S., Izugbara, C., Kamaka, M., King, M., Kodavanti, M. R., Lara, M., Laxmaiah, A., Lema, C., Taborda, A. M. L., Liabsuetrakul, T., Lobanov, A., Melhus, M., Meshram, I., Miranda, J. J., Mu, T. T., Nagalla, B., Nimmathota, A., Popov, A. I., Poveda, A. M. P., Ram, F., Reich, H., Santos, R. V, Sein, A. A., Shekhar, C., Sherpa, L. Y., Skold, P., Tano, S., Tanywe, A., Ugwu, C., Ugwu, F., Vapattanawong, P., Wan, X., Welch, J. R., Yang, G., Yang, Z., &amp; Yap, L. (2016). Indigenous and tribal peoples’ health (The Lancet–Lowitja Institute Global Collaboration): a population study. </w:t>
      </w:r>
      <w:r w:rsidRPr="008608AA">
        <w:rPr>
          <w:i/>
          <w:iCs/>
          <w:noProof/>
        </w:rPr>
        <w:t>The Lancet</w:t>
      </w:r>
      <w:r w:rsidRPr="008608AA">
        <w:rPr>
          <w:noProof/>
        </w:rPr>
        <w:t xml:space="preserve">, </w:t>
      </w:r>
      <w:r w:rsidRPr="008608AA">
        <w:rPr>
          <w:i/>
          <w:iCs/>
          <w:noProof/>
        </w:rPr>
        <w:t>388</w:t>
      </w:r>
      <w:r w:rsidRPr="008608AA">
        <w:rPr>
          <w:noProof/>
        </w:rPr>
        <w:t>(10040), 131–157. https://doi.org/10.1016/S0140-6736(16)00345-7</w:t>
      </w:r>
    </w:p>
    <w:p w14:paraId="3CF96C97" w14:textId="77777777" w:rsidR="00DD4E98" w:rsidRPr="008608AA" w:rsidRDefault="00DD4E98" w:rsidP="00DD4E98">
      <w:pPr>
        <w:widowControl w:val="0"/>
        <w:ind w:left="906" w:hangingChars="412" w:hanging="906"/>
        <w:contextualSpacing/>
      </w:pPr>
      <w:r w:rsidRPr="008608AA">
        <w:t xml:space="preserve">Antunes, A. P., Fewster, R. M., Venticinque, E. M., Peres, C. A., Levi, T., Röhe, F., &amp; Shepard Jr., G. H. (2016). Empty forest or empty rivers? A century of commercial hunting in Amazonia. </w:t>
      </w:r>
      <w:r w:rsidRPr="008608AA">
        <w:rPr>
          <w:i/>
        </w:rPr>
        <w:t>Science Advances</w:t>
      </w:r>
      <w:r w:rsidRPr="008608AA">
        <w:t xml:space="preserve">, </w:t>
      </w:r>
      <w:r w:rsidRPr="008608AA">
        <w:rPr>
          <w:i/>
        </w:rPr>
        <w:t>2</w:t>
      </w:r>
      <w:r w:rsidRPr="008608AA">
        <w:t>(10), e1600936–e1600936. https://doi.org/10.1126/sciadv.1600936</w:t>
      </w:r>
    </w:p>
    <w:p w14:paraId="47C7AE9A" w14:textId="77777777" w:rsidR="00DD4E98" w:rsidRPr="008608AA" w:rsidRDefault="00DD4E98" w:rsidP="00DD4E98">
      <w:pPr>
        <w:widowControl w:val="0"/>
        <w:ind w:left="906" w:hangingChars="412" w:hanging="906"/>
        <w:contextualSpacing/>
      </w:pPr>
      <w:r w:rsidRPr="008608AA">
        <w:t xml:space="preserve">Araújo, C. A. C., Waniek, P. J., &amp; Jansen, A. M. (2009). An Overview of Chagas Disease and the Role of Triatomines on Its Distribution in Brazil. </w:t>
      </w:r>
      <w:r w:rsidRPr="008608AA">
        <w:rPr>
          <w:i/>
        </w:rPr>
        <w:t>Vector-Borne and Zoonotic Diseases</w:t>
      </w:r>
      <w:r w:rsidRPr="008608AA">
        <w:t xml:space="preserve">, </w:t>
      </w:r>
      <w:r w:rsidRPr="008608AA">
        <w:rPr>
          <w:i/>
        </w:rPr>
        <w:t>9</w:t>
      </w:r>
      <w:r w:rsidRPr="008608AA">
        <w:t>(3), (pp. 227–234). https://doi.org/10.1089/vbz.2008.0185</w:t>
      </w:r>
    </w:p>
    <w:p w14:paraId="52822A4D" w14:textId="77777777" w:rsidR="00DD4E98" w:rsidRPr="008608AA" w:rsidRDefault="00DD4E98" w:rsidP="00DD4E98">
      <w:pPr>
        <w:widowControl w:val="0"/>
        <w:ind w:left="906" w:hangingChars="412" w:hanging="906"/>
        <w:contextualSpacing/>
      </w:pPr>
      <w:r w:rsidRPr="008608AA">
        <w:t xml:space="preserve">Aronson, J., Clewell, A. F., Blignaut, J. N., &amp; Milton, S. J. (2006). Ecological restoration: A new frontier for nature conservation and economics. </w:t>
      </w:r>
      <w:r w:rsidRPr="008608AA">
        <w:rPr>
          <w:i/>
        </w:rPr>
        <w:t>Journal for Nature Conservation</w:t>
      </w:r>
      <w:r w:rsidRPr="008608AA">
        <w:t xml:space="preserve">, </w:t>
      </w:r>
      <w:r w:rsidRPr="008608AA">
        <w:rPr>
          <w:i/>
        </w:rPr>
        <w:t>14</w:t>
      </w:r>
      <w:r w:rsidRPr="008608AA">
        <w:t>(3–4), (pp. 135–139). https://doi.org/10.1016/j.jnc.2006.05.005</w:t>
      </w:r>
    </w:p>
    <w:p w14:paraId="669DBC70"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Aronson, M. F. J., La Sorte, F. A., Nilon, C. H., Katti, M., Goddard, M. A., Lepczyk, C. A., Warren, P. S., Williams, N. S. G., Cilliers, S., Clarkson, B., Dobbs, C., Dolan, R., Hedblom, M., Klotz, S., Kooijmans, J. L., Kühn, I., Macgregor-Fors, I., McDonnell, M., Mörtberg, U., Pysek, P., Siebert, S., Sushinsky, J., Werner, P., &amp; Winter, M. (2014). A global analysis of the impacts of urbanization on bird and plant diversity reveals key anthropogenic drivers. </w:t>
      </w:r>
      <w:r w:rsidRPr="008608AA">
        <w:rPr>
          <w:i/>
          <w:iCs/>
          <w:noProof/>
        </w:rPr>
        <w:t>Proceedings. Biological Sciences</w:t>
      </w:r>
      <w:r w:rsidRPr="008608AA">
        <w:rPr>
          <w:noProof/>
        </w:rPr>
        <w:t xml:space="preserve">, </w:t>
      </w:r>
      <w:r w:rsidRPr="008608AA">
        <w:rPr>
          <w:i/>
          <w:iCs/>
          <w:noProof/>
        </w:rPr>
        <w:t>281</w:t>
      </w:r>
      <w:r w:rsidRPr="008608AA">
        <w:rPr>
          <w:noProof/>
        </w:rPr>
        <w:t>(1780), 20133330. https://doi.org/10.1098/rspb.2013.3330</w:t>
      </w:r>
    </w:p>
    <w:p w14:paraId="4C53072D" w14:textId="77777777" w:rsidR="00DD4E98" w:rsidRPr="008608AA" w:rsidRDefault="00DD4E98" w:rsidP="00DD4E98">
      <w:pPr>
        <w:widowControl w:val="0"/>
        <w:ind w:left="906" w:hangingChars="412" w:hanging="906"/>
        <w:contextualSpacing/>
        <w:rPr>
          <w:lang w:val="es-CO"/>
        </w:rPr>
      </w:pPr>
      <w:r w:rsidRPr="008608AA">
        <w:t xml:space="preserve">Arriagada, R. A., Sills, E. O., Ferraro, P. J., &amp; Pattanayak, S. K. (2015). Do payments pay off? Evidence from participation in Costa Rica’s PES program. </w:t>
      </w:r>
      <w:r w:rsidRPr="008608AA">
        <w:rPr>
          <w:i/>
          <w:lang w:val="es-CO"/>
        </w:rPr>
        <w:t>PLoS ONE</w:t>
      </w:r>
      <w:r w:rsidRPr="008608AA">
        <w:rPr>
          <w:lang w:val="es-CO"/>
        </w:rPr>
        <w:t xml:space="preserve">, </w:t>
      </w:r>
      <w:r w:rsidRPr="008608AA">
        <w:rPr>
          <w:i/>
          <w:lang w:val="es-CO"/>
        </w:rPr>
        <w:t>10</w:t>
      </w:r>
      <w:r w:rsidRPr="008608AA">
        <w:rPr>
          <w:lang w:val="es-CO"/>
        </w:rPr>
        <w:t>(7), (pp. 1–17). https://doi.org/10.1371/journal.pone.0131544</w:t>
      </w:r>
    </w:p>
    <w:p w14:paraId="2847382B" w14:textId="77777777" w:rsidR="00DD4E98" w:rsidRPr="008608AA" w:rsidRDefault="00DD4E98" w:rsidP="00DD4E98">
      <w:pPr>
        <w:widowControl w:val="0"/>
        <w:ind w:left="906" w:hangingChars="412" w:hanging="906"/>
        <w:contextualSpacing/>
      </w:pPr>
      <w:r w:rsidRPr="008608AA">
        <w:rPr>
          <w:lang w:val="es-CO"/>
        </w:rPr>
        <w:t xml:space="preserve">Ashworth, L., Quesada, M., Casas, A., Aguilar, R., &amp; Oyama, K. (2009). </w:t>
      </w:r>
      <w:r w:rsidRPr="008608AA">
        <w:t xml:space="preserve">Pollinator-dependent food production in Mexico. </w:t>
      </w:r>
      <w:r w:rsidRPr="008608AA">
        <w:rPr>
          <w:i/>
        </w:rPr>
        <w:t>Biological Conservation</w:t>
      </w:r>
      <w:r w:rsidRPr="008608AA">
        <w:t xml:space="preserve">, </w:t>
      </w:r>
      <w:r w:rsidRPr="008608AA">
        <w:rPr>
          <w:i/>
        </w:rPr>
        <w:t>142</w:t>
      </w:r>
      <w:r w:rsidRPr="008608AA">
        <w:t>(5), (pp. 1050–1057). https://doi.org/10.1016/j.biocon.2009.01.016</w:t>
      </w:r>
    </w:p>
    <w:p w14:paraId="4F4295E6" w14:textId="77777777" w:rsidR="00DD4E98" w:rsidRPr="008608AA" w:rsidRDefault="00DD4E98" w:rsidP="00DD4E98">
      <w:pPr>
        <w:widowControl w:val="0"/>
        <w:ind w:left="906" w:hangingChars="412" w:hanging="906"/>
        <w:contextualSpacing/>
      </w:pPr>
      <w:r w:rsidRPr="008608AA">
        <w:t xml:space="preserve">Association of Zoos and Aquariums (AZA). (2017). </w:t>
      </w:r>
      <w:r w:rsidRPr="008608AA">
        <w:rPr>
          <w:i/>
        </w:rPr>
        <w:t>Zoo and aquarium statistics</w:t>
      </w:r>
      <w:r w:rsidRPr="008608AA">
        <w:t>. Retrieved May 2, 2017, from https://www.aza.org/zoo-and-aquarium-statistics</w:t>
      </w:r>
    </w:p>
    <w:p w14:paraId="487D6EF2" w14:textId="77777777" w:rsidR="00DD4E98" w:rsidRPr="00CE0821" w:rsidRDefault="00DD4E98" w:rsidP="00DD4E98">
      <w:pPr>
        <w:widowControl w:val="0"/>
        <w:ind w:left="906" w:hangingChars="412" w:hanging="906"/>
        <w:contextualSpacing/>
      </w:pPr>
      <w:r w:rsidRPr="008608AA">
        <w:t xml:space="preserve">Avnery, S., Mauzerall, D. L., Liu, J., &amp; Horowitz, L. W. (2011). Global crop yield reductions due to surface ozone exposure: 2. Year 2030 potential crop production losses and economic damage under two scenarios of O3 pollution. </w:t>
      </w:r>
      <w:r w:rsidRPr="00CE0821">
        <w:rPr>
          <w:i/>
        </w:rPr>
        <w:t>Atmospheric Environment</w:t>
      </w:r>
      <w:r w:rsidRPr="00CE0821">
        <w:t xml:space="preserve">, </w:t>
      </w:r>
      <w:r w:rsidRPr="00CE0821">
        <w:rPr>
          <w:i/>
        </w:rPr>
        <w:t>45</w:t>
      </w:r>
      <w:r w:rsidRPr="00CE0821">
        <w:t>(13), (pp. 2297–2309). https://doi.org/10.1016/j.atmosenv.2011.01.002</w:t>
      </w:r>
    </w:p>
    <w:p w14:paraId="0F162451" w14:textId="77777777" w:rsidR="00DD4E98" w:rsidRPr="008608AA" w:rsidRDefault="00DD4E98" w:rsidP="00DD4E98">
      <w:pPr>
        <w:widowControl w:val="0"/>
        <w:ind w:left="906" w:hangingChars="412" w:hanging="906"/>
        <w:contextualSpacing/>
      </w:pPr>
      <w:r w:rsidRPr="00CE0821">
        <w:t xml:space="preserve">Ayala, J. (1997). </w:t>
      </w:r>
      <w:r w:rsidRPr="008608AA">
        <w:rPr>
          <w:i/>
          <w:lang w:val="es-CO"/>
        </w:rPr>
        <w:t>Utilización de la fauna silvestre del grupo étnico Ayoreode en la comunidad Tobité, Santa Cruz, Bolivia</w:t>
      </w:r>
      <w:r w:rsidRPr="008608AA">
        <w:rPr>
          <w:lang w:val="es-CO"/>
        </w:rPr>
        <w:t xml:space="preserve">. </w:t>
      </w:r>
      <w:r w:rsidRPr="008608AA">
        <w:t>UAGRM.</w:t>
      </w:r>
    </w:p>
    <w:p w14:paraId="5F7BE834" w14:textId="77777777" w:rsidR="00DD4E98" w:rsidRPr="008608AA" w:rsidRDefault="00DD4E98" w:rsidP="00DD4E98">
      <w:pPr>
        <w:widowControl w:val="0"/>
        <w:ind w:left="906" w:hangingChars="412" w:hanging="906"/>
        <w:contextualSpacing/>
      </w:pPr>
      <w:r w:rsidRPr="008608AA">
        <w:t xml:space="preserve">Ayala, R., Gonzalez, H. V., &amp; Engel, S. M. (2013). Mexican Stingless Bees (Hymenoptera:Apidae): Diversity, Distribution, and Indigenous Knowledge. In </w:t>
      </w:r>
      <w:r w:rsidRPr="008608AA">
        <w:rPr>
          <w:i/>
        </w:rPr>
        <w:t>Pot-Honey: A Legacy of Stingless Bees</w:t>
      </w:r>
      <w:r w:rsidRPr="008608AA">
        <w:t xml:space="preserve"> (pp. 1–654). https://doi.org/10.1007/978-1-4614-4960-7</w:t>
      </w:r>
    </w:p>
    <w:p w14:paraId="2F87F63F" w14:textId="77777777" w:rsidR="00DD4E98" w:rsidRPr="008608AA" w:rsidRDefault="00DD4E98" w:rsidP="00DD4E98">
      <w:pPr>
        <w:widowControl w:val="0"/>
        <w:ind w:left="906" w:hangingChars="412" w:hanging="906"/>
        <w:contextualSpacing/>
      </w:pPr>
      <w:r w:rsidRPr="008608AA">
        <w:rPr>
          <w:lang w:val="es-CO"/>
        </w:rPr>
        <w:t xml:space="preserve">Baeza, A., Santos-Vega, M., Dobson, A. P., &amp; Pascual, M. (2017). </w:t>
      </w:r>
      <w:r w:rsidRPr="008608AA">
        <w:t xml:space="preserve">The rise and fall of malaria under land-use change in frontier regions. </w:t>
      </w:r>
      <w:r w:rsidRPr="008608AA">
        <w:rPr>
          <w:i/>
        </w:rPr>
        <w:t>Nature Ecology &amp; Evolution</w:t>
      </w:r>
      <w:r w:rsidRPr="008608AA">
        <w:t xml:space="preserve">, </w:t>
      </w:r>
      <w:r w:rsidRPr="008608AA">
        <w:rPr>
          <w:i/>
        </w:rPr>
        <w:t>1</w:t>
      </w:r>
      <w:r w:rsidRPr="008608AA">
        <w:t>(5), (pp. 108). https://doi.org/10.1038/s41559-017-0108</w:t>
      </w:r>
    </w:p>
    <w:p w14:paraId="0DFEA32F" w14:textId="77777777" w:rsidR="00DD4E98" w:rsidRPr="008608AA" w:rsidRDefault="00DD4E98" w:rsidP="00DD4E98">
      <w:pPr>
        <w:widowControl w:val="0"/>
        <w:ind w:left="906" w:hangingChars="412" w:hanging="906"/>
        <w:contextualSpacing/>
        <w:rPr>
          <w:lang w:val="pt-BR"/>
        </w:rPr>
      </w:pPr>
      <w:r w:rsidRPr="008608AA">
        <w:t xml:space="preserve">Bahia, F. N. C., Seixas, S. C., Araujo, L. G., Farinaci, J. S., &amp; Chamy, P. (2013). Implementation of a National Park over traditional lands of the Trindade community in Paraty, Brazil. In T. C. Magro, L. M. Rodrigues, D. F. Silva Filho, J. L. Polizel, &amp; J. Leahy (Eds.), </w:t>
      </w:r>
      <w:r w:rsidRPr="008608AA">
        <w:rPr>
          <w:i/>
        </w:rPr>
        <w:t>Protected Areas and Place Making Conference</w:t>
      </w:r>
      <w:r w:rsidRPr="008608AA">
        <w:t xml:space="preserve"> (pp. 46–51). </w:t>
      </w:r>
      <w:r w:rsidRPr="008608AA">
        <w:rPr>
          <w:lang w:val="pt-BR"/>
        </w:rPr>
        <w:t>Foz do Iguaçú, PR: Forestry Sciences Departament – ESALQ/USP.</w:t>
      </w:r>
    </w:p>
    <w:p w14:paraId="7CC702CF" w14:textId="77777777" w:rsidR="00DD4E98" w:rsidRPr="008608AA" w:rsidRDefault="00DD4E98" w:rsidP="00DD4E98">
      <w:pPr>
        <w:widowControl w:val="0"/>
        <w:ind w:left="906" w:hangingChars="412" w:hanging="906"/>
        <w:contextualSpacing/>
      </w:pPr>
      <w:r w:rsidRPr="008608AA">
        <w:rPr>
          <w:lang w:val="pt-BR"/>
        </w:rPr>
        <w:t xml:space="preserve">Balee, W. (1985). </w:t>
      </w:r>
      <w:r w:rsidRPr="008608AA">
        <w:rPr>
          <w:i/>
        </w:rPr>
        <w:t>The Kalapalo Indians of central Brazil. Holt, Rinehart and Winston.</w:t>
      </w:r>
      <w:r w:rsidRPr="008608AA">
        <w:t xml:space="preserve"> </w:t>
      </w:r>
      <w:r w:rsidRPr="008608AA">
        <w:rPr>
          <w:i/>
        </w:rPr>
        <w:t>Human Ecology</w:t>
      </w:r>
      <w:r w:rsidRPr="008608AA">
        <w:t xml:space="preserve"> (Vol. 13).</w:t>
      </w:r>
    </w:p>
    <w:p w14:paraId="79C3BD00" w14:textId="77777777" w:rsidR="00DD4E98" w:rsidRPr="008608AA" w:rsidRDefault="00DD4E98" w:rsidP="00DD4E98">
      <w:pPr>
        <w:widowControl w:val="0"/>
        <w:ind w:left="906" w:hangingChars="412" w:hanging="906"/>
        <w:contextualSpacing/>
      </w:pPr>
      <w:r w:rsidRPr="008608AA">
        <w:t xml:space="preserve">Balée, W. (2013). </w:t>
      </w:r>
      <w:r w:rsidRPr="008608AA">
        <w:rPr>
          <w:i/>
        </w:rPr>
        <w:t>Cultural Forests of the Amazon: A Historical Ecology of People and Their Landscapes.</w:t>
      </w:r>
      <w:r w:rsidRPr="008608AA">
        <w:t xml:space="preserve"> University of Alabama Press.</w:t>
      </w:r>
    </w:p>
    <w:p w14:paraId="6536A84D" w14:textId="77777777" w:rsidR="00DD4E98" w:rsidRPr="008608AA" w:rsidRDefault="00DD4E98" w:rsidP="00DD4E98">
      <w:pPr>
        <w:widowControl w:val="0"/>
        <w:ind w:left="906" w:hangingChars="412" w:hanging="906"/>
        <w:contextualSpacing/>
      </w:pPr>
      <w:r w:rsidRPr="008608AA">
        <w:t xml:space="preserve">Balée, W. L. (1993). </w:t>
      </w:r>
      <w:r w:rsidRPr="008608AA">
        <w:rPr>
          <w:i/>
        </w:rPr>
        <w:t>Footprints of the Forest Ka’apor Ethnobotany—the Historical Ecology of Plant Utilization by an Amazonian People</w:t>
      </w:r>
      <w:r w:rsidRPr="008608AA">
        <w:t>. New York, NY, USA: Columbia University Press.</w:t>
      </w:r>
    </w:p>
    <w:p w14:paraId="7CE38330" w14:textId="77777777" w:rsidR="00DD4E98" w:rsidRPr="008608AA" w:rsidRDefault="00DD4E98" w:rsidP="00DD4E98">
      <w:pPr>
        <w:widowControl w:val="0"/>
        <w:ind w:left="906" w:hangingChars="412" w:hanging="906"/>
        <w:contextualSpacing/>
      </w:pPr>
      <w:r w:rsidRPr="008608AA">
        <w:t xml:space="preserve">Balvanera, P., Castillo, A., &amp; Martínez-Harms, M. J. (2011). Ecosystem Services in Seasonally Dry Tropical Forests. In R. Dirzo, H. S. Young, H. A. Mooney, &amp; G. Ceballos (Eds.), </w:t>
      </w:r>
      <w:r w:rsidRPr="008608AA">
        <w:rPr>
          <w:i/>
        </w:rPr>
        <w:t>Seasonally Dry Tropical Forests</w:t>
      </w:r>
      <w:r w:rsidRPr="008608AA">
        <w:t xml:space="preserve"> (pp. 259–277). Island Press/Center for Resource Economics.</w:t>
      </w:r>
    </w:p>
    <w:p w14:paraId="3F2CB3E3"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Balvanera, P., Castillo, A., &amp; Martínez-Harms, M. J. (2011). Ecosystem Services in Seasonally Dry Tropical Forests. In R. Dirzo, H. S. Young, H. A. Mooney, &amp; G. Ceballos (Eds.), </w:t>
      </w:r>
      <w:r w:rsidRPr="008608AA">
        <w:rPr>
          <w:i/>
          <w:iCs/>
          <w:noProof/>
        </w:rPr>
        <w:t>Seasonally Dry Tropical Forests</w:t>
      </w:r>
      <w:r w:rsidRPr="008608AA">
        <w:rPr>
          <w:noProof/>
        </w:rPr>
        <w:t xml:space="preserve"> (pp. 259–277). Island Press/Center for Resource Economics.</w:t>
      </w:r>
    </w:p>
    <w:p w14:paraId="30FDD139" w14:textId="77777777" w:rsidR="00DD4E98" w:rsidRPr="008608AA" w:rsidRDefault="00DD4E98" w:rsidP="00DD4E98">
      <w:pPr>
        <w:widowControl w:val="0"/>
        <w:ind w:left="906" w:hangingChars="412" w:hanging="906"/>
        <w:contextualSpacing/>
      </w:pPr>
      <w:r w:rsidRPr="008608AA">
        <w:t xml:space="preserve">Barbier, E. B., &amp; Enchelmeyer, B. S. (2014). Valuing the storm surge protection service of US Gulf Coast wetlands. </w:t>
      </w:r>
      <w:r w:rsidRPr="008608AA">
        <w:rPr>
          <w:i/>
        </w:rPr>
        <w:t>Journal of Environmental Economics and Policy</w:t>
      </w:r>
      <w:r w:rsidRPr="008608AA">
        <w:t xml:space="preserve">, </w:t>
      </w:r>
      <w:r w:rsidRPr="008608AA">
        <w:rPr>
          <w:i/>
        </w:rPr>
        <w:t>3</w:t>
      </w:r>
      <w:r w:rsidRPr="008608AA">
        <w:t>(2), (pp. 167–185). https://doi.org/10.1080/21606544.2013.876370</w:t>
      </w:r>
    </w:p>
    <w:p w14:paraId="145055AC" w14:textId="77777777" w:rsidR="00DD4E98" w:rsidRPr="008608AA" w:rsidRDefault="00DD4E98" w:rsidP="00DD4E98">
      <w:pPr>
        <w:widowControl w:val="0"/>
        <w:ind w:left="906" w:hangingChars="412" w:hanging="906"/>
        <w:contextualSpacing/>
      </w:pPr>
      <w:r w:rsidRPr="008608AA">
        <w:t xml:space="preserve">Barbier, E. B., &amp; Strand, I. (1998). Valuing Mangrove-Fishery Linkages -- A Case Study of Campeche, Mexico. </w:t>
      </w:r>
      <w:r w:rsidRPr="008608AA">
        <w:rPr>
          <w:i/>
        </w:rPr>
        <w:t>Environmental and Resource Economics</w:t>
      </w:r>
      <w:r w:rsidRPr="008608AA">
        <w:t xml:space="preserve">, </w:t>
      </w:r>
      <w:r w:rsidRPr="008608AA">
        <w:rPr>
          <w:i/>
        </w:rPr>
        <w:t>12</w:t>
      </w:r>
      <w:r w:rsidRPr="008608AA">
        <w:t>(2), (pp. 151–166). https://doi.org/10.1023/A:1008248003520</w:t>
      </w:r>
    </w:p>
    <w:p w14:paraId="68F3526B" w14:textId="77777777" w:rsidR="00DD4E98" w:rsidRPr="008608AA" w:rsidRDefault="00DD4E98" w:rsidP="00DD4E98">
      <w:pPr>
        <w:widowControl w:val="0"/>
        <w:ind w:left="906" w:hangingChars="412" w:hanging="906"/>
        <w:contextualSpacing/>
      </w:pPr>
      <w:r w:rsidRPr="008608AA">
        <w:t xml:space="preserve">Barbosa, O., &amp; Villagra, P. (2015). </w:t>
      </w:r>
      <w:r w:rsidRPr="008608AA">
        <w:rPr>
          <w:i/>
        </w:rPr>
        <w:t>Socio-Ecological Studies in Urban and Rural Ecosystems in Chile</w:t>
      </w:r>
      <w:r w:rsidRPr="008608AA">
        <w:t xml:space="preserve">. (R. Rozzi &amp; et al., Eds.), </w:t>
      </w:r>
      <w:r w:rsidRPr="008608AA">
        <w:rPr>
          <w:i/>
        </w:rPr>
        <w:t>Earth Stewardship Ecology and Ethics</w:t>
      </w:r>
      <w:r w:rsidRPr="008608AA">
        <w:t>. Chile: Springer International Publishing Switzerland. https://doi.org/10.1007/978-3-319-12133-8_19</w:t>
      </w:r>
    </w:p>
    <w:p w14:paraId="59ADAFC8" w14:textId="77777777" w:rsidR="00DD4E98" w:rsidRPr="008608AA" w:rsidRDefault="00DD4E98" w:rsidP="00DD4E98">
      <w:pPr>
        <w:widowControl w:val="0"/>
        <w:ind w:left="906" w:hangingChars="412" w:hanging="906"/>
        <w:contextualSpacing/>
      </w:pPr>
      <w:r w:rsidRPr="008608AA">
        <w:t xml:space="preserve">Barbosa, O., Tratalos, J. A., Armsworth, P. R., Davies, R. G., Fuller, R. A., Johnson, P., &amp; Gaston, K. J. (2007). Who benefits from access to green space? A case study from Sheffield, UK. </w:t>
      </w:r>
      <w:r w:rsidRPr="008608AA">
        <w:rPr>
          <w:i/>
        </w:rPr>
        <w:t>Landscape and Urban Planning</w:t>
      </w:r>
      <w:r w:rsidRPr="008608AA">
        <w:t xml:space="preserve">, </w:t>
      </w:r>
      <w:r w:rsidRPr="008608AA">
        <w:rPr>
          <w:i/>
        </w:rPr>
        <w:t>83</w:t>
      </w:r>
      <w:r w:rsidRPr="008608AA">
        <w:t>(2–3), (pp. 187–195). https://doi.org/10.1016/j.landurbplan.2007.04.004</w:t>
      </w:r>
    </w:p>
    <w:p w14:paraId="773D6E7C" w14:textId="77777777" w:rsidR="00DD4E98" w:rsidRPr="008608AA" w:rsidRDefault="00DD4E98" w:rsidP="00DD4E98">
      <w:pPr>
        <w:widowControl w:val="0"/>
        <w:ind w:left="906" w:hangingChars="412" w:hanging="906"/>
        <w:contextualSpacing/>
        <w:rPr>
          <w:lang w:val="pt-BR"/>
        </w:rPr>
      </w:pPr>
      <w:r w:rsidRPr="008608AA">
        <w:rPr>
          <w:lang w:val="es-CO"/>
        </w:rPr>
        <w:t xml:space="preserve">Barboza, G. E., Cantero, J. J., Núñez, C., Pacciaroni, A., &amp; Espinar, L. A. (2009). </w:t>
      </w:r>
      <w:r w:rsidRPr="008608AA">
        <w:t xml:space="preserve">Medicinal plants: A general review and a phytochemical and ethnopharmacological screening of the native Argentine Flora. </w:t>
      </w:r>
      <w:r w:rsidRPr="008608AA">
        <w:rPr>
          <w:i/>
          <w:lang w:val="pt-BR"/>
        </w:rPr>
        <w:t>Kurtziana</w:t>
      </w:r>
      <w:r w:rsidRPr="008608AA">
        <w:rPr>
          <w:lang w:val="pt-BR"/>
        </w:rPr>
        <w:t xml:space="preserve">, </w:t>
      </w:r>
      <w:r w:rsidRPr="008608AA">
        <w:rPr>
          <w:i/>
          <w:lang w:val="pt-BR"/>
        </w:rPr>
        <w:t>34</w:t>
      </w:r>
      <w:r w:rsidRPr="008608AA">
        <w:rPr>
          <w:lang w:val="pt-BR"/>
        </w:rPr>
        <w:t>(1–2).</w:t>
      </w:r>
    </w:p>
    <w:p w14:paraId="0AC47B4B" w14:textId="77777777" w:rsidR="00DD4E98" w:rsidRPr="008608AA" w:rsidRDefault="00DD4E98" w:rsidP="00DD4E98">
      <w:pPr>
        <w:widowControl w:val="0"/>
        <w:autoSpaceDE w:val="0"/>
        <w:autoSpaceDN w:val="0"/>
        <w:adjustRightInd w:val="0"/>
        <w:ind w:left="906" w:hangingChars="412" w:hanging="906"/>
        <w:rPr>
          <w:noProof/>
        </w:rPr>
      </w:pPr>
      <w:r w:rsidRPr="008608AA">
        <w:rPr>
          <w:noProof/>
          <w:lang w:val="es-ES"/>
        </w:rPr>
        <w:t xml:space="preserve">Bardach, A., Ciapponi, A., Rey-Ares, L., Rojas, J. I., Mazzoni, A., Glujovsky, D., Valanzasca, P., Romano, M., Elorriaga, N., Dantur Juri, M. J., &amp; Boulos, M. (2015). </w:t>
      </w:r>
      <w:r w:rsidRPr="008608AA">
        <w:rPr>
          <w:noProof/>
        </w:rPr>
        <w:t xml:space="preserve">Epidemiology of Malaria in Latin America and the Caribbean from 1990 to 2009: Systematic Review and Meta-Analysis. </w:t>
      </w:r>
      <w:r w:rsidRPr="008608AA">
        <w:rPr>
          <w:i/>
          <w:iCs/>
          <w:noProof/>
        </w:rPr>
        <w:t>Value in Health Regional Issues</w:t>
      </w:r>
      <w:r w:rsidRPr="008608AA">
        <w:rPr>
          <w:noProof/>
        </w:rPr>
        <w:t xml:space="preserve">, </w:t>
      </w:r>
      <w:r w:rsidRPr="008608AA">
        <w:rPr>
          <w:i/>
          <w:iCs/>
          <w:noProof/>
        </w:rPr>
        <w:t>8</w:t>
      </w:r>
      <w:r w:rsidRPr="008608AA">
        <w:rPr>
          <w:noProof/>
        </w:rPr>
        <w:t>, 69–79. https://doi.org/10.1016/j.vhri.2015.05.002</w:t>
      </w:r>
    </w:p>
    <w:p w14:paraId="2EBAA39F" w14:textId="77777777" w:rsidR="00DD4E98" w:rsidRPr="008608AA" w:rsidRDefault="00DD4E98" w:rsidP="00DD4E98">
      <w:pPr>
        <w:widowControl w:val="0"/>
        <w:ind w:left="906" w:hangingChars="412" w:hanging="906"/>
        <w:contextualSpacing/>
      </w:pPr>
      <w:r w:rsidRPr="008608AA">
        <w:rPr>
          <w:lang w:val="de-DE"/>
        </w:rPr>
        <w:t xml:space="preserve">Barnes, B. V., Zak, D. R., Denton, S. R., &amp; Spurr, S. H. (1998). </w:t>
      </w:r>
      <w:r w:rsidRPr="008608AA">
        <w:rPr>
          <w:i/>
        </w:rPr>
        <w:t>Forest Ecology, 4th Edition</w:t>
      </w:r>
      <w:r w:rsidRPr="008608AA">
        <w:t>. New York: John Wiley &amp; Sons, Inc.</w:t>
      </w:r>
    </w:p>
    <w:p w14:paraId="4923C727" w14:textId="77777777" w:rsidR="00DD4E98" w:rsidRPr="008608AA" w:rsidRDefault="00DD4E98" w:rsidP="00DD4E98">
      <w:pPr>
        <w:widowControl w:val="0"/>
        <w:ind w:left="906" w:hangingChars="412" w:hanging="906"/>
        <w:contextualSpacing/>
      </w:pPr>
      <w:r w:rsidRPr="008608AA">
        <w:t xml:space="preserve">Barrett, C. B. (2010). Measuring Food Insecurity. </w:t>
      </w:r>
      <w:r w:rsidRPr="008608AA">
        <w:rPr>
          <w:i/>
        </w:rPr>
        <w:t>Science</w:t>
      </w:r>
      <w:r w:rsidRPr="008608AA">
        <w:t xml:space="preserve">, </w:t>
      </w:r>
      <w:r w:rsidRPr="008608AA">
        <w:rPr>
          <w:i/>
        </w:rPr>
        <w:t>327</w:t>
      </w:r>
      <w:r w:rsidRPr="008608AA">
        <w:t>(February), (pp. 825–828). https://doi.org/10.1126/science.1182768</w:t>
      </w:r>
    </w:p>
    <w:p w14:paraId="7C9C0C70" w14:textId="77777777" w:rsidR="00DD4E98" w:rsidRPr="008608AA" w:rsidRDefault="00DD4E98" w:rsidP="00DD4E98">
      <w:pPr>
        <w:widowControl w:val="0"/>
        <w:ind w:left="906" w:hangingChars="412" w:hanging="906"/>
        <w:contextualSpacing/>
        <w:rPr>
          <w:noProof/>
        </w:rPr>
      </w:pPr>
      <w:r w:rsidRPr="008608AA">
        <w:rPr>
          <w:lang w:val="es-CO"/>
        </w:rPr>
        <w:t xml:space="preserve">Barrios, Y., Ramírez, N., Ramírez, E., Sánchez, E., &amp; Del Castillo, R. (2010). Importancia de los polinizadores en la reproducción de seis especies de subpáramo del Pico Naiguata (Parque Nacional el Ávila-Venezuela). </w:t>
      </w:r>
      <w:r w:rsidRPr="008608AA">
        <w:rPr>
          <w:i/>
        </w:rPr>
        <w:t>Acta Botánica Venezuélica</w:t>
      </w:r>
      <w:r w:rsidRPr="008608AA">
        <w:t xml:space="preserve">, </w:t>
      </w:r>
      <w:r w:rsidRPr="008608AA">
        <w:rPr>
          <w:i/>
        </w:rPr>
        <w:t>33</w:t>
      </w:r>
      <w:r w:rsidRPr="008608AA">
        <w:t>(2), 213–231.</w:t>
      </w:r>
    </w:p>
    <w:p w14:paraId="09962CC3" w14:textId="77777777" w:rsidR="00DD4E98" w:rsidRPr="008608AA" w:rsidRDefault="00DD4E98" w:rsidP="00DD4E98">
      <w:pPr>
        <w:widowControl w:val="0"/>
        <w:ind w:left="906" w:hangingChars="412" w:hanging="906"/>
        <w:contextualSpacing/>
      </w:pPr>
      <w:r w:rsidRPr="008608AA">
        <w:t xml:space="preserve">Basso, E. B. (1973). </w:t>
      </w:r>
      <w:r w:rsidRPr="008608AA">
        <w:rPr>
          <w:i/>
        </w:rPr>
        <w:t>The Kalapalo Indians of central Brazil</w:t>
      </w:r>
      <w:r w:rsidRPr="008608AA">
        <w:t xml:space="preserve">. </w:t>
      </w:r>
      <w:r w:rsidRPr="008608AA">
        <w:rPr>
          <w:i/>
        </w:rPr>
        <w:t>Case studies in cultural anthropology</w:t>
      </w:r>
      <w:r w:rsidRPr="008608AA">
        <w:t>.</w:t>
      </w:r>
    </w:p>
    <w:p w14:paraId="613FE2EB" w14:textId="77777777" w:rsidR="00DD4E98" w:rsidRPr="008608AA" w:rsidRDefault="00DD4E98" w:rsidP="00DD4E98">
      <w:pPr>
        <w:widowControl w:val="0"/>
        <w:ind w:left="906" w:hangingChars="412" w:hanging="906"/>
        <w:contextualSpacing/>
      </w:pPr>
      <w:r w:rsidRPr="008608AA">
        <w:rPr>
          <w:lang w:val="es-CO"/>
        </w:rPr>
        <w:t xml:space="preserve">Bastos, G. C., &amp; Petrere, M. (2010). </w:t>
      </w:r>
      <w:r w:rsidRPr="008608AA">
        <w:t xml:space="preserve">Small-scale marine fisheries in the municipal district of Florianópolis, Santa Catarina, Brazil. </w:t>
      </w:r>
      <w:r w:rsidRPr="008608AA">
        <w:rPr>
          <w:i/>
        </w:rPr>
        <w:t>Brazilian Journal of Biology</w:t>
      </w:r>
      <w:r w:rsidRPr="008608AA">
        <w:t xml:space="preserve">, </w:t>
      </w:r>
      <w:r w:rsidRPr="008608AA">
        <w:rPr>
          <w:i/>
        </w:rPr>
        <w:t>70</w:t>
      </w:r>
      <w:r w:rsidRPr="008608AA">
        <w:t>(4), (pp. 947–953). https://doi.org/10.1590/S1519-69842010000500005</w:t>
      </w:r>
    </w:p>
    <w:p w14:paraId="6AF14668" w14:textId="77777777" w:rsidR="00DD4E98" w:rsidRPr="00A3137A" w:rsidRDefault="00DD4E98" w:rsidP="00DD4E98">
      <w:pPr>
        <w:widowControl w:val="0"/>
        <w:ind w:left="906" w:hangingChars="412" w:hanging="906"/>
        <w:contextualSpacing/>
        <w:rPr>
          <w:lang w:val="fr-FR"/>
        </w:rPr>
      </w:pPr>
      <w:r w:rsidRPr="008608AA">
        <w:t xml:space="preserve">Baumgardner, D., Varela, S., Escobedo, F. J., Chacalo, A., &amp; Ochoa, C. (2012). The role of a peri-urban forest on air quality improvement in the Mexico City megalopolis. </w:t>
      </w:r>
      <w:r w:rsidRPr="00A3137A">
        <w:rPr>
          <w:i/>
          <w:lang w:val="fr-FR"/>
        </w:rPr>
        <w:t>Environmental Pollution</w:t>
      </w:r>
      <w:r w:rsidRPr="00A3137A">
        <w:rPr>
          <w:lang w:val="fr-FR"/>
        </w:rPr>
        <w:t xml:space="preserve">, </w:t>
      </w:r>
      <w:r w:rsidRPr="00A3137A">
        <w:rPr>
          <w:i/>
          <w:lang w:val="fr-FR"/>
        </w:rPr>
        <w:t>163</w:t>
      </w:r>
      <w:r w:rsidRPr="00A3137A">
        <w:rPr>
          <w:lang w:val="fr-FR"/>
        </w:rPr>
        <w:t>(April), (pp. 174–183). https://doi.org/10.1016/j.envpol.2011.12.016</w:t>
      </w:r>
    </w:p>
    <w:p w14:paraId="4526F958" w14:textId="77777777" w:rsidR="00DD4E98" w:rsidRPr="008608AA" w:rsidRDefault="00DD4E98" w:rsidP="00DD4E98">
      <w:pPr>
        <w:widowControl w:val="0"/>
        <w:ind w:left="906" w:hangingChars="412" w:hanging="906"/>
        <w:contextualSpacing/>
        <w:rPr>
          <w:lang w:val="es-CO"/>
        </w:rPr>
      </w:pPr>
      <w:r w:rsidRPr="00A3137A">
        <w:rPr>
          <w:lang w:val="fr-FR"/>
        </w:rPr>
        <w:t xml:space="preserve">Begossi, A. (1998). </w:t>
      </w:r>
      <w:r w:rsidRPr="008608AA">
        <w:t xml:space="preserve">Cultural and ecological resilience among caiçaras of the Atlantic Forest and caboclos of the Amazon, Brazil. In F. Berkes &amp; C. Folke (Eds.), </w:t>
      </w:r>
      <w:r w:rsidRPr="008608AA">
        <w:rPr>
          <w:i/>
        </w:rPr>
        <w:t>Linking Social and Ecological Systems</w:t>
      </w:r>
      <w:r w:rsidRPr="008608AA">
        <w:t xml:space="preserve"> (pp. 129–157). </w:t>
      </w:r>
      <w:r w:rsidRPr="008608AA">
        <w:rPr>
          <w:lang w:val="es-CO"/>
        </w:rPr>
        <w:t>Cambridge University Press.</w:t>
      </w:r>
    </w:p>
    <w:p w14:paraId="03387EA9" w14:textId="77777777" w:rsidR="00DD4E98" w:rsidRPr="008608AA" w:rsidRDefault="00DD4E98" w:rsidP="00DD4E98">
      <w:pPr>
        <w:widowControl w:val="0"/>
        <w:ind w:left="906" w:hangingChars="412" w:hanging="906"/>
        <w:contextualSpacing/>
      </w:pPr>
      <w:r w:rsidRPr="008608AA">
        <w:rPr>
          <w:lang w:val="es-CO"/>
        </w:rPr>
        <w:t xml:space="preserve">Benavidez, G. (1999). </w:t>
      </w:r>
      <w:r w:rsidRPr="008608AA">
        <w:rPr>
          <w:i/>
          <w:lang w:val="es-CO"/>
        </w:rPr>
        <w:t>Gestión local de recursos naturales y agroecología. Un proceso de recuperación de la base productive de recursos naturales en el municipio Comanche</w:t>
      </w:r>
      <w:r w:rsidRPr="008608AA">
        <w:rPr>
          <w:lang w:val="es-CO"/>
        </w:rPr>
        <w:t xml:space="preserve">. </w:t>
      </w:r>
      <w:r w:rsidRPr="008608AA">
        <w:rPr>
          <w:i/>
        </w:rPr>
        <w:t>RURALTER</w:t>
      </w:r>
      <w:r w:rsidRPr="008608AA">
        <w:t xml:space="preserve">, </w:t>
      </w:r>
      <w:r w:rsidRPr="008608AA">
        <w:rPr>
          <w:i/>
        </w:rPr>
        <w:t>18</w:t>
      </w:r>
      <w:r w:rsidRPr="008608AA">
        <w:t>, (pp. 183–189).</w:t>
      </w:r>
    </w:p>
    <w:p w14:paraId="295FDD22" w14:textId="77777777" w:rsidR="00DD4E98" w:rsidRPr="008608AA" w:rsidRDefault="00DD4E98" w:rsidP="00DD4E98">
      <w:pPr>
        <w:widowControl w:val="0"/>
        <w:ind w:left="906" w:hangingChars="412" w:hanging="906"/>
        <w:contextualSpacing/>
      </w:pPr>
      <w:r w:rsidRPr="008608AA">
        <w:t xml:space="preserve">Béné, C., Macfadayen, G., &amp; Allison, E. H. (2007). </w:t>
      </w:r>
      <w:r w:rsidRPr="008608AA">
        <w:rPr>
          <w:i/>
        </w:rPr>
        <w:t>Increasing the contribution of small-scale fisheries to poverty alleviation and food security</w:t>
      </w:r>
      <w:r w:rsidRPr="008608AA">
        <w:t xml:space="preserve"> (Fisheries and AquacultureTechnical Papers No. 481). Rome, Italy.</w:t>
      </w:r>
    </w:p>
    <w:p w14:paraId="5DB31C9F" w14:textId="77777777" w:rsidR="00DD4E98" w:rsidRPr="008608AA" w:rsidRDefault="00DD4E98" w:rsidP="00DD4E98">
      <w:pPr>
        <w:widowControl w:val="0"/>
        <w:ind w:left="906" w:hangingChars="412" w:hanging="906"/>
        <w:contextualSpacing/>
      </w:pPr>
      <w:r w:rsidRPr="008608AA">
        <w:t xml:space="preserve">Benedict, M. A., &amp; McMahon, E. T. (2002). </w:t>
      </w:r>
      <w:r w:rsidRPr="008608AA">
        <w:rPr>
          <w:i/>
        </w:rPr>
        <w:t>Green infrastructure: Linking landscapes and communities</w:t>
      </w:r>
      <w:r w:rsidRPr="008608AA">
        <w:t>. Washington, D.C.: Island Press.</w:t>
      </w:r>
    </w:p>
    <w:p w14:paraId="3B5DE43E" w14:textId="77777777" w:rsidR="00DD4E98" w:rsidRPr="008608AA" w:rsidRDefault="00DD4E98" w:rsidP="00DD4E98">
      <w:pPr>
        <w:widowControl w:val="0"/>
        <w:ind w:left="906" w:hangingChars="412" w:hanging="906"/>
        <w:contextualSpacing/>
        <w:rPr>
          <w:lang w:val="es-CO"/>
        </w:rPr>
      </w:pPr>
      <w:r w:rsidRPr="008608AA">
        <w:t xml:space="preserve">Bennett, E. M., Peterson, G. D., &amp; Gordon, L. J. (2009). Understanding relationships among multiple ecosystem services. </w:t>
      </w:r>
      <w:r w:rsidRPr="008608AA">
        <w:rPr>
          <w:i/>
          <w:lang w:val="es-CO"/>
        </w:rPr>
        <w:t>Ecology Letters</w:t>
      </w:r>
      <w:r w:rsidRPr="008608AA">
        <w:rPr>
          <w:lang w:val="es-CO"/>
        </w:rPr>
        <w:t xml:space="preserve">, </w:t>
      </w:r>
      <w:r w:rsidRPr="008608AA">
        <w:rPr>
          <w:i/>
          <w:lang w:val="es-CO"/>
        </w:rPr>
        <w:t>12</w:t>
      </w:r>
      <w:r w:rsidRPr="008608AA">
        <w:rPr>
          <w:lang w:val="es-CO"/>
        </w:rPr>
        <w:t>(12), (pp. 1394–1404). https://doi.org/10.1111/j.1461-0248.2009.01387.x</w:t>
      </w:r>
    </w:p>
    <w:p w14:paraId="1C09E841" w14:textId="77777777" w:rsidR="00DD4E98" w:rsidRPr="008608AA" w:rsidRDefault="00DD4E98" w:rsidP="00DD4E98">
      <w:pPr>
        <w:widowControl w:val="0"/>
        <w:ind w:left="906" w:hangingChars="412" w:hanging="906"/>
        <w:contextualSpacing/>
      </w:pPr>
      <w:r w:rsidRPr="008608AA">
        <w:rPr>
          <w:lang w:val="es-CO"/>
        </w:rPr>
        <w:t xml:space="preserve">Berbés-Blázquez, M., González, J. A., &amp; Pascual, U. (2016). </w:t>
      </w:r>
      <w:r w:rsidRPr="008608AA">
        <w:t xml:space="preserve">Towards an ecosystem services approach that addresses social power relations. </w:t>
      </w:r>
      <w:r w:rsidRPr="008608AA">
        <w:rPr>
          <w:i/>
        </w:rPr>
        <w:t>Current Opinion in Environmental Sustainability</w:t>
      </w:r>
      <w:r w:rsidRPr="008608AA">
        <w:t xml:space="preserve">, </w:t>
      </w:r>
      <w:r w:rsidRPr="008608AA">
        <w:rPr>
          <w:i/>
        </w:rPr>
        <w:t>19</w:t>
      </w:r>
      <w:r w:rsidRPr="008608AA">
        <w:t>, (pp. 134–143). https://doi.org/10.1016/j.cosust.2016.02.003</w:t>
      </w:r>
    </w:p>
    <w:p w14:paraId="431FD543" w14:textId="77777777" w:rsidR="00DD4E98" w:rsidRPr="008608AA" w:rsidRDefault="00DD4E98" w:rsidP="00DD4E98">
      <w:pPr>
        <w:widowControl w:val="0"/>
        <w:ind w:left="906" w:hangingChars="412" w:hanging="906"/>
        <w:contextualSpacing/>
      </w:pPr>
      <w:r w:rsidRPr="008608AA">
        <w:t xml:space="preserve">Bergstrom, J. C., Stoll, J. R., Titre, J. P., &amp; Wright, V. L. (1990). Economic value of wetlands-based recreation. </w:t>
      </w:r>
      <w:r w:rsidRPr="008608AA">
        <w:rPr>
          <w:i/>
        </w:rPr>
        <w:t>Ecological Economics</w:t>
      </w:r>
      <w:r w:rsidRPr="008608AA">
        <w:t xml:space="preserve">, </w:t>
      </w:r>
      <w:r w:rsidRPr="008608AA">
        <w:rPr>
          <w:i/>
        </w:rPr>
        <w:t>2</w:t>
      </w:r>
      <w:r w:rsidRPr="008608AA">
        <w:t>(2), (pp. 129–147). https://doi.org/http://dx.doi.org/10.1016/0921-8009(90)90004-E</w:t>
      </w:r>
    </w:p>
    <w:p w14:paraId="37454867" w14:textId="77777777" w:rsidR="00DD4E98" w:rsidRPr="008608AA" w:rsidRDefault="00DD4E98" w:rsidP="00DD4E98">
      <w:pPr>
        <w:widowControl w:val="0"/>
        <w:ind w:left="906" w:hangingChars="412" w:hanging="906"/>
        <w:contextualSpacing/>
      </w:pPr>
      <w:r w:rsidRPr="008608AA">
        <w:t xml:space="preserve">Berkes, F. (2008). </w:t>
      </w:r>
      <w:r w:rsidRPr="008608AA">
        <w:rPr>
          <w:i/>
        </w:rPr>
        <w:t>Sacred Ecology.</w:t>
      </w:r>
      <w:r w:rsidRPr="008608AA">
        <w:t xml:space="preserve"> Routledge.</w:t>
      </w:r>
    </w:p>
    <w:p w14:paraId="77F761D2" w14:textId="77777777" w:rsidR="00DD4E98" w:rsidRPr="00A3137A" w:rsidRDefault="00DD4E98" w:rsidP="00DD4E98">
      <w:pPr>
        <w:widowControl w:val="0"/>
        <w:ind w:left="906" w:hangingChars="412" w:hanging="906"/>
        <w:contextualSpacing/>
        <w:rPr>
          <w:lang w:val="fr-FR"/>
        </w:rPr>
      </w:pPr>
      <w:r w:rsidRPr="008608AA">
        <w:rPr>
          <w:lang w:val="de-DE"/>
        </w:rPr>
        <w:t xml:space="preserve">Berman, M. G., Jonides, J., &amp; Kaplan, S. (2008). </w:t>
      </w:r>
      <w:r w:rsidRPr="008608AA">
        <w:t xml:space="preserve">The Cognitive Benefits of Interacting With Nature. </w:t>
      </w:r>
      <w:r w:rsidRPr="00A3137A">
        <w:rPr>
          <w:i/>
          <w:lang w:val="fr-FR"/>
        </w:rPr>
        <w:t>Psychological Science</w:t>
      </w:r>
      <w:r w:rsidRPr="00A3137A">
        <w:rPr>
          <w:lang w:val="fr-FR"/>
        </w:rPr>
        <w:t xml:space="preserve">, </w:t>
      </w:r>
      <w:r w:rsidRPr="00A3137A">
        <w:rPr>
          <w:i/>
          <w:lang w:val="fr-FR"/>
        </w:rPr>
        <w:t>19</w:t>
      </w:r>
      <w:r w:rsidRPr="00A3137A">
        <w:rPr>
          <w:lang w:val="fr-FR"/>
        </w:rPr>
        <w:t>(12), (pp. 1207–1212). https://doi.org/10.1111/j.1467-9280.2008.02225.x</w:t>
      </w:r>
    </w:p>
    <w:p w14:paraId="68709D4A" w14:textId="77777777" w:rsidR="00DD4E98" w:rsidRPr="008608AA" w:rsidRDefault="00DD4E98" w:rsidP="00DD4E98">
      <w:pPr>
        <w:widowControl w:val="0"/>
        <w:ind w:left="906" w:hangingChars="412" w:hanging="906"/>
        <w:contextualSpacing/>
      </w:pPr>
      <w:r w:rsidRPr="00A3137A">
        <w:rPr>
          <w:lang w:val="fr-FR"/>
        </w:rPr>
        <w:t xml:space="preserve">Bervoets, T. (2010). </w:t>
      </w:r>
      <w:r w:rsidRPr="008608AA">
        <w:rPr>
          <w:i/>
        </w:rPr>
        <w:t>Working Paper on the Economic Valuation of Country St . Maarten ’ s Coral Reef Resources</w:t>
      </w:r>
      <w:r w:rsidRPr="008608AA">
        <w:t>. St. Maarten; Netherlands Antilles.</w:t>
      </w:r>
    </w:p>
    <w:p w14:paraId="434EFE38"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Birch, J. C., Newton, A. C., Aquino, C. A., Cantarello, E., Echeverria, C., Kitzberger, T., Schiappacasse, I., &amp; Garavito, N. T. (2010). Cost-effectiveness of dryland forest restoration evaluated by spatial analysis of ecosystem services. In </w:t>
      </w:r>
      <w:r w:rsidRPr="008608AA">
        <w:rPr>
          <w:i/>
          <w:iCs/>
          <w:noProof/>
        </w:rPr>
        <w:t>Proceedings of the National Academy of Sciences</w:t>
      </w:r>
      <w:r w:rsidRPr="008608AA">
        <w:rPr>
          <w:noProof/>
        </w:rPr>
        <w:t xml:space="preserve"> (Vol. 107, pp. 21925–21930). https://doi.org/10.1073/pnas.1003369107</w:t>
      </w:r>
    </w:p>
    <w:p w14:paraId="487B781E" w14:textId="77777777" w:rsidR="00DD4E98" w:rsidRPr="008608AA" w:rsidRDefault="00DD4E98" w:rsidP="00DD4E98">
      <w:pPr>
        <w:widowControl w:val="0"/>
        <w:ind w:left="906" w:hangingChars="412" w:hanging="906"/>
        <w:contextualSpacing/>
      </w:pPr>
      <w:r w:rsidRPr="008608AA">
        <w:t xml:space="preserve">Boardman, A. E., Greenberg, D. H., R.Vining, A., &amp; Weimer, D. L. (2011). </w:t>
      </w:r>
      <w:r w:rsidRPr="008608AA">
        <w:rPr>
          <w:i/>
        </w:rPr>
        <w:t>Cost-Benefit Analysis (4th Edition)</w:t>
      </w:r>
      <w:r w:rsidRPr="008608AA">
        <w:t>. Saddle River, NJ: Prentice Hall College Div.</w:t>
      </w:r>
    </w:p>
    <w:p w14:paraId="43BC0591" w14:textId="77777777" w:rsidR="00DD4E98" w:rsidRPr="008608AA" w:rsidRDefault="00DD4E98" w:rsidP="00DD4E98">
      <w:pPr>
        <w:widowControl w:val="0"/>
        <w:ind w:left="906" w:hangingChars="412" w:hanging="906"/>
        <w:contextualSpacing/>
      </w:pPr>
      <w:r w:rsidRPr="008608AA">
        <w:rPr>
          <w:lang w:val="es-CO"/>
        </w:rPr>
        <w:t xml:space="preserve">Bonito, L. T., Hamdoun, A., &amp; Sandin, S. A. (2016). </w:t>
      </w:r>
      <w:r w:rsidRPr="008608AA">
        <w:t xml:space="preserve">Evaluation of the global impacts of mitigation on persistent, bioaccumulative and toxic pollutants in marine fish. </w:t>
      </w:r>
      <w:r w:rsidRPr="008608AA">
        <w:rPr>
          <w:i/>
        </w:rPr>
        <w:t>PeerJ</w:t>
      </w:r>
      <w:r w:rsidRPr="008608AA">
        <w:t xml:space="preserve">, </w:t>
      </w:r>
      <w:r w:rsidRPr="008608AA">
        <w:rPr>
          <w:i/>
        </w:rPr>
        <w:t>4</w:t>
      </w:r>
      <w:r w:rsidRPr="008608AA">
        <w:t>, e1573. https://doi.org/10.7717/peerj.1573</w:t>
      </w:r>
    </w:p>
    <w:p w14:paraId="1F2E7062" w14:textId="77777777" w:rsidR="00DD4E98" w:rsidRPr="008608AA" w:rsidRDefault="00DD4E98" w:rsidP="00DD4E98">
      <w:pPr>
        <w:widowControl w:val="0"/>
        <w:ind w:left="906" w:hangingChars="412" w:hanging="906"/>
        <w:contextualSpacing/>
      </w:pPr>
      <w:r w:rsidRPr="008608AA">
        <w:t xml:space="preserve">Bormann, F. H., &amp; Likens, G. E. (1967). Nutrient Cycling. </w:t>
      </w:r>
      <w:r w:rsidRPr="008608AA">
        <w:rPr>
          <w:i/>
        </w:rPr>
        <w:t>Science</w:t>
      </w:r>
      <w:r w:rsidRPr="008608AA">
        <w:t xml:space="preserve">, </w:t>
      </w:r>
      <w:r w:rsidRPr="008608AA">
        <w:rPr>
          <w:i/>
        </w:rPr>
        <w:t>155</w:t>
      </w:r>
      <w:r w:rsidRPr="008608AA">
        <w:t>(3761), 424 LP-429. Retrieved from http://science.sciencemag.org/content/155/3761/424.abstract</w:t>
      </w:r>
    </w:p>
    <w:p w14:paraId="539A17DF" w14:textId="77777777" w:rsidR="00DD4E98" w:rsidRPr="008608AA" w:rsidRDefault="00DD4E98" w:rsidP="00DD4E98">
      <w:pPr>
        <w:widowControl w:val="0"/>
        <w:ind w:left="906" w:hangingChars="412" w:hanging="906"/>
        <w:contextualSpacing/>
      </w:pPr>
      <w:r w:rsidRPr="008608AA">
        <w:t xml:space="preserve">Borré, K. (1991). </w:t>
      </w:r>
      <w:r w:rsidRPr="008608AA">
        <w:rPr>
          <w:i/>
        </w:rPr>
        <w:t>Seal Blood, Inuit Blood, and Diet: A Biocultural Model of Physiology and Cultural Identity.</w:t>
      </w:r>
      <w:r w:rsidRPr="008608AA">
        <w:t xml:space="preserve"> </w:t>
      </w:r>
      <w:r w:rsidRPr="008608AA">
        <w:rPr>
          <w:i/>
        </w:rPr>
        <w:t>Medical Anthropology Quarterly</w:t>
      </w:r>
      <w:r w:rsidRPr="008608AA">
        <w:t xml:space="preserve">, </w:t>
      </w:r>
      <w:r w:rsidRPr="008608AA">
        <w:rPr>
          <w:i/>
        </w:rPr>
        <w:t>5</w:t>
      </w:r>
      <w:r w:rsidRPr="008608AA">
        <w:t>(1), (pp. 48–62). https://doi.org/10.1525/maq.1991.5.1.02a00080</w:t>
      </w:r>
    </w:p>
    <w:p w14:paraId="5992AFA9" w14:textId="77777777" w:rsidR="00DD4E98" w:rsidRPr="008608AA" w:rsidRDefault="00DD4E98" w:rsidP="00DD4E98">
      <w:pPr>
        <w:widowControl w:val="0"/>
        <w:ind w:left="906" w:hangingChars="412" w:hanging="906"/>
        <w:contextualSpacing/>
      </w:pPr>
      <w:r w:rsidRPr="008608AA">
        <w:t xml:space="preserve">Bosch, J. M., &amp; Hewlett, J. D. (1982). A review of catchment experiments to determine the effect of vegetation changes on water yield and evapotranspiration. </w:t>
      </w:r>
      <w:r w:rsidRPr="008608AA">
        <w:rPr>
          <w:i/>
        </w:rPr>
        <w:t>Journal of Hydrology</w:t>
      </w:r>
      <w:r w:rsidRPr="008608AA">
        <w:t xml:space="preserve">, </w:t>
      </w:r>
      <w:r w:rsidRPr="008608AA">
        <w:rPr>
          <w:i/>
        </w:rPr>
        <w:t>55</w:t>
      </w:r>
      <w:r w:rsidRPr="008608AA">
        <w:t>(1–4), (pp. 3–23). https://doi.org/10.1016/0022-1694(82)90117-2</w:t>
      </w:r>
    </w:p>
    <w:p w14:paraId="6B69C494" w14:textId="77777777" w:rsidR="00DD4E98" w:rsidRPr="008608AA" w:rsidRDefault="00DD4E98" w:rsidP="00DD4E98">
      <w:pPr>
        <w:widowControl w:val="0"/>
        <w:ind w:left="906" w:hangingChars="412" w:hanging="906"/>
        <w:contextualSpacing/>
      </w:pPr>
      <w:r w:rsidRPr="008608AA">
        <w:t xml:space="preserve">Bossio, D., Geheb, K., &amp; Critchley, W. (2010). Managing water by managing land: Addressing land degradation to improve water productivity and rural livelihoods. </w:t>
      </w:r>
      <w:r w:rsidRPr="008608AA">
        <w:rPr>
          <w:i/>
        </w:rPr>
        <w:t>Agricultural Water Management</w:t>
      </w:r>
      <w:r w:rsidRPr="008608AA">
        <w:t xml:space="preserve">, </w:t>
      </w:r>
      <w:r w:rsidRPr="008608AA">
        <w:rPr>
          <w:i/>
        </w:rPr>
        <w:t>97</w:t>
      </w:r>
      <w:r w:rsidRPr="008608AA">
        <w:t>(4), (pp. 536–542). https://doi.org/10.1016/j.agwat.2008.12.001</w:t>
      </w:r>
    </w:p>
    <w:p w14:paraId="53A747F8"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Botkin, D. B., Saxe, H., Araújo, M. B., Betts, R., Bradshaw, R. H. W., Cedhagen, T., Chesson, P., Dawson, T. P., Etterson, J. R., Faith, D. P., Ferrier, S., Guisan, A., Hansen, A. S., Hilbert, D. W., Loehle, C., Margules, C., New, M., Sobel, M. J., &amp; Stockwell, D. R. B. (2007). Forecasting the Effects of Global Warming on Biodiversity. </w:t>
      </w:r>
      <w:r w:rsidRPr="008608AA">
        <w:rPr>
          <w:i/>
          <w:iCs/>
          <w:noProof/>
        </w:rPr>
        <w:t>BioScience</w:t>
      </w:r>
      <w:r w:rsidRPr="008608AA">
        <w:rPr>
          <w:noProof/>
        </w:rPr>
        <w:t xml:space="preserve">, </w:t>
      </w:r>
      <w:r w:rsidRPr="008608AA">
        <w:rPr>
          <w:i/>
          <w:iCs/>
          <w:noProof/>
        </w:rPr>
        <w:t>57</w:t>
      </w:r>
      <w:r w:rsidRPr="008608AA">
        <w:rPr>
          <w:noProof/>
        </w:rPr>
        <w:t>(3), 227–236. https://doi.org/10.1641/B570306</w:t>
      </w:r>
    </w:p>
    <w:p w14:paraId="5380C5A4" w14:textId="77777777" w:rsidR="00DD4E98" w:rsidRPr="008608AA" w:rsidRDefault="00DD4E98" w:rsidP="00DD4E98">
      <w:pPr>
        <w:widowControl w:val="0"/>
        <w:ind w:left="906" w:hangingChars="412" w:hanging="906"/>
        <w:contextualSpacing/>
      </w:pPr>
      <w:r w:rsidRPr="008608AA">
        <w:t xml:space="preserve">Bowes, M. D., &amp; Krutilla, J. V. (1989). </w:t>
      </w:r>
      <w:r w:rsidRPr="008608AA">
        <w:rPr>
          <w:i/>
        </w:rPr>
        <w:t>Multiple-use Management: The Economics of Public Forest Lands</w:t>
      </w:r>
      <w:r w:rsidRPr="008608AA">
        <w:t>. Routledge. https://doi.org/doi:10.4324/9781315060576</w:t>
      </w:r>
    </w:p>
    <w:p w14:paraId="0E2B0889" w14:textId="77777777" w:rsidR="00DD4E98" w:rsidRPr="008608AA" w:rsidRDefault="00DD4E98" w:rsidP="00DD4E98">
      <w:pPr>
        <w:widowControl w:val="0"/>
        <w:ind w:left="906" w:hangingChars="412" w:hanging="906"/>
        <w:contextualSpacing/>
      </w:pPr>
      <w:r w:rsidRPr="008608AA">
        <w:t xml:space="preserve">Boyles, J. G., Cryan, P. M., McCracken, G. F., &amp; Kunz, T. H. (2011). Economic Importance of Bats in Agriculture. </w:t>
      </w:r>
      <w:r w:rsidRPr="008608AA">
        <w:rPr>
          <w:i/>
        </w:rPr>
        <w:t>Science</w:t>
      </w:r>
      <w:r w:rsidRPr="008608AA">
        <w:t xml:space="preserve">, </w:t>
      </w:r>
      <w:r w:rsidRPr="008608AA">
        <w:rPr>
          <w:i/>
        </w:rPr>
        <w:t>332</w:t>
      </w:r>
      <w:r w:rsidRPr="008608AA">
        <w:t>(6025), 41 LP-42. Retrieved from http://science.sciencemag.org/content/332/6025/41.abstract</w:t>
      </w:r>
    </w:p>
    <w:p w14:paraId="23F32F16" w14:textId="77777777" w:rsidR="00DD4E98" w:rsidRPr="008608AA" w:rsidRDefault="00DD4E98" w:rsidP="00DD4E98">
      <w:pPr>
        <w:widowControl w:val="0"/>
        <w:ind w:left="906" w:hangingChars="412" w:hanging="906"/>
        <w:contextualSpacing/>
      </w:pPr>
      <w:r w:rsidRPr="008608AA">
        <w:rPr>
          <w:lang w:val="es-CO"/>
        </w:rPr>
        <w:t xml:space="preserve">Bradley, S. R., Vuille, M., Diaz, H. F., &amp; Vergara, W. (2006). </w:t>
      </w:r>
      <w:r w:rsidRPr="008608AA">
        <w:t xml:space="preserve">Threats to Water Supplies in the Tropical Andes. </w:t>
      </w:r>
      <w:r w:rsidRPr="008608AA">
        <w:rPr>
          <w:i/>
        </w:rPr>
        <w:t>Science</w:t>
      </w:r>
      <w:r w:rsidRPr="008608AA">
        <w:t xml:space="preserve">, </w:t>
      </w:r>
      <w:r w:rsidRPr="008608AA">
        <w:rPr>
          <w:i/>
        </w:rPr>
        <w:t>312</w:t>
      </w:r>
      <w:r w:rsidRPr="008608AA">
        <w:t>(June), (pp. 1755–1756).</w:t>
      </w:r>
    </w:p>
    <w:p w14:paraId="43622520" w14:textId="77777777" w:rsidR="00DD4E98" w:rsidRPr="008608AA" w:rsidRDefault="00DD4E98" w:rsidP="00DD4E98">
      <w:pPr>
        <w:widowControl w:val="0"/>
        <w:ind w:left="906" w:hangingChars="412" w:hanging="906"/>
        <w:contextualSpacing/>
      </w:pPr>
      <w:r w:rsidRPr="008608AA">
        <w:t xml:space="preserve">Brauman, K., Daily, G., Duarte, T., &amp; Mooney, H. (2007). The Nature and Value of Ecosystem Services: An Overview Highlighting Hydrologic Services. </w:t>
      </w:r>
      <w:r w:rsidRPr="008608AA">
        <w:rPr>
          <w:i/>
        </w:rPr>
        <w:t>Annual Review of Environment and Resources</w:t>
      </w:r>
      <w:r w:rsidRPr="008608AA">
        <w:t>. https://doi.org/10.1146/annurev.energy.32.031306.102758</w:t>
      </w:r>
    </w:p>
    <w:p w14:paraId="27371711" w14:textId="77777777" w:rsidR="00DD4E98" w:rsidRPr="008608AA" w:rsidRDefault="00DD4E98" w:rsidP="00DD4E98">
      <w:pPr>
        <w:widowControl w:val="0"/>
        <w:ind w:left="906" w:hangingChars="412" w:hanging="906"/>
        <w:contextualSpacing/>
      </w:pPr>
      <w:r w:rsidRPr="008608AA">
        <w:rPr>
          <w:lang w:val="es-CO"/>
        </w:rPr>
        <w:t xml:space="preserve">Bravo de Guenni, L., Cardoso, M., Goldammer, J., Hurtt, G., &amp; Mata, L. J. (2009). </w:t>
      </w:r>
      <w:r w:rsidRPr="008608AA">
        <w:rPr>
          <w:i/>
        </w:rPr>
        <w:t>Regulation of Natural Hazards : Floods and Fires</w:t>
      </w:r>
      <w:r w:rsidRPr="008608AA">
        <w:t xml:space="preserve">. </w:t>
      </w:r>
      <w:r w:rsidRPr="008608AA">
        <w:rPr>
          <w:i/>
        </w:rPr>
        <w:t>Millennium Ecosystem Assessment: Current State &amp; Trends Assessment</w:t>
      </w:r>
      <w:r w:rsidRPr="008608AA">
        <w:t>. Retrieved from http://www.millenniumassessment.org/en/Condition.aspx</w:t>
      </w:r>
    </w:p>
    <w:p w14:paraId="077CA3DF" w14:textId="77777777" w:rsidR="00DD4E98" w:rsidRPr="008608AA" w:rsidRDefault="00DD4E98" w:rsidP="00DD4E98">
      <w:pPr>
        <w:widowControl w:val="0"/>
        <w:ind w:left="906" w:hangingChars="412" w:hanging="906"/>
        <w:contextualSpacing/>
      </w:pPr>
      <w:r w:rsidRPr="008608AA">
        <w:t xml:space="preserve">Bravo-Monroy, L., Tzanopoulos, J., &amp; Potts, S. G. (2015). Ecological and social drivers of coffee pollination in Santander, Colombia. </w:t>
      </w:r>
      <w:r w:rsidRPr="008608AA">
        <w:rPr>
          <w:i/>
        </w:rPr>
        <w:t>Agriculture, Ecosystems &amp; Environment</w:t>
      </w:r>
      <w:r w:rsidRPr="008608AA">
        <w:t xml:space="preserve">, </w:t>
      </w:r>
      <w:r w:rsidRPr="008608AA">
        <w:rPr>
          <w:i/>
        </w:rPr>
        <w:t>211</w:t>
      </w:r>
      <w:r w:rsidRPr="008608AA">
        <w:t>, (pp. 145–154). https://doi.org/10.1016/j.agee.2015.06.007</w:t>
      </w:r>
    </w:p>
    <w:p w14:paraId="53A75A6F" w14:textId="77777777" w:rsidR="00DD4E98" w:rsidRPr="008608AA" w:rsidRDefault="00DD4E98" w:rsidP="00DD4E98">
      <w:pPr>
        <w:widowControl w:val="0"/>
        <w:ind w:left="906" w:hangingChars="412" w:hanging="906"/>
        <w:contextualSpacing/>
      </w:pPr>
      <w:r w:rsidRPr="008608AA">
        <w:t xml:space="preserve">Breaux, A., Farber, S., &amp; Day, J. (1995). Using Natural Coastal Wetlands Systems for Wastewater Treatment: An Economic Benefit Analysis. </w:t>
      </w:r>
      <w:r w:rsidRPr="008608AA">
        <w:rPr>
          <w:i/>
        </w:rPr>
        <w:t>Journal of Environmental Management</w:t>
      </w:r>
      <w:r w:rsidRPr="008608AA">
        <w:t xml:space="preserve">, </w:t>
      </w:r>
      <w:r w:rsidRPr="008608AA">
        <w:rPr>
          <w:i/>
        </w:rPr>
        <w:t>44</w:t>
      </w:r>
      <w:r w:rsidRPr="008608AA">
        <w:t>(3), (pp. 285–291). https://doi.org/http://dx.doi.org/10.1006/jema.1995.0046</w:t>
      </w:r>
    </w:p>
    <w:p w14:paraId="5645258C" w14:textId="77777777" w:rsidR="00DD4E98" w:rsidRPr="008608AA" w:rsidRDefault="00DD4E98" w:rsidP="00DD4E98">
      <w:pPr>
        <w:widowControl w:val="0"/>
        <w:ind w:left="906" w:hangingChars="412" w:hanging="906"/>
        <w:contextualSpacing/>
      </w:pPr>
      <w:r w:rsidRPr="008608AA">
        <w:t xml:space="preserve">Brooks, K. N., Ffolliott, P. F., &amp; Agner, J. A. (2012). </w:t>
      </w:r>
      <w:r w:rsidRPr="008608AA">
        <w:rPr>
          <w:i/>
        </w:rPr>
        <w:t>Hydrology and the Management of Watersheds</w:t>
      </w:r>
      <w:r w:rsidRPr="008608AA">
        <w:t xml:space="preserve"> (Fourth Edi). Wiley-Blackwell.</w:t>
      </w:r>
    </w:p>
    <w:p w14:paraId="35BE41CE" w14:textId="77777777" w:rsidR="00DD4E98" w:rsidRPr="008608AA" w:rsidRDefault="00DD4E98" w:rsidP="00DD4E98">
      <w:pPr>
        <w:widowControl w:val="0"/>
        <w:ind w:left="906" w:hangingChars="412" w:hanging="906"/>
        <w:contextualSpacing/>
        <w:rPr>
          <w:lang w:val="en-GB"/>
        </w:rPr>
      </w:pPr>
      <w:r w:rsidRPr="008608AA">
        <w:t xml:space="preserve">Brooks, T. M., Akçakaya, H. R., Burgess, N. D., Butchart, S. H. M., Hilton-Taylor, C., Hoffmann, M., Juffe-Bignoli, D., Kingston, N., MacSharry, B., Parr, M., Perianin, L., Regan, E. C., Rodrigues, A. S. L., Rondinini, C., Shennan-Farpon, Y., &amp; Young, B. E. (2016a). Analysing biodiversity and conservation knowledge products to support regional environmental assessments. </w:t>
      </w:r>
      <w:r w:rsidRPr="008608AA">
        <w:rPr>
          <w:i/>
          <w:iCs/>
        </w:rPr>
        <w:t>Scientific Data</w:t>
      </w:r>
      <w:r w:rsidRPr="008608AA">
        <w:t xml:space="preserve">, </w:t>
      </w:r>
      <w:r w:rsidRPr="008608AA">
        <w:rPr>
          <w:i/>
          <w:iCs/>
        </w:rPr>
        <w:t>3</w:t>
      </w:r>
      <w:r w:rsidRPr="008608AA">
        <w:t>, 160007. https://doi.org/10.1038/sdata.2016.7</w:t>
      </w:r>
    </w:p>
    <w:p w14:paraId="5EEF3C6C" w14:textId="77777777" w:rsidR="00DD4E98" w:rsidRPr="008608AA" w:rsidRDefault="00DD4E98" w:rsidP="00DD4E98">
      <w:pPr>
        <w:widowControl w:val="0"/>
        <w:ind w:left="906" w:hangingChars="412" w:hanging="906"/>
        <w:contextualSpacing/>
      </w:pPr>
      <w:r w:rsidRPr="008608AA">
        <w:t xml:space="preserve">Brooks, T. M., Akçakaya, H. R., Burgess, N. D., Butchart, S. H. M., Hilton-Taylor, C., Hoffmann, M., </w:t>
      </w:r>
      <w:r w:rsidRPr="008608AA">
        <w:rPr>
          <w:bCs/>
        </w:rPr>
        <w:t xml:space="preserve">Juffe-Bignoli D., Kingston N., MacSharry B., Parr M., Perianin L., Regan E. C., Rodrigues A. S. L., Rondinini C., Shennan-Farpon Y., </w:t>
      </w:r>
      <w:r w:rsidRPr="008608AA">
        <w:t xml:space="preserve">Young, B. E. (2016b). Data from: Analysing biodiversity and conservation knowledge products to support regional environmental assessments. </w:t>
      </w:r>
      <w:r w:rsidRPr="008608AA">
        <w:rPr>
          <w:i/>
        </w:rPr>
        <w:t>Dryad Digital Repository.</w:t>
      </w:r>
      <w:r w:rsidRPr="008608AA">
        <w:t xml:space="preserve"> </w:t>
      </w:r>
      <w:hyperlink r:id="rId109" w:history="1">
        <w:r w:rsidRPr="008608AA">
          <w:rPr>
            <w:rStyle w:val="Hyperlink"/>
          </w:rPr>
          <w:t>https://doi.org/doi:10.5061/dryad.6gb90.2</w:t>
        </w:r>
      </w:hyperlink>
    </w:p>
    <w:p w14:paraId="1AEDEB1B" w14:textId="77777777" w:rsidR="00DD4E98" w:rsidRPr="008608AA" w:rsidRDefault="00DD4E98" w:rsidP="00DD4E98">
      <w:pPr>
        <w:widowControl w:val="0"/>
        <w:ind w:left="906" w:hangingChars="412" w:hanging="906"/>
        <w:contextualSpacing/>
      </w:pPr>
      <w:r w:rsidRPr="008608AA">
        <w:t xml:space="preserve">Brosi, B. J., Armsworth, P. R., &amp; Daily, G. C. (2008). Optimal design of agricultural landscapes for pollination services. </w:t>
      </w:r>
      <w:r w:rsidRPr="008608AA">
        <w:rPr>
          <w:i/>
        </w:rPr>
        <w:t>Conservation Letters</w:t>
      </w:r>
      <w:r w:rsidRPr="008608AA">
        <w:t xml:space="preserve">, </w:t>
      </w:r>
      <w:r w:rsidRPr="008608AA">
        <w:rPr>
          <w:i/>
        </w:rPr>
        <w:t>1</w:t>
      </w:r>
      <w:r w:rsidRPr="008608AA">
        <w:t>(1), (pp. 27–36). https://doi.org/10.1111/j.1755-263X.2008.00004.x</w:t>
      </w:r>
    </w:p>
    <w:p w14:paraId="3461258E" w14:textId="77777777" w:rsidR="00DD4E98" w:rsidRPr="008608AA" w:rsidRDefault="00DD4E98" w:rsidP="00DD4E98">
      <w:pPr>
        <w:widowControl w:val="0"/>
        <w:ind w:left="906" w:hangingChars="412" w:hanging="906"/>
        <w:contextualSpacing/>
      </w:pPr>
      <w:r w:rsidRPr="008608AA">
        <w:t xml:space="preserve">Brown, A. V., Brown, K. B., Jackson, D. C., &amp; Pierson, W. K. (2005). Lower Mississippi River and its tributaries. In A. C. Benke &amp; C. E. Cushing (Eds.), </w:t>
      </w:r>
      <w:r w:rsidRPr="008608AA">
        <w:rPr>
          <w:i/>
        </w:rPr>
        <w:t>Rivers of North America</w:t>
      </w:r>
      <w:r w:rsidRPr="008608AA">
        <w:t xml:space="preserve"> (pp. 231–281). New York, NY: Elsevier Academic Press.</w:t>
      </w:r>
    </w:p>
    <w:p w14:paraId="0DEA7BA6" w14:textId="77777777" w:rsidR="00DD4E98" w:rsidRPr="008608AA" w:rsidRDefault="00DD4E98" w:rsidP="00DD4E98">
      <w:pPr>
        <w:widowControl w:val="0"/>
        <w:ind w:left="906" w:hangingChars="412" w:hanging="906"/>
        <w:contextualSpacing/>
      </w:pPr>
      <w:r w:rsidRPr="008608AA">
        <w:t xml:space="preserve">Brown, T. C., &amp; Froemke, P. (2012). Improved Measures of Atmospheric Deposition Have a Negligible Effect on Multivariate Measures of Risk of Water-Quality Impairment: Response from Brown and Froemke. </w:t>
      </w:r>
      <w:r w:rsidRPr="008608AA">
        <w:rPr>
          <w:i/>
        </w:rPr>
        <w:t>BioScience</w:t>
      </w:r>
      <w:r w:rsidRPr="008608AA">
        <w:t xml:space="preserve">, </w:t>
      </w:r>
      <w:r w:rsidRPr="008608AA">
        <w:rPr>
          <w:i/>
        </w:rPr>
        <w:t>62</w:t>
      </w:r>
      <w:r w:rsidRPr="008608AA">
        <w:t>(7), (pp. 621–622). https://doi.org/10.1525/bio.2012.62.7.19</w:t>
      </w:r>
    </w:p>
    <w:p w14:paraId="77965895" w14:textId="77777777" w:rsidR="00DD4E98" w:rsidRPr="008608AA" w:rsidRDefault="00DD4E98" w:rsidP="00DD4E98">
      <w:pPr>
        <w:widowControl w:val="0"/>
        <w:ind w:left="906" w:hangingChars="412" w:hanging="906"/>
        <w:contextualSpacing/>
      </w:pPr>
      <w:r w:rsidRPr="008608AA">
        <w:t xml:space="preserve">Brundtland &amp; World Commission on Environment. (1987). </w:t>
      </w:r>
      <w:r w:rsidRPr="008608AA">
        <w:rPr>
          <w:i/>
        </w:rPr>
        <w:t>Report of the World Commission on Environment and Development: Our Common Future</w:t>
      </w:r>
      <w:r w:rsidRPr="008608AA">
        <w:t>. Oxford University Press.</w:t>
      </w:r>
    </w:p>
    <w:p w14:paraId="5DD13EB1" w14:textId="77777777" w:rsidR="00DD4E98" w:rsidRPr="008608AA" w:rsidRDefault="00DD4E98" w:rsidP="00DD4E98">
      <w:pPr>
        <w:widowControl w:val="0"/>
        <w:ind w:left="906" w:hangingChars="412" w:hanging="906"/>
        <w:contextualSpacing/>
      </w:pPr>
      <w:r w:rsidRPr="008608AA">
        <w:t xml:space="preserve">Bruner, A. G., Gullison, R. E., Rice, R. E., &amp; da Fonseca, G. A. B. (2001). Effectiveness of Parks in Protecting Tropical Biodiversity. </w:t>
      </w:r>
      <w:r w:rsidRPr="008608AA">
        <w:rPr>
          <w:i/>
        </w:rPr>
        <w:t>Science</w:t>
      </w:r>
      <w:r w:rsidRPr="008608AA">
        <w:t xml:space="preserve">, </w:t>
      </w:r>
      <w:r w:rsidRPr="008608AA">
        <w:rPr>
          <w:i/>
        </w:rPr>
        <w:t>291</w:t>
      </w:r>
      <w:r w:rsidRPr="008608AA">
        <w:t>(5501), 125 LP-128. Retrieved from http://science.sciencemag.org/content/291/5501/125.abstract</w:t>
      </w:r>
    </w:p>
    <w:p w14:paraId="3F5F022A" w14:textId="77777777" w:rsidR="00DD4E98" w:rsidRPr="008608AA" w:rsidRDefault="00DD4E98" w:rsidP="00DD4E98">
      <w:pPr>
        <w:widowControl w:val="0"/>
        <w:ind w:left="906" w:hangingChars="412" w:hanging="906"/>
        <w:contextualSpacing/>
      </w:pPr>
      <w:r w:rsidRPr="008608AA">
        <w:t xml:space="preserve">Bryan, B. A. (2013). </w:t>
      </w:r>
      <w:r w:rsidRPr="008608AA">
        <w:rPr>
          <w:i/>
        </w:rPr>
        <w:t>Incentives, land use, and ecosystem services: Synthesizing complex linkages</w:t>
      </w:r>
      <w:r w:rsidRPr="008608AA">
        <w:t xml:space="preserve">. </w:t>
      </w:r>
      <w:r w:rsidRPr="008608AA">
        <w:rPr>
          <w:i/>
        </w:rPr>
        <w:t>Environmental Science and Policy</w:t>
      </w:r>
      <w:r w:rsidRPr="008608AA">
        <w:t xml:space="preserve">, </w:t>
      </w:r>
      <w:r w:rsidRPr="008608AA">
        <w:rPr>
          <w:i/>
        </w:rPr>
        <w:t>27</w:t>
      </w:r>
      <w:r w:rsidRPr="008608AA">
        <w:t>, 124–134. https://doi.org/10.1016/j.envsci.2012.12.010</w:t>
      </w:r>
    </w:p>
    <w:p w14:paraId="3AE2D462" w14:textId="77777777" w:rsidR="00DD4E98" w:rsidRPr="008608AA" w:rsidRDefault="00DD4E98" w:rsidP="00DD4E98">
      <w:pPr>
        <w:widowControl w:val="0"/>
        <w:ind w:left="906" w:hangingChars="412" w:hanging="906"/>
        <w:contextualSpacing/>
      </w:pPr>
      <w:r w:rsidRPr="008608AA">
        <w:t xml:space="preserve">Bryant, D., Burke, L., McManus, J., &amp; Spalding, M. (1998). </w:t>
      </w:r>
      <w:r w:rsidRPr="008608AA">
        <w:rPr>
          <w:i/>
        </w:rPr>
        <w:t>Reefs at Risk – A Map Based Indicator of Threats to the World’s Coral Reefs</w:t>
      </w:r>
      <w:r w:rsidRPr="008608AA">
        <w:t>. https://doi.org/10.1016/0022-0981(79)90136-9</w:t>
      </w:r>
    </w:p>
    <w:p w14:paraId="2AFA8640" w14:textId="77777777" w:rsidR="00DD4E98" w:rsidRPr="008608AA" w:rsidRDefault="00DD4E98" w:rsidP="00DD4E98">
      <w:pPr>
        <w:widowControl w:val="0"/>
        <w:ind w:left="906" w:hangingChars="412" w:hanging="906"/>
        <w:contextualSpacing/>
      </w:pPr>
      <w:r w:rsidRPr="008608AA">
        <w:t xml:space="preserve">Burakowski, E., &amp; Magnusson, M. (2012). </w:t>
      </w:r>
      <w:r w:rsidRPr="008608AA">
        <w:rPr>
          <w:i/>
        </w:rPr>
        <w:t>Climate Impacts on the Winter Tourism Economy in the United States</w:t>
      </w:r>
      <w:r w:rsidRPr="008608AA">
        <w:t xml:space="preserve">. </w:t>
      </w:r>
      <w:r w:rsidRPr="008608AA">
        <w:rPr>
          <w:i/>
        </w:rPr>
        <w:t>National Resources Defense Council</w:t>
      </w:r>
      <w:r w:rsidRPr="008608AA">
        <w:t>.</w:t>
      </w:r>
    </w:p>
    <w:p w14:paraId="67FD0623" w14:textId="77777777" w:rsidR="00DD4E98" w:rsidRPr="008608AA" w:rsidRDefault="00DD4E98" w:rsidP="00DD4E98">
      <w:pPr>
        <w:widowControl w:val="0"/>
        <w:ind w:left="906" w:hangingChars="412" w:hanging="906"/>
        <w:contextualSpacing/>
      </w:pPr>
      <w:r w:rsidRPr="008608AA">
        <w:t xml:space="preserve">Burgett, M., Daberkow, S., Rucker, R., &amp; Thurman, W. (2010). U.S. pollination markets: recent changes and historical perspectives. </w:t>
      </w:r>
      <w:r w:rsidRPr="008608AA">
        <w:rPr>
          <w:i/>
        </w:rPr>
        <w:t>American Bee Journal</w:t>
      </w:r>
      <w:r w:rsidRPr="008608AA">
        <w:t xml:space="preserve">, </w:t>
      </w:r>
      <w:r w:rsidRPr="008608AA">
        <w:rPr>
          <w:i/>
        </w:rPr>
        <w:t>150</w:t>
      </w:r>
      <w:r w:rsidRPr="008608AA">
        <w:t>(1), (pp. 35–41).</w:t>
      </w:r>
    </w:p>
    <w:p w14:paraId="70E15217" w14:textId="77777777" w:rsidR="00DD4E98" w:rsidRPr="008608AA" w:rsidRDefault="00DD4E98" w:rsidP="00DD4E98">
      <w:pPr>
        <w:widowControl w:val="0"/>
        <w:ind w:left="906" w:hangingChars="412" w:hanging="906"/>
        <w:contextualSpacing/>
      </w:pPr>
      <w:r w:rsidRPr="008608AA">
        <w:t xml:space="preserve">Burke, L., &amp; Maidens, J. (2004). Reefs at Risk in the Caribbean. Washington, D.C.: </w:t>
      </w:r>
      <w:r w:rsidRPr="008608AA">
        <w:rPr>
          <w:i/>
        </w:rPr>
        <w:t>World Resources Institute (WRI).</w:t>
      </w:r>
      <w:r w:rsidRPr="008608AA">
        <w:t xml:space="preserve"> Retrieved from http://pdf.wri.org/reefs_caribbean_front.pdf</w:t>
      </w:r>
    </w:p>
    <w:p w14:paraId="0F173358" w14:textId="77777777" w:rsidR="00DD4E98" w:rsidRPr="008608AA" w:rsidRDefault="00DD4E98" w:rsidP="00DD4E98">
      <w:pPr>
        <w:widowControl w:val="0"/>
        <w:ind w:left="906" w:hangingChars="412" w:hanging="906"/>
        <w:contextualSpacing/>
      </w:pPr>
      <w:r w:rsidRPr="008608AA">
        <w:t xml:space="preserve">Burke, L., Reytar, K., Spalding, M., &amp; Perry, A. (2011). Reefs at risk revisited. National Geographic. Washington, D.C.: </w:t>
      </w:r>
      <w:r w:rsidRPr="008608AA">
        <w:rPr>
          <w:i/>
        </w:rPr>
        <w:t>World Resources Institute (WRI).</w:t>
      </w:r>
      <w:r w:rsidRPr="008608AA">
        <w:t xml:space="preserve"> https://doi.org/10.1016/0022-0981(79)90136-9</w:t>
      </w:r>
    </w:p>
    <w:p w14:paraId="08197B88" w14:textId="77777777" w:rsidR="00DD4E98" w:rsidRPr="008608AA" w:rsidRDefault="00DD4E98" w:rsidP="00DD4E98">
      <w:pPr>
        <w:widowControl w:val="0"/>
        <w:ind w:left="906" w:hangingChars="412" w:hanging="906"/>
        <w:contextualSpacing/>
      </w:pPr>
      <w:r w:rsidRPr="008608AA">
        <w:t xml:space="preserve">Buytaert, W., &amp; Breuer, L. (2013). Water resources in South America: sources and supply, pollutants and perspectives. In </w:t>
      </w:r>
      <w:r w:rsidRPr="008608AA">
        <w:rPr>
          <w:i/>
        </w:rPr>
        <w:t>Proceedings of the IAHS-IAPSO-IASPEI Assembly</w:t>
      </w:r>
      <w:r w:rsidRPr="008608AA">
        <w:t xml:space="preserve"> (Vol. 359, pp. 1–9). Gouthenburg, Sweden.</w:t>
      </w:r>
    </w:p>
    <w:p w14:paraId="54A4CB99" w14:textId="77777777" w:rsidR="00DD4E98" w:rsidRPr="008608AA" w:rsidRDefault="00DD4E98" w:rsidP="00DD4E98">
      <w:pPr>
        <w:widowControl w:val="0"/>
        <w:ind w:left="906" w:hangingChars="412" w:hanging="906"/>
        <w:contextualSpacing/>
      </w:pPr>
      <w:r w:rsidRPr="008608AA">
        <w:t xml:space="preserve">Buytaert, W., &amp; De Bièvre, B. (2012). Water for cities: The impact of climate change and demographic growth in the tropical Andes. </w:t>
      </w:r>
      <w:r w:rsidRPr="008608AA">
        <w:rPr>
          <w:i/>
        </w:rPr>
        <w:t>Water Resources Research</w:t>
      </w:r>
      <w:r w:rsidRPr="008608AA">
        <w:t xml:space="preserve">, </w:t>
      </w:r>
      <w:r w:rsidRPr="008608AA">
        <w:rPr>
          <w:i/>
        </w:rPr>
        <w:t>48</w:t>
      </w:r>
      <w:r w:rsidRPr="008608AA">
        <w:t>(8), n/a-n/a. https://doi.org/10.1029/2011WR011755</w:t>
      </w:r>
    </w:p>
    <w:p w14:paraId="51239974" w14:textId="77777777" w:rsidR="00DD4E98" w:rsidRPr="008608AA" w:rsidRDefault="00DD4E98" w:rsidP="00DD4E98">
      <w:pPr>
        <w:widowControl w:val="0"/>
        <w:ind w:left="906" w:hangingChars="412" w:hanging="906"/>
        <w:contextualSpacing/>
      </w:pPr>
      <w:r w:rsidRPr="00A3137A">
        <w:rPr>
          <w:lang w:val="fr-FR"/>
        </w:rPr>
        <w:t xml:space="preserve">Buytaert, W., Célleri, R., De Bièvre, B., Cisneros, F., Wyseure, G., Deckers, J. &amp; Hofstede, R. (2006). </w:t>
      </w:r>
      <w:r w:rsidRPr="008608AA">
        <w:t xml:space="preserve">Human impact on the hydrology of the Andean páramos. </w:t>
      </w:r>
      <w:r w:rsidRPr="008608AA">
        <w:rPr>
          <w:i/>
        </w:rPr>
        <w:t>Earth-Science Reviews</w:t>
      </w:r>
      <w:r w:rsidRPr="008608AA">
        <w:t xml:space="preserve">, </w:t>
      </w:r>
      <w:r w:rsidRPr="008608AA">
        <w:rPr>
          <w:i/>
        </w:rPr>
        <w:t>79</w:t>
      </w:r>
      <w:r w:rsidRPr="008608AA">
        <w:t>(1–2), (pp. 53–72). https://doi.org/10.1016/j.earscirev.2006.06.002</w:t>
      </w:r>
    </w:p>
    <w:p w14:paraId="5DC2CE0E" w14:textId="77777777" w:rsidR="00DD4E98" w:rsidRPr="008608AA" w:rsidRDefault="00DD4E98" w:rsidP="00DD4E98">
      <w:pPr>
        <w:widowControl w:val="0"/>
        <w:ind w:left="906" w:hangingChars="412" w:hanging="906"/>
        <w:contextualSpacing/>
        <w:rPr>
          <w:lang w:val="es-CO"/>
        </w:rPr>
      </w:pPr>
      <w:r w:rsidRPr="008608AA">
        <w:rPr>
          <w:lang w:val="es-CO"/>
        </w:rPr>
        <w:t xml:space="preserve">Caballero, J., Casas, A., Cortés, L., &amp; Mapes, C. (1998). Patrones en el conocimiento, uso y manejo de plantas en pueblos indigenas de México. </w:t>
      </w:r>
      <w:r w:rsidRPr="008608AA">
        <w:rPr>
          <w:i/>
          <w:lang w:val="es-CO"/>
        </w:rPr>
        <w:t>Estudios Atacameños</w:t>
      </w:r>
      <w:r w:rsidRPr="008608AA">
        <w:rPr>
          <w:lang w:val="es-CO"/>
        </w:rPr>
        <w:t>, (16), (pp. 181–195). Retrieved from http://www.jstor.org/stable/25674716</w:t>
      </w:r>
    </w:p>
    <w:p w14:paraId="1567E3E7" w14:textId="77777777" w:rsidR="00DD4E98" w:rsidRPr="008608AA" w:rsidRDefault="00DD4E98" w:rsidP="00DD4E98">
      <w:pPr>
        <w:widowControl w:val="0"/>
        <w:ind w:left="906" w:hangingChars="412" w:hanging="906"/>
        <w:contextualSpacing/>
      </w:pPr>
      <w:r w:rsidRPr="008608AA">
        <w:rPr>
          <w:lang w:val="es-CO"/>
        </w:rPr>
        <w:t xml:space="preserve">Cabrera, M., Seijo, J., Euan, J., &amp; Pérez, E. (1998). </w:t>
      </w:r>
      <w:r w:rsidRPr="008608AA">
        <w:t xml:space="preserve">Economic values of ecological services from a mangrove ecosystem. </w:t>
      </w:r>
      <w:r w:rsidRPr="008608AA">
        <w:rPr>
          <w:i/>
        </w:rPr>
        <w:t>International Newsletter of Coastal Management</w:t>
      </w:r>
      <w:r w:rsidRPr="008608AA">
        <w:t>. Retrieved from http://pdf.usaid.gov/pdf_docs/PNACP233.pdf</w:t>
      </w:r>
    </w:p>
    <w:p w14:paraId="4D9ECF36" w14:textId="77777777" w:rsidR="00DD4E98" w:rsidRPr="008608AA" w:rsidRDefault="00DD4E98" w:rsidP="00DD4E98">
      <w:pPr>
        <w:widowControl w:val="0"/>
        <w:ind w:left="906" w:hangingChars="412" w:hanging="906"/>
        <w:contextualSpacing/>
      </w:pPr>
      <w:r w:rsidRPr="008608AA">
        <w:t xml:space="preserve">Cáceres, D. M. (2015). Accumulation by Dispossession and Socio-Environmental Conflicts Caused by the Expansion of Agribusiness in Argentina. </w:t>
      </w:r>
      <w:r w:rsidRPr="008608AA">
        <w:rPr>
          <w:i/>
        </w:rPr>
        <w:t>Journal of Agrarian Change</w:t>
      </w:r>
      <w:r w:rsidRPr="008608AA">
        <w:t xml:space="preserve">, </w:t>
      </w:r>
      <w:r w:rsidRPr="008608AA">
        <w:rPr>
          <w:i/>
        </w:rPr>
        <w:t>15</w:t>
      </w:r>
      <w:r w:rsidRPr="008608AA">
        <w:t>(1), (pp. 116–147). https://doi.org/10.1111/joac.12057</w:t>
      </w:r>
    </w:p>
    <w:p w14:paraId="60803098" w14:textId="77777777" w:rsidR="00DD4E98" w:rsidRPr="008608AA" w:rsidRDefault="00DD4E98" w:rsidP="00DD4E98">
      <w:pPr>
        <w:widowControl w:val="0"/>
        <w:ind w:left="906" w:hangingChars="412" w:hanging="906"/>
        <w:contextualSpacing/>
      </w:pPr>
      <w:r w:rsidRPr="008608AA">
        <w:t xml:space="preserve">Callicott, J. B. (1989). </w:t>
      </w:r>
      <w:r w:rsidRPr="008608AA">
        <w:rPr>
          <w:i/>
        </w:rPr>
        <w:t>In Defense of the Land Ethic: Essays in Environmental Philosophy</w:t>
      </w:r>
      <w:r w:rsidRPr="008608AA">
        <w:t>. Albany, NY: New York University Press.</w:t>
      </w:r>
    </w:p>
    <w:p w14:paraId="30D5193A" w14:textId="77777777" w:rsidR="00DD4E98" w:rsidRPr="008608AA" w:rsidRDefault="00DD4E98" w:rsidP="00DD4E98">
      <w:pPr>
        <w:widowControl w:val="0"/>
        <w:ind w:left="906" w:hangingChars="412" w:hanging="906"/>
        <w:contextualSpacing/>
      </w:pPr>
      <w:r w:rsidRPr="008608AA">
        <w:t xml:space="preserve">Camacho-Valdez, V., Ruiz-Luna, A., Ghermandi, A., &amp; Nunes, P. A. L. D. (2013). Valuation of ecosystem services provided by coastal wetlands in northwest Mexico. </w:t>
      </w:r>
      <w:r w:rsidRPr="008608AA">
        <w:rPr>
          <w:i/>
        </w:rPr>
        <w:t>Ocean &amp; Coastal Management</w:t>
      </w:r>
      <w:r w:rsidRPr="008608AA">
        <w:t xml:space="preserve">, </w:t>
      </w:r>
      <w:r w:rsidRPr="008608AA">
        <w:rPr>
          <w:i/>
        </w:rPr>
        <w:t>78</w:t>
      </w:r>
      <w:r w:rsidRPr="008608AA">
        <w:t>, (pp. 1–11). https://doi.org/10.1016/j.ocecoaman.2013.02.017</w:t>
      </w:r>
    </w:p>
    <w:p w14:paraId="7A359005"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Caminade, C., Kovats, S., Rocklov, J., Tompkins, A. M., Morse, A. P., Colón-González, F. J., Stenlund, H., Martens, P., &amp; Lloyd, S. J. (2014). Impact of climate change on global malaria distribution. </w:t>
      </w:r>
      <w:r w:rsidRPr="008608AA">
        <w:rPr>
          <w:i/>
          <w:iCs/>
          <w:noProof/>
        </w:rPr>
        <w:t>Proceedings of the National Academy of Sciences of the United States of America</w:t>
      </w:r>
      <w:r w:rsidRPr="008608AA">
        <w:rPr>
          <w:noProof/>
        </w:rPr>
        <w:t xml:space="preserve">, </w:t>
      </w:r>
      <w:r w:rsidRPr="008608AA">
        <w:rPr>
          <w:i/>
          <w:iCs/>
          <w:noProof/>
        </w:rPr>
        <w:t>111</w:t>
      </w:r>
      <w:r w:rsidRPr="008608AA">
        <w:rPr>
          <w:noProof/>
        </w:rPr>
        <w:t>(9), 3286–3291. https://doi.org/10.1073/pnas.1302089111</w:t>
      </w:r>
    </w:p>
    <w:p w14:paraId="73E31ABB" w14:textId="77777777" w:rsidR="00DD4E98" w:rsidRPr="008608AA" w:rsidRDefault="00DD4E98" w:rsidP="00DD4E98">
      <w:pPr>
        <w:widowControl w:val="0"/>
        <w:ind w:left="906" w:hangingChars="412" w:hanging="906"/>
        <w:contextualSpacing/>
        <w:rPr>
          <w:lang w:val="de-DE"/>
        </w:rPr>
      </w:pPr>
      <w:r w:rsidRPr="008608AA">
        <w:t xml:space="preserve">Carlyle-Moses, D. E., &amp; Gash, J. H. C. (2011). Rainfall Interception Loss by Forest Canopies BT - Forest Hydrology and Biogeochemistry: Synthesis of Past Research and Future Directions. In D. F. Levia, D. Carlyle-Moses, &amp; T. Tanaka (Eds.), </w:t>
      </w:r>
      <w:r w:rsidRPr="008608AA">
        <w:rPr>
          <w:i/>
        </w:rPr>
        <w:t>Forest Hydrology and Biogeochemistry</w:t>
      </w:r>
      <w:r w:rsidRPr="008608AA">
        <w:t xml:space="preserve"> (pp. 407–423). </w:t>
      </w:r>
      <w:r w:rsidRPr="008608AA">
        <w:rPr>
          <w:lang w:val="de-DE"/>
        </w:rPr>
        <w:t>Dordrecht: Springer Netherlands. https://doi.org/10.1007/978-94-007-1363-5_20</w:t>
      </w:r>
    </w:p>
    <w:p w14:paraId="6A856F24" w14:textId="77777777" w:rsidR="00DD4E98" w:rsidRPr="008608AA" w:rsidRDefault="00DD4E98" w:rsidP="00DD4E98">
      <w:pPr>
        <w:widowControl w:val="0"/>
        <w:ind w:left="906" w:hangingChars="412" w:hanging="906"/>
        <w:contextualSpacing/>
      </w:pPr>
      <w:r w:rsidRPr="008608AA">
        <w:rPr>
          <w:lang w:val="de-DE"/>
        </w:rPr>
        <w:t xml:space="preserve">Carneiro da Cunha, M., &amp; Morim de Lima, A. G. (2017). </w:t>
      </w:r>
      <w:r w:rsidRPr="008608AA">
        <w:t xml:space="preserve">Amazonian indigenous peoples and biodiversity. In B. Baptiste, D. Pacheco, M. Carneiro da Cunha, &amp; S. Diaz (Eds.), </w:t>
      </w:r>
      <w:r w:rsidRPr="008608AA">
        <w:rPr>
          <w:i/>
        </w:rPr>
        <w:t>Knowing our Lands and Resources: Indigenous and Local Knowledge of Biodiversity and Ecosystem Services in the Americas</w:t>
      </w:r>
      <w:r w:rsidRPr="008608AA">
        <w:t xml:space="preserve"> (pp. 63–81). Paris: UNESCO.</w:t>
      </w:r>
    </w:p>
    <w:p w14:paraId="1C05B7FC" w14:textId="77777777" w:rsidR="00DD4E98" w:rsidRPr="008608AA" w:rsidRDefault="00DD4E98" w:rsidP="00DD4E98">
      <w:pPr>
        <w:widowControl w:val="0"/>
        <w:ind w:left="906" w:hangingChars="412" w:hanging="906"/>
        <w:contextualSpacing/>
      </w:pPr>
      <w:r w:rsidRPr="008608AA">
        <w:t xml:space="preserve">Carpenter, K. A., &amp; Halbritter, R. (2001). Beyond the Ethnic Umbrella and the Buffalo: Some Thoughts on American Indian Tribes and Gaming. </w:t>
      </w:r>
      <w:r w:rsidRPr="008608AA">
        <w:rPr>
          <w:i/>
        </w:rPr>
        <w:t>Gaming Law Review</w:t>
      </w:r>
      <w:r w:rsidRPr="008608AA">
        <w:t xml:space="preserve">, </w:t>
      </w:r>
      <w:r w:rsidRPr="008608AA">
        <w:rPr>
          <w:i/>
        </w:rPr>
        <w:t>5</w:t>
      </w:r>
      <w:r w:rsidRPr="008608AA">
        <w:t>(4), (pp. 311–327). https://doi.org/10.1089/109218801750430290</w:t>
      </w:r>
    </w:p>
    <w:p w14:paraId="226FF459" w14:textId="77777777" w:rsidR="00DD4E98" w:rsidRPr="00CE0821" w:rsidRDefault="00DD4E98" w:rsidP="00DD4E98">
      <w:pPr>
        <w:widowControl w:val="0"/>
        <w:ind w:left="906" w:hangingChars="412" w:hanging="906"/>
        <w:contextualSpacing/>
      </w:pPr>
      <w:r w:rsidRPr="008608AA">
        <w:t xml:space="preserve">CARSEA. (2007). </w:t>
      </w:r>
      <w:r w:rsidRPr="008608AA">
        <w:rPr>
          <w:i/>
        </w:rPr>
        <w:t>Caribbean Sea Ecosystem Assessment (CARSEA), A sub-global component of the Millennium Ecosystem Assessment (MA)</w:t>
      </w:r>
      <w:r w:rsidRPr="008608AA">
        <w:t xml:space="preserve">. (J. Agard, A. Cropper, &amp; K. García, Eds.), </w:t>
      </w:r>
      <w:r w:rsidRPr="008608AA">
        <w:rPr>
          <w:i/>
        </w:rPr>
        <w:t>Caribbean Marine Studies</w:t>
      </w:r>
      <w:r w:rsidRPr="008608AA">
        <w:t xml:space="preserve"> (Vol. Special Ed). </w:t>
      </w:r>
      <w:r w:rsidRPr="00CE0821">
        <w:t>Retrieved from file:///E:/Documents and Settings/Administrador/Escritorio/Articulo de profesora/Referencias del articulo/Agard y Cropper.2007.pdf</w:t>
      </w:r>
    </w:p>
    <w:p w14:paraId="3BFDBDD8" w14:textId="77777777" w:rsidR="00DD4E98" w:rsidRPr="008608AA" w:rsidRDefault="00DD4E98" w:rsidP="00DD4E98">
      <w:pPr>
        <w:widowControl w:val="0"/>
        <w:ind w:left="906" w:hangingChars="412" w:hanging="906"/>
        <w:contextualSpacing/>
        <w:rPr>
          <w:lang w:val="es-CO"/>
        </w:rPr>
      </w:pPr>
      <w:r w:rsidRPr="008608AA">
        <w:rPr>
          <w:lang w:val="es-CO"/>
        </w:rPr>
        <w:t xml:space="preserve">Carvalho, I. S. H. de. (2014). </w:t>
      </w:r>
      <w:r w:rsidRPr="008608AA">
        <w:rPr>
          <w:i/>
          <w:lang w:val="es-CO"/>
        </w:rPr>
        <w:t>A “pecuária geraizeira” e a conservação da biodiversidade no cerrado do Norte de Minas</w:t>
      </w:r>
      <w:r w:rsidRPr="008608AA">
        <w:rPr>
          <w:lang w:val="es-CO"/>
        </w:rPr>
        <w:t xml:space="preserve">. </w:t>
      </w:r>
      <w:r w:rsidRPr="008608AA">
        <w:rPr>
          <w:i/>
          <w:lang w:val="es-CO"/>
        </w:rPr>
        <w:t>Sustentabilidade Em Debate</w:t>
      </w:r>
      <w:r w:rsidRPr="008608AA">
        <w:rPr>
          <w:lang w:val="es-CO"/>
        </w:rPr>
        <w:t xml:space="preserve">, </w:t>
      </w:r>
      <w:r w:rsidRPr="008608AA">
        <w:rPr>
          <w:i/>
          <w:lang w:val="es-CO"/>
        </w:rPr>
        <w:t>5</w:t>
      </w:r>
      <w:r w:rsidRPr="008608AA">
        <w:rPr>
          <w:lang w:val="es-CO"/>
        </w:rPr>
        <w:t>(3), (pp. 19–36).</w:t>
      </w:r>
    </w:p>
    <w:p w14:paraId="1068D433" w14:textId="77777777" w:rsidR="00DD4E98" w:rsidRPr="008608AA" w:rsidRDefault="00DD4E98" w:rsidP="00DD4E98">
      <w:pPr>
        <w:widowControl w:val="0"/>
        <w:ind w:left="906" w:hangingChars="412" w:hanging="906"/>
        <w:contextualSpacing/>
        <w:rPr>
          <w:lang w:val="es-CO"/>
        </w:rPr>
      </w:pPr>
      <w:r w:rsidRPr="008608AA">
        <w:rPr>
          <w:lang w:val="es-CO"/>
        </w:rPr>
        <w:t xml:space="preserve">Castellanos, A., Chaparro-Narváez, P., Morales-Plaza, C. D., Alzate, A., Padilla, J., Arévalo, M., &amp; Herrera, S. (2016). Malaria in gold-mining areas in Colombia. </w:t>
      </w:r>
      <w:r w:rsidRPr="008608AA">
        <w:rPr>
          <w:i/>
          <w:lang w:val="es-CO"/>
        </w:rPr>
        <w:t>Memórias Do Instituto Oswaldo Cruz</w:t>
      </w:r>
      <w:r w:rsidRPr="008608AA">
        <w:rPr>
          <w:lang w:val="es-CO"/>
        </w:rPr>
        <w:t xml:space="preserve">, </w:t>
      </w:r>
      <w:r w:rsidRPr="008608AA">
        <w:rPr>
          <w:i/>
          <w:lang w:val="es-CO"/>
        </w:rPr>
        <w:t>111</w:t>
      </w:r>
      <w:r w:rsidRPr="008608AA">
        <w:rPr>
          <w:lang w:val="es-CO"/>
        </w:rPr>
        <w:t>(1), (pp. 59–66). https://doi.org/10.1590/0074-02760150382</w:t>
      </w:r>
    </w:p>
    <w:p w14:paraId="20A15C01" w14:textId="77777777" w:rsidR="00DD4E98" w:rsidRPr="008608AA" w:rsidRDefault="00DD4E98" w:rsidP="00DD4E98">
      <w:pPr>
        <w:widowControl w:val="0"/>
        <w:ind w:left="906" w:hangingChars="412" w:hanging="906"/>
        <w:contextualSpacing/>
      </w:pPr>
      <w:r w:rsidRPr="008608AA">
        <w:rPr>
          <w:lang w:val="es-CO"/>
        </w:rPr>
        <w:t xml:space="preserve">Castillo, A., Magaña, A., Pujadas, A., Martínez, L., &amp; Godínez, C. (2005). </w:t>
      </w:r>
      <w:r w:rsidRPr="008608AA">
        <w:t xml:space="preserve">Understanding the Interaction of Rural People with Ecosystems: A Case Study in a Tropical Dry Forest of Mexico. </w:t>
      </w:r>
      <w:r w:rsidRPr="008608AA">
        <w:rPr>
          <w:i/>
        </w:rPr>
        <w:t>Ecosystems</w:t>
      </w:r>
      <w:r w:rsidRPr="008608AA">
        <w:t xml:space="preserve">, </w:t>
      </w:r>
      <w:r w:rsidRPr="008608AA">
        <w:rPr>
          <w:i/>
        </w:rPr>
        <w:t>8</w:t>
      </w:r>
      <w:r w:rsidRPr="008608AA">
        <w:t>(6), (pp. 630–643). https://doi.org/10.1007/s10021-005-0127-1</w:t>
      </w:r>
    </w:p>
    <w:p w14:paraId="69536408" w14:textId="77777777" w:rsidR="00DD4E98" w:rsidRPr="008608AA" w:rsidRDefault="00DD4E98" w:rsidP="00DD4E98">
      <w:pPr>
        <w:widowControl w:val="0"/>
        <w:ind w:left="906" w:hangingChars="412" w:hanging="906"/>
        <w:contextualSpacing/>
      </w:pPr>
      <w:r w:rsidRPr="008608AA">
        <w:t xml:space="preserve">Cech, T. V. (2010). </w:t>
      </w:r>
      <w:r w:rsidRPr="008608AA">
        <w:rPr>
          <w:i/>
        </w:rPr>
        <w:t>Principles of Water Resources: History, Development, Management, and Policy</w:t>
      </w:r>
      <w:r w:rsidRPr="008608AA">
        <w:t xml:space="preserve"> (3rd Editio). Hoboken, NJ, USA: John Wiley &amp; Sons, Inc.</w:t>
      </w:r>
    </w:p>
    <w:p w14:paraId="3F3186A9" w14:textId="77777777" w:rsidR="00DD4E98" w:rsidRPr="008608AA" w:rsidRDefault="00DD4E98" w:rsidP="00DD4E98">
      <w:pPr>
        <w:widowControl w:val="0"/>
        <w:ind w:left="906" w:hangingChars="412" w:hanging="906"/>
        <w:contextualSpacing/>
        <w:rPr>
          <w:lang w:val="es-CO"/>
        </w:rPr>
      </w:pPr>
      <w:r w:rsidRPr="008608AA">
        <w:t xml:space="preserve">CEPAL/FAO/IICA. </w:t>
      </w:r>
      <w:r w:rsidRPr="008608AA">
        <w:rPr>
          <w:lang w:val="es-CO"/>
        </w:rPr>
        <w:t xml:space="preserve">(2012). </w:t>
      </w:r>
      <w:r w:rsidRPr="008608AA">
        <w:rPr>
          <w:i/>
          <w:lang w:val="es-CO"/>
        </w:rPr>
        <w:t>Perspectivas de la agricultura y del desarrollo rural en las Américas: Una mirada hacia América Latina y el Caribe</w:t>
      </w:r>
      <w:r w:rsidRPr="008608AA">
        <w:rPr>
          <w:lang w:val="es-CO"/>
        </w:rPr>
        <w:t>. Santiago de Chile.</w:t>
      </w:r>
    </w:p>
    <w:p w14:paraId="6A07CF9E" w14:textId="77777777" w:rsidR="00DD4E98" w:rsidRPr="008608AA" w:rsidRDefault="00DD4E98" w:rsidP="00DD4E98">
      <w:pPr>
        <w:widowControl w:val="0"/>
        <w:ind w:left="906" w:hangingChars="412" w:hanging="906"/>
        <w:contextualSpacing/>
      </w:pPr>
      <w:r w:rsidRPr="008608AA">
        <w:rPr>
          <w:lang w:val="es-CO"/>
        </w:rPr>
        <w:t xml:space="preserve">Chacón, M. I. (2009). </w:t>
      </w:r>
      <w:r w:rsidRPr="008608AA">
        <w:rPr>
          <w:i/>
          <w:lang w:val="es-CO"/>
        </w:rPr>
        <w:t>Darwin y la domesticación de plantas en las Américas: El caso del maíz y frijol.</w:t>
      </w:r>
      <w:r w:rsidRPr="008608AA">
        <w:rPr>
          <w:lang w:val="es-CO"/>
        </w:rPr>
        <w:t xml:space="preserve"> </w:t>
      </w:r>
      <w:r w:rsidRPr="008608AA">
        <w:rPr>
          <w:i/>
        </w:rPr>
        <w:t>Acta Biológica Colombiana</w:t>
      </w:r>
      <w:r w:rsidRPr="008608AA">
        <w:t xml:space="preserve">, </w:t>
      </w:r>
      <w:r w:rsidRPr="008608AA">
        <w:rPr>
          <w:i/>
        </w:rPr>
        <w:t>14</w:t>
      </w:r>
      <w:r w:rsidRPr="008608AA">
        <w:t>, (pp. 351–364).</w:t>
      </w:r>
    </w:p>
    <w:p w14:paraId="48B4D284" w14:textId="77777777" w:rsidR="00DD4E98" w:rsidRPr="008608AA" w:rsidRDefault="00DD4E98" w:rsidP="00DD4E98">
      <w:pPr>
        <w:widowControl w:val="0"/>
        <w:ind w:left="906" w:hangingChars="412" w:hanging="906"/>
        <w:contextualSpacing/>
      </w:pPr>
      <w:r w:rsidRPr="008608AA">
        <w:t xml:space="preserve">Chambers, R., &amp; Conway, R. G. (1991). Sustainable rural livelihoods: practical concepts for the 21st century (No. 296). </w:t>
      </w:r>
      <w:r w:rsidRPr="008608AA">
        <w:rPr>
          <w:i/>
        </w:rPr>
        <w:t>IDS Discussion Paper</w:t>
      </w:r>
      <w:r w:rsidRPr="008608AA">
        <w:t xml:space="preserve"> (Vol. 296). https://doi.org/ISBN 0 903715 58 9</w:t>
      </w:r>
    </w:p>
    <w:p w14:paraId="5BFCDDEE" w14:textId="77777777" w:rsidR="00DD4E98" w:rsidRPr="008608AA" w:rsidRDefault="00DD4E98" w:rsidP="00DD4E98">
      <w:pPr>
        <w:widowControl w:val="0"/>
        <w:autoSpaceDE w:val="0"/>
        <w:autoSpaceDN w:val="0"/>
        <w:adjustRightInd w:val="0"/>
        <w:ind w:left="906" w:hangingChars="412" w:hanging="906"/>
      </w:pPr>
      <w:r w:rsidRPr="008608AA">
        <w:t xml:space="preserve">Chan, K. M. A., Balvanera, P., Benessaiah, K., Chapman, M., Díaz, S., Gómez-Baggethun, E., Gould, R., Hannahs, N., Jax, K., Klain, S., Luck, G. W., Martín-López, B., Muraca, B., Norton, B., Ott, K., Pascual, U., Satterfield, T., Tadaki, M., Taggart, J., &amp; Turner, N. (2016). Why protect nature? Rethinking values and the environment. </w:t>
      </w:r>
      <w:r w:rsidRPr="008608AA">
        <w:rPr>
          <w:i/>
        </w:rPr>
        <w:t>PNAS</w:t>
      </w:r>
      <w:r w:rsidRPr="008608AA">
        <w:t xml:space="preserve">, </w:t>
      </w:r>
      <w:r w:rsidRPr="008608AA">
        <w:rPr>
          <w:i/>
        </w:rPr>
        <w:t>113</w:t>
      </w:r>
      <w:r w:rsidRPr="008608AA">
        <w:t>(6), (pp. 1462–1465). https://doi.org/doi/10.1073/pnas.1525002113</w:t>
      </w:r>
    </w:p>
    <w:p w14:paraId="0EDAD459" w14:textId="77777777" w:rsidR="00DD4E98" w:rsidRPr="008608AA" w:rsidRDefault="00DD4E98" w:rsidP="00DD4E98">
      <w:pPr>
        <w:widowControl w:val="0"/>
        <w:autoSpaceDE w:val="0"/>
        <w:autoSpaceDN w:val="0"/>
        <w:adjustRightInd w:val="0"/>
        <w:ind w:left="906" w:hangingChars="412" w:hanging="906"/>
      </w:pPr>
      <w:r w:rsidRPr="008608AA">
        <w:t xml:space="preserve">Chan, K. M. A., Guerry, A. D., Balvanera, P., Klain, S., Satterfield, T., Basurto, X., Bostrom, A., Chuenpagdee, R., Gould, R., Halpern, B. S., Hannahs, N., Levine, J., Norton, B., Ruckelshaus, M., Russell, R., Tam, J., &amp; Woodside, U. (2012). Where are Cultural and Social in Ecosystem Services? A Framework for Constructive Engagement. </w:t>
      </w:r>
      <w:r w:rsidRPr="008608AA">
        <w:rPr>
          <w:i/>
        </w:rPr>
        <w:t>BioScience</w:t>
      </w:r>
      <w:r w:rsidRPr="008608AA">
        <w:t xml:space="preserve">, </w:t>
      </w:r>
      <w:r w:rsidRPr="008608AA">
        <w:rPr>
          <w:i/>
        </w:rPr>
        <w:t>62</w:t>
      </w:r>
      <w:r w:rsidRPr="008608AA">
        <w:t>(8), (pp. 744–756). https://doi.org/10.1525/bio.2012.62.8.7</w:t>
      </w:r>
    </w:p>
    <w:p w14:paraId="7C11087C" w14:textId="77777777" w:rsidR="00DD4E98" w:rsidRPr="008608AA" w:rsidRDefault="00DD4E98" w:rsidP="00DD4E98">
      <w:pPr>
        <w:widowControl w:val="0"/>
        <w:ind w:left="906" w:hangingChars="412" w:hanging="906"/>
        <w:contextualSpacing/>
      </w:pPr>
      <w:r w:rsidRPr="008608AA">
        <w:t xml:space="preserve">Chapin III, F. S., Matson, P. A., &amp; Mooney, H. A. (2011). </w:t>
      </w:r>
      <w:r w:rsidRPr="008608AA">
        <w:rPr>
          <w:i/>
        </w:rPr>
        <w:t>Principles of Terrestrial Ecosystem Ecology</w:t>
      </w:r>
      <w:r w:rsidRPr="008608AA">
        <w:t xml:space="preserve"> (Second Edi). New York: Springer.</w:t>
      </w:r>
    </w:p>
    <w:p w14:paraId="347F790E" w14:textId="77777777" w:rsidR="00DD4E98" w:rsidRPr="008608AA" w:rsidRDefault="00DD4E98" w:rsidP="00DD4E98">
      <w:pPr>
        <w:widowControl w:val="0"/>
        <w:autoSpaceDE w:val="0"/>
        <w:autoSpaceDN w:val="0"/>
        <w:adjustRightInd w:val="0"/>
        <w:ind w:left="906" w:hangingChars="412" w:hanging="906"/>
      </w:pPr>
      <w:r w:rsidRPr="008608AA">
        <w:t xml:space="preserve">Charles, A., Westlund, L., Bartley, D. M., Fletcher, W. J., Garcia, S., Govan, H., &amp; Sanders, J. (2016). Fishing livelihoods as key to marine protected areas: insights from the World Parks Congress. </w:t>
      </w:r>
      <w:r w:rsidRPr="008608AA">
        <w:rPr>
          <w:i/>
        </w:rPr>
        <w:t>Aquatic Conservation: Marine and Freshwater Ecosystems, 26</w:t>
      </w:r>
      <w:r w:rsidRPr="008608AA">
        <w:t xml:space="preserve">, 165–184. </w:t>
      </w:r>
      <w:hyperlink r:id="rId110" w:history="1">
        <w:r w:rsidRPr="008608AA">
          <w:t>https://doi.org/10.1002/aqc.2648</w:t>
        </w:r>
      </w:hyperlink>
      <w:r w:rsidRPr="008608AA">
        <w:t>.</w:t>
      </w:r>
    </w:p>
    <w:p w14:paraId="1953D93E" w14:textId="77777777" w:rsidR="00DD4E98" w:rsidRPr="008608AA" w:rsidRDefault="00DD4E98" w:rsidP="00DD4E98">
      <w:pPr>
        <w:widowControl w:val="0"/>
        <w:ind w:left="906" w:hangingChars="412" w:hanging="906"/>
        <w:contextualSpacing/>
      </w:pPr>
      <w:r w:rsidRPr="002365C4">
        <w:rPr>
          <w:lang w:val="fr-FR"/>
        </w:rPr>
        <w:t xml:space="preserve">Chevallier, P., Pouyaud, B., Suarez, W., &amp; Condom, T. (2011). </w:t>
      </w:r>
      <w:r w:rsidRPr="008608AA">
        <w:t xml:space="preserve">Climate change threats to environment in the tropical Andes: glaciers and water resources. </w:t>
      </w:r>
      <w:r w:rsidRPr="008608AA">
        <w:rPr>
          <w:i/>
        </w:rPr>
        <w:t>Regional Environmental Change</w:t>
      </w:r>
      <w:r w:rsidRPr="008608AA">
        <w:t xml:space="preserve">, </w:t>
      </w:r>
      <w:r w:rsidRPr="008608AA">
        <w:rPr>
          <w:i/>
        </w:rPr>
        <w:t>11</w:t>
      </w:r>
      <w:r w:rsidRPr="008608AA">
        <w:t>(S1), (pp. 179–187). https://doi.org/10.1007/s10113-010-0177-6</w:t>
      </w:r>
    </w:p>
    <w:p w14:paraId="40C1DA1E"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Chhabra, A., Geist, H. J., Houghton, R. A., Haberl, H., Braimoh, A., Vlek, P. L., Patz, J. A., Xu, J., Ramankutty, N., Coomes, O. T., &amp; Lambin, E. F. (2006). Multiple Impacts of Land-Use/Cover Change. In E. F. Lambin &amp; H. J. Geist (Eds.), </w:t>
      </w:r>
      <w:r w:rsidRPr="008608AA">
        <w:rPr>
          <w:i/>
          <w:iCs/>
          <w:noProof/>
        </w:rPr>
        <w:t>Land-use and Land-Cover Change: Local Processes and Global Impacts</w:t>
      </w:r>
      <w:r w:rsidRPr="008608AA">
        <w:rPr>
          <w:noProof/>
        </w:rPr>
        <w:t xml:space="preserve"> (pp. 41–70). Berlin: Springer-Verlag.</w:t>
      </w:r>
    </w:p>
    <w:p w14:paraId="67D98C62" w14:textId="77777777" w:rsidR="00DD4E98" w:rsidRPr="008608AA" w:rsidRDefault="00DD4E98" w:rsidP="00DD4E98">
      <w:pPr>
        <w:widowControl w:val="0"/>
        <w:ind w:left="906" w:hangingChars="412" w:hanging="906"/>
        <w:contextualSpacing/>
      </w:pPr>
      <w:r w:rsidRPr="008608AA">
        <w:t xml:space="preserve">Chmura, G. L., Anisfeld, S. C., Cahoon, D. R., &amp; Lynch, J. C. (2003). Global carbon sequestration in tidal, saline wetland soils. </w:t>
      </w:r>
      <w:r w:rsidRPr="008608AA">
        <w:rPr>
          <w:i/>
        </w:rPr>
        <w:t>Global Biogeochemical Cycles</w:t>
      </w:r>
      <w:r w:rsidRPr="008608AA">
        <w:t xml:space="preserve">, </w:t>
      </w:r>
      <w:r w:rsidRPr="008608AA">
        <w:rPr>
          <w:i/>
        </w:rPr>
        <w:t>17</w:t>
      </w:r>
      <w:r w:rsidRPr="008608AA">
        <w:t>(4), n/a-n/a. https://doi.org/10.1029/2002GB001917</w:t>
      </w:r>
    </w:p>
    <w:p w14:paraId="1FEB837D" w14:textId="77777777" w:rsidR="00DD4E98" w:rsidRPr="008608AA" w:rsidRDefault="00DD4E98" w:rsidP="00DD4E98">
      <w:pPr>
        <w:widowControl w:val="0"/>
        <w:ind w:left="906" w:hangingChars="412" w:hanging="906"/>
        <w:contextualSpacing/>
        <w:rPr>
          <w:lang w:val="es-CO"/>
        </w:rPr>
      </w:pPr>
      <w:r w:rsidRPr="008608AA">
        <w:rPr>
          <w:lang w:val="es-CO"/>
        </w:rPr>
        <w:t xml:space="preserve">Choque Quispe, M. E. (2017). </w:t>
      </w:r>
      <w:r w:rsidRPr="008608AA">
        <w:rPr>
          <w:i/>
          <w:lang w:val="es-CO"/>
        </w:rPr>
        <w:t>La crianza de la llama y la gestión de los conocimientos tradicionalessobre la diversidad biológica y los ecosistemasen Corque Marka, departamento de Oruro, Bolivia</w:t>
      </w:r>
      <w:r w:rsidRPr="008608AA">
        <w:rPr>
          <w:lang w:val="es-CO"/>
        </w:rPr>
        <w:t xml:space="preserve">. </w:t>
      </w:r>
      <w:r w:rsidRPr="008608AA">
        <w:t xml:space="preserve">In B. Baptiste, D. Pacheco, M. C. da Cunha, &amp; S. Diaz (Eds.), </w:t>
      </w:r>
      <w:r w:rsidRPr="008608AA">
        <w:rPr>
          <w:i/>
        </w:rPr>
        <w:t>Knowing our Lands and Resources: Indigenous and Local Knowledge of Biodiversity and Ecosystem Services in the Americas</w:t>
      </w:r>
      <w:r w:rsidRPr="008608AA">
        <w:t xml:space="preserve">. </w:t>
      </w:r>
      <w:r w:rsidRPr="008608AA">
        <w:rPr>
          <w:lang w:val="es-CO"/>
        </w:rPr>
        <w:t>Paris: UNESCO.</w:t>
      </w:r>
    </w:p>
    <w:p w14:paraId="29201DDD" w14:textId="77777777" w:rsidR="00DD4E98" w:rsidRPr="008608AA" w:rsidRDefault="00DD4E98" w:rsidP="00DD4E98">
      <w:pPr>
        <w:widowControl w:val="0"/>
        <w:autoSpaceDE w:val="0"/>
        <w:autoSpaceDN w:val="0"/>
        <w:adjustRightInd w:val="0"/>
        <w:ind w:left="906" w:hangingChars="412" w:hanging="906"/>
        <w:rPr>
          <w:noProof/>
          <w:lang w:val="es-ES"/>
        </w:rPr>
      </w:pPr>
      <w:r w:rsidRPr="008608AA">
        <w:rPr>
          <w:noProof/>
          <w:lang w:val="es-ES"/>
        </w:rPr>
        <w:t xml:space="preserve">Claro, R. M., Santos, M. A. S., Oliveira, T. P., Pereira, C. A., Szwarcwald, C. L., Malta, D. C., Claro, R. M., Santos, M. A. S., Oliveira, T. P., Pereira, C. A., Szwarcwald, C. L., &amp; Malta, D. C. (2015). </w:t>
      </w:r>
      <w:r w:rsidRPr="008608AA">
        <w:rPr>
          <w:noProof/>
        </w:rPr>
        <w:t xml:space="preserve">Unhealthy food consumption related to chronic non- communicable diseases in Brazil : National Health Survey, 2013. </w:t>
      </w:r>
      <w:r w:rsidRPr="008608AA">
        <w:rPr>
          <w:i/>
          <w:iCs/>
          <w:noProof/>
          <w:lang w:val="es-ES"/>
        </w:rPr>
        <w:t>Epidemiologia e Serviços de Saúde</w:t>
      </w:r>
      <w:r w:rsidRPr="008608AA">
        <w:rPr>
          <w:noProof/>
          <w:lang w:val="es-ES"/>
        </w:rPr>
        <w:t xml:space="preserve">, </w:t>
      </w:r>
      <w:r w:rsidRPr="008608AA">
        <w:rPr>
          <w:i/>
          <w:iCs/>
          <w:noProof/>
          <w:lang w:val="es-ES"/>
        </w:rPr>
        <w:t>24</w:t>
      </w:r>
      <w:r w:rsidRPr="008608AA">
        <w:rPr>
          <w:noProof/>
          <w:lang w:val="es-ES"/>
        </w:rPr>
        <w:t>(2), 257–265. https://doi.org/10.5123/S1679-49742015000200008</w:t>
      </w:r>
    </w:p>
    <w:p w14:paraId="50267DC0" w14:textId="77777777" w:rsidR="00DD4E98" w:rsidRPr="008608AA" w:rsidRDefault="00DD4E98" w:rsidP="00DD4E98">
      <w:pPr>
        <w:widowControl w:val="0"/>
        <w:ind w:left="906" w:hangingChars="412" w:hanging="906"/>
        <w:contextualSpacing/>
      </w:pPr>
      <w:r w:rsidRPr="008608AA">
        <w:rPr>
          <w:lang w:val="es-CO"/>
        </w:rPr>
        <w:t xml:space="preserve">Clay, J. (2004). </w:t>
      </w:r>
      <w:r w:rsidRPr="008608AA">
        <w:rPr>
          <w:i/>
        </w:rPr>
        <w:t>World Agriculture and the Environment: A Commodity-By-Commodity Guide To Impacts And Practices (p. 570).</w:t>
      </w:r>
      <w:r w:rsidRPr="008608AA">
        <w:t xml:space="preserve"> Island Press.</w:t>
      </w:r>
    </w:p>
    <w:p w14:paraId="6FB3201D" w14:textId="77777777" w:rsidR="00DD4E98" w:rsidRPr="008608AA" w:rsidRDefault="00DD4E98" w:rsidP="00DD4E98">
      <w:pPr>
        <w:widowControl w:val="0"/>
        <w:ind w:left="906" w:hangingChars="412" w:hanging="906"/>
        <w:contextualSpacing/>
      </w:pPr>
      <w:r w:rsidRPr="008608AA">
        <w:t xml:space="preserve">Clayton, S., &amp; Myers, G. (2009). </w:t>
      </w:r>
      <w:r w:rsidRPr="008608AA">
        <w:rPr>
          <w:i/>
        </w:rPr>
        <w:t>Conservation Psychology: Understanding and Promoting Human Care for Nature</w:t>
      </w:r>
      <w:r w:rsidRPr="008608AA">
        <w:t>. Wiley-Blackwell.</w:t>
      </w:r>
    </w:p>
    <w:p w14:paraId="45E3F1EB" w14:textId="77777777" w:rsidR="00DD4E98" w:rsidRPr="008608AA" w:rsidRDefault="00DD4E98" w:rsidP="00DD4E98">
      <w:pPr>
        <w:widowControl w:val="0"/>
        <w:ind w:left="906" w:hangingChars="412" w:hanging="906"/>
        <w:contextualSpacing/>
      </w:pPr>
      <w:r w:rsidRPr="008608AA">
        <w:t xml:space="preserve">Clement, C. R., Denevan, W. M., Heckenberger, M. J., Junqueira, A. B., Neves, E. G., Teixeira, W. G., &amp; Woods, W. I. (2015). The domestication of Amazonia before European conquest. </w:t>
      </w:r>
      <w:r w:rsidRPr="008608AA">
        <w:rPr>
          <w:i/>
        </w:rPr>
        <w:t>Proceedings. Biological Sciences / The Royal Society</w:t>
      </w:r>
      <w:r w:rsidRPr="008608AA">
        <w:t xml:space="preserve">, </w:t>
      </w:r>
      <w:r w:rsidRPr="008608AA">
        <w:rPr>
          <w:i/>
        </w:rPr>
        <w:t xml:space="preserve">282 </w:t>
      </w:r>
      <w:r w:rsidRPr="008608AA">
        <w:t>(1812), 20150813. https://doi.org/10.1098/rspb.2015.0813</w:t>
      </w:r>
    </w:p>
    <w:p w14:paraId="54C4A81A" w14:textId="77777777" w:rsidR="00DD4E98" w:rsidRPr="008608AA" w:rsidRDefault="00DD4E98" w:rsidP="00DD4E98">
      <w:pPr>
        <w:widowControl w:val="0"/>
        <w:ind w:left="906" w:hangingChars="412" w:hanging="906"/>
        <w:contextualSpacing/>
      </w:pPr>
      <w:r w:rsidRPr="008608AA">
        <w:t xml:space="preserve">Cohen, J. E. (1995). </w:t>
      </w:r>
      <w:r w:rsidRPr="008608AA">
        <w:rPr>
          <w:i/>
        </w:rPr>
        <w:t>How Many People Can the Earth Support?</w:t>
      </w:r>
      <w:r w:rsidRPr="008608AA">
        <w:t xml:space="preserve"> New York: Norton. https://doi.org/10.2307/2137520</w:t>
      </w:r>
    </w:p>
    <w:p w14:paraId="1771BE39" w14:textId="77777777" w:rsidR="00DD4E98" w:rsidRPr="008608AA" w:rsidRDefault="00DD4E98" w:rsidP="00DD4E98">
      <w:pPr>
        <w:widowControl w:val="0"/>
        <w:ind w:left="906" w:hangingChars="412" w:hanging="906"/>
        <w:contextualSpacing/>
      </w:pPr>
      <w:r w:rsidRPr="008608AA">
        <w:t xml:space="preserve">Coleman-Jensen, A., Rabbitt, M. P., Gregory, C. A., &amp; Singh, A. (2016). </w:t>
      </w:r>
      <w:r w:rsidRPr="008608AA">
        <w:rPr>
          <w:i/>
        </w:rPr>
        <w:t>Household Food Security in the United States in 2015-A report summary from the Economic Research Service</w:t>
      </w:r>
      <w:r w:rsidRPr="008608AA">
        <w:t>. Washington, D.C. Retrieved from https://www.ers.usda.gov/webdocs/publications/err215/err-215.pdf</w:t>
      </w:r>
    </w:p>
    <w:p w14:paraId="019B3CD8" w14:textId="77777777" w:rsidR="00DD4E98" w:rsidRPr="008608AA" w:rsidRDefault="00DD4E98" w:rsidP="00DD4E98">
      <w:pPr>
        <w:widowControl w:val="0"/>
        <w:ind w:left="906" w:hangingChars="412" w:hanging="906"/>
        <w:contextualSpacing/>
      </w:pPr>
      <w:r w:rsidRPr="008608AA">
        <w:t xml:space="preserve">Collard, I. F., &amp; Foley, R. A. (2002). Latitudinal patterns and environmental determinants of recent human cultural diversity: do humans follow biogeographical rules? </w:t>
      </w:r>
      <w:r w:rsidRPr="008608AA">
        <w:rPr>
          <w:i/>
        </w:rPr>
        <w:t>Evolutionary Ecology Research</w:t>
      </w:r>
      <w:r w:rsidRPr="008608AA">
        <w:t xml:space="preserve">, </w:t>
      </w:r>
      <w:r w:rsidRPr="008608AA">
        <w:rPr>
          <w:i/>
        </w:rPr>
        <w:t>4</w:t>
      </w:r>
      <w:r w:rsidRPr="008608AA">
        <w:t>, (pp. 371–383).</w:t>
      </w:r>
    </w:p>
    <w:p w14:paraId="3B79DD6C" w14:textId="77777777" w:rsidR="00DD4E98" w:rsidRPr="008608AA" w:rsidRDefault="00DD4E98" w:rsidP="00DD4E98">
      <w:pPr>
        <w:widowControl w:val="0"/>
        <w:ind w:left="906" w:hangingChars="412" w:hanging="906"/>
        <w:contextualSpacing/>
      </w:pPr>
      <w:r w:rsidRPr="008608AA">
        <w:t xml:space="preserve">Collins, R., &amp; Rutherford, K. (2004). Modelling bacterial water quality in streams draining pastoral land. </w:t>
      </w:r>
      <w:r w:rsidRPr="008608AA">
        <w:rPr>
          <w:i/>
        </w:rPr>
        <w:t>Water Research</w:t>
      </w:r>
      <w:r w:rsidRPr="008608AA">
        <w:t xml:space="preserve">, </w:t>
      </w:r>
      <w:r w:rsidRPr="008608AA">
        <w:rPr>
          <w:i/>
        </w:rPr>
        <w:t>38</w:t>
      </w:r>
      <w:r w:rsidRPr="008608AA">
        <w:t>(3), (pp. 700–712). https://doi.org/10.1016/j.watres.2003.10.045</w:t>
      </w:r>
    </w:p>
    <w:p w14:paraId="4D303F7E" w14:textId="77777777" w:rsidR="00DD4E98" w:rsidRPr="008608AA" w:rsidRDefault="00DD4E98" w:rsidP="00DD4E98">
      <w:pPr>
        <w:widowControl w:val="0"/>
        <w:ind w:left="906" w:hangingChars="412" w:hanging="906"/>
        <w:contextualSpacing/>
      </w:pPr>
      <w:r w:rsidRPr="008608AA">
        <w:t xml:space="preserve">Coloma, C., Hoffman, J. S., &amp; Crosby, A. (2006). Suicide Among Guaraní Kaiowá and Nandeva Youth in Mato Grosso do Sul, Brazil. </w:t>
      </w:r>
      <w:r w:rsidRPr="008608AA">
        <w:rPr>
          <w:i/>
        </w:rPr>
        <w:t>Archives of Suicide Research</w:t>
      </w:r>
      <w:r w:rsidRPr="008608AA">
        <w:t xml:space="preserve">, </w:t>
      </w:r>
      <w:r w:rsidRPr="008608AA">
        <w:rPr>
          <w:i/>
        </w:rPr>
        <w:t>10</w:t>
      </w:r>
      <w:r w:rsidRPr="008608AA">
        <w:t>(2), (pp. 191–207). https://doi.org/10.1080/13811110600662505</w:t>
      </w:r>
    </w:p>
    <w:p w14:paraId="4F00A01C" w14:textId="77777777" w:rsidR="00DD4E98" w:rsidRPr="008608AA" w:rsidRDefault="00DD4E98" w:rsidP="00DD4E98">
      <w:pPr>
        <w:widowControl w:val="0"/>
        <w:ind w:left="906" w:hangingChars="412" w:hanging="906"/>
        <w:contextualSpacing/>
      </w:pPr>
      <w:r w:rsidRPr="008608AA">
        <w:t xml:space="preserve">Committee on the Status of Pollinators. (2007). </w:t>
      </w:r>
      <w:r w:rsidRPr="008608AA">
        <w:rPr>
          <w:i/>
        </w:rPr>
        <w:t>Status of Pollinators in north america</w:t>
      </w:r>
      <w:r w:rsidRPr="008608AA">
        <w:t>. Washington, D.C.: The National Academies Press.</w:t>
      </w:r>
    </w:p>
    <w:p w14:paraId="660B3C1E" w14:textId="77777777" w:rsidR="00DD4E98" w:rsidRPr="008608AA" w:rsidRDefault="00DD4E98" w:rsidP="00DD4E98">
      <w:pPr>
        <w:widowControl w:val="0"/>
        <w:ind w:left="906" w:hangingChars="412" w:hanging="906"/>
        <w:contextualSpacing/>
      </w:pPr>
      <w:r w:rsidRPr="008608AA">
        <w:t xml:space="preserve">Constantino, P. de A. L. (2016). </w:t>
      </w:r>
      <w:r w:rsidRPr="008608AA">
        <w:rPr>
          <w:i/>
        </w:rPr>
        <w:t>Deforestation and hunting effects on wildlife across amazonian indigenous lands. Ecology and Society</w:t>
      </w:r>
      <w:r w:rsidRPr="008608AA">
        <w:t xml:space="preserve">, </w:t>
      </w:r>
      <w:r w:rsidRPr="008608AA">
        <w:rPr>
          <w:i/>
        </w:rPr>
        <w:t>21</w:t>
      </w:r>
      <w:r w:rsidRPr="008608AA">
        <w:t>(2). https://doi.org/10.5751/ES-08323-210203</w:t>
      </w:r>
    </w:p>
    <w:p w14:paraId="580E44F5" w14:textId="77777777" w:rsidR="00DD4E98" w:rsidRPr="008608AA" w:rsidRDefault="00DD4E98" w:rsidP="00DD4E98">
      <w:pPr>
        <w:widowControl w:val="0"/>
        <w:ind w:left="906" w:hangingChars="412" w:hanging="906"/>
        <w:contextualSpacing/>
      </w:pPr>
      <w:r w:rsidRPr="008608AA">
        <w:t xml:space="preserve">Cooley, S. R., &amp; Doney, S. C. (2009). Anticipating ocean acidification’s economic consequences for commercial fisheries. </w:t>
      </w:r>
      <w:r w:rsidRPr="008608AA">
        <w:rPr>
          <w:i/>
        </w:rPr>
        <w:t>Environmental Research Letters</w:t>
      </w:r>
      <w:r w:rsidRPr="008608AA">
        <w:t xml:space="preserve">, </w:t>
      </w:r>
      <w:r w:rsidRPr="008608AA">
        <w:rPr>
          <w:i/>
        </w:rPr>
        <w:t>4</w:t>
      </w:r>
      <w:r w:rsidRPr="008608AA">
        <w:t>(2), 24007. https://doi.org/10.1088/1748-9326/4/2/024007</w:t>
      </w:r>
    </w:p>
    <w:p w14:paraId="367840B9" w14:textId="77777777" w:rsidR="00DD4E98" w:rsidRPr="008608AA" w:rsidRDefault="00DD4E98" w:rsidP="00DD4E98">
      <w:pPr>
        <w:widowControl w:val="0"/>
        <w:ind w:left="906" w:hangingChars="412" w:hanging="906"/>
        <w:contextualSpacing/>
        <w:rPr>
          <w:lang w:val="es-CO"/>
        </w:rPr>
      </w:pPr>
      <w:r w:rsidRPr="008608AA">
        <w:t xml:space="preserve">Copa, M. E., &amp; Townsend, W. R. (2004). </w:t>
      </w:r>
      <w:r w:rsidRPr="008608AA">
        <w:rPr>
          <w:lang w:val="es-CO"/>
        </w:rPr>
        <w:t xml:space="preserve">Aprovechamiento de la fauna por dos comunidades Tsimane’: un subsidio del bosque a la economía familiar. </w:t>
      </w:r>
      <w:r w:rsidRPr="008608AA">
        <w:rPr>
          <w:i/>
          <w:lang w:val="es-CO"/>
        </w:rPr>
        <w:t>Revista Boliviana de Ecología Y Conservación Ambiental</w:t>
      </w:r>
      <w:r w:rsidRPr="008608AA">
        <w:rPr>
          <w:lang w:val="es-CO"/>
        </w:rPr>
        <w:t>, (16), 41–48. Retrieved from http://biblat.unam.mx/es/revista/revista-boliviana-de-ecologia-y-conservacion-ambiental/articulo/aprovechamiento-de-la-fauna-por-dos-comunidades-tsimane-un-subsidio-del-bosque-a-la-economia-familiar</w:t>
      </w:r>
    </w:p>
    <w:p w14:paraId="3E57CB41" w14:textId="77777777" w:rsidR="00DD4E98" w:rsidRPr="008608AA" w:rsidRDefault="00DD4E98" w:rsidP="00DD4E98">
      <w:pPr>
        <w:widowControl w:val="0"/>
        <w:ind w:left="906" w:hangingChars="412" w:hanging="906"/>
        <w:contextualSpacing/>
        <w:rPr>
          <w:lang w:val="es-CO"/>
        </w:rPr>
      </w:pPr>
      <w:r w:rsidRPr="008608AA">
        <w:t xml:space="preserve">Cormier, L., &amp; Urbani, B. (2008). The ethnoprimatiology of spider monkeys (Atlele spp.) from past to present. In C. Campbel (Ed.), </w:t>
      </w:r>
      <w:r w:rsidRPr="008608AA">
        <w:rPr>
          <w:i/>
        </w:rPr>
        <w:t>Spider Monkeys: Biology, Ecology and Evolution of the genus Ateles</w:t>
      </w:r>
      <w:r w:rsidRPr="008608AA">
        <w:t xml:space="preserve">. </w:t>
      </w:r>
      <w:r w:rsidRPr="008608AA">
        <w:rPr>
          <w:lang w:val="es-CO"/>
        </w:rPr>
        <w:t>Cambridge University Press.</w:t>
      </w:r>
    </w:p>
    <w:p w14:paraId="491D527B" w14:textId="77777777" w:rsidR="00DD4E98" w:rsidRPr="008608AA" w:rsidRDefault="00DD4E98" w:rsidP="00DD4E98">
      <w:pPr>
        <w:widowControl w:val="0"/>
        <w:ind w:left="906" w:hangingChars="412" w:hanging="906"/>
        <w:contextualSpacing/>
      </w:pPr>
      <w:r w:rsidRPr="008608AA">
        <w:rPr>
          <w:lang w:val="es-CO"/>
        </w:rPr>
        <w:t xml:space="preserve">Cortés, F. I. A., Pérez, M. Ló., &amp; MogollÓn, H. M. (2012). </w:t>
      </w:r>
      <w:r w:rsidRPr="008608AA">
        <w:t xml:space="preserve">Mexico’s Water Challenges for the 21st Century. In </w:t>
      </w:r>
      <w:r w:rsidRPr="008608AA">
        <w:rPr>
          <w:i/>
        </w:rPr>
        <w:t>Water Resources in Mexico</w:t>
      </w:r>
      <w:r w:rsidRPr="008608AA">
        <w:t xml:space="preserve"> (pp. 21–38). Springer Berlin Heidelberg. https://doi.org/10.1007/978-3-642-05432-7_2</w:t>
      </w:r>
    </w:p>
    <w:p w14:paraId="04F218AC" w14:textId="77777777" w:rsidR="00DD4E98" w:rsidRPr="008608AA" w:rsidRDefault="00DD4E98" w:rsidP="00DD4E98">
      <w:pPr>
        <w:widowControl w:val="0"/>
        <w:ind w:left="906" w:hangingChars="412" w:hanging="906"/>
        <w:contextualSpacing/>
      </w:pPr>
      <w:r w:rsidRPr="008608AA">
        <w:rPr>
          <w:lang w:val="es-CO"/>
        </w:rPr>
        <w:t xml:space="preserve">Corvalan, C., Hales, S., &amp; McMichael, A. (2005). </w:t>
      </w:r>
      <w:r w:rsidRPr="008608AA">
        <w:rPr>
          <w:i/>
        </w:rPr>
        <w:t>Ecosystems and Human Well-being: Health Synthesis</w:t>
      </w:r>
      <w:r w:rsidRPr="008608AA">
        <w:t>. Geneva Switzerland.</w:t>
      </w:r>
    </w:p>
    <w:p w14:paraId="56A925BF" w14:textId="77777777" w:rsidR="00DD4E98" w:rsidRPr="008608AA" w:rsidRDefault="00DD4E98" w:rsidP="00DD4E98">
      <w:pPr>
        <w:widowControl w:val="0"/>
        <w:ind w:left="906" w:hangingChars="412" w:hanging="906"/>
        <w:contextualSpacing/>
      </w:pPr>
      <w:r w:rsidRPr="008608AA">
        <w:t xml:space="preserve">Costa, M. H., &amp; Foley, J. A. (2000). Combined Effects of Deforestation and Doubled Atmospheric CO 2 Concentrations on the Climate of Amazonia. </w:t>
      </w:r>
      <w:r w:rsidRPr="008608AA">
        <w:rPr>
          <w:i/>
        </w:rPr>
        <w:t>Journal of Climate</w:t>
      </w:r>
      <w:r w:rsidRPr="008608AA">
        <w:t xml:space="preserve">, </w:t>
      </w:r>
      <w:r w:rsidRPr="008608AA">
        <w:rPr>
          <w:i/>
        </w:rPr>
        <w:t>13</w:t>
      </w:r>
      <w:r w:rsidRPr="008608AA">
        <w:t>(1), (pp. 18–34). https://doi.org/10.1175/1520-0442(2000)013&lt;0018:CEODAD&gt;2.0.CO;2</w:t>
      </w:r>
    </w:p>
    <w:p w14:paraId="3219F11F" w14:textId="77777777" w:rsidR="00DD4E98" w:rsidRPr="008608AA" w:rsidRDefault="00DD4E98" w:rsidP="00DD4E98">
      <w:pPr>
        <w:widowControl w:val="0"/>
        <w:ind w:left="906" w:hangingChars="412" w:hanging="906"/>
        <w:contextualSpacing/>
      </w:pPr>
      <w:r w:rsidRPr="008608AA">
        <w:t xml:space="preserve">Costanza, R., &amp; Farber, S. (1987). The economic value of wetland systems. </w:t>
      </w:r>
      <w:r w:rsidRPr="008608AA">
        <w:rPr>
          <w:i/>
        </w:rPr>
        <w:t>Journal of Environmental Management</w:t>
      </w:r>
      <w:r w:rsidRPr="008608AA">
        <w:t xml:space="preserve">, </w:t>
      </w:r>
      <w:r w:rsidRPr="008608AA">
        <w:rPr>
          <w:i/>
        </w:rPr>
        <w:t>24</w:t>
      </w:r>
      <w:r w:rsidRPr="008608AA">
        <w:t>, (pp. 41–51).</w:t>
      </w:r>
    </w:p>
    <w:p w14:paraId="2843F8D9"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Costanza, R., D’Arge, R., de Groot, R., Farber, S., Grasso, M., Hannon, B., Limburg, K., Naeem, S., O’Neill, R. V., Paruelo, J., Raskin, R. G., Sutton, P., &amp; van den Belt, M. (1997). The value of the world’s ecosystem services and natural capital. </w:t>
      </w:r>
      <w:r w:rsidRPr="008608AA">
        <w:rPr>
          <w:i/>
          <w:iCs/>
          <w:noProof/>
        </w:rPr>
        <w:t>Nature</w:t>
      </w:r>
      <w:r w:rsidRPr="008608AA">
        <w:rPr>
          <w:noProof/>
        </w:rPr>
        <w:t xml:space="preserve">, </w:t>
      </w:r>
      <w:r w:rsidRPr="008608AA">
        <w:rPr>
          <w:i/>
          <w:iCs/>
          <w:noProof/>
        </w:rPr>
        <w:t>387</w:t>
      </w:r>
      <w:r w:rsidRPr="008608AA">
        <w:rPr>
          <w:noProof/>
        </w:rPr>
        <w:t>(6630), 253–260. https://doi.org/10.1038/387253a0</w:t>
      </w:r>
    </w:p>
    <w:p w14:paraId="52AE545A"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Costanza, R., de Groot, R., Sutton, P., van der Ploeg, S., Anderson, S. J., Kubiszewski, I., Farber, S., &amp; Turner, R. K. (2014). Changes in the global value of ecosystem services. </w:t>
      </w:r>
      <w:r w:rsidRPr="008608AA">
        <w:rPr>
          <w:i/>
          <w:iCs/>
          <w:noProof/>
        </w:rPr>
        <w:t>Global Environmental Change</w:t>
      </w:r>
      <w:r w:rsidRPr="008608AA">
        <w:rPr>
          <w:noProof/>
        </w:rPr>
        <w:t xml:space="preserve">, </w:t>
      </w:r>
      <w:r w:rsidRPr="008608AA">
        <w:rPr>
          <w:i/>
          <w:iCs/>
          <w:noProof/>
        </w:rPr>
        <w:t>26</w:t>
      </w:r>
      <w:r w:rsidRPr="008608AA">
        <w:rPr>
          <w:noProof/>
        </w:rPr>
        <w:t>, 152–158. https://doi.org/10.1016/j.gloenvcha.2014.04.002</w:t>
      </w:r>
    </w:p>
    <w:p w14:paraId="04E6F164" w14:textId="77777777" w:rsidR="00DD4E98" w:rsidRPr="008608AA" w:rsidRDefault="00DD4E98" w:rsidP="00DD4E98">
      <w:pPr>
        <w:widowControl w:val="0"/>
        <w:ind w:left="906" w:hangingChars="412" w:hanging="906"/>
        <w:contextualSpacing/>
      </w:pPr>
      <w:r w:rsidRPr="00CE0821">
        <w:rPr>
          <w:lang w:val="es-CO"/>
        </w:rPr>
        <w:t xml:space="preserve">Costanza, R., Pérez-Maqueo, O., Martinez, M. L., Sutton, P., Anderson, S. J., &amp; Mulder, K. (2008). </w:t>
      </w:r>
      <w:r w:rsidRPr="008608AA">
        <w:t xml:space="preserve">The Value of Coastal Wetlands for Hurricane Protection. </w:t>
      </w:r>
      <w:r w:rsidRPr="008608AA">
        <w:rPr>
          <w:i/>
        </w:rPr>
        <w:t>AMBIO: A Journal of the Human Environment</w:t>
      </w:r>
      <w:r w:rsidRPr="008608AA">
        <w:t xml:space="preserve">, </w:t>
      </w:r>
      <w:r w:rsidRPr="008608AA">
        <w:rPr>
          <w:i/>
        </w:rPr>
        <w:t>37</w:t>
      </w:r>
      <w:r w:rsidRPr="008608AA">
        <w:t>(4), (pp. 241–248). https://doi.org/10.1579/0044-7447(2008)37{241:TVOCWF}2.0.CO;2</w:t>
      </w:r>
    </w:p>
    <w:p w14:paraId="2AC74400" w14:textId="77777777" w:rsidR="00DD4E98" w:rsidRPr="008608AA" w:rsidRDefault="00DD4E98" w:rsidP="00DD4E98">
      <w:pPr>
        <w:widowControl w:val="0"/>
        <w:ind w:left="906" w:hangingChars="412" w:hanging="906"/>
        <w:contextualSpacing/>
      </w:pPr>
      <w:r w:rsidRPr="008608AA">
        <w:rPr>
          <w:lang w:val="es-CO"/>
        </w:rPr>
        <w:t xml:space="preserve">Costanza, R., Wilson, M., Troy, A., Voinov, A., Liu, S., &amp; D’Agostino, J. (2006). </w:t>
      </w:r>
      <w:r w:rsidRPr="008608AA">
        <w:rPr>
          <w:i/>
        </w:rPr>
        <w:t>The value of New Jersey’s ecosystem services and natural capital</w:t>
      </w:r>
      <w:r w:rsidRPr="008608AA">
        <w:t xml:space="preserve">. </w:t>
      </w:r>
      <w:r w:rsidRPr="008608AA">
        <w:rPr>
          <w:i/>
        </w:rPr>
        <w:t>… and The New Jersey …</w:t>
      </w:r>
      <w:r w:rsidRPr="008608AA">
        <w:t>. Trenton, NJ. Retrieved from http://training.fws.gov/EC/Resources/nrdar/injury_quantification/NJvaluationpart2.pdf</w:t>
      </w:r>
    </w:p>
    <w:p w14:paraId="39887018"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Costello, A., Abbas, M., Allen, A., Ball, S., Bell, S., Bellamy, R., Friel, S., Groce, N., Johnson, A., Kett, M., Lee, M., Levy, C., Maslin, M., McCoy, D., McGuire, B., Montgomery, H., Napier, D., Pagel, C., Patel, J., de Oliveira, J. A. P., Redclift, N., Rees, H., Rogger, D., Scott, J., Stephenson, J., Twigg, J., Wolff, J., &amp; Patterson, C. (2009). Managing the health effects of climate change. </w:t>
      </w:r>
      <w:r w:rsidRPr="008608AA">
        <w:rPr>
          <w:i/>
          <w:iCs/>
          <w:noProof/>
        </w:rPr>
        <w:t>The Lancet</w:t>
      </w:r>
      <w:r w:rsidRPr="008608AA">
        <w:rPr>
          <w:noProof/>
        </w:rPr>
        <w:t xml:space="preserve">, </w:t>
      </w:r>
      <w:r w:rsidRPr="008608AA">
        <w:rPr>
          <w:i/>
          <w:iCs/>
          <w:noProof/>
        </w:rPr>
        <w:t>373</w:t>
      </w:r>
      <w:r w:rsidRPr="008608AA">
        <w:rPr>
          <w:noProof/>
        </w:rPr>
        <w:t>(9676), 1693–1733. https://doi.org/10.1016/S0140-6736(09)60935-1</w:t>
      </w:r>
    </w:p>
    <w:p w14:paraId="4241161F" w14:textId="77777777" w:rsidR="00DD4E98" w:rsidRPr="008608AA" w:rsidRDefault="00DD4E98" w:rsidP="00DD4E98">
      <w:pPr>
        <w:widowControl w:val="0"/>
        <w:ind w:left="906" w:hangingChars="412" w:hanging="906"/>
        <w:contextualSpacing/>
      </w:pPr>
      <w:r w:rsidRPr="008608AA">
        <w:rPr>
          <w:lang w:val="es-CO"/>
        </w:rPr>
        <w:t xml:space="preserve">Cruz-Coutiño, A. (2014). </w:t>
      </w:r>
      <w:r w:rsidRPr="008608AA">
        <w:rPr>
          <w:i/>
          <w:lang w:val="es-CO"/>
        </w:rPr>
        <w:t>Cacao Soconusco Apuntes sobre Chiapas, México y Centromaérica</w:t>
      </w:r>
      <w:r w:rsidRPr="008608AA">
        <w:rPr>
          <w:lang w:val="es-CO"/>
        </w:rPr>
        <w:t xml:space="preserve">. </w:t>
      </w:r>
      <w:r w:rsidRPr="008608AA">
        <w:t>UNICACH : El Aguaje.</w:t>
      </w:r>
    </w:p>
    <w:p w14:paraId="55FA6F17" w14:textId="77777777" w:rsidR="00DD4E98" w:rsidRPr="008608AA" w:rsidRDefault="00DD4E98" w:rsidP="00DD4E98">
      <w:pPr>
        <w:widowControl w:val="0"/>
        <w:ind w:left="906" w:hangingChars="412" w:hanging="906"/>
        <w:contextualSpacing/>
      </w:pPr>
      <w:r w:rsidRPr="008608AA">
        <w:t xml:space="preserve">CTO. (2015). </w:t>
      </w:r>
      <w:r w:rsidRPr="008608AA">
        <w:rPr>
          <w:i/>
        </w:rPr>
        <w:t>Caribbean Tourism Orgnization: Latest Statistics 2015</w:t>
      </w:r>
      <w:r w:rsidRPr="008608AA">
        <w:t xml:space="preserve">. </w:t>
      </w:r>
      <w:r w:rsidRPr="008608AA">
        <w:rPr>
          <w:i/>
        </w:rPr>
        <w:t>Caribben Tourism Organization</w:t>
      </w:r>
      <w:r w:rsidRPr="008608AA">
        <w:t>. Retrieved from file:///C:/Users/julio/Desktop/SOD LITERATURE/Lattab15_FINAL.pdf</w:t>
      </w:r>
    </w:p>
    <w:p w14:paraId="0384984E" w14:textId="77777777" w:rsidR="00DD4E98" w:rsidRPr="008608AA" w:rsidRDefault="00DD4E98" w:rsidP="00DD4E98">
      <w:pPr>
        <w:widowControl w:val="0"/>
        <w:ind w:left="906" w:hangingChars="412" w:hanging="906"/>
        <w:contextualSpacing/>
      </w:pPr>
      <w:r w:rsidRPr="008608AA">
        <w:rPr>
          <w:lang w:val="es-CO"/>
        </w:rPr>
        <w:t xml:space="preserve">Cuellar, R. (1997). </w:t>
      </w:r>
      <w:r w:rsidRPr="008608AA">
        <w:rPr>
          <w:i/>
          <w:lang w:val="es-CO"/>
        </w:rPr>
        <w:t>Aprovechamiento de la fauna Silvestre en una comunidad de agricultores: los guanraní de Akae, Santa Cruz</w:t>
      </w:r>
      <w:r w:rsidRPr="008608AA">
        <w:rPr>
          <w:lang w:val="es-CO"/>
        </w:rPr>
        <w:t xml:space="preserve">. </w:t>
      </w:r>
      <w:r w:rsidRPr="008608AA">
        <w:t>UMSA.</w:t>
      </w:r>
    </w:p>
    <w:p w14:paraId="10D39EBD" w14:textId="77777777" w:rsidR="00DD4E98" w:rsidRPr="008608AA" w:rsidRDefault="00DD4E98" w:rsidP="00DD4E98">
      <w:pPr>
        <w:widowControl w:val="0"/>
        <w:ind w:left="906" w:hangingChars="412" w:hanging="906"/>
        <w:contextualSpacing/>
        <w:rPr>
          <w:lang w:val="es-CO"/>
        </w:rPr>
      </w:pPr>
      <w:r w:rsidRPr="008608AA">
        <w:t xml:space="preserve">Cunniff, S., &amp; Schwartz, A. (2015). </w:t>
      </w:r>
      <w:r w:rsidRPr="008608AA">
        <w:rPr>
          <w:i/>
        </w:rPr>
        <w:t>Performance of Natural Infrastructure and Nature-based Measures as Coastal Risk Reduction Features</w:t>
      </w:r>
      <w:r w:rsidRPr="008608AA">
        <w:t xml:space="preserve">. </w:t>
      </w:r>
      <w:r w:rsidRPr="008608AA">
        <w:rPr>
          <w:lang w:val="es-CO"/>
        </w:rPr>
        <w:t>Washington, D.C.</w:t>
      </w:r>
    </w:p>
    <w:p w14:paraId="217D6731" w14:textId="77777777" w:rsidR="00DD4E98" w:rsidRPr="008608AA" w:rsidRDefault="00DD4E98" w:rsidP="00DD4E98">
      <w:pPr>
        <w:widowControl w:val="0"/>
        <w:ind w:left="906" w:hangingChars="412" w:hanging="906"/>
        <w:contextualSpacing/>
      </w:pPr>
      <w:r w:rsidRPr="008608AA">
        <w:rPr>
          <w:lang w:val="es-CO"/>
        </w:rPr>
        <w:t xml:space="preserve">da Xavier, S. C. C., Roque, A. L. R., dos Lima, V. S., Monteiro, K. J. L., Otaviano, J. C. R., da Silva, L. F. C. F., &amp; Jansen, A. M. (2012). </w:t>
      </w:r>
      <w:r w:rsidRPr="008608AA">
        <w:t xml:space="preserve">Lower richness of small wild mammal species and chagas disease risk. </w:t>
      </w:r>
      <w:r w:rsidRPr="008608AA">
        <w:rPr>
          <w:i/>
        </w:rPr>
        <w:t>PLoS Neglected Tropical Diseases</w:t>
      </w:r>
      <w:r w:rsidRPr="008608AA">
        <w:t xml:space="preserve">, </w:t>
      </w:r>
      <w:r w:rsidRPr="008608AA">
        <w:rPr>
          <w:i/>
        </w:rPr>
        <w:t>6</w:t>
      </w:r>
      <w:r w:rsidRPr="008608AA">
        <w:t>(5). https://doi.org/10.1371/journal.pntd.0001647</w:t>
      </w:r>
    </w:p>
    <w:p w14:paraId="62EC94EC" w14:textId="77777777" w:rsidR="00DD4E98" w:rsidRPr="008608AA" w:rsidRDefault="00DD4E98" w:rsidP="00DD4E98">
      <w:pPr>
        <w:widowControl w:val="0"/>
        <w:ind w:left="906" w:hangingChars="412" w:hanging="906"/>
        <w:contextualSpacing/>
      </w:pPr>
      <w:r w:rsidRPr="008608AA">
        <w:t xml:space="preserve">Daily, G. C. (1997). </w:t>
      </w:r>
      <w:r w:rsidRPr="008608AA">
        <w:rPr>
          <w:i/>
        </w:rPr>
        <w:t>Nature’s Services: Society Dependence on Natural Ecosystems</w:t>
      </w:r>
      <w:r w:rsidRPr="008608AA">
        <w:t>. Island Press.</w:t>
      </w:r>
    </w:p>
    <w:p w14:paraId="2919FE92"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Dallimer, M., Tinch, D., Hanley, N., Irvine, K. N., Rouquette, J. R., Warren, P. H., Maltby, L., Gaston, K. J., &amp; Armsworth, P. R. (2014). Quantifying Preferences for the Natural World Using Monetary and Nonmonetary Assessments of Value. </w:t>
      </w:r>
      <w:r w:rsidRPr="008608AA">
        <w:rPr>
          <w:i/>
          <w:iCs/>
          <w:noProof/>
        </w:rPr>
        <w:t>Conservation Biology</w:t>
      </w:r>
      <w:r w:rsidRPr="008608AA">
        <w:rPr>
          <w:noProof/>
        </w:rPr>
        <w:t xml:space="preserve">, </w:t>
      </w:r>
      <w:r w:rsidRPr="008608AA">
        <w:rPr>
          <w:i/>
          <w:iCs/>
          <w:noProof/>
        </w:rPr>
        <w:t>28</w:t>
      </w:r>
      <w:r w:rsidRPr="008608AA">
        <w:rPr>
          <w:noProof/>
        </w:rPr>
        <w:t>(2), 404–413. https://doi.org/10.1111/cobi.12215</w:t>
      </w:r>
    </w:p>
    <w:p w14:paraId="654802E6" w14:textId="77777777" w:rsidR="00DD4E98" w:rsidRPr="008608AA" w:rsidRDefault="00DD4E98" w:rsidP="00DD4E98">
      <w:pPr>
        <w:widowControl w:val="0"/>
        <w:ind w:left="906" w:hangingChars="412" w:hanging="906"/>
        <w:contextualSpacing/>
      </w:pPr>
      <w:r w:rsidRPr="008608AA">
        <w:t xml:space="preserve">Danver, S. L. (2015). </w:t>
      </w:r>
      <w:r w:rsidRPr="008608AA">
        <w:rPr>
          <w:i/>
        </w:rPr>
        <w:t>Native Peoples of the World: An Encylopedia of Groups, Cultures and Contemporary Issues</w:t>
      </w:r>
      <w:r w:rsidRPr="008608AA">
        <w:t xml:space="preserve"> (Vol. 4). Routledge. Retrieved from https://books.google.com/books?id=vf4TBwAAQBAJ&amp;pgis=1</w:t>
      </w:r>
    </w:p>
    <w:p w14:paraId="16A425EC" w14:textId="77777777" w:rsidR="00DD4E98" w:rsidRPr="008608AA" w:rsidRDefault="00DD4E98" w:rsidP="00DD4E98">
      <w:pPr>
        <w:widowControl w:val="0"/>
        <w:ind w:left="906" w:hangingChars="412" w:hanging="906"/>
        <w:contextualSpacing/>
      </w:pPr>
      <w:r w:rsidRPr="008608AA">
        <w:t xml:space="preserve">Darvill, R., &amp; Lindo, Z. (2016). The inclusion of stakeholders and cultural ecosystem services in land management trade-off decisions using an ecosystem services approach. </w:t>
      </w:r>
      <w:r w:rsidRPr="008608AA">
        <w:rPr>
          <w:i/>
        </w:rPr>
        <w:t>Landscape Ecology</w:t>
      </w:r>
      <w:r w:rsidRPr="008608AA">
        <w:t xml:space="preserve">, </w:t>
      </w:r>
      <w:r w:rsidRPr="008608AA">
        <w:rPr>
          <w:i/>
        </w:rPr>
        <w:t>31</w:t>
      </w:r>
      <w:r w:rsidRPr="008608AA">
        <w:t>(3), (pp. 533–545). https://doi.org/10.1007/s10980-015-0260-y</w:t>
      </w:r>
    </w:p>
    <w:p w14:paraId="324F8595" w14:textId="77777777" w:rsidR="00DD4E98" w:rsidRPr="008608AA" w:rsidRDefault="00DD4E98" w:rsidP="00DD4E98">
      <w:pPr>
        <w:widowControl w:val="0"/>
        <w:ind w:left="906" w:hangingChars="412" w:hanging="906"/>
        <w:contextualSpacing/>
      </w:pPr>
      <w:r w:rsidRPr="008608AA">
        <w:t xml:space="preserve">Dawson, T. P., Jackson, S. T., House, J. I., Prentice, I. C., &amp; Mace, G. M. (2011). Beyond predictions: biodiversity conservation in a changing climate. </w:t>
      </w:r>
      <w:r w:rsidRPr="008608AA">
        <w:rPr>
          <w:i/>
        </w:rPr>
        <w:t>Science</w:t>
      </w:r>
      <w:r w:rsidRPr="008608AA">
        <w:t xml:space="preserve">, </w:t>
      </w:r>
      <w:r w:rsidRPr="008608AA">
        <w:rPr>
          <w:i/>
        </w:rPr>
        <w:t>332</w:t>
      </w:r>
      <w:r w:rsidRPr="008608AA">
        <w:t>(6025), (pp. 53–58). https://doi.org/10.1126/science.1200303</w:t>
      </w:r>
    </w:p>
    <w:p w14:paraId="2FC47D78" w14:textId="77777777" w:rsidR="00DD4E98" w:rsidRPr="008608AA" w:rsidRDefault="00DD4E98" w:rsidP="00DD4E98">
      <w:pPr>
        <w:widowControl w:val="0"/>
        <w:ind w:left="906" w:hangingChars="412" w:hanging="906"/>
        <w:contextualSpacing/>
      </w:pPr>
      <w:r w:rsidRPr="008608AA">
        <w:t xml:space="preserve">De Beenhouwer, M., Aerts, R., &amp; Honnay, O. (2013). A global meta-analysis of the biodiversity and ecosystem service benefits of coffee and cacao agroforestry. </w:t>
      </w:r>
      <w:r w:rsidRPr="008608AA">
        <w:rPr>
          <w:i/>
        </w:rPr>
        <w:t>Agriculture, Ecosystems &amp; Environment</w:t>
      </w:r>
      <w:r w:rsidRPr="008608AA">
        <w:t xml:space="preserve">, </w:t>
      </w:r>
      <w:r w:rsidRPr="008608AA">
        <w:rPr>
          <w:i/>
        </w:rPr>
        <w:t>175</w:t>
      </w:r>
      <w:r w:rsidRPr="008608AA">
        <w:t>(Supplement C), (pp. 1–7). https://doi.org/https://doi.org/10.1016/j.agee.2013.05.003</w:t>
      </w:r>
    </w:p>
    <w:p w14:paraId="200E445B" w14:textId="77777777" w:rsidR="00DD4E98" w:rsidRPr="008608AA" w:rsidRDefault="00DD4E98" w:rsidP="00DD4E98">
      <w:pPr>
        <w:widowControl w:val="0"/>
        <w:ind w:left="906" w:hangingChars="412" w:hanging="906"/>
        <w:contextualSpacing/>
      </w:pPr>
      <w:r w:rsidRPr="00CE0821">
        <w:rPr>
          <w:lang w:val="es-CO"/>
        </w:rPr>
        <w:t xml:space="preserve">de Castro, E. V, Souza, T. B., &amp; Thapa, B. (2015). </w:t>
      </w:r>
      <w:r w:rsidRPr="008608AA">
        <w:t xml:space="preserve">Determinants of Tourism Attractiveness in the National Parks of Brazil. </w:t>
      </w:r>
      <w:r w:rsidRPr="008608AA">
        <w:rPr>
          <w:i/>
        </w:rPr>
        <w:t>Parks</w:t>
      </w:r>
      <w:r w:rsidRPr="008608AA">
        <w:t xml:space="preserve">, </w:t>
      </w:r>
      <w:r w:rsidRPr="008608AA">
        <w:rPr>
          <w:i/>
        </w:rPr>
        <w:t>21</w:t>
      </w:r>
      <w:r w:rsidRPr="008608AA">
        <w:t>(2), (pp. 51–62). https://doi.org/10.2305/IUCN.CH.2014.PARKS-21-2EVDC.en</w:t>
      </w:r>
    </w:p>
    <w:p w14:paraId="5E610FC7" w14:textId="77777777" w:rsidR="00DD4E98" w:rsidRPr="008608AA" w:rsidRDefault="00DD4E98" w:rsidP="00DD4E98">
      <w:pPr>
        <w:widowControl w:val="0"/>
        <w:ind w:left="906" w:hangingChars="412" w:hanging="906"/>
        <w:contextualSpacing/>
      </w:pPr>
      <w:r w:rsidRPr="008608AA">
        <w:t xml:space="preserve">de Padua, L. S. Bunyapraphatsara, N. Lemmens, R. H. M. J. (1999). Medicinal and poisonous plants. Vol. 1. Leiden, Netherlands: </w:t>
      </w:r>
      <w:r w:rsidRPr="008608AA">
        <w:rPr>
          <w:i/>
        </w:rPr>
        <w:t>Plants Resources of South-East Asia 12/1</w:t>
      </w:r>
      <w:r w:rsidRPr="008608AA">
        <w:t>.</w:t>
      </w:r>
    </w:p>
    <w:p w14:paraId="4CA73263" w14:textId="77777777" w:rsidR="00DD4E98" w:rsidRPr="008608AA" w:rsidRDefault="00DD4E98" w:rsidP="00DD4E98">
      <w:pPr>
        <w:widowControl w:val="0"/>
        <w:ind w:left="906" w:hangingChars="412" w:hanging="906"/>
        <w:contextualSpacing/>
      </w:pPr>
      <w:r w:rsidRPr="008608AA">
        <w:t xml:space="preserve">De Silva, T. (1997). </w:t>
      </w:r>
      <w:r w:rsidRPr="008608AA">
        <w:rPr>
          <w:i/>
        </w:rPr>
        <w:t>Industrial utilization of medicinal plants in developing countries</w:t>
      </w:r>
      <w:r w:rsidRPr="008608AA">
        <w:t xml:space="preserve">. (FAO, Ed.), </w:t>
      </w:r>
      <w:r w:rsidRPr="008608AA">
        <w:rPr>
          <w:i/>
        </w:rPr>
        <w:t>Medicinal Plants for Forest Conservation and Health care</w:t>
      </w:r>
      <w:r w:rsidRPr="008608AA">
        <w:t>. Rome, Italy.</w:t>
      </w:r>
    </w:p>
    <w:p w14:paraId="4544EBC9" w14:textId="77777777" w:rsidR="00DD4E98" w:rsidRPr="008608AA" w:rsidRDefault="00DD4E98" w:rsidP="00DD4E98">
      <w:pPr>
        <w:widowControl w:val="0"/>
        <w:ind w:left="906" w:hangingChars="412" w:hanging="906"/>
        <w:contextualSpacing/>
      </w:pPr>
      <w:r w:rsidRPr="008608AA">
        <w:t xml:space="preserve">DeBarry, P. A. (2004). </w:t>
      </w:r>
      <w:r w:rsidRPr="008608AA">
        <w:rPr>
          <w:i/>
        </w:rPr>
        <w:t>Watersheds: Processes, Assessment and Management</w:t>
      </w:r>
      <w:r w:rsidRPr="008608AA">
        <w:t>. Hoboken, NJ, USA: John Wiley &amp; Sons.</w:t>
      </w:r>
    </w:p>
    <w:p w14:paraId="00166679" w14:textId="77777777" w:rsidR="00DD4E98" w:rsidRPr="008608AA" w:rsidRDefault="00DD4E98" w:rsidP="00DD4E98">
      <w:pPr>
        <w:widowControl w:val="0"/>
        <w:ind w:left="906" w:hangingChars="412" w:hanging="906"/>
        <w:contextualSpacing/>
      </w:pPr>
      <w:r w:rsidRPr="008608AA">
        <w:t xml:space="preserve">Delach, A. (2012). </w:t>
      </w:r>
      <w:r w:rsidRPr="008608AA">
        <w:rPr>
          <w:i/>
        </w:rPr>
        <w:t>Harnessing Nature: The Ecosystem Approach to Climate-Change Preparedness</w:t>
      </w:r>
      <w:r w:rsidRPr="008608AA">
        <w:t>.</w:t>
      </w:r>
    </w:p>
    <w:p w14:paraId="7665EB5F" w14:textId="77777777" w:rsidR="00DD4E98" w:rsidRPr="008608AA" w:rsidRDefault="00DD4E98" w:rsidP="00DD4E98">
      <w:pPr>
        <w:widowControl w:val="0"/>
        <w:ind w:left="906" w:hangingChars="412" w:hanging="906"/>
        <w:contextualSpacing/>
      </w:pPr>
      <w:r w:rsidRPr="008608AA">
        <w:t xml:space="preserve">Denevan, W. (1966). </w:t>
      </w:r>
      <w:r w:rsidRPr="008608AA">
        <w:rPr>
          <w:i/>
        </w:rPr>
        <w:t>The Aboriginal Cultural Geography of the Llanos de Mojos of Bolivia</w:t>
      </w:r>
      <w:r w:rsidRPr="008608AA">
        <w:t xml:space="preserve">. </w:t>
      </w:r>
      <w:r w:rsidRPr="008608AA">
        <w:rPr>
          <w:i/>
        </w:rPr>
        <w:t>Ibero-Americana No. 48</w:t>
      </w:r>
      <w:r w:rsidRPr="008608AA">
        <w:t xml:space="preserve"> (Vol. 48). https://doi.org/10.2307/2511415</w:t>
      </w:r>
    </w:p>
    <w:p w14:paraId="3F039D4A" w14:textId="77777777" w:rsidR="00DD4E98" w:rsidRPr="008608AA" w:rsidRDefault="00DD4E98" w:rsidP="00DD4E98">
      <w:pPr>
        <w:widowControl w:val="0"/>
        <w:ind w:left="906" w:hangingChars="412" w:hanging="906"/>
        <w:contextualSpacing/>
      </w:pPr>
      <w:r w:rsidRPr="008608AA">
        <w:t xml:space="preserve">Desmarchelier, C. (2010). Neotropics and natural ingredients for pharmaceuticals: why isn’t South American biodiversity on the crest of the wave? </w:t>
      </w:r>
      <w:r w:rsidRPr="008608AA">
        <w:rPr>
          <w:i/>
        </w:rPr>
        <w:t>Phytotherapy Research</w:t>
      </w:r>
      <w:r w:rsidRPr="008608AA">
        <w:t>, n/a-n/a. https://doi.org/10.1002/ptr.3114</w:t>
      </w:r>
    </w:p>
    <w:p w14:paraId="08B5F83A" w14:textId="77777777" w:rsidR="00DD4E98" w:rsidRPr="008608AA" w:rsidRDefault="00DD4E98" w:rsidP="00DD4E98">
      <w:pPr>
        <w:widowControl w:val="0"/>
        <w:ind w:left="906" w:hangingChars="412" w:hanging="906"/>
        <w:contextualSpacing/>
        <w:rPr>
          <w:lang w:val="es-CO"/>
        </w:rPr>
      </w:pPr>
      <w:r w:rsidRPr="008608AA">
        <w:t xml:space="preserve">Detwiler, R. P. (1986). </w:t>
      </w:r>
      <w:r w:rsidRPr="008608AA">
        <w:rPr>
          <w:i/>
        </w:rPr>
        <w:t xml:space="preserve">Land use change and the global carbon cycle: the role of tropical soils. </w:t>
      </w:r>
      <w:r w:rsidRPr="008608AA">
        <w:rPr>
          <w:i/>
          <w:lang w:val="es-CO"/>
        </w:rPr>
        <w:t>Biogeochemistry, 2(1)</w:t>
      </w:r>
      <w:r w:rsidRPr="008608AA">
        <w:rPr>
          <w:lang w:val="es-CO"/>
        </w:rPr>
        <w:t>, (pp. 67–93). https://doi.org/10.1007/BF02186966</w:t>
      </w:r>
    </w:p>
    <w:p w14:paraId="48008277" w14:textId="77777777" w:rsidR="00DD4E98" w:rsidRPr="008608AA" w:rsidRDefault="00DD4E98" w:rsidP="00DD4E98">
      <w:pPr>
        <w:widowControl w:val="0"/>
        <w:ind w:left="906" w:hangingChars="412" w:hanging="906"/>
        <w:contextualSpacing/>
        <w:rPr>
          <w:lang w:val="es-CO"/>
        </w:rPr>
      </w:pPr>
      <w:r w:rsidRPr="008608AA">
        <w:rPr>
          <w:lang w:val="es-CO"/>
        </w:rPr>
        <w:t xml:space="preserve">Di Stasi, L. C., Oliveira, G. P., Carvalhaes, M. A., Queiroz-Junior, M., Tien, O. S., Kakinami, S. H., &amp; Reis, M. S. (2002). </w:t>
      </w:r>
      <w:r w:rsidRPr="008608AA">
        <w:t xml:space="preserve">Medicinal plants popularly used in the Brazilian Tropical Atlantic Forest. </w:t>
      </w:r>
      <w:r w:rsidRPr="008608AA">
        <w:rPr>
          <w:i/>
          <w:lang w:val="es-CO"/>
        </w:rPr>
        <w:t>Fitoterapia</w:t>
      </w:r>
      <w:r w:rsidRPr="008608AA">
        <w:rPr>
          <w:lang w:val="es-CO"/>
        </w:rPr>
        <w:t xml:space="preserve">, </w:t>
      </w:r>
      <w:r w:rsidRPr="008608AA">
        <w:rPr>
          <w:i/>
          <w:lang w:val="es-CO"/>
        </w:rPr>
        <w:t>73</w:t>
      </w:r>
      <w:r w:rsidRPr="008608AA">
        <w:rPr>
          <w:lang w:val="es-CO"/>
        </w:rPr>
        <w:t>(1), (pp. 69–91). https://doi.org/10.1016/S0367-326X(01)00362-8</w:t>
      </w:r>
    </w:p>
    <w:p w14:paraId="5699EE50" w14:textId="77777777" w:rsidR="00DD4E98" w:rsidRPr="008608AA" w:rsidRDefault="00DD4E98" w:rsidP="00DD4E98">
      <w:pPr>
        <w:widowControl w:val="0"/>
        <w:ind w:left="906" w:hangingChars="412" w:hanging="906"/>
        <w:contextualSpacing/>
      </w:pPr>
      <w:r w:rsidRPr="008608AA">
        <w:rPr>
          <w:lang w:val="es-CO"/>
        </w:rPr>
        <w:t xml:space="preserve">Dias, J. E., &amp; Laureano, L. C. (2010). </w:t>
      </w:r>
      <w:r w:rsidRPr="008608AA">
        <w:rPr>
          <w:i/>
        </w:rPr>
        <w:t>Farmacopéia popular do Cerrado</w:t>
      </w:r>
      <w:r w:rsidRPr="008608AA">
        <w:t>. Retrieved from http://medcontent.metapress.com/index/A65RM03P4874243N.pdf</w:t>
      </w:r>
    </w:p>
    <w:p w14:paraId="6A586028" w14:textId="77777777" w:rsidR="00DD4E98" w:rsidRPr="008608AA" w:rsidRDefault="00DD4E98" w:rsidP="00DD4E98">
      <w:pPr>
        <w:widowControl w:val="0"/>
        <w:ind w:left="906" w:hangingChars="412" w:hanging="906"/>
        <w:contextualSpacing/>
      </w:pPr>
      <w:r w:rsidRPr="008608AA">
        <w:t xml:space="preserve">Diaz, R. J., &amp; Rosenberg, R. (2008). Spreading dead zones and consequences for marine ecosystems. </w:t>
      </w:r>
      <w:r w:rsidRPr="008608AA">
        <w:rPr>
          <w:i/>
        </w:rPr>
        <w:t>Science</w:t>
      </w:r>
      <w:r w:rsidRPr="008608AA">
        <w:t xml:space="preserve">, </w:t>
      </w:r>
      <w:r w:rsidRPr="008608AA">
        <w:rPr>
          <w:i/>
        </w:rPr>
        <w:t>321</w:t>
      </w:r>
      <w:r w:rsidRPr="008608AA">
        <w:t>(5891), (pp. 926–929). https://doi.org/10.1126/science.1156401</w:t>
      </w:r>
    </w:p>
    <w:p w14:paraId="5B6DCA5A" w14:textId="77777777" w:rsidR="00DD4E98" w:rsidRPr="008608AA" w:rsidRDefault="00DD4E98" w:rsidP="00DD4E98">
      <w:pPr>
        <w:widowControl w:val="0"/>
        <w:ind w:left="906" w:hangingChars="412" w:hanging="906"/>
        <w:contextualSpacing/>
      </w:pPr>
      <w:r w:rsidRPr="008608AA">
        <w:t xml:space="preserve">Díaz, S., Demissew, S., Joly, C., Lonsdale, W. M., &amp; Larigauderie, A. (2015). A Rosetta Stone for Nature ’ s Benefits to People. </w:t>
      </w:r>
      <w:r w:rsidRPr="008608AA">
        <w:rPr>
          <w:i/>
        </w:rPr>
        <w:t>Plos Biology</w:t>
      </w:r>
      <w:r w:rsidRPr="008608AA">
        <w:t>, (pp. 1–8). https://doi.org/10.1371/journal.pbio.1002040</w:t>
      </w:r>
    </w:p>
    <w:p w14:paraId="1DF8C726" w14:textId="77777777" w:rsidR="00DD4E98" w:rsidRPr="008608AA" w:rsidRDefault="00DD4E98" w:rsidP="00DD4E98">
      <w:pPr>
        <w:widowControl w:val="0"/>
        <w:ind w:left="906" w:hangingChars="412" w:hanging="906"/>
        <w:contextualSpacing/>
      </w:pPr>
      <w:r w:rsidRPr="008608AA">
        <w:t xml:space="preserve">Dimitri, C., &amp; Greene, C. (2002). Recent Growth Patterns in the U.S. Organic Foods Market. </w:t>
      </w:r>
      <w:r w:rsidRPr="008608AA">
        <w:rPr>
          <w:i/>
        </w:rPr>
        <w:t>Agriculture Information Bulletin</w:t>
      </w:r>
      <w:r w:rsidRPr="008608AA">
        <w:t xml:space="preserve"> (Vol. 777). https://doi.org/10.1111/j.1440-1819.2009.02038.x</w:t>
      </w:r>
    </w:p>
    <w:p w14:paraId="6BFCB838" w14:textId="77777777" w:rsidR="00DD4E98" w:rsidRPr="008608AA" w:rsidRDefault="00DD4E98" w:rsidP="00DD4E98">
      <w:pPr>
        <w:widowControl w:val="0"/>
        <w:ind w:left="906" w:hangingChars="412" w:hanging="906"/>
        <w:contextualSpacing/>
      </w:pPr>
      <w:r w:rsidRPr="008608AA">
        <w:t>Dise, N. B.,  Ashmore, M.R., Belyazid, S., Bobbink, R., De Vries, W., Erisman, J.W., Spranger, T.</w:t>
      </w:r>
      <w:r w:rsidRPr="008608AA">
        <w:rPr>
          <w:b/>
          <w:bCs/>
        </w:rPr>
        <w:t xml:space="preserve">, </w:t>
      </w:r>
      <w:r w:rsidRPr="008608AA">
        <w:t xml:space="preserve">Stevens, C. &amp; van den Berg, L.  (2011). Nitrogen as a threat to European Biodiversity. </w:t>
      </w:r>
      <w:r w:rsidRPr="008608AA">
        <w:rPr>
          <w:lang w:val="de-DE"/>
        </w:rPr>
        <w:t xml:space="preserve">In M. A. Sutton, C. M. Howard, J. W. Erisman, G. Billen, A. Bleeker, P. Grennfelt, </w:t>
      </w:r>
      <w:r w:rsidRPr="008608AA">
        <w:t xml:space="preserve">H.V. Grinsven &amp; B. Grizzetti  (Eds.), </w:t>
      </w:r>
      <w:r w:rsidRPr="008608AA">
        <w:rPr>
          <w:i/>
        </w:rPr>
        <w:t>The European Nitrogen Assessment</w:t>
      </w:r>
      <w:r w:rsidRPr="008608AA">
        <w:t>. Cambridge, UK: Cambridge University Press.</w:t>
      </w:r>
    </w:p>
    <w:p w14:paraId="59343E1E" w14:textId="77777777" w:rsidR="00DD4E98" w:rsidRPr="008608AA" w:rsidRDefault="00DD4E98" w:rsidP="00DD4E98">
      <w:pPr>
        <w:widowControl w:val="0"/>
        <w:ind w:left="906" w:hangingChars="412" w:hanging="906"/>
        <w:contextualSpacing/>
      </w:pPr>
      <w:r w:rsidRPr="008608AA">
        <w:t xml:space="preserve">Donoso, P. J., Frêne, C., Flores, M., Moorman, M. C., Oyarzún, C. E., &amp; Zavaleta, J. C. (2014). Balancing water supply and old-growth forest conservation in the lowlands of south-central Chile through adaptive co-management. </w:t>
      </w:r>
      <w:r w:rsidRPr="008608AA">
        <w:rPr>
          <w:i/>
        </w:rPr>
        <w:t>Landscape Ecology</w:t>
      </w:r>
      <w:r w:rsidRPr="008608AA">
        <w:t xml:space="preserve">, </w:t>
      </w:r>
      <w:r w:rsidRPr="008608AA">
        <w:rPr>
          <w:i/>
        </w:rPr>
        <w:t>29</w:t>
      </w:r>
      <w:r w:rsidRPr="008608AA">
        <w:t>(2), (pp. 245–260). https://doi.org/10.1007/s10980-013-9969-7</w:t>
      </w:r>
    </w:p>
    <w:p w14:paraId="443FF5D1" w14:textId="77777777" w:rsidR="00DD4E98" w:rsidRPr="008608AA" w:rsidRDefault="00DD4E98" w:rsidP="00DD4E98">
      <w:pPr>
        <w:widowControl w:val="0"/>
        <w:ind w:left="906" w:hangingChars="412" w:hanging="906"/>
        <w:contextualSpacing/>
      </w:pPr>
      <w:r w:rsidRPr="008608AA">
        <w:t xml:space="preserve">dos Santos, G. M., &amp; Antonini, Y. (2008). The traditional knowledge on stingless bees (Apidae: Meliponina) used by the Enawene-Nawe tribe in western Brazil. </w:t>
      </w:r>
      <w:r w:rsidRPr="008608AA">
        <w:rPr>
          <w:i/>
        </w:rPr>
        <w:t>Journal of Ethnobiology and Ethnomedicine</w:t>
      </w:r>
      <w:r w:rsidRPr="008608AA">
        <w:t xml:space="preserve">, </w:t>
      </w:r>
      <w:r w:rsidRPr="008608AA">
        <w:rPr>
          <w:i/>
        </w:rPr>
        <w:t>4</w:t>
      </w:r>
      <w:r w:rsidRPr="008608AA">
        <w:t>, (pp. 19). https://doi.org/10.1186/1746-4269-4-19</w:t>
      </w:r>
    </w:p>
    <w:p w14:paraId="64C6227F" w14:textId="77777777" w:rsidR="00DD4E98" w:rsidRPr="008608AA" w:rsidRDefault="00DD4E98" w:rsidP="00DD4E98">
      <w:pPr>
        <w:widowControl w:val="0"/>
        <w:ind w:left="906" w:hangingChars="412" w:hanging="906"/>
        <w:contextualSpacing/>
      </w:pPr>
      <w:r w:rsidRPr="008608AA">
        <w:t xml:space="preserve">Dowsley, M. (2010). </w:t>
      </w:r>
      <w:r w:rsidRPr="008608AA">
        <w:rPr>
          <w:i/>
        </w:rPr>
        <w:t>The Value of a Polar Bear: Evaluating the Role of a Multiple-Use Resource in the Nunavut Mixed Economy</w:t>
      </w:r>
      <w:r w:rsidRPr="008608AA">
        <w:t xml:space="preserve">. </w:t>
      </w:r>
      <w:r w:rsidRPr="008608AA">
        <w:rPr>
          <w:i/>
        </w:rPr>
        <w:t xml:space="preserve">Arctic Anthropology </w:t>
      </w:r>
      <w:r w:rsidRPr="008608AA">
        <w:t xml:space="preserve">, </w:t>
      </w:r>
      <w:r w:rsidRPr="008608AA">
        <w:rPr>
          <w:i/>
        </w:rPr>
        <w:t>47</w:t>
      </w:r>
      <w:r w:rsidRPr="008608AA">
        <w:t>(1), (pp. 39–56). https://doi.org/10.1353/arc.0.0035</w:t>
      </w:r>
    </w:p>
    <w:p w14:paraId="20265E98" w14:textId="77777777" w:rsidR="00DD4E98" w:rsidRPr="008608AA" w:rsidRDefault="00DD4E98" w:rsidP="00DD4E98">
      <w:pPr>
        <w:widowControl w:val="0"/>
        <w:ind w:left="906" w:hangingChars="412" w:hanging="906"/>
        <w:contextualSpacing/>
      </w:pPr>
      <w:r w:rsidRPr="008608AA">
        <w:t xml:space="preserve">Dudley, N. (2008). </w:t>
      </w:r>
      <w:r w:rsidRPr="008608AA">
        <w:rPr>
          <w:i/>
        </w:rPr>
        <w:t>Guidelines for Applying Protected Area Management Categories</w:t>
      </w:r>
      <w:r w:rsidRPr="008608AA">
        <w:t>. (N. Dudley, Ed.). Gland, Switzerland: IUCN. Retrieved from https://books.google.co.uk/books?id=pq4oEg58_08C</w:t>
      </w:r>
    </w:p>
    <w:p w14:paraId="7B07BBBE" w14:textId="77777777" w:rsidR="00DD4E98" w:rsidRPr="008608AA" w:rsidRDefault="00DD4E98" w:rsidP="00DD4E98">
      <w:pPr>
        <w:widowControl w:val="0"/>
        <w:ind w:left="906" w:hangingChars="412" w:hanging="906"/>
        <w:contextualSpacing/>
      </w:pPr>
      <w:r w:rsidRPr="008608AA">
        <w:t xml:space="preserve">Dudley, N., Belokurov, A., Higgins-Zogib, L., Hockings, M., Stolton, S., &amp; Burgess, N. (2007). </w:t>
      </w:r>
      <w:r w:rsidRPr="008608AA">
        <w:rPr>
          <w:i/>
        </w:rPr>
        <w:t>Tracking progress in managing protected areas around the world</w:t>
      </w:r>
      <w:r w:rsidRPr="008608AA">
        <w:t>. Gland, Switzerland.</w:t>
      </w:r>
    </w:p>
    <w:p w14:paraId="72BA4FA6" w14:textId="77777777" w:rsidR="00DD4E98" w:rsidRPr="008608AA" w:rsidRDefault="00DD4E98" w:rsidP="00DD4E98">
      <w:pPr>
        <w:widowControl w:val="0"/>
        <w:ind w:left="906" w:hangingChars="412" w:hanging="906"/>
        <w:contextualSpacing/>
      </w:pPr>
      <w:r w:rsidRPr="008608AA">
        <w:t>Dudley, N., S. Stolton, A. Belokurov, L. Krueger, N. Lopoukhine, K. MacKinnon, T. Sandwith and N. Sekhran [editors] (2009); Natural Solutions: Protected areas helping people cope with climate change, IUCNWCPA, TNC, UNDP, WCS, The World Bank and WWF, Gland, Switzerland, Washington DC and New York, USA.</w:t>
      </w:r>
    </w:p>
    <w:p w14:paraId="708E753C" w14:textId="77777777" w:rsidR="00DD4E98" w:rsidRPr="008608AA" w:rsidRDefault="00DD4E98" w:rsidP="00DD4E98">
      <w:pPr>
        <w:widowControl w:val="0"/>
        <w:ind w:left="906" w:hangingChars="412" w:hanging="906"/>
        <w:contextualSpacing/>
      </w:pPr>
      <w:r w:rsidRPr="008608AA">
        <w:t xml:space="preserve">Dunne, T., &amp; Leopold, L. B. (1978). </w:t>
      </w:r>
      <w:r w:rsidRPr="008608AA">
        <w:rPr>
          <w:i/>
        </w:rPr>
        <w:t>Water in Environmental Planning</w:t>
      </w:r>
      <w:r w:rsidRPr="008608AA">
        <w:t>. W H Freeman &amp; Co.</w:t>
      </w:r>
    </w:p>
    <w:p w14:paraId="24346839" w14:textId="77777777" w:rsidR="00DD4E98" w:rsidRPr="008608AA" w:rsidRDefault="00DD4E98" w:rsidP="00DD4E98">
      <w:pPr>
        <w:widowControl w:val="0"/>
        <w:ind w:left="906" w:hangingChars="412" w:hanging="906"/>
        <w:contextualSpacing/>
      </w:pPr>
      <w:r w:rsidRPr="008608AA">
        <w:rPr>
          <w:lang w:val="de-DE"/>
        </w:rPr>
        <w:t xml:space="preserve">Ehrlich, P. R., &amp; Mooney, H. A. (1983). </w:t>
      </w:r>
      <w:r w:rsidRPr="008608AA">
        <w:t xml:space="preserve">Extinction, Substitution, and Ecosystem Services. </w:t>
      </w:r>
      <w:r w:rsidRPr="008608AA">
        <w:rPr>
          <w:i/>
        </w:rPr>
        <w:t>BioScience</w:t>
      </w:r>
      <w:r w:rsidRPr="008608AA">
        <w:t xml:space="preserve">, </w:t>
      </w:r>
      <w:r w:rsidRPr="008608AA">
        <w:rPr>
          <w:i/>
        </w:rPr>
        <w:t>33</w:t>
      </w:r>
      <w:r w:rsidRPr="008608AA">
        <w:t>(4), (pp. 248–254). https://doi.org/10.2307/1309037</w:t>
      </w:r>
    </w:p>
    <w:p w14:paraId="098F1C11" w14:textId="77777777" w:rsidR="00DD4E98" w:rsidRPr="008608AA" w:rsidRDefault="00DD4E98" w:rsidP="00DD4E98">
      <w:pPr>
        <w:widowControl w:val="0"/>
        <w:ind w:left="906" w:hangingChars="412" w:hanging="906"/>
        <w:contextualSpacing/>
      </w:pPr>
      <w:r w:rsidRPr="008608AA">
        <w:t xml:space="preserve">EIA. (2016). </w:t>
      </w:r>
      <w:r w:rsidRPr="008608AA">
        <w:rPr>
          <w:i/>
        </w:rPr>
        <w:t>International Energy Statistics</w:t>
      </w:r>
      <w:r w:rsidRPr="008608AA">
        <w:t>. Retrieved from https://www.eia.gov/beta/international/data/browser/#/?vs=INTL.44-1-AFRC-QBTU.A&amp;vo=0&amp;v=H&amp;start=1980&amp;end=2014</w:t>
      </w:r>
    </w:p>
    <w:p w14:paraId="523464FB" w14:textId="77777777" w:rsidR="00DD4E98" w:rsidRPr="008608AA" w:rsidRDefault="00DD4E98" w:rsidP="00DD4E98">
      <w:pPr>
        <w:widowControl w:val="0"/>
        <w:ind w:left="906" w:hangingChars="412" w:hanging="906"/>
        <w:contextualSpacing/>
      </w:pPr>
      <w:r w:rsidRPr="008608AA">
        <w:rPr>
          <w:lang w:val="de-DE"/>
        </w:rPr>
        <w:t xml:space="preserve">Elias, M. A. S., Borges, F. J. A., Bergamini, L. L., Franceschinelli, E. V., &amp; Sujii, E. R. (2017). </w:t>
      </w:r>
      <w:r w:rsidRPr="008608AA">
        <w:t xml:space="preserve">Climate change threatens pollination services in tomato crops in Brazil. </w:t>
      </w:r>
      <w:r w:rsidRPr="008608AA">
        <w:rPr>
          <w:i/>
        </w:rPr>
        <w:t>Agriculture, Ecosystems &amp; Environment</w:t>
      </w:r>
      <w:r w:rsidRPr="008608AA">
        <w:t xml:space="preserve">, </w:t>
      </w:r>
      <w:r w:rsidRPr="008608AA">
        <w:rPr>
          <w:i/>
        </w:rPr>
        <w:t>239</w:t>
      </w:r>
      <w:r w:rsidRPr="008608AA">
        <w:t>, (pp. 257–264). https://doi.org/10.1016/j.agee.2017.01.026</w:t>
      </w:r>
    </w:p>
    <w:p w14:paraId="3F12E2DA" w14:textId="77777777" w:rsidR="00DD4E98" w:rsidRPr="008608AA" w:rsidRDefault="00DD4E98" w:rsidP="00DD4E98">
      <w:pPr>
        <w:widowControl w:val="0"/>
        <w:ind w:left="906" w:hangingChars="412" w:hanging="906"/>
        <w:contextualSpacing/>
        <w:rPr>
          <w:lang w:val="es-CO"/>
        </w:rPr>
      </w:pPr>
      <w:r w:rsidRPr="008608AA">
        <w:t xml:space="preserve">Elmqvist, T., Maltby, E., Barker, T., Mortimer, M., &amp; Perrings, C. (2010). Biodiversity, ecosystems and ecosystem services. In P. Kumar (Ed.), </w:t>
      </w:r>
      <w:r w:rsidRPr="008608AA">
        <w:rPr>
          <w:i/>
        </w:rPr>
        <w:t>The Economics of Ecosystems and Biodiversity: Ecological and Economic Foundations</w:t>
      </w:r>
      <w:r w:rsidRPr="008608AA">
        <w:t xml:space="preserve"> (pp. 41–112). </w:t>
      </w:r>
      <w:r w:rsidRPr="008608AA">
        <w:rPr>
          <w:lang w:val="es-CO"/>
        </w:rPr>
        <w:t>New York, NY: Routledge.</w:t>
      </w:r>
    </w:p>
    <w:p w14:paraId="52958DBA" w14:textId="77777777" w:rsidR="00DD4E98" w:rsidRPr="008608AA" w:rsidRDefault="00DD4E98" w:rsidP="00DD4E98">
      <w:pPr>
        <w:widowControl w:val="0"/>
        <w:ind w:left="906" w:hangingChars="412" w:hanging="906"/>
        <w:contextualSpacing/>
      </w:pPr>
      <w:r w:rsidRPr="008608AA">
        <w:rPr>
          <w:lang w:val="es-CO"/>
        </w:rPr>
        <w:t xml:space="preserve">Emperaire, L. (2017). Saberes tradicionais e diversidade das plantas cultivadas na Amazônia. </w:t>
      </w:r>
      <w:r w:rsidRPr="008608AA">
        <w:t xml:space="preserve">In B. Baptiste, D. Pacheco, M. Carneiro da Cunha, &amp; S. Diaz (Eds.), </w:t>
      </w:r>
      <w:r w:rsidRPr="008608AA">
        <w:rPr>
          <w:i/>
        </w:rPr>
        <w:t>Knowing our Lands and Resources: Indigenous and Local Knowledge of Biodiversity and Ecosystem Services in the Americas</w:t>
      </w:r>
      <w:r w:rsidRPr="008608AA">
        <w:t xml:space="preserve"> (pp. 41–62). Paris: UNESCO.</w:t>
      </w:r>
    </w:p>
    <w:p w14:paraId="4E6AEBD1" w14:textId="77777777" w:rsidR="00DD4E98" w:rsidRPr="008608AA" w:rsidRDefault="00DD4E98" w:rsidP="00DD4E98">
      <w:pPr>
        <w:widowControl w:val="0"/>
        <w:ind w:left="906" w:hangingChars="412" w:hanging="906"/>
        <w:contextualSpacing/>
        <w:rPr>
          <w:lang w:val="es-CO"/>
        </w:rPr>
      </w:pPr>
      <w:r w:rsidRPr="008608AA">
        <w:t xml:space="preserve">Erdoes, R., &amp; Ortiz, A. (1985). </w:t>
      </w:r>
      <w:r w:rsidRPr="008608AA">
        <w:rPr>
          <w:i/>
        </w:rPr>
        <w:t>American Indian Myths and Legends</w:t>
      </w:r>
      <w:r w:rsidRPr="008608AA">
        <w:t xml:space="preserve">. </w:t>
      </w:r>
      <w:r w:rsidRPr="008608AA">
        <w:rPr>
          <w:lang w:val="es-CO"/>
        </w:rPr>
        <w:t>New York: Pantheon Books.</w:t>
      </w:r>
    </w:p>
    <w:p w14:paraId="76E58332" w14:textId="77777777" w:rsidR="00DD4E98" w:rsidRPr="008608AA" w:rsidRDefault="00DD4E98" w:rsidP="00DD4E98">
      <w:pPr>
        <w:widowControl w:val="0"/>
        <w:ind w:left="906" w:hangingChars="412" w:hanging="906"/>
        <w:contextualSpacing/>
      </w:pPr>
      <w:r w:rsidRPr="008608AA">
        <w:rPr>
          <w:lang w:val="es-CO"/>
        </w:rPr>
        <w:t xml:space="preserve">Erickson, C. (2006). El valor actual de los Camellones de cultivo precolombinos: Experiencias del Perú y Bolivia. In F. Valdez (Ed.), </w:t>
      </w:r>
      <w:r w:rsidRPr="008608AA">
        <w:rPr>
          <w:i/>
          <w:lang w:val="es-CO"/>
        </w:rPr>
        <w:t>Agricultura ancestral. Camellones y albarradas: Contexto social, usos y retos del pasado y del presente</w:t>
      </w:r>
      <w:r w:rsidRPr="008608AA">
        <w:rPr>
          <w:lang w:val="es-CO"/>
        </w:rPr>
        <w:t xml:space="preserve"> (pp. 315–339). </w:t>
      </w:r>
      <w:r w:rsidRPr="008608AA">
        <w:t>Quito, Ecuador: Ediciones Abya-Yala.</w:t>
      </w:r>
    </w:p>
    <w:p w14:paraId="5DE6FFEF" w14:textId="77777777" w:rsidR="00DD4E98" w:rsidRPr="00CE0821" w:rsidRDefault="00DD4E98" w:rsidP="00DD4E98">
      <w:pPr>
        <w:widowControl w:val="0"/>
        <w:ind w:left="906" w:hangingChars="412" w:hanging="906"/>
        <w:contextualSpacing/>
        <w:rPr>
          <w:lang w:val="es-CO"/>
        </w:rPr>
      </w:pPr>
      <w:r w:rsidRPr="008608AA">
        <w:t xml:space="preserve">Erickson, C. L. (2010). The Transformation of Environment into Landscape: The Historical Ecology of Monumental Earthwork Construction in the Bolivian Amazon. </w:t>
      </w:r>
      <w:r w:rsidRPr="00CE0821">
        <w:rPr>
          <w:i/>
          <w:lang w:val="es-CO"/>
        </w:rPr>
        <w:t>Diversity</w:t>
      </w:r>
      <w:r w:rsidRPr="00CE0821">
        <w:rPr>
          <w:lang w:val="es-CO"/>
        </w:rPr>
        <w:t xml:space="preserve">, </w:t>
      </w:r>
      <w:r w:rsidRPr="00CE0821">
        <w:rPr>
          <w:i/>
          <w:lang w:val="es-CO"/>
        </w:rPr>
        <w:t>2</w:t>
      </w:r>
      <w:r w:rsidRPr="00CE0821">
        <w:rPr>
          <w:lang w:val="es-CO"/>
        </w:rPr>
        <w:t>(4), (pp. 618–652). https://doi.org/10.3390/d2040619</w:t>
      </w:r>
    </w:p>
    <w:p w14:paraId="01F56DE3" w14:textId="77777777" w:rsidR="00DD4E98" w:rsidRPr="008608AA" w:rsidRDefault="00DD4E98" w:rsidP="00DD4E98">
      <w:pPr>
        <w:widowControl w:val="0"/>
        <w:ind w:left="906" w:hangingChars="412" w:hanging="906"/>
        <w:contextualSpacing/>
      </w:pPr>
      <w:r w:rsidRPr="00CE0821">
        <w:rPr>
          <w:lang w:val="es-CO"/>
        </w:rPr>
        <w:t xml:space="preserve">Escobedo, F. J., Wagner, J. E., Nowak, D. J., De la Maza, C. L., Rodriguez, M., &amp; Crane, D. E. (2008). </w:t>
      </w:r>
      <w:r w:rsidRPr="008608AA">
        <w:t xml:space="preserve">Analyzing the cost effectiveness of Santiago, Chile’s policy of using urban forests to improve air quality. </w:t>
      </w:r>
      <w:r w:rsidRPr="008608AA">
        <w:rPr>
          <w:i/>
        </w:rPr>
        <w:t>Journal of Environmental Management</w:t>
      </w:r>
      <w:r w:rsidRPr="008608AA">
        <w:t xml:space="preserve">, </w:t>
      </w:r>
      <w:r w:rsidRPr="008608AA">
        <w:rPr>
          <w:i/>
        </w:rPr>
        <w:t>86</w:t>
      </w:r>
      <w:r w:rsidRPr="008608AA">
        <w:t>(1), (pp. 148–157). https://doi.org/10.1016/j.jenvman.2006.11.029</w:t>
      </w:r>
    </w:p>
    <w:p w14:paraId="3F854CD2" w14:textId="77777777" w:rsidR="00DD4E98" w:rsidRPr="008608AA" w:rsidRDefault="00DD4E98" w:rsidP="00DD4E98">
      <w:pPr>
        <w:widowControl w:val="0"/>
        <w:ind w:left="906" w:hangingChars="412" w:hanging="906"/>
        <w:contextualSpacing/>
      </w:pPr>
      <w:r w:rsidRPr="008608AA">
        <w:t xml:space="preserve">Espinosa, C. (2005). </w:t>
      </w:r>
      <w:r w:rsidRPr="008608AA">
        <w:rPr>
          <w:i/>
        </w:rPr>
        <w:t>Payment for Water-Based Environmental Services: Ecuador’s Experiences, Lessons Learned and Ways Forward</w:t>
      </w:r>
      <w:r w:rsidRPr="008608AA">
        <w:t xml:space="preserve"> (Nature and Economics No. Technical Paper No. 2). Colombo.</w:t>
      </w:r>
    </w:p>
    <w:p w14:paraId="77E0E656" w14:textId="77777777" w:rsidR="00DD4E98" w:rsidRPr="008608AA" w:rsidRDefault="00DD4E98" w:rsidP="00DD4E98">
      <w:pPr>
        <w:widowControl w:val="0"/>
        <w:ind w:left="906" w:hangingChars="412" w:hanging="906"/>
        <w:contextualSpacing/>
      </w:pPr>
      <w:r w:rsidRPr="008608AA">
        <w:t xml:space="preserve">Faber, S., &amp; Male, T. (2012). </w:t>
      </w:r>
      <w:r w:rsidRPr="008608AA">
        <w:rPr>
          <w:i/>
        </w:rPr>
        <w:t>Plowed Under: How Crop Subsidies Contribute to Massive Habitat Losses</w:t>
      </w:r>
      <w:r w:rsidRPr="008608AA">
        <w:t>.</w:t>
      </w:r>
    </w:p>
    <w:p w14:paraId="09F15E1E" w14:textId="77777777" w:rsidR="00DD4E98" w:rsidRPr="008608AA" w:rsidRDefault="00DD4E98" w:rsidP="00DD4E98">
      <w:pPr>
        <w:widowControl w:val="0"/>
        <w:ind w:left="906" w:hangingChars="412" w:hanging="906"/>
        <w:contextualSpacing/>
      </w:pPr>
      <w:r w:rsidRPr="008608AA">
        <w:t xml:space="preserve">FAO, IFAD, &amp; WFP. (2015). </w:t>
      </w:r>
      <w:r w:rsidRPr="008608AA">
        <w:rPr>
          <w:i/>
        </w:rPr>
        <w:t>The State of Food Insecurity in the World: Meeting the 2015 international hunger targets: taking stock of uneven progress.</w:t>
      </w:r>
      <w:r w:rsidRPr="008608AA">
        <w:t xml:space="preserve"> </w:t>
      </w:r>
      <w:r w:rsidRPr="008608AA">
        <w:rPr>
          <w:i/>
        </w:rPr>
        <w:t>FAO, IFAD and WFP</w:t>
      </w:r>
      <w:r w:rsidRPr="008608AA">
        <w:t>. https://doi.org/I4646E/1/05.15</w:t>
      </w:r>
    </w:p>
    <w:p w14:paraId="0BB45588" w14:textId="77777777" w:rsidR="00DD4E98" w:rsidRPr="008608AA" w:rsidRDefault="00DD4E98" w:rsidP="00DD4E98">
      <w:pPr>
        <w:widowControl w:val="0"/>
        <w:ind w:left="906" w:hangingChars="412" w:hanging="906"/>
        <w:contextualSpacing/>
      </w:pPr>
      <w:r w:rsidRPr="008608AA">
        <w:t xml:space="preserve">FAO. (2016). </w:t>
      </w:r>
      <w:r w:rsidRPr="008608AA">
        <w:rPr>
          <w:i/>
        </w:rPr>
        <w:t>AQUASTAT Main Database (2016 Edition)</w:t>
      </w:r>
      <w:r w:rsidRPr="008608AA">
        <w:t>. Retrieved from http://www.fao.org/nr/water/aquastat/data/query/index.html?lang=en</w:t>
      </w:r>
    </w:p>
    <w:p w14:paraId="2041F177" w14:textId="77777777" w:rsidR="00DD4E98" w:rsidRPr="008608AA" w:rsidRDefault="00DD4E98" w:rsidP="00DD4E98">
      <w:pPr>
        <w:widowControl w:val="0"/>
        <w:ind w:left="906" w:hangingChars="412" w:hanging="906"/>
        <w:contextualSpacing/>
        <w:rPr>
          <w:lang w:val="pt-BR"/>
        </w:rPr>
      </w:pPr>
      <w:r w:rsidRPr="008608AA">
        <w:t xml:space="preserve">Farley, J., &amp; Costanza, R. (2010). Payments for ecosystem services: From local to global. </w:t>
      </w:r>
      <w:r w:rsidRPr="008608AA">
        <w:rPr>
          <w:i/>
          <w:lang w:val="pt-BR"/>
        </w:rPr>
        <w:t>Ecological Economics</w:t>
      </w:r>
      <w:r w:rsidRPr="008608AA">
        <w:rPr>
          <w:lang w:val="pt-BR"/>
        </w:rPr>
        <w:t xml:space="preserve">, </w:t>
      </w:r>
      <w:r w:rsidRPr="008608AA">
        <w:rPr>
          <w:i/>
          <w:lang w:val="pt-BR"/>
        </w:rPr>
        <w:t>69</w:t>
      </w:r>
      <w:r w:rsidRPr="008608AA">
        <w:rPr>
          <w:lang w:val="pt-BR"/>
        </w:rPr>
        <w:t>(11), (pp. 2060–2068). https://doi.org/https://doi.org/10.1016/j.ecolecon.2010.06.010</w:t>
      </w:r>
    </w:p>
    <w:p w14:paraId="1CD91868" w14:textId="77777777" w:rsidR="00DD4E98" w:rsidRPr="008608AA" w:rsidRDefault="00DD4E98" w:rsidP="00DD4E98">
      <w:pPr>
        <w:widowControl w:val="0"/>
        <w:ind w:left="906" w:hangingChars="412" w:hanging="906"/>
        <w:contextualSpacing/>
      </w:pPr>
      <w:r w:rsidRPr="008608AA">
        <w:rPr>
          <w:lang w:val="pt-BR"/>
        </w:rPr>
        <w:t xml:space="preserve">Farnsworth, N. R., &amp; Soejarto, D. D. (1991). </w:t>
      </w:r>
      <w:r w:rsidRPr="008608AA">
        <w:t xml:space="preserve">Global Importance of Medicinal Plants. In H. Synge, O. Akerele, &amp; V. Heywood (Eds.), </w:t>
      </w:r>
      <w:r w:rsidRPr="008608AA">
        <w:rPr>
          <w:i/>
        </w:rPr>
        <w:t>Conservation of Medicinal Plants</w:t>
      </w:r>
      <w:r w:rsidRPr="008608AA">
        <w:t xml:space="preserve"> (pp. 25–52). Cambridge: Cambridge University Press. https://doi.org/DOI: 10.1017/CBO9780511753312.005</w:t>
      </w:r>
    </w:p>
    <w:p w14:paraId="4F8A0DC5" w14:textId="77777777" w:rsidR="00DD4E98" w:rsidRPr="008608AA" w:rsidRDefault="00DD4E98" w:rsidP="00DD4E98">
      <w:pPr>
        <w:widowControl w:val="0"/>
        <w:ind w:left="906" w:hangingChars="412" w:hanging="906"/>
        <w:contextualSpacing/>
      </w:pPr>
      <w:r w:rsidRPr="008608AA">
        <w:t xml:space="preserve">Fauset, S., Johnson, M. O., Gloor, M., Baker, T. R., Monteagudo M., A., Brienen, R. J. W., Feldpausch, T. R., Lopez-Gonzalez, G., Malhi, Y., ter Steege, H., Pitman, N. C. A., Baraloto, C., Engel, J., Pétronelli, P., Andrade, A., Camargo, J. L. C., Laurance, S. G. W., Laurance, W. F., Chave, J., Allie, E., Vargas, P. N., Terborgh, J. W., Ruokolainen, K., Silveira, M., Aymard C., G. A., Arroyo, L., Bonal, D., Ramirez-Angulo, H., Araujo-Murakami, A., Neill, D., Hérault, B., Dourdain, A., Torres-Lezama, A., Marimon, B. S., Salomão, R. P., Comiskey, J. A., Réjou-Méchain, M., Toledo, M., Licona, J. C., Alarcón, A., Prieto, A., Rudas, A., van der Meer, P. J., Killeen, T. J., Marimon Junior, B.-H., Poorter, L., Boot, R. G. A., Stergios, B., Torre, E. V., Costa, F. R. C., Levis, C., Schietti, J., Souza, P., Groot, N., Arets, E., Moscoso, V. C., Castro, W., Coronado, E. N. H., Peña-Claros, M., Stahl, C., Barroso, J., Talbot, J., Vieira, I. C. G., van der Heijden, G., Thomas, R., Vos, V. A., Almeida, E. C., Davila, E. Á., Aragão, L. E. O. C., Erwin, T. L., Morandi, P. S., de Oliveira, E. A., Valadão, M. B. X., Zagt, R. J., van der Hout, P., Loayza, P. A., Pipoly, J. J., Wang, O., Alexiades, M., Cerón, C. E., Huamantupa-Chuquimaco, I., Di Fiore, A., Peacock, J., Camacho, N. C. P., Umetsu, R. K., de Camargo, P. B., Burnham, R. J., Herrera, R., Quesada, C. A., Stropp, J., Vieira, S. A., Steininger, M., Rodríguez, C. R., Restrepo, Z., Muelbert, A. E., Lewis, S. L., Pickavance, G. C., &amp; Phillips, O. L. (2015). Hyperdominance in Amazonian forest carbon cycling. </w:t>
      </w:r>
      <w:r w:rsidRPr="008608AA">
        <w:rPr>
          <w:i/>
          <w:iCs/>
        </w:rPr>
        <w:t>Nature Communications</w:t>
      </w:r>
      <w:r w:rsidRPr="008608AA">
        <w:t xml:space="preserve">, </w:t>
      </w:r>
      <w:r w:rsidRPr="008608AA">
        <w:rPr>
          <w:i/>
          <w:iCs/>
        </w:rPr>
        <w:t>6</w:t>
      </w:r>
      <w:r w:rsidRPr="008608AA">
        <w:t>(1), 6857. https://doi.org/10.1038/ncomms7857</w:t>
      </w:r>
    </w:p>
    <w:p w14:paraId="7E3F1D0C" w14:textId="77777777" w:rsidR="00DD4E98" w:rsidRPr="008608AA" w:rsidRDefault="00DD4E98" w:rsidP="00DD4E98">
      <w:pPr>
        <w:widowControl w:val="0"/>
        <w:ind w:left="906" w:hangingChars="412" w:hanging="906"/>
        <w:contextualSpacing/>
      </w:pPr>
      <w:r w:rsidRPr="008608AA">
        <w:t xml:space="preserve">Federal Provincial and Territorial Governments of Canada. (2012). </w:t>
      </w:r>
      <w:r w:rsidRPr="008608AA">
        <w:rPr>
          <w:i/>
        </w:rPr>
        <w:t>2012 Canadian Nature Survey: Awareness, participation, and expenditures in nature-based recreation, conservation, and subsistence activities</w:t>
      </w:r>
      <w:r w:rsidRPr="008608AA">
        <w:t>. Ottawa, ON.</w:t>
      </w:r>
    </w:p>
    <w:p w14:paraId="564A576F" w14:textId="77777777" w:rsidR="00DD4E98" w:rsidRPr="008608AA" w:rsidRDefault="00DD4E98" w:rsidP="00DD4E98">
      <w:pPr>
        <w:widowControl w:val="0"/>
        <w:ind w:left="906" w:hangingChars="412" w:hanging="906"/>
        <w:contextualSpacing/>
      </w:pPr>
      <w:r w:rsidRPr="008608AA">
        <w:t xml:space="preserve">Fekete, B. M., Vorosmarty, C. J., &amp; Grabs, W. (1999). </w:t>
      </w:r>
      <w:r w:rsidRPr="008608AA">
        <w:rPr>
          <w:i/>
        </w:rPr>
        <w:t>Global, composite runoff fields based on observed river discharge and simulated water balances</w:t>
      </w:r>
      <w:r w:rsidRPr="008608AA">
        <w:t>.</w:t>
      </w:r>
    </w:p>
    <w:p w14:paraId="7D0923BF" w14:textId="77777777" w:rsidR="00DD4E98" w:rsidRPr="008608AA" w:rsidRDefault="00DD4E98" w:rsidP="00DD4E98">
      <w:pPr>
        <w:widowControl w:val="0"/>
        <w:ind w:left="906" w:hangingChars="412" w:hanging="906"/>
        <w:contextualSpacing/>
      </w:pPr>
      <w:r w:rsidRPr="008608AA">
        <w:t xml:space="preserve">Feldman, D. (2012). </w:t>
      </w:r>
      <w:r w:rsidRPr="008608AA">
        <w:rPr>
          <w:i/>
        </w:rPr>
        <w:t>Water</w:t>
      </w:r>
      <w:r w:rsidRPr="008608AA">
        <w:t>. Cambridge, UK: Polity Press.</w:t>
      </w:r>
    </w:p>
    <w:p w14:paraId="62AD6233" w14:textId="77777777" w:rsidR="00DD4E98" w:rsidRPr="008608AA" w:rsidRDefault="00DD4E98" w:rsidP="00DD4E98">
      <w:pPr>
        <w:widowControl w:val="0"/>
        <w:ind w:left="906" w:hangingChars="412" w:hanging="906"/>
        <w:contextualSpacing/>
      </w:pPr>
      <w:r w:rsidRPr="008608AA">
        <w:t xml:space="preserve">Fennessy, S., &amp; Craft, C. (2011). Agricultural conservation practices increase wetland ecosystem services in the Glaciated Interior Plains. </w:t>
      </w:r>
      <w:r w:rsidRPr="008608AA">
        <w:rPr>
          <w:i/>
        </w:rPr>
        <w:t>Ecological Applications</w:t>
      </w:r>
      <w:r w:rsidRPr="008608AA">
        <w:t xml:space="preserve">, </w:t>
      </w:r>
      <w:r w:rsidRPr="008608AA">
        <w:rPr>
          <w:i/>
        </w:rPr>
        <w:t>21</w:t>
      </w:r>
      <w:r w:rsidRPr="008608AA">
        <w:t>(3 SUPPL.), (pp. 49–64). https://doi.org/10.1890/09-0269.1</w:t>
      </w:r>
    </w:p>
    <w:p w14:paraId="309D3CA2" w14:textId="77777777" w:rsidR="00DD4E98" w:rsidRPr="008608AA" w:rsidRDefault="00DD4E98" w:rsidP="00DD4E98">
      <w:pPr>
        <w:widowControl w:val="0"/>
        <w:ind w:left="906" w:hangingChars="412" w:hanging="906"/>
        <w:contextualSpacing/>
        <w:rPr>
          <w:lang w:val="es-CO"/>
        </w:rPr>
      </w:pPr>
      <w:r w:rsidRPr="008608AA">
        <w:t xml:space="preserve">Fernandes, A., Medeiros, C., Bernardo, G., Ebone, M., Di Pietro, P., Assis, M., &amp; Vasconcelos, F. (2012). Benefits and risks of fish consumption for the human health. </w:t>
      </w:r>
      <w:r w:rsidRPr="008608AA">
        <w:rPr>
          <w:i/>
          <w:lang w:val="es-CO"/>
        </w:rPr>
        <w:t>Revista de Nutrição</w:t>
      </w:r>
      <w:r w:rsidRPr="008608AA">
        <w:rPr>
          <w:lang w:val="es-CO"/>
        </w:rPr>
        <w:t xml:space="preserve">, </w:t>
      </w:r>
      <w:r w:rsidRPr="008608AA">
        <w:rPr>
          <w:i/>
          <w:lang w:val="es-CO"/>
        </w:rPr>
        <w:t>25</w:t>
      </w:r>
      <w:r w:rsidRPr="008608AA">
        <w:rPr>
          <w:lang w:val="es-CO"/>
        </w:rPr>
        <w:t>(2), (pp. 283–295). https://doi.org/10.1590/S1415-52732012000200010</w:t>
      </w:r>
    </w:p>
    <w:p w14:paraId="1B2BE13B" w14:textId="77777777" w:rsidR="00DD4E98" w:rsidRPr="008608AA" w:rsidRDefault="00DD4E98" w:rsidP="00DD4E98">
      <w:pPr>
        <w:widowControl w:val="0"/>
        <w:ind w:left="906" w:hangingChars="412" w:hanging="906"/>
        <w:contextualSpacing/>
        <w:rPr>
          <w:lang w:val="es-CO"/>
        </w:rPr>
      </w:pPr>
      <w:r w:rsidRPr="008608AA">
        <w:rPr>
          <w:lang w:val="es-CO"/>
        </w:rPr>
        <w:t xml:space="preserve">Fernandes-Pinto, E. (2017). </w:t>
      </w:r>
      <w:r w:rsidRPr="008608AA">
        <w:rPr>
          <w:i/>
          <w:lang w:val="es-CO"/>
        </w:rPr>
        <w:t>Sítios Naturais Sagrados do Brasil: inspirações para o reencantamento das áreas protegidas</w:t>
      </w:r>
      <w:r w:rsidRPr="008608AA">
        <w:rPr>
          <w:lang w:val="es-CO"/>
        </w:rPr>
        <w:t>. Universidade Federal do Rio de Janeiro.</w:t>
      </w:r>
    </w:p>
    <w:p w14:paraId="7D6C47C2" w14:textId="77777777" w:rsidR="00DD4E98" w:rsidRPr="008608AA" w:rsidRDefault="00DD4E98" w:rsidP="00DD4E98">
      <w:pPr>
        <w:widowControl w:val="0"/>
        <w:ind w:left="906" w:hangingChars="412" w:hanging="906"/>
        <w:contextualSpacing/>
      </w:pPr>
      <w:r w:rsidRPr="008608AA">
        <w:rPr>
          <w:lang w:val="es-CO"/>
        </w:rPr>
        <w:t xml:space="preserve">Ferraro, P. J., &amp; Hanauer, M. M. (2011). </w:t>
      </w:r>
      <w:r w:rsidRPr="008608AA">
        <w:t xml:space="preserve">Protecting Ecosystems and Alleviating Poverty with Parks and Reserves: “Win-Win” or Tradeoffs? </w:t>
      </w:r>
      <w:r w:rsidRPr="008608AA">
        <w:rPr>
          <w:i/>
        </w:rPr>
        <w:t>Environmental and Resource Economics</w:t>
      </w:r>
      <w:r w:rsidRPr="008608AA">
        <w:t xml:space="preserve">, </w:t>
      </w:r>
      <w:r w:rsidRPr="008608AA">
        <w:rPr>
          <w:i/>
        </w:rPr>
        <w:t>48</w:t>
      </w:r>
      <w:r w:rsidRPr="008608AA">
        <w:t>(2), (pp. 269–286). https://doi.org/10.1007/s10640-010-9408-z</w:t>
      </w:r>
    </w:p>
    <w:p w14:paraId="3E09C793" w14:textId="77777777" w:rsidR="00DD4E98" w:rsidRPr="008608AA" w:rsidRDefault="00DD4E98" w:rsidP="00DD4E98">
      <w:pPr>
        <w:widowControl w:val="0"/>
        <w:ind w:left="906" w:hangingChars="412" w:hanging="906"/>
        <w:contextualSpacing/>
      </w:pPr>
      <w:r w:rsidRPr="008608AA">
        <w:t xml:space="preserve">Festa-Bianchet, M., &amp; Côté, S. D. (2008). </w:t>
      </w:r>
      <w:r w:rsidRPr="008608AA">
        <w:rPr>
          <w:i/>
        </w:rPr>
        <w:t>Mountain Goats: Ecology, Behavior, and Conservation of an Alpine Ungulate</w:t>
      </w:r>
      <w:r w:rsidRPr="008608AA">
        <w:t>. Washington: Island Press.</w:t>
      </w:r>
    </w:p>
    <w:p w14:paraId="183A3409" w14:textId="77777777" w:rsidR="00DD4E98" w:rsidRPr="008608AA" w:rsidRDefault="00DD4E98" w:rsidP="00DD4E98">
      <w:pPr>
        <w:widowControl w:val="0"/>
        <w:ind w:left="906" w:hangingChars="412" w:hanging="906"/>
        <w:contextualSpacing/>
      </w:pPr>
      <w:r w:rsidRPr="008608AA">
        <w:t xml:space="preserve">Fialkowski, M. K., Okoror, T. A., &amp; Boushey, C. J. (2012). The Relevancy of Community-Based Methods: Using Diet within Native American and Alaska Native Adult Populations as an Example. </w:t>
      </w:r>
      <w:r w:rsidRPr="008608AA">
        <w:rPr>
          <w:i/>
        </w:rPr>
        <w:t>Clinical and Translational Science</w:t>
      </w:r>
      <w:r w:rsidRPr="008608AA">
        <w:t xml:space="preserve">, </w:t>
      </w:r>
      <w:r w:rsidRPr="008608AA">
        <w:rPr>
          <w:i/>
        </w:rPr>
        <w:t>5</w:t>
      </w:r>
      <w:r w:rsidRPr="008608AA">
        <w:t>(3), (pp. 295–300). https://doi.org/10.1111/j.1752-8062.2011.00364.x</w:t>
      </w:r>
    </w:p>
    <w:p w14:paraId="0BEB0AC0" w14:textId="77777777" w:rsidR="00DD4E98" w:rsidRPr="008608AA" w:rsidRDefault="00DD4E98" w:rsidP="00DD4E98">
      <w:pPr>
        <w:widowControl w:val="0"/>
        <w:ind w:left="906" w:hangingChars="412" w:hanging="906"/>
        <w:contextualSpacing/>
      </w:pPr>
      <w:r w:rsidRPr="008608AA">
        <w:t xml:space="preserve">Finlay, J., Franke, T., McKay, H., &amp; Sims-Gould, J. (2015). Therapeutic landscapes and wellbeing in later life: Impacts of blue and green spaces for older adults. </w:t>
      </w:r>
      <w:r w:rsidRPr="008608AA">
        <w:rPr>
          <w:i/>
        </w:rPr>
        <w:t>Health &amp; Place</w:t>
      </w:r>
      <w:r w:rsidRPr="008608AA">
        <w:t xml:space="preserve">, </w:t>
      </w:r>
      <w:r w:rsidRPr="008608AA">
        <w:rPr>
          <w:i/>
        </w:rPr>
        <w:t>34</w:t>
      </w:r>
      <w:r w:rsidRPr="008608AA">
        <w:t>, (pp. 97–106). https://doi.org/https://doi.org/10.1016/j.healthplace.2015.05.001</w:t>
      </w:r>
    </w:p>
    <w:p w14:paraId="5308142F" w14:textId="77777777" w:rsidR="00DD4E98" w:rsidRPr="008608AA" w:rsidRDefault="00DD4E98" w:rsidP="00DD4E98">
      <w:pPr>
        <w:widowControl w:val="0"/>
        <w:ind w:left="906" w:hangingChars="412" w:hanging="906"/>
        <w:contextualSpacing/>
      </w:pPr>
      <w:r w:rsidRPr="008608AA">
        <w:rPr>
          <w:lang w:val="de-DE"/>
        </w:rPr>
        <w:t xml:space="preserve">Fischer, G., Hizsnyik, E., Prieler, S., Shah, M., &amp; Van Velthuizen, H. (2009). </w:t>
      </w:r>
      <w:r w:rsidRPr="008608AA">
        <w:rPr>
          <w:i/>
        </w:rPr>
        <w:t>Biofuels and food security</w:t>
      </w:r>
      <w:r w:rsidRPr="008608AA">
        <w:t xml:space="preserve">. </w:t>
      </w:r>
      <w:r w:rsidRPr="008608AA">
        <w:rPr>
          <w:i/>
        </w:rPr>
        <w:t>OFID and IIASA report</w:t>
      </w:r>
      <w:r w:rsidRPr="008608AA">
        <w:t xml:space="preserve"> (Vol. 1). https://doi.org/10.1111/j.1467-9353.2008.00425.x</w:t>
      </w:r>
    </w:p>
    <w:p w14:paraId="77FB1DE5" w14:textId="77777777" w:rsidR="00DD4E98" w:rsidRPr="008608AA" w:rsidRDefault="00DD4E98" w:rsidP="00DD4E98">
      <w:pPr>
        <w:widowControl w:val="0"/>
        <w:ind w:left="906" w:hangingChars="412" w:hanging="906"/>
        <w:contextualSpacing/>
      </w:pPr>
      <w:r w:rsidRPr="008608AA">
        <w:rPr>
          <w:lang w:val="es-CO"/>
        </w:rPr>
        <w:t xml:space="preserve">Fischer, G., Velthuizen, H. Van, Shah, M., &amp; Nachtergaele, F. (2002). </w:t>
      </w:r>
      <w:r w:rsidRPr="008608AA">
        <w:t xml:space="preserve">Global Agro-ecological Assessment for Agriculture in the 21st Century : Methodology and Results (IIASA Rese). </w:t>
      </w:r>
      <w:r w:rsidRPr="008608AA">
        <w:rPr>
          <w:i/>
        </w:rPr>
        <w:t>Analysis</w:t>
      </w:r>
      <w:r w:rsidRPr="008608AA">
        <w:t xml:space="preserve"> (Vol. RR-02-02). Laxenburg, Austria: IIASA/FAO. https://doi.org/http://www.iiasa.ac.at/Admin/PUB/Documents/RR-02-002.pdf</w:t>
      </w:r>
    </w:p>
    <w:p w14:paraId="77B6DDB0" w14:textId="77777777" w:rsidR="00DD4E98" w:rsidRPr="008608AA" w:rsidRDefault="00DD4E98" w:rsidP="00DD4E98">
      <w:pPr>
        <w:widowControl w:val="0"/>
        <w:ind w:left="906" w:hangingChars="412" w:hanging="906"/>
        <w:contextualSpacing/>
      </w:pPr>
      <w:r w:rsidRPr="008608AA">
        <w:t>Fischer, T., Byerlee, D., Edmeades, G., Byerlee, D., Edmeades, G., &amp; Fischer, T. (2014). Crop yields and global food security: will yield increase continue to feed the world</w:t>
      </w:r>
      <w:r w:rsidRPr="008608AA">
        <w:rPr>
          <w:i/>
        </w:rPr>
        <w:t>? ACIAR Monograph N° 158</w:t>
      </w:r>
      <w:r w:rsidRPr="008608AA">
        <w:t>. Camberra, Australia.</w:t>
      </w:r>
    </w:p>
    <w:p w14:paraId="3D63A0C0" w14:textId="77777777" w:rsidR="00DD4E98" w:rsidRPr="008608AA" w:rsidRDefault="00DD4E98" w:rsidP="00DD4E98">
      <w:pPr>
        <w:widowControl w:val="0"/>
        <w:ind w:left="906" w:hangingChars="412" w:hanging="906"/>
        <w:contextualSpacing/>
      </w:pPr>
      <w:r w:rsidRPr="008608AA">
        <w:t xml:space="preserve">Fisher, B., Turner, R. K., &amp; Morling, P. (2009). Defining and classifying ecosystem services for decision making. </w:t>
      </w:r>
      <w:r w:rsidRPr="008608AA">
        <w:rPr>
          <w:i/>
        </w:rPr>
        <w:t>Ecological Economics</w:t>
      </w:r>
      <w:r w:rsidRPr="008608AA">
        <w:t xml:space="preserve">, </w:t>
      </w:r>
      <w:r w:rsidRPr="008608AA">
        <w:rPr>
          <w:i/>
        </w:rPr>
        <w:t>68</w:t>
      </w:r>
      <w:r w:rsidRPr="008608AA">
        <w:t>(3), (pp. 643–653). https://doi.org/https://doi.org/10.1016/j.ecolecon.2008.09.014</w:t>
      </w:r>
    </w:p>
    <w:p w14:paraId="321AAA50"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Foley, J. A., Asner, G. P., Costa, M. H., Coe, M. T., DeFries, R., Gibbs, H. K., Howard, E. A., Olson, S., Patz, J., Ramankutty, N., &amp; Snyder, P. (2007). Amazonia revealed: Forest degradation and loss of ecosystem goods and services in the Amazon Basin. </w:t>
      </w:r>
      <w:r w:rsidRPr="008608AA">
        <w:rPr>
          <w:i/>
          <w:iCs/>
          <w:noProof/>
        </w:rPr>
        <w:t>Frontiers in Ecology and the Environment</w:t>
      </w:r>
      <w:r w:rsidRPr="008608AA">
        <w:rPr>
          <w:noProof/>
        </w:rPr>
        <w:t xml:space="preserve">, </w:t>
      </w:r>
      <w:r w:rsidRPr="008608AA">
        <w:rPr>
          <w:i/>
          <w:iCs/>
          <w:noProof/>
        </w:rPr>
        <w:t>5</w:t>
      </w:r>
      <w:r w:rsidRPr="008608AA">
        <w:rPr>
          <w:noProof/>
        </w:rPr>
        <w:t>(1), 25–32. https://doi.org/10.1890/1540-9295(2007)5[25:ARFDAL]2.0.CO;2</w:t>
      </w:r>
    </w:p>
    <w:p w14:paraId="44047A42" w14:textId="77777777" w:rsidR="00DD4E98" w:rsidRPr="008608AA" w:rsidRDefault="00DD4E98" w:rsidP="00DD4E98">
      <w:pPr>
        <w:widowControl w:val="0"/>
        <w:ind w:left="906" w:hangingChars="412" w:hanging="906"/>
        <w:contextualSpacing/>
      </w:pPr>
      <w:r w:rsidRPr="008608AA">
        <w:t xml:space="preserve">Foley, J. a., Costa, M. H., Delire, C., Ramankutty, N., &amp; Snyder, P. (2003). Green surprise? How terrestrial ecosystems could affect earth’s climate. </w:t>
      </w:r>
      <w:r w:rsidRPr="008608AA">
        <w:rPr>
          <w:i/>
        </w:rPr>
        <w:t>Frontiers in Ecology and the Environment</w:t>
      </w:r>
      <w:r w:rsidRPr="008608AA">
        <w:t xml:space="preserve">, </w:t>
      </w:r>
      <w:r w:rsidRPr="008608AA">
        <w:rPr>
          <w:i/>
        </w:rPr>
        <w:t>1</w:t>
      </w:r>
      <w:r w:rsidRPr="008608AA">
        <w:t>(1), (pp. 38–44). https://doi.org/10.1890/1540-9295(2003)001{0038:GSHTEC}2.0.CO;2</w:t>
      </w:r>
    </w:p>
    <w:p w14:paraId="7AD2FC7B" w14:textId="77777777" w:rsidR="00DD4E98" w:rsidRPr="008608AA" w:rsidRDefault="00DD4E98" w:rsidP="00DD4E98">
      <w:pPr>
        <w:widowControl w:val="0"/>
        <w:ind w:left="906" w:hangingChars="412" w:hanging="906"/>
        <w:contextualSpacing/>
      </w:pPr>
      <w:r w:rsidRPr="008608AA">
        <w:t xml:space="preserve">Foley, J. A., Defries, R., Asner, G. P., Barford, C., Bonan, G., Carpenter, S. R., Chapin, F. S., Coe, M. T., Daily, G. C., Gibbs, H. K., Helkowski, J. H., Holloway, T., Howard, E. A., Kucharik, C. J., Monfreda, C., Patz, J. A., Prentice, I. C., Ramankutty, N., &amp; Snyder, P. K. (2005). Global consequences of land use. </w:t>
      </w:r>
      <w:r w:rsidRPr="008608AA">
        <w:rPr>
          <w:i/>
          <w:iCs/>
        </w:rPr>
        <w:t>Science (New York, N.Y.)</w:t>
      </w:r>
      <w:r w:rsidRPr="008608AA">
        <w:t xml:space="preserve">, </w:t>
      </w:r>
      <w:r w:rsidRPr="008608AA">
        <w:rPr>
          <w:i/>
          <w:iCs/>
        </w:rPr>
        <w:t>309</w:t>
      </w:r>
      <w:r w:rsidRPr="008608AA">
        <w:t>(5734), 570–574. https://doi.org/10.1126/science.1111772</w:t>
      </w:r>
    </w:p>
    <w:p w14:paraId="0B2CF7F8" w14:textId="77777777" w:rsidR="00DD4E98" w:rsidRPr="008608AA" w:rsidRDefault="00DD4E98" w:rsidP="00DD4E98">
      <w:pPr>
        <w:widowControl w:val="0"/>
        <w:ind w:left="906" w:hangingChars="412" w:hanging="906"/>
        <w:contextualSpacing/>
      </w:pPr>
      <w:r w:rsidRPr="008608AA">
        <w:rPr>
          <w:lang w:val="es-CO"/>
        </w:rPr>
        <w:t xml:space="preserve">Fonnegra, R. G., &amp; Jiménez, R. L. (2007). </w:t>
      </w:r>
      <w:r w:rsidRPr="008608AA">
        <w:rPr>
          <w:i/>
          <w:lang w:val="es-CO"/>
        </w:rPr>
        <w:t>Plantas Medicinales Aprobadas En Colombia</w:t>
      </w:r>
      <w:r w:rsidRPr="008608AA">
        <w:rPr>
          <w:lang w:val="es-CO"/>
        </w:rPr>
        <w:t xml:space="preserve">. </w:t>
      </w:r>
      <w:r w:rsidRPr="008608AA">
        <w:t>Universidad de Antioquia.</w:t>
      </w:r>
    </w:p>
    <w:p w14:paraId="57318D2E" w14:textId="77777777" w:rsidR="00DD4E98" w:rsidRPr="008608AA" w:rsidRDefault="00DD4E98" w:rsidP="00DD4E98">
      <w:pPr>
        <w:widowControl w:val="0"/>
        <w:ind w:left="906" w:hangingChars="412" w:hanging="906"/>
        <w:contextualSpacing/>
      </w:pPr>
      <w:r w:rsidRPr="008608AA">
        <w:t xml:space="preserve">Food and Agriculture Organisation (FAO). (2015a). </w:t>
      </w:r>
      <w:r w:rsidRPr="008608AA">
        <w:rPr>
          <w:i/>
        </w:rPr>
        <w:t>FAOSTAT Database</w:t>
      </w:r>
      <w:r w:rsidRPr="008608AA">
        <w:t>. Retrieved from http://faostat3.fao.org/home/E</w:t>
      </w:r>
    </w:p>
    <w:p w14:paraId="2301FE5F" w14:textId="77777777" w:rsidR="00DD4E98" w:rsidRPr="008608AA" w:rsidRDefault="00DD4E98" w:rsidP="00DD4E98">
      <w:pPr>
        <w:widowControl w:val="0"/>
        <w:ind w:left="906" w:hangingChars="412" w:hanging="906"/>
        <w:contextualSpacing/>
      </w:pPr>
      <w:r w:rsidRPr="008608AA">
        <w:t xml:space="preserve">Food and Agriculture Organisation (FAO). (2015b). </w:t>
      </w:r>
      <w:r w:rsidRPr="008608AA">
        <w:rPr>
          <w:i/>
        </w:rPr>
        <w:t>Global Forest Resources Assessment 2015: Desk Reference</w:t>
      </w:r>
      <w:r w:rsidRPr="008608AA">
        <w:t>. Rome. Retrieved from http://www.fao.org/3/a-i4808e.pdf</w:t>
      </w:r>
    </w:p>
    <w:p w14:paraId="1E884221" w14:textId="77777777" w:rsidR="00DD4E98" w:rsidRPr="008608AA" w:rsidRDefault="00DD4E98" w:rsidP="00DD4E98">
      <w:pPr>
        <w:widowControl w:val="0"/>
        <w:ind w:left="906" w:hangingChars="412" w:hanging="906"/>
        <w:contextualSpacing/>
      </w:pPr>
      <w:r w:rsidRPr="008608AA">
        <w:t xml:space="preserve">Food and Agriculture Organization (FAO). (1997). </w:t>
      </w:r>
      <w:r w:rsidRPr="008608AA">
        <w:rPr>
          <w:i/>
        </w:rPr>
        <w:t>Report of the World Food Summit</w:t>
      </w:r>
      <w:r w:rsidRPr="008608AA">
        <w:t>. Rome, Italy. Retrieved from http://www.fao.org/docrep/003/w3548e/w3548e00.htm#date01</w:t>
      </w:r>
    </w:p>
    <w:p w14:paraId="6C5DA7A1" w14:textId="77777777" w:rsidR="00DD4E98" w:rsidRPr="008608AA" w:rsidRDefault="00DD4E98" w:rsidP="00DD4E98">
      <w:pPr>
        <w:widowControl w:val="0"/>
        <w:ind w:left="906" w:hangingChars="412" w:hanging="906"/>
        <w:contextualSpacing/>
      </w:pPr>
      <w:r w:rsidRPr="008608AA">
        <w:t xml:space="preserve">Food and Agriculture Organization (FAO). (1999). </w:t>
      </w:r>
      <w:r w:rsidRPr="008608AA">
        <w:rPr>
          <w:i/>
        </w:rPr>
        <w:t>Background Paper 1: Agricultural Biodiversity. In FAO/Netherlands Conference on the Multifunctional Character of Agriculture and Land</w:t>
      </w:r>
      <w:r w:rsidRPr="008608AA">
        <w:t xml:space="preserve">  (pp. 1–42). Retrieved from http://www.fao.org/ WAICENT/FAOINFO/SUSTDEV/EPdirect/EPdocs/ MFCAL.pdf</w:t>
      </w:r>
    </w:p>
    <w:p w14:paraId="5FF4BBCE" w14:textId="77777777" w:rsidR="00DD4E98" w:rsidRPr="008608AA" w:rsidRDefault="00DD4E98" w:rsidP="00DD4E98">
      <w:pPr>
        <w:widowControl w:val="0"/>
        <w:ind w:left="906" w:hangingChars="412" w:hanging="906"/>
        <w:contextualSpacing/>
      </w:pPr>
      <w:r w:rsidRPr="008608AA">
        <w:t xml:space="preserve">Food and Agriculture Organization (FAO). (2002). </w:t>
      </w:r>
      <w:r w:rsidRPr="008608AA">
        <w:rPr>
          <w:i/>
        </w:rPr>
        <w:t>World agriculture : towards 2015 / 2030. Summary report</w:t>
      </w:r>
      <w:r w:rsidRPr="008608AA">
        <w:t xml:space="preserve"> (Vol. 20). Rome: FAO. https://doi.org/10.1016/S0264-8377(03)00047-4</w:t>
      </w:r>
    </w:p>
    <w:p w14:paraId="4AD5B277" w14:textId="77777777" w:rsidR="00DD4E98" w:rsidRPr="008608AA" w:rsidRDefault="00DD4E98" w:rsidP="00DD4E98">
      <w:pPr>
        <w:widowControl w:val="0"/>
        <w:ind w:left="906" w:hangingChars="412" w:hanging="906"/>
        <w:contextualSpacing/>
      </w:pPr>
      <w:r w:rsidRPr="008608AA">
        <w:t xml:space="preserve">Food and Agriculture Organization (FAO). (2006). </w:t>
      </w:r>
      <w:r w:rsidRPr="008608AA">
        <w:rPr>
          <w:i/>
        </w:rPr>
        <w:t>Food Security</w:t>
      </w:r>
      <w:r w:rsidRPr="008608AA">
        <w:t xml:space="preserve">. </w:t>
      </w:r>
      <w:r w:rsidRPr="008608AA">
        <w:rPr>
          <w:i/>
        </w:rPr>
        <w:t>Policy Brief</w:t>
      </w:r>
      <w:r w:rsidRPr="008608AA">
        <w:t>. Rome: FAO. https://doi.org/10.1016/j.jneb.2010.12.007</w:t>
      </w:r>
    </w:p>
    <w:p w14:paraId="032C56E7" w14:textId="77777777" w:rsidR="00DD4E98" w:rsidRPr="008608AA" w:rsidRDefault="00DD4E98" w:rsidP="00DD4E98">
      <w:pPr>
        <w:widowControl w:val="0"/>
        <w:ind w:left="906" w:hangingChars="412" w:hanging="906"/>
        <w:contextualSpacing/>
      </w:pPr>
      <w:r w:rsidRPr="008608AA">
        <w:t xml:space="preserve">Food and Agriculture Organization (FAO). (2007). </w:t>
      </w:r>
      <w:r w:rsidRPr="008608AA">
        <w:rPr>
          <w:i/>
        </w:rPr>
        <w:t>Organic agriculture and access to food</w:t>
      </w:r>
      <w:r w:rsidRPr="008608AA">
        <w:t xml:space="preserve">. In M. Sligh &amp; C. Christman (Eds.), </w:t>
      </w:r>
      <w:r w:rsidRPr="008608AA">
        <w:rPr>
          <w:i/>
        </w:rPr>
        <w:t>International Conference on Organic Agriculture and Food Security</w:t>
      </w:r>
      <w:r w:rsidRPr="008608AA">
        <w:t xml:space="preserve"> (p. 27). Rome, Italy: FAO. Retrieved from http://scholar.google.com/scholar?hl=en&amp;btnG=Search&amp;q=intitle:Organic+Agriculture+and+Access+to+Food#0</w:t>
      </w:r>
    </w:p>
    <w:p w14:paraId="570E7CF6" w14:textId="77777777" w:rsidR="00DD4E98" w:rsidRPr="008608AA" w:rsidRDefault="00DD4E98" w:rsidP="00DD4E98">
      <w:pPr>
        <w:widowControl w:val="0"/>
        <w:ind w:left="906" w:hangingChars="412" w:hanging="906"/>
        <w:contextualSpacing/>
      </w:pPr>
      <w:r w:rsidRPr="008608AA">
        <w:t xml:space="preserve">Food and Agriculture Organization (FAO). </w:t>
      </w:r>
      <w:r w:rsidRPr="008608AA">
        <w:rPr>
          <w:lang w:val="es-CO"/>
        </w:rPr>
        <w:t xml:space="preserve">(2009). </w:t>
      </w:r>
      <w:r w:rsidRPr="008608AA">
        <w:rPr>
          <w:i/>
          <w:lang w:val="es-CO"/>
        </w:rPr>
        <w:t>Pago por Servicios Ambientales en Áreas Protegidas en América Latina</w:t>
      </w:r>
      <w:r w:rsidRPr="008608AA">
        <w:rPr>
          <w:lang w:val="es-CO"/>
        </w:rPr>
        <w:t xml:space="preserve">. </w:t>
      </w:r>
      <w:r w:rsidRPr="008608AA">
        <w:rPr>
          <w:i/>
          <w:lang w:val="es-CO"/>
        </w:rPr>
        <w:t>Programa FAO/OAPN: Fortalecimiento del Manejo Sostenible de los Recursos Naturales en las Áreas Protegidas de América Latina</w:t>
      </w:r>
      <w:r w:rsidRPr="008608AA">
        <w:rPr>
          <w:lang w:val="es-CO"/>
        </w:rPr>
        <w:t xml:space="preserve">. </w:t>
      </w:r>
      <w:r w:rsidRPr="008608AA">
        <w:t>Retrieved from http://www.fao.org/3/a-i0822s.pdf</w:t>
      </w:r>
    </w:p>
    <w:p w14:paraId="61DCC72E" w14:textId="77777777" w:rsidR="00DD4E98" w:rsidRPr="008608AA" w:rsidRDefault="00DD4E98" w:rsidP="00DD4E98">
      <w:pPr>
        <w:widowControl w:val="0"/>
        <w:ind w:left="906" w:hangingChars="412" w:hanging="906"/>
        <w:contextualSpacing/>
      </w:pPr>
      <w:r w:rsidRPr="008608AA">
        <w:t xml:space="preserve">Food and Agriculture Organization (FAO). (2010). </w:t>
      </w:r>
      <w:r w:rsidRPr="008608AA">
        <w:rPr>
          <w:i/>
        </w:rPr>
        <w:t>The role of forests and forestry in the prevention and rehabilitation of lanslides in Asia</w:t>
      </w:r>
      <w:r w:rsidRPr="008608AA">
        <w:t xml:space="preserve">. </w:t>
      </w:r>
      <w:r w:rsidRPr="008608AA">
        <w:rPr>
          <w:i/>
        </w:rPr>
        <w:t>Forests ans landslides, The center for people and forests, FAO</w:t>
      </w:r>
      <w:r w:rsidRPr="008608AA">
        <w:t>.</w:t>
      </w:r>
    </w:p>
    <w:p w14:paraId="6DD20A12" w14:textId="77777777" w:rsidR="00DD4E98" w:rsidRPr="008608AA" w:rsidRDefault="00DD4E98" w:rsidP="00DD4E98">
      <w:pPr>
        <w:widowControl w:val="0"/>
        <w:ind w:left="906" w:hangingChars="412" w:hanging="906"/>
        <w:contextualSpacing/>
      </w:pPr>
      <w:r w:rsidRPr="008608AA">
        <w:t xml:space="preserve">Food and Agriculture Organization (FAO). (2011a). </w:t>
      </w:r>
      <w:r w:rsidRPr="008608AA">
        <w:rPr>
          <w:i/>
        </w:rPr>
        <w:t>The State of the World’s Land and Water Resources for Food and Agriculture. Managing Systems at Risk</w:t>
      </w:r>
      <w:r w:rsidRPr="008608AA">
        <w:t>. New York: Earthscan. https://doi.org/10.4324/9780203142837</w:t>
      </w:r>
    </w:p>
    <w:p w14:paraId="2DD956FE" w14:textId="77777777" w:rsidR="00DD4E98" w:rsidRPr="008608AA" w:rsidRDefault="00DD4E98" w:rsidP="00DD4E98">
      <w:pPr>
        <w:widowControl w:val="0"/>
        <w:ind w:left="906" w:hangingChars="412" w:hanging="906"/>
        <w:contextualSpacing/>
      </w:pPr>
      <w:r w:rsidRPr="008608AA">
        <w:t xml:space="preserve">Food and Agriculture Organization (FAO). (2011b). </w:t>
      </w:r>
      <w:r w:rsidRPr="008608AA">
        <w:rPr>
          <w:i/>
        </w:rPr>
        <w:t>World Livestock 2011- Livestock in food security World</w:t>
      </w:r>
      <w:r w:rsidRPr="008608AA">
        <w:t xml:space="preserve">. (A. McLeod, Ed.), </w:t>
      </w:r>
      <w:r w:rsidRPr="008608AA">
        <w:rPr>
          <w:i/>
        </w:rPr>
        <w:t>World</w:t>
      </w:r>
      <w:r w:rsidRPr="008608AA">
        <w:t>. Rome, FAO.: FAO. https://doi.org/10.1080/00036841003742587</w:t>
      </w:r>
    </w:p>
    <w:p w14:paraId="05EB0AE5" w14:textId="77777777" w:rsidR="00DD4E98" w:rsidRPr="008608AA" w:rsidRDefault="00DD4E98" w:rsidP="00DD4E98">
      <w:pPr>
        <w:widowControl w:val="0"/>
        <w:ind w:left="906" w:hangingChars="412" w:hanging="906"/>
        <w:contextualSpacing/>
      </w:pPr>
      <w:r w:rsidRPr="008608AA">
        <w:t xml:space="preserve">Food and Agriculture Organization (FAO). (2014a). </w:t>
      </w:r>
      <w:r w:rsidRPr="008608AA">
        <w:rPr>
          <w:i/>
        </w:rPr>
        <w:t>FOA Yearbook: Fishery and Aquaculture Statistic Summary Tables</w:t>
      </w:r>
      <w:r w:rsidRPr="008608AA">
        <w:t>. Rome, Italy: FAO.</w:t>
      </w:r>
    </w:p>
    <w:p w14:paraId="250DA4A5" w14:textId="77777777" w:rsidR="00DD4E98" w:rsidRPr="008608AA" w:rsidRDefault="00DD4E98" w:rsidP="00DD4E98">
      <w:pPr>
        <w:widowControl w:val="0"/>
        <w:ind w:left="906" w:hangingChars="412" w:hanging="906"/>
        <w:contextualSpacing/>
      </w:pPr>
      <w:r w:rsidRPr="008608AA">
        <w:t xml:space="preserve">Food and Agriculture Organization (FAO). (2014b). </w:t>
      </w:r>
      <w:r w:rsidRPr="008608AA">
        <w:rPr>
          <w:i/>
        </w:rPr>
        <w:t>The State of Food and Agriculture: Innovation in Family Farming</w:t>
      </w:r>
      <w:r w:rsidRPr="008608AA">
        <w:t>. Rome. https://doi.org/9789251073179</w:t>
      </w:r>
    </w:p>
    <w:p w14:paraId="1772234A" w14:textId="77777777" w:rsidR="00DD4E98" w:rsidRPr="008608AA" w:rsidRDefault="00DD4E98" w:rsidP="00DD4E98">
      <w:pPr>
        <w:widowControl w:val="0"/>
        <w:ind w:left="906" w:hangingChars="412" w:hanging="906"/>
        <w:contextualSpacing/>
      </w:pPr>
      <w:r w:rsidRPr="008608AA">
        <w:t xml:space="preserve">Food and Agriculture Organization (FAO). (2015). </w:t>
      </w:r>
      <w:r w:rsidRPr="008608AA">
        <w:rPr>
          <w:i/>
        </w:rPr>
        <w:t>FAO Statistical Pocketbook 2015</w:t>
      </w:r>
      <w:r w:rsidRPr="008608AA">
        <w:t xml:space="preserve">. </w:t>
      </w:r>
      <w:r w:rsidRPr="008608AA">
        <w:rPr>
          <w:i/>
        </w:rPr>
        <w:t>Food and Agriculture Organization of the United Nations</w:t>
      </w:r>
      <w:r w:rsidRPr="008608AA">
        <w:t>. Rome: FAO. https://doi.org/978-92-5-108802-9</w:t>
      </w:r>
    </w:p>
    <w:p w14:paraId="10C07D17" w14:textId="77777777" w:rsidR="00DD4E98" w:rsidRPr="008608AA" w:rsidRDefault="00DD4E98" w:rsidP="00DD4E98">
      <w:pPr>
        <w:widowControl w:val="0"/>
        <w:ind w:left="906" w:hangingChars="412" w:hanging="906"/>
        <w:contextualSpacing/>
      </w:pPr>
      <w:r w:rsidRPr="008608AA">
        <w:t xml:space="preserve">Food and Agriculture Organization (FAO). (2016a). </w:t>
      </w:r>
      <w:r w:rsidRPr="008608AA">
        <w:rPr>
          <w:i/>
        </w:rPr>
        <w:t>2015 Global Forest Products Facts and Figures</w:t>
      </w:r>
      <w:r w:rsidRPr="008608AA">
        <w:t>. Rome: FAO. Retrieved from http://www.fao.org/3/a-i6669e.pdf</w:t>
      </w:r>
    </w:p>
    <w:p w14:paraId="438B9F77" w14:textId="77777777" w:rsidR="00DD4E98" w:rsidRPr="008608AA" w:rsidRDefault="00DD4E98" w:rsidP="00DD4E98">
      <w:pPr>
        <w:widowControl w:val="0"/>
        <w:ind w:left="906" w:hangingChars="412" w:hanging="906"/>
        <w:contextualSpacing/>
      </w:pPr>
      <w:r w:rsidRPr="008608AA">
        <w:t xml:space="preserve">Food and Agriculture Organization (FAO). (2016b). </w:t>
      </w:r>
      <w:r w:rsidRPr="008608AA">
        <w:rPr>
          <w:i/>
        </w:rPr>
        <w:t>Global Forest Resources Assessment 2015</w:t>
      </w:r>
      <w:r w:rsidRPr="008608AA">
        <w:t xml:space="preserve">. </w:t>
      </w:r>
      <w:r w:rsidRPr="008608AA">
        <w:rPr>
          <w:i/>
        </w:rPr>
        <w:t>FAO Forestry</w:t>
      </w:r>
      <w:r w:rsidRPr="008608AA">
        <w:t xml:space="preserve"> (Second Edi). Rome: FAO. https://doi.org/10.1002/2014GB005021</w:t>
      </w:r>
    </w:p>
    <w:p w14:paraId="5E717657" w14:textId="77777777" w:rsidR="00DD4E98" w:rsidRPr="008608AA" w:rsidRDefault="00DD4E98" w:rsidP="00DD4E98">
      <w:pPr>
        <w:widowControl w:val="0"/>
        <w:ind w:left="906" w:hangingChars="412" w:hanging="906"/>
        <w:contextualSpacing/>
      </w:pPr>
      <w:r w:rsidRPr="008608AA">
        <w:t xml:space="preserve">Food and Agriculture Organization (FAO). (2017). </w:t>
      </w:r>
      <w:r w:rsidRPr="008608AA">
        <w:rPr>
          <w:i/>
        </w:rPr>
        <w:t>FAOSTAT</w:t>
      </w:r>
      <w:r w:rsidRPr="008608AA">
        <w:t>. Retrieved August 25, 2017, from http://www.fao.org/faostat/en/#data</w:t>
      </w:r>
    </w:p>
    <w:p w14:paraId="41D5C6D7" w14:textId="77777777" w:rsidR="00DD4E98" w:rsidRPr="008608AA" w:rsidRDefault="00DD4E98" w:rsidP="00DD4E98">
      <w:pPr>
        <w:widowControl w:val="0"/>
        <w:ind w:left="906" w:hangingChars="412" w:hanging="906"/>
        <w:contextualSpacing/>
      </w:pPr>
      <w:r w:rsidRPr="008608AA">
        <w:t xml:space="preserve">Food and Agriculture Organization of the United Nations Regional Ofﬁce for the Latin America and the Caribbean (FAO RLC). (2014). </w:t>
      </w:r>
      <w:r w:rsidRPr="008608AA">
        <w:rPr>
          <w:i/>
        </w:rPr>
        <w:t>FAO STATISTICAL YEARBOOK 2014 Latin America and the Caribbean Food and Agriculture</w:t>
      </w:r>
      <w:r w:rsidRPr="008608AA">
        <w:t>. Santiago de Chile. Retrieved from http://www.fao.org/docrep/019/i3592e/i3592e.pdf</w:t>
      </w:r>
    </w:p>
    <w:p w14:paraId="4139FAC6" w14:textId="77777777" w:rsidR="00DD4E98" w:rsidRPr="00A3137A" w:rsidRDefault="00DD4E98" w:rsidP="00DD4E98">
      <w:pPr>
        <w:widowControl w:val="0"/>
        <w:ind w:left="906" w:hangingChars="412" w:hanging="906"/>
        <w:contextualSpacing/>
        <w:rPr>
          <w:lang w:val="fr-FR"/>
        </w:rPr>
      </w:pPr>
      <w:r w:rsidRPr="008608AA">
        <w:t xml:space="preserve">Fortescue, J. A. C. (1980). </w:t>
      </w:r>
      <w:r w:rsidRPr="008608AA">
        <w:rPr>
          <w:i/>
        </w:rPr>
        <w:t>Environmental Geochemistry: A Holistic Approach</w:t>
      </w:r>
      <w:r w:rsidRPr="008608AA">
        <w:t xml:space="preserve">. </w:t>
      </w:r>
      <w:r w:rsidRPr="00A3137A">
        <w:rPr>
          <w:lang w:val="fr-FR"/>
        </w:rPr>
        <w:t>New York, NY: Springer-Verlag.</w:t>
      </w:r>
    </w:p>
    <w:p w14:paraId="68566182" w14:textId="77777777" w:rsidR="00DD4E98" w:rsidRPr="00A3137A" w:rsidRDefault="00DD4E98" w:rsidP="00DD4E98">
      <w:pPr>
        <w:widowControl w:val="0"/>
        <w:ind w:left="906" w:hangingChars="412" w:hanging="906"/>
        <w:contextualSpacing/>
        <w:rPr>
          <w:lang w:val="fr-FR"/>
        </w:rPr>
      </w:pPr>
      <w:r w:rsidRPr="00A3137A">
        <w:rPr>
          <w:lang w:val="fr-FR"/>
        </w:rPr>
        <w:t xml:space="preserve">Francou, B., &amp; Vincent, C. (2007). </w:t>
      </w:r>
      <w:r w:rsidRPr="00A3137A">
        <w:rPr>
          <w:i/>
          <w:lang w:val="fr-FR"/>
        </w:rPr>
        <w:t>Les glaciers à l’épreuve du climat</w:t>
      </w:r>
      <w:r w:rsidRPr="00A3137A">
        <w:rPr>
          <w:lang w:val="fr-FR"/>
        </w:rPr>
        <w:t>. Paris: IRD Editions et Editions.</w:t>
      </w:r>
    </w:p>
    <w:p w14:paraId="54E7A16D" w14:textId="77777777" w:rsidR="00DD4E98" w:rsidRPr="008608AA" w:rsidRDefault="00DD4E98" w:rsidP="00DD4E98">
      <w:pPr>
        <w:widowControl w:val="0"/>
        <w:ind w:left="906" w:hangingChars="412" w:hanging="906"/>
        <w:contextualSpacing/>
      </w:pPr>
      <w:r w:rsidRPr="00A3137A">
        <w:rPr>
          <w:lang w:val="fr-FR"/>
        </w:rPr>
        <w:t xml:space="preserve">Francou, B., Vuille, M., Favier, V., &amp; Cáceres, B. (2004). </w:t>
      </w:r>
      <w:r w:rsidRPr="008608AA">
        <w:t xml:space="preserve">New evidence for an ENSO impact on low-latitude glaciers: Antizana 15, Andes of Ecuador, 0°28′S. </w:t>
      </w:r>
      <w:r w:rsidRPr="008608AA">
        <w:rPr>
          <w:i/>
        </w:rPr>
        <w:t>Journal of Geophysical Research: Atmospheres</w:t>
      </w:r>
      <w:r w:rsidRPr="008608AA">
        <w:t xml:space="preserve">, </w:t>
      </w:r>
      <w:r w:rsidRPr="008608AA">
        <w:rPr>
          <w:i/>
        </w:rPr>
        <w:t>109</w:t>
      </w:r>
      <w:r w:rsidRPr="008608AA">
        <w:t>(D18), n/a-n/a. https://doi.org/10.1029/2003JD004484</w:t>
      </w:r>
    </w:p>
    <w:p w14:paraId="5528AD56" w14:textId="77777777" w:rsidR="00DD4E98" w:rsidRPr="008608AA" w:rsidRDefault="00DD4E98" w:rsidP="00DD4E98">
      <w:pPr>
        <w:widowControl w:val="0"/>
        <w:ind w:left="906" w:hangingChars="412" w:hanging="906"/>
        <w:contextualSpacing/>
      </w:pPr>
      <w:r w:rsidRPr="008608AA">
        <w:rPr>
          <w:lang w:val="de-DE"/>
        </w:rPr>
        <w:t xml:space="preserve">Franzmann, A., Schwartz, C., &amp; McCabe, R. E. (2007). </w:t>
      </w:r>
      <w:r w:rsidRPr="008608AA">
        <w:rPr>
          <w:i/>
        </w:rPr>
        <w:t>Ecology and Management of the North American Moose</w:t>
      </w:r>
      <w:r w:rsidRPr="008608AA">
        <w:t>. Boulder: University Press of Colorado.</w:t>
      </w:r>
    </w:p>
    <w:p w14:paraId="148E94CF" w14:textId="77777777" w:rsidR="00DD4E98" w:rsidRPr="008608AA" w:rsidRDefault="00DD4E98" w:rsidP="00DD4E98">
      <w:pPr>
        <w:widowControl w:val="0"/>
        <w:ind w:left="906" w:hangingChars="412" w:hanging="906"/>
        <w:contextualSpacing/>
      </w:pPr>
      <w:r w:rsidRPr="008608AA">
        <w:t xml:space="preserve">Fredrickson, L. M., &amp; Anderson, D. H. (1999). A QUALITATIVE EXPLORATION OF THE WILDERNESS EXPERIENCE AS A SOURCE OF SPIRITUAL INSPIRATION. </w:t>
      </w:r>
      <w:r w:rsidRPr="008608AA">
        <w:rPr>
          <w:i/>
        </w:rPr>
        <w:t>Journal of Environmental Psychology</w:t>
      </w:r>
      <w:r w:rsidRPr="008608AA">
        <w:t xml:space="preserve">, </w:t>
      </w:r>
      <w:r w:rsidRPr="008608AA">
        <w:rPr>
          <w:i/>
        </w:rPr>
        <w:t>19</w:t>
      </w:r>
      <w:r w:rsidRPr="008608AA">
        <w:t>(1), (pp. 21–39). https://doi.org/http://dx.doi.org/10.1006/jevp.1998.0110</w:t>
      </w:r>
    </w:p>
    <w:p w14:paraId="3CEF9780" w14:textId="77777777" w:rsidR="00DD4E98" w:rsidRPr="008608AA" w:rsidRDefault="00DD4E98" w:rsidP="00DD4E98">
      <w:pPr>
        <w:widowControl w:val="0"/>
        <w:ind w:left="906" w:hangingChars="412" w:hanging="906"/>
        <w:contextualSpacing/>
      </w:pPr>
      <w:r w:rsidRPr="008608AA">
        <w:t xml:space="preserve">Funk, J., Saunders, S., Sanford, T., Easely, T., &amp; Markham, A. (2014). </w:t>
      </w:r>
      <w:r w:rsidRPr="008608AA">
        <w:rPr>
          <w:i/>
        </w:rPr>
        <w:t>Rocky Mountain Forests at Risk: Confronting Climate-driven Impacts from Insects, Wildfires, Heat, and Drought</w:t>
      </w:r>
      <w:r w:rsidRPr="008608AA">
        <w:t>. Cambridge, MA. Retrieved from www. ucsusa.org/forestsatrisk</w:t>
      </w:r>
    </w:p>
    <w:p w14:paraId="4E93DC38"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FUSION. (2015). Factories get away with illegally dumping toxic chemicals into one of the country’s main waterways, with potentially deadly consequences. Retrieved from http://interactive.fusion.net/river-of-death/</w:t>
      </w:r>
    </w:p>
    <w:p w14:paraId="19743E91" w14:textId="77777777" w:rsidR="00DD4E98" w:rsidRPr="008608AA" w:rsidRDefault="00DD4E98" w:rsidP="00DD4E98">
      <w:pPr>
        <w:widowControl w:val="0"/>
        <w:ind w:left="906" w:hangingChars="412" w:hanging="906"/>
        <w:contextualSpacing/>
      </w:pPr>
      <w:r w:rsidRPr="008608AA">
        <w:t xml:space="preserve">Gain, A. K., Giupponi, C., &amp; Wada, Y. (2016). Measuring global water security towards sustainable development goals. </w:t>
      </w:r>
      <w:r w:rsidRPr="008608AA">
        <w:rPr>
          <w:i/>
        </w:rPr>
        <w:t>Environmental Research Letters</w:t>
      </w:r>
      <w:r w:rsidRPr="008608AA">
        <w:t xml:space="preserve">, </w:t>
      </w:r>
      <w:r w:rsidRPr="008608AA">
        <w:rPr>
          <w:i/>
        </w:rPr>
        <w:t>11</w:t>
      </w:r>
      <w:r w:rsidRPr="008608AA">
        <w:t>(12), 124015. https://doi.org/10.1088/1748-9326/11/12/124015</w:t>
      </w:r>
    </w:p>
    <w:p w14:paraId="1B90FB92" w14:textId="77777777" w:rsidR="00DD4E98" w:rsidRPr="008608AA" w:rsidRDefault="00DD4E98" w:rsidP="00DD4E98">
      <w:pPr>
        <w:widowControl w:val="0"/>
        <w:ind w:left="906" w:hangingChars="412" w:hanging="906"/>
        <w:contextualSpacing/>
        <w:rPr>
          <w:lang w:val="es-CO"/>
        </w:rPr>
      </w:pPr>
      <w:r w:rsidRPr="008608AA">
        <w:t xml:space="preserve">Galatowitsch, S. M. (2012). </w:t>
      </w:r>
      <w:r w:rsidRPr="008608AA">
        <w:rPr>
          <w:i/>
        </w:rPr>
        <w:t>Ecological Restoration</w:t>
      </w:r>
      <w:r w:rsidRPr="008608AA">
        <w:t xml:space="preserve">. </w:t>
      </w:r>
      <w:r w:rsidRPr="008608AA">
        <w:rPr>
          <w:lang w:val="es-CO"/>
        </w:rPr>
        <w:t>Sunderland, USA: Sinauer Associates.</w:t>
      </w:r>
    </w:p>
    <w:p w14:paraId="240FE10A" w14:textId="77777777" w:rsidR="00DD4E98" w:rsidRPr="008608AA" w:rsidRDefault="00DD4E98" w:rsidP="00DD4E98">
      <w:pPr>
        <w:widowControl w:val="0"/>
        <w:ind w:left="906" w:hangingChars="412" w:hanging="906"/>
        <w:contextualSpacing/>
      </w:pPr>
      <w:r w:rsidRPr="008608AA">
        <w:rPr>
          <w:lang w:val="es-CO"/>
        </w:rPr>
        <w:t xml:space="preserve">García del Valle, Y., Naranjo, E. J., Caballero, J., Martorell, C., Ruan-Soto, F., &amp; Enríquez, P. L. (2015). </w:t>
      </w:r>
      <w:r w:rsidRPr="008608AA">
        <w:t xml:space="preserve">Cultural significance of wild mammals in mayan and mestizo communities of the Lacandon Rainforest, Chiapas, Mexico. </w:t>
      </w:r>
      <w:r w:rsidRPr="008608AA">
        <w:rPr>
          <w:i/>
        </w:rPr>
        <w:t>Journal of Ethnobiology and Ethnomedicine</w:t>
      </w:r>
      <w:r w:rsidRPr="008608AA">
        <w:t xml:space="preserve">, </w:t>
      </w:r>
      <w:r w:rsidRPr="008608AA">
        <w:rPr>
          <w:i/>
        </w:rPr>
        <w:t>11</w:t>
      </w:r>
      <w:r w:rsidRPr="008608AA">
        <w:t>(36), (pp. 1–13). https://doi.org/10.1186/s13002-015-0021-7</w:t>
      </w:r>
    </w:p>
    <w:p w14:paraId="1038FDAC" w14:textId="77777777" w:rsidR="00DD4E98" w:rsidRPr="008608AA" w:rsidRDefault="00DD4E98" w:rsidP="00DD4E98">
      <w:pPr>
        <w:widowControl w:val="0"/>
        <w:ind w:left="906" w:hangingChars="412" w:hanging="906"/>
        <w:contextualSpacing/>
      </w:pPr>
      <w:r w:rsidRPr="008608AA">
        <w:t xml:space="preserve">Garibaldi, L., &amp; Muchhala, N. (2011). Services from Plant–Pollinator Interactions in the Neotropics. In B. Rapidel, D. F., L. C. J. F., &amp; B. J. (Eds.), </w:t>
      </w:r>
      <w:r w:rsidRPr="008608AA">
        <w:rPr>
          <w:i/>
        </w:rPr>
        <w:t>Ecosystem services from agriculture and agroforestry: measurement and payment</w:t>
      </w:r>
      <w:r w:rsidRPr="008608AA">
        <w:t xml:space="preserve"> (pp. 119–140). Earthscan. https://doi.org/10.4324/9781849775656</w:t>
      </w:r>
    </w:p>
    <w:p w14:paraId="75687C6F" w14:textId="77777777" w:rsidR="00DD4E98" w:rsidRPr="008608AA" w:rsidRDefault="00DD4E98" w:rsidP="00DD4E98">
      <w:pPr>
        <w:widowControl w:val="0"/>
        <w:ind w:left="906" w:hangingChars="412" w:hanging="906"/>
        <w:contextualSpacing/>
      </w:pPr>
      <w:r w:rsidRPr="008608AA">
        <w:t xml:space="preserve">Garner, K., &amp; Parfitt, B. (2006). </w:t>
      </w:r>
      <w:r w:rsidRPr="008608AA">
        <w:rPr>
          <w:i/>
        </w:rPr>
        <w:t>First Nations, Salmon Fisheries and the Rising Importance of Conservation</w:t>
      </w:r>
      <w:r w:rsidRPr="008608AA">
        <w:t>. Vancouver, BC.</w:t>
      </w:r>
    </w:p>
    <w:p w14:paraId="447A9D11" w14:textId="77777777" w:rsidR="00DD4E98" w:rsidRPr="008608AA" w:rsidRDefault="00DD4E98" w:rsidP="00DD4E98">
      <w:pPr>
        <w:widowControl w:val="0"/>
        <w:ind w:left="906" w:hangingChars="412" w:hanging="906"/>
        <w:contextualSpacing/>
      </w:pPr>
      <w:r w:rsidRPr="008608AA">
        <w:t xml:space="preserve">GCDT. (2007). </w:t>
      </w:r>
      <w:r w:rsidRPr="008608AA">
        <w:rPr>
          <w:i/>
        </w:rPr>
        <w:t>Global Strategy for the Ex Situ Conservation and Use of Barley Germplasm</w:t>
      </w:r>
      <w:r w:rsidRPr="008608AA">
        <w:t>. Rome.</w:t>
      </w:r>
    </w:p>
    <w:p w14:paraId="2EE88100" w14:textId="77777777" w:rsidR="00DD4E98" w:rsidRPr="008608AA" w:rsidRDefault="00DD4E98" w:rsidP="00DD4E98">
      <w:pPr>
        <w:widowControl w:val="0"/>
        <w:ind w:left="906" w:hangingChars="412" w:hanging="906"/>
        <w:contextualSpacing/>
        <w:rPr>
          <w:lang w:val="de-DE"/>
        </w:rPr>
      </w:pPr>
      <w:r w:rsidRPr="008608AA">
        <w:t xml:space="preserve">Geist, H., McConnell, W., Lambin, E. F., Moran, E., Alves, D., &amp; Rudel, T. (2006). Causes and Trajectories of Land-Use/Cover Change. In E. F. Lambin &amp; H. Geist (Eds.), </w:t>
      </w:r>
      <w:r w:rsidRPr="008608AA">
        <w:rPr>
          <w:i/>
        </w:rPr>
        <w:t>Land-Use and Land-Cover Change: Local Processes and Global Impacts</w:t>
      </w:r>
      <w:r w:rsidRPr="008608AA">
        <w:t xml:space="preserve"> (pp. 41–70). </w:t>
      </w:r>
      <w:r w:rsidRPr="008608AA">
        <w:rPr>
          <w:lang w:val="de-DE"/>
        </w:rPr>
        <w:t>Berlin, Heidelberg: Springer Berlin Heidelberg. https://doi.org/10.1007/3-540-32202-7_3</w:t>
      </w:r>
    </w:p>
    <w:p w14:paraId="28A99F17" w14:textId="77777777" w:rsidR="00DD4E98" w:rsidRPr="002365C4" w:rsidRDefault="00DD4E98" w:rsidP="00DD4E98">
      <w:pPr>
        <w:widowControl w:val="0"/>
        <w:ind w:left="906" w:hangingChars="412" w:hanging="906"/>
        <w:contextualSpacing/>
        <w:rPr>
          <w:lang w:val="es-ES"/>
        </w:rPr>
      </w:pPr>
      <w:r w:rsidRPr="008608AA">
        <w:rPr>
          <w:lang w:val="de-DE"/>
        </w:rPr>
        <w:t xml:space="preserve">Gerber, P. J., Steinfeld, H., Henderson, B., Mottet, A., Opio, C., Dijkman, J., </w:t>
      </w:r>
      <w:r w:rsidRPr="008608AA">
        <w:t>Falcucci, A. &amp;</w:t>
      </w:r>
      <w:r w:rsidRPr="008608AA">
        <w:rPr>
          <w:lang w:val="de-DE"/>
        </w:rPr>
        <w:t xml:space="preserve"> </w:t>
      </w:r>
      <w:r w:rsidRPr="008608AA">
        <w:t xml:space="preserve">Tempio, G. (2013). </w:t>
      </w:r>
      <w:r w:rsidRPr="008608AA">
        <w:rPr>
          <w:i/>
        </w:rPr>
        <w:t>Tackling climate change through livestock – A global assessment of emissions and mitigation opportunities</w:t>
      </w:r>
      <w:r w:rsidRPr="008608AA">
        <w:t xml:space="preserve">. Rome, Italy: Food and Agriculture Organization of the United Nations (FAO). </w:t>
      </w:r>
      <w:hyperlink r:id="rId111" w:history="1">
        <w:r w:rsidRPr="002365C4">
          <w:rPr>
            <w:rStyle w:val="Hyperlink"/>
            <w:lang w:val="es-ES"/>
          </w:rPr>
          <w:t>https://doi.org/10.1016/j.anifeedsci.2011.04.074</w:t>
        </w:r>
      </w:hyperlink>
    </w:p>
    <w:p w14:paraId="0E48F0C7" w14:textId="77777777" w:rsidR="00DD4E98" w:rsidRPr="008608AA" w:rsidRDefault="00DD4E98" w:rsidP="00DD4E98">
      <w:pPr>
        <w:widowControl w:val="0"/>
        <w:ind w:left="906" w:hangingChars="412" w:hanging="906"/>
        <w:contextualSpacing/>
        <w:rPr>
          <w:lang w:val="de-DE"/>
        </w:rPr>
      </w:pPr>
      <w:r w:rsidRPr="008608AA">
        <w:rPr>
          <w:lang w:val="es-CO"/>
        </w:rPr>
        <w:t xml:space="preserve">Giannini, T. C., Cordeiro, G. D., Freitas, B. M., Saraiva,  a. M., &amp; Imperatriz-Fonseca, V. L. (2015). </w:t>
      </w:r>
      <w:r w:rsidRPr="008608AA">
        <w:t xml:space="preserve">The Dependence of Crops for Pollinators and the Economic Value of Pollination in Brazil. </w:t>
      </w:r>
      <w:r w:rsidRPr="008608AA">
        <w:rPr>
          <w:i/>
          <w:lang w:val="de-DE"/>
        </w:rPr>
        <w:t>Journal of Economic Entomology</w:t>
      </w:r>
      <w:r w:rsidRPr="008608AA">
        <w:rPr>
          <w:lang w:val="de-DE"/>
        </w:rPr>
        <w:t xml:space="preserve">, </w:t>
      </w:r>
      <w:r w:rsidRPr="008608AA">
        <w:rPr>
          <w:i/>
          <w:lang w:val="de-DE"/>
        </w:rPr>
        <w:t>108</w:t>
      </w:r>
      <w:r w:rsidRPr="008608AA">
        <w:rPr>
          <w:lang w:val="de-DE"/>
        </w:rPr>
        <w:t xml:space="preserve">(3), </w:t>
      </w:r>
      <w:r w:rsidRPr="008608AA">
        <w:t xml:space="preserve">(pp. </w:t>
      </w:r>
      <w:r w:rsidRPr="008608AA">
        <w:rPr>
          <w:lang w:val="de-DE"/>
        </w:rPr>
        <w:t>1–9). https://doi.org/10.1093/jee/tov093</w:t>
      </w:r>
    </w:p>
    <w:p w14:paraId="1F49B758" w14:textId="77777777" w:rsidR="00DD4E98" w:rsidRPr="008608AA" w:rsidRDefault="00DD4E98" w:rsidP="00DD4E98">
      <w:pPr>
        <w:widowControl w:val="0"/>
        <w:ind w:left="906" w:hangingChars="412" w:hanging="906"/>
        <w:contextualSpacing/>
      </w:pPr>
      <w:r w:rsidRPr="008608AA">
        <w:rPr>
          <w:lang w:val="de-DE"/>
        </w:rPr>
        <w:t xml:space="preserve">GIZ – Deutsche Gesellschaft für Internationale Zusammenarbeit. </w:t>
      </w:r>
      <w:r w:rsidRPr="008608AA">
        <w:t xml:space="preserve">(2014). </w:t>
      </w:r>
      <w:r w:rsidRPr="008608AA">
        <w:rPr>
          <w:i/>
        </w:rPr>
        <w:t>Multiple-Household Fuel Use – a balanced choice between firewood, charcoal and LPG</w:t>
      </w:r>
      <w:r w:rsidRPr="008608AA">
        <w:t>. Bonn, Germany. Retrieved from http://www.eco-consult.com/fileadmin/user_upload/pdf/Multiple-Household_Fuel_Use.pdf</w:t>
      </w:r>
    </w:p>
    <w:p w14:paraId="6A0B7585" w14:textId="77777777" w:rsidR="00DD4E98" w:rsidRPr="008608AA" w:rsidRDefault="00DD4E98" w:rsidP="00DD4E98">
      <w:pPr>
        <w:widowControl w:val="0"/>
        <w:ind w:left="906" w:hangingChars="412" w:hanging="906"/>
        <w:contextualSpacing/>
      </w:pPr>
      <w:r w:rsidRPr="008608AA">
        <w:t xml:space="preserve">Gleick, P. (2014). </w:t>
      </w:r>
      <w:r w:rsidRPr="008608AA">
        <w:rPr>
          <w:i/>
        </w:rPr>
        <w:t>The World’s Water Volume 8: The Biennial Report on Freshwater Resources</w:t>
      </w:r>
      <w:r w:rsidRPr="008608AA">
        <w:t>. Washington DC: Island Press.</w:t>
      </w:r>
    </w:p>
    <w:p w14:paraId="54A86541" w14:textId="77777777" w:rsidR="00DD4E98" w:rsidRPr="008608AA" w:rsidRDefault="00DD4E98" w:rsidP="00DD4E98">
      <w:pPr>
        <w:widowControl w:val="0"/>
        <w:ind w:left="906" w:hangingChars="412" w:hanging="906"/>
        <w:contextualSpacing/>
      </w:pPr>
      <w:r w:rsidRPr="008608AA">
        <w:t xml:space="preserve">Global Food Print Network. (2016). </w:t>
      </w:r>
      <w:r w:rsidRPr="008608AA">
        <w:rPr>
          <w:i/>
        </w:rPr>
        <w:t>National Footprint Accounts (2016 Edition).</w:t>
      </w:r>
    </w:p>
    <w:p w14:paraId="5B4144B4" w14:textId="77777777" w:rsidR="00DD4E98" w:rsidRPr="008608AA" w:rsidRDefault="00DD4E98" w:rsidP="00DD4E98">
      <w:pPr>
        <w:widowControl w:val="0"/>
        <w:ind w:left="906" w:hangingChars="412" w:hanging="906"/>
        <w:contextualSpacing/>
      </w:pPr>
      <w:r w:rsidRPr="008608AA">
        <w:rPr>
          <w:lang w:val="es-CO"/>
        </w:rPr>
        <w:t xml:space="preserve">Gobierno Departamental Autónomo de Santa Cruz. (2009). </w:t>
      </w:r>
      <w:r w:rsidRPr="008608AA">
        <w:rPr>
          <w:i/>
          <w:lang w:val="es-CO"/>
        </w:rPr>
        <w:t>Propuesta para el manejo de fauna silvestre y lineamientos para promover el biocomercio en el Departamento de Santa Cruz</w:t>
      </w:r>
      <w:r w:rsidRPr="008608AA">
        <w:rPr>
          <w:lang w:val="es-CO"/>
        </w:rPr>
        <w:t xml:space="preserve">. </w:t>
      </w:r>
      <w:r w:rsidRPr="008608AA">
        <w:t>Santa Cruz, Bolivia.</w:t>
      </w:r>
    </w:p>
    <w:p w14:paraId="71F5A247"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Godfray, H. C. J., Beddington, J. R., Crute, I. R., Haddad, L., Lawrence, D., Muir, J. F., Pretty, J., Robinson, S., Thomas, S. M., &amp; Toulmin, C. (2010). Food security: the challenge of feeding 9 billion people. </w:t>
      </w:r>
      <w:r w:rsidRPr="008608AA">
        <w:rPr>
          <w:i/>
          <w:iCs/>
          <w:noProof/>
        </w:rPr>
        <w:t>Science (New York, N.Y.)</w:t>
      </w:r>
      <w:r w:rsidRPr="008608AA">
        <w:rPr>
          <w:noProof/>
        </w:rPr>
        <w:t xml:space="preserve">, </w:t>
      </w:r>
      <w:r w:rsidRPr="008608AA">
        <w:rPr>
          <w:i/>
          <w:iCs/>
          <w:noProof/>
        </w:rPr>
        <w:t>327</w:t>
      </w:r>
      <w:r w:rsidRPr="008608AA">
        <w:rPr>
          <w:noProof/>
        </w:rPr>
        <w:t>(5967), 812–818. https://doi.org/10.1126/science.1185383</w:t>
      </w:r>
    </w:p>
    <w:p w14:paraId="775F656A" w14:textId="77777777" w:rsidR="00DD4E98" w:rsidRPr="008608AA" w:rsidRDefault="00DD4E98" w:rsidP="00DD4E98">
      <w:pPr>
        <w:widowControl w:val="0"/>
        <w:ind w:left="906" w:hangingChars="412" w:hanging="906"/>
        <w:contextualSpacing/>
      </w:pPr>
      <w:r w:rsidRPr="008608AA">
        <w:t xml:space="preserve">Godoy, R., Reyes-García, V., Byron, E., Leonard, W. R., &amp; Vadez, V. (2005). The Effect of Market Economies on the Well-Being of Indigenous Peoples and on their Use of Renewable Natural Resources. </w:t>
      </w:r>
      <w:r w:rsidRPr="008608AA">
        <w:rPr>
          <w:i/>
        </w:rPr>
        <w:t>Annual Review of Anthropology</w:t>
      </w:r>
      <w:r w:rsidRPr="008608AA">
        <w:t xml:space="preserve">, </w:t>
      </w:r>
      <w:r w:rsidRPr="008608AA">
        <w:rPr>
          <w:i/>
        </w:rPr>
        <w:t>34</w:t>
      </w:r>
      <w:r w:rsidRPr="008608AA">
        <w:t>(1), (pp. 121–138). https://doi.org/10.1146/annurev.anthro.34.081804.120412</w:t>
      </w:r>
    </w:p>
    <w:p w14:paraId="21C29BCE" w14:textId="77777777" w:rsidR="00DD4E98" w:rsidRPr="008608AA" w:rsidRDefault="00DD4E98" w:rsidP="00DD4E98">
      <w:pPr>
        <w:widowControl w:val="0"/>
        <w:ind w:left="906" w:hangingChars="412" w:hanging="906"/>
        <w:contextualSpacing/>
        <w:rPr>
          <w:lang w:val="de-DE"/>
        </w:rPr>
      </w:pPr>
      <w:r w:rsidRPr="008608AA">
        <w:rPr>
          <w:lang w:val="de-DE"/>
        </w:rPr>
        <w:t xml:space="preserve">Goijman AP, Conroy MJ, Bernardos JN, Zaccagnini ME (2015) Multi-Season Regional Analysis of Multi-Species Occupancy: Implications for Bird Conservation in Agricultural Lands in East-Central Argentina. PLoS ONE 10(6): e0130874. </w:t>
      </w:r>
      <w:hyperlink r:id="rId112" w:history="1">
        <w:r w:rsidRPr="008608AA">
          <w:rPr>
            <w:rStyle w:val="Hyperlink"/>
            <w:lang w:val="de-DE"/>
          </w:rPr>
          <w:t>https://doi.org/10.1371/journal.pone.0130874</w:t>
        </w:r>
      </w:hyperlink>
    </w:p>
    <w:p w14:paraId="41DFF0E6" w14:textId="77777777" w:rsidR="00DD4E98" w:rsidRPr="008608AA" w:rsidRDefault="00DD4E98" w:rsidP="00DD4E98">
      <w:pPr>
        <w:widowControl w:val="0"/>
        <w:ind w:left="906" w:hangingChars="412" w:hanging="906"/>
        <w:contextualSpacing/>
        <w:rPr>
          <w:lang w:val="de-DE"/>
        </w:rPr>
      </w:pPr>
      <w:r w:rsidRPr="008608AA">
        <w:rPr>
          <w:lang w:val="de-DE"/>
        </w:rPr>
        <w:t>Goijman, A. &amp; Zaccagnini, M.E. (2008). The effects of habitat heterogeneity on avian density and richness in soybean field in Entre Ríos, Argentina. El Hornero 23(2):67-76</w:t>
      </w:r>
    </w:p>
    <w:p w14:paraId="472970D6" w14:textId="77777777" w:rsidR="00DD4E98" w:rsidRPr="008608AA" w:rsidRDefault="00DD4E98" w:rsidP="00DD4E98">
      <w:pPr>
        <w:widowControl w:val="0"/>
        <w:ind w:left="906" w:hangingChars="412" w:hanging="906"/>
        <w:contextualSpacing/>
        <w:rPr>
          <w:lang w:val="es-CO"/>
        </w:rPr>
      </w:pPr>
      <w:r w:rsidRPr="008608AA">
        <w:rPr>
          <w:lang w:val="es-CO"/>
        </w:rPr>
        <w:t xml:space="preserve">Gómez-Baggethun, E., de Groot, R., Lomas, P. L., &amp; Montes, C. (2010). </w:t>
      </w:r>
      <w:r w:rsidRPr="008608AA">
        <w:t xml:space="preserve">The history of ecosystem services in economic theory and practice: From early notions to markets and payment schemes. </w:t>
      </w:r>
      <w:r w:rsidRPr="008608AA">
        <w:rPr>
          <w:i/>
          <w:lang w:val="es-CO"/>
        </w:rPr>
        <w:t>Ecological Economics</w:t>
      </w:r>
      <w:r w:rsidRPr="008608AA">
        <w:rPr>
          <w:lang w:val="es-CO"/>
        </w:rPr>
        <w:t xml:space="preserve">, </w:t>
      </w:r>
      <w:r w:rsidRPr="008608AA">
        <w:rPr>
          <w:i/>
          <w:lang w:val="es-CO"/>
        </w:rPr>
        <w:t>69</w:t>
      </w:r>
      <w:r w:rsidRPr="008608AA">
        <w:rPr>
          <w:lang w:val="es-CO"/>
        </w:rPr>
        <w:t>(6), (pp. 1209–1218). https://doi.org/https://doi.org/10.1016/j.ecolecon.2009.11.007</w:t>
      </w:r>
    </w:p>
    <w:p w14:paraId="1BDA8DF2" w14:textId="77777777" w:rsidR="00DD4E98" w:rsidRPr="008608AA" w:rsidRDefault="00DD4E98" w:rsidP="00DD4E98">
      <w:pPr>
        <w:widowControl w:val="0"/>
        <w:ind w:left="906" w:hangingChars="412" w:hanging="906"/>
        <w:contextualSpacing/>
        <w:rPr>
          <w:lang w:val="es-CO"/>
        </w:rPr>
      </w:pPr>
      <w:r w:rsidRPr="008608AA">
        <w:rPr>
          <w:lang w:val="es-CO"/>
        </w:rPr>
        <w:t xml:space="preserve">González-de la V., M. (2004). </w:t>
      </w:r>
      <w:r w:rsidRPr="008608AA">
        <w:rPr>
          <w:i/>
          <w:lang w:val="es-CO"/>
        </w:rPr>
        <w:t>Cacao: 1500 años en Tabasco</w:t>
      </w:r>
      <w:r w:rsidRPr="008608AA">
        <w:rPr>
          <w:lang w:val="es-CO"/>
        </w:rPr>
        <w:t xml:space="preserve">. </w:t>
      </w:r>
      <w:r w:rsidRPr="008608AA">
        <w:rPr>
          <w:i/>
          <w:lang w:val="es-CO"/>
        </w:rPr>
        <w:t>Arqueología Mexicana-Gobierno Del Estado</w:t>
      </w:r>
      <w:r w:rsidRPr="008608AA">
        <w:rPr>
          <w:lang w:val="es-CO"/>
        </w:rPr>
        <w:t>, 74–77.</w:t>
      </w:r>
    </w:p>
    <w:p w14:paraId="2A844C57" w14:textId="77777777" w:rsidR="00DD4E98" w:rsidRPr="008608AA" w:rsidRDefault="00DD4E98" w:rsidP="00DD4E98">
      <w:pPr>
        <w:widowControl w:val="0"/>
        <w:ind w:left="906" w:hangingChars="412" w:hanging="906"/>
        <w:contextualSpacing/>
      </w:pPr>
      <w:r w:rsidRPr="008608AA">
        <w:t xml:space="preserve">Gorte, R. (2013). </w:t>
      </w:r>
      <w:r w:rsidRPr="008608AA">
        <w:rPr>
          <w:i/>
        </w:rPr>
        <w:t>The Rising Cost of Wildfire Protection</w:t>
      </w:r>
      <w:r w:rsidRPr="008608AA">
        <w:t xml:space="preserve">. </w:t>
      </w:r>
      <w:r w:rsidRPr="008608AA">
        <w:rPr>
          <w:i/>
        </w:rPr>
        <w:t>Headwaters Economics</w:t>
      </w:r>
      <w:r w:rsidRPr="008608AA">
        <w:t>, (June), 19. https://doi.org/http://headwaterseconomics.org/wildfire/fire-costs-background</w:t>
      </w:r>
    </w:p>
    <w:p w14:paraId="30716DC3" w14:textId="77777777" w:rsidR="00DD4E98" w:rsidRPr="008608AA" w:rsidRDefault="00DD4E98" w:rsidP="00DD4E98">
      <w:pPr>
        <w:widowControl w:val="0"/>
        <w:ind w:left="906" w:hangingChars="412" w:hanging="906"/>
        <w:contextualSpacing/>
      </w:pPr>
      <w:r w:rsidRPr="008608AA">
        <w:rPr>
          <w:lang w:val="de-DE"/>
        </w:rPr>
        <w:t xml:space="preserve">Graeub, B. E., Chappell, M. J., Wittman, H., Ledermann, S., Kerr, R. B., &amp; Gemmill-Herren, B. (2016). </w:t>
      </w:r>
      <w:r w:rsidRPr="008608AA">
        <w:t xml:space="preserve">The State of Family Farms in the World. </w:t>
      </w:r>
      <w:r w:rsidRPr="008608AA">
        <w:rPr>
          <w:i/>
        </w:rPr>
        <w:t>World Development</w:t>
      </w:r>
      <w:r w:rsidRPr="008608AA">
        <w:t xml:space="preserve">, </w:t>
      </w:r>
      <w:r w:rsidRPr="008608AA">
        <w:rPr>
          <w:i/>
        </w:rPr>
        <w:t>87</w:t>
      </w:r>
      <w:r w:rsidRPr="008608AA">
        <w:t>, (pp. 1–15). https://doi.org/10.1016/j.worlddev.2015.05.012</w:t>
      </w:r>
    </w:p>
    <w:p w14:paraId="0A8CA89C" w14:textId="77777777" w:rsidR="00DD4E98" w:rsidRPr="008608AA" w:rsidRDefault="00DD4E98" w:rsidP="00DD4E98">
      <w:pPr>
        <w:widowControl w:val="0"/>
        <w:ind w:left="906" w:hangingChars="412" w:hanging="906"/>
        <w:contextualSpacing/>
      </w:pPr>
      <w:r w:rsidRPr="008608AA">
        <w:t xml:space="preserve">Graham-Rowe, D. (2011). </w:t>
      </w:r>
      <w:r w:rsidRPr="008608AA">
        <w:rPr>
          <w:i/>
        </w:rPr>
        <w:t>Biodiversity: Endangered and in demand</w:t>
      </w:r>
      <w:r w:rsidRPr="008608AA">
        <w:t xml:space="preserve">. </w:t>
      </w:r>
      <w:r w:rsidRPr="008608AA">
        <w:rPr>
          <w:i/>
        </w:rPr>
        <w:t>Nature</w:t>
      </w:r>
      <w:r w:rsidRPr="008608AA">
        <w:t xml:space="preserve">, </w:t>
      </w:r>
      <w:r w:rsidRPr="008608AA">
        <w:rPr>
          <w:i/>
        </w:rPr>
        <w:t>480</w:t>
      </w:r>
      <w:r w:rsidRPr="008608AA">
        <w:t>(7378), S101–S103. Retrieved from http://dx.doi.org/10.1038/480S101a</w:t>
      </w:r>
    </w:p>
    <w:p w14:paraId="512D292F" w14:textId="77777777" w:rsidR="00DD4E98" w:rsidRPr="008608AA" w:rsidRDefault="00DD4E98" w:rsidP="00DD4E98">
      <w:pPr>
        <w:widowControl w:val="0"/>
        <w:ind w:left="906" w:hangingChars="412" w:hanging="906"/>
        <w:contextualSpacing/>
      </w:pPr>
      <w:r w:rsidRPr="008608AA">
        <w:t xml:space="preserve">Great Lakes and Mississippi River Interbasin Study Team (GLMRIST). (2012). </w:t>
      </w:r>
      <w:r w:rsidRPr="008608AA">
        <w:rPr>
          <w:i/>
        </w:rPr>
        <w:t>Commercial Fisheries Baseline Economic Assessment - U.S. Waters of the Great Lakes, Upper Mississippi River, and Ohio River Basins</w:t>
      </w:r>
      <w:r w:rsidRPr="008608AA">
        <w:t>. Detroit, MI: U.S. Army Corps of Engineers.</w:t>
      </w:r>
    </w:p>
    <w:p w14:paraId="4C91D8F9" w14:textId="77777777" w:rsidR="00DD4E98" w:rsidRPr="008608AA" w:rsidRDefault="00DD4E98" w:rsidP="00DD4E98">
      <w:pPr>
        <w:widowControl w:val="0"/>
        <w:ind w:left="906" w:hangingChars="412" w:hanging="906"/>
        <w:contextualSpacing/>
      </w:pPr>
      <w:r w:rsidRPr="008608AA">
        <w:t xml:space="preserve">Grey, D., &amp; Sadoff, C. W. (2007). Sink or Swim? Water security for growth and development. </w:t>
      </w:r>
      <w:r w:rsidRPr="008608AA">
        <w:rPr>
          <w:i/>
        </w:rPr>
        <w:t>Water Policy</w:t>
      </w:r>
      <w:r w:rsidRPr="008608AA">
        <w:t xml:space="preserve">, </w:t>
      </w:r>
      <w:r w:rsidRPr="008608AA">
        <w:rPr>
          <w:i/>
        </w:rPr>
        <w:t>9</w:t>
      </w:r>
      <w:r w:rsidRPr="008608AA">
        <w:t>(6), (pp. 545). https://doi.org/10.2166/wp.2007.021</w:t>
      </w:r>
    </w:p>
    <w:p w14:paraId="123DADB0" w14:textId="77777777" w:rsidR="00DD4E98" w:rsidRPr="008608AA" w:rsidRDefault="00DD4E98" w:rsidP="00DD4E98">
      <w:pPr>
        <w:widowControl w:val="0"/>
        <w:ind w:left="906" w:hangingChars="412" w:hanging="906"/>
        <w:contextualSpacing/>
      </w:pPr>
      <w:r w:rsidRPr="008608AA">
        <w:t xml:space="preserve">Grigal, D. F. (2003). </w:t>
      </w:r>
      <w:r w:rsidRPr="008608AA">
        <w:rPr>
          <w:i/>
        </w:rPr>
        <w:t>Mercury sequestration in forests and peatlands: a review.</w:t>
      </w:r>
      <w:r w:rsidRPr="008608AA">
        <w:t xml:space="preserve"> </w:t>
      </w:r>
      <w:r w:rsidRPr="008608AA">
        <w:rPr>
          <w:i/>
        </w:rPr>
        <w:t>Journal of Environmental Quality</w:t>
      </w:r>
      <w:r w:rsidRPr="008608AA">
        <w:t xml:space="preserve">, </w:t>
      </w:r>
      <w:r w:rsidRPr="008608AA">
        <w:rPr>
          <w:i/>
        </w:rPr>
        <w:t>32</w:t>
      </w:r>
      <w:r w:rsidRPr="008608AA">
        <w:t>(2), (pp. 393–405).</w:t>
      </w:r>
    </w:p>
    <w:p w14:paraId="633CFB9F" w14:textId="77777777" w:rsidR="00DD4E98" w:rsidRPr="008608AA" w:rsidRDefault="00DD4E98" w:rsidP="00DD4E98">
      <w:pPr>
        <w:widowControl w:val="0"/>
        <w:ind w:left="906" w:hangingChars="412" w:hanging="906"/>
        <w:contextualSpacing/>
      </w:pPr>
      <w:r w:rsidRPr="008608AA">
        <w:t xml:space="preserve">Grigg, N. S. (2005). </w:t>
      </w:r>
      <w:r w:rsidRPr="008608AA">
        <w:rPr>
          <w:i/>
        </w:rPr>
        <w:t>Water Resources Management. In Water Encyclopedia</w:t>
      </w:r>
      <w:r w:rsidRPr="008608AA">
        <w:t xml:space="preserve"> (p. 2:586–587.). John Wiley &amp; Sons, Inc. https://doi.org/10.1002/047147844X.wr241</w:t>
      </w:r>
    </w:p>
    <w:p w14:paraId="358DF5ED"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Grimm, N. B., Foster, D., Groffman, P., Grove, J. M., Hopkinson, C. S., Nadelhoffer, K. J., Pataki, D. E., &amp; Peters, D. P. (2008). The changing landscape: ecosystem responses to urbanization and pollution across climatic and societal gradients. </w:t>
      </w:r>
      <w:r w:rsidRPr="008608AA">
        <w:rPr>
          <w:i/>
          <w:iCs/>
          <w:noProof/>
        </w:rPr>
        <w:t>Frontiers in Ecology and the Environment</w:t>
      </w:r>
      <w:r w:rsidRPr="008608AA">
        <w:rPr>
          <w:noProof/>
        </w:rPr>
        <w:t xml:space="preserve">, </w:t>
      </w:r>
      <w:r w:rsidRPr="008608AA">
        <w:rPr>
          <w:i/>
          <w:iCs/>
          <w:noProof/>
        </w:rPr>
        <w:t>6</w:t>
      </w:r>
      <w:r w:rsidRPr="008608AA">
        <w:rPr>
          <w:noProof/>
        </w:rPr>
        <w:t>(5), 264–272. https://doi.org/10.1890/070147</w:t>
      </w:r>
    </w:p>
    <w:p w14:paraId="222065E8" w14:textId="77777777" w:rsidR="00DD4E98" w:rsidRPr="008608AA" w:rsidRDefault="00DD4E98" w:rsidP="00DD4E98">
      <w:pPr>
        <w:widowControl w:val="0"/>
        <w:ind w:left="906" w:hangingChars="412" w:hanging="906"/>
        <w:contextualSpacing/>
      </w:pPr>
      <w:r w:rsidRPr="008608AA">
        <w:t xml:space="preserve">Grimm, N. B., Groffman, P., Staudinger, M., &amp; Tallis, H. (2016). Climate change impacts on ecosystems and ecosystem services in the United States: process and prospects for sustained assessment. </w:t>
      </w:r>
      <w:r w:rsidRPr="008608AA">
        <w:rPr>
          <w:i/>
        </w:rPr>
        <w:t>Climatic Change</w:t>
      </w:r>
      <w:r w:rsidRPr="008608AA">
        <w:t xml:space="preserve">, </w:t>
      </w:r>
      <w:r w:rsidRPr="008608AA">
        <w:rPr>
          <w:i/>
        </w:rPr>
        <w:t>135</w:t>
      </w:r>
      <w:r w:rsidRPr="008608AA">
        <w:t>(1), (pp. 97–109). https://doi.org/10.1007/s10584-015-1547-3</w:t>
      </w:r>
    </w:p>
    <w:p w14:paraId="4FF242D5" w14:textId="77777777" w:rsidR="00DD4E98" w:rsidRPr="008608AA" w:rsidRDefault="00DD4E98" w:rsidP="00DD4E98">
      <w:pPr>
        <w:widowControl w:val="0"/>
        <w:ind w:left="906" w:hangingChars="412" w:hanging="906"/>
        <w:contextualSpacing/>
      </w:pPr>
      <w:r w:rsidRPr="008608AA">
        <w:t xml:space="preserve">Grinde, B., &amp; Patil, G. G. (2009). Biophilia: Does visual contact with nature impact on health and well-being? </w:t>
      </w:r>
      <w:r w:rsidRPr="008608AA">
        <w:rPr>
          <w:i/>
        </w:rPr>
        <w:t>International Journal of Environmental Research and Public Health</w:t>
      </w:r>
      <w:r w:rsidRPr="008608AA">
        <w:t xml:space="preserve">, </w:t>
      </w:r>
      <w:r w:rsidRPr="008608AA">
        <w:rPr>
          <w:i/>
        </w:rPr>
        <w:t>6</w:t>
      </w:r>
      <w:r w:rsidRPr="008608AA">
        <w:t>(9), (pp. 2332–2343). https://doi.org/10.3390/ijerph6092332</w:t>
      </w:r>
    </w:p>
    <w:p w14:paraId="1BFABF25" w14:textId="77777777" w:rsidR="00DD4E98" w:rsidRPr="008608AA" w:rsidRDefault="00DD4E98" w:rsidP="00DD4E98">
      <w:pPr>
        <w:widowControl w:val="0"/>
        <w:ind w:left="906" w:hangingChars="412" w:hanging="906"/>
        <w:contextualSpacing/>
      </w:pPr>
      <w:r w:rsidRPr="008608AA">
        <w:t xml:space="preserve">Guo, L. B., &amp; Gifford, R. M. (2002). Soil carbon stocks and land use change: a meta analysis. </w:t>
      </w:r>
      <w:r w:rsidRPr="008608AA">
        <w:rPr>
          <w:i/>
        </w:rPr>
        <w:t>Global Change Biology</w:t>
      </w:r>
      <w:r w:rsidRPr="008608AA">
        <w:t xml:space="preserve">, </w:t>
      </w:r>
      <w:r w:rsidRPr="008608AA">
        <w:rPr>
          <w:i/>
        </w:rPr>
        <w:t>8</w:t>
      </w:r>
      <w:r w:rsidRPr="008608AA">
        <w:t>(4), (pp. 345–360). https://doi.org/10.1046/j.1354-1013.2002.00486.x</w:t>
      </w:r>
    </w:p>
    <w:p w14:paraId="7D83B924" w14:textId="77777777" w:rsidR="00DD4E98" w:rsidRPr="008608AA" w:rsidRDefault="00DD4E98" w:rsidP="00DD4E98">
      <w:pPr>
        <w:widowControl w:val="0"/>
        <w:ind w:left="906" w:hangingChars="412" w:hanging="906"/>
        <w:contextualSpacing/>
      </w:pPr>
      <w:r w:rsidRPr="008608AA">
        <w:t xml:space="preserve">Haddad, N. (2000). </w:t>
      </w:r>
      <w:r w:rsidRPr="008608AA">
        <w:rPr>
          <w:i/>
        </w:rPr>
        <w:t>Corridor Length and Patch Colonization by a Butterfly, Junonia coenia. Conservation Biology, 14(3),</w:t>
      </w:r>
      <w:r w:rsidRPr="008608AA">
        <w:t xml:space="preserve"> (pp. 738–745). https://doi.org/10.1046/j.1523-1739.2000.99041.x</w:t>
      </w:r>
    </w:p>
    <w:p w14:paraId="41629DF4"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Haddad, N. M., Brudvig, L. A., Clobert, J., Davies, K. F., Gonzalez, A., Holt, R. D., Lovejoy, T. E., Sexton, J. O., Austin, M. P., Collins, C. D., Cook, W. M., Damschen, E. I., Ewers, R. M., Foster, B. L., Jenkins, C. N., King, A. J., Laurance, W. F., Levey, D. J., Margules, C. R., Melbourne, B. A., Nicholls, A. O., Orrock, J. L., Song, D.-X., &amp; Townshend, J. R. (2015). Habitat fragmentation and its lasting impact on Earth’s ecosystems. </w:t>
      </w:r>
      <w:r w:rsidRPr="008608AA">
        <w:rPr>
          <w:i/>
          <w:iCs/>
          <w:noProof/>
        </w:rPr>
        <w:t>Science Advances</w:t>
      </w:r>
      <w:r w:rsidRPr="008608AA">
        <w:rPr>
          <w:noProof/>
        </w:rPr>
        <w:t xml:space="preserve">, </w:t>
      </w:r>
      <w:r w:rsidRPr="008608AA">
        <w:rPr>
          <w:i/>
          <w:iCs/>
          <w:noProof/>
        </w:rPr>
        <w:t>1</w:t>
      </w:r>
      <w:r w:rsidRPr="008608AA">
        <w:rPr>
          <w:noProof/>
        </w:rPr>
        <w:t>(2), e1500052–e1500052. https://doi.org/10.1126/sciadv.1500052</w:t>
      </w:r>
    </w:p>
    <w:p w14:paraId="7F52677D" w14:textId="77777777" w:rsidR="00DD4E98" w:rsidRPr="008608AA" w:rsidRDefault="00DD4E98" w:rsidP="00DD4E98">
      <w:pPr>
        <w:widowControl w:val="0"/>
        <w:ind w:left="906" w:hangingChars="412" w:hanging="906"/>
        <w:contextualSpacing/>
      </w:pPr>
      <w:r w:rsidRPr="008608AA">
        <w:t xml:space="preserve">Halls, L. K. (1984). </w:t>
      </w:r>
      <w:r w:rsidRPr="008608AA">
        <w:rPr>
          <w:i/>
        </w:rPr>
        <w:t>White Tailed Deer: Ecology and Management</w:t>
      </w:r>
      <w:r w:rsidRPr="008608AA">
        <w:t>. (R. E. McCabe &amp; R. J. Laurence, Eds.) (Wildlife M). Washington, D.C.: Stackpole Books.</w:t>
      </w:r>
    </w:p>
    <w:p w14:paraId="17591C0D" w14:textId="77777777" w:rsidR="00DD4E98" w:rsidRPr="008608AA" w:rsidRDefault="00DD4E98" w:rsidP="00DD4E98">
      <w:pPr>
        <w:widowControl w:val="0"/>
        <w:ind w:left="906" w:hangingChars="412" w:hanging="906"/>
        <w:contextualSpacing/>
      </w:pPr>
      <w:r w:rsidRPr="008608AA">
        <w:t xml:space="preserve">Hamilton, L. S. (2008). </w:t>
      </w:r>
      <w:r w:rsidRPr="008608AA">
        <w:rPr>
          <w:i/>
        </w:rPr>
        <w:t>Forest and Water: A thematic study prepared in the framework of the Global Forest Resources Assessment 2005</w:t>
      </w:r>
      <w:r w:rsidRPr="008608AA">
        <w:t xml:space="preserve"> (FAO Forestry Paper No. 155). Rome.</w:t>
      </w:r>
    </w:p>
    <w:p w14:paraId="5095D917" w14:textId="77777777" w:rsidR="00DD4E98" w:rsidRPr="008608AA" w:rsidRDefault="00DD4E98" w:rsidP="00DD4E98">
      <w:pPr>
        <w:widowControl w:val="0"/>
        <w:ind w:left="906" w:hangingChars="412" w:hanging="906"/>
        <w:contextualSpacing/>
        <w:rPr>
          <w:lang w:val="en-GB"/>
        </w:rPr>
      </w:pPr>
      <w:r w:rsidRPr="008608AA">
        <w:t xml:space="preserve">Hanasaki, N., Fujimori, S., Yamamoto, T., Yoshikawa, S., Masaki, Y., Hijioka, Y., Kainuma, M., Kanamori, Y., Masui, T., Takahashi, K., &amp; Kanae, S. (2013). A global water scarcity assessment under Shared Socio-economic Pathways &amp;amp;ndash; Part 2: Water availability and scarcity. </w:t>
      </w:r>
      <w:r w:rsidRPr="008608AA">
        <w:rPr>
          <w:i/>
          <w:iCs/>
        </w:rPr>
        <w:t>Hydrology and Earth System Sciences</w:t>
      </w:r>
      <w:r w:rsidRPr="008608AA">
        <w:t xml:space="preserve">, </w:t>
      </w:r>
      <w:r w:rsidRPr="008608AA">
        <w:rPr>
          <w:i/>
          <w:iCs/>
        </w:rPr>
        <w:t>17</w:t>
      </w:r>
      <w:r w:rsidRPr="008608AA">
        <w:t>(7), 2393–2413. https://doi.org/10.5194/hess-17-2393-2013</w:t>
      </w:r>
    </w:p>
    <w:p w14:paraId="1FB6344E" w14:textId="77777777" w:rsidR="00DD4E98" w:rsidRPr="008608AA" w:rsidRDefault="00DD4E98" w:rsidP="00DD4E98">
      <w:pPr>
        <w:widowControl w:val="0"/>
        <w:ind w:left="906" w:hangingChars="412" w:hanging="906"/>
        <w:contextualSpacing/>
      </w:pPr>
      <w:r w:rsidRPr="008608AA">
        <w:t xml:space="preserve">Hanley, N., &amp; Spash, C. L. (1993). </w:t>
      </w:r>
      <w:r w:rsidRPr="008608AA">
        <w:rPr>
          <w:i/>
        </w:rPr>
        <w:t>Cost-benefit analysis and the environment</w:t>
      </w:r>
      <w:r w:rsidRPr="008608AA">
        <w:t>. Northampton, MA: Edward Algar.</w:t>
      </w:r>
    </w:p>
    <w:p w14:paraId="2C014BDC" w14:textId="77777777" w:rsidR="00DD4E98" w:rsidRPr="008608AA" w:rsidRDefault="00DD4E98" w:rsidP="00DD4E98">
      <w:pPr>
        <w:widowControl w:val="0"/>
        <w:ind w:left="906" w:hangingChars="412" w:hanging="906"/>
        <w:contextualSpacing/>
      </w:pPr>
      <w:r w:rsidRPr="008608AA">
        <w:t xml:space="preserve">Harr, R. D. (1986). Effects of Clearcutting on Rain-on-Snow Runoff in Western Oregon: A New Look at Old Studies. </w:t>
      </w:r>
      <w:r w:rsidRPr="008608AA">
        <w:rPr>
          <w:i/>
        </w:rPr>
        <w:t>Water Resources Research</w:t>
      </w:r>
      <w:r w:rsidRPr="008608AA">
        <w:t xml:space="preserve">, </w:t>
      </w:r>
      <w:r w:rsidRPr="008608AA">
        <w:rPr>
          <w:i/>
        </w:rPr>
        <w:t>22</w:t>
      </w:r>
      <w:r w:rsidRPr="008608AA">
        <w:t>(7), (pp. 1095–1100). https://doi.org/10.1029/WR022i007p01095</w:t>
      </w:r>
    </w:p>
    <w:p w14:paraId="48C80140" w14:textId="77777777" w:rsidR="00DD4E98" w:rsidRPr="008608AA" w:rsidRDefault="00DD4E98" w:rsidP="00DD4E98">
      <w:pPr>
        <w:widowControl w:val="0"/>
        <w:ind w:left="906" w:hangingChars="412" w:hanging="906"/>
        <w:contextualSpacing/>
      </w:pPr>
      <w:r w:rsidRPr="008608AA">
        <w:t xml:space="preserve">Harris, J. M., &amp; Roach, B. (2014). </w:t>
      </w:r>
      <w:r w:rsidRPr="008608AA">
        <w:rPr>
          <w:i/>
        </w:rPr>
        <w:t>Environmental and Natural Resource Economics: A Contemporary Approach</w:t>
      </w:r>
      <w:r w:rsidRPr="008608AA">
        <w:t xml:space="preserve"> (3rd Editio). New York, NY: Routledge.</w:t>
      </w:r>
    </w:p>
    <w:p w14:paraId="3BE4D548" w14:textId="77777777" w:rsidR="00DD4E98" w:rsidRPr="008608AA" w:rsidRDefault="00DD4E98" w:rsidP="00DD4E98">
      <w:pPr>
        <w:widowControl w:val="0"/>
        <w:ind w:left="906" w:hangingChars="412" w:hanging="906"/>
        <w:contextualSpacing/>
      </w:pPr>
      <w:r w:rsidRPr="008608AA">
        <w:t xml:space="preserve">Hartig, T., Mang, M., &amp; Evans, G. W. (1991). Restorative Effects of Natural Environment Experiences. </w:t>
      </w:r>
      <w:r w:rsidRPr="008608AA">
        <w:rPr>
          <w:i/>
        </w:rPr>
        <w:t>Environment and Behavior</w:t>
      </w:r>
      <w:r w:rsidRPr="008608AA">
        <w:t xml:space="preserve">, </w:t>
      </w:r>
      <w:r w:rsidRPr="008608AA">
        <w:rPr>
          <w:i/>
        </w:rPr>
        <w:t>23</w:t>
      </w:r>
      <w:r w:rsidRPr="008608AA">
        <w:t>(1), (pp. 3–26). https://doi.org/10.1177/0013916591231001</w:t>
      </w:r>
    </w:p>
    <w:p w14:paraId="54D70D9C" w14:textId="77777777" w:rsidR="00DD4E98" w:rsidRPr="008608AA" w:rsidRDefault="00DD4E98" w:rsidP="00DD4E98">
      <w:pPr>
        <w:widowControl w:val="0"/>
        <w:ind w:left="906" w:hangingChars="412" w:hanging="906"/>
        <w:contextualSpacing/>
      </w:pPr>
      <w:r w:rsidRPr="008608AA">
        <w:t xml:space="preserve">Hasson, F., Keeney, S., &amp; McKenna, H. (2000). Research guidelines for the Delphi survey technique. </w:t>
      </w:r>
      <w:r w:rsidRPr="008608AA">
        <w:rPr>
          <w:i/>
        </w:rPr>
        <w:t>Journal of Advanced Nursing</w:t>
      </w:r>
      <w:r w:rsidRPr="008608AA">
        <w:t xml:space="preserve">, </w:t>
      </w:r>
      <w:r w:rsidRPr="008608AA">
        <w:rPr>
          <w:i/>
        </w:rPr>
        <w:t>32</w:t>
      </w:r>
      <w:r w:rsidRPr="008608AA">
        <w:t>(4), (pp. 1008–1015). https://doi.org/10.1046/j.1365-2648.2000.t01-1-01567.x</w:t>
      </w:r>
    </w:p>
    <w:p w14:paraId="59320D6F" w14:textId="77777777" w:rsidR="00DD4E98" w:rsidRPr="008608AA" w:rsidRDefault="00DD4E98" w:rsidP="00DD4E98">
      <w:pPr>
        <w:widowControl w:val="0"/>
        <w:ind w:left="906" w:hangingChars="412" w:hanging="906"/>
        <w:contextualSpacing/>
      </w:pPr>
      <w:r w:rsidRPr="008608AA">
        <w:t xml:space="preserve">Hellin, J., Erenstein, O., Beuchelt, T., Camacho, C., &amp; Flores, D. (2013). Maize stover use and sustainable crop production in mixed crop-livestock systems in Mexico. </w:t>
      </w:r>
      <w:r w:rsidRPr="008608AA">
        <w:rPr>
          <w:i/>
        </w:rPr>
        <w:t>Field Crops Research</w:t>
      </w:r>
      <w:r w:rsidRPr="008608AA">
        <w:t xml:space="preserve">, </w:t>
      </w:r>
      <w:r w:rsidRPr="008608AA">
        <w:rPr>
          <w:i/>
        </w:rPr>
        <w:t>153</w:t>
      </w:r>
      <w:r w:rsidRPr="008608AA">
        <w:t>, (pp. 12–21). https://doi.org/10.1016/j.fcr.2013.05.014</w:t>
      </w:r>
    </w:p>
    <w:p w14:paraId="703A4D83" w14:textId="77777777" w:rsidR="00DD4E98" w:rsidRPr="00A3137A" w:rsidRDefault="00DD4E98" w:rsidP="00DD4E98">
      <w:pPr>
        <w:widowControl w:val="0"/>
        <w:ind w:left="906" w:hangingChars="412" w:hanging="906"/>
        <w:contextualSpacing/>
        <w:rPr>
          <w:lang w:val="fr-FR"/>
        </w:rPr>
      </w:pPr>
      <w:r w:rsidRPr="008608AA">
        <w:t xml:space="preserve">Herendeen, R. A., &amp; Wildermuth, T. (2002). Resource-based sustainability indicators: Chase County, Kansas, as example. </w:t>
      </w:r>
      <w:r w:rsidRPr="00A3137A">
        <w:rPr>
          <w:i/>
          <w:lang w:val="fr-FR"/>
        </w:rPr>
        <w:t>Ecological Economics</w:t>
      </w:r>
      <w:r w:rsidRPr="00A3137A">
        <w:rPr>
          <w:lang w:val="fr-FR"/>
        </w:rPr>
        <w:t xml:space="preserve">, </w:t>
      </w:r>
      <w:r w:rsidRPr="00A3137A">
        <w:rPr>
          <w:i/>
          <w:lang w:val="fr-FR"/>
        </w:rPr>
        <w:t>42</w:t>
      </w:r>
      <w:r w:rsidRPr="00A3137A">
        <w:rPr>
          <w:lang w:val="fr-FR"/>
        </w:rPr>
        <w:t>(1–2), (pp. 243–257). https://doi.org/https://doi.org/10.1016/S0921-8009(02)00056-3</w:t>
      </w:r>
    </w:p>
    <w:p w14:paraId="07BC93E7" w14:textId="77777777" w:rsidR="00DD4E98" w:rsidRPr="008608AA" w:rsidRDefault="00DD4E98" w:rsidP="00DD4E98">
      <w:pPr>
        <w:widowControl w:val="0"/>
        <w:ind w:left="906" w:hangingChars="412" w:hanging="906"/>
        <w:contextualSpacing/>
        <w:rPr>
          <w:lang w:val="de-DE"/>
        </w:rPr>
      </w:pPr>
      <w:r w:rsidRPr="00A3137A">
        <w:rPr>
          <w:lang w:val="fr-FR"/>
        </w:rPr>
        <w:t xml:space="preserve">Hervé, D., &amp; Ayangma, S. (2000). Dynamique de l’occupation du sol dans une communauté agro-pastorale de’l Altiplano bolivien. </w:t>
      </w:r>
      <w:r w:rsidRPr="008608AA">
        <w:rPr>
          <w:lang w:val="de-DE"/>
        </w:rPr>
        <w:t xml:space="preserve">Les montagnes aménagement. </w:t>
      </w:r>
      <w:r w:rsidRPr="008608AA">
        <w:rPr>
          <w:i/>
          <w:lang w:val="de-DE"/>
        </w:rPr>
        <w:t>Revue de Géographie Alpine</w:t>
      </w:r>
      <w:r w:rsidRPr="008608AA">
        <w:rPr>
          <w:lang w:val="de-DE"/>
        </w:rPr>
        <w:t xml:space="preserve">, </w:t>
      </w:r>
      <w:r w:rsidRPr="008608AA">
        <w:rPr>
          <w:i/>
          <w:lang w:val="de-DE"/>
        </w:rPr>
        <w:t>88</w:t>
      </w:r>
      <w:r w:rsidRPr="008608AA">
        <w:rPr>
          <w:lang w:val="de-DE"/>
        </w:rPr>
        <w:t xml:space="preserve">(2), </w:t>
      </w:r>
      <w:r w:rsidRPr="00A3137A">
        <w:rPr>
          <w:lang w:val="fr-FR"/>
        </w:rPr>
        <w:t xml:space="preserve">(pp. </w:t>
      </w:r>
      <w:r w:rsidRPr="008608AA">
        <w:rPr>
          <w:lang w:val="de-DE"/>
        </w:rPr>
        <w:t>69–84).</w:t>
      </w:r>
    </w:p>
    <w:p w14:paraId="6882BB64" w14:textId="77777777" w:rsidR="00DD4E98" w:rsidRPr="008608AA" w:rsidRDefault="00DD4E98" w:rsidP="00DD4E98">
      <w:pPr>
        <w:widowControl w:val="0"/>
        <w:ind w:left="906" w:hangingChars="412" w:hanging="906"/>
        <w:contextualSpacing/>
      </w:pPr>
      <w:r w:rsidRPr="008608AA">
        <w:rPr>
          <w:lang w:val="de-DE"/>
        </w:rPr>
        <w:t xml:space="preserve">Herzog, S., Martínez, R., Jorgensen, P., &amp; Tiessen, H. (2011). </w:t>
      </w:r>
      <w:r w:rsidRPr="008608AA">
        <w:rPr>
          <w:i/>
        </w:rPr>
        <w:t>Climate Change and Biodiversity in the Tropical Andes</w:t>
      </w:r>
      <w:r w:rsidRPr="008608AA">
        <w:t xml:space="preserve">. </w:t>
      </w:r>
      <w:r w:rsidRPr="008608AA">
        <w:rPr>
          <w:i/>
        </w:rPr>
        <w:t>Work</w:t>
      </w:r>
      <w:r w:rsidRPr="008608AA">
        <w:t>. Inter-American Institute for Global Change Research (IAI) and Scientific Committee on Problems of the Environment (SCOPE).</w:t>
      </w:r>
    </w:p>
    <w:p w14:paraId="7A5BC730" w14:textId="77777777" w:rsidR="00DD4E98" w:rsidRPr="008608AA" w:rsidRDefault="00DD4E98" w:rsidP="00DD4E98">
      <w:pPr>
        <w:widowControl w:val="0"/>
        <w:ind w:left="906" w:hangingChars="412" w:hanging="906"/>
        <w:contextualSpacing/>
        <w:rPr>
          <w:lang w:val="en-GB"/>
        </w:rPr>
      </w:pPr>
      <w:r w:rsidRPr="008608AA">
        <w:t xml:space="preserve">Hilbeck, A., Binimelis, R., Defarge, N., Steinbrecher, R., Székács, A., Wickson, F., Antoniou, M., Bereano, P. L., Clark, E. A., Hansen, M., Novotny, E., Heinemann, J., Meyer, H., Shiva, V., &amp; Wynne, B. (2015). No scientific consensus on GMO safety. </w:t>
      </w:r>
      <w:r w:rsidRPr="008608AA">
        <w:rPr>
          <w:i/>
          <w:iCs/>
        </w:rPr>
        <w:t>Environmental Sciences Europe</w:t>
      </w:r>
      <w:r w:rsidRPr="008608AA">
        <w:t xml:space="preserve">, </w:t>
      </w:r>
      <w:r w:rsidRPr="008608AA">
        <w:rPr>
          <w:i/>
          <w:iCs/>
        </w:rPr>
        <w:t>27</w:t>
      </w:r>
      <w:r w:rsidRPr="008608AA">
        <w:t>(1), 4. https://doi.org/10.1186/s12302-014-0034-1</w:t>
      </w:r>
    </w:p>
    <w:p w14:paraId="2DF570CD" w14:textId="77777777" w:rsidR="00DD4E98" w:rsidRPr="008608AA" w:rsidRDefault="00DD4E98" w:rsidP="00DD4E98">
      <w:pPr>
        <w:widowControl w:val="0"/>
        <w:ind w:left="906" w:hangingChars="412" w:hanging="906"/>
        <w:contextualSpacing/>
      </w:pPr>
      <w:r w:rsidRPr="008608AA">
        <w:rPr>
          <w:lang w:val="de-DE"/>
        </w:rPr>
        <w:t xml:space="preserve">Hilty, J. A., &amp; Merenlender, A. M. (2004). </w:t>
      </w:r>
      <w:r w:rsidRPr="008608AA">
        <w:t xml:space="preserve">Use of Riparian Corridors and Vineyards by Mammalian Predators in Northern California. </w:t>
      </w:r>
      <w:r w:rsidRPr="008608AA">
        <w:rPr>
          <w:i/>
        </w:rPr>
        <w:t>Conservation Biology</w:t>
      </w:r>
      <w:r w:rsidRPr="008608AA">
        <w:t xml:space="preserve">, </w:t>
      </w:r>
      <w:r w:rsidRPr="008608AA">
        <w:rPr>
          <w:i/>
        </w:rPr>
        <w:t>18</w:t>
      </w:r>
      <w:r w:rsidRPr="008608AA">
        <w:t>(1), (pp. 126–135). https://doi.org/10.1111/j.1523-1739.2004.00225.x</w:t>
      </w:r>
    </w:p>
    <w:p w14:paraId="3BF545C2" w14:textId="77777777" w:rsidR="00DD4E98" w:rsidRPr="008608AA" w:rsidRDefault="00DD4E98" w:rsidP="00DD4E98">
      <w:pPr>
        <w:widowControl w:val="0"/>
        <w:ind w:left="906" w:hangingChars="412" w:hanging="906"/>
        <w:contextualSpacing/>
      </w:pPr>
      <w:r w:rsidRPr="008608AA">
        <w:t xml:space="preserve">Hoekstra, A. Y., Mekonnen, M. M., Chapagain, A. K., Mathews, R. E., &amp; Richter, B. D. (2012). Global monthly water scarcity: Blue water footprints versus blue water availability. </w:t>
      </w:r>
      <w:r w:rsidRPr="008608AA">
        <w:rPr>
          <w:i/>
        </w:rPr>
        <w:t>PLoS ONE</w:t>
      </w:r>
      <w:r w:rsidRPr="008608AA">
        <w:t xml:space="preserve">, </w:t>
      </w:r>
      <w:r w:rsidRPr="008608AA">
        <w:rPr>
          <w:i/>
        </w:rPr>
        <w:t>7</w:t>
      </w:r>
      <w:r w:rsidRPr="008608AA">
        <w:t>(2). https://doi.org/10.1371/journal.pone.0032688</w:t>
      </w:r>
    </w:p>
    <w:p w14:paraId="4B8202C9" w14:textId="77777777" w:rsidR="00DD4E98" w:rsidRPr="008608AA" w:rsidRDefault="00DD4E98" w:rsidP="00DD4E98">
      <w:pPr>
        <w:widowControl w:val="0"/>
        <w:ind w:left="906" w:hangingChars="412" w:hanging="906"/>
        <w:contextualSpacing/>
      </w:pPr>
      <w:r w:rsidRPr="008608AA">
        <w:t xml:space="preserve">Hoffmann, I., From, T., &amp; Boerma, D. (2014). </w:t>
      </w:r>
      <w:r w:rsidRPr="008608AA">
        <w:rPr>
          <w:i/>
        </w:rPr>
        <w:t>Ecosystem servicies provided by livestock species and breeds, with special consideration to the contributions of small-scale livestock keepers and pastoralists</w:t>
      </w:r>
      <w:r w:rsidRPr="008608AA">
        <w:t>. Rome, Italy. https://doi.org/10.1146/annurev.energy.29.062403.102203</w:t>
      </w:r>
    </w:p>
    <w:p w14:paraId="55B1B4A8" w14:textId="77777777" w:rsidR="00DD4E98" w:rsidRPr="008608AA" w:rsidRDefault="00DD4E98" w:rsidP="00DD4E98">
      <w:pPr>
        <w:widowControl w:val="0"/>
        <w:ind w:left="906" w:hangingChars="412" w:hanging="906"/>
        <w:contextualSpacing/>
      </w:pPr>
      <w:r w:rsidRPr="008608AA">
        <w:t xml:space="preserve">Hollaway, M. J., Arnold, S. R., Challinor, A. J., &amp; Emberson, L. D. (2012). Intercontinental trans-boundary contributions to ozone-induced crop yield losses in the Northern Hemisphere. </w:t>
      </w:r>
      <w:r w:rsidRPr="008608AA">
        <w:rPr>
          <w:i/>
        </w:rPr>
        <w:t>Biogeosciences</w:t>
      </w:r>
      <w:r w:rsidRPr="008608AA">
        <w:t xml:space="preserve">, </w:t>
      </w:r>
      <w:r w:rsidRPr="008608AA">
        <w:rPr>
          <w:i/>
        </w:rPr>
        <w:t>9</w:t>
      </w:r>
      <w:r w:rsidRPr="008608AA">
        <w:t>(1), (pp. 271–292). https://doi.org/10.5194/bg-9-271-2012</w:t>
      </w:r>
    </w:p>
    <w:p w14:paraId="1D6C707E" w14:textId="77777777" w:rsidR="00DD4E98" w:rsidRPr="008608AA" w:rsidRDefault="00DD4E98" w:rsidP="00DD4E98">
      <w:pPr>
        <w:widowControl w:val="0"/>
        <w:ind w:left="906" w:hangingChars="412" w:hanging="906"/>
        <w:contextualSpacing/>
      </w:pPr>
      <w:r w:rsidRPr="008608AA">
        <w:t xml:space="preserve">Honda, E. A., Durigan, G., Bowman, D., Walsh, A., Milne, D., Roques, K., … Midgley, G. (2016). Woody encroachment and its consequences on hydrological processes in the savannah. </w:t>
      </w:r>
      <w:r w:rsidRPr="008608AA">
        <w:rPr>
          <w:i/>
        </w:rPr>
        <w:t>Philosophical Transactions of the Royal Society of London. Series B, Biological Sciences</w:t>
      </w:r>
      <w:r w:rsidRPr="008608AA">
        <w:t xml:space="preserve">, </w:t>
      </w:r>
      <w:r w:rsidRPr="008608AA">
        <w:rPr>
          <w:i/>
        </w:rPr>
        <w:t>371</w:t>
      </w:r>
      <w:r w:rsidRPr="008608AA">
        <w:t>(1703), 115–133. https://doi.org/10.1098/rstb.2015.0313</w:t>
      </w:r>
    </w:p>
    <w:p w14:paraId="642454FB" w14:textId="77777777" w:rsidR="00DD4E98" w:rsidRPr="008608AA" w:rsidRDefault="00DD4E98" w:rsidP="00DD4E98">
      <w:pPr>
        <w:widowControl w:val="0"/>
        <w:ind w:left="906" w:hangingChars="412" w:hanging="906"/>
        <w:contextualSpacing/>
      </w:pPr>
      <w:r w:rsidRPr="008608AA">
        <w:t xml:space="preserve">Horowitz, L. W. (2006). </w:t>
      </w:r>
      <w:r w:rsidRPr="008608AA">
        <w:rPr>
          <w:i/>
        </w:rPr>
        <w:t>Past, present and future concentrations of tropospheric ozone and aerosols: Methodology, ozone evaluation, and sensitivity to aerosol wet removal. Journal of Geophysical Research Atmospheres, 111(22)</w:t>
      </w:r>
      <w:r w:rsidRPr="008608AA">
        <w:t>. https://doi.org/10.1029/2005JD006937</w:t>
      </w:r>
    </w:p>
    <w:p w14:paraId="60DD1EC3" w14:textId="77777777" w:rsidR="00DD4E98" w:rsidRPr="008608AA" w:rsidRDefault="00DD4E98" w:rsidP="00DD4E98">
      <w:pPr>
        <w:widowControl w:val="0"/>
        <w:ind w:left="906" w:hangingChars="412" w:hanging="906"/>
        <w:contextualSpacing/>
      </w:pPr>
      <w:r w:rsidRPr="008608AA">
        <w:t xml:space="preserve">Horwitz, P., Finlayson, C. M., &amp; Weinstein, P. (2012). </w:t>
      </w:r>
      <w:r w:rsidRPr="008608AA">
        <w:rPr>
          <w:i/>
        </w:rPr>
        <w:t>Healthy wetlands, healthy people: a review of wetlands and human health interactions. Ramsar Technical Reports</w:t>
      </w:r>
      <w:r w:rsidRPr="008608AA">
        <w:t>. Gland, Switzerland. Retrieved from http://www.ramsar.org/sites/default/files/documents/pdf/lib/rtr6-health.pdf</w:t>
      </w:r>
    </w:p>
    <w:p w14:paraId="1DF2092A" w14:textId="77777777" w:rsidR="00DD4E98" w:rsidRPr="008608AA" w:rsidRDefault="00DD4E98" w:rsidP="00DD4E98">
      <w:pPr>
        <w:widowControl w:val="0"/>
        <w:ind w:left="906" w:hangingChars="412" w:hanging="906"/>
        <w:contextualSpacing/>
      </w:pPr>
      <w:r w:rsidRPr="008608AA">
        <w:t xml:space="preserve">Houston, D. B. (1982). </w:t>
      </w:r>
      <w:r w:rsidRPr="008608AA">
        <w:rPr>
          <w:i/>
        </w:rPr>
        <w:t>The Northern Yellowstone Elk: Ecology and Management</w:t>
      </w:r>
      <w:r w:rsidRPr="008608AA">
        <w:t>. Macmillan.</w:t>
      </w:r>
    </w:p>
    <w:p w14:paraId="6956606E" w14:textId="77777777" w:rsidR="00DD4E98" w:rsidRPr="008608AA" w:rsidRDefault="00DD4E98" w:rsidP="00DD4E98">
      <w:pPr>
        <w:widowControl w:val="0"/>
        <w:ind w:left="906" w:hangingChars="412" w:hanging="906"/>
        <w:contextualSpacing/>
        <w:rPr>
          <w:lang w:val="es-CO"/>
        </w:rPr>
      </w:pPr>
      <w:r w:rsidRPr="008608AA">
        <w:t xml:space="preserve">Howe, C., Suich, H., Vira, B., &amp; Mace, G. M. (2014). Creating win-wins from trade-offs? Ecosystem services for human well-being: A meta-analysis of ecosystem service trade-offs and synergies in the real world. </w:t>
      </w:r>
      <w:r w:rsidRPr="008608AA">
        <w:rPr>
          <w:i/>
          <w:lang w:val="es-CO"/>
        </w:rPr>
        <w:t>Global Environmental Change</w:t>
      </w:r>
      <w:r w:rsidRPr="008608AA">
        <w:rPr>
          <w:lang w:val="es-CO"/>
        </w:rPr>
        <w:t xml:space="preserve">, </w:t>
      </w:r>
      <w:r w:rsidRPr="008608AA">
        <w:rPr>
          <w:i/>
          <w:lang w:val="es-CO"/>
        </w:rPr>
        <w:t>28</w:t>
      </w:r>
      <w:r w:rsidRPr="008608AA">
        <w:rPr>
          <w:lang w:val="es-CO"/>
        </w:rPr>
        <w:t>, 263–275. https://doi.org/10.1016/j.gloenvcha.2014.07.005</w:t>
      </w:r>
    </w:p>
    <w:p w14:paraId="31BE4370" w14:textId="77777777" w:rsidR="00DD4E98" w:rsidRPr="00CE0821" w:rsidRDefault="00DD4E98" w:rsidP="00DD4E98">
      <w:pPr>
        <w:widowControl w:val="0"/>
        <w:ind w:left="906" w:hangingChars="412" w:hanging="906"/>
        <w:contextualSpacing/>
        <w:rPr>
          <w:lang w:val="es-CO"/>
        </w:rPr>
      </w:pPr>
      <w:r w:rsidRPr="008608AA">
        <w:rPr>
          <w:lang w:val="es-CO"/>
        </w:rPr>
        <w:t xml:space="preserve">Huang, Z. Y. X., Van Langevelde, F., Estrada-Peña, A., Suzán, G., &amp; De Boer, W. F. (2016). </w:t>
      </w:r>
      <w:r w:rsidRPr="008608AA">
        <w:t xml:space="preserve">The diversity–disease relationship: evidence for and criticisms of the dilution effect. </w:t>
      </w:r>
      <w:r w:rsidRPr="00CE0821">
        <w:rPr>
          <w:i/>
          <w:lang w:val="es-CO"/>
        </w:rPr>
        <w:t>Parasitology</w:t>
      </w:r>
      <w:r w:rsidRPr="00CE0821">
        <w:rPr>
          <w:lang w:val="es-CO"/>
        </w:rPr>
        <w:t xml:space="preserve">, </w:t>
      </w:r>
      <w:r w:rsidRPr="00CE0821">
        <w:rPr>
          <w:i/>
          <w:lang w:val="es-CO"/>
        </w:rPr>
        <w:t>143</w:t>
      </w:r>
      <w:r w:rsidRPr="00CE0821">
        <w:rPr>
          <w:lang w:val="es-CO"/>
        </w:rPr>
        <w:t>(9), (pp. 1075–1086). https://doi.org/10.1017/S0031182016000536</w:t>
      </w:r>
    </w:p>
    <w:p w14:paraId="6B2DF39B" w14:textId="77777777" w:rsidR="00DD4E98" w:rsidRPr="008608AA" w:rsidRDefault="00DD4E98" w:rsidP="00DD4E98">
      <w:pPr>
        <w:widowControl w:val="0"/>
        <w:ind w:left="906" w:hangingChars="412" w:hanging="906"/>
        <w:contextualSpacing/>
        <w:rPr>
          <w:lang w:val="en-GB"/>
        </w:rPr>
      </w:pPr>
      <w:r w:rsidRPr="00CE0821">
        <w:rPr>
          <w:lang w:val="es-CO"/>
        </w:rPr>
        <w:t xml:space="preserve">Huddleston, B., Ataman, E., Salvo, S. P. De, Zanetti, M., Bloise, M., Bel, J., Franceschini, G., &amp; D’Ostiani, L. F. (2003). </w:t>
      </w:r>
      <w:r w:rsidRPr="008608AA">
        <w:rPr>
          <w:i/>
          <w:iCs/>
        </w:rPr>
        <w:t>Towards a Gis-Based Analysis of Mountain</w:t>
      </w:r>
      <w:r w:rsidRPr="008608AA">
        <w:t xml:space="preserve">. </w:t>
      </w:r>
      <w:r w:rsidRPr="008608AA">
        <w:rPr>
          <w:i/>
          <w:iCs/>
        </w:rPr>
        <w:t>Environment and Natural Resources Working Paper No. 10</w:t>
      </w:r>
      <w:r w:rsidRPr="008608AA">
        <w:t>.</w:t>
      </w:r>
    </w:p>
    <w:p w14:paraId="5CE76BEE" w14:textId="77777777" w:rsidR="00DD4E98" w:rsidRPr="008608AA" w:rsidRDefault="00DD4E98" w:rsidP="00DD4E98">
      <w:pPr>
        <w:widowControl w:val="0"/>
        <w:ind w:left="906" w:hangingChars="412" w:hanging="906"/>
        <w:contextualSpacing/>
      </w:pPr>
      <w:r w:rsidRPr="008608AA">
        <w:t xml:space="preserve">Hummer, K. E., &amp; Hancock, J. F. (2015). HortScience : a publication of the American Society for Horticultural Science. </w:t>
      </w:r>
      <w:r w:rsidRPr="008608AA">
        <w:rPr>
          <w:i/>
        </w:rPr>
        <w:t>HortScience</w:t>
      </w:r>
      <w:r w:rsidRPr="008608AA">
        <w:t>, 50(6), 780–783.</w:t>
      </w:r>
    </w:p>
    <w:p w14:paraId="35247595" w14:textId="77777777" w:rsidR="00DD4E98" w:rsidRPr="008608AA" w:rsidRDefault="00DD4E98" w:rsidP="00DD4E98">
      <w:pPr>
        <w:widowControl w:val="0"/>
        <w:ind w:left="906" w:hangingChars="412" w:hanging="906"/>
        <w:contextualSpacing/>
      </w:pPr>
      <w:r w:rsidRPr="008608AA">
        <w:t xml:space="preserve">IDB. (2016). </w:t>
      </w:r>
      <w:r w:rsidRPr="008608AA">
        <w:rPr>
          <w:i/>
        </w:rPr>
        <w:t>Inter-american Development Bank.</w:t>
      </w:r>
      <w:r w:rsidRPr="008608AA">
        <w:t xml:space="preserve"> Retrieved from http://www.iadb.org/en/research-and-data/research-publications,19532.html</w:t>
      </w:r>
    </w:p>
    <w:p w14:paraId="52BFB317" w14:textId="77777777" w:rsidR="00DD4E98" w:rsidRPr="008608AA" w:rsidRDefault="00DD4E98" w:rsidP="00DD4E98">
      <w:pPr>
        <w:widowControl w:val="0"/>
        <w:ind w:left="906" w:hangingChars="412" w:hanging="906"/>
        <w:contextualSpacing/>
      </w:pPr>
      <w:r w:rsidRPr="008608AA">
        <w:t xml:space="preserve">IMF. (2015). </w:t>
      </w:r>
      <w:r w:rsidRPr="008608AA">
        <w:rPr>
          <w:i/>
        </w:rPr>
        <w:t>Data file of world economic and financial surveys</w:t>
      </w:r>
      <w:r w:rsidRPr="008608AA">
        <w:t>. Retrieved August 15, 2017, from https://www.imf.org/external/pubs/ft/weo/2015/02/weodata/index.aspx</w:t>
      </w:r>
    </w:p>
    <w:p w14:paraId="1F464AA8" w14:textId="77777777" w:rsidR="00DD4E98" w:rsidRPr="008608AA" w:rsidRDefault="00DD4E98" w:rsidP="00DD4E98">
      <w:pPr>
        <w:widowControl w:val="0"/>
        <w:ind w:left="906" w:hangingChars="412" w:hanging="906"/>
        <w:contextualSpacing/>
      </w:pPr>
      <w:r w:rsidRPr="008608AA">
        <w:t xml:space="preserve">Immirzi, C. P., Maltby, E., &amp; Clymo, R. S. (1992). </w:t>
      </w:r>
      <w:r w:rsidRPr="008608AA">
        <w:rPr>
          <w:i/>
        </w:rPr>
        <w:t>The global status of peatlands and their role in carbon cycling: a report for Friends of the Earth</w:t>
      </w:r>
      <w:r w:rsidRPr="008608AA">
        <w:t>. Friends of the Earth, Wetland Ecosystems Research Group.</w:t>
      </w:r>
    </w:p>
    <w:p w14:paraId="66AAC594" w14:textId="77777777" w:rsidR="00DD4E98" w:rsidRPr="008608AA" w:rsidRDefault="00DD4E98" w:rsidP="00DD4E98">
      <w:pPr>
        <w:widowControl w:val="0"/>
        <w:ind w:left="906" w:hangingChars="412" w:hanging="906"/>
        <w:contextualSpacing/>
      </w:pPr>
      <w:r w:rsidRPr="008608AA">
        <w:t xml:space="preserve">International Association of Fishing and Wildlife Agencies (IAFWA). (2002). </w:t>
      </w:r>
      <w:r w:rsidRPr="008608AA">
        <w:rPr>
          <w:i/>
        </w:rPr>
        <w:t>The Economic Importance of Hunting in America</w:t>
      </w:r>
      <w:r w:rsidRPr="008608AA">
        <w:t>. (I. A. of F. and W. Agencies, Ed.).</w:t>
      </w:r>
    </w:p>
    <w:p w14:paraId="406AA199" w14:textId="77777777" w:rsidR="00DD4E98" w:rsidRPr="008608AA" w:rsidRDefault="00DD4E98" w:rsidP="00DD4E98">
      <w:pPr>
        <w:widowControl w:val="0"/>
        <w:ind w:left="906" w:hangingChars="412" w:hanging="906"/>
        <w:contextualSpacing/>
      </w:pPr>
      <w:r w:rsidRPr="008608AA">
        <w:t xml:space="preserve">International Energy Agency (IEA) and the World Bank. (2006). </w:t>
      </w:r>
      <w:r w:rsidRPr="008608AA">
        <w:rPr>
          <w:i/>
        </w:rPr>
        <w:t>World Energy Outlook 2006</w:t>
      </w:r>
      <w:r w:rsidRPr="008608AA">
        <w:t xml:space="preserve">. </w:t>
      </w:r>
      <w:r w:rsidRPr="008608AA">
        <w:rPr>
          <w:i/>
        </w:rPr>
        <w:t>Outlook</w:t>
      </w:r>
      <w:r w:rsidRPr="008608AA">
        <w:t>. https://doi.org/10.1787/weo-2006-en</w:t>
      </w:r>
    </w:p>
    <w:p w14:paraId="55C63476" w14:textId="77777777" w:rsidR="00DD4E98" w:rsidRPr="008608AA" w:rsidRDefault="00DD4E98" w:rsidP="00DD4E98">
      <w:pPr>
        <w:widowControl w:val="0"/>
        <w:ind w:left="906" w:hangingChars="412" w:hanging="906"/>
        <w:contextualSpacing/>
      </w:pPr>
      <w:r w:rsidRPr="008608AA">
        <w:t xml:space="preserve">International Energy Agency (IEA) and the World Bank. (2017). </w:t>
      </w:r>
      <w:r w:rsidRPr="008608AA">
        <w:rPr>
          <w:i/>
        </w:rPr>
        <w:t>Sustainable Energy for All 2017—Progress toward Sustainable Energy</w:t>
      </w:r>
      <w:r w:rsidRPr="008608AA">
        <w:t>. Washington, D.C.</w:t>
      </w:r>
    </w:p>
    <w:p w14:paraId="2FD77074" w14:textId="77777777" w:rsidR="00DD4E98" w:rsidRPr="008608AA" w:rsidRDefault="00DD4E98" w:rsidP="00DD4E98">
      <w:pPr>
        <w:widowControl w:val="0"/>
        <w:ind w:left="906" w:hangingChars="412" w:hanging="906"/>
        <w:contextualSpacing/>
      </w:pPr>
      <w:r w:rsidRPr="008608AA">
        <w:t xml:space="preserve">IPBES. (2016). </w:t>
      </w:r>
      <w:r w:rsidRPr="008608AA">
        <w:rPr>
          <w:i/>
        </w:rPr>
        <w:t>Summary for policymakers of the assessment report of the Intergovernmental Science-Policy Platform on Biodiversity and Ecosystem Services on pollinators, pollination and food production.</w:t>
      </w:r>
      <w:r w:rsidRPr="008608AA">
        <w:t xml:space="preserve"> (N. G. S.G. Potts, V. L. Imperatriz-Fonseca, H. T. Ngo, J. C. Biesmeijer, T. D. Breeze, L. V. Dicks, L. A. Garibaldi, R. Hill, J. Settele, A. J. Vanbergen, M. A. Aizen, S. A. Cunningham, C. Eardley, B. M. Freitas &amp;  and B. F. V. (eds. ). P. G. Kevan, A. Kovács-Hostyánszki, P. K. Kwapong, J. Li, X. Li, D. J. Martins, G. Nates-Parra, J. S. Pettis, R. Rader, and B. F. Viana (edR. Rader, Eds.). Bonn, Germany: Secretariat of the Intergovernmental Science-Policy Platform on Biodiversity and Ecosystem Services.</w:t>
      </w:r>
    </w:p>
    <w:p w14:paraId="7701E6F5" w14:textId="77777777" w:rsidR="00DD4E98" w:rsidRPr="008608AA" w:rsidRDefault="00DD4E98" w:rsidP="00DD4E98">
      <w:pPr>
        <w:widowControl w:val="0"/>
        <w:ind w:left="906" w:hangingChars="412" w:hanging="906"/>
        <w:contextualSpacing/>
      </w:pPr>
      <w:r w:rsidRPr="008608AA">
        <w:t xml:space="preserve">IPCC. (2001). </w:t>
      </w:r>
      <w:r w:rsidRPr="008608AA">
        <w:rPr>
          <w:i/>
        </w:rPr>
        <w:t>Climate change 2001: impacts, adaptation and vulnerability, Contribution of Working Group II to the Third Assessment Report of the Intergovernmental Panel on Climate Change</w:t>
      </w:r>
      <w:r w:rsidRPr="008608AA">
        <w:t>. (D. J. D. and K. S. W. J. McCarthy, O. F. Canziani, N. A. Leary, Ed.). Cambridge, UK and New York, USA: Cambridge University Press.</w:t>
      </w:r>
    </w:p>
    <w:p w14:paraId="1F063686" w14:textId="77777777" w:rsidR="00DD4E98" w:rsidRPr="008608AA" w:rsidRDefault="00DD4E98" w:rsidP="00DD4E98">
      <w:pPr>
        <w:widowControl w:val="0"/>
        <w:ind w:left="906" w:hangingChars="412" w:hanging="906"/>
        <w:contextualSpacing/>
      </w:pPr>
      <w:r w:rsidRPr="008608AA">
        <w:t xml:space="preserve">IPCC. (2007). </w:t>
      </w:r>
      <w:r w:rsidRPr="008608AA">
        <w:rPr>
          <w:i/>
        </w:rPr>
        <w:t>Climate change 2007: Impacts, adaptation and vulnerability</w:t>
      </w:r>
      <w:r w:rsidRPr="008608AA">
        <w:t xml:space="preserve">. </w:t>
      </w:r>
      <w:r w:rsidRPr="00CE0821">
        <w:rPr>
          <w:lang w:val="es-CO"/>
        </w:rPr>
        <w:t xml:space="preserve">(M. L. Parry, O. F. Canziani, J. P. Palutikof, P. J. van der Linden, &amp; C. E. Hanson, Eds.). </w:t>
      </w:r>
      <w:r w:rsidRPr="008608AA">
        <w:t>Cambridge, UK: Cambridge University Press.</w:t>
      </w:r>
    </w:p>
    <w:p w14:paraId="4C666D59" w14:textId="77777777" w:rsidR="00DD4E98" w:rsidRPr="008608AA" w:rsidRDefault="00DD4E98" w:rsidP="00DD4E98">
      <w:pPr>
        <w:widowControl w:val="0"/>
        <w:ind w:left="906" w:hangingChars="412" w:hanging="906"/>
        <w:contextualSpacing/>
      </w:pPr>
      <w:r w:rsidRPr="008608AA">
        <w:rPr>
          <w:lang w:val="pt-BR"/>
        </w:rPr>
        <w:t xml:space="preserve">Isaac, V. J., Almeida, M. C., Cruz, R. E. A., &amp; Nunes, L. G. (2015). </w:t>
      </w:r>
      <w:r w:rsidRPr="008608AA">
        <w:t xml:space="preserve">Artisanal fisheries of the Xingu River basin in Brazilian Amazon. </w:t>
      </w:r>
      <w:r w:rsidRPr="008608AA">
        <w:rPr>
          <w:i/>
        </w:rPr>
        <w:t>Brazilian Journal of Biology</w:t>
      </w:r>
      <w:r w:rsidRPr="008608AA">
        <w:t xml:space="preserve">, </w:t>
      </w:r>
      <w:r w:rsidRPr="008608AA">
        <w:rPr>
          <w:i/>
        </w:rPr>
        <w:t>75</w:t>
      </w:r>
      <w:r w:rsidRPr="008608AA">
        <w:t>(3 Suppl 1), (pp. 125–37). https://doi.org/10.1590/1519-6984.00314BM</w:t>
      </w:r>
    </w:p>
    <w:p w14:paraId="107DD1CB" w14:textId="77777777" w:rsidR="00DD4E98" w:rsidRPr="008608AA" w:rsidRDefault="00DD4E98" w:rsidP="00DD4E98">
      <w:pPr>
        <w:widowControl w:val="0"/>
        <w:ind w:left="906" w:hangingChars="412" w:hanging="906"/>
        <w:contextualSpacing/>
      </w:pPr>
      <w:r w:rsidRPr="008608AA">
        <w:t xml:space="preserve">Islam, D., &amp; Berkes, F. (2016). Indigenous peoples’ fisheries and food security: a case from northern Canada. </w:t>
      </w:r>
      <w:r w:rsidRPr="008608AA">
        <w:rPr>
          <w:i/>
        </w:rPr>
        <w:t>Food Security</w:t>
      </w:r>
      <w:r w:rsidRPr="008608AA">
        <w:t xml:space="preserve">, </w:t>
      </w:r>
      <w:r w:rsidRPr="008608AA">
        <w:rPr>
          <w:i/>
        </w:rPr>
        <w:t>8</w:t>
      </w:r>
      <w:r w:rsidRPr="008608AA">
        <w:t>(4), (pp. 815–826). https://doi.org/10.1007/s12571-016-0594-6</w:t>
      </w:r>
    </w:p>
    <w:p w14:paraId="45E5FFC9" w14:textId="77777777" w:rsidR="00DD4E98" w:rsidRPr="008608AA" w:rsidRDefault="00DD4E98" w:rsidP="00DD4E98">
      <w:pPr>
        <w:widowControl w:val="0"/>
        <w:ind w:left="906" w:hangingChars="412" w:hanging="906"/>
        <w:contextualSpacing/>
      </w:pPr>
      <w:r w:rsidRPr="008608AA">
        <w:t xml:space="preserve">Iwamura, T., Lambin, E. F., Silvius, K. M., Luzar, J. B., &amp; Fragoso, J. M. V. (2014). Agent-based modeling of hunting and subsistence agriculture on indigenous lands: Understanding interactions between social and ecological systems. </w:t>
      </w:r>
      <w:r w:rsidRPr="008608AA">
        <w:rPr>
          <w:i/>
        </w:rPr>
        <w:t>Environmental Modelling and Software</w:t>
      </w:r>
      <w:r w:rsidRPr="008608AA">
        <w:t xml:space="preserve">, </w:t>
      </w:r>
      <w:r w:rsidRPr="008608AA">
        <w:rPr>
          <w:i/>
        </w:rPr>
        <w:t>58</w:t>
      </w:r>
      <w:r w:rsidRPr="008608AA">
        <w:t>, (pp. 109–127). https://doi.org/10.1016/j.envsoft.2014.03.008</w:t>
      </w:r>
    </w:p>
    <w:p w14:paraId="23928DD9" w14:textId="77777777" w:rsidR="00DD4E98" w:rsidRPr="008608AA" w:rsidRDefault="00DD4E98" w:rsidP="00DD4E98">
      <w:pPr>
        <w:widowControl w:val="0"/>
        <w:ind w:left="906" w:hangingChars="412" w:hanging="906"/>
        <w:contextualSpacing/>
      </w:pPr>
      <w:r w:rsidRPr="008608AA">
        <w:t xml:space="preserve">Jackson, J. B. C., Donovan, M. K., Cramer, K. L., Lam, V., &amp; Lam, W. (editors). (2014). </w:t>
      </w:r>
      <w:r w:rsidRPr="008608AA">
        <w:rPr>
          <w:i/>
        </w:rPr>
        <w:t>Status and Trends of Caribbean Coral Reefs : 1970-2012</w:t>
      </w:r>
      <w:r w:rsidRPr="008608AA">
        <w:t xml:space="preserve">. </w:t>
      </w:r>
      <w:r w:rsidRPr="008608AA">
        <w:rPr>
          <w:i/>
        </w:rPr>
        <w:t>Global Coral Reef Monitoring Network, IUCN, Gland, Switzerland</w:t>
      </w:r>
      <w:r w:rsidRPr="008608AA">
        <w:t>.</w:t>
      </w:r>
    </w:p>
    <w:p w14:paraId="485890C7" w14:textId="77777777" w:rsidR="00DD4E98" w:rsidRPr="008608AA" w:rsidRDefault="00DD4E98" w:rsidP="00DD4E98">
      <w:pPr>
        <w:widowControl w:val="0"/>
        <w:ind w:left="906" w:hangingChars="412" w:hanging="906"/>
        <w:contextualSpacing/>
        <w:rPr>
          <w:lang w:val="en-GB"/>
        </w:rPr>
      </w:pPr>
      <w:r w:rsidRPr="008608AA">
        <w:t xml:space="preserve">Jackson, J. B., Kirby, M. X., Berger, W. H., Bjorndal, K. A., Botsford, L. W., Bourque, B. J., Bradbury, R. H., Cooke, R., Erlandson, J., Estes, J. A., Hughes, T. P., Kidwell, S., Lange, C. B., Lenihan, H. S., Pandolfi, J. M., Peterson, C. H., Steneck, R. S., Tegner, M. J., &amp; Warner, R. R. (2001). Historical overfishing and the recent collapse of coastal ecosystems. </w:t>
      </w:r>
      <w:r w:rsidRPr="008608AA">
        <w:rPr>
          <w:i/>
          <w:iCs/>
        </w:rPr>
        <w:t>Science (New York, N.Y.)</w:t>
      </w:r>
      <w:r w:rsidRPr="008608AA">
        <w:t xml:space="preserve">, </w:t>
      </w:r>
      <w:r w:rsidRPr="008608AA">
        <w:rPr>
          <w:i/>
          <w:iCs/>
        </w:rPr>
        <w:t>293</w:t>
      </w:r>
      <w:r w:rsidRPr="008608AA">
        <w:t>(5530), 629–637. https://doi.org/10.1126/science.1059199</w:t>
      </w:r>
    </w:p>
    <w:p w14:paraId="08B6FF0F" w14:textId="77777777" w:rsidR="00DD4E98" w:rsidRPr="008608AA" w:rsidRDefault="00DD4E98" w:rsidP="00DD4E98">
      <w:pPr>
        <w:widowControl w:val="0"/>
        <w:ind w:left="906" w:hangingChars="412" w:hanging="906"/>
        <w:contextualSpacing/>
      </w:pPr>
      <w:r w:rsidRPr="008608AA">
        <w:t xml:space="preserve">Jackson, R. B. (2005). </w:t>
      </w:r>
      <w:r w:rsidRPr="008608AA">
        <w:rPr>
          <w:i/>
        </w:rPr>
        <w:t>Trading Water for Carbon with Biological Carbon Sequestration. Science, 310(5756)</w:t>
      </w:r>
      <w:r w:rsidRPr="008608AA">
        <w:t>, (pp. 1944–1947). https://doi.org/10.1126/science.1119282</w:t>
      </w:r>
    </w:p>
    <w:p w14:paraId="6F6390FA" w14:textId="77777777" w:rsidR="00DD4E98" w:rsidRPr="008608AA" w:rsidRDefault="00DD4E98" w:rsidP="00DD4E98">
      <w:pPr>
        <w:widowControl w:val="0"/>
        <w:ind w:left="906" w:hangingChars="412" w:hanging="906"/>
        <w:contextualSpacing/>
      </w:pPr>
      <w:r w:rsidRPr="008608AA">
        <w:t xml:space="preserve">Janick, J. (2013). Development of new world crops by indigenous Americans. </w:t>
      </w:r>
      <w:r w:rsidRPr="008608AA">
        <w:rPr>
          <w:i/>
        </w:rPr>
        <w:t>HortScience</w:t>
      </w:r>
      <w:r w:rsidRPr="008608AA">
        <w:t xml:space="preserve">, </w:t>
      </w:r>
      <w:r w:rsidRPr="008608AA">
        <w:rPr>
          <w:i/>
        </w:rPr>
        <w:t>48</w:t>
      </w:r>
      <w:r w:rsidRPr="008608AA">
        <w:t>(4), 406–412.</w:t>
      </w:r>
    </w:p>
    <w:p w14:paraId="59BDBF4E" w14:textId="77777777" w:rsidR="00DD4E98" w:rsidRPr="008608AA" w:rsidRDefault="00DD4E98" w:rsidP="00DD4E98">
      <w:pPr>
        <w:widowControl w:val="0"/>
        <w:ind w:left="906" w:hangingChars="412" w:hanging="906"/>
        <w:contextualSpacing/>
      </w:pPr>
      <w:r w:rsidRPr="008608AA">
        <w:t xml:space="preserve">Jarvis, A., Lane, A., &amp; Hijmans, R. J. (2008). The effect of climate change on crop wild relatives. </w:t>
      </w:r>
      <w:r w:rsidRPr="008608AA">
        <w:rPr>
          <w:i/>
        </w:rPr>
        <w:t>Agriculture, Ecosystems and Environment</w:t>
      </w:r>
      <w:r w:rsidRPr="008608AA">
        <w:t xml:space="preserve">, </w:t>
      </w:r>
      <w:r w:rsidRPr="008608AA">
        <w:rPr>
          <w:i/>
        </w:rPr>
        <w:t>126</w:t>
      </w:r>
      <w:r w:rsidRPr="008608AA">
        <w:t>(1–2), (pp. 13–23). https://doi.org/10.1016/j.agee.2008.01.013</w:t>
      </w:r>
    </w:p>
    <w:p w14:paraId="5F60F02C" w14:textId="77777777" w:rsidR="00DD4E98" w:rsidRPr="008608AA" w:rsidRDefault="00DD4E98" w:rsidP="00DD4E98">
      <w:pPr>
        <w:widowControl w:val="0"/>
        <w:ind w:left="906" w:hangingChars="412" w:hanging="906"/>
        <w:contextualSpacing/>
      </w:pPr>
      <w:r w:rsidRPr="008608AA">
        <w:t xml:space="preserve">Jenerette, G. D., Harlan, S. L., Stefanov, W. L., &amp; Martin, C. A. (2011). Ecosystem services and urban heat riskscape moderation: water, green spaces, and social inequality in Phoenix, USA. </w:t>
      </w:r>
      <w:r w:rsidRPr="008608AA">
        <w:rPr>
          <w:i/>
        </w:rPr>
        <w:t>Ecological Applications</w:t>
      </w:r>
      <w:r w:rsidRPr="008608AA">
        <w:t xml:space="preserve">, </w:t>
      </w:r>
      <w:r w:rsidRPr="008608AA">
        <w:rPr>
          <w:i/>
        </w:rPr>
        <w:t>21</w:t>
      </w:r>
      <w:r w:rsidRPr="008608AA">
        <w:t>(7), (pp. 2637–2651). https://doi.org/10.1890/10-1493.1</w:t>
      </w:r>
    </w:p>
    <w:p w14:paraId="24EAA3D9" w14:textId="77777777" w:rsidR="00DD4E98" w:rsidRPr="008608AA" w:rsidRDefault="00DD4E98" w:rsidP="00DD4E98">
      <w:pPr>
        <w:widowControl w:val="0"/>
        <w:ind w:left="906" w:hangingChars="412" w:hanging="906"/>
        <w:contextualSpacing/>
      </w:pPr>
      <w:r w:rsidRPr="008608AA">
        <w:t xml:space="preserve">Jenkins, W. A., Murray, B. C., Kramer, R. A., &amp; Faulkner, S. P. (2010). Valuing ecosystem services from wetlands restoration in the Mississippi Alluvial Valley. </w:t>
      </w:r>
      <w:r w:rsidRPr="008608AA">
        <w:rPr>
          <w:i/>
        </w:rPr>
        <w:t>Ecological Economics</w:t>
      </w:r>
      <w:r w:rsidRPr="008608AA">
        <w:t xml:space="preserve">, </w:t>
      </w:r>
      <w:r w:rsidRPr="008608AA">
        <w:rPr>
          <w:i/>
        </w:rPr>
        <w:t>69</w:t>
      </w:r>
      <w:r w:rsidRPr="008608AA">
        <w:t>(5), (pp. 1051–1061). https://doi.org/https://doi.org/10.1016/j.ecolecon.2009.11.022</w:t>
      </w:r>
    </w:p>
    <w:p w14:paraId="589C89D5" w14:textId="77777777" w:rsidR="00DD4E98" w:rsidRPr="008608AA" w:rsidRDefault="00DD4E98" w:rsidP="00DD4E98">
      <w:pPr>
        <w:widowControl w:val="0"/>
        <w:ind w:left="906" w:hangingChars="412" w:hanging="906"/>
        <w:contextualSpacing/>
      </w:pPr>
      <w:r w:rsidRPr="008608AA">
        <w:t xml:space="preserve">Johnson, P. T. J., &amp; Thieltges, D. W. (2010). Diversity, decoys and the dilution effect: how ecological communities affect disease risk. </w:t>
      </w:r>
      <w:r w:rsidRPr="008608AA">
        <w:rPr>
          <w:i/>
        </w:rPr>
        <w:t>Journal of Experimental Biology</w:t>
      </w:r>
      <w:r w:rsidRPr="008608AA">
        <w:t xml:space="preserve">, </w:t>
      </w:r>
      <w:r w:rsidRPr="008608AA">
        <w:rPr>
          <w:i/>
        </w:rPr>
        <w:t>213</w:t>
      </w:r>
      <w:r w:rsidRPr="008608AA">
        <w:t>(6), (pp. 961–970). https://doi.org/10.1242/jeb.037721</w:t>
      </w:r>
    </w:p>
    <w:p w14:paraId="08608D98" w14:textId="77777777" w:rsidR="00DD4E98" w:rsidRPr="008608AA" w:rsidRDefault="00DD4E98" w:rsidP="00DD4E98">
      <w:pPr>
        <w:widowControl w:val="0"/>
        <w:ind w:left="906" w:hangingChars="412" w:hanging="906"/>
        <w:contextualSpacing/>
      </w:pPr>
      <w:r w:rsidRPr="008608AA">
        <w:t xml:space="preserve">Joly, C., &amp; Bolzani, V. (2016). The Challenge of Including Chemodiversity, and the Potential Economic Use of New Natural Compounds and Processes, in the BIOTA/FAPESP Program. </w:t>
      </w:r>
      <w:r w:rsidRPr="008608AA">
        <w:rPr>
          <w:i/>
        </w:rPr>
        <w:t>Journal of the Brazilian Chemical Society</w:t>
      </w:r>
      <w:r w:rsidRPr="008608AA">
        <w:t>. https://doi.org/10.21577/0103-5053.20160320</w:t>
      </w:r>
    </w:p>
    <w:p w14:paraId="7B24B231" w14:textId="77777777" w:rsidR="00DD4E98" w:rsidRPr="008608AA" w:rsidRDefault="00DD4E98" w:rsidP="00DD4E98">
      <w:pPr>
        <w:widowControl w:val="0"/>
        <w:ind w:left="906" w:hangingChars="412" w:hanging="906"/>
        <w:contextualSpacing/>
      </w:pPr>
      <w:r w:rsidRPr="008608AA">
        <w:t xml:space="preserve">Jones, K. E., Patel, N. G., Levy, M. A., Storeygard, A., Balk, D., Gittleman, J. L., &amp; Daszak, P. (2008). Global trends in emerging infectious diseases. </w:t>
      </w:r>
      <w:r w:rsidRPr="008608AA">
        <w:rPr>
          <w:i/>
        </w:rPr>
        <w:t>Nature</w:t>
      </w:r>
      <w:r w:rsidRPr="008608AA">
        <w:t xml:space="preserve">, </w:t>
      </w:r>
      <w:r w:rsidRPr="008608AA">
        <w:rPr>
          <w:i/>
        </w:rPr>
        <w:t>451</w:t>
      </w:r>
      <w:r w:rsidRPr="008608AA">
        <w:t>, (pp. 990). Retrieved from http://dx.doi.org/10.1038/nature06536</w:t>
      </w:r>
    </w:p>
    <w:p w14:paraId="49D507EC" w14:textId="77777777" w:rsidR="00DD4E98" w:rsidRPr="008608AA" w:rsidRDefault="00DD4E98" w:rsidP="00DD4E98">
      <w:pPr>
        <w:widowControl w:val="0"/>
        <w:ind w:left="906" w:hangingChars="412" w:hanging="906"/>
        <w:contextualSpacing/>
      </w:pPr>
      <w:r w:rsidRPr="008608AA">
        <w:t xml:space="preserve">Jones, R. (2013). Stingless Bees: A Historical Perspective. In </w:t>
      </w:r>
      <w:r w:rsidRPr="008608AA">
        <w:rPr>
          <w:i/>
        </w:rPr>
        <w:t>Pot-Honey: A Legacy of Stingless Bees</w:t>
      </w:r>
      <w:r w:rsidRPr="008608AA">
        <w:t xml:space="preserve"> (pp. 1–654). New York: Springer Science+Business Media Dordrecht. https://doi.org/10.1007/978-1-4614-4960-7</w:t>
      </w:r>
    </w:p>
    <w:p w14:paraId="0C9DC7F9" w14:textId="77777777" w:rsidR="00DD4E98" w:rsidRPr="008608AA" w:rsidRDefault="00DD4E98" w:rsidP="00DD4E98">
      <w:pPr>
        <w:widowControl w:val="0"/>
        <w:ind w:left="906" w:hangingChars="412" w:hanging="906"/>
        <w:contextualSpacing/>
      </w:pPr>
      <w:r w:rsidRPr="008608AA">
        <w:t xml:space="preserve">Jones-Walters, L., &amp; Çil, A. (2011). Biodiversity and stakeholder participation. </w:t>
      </w:r>
      <w:r w:rsidRPr="008608AA">
        <w:rPr>
          <w:i/>
        </w:rPr>
        <w:t>Journal for Nature Conservation</w:t>
      </w:r>
      <w:r w:rsidRPr="008608AA">
        <w:t xml:space="preserve">, </w:t>
      </w:r>
      <w:r w:rsidRPr="008608AA">
        <w:rPr>
          <w:i/>
        </w:rPr>
        <w:t>19</w:t>
      </w:r>
      <w:r w:rsidRPr="008608AA">
        <w:t>(6), (pp. 327–329). https://doi.org/10.1016/j.jnc.2011.09.001</w:t>
      </w:r>
    </w:p>
    <w:p w14:paraId="1C0D49C4" w14:textId="77777777" w:rsidR="00DD4E98" w:rsidRPr="008608AA" w:rsidRDefault="00DD4E98" w:rsidP="00DD4E98">
      <w:pPr>
        <w:widowControl w:val="0"/>
        <w:ind w:left="906" w:hangingChars="412" w:hanging="906"/>
        <w:contextualSpacing/>
      </w:pPr>
      <w:r w:rsidRPr="008608AA">
        <w:t xml:space="preserve">Joppa, L. N., Loarie, S. R., &amp; Pimm, S. L. (2008). On the protection of “protected areas”. </w:t>
      </w:r>
      <w:r w:rsidRPr="008608AA">
        <w:rPr>
          <w:i/>
        </w:rPr>
        <w:t>Proceedings of the National Academy of Sciences</w:t>
      </w:r>
      <w:r w:rsidRPr="008608AA">
        <w:t xml:space="preserve">, </w:t>
      </w:r>
      <w:r w:rsidRPr="008608AA">
        <w:rPr>
          <w:i/>
        </w:rPr>
        <w:t>105</w:t>
      </w:r>
      <w:r w:rsidRPr="008608AA">
        <w:t>(18), 6673–8. https://doi.org/10.1073/pnas.0802471105</w:t>
      </w:r>
    </w:p>
    <w:p w14:paraId="44D3A16B" w14:textId="77777777" w:rsidR="00DD4E98" w:rsidRPr="008608AA" w:rsidRDefault="00DD4E98" w:rsidP="00DD4E98">
      <w:pPr>
        <w:widowControl w:val="0"/>
        <w:ind w:left="906" w:hangingChars="412" w:hanging="906"/>
        <w:contextualSpacing/>
      </w:pPr>
      <w:r w:rsidRPr="008608AA">
        <w:t xml:space="preserve">Jorgenson, J. P. (1993). </w:t>
      </w:r>
      <w:r w:rsidRPr="008608AA">
        <w:rPr>
          <w:i/>
        </w:rPr>
        <w:t>Gardens, wildlife densities, and subsistence hunting by maya indians in Quintana Roo, Mexico.</w:t>
      </w:r>
      <w:r w:rsidRPr="008608AA">
        <w:t xml:space="preserve"> Gainesville: University of Florida.</w:t>
      </w:r>
    </w:p>
    <w:p w14:paraId="05E46F13" w14:textId="77777777" w:rsidR="00DD4E98" w:rsidRPr="008608AA" w:rsidRDefault="00DD4E98" w:rsidP="00DD4E98">
      <w:pPr>
        <w:widowControl w:val="0"/>
        <w:ind w:left="906" w:hangingChars="412" w:hanging="906"/>
        <w:contextualSpacing/>
      </w:pPr>
      <w:r w:rsidRPr="008608AA">
        <w:t xml:space="preserve">Kaimowitz, D., Fauné, A., &amp; Mendoza, R. (2003). Your biosphere is my backyard: The story of BOSAWAS in Nicaragua. </w:t>
      </w:r>
      <w:r w:rsidRPr="008608AA">
        <w:rPr>
          <w:i/>
        </w:rPr>
        <w:t>Policy Matters</w:t>
      </w:r>
      <w:r w:rsidRPr="008608AA">
        <w:t>, (pp. 6–15).</w:t>
      </w:r>
    </w:p>
    <w:p w14:paraId="2785E047" w14:textId="77777777" w:rsidR="00DD4E98" w:rsidRPr="008608AA" w:rsidRDefault="00DD4E98" w:rsidP="00DD4E98">
      <w:pPr>
        <w:widowControl w:val="0"/>
        <w:ind w:left="906" w:hangingChars="412" w:hanging="906"/>
        <w:contextualSpacing/>
      </w:pPr>
      <w:r w:rsidRPr="008608AA">
        <w:t xml:space="preserve">Kalin-Arroyo, M. T., Dirzo, R., Joly, C. A., Castilla, J. C., &amp; Rodrigues, F. C. (2009). </w:t>
      </w:r>
      <w:r w:rsidRPr="008608AA">
        <w:rPr>
          <w:i/>
        </w:rPr>
        <w:t>Biodiversity knowledge, scope of research and priority areas: an assessment of Latin America and the Caribbean</w:t>
      </w:r>
      <w:r w:rsidRPr="008608AA">
        <w:t>. Rio de Janeiro, Brazil: ICSU-LAC.</w:t>
      </w:r>
    </w:p>
    <w:p w14:paraId="55F9DC5B" w14:textId="77777777" w:rsidR="00DD4E98" w:rsidRPr="008608AA" w:rsidRDefault="00DD4E98" w:rsidP="00DD4E98">
      <w:pPr>
        <w:widowControl w:val="0"/>
        <w:ind w:left="906" w:hangingChars="412" w:hanging="906"/>
        <w:contextualSpacing/>
      </w:pPr>
      <w:r w:rsidRPr="008608AA">
        <w:t xml:space="preserve">Kaplan, R. (2001). </w:t>
      </w:r>
      <w:r w:rsidRPr="008608AA">
        <w:rPr>
          <w:i/>
        </w:rPr>
        <w:t>The Nature of the View from Home: Psychological Benefits. Environment and Behavior, 33(4</w:t>
      </w:r>
      <w:r w:rsidRPr="008608AA">
        <w:t>), (pp. 507–542). https://doi.org/10.1177/00139160121973115</w:t>
      </w:r>
    </w:p>
    <w:p w14:paraId="6D8783B8" w14:textId="77777777" w:rsidR="00DD4E98" w:rsidRPr="008608AA" w:rsidRDefault="00DD4E98" w:rsidP="00DD4E98">
      <w:pPr>
        <w:widowControl w:val="0"/>
        <w:ind w:left="906" w:hangingChars="412" w:hanging="906"/>
        <w:contextualSpacing/>
        <w:rPr>
          <w:lang w:val="en-GB"/>
        </w:rPr>
      </w:pPr>
      <w:r w:rsidRPr="008608AA">
        <w:t xml:space="preserve">Kapos, V., Balmford, A., Aveling, R., Bubb, P., Carey, P., Entwistle, A., Hopkins, J., Mulliken, T., Safford, R., Stattersfield, A., Walpole, M., &amp; Manica, A. (2008). Calibrating conservation: new tools for measuring success. </w:t>
      </w:r>
      <w:r w:rsidRPr="008608AA">
        <w:rPr>
          <w:i/>
          <w:iCs/>
        </w:rPr>
        <w:t>Conservation Letters</w:t>
      </w:r>
      <w:r w:rsidRPr="008608AA">
        <w:t xml:space="preserve">, </w:t>
      </w:r>
      <w:r w:rsidRPr="008608AA">
        <w:rPr>
          <w:i/>
          <w:iCs/>
        </w:rPr>
        <w:t>1</w:t>
      </w:r>
      <w:r w:rsidRPr="008608AA">
        <w:t>(4), 155–164. https://doi.org/10.1111/j.1755-263X.2008.00025.x</w:t>
      </w:r>
    </w:p>
    <w:p w14:paraId="02D522EF" w14:textId="77777777" w:rsidR="00DD4E98" w:rsidRPr="008608AA" w:rsidRDefault="00DD4E98" w:rsidP="00DD4E98">
      <w:pPr>
        <w:widowControl w:val="0"/>
        <w:ind w:left="906" w:hangingChars="412" w:hanging="906"/>
        <w:contextualSpacing/>
      </w:pPr>
      <w:r w:rsidRPr="008608AA">
        <w:t xml:space="preserve">Karlen, D., &amp; Rice, C. (2015). Soil Degradation: Will Humankind Ever Learn? </w:t>
      </w:r>
      <w:r w:rsidRPr="008608AA">
        <w:rPr>
          <w:i/>
        </w:rPr>
        <w:t>Sustainability</w:t>
      </w:r>
      <w:r w:rsidRPr="008608AA">
        <w:t xml:space="preserve">, </w:t>
      </w:r>
      <w:r w:rsidRPr="008608AA">
        <w:rPr>
          <w:i/>
        </w:rPr>
        <w:t>7</w:t>
      </w:r>
      <w:r w:rsidRPr="008608AA">
        <w:t>(9), (pp. 12490–12501). https://doi.org/10.3390/su70912490</w:t>
      </w:r>
    </w:p>
    <w:p w14:paraId="45A9CC51"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Kay, K. M., Reeves, P. A., Olmstead, R. G., &amp; Schemske, D. W. (2005). Rapid speciation and the evolution of hummingbird pollination in neotropical Costus subgenus Costus (Costaceae): evidence from nrDNA ITS and ETS sequences. </w:t>
      </w:r>
      <w:r w:rsidRPr="008608AA">
        <w:rPr>
          <w:i/>
          <w:iCs/>
          <w:noProof/>
        </w:rPr>
        <w:t>American Journal of Botany</w:t>
      </w:r>
      <w:r w:rsidRPr="008608AA">
        <w:rPr>
          <w:noProof/>
        </w:rPr>
        <w:t xml:space="preserve">, </w:t>
      </w:r>
      <w:r w:rsidRPr="008608AA">
        <w:rPr>
          <w:i/>
          <w:iCs/>
          <w:noProof/>
        </w:rPr>
        <w:t>92</w:t>
      </w:r>
      <w:r w:rsidRPr="008608AA">
        <w:rPr>
          <w:noProof/>
        </w:rPr>
        <w:t>(11), 1899–1910. https://doi.org/10.3732/ajb.92.11.1899</w:t>
      </w:r>
    </w:p>
    <w:p w14:paraId="1E1020B0" w14:textId="77777777" w:rsidR="00DD4E98" w:rsidRPr="008608AA" w:rsidRDefault="00DD4E98" w:rsidP="00DD4E98">
      <w:pPr>
        <w:widowControl w:val="0"/>
        <w:ind w:left="906" w:hangingChars="412" w:hanging="906"/>
        <w:contextualSpacing/>
      </w:pPr>
      <w:r w:rsidRPr="008608AA">
        <w:t xml:space="preserve">Kearney, J. (2010). </w:t>
      </w:r>
      <w:r w:rsidRPr="008608AA">
        <w:rPr>
          <w:i/>
        </w:rPr>
        <w:t>Food consumption trends and drivers</w:t>
      </w:r>
      <w:r w:rsidRPr="008608AA">
        <w:t xml:space="preserve">. </w:t>
      </w:r>
      <w:r w:rsidRPr="008608AA">
        <w:rPr>
          <w:i/>
        </w:rPr>
        <w:t>Philosophical Transactions of the Royal Society B: Biological Sciences</w:t>
      </w:r>
      <w:r w:rsidRPr="008608AA">
        <w:t xml:space="preserve">, </w:t>
      </w:r>
      <w:r w:rsidRPr="008608AA">
        <w:rPr>
          <w:i/>
        </w:rPr>
        <w:t>365</w:t>
      </w:r>
      <w:r w:rsidRPr="008608AA">
        <w:t>(1554), (pp. 2793–2807). https://doi.org/10.1098/rstb.2010.0149</w:t>
      </w:r>
    </w:p>
    <w:p w14:paraId="6BC2C193" w14:textId="77777777" w:rsidR="00DD4E98" w:rsidRPr="008608AA" w:rsidRDefault="00DD4E98" w:rsidP="00DD4E98">
      <w:pPr>
        <w:widowControl w:val="0"/>
        <w:ind w:left="906" w:hangingChars="412" w:hanging="906"/>
        <w:contextualSpacing/>
      </w:pPr>
      <w:r w:rsidRPr="008608AA">
        <w:t xml:space="preserve">Keen, M., Brown, V. A., &amp; Dyball, R. (2005). </w:t>
      </w:r>
      <w:r w:rsidRPr="008608AA">
        <w:rPr>
          <w:i/>
        </w:rPr>
        <w:t>Social learning in environmental management : towards a sustainable future</w:t>
      </w:r>
      <w:r w:rsidRPr="008608AA">
        <w:t>. Sterling, Va: Earthscan.</w:t>
      </w:r>
    </w:p>
    <w:p w14:paraId="298902BD" w14:textId="77777777" w:rsidR="00DD4E98" w:rsidRPr="008608AA" w:rsidRDefault="00DD4E98" w:rsidP="00DD4E98">
      <w:pPr>
        <w:widowControl w:val="0"/>
        <w:ind w:left="906" w:hangingChars="412" w:hanging="906"/>
        <w:contextualSpacing/>
      </w:pPr>
      <w:r w:rsidRPr="008608AA">
        <w:t xml:space="preserve">Keniger, L. E., Gaston, K. J., Irvine, K. N., &amp; Fuller, R. A. (2013). What are the benefits of interacting with nature? </w:t>
      </w:r>
      <w:r w:rsidRPr="008608AA">
        <w:rPr>
          <w:i/>
        </w:rPr>
        <w:t>International Journal of Environmental Research and Public Health</w:t>
      </w:r>
      <w:r w:rsidRPr="008608AA">
        <w:t xml:space="preserve">, </w:t>
      </w:r>
      <w:r w:rsidRPr="008608AA">
        <w:rPr>
          <w:i/>
        </w:rPr>
        <w:t>10</w:t>
      </w:r>
      <w:r w:rsidRPr="008608AA">
        <w:t>(3), (pp. 913–935). https://doi.org/10.3390/ijerph10030913</w:t>
      </w:r>
    </w:p>
    <w:p w14:paraId="083ADA84" w14:textId="77777777" w:rsidR="00DD4E98" w:rsidRPr="008608AA" w:rsidRDefault="00DD4E98" w:rsidP="00DD4E98">
      <w:pPr>
        <w:widowControl w:val="0"/>
        <w:ind w:left="906" w:hangingChars="412" w:hanging="906"/>
        <w:contextualSpacing/>
      </w:pPr>
      <w:r w:rsidRPr="008608AA">
        <w:t xml:space="preserve">Kenny, J. F., Barber, N. L., Hutson, S. S., Linsey, K. S., Lovelace, J. K., &amp; Maupin, M. A. (2009). </w:t>
      </w:r>
      <w:r w:rsidRPr="008608AA">
        <w:rPr>
          <w:i/>
        </w:rPr>
        <w:t>Estimated use of water in the United States in 2005: U.S. Geological Survey Circular 1344</w:t>
      </w:r>
      <w:r w:rsidRPr="008608AA">
        <w:t>. Reston, VA: U.S. Geological Survey.</w:t>
      </w:r>
    </w:p>
    <w:p w14:paraId="54DDA2DD" w14:textId="77777777" w:rsidR="00DD4E98" w:rsidRPr="008608AA" w:rsidRDefault="00DD4E98" w:rsidP="00DD4E98">
      <w:pPr>
        <w:widowControl w:val="0"/>
        <w:ind w:left="906" w:hangingChars="412" w:hanging="906"/>
        <w:contextualSpacing/>
      </w:pPr>
      <w:r w:rsidRPr="008608AA">
        <w:t xml:space="preserve">Kessler, M. (2001). </w:t>
      </w:r>
      <w:r w:rsidRPr="008608AA">
        <w:rPr>
          <w:i/>
        </w:rPr>
        <w:t>Patterns of diversity and range size of selected plant groups along an elevational transect in the Bolivian Andes.</w:t>
      </w:r>
      <w:r w:rsidRPr="008608AA">
        <w:t xml:space="preserve"> </w:t>
      </w:r>
      <w:r w:rsidRPr="008608AA">
        <w:rPr>
          <w:i/>
        </w:rPr>
        <w:t>Biodiversity &amp; Conservation</w:t>
      </w:r>
      <w:r w:rsidRPr="008608AA">
        <w:t xml:space="preserve">, </w:t>
      </w:r>
      <w:r w:rsidRPr="008608AA">
        <w:rPr>
          <w:i/>
        </w:rPr>
        <w:t>10</w:t>
      </w:r>
      <w:r w:rsidRPr="008608AA">
        <w:t>(11), (pp. 1897–1921). https://doi.org/10.1023/A:1013130902993</w:t>
      </w:r>
    </w:p>
    <w:p w14:paraId="55BDD8DE" w14:textId="77777777" w:rsidR="00DD4E98" w:rsidRPr="008608AA" w:rsidRDefault="00DD4E98" w:rsidP="00DD4E98">
      <w:pPr>
        <w:widowControl w:val="0"/>
        <w:ind w:left="906" w:hangingChars="412" w:hanging="906"/>
        <w:contextualSpacing/>
        <w:rPr>
          <w:lang w:val="en-GB"/>
        </w:rPr>
      </w:pPr>
      <w:r w:rsidRPr="008608AA">
        <w:t xml:space="preserve">Khan, I., Yang, Z., Maldonado, E., Li, C., Zhang, G., Gilbert, M. T. P., Jarvis, E. D., O’Brien, S. J., Johnson, W. E., &amp; Antunes, A. (2015). Olfactory Receptor Subgenomes Linked with Broad Ecological Adaptations in Sauropsida. </w:t>
      </w:r>
      <w:r w:rsidRPr="008608AA">
        <w:rPr>
          <w:i/>
          <w:iCs/>
        </w:rPr>
        <w:t>Molecular Biology and Evolution</w:t>
      </w:r>
      <w:r w:rsidRPr="008608AA">
        <w:t xml:space="preserve">, </w:t>
      </w:r>
      <w:r w:rsidRPr="008608AA">
        <w:rPr>
          <w:i/>
          <w:iCs/>
        </w:rPr>
        <w:t>32</w:t>
      </w:r>
      <w:r w:rsidRPr="008608AA">
        <w:t>(11), 2832–2843. https://doi.org/10.1093/molbev/msv155</w:t>
      </w:r>
    </w:p>
    <w:p w14:paraId="6F359BA8" w14:textId="77777777" w:rsidR="00DD4E98" w:rsidRPr="008608AA" w:rsidRDefault="00DD4E98" w:rsidP="00DD4E98">
      <w:pPr>
        <w:widowControl w:val="0"/>
        <w:ind w:left="906" w:hangingChars="412" w:hanging="906"/>
        <w:contextualSpacing/>
      </w:pPr>
      <w:r w:rsidRPr="008608AA">
        <w:t xml:space="preserve">Khan, S., Ahmad, I., Shah, M. T., Rehman, S., &amp; Khaliq, A. (2009). Use of constructed wetland for the removal of heavy metals from industrial wastewater. </w:t>
      </w:r>
      <w:r w:rsidRPr="008608AA">
        <w:rPr>
          <w:i/>
        </w:rPr>
        <w:t>Journal of Environmental Management</w:t>
      </w:r>
      <w:r w:rsidRPr="008608AA">
        <w:t xml:space="preserve">, </w:t>
      </w:r>
      <w:r w:rsidRPr="008608AA">
        <w:rPr>
          <w:i/>
        </w:rPr>
        <w:t>90</w:t>
      </w:r>
      <w:r w:rsidRPr="008608AA">
        <w:t>(11), (pp. 3451–3457). https://doi.org/10.1016/j.jenvman.2009.05.026</w:t>
      </w:r>
    </w:p>
    <w:p w14:paraId="76A16228" w14:textId="77777777" w:rsidR="00DD4E98" w:rsidRPr="008608AA" w:rsidRDefault="00DD4E98" w:rsidP="00DD4E98">
      <w:pPr>
        <w:widowControl w:val="0"/>
        <w:ind w:left="906" w:hangingChars="412" w:hanging="906"/>
        <w:contextualSpacing/>
      </w:pPr>
      <w:r w:rsidRPr="008608AA">
        <w:t xml:space="preserve">Kim, C., Scott, D., Thigpen, J., &amp; Kim, S.-S. (1998). Economic Impact of a Birding Festival. </w:t>
      </w:r>
      <w:r w:rsidRPr="008608AA">
        <w:rPr>
          <w:i/>
        </w:rPr>
        <w:t>Festival Management &amp; Event Tourism</w:t>
      </w:r>
      <w:r w:rsidRPr="008608AA">
        <w:t xml:space="preserve">, </w:t>
      </w:r>
      <w:r w:rsidRPr="008608AA">
        <w:rPr>
          <w:i/>
        </w:rPr>
        <w:t>5</w:t>
      </w:r>
      <w:r w:rsidRPr="008608AA">
        <w:t>(July), (pp. 51–58). https://doi.org/10.3727/106527098792186702</w:t>
      </w:r>
    </w:p>
    <w:p w14:paraId="283F888D" w14:textId="77777777" w:rsidR="00DD4E98" w:rsidRPr="008608AA" w:rsidRDefault="00DD4E98" w:rsidP="00DD4E98">
      <w:pPr>
        <w:widowControl w:val="0"/>
        <w:ind w:left="906" w:hangingChars="412" w:hanging="906"/>
        <w:contextualSpacing/>
      </w:pPr>
      <w:r w:rsidRPr="008608AA">
        <w:t xml:space="preserve">Kim, J. H., Lee, C., &amp; Sohn, W. (2016). Urban natural environments, obesity, and health-related quality of life among hispanic children living in Inner-City neighborhoods. </w:t>
      </w:r>
      <w:r w:rsidRPr="008608AA">
        <w:rPr>
          <w:i/>
        </w:rPr>
        <w:t>International Journal of Environmental Research and Public Health</w:t>
      </w:r>
      <w:r w:rsidRPr="008608AA">
        <w:t xml:space="preserve">, </w:t>
      </w:r>
      <w:r w:rsidRPr="008608AA">
        <w:rPr>
          <w:i/>
        </w:rPr>
        <w:t>13</w:t>
      </w:r>
      <w:r w:rsidRPr="008608AA">
        <w:t>(1). https://doi.org/10.3390/ijerph13010121</w:t>
      </w:r>
    </w:p>
    <w:p w14:paraId="286651FB" w14:textId="77777777" w:rsidR="00DD4E98" w:rsidRPr="008608AA" w:rsidRDefault="00DD4E98" w:rsidP="00DD4E98">
      <w:pPr>
        <w:widowControl w:val="0"/>
        <w:ind w:left="906" w:hangingChars="412" w:hanging="906"/>
        <w:contextualSpacing/>
      </w:pPr>
      <w:r w:rsidRPr="008608AA">
        <w:t xml:space="preserve">Kirmayer, L. J., Brass, G. M., &amp; Tait, C. L. (2000). The Mental Health of Aboriginal Peoples: Transformations of Identity and Community. </w:t>
      </w:r>
      <w:r w:rsidRPr="008608AA">
        <w:rPr>
          <w:i/>
        </w:rPr>
        <w:t>The Canadian Journal of Psychiatry</w:t>
      </w:r>
      <w:r w:rsidRPr="008608AA">
        <w:t xml:space="preserve">, </w:t>
      </w:r>
      <w:r w:rsidRPr="008608AA">
        <w:rPr>
          <w:i/>
        </w:rPr>
        <w:t>45</w:t>
      </w:r>
      <w:r w:rsidRPr="008608AA">
        <w:t>(7), (pp. 607–616). https://doi.org/10.1177/070674370004500702</w:t>
      </w:r>
    </w:p>
    <w:p w14:paraId="7863CBF8" w14:textId="77777777" w:rsidR="00DD4E98" w:rsidRPr="008608AA" w:rsidRDefault="00DD4E98" w:rsidP="00DD4E98">
      <w:pPr>
        <w:widowControl w:val="0"/>
        <w:ind w:left="906" w:hangingChars="412" w:hanging="906"/>
        <w:contextualSpacing/>
      </w:pPr>
      <w:r w:rsidRPr="008608AA">
        <w:t xml:space="preserve">Klain, S. C., &amp; Chan, K. M. A. (2012). Navigating coastal values: Participatory mapping of ecosystem services for spatial planning. </w:t>
      </w:r>
      <w:r w:rsidRPr="008608AA">
        <w:rPr>
          <w:i/>
        </w:rPr>
        <w:t>Ecological Economics</w:t>
      </w:r>
      <w:r w:rsidRPr="008608AA">
        <w:t xml:space="preserve">, </w:t>
      </w:r>
      <w:r w:rsidRPr="008608AA">
        <w:rPr>
          <w:i/>
        </w:rPr>
        <w:t>82</w:t>
      </w:r>
      <w:r w:rsidRPr="008608AA">
        <w:t>, (pp. 104–113). https://doi.org/10.1016/j.ecolecon.2012.07.008</w:t>
      </w:r>
    </w:p>
    <w:p w14:paraId="2794D55E" w14:textId="77777777" w:rsidR="00DD4E98" w:rsidRPr="008608AA" w:rsidRDefault="00DD4E98" w:rsidP="00DD4E98">
      <w:pPr>
        <w:widowControl w:val="0"/>
        <w:ind w:left="906" w:hangingChars="412" w:hanging="906"/>
        <w:contextualSpacing/>
      </w:pPr>
      <w:r w:rsidRPr="008608AA">
        <w:t xml:space="preserve">Kleypas, J. A., Feely, R. A., Fabry, V. J., Langdon, C., Sabine, C. L., &amp; Robbins, L. L. (2006). </w:t>
      </w:r>
      <w:r w:rsidRPr="008608AA">
        <w:rPr>
          <w:i/>
        </w:rPr>
        <w:t>Impacts of Ocean Acidification on Coral Reefs and Other Marine Calcifiers: A Guide for Future Research</w:t>
      </w:r>
      <w:r w:rsidRPr="008608AA">
        <w:t xml:space="preserve">. </w:t>
      </w:r>
      <w:r w:rsidRPr="008608AA">
        <w:rPr>
          <w:i/>
        </w:rPr>
        <w:t>A report of a workshop held 18–20 April 2005, St. Petersburg, FL, sponsored by NSF, NOAA, and the U.S. Geological Survey</w:t>
      </w:r>
      <w:r w:rsidRPr="008608AA">
        <w:t>. https://doi.org/www.ucar.edu/communications/Final_acidification.pdf</w:t>
      </w:r>
    </w:p>
    <w:p w14:paraId="13CA3CC3" w14:textId="77777777" w:rsidR="00DD4E98" w:rsidRPr="008608AA" w:rsidRDefault="00DD4E98" w:rsidP="00DD4E98">
      <w:pPr>
        <w:widowControl w:val="0"/>
        <w:ind w:left="906" w:hangingChars="412" w:hanging="906"/>
        <w:contextualSpacing/>
      </w:pPr>
      <w:r w:rsidRPr="008608AA">
        <w:t xml:space="preserve">Koizumi, T. (2014). </w:t>
      </w:r>
      <w:r w:rsidRPr="008608AA">
        <w:rPr>
          <w:i/>
        </w:rPr>
        <w:t>Biofuels and Food Security</w:t>
      </w:r>
      <w:r w:rsidRPr="008608AA">
        <w:t xml:space="preserve">. </w:t>
      </w:r>
      <w:r w:rsidRPr="008608AA">
        <w:rPr>
          <w:i/>
        </w:rPr>
        <w:t>Cham: Springer International Publishing</w:t>
      </w:r>
      <w:r w:rsidRPr="008608AA">
        <w:t>. https://doi.org/10.1007/978-3-319-05645-6</w:t>
      </w:r>
    </w:p>
    <w:p w14:paraId="5089AE80" w14:textId="77777777" w:rsidR="00DD4E98" w:rsidRPr="008608AA" w:rsidRDefault="00DD4E98" w:rsidP="00DD4E98">
      <w:pPr>
        <w:widowControl w:val="0"/>
        <w:ind w:left="906" w:hangingChars="412" w:hanging="906"/>
        <w:contextualSpacing/>
        <w:rPr>
          <w:lang w:val="en-GB"/>
        </w:rPr>
      </w:pPr>
      <w:r w:rsidRPr="008608AA">
        <w:t xml:space="preserve">Kollmann, J., Meyer, S. T., Bateman, R., Conradi, T., Gossner, M. M., de Souza Mendonça, M., Fernandes, G. W., Hermann, J.-M., Koch, C., Müller, S. C., Oki, Y., Overbeck, G. E., Paterno, G. B., Rosenfield, M. F., Toma, T. S. P., &amp; Weisser, W. W. (2016). Integrating ecosystem functions into restoration ecology-recent advances and future directions. </w:t>
      </w:r>
      <w:r w:rsidRPr="008608AA">
        <w:rPr>
          <w:i/>
          <w:iCs/>
        </w:rPr>
        <w:t>Restoration Ecology</w:t>
      </w:r>
      <w:r w:rsidRPr="008608AA">
        <w:t xml:space="preserve">, </w:t>
      </w:r>
      <w:r w:rsidRPr="008608AA">
        <w:rPr>
          <w:i/>
          <w:iCs/>
        </w:rPr>
        <w:t>24</w:t>
      </w:r>
      <w:r w:rsidRPr="008608AA">
        <w:t>(6), 722–730. https://doi.org/10.1111/rec.12422</w:t>
      </w:r>
    </w:p>
    <w:p w14:paraId="4CF83E0A" w14:textId="77777777" w:rsidR="00DD4E98" w:rsidRPr="008608AA" w:rsidRDefault="00DD4E98" w:rsidP="00DD4E98">
      <w:pPr>
        <w:widowControl w:val="0"/>
        <w:ind w:left="906" w:hangingChars="412" w:hanging="906"/>
        <w:contextualSpacing/>
      </w:pPr>
      <w:r w:rsidRPr="008608AA">
        <w:t xml:space="preserve">Konikow, L. F. (2013). </w:t>
      </w:r>
      <w:r w:rsidRPr="008608AA">
        <w:rPr>
          <w:i/>
        </w:rPr>
        <w:t>Groundwater Depletion in the United States (1900–2008). Scientific Investigations Report 2013–5079</w:t>
      </w:r>
      <w:r w:rsidRPr="008608AA">
        <w:t>. Reston, Virginia.</w:t>
      </w:r>
    </w:p>
    <w:p w14:paraId="6A70E1CB" w14:textId="77777777" w:rsidR="00DD4E98" w:rsidRPr="008608AA" w:rsidRDefault="00DD4E98" w:rsidP="00DD4E98">
      <w:pPr>
        <w:widowControl w:val="0"/>
        <w:ind w:left="906" w:hangingChars="412" w:hanging="906"/>
        <w:contextualSpacing/>
      </w:pPr>
      <w:r w:rsidRPr="008608AA">
        <w:t xml:space="preserve">Krapovickas, A. (2010). </w:t>
      </w:r>
      <w:r w:rsidRPr="008608AA">
        <w:rPr>
          <w:i/>
        </w:rPr>
        <w:t>The domestication and origin of agriculture</w:t>
      </w:r>
      <w:r w:rsidRPr="008608AA">
        <w:t xml:space="preserve">. </w:t>
      </w:r>
      <w:r w:rsidRPr="008608AA">
        <w:rPr>
          <w:i/>
        </w:rPr>
        <w:t>Bonplandia</w:t>
      </w:r>
      <w:r w:rsidRPr="008608AA">
        <w:t xml:space="preserve">, </w:t>
      </w:r>
      <w:r w:rsidRPr="008608AA">
        <w:rPr>
          <w:i/>
        </w:rPr>
        <w:t>19</w:t>
      </w:r>
      <w:r w:rsidRPr="008608AA">
        <w:t>(2), (pp. 193–199).</w:t>
      </w:r>
    </w:p>
    <w:p w14:paraId="079312A0" w14:textId="77777777" w:rsidR="00DD4E98" w:rsidRPr="008608AA" w:rsidRDefault="00DD4E98" w:rsidP="00DD4E98">
      <w:pPr>
        <w:widowControl w:val="0"/>
        <w:ind w:left="906" w:hangingChars="412" w:hanging="906"/>
        <w:contextualSpacing/>
        <w:rPr>
          <w:lang w:val="es-CO"/>
        </w:rPr>
      </w:pPr>
      <w:r w:rsidRPr="008608AA">
        <w:t xml:space="preserve">Krömer, T., Kessler, M., &amp; Herzog, S. K. (2006). Distribution and Flowering Ecology of Bromeliads along Two Climatically Contrasting Elevational Transects in the Bolivian Andes1. </w:t>
      </w:r>
      <w:r w:rsidRPr="008608AA">
        <w:rPr>
          <w:i/>
          <w:lang w:val="es-CO"/>
        </w:rPr>
        <w:t>Biotropica</w:t>
      </w:r>
      <w:r w:rsidRPr="008608AA">
        <w:rPr>
          <w:lang w:val="es-CO"/>
        </w:rPr>
        <w:t xml:space="preserve">, </w:t>
      </w:r>
      <w:r w:rsidRPr="008608AA">
        <w:rPr>
          <w:i/>
          <w:lang w:val="es-CO"/>
        </w:rPr>
        <w:t>38</w:t>
      </w:r>
      <w:r w:rsidRPr="008608AA">
        <w:rPr>
          <w:lang w:val="es-CO"/>
        </w:rPr>
        <w:t>(2), (pp. 183–195). https://doi.org/10.1111/j.1744-7429.2006.00124.x</w:t>
      </w:r>
    </w:p>
    <w:p w14:paraId="303E2A7D" w14:textId="77777777" w:rsidR="00DD4E98" w:rsidRPr="008608AA" w:rsidRDefault="00DD4E98" w:rsidP="00DD4E98">
      <w:pPr>
        <w:widowControl w:val="0"/>
        <w:ind w:left="906" w:hangingChars="412" w:hanging="906"/>
        <w:contextualSpacing/>
      </w:pPr>
      <w:r w:rsidRPr="008608AA">
        <w:rPr>
          <w:lang w:val="es-CO"/>
        </w:rPr>
        <w:t xml:space="preserve">Kubiszewski, I., Costanza, R., Anderson, S., &amp; Sutton, P. (2017). </w:t>
      </w:r>
      <w:r w:rsidRPr="008608AA">
        <w:t xml:space="preserve">The future value of ecosystem services: Global scenarios and national implications. </w:t>
      </w:r>
      <w:r w:rsidRPr="008608AA">
        <w:rPr>
          <w:i/>
        </w:rPr>
        <w:t>Ecosystem Services</w:t>
      </w:r>
      <w:r w:rsidRPr="008608AA">
        <w:t xml:space="preserve">, </w:t>
      </w:r>
      <w:r w:rsidRPr="008608AA">
        <w:rPr>
          <w:i/>
        </w:rPr>
        <w:t>26</w:t>
      </w:r>
      <w:r w:rsidRPr="008608AA">
        <w:t>, (pp. 289–301). https://doi.org/10.1016/j.ecoser.2017.05.004</w:t>
      </w:r>
    </w:p>
    <w:p w14:paraId="5BF0D73F" w14:textId="77777777" w:rsidR="00DD4E98" w:rsidRPr="008608AA" w:rsidRDefault="00DD4E98" w:rsidP="00DD4E98">
      <w:pPr>
        <w:widowControl w:val="0"/>
        <w:ind w:left="906" w:hangingChars="412" w:hanging="906"/>
        <w:contextualSpacing/>
      </w:pPr>
      <w:r w:rsidRPr="008608AA">
        <w:t xml:space="preserve">Kuhnlein, H. V, &amp; Chan, H. M. (2000). Environment and contaminants in traditional food systems of northern indigenous peoples. </w:t>
      </w:r>
      <w:r w:rsidRPr="008608AA">
        <w:rPr>
          <w:i/>
        </w:rPr>
        <w:t>Annual Review of Nutrition</w:t>
      </w:r>
      <w:r w:rsidRPr="008608AA">
        <w:t xml:space="preserve">, </w:t>
      </w:r>
      <w:r w:rsidRPr="008608AA">
        <w:rPr>
          <w:i/>
        </w:rPr>
        <w:t>20</w:t>
      </w:r>
      <w:r w:rsidRPr="008608AA">
        <w:t>(1), (pp. 595–626). https://doi.org/10.1146/annurev.nutr.20.1.595</w:t>
      </w:r>
    </w:p>
    <w:p w14:paraId="417E83EC" w14:textId="77777777" w:rsidR="00DD4E98" w:rsidRPr="008608AA" w:rsidRDefault="00DD4E98" w:rsidP="00DD4E98">
      <w:pPr>
        <w:widowControl w:val="0"/>
        <w:ind w:left="906" w:hangingChars="412" w:hanging="906"/>
        <w:contextualSpacing/>
      </w:pPr>
      <w:r w:rsidRPr="00A3137A">
        <w:rPr>
          <w:lang w:val="fr-FR"/>
        </w:rPr>
        <w:t xml:space="preserve">Kuhnlein, H. V., &amp; Humphries, M. M. (2017). </w:t>
      </w:r>
      <w:r w:rsidRPr="008608AA">
        <w:t>Traditional Animal Foods of Indigenous Peoples of Northern North America. Retrieved March 3, 2017, from http://traditionalanimalfoods.org/</w:t>
      </w:r>
    </w:p>
    <w:p w14:paraId="2D97CE20" w14:textId="77777777" w:rsidR="00DD4E98" w:rsidRPr="008608AA" w:rsidRDefault="00DD4E98" w:rsidP="00DD4E98">
      <w:pPr>
        <w:widowControl w:val="0"/>
        <w:ind w:left="906" w:hangingChars="412" w:hanging="906"/>
        <w:contextualSpacing/>
        <w:rPr>
          <w:lang w:val="de-DE"/>
        </w:rPr>
      </w:pPr>
      <w:r w:rsidRPr="008608AA">
        <w:t xml:space="preserve">Kuipers, S. E. (1997). Trade in Medicinal Plants. In G. Bodeker, K. K. S. Bhat, J. Burley, &amp; P. Vantomme (Eds.), </w:t>
      </w:r>
      <w:r w:rsidRPr="008608AA">
        <w:rPr>
          <w:i/>
        </w:rPr>
        <w:t>Medicinal plants for forest conservation and health care</w:t>
      </w:r>
      <w:r w:rsidRPr="008608AA">
        <w:t xml:space="preserve"> (pp. 45–59). </w:t>
      </w:r>
      <w:r w:rsidRPr="008608AA">
        <w:rPr>
          <w:lang w:val="de-DE"/>
        </w:rPr>
        <w:t>Rome, FAO.: FAO.</w:t>
      </w:r>
    </w:p>
    <w:p w14:paraId="33CB6FDA" w14:textId="77777777" w:rsidR="00DD4E98" w:rsidRPr="008608AA" w:rsidRDefault="00DD4E98" w:rsidP="00DD4E98">
      <w:pPr>
        <w:widowControl w:val="0"/>
        <w:ind w:left="906" w:hangingChars="412" w:hanging="906"/>
        <w:contextualSpacing/>
      </w:pPr>
      <w:r w:rsidRPr="008608AA">
        <w:rPr>
          <w:lang w:val="de-DE"/>
        </w:rPr>
        <w:t xml:space="preserve">Kujawska, M., Hilgert, N. I., Keller, H. A., &amp; Gil, G. (2017). </w:t>
      </w:r>
      <w:r w:rsidRPr="008608AA">
        <w:t xml:space="preserve">Medicinal Plant Diversity and Inter-Cultural Interactions between Indigenous Guarani, Criollos and Polish Migrants in the Subtropics of Argentina. </w:t>
      </w:r>
      <w:r w:rsidRPr="008608AA">
        <w:rPr>
          <w:i/>
        </w:rPr>
        <w:t>Plos One</w:t>
      </w:r>
      <w:r w:rsidRPr="008608AA">
        <w:t xml:space="preserve">, </w:t>
      </w:r>
      <w:r w:rsidRPr="008608AA">
        <w:rPr>
          <w:i/>
        </w:rPr>
        <w:t>12</w:t>
      </w:r>
      <w:r w:rsidRPr="008608AA">
        <w:t>(1), e0169373. https://doi.org/10.1371/journal.pone.0169373</w:t>
      </w:r>
    </w:p>
    <w:p w14:paraId="1E8EC9F3" w14:textId="77777777" w:rsidR="00DD4E98" w:rsidRPr="008608AA" w:rsidRDefault="00DD4E98" w:rsidP="00DD4E98">
      <w:pPr>
        <w:widowControl w:val="0"/>
        <w:ind w:left="906" w:hangingChars="412" w:hanging="906"/>
        <w:contextualSpacing/>
      </w:pPr>
      <w:r w:rsidRPr="008608AA">
        <w:t xml:space="preserve">Kushner, B., Edwards, P., Burke, L., &amp; Cooper, E. (2011). </w:t>
      </w:r>
      <w:r w:rsidRPr="008608AA">
        <w:rPr>
          <w:i/>
        </w:rPr>
        <w:t>Coastal Capital: Jamaica. Coral Reefs, Beach Erosion and Impacts to Tourism in Jamaica.</w:t>
      </w:r>
      <w:r w:rsidRPr="008608AA">
        <w:t xml:space="preserve"> Washington, D.C. Retrieved from http://www.wri.org/coastal-capital.</w:t>
      </w:r>
    </w:p>
    <w:p w14:paraId="66E63B41" w14:textId="77777777" w:rsidR="00DD4E98" w:rsidRPr="008608AA" w:rsidRDefault="00DD4E98" w:rsidP="00DD4E98">
      <w:pPr>
        <w:widowControl w:val="0"/>
        <w:ind w:left="906" w:hangingChars="412" w:hanging="906"/>
        <w:contextualSpacing/>
      </w:pPr>
      <w:r w:rsidRPr="008608AA">
        <w:rPr>
          <w:lang w:val="es-CO"/>
        </w:rPr>
        <w:t xml:space="preserve">Labate, B. C. (2004). </w:t>
      </w:r>
      <w:r w:rsidRPr="008608AA">
        <w:rPr>
          <w:i/>
          <w:lang w:val="es-CO"/>
        </w:rPr>
        <w:t>A reinvenção do uso da ayahuasca nos centros urbanos</w:t>
      </w:r>
      <w:r w:rsidRPr="008608AA">
        <w:rPr>
          <w:lang w:val="es-CO"/>
        </w:rPr>
        <w:t xml:space="preserve">. </w:t>
      </w:r>
      <w:r w:rsidRPr="008608AA">
        <w:t>Editora Mercado de Letras.</w:t>
      </w:r>
    </w:p>
    <w:p w14:paraId="297C0D7F" w14:textId="77777777" w:rsidR="00DD4E98" w:rsidRPr="008608AA" w:rsidRDefault="00DD4E98" w:rsidP="00DD4E98">
      <w:pPr>
        <w:widowControl w:val="0"/>
        <w:ind w:left="906" w:hangingChars="412" w:hanging="906"/>
        <w:contextualSpacing/>
      </w:pPr>
      <w:r w:rsidRPr="008608AA">
        <w:t xml:space="preserve">Ladio, A. H. (2011). Underexploited wild plant foods of North-Western Patagonia. </w:t>
      </w:r>
      <w:r w:rsidRPr="008608AA">
        <w:rPr>
          <w:i/>
        </w:rPr>
        <w:t>Multidisciplinary Approaches on Food Science and Nutrition for the XXI Century</w:t>
      </w:r>
      <w:r w:rsidRPr="008608AA">
        <w:t xml:space="preserve">, </w:t>
      </w:r>
      <w:r w:rsidRPr="008608AA">
        <w:rPr>
          <w:i/>
        </w:rPr>
        <w:t>661</w:t>
      </w:r>
      <w:r w:rsidRPr="008608AA">
        <w:t>(2), (pp. 1–16). Retrieved from http://scholar.google.com/scholar?hl=en&amp;btnG=Search&amp;q=intitle:Underexploited+wild+plant+foods+of+north-western+patagonia#0</w:t>
      </w:r>
    </w:p>
    <w:p w14:paraId="171E95A9" w14:textId="77777777" w:rsidR="00DD4E98" w:rsidRPr="008608AA" w:rsidRDefault="00DD4E98" w:rsidP="00DD4E98">
      <w:pPr>
        <w:widowControl w:val="0"/>
        <w:ind w:left="906" w:hangingChars="412" w:hanging="906"/>
        <w:contextualSpacing/>
      </w:pPr>
      <w:r w:rsidRPr="008608AA">
        <w:t xml:space="preserve">Laird, S. (1999). </w:t>
      </w:r>
      <w:r w:rsidRPr="008608AA">
        <w:rPr>
          <w:i/>
        </w:rPr>
        <w:t>The botanical medicine industry. In K. Ten Kate &amp; S. A. Laird (Eds.),</w:t>
      </w:r>
      <w:r w:rsidRPr="008608AA">
        <w:t xml:space="preserve"> </w:t>
      </w:r>
      <w:r w:rsidRPr="008608AA">
        <w:rPr>
          <w:i/>
        </w:rPr>
        <w:t>The Commercial Use of Biodiversity: Access to Genetic Resources and Benefit Sharing</w:t>
      </w:r>
      <w:r w:rsidRPr="008608AA">
        <w:t xml:space="preserve"> (pp. 78–116). London: Earthscan.</w:t>
      </w:r>
    </w:p>
    <w:p w14:paraId="0B6023AE" w14:textId="77777777" w:rsidR="00DD4E98" w:rsidRPr="008608AA" w:rsidRDefault="00DD4E98" w:rsidP="00DD4E98">
      <w:pPr>
        <w:widowControl w:val="0"/>
        <w:ind w:left="906" w:hangingChars="412" w:hanging="906"/>
        <w:contextualSpacing/>
      </w:pPr>
      <w:r w:rsidRPr="008608AA">
        <w:t xml:space="preserve">Laird, S. A., &amp; Pierce, A. R. (2002). </w:t>
      </w:r>
      <w:r w:rsidRPr="008608AA">
        <w:rPr>
          <w:i/>
        </w:rPr>
        <w:t>Promoting sustainable and ethical botanicals. Strategies to improve commercial raw material sourcing. Results from the sustainable botanicals pilot project. Industry surveys, case studies and standards collection.Industry surveys, case studies and standar</w:t>
      </w:r>
      <w:r w:rsidRPr="008608AA">
        <w:t>. New York, NY.</w:t>
      </w:r>
    </w:p>
    <w:p w14:paraId="02456EEE" w14:textId="77777777" w:rsidR="00DD4E98" w:rsidRPr="008608AA" w:rsidRDefault="00DD4E98" w:rsidP="00DD4E98">
      <w:pPr>
        <w:widowControl w:val="0"/>
        <w:ind w:left="906" w:hangingChars="412" w:hanging="906"/>
        <w:contextualSpacing/>
      </w:pPr>
      <w:r w:rsidRPr="008608AA">
        <w:t xml:space="preserve">Laird, S., &amp; ten Kate, K. (1999). Natural products and the pharmaceutical industry. In K. ten Kate &amp; S. Laird (Eds.), </w:t>
      </w:r>
      <w:r w:rsidRPr="008608AA">
        <w:rPr>
          <w:i/>
        </w:rPr>
        <w:t>The Commercial Use of Biodiversity: Access to Genetic Resources and Benefit Sharing</w:t>
      </w:r>
      <w:r w:rsidRPr="008608AA">
        <w:t xml:space="preserve"> (pp. 34–77). London: Earthscan.</w:t>
      </w:r>
    </w:p>
    <w:p w14:paraId="3CBD5416" w14:textId="77777777" w:rsidR="00DD4E98" w:rsidRPr="00A3137A" w:rsidRDefault="00DD4E98" w:rsidP="00DD4E98">
      <w:pPr>
        <w:widowControl w:val="0"/>
        <w:autoSpaceDE w:val="0"/>
        <w:autoSpaceDN w:val="0"/>
        <w:adjustRightInd w:val="0"/>
        <w:ind w:left="906" w:hangingChars="412" w:hanging="906"/>
        <w:rPr>
          <w:noProof/>
          <w:lang w:val="fr-FR"/>
        </w:rPr>
      </w:pPr>
      <w:r w:rsidRPr="008608AA">
        <w:rPr>
          <w:noProof/>
        </w:rPr>
        <w:t xml:space="preserve">Lal, R. (2004). Soil carbon sequestration to mitigate climate change. </w:t>
      </w:r>
      <w:r w:rsidRPr="00A3137A">
        <w:rPr>
          <w:i/>
          <w:iCs/>
          <w:noProof/>
          <w:lang w:val="fr-FR"/>
        </w:rPr>
        <w:t>Geoderma</w:t>
      </w:r>
      <w:r w:rsidRPr="00A3137A">
        <w:rPr>
          <w:noProof/>
          <w:lang w:val="fr-FR"/>
        </w:rPr>
        <w:t xml:space="preserve">, </w:t>
      </w:r>
      <w:r w:rsidRPr="00A3137A">
        <w:rPr>
          <w:i/>
          <w:iCs/>
          <w:noProof/>
          <w:lang w:val="fr-FR"/>
        </w:rPr>
        <w:t>123</w:t>
      </w:r>
      <w:r w:rsidRPr="00A3137A">
        <w:rPr>
          <w:noProof/>
          <w:lang w:val="fr-FR"/>
        </w:rPr>
        <w:t>(1–2), 1–22. https://doi.org/10.1016/j.geoderma.2004.01.032</w:t>
      </w:r>
    </w:p>
    <w:p w14:paraId="464FAF9A" w14:textId="77777777" w:rsidR="00DD4E98" w:rsidRPr="008608AA" w:rsidRDefault="00DD4E98" w:rsidP="00DD4E98">
      <w:pPr>
        <w:widowControl w:val="0"/>
        <w:ind w:left="906" w:hangingChars="412" w:hanging="906"/>
        <w:contextualSpacing/>
      </w:pPr>
      <w:r w:rsidRPr="00A3137A">
        <w:rPr>
          <w:lang w:val="fr-FR"/>
        </w:rPr>
        <w:t xml:space="preserve">Lal, R. (2008). </w:t>
      </w:r>
      <w:r w:rsidRPr="00A3137A">
        <w:rPr>
          <w:i/>
          <w:lang w:val="fr-FR"/>
        </w:rPr>
        <w:t>Carbon sequestration</w:t>
      </w:r>
      <w:r w:rsidRPr="00A3137A">
        <w:rPr>
          <w:lang w:val="fr-FR"/>
        </w:rPr>
        <w:t xml:space="preserve">. </w:t>
      </w:r>
      <w:r w:rsidRPr="00A3137A">
        <w:rPr>
          <w:i/>
          <w:lang w:val="fr-FR"/>
        </w:rPr>
        <w:t xml:space="preserve">Philos. Trans. </w:t>
      </w:r>
      <w:r w:rsidRPr="008608AA">
        <w:rPr>
          <w:i/>
        </w:rPr>
        <w:t>R. Soc., B</w:t>
      </w:r>
      <w:r w:rsidRPr="008608AA">
        <w:t xml:space="preserve">, </w:t>
      </w:r>
      <w:r w:rsidRPr="008608AA">
        <w:rPr>
          <w:i/>
        </w:rPr>
        <w:t>363</w:t>
      </w:r>
      <w:r w:rsidRPr="008608AA">
        <w:t>(August 2007), (pp. 815–830). https://doi.org/10.1098/rstb.2007.2185</w:t>
      </w:r>
    </w:p>
    <w:p w14:paraId="7A108F18" w14:textId="77777777" w:rsidR="00DD4E98" w:rsidRPr="008608AA" w:rsidRDefault="00DD4E98" w:rsidP="00DD4E98">
      <w:pPr>
        <w:widowControl w:val="0"/>
        <w:ind w:left="906" w:hangingChars="412" w:hanging="906"/>
        <w:contextualSpacing/>
      </w:pPr>
      <w:r w:rsidRPr="008608AA">
        <w:t xml:space="preserve">Lal, R., Kimble, J., Levine, E., &amp; Stewart. (1995). </w:t>
      </w:r>
      <w:r w:rsidRPr="008608AA">
        <w:rPr>
          <w:i/>
        </w:rPr>
        <w:t>Soils and Global Change</w:t>
      </w:r>
      <w:r w:rsidRPr="008608AA">
        <w:t>. CRC Press.</w:t>
      </w:r>
    </w:p>
    <w:p w14:paraId="684E77FD" w14:textId="77777777" w:rsidR="00DD4E98" w:rsidRPr="008608AA" w:rsidRDefault="00DD4E98" w:rsidP="00DD4E98">
      <w:pPr>
        <w:widowControl w:val="0"/>
        <w:ind w:left="906" w:hangingChars="412" w:hanging="906"/>
        <w:contextualSpacing/>
        <w:rPr>
          <w:lang w:val="es-CO"/>
        </w:rPr>
      </w:pPr>
      <w:r w:rsidRPr="00A3137A">
        <w:rPr>
          <w:lang w:val="fr-FR"/>
        </w:rPr>
        <w:t xml:space="preserve">Lamb, D., Erskine, P. D., &amp; Parrotta, J. A. (2005). </w:t>
      </w:r>
      <w:r w:rsidRPr="008608AA">
        <w:t xml:space="preserve">Restoration of Degraded Tropical Forest Landscapes. </w:t>
      </w:r>
      <w:r w:rsidRPr="008608AA">
        <w:rPr>
          <w:i/>
          <w:lang w:val="es-CO"/>
        </w:rPr>
        <w:t>Science</w:t>
      </w:r>
      <w:r w:rsidRPr="008608AA">
        <w:rPr>
          <w:lang w:val="es-CO"/>
        </w:rPr>
        <w:t xml:space="preserve">, </w:t>
      </w:r>
      <w:r w:rsidRPr="008608AA">
        <w:rPr>
          <w:i/>
          <w:lang w:val="es-CO"/>
        </w:rPr>
        <w:t>310</w:t>
      </w:r>
      <w:r w:rsidRPr="008608AA">
        <w:rPr>
          <w:lang w:val="es-CO"/>
        </w:rPr>
        <w:t>(5754), (pp. 1628–1632). https://doi.org/10.1126/science.1111773</w:t>
      </w:r>
    </w:p>
    <w:p w14:paraId="255E10E2" w14:textId="77777777" w:rsidR="00DD4E98" w:rsidRPr="008608AA" w:rsidRDefault="00DD4E98" w:rsidP="00DD4E98">
      <w:pPr>
        <w:widowControl w:val="0"/>
        <w:ind w:left="906" w:hangingChars="412" w:hanging="906"/>
        <w:contextualSpacing/>
      </w:pPr>
      <w:r w:rsidRPr="008608AA">
        <w:rPr>
          <w:lang w:val="es-CO"/>
        </w:rPr>
        <w:t xml:space="preserve">Lambertucci, S. A., Donázar, J. A., Huertas, A. D., Jiménez, B., Sáez, M., Sanchez-Zapata, J. A., &amp; Hiraldo, F. (2011). </w:t>
      </w:r>
      <w:r w:rsidRPr="008608AA">
        <w:t xml:space="preserve">Widening the problem of lead poisoning to a South-American top scavenger: Lead concentrations in feathers of wild Andean condors. </w:t>
      </w:r>
      <w:r w:rsidRPr="008608AA">
        <w:rPr>
          <w:i/>
        </w:rPr>
        <w:t>Biological Conservation</w:t>
      </w:r>
      <w:r w:rsidRPr="008608AA">
        <w:t xml:space="preserve">, </w:t>
      </w:r>
      <w:r w:rsidRPr="008608AA">
        <w:rPr>
          <w:i/>
        </w:rPr>
        <w:t>144</w:t>
      </w:r>
      <w:r w:rsidRPr="008608AA">
        <w:t>(5), (pp. 1464–1471). https://doi.org/10.1016/j.biocon.2011.01.015</w:t>
      </w:r>
    </w:p>
    <w:p w14:paraId="24BA7E21" w14:textId="77777777" w:rsidR="00DD4E98" w:rsidRPr="008608AA" w:rsidRDefault="00DD4E98" w:rsidP="00DD4E98">
      <w:pPr>
        <w:widowControl w:val="0"/>
        <w:ind w:left="906" w:hangingChars="412" w:hanging="906"/>
        <w:contextualSpacing/>
      </w:pPr>
      <w:r w:rsidRPr="008608AA">
        <w:t xml:space="preserve">Lambin, E.F., Turner, B.L., Geist, H.J., Agbola, S.B., Angelsen, A., Bruce, J.W., Coomes, O. T., Dirzgo, R., Fischer, G., Folke, C., George, P.S., Homewood, K., Imbernon, J., Leemans, R., Li, X., Moran, E.F., Mortimore, M., Ramakrishnan, P.S., Richards, J.F., Skanes, H., Steffen, W., &amp; Stone, G.D., Svedin, U., Veldkamp, T.A., Vogel, C., and Xu, J. (2001). The Causes of Land-Use and Land-Cover Change: Moving Beyond the Myths. </w:t>
      </w:r>
      <w:r w:rsidRPr="008608AA">
        <w:rPr>
          <w:i/>
        </w:rPr>
        <w:t>Global Environmental Change</w:t>
      </w:r>
      <w:r w:rsidRPr="008608AA">
        <w:t xml:space="preserve">, </w:t>
      </w:r>
      <w:r w:rsidRPr="008608AA">
        <w:rPr>
          <w:i/>
        </w:rPr>
        <w:t>11</w:t>
      </w:r>
      <w:r w:rsidRPr="008608AA">
        <w:t>, (pp. 261–269).</w:t>
      </w:r>
    </w:p>
    <w:p w14:paraId="21856B2B" w14:textId="77777777" w:rsidR="00DD4E98" w:rsidRPr="008608AA" w:rsidRDefault="00DD4E98" w:rsidP="00DD4E98">
      <w:pPr>
        <w:widowControl w:val="0"/>
        <w:ind w:left="906" w:hangingChars="412" w:hanging="906"/>
        <w:contextualSpacing/>
      </w:pPr>
      <w:r w:rsidRPr="008608AA">
        <w:t xml:space="preserve">Landeta, J. (2006). </w:t>
      </w:r>
      <w:r w:rsidRPr="008608AA">
        <w:rPr>
          <w:i/>
        </w:rPr>
        <w:t>Current validity of the Delphi method in social sciences. Technological Forecasting and Social Change</w:t>
      </w:r>
      <w:r w:rsidRPr="008608AA">
        <w:t xml:space="preserve">, </w:t>
      </w:r>
      <w:r w:rsidRPr="008608AA">
        <w:rPr>
          <w:i/>
        </w:rPr>
        <w:t>73</w:t>
      </w:r>
      <w:r w:rsidRPr="008608AA">
        <w:t>(5), (pp. 467–482). https://doi.org/10.1016/j.techfore.2005.09.002</w:t>
      </w:r>
    </w:p>
    <w:p w14:paraId="166D066C" w14:textId="77777777" w:rsidR="00DD4E98" w:rsidRPr="008608AA" w:rsidRDefault="00DD4E98" w:rsidP="00DD4E98">
      <w:pPr>
        <w:widowControl w:val="0"/>
        <w:ind w:left="906" w:hangingChars="412" w:hanging="906"/>
        <w:contextualSpacing/>
      </w:pPr>
      <w:r w:rsidRPr="008608AA">
        <w:t xml:space="preserve">Landis, D. A. (2017). </w:t>
      </w:r>
      <w:r w:rsidRPr="008608AA">
        <w:rPr>
          <w:i/>
        </w:rPr>
        <w:t>Designing agricultural landscapes for biodiversity-based ecosystem services. Basic and Applied Ecology, 18</w:t>
      </w:r>
      <w:r w:rsidRPr="008608AA">
        <w:t>, (pp. 1–12). https://doi.org/10.1016/j.baae.2016.07.005</w:t>
      </w:r>
    </w:p>
    <w:p w14:paraId="6F9C20BE" w14:textId="77777777" w:rsidR="00DD4E98" w:rsidRPr="00CE0821" w:rsidRDefault="00DD4E98" w:rsidP="00DD4E98">
      <w:pPr>
        <w:widowControl w:val="0"/>
        <w:ind w:left="906" w:hangingChars="412" w:hanging="906"/>
        <w:contextualSpacing/>
      </w:pPr>
      <w:r w:rsidRPr="008608AA">
        <w:t xml:space="preserve">Lange, D. (1998). </w:t>
      </w:r>
      <w:r w:rsidRPr="008608AA">
        <w:rPr>
          <w:i/>
        </w:rPr>
        <w:t>Europe’s Medicinal and Aromatic Plants: Their Use, Trade and Conservation</w:t>
      </w:r>
      <w:r w:rsidRPr="008608AA">
        <w:t xml:space="preserve">. </w:t>
      </w:r>
      <w:r w:rsidRPr="00CE0821">
        <w:t>Cambridge, UK: TRAFFIC International.</w:t>
      </w:r>
    </w:p>
    <w:p w14:paraId="53A10C1D" w14:textId="77777777" w:rsidR="00DD4E98" w:rsidRPr="008608AA" w:rsidRDefault="00DD4E98" w:rsidP="00DD4E98">
      <w:pPr>
        <w:widowControl w:val="0"/>
        <w:ind w:left="906" w:hangingChars="412" w:hanging="906"/>
        <w:contextualSpacing/>
        <w:rPr>
          <w:lang w:val="es-CO"/>
        </w:rPr>
      </w:pPr>
      <w:r w:rsidRPr="00CE0821">
        <w:t xml:space="preserve">Laterra, P., Jobbágy, E., &amp; Paruelo, J. M. (2011). </w:t>
      </w:r>
      <w:r w:rsidRPr="008608AA">
        <w:rPr>
          <w:i/>
          <w:lang w:val="es-CO"/>
        </w:rPr>
        <w:t>Valoración de Servicios Ecosistémicos: Conceptos, Herramientas y Aplicaciones Para el Ordenamiento Territorial</w:t>
      </w:r>
      <w:r w:rsidRPr="008608AA">
        <w:rPr>
          <w:lang w:val="es-CO"/>
        </w:rPr>
        <w:t xml:space="preserve">. (P. Laterra, E. Jobbágy, &amp; J. M. Paruelo, Eds.), </w:t>
      </w:r>
      <w:r w:rsidRPr="008608AA">
        <w:rPr>
          <w:i/>
          <w:lang w:val="es-CO"/>
        </w:rPr>
        <w:t>Valoración de Servicios Ecosistémicos: Conceptos, Herramientas y Aplicaciones Para el Ordenamiento Territorial</w:t>
      </w:r>
      <w:r w:rsidRPr="008608AA">
        <w:rPr>
          <w:lang w:val="es-CO"/>
        </w:rPr>
        <w:t>.</w:t>
      </w:r>
    </w:p>
    <w:p w14:paraId="645A8E5F" w14:textId="77777777" w:rsidR="00DD4E98" w:rsidRPr="008608AA" w:rsidRDefault="00DD4E98" w:rsidP="00DD4E98">
      <w:pPr>
        <w:widowControl w:val="0"/>
        <w:ind w:left="906" w:hangingChars="412" w:hanging="906"/>
        <w:contextualSpacing/>
      </w:pPr>
      <w:r w:rsidRPr="008608AA">
        <w:rPr>
          <w:lang w:val="es-CO"/>
        </w:rPr>
        <w:t xml:space="preserve">Lavery, P. S., Mateo, M. Á., Serrano, O., &amp; Rozaimi, M. (2013). </w:t>
      </w:r>
      <w:r w:rsidRPr="008608AA">
        <w:t xml:space="preserve">Variability in the Carbon Storage of Seagrass Habitats and Its Implications for Global Estimates of Blue Carbon Ecosystem Service. </w:t>
      </w:r>
      <w:r w:rsidRPr="008608AA">
        <w:rPr>
          <w:i/>
        </w:rPr>
        <w:t>PLoS ONE</w:t>
      </w:r>
      <w:r w:rsidRPr="008608AA">
        <w:t xml:space="preserve">, </w:t>
      </w:r>
      <w:r w:rsidRPr="008608AA">
        <w:rPr>
          <w:i/>
        </w:rPr>
        <w:t>8</w:t>
      </w:r>
      <w:r w:rsidRPr="008608AA">
        <w:t>(9). https://doi.org/10.1371/journal.pone.0073748</w:t>
      </w:r>
    </w:p>
    <w:p w14:paraId="0114CA8D" w14:textId="77777777" w:rsidR="00DD4E98" w:rsidRPr="008608AA" w:rsidRDefault="00DD4E98" w:rsidP="00DD4E98">
      <w:pPr>
        <w:widowControl w:val="0"/>
        <w:ind w:left="906" w:hangingChars="412" w:hanging="906"/>
        <w:contextualSpacing/>
        <w:rPr>
          <w:lang w:val="en-GB"/>
        </w:rPr>
      </w:pPr>
      <w:r w:rsidRPr="008608AA">
        <w:t xml:space="preserve">Lawler, J. J., Lewis, D. J., Nelson, E., Plantinga, A. J., Polasky, S., Withey, J. C., Helmers, D. P., Martinuzzi, S., Pennington, D., &amp; Radeloff, V. C. (2014). Projected land-use change impacts on ecosystem services in the United States. </w:t>
      </w:r>
      <w:r w:rsidRPr="008608AA">
        <w:rPr>
          <w:i/>
          <w:iCs/>
        </w:rPr>
        <w:t>Proceedings of the National Academy of Sciences</w:t>
      </w:r>
      <w:r w:rsidRPr="008608AA">
        <w:t xml:space="preserve">, </w:t>
      </w:r>
      <w:r w:rsidRPr="008608AA">
        <w:rPr>
          <w:i/>
          <w:iCs/>
        </w:rPr>
        <w:t>111</w:t>
      </w:r>
      <w:r w:rsidRPr="008608AA">
        <w:t>(20), 7492–7497.</w:t>
      </w:r>
    </w:p>
    <w:p w14:paraId="15AB3640" w14:textId="77777777" w:rsidR="00DD4E98" w:rsidRPr="008608AA" w:rsidRDefault="00DD4E98" w:rsidP="00DD4E98">
      <w:pPr>
        <w:widowControl w:val="0"/>
        <w:ind w:left="906" w:hangingChars="412" w:hanging="906"/>
        <w:contextualSpacing/>
      </w:pPr>
      <w:r w:rsidRPr="008608AA">
        <w:t xml:space="preserve">Layke, C. (2009). </w:t>
      </w:r>
      <w:r w:rsidRPr="008608AA">
        <w:rPr>
          <w:i/>
        </w:rPr>
        <w:t>Measuring Nature ’ s Benefits : A Preliminary Roadmap for Improving Ecosystem Service Indicators. Analysis, World Reso</w:t>
      </w:r>
      <w:r w:rsidRPr="008608AA">
        <w:t>, (pp. 1–36). Retrieved from http://www.wri.org/project/</w:t>
      </w:r>
    </w:p>
    <w:p w14:paraId="644D0379" w14:textId="77777777" w:rsidR="00DD4E98" w:rsidRPr="008608AA" w:rsidRDefault="00DD4E98" w:rsidP="00DD4E98">
      <w:pPr>
        <w:widowControl w:val="0"/>
        <w:ind w:left="906" w:hangingChars="412" w:hanging="906"/>
        <w:contextualSpacing/>
      </w:pPr>
      <w:r w:rsidRPr="00A3137A">
        <w:rPr>
          <w:lang w:val="fr-FR"/>
        </w:rPr>
        <w:t xml:space="preserve">Le Quéré, C., Takahashi, T., Buitenhuis, E. T., Rödenbeck, C., &amp; Sutherland, S. C. (2010). </w:t>
      </w:r>
      <w:r w:rsidRPr="008608AA">
        <w:t xml:space="preserve">Impact of climate change and variability on the global oceanic sink of CO2. </w:t>
      </w:r>
      <w:r w:rsidRPr="008608AA">
        <w:rPr>
          <w:i/>
        </w:rPr>
        <w:t>Global Biogeochemical Cycles</w:t>
      </w:r>
      <w:r w:rsidRPr="008608AA">
        <w:t xml:space="preserve">, </w:t>
      </w:r>
      <w:r w:rsidRPr="008608AA">
        <w:rPr>
          <w:i/>
        </w:rPr>
        <w:t>24</w:t>
      </w:r>
      <w:r w:rsidRPr="008608AA">
        <w:t>(4), (pp. 1–10). https://doi.org/10.1029/2009GB003599</w:t>
      </w:r>
    </w:p>
    <w:p w14:paraId="798B3692" w14:textId="77777777" w:rsidR="00DD4E98" w:rsidRPr="008608AA" w:rsidRDefault="00DD4E98" w:rsidP="00DD4E98">
      <w:pPr>
        <w:widowControl w:val="0"/>
        <w:ind w:left="906" w:hangingChars="412" w:hanging="906"/>
        <w:contextualSpacing/>
      </w:pPr>
      <w:r w:rsidRPr="008608AA">
        <w:t xml:space="preserve">Leader-Williams, N., Adams, W. M., &amp; Smith, R. J. (2010). </w:t>
      </w:r>
      <w:r w:rsidRPr="008608AA">
        <w:rPr>
          <w:i/>
        </w:rPr>
        <w:t>Tradeoffs in Conservation: Deciding What to Save</w:t>
      </w:r>
      <w:r w:rsidRPr="008608AA">
        <w:t>. Hoboken, NJ, USA: John Wiley &amp; Sons.</w:t>
      </w:r>
    </w:p>
    <w:p w14:paraId="6CB98010" w14:textId="77777777" w:rsidR="00DD4E98" w:rsidRPr="008608AA" w:rsidRDefault="00DD4E98" w:rsidP="00DD4E98">
      <w:pPr>
        <w:widowControl w:val="0"/>
        <w:ind w:left="906" w:hangingChars="412" w:hanging="906"/>
        <w:contextualSpacing/>
      </w:pPr>
      <w:r w:rsidRPr="008608AA">
        <w:t xml:space="preserve">Lehner, B., &amp; Döll, P. (2004). Development and validation of a global database of lakes, reservoirs and wetlands. </w:t>
      </w:r>
      <w:r w:rsidRPr="008608AA">
        <w:rPr>
          <w:i/>
        </w:rPr>
        <w:t>Journal of Hydrology</w:t>
      </w:r>
      <w:r w:rsidRPr="008608AA">
        <w:t xml:space="preserve">, </w:t>
      </w:r>
      <w:r w:rsidRPr="008608AA">
        <w:rPr>
          <w:i/>
        </w:rPr>
        <w:t>296</w:t>
      </w:r>
      <w:r w:rsidRPr="008608AA">
        <w:t>(1–4), (pp. 1–22). https://doi.org/10.1016/j.jhydrol.2004.03.028</w:t>
      </w:r>
    </w:p>
    <w:p w14:paraId="2372DDED" w14:textId="77777777" w:rsidR="00DD4E98" w:rsidRPr="008608AA" w:rsidRDefault="00DD4E98" w:rsidP="00DD4E98">
      <w:pPr>
        <w:widowControl w:val="0"/>
        <w:ind w:left="906" w:hangingChars="412" w:hanging="906"/>
        <w:contextualSpacing/>
      </w:pPr>
      <w:r w:rsidRPr="008608AA">
        <w:t xml:space="preserve">Leverington, F., Costa, K. L., Pavese, H., Lisle, A., &amp; Hockings, M. (2010). A Global Analysis of Protected Area Management Effectiveness. </w:t>
      </w:r>
      <w:r w:rsidRPr="008608AA">
        <w:rPr>
          <w:i/>
        </w:rPr>
        <w:t>Environmental Management</w:t>
      </w:r>
      <w:r w:rsidRPr="008608AA">
        <w:t xml:space="preserve">, </w:t>
      </w:r>
      <w:r w:rsidRPr="008608AA">
        <w:rPr>
          <w:i/>
        </w:rPr>
        <w:t>46</w:t>
      </w:r>
      <w:r w:rsidRPr="008608AA">
        <w:t>(5), (pp. 685–698). https://doi.org/10.1007/s00267-010-9564-5</w:t>
      </w:r>
    </w:p>
    <w:p w14:paraId="08B8872C"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Levetin, E., &amp; McMahon, K. (2008). Materials: Cloth, Wood, and Paper. In </w:t>
      </w:r>
      <w:r w:rsidRPr="008608AA">
        <w:rPr>
          <w:i/>
          <w:iCs/>
          <w:noProof/>
        </w:rPr>
        <w:t>Plants and Society</w:t>
      </w:r>
      <w:r w:rsidRPr="008608AA">
        <w:rPr>
          <w:noProof/>
        </w:rPr>
        <w:t xml:space="preserve"> (Fifth Edit, pp. 298–323). The McGraw-Hill Companies.</w:t>
      </w:r>
    </w:p>
    <w:p w14:paraId="2A264DB2" w14:textId="77777777" w:rsidR="00DD4E98" w:rsidRPr="008608AA" w:rsidRDefault="00DD4E98" w:rsidP="00DD4E98">
      <w:pPr>
        <w:widowControl w:val="0"/>
        <w:ind w:left="906" w:hangingChars="412" w:hanging="906"/>
        <w:contextualSpacing/>
        <w:rPr>
          <w:lang w:val="en-GB"/>
        </w:rPr>
      </w:pPr>
      <w:r w:rsidRPr="00CE0821">
        <w:rPr>
          <w:lang w:val="es-CO"/>
        </w:rPr>
        <w:t xml:space="preserve">Levis, C., Costa, F. R. C., Bongers, F., Peña-Claros, M., Clement, C. R., Junqueira, A. B., Neves, E. G., Tamanaha, E. K., Figueiredo, F. O. G., Salomão, R. P., Castilho, C. V, Magnusson, W. E., Phillips, O. L., Guevara, J. E., Sabatier, D., Molino, J.-F., López, D. C., Mendoza, A. M., Pitman, N. C. A., Duque, A., Vargas, P. N., Zartman, C. E., Vasquez, R., Andrade, A., Camargo, J. L., Feldpausch, T. R., Laurance, S. G. W., Laurance, W. F., Killeen, T. J., Nascimento, H. E. M., Montero, J. C., Mostacedo, B., Amaral, I. L., Guimarães Vieira, I. C., Brienen, R., Castellanos, H., Terborgh, J., Carim, M. de J. V., Guimarães, J. R. da S., Coelho, L. de S., Matos, F. D. de A., Wittmann, F., Mogollón, H. F., Damasco, G., Dávila, N., García-Villacorta, R., Coronado, E. N. H., Emilio, T., Filho, D. de A. L., Schietti, J., Souza, P., Targhetta, N., Comiskey, J. A., Marimon, B. S., Marimon, B.-H., Neill, D., Alonso, A., Arroyo, L., Carvalho, F. A., de Souza, F. C., Dallmeier, F., Pansonato, M. P., Duivenvoorden, J. F., Fine, P. V. A., Stevenson, P. R., Araujo-Murakami, A., Aymard C, G. A., Baraloto, C., do Amaral, D. D., Engel, J., Henkel, T. W., Maas, P., Petronelli, P., Revilla, J. D. C., Stropp, J., Daly, D., Gribel, R., Paredes, M. R., Silveira, M., Thomas-Caesar, R., Baker, T. R., da Silva, N. F., Ferreira, L. V, Peres, C. A., Silman, M. R., Cerón, C., Valverde, F. C., Di Fiore, A., Jimenez, E. M., Mora, M. C. P., Toledo, M., Barbosa, E. M., Bonates, L. C. de M., Arboleda, N. C., Farias, E. de S., Fuentes, A., Guillaumet, J.-L., Jørgensen, P. M., Malhi, Y., de Andrade Miranda, I. P., Phillips, J. F., Prieto, A., Rudas, A., Ruschel, A. R., Silva, N., von Hildebrand, P., Vos, V. A., Zent, E. L., Zent, S., Cintra, B. B. L., Nascimento, M. T., Oliveira, A. A., Ramirez-Angulo, H., Ramos, J. F., Rivas, G., Schöngart, J., Sierra, R., Tirado, M., van der Heijden, G., Torre, E. V, Wang, O., Young, K. R., Baider, C., Cano, A., Farfan-Rios, W., Ferreira, C., Hoffman, B., Mendoza, C., Mesones, I., Torres-Lezama, A., Medina, M. N. U., van Andel, T. R., Villarroel, D., Zagt, R., Alexiades, M. N., Balslev, H., Garcia-Cabrera, K., Gonzales, T., Hernandez, L., Huamantupa-Chuquimaco, I., Manzatto, A. G., Milliken, W., Cuenca, W. P., Pansini, S., Pauletto, D., Arevalo, F. R., Reis, N. F. C., Sampaio, A. F., Giraldo, L. E. U., Sandoval, E. H. V., Gamarra, L. V., Vela, C. I. A., &amp; Ter Steege, H. (2017). </w:t>
      </w:r>
      <w:r w:rsidRPr="008608AA">
        <w:t xml:space="preserve">Persistent effects of pre-Columbian plant domestication on Amazonian forest composition. </w:t>
      </w:r>
      <w:r w:rsidRPr="008608AA">
        <w:rPr>
          <w:i/>
          <w:iCs/>
        </w:rPr>
        <w:t>Science (New York, N.Y.)</w:t>
      </w:r>
      <w:r w:rsidRPr="008608AA">
        <w:t xml:space="preserve">, </w:t>
      </w:r>
      <w:r w:rsidRPr="008608AA">
        <w:rPr>
          <w:i/>
          <w:iCs/>
        </w:rPr>
        <w:t>355</w:t>
      </w:r>
      <w:r w:rsidRPr="008608AA">
        <w:t>(6328), 925–931. https://doi.org/10.1126/science.aal0157</w:t>
      </w:r>
    </w:p>
    <w:p w14:paraId="1A7F6DAC" w14:textId="77777777" w:rsidR="00DD4E98" w:rsidRPr="008608AA" w:rsidRDefault="00DD4E98" w:rsidP="00DD4E98">
      <w:pPr>
        <w:widowControl w:val="0"/>
        <w:ind w:left="906" w:hangingChars="412" w:hanging="906"/>
        <w:contextualSpacing/>
      </w:pPr>
      <w:r w:rsidRPr="008608AA">
        <w:t xml:space="preserve">Lichtenstein, G., &amp; Vilá, B. (2003). Vicuna Use by Andean Communities: An Overview. </w:t>
      </w:r>
      <w:r w:rsidRPr="008608AA">
        <w:rPr>
          <w:i/>
        </w:rPr>
        <w:t>Mountain Research and Development</w:t>
      </w:r>
      <w:r w:rsidRPr="008608AA">
        <w:t xml:space="preserve">, </w:t>
      </w:r>
      <w:r w:rsidRPr="008608AA">
        <w:rPr>
          <w:i/>
        </w:rPr>
        <w:t>23</w:t>
      </w:r>
      <w:r w:rsidRPr="008608AA">
        <w:t>(2), (pp. 198–201). https://doi.org/10.1659/0276-4741(2003)023{0197:VUBACA}2.0.CO;2</w:t>
      </w:r>
    </w:p>
    <w:p w14:paraId="259F2851" w14:textId="77777777" w:rsidR="00DD4E98" w:rsidRPr="008608AA" w:rsidRDefault="00DD4E98" w:rsidP="00DD4E98">
      <w:pPr>
        <w:widowControl w:val="0"/>
        <w:ind w:left="906" w:hangingChars="412" w:hanging="906"/>
        <w:contextualSpacing/>
      </w:pPr>
      <w:r w:rsidRPr="008608AA">
        <w:t xml:space="preserve">Linares, O. F. (1976). </w:t>
      </w:r>
      <w:r w:rsidRPr="008608AA">
        <w:rPr>
          <w:i/>
        </w:rPr>
        <w:t>``Garden hunting’’ in the American tropics. Human Ecology</w:t>
      </w:r>
      <w:r w:rsidRPr="008608AA">
        <w:t xml:space="preserve">, </w:t>
      </w:r>
      <w:r w:rsidRPr="008608AA">
        <w:rPr>
          <w:i/>
        </w:rPr>
        <w:t>4</w:t>
      </w:r>
      <w:r w:rsidRPr="008608AA">
        <w:t>(4), (pp. 331–349). https://doi.org/10.1007/BF01557917</w:t>
      </w:r>
    </w:p>
    <w:p w14:paraId="65DA742E" w14:textId="77777777" w:rsidR="00DD4E98" w:rsidRPr="008608AA" w:rsidRDefault="00DD4E98" w:rsidP="00DD4E98">
      <w:pPr>
        <w:widowControl w:val="0"/>
        <w:ind w:left="906" w:hangingChars="412" w:hanging="906"/>
        <w:contextualSpacing/>
      </w:pPr>
      <w:r w:rsidRPr="008608AA">
        <w:t xml:space="preserve">Lindström, A., &amp; Granit, J. (2012). </w:t>
      </w:r>
      <w:r w:rsidRPr="008608AA">
        <w:rPr>
          <w:i/>
        </w:rPr>
        <w:t>Large-scale water storage in the water, energy and food nexus Perspectives on benefits, risks and best practices</w:t>
      </w:r>
      <w:r w:rsidRPr="008608AA">
        <w:t>. Retrieved from www.siwi.org/wp-content/uploads/2015/09/Water_Storage_Paper_21.pdf</w:t>
      </w:r>
    </w:p>
    <w:p w14:paraId="08A7F0DD" w14:textId="77777777" w:rsidR="00DD4E98" w:rsidRPr="008608AA" w:rsidRDefault="00DD4E98" w:rsidP="00DD4E98">
      <w:pPr>
        <w:widowControl w:val="0"/>
        <w:ind w:left="906" w:hangingChars="412" w:hanging="906"/>
        <w:contextualSpacing/>
        <w:rPr>
          <w:lang w:val="en-GB"/>
        </w:rPr>
      </w:pPr>
      <w:r w:rsidRPr="008608AA">
        <w:t xml:space="preserve">Loh, E. H., Zambrana-Torrelio, C., Olival, K. J., Bogich, T. L., Johnson, C. K., Mazet, J. A. K., Karesh, W., &amp; Daszak, P. (2015). Targeting Transmission Pathways for Emerging Zoonotic Disease Surveillance and Control. </w:t>
      </w:r>
      <w:r w:rsidRPr="008608AA">
        <w:rPr>
          <w:i/>
          <w:iCs/>
        </w:rPr>
        <w:t>Vector-Borne and Zoonotic Diseases</w:t>
      </w:r>
      <w:r w:rsidRPr="008608AA">
        <w:t xml:space="preserve">, </w:t>
      </w:r>
      <w:r w:rsidRPr="008608AA">
        <w:rPr>
          <w:i/>
          <w:iCs/>
        </w:rPr>
        <w:t>15</w:t>
      </w:r>
      <w:r w:rsidRPr="008608AA">
        <w:t>(7), 432–437. https://doi.org/10.1089/vbz.2013.1563</w:t>
      </w:r>
    </w:p>
    <w:p w14:paraId="2DD01432" w14:textId="77777777" w:rsidR="00DD4E98" w:rsidRPr="008608AA" w:rsidRDefault="00DD4E98" w:rsidP="00DD4E98">
      <w:pPr>
        <w:widowControl w:val="0"/>
        <w:ind w:left="906" w:hangingChars="412" w:hanging="906"/>
        <w:contextualSpacing/>
      </w:pPr>
      <w:r w:rsidRPr="008608AA">
        <w:t xml:space="preserve">Loh, J., &amp; Goldfinger, S. (2006). </w:t>
      </w:r>
      <w:r w:rsidRPr="008608AA">
        <w:rPr>
          <w:i/>
        </w:rPr>
        <w:t>Living Planet Report</w:t>
      </w:r>
      <w:r w:rsidRPr="008608AA">
        <w:t>. Gland, Switzerland.</w:t>
      </w:r>
    </w:p>
    <w:p w14:paraId="22A387B3" w14:textId="77777777" w:rsidR="00DD4E98" w:rsidRPr="008608AA" w:rsidRDefault="00DD4E98" w:rsidP="00DD4E98">
      <w:pPr>
        <w:widowControl w:val="0"/>
        <w:ind w:left="906" w:hangingChars="412" w:hanging="906"/>
        <w:contextualSpacing/>
      </w:pPr>
      <w:r w:rsidRPr="00CE0821">
        <w:rPr>
          <w:lang w:val="es-CO"/>
        </w:rPr>
        <w:t xml:space="preserve">López-Mosquera, N., &amp; Sánchez, M. (2012). </w:t>
      </w:r>
      <w:r w:rsidRPr="008608AA">
        <w:t xml:space="preserve">Theory of Planned Behavior and the Value-Belief-Norm Theory explaining willingness to pay for a suburban park. </w:t>
      </w:r>
      <w:r w:rsidRPr="008608AA">
        <w:rPr>
          <w:i/>
        </w:rPr>
        <w:t>Journal of Environmental Management</w:t>
      </w:r>
      <w:r w:rsidRPr="008608AA">
        <w:t xml:space="preserve">, </w:t>
      </w:r>
      <w:r w:rsidRPr="008608AA">
        <w:rPr>
          <w:i/>
        </w:rPr>
        <w:t>113</w:t>
      </w:r>
      <w:r w:rsidRPr="008608AA">
        <w:t>, (pp. 251–262). https://doi.org/10.1016/j.jenvman.2012.08.029</w:t>
      </w:r>
    </w:p>
    <w:p w14:paraId="7699A714" w14:textId="77777777" w:rsidR="00DD4E98" w:rsidRPr="008608AA" w:rsidRDefault="00DD4E98" w:rsidP="00DD4E98">
      <w:pPr>
        <w:widowControl w:val="0"/>
        <w:ind w:left="906" w:hangingChars="412" w:hanging="906"/>
        <w:contextualSpacing/>
      </w:pPr>
      <w:r w:rsidRPr="008608AA">
        <w:t xml:space="preserve">Lott, D. F. (2002). </w:t>
      </w:r>
      <w:r w:rsidRPr="008608AA">
        <w:rPr>
          <w:i/>
        </w:rPr>
        <w:t>American Bison: A Natural History</w:t>
      </w:r>
      <w:r w:rsidRPr="008608AA">
        <w:t>. Los Angeles, CAL: University of California Press.</w:t>
      </w:r>
    </w:p>
    <w:p w14:paraId="7FABAE49" w14:textId="77777777" w:rsidR="00DD4E98" w:rsidRPr="008608AA" w:rsidRDefault="00DD4E98" w:rsidP="00DD4E98">
      <w:pPr>
        <w:widowControl w:val="0"/>
        <w:ind w:left="906" w:hangingChars="412" w:hanging="906"/>
        <w:contextualSpacing/>
      </w:pPr>
      <w:r w:rsidRPr="008608AA">
        <w:t xml:space="preserve">Lu, N., &amp; Godt, J. W. (2013). </w:t>
      </w:r>
      <w:r w:rsidRPr="008608AA">
        <w:rPr>
          <w:i/>
        </w:rPr>
        <w:t>Hillslope Hydrology and Stability</w:t>
      </w:r>
      <w:r w:rsidRPr="008608AA">
        <w:t>. New York, NY: Cambridge University Press.</w:t>
      </w:r>
    </w:p>
    <w:p w14:paraId="784A28D1" w14:textId="77777777" w:rsidR="00DD4E98" w:rsidRPr="008608AA" w:rsidRDefault="00DD4E98" w:rsidP="00DD4E98">
      <w:pPr>
        <w:widowControl w:val="0"/>
        <w:ind w:left="906" w:hangingChars="412" w:hanging="906"/>
        <w:contextualSpacing/>
        <w:rPr>
          <w:lang w:val="de-DE"/>
        </w:rPr>
      </w:pPr>
      <w:r w:rsidRPr="008608AA">
        <w:t xml:space="preserve">Lugo, A. E. (2008). Visible and invisible effects of hurricanes on forest ecosystems: an international review. </w:t>
      </w:r>
      <w:r w:rsidRPr="008608AA">
        <w:rPr>
          <w:i/>
          <w:lang w:val="de-DE"/>
        </w:rPr>
        <w:t>Austral Ecology</w:t>
      </w:r>
      <w:r w:rsidRPr="008608AA">
        <w:rPr>
          <w:lang w:val="de-DE"/>
        </w:rPr>
        <w:t xml:space="preserve">, </w:t>
      </w:r>
      <w:r w:rsidRPr="008608AA">
        <w:rPr>
          <w:i/>
          <w:lang w:val="de-DE"/>
        </w:rPr>
        <w:t>33</w:t>
      </w:r>
      <w:r w:rsidRPr="008608AA">
        <w:rPr>
          <w:lang w:val="de-DE"/>
        </w:rPr>
        <w:t xml:space="preserve">(4), </w:t>
      </w:r>
      <w:r w:rsidRPr="008608AA">
        <w:t xml:space="preserve">(pp. </w:t>
      </w:r>
      <w:r w:rsidRPr="008608AA">
        <w:rPr>
          <w:lang w:val="de-DE"/>
        </w:rPr>
        <w:t>368–398). https://doi.org/10.1111/j.1442-9993.2008.01894.x</w:t>
      </w:r>
    </w:p>
    <w:p w14:paraId="500CD555" w14:textId="77777777" w:rsidR="00DD4E98" w:rsidRPr="008608AA" w:rsidRDefault="00DD4E98" w:rsidP="00DD4E98">
      <w:pPr>
        <w:widowControl w:val="0"/>
        <w:ind w:left="906" w:hangingChars="412" w:hanging="906"/>
        <w:contextualSpacing/>
        <w:rPr>
          <w:lang w:val="en-GB"/>
        </w:rPr>
      </w:pPr>
      <w:r w:rsidRPr="008608AA">
        <w:t xml:space="preserve">Luyssaert, S., Schulze, E.-D., Börner, A., Knohl, A., Hessenmöller, D., Law, B. E., Ciais, P., &amp; Grace, J. (2008). Old-growth forests as global carbon sinks. </w:t>
      </w:r>
      <w:r w:rsidRPr="008608AA">
        <w:rPr>
          <w:i/>
          <w:iCs/>
        </w:rPr>
        <w:t>Nature</w:t>
      </w:r>
      <w:r w:rsidRPr="008608AA">
        <w:t xml:space="preserve">, </w:t>
      </w:r>
      <w:r w:rsidRPr="008608AA">
        <w:rPr>
          <w:i/>
          <w:iCs/>
        </w:rPr>
        <w:t>455</w:t>
      </w:r>
      <w:r w:rsidRPr="008608AA">
        <w:t>(7210), 213–215. https://doi.org/10.1038/nature07276</w:t>
      </w:r>
    </w:p>
    <w:p w14:paraId="1760FE04" w14:textId="77777777" w:rsidR="00DD4E98" w:rsidRPr="008608AA" w:rsidRDefault="00DD4E98" w:rsidP="00DD4E98">
      <w:pPr>
        <w:widowControl w:val="0"/>
        <w:ind w:left="906" w:hangingChars="412" w:hanging="906"/>
        <w:contextualSpacing/>
      </w:pPr>
      <w:r w:rsidRPr="008608AA">
        <w:t xml:space="preserve">Lyon, S. (2013). </w:t>
      </w:r>
      <w:r w:rsidRPr="008608AA">
        <w:rPr>
          <w:i/>
        </w:rPr>
        <w:t>Coffee Tourism in Chiapas: Recasting Colonial Narratives for Contemporary Markets. Culture, Agriculture, Food and Environment, 35</w:t>
      </w:r>
      <w:r w:rsidRPr="008608AA">
        <w:t>(2), (pp. 125–139). https://doi.org/10.1111/cuag.12016</w:t>
      </w:r>
    </w:p>
    <w:p w14:paraId="7EFD94A6" w14:textId="77777777" w:rsidR="00DD4E98" w:rsidRPr="008608AA" w:rsidRDefault="00DD4E98" w:rsidP="00DD4E98">
      <w:pPr>
        <w:widowControl w:val="0"/>
        <w:ind w:left="906" w:hangingChars="412" w:hanging="906"/>
        <w:contextualSpacing/>
        <w:rPr>
          <w:lang w:val="es-CO"/>
        </w:rPr>
      </w:pPr>
      <w:r w:rsidRPr="00CE0821">
        <w:rPr>
          <w:lang w:val="es-CO"/>
        </w:rPr>
        <w:t xml:space="preserve">Lyver, P., Perez, E., Carneiro da Cunha, M., &amp; Roué, M. (2015). </w:t>
      </w:r>
      <w:r w:rsidRPr="008608AA">
        <w:rPr>
          <w:i/>
        </w:rPr>
        <w:t>Indigenous and Local Knowledge about Pollination and Pollinators associated with Food Production: Outcomes from the Global Dialogue Workshop</w:t>
      </w:r>
      <w:r w:rsidRPr="008608AA">
        <w:t xml:space="preserve">. </w:t>
      </w:r>
      <w:r w:rsidRPr="008608AA">
        <w:rPr>
          <w:lang w:val="es-CO"/>
        </w:rPr>
        <w:t>Paris.</w:t>
      </w:r>
    </w:p>
    <w:p w14:paraId="613CA328" w14:textId="77777777" w:rsidR="00DD4E98" w:rsidRPr="008608AA" w:rsidRDefault="00DD4E98" w:rsidP="00DD4E98">
      <w:pPr>
        <w:widowControl w:val="0"/>
        <w:ind w:left="906" w:hangingChars="412" w:hanging="906"/>
        <w:contextualSpacing/>
        <w:rPr>
          <w:lang w:val="en-GB"/>
        </w:rPr>
      </w:pPr>
      <w:r w:rsidRPr="008608AA">
        <w:rPr>
          <w:lang w:val="es-ES"/>
        </w:rPr>
        <w:t xml:space="preserve">Maass, J. M., Balvanera, P., Castillo, A., Daily, G. C., Mooney, H. A., Ehrlich, P., Quesada, M., Miranda, A., Jaramillo, V. J., &amp; García-Oliva, F. (2005). </w:t>
      </w:r>
      <w:r w:rsidRPr="008608AA">
        <w:t xml:space="preserve">Ecosystem services of tropical dry forests: insights from longterm ecological and social research on the Pacific Coast of Mexico. </w:t>
      </w:r>
      <w:r w:rsidRPr="008608AA">
        <w:rPr>
          <w:i/>
          <w:iCs/>
        </w:rPr>
        <w:t>Ecology and Society: A Journal of Integrative Science for Resilience and Sustainability</w:t>
      </w:r>
      <w:r w:rsidRPr="008608AA">
        <w:t xml:space="preserve">, </w:t>
      </w:r>
      <w:r w:rsidRPr="008608AA">
        <w:rPr>
          <w:i/>
          <w:iCs/>
        </w:rPr>
        <w:t>10</w:t>
      </w:r>
      <w:r w:rsidRPr="008608AA">
        <w:t>(1), 1–23.</w:t>
      </w:r>
    </w:p>
    <w:p w14:paraId="6E4C234C" w14:textId="77777777" w:rsidR="00DD4E98" w:rsidRPr="008608AA" w:rsidRDefault="00DD4E98" w:rsidP="00DD4E98">
      <w:pPr>
        <w:widowControl w:val="0"/>
        <w:ind w:left="906" w:hangingChars="412" w:hanging="906"/>
        <w:contextualSpacing/>
      </w:pPr>
      <w:r w:rsidRPr="008608AA">
        <w:rPr>
          <w:lang w:val="es-CO"/>
        </w:rPr>
        <w:t xml:space="preserve">MacDicken, K. G., Sola, P., Hall, J. E., Sabogal, C., Tadoum, M., &amp; de Wasseige, C. (2015). </w:t>
      </w:r>
      <w:r w:rsidRPr="008608AA">
        <w:t xml:space="preserve">Global progress toward sustainable forest management. </w:t>
      </w:r>
      <w:r w:rsidRPr="008608AA">
        <w:rPr>
          <w:i/>
        </w:rPr>
        <w:t>Forest Ecology and Management</w:t>
      </w:r>
      <w:r w:rsidRPr="008608AA">
        <w:t xml:space="preserve">, </w:t>
      </w:r>
      <w:r w:rsidRPr="008608AA">
        <w:rPr>
          <w:i/>
        </w:rPr>
        <w:t>352</w:t>
      </w:r>
      <w:r w:rsidRPr="008608AA">
        <w:t>, (pp. 47–56). https://doi.org/10.1016/j.foreco.2015.02.005</w:t>
      </w:r>
    </w:p>
    <w:p w14:paraId="79F31EC8" w14:textId="77777777" w:rsidR="00DD4E98" w:rsidRPr="008608AA" w:rsidRDefault="00DD4E98" w:rsidP="00DD4E98">
      <w:pPr>
        <w:widowControl w:val="0"/>
        <w:ind w:left="906" w:hangingChars="412" w:hanging="906"/>
        <w:contextualSpacing/>
      </w:pPr>
      <w:r w:rsidRPr="008608AA">
        <w:rPr>
          <w:lang w:val="pt-BR"/>
        </w:rPr>
        <w:t xml:space="preserve">Mahon, R., Parker, C., Sinckler, T., Willoughby, S., &amp; Johnson, J. (2007). </w:t>
      </w:r>
      <w:r w:rsidRPr="008608AA">
        <w:t xml:space="preserve">The value of Barbados’ fisheries: a preliminary assessment. </w:t>
      </w:r>
      <w:r w:rsidRPr="008608AA">
        <w:rPr>
          <w:i/>
        </w:rPr>
        <w:t>Plan Public Information Document No. 2</w:t>
      </w:r>
      <w:r w:rsidRPr="008608AA">
        <w:t>, 24.</w:t>
      </w:r>
    </w:p>
    <w:p w14:paraId="7EF0C860" w14:textId="77777777" w:rsidR="00DD4E98" w:rsidRPr="008608AA" w:rsidRDefault="00DD4E98" w:rsidP="00DD4E98">
      <w:pPr>
        <w:widowControl w:val="0"/>
        <w:ind w:left="906" w:hangingChars="412" w:hanging="906"/>
        <w:contextualSpacing/>
      </w:pPr>
      <w:r w:rsidRPr="008608AA">
        <w:t xml:space="preserve">Mahoney, S. P. (2009). Recreational Hunting and Sustainable Wildlife Use in North America. In B. Dickson, J. Hutton, &amp; W. M. Adams (Eds.), </w:t>
      </w:r>
      <w:r w:rsidRPr="008608AA">
        <w:rPr>
          <w:i/>
        </w:rPr>
        <w:t>Recreational Hunting, Conservation and Rural Livelihoods</w:t>
      </w:r>
      <w:r w:rsidRPr="008608AA">
        <w:t xml:space="preserve"> (pp. 266–281). Oxford, UK: Wiley-Blackwell. https://doi.org/10.1002/9781444303179.ch16</w:t>
      </w:r>
    </w:p>
    <w:p w14:paraId="76441677" w14:textId="77777777" w:rsidR="00DD4E98" w:rsidRPr="008608AA" w:rsidRDefault="00DD4E98" w:rsidP="00DD4E98">
      <w:pPr>
        <w:widowControl w:val="0"/>
        <w:ind w:left="906" w:hangingChars="412" w:hanging="906"/>
        <w:contextualSpacing/>
      </w:pPr>
      <w:r w:rsidRPr="008608AA">
        <w:t xml:space="preserve">Marks, R. (2005). </w:t>
      </w:r>
      <w:r w:rsidRPr="008608AA">
        <w:rPr>
          <w:i/>
        </w:rPr>
        <w:t>Native Pollinators.</w:t>
      </w:r>
      <w:r w:rsidRPr="008608AA">
        <w:t xml:space="preserve"> </w:t>
      </w:r>
      <w:r w:rsidRPr="008608AA">
        <w:rPr>
          <w:i/>
        </w:rPr>
        <w:t>Fish and Wildlife Habitat Management Leaflet</w:t>
      </w:r>
      <w:r w:rsidRPr="008608AA">
        <w:t>, (34), (pp. 1–10). https://doi.org/10.2979/NPJ.2008.9.2.80</w:t>
      </w:r>
    </w:p>
    <w:p w14:paraId="2D1EBC5B" w14:textId="77777777" w:rsidR="00DD4E98" w:rsidRPr="008608AA" w:rsidRDefault="00DD4E98" w:rsidP="00DD4E98">
      <w:pPr>
        <w:widowControl w:val="0"/>
        <w:ind w:left="906" w:hangingChars="412" w:hanging="906"/>
        <w:contextualSpacing/>
      </w:pPr>
      <w:r w:rsidRPr="008608AA">
        <w:t xml:space="preserve">Masters, J. (2014). </w:t>
      </w:r>
      <w:r w:rsidRPr="008608AA">
        <w:rPr>
          <w:i/>
        </w:rPr>
        <w:t>CRFM Statistics and Information Report - 2012</w:t>
      </w:r>
      <w:r w:rsidRPr="008608AA">
        <w:t>.</w:t>
      </w:r>
    </w:p>
    <w:p w14:paraId="0F2CC2E8" w14:textId="77777777" w:rsidR="00DD4E98" w:rsidRPr="008608AA" w:rsidRDefault="00DD4E98" w:rsidP="00DD4E98">
      <w:pPr>
        <w:widowControl w:val="0"/>
        <w:ind w:left="906" w:hangingChars="412" w:hanging="906"/>
        <w:contextualSpacing/>
      </w:pPr>
      <w:r w:rsidRPr="008608AA">
        <w:t xml:space="preserve">McBeth, W., Hungerford, H., Marcinkowski, T., Volk, T., &amp; Cifranick, K. (2011). </w:t>
      </w:r>
      <w:r w:rsidRPr="008608AA">
        <w:rPr>
          <w:i/>
        </w:rPr>
        <w:t>National Environmental Literacy Assessment, Phase Two: Measuring the effectiveness of North American environmental education programs with respect to the parameters of environmental literacy</w:t>
      </w:r>
      <w:r w:rsidRPr="008608AA">
        <w:t>. Carbondale, IL. Retrieved from http://www.oesd.noaa.gov/pubs_reports/NELA_Phase_Two_Report_020711.pdf</w:t>
      </w:r>
    </w:p>
    <w:p w14:paraId="433DFB93" w14:textId="77777777" w:rsidR="00DD4E98" w:rsidRPr="00A3137A" w:rsidRDefault="00DD4E98" w:rsidP="00DD4E98">
      <w:pPr>
        <w:widowControl w:val="0"/>
        <w:ind w:left="906" w:hangingChars="412" w:hanging="906"/>
        <w:contextualSpacing/>
        <w:rPr>
          <w:lang w:val="fr-FR"/>
        </w:rPr>
      </w:pPr>
      <w:r w:rsidRPr="008608AA">
        <w:t xml:space="preserve">McEvoy, J., &amp; Wilder, M. (2012). Discourse and desalination: Potential impacts of proposed climate change adaptation interventions in the Arizona–Sonora border region. </w:t>
      </w:r>
      <w:r w:rsidRPr="00A3137A">
        <w:rPr>
          <w:i/>
          <w:lang w:val="fr-FR"/>
        </w:rPr>
        <w:t>Global Environmental Change</w:t>
      </w:r>
      <w:r w:rsidRPr="00A3137A">
        <w:rPr>
          <w:lang w:val="fr-FR"/>
        </w:rPr>
        <w:t xml:space="preserve">, </w:t>
      </w:r>
      <w:r w:rsidRPr="00A3137A">
        <w:rPr>
          <w:i/>
          <w:lang w:val="fr-FR"/>
        </w:rPr>
        <w:t>22</w:t>
      </w:r>
      <w:r w:rsidRPr="00A3137A">
        <w:rPr>
          <w:lang w:val="fr-FR"/>
        </w:rPr>
        <w:t>(2), (pp. 353–363). https://doi.org/10.1016/j.gloenvcha.2011.11.001</w:t>
      </w:r>
    </w:p>
    <w:p w14:paraId="3BE90035" w14:textId="77777777" w:rsidR="00DD4E98" w:rsidRPr="008608AA" w:rsidRDefault="00DD4E98" w:rsidP="00DD4E98">
      <w:pPr>
        <w:widowControl w:val="0"/>
        <w:ind w:left="906" w:hangingChars="412" w:hanging="906"/>
        <w:contextualSpacing/>
      </w:pPr>
      <w:r w:rsidRPr="00A3137A">
        <w:rPr>
          <w:lang w:val="fr-FR"/>
        </w:rPr>
        <w:t xml:space="preserve">Mcivor, A., Spencer, T., &amp; Möller, I. (2012). </w:t>
      </w:r>
      <w:r w:rsidRPr="008608AA">
        <w:rPr>
          <w:i/>
        </w:rPr>
        <w:t>Storm Surge Reduction by Mangroves</w:t>
      </w:r>
      <w:r w:rsidRPr="008608AA">
        <w:t xml:space="preserve"> (Natural Coastal Protection No. 41). </w:t>
      </w:r>
      <w:r w:rsidRPr="008608AA">
        <w:rPr>
          <w:i/>
        </w:rPr>
        <w:t>Natural Coastal Protection Series</w:t>
      </w:r>
      <w:r w:rsidRPr="008608AA">
        <w:t>. Cambridge, UK. Retrieved from http://www.naturalcoastalprotection.org/documents/storm-surge-reduction-by-mangroves</w:t>
      </w:r>
    </w:p>
    <w:p w14:paraId="74B9C7DE" w14:textId="77777777" w:rsidR="00DD4E98" w:rsidRPr="008608AA" w:rsidRDefault="00DD4E98" w:rsidP="00DD4E98">
      <w:pPr>
        <w:widowControl w:val="0"/>
        <w:ind w:left="906" w:hangingChars="412" w:hanging="906"/>
        <w:contextualSpacing/>
        <w:rPr>
          <w:lang w:val="en-GB"/>
        </w:rPr>
      </w:pPr>
      <w:r w:rsidRPr="008608AA">
        <w:t xml:space="preserve">McKinnon, M. C., Cheng, S. H., Dupre, S., Edmond, J., Garside, R., Glew, L., Holland, M. B., Levine, E., Masuda, Y. J., Miller, D. C., Oliveira, I., Revenaz, J., Roe, D., Shamer, S., Wilkie, D., Wongbusarakum, S., &amp; Woodhouse, E. (2016). What are the effects of nature conservation on human well-being? A systematic map of empirical evidence from developing countries. </w:t>
      </w:r>
      <w:r w:rsidRPr="008608AA">
        <w:rPr>
          <w:i/>
          <w:iCs/>
        </w:rPr>
        <w:t>Environmental Evidence</w:t>
      </w:r>
      <w:r w:rsidRPr="008608AA">
        <w:t xml:space="preserve">, </w:t>
      </w:r>
      <w:r w:rsidRPr="008608AA">
        <w:rPr>
          <w:i/>
          <w:iCs/>
        </w:rPr>
        <w:t>5</w:t>
      </w:r>
      <w:r w:rsidRPr="008608AA">
        <w:t>(1), 8. https://doi.org/10.1186/s13750-016-0058-7</w:t>
      </w:r>
    </w:p>
    <w:p w14:paraId="16358EF4" w14:textId="77777777" w:rsidR="00DD4E98" w:rsidRPr="008608AA" w:rsidRDefault="00DD4E98" w:rsidP="00DD4E98">
      <w:pPr>
        <w:widowControl w:val="0"/>
        <w:ind w:left="906" w:hangingChars="412" w:hanging="906"/>
        <w:contextualSpacing/>
        <w:rPr>
          <w:lang w:val="en-GB"/>
        </w:rPr>
      </w:pPr>
      <w:r w:rsidRPr="008608AA">
        <w:t xml:space="preserve">Mcleod, E., Chmura, G. L., Bouillon, S., Salm, R., Björk, M., Duarte, C. M., Lovelock, C. E., Schlesinger, W. H., &amp; Silliman, B. R. (2011). A blueprint for blue carbon: toward an improved understanding of the role of vegetated coastal habitats in sequestering CO2. </w:t>
      </w:r>
      <w:r w:rsidRPr="008608AA">
        <w:rPr>
          <w:i/>
          <w:iCs/>
        </w:rPr>
        <w:t>Frontiers in Ecology and the Environment</w:t>
      </w:r>
      <w:r w:rsidRPr="008608AA">
        <w:t xml:space="preserve">, </w:t>
      </w:r>
      <w:r w:rsidRPr="008608AA">
        <w:rPr>
          <w:i/>
          <w:iCs/>
        </w:rPr>
        <w:t>9</w:t>
      </w:r>
      <w:r w:rsidRPr="008608AA">
        <w:t>(10), 552–560. https://doi.org/10.1890/110004</w:t>
      </w:r>
    </w:p>
    <w:p w14:paraId="1FB9F17F" w14:textId="77777777" w:rsidR="00DD4E98" w:rsidRPr="008608AA" w:rsidRDefault="00DD4E98" w:rsidP="00DD4E98">
      <w:pPr>
        <w:widowControl w:val="0"/>
        <w:ind w:left="906" w:hangingChars="412" w:hanging="906"/>
        <w:contextualSpacing/>
      </w:pPr>
      <w:r w:rsidRPr="008608AA">
        <w:t xml:space="preserve">MEA. (2005). </w:t>
      </w:r>
      <w:r w:rsidRPr="008608AA">
        <w:rPr>
          <w:i/>
        </w:rPr>
        <w:t>Ecosystems and Human Well-Being: Wetlands and Water Synthesis Report</w:t>
      </w:r>
      <w:r w:rsidRPr="008608AA">
        <w:t>. World Resources Institute (WRI).</w:t>
      </w:r>
    </w:p>
    <w:p w14:paraId="3B725A39" w14:textId="77777777" w:rsidR="00DD4E98" w:rsidRPr="008608AA" w:rsidRDefault="00DD4E98" w:rsidP="00DD4E98">
      <w:pPr>
        <w:widowControl w:val="0"/>
        <w:ind w:left="906" w:hangingChars="412" w:hanging="906"/>
        <w:contextualSpacing/>
      </w:pPr>
      <w:r w:rsidRPr="008608AA">
        <w:t xml:space="preserve">Meadows, D. H., Meadows, D. L., Randers, J., &amp; III, B. W. W. (1972). </w:t>
      </w:r>
      <w:r w:rsidRPr="008608AA">
        <w:rPr>
          <w:i/>
        </w:rPr>
        <w:t>The Limits to Growth: A Report for the CUB of Rome’s Project on the Predicament of Mankind</w:t>
      </w:r>
      <w:r w:rsidRPr="008608AA">
        <w:t xml:space="preserve"> (Vol. 8). New York: Universe Books. https://doi.org/10.1111/j.1752-1688.1972.tb05230.x</w:t>
      </w:r>
    </w:p>
    <w:p w14:paraId="2CFC0251" w14:textId="77777777" w:rsidR="00DD4E98" w:rsidRPr="008608AA" w:rsidRDefault="00DD4E98" w:rsidP="00DD4E98">
      <w:pPr>
        <w:widowControl w:val="0"/>
        <w:ind w:left="906" w:hangingChars="412" w:hanging="906"/>
        <w:contextualSpacing/>
      </w:pPr>
      <w:r w:rsidRPr="008608AA">
        <w:t xml:space="preserve">Medeiros, A. S., Wood, P., Wesche, S. D., Bakaic, M., &amp; Peters, J. F. (2017). Water security for northern peoples: review of threats to Arctic freshwater systems in Nunavut, Canada. </w:t>
      </w:r>
      <w:r w:rsidRPr="008608AA">
        <w:rPr>
          <w:i/>
        </w:rPr>
        <w:t>Regional Environmental Change</w:t>
      </w:r>
      <w:r w:rsidRPr="008608AA">
        <w:t xml:space="preserve">, </w:t>
      </w:r>
      <w:r w:rsidRPr="008608AA">
        <w:rPr>
          <w:i/>
        </w:rPr>
        <w:t>17</w:t>
      </w:r>
      <w:r w:rsidRPr="008608AA">
        <w:t>(3), (pp. 635–647). https://doi.org/10.1007/s10113-016-1084-2</w:t>
      </w:r>
    </w:p>
    <w:p w14:paraId="5AF1AD73" w14:textId="77777777" w:rsidR="00DD4E98" w:rsidRPr="008608AA" w:rsidRDefault="00DD4E98" w:rsidP="00DD4E98">
      <w:pPr>
        <w:widowControl w:val="0"/>
        <w:ind w:left="906" w:hangingChars="412" w:hanging="906"/>
        <w:contextualSpacing/>
      </w:pPr>
      <w:r w:rsidRPr="008608AA">
        <w:t xml:space="preserve">Mekonnen, M. M., &amp; Hoekstra, A. Y. (2011). </w:t>
      </w:r>
      <w:r w:rsidRPr="008608AA">
        <w:rPr>
          <w:i/>
        </w:rPr>
        <w:t>National water footprint accounts: The green, blue and grey water footprint of production and consumption</w:t>
      </w:r>
      <w:r w:rsidRPr="008608AA">
        <w:t xml:space="preserve"> (Value of Water Research Report Series No. 50). Delft, The Netherlands.</w:t>
      </w:r>
    </w:p>
    <w:p w14:paraId="0497EE52" w14:textId="77777777" w:rsidR="00DD4E98" w:rsidRPr="008608AA" w:rsidRDefault="00DD4E98" w:rsidP="00DD4E98">
      <w:pPr>
        <w:widowControl w:val="0"/>
        <w:ind w:left="906" w:hangingChars="412" w:hanging="906"/>
        <w:contextualSpacing/>
        <w:rPr>
          <w:lang w:val="es-CO"/>
        </w:rPr>
      </w:pPr>
      <w:r w:rsidRPr="008608AA">
        <w:t xml:space="preserve">Mekonnen, M. M., &amp; Hoekstra, A. Y. (2012). A Global Assessment of the Water Footprint of Farm Animal Products. </w:t>
      </w:r>
      <w:r w:rsidRPr="008608AA">
        <w:rPr>
          <w:i/>
          <w:lang w:val="es-CO"/>
        </w:rPr>
        <w:t>Ecosystems</w:t>
      </w:r>
      <w:r w:rsidRPr="008608AA">
        <w:rPr>
          <w:lang w:val="es-CO"/>
        </w:rPr>
        <w:t xml:space="preserve">, </w:t>
      </w:r>
      <w:r w:rsidRPr="008608AA">
        <w:rPr>
          <w:i/>
          <w:lang w:val="es-CO"/>
        </w:rPr>
        <w:t>15</w:t>
      </w:r>
      <w:r w:rsidRPr="008608AA">
        <w:rPr>
          <w:lang w:val="es-CO"/>
        </w:rPr>
        <w:t>(3), (pp. 401–415). https://doi.org/10.1007/s10021-011-9517-8</w:t>
      </w:r>
    </w:p>
    <w:p w14:paraId="539E7596" w14:textId="77777777" w:rsidR="00DD4E98" w:rsidRPr="00CE0821" w:rsidRDefault="00DD4E98" w:rsidP="00DD4E98">
      <w:pPr>
        <w:widowControl w:val="0"/>
        <w:ind w:left="906" w:hangingChars="412" w:hanging="906"/>
        <w:contextualSpacing/>
      </w:pPr>
      <w:r w:rsidRPr="008608AA">
        <w:rPr>
          <w:lang w:val="es-CO"/>
        </w:rPr>
        <w:t xml:space="preserve">Mendoza, G. M. (2010). </w:t>
      </w:r>
      <w:r w:rsidRPr="008608AA">
        <w:rPr>
          <w:i/>
          <w:lang w:val="es-CO"/>
        </w:rPr>
        <w:t>Los parientes silvestres del cultivo de la yuca en Bolivia: Estado de conocimiento, grado de conservación y acciones de conservación propuestas.</w:t>
      </w:r>
      <w:r w:rsidRPr="008608AA">
        <w:rPr>
          <w:lang w:val="es-CO"/>
        </w:rPr>
        <w:t xml:space="preserve"> </w:t>
      </w:r>
      <w:r w:rsidRPr="00CE0821">
        <w:t>La Paz, Bolivia.</w:t>
      </w:r>
    </w:p>
    <w:p w14:paraId="0111E55F" w14:textId="77777777" w:rsidR="00DD4E98" w:rsidRPr="008608AA" w:rsidRDefault="00DD4E98" w:rsidP="00DD4E98">
      <w:pPr>
        <w:widowControl w:val="0"/>
        <w:ind w:left="906" w:hangingChars="412" w:hanging="906"/>
        <w:contextualSpacing/>
        <w:rPr>
          <w:lang w:val="en-GB"/>
        </w:rPr>
      </w:pPr>
      <w:r w:rsidRPr="00CE0821">
        <w:t xml:space="preserve">Michalak, A. M., Anderson, E. J., Beletsky, D., Boland, S., Bosch, N. S., Bridgeman, T. B., Chaffin, J. D., Cho, K., Confesor, R., Daloglu, I., Depinto, J. V, Evans, M. A., Fahnenstiel, G. L., He, L., Ho, J. C., Jenkins, L., Johengen, T. H., Kuo, K. C., Laporte, E., Liu, X., McWilliams, M. R., Moore, M. R., Posselt, D. J., Richards, R. P., Scavia, D., Steiner, A. L., Verhamme, E., Wright, D. M., &amp; Zagorski, M. A. (2013). </w:t>
      </w:r>
      <w:r w:rsidRPr="008608AA">
        <w:t xml:space="preserve">Record-setting algal bloom in Lake Erie caused by agricultural and meteorological trends consistent with expected future conditions. </w:t>
      </w:r>
      <w:r w:rsidRPr="008608AA">
        <w:rPr>
          <w:i/>
          <w:iCs/>
        </w:rPr>
        <w:t>Proceedings of the National Academy of Sciences of the United States of America</w:t>
      </w:r>
      <w:r w:rsidRPr="008608AA">
        <w:t xml:space="preserve">, </w:t>
      </w:r>
      <w:r w:rsidRPr="008608AA">
        <w:rPr>
          <w:i/>
          <w:iCs/>
        </w:rPr>
        <w:t>110</w:t>
      </w:r>
      <w:r w:rsidRPr="008608AA">
        <w:t>(16), 6448–6452. https://doi.org/10.1073/pnas.1216006110</w:t>
      </w:r>
    </w:p>
    <w:p w14:paraId="269913E0" w14:textId="77777777" w:rsidR="00DD4E98" w:rsidRPr="008608AA" w:rsidRDefault="00DD4E98" w:rsidP="00DD4E98">
      <w:pPr>
        <w:widowControl w:val="0"/>
        <w:ind w:left="906" w:hangingChars="412" w:hanging="906"/>
        <w:contextualSpacing/>
      </w:pPr>
      <w:r w:rsidRPr="008608AA">
        <w:t xml:space="preserve">Millennium Ecosystem Assessment. (2005). </w:t>
      </w:r>
      <w:r w:rsidRPr="008608AA">
        <w:rPr>
          <w:i/>
        </w:rPr>
        <w:t>Ecosystem and human well-being. Summary for decision makers. In Ecosystems and Human Well-being: Synthesis</w:t>
      </w:r>
      <w:r w:rsidRPr="008608AA">
        <w:t xml:space="preserve"> (pp. 1–24). Washington, D.C.: Island Press. https://doi.org/http,//www.maweb.org/.</w:t>
      </w:r>
    </w:p>
    <w:p w14:paraId="599C5237" w14:textId="77777777" w:rsidR="00DD4E98" w:rsidRPr="008608AA" w:rsidRDefault="00DD4E98" w:rsidP="00DD4E98">
      <w:pPr>
        <w:widowControl w:val="0"/>
        <w:ind w:left="906" w:hangingChars="412" w:hanging="906"/>
        <w:contextualSpacing/>
      </w:pPr>
      <w:r w:rsidRPr="008608AA">
        <w:t xml:space="preserve">Mitchell, J. E. (2000). </w:t>
      </w:r>
      <w:r w:rsidRPr="008608AA">
        <w:rPr>
          <w:i/>
        </w:rPr>
        <w:t>Rangeland resource trends in the United States: A technical document supporting the 2000 USDA Forest Service RPA Assessment</w:t>
      </w:r>
      <w:r w:rsidRPr="008608AA">
        <w:t xml:space="preserve">. </w:t>
      </w:r>
      <w:r w:rsidRPr="008608AA">
        <w:rPr>
          <w:i/>
        </w:rPr>
        <w:t>USDA Forest Service General Techical Report</w:t>
      </w:r>
      <w:r w:rsidRPr="008608AA">
        <w:t>. Fort Collins, CO. https://doi.org/http://www.fs.fed.us/rm/pubs/rmrs%5Fgtr68.html</w:t>
      </w:r>
    </w:p>
    <w:p w14:paraId="5D0AE527" w14:textId="77777777" w:rsidR="00DD4E98" w:rsidRPr="008608AA" w:rsidRDefault="00DD4E98" w:rsidP="00DD4E98">
      <w:pPr>
        <w:widowControl w:val="0"/>
        <w:ind w:left="906" w:hangingChars="412" w:hanging="906"/>
        <w:contextualSpacing/>
      </w:pPr>
      <w:r w:rsidRPr="008608AA">
        <w:t xml:space="preserve">Mitchell, S. J. (2013). </w:t>
      </w:r>
      <w:r w:rsidRPr="008608AA">
        <w:rPr>
          <w:i/>
        </w:rPr>
        <w:t>Wind as a natural disturbance agent in forests: A synthesis</w:t>
      </w:r>
      <w:r w:rsidRPr="008608AA">
        <w:t xml:space="preserve">. </w:t>
      </w:r>
      <w:r w:rsidRPr="008608AA">
        <w:rPr>
          <w:i/>
        </w:rPr>
        <w:t>Forestry</w:t>
      </w:r>
      <w:r w:rsidRPr="008608AA">
        <w:t xml:space="preserve">, </w:t>
      </w:r>
      <w:r w:rsidRPr="008608AA">
        <w:rPr>
          <w:i/>
        </w:rPr>
        <w:t>86</w:t>
      </w:r>
      <w:r w:rsidRPr="008608AA">
        <w:t>(2), (pp. 147–157). https://doi.org/10.1093/forestry/cps058</w:t>
      </w:r>
    </w:p>
    <w:p w14:paraId="0605F12C" w14:textId="77777777" w:rsidR="00DD4E98" w:rsidRPr="008608AA" w:rsidRDefault="00DD4E98" w:rsidP="00DD4E98">
      <w:pPr>
        <w:widowControl w:val="0"/>
        <w:ind w:left="906" w:hangingChars="412" w:hanging="906"/>
        <w:contextualSpacing/>
      </w:pPr>
      <w:r w:rsidRPr="008608AA">
        <w:t xml:space="preserve">Mitsch, W. J., &amp; Gosselink, J. G. (2015). </w:t>
      </w:r>
      <w:r w:rsidRPr="008608AA">
        <w:rPr>
          <w:i/>
        </w:rPr>
        <w:t>Wetlands</w:t>
      </w:r>
      <w:r w:rsidRPr="008608AA">
        <w:t xml:space="preserve"> (5th ed.). Hoboken, NJ, USA: Wiley.</w:t>
      </w:r>
    </w:p>
    <w:p w14:paraId="2D01DCF5" w14:textId="77777777" w:rsidR="00DD4E98" w:rsidRPr="008608AA" w:rsidRDefault="00DD4E98" w:rsidP="00DD4E98">
      <w:pPr>
        <w:widowControl w:val="0"/>
        <w:ind w:left="906" w:hangingChars="412" w:hanging="906"/>
        <w:contextualSpacing/>
        <w:rPr>
          <w:lang w:val="en-GB"/>
        </w:rPr>
      </w:pPr>
      <w:r w:rsidRPr="008608AA">
        <w:t xml:space="preserve">Mitsch, W. J., Day, J. W., Gilliam, J. W., Groffman, P. M., Hey, D. L., Randall, G. W., &amp; Wang, N. (2001). Reducing Nitrogen Loading to the Gulf of Mexico from the Mississippi River Basin: Strategies to Counter a Persistent Ecological ProblemEcotechnology—the use of natural ecosystems to solve environmental problems—should be a part of efforts to shrink the zone of hypoxia in the Gulf of Mexico. </w:t>
      </w:r>
      <w:r w:rsidRPr="008608AA">
        <w:rPr>
          <w:i/>
          <w:iCs/>
        </w:rPr>
        <w:t>BioScience</w:t>
      </w:r>
      <w:r w:rsidRPr="008608AA">
        <w:t xml:space="preserve">, </w:t>
      </w:r>
      <w:r w:rsidRPr="008608AA">
        <w:rPr>
          <w:i/>
          <w:iCs/>
        </w:rPr>
        <w:t>51</w:t>
      </w:r>
      <w:r w:rsidRPr="008608AA">
        <w:t>(5), 373–388. https://doi.org/10.1641/0006-3568(2001)051[0373:rnlttg]2.0.co;2</w:t>
      </w:r>
    </w:p>
    <w:p w14:paraId="3B8670C8" w14:textId="77777777" w:rsidR="00DD4E98" w:rsidRPr="008608AA" w:rsidRDefault="00DD4E98" w:rsidP="00DD4E98">
      <w:pPr>
        <w:widowControl w:val="0"/>
        <w:ind w:left="906" w:hangingChars="412" w:hanging="906"/>
        <w:contextualSpacing/>
      </w:pPr>
      <w:r w:rsidRPr="008608AA">
        <w:t xml:space="preserve">Mittermeier, R. A. (1991). </w:t>
      </w:r>
      <w:r w:rsidRPr="008608AA">
        <w:rPr>
          <w:i/>
        </w:rPr>
        <w:t>Hunting and its effect on wild primate populations in Suriname. In J. Robinson &amp; K. Redford (Eds.),</w:t>
      </w:r>
      <w:r w:rsidRPr="008608AA">
        <w:t xml:space="preserve"> </w:t>
      </w:r>
      <w:r w:rsidRPr="008608AA">
        <w:rPr>
          <w:i/>
        </w:rPr>
        <w:t>Neotropical wildlife use and conservation</w:t>
      </w:r>
      <w:r w:rsidRPr="008608AA">
        <w:t xml:space="preserve"> (pp. 93–107). University of Chicago.</w:t>
      </w:r>
    </w:p>
    <w:p w14:paraId="2FA170F7" w14:textId="77777777" w:rsidR="00DD4E98" w:rsidRPr="008608AA" w:rsidRDefault="00DD4E98" w:rsidP="00DD4E98">
      <w:pPr>
        <w:widowControl w:val="0"/>
        <w:ind w:left="906" w:hangingChars="412" w:hanging="906"/>
        <w:contextualSpacing/>
      </w:pPr>
      <w:r w:rsidRPr="008608AA">
        <w:t xml:space="preserve">Moerman, D. E. (1996). An analysis of the food plants and drug plants of native North America. </w:t>
      </w:r>
      <w:r w:rsidRPr="008608AA">
        <w:rPr>
          <w:i/>
        </w:rPr>
        <w:t>Journal of Ethnopharmacology</w:t>
      </w:r>
      <w:r w:rsidRPr="008608AA">
        <w:t xml:space="preserve">, </w:t>
      </w:r>
      <w:r w:rsidRPr="008608AA">
        <w:rPr>
          <w:i/>
        </w:rPr>
        <w:t>52</w:t>
      </w:r>
      <w:r w:rsidRPr="008608AA">
        <w:t>(1), (pp. 1–22). https://doi.org/http://dx.doi.org/10.1016/0378-8741(96)01393-1</w:t>
      </w:r>
    </w:p>
    <w:p w14:paraId="5F777212" w14:textId="77777777" w:rsidR="00DD4E98" w:rsidRPr="008608AA" w:rsidRDefault="00DD4E98" w:rsidP="00DD4E98">
      <w:pPr>
        <w:widowControl w:val="0"/>
        <w:ind w:left="906" w:hangingChars="412" w:hanging="906"/>
        <w:contextualSpacing/>
      </w:pPr>
      <w:r w:rsidRPr="008608AA">
        <w:rPr>
          <w:lang w:val="es-CO"/>
        </w:rPr>
        <w:t xml:space="preserve">Mora, C., Graham, N. A. J., &amp; Nyström, M. (2016). </w:t>
      </w:r>
      <w:r w:rsidRPr="008608AA">
        <w:t xml:space="preserve">Ecological limitations to the resilience of coral reefs. </w:t>
      </w:r>
      <w:r w:rsidRPr="008608AA">
        <w:rPr>
          <w:i/>
        </w:rPr>
        <w:t>Coral Reefs</w:t>
      </w:r>
      <w:r w:rsidRPr="008608AA">
        <w:t xml:space="preserve">, </w:t>
      </w:r>
      <w:r w:rsidRPr="008608AA">
        <w:rPr>
          <w:i/>
        </w:rPr>
        <w:t>35</w:t>
      </w:r>
      <w:r w:rsidRPr="008608AA">
        <w:t>(4), (pp. 1271–1280). https://doi.org/10.1007/s00338-016-1479-z</w:t>
      </w:r>
    </w:p>
    <w:p w14:paraId="045FFB2D" w14:textId="77777777" w:rsidR="00DD4E98" w:rsidRPr="00CE0821" w:rsidRDefault="00DD4E98" w:rsidP="00DD4E98">
      <w:pPr>
        <w:widowControl w:val="0"/>
        <w:ind w:left="906" w:hangingChars="412" w:hanging="906"/>
        <w:contextualSpacing/>
      </w:pPr>
      <w:r w:rsidRPr="008608AA">
        <w:t xml:space="preserve">Morales, C., &amp; Aizen, M. A. (2004). Potential displacement of the native bumblebee Bombus dahlbomii by the invasive Bombus ruderatus in NW Patagonia. In D. de Jong (Ed.), </w:t>
      </w:r>
      <w:r w:rsidRPr="008608AA">
        <w:rPr>
          <w:i/>
        </w:rPr>
        <w:t>Proceedings of the 8th International Conference on Tropical Bees and VI Encontro sobre Abelhas</w:t>
      </w:r>
      <w:r w:rsidRPr="008608AA">
        <w:t xml:space="preserve"> (pp. 70–76). </w:t>
      </w:r>
      <w:r w:rsidRPr="00CE0821">
        <w:t>International Bee Research Association.</w:t>
      </w:r>
    </w:p>
    <w:p w14:paraId="7133B0A1" w14:textId="77777777" w:rsidR="00DD4E98" w:rsidRPr="008608AA" w:rsidRDefault="00DD4E98" w:rsidP="00DD4E98">
      <w:pPr>
        <w:widowControl w:val="0"/>
        <w:ind w:left="906" w:hangingChars="412" w:hanging="906"/>
        <w:contextualSpacing/>
        <w:rPr>
          <w:lang w:val="es-CO"/>
        </w:rPr>
      </w:pPr>
      <w:r w:rsidRPr="00CE0821">
        <w:t xml:space="preserve">Mora-Portuguez, J., &amp; Dubois-Cisneros, V. (2015). </w:t>
      </w:r>
      <w:r w:rsidRPr="008608AA">
        <w:rPr>
          <w:i/>
          <w:lang w:val="es-CO"/>
        </w:rPr>
        <w:t>Implementación del derecho humano al agua en América Latina</w:t>
      </w:r>
      <w:r w:rsidRPr="008608AA">
        <w:rPr>
          <w:lang w:val="es-CO"/>
        </w:rPr>
        <w:t xml:space="preserve">. </w:t>
      </w:r>
      <w:r w:rsidRPr="008608AA">
        <w:rPr>
          <w:i/>
          <w:lang w:val="es-CO"/>
        </w:rPr>
        <w:t>VII Foro Mundial del Agua</w:t>
      </w:r>
      <w:r w:rsidRPr="008608AA">
        <w:rPr>
          <w:lang w:val="es-CO"/>
        </w:rPr>
        <w:t>. Buenos Aires: Corporación Andina de Fomento. Retrieved from http://files/59/CAF Implementacion del derecho humano al agua America del Sur.pdf</w:t>
      </w:r>
    </w:p>
    <w:p w14:paraId="670C1509" w14:textId="77777777" w:rsidR="00DD4E98" w:rsidRPr="008608AA" w:rsidRDefault="00DD4E98" w:rsidP="00DD4E98">
      <w:pPr>
        <w:widowControl w:val="0"/>
        <w:ind w:left="906" w:hangingChars="412" w:hanging="906"/>
        <w:contextualSpacing/>
        <w:rPr>
          <w:lang w:val="es-CO"/>
        </w:rPr>
      </w:pPr>
      <w:r w:rsidRPr="008608AA">
        <w:rPr>
          <w:lang w:val="es-CO"/>
        </w:rPr>
        <w:t xml:space="preserve">Morello, J., &amp; Rodríguez, A. (2001). Parasitismo y mutualismo entre Buenos Aires y la Pampa. </w:t>
      </w:r>
      <w:r w:rsidRPr="008608AA">
        <w:rPr>
          <w:i/>
          <w:lang w:val="es-CO"/>
        </w:rPr>
        <w:t>Encrucijadas 10, Revista de La Universidad de Buenos Aires</w:t>
      </w:r>
      <w:r w:rsidRPr="008608AA">
        <w:rPr>
          <w:lang w:val="es-CO"/>
        </w:rPr>
        <w:t>.</w:t>
      </w:r>
    </w:p>
    <w:p w14:paraId="558FE08C" w14:textId="77777777" w:rsidR="00DD4E98" w:rsidRPr="008608AA" w:rsidRDefault="00DD4E98" w:rsidP="00DD4E98">
      <w:pPr>
        <w:widowControl w:val="0"/>
        <w:ind w:left="906" w:hangingChars="412" w:hanging="906"/>
        <w:contextualSpacing/>
        <w:rPr>
          <w:lang w:val="es-CO"/>
        </w:rPr>
      </w:pPr>
      <w:r w:rsidRPr="008608AA">
        <w:rPr>
          <w:lang w:val="es-CO"/>
        </w:rPr>
        <w:t xml:space="preserve">Moreno, M. (2011). </w:t>
      </w:r>
      <w:r w:rsidRPr="008608AA">
        <w:rPr>
          <w:i/>
        </w:rPr>
        <w:t>Contributions of the Existence of National Parks and Biological Reserves in Costa Rica. In</w:t>
      </w:r>
      <w:r w:rsidRPr="008608AA">
        <w:t xml:space="preserve"> </w:t>
      </w:r>
      <w:r w:rsidRPr="008608AA">
        <w:rPr>
          <w:i/>
        </w:rPr>
        <w:t>Protected Areas - not just for biodiversity Conservation: The contributions of protected areas to the economic and social development in Bhutan, Costa Rica and Benin</w:t>
      </w:r>
      <w:r w:rsidRPr="008608AA">
        <w:t xml:space="preserve"> (pp. 251–298). </w:t>
      </w:r>
      <w:r w:rsidRPr="008608AA">
        <w:rPr>
          <w:lang w:val="es-CO"/>
        </w:rPr>
        <w:t>UNA, CINPE, CEBEDES, NCD, Zeta Servicios Gráficos S.A.</w:t>
      </w:r>
    </w:p>
    <w:p w14:paraId="0BA63261" w14:textId="77777777" w:rsidR="00DD4E98" w:rsidRPr="008608AA" w:rsidRDefault="00DD4E98" w:rsidP="00DD4E98">
      <w:pPr>
        <w:widowControl w:val="0"/>
        <w:ind w:left="906" w:hangingChars="412" w:hanging="906"/>
        <w:contextualSpacing/>
      </w:pPr>
      <w:r w:rsidRPr="008608AA">
        <w:rPr>
          <w:lang w:val="es-CO"/>
        </w:rPr>
        <w:t xml:space="preserve">Morton, R. A., &amp; Barras, J. A. (2011). </w:t>
      </w:r>
      <w:r w:rsidRPr="008608AA">
        <w:t xml:space="preserve">Hurricane Impacts on Coastal Wetlands: A Half-Century Record of Storm-Generated Features from Southern Louisiana. </w:t>
      </w:r>
      <w:r w:rsidRPr="008608AA">
        <w:rPr>
          <w:i/>
        </w:rPr>
        <w:t>Journal of Coastal Research</w:t>
      </w:r>
      <w:r w:rsidRPr="008608AA">
        <w:t xml:space="preserve">, </w:t>
      </w:r>
      <w:r w:rsidRPr="008608AA">
        <w:rPr>
          <w:i/>
        </w:rPr>
        <w:t>275</w:t>
      </w:r>
      <w:r w:rsidRPr="008608AA">
        <w:t>, (pp. 27–43). https://doi.org/10.2112/JCOASTRES-D-10-00185.1</w:t>
      </w:r>
    </w:p>
    <w:p w14:paraId="01E76CB6" w14:textId="77777777" w:rsidR="00DD4E98" w:rsidRPr="008608AA" w:rsidRDefault="00DD4E98" w:rsidP="00DD4E98">
      <w:pPr>
        <w:widowControl w:val="0"/>
        <w:ind w:left="906" w:hangingChars="412" w:hanging="906"/>
        <w:contextualSpacing/>
      </w:pPr>
      <w:r w:rsidRPr="008608AA">
        <w:rPr>
          <w:lang w:val="pt-BR"/>
        </w:rPr>
        <w:t xml:space="preserve">Mouchet, M. A., Lamarque, P., Martín-López, B., Crouzat, E., Gos, P., Byczek, C., &amp; Lavorel, S. (2014). </w:t>
      </w:r>
      <w:r w:rsidRPr="008608AA">
        <w:t xml:space="preserve">An interdisciplinary methodological guide for quantifying associations between ecosystem services. </w:t>
      </w:r>
      <w:r w:rsidRPr="008608AA">
        <w:rPr>
          <w:i/>
        </w:rPr>
        <w:t>Global Environmental Change</w:t>
      </w:r>
      <w:r w:rsidRPr="008608AA">
        <w:t xml:space="preserve">, </w:t>
      </w:r>
      <w:r w:rsidRPr="008608AA">
        <w:rPr>
          <w:i/>
        </w:rPr>
        <w:t>28</w:t>
      </w:r>
      <w:r w:rsidRPr="008608AA">
        <w:t>(1), (pp. 298–308). https://doi.org/10.1016/j.gloenvcha.2014.07.012</w:t>
      </w:r>
    </w:p>
    <w:p w14:paraId="264241CF" w14:textId="77777777" w:rsidR="00DD4E98" w:rsidRPr="008608AA" w:rsidRDefault="00DD4E98" w:rsidP="00DD4E98">
      <w:pPr>
        <w:widowControl w:val="0"/>
        <w:ind w:left="906" w:hangingChars="412" w:hanging="906"/>
        <w:contextualSpacing/>
      </w:pPr>
      <w:r w:rsidRPr="008608AA">
        <w:t xml:space="preserve">Mueller, J. M., Swaffar, W., Nielsen, E. A., Springer, A. E., &amp; Lopez, S. M. (2013). Estimating the value of watershed services following forest restoration. </w:t>
      </w:r>
      <w:r w:rsidRPr="008608AA">
        <w:rPr>
          <w:i/>
        </w:rPr>
        <w:t>Water Resources Research</w:t>
      </w:r>
      <w:r w:rsidRPr="008608AA">
        <w:t xml:space="preserve">, </w:t>
      </w:r>
      <w:r w:rsidRPr="008608AA">
        <w:rPr>
          <w:i/>
        </w:rPr>
        <w:t>49</w:t>
      </w:r>
      <w:r w:rsidRPr="008608AA">
        <w:t>(4), (pp. 1773–1781). https://doi.org/10.1002/wrcr.20163</w:t>
      </w:r>
    </w:p>
    <w:p w14:paraId="56E364D0" w14:textId="77777777" w:rsidR="00DD4E98" w:rsidRPr="008608AA" w:rsidRDefault="00DD4E98" w:rsidP="00DD4E98">
      <w:pPr>
        <w:widowControl w:val="0"/>
        <w:ind w:left="906" w:hangingChars="412" w:hanging="906"/>
        <w:contextualSpacing/>
      </w:pPr>
      <w:r w:rsidRPr="008608AA">
        <w:rPr>
          <w:lang w:val="de-DE"/>
        </w:rPr>
        <w:t xml:space="preserve">Myers, N., Mittermeier, R. A., Mittermeier, C. G., da Fonseca, G. A. B., &amp; Kent, J. (2000). </w:t>
      </w:r>
      <w:r w:rsidRPr="008608AA">
        <w:t xml:space="preserve">Biodiversity hotspots for conservation priorities. </w:t>
      </w:r>
      <w:r w:rsidRPr="008608AA">
        <w:rPr>
          <w:i/>
        </w:rPr>
        <w:t>Nature</w:t>
      </w:r>
      <w:r w:rsidRPr="008608AA">
        <w:t xml:space="preserve">, </w:t>
      </w:r>
      <w:r w:rsidRPr="008608AA">
        <w:rPr>
          <w:i/>
        </w:rPr>
        <w:t>403</w:t>
      </w:r>
      <w:r w:rsidRPr="008608AA">
        <w:t>(6772), (pp. 853–858). https://doi.org/10.1038/35002501</w:t>
      </w:r>
    </w:p>
    <w:p w14:paraId="6C9F5C65" w14:textId="77777777" w:rsidR="00DD4E98" w:rsidRPr="008608AA" w:rsidRDefault="00DD4E98" w:rsidP="00DD4E98">
      <w:pPr>
        <w:widowControl w:val="0"/>
        <w:ind w:left="906" w:hangingChars="412" w:hanging="906"/>
        <w:contextualSpacing/>
      </w:pPr>
      <w:r w:rsidRPr="008608AA">
        <w:t xml:space="preserve">Nagendra, H. (2008). Do Parks Work? Impact of Protected Areas on Land Cover Clearing. </w:t>
      </w:r>
      <w:r w:rsidRPr="008608AA">
        <w:rPr>
          <w:i/>
        </w:rPr>
        <w:t>AMBIO: A Journal of the Human Environment</w:t>
      </w:r>
      <w:r w:rsidRPr="008608AA">
        <w:t xml:space="preserve">, </w:t>
      </w:r>
      <w:r w:rsidRPr="008608AA">
        <w:rPr>
          <w:i/>
        </w:rPr>
        <w:t>37</w:t>
      </w:r>
      <w:r w:rsidRPr="008608AA">
        <w:t>(5), (pp. 330–337). https://doi.org/10.1579/06-R-184.1</w:t>
      </w:r>
    </w:p>
    <w:p w14:paraId="38A890EB" w14:textId="77777777" w:rsidR="00DD4E98" w:rsidRPr="00A3137A" w:rsidRDefault="00DD4E98" w:rsidP="00DD4E98">
      <w:pPr>
        <w:widowControl w:val="0"/>
        <w:ind w:left="906" w:hangingChars="412" w:hanging="906"/>
        <w:contextualSpacing/>
        <w:rPr>
          <w:lang w:val="fr-FR"/>
        </w:rPr>
      </w:pPr>
      <w:r w:rsidRPr="008608AA">
        <w:rPr>
          <w:lang w:val="de-DE"/>
        </w:rPr>
        <w:t xml:space="preserve">Nahlik, A. M., &amp; Fennessy, M. S. (2016). </w:t>
      </w:r>
      <w:r w:rsidRPr="008608AA">
        <w:t xml:space="preserve">Carbon storage in US wetlands. </w:t>
      </w:r>
      <w:r w:rsidRPr="00A3137A">
        <w:rPr>
          <w:i/>
          <w:lang w:val="fr-FR"/>
        </w:rPr>
        <w:t>Nature Communications</w:t>
      </w:r>
      <w:r w:rsidRPr="00A3137A">
        <w:rPr>
          <w:lang w:val="fr-FR"/>
        </w:rPr>
        <w:t xml:space="preserve">, </w:t>
      </w:r>
      <w:r w:rsidRPr="00A3137A">
        <w:rPr>
          <w:i/>
          <w:lang w:val="fr-FR"/>
        </w:rPr>
        <w:t>7</w:t>
      </w:r>
      <w:r w:rsidRPr="00A3137A">
        <w:rPr>
          <w:lang w:val="fr-FR"/>
        </w:rPr>
        <w:t>, 13835. https://doi.org/10.1038/ncomms13835</w:t>
      </w:r>
    </w:p>
    <w:p w14:paraId="35CC5586" w14:textId="77777777" w:rsidR="00DD4E98" w:rsidRPr="008608AA" w:rsidRDefault="00DD4E98" w:rsidP="00DD4E98">
      <w:pPr>
        <w:widowControl w:val="0"/>
        <w:ind w:left="906" w:hangingChars="412" w:hanging="906"/>
        <w:contextualSpacing/>
      </w:pPr>
      <w:r w:rsidRPr="00A3137A">
        <w:rPr>
          <w:lang w:val="fr-FR"/>
        </w:rPr>
        <w:t xml:space="preserve">Nahlik, A. M., &amp; Mitsch, W. J. (2011). </w:t>
      </w:r>
      <w:r w:rsidRPr="008608AA">
        <w:t xml:space="preserve">Methane emissions from tropical freshwater wetlands located in different climatic zones of Costa Rica. </w:t>
      </w:r>
      <w:r w:rsidRPr="008608AA">
        <w:rPr>
          <w:i/>
        </w:rPr>
        <w:t>Global Change Biology</w:t>
      </w:r>
      <w:r w:rsidRPr="008608AA">
        <w:t xml:space="preserve">, </w:t>
      </w:r>
      <w:r w:rsidRPr="008608AA">
        <w:rPr>
          <w:i/>
        </w:rPr>
        <w:t>17</w:t>
      </w:r>
      <w:r w:rsidRPr="008608AA">
        <w:t>(3), (pp. 1321–1334). https://doi.org/10.1111/j.1365-2486.2010.02190.x</w:t>
      </w:r>
    </w:p>
    <w:p w14:paraId="7AF9BA76" w14:textId="77777777" w:rsidR="00DD4E98" w:rsidRPr="008608AA" w:rsidRDefault="00DD4E98" w:rsidP="00DD4E98">
      <w:pPr>
        <w:widowControl w:val="0"/>
        <w:ind w:left="906" w:hangingChars="412" w:hanging="906"/>
        <w:contextualSpacing/>
      </w:pPr>
      <w:r w:rsidRPr="008608AA">
        <w:t xml:space="preserve">Nakashima, D., &amp; Roué, M. (2002). Indigenous Knowledge , Peoples and Sustainable Practice. In </w:t>
      </w:r>
      <w:r w:rsidRPr="008608AA">
        <w:rPr>
          <w:i/>
        </w:rPr>
        <w:t>Encyclopedia of Global Environmental Change</w:t>
      </w:r>
      <w:r w:rsidRPr="008608AA">
        <w:t xml:space="preserve"> (Timmerman, Vol. 5, pp. 314–324). Chichester: John Wiley &amp; Sons.</w:t>
      </w:r>
    </w:p>
    <w:p w14:paraId="59733754" w14:textId="77777777" w:rsidR="00DD4E98" w:rsidRPr="008608AA" w:rsidRDefault="00DD4E98" w:rsidP="00DD4E98">
      <w:pPr>
        <w:widowControl w:val="0"/>
        <w:ind w:left="906" w:hangingChars="412" w:hanging="906"/>
        <w:contextualSpacing/>
      </w:pPr>
      <w:r w:rsidRPr="008608AA">
        <w:rPr>
          <w:lang w:val="es-CO"/>
        </w:rPr>
        <w:t xml:space="preserve">Nantapo, C. W. T., Muchenje, V., Nkukwana, T. T., Hugo, A., Descalzo, A., Grigioni, G., &amp; Hoffman, L. C. (2015). </w:t>
      </w:r>
      <w:r w:rsidRPr="008608AA">
        <w:t xml:space="preserve">Socio-economic dynamics and innovative technologies affecting health-related lipid content in diets: Implications on global food and nutrition security. </w:t>
      </w:r>
      <w:r w:rsidRPr="008608AA">
        <w:rPr>
          <w:i/>
        </w:rPr>
        <w:t>Food Research International</w:t>
      </w:r>
      <w:r w:rsidRPr="008608AA">
        <w:t xml:space="preserve">, </w:t>
      </w:r>
      <w:r w:rsidRPr="008608AA">
        <w:rPr>
          <w:i/>
        </w:rPr>
        <w:t>76</w:t>
      </w:r>
      <w:r w:rsidRPr="008608AA">
        <w:t>, (pp. 896–905). https://doi.org/10.1016/j.foodres.2015.05.033</w:t>
      </w:r>
    </w:p>
    <w:p w14:paraId="341E7219" w14:textId="77777777" w:rsidR="00DD4E98" w:rsidRPr="008608AA" w:rsidRDefault="00DD4E98" w:rsidP="00DD4E98">
      <w:pPr>
        <w:widowControl w:val="0"/>
        <w:ind w:left="906" w:hangingChars="412" w:hanging="906"/>
        <w:contextualSpacing/>
      </w:pPr>
      <w:r w:rsidRPr="008608AA">
        <w:t xml:space="preserve">National Academy of Sciences. (2016). </w:t>
      </w:r>
      <w:r w:rsidRPr="008608AA">
        <w:rPr>
          <w:i/>
        </w:rPr>
        <w:t>Progress Toward Restoring the Everglades</w:t>
      </w:r>
      <w:r w:rsidRPr="008608AA">
        <w:t>. Washington, D.C.: National Academies Press. https://doi.org/10.17226/23672</w:t>
      </w:r>
    </w:p>
    <w:p w14:paraId="0F0C0818" w14:textId="77777777" w:rsidR="00DD4E98" w:rsidRPr="008608AA" w:rsidRDefault="00DD4E98" w:rsidP="00DD4E98">
      <w:pPr>
        <w:widowControl w:val="0"/>
        <w:ind w:left="906" w:hangingChars="412" w:hanging="906"/>
        <w:contextualSpacing/>
      </w:pPr>
      <w:r w:rsidRPr="008608AA">
        <w:t xml:space="preserve">National Marine Fisheries Service (NMFS). (2016). </w:t>
      </w:r>
      <w:r w:rsidRPr="008608AA">
        <w:rPr>
          <w:i/>
        </w:rPr>
        <w:t>Fisheries economics of the United States 2014</w:t>
      </w:r>
      <w:r w:rsidRPr="008608AA">
        <w:t xml:space="preserve"> (No. NMFS–F/SPO-163). Washington, D.C.</w:t>
      </w:r>
    </w:p>
    <w:p w14:paraId="5B9F407B" w14:textId="77777777" w:rsidR="00DD4E98" w:rsidRPr="008608AA" w:rsidRDefault="00DD4E98" w:rsidP="00DD4E98">
      <w:pPr>
        <w:widowControl w:val="0"/>
        <w:ind w:left="906" w:hangingChars="412" w:hanging="906"/>
        <w:contextualSpacing/>
      </w:pPr>
      <w:r w:rsidRPr="008608AA">
        <w:t xml:space="preserve">National Research Council (NRC). (1996). </w:t>
      </w:r>
      <w:r w:rsidRPr="008608AA">
        <w:rPr>
          <w:i/>
        </w:rPr>
        <w:t>Upstream: Salmon and Society in the Pacific Northwest</w:t>
      </w:r>
      <w:r w:rsidRPr="008608AA">
        <w:t xml:space="preserve">. </w:t>
      </w:r>
      <w:r w:rsidRPr="008608AA">
        <w:rPr>
          <w:i/>
        </w:rPr>
        <w:t>Sciences-New York</w:t>
      </w:r>
      <w:r w:rsidRPr="008608AA">
        <w:t>. Washington, D.C.: National Academy Press.</w:t>
      </w:r>
    </w:p>
    <w:p w14:paraId="07799EA1" w14:textId="77777777" w:rsidR="00DD4E98" w:rsidRPr="008608AA" w:rsidRDefault="00DD4E98" w:rsidP="00DD4E98">
      <w:pPr>
        <w:widowControl w:val="0"/>
        <w:ind w:left="906" w:hangingChars="412" w:hanging="906"/>
        <w:contextualSpacing/>
      </w:pPr>
      <w:r w:rsidRPr="008608AA">
        <w:t xml:space="preserve">National Research Council. (2005). </w:t>
      </w:r>
      <w:r w:rsidRPr="008608AA">
        <w:rPr>
          <w:i/>
        </w:rPr>
        <w:t>Valuing Ecosystem Services: Toward Better Environmental Decision Making</w:t>
      </w:r>
      <w:r w:rsidRPr="008608AA">
        <w:t>. Washington, D.C.: National Academy Press.</w:t>
      </w:r>
    </w:p>
    <w:p w14:paraId="5FC74833" w14:textId="77777777" w:rsidR="00DD4E98" w:rsidRPr="008608AA" w:rsidRDefault="00DD4E98" w:rsidP="00DD4E98">
      <w:pPr>
        <w:widowControl w:val="0"/>
        <w:ind w:left="906" w:hangingChars="412" w:hanging="906"/>
        <w:contextualSpacing/>
      </w:pPr>
      <w:r w:rsidRPr="008608AA">
        <w:t xml:space="preserve">Nations, U. (2015). </w:t>
      </w:r>
      <w:r w:rsidRPr="008608AA">
        <w:rPr>
          <w:i/>
        </w:rPr>
        <w:t>Knowing our Lands and Resources</w:t>
      </w:r>
      <w:r w:rsidRPr="008608AA">
        <w:t xml:space="preserve">. </w:t>
      </w:r>
      <w:r w:rsidRPr="008608AA">
        <w:rPr>
          <w:i/>
        </w:rPr>
        <w:t>Knowing our Lands and Resources</w:t>
      </w:r>
      <w:r w:rsidRPr="008608AA">
        <w:t>.</w:t>
      </w:r>
    </w:p>
    <w:p w14:paraId="7B29B1D4" w14:textId="77777777" w:rsidR="00DD4E98" w:rsidRPr="008608AA" w:rsidRDefault="00DD4E98" w:rsidP="00DD4E98">
      <w:pPr>
        <w:widowControl w:val="0"/>
        <w:ind w:left="906" w:hangingChars="412" w:hanging="906"/>
        <w:contextualSpacing/>
      </w:pPr>
      <w:r w:rsidRPr="008608AA">
        <w:t xml:space="preserve">NAWCC. (2017). </w:t>
      </w:r>
      <w:r w:rsidRPr="008608AA">
        <w:rPr>
          <w:i/>
        </w:rPr>
        <w:t>North American Wetland Conservation Council</w:t>
      </w:r>
      <w:r w:rsidRPr="008608AA">
        <w:t>.</w:t>
      </w:r>
    </w:p>
    <w:p w14:paraId="09980209" w14:textId="77777777" w:rsidR="00DD4E98" w:rsidRPr="008608AA" w:rsidRDefault="00DD4E98" w:rsidP="00DD4E98">
      <w:pPr>
        <w:widowControl w:val="0"/>
        <w:ind w:left="906" w:hangingChars="412" w:hanging="906"/>
        <w:contextualSpacing/>
      </w:pPr>
      <w:r w:rsidRPr="00A3137A">
        <w:rPr>
          <w:lang w:val="fr-FR"/>
        </w:rPr>
        <w:t xml:space="preserve">Nelson, A., &amp; Chomitz, K. M. (2011). </w:t>
      </w:r>
      <w:r w:rsidRPr="008608AA">
        <w:t xml:space="preserve">Effectiveness of strict vs. multiple use protected areas in reducing tropical forest fires: A global analysis using matching methods. </w:t>
      </w:r>
      <w:r w:rsidRPr="008608AA">
        <w:rPr>
          <w:i/>
        </w:rPr>
        <w:t>PLoS ONE</w:t>
      </w:r>
      <w:r w:rsidRPr="008608AA">
        <w:t xml:space="preserve">, </w:t>
      </w:r>
      <w:r w:rsidRPr="008608AA">
        <w:rPr>
          <w:i/>
        </w:rPr>
        <w:t>6</w:t>
      </w:r>
      <w:r w:rsidRPr="008608AA">
        <w:t>(8). https://doi.org/10.1371/journal.pone.0022722</w:t>
      </w:r>
    </w:p>
    <w:p w14:paraId="2792DC07" w14:textId="77777777" w:rsidR="00DD4E98" w:rsidRPr="008608AA" w:rsidRDefault="00DD4E98" w:rsidP="00DD4E98">
      <w:pPr>
        <w:widowControl w:val="0"/>
        <w:ind w:left="906" w:hangingChars="412" w:hanging="906"/>
        <w:contextualSpacing/>
      </w:pPr>
      <w:r w:rsidRPr="008608AA">
        <w:t xml:space="preserve">Nelson, J. L., Zavaleta, E. S., &amp; Chapin, F. S. (2008). Boreal fire effects on subsistence resources in Alaska and adjacent Canada. </w:t>
      </w:r>
      <w:r w:rsidRPr="008608AA">
        <w:rPr>
          <w:i/>
        </w:rPr>
        <w:t>Ecosystems</w:t>
      </w:r>
      <w:r w:rsidRPr="008608AA">
        <w:t xml:space="preserve">, </w:t>
      </w:r>
      <w:r w:rsidRPr="008608AA">
        <w:rPr>
          <w:i/>
        </w:rPr>
        <w:t>11</w:t>
      </w:r>
      <w:r w:rsidRPr="008608AA">
        <w:t>(1), (pp. 156–171). https://doi.org/10.1007/s10021-007-9114-z</w:t>
      </w:r>
    </w:p>
    <w:p w14:paraId="480FBA54" w14:textId="77777777" w:rsidR="00DD4E98" w:rsidRPr="008608AA" w:rsidRDefault="00DD4E98" w:rsidP="00DD4E98">
      <w:pPr>
        <w:widowControl w:val="0"/>
        <w:ind w:left="906" w:hangingChars="412" w:hanging="906"/>
        <w:contextualSpacing/>
      </w:pPr>
      <w:r w:rsidRPr="008608AA">
        <w:t xml:space="preserve">Nesheim, M. C., &amp; Yaktine, A. L. (2007). </w:t>
      </w:r>
      <w:r w:rsidRPr="008608AA">
        <w:rPr>
          <w:i/>
        </w:rPr>
        <w:t>Seafood Choices: Balancing Benefits and Risks</w:t>
      </w:r>
      <w:r w:rsidRPr="008608AA">
        <w:t xml:space="preserve">. </w:t>
      </w:r>
      <w:r w:rsidRPr="008608AA">
        <w:rPr>
          <w:i/>
        </w:rPr>
        <w:t>The National Academies Press</w:t>
      </w:r>
      <w:r w:rsidRPr="008608AA">
        <w:t>. Washington, D.C. https://doi.org/10.17226/11762</w:t>
      </w:r>
    </w:p>
    <w:p w14:paraId="1E6C14CA" w14:textId="77777777" w:rsidR="00DD4E98" w:rsidRPr="008608AA" w:rsidRDefault="00DD4E98" w:rsidP="00DD4E98">
      <w:pPr>
        <w:widowControl w:val="0"/>
        <w:ind w:left="906" w:hangingChars="412" w:hanging="906"/>
        <w:contextualSpacing/>
      </w:pPr>
      <w:r w:rsidRPr="008608AA">
        <w:rPr>
          <w:lang w:val="de-DE"/>
        </w:rPr>
        <w:t xml:space="preserve">Neumann, G., Noda, T., &amp; Kawaoka, Y. (2009). </w:t>
      </w:r>
      <w:r w:rsidRPr="008608AA">
        <w:t xml:space="preserve">Emergence and pandemic potential of swine-origin H1N1 influenza virus. </w:t>
      </w:r>
      <w:r w:rsidRPr="008608AA">
        <w:rPr>
          <w:i/>
        </w:rPr>
        <w:t>Nature</w:t>
      </w:r>
      <w:r w:rsidRPr="008608AA">
        <w:t xml:space="preserve">, </w:t>
      </w:r>
      <w:r w:rsidRPr="008608AA">
        <w:rPr>
          <w:i/>
        </w:rPr>
        <w:t>459</w:t>
      </w:r>
      <w:r w:rsidRPr="008608AA">
        <w:t>(7249), (pp. 931–939). https://doi.org/10.1038/nature08157</w:t>
      </w:r>
    </w:p>
    <w:p w14:paraId="33664EEB" w14:textId="77777777" w:rsidR="00DD4E98" w:rsidRPr="008608AA" w:rsidRDefault="00DD4E98" w:rsidP="00DD4E98">
      <w:pPr>
        <w:widowControl w:val="0"/>
        <w:ind w:left="906" w:hangingChars="412" w:hanging="906"/>
        <w:contextualSpacing/>
      </w:pPr>
      <w:r w:rsidRPr="008608AA">
        <w:t xml:space="preserve">Niemelä, J. (2011). </w:t>
      </w:r>
      <w:r w:rsidRPr="008608AA">
        <w:rPr>
          <w:i/>
        </w:rPr>
        <w:t>Urban Ecology: Patterns, Processes and Aplications</w:t>
      </w:r>
      <w:r w:rsidRPr="008608AA">
        <w:t>. (J. H. Breuste, T. Elmqvist, G. Guntenspergen, P. James, &amp; N. E. McIntyre, Eds.). Oxford University Press.</w:t>
      </w:r>
    </w:p>
    <w:p w14:paraId="76EE566C" w14:textId="77777777" w:rsidR="00DD4E98" w:rsidRPr="008608AA" w:rsidRDefault="00DD4E98" w:rsidP="00DD4E98">
      <w:pPr>
        <w:widowControl w:val="0"/>
        <w:ind w:left="906" w:hangingChars="412" w:hanging="906"/>
        <w:contextualSpacing/>
      </w:pPr>
      <w:r w:rsidRPr="008608AA">
        <w:rPr>
          <w:lang w:val="de-DE"/>
        </w:rPr>
        <w:t xml:space="preserve">Niemelä, J., Saarela, S.-R., Söderman, T., Kopperoinen, L., Yli-Pelkonen, V., Väre, S., &amp; Kotze, D. J. (2010). </w:t>
      </w:r>
      <w:r w:rsidRPr="008608AA">
        <w:t xml:space="preserve">Using the ecosystem services approach for better planning and conservation of urban green spaces: a Finland case study. </w:t>
      </w:r>
      <w:r w:rsidRPr="008608AA">
        <w:rPr>
          <w:i/>
        </w:rPr>
        <w:t>Biodiversity and Conservation</w:t>
      </w:r>
      <w:r w:rsidRPr="008608AA">
        <w:t xml:space="preserve">, </w:t>
      </w:r>
      <w:r w:rsidRPr="008608AA">
        <w:rPr>
          <w:i/>
        </w:rPr>
        <w:t>19</w:t>
      </w:r>
      <w:r w:rsidRPr="008608AA">
        <w:t>(11), (pp. 3225–3243). https://doi.org/10.1007/s10531-010-9888-8</w:t>
      </w:r>
    </w:p>
    <w:p w14:paraId="30767142" w14:textId="77777777" w:rsidR="00DD4E98" w:rsidRPr="008608AA" w:rsidRDefault="00DD4E98" w:rsidP="00DD4E98">
      <w:pPr>
        <w:widowControl w:val="0"/>
        <w:ind w:left="906" w:hangingChars="412" w:hanging="906"/>
        <w:contextualSpacing/>
      </w:pPr>
      <w:r w:rsidRPr="008608AA">
        <w:t xml:space="preserve">Nigam, P. S., &amp; Singh, A. (2011). Production of liquid biofuels from renewable resources. </w:t>
      </w:r>
      <w:r w:rsidRPr="008608AA">
        <w:rPr>
          <w:i/>
        </w:rPr>
        <w:t>Progress in Energy and Combustion Science</w:t>
      </w:r>
      <w:r w:rsidRPr="008608AA">
        <w:t xml:space="preserve">, </w:t>
      </w:r>
      <w:r w:rsidRPr="008608AA">
        <w:rPr>
          <w:i/>
        </w:rPr>
        <w:t>37</w:t>
      </w:r>
      <w:r w:rsidRPr="008608AA">
        <w:t>(1), (pp. 52–68). https://doi.org/https://doi.org/10.1016/j.pecs.2010.01.003</w:t>
      </w:r>
    </w:p>
    <w:p w14:paraId="4AE3CCEA" w14:textId="77777777" w:rsidR="00DD4E98" w:rsidRPr="008608AA" w:rsidRDefault="00DD4E98" w:rsidP="00DD4E98">
      <w:pPr>
        <w:widowControl w:val="0"/>
        <w:ind w:left="906" w:hangingChars="412" w:hanging="906"/>
        <w:contextualSpacing/>
      </w:pPr>
      <w:r w:rsidRPr="008608AA">
        <w:t xml:space="preserve">Norman, R., Bowers, R. G., Begon, M., &amp; Hudson, P. J. (1999). Persistence of Tick-borne Virus in the Presence of Multiple Host Species: Tick Reservoirs and Parasite Mediated Competition. </w:t>
      </w:r>
      <w:r w:rsidRPr="008608AA">
        <w:rPr>
          <w:i/>
        </w:rPr>
        <w:t>Journal of Theoretical Biology</w:t>
      </w:r>
      <w:r w:rsidRPr="008608AA">
        <w:t xml:space="preserve">, </w:t>
      </w:r>
      <w:r w:rsidRPr="008608AA">
        <w:rPr>
          <w:i/>
        </w:rPr>
        <w:t>200</w:t>
      </w:r>
      <w:r w:rsidRPr="008608AA">
        <w:t>(1), 111–118. https://doi.org/10.1006/jtbi.1999.0982</w:t>
      </w:r>
    </w:p>
    <w:p w14:paraId="203901FB" w14:textId="77777777" w:rsidR="00DD4E98" w:rsidRPr="008608AA" w:rsidRDefault="00DD4E98" w:rsidP="00DD4E98">
      <w:pPr>
        <w:widowControl w:val="0"/>
        <w:ind w:left="906" w:hangingChars="412" w:hanging="906"/>
        <w:contextualSpacing/>
      </w:pPr>
      <w:r w:rsidRPr="008608AA">
        <w:t xml:space="preserve">Novel Swine-Origin Influenza A (H1N1) Virus Investigation Team, DNovel Swine-Origin Influenza A (H1N1) Virus Investigation Team, Dawood FS, Jain S, Finelli L, Shaw MW, Lindstrom S, Garten RJ, Gubareva LV, Xu X, Bridges CB, Uyeki TMawood FS, Jain S, Finell, U. T. (2009). Emergence of a Novel Swine-Origin Influenza A (H1N1) Virus in Humans. </w:t>
      </w:r>
      <w:r w:rsidRPr="008608AA">
        <w:rPr>
          <w:i/>
        </w:rPr>
        <w:t>New England Journal of Medicine</w:t>
      </w:r>
      <w:r w:rsidRPr="008608AA">
        <w:t xml:space="preserve">, </w:t>
      </w:r>
      <w:r w:rsidRPr="008608AA">
        <w:rPr>
          <w:i/>
        </w:rPr>
        <w:t>360</w:t>
      </w:r>
      <w:r w:rsidRPr="008608AA">
        <w:t>(25), (pp. 2605–2615). https://doi.org/10.1056/NEJMoa0903810</w:t>
      </w:r>
    </w:p>
    <w:p w14:paraId="460DACE9" w14:textId="77777777" w:rsidR="00DD4E98" w:rsidRPr="008608AA" w:rsidRDefault="00DD4E98" w:rsidP="00DD4E98">
      <w:pPr>
        <w:widowControl w:val="0"/>
        <w:ind w:left="906" w:hangingChars="412" w:hanging="906"/>
        <w:contextualSpacing/>
      </w:pPr>
      <w:r w:rsidRPr="008608AA">
        <w:rPr>
          <w:lang w:val="de-DE"/>
        </w:rPr>
        <w:t xml:space="preserve">O’Gara, B. W., &amp; Yoakum, J. D. (2004). </w:t>
      </w:r>
      <w:r w:rsidRPr="008608AA">
        <w:rPr>
          <w:i/>
        </w:rPr>
        <w:t>Pronghorn: Ecology and Management</w:t>
      </w:r>
      <w:r w:rsidRPr="008608AA">
        <w:t>. (R. E. McCabe, Ed.). University Press of Colorado.</w:t>
      </w:r>
    </w:p>
    <w:p w14:paraId="15AF3F5D" w14:textId="77777777" w:rsidR="00DD4E98" w:rsidRPr="008608AA" w:rsidRDefault="00DD4E98" w:rsidP="00DD4E98">
      <w:pPr>
        <w:widowControl w:val="0"/>
        <w:ind w:left="906" w:hangingChars="412" w:hanging="906"/>
        <w:contextualSpacing/>
        <w:rPr>
          <w:lang w:val="es-CO"/>
        </w:rPr>
      </w:pPr>
      <w:r w:rsidRPr="008608AA">
        <w:t xml:space="preserve">OECD. (2008). </w:t>
      </w:r>
      <w:r w:rsidRPr="008608AA">
        <w:rPr>
          <w:i/>
        </w:rPr>
        <w:t>Growing Unequal?: Income Distribution and Poverty in OECD Countries</w:t>
      </w:r>
      <w:r w:rsidRPr="008608AA">
        <w:t xml:space="preserve">. </w:t>
      </w:r>
      <w:r w:rsidRPr="008608AA">
        <w:rPr>
          <w:lang w:val="es-CO"/>
        </w:rPr>
        <w:t>OECD Publishing.</w:t>
      </w:r>
    </w:p>
    <w:p w14:paraId="7F1E88A8" w14:textId="77777777" w:rsidR="00DD4E98" w:rsidRPr="008608AA" w:rsidRDefault="00DD4E98" w:rsidP="00DD4E98">
      <w:pPr>
        <w:widowControl w:val="0"/>
        <w:ind w:left="906" w:hangingChars="412" w:hanging="906"/>
        <w:contextualSpacing/>
        <w:rPr>
          <w:lang w:val="es-CO"/>
        </w:rPr>
      </w:pPr>
      <w:r w:rsidRPr="008608AA">
        <w:rPr>
          <w:lang w:val="es-CO"/>
        </w:rPr>
        <w:t xml:space="preserve">Omi, P. N. (2005). </w:t>
      </w:r>
      <w:r w:rsidRPr="008608AA">
        <w:rPr>
          <w:i/>
          <w:lang w:val="es-CO"/>
        </w:rPr>
        <w:t>Forest Fires</w:t>
      </w:r>
      <w:r w:rsidRPr="008608AA">
        <w:rPr>
          <w:lang w:val="es-CO"/>
        </w:rPr>
        <w:t>. Santa Barbara, CA: ABC-CLIO.</w:t>
      </w:r>
    </w:p>
    <w:p w14:paraId="516D85DF" w14:textId="77777777" w:rsidR="00DD4E98" w:rsidRPr="008608AA" w:rsidRDefault="00DD4E98" w:rsidP="00DD4E98">
      <w:pPr>
        <w:widowControl w:val="0"/>
        <w:ind w:left="906" w:hangingChars="412" w:hanging="906"/>
        <w:contextualSpacing/>
        <w:rPr>
          <w:lang w:val="es-CO"/>
        </w:rPr>
      </w:pPr>
      <w:r w:rsidRPr="008608AA">
        <w:rPr>
          <w:lang w:val="es-CO"/>
        </w:rPr>
        <w:t xml:space="preserve">ONU-HABITAT. (2012). </w:t>
      </w:r>
      <w:r w:rsidRPr="008608AA">
        <w:rPr>
          <w:i/>
          <w:lang w:val="es-CO"/>
        </w:rPr>
        <w:t>Estado de las ciudades de América Latina y el Caribe, 2012. Rumbo a una nueva transición urbana</w:t>
      </w:r>
      <w:r w:rsidRPr="008608AA">
        <w:rPr>
          <w:lang w:val="es-CO"/>
        </w:rPr>
        <w:t xml:space="preserve">. </w:t>
      </w:r>
      <w:r w:rsidRPr="008608AA">
        <w:rPr>
          <w:i/>
          <w:lang w:val="es-CO"/>
        </w:rPr>
        <w:t>Exit imagen y cultura</w:t>
      </w:r>
      <w:r w:rsidRPr="008608AA">
        <w:rPr>
          <w:lang w:val="es-CO"/>
        </w:rPr>
        <w:t>. Programa de Naciones Unidas para los Asentamientos Humanos. https://doi.org/HS/053/12S ISBN Serie 978-92-1-133397-8</w:t>
      </w:r>
    </w:p>
    <w:p w14:paraId="71B5AB21" w14:textId="77777777" w:rsidR="00DD4E98" w:rsidRPr="008608AA" w:rsidRDefault="00DD4E98" w:rsidP="00DD4E98">
      <w:pPr>
        <w:widowControl w:val="0"/>
        <w:ind w:left="906" w:hangingChars="412" w:hanging="906"/>
        <w:contextualSpacing/>
      </w:pPr>
      <w:r w:rsidRPr="008608AA">
        <w:rPr>
          <w:lang w:val="de-DE"/>
        </w:rPr>
        <w:t xml:space="preserve">Ostfeld, R. S. (2017). </w:t>
      </w:r>
      <w:r w:rsidRPr="008608AA">
        <w:rPr>
          <w:i/>
        </w:rPr>
        <w:t>Biodiversity loss and the ecology of infectious disease</w:t>
      </w:r>
      <w:r w:rsidRPr="008608AA">
        <w:t xml:space="preserve">. </w:t>
      </w:r>
      <w:r w:rsidRPr="008608AA">
        <w:rPr>
          <w:i/>
        </w:rPr>
        <w:t>The Lancet Planetary Health</w:t>
      </w:r>
      <w:r w:rsidRPr="008608AA">
        <w:t xml:space="preserve">, </w:t>
      </w:r>
      <w:r w:rsidRPr="008608AA">
        <w:rPr>
          <w:i/>
        </w:rPr>
        <w:t>1</w:t>
      </w:r>
      <w:r w:rsidRPr="008608AA">
        <w:t>(1), e2–e3. https://doi.org/10.1016/S2542-5196(17)30010-4</w:t>
      </w:r>
    </w:p>
    <w:p w14:paraId="6172F923" w14:textId="77777777" w:rsidR="00DD4E98" w:rsidRPr="008608AA" w:rsidRDefault="00DD4E98" w:rsidP="00DD4E98">
      <w:pPr>
        <w:widowControl w:val="0"/>
        <w:ind w:left="906" w:hangingChars="412" w:hanging="906"/>
        <w:contextualSpacing/>
      </w:pPr>
      <w:r w:rsidRPr="008608AA">
        <w:rPr>
          <w:lang w:val="de-DE"/>
        </w:rPr>
        <w:t xml:space="preserve">Ostfeld, R. S., &amp; Holt, R. D. (2004). </w:t>
      </w:r>
      <w:r w:rsidRPr="008608AA">
        <w:t xml:space="preserve">Are predators good for your health? Evaluating evidence for top-down regulation of zoonotic disease reservoirs. </w:t>
      </w:r>
      <w:r w:rsidRPr="008608AA">
        <w:rPr>
          <w:i/>
        </w:rPr>
        <w:t>Frontiers in Ecology and the Environment</w:t>
      </w:r>
      <w:r w:rsidRPr="008608AA">
        <w:t xml:space="preserve">, </w:t>
      </w:r>
      <w:r w:rsidRPr="008608AA">
        <w:rPr>
          <w:i/>
        </w:rPr>
        <w:t>2</w:t>
      </w:r>
      <w:r w:rsidRPr="008608AA">
        <w:t>(1), (pp. 13–20). https://doi.org/10.1890/1540-9295(2004)002{0013:APGFYH}2.0.CO;2</w:t>
      </w:r>
    </w:p>
    <w:p w14:paraId="12CCA024" w14:textId="77777777" w:rsidR="00DD4E98" w:rsidRPr="008608AA" w:rsidRDefault="00DD4E98" w:rsidP="00DD4E98">
      <w:pPr>
        <w:widowControl w:val="0"/>
        <w:ind w:left="906" w:hangingChars="412" w:hanging="906"/>
        <w:contextualSpacing/>
      </w:pPr>
      <w:r w:rsidRPr="008608AA">
        <w:rPr>
          <w:lang w:val="de-DE"/>
        </w:rPr>
        <w:t xml:space="preserve">Ostfeld, R. S., &amp; Keesing, F. (2000). </w:t>
      </w:r>
      <w:r w:rsidRPr="008608AA">
        <w:t xml:space="preserve">Biodiversity series: The function of biodiversity in the ecology of vector-borne zoonotic diseases. </w:t>
      </w:r>
      <w:r w:rsidRPr="008608AA">
        <w:rPr>
          <w:i/>
        </w:rPr>
        <w:t>Canadian Journal of Zoology</w:t>
      </w:r>
      <w:r w:rsidRPr="008608AA">
        <w:t xml:space="preserve">, </w:t>
      </w:r>
      <w:r w:rsidRPr="008608AA">
        <w:rPr>
          <w:i/>
        </w:rPr>
        <w:t>78</w:t>
      </w:r>
      <w:r w:rsidRPr="008608AA">
        <w:t>(12), (pp. 2061–2078). https://doi.org/10.1139/cjz-78-12-2061</w:t>
      </w:r>
    </w:p>
    <w:p w14:paraId="4F28322F" w14:textId="77777777" w:rsidR="00DD4E98" w:rsidRPr="008608AA" w:rsidRDefault="00DD4E98" w:rsidP="00DD4E98">
      <w:pPr>
        <w:widowControl w:val="0"/>
        <w:ind w:left="906" w:hangingChars="412" w:hanging="906"/>
        <w:contextualSpacing/>
      </w:pPr>
      <w:r w:rsidRPr="008608AA">
        <w:t xml:space="preserve">Ostfeld, R. S., &amp; Keesing, F. (2012). Effects of Host Diversity on Infectious Disease. </w:t>
      </w:r>
      <w:r w:rsidRPr="008608AA">
        <w:rPr>
          <w:i/>
        </w:rPr>
        <w:t>Annual Review of Ecology, Evolution, and Systematics</w:t>
      </w:r>
      <w:r w:rsidRPr="008608AA">
        <w:t xml:space="preserve">, </w:t>
      </w:r>
      <w:r w:rsidRPr="008608AA">
        <w:rPr>
          <w:i/>
        </w:rPr>
        <w:t>43</w:t>
      </w:r>
      <w:r w:rsidRPr="008608AA">
        <w:t>(1), (pp. 157–182). https://doi.org/10.1146/annurev-ecolsys-102710-145022</w:t>
      </w:r>
    </w:p>
    <w:p w14:paraId="541A1C40" w14:textId="77777777" w:rsidR="00DD4E98" w:rsidRPr="008608AA" w:rsidRDefault="00DD4E98" w:rsidP="00DD4E98">
      <w:pPr>
        <w:widowControl w:val="0"/>
        <w:ind w:left="906" w:hangingChars="412" w:hanging="906"/>
        <w:contextualSpacing/>
      </w:pPr>
      <w:r w:rsidRPr="008608AA">
        <w:rPr>
          <w:lang w:val="de-DE"/>
        </w:rPr>
        <w:t xml:space="preserve">Oswalt, S. N., &amp; Smith, W. B. (2014). </w:t>
      </w:r>
      <w:r w:rsidRPr="008608AA">
        <w:rPr>
          <w:i/>
        </w:rPr>
        <w:t>US forest resource facts and historical trends.</w:t>
      </w:r>
    </w:p>
    <w:p w14:paraId="08BAA1AA" w14:textId="77777777" w:rsidR="00DD4E98" w:rsidRPr="008608AA" w:rsidRDefault="00DD4E98" w:rsidP="00DD4E98">
      <w:pPr>
        <w:widowControl w:val="0"/>
        <w:ind w:left="906" w:hangingChars="412" w:hanging="906"/>
        <w:contextualSpacing/>
      </w:pPr>
      <w:r w:rsidRPr="008608AA">
        <w:t xml:space="preserve">Overbeck, G. E., Vélez-Martin, E., Scarano, F. R., Lewinsohn, T. M., Fonseca, C. R., Meyer, S. T., Muller, S. C., Ceotto, P., Dadalt, L., Durigan, G., Ganade, G., Gossner, M. M., Guadagnin, D. L., Lorenzen, K., Jacobi, C. M., Weisser, W. W., &amp; Pillar, V. D. (2015). Conservation in Brazil needs to include non-forest ecosystems. </w:t>
      </w:r>
      <w:r w:rsidRPr="008608AA">
        <w:rPr>
          <w:i/>
          <w:iCs/>
        </w:rPr>
        <w:t>Diversity and Distributions</w:t>
      </w:r>
      <w:r w:rsidRPr="008608AA">
        <w:t xml:space="preserve">, </w:t>
      </w:r>
      <w:r w:rsidRPr="008608AA">
        <w:rPr>
          <w:i/>
          <w:iCs/>
        </w:rPr>
        <w:t>21</w:t>
      </w:r>
      <w:r w:rsidRPr="008608AA">
        <w:t>(12), 1455–1460. https://doi.org/10.1111/ddi.12380</w:t>
      </w:r>
    </w:p>
    <w:p w14:paraId="7AD8A523" w14:textId="77777777" w:rsidR="00DD4E98" w:rsidRPr="008608AA" w:rsidRDefault="00DD4E98" w:rsidP="00DD4E98">
      <w:pPr>
        <w:widowControl w:val="0"/>
        <w:ind w:left="906" w:hangingChars="412" w:hanging="906"/>
        <w:contextualSpacing/>
      </w:pPr>
      <w:r w:rsidRPr="00CE0821">
        <w:rPr>
          <w:lang w:val="es-CO"/>
        </w:rPr>
        <w:t xml:space="preserve">Paerl, H. W., &amp; Huisman, J. (2008). </w:t>
      </w:r>
      <w:r w:rsidRPr="008608AA">
        <w:t xml:space="preserve">CLIMATE: Blooms Like It Hot. </w:t>
      </w:r>
      <w:r w:rsidRPr="008608AA">
        <w:rPr>
          <w:i/>
        </w:rPr>
        <w:t>Science</w:t>
      </w:r>
      <w:r w:rsidRPr="008608AA">
        <w:t xml:space="preserve">, </w:t>
      </w:r>
      <w:r w:rsidRPr="008608AA">
        <w:rPr>
          <w:i/>
        </w:rPr>
        <w:t>320</w:t>
      </w:r>
      <w:r w:rsidRPr="008608AA">
        <w:t>(5872), (pp. 57–58). https://doi.org/10.1126/science.1155398</w:t>
      </w:r>
    </w:p>
    <w:p w14:paraId="64441A43" w14:textId="77777777" w:rsidR="00DD4E98" w:rsidRPr="008608AA" w:rsidRDefault="00DD4E98" w:rsidP="00DD4E98">
      <w:pPr>
        <w:widowControl w:val="0"/>
        <w:ind w:left="906" w:hangingChars="412" w:hanging="906"/>
        <w:contextualSpacing/>
        <w:rPr>
          <w:lang w:val="pt-BR"/>
        </w:rPr>
      </w:pPr>
      <w:r w:rsidRPr="008608AA">
        <w:t xml:space="preserve">Pagiola, S., Bishop, J., &amp; Landel-Mills, N. (2002). </w:t>
      </w:r>
      <w:r w:rsidRPr="008608AA">
        <w:rPr>
          <w:i/>
        </w:rPr>
        <w:t>Selling Forest Environmental Services: Market-Based Mechanisms for Conservation and Development</w:t>
      </w:r>
      <w:r w:rsidRPr="008608AA">
        <w:t xml:space="preserve">. </w:t>
      </w:r>
      <w:r w:rsidRPr="008608AA">
        <w:rPr>
          <w:lang w:val="pt-BR"/>
        </w:rPr>
        <w:t>London and Washington: Earthscan.</w:t>
      </w:r>
    </w:p>
    <w:p w14:paraId="23B06192" w14:textId="77777777" w:rsidR="00DD4E98" w:rsidRPr="008608AA" w:rsidRDefault="00DD4E98" w:rsidP="00DD4E98">
      <w:pPr>
        <w:widowControl w:val="0"/>
        <w:ind w:left="906" w:hangingChars="412" w:hanging="906"/>
        <w:contextualSpacing/>
      </w:pPr>
      <w:r w:rsidRPr="008608AA">
        <w:rPr>
          <w:lang w:val="pt-BR"/>
        </w:rPr>
        <w:t xml:space="preserve">Palhares, R. M., Drummond, M. G., Dos Santos Alves Figueiredo Brasil, B., Cosenza, G. P., Das Graças Lins Brandão, M., &amp; Oliveira, G. (2015). </w:t>
      </w:r>
      <w:r w:rsidRPr="008608AA">
        <w:t xml:space="preserve">Medicinal plants recommended by the world health organization: DNA barcode identification associated with chemical analyses guarantees their quality. </w:t>
      </w:r>
      <w:r w:rsidRPr="008608AA">
        <w:rPr>
          <w:i/>
        </w:rPr>
        <w:t>PLoS ONE</w:t>
      </w:r>
      <w:r w:rsidRPr="008608AA">
        <w:t xml:space="preserve">, </w:t>
      </w:r>
      <w:r w:rsidRPr="008608AA">
        <w:rPr>
          <w:i/>
        </w:rPr>
        <w:t>10</w:t>
      </w:r>
      <w:r w:rsidRPr="008608AA">
        <w:t>(5), (pp. 1–29). https://doi.org/10.1371/journal.pone.0127866</w:t>
      </w:r>
    </w:p>
    <w:p w14:paraId="409BE0BA" w14:textId="77777777" w:rsidR="00DD4E98" w:rsidRPr="008608AA" w:rsidRDefault="00DD4E98" w:rsidP="00DD4E98">
      <w:pPr>
        <w:widowControl w:val="0"/>
        <w:ind w:left="906" w:hangingChars="412" w:hanging="906"/>
        <w:contextualSpacing/>
      </w:pPr>
      <w:r w:rsidRPr="008608AA">
        <w:t xml:space="preserve">Palmer, M. A. (2010). </w:t>
      </w:r>
      <w:r w:rsidRPr="008608AA">
        <w:rPr>
          <w:i/>
        </w:rPr>
        <w:t>Water resources: Beyond infrastructure.</w:t>
      </w:r>
      <w:r w:rsidRPr="008608AA">
        <w:t xml:space="preserve"> </w:t>
      </w:r>
      <w:r w:rsidRPr="008608AA">
        <w:rPr>
          <w:i/>
        </w:rPr>
        <w:t>Nature</w:t>
      </w:r>
      <w:r w:rsidRPr="008608AA">
        <w:t xml:space="preserve">, </w:t>
      </w:r>
      <w:r w:rsidRPr="008608AA">
        <w:rPr>
          <w:i/>
        </w:rPr>
        <w:t>467</w:t>
      </w:r>
      <w:r w:rsidRPr="008608AA">
        <w:t>(7315), (pp. 534–535). Retrieved from http://dx.doi.org/10.1038/467534a</w:t>
      </w:r>
    </w:p>
    <w:p w14:paraId="37090C5F" w14:textId="77777777" w:rsidR="00DD4E98" w:rsidRPr="008608AA" w:rsidRDefault="00DD4E98" w:rsidP="00DD4E98">
      <w:pPr>
        <w:widowControl w:val="0"/>
        <w:ind w:left="906" w:hangingChars="412" w:hanging="906"/>
        <w:contextualSpacing/>
      </w:pPr>
      <w:r w:rsidRPr="008608AA">
        <w:t xml:space="preserve">Palmer, M. A., Lettenmaier, D. P., Poff, N. L., Postel, S. L., Richter, B., &amp; Warner, R. (2009). Climate change and river ecosystems: Protection and adaptation options. </w:t>
      </w:r>
      <w:r w:rsidRPr="008608AA">
        <w:rPr>
          <w:i/>
        </w:rPr>
        <w:t>Environmental Management</w:t>
      </w:r>
      <w:r w:rsidRPr="008608AA">
        <w:t xml:space="preserve">, </w:t>
      </w:r>
      <w:r w:rsidRPr="008608AA">
        <w:rPr>
          <w:i/>
        </w:rPr>
        <w:t>44</w:t>
      </w:r>
      <w:r w:rsidRPr="008608AA">
        <w:t>(6), (pp. 1053–1068). https://doi.org/10.1007/s00267-009-9329-1</w:t>
      </w:r>
    </w:p>
    <w:p w14:paraId="712C7951" w14:textId="77777777" w:rsidR="00DD4E98" w:rsidRPr="008608AA" w:rsidRDefault="00DD4E98" w:rsidP="00DD4E98">
      <w:pPr>
        <w:widowControl w:val="0"/>
        <w:ind w:left="906" w:hangingChars="412" w:hanging="906"/>
        <w:contextualSpacing/>
        <w:rPr>
          <w:lang w:val="en-GB"/>
        </w:rPr>
      </w:pPr>
      <w:r w:rsidRPr="008608AA">
        <w:t xml:space="preserve">Pascual, U., Balvanera, P., Díaz, S., Pataki, G., Roth, E., Stenseke, M., Watson, R. T., Başak Dessane, E., Islar, M., Kelemen, E., Maris, V., Quaas, M., Subramanian, S. M., Wittmer, H., Adlan, A., Ahn, S., Al-Hafedh, Y. S., Amankwah, E., Asah, S. T., Berry, P., Bilgin, A., Breslow, S. J., Bullock, C., Cáceres, D., Daly-Hassen, H., Figueroa, E., Golden, C. D., Gómez-Baggethun, E., González-Jiménez, D., Houdet, J., Keune, H., Kumar, R., Ma, K., May, P. H., Mead, A., O’Farrell, P., Pandit, R., Pengue, W., Pichis-Madruga, R., Popa, F., Preston, S., Pacheco-Balanza, D., Saarikoski, H., Strassburg, B. B., van den Belt, M., Verma, M., Wickson, F., &amp; Yagi, N. (2017). Valuing nature’s contributions to people: the IPBES approach. </w:t>
      </w:r>
      <w:r w:rsidRPr="008608AA">
        <w:rPr>
          <w:i/>
          <w:iCs/>
        </w:rPr>
        <w:t>Current Opinion in Environmental Sustainability</w:t>
      </w:r>
      <w:r w:rsidRPr="008608AA">
        <w:t xml:space="preserve">, </w:t>
      </w:r>
      <w:r w:rsidRPr="008608AA">
        <w:rPr>
          <w:i/>
          <w:iCs/>
        </w:rPr>
        <w:t>26</w:t>
      </w:r>
      <w:r w:rsidRPr="008608AA">
        <w:t>–</w:t>
      </w:r>
      <w:r w:rsidRPr="008608AA">
        <w:rPr>
          <w:i/>
          <w:iCs/>
        </w:rPr>
        <w:t>27</w:t>
      </w:r>
      <w:r w:rsidRPr="008608AA">
        <w:t>, 7–16. https://doi.org/10.1016/J.COSUST.2016.12.006</w:t>
      </w:r>
    </w:p>
    <w:p w14:paraId="52370C57" w14:textId="77777777" w:rsidR="00DD4E98" w:rsidRPr="008608AA" w:rsidRDefault="00DD4E98" w:rsidP="00DD4E98">
      <w:pPr>
        <w:widowControl w:val="0"/>
        <w:ind w:left="906" w:hangingChars="412" w:hanging="906"/>
        <w:contextualSpacing/>
      </w:pPr>
      <w:r w:rsidRPr="008608AA">
        <w:t xml:space="preserve">Pashaei Kamali, F., Meuwissen, M. P. M., de Boer, I. J. M., van Middelaar, C. E., Moreira, A., &amp; Oude Lansink, A. G. J. M. (2016). Evaluation of the environmental, economic, and social performance of soybean farming systems in southern Brazil. </w:t>
      </w:r>
      <w:r w:rsidRPr="008608AA">
        <w:rPr>
          <w:i/>
        </w:rPr>
        <w:t>Journal of Cleaner Production</w:t>
      </w:r>
      <w:r w:rsidRPr="008608AA">
        <w:t>. https://doi.org/10.1016/j.jclepro.2016.03.135</w:t>
      </w:r>
    </w:p>
    <w:p w14:paraId="24E13F72" w14:textId="77777777" w:rsidR="00DD4E98" w:rsidRPr="008608AA" w:rsidRDefault="00DD4E98" w:rsidP="00DD4E98">
      <w:pPr>
        <w:widowControl w:val="0"/>
        <w:ind w:left="906" w:hangingChars="412" w:hanging="906"/>
        <w:contextualSpacing/>
      </w:pPr>
      <w:r w:rsidRPr="008608AA">
        <w:t xml:space="preserve">Pattanayak, S. K., &amp; Yasuoka, J. (2008). Deforestation and malaria: Revisiting the human ecology perspective. In C. J. P. Colfer (Ed.), </w:t>
      </w:r>
      <w:r w:rsidRPr="008608AA">
        <w:rPr>
          <w:i/>
        </w:rPr>
        <w:t>People, Health and Forests: A Global Interdisciplinary Overview</w:t>
      </w:r>
      <w:r w:rsidRPr="008608AA">
        <w:t xml:space="preserve"> (pp. 197–212). https://doi.org/10.4324/9781849771627</w:t>
      </w:r>
    </w:p>
    <w:p w14:paraId="704BCA15" w14:textId="77777777" w:rsidR="00DD4E98" w:rsidRPr="008608AA" w:rsidRDefault="00DD4E98" w:rsidP="00DD4E98">
      <w:pPr>
        <w:widowControl w:val="0"/>
        <w:ind w:left="906" w:hangingChars="412" w:hanging="906"/>
        <w:contextualSpacing/>
      </w:pPr>
      <w:r w:rsidRPr="008608AA">
        <w:t xml:space="preserve">Patz, J. A., Campbell-Lendrum, D., Holloway, T., &amp; Foley, J. A. (2005). Impact of regional climate change on human health. </w:t>
      </w:r>
      <w:r w:rsidRPr="008608AA">
        <w:rPr>
          <w:i/>
        </w:rPr>
        <w:t>Nature</w:t>
      </w:r>
      <w:r w:rsidRPr="008608AA">
        <w:t xml:space="preserve">, </w:t>
      </w:r>
      <w:r w:rsidRPr="008608AA">
        <w:rPr>
          <w:i/>
        </w:rPr>
        <w:t>438</w:t>
      </w:r>
      <w:r w:rsidRPr="008608AA">
        <w:t>, (pp. 310). Retrieved from http://dx.doi.org/10.1038/nature04188</w:t>
      </w:r>
    </w:p>
    <w:p w14:paraId="26948762" w14:textId="77777777" w:rsidR="00DD4E98" w:rsidRPr="008608AA" w:rsidRDefault="00DD4E98" w:rsidP="00DD4E98">
      <w:pPr>
        <w:widowControl w:val="0"/>
        <w:ind w:left="906" w:hangingChars="412" w:hanging="906"/>
        <w:contextualSpacing/>
        <w:rPr>
          <w:lang w:val="de-DE"/>
        </w:rPr>
      </w:pPr>
      <w:r w:rsidRPr="008608AA">
        <w:t xml:space="preserve">Pauchard, A., &amp; Barbosa, O. (2013). Regional Assessment of Latin America: Rapid Urban Development and Social Economic Inequity Threaten Biodiversity Hotspots. In T. Elmqvist, M. Fragkias, J. Goodness, B. Güneralp, P. J. Marcotullio, R. I. McDonald, … C. Wilkinson (Eds.), </w:t>
      </w:r>
      <w:r w:rsidRPr="008608AA">
        <w:rPr>
          <w:i/>
        </w:rPr>
        <w:t>Urbanization, Biodiversity and Ecosystem Services: Challenges and Opportunities: A Global Assessment</w:t>
      </w:r>
      <w:r w:rsidRPr="008608AA">
        <w:t xml:space="preserve"> (pp. 589–608). </w:t>
      </w:r>
      <w:r w:rsidRPr="008608AA">
        <w:rPr>
          <w:lang w:val="de-DE"/>
        </w:rPr>
        <w:t>Dordrecht: Springer Netherlands. https://doi.org/10.1007/978-94-007-7088-1_28</w:t>
      </w:r>
    </w:p>
    <w:p w14:paraId="2B1A88E7" w14:textId="77777777" w:rsidR="00DD4E98" w:rsidRPr="008608AA" w:rsidRDefault="00DD4E98" w:rsidP="00DD4E98">
      <w:pPr>
        <w:widowControl w:val="0"/>
        <w:ind w:left="906" w:hangingChars="412" w:hanging="906"/>
        <w:contextualSpacing/>
        <w:rPr>
          <w:lang w:val="en-GB"/>
        </w:rPr>
      </w:pPr>
      <w:r w:rsidRPr="008608AA">
        <w:t xml:space="preserve">Pauly, D., Christensen, V., Guénette, S., Pitcher, T. J., Sumaila, U. R., Walters, C. J., Watson, R., &amp; Zeller, D. (2002). Towards sustainability in world fisheries. </w:t>
      </w:r>
      <w:r w:rsidRPr="008608AA">
        <w:rPr>
          <w:i/>
          <w:iCs/>
        </w:rPr>
        <w:t>Nature</w:t>
      </w:r>
      <w:r w:rsidRPr="008608AA">
        <w:t xml:space="preserve">, </w:t>
      </w:r>
      <w:r w:rsidRPr="008608AA">
        <w:rPr>
          <w:i/>
          <w:iCs/>
        </w:rPr>
        <w:t>418</w:t>
      </w:r>
      <w:r w:rsidRPr="008608AA">
        <w:t>(6898), 689–695. https://doi.org/10.1038/nature01017</w:t>
      </w:r>
    </w:p>
    <w:p w14:paraId="3402D8A4" w14:textId="77777777" w:rsidR="00DD4E98" w:rsidRPr="008608AA" w:rsidRDefault="00DD4E98" w:rsidP="00DD4E98">
      <w:pPr>
        <w:widowControl w:val="0"/>
        <w:ind w:left="906" w:hangingChars="412" w:hanging="906"/>
        <w:contextualSpacing/>
      </w:pPr>
      <w:r w:rsidRPr="008608AA">
        <w:t xml:space="preserve">Pearce, D. W. (2001). </w:t>
      </w:r>
      <w:r w:rsidRPr="008608AA">
        <w:rPr>
          <w:i/>
        </w:rPr>
        <w:t>The Economic Value of Forest Ecosystems. Ecosystem Health, 7(4),</w:t>
      </w:r>
      <w:r w:rsidRPr="008608AA">
        <w:t xml:space="preserve"> (pp. 284–296). https://doi.org/10.1046/j.1526-0992.2001.01037.x</w:t>
      </w:r>
    </w:p>
    <w:p w14:paraId="6C3DD36F" w14:textId="77777777" w:rsidR="00DD4E98" w:rsidRPr="008608AA" w:rsidRDefault="00DD4E98" w:rsidP="00DD4E98">
      <w:pPr>
        <w:widowControl w:val="0"/>
        <w:ind w:left="906" w:hangingChars="412" w:hanging="906"/>
        <w:contextualSpacing/>
        <w:rPr>
          <w:lang w:val="en-GB"/>
        </w:rPr>
      </w:pPr>
      <w:r w:rsidRPr="008608AA">
        <w:t xml:space="preserve">Pecl, G. T., Araújo, M. B., Bell, J. D., Blanchard, J., Bonebrake, T. C., Chen, I.-C., Clark, T. D., Colwell, R. K., Danielsen, F., Evengård, B., Falconi, L., Ferrier, S., Frusher, S., Garcia, R. A., Griffis, R. B., Hobday, A. J., Janion-Scheepers, C., Jarzyna, M. A., Jennings, S., Lenoir, J., Linnetved, H. I., Martin, V. Y., McCormack, P. C., McDonald, J., Mitchell, N. J., Mustonen, T., Pandolfi, J. M., Pettorelli, N., Popova, E., Robinson, S. A., Scheffers, B. R., Shaw, J. D., Sorte, C. J. B., Strugnell, J. M., Sunday, J. M., Tuanmu, M.-N., Vergés, A., Villanueva, C., Wernberg, T., Wapstra, E., &amp; Williams, S. E. (2017). Biodiversity redistribution under climate change: Impacts on ecosystems and human well-being. </w:t>
      </w:r>
      <w:r w:rsidRPr="008608AA">
        <w:rPr>
          <w:i/>
          <w:iCs/>
        </w:rPr>
        <w:t>Science (New York, N.Y.)</w:t>
      </w:r>
      <w:r w:rsidRPr="008608AA">
        <w:t xml:space="preserve">, </w:t>
      </w:r>
      <w:r w:rsidRPr="008608AA">
        <w:rPr>
          <w:i/>
          <w:iCs/>
        </w:rPr>
        <w:t>355</w:t>
      </w:r>
      <w:r w:rsidRPr="008608AA">
        <w:t>(6332), eaai9214. https://doi.org/10.1126/science.aai9214</w:t>
      </w:r>
    </w:p>
    <w:p w14:paraId="1AE52A95" w14:textId="77777777" w:rsidR="00DD4E98" w:rsidRPr="008608AA" w:rsidRDefault="00DD4E98" w:rsidP="00DD4E98">
      <w:pPr>
        <w:widowControl w:val="0"/>
        <w:ind w:left="906" w:hangingChars="412" w:hanging="906"/>
        <w:contextualSpacing/>
      </w:pPr>
      <w:r w:rsidRPr="008608AA">
        <w:t xml:space="preserve">Peres, C. A. (1990). </w:t>
      </w:r>
      <w:r w:rsidRPr="008608AA">
        <w:rPr>
          <w:i/>
        </w:rPr>
        <w:t>Effects of hunting on western Amazonian primate communities. Biological Conservation, 54</w:t>
      </w:r>
      <w:r w:rsidRPr="008608AA">
        <w:t>(1), (pp. 47–59). https://doi.org/10.1016/0006-3207(90)90041-M</w:t>
      </w:r>
    </w:p>
    <w:p w14:paraId="649F6746" w14:textId="77777777" w:rsidR="00DD4E98" w:rsidRPr="008608AA" w:rsidRDefault="00DD4E98" w:rsidP="00DD4E98">
      <w:pPr>
        <w:widowControl w:val="0"/>
        <w:ind w:left="906" w:hangingChars="412" w:hanging="906"/>
        <w:contextualSpacing/>
      </w:pPr>
      <w:r w:rsidRPr="008608AA">
        <w:t xml:space="preserve">Peres, C. A. (1991). </w:t>
      </w:r>
      <w:r w:rsidRPr="008608AA">
        <w:rPr>
          <w:i/>
        </w:rPr>
        <w:t>Humboldt’s woolly monkeys decimated by hunting in Amazonia.</w:t>
      </w:r>
      <w:r w:rsidRPr="008608AA">
        <w:t xml:space="preserve"> </w:t>
      </w:r>
      <w:r w:rsidRPr="008608AA">
        <w:rPr>
          <w:i/>
        </w:rPr>
        <w:t>Oryx</w:t>
      </w:r>
      <w:r w:rsidRPr="008608AA">
        <w:t xml:space="preserve">, </w:t>
      </w:r>
      <w:r w:rsidRPr="008608AA">
        <w:rPr>
          <w:i/>
        </w:rPr>
        <w:t>25</w:t>
      </w:r>
      <w:r w:rsidRPr="008608AA">
        <w:t>(2), (pp. 89–95). https://doi.org/10.1017/S0030605300035122</w:t>
      </w:r>
    </w:p>
    <w:p w14:paraId="5249DDC4" w14:textId="77777777" w:rsidR="00DD4E98" w:rsidRPr="008608AA" w:rsidRDefault="00DD4E98" w:rsidP="00DD4E98">
      <w:pPr>
        <w:widowControl w:val="0"/>
        <w:ind w:left="906" w:hangingChars="412" w:hanging="906"/>
        <w:contextualSpacing/>
        <w:rPr>
          <w:lang w:val="en-GB"/>
        </w:rPr>
      </w:pPr>
      <w:r w:rsidRPr="008608AA">
        <w:t xml:space="preserve">Perring, M. P., Standish, R. J., Price, J. N., Craig, M. D., Erickson, T. E., Ruthrof, K. X., Whiteley, A. S., Valentine, L. E., &amp; Hobbs, R. J. (2015). Advances in restoration ecology: rising to the challenges of the coming decades. </w:t>
      </w:r>
      <w:r w:rsidRPr="008608AA">
        <w:rPr>
          <w:i/>
          <w:iCs/>
        </w:rPr>
        <w:t>Ecosphere</w:t>
      </w:r>
      <w:r w:rsidRPr="008608AA">
        <w:t xml:space="preserve">, </w:t>
      </w:r>
      <w:r w:rsidRPr="008608AA">
        <w:rPr>
          <w:i/>
          <w:iCs/>
        </w:rPr>
        <w:t>6</w:t>
      </w:r>
      <w:r w:rsidRPr="008608AA">
        <w:t>(8), art131. https://doi.org/10.1890/ES15-00121.1</w:t>
      </w:r>
    </w:p>
    <w:p w14:paraId="76CD9346" w14:textId="77777777" w:rsidR="00DD4E98" w:rsidRPr="008608AA" w:rsidRDefault="00DD4E98" w:rsidP="00DD4E98">
      <w:pPr>
        <w:widowControl w:val="0"/>
        <w:ind w:left="906" w:hangingChars="412" w:hanging="906"/>
        <w:contextualSpacing/>
        <w:rPr>
          <w:lang w:val="en-GB"/>
        </w:rPr>
      </w:pPr>
      <w:r w:rsidRPr="008608AA">
        <w:t xml:space="preserve">Pershing, A. J., Alexander, M. A., Hernandez, C. M., Kerr, L. A., Le Bris, A., Mills, K. E., Nye, J. A., Record, N. R., Scannell, H. A., Scott, J. D., Sherwood, G. D., &amp; Thomas, A. C. (2015). Slow adaptation in the face of rapid warming leads to collapse of the Gulf of Maine cod fishery. </w:t>
      </w:r>
      <w:r w:rsidRPr="008608AA">
        <w:rPr>
          <w:i/>
          <w:iCs/>
        </w:rPr>
        <w:t>Science (New York, N.Y.)</w:t>
      </w:r>
      <w:r w:rsidRPr="008608AA">
        <w:t xml:space="preserve">, </w:t>
      </w:r>
      <w:r w:rsidRPr="008608AA">
        <w:rPr>
          <w:i/>
          <w:iCs/>
        </w:rPr>
        <w:t>350</w:t>
      </w:r>
      <w:r w:rsidRPr="008608AA">
        <w:t>(6262), 809–812. https://doi.org/10.1126/science.aac9819</w:t>
      </w:r>
    </w:p>
    <w:p w14:paraId="4797D3EC" w14:textId="77777777" w:rsidR="00DD4E98" w:rsidRPr="008608AA" w:rsidRDefault="00DD4E98" w:rsidP="00DD4E98">
      <w:pPr>
        <w:widowControl w:val="0"/>
        <w:ind w:left="906" w:hangingChars="412" w:hanging="906"/>
        <w:contextualSpacing/>
      </w:pPr>
      <w:r w:rsidRPr="008608AA">
        <w:t xml:space="preserve">Peterjohn, W. T., &amp; Correll, D. L. (1984). Nutrient Dynamics in an Agricultural Watershed: Observations on the Role of A Riparian Forest. </w:t>
      </w:r>
      <w:r w:rsidRPr="008608AA">
        <w:rPr>
          <w:i/>
        </w:rPr>
        <w:t>Ecology</w:t>
      </w:r>
      <w:r w:rsidRPr="008608AA">
        <w:t xml:space="preserve">, </w:t>
      </w:r>
      <w:r w:rsidRPr="008608AA">
        <w:rPr>
          <w:i/>
        </w:rPr>
        <w:t>65</w:t>
      </w:r>
      <w:r w:rsidRPr="008608AA">
        <w:t>(5), (pp. 1466–1475). https://doi.org/10.2307/1939127</w:t>
      </w:r>
    </w:p>
    <w:p w14:paraId="26A9E95D" w14:textId="77777777" w:rsidR="00DD4E98" w:rsidRPr="008608AA" w:rsidRDefault="00DD4E98" w:rsidP="00DD4E98">
      <w:pPr>
        <w:widowControl w:val="0"/>
        <w:ind w:left="906" w:hangingChars="412" w:hanging="906"/>
        <w:contextualSpacing/>
      </w:pPr>
      <w:r w:rsidRPr="008608AA">
        <w:t>Pichón, F. J., &amp; Uquillas, J. E. (1997). Agricultural Intensification and Poverty Reduction in Latin America â€</w:t>
      </w:r>
      <w:r w:rsidRPr="008608AA">
        <w:rPr>
          <w:vertAlign w:val="superscript"/>
        </w:rPr>
        <w:t>TM</w:t>
      </w:r>
      <w:r w:rsidRPr="008608AA">
        <w:t xml:space="preserve"> s Risk-Prone Areas : Opportunities and Challenges Published by : College of Business , Tennessee State University Stable URL : http://www.jstor.org/stable/4192714 Agricultural Intensifi. </w:t>
      </w:r>
      <w:r w:rsidRPr="008608AA">
        <w:rPr>
          <w:i/>
        </w:rPr>
        <w:t>The Journal of Developing Areas</w:t>
      </w:r>
      <w:r w:rsidRPr="008608AA">
        <w:t xml:space="preserve">, </w:t>
      </w:r>
      <w:r w:rsidRPr="008608AA">
        <w:rPr>
          <w:i/>
        </w:rPr>
        <w:t>31</w:t>
      </w:r>
      <w:r w:rsidRPr="008608AA">
        <w:t>(4), (pp. 479–514).</w:t>
      </w:r>
    </w:p>
    <w:p w14:paraId="5F6A6C73" w14:textId="77777777" w:rsidR="00DD4E98" w:rsidRPr="008608AA" w:rsidRDefault="00DD4E98" w:rsidP="00DD4E98">
      <w:pPr>
        <w:widowControl w:val="0"/>
        <w:ind w:left="906" w:hangingChars="412" w:hanging="906"/>
        <w:contextualSpacing/>
      </w:pPr>
      <w:r w:rsidRPr="008608AA">
        <w:t xml:space="preserve">Pinkus-Rendon, M. A., Parra-Tabla, V., &amp; Meléndez-Ramírez, V. (2005). Floral resource use and interactions between Apis mellifera and native bees in cucurbit crops in Yucatán, México. </w:t>
      </w:r>
      <w:r w:rsidRPr="008608AA">
        <w:rPr>
          <w:i/>
        </w:rPr>
        <w:t>The Canadian Entomologist</w:t>
      </w:r>
      <w:r w:rsidRPr="008608AA">
        <w:t xml:space="preserve">, </w:t>
      </w:r>
      <w:r w:rsidRPr="008608AA">
        <w:rPr>
          <w:i/>
        </w:rPr>
        <w:t>137</w:t>
      </w:r>
      <w:r w:rsidRPr="008608AA">
        <w:t>(4), (pp. 441–449). https://doi.org/DOI: 10.4039/n04-043</w:t>
      </w:r>
    </w:p>
    <w:p w14:paraId="10CF658D" w14:textId="77777777" w:rsidR="00DD4E98" w:rsidRPr="008608AA" w:rsidRDefault="00DD4E98" w:rsidP="00DD4E98">
      <w:pPr>
        <w:widowControl w:val="0"/>
        <w:ind w:left="906" w:hangingChars="412" w:hanging="906"/>
        <w:contextualSpacing/>
      </w:pPr>
      <w:r w:rsidRPr="008608AA">
        <w:t xml:space="preserve">Piperno, D. R. (2011). </w:t>
      </w:r>
      <w:r w:rsidRPr="008608AA">
        <w:rPr>
          <w:i/>
        </w:rPr>
        <w:t>The Origins of Plant Cultivation and Domestication in the New World Tropics. Current Anthropology, 52</w:t>
      </w:r>
      <w:r w:rsidRPr="008608AA">
        <w:t xml:space="preserve">(S4), S453–S470. </w:t>
      </w:r>
      <w:hyperlink r:id="rId113" w:history="1">
        <w:r w:rsidRPr="008608AA">
          <w:rPr>
            <w:rStyle w:val="Hyperlink"/>
          </w:rPr>
          <w:t>https://doi.org/10.1086/659998</w:t>
        </w:r>
      </w:hyperlink>
      <w:r w:rsidRPr="008608AA">
        <w:t>, https://www.journals.uchicago.edu/toc/ca/current.</w:t>
      </w:r>
    </w:p>
    <w:p w14:paraId="7F7789AB" w14:textId="77777777" w:rsidR="00DD4E98" w:rsidRPr="008608AA" w:rsidRDefault="00DD4E98" w:rsidP="00DD4E98">
      <w:pPr>
        <w:widowControl w:val="0"/>
        <w:ind w:left="906" w:hangingChars="412" w:hanging="906"/>
        <w:contextualSpacing/>
      </w:pPr>
      <w:r w:rsidRPr="008608AA">
        <w:t xml:space="preserve">Pirk, C. W. W., Crewe, R. M., &amp; Moritz, R. F. A. (2017). Risks and benefits of the biological interface between managed and wild bee pollinators. </w:t>
      </w:r>
      <w:r w:rsidRPr="008608AA">
        <w:rPr>
          <w:i/>
        </w:rPr>
        <w:t>Functional Ecology</w:t>
      </w:r>
      <w:r w:rsidRPr="008608AA">
        <w:t xml:space="preserve">, </w:t>
      </w:r>
      <w:r w:rsidRPr="008608AA">
        <w:rPr>
          <w:i/>
        </w:rPr>
        <w:t>31</w:t>
      </w:r>
      <w:r w:rsidRPr="008608AA">
        <w:t>, (pp. 47–55). https://doi.org/10.1111/1365-2435.12768</w:t>
      </w:r>
    </w:p>
    <w:p w14:paraId="27E94ED9" w14:textId="77777777" w:rsidR="00DD4E98" w:rsidRPr="008608AA" w:rsidRDefault="00DD4E98" w:rsidP="00DD4E98">
      <w:pPr>
        <w:widowControl w:val="0"/>
        <w:ind w:left="906" w:hangingChars="412" w:hanging="906"/>
        <w:contextualSpacing/>
        <w:rPr>
          <w:lang w:val="en-GB"/>
        </w:rPr>
      </w:pPr>
      <w:r w:rsidRPr="008608AA">
        <w:t xml:space="preserve">Poppy, G. M., Chiotha, S., Eigenbrod, F., Harvey, C. A., Honzak, M., Hudson, M. D., Jarvis, A., Madise, N. J., Schreckenberg, K., Shackleton, C. M., Villa, F., &amp; Dawson, T. P. (2014). Food security in a perfect storm: using the ecosystem services framework to increase understanding. </w:t>
      </w:r>
      <w:r w:rsidRPr="008608AA">
        <w:rPr>
          <w:i/>
          <w:iCs/>
        </w:rPr>
        <w:t>Philosophical Transactions of the Royal Society B: Biological Sciences</w:t>
      </w:r>
      <w:r w:rsidRPr="008608AA">
        <w:t xml:space="preserve">, </w:t>
      </w:r>
      <w:r w:rsidRPr="008608AA">
        <w:rPr>
          <w:i/>
          <w:iCs/>
        </w:rPr>
        <w:t>369</w:t>
      </w:r>
      <w:r w:rsidRPr="008608AA">
        <w:t>(1639), 20120288–20120288. https://doi.org/10.1098/rstb.2012.0288</w:t>
      </w:r>
    </w:p>
    <w:p w14:paraId="3C8299B3" w14:textId="77777777" w:rsidR="00DD4E98" w:rsidRPr="008608AA" w:rsidRDefault="00DD4E98" w:rsidP="00DD4E98">
      <w:pPr>
        <w:widowControl w:val="0"/>
        <w:ind w:left="906" w:hangingChars="412" w:hanging="906"/>
        <w:contextualSpacing/>
      </w:pPr>
      <w:r w:rsidRPr="008608AA">
        <w:rPr>
          <w:lang w:val="es-CO"/>
        </w:rPr>
        <w:t xml:space="preserve">Portillo-Quintero, C. A., &amp; Sánchez-Azofeifa, G. A. (2010). </w:t>
      </w:r>
      <w:r w:rsidRPr="008608AA">
        <w:t xml:space="preserve">Extent and conservation of tropical dry forests in the Americas. </w:t>
      </w:r>
      <w:r w:rsidRPr="008608AA">
        <w:rPr>
          <w:i/>
        </w:rPr>
        <w:t>Biological Conservation</w:t>
      </w:r>
      <w:r w:rsidRPr="008608AA">
        <w:t xml:space="preserve">, </w:t>
      </w:r>
      <w:r w:rsidRPr="008608AA">
        <w:rPr>
          <w:i/>
        </w:rPr>
        <w:t>143</w:t>
      </w:r>
      <w:r w:rsidRPr="008608AA">
        <w:t>(1), (pp. 144–155). https://doi.org/10.1016/j.biocon.2009.09.020</w:t>
      </w:r>
    </w:p>
    <w:p w14:paraId="794F2AB6" w14:textId="77777777" w:rsidR="00DD4E98" w:rsidRPr="008608AA" w:rsidRDefault="00DD4E98" w:rsidP="00DD4E98">
      <w:pPr>
        <w:widowControl w:val="0"/>
        <w:ind w:left="906" w:hangingChars="412" w:hanging="906"/>
        <w:contextualSpacing/>
      </w:pPr>
      <w:r w:rsidRPr="008608AA">
        <w:t xml:space="preserve">Postel, S. L. (2000). </w:t>
      </w:r>
      <w:r w:rsidRPr="008608AA">
        <w:rPr>
          <w:i/>
        </w:rPr>
        <w:t>Entering an Era of Water Scarcity : the Challenges Ahead.</w:t>
      </w:r>
      <w:r w:rsidRPr="008608AA">
        <w:t xml:space="preserve"> </w:t>
      </w:r>
      <w:r w:rsidRPr="008608AA">
        <w:rPr>
          <w:i/>
        </w:rPr>
        <w:t>Ecological Applications</w:t>
      </w:r>
      <w:r w:rsidRPr="008608AA">
        <w:t xml:space="preserve">, </w:t>
      </w:r>
      <w:r w:rsidRPr="008608AA">
        <w:rPr>
          <w:i/>
        </w:rPr>
        <w:t>10</w:t>
      </w:r>
      <w:r w:rsidRPr="008608AA">
        <w:t>(4), (pp. 941–948). https://doi.org/10.1890/1051-0761(2000)010{0941:EAEOWS}2.0.CO;2</w:t>
      </w:r>
    </w:p>
    <w:p w14:paraId="6D267B48" w14:textId="77777777" w:rsidR="00DD4E98" w:rsidRPr="008608AA" w:rsidRDefault="00DD4E98" w:rsidP="00DD4E98">
      <w:pPr>
        <w:widowControl w:val="0"/>
        <w:ind w:left="906" w:hangingChars="412" w:hanging="906"/>
        <w:contextualSpacing/>
        <w:rPr>
          <w:lang w:val="de-DE"/>
        </w:rPr>
      </w:pPr>
      <w:r w:rsidRPr="008608AA">
        <w:t xml:space="preserve">Postel, S. L., &amp; Thompson, B. H. (2005). Watershed protection: Capturing the benefits of nature’s water supply services. </w:t>
      </w:r>
      <w:r w:rsidRPr="008608AA">
        <w:rPr>
          <w:i/>
          <w:lang w:val="de-DE"/>
        </w:rPr>
        <w:t>Natural Resources Forum</w:t>
      </w:r>
      <w:r w:rsidRPr="008608AA">
        <w:rPr>
          <w:lang w:val="de-DE"/>
        </w:rPr>
        <w:t xml:space="preserve">, </w:t>
      </w:r>
      <w:r w:rsidRPr="008608AA">
        <w:rPr>
          <w:i/>
          <w:lang w:val="de-DE"/>
        </w:rPr>
        <w:t>29</w:t>
      </w:r>
      <w:r w:rsidRPr="008608AA">
        <w:rPr>
          <w:lang w:val="de-DE"/>
        </w:rPr>
        <w:t xml:space="preserve">(2), </w:t>
      </w:r>
      <w:r w:rsidRPr="008608AA">
        <w:t xml:space="preserve">(pp. </w:t>
      </w:r>
      <w:r w:rsidRPr="008608AA">
        <w:rPr>
          <w:lang w:val="de-DE"/>
        </w:rPr>
        <w:t>98–108). https://doi.org/10.1111/j.1477-8947.2005.00119.x</w:t>
      </w:r>
    </w:p>
    <w:p w14:paraId="78545A09" w14:textId="77777777" w:rsidR="00DD4E98" w:rsidRPr="008608AA" w:rsidRDefault="00DD4E98" w:rsidP="00DD4E98">
      <w:pPr>
        <w:widowControl w:val="0"/>
        <w:ind w:left="906" w:hangingChars="412" w:hanging="906"/>
        <w:contextualSpacing/>
      </w:pPr>
      <w:r w:rsidRPr="008608AA">
        <w:rPr>
          <w:lang w:val="de-DE"/>
        </w:rPr>
        <w:t xml:space="preserve">Potts, S. G., Biesmeijer, J. C., Kremen, C., Neumann, P., Schweiger, O., &amp; Kunin, W. E. (2010). </w:t>
      </w:r>
      <w:r w:rsidRPr="008608AA">
        <w:t xml:space="preserve">Global pollinator declines: Trends, impacts and drivers. </w:t>
      </w:r>
      <w:r w:rsidRPr="008608AA">
        <w:rPr>
          <w:i/>
        </w:rPr>
        <w:t>Trends in Ecology and Evolution</w:t>
      </w:r>
      <w:r w:rsidRPr="008608AA">
        <w:t xml:space="preserve">, </w:t>
      </w:r>
      <w:r w:rsidRPr="008608AA">
        <w:rPr>
          <w:i/>
        </w:rPr>
        <w:t>25</w:t>
      </w:r>
      <w:r w:rsidRPr="008608AA">
        <w:t>(6), (pp. 345–353). https://doi.org/10.1016/j.tree.2010.01.007</w:t>
      </w:r>
    </w:p>
    <w:p w14:paraId="570F063A" w14:textId="77777777" w:rsidR="00DD4E98" w:rsidRPr="008608AA" w:rsidRDefault="00DD4E98" w:rsidP="00DD4E98">
      <w:pPr>
        <w:widowControl w:val="0"/>
        <w:ind w:left="906" w:hangingChars="412" w:hanging="906"/>
        <w:contextualSpacing/>
      </w:pPr>
      <w:r w:rsidRPr="00CE0821">
        <w:rPr>
          <w:lang w:val="es-CO"/>
        </w:rPr>
        <w:t xml:space="preserve">Pou, S. A., Díaz, P., Gabriela, A., Quintana, D. La, Forte, C. A., &amp; Aballay, L. R. (2016). </w:t>
      </w:r>
      <w:r w:rsidRPr="008608AA">
        <w:t xml:space="preserve">Identification of dietary patterns in urban population of Argentina : study on diet-obesity relation in population-based prevalence study. </w:t>
      </w:r>
      <w:r w:rsidRPr="008608AA">
        <w:rPr>
          <w:i/>
        </w:rPr>
        <w:t>Nutrition Research and Practice</w:t>
      </w:r>
      <w:r w:rsidRPr="008608AA">
        <w:t xml:space="preserve">, </w:t>
      </w:r>
      <w:r w:rsidRPr="008608AA">
        <w:rPr>
          <w:i/>
        </w:rPr>
        <w:t>10</w:t>
      </w:r>
      <w:r w:rsidRPr="008608AA">
        <w:t>(6), (pp. 616–622). https://doi.org/10.4162/nrp.2016.10.6.616</w:t>
      </w:r>
    </w:p>
    <w:p w14:paraId="766EBBC1" w14:textId="77777777" w:rsidR="00DD4E98" w:rsidRPr="008608AA" w:rsidRDefault="00DD4E98" w:rsidP="00DD4E98">
      <w:pPr>
        <w:widowControl w:val="0"/>
        <w:ind w:left="906" w:hangingChars="412" w:hanging="906"/>
        <w:contextualSpacing/>
      </w:pPr>
      <w:r w:rsidRPr="008608AA">
        <w:t xml:space="preserve">Power, A. G. (2010). </w:t>
      </w:r>
      <w:r w:rsidRPr="008608AA">
        <w:rPr>
          <w:i/>
        </w:rPr>
        <w:t>Ecosystem services and agriculture: tradeoffs and synergies.</w:t>
      </w:r>
      <w:r w:rsidRPr="008608AA">
        <w:t xml:space="preserve"> </w:t>
      </w:r>
      <w:r w:rsidRPr="008608AA">
        <w:rPr>
          <w:i/>
        </w:rPr>
        <w:t>Philosophical Transactions of the Royal Society of London. Series B, Biological Sciences</w:t>
      </w:r>
      <w:r w:rsidRPr="008608AA">
        <w:t xml:space="preserve">, </w:t>
      </w:r>
      <w:r w:rsidRPr="008608AA">
        <w:rPr>
          <w:i/>
        </w:rPr>
        <w:t>365</w:t>
      </w:r>
      <w:r w:rsidRPr="008608AA">
        <w:t>(1554), (pp. 2959–2971). https://doi.org/10.1098/rstb.2010.0143</w:t>
      </w:r>
    </w:p>
    <w:p w14:paraId="1125CF68" w14:textId="77777777" w:rsidR="00DD4E98" w:rsidRPr="008608AA" w:rsidRDefault="00DD4E98" w:rsidP="00DD4E98">
      <w:pPr>
        <w:widowControl w:val="0"/>
        <w:ind w:left="906" w:hangingChars="412" w:hanging="906"/>
        <w:contextualSpacing/>
      </w:pPr>
      <w:r w:rsidRPr="008608AA">
        <w:t xml:space="preserve">Power, E. M. (2008). </w:t>
      </w:r>
      <w:r w:rsidRPr="008608AA">
        <w:rPr>
          <w:i/>
        </w:rPr>
        <w:t>Conceptualizing food security for aboriginal people in Canada.</w:t>
      </w:r>
      <w:r w:rsidRPr="008608AA">
        <w:t xml:space="preserve"> </w:t>
      </w:r>
      <w:r w:rsidRPr="008608AA">
        <w:rPr>
          <w:i/>
        </w:rPr>
        <w:t>Canadian Journal of Public Health</w:t>
      </w:r>
      <w:r w:rsidRPr="008608AA">
        <w:t xml:space="preserve">, </w:t>
      </w:r>
      <w:r w:rsidRPr="008608AA">
        <w:rPr>
          <w:i/>
        </w:rPr>
        <w:t>99</w:t>
      </w:r>
      <w:r w:rsidRPr="008608AA">
        <w:t>(2), (pp. 95–97). https://doi.org/10.1016/j.gloenvcha.2007.09.002</w:t>
      </w:r>
    </w:p>
    <w:p w14:paraId="729278A8" w14:textId="77777777" w:rsidR="00DD4E98" w:rsidRPr="008608AA" w:rsidRDefault="00DD4E98" w:rsidP="00DD4E98">
      <w:pPr>
        <w:widowControl w:val="0"/>
        <w:ind w:left="906" w:hangingChars="412" w:hanging="906"/>
        <w:contextualSpacing/>
      </w:pPr>
      <w:r w:rsidRPr="008608AA">
        <w:t xml:space="preserve">Pretty, J. (2008). </w:t>
      </w:r>
      <w:r w:rsidRPr="008608AA">
        <w:rPr>
          <w:i/>
        </w:rPr>
        <w:t>Agricultural sustainability: concepts, principles and evidence.</w:t>
      </w:r>
      <w:r w:rsidRPr="008608AA">
        <w:t xml:space="preserve"> </w:t>
      </w:r>
      <w:r w:rsidRPr="008608AA">
        <w:rPr>
          <w:i/>
        </w:rPr>
        <w:t>Philosophical Transactions of the Royal Society of London. Series B, Biological Sciences</w:t>
      </w:r>
      <w:r w:rsidRPr="008608AA">
        <w:t xml:space="preserve">, </w:t>
      </w:r>
      <w:r w:rsidRPr="008608AA">
        <w:rPr>
          <w:i/>
        </w:rPr>
        <w:t>363</w:t>
      </w:r>
      <w:r w:rsidRPr="008608AA">
        <w:t>(1491), (pp. 447–65). https://doi.org/10.1098/rstb.2007.2163</w:t>
      </w:r>
    </w:p>
    <w:p w14:paraId="782BC7DA" w14:textId="77777777" w:rsidR="00DD4E98" w:rsidRPr="008608AA" w:rsidRDefault="00DD4E98" w:rsidP="00DD4E98">
      <w:pPr>
        <w:widowControl w:val="0"/>
        <w:ind w:left="906" w:hangingChars="412" w:hanging="906"/>
        <w:contextualSpacing/>
        <w:rPr>
          <w:lang w:val="en-GB"/>
        </w:rPr>
      </w:pPr>
      <w:r w:rsidRPr="008608AA">
        <w:t xml:space="preserve">Pretty, J., Sutherland, W. J., Ashby, J., Auburn, J., Baulcombe, D., Bell, M., Bentley, J., Bickersteth, S., Brown, K., Burke, J., Campbell, H., Chen, K., Crowley, E., Crute, I., Dobbelaere, D., Edwards-Jones, G., Funes-Monzote, F., Godfray, H. C. J., Griffon, M., Gypmantisiri, P., Haddad, L., Halavatau, S., Herren, H., Holderness, M., Izac, A.-M., Jones, M., Koohafkan, P., Lal, R., Lang, T., McNeely, J., Mueller, A., Nisbett, N., Noble, A., Pingali, P., Pinto, Y., Rabbinge, R., Ravindranath, N. H., Rola, A., Roling, N., Sage, C., Settle, W., Sha, J. M., Shiming, L., Simons, T., Smith, P., Strzepeck, K., Swaine, H., Terry, E., Tomich, T. P., Toulmin, C., Trigo, E., Twomlow, S., Vis, J. K., Wilson, J., &amp; Pilgrim, S. (2010). The top 100 questions of importance to the future of global agriculture. </w:t>
      </w:r>
      <w:r w:rsidRPr="008608AA">
        <w:rPr>
          <w:i/>
          <w:iCs/>
        </w:rPr>
        <w:t>International Journal of Agricultural Sustainability</w:t>
      </w:r>
      <w:r w:rsidRPr="008608AA">
        <w:t xml:space="preserve">, </w:t>
      </w:r>
      <w:r w:rsidRPr="008608AA">
        <w:rPr>
          <w:i/>
          <w:iCs/>
        </w:rPr>
        <w:t>8</w:t>
      </w:r>
      <w:r w:rsidRPr="008608AA">
        <w:t>(4), 219–236. https://doi.org/10.3763/ijas.2010.0534</w:t>
      </w:r>
    </w:p>
    <w:p w14:paraId="429EFC18" w14:textId="77777777" w:rsidR="00DD4E98" w:rsidRPr="008608AA" w:rsidRDefault="00DD4E98" w:rsidP="00DD4E98">
      <w:pPr>
        <w:widowControl w:val="0"/>
        <w:ind w:left="906" w:hangingChars="412" w:hanging="906"/>
        <w:contextualSpacing/>
        <w:rPr>
          <w:lang w:val="en-GB"/>
        </w:rPr>
      </w:pPr>
      <w:r w:rsidRPr="008608AA">
        <w:t xml:space="preserve">Pullin, A. S., Bangpan, M., Dalrymple, S., Dickson, K., Haddaway, N. R., Healey, J. R., Hauari, H., Hockley, N., Jones, J. P. G., Knight, T., Vigurs, C., &amp; Oliver, S. (2013). Human well-being impacts of terrestrial protected areas. </w:t>
      </w:r>
      <w:r w:rsidRPr="008608AA">
        <w:rPr>
          <w:i/>
          <w:iCs/>
        </w:rPr>
        <w:t>Environmental Evidence</w:t>
      </w:r>
      <w:r w:rsidRPr="008608AA">
        <w:t xml:space="preserve">, </w:t>
      </w:r>
      <w:r w:rsidRPr="008608AA">
        <w:rPr>
          <w:i/>
          <w:iCs/>
        </w:rPr>
        <w:t>2</w:t>
      </w:r>
      <w:r w:rsidRPr="008608AA">
        <w:t>(1), 19. https://doi.org/10.1186/2047-2382-2-19</w:t>
      </w:r>
    </w:p>
    <w:p w14:paraId="6839EEF8" w14:textId="77777777" w:rsidR="00DD4E98" w:rsidRPr="008608AA" w:rsidRDefault="00DD4E98" w:rsidP="00DD4E98">
      <w:pPr>
        <w:widowControl w:val="0"/>
        <w:ind w:left="906" w:hangingChars="412" w:hanging="906"/>
        <w:contextualSpacing/>
      </w:pPr>
      <w:r w:rsidRPr="008608AA">
        <w:t xml:space="preserve">Purkey, D. R., Thomas, G. A., Fullerton, D. K., Moench, M., &amp; Axelrad, L. (1998). </w:t>
      </w:r>
      <w:r w:rsidRPr="008608AA">
        <w:rPr>
          <w:i/>
        </w:rPr>
        <w:t>Feasibility study of a maximal program of groundwater banking</w:t>
      </w:r>
      <w:r w:rsidRPr="008608AA">
        <w:t>. Berkeley: Natural Heritage Institute.</w:t>
      </w:r>
    </w:p>
    <w:p w14:paraId="1191A086" w14:textId="77777777" w:rsidR="00DD4E98" w:rsidRPr="008608AA" w:rsidRDefault="00DD4E98" w:rsidP="00DD4E98">
      <w:pPr>
        <w:widowControl w:val="0"/>
        <w:ind w:left="906" w:hangingChars="412" w:hanging="906"/>
        <w:contextualSpacing/>
      </w:pPr>
      <w:r w:rsidRPr="008608AA">
        <w:t xml:space="preserve">Rader, R., Bartomeus, I., Garibaldi, L. A., Garratt, M. P. D., Howlett, B. G., Winfree, R., … Woyciechowski, M. (2015). Non-bee insects are important contributors to global crop pollination. </w:t>
      </w:r>
      <w:r w:rsidRPr="008608AA">
        <w:rPr>
          <w:i/>
        </w:rPr>
        <w:t>Proceedings of the National Academy of Sciences</w:t>
      </w:r>
      <w:r w:rsidRPr="008608AA">
        <w:t>, 201517092. https://doi.org/10.1073/pnas.1517092112</w:t>
      </w:r>
    </w:p>
    <w:p w14:paraId="1AC7F4E5" w14:textId="77777777" w:rsidR="00DD4E98" w:rsidRPr="008608AA" w:rsidRDefault="00DD4E98" w:rsidP="00DD4E98">
      <w:pPr>
        <w:widowControl w:val="0"/>
        <w:ind w:left="906" w:hangingChars="412" w:hanging="906"/>
        <w:contextualSpacing/>
      </w:pPr>
      <w:r w:rsidRPr="008608AA">
        <w:rPr>
          <w:lang w:val="es-CO"/>
        </w:rPr>
        <w:t xml:space="preserve">Ranum, P., Peña-Rosas, J. P., &amp; Garcia-Casal, M. N. (2014). </w:t>
      </w:r>
      <w:r w:rsidRPr="008608AA">
        <w:t xml:space="preserve">Global maize production, utilization, and consumption. </w:t>
      </w:r>
      <w:r w:rsidRPr="008608AA">
        <w:rPr>
          <w:i/>
        </w:rPr>
        <w:t>Annals of the New York Academy of Sciences</w:t>
      </w:r>
      <w:r w:rsidRPr="008608AA">
        <w:t xml:space="preserve">, </w:t>
      </w:r>
      <w:r w:rsidRPr="008608AA">
        <w:rPr>
          <w:i/>
        </w:rPr>
        <w:t>1312</w:t>
      </w:r>
      <w:r w:rsidRPr="008608AA">
        <w:t>(1), (pp. 105–112). https://doi.org/10.1111/nyas.12396</w:t>
      </w:r>
    </w:p>
    <w:p w14:paraId="040AC239" w14:textId="77777777" w:rsidR="00DD4E98" w:rsidRPr="008608AA" w:rsidRDefault="00DD4E98" w:rsidP="00DD4E98">
      <w:pPr>
        <w:widowControl w:val="0"/>
        <w:ind w:left="906" w:hangingChars="412" w:hanging="906"/>
        <w:contextualSpacing/>
      </w:pPr>
      <w:r w:rsidRPr="008608AA">
        <w:t xml:space="preserve">Rassy, D., &amp; Smith, R. D. (2013). The economic impact of H1N1 on Mexico’s tourist and pork sectors. </w:t>
      </w:r>
      <w:r w:rsidRPr="008608AA">
        <w:rPr>
          <w:i/>
        </w:rPr>
        <w:t>Health Economics</w:t>
      </w:r>
      <w:r w:rsidRPr="008608AA">
        <w:t xml:space="preserve">, </w:t>
      </w:r>
      <w:r w:rsidRPr="008608AA">
        <w:rPr>
          <w:i/>
        </w:rPr>
        <w:t>22</w:t>
      </w:r>
      <w:r w:rsidRPr="008608AA">
        <w:t>(7), (pp. 824–834). https://doi.org/10.1002/hec.2862</w:t>
      </w:r>
    </w:p>
    <w:p w14:paraId="2BC9ADB2" w14:textId="77777777" w:rsidR="00DD4E98" w:rsidRPr="008608AA" w:rsidRDefault="00DD4E98" w:rsidP="00DD4E98">
      <w:pPr>
        <w:widowControl w:val="0"/>
        <w:ind w:left="906" w:hangingChars="412" w:hanging="906"/>
        <w:contextualSpacing/>
      </w:pPr>
      <w:r w:rsidRPr="008608AA">
        <w:t xml:space="preserve">Raudsepp-Hearne, C., Peterson, G. D., &amp; Bennett, E. M. (2010). Ecosystem service bundles for analyzing tradeoffs in diverse landscapes. </w:t>
      </w:r>
      <w:r w:rsidRPr="008608AA">
        <w:rPr>
          <w:i/>
        </w:rPr>
        <w:t>Proceedings of the National Academy of Sciences of the United States of America</w:t>
      </w:r>
      <w:r w:rsidRPr="008608AA">
        <w:t xml:space="preserve">, </w:t>
      </w:r>
      <w:r w:rsidRPr="008608AA">
        <w:rPr>
          <w:i/>
        </w:rPr>
        <w:t>107</w:t>
      </w:r>
      <w:r w:rsidRPr="008608AA">
        <w:t>(11), (pp. 5242–7). https://doi.org/10.1073/pnas.0907284107</w:t>
      </w:r>
    </w:p>
    <w:p w14:paraId="731946D9" w14:textId="77777777" w:rsidR="00DD4E98" w:rsidRPr="008608AA" w:rsidRDefault="00DD4E98" w:rsidP="00DD4E98">
      <w:pPr>
        <w:widowControl w:val="0"/>
        <w:ind w:left="906" w:hangingChars="412" w:hanging="906"/>
        <w:contextualSpacing/>
        <w:rPr>
          <w:lang w:val="en-GB"/>
        </w:rPr>
      </w:pPr>
      <w:r w:rsidRPr="008608AA">
        <w:t xml:space="preserve">Raven, J., Caldeira, K., Elderfield, H., Hoegh-Guldberg, O., Liss, P., Riebesell, U., Shepherd, J., Turley, C., &amp; Watson, A. (2005). </w:t>
      </w:r>
      <w:r w:rsidRPr="008608AA">
        <w:rPr>
          <w:i/>
          <w:iCs/>
        </w:rPr>
        <w:t>Ocean acidification due to increasing atmospheric carbon dioxide</w:t>
      </w:r>
      <w:r w:rsidRPr="008608AA">
        <w:t xml:space="preserve">. </w:t>
      </w:r>
      <w:r w:rsidRPr="008608AA">
        <w:rPr>
          <w:i/>
          <w:iCs/>
        </w:rPr>
        <w:t>Policy document 12/05</w:t>
      </w:r>
      <w:r w:rsidRPr="008608AA">
        <w:t>. Cardiff, UK. https://doi.org/ISBN 0 85403 617 2</w:t>
      </w:r>
    </w:p>
    <w:p w14:paraId="2BBFF416" w14:textId="77777777" w:rsidR="00DD4E98" w:rsidRPr="008608AA" w:rsidRDefault="00DD4E98" w:rsidP="00DD4E98">
      <w:pPr>
        <w:widowControl w:val="0"/>
        <w:ind w:left="906" w:hangingChars="412" w:hanging="906"/>
        <w:contextualSpacing/>
      </w:pPr>
      <w:r w:rsidRPr="008608AA">
        <w:t xml:space="preserve">Reichel-Dolmatoff, G. (1971). </w:t>
      </w:r>
      <w:r w:rsidRPr="008608AA">
        <w:rPr>
          <w:i/>
        </w:rPr>
        <w:t>Amazonian Cosmos: The Sexual and Religious Symbolism of the Tukano Indians</w:t>
      </w:r>
      <w:r w:rsidRPr="008608AA">
        <w:t>. University of Chicago Press.</w:t>
      </w:r>
    </w:p>
    <w:p w14:paraId="7E03B034" w14:textId="77777777" w:rsidR="00DD4E98" w:rsidRPr="008608AA" w:rsidRDefault="00DD4E98" w:rsidP="00DD4E98">
      <w:pPr>
        <w:widowControl w:val="0"/>
        <w:ind w:left="906" w:hangingChars="412" w:hanging="906"/>
        <w:contextualSpacing/>
      </w:pPr>
      <w:r w:rsidRPr="008608AA">
        <w:t xml:space="preserve">Ren, D. (2015). </w:t>
      </w:r>
      <w:r w:rsidRPr="008608AA">
        <w:rPr>
          <w:i/>
        </w:rPr>
        <w:t>Storm-triggered Landslides in Warmer Climates</w:t>
      </w:r>
      <w:r w:rsidRPr="008608AA">
        <w:t>. New York, NY: Springer International Publishing Switzerland.</w:t>
      </w:r>
    </w:p>
    <w:p w14:paraId="6E8BAE47" w14:textId="77777777" w:rsidR="00DD4E98" w:rsidRPr="008608AA" w:rsidRDefault="00DD4E98" w:rsidP="00DD4E98">
      <w:pPr>
        <w:widowControl w:val="0"/>
        <w:ind w:left="906" w:hangingChars="412" w:hanging="906"/>
        <w:contextualSpacing/>
      </w:pPr>
      <w:r w:rsidRPr="008608AA">
        <w:rPr>
          <w:lang w:val="de-DE"/>
        </w:rPr>
        <w:t xml:space="preserve">Ricketts, T. H., Daily, G. C., Ehrlich, P. R., &amp; Michener, C. D. (2004). </w:t>
      </w:r>
      <w:r w:rsidRPr="008608AA">
        <w:t xml:space="preserve">Economic value of tropical forest to coffee production. </w:t>
      </w:r>
      <w:r w:rsidRPr="008608AA">
        <w:rPr>
          <w:i/>
        </w:rPr>
        <w:t>Proceedings of the National Academy of Sciences of the United States of America</w:t>
      </w:r>
      <w:r w:rsidRPr="008608AA">
        <w:t xml:space="preserve">, </w:t>
      </w:r>
      <w:r w:rsidRPr="008608AA">
        <w:rPr>
          <w:i/>
        </w:rPr>
        <w:t>101</w:t>
      </w:r>
      <w:r w:rsidRPr="008608AA">
        <w:t>(34), (pp. 12579–82). https://doi.org/10.1073/pnas.0405147101</w:t>
      </w:r>
    </w:p>
    <w:p w14:paraId="7FA9CF80" w14:textId="77777777" w:rsidR="00DD4E98" w:rsidRPr="008608AA" w:rsidRDefault="00DD4E98" w:rsidP="00DD4E98">
      <w:pPr>
        <w:widowControl w:val="0"/>
        <w:ind w:left="906" w:hangingChars="412" w:hanging="906"/>
        <w:contextualSpacing/>
        <w:rPr>
          <w:lang w:val="es-CO"/>
        </w:rPr>
      </w:pPr>
      <w:r w:rsidRPr="008608AA">
        <w:rPr>
          <w:lang w:val="es-CO"/>
        </w:rPr>
        <w:t xml:space="preserve">Rittl, T. F., Oliveira, D., &amp; Cerri, C. E. P. (2017). </w:t>
      </w:r>
      <w:r w:rsidRPr="008608AA">
        <w:t xml:space="preserve">Soil carbon stock changes under different land uses in the Amazon. </w:t>
      </w:r>
      <w:r w:rsidRPr="008608AA">
        <w:rPr>
          <w:i/>
          <w:lang w:val="es-CO"/>
        </w:rPr>
        <w:t>Geoderma Regional</w:t>
      </w:r>
      <w:r w:rsidRPr="008608AA">
        <w:rPr>
          <w:lang w:val="es-CO"/>
        </w:rPr>
        <w:t xml:space="preserve">, </w:t>
      </w:r>
      <w:r w:rsidRPr="008608AA">
        <w:rPr>
          <w:i/>
          <w:lang w:val="es-CO"/>
        </w:rPr>
        <w:t>10</w:t>
      </w:r>
      <w:r w:rsidRPr="008608AA">
        <w:rPr>
          <w:lang w:val="es-CO"/>
        </w:rPr>
        <w:t>, (pp. 138–143). https://doi.org/10.1016/j.geodrs.2017.07.004</w:t>
      </w:r>
    </w:p>
    <w:p w14:paraId="308A6F7E" w14:textId="77777777" w:rsidR="00DD4E98" w:rsidRPr="008608AA" w:rsidRDefault="00DD4E98" w:rsidP="00DD4E98">
      <w:pPr>
        <w:widowControl w:val="0"/>
        <w:ind w:left="906" w:hangingChars="412" w:hanging="906"/>
        <w:contextualSpacing/>
        <w:rPr>
          <w:lang w:val="es-CO"/>
        </w:rPr>
      </w:pPr>
      <w:r w:rsidRPr="008608AA">
        <w:rPr>
          <w:lang w:val="es-CO"/>
        </w:rPr>
        <w:t xml:space="preserve">Riviére, G. (1994). </w:t>
      </w:r>
      <w:r w:rsidRPr="008608AA">
        <w:rPr>
          <w:i/>
          <w:lang w:val="es-CO"/>
        </w:rPr>
        <w:t>El sistema de aynuqa: Memoria e historia de la comunidad (comunidades aymara del altiplano boliviano). In D. Hervé, D. Genin, &amp; G. Rivière (Eds.),</w:t>
      </w:r>
      <w:r w:rsidRPr="008608AA">
        <w:rPr>
          <w:lang w:val="es-CO"/>
        </w:rPr>
        <w:t xml:space="preserve"> </w:t>
      </w:r>
      <w:r w:rsidRPr="008608AA">
        <w:rPr>
          <w:i/>
          <w:lang w:val="es-CO"/>
        </w:rPr>
        <w:t>Dinámicas del descanso de la tierra en los Andes</w:t>
      </w:r>
      <w:r w:rsidRPr="008608AA">
        <w:rPr>
          <w:lang w:val="es-CO"/>
        </w:rPr>
        <w:t xml:space="preserve"> (pp. 89–105). La Paz, Bolivia: IBTA - ORSTOM.</w:t>
      </w:r>
    </w:p>
    <w:p w14:paraId="49E3F057" w14:textId="77777777" w:rsidR="00DD4E98" w:rsidRPr="008608AA" w:rsidRDefault="00DD4E98" w:rsidP="00DD4E98">
      <w:pPr>
        <w:widowControl w:val="0"/>
        <w:ind w:left="906" w:hangingChars="412" w:hanging="906"/>
        <w:contextualSpacing/>
      </w:pPr>
      <w:r w:rsidRPr="008608AA">
        <w:rPr>
          <w:lang w:val="es-CO"/>
        </w:rPr>
        <w:t xml:space="preserve">Rizo-Decelis, L. D., &amp; Andreo, B. (2016). </w:t>
      </w:r>
      <w:r w:rsidRPr="008608AA">
        <w:t xml:space="preserve">Water Quality Assessment of the Santiago River and Attenuation Capacity of Pollutants Downstream Guadalajara City, Mexico. </w:t>
      </w:r>
      <w:r w:rsidRPr="008608AA">
        <w:rPr>
          <w:i/>
        </w:rPr>
        <w:t>River Research and Applications</w:t>
      </w:r>
      <w:r w:rsidRPr="008608AA">
        <w:t xml:space="preserve">, </w:t>
      </w:r>
      <w:r w:rsidRPr="008608AA">
        <w:rPr>
          <w:i/>
        </w:rPr>
        <w:t>32</w:t>
      </w:r>
      <w:r w:rsidRPr="008608AA">
        <w:t>(7), (pp. 1505–1516). https://doi.org/10.1002/rra.2988</w:t>
      </w:r>
    </w:p>
    <w:p w14:paraId="488822F4" w14:textId="77777777" w:rsidR="00DD4E98" w:rsidRPr="008608AA" w:rsidRDefault="00DD4E98" w:rsidP="00DD4E98">
      <w:pPr>
        <w:widowControl w:val="0"/>
        <w:ind w:left="906" w:hangingChars="412" w:hanging="906"/>
        <w:contextualSpacing/>
      </w:pPr>
      <w:r w:rsidRPr="008608AA">
        <w:t xml:space="preserve">Roberts, L. A., &amp; Leitch, J. A. (1997). </w:t>
      </w:r>
      <w:r w:rsidRPr="008608AA">
        <w:rPr>
          <w:i/>
        </w:rPr>
        <w:t>Economic valuation of some wetland outputs of Mud Lake, Minnesota-South Dakota</w:t>
      </w:r>
      <w:r w:rsidRPr="008608AA">
        <w:t>. North Dakota State University Department of Agribusiness and Applied Economics.</w:t>
      </w:r>
    </w:p>
    <w:p w14:paraId="29B1D351" w14:textId="77777777" w:rsidR="00DD4E98" w:rsidRPr="008608AA" w:rsidRDefault="00DD4E98" w:rsidP="00DD4E98">
      <w:pPr>
        <w:widowControl w:val="0"/>
        <w:ind w:left="906" w:hangingChars="412" w:hanging="906"/>
        <w:contextualSpacing/>
      </w:pPr>
      <w:r w:rsidRPr="008608AA">
        <w:t xml:space="preserve">Robertson, G. P., Gross, K. L., Hamilton, S. K., Landis, D. A., Schmidt, T. M., Snapp, S. S., &amp; Swinton, S. M. (2014). Farming for ecosystem services: An ecological approach to production agriculture. </w:t>
      </w:r>
      <w:r w:rsidRPr="008608AA">
        <w:rPr>
          <w:i/>
        </w:rPr>
        <w:t>BioScience</w:t>
      </w:r>
      <w:r w:rsidRPr="008608AA">
        <w:t xml:space="preserve">, </w:t>
      </w:r>
      <w:r w:rsidRPr="008608AA">
        <w:rPr>
          <w:i/>
        </w:rPr>
        <w:t>64</w:t>
      </w:r>
      <w:r w:rsidRPr="008608AA">
        <w:t>(5), (pp. 404–415). https://doi.org/10.1093/biosci/biu037</w:t>
      </w:r>
    </w:p>
    <w:p w14:paraId="26049AC0" w14:textId="77777777" w:rsidR="00DD4E98" w:rsidRPr="008608AA" w:rsidRDefault="00DD4E98" w:rsidP="00DD4E98">
      <w:pPr>
        <w:widowControl w:val="0"/>
        <w:ind w:left="906" w:hangingChars="412" w:hanging="906"/>
        <w:contextualSpacing/>
      </w:pPr>
      <w:r w:rsidRPr="008608AA">
        <w:t xml:space="preserve">Robillard, C. M., Coristine, L. E., Soares, R. N., &amp; Kerr, J. T. (2015). Facilitating climate-change-induced range shifts across continental land-use barriers. </w:t>
      </w:r>
      <w:r w:rsidRPr="008608AA">
        <w:rPr>
          <w:i/>
        </w:rPr>
        <w:t>Conservation Biology</w:t>
      </w:r>
      <w:r w:rsidRPr="008608AA">
        <w:t xml:space="preserve">, </w:t>
      </w:r>
      <w:r w:rsidRPr="008608AA">
        <w:rPr>
          <w:i/>
        </w:rPr>
        <w:t>29</w:t>
      </w:r>
      <w:r w:rsidRPr="008608AA">
        <w:t>(6), (pp. 1586–1595). https://doi.org/10.1111/cobi.12556</w:t>
      </w:r>
    </w:p>
    <w:p w14:paraId="19B186CD" w14:textId="77777777" w:rsidR="00DD4E98" w:rsidRPr="008608AA" w:rsidRDefault="00DD4E98" w:rsidP="00DD4E98">
      <w:pPr>
        <w:widowControl w:val="0"/>
        <w:ind w:left="906" w:hangingChars="412" w:hanging="906"/>
        <w:contextualSpacing/>
      </w:pPr>
      <w:r w:rsidRPr="008608AA">
        <w:t xml:space="preserve">Robinson, J., &amp; Bennett, E. (2000). </w:t>
      </w:r>
      <w:r w:rsidRPr="008608AA">
        <w:rPr>
          <w:i/>
        </w:rPr>
        <w:t>Hunting for Sustainability in Tropical Forests</w:t>
      </w:r>
      <w:r w:rsidRPr="008608AA">
        <w:t>. New York: Columbia University Press.</w:t>
      </w:r>
    </w:p>
    <w:p w14:paraId="4A8D3226" w14:textId="77777777" w:rsidR="00DD4E98" w:rsidRPr="008608AA" w:rsidRDefault="00DD4E98" w:rsidP="00DD4E98">
      <w:pPr>
        <w:widowControl w:val="0"/>
        <w:ind w:left="906" w:hangingChars="412" w:hanging="906"/>
        <w:contextualSpacing/>
        <w:rPr>
          <w:lang w:val="pt-BR"/>
        </w:rPr>
      </w:pPr>
      <w:r w:rsidRPr="008608AA">
        <w:t xml:space="preserve">Robinson, J., &amp; Redford, K. H. (1991). </w:t>
      </w:r>
      <w:r w:rsidRPr="008608AA">
        <w:rPr>
          <w:i/>
        </w:rPr>
        <w:t>Neotropical wildlife use and conservation</w:t>
      </w:r>
      <w:r w:rsidRPr="008608AA">
        <w:t xml:space="preserve">. </w:t>
      </w:r>
      <w:r w:rsidRPr="008608AA">
        <w:rPr>
          <w:lang w:val="pt-BR"/>
        </w:rPr>
        <w:t>Chicago: University of Chicago Press.</w:t>
      </w:r>
    </w:p>
    <w:p w14:paraId="25C9C72E" w14:textId="77777777" w:rsidR="00DD4E98" w:rsidRPr="008608AA" w:rsidRDefault="00DD4E98" w:rsidP="00DD4E98">
      <w:pPr>
        <w:widowControl w:val="0"/>
        <w:ind w:left="906" w:hangingChars="412" w:hanging="906"/>
        <w:contextualSpacing/>
        <w:rPr>
          <w:lang w:val="es-CO"/>
        </w:rPr>
      </w:pPr>
      <w:r w:rsidRPr="008608AA">
        <w:t xml:space="preserve">Rocha, F. L., Roque, A. L. R., Arrais, R. C., Santos, J. P., Lima, V. D. S., Xavier, S. C. D. C., Cordeir-Estrela, P., D’andrea, P. S., &amp; Jansen, A. M. (2013). Trypanosoma cruzi TcI and TcII transmission among wild carnivores, small mammals and dogs in a conservation unit and surrounding areas, Brazil. </w:t>
      </w:r>
      <w:r w:rsidRPr="008608AA">
        <w:rPr>
          <w:i/>
          <w:iCs/>
          <w:lang w:val="es-ES"/>
        </w:rPr>
        <w:t>Parasitology</w:t>
      </w:r>
      <w:r w:rsidRPr="008608AA">
        <w:rPr>
          <w:lang w:val="es-ES"/>
        </w:rPr>
        <w:t xml:space="preserve">, </w:t>
      </w:r>
      <w:r w:rsidRPr="008608AA">
        <w:rPr>
          <w:i/>
          <w:iCs/>
          <w:lang w:val="es-ES"/>
        </w:rPr>
        <w:t>140</w:t>
      </w:r>
      <w:r w:rsidRPr="008608AA">
        <w:rPr>
          <w:lang w:val="es-ES"/>
        </w:rPr>
        <w:t>(02), 160–170. https://doi.org/10.1017/S0031182012001539</w:t>
      </w:r>
    </w:p>
    <w:p w14:paraId="48EAEE5A" w14:textId="77777777" w:rsidR="00DD4E98" w:rsidRPr="008608AA" w:rsidRDefault="00DD4E98" w:rsidP="00DD4E98">
      <w:pPr>
        <w:widowControl w:val="0"/>
        <w:ind w:left="906" w:hangingChars="412" w:hanging="906"/>
        <w:contextualSpacing/>
        <w:rPr>
          <w:lang w:val="es-CO"/>
        </w:rPr>
      </w:pPr>
      <w:r w:rsidRPr="008608AA">
        <w:rPr>
          <w:lang w:val="es-CO"/>
        </w:rPr>
        <w:t xml:space="preserve">Rocha, G. O. D. A., Anjos, J. P. D. O. S., &amp; Andrade, J. B. D. E. (2015). Energy trends and the water-energy binomium for Brazil. </w:t>
      </w:r>
      <w:r w:rsidRPr="008608AA">
        <w:rPr>
          <w:i/>
          <w:lang w:val="es-CO"/>
        </w:rPr>
        <w:t>Anais Da Academia Brasileira de Ciências</w:t>
      </w:r>
      <w:r w:rsidRPr="008608AA">
        <w:rPr>
          <w:lang w:val="es-CO"/>
        </w:rPr>
        <w:t xml:space="preserve">, </w:t>
      </w:r>
      <w:r w:rsidRPr="008608AA">
        <w:rPr>
          <w:i/>
          <w:lang w:val="es-CO"/>
        </w:rPr>
        <w:t>87</w:t>
      </w:r>
      <w:r w:rsidRPr="008608AA">
        <w:rPr>
          <w:lang w:val="es-CO"/>
        </w:rPr>
        <w:t>, 569–594. https://doi.org/10.1590/0001-3765201520140560</w:t>
      </w:r>
    </w:p>
    <w:p w14:paraId="77C6C6D6" w14:textId="77777777" w:rsidR="00DD4E98" w:rsidRPr="008608AA" w:rsidRDefault="00DD4E98" w:rsidP="00DD4E98">
      <w:pPr>
        <w:widowControl w:val="0"/>
        <w:ind w:left="906" w:hangingChars="412" w:hanging="906"/>
        <w:contextualSpacing/>
        <w:rPr>
          <w:lang w:val="es-CO"/>
        </w:rPr>
      </w:pPr>
      <w:r w:rsidRPr="008608AA">
        <w:rPr>
          <w:lang w:val="es-CO"/>
        </w:rPr>
        <w:t xml:space="preserve">Rodriguez, L. (2010). </w:t>
      </w:r>
      <w:r w:rsidRPr="008608AA">
        <w:rPr>
          <w:i/>
          <w:lang w:val="es-CO"/>
        </w:rPr>
        <w:t>Origen y evolución de la papa cultivada. Una revisión.</w:t>
      </w:r>
      <w:r w:rsidRPr="008608AA">
        <w:rPr>
          <w:lang w:val="es-CO"/>
        </w:rPr>
        <w:t xml:space="preserve"> </w:t>
      </w:r>
      <w:r w:rsidRPr="008608AA">
        <w:rPr>
          <w:i/>
          <w:lang w:val="es-CO"/>
        </w:rPr>
        <w:t>Agronomía Colombiana</w:t>
      </w:r>
      <w:r w:rsidRPr="008608AA">
        <w:rPr>
          <w:lang w:val="es-CO"/>
        </w:rPr>
        <w:t xml:space="preserve">, </w:t>
      </w:r>
      <w:r w:rsidRPr="008608AA">
        <w:rPr>
          <w:i/>
          <w:lang w:val="es-CO"/>
        </w:rPr>
        <w:t>28</w:t>
      </w:r>
      <w:r w:rsidRPr="008608AA">
        <w:rPr>
          <w:lang w:val="es-CO"/>
        </w:rPr>
        <w:t>(1), (pp. 9–17).</w:t>
      </w:r>
    </w:p>
    <w:p w14:paraId="1FC6FF46" w14:textId="77777777" w:rsidR="00DD4E98" w:rsidRPr="008608AA" w:rsidRDefault="00DD4E98" w:rsidP="00DD4E98">
      <w:pPr>
        <w:widowControl w:val="0"/>
        <w:ind w:left="906" w:hangingChars="412" w:hanging="906"/>
        <w:contextualSpacing/>
      </w:pPr>
      <w:r w:rsidRPr="008608AA">
        <w:t xml:space="preserve">Rolston, H. (1986). </w:t>
      </w:r>
      <w:r w:rsidRPr="008608AA">
        <w:rPr>
          <w:i/>
        </w:rPr>
        <w:t>Philosophy Gone Wild: Essays in Environmental Ethics</w:t>
      </w:r>
      <w:r w:rsidRPr="008608AA">
        <w:t>. Amherst, NY: Prometheus Books.</w:t>
      </w:r>
    </w:p>
    <w:p w14:paraId="303BD9E7" w14:textId="77777777" w:rsidR="00DD4E98" w:rsidRPr="008608AA" w:rsidRDefault="00DD4E98" w:rsidP="00DD4E98">
      <w:pPr>
        <w:widowControl w:val="0"/>
        <w:ind w:left="906" w:hangingChars="412" w:hanging="906"/>
        <w:contextualSpacing/>
      </w:pPr>
      <w:r w:rsidRPr="008608AA">
        <w:t xml:space="preserve">Romanelli, C., Cooper, D., Campbell-Lendrum, D., Maiero, M., Karesh, W., Hunter, D., &amp; Golden, C. (2015). </w:t>
      </w:r>
      <w:r w:rsidRPr="008608AA">
        <w:rPr>
          <w:i/>
        </w:rPr>
        <w:t>Connecting global priorities: biodiversity and human health: a state of knowledge review</w:t>
      </w:r>
      <w:r w:rsidRPr="008608AA">
        <w:t>.</w:t>
      </w:r>
    </w:p>
    <w:p w14:paraId="0323329C" w14:textId="77777777" w:rsidR="00DD4E98" w:rsidRPr="008608AA" w:rsidRDefault="00DD4E98" w:rsidP="00DD4E98">
      <w:pPr>
        <w:widowControl w:val="0"/>
        <w:ind w:left="906" w:hangingChars="412" w:hanging="906"/>
        <w:contextualSpacing/>
        <w:rPr>
          <w:lang w:val="en-GB"/>
        </w:rPr>
      </w:pPr>
      <w:r w:rsidRPr="008608AA">
        <w:t xml:space="preserve">Romijn, E., Lantican, C. B., Herold, M., Lindquist, E., Ochieng, R., Wijaya, A., Murdiyarso, D., &amp; Verchot, L. (2015). Assessing change in national forest monitoring capacities of 99 tropical countries. </w:t>
      </w:r>
      <w:r w:rsidRPr="008608AA">
        <w:rPr>
          <w:i/>
          <w:iCs/>
        </w:rPr>
        <w:t>Forest Ecology and Management</w:t>
      </w:r>
      <w:r w:rsidRPr="008608AA">
        <w:t xml:space="preserve">, </w:t>
      </w:r>
      <w:r w:rsidRPr="008608AA">
        <w:rPr>
          <w:i/>
          <w:iCs/>
        </w:rPr>
        <w:t>352</w:t>
      </w:r>
      <w:r w:rsidRPr="008608AA">
        <w:t>, 109–123.</w:t>
      </w:r>
    </w:p>
    <w:p w14:paraId="78594D48" w14:textId="77777777" w:rsidR="00DD4E98" w:rsidRPr="008608AA" w:rsidRDefault="00DD4E98" w:rsidP="00DD4E98">
      <w:pPr>
        <w:widowControl w:val="0"/>
        <w:ind w:left="906" w:hangingChars="412" w:hanging="906"/>
        <w:contextualSpacing/>
      </w:pPr>
      <w:r w:rsidRPr="008608AA">
        <w:t xml:space="preserve">Rose, G. a., &amp; Rowe, S. (2015). </w:t>
      </w:r>
      <w:r w:rsidRPr="008608AA">
        <w:rPr>
          <w:i/>
        </w:rPr>
        <w:t>Northern cod comeback.</w:t>
      </w:r>
      <w:r w:rsidRPr="008608AA">
        <w:t xml:space="preserve"> </w:t>
      </w:r>
      <w:r w:rsidRPr="008608AA">
        <w:rPr>
          <w:i/>
        </w:rPr>
        <w:t>Canadian Journal of Fisheries and Aquatic Sciences</w:t>
      </w:r>
      <w:r w:rsidRPr="008608AA">
        <w:t xml:space="preserve">, </w:t>
      </w:r>
      <w:r w:rsidRPr="008608AA">
        <w:rPr>
          <w:i/>
        </w:rPr>
        <w:t>72</w:t>
      </w:r>
      <w:r w:rsidRPr="008608AA">
        <w:t>(October), (pp. 1789–1798). https://doi.org/10.1139/cjfas-2015-0346</w:t>
      </w:r>
    </w:p>
    <w:p w14:paraId="14F6AF5C" w14:textId="77777777" w:rsidR="00DD4E98" w:rsidRPr="008608AA" w:rsidRDefault="00DD4E98" w:rsidP="00DD4E98">
      <w:pPr>
        <w:widowControl w:val="0"/>
        <w:ind w:left="906" w:hangingChars="412" w:hanging="906"/>
        <w:contextualSpacing/>
      </w:pPr>
      <w:r w:rsidRPr="008608AA">
        <w:t xml:space="preserve">Roy, S., Byrne, J., &amp; Pickering, C. (2012). A systematic quantitative review of urban tree benefits, costs, and assessment methods across cities in different climatic zones. </w:t>
      </w:r>
      <w:r w:rsidRPr="008608AA">
        <w:rPr>
          <w:i/>
        </w:rPr>
        <w:t>Urban Forestry and Urban Greening</w:t>
      </w:r>
      <w:r w:rsidRPr="008608AA">
        <w:t xml:space="preserve">, </w:t>
      </w:r>
      <w:r w:rsidRPr="008608AA">
        <w:rPr>
          <w:i/>
        </w:rPr>
        <w:t>11</w:t>
      </w:r>
      <w:r w:rsidRPr="008608AA">
        <w:t>(4), (pp. 351–363). https://doi.org/10.1016/j.ufug.2012.06.006</w:t>
      </w:r>
    </w:p>
    <w:p w14:paraId="56B20BB3" w14:textId="77777777" w:rsidR="00DD4E98" w:rsidRPr="008608AA" w:rsidRDefault="00DD4E98" w:rsidP="00DD4E98">
      <w:pPr>
        <w:widowControl w:val="0"/>
        <w:ind w:left="906" w:hangingChars="412" w:hanging="906"/>
        <w:contextualSpacing/>
      </w:pPr>
      <w:r w:rsidRPr="008608AA">
        <w:t xml:space="preserve">Royal Botanic Gardens Kew. (2017). </w:t>
      </w:r>
      <w:r w:rsidRPr="008608AA">
        <w:rPr>
          <w:i/>
        </w:rPr>
        <w:t>State of the World’s Plants 2017</w:t>
      </w:r>
      <w:r w:rsidRPr="008608AA">
        <w:t xml:space="preserve">. </w:t>
      </w:r>
      <w:r w:rsidRPr="008608AA">
        <w:rPr>
          <w:i/>
        </w:rPr>
        <w:t>Royal Botanic Gardens, Kew</w:t>
      </w:r>
      <w:r w:rsidRPr="008608AA">
        <w:t>. https://doi.org/978-1-84246-628-5</w:t>
      </w:r>
    </w:p>
    <w:p w14:paraId="0777C379" w14:textId="77777777" w:rsidR="00DD4E98" w:rsidRPr="008608AA" w:rsidRDefault="00DD4E98" w:rsidP="00DD4E98">
      <w:pPr>
        <w:widowControl w:val="0"/>
        <w:ind w:left="906" w:hangingChars="412" w:hanging="906"/>
        <w:contextualSpacing/>
        <w:rPr>
          <w:lang w:val="en-GB"/>
        </w:rPr>
      </w:pPr>
      <w:r w:rsidRPr="008608AA">
        <w:t xml:space="preserve">Rozzi, R., Armesto, J. J., Gutiérrez, J. R., Massardo, F., Likens, G. E., Anderson, C. B., Poole, A., Moses, K. P., Hargrove, E., Mansilla, A. O., Kennedy, J. H., Willson, M., Jax, K., Jones, C. G., Callicott, J. B., &amp; Arroyo, M. T. K. (2012). Integrating Ecology and Environmental Ethics: Earth Stewardship in the Southern End of the Americas. </w:t>
      </w:r>
      <w:r w:rsidRPr="008608AA">
        <w:rPr>
          <w:i/>
          <w:iCs/>
        </w:rPr>
        <w:t>BioScience</w:t>
      </w:r>
      <w:r w:rsidRPr="008608AA">
        <w:t xml:space="preserve">, </w:t>
      </w:r>
      <w:r w:rsidRPr="008608AA">
        <w:rPr>
          <w:i/>
          <w:iCs/>
        </w:rPr>
        <w:t>62</w:t>
      </w:r>
      <w:r w:rsidRPr="008608AA">
        <w:t>(3), 226–236. https://doi.org/10.1525/bio.2012.62.3.4</w:t>
      </w:r>
    </w:p>
    <w:p w14:paraId="1892AC96" w14:textId="77777777" w:rsidR="00DD4E98" w:rsidRPr="008608AA" w:rsidRDefault="00DD4E98" w:rsidP="00DD4E98">
      <w:pPr>
        <w:widowControl w:val="0"/>
        <w:ind w:left="906" w:hangingChars="412" w:hanging="906"/>
        <w:contextualSpacing/>
      </w:pPr>
      <w:r w:rsidRPr="008608AA">
        <w:t xml:space="preserve">Rozzi, R., Massardo, F., Anderson, C. B., Heidinger, K., &amp; Silander, J. A. (2006). Ten principles for biocultural conservation at the southern tip of the Americas: The approach of the Omora Ethnobotanical Park. </w:t>
      </w:r>
      <w:r w:rsidRPr="008608AA">
        <w:rPr>
          <w:i/>
        </w:rPr>
        <w:t>Ecology and Society</w:t>
      </w:r>
      <w:r w:rsidRPr="008608AA">
        <w:t xml:space="preserve">, </w:t>
      </w:r>
      <w:r w:rsidRPr="008608AA">
        <w:rPr>
          <w:i/>
        </w:rPr>
        <w:t>11</w:t>
      </w:r>
      <w:r w:rsidRPr="008608AA">
        <w:t>(1). https://doi.org/43</w:t>
      </w:r>
    </w:p>
    <w:p w14:paraId="4DF3AFBD" w14:textId="77777777" w:rsidR="00DD4E98" w:rsidRPr="008608AA" w:rsidRDefault="00DD4E98" w:rsidP="00DD4E98">
      <w:pPr>
        <w:widowControl w:val="0"/>
        <w:autoSpaceDE w:val="0"/>
        <w:autoSpaceDN w:val="0"/>
        <w:adjustRightInd w:val="0"/>
        <w:ind w:left="906" w:hangingChars="412" w:hanging="906"/>
        <w:rPr>
          <w:lang w:val="en-GB"/>
        </w:rPr>
      </w:pPr>
      <w:r w:rsidRPr="008608AA">
        <w:t xml:space="preserve">Ruiz-Pérez, M., Belcher, B., Achdiawan, R., Alexiades, M., Aubertin, C., Caballero, J., Campbell, B., Clement, C., Cunningham, T., Fantini, A., de Foresta, H., García Fernández, C., Gautam, K., Hersch Martínez, P., de Jong, W., Kusters, K., Kutty, M. G., López, C., Fu, M., Alfaro, M., Angel, M., Nair, T. K. R., Ndoye, O., Ocampo, R., Rai, N., Ricker, M., Schreckenberg, K., Shackleton, S., Shanley, P., Sunderland, T., &amp; Youn, Y.-C. (2004). Markets Drive the Specialization Strategies of Forest Peoples. </w:t>
      </w:r>
      <w:r w:rsidRPr="008608AA">
        <w:rPr>
          <w:i/>
          <w:iCs/>
        </w:rPr>
        <w:t>Ecology and Society</w:t>
      </w:r>
      <w:r w:rsidRPr="008608AA">
        <w:t xml:space="preserve">, </w:t>
      </w:r>
      <w:r w:rsidRPr="008608AA">
        <w:rPr>
          <w:i/>
          <w:iCs/>
        </w:rPr>
        <w:t>9</w:t>
      </w:r>
      <w:r w:rsidRPr="008608AA">
        <w:t>(2). https://doi.org/10.5751/ES-00655-090204</w:t>
      </w:r>
    </w:p>
    <w:p w14:paraId="18A9B6CF" w14:textId="77777777" w:rsidR="00DD4E98" w:rsidRPr="00A3137A" w:rsidRDefault="00DD4E98" w:rsidP="00DD4E98">
      <w:pPr>
        <w:widowControl w:val="0"/>
        <w:autoSpaceDE w:val="0"/>
        <w:autoSpaceDN w:val="0"/>
        <w:adjustRightInd w:val="0"/>
        <w:ind w:left="906" w:hangingChars="412" w:hanging="906"/>
        <w:rPr>
          <w:lang w:val="fr-FR"/>
        </w:rPr>
      </w:pPr>
      <w:r w:rsidRPr="008608AA">
        <w:rPr>
          <w:noProof/>
        </w:rPr>
        <w:t xml:space="preserve">Russell, R., Guerry, A. D., Balvanera, P., Gould, R. K., Basurto, X., Chan, K. M. A., Klain, S., Levine, J., &amp; Tam, J. (2013). Humans and Nature: How Knowing and Experiencing Nature Affect Well-Being. </w:t>
      </w:r>
      <w:r w:rsidRPr="00A3137A">
        <w:rPr>
          <w:i/>
          <w:lang w:val="fr-FR"/>
        </w:rPr>
        <w:t>Annu. Rev. Environ. Resour</w:t>
      </w:r>
      <w:r w:rsidRPr="00A3137A">
        <w:rPr>
          <w:lang w:val="fr-FR"/>
        </w:rPr>
        <w:t xml:space="preserve">, </w:t>
      </w:r>
      <w:r w:rsidRPr="00A3137A">
        <w:rPr>
          <w:i/>
          <w:lang w:val="fr-FR"/>
        </w:rPr>
        <w:t>38</w:t>
      </w:r>
      <w:r w:rsidRPr="00A3137A">
        <w:rPr>
          <w:lang w:val="fr-FR"/>
        </w:rPr>
        <w:t>, (pp. 473–502). https://doi.org/10.1146/annurev-environ-012312-110838</w:t>
      </w:r>
    </w:p>
    <w:p w14:paraId="41D6F22D" w14:textId="77777777" w:rsidR="00DD4E98" w:rsidRPr="008608AA" w:rsidRDefault="00DD4E98" w:rsidP="00DD4E98">
      <w:pPr>
        <w:widowControl w:val="0"/>
        <w:ind w:left="906" w:hangingChars="412" w:hanging="906"/>
        <w:contextualSpacing/>
      </w:pPr>
      <w:r w:rsidRPr="008608AA">
        <w:t xml:space="preserve">Salim, A., Pierce Colfer, J. C., &amp; McDougall, C. (1999). </w:t>
      </w:r>
      <w:r w:rsidRPr="008608AA">
        <w:rPr>
          <w:i/>
        </w:rPr>
        <w:t>Scoring and Analysis Guide for Assessing Human Well-Being</w:t>
      </w:r>
      <w:r w:rsidRPr="008608AA">
        <w:t>.</w:t>
      </w:r>
    </w:p>
    <w:p w14:paraId="6E156D0E" w14:textId="77777777" w:rsidR="00DD4E98" w:rsidRPr="008608AA" w:rsidRDefault="00DD4E98" w:rsidP="00DD4E98">
      <w:pPr>
        <w:widowControl w:val="0"/>
        <w:ind w:left="906" w:hangingChars="412" w:hanging="906"/>
        <w:contextualSpacing/>
        <w:rPr>
          <w:lang w:val="es-CO"/>
        </w:rPr>
      </w:pPr>
      <w:r w:rsidRPr="008608AA">
        <w:rPr>
          <w:lang w:val="es-CO"/>
        </w:rPr>
        <w:t xml:space="preserve">Salinas, E. (2010). Valor cultural de los mamíferos en Bolivia. In R. Wallace, H. Gomez, Z. Porcel, &amp; D. Rumiz (Eds.), </w:t>
      </w:r>
      <w:r w:rsidRPr="008608AA">
        <w:rPr>
          <w:i/>
          <w:lang w:val="es-CO"/>
        </w:rPr>
        <w:t>Distribución, ecologia y conservación de los mamíferos medianos y grandes de Bolivia</w:t>
      </w:r>
      <w:r w:rsidRPr="008608AA">
        <w:rPr>
          <w:lang w:val="es-CO"/>
        </w:rPr>
        <w:t xml:space="preserve"> (pp. 5–51). Santa Cruz, Bolivia: Fundación Simón Patiño.</w:t>
      </w:r>
    </w:p>
    <w:p w14:paraId="4705A194" w14:textId="77777777" w:rsidR="00DD4E98" w:rsidRPr="008608AA" w:rsidRDefault="00DD4E98" w:rsidP="00DD4E98">
      <w:pPr>
        <w:widowControl w:val="0"/>
        <w:ind w:left="906" w:hangingChars="412" w:hanging="906"/>
        <w:contextualSpacing/>
      </w:pPr>
      <w:r w:rsidRPr="008608AA">
        <w:rPr>
          <w:lang w:val="es-CO"/>
        </w:rPr>
        <w:t xml:space="preserve">Salkeld, D. J., Padgett, K. A., &amp; Jones, J. H. (2013). </w:t>
      </w:r>
      <w:r w:rsidRPr="008608AA">
        <w:t xml:space="preserve">A meta-analysis suggesting that the relationship between biodiversity and risk of zoonotic pathogen transmission is idiosyncratic. </w:t>
      </w:r>
      <w:r w:rsidRPr="008608AA">
        <w:rPr>
          <w:i/>
        </w:rPr>
        <w:t>Ecology Letters</w:t>
      </w:r>
      <w:r w:rsidRPr="008608AA">
        <w:t xml:space="preserve">, </w:t>
      </w:r>
      <w:r w:rsidRPr="008608AA">
        <w:rPr>
          <w:i/>
        </w:rPr>
        <w:t>16</w:t>
      </w:r>
      <w:r w:rsidRPr="008608AA">
        <w:t>(5), (pp. 679–686). https://doi.org/10.1111/ele.12101</w:t>
      </w:r>
    </w:p>
    <w:p w14:paraId="3E148F65" w14:textId="77777777" w:rsidR="00DD4E98" w:rsidRPr="008608AA" w:rsidRDefault="00DD4E98" w:rsidP="00DD4E98">
      <w:pPr>
        <w:widowControl w:val="0"/>
        <w:autoSpaceDE w:val="0"/>
        <w:autoSpaceDN w:val="0"/>
        <w:adjustRightInd w:val="0"/>
        <w:ind w:left="906" w:hangingChars="412" w:hanging="906"/>
        <w:rPr>
          <w:lang w:val="en-GB"/>
        </w:rPr>
      </w:pPr>
      <w:r w:rsidRPr="008608AA">
        <w:t xml:space="preserve">Salmond, J. A., Tadaki, M., Vardoulakis, S., Arbuthnott, K., Coutts, A., Demuzere, M., Dirks, K. N., Heaviside, C., Lim, S., Macintyre, H., McInnes, R. N., &amp; Wheeler, B. W. (2016). Health and climate related ecosystem services provided by street trees in the urban environment. </w:t>
      </w:r>
      <w:r w:rsidRPr="008608AA">
        <w:rPr>
          <w:i/>
          <w:iCs/>
        </w:rPr>
        <w:t>Environmental Health</w:t>
      </w:r>
      <w:r w:rsidRPr="008608AA">
        <w:t xml:space="preserve">, </w:t>
      </w:r>
      <w:r w:rsidRPr="008608AA">
        <w:rPr>
          <w:i/>
          <w:iCs/>
        </w:rPr>
        <w:t>15</w:t>
      </w:r>
      <w:r w:rsidRPr="008608AA">
        <w:t>(S1), S36. https://doi.org/10.1186/s12940-016-0103-6</w:t>
      </w:r>
    </w:p>
    <w:p w14:paraId="35CDED5C" w14:textId="77777777" w:rsidR="00DD4E98" w:rsidRPr="008608AA" w:rsidRDefault="00DD4E98" w:rsidP="00DD4E98">
      <w:pPr>
        <w:widowControl w:val="0"/>
        <w:autoSpaceDE w:val="0"/>
        <w:autoSpaceDN w:val="0"/>
        <w:adjustRightInd w:val="0"/>
        <w:ind w:left="906" w:hangingChars="412" w:hanging="906"/>
        <w:rPr>
          <w:noProof/>
          <w:lang w:val="es-CO"/>
        </w:rPr>
      </w:pPr>
      <w:r w:rsidRPr="008608AA">
        <w:rPr>
          <w:noProof/>
        </w:rPr>
        <w:t xml:space="preserve">Sánchez-Rojas, O., Medina, K. P., Gutiérrez, C., García, L. E., Marchesini, R., Prifer, K., &amp; Ballestero, I. (2013). </w:t>
      </w:r>
      <w:r w:rsidRPr="008608AA">
        <w:rPr>
          <w:i/>
          <w:iCs/>
          <w:noProof/>
          <w:lang w:val="es-CO"/>
        </w:rPr>
        <w:t>Comportamiento del comercio bananero mundial- Cuaderno de la CEPAL</w:t>
      </w:r>
      <w:r w:rsidRPr="008608AA">
        <w:rPr>
          <w:noProof/>
          <w:lang w:val="es-CO"/>
        </w:rPr>
        <w:t>. San José, Costa Rica.</w:t>
      </w:r>
    </w:p>
    <w:p w14:paraId="3817A9D4" w14:textId="77777777" w:rsidR="00DD4E98" w:rsidRPr="008608AA" w:rsidRDefault="00DD4E98" w:rsidP="00DD4E98">
      <w:pPr>
        <w:widowControl w:val="0"/>
        <w:ind w:left="906" w:hangingChars="412" w:hanging="906"/>
        <w:contextualSpacing/>
      </w:pPr>
      <w:r w:rsidRPr="008608AA">
        <w:t xml:space="preserve">Sans, P., &amp; Combris, P. (2015). World meat consumption patterns: An overview of the last fifty years (1961-2011). </w:t>
      </w:r>
      <w:r w:rsidRPr="008608AA">
        <w:rPr>
          <w:i/>
        </w:rPr>
        <w:t>Meat Science</w:t>
      </w:r>
      <w:r w:rsidRPr="008608AA">
        <w:t xml:space="preserve">, </w:t>
      </w:r>
      <w:r w:rsidRPr="008608AA">
        <w:rPr>
          <w:i/>
        </w:rPr>
        <w:t>109</w:t>
      </w:r>
      <w:r w:rsidRPr="008608AA">
        <w:t>, (pp. 106–11). https://doi.org/10.1016/j.meatsci.2015.05.012</w:t>
      </w:r>
    </w:p>
    <w:p w14:paraId="7EDB07D3" w14:textId="77777777" w:rsidR="00DD4E98" w:rsidRPr="008608AA" w:rsidRDefault="00DD4E98" w:rsidP="00DD4E98">
      <w:pPr>
        <w:widowControl w:val="0"/>
        <w:ind w:left="906" w:hangingChars="412" w:hanging="906"/>
        <w:contextualSpacing/>
      </w:pPr>
      <w:r w:rsidRPr="008608AA">
        <w:t xml:space="preserve">Santos-Fita, D., Naranjo, E. J., &amp; Rangel-Salazar, J. L. (2012). Wildlife uses and hunting patterns in rural communities of the Yucatan Peninsula, Mexico. </w:t>
      </w:r>
      <w:r w:rsidRPr="008608AA">
        <w:rPr>
          <w:i/>
        </w:rPr>
        <w:t>Journal of Ethnobiology and Ethnomedicine</w:t>
      </w:r>
      <w:r w:rsidRPr="008608AA">
        <w:t xml:space="preserve">, </w:t>
      </w:r>
      <w:r w:rsidRPr="008608AA">
        <w:rPr>
          <w:i/>
        </w:rPr>
        <w:t>8</w:t>
      </w:r>
      <w:r w:rsidRPr="008608AA">
        <w:t>(1), (pp. 38). https://doi.org/10.1186/1746-4269-8-38</w:t>
      </w:r>
    </w:p>
    <w:p w14:paraId="33C81361" w14:textId="77777777" w:rsidR="00DD4E98" w:rsidRPr="008608AA" w:rsidRDefault="00DD4E98" w:rsidP="00DD4E98">
      <w:pPr>
        <w:widowControl w:val="0"/>
        <w:ind w:left="906" w:hangingChars="412" w:hanging="906"/>
        <w:contextualSpacing/>
      </w:pPr>
      <w:r w:rsidRPr="008608AA">
        <w:t xml:space="preserve">Santos-Fita, D., Naranjo, E. J., Estrada, E. I. J., Mariaca, R., &amp; Bello, E. (2015). Symbolism and ritual practices related to hunting in Maya communities from central Quintana Roo, Mexico. </w:t>
      </w:r>
      <w:r w:rsidRPr="008608AA">
        <w:rPr>
          <w:i/>
        </w:rPr>
        <w:t>Journal of Ethnobiology and Ethnomedicine</w:t>
      </w:r>
      <w:r w:rsidRPr="008608AA">
        <w:t xml:space="preserve">, </w:t>
      </w:r>
      <w:r w:rsidRPr="008608AA">
        <w:rPr>
          <w:i/>
        </w:rPr>
        <w:t>11</w:t>
      </w:r>
      <w:r w:rsidRPr="008608AA">
        <w:t>(1), (pp. 71). https://doi.org/10.1186/s13002-015-0055-x</w:t>
      </w:r>
    </w:p>
    <w:p w14:paraId="1D9C2F1B" w14:textId="77777777" w:rsidR="00DD4E98" w:rsidRPr="008608AA" w:rsidRDefault="00DD4E98" w:rsidP="00DD4E98">
      <w:pPr>
        <w:widowControl w:val="0"/>
        <w:ind w:left="906" w:hangingChars="412" w:hanging="906"/>
        <w:contextualSpacing/>
      </w:pPr>
      <w:r w:rsidRPr="008608AA">
        <w:t xml:space="preserve">Scharlemann, J. P., Tanner, E. V., Hiederer, R., &amp; Kapos, V. (2014). Global soil carbon: understanding and managing the largest terrestrial carbon pool. </w:t>
      </w:r>
      <w:r w:rsidRPr="008608AA">
        <w:rPr>
          <w:i/>
        </w:rPr>
        <w:t>Carbon Management</w:t>
      </w:r>
      <w:r w:rsidRPr="008608AA">
        <w:t xml:space="preserve">, </w:t>
      </w:r>
      <w:r w:rsidRPr="008608AA">
        <w:rPr>
          <w:i/>
        </w:rPr>
        <w:t>5</w:t>
      </w:r>
      <w:r w:rsidRPr="008608AA">
        <w:t>(1), (pp. 81–91). https://doi.org/10.4155/cmt.13.77</w:t>
      </w:r>
    </w:p>
    <w:p w14:paraId="0BC7E180" w14:textId="77777777" w:rsidR="00DD4E98" w:rsidRPr="008608AA" w:rsidRDefault="00DD4E98" w:rsidP="00DD4E98">
      <w:pPr>
        <w:widowControl w:val="0"/>
        <w:ind w:left="906" w:hangingChars="412" w:hanging="906"/>
        <w:contextualSpacing/>
      </w:pPr>
      <w:r w:rsidRPr="008608AA">
        <w:t xml:space="preserve">Scherr, S. J., &amp; McNeely, J. A. (2008). Biodiversity conservation and agricultural sustainability: towards a new paradigm of “ecoagriculture”landscapes. </w:t>
      </w:r>
      <w:r w:rsidRPr="008608AA">
        <w:rPr>
          <w:i/>
        </w:rPr>
        <w:t>Philosophical Transactions of the Royal Society B: Biological Sciences</w:t>
      </w:r>
      <w:r w:rsidRPr="008608AA">
        <w:t xml:space="preserve">, </w:t>
      </w:r>
      <w:r w:rsidRPr="008608AA">
        <w:rPr>
          <w:i/>
        </w:rPr>
        <w:t>363</w:t>
      </w:r>
      <w:r w:rsidRPr="008608AA">
        <w:t>(July 2007), (pp. 477–494). https://doi.org/10.1098/rstb.2007.2165</w:t>
      </w:r>
    </w:p>
    <w:p w14:paraId="0E2291F1" w14:textId="77777777" w:rsidR="00DD4E98" w:rsidRPr="008608AA" w:rsidRDefault="00DD4E98" w:rsidP="00DD4E98">
      <w:pPr>
        <w:widowControl w:val="0"/>
        <w:ind w:left="906" w:hangingChars="412" w:hanging="906"/>
        <w:contextualSpacing/>
        <w:rPr>
          <w:lang w:val="en-GB"/>
        </w:rPr>
      </w:pPr>
      <w:r w:rsidRPr="008608AA">
        <w:t xml:space="preserve">Scheuhammer, A., Chan, H. M., Frouin, H., Krey, A., Letcher, R., Loseto, L., Noël, M., Ostertag, S., Ross, P., &amp; Wayland, M. (2015). Recent progress on our understanding of the biological effects of mercury in fish and wildlife in the Canadian Arctic. </w:t>
      </w:r>
      <w:r w:rsidRPr="008608AA">
        <w:rPr>
          <w:i/>
          <w:iCs/>
        </w:rPr>
        <w:t>Science of The Total Environment</w:t>
      </w:r>
      <w:r w:rsidRPr="008608AA">
        <w:t xml:space="preserve">, </w:t>
      </w:r>
      <w:r w:rsidRPr="008608AA">
        <w:rPr>
          <w:i/>
          <w:iCs/>
        </w:rPr>
        <w:t>509</w:t>
      </w:r>
      <w:r w:rsidRPr="008608AA">
        <w:t>–</w:t>
      </w:r>
      <w:r w:rsidRPr="008608AA">
        <w:rPr>
          <w:i/>
          <w:iCs/>
        </w:rPr>
        <w:t>510</w:t>
      </w:r>
      <w:r w:rsidRPr="008608AA">
        <w:t>, 91–103. https://doi.org/10.1016/J.SCITOTENV.2014.05.142</w:t>
      </w:r>
    </w:p>
    <w:p w14:paraId="5F4584FE" w14:textId="77777777" w:rsidR="00DD4E98" w:rsidRPr="008608AA" w:rsidRDefault="00DD4E98" w:rsidP="00DD4E98">
      <w:pPr>
        <w:widowControl w:val="0"/>
        <w:ind w:left="906" w:hangingChars="412" w:hanging="906"/>
        <w:contextualSpacing/>
        <w:rPr>
          <w:lang w:val="de-DE"/>
        </w:rPr>
      </w:pPr>
      <w:r w:rsidRPr="008608AA">
        <w:rPr>
          <w:lang w:val="de-DE"/>
        </w:rPr>
        <w:t xml:space="preserve">Schlesinger, W. H., &amp; Bernhardt, E. S. (2013). </w:t>
      </w:r>
      <w:r w:rsidRPr="008608AA">
        <w:rPr>
          <w:i/>
        </w:rPr>
        <w:t>Biogeochemistry: An analysis of global change</w:t>
      </w:r>
      <w:r w:rsidRPr="008608AA">
        <w:t xml:space="preserve">. </w:t>
      </w:r>
      <w:r w:rsidRPr="008608AA">
        <w:rPr>
          <w:lang w:val="de-DE"/>
        </w:rPr>
        <w:t>Waltham, MA: Elsevier.</w:t>
      </w:r>
    </w:p>
    <w:p w14:paraId="090BF831" w14:textId="77777777" w:rsidR="00DD4E98" w:rsidRPr="008608AA" w:rsidRDefault="00DD4E98" w:rsidP="00DD4E98">
      <w:pPr>
        <w:widowControl w:val="0"/>
        <w:ind w:left="906" w:hangingChars="412" w:hanging="906"/>
        <w:contextualSpacing/>
      </w:pPr>
      <w:r w:rsidRPr="00CE0821">
        <w:rPr>
          <w:lang w:val="es-CO"/>
        </w:rPr>
        <w:t xml:space="preserve">Schmidt, M. J., Rapp Py-Daniel, A., de Paula Moraes, C., Valle, R. B. M., Caromano, C. F., Texeira, W. G., Barbosa, C. A., Fonseca, J. A., Magalhães, M. P., Silva do Carmo Santos, D., da Silva e Silva, R., Guapindaia, V. L., Moraes, B., Lima, H. P., Neves, E. G., &amp; Heckenberger, M. J. (2014). </w:t>
      </w:r>
      <w:r w:rsidRPr="008608AA">
        <w:t xml:space="preserve">Dark earths and the human built landscape in Amazonia: a widespread pattern of anthrosol formation. </w:t>
      </w:r>
      <w:r w:rsidRPr="008608AA">
        <w:rPr>
          <w:i/>
          <w:iCs/>
        </w:rPr>
        <w:t>Journal of Archaeological Science</w:t>
      </w:r>
      <w:r w:rsidRPr="008608AA">
        <w:t xml:space="preserve">, </w:t>
      </w:r>
      <w:r w:rsidRPr="008608AA">
        <w:rPr>
          <w:i/>
          <w:iCs/>
        </w:rPr>
        <w:t>42</w:t>
      </w:r>
      <w:r w:rsidRPr="008608AA">
        <w:t>, 152–165. https://doi.org/10.1016/J.JAS.2013.11.002</w:t>
      </w:r>
    </w:p>
    <w:p w14:paraId="2B3D2334" w14:textId="77777777" w:rsidR="00DD4E98" w:rsidRPr="008608AA" w:rsidRDefault="00DD4E98" w:rsidP="00DD4E98">
      <w:pPr>
        <w:widowControl w:val="0"/>
        <w:ind w:left="906" w:hangingChars="412" w:hanging="906"/>
        <w:contextualSpacing/>
        <w:rPr>
          <w:lang w:val="es-CO"/>
        </w:rPr>
      </w:pPr>
      <w:r w:rsidRPr="008608AA">
        <w:t xml:space="preserve">Schmitz, C., van Meijl, H., Kyle, P., Nelson, G. C., Fujimori, S., Gurgel, A., Havlik, P., Heyhoe, E., d’Croz, D. M., Popp, A., Sands, R., Tabeau, A., van der Mensbrugghe, D., von Lampe, M., Wise, M., Blanc, E., Hasegawa, T., Kavallari, A., &amp; Valin, H. (2014). Land-use change trajectories up to 2050: insights from a global agro-economic model comparison. </w:t>
      </w:r>
      <w:r w:rsidRPr="008608AA">
        <w:rPr>
          <w:i/>
          <w:iCs/>
          <w:lang w:val="es-ES"/>
        </w:rPr>
        <w:t>Agricultural Economics</w:t>
      </w:r>
      <w:r w:rsidRPr="008608AA">
        <w:rPr>
          <w:lang w:val="es-ES"/>
        </w:rPr>
        <w:t xml:space="preserve">, </w:t>
      </w:r>
      <w:r w:rsidRPr="008608AA">
        <w:rPr>
          <w:i/>
          <w:iCs/>
          <w:lang w:val="es-ES"/>
        </w:rPr>
        <w:t>45</w:t>
      </w:r>
      <w:r w:rsidRPr="008608AA">
        <w:rPr>
          <w:lang w:val="es-ES"/>
        </w:rPr>
        <w:t>(1), 69–84. https://doi.org/10.1111/agec.12090</w:t>
      </w:r>
    </w:p>
    <w:p w14:paraId="637C4C98" w14:textId="77777777" w:rsidR="00DD4E98" w:rsidRPr="008608AA" w:rsidRDefault="00DD4E98" w:rsidP="00DD4E98">
      <w:pPr>
        <w:widowControl w:val="0"/>
        <w:ind w:left="906" w:hangingChars="412" w:hanging="906"/>
        <w:contextualSpacing/>
      </w:pPr>
      <w:r w:rsidRPr="008608AA">
        <w:rPr>
          <w:lang w:val="es-CO"/>
        </w:rPr>
        <w:t xml:space="preserve">Scholte, S., van Teeffelen, A., &amp; Verburg, P. (2015). </w:t>
      </w:r>
      <w:r w:rsidRPr="008608AA">
        <w:rPr>
          <w:i/>
        </w:rPr>
        <w:t>Integrating socio-cultural perspectives into ecosystem service valuation: A review of concepts and methods</w:t>
      </w:r>
      <w:r w:rsidRPr="008608AA">
        <w:t xml:space="preserve">. </w:t>
      </w:r>
      <w:r w:rsidRPr="008608AA">
        <w:rPr>
          <w:i/>
        </w:rPr>
        <w:t>Ecological Economics</w:t>
      </w:r>
      <w:r w:rsidRPr="008608AA">
        <w:t xml:space="preserve"> (Vol. 114). https://doi.org/10.1016/j.ecolecon.2015.03.007</w:t>
      </w:r>
    </w:p>
    <w:p w14:paraId="329340BB" w14:textId="77777777" w:rsidR="00DD4E98" w:rsidRPr="008608AA" w:rsidRDefault="00DD4E98" w:rsidP="00DD4E98">
      <w:pPr>
        <w:widowControl w:val="0"/>
        <w:ind w:left="906" w:hangingChars="412" w:hanging="906"/>
        <w:contextualSpacing/>
      </w:pPr>
      <w:r w:rsidRPr="008608AA">
        <w:t xml:space="preserve">Schuur, E. A. G., &amp; Bockheim, J. (2008). Vulnerability of permafrost carbon to climate change: Implications for the global carbon cycle. </w:t>
      </w:r>
      <w:r w:rsidRPr="008608AA">
        <w:rPr>
          <w:i/>
        </w:rPr>
        <w:t>BioScience</w:t>
      </w:r>
      <w:r w:rsidRPr="008608AA">
        <w:t xml:space="preserve">, </w:t>
      </w:r>
      <w:r w:rsidRPr="008608AA">
        <w:rPr>
          <w:i/>
        </w:rPr>
        <w:t>58</w:t>
      </w:r>
      <w:r w:rsidRPr="008608AA">
        <w:t>(September), (pp. 701–714). https://doi.org/10.1641/B580807</w:t>
      </w:r>
    </w:p>
    <w:p w14:paraId="562713C8" w14:textId="77777777" w:rsidR="00DD4E98" w:rsidRPr="008608AA" w:rsidRDefault="00DD4E98" w:rsidP="00DD4E98">
      <w:pPr>
        <w:widowControl w:val="0"/>
        <w:ind w:left="906" w:hangingChars="412" w:hanging="906"/>
        <w:contextualSpacing/>
      </w:pPr>
      <w:r w:rsidRPr="008608AA">
        <w:t xml:space="preserve">Secretariat of the Convention on Biological Diversity(SCBD). (2012). </w:t>
      </w:r>
      <w:r w:rsidRPr="008608AA">
        <w:rPr>
          <w:i/>
        </w:rPr>
        <w:t>Report of the work of the expert group on maintaining the ability of Biodiversity to continue to support the water cycle</w:t>
      </w:r>
      <w:r w:rsidRPr="008608AA">
        <w:t>. Retrieved from http://www.cbd.int/doc/meetings/cop/cop-11/information/cop-11-inf-02-en.pdf</w:t>
      </w:r>
    </w:p>
    <w:p w14:paraId="342ED54B" w14:textId="77777777" w:rsidR="00DD4E98" w:rsidRPr="008608AA" w:rsidRDefault="00DD4E98" w:rsidP="00DD4E98">
      <w:pPr>
        <w:widowControl w:val="0"/>
        <w:ind w:left="906" w:hangingChars="412" w:hanging="906"/>
        <w:contextualSpacing/>
      </w:pPr>
      <w:r w:rsidRPr="008608AA">
        <w:t xml:space="preserve">Secretariat of the Convention on Biological Diversity. (2008). </w:t>
      </w:r>
      <w:r w:rsidRPr="008608AA">
        <w:rPr>
          <w:i/>
        </w:rPr>
        <w:t>Protected areas in todays’ world: Their values and benefits for the welfare of the planet</w:t>
      </w:r>
      <w:r w:rsidRPr="008608AA">
        <w:t xml:space="preserve">. </w:t>
      </w:r>
      <w:r w:rsidRPr="008608AA">
        <w:rPr>
          <w:i/>
        </w:rPr>
        <w:t>Diversity</w:t>
      </w:r>
      <w:r w:rsidRPr="008608AA">
        <w:t xml:space="preserve"> (CBD Techni, Vol. 43). Convention on Biological Diversity-UNEP. Retrieved from http://citeseerx.ist.psu.edu/viewdoc/download?doi=10.1.1.165.3846&amp;rep=rep1&amp;type=pdf#page=10</w:t>
      </w:r>
    </w:p>
    <w:p w14:paraId="03B97ED5" w14:textId="77777777" w:rsidR="00DD4E98" w:rsidRPr="008608AA" w:rsidRDefault="00DD4E98" w:rsidP="00DD4E98">
      <w:pPr>
        <w:widowControl w:val="0"/>
        <w:ind w:left="906" w:hangingChars="412" w:hanging="906"/>
        <w:contextualSpacing/>
      </w:pPr>
      <w:r w:rsidRPr="008608AA">
        <w:rPr>
          <w:lang w:val="es-CO"/>
        </w:rPr>
        <w:t xml:space="preserve">Seidl, A. F., &amp; Moraes, A. S. (2000). </w:t>
      </w:r>
      <w:r w:rsidRPr="008608AA">
        <w:t xml:space="preserve">Global valuation of ecosystem services: application to the Pantanal da Nhecolandia, Brazil. </w:t>
      </w:r>
      <w:r w:rsidRPr="008608AA">
        <w:rPr>
          <w:i/>
        </w:rPr>
        <w:t>Ecological Economics</w:t>
      </w:r>
      <w:r w:rsidRPr="008608AA">
        <w:t xml:space="preserve">, </w:t>
      </w:r>
      <w:r w:rsidRPr="008608AA">
        <w:rPr>
          <w:i/>
        </w:rPr>
        <w:t>33</w:t>
      </w:r>
      <w:r w:rsidRPr="008608AA">
        <w:t>(1), (pp. 1–6). https://doi.org/https://doi.org/10.1016/S0921-8009(99)00146-9</w:t>
      </w:r>
    </w:p>
    <w:p w14:paraId="7E436A05" w14:textId="77777777" w:rsidR="00DD4E98" w:rsidRPr="008608AA" w:rsidRDefault="00DD4E98" w:rsidP="00DD4E98">
      <w:pPr>
        <w:widowControl w:val="0"/>
        <w:ind w:left="906" w:hangingChars="412" w:hanging="906"/>
        <w:contextualSpacing/>
      </w:pPr>
      <w:r w:rsidRPr="008608AA">
        <w:t xml:space="preserve">Seppelt, R., Dormann, C. F., Eppink, F. V., Lautenbach, S., &amp; Schmidt, S. (2011). A quantitative review of ecosystem service studies: Approaches, shortcomings and the road ahead. </w:t>
      </w:r>
      <w:r w:rsidRPr="008608AA">
        <w:rPr>
          <w:i/>
        </w:rPr>
        <w:t>Journal of Applied Ecology</w:t>
      </w:r>
      <w:r w:rsidRPr="008608AA">
        <w:t xml:space="preserve">, </w:t>
      </w:r>
      <w:r w:rsidRPr="008608AA">
        <w:rPr>
          <w:i/>
        </w:rPr>
        <w:t>48</w:t>
      </w:r>
      <w:r w:rsidRPr="008608AA">
        <w:t>(3), (pp. 630–636). https://doi.org/10.1111/j.1365-2664.2010.01952.x</w:t>
      </w:r>
    </w:p>
    <w:p w14:paraId="7B474E4E" w14:textId="77777777" w:rsidR="00DD4E98" w:rsidRPr="008608AA" w:rsidRDefault="00DD4E98" w:rsidP="00DD4E98">
      <w:pPr>
        <w:widowControl w:val="0"/>
        <w:ind w:left="906" w:hangingChars="412" w:hanging="906"/>
        <w:contextualSpacing/>
      </w:pPr>
      <w:r w:rsidRPr="008608AA">
        <w:t xml:space="preserve">Serratos Hernandez, J. A. (2009). </w:t>
      </w:r>
      <w:r w:rsidRPr="008608AA">
        <w:rPr>
          <w:i/>
          <w:lang w:val="es-CO"/>
        </w:rPr>
        <w:t>El origen y la diversidad del maiz en el continente americano</w:t>
      </w:r>
      <w:r w:rsidRPr="008608AA">
        <w:rPr>
          <w:lang w:val="es-CO"/>
        </w:rPr>
        <w:t xml:space="preserve">. </w:t>
      </w:r>
      <w:r w:rsidRPr="008608AA">
        <w:rPr>
          <w:i/>
        </w:rPr>
        <w:t>Greenpeace Mexico</w:t>
      </w:r>
      <w:r w:rsidRPr="008608AA">
        <w:t>. Mexico: Greenpeace Mexico.</w:t>
      </w:r>
    </w:p>
    <w:p w14:paraId="7993F65A" w14:textId="77777777" w:rsidR="00DD4E98" w:rsidRPr="008608AA" w:rsidRDefault="00DD4E98" w:rsidP="00DD4E98">
      <w:pPr>
        <w:widowControl w:val="0"/>
        <w:ind w:left="906" w:hangingChars="412" w:hanging="906"/>
        <w:contextualSpacing/>
        <w:rPr>
          <w:lang w:val="es-CO"/>
        </w:rPr>
      </w:pPr>
      <w:r w:rsidRPr="008608AA">
        <w:t xml:space="preserve">Shanahan, D. F., Fuller, R. A., Bush, R., Lin, B. B., &amp; Gaston, K. J. (2015). The health benefits of urban nature: How much do we need? </w:t>
      </w:r>
      <w:r w:rsidRPr="008608AA">
        <w:rPr>
          <w:i/>
          <w:lang w:val="es-CO"/>
        </w:rPr>
        <w:t>BioScience</w:t>
      </w:r>
      <w:r w:rsidRPr="008608AA">
        <w:rPr>
          <w:lang w:val="es-CO"/>
        </w:rPr>
        <w:t xml:space="preserve">, </w:t>
      </w:r>
      <w:r w:rsidRPr="008608AA">
        <w:rPr>
          <w:i/>
          <w:lang w:val="es-CO"/>
        </w:rPr>
        <w:t>65</w:t>
      </w:r>
      <w:r w:rsidRPr="008608AA">
        <w:rPr>
          <w:lang w:val="es-CO"/>
        </w:rPr>
        <w:t>(5), (pp. 476–485). https://doi.org/10.1093/biosci/biv032</w:t>
      </w:r>
    </w:p>
    <w:p w14:paraId="3C5EC9D1" w14:textId="77777777" w:rsidR="00DD4E98" w:rsidRPr="008608AA" w:rsidRDefault="00DD4E98" w:rsidP="00DD4E98">
      <w:pPr>
        <w:widowControl w:val="0"/>
        <w:ind w:left="906" w:hangingChars="412" w:hanging="906"/>
        <w:contextualSpacing/>
      </w:pPr>
      <w:r w:rsidRPr="008608AA">
        <w:rPr>
          <w:lang w:val="es-CO"/>
        </w:rPr>
        <w:t xml:space="preserve">Shanley, P., &amp; Luz, L. (2003). </w:t>
      </w:r>
      <w:r w:rsidRPr="008608AA">
        <w:t xml:space="preserve">The impacts of forest degradation on medicinal plant use and implications for health care in eastern Amazonia. </w:t>
      </w:r>
      <w:r w:rsidRPr="008608AA">
        <w:rPr>
          <w:i/>
        </w:rPr>
        <w:t>Bioscience</w:t>
      </w:r>
      <w:r w:rsidRPr="008608AA">
        <w:t xml:space="preserve">, </w:t>
      </w:r>
      <w:r w:rsidRPr="008608AA">
        <w:rPr>
          <w:i/>
        </w:rPr>
        <w:t>53</w:t>
      </w:r>
      <w:r w:rsidRPr="008608AA">
        <w:t>(6), (pp. 573–584). https://doi.org/10.1641/0006-3568(2003)053{0573:TIOFDO}2.0.CO;2</w:t>
      </w:r>
    </w:p>
    <w:p w14:paraId="1B7118CA" w14:textId="77777777" w:rsidR="00DD4E98" w:rsidRPr="008608AA" w:rsidRDefault="00DD4E98" w:rsidP="00DD4E98">
      <w:pPr>
        <w:widowControl w:val="0"/>
        <w:ind w:left="906" w:hangingChars="412" w:hanging="906"/>
        <w:contextualSpacing/>
      </w:pPr>
      <w:r w:rsidRPr="008608AA">
        <w:t xml:space="preserve">Sheoran, A. S., &amp; Sheoran, V. (2006). Heavy metal removal mechanism of acid mine drainage in wetlands: A critical review. </w:t>
      </w:r>
      <w:r w:rsidRPr="008608AA">
        <w:rPr>
          <w:i/>
        </w:rPr>
        <w:t>Minerals Engineering</w:t>
      </w:r>
      <w:r w:rsidRPr="008608AA">
        <w:t xml:space="preserve">, </w:t>
      </w:r>
      <w:r w:rsidRPr="008608AA">
        <w:rPr>
          <w:i/>
        </w:rPr>
        <w:t>19</w:t>
      </w:r>
      <w:r w:rsidRPr="008608AA">
        <w:t>(2), (pp. 105–116). https://doi.org/10.1016/j.mineng.2005.08.006</w:t>
      </w:r>
    </w:p>
    <w:p w14:paraId="5CD0CA42" w14:textId="77777777" w:rsidR="00DD4E98" w:rsidRPr="008608AA" w:rsidRDefault="00DD4E98" w:rsidP="00DD4E98">
      <w:pPr>
        <w:widowControl w:val="0"/>
        <w:ind w:left="906" w:hangingChars="412" w:hanging="906"/>
        <w:contextualSpacing/>
      </w:pPr>
      <w:r w:rsidRPr="008608AA">
        <w:t xml:space="preserve">Shi, P., &amp; Kasperson, R. (2015). </w:t>
      </w:r>
      <w:r w:rsidRPr="008608AA">
        <w:rPr>
          <w:i/>
        </w:rPr>
        <w:t>World Atlas of Natural Disaster Risk</w:t>
      </w:r>
      <w:r w:rsidRPr="008608AA">
        <w:t>. (P. Shi &amp; R. Kasperson, Eds.). New York: Springer-Verlag.</w:t>
      </w:r>
    </w:p>
    <w:p w14:paraId="50EC2DC0" w14:textId="77777777" w:rsidR="00DD4E98" w:rsidRPr="008608AA" w:rsidRDefault="00DD4E98" w:rsidP="00DD4E98">
      <w:pPr>
        <w:widowControl w:val="0"/>
        <w:ind w:left="906" w:hangingChars="412" w:hanging="906"/>
        <w:contextualSpacing/>
        <w:rPr>
          <w:lang w:val="es-CO"/>
        </w:rPr>
      </w:pPr>
      <w:r w:rsidRPr="008608AA">
        <w:t xml:space="preserve">Shiklomanov, I. A., &amp; Rodda, J. C. (2003). </w:t>
      </w:r>
      <w:r w:rsidRPr="008608AA">
        <w:rPr>
          <w:i/>
        </w:rPr>
        <w:t>World Water Resources at the Beginning of the Twenty-First Century</w:t>
      </w:r>
      <w:r w:rsidRPr="008608AA">
        <w:t xml:space="preserve">. </w:t>
      </w:r>
      <w:r w:rsidRPr="008608AA">
        <w:rPr>
          <w:lang w:val="es-CO"/>
        </w:rPr>
        <w:t>Cambridge, UK: Cambridge University Press.</w:t>
      </w:r>
    </w:p>
    <w:p w14:paraId="0FA40E8C" w14:textId="77777777" w:rsidR="00DD4E98" w:rsidRPr="008608AA" w:rsidRDefault="00DD4E98" w:rsidP="00DD4E98">
      <w:pPr>
        <w:widowControl w:val="0"/>
        <w:ind w:left="906" w:hangingChars="412" w:hanging="906"/>
        <w:contextualSpacing/>
      </w:pPr>
      <w:r w:rsidRPr="008608AA">
        <w:rPr>
          <w:lang w:val="es-CO"/>
        </w:rPr>
        <w:t xml:space="preserve">SIB Magallanes. (2017). </w:t>
      </w:r>
      <w:r w:rsidRPr="008608AA">
        <w:rPr>
          <w:i/>
          <w:lang w:val="es-CO"/>
        </w:rPr>
        <w:t>Conservación de la naturaleza: Región de Magallanes y Antártica Chilena.</w:t>
      </w:r>
      <w:r w:rsidRPr="008608AA">
        <w:rPr>
          <w:lang w:val="es-CO"/>
        </w:rPr>
        <w:t xml:space="preserve"> </w:t>
      </w:r>
      <w:r w:rsidRPr="008608AA">
        <w:t>Retrieved April 25, 2017, from http://sibmagallanes.cl/esp/intro-conservacion.php</w:t>
      </w:r>
    </w:p>
    <w:p w14:paraId="23CEC4A3" w14:textId="77777777" w:rsidR="00DD4E98" w:rsidRPr="008608AA" w:rsidRDefault="00DD4E98" w:rsidP="00DD4E98">
      <w:pPr>
        <w:widowControl w:val="0"/>
        <w:ind w:left="906" w:hangingChars="412" w:hanging="906"/>
        <w:contextualSpacing/>
      </w:pPr>
      <w:r w:rsidRPr="008608AA">
        <w:rPr>
          <w:lang w:val="pt-BR"/>
        </w:rPr>
        <w:t xml:space="preserve">Silva, R. A., Lapola, D. M., Patricio, G. B., Teixeira, M. C., Pinho, P., &amp; Priess, J. A. (2016). </w:t>
      </w:r>
      <w:r w:rsidRPr="008608AA">
        <w:t xml:space="preserve">Operationalizing payments for ecosystem services in Brazil’s sugarcane belt: How do stakeholder opinions match with successful cases in Latin America? </w:t>
      </w:r>
      <w:r w:rsidRPr="008608AA">
        <w:rPr>
          <w:i/>
        </w:rPr>
        <w:t>Ecosystem Services</w:t>
      </w:r>
      <w:r w:rsidRPr="008608AA">
        <w:t xml:space="preserve">, </w:t>
      </w:r>
      <w:r w:rsidRPr="008608AA">
        <w:rPr>
          <w:i/>
        </w:rPr>
        <w:t>22</w:t>
      </w:r>
      <w:r w:rsidRPr="008608AA">
        <w:t xml:space="preserve">, </w:t>
      </w:r>
      <w:r w:rsidRPr="008608AA">
        <w:rPr>
          <w:i/>
        </w:rPr>
        <w:t>Part A</w:t>
      </w:r>
      <w:r w:rsidRPr="008608AA">
        <w:t>, (pp. 128–138). https://doi.org/http://doi.org/10.1016/j.ecoser.2016.09.013</w:t>
      </w:r>
    </w:p>
    <w:p w14:paraId="4E5A6865" w14:textId="77777777" w:rsidR="00DD4E98" w:rsidRPr="008608AA" w:rsidRDefault="00DD4E98" w:rsidP="00DD4E98">
      <w:pPr>
        <w:widowControl w:val="0"/>
        <w:ind w:left="906" w:hangingChars="412" w:hanging="906"/>
        <w:contextualSpacing/>
      </w:pPr>
      <w:r w:rsidRPr="008608AA">
        <w:rPr>
          <w:lang w:val="de-DE"/>
        </w:rPr>
        <w:t xml:space="preserve">Silvius, K. M., Bodmer, R. E., &amp; Fragoso, J. M. V. (2004). </w:t>
      </w:r>
      <w:r w:rsidRPr="008608AA">
        <w:rPr>
          <w:i/>
        </w:rPr>
        <w:t>People in Nature: Wildlife Conservation in South and Central America</w:t>
      </w:r>
      <w:r w:rsidRPr="008608AA">
        <w:t>. Columbia University Press.</w:t>
      </w:r>
    </w:p>
    <w:p w14:paraId="7D63D9F5" w14:textId="77777777" w:rsidR="00DD4E98" w:rsidRPr="008608AA" w:rsidRDefault="00DD4E98" w:rsidP="00DD4E98">
      <w:pPr>
        <w:widowControl w:val="0"/>
        <w:ind w:left="906" w:hangingChars="412" w:hanging="906"/>
        <w:contextualSpacing/>
      </w:pPr>
      <w:r w:rsidRPr="008608AA">
        <w:t xml:space="preserve">Simons, G. F., &amp; Fennig, C. D. (2017). </w:t>
      </w:r>
      <w:r w:rsidRPr="008608AA">
        <w:rPr>
          <w:i/>
        </w:rPr>
        <w:t>Ethnologue: Languages of the World</w:t>
      </w:r>
      <w:r w:rsidRPr="008608AA">
        <w:t xml:space="preserve"> (Twentieth). Dallas, TX: SIL International.</w:t>
      </w:r>
    </w:p>
    <w:p w14:paraId="7AAD8216" w14:textId="77777777" w:rsidR="00DD4E98" w:rsidRPr="00A3137A" w:rsidRDefault="00DD4E98" w:rsidP="00DD4E98">
      <w:pPr>
        <w:widowControl w:val="0"/>
        <w:ind w:left="906" w:hangingChars="412" w:hanging="906"/>
        <w:contextualSpacing/>
        <w:rPr>
          <w:lang w:val="fr-FR"/>
        </w:rPr>
      </w:pPr>
      <w:r w:rsidRPr="008608AA">
        <w:t xml:space="preserve">Singh, M. D., Morris, M. J., Guimarães, D. A., Bourne, G., &amp; Garcia, G. W. (2016). Serological evaluation of ovarian steroids of red-rumped agouti (Dasyprocta leporina) during the estrous cycle phases. </w:t>
      </w:r>
      <w:r w:rsidRPr="00A3137A">
        <w:rPr>
          <w:i/>
          <w:lang w:val="fr-FR"/>
        </w:rPr>
        <w:t>Animal Reproduction Science</w:t>
      </w:r>
      <w:r w:rsidRPr="00A3137A">
        <w:rPr>
          <w:lang w:val="fr-FR"/>
        </w:rPr>
        <w:t xml:space="preserve">, </w:t>
      </w:r>
      <w:r w:rsidRPr="00A3137A">
        <w:rPr>
          <w:i/>
          <w:lang w:val="fr-FR"/>
        </w:rPr>
        <w:t>175</w:t>
      </w:r>
      <w:r w:rsidRPr="00A3137A">
        <w:rPr>
          <w:lang w:val="fr-FR"/>
        </w:rPr>
        <w:t>, (pp. 27–32). https://doi.org/http://doi.org/10.1016/j.anireprosci.2016.10.005</w:t>
      </w:r>
    </w:p>
    <w:p w14:paraId="6D649062" w14:textId="77777777" w:rsidR="00DD4E98" w:rsidRPr="008608AA" w:rsidRDefault="00DD4E98" w:rsidP="00DD4E98">
      <w:pPr>
        <w:widowControl w:val="0"/>
        <w:ind w:left="906" w:hangingChars="412" w:hanging="906"/>
        <w:contextualSpacing/>
        <w:rPr>
          <w:lang w:val="es-CO"/>
        </w:rPr>
      </w:pPr>
      <w:r w:rsidRPr="008608AA">
        <w:t xml:space="preserve">Sippo, J. Z., Maher, D. T., Tait, D. R., Holloway, C., &amp; Santos, I. R. (2016). Are mangroves drivers or buffers of coastal acidification? Insights from alkalinity and dissolved inorganic carbon export estimates across a latitudinal transect. </w:t>
      </w:r>
      <w:r w:rsidRPr="008608AA">
        <w:rPr>
          <w:i/>
          <w:lang w:val="es-CO"/>
        </w:rPr>
        <w:t>Global Biogeochemical Cycles</w:t>
      </w:r>
      <w:r w:rsidRPr="008608AA">
        <w:rPr>
          <w:lang w:val="es-CO"/>
        </w:rPr>
        <w:t xml:space="preserve">, </w:t>
      </w:r>
      <w:r w:rsidRPr="008608AA">
        <w:rPr>
          <w:i/>
          <w:lang w:val="es-CO"/>
        </w:rPr>
        <w:t>30</w:t>
      </w:r>
      <w:r w:rsidRPr="008608AA">
        <w:rPr>
          <w:lang w:val="es-CO"/>
        </w:rPr>
        <w:t>(5), (pp. 753–766). https://doi.org/10.1002/2015GB005324</w:t>
      </w:r>
    </w:p>
    <w:p w14:paraId="4603EC53" w14:textId="77777777" w:rsidR="00DD4E98" w:rsidRPr="008608AA" w:rsidRDefault="00DD4E98" w:rsidP="00DD4E98">
      <w:pPr>
        <w:widowControl w:val="0"/>
        <w:ind w:left="906" w:hangingChars="412" w:hanging="906"/>
        <w:contextualSpacing/>
      </w:pPr>
      <w:r w:rsidRPr="008608AA">
        <w:rPr>
          <w:lang w:val="es-CO"/>
        </w:rPr>
        <w:t xml:space="preserve">Siraj, A. S., Santos-Vega, M., Bouma, M. J., Yadeta, D., Carrascal, D. R., &amp; Pascual, M. (2014). </w:t>
      </w:r>
      <w:r w:rsidRPr="008608AA">
        <w:t xml:space="preserve">Altitudinal Changes in Malaria Incidence in Highlands of Ethiopia and Colombia. </w:t>
      </w:r>
      <w:r w:rsidRPr="008608AA">
        <w:rPr>
          <w:i/>
        </w:rPr>
        <w:t>Science</w:t>
      </w:r>
      <w:r w:rsidRPr="008608AA">
        <w:t xml:space="preserve">, </w:t>
      </w:r>
      <w:r w:rsidRPr="008608AA">
        <w:rPr>
          <w:i/>
        </w:rPr>
        <w:t>343</w:t>
      </w:r>
      <w:r w:rsidRPr="008608AA">
        <w:t>(6175), 1154 LP-1158. Retrieved from http://science.sciencemag.org/content/343/6175/1154.abstract</w:t>
      </w:r>
    </w:p>
    <w:p w14:paraId="1F8DF536" w14:textId="77777777" w:rsidR="00DD4E98" w:rsidRPr="008608AA" w:rsidRDefault="00DD4E98" w:rsidP="00DD4E98">
      <w:pPr>
        <w:widowControl w:val="0"/>
        <w:ind w:left="906" w:hangingChars="412" w:hanging="906"/>
        <w:contextualSpacing/>
      </w:pPr>
      <w:r w:rsidRPr="008608AA">
        <w:t xml:space="preserve">Smith, K. (2013). </w:t>
      </w:r>
      <w:r w:rsidRPr="008608AA">
        <w:rPr>
          <w:i/>
        </w:rPr>
        <w:t>Environmental Hazards: Assessing Risk and Reducing Disaster</w:t>
      </w:r>
      <w:r w:rsidRPr="008608AA">
        <w:t>. Routledge.</w:t>
      </w:r>
    </w:p>
    <w:p w14:paraId="2404CFEB" w14:textId="77777777" w:rsidR="00DD4E98" w:rsidRPr="008608AA" w:rsidRDefault="00DD4E98" w:rsidP="00DD4E98">
      <w:pPr>
        <w:widowControl w:val="0"/>
        <w:ind w:left="906" w:hangingChars="412" w:hanging="906"/>
        <w:contextualSpacing/>
      </w:pPr>
      <w:r w:rsidRPr="008608AA">
        <w:t xml:space="preserve">Smith, L. M., Case, J. L., Smith, H. M., Harwell, L. C., &amp; Summers, J. K. (2013). Relating ecoystem services to domains of human well-being: Foundation for a U.S. index. </w:t>
      </w:r>
      <w:r w:rsidRPr="008608AA">
        <w:rPr>
          <w:i/>
        </w:rPr>
        <w:t>Ecological Indicators</w:t>
      </w:r>
      <w:r w:rsidRPr="008608AA">
        <w:t xml:space="preserve">, </w:t>
      </w:r>
      <w:r w:rsidRPr="008608AA">
        <w:rPr>
          <w:i/>
        </w:rPr>
        <w:t>28</w:t>
      </w:r>
      <w:r w:rsidRPr="008608AA">
        <w:t>, (pp. 79–90). https://doi.org/10.1016/j.ecolind.2012.02.032</w:t>
      </w:r>
    </w:p>
    <w:p w14:paraId="67A91FCB" w14:textId="77777777" w:rsidR="00DD4E98" w:rsidRPr="008608AA" w:rsidRDefault="00DD4E98" w:rsidP="00DD4E98">
      <w:pPr>
        <w:widowControl w:val="0"/>
        <w:autoSpaceDE w:val="0"/>
        <w:autoSpaceDN w:val="0"/>
        <w:adjustRightInd w:val="0"/>
        <w:ind w:left="906" w:hangingChars="412" w:hanging="906"/>
        <w:rPr>
          <w:lang w:val="en-GB"/>
        </w:rPr>
      </w:pPr>
      <w:r w:rsidRPr="008608AA">
        <w:t xml:space="preserve">Smith, P., Ashmore, M. R., Black, H. I. J., Burgess, P. J., Evans, C. D., Quine, T. A., Thomson, A. M., Hicks, K., &amp; Orr, H. G. (2013). REVIEW: The role of ecosystems and their management in regulating climate, and soil, water and air quality. </w:t>
      </w:r>
      <w:r w:rsidRPr="008608AA">
        <w:rPr>
          <w:i/>
          <w:iCs/>
        </w:rPr>
        <w:t>Journal of Applied Ecology</w:t>
      </w:r>
      <w:r w:rsidRPr="008608AA">
        <w:t xml:space="preserve">, </w:t>
      </w:r>
      <w:r w:rsidRPr="008608AA">
        <w:rPr>
          <w:i/>
          <w:iCs/>
        </w:rPr>
        <w:t>50</w:t>
      </w:r>
      <w:r w:rsidRPr="008608AA">
        <w:t>(4), 812–829. https://doi.org/10.1111/1365-2664.12016</w:t>
      </w:r>
    </w:p>
    <w:p w14:paraId="5E359C24" w14:textId="77777777" w:rsidR="00DD4E98" w:rsidRPr="00A3137A" w:rsidRDefault="00DD4E98" w:rsidP="00DD4E98">
      <w:pPr>
        <w:widowControl w:val="0"/>
        <w:autoSpaceDE w:val="0"/>
        <w:autoSpaceDN w:val="0"/>
        <w:adjustRightInd w:val="0"/>
        <w:ind w:left="906" w:hangingChars="412" w:hanging="906"/>
        <w:rPr>
          <w:noProof/>
          <w:lang w:val="fr-FR"/>
        </w:rPr>
      </w:pPr>
      <w:r w:rsidRPr="008608AA">
        <w:rPr>
          <w:noProof/>
        </w:rPr>
        <w:t xml:space="preserve">Smith-Ramírez, C., Ramos-Jiliberto, R., Valdovinos, F. S., Martínez, P., Castillo, J. A., &amp; Armesto, J. J. (2014). Decadal trends in the pollinator assemblage of Eucryphia cordifolia in Chilean rainforests. </w:t>
      </w:r>
      <w:r w:rsidRPr="00A3137A">
        <w:rPr>
          <w:i/>
          <w:iCs/>
          <w:noProof/>
          <w:lang w:val="fr-FR"/>
        </w:rPr>
        <w:t>Oecologia</w:t>
      </w:r>
      <w:r w:rsidRPr="00A3137A">
        <w:rPr>
          <w:noProof/>
          <w:lang w:val="fr-FR"/>
        </w:rPr>
        <w:t xml:space="preserve">, </w:t>
      </w:r>
      <w:r w:rsidRPr="00A3137A">
        <w:rPr>
          <w:i/>
          <w:iCs/>
          <w:noProof/>
          <w:lang w:val="fr-FR"/>
        </w:rPr>
        <w:t>176</w:t>
      </w:r>
      <w:r w:rsidRPr="00A3137A">
        <w:rPr>
          <w:noProof/>
          <w:lang w:val="fr-FR"/>
        </w:rPr>
        <w:t>(1), 157–169. https://doi.org/10.1007/s00442-014-3000-0</w:t>
      </w:r>
    </w:p>
    <w:p w14:paraId="49B3F269" w14:textId="77777777" w:rsidR="00DD4E98" w:rsidRPr="008608AA" w:rsidRDefault="00DD4E98" w:rsidP="00DD4E98">
      <w:pPr>
        <w:widowControl w:val="0"/>
        <w:ind w:left="906" w:hangingChars="412" w:hanging="906"/>
        <w:contextualSpacing/>
        <w:rPr>
          <w:lang w:val="es-CO"/>
        </w:rPr>
      </w:pPr>
      <w:r w:rsidRPr="00A3137A">
        <w:rPr>
          <w:lang w:val="fr-FR"/>
        </w:rPr>
        <w:t xml:space="preserve">Smyth, C. E., Stinson, G., Neilson, E., Lemprière, T. C., Hafer, M., Rampley, G. J., &amp; Kurz, W. A. (2014). </w:t>
      </w:r>
      <w:r w:rsidRPr="008608AA">
        <w:t xml:space="preserve">Quantifying the biophysical climate change mitigation potential of Canada’s forest sector. </w:t>
      </w:r>
      <w:r w:rsidRPr="008608AA">
        <w:rPr>
          <w:i/>
          <w:lang w:val="es-CO"/>
        </w:rPr>
        <w:t>Biogeosciences</w:t>
      </w:r>
      <w:r w:rsidRPr="008608AA">
        <w:rPr>
          <w:lang w:val="es-CO"/>
        </w:rPr>
        <w:t xml:space="preserve">, </w:t>
      </w:r>
      <w:r w:rsidRPr="008608AA">
        <w:rPr>
          <w:i/>
          <w:lang w:val="es-CO"/>
        </w:rPr>
        <w:t>11</w:t>
      </w:r>
      <w:r w:rsidRPr="008608AA">
        <w:rPr>
          <w:lang w:val="es-CO"/>
        </w:rPr>
        <w:t>(13), (pp. 3515–3529). https://doi.org/10.5194/bg-11-3515-2014</w:t>
      </w:r>
    </w:p>
    <w:p w14:paraId="17677E1D" w14:textId="77777777" w:rsidR="00DD4E98" w:rsidRPr="008608AA" w:rsidRDefault="00DD4E98" w:rsidP="00DD4E98">
      <w:pPr>
        <w:widowControl w:val="0"/>
        <w:ind w:left="906" w:hangingChars="412" w:hanging="906"/>
        <w:contextualSpacing/>
      </w:pPr>
      <w:r w:rsidRPr="008608AA">
        <w:rPr>
          <w:lang w:val="es-CO"/>
        </w:rPr>
        <w:t xml:space="preserve">Soares-Filho, B. S., Nepstad, D. C., Curran, L. M., Cerqueira, G. C., Garcia, R. A., Ramos, C. A., Voll, E., McDonald, A., Lefebvre, P., &amp; Schlesinger, P. (2006). </w:t>
      </w:r>
      <w:r w:rsidRPr="008608AA">
        <w:t>Modelling conservation in the Amazon basin. Nature, 440(7083), 520–523. https://doi.org/10.1038/nature04389</w:t>
      </w:r>
    </w:p>
    <w:p w14:paraId="785DDB73" w14:textId="77777777" w:rsidR="00DD4E98" w:rsidRPr="008608AA" w:rsidRDefault="00DD4E98" w:rsidP="00DD4E98">
      <w:pPr>
        <w:widowControl w:val="0"/>
        <w:ind w:left="906" w:hangingChars="412" w:hanging="906"/>
        <w:contextualSpacing/>
      </w:pPr>
      <w:r w:rsidRPr="008608AA">
        <w:rPr>
          <w:lang w:val="es-CO"/>
        </w:rPr>
        <w:t xml:space="preserve">Soga, M., &amp; Gaston, K. J. (2016). </w:t>
      </w:r>
      <w:r w:rsidRPr="008608AA">
        <w:t xml:space="preserve">Extinction of experience: the loss of human–nature interactions. </w:t>
      </w:r>
      <w:r w:rsidRPr="008608AA">
        <w:rPr>
          <w:i/>
        </w:rPr>
        <w:t>Frontiers in Ecology and the Environment</w:t>
      </w:r>
      <w:r w:rsidRPr="008608AA">
        <w:t xml:space="preserve">, </w:t>
      </w:r>
      <w:r w:rsidRPr="008608AA">
        <w:rPr>
          <w:i/>
        </w:rPr>
        <w:t>14</w:t>
      </w:r>
      <w:r w:rsidRPr="008608AA">
        <w:t>(2), (pp. 94–101). https://doi.org/10.1002/fee.1225</w:t>
      </w:r>
    </w:p>
    <w:p w14:paraId="43B8BE77" w14:textId="77777777" w:rsidR="00DD4E98" w:rsidRPr="008608AA" w:rsidRDefault="00DD4E98" w:rsidP="00DD4E98">
      <w:pPr>
        <w:widowControl w:val="0"/>
        <w:ind w:left="906" w:hangingChars="412" w:hanging="906"/>
        <w:contextualSpacing/>
        <w:rPr>
          <w:lang w:val="pt-BR"/>
        </w:rPr>
      </w:pPr>
      <w:r w:rsidRPr="008608AA">
        <w:t xml:space="preserve">Soloman, S. (2010). </w:t>
      </w:r>
      <w:r w:rsidRPr="008608AA">
        <w:rPr>
          <w:i/>
        </w:rPr>
        <w:t>Water: The Epic Struggle of Wealth, Power and Civilization</w:t>
      </w:r>
      <w:r w:rsidRPr="008608AA">
        <w:t xml:space="preserve">. </w:t>
      </w:r>
      <w:r w:rsidRPr="008608AA">
        <w:rPr>
          <w:lang w:val="pt-BR"/>
        </w:rPr>
        <w:t>New York, NY: HarperCollins Publishers.</w:t>
      </w:r>
    </w:p>
    <w:p w14:paraId="216FC674" w14:textId="77777777" w:rsidR="00DD4E98" w:rsidRPr="008608AA" w:rsidRDefault="00DD4E98" w:rsidP="00DD4E98">
      <w:pPr>
        <w:widowControl w:val="0"/>
        <w:ind w:left="906" w:hangingChars="412" w:hanging="906"/>
        <w:contextualSpacing/>
        <w:rPr>
          <w:lang w:val="es-CO"/>
        </w:rPr>
      </w:pPr>
      <w:r w:rsidRPr="008608AA">
        <w:rPr>
          <w:lang w:val="pt-BR"/>
        </w:rPr>
        <w:t xml:space="preserve">Sousa e Silva, G. de, Costa, E., Bernardo, F. A., Sauter Groff, F. H., Todeschini, B., Viali dos Santos, D., &amp; Machado, G. (2014). </w:t>
      </w:r>
      <w:r w:rsidRPr="008608AA">
        <w:rPr>
          <w:lang w:val="es-CO"/>
        </w:rPr>
        <w:t xml:space="preserve">Panorama da bovinocultura no Rio Grande do Sul. </w:t>
      </w:r>
      <w:r w:rsidRPr="008608AA">
        <w:rPr>
          <w:i/>
          <w:lang w:val="es-CO"/>
        </w:rPr>
        <w:t>Acta Scientiae Veterinariae</w:t>
      </w:r>
      <w:r w:rsidRPr="008608AA">
        <w:rPr>
          <w:lang w:val="es-CO"/>
        </w:rPr>
        <w:t xml:space="preserve">, </w:t>
      </w:r>
      <w:r w:rsidRPr="008608AA">
        <w:rPr>
          <w:i/>
          <w:lang w:val="es-CO"/>
        </w:rPr>
        <w:t>42</w:t>
      </w:r>
      <w:r w:rsidRPr="008608AA">
        <w:rPr>
          <w:lang w:val="es-CO"/>
        </w:rPr>
        <w:t>(199), (pp. 1–7). https://doi.org/1215</w:t>
      </w:r>
    </w:p>
    <w:p w14:paraId="581D2735" w14:textId="77777777" w:rsidR="00DD4E98" w:rsidRPr="008608AA" w:rsidRDefault="00DD4E98" w:rsidP="00DD4E98">
      <w:pPr>
        <w:widowControl w:val="0"/>
        <w:ind w:left="906" w:hangingChars="412" w:hanging="906"/>
        <w:contextualSpacing/>
      </w:pPr>
      <w:r w:rsidRPr="008608AA">
        <w:t xml:space="preserve">Soutullo, A., &amp; Gudynas, E. (2006). How effective is the MERCOSUR’s network of protected areas in representing South America’s ecoregions? </w:t>
      </w:r>
      <w:r w:rsidRPr="008608AA">
        <w:rPr>
          <w:i/>
        </w:rPr>
        <w:t>Oryx</w:t>
      </w:r>
      <w:r w:rsidRPr="008608AA">
        <w:t xml:space="preserve">, </w:t>
      </w:r>
      <w:r w:rsidRPr="008608AA">
        <w:rPr>
          <w:i/>
        </w:rPr>
        <w:t>40</w:t>
      </w:r>
      <w:r w:rsidRPr="008608AA">
        <w:t>(1), (pp. 112–116). https://doi.org/DOI: 10.1017/S0030605306000020</w:t>
      </w:r>
    </w:p>
    <w:p w14:paraId="7175F8A3" w14:textId="77777777" w:rsidR="00DD4E98" w:rsidRPr="008608AA" w:rsidRDefault="00DD4E98" w:rsidP="00DD4E98">
      <w:pPr>
        <w:widowControl w:val="0"/>
        <w:ind w:left="906" w:hangingChars="412" w:hanging="906"/>
        <w:contextualSpacing/>
      </w:pPr>
      <w:r w:rsidRPr="008608AA">
        <w:t xml:space="preserve">Spalding, M., Mclvor, A., Tonneijck, F., Tol, S., &amp; van Eijk, P. (2014). </w:t>
      </w:r>
      <w:r w:rsidRPr="008608AA">
        <w:rPr>
          <w:i/>
        </w:rPr>
        <w:t>Mangroves for coastal defence. Guidelines for coastal managers &amp; policy makers</w:t>
      </w:r>
      <w:r w:rsidRPr="008608AA">
        <w:t>.</w:t>
      </w:r>
    </w:p>
    <w:p w14:paraId="55D083FE" w14:textId="77777777" w:rsidR="00DD4E98" w:rsidRPr="008608AA" w:rsidRDefault="00DD4E98" w:rsidP="00DD4E98">
      <w:pPr>
        <w:widowControl w:val="0"/>
        <w:ind w:left="906" w:hangingChars="412" w:hanging="906"/>
        <w:contextualSpacing/>
      </w:pPr>
      <w:r w:rsidRPr="008608AA">
        <w:t xml:space="preserve">Stallman, H. R. (2011). Ecosystem services in agriculture: Determining suitability for provision by collective management. </w:t>
      </w:r>
      <w:r w:rsidRPr="008608AA">
        <w:rPr>
          <w:i/>
        </w:rPr>
        <w:t>Ecological Economics</w:t>
      </w:r>
      <w:r w:rsidRPr="008608AA">
        <w:t xml:space="preserve">, </w:t>
      </w:r>
      <w:r w:rsidRPr="008608AA">
        <w:rPr>
          <w:i/>
        </w:rPr>
        <w:t>71</w:t>
      </w:r>
      <w:r w:rsidRPr="008608AA">
        <w:t>, (pp. 131–139). https://doi.org/10.1016/j.ecolecon.2011.08.016</w:t>
      </w:r>
    </w:p>
    <w:p w14:paraId="3B648E00" w14:textId="77777777" w:rsidR="00DD4E98" w:rsidRPr="008608AA" w:rsidRDefault="00DD4E98" w:rsidP="00DD4E98">
      <w:pPr>
        <w:widowControl w:val="0"/>
        <w:ind w:left="906" w:hangingChars="412" w:hanging="906"/>
        <w:contextualSpacing/>
      </w:pPr>
      <w:r w:rsidRPr="008608AA">
        <w:t xml:space="preserve">Starkey, P. (2010). </w:t>
      </w:r>
      <w:r w:rsidRPr="008608AA">
        <w:rPr>
          <w:i/>
        </w:rPr>
        <w:t>Livestock for traction: world trends, key issues and policy implications</w:t>
      </w:r>
      <w:r w:rsidRPr="008608AA">
        <w:t>.</w:t>
      </w:r>
    </w:p>
    <w:p w14:paraId="1BA870F7" w14:textId="77777777" w:rsidR="00DD4E98" w:rsidRPr="008608AA" w:rsidRDefault="00DD4E98" w:rsidP="00DD4E98">
      <w:pPr>
        <w:widowControl w:val="0"/>
        <w:ind w:left="906" w:hangingChars="412" w:hanging="906"/>
        <w:contextualSpacing/>
      </w:pPr>
      <w:r w:rsidRPr="008608AA">
        <w:t xml:space="preserve">Starr, G. C., Lal, R., Malone, R., Hothem, D., Owens, L., &amp; Kimble, J. (2000). Modeling soil carbon transported by water erosion processes. </w:t>
      </w:r>
      <w:r w:rsidRPr="008608AA">
        <w:rPr>
          <w:i/>
        </w:rPr>
        <w:t>Land Degradation &amp; Development</w:t>
      </w:r>
      <w:r w:rsidRPr="008608AA">
        <w:t xml:space="preserve">, </w:t>
      </w:r>
      <w:r w:rsidRPr="008608AA">
        <w:rPr>
          <w:i/>
        </w:rPr>
        <w:t>11</w:t>
      </w:r>
      <w:r w:rsidRPr="008608AA">
        <w:t>(1), (pp. 83–91). https://doi.org/10.1002/(SICI)1099-145X(200001/02)11:1&lt;83::AID-LDR370&gt;3.0.CO;2-W</w:t>
      </w:r>
    </w:p>
    <w:p w14:paraId="28027AD7" w14:textId="77777777" w:rsidR="00DD4E98" w:rsidRPr="008608AA" w:rsidRDefault="00DD4E98" w:rsidP="00DD4E98">
      <w:pPr>
        <w:widowControl w:val="0"/>
        <w:ind w:left="906" w:hangingChars="412" w:hanging="906"/>
        <w:contextualSpacing/>
      </w:pPr>
      <w:r w:rsidRPr="008608AA">
        <w:t xml:space="preserve">Steel, Z. L., Steel, A. E., Williams, J. N., Viers, J. H., Marquet, P. A., &amp; Barbosa, O. (2017). Patterns of bird diversity and habitat use in mixed vineyard-matorral landscapes of Central Chile. </w:t>
      </w:r>
      <w:r w:rsidRPr="008608AA">
        <w:rPr>
          <w:i/>
        </w:rPr>
        <w:t>Ecological Indicators</w:t>
      </w:r>
      <w:r w:rsidRPr="008608AA">
        <w:t xml:space="preserve">, </w:t>
      </w:r>
      <w:r w:rsidRPr="008608AA">
        <w:rPr>
          <w:i/>
        </w:rPr>
        <w:t>73</w:t>
      </w:r>
      <w:r w:rsidRPr="008608AA">
        <w:t>, (pp. 345–357). https://doi.org/http://doi.org/10.1016/j.ecolind.2016.09.039</w:t>
      </w:r>
    </w:p>
    <w:p w14:paraId="022F4C0C" w14:textId="77777777" w:rsidR="00DD4E98" w:rsidRPr="008608AA" w:rsidRDefault="00DD4E98" w:rsidP="00DD4E98">
      <w:pPr>
        <w:widowControl w:val="0"/>
        <w:ind w:left="906" w:hangingChars="412" w:hanging="906"/>
        <w:contextualSpacing/>
      </w:pPr>
      <w:r w:rsidRPr="00CE0821">
        <w:rPr>
          <w:lang w:val="es-CO"/>
        </w:rPr>
        <w:t xml:space="preserve">Steg, L., van den Berg, A. E., &amp; de Groot, J. I. M. (2012). </w:t>
      </w:r>
      <w:r w:rsidRPr="008608AA">
        <w:rPr>
          <w:i/>
        </w:rPr>
        <w:t>Environmental Psychology: An Introduction</w:t>
      </w:r>
      <w:r w:rsidRPr="008608AA">
        <w:t>. BPS Blackwell.</w:t>
      </w:r>
    </w:p>
    <w:p w14:paraId="6B8515D7" w14:textId="77777777" w:rsidR="00DD4E98" w:rsidRPr="008608AA" w:rsidRDefault="00DD4E98" w:rsidP="00DD4E98">
      <w:pPr>
        <w:widowControl w:val="0"/>
        <w:ind w:left="906" w:hangingChars="412" w:hanging="906"/>
        <w:contextualSpacing/>
      </w:pPr>
      <w:r w:rsidRPr="008608AA">
        <w:t xml:space="preserve">Sun, S., Sun, G., Caldwell, P., McNulty, S., Cohen, E., Xiao, J., &amp; Zhang, Y. (2015). Drought impacts on ecosystem functions of the U.S. National Forests and Grasslands: Part II assessment results and management implications. </w:t>
      </w:r>
      <w:r w:rsidRPr="008608AA">
        <w:rPr>
          <w:i/>
        </w:rPr>
        <w:t>Forest Ecology and Management</w:t>
      </w:r>
      <w:r w:rsidRPr="008608AA">
        <w:t xml:space="preserve">, </w:t>
      </w:r>
      <w:r w:rsidRPr="008608AA">
        <w:rPr>
          <w:i/>
        </w:rPr>
        <w:t>353</w:t>
      </w:r>
      <w:r w:rsidRPr="008608AA">
        <w:t>, (pp. 269–279). https://doi.org/10.1016/j.foreco.2015.04.002</w:t>
      </w:r>
    </w:p>
    <w:p w14:paraId="6BA3BCC3" w14:textId="77777777" w:rsidR="00DD4E98" w:rsidRPr="008608AA" w:rsidRDefault="00DD4E98" w:rsidP="00DD4E98">
      <w:pPr>
        <w:widowControl w:val="0"/>
        <w:ind w:left="906" w:hangingChars="412" w:hanging="906"/>
        <w:contextualSpacing/>
      </w:pPr>
      <w:r w:rsidRPr="008608AA">
        <w:t xml:space="preserve">Sutherland, W. J. (2003). </w:t>
      </w:r>
      <w:r w:rsidRPr="008608AA">
        <w:rPr>
          <w:i/>
        </w:rPr>
        <w:t>Parallel extinction risk and global distribution of languages and species. Nature, 423(6937)</w:t>
      </w:r>
      <w:r w:rsidRPr="008608AA">
        <w:t>, (pp. 276–279). Retrieved from http://dx.doi.org/10.1038/nature01607</w:t>
      </w:r>
    </w:p>
    <w:p w14:paraId="038D65BA" w14:textId="77777777" w:rsidR="00DD4E98" w:rsidRPr="008608AA" w:rsidRDefault="00DD4E98" w:rsidP="00DD4E98">
      <w:pPr>
        <w:widowControl w:val="0"/>
        <w:ind w:left="906" w:hangingChars="412" w:hanging="906"/>
        <w:contextualSpacing/>
        <w:rPr>
          <w:lang w:val="en-GB"/>
        </w:rPr>
      </w:pPr>
      <w:r w:rsidRPr="008608AA">
        <w:t xml:space="preserve">Suzán, G., Marcé, E., Giermakowski, J. T., Mills, J. N., Ceballos, G., Ostfeld, R. S., Armién, B., Pascale, J. M., &amp; Yates, T. L. (2009). Experimental Evidence for Reduced Rodent Diversity Causing Increased Hantavirus Prevalence. </w:t>
      </w:r>
      <w:r w:rsidRPr="008608AA">
        <w:rPr>
          <w:i/>
          <w:iCs/>
        </w:rPr>
        <w:t>PLoS ONE</w:t>
      </w:r>
      <w:r w:rsidRPr="008608AA">
        <w:t xml:space="preserve">, </w:t>
      </w:r>
      <w:r w:rsidRPr="008608AA">
        <w:rPr>
          <w:i/>
          <w:iCs/>
        </w:rPr>
        <w:t>4</w:t>
      </w:r>
      <w:r w:rsidRPr="008608AA">
        <w:t>(5), e5461. https://doi.org/10.1371/journal.pone.0005461</w:t>
      </w:r>
    </w:p>
    <w:p w14:paraId="62843ECD" w14:textId="77777777" w:rsidR="00DD4E98" w:rsidRPr="008608AA" w:rsidRDefault="00DD4E98" w:rsidP="00DD4E98">
      <w:pPr>
        <w:widowControl w:val="0"/>
        <w:ind w:left="906" w:hangingChars="412" w:hanging="906"/>
        <w:contextualSpacing/>
      </w:pPr>
      <w:r w:rsidRPr="008608AA">
        <w:t xml:space="preserve">Tanaka, J. a, Brunson, M., &amp; Torell, L. A. (2011). A Social and Economic Assessment of Rangeland Conservation Practices. In </w:t>
      </w:r>
      <w:r w:rsidRPr="008608AA">
        <w:rPr>
          <w:i/>
        </w:rPr>
        <w:t>Conservation Benefits of Rangeland Practices: Assessment, Recommendations, and Knowledge Gaps</w:t>
      </w:r>
      <w:r w:rsidRPr="008608AA">
        <w:t xml:space="preserve"> (pp. 371–422).</w:t>
      </w:r>
    </w:p>
    <w:p w14:paraId="066A1B16" w14:textId="77777777" w:rsidR="00DD4E98" w:rsidRPr="008608AA" w:rsidRDefault="00DD4E98" w:rsidP="00DD4E98">
      <w:pPr>
        <w:widowControl w:val="0"/>
        <w:ind w:left="906" w:hangingChars="412" w:hanging="906"/>
        <w:contextualSpacing/>
      </w:pPr>
      <w:r w:rsidRPr="008608AA">
        <w:t xml:space="preserve">Tarnocai, C. (2006). The effect of climate change on carbon in Canadian peatlands. </w:t>
      </w:r>
      <w:r w:rsidRPr="008608AA">
        <w:rPr>
          <w:i/>
        </w:rPr>
        <w:t>Global and Planetary Change</w:t>
      </w:r>
      <w:r w:rsidRPr="008608AA">
        <w:t xml:space="preserve">, </w:t>
      </w:r>
      <w:r w:rsidRPr="008608AA">
        <w:rPr>
          <w:i/>
        </w:rPr>
        <w:t>53</w:t>
      </w:r>
      <w:r w:rsidRPr="008608AA">
        <w:t>(4), (pp. 222–232). https://doi.org/10.1016/j.gloplacha.2006.03.012</w:t>
      </w:r>
    </w:p>
    <w:p w14:paraId="2F9DE1F3" w14:textId="77777777" w:rsidR="00DD4E98" w:rsidRPr="008608AA" w:rsidRDefault="00DD4E98" w:rsidP="00DD4E98">
      <w:pPr>
        <w:widowControl w:val="0"/>
        <w:ind w:left="906" w:hangingChars="412" w:hanging="906"/>
        <w:contextualSpacing/>
      </w:pPr>
      <w:r w:rsidRPr="008608AA">
        <w:t xml:space="preserve">Taylor, L. H., Latham, S. M., &amp; Woolhouse, M. E. J. (2001). Risk factors for human disease emergence. </w:t>
      </w:r>
      <w:r w:rsidRPr="008608AA">
        <w:rPr>
          <w:i/>
        </w:rPr>
        <w:t>Philosophical Transactions of the Royal Society B: Biological Sciences</w:t>
      </w:r>
      <w:r w:rsidRPr="008608AA">
        <w:t xml:space="preserve">, </w:t>
      </w:r>
      <w:r w:rsidRPr="008608AA">
        <w:rPr>
          <w:i/>
        </w:rPr>
        <w:t>356</w:t>
      </w:r>
      <w:r w:rsidRPr="008608AA">
        <w:t>(1411), (pp. 983–989). https://doi.org/10.1098/rstb.2001.0888</w:t>
      </w:r>
    </w:p>
    <w:p w14:paraId="56F201A4" w14:textId="77777777" w:rsidR="00DD4E98" w:rsidRPr="008608AA" w:rsidRDefault="00DD4E98" w:rsidP="00DD4E98">
      <w:pPr>
        <w:widowControl w:val="0"/>
        <w:ind w:left="906" w:hangingChars="412" w:hanging="906"/>
        <w:contextualSpacing/>
      </w:pPr>
      <w:r w:rsidRPr="008608AA">
        <w:t xml:space="preserve">Tehel, A., Brown, M. J. F., &amp; Paxton, R. J. (2016). Impact of managed honey bee viruses on wild bees. </w:t>
      </w:r>
      <w:r w:rsidRPr="008608AA">
        <w:rPr>
          <w:i/>
        </w:rPr>
        <w:t>Current Opinion in Virology</w:t>
      </w:r>
      <w:r w:rsidRPr="008608AA">
        <w:t xml:space="preserve">, </w:t>
      </w:r>
      <w:r w:rsidRPr="008608AA">
        <w:rPr>
          <w:i/>
        </w:rPr>
        <w:t>19</w:t>
      </w:r>
      <w:r w:rsidRPr="008608AA">
        <w:t>, (pp. 16–22). https://doi.org/10.1016/j.coviro.2016.06.006</w:t>
      </w:r>
    </w:p>
    <w:p w14:paraId="1D35CCAB" w14:textId="77777777" w:rsidR="00DD4E98" w:rsidRPr="008608AA" w:rsidRDefault="00DD4E98" w:rsidP="00DD4E98">
      <w:pPr>
        <w:widowControl w:val="0"/>
        <w:ind w:left="906" w:hangingChars="412" w:hanging="906"/>
        <w:contextualSpacing/>
      </w:pPr>
      <w:r w:rsidRPr="008608AA">
        <w:rPr>
          <w:lang w:val="es-CO"/>
        </w:rPr>
        <w:t xml:space="preserve">Temper, L., Bene, D. del, &amp; Martinez-Alier, J. (2015). </w:t>
      </w:r>
      <w:r w:rsidRPr="008608AA">
        <w:t xml:space="preserve">Mapping the frontiers and frontlines of global e nvironmental justice: the EJAtlas. </w:t>
      </w:r>
      <w:r w:rsidRPr="008608AA">
        <w:rPr>
          <w:i/>
        </w:rPr>
        <w:t>Journal of Political Ecology</w:t>
      </w:r>
      <w:r w:rsidRPr="008608AA">
        <w:t xml:space="preserve">, </w:t>
      </w:r>
      <w:r w:rsidRPr="008608AA">
        <w:rPr>
          <w:i/>
        </w:rPr>
        <w:t>22</w:t>
      </w:r>
      <w:r w:rsidRPr="008608AA">
        <w:t>(266642), (pp. 255–278).</w:t>
      </w:r>
    </w:p>
    <w:p w14:paraId="33F978AA" w14:textId="77777777" w:rsidR="00DD4E98" w:rsidRPr="008608AA" w:rsidRDefault="00DD4E98" w:rsidP="00DD4E98">
      <w:pPr>
        <w:widowControl w:val="0"/>
        <w:ind w:left="906" w:hangingChars="412" w:hanging="906"/>
        <w:contextualSpacing/>
        <w:rPr>
          <w:lang w:val="en-GB"/>
        </w:rPr>
      </w:pPr>
      <w:r w:rsidRPr="008608AA">
        <w:t xml:space="preserve">Terborgh, J., Lopez, L., Nuñez, P., Rao, M., Shahabuddin, G., Orihuela, G., Riveros, M., Ascanio, R., Adler, G. H., Lambert, T. D., &amp; Balbas, L. (2001). Ecological meltdown in predator-free forest fragments. </w:t>
      </w:r>
      <w:r w:rsidRPr="008608AA">
        <w:rPr>
          <w:i/>
          <w:iCs/>
        </w:rPr>
        <w:t>Science (New York, N.Y.)</w:t>
      </w:r>
      <w:r w:rsidRPr="008608AA">
        <w:t xml:space="preserve">, </w:t>
      </w:r>
      <w:r w:rsidRPr="008608AA">
        <w:rPr>
          <w:i/>
          <w:iCs/>
        </w:rPr>
        <w:t>294</w:t>
      </w:r>
      <w:r w:rsidRPr="008608AA">
        <w:t>(5548), 1923–1926. https://doi.org/10.1126/science.1064397</w:t>
      </w:r>
    </w:p>
    <w:p w14:paraId="0496E29C" w14:textId="77777777" w:rsidR="00DD4E98" w:rsidRPr="008608AA" w:rsidRDefault="00DD4E98" w:rsidP="00DD4E98">
      <w:pPr>
        <w:widowControl w:val="0"/>
        <w:ind w:left="906" w:hangingChars="412" w:hanging="906"/>
        <w:contextualSpacing/>
      </w:pPr>
      <w:r w:rsidRPr="008608AA">
        <w:rPr>
          <w:lang w:val="pt-BR"/>
        </w:rPr>
        <w:t xml:space="preserve">Terrazas, F., Cadima, X., &amp; García, R. (2008). </w:t>
      </w:r>
      <w:r w:rsidRPr="008608AA">
        <w:rPr>
          <w:i/>
          <w:lang w:val="es-CO"/>
        </w:rPr>
        <w:t>Catálogo etnobotánico de papas nativas: Tradición y cultura de los ayllus del norte potosí y Oruro</w:t>
      </w:r>
      <w:r w:rsidRPr="008608AA">
        <w:rPr>
          <w:lang w:val="es-CO"/>
        </w:rPr>
        <w:t xml:space="preserve">. </w:t>
      </w:r>
      <w:r w:rsidRPr="008608AA">
        <w:t>Cochabamba, Bolivia: Impr. Poligraf/Fundación PROINPA.</w:t>
      </w:r>
    </w:p>
    <w:p w14:paraId="2B802DC6" w14:textId="77777777" w:rsidR="00DD4E98" w:rsidRPr="008608AA" w:rsidRDefault="00DD4E98" w:rsidP="00DD4E98">
      <w:pPr>
        <w:widowControl w:val="0"/>
        <w:ind w:left="906" w:hangingChars="412" w:hanging="906"/>
        <w:contextualSpacing/>
      </w:pPr>
      <w:r w:rsidRPr="008608AA">
        <w:t xml:space="preserve">The Mountain Institute. (1998). </w:t>
      </w:r>
      <w:r w:rsidRPr="008608AA">
        <w:rPr>
          <w:i/>
        </w:rPr>
        <w:t>Community Based Mountain Tourism, Practices for Linking Conservation with Enterprise. In Synthesis of a Mountain Forum Electronic Conference in Support of the Mountain Agenda</w:t>
      </w:r>
      <w:r w:rsidRPr="008608AA">
        <w:t>. Washington DC.</w:t>
      </w:r>
    </w:p>
    <w:p w14:paraId="6F68DA1F" w14:textId="77777777" w:rsidR="00DD4E98" w:rsidRPr="008608AA" w:rsidRDefault="00DD4E98" w:rsidP="00DD4E98">
      <w:pPr>
        <w:widowControl w:val="0"/>
        <w:ind w:left="906" w:hangingChars="412" w:hanging="906"/>
        <w:contextualSpacing/>
      </w:pPr>
      <w:r w:rsidRPr="008608AA">
        <w:t xml:space="preserve">The World Bank. (2009). </w:t>
      </w:r>
      <w:r w:rsidRPr="008608AA">
        <w:rPr>
          <w:i/>
        </w:rPr>
        <w:t>Minding the Stock: Bringing Public Policy to Bear on Livestock Sector Development</w:t>
      </w:r>
      <w:r w:rsidRPr="008608AA">
        <w:t xml:space="preserve"> (No. 44010–GLB). </w:t>
      </w:r>
      <w:r w:rsidRPr="008608AA">
        <w:rPr>
          <w:i/>
        </w:rPr>
        <w:t>Report N° 44010-GLB</w:t>
      </w:r>
      <w:r w:rsidRPr="008608AA">
        <w:t>. Washington, D.C. Retrieved from http://siteresources.worldbank.org/INTARD/Resources/FinalMindingtheStock.pdf</w:t>
      </w:r>
    </w:p>
    <w:p w14:paraId="2484C542" w14:textId="77777777" w:rsidR="00DD4E98" w:rsidRPr="008608AA" w:rsidRDefault="00DD4E98" w:rsidP="00DD4E98">
      <w:pPr>
        <w:widowControl w:val="0"/>
        <w:ind w:left="906" w:hangingChars="412" w:hanging="906"/>
        <w:contextualSpacing/>
      </w:pPr>
      <w:r w:rsidRPr="008608AA">
        <w:t xml:space="preserve">The World Bank. (2012). </w:t>
      </w:r>
      <w:r w:rsidRPr="008608AA">
        <w:rPr>
          <w:i/>
        </w:rPr>
        <w:t>Global Economic Prospects: Uncertainties and vulnerabilities</w:t>
      </w:r>
      <w:r w:rsidRPr="008608AA">
        <w:t xml:space="preserve">. </w:t>
      </w:r>
      <w:r w:rsidRPr="008608AA">
        <w:rPr>
          <w:i/>
        </w:rPr>
        <w:t>Global Economic Prospects</w:t>
      </w:r>
      <w:r w:rsidRPr="008608AA">
        <w:t xml:space="preserve"> (Vol. 4). https://doi.org/10.1596/978-0-8213-7365-1</w:t>
      </w:r>
    </w:p>
    <w:p w14:paraId="14904155" w14:textId="77777777" w:rsidR="00DD4E98" w:rsidRPr="008608AA" w:rsidRDefault="00DD4E98" w:rsidP="00DD4E98">
      <w:pPr>
        <w:widowControl w:val="0"/>
        <w:ind w:left="906" w:hangingChars="412" w:hanging="906"/>
        <w:contextualSpacing/>
      </w:pPr>
      <w:r w:rsidRPr="008608AA">
        <w:t xml:space="preserve">The World Bank. (2017). </w:t>
      </w:r>
      <w:r w:rsidRPr="008608AA">
        <w:rPr>
          <w:i/>
        </w:rPr>
        <w:t>Improved water source, urban and rural.</w:t>
      </w:r>
      <w:r w:rsidRPr="008608AA">
        <w:t xml:space="preserve"> Retrieved from https://data.worldbank.org/data-catalog/world-development-indicators</w:t>
      </w:r>
    </w:p>
    <w:p w14:paraId="7D2710DF" w14:textId="77777777" w:rsidR="00DD4E98" w:rsidRPr="008608AA" w:rsidRDefault="00DD4E98" w:rsidP="00DD4E98">
      <w:pPr>
        <w:widowControl w:val="0"/>
        <w:ind w:left="906" w:hangingChars="412" w:hanging="906"/>
        <w:contextualSpacing/>
      </w:pPr>
      <w:r w:rsidRPr="008608AA">
        <w:t xml:space="preserve">The World Bank. (2017a). </w:t>
      </w:r>
      <w:r w:rsidRPr="008608AA">
        <w:rPr>
          <w:i/>
        </w:rPr>
        <w:t>World Bank Database</w:t>
      </w:r>
      <w:r w:rsidRPr="008608AA">
        <w:t>. Retrieved November 15, 2017, from https://data.worldbank.org</w:t>
      </w:r>
    </w:p>
    <w:p w14:paraId="5EBF47A7" w14:textId="77777777" w:rsidR="00DD4E98" w:rsidRPr="008608AA" w:rsidRDefault="00DD4E98" w:rsidP="00DD4E98">
      <w:pPr>
        <w:widowControl w:val="0"/>
        <w:ind w:left="906" w:hangingChars="412" w:hanging="906"/>
        <w:contextualSpacing/>
      </w:pPr>
      <w:r w:rsidRPr="008608AA">
        <w:t xml:space="preserve">The World Energy Council. (2017). </w:t>
      </w:r>
      <w:r w:rsidRPr="008608AA">
        <w:rPr>
          <w:i/>
        </w:rPr>
        <w:t>World Energy: Trilemma Index 2017</w:t>
      </w:r>
      <w:r w:rsidRPr="008608AA">
        <w:t>. London, UK. Retrieved from https://www.worldenergy.org/wp-content/uploads/2016/10/Full-report_Energy-Trilemma-Index-2016.pdf</w:t>
      </w:r>
    </w:p>
    <w:p w14:paraId="6B2CA942" w14:textId="77777777" w:rsidR="00DD4E98" w:rsidRPr="008608AA" w:rsidRDefault="00DD4E98" w:rsidP="00DD4E98">
      <w:pPr>
        <w:widowControl w:val="0"/>
        <w:ind w:left="906" w:hangingChars="412" w:hanging="906"/>
        <w:contextualSpacing/>
      </w:pPr>
      <w:r w:rsidRPr="008608AA">
        <w:t xml:space="preserve">Thibodeau, F. R., &amp; Ostro, B. D. (1981). An Economic Analysis of Wetland Protection. </w:t>
      </w:r>
      <w:r w:rsidRPr="008608AA">
        <w:rPr>
          <w:i/>
        </w:rPr>
        <w:t>Journal of Environmental Management</w:t>
      </w:r>
      <w:r w:rsidRPr="008608AA">
        <w:t xml:space="preserve">, </w:t>
      </w:r>
      <w:r w:rsidRPr="008608AA">
        <w:rPr>
          <w:i/>
        </w:rPr>
        <w:t>12</w:t>
      </w:r>
      <w:r w:rsidRPr="008608AA">
        <w:t>, (pp. 19–30).</w:t>
      </w:r>
    </w:p>
    <w:p w14:paraId="2B662FC8" w14:textId="77777777" w:rsidR="00DD4E98" w:rsidRPr="008608AA" w:rsidRDefault="00DD4E98" w:rsidP="00DD4E98">
      <w:pPr>
        <w:widowControl w:val="0"/>
        <w:ind w:left="906" w:hangingChars="412" w:hanging="906"/>
        <w:contextualSpacing/>
      </w:pPr>
      <w:r w:rsidRPr="008608AA">
        <w:t xml:space="preserve">Thiele-Bruhn, S., Bloem, J., de Vries, F. T., Kalbitz, K., &amp; Wagg, C. (2012). Linking soil biodiversity and agricultural soil management. </w:t>
      </w:r>
      <w:r w:rsidRPr="008608AA">
        <w:rPr>
          <w:i/>
        </w:rPr>
        <w:t>Current Opinion in Environmental Sustainability</w:t>
      </w:r>
      <w:r w:rsidRPr="008608AA">
        <w:t xml:space="preserve">, </w:t>
      </w:r>
      <w:r w:rsidRPr="008608AA">
        <w:rPr>
          <w:i/>
        </w:rPr>
        <w:t>4</w:t>
      </w:r>
      <w:r w:rsidRPr="008608AA">
        <w:t>(5), (pp. 523–528). https://doi.org/10.1016/j.cosust.2012.06.004</w:t>
      </w:r>
    </w:p>
    <w:p w14:paraId="0A43C73A" w14:textId="77777777" w:rsidR="00DD4E98" w:rsidRPr="008608AA" w:rsidRDefault="00DD4E98" w:rsidP="00DD4E98">
      <w:pPr>
        <w:widowControl w:val="0"/>
        <w:ind w:left="906" w:hangingChars="412" w:hanging="906"/>
        <w:contextualSpacing/>
      </w:pPr>
      <w:r w:rsidRPr="008608AA">
        <w:t xml:space="preserve">Thomas, J. W., &amp; Toweill, D. E. (1982). </w:t>
      </w:r>
      <w:r w:rsidRPr="008608AA">
        <w:rPr>
          <w:i/>
        </w:rPr>
        <w:t>Elk of North America, Ecology and Management</w:t>
      </w:r>
      <w:r w:rsidRPr="008608AA">
        <w:t>. Wildlife Management Institute.</w:t>
      </w:r>
    </w:p>
    <w:p w14:paraId="653EBF0E" w14:textId="77777777" w:rsidR="00DD4E98" w:rsidRPr="008608AA" w:rsidRDefault="00DD4E98" w:rsidP="00DD4E98">
      <w:pPr>
        <w:widowControl w:val="0"/>
        <w:ind w:left="906" w:hangingChars="412" w:hanging="906"/>
        <w:contextualSpacing/>
      </w:pPr>
      <w:r w:rsidRPr="008608AA">
        <w:t xml:space="preserve">Thornton, P. K. (2010). Livestock production: recent trends, future prospects. </w:t>
      </w:r>
      <w:r w:rsidRPr="008608AA">
        <w:rPr>
          <w:i/>
        </w:rPr>
        <w:t>Philosophical Transactions of the Royal Society of London.Series B, Biological Sciences</w:t>
      </w:r>
      <w:r w:rsidRPr="008608AA">
        <w:t xml:space="preserve">, </w:t>
      </w:r>
      <w:r w:rsidRPr="008608AA">
        <w:rPr>
          <w:i/>
        </w:rPr>
        <w:t>365</w:t>
      </w:r>
      <w:r w:rsidRPr="008608AA">
        <w:t>(1554), (pp. 2853–2867). https://doi.org/10.1098/rstb.2010.0134 {doi}</w:t>
      </w:r>
    </w:p>
    <w:p w14:paraId="333464C3" w14:textId="77777777" w:rsidR="00DD4E98" w:rsidRPr="008608AA" w:rsidRDefault="00DD4E98" w:rsidP="00DD4E98">
      <w:pPr>
        <w:widowControl w:val="0"/>
        <w:ind w:left="906" w:hangingChars="412" w:hanging="906"/>
        <w:contextualSpacing/>
      </w:pPr>
      <w:r w:rsidRPr="008608AA">
        <w:t xml:space="preserve">Tietenberg, T., &amp; Lewis, L. (2014). </w:t>
      </w:r>
      <w:r w:rsidRPr="008608AA">
        <w:rPr>
          <w:i/>
        </w:rPr>
        <w:t>Environmental and Natural Resource Economics</w:t>
      </w:r>
      <w:r w:rsidRPr="008608AA">
        <w:t xml:space="preserve"> (8th Editio). New York, NY: Routledge.</w:t>
      </w:r>
    </w:p>
    <w:p w14:paraId="7C0A5D29" w14:textId="77777777" w:rsidR="00DD4E98" w:rsidRPr="008608AA" w:rsidRDefault="00DD4E98" w:rsidP="00DD4E98">
      <w:pPr>
        <w:widowControl w:val="0"/>
        <w:ind w:left="906" w:hangingChars="412" w:hanging="906"/>
        <w:contextualSpacing/>
        <w:rPr>
          <w:lang w:val="es-CO"/>
        </w:rPr>
      </w:pPr>
      <w:r w:rsidRPr="008608AA">
        <w:t xml:space="preserve">Toledo, V. M., &amp; Barrera-Bassols, N. (2008). </w:t>
      </w:r>
      <w:r w:rsidRPr="008608AA">
        <w:rPr>
          <w:i/>
          <w:lang w:val="es-CO"/>
        </w:rPr>
        <w:t>La memoria biocultural: La importancia ecológica de las sabidurías tradicionales</w:t>
      </w:r>
      <w:r w:rsidRPr="008608AA">
        <w:rPr>
          <w:lang w:val="es-CO"/>
        </w:rPr>
        <w:t>.</w:t>
      </w:r>
    </w:p>
    <w:p w14:paraId="34A4E34F" w14:textId="77777777" w:rsidR="00DD4E98" w:rsidRPr="008608AA" w:rsidRDefault="00DD4E98" w:rsidP="00DD4E98">
      <w:pPr>
        <w:widowControl w:val="0"/>
        <w:ind w:left="906" w:hangingChars="412" w:hanging="906"/>
        <w:contextualSpacing/>
        <w:rPr>
          <w:lang w:val="es-CO"/>
        </w:rPr>
      </w:pPr>
      <w:r w:rsidRPr="008608AA">
        <w:rPr>
          <w:lang w:val="es-CO"/>
        </w:rPr>
        <w:t xml:space="preserve">Tolmasquim, T. M. (2016). </w:t>
      </w:r>
      <w:r w:rsidRPr="008608AA">
        <w:rPr>
          <w:i/>
          <w:lang w:val="es-CO"/>
        </w:rPr>
        <w:t>Energia Renovável - Hidráulica, Biomassa, Eólica, Solar, Oceânica</w:t>
      </w:r>
      <w:r w:rsidRPr="008608AA">
        <w:rPr>
          <w:lang w:val="es-CO"/>
        </w:rPr>
        <w:t xml:space="preserve">. </w:t>
      </w:r>
      <w:r w:rsidRPr="008608AA">
        <w:rPr>
          <w:i/>
          <w:lang w:val="es-CO"/>
        </w:rPr>
        <w:t>Journal of Chemical Information and Modeling</w:t>
      </w:r>
      <w:r w:rsidRPr="008608AA">
        <w:rPr>
          <w:lang w:val="es-CO"/>
        </w:rPr>
        <w:t xml:space="preserve"> (Vol. 53). Rio de Janeiro, Brazil: Empresa de Pesquisa Energética (EPE). https://doi.org/10.1017/CBO9781107415324.004</w:t>
      </w:r>
    </w:p>
    <w:p w14:paraId="34B11974" w14:textId="77777777" w:rsidR="00DD4E98" w:rsidRPr="008608AA" w:rsidRDefault="00DD4E98" w:rsidP="00DD4E98">
      <w:pPr>
        <w:widowControl w:val="0"/>
        <w:ind w:left="906" w:hangingChars="412" w:hanging="906"/>
        <w:contextualSpacing/>
        <w:rPr>
          <w:lang w:val="pt-BR"/>
        </w:rPr>
      </w:pPr>
      <w:r w:rsidRPr="008608AA">
        <w:rPr>
          <w:lang w:val="es-CO"/>
        </w:rPr>
        <w:t xml:space="preserve">Townsend, W. E. (2010). </w:t>
      </w:r>
      <w:r w:rsidRPr="008608AA">
        <w:rPr>
          <w:i/>
          <w:lang w:val="es-CO"/>
        </w:rPr>
        <w:t>Plan de Gestión Territorial Indígena TCO Baure</w:t>
      </w:r>
      <w:r w:rsidRPr="008608AA">
        <w:rPr>
          <w:lang w:val="es-CO"/>
        </w:rPr>
        <w:t xml:space="preserve">. </w:t>
      </w:r>
      <w:r w:rsidRPr="008608AA">
        <w:rPr>
          <w:lang w:val="pt-BR"/>
        </w:rPr>
        <w:t>Santa Cruz, Bolivia.</w:t>
      </w:r>
    </w:p>
    <w:p w14:paraId="092A431F" w14:textId="77777777" w:rsidR="00DD4E98" w:rsidRPr="008608AA" w:rsidRDefault="00DD4E98" w:rsidP="00DD4E98">
      <w:pPr>
        <w:widowControl w:val="0"/>
        <w:ind w:left="906" w:hangingChars="412" w:hanging="906"/>
        <w:contextualSpacing/>
        <w:rPr>
          <w:lang w:val="es-CO"/>
        </w:rPr>
      </w:pPr>
      <w:r w:rsidRPr="008608AA">
        <w:t xml:space="preserve">Townsend, W. R. (1995). </w:t>
      </w:r>
      <w:r w:rsidRPr="008608AA">
        <w:rPr>
          <w:i/>
        </w:rPr>
        <w:t>Living on the Edge: Sirionó Hunting and Fishing in Lowland Bolivia</w:t>
      </w:r>
      <w:r w:rsidRPr="008608AA">
        <w:t xml:space="preserve">. </w:t>
      </w:r>
      <w:r w:rsidRPr="008608AA">
        <w:rPr>
          <w:lang w:val="es-CO"/>
        </w:rPr>
        <w:t>University of Florida.</w:t>
      </w:r>
    </w:p>
    <w:p w14:paraId="355DB6C8" w14:textId="77777777" w:rsidR="00DD4E98" w:rsidRPr="008608AA" w:rsidRDefault="00DD4E98" w:rsidP="00DD4E98">
      <w:pPr>
        <w:widowControl w:val="0"/>
        <w:ind w:left="906" w:hangingChars="412" w:hanging="906"/>
        <w:contextualSpacing/>
        <w:rPr>
          <w:lang w:val="es-CO"/>
        </w:rPr>
      </w:pPr>
      <w:r w:rsidRPr="008608AA">
        <w:rPr>
          <w:lang w:val="es-CO"/>
        </w:rPr>
        <w:t xml:space="preserve">Townsend, W. R., &amp; Gómez, H. (2010). Roles económicos de los Mamíferos medianos y grandes de Bolivia. In R. B. Wallace, H. Gomez, Z. R. Porcel, &amp; D. I. Rúmiz (Eds.), </w:t>
      </w:r>
      <w:r w:rsidRPr="008608AA">
        <w:rPr>
          <w:i/>
          <w:lang w:val="es-CO"/>
        </w:rPr>
        <w:t>Distribución, Ecología y Conservación de los Mamíferos Medianos y Grandes de Bolivia</w:t>
      </w:r>
      <w:r w:rsidRPr="008608AA">
        <w:rPr>
          <w:lang w:val="es-CO"/>
        </w:rPr>
        <w:t xml:space="preserve"> (pp. 75–90). Santa Cruz, Bolivia: Fundación Simon Patiño.</w:t>
      </w:r>
    </w:p>
    <w:p w14:paraId="6739EB2C" w14:textId="77777777" w:rsidR="00DD4E98" w:rsidRPr="008608AA" w:rsidRDefault="00DD4E98" w:rsidP="00DD4E98">
      <w:pPr>
        <w:widowControl w:val="0"/>
        <w:ind w:left="906" w:hangingChars="412" w:hanging="906"/>
        <w:contextualSpacing/>
      </w:pPr>
      <w:r w:rsidRPr="008608AA">
        <w:rPr>
          <w:lang w:val="es-CO"/>
        </w:rPr>
        <w:t xml:space="preserve">Townsend, W. R., &amp; Macuritofe Ramírez, V. (1995). </w:t>
      </w:r>
      <w:r w:rsidRPr="008608AA">
        <w:rPr>
          <w:i/>
        </w:rPr>
        <w:t>Cultural Teachings as an Ecological Data Base: Murui (Witoto) Knowledge About Primates</w:t>
      </w:r>
      <w:r w:rsidRPr="008608AA">
        <w:t xml:space="preserve">. </w:t>
      </w:r>
      <w:r w:rsidRPr="008608AA">
        <w:rPr>
          <w:i/>
        </w:rPr>
        <w:t>Latinamericanist</w:t>
      </w:r>
      <w:r w:rsidRPr="008608AA">
        <w:t xml:space="preserve"> (Vol. 31). University of Florida. Center for Latina American Studies.</w:t>
      </w:r>
    </w:p>
    <w:p w14:paraId="33FFF2FE" w14:textId="77777777" w:rsidR="00DD4E98" w:rsidRPr="008608AA" w:rsidRDefault="00DD4E98" w:rsidP="00DD4E98">
      <w:pPr>
        <w:widowControl w:val="0"/>
        <w:ind w:left="906" w:hangingChars="412" w:hanging="906"/>
        <w:contextualSpacing/>
        <w:rPr>
          <w:lang w:val="es-CO"/>
        </w:rPr>
      </w:pPr>
      <w:r w:rsidRPr="008608AA">
        <w:t xml:space="preserve">Townsend, W. R., &amp; Rúmiz, D. I. (2003). </w:t>
      </w:r>
      <w:r w:rsidRPr="008608AA">
        <w:rPr>
          <w:lang w:val="es-CO"/>
        </w:rPr>
        <w:t xml:space="preserve">La importancia de la fauna silvestre para las comunidades indígenas de las tierras bajas de Bolivia. In P. I. Ibisch &amp; G. Merida (Eds.), </w:t>
      </w:r>
      <w:r w:rsidRPr="008608AA">
        <w:rPr>
          <w:i/>
          <w:lang w:val="es-CO"/>
        </w:rPr>
        <w:t>Biodiversidad: La riqueza de Bolivia: Estado de conocimiento y conservación.</w:t>
      </w:r>
      <w:r w:rsidRPr="008608AA">
        <w:rPr>
          <w:lang w:val="es-CO"/>
        </w:rPr>
        <w:t xml:space="preserve"> (pp. 307–310). Santa Cruz, Bolivia: Editorial FAN.</w:t>
      </w:r>
    </w:p>
    <w:p w14:paraId="7D19C559" w14:textId="77777777" w:rsidR="00DD4E98" w:rsidRPr="008608AA" w:rsidRDefault="00DD4E98" w:rsidP="00DD4E98">
      <w:pPr>
        <w:widowControl w:val="0"/>
        <w:ind w:left="906" w:hangingChars="412" w:hanging="906"/>
        <w:contextualSpacing/>
        <w:rPr>
          <w:lang w:val="es-CO"/>
        </w:rPr>
      </w:pPr>
      <w:r w:rsidRPr="008608AA">
        <w:rPr>
          <w:lang w:val="es-CO"/>
        </w:rPr>
        <w:t xml:space="preserve">Townsend, W. R., &amp; Rumiz, D. I. (2004). Reflexiones sobre la posibilidad de manejo de fauna silvestre en la tierras bajas de Bolivia: experiencias comunitarias. </w:t>
      </w:r>
      <w:r w:rsidRPr="008608AA">
        <w:rPr>
          <w:i/>
          <w:lang w:val="es-CO"/>
        </w:rPr>
        <w:t>Revista Boliviana de Ecología Y Conservación Ambiental</w:t>
      </w:r>
      <w:r w:rsidRPr="008608AA">
        <w:rPr>
          <w:lang w:val="es-CO"/>
        </w:rPr>
        <w:t>, (16), (pp. 61–72). Retrieved from http://biblat.unam.mx/es/revista/revista-boliviana-de-ecologia-y-conservacion-ambiental/articulo/reflexiones-sobre-la-posibilidad-de-manejo-de-fauna-silvestre-en-la-tierras-bajas-de-bolivia-experiencias-comunitarias</w:t>
      </w:r>
    </w:p>
    <w:p w14:paraId="60B4E7AF" w14:textId="77777777" w:rsidR="00DD4E98" w:rsidRPr="008608AA" w:rsidRDefault="00DD4E98" w:rsidP="00DD4E98">
      <w:pPr>
        <w:widowControl w:val="0"/>
        <w:ind w:left="906" w:hangingChars="412" w:hanging="906"/>
        <w:contextualSpacing/>
      </w:pPr>
      <w:r w:rsidRPr="008608AA">
        <w:t xml:space="preserve">Travis, C. C., &amp; Hester, S. T. (1991). Global chemical pollution. </w:t>
      </w:r>
      <w:r w:rsidRPr="008608AA">
        <w:rPr>
          <w:i/>
        </w:rPr>
        <w:t>Environmental Science &amp; Technology</w:t>
      </w:r>
      <w:r w:rsidRPr="008608AA">
        <w:t xml:space="preserve">, </w:t>
      </w:r>
      <w:r w:rsidRPr="008608AA">
        <w:rPr>
          <w:i/>
        </w:rPr>
        <w:t>25</w:t>
      </w:r>
      <w:r w:rsidRPr="008608AA">
        <w:t>(5), (pp. 814–819). https://doi.org/10.1021/es00017a001</w:t>
      </w:r>
    </w:p>
    <w:p w14:paraId="17290443" w14:textId="77777777" w:rsidR="00DD4E98" w:rsidRPr="008608AA" w:rsidRDefault="00DD4E98" w:rsidP="00DD4E98">
      <w:pPr>
        <w:widowControl w:val="0"/>
        <w:ind w:left="906" w:hangingChars="412" w:hanging="906"/>
        <w:contextualSpacing/>
      </w:pPr>
      <w:r w:rsidRPr="00CE0821">
        <w:rPr>
          <w:lang w:val="es-CO"/>
        </w:rPr>
        <w:t xml:space="preserve">Trilleras, J. M., Jaramillo, V. J., Vega, E. V., &amp; Balvanera, P. (2015). </w:t>
      </w:r>
      <w:r w:rsidRPr="008608AA">
        <w:t xml:space="preserve">Effects of livestock management on the supply of ecosystem services in pastures in a tropical dry region of western Mexico. </w:t>
      </w:r>
      <w:r w:rsidRPr="008608AA">
        <w:rPr>
          <w:i/>
        </w:rPr>
        <w:t>Agriculture, Ecosystems &amp; Environment</w:t>
      </w:r>
      <w:r w:rsidRPr="008608AA">
        <w:t xml:space="preserve">, </w:t>
      </w:r>
      <w:r w:rsidRPr="008608AA">
        <w:rPr>
          <w:i/>
        </w:rPr>
        <w:t>211</w:t>
      </w:r>
      <w:r w:rsidRPr="008608AA">
        <w:t>, (pp. 133–144). https://doi.org/10.1016/j.agee.2015.06.011</w:t>
      </w:r>
    </w:p>
    <w:p w14:paraId="1B953018" w14:textId="77777777" w:rsidR="00DD4E98" w:rsidRPr="008608AA" w:rsidRDefault="00DD4E98" w:rsidP="00DD4E98">
      <w:pPr>
        <w:widowControl w:val="0"/>
        <w:ind w:left="906" w:hangingChars="412" w:hanging="906"/>
        <w:contextualSpacing/>
      </w:pPr>
      <w:r w:rsidRPr="008608AA">
        <w:t xml:space="preserve">Trimble, M., &amp; Johnson, D. (2013). Artisanal fishing as an undesirable way of life? The implications for governance of fishers’ wellbeing aspirations in coastal Uruguay and southeastern Brazil. </w:t>
      </w:r>
      <w:r w:rsidRPr="008608AA">
        <w:rPr>
          <w:i/>
        </w:rPr>
        <w:t>Marine Policy</w:t>
      </w:r>
      <w:r w:rsidRPr="008608AA">
        <w:t xml:space="preserve">, </w:t>
      </w:r>
      <w:r w:rsidRPr="008608AA">
        <w:rPr>
          <w:i/>
        </w:rPr>
        <w:t>37</w:t>
      </w:r>
      <w:r w:rsidRPr="008608AA">
        <w:t>, (pp. 37–44). https://doi.org/https://doi.org/10.1016/j.marpol.2012.04.002</w:t>
      </w:r>
    </w:p>
    <w:p w14:paraId="4562D392" w14:textId="77777777" w:rsidR="00DD4E98" w:rsidRPr="00CE0821" w:rsidRDefault="00DD4E98" w:rsidP="00DD4E98">
      <w:pPr>
        <w:widowControl w:val="0"/>
        <w:ind w:left="906" w:hangingChars="412" w:hanging="906"/>
        <w:contextualSpacing/>
      </w:pPr>
      <w:r w:rsidRPr="008608AA">
        <w:t xml:space="preserve">Troy, A., &amp; Wilson, M. A. (2006). Mapping ecosystem services: Practical challenges and opportunities in linking GIS and value transfer. </w:t>
      </w:r>
      <w:r w:rsidRPr="00CE0821">
        <w:rPr>
          <w:i/>
        </w:rPr>
        <w:t>Ecological Economics</w:t>
      </w:r>
      <w:r w:rsidRPr="00CE0821">
        <w:t xml:space="preserve">, </w:t>
      </w:r>
      <w:r w:rsidRPr="00CE0821">
        <w:rPr>
          <w:i/>
        </w:rPr>
        <w:t>60</w:t>
      </w:r>
      <w:r w:rsidRPr="00CE0821">
        <w:t>(2), (pp. 435–449). https://doi.org/https://doi.org/10.1016/j.ecolecon.2006.04.007</w:t>
      </w:r>
    </w:p>
    <w:p w14:paraId="7B5B737C" w14:textId="77777777" w:rsidR="00DD4E98" w:rsidRPr="008608AA" w:rsidRDefault="00DD4E98" w:rsidP="00DD4E98">
      <w:pPr>
        <w:widowControl w:val="0"/>
        <w:ind w:left="906" w:hangingChars="412" w:hanging="906"/>
        <w:contextualSpacing/>
        <w:rPr>
          <w:lang w:val="en-GB"/>
        </w:rPr>
      </w:pPr>
      <w:r w:rsidRPr="00CE0821">
        <w:t xml:space="preserve">Tucker Lima, J. M., Valle, D., Moretto, E. M., Pulice, S. M. P., Zuca, N. L., Roquetti, D. R., Beduschi, L. E. C., Praia, A. S., Okamoto, C. P. F., da Silva Carvalhaes, V. L., Branco, E. A., Barbezani, B., Labandera, E., Timpe, K., &amp; Kaplan, D. (2016). </w:t>
      </w:r>
      <w:r w:rsidRPr="008608AA">
        <w:t xml:space="preserve">A social-ecological database to advance research on infrastructure development impacts in the Brazilian Amazon. </w:t>
      </w:r>
      <w:r w:rsidRPr="008608AA">
        <w:rPr>
          <w:i/>
          <w:iCs/>
        </w:rPr>
        <w:t>Scientific Data</w:t>
      </w:r>
      <w:r w:rsidRPr="008608AA">
        <w:t xml:space="preserve">, </w:t>
      </w:r>
      <w:r w:rsidRPr="008608AA">
        <w:rPr>
          <w:i/>
          <w:iCs/>
        </w:rPr>
        <w:t>3</w:t>
      </w:r>
      <w:r w:rsidRPr="008608AA">
        <w:t>, 160071. https://doi.org/10.1038/sdata.2016.71</w:t>
      </w:r>
    </w:p>
    <w:p w14:paraId="7E6A4804" w14:textId="77777777" w:rsidR="00DD4E98" w:rsidRPr="008608AA" w:rsidRDefault="00DD4E98" w:rsidP="00DD4E98">
      <w:pPr>
        <w:widowControl w:val="0"/>
        <w:ind w:left="906" w:hangingChars="412" w:hanging="906"/>
        <w:contextualSpacing/>
      </w:pPr>
      <w:r w:rsidRPr="008608AA">
        <w:t xml:space="preserve">U. S. Bureau of the Census (USBC). (2016). </w:t>
      </w:r>
      <w:r w:rsidRPr="008608AA">
        <w:rPr>
          <w:i/>
        </w:rPr>
        <w:t>Revisions to the 2014 Census of Fatal Occupational Injuries</w:t>
      </w:r>
      <w:r w:rsidRPr="008608AA">
        <w:t>. Washington, D.C.: U. S Department of Labor.</w:t>
      </w:r>
    </w:p>
    <w:p w14:paraId="4E59B7EA"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U.S. Fish and Wildlife Service. (2011). </w:t>
      </w:r>
      <w:r w:rsidRPr="008608AA">
        <w:rPr>
          <w:i/>
          <w:iCs/>
          <w:noProof/>
        </w:rPr>
        <w:t>National Survey of Fishing, Hunting, and Wildlife-Associated Recreation</w:t>
      </w:r>
      <w:r w:rsidRPr="008608AA">
        <w:rPr>
          <w:noProof/>
        </w:rPr>
        <w:t>. 172pp. Washington DC.</w:t>
      </w:r>
    </w:p>
    <w:p w14:paraId="62F16C97" w14:textId="77777777" w:rsidR="00DD4E98" w:rsidRPr="008608AA" w:rsidRDefault="00DD4E98" w:rsidP="00DD4E98">
      <w:pPr>
        <w:widowControl w:val="0"/>
        <w:ind w:left="906" w:hangingChars="412" w:hanging="906"/>
        <w:contextualSpacing/>
        <w:rPr>
          <w:lang w:val="es-CO"/>
        </w:rPr>
      </w:pPr>
      <w:r w:rsidRPr="008608AA">
        <w:rPr>
          <w:lang w:val="de-DE"/>
        </w:rPr>
        <w:t xml:space="preserve">Ugolini, F. C., &amp; Spaltenstein, H. (1992). </w:t>
      </w:r>
      <w:r w:rsidRPr="008608AA">
        <w:t xml:space="preserve">Pedosphere. In S. S. Butcher, R. J. Charlson, G. H. Orians, &amp; G. V. Wolfe (Eds.), </w:t>
      </w:r>
      <w:r w:rsidRPr="008608AA">
        <w:rPr>
          <w:i/>
        </w:rPr>
        <w:t>Global Biogeochemical Cycles</w:t>
      </w:r>
      <w:r w:rsidRPr="008608AA">
        <w:t xml:space="preserve"> (pp. 123–153). </w:t>
      </w:r>
      <w:r w:rsidRPr="008608AA">
        <w:rPr>
          <w:lang w:val="es-CO"/>
        </w:rPr>
        <w:t>London: Academic Press.</w:t>
      </w:r>
    </w:p>
    <w:p w14:paraId="62DFBBDD" w14:textId="77777777" w:rsidR="00DD4E98" w:rsidRPr="008608AA" w:rsidRDefault="00DD4E98" w:rsidP="00DD4E98">
      <w:pPr>
        <w:widowControl w:val="0"/>
        <w:ind w:left="906" w:hangingChars="412" w:hanging="906"/>
        <w:contextualSpacing/>
      </w:pPr>
      <w:r w:rsidRPr="008608AA">
        <w:rPr>
          <w:lang w:val="es-CO"/>
        </w:rPr>
        <w:t xml:space="preserve">Uhart, M., Pérez, A. A., Rostal, M., Robles, E. A., Mendoza, A. P., Nava, A., De Paula, C. D., Miranda, F., Iñiguez, V., Zambrana, C., Durigon, E., Franco, P., Joly, D., Goldstein, T., Karesh, W. &amp; Maret, J. (2013). </w:t>
      </w:r>
      <w:r w:rsidRPr="008608AA">
        <w:t xml:space="preserve">A “One Health” Approach to Predict Emerging Zoonoses in the Amazon. In M. Chame &amp; N. Labarthe (Eds.), </w:t>
      </w:r>
      <w:r w:rsidRPr="008608AA">
        <w:rPr>
          <w:i/>
        </w:rPr>
        <w:t>Wildlife and Human Health: Experiences and Perspectives</w:t>
      </w:r>
      <w:r w:rsidRPr="008608AA">
        <w:t xml:space="preserve"> (pp. 65–73). Rio de Janeiro, Brasil: FIOCRUZ.</w:t>
      </w:r>
    </w:p>
    <w:p w14:paraId="3C36F36A" w14:textId="77777777" w:rsidR="00DD4E98" w:rsidRPr="008608AA" w:rsidRDefault="00DD4E98" w:rsidP="00DD4E98">
      <w:pPr>
        <w:widowControl w:val="0"/>
        <w:ind w:left="906" w:hangingChars="412" w:hanging="906"/>
        <w:contextualSpacing/>
      </w:pPr>
      <w:r w:rsidRPr="008608AA">
        <w:t xml:space="preserve">UNISDR/OHRLLS. (2013). </w:t>
      </w:r>
      <w:r w:rsidRPr="008608AA">
        <w:rPr>
          <w:i/>
        </w:rPr>
        <w:t>Addressing Risk, Harnessing Opportunity: Building Disaster Resilience in SIDS</w:t>
      </w:r>
      <w:r w:rsidRPr="008608AA">
        <w:t xml:space="preserve">. </w:t>
      </w:r>
      <w:r w:rsidRPr="008608AA">
        <w:rPr>
          <w:i/>
        </w:rPr>
        <w:t>Issue Paper</w:t>
      </w:r>
      <w:r w:rsidRPr="008608AA">
        <w:t>. Geneva Switzerland.</w:t>
      </w:r>
    </w:p>
    <w:p w14:paraId="2324F317" w14:textId="77777777" w:rsidR="00DD4E98" w:rsidRPr="008608AA" w:rsidRDefault="00DD4E98" w:rsidP="00DD4E98">
      <w:pPr>
        <w:widowControl w:val="0"/>
        <w:ind w:left="906" w:hangingChars="412" w:hanging="906"/>
        <w:contextualSpacing/>
      </w:pPr>
      <w:r w:rsidRPr="008608AA">
        <w:t xml:space="preserve">United Nations Development Program (UNDP). (2016). </w:t>
      </w:r>
      <w:r w:rsidRPr="008608AA">
        <w:rPr>
          <w:i/>
        </w:rPr>
        <w:t>Sustainable Development Goals</w:t>
      </w:r>
      <w:r w:rsidRPr="008608AA">
        <w:t>. Retrieved from http://www.undp.org/content/undp/en/home/sustainable-development-goals.html</w:t>
      </w:r>
    </w:p>
    <w:p w14:paraId="5B8E7B11" w14:textId="77777777" w:rsidR="00DD4E98" w:rsidRPr="008608AA" w:rsidRDefault="00DD4E98" w:rsidP="00DD4E98">
      <w:pPr>
        <w:widowControl w:val="0"/>
        <w:ind w:left="906" w:hangingChars="412" w:hanging="906"/>
        <w:contextualSpacing/>
      </w:pPr>
      <w:r w:rsidRPr="008608AA">
        <w:t xml:space="preserve">United Nations Development Programme (UNDP). (2016). </w:t>
      </w:r>
      <w:r w:rsidRPr="008608AA">
        <w:rPr>
          <w:i/>
        </w:rPr>
        <w:t>Regional Human Development Report for Latin america and the Caribbean. Multidimensional progress : well-being beyond income</w:t>
      </w:r>
      <w:r w:rsidRPr="008608AA">
        <w:t>. New York.</w:t>
      </w:r>
    </w:p>
    <w:p w14:paraId="0414207C" w14:textId="77777777" w:rsidR="00DD4E98" w:rsidRPr="008608AA" w:rsidRDefault="00DD4E98" w:rsidP="00DD4E98">
      <w:pPr>
        <w:widowControl w:val="0"/>
        <w:ind w:left="906" w:hangingChars="412" w:hanging="906"/>
        <w:contextualSpacing/>
      </w:pPr>
      <w:r w:rsidRPr="008608AA">
        <w:t xml:space="preserve">United Nations Environment Programme (UNEP). (2016). </w:t>
      </w:r>
      <w:r w:rsidRPr="008608AA">
        <w:rPr>
          <w:i/>
        </w:rPr>
        <w:t>GLOBAL ENVIRONMENT OUTLOOK. GEO-6. REGIONAL ASSESSMENT FOR LATIN AMERICA AND THE CARIBBEAN</w:t>
      </w:r>
      <w:r w:rsidRPr="008608AA">
        <w:t>. Nairobi, Kenya. Retrieved from http://prensa.usal.edu.ar/archivos/prensa/docs/GEO6.pdf</w:t>
      </w:r>
    </w:p>
    <w:p w14:paraId="132ED857" w14:textId="77777777" w:rsidR="00DD4E98" w:rsidRPr="008608AA" w:rsidRDefault="00DD4E98" w:rsidP="00DD4E98">
      <w:pPr>
        <w:widowControl w:val="0"/>
        <w:ind w:left="906" w:hangingChars="412" w:hanging="906"/>
        <w:contextualSpacing/>
      </w:pPr>
      <w:r w:rsidRPr="008608AA">
        <w:t xml:space="preserve">United Nations Environmental Program (UNEP). (2008). </w:t>
      </w:r>
      <w:r w:rsidRPr="008608AA">
        <w:rPr>
          <w:i/>
        </w:rPr>
        <w:t>UNEP 2007 Annual Report</w:t>
      </w:r>
      <w:r w:rsidRPr="008608AA">
        <w:t>.</w:t>
      </w:r>
    </w:p>
    <w:p w14:paraId="072E4A4A" w14:textId="77777777" w:rsidR="00DD4E98" w:rsidRPr="008608AA" w:rsidRDefault="00DD4E98" w:rsidP="00DD4E98">
      <w:pPr>
        <w:widowControl w:val="0"/>
        <w:ind w:left="906" w:hangingChars="412" w:hanging="906"/>
        <w:contextualSpacing/>
      </w:pPr>
      <w:r w:rsidRPr="008608AA">
        <w:t xml:space="preserve">United Nations Environmental Program (UNEP). (2010). </w:t>
      </w:r>
      <w:r w:rsidRPr="008608AA">
        <w:rPr>
          <w:i/>
        </w:rPr>
        <w:t>Latin America and the Caribbean: Environmental outlook</w:t>
      </w:r>
      <w:r w:rsidRPr="008608AA">
        <w:t xml:space="preserve">. </w:t>
      </w:r>
      <w:r w:rsidRPr="008608AA">
        <w:rPr>
          <w:i/>
        </w:rPr>
        <w:t>Relations between Environmental Changes and Human WellBeing in Latin America and the Caribbean</w:t>
      </w:r>
      <w:r w:rsidRPr="008608AA">
        <w:t>. Retrieved from http://www.unep.org/pdf/GEOLAC_3_ENGLISH.pdf</w:t>
      </w:r>
    </w:p>
    <w:p w14:paraId="15E4B3B4" w14:textId="77777777" w:rsidR="00DD4E98" w:rsidRPr="008608AA" w:rsidRDefault="00DD4E98" w:rsidP="00DD4E98">
      <w:pPr>
        <w:widowControl w:val="0"/>
        <w:ind w:left="906" w:hangingChars="412" w:hanging="906"/>
        <w:contextualSpacing/>
        <w:rPr>
          <w:i/>
        </w:rPr>
      </w:pPr>
      <w:r w:rsidRPr="008608AA">
        <w:t xml:space="preserve">United Nations Oceans and the law of the sea. </w:t>
      </w:r>
      <w:r w:rsidRPr="008608AA">
        <w:rPr>
          <w:i/>
        </w:rPr>
        <w:t>First Global Integrated Marine Assessment (First World Ocean Assessment), 1833 United Nations Treaty Series § (2016).</w:t>
      </w:r>
    </w:p>
    <w:p w14:paraId="01CECA6D" w14:textId="77777777" w:rsidR="00DD4E98" w:rsidRPr="008608AA" w:rsidRDefault="00DD4E98" w:rsidP="00DD4E98">
      <w:pPr>
        <w:widowControl w:val="0"/>
        <w:ind w:left="906" w:hangingChars="412" w:hanging="906"/>
        <w:contextualSpacing/>
      </w:pPr>
      <w:r w:rsidRPr="008608AA">
        <w:t xml:space="preserve">United Nations Population Division. (2014). </w:t>
      </w:r>
      <w:r w:rsidRPr="008608AA">
        <w:rPr>
          <w:i/>
        </w:rPr>
        <w:t>World Urbanization Prospects: The 2014 Revision, Highlights (ST/ESA/SER.A/352).</w:t>
      </w:r>
    </w:p>
    <w:p w14:paraId="75385664" w14:textId="77777777" w:rsidR="00DD4E98" w:rsidRPr="008608AA" w:rsidRDefault="00DD4E98" w:rsidP="00DD4E98">
      <w:pPr>
        <w:widowControl w:val="0"/>
        <w:ind w:left="906" w:hangingChars="412" w:hanging="906"/>
        <w:contextualSpacing/>
      </w:pPr>
      <w:r w:rsidRPr="008608AA">
        <w:t xml:space="preserve">United Nations-Department of Economic and Social Affairs- Population Division. (2015). </w:t>
      </w:r>
      <w:r w:rsidRPr="008608AA">
        <w:rPr>
          <w:i/>
        </w:rPr>
        <w:t>World Population Prospects</w:t>
      </w:r>
      <w:r w:rsidRPr="008608AA">
        <w:t>. Retrieved August 25, 2017, from https://esa.un.org/unpd/wpp/Download/Standard/Population/</w:t>
      </w:r>
    </w:p>
    <w:p w14:paraId="0D572D46" w14:textId="77777777" w:rsidR="00DD4E98" w:rsidRPr="008608AA" w:rsidRDefault="00DD4E98" w:rsidP="00DD4E98">
      <w:pPr>
        <w:widowControl w:val="0"/>
        <w:ind w:left="906" w:hangingChars="412" w:hanging="906"/>
        <w:contextualSpacing/>
      </w:pPr>
      <w:r w:rsidRPr="008608AA">
        <w:t xml:space="preserve">UN-WATER. (2013). </w:t>
      </w:r>
      <w:r w:rsidRPr="008608AA">
        <w:rPr>
          <w:i/>
        </w:rPr>
        <w:t>Water Security &amp; the Global Water Agenda</w:t>
      </w:r>
      <w:r w:rsidRPr="008608AA">
        <w:t>. Retrieved from https://collections.unu.edu/view/UNU:2651</w:t>
      </w:r>
    </w:p>
    <w:p w14:paraId="6470930B" w14:textId="77777777" w:rsidR="00DD4E98" w:rsidRPr="008608AA" w:rsidRDefault="00DD4E98" w:rsidP="00DD4E98">
      <w:pPr>
        <w:widowControl w:val="0"/>
        <w:ind w:left="906" w:hangingChars="412" w:hanging="906"/>
        <w:contextualSpacing/>
      </w:pPr>
      <w:r w:rsidRPr="008608AA">
        <w:t xml:space="preserve">UN-WATER. (2016). </w:t>
      </w:r>
      <w:r w:rsidRPr="008608AA">
        <w:rPr>
          <w:i/>
        </w:rPr>
        <w:t>The United Nations World Water Development Report 2016: Water and Jobs</w:t>
      </w:r>
      <w:r w:rsidRPr="008608AA">
        <w:t>. Paris.</w:t>
      </w:r>
    </w:p>
    <w:p w14:paraId="4DC60B2D" w14:textId="77777777" w:rsidR="00DD4E98" w:rsidRPr="008608AA" w:rsidRDefault="00DD4E98" w:rsidP="00DD4E98">
      <w:pPr>
        <w:widowControl w:val="0"/>
        <w:ind w:left="906" w:hangingChars="412" w:hanging="906"/>
        <w:contextualSpacing/>
      </w:pPr>
      <w:r w:rsidRPr="008608AA">
        <w:t xml:space="preserve">Uprety, Y., Asselin, H., Dhakal, A., &amp; Julien, N. (2012). Traditional use of medicinal plants in the boreal forest of Canada: review and perspectives. </w:t>
      </w:r>
      <w:r w:rsidRPr="008608AA">
        <w:rPr>
          <w:i/>
        </w:rPr>
        <w:t>Journal of Ethnobiology and Ethnomedicine</w:t>
      </w:r>
      <w:r w:rsidRPr="008608AA">
        <w:t xml:space="preserve">, </w:t>
      </w:r>
      <w:r w:rsidRPr="008608AA">
        <w:rPr>
          <w:i/>
        </w:rPr>
        <w:t>8</w:t>
      </w:r>
      <w:r w:rsidRPr="008608AA">
        <w:t>(1), (pp. 7). https://doi.org/10.1186/1746-4269-8-7</w:t>
      </w:r>
    </w:p>
    <w:p w14:paraId="41A792B1" w14:textId="77777777" w:rsidR="00DD4E98" w:rsidRPr="008608AA" w:rsidRDefault="00DD4E98" w:rsidP="00DD4E98">
      <w:pPr>
        <w:widowControl w:val="0"/>
        <w:ind w:left="906" w:hangingChars="412" w:hanging="906"/>
        <w:contextualSpacing/>
      </w:pPr>
      <w:r w:rsidRPr="008608AA">
        <w:t xml:space="preserve">Urbani, B. (2005). </w:t>
      </w:r>
      <w:r w:rsidRPr="008608AA">
        <w:rPr>
          <w:i/>
        </w:rPr>
        <w:t>The targeted monkey: a re-evaluation of predation on New World primates. J Anth Sci</w:t>
      </w:r>
      <w:r w:rsidRPr="008608AA">
        <w:t xml:space="preserve">, </w:t>
      </w:r>
      <w:r w:rsidRPr="008608AA">
        <w:rPr>
          <w:i/>
        </w:rPr>
        <w:t>83</w:t>
      </w:r>
      <w:r w:rsidRPr="008608AA">
        <w:t>, (pp. 89–109). Retrieved from http://www.isita-org.com/jass/contents/2005 vol83/urbani.pdf</w:t>
      </w:r>
    </w:p>
    <w:p w14:paraId="54B365DE" w14:textId="77777777" w:rsidR="00DD4E98" w:rsidRPr="008608AA" w:rsidRDefault="00DD4E98" w:rsidP="00DD4E98">
      <w:pPr>
        <w:widowControl w:val="0"/>
        <w:ind w:left="906" w:hangingChars="412" w:hanging="906"/>
        <w:contextualSpacing/>
      </w:pPr>
      <w:r w:rsidRPr="00CE0821">
        <w:rPr>
          <w:lang w:val="es-CO"/>
        </w:rPr>
        <w:t xml:space="preserve">Urbani, B., &amp; Cormier, L. A. (2015). </w:t>
      </w:r>
      <w:r w:rsidRPr="008608AA">
        <w:t xml:space="preserve">The Ethnoprimatology of the Howler Monkeys (Alouatta spp.): From Past to Present. In M. M. Kowalewski, P. A. Garber, L. Cortés-Ortiz, B. Urbani, &amp; D. Youlatos (Eds.), </w:t>
      </w:r>
      <w:r w:rsidRPr="008608AA">
        <w:rPr>
          <w:i/>
        </w:rPr>
        <w:t>Howler Monkeys: Behavior, Ecology, and Conservation</w:t>
      </w:r>
      <w:r w:rsidRPr="008608AA">
        <w:t xml:space="preserve"> (pp. 259–280). New York, NY: Springer New York. https://doi.org/10.1007/978-1-4939-1960-4_10</w:t>
      </w:r>
    </w:p>
    <w:p w14:paraId="0157E020"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USDA FAS. (2015). Livestock and Poultry: World Markets and Trade.</w:t>
      </w:r>
    </w:p>
    <w:p w14:paraId="233DE360" w14:textId="77777777" w:rsidR="00DD4E98" w:rsidRPr="008608AA" w:rsidRDefault="00DD4E98" w:rsidP="00DD4E98">
      <w:pPr>
        <w:widowControl w:val="0"/>
        <w:ind w:left="906" w:hangingChars="412" w:hanging="906"/>
        <w:contextualSpacing/>
      </w:pPr>
      <w:r w:rsidRPr="008608AA">
        <w:t xml:space="preserve">USDA. (2014). </w:t>
      </w:r>
      <w:r w:rsidRPr="008608AA">
        <w:rPr>
          <w:i/>
        </w:rPr>
        <w:t>Uruguay, Livestock and Products, Annual 2014</w:t>
      </w:r>
      <w:r w:rsidRPr="008608AA">
        <w:t xml:space="preserve">. </w:t>
      </w:r>
      <w:r w:rsidRPr="008608AA">
        <w:rPr>
          <w:i/>
        </w:rPr>
        <w:t>Gain report</w:t>
      </w:r>
      <w:r w:rsidRPr="008608AA">
        <w:t>. Washington.</w:t>
      </w:r>
    </w:p>
    <w:p w14:paraId="184892C0" w14:textId="77777777" w:rsidR="00DD4E98" w:rsidRPr="008608AA" w:rsidRDefault="00DD4E98" w:rsidP="00DD4E98">
      <w:pPr>
        <w:widowControl w:val="0"/>
        <w:ind w:left="906" w:hangingChars="412" w:hanging="906"/>
        <w:contextualSpacing/>
      </w:pPr>
      <w:r w:rsidRPr="008608AA">
        <w:t xml:space="preserve">USDA. (2016). </w:t>
      </w:r>
      <w:r w:rsidRPr="008608AA">
        <w:rPr>
          <w:i/>
        </w:rPr>
        <w:t>World Agricultural Supply and Demand Estimates</w:t>
      </w:r>
      <w:r w:rsidRPr="008608AA">
        <w:t xml:space="preserve">. </w:t>
      </w:r>
      <w:r w:rsidRPr="008608AA">
        <w:rPr>
          <w:i/>
        </w:rPr>
        <w:t>United States Department of Agriculture</w:t>
      </w:r>
      <w:r w:rsidRPr="008608AA">
        <w:t>. https://doi.org/WASDE-525</w:t>
      </w:r>
    </w:p>
    <w:p w14:paraId="3332898F" w14:textId="77777777" w:rsidR="00DD4E98" w:rsidRPr="008608AA" w:rsidRDefault="00DD4E98" w:rsidP="00DD4E98">
      <w:pPr>
        <w:widowControl w:val="0"/>
        <w:ind w:left="906" w:hangingChars="412" w:hanging="906"/>
        <w:contextualSpacing/>
      </w:pPr>
      <w:r w:rsidRPr="008608AA">
        <w:t xml:space="preserve">USDA. (2017). </w:t>
      </w:r>
      <w:r w:rsidRPr="008608AA">
        <w:rPr>
          <w:i/>
        </w:rPr>
        <w:t>Animal Products.</w:t>
      </w:r>
      <w:r w:rsidRPr="008608AA">
        <w:t xml:space="preserve"> Retrieved December 1, 2017, from https://www.ers.usda.gov/topics/animal-products/cattle-beef/statistics-information.aspx</w:t>
      </w:r>
    </w:p>
    <w:p w14:paraId="34D3FED1"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USEIA. (2014). Increase in wood as main source of household heating most notable in the Northeast. Retrieved from https://www.eia.gov/todayinenergy/detail.php?id=15431</w:t>
      </w:r>
    </w:p>
    <w:p w14:paraId="43E35B2D" w14:textId="77777777" w:rsidR="00DD4E98" w:rsidRPr="008608AA" w:rsidRDefault="00DD4E98" w:rsidP="00DD4E98">
      <w:pPr>
        <w:widowControl w:val="0"/>
        <w:ind w:left="906" w:hangingChars="412" w:hanging="906"/>
        <w:contextualSpacing/>
      </w:pPr>
      <w:r w:rsidRPr="008608AA">
        <w:t xml:space="preserve">Usher, P. J. (2002). </w:t>
      </w:r>
      <w:r w:rsidRPr="008608AA">
        <w:rPr>
          <w:i/>
        </w:rPr>
        <w:t>Inuvialuit use of the Beaufort Sea and its resources, 1960-2000</w:t>
      </w:r>
      <w:r w:rsidRPr="008608AA">
        <w:t xml:space="preserve">. </w:t>
      </w:r>
      <w:r w:rsidRPr="008608AA">
        <w:rPr>
          <w:i/>
        </w:rPr>
        <w:t>Arctic</w:t>
      </w:r>
      <w:r w:rsidRPr="008608AA">
        <w:t xml:space="preserve">, </w:t>
      </w:r>
      <w:r w:rsidRPr="008608AA">
        <w:rPr>
          <w:i/>
        </w:rPr>
        <w:t>55</w:t>
      </w:r>
      <w:r w:rsidRPr="008608AA">
        <w:t>(SUPPL. 1), (pp. 18–28). https://doi.org/10.2307/40512417</w:t>
      </w:r>
    </w:p>
    <w:p w14:paraId="042D94DF" w14:textId="77777777" w:rsidR="00DD4E98" w:rsidRPr="008608AA" w:rsidRDefault="00DD4E98" w:rsidP="00DD4E98">
      <w:pPr>
        <w:widowControl w:val="0"/>
        <w:ind w:left="906" w:hangingChars="412" w:hanging="906"/>
        <w:contextualSpacing/>
      </w:pPr>
      <w:r w:rsidRPr="008608AA">
        <w:t xml:space="preserve">Usher, R. (2002). </w:t>
      </w:r>
      <w:r w:rsidRPr="008608AA">
        <w:rPr>
          <w:i/>
        </w:rPr>
        <w:t>Putting Space Back on the Map: globalisation, place and identity.</w:t>
      </w:r>
      <w:r w:rsidRPr="008608AA">
        <w:t xml:space="preserve"> </w:t>
      </w:r>
      <w:r w:rsidRPr="008608AA">
        <w:rPr>
          <w:i/>
        </w:rPr>
        <w:t>Educational Philosophy and Theory</w:t>
      </w:r>
      <w:r w:rsidRPr="008608AA">
        <w:t xml:space="preserve">, </w:t>
      </w:r>
      <w:r w:rsidRPr="008608AA">
        <w:rPr>
          <w:i/>
        </w:rPr>
        <w:t>34</w:t>
      </w:r>
      <w:r w:rsidRPr="008608AA">
        <w:t>(1), (pp. 41–55). https://doi.org/10.1111/j.1469-5812.2002.tb00285.x</w:t>
      </w:r>
    </w:p>
    <w:p w14:paraId="63B4DDC4" w14:textId="77777777" w:rsidR="00DD4E98" w:rsidRPr="008608AA" w:rsidRDefault="00DD4E98" w:rsidP="00DD4E98">
      <w:pPr>
        <w:widowControl w:val="0"/>
        <w:ind w:left="906" w:hangingChars="412" w:hanging="906"/>
        <w:contextualSpacing/>
      </w:pPr>
      <w:r w:rsidRPr="008608AA">
        <w:t xml:space="preserve">Valdez, R., &amp; Krausman, P. R. (1999). </w:t>
      </w:r>
      <w:r w:rsidRPr="008608AA">
        <w:rPr>
          <w:i/>
        </w:rPr>
        <w:t>Mountain Sheep of North America</w:t>
      </w:r>
      <w:r w:rsidRPr="008608AA">
        <w:t>. University of Arizona Press.</w:t>
      </w:r>
    </w:p>
    <w:p w14:paraId="2CAC8F3B" w14:textId="77777777" w:rsidR="00DD4E98" w:rsidRPr="008608AA" w:rsidRDefault="00DD4E98" w:rsidP="00DD4E98">
      <w:pPr>
        <w:widowControl w:val="0"/>
        <w:ind w:left="906" w:hangingChars="412" w:hanging="906"/>
        <w:contextualSpacing/>
      </w:pPr>
      <w:r w:rsidRPr="008608AA">
        <w:t xml:space="preserve">Van der Ploeg, S., &amp; de Groot, R. S. (2010). </w:t>
      </w:r>
      <w:r w:rsidRPr="008608AA">
        <w:rPr>
          <w:i/>
        </w:rPr>
        <w:t>The TEEB Valuation Database – a searchable database of 1310 estimates of monetary values of ecosystem services</w:t>
      </w:r>
      <w:r w:rsidRPr="008608AA">
        <w:t>. Wageningen, The Netherlands.</w:t>
      </w:r>
    </w:p>
    <w:p w14:paraId="72FF9AE7" w14:textId="77777777" w:rsidR="00DD4E98" w:rsidRPr="008608AA" w:rsidRDefault="00DD4E98" w:rsidP="00DD4E98">
      <w:pPr>
        <w:widowControl w:val="0"/>
        <w:ind w:left="906" w:hangingChars="412" w:hanging="906"/>
        <w:contextualSpacing/>
        <w:rPr>
          <w:lang w:val="en-GB"/>
        </w:rPr>
      </w:pPr>
      <w:r w:rsidRPr="008608AA">
        <w:t xml:space="preserve">Van Tussenbroek, B. I., Cort??s, J., Collin, R., Fonseca, A. C., Gayle, P. M. H., Guzm??n, H. M., J??come, G. E., Juman, R., Koltes, K. H., Oxenford, H. A., Rodr??guez-Ramirez, A., Samper-Villarreal, J., Smith, S. R., Tschirky, J. J., &amp; Weil, E. (2014). Caribbean-wide, long-term study of seagrass beds reveals local variations, shifts in community structure and occasional collapse. </w:t>
      </w:r>
      <w:r w:rsidRPr="008608AA">
        <w:rPr>
          <w:i/>
          <w:iCs/>
        </w:rPr>
        <w:t>PLoS ONE</w:t>
      </w:r>
      <w:r w:rsidRPr="008608AA">
        <w:t xml:space="preserve">, </w:t>
      </w:r>
      <w:r w:rsidRPr="008608AA">
        <w:rPr>
          <w:i/>
          <w:iCs/>
        </w:rPr>
        <w:t>9</w:t>
      </w:r>
      <w:r w:rsidRPr="008608AA">
        <w:t>(3). https://doi.org/10.1371/journal.pone.0090600</w:t>
      </w:r>
    </w:p>
    <w:p w14:paraId="52E69344" w14:textId="77777777" w:rsidR="00DD4E98" w:rsidRPr="008608AA" w:rsidRDefault="00DD4E98" w:rsidP="00DD4E98">
      <w:pPr>
        <w:widowControl w:val="0"/>
        <w:ind w:left="906" w:hangingChars="412" w:hanging="906"/>
        <w:contextualSpacing/>
      </w:pPr>
      <w:r w:rsidRPr="008608AA">
        <w:t xml:space="preserve">van Zanten, B. T., van Beukering, P. J. H., &amp; Wagtendonk, A. J. (2014). Coastal protection by coral reefs: A framework for spatial assessment and economic valuation. </w:t>
      </w:r>
      <w:r w:rsidRPr="008608AA">
        <w:rPr>
          <w:i/>
        </w:rPr>
        <w:t>Ocean &amp; Coastal Management</w:t>
      </w:r>
      <w:r w:rsidRPr="008608AA">
        <w:t xml:space="preserve">, </w:t>
      </w:r>
      <w:r w:rsidRPr="008608AA">
        <w:rPr>
          <w:i/>
        </w:rPr>
        <w:t>96</w:t>
      </w:r>
      <w:r w:rsidRPr="008608AA">
        <w:t>, (pp. 94–103). https://doi.org/https://doi.org/10.1016/j.ocecoaman.2014.05.001</w:t>
      </w:r>
    </w:p>
    <w:p w14:paraId="72AC8193" w14:textId="77777777" w:rsidR="00DD4E98" w:rsidRPr="008608AA" w:rsidRDefault="00DD4E98" w:rsidP="00DD4E98">
      <w:pPr>
        <w:widowControl w:val="0"/>
        <w:ind w:left="906" w:hangingChars="412" w:hanging="906"/>
        <w:contextualSpacing/>
      </w:pPr>
      <w:r w:rsidRPr="008608AA">
        <w:t xml:space="preserve">Vanacker, V., Vanderschaeghe, M., Govers, G., Willems, E., Poesen, J., Deckers, J., &amp; De Bievre, B. (2003). Linking hydrological, infinite slope stability and land-use change models through GIS for assessing the impact of deforestation on slope stability in high Andean watersheds. </w:t>
      </w:r>
      <w:r w:rsidRPr="008608AA">
        <w:rPr>
          <w:i/>
        </w:rPr>
        <w:t>Geomorphology</w:t>
      </w:r>
      <w:r w:rsidRPr="008608AA">
        <w:t xml:space="preserve">, </w:t>
      </w:r>
      <w:r w:rsidRPr="008608AA">
        <w:rPr>
          <w:i/>
        </w:rPr>
        <w:t>52</w:t>
      </w:r>
      <w:r w:rsidRPr="008608AA">
        <w:t>(3–4), (pp. 299–315). https://doi.org/10.1016/S0169-555X(02)00263-5</w:t>
      </w:r>
    </w:p>
    <w:p w14:paraId="5EF3D77E" w14:textId="77777777" w:rsidR="00DD4E98" w:rsidRPr="008608AA" w:rsidRDefault="00DD4E98" w:rsidP="00DD4E98">
      <w:pPr>
        <w:widowControl w:val="0"/>
        <w:ind w:left="906" w:hangingChars="412" w:hanging="906"/>
        <w:contextualSpacing/>
      </w:pPr>
      <w:r w:rsidRPr="008608AA">
        <w:t xml:space="preserve">Vandevijvere, S., Chow, C. C., Hall, K. D., Umali, E., &amp; Swinburn, B. A. (2015). Increased food energy supply as a major driver of the obesity epidemic: a global analysis. </w:t>
      </w:r>
      <w:r w:rsidRPr="008608AA">
        <w:rPr>
          <w:i/>
        </w:rPr>
        <w:t>Bulletin of the World Health Organization</w:t>
      </w:r>
      <w:r w:rsidRPr="008608AA">
        <w:t xml:space="preserve">, </w:t>
      </w:r>
      <w:r w:rsidRPr="008608AA">
        <w:rPr>
          <w:i/>
        </w:rPr>
        <w:t>93</w:t>
      </w:r>
      <w:r w:rsidRPr="008608AA">
        <w:t>(7), (pp. 446–456). https://doi.org/10.2471/BLT.14.150565</w:t>
      </w:r>
    </w:p>
    <w:p w14:paraId="4B9ED69D" w14:textId="77777777" w:rsidR="00DD4E98" w:rsidRPr="008608AA" w:rsidRDefault="00DD4E98" w:rsidP="00DD4E98">
      <w:pPr>
        <w:widowControl w:val="0"/>
        <w:ind w:left="906" w:hangingChars="412" w:hanging="906"/>
        <w:contextualSpacing/>
        <w:rPr>
          <w:lang w:val="es-CO"/>
        </w:rPr>
      </w:pPr>
      <w:r w:rsidRPr="008608AA">
        <w:t xml:space="preserve">Vasisht, K., Sharma, N., &amp; Karan, M. (2016). Current Perspective in the International Trade of Medicinal Plants Material: An Update. </w:t>
      </w:r>
      <w:r w:rsidRPr="008608AA">
        <w:rPr>
          <w:i/>
          <w:lang w:val="es-CO"/>
        </w:rPr>
        <w:t>Current Pharmaceutical Design</w:t>
      </w:r>
      <w:r w:rsidRPr="008608AA">
        <w:rPr>
          <w:lang w:val="es-CO"/>
        </w:rPr>
        <w:t xml:space="preserve">, </w:t>
      </w:r>
      <w:r w:rsidRPr="008608AA">
        <w:rPr>
          <w:i/>
          <w:lang w:val="es-CO"/>
        </w:rPr>
        <w:t>22</w:t>
      </w:r>
      <w:r w:rsidRPr="008608AA">
        <w:rPr>
          <w:lang w:val="es-CO"/>
        </w:rPr>
        <w:t>(27), (pp. 4288–4336). https://doi.org/10.2174/1381612822666160607070736</w:t>
      </w:r>
    </w:p>
    <w:p w14:paraId="279C16B5" w14:textId="77777777" w:rsidR="00DD4E98" w:rsidRPr="008608AA" w:rsidRDefault="00DD4E98" w:rsidP="00DD4E98">
      <w:pPr>
        <w:widowControl w:val="0"/>
        <w:ind w:left="906" w:hangingChars="412" w:hanging="906"/>
        <w:contextualSpacing/>
        <w:rPr>
          <w:lang w:val="es-CO"/>
        </w:rPr>
      </w:pPr>
      <w:r w:rsidRPr="008608AA">
        <w:rPr>
          <w:lang w:val="es-CO"/>
        </w:rPr>
        <w:t xml:space="preserve">Vazquez, P., Zulaica, L., &amp; Benevidez, B. (2017). Agriculturización e Impactos Ambientales en el Partido de Necochea, Provincia de Buenos Aires, Argentina. </w:t>
      </w:r>
      <w:r w:rsidRPr="008608AA">
        <w:rPr>
          <w:i/>
          <w:lang w:val="es-CO"/>
        </w:rPr>
        <w:t>Raega - O Espaço Geográfico Em Análise</w:t>
      </w:r>
      <w:r w:rsidRPr="008608AA">
        <w:rPr>
          <w:lang w:val="es-CO"/>
        </w:rPr>
        <w:t xml:space="preserve">, </w:t>
      </w:r>
      <w:r w:rsidRPr="008608AA">
        <w:rPr>
          <w:i/>
          <w:lang w:val="es-CO"/>
        </w:rPr>
        <w:t>39</w:t>
      </w:r>
      <w:r w:rsidRPr="008608AA">
        <w:rPr>
          <w:lang w:val="es-CO"/>
        </w:rPr>
        <w:t>, (pp. 202–218). https://doi.org/10.5380/raega</w:t>
      </w:r>
    </w:p>
    <w:p w14:paraId="2A1FF725" w14:textId="77777777" w:rsidR="00DD4E98" w:rsidRPr="008608AA" w:rsidRDefault="00DD4E98" w:rsidP="00DD4E98">
      <w:pPr>
        <w:widowControl w:val="0"/>
        <w:ind w:left="906" w:hangingChars="412" w:hanging="906"/>
        <w:contextualSpacing/>
        <w:rPr>
          <w:lang w:val="en-GB"/>
        </w:rPr>
      </w:pPr>
      <w:r w:rsidRPr="008608AA">
        <w:t xml:space="preserve">Veldman, J. W., Overbeck, G. E., Negreiros, D., Mahy, G., Le Stradic, S., Fernandes, G. W., Durigan, G., Buisson, E., Putz, F. E., &amp; Bond, W. J. (2015). Where Tree Planting and Forest Expansion are Bad for Biodiversity and Ecosystem Services. </w:t>
      </w:r>
      <w:r w:rsidRPr="008608AA">
        <w:rPr>
          <w:i/>
          <w:iCs/>
        </w:rPr>
        <w:t>BioScience</w:t>
      </w:r>
      <w:r w:rsidRPr="008608AA">
        <w:t xml:space="preserve">, </w:t>
      </w:r>
      <w:r w:rsidRPr="008608AA">
        <w:rPr>
          <w:i/>
          <w:iCs/>
        </w:rPr>
        <w:t>65</w:t>
      </w:r>
      <w:r w:rsidRPr="008608AA">
        <w:t>(10), 1011–1018. https://doi.org/10.1093/biosci/biv118</w:t>
      </w:r>
    </w:p>
    <w:p w14:paraId="275914AB" w14:textId="77777777" w:rsidR="00DD4E98" w:rsidRPr="008608AA" w:rsidRDefault="00DD4E98" w:rsidP="00DD4E98">
      <w:pPr>
        <w:widowControl w:val="0"/>
        <w:ind w:left="906" w:hangingChars="412" w:hanging="906"/>
        <w:contextualSpacing/>
      </w:pPr>
      <w:r w:rsidRPr="008608AA">
        <w:t xml:space="preserve">Verhoeven, J., Arheimer, B., Yin, C., &amp; Hefting, M. (2006). Regional and global concerns over wetlands and water quality. </w:t>
      </w:r>
      <w:r w:rsidRPr="008608AA">
        <w:rPr>
          <w:i/>
        </w:rPr>
        <w:t>Trends in Ecology &amp; Evolution</w:t>
      </w:r>
      <w:r w:rsidRPr="008608AA">
        <w:t xml:space="preserve">, </w:t>
      </w:r>
      <w:r w:rsidRPr="008608AA">
        <w:rPr>
          <w:i/>
        </w:rPr>
        <w:t>21</w:t>
      </w:r>
      <w:r w:rsidRPr="008608AA">
        <w:t>(2), (pp. 96–103). https://doi.org/10.1016/j.tree.2005.11.015</w:t>
      </w:r>
    </w:p>
    <w:p w14:paraId="1F7AAFE0" w14:textId="77777777" w:rsidR="00DD4E98" w:rsidRPr="008608AA" w:rsidRDefault="00DD4E98" w:rsidP="00DD4E98">
      <w:pPr>
        <w:widowControl w:val="0"/>
        <w:ind w:left="906" w:hangingChars="412" w:hanging="906"/>
        <w:contextualSpacing/>
      </w:pPr>
      <w:r w:rsidRPr="008608AA">
        <w:t xml:space="preserve">Verma, S., Kanwar, V. S., John, S., S., V., Kanwar, V. S., &amp; John, S. (2015). </w:t>
      </w:r>
      <w:r w:rsidRPr="008608AA">
        <w:rPr>
          <w:i/>
        </w:rPr>
        <w:t>Water Supply Engineering</w:t>
      </w:r>
      <w:r w:rsidRPr="008608AA">
        <w:t>. New Delhi: Vikas Publishing House PVT LDT.</w:t>
      </w:r>
    </w:p>
    <w:p w14:paraId="40B9F05A" w14:textId="77777777" w:rsidR="00DD4E98" w:rsidRPr="008608AA" w:rsidRDefault="00DD4E98" w:rsidP="00DD4E98">
      <w:pPr>
        <w:widowControl w:val="0"/>
        <w:ind w:left="906" w:hangingChars="412" w:hanging="906"/>
        <w:contextualSpacing/>
        <w:rPr>
          <w:lang w:val="en-GB"/>
        </w:rPr>
      </w:pPr>
      <w:r w:rsidRPr="008608AA">
        <w:t xml:space="preserve">Viers, J. H., Williams, J. N., Nicholas, K. A., Barbosa, O., Kotzé, I., Spence, L., Webb, L. B., Merenlender, A., &amp; Reynolds, M. (2013). Vinecology: pairing wine with nature. </w:t>
      </w:r>
      <w:r w:rsidRPr="008608AA">
        <w:rPr>
          <w:i/>
          <w:iCs/>
        </w:rPr>
        <w:t>Conservation Letters</w:t>
      </w:r>
      <w:r w:rsidRPr="008608AA">
        <w:t xml:space="preserve">, </w:t>
      </w:r>
      <w:r w:rsidRPr="008608AA">
        <w:rPr>
          <w:i/>
          <w:iCs/>
        </w:rPr>
        <w:t>6</w:t>
      </w:r>
      <w:r w:rsidRPr="008608AA">
        <w:t>(5), n/a-n/a. https://doi.org/10.1111/conl.12011</w:t>
      </w:r>
    </w:p>
    <w:p w14:paraId="38468D94" w14:textId="77777777" w:rsidR="00DD4E98" w:rsidRPr="008608AA" w:rsidRDefault="00DD4E98" w:rsidP="00DD4E98">
      <w:pPr>
        <w:widowControl w:val="0"/>
        <w:ind w:left="906" w:hangingChars="412" w:hanging="906"/>
        <w:contextualSpacing/>
      </w:pPr>
      <w:r w:rsidRPr="008608AA">
        <w:rPr>
          <w:lang w:val="de-DE"/>
        </w:rPr>
        <w:t xml:space="preserve">Viesmann, W. J., &amp; Hammer, M. J. (2008). </w:t>
      </w:r>
      <w:r w:rsidRPr="008608AA">
        <w:rPr>
          <w:i/>
        </w:rPr>
        <w:t>Water Supply and Pollution Control</w:t>
      </w:r>
      <w:r w:rsidRPr="008608AA">
        <w:t xml:space="preserve"> (Eight Edit). Saddle River, NJ: Pearson.</w:t>
      </w:r>
    </w:p>
    <w:p w14:paraId="05B23B4A" w14:textId="77777777" w:rsidR="00DD4E98" w:rsidRPr="008608AA" w:rsidRDefault="00DD4E98" w:rsidP="00DD4E98">
      <w:pPr>
        <w:widowControl w:val="0"/>
        <w:ind w:left="906" w:hangingChars="412" w:hanging="906"/>
        <w:contextualSpacing/>
      </w:pPr>
      <w:r w:rsidRPr="008608AA">
        <w:t xml:space="preserve">Villagra, P., Rojas, C., Ohno, R., Xue, M., &amp; Gómez, K. (2014). A GIS-base exploration of the relationships between open space systems and urban form for the adaptive capacity of cities after an earthquake: The cases of two Chilean cities. </w:t>
      </w:r>
      <w:r w:rsidRPr="008608AA">
        <w:rPr>
          <w:i/>
        </w:rPr>
        <w:t>Applied Geography</w:t>
      </w:r>
      <w:r w:rsidRPr="008608AA">
        <w:t xml:space="preserve">, </w:t>
      </w:r>
      <w:r w:rsidRPr="008608AA">
        <w:rPr>
          <w:i/>
        </w:rPr>
        <w:t>48</w:t>
      </w:r>
      <w:r w:rsidRPr="008608AA">
        <w:t>, (pp. 64–78). https://doi.org/10.1016/j.apgeog.2014.01.010</w:t>
      </w:r>
    </w:p>
    <w:p w14:paraId="2199352A" w14:textId="77777777" w:rsidR="00DD4E98" w:rsidRPr="008608AA" w:rsidRDefault="00DD4E98" w:rsidP="00DD4E98">
      <w:pPr>
        <w:widowControl w:val="0"/>
        <w:ind w:left="906" w:hangingChars="412" w:hanging="906"/>
        <w:contextualSpacing/>
        <w:rPr>
          <w:lang w:val="en-GB"/>
        </w:rPr>
      </w:pPr>
      <w:r w:rsidRPr="008608AA">
        <w:t xml:space="preserve">Villanueva-Gutierrez, R., Roubik, D. W., Colli-Ucan, W., Guemez-Ricalde, F. J., Buchmann, S. L., Villanueva-Gutiérrez, R., Roubik, D. W., Colli-Ucán, W., Güemez-Ricalde, F. J., &amp; Buchmann, S. L. (2013). A critical view of colony losses in managed Mayan honey-making bees (Apidae: Meliponini) in the heart of Zona Maya. </w:t>
      </w:r>
      <w:r w:rsidRPr="008608AA">
        <w:rPr>
          <w:i/>
          <w:iCs/>
        </w:rPr>
        <w:t>Journal of the Kansas Entomological Society</w:t>
      </w:r>
      <w:r w:rsidRPr="008608AA">
        <w:t xml:space="preserve">, </w:t>
      </w:r>
      <w:r w:rsidRPr="008608AA">
        <w:rPr>
          <w:i/>
          <w:iCs/>
        </w:rPr>
        <w:t>86</w:t>
      </w:r>
      <w:r w:rsidRPr="008608AA">
        <w:t>(4), 352–362. https://doi.org/10.2317/jkes130131.1</w:t>
      </w:r>
    </w:p>
    <w:p w14:paraId="0D995757" w14:textId="77777777" w:rsidR="00DD4E98" w:rsidRPr="008608AA" w:rsidRDefault="00DD4E98" w:rsidP="00DD4E98">
      <w:pPr>
        <w:widowControl w:val="0"/>
        <w:ind w:left="906" w:hangingChars="412" w:hanging="906"/>
        <w:contextualSpacing/>
      </w:pPr>
      <w:r w:rsidRPr="008608AA">
        <w:rPr>
          <w:lang w:val="pt-BR"/>
        </w:rPr>
        <w:t xml:space="preserve">Vit, P., Roubik, D. W., &amp; Pedro, S. R. M. (2013). </w:t>
      </w:r>
      <w:r w:rsidRPr="008608AA">
        <w:t xml:space="preserve">Pot-Honey: A legacy of stingless bees. </w:t>
      </w:r>
      <w:r w:rsidRPr="008608AA">
        <w:rPr>
          <w:i/>
        </w:rPr>
        <w:t>Pot-Honey: A Legacy of Stingless Bees</w:t>
      </w:r>
      <w:r w:rsidRPr="008608AA">
        <w:t>, (pp. 1–654). https://doi.org/10.1007/978-1-4614-4960-7</w:t>
      </w:r>
    </w:p>
    <w:p w14:paraId="4EB8583B" w14:textId="77777777" w:rsidR="00DD4E98" w:rsidRPr="008608AA" w:rsidRDefault="00DD4E98" w:rsidP="00DD4E98">
      <w:pPr>
        <w:widowControl w:val="0"/>
        <w:ind w:left="906" w:hangingChars="412" w:hanging="906"/>
        <w:contextualSpacing/>
        <w:rPr>
          <w:lang w:val="en-GB"/>
        </w:rPr>
      </w:pPr>
      <w:r w:rsidRPr="008608AA">
        <w:t xml:space="preserve">Vittor, A. Y., Gilman, R. H., Tielsch, J., Glass, G., Shields, T., Lozano, W. S., Pinedo-Cancino, V., &amp; Patz, J. A. (2006). The effect of deforestation on the human-biting rate of Anopheles darlingi, the primary vector of falciparum malaria in the Peruvian Amazon. </w:t>
      </w:r>
      <w:r w:rsidRPr="008608AA">
        <w:rPr>
          <w:i/>
          <w:iCs/>
        </w:rPr>
        <w:t>American Journal of Tropical Medicine and Hygiene</w:t>
      </w:r>
      <w:r w:rsidRPr="008608AA">
        <w:t xml:space="preserve">, </w:t>
      </w:r>
      <w:r w:rsidRPr="008608AA">
        <w:rPr>
          <w:i/>
          <w:iCs/>
        </w:rPr>
        <w:t>74</w:t>
      </w:r>
      <w:r w:rsidRPr="008608AA">
        <w:t>(1), 3–11. https://doi.org/74/1/3 [pii]</w:t>
      </w:r>
    </w:p>
    <w:p w14:paraId="111DAF0C" w14:textId="77777777" w:rsidR="00DD4E98" w:rsidRPr="008608AA" w:rsidRDefault="00DD4E98" w:rsidP="00DD4E98">
      <w:pPr>
        <w:widowControl w:val="0"/>
        <w:ind w:left="906" w:hangingChars="412" w:hanging="906"/>
        <w:contextualSpacing/>
      </w:pPr>
      <w:r w:rsidRPr="008608AA">
        <w:t xml:space="preserve">Vörösmarty, C. J., Hoekstra, A. Y., &amp; Bunn, S. E. (2015). What scale for water governance? </w:t>
      </w:r>
      <w:r w:rsidRPr="008608AA">
        <w:rPr>
          <w:i/>
        </w:rPr>
        <w:t>Science</w:t>
      </w:r>
      <w:r w:rsidRPr="008608AA">
        <w:t xml:space="preserve">, </w:t>
      </w:r>
      <w:r w:rsidRPr="008608AA">
        <w:rPr>
          <w:i/>
        </w:rPr>
        <w:t>349</w:t>
      </w:r>
      <w:r w:rsidRPr="008608AA">
        <w:t>(6247), (pp. 478–478). https://doi.org/10.1126/science.349.6247.478-a</w:t>
      </w:r>
    </w:p>
    <w:p w14:paraId="3AD10A25" w14:textId="77777777" w:rsidR="00DD4E98" w:rsidRPr="008608AA" w:rsidRDefault="00DD4E98" w:rsidP="00DD4E98">
      <w:pPr>
        <w:widowControl w:val="0"/>
        <w:ind w:left="906" w:hangingChars="412" w:hanging="906"/>
        <w:contextualSpacing/>
        <w:rPr>
          <w:lang w:val="en-GB"/>
        </w:rPr>
      </w:pPr>
      <w:r w:rsidRPr="008608AA">
        <w:t xml:space="preserve">Vörösmarty, C. J., McIntyre, P. B., Gessner, M. O., Dudgeon, D., Prusevich,  a, Green, P., Glidden, S., Bunn, S. E., Sullivan, C. a, Liermann, C. R., &amp; Davies, P. M. (2010). Global threats to human water security and river biodiversity. </w:t>
      </w:r>
      <w:r w:rsidRPr="008608AA">
        <w:rPr>
          <w:i/>
          <w:iCs/>
        </w:rPr>
        <w:t>Nature</w:t>
      </w:r>
      <w:r w:rsidRPr="008608AA">
        <w:t xml:space="preserve">, </w:t>
      </w:r>
      <w:r w:rsidRPr="008608AA">
        <w:rPr>
          <w:i/>
          <w:iCs/>
        </w:rPr>
        <w:t>467</w:t>
      </w:r>
      <w:r w:rsidRPr="008608AA">
        <w:t>(7315), 555–561. https://doi.org/10.1038/nature09549</w:t>
      </w:r>
    </w:p>
    <w:p w14:paraId="007EFC6C" w14:textId="77777777" w:rsidR="00DD4E98" w:rsidRPr="008608AA" w:rsidRDefault="00DD4E98" w:rsidP="00DD4E98">
      <w:pPr>
        <w:widowControl w:val="0"/>
        <w:ind w:left="906" w:hangingChars="412" w:hanging="906"/>
        <w:contextualSpacing/>
      </w:pPr>
      <w:r w:rsidRPr="008608AA">
        <w:rPr>
          <w:lang w:val="de-DE"/>
        </w:rPr>
        <w:t xml:space="preserve">Voss, R., Quaas, M. F., Schmidt, J., &amp; Kapaun, U. (2015). </w:t>
      </w:r>
      <w:r w:rsidRPr="008608AA">
        <w:t xml:space="preserve">Ocean acidification may aggravate social-ecological trade-offs in coastal fisheries. </w:t>
      </w:r>
      <w:r w:rsidRPr="008608AA">
        <w:rPr>
          <w:i/>
        </w:rPr>
        <w:t>PLoS ONE</w:t>
      </w:r>
      <w:r w:rsidRPr="008608AA">
        <w:t xml:space="preserve">, </w:t>
      </w:r>
      <w:r w:rsidRPr="008608AA">
        <w:rPr>
          <w:i/>
        </w:rPr>
        <w:t>10</w:t>
      </w:r>
      <w:r w:rsidRPr="008608AA">
        <w:t>(3), (pp. 1–8). https://doi.org/10.1371/journal.pone.0120376</w:t>
      </w:r>
    </w:p>
    <w:p w14:paraId="22A65995" w14:textId="77777777" w:rsidR="00DD4E98" w:rsidRPr="008608AA" w:rsidRDefault="00DD4E98" w:rsidP="00DD4E98">
      <w:pPr>
        <w:widowControl w:val="0"/>
        <w:ind w:left="906" w:hangingChars="412" w:hanging="906"/>
        <w:contextualSpacing/>
      </w:pPr>
      <w:r w:rsidRPr="008608AA">
        <w:t xml:space="preserve">Vuille, M., Francou, B., Wagnon, P., Juen, I., Kaser, G., Mark, B. G., &amp; Bradley, R. S. (2008). Climate change and tropical Andean glaciers: Past, present and future. </w:t>
      </w:r>
      <w:r w:rsidRPr="008608AA">
        <w:rPr>
          <w:i/>
        </w:rPr>
        <w:t>Earth-Science Reviews</w:t>
      </w:r>
      <w:r w:rsidRPr="008608AA">
        <w:t xml:space="preserve">, </w:t>
      </w:r>
      <w:r w:rsidRPr="008608AA">
        <w:rPr>
          <w:i/>
        </w:rPr>
        <w:t>89</w:t>
      </w:r>
      <w:r w:rsidRPr="008608AA">
        <w:t>(3–4), (pp. 79–96). https://doi.org/10.1016/j.earscirev.2008.04.002</w:t>
      </w:r>
    </w:p>
    <w:p w14:paraId="62C77242" w14:textId="77777777" w:rsidR="00DD4E98" w:rsidRPr="008608AA" w:rsidRDefault="00DD4E98" w:rsidP="00DD4E98">
      <w:pPr>
        <w:widowControl w:val="0"/>
        <w:ind w:left="906" w:hangingChars="412" w:hanging="906"/>
        <w:contextualSpacing/>
      </w:pPr>
      <w:r w:rsidRPr="008608AA">
        <w:t xml:space="preserve">Wall, D. H., &amp; Six, J. (2015). Give soils their due. </w:t>
      </w:r>
      <w:r w:rsidRPr="008608AA">
        <w:rPr>
          <w:i/>
        </w:rPr>
        <w:t>Science</w:t>
      </w:r>
      <w:r w:rsidRPr="008608AA">
        <w:t xml:space="preserve">, </w:t>
      </w:r>
      <w:r w:rsidRPr="008608AA">
        <w:rPr>
          <w:i/>
        </w:rPr>
        <w:t>347</w:t>
      </w:r>
      <w:r w:rsidRPr="008608AA">
        <w:t>(6223), 695 LP-695. Retrieved from http://science.sciencemag.org/content/347/6223/695.abstract</w:t>
      </w:r>
    </w:p>
    <w:p w14:paraId="18773E1C" w14:textId="77777777" w:rsidR="00DD4E98" w:rsidRPr="008608AA" w:rsidRDefault="00DD4E98" w:rsidP="00DD4E98">
      <w:pPr>
        <w:widowControl w:val="0"/>
        <w:ind w:left="906" w:hangingChars="412" w:hanging="906"/>
        <w:contextualSpacing/>
      </w:pPr>
      <w:r w:rsidRPr="008608AA">
        <w:t xml:space="preserve">Wall, D. H., Nielsen, U. N., &amp; Six, J. (2015). Soil biodiversity and human health. </w:t>
      </w:r>
      <w:r w:rsidRPr="008608AA">
        <w:rPr>
          <w:i/>
        </w:rPr>
        <w:t>Nature</w:t>
      </w:r>
      <w:r w:rsidRPr="008608AA">
        <w:t xml:space="preserve">, </w:t>
      </w:r>
      <w:r w:rsidRPr="008608AA">
        <w:rPr>
          <w:i/>
        </w:rPr>
        <w:t>528</w:t>
      </w:r>
      <w:r w:rsidRPr="008608AA">
        <w:t>(7580), (pp. 69–76). Retrieved from http://dx.doi.org/10.1038/nature15744</w:t>
      </w:r>
    </w:p>
    <w:p w14:paraId="31967829" w14:textId="77777777" w:rsidR="00DD4E98" w:rsidRPr="008608AA" w:rsidRDefault="00DD4E98" w:rsidP="00DD4E98">
      <w:pPr>
        <w:widowControl w:val="0"/>
        <w:ind w:left="906" w:hangingChars="412" w:hanging="906"/>
        <w:contextualSpacing/>
      </w:pPr>
      <w:r w:rsidRPr="008608AA">
        <w:t xml:space="preserve">Wallmo, O. C. (1981). </w:t>
      </w:r>
      <w:r w:rsidRPr="008608AA">
        <w:rPr>
          <w:i/>
        </w:rPr>
        <w:t>Mule and Black-tailed Deer of North America: A wildlife management institute book</w:t>
      </w:r>
      <w:r w:rsidRPr="008608AA">
        <w:t>. University of Nebraska Press.</w:t>
      </w:r>
    </w:p>
    <w:p w14:paraId="748C9B60" w14:textId="77777777" w:rsidR="00DD4E98" w:rsidRPr="008608AA" w:rsidRDefault="00DD4E98" w:rsidP="00DD4E98">
      <w:pPr>
        <w:widowControl w:val="0"/>
        <w:ind w:left="906" w:hangingChars="412" w:hanging="906"/>
        <w:contextualSpacing/>
      </w:pPr>
      <w:r w:rsidRPr="008608AA">
        <w:t xml:space="preserve">Walsh, J. F., Molyneux, D. H., &amp; Birley, M. H. (1993). Deforestation: effects on vector-borne disease. </w:t>
      </w:r>
      <w:r w:rsidRPr="008608AA">
        <w:rPr>
          <w:i/>
        </w:rPr>
        <w:t>Parasitology</w:t>
      </w:r>
      <w:r w:rsidRPr="008608AA">
        <w:t xml:space="preserve">, </w:t>
      </w:r>
      <w:r w:rsidRPr="008608AA">
        <w:rPr>
          <w:i/>
        </w:rPr>
        <w:t>106</w:t>
      </w:r>
      <w:r w:rsidRPr="008608AA">
        <w:t>(S1), S55–S75. https://doi.org/10.1017/S0031182000086121</w:t>
      </w:r>
    </w:p>
    <w:p w14:paraId="5131B3F3" w14:textId="77777777" w:rsidR="00DD4E98" w:rsidRPr="008608AA" w:rsidRDefault="00DD4E98" w:rsidP="00DD4E98">
      <w:pPr>
        <w:widowControl w:val="0"/>
        <w:ind w:left="906" w:hangingChars="412" w:hanging="906"/>
        <w:contextualSpacing/>
      </w:pPr>
      <w:r w:rsidRPr="008608AA">
        <w:t xml:space="preserve">Walter, K. S., &amp; Gillett, H. J. (1998). </w:t>
      </w:r>
      <w:r w:rsidRPr="008608AA">
        <w:rPr>
          <w:i/>
        </w:rPr>
        <w:t>1997 IUCN red list of threatened plants</w:t>
      </w:r>
      <w:r w:rsidRPr="008608AA">
        <w:t>. Gland, Switzerland: IUCN - The World Conservation Union.</w:t>
      </w:r>
    </w:p>
    <w:p w14:paraId="7AD157B3" w14:textId="77777777" w:rsidR="00DD4E98" w:rsidRPr="00A3137A" w:rsidRDefault="00DD4E98" w:rsidP="00DD4E98">
      <w:pPr>
        <w:widowControl w:val="0"/>
        <w:ind w:left="906" w:hangingChars="412" w:hanging="906"/>
        <w:contextualSpacing/>
        <w:rPr>
          <w:lang w:val="fr-FR"/>
        </w:rPr>
      </w:pPr>
      <w:r w:rsidRPr="008608AA">
        <w:t xml:space="preserve">Wassenaar, T., Gerber, P., Verburg, P. H., Rosales, M., Ibrahim, M., &amp; Steinfeld, H. (2007). Projecting land use changes in the Neotropics: The geography of pasture expansion into forest. </w:t>
      </w:r>
      <w:r w:rsidRPr="00A3137A">
        <w:rPr>
          <w:i/>
          <w:lang w:val="fr-FR"/>
        </w:rPr>
        <w:t>Global Environmental Change</w:t>
      </w:r>
      <w:r w:rsidRPr="00A3137A">
        <w:rPr>
          <w:lang w:val="fr-FR"/>
        </w:rPr>
        <w:t xml:space="preserve">, </w:t>
      </w:r>
      <w:r w:rsidRPr="00A3137A">
        <w:rPr>
          <w:i/>
          <w:lang w:val="fr-FR"/>
        </w:rPr>
        <w:t>17</w:t>
      </w:r>
      <w:r w:rsidRPr="00A3137A">
        <w:rPr>
          <w:lang w:val="fr-FR"/>
        </w:rPr>
        <w:t>(1), (pp. 86–104). https://doi.org/10.1016/j.gloenvcha.2006.03.007</w:t>
      </w:r>
    </w:p>
    <w:p w14:paraId="4C1E79D8" w14:textId="77777777" w:rsidR="00DD4E98" w:rsidRPr="008608AA" w:rsidRDefault="00DD4E98" w:rsidP="00DD4E98">
      <w:pPr>
        <w:widowControl w:val="0"/>
        <w:ind w:left="906" w:hangingChars="412" w:hanging="906"/>
        <w:contextualSpacing/>
        <w:rPr>
          <w:noProof/>
        </w:rPr>
      </w:pPr>
      <w:r w:rsidRPr="00A3137A">
        <w:rPr>
          <w:lang w:val="fr-FR"/>
        </w:rPr>
        <w:t xml:space="preserve">WCPA. </w:t>
      </w:r>
      <w:r w:rsidRPr="008608AA">
        <w:t>(2012). Natural Solutions: Protected areas maintaining essential water supplies. Fact sheet. Gland, Switzerland: IUCN/World Commission on Protected Areas.</w:t>
      </w:r>
    </w:p>
    <w:p w14:paraId="48352B36" w14:textId="77777777" w:rsidR="00DD4E98" w:rsidRPr="008608AA" w:rsidRDefault="00DD4E98" w:rsidP="00DD4E98">
      <w:pPr>
        <w:widowControl w:val="0"/>
        <w:ind w:left="906" w:hangingChars="412" w:hanging="906"/>
        <w:contextualSpacing/>
      </w:pPr>
      <w:r w:rsidRPr="00A3137A">
        <w:rPr>
          <w:lang w:val="fr-FR"/>
        </w:rPr>
        <w:t xml:space="preserve">Webb, J., Coomes, O. T., Mainville, N., &amp; Mergler, D. (2015). </w:t>
      </w:r>
      <w:r w:rsidRPr="008608AA">
        <w:t xml:space="preserve">Mercury Contamination in an Indicator Fish Species from Andean Amazonian Rivers Affected by Petroleum Extraction. </w:t>
      </w:r>
      <w:r w:rsidRPr="008608AA">
        <w:rPr>
          <w:i/>
        </w:rPr>
        <w:t>Bulletin of Environmental Contamination and Toxicology</w:t>
      </w:r>
      <w:r w:rsidRPr="008608AA">
        <w:t xml:space="preserve">, </w:t>
      </w:r>
      <w:r w:rsidRPr="008608AA">
        <w:rPr>
          <w:i/>
        </w:rPr>
        <w:t>95</w:t>
      </w:r>
      <w:r w:rsidRPr="008608AA">
        <w:t>(3), (pp. 279–285). https://doi.org/10.1007/s00128-015-1588-3</w:t>
      </w:r>
    </w:p>
    <w:p w14:paraId="3AC784FE" w14:textId="77777777" w:rsidR="00DD4E98" w:rsidRPr="008608AA" w:rsidRDefault="00DD4E98" w:rsidP="00DD4E98">
      <w:pPr>
        <w:widowControl w:val="0"/>
        <w:ind w:left="906" w:hangingChars="412" w:hanging="906"/>
        <w:contextualSpacing/>
      </w:pPr>
      <w:r w:rsidRPr="008608AA">
        <w:t xml:space="preserve">Webber, L., Kilpi, F., Marsh, T., Rtveladze, K., Brown, M., &amp; Mcpherson, K. (2012). High Rates of Obesity and Non-Communicable Diseases Predicted across Latin America. </w:t>
      </w:r>
      <w:r w:rsidRPr="008608AA">
        <w:rPr>
          <w:i/>
        </w:rPr>
        <w:t>PLoS ONE</w:t>
      </w:r>
      <w:r w:rsidRPr="008608AA">
        <w:t xml:space="preserve">, </w:t>
      </w:r>
      <w:r w:rsidRPr="008608AA">
        <w:rPr>
          <w:i/>
        </w:rPr>
        <w:t>7</w:t>
      </w:r>
      <w:r w:rsidRPr="008608AA">
        <w:t>(8), (pp. 1–6). https://doi.org/10.1371/journal.pone.0039589</w:t>
      </w:r>
    </w:p>
    <w:p w14:paraId="1345DDF7" w14:textId="77777777" w:rsidR="00DD4E98" w:rsidRPr="008608AA" w:rsidRDefault="00DD4E98" w:rsidP="00DD4E98">
      <w:pPr>
        <w:widowControl w:val="0"/>
        <w:ind w:left="906" w:hangingChars="412" w:hanging="906"/>
        <w:contextualSpacing/>
        <w:rPr>
          <w:lang w:val="en-GB"/>
        </w:rPr>
      </w:pPr>
      <w:r w:rsidRPr="008608AA">
        <w:t xml:space="preserve">Weeratunge, N., Béné, C., Siriwardane, R., Charles, A., Johnson, D., Allison, E. H., Nayak, P. K., &amp; Badjeck, M.-C. (2014). Small-scale fisheries through the wellbeing lens. </w:t>
      </w:r>
      <w:r w:rsidRPr="008608AA">
        <w:rPr>
          <w:i/>
          <w:iCs/>
        </w:rPr>
        <w:t>Fish and Fisheries</w:t>
      </w:r>
      <w:r w:rsidRPr="008608AA">
        <w:t xml:space="preserve">, </w:t>
      </w:r>
      <w:r w:rsidRPr="008608AA">
        <w:rPr>
          <w:i/>
          <w:iCs/>
        </w:rPr>
        <w:t>15</w:t>
      </w:r>
      <w:r w:rsidRPr="008608AA">
        <w:t>(2), 255–279. https://doi.org/10.1111/faf.12016</w:t>
      </w:r>
    </w:p>
    <w:p w14:paraId="7A611076" w14:textId="77777777" w:rsidR="00DD4E98" w:rsidRPr="008608AA" w:rsidRDefault="00DD4E98" w:rsidP="00DD4E98">
      <w:pPr>
        <w:widowControl w:val="0"/>
        <w:ind w:left="906" w:hangingChars="412" w:hanging="906"/>
        <w:contextualSpacing/>
      </w:pPr>
      <w:r w:rsidRPr="008608AA">
        <w:t xml:space="preserve">Wentz, D. A., Brigham, M. E., Chasar, L. C., Lutz, M. A., &amp; Krabbenhoft, D. P. (2014). </w:t>
      </w:r>
      <w:r w:rsidRPr="008608AA">
        <w:rPr>
          <w:i/>
        </w:rPr>
        <w:t>Mercury in the Nation ’ s Streams — Levels , Trends , and Implications</w:t>
      </w:r>
      <w:r w:rsidRPr="008608AA">
        <w:t>. Reston, Virginia. https://doi.org/10.3133/cir1395</w:t>
      </w:r>
    </w:p>
    <w:p w14:paraId="78C186DC" w14:textId="77777777" w:rsidR="00DD4E98" w:rsidRPr="008608AA" w:rsidRDefault="00DD4E98" w:rsidP="00DD4E98">
      <w:pPr>
        <w:widowControl w:val="0"/>
        <w:ind w:left="906" w:hangingChars="412" w:hanging="906"/>
        <w:contextualSpacing/>
        <w:rPr>
          <w:lang w:val="es-CO"/>
        </w:rPr>
      </w:pPr>
      <w:r w:rsidRPr="008608AA">
        <w:t xml:space="preserve">Werden, L., Barker, I. K., Bowman, J., Gonzales, E. K., Leighton, P. A., Lindsay, L. R., &amp; Jardine, C. M. (2014). Geography, Deer, and Host Biodiversity Shape the Pattern of Lyme Disease Emergence in the Thousand Islands Archipelago of Ontario, Canada. </w:t>
      </w:r>
      <w:r w:rsidRPr="008608AA">
        <w:rPr>
          <w:i/>
          <w:lang w:val="es-CO"/>
        </w:rPr>
        <w:t>PLoS ONE</w:t>
      </w:r>
      <w:r w:rsidRPr="008608AA">
        <w:rPr>
          <w:lang w:val="es-CO"/>
        </w:rPr>
        <w:t xml:space="preserve">, </w:t>
      </w:r>
      <w:r w:rsidRPr="008608AA">
        <w:rPr>
          <w:i/>
          <w:lang w:val="es-CO"/>
        </w:rPr>
        <w:t>9</w:t>
      </w:r>
      <w:r w:rsidRPr="008608AA">
        <w:rPr>
          <w:lang w:val="es-CO"/>
        </w:rPr>
        <w:t>(1), e85640. https://doi.org/10.1371/journal.pone.0085640</w:t>
      </w:r>
    </w:p>
    <w:p w14:paraId="335F99D6" w14:textId="77777777" w:rsidR="00DD4E98" w:rsidRPr="008608AA" w:rsidRDefault="00DD4E98" w:rsidP="00DD4E98">
      <w:pPr>
        <w:widowControl w:val="0"/>
        <w:ind w:left="906" w:hangingChars="412" w:hanging="906"/>
        <w:contextualSpacing/>
      </w:pPr>
      <w:r w:rsidRPr="008608AA">
        <w:rPr>
          <w:lang w:val="es-AR"/>
        </w:rPr>
        <w:t xml:space="preserve">Weyland, F. and Zaccagnini, M.E. (2008) Efecto de las terrazas sobre la diversidad de artrópodos caminadores en cultivos de soja. </w:t>
      </w:r>
      <w:r w:rsidRPr="008608AA">
        <w:t>Ecología Austral 18: 357-366.</w:t>
      </w:r>
    </w:p>
    <w:p w14:paraId="759D8094" w14:textId="77777777" w:rsidR="00DD4E98" w:rsidRPr="008608AA" w:rsidRDefault="00DD4E98" w:rsidP="00DD4E98">
      <w:pPr>
        <w:widowControl w:val="0"/>
        <w:ind w:left="906" w:hangingChars="412" w:hanging="906"/>
        <w:contextualSpacing/>
      </w:pPr>
      <w:r w:rsidRPr="008608AA">
        <w:t xml:space="preserve">White, C. L., &amp; Thompson, J. (1955). The Llanos: A Resource Neglected. </w:t>
      </w:r>
      <w:r w:rsidRPr="008608AA">
        <w:rPr>
          <w:i/>
        </w:rPr>
        <w:t>Journal of Range Management</w:t>
      </w:r>
      <w:r w:rsidRPr="008608AA">
        <w:t xml:space="preserve">, </w:t>
      </w:r>
      <w:r w:rsidRPr="008608AA">
        <w:rPr>
          <w:i/>
        </w:rPr>
        <w:t>8</w:t>
      </w:r>
      <w:r w:rsidRPr="008608AA">
        <w:t>, 11–17.</w:t>
      </w:r>
    </w:p>
    <w:p w14:paraId="365AA5CD" w14:textId="77777777" w:rsidR="00DD4E98" w:rsidRPr="008608AA" w:rsidRDefault="00DD4E98" w:rsidP="00DD4E98">
      <w:pPr>
        <w:widowControl w:val="0"/>
        <w:ind w:left="906" w:hangingChars="412" w:hanging="906"/>
        <w:contextualSpacing/>
      </w:pPr>
      <w:r w:rsidRPr="008608AA">
        <w:t xml:space="preserve">White, R., Murray, S., &amp; Rohweder, M. (2000). </w:t>
      </w:r>
      <w:r w:rsidRPr="008608AA">
        <w:rPr>
          <w:i/>
        </w:rPr>
        <w:t>Pilot Analysis of Global Ecosystems: Grassland Ecosystems.</w:t>
      </w:r>
      <w:r w:rsidRPr="008608AA">
        <w:t xml:space="preserve"> </w:t>
      </w:r>
      <w:r w:rsidRPr="008608AA">
        <w:rPr>
          <w:i/>
        </w:rPr>
        <w:t>World Resources Institute</w:t>
      </w:r>
      <w:r w:rsidRPr="008608AA">
        <w:t>. https://doi.org/10.1021/es0032881</w:t>
      </w:r>
    </w:p>
    <w:p w14:paraId="4E978303" w14:textId="77777777" w:rsidR="00DD4E98" w:rsidRPr="008608AA" w:rsidRDefault="00DD4E98" w:rsidP="00DD4E98">
      <w:pPr>
        <w:widowControl w:val="0"/>
        <w:ind w:left="906" w:hangingChars="412" w:hanging="906"/>
        <w:contextualSpacing/>
      </w:pPr>
      <w:r w:rsidRPr="008608AA">
        <w:t xml:space="preserve">White, R.G. Thomson, B.R. Skogland, T. Person, S.J. Russell, D.E. Holleman, D.F. Luick, J. R. (1975). Ecology of caribou at Prudhoe Bay, Alaska. In J. Brown (Ed.), </w:t>
      </w:r>
      <w:r w:rsidRPr="008608AA">
        <w:rPr>
          <w:i/>
        </w:rPr>
        <w:t>Ecological Investigations of the Tundra Biome in theprudhoe Bay Region, Alaska.</w:t>
      </w:r>
      <w:r w:rsidRPr="008608AA">
        <w:t xml:space="preserve"> (pp. 150–210). Fairbanks, Alaska: University of Alaska.</w:t>
      </w:r>
    </w:p>
    <w:p w14:paraId="2589E641" w14:textId="77777777" w:rsidR="00DD4E98" w:rsidRPr="008608AA" w:rsidRDefault="00DD4E98" w:rsidP="00DD4E98">
      <w:pPr>
        <w:widowControl w:val="0"/>
        <w:ind w:left="906" w:hangingChars="412" w:hanging="906"/>
        <w:contextualSpacing/>
      </w:pPr>
      <w:r w:rsidRPr="008608AA">
        <w:t xml:space="preserve">Whiteman, A., Wickramasinghe, A., &amp; Piña, L. (2015). Global trends in forest ownership, public income and expenditure on forestry and forestry employment. </w:t>
      </w:r>
      <w:r w:rsidRPr="008608AA">
        <w:rPr>
          <w:i/>
        </w:rPr>
        <w:t>Forest Ecology and Management</w:t>
      </w:r>
      <w:r w:rsidRPr="008608AA">
        <w:t xml:space="preserve">, </w:t>
      </w:r>
      <w:r w:rsidRPr="008608AA">
        <w:rPr>
          <w:i/>
        </w:rPr>
        <w:t>352</w:t>
      </w:r>
      <w:r w:rsidRPr="008608AA">
        <w:t>, (pp. 99–108). https://doi.org/10.1016/j.foreco.2015.04.011</w:t>
      </w:r>
    </w:p>
    <w:p w14:paraId="36530F20" w14:textId="77777777" w:rsidR="00DD4E98" w:rsidRPr="008608AA" w:rsidRDefault="00DD4E98" w:rsidP="00DD4E98">
      <w:pPr>
        <w:widowControl w:val="0"/>
        <w:ind w:left="906" w:hangingChars="412" w:hanging="906"/>
        <w:contextualSpacing/>
      </w:pPr>
      <w:r w:rsidRPr="00A3137A">
        <w:rPr>
          <w:lang w:val="fr-FR"/>
        </w:rPr>
        <w:t xml:space="preserve">Wilcox, B. A., &amp; Ellis, B. (2006). </w:t>
      </w:r>
      <w:r w:rsidRPr="008608AA">
        <w:t xml:space="preserve">Forests and emerging infectious diseases of humans. </w:t>
      </w:r>
      <w:r w:rsidRPr="008608AA">
        <w:rPr>
          <w:i/>
        </w:rPr>
        <w:t>Unasylva</w:t>
      </w:r>
      <w:r w:rsidRPr="008608AA">
        <w:t xml:space="preserve">, </w:t>
      </w:r>
      <w:r w:rsidRPr="008608AA">
        <w:rPr>
          <w:i/>
        </w:rPr>
        <w:t>57</w:t>
      </w:r>
      <w:r w:rsidRPr="008608AA">
        <w:t>(224), (pp. 11–18).</w:t>
      </w:r>
    </w:p>
    <w:p w14:paraId="2B780B5A" w14:textId="77777777" w:rsidR="00DD4E98" w:rsidRPr="008608AA" w:rsidRDefault="00DD4E98" w:rsidP="00DD4E98">
      <w:pPr>
        <w:widowControl w:val="0"/>
        <w:ind w:left="906" w:hangingChars="412" w:hanging="906"/>
        <w:contextualSpacing/>
      </w:pPr>
      <w:r w:rsidRPr="008608AA">
        <w:t xml:space="preserve">Willer, H. and Lernoud, J. (Eds). (2017). </w:t>
      </w:r>
      <w:r w:rsidRPr="008608AA">
        <w:rPr>
          <w:i/>
        </w:rPr>
        <w:t>The World of Organic Agriculture. Statistics and Emerging Trends</w:t>
      </w:r>
      <w:r w:rsidRPr="008608AA">
        <w:t>. Bonn, Germany.</w:t>
      </w:r>
    </w:p>
    <w:p w14:paraId="37585589"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Willis, K. J. (ed. . (2017). </w:t>
      </w:r>
      <w:r w:rsidRPr="008608AA">
        <w:rPr>
          <w:i/>
          <w:iCs/>
          <w:noProof/>
        </w:rPr>
        <w:t>State of the World’s Plants 2017</w:t>
      </w:r>
      <w:r w:rsidRPr="008608AA">
        <w:rPr>
          <w:noProof/>
        </w:rPr>
        <w:t>. Royal Botanic Gardens Kew. https://doi.org/978-1-84246-628-5</w:t>
      </w:r>
    </w:p>
    <w:p w14:paraId="52D63A71" w14:textId="77777777" w:rsidR="00DD4E98" w:rsidRPr="008608AA" w:rsidRDefault="00DD4E98" w:rsidP="00DD4E98">
      <w:pPr>
        <w:widowControl w:val="0"/>
        <w:ind w:left="906" w:hangingChars="412" w:hanging="906"/>
        <w:contextualSpacing/>
      </w:pPr>
      <w:r w:rsidRPr="008608AA">
        <w:t xml:space="preserve">Wilson, D. E., &amp; Ruff, S. (1999). </w:t>
      </w:r>
      <w:r w:rsidRPr="008608AA">
        <w:rPr>
          <w:i/>
        </w:rPr>
        <w:t>The Smithsonian Book of North American Mammals</w:t>
      </w:r>
      <w:r w:rsidRPr="008608AA">
        <w:t>. (D. E. Wilson &amp; S. Ruff, Eds.). Vancouver, BC: University of British Columbia Press.</w:t>
      </w:r>
    </w:p>
    <w:p w14:paraId="7F8CDA70" w14:textId="77777777" w:rsidR="00DD4E98" w:rsidRPr="008608AA" w:rsidRDefault="00DD4E98" w:rsidP="00DD4E98">
      <w:pPr>
        <w:widowControl w:val="0"/>
        <w:ind w:left="906" w:hangingChars="412" w:hanging="906"/>
        <w:contextualSpacing/>
      </w:pPr>
      <w:r w:rsidRPr="008608AA">
        <w:t xml:space="preserve">Wilson, E. O. (1988). </w:t>
      </w:r>
      <w:r w:rsidRPr="008608AA">
        <w:rPr>
          <w:i/>
        </w:rPr>
        <w:t>Biodiversity</w:t>
      </w:r>
      <w:r w:rsidRPr="008608AA">
        <w:t xml:space="preserve">. </w:t>
      </w:r>
      <w:r w:rsidRPr="008608AA">
        <w:rPr>
          <w:i/>
        </w:rPr>
        <w:t>Biodiversity</w:t>
      </w:r>
      <w:r w:rsidRPr="008608AA">
        <w:t xml:space="preserve">. </w:t>
      </w:r>
      <w:r w:rsidRPr="008608AA">
        <w:rPr>
          <w:i/>
        </w:rPr>
        <w:t>National Academies Press</w:t>
      </w:r>
      <w:r w:rsidRPr="008608AA">
        <w:t>. https://doi.org/10.1111/j.1523-1739.1990.tb00309.x</w:t>
      </w:r>
    </w:p>
    <w:p w14:paraId="59A4EF46" w14:textId="77777777" w:rsidR="00DD4E98" w:rsidRPr="008608AA" w:rsidRDefault="00DD4E98" w:rsidP="00DD4E98">
      <w:pPr>
        <w:widowControl w:val="0"/>
        <w:ind w:left="906" w:hangingChars="412" w:hanging="906"/>
        <w:contextualSpacing/>
        <w:rPr>
          <w:lang w:val="en-GB"/>
        </w:rPr>
      </w:pPr>
      <w:r w:rsidRPr="008608AA">
        <w:t xml:space="preserve">Wittman, H., Chappell, M. J., Abson, D. J., Kerr, R. B., Blesh, J., Hanspach, J., Perfecto, I., &amp; Fischer, J. (2017). A social–ecological perspective on harmonizing food security and biodiversity conservation. </w:t>
      </w:r>
      <w:r w:rsidRPr="008608AA">
        <w:rPr>
          <w:i/>
          <w:iCs/>
        </w:rPr>
        <w:t>Regional Environmental Change</w:t>
      </w:r>
      <w:r w:rsidRPr="008608AA">
        <w:t xml:space="preserve">, </w:t>
      </w:r>
      <w:r w:rsidRPr="008608AA">
        <w:rPr>
          <w:i/>
          <w:iCs/>
        </w:rPr>
        <w:t>17</w:t>
      </w:r>
      <w:r w:rsidRPr="008608AA">
        <w:t>(5), 1291–1301. https://doi.org/10.1007/s10113-016-1045-9</w:t>
      </w:r>
    </w:p>
    <w:p w14:paraId="277C428C" w14:textId="77777777" w:rsidR="00DD4E98" w:rsidRPr="008608AA" w:rsidRDefault="00DD4E98" w:rsidP="00DD4E98">
      <w:pPr>
        <w:widowControl w:val="0"/>
        <w:ind w:left="906" w:hangingChars="412" w:hanging="906"/>
        <w:contextualSpacing/>
      </w:pPr>
      <w:r w:rsidRPr="008608AA">
        <w:t xml:space="preserve">Wood, C. L., Lafferty, K. D., DeLeo, G., Young, H. S., Hudson, P. J., &amp; Kuris, A. M. (2014). Does biodiversity protect humans against infectious disease? </w:t>
      </w:r>
      <w:r w:rsidRPr="008608AA">
        <w:rPr>
          <w:i/>
        </w:rPr>
        <w:t>Ecology</w:t>
      </w:r>
      <w:r w:rsidRPr="008608AA">
        <w:t xml:space="preserve">, </w:t>
      </w:r>
      <w:r w:rsidRPr="008608AA">
        <w:rPr>
          <w:i/>
        </w:rPr>
        <w:t>95</w:t>
      </w:r>
      <w:r w:rsidRPr="008608AA">
        <w:t>(4), (pp. 817–832). https://doi.org/10.1890/13-1041.1</w:t>
      </w:r>
    </w:p>
    <w:p w14:paraId="6511C0D6" w14:textId="77777777" w:rsidR="00DD4E98" w:rsidRPr="008608AA" w:rsidRDefault="00DD4E98" w:rsidP="00DD4E98">
      <w:pPr>
        <w:widowControl w:val="0"/>
        <w:ind w:left="906" w:hangingChars="412" w:hanging="906"/>
        <w:contextualSpacing/>
      </w:pPr>
      <w:r w:rsidRPr="008608AA">
        <w:t xml:space="preserve">Woodward, R. T., &amp; Wui, Y.-S. (2001). The economic value of wetland services: a meta-analysis. </w:t>
      </w:r>
      <w:r w:rsidRPr="008608AA">
        <w:rPr>
          <w:i/>
        </w:rPr>
        <w:t>Ecological Economics</w:t>
      </w:r>
      <w:r w:rsidRPr="008608AA">
        <w:t xml:space="preserve">, </w:t>
      </w:r>
      <w:r w:rsidRPr="008608AA">
        <w:rPr>
          <w:i/>
        </w:rPr>
        <w:t>37</w:t>
      </w:r>
      <w:r w:rsidRPr="008608AA">
        <w:t>(2), (pp. 257–270). https://doi.org/https://doi.org/10.1016/S0921-8009(00)00276-7</w:t>
      </w:r>
    </w:p>
    <w:p w14:paraId="751FB29F" w14:textId="77777777" w:rsidR="00DD4E98" w:rsidRPr="008608AA" w:rsidRDefault="00DD4E98" w:rsidP="00DD4E98">
      <w:pPr>
        <w:widowControl w:val="0"/>
        <w:autoSpaceDE w:val="0"/>
        <w:autoSpaceDN w:val="0"/>
        <w:adjustRightInd w:val="0"/>
        <w:ind w:left="906" w:hangingChars="412" w:hanging="906"/>
      </w:pPr>
      <w:r w:rsidRPr="008608AA">
        <w:t>World Bank (2017a). World Development Indicators. Indicator: Energy Use Per Capita. https://data.worldbank.org/indicator (Energy &amp; Mining – Energy use)</w:t>
      </w:r>
    </w:p>
    <w:p w14:paraId="5C1478A5" w14:textId="77777777" w:rsidR="00DD4E98" w:rsidRPr="008608AA" w:rsidRDefault="00DD4E98" w:rsidP="00DD4E98">
      <w:pPr>
        <w:widowControl w:val="0"/>
        <w:autoSpaceDE w:val="0"/>
        <w:autoSpaceDN w:val="0"/>
        <w:adjustRightInd w:val="0"/>
        <w:ind w:left="906" w:hangingChars="412" w:hanging="906"/>
        <w:rPr>
          <w:rStyle w:val="tl8wme"/>
        </w:rPr>
      </w:pPr>
      <w:r w:rsidRPr="008608AA">
        <w:t xml:space="preserve">World Bank 2017. World Development Indicators, https://data.worldbank.org/data-catalog/ world-development-indicators. Renewable internal freshwater resources per capita (cubic meters). </w:t>
      </w:r>
      <w:r w:rsidRPr="008608AA">
        <w:rPr>
          <w:rStyle w:val="tl8wme"/>
        </w:rPr>
        <w:t>Last updated: January 3, 2017.</w:t>
      </w:r>
    </w:p>
    <w:p w14:paraId="18652796" w14:textId="77777777" w:rsidR="00DD4E98" w:rsidRPr="008608AA" w:rsidRDefault="00DD4E98" w:rsidP="00DD4E98">
      <w:pPr>
        <w:widowControl w:val="0"/>
        <w:ind w:left="906" w:hangingChars="412" w:hanging="906"/>
        <w:contextualSpacing/>
      </w:pPr>
      <w:r w:rsidRPr="008608AA">
        <w:t>World Bank, IUCN, ESA, PWA. (2010). Capturing and conserving natural coastal carbon: Building mitigation, advancing adaptation. World Bank/ IUCN/ESA PWA.</w:t>
      </w:r>
    </w:p>
    <w:p w14:paraId="7BAC7091"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World Bank. (2017b). Terrestrial protected areas (% of total land area). 1990-2016. Retrieved December 15, 2018, from http://data.worldbank.org/indicator/ER.LND.PTLD.ZS</w:t>
      </w:r>
    </w:p>
    <w:p w14:paraId="21676B08"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World Bank. (2017c). Terrestrial and marine protected areas (% of total territorial area). Retrieved December 15, 2017, from https://data.worldbank.org/indicator/ER.PTD.TOTL.ZS</w:t>
      </w:r>
    </w:p>
    <w:p w14:paraId="1781CB3B" w14:textId="77777777" w:rsidR="00DD4E98" w:rsidRPr="008608AA" w:rsidRDefault="00DD4E98" w:rsidP="00DD4E98">
      <w:pPr>
        <w:widowControl w:val="0"/>
        <w:ind w:left="906" w:hangingChars="412" w:hanging="906"/>
        <w:contextualSpacing/>
        <w:rPr>
          <w:i/>
        </w:rPr>
      </w:pPr>
      <w:r w:rsidRPr="008608AA">
        <w:t xml:space="preserve">World Cancer Research Fund International. (2014). </w:t>
      </w:r>
      <w:r w:rsidRPr="008608AA">
        <w:rPr>
          <w:i/>
        </w:rPr>
        <w:t>The link between food , nutrition , diet and non-communicable diseases. London: World Cancer Research Fund International and the NCD Alliance.</w:t>
      </w:r>
    </w:p>
    <w:p w14:paraId="695E482F" w14:textId="77777777" w:rsidR="00DD4E98" w:rsidRPr="008608AA" w:rsidRDefault="00DD4E98" w:rsidP="00DD4E98">
      <w:pPr>
        <w:widowControl w:val="0"/>
        <w:ind w:left="906" w:hangingChars="412" w:hanging="906"/>
        <w:contextualSpacing/>
      </w:pPr>
      <w:r w:rsidRPr="008608AA">
        <w:t xml:space="preserve">World Health Organization &amp; Secretariat of the Convention on Biological Diversity. (2015). </w:t>
      </w:r>
      <w:r w:rsidRPr="008608AA">
        <w:rPr>
          <w:i/>
        </w:rPr>
        <w:t>Connecting Global Priorities : Biodiversity and Human Health A state of Knowledge Review</w:t>
      </w:r>
      <w:r w:rsidRPr="008608AA">
        <w:t>. Geneva Switzerland. Retrieved from www.who.int</w:t>
      </w:r>
    </w:p>
    <w:p w14:paraId="6104244A" w14:textId="77777777" w:rsidR="00DD4E98" w:rsidRPr="008608AA" w:rsidRDefault="00DD4E98" w:rsidP="00DD4E98">
      <w:pPr>
        <w:widowControl w:val="0"/>
        <w:ind w:left="906" w:hangingChars="412" w:hanging="906"/>
        <w:contextualSpacing/>
      </w:pPr>
      <w:r w:rsidRPr="008608AA">
        <w:t xml:space="preserve">World Health Organization (WHO). (2002). </w:t>
      </w:r>
      <w:r w:rsidRPr="008608AA">
        <w:rPr>
          <w:i/>
        </w:rPr>
        <w:t>WHO Traditional Medicine Strategy 2002-2005</w:t>
      </w:r>
      <w:r w:rsidRPr="008608AA">
        <w:t xml:space="preserve">. </w:t>
      </w:r>
      <w:r w:rsidRPr="008608AA">
        <w:rPr>
          <w:i/>
        </w:rPr>
        <w:t>World Health Organisation Geneva</w:t>
      </w:r>
      <w:r w:rsidRPr="008608AA">
        <w:t>. Geneva Switzerland: World Health Organization (WHO). https://doi.org/WHO/EDM/TRM/2002.1</w:t>
      </w:r>
    </w:p>
    <w:p w14:paraId="76F11654" w14:textId="77777777" w:rsidR="00DD4E98" w:rsidRPr="008608AA" w:rsidRDefault="00DD4E98" w:rsidP="00DD4E98">
      <w:pPr>
        <w:widowControl w:val="0"/>
        <w:ind w:left="906" w:hangingChars="412" w:hanging="906"/>
        <w:contextualSpacing/>
      </w:pPr>
      <w:r w:rsidRPr="008608AA">
        <w:t xml:space="preserve">World Health Organization (WHO). (2008). </w:t>
      </w:r>
      <w:r w:rsidRPr="008608AA">
        <w:rPr>
          <w:i/>
        </w:rPr>
        <w:t>World Water Day Report</w:t>
      </w:r>
      <w:r w:rsidRPr="008608AA">
        <w:t>. Geneva Switzerland. Retrieved from http://www.who.int/water_sanitation_health/takingcharge.html</w:t>
      </w:r>
    </w:p>
    <w:p w14:paraId="19F2807D" w14:textId="77777777" w:rsidR="00DD4E98" w:rsidRPr="008608AA" w:rsidRDefault="00DD4E98" w:rsidP="00DD4E98">
      <w:pPr>
        <w:widowControl w:val="0"/>
        <w:ind w:left="906" w:hangingChars="412" w:hanging="906"/>
        <w:contextualSpacing/>
      </w:pPr>
      <w:r w:rsidRPr="008608AA">
        <w:t xml:space="preserve">World Health Organization (WHO). (2013). </w:t>
      </w:r>
      <w:r w:rsidRPr="008608AA">
        <w:rPr>
          <w:i/>
        </w:rPr>
        <w:t>WHO Traditional Medicine Strategy 2014-2023</w:t>
      </w:r>
      <w:r w:rsidRPr="008608AA">
        <w:t>. Geneva Switzerland. https://doi.org/2013</w:t>
      </w:r>
    </w:p>
    <w:p w14:paraId="07380B83" w14:textId="77777777" w:rsidR="00DD4E98" w:rsidRPr="008608AA" w:rsidRDefault="00DD4E98" w:rsidP="00DD4E98">
      <w:pPr>
        <w:widowControl w:val="0"/>
        <w:ind w:left="906" w:hangingChars="412" w:hanging="906"/>
        <w:contextualSpacing/>
      </w:pPr>
      <w:r w:rsidRPr="008608AA">
        <w:t xml:space="preserve">World Health Organization (WHO). (2016a). </w:t>
      </w:r>
      <w:r w:rsidRPr="008608AA">
        <w:rPr>
          <w:i/>
        </w:rPr>
        <w:t>Achieving the 2030 Target, 2030</w:t>
      </w:r>
      <w:r w:rsidRPr="008608AA">
        <w:t>. Retrieved from http://www.who.int/gho/publications/world_health_statistics/2016/whs2016_AnnexA_SexualReprodHealth.pdf. Accessed on 22nd September, 2016</w:t>
      </w:r>
    </w:p>
    <w:p w14:paraId="0C1E5ABD" w14:textId="77777777" w:rsidR="00DD4E98" w:rsidRPr="008608AA" w:rsidRDefault="00DD4E98" w:rsidP="00DD4E98">
      <w:pPr>
        <w:widowControl w:val="0"/>
        <w:ind w:left="906" w:hangingChars="412" w:hanging="906"/>
        <w:contextualSpacing/>
      </w:pPr>
      <w:r w:rsidRPr="008608AA">
        <w:t xml:space="preserve">World Health Organization (WHO). (2016c). </w:t>
      </w:r>
      <w:r w:rsidRPr="008608AA">
        <w:rPr>
          <w:i/>
        </w:rPr>
        <w:t>MCEE-WHO methods and data sources for child causes of death 2000-2015</w:t>
      </w:r>
      <w:r w:rsidRPr="008608AA">
        <w:t xml:space="preserve">. </w:t>
      </w:r>
      <w:r w:rsidRPr="008608AA">
        <w:rPr>
          <w:i/>
        </w:rPr>
        <w:t>Global Health Estimates Technical Paper</w:t>
      </w:r>
      <w:r w:rsidRPr="008608AA">
        <w:t xml:space="preserve"> (Vol. 1). Retrieved from http://www.who.int/healthinfo/global_burden_disease/en/</w:t>
      </w:r>
    </w:p>
    <w:p w14:paraId="038BB657" w14:textId="77777777" w:rsidR="00DD4E98" w:rsidRPr="008608AA" w:rsidRDefault="00DD4E98" w:rsidP="00DD4E98">
      <w:pPr>
        <w:widowControl w:val="0"/>
        <w:ind w:left="906" w:hangingChars="412" w:hanging="906"/>
        <w:contextualSpacing/>
      </w:pPr>
      <w:r w:rsidRPr="008608AA">
        <w:t xml:space="preserve">World Health Organization (WHO). (2017). </w:t>
      </w:r>
      <w:r w:rsidRPr="008608AA">
        <w:rPr>
          <w:i/>
        </w:rPr>
        <w:t>Global Health Observatory Data Repository</w:t>
      </w:r>
      <w:r w:rsidRPr="008608AA">
        <w:t>. Retrieved October 24, 2017, from //apps.who.int/ghoen/data/view.main.CTRY2450A?lang=</w:t>
      </w:r>
    </w:p>
    <w:p w14:paraId="21DEEB7E" w14:textId="77777777" w:rsidR="00DD4E98" w:rsidRPr="008608AA" w:rsidRDefault="00DD4E98" w:rsidP="00DD4E98">
      <w:pPr>
        <w:widowControl w:val="0"/>
        <w:ind w:left="906" w:hangingChars="412" w:hanging="906"/>
        <w:contextualSpacing/>
      </w:pPr>
      <w:r w:rsidRPr="008608AA">
        <w:t xml:space="preserve">World Health Organization. (2006). </w:t>
      </w:r>
      <w:r w:rsidRPr="008608AA">
        <w:rPr>
          <w:i/>
        </w:rPr>
        <w:t>WHO Air quality guidelines for particulate matter, ozone, nitrogen dioxide and sulfur dioxide: global update 2005: summary of risk assessment</w:t>
      </w:r>
      <w:r w:rsidRPr="008608AA">
        <w:t xml:space="preserve">. </w:t>
      </w:r>
      <w:r w:rsidRPr="008608AA">
        <w:rPr>
          <w:i/>
        </w:rPr>
        <w:t>Geneva: World Health Organization</w:t>
      </w:r>
      <w:r w:rsidRPr="008608AA">
        <w:t>, (pp. 1–22). https://doi.org/10.1016/0004-6981(88)90109-6</w:t>
      </w:r>
    </w:p>
    <w:p w14:paraId="7FFD09FA" w14:textId="77777777" w:rsidR="00DD4E98" w:rsidRPr="008608AA" w:rsidRDefault="00DD4E98" w:rsidP="00DD4E98">
      <w:pPr>
        <w:widowControl w:val="0"/>
        <w:autoSpaceDE w:val="0"/>
        <w:autoSpaceDN w:val="0"/>
        <w:adjustRightInd w:val="0"/>
        <w:ind w:left="906" w:hangingChars="412" w:hanging="906"/>
        <w:rPr>
          <w:noProof/>
        </w:rPr>
      </w:pPr>
      <w:r w:rsidRPr="008608AA">
        <w:rPr>
          <w:noProof/>
        </w:rPr>
        <w:t xml:space="preserve">World Meteorological Organization. (2012). The State of Greenhouse Gases in the Atmosphere Based on Global Observations through 2011. </w:t>
      </w:r>
      <w:r w:rsidRPr="008608AA">
        <w:rPr>
          <w:i/>
          <w:iCs/>
          <w:noProof/>
        </w:rPr>
        <w:t>GREENHOUSE GAS BULLETIN</w:t>
      </w:r>
      <w:r w:rsidRPr="008608AA">
        <w:rPr>
          <w:noProof/>
        </w:rPr>
        <w:t xml:space="preserve">, </w:t>
      </w:r>
      <w:r w:rsidRPr="008608AA">
        <w:rPr>
          <w:i/>
          <w:iCs/>
          <w:noProof/>
        </w:rPr>
        <w:t>8</w:t>
      </w:r>
      <w:r w:rsidRPr="008608AA">
        <w:rPr>
          <w:noProof/>
        </w:rPr>
        <w:t>.</w:t>
      </w:r>
    </w:p>
    <w:p w14:paraId="2974A76B" w14:textId="77777777" w:rsidR="00DD4E98" w:rsidRPr="008608AA" w:rsidRDefault="00DD4E98" w:rsidP="00DD4E98">
      <w:pPr>
        <w:widowControl w:val="0"/>
        <w:ind w:left="906" w:hangingChars="412" w:hanging="906"/>
        <w:contextualSpacing/>
        <w:rPr>
          <w:lang w:val="en-GB"/>
        </w:rPr>
      </w:pPr>
      <w:r w:rsidRPr="008608AA">
        <w:t xml:space="preserve">Worm, B., Barbier, E. B., Beaumont, N., Duffy, J. E., Folke, C., Halpern, B. S., Jackson, J. B., Lotze, H. K., Micheli, F., &amp; Palumbi, S. R. (2006). Impacts of biodiversity loss on ocean ecosystem services. </w:t>
      </w:r>
      <w:r w:rsidRPr="008608AA">
        <w:rPr>
          <w:i/>
          <w:iCs/>
        </w:rPr>
        <w:t>Science</w:t>
      </w:r>
      <w:r w:rsidRPr="008608AA">
        <w:t xml:space="preserve">, </w:t>
      </w:r>
      <w:r w:rsidRPr="008608AA">
        <w:rPr>
          <w:i/>
          <w:iCs/>
        </w:rPr>
        <w:t>314</w:t>
      </w:r>
      <w:r w:rsidRPr="008608AA">
        <w:t>(5800), 787–790.</w:t>
      </w:r>
    </w:p>
    <w:p w14:paraId="7B47876A" w14:textId="77777777" w:rsidR="00DD4E98" w:rsidRPr="008608AA" w:rsidRDefault="00DD4E98" w:rsidP="00DD4E98">
      <w:pPr>
        <w:widowControl w:val="0"/>
        <w:ind w:left="906" w:hangingChars="412" w:hanging="906"/>
        <w:contextualSpacing/>
      </w:pPr>
      <w:r w:rsidRPr="008608AA">
        <w:t xml:space="preserve">Wortley, L., Hero, J.-M., &amp; Howes, M. (2013). Evaluating Ecological Restoration Success: A Review of the Literature. </w:t>
      </w:r>
      <w:r w:rsidRPr="008608AA">
        <w:rPr>
          <w:i/>
        </w:rPr>
        <w:t>Restoration Ecology</w:t>
      </w:r>
      <w:r w:rsidRPr="008608AA">
        <w:t xml:space="preserve">, </w:t>
      </w:r>
      <w:r w:rsidRPr="008608AA">
        <w:rPr>
          <w:i/>
        </w:rPr>
        <w:t>21</w:t>
      </w:r>
      <w:r w:rsidRPr="008608AA">
        <w:t>(5), (pp. 537–543). https://doi.org/10.1111/rec.12028</w:t>
      </w:r>
    </w:p>
    <w:p w14:paraId="0222DBA8" w14:textId="77777777" w:rsidR="00DD4E98" w:rsidRPr="008608AA" w:rsidRDefault="00DD4E98" w:rsidP="00DD4E98">
      <w:pPr>
        <w:widowControl w:val="0"/>
        <w:ind w:left="906" w:hangingChars="412" w:hanging="906"/>
        <w:contextualSpacing/>
      </w:pPr>
      <w:r w:rsidRPr="008608AA">
        <w:t xml:space="preserve">Wouters, P., &amp; Tran, T. (2011). Out of the Mainstream: Water Rights, Politics and Identity. </w:t>
      </w:r>
      <w:r w:rsidRPr="008608AA">
        <w:rPr>
          <w:i/>
        </w:rPr>
        <w:t>Mountain Research and Development</w:t>
      </w:r>
      <w:r w:rsidRPr="008608AA">
        <w:t xml:space="preserve">, </w:t>
      </w:r>
      <w:r w:rsidRPr="008608AA">
        <w:rPr>
          <w:i/>
        </w:rPr>
        <w:t>31</w:t>
      </w:r>
      <w:r w:rsidRPr="008608AA">
        <w:t>(3), (pp. 270–271). https://doi.org/10.1659/mrd.mm081</w:t>
      </w:r>
    </w:p>
    <w:p w14:paraId="0E51701C" w14:textId="77777777" w:rsidR="00DD4E98" w:rsidRPr="008608AA" w:rsidRDefault="00DD4E98" w:rsidP="00DD4E98">
      <w:pPr>
        <w:widowControl w:val="0"/>
        <w:ind w:left="906" w:hangingChars="412" w:hanging="906"/>
        <w:contextualSpacing/>
      </w:pPr>
      <w:r w:rsidRPr="008608AA">
        <w:t xml:space="preserve">Wunder, S. (2005). </w:t>
      </w:r>
      <w:r w:rsidRPr="008608AA">
        <w:rPr>
          <w:i/>
        </w:rPr>
        <w:t>Payments for environmental services : Some nuts and bolts</w:t>
      </w:r>
      <w:r w:rsidRPr="008608AA">
        <w:t xml:space="preserve"> (No. 42). </w:t>
      </w:r>
      <w:r w:rsidRPr="008608AA">
        <w:rPr>
          <w:i/>
        </w:rPr>
        <w:t>CIFOR Occasional Paper</w:t>
      </w:r>
      <w:r w:rsidRPr="008608AA">
        <w:t xml:space="preserve"> (Vol. 42). Jakarta, Indonesia. https://doi.org/10.1111/j.1523-1739.2006.00559.x</w:t>
      </w:r>
    </w:p>
    <w:p w14:paraId="65469EDD" w14:textId="77777777" w:rsidR="00DD4E98" w:rsidRPr="008608AA" w:rsidRDefault="00DD4E98" w:rsidP="00DD4E98">
      <w:pPr>
        <w:widowControl w:val="0"/>
        <w:ind w:left="906" w:hangingChars="412" w:hanging="906"/>
        <w:contextualSpacing/>
      </w:pPr>
      <w:r w:rsidRPr="008608AA">
        <w:t xml:space="preserve">WWAP (United Nations World Water Assessment Programme). (2009). </w:t>
      </w:r>
      <w:r w:rsidRPr="008608AA">
        <w:rPr>
          <w:i/>
        </w:rPr>
        <w:t>The United Nations World Water Development Report 3: Water in a Changing World</w:t>
      </w:r>
      <w:r w:rsidRPr="008608AA">
        <w:t>. Paris.</w:t>
      </w:r>
    </w:p>
    <w:p w14:paraId="61497A12" w14:textId="77777777" w:rsidR="00DD4E98" w:rsidRPr="008608AA" w:rsidRDefault="00DD4E98" w:rsidP="00DD4E98">
      <w:pPr>
        <w:widowControl w:val="0"/>
        <w:ind w:left="906" w:hangingChars="412" w:hanging="906"/>
        <w:contextualSpacing/>
      </w:pPr>
      <w:r w:rsidRPr="008608AA">
        <w:t xml:space="preserve">WWAP (United Nations World Water Assessment Programme). (2015). </w:t>
      </w:r>
      <w:r w:rsidRPr="008608AA">
        <w:rPr>
          <w:i/>
        </w:rPr>
        <w:t>The United Nations World Water Development Report 2015: Water for a Sustainable World</w:t>
      </w:r>
      <w:r w:rsidRPr="008608AA">
        <w:t>. Paris: UNESCO.</w:t>
      </w:r>
    </w:p>
    <w:p w14:paraId="5ADCF30F" w14:textId="77777777" w:rsidR="00DD4E98" w:rsidRPr="008608AA" w:rsidRDefault="00DD4E98" w:rsidP="00DD4E98">
      <w:pPr>
        <w:widowControl w:val="0"/>
        <w:ind w:left="906" w:hangingChars="412" w:hanging="906"/>
        <w:contextualSpacing/>
      </w:pPr>
      <w:r w:rsidRPr="008608AA">
        <w:t xml:space="preserve">WWF. (2016). </w:t>
      </w:r>
      <w:r w:rsidRPr="008608AA">
        <w:rPr>
          <w:i/>
        </w:rPr>
        <w:t>Living planet report: risk and resilience in a new era</w:t>
      </w:r>
      <w:r w:rsidRPr="008608AA">
        <w:t xml:space="preserve">. </w:t>
      </w:r>
      <w:r w:rsidRPr="008608AA">
        <w:rPr>
          <w:i/>
        </w:rPr>
        <w:t>WWF International</w:t>
      </w:r>
      <w:r w:rsidRPr="008608AA">
        <w:t>. Gland, Switzerland. Retrieved from http://awsassets.panda.org/downloads/lpr_living_planet_report_2016.pdf%0Ahttp://www.footprintnetwork.org/documents/2016_Living_Planet_Report_Lo.pdf</w:t>
      </w:r>
    </w:p>
    <w:p w14:paraId="69655D37" w14:textId="77777777" w:rsidR="00DD4E98" w:rsidRPr="008608AA" w:rsidRDefault="00DD4E98" w:rsidP="00DD4E98">
      <w:pPr>
        <w:widowControl w:val="0"/>
        <w:ind w:left="906" w:hangingChars="412" w:hanging="906"/>
        <w:contextualSpacing/>
      </w:pPr>
      <w:r w:rsidRPr="008608AA">
        <w:t xml:space="preserve">Zaccagnini. M.E., M. G. Wilson &amp; J. D. Oszust. </w:t>
      </w:r>
      <w:r w:rsidRPr="008608AA">
        <w:rPr>
          <w:lang w:val="es-CO"/>
        </w:rPr>
        <w:t xml:space="preserve">Eds. (2014) Manual de Buenas Prácticas para la Conservación del Suelo, la Biodiversidad y sus Servicios Ecosistémicos. 1ª ed. Buenos Aires. Programa Naciones Unidas para el Desarrollo -PNUD-SAyDS-INTA. </w:t>
      </w:r>
      <w:r w:rsidRPr="008608AA">
        <w:t>95 pp. https://inta.gob.ar/sites/default/files/inta-manual-de-buenas-practicas-para-la-conservacion-del-suelo-la-biodiversidad.pdf</w:t>
      </w:r>
    </w:p>
    <w:p w14:paraId="70B5EDDB" w14:textId="77777777" w:rsidR="00DD4E98" w:rsidRPr="008608AA" w:rsidRDefault="00DD4E98" w:rsidP="00DD4E98">
      <w:pPr>
        <w:widowControl w:val="0"/>
        <w:ind w:left="906" w:hangingChars="412" w:hanging="906"/>
        <w:contextualSpacing/>
      </w:pPr>
      <w:r w:rsidRPr="008608AA">
        <w:rPr>
          <w:lang w:val="es-CO"/>
        </w:rPr>
        <w:t xml:space="preserve">Zenteno-Brun, H. (2009). Acercamiento a la visión cósmica del mundo Andino. </w:t>
      </w:r>
      <w:r w:rsidRPr="008608AA">
        <w:rPr>
          <w:i/>
        </w:rPr>
        <w:t>Punto Cero</w:t>
      </w:r>
      <w:r w:rsidRPr="008608AA">
        <w:t xml:space="preserve">, </w:t>
      </w:r>
      <w:r w:rsidRPr="008608AA">
        <w:rPr>
          <w:i/>
        </w:rPr>
        <w:t>14</w:t>
      </w:r>
      <w:r w:rsidRPr="008608AA">
        <w:t>(18), (pp. 83–89). Retrieved from http://www.scielo.org.bo/scielo.php?script=sci_arttext&amp;pid=S1815-02762009000100010&amp;lng=es&amp;nrm=iso</w:t>
      </w:r>
    </w:p>
    <w:p w14:paraId="0E72D376" w14:textId="77777777" w:rsidR="00DD4E98" w:rsidRPr="008608AA" w:rsidRDefault="00DD4E98" w:rsidP="00DD4E98">
      <w:pPr>
        <w:widowControl w:val="0"/>
        <w:ind w:left="906" w:hangingChars="412" w:hanging="906"/>
        <w:contextualSpacing/>
      </w:pPr>
      <w:r w:rsidRPr="008608AA">
        <w:t xml:space="preserve">Zimmerman, J. B., Mihelcic, J. R., &amp; Smith,  and J. (2008). Global Stressors on Water Quality and Quantity. </w:t>
      </w:r>
      <w:r w:rsidRPr="008608AA">
        <w:rPr>
          <w:i/>
        </w:rPr>
        <w:t>Environmental Science &amp; Technology</w:t>
      </w:r>
      <w:r w:rsidRPr="008608AA">
        <w:t xml:space="preserve">, </w:t>
      </w:r>
      <w:r w:rsidRPr="008608AA">
        <w:rPr>
          <w:i/>
        </w:rPr>
        <w:t>42</w:t>
      </w:r>
      <w:r w:rsidRPr="008608AA">
        <w:t>(12), (pp. 4247–4254). https://doi.org/10.1021/es0871457</w:t>
      </w:r>
    </w:p>
    <w:bookmarkEnd w:id="587"/>
    <w:p w14:paraId="2D54D15E" w14:textId="77777777" w:rsidR="00DD4E98" w:rsidRPr="008608AA" w:rsidRDefault="00DD4E98" w:rsidP="00DD4E98">
      <w:pPr>
        <w:widowControl w:val="0"/>
        <w:spacing w:before="120"/>
        <w:contextualSpacing/>
        <w:sectPr w:rsidR="00DD4E98" w:rsidRPr="008608AA" w:rsidSect="00DD4E98">
          <w:type w:val="continuous"/>
          <w:pgSz w:w="11907" w:h="16839" w:code="9"/>
          <w:pgMar w:top="907" w:right="992" w:bottom="1418" w:left="1418" w:header="720" w:footer="720" w:gutter="0"/>
          <w:cols w:space="720"/>
          <w:docGrid w:linePitch="326"/>
        </w:sectPr>
      </w:pPr>
    </w:p>
    <w:p w14:paraId="1C3A30D1" w14:textId="7CE79DFD" w:rsidR="004255E7" w:rsidRPr="004D42ED" w:rsidRDefault="004255E7" w:rsidP="00843724">
      <w:pPr>
        <w:pStyle w:val="Heading1"/>
        <w:numPr>
          <w:ilvl w:val="0"/>
          <w:numId w:val="0"/>
        </w:numPr>
        <w:ind w:left="432"/>
      </w:pPr>
      <w:bookmarkStart w:id="743" w:name="_Toc502927327"/>
      <w:bookmarkStart w:id="744" w:name="_Toc502951156"/>
      <w:bookmarkStart w:id="745" w:name="_Toc502953599"/>
      <w:bookmarkStart w:id="746" w:name="_Toc502954892"/>
      <w:bookmarkStart w:id="747" w:name="_Toc502957699"/>
      <w:bookmarkStart w:id="748" w:name="_Toc502957898"/>
      <w:bookmarkStart w:id="749" w:name="_Toc502958052"/>
      <w:bookmarkStart w:id="750" w:name="_Toc503293100"/>
      <w:bookmarkStart w:id="751" w:name="_Toc503293698"/>
      <w:bookmarkStart w:id="752" w:name="_Toc503293960"/>
      <w:bookmarkStart w:id="753" w:name="_Toc503863353"/>
      <w:bookmarkStart w:id="754" w:name="_Toc517393281"/>
      <w:bookmarkStart w:id="755" w:name="_Toc517719022"/>
      <w:bookmarkStart w:id="756" w:name="_Toc517726338"/>
      <w:bookmarkStart w:id="757" w:name="_Toc517796851"/>
      <w:bookmarkStart w:id="758" w:name="_Toc517796979"/>
      <w:bookmarkStart w:id="759" w:name="_Toc356036158"/>
      <w:bookmarkStart w:id="760" w:name="_Toc356471021"/>
      <w:bookmarkStart w:id="761" w:name="_Toc500154659"/>
      <w:bookmarkStart w:id="762" w:name="Chap3"/>
      <w:r w:rsidRPr="004D42ED">
        <w:t>Chapter 3: Status and trends of</w:t>
      </w:r>
      <w:r w:rsidR="00F5502C" w:rsidRPr="004D42ED">
        <w:t xml:space="preserve"> </w:t>
      </w:r>
      <w:r w:rsidRPr="004D42ED">
        <w:t xml:space="preserve"> biodiversity and ecosystem functions underpinning nature’s benefit to people</w:t>
      </w:r>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p>
    <w:p w14:paraId="7F6F7818" w14:textId="77777777" w:rsidR="00902618" w:rsidRPr="008608AA" w:rsidRDefault="00902618" w:rsidP="006F4EE4">
      <w:pPr>
        <w:rPr>
          <w:b/>
          <w:bCs/>
        </w:rPr>
      </w:pPr>
    </w:p>
    <w:p w14:paraId="725F3D6E" w14:textId="77777777" w:rsidR="004255E7" w:rsidRPr="008608AA" w:rsidRDefault="004255E7" w:rsidP="006F4EE4">
      <w:r w:rsidRPr="008608AA">
        <w:rPr>
          <w:b/>
          <w:bCs/>
        </w:rPr>
        <w:t>Coordinating Lead Authors</w:t>
      </w:r>
      <w:r w:rsidR="00902618" w:rsidRPr="008608AA">
        <w:rPr>
          <w:b/>
          <w:bCs/>
        </w:rPr>
        <w:t>:</w:t>
      </w:r>
      <w:r w:rsidRPr="008608AA">
        <w:rPr>
          <w:b/>
          <w:bCs/>
        </w:rPr>
        <w:t xml:space="preserve"> </w:t>
      </w:r>
    </w:p>
    <w:p w14:paraId="4AC4A9F5" w14:textId="77777777" w:rsidR="004255E7" w:rsidRPr="008608AA" w:rsidRDefault="004255E7" w:rsidP="006F4EE4">
      <w:r w:rsidRPr="008608AA">
        <w:t>Jeannine Cavender-Bares (USA); Mary T. K. Arroyo (Chile)</w:t>
      </w:r>
    </w:p>
    <w:p w14:paraId="75B905BA" w14:textId="77777777" w:rsidR="00902618" w:rsidRPr="008608AA" w:rsidRDefault="00902618" w:rsidP="006F4EE4">
      <w:pPr>
        <w:rPr>
          <w:b/>
          <w:bCs/>
        </w:rPr>
      </w:pPr>
    </w:p>
    <w:p w14:paraId="561D95B9" w14:textId="77777777" w:rsidR="004255E7" w:rsidRPr="00CE0821" w:rsidRDefault="004255E7" w:rsidP="006F4EE4">
      <w:pPr>
        <w:rPr>
          <w:lang w:val="es-CO"/>
        </w:rPr>
      </w:pPr>
      <w:r w:rsidRPr="00CE0821">
        <w:rPr>
          <w:b/>
          <w:bCs/>
          <w:lang w:val="es-CO"/>
        </w:rPr>
        <w:t>Lead Authors</w:t>
      </w:r>
      <w:r w:rsidR="00902618" w:rsidRPr="00CE0821">
        <w:rPr>
          <w:b/>
          <w:bCs/>
          <w:lang w:val="es-CO"/>
        </w:rPr>
        <w:t>:</w:t>
      </w:r>
    </w:p>
    <w:p w14:paraId="4805BC70" w14:textId="3613B45D" w:rsidR="004255E7" w:rsidRPr="00CE0821" w:rsidRDefault="004255E7" w:rsidP="00286530">
      <w:pPr>
        <w:jc w:val="left"/>
        <w:rPr>
          <w:lang w:val="es-CO"/>
        </w:rPr>
      </w:pPr>
      <w:r w:rsidRPr="00CE0821">
        <w:rPr>
          <w:lang w:val="es-CO"/>
        </w:rPr>
        <w:t xml:space="preserve">Robin Abell (USA); David Ackerly (USA); Daniel Ackerman (USA); Matias Arim (Uruguay); Jayne Belnap (USA); Francisco Castañeda Moya (Guatemala); Laura Dee (USA); Natalia Estrada-Carmona (Colombia/France); Judith Gobin (Trinidad and Tobago); Forest Isbell (USA); Gunther Köhler (Germany); Marten Koops (Canada); Nathan Kraft (USA); Nicholas Macfarlane (Canada); Cristina Martínez-Garza (Mexico); Jean-Paul Metzger (Brazil); </w:t>
      </w:r>
      <w:r w:rsidR="001F1423" w:rsidRPr="001F1423">
        <w:rPr>
          <w:rStyle w:val="normaltextrun"/>
          <w:rFonts w:cs="Calibri"/>
          <w:color w:val="000000"/>
          <w:szCs w:val="22"/>
          <w:shd w:val="clear" w:color="auto" w:fill="FFFFFF"/>
          <w:lang w:val="es-CO"/>
        </w:rPr>
        <w:t>Arturo Mora (Ecuador); Mike </w:t>
      </w:r>
      <w:r w:rsidR="001F1423" w:rsidRPr="001F1423">
        <w:rPr>
          <w:rStyle w:val="spellingerror"/>
          <w:rFonts w:cs="Calibri"/>
          <w:color w:val="000000"/>
          <w:szCs w:val="22"/>
          <w:shd w:val="clear" w:color="auto" w:fill="FFFFFF"/>
          <w:lang w:val="es-CO"/>
        </w:rPr>
        <w:t>Oatham</w:t>
      </w:r>
      <w:r w:rsidR="001F1423" w:rsidRPr="001F1423">
        <w:rPr>
          <w:rStyle w:val="normaltextrun"/>
          <w:rFonts w:cs="Calibri"/>
          <w:color w:val="000000"/>
          <w:szCs w:val="22"/>
          <w:shd w:val="clear" w:color="auto" w:fill="FFFFFF"/>
          <w:lang w:val="es-CO"/>
        </w:rPr>
        <w:t> (Trinidad and Tobago); Adriano </w:t>
      </w:r>
      <w:r w:rsidR="001F1423" w:rsidRPr="001F1423">
        <w:rPr>
          <w:rStyle w:val="spellingerror"/>
          <w:rFonts w:cs="Calibri"/>
          <w:color w:val="000000"/>
          <w:szCs w:val="22"/>
          <w:shd w:val="clear" w:color="auto" w:fill="FFFFFF"/>
          <w:lang w:val="es-CO"/>
        </w:rPr>
        <w:t>Paglia</w:t>
      </w:r>
      <w:r w:rsidR="001F1423" w:rsidRPr="001F1423">
        <w:rPr>
          <w:rStyle w:val="normaltextrun"/>
          <w:rFonts w:cs="Calibri"/>
          <w:color w:val="000000"/>
          <w:szCs w:val="22"/>
          <w:shd w:val="clear" w:color="auto" w:fill="FFFFFF"/>
          <w:lang w:val="es-CO"/>
        </w:rPr>
        <w:t> (</w:t>
      </w:r>
      <w:r w:rsidR="001F1423" w:rsidRPr="001F1423">
        <w:rPr>
          <w:rStyle w:val="spellingerror"/>
          <w:rFonts w:cs="Calibri"/>
          <w:color w:val="000000"/>
          <w:szCs w:val="22"/>
          <w:shd w:val="clear" w:color="auto" w:fill="FFFFFF"/>
          <w:lang w:val="es-CO"/>
        </w:rPr>
        <w:t>Brazil</w:t>
      </w:r>
      <w:r w:rsidR="001F1423" w:rsidRPr="001F1423">
        <w:rPr>
          <w:rStyle w:val="normaltextrun"/>
          <w:rFonts w:cs="Calibri"/>
          <w:color w:val="000000"/>
          <w:szCs w:val="22"/>
          <w:shd w:val="clear" w:color="auto" w:fill="FFFFFF"/>
          <w:lang w:val="es-CO"/>
        </w:rPr>
        <w:t>); </w:t>
      </w:r>
      <w:r w:rsidR="001F1423">
        <w:rPr>
          <w:rStyle w:val="normaltextrun"/>
          <w:rFonts w:cs="Calibri"/>
          <w:color w:val="000000"/>
          <w:szCs w:val="22"/>
          <w:shd w:val="clear" w:color="auto" w:fill="FFFFFF"/>
          <w:lang w:val="es-ES"/>
        </w:rPr>
        <w:t>Julieta </w:t>
      </w:r>
      <w:r w:rsidR="001F1423">
        <w:rPr>
          <w:rStyle w:val="spellingerror"/>
          <w:rFonts w:cs="Calibri"/>
          <w:color w:val="000000"/>
          <w:szCs w:val="22"/>
          <w:shd w:val="clear" w:color="auto" w:fill="FFFFFF"/>
          <w:lang w:val="es-ES"/>
        </w:rPr>
        <w:t>Pedrana</w:t>
      </w:r>
      <w:r w:rsidR="001F1423">
        <w:rPr>
          <w:rStyle w:val="normaltextrun"/>
          <w:rFonts w:cs="Calibri"/>
          <w:color w:val="000000"/>
          <w:szCs w:val="22"/>
          <w:shd w:val="clear" w:color="auto" w:fill="FFFFFF"/>
          <w:lang w:val="es-ES"/>
        </w:rPr>
        <w:t> (Argentina); </w:t>
      </w:r>
      <w:r w:rsidR="001F1423" w:rsidRPr="001F1423">
        <w:rPr>
          <w:rStyle w:val="normaltextrun"/>
          <w:rFonts w:cs="Calibri"/>
          <w:color w:val="000000"/>
          <w:szCs w:val="22"/>
          <w:shd w:val="clear" w:color="auto" w:fill="FFFFFF"/>
          <w:lang w:val="es-CO"/>
        </w:rPr>
        <w:t>Pablo Luis Peri (Argentina); Gervasio Piñeiro (Uruguay); Robert Randall (</w:t>
      </w:r>
      <w:r w:rsidR="001F1423" w:rsidRPr="001F1423">
        <w:rPr>
          <w:rStyle w:val="spellingerror"/>
          <w:rFonts w:cs="Calibri"/>
          <w:color w:val="000000"/>
          <w:szCs w:val="22"/>
          <w:shd w:val="clear" w:color="auto" w:fill="FFFFFF"/>
          <w:lang w:val="es-CO"/>
        </w:rPr>
        <w:t>Canada</w:t>
      </w:r>
      <w:r w:rsidR="001F1423" w:rsidRPr="001F1423">
        <w:rPr>
          <w:rStyle w:val="normaltextrun"/>
          <w:rFonts w:cs="Calibri"/>
          <w:color w:val="000000"/>
          <w:szCs w:val="22"/>
          <w:shd w:val="clear" w:color="auto" w:fill="FFFFFF"/>
          <w:lang w:val="es-CO"/>
        </w:rPr>
        <w:t>); </w:t>
      </w:r>
      <w:r w:rsidR="001F1423">
        <w:rPr>
          <w:rStyle w:val="spellingerror"/>
          <w:rFonts w:cs="Calibri"/>
          <w:color w:val="000000"/>
          <w:szCs w:val="22"/>
          <w:shd w:val="clear" w:color="auto" w:fill="FFFFFF"/>
          <w:lang w:val="es-ES"/>
        </w:rPr>
        <w:t>Wren</w:t>
      </w:r>
      <w:r w:rsidR="001F1423">
        <w:rPr>
          <w:rStyle w:val="normaltextrun"/>
          <w:rFonts w:cs="Calibri"/>
          <w:color w:val="000000"/>
          <w:szCs w:val="22"/>
          <w:shd w:val="clear" w:color="auto" w:fill="FFFFFF"/>
          <w:lang w:val="es-ES"/>
        </w:rPr>
        <w:t> Walker Robbins (USA); </w:t>
      </w:r>
      <w:r w:rsidR="001F1423" w:rsidRPr="001F1423">
        <w:rPr>
          <w:rStyle w:val="normaltextrun"/>
          <w:rFonts w:cs="Calibri"/>
          <w:color w:val="000000"/>
          <w:szCs w:val="22"/>
          <w:shd w:val="clear" w:color="auto" w:fill="FFFFFF"/>
          <w:lang w:val="es-CO"/>
        </w:rPr>
        <w:t>Judith </w:t>
      </w:r>
      <w:r w:rsidR="001F1423" w:rsidRPr="001F1423">
        <w:rPr>
          <w:rStyle w:val="spellingerror"/>
          <w:rFonts w:cs="Calibri"/>
          <w:color w:val="000000"/>
          <w:szCs w:val="22"/>
          <w:shd w:val="clear" w:color="auto" w:fill="FFFFFF"/>
          <w:lang w:val="es-CO"/>
        </w:rPr>
        <w:t>Weis</w:t>
      </w:r>
      <w:r w:rsidR="001F1423" w:rsidRPr="001F1423">
        <w:rPr>
          <w:rStyle w:val="normaltextrun"/>
          <w:rFonts w:cs="Calibri"/>
          <w:color w:val="000000"/>
          <w:szCs w:val="22"/>
          <w:shd w:val="clear" w:color="auto" w:fill="FFFFFF"/>
          <w:lang w:val="es-CO"/>
        </w:rPr>
        <w:t> (USA); </w:t>
      </w:r>
      <w:r w:rsidR="001F1423">
        <w:rPr>
          <w:rStyle w:val="normaltextrun"/>
          <w:rFonts w:cs="Calibri"/>
          <w:color w:val="000000"/>
          <w:szCs w:val="22"/>
          <w:shd w:val="clear" w:color="auto" w:fill="FFFFFF"/>
          <w:lang w:val="es-ES"/>
        </w:rPr>
        <w:t>Silvia Renate </w:t>
      </w:r>
      <w:r w:rsidR="001F1423">
        <w:rPr>
          <w:rStyle w:val="spellingerror"/>
          <w:rFonts w:cs="Calibri"/>
          <w:color w:val="000000"/>
          <w:szCs w:val="22"/>
          <w:shd w:val="clear" w:color="auto" w:fill="FFFFFF"/>
          <w:lang w:val="es-ES"/>
        </w:rPr>
        <w:t>Ziller</w:t>
      </w:r>
      <w:r w:rsidR="001F1423">
        <w:rPr>
          <w:rStyle w:val="normaltextrun"/>
          <w:rFonts w:cs="Calibri"/>
          <w:color w:val="000000"/>
          <w:szCs w:val="22"/>
          <w:shd w:val="clear" w:color="auto" w:fill="FFFFFF"/>
          <w:lang w:val="es-ES"/>
        </w:rPr>
        <w:t> (</w:t>
      </w:r>
      <w:r w:rsidR="001F1423">
        <w:rPr>
          <w:rStyle w:val="spellingerror"/>
          <w:rFonts w:cs="Calibri"/>
          <w:color w:val="000000"/>
          <w:szCs w:val="22"/>
          <w:shd w:val="clear" w:color="auto" w:fill="FFFFFF"/>
          <w:lang w:val="es-ES"/>
        </w:rPr>
        <w:t>Brazil</w:t>
      </w:r>
      <w:r w:rsidR="001F1423">
        <w:rPr>
          <w:rStyle w:val="normaltextrun"/>
          <w:rFonts w:cs="Calibri"/>
          <w:color w:val="000000"/>
          <w:szCs w:val="22"/>
          <w:shd w:val="clear" w:color="auto" w:fill="FFFFFF"/>
          <w:lang w:val="es-ES"/>
        </w:rPr>
        <w:t>).</w:t>
      </w:r>
      <w:r w:rsidR="001F1423" w:rsidRPr="001F1423">
        <w:rPr>
          <w:rStyle w:val="eop"/>
          <w:rFonts w:cs="Calibri"/>
          <w:color w:val="000000"/>
          <w:szCs w:val="22"/>
          <w:shd w:val="clear" w:color="auto" w:fill="FFFFFF"/>
          <w:lang w:val="es-CO"/>
        </w:rPr>
        <w:t> </w:t>
      </w:r>
      <w:r w:rsidRPr="00CE0821">
        <w:rPr>
          <w:lang w:val="es-CO"/>
        </w:rPr>
        <w:t xml:space="preserve"> </w:t>
      </w:r>
    </w:p>
    <w:p w14:paraId="1F1AF38D" w14:textId="77777777" w:rsidR="00902618" w:rsidRPr="00CE0821" w:rsidRDefault="00902618" w:rsidP="006F4EE4">
      <w:pPr>
        <w:rPr>
          <w:lang w:val="es-CO"/>
        </w:rPr>
      </w:pPr>
    </w:p>
    <w:p w14:paraId="67FE1A0C" w14:textId="77777777" w:rsidR="00902618" w:rsidRPr="008608AA" w:rsidRDefault="00902618" w:rsidP="006F4EE4">
      <w:pPr>
        <w:rPr>
          <w:b/>
          <w:lang w:val="es-ES"/>
        </w:rPr>
      </w:pPr>
      <w:r w:rsidRPr="008608AA">
        <w:rPr>
          <w:b/>
          <w:lang w:val="es-ES"/>
        </w:rPr>
        <w:t>Fellow:</w:t>
      </w:r>
    </w:p>
    <w:p w14:paraId="1A3A368C" w14:textId="77777777" w:rsidR="00902618" w:rsidRPr="008608AA" w:rsidRDefault="002B3202" w:rsidP="006F4EE4">
      <w:pPr>
        <w:rPr>
          <w:lang w:val="es-ES"/>
        </w:rPr>
      </w:pPr>
      <w:r w:rsidRPr="008608AA">
        <w:rPr>
          <w:lang w:val="es-ES"/>
        </w:rPr>
        <w:t>Rodolfo Jaffe</w:t>
      </w:r>
      <w:r w:rsidR="00902618" w:rsidRPr="008608AA">
        <w:rPr>
          <w:lang w:val="es-ES"/>
        </w:rPr>
        <w:t xml:space="preserve"> (Brazil/Venezuela)</w:t>
      </w:r>
    </w:p>
    <w:p w14:paraId="464B59D2" w14:textId="77777777" w:rsidR="00902618" w:rsidRPr="008608AA" w:rsidRDefault="00902618" w:rsidP="006F4EE4">
      <w:pPr>
        <w:rPr>
          <w:b/>
          <w:bCs/>
          <w:lang w:val="es-ES"/>
        </w:rPr>
      </w:pPr>
    </w:p>
    <w:p w14:paraId="53C1B9A2" w14:textId="77777777" w:rsidR="004255E7" w:rsidRPr="008608AA" w:rsidRDefault="00902618" w:rsidP="006F4EE4">
      <w:pPr>
        <w:rPr>
          <w:lang w:val="es-ES"/>
        </w:rPr>
      </w:pPr>
      <w:r w:rsidRPr="008608AA">
        <w:rPr>
          <w:b/>
          <w:bCs/>
          <w:lang w:val="es-ES"/>
        </w:rPr>
        <w:t>Contributing Authors</w:t>
      </w:r>
      <w:r w:rsidR="004255E7" w:rsidRPr="008608AA">
        <w:rPr>
          <w:b/>
          <w:bCs/>
          <w:lang w:val="es-ES"/>
        </w:rPr>
        <w:t xml:space="preserve">: </w:t>
      </w:r>
    </w:p>
    <w:p w14:paraId="4DD34DC7" w14:textId="54D8450E" w:rsidR="00902618" w:rsidRDefault="001F1423" w:rsidP="00286530">
      <w:pPr>
        <w:jc w:val="left"/>
        <w:rPr>
          <w:rStyle w:val="eop"/>
          <w:rFonts w:cs="Calibri"/>
          <w:color w:val="000000"/>
          <w:szCs w:val="22"/>
          <w:shd w:val="clear" w:color="auto" w:fill="FFFFFF"/>
          <w:lang w:val="es-CO"/>
        </w:rPr>
      </w:pPr>
      <w:r>
        <w:rPr>
          <w:rStyle w:val="normaltextrun"/>
          <w:rFonts w:cs="Calibri"/>
          <w:color w:val="000000"/>
          <w:szCs w:val="22"/>
          <w:shd w:val="clear" w:color="auto" w:fill="FFFFFF"/>
          <w:lang w:val="es-ES"/>
        </w:rPr>
        <w:t>Marcelo </w:t>
      </w:r>
      <w:r>
        <w:rPr>
          <w:rStyle w:val="spellingerror"/>
          <w:rFonts w:cs="Calibri"/>
          <w:color w:val="000000"/>
          <w:szCs w:val="22"/>
          <w:shd w:val="clear" w:color="auto" w:fill="FFFFFF"/>
          <w:lang w:val="es-ES"/>
        </w:rPr>
        <w:t>Aizen</w:t>
      </w:r>
      <w:r>
        <w:rPr>
          <w:rStyle w:val="normaltextrun"/>
          <w:rFonts w:cs="Calibri"/>
          <w:color w:val="000000"/>
          <w:szCs w:val="22"/>
          <w:shd w:val="clear" w:color="auto" w:fill="FFFFFF"/>
          <w:lang w:val="es-ES"/>
        </w:rPr>
        <w:t> (Argentina); Diva </w:t>
      </w:r>
      <w:r>
        <w:rPr>
          <w:rStyle w:val="spellingerror"/>
          <w:rFonts w:cs="Calibri"/>
          <w:color w:val="000000"/>
          <w:szCs w:val="22"/>
          <w:shd w:val="clear" w:color="auto" w:fill="FFFFFF"/>
          <w:lang w:val="es-ES"/>
        </w:rPr>
        <w:t>Amon</w:t>
      </w:r>
      <w:r>
        <w:rPr>
          <w:rStyle w:val="normaltextrun"/>
          <w:rFonts w:cs="Calibri"/>
          <w:color w:val="000000"/>
          <w:szCs w:val="22"/>
          <w:shd w:val="clear" w:color="auto" w:fill="FFFFFF"/>
          <w:lang w:val="es-ES"/>
        </w:rPr>
        <w:t> (Trinidad and Tobago); Manuel Arroyo-</w:t>
      </w:r>
      <w:r>
        <w:rPr>
          <w:rStyle w:val="spellingerror"/>
          <w:rFonts w:cs="Calibri"/>
          <w:color w:val="000000"/>
          <w:szCs w:val="22"/>
          <w:shd w:val="clear" w:color="auto" w:fill="FFFFFF"/>
          <w:lang w:val="es-ES"/>
        </w:rPr>
        <w:t>Kalin</w:t>
      </w:r>
      <w:r>
        <w:rPr>
          <w:rStyle w:val="normaltextrun"/>
          <w:rFonts w:cs="Calibri"/>
          <w:color w:val="000000"/>
          <w:szCs w:val="22"/>
          <w:shd w:val="clear" w:color="auto" w:fill="FFFFFF"/>
          <w:lang w:val="es-ES"/>
        </w:rPr>
        <w:t> (UK); Abigail Barker (UK); Keith Barker (USA); Darcy Bradley (USA); Kate </w:t>
      </w:r>
      <w:r>
        <w:rPr>
          <w:rStyle w:val="spellingerror"/>
          <w:rFonts w:cs="Calibri"/>
          <w:color w:val="000000"/>
          <w:szCs w:val="22"/>
          <w:shd w:val="clear" w:color="auto" w:fill="FFFFFF"/>
          <w:lang w:val="es-ES"/>
        </w:rPr>
        <w:t>Brauman</w:t>
      </w:r>
      <w:r>
        <w:rPr>
          <w:rStyle w:val="normaltextrun"/>
          <w:rFonts w:cs="Calibri"/>
          <w:color w:val="000000"/>
          <w:szCs w:val="22"/>
          <w:shd w:val="clear" w:color="auto" w:fill="FFFFFF"/>
          <w:lang w:val="es-ES"/>
        </w:rPr>
        <w:t> (USA); Eduardo S. </w:t>
      </w:r>
      <w:r>
        <w:rPr>
          <w:rStyle w:val="spellingerror"/>
          <w:rFonts w:cs="Calibri"/>
          <w:color w:val="000000"/>
          <w:szCs w:val="22"/>
          <w:shd w:val="clear" w:color="auto" w:fill="FFFFFF"/>
          <w:lang w:val="es-ES"/>
        </w:rPr>
        <w:t>Brondizio</w:t>
      </w:r>
      <w:r>
        <w:rPr>
          <w:rStyle w:val="normaltextrun"/>
          <w:rFonts w:cs="Calibri"/>
          <w:color w:val="000000"/>
          <w:szCs w:val="22"/>
          <w:shd w:val="clear" w:color="auto" w:fill="FFFFFF"/>
          <w:lang w:val="es-ES"/>
        </w:rPr>
        <w:t> (Brasil); </w:t>
      </w:r>
      <w:r>
        <w:rPr>
          <w:rStyle w:val="spellingerror"/>
          <w:rFonts w:cs="Calibri"/>
          <w:color w:val="000000"/>
          <w:szCs w:val="22"/>
          <w:shd w:val="clear" w:color="auto" w:fill="FFFFFF"/>
          <w:lang w:val="es-ES"/>
        </w:rPr>
        <w:t>Jarrett</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Byrnes</w:t>
      </w:r>
      <w:r>
        <w:rPr>
          <w:rStyle w:val="normaltextrun"/>
          <w:rFonts w:cs="Calibri"/>
          <w:color w:val="000000"/>
          <w:szCs w:val="22"/>
          <w:shd w:val="clear" w:color="auto" w:fill="FFFFFF"/>
          <w:lang w:val="es-ES"/>
        </w:rPr>
        <w:t> (USA); Chris Caldwell (USA); Alejandro Casas (</w:t>
      </w:r>
      <w:r>
        <w:rPr>
          <w:rStyle w:val="spellingerror"/>
          <w:rFonts w:cs="Calibri"/>
          <w:color w:val="000000"/>
          <w:szCs w:val="22"/>
          <w:shd w:val="clear" w:color="auto" w:fill="FFFFFF"/>
          <w:lang w:val="es-ES"/>
        </w:rPr>
        <w:t>Mexico</w:t>
      </w:r>
      <w:r>
        <w:rPr>
          <w:rStyle w:val="normaltextrun"/>
          <w:rFonts w:cs="Calibri"/>
          <w:color w:val="000000"/>
          <w:szCs w:val="22"/>
          <w:shd w:val="clear" w:color="auto" w:fill="FFFFFF"/>
          <w:lang w:val="es-ES"/>
        </w:rPr>
        <w:t>); Kenneth G. </w:t>
      </w:r>
      <w:r>
        <w:rPr>
          <w:rStyle w:val="spellingerror"/>
          <w:rFonts w:cs="Calibri"/>
          <w:color w:val="000000"/>
          <w:szCs w:val="22"/>
          <w:shd w:val="clear" w:color="auto" w:fill="FFFFFF"/>
          <w:lang w:val="es-ES"/>
        </w:rPr>
        <w:t>Cassman</w:t>
      </w:r>
      <w:r>
        <w:rPr>
          <w:rStyle w:val="normaltextrun"/>
          <w:rFonts w:cs="Calibri"/>
          <w:color w:val="000000"/>
          <w:szCs w:val="22"/>
          <w:shd w:val="clear" w:color="auto" w:fill="FFFFFF"/>
          <w:lang w:val="es-ES"/>
        </w:rPr>
        <w:t> (USA); Joel </w:t>
      </w:r>
      <w:r>
        <w:rPr>
          <w:rStyle w:val="spellingerror"/>
          <w:rFonts w:cs="Calibri"/>
          <w:color w:val="000000"/>
          <w:szCs w:val="22"/>
          <w:shd w:val="clear" w:color="auto" w:fill="FFFFFF"/>
          <w:lang w:val="es-ES"/>
        </w:rPr>
        <w:t>Cracraft</w:t>
      </w:r>
      <w:r>
        <w:rPr>
          <w:rStyle w:val="normaltextrun"/>
          <w:rFonts w:cs="Calibri"/>
          <w:color w:val="000000"/>
          <w:szCs w:val="22"/>
          <w:shd w:val="clear" w:color="auto" w:fill="FFFFFF"/>
          <w:lang w:val="es-ES"/>
        </w:rPr>
        <w:t> (USA); Frank Davis (USA); Juan Dupuy (</w:t>
      </w:r>
      <w:r>
        <w:rPr>
          <w:rStyle w:val="spellingerror"/>
          <w:rFonts w:cs="Calibri"/>
          <w:color w:val="000000"/>
          <w:szCs w:val="22"/>
          <w:shd w:val="clear" w:color="auto" w:fill="FFFFFF"/>
          <w:lang w:val="es-ES"/>
        </w:rPr>
        <w:t>Mexico</w:t>
      </w:r>
      <w:r>
        <w:rPr>
          <w:rStyle w:val="normaltextrun"/>
          <w:rFonts w:cs="Calibri"/>
          <w:color w:val="000000"/>
          <w:szCs w:val="22"/>
          <w:shd w:val="clear" w:color="auto" w:fill="FFFFFF"/>
          <w:lang w:val="es-ES"/>
        </w:rPr>
        <w:t>); Brian </w:t>
      </w:r>
      <w:r>
        <w:rPr>
          <w:rStyle w:val="spellingerror"/>
          <w:rFonts w:cs="Calibri"/>
          <w:color w:val="000000"/>
          <w:szCs w:val="22"/>
          <w:shd w:val="clear" w:color="auto" w:fill="FFFFFF"/>
          <w:lang w:val="es-ES"/>
        </w:rPr>
        <w:t>Enquist</w:t>
      </w:r>
      <w:r>
        <w:rPr>
          <w:rStyle w:val="normaltextrun"/>
          <w:rFonts w:cs="Calibri"/>
          <w:color w:val="000000"/>
          <w:szCs w:val="22"/>
          <w:shd w:val="clear" w:color="auto" w:fill="FFFFFF"/>
          <w:lang w:val="es-ES"/>
        </w:rPr>
        <w:t> (USA); Beth </w:t>
      </w:r>
      <w:r>
        <w:rPr>
          <w:rStyle w:val="spellingerror"/>
          <w:rFonts w:cs="Calibri"/>
          <w:color w:val="000000"/>
          <w:szCs w:val="22"/>
          <w:shd w:val="clear" w:color="auto" w:fill="FFFFFF"/>
          <w:lang w:val="es-ES"/>
        </w:rPr>
        <w:t>Fallon</w:t>
      </w:r>
      <w:r>
        <w:rPr>
          <w:rStyle w:val="normaltextrun"/>
          <w:rFonts w:cs="Calibri"/>
          <w:color w:val="000000"/>
          <w:szCs w:val="22"/>
          <w:shd w:val="clear" w:color="auto" w:fill="FFFFFF"/>
          <w:lang w:val="es-ES"/>
        </w:rPr>
        <w:t> (USA); Curtis </w:t>
      </w:r>
      <w:r>
        <w:rPr>
          <w:rStyle w:val="spellingerror"/>
          <w:rFonts w:cs="Calibri"/>
          <w:color w:val="000000"/>
          <w:szCs w:val="22"/>
          <w:shd w:val="clear" w:color="auto" w:fill="FFFFFF"/>
          <w:lang w:val="es-ES"/>
        </w:rPr>
        <w:t>Flather</w:t>
      </w:r>
      <w:r>
        <w:rPr>
          <w:rStyle w:val="normaltextrun"/>
          <w:rFonts w:cs="Calibri"/>
          <w:color w:val="000000"/>
          <w:szCs w:val="22"/>
          <w:shd w:val="clear" w:color="auto" w:fill="FFFFFF"/>
          <w:lang w:val="es-ES"/>
        </w:rPr>
        <w:t> (USA); Lee </w:t>
      </w:r>
      <w:r>
        <w:rPr>
          <w:rStyle w:val="spellingerror"/>
          <w:rFonts w:cs="Calibri"/>
          <w:color w:val="000000"/>
          <w:szCs w:val="22"/>
          <w:shd w:val="clear" w:color="auto" w:fill="FFFFFF"/>
          <w:lang w:val="es-ES"/>
        </w:rPr>
        <w:t>Frelich</w:t>
      </w:r>
      <w:r>
        <w:rPr>
          <w:rStyle w:val="normaltextrun"/>
          <w:rFonts w:cs="Calibri"/>
          <w:color w:val="000000"/>
          <w:szCs w:val="22"/>
          <w:shd w:val="clear" w:color="auto" w:fill="FFFFFF"/>
          <w:lang w:val="es-ES"/>
        </w:rPr>
        <w:t> (USA); Susan </w:t>
      </w:r>
      <w:r>
        <w:rPr>
          <w:rStyle w:val="spellingerror"/>
          <w:rFonts w:cs="Calibri"/>
          <w:color w:val="000000"/>
          <w:szCs w:val="22"/>
          <w:shd w:val="clear" w:color="auto" w:fill="FFFFFF"/>
          <w:lang w:val="es-ES"/>
        </w:rPr>
        <w:t>Galatowitsch</w:t>
      </w:r>
      <w:r>
        <w:rPr>
          <w:rStyle w:val="normaltextrun"/>
          <w:rFonts w:cs="Calibri"/>
          <w:color w:val="000000"/>
          <w:szCs w:val="22"/>
          <w:shd w:val="clear" w:color="auto" w:fill="FFFFFF"/>
          <w:lang w:val="es-ES"/>
        </w:rPr>
        <w:t> (USA); Kelly </w:t>
      </w:r>
      <w:r>
        <w:rPr>
          <w:rStyle w:val="spellingerror"/>
          <w:rFonts w:cs="Calibri"/>
          <w:color w:val="000000"/>
          <w:szCs w:val="22"/>
          <w:shd w:val="clear" w:color="auto" w:fill="FFFFFF"/>
          <w:lang w:val="es-ES"/>
        </w:rPr>
        <w:t>Garbach</w:t>
      </w:r>
      <w:r>
        <w:rPr>
          <w:rStyle w:val="normaltextrun"/>
          <w:rFonts w:cs="Calibri"/>
          <w:color w:val="000000"/>
          <w:szCs w:val="22"/>
          <w:shd w:val="clear" w:color="auto" w:fill="FFFFFF"/>
          <w:lang w:val="es-ES"/>
        </w:rPr>
        <w:t> (USA); Jeff </w:t>
      </w:r>
      <w:r>
        <w:rPr>
          <w:rStyle w:val="spellingerror"/>
          <w:rFonts w:cs="Calibri"/>
          <w:color w:val="000000"/>
          <w:szCs w:val="22"/>
          <w:shd w:val="clear" w:color="auto" w:fill="FFFFFF"/>
          <w:lang w:val="es-ES"/>
        </w:rPr>
        <w:t>Grignon</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Menominee</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Nation</w:t>
      </w:r>
      <w:r>
        <w:rPr>
          <w:rStyle w:val="normaltextrun"/>
          <w:rFonts w:cs="Calibri"/>
          <w:color w:val="000000"/>
          <w:szCs w:val="22"/>
          <w:shd w:val="clear" w:color="auto" w:fill="FFFFFF"/>
          <w:lang w:val="es-ES"/>
        </w:rPr>
        <w:t>, USA); </w:t>
      </w:r>
      <w:r>
        <w:rPr>
          <w:rStyle w:val="spellingerror"/>
          <w:rFonts w:cs="Calibri"/>
          <w:color w:val="000000"/>
          <w:szCs w:val="22"/>
          <w:shd w:val="clear" w:color="auto" w:fill="FFFFFF"/>
          <w:lang w:val="es-ES"/>
        </w:rPr>
        <w:t>Hanno</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Seebens</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Germany</w:t>
      </w:r>
      <w:r>
        <w:rPr>
          <w:rStyle w:val="normaltextrun"/>
          <w:rFonts w:cs="Calibri"/>
          <w:color w:val="000000"/>
          <w:szCs w:val="22"/>
          <w:shd w:val="clear" w:color="auto" w:fill="FFFFFF"/>
          <w:lang w:val="es-ES"/>
        </w:rPr>
        <w:t>); Sharon </w:t>
      </w:r>
      <w:r>
        <w:rPr>
          <w:rStyle w:val="spellingerror"/>
          <w:rFonts w:cs="Calibri"/>
          <w:color w:val="000000"/>
          <w:szCs w:val="22"/>
          <w:shd w:val="clear" w:color="auto" w:fill="FFFFFF"/>
          <w:lang w:val="es-ES"/>
        </w:rPr>
        <w:t>Jansa</w:t>
      </w:r>
      <w:r>
        <w:rPr>
          <w:rStyle w:val="normaltextrun"/>
          <w:rFonts w:cs="Calibri"/>
          <w:color w:val="000000"/>
          <w:szCs w:val="22"/>
          <w:shd w:val="clear" w:color="auto" w:fill="FFFFFF"/>
          <w:lang w:val="es-ES"/>
        </w:rPr>
        <w:t> (USA); Jon </w:t>
      </w:r>
      <w:r>
        <w:rPr>
          <w:rStyle w:val="spellingerror"/>
          <w:rFonts w:cs="Calibri"/>
          <w:color w:val="000000"/>
          <w:szCs w:val="22"/>
          <w:shd w:val="clear" w:color="auto" w:fill="FFFFFF"/>
          <w:lang w:val="es-ES"/>
        </w:rPr>
        <w:t>Keeley</w:t>
      </w:r>
      <w:r>
        <w:rPr>
          <w:rStyle w:val="normaltextrun"/>
          <w:rFonts w:cs="Calibri"/>
          <w:color w:val="000000"/>
          <w:szCs w:val="22"/>
          <w:shd w:val="clear" w:color="auto" w:fill="FFFFFF"/>
          <w:lang w:val="es-ES"/>
        </w:rPr>
        <w:t> (USA); Christina Kennedy (USA); Kenneth </w:t>
      </w:r>
      <w:r>
        <w:rPr>
          <w:rStyle w:val="spellingerror"/>
          <w:rFonts w:cs="Calibri"/>
          <w:color w:val="000000"/>
          <w:szCs w:val="22"/>
          <w:shd w:val="clear" w:color="auto" w:fill="FFFFFF"/>
          <w:lang w:val="es-ES"/>
        </w:rPr>
        <w:t>Kozak</w:t>
      </w:r>
      <w:r>
        <w:rPr>
          <w:rStyle w:val="normaltextrun"/>
          <w:rFonts w:cs="Calibri"/>
          <w:color w:val="000000"/>
          <w:szCs w:val="22"/>
          <w:shd w:val="clear" w:color="auto" w:fill="FFFFFF"/>
          <w:lang w:val="es-ES"/>
        </w:rPr>
        <w:t> (USA); Ulrike Krauss (Saint Lucia); Ian </w:t>
      </w:r>
      <w:r>
        <w:rPr>
          <w:rStyle w:val="spellingerror"/>
          <w:rFonts w:cs="Calibri"/>
          <w:color w:val="000000"/>
          <w:szCs w:val="22"/>
          <w:shd w:val="clear" w:color="auto" w:fill="FFFFFF"/>
          <w:lang w:val="es-ES"/>
        </w:rPr>
        <w:t>McFadden</w:t>
      </w:r>
      <w:r>
        <w:rPr>
          <w:rStyle w:val="normaltextrun"/>
          <w:rFonts w:cs="Calibri"/>
          <w:color w:val="000000"/>
          <w:szCs w:val="22"/>
          <w:shd w:val="clear" w:color="auto" w:fill="FFFFFF"/>
          <w:lang w:val="es-ES"/>
        </w:rPr>
        <w:t> (USA); Mike </w:t>
      </w:r>
      <w:r>
        <w:rPr>
          <w:rStyle w:val="spellingerror"/>
          <w:rFonts w:cs="Calibri"/>
          <w:color w:val="000000"/>
          <w:szCs w:val="22"/>
          <w:shd w:val="clear" w:color="auto" w:fill="FFFFFF"/>
          <w:lang w:val="es-ES"/>
        </w:rPr>
        <w:t>Melnychuk</w:t>
      </w:r>
      <w:r>
        <w:rPr>
          <w:rStyle w:val="normaltextrun"/>
          <w:rFonts w:cs="Calibri"/>
          <w:color w:val="000000"/>
          <w:szCs w:val="22"/>
          <w:shd w:val="clear" w:color="auto" w:fill="FFFFFF"/>
          <w:lang w:val="es-ES"/>
        </w:rPr>
        <w:t> (USA); Christian </w:t>
      </w:r>
      <w:r>
        <w:rPr>
          <w:rStyle w:val="spellingerror"/>
          <w:rFonts w:cs="Calibri"/>
          <w:color w:val="000000"/>
          <w:szCs w:val="22"/>
          <w:shd w:val="clear" w:color="auto" w:fill="FFFFFF"/>
          <w:lang w:val="es-ES"/>
        </w:rPr>
        <w:t>Messier</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Canada</w:t>
      </w:r>
      <w:r>
        <w:rPr>
          <w:rStyle w:val="normaltextrun"/>
          <w:rFonts w:cs="Calibri"/>
          <w:color w:val="000000"/>
          <w:szCs w:val="22"/>
          <w:shd w:val="clear" w:color="auto" w:fill="FFFFFF"/>
          <w:lang w:val="es-ES"/>
        </w:rPr>
        <w:t>); Ana Isabel Moreno-Calles (</w:t>
      </w:r>
      <w:r>
        <w:rPr>
          <w:rStyle w:val="spellingerror"/>
          <w:rFonts w:cs="Calibri"/>
          <w:color w:val="000000"/>
          <w:szCs w:val="22"/>
          <w:shd w:val="clear" w:color="auto" w:fill="FFFFFF"/>
          <w:lang w:val="es-ES"/>
        </w:rPr>
        <w:t>Mexico</w:t>
      </w:r>
      <w:r>
        <w:rPr>
          <w:rStyle w:val="normaltextrun"/>
          <w:rFonts w:cs="Calibri"/>
          <w:color w:val="000000"/>
          <w:szCs w:val="22"/>
          <w:shd w:val="clear" w:color="auto" w:fill="FFFFFF"/>
          <w:lang w:val="es-ES"/>
        </w:rPr>
        <w:t>); Mark Nelson (USA); Danilo </w:t>
      </w:r>
      <w:r>
        <w:rPr>
          <w:rStyle w:val="spellingerror"/>
          <w:rFonts w:cs="Calibri"/>
          <w:color w:val="000000"/>
          <w:szCs w:val="22"/>
          <w:shd w:val="clear" w:color="auto" w:fill="FFFFFF"/>
          <w:lang w:val="es-ES"/>
        </w:rPr>
        <w:t>Mesquita</w:t>
      </w:r>
      <w:r>
        <w:rPr>
          <w:rStyle w:val="normaltextrun"/>
          <w:rFonts w:cs="Calibri"/>
          <w:color w:val="000000"/>
          <w:szCs w:val="22"/>
          <w:shd w:val="clear" w:color="auto" w:fill="FFFFFF"/>
          <w:lang w:val="es-ES"/>
        </w:rPr>
        <w:t> Neves (</w:t>
      </w:r>
      <w:r>
        <w:rPr>
          <w:rStyle w:val="spellingerror"/>
          <w:rFonts w:cs="Calibri"/>
          <w:color w:val="000000"/>
          <w:szCs w:val="22"/>
          <w:shd w:val="clear" w:color="auto" w:fill="FFFFFF"/>
          <w:lang w:val="es-ES"/>
        </w:rPr>
        <w:t>Brazil</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Cathleen</w:t>
      </w:r>
      <w:r>
        <w:rPr>
          <w:rStyle w:val="normaltextrun"/>
          <w:rFonts w:cs="Calibri"/>
          <w:color w:val="000000"/>
          <w:szCs w:val="22"/>
          <w:shd w:val="clear" w:color="auto" w:fill="FFFFFF"/>
          <w:lang w:val="es-ES"/>
        </w:rPr>
        <w:t> Nguyen (USA); Mary O’Connor (</w:t>
      </w:r>
      <w:r>
        <w:rPr>
          <w:rStyle w:val="spellingerror"/>
          <w:rFonts w:cs="Calibri"/>
          <w:color w:val="000000"/>
          <w:szCs w:val="22"/>
          <w:shd w:val="clear" w:color="auto" w:fill="FFFFFF"/>
          <w:lang w:val="es-ES"/>
        </w:rPr>
        <w:t>Canada</w:t>
      </w:r>
      <w:r>
        <w:rPr>
          <w:rStyle w:val="normaltextrun"/>
          <w:rFonts w:cs="Calibri"/>
          <w:color w:val="000000"/>
          <w:szCs w:val="22"/>
          <w:shd w:val="clear" w:color="auto" w:fill="FFFFFF"/>
          <w:lang w:val="es-ES"/>
        </w:rPr>
        <w:t>); Josep </w:t>
      </w:r>
      <w:r>
        <w:rPr>
          <w:rStyle w:val="spellingerror"/>
          <w:rFonts w:cs="Calibri"/>
          <w:color w:val="000000"/>
          <w:szCs w:val="22"/>
          <w:shd w:val="clear" w:color="auto" w:fill="FFFFFF"/>
          <w:lang w:val="es-ES"/>
        </w:rPr>
        <w:t>Padullés</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Spain</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Shyama</w:t>
      </w:r>
      <w:r>
        <w:rPr>
          <w:rStyle w:val="normaltextrun"/>
          <w:rFonts w:cs="Calibri"/>
          <w:color w:val="000000"/>
          <w:szCs w:val="22"/>
          <w:shd w:val="clear" w:color="auto" w:fill="FFFFFF"/>
          <w:lang w:val="es-ES"/>
        </w:rPr>
        <w:t> Pagad (New </w:t>
      </w:r>
      <w:r>
        <w:rPr>
          <w:rStyle w:val="spellingerror"/>
          <w:rFonts w:cs="Calibri"/>
          <w:color w:val="000000"/>
          <w:szCs w:val="22"/>
          <w:shd w:val="clear" w:color="auto" w:fill="FFFFFF"/>
          <w:lang w:val="es-ES"/>
        </w:rPr>
        <w:t>Zealand</w:t>
      </w:r>
      <w:r>
        <w:rPr>
          <w:rStyle w:val="normaltextrun"/>
          <w:rFonts w:cs="Calibri"/>
          <w:color w:val="000000"/>
          <w:szCs w:val="22"/>
          <w:shd w:val="clear" w:color="auto" w:fill="FFFFFF"/>
          <w:lang w:val="es-ES"/>
        </w:rPr>
        <w:t>); Alain </w:t>
      </w:r>
      <w:r>
        <w:rPr>
          <w:rStyle w:val="spellingerror"/>
          <w:rFonts w:cs="Calibri"/>
          <w:color w:val="000000"/>
          <w:szCs w:val="22"/>
          <w:shd w:val="clear" w:color="auto" w:fill="FFFFFF"/>
          <w:lang w:val="es-ES"/>
        </w:rPr>
        <w:t>Paquette</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Canada</w:t>
      </w:r>
      <w:r>
        <w:rPr>
          <w:rStyle w:val="normaltextrun"/>
          <w:rFonts w:cs="Calibri"/>
          <w:color w:val="000000"/>
          <w:szCs w:val="22"/>
          <w:shd w:val="clear" w:color="auto" w:fill="FFFFFF"/>
          <w:lang w:val="es-ES"/>
        </w:rPr>
        <w:t>); Lindsey </w:t>
      </w:r>
      <w:r>
        <w:rPr>
          <w:rStyle w:val="spellingerror"/>
          <w:rFonts w:cs="Calibri"/>
          <w:color w:val="000000"/>
          <w:szCs w:val="22"/>
          <w:shd w:val="clear" w:color="auto" w:fill="FFFFFF"/>
          <w:lang w:val="es-ES"/>
        </w:rPr>
        <w:t>Peavey</w:t>
      </w:r>
      <w:r>
        <w:rPr>
          <w:rStyle w:val="normaltextrun"/>
          <w:rFonts w:cs="Calibri"/>
          <w:color w:val="000000"/>
          <w:szCs w:val="22"/>
          <w:shd w:val="clear" w:color="auto" w:fill="FFFFFF"/>
          <w:lang w:val="es-ES"/>
        </w:rPr>
        <w:t> (USA); </w:t>
      </w:r>
      <w:r>
        <w:rPr>
          <w:rStyle w:val="spellingerror"/>
          <w:rFonts w:cs="Calibri"/>
          <w:color w:val="000000"/>
          <w:szCs w:val="22"/>
          <w:shd w:val="clear" w:color="auto" w:fill="FFFFFF"/>
          <w:lang w:val="es-ES"/>
        </w:rPr>
        <w:t>Jesus</w:t>
      </w:r>
      <w:r>
        <w:rPr>
          <w:rStyle w:val="normaltextrun"/>
          <w:rFonts w:cs="Calibri"/>
          <w:color w:val="000000"/>
          <w:szCs w:val="22"/>
          <w:shd w:val="clear" w:color="auto" w:fill="FFFFFF"/>
          <w:lang w:val="es-ES"/>
        </w:rPr>
        <w:t> Pinto-Ledezma (Bolivia); Diana Ramírez-Mejía (</w:t>
      </w:r>
      <w:r>
        <w:rPr>
          <w:rStyle w:val="spellingerror"/>
          <w:rFonts w:cs="Calibri"/>
          <w:color w:val="000000"/>
          <w:szCs w:val="22"/>
          <w:shd w:val="clear" w:color="auto" w:fill="FFFFFF"/>
          <w:lang w:val="es-ES"/>
        </w:rPr>
        <w:t>Mexico</w:t>
      </w:r>
      <w:r>
        <w:rPr>
          <w:rStyle w:val="normaltextrun"/>
          <w:rFonts w:cs="Calibri"/>
          <w:color w:val="000000"/>
          <w:szCs w:val="22"/>
          <w:shd w:val="clear" w:color="auto" w:fill="FFFFFF"/>
          <w:lang w:val="es-ES"/>
        </w:rPr>
        <w:t>); María Francisca Flores Saavedra (Chile); Jane Smith (USA); Valeria Souza (</w:t>
      </w:r>
      <w:r>
        <w:rPr>
          <w:rStyle w:val="spellingerror"/>
          <w:rFonts w:cs="Calibri"/>
          <w:color w:val="000000"/>
          <w:szCs w:val="22"/>
          <w:shd w:val="clear" w:color="auto" w:fill="FFFFFF"/>
          <w:lang w:val="es-ES"/>
        </w:rPr>
        <w:t>Mexico</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Katharine</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Suding</w:t>
      </w:r>
      <w:r>
        <w:rPr>
          <w:rStyle w:val="normaltextrun"/>
          <w:rFonts w:cs="Calibri"/>
          <w:color w:val="000000"/>
          <w:szCs w:val="22"/>
          <w:shd w:val="clear" w:color="auto" w:fill="FFFFFF"/>
          <w:lang w:val="es-ES"/>
        </w:rPr>
        <w:t> (USA); Hans ter </w:t>
      </w:r>
      <w:r>
        <w:rPr>
          <w:rStyle w:val="spellingerror"/>
          <w:rFonts w:cs="Calibri"/>
          <w:color w:val="000000"/>
          <w:szCs w:val="22"/>
          <w:shd w:val="clear" w:color="auto" w:fill="FFFFFF"/>
          <w:lang w:val="es-ES"/>
        </w:rPr>
        <w:t>Steege</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Holland</w:t>
      </w:r>
      <w:r>
        <w:rPr>
          <w:rStyle w:val="normaltextrun"/>
          <w:rFonts w:cs="Calibri"/>
          <w:color w:val="000000"/>
          <w:szCs w:val="22"/>
          <w:shd w:val="clear" w:color="auto" w:fill="FFFFFF"/>
          <w:lang w:val="es-ES"/>
        </w:rPr>
        <w:t>/</w:t>
      </w:r>
      <w:r>
        <w:rPr>
          <w:rStyle w:val="spellingerror"/>
          <w:rFonts w:cs="Calibri"/>
          <w:color w:val="000000"/>
          <w:szCs w:val="22"/>
          <w:shd w:val="clear" w:color="auto" w:fill="FFFFFF"/>
          <w:lang w:val="es-ES"/>
        </w:rPr>
        <w:t>Brazil</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Wolke</w:t>
      </w:r>
      <w:r>
        <w:rPr>
          <w:rStyle w:val="normaltextrun"/>
          <w:rFonts w:cs="Calibri"/>
          <w:color w:val="000000"/>
          <w:szCs w:val="22"/>
          <w:shd w:val="clear" w:color="auto" w:fill="FFFFFF"/>
          <w:lang w:val="es-ES"/>
        </w:rPr>
        <w:t> Tobón (</w:t>
      </w:r>
      <w:r>
        <w:rPr>
          <w:rStyle w:val="spellingerror"/>
          <w:rFonts w:cs="Calibri"/>
          <w:color w:val="000000"/>
          <w:szCs w:val="22"/>
          <w:shd w:val="clear" w:color="auto" w:fill="FFFFFF"/>
          <w:lang w:val="es-ES"/>
        </w:rPr>
        <w:t>Mexico</w:t>
      </w:r>
      <w:r>
        <w:rPr>
          <w:rStyle w:val="normaltextrun"/>
          <w:rFonts w:cs="Calibri"/>
          <w:color w:val="000000"/>
          <w:szCs w:val="22"/>
          <w:shd w:val="clear" w:color="auto" w:fill="FFFFFF"/>
          <w:lang w:val="es-ES"/>
        </w:rPr>
        <w:t>); Ignacio Torres-García (</w:t>
      </w:r>
      <w:r>
        <w:rPr>
          <w:rStyle w:val="spellingerror"/>
          <w:rFonts w:cs="Calibri"/>
          <w:color w:val="000000"/>
          <w:szCs w:val="22"/>
          <w:shd w:val="clear" w:color="auto" w:fill="FFFFFF"/>
          <w:lang w:val="es-ES"/>
        </w:rPr>
        <w:t>Mexico</w:t>
      </w:r>
      <w:r>
        <w:rPr>
          <w:rStyle w:val="normaltextrun"/>
          <w:rFonts w:cs="Calibri"/>
          <w:color w:val="000000"/>
          <w:szCs w:val="22"/>
          <w:shd w:val="clear" w:color="auto" w:fill="FFFFFF"/>
          <w:lang w:val="es-ES"/>
        </w:rPr>
        <w:t>); Mark van </w:t>
      </w:r>
      <w:r>
        <w:rPr>
          <w:rStyle w:val="spellingerror"/>
          <w:rFonts w:cs="Calibri"/>
          <w:color w:val="000000"/>
          <w:szCs w:val="22"/>
          <w:shd w:val="clear" w:color="auto" w:fill="FFFFFF"/>
          <w:lang w:val="es-ES"/>
        </w:rPr>
        <w:t>Kleunen</w:t>
      </w:r>
      <w:r>
        <w:rPr>
          <w:rStyle w:val="normaltextrun"/>
          <w:rFonts w:cs="Calibri"/>
          <w:color w:val="000000"/>
          <w:szCs w:val="22"/>
          <w:shd w:val="clear" w:color="auto" w:fill="FFFFFF"/>
          <w:lang w:val="es-ES"/>
        </w:rPr>
        <w:t> (</w:t>
      </w:r>
      <w:r>
        <w:rPr>
          <w:rStyle w:val="spellingerror"/>
          <w:rFonts w:cs="Calibri"/>
          <w:color w:val="000000"/>
          <w:szCs w:val="22"/>
          <w:shd w:val="clear" w:color="auto" w:fill="FFFFFF"/>
          <w:lang w:val="es-ES"/>
        </w:rPr>
        <w:t>Germany</w:t>
      </w:r>
      <w:r>
        <w:rPr>
          <w:rStyle w:val="normaltextrun"/>
          <w:rFonts w:cs="Calibri"/>
          <w:color w:val="000000"/>
          <w:szCs w:val="22"/>
          <w:shd w:val="clear" w:color="auto" w:fill="FFFFFF"/>
          <w:lang w:val="es-ES"/>
        </w:rPr>
        <w:t>). </w:t>
      </w:r>
      <w:r w:rsidRPr="001F1423">
        <w:rPr>
          <w:rStyle w:val="eop"/>
          <w:rFonts w:cs="Calibri"/>
          <w:color w:val="000000"/>
          <w:szCs w:val="22"/>
          <w:shd w:val="clear" w:color="auto" w:fill="FFFFFF"/>
          <w:lang w:val="es-CO"/>
        </w:rPr>
        <w:t> </w:t>
      </w:r>
    </w:p>
    <w:p w14:paraId="07DE1876" w14:textId="77777777" w:rsidR="001F1423" w:rsidRPr="001F1423" w:rsidRDefault="001F1423" w:rsidP="006F4EE4">
      <w:pPr>
        <w:rPr>
          <w:lang w:val="es-CO"/>
        </w:rPr>
      </w:pPr>
    </w:p>
    <w:p w14:paraId="2F41C374" w14:textId="77777777" w:rsidR="00930566" w:rsidRPr="008608AA" w:rsidRDefault="00902618" w:rsidP="006F4EE4">
      <w:pPr>
        <w:rPr>
          <w:lang w:val="es-ES"/>
        </w:rPr>
      </w:pPr>
      <w:r w:rsidRPr="008608AA">
        <w:rPr>
          <w:b/>
          <w:bCs/>
          <w:lang w:val="es-ES"/>
        </w:rPr>
        <w:t>Review Editors</w:t>
      </w:r>
      <w:r w:rsidR="004255E7" w:rsidRPr="008608AA">
        <w:rPr>
          <w:b/>
          <w:bCs/>
          <w:lang w:val="es-ES"/>
        </w:rPr>
        <w:t xml:space="preserve">: </w:t>
      </w:r>
      <w:r w:rsidR="004255E7" w:rsidRPr="008608AA">
        <w:rPr>
          <w:lang w:val="es-ES"/>
        </w:rPr>
        <w:t>Patricia Balvanera (Mexico), Alexis Cerezo (Guatemala).</w:t>
      </w:r>
    </w:p>
    <w:p w14:paraId="13475E5D" w14:textId="77777777" w:rsidR="00930566" w:rsidRPr="008608AA" w:rsidRDefault="00930566" w:rsidP="006F4EE4">
      <w:pPr>
        <w:rPr>
          <w:lang w:val="es-ES"/>
        </w:rPr>
      </w:pPr>
    </w:p>
    <w:p w14:paraId="4C363BF0" w14:textId="77777777" w:rsidR="00A15732" w:rsidRPr="008608AA" w:rsidRDefault="00A15732" w:rsidP="006F4EE4">
      <w:pPr>
        <w:rPr>
          <w:lang w:val="es-ES"/>
        </w:rPr>
      </w:pPr>
    </w:p>
    <w:p w14:paraId="58FF0465" w14:textId="77777777" w:rsidR="00A15732" w:rsidRPr="008608AA" w:rsidRDefault="00A15732" w:rsidP="006F4EE4">
      <w:pPr>
        <w:rPr>
          <w:lang w:val="es-ES"/>
        </w:rPr>
      </w:pPr>
    </w:p>
    <w:p w14:paraId="33FBCEA8" w14:textId="2B9D4A40" w:rsidR="00930566" w:rsidRPr="008608AA" w:rsidRDefault="00A15732" w:rsidP="00930566">
      <w:pPr>
        <w:tabs>
          <w:tab w:val="left" w:pos="4082"/>
        </w:tabs>
        <w:rPr>
          <w:b/>
        </w:rPr>
      </w:pPr>
      <w:r w:rsidRPr="008608AA">
        <w:rPr>
          <w:b/>
        </w:rPr>
        <w:t>To be cited as</w:t>
      </w:r>
      <w:r w:rsidR="00651877" w:rsidRPr="008608AA">
        <w:rPr>
          <w:b/>
        </w:rPr>
        <w:t>:</w:t>
      </w:r>
    </w:p>
    <w:p w14:paraId="3E5BA954" w14:textId="60597286" w:rsidR="004255E7" w:rsidRPr="008608AA" w:rsidRDefault="001F1423" w:rsidP="00F5502C">
      <w:pPr>
        <w:tabs>
          <w:tab w:val="left" w:pos="4082"/>
        </w:tabs>
        <w:rPr>
          <w:b/>
          <w:lang w:val="en-GB"/>
        </w:rPr>
      </w:pPr>
      <w:r>
        <w:rPr>
          <w:rStyle w:val="normaltextrun"/>
          <w:rFonts w:cs="Calibri"/>
          <w:color w:val="000000"/>
          <w:szCs w:val="22"/>
          <w:shd w:val="clear" w:color="auto" w:fill="FFFFFF"/>
        </w:rPr>
        <w:t>Cavender-Bares, J., Arroyo, M.T.K., Abell, R., Ackerly, D., Ackerman, D., </w:t>
      </w:r>
      <w:r>
        <w:rPr>
          <w:rStyle w:val="spellingerror"/>
          <w:rFonts w:cs="Calibri"/>
          <w:color w:val="000000"/>
          <w:szCs w:val="22"/>
          <w:shd w:val="clear" w:color="auto" w:fill="FFFFFF"/>
        </w:rPr>
        <w:t>Arim</w:t>
      </w:r>
      <w:r>
        <w:rPr>
          <w:rStyle w:val="normaltextrun"/>
          <w:rFonts w:cs="Calibri"/>
          <w:color w:val="000000"/>
          <w:szCs w:val="22"/>
          <w:shd w:val="clear" w:color="auto" w:fill="FFFFFF"/>
        </w:rPr>
        <w:t>, M., Belnap, J., </w:t>
      </w:r>
      <w:r>
        <w:rPr>
          <w:rStyle w:val="spellingerror"/>
          <w:rFonts w:cs="Calibri"/>
          <w:color w:val="000000"/>
          <w:szCs w:val="22"/>
          <w:shd w:val="clear" w:color="auto" w:fill="FFFFFF"/>
        </w:rPr>
        <w:t>Castañeda</w:t>
      </w:r>
      <w:r>
        <w:rPr>
          <w:rStyle w:val="normaltextrun"/>
          <w:rFonts w:cs="Calibri"/>
          <w:color w:val="000000"/>
          <w:szCs w:val="22"/>
          <w:shd w:val="clear" w:color="auto" w:fill="FFFFFF"/>
        </w:rPr>
        <w:t> Moya, F., Dee, L., Estrada-Carmona, N., Gobin, J., Isbell, F., Köhler, G., </w:t>
      </w:r>
      <w:r>
        <w:rPr>
          <w:rStyle w:val="spellingerror"/>
          <w:rFonts w:cs="Calibri"/>
          <w:color w:val="000000"/>
          <w:szCs w:val="22"/>
          <w:shd w:val="clear" w:color="auto" w:fill="FFFFFF"/>
        </w:rPr>
        <w:t>Koops</w:t>
      </w:r>
      <w:r>
        <w:rPr>
          <w:rStyle w:val="normaltextrun"/>
          <w:rFonts w:cs="Calibri"/>
          <w:color w:val="000000"/>
          <w:szCs w:val="22"/>
          <w:shd w:val="clear" w:color="auto" w:fill="FFFFFF"/>
        </w:rPr>
        <w:t>, M., Kraft, N., Mcfarlane, N., Martínez-Garza, C., Metzger, J. P., Mora, A., </w:t>
      </w:r>
      <w:r>
        <w:rPr>
          <w:rStyle w:val="spellingerror"/>
          <w:rFonts w:cs="Calibri"/>
          <w:color w:val="000000"/>
          <w:szCs w:val="22"/>
          <w:shd w:val="clear" w:color="auto" w:fill="FFFFFF"/>
        </w:rPr>
        <w:t>Oatham</w:t>
      </w:r>
      <w:r>
        <w:rPr>
          <w:rStyle w:val="normaltextrun"/>
          <w:rFonts w:cs="Calibri"/>
          <w:color w:val="000000"/>
          <w:szCs w:val="22"/>
          <w:shd w:val="clear" w:color="auto" w:fill="FFFFFF"/>
        </w:rPr>
        <w:t>, M., Paglia, A., </w:t>
      </w:r>
      <w:r>
        <w:rPr>
          <w:rStyle w:val="spellingerror"/>
          <w:rFonts w:cs="Calibri"/>
          <w:color w:val="000000"/>
          <w:szCs w:val="22"/>
          <w:shd w:val="clear" w:color="auto" w:fill="FFFFFF"/>
        </w:rPr>
        <w:t>Pedrana</w:t>
      </w:r>
      <w:r>
        <w:rPr>
          <w:rStyle w:val="normaltextrun"/>
          <w:rFonts w:cs="Calibri"/>
          <w:color w:val="000000"/>
          <w:szCs w:val="22"/>
          <w:shd w:val="clear" w:color="auto" w:fill="FFFFFF"/>
        </w:rPr>
        <w:t>, J., Peri, P. L., </w:t>
      </w:r>
      <w:r>
        <w:rPr>
          <w:rStyle w:val="spellingerror"/>
          <w:rFonts w:cs="Calibri"/>
          <w:color w:val="000000"/>
          <w:szCs w:val="22"/>
          <w:shd w:val="clear" w:color="auto" w:fill="FFFFFF"/>
        </w:rPr>
        <w:t>Piñeiro</w:t>
      </w:r>
      <w:r>
        <w:rPr>
          <w:rStyle w:val="normaltextrun"/>
          <w:rFonts w:cs="Calibri"/>
          <w:color w:val="000000"/>
          <w:szCs w:val="22"/>
          <w:shd w:val="clear" w:color="auto" w:fill="FFFFFF"/>
        </w:rPr>
        <w:t>, G., Randall, R., Robbins, W. W., Weis, J., and Ziller, S. R. </w:t>
      </w:r>
      <w:r>
        <w:rPr>
          <w:rStyle w:val="normaltextrun"/>
          <w:rFonts w:cs="Calibri"/>
          <w:color w:val="000000"/>
          <w:szCs w:val="22"/>
          <w:shd w:val="clear" w:color="auto" w:fill="FFFFFF"/>
          <w:lang w:val="en-GB"/>
        </w:rPr>
        <w:t>Chapter 3 Status and trends of biodiversity and ecosystem functions underpinning nature’s benefit to people. In IPBES (2018): The IPBES regional assessment report on biodiversity and ecosystem services for the Americas. Rice, J., </w:t>
      </w:r>
      <w:r>
        <w:rPr>
          <w:rStyle w:val="spellingerror"/>
          <w:rFonts w:cs="Calibri"/>
          <w:color w:val="000000"/>
          <w:szCs w:val="22"/>
          <w:shd w:val="clear" w:color="auto" w:fill="FFFFFF"/>
          <w:lang w:val="en-GB"/>
        </w:rPr>
        <w:t>Seixas</w:t>
      </w:r>
      <w:r>
        <w:rPr>
          <w:rStyle w:val="normaltextrun"/>
          <w:rFonts w:cs="Calibri"/>
          <w:color w:val="000000"/>
          <w:szCs w:val="22"/>
          <w:shd w:val="clear" w:color="auto" w:fill="FFFFFF"/>
          <w:lang w:val="en-GB"/>
        </w:rPr>
        <w:t>, C. S., Zaccagnini, M. E., Bedoya-Gaitán, M., and Valderrama, N. (eds.). Secretariat of the Intergovernmental Science-Policy Platform on Biodiversity and Ecosystem Services, Bonn, Germany, pp.</w:t>
      </w:r>
      <w:r w:rsidR="00286530">
        <w:rPr>
          <w:rStyle w:val="normaltextrun"/>
          <w:rFonts w:cs="Calibri"/>
          <w:color w:val="000000"/>
          <w:szCs w:val="22"/>
          <w:shd w:val="clear" w:color="auto" w:fill="FFFFFF"/>
          <w:lang w:val="en-GB"/>
        </w:rPr>
        <w:t xml:space="preserve"> xx-xx</w:t>
      </w:r>
      <w:r w:rsidR="004255E7" w:rsidRPr="008608AA">
        <w:rPr>
          <w:lang w:val="en-GB"/>
        </w:rPr>
        <w:br w:type="page"/>
      </w:r>
    </w:p>
    <w:bookmarkEnd w:id="759"/>
    <w:bookmarkEnd w:id="760"/>
    <w:bookmarkEnd w:id="761"/>
    <w:p w14:paraId="415920FF" w14:textId="4F6B5EB2" w:rsidR="00735D6C" w:rsidRPr="008608AA" w:rsidRDefault="00735D6C" w:rsidP="00735D6C">
      <w:pPr>
        <w:tabs>
          <w:tab w:val="left" w:pos="4082"/>
        </w:tabs>
        <w:rPr>
          <w:b/>
          <w:sz w:val="28"/>
        </w:rPr>
      </w:pPr>
      <w:r w:rsidRPr="008608AA">
        <w:rPr>
          <w:b/>
          <w:sz w:val="28"/>
        </w:rPr>
        <w:t>Table of contents</w:t>
      </w:r>
      <w:r w:rsidR="009F0E42" w:rsidRPr="008608AA">
        <w:rPr>
          <w:b/>
          <w:sz w:val="28"/>
        </w:rPr>
        <w:t xml:space="preserve"> C</w:t>
      </w:r>
      <w:r w:rsidR="002F3654" w:rsidRPr="008608AA">
        <w:rPr>
          <w:b/>
          <w:sz w:val="28"/>
        </w:rPr>
        <w:t>hapter 3</w:t>
      </w:r>
    </w:p>
    <w:p w14:paraId="45429942" w14:textId="5F970756" w:rsidR="00C40619" w:rsidRDefault="005C6E96">
      <w:pPr>
        <w:pStyle w:val="TOC1"/>
        <w:rPr>
          <w:rFonts w:asciiTheme="minorHAnsi" w:eastAsiaTheme="minorEastAsia" w:hAnsiTheme="minorHAnsi" w:cstheme="minorBidi"/>
          <w:b w:val="0"/>
          <w:bCs w:val="0"/>
          <w:szCs w:val="22"/>
          <w:lang w:val="es-CO" w:eastAsia="es-CO"/>
        </w:rPr>
      </w:pPr>
      <w:r w:rsidRPr="008608AA">
        <w:rPr>
          <w:b w:val="0"/>
          <w:sz w:val="28"/>
        </w:rPr>
        <w:fldChar w:fldCharType="begin"/>
      </w:r>
      <w:r w:rsidRPr="008608AA">
        <w:rPr>
          <w:b w:val="0"/>
          <w:sz w:val="28"/>
        </w:rPr>
        <w:instrText xml:space="preserve"> TO</w:instrText>
      </w:r>
      <w:r w:rsidR="00403781" w:rsidRPr="008608AA">
        <w:rPr>
          <w:b w:val="0"/>
          <w:sz w:val="28"/>
        </w:rPr>
        <w:instrText>C \o "1-4" \h \z \u \b "Chap</w:instrText>
      </w:r>
      <w:r w:rsidRPr="008608AA">
        <w:rPr>
          <w:b w:val="0"/>
          <w:sz w:val="28"/>
        </w:rPr>
        <w:instrText xml:space="preserve">3" </w:instrText>
      </w:r>
      <w:r w:rsidRPr="008608AA">
        <w:rPr>
          <w:b w:val="0"/>
          <w:sz w:val="28"/>
        </w:rPr>
        <w:fldChar w:fldCharType="separate"/>
      </w:r>
      <w:hyperlink w:anchor="_Toc517796979" w:history="1">
        <w:r w:rsidR="00C40619" w:rsidRPr="00141DA8">
          <w:rPr>
            <w:rStyle w:val="Hyperlink"/>
          </w:rPr>
          <w:t>Chapter 3: Status and trends of  biodiversity and ecosystem functions underpinning nature’s benefit to people</w:t>
        </w:r>
        <w:r w:rsidR="00C40619">
          <w:rPr>
            <w:webHidden/>
          </w:rPr>
          <w:tab/>
        </w:r>
        <w:r w:rsidR="00C40619">
          <w:rPr>
            <w:webHidden/>
          </w:rPr>
          <w:fldChar w:fldCharType="begin"/>
        </w:r>
        <w:r w:rsidR="00C40619">
          <w:rPr>
            <w:webHidden/>
          </w:rPr>
          <w:instrText xml:space="preserve"> PAGEREF _Toc517796979 \h </w:instrText>
        </w:r>
        <w:r w:rsidR="00C40619">
          <w:rPr>
            <w:webHidden/>
          </w:rPr>
        </w:r>
        <w:r w:rsidR="00C40619">
          <w:rPr>
            <w:webHidden/>
          </w:rPr>
          <w:fldChar w:fldCharType="separate"/>
        </w:r>
        <w:r w:rsidR="00402074">
          <w:rPr>
            <w:webHidden/>
          </w:rPr>
          <w:t>216</w:t>
        </w:r>
        <w:r w:rsidR="00C40619">
          <w:rPr>
            <w:webHidden/>
          </w:rPr>
          <w:fldChar w:fldCharType="end"/>
        </w:r>
      </w:hyperlink>
    </w:p>
    <w:p w14:paraId="26FE5B0F" w14:textId="489EC437" w:rsidR="00C40619" w:rsidRDefault="00E84199">
      <w:pPr>
        <w:pStyle w:val="TOC1"/>
        <w:rPr>
          <w:rFonts w:asciiTheme="minorHAnsi" w:eastAsiaTheme="minorEastAsia" w:hAnsiTheme="minorHAnsi" w:cstheme="minorBidi"/>
          <w:b w:val="0"/>
          <w:bCs w:val="0"/>
          <w:szCs w:val="22"/>
          <w:lang w:val="es-CO" w:eastAsia="es-CO"/>
        </w:rPr>
      </w:pPr>
      <w:hyperlink w:anchor="_Toc517796980" w:history="1">
        <w:r w:rsidR="00C40619" w:rsidRPr="00141DA8">
          <w:rPr>
            <w:rStyle w:val="Hyperlink"/>
          </w:rPr>
          <w:t>3</w:t>
        </w:r>
        <w:r w:rsidR="00C40619">
          <w:rPr>
            <w:rFonts w:asciiTheme="minorHAnsi" w:eastAsiaTheme="minorEastAsia" w:hAnsiTheme="minorHAnsi" w:cstheme="minorBidi"/>
            <w:b w:val="0"/>
            <w:bCs w:val="0"/>
            <w:szCs w:val="22"/>
            <w:lang w:val="es-CO" w:eastAsia="es-CO"/>
          </w:rPr>
          <w:tab/>
        </w:r>
        <w:r w:rsidR="00C40619" w:rsidRPr="00141DA8">
          <w:rPr>
            <w:rStyle w:val="Hyperlink"/>
          </w:rPr>
          <w:t>Executive Summary</w:t>
        </w:r>
        <w:r w:rsidR="00C40619">
          <w:rPr>
            <w:webHidden/>
          </w:rPr>
          <w:tab/>
        </w:r>
        <w:r w:rsidR="00C40619">
          <w:rPr>
            <w:webHidden/>
          </w:rPr>
          <w:fldChar w:fldCharType="begin"/>
        </w:r>
        <w:r w:rsidR="00C40619">
          <w:rPr>
            <w:webHidden/>
          </w:rPr>
          <w:instrText xml:space="preserve"> PAGEREF _Toc517796980 \h </w:instrText>
        </w:r>
        <w:r w:rsidR="00C40619">
          <w:rPr>
            <w:webHidden/>
          </w:rPr>
        </w:r>
        <w:r w:rsidR="00C40619">
          <w:rPr>
            <w:webHidden/>
          </w:rPr>
          <w:fldChar w:fldCharType="separate"/>
        </w:r>
        <w:r w:rsidR="00402074">
          <w:rPr>
            <w:webHidden/>
          </w:rPr>
          <w:t>218</w:t>
        </w:r>
        <w:r w:rsidR="00C40619">
          <w:rPr>
            <w:webHidden/>
          </w:rPr>
          <w:fldChar w:fldCharType="end"/>
        </w:r>
      </w:hyperlink>
    </w:p>
    <w:p w14:paraId="06F81F60" w14:textId="5C9C284E" w:rsidR="00C40619" w:rsidRDefault="00E84199">
      <w:pPr>
        <w:pStyle w:val="TOC2"/>
        <w:rPr>
          <w:rFonts w:asciiTheme="minorHAnsi" w:eastAsiaTheme="minorEastAsia" w:hAnsiTheme="minorHAnsi" w:cstheme="minorBidi"/>
          <w:b w:val="0"/>
          <w:bCs w:val="0"/>
          <w:noProof/>
          <w:szCs w:val="22"/>
          <w:lang w:val="es-CO" w:eastAsia="es-CO"/>
        </w:rPr>
      </w:pPr>
      <w:hyperlink w:anchor="_Toc517796981" w:history="1">
        <w:r w:rsidR="00C40619" w:rsidRPr="00141DA8">
          <w:rPr>
            <w:rStyle w:val="Hyperlink"/>
            <w:noProof/>
            <w14:scene3d>
              <w14:camera w14:prst="orthographicFront"/>
              <w14:lightRig w14:rig="threePt" w14:dir="t">
                <w14:rot w14:lat="0" w14:lon="0" w14:rev="0"/>
              </w14:lightRig>
            </w14:scene3d>
          </w:rPr>
          <w:t>3.1</w:t>
        </w:r>
        <w:r w:rsidR="00C40619">
          <w:rPr>
            <w:rFonts w:asciiTheme="minorHAnsi" w:eastAsiaTheme="minorEastAsia" w:hAnsiTheme="minorHAnsi" w:cstheme="minorBidi"/>
            <w:b w:val="0"/>
            <w:bCs w:val="0"/>
            <w:noProof/>
            <w:szCs w:val="22"/>
            <w:lang w:val="es-CO" w:eastAsia="es-CO"/>
          </w:rPr>
          <w:tab/>
        </w:r>
        <w:r w:rsidR="00C40619" w:rsidRPr="00141DA8">
          <w:rPr>
            <w:rStyle w:val="Hyperlink"/>
            <w:noProof/>
          </w:rPr>
          <w:t>Background</w:t>
        </w:r>
        <w:r w:rsidR="00C40619">
          <w:rPr>
            <w:noProof/>
            <w:webHidden/>
          </w:rPr>
          <w:tab/>
        </w:r>
        <w:r w:rsidR="00C40619">
          <w:rPr>
            <w:noProof/>
            <w:webHidden/>
          </w:rPr>
          <w:fldChar w:fldCharType="begin"/>
        </w:r>
        <w:r w:rsidR="00C40619">
          <w:rPr>
            <w:noProof/>
            <w:webHidden/>
          </w:rPr>
          <w:instrText xml:space="preserve"> PAGEREF _Toc517796981 \h </w:instrText>
        </w:r>
        <w:r w:rsidR="00C40619">
          <w:rPr>
            <w:noProof/>
            <w:webHidden/>
          </w:rPr>
        </w:r>
        <w:r w:rsidR="00C40619">
          <w:rPr>
            <w:noProof/>
            <w:webHidden/>
          </w:rPr>
          <w:fldChar w:fldCharType="separate"/>
        </w:r>
        <w:r w:rsidR="00402074">
          <w:rPr>
            <w:noProof/>
            <w:webHidden/>
          </w:rPr>
          <w:t>222</w:t>
        </w:r>
        <w:r w:rsidR="00C40619">
          <w:rPr>
            <w:noProof/>
            <w:webHidden/>
          </w:rPr>
          <w:fldChar w:fldCharType="end"/>
        </w:r>
      </w:hyperlink>
    </w:p>
    <w:p w14:paraId="77D85FF1" w14:textId="34B9BBD7"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82" w:history="1">
        <w:r w:rsidR="00C40619" w:rsidRPr="00141DA8">
          <w:rPr>
            <w:rStyle w:val="Hyperlink"/>
            <w:noProof/>
            <w14:scene3d>
              <w14:camera w14:prst="orthographicFront"/>
              <w14:lightRig w14:rig="threePt" w14:dir="t">
                <w14:rot w14:lat="0" w14:lon="0" w14:rev="0"/>
              </w14:lightRig>
            </w14:scene3d>
          </w:rPr>
          <w:t>3.1.1</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Setting the stage</w:t>
        </w:r>
        <w:r w:rsidR="00C40619">
          <w:rPr>
            <w:noProof/>
            <w:webHidden/>
          </w:rPr>
          <w:tab/>
        </w:r>
        <w:r w:rsidR="00C40619">
          <w:rPr>
            <w:noProof/>
            <w:webHidden/>
          </w:rPr>
          <w:fldChar w:fldCharType="begin"/>
        </w:r>
        <w:r w:rsidR="00C40619">
          <w:rPr>
            <w:noProof/>
            <w:webHidden/>
          </w:rPr>
          <w:instrText xml:space="preserve"> PAGEREF _Toc517796982 \h </w:instrText>
        </w:r>
        <w:r w:rsidR="00C40619">
          <w:rPr>
            <w:noProof/>
            <w:webHidden/>
          </w:rPr>
        </w:r>
        <w:r w:rsidR="00C40619">
          <w:rPr>
            <w:noProof/>
            <w:webHidden/>
          </w:rPr>
          <w:fldChar w:fldCharType="separate"/>
        </w:r>
        <w:r w:rsidR="00402074">
          <w:rPr>
            <w:noProof/>
            <w:webHidden/>
          </w:rPr>
          <w:t>222</w:t>
        </w:r>
        <w:r w:rsidR="00C40619">
          <w:rPr>
            <w:noProof/>
            <w:webHidden/>
          </w:rPr>
          <w:fldChar w:fldCharType="end"/>
        </w:r>
      </w:hyperlink>
    </w:p>
    <w:p w14:paraId="42E597FD" w14:textId="127B1CC6"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83" w:history="1">
        <w:r w:rsidR="00C40619" w:rsidRPr="00141DA8">
          <w:rPr>
            <w:rStyle w:val="Hyperlink"/>
            <w:noProof/>
            <w14:scene3d>
              <w14:camera w14:prst="orthographicFront"/>
              <w14:lightRig w14:rig="threePt" w14:dir="t">
                <w14:rot w14:lat="0" w14:lon="0" w14:rev="0"/>
              </w14:lightRig>
            </w14:scene3d>
          </w:rPr>
          <w:t>3.1.2</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How is biodiversity linked to ecosystem functions and ecosystem services?</w:t>
        </w:r>
        <w:r w:rsidR="00C40619">
          <w:rPr>
            <w:noProof/>
            <w:webHidden/>
          </w:rPr>
          <w:tab/>
        </w:r>
        <w:r w:rsidR="00C40619">
          <w:rPr>
            <w:noProof/>
            <w:webHidden/>
          </w:rPr>
          <w:fldChar w:fldCharType="begin"/>
        </w:r>
        <w:r w:rsidR="00C40619">
          <w:rPr>
            <w:noProof/>
            <w:webHidden/>
          </w:rPr>
          <w:instrText xml:space="preserve"> PAGEREF _Toc517796983 \h </w:instrText>
        </w:r>
        <w:r w:rsidR="00C40619">
          <w:rPr>
            <w:noProof/>
            <w:webHidden/>
          </w:rPr>
        </w:r>
        <w:r w:rsidR="00C40619">
          <w:rPr>
            <w:noProof/>
            <w:webHidden/>
          </w:rPr>
          <w:fldChar w:fldCharType="separate"/>
        </w:r>
        <w:r w:rsidR="00402074">
          <w:rPr>
            <w:noProof/>
            <w:webHidden/>
          </w:rPr>
          <w:t>222</w:t>
        </w:r>
        <w:r w:rsidR="00C40619">
          <w:rPr>
            <w:noProof/>
            <w:webHidden/>
          </w:rPr>
          <w:fldChar w:fldCharType="end"/>
        </w:r>
      </w:hyperlink>
    </w:p>
    <w:p w14:paraId="7D048D10" w14:textId="654CEEDF"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84" w:history="1">
        <w:r w:rsidR="00C40619" w:rsidRPr="00141DA8">
          <w:rPr>
            <w:rStyle w:val="Hyperlink"/>
            <w:noProof/>
            <w14:scene3d>
              <w14:camera w14:prst="orthographicFront"/>
              <w14:lightRig w14:rig="threePt" w14:dir="t">
                <w14:rot w14:lat="0" w14:lon="0" w14:rev="0"/>
              </w14:lightRig>
            </w14:scene3d>
          </w:rPr>
          <w:t>3.1.3</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Conceptual and theoretical linkages between biodiversity and ecosystem functions and services</w:t>
        </w:r>
        <w:r w:rsidR="00C40619">
          <w:rPr>
            <w:noProof/>
            <w:webHidden/>
          </w:rPr>
          <w:tab/>
        </w:r>
        <w:r w:rsidR="00C40619">
          <w:rPr>
            <w:noProof/>
            <w:webHidden/>
          </w:rPr>
          <w:fldChar w:fldCharType="begin"/>
        </w:r>
        <w:r w:rsidR="00C40619">
          <w:rPr>
            <w:noProof/>
            <w:webHidden/>
          </w:rPr>
          <w:instrText xml:space="preserve"> PAGEREF _Toc517796984 \h </w:instrText>
        </w:r>
        <w:r w:rsidR="00C40619">
          <w:rPr>
            <w:noProof/>
            <w:webHidden/>
          </w:rPr>
        </w:r>
        <w:r w:rsidR="00C40619">
          <w:rPr>
            <w:noProof/>
            <w:webHidden/>
          </w:rPr>
          <w:fldChar w:fldCharType="separate"/>
        </w:r>
        <w:r w:rsidR="00402074">
          <w:rPr>
            <w:noProof/>
            <w:webHidden/>
          </w:rPr>
          <w:t>223</w:t>
        </w:r>
        <w:r w:rsidR="00C40619">
          <w:rPr>
            <w:noProof/>
            <w:webHidden/>
          </w:rPr>
          <w:fldChar w:fldCharType="end"/>
        </w:r>
      </w:hyperlink>
    </w:p>
    <w:p w14:paraId="32A49BF2" w14:textId="1FB6D27A" w:rsidR="00C40619" w:rsidRDefault="00E84199">
      <w:pPr>
        <w:pStyle w:val="TOC2"/>
        <w:rPr>
          <w:rFonts w:asciiTheme="minorHAnsi" w:eastAsiaTheme="minorEastAsia" w:hAnsiTheme="minorHAnsi" w:cstheme="minorBidi"/>
          <w:b w:val="0"/>
          <w:bCs w:val="0"/>
          <w:noProof/>
          <w:szCs w:val="22"/>
          <w:lang w:val="es-CO" w:eastAsia="es-CO"/>
        </w:rPr>
      </w:pPr>
      <w:hyperlink w:anchor="_Toc517796985" w:history="1">
        <w:r w:rsidR="00C40619" w:rsidRPr="00141DA8">
          <w:rPr>
            <w:rStyle w:val="Hyperlink"/>
            <w:noProof/>
            <w14:scene3d>
              <w14:camera w14:prst="orthographicFront"/>
              <w14:lightRig w14:rig="threePt" w14:dir="t">
                <w14:rot w14:lat="0" w14:lon="0" w14:rev="0"/>
              </w14:lightRig>
            </w14:scene3d>
          </w:rPr>
          <w:t>3.2</w:t>
        </w:r>
        <w:r w:rsidR="00C40619">
          <w:rPr>
            <w:rFonts w:asciiTheme="minorHAnsi" w:eastAsiaTheme="minorEastAsia" w:hAnsiTheme="minorHAnsi" w:cstheme="minorBidi"/>
            <w:b w:val="0"/>
            <w:bCs w:val="0"/>
            <w:noProof/>
            <w:szCs w:val="22"/>
            <w:lang w:val="es-CO" w:eastAsia="es-CO"/>
          </w:rPr>
          <w:tab/>
        </w:r>
        <w:r w:rsidR="00C40619" w:rsidRPr="00141DA8">
          <w:rPr>
            <w:rStyle w:val="Hyperlink"/>
            <w:noProof/>
          </w:rPr>
          <w:t>Continental distribution of ecosystem functions and biodiversity</w:t>
        </w:r>
        <w:r w:rsidR="00C40619">
          <w:rPr>
            <w:noProof/>
            <w:webHidden/>
          </w:rPr>
          <w:tab/>
        </w:r>
        <w:r w:rsidR="00C40619">
          <w:rPr>
            <w:noProof/>
            <w:webHidden/>
          </w:rPr>
          <w:fldChar w:fldCharType="begin"/>
        </w:r>
        <w:r w:rsidR="00C40619">
          <w:rPr>
            <w:noProof/>
            <w:webHidden/>
          </w:rPr>
          <w:instrText xml:space="preserve"> PAGEREF _Toc517796985 \h </w:instrText>
        </w:r>
        <w:r w:rsidR="00C40619">
          <w:rPr>
            <w:noProof/>
            <w:webHidden/>
          </w:rPr>
        </w:r>
        <w:r w:rsidR="00C40619">
          <w:rPr>
            <w:noProof/>
            <w:webHidden/>
          </w:rPr>
          <w:fldChar w:fldCharType="separate"/>
        </w:r>
        <w:r w:rsidR="00402074">
          <w:rPr>
            <w:noProof/>
            <w:webHidden/>
          </w:rPr>
          <w:t>224</w:t>
        </w:r>
        <w:r w:rsidR="00C40619">
          <w:rPr>
            <w:noProof/>
            <w:webHidden/>
          </w:rPr>
          <w:fldChar w:fldCharType="end"/>
        </w:r>
      </w:hyperlink>
    </w:p>
    <w:p w14:paraId="6FFF5393" w14:textId="7C459792"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86" w:history="1">
        <w:r w:rsidR="00C40619" w:rsidRPr="00141DA8">
          <w:rPr>
            <w:rStyle w:val="Hyperlink"/>
            <w:noProof/>
            <w14:scene3d>
              <w14:camera w14:prst="orthographicFront"/>
              <w14:lightRig w14:rig="threePt" w14:dir="t">
                <w14:rot w14:lat="0" w14:lon="0" w14:rev="0"/>
              </w14:lightRig>
            </w14:scene3d>
          </w:rPr>
          <w:t>3.2.1</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Status and trends of ecosystem functions linked to biodiversity</w:t>
        </w:r>
        <w:r w:rsidR="00C40619">
          <w:rPr>
            <w:noProof/>
            <w:webHidden/>
          </w:rPr>
          <w:tab/>
        </w:r>
        <w:r w:rsidR="00C40619">
          <w:rPr>
            <w:noProof/>
            <w:webHidden/>
          </w:rPr>
          <w:fldChar w:fldCharType="begin"/>
        </w:r>
        <w:r w:rsidR="00C40619">
          <w:rPr>
            <w:noProof/>
            <w:webHidden/>
          </w:rPr>
          <w:instrText xml:space="preserve"> PAGEREF _Toc517796986 \h </w:instrText>
        </w:r>
        <w:r w:rsidR="00C40619">
          <w:rPr>
            <w:noProof/>
            <w:webHidden/>
          </w:rPr>
        </w:r>
        <w:r w:rsidR="00C40619">
          <w:rPr>
            <w:noProof/>
            <w:webHidden/>
          </w:rPr>
          <w:fldChar w:fldCharType="separate"/>
        </w:r>
        <w:r w:rsidR="00402074">
          <w:rPr>
            <w:noProof/>
            <w:webHidden/>
          </w:rPr>
          <w:t>224</w:t>
        </w:r>
        <w:r w:rsidR="00C40619">
          <w:rPr>
            <w:noProof/>
            <w:webHidden/>
          </w:rPr>
          <w:fldChar w:fldCharType="end"/>
        </w:r>
      </w:hyperlink>
    </w:p>
    <w:p w14:paraId="3136253D" w14:textId="5A989EEF"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87" w:history="1">
        <w:r w:rsidR="00C40619" w:rsidRPr="00141DA8">
          <w:rPr>
            <w:rStyle w:val="Hyperlink"/>
            <w:noProof/>
          </w:rPr>
          <w:t>3.2.1.1</w:t>
        </w:r>
        <w:r w:rsidR="00C40619">
          <w:rPr>
            <w:rFonts w:asciiTheme="minorHAnsi" w:eastAsiaTheme="minorEastAsia" w:hAnsiTheme="minorHAnsi" w:cstheme="minorBidi"/>
            <w:noProof/>
            <w:szCs w:val="22"/>
            <w:lang w:val="es-CO" w:eastAsia="es-CO"/>
          </w:rPr>
          <w:tab/>
        </w:r>
        <w:r w:rsidR="00C40619" w:rsidRPr="00141DA8">
          <w:rPr>
            <w:rStyle w:val="Hyperlink"/>
            <w:noProof/>
          </w:rPr>
          <w:t>Carbon cycling and energy fluxes</w:t>
        </w:r>
        <w:r w:rsidR="00C40619">
          <w:rPr>
            <w:noProof/>
            <w:webHidden/>
          </w:rPr>
          <w:tab/>
        </w:r>
        <w:r w:rsidR="00C40619">
          <w:rPr>
            <w:noProof/>
            <w:webHidden/>
          </w:rPr>
          <w:fldChar w:fldCharType="begin"/>
        </w:r>
        <w:r w:rsidR="00C40619">
          <w:rPr>
            <w:noProof/>
            <w:webHidden/>
          </w:rPr>
          <w:instrText xml:space="preserve"> PAGEREF _Toc517796987 \h </w:instrText>
        </w:r>
        <w:r w:rsidR="00C40619">
          <w:rPr>
            <w:noProof/>
            <w:webHidden/>
          </w:rPr>
        </w:r>
        <w:r w:rsidR="00C40619">
          <w:rPr>
            <w:noProof/>
            <w:webHidden/>
          </w:rPr>
          <w:fldChar w:fldCharType="separate"/>
        </w:r>
        <w:r w:rsidR="00402074">
          <w:rPr>
            <w:noProof/>
            <w:webHidden/>
          </w:rPr>
          <w:t>224</w:t>
        </w:r>
        <w:r w:rsidR="00C40619">
          <w:rPr>
            <w:noProof/>
            <w:webHidden/>
          </w:rPr>
          <w:fldChar w:fldCharType="end"/>
        </w:r>
      </w:hyperlink>
    </w:p>
    <w:p w14:paraId="053F724D" w14:textId="4F20308F"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88" w:history="1">
        <w:r w:rsidR="00C40619" w:rsidRPr="00141DA8">
          <w:rPr>
            <w:rStyle w:val="Hyperlink"/>
            <w:noProof/>
          </w:rPr>
          <w:t>3.2.1.2</w:t>
        </w:r>
        <w:r w:rsidR="00C40619">
          <w:rPr>
            <w:rFonts w:asciiTheme="minorHAnsi" w:eastAsiaTheme="minorEastAsia" w:hAnsiTheme="minorHAnsi" w:cstheme="minorBidi"/>
            <w:noProof/>
            <w:szCs w:val="22"/>
            <w:lang w:val="es-CO" w:eastAsia="es-CO"/>
          </w:rPr>
          <w:tab/>
        </w:r>
        <w:r w:rsidR="00C40619" w:rsidRPr="00141DA8">
          <w:rPr>
            <w:rStyle w:val="Hyperlink"/>
            <w:noProof/>
          </w:rPr>
          <w:t>Water cycle and regulation</w:t>
        </w:r>
        <w:r w:rsidR="00C40619">
          <w:rPr>
            <w:noProof/>
            <w:webHidden/>
          </w:rPr>
          <w:tab/>
        </w:r>
        <w:r w:rsidR="00C40619">
          <w:rPr>
            <w:noProof/>
            <w:webHidden/>
          </w:rPr>
          <w:fldChar w:fldCharType="begin"/>
        </w:r>
        <w:r w:rsidR="00C40619">
          <w:rPr>
            <w:noProof/>
            <w:webHidden/>
          </w:rPr>
          <w:instrText xml:space="preserve"> PAGEREF _Toc517796988 \h </w:instrText>
        </w:r>
        <w:r w:rsidR="00C40619">
          <w:rPr>
            <w:noProof/>
            <w:webHidden/>
          </w:rPr>
        </w:r>
        <w:r w:rsidR="00C40619">
          <w:rPr>
            <w:noProof/>
            <w:webHidden/>
          </w:rPr>
          <w:fldChar w:fldCharType="separate"/>
        </w:r>
        <w:r w:rsidR="00402074">
          <w:rPr>
            <w:noProof/>
            <w:webHidden/>
          </w:rPr>
          <w:t>225</w:t>
        </w:r>
        <w:r w:rsidR="00C40619">
          <w:rPr>
            <w:noProof/>
            <w:webHidden/>
          </w:rPr>
          <w:fldChar w:fldCharType="end"/>
        </w:r>
      </w:hyperlink>
    </w:p>
    <w:p w14:paraId="6E109EFB" w14:textId="767617BF"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89" w:history="1">
        <w:r w:rsidR="00C40619" w:rsidRPr="00141DA8">
          <w:rPr>
            <w:rStyle w:val="Hyperlink"/>
            <w:noProof/>
          </w:rPr>
          <w:t>3.2.1.3</w:t>
        </w:r>
        <w:r w:rsidR="00C40619">
          <w:rPr>
            <w:rFonts w:asciiTheme="minorHAnsi" w:eastAsiaTheme="minorEastAsia" w:hAnsiTheme="minorHAnsi" w:cstheme="minorBidi"/>
            <w:noProof/>
            <w:szCs w:val="22"/>
            <w:lang w:val="es-CO" w:eastAsia="es-CO"/>
          </w:rPr>
          <w:tab/>
        </w:r>
        <w:r w:rsidR="00C40619" w:rsidRPr="00141DA8">
          <w:rPr>
            <w:rStyle w:val="Hyperlink"/>
            <w:noProof/>
          </w:rPr>
          <w:t>Nutrient cycling</w:t>
        </w:r>
        <w:r w:rsidR="00C40619">
          <w:rPr>
            <w:noProof/>
            <w:webHidden/>
          </w:rPr>
          <w:tab/>
        </w:r>
        <w:r w:rsidR="00C40619">
          <w:rPr>
            <w:noProof/>
            <w:webHidden/>
          </w:rPr>
          <w:fldChar w:fldCharType="begin"/>
        </w:r>
        <w:r w:rsidR="00C40619">
          <w:rPr>
            <w:noProof/>
            <w:webHidden/>
          </w:rPr>
          <w:instrText xml:space="preserve"> PAGEREF _Toc517796989 \h </w:instrText>
        </w:r>
        <w:r w:rsidR="00C40619">
          <w:rPr>
            <w:noProof/>
            <w:webHidden/>
          </w:rPr>
        </w:r>
        <w:r w:rsidR="00C40619">
          <w:rPr>
            <w:noProof/>
            <w:webHidden/>
          </w:rPr>
          <w:fldChar w:fldCharType="separate"/>
        </w:r>
        <w:r w:rsidR="00402074">
          <w:rPr>
            <w:noProof/>
            <w:webHidden/>
          </w:rPr>
          <w:t>225</w:t>
        </w:r>
        <w:r w:rsidR="00C40619">
          <w:rPr>
            <w:noProof/>
            <w:webHidden/>
          </w:rPr>
          <w:fldChar w:fldCharType="end"/>
        </w:r>
      </w:hyperlink>
    </w:p>
    <w:p w14:paraId="0EAFE711" w14:textId="11EABF60"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90" w:history="1">
        <w:r w:rsidR="00C40619" w:rsidRPr="00141DA8">
          <w:rPr>
            <w:rStyle w:val="Hyperlink"/>
            <w:noProof/>
            <w14:scene3d>
              <w14:camera w14:prst="orthographicFront"/>
              <w14:lightRig w14:rig="threePt" w14:dir="t">
                <w14:rot w14:lat="0" w14:lon="0" w14:rev="0"/>
              </w14:lightRig>
            </w14:scene3d>
          </w:rPr>
          <w:t>3.2.2</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Status and trends of terrestrial biodiversity</w:t>
        </w:r>
        <w:r w:rsidR="00C40619">
          <w:rPr>
            <w:noProof/>
            <w:webHidden/>
          </w:rPr>
          <w:tab/>
        </w:r>
        <w:r w:rsidR="00C40619">
          <w:rPr>
            <w:noProof/>
            <w:webHidden/>
          </w:rPr>
          <w:fldChar w:fldCharType="begin"/>
        </w:r>
        <w:r w:rsidR="00C40619">
          <w:rPr>
            <w:noProof/>
            <w:webHidden/>
          </w:rPr>
          <w:instrText xml:space="preserve"> PAGEREF _Toc517796990 \h </w:instrText>
        </w:r>
        <w:r w:rsidR="00C40619">
          <w:rPr>
            <w:noProof/>
            <w:webHidden/>
          </w:rPr>
        </w:r>
        <w:r w:rsidR="00C40619">
          <w:rPr>
            <w:noProof/>
            <w:webHidden/>
          </w:rPr>
          <w:fldChar w:fldCharType="separate"/>
        </w:r>
        <w:r w:rsidR="00402074">
          <w:rPr>
            <w:noProof/>
            <w:webHidden/>
          </w:rPr>
          <w:t>226</w:t>
        </w:r>
        <w:r w:rsidR="00C40619">
          <w:rPr>
            <w:noProof/>
            <w:webHidden/>
          </w:rPr>
          <w:fldChar w:fldCharType="end"/>
        </w:r>
      </w:hyperlink>
    </w:p>
    <w:p w14:paraId="0D402F9A" w14:textId="057C761D"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91" w:history="1">
        <w:r w:rsidR="00C40619" w:rsidRPr="00141DA8">
          <w:rPr>
            <w:rStyle w:val="Hyperlink"/>
            <w:noProof/>
          </w:rPr>
          <w:t>3.2.2.1</w:t>
        </w:r>
        <w:r w:rsidR="00C40619">
          <w:rPr>
            <w:rFonts w:asciiTheme="minorHAnsi" w:eastAsiaTheme="minorEastAsia" w:hAnsiTheme="minorHAnsi" w:cstheme="minorBidi"/>
            <w:noProof/>
            <w:szCs w:val="22"/>
            <w:lang w:val="es-CO" w:eastAsia="es-CO"/>
          </w:rPr>
          <w:tab/>
        </w:r>
        <w:r w:rsidR="00C40619" w:rsidRPr="00141DA8">
          <w:rPr>
            <w:rStyle w:val="Hyperlink"/>
            <w:noProof/>
          </w:rPr>
          <w:t>Land cover status and trends</w:t>
        </w:r>
        <w:r w:rsidR="00C40619">
          <w:rPr>
            <w:noProof/>
            <w:webHidden/>
          </w:rPr>
          <w:tab/>
        </w:r>
        <w:r w:rsidR="00C40619">
          <w:rPr>
            <w:noProof/>
            <w:webHidden/>
          </w:rPr>
          <w:fldChar w:fldCharType="begin"/>
        </w:r>
        <w:r w:rsidR="00C40619">
          <w:rPr>
            <w:noProof/>
            <w:webHidden/>
          </w:rPr>
          <w:instrText xml:space="preserve"> PAGEREF _Toc517796991 \h </w:instrText>
        </w:r>
        <w:r w:rsidR="00C40619">
          <w:rPr>
            <w:noProof/>
            <w:webHidden/>
          </w:rPr>
        </w:r>
        <w:r w:rsidR="00C40619">
          <w:rPr>
            <w:noProof/>
            <w:webHidden/>
          </w:rPr>
          <w:fldChar w:fldCharType="separate"/>
        </w:r>
        <w:r w:rsidR="00402074">
          <w:rPr>
            <w:noProof/>
            <w:webHidden/>
          </w:rPr>
          <w:t>226</w:t>
        </w:r>
        <w:r w:rsidR="00C40619">
          <w:rPr>
            <w:noProof/>
            <w:webHidden/>
          </w:rPr>
          <w:fldChar w:fldCharType="end"/>
        </w:r>
      </w:hyperlink>
    </w:p>
    <w:p w14:paraId="726ED1CD" w14:textId="623D5269"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92" w:history="1">
        <w:r w:rsidR="00C40619" w:rsidRPr="00141DA8">
          <w:rPr>
            <w:rStyle w:val="Hyperlink"/>
            <w:noProof/>
          </w:rPr>
          <w:t>3.2.2.2</w:t>
        </w:r>
        <w:r w:rsidR="00C40619">
          <w:rPr>
            <w:rFonts w:asciiTheme="minorHAnsi" w:eastAsiaTheme="minorEastAsia" w:hAnsiTheme="minorHAnsi" w:cstheme="minorBidi"/>
            <w:noProof/>
            <w:szCs w:val="22"/>
            <w:lang w:val="es-CO" w:eastAsia="es-CO"/>
          </w:rPr>
          <w:tab/>
        </w:r>
        <w:r w:rsidR="00C40619" w:rsidRPr="00141DA8">
          <w:rPr>
            <w:rStyle w:val="Hyperlink"/>
            <w:noProof/>
          </w:rPr>
          <w:t>Status and patterns of diversity for taxonomic groups</w:t>
        </w:r>
        <w:r w:rsidR="00C40619">
          <w:rPr>
            <w:noProof/>
            <w:webHidden/>
          </w:rPr>
          <w:tab/>
        </w:r>
        <w:r w:rsidR="00C40619">
          <w:rPr>
            <w:noProof/>
            <w:webHidden/>
          </w:rPr>
          <w:fldChar w:fldCharType="begin"/>
        </w:r>
        <w:r w:rsidR="00C40619">
          <w:rPr>
            <w:noProof/>
            <w:webHidden/>
          </w:rPr>
          <w:instrText xml:space="preserve"> PAGEREF _Toc517796992 \h </w:instrText>
        </w:r>
        <w:r w:rsidR="00C40619">
          <w:rPr>
            <w:noProof/>
            <w:webHidden/>
          </w:rPr>
        </w:r>
        <w:r w:rsidR="00C40619">
          <w:rPr>
            <w:noProof/>
            <w:webHidden/>
          </w:rPr>
          <w:fldChar w:fldCharType="separate"/>
        </w:r>
        <w:r w:rsidR="00402074">
          <w:rPr>
            <w:noProof/>
            <w:webHidden/>
          </w:rPr>
          <w:t>227</w:t>
        </w:r>
        <w:r w:rsidR="00C40619">
          <w:rPr>
            <w:noProof/>
            <w:webHidden/>
          </w:rPr>
          <w:fldChar w:fldCharType="end"/>
        </w:r>
      </w:hyperlink>
    </w:p>
    <w:p w14:paraId="2073A1C8" w14:textId="4560B6EF"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93" w:history="1">
        <w:r w:rsidR="00C40619" w:rsidRPr="00141DA8">
          <w:rPr>
            <w:rStyle w:val="Hyperlink"/>
            <w:noProof/>
          </w:rPr>
          <w:t>3.2.2.3</w:t>
        </w:r>
        <w:r w:rsidR="00C40619">
          <w:rPr>
            <w:rFonts w:asciiTheme="minorHAnsi" w:eastAsiaTheme="minorEastAsia" w:hAnsiTheme="minorHAnsi" w:cstheme="minorBidi"/>
            <w:noProof/>
            <w:szCs w:val="22"/>
            <w:lang w:val="es-CO" w:eastAsia="es-CO"/>
          </w:rPr>
          <w:tab/>
        </w:r>
        <w:r w:rsidR="00C40619" w:rsidRPr="00141DA8">
          <w:rPr>
            <w:rStyle w:val="Hyperlink"/>
            <w:noProof/>
          </w:rPr>
          <w:t>Patterns and trends in alien and invasive alien species</w:t>
        </w:r>
        <w:r w:rsidR="00C40619">
          <w:rPr>
            <w:noProof/>
            <w:webHidden/>
          </w:rPr>
          <w:tab/>
        </w:r>
        <w:r w:rsidR="00C40619">
          <w:rPr>
            <w:noProof/>
            <w:webHidden/>
          </w:rPr>
          <w:fldChar w:fldCharType="begin"/>
        </w:r>
        <w:r w:rsidR="00C40619">
          <w:rPr>
            <w:noProof/>
            <w:webHidden/>
          </w:rPr>
          <w:instrText xml:space="preserve"> PAGEREF _Toc517796993 \h </w:instrText>
        </w:r>
        <w:r w:rsidR="00C40619">
          <w:rPr>
            <w:noProof/>
            <w:webHidden/>
          </w:rPr>
        </w:r>
        <w:r w:rsidR="00C40619">
          <w:rPr>
            <w:noProof/>
            <w:webHidden/>
          </w:rPr>
          <w:fldChar w:fldCharType="separate"/>
        </w:r>
        <w:r w:rsidR="00402074">
          <w:rPr>
            <w:noProof/>
            <w:webHidden/>
          </w:rPr>
          <w:t>231</w:t>
        </w:r>
        <w:r w:rsidR="00C40619">
          <w:rPr>
            <w:noProof/>
            <w:webHidden/>
          </w:rPr>
          <w:fldChar w:fldCharType="end"/>
        </w:r>
      </w:hyperlink>
    </w:p>
    <w:p w14:paraId="0F123653" w14:textId="328FBB98"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94" w:history="1">
        <w:r w:rsidR="00C40619" w:rsidRPr="00141DA8">
          <w:rPr>
            <w:rStyle w:val="Hyperlink"/>
            <w:noProof/>
            <w14:scene3d>
              <w14:camera w14:prst="orthographicFront"/>
              <w14:lightRig w14:rig="threePt" w14:dir="t">
                <w14:rot w14:lat="0" w14:lon="0" w14:rev="0"/>
              </w14:lightRig>
            </w14:scene3d>
          </w:rPr>
          <w:t>3.2.3</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Status and trends of freshwater biodiversity</w:t>
        </w:r>
        <w:r w:rsidR="00C40619">
          <w:rPr>
            <w:noProof/>
            <w:webHidden/>
          </w:rPr>
          <w:tab/>
        </w:r>
        <w:r w:rsidR="00C40619">
          <w:rPr>
            <w:noProof/>
            <w:webHidden/>
          </w:rPr>
          <w:fldChar w:fldCharType="begin"/>
        </w:r>
        <w:r w:rsidR="00C40619">
          <w:rPr>
            <w:noProof/>
            <w:webHidden/>
          </w:rPr>
          <w:instrText xml:space="preserve"> PAGEREF _Toc517796994 \h </w:instrText>
        </w:r>
        <w:r w:rsidR="00C40619">
          <w:rPr>
            <w:noProof/>
            <w:webHidden/>
          </w:rPr>
        </w:r>
        <w:r w:rsidR="00C40619">
          <w:rPr>
            <w:noProof/>
            <w:webHidden/>
          </w:rPr>
          <w:fldChar w:fldCharType="separate"/>
        </w:r>
        <w:r w:rsidR="00402074">
          <w:rPr>
            <w:noProof/>
            <w:webHidden/>
          </w:rPr>
          <w:t>236</w:t>
        </w:r>
        <w:r w:rsidR="00C40619">
          <w:rPr>
            <w:noProof/>
            <w:webHidden/>
          </w:rPr>
          <w:fldChar w:fldCharType="end"/>
        </w:r>
      </w:hyperlink>
    </w:p>
    <w:p w14:paraId="48BAB843" w14:textId="1B171F94"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95" w:history="1">
        <w:r w:rsidR="00C40619" w:rsidRPr="00141DA8">
          <w:rPr>
            <w:rStyle w:val="Hyperlink"/>
            <w:rFonts w:eastAsia="Cambria"/>
            <w:noProof/>
          </w:rPr>
          <w:t>3.2.3.1</w:t>
        </w:r>
        <w:r w:rsidR="00C40619">
          <w:rPr>
            <w:rFonts w:asciiTheme="minorHAnsi" w:eastAsiaTheme="minorEastAsia" w:hAnsiTheme="minorHAnsi" w:cstheme="minorBidi"/>
            <w:noProof/>
            <w:szCs w:val="22"/>
            <w:lang w:val="es-CO" w:eastAsia="es-CO"/>
          </w:rPr>
          <w:tab/>
        </w:r>
        <w:r w:rsidR="00C40619" w:rsidRPr="00141DA8">
          <w:rPr>
            <w:rStyle w:val="Hyperlink"/>
            <w:noProof/>
          </w:rPr>
          <w:t>Patterns of diversity for taxonomic groups</w:t>
        </w:r>
        <w:r w:rsidR="00C40619">
          <w:rPr>
            <w:noProof/>
            <w:webHidden/>
          </w:rPr>
          <w:tab/>
        </w:r>
        <w:r w:rsidR="00C40619">
          <w:rPr>
            <w:noProof/>
            <w:webHidden/>
          </w:rPr>
          <w:fldChar w:fldCharType="begin"/>
        </w:r>
        <w:r w:rsidR="00C40619">
          <w:rPr>
            <w:noProof/>
            <w:webHidden/>
          </w:rPr>
          <w:instrText xml:space="preserve"> PAGEREF _Toc517796995 \h </w:instrText>
        </w:r>
        <w:r w:rsidR="00C40619">
          <w:rPr>
            <w:noProof/>
            <w:webHidden/>
          </w:rPr>
        </w:r>
        <w:r w:rsidR="00C40619">
          <w:rPr>
            <w:noProof/>
            <w:webHidden/>
          </w:rPr>
          <w:fldChar w:fldCharType="separate"/>
        </w:r>
        <w:r w:rsidR="00402074">
          <w:rPr>
            <w:noProof/>
            <w:webHidden/>
          </w:rPr>
          <w:t>236</w:t>
        </w:r>
        <w:r w:rsidR="00C40619">
          <w:rPr>
            <w:noProof/>
            <w:webHidden/>
          </w:rPr>
          <w:fldChar w:fldCharType="end"/>
        </w:r>
      </w:hyperlink>
    </w:p>
    <w:p w14:paraId="3E3BBF54" w14:textId="3DF552B0"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96" w:history="1">
        <w:r w:rsidR="00C40619" w:rsidRPr="00141DA8">
          <w:rPr>
            <w:rStyle w:val="Hyperlink"/>
            <w:noProof/>
          </w:rPr>
          <w:t>3.2.3.2</w:t>
        </w:r>
        <w:r w:rsidR="00C40619">
          <w:rPr>
            <w:rFonts w:asciiTheme="minorHAnsi" w:eastAsiaTheme="minorEastAsia" w:hAnsiTheme="minorHAnsi" w:cstheme="minorBidi"/>
            <w:noProof/>
            <w:szCs w:val="22"/>
            <w:lang w:val="es-CO" w:eastAsia="es-CO"/>
          </w:rPr>
          <w:tab/>
        </w:r>
        <w:r w:rsidR="00C40619" w:rsidRPr="00141DA8">
          <w:rPr>
            <w:rStyle w:val="Hyperlink"/>
            <w:noProof/>
          </w:rPr>
          <w:t>Patterns and trends in alien and invasive species</w:t>
        </w:r>
        <w:r w:rsidR="00C40619">
          <w:rPr>
            <w:noProof/>
            <w:webHidden/>
          </w:rPr>
          <w:tab/>
        </w:r>
        <w:r w:rsidR="00C40619">
          <w:rPr>
            <w:noProof/>
            <w:webHidden/>
          </w:rPr>
          <w:fldChar w:fldCharType="begin"/>
        </w:r>
        <w:r w:rsidR="00C40619">
          <w:rPr>
            <w:noProof/>
            <w:webHidden/>
          </w:rPr>
          <w:instrText xml:space="preserve"> PAGEREF _Toc517796996 \h </w:instrText>
        </w:r>
        <w:r w:rsidR="00C40619">
          <w:rPr>
            <w:noProof/>
            <w:webHidden/>
          </w:rPr>
        </w:r>
        <w:r w:rsidR="00C40619">
          <w:rPr>
            <w:noProof/>
            <w:webHidden/>
          </w:rPr>
          <w:fldChar w:fldCharType="separate"/>
        </w:r>
        <w:r w:rsidR="00402074">
          <w:rPr>
            <w:noProof/>
            <w:webHidden/>
          </w:rPr>
          <w:t>237</w:t>
        </w:r>
        <w:r w:rsidR="00C40619">
          <w:rPr>
            <w:noProof/>
            <w:webHidden/>
          </w:rPr>
          <w:fldChar w:fldCharType="end"/>
        </w:r>
      </w:hyperlink>
    </w:p>
    <w:p w14:paraId="1527BCF4" w14:textId="0BEE5D3B"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6997" w:history="1">
        <w:r w:rsidR="00C40619" w:rsidRPr="00141DA8">
          <w:rPr>
            <w:rStyle w:val="Hyperlink"/>
            <w:noProof/>
            <w14:scene3d>
              <w14:camera w14:prst="orthographicFront"/>
              <w14:lightRig w14:rig="threePt" w14:dir="t">
                <w14:rot w14:lat="0" w14:lon="0" w14:rev="0"/>
              </w14:lightRig>
            </w14:scene3d>
          </w:rPr>
          <w:t>3.2.4</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Marine biodiversity</w:t>
        </w:r>
        <w:r w:rsidR="00C40619">
          <w:rPr>
            <w:noProof/>
            <w:webHidden/>
          </w:rPr>
          <w:tab/>
        </w:r>
        <w:r w:rsidR="00C40619">
          <w:rPr>
            <w:noProof/>
            <w:webHidden/>
          </w:rPr>
          <w:fldChar w:fldCharType="begin"/>
        </w:r>
        <w:r w:rsidR="00C40619">
          <w:rPr>
            <w:noProof/>
            <w:webHidden/>
          </w:rPr>
          <w:instrText xml:space="preserve"> PAGEREF _Toc517796997 \h </w:instrText>
        </w:r>
        <w:r w:rsidR="00C40619">
          <w:rPr>
            <w:noProof/>
            <w:webHidden/>
          </w:rPr>
        </w:r>
        <w:r w:rsidR="00C40619">
          <w:rPr>
            <w:noProof/>
            <w:webHidden/>
          </w:rPr>
          <w:fldChar w:fldCharType="separate"/>
        </w:r>
        <w:r w:rsidR="00402074">
          <w:rPr>
            <w:noProof/>
            <w:webHidden/>
          </w:rPr>
          <w:t>239</w:t>
        </w:r>
        <w:r w:rsidR="00C40619">
          <w:rPr>
            <w:noProof/>
            <w:webHidden/>
          </w:rPr>
          <w:fldChar w:fldCharType="end"/>
        </w:r>
      </w:hyperlink>
    </w:p>
    <w:p w14:paraId="3088A266" w14:textId="4F573A69"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98" w:history="1">
        <w:r w:rsidR="00C40619" w:rsidRPr="00141DA8">
          <w:rPr>
            <w:rStyle w:val="Hyperlink"/>
            <w:noProof/>
          </w:rPr>
          <w:t>3.2.4.1</w:t>
        </w:r>
        <w:r w:rsidR="00C40619">
          <w:rPr>
            <w:rFonts w:asciiTheme="minorHAnsi" w:eastAsiaTheme="minorEastAsia" w:hAnsiTheme="minorHAnsi" w:cstheme="minorBidi"/>
            <w:noProof/>
            <w:szCs w:val="22"/>
            <w:lang w:val="es-CO" w:eastAsia="es-CO"/>
          </w:rPr>
          <w:tab/>
        </w:r>
        <w:r w:rsidR="00C40619" w:rsidRPr="00141DA8">
          <w:rPr>
            <w:rStyle w:val="Hyperlink"/>
            <w:noProof/>
          </w:rPr>
          <w:t>Patterns of diversity for taxonomic groups</w:t>
        </w:r>
        <w:r w:rsidR="00C40619">
          <w:rPr>
            <w:noProof/>
            <w:webHidden/>
          </w:rPr>
          <w:tab/>
        </w:r>
        <w:r w:rsidR="00C40619">
          <w:rPr>
            <w:noProof/>
            <w:webHidden/>
          </w:rPr>
          <w:fldChar w:fldCharType="begin"/>
        </w:r>
        <w:r w:rsidR="00C40619">
          <w:rPr>
            <w:noProof/>
            <w:webHidden/>
          </w:rPr>
          <w:instrText xml:space="preserve"> PAGEREF _Toc517796998 \h </w:instrText>
        </w:r>
        <w:r w:rsidR="00C40619">
          <w:rPr>
            <w:noProof/>
            <w:webHidden/>
          </w:rPr>
        </w:r>
        <w:r w:rsidR="00C40619">
          <w:rPr>
            <w:noProof/>
            <w:webHidden/>
          </w:rPr>
          <w:fldChar w:fldCharType="separate"/>
        </w:r>
        <w:r w:rsidR="00402074">
          <w:rPr>
            <w:noProof/>
            <w:webHidden/>
          </w:rPr>
          <w:t>239</w:t>
        </w:r>
        <w:r w:rsidR="00C40619">
          <w:rPr>
            <w:noProof/>
            <w:webHidden/>
          </w:rPr>
          <w:fldChar w:fldCharType="end"/>
        </w:r>
      </w:hyperlink>
    </w:p>
    <w:p w14:paraId="04CB0105" w14:textId="03396149"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6999" w:history="1">
        <w:r w:rsidR="00C40619" w:rsidRPr="00141DA8">
          <w:rPr>
            <w:rStyle w:val="Hyperlink"/>
            <w:noProof/>
          </w:rPr>
          <w:t>3.2.4.2</w:t>
        </w:r>
        <w:r w:rsidR="00C40619">
          <w:rPr>
            <w:rFonts w:asciiTheme="minorHAnsi" w:eastAsiaTheme="minorEastAsia" w:hAnsiTheme="minorHAnsi" w:cstheme="minorBidi"/>
            <w:noProof/>
            <w:szCs w:val="22"/>
            <w:lang w:val="es-CO" w:eastAsia="es-CO"/>
          </w:rPr>
          <w:tab/>
        </w:r>
        <w:r w:rsidR="00C40619" w:rsidRPr="00141DA8">
          <w:rPr>
            <w:rStyle w:val="Hyperlink"/>
            <w:noProof/>
          </w:rPr>
          <w:t>Patterns and trends in marine invasive species</w:t>
        </w:r>
        <w:r w:rsidR="00C40619">
          <w:rPr>
            <w:noProof/>
            <w:webHidden/>
          </w:rPr>
          <w:tab/>
        </w:r>
        <w:r w:rsidR="00C40619">
          <w:rPr>
            <w:noProof/>
            <w:webHidden/>
          </w:rPr>
          <w:fldChar w:fldCharType="begin"/>
        </w:r>
        <w:r w:rsidR="00C40619">
          <w:rPr>
            <w:noProof/>
            <w:webHidden/>
          </w:rPr>
          <w:instrText xml:space="preserve"> PAGEREF _Toc517796999 \h </w:instrText>
        </w:r>
        <w:r w:rsidR="00C40619">
          <w:rPr>
            <w:noProof/>
            <w:webHidden/>
          </w:rPr>
        </w:r>
        <w:r w:rsidR="00C40619">
          <w:rPr>
            <w:noProof/>
            <w:webHidden/>
          </w:rPr>
          <w:fldChar w:fldCharType="separate"/>
        </w:r>
        <w:r w:rsidR="00402074">
          <w:rPr>
            <w:noProof/>
            <w:webHidden/>
          </w:rPr>
          <w:t>240</w:t>
        </w:r>
        <w:r w:rsidR="00C40619">
          <w:rPr>
            <w:noProof/>
            <w:webHidden/>
          </w:rPr>
          <w:fldChar w:fldCharType="end"/>
        </w:r>
      </w:hyperlink>
    </w:p>
    <w:p w14:paraId="7AF2C7BF" w14:textId="6366DD99" w:rsidR="00C40619" w:rsidRDefault="00E84199">
      <w:pPr>
        <w:pStyle w:val="TOC2"/>
        <w:rPr>
          <w:rFonts w:asciiTheme="minorHAnsi" w:eastAsiaTheme="minorEastAsia" w:hAnsiTheme="minorHAnsi" w:cstheme="minorBidi"/>
          <w:b w:val="0"/>
          <w:bCs w:val="0"/>
          <w:noProof/>
          <w:szCs w:val="22"/>
          <w:lang w:val="es-CO" w:eastAsia="es-CO"/>
        </w:rPr>
      </w:pPr>
      <w:hyperlink w:anchor="_Toc517797000" w:history="1">
        <w:r w:rsidR="00C40619" w:rsidRPr="00141DA8">
          <w:rPr>
            <w:rStyle w:val="Hyperlink"/>
            <w:noProof/>
            <w14:scene3d>
              <w14:camera w14:prst="orthographicFront"/>
              <w14:lightRig w14:rig="threePt" w14:dir="t">
                <w14:rot w14:lat="0" w14:lon="0" w14:rev="0"/>
              </w14:lightRig>
            </w14:scene3d>
          </w:rPr>
          <w:t>3.3</w:t>
        </w:r>
        <w:r w:rsidR="00C40619">
          <w:rPr>
            <w:rFonts w:asciiTheme="minorHAnsi" w:eastAsiaTheme="minorEastAsia" w:hAnsiTheme="minorHAnsi" w:cstheme="minorBidi"/>
            <w:b w:val="0"/>
            <w:bCs w:val="0"/>
            <w:noProof/>
            <w:szCs w:val="22"/>
            <w:lang w:val="es-CO" w:eastAsia="es-CO"/>
          </w:rPr>
          <w:tab/>
        </w:r>
        <w:r w:rsidR="00C40619" w:rsidRPr="00141DA8">
          <w:rPr>
            <w:rStyle w:val="Hyperlink"/>
            <w:noProof/>
          </w:rPr>
          <w:t>Biodiversity and people</w:t>
        </w:r>
        <w:r w:rsidR="00C40619">
          <w:rPr>
            <w:noProof/>
            <w:webHidden/>
          </w:rPr>
          <w:tab/>
        </w:r>
        <w:r w:rsidR="00C40619">
          <w:rPr>
            <w:noProof/>
            <w:webHidden/>
          </w:rPr>
          <w:fldChar w:fldCharType="begin"/>
        </w:r>
        <w:r w:rsidR="00C40619">
          <w:rPr>
            <w:noProof/>
            <w:webHidden/>
          </w:rPr>
          <w:instrText xml:space="preserve"> PAGEREF _Toc517797000 \h </w:instrText>
        </w:r>
        <w:r w:rsidR="00C40619">
          <w:rPr>
            <w:noProof/>
            <w:webHidden/>
          </w:rPr>
        </w:r>
        <w:r w:rsidR="00C40619">
          <w:rPr>
            <w:noProof/>
            <w:webHidden/>
          </w:rPr>
          <w:fldChar w:fldCharType="separate"/>
        </w:r>
        <w:r w:rsidR="00402074">
          <w:rPr>
            <w:noProof/>
            <w:webHidden/>
          </w:rPr>
          <w:t>242</w:t>
        </w:r>
        <w:r w:rsidR="00C40619">
          <w:rPr>
            <w:noProof/>
            <w:webHidden/>
          </w:rPr>
          <w:fldChar w:fldCharType="end"/>
        </w:r>
      </w:hyperlink>
    </w:p>
    <w:p w14:paraId="4EE5EDA9" w14:textId="348EB9B2"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01" w:history="1">
        <w:r w:rsidR="00C40619" w:rsidRPr="00141DA8">
          <w:rPr>
            <w:rStyle w:val="Hyperlink"/>
            <w:noProof/>
            <w14:scene3d>
              <w14:camera w14:prst="orthographicFront"/>
              <w14:lightRig w14:rig="threePt" w14:dir="t">
                <w14:rot w14:lat="0" w14:lon="0" w14:rev="0"/>
              </w14:lightRig>
            </w14:scene3d>
          </w:rPr>
          <w:t>3.3.1</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Cultural diversity: How many indigenous groups and languages are represented in the Americas?</w:t>
        </w:r>
        <w:r w:rsidR="00C40619">
          <w:rPr>
            <w:noProof/>
            <w:webHidden/>
          </w:rPr>
          <w:tab/>
        </w:r>
        <w:r w:rsidR="00C40619">
          <w:rPr>
            <w:noProof/>
            <w:webHidden/>
          </w:rPr>
          <w:fldChar w:fldCharType="begin"/>
        </w:r>
        <w:r w:rsidR="00C40619">
          <w:rPr>
            <w:noProof/>
            <w:webHidden/>
          </w:rPr>
          <w:instrText xml:space="preserve"> PAGEREF _Toc517797001 \h </w:instrText>
        </w:r>
        <w:r w:rsidR="00C40619">
          <w:rPr>
            <w:noProof/>
            <w:webHidden/>
          </w:rPr>
        </w:r>
        <w:r w:rsidR="00C40619">
          <w:rPr>
            <w:noProof/>
            <w:webHidden/>
          </w:rPr>
          <w:fldChar w:fldCharType="separate"/>
        </w:r>
        <w:r w:rsidR="00402074">
          <w:rPr>
            <w:noProof/>
            <w:webHidden/>
          </w:rPr>
          <w:t>242</w:t>
        </w:r>
        <w:r w:rsidR="00C40619">
          <w:rPr>
            <w:noProof/>
            <w:webHidden/>
          </w:rPr>
          <w:fldChar w:fldCharType="end"/>
        </w:r>
      </w:hyperlink>
    </w:p>
    <w:p w14:paraId="65DB4F39" w14:textId="0ED93A71"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02" w:history="1">
        <w:r w:rsidR="00C40619" w:rsidRPr="00141DA8">
          <w:rPr>
            <w:rStyle w:val="Hyperlink"/>
            <w:noProof/>
            <w14:scene3d>
              <w14:camera w14:prst="orthographicFront"/>
              <w14:lightRig w14:rig="threePt" w14:dir="t">
                <w14:rot w14:lat="0" w14:lon="0" w14:rev="0"/>
              </w14:lightRig>
            </w14:scene3d>
          </w:rPr>
          <w:t>3.3.2</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Cultural and biological diversity: Traditional knowledge and worldviews among the indigenous communities of the Americas</w:t>
        </w:r>
        <w:r w:rsidR="00C40619">
          <w:rPr>
            <w:noProof/>
            <w:webHidden/>
          </w:rPr>
          <w:tab/>
        </w:r>
        <w:r w:rsidR="00C40619">
          <w:rPr>
            <w:noProof/>
            <w:webHidden/>
          </w:rPr>
          <w:fldChar w:fldCharType="begin"/>
        </w:r>
        <w:r w:rsidR="00C40619">
          <w:rPr>
            <w:noProof/>
            <w:webHidden/>
          </w:rPr>
          <w:instrText xml:space="preserve"> PAGEREF _Toc517797002 \h </w:instrText>
        </w:r>
        <w:r w:rsidR="00C40619">
          <w:rPr>
            <w:noProof/>
            <w:webHidden/>
          </w:rPr>
        </w:r>
        <w:r w:rsidR="00C40619">
          <w:rPr>
            <w:noProof/>
            <w:webHidden/>
          </w:rPr>
          <w:fldChar w:fldCharType="separate"/>
        </w:r>
        <w:r w:rsidR="00402074">
          <w:rPr>
            <w:noProof/>
            <w:webHidden/>
          </w:rPr>
          <w:t>242</w:t>
        </w:r>
        <w:r w:rsidR="00C40619">
          <w:rPr>
            <w:noProof/>
            <w:webHidden/>
          </w:rPr>
          <w:fldChar w:fldCharType="end"/>
        </w:r>
      </w:hyperlink>
    </w:p>
    <w:p w14:paraId="297B2DF4" w14:textId="71CB1756"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03" w:history="1">
        <w:r w:rsidR="00C40619" w:rsidRPr="00141DA8">
          <w:rPr>
            <w:rStyle w:val="Hyperlink"/>
            <w:noProof/>
            <w14:scene3d>
              <w14:camera w14:prst="orthographicFront"/>
              <w14:lightRig w14:rig="threePt" w14:dir="t">
                <w14:rot w14:lat="0" w14:lon="0" w14:rev="0"/>
              </w14:lightRig>
            </w14:scene3d>
          </w:rPr>
          <w:t>3.3.3</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Domestication and use of biodiversity and agroforestry</w:t>
        </w:r>
        <w:r w:rsidR="00C40619">
          <w:rPr>
            <w:noProof/>
            <w:webHidden/>
          </w:rPr>
          <w:tab/>
        </w:r>
        <w:r w:rsidR="00C40619">
          <w:rPr>
            <w:noProof/>
            <w:webHidden/>
          </w:rPr>
          <w:fldChar w:fldCharType="begin"/>
        </w:r>
        <w:r w:rsidR="00C40619">
          <w:rPr>
            <w:noProof/>
            <w:webHidden/>
          </w:rPr>
          <w:instrText xml:space="preserve"> PAGEREF _Toc517797003 \h </w:instrText>
        </w:r>
        <w:r w:rsidR="00C40619">
          <w:rPr>
            <w:noProof/>
            <w:webHidden/>
          </w:rPr>
        </w:r>
        <w:r w:rsidR="00C40619">
          <w:rPr>
            <w:noProof/>
            <w:webHidden/>
          </w:rPr>
          <w:fldChar w:fldCharType="separate"/>
        </w:r>
        <w:r w:rsidR="00402074">
          <w:rPr>
            <w:noProof/>
            <w:webHidden/>
          </w:rPr>
          <w:t>244</w:t>
        </w:r>
        <w:r w:rsidR="00C40619">
          <w:rPr>
            <w:noProof/>
            <w:webHidden/>
          </w:rPr>
          <w:fldChar w:fldCharType="end"/>
        </w:r>
      </w:hyperlink>
    </w:p>
    <w:p w14:paraId="759EA0DC" w14:textId="5491FD56"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04" w:history="1">
        <w:r w:rsidR="00C40619" w:rsidRPr="00141DA8">
          <w:rPr>
            <w:rStyle w:val="Hyperlink"/>
            <w:noProof/>
            <w14:scene3d>
              <w14:camera w14:prst="orthographicFront"/>
              <w14:lightRig w14:rig="threePt" w14:dir="t">
                <w14:rot w14:lat="0" w14:lon="0" w14:rev="0"/>
              </w14:lightRig>
            </w14:scene3d>
          </w:rPr>
          <w:t>3.3.4</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Status and trends of biodiversity in urban anthropogenic systems</w:t>
        </w:r>
        <w:r w:rsidR="00C40619">
          <w:rPr>
            <w:noProof/>
            <w:webHidden/>
          </w:rPr>
          <w:tab/>
        </w:r>
        <w:r w:rsidR="00C40619">
          <w:rPr>
            <w:noProof/>
            <w:webHidden/>
          </w:rPr>
          <w:fldChar w:fldCharType="begin"/>
        </w:r>
        <w:r w:rsidR="00C40619">
          <w:rPr>
            <w:noProof/>
            <w:webHidden/>
          </w:rPr>
          <w:instrText xml:space="preserve"> PAGEREF _Toc517797004 \h </w:instrText>
        </w:r>
        <w:r w:rsidR="00C40619">
          <w:rPr>
            <w:noProof/>
            <w:webHidden/>
          </w:rPr>
        </w:r>
        <w:r w:rsidR="00C40619">
          <w:rPr>
            <w:noProof/>
            <w:webHidden/>
          </w:rPr>
          <w:fldChar w:fldCharType="separate"/>
        </w:r>
        <w:r w:rsidR="00402074">
          <w:rPr>
            <w:noProof/>
            <w:webHidden/>
          </w:rPr>
          <w:t>245</w:t>
        </w:r>
        <w:r w:rsidR="00C40619">
          <w:rPr>
            <w:noProof/>
            <w:webHidden/>
          </w:rPr>
          <w:fldChar w:fldCharType="end"/>
        </w:r>
      </w:hyperlink>
    </w:p>
    <w:p w14:paraId="618E131A" w14:textId="15CE5A3C"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05" w:history="1">
        <w:r w:rsidR="00C40619" w:rsidRPr="00141DA8">
          <w:rPr>
            <w:rStyle w:val="Hyperlink"/>
            <w:noProof/>
            <w14:scene3d>
              <w14:camera w14:prst="orthographicFront"/>
              <w14:lightRig w14:rig="threePt" w14:dir="t">
                <w14:rot w14:lat="0" w14:lon="0" w14:rev="0"/>
              </w14:lightRig>
            </w14:scene3d>
          </w:rPr>
          <w:t>3.3.5</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Status and trends of biodiversity in agricultural, silvicultural and aquacultural anthropogenic systems</w:t>
        </w:r>
        <w:r w:rsidR="00C40619">
          <w:rPr>
            <w:noProof/>
            <w:webHidden/>
          </w:rPr>
          <w:tab/>
        </w:r>
        <w:r w:rsidR="00C40619">
          <w:rPr>
            <w:noProof/>
            <w:webHidden/>
          </w:rPr>
          <w:fldChar w:fldCharType="begin"/>
        </w:r>
        <w:r w:rsidR="00C40619">
          <w:rPr>
            <w:noProof/>
            <w:webHidden/>
          </w:rPr>
          <w:instrText xml:space="preserve"> PAGEREF _Toc517797005 \h </w:instrText>
        </w:r>
        <w:r w:rsidR="00C40619">
          <w:rPr>
            <w:noProof/>
            <w:webHidden/>
          </w:rPr>
        </w:r>
        <w:r w:rsidR="00C40619">
          <w:rPr>
            <w:noProof/>
            <w:webHidden/>
          </w:rPr>
          <w:fldChar w:fldCharType="separate"/>
        </w:r>
        <w:r w:rsidR="00402074">
          <w:rPr>
            <w:noProof/>
            <w:webHidden/>
          </w:rPr>
          <w:t>249</w:t>
        </w:r>
        <w:r w:rsidR="00C40619">
          <w:rPr>
            <w:noProof/>
            <w:webHidden/>
          </w:rPr>
          <w:fldChar w:fldCharType="end"/>
        </w:r>
      </w:hyperlink>
    </w:p>
    <w:p w14:paraId="227FBDF7" w14:textId="5EF38D12"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06" w:history="1">
        <w:r w:rsidR="00C40619" w:rsidRPr="00141DA8">
          <w:rPr>
            <w:rStyle w:val="Hyperlink"/>
            <w:noProof/>
            <w14:scene3d>
              <w14:camera w14:prst="orthographicFront"/>
              <w14:lightRig w14:rig="threePt" w14:dir="t">
                <w14:rot w14:lat="0" w14:lon="0" w14:rev="0"/>
              </w14:lightRig>
            </w14:scene3d>
          </w:rPr>
          <w:t>3.3.6</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Emerging diseases and biodiversity</w:t>
        </w:r>
        <w:r w:rsidR="00C40619">
          <w:rPr>
            <w:noProof/>
            <w:webHidden/>
          </w:rPr>
          <w:tab/>
        </w:r>
        <w:r w:rsidR="00C40619">
          <w:rPr>
            <w:noProof/>
            <w:webHidden/>
          </w:rPr>
          <w:fldChar w:fldCharType="begin"/>
        </w:r>
        <w:r w:rsidR="00C40619">
          <w:rPr>
            <w:noProof/>
            <w:webHidden/>
          </w:rPr>
          <w:instrText xml:space="preserve"> PAGEREF _Toc517797006 \h </w:instrText>
        </w:r>
        <w:r w:rsidR="00C40619">
          <w:rPr>
            <w:noProof/>
            <w:webHidden/>
          </w:rPr>
        </w:r>
        <w:r w:rsidR="00C40619">
          <w:rPr>
            <w:noProof/>
            <w:webHidden/>
          </w:rPr>
          <w:fldChar w:fldCharType="separate"/>
        </w:r>
        <w:r w:rsidR="00402074">
          <w:rPr>
            <w:noProof/>
            <w:webHidden/>
          </w:rPr>
          <w:t>251</w:t>
        </w:r>
        <w:r w:rsidR="00C40619">
          <w:rPr>
            <w:noProof/>
            <w:webHidden/>
          </w:rPr>
          <w:fldChar w:fldCharType="end"/>
        </w:r>
      </w:hyperlink>
    </w:p>
    <w:p w14:paraId="19A76754" w14:textId="330155BE" w:rsidR="00C40619" w:rsidRDefault="00E84199">
      <w:pPr>
        <w:pStyle w:val="TOC2"/>
        <w:rPr>
          <w:rFonts w:asciiTheme="minorHAnsi" w:eastAsiaTheme="minorEastAsia" w:hAnsiTheme="minorHAnsi" w:cstheme="minorBidi"/>
          <w:b w:val="0"/>
          <w:bCs w:val="0"/>
          <w:noProof/>
          <w:szCs w:val="22"/>
          <w:lang w:val="es-CO" w:eastAsia="es-CO"/>
        </w:rPr>
      </w:pPr>
      <w:hyperlink w:anchor="_Toc517797007" w:history="1">
        <w:r w:rsidR="00C40619" w:rsidRPr="00141DA8">
          <w:rPr>
            <w:rStyle w:val="Hyperlink"/>
            <w:noProof/>
            <w14:scene3d>
              <w14:camera w14:prst="orthographicFront"/>
              <w14:lightRig w14:rig="threePt" w14:dir="t">
                <w14:rot w14:lat="0" w14:lon="0" w14:rev="0"/>
              </w14:lightRig>
            </w14:scene3d>
          </w:rPr>
          <w:t>3.4</w:t>
        </w:r>
        <w:r w:rsidR="00C40619">
          <w:rPr>
            <w:rFonts w:asciiTheme="minorHAnsi" w:eastAsiaTheme="minorEastAsia" w:hAnsiTheme="minorHAnsi" w:cstheme="minorBidi"/>
            <w:b w:val="0"/>
            <w:bCs w:val="0"/>
            <w:noProof/>
            <w:szCs w:val="22"/>
            <w:lang w:val="es-CO" w:eastAsia="es-CO"/>
          </w:rPr>
          <w:tab/>
        </w:r>
        <w:r w:rsidR="00C40619" w:rsidRPr="00141DA8">
          <w:rPr>
            <w:rStyle w:val="Hyperlink"/>
            <w:noProof/>
          </w:rPr>
          <w:t>Status and recent trends of biodiversity by units of analysis</w:t>
        </w:r>
        <w:r w:rsidR="00C40619">
          <w:rPr>
            <w:noProof/>
            <w:webHidden/>
          </w:rPr>
          <w:tab/>
        </w:r>
        <w:r w:rsidR="00C40619">
          <w:rPr>
            <w:noProof/>
            <w:webHidden/>
          </w:rPr>
          <w:fldChar w:fldCharType="begin"/>
        </w:r>
        <w:r w:rsidR="00C40619">
          <w:rPr>
            <w:noProof/>
            <w:webHidden/>
          </w:rPr>
          <w:instrText xml:space="preserve"> PAGEREF _Toc517797007 \h </w:instrText>
        </w:r>
        <w:r w:rsidR="00C40619">
          <w:rPr>
            <w:noProof/>
            <w:webHidden/>
          </w:rPr>
        </w:r>
        <w:r w:rsidR="00C40619">
          <w:rPr>
            <w:noProof/>
            <w:webHidden/>
          </w:rPr>
          <w:fldChar w:fldCharType="separate"/>
        </w:r>
        <w:r w:rsidR="00402074">
          <w:rPr>
            <w:noProof/>
            <w:webHidden/>
          </w:rPr>
          <w:t>251</w:t>
        </w:r>
        <w:r w:rsidR="00C40619">
          <w:rPr>
            <w:noProof/>
            <w:webHidden/>
          </w:rPr>
          <w:fldChar w:fldCharType="end"/>
        </w:r>
      </w:hyperlink>
    </w:p>
    <w:p w14:paraId="4633B6A4" w14:textId="03709076"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08" w:history="1">
        <w:r w:rsidR="00C40619" w:rsidRPr="00141DA8">
          <w:rPr>
            <w:rStyle w:val="Hyperlink"/>
            <w:noProof/>
            <w14:scene3d>
              <w14:camera w14:prst="orthographicFront"/>
              <w14:lightRig w14:rig="threePt" w14:dir="t">
                <w14:rot w14:lat="0" w14:lon="0" w14:rev="0"/>
              </w14:lightRig>
            </w14:scene3d>
          </w:rPr>
          <w:t>3.4.1</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Terrestrial biomes</w:t>
        </w:r>
        <w:r w:rsidR="00C40619">
          <w:rPr>
            <w:noProof/>
            <w:webHidden/>
          </w:rPr>
          <w:tab/>
        </w:r>
        <w:r w:rsidR="00C40619">
          <w:rPr>
            <w:noProof/>
            <w:webHidden/>
          </w:rPr>
          <w:fldChar w:fldCharType="begin"/>
        </w:r>
        <w:r w:rsidR="00C40619">
          <w:rPr>
            <w:noProof/>
            <w:webHidden/>
          </w:rPr>
          <w:instrText xml:space="preserve"> PAGEREF _Toc517797008 \h </w:instrText>
        </w:r>
        <w:r w:rsidR="00C40619">
          <w:rPr>
            <w:noProof/>
            <w:webHidden/>
          </w:rPr>
        </w:r>
        <w:r w:rsidR="00C40619">
          <w:rPr>
            <w:noProof/>
            <w:webHidden/>
          </w:rPr>
          <w:fldChar w:fldCharType="separate"/>
        </w:r>
        <w:r w:rsidR="00402074">
          <w:rPr>
            <w:noProof/>
            <w:webHidden/>
          </w:rPr>
          <w:t>251</w:t>
        </w:r>
        <w:r w:rsidR="00C40619">
          <w:rPr>
            <w:noProof/>
            <w:webHidden/>
          </w:rPr>
          <w:fldChar w:fldCharType="end"/>
        </w:r>
      </w:hyperlink>
    </w:p>
    <w:p w14:paraId="48F2831A" w14:textId="5B192CA4"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009" w:history="1">
        <w:r w:rsidR="00C40619" w:rsidRPr="00141DA8">
          <w:rPr>
            <w:rStyle w:val="Hyperlink"/>
            <w:noProof/>
          </w:rPr>
          <w:t>3.4.1.1</w:t>
        </w:r>
        <w:r w:rsidR="00C40619">
          <w:rPr>
            <w:rFonts w:asciiTheme="minorHAnsi" w:eastAsiaTheme="minorEastAsia" w:hAnsiTheme="minorHAnsi" w:cstheme="minorBidi"/>
            <w:noProof/>
            <w:szCs w:val="22"/>
            <w:lang w:val="es-CO" w:eastAsia="es-CO"/>
          </w:rPr>
          <w:tab/>
        </w:r>
        <w:r w:rsidR="00C40619" w:rsidRPr="00141DA8">
          <w:rPr>
            <w:rStyle w:val="Hyperlink"/>
            <w:noProof/>
          </w:rPr>
          <w:t>Tropical and subtropical moist forests</w:t>
        </w:r>
        <w:r w:rsidR="00C40619">
          <w:rPr>
            <w:noProof/>
            <w:webHidden/>
          </w:rPr>
          <w:tab/>
        </w:r>
        <w:r w:rsidR="00C40619">
          <w:rPr>
            <w:noProof/>
            <w:webHidden/>
          </w:rPr>
          <w:fldChar w:fldCharType="begin"/>
        </w:r>
        <w:r w:rsidR="00C40619">
          <w:rPr>
            <w:noProof/>
            <w:webHidden/>
          </w:rPr>
          <w:instrText xml:space="preserve"> PAGEREF _Toc517797009 \h </w:instrText>
        </w:r>
        <w:r w:rsidR="00C40619">
          <w:rPr>
            <w:noProof/>
            <w:webHidden/>
          </w:rPr>
        </w:r>
        <w:r w:rsidR="00C40619">
          <w:rPr>
            <w:noProof/>
            <w:webHidden/>
          </w:rPr>
          <w:fldChar w:fldCharType="separate"/>
        </w:r>
        <w:r w:rsidR="00402074">
          <w:rPr>
            <w:noProof/>
            <w:webHidden/>
          </w:rPr>
          <w:t>252</w:t>
        </w:r>
        <w:r w:rsidR="00C40619">
          <w:rPr>
            <w:noProof/>
            <w:webHidden/>
          </w:rPr>
          <w:fldChar w:fldCharType="end"/>
        </w:r>
      </w:hyperlink>
    </w:p>
    <w:p w14:paraId="1A9C47E7" w14:textId="20F8CEFC"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010" w:history="1">
        <w:r w:rsidR="00C40619" w:rsidRPr="00141DA8">
          <w:rPr>
            <w:rStyle w:val="Hyperlink"/>
            <w:noProof/>
          </w:rPr>
          <w:t>3.4.1.2</w:t>
        </w:r>
        <w:r w:rsidR="00C40619">
          <w:rPr>
            <w:rFonts w:asciiTheme="minorHAnsi" w:eastAsiaTheme="minorEastAsia" w:hAnsiTheme="minorHAnsi" w:cstheme="minorBidi"/>
            <w:noProof/>
            <w:szCs w:val="22"/>
            <w:lang w:val="es-CO" w:eastAsia="es-CO"/>
          </w:rPr>
          <w:tab/>
        </w:r>
        <w:r w:rsidR="00C40619" w:rsidRPr="00141DA8">
          <w:rPr>
            <w:rStyle w:val="Hyperlink"/>
            <w:noProof/>
          </w:rPr>
          <w:t>Tropical and subtropical dry forests</w:t>
        </w:r>
        <w:r w:rsidR="00C40619">
          <w:rPr>
            <w:noProof/>
            <w:webHidden/>
          </w:rPr>
          <w:tab/>
        </w:r>
        <w:r w:rsidR="00C40619">
          <w:rPr>
            <w:noProof/>
            <w:webHidden/>
          </w:rPr>
          <w:fldChar w:fldCharType="begin"/>
        </w:r>
        <w:r w:rsidR="00C40619">
          <w:rPr>
            <w:noProof/>
            <w:webHidden/>
          </w:rPr>
          <w:instrText xml:space="preserve"> PAGEREF _Toc517797010 \h </w:instrText>
        </w:r>
        <w:r w:rsidR="00C40619">
          <w:rPr>
            <w:noProof/>
            <w:webHidden/>
          </w:rPr>
        </w:r>
        <w:r w:rsidR="00C40619">
          <w:rPr>
            <w:noProof/>
            <w:webHidden/>
          </w:rPr>
          <w:fldChar w:fldCharType="separate"/>
        </w:r>
        <w:r w:rsidR="00402074">
          <w:rPr>
            <w:noProof/>
            <w:webHidden/>
          </w:rPr>
          <w:t>256</w:t>
        </w:r>
        <w:r w:rsidR="00C40619">
          <w:rPr>
            <w:noProof/>
            <w:webHidden/>
          </w:rPr>
          <w:fldChar w:fldCharType="end"/>
        </w:r>
      </w:hyperlink>
    </w:p>
    <w:p w14:paraId="787F1905" w14:textId="0F044E8F"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011" w:history="1">
        <w:r w:rsidR="00C40619" w:rsidRPr="00141DA8">
          <w:rPr>
            <w:rStyle w:val="Hyperlink"/>
            <w:noProof/>
          </w:rPr>
          <w:t>3.4.1.3</w:t>
        </w:r>
        <w:r w:rsidR="00C40619">
          <w:rPr>
            <w:rFonts w:asciiTheme="minorHAnsi" w:eastAsiaTheme="minorEastAsia" w:hAnsiTheme="minorHAnsi" w:cstheme="minorBidi"/>
            <w:noProof/>
            <w:szCs w:val="22"/>
            <w:lang w:val="es-CO" w:eastAsia="es-CO"/>
          </w:rPr>
          <w:tab/>
        </w:r>
        <w:r w:rsidR="00C40619" w:rsidRPr="00141DA8">
          <w:rPr>
            <w:rStyle w:val="Hyperlink"/>
            <w:noProof/>
          </w:rPr>
          <w:t>Temperate and boreal forests and woodlands</w:t>
        </w:r>
        <w:r w:rsidR="00C40619">
          <w:rPr>
            <w:noProof/>
            <w:webHidden/>
          </w:rPr>
          <w:tab/>
        </w:r>
        <w:r w:rsidR="00C40619">
          <w:rPr>
            <w:noProof/>
            <w:webHidden/>
          </w:rPr>
          <w:fldChar w:fldCharType="begin"/>
        </w:r>
        <w:r w:rsidR="00C40619">
          <w:rPr>
            <w:noProof/>
            <w:webHidden/>
          </w:rPr>
          <w:instrText xml:space="preserve"> PAGEREF _Toc517797011 \h </w:instrText>
        </w:r>
        <w:r w:rsidR="00C40619">
          <w:rPr>
            <w:noProof/>
            <w:webHidden/>
          </w:rPr>
        </w:r>
        <w:r w:rsidR="00C40619">
          <w:rPr>
            <w:noProof/>
            <w:webHidden/>
          </w:rPr>
          <w:fldChar w:fldCharType="separate"/>
        </w:r>
        <w:r w:rsidR="00402074">
          <w:rPr>
            <w:noProof/>
            <w:webHidden/>
          </w:rPr>
          <w:t>258</w:t>
        </w:r>
        <w:r w:rsidR="00C40619">
          <w:rPr>
            <w:noProof/>
            <w:webHidden/>
          </w:rPr>
          <w:fldChar w:fldCharType="end"/>
        </w:r>
      </w:hyperlink>
    </w:p>
    <w:p w14:paraId="3EEFC62F" w14:textId="63A28647"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012" w:history="1">
        <w:r w:rsidR="00C40619" w:rsidRPr="00141DA8">
          <w:rPr>
            <w:rStyle w:val="Hyperlink"/>
            <w:noProof/>
          </w:rPr>
          <w:t>3.4.1.4</w:t>
        </w:r>
        <w:r w:rsidR="00C40619">
          <w:rPr>
            <w:rFonts w:asciiTheme="minorHAnsi" w:eastAsiaTheme="minorEastAsia" w:hAnsiTheme="minorHAnsi" w:cstheme="minorBidi"/>
            <w:noProof/>
            <w:szCs w:val="22"/>
            <w:lang w:val="es-CO" w:eastAsia="es-CO"/>
          </w:rPr>
          <w:tab/>
        </w:r>
        <w:r w:rsidR="00C40619" w:rsidRPr="00141DA8">
          <w:rPr>
            <w:rStyle w:val="Hyperlink"/>
            <w:noProof/>
          </w:rPr>
          <w:t>Mediterranean forests, woodlands and scrub</w:t>
        </w:r>
        <w:r w:rsidR="00C40619">
          <w:rPr>
            <w:noProof/>
            <w:webHidden/>
          </w:rPr>
          <w:tab/>
        </w:r>
        <w:r w:rsidR="00C40619">
          <w:rPr>
            <w:noProof/>
            <w:webHidden/>
          </w:rPr>
          <w:fldChar w:fldCharType="begin"/>
        </w:r>
        <w:r w:rsidR="00C40619">
          <w:rPr>
            <w:noProof/>
            <w:webHidden/>
          </w:rPr>
          <w:instrText xml:space="preserve"> PAGEREF _Toc517797012 \h </w:instrText>
        </w:r>
        <w:r w:rsidR="00C40619">
          <w:rPr>
            <w:noProof/>
            <w:webHidden/>
          </w:rPr>
        </w:r>
        <w:r w:rsidR="00C40619">
          <w:rPr>
            <w:noProof/>
            <w:webHidden/>
          </w:rPr>
          <w:fldChar w:fldCharType="separate"/>
        </w:r>
        <w:r w:rsidR="00402074">
          <w:rPr>
            <w:noProof/>
            <w:webHidden/>
          </w:rPr>
          <w:t>263</w:t>
        </w:r>
        <w:r w:rsidR="00C40619">
          <w:rPr>
            <w:noProof/>
            <w:webHidden/>
          </w:rPr>
          <w:fldChar w:fldCharType="end"/>
        </w:r>
      </w:hyperlink>
    </w:p>
    <w:p w14:paraId="0F92CC2C" w14:textId="7D6B69E0"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013" w:history="1">
        <w:r w:rsidR="00C40619" w:rsidRPr="00141DA8">
          <w:rPr>
            <w:rStyle w:val="Hyperlink"/>
            <w:noProof/>
          </w:rPr>
          <w:t>3.4.1.5</w:t>
        </w:r>
        <w:r w:rsidR="00C40619">
          <w:rPr>
            <w:rFonts w:asciiTheme="minorHAnsi" w:eastAsiaTheme="minorEastAsia" w:hAnsiTheme="minorHAnsi" w:cstheme="minorBidi"/>
            <w:noProof/>
            <w:szCs w:val="22"/>
            <w:lang w:val="es-CO" w:eastAsia="es-CO"/>
          </w:rPr>
          <w:tab/>
        </w:r>
        <w:r w:rsidR="00C40619" w:rsidRPr="00141DA8">
          <w:rPr>
            <w:rStyle w:val="Hyperlink"/>
            <w:noProof/>
          </w:rPr>
          <w:t>Tundra and high mountain habitats</w:t>
        </w:r>
        <w:r w:rsidR="00C40619">
          <w:rPr>
            <w:noProof/>
            <w:webHidden/>
          </w:rPr>
          <w:tab/>
        </w:r>
        <w:r w:rsidR="00C40619">
          <w:rPr>
            <w:noProof/>
            <w:webHidden/>
          </w:rPr>
          <w:fldChar w:fldCharType="begin"/>
        </w:r>
        <w:r w:rsidR="00C40619">
          <w:rPr>
            <w:noProof/>
            <w:webHidden/>
          </w:rPr>
          <w:instrText xml:space="preserve"> PAGEREF _Toc517797013 \h </w:instrText>
        </w:r>
        <w:r w:rsidR="00C40619">
          <w:rPr>
            <w:noProof/>
            <w:webHidden/>
          </w:rPr>
        </w:r>
        <w:r w:rsidR="00C40619">
          <w:rPr>
            <w:noProof/>
            <w:webHidden/>
          </w:rPr>
          <w:fldChar w:fldCharType="separate"/>
        </w:r>
        <w:r w:rsidR="00402074">
          <w:rPr>
            <w:noProof/>
            <w:webHidden/>
          </w:rPr>
          <w:t>267</w:t>
        </w:r>
        <w:r w:rsidR="00C40619">
          <w:rPr>
            <w:noProof/>
            <w:webHidden/>
          </w:rPr>
          <w:fldChar w:fldCharType="end"/>
        </w:r>
      </w:hyperlink>
    </w:p>
    <w:p w14:paraId="0DAF7853" w14:textId="3D28D8E4"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014" w:history="1">
        <w:r w:rsidR="00C40619" w:rsidRPr="00141DA8">
          <w:rPr>
            <w:rStyle w:val="Hyperlink"/>
            <w:noProof/>
          </w:rPr>
          <w:t>3.4.1.6</w:t>
        </w:r>
        <w:r w:rsidR="00C40619">
          <w:rPr>
            <w:rFonts w:asciiTheme="minorHAnsi" w:eastAsiaTheme="minorEastAsia" w:hAnsiTheme="minorHAnsi" w:cstheme="minorBidi"/>
            <w:noProof/>
            <w:szCs w:val="22"/>
            <w:lang w:val="es-CO" w:eastAsia="es-CO"/>
          </w:rPr>
          <w:tab/>
        </w:r>
        <w:r w:rsidR="00C40619" w:rsidRPr="00141DA8">
          <w:rPr>
            <w:rStyle w:val="Hyperlink"/>
            <w:noProof/>
          </w:rPr>
          <w:t>Tropical savannas and grasslands</w:t>
        </w:r>
        <w:r w:rsidR="00C40619">
          <w:rPr>
            <w:noProof/>
            <w:webHidden/>
          </w:rPr>
          <w:tab/>
        </w:r>
        <w:r w:rsidR="00C40619">
          <w:rPr>
            <w:noProof/>
            <w:webHidden/>
          </w:rPr>
          <w:fldChar w:fldCharType="begin"/>
        </w:r>
        <w:r w:rsidR="00C40619">
          <w:rPr>
            <w:noProof/>
            <w:webHidden/>
          </w:rPr>
          <w:instrText xml:space="preserve"> PAGEREF _Toc517797014 \h </w:instrText>
        </w:r>
        <w:r w:rsidR="00C40619">
          <w:rPr>
            <w:noProof/>
            <w:webHidden/>
          </w:rPr>
        </w:r>
        <w:r w:rsidR="00C40619">
          <w:rPr>
            <w:noProof/>
            <w:webHidden/>
          </w:rPr>
          <w:fldChar w:fldCharType="separate"/>
        </w:r>
        <w:r w:rsidR="00402074">
          <w:rPr>
            <w:noProof/>
            <w:webHidden/>
          </w:rPr>
          <w:t>271</w:t>
        </w:r>
        <w:r w:rsidR="00C40619">
          <w:rPr>
            <w:noProof/>
            <w:webHidden/>
          </w:rPr>
          <w:fldChar w:fldCharType="end"/>
        </w:r>
      </w:hyperlink>
    </w:p>
    <w:p w14:paraId="1FA7AE71" w14:textId="6FB06CE7"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015" w:history="1">
        <w:r w:rsidR="00C40619" w:rsidRPr="00141DA8">
          <w:rPr>
            <w:rStyle w:val="Hyperlink"/>
            <w:noProof/>
          </w:rPr>
          <w:t>3.4.1.7</w:t>
        </w:r>
        <w:r w:rsidR="00C40619">
          <w:rPr>
            <w:rFonts w:asciiTheme="minorHAnsi" w:eastAsiaTheme="minorEastAsia" w:hAnsiTheme="minorHAnsi" w:cstheme="minorBidi"/>
            <w:noProof/>
            <w:szCs w:val="22"/>
            <w:lang w:val="es-CO" w:eastAsia="es-CO"/>
          </w:rPr>
          <w:tab/>
        </w:r>
        <w:r w:rsidR="00C40619" w:rsidRPr="00141DA8">
          <w:rPr>
            <w:rStyle w:val="Hyperlink"/>
            <w:noProof/>
          </w:rPr>
          <w:t>Temperate grasslands</w:t>
        </w:r>
        <w:r w:rsidR="00C40619">
          <w:rPr>
            <w:noProof/>
            <w:webHidden/>
          </w:rPr>
          <w:tab/>
        </w:r>
        <w:r w:rsidR="00C40619">
          <w:rPr>
            <w:noProof/>
            <w:webHidden/>
          </w:rPr>
          <w:fldChar w:fldCharType="begin"/>
        </w:r>
        <w:r w:rsidR="00C40619">
          <w:rPr>
            <w:noProof/>
            <w:webHidden/>
          </w:rPr>
          <w:instrText xml:space="preserve"> PAGEREF _Toc517797015 \h </w:instrText>
        </w:r>
        <w:r w:rsidR="00C40619">
          <w:rPr>
            <w:noProof/>
            <w:webHidden/>
          </w:rPr>
        </w:r>
        <w:r w:rsidR="00C40619">
          <w:rPr>
            <w:noProof/>
            <w:webHidden/>
          </w:rPr>
          <w:fldChar w:fldCharType="separate"/>
        </w:r>
        <w:r w:rsidR="00402074">
          <w:rPr>
            <w:noProof/>
            <w:webHidden/>
          </w:rPr>
          <w:t>272</w:t>
        </w:r>
        <w:r w:rsidR="00C40619">
          <w:rPr>
            <w:noProof/>
            <w:webHidden/>
          </w:rPr>
          <w:fldChar w:fldCharType="end"/>
        </w:r>
      </w:hyperlink>
    </w:p>
    <w:p w14:paraId="7EDBF7EB" w14:textId="663C783C"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016" w:history="1">
        <w:r w:rsidR="00C40619" w:rsidRPr="00141DA8">
          <w:rPr>
            <w:rStyle w:val="Hyperlink"/>
            <w:noProof/>
          </w:rPr>
          <w:t>3.4.1.8</w:t>
        </w:r>
        <w:r w:rsidR="00C40619">
          <w:rPr>
            <w:rFonts w:asciiTheme="minorHAnsi" w:eastAsiaTheme="minorEastAsia" w:hAnsiTheme="minorHAnsi" w:cstheme="minorBidi"/>
            <w:noProof/>
            <w:szCs w:val="22"/>
            <w:lang w:val="es-CO" w:eastAsia="es-CO"/>
          </w:rPr>
          <w:tab/>
        </w:r>
        <w:r w:rsidR="00C40619" w:rsidRPr="00141DA8">
          <w:rPr>
            <w:rStyle w:val="Hyperlink"/>
            <w:noProof/>
          </w:rPr>
          <w:t>Drylands and deserts</w:t>
        </w:r>
        <w:r w:rsidR="00C40619">
          <w:rPr>
            <w:noProof/>
            <w:webHidden/>
          </w:rPr>
          <w:tab/>
        </w:r>
        <w:r w:rsidR="00C40619">
          <w:rPr>
            <w:noProof/>
            <w:webHidden/>
          </w:rPr>
          <w:fldChar w:fldCharType="begin"/>
        </w:r>
        <w:r w:rsidR="00C40619">
          <w:rPr>
            <w:noProof/>
            <w:webHidden/>
          </w:rPr>
          <w:instrText xml:space="preserve"> PAGEREF _Toc517797016 \h </w:instrText>
        </w:r>
        <w:r w:rsidR="00C40619">
          <w:rPr>
            <w:noProof/>
            <w:webHidden/>
          </w:rPr>
        </w:r>
        <w:r w:rsidR="00C40619">
          <w:rPr>
            <w:noProof/>
            <w:webHidden/>
          </w:rPr>
          <w:fldChar w:fldCharType="separate"/>
        </w:r>
        <w:r w:rsidR="00402074">
          <w:rPr>
            <w:noProof/>
            <w:webHidden/>
          </w:rPr>
          <w:t>275</w:t>
        </w:r>
        <w:r w:rsidR="00C40619">
          <w:rPr>
            <w:noProof/>
            <w:webHidden/>
          </w:rPr>
          <w:fldChar w:fldCharType="end"/>
        </w:r>
      </w:hyperlink>
    </w:p>
    <w:p w14:paraId="57C2EE87" w14:textId="109465E5"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017" w:history="1">
        <w:r w:rsidR="00C40619" w:rsidRPr="00141DA8">
          <w:rPr>
            <w:rStyle w:val="Hyperlink"/>
            <w:noProof/>
          </w:rPr>
          <w:t>3.4.1.9</w:t>
        </w:r>
        <w:r w:rsidR="00C40619">
          <w:rPr>
            <w:rFonts w:asciiTheme="minorHAnsi" w:eastAsiaTheme="minorEastAsia" w:hAnsiTheme="minorHAnsi" w:cstheme="minorBidi"/>
            <w:noProof/>
            <w:szCs w:val="22"/>
            <w:lang w:val="es-CO" w:eastAsia="es-CO"/>
          </w:rPr>
          <w:tab/>
        </w:r>
        <w:r w:rsidR="00C40619" w:rsidRPr="00141DA8">
          <w:rPr>
            <w:rStyle w:val="Hyperlink"/>
            <w:noProof/>
          </w:rPr>
          <w:t>Wetlands: peatlands, mires, bogs</w:t>
        </w:r>
        <w:r w:rsidR="00C40619">
          <w:rPr>
            <w:noProof/>
            <w:webHidden/>
          </w:rPr>
          <w:tab/>
        </w:r>
        <w:r w:rsidR="00C40619">
          <w:rPr>
            <w:noProof/>
            <w:webHidden/>
          </w:rPr>
          <w:fldChar w:fldCharType="begin"/>
        </w:r>
        <w:r w:rsidR="00C40619">
          <w:rPr>
            <w:noProof/>
            <w:webHidden/>
          </w:rPr>
          <w:instrText xml:space="preserve"> PAGEREF _Toc517797017 \h </w:instrText>
        </w:r>
        <w:r w:rsidR="00C40619">
          <w:rPr>
            <w:noProof/>
            <w:webHidden/>
          </w:rPr>
        </w:r>
        <w:r w:rsidR="00C40619">
          <w:rPr>
            <w:noProof/>
            <w:webHidden/>
          </w:rPr>
          <w:fldChar w:fldCharType="separate"/>
        </w:r>
        <w:r w:rsidR="00402074">
          <w:rPr>
            <w:noProof/>
            <w:webHidden/>
          </w:rPr>
          <w:t>279</w:t>
        </w:r>
        <w:r w:rsidR="00C40619">
          <w:rPr>
            <w:noProof/>
            <w:webHidden/>
          </w:rPr>
          <w:fldChar w:fldCharType="end"/>
        </w:r>
      </w:hyperlink>
    </w:p>
    <w:p w14:paraId="6C458A21" w14:textId="0431FAE3"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018" w:history="1">
        <w:r w:rsidR="00C40619" w:rsidRPr="00141DA8">
          <w:rPr>
            <w:rStyle w:val="Hyperlink"/>
            <w:rFonts w:eastAsia="Times"/>
            <w:noProof/>
          </w:rPr>
          <w:t>3.4.1.10</w:t>
        </w:r>
        <w:r w:rsidR="00C40619">
          <w:rPr>
            <w:rFonts w:asciiTheme="minorHAnsi" w:eastAsiaTheme="minorEastAsia" w:hAnsiTheme="minorHAnsi" w:cstheme="minorBidi"/>
            <w:noProof/>
            <w:szCs w:val="22"/>
            <w:lang w:val="es-CO" w:eastAsia="es-CO"/>
          </w:rPr>
          <w:tab/>
        </w:r>
        <w:r w:rsidR="00C40619" w:rsidRPr="00141DA8">
          <w:rPr>
            <w:rStyle w:val="Hyperlink"/>
            <w:noProof/>
          </w:rPr>
          <w:t>Summary biodiversity data for terrestrial biomes and overall trends for terrestrial biomes and other units of analysis</w:t>
        </w:r>
        <w:r w:rsidR="00C40619">
          <w:rPr>
            <w:noProof/>
            <w:webHidden/>
          </w:rPr>
          <w:tab/>
        </w:r>
        <w:r w:rsidR="00C40619">
          <w:rPr>
            <w:noProof/>
            <w:webHidden/>
          </w:rPr>
          <w:fldChar w:fldCharType="begin"/>
        </w:r>
        <w:r w:rsidR="00C40619">
          <w:rPr>
            <w:noProof/>
            <w:webHidden/>
          </w:rPr>
          <w:instrText xml:space="preserve"> PAGEREF _Toc517797018 \h </w:instrText>
        </w:r>
        <w:r w:rsidR="00C40619">
          <w:rPr>
            <w:noProof/>
            <w:webHidden/>
          </w:rPr>
        </w:r>
        <w:r w:rsidR="00C40619">
          <w:rPr>
            <w:noProof/>
            <w:webHidden/>
          </w:rPr>
          <w:fldChar w:fldCharType="separate"/>
        </w:r>
        <w:r w:rsidR="00402074">
          <w:rPr>
            <w:noProof/>
            <w:webHidden/>
          </w:rPr>
          <w:t>282</w:t>
        </w:r>
        <w:r w:rsidR="00C40619">
          <w:rPr>
            <w:noProof/>
            <w:webHidden/>
          </w:rPr>
          <w:fldChar w:fldCharType="end"/>
        </w:r>
      </w:hyperlink>
    </w:p>
    <w:p w14:paraId="42D11311" w14:textId="5E42B121"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19" w:history="1">
        <w:r w:rsidR="00C40619" w:rsidRPr="00141DA8">
          <w:rPr>
            <w:rStyle w:val="Hyperlink"/>
            <w:noProof/>
            <w14:scene3d>
              <w14:camera w14:prst="orthographicFront"/>
              <w14:lightRig w14:rig="threePt" w14:dir="t">
                <w14:rot w14:lat="0" w14:lon="0" w14:rev="0"/>
              </w14:lightRig>
            </w14:scene3d>
          </w:rPr>
          <w:t>3.4.2</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Marine and ocean systems</w:t>
        </w:r>
        <w:r w:rsidR="00C40619">
          <w:rPr>
            <w:noProof/>
            <w:webHidden/>
          </w:rPr>
          <w:tab/>
        </w:r>
        <w:r w:rsidR="00C40619">
          <w:rPr>
            <w:noProof/>
            <w:webHidden/>
          </w:rPr>
          <w:fldChar w:fldCharType="begin"/>
        </w:r>
        <w:r w:rsidR="00C40619">
          <w:rPr>
            <w:noProof/>
            <w:webHidden/>
          </w:rPr>
          <w:instrText xml:space="preserve"> PAGEREF _Toc517797019 \h </w:instrText>
        </w:r>
        <w:r w:rsidR="00C40619">
          <w:rPr>
            <w:noProof/>
            <w:webHidden/>
          </w:rPr>
        </w:r>
        <w:r w:rsidR="00C40619">
          <w:rPr>
            <w:noProof/>
            <w:webHidden/>
          </w:rPr>
          <w:fldChar w:fldCharType="separate"/>
        </w:r>
        <w:r w:rsidR="00402074">
          <w:rPr>
            <w:noProof/>
            <w:webHidden/>
          </w:rPr>
          <w:t>285</w:t>
        </w:r>
        <w:r w:rsidR="00C40619">
          <w:rPr>
            <w:noProof/>
            <w:webHidden/>
          </w:rPr>
          <w:fldChar w:fldCharType="end"/>
        </w:r>
      </w:hyperlink>
    </w:p>
    <w:p w14:paraId="69D54F69" w14:textId="5DF27BCD"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020" w:history="1">
        <w:r w:rsidR="00C40619" w:rsidRPr="00141DA8">
          <w:rPr>
            <w:rStyle w:val="Hyperlink"/>
            <w:noProof/>
          </w:rPr>
          <w:t>3.4.2.1</w:t>
        </w:r>
        <w:r w:rsidR="00C40619">
          <w:rPr>
            <w:rFonts w:asciiTheme="minorHAnsi" w:eastAsiaTheme="minorEastAsia" w:hAnsiTheme="minorHAnsi" w:cstheme="minorBidi"/>
            <w:noProof/>
            <w:szCs w:val="22"/>
            <w:lang w:val="es-CO" w:eastAsia="es-CO"/>
          </w:rPr>
          <w:tab/>
        </w:r>
        <w:r w:rsidR="00C40619" w:rsidRPr="00141DA8">
          <w:rPr>
            <w:rStyle w:val="Hyperlink"/>
            <w:noProof/>
          </w:rPr>
          <w:t>Coastal habitats/Coastal and near shore marine/inshore ecosystems</w:t>
        </w:r>
        <w:r w:rsidR="00C40619">
          <w:rPr>
            <w:noProof/>
            <w:webHidden/>
          </w:rPr>
          <w:tab/>
        </w:r>
        <w:r w:rsidR="00C40619">
          <w:rPr>
            <w:noProof/>
            <w:webHidden/>
          </w:rPr>
          <w:fldChar w:fldCharType="begin"/>
        </w:r>
        <w:r w:rsidR="00C40619">
          <w:rPr>
            <w:noProof/>
            <w:webHidden/>
          </w:rPr>
          <w:instrText xml:space="preserve"> PAGEREF _Toc517797020 \h </w:instrText>
        </w:r>
        <w:r w:rsidR="00C40619">
          <w:rPr>
            <w:noProof/>
            <w:webHidden/>
          </w:rPr>
        </w:r>
        <w:r w:rsidR="00C40619">
          <w:rPr>
            <w:noProof/>
            <w:webHidden/>
          </w:rPr>
          <w:fldChar w:fldCharType="separate"/>
        </w:r>
        <w:r w:rsidR="00402074">
          <w:rPr>
            <w:noProof/>
            <w:webHidden/>
          </w:rPr>
          <w:t>290</w:t>
        </w:r>
        <w:r w:rsidR="00C40619">
          <w:rPr>
            <w:noProof/>
            <w:webHidden/>
          </w:rPr>
          <w:fldChar w:fldCharType="end"/>
        </w:r>
      </w:hyperlink>
    </w:p>
    <w:p w14:paraId="37545FFD" w14:textId="17AC4AE5" w:rsidR="00C40619" w:rsidRDefault="00E84199">
      <w:pPr>
        <w:pStyle w:val="TOC2"/>
        <w:rPr>
          <w:rFonts w:asciiTheme="minorHAnsi" w:eastAsiaTheme="minorEastAsia" w:hAnsiTheme="minorHAnsi" w:cstheme="minorBidi"/>
          <w:b w:val="0"/>
          <w:bCs w:val="0"/>
          <w:noProof/>
          <w:szCs w:val="22"/>
          <w:lang w:val="es-CO" w:eastAsia="es-CO"/>
        </w:rPr>
      </w:pPr>
      <w:hyperlink w:anchor="_Toc517797021" w:history="1">
        <w:r w:rsidR="00C40619" w:rsidRPr="00141DA8">
          <w:rPr>
            <w:rStyle w:val="Hyperlink"/>
            <w:noProof/>
            <w14:scene3d>
              <w14:camera w14:prst="orthographicFront"/>
              <w14:lightRig w14:rig="threePt" w14:dir="t">
                <w14:rot w14:lat="0" w14:lon="0" w14:rev="0"/>
              </w14:lightRig>
            </w14:scene3d>
          </w:rPr>
          <w:t>3.5</w:t>
        </w:r>
        <w:r w:rsidR="00C40619">
          <w:rPr>
            <w:rFonts w:asciiTheme="minorHAnsi" w:eastAsiaTheme="minorEastAsia" w:hAnsiTheme="minorHAnsi" w:cstheme="minorBidi"/>
            <w:b w:val="0"/>
            <w:bCs w:val="0"/>
            <w:noProof/>
            <w:szCs w:val="22"/>
            <w:lang w:val="es-CO" w:eastAsia="es-CO"/>
          </w:rPr>
          <w:tab/>
        </w:r>
        <w:r w:rsidR="00C40619" w:rsidRPr="00141DA8">
          <w:rPr>
            <w:rStyle w:val="Hyperlink"/>
            <w:noProof/>
          </w:rPr>
          <w:t>Perils and opportunities for conservation</w:t>
        </w:r>
        <w:r w:rsidR="00C40619">
          <w:rPr>
            <w:noProof/>
            <w:webHidden/>
          </w:rPr>
          <w:tab/>
        </w:r>
        <w:r w:rsidR="00C40619">
          <w:rPr>
            <w:noProof/>
            <w:webHidden/>
          </w:rPr>
          <w:fldChar w:fldCharType="begin"/>
        </w:r>
        <w:r w:rsidR="00C40619">
          <w:rPr>
            <w:noProof/>
            <w:webHidden/>
          </w:rPr>
          <w:instrText xml:space="preserve"> PAGEREF _Toc517797021 \h </w:instrText>
        </w:r>
        <w:r w:rsidR="00C40619">
          <w:rPr>
            <w:noProof/>
            <w:webHidden/>
          </w:rPr>
        </w:r>
        <w:r w:rsidR="00C40619">
          <w:rPr>
            <w:noProof/>
            <w:webHidden/>
          </w:rPr>
          <w:fldChar w:fldCharType="separate"/>
        </w:r>
        <w:r w:rsidR="00402074">
          <w:rPr>
            <w:noProof/>
            <w:webHidden/>
          </w:rPr>
          <w:t>293</w:t>
        </w:r>
        <w:r w:rsidR="00C40619">
          <w:rPr>
            <w:noProof/>
            <w:webHidden/>
          </w:rPr>
          <w:fldChar w:fldCharType="end"/>
        </w:r>
      </w:hyperlink>
    </w:p>
    <w:p w14:paraId="3AF33584" w14:textId="5D965ADE"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22" w:history="1">
        <w:r w:rsidR="00C40619" w:rsidRPr="00141DA8">
          <w:rPr>
            <w:rStyle w:val="Hyperlink"/>
            <w:noProof/>
            <w14:scene3d>
              <w14:camera w14:prst="orthographicFront"/>
              <w14:lightRig w14:rig="threePt" w14:dir="t">
                <w14:rot w14:lat="0" w14:lon="0" w14:rev="0"/>
              </w14:lightRig>
            </w14:scene3d>
          </w:rPr>
          <w:t>3.5.1</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Threat status and temporal trends</w:t>
        </w:r>
        <w:r w:rsidR="00C40619">
          <w:rPr>
            <w:noProof/>
            <w:webHidden/>
          </w:rPr>
          <w:tab/>
        </w:r>
        <w:r w:rsidR="00C40619">
          <w:rPr>
            <w:noProof/>
            <w:webHidden/>
          </w:rPr>
          <w:fldChar w:fldCharType="begin"/>
        </w:r>
        <w:r w:rsidR="00C40619">
          <w:rPr>
            <w:noProof/>
            <w:webHidden/>
          </w:rPr>
          <w:instrText xml:space="preserve"> PAGEREF _Toc517797022 \h </w:instrText>
        </w:r>
        <w:r w:rsidR="00C40619">
          <w:rPr>
            <w:noProof/>
            <w:webHidden/>
          </w:rPr>
        </w:r>
        <w:r w:rsidR="00C40619">
          <w:rPr>
            <w:noProof/>
            <w:webHidden/>
          </w:rPr>
          <w:fldChar w:fldCharType="separate"/>
        </w:r>
        <w:r w:rsidR="00402074">
          <w:rPr>
            <w:noProof/>
            <w:webHidden/>
          </w:rPr>
          <w:t>293</w:t>
        </w:r>
        <w:r w:rsidR="00C40619">
          <w:rPr>
            <w:noProof/>
            <w:webHidden/>
          </w:rPr>
          <w:fldChar w:fldCharType="end"/>
        </w:r>
      </w:hyperlink>
    </w:p>
    <w:p w14:paraId="1F58E32B" w14:textId="76B1A888"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23" w:history="1">
        <w:r w:rsidR="00C40619" w:rsidRPr="00141DA8">
          <w:rPr>
            <w:rStyle w:val="Hyperlink"/>
            <w:noProof/>
            <w14:scene3d>
              <w14:camera w14:prst="orthographicFront"/>
              <w14:lightRig w14:rig="threePt" w14:dir="t">
                <w14:rot w14:lat="0" w14:lon="0" w14:rev="0"/>
              </w14:lightRig>
            </w14:scene3d>
          </w:rPr>
          <w:t>3.5.2</w:t>
        </w:r>
        <w:r w:rsidR="00C40619">
          <w:rPr>
            <w:rFonts w:asciiTheme="minorHAnsi" w:eastAsiaTheme="minorEastAsia" w:hAnsiTheme="minorHAnsi" w:cstheme="minorBidi"/>
            <w:noProof/>
            <w:sz w:val="22"/>
            <w:szCs w:val="22"/>
            <w:lang w:val="es-CO" w:eastAsia="es-CO"/>
          </w:rPr>
          <w:tab/>
        </w:r>
        <w:r w:rsidR="00C40619" w:rsidRPr="00141DA8">
          <w:rPr>
            <w:rStyle w:val="Hyperlink"/>
            <w:noProof/>
          </w:rPr>
          <w:t>Protected areas</w:t>
        </w:r>
        <w:r w:rsidR="00C40619">
          <w:rPr>
            <w:noProof/>
            <w:webHidden/>
          </w:rPr>
          <w:tab/>
        </w:r>
        <w:r w:rsidR="00C40619">
          <w:rPr>
            <w:noProof/>
            <w:webHidden/>
          </w:rPr>
          <w:fldChar w:fldCharType="begin"/>
        </w:r>
        <w:r w:rsidR="00C40619">
          <w:rPr>
            <w:noProof/>
            <w:webHidden/>
          </w:rPr>
          <w:instrText xml:space="preserve"> PAGEREF _Toc517797023 \h </w:instrText>
        </w:r>
        <w:r w:rsidR="00C40619">
          <w:rPr>
            <w:noProof/>
            <w:webHidden/>
          </w:rPr>
        </w:r>
        <w:r w:rsidR="00C40619">
          <w:rPr>
            <w:noProof/>
            <w:webHidden/>
          </w:rPr>
          <w:fldChar w:fldCharType="separate"/>
        </w:r>
        <w:r w:rsidR="00402074">
          <w:rPr>
            <w:noProof/>
            <w:webHidden/>
          </w:rPr>
          <w:t>296</w:t>
        </w:r>
        <w:r w:rsidR="00C40619">
          <w:rPr>
            <w:noProof/>
            <w:webHidden/>
          </w:rPr>
          <w:fldChar w:fldCharType="end"/>
        </w:r>
      </w:hyperlink>
    </w:p>
    <w:p w14:paraId="300FB6C6" w14:textId="2218C860" w:rsidR="00C40619" w:rsidRDefault="00E84199">
      <w:pPr>
        <w:pStyle w:val="TOC2"/>
        <w:rPr>
          <w:rFonts w:asciiTheme="minorHAnsi" w:eastAsiaTheme="minorEastAsia" w:hAnsiTheme="minorHAnsi" w:cstheme="minorBidi"/>
          <w:b w:val="0"/>
          <w:bCs w:val="0"/>
          <w:noProof/>
          <w:szCs w:val="22"/>
          <w:lang w:val="es-CO" w:eastAsia="es-CO"/>
        </w:rPr>
      </w:pPr>
      <w:hyperlink w:anchor="_Toc517797024" w:history="1">
        <w:r w:rsidR="00C40619" w:rsidRPr="00141DA8">
          <w:rPr>
            <w:rStyle w:val="Hyperlink"/>
            <w:noProof/>
            <w14:scene3d>
              <w14:camera w14:prst="orthographicFront"/>
              <w14:lightRig w14:rig="threePt" w14:dir="t">
                <w14:rot w14:lat="0" w14:lon="0" w14:rev="0"/>
              </w14:lightRig>
            </w14:scene3d>
          </w:rPr>
          <w:t>3.6</w:t>
        </w:r>
        <w:r w:rsidR="00C40619">
          <w:rPr>
            <w:rFonts w:asciiTheme="minorHAnsi" w:eastAsiaTheme="minorEastAsia" w:hAnsiTheme="minorHAnsi" w:cstheme="minorBidi"/>
            <w:b w:val="0"/>
            <w:bCs w:val="0"/>
            <w:noProof/>
            <w:szCs w:val="22"/>
            <w:lang w:val="es-CO" w:eastAsia="es-CO"/>
          </w:rPr>
          <w:tab/>
        </w:r>
        <w:r w:rsidR="00C40619" w:rsidRPr="00141DA8">
          <w:rPr>
            <w:rStyle w:val="Hyperlink"/>
            <w:noProof/>
          </w:rPr>
          <w:t>Knowledge and data gaps</w:t>
        </w:r>
        <w:r w:rsidR="00C40619">
          <w:rPr>
            <w:noProof/>
            <w:webHidden/>
          </w:rPr>
          <w:tab/>
        </w:r>
        <w:r w:rsidR="00C40619">
          <w:rPr>
            <w:noProof/>
            <w:webHidden/>
          </w:rPr>
          <w:fldChar w:fldCharType="begin"/>
        </w:r>
        <w:r w:rsidR="00C40619">
          <w:rPr>
            <w:noProof/>
            <w:webHidden/>
          </w:rPr>
          <w:instrText xml:space="preserve"> PAGEREF _Toc517797024 \h </w:instrText>
        </w:r>
        <w:r w:rsidR="00C40619">
          <w:rPr>
            <w:noProof/>
            <w:webHidden/>
          </w:rPr>
        </w:r>
        <w:r w:rsidR="00C40619">
          <w:rPr>
            <w:noProof/>
            <w:webHidden/>
          </w:rPr>
          <w:fldChar w:fldCharType="separate"/>
        </w:r>
        <w:r w:rsidR="00402074">
          <w:rPr>
            <w:noProof/>
            <w:webHidden/>
          </w:rPr>
          <w:t>302</w:t>
        </w:r>
        <w:r w:rsidR="00C40619">
          <w:rPr>
            <w:noProof/>
            <w:webHidden/>
          </w:rPr>
          <w:fldChar w:fldCharType="end"/>
        </w:r>
      </w:hyperlink>
    </w:p>
    <w:p w14:paraId="65E38EB6" w14:textId="64C91609" w:rsidR="00C40619" w:rsidRDefault="00E84199">
      <w:pPr>
        <w:pStyle w:val="TOC2"/>
        <w:rPr>
          <w:rFonts w:asciiTheme="minorHAnsi" w:eastAsiaTheme="minorEastAsia" w:hAnsiTheme="minorHAnsi" w:cstheme="minorBidi"/>
          <w:b w:val="0"/>
          <w:bCs w:val="0"/>
          <w:noProof/>
          <w:szCs w:val="22"/>
          <w:lang w:val="es-CO" w:eastAsia="es-CO"/>
        </w:rPr>
      </w:pPr>
      <w:hyperlink w:anchor="_Toc517797025" w:history="1">
        <w:r w:rsidR="00C40619" w:rsidRPr="00141DA8">
          <w:rPr>
            <w:rStyle w:val="Hyperlink"/>
            <w:noProof/>
            <w14:scene3d>
              <w14:camera w14:prst="orthographicFront"/>
              <w14:lightRig w14:rig="threePt" w14:dir="t">
                <w14:rot w14:lat="0" w14:lon="0" w14:rev="0"/>
              </w14:lightRig>
            </w14:scene3d>
          </w:rPr>
          <w:t>3.7</w:t>
        </w:r>
        <w:r w:rsidR="00C40619">
          <w:rPr>
            <w:rFonts w:asciiTheme="minorHAnsi" w:eastAsiaTheme="minorEastAsia" w:hAnsiTheme="minorHAnsi" w:cstheme="minorBidi"/>
            <w:b w:val="0"/>
            <w:bCs w:val="0"/>
            <w:noProof/>
            <w:szCs w:val="22"/>
            <w:lang w:val="es-CO" w:eastAsia="es-CO"/>
          </w:rPr>
          <w:tab/>
        </w:r>
        <w:r w:rsidR="00C40619" w:rsidRPr="00141DA8">
          <w:rPr>
            <w:rStyle w:val="Hyperlink"/>
            <w:noProof/>
          </w:rPr>
          <w:t>Concluding remarks</w:t>
        </w:r>
        <w:r w:rsidR="00C40619">
          <w:rPr>
            <w:noProof/>
            <w:webHidden/>
          </w:rPr>
          <w:tab/>
        </w:r>
        <w:r w:rsidR="00C40619">
          <w:rPr>
            <w:noProof/>
            <w:webHidden/>
          </w:rPr>
          <w:fldChar w:fldCharType="begin"/>
        </w:r>
        <w:r w:rsidR="00C40619">
          <w:rPr>
            <w:noProof/>
            <w:webHidden/>
          </w:rPr>
          <w:instrText xml:space="preserve"> PAGEREF _Toc517797025 \h </w:instrText>
        </w:r>
        <w:r w:rsidR="00C40619">
          <w:rPr>
            <w:noProof/>
            <w:webHidden/>
          </w:rPr>
        </w:r>
        <w:r w:rsidR="00C40619">
          <w:rPr>
            <w:noProof/>
            <w:webHidden/>
          </w:rPr>
          <w:fldChar w:fldCharType="separate"/>
        </w:r>
        <w:r w:rsidR="00402074">
          <w:rPr>
            <w:noProof/>
            <w:webHidden/>
          </w:rPr>
          <w:t>305</w:t>
        </w:r>
        <w:r w:rsidR="00C40619">
          <w:rPr>
            <w:noProof/>
            <w:webHidden/>
          </w:rPr>
          <w:fldChar w:fldCharType="end"/>
        </w:r>
      </w:hyperlink>
    </w:p>
    <w:p w14:paraId="65E6D294" w14:textId="009683FB" w:rsidR="00C40619" w:rsidRDefault="00E84199">
      <w:pPr>
        <w:pStyle w:val="TOC2"/>
        <w:rPr>
          <w:rFonts w:asciiTheme="minorHAnsi" w:eastAsiaTheme="minorEastAsia" w:hAnsiTheme="minorHAnsi" w:cstheme="minorBidi"/>
          <w:b w:val="0"/>
          <w:bCs w:val="0"/>
          <w:noProof/>
          <w:szCs w:val="22"/>
          <w:lang w:val="es-CO" w:eastAsia="es-CO"/>
        </w:rPr>
      </w:pPr>
      <w:hyperlink w:anchor="_Toc517797026" w:history="1">
        <w:r w:rsidR="00C40619" w:rsidRPr="00141DA8">
          <w:rPr>
            <w:rStyle w:val="Hyperlink"/>
            <w:noProof/>
            <w:lang w:val="es-CO"/>
            <w14:scene3d>
              <w14:camera w14:prst="orthographicFront"/>
              <w14:lightRig w14:rig="threePt" w14:dir="t">
                <w14:rot w14:lat="0" w14:lon="0" w14:rev="0"/>
              </w14:lightRig>
            </w14:scene3d>
          </w:rPr>
          <w:t>3.8</w:t>
        </w:r>
        <w:r w:rsidR="00C40619">
          <w:rPr>
            <w:rFonts w:asciiTheme="minorHAnsi" w:eastAsiaTheme="minorEastAsia" w:hAnsiTheme="minorHAnsi" w:cstheme="minorBidi"/>
            <w:b w:val="0"/>
            <w:bCs w:val="0"/>
            <w:noProof/>
            <w:szCs w:val="22"/>
            <w:lang w:val="es-CO" w:eastAsia="es-CO"/>
          </w:rPr>
          <w:tab/>
        </w:r>
        <w:r w:rsidR="00C40619" w:rsidRPr="00141DA8">
          <w:rPr>
            <w:rStyle w:val="Hyperlink"/>
            <w:noProof/>
            <w:lang w:val="es-CO"/>
          </w:rPr>
          <w:t>References</w:t>
        </w:r>
        <w:r w:rsidR="00C40619">
          <w:rPr>
            <w:noProof/>
            <w:webHidden/>
          </w:rPr>
          <w:tab/>
        </w:r>
        <w:r w:rsidR="00C40619">
          <w:rPr>
            <w:noProof/>
            <w:webHidden/>
          </w:rPr>
          <w:fldChar w:fldCharType="begin"/>
        </w:r>
        <w:r w:rsidR="00C40619">
          <w:rPr>
            <w:noProof/>
            <w:webHidden/>
          </w:rPr>
          <w:instrText xml:space="preserve"> PAGEREF _Toc517797026 \h </w:instrText>
        </w:r>
        <w:r w:rsidR="00C40619">
          <w:rPr>
            <w:noProof/>
            <w:webHidden/>
          </w:rPr>
        </w:r>
        <w:r w:rsidR="00C40619">
          <w:rPr>
            <w:noProof/>
            <w:webHidden/>
          </w:rPr>
          <w:fldChar w:fldCharType="separate"/>
        </w:r>
        <w:r w:rsidR="00402074">
          <w:rPr>
            <w:noProof/>
            <w:webHidden/>
          </w:rPr>
          <w:t>307</w:t>
        </w:r>
        <w:r w:rsidR="00C40619">
          <w:rPr>
            <w:noProof/>
            <w:webHidden/>
          </w:rPr>
          <w:fldChar w:fldCharType="end"/>
        </w:r>
      </w:hyperlink>
    </w:p>
    <w:p w14:paraId="03DF229C" w14:textId="4E9BACD7" w:rsidR="002B0B9E" w:rsidRPr="008608AA" w:rsidRDefault="005C6E96" w:rsidP="00735D6C">
      <w:pPr>
        <w:tabs>
          <w:tab w:val="left" w:pos="4082"/>
        </w:tabs>
        <w:rPr>
          <w:b/>
          <w:sz w:val="28"/>
        </w:rPr>
      </w:pPr>
      <w:r w:rsidRPr="008608AA">
        <w:rPr>
          <w:b/>
          <w:sz w:val="28"/>
        </w:rPr>
        <w:fldChar w:fldCharType="end"/>
      </w:r>
    </w:p>
    <w:p w14:paraId="223F7B1D" w14:textId="77777777" w:rsidR="002B0B9E" w:rsidRPr="008608AA" w:rsidRDefault="002B0B9E" w:rsidP="00735D6C">
      <w:pPr>
        <w:tabs>
          <w:tab w:val="left" w:pos="4082"/>
        </w:tabs>
        <w:rPr>
          <w:b/>
          <w:sz w:val="28"/>
        </w:rPr>
      </w:pPr>
    </w:p>
    <w:p w14:paraId="07BF193D" w14:textId="14D66390" w:rsidR="004255E7" w:rsidRPr="008608AA" w:rsidRDefault="004255E7" w:rsidP="00843724">
      <w:pPr>
        <w:pStyle w:val="Heading1"/>
      </w:pPr>
      <w:bookmarkStart w:id="763" w:name="_Toc502927328"/>
      <w:bookmarkStart w:id="764" w:name="_Toc502951157"/>
      <w:bookmarkStart w:id="765" w:name="_Toc502953600"/>
      <w:bookmarkStart w:id="766" w:name="_Toc502954893"/>
      <w:bookmarkStart w:id="767" w:name="_Toc502957700"/>
      <w:bookmarkStart w:id="768" w:name="_Toc502957899"/>
      <w:bookmarkStart w:id="769" w:name="_Toc502958053"/>
      <w:bookmarkStart w:id="770" w:name="_Toc503293101"/>
      <w:bookmarkStart w:id="771" w:name="_Toc503293699"/>
      <w:bookmarkStart w:id="772" w:name="_Toc503293961"/>
      <w:bookmarkStart w:id="773" w:name="_Toc503863354"/>
      <w:bookmarkStart w:id="774" w:name="_Toc503863582"/>
      <w:bookmarkStart w:id="775" w:name="_Toc517393282"/>
      <w:bookmarkStart w:id="776" w:name="_Toc517396043"/>
      <w:bookmarkStart w:id="777" w:name="_Toc517396056"/>
      <w:bookmarkStart w:id="778" w:name="_Toc517717335"/>
      <w:bookmarkStart w:id="779" w:name="_Toc517719023"/>
      <w:bookmarkStart w:id="780" w:name="_Toc517726339"/>
      <w:bookmarkStart w:id="781" w:name="_Toc517727249"/>
      <w:bookmarkStart w:id="782" w:name="_Toc517795121"/>
      <w:bookmarkStart w:id="783" w:name="_Toc517796808"/>
      <w:bookmarkStart w:id="784" w:name="_Toc517796852"/>
      <w:bookmarkStart w:id="785" w:name="_Toc517796980"/>
      <w:r w:rsidRPr="00843724">
        <w:t>Executive</w:t>
      </w:r>
      <w:r w:rsidRPr="008608AA">
        <w:t xml:space="preserve"> Summary</w:t>
      </w:r>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p>
    <w:p w14:paraId="4937F7F3" w14:textId="3462564B" w:rsidR="008940EF" w:rsidRPr="008608AA" w:rsidRDefault="004255E7" w:rsidP="00B33BD5">
      <w:pPr>
        <w:pStyle w:val="ListParagraph"/>
        <w:numPr>
          <w:ilvl w:val="0"/>
          <w:numId w:val="9"/>
        </w:numPr>
        <w:ind w:left="357" w:hanging="357"/>
        <w:rPr>
          <w:sz w:val="24"/>
          <w:szCs w:val="24"/>
          <w:lang w:val="en-US" w:eastAsia="en-US"/>
        </w:rPr>
      </w:pPr>
      <w:r w:rsidRPr="008608AA">
        <w:rPr>
          <w:b/>
          <w:bCs/>
          <w:sz w:val="24"/>
          <w:szCs w:val="24"/>
          <w:lang w:val="en-US" w:eastAsia="en-US"/>
        </w:rPr>
        <w:t>The Americas house a large fraction of the Earth’s terrestrial and freshwater biodiversity distributed across 140 degrees of latitude (</w:t>
      </w:r>
      <w:r w:rsidRPr="008608AA">
        <w:rPr>
          <w:b/>
          <w:bCs/>
          <w:i/>
          <w:sz w:val="24"/>
          <w:szCs w:val="24"/>
          <w:lang w:val="en-US" w:eastAsia="en-US"/>
        </w:rPr>
        <w:t>well established</w:t>
      </w:r>
      <w:r w:rsidRPr="008608AA">
        <w:rPr>
          <w:b/>
          <w:bCs/>
          <w:sz w:val="24"/>
          <w:szCs w:val="24"/>
          <w:lang w:val="en-US" w:eastAsia="en-US"/>
        </w:rPr>
        <w:t xml:space="preserve">). </w:t>
      </w:r>
      <w:r w:rsidR="00102C09" w:rsidRPr="008608AA">
        <w:rPr>
          <w:sz w:val="24"/>
          <w:szCs w:val="24"/>
          <w:lang w:val="en-US" w:eastAsia="en-US"/>
        </w:rPr>
        <w:t>Around 29 per cent of the world´s seed plants, 35 per cent of mammals, 35 per cent of reptiles, 41 per cent of birds and 51 per cent</w:t>
      </w:r>
      <w:r w:rsidRPr="008608AA">
        <w:rPr>
          <w:sz w:val="24"/>
          <w:szCs w:val="24"/>
          <w:lang w:val="en-US" w:eastAsia="en-US"/>
        </w:rPr>
        <w:t xml:space="preserve"> of amphibians are found in the Americas (</w:t>
      </w:r>
      <w:r w:rsidRPr="008608AA">
        <w:rPr>
          <w:i/>
          <w:sz w:val="24"/>
          <w:szCs w:val="24"/>
          <w:lang w:val="en-US" w:eastAsia="en-US"/>
        </w:rPr>
        <w:t>established but incomplete</w:t>
      </w:r>
      <w:r w:rsidRPr="008608AA">
        <w:rPr>
          <w:sz w:val="24"/>
          <w:szCs w:val="24"/>
          <w:lang w:val="en-US" w:eastAsia="en-US"/>
        </w:rPr>
        <w:t xml:space="preserve">) </w:t>
      </w:r>
      <w:r w:rsidR="0032208B" w:rsidRPr="008608AA">
        <w:rPr>
          <w:sz w:val="24"/>
          <w:szCs w:val="24"/>
          <w:lang w:val="en-US" w:eastAsia="en-US"/>
        </w:rPr>
        <w:t>{</w:t>
      </w:r>
      <w:r w:rsidRPr="008608AA">
        <w:rPr>
          <w:sz w:val="24"/>
          <w:szCs w:val="24"/>
          <w:lang w:val="en-US" w:eastAsia="en-US"/>
        </w:rPr>
        <w:t>3.2.2.2</w:t>
      </w:r>
      <w:r w:rsidR="00902618" w:rsidRPr="008608AA">
        <w:rPr>
          <w:sz w:val="24"/>
          <w:szCs w:val="24"/>
          <w:lang w:val="en-US" w:eastAsia="en-US"/>
        </w:rPr>
        <w:t>}</w:t>
      </w:r>
      <w:r w:rsidRPr="008608AA">
        <w:rPr>
          <w:sz w:val="24"/>
          <w:szCs w:val="24"/>
          <w:lang w:val="en-US" w:eastAsia="en-US"/>
        </w:rPr>
        <w:t xml:space="preserve">, as well as the world´s most diversified freshwater fish fauna of over 5,000 </w:t>
      </w:r>
      <w:r w:rsidRPr="008608AA">
        <w:rPr>
          <w:sz w:val="24"/>
          <w:szCs w:val="24"/>
          <w:lang w:val="en-US"/>
        </w:rPr>
        <w:t xml:space="preserve">species </w:t>
      </w:r>
      <w:r w:rsidRPr="008608AA">
        <w:rPr>
          <w:sz w:val="24"/>
          <w:szCs w:val="24"/>
          <w:lang w:val="en-US" w:eastAsia="en-US"/>
        </w:rPr>
        <w:t>(</w:t>
      </w:r>
      <w:r w:rsidRPr="008608AA">
        <w:rPr>
          <w:i/>
          <w:sz w:val="24"/>
          <w:szCs w:val="24"/>
          <w:lang w:val="en-US" w:eastAsia="en-US"/>
        </w:rPr>
        <w:t>well established</w:t>
      </w:r>
      <w:r w:rsidRPr="008608AA">
        <w:rPr>
          <w:sz w:val="24"/>
          <w:szCs w:val="24"/>
          <w:lang w:val="en-US" w:eastAsia="en-US"/>
        </w:rPr>
        <w:t xml:space="preserve">) </w:t>
      </w:r>
      <w:r w:rsidR="0032208B" w:rsidRPr="008608AA">
        <w:rPr>
          <w:sz w:val="24"/>
          <w:szCs w:val="24"/>
          <w:lang w:val="en-US" w:eastAsia="en-US"/>
        </w:rPr>
        <w:t>{</w:t>
      </w:r>
      <w:r w:rsidRPr="008608AA">
        <w:rPr>
          <w:sz w:val="24"/>
          <w:szCs w:val="24"/>
          <w:lang w:val="en-US" w:eastAsia="en-US"/>
        </w:rPr>
        <w:t>3.2.3.1</w:t>
      </w:r>
      <w:r w:rsidR="00902618" w:rsidRPr="008608AA">
        <w:rPr>
          <w:sz w:val="24"/>
          <w:szCs w:val="24"/>
          <w:lang w:val="en-US" w:eastAsia="en-US"/>
        </w:rPr>
        <w:t>}</w:t>
      </w:r>
      <w:r w:rsidRPr="008608AA">
        <w:rPr>
          <w:sz w:val="24"/>
          <w:szCs w:val="24"/>
          <w:lang w:val="en-US" w:eastAsia="en-US"/>
        </w:rPr>
        <w:t>. The South American subregion is by far the richest subregion for plants and vertebrates (</w:t>
      </w:r>
      <w:r w:rsidRPr="008608AA">
        <w:rPr>
          <w:i/>
          <w:sz w:val="24"/>
          <w:szCs w:val="24"/>
          <w:lang w:val="en-US" w:eastAsia="en-US"/>
        </w:rPr>
        <w:t>well established</w:t>
      </w:r>
      <w:r w:rsidRPr="008608AA">
        <w:rPr>
          <w:sz w:val="24"/>
          <w:szCs w:val="24"/>
          <w:lang w:val="en-US" w:eastAsia="en-US"/>
        </w:rPr>
        <w:t xml:space="preserve">) </w:t>
      </w:r>
      <w:r w:rsidR="0032208B" w:rsidRPr="008608AA">
        <w:rPr>
          <w:sz w:val="24"/>
          <w:szCs w:val="24"/>
          <w:lang w:val="en-US" w:eastAsia="en-US"/>
        </w:rPr>
        <w:t>{</w:t>
      </w:r>
      <w:r w:rsidRPr="008608AA">
        <w:rPr>
          <w:sz w:val="24"/>
          <w:szCs w:val="24"/>
          <w:lang w:val="en-US" w:eastAsia="en-US"/>
        </w:rPr>
        <w:t>3.2.2.2</w:t>
      </w:r>
      <w:r w:rsidR="00902618" w:rsidRPr="008608AA">
        <w:rPr>
          <w:sz w:val="24"/>
          <w:szCs w:val="24"/>
          <w:lang w:val="en-US" w:eastAsia="en-US"/>
        </w:rPr>
        <w:t>}</w:t>
      </w:r>
      <w:r w:rsidRPr="008608AA">
        <w:rPr>
          <w:sz w:val="24"/>
          <w:szCs w:val="24"/>
          <w:lang w:val="en-US" w:eastAsia="en-US"/>
        </w:rPr>
        <w:t xml:space="preserve">. However, the smaller Caribbean and Mesoamerican subregions are very rich for their areas, and North America contains both biodiversity hotspots and unique lineages </w:t>
      </w:r>
      <w:r w:rsidR="00902618" w:rsidRPr="008608AA">
        <w:rPr>
          <w:sz w:val="24"/>
          <w:szCs w:val="24"/>
          <w:lang w:val="en-US" w:eastAsia="en-US"/>
        </w:rPr>
        <w:t>{</w:t>
      </w:r>
      <w:r w:rsidRPr="008608AA">
        <w:rPr>
          <w:sz w:val="24"/>
          <w:szCs w:val="24"/>
          <w:lang w:val="en-US" w:eastAsia="en-US"/>
        </w:rPr>
        <w:t>3.2.2.2</w:t>
      </w:r>
      <w:r w:rsidR="00902618" w:rsidRPr="008608AA">
        <w:rPr>
          <w:sz w:val="24"/>
          <w:szCs w:val="24"/>
          <w:lang w:val="en-US" w:eastAsia="en-US"/>
        </w:rPr>
        <w:t>}</w:t>
      </w:r>
      <w:r w:rsidRPr="008608AA">
        <w:rPr>
          <w:sz w:val="24"/>
          <w:szCs w:val="24"/>
          <w:lang w:val="en-US" w:eastAsia="en-US"/>
        </w:rPr>
        <w:t>. The moist tropical lowland forests and tropical high Andean ecosystems contain high biodiversity on a global scale (</w:t>
      </w:r>
      <w:r w:rsidRPr="008608AA">
        <w:rPr>
          <w:i/>
          <w:sz w:val="24"/>
          <w:szCs w:val="24"/>
          <w:lang w:val="en-US" w:eastAsia="en-US"/>
        </w:rPr>
        <w:t>well established</w:t>
      </w:r>
      <w:r w:rsidRPr="008608AA">
        <w:rPr>
          <w:sz w:val="24"/>
          <w:szCs w:val="24"/>
          <w:lang w:val="en-US" w:eastAsia="en-US"/>
        </w:rPr>
        <w:t xml:space="preserve">) </w:t>
      </w:r>
      <w:r w:rsidR="00902618" w:rsidRPr="008608AA">
        <w:rPr>
          <w:sz w:val="24"/>
          <w:szCs w:val="24"/>
          <w:lang w:val="en-US" w:eastAsia="en-US"/>
        </w:rPr>
        <w:t>{</w:t>
      </w:r>
      <w:r w:rsidRPr="008608AA">
        <w:rPr>
          <w:sz w:val="24"/>
          <w:szCs w:val="24"/>
          <w:lang w:val="en-US" w:eastAsia="en-US"/>
        </w:rPr>
        <w:t>3.4.1.1, 3.4.1.5</w:t>
      </w:r>
      <w:r w:rsidR="00902618" w:rsidRPr="008608AA">
        <w:rPr>
          <w:sz w:val="24"/>
          <w:szCs w:val="24"/>
          <w:lang w:val="en-US" w:eastAsia="en-US"/>
        </w:rPr>
        <w:t>}</w:t>
      </w:r>
      <w:r w:rsidRPr="008608AA">
        <w:rPr>
          <w:sz w:val="24"/>
          <w:szCs w:val="24"/>
          <w:lang w:val="en-US" w:eastAsia="en-US"/>
        </w:rPr>
        <w:t xml:space="preserve">. Numbers of species and total evolutionary distance are generally higher in the tropics, while evolutionary distinctiveness tends to be higher in temperate latitudes </w:t>
      </w:r>
      <w:r w:rsidR="00902618" w:rsidRPr="008608AA">
        <w:rPr>
          <w:sz w:val="24"/>
          <w:szCs w:val="24"/>
          <w:lang w:val="en-US" w:eastAsia="en-US"/>
        </w:rPr>
        <w:t>{</w:t>
      </w:r>
      <w:r w:rsidRPr="008608AA">
        <w:rPr>
          <w:sz w:val="24"/>
          <w:szCs w:val="24"/>
          <w:lang w:val="en-US" w:eastAsia="en-US"/>
        </w:rPr>
        <w:t>3.2.2.2</w:t>
      </w:r>
      <w:r w:rsidR="00902618" w:rsidRPr="008608AA">
        <w:rPr>
          <w:sz w:val="24"/>
          <w:szCs w:val="24"/>
          <w:lang w:val="en-US" w:eastAsia="en-US"/>
        </w:rPr>
        <w:t>}</w:t>
      </w:r>
      <w:r w:rsidRPr="008608AA">
        <w:rPr>
          <w:sz w:val="24"/>
          <w:szCs w:val="24"/>
          <w:lang w:val="en-US" w:eastAsia="en-US"/>
        </w:rPr>
        <w:t xml:space="preserve">. Phylogenetic endemism is important for different taxa in different regions, and geographic patterns of plant functional diversity depend on the trait considered </w:t>
      </w:r>
      <w:r w:rsidR="00902618" w:rsidRPr="008608AA">
        <w:rPr>
          <w:sz w:val="24"/>
          <w:szCs w:val="24"/>
          <w:lang w:val="en-US" w:eastAsia="en-US"/>
        </w:rPr>
        <w:t>{</w:t>
      </w:r>
      <w:r w:rsidRPr="008608AA">
        <w:rPr>
          <w:sz w:val="24"/>
          <w:szCs w:val="24"/>
          <w:lang w:val="en-US" w:eastAsia="en-US"/>
        </w:rPr>
        <w:t>3.2.2.2</w:t>
      </w:r>
      <w:r w:rsidR="00902618" w:rsidRPr="008608AA">
        <w:rPr>
          <w:sz w:val="24"/>
          <w:szCs w:val="24"/>
          <w:lang w:val="en-US" w:eastAsia="en-US"/>
        </w:rPr>
        <w:t>}</w:t>
      </w:r>
      <w:r w:rsidRPr="008608AA">
        <w:rPr>
          <w:sz w:val="24"/>
          <w:szCs w:val="24"/>
          <w:lang w:val="en-US" w:eastAsia="en-US"/>
        </w:rPr>
        <w:t xml:space="preserve">. Biodiversity in all subregions has conservation significance </w:t>
      </w:r>
      <w:r w:rsidR="00902618" w:rsidRPr="008608AA">
        <w:rPr>
          <w:sz w:val="24"/>
          <w:szCs w:val="24"/>
          <w:lang w:val="en-US" w:eastAsia="en-US"/>
        </w:rPr>
        <w:t>{</w:t>
      </w:r>
      <w:r w:rsidRPr="008608AA">
        <w:rPr>
          <w:sz w:val="24"/>
          <w:szCs w:val="24"/>
          <w:lang w:val="en-US" w:eastAsia="en-US"/>
        </w:rPr>
        <w:t>3.2.2.2</w:t>
      </w:r>
      <w:r w:rsidR="00902618" w:rsidRPr="008608AA">
        <w:rPr>
          <w:sz w:val="24"/>
          <w:szCs w:val="24"/>
          <w:lang w:val="en-US" w:eastAsia="en-US"/>
        </w:rPr>
        <w:t>}</w:t>
      </w:r>
      <w:r w:rsidRPr="008608AA">
        <w:rPr>
          <w:sz w:val="24"/>
          <w:szCs w:val="24"/>
          <w:lang w:val="en-US" w:eastAsia="en-US"/>
        </w:rPr>
        <w:t xml:space="preserve"> and all biomes provide nature´s contributions t</w:t>
      </w:r>
      <w:r w:rsidR="00102C09" w:rsidRPr="008608AA">
        <w:rPr>
          <w:sz w:val="24"/>
          <w:szCs w:val="24"/>
          <w:lang w:val="en-US" w:eastAsia="en-US"/>
        </w:rPr>
        <w:t>o people</w:t>
      </w:r>
      <w:r w:rsidRPr="008608AA">
        <w:rPr>
          <w:sz w:val="24"/>
          <w:szCs w:val="24"/>
          <w:lang w:val="en-US" w:eastAsia="en-US"/>
        </w:rPr>
        <w:t xml:space="preserve">; the five most important terrestrial biome contributors are: Tropical and subtropical </w:t>
      </w:r>
      <w:r w:rsidR="00032883" w:rsidRPr="008608AA">
        <w:rPr>
          <w:sz w:val="24"/>
          <w:szCs w:val="24"/>
          <w:lang w:val="en-US" w:eastAsia="en-US"/>
        </w:rPr>
        <w:t>moist</w:t>
      </w:r>
      <w:r w:rsidRPr="008608AA">
        <w:rPr>
          <w:sz w:val="24"/>
          <w:szCs w:val="24"/>
          <w:lang w:val="en-US" w:eastAsia="en-US"/>
        </w:rPr>
        <w:t xml:space="preserve"> forests; Temperate and boreal forests and woodlands; Tropical and subtropical dry forests; Mediterranean forests, woodlands and scrub; Tundra and high elevation habitats (</w:t>
      </w:r>
      <w:r w:rsidRPr="008608AA">
        <w:rPr>
          <w:i/>
          <w:sz w:val="24"/>
          <w:szCs w:val="24"/>
          <w:lang w:val="en-US" w:eastAsia="en-US"/>
        </w:rPr>
        <w:t>established but incomplete</w:t>
      </w:r>
      <w:r w:rsidRPr="008608AA">
        <w:rPr>
          <w:sz w:val="24"/>
          <w:szCs w:val="24"/>
          <w:lang w:val="en-US" w:eastAsia="en-US"/>
        </w:rPr>
        <w:t xml:space="preserve">) </w:t>
      </w:r>
      <w:r w:rsidR="00902618" w:rsidRPr="008608AA">
        <w:rPr>
          <w:sz w:val="24"/>
          <w:szCs w:val="24"/>
          <w:lang w:val="en-US" w:eastAsia="en-US"/>
        </w:rPr>
        <w:t>{</w:t>
      </w:r>
      <w:r w:rsidRPr="008608AA">
        <w:rPr>
          <w:sz w:val="24"/>
          <w:szCs w:val="24"/>
          <w:lang w:val="en-US" w:eastAsia="en-US"/>
        </w:rPr>
        <w:t>3.4.1.10</w:t>
      </w:r>
      <w:r w:rsidR="00902618" w:rsidRPr="008608AA">
        <w:rPr>
          <w:sz w:val="24"/>
          <w:szCs w:val="24"/>
          <w:lang w:val="en-US" w:eastAsia="en-US"/>
        </w:rPr>
        <w:t>}</w:t>
      </w:r>
      <w:r w:rsidRPr="008608AA">
        <w:rPr>
          <w:sz w:val="24"/>
          <w:szCs w:val="24"/>
          <w:lang w:val="en-US" w:eastAsia="en-US"/>
        </w:rPr>
        <w:t>. For aquatic systems, freshwater habitats stand out (</w:t>
      </w:r>
      <w:r w:rsidRPr="008608AA">
        <w:rPr>
          <w:i/>
          <w:sz w:val="24"/>
          <w:szCs w:val="24"/>
          <w:lang w:val="en-US" w:eastAsia="en-US"/>
        </w:rPr>
        <w:t>established but incomplete</w:t>
      </w:r>
      <w:r w:rsidRPr="008608AA">
        <w:rPr>
          <w:sz w:val="24"/>
          <w:szCs w:val="24"/>
          <w:lang w:val="en-US" w:eastAsia="en-US"/>
        </w:rPr>
        <w:t xml:space="preserve">) </w:t>
      </w:r>
      <w:r w:rsidR="00902618" w:rsidRPr="008608AA">
        <w:rPr>
          <w:sz w:val="24"/>
          <w:szCs w:val="24"/>
          <w:lang w:val="en-US" w:eastAsia="en-US"/>
        </w:rPr>
        <w:t>{</w:t>
      </w:r>
      <w:r w:rsidRPr="008608AA">
        <w:rPr>
          <w:sz w:val="24"/>
          <w:szCs w:val="24"/>
          <w:lang w:val="en-US" w:eastAsia="en-US"/>
        </w:rPr>
        <w:t>3.4.1.10</w:t>
      </w:r>
      <w:r w:rsidR="00902618" w:rsidRPr="008608AA">
        <w:rPr>
          <w:sz w:val="24"/>
          <w:szCs w:val="24"/>
          <w:lang w:val="en-US" w:eastAsia="en-US"/>
        </w:rPr>
        <w:t>}</w:t>
      </w:r>
      <w:r w:rsidRPr="008608AA">
        <w:rPr>
          <w:sz w:val="24"/>
          <w:szCs w:val="24"/>
          <w:lang w:val="en-US" w:eastAsia="en-US"/>
        </w:rPr>
        <w:t xml:space="preserve">. </w:t>
      </w:r>
    </w:p>
    <w:p w14:paraId="0330075D" w14:textId="77777777" w:rsidR="008940EF" w:rsidRPr="008608AA" w:rsidRDefault="004255E7" w:rsidP="00B33BD5">
      <w:pPr>
        <w:pStyle w:val="ListParagraph"/>
        <w:numPr>
          <w:ilvl w:val="0"/>
          <w:numId w:val="9"/>
        </w:numPr>
        <w:ind w:left="357" w:hanging="357"/>
        <w:rPr>
          <w:sz w:val="24"/>
          <w:szCs w:val="24"/>
          <w:lang w:val="en-US" w:eastAsia="en-US"/>
        </w:rPr>
      </w:pPr>
      <w:r w:rsidRPr="008608AA">
        <w:rPr>
          <w:b/>
          <w:bCs/>
          <w:sz w:val="24"/>
          <w:szCs w:val="24"/>
          <w:lang w:val="en-US"/>
        </w:rPr>
        <w:t>The biodiverse American tropics became a major center of origin for domesticated plants (</w:t>
      </w:r>
      <w:r w:rsidRPr="008608AA">
        <w:rPr>
          <w:b/>
          <w:bCs/>
          <w:i/>
          <w:sz w:val="24"/>
          <w:szCs w:val="24"/>
          <w:lang w:val="en-US"/>
        </w:rPr>
        <w:t>well established</w:t>
      </w:r>
      <w:r w:rsidRPr="008608AA">
        <w:rPr>
          <w:b/>
          <w:bCs/>
          <w:sz w:val="24"/>
          <w:szCs w:val="24"/>
          <w:lang w:val="en-US"/>
        </w:rPr>
        <w:t xml:space="preserve">) and of traditional agriculture. </w:t>
      </w:r>
      <w:r w:rsidRPr="008608AA">
        <w:rPr>
          <w:bCs/>
          <w:sz w:val="24"/>
          <w:szCs w:val="24"/>
          <w:lang w:val="en-US"/>
        </w:rPr>
        <w:t>Many plants domesticated in</w:t>
      </w:r>
      <w:r w:rsidRPr="008608AA">
        <w:rPr>
          <w:b/>
          <w:bCs/>
          <w:sz w:val="24"/>
          <w:szCs w:val="24"/>
          <w:lang w:val="en-US"/>
        </w:rPr>
        <w:t xml:space="preserve"> </w:t>
      </w:r>
      <w:r w:rsidRPr="008608AA">
        <w:rPr>
          <w:bCs/>
          <w:sz w:val="24"/>
          <w:szCs w:val="24"/>
          <w:lang w:val="en-US"/>
        </w:rPr>
        <w:t>Mesoamerica, the Andean region, and the Amazon Basin have become important crops globally (</w:t>
      </w:r>
      <w:r w:rsidRPr="008608AA">
        <w:rPr>
          <w:bCs/>
          <w:i/>
          <w:sz w:val="24"/>
          <w:szCs w:val="24"/>
          <w:lang w:val="en-US"/>
        </w:rPr>
        <w:t>well established</w:t>
      </w:r>
      <w:r w:rsidRPr="008608AA">
        <w:rPr>
          <w:bCs/>
          <w:sz w:val="24"/>
          <w:szCs w:val="24"/>
          <w:lang w:val="en-US"/>
        </w:rPr>
        <w:t xml:space="preserve">) </w:t>
      </w:r>
      <w:r w:rsidR="00902618" w:rsidRPr="008608AA">
        <w:rPr>
          <w:bCs/>
          <w:sz w:val="24"/>
          <w:szCs w:val="24"/>
          <w:lang w:val="en-US"/>
        </w:rPr>
        <w:t>{</w:t>
      </w:r>
      <w:r w:rsidRPr="008608AA">
        <w:rPr>
          <w:bCs/>
          <w:sz w:val="24"/>
          <w:szCs w:val="24"/>
          <w:lang w:val="en-US"/>
        </w:rPr>
        <w:t>3.3.3, 3.4.1.1, 3.4.1.5</w:t>
      </w:r>
      <w:r w:rsidR="00902618" w:rsidRPr="008608AA">
        <w:rPr>
          <w:bCs/>
          <w:sz w:val="24"/>
          <w:szCs w:val="24"/>
          <w:lang w:val="en-US"/>
        </w:rPr>
        <w:t>}</w:t>
      </w:r>
      <w:r w:rsidRPr="008608AA">
        <w:rPr>
          <w:bCs/>
          <w:sz w:val="24"/>
          <w:szCs w:val="24"/>
          <w:lang w:val="en-US"/>
        </w:rPr>
        <w:t xml:space="preserve">. </w:t>
      </w:r>
      <w:r w:rsidRPr="008608AA">
        <w:rPr>
          <w:sz w:val="24"/>
          <w:szCs w:val="24"/>
          <w:lang w:val="en-US"/>
        </w:rPr>
        <w:t>Traditional agricultural systems harbor high levels of biodiversity and represent a high-quality matrix that allows forest species movements among patches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3.3.3</w:t>
      </w:r>
      <w:r w:rsidR="00902618" w:rsidRPr="008608AA">
        <w:rPr>
          <w:sz w:val="24"/>
          <w:szCs w:val="24"/>
          <w:lang w:val="en-US"/>
        </w:rPr>
        <w:t>}</w:t>
      </w:r>
      <w:r w:rsidRPr="008608AA">
        <w:rPr>
          <w:sz w:val="24"/>
          <w:szCs w:val="24"/>
          <w:lang w:val="en-US"/>
        </w:rPr>
        <w:t>. Traditional farming systems have a structural complexity and multifunctionality that benefit people and ecosystems; they allow farmers to maximize harvest security and reap the benefits of multiple use of landscapes with lower environmental and biodiversity impacts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3.3.3</w:t>
      </w:r>
      <w:r w:rsidR="00902618" w:rsidRPr="008608AA">
        <w:rPr>
          <w:sz w:val="24"/>
          <w:szCs w:val="24"/>
          <w:lang w:val="en-US"/>
        </w:rPr>
        <w:t>}</w:t>
      </w:r>
      <w:r w:rsidRPr="008608AA">
        <w:rPr>
          <w:sz w:val="24"/>
          <w:szCs w:val="24"/>
          <w:lang w:val="en-US"/>
        </w:rPr>
        <w:t xml:space="preserve">. </w:t>
      </w:r>
    </w:p>
    <w:p w14:paraId="64972558" w14:textId="61781FC2" w:rsidR="008940EF" w:rsidRPr="008608AA" w:rsidRDefault="004255E7" w:rsidP="00B33BD5">
      <w:pPr>
        <w:pStyle w:val="ListParagraph"/>
        <w:numPr>
          <w:ilvl w:val="0"/>
          <w:numId w:val="9"/>
        </w:numPr>
        <w:ind w:left="357" w:hanging="357"/>
        <w:rPr>
          <w:sz w:val="24"/>
          <w:szCs w:val="24"/>
          <w:lang w:val="en-US" w:eastAsia="en-US"/>
        </w:rPr>
      </w:pPr>
      <w:r w:rsidRPr="008608AA">
        <w:rPr>
          <w:b/>
          <w:sz w:val="24"/>
          <w:szCs w:val="24"/>
          <w:lang w:val="en-US"/>
        </w:rPr>
        <w:t>Many terrestrial biomes, or large parts thereof, in the America</w:t>
      </w:r>
      <w:r w:rsidR="00102C09" w:rsidRPr="008608AA">
        <w:rPr>
          <w:b/>
          <w:sz w:val="24"/>
          <w:szCs w:val="24"/>
          <w:lang w:val="en-US"/>
        </w:rPr>
        <w:t xml:space="preserve">s have lost around 50 </w:t>
      </w:r>
      <w:r w:rsidR="00102C09" w:rsidRPr="008608AA">
        <w:rPr>
          <w:b/>
          <w:sz w:val="24"/>
          <w:szCs w:val="24"/>
          <w:lang w:val="en-US" w:eastAsia="en-US"/>
        </w:rPr>
        <w:t>per cent</w:t>
      </w:r>
      <w:r w:rsidRPr="008608AA">
        <w:rPr>
          <w:b/>
          <w:sz w:val="24"/>
          <w:szCs w:val="24"/>
          <w:lang w:val="en-US"/>
        </w:rPr>
        <w:t xml:space="preserve"> or more of habitat, leading to losses in biodiversity and ecosystem functions (</w:t>
      </w:r>
      <w:r w:rsidRPr="008608AA">
        <w:rPr>
          <w:b/>
          <w:i/>
          <w:sz w:val="24"/>
          <w:szCs w:val="24"/>
          <w:lang w:val="en-US"/>
        </w:rPr>
        <w:t>well established</w:t>
      </w:r>
      <w:r w:rsidRPr="008608AA">
        <w:rPr>
          <w:b/>
          <w:sz w:val="24"/>
          <w:szCs w:val="24"/>
          <w:lang w:val="en-US"/>
        </w:rPr>
        <w:t>). A few biomes, however, are now showing recuperation</w:t>
      </w:r>
      <w:r w:rsidRPr="008608AA">
        <w:rPr>
          <w:sz w:val="24"/>
          <w:szCs w:val="24"/>
          <w:lang w:val="en-US"/>
        </w:rPr>
        <w:t xml:space="preserve"> </w:t>
      </w:r>
      <w:r w:rsidRPr="008608AA">
        <w:rPr>
          <w:b/>
          <w:sz w:val="24"/>
          <w:szCs w:val="24"/>
          <w:lang w:val="en-US"/>
        </w:rPr>
        <w:t>or are fairly stable</w:t>
      </w:r>
      <w:r w:rsidRPr="008608AA">
        <w:rPr>
          <w:sz w:val="24"/>
          <w:szCs w:val="24"/>
          <w:lang w:val="en-US"/>
        </w:rPr>
        <w:t xml:space="preserve"> </w:t>
      </w:r>
      <w:r w:rsidRPr="008608AA">
        <w:rPr>
          <w:b/>
          <w:sz w:val="24"/>
          <w:szCs w:val="24"/>
          <w:lang w:val="en-US"/>
        </w:rPr>
        <w:t>(</w:t>
      </w:r>
      <w:r w:rsidRPr="008608AA">
        <w:rPr>
          <w:b/>
          <w:i/>
          <w:sz w:val="24"/>
          <w:szCs w:val="24"/>
          <w:lang w:val="en-US"/>
        </w:rPr>
        <w:t>established but incomplete</w:t>
      </w:r>
      <w:r w:rsidRPr="008608AA">
        <w:rPr>
          <w:b/>
          <w:sz w:val="24"/>
          <w:szCs w:val="24"/>
          <w:lang w:val="en-US"/>
        </w:rPr>
        <w:t>)</w:t>
      </w:r>
      <w:r w:rsidR="00102C09" w:rsidRPr="008608AA">
        <w:rPr>
          <w:sz w:val="24"/>
          <w:szCs w:val="24"/>
          <w:lang w:val="en-US"/>
        </w:rPr>
        <w:t xml:space="preserve">. Close to 50 </w:t>
      </w:r>
      <w:r w:rsidR="00102C09" w:rsidRPr="008608AA">
        <w:rPr>
          <w:sz w:val="24"/>
          <w:szCs w:val="24"/>
          <w:lang w:val="en-US" w:eastAsia="en-US"/>
        </w:rPr>
        <w:t>per cent</w:t>
      </w:r>
      <w:r w:rsidRPr="008608AA">
        <w:rPr>
          <w:sz w:val="24"/>
          <w:szCs w:val="24"/>
          <w:lang w:val="en-US"/>
        </w:rPr>
        <w:t xml:space="preserve"> of the Great Plains grasslands, </w:t>
      </w:r>
      <w:r w:rsidR="000508CD" w:rsidRPr="008608AA">
        <w:rPr>
          <w:sz w:val="24"/>
          <w:szCs w:val="24"/>
          <w:lang w:val="en-US"/>
        </w:rPr>
        <w:t>including over 95</w:t>
      </w:r>
      <w:r w:rsidR="00102C09" w:rsidRPr="008608AA">
        <w:rPr>
          <w:sz w:val="24"/>
          <w:szCs w:val="24"/>
          <w:lang w:val="en-US"/>
        </w:rPr>
        <w:t xml:space="preserve"> per cent</w:t>
      </w:r>
      <w:r w:rsidR="000508CD" w:rsidRPr="008608AA">
        <w:rPr>
          <w:sz w:val="24"/>
          <w:szCs w:val="24"/>
          <w:lang w:val="en-US"/>
        </w:rPr>
        <w:t xml:space="preserve"> of tallgrass prairie; </w:t>
      </w:r>
      <w:r w:rsidR="00102C09" w:rsidRPr="008608AA">
        <w:rPr>
          <w:sz w:val="24"/>
          <w:szCs w:val="24"/>
          <w:lang w:val="en-US"/>
        </w:rPr>
        <w:t>some 88</w:t>
      </w:r>
      <w:r w:rsidR="00102C09" w:rsidRPr="008608AA">
        <w:rPr>
          <w:sz w:val="24"/>
          <w:szCs w:val="24"/>
          <w:lang w:val="en-US" w:eastAsia="en-US"/>
        </w:rPr>
        <w:t xml:space="preserve"> per cent</w:t>
      </w:r>
      <w:r w:rsidR="00457E5D" w:rsidRPr="008608AA">
        <w:rPr>
          <w:sz w:val="24"/>
          <w:szCs w:val="24"/>
          <w:lang w:val="en-US"/>
        </w:rPr>
        <w:t xml:space="preserve"> of the south a</w:t>
      </w:r>
      <w:r w:rsidRPr="008608AA">
        <w:rPr>
          <w:sz w:val="24"/>
          <w:szCs w:val="24"/>
          <w:lang w:val="en-US"/>
        </w:rPr>
        <w:t>tlantic forest</w:t>
      </w:r>
      <w:r w:rsidR="000508CD" w:rsidRPr="008608AA">
        <w:rPr>
          <w:sz w:val="24"/>
          <w:szCs w:val="24"/>
          <w:lang w:val="en-US"/>
        </w:rPr>
        <w:t xml:space="preserve">; </w:t>
      </w:r>
      <w:r w:rsidR="00102C09" w:rsidRPr="008608AA">
        <w:rPr>
          <w:sz w:val="24"/>
          <w:szCs w:val="24"/>
          <w:lang w:val="en-US"/>
        </w:rPr>
        <w:t>nearly 70</w:t>
      </w:r>
      <w:r w:rsidR="00102C09" w:rsidRPr="008608AA">
        <w:rPr>
          <w:sz w:val="24"/>
          <w:szCs w:val="24"/>
          <w:lang w:val="en-US" w:eastAsia="en-US"/>
        </w:rPr>
        <w:t xml:space="preserve"> per cent</w:t>
      </w:r>
      <w:r w:rsidR="003E0D07" w:rsidRPr="008608AA">
        <w:rPr>
          <w:sz w:val="24"/>
          <w:szCs w:val="24"/>
          <w:lang w:val="en-US"/>
        </w:rPr>
        <w:t xml:space="preserve"> of the South American Rí</w:t>
      </w:r>
      <w:r w:rsidRPr="008608AA">
        <w:rPr>
          <w:sz w:val="24"/>
          <w:szCs w:val="24"/>
          <w:lang w:val="en-US"/>
        </w:rPr>
        <w:t>o de la Plata grasslands</w:t>
      </w:r>
      <w:r w:rsidR="000508CD" w:rsidRPr="008608AA">
        <w:rPr>
          <w:sz w:val="24"/>
          <w:szCs w:val="24"/>
          <w:lang w:val="en-US"/>
        </w:rPr>
        <w:t xml:space="preserve">; </w:t>
      </w:r>
      <w:r w:rsidR="00102C09" w:rsidRPr="008608AA">
        <w:rPr>
          <w:sz w:val="24"/>
          <w:szCs w:val="24"/>
          <w:lang w:val="en-US"/>
        </w:rPr>
        <w:t>82</w:t>
      </w:r>
      <w:r w:rsidR="00102C09" w:rsidRPr="008608AA">
        <w:rPr>
          <w:sz w:val="24"/>
          <w:szCs w:val="24"/>
          <w:lang w:val="en-US" w:eastAsia="en-US"/>
        </w:rPr>
        <w:t xml:space="preserve"> per cent</w:t>
      </w:r>
      <w:r w:rsidRPr="008608AA">
        <w:rPr>
          <w:sz w:val="24"/>
          <w:szCs w:val="24"/>
          <w:lang w:val="en-US"/>
        </w:rPr>
        <w:t xml:space="preserve"> of mesic broadleaf forest in Mexico</w:t>
      </w:r>
      <w:r w:rsidR="000508CD" w:rsidRPr="008608AA">
        <w:rPr>
          <w:sz w:val="24"/>
          <w:szCs w:val="24"/>
          <w:lang w:val="en-US"/>
        </w:rPr>
        <w:t xml:space="preserve">; </w:t>
      </w:r>
      <w:r w:rsidR="00102C09" w:rsidRPr="008608AA">
        <w:rPr>
          <w:sz w:val="24"/>
          <w:szCs w:val="24"/>
          <w:lang w:val="en-US"/>
        </w:rPr>
        <w:t>72</w:t>
      </w:r>
      <w:r w:rsidR="00102C09" w:rsidRPr="008608AA">
        <w:rPr>
          <w:sz w:val="24"/>
          <w:szCs w:val="24"/>
          <w:lang w:val="en-US" w:eastAsia="en-US"/>
        </w:rPr>
        <w:t xml:space="preserve"> per cent</w:t>
      </w:r>
      <w:r w:rsidRPr="008608AA">
        <w:rPr>
          <w:sz w:val="24"/>
          <w:szCs w:val="24"/>
          <w:lang w:val="en-US"/>
        </w:rPr>
        <w:t xml:space="preserve"> of tropical and dry forest in Mesoamerica</w:t>
      </w:r>
      <w:r w:rsidR="000508CD" w:rsidRPr="008608AA">
        <w:rPr>
          <w:sz w:val="24"/>
          <w:szCs w:val="24"/>
          <w:lang w:val="en-US"/>
        </w:rPr>
        <w:t xml:space="preserve">; </w:t>
      </w:r>
      <w:r w:rsidR="00102C09" w:rsidRPr="008608AA">
        <w:rPr>
          <w:sz w:val="24"/>
          <w:szCs w:val="24"/>
          <w:lang w:val="en-US"/>
        </w:rPr>
        <w:t>66</w:t>
      </w:r>
      <w:r w:rsidR="00102C09" w:rsidRPr="008608AA">
        <w:rPr>
          <w:sz w:val="24"/>
          <w:szCs w:val="24"/>
          <w:lang w:val="en-US" w:eastAsia="en-US"/>
        </w:rPr>
        <w:t xml:space="preserve"> per cent</w:t>
      </w:r>
      <w:r w:rsidRPr="008608AA">
        <w:rPr>
          <w:sz w:val="24"/>
          <w:szCs w:val="24"/>
          <w:lang w:val="en-US"/>
        </w:rPr>
        <w:t xml:space="preserve"> of tropical dry forest in the Caribbean</w:t>
      </w:r>
      <w:r w:rsidR="000508CD" w:rsidRPr="008608AA">
        <w:rPr>
          <w:sz w:val="24"/>
          <w:szCs w:val="24"/>
          <w:lang w:val="en-US"/>
        </w:rPr>
        <w:t xml:space="preserve">; </w:t>
      </w:r>
      <w:r w:rsidR="00102C09" w:rsidRPr="008608AA">
        <w:rPr>
          <w:sz w:val="24"/>
          <w:szCs w:val="24"/>
          <w:lang w:val="en-US"/>
        </w:rPr>
        <w:t>50</w:t>
      </w:r>
      <w:r w:rsidR="00102C09" w:rsidRPr="008608AA">
        <w:rPr>
          <w:sz w:val="24"/>
          <w:szCs w:val="24"/>
          <w:lang w:val="en-US" w:eastAsia="en-US"/>
        </w:rPr>
        <w:t xml:space="preserve"> per cent</w:t>
      </w:r>
      <w:r w:rsidRPr="008608AA">
        <w:rPr>
          <w:sz w:val="24"/>
          <w:szCs w:val="24"/>
          <w:lang w:val="en-US"/>
        </w:rPr>
        <w:t xml:space="preserve"> of the broader South American Mediterranean-climate biome</w:t>
      </w:r>
      <w:r w:rsidR="000508CD" w:rsidRPr="008608AA">
        <w:rPr>
          <w:sz w:val="24"/>
          <w:szCs w:val="24"/>
          <w:lang w:val="en-US"/>
        </w:rPr>
        <w:t xml:space="preserve">; </w:t>
      </w:r>
      <w:r w:rsidR="00102C09" w:rsidRPr="008608AA">
        <w:rPr>
          <w:sz w:val="24"/>
          <w:szCs w:val="24"/>
          <w:lang w:val="en-US"/>
        </w:rPr>
        <w:t>and 50</w:t>
      </w:r>
      <w:r w:rsidR="00102C09" w:rsidRPr="008608AA">
        <w:rPr>
          <w:sz w:val="24"/>
          <w:szCs w:val="24"/>
          <w:lang w:val="en-US" w:eastAsia="en-US"/>
        </w:rPr>
        <w:t xml:space="preserve"> per cent</w:t>
      </w:r>
      <w:r w:rsidRPr="008608AA">
        <w:rPr>
          <w:sz w:val="24"/>
          <w:szCs w:val="24"/>
          <w:lang w:val="en-US"/>
        </w:rPr>
        <w:t xml:space="preserve"> of </w:t>
      </w:r>
      <w:r w:rsidR="00A01A41" w:rsidRPr="008608AA">
        <w:rPr>
          <w:sz w:val="24"/>
          <w:szCs w:val="24"/>
          <w:lang w:val="en-US"/>
        </w:rPr>
        <w:t>Cerrado</w:t>
      </w:r>
      <w:r w:rsidRPr="008608AA">
        <w:rPr>
          <w:sz w:val="24"/>
          <w:szCs w:val="24"/>
          <w:lang w:val="en-US"/>
        </w:rPr>
        <w:t xml:space="preserve"> has been transformed, mostly ongoing, leading to declines in native species richness and population sizes and </w:t>
      </w:r>
      <w:r w:rsidR="00102C09" w:rsidRPr="008608AA">
        <w:rPr>
          <w:sz w:val="24"/>
          <w:szCs w:val="24"/>
          <w:lang w:val="en-US"/>
        </w:rPr>
        <w:t>nature’s contributions to people</w:t>
      </w:r>
      <w:r w:rsidRPr="008608AA">
        <w:rPr>
          <w:sz w:val="24"/>
          <w:szCs w:val="24"/>
          <w:lang w:val="en-US"/>
        </w:rPr>
        <w:t xml:space="preserve"> (</w:t>
      </w:r>
      <w:r w:rsidRPr="008608AA">
        <w:rPr>
          <w:i/>
          <w:sz w:val="24"/>
          <w:szCs w:val="24"/>
          <w:lang w:val="en-US"/>
        </w:rPr>
        <w:t>well established</w:t>
      </w:r>
      <w:r w:rsidR="000508CD" w:rsidRPr="008608AA">
        <w:rPr>
          <w:sz w:val="24"/>
          <w:szCs w:val="24"/>
          <w:lang w:val="en-US"/>
        </w:rPr>
        <w:t xml:space="preserve">) </w:t>
      </w:r>
      <w:r w:rsidR="00902618" w:rsidRPr="008608AA">
        <w:rPr>
          <w:sz w:val="24"/>
          <w:szCs w:val="24"/>
          <w:lang w:val="en-US"/>
        </w:rPr>
        <w:t>{</w:t>
      </w:r>
      <w:r w:rsidRPr="008608AA">
        <w:rPr>
          <w:sz w:val="24"/>
          <w:szCs w:val="24"/>
          <w:lang w:val="en-US"/>
        </w:rPr>
        <w:t>3.4.1.1, 3.4.1.2, 3.4.1.4, 3.4.1.6, 3.4.1.7, 3.4.1.10</w:t>
      </w:r>
      <w:r w:rsidR="00902618" w:rsidRPr="008608AA">
        <w:rPr>
          <w:sz w:val="24"/>
          <w:szCs w:val="24"/>
          <w:lang w:val="en-US"/>
        </w:rPr>
        <w:t>}</w:t>
      </w:r>
      <w:r w:rsidRPr="008608AA">
        <w:rPr>
          <w:sz w:val="24"/>
          <w:szCs w:val="24"/>
          <w:lang w:val="en-US"/>
        </w:rPr>
        <w:t>. Notwithstanding a perceptible trend for conversion of páramo and puna in some pa</w:t>
      </w:r>
      <w:r w:rsidR="00457E5D" w:rsidRPr="008608AA">
        <w:rPr>
          <w:sz w:val="24"/>
          <w:szCs w:val="24"/>
          <w:lang w:val="en-US"/>
        </w:rPr>
        <w:t>rts of the northern Andes, the t</w:t>
      </w:r>
      <w:r w:rsidRPr="008608AA">
        <w:rPr>
          <w:sz w:val="24"/>
          <w:szCs w:val="24"/>
          <w:lang w:val="en-US"/>
        </w:rPr>
        <w:t xml:space="preserve">undra and high elevation habitat biome is the least transformed </w:t>
      </w:r>
      <w:r w:rsidR="00902618" w:rsidRPr="008608AA">
        <w:rPr>
          <w:sz w:val="24"/>
          <w:szCs w:val="24"/>
          <w:lang w:val="en-US"/>
        </w:rPr>
        <w:t>{</w:t>
      </w:r>
      <w:r w:rsidRPr="008608AA">
        <w:rPr>
          <w:sz w:val="24"/>
          <w:szCs w:val="24"/>
          <w:lang w:val="en-US"/>
        </w:rPr>
        <w:t>3.4.1.10</w:t>
      </w:r>
      <w:r w:rsidR="00902618" w:rsidRPr="008608AA">
        <w:rPr>
          <w:sz w:val="24"/>
          <w:szCs w:val="24"/>
          <w:lang w:val="en-US"/>
        </w:rPr>
        <w:t>}</w:t>
      </w:r>
      <w:r w:rsidRPr="008608AA">
        <w:rPr>
          <w:sz w:val="24"/>
          <w:szCs w:val="24"/>
          <w:lang w:val="en-US"/>
        </w:rPr>
        <w:t>. Agriculture and deforestation have led to depletion of soil organic carbon, lowering of carbon stocks and affected the water cycle (</w:t>
      </w:r>
      <w:r w:rsidRPr="008608AA">
        <w:rPr>
          <w:i/>
          <w:sz w:val="24"/>
          <w:szCs w:val="24"/>
          <w:lang w:val="en-US"/>
        </w:rPr>
        <w:t>established but incomplete</w:t>
      </w:r>
      <w:r w:rsidR="000508CD" w:rsidRPr="008608AA">
        <w:rPr>
          <w:sz w:val="24"/>
          <w:szCs w:val="24"/>
          <w:lang w:val="en-US"/>
        </w:rPr>
        <w:t xml:space="preserve">) </w:t>
      </w:r>
      <w:r w:rsidR="00902618" w:rsidRPr="008608AA">
        <w:rPr>
          <w:sz w:val="24"/>
          <w:szCs w:val="24"/>
          <w:lang w:val="en-US"/>
        </w:rPr>
        <w:t>{</w:t>
      </w:r>
      <w:r w:rsidRPr="008608AA">
        <w:rPr>
          <w:sz w:val="24"/>
          <w:szCs w:val="24"/>
          <w:lang w:val="en-US"/>
        </w:rPr>
        <w:t>3.2.1.1, 3.2.1.2</w:t>
      </w:r>
      <w:r w:rsidR="00902618" w:rsidRPr="008608AA">
        <w:rPr>
          <w:sz w:val="24"/>
          <w:szCs w:val="24"/>
          <w:lang w:val="en-US"/>
        </w:rPr>
        <w:t>}</w:t>
      </w:r>
      <w:r w:rsidRPr="008608AA">
        <w:rPr>
          <w:sz w:val="24"/>
          <w:szCs w:val="24"/>
          <w:lang w:val="en-US"/>
        </w:rPr>
        <w:t>. Presently Caribbean forests are expanding (</w:t>
      </w:r>
      <w:r w:rsidRPr="008608AA">
        <w:rPr>
          <w:i/>
          <w:sz w:val="24"/>
          <w:szCs w:val="24"/>
          <w:lang w:val="en-US"/>
        </w:rPr>
        <w:t>well established</w:t>
      </w:r>
      <w:r w:rsidRPr="008608AA">
        <w:rPr>
          <w:sz w:val="24"/>
          <w:szCs w:val="24"/>
          <w:lang w:val="en-US"/>
        </w:rPr>
        <w:t xml:space="preserve">) </w:t>
      </w:r>
      <w:r w:rsidR="00902618" w:rsidRPr="008608AA">
        <w:rPr>
          <w:sz w:val="24"/>
          <w:szCs w:val="24"/>
          <w:lang w:val="en-US"/>
        </w:rPr>
        <w:t>{</w:t>
      </w:r>
      <w:r w:rsidRPr="008608AA">
        <w:rPr>
          <w:sz w:val="24"/>
          <w:szCs w:val="24"/>
          <w:lang w:val="en-US"/>
        </w:rPr>
        <w:t>3.2.2.1, 3.4.1.1</w:t>
      </w:r>
      <w:r w:rsidR="00902618" w:rsidRPr="008608AA">
        <w:rPr>
          <w:sz w:val="24"/>
          <w:szCs w:val="24"/>
          <w:lang w:val="en-US"/>
        </w:rPr>
        <w:t>}</w:t>
      </w:r>
      <w:r w:rsidRPr="008608AA">
        <w:rPr>
          <w:sz w:val="24"/>
          <w:szCs w:val="24"/>
          <w:lang w:val="en-US"/>
        </w:rPr>
        <w:t xml:space="preserve"> and North American forests are stable to slightly increasing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3.2.2.1</w:t>
      </w:r>
      <w:r w:rsidR="00902618" w:rsidRPr="008608AA">
        <w:rPr>
          <w:sz w:val="24"/>
          <w:szCs w:val="24"/>
          <w:lang w:val="en-US"/>
        </w:rPr>
        <w:t>}</w:t>
      </w:r>
      <w:r w:rsidRPr="008608AA">
        <w:rPr>
          <w:sz w:val="24"/>
          <w:szCs w:val="24"/>
          <w:lang w:val="en-US"/>
        </w:rPr>
        <w:t xml:space="preserve">. </w:t>
      </w:r>
    </w:p>
    <w:p w14:paraId="15808168" w14:textId="77777777" w:rsidR="008940EF" w:rsidRPr="008608AA" w:rsidRDefault="004255E7" w:rsidP="00B33BD5">
      <w:pPr>
        <w:pStyle w:val="ListParagraph"/>
        <w:numPr>
          <w:ilvl w:val="0"/>
          <w:numId w:val="9"/>
        </w:numPr>
        <w:ind w:left="357" w:hanging="357"/>
        <w:rPr>
          <w:sz w:val="24"/>
          <w:szCs w:val="24"/>
          <w:lang w:val="en-US" w:eastAsia="en-US"/>
        </w:rPr>
      </w:pPr>
      <w:r w:rsidRPr="008608AA">
        <w:rPr>
          <w:b/>
          <w:bCs/>
          <w:sz w:val="24"/>
          <w:szCs w:val="24"/>
          <w:shd w:val="clear" w:color="auto" w:fill="FFFFFF"/>
          <w:lang w:val="en-US"/>
        </w:rPr>
        <w:t>Experimental evidence and empirical observations support linkages between biodiversity and ecosystem productivity, stability and resistance to stress (</w:t>
      </w:r>
      <w:r w:rsidRPr="008608AA">
        <w:rPr>
          <w:b/>
          <w:bCs/>
          <w:i/>
          <w:sz w:val="24"/>
          <w:szCs w:val="24"/>
          <w:shd w:val="clear" w:color="auto" w:fill="FFFFFF"/>
          <w:lang w:val="en-US"/>
        </w:rPr>
        <w:t>well established</w:t>
      </w:r>
      <w:r w:rsidRPr="008608AA">
        <w:rPr>
          <w:b/>
          <w:bCs/>
          <w:sz w:val="24"/>
          <w:szCs w:val="24"/>
          <w:shd w:val="clear" w:color="auto" w:fill="FFFFFF"/>
          <w:lang w:val="en-US"/>
        </w:rPr>
        <w:t>).</w:t>
      </w:r>
      <w:r w:rsidRPr="008608AA">
        <w:rPr>
          <w:bCs/>
          <w:sz w:val="24"/>
          <w:szCs w:val="24"/>
          <w:shd w:val="clear" w:color="auto" w:fill="FFFFFF"/>
          <w:lang w:val="en-US"/>
        </w:rPr>
        <w:t xml:space="preserve"> A large number of studies across taxonomic groups and biomes (temperate and tropical forests, grasslands and marine systems) show greater productivity, stability, and stress resistance of ecosystems with higher biodiversity </w:t>
      </w:r>
      <w:r w:rsidR="00902618" w:rsidRPr="008608AA">
        <w:rPr>
          <w:bCs/>
          <w:sz w:val="24"/>
          <w:szCs w:val="24"/>
          <w:shd w:val="clear" w:color="auto" w:fill="FFFFFF"/>
          <w:lang w:val="en-US"/>
        </w:rPr>
        <w:t>{</w:t>
      </w:r>
      <w:r w:rsidRPr="008608AA">
        <w:rPr>
          <w:bCs/>
          <w:sz w:val="24"/>
          <w:szCs w:val="24"/>
          <w:shd w:val="clear" w:color="auto" w:fill="FFFFFF"/>
          <w:lang w:val="en-US"/>
        </w:rPr>
        <w:t>3.1.2, 3.1.3</w:t>
      </w:r>
      <w:r w:rsidR="00902618" w:rsidRPr="008608AA">
        <w:rPr>
          <w:bCs/>
          <w:sz w:val="24"/>
          <w:szCs w:val="24"/>
          <w:shd w:val="clear" w:color="auto" w:fill="FFFFFF"/>
          <w:lang w:val="en-US"/>
        </w:rPr>
        <w:t>}</w:t>
      </w:r>
      <w:r w:rsidRPr="008608AA">
        <w:rPr>
          <w:bCs/>
          <w:sz w:val="24"/>
          <w:szCs w:val="24"/>
          <w:shd w:val="clear" w:color="auto" w:fill="FFFFFF"/>
          <w:lang w:val="en-US"/>
        </w:rPr>
        <w:t>, indicating that biodiversity is relevant to sustainability. The majority of studies within the Americas were conducted in North America, but studies in Mesoamerica and South America are consistent with results for North America and global findings.</w:t>
      </w:r>
    </w:p>
    <w:p w14:paraId="7DF1347D" w14:textId="79C34D49" w:rsidR="008940EF" w:rsidRPr="008608AA" w:rsidRDefault="004255E7" w:rsidP="00B33BD5">
      <w:pPr>
        <w:pStyle w:val="ListParagraph"/>
        <w:numPr>
          <w:ilvl w:val="0"/>
          <w:numId w:val="9"/>
        </w:numPr>
        <w:ind w:left="357" w:hanging="357"/>
        <w:rPr>
          <w:sz w:val="24"/>
          <w:szCs w:val="24"/>
          <w:lang w:val="en-US" w:eastAsia="en-US"/>
        </w:rPr>
      </w:pPr>
      <w:r w:rsidRPr="008608AA">
        <w:rPr>
          <w:b/>
          <w:sz w:val="24"/>
          <w:szCs w:val="24"/>
          <w:lang w:val="en-US"/>
        </w:rPr>
        <w:t xml:space="preserve">The transformation of </w:t>
      </w:r>
      <w:r w:rsidRPr="008608AA">
        <w:rPr>
          <w:b/>
          <w:bCs/>
          <w:sz w:val="24"/>
          <w:szCs w:val="24"/>
          <w:lang w:val="en-US"/>
        </w:rPr>
        <w:t>wetlands in the Americas has led to loss of biodiversity (</w:t>
      </w:r>
      <w:r w:rsidRPr="008608AA">
        <w:rPr>
          <w:b/>
          <w:bCs/>
          <w:i/>
          <w:sz w:val="24"/>
          <w:szCs w:val="24"/>
          <w:lang w:val="en-US"/>
        </w:rPr>
        <w:t>established but incomplete</w:t>
      </w:r>
      <w:r w:rsidRPr="008608AA">
        <w:rPr>
          <w:b/>
          <w:bCs/>
          <w:sz w:val="24"/>
          <w:szCs w:val="24"/>
          <w:lang w:val="en-US"/>
        </w:rPr>
        <w:t>) and ecosystem functions (</w:t>
      </w:r>
      <w:r w:rsidRPr="008608AA">
        <w:rPr>
          <w:b/>
          <w:bCs/>
          <w:i/>
          <w:sz w:val="24"/>
          <w:szCs w:val="24"/>
          <w:lang w:val="en-US"/>
        </w:rPr>
        <w:t>well established</w:t>
      </w:r>
      <w:r w:rsidRPr="008608AA">
        <w:rPr>
          <w:b/>
          <w:bCs/>
          <w:sz w:val="24"/>
          <w:szCs w:val="24"/>
          <w:lang w:val="en-US"/>
        </w:rPr>
        <w:t xml:space="preserve">). </w:t>
      </w:r>
      <w:r w:rsidRPr="008608AA">
        <w:rPr>
          <w:sz w:val="24"/>
          <w:szCs w:val="24"/>
          <w:lang w:val="en-US"/>
        </w:rPr>
        <w:t>From 1976 to 2008, the Brazilian pantanal experienced a huge loss of floodplains (</w:t>
      </w:r>
      <w:r w:rsidRPr="008608AA">
        <w:rPr>
          <w:i/>
          <w:sz w:val="24"/>
          <w:szCs w:val="24"/>
          <w:lang w:val="en-US"/>
        </w:rPr>
        <w:t>well established</w:t>
      </w:r>
      <w:r w:rsidRPr="008608AA">
        <w:rPr>
          <w:sz w:val="24"/>
          <w:szCs w:val="24"/>
          <w:lang w:val="en-US"/>
        </w:rPr>
        <w:t>) affecting biodiversity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3.4.1.9</w:t>
      </w:r>
      <w:r w:rsidR="00902618" w:rsidRPr="008608AA">
        <w:rPr>
          <w:sz w:val="24"/>
          <w:szCs w:val="24"/>
          <w:lang w:val="en-US"/>
        </w:rPr>
        <w:t>}</w:t>
      </w:r>
      <w:r w:rsidRPr="008608AA">
        <w:rPr>
          <w:sz w:val="24"/>
          <w:szCs w:val="24"/>
          <w:lang w:val="en-US"/>
        </w:rPr>
        <w:t>. One-third of the freshwater marshes in the lower Paraná delta were converted between 1999 and 2013 (</w:t>
      </w:r>
      <w:r w:rsidRPr="008608AA">
        <w:rPr>
          <w:i/>
          <w:sz w:val="24"/>
          <w:szCs w:val="24"/>
          <w:lang w:val="en-US"/>
        </w:rPr>
        <w:t>well established</w:t>
      </w:r>
      <w:r w:rsidRPr="008608AA">
        <w:rPr>
          <w:sz w:val="24"/>
          <w:szCs w:val="24"/>
          <w:lang w:val="en-US"/>
        </w:rPr>
        <w:t xml:space="preserve">) </w:t>
      </w:r>
      <w:r w:rsidR="00902618" w:rsidRPr="008608AA">
        <w:rPr>
          <w:sz w:val="24"/>
          <w:szCs w:val="24"/>
          <w:lang w:val="en-US"/>
        </w:rPr>
        <w:t>{</w:t>
      </w:r>
      <w:r w:rsidRPr="008608AA">
        <w:rPr>
          <w:sz w:val="24"/>
          <w:szCs w:val="24"/>
          <w:lang w:val="en-US"/>
        </w:rPr>
        <w:t>3.4.1.9</w:t>
      </w:r>
      <w:r w:rsidR="00902618" w:rsidRPr="008608AA">
        <w:rPr>
          <w:sz w:val="24"/>
          <w:szCs w:val="24"/>
          <w:lang w:val="en-US"/>
        </w:rPr>
        <w:t>}</w:t>
      </w:r>
      <w:r w:rsidRPr="008608AA">
        <w:rPr>
          <w:sz w:val="24"/>
          <w:szCs w:val="24"/>
          <w:lang w:val="en-US"/>
        </w:rPr>
        <w:t xml:space="preserve">. </w:t>
      </w:r>
      <w:r w:rsidRPr="008608AA">
        <w:rPr>
          <w:rFonts w:cstheme="minorHAnsi"/>
          <w:sz w:val="24"/>
          <w:szCs w:val="24"/>
          <w:lang w:val="en-US"/>
        </w:rPr>
        <w:t>The vast biologically rich South American Pantanal has been increasingly degraded due to cattle ranching and cropping (</w:t>
      </w:r>
      <w:r w:rsidRPr="008608AA">
        <w:rPr>
          <w:rFonts w:cstheme="minorHAnsi"/>
          <w:i/>
          <w:sz w:val="24"/>
          <w:szCs w:val="24"/>
          <w:lang w:val="en-US"/>
        </w:rPr>
        <w:t>well established</w:t>
      </w:r>
      <w:r w:rsidRPr="008608AA">
        <w:rPr>
          <w:rFonts w:cstheme="minorHAnsi"/>
          <w:sz w:val="24"/>
          <w:szCs w:val="24"/>
          <w:lang w:val="en-US"/>
        </w:rPr>
        <w:t xml:space="preserve">) </w:t>
      </w:r>
      <w:r w:rsidR="00902618" w:rsidRPr="008608AA">
        <w:rPr>
          <w:sz w:val="24"/>
          <w:szCs w:val="24"/>
          <w:lang w:val="en-US"/>
        </w:rPr>
        <w:t>{</w:t>
      </w:r>
      <w:r w:rsidRPr="008608AA">
        <w:rPr>
          <w:sz w:val="24"/>
          <w:szCs w:val="24"/>
          <w:lang w:val="en-US"/>
        </w:rPr>
        <w:t>3.4.1.9</w:t>
      </w:r>
      <w:r w:rsidR="00902618" w:rsidRPr="008608AA">
        <w:rPr>
          <w:sz w:val="24"/>
          <w:szCs w:val="24"/>
          <w:lang w:val="en-US"/>
        </w:rPr>
        <w:t>}</w:t>
      </w:r>
      <w:r w:rsidRPr="008608AA">
        <w:rPr>
          <w:sz w:val="24"/>
          <w:szCs w:val="24"/>
          <w:lang w:val="en-US"/>
        </w:rPr>
        <w:t>. Mechanized peat mining in southern temperate peatlands has promoted invasive plant species, increased beaver presence</w:t>
      </w:r>
      <w:r w:rsidR="00921E03" w:rsidRPr="008608AA">
        <w:rPr>
          <w:sz w:val="24"/>
          <w:szCs w:val="24"/>
          <w:lang w:val="en-US"/>
        </w:rPr>
        <w:t xml:space="preserve"> and</w:t>
      </w:r>
      <w:r w:rsidRPr="008608AA">
        <w:rPr>
          <w:sz w:val="24"/>
          <w:szCs w:val="24"/>
          <w:lang w:val="en-US"/>
        </w:rPr>
        <w:t xml:space="preserve"> produced hydrological changes (</w:t>
      </w:r>
      <w:r w:rsidRPr="008608AA">
        <w:rPr>
          <w:i/>
          <w:sz w:val="24"/>
          <w:szCs w:val="24"/>
          <w:lang w:val="en-US"/>
        </w:rPr>
        <w:t>well established</w:t>
      </w:r>
      <w:r w:rsidRPr="008608AA">
        <w:rPr>
          <w:sz w:val="24"/>
          <w:szCs w:val="24"/>
          <w:lang w:val="en-US"/>
        </w:rPr>
        <w:t xml:space="preserve">) </w:t>
      </w:r>
      <w:r w:rsidR="00902618" w:rsidRPr="008608AA">
        <w:rPr>
          <w:sz w:val="24"/>
          <w:szCs w:val="24"/>
          <w:lang w:val="en-US"/>
        </w:rPr>
        <w:t>{</w:t>
      </w:r>
      <w:r w:rsidRPr="008608AA">
        <w:rPr>
          <w:sz w:val="24"/>
          <w:szCs w:val="24"/>
          <w:lang w:val="en-US"/>
        </w:rPr>
        <w:t>3.4.1.9</w:t>
      </w:r>
      <w:r w:rsidR="00902618" w:rsidRPr="008608AA">
        <w:rPr>
          <w:sz w:val="24"/>
          <w:szCs w:val="24"/>
          <w:lang w:val="en-US"/>
        </w:rPr>
        <w:t>}</w:t>
      </w:r>
      <w:r w:rsidRPr="008608AA">
        <w:rPr>
          <w:sz w:val="24"/>
          <w:szCs w:val="24"/>
          <w:lang w:val="en-US"/>
        </w:rPr>
        <w:t xml:space="preserve">. In recent years, the </w:t>
      </w:r>
      <w:r w:rsidR="000338BC" w:rsidRPr="008608AA">
        <w:rPr>
          <w:sz w:val="24"/>
          <w:szCs w:val="24"/>
          <w:lang w:val="en-US"/>
        </w:rPr>
        <w:t>United States of America</w:t>
      </w:r>
      <w:r w:rsidRPr="008608AA">
        <w:rPr>
          <w:sz w:val="24"/>
          <w:szCs w:val="24"/>
          <w:lang w:val="en-US"/>
        </w:rPr>
        <w:t xml:space="preserve"> lost an average of 5</w:t>
      </w:r>
      <w:r w:rsidR="007256A5" w:rsidRPr="008608AA">
        <w:rPr>
          <w:sz w:val="24"/>
          <w:szCs w:val="24"/>
          <w:lang w:val="en-US"/>
        </w:rPr>
        <w:t xml:space="preserve">,600 hectares per </w:t>
      </w:r>
      <w:r w:rsidRPr="008608AA">
        <w:rPr>
          <w:sz w:val="24"/>
          <w:szCs w:val="24"/>
          <w:lang w:val="en-US"/>
        </w:rPr>
        <w:t xml:space="preserve">year of wetland habitat, lowering capacity for water filtration </w:t>
      </w:r>
      <w:r w:rsidR="00902618" w:rsidRPr="008608AA">
        <w:rPr>
          <w:sz w:val="24"/>
          <w:szCs w:val="24"/>
          <w:lang w:val="en-US"/>
        </w:rPr>
        <w:t>{</w:t>
      </w:r>
      <w:r w:rsidRPr="008608AA">
        <w:rPr>
          <w:sz w:val="24"/>
          <w:szCs w:val="24"/>
          <w:lang w:val="en-US"/>
        </w:rPr>
        <w:t>3.4.1.9</w:t>
      </w:r>
      <w:r w:rsidR="00902618" w:rsidRPr="008608AA">
        <w:rPr>
          <w:sz w:val="24"/>
          <w:szCs w:val="24"/>
          <w:lang w:val="en-US"/>
        </w:rPr>
        <w:t>}</w:t>
      </w:r>
      <w:r w:rsidRPr="008608AA">
        <w:rPr>
          <w:sz w:val="24"/>
          <w:szCs w:val="24"/>
          <w:lang w:val="en-US"/>
        </w:rPr>
        <w:t>. In the past four decades, invasive species have become an increasing threat to biodiversity in the Florida Everglades and other wetlands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3.4.1.9</w:t>
      </w:r>
      <w:r w:rsidR="00902618" w:rsidRPr="008608AA">
        <w:rPr>
          <w:sz w:val="24"/>
          <w:szCs w:val="24"/>
          <w:lang w:val="en-US"/>
        </w:rPr>
        <w:t>}</w:t>
      </w:r>
      <w:r w:rsidRPr="008608AA">
        <w:rPr>
          <w:sz w:val="24"/>
          <w:szCs w:val="24"/>
          <w:lang w:val="en-US"/>
        </w:rPr>
        <w:t>. Some wetlands in Mesoamerica have been contaminated with heavy metals and pesticides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3.4.1.9</w:t>
      </w:r>
      <w:r w:rsidR="00902618" w:rsidRPr="008608AA">
        <w:rPr>
          <w:sz w:val="24"/>
          <w:szCs w:val="24"/>
          <w:lang w:val="en-US"/>
        </w:rPr>
        <w:t>}</w:t>
      </w:r>
      <w:r w:rsidRPr="008608AA">
        <w:rPr>
          <w:sz w:val="24"/>
          <w:szCs w:val="24"/>
          <w:lang w:val="en-US"/>
        </w:rPr>
        <w:t xml:space="preserve">. </w:t>
      </w:r>
    </w:p>
    <w:p w14:paraId="2977AB14" w14:textId="49D26A26" w:rsidR="008940EF" w:rsidRPr="008608AA" w:rsidRDefault="004255E7" w:rsidP="00B33BD5">
      <w:pPr>
        <w:pStyle w:val="ListParagraph"/>
        <w:numPr>
          <w:ilvl w:val="0"/>
          <w:numId w:val="9"/>
        </w:numPr>
        <w:ind w:left="357" w:hanging="357"/>
        <w:rPr>
          <w:sz w:val="24"/>
          <w:szCs w:val="24"/>
          <w:lang w:val="en-US" w:eastAsia="en-US"/>
        </w:rPr>
      </w:pPr>
      <w:r w:rsidRPr="008608AA">
        <w:rPr>
          <w:b/>
          <w:sz w:val="24"/>
          <w:szCs w:val="24"/>
          <w:lang w:val="en-US"/>
        </w:rPr>
        <w:t>Oceans of the Americas contain high biodiversity, can have high numbers of threatened species, and include large numbers of species that are important for human well-being (</w:t>
      </w:r>
      <w:r w:rsidRPr="008608AA">
        <w:rPr>
          <w:b/>
          <w:i/>
          <w:sz w:val="24"/>
          <w:szCs w:val="24"/>
          <w:lang w:val="en-US"/>
        </w:rPr>
        <w:t>established but incomplete</w:t>
      </w:r>
      <w:r w:rsidRPr="008608AA">
        <w:rPr>
          <w:b/>
          <w:sz w:val="24"/>
          <w:szCs w:val="24"/>
          <w:lang w:val="en-US"/>
        </w:rPr>
        <w:t>)</w:t>
      </w:r>
      <w:r w:rsidRPr="008608AA">
        <w:rPr>
          <w:sz w:val="24"/>
          <w:szCs w:val="24"/>
          <w:lang w:val="en-US"/>
        </w:rPr>
        <w:t xml:space="preserve">. Respectively, over 12,000 marine organisms have been found in the Caribbean, 10,000 in the Humboldt Current system, and 9,000 on the Brazilian shelves </w:t>
      </w:r>
      <w:r w:rsidR="00902618" w:rsidRPr="008608AA">
        <w:rPr>
          <w:sz w:val="24"/>
          <w:szCs w:val="24"/>
          <w:lang w:val="en-US"/>
        </w:rPr>
        <w:t>{</w:t>
      </w:r>
      <w:r w:rsidRPr="008608AA">
        <w:rPr>
          <w:sz w:val="24"/>
          <w:szCs w:val="24"/>
          <w:lang w:val="en-US"/>
        </w:rPr>
        <w:t>3.2.4.1</w:t>
      </w:r>
      <w:r w:rsidR="00902618" w:rsidRPr="008608AA">
        <w:rPr>
          <w:sz w:val="24"/>
          <w:szCs w:val="24"/>
          <w:lang w:val="en-US"/>
        </w:rPr>
        <w:t>}</w:t>
      </w:r>
      <w:r w:rsidRPr="008608AA">
        <w:rPr>
          <w:sz w:val="24"/>
          <w:szCs w:val="24"/>
          <w:lang w:val="en-US"/>
        </w:rPr>
        <w:t>, numbers that are considered to be conservative. Oceans of the Americas contain three of the seven global threat hotspots for neritic and epipelagic oceanic sharks in coastal waters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3.4.2</w:t>
      </w:r>
      <w:r w:rsidR="00902618" w:rsidRPr="008608AA">
        <w:rPr>
          <w:sz w:val="24"/>
          <w:szCs w:val="24"/>
          <w:lang w:val="en-US"/>
        </w:rPr>
        <w:t>}</w:t>
      </w:r>
      <w:r w:rsidRPr="008608AA">
        <w:rPr>
          <w:sz w:val="24"/>
          <w:szCs w:val="24"/>
          <w:lang w:val="en-US"/>
        </w:rPr>
        <w:t>. The highest number of threatened or endangered marine mammal stocks around the globe are found in the Pacific, but some populations have recently begun to recover (</w:t>
      </w:r>
      <w:r w:rsidRPr="008608AA">
        <w:rPr>
          <w:i/>
          <w:sz w:val="24"/>
          <w:szCs w:val="24"/>
          <w:lang w:val="en-US"/>
        </w:rPr>
        <w:t>well established</w:t>
      </w:r>
      <w:r w:rsidRPr="008608AA">
        <w:rPr>
          <w:sz w:val="24"/>
          <w:szCs w:val="24"/>
          <w:lang w:val="en-US"/>
        </w:rPr>
        <w:t xml:space="preserve">) </w:t>
      </w:r>
      <w:r w:rsidR="00902618" w:rsidRPr="008608AA">
        <w:rPr>
          <w:sz w:val="24"/>
          <w:szCs w:val="24"/>
          <w:lang w:val="en-US"/>
        </w:rPr>
        <w:t>{</w:t>
      </w:r>
      <w:r w:rsidRPr="008608AA">
        <w:rPr>
          <w:sz w:val="24"/>
          <w:szCs w:val="24"/>
          <w:lang w:val="en-US"/>
        </w:rPr>
        <w:t>3.4.2</w:t>
      </w:r>
      <w:r w:rsidR="00902618" w:rsidRPr="008608AA">
        <w:rPr>
          <w:sz w:val="24"/>
          <w:szCs w:val="24"/>
          <w:lang w:val="en-US"/>
        </w:rPr>
        <w:t>}</w:t>
      </w:r>
      <w:r w:rsidRPr="008608AA">
        <w:rPr>
          <w:sz w:val="24"/>
          <w:szCs w:val="24"/>
          <w:lang w:val="en-US"/>
        </w:rPr>
        <w:t>. Stock assessments for a number of chondrichthyes in the Am</w:t>
      </w:r>
      <w:r w:rsidR="007256A5" w:rsidRPr="008608AA">
        <w:rPr>
          <w:sz w:val="24"/>
          <w:szCs w:val="24"/>
          <w:lang w:val="en-US"/>
        </w:rPr>
        <w:t xml:space="preserve">ericas report declines of 20 to </w:t>
      </w:r>
      <w:r w:rsidR="000338BC" w:rsidRPr="008608AA">
        <w:rPr>
          <w:sz w:val="24"/>
          <w:szCs w:val="24"/>
          <w:lang w:val="en-US"/>
        </w:rPr>
        <w:t>80 per cent</w:t>
      </w:r>
      <w:r w:rsidRPr="008608AA">
        <w:rPr>
          <w:sz w:val="24"/>
          <w:szCs w:val="24"/>
          <w:lang w:val="en-US"/>
        </w:rPr>
        <w:t xml:space="preserve"> from unfished conditions. In Canada, marine fish populations declined by an av</w:t>
      </w:r>
      <w:r w:rsidR="000338BC" w:rsidRPr="008608AA">
        <w:rPr>
          <w:sz w:val="24"/>
          <w:szCs w:val="24"/>
          <w:lang w:val="en-US"/>
        </w:rPr>
        <w:t>erage of 52 per cent</w:t>
      </w:r>
      <w:r w:rsidRPr="008608AA">
        <w:rPr>
          <w:sz w:val="24"/>
          <w:szCs w:val="24"/>
          <w:lang w:val="en-US"/>
        </w:rPr>
        <w:t xml:space="preserve"> from 1970 to the mid-1990s and then remained stable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3.4.2</w:t>
      </w:r>
      <w:r w:rsidR="00902618" w:rsidRPr="008608AA">
        <w:rPr>
          <w:sz w:val="24"/>
          <w:szCs w:val="24"/>
          <w:lang w:val="en-US"/>
        </w:rPr>
        <w:t>}</w:t>
      </w:r>
      <w:r w:rsidRPr="008608AA">
        <w:rPr>
          <w:sz w:val="24"/>
          <w:szCs w:val="24"/>
          <w:lang w:val="en-US"/>
        </w:rPr>
        <w:t xml:space="preserve">. </w:t>
      </w:r>
    </w:p>
    <w:p w14:paraId="6EEAE7EB" w14:textId="5F0AE605" w:rsidR="008940EF" w:rsidRPr="008608AA" w:rsidRDefault="004255E7" w:rsidP="00B33BD5">
      <w:pPr>
        <w:pStyle w:val="ListParagraph"/>
        <w:numPr>
          <w:ilvl w:val="0"/>
          <w:numId w:val="9"/>
        </w:numPr>
        <w:ind w:left="357" w:hanging="357"/>
        <w:rPr>
          <w:sz w:val="24"/>
          <w:szCs w:val="24"/>
          <w:lang w:val="en-US" w:eastAsia="en-US"/>
        </w:rPr>
      </w:pPr>
      <w:r w:rsidRPr="008608AA">
        <w:rPr>
          <w:b/>
          <w:sz w:val="24"/>
          <w:szCs w:val="24"/>
          <w:lang w:val="en-US"/>
        </w:rPr>
        <w:t>Biodiversity in coastal habitats has experienced major losses in recent decades (</w:t>
      </w:r>
      <w:r w:rsidRPr="008608AA">
        <w:rPr>
          <w:b/>
          <w:i/>
          <w:sz w:val="24"/>
          <w:szCs w:val="24"/>
          <w:lang w:val="en-US"/>
        </w:rPr>
        <w:t>well established</w:t>
      </w:r>
      <w:r w:rsidRPr="008608AA">
        <w:rPr>
          <w:b/>
          <w:sz w:val="24"/>
          <w:szCs w:val="24"/>
          <w:lang w:val="en-US"/>
        </w:rPr>
        <w:t>).</w:t>
      </w:r>
      <w:r w:rsidRPr="008608AA">
        <w:rPr>
          <w:sz w:val="24"/>
          <w:szCs w:val="24"/>
          <w:lang w:val="en-US"/>
        </w:rPr>
        <w:t xml:space="preserve"> Coral reefs in the Caribbean declined in cover by more than</w:t>
      </w:r>
      <w:r w:rsidR="000338BC" w:rsidRPr="008608AA">
        <w:rPr>
          <w:sz w:val="24"/>
          <w:szCs w:val="24"/>
          <w:lang w:val="en-US"/>
        </w:rPr>
        <w:t xml:space="preserve"> 50 per cent by the 1970s, with only 10 per cent</w:t>
      </w:r>
      <w:r w:rsidRPr="008608AA">
        <w:rPr>
          <w:sz w:val="24"/>
          <w:szCs w:val="24"/>
          <w:lang w:val="en-US"/>
        </w:rPr>
        <w:t xml:space="preserve"> remaining by 2003, followed by widespread coral bleaching in 2005 and subsequent mortality from infectious diseases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3.4.2.1</w:t>
      </w:r>
      <w:r w:rsidR="00902618" w:rsidRPr="008608AA">
        <w:rPr>
          <w:sz w:val="24"/>
          <w:szCs w:val="24"/>
          <w:lang w:val="en-US"/>
        </w:rPr>
        <w:t>}</w:t>
      </w:r>
      <w:r w:rsidRPr="008608AA">
        <w:rPr>
          <w:sz w:val="24"/>
          <w:szCs w:val="24"/>
          <w:lang w:val="en-US"/>
        </w:rPr>
        <w:t>. Coastal salt marshes and mangroves are rapidly disappearing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3.4.2.1</w:t>
      </w:r>
      <w:r w:rsidR="00902618" w:rsidRPr="008608AA">
        <w:rPr>
          <w:sz w:val="24"/>
          <w:szCs w:val="24"/>
          <w:lang w:val="en-US"/>
        </w:rPr>
        <w:t>}</w:t>
      </w:r>
      <w:r w:rsidRPr="008608AA">
        <w:rPr>
          <w:sz w:val="24"/>
          <w:szCs w:val="24"/>
          <w:lang w:val="en-US"/>
        </w:rPr>
        <w:t>. Considerable declines in seagrasses have occurred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3.4.2.1</w:t>
      </w:r>
      <w:r w:rsidR="00902618" w:rsidRPr="008608AA">
        <w:rPr>
          <w:sz w:val="24"/>
          <w:szCs w:val="24"/>
          <w:lang w:val="en-US"/>
        </w:rPr>
        <w:t>}</w:t>
      </w:r>
      <w:r w:rsidRPr="008608AA">
        <w:rPr>
          <w:sz w:val="24"/>
          <w:szCs w:val="24"/>
          <w:lang w:val="en-US"/>
        </w:rPr>
        <w:t xml:space="preserve">. </w:t>
      </w:r>
    </w:p>
    <w:p w14:paraId="44D0116A" w14:textId="415FD8B5" w:rsidR="008940EF" w:rsidRPr="008608AA" w:rsidRDefault="004255E7" w:rsidP="00B33BD5">
      <w:pPr>
        <w:pStyle w:val="ListParagraph"/>
        <w:numPr>
          <w:ilvl w:val="0"/>
          <w:numId w:val="9"/>
        </w:numPr>
        <w:ind w:left="357" w:hanging="357"/>
        <w:rPr>
          <w:sz w:val="24"/>
          <w:szCs w:val="24"/>
          <w:lang w:val="en-US" w:eastAsia="en-US"/>
        </w:rPr>
      </w:pPr>
      <w:r w:rsidRPr="008608AA">
        <w:rPr>
          <w:b/>
          <w:bCs/>
          <w:sz w:val="24"/>
          <w:szCs w:val="24"/>
          <w:lang w:val="en-US"/>
        </w:rPr>
        <w:t xml:space="preserve">Urban expansion constitutes both a threat to biodiversity and an opportunity for biodiversity conservation </w:t>
      </w:r>
      <w:r w:rsidR="00902618" w:rsidRPr="008608AA">
        <w:rPr>
          <w:b/>
          <w:bCs/>
          <w:sz w:val="24"/>
          <w:szCs w:val="24"/>
          <w:lang w:val="en-US"/>
        </w:rPr>
        <w:t>{</w:t>
      </w:r>
      <w:r w:rsidRPr="008608AA">
        <w:rPr>
          <w:b/>
          <w:bCs/>
          <w:i/>
          <w:sz w:val="24"/>
          <w:szCs w:val="24"/>
          <w:lang w:val="en-US"/>
        </w:rPr>
        <w:t>established but incomplete</w:t>
      </w:r>
      <w:r w:rsidRPr="008608AA">
        <w:rPr>
          <w:b/>
          <w:bCs/>
          <w:sz w:val="24"/>
          <w:szCs w:val="24"/>
          <w:lang w:val="en-US"/>
        </w:rPr>
        <w:t xml:space="preserve">). </w:t>
      </w:r>
      <w:r w:rsidR="007256A5" w:rsidRPr="008608AA">
        <w:rPr>
          <w:bCs/>
          <w:sz w:val="24"/>
          <w:szCs w:val="24"/>
          <w:lang w:val="en-US"/>
        </w:rPr>
        <w:t>Urban areas are now home to 80 per cent</w:t>
      </w:r>
      <w:r w:rsidRPr="008608AA">
        <w:rPr>
          <w:bCs/>
          <w:sz w:val="24"/>
          <w:szCs w:val="24"/>
          <w:lang w:val="en-US"/>
        </w:rPr>
        <w:t xml:space="preserve"> of the population</w:t>
      </w:r>
      <w:r w:rsidRPr="008608AA">
        <w:rPr>
          <w:b/>
          <w:bCs/>
          <w:sz w:val="24"/>
          <w:szCs w:val="24"/>
          <w:lang w:val="en-US"/>
        </w:rPr>
        <w:t xml:space="preserve"> </w:t>
      </w:r>
      <w:r w:rsidRPr="008608AA">
        <w:rPr>
          <w:bCs/>
          <w:sz w:val="24"/>
          <w:szCs w:val="24"/>
          <w:lang w:val="en-US"/>
        </w:rPr>
        <w:t>of the Americas</w:t>
      </w:r>
      <w:r w:rsidRPr="008608AA">
        <w:rPr>
          <w:b/>
          <w:bCs/>
          <w:sz w:val="24"/>
          <w:szCs w:val="24"/>
          <w:lang w:val="en-US"/>
        </w:rPr>
        <w:t xml:space="preserve"> </w:t>
      </w:r>
      <w:r w:rsidR="00902618" w:rsidRPr="008608AA">
        <w:rPr>
          <w:sz w:val="24"/>
          <w:szCs w:val="24"/>
          <w:lang w:val="en-US"/>
        </w:rPr>
        <w:t>{</w:t>
      </w:r>
      <w:r w:rsidRPr="008608AA">
        <w:rPr>
          <w:sz w:val="24"/>
          <w:szCs w:val="24"/>
          <w:lang w:val="en-US"/>
        </w:rPr>
        <w:t>3.3.4</w:t>
      </w:r>
      <w:r w:rsidR="00902618" w:rsidRPr="008608AA">
        <w:rPr>
          <w:sz w:val="24"/>
          <w:szCs w:val="24"/>
          <w:lang w:val="en-US"/>
        </w:rPr>
        <w:t>}</w:t>
      </w:r>
      <w:r w:rsidRPr="008608AA">
        <w:rPr>
          <w:bCs/>
          <w:sz w:val="24"/>
          <w:szCs w:val="24"/>
          <w:lang w:val="en-US"/>
        </w:rPr>
        <w:t>.</w:t>
      </w:r>
      <w:r w:rsidRPr="008608AA">
        <w:rPr>
          <w:sz w:val="24"/>
          <w:szCs w:val="24"/>
          <w:lang w:val="en-US"/>
        </w:rPr>
        <w:t xml:space="preserve"> Urban encroachment is associated with declining native species richness and shifts in species composition, yet increased total plant diversity with cultivation of non-native species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3.3.4</w:t>
      </w:r>
      <w:r w:rsidR="00902618" w:rsidRPr="008608AA">
        <w:rPr>
          <w:sz w:val="24"/>
          <w:szCs w:val="24"/>
          <w:lang w:val="en-US"/>
        </w:rPr>
        <w:t>}</w:t>
      </w:r>
      <w:r w:rsidRPr="008608AA">
        <w:rPr>
          <w:sz w:val="24"/>
          <w:szCs w:val="24"/>
          <w:lang w:val="en-US"/>
        </w:rPr>
        <w:t>. Remnant vegetation in cities can support significant native biodiversity, such as bees and birds (</w:t>
      </w:r>
      <w:r w:rsidRPr="008608AA">
        <w:rPr>
          <w:i/>
          <w:sz w:val="24"/>
          <w:szCs w:val="24"/>
          <w:lang w:val="en-US"/>
        </w:rPr>
        <w:t>well established</w:t>
      </w:r>
      <w:r w:rsidRPr="008608AA">
        <w:rPr>
          <w:sz w:val="24"/>
          <w:szCs w:val="24"/>
          <w:lang w:val="en-US"/>
        </w:rPr>
        <w:t xml:space="preserve">). Botanical </w:t>
      </w:r>
      <w:r w:rsidR="007256A5" w:rsidRPr="008608AA">
        <w:rPr>
          <w:sz w:val="24"/>
          <w:szCs w:val="24"/>
          <w:lang w:val="en-US"/>
        </w:rPr>
        <w:t xml:space="preserve">gardens, major reservoirs of ex </w:t>
      </w:r>
      <w:r w:rsidRPr="008608AA">
        <w:rPr>
          <w:sz w:val="24"/>
          <w:szCs w:val="24"/>
          <w:lang w:val="en-US"/>
        </w:rPr>
        <w:t>situ conservation, and important for recreation and environmental education, found mostly in urban areas, are unequally distributed among subregions and biomes (</w:t>
      </w:r>
      <w:r w:rsidRPr="008608AA">
        <w:rPr>
          <w:i/>
          <w:sz w:val="24"/>
          <w:szCs w:val="24"/>
          <w:lang w:val="en-US"/>
        </w:rPr>
        <w:t>well established</w:t>
      </w:r>
      <w:r w:rsidRPr="008608AA">
        <w:rPr>
          <w:sz w:val="24"/>
          <w:szCs w:val="24"/>
          <w:lang w:val="en-US"/>
        </w:rPr>
        <w:t xml:space="preserve">) </w:t>
      </w:r>
      <w:r w:rsidR="00902618" w:rsidRPr="008608AA">
        <w:rPr>
          <w:sz w:val="24"/>
          <w:szCs w:val="24"/>
          <w:lang w:val="en-US"/>
        </w:rPr>
        <w:t>{</w:t>
      </w:r>
      <w:r w:rsidRPr="008608AA">
        <w:rPr>
          <w:sz w:val="24"/>
          <w:szCs w:val="24"/>
          <w:lang w:val="en-US"/>
        </w:rPr>
        <w:t>3.3.4</w:t>
      </w:r>
      <w:r w:rsidR="00902618" w:rsidRPr="008608AA">
        <w:rPr>
          <w:sz w:val="24"/>
          <w:szCs w:val="24"/>
          <w:lang w:val="en-US"/>
        </w:rPr>
        <w:t>}</w:t>
      </w:r>
      <w:r w:rsidRPr="008608AA">
        <w:rPr>
          <w:sz w:val="24"/>
          <w:szCs w:val="24"/>
          <w:lang w:val="en-US"/>
        </w:rPr>
        <w:t xml:space="preserve">. Green areas that incorporate native biodiversity have the potential to accomplish the dual goals of conservation and human </w:t>
      </w:r>
      <w:r w:rsidR="00921E03" w:rsidRPr="008608AA">
        <w:rPr>
          <w:sz w:val="24"/>
          <w:szCs w:val="24"/>
          <w:lang w:val="en-US"/>
        </w:rPr>
        <w:t>well</w:t>
      </w:r>
      <w:r w:rsidR="00BB12D7" w:rsidRPr="008608AA">
        <w:rPr>
          <w:sz w:val="24"/>
          <w:szCs w:val="24"/>
          <w:lang w:val="en-US"/>
        </w:rPr>
        <w:t>-</w:t>
      </w:r>
      <w:r w:rsidR="00921E03" w:rsidRPr="008608AA">
        <w:rPr>
          <w:sz w:val="24"/>
          <w:szCs w:val="24"/>
          <w:lang w:val="en-US"/>
        </w:rPr>
        <w:t>being</w:t>
      </w:r>
      <w:r w:rsidR="00902618" w:rsidRPr="008608AA">
        <w:rPr>
          <w:sz w:val="24"/>
          <w:szCs w:val="24"/>
          <w:lang w:val="en-US"/>
        </w:rPr>
        <w:t>{</w:t>
      </w:r>
      <w:r w:rsidRPr="008608AA">
        <w:rPr>
          <w:sz w:val="24"/>
          <w:szCs w:val="24"/>
          <w:lang w:val="en-US"/>
        </w:rPr>
        <w:t>3.3.4</w:t>
      </w:r>
      <w:r w:rsidR="00902618" w:rsidRPr="008608AA">
        <w:rPr>
          <w:sz w:val="24"/>
          <w:szCs w:val="24"/>
          <w:lang w:val="en-US"/>
        </w:rPr>
        <w:t>}</w:t>
      </w:r>
      <w:r w:rsidRPr="008608AA">
        <w:rPr>
          <w:sz w:val="24"/>
          <w:szCs w:val="24"/>
          <w:lang w:val="en-US"/>
        </w:rPr>
        <w:t>. </w:t>
      </w:r>
    </w:p>
    <w:p w14:paraId="7D38F0D6" w14:textId="751CD4B4" w:rsidR="008940EF" w:rsidRPr="008608AA" w:rsidRDefault="004255E7" w:rsidP="00B33BD5">
      <w:pPr>
        <w:pStyle w:val="ListParagraph"/>
        <w:numPr>
          <w:ilvl w:val="0"/>
          <w:numId w:val="9"/>
        </w:numPr>
        <w:ind w:left="357" w:hanging="357"/>
        <w:rPr>
          <w:sz w:val="24"/>
          <w:szCs w:val="24"/>
          <w:lang w:val="en-US" w:eastAsia="en-US"/>
        </w:rPr>
      </w:pPr>
      <w:r w:rsidRPr="008608AA">
        <w:rPr>
          <w:b/>
          <w:bCs/>
          <w:sz w:val="24"/>
          <w:szCs w:val="24"/>
          <w:lang w:val="en-US"/>
        </w:rPr>
        <w:t>Alien species continue to appear in terrestrial, freshwater, and marine habitats in the Americas, but rates of introduction, where known, differ among subregions (</w:t>
      </w:r>
      <w:r w:rsidRPr="008608AA">
        <w:rPr>
          <w:b/>
          <w:bCs/>
          <w:i/>
          <w:sz w:val="24"/>
          <w:szCs w:val="24"/>
          <w:lang w:val="en-US"/>
        </w:rPr>
        <w:t>established but incomplete</w:t>
      </w:r>
      <w:r w:rsidRPr="008608AA">
        <w:rPr>
          <w:b/>
          <w:bCs/>
          <w:sz w:val="24"/>
          <w:szCs w:val="24"/>
          <w:lang w:val="en-US"/>
        </w:rPr>
        <w:t xml:space="preserve">). </w:t>
      </w:r>
      <w:r w:rsidRPr="008608AA">
        <w:rPr>
          <w:sz w:val="24"/>
          <w:szCs w:val="24"/>
          <w:lang w:val="en-US"/>
        </w:rPr>
        <w:t xml:space="preserve">Terrestrial and marine habitats house outstanding numbers of alien plants and bird species </w:t>
      </w:r>
      <w:r w:rsidR="00902618" w:rsidRPr="008608AA">
        <w:rPr>
          <w:sz w:val="24"/>
          <w:szCs w:val="24"/>
          <w:lang w:val="en-US"/>
        </w:rPr>
        <w:t>{</w:t>
      </w:r>
      <w:r w:rsidRPr="008608AA">
        <w:rPr>
          <w:sz w:val="24"/>
          <w:szCs w:val="24"/>
          <w:lang w:val="en-US"/>
        </w:rPr>
        <w:t>3.2.2.3, 3.2.4.2</w:t>
      </w:r>
      <w:r w:rsidR="00902618" w:rsidRPr="008608AA">
        <w:rPr>
          <w:sz w:val="24"/>
          <w:szCs w:val="24"/>
          <w:lang w:val="en-US"/>
        </w:rPr>
        <w:t>}</w:t>
      </w:r>
      <w:r w:rsidRPr="008608AA">
        <w:rPr>
          <w:sz w:val="24"/>
          <w:szCs w:val="24"/>
          <w:lang w:val="en-US"/>
        </w:rPr>
        <w:t>. North America and the Caribbean are the mostly strongly invaded subregions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3.2.2.3</w:t>
      </w:r>
      <w:r w:rsidR="00902618" w:rsidRPr="008608AA">
        <w:rPr>
          <w:sz w:val="24"/>
          <w:szCs w:val="24"/>
          <w:lang w:val="en-US"/>
        </w:rPr>
        <w:t>}</w:t>
      </w:r>
      <w:r w:rsidRPr="008608AA">
        <w:rPr>
          <w:sz w:val="24"/>
          <w:szCs w:val="24"/>
          <w:lang w:val="en-US"/>
        </w:rPr>
        <w:t>. Rates of appearance of alien species are currently somewhat lower in North America than in South America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3.2.2.3</w:t>
      </w:r>
      <w:r w:rsidR="00902618" w:rsidRPr="008608AA">
        <w:rPr>
          <w:sz w:val="24"/>
          <w:szCs w:val="24"/>
          <w:lang w:val="en-US"/>
        </w:rPr>
        <w:t>}</w:t>
      </w:r>
      <w:r w:rsidRPr="008608AA">
        <w:rPr>
          <w:sz w:val="24"/>
          <w:szCs w:val="24"/>
          <w:lang w:val="en-US"/>
        </w:rPr>
        <w:t>. Marine habitats of the North American subregion are more heavily invaded than other subregions, with the Pacific Ocean more invaded than the Atlantic (</w:t>
      </w:r>
      <w:r w:rsidRPr="008608AA">
        <w:rPr>
          <w:i/>
          <w:sz w:val="24"/>
          <w:szCs w:val="24"/>
          <w:lang w:val="en-US"/>
        </w:rPr>
        <w:t>established by incomplete</w:t>
      </w:r>
      <w:r w:rsidRPr="008608AA">
        <w:rPr>
          <w:sz w:val="24"/>
          <w:szCs w:val="24"/>
          <w:lang w:val="en-US"/>
        </w:rPr>
        <w:t xml:space="preserve">) </w:t>
      </w:r>
      <w:r w:rsidR="00902618" w:rsidRPr="008608AA">
        <w:rPr>
          <w:sz w:val="24"/>
          <w:szCs w:val="24"/>
          <w:lang w:val="en-US"/>
        </w:rPr>
        <w:t>{</w:t>
      </w:r>
      <w:r w:rsidRPr="008608AA">
        <w:rPr>
          <w:sz w:val="24"/>
          <w:szCs w:val="24"/>
          <w:lang w:val="en-US"/>
        </w:rPr>
        <w:t>3.2.4.2</w:t>
      </w:r>
      <w:r w:rsidR="00902618" w:rsidRPr="008608AA">
        <w:rPr>
          <w:sz w:val="24"/>
          <w:szCs w:val="24"/>
          <w:lang w:val="en-US"/>
        </w:rPr>
        <w:t>}</w:t>
      </w:r>
      <w:r w:rsidRPr="008608AA">
        <w:rPr>
          <w:sz w:val="24"/>
          <w:szCs w:val="24"/>
          <w:lang w:val="en-US"/>
        </w:rPr>
        <w:t>. For freshwater, t</w:t>
      </w:r>
      <w:r w:rsidRPr="008608AA">
        <w:rPr>
          <w:bCs/>
          <w:sz w:val="24"/>
          <w:szCs w:val="24"/>
          <w:lang w:val="en-US"/>
        </w:rPr>
        <w:t>emperate piscivorous, and carnivorous fish cause negative impacts on the native fish fauna (</w:t>
      </w:r>
      <w:r w:rsidRPr="008608AA">
        <w:rPr>
          <w:bCs/>
          <w:i/>
          <w:sz w:val="24"/>
          <w:szCs w:val="24"/>
          <w:lang w:val="en-US"/>
        </w:rPr>
        <w:t>established but incomplete</w:t>
      </w:r>
      <w:r w:rsidRPr="008608AA">
        <w:rPr>
          <w:bCs/>
          <w:sz w:val="24"/>
          <w:szCs w:val="24"/>
          <w:lang w:val="en-US"/>
        </w:rPr>
        <w:t xml:space="preserve">) </w:t>
      </w:r>
      <w:r w:rsidR="00902618" w:rsidRPr="008608AA">
        <w:rPr>
          <w:bCs/>
          <w:sz w:val="24"/>
          <w:szCs w:val="24"/>
          <w:lang w:val="en-US"/>
        </w:rPr>
        <w:t>{</w:t>
      </w:r>
      <w:r w:rsidRPr="008608AA">
        <w:rPr>
          <w:bCs/>
          <w:sz w:val="24"/>
          <w:szCs w:val="24"/>
          <w:lang w:val="en-US"/>
        </w:rPr>
        <w:t>3.2.3.2</w:t>
      </w:r>
      <w:r w:rsidR="00902618" w:rsidRPr="008608AA">
        <w:rPr>
          <w:bCs/>
          <w:sz w:val="24"/>
          <w:szCs w:val="24"/>
          <w:lang w:val="en-US"/>
        </w:rPr>
        <w:t>}</w:t>
      </w:r>
      <w:r w:rsidRPr="008608AA">
        <w:rPr>
          <w:bCs/>
          <w:sz w:val="24"/>
          <w:szCs w:val="24"/>
          <w:lang w:val="en-US"/>
        </w:rPr>
        <w:t xml:space="preserve">. </w:t>
      </w:r>
      <w:r w:rsidRPr="008608AA">
        <w:rPr>
          <w:sz w:val="24"/>
          <w:szCs w:val="24"/>
          <w:lang w:val="en-US"/>
        </w:rPr>
        <w:t xml:space="preserve">In the Americas, several endangered and threatened species have declined as a result of emerging infectious diseases </w:t>
      </w:r>
      <w:r w:rsidR="00902618" w:rsidRPr="008608AA">
        <w:rPr>
          <w:sz w:val="24"/>
          <w:szCs w:val="24"/>
          <w:lang w:val="en-US"/>
        </w:rPr>
        <w:t>{</w:t>
      </w:r>
      <w:r w:rsidRPr="008608AA">
        <w:rPr>
          <w:sz w:val="24"/>
          <w:szCs w:val="24"/>
          <w:lang w:val="en-US"/>
        </w:rPr>
        <w:t>3.2.6</w:t>
      </w:r>
      <w:r w:rsidR="00902618" w:rsidRPr="008608AA">
        <w:rPr>
          <w:sz w:val="24"/>
          <w:szCs w:val="24"/>
          <w:lang w:val="en-US"/>
        </w:rPr>
        <w:t>}</w:t>
      </w:r>
      <w:r w:rsidRPr="008608AA">
        <w:rPr>
          <w:sz w:val="24"/>
          <w:szCs w:val="24"/>
          <w:lang w:val="en-US"/>
        </w:rPr>
        <w:t xml:space="preserve">. Strongly invasive </w:t>
      </w:r>
      <w:r w:rsidR="00921E03" w:rsidRPr="008608AA">
        <w:rPr>
          <w:sz w:val="24"/>
          <w:szCs w:val="24"/>
          <w:lang w:val="en-US"/>
        </w:rPr>
        <w:t xml:space="preserve">alien </w:t>
      </w:r>
      <w:r w:rsidRPr="008608AA">
        <w:rPr>
          <w:sz w:val="24"/>
          <w:szCs w:val="24"/>
          <w:lang w:val="en-US"/>
        </w:rPr>
        <w:t xml:space="preserve">species can entail significant economic costs for infrastructure </w:t>
      </w:r>
      <w:r w:rsidR="00902618" w:rsidRPr="008608AA">
        <w:rPr>
          <w:sz w:val="24"/>
          <w:szCs w:val="24"/>
          <w:lang w:val="en-US"/>
        </w:rPr>
        <w:t>{</w:t>
      </w:r>
      <w:r w:rsidRPr="008608AA">
        <w:rPr>
          <w:sz w:val="24"/>
          <w:szCs w:val="24"/>
          <w:lang w:val="en-US"/>
        </w:rPr>
        <w:t>3.2.3.2</w:t>
      </w:r>
      <w:r w:rsidR="00902618" w:rsidRPr="008608AA">
        <w:rPr>
          <w:sz w:val="24"/>
          <w:szCs w:val="24"/>
          <w:lang w:val="en-US"/>
        </w:rPr>
        <w:t>}</w:t>
      </w:r>
      <w:r w:rsidRPr="008608AA">
        <w:rPr>
          <w:sz w:val="24"/>
          <w:szCs w:val="24"/>
          <w:lang w:val="en-US"/>
        </w:rPr>
        <w:t>, and significantly lower productivity (</w:t>
      </w:r>
      <w:r w:rsidRPr="008608AA">
        <w:rPr>
          <w:i/>
          <w:sz w:val="24"/>
          <w:szCs w:val="24"/>
          <w:lang w:val="en-US"/>
        </w:rPr>
        <w:t>well established</w:t>
      </w:r>
      <w:r w:rsidRPr="008608AA">
        <w:rPr>
          <w:sz w:val="24"/>
          <w:szCs w:val="24"/>
          <w:lang w:val="en-US"/>
        </w:rPr>
        <w:t xml:space="preserve">) </w:t>
      </w:r>
      <w:r w:rsidR="00902618" w:rsidRPr="008608AA">
        <w:rPr>
          <w:sz w:val="24"/>
          <w:szCs w:val="24"/>
          <w:lang w:val="en-US"/>
        </w:rPr>
        <w:t>{</w:t>
      </w:r>
      <w:r w:rsidRPr="008608AA">
        <w:rPr>
          <w:sz w:val="24"/>
          <w:szCs w:val="24"/>
          <w:lang w:val="en-US"/>
        </w:rPr>
        <w:t>3.2.2.3</w:t>
      </w:r>
      <w:r w:rsidR="00902618" w:rsidRPr="008608AA">
        <w:rPr>
          <w:sz w:val="24"/>
          <w:szCs w:val="24"/>
          <w:lang w:val="en-US"/>
        </w:rPr>
        <w:t>}</w:t>
      </w:r>
      <w:r w:rsidRPr="008608AA">
        <w:rPr>
          <w:sz w:val="24"/>
          <w:szCs w:val="24"/>
          <w:lang w:val="en-US"/>
        </w:rPr>
        <w:t xml:space="preserve">. </w:t>
      </w:r>
    </w:p>
    <w:p w14:paraId="0C7C4013" w14:textId="5B6AB2B1" w:rsidR="008940EF" w:rsidRPr="008608AA" w:rsidRDefault="004255E7" w:rsidP="00B33BD5">
      <w:pPr>
        <w:pStyle w:val="ListParagraph"/>
        <w:numPr>
          <w:ilvl w:val="0"/>
          <w:numId w:val="9"/>
        </w:numPr>
        <w:ind w:left="357" w:hanging="357"/>
        <w:rPr>
          <w:sz w:val="24"/>
          <w:szCs w:val="24"/>
          <w:lang w:val="en-US" w:eastAsia="en-US"/>
        </w:rPr>
      </w:pPr>
      <w:r w:rsidRPr="008608AA">
        <w:rPr>
          <w:b/>
          <w:bCs/>
          <w:sz w:val="24"/>
          <w:szCs w:val="24"/>
          <w:lang w:val="en-US" w:eastAsia="en-US"/>
        </w:rPr>
        <w:t>Overall, species threat level is high in the Americas, but the underlying causes vary among subregions (</w:t>
      </w:r>
      <w:r w:rsidRPr="008608AA">
        <w:rPr>
          <w:b/>
          <w:bCs/>
          <w:i/>
          <w:sz w:val="24"/>
          <w:szCs w:val="24"/>
          <w:lang w:val="en-US" w:eastAsia="en-US"/>
        </w:rPr>
        <w:t>established but incomplete</w:t>
      </w:r>
      <w:r w:rsidRPr="008608AA">
        <w:rPr>
          <w:b/>
          <w:bCs/>
          <w:sz w:val="24"/>
          <w:szCs w:val="24"/>
          <w:lang w:val="en-US" w:eastAsia="en-US"/>
        </w:rPr>
        <w:t xml:space="preserve">). </w:t>
      </w:r>
      <w:r w:rsidRPr="008608AA">
        <w:rPr>
          <w:bCs/>
          <w:sz w:val="24"/>
          <w:szCs w:val="24"/>
          <w:lang w:val="en-US" w:eastAsia="en-US"/>
        </w:rPr>
        <w:t xml:space="preserve">Based on </w:t>
      </w:r>
      <w:r w:rsidRPr="008608AA">
        <w:rPr>
          <w:sz w:val="24"/>
          <w:szCs w:val="24"/>
          <w:lang w:val="en-US" w:eastAsia="en-US"/>
        </w:rPr>
        <w:t>14,000 species assessed that occur in the Americas, close to a quarter of species face extinction risk (</w:t>
      </w:r>
      <w:r w:rsidRPr="008608AA">
        <w:rPr>
          <w:i/>
          <w:sz w:val="24"/>
          <w:szCs w:val="24"/>
          <w:lang w:val="en-US" w:eastAsia="en-US"/>
        </w:rPr>
        <w:t>established but incomplete</w:t>
      </w:r>
      <w:r w:rsidRPr="008608AA">
        <w:rPr>
          <w:sz w:val="24"/>
          <w:szCs w:val="24"/>
          <w:lang w:val="en-US" w:eastAsia="en-US"/>
        </w:rPr>
        <w:t xml:space="preserve">) </w:t>
      </w:r>
      <w:r w:rsidR="00902618" w:rsidRPr="008608AA">
        <w:rPr>
          <w:sz w:val="24"/>
          <w:szCs w:val="24"/>
          <w:lang w:val="en-US" w:eastAsia="en-US"/>
        </w:rPr>
        <w:t>{</w:t>
      </w:r>
      <w:r w:rsidRPr="008608AA">
        <w:rPr>
          <w:sz w:val="24"/>
          <w:szCs w:val="24"/>
          <w:lang w:val="en-US" w:eastAsia="en-US"/>
        </w:rPr>
        <w:t>3.5.1</w:t>
      </w:r>
      <w:r w:rsidR="00902618" w:rsidRPr="008608AA">
        <w:rPr>
          <w:sz w:val="24"/>
          <w:szCs w:val="24"/>
          <w:lang w:val="en-US" w:eastAsia="en-US"/>
        </w:rPr>
        <w:t>}</w:t>
      </w:r>
      <w:r w:rsidRPr="008608AA">
        <w:rPr>
          <w:sz w:val="24"/>
          <w:szCs w:val="24"/>
          <w:lang w:val="en-US" w:eastAsia="en-US"/>
        </w:rPr>
        <w:t>. Aggregate threat risk over the past two decades was highest in South America and the Caribbean (</w:t>
      </w:r>
      <w:r w:rsidRPr="008608AA">
        <w:rPr>
          <w:i/>
          <w:sz w:val="24"/>
          <w:szCs w:val="24"/>
          <w:lang w:val="en-US" w:eastAsia="en-US"/>
        </w:rPr>
        <w:t>well established</w:t>
      </w:r>
      <w:r w:rsidRPr="008608AA">
        <w:rPr>
          <w:sz w:val="24"/>
          <w:szCs w:val="24"/>
          <w:lang w:val="en-US" w:eastAsia="en-US"/>
        </w:rPr>
        <w:t xml:space="preserve">) </w:t>
      </w:r>
      <w:r w:rsidR="00902618" w:rsidRPr="008608AA">
        <w:rPr>
          <w:sz w:val="24"/>
          <w:szCs w:val="24"/>
          <w:lang w:val="en-US" w:eastAsia="en-US"/>
        </w:rPr>
        <w:t>{</w:t>
      </w:r>
      <w:r w:rsidRPr="008608AA">
        <w:rPr>
          <w:sz w:val="24"/>
          <w:szCs w:val="24"/>
          <w:lang w:val="en-US" w:eastAsia="en-US"/>
        </w:rPr>
        <w:t>3.5.1</w:t>
      </w:r>
      <w:r w:rsidR="00902618" w:rsidRPr="008608AA">
        <w:rPr>
          <w:sz w:val="24"/>
          <w:szCs w:val="24"/>
          <w:lang w:val="en-US" w:eastAsia="en-US"/>
        </w:rPr>
        <w:t>}</w:t>
      </w:r>
      <w:r w:rsidRPr="008608AA">
        <w:rPr>
          <w:sz w:val="24"/>
          <w:szCs w:val="24"/>
          <w:lang w:val="en-US" w:eastAsia="en-US"/>
        </w:rPr>
        <w:t>.</w:t>
      </w:r>
      <w:r w:rsidRPr="008608AA">
        <w:rPr>
          <w:sz w:val="24"/>
          <w:szCs w:val="24"/>
          <w:lang w:val="en-US"/>
        </w:rPr>
        <w:t xml:space="preserve"> Since 1989, the number of threatened North American freshw</w:t>
      </w:r>
      <w:r w:rsidR="007256A5" w:rsidRPr="008608AA">
        <w:rPr>
          <w:sz w:val="24"/>
          <w:szCs w:val="24"/>
          <w:lang w:val="en-US"/>
        </w:rPr>
        <w:t>ater fishes has increased by 25 per cent</w:t>
      </w:r>
      <w:r w:rsidRPr="008608AA">
        <w:rPr>
          <w:sz w:val="24"/>
          <w:szCs w:val="24"/>
          <w:lang w:val="en-US"/>
        </w:rPr>
        <w:t xml:space="preserve">, with 7.5 extinct taxa per decade post-1950 </w:t>
      </w:r>
      <w:r w:rsidR="00902618" w:rsidRPr="008608AA">
        <w:rPr>
          <w:sz w:val="24"/>
          <w:szCs w:val="24"/>
          <w:lang w:val="en-US"/>
        </w:rPr>
        <w:t>{</w:t>
      </w:r>
      <w:r w:rsidRPr="008608AA">
        <w:rPr>
          <w:sz w:val="24"/>
          <w:szCs w:val="24"/>
          <w:lang w:val="en-US"/>
        </w:rPr>
        <w:t>3.2.3.1</w:t>
      </w:r>
      <w:r w:rsidR="00902618" w:rsidRPr="008608AA">
        <w:rPr>
          <w:sz w:val="24"/>
          <w:szCs w:val="24"/>
          <w:lang w:val="en-US"/>
        </w:rPr>
        <w:t>}</w:t>
      </w:r>
      <w:r w:rsidRPr="008608AA">
        <w:rPr>
          <w:sz w:val="24"/>
          <w:szCs w:val="24"/>
          <w:lang w:val="en-US"/>
        </w:rPr>
        <w:t xml:space="preserve"> (</w:t>
      </w:r>
      <w:r w:rsidRPr="008608AA">
        <w:rPr>
          <w:i/>
          <w:sz w:val="24"/>
          <w:szCs w:val="24"/>
          <w:lang w:val="en-US"/>
        </w:rPr>
        <w:t>well established</w:t>
      </w:r>
      <w:r w:rsidRPr="008608AA">
        <w:rPr>
          <w:sz w:val="24"/>
          <w:szCs w:val="24"/>
          <w:lang w:val="en-US"/>
        </w:rPr>
        <w:t>). In Central America</w:t>
      </w:r>
      <w:r w:rsidR="007256A5" w:rsidRPr="008608AA">
        <w:rPr>
          <w:sz w:val="24"/>
          <w:szCs w:val="24"/>
          <w:lang w:val="en-US"/>
        </w:rPr>
        <w:t>, 42 per cent</w:t>
      </w:r>
      <w:r w:rsidRPr="008608AA">
        <w:rPr>
          <w:sz w:val="24"/>
          <w:szCs w:val="24"/>
          <w:lang w:val="en-US"/>
        </w:rPr>
        <w:t xml:space="preserve"> of close to 500 known amphibian species have been assessed as threatened (</w:t>
      </w:r>
      <w:r w:rsidRPr="008608AA">
        <w:rPr>
          <w:i/>
          <w:sz w:val="24"/>
          <w:szCs w:val="24"/>
          <w:lang w:val="en-US"/>
        </w:rPr>
        <w:t>well established</w:t>
      </w:r>
      <w:r w:rsidRPr="008608AA">
        <w:rPr>
          <w:sz w:val="24"/>
          <w:szCs w:val="24"/>
          <w:lang w:val="en-US"/>
        </w:rPr>
        <w:t xml:space="preserve">) </w:t>
      </w:r>
      <w:r w:rsidR="00902618" w:rsidRPr="008608AA">
        <w:rPr>
          <w:sz w:val="24"/>
          <w:szCs w:val="24"/>
          <w:lang w:val="en-US"/>
        </w:rPr>
        <w:t>{</w:t>
      </w:r>
      <w:r w:rsidRPr="008608AA">
        <w:rPr>
          <w:sz w:val="24"/>
          <w:szCs w:val="24"/>
          <w:lang w:val="en-US"/>
        </w:rPr>
        <w:t>3.2.3.1</w:t>
      </w:r>
      <w:r w:rsidR="00902618" w:rsidRPr="008608AA">
        <w:rPr>
          <w:sz w:val="24"/>
          <w:szCs w:val="24"/>
          <w:lang w:val="en-US"/>
        </w:rPr>
        <w:t>}</w:t>
      </w:r>
      <w:r w:rsidRPr="008608AA">
        <w:rPr>
          <w:sz w:val="24"/>
          <w:szCs w:val="24"/>
          <w:lang w:val="en-US"/>
        </w:rPr>
        <w:t>. T</w:t>
      </w:r>
      <w:r w:rsidRPr="008608AA">
        <w:rPr>
          <w:sz w:val="24"/>
          <w:szCs w:val="24"/>
          <w:lang w:val="en-US" w:eastAsia="en-US"/>
        </w:rPr>
        <w:t>he International U</w:t>
      </w:r>
      <w:r w:rsidR="007256A5" w:rsidRPr="008608AA">
        <w:rPr>
          <w:sz w:val="24"/>
          <w:szCs w:val="24"/>
          <w:lang w:val="en-US" w:eastAsia="en-US"/>
        </w:rPr>
        <w:t>nion for Conservation of Nature</w:t>
      </w:r>
      <w:r w:rsidRPr="008608AA">
        <w:rPr>
          <w:sz w:val="24"/>
          <w:szCs w:val="24"/>
          <w:lang w:val="en-US" w:eastAsia="en-US"/>
        </w:rPr>
        <w:t xml:space="preserve"> category “Invasive species, other problematic species, genes and diseases” is the main cause for extinction risk in the North American subregion, while the categories “Biological resources use” and “Agriculture and aquaculture” are the most important causes in the Mesoamerican, Caribbean and South American subregions (</w:t>
      </w:r>
      <w:r w:rsidRPr="008608AA">
        <w:rPr>
          <w:i/>
          <w:sz w:val="24"/>
          <w:szCs w:val="24"/>
          <w:lang w:val="en-US" w:eastAsia="en-US"/>
        </w:rPr>
        <w:t>established but incomplete</w:t>
      </w:r>
      <w:r w:rsidRPr="008608AA">
        <w:rPr>
          <w:sz w:val="24"/>
          <w:szCs w:val="24"/>
          <w:lang w:val="en-US" w:eastAsia="en-US"/>
        </w:rPr>
        <w:t xml:space="preserve">) </w:t>
      </w:r>
      <w:r w:rsidR="00902618" w:rsidRPr="008608AA">
        <w:rPr>
          <w:sz w:val="24"/>
          <w:szCs w:val="24"/>
          <w:lang w:val="en-US" w:eastAsia="en-US"/>
        </w:rPr>
        <w:t>{</w:t>
      </w:r>
      <w:r w:rsidRPr="008608AA">
        <w:rPr>
          <w:sz w:val="24"/>
          <w:szCs w:val="24"/>
          <w:lang w:val="en-US" w:eastAsia="en-US"/>
        </w:rPr>
        <w:t>3.5.1</w:t>
      </w:r>
      <w:r w:rsidR="00902618" w:rsidRPr="008608AA">
        <w:rPr>
          <w:sz w:val="24"/>
          <w:szCs w:val="24"/>
          <w:lang w:val="en-US" w:eastAsia="en-US"/>
        </w:rPr>
        <w:t>}</w:t>
      </w:r>
      <w:r w:rsidRPr="008608AA">
        <w:rPr>
          <w:sz w:val="24"/>
          <w:szCs w:val="24"/>
          <w:lang w:val="en-US" w:eastAsia="en-US"/>
        </w:rPr>
        <w:t>.</w:t>
      </w:r>
      <w:r w:rsidRPr="008608AA">
        <w:rPr>
          <w:b/>
          <w:sz w:val="24"/>
          <w:szCs w:val="24"/>
          <w:lang w:val="en-US" w:eastAsia="en-US"/>
        </w:rPr>
        <w:t xml:space="preserve"> </w:t>
      </w:r>
    </w:p>
    <w:p w14:paraId="15B2D5F9" w14:textId="0246BC27" w:rsidR="008940EF" w:rsidRPr="008608AA" w:rsidRDefault="004255E7" w:rsidP="00B33BD5">
      <w:pPr>
        <w:pStyle w:val="ListParagraph"/>
        <w:numPr>
          <w:ilvl w:val="0"/>
          <w:numId w:val="9"/>
        </w:numPr>
        <w:ind w:left="357" w:hanging="357"/>
        <w:rPr>
          <w:sz w:val="24"/>
          <w:szCs w:val="24"/>
          <w:lang w:val="en-US" w:eastAsia="en-US"/>
        </w:rPr>
      </w:pPr>
      <w:r w:rsidRPr="008608AA">
        <w:rPr>
          <w:b/>
          <w:bCs/>
          <w:sz w:val="24"/>
          <w:szCs w:val="24"/>
          <w:lang w:val="en-US"/>
        </w:rPr>
        <w:t>While protection measures in the Americas have increased and diversified over the past 30 years, major differences in protection effort persist between terrestrial and marine ecosystems and among biomes (</w:t>
      </w:r>
      <w:r w:rsidRPr="008608AA">
        <w:rPr>
          <w:b/>
          <w:bCs/>
          <w:i/>
          <w:sz w:val="24"/>
          <w:szCs w:val="24"/>
          <w:lang w:val="en-US"/>
        </w:rPr>
        <w:t>well established</w:t>
      </w:r>
      <w:r w:rsidRPr="008608AA">
        <w:rPr>
          <w:b/>
          <w:bCs/>
          <w:sz w:val="24"/>
          <w:szCs w:val="24"/>
          <w:lang w:val="en-US"/>
        </w:rPr>
        <w:t>).</w:t>
      </w:r>
      <w:r w:rsidRPr="008608AA">
        <w:rPr>
          <w:sz w:val="24"/>
          <w:szCs w:val="24"/>
          <w:lang w:val="en-US"/>
        </w:rPr>
        <w:t xml:space="preserve"> The increase in protection has been no</w:t>
      </w:r>
      <w:r w:rsidR="00C35F17" w:rsidRPr="008608AA">
        <w:rPr>
          <w:sz w:val="24"/>
          <w:szCs w:val="24"/>
          <w:lang w:val="en-US"/>
        </w:rPr>
        <w:t>table in South America where 25 per cent</w:t>
      </w:r>
      <w:r w:rsidRPr="008608AA">
        <w:rPr>
          <w:sz w:val="24"/>
          <w:szCs w:val="24"/>
          <w:lang w:val="en-US"/>
        </w:rPr>
        <w:t xml:space="preserve"> of this subregion is now protected. South America, Mesoamerica, and the Caribbean lag behind North America in terms of marine protection (</w:t>
      </w:r>
      <w:r w:rsidRPr="008608AA">
        <w:rPr>
          <w:i/>
          <w:sz w:val="24"/>
          <w:szCs w:val="24"/>
          <w:lang w:val="en-US"/>
        </w:rPr>
        <w:t>well established</w:t>
      </w:r>
      <w:r w:rsidRPr="008608AA">
        <w:rPr>
          <w:sz w:val="24"/>
          <w:szCs w:val="24"/>
          <w:lang w:val="en-US"/>
        </w:rPr>
        <w:t xml:space="preserve">) </w:t>
      </w:r>
      <w:r w:rsidR="00902618" w:rsidRPr="008608AA">
        <w:rPr>
          <w:sz w:val="24"/>
          <w:szCs w:val="24"/>
          <w:lang w:val="en-US"/>
        </w:rPr>
        <w:t>{</w:t>
      </w:r>
      <w:r w:rsidRPr="008608AA">
        <w:rPr>
          <w:sz w:val="24"/>
          <w:szCs w:val="24"/>
          <w:lang w:val="en-US"/>
        </w:rPr>
        <w:t>3.5.2</w:t>
      </w:r>
      <w:r w:rsidR="00902618" w:rsidRPr="008608AA">
        <w:rPr>
          <w:sz w:val="24"/>
          <w:szCs w:val="24"/>
          <w:lang w:val="en-US"/>
        </w:rPr>
        <w:t>}</w:t>
      </w:r>
      <w:r w:rsidRPr="008608AA">
        <w:rPr>
          <w:sz w:val="24"/>
          <w:szCs w:val="24"/>
          <w:lang w:val="en-US"/>
        </w:rPr>
        <w:t>. Twenty percent of all designat</w:t>
      </w:r>
      <w:r w:rsidR="00BB12D7" w:rsidRPr="008608AA">
        <w:rPr>
          <w:sz w:val="24"/>
          <w:szCs w:val="24"/>
          <w:lang w:val="en-US"/>
        </w:rPr>
        <w:t xml:space="preserve">ed key biodiversity areas </w:t>
      </w:r>
      <w:r w:rsidRPr="008608AA">
        <w:rPr>
          <w:sz w:val="24"/>
          <w:szCs w:val="24"/>
          <w:lang w:val="en-US"/>
        </w:rPr>
        <w:t>globally are found in the Americas (</w:t>
      </w:r>
      <w:r w:rsidRPr="008608AA">
        <w:rPr>
          <w:i/>
          <w:sz w:val="24"/>
          <w:szCs w:val="24"/>
          <w:lang w:val="en-US"/>
        </w:rPr>
        <w:t>well established</w:t>
      </w:r>
      <w:r w:rsidR="00902618" w:rsidRPr="008608AA">
        <w:rPr>
          <w:sz w:val="24"/>
          <w:szCs w:val="24"/>
          <w:lang w:val="en-US"/>
        </w:rPr>
        <w:t>}</w:t>
      </w:r>
      <w:r w:rsidRPr="008608AA">
        <w:rPr>
          <w:sz w:val="24"/>
          <w:szCs w:val="24"/>
          <w:lang w:val="en-US"/>
        </w:rPr>
        <w:t xml:space="preserve"> </w:t>
      </w:r>
      <w:r w:rsidR="00902618" w:rsidRPr="008608AA">
        <w:rPr>
          <w:sz w:val="24"/>
          <w:szCs w:val="24"/>
          <w:lang w:val="en-US"/>
        </w:rPr>
        <w:t>{</w:t>
      </w:r>
      <w:r w:rsidRPr="008608AA">
        <w:rPr>
          <w:sz w:val="24"/>
          <w:szCs w:val="24"/>
          <w:lang w:val="en-US"/>
        </w:rPr>
        <w:t>3.5.2</w:t>
      </w:r>
      <w:r w:rsidR="00902618" w:rsidRPr="008608AA">
        <w:rPr>
          <w:sz w:val="24"/>
          <w:szCs w:val="24"/>
          <w:lang w:val="en-US"/>
        </w:rPr>
        <w:t>}</w:t>
      </w:r>
      <w:r w:rsidRPr="008608AA">
        <w:rPr>
          <w:sz w:val="24"/>
          <w:szCs w:val="24"/>
          <w:lang w:val="en-US"/>
        </w:rPr>
        <w:t xml:space="preserve">, yet, </w:t>
      </w:r>
      <w:r w:rsidR="00C35F17" w:rsidRPr="008608AA">
        <w:rPr>
          <w:rFonts w:eastAsia="Calibri"/>
          <w:sz w:val="24"/>
          <w:szCs w:val="24"/>
          <w:lang w:val="en-US"/>
        </w:rPr>
        <w:t>less than 20 per cent</w:t>
      </w:r>
      <w:r w:rsidRPr="008608AA">
        <w:rPr>
          <w:rFonts w:eastAsia="Calibri"/>
          <w:sz w:val="24"/>
          <w:szCs w:val="24"/>
          <w:lang w:val="en-US"/>
        </w:rPr>
        <w:t xml:space="preserve"> of these are completely covered</w:t>
      </w:r>
      <w:r w:rsidRPr="008608AA">
        <w:rPr>
          <w:sz w:val="24"/>
          <w:szCs w:val="24"/>
          <w:lang w:val="en-US"/>
        </w:rPr>
        <w:t xml:space="preserve"> (</w:t>
      </w:r>
      <w:r w:rsidRPr="008608AA">
        <w:rPr>
          <w:i/>
          <w:sz w:val="24"/>
          <w:szCs w:val="24"/>
          <w:lang w:val="en-US"/>
        </w:rPr>
        <w:t>well established</w:t>
      </w:r>
      <w:r w:rsidRPr="008608AA">
        <w:rPr>
          <w:sz w:val="24"/>
          <w:szCs w:val="24"/>
          <w:lang w:val="en-US"/>
        </w:rPr>
        <w:t>). C</w:t>
      </w:r>
      <w:r w:rsidRPr="008608AA">
        <w:rPr>
          <w:bCs/>
          <w:sz w:val="24"/>
          <w:szCs w:val="24"/>
          <w:lang w:val="en-US"/>
        </w:rPr>
        <w:t>ertain biomes are still poorly protected (</w:t>
      </w:r>
      <w:r w:rsidRPr="008608AA">
        <w:rPr>
          <w:bCs/>
          <w:i/>
          <w:sz w:val="24"/>
          <w:szCs w:val="24"/>
          <w:lang w:val="en-US"/>
        </w:rPr>
        <w:t>well established</w:t>
      </w:r>
      <w:r w:rsidRPr="008608AA">
        <w:rPr>
          <w:bCs/>
          <w:sz w:val="24"/>
          <w:szCs w:val="24"/>
          <w:lang w:val="en-US"/>
        </w:rPr>
        <w:t xml:space="preserve">) </w:t>
      </w:r>
      <w:r w:rsidR="00902618" w:rsidRPr="008608AA">
        <w:rPr>
          <w:sz w:val="24"/>
          <w:szCs w:val="24"/>
          <w:lang w:val="en-US"/>
        </w:rPr>
        <w:t>{</w:t>
      </w:r>
      <w:r w:rsidRPr="008608AA">
        <w:rPr>
          <w:sz w:val="24"/>
          <w:szCs w:val="24"/>
          <w:lang w:val="en-US"/>
        </w:rPr>
        <w:t>3.5.2</w:t>
      </w:r>
      <w:r w:rsidR="00902618" w:rsidRPr="008608AA">
        <w:rPr>
          <w:sz w:val="24"/>
          <w:szCs w:val="24"/>
          <w:lang w:val="en-US"/>
        </w:rPr>
        <w:t>}</w:t>
      </w:r>
      <w:r w:rsidRPr="008608AA">
        <w:rPr>
          <w:bCs/>
          <w:sz w:val="24"/>
          <w:szCs w:val="24"/>
          <w:lang w:val="en-US"/>
        </w:rPr>
        <w:t xml:space="preserve">. </w:t>
      </w:r>
      <w:r w:rsidRPr="008608AA">
        <w:rPr>
          <w:sz w:val="24"/>
          <w:szCs w:val="24"/>
          <w:lang w:val="en-US"/>
        </w:rPr>
        <w:t>Temperate grasslands in general and South American Mediterranean forests</w:t>
      </w:r>
      <w:r w:rsidR="00921E03" w:rsidRPr="008608AA">
        <w:rPr>
          <w:sz w:val="24"/>
          <w:szCs w:val="24"/>
          <w:lang w:val="en-US"/>
        </w:rPr>
        <w:t>, woodlands and scrub</w:t>
      </w:r>
      <w:r w:rsidR="00BB12D7" w:rsidRPr="008608AA">
        <w:rPr>
          <w:sz w:val="24"/>
          <w:szCs w:val="24"/>
          <w:lang w:val="en-US"/>
        </w:rPr>
        <w:t xml:space="preserve"> and d</w:t>
      </w:r>
      <w:r w:rsidRPr="008608AA">
        <w:rPr>
          <w:sz w:val="24"/>
          <w:szCs w:val="24"/>
          <w:lang w:val="en-US"/>
        </w:rPr>
        <w:t xml:space="preserve">rylands are among the least protected biomes </w:t>
      </w:r>
      <w:r w:rsidR="00902618" w:rsidRPr="008608AA">
        <w:rPr>
          <w:sz w:val="24"/>
          <w:szCs w:val="24"/>
          <w:lang w:val="en-US"/>
        </w:rPr>
        <w:t>{</w:t>
      </w:r>
      <w:r w:rsidRPr="008608AA">
        <w:rPr>
          <w:sz w:val="24"/>
          <w:szCs w:val="24"/>
          <w:lang w:val="en-US"/>
        </w:rPr>
        <w:t>3.5.2</w:t>
      </w:r>
      <w:r w:rsidR="00902618" w:rsidRPr="008608AA">
        <w:rPr>
          <w:sz w:val="24"/>
          <w:szCs w:val="24"/>
          <w:lang w:val="en-US"/>
        </w:rPr>
        <w:t>}</w:t>
      </w:r>
      <w:r w:rsidRPr="008608AA">
        <w:rPr>
          <w:sz w:val="24"/>
          <w:szCs w:val="24"/>
          <w:lang w:val="en-US"/>
        </w:rPr>
        <w:t>. Tropical and subtropical savanna and grassland</w:t>
      </w:r>
      <w:r w:rsidR="00BB12D7" w:rsidRPr="008608AA">
        <w:rPr>
          <w:sz w:val="24"/>
          <w:szCs w:val="24"/>
          <w:lang w:val="en-US"/>
        </w:rPr>
        <w:t>s, t</w:t>
      </w:r>
      <w:r w:rsidRPr="008608AA">
        <w:rPr>
          <w:sz w:val="24"/>
          <w:szCs w:val="24"/>
          <w:lang w:val="en-US"/>
        </w:rPr>
        <w:t>ropical an</w:t>
      </w:r>
      <w:r w:rsidR="00BB12D7" w:rsidRPr="008608AA">
        <w:rPr>
          <w:sz w:val="24"/>
          <w:szCs w:val="24"/>
          <w:lang w:val="en-US"/>
        </w:rPr>
        <w:t>d subtropical dry forests, and t</w:t>
      </w:r>
      <w:r w:rsidRPr="008608AA">
        <w:rPr>
          <w:sz w:val="24"/>
          <w:szCs w:val="24"/>
          <w:lang w:val="en-US"/>
        </w:rPr>
        <w:t xml:space="preserve">ropical and subtropical coniferous forests are poorly protected </w:t>
      </w:r>
      <w:r w:rsidR="00902618" w:rsidRPr="008608AA">
        <w:rPr>
          <w:sz w:val="24"/>
          <w:szCs w:val="24"/>
          <w:lang w:val="en-US"/>
        </w:rPr>
        <w:t>{</w:t>
      </w:r>
      <w:r w:rsidRPr="008608AA">
        <w:rPr>
          <w:sz w:val="24"/>
          <w:szCs w:val="24"/>
          <w:lang w:val="en-US"/>
        </w:rPr>
        <w:t>3.5.2</w:t>
      </w:r>
      <w:r w:rsidR="00902618" w:rsidRPr="008608AA">
        <w:rPr>
          <w:sz w:val="24"/>
          <w:szCs w:val="24"/>
          <w:lang w:val="en-US"/>
        </w:rPr>
        <w:t>}</w:t>
      </w:r>
      <w:r w:rsidRPr="008608AA">
        <w:rPr>
          <w:sz w:val="24"/>
          <w:szCs w:val="24"/>
          <w:lang w:val="en-US"/>
        </w:rPr>
        <w:t xml:space="preserve">. </w:t>
      </w:r>
      <w:r w:rsidRPr="008608AA">
        <w:rPr>
          <w:bCs/>
          <w:sz w:val="24"/>
          <w:szCs w:val="24"/>
          <w:lang w:val="en-US"/>
        </w:rPr>
        <w:t xml:space="preserve">Indigenous reserves and private initiatives and are increasingly important </w:t>
      </w:r>
      <w:r w:rsidR="00902618" w:rsidRPr="008608AA">
        <w:rPr>
          <w:sz w:val="24"/>
          <w:szCs w:val="24"/>
          <w:lang w:val="en-US"/>
        </w:rPr>
        <w:t>{</w:t>
      </w:r>
      <w:r w:rsidRPr="008608AA">
        <w:rPr>
          <w:sz w:val="24"/>
          <w:szCs w:val="24"/>
          <w:lang w:val="en-US"/>
        </w:rPr>
        <w:t>3.5.2</w:t>
      </w:r>
      <w:r w:rsidR="00902618" w:rsidRPr="008608AA">
        <w:rPr>
          <w:sz w:val="24"/>
          <w:szCs w:val="24"/>
          <w:lang w:val="en-US"/>
        </w:rPr>
        <w:t>}</w:t>
      </w:r>
      <w:r w:rsidRPr="008608AA">
        <w:rPr>
          <w:sz w:val="24"/>
          <w:szCs w:val="24"/>
          <w:lang w:val="en-US"/>
        </w:rPr>
        <w:t>.</w:t>
      </w:r>
      <w:r w:rsidRPr="008608AA">
        <w:rPr>
          <w:bCs/>
          <w:sz w:val="24"/>
          <w:szCs w:val="24"/>
          <w:lang w:val="en-US"/>
        </w:rPr>
        <w:t xml:space="preserve"> </w:t>
      </w:r>
    </w:p>
    <w:p w14:paraId="08C7665C" w14:textId="60BB220C" w:rsidR="008940EF" w:rsidRPr="008608AA" w:rsidRDefault="004255E7" w:rsidP="00B33BD5">
      <w:pPr>
        <w:pStyle w:val="ListParagraph"/>
        <w:numPr>
          <w:ilvl w:val="0"/>
          <w:numId w:val="9"/>
        </w:numPr>
        <w:ind w:left="357" w:hanging="357"/>
        <w:rPr>
          <w:sz w:val="24"/>
          <w:szCs w:val="24"/>
          <w:lang w:val="en-US" w:eastAsia="en-US"/>
        </w:rPr>
      </w:pPr>
      <w:r w:rsidRPr="008608AA">
        <w:rPr>
          <w:b/>
          <w:sz w:val="24"/>
          <w:szCs w:val="24"/>
          <w:shd w:val="clear" w:color="auto" w:fill="FFFFFF"/>
          <w:lang w:val="en-US"/>
        </w:rPr>
        <w:t xml:space="preserve">Many Aichi targets are unlikely to be </w:t>
      </w:r>
      <w:r w:rsidRPr="008608AA">
        <w:rPr>
          <w:b/>
          <w:color w:val="000000" w:themeColor="text1"/>
          <w:sz w:val="24"/>
          <w:szCs w:val="24"/>
          <w:shd w:val="clear" w:color="auto" w:fill="FFFFFF"/>
          <w:lang w:val="en-US"/>
        </w:rPr>
        <w:t>met in some countries</w:t>
      </w:r>
      <w:r w:rsidRPr="008608AA">
        <w:rPr>
          <w:b/>
          <w:sz w:val="24"/>
          <w:szCs w:val="24"/>
          <w:shd w:val="clear" w:color="auto" w:fill="FFFFFF"/>
          <w:lang w:val="en-US"/>
        </w:rPr>
        <w:t xml:space="preserve"> (</w:t>
      </w:r>
      <w:r w:rsidRPr="008608AA">
        <w:rPr>
          <w:b/>
          <w:i/>
          <w:sz w:val="24"/>
          <w:szCs w:val="24"/>
          <w:shd w:val="clear" w:color="auto" w:fill="FFFFFF"/>
          <w:lang w:val="en-US"/>
        </w:rPr>
        <w:t>established but incomplete</w:t>
      </w:r>
      <w:r w:rsidRPr="008608AA">
        <w:rPr>
          <w:b/>
          <w:sz w:val="24"/>
          <w:szCs w:val="24"/>
          <w:shd w:val="clear" w:color="auto" w:fill="FFFFFF"/>
          <w:lang w:val="en-US"/>
        </w:rPr>
        <w:t>).</w:t>
      </w:r>
      <w:r w:rsidRPr="008608AA">
        <w:rPr>
          <w:sz w:val="24"/>
          <w:szCs w:val="24"/>
          <w:shd w:val="clear" w:color="auto" w:fill="FFFFFF"/>
          <w:lang w:val="en-US"/>
        </w:rPr>
        <w:t xml:space="preserve"> Although the rate of loss of natural habitat has decreased in some biomes, degradation and fragmentation continue </w:t>
      </w:r>
      <w:r w:rsidR="00902618" w:rsidRPr="008608AA">
        <w:rPr>
          <w:sz w:val="24"/>
          <w:szCs w:val="24"/>
          <w:shd w:val="clear" w:color="auto" w:fill="FFFFFF"/>
          <w:lang w:val="en-US"/>
        </w:rPr>
        <w:t>{</w:t>
      </w:r>
      <w:r w:rsidRPr="008608AA">
        <w:rPr>
          <w:sz w:val="24"/>
          <w:szCs w:val="24"/>
          <w:shd w:val="clear" w:color="auto" w:fill="FFFFFF"/>
          <w:lang w:val="en-US"/>
        </w:rPr>
        <w:t>3.4.1.10</w:t>
      </w:r>
      <w:r w:rsidR="00902618" w:rsidRPr="008608AA">
        <w:rPr>
          <w:sz w:val="24"/>
          <w:szCs w:val="24"/>
          <w:shd w:val="clear" w:color="auto" w:fill="FFFFFF"/>
          <w:lang w:val="en-US"/>
        </w:rPr>
        <w:t>}</w:t>
      </w:r>
      <w:r w:rsidRPr="008608AA">
        <w:rPr>
          <w:sz w:val="24"/>
          <w:szCs w:val="24"/>
          <w:shd w:val="clear" w:color="auto" w:fill="FFFFFF"/>
          <w:lang w:val="en-US"/>
        </w:rPr>
        <w:t>, makin</w:t>
      </w:r>
      <w:r w:rsidR="00BB12D7" w:rsidRPr="008608AA">
        <w:rPr>
          <w:sz w:val="24"/>
          <w:szCs w:val="24"/>
          <w:shd w:val="clear" w:color="auto" w:fill="FFFFFF"/>
          <w:lang w:val="en-US"/>
        </w:rPr>
        <w:t>g it unlikely to achieve Aichi t</w:t>
      </w:r>
      <w:r w:rsidRPr="008608AA">
        <w:rPr>
          <w:sz w:val="24"/>
          <w:szCs w:val="24"/>
          <w:shd w:val="clear" w:color="auto" w:fill="FFFFFF"/>
          <w:lang w:val="en-US"/>
        </w:rPr>
        <w:t xml:space="preserve">arget 5. Unsustainable fishing continues </w:t>
      </w:r>
      <w:r w:rsidR="0032208B" w:rsidRPr="008608AA">
        <w:rPr>
          <w:sz w:val="24"/>
          <w:szCs w:val="24"/>
          <w:shd w:val="clear" w:color="auto" w:fill="FFFFFF"/>
          <w:lang w:val="en-US"/>
        </w:rPr>
        <w:t>{</w:t>
      </w:r>
      <w:r w:rsidRPr="008608AA">
        <w:rPr>
          <w:sz w:val="24"/>
          <w:szCs w:val="24"/>
          <w:shd w:val="clear" w:color="auto" w:fill="FFFFFF"/>
          <w:lang w:val="en-US"/>
        </w:rPr>
        <w:t>3.4.2</w:t>
      </w:r>
      <w:r w:rsidR="00902618" w:rsidRPr="008608AA">
        <w:rPr>
          <w:sz w:val="24"/>
          <w:szCs w:val="24"/>
          <w:shd w:val="clear" w:color="auto" w:fill="FFFFFF"/>
          <w:lang w:val="en-US"/>
        </w:rPr>
        <w:t>}</w:t>
      </w:r>
      <w:r w:rsidRPr="008608AA">
        <w:rPr>
          <w:sz w:val="24"/>
          <w:szCs w:val="24"/>
          <w:shd w:val="clear" w:color="auto" w:fill="FFFFFF"/>
          <w:lang w:val="en-US"/>
        </w:rPr>
        <w:t xml:space="preserve"> (Aichi</w:t>
      </w:r>
      <w:r w:rsidR="00BB12D7" w:rsidRPr="008608AA">
        <w:rPr>
          <w:sz w:val="24"/>
          <w:szCs w:val="24"/>
          <w:shd w:val="clear" w:color="auto" w:fill="FFFFFF"/>
          <w:lang w:val="en-US"/>
        </w:rPr>
        <w:t xml:space="preserve"> t</w:t>
      </w:r>
      <w:r w:rsidRPr="008608AA">
        <w:rPr>
          <w:sz w:val="24"/>
          <w:szCs w:val="24"/>
          <w:shd w:val="clear" w:color="auto" w:fill="FFFFFF"/>
          <w:lang w:val="en-US"/>
        </w:rPr>
        <w:t xml:space="preserve">arget 6). Likewise, many intensive agricultural, silvicultural and aquacultural systems do not follow biodiversity-friendly practices </w:t>
      </w:r>
      <w:r w:rsidR="00902618" w:rsidRPr="008608AA">
        <w:rPr>
          <w:sz w:val="24"/>
          <w:szCs w:val="24"/>
          <w:shd w:val="clear" w:color="auto" w:fill="FFFFFF"/>
          <w:lang w:val="en-US"/>
        </w:rPr>
        <w:t>{</w:t>
      </w:r>
      <w:r w:rsidRPr="008608AA">
        <w:rPr>
          <w:sz w:val="24"/>
          <w:szCs w:val="24"/>
          <w:shd w:val="clear" w:color="auto" w:fill="FFFFFF"/>
          <w:lang w:val="en-US"/>
        </w:rPr>
        <w:t>3.3.5</w:t>
      </w:r>
      <w:r w:rsidR="00902618" w:rsidRPr="008608AA">
        <w:rPr>
          <w:sz w:val="24"/>
          <w:szCs w:val="24"/>
          <w:shd w:val="clear" w:color="auto" w:fill="FFFFFF"/>
          <w:lang w:val="en-US"/>
        </w:rPr>
        <w:t>}</w:t>
      </w:r>
      <w:r w:rsidR="00BB12D7" w:rsidRPr="008608AA">
        <w:rPr>
          <w:sz w:val="24"/>
          <w:szCs w:val="24"/>
          <w:shd w:val="clear" w:color="auto" w:fill="FFFFFF"/>
          <w:lang w:val="en-US"/>
        </w:rPr>
        <w:t xml:space="preserve"> (Aichi t</w:t>
      </w:r>
      <w:r w:rsidRPr="008608AA">
        <w:rPr>
          <w:sz w:val="24"/>
          <w:szCs w:val="24"/>
          <w:shd w:val="clear" w:color="auto" w:fill="FFFFFF"/>
          <w:lang w:val="en-US"/>
        </w:rPr>
        <w:t xml:space="preserve">arget 7). Alien and invasive </w:t>
      </w:r>
      <w:r w:rsidR="00921E03" w:rsidRPr="008608AA">
        <w:rPr>
          <w:sz w:val="24"/>
          <w:szCs w:val="24"/>
          <w:shd w:val="clear" w:color="auto" w:fill="FFFFFF"/>
          <w:lang w:val="en-US"/>
        </w:rPr>
        <w:t xml:space="preserve">alien </w:t>
      </w:r>
      <w:r w:rsidRPr="008608AA">
        <w:rPr>
          <w:sz w:val="24"/>
          <w:szCs w:val="24"/>
          <w:shd w:val="clear" w:color="auto" w:fill="FFFFFF"/>
          <w:lang w:val="en-US"/>
        </w:rPr>
        <w:t xml:space="preserve">species are widespread and continue to appear across the Americas </w:t>
      </w:r>
      <w:r w:rsidR="00902618" w:rsidRPr="008608AA">
        <w:rPr>
          <w:sz w:val="24"/>
          <w:szCs w:val="24"/>
          <w:shd w:val="clear" w:color="auto" w:fill="FFFFFF"/>
          <w:lang w:val="en-US"/>
        </w:rPr>
        <w:t>{</w:t>
      </w:r>
      <w:r w:rsidRPr="008608AA">
        <w:rPr>
          <w:sz w:val="24"/>
          <w:szCs w:val="24"/>
          <w:shd w:val="clear" w:color="auto" w:fill="FFFFFF"/>
          <w:lang w:val="en-US"/>
        </w:rPr>
        <w:t>3.2.2.3, 3.2.3.2, 3.2.4.2, 3.4</w:t>
      </w:r>
      <w:r w:rsidR="00902618" w:rsidRPr="008608AA">
        <w:rPr>
          <w:sz w:val="24"/>
          <w:szCs w:val="24"/>
          <w:shd w:val="clear" w:color="auto" w:fill="FFFFFF"/>
          <w:lang w:val="en-US"/>
        </w:rPr>
        <w:t>}</w:t>
      </w:r>
      <w:r w:rsidRPr="008608AA">
        <w:rPr>
          <w:sz w:val="24"/>
          <w:szCs w:val="24"/>
          <w:shd w:val="clear" w:color="auto" w:fill="FFFFFF"/>
          <w:lang w:val="en-US"/>
        </w:rPr>
        <w:t xml:space="preserve"> (Aichi </w:t>
      </w:r>
      <w:r w:rsidR="00847F60" w:rsidRPr="008608AA">
        <w:rPr>
          <w:sz w:val="24"/>
          <w:szCs w:val="24"/>
          <w:shd w:val="clear" w:color="auto" w:fill="FFFFFF"/>
          <w:lang w:val="en-US"/>
        </w:rPr>
        <w:t>target</w:t>
      </w:r>
      <w:r w:rsidRPr="008608AA">
        <w:rPr>
          <w:sz w:val="24"/>
          <w:szCs w:val="24"/>
          <w:shd w:val="clear" w:color="auto" w:fill="FFFFFF"/>
          <w:lang w:val="en-US"/>
        </w:rPr>
        <w:t xml:space="preserve"> 9). Coral bleaching continues in response to coastal pollution and global warming </w:t>
      </w:r>
      <w:r w:rsidR="00902618" w:rsidRPr="008608AA">
        <w:rPr>
          <w:sz w:val="24"/>
          <w:szCs w:val="24"/>
          <w:shd w:val="clear" w:color="auto" w:fill="FFFFFF"/>
          <w:lang w:val="en-US"/>
        </w:rPr>
        <w:t>{</w:t>
      </w:r>
      <w:r w:rsidRPr="008608AA">
        <w:rPr>
          <w:sz w:val="24"/>
          <w:szCs w:val="24"/>
          <w:shd w:val="clear" w:color="auto" w:fill="FFFFFF"/>
          <w:lang w:val="en-US"/>
        </w:rPr>
        <w:t>3.4.2.1</w:t>
      </w:r>
      <w:r w:rsidR="00902618" w:rsidRPr="008608AA">
        <w:rPr>
          <w:sz w:val="24"/>
          <w:szCs w:val="24"/>
          <w:shd w:val="clear" w:color="auto" w:fill="FFFFFF"/>
          <w:lang w:val="en-US"/>
        </w:rPr>
        <w:t>}</w:t>
      </w:r>
      <w:r w:rsidR="00BB12D7" w:rsidRPr="008608AA">
        <w:rPr>
          <w:sz w:val="24"/>
          <w:szCs w:val="24"/>
          <w:shd w:val="clear" w:color="auto" w:fill="FFFFFF"/>
          <w:lang w:val="en-US"/>
        </w:rPr>
        <w:t xml:space="preserve"> (Aichi t</w:t>
      </w:r>
      <w:r w:rsidRPr="008608AA">
        <w:rPr>
          <w:sz w:val="24"/>
          <w:szCs w:val="24"/>
          <w:shd w:val="clear" w:color="auto" w:fill="FFFFFF"/>
          <w:lang w:val="en-US"/>
        </w:rPr>
        <w:t xml:space="preserve">arget 10). Total protected area </w:t>
      </w:r>
      <w:r w:rsidR="00BB12D7" w:rsidRPr="008608AA">
        <w:rPr>
          <w:sz w:val="24"/>
          <w:szCs w:val="24"/>
          <w:shd w:val="clear" w:color="auto" w:fill="FFFFFF"/>
          <w:lang w:val="en-US"/>
        </w:rPr>
        <w:t>coverage for the Americas is 14 per cent, with 18 per cent terrestrial and 9 per cent</w:t>
      </w:r>
      <w:r w:rsidRPr="008608AA">
        <w:rPr>
          <w:sz w:val="24"/>
          <w:szCs w:val="24"/>
          <w:shd w:val="clear" w:color="auto" w:fill="FFFFFF"/>
          <w:lang w:val="en-US"/>
        </w:rPr>
        <w:t xml:space="preserve"> marine, but some biomes remain severely under-protected </w:t>
      </w:r>
      <w:r w:rsidR="00902618" w:rsidRPr="008608AA">
        <w:rPr>
          <w:sz w:val="24"/>
          <w:szCs w:val="24"/>
          <w:shd w:val="clear" w:color="auto" w:fill="FFFFFF"/>
          <w:lang w:val="en-US"/>
        </w:rPr>
        <w:t>{</w:t>
      </w:r>
      <w:r w:rsidRPr="008608AA">
        <w:rPr>
          <w:sz w:val="24"/>
          <w:szCs w:val="24"/>
          <w:shd w:val="clear" w:color="auto" w:fill="FFFFFF"/>
          <w:lang w:val="en-US"/>
        </w:rPr>
        <w:t>3.5.2</w:t>
      </w:r>
      <w:r w:rsidR="00902618" w:rsidRPr="008608AA">
        <w:rPr>
          <w:sz w:val="24"/>
          <w:szCs w:val="24"/>
          <w:shd w:val="clear" w:color="auto" w:fill="FFFFFF"/>
          <w:lang w:val="en-US"/>
        </w:rPr>
        <w:t>}</w:t>
      </w:r>
      <w:r w:rsidRPr="008608AA">
        <w:rPr>
          <w:sz w:val="24"/>
          <w:szCs w:val="24"/>
          <w:shd w:val="clear" w:color="auto" w:fill="FFFFFF"/>
          <w:lang w:val="en-US"/>
        </w:rPr>
        <w:t>. Better biome representa</w:t>
      </w:r>
      <w:r w:rsidR="00BB12D7" w:rsidRPr="008608AA">
        <w:rPr>
          <w:sz w:val="24"/>
          <w:szCs w:val="24"/>
          <w:shd w:val="clear" w:color="auto" w:fill="FFFFFF"/>
          <w:lang w:val="en-US"/>
        </w:rPr>
        <w:t>tion would allow meeting Aichi t</w:t>
      </w:r>
      <w:r w:rsidRPr="008608AA">
        <w:rPr>
          <w:sz w:val="24"/>
          <w:szCs w:val="24"/>
          <w:shd w:val="clear" w:color="auto" w:fill="FFFFFF"/>
          <w:lang w:val="en-US"/>
        </w:rPr>
        <w:t xml:space="preserve">arget 11. Although conservation efforts have improved, overall extinction risk for species has increased in some subregions </w:t>
      </w:r>
      <w:r w:rsidR="00902618" w:rsidRPr="008608AA">
        <w:rPr>
          <w:sz w:val="24"/>
          <w:szCs w:val="24"/>
          <w:shd w:val="clear" w:color="auto" w:fill="FFFFFF"/>
          <w:lang w:val="en-US"/>
        </w:rPr>
        <w:t>{</w:t>
      </w:r>
      <w:r w:rsidRPr="008608AA">
        <w:rPr>
          <w:sz w:val="24"/>
          <w:szCs w:val="24"/>
          <w:shd w:val="clear" w:color="auto" w:fill="FFFFFF"/>
          <w:lang w:val="en-US"/>
        </w:rPr>
        <w:t>3.5.1</w:t>
      </w:r>
      <w:r w:rsidR="00902618" w:rsidRPr="008608AA">
        <w:rPr>
          <w:sz w:val="24"/>
          <w:szCs w:val="24"/>
          <w:shd w:val="clear" w:color="auto" w:fill="FFFFFF"/>
          <w:lang w:val="en-US"/>
        </w:rPr>
        <w:t>}</w:t>
      </w:r>
      <w:r w:rsidR="00BB12D7" w:rsidRPr="008608AA">
        <w:rPr>
          <w:sz w:val="24"/>
          <w:szCs w:val="24"/>
          <w:shd w:val="clear" w:color="auto" w:fill="FFFFFF"/>
          <w:lang w:val="en-US"/>
        </w:rPr>
        <w:t xml:space="preserve"> (Aichi t</w:t>
      </w:r>
      <w:r w:rsidRPr="008608AA">
        <w:rPr>
          <w:sz w:val="24"/>
          <w:szCs w:val="24"/>
          <w:shd w:val="clear" w:color="auto" w:fill="FFFFFF"/>
          <w:lang w:val="en-US"/>
        </w:rPr>
        <w:t xml:space="preserve">arget 12). </w:t>
      </w:r>
    </w:p>
    <w:p w14:paraId="64AE9409" w14:textId="10928068" w:rsidR="00225D9C" w:rsidRPr="008608AA" w:rsidRDefault="004255E7" w:rsidP="00B33BD5">
      <w:pPr>
        <w:pStyle w:val="ListParagraph"/>
        <w:numPr>
          <w:ilvl w:val="0"/>
          <w:numId w:val="9"/>
        </w:numPr>
        <w:ind w:left="357" w:hanging="357"/>
        <w:rPr>
          <w:sz w:val="24"/>
          <w:szCs w:val="24"/>
          <w:lang w:val="en-US"/>
        </w:rPr>
      </w:pPr>
      <w:r w:rsidRPr="008608AA">
        <w:rPr>
          <w:b/>
          <w:bCs/>
          <w:sz w:val="24"/>
          <w:szCs w:val="24"/>
          <w:lang w:val="en-US"/>
        </w:rPr>
        <w:t>Major biodiversity data and knowledge gaps persist across the Americas (</w:t>
      </w:r>
      <w:r w:rsidRPr="008608AA">
        <w:rPr>
          <w:b/>
          <w:bCs/>
          <w:i/>
          <w:sz w:val="24"/>
          <w:szCs w:val="24"/>
          <w:lang w:val="en-US"/>
        </w:rPr>
        <w:t>well established</w:t>
      </w:r>
      <w:r w:rsidRPr="008608AA">
        <w:rPr>
          <w:b/>
          <w:bCs/>
          <w:sz w:val="24"/>
          <w:szCs w:val="24"/>
          <w:lang w:val="en-US"/>
        </w:rPr>
        <w:t xml:space="preserve">). </w:t>
      </w:r>
      <w:r w:rsidRPr="008608AA">
        <w:rPr>
          <w:bCs/>
          <w:sz w:val="24"/>
          <w:szCs w:val="24"/>
          <w:lang w:val="en-US"/>
        </w:rPr>
        <w:t xml:space="preserve">Basic exploration is incomplete, especially in the richest biodiversity areas. </w:t>
      </w:r>
      <w:r w:rsidRPr="008608AA">
        <w:rPr>
          <w:sz w:val="24"/>
          <w:szCs w:val="24"/>
          <w:lang w:val="en-US"/>
        </w:rPr>
        <w:t xml:space="preserve">Brazil contributed the largest number of new plant species to the global inventory from </w:t>
      </w:r>
      <w:r w:rsidR="00BB12D7" w:rsidRPr="008608AA">
        <w:rPr>
          <w:sz w:val="24"/>
          <w:szCs w:val="24"/>
          <w:lang w:val="en-US"/>
        </w:rPr>
        <w:t>2004 to 2016, and 42 per cent</w:t>
      </w:r>
      <w:r w:rsidRPr="008608AA">
        <w:rPr>
          <w:sz w:val="24"/>
          <w:szCs w:val="24"/>
          <w:lang w:val="en-US"/>
        </w:rPr>
        <w:t xml:space="preserve"> of recently described new mammals species worldwide between 1993 and 2008 came from the Americas (</w:t>
      </w:r>
      <w:r w:rsidRPr="008608AA">
        <w:rPr>
          <w:i/>
          <w:sz w:val="24"/>
          <w:szCs w:val="24"/>
          <w:lang w:val="en-US"/>
        </w:rPr>
        <w:t>well established</w:t>
      </w:r>
      <w:r w:rsidRPr="008608AA">
        <w:rPr>
          <w:sz w:val="24"/>
          <w:szCs w:val="24"/>
          <w:lang w:val="en-US"/>
        </w:rPr>
        <w:t xml:space="preserve">) </w:t>
      </w:r>
      <w:r w:rsidR="00902618" w:rsidRPr="008608AA">
        <w:rPr>
          <w:sz w:val="24"/>
          <w:szCs w:val="24"/>
          <w:lang w:val="en-US"/>
        </w:rPr>
        <w:t>{</w:t>
      </w:r>
      <w:r w:rsidRPr="008608AA">
        <w:rPr>
          <w:sz w:val="24"/>
          <w:szCs w:val="24"/>
          <w:lang w:val="en-US"/>
        </w:rPr>
        <w:t>3.6</w:t>
      </w:r>
      <w:r w:rsidR="00902618" w:rsidRPr="008608AA">
        <w:rPr>
          <w:sz w:val="24"/>
          <w:szCs w:val="24"/>
          <w:lang w:val="en-US"/>
        </w:rPr>
        <w:t>}</w:t>
      </w:r>
      <w:r w:rsidRPr="008608AA">
        <w:rPr>
          <w:sz w:val="24"/>
          <w:szCs w:val="24"/>
          <w:lang w:val="en-US"/>
        </w:rPr>
        <w:t>. In South America</w:t>
      </w:r>
      <w:r w:rsidR="00BB12D7" w:rsidRPr="008608AA">
        <w:rPr>
          <w:sz w:val="24"/>
          <w:szCs w:val="24"/>
          <w:lang w:val="en-US"/>
        </w:rPr>
        <w:t xml:space="preserve"> experts predict that around 50 per cent</w:t>
      </w:r>
      <w:r w:rsidRPr="008608AA">
        <w:rPr>
          <w:sz w:val="24"/>
          <w:szCs w:val="24"/>
          <w:lang w:val="en-US"/>
        </w:rPr>
        <w:t xml:space="preserve"> of marine biodiversity remains undiscovered (</w:t>
      </w:r>
      <w:r w:rsidRPr="008608AA">
        <w:rPr>
          <w:i/>
          <w:sz w:val="24"/>
          <w:szCs w:val="24"/>
          <w:lang w:val="en-US"/>
        </w:rPr>
        <w:t>established but incomplete</w:t>
      </w:r>
      <w:r w:rsidRPr="008608AA">
        <w:rPr>
          <w:sz w:val="24"/>
          <w:szCs w:val="24"/>
          <w:lang w:val="en-US"/>
        </w:rPr>
        <w:t xml:space="preserve">) </w:t>
      </w:r>
      <w:r w:rsidR="00902618" w:rsidRPr="008608AA">
        <w:rPr>
          <w:sz w:val="24"/>
          <w:szCs w:val="24"/>
          <w:lang w:val="en-US"/>
        </w:rPr>
        <w:t>{</w:t>
      </w:r>
      <w:r w:rsidRPr="008608AA">
        <w:rPr>
          <w:sz w:val="24"/>
          <w:szCs w:val="24"/>
          <w:lang w:val="en-US"/>
        </w:rPr>
        <w:t>3.6</w:t>
      </w:r>
      <w:r w:rsidR="00902618" w:rsidRPr="008608AA">
        <w:rPr>
          <w:sz w:val="24"/>
          <w:szCs w:val="24"/>
          <w:lang w:val="en-US"/>
        </w:rPr>
        <w:t>}</w:t>
      </w:r>
      <w:r w:rsidRPr="008608AA">
        <w:rPr>
          <w:sz w:val="24"/>
          <w:szCs w:val="24"/>
          <w:lang w:val="en-US"/>
        </w:rPr>
        <w:t>. Research on functional diversity and the relationship between biodiversity and ecosystem functions across taxonomic groups is growing but remains scarce in some subregions. Enormous data gaps persist at the biome level in all subregions. Despite its very high biodiversity</w:t>
      </w:r>
      <w:r w:rsidR="00921E03" w:rsidRPr="008608AA">
        <w:rPr>
          <w:sz w:val="24"/>
          <w:szCs w:val="24"/>
          <w:lang w:val="en-US"/>
        </w:rPr>
        <w:t>,</w:t>
      </w:r>
      <w:r w:rsidRPr="008608AA">
        <w:rPr>
          <w:sz w:val="24"/>
          <w:szCs w:val="24"/>
          <w:lang w:val="en-US"/>
        </w:rPr>
        <w:t xml:space="preserve"> South American houses the fewest georeferenced species occurrence records per unit area, while the highest number is in North America, despite much lower richness </w:t>
      </w:r>
      <w:r w:rsidR="00902618" w:rsidRPr="008608AA">
        <w:rPr>
          <w:sz w:val="24"/>
          <w:szCs w:val="24"/>
          <w:lang w:val="en-US"/>
        </w:rPr>
        <w:t>{</w:t>
      </w:r>
      <w:r w:rsidRPr="008608AA">
        <w:rPr>
          <w:sz w:val="24"/>
          <w:szCs w:val="24"/>
          <w:lang w:val="en-US"/>
        </w:rPr>
        <w:t>3.6</w:t>
      </w:r>
      <w:r w:rsidR="00902618" w:rsidRPr="008608AA">
        <w:rPr>
          <w:sz w:val="24"/>
          <w:szCs w:val="24"/>
          <w:lang w:val="en-US"/>
        </w:rPr>
        <w:t>}</w:t>
      </w:r>
      <w:r w:rsidRPr="008608AA">
        <w:rPr>
          <w:sz w:val="24"/>
          <w:szCs w:val="24"/>
          <w:lang w:val="en-US"/>
        </w:rPr>
        <w:t xml:space="preserve">. Major challenges for the future are: scaling up from ecological studies to the biome level, coordinated conservation efforts in biomes that cross country boundaries, making all biodiversity data available online, and the production of standardized biodiversity data useful for policymakers </w:t>
      </w:r>
      <w:r w:rsidR="00902618" w:rsidRPr="008608AA">
        <w:rPr>
          <w:sz w:val="24"/>
          <w:szCs w:val="24"/>
          <w:lang w:val="en-US"/>
        </w:rPr>
        <w:t>{</w:t>
      </w:r>
      <w:r w:rsidRPr="008608AA">
        <w:rPr>
          <w:sz w:val="24"/>
          <w:szCs w:val="24"/>
          <w:lang w:val="en-US"/>
        </w:rPr>
        <w:t>3.6</w:t>
      </w:r>
      <w:r w:rsidR="00902618" w:rsidRPr="008608AA">
        <w:rPr>
          <w:sz w:val="24"/>
          <w:szCs w:val="24"/>
          <w:lang w:val="en-US"/>
        </w:rPr>
        <w:t>}</w:t>
      </w:r>
      <w:r w:rsidRPr="008608AA">
        <w:rPr>
          <w:sz w:val="24"/>
          <w:szCs w:val="24"/>
          <w:lang w:val="en-US"/>
        </w:rPr>
        <w:t xml:space="preserve">. </w:t>
      </w:r>
    </w:p>
    <w:p w14:paraId="7C2B429E" w14:textId="77777777" w:rsidR="00225D9C" w:rsidRPr="008608AA" w:rsidRDefault="00225D9C">
      <w:r w:rsidRPr="008608AA">
        <w:br w:type="page"/>
      </w:r>
    </w:p>
    <w:p w14:paraId="18721B74" w14:textId="77777777" w:rsidR="004255E7" w:rsidRPr="008608AA" w:rsidRDefault="004255E7" w:rsidP="0039151E">
      <w:pPr>
        <w:pStyle w:val="Heading2"/>
      </w:pPr>
      <w:bookmarkStart w:id="786" w:name="_Toc502927329"/>
      <w:bookmarkStart w:id="787" w:name="_Toc502951158"/>
      <w:bookmarkStart w:id="788" w:name="_Toc502953601"/>
      <w:bookmarkStart w:id="789" w:name="_Toc502954894"/>
      <w:bookmarkStart w:id="790" w:name="_Toc502957701"/>
      <w:bookmarkStart w:id="791" w:name="_Toc502957900"/>
      <w:bookmarkStart w:id="792" w:name="_Toc502958054"/>
      <w:bookmarkStart w:id="793" w:name="_Toc503293102"/>
      <w:bookmarkStart w:id="794" w:name="_Toc503293700"/>
      <w:bookmarkStart w:id="795" w:name="_Toc503293962"/>
      <w:bookmarkStart w:id="796" w:name="_Toc503863355"/>
      <w:bookmarkStart w:id="797" w:name="_Toc503863583"/>
      <w:bookmarkStart w:id="798" w:name="_Toc517393283"/>
      <w:bookmarkStart w:id="799" w:name="_Toc517719024"/>
      <w:bookmarkStart w:id="800" w:name="_Toc517796981"/>
      <w:r w:rsidRPr="008608AA">
        <w:t>Background</w:t>
      </w:r>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p>
    <w:p w14:paraId="6C93E01E" w14:textId="3DB43546" w:rsidR="004255E7" w:rsidRDefault="004255E7" w:rsidP="0039151E">
      <w:pPr>
        <w:pStyle w:val="Heading3"/>
      </w:pPr>
      <w:bookmarkStart w:id="801" w:name="_Toc502927330"/>
      <w:bookmarkStart w:id="802" w:name="_Toc502951159"/>
      <w:bookmarkStart w:id="803" w:name="_Toc502953602"/>
      <w:bookmarkStart w:id="804" w:name="_Toc502954895"/>
      <w:bookmarkStart w:id="805" w:name="_Toc502957702"/>
      <w:bookmarkStart w:id="806" w:name="_Toc502957901"/>
      <w:bookmarkStart w:id="807" w:name="_Toc502958055"/>
      <w:bookmarkStart w:id="808" w:name="_Toc503293103"/>
      <w:bookmarkStart w:id="809" w:name="_Toc503293701"/>
      <w:bookmarkStart w:id="810" w:name="_Toc503293963"/>
      <w:bookmarkStart w:id="811" w:name="_Toc503863356"/>
      <w:bookmarkStart w:id="812" w:name="_Toc503863584"/>
      <w:bookmarkStart w:id="813" w:name="_Toc517393284"/>
      <w:bookmarkStart w:id="814" w:name="_Toc517719025"/>
      <w:bookmarkStart w:id="815" w:name="_Toc517796982"/>
      <w:r w:rsidRPr="008608AA">
        <w:t>Setting the stage</w:t>
      </w:r>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p>
    <w:p w14:paraId="456C83E3" w14:textId="77777777" w:rsidR="00843724" w:rsidRPr="00843724" w:rsidRDefault="00843724" w:rsidP="00843724">
      <w:pPr>
        <w:rPr>
          <w:lang w:val="en-GB" w:eastAsia="es-CO"/>
        </w:rPr>
      </w:pPr>
    </w:p>
    <w:p w14:paraId="0009DAD6" w14:textId="15B30D00" w:rsidR="004255E7" w:rsidRPr="00843724" w:rsidRDefault="004255E7" w:rsidP="004D42ED">
      <w:pPr>
        <w:pStyle w:val="NormalWeb"/>
        <w:rPr>
          <w:lang w:val="en-US"/>
        </w:rPr>
      </w:pPr>
      <w:r w:rsidRPr="00843724">
        <w:rPr>
          <w:lang w:val="en-US"/>
        </w:rPr>
        <w:t xml:space="preserve">The Intergovernmental </w:t>
      </w:r>
      <w:r w:rsidR="00921E03" w:rsidRPr="00843724">
        <w:rPr>
          <w:lang w:val="en-US"/>
        </w:rPr>
        <w:t xml:space="preserve">Science-Policy Platform </w:t>
      </w:r>
      <w:r w:rsidRPr="00843724">
        <w:rPr>
          <w:lang w:val="en-US"/>
        </w:rPr>
        <w:t>on Biodiversity and Ecosystem Services (IPBES)</w:t>
      </w:r>
      <w:r w:rsidRPr="00843724" w:rsidDel="00F44B57">
        <w:rPr>
          <w:lang w:val="en-US"/>
        </w:rPr>
        <w:t xml:space="preserve"> </w:t>
      </w:r>
      <w:r w:rsidRPr="00843724">
        <w:rPr>
          <w:lang w:val="en-US"/>
        </w:rPr>
        <w:t xml:space="preserve">recognizes that humans benefit both consciously and unconsciously from ecosystem functions and biodiversity, through the ecosystem services they are coupled with, referred to as nature’s contributions to people (NCP). </w:t>
      </w:r>
    </w:p>
    <w:p w14:paraId="110687C1" w14:textId="77777777" w:rsidR="004D42ED" w:rsidRPr="00843724" w:rsidRDefault="004D42ED" w:rsidP="004D42ED">
      <w:pPr>
        <w:pStyle w:val="NormalWeb"/>
        <w:rPr>
          <w:lang w:val="en-US"/>
        </w:rPr>
      </w:pPr>
    </w:p>
    <w:p w14:paraId="151CE1A4" w14:textId="42FA3C3A" w:rsidR="004255E7" w:rsidRPr="00360ADC" w:rsidRDefault="004255E7" w:rsidP="004D42ED">
      <w:pPr>
        <w:pStyle w:val="NormalWeb"/>
        <w:rPr>
          <w:lang w:val="en-US"/>
        </w:rPr>
      </w:pPr>
      <w:r w:rsidRPr="00360ADC">
        <w:rPr>
          <w:lang w:val="en-US"/>
        </w:rPr>
        <w:t xml:space="preserve">The biodiversity of the Americas comes from many different marine, freshwater, and terrestrial sources and offers humankind numerous products and services. To protect the enormous potential of this biodiversity to provide NCP, it is critical to understand the geographic distribution of biodiversity as well as how biodiversity, and the ecosystem functions that both depend on and support biodiversity, have been changing over time. </w:t>
      </w:r>
    </w:p>
    <w:p w14:paraId="14E55AA9" w14:textId="77777777" w:rsidR="004D42ED" w:rsidRPr="00360ADC" w:rsidRDefault="004D42ED" w:rsidP="004D42ED">
      <w:pPr>
        <w:pStyle w:val="NormalWeb"/>
        <w:rPr>
          <w:lang w:val="en-US"/>
        </w:rPr>
      </w:pPr>
    </w:p>
    <w:p w14:paraId="10091644" w14:textId="3D68AA2D" w:rsidR="004255E7" w:rsidRPr="00360ADC" w:rsidRDefault="004255E7" w:rsidP="004D42ED">
      <w:pPr>
        <w:pStyle w:val="NormalWeb"/>
        <w:rPr>
          <w:lang w:val="en-US"/>
        </w:rPr>
      </w:pPr>
      <w:r w:rsidRPr="00843724">
        <w:rPr>
          <w:lang w:val="en-US"/>
        </w:rPr>
        <w:t xml:space="preserve">This chapter assesses: (1) our current understanding of the distribution, status and recent trends of ecosystem functions and biodiversity across the Americas; (2) how people interact with biodiversity, highlighting the importance of local and indigenous knowledge; (3) how biodiversity and ecosystem functions vary within and have changed across the units of analysis in each subregion; (4) current understanding of the extent to which biodiversity is imperiled and protected; and (5) major data and knowledge gaps in all of these realms. </w:t>
      </w:r>
      <w:r w:rsidR="0014755F" w:rsidRPr="00360ADC">
        <w:rPr>
          <w:lang w:val="en-US"/>
        </w:rPr>
        <w:t>The chapter focuses on biodiversity and ecosystem function (Figure 3.1) in the context of how they contribute to NCP (Chapter 2) and are impacted by drivers of change (Chapter 4).</w:t>
      </w:r>
    </w:p>
    <w:p w14:paraId="73555337" w14:textId="77777777" w:rsidR="004D42ED" w:rsidRPr="00360ADC" w:rsidRDefault="004D42ED" w:rsidP="004D42ED">
      <w:pPr>
        <w:pStyle w:val="NormalWeb"/>
        <w:rPr>
          <w:lang w:val="en-US"/>
        </w:rPr>
      </w:pPr>
    </w:p>
    <w:p w14:paraId="796EA66A" w14:textId="05E0DF87" w:rsidR="0039151E" w:rsidRPr="008608AA" w:rsidRDefault="00B2242D" w:rsidP="003E65F0">
      <w:r w:rsidRPr="008608AA">
        <w:rPr>
          <w:noProof/>
          <w:lang w:val="en-GB" w:eastAsia="en-GB"/>
        </w:rPr>
        <w:drawing>
          <wp:inline distT="0" distB="0" distL="0" distR="0" wp14:anchorId="0C3F9388" wp14:editId="5A950465">
            <wp:extent cx="5934075" cy="3848100"/>
            <wp:effectExtent l="0" t="0" r="9525" b="0"/>
            <wp:docPr id="252" name="Imagen 252" descr="C:\Users\Alejandro Valderrama\Downloads\Fig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4" descr="C:\Users\Alejandro Valderrama\Downloads\Fig3.1.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b="55011"/>
                    <a:stretch/>
                  </pic:blipFill>
                  <pic:spPr bwMode="auto">
                    <a:xfrm>
                      <a:off x="0" y="0"/>
                      <a:ext cx="5934075" cy="3848100"/>
                    </a:xfrm>
                    <a:prstGeom prst="rect">
                      <a:avLst/>
                    </a:prstGeom>
                    <a:noFill/>
                    <a:ln>
                      <a:noFill/>
                    </a:ln>
                    <a:extLst>
                      <a:ext uri="{53640926-AAD7-44D8-BBD7-CCE9431645EC}">
                        <a14:shadowObscured xmlns:a14="http://schemas.microsoft.com/office/drawing/2010/main"/>
                      </a:ext>
                    </a:extLst>
                  </pic:spPr>
                </pic:pic>
              </a:graphicData>
            </a:graphic>
          </wp:inline>
        </w:drawing>
      </w:r>
    </w:p>
    <w:p w14:paraId="3A6D1F18" w14:textId="77777777" w:rsidR="0039151E" w:rsidRPr="008608AA" w:rsidRDefault="0039151E" w:rsidP="0039151E">
      <w:pPr>
        <w:pStyle w:val="NormalWeb"/>
        <w:spacing w:after="120"/>
        <w:jc w:val="center"/>
        <w:rPr>
          <w:rFonts w:ascii="Times New Roman" w:hAnsi="Times New Roman"/>
          <w:color w:val="000000"/>
          <w:sz w:val="24"/>
          <w:szCs w:val="24"/>
          <w:lang w:val="en-US" w:eastAsia="en-US"/>
        </w:rPr>
      </w:pPr>
    </w:p>
    <w:p w14:paraId="51F240DE" w14:textId="77777777" w:rsidR="004255E7" w:rsidRPr="008608AA" w:rsidRDefault="004255E7" w:rsidP="00C1178A">
      <w:pPr>
        <w:pStyle w:val="Heading3"/>
      </w:pPr>
      <w:bookmarkStart w:id="816" w:name="_Toc502927331"/>
      <w:bookmarkStart w:id="817" w:name="_Toc502951160"/>
      <w:bookmarkStart w:id="818" w:name="_Toc502953603"/>
      <w:bookmarkStart w:id="819" w:name="_Toc502954896"/>
      <w:bookmarkStart w:id="820" w:name="_Toc502957703"/>
      <w:bookmarkStart w:id="821" w:name="_Toc502957902"/>
      <w:bookmarkStart w:id="822" w:name="_Toc502958056"/>
      <w:bookmarkStart w:id="823" w:name="_Toc503293104"/>
      <w:bookmarkStart w:id="824" w:name="_Toc503293702"/>
      <w:bookmarkStart w:id="825" w:name="_Toc503293964"/>
      <w:bookmarkStart w:id="826" w:name="_Toc503863357"/>
      <w:bookmarkStart w:id="827" w:name="_Toc503863585"/>
      <w:bookmarkStart w:id="828" w:name="_Toc517393285"/>
      <w:bookmarkStart w:id="829" w:name="_Toc517719026"/>
      <w:bookmarkStart w:id="830" w:name="_Toc517796983"/>
      <w:r w:rsidRPr="008608AA">
        <w:t>How is biodiversity linked to ecosystem functions and ecosystem services?</w:t>
      </w:r>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p>
    <w:p w14:paraId="55AF6F0C" w14:textId="77777777" w:rsidR="004255E7" w:rsidRPr="008608AA" w:rsidRDefault="004255E7" w:rsidP="0039151E">
      <w:pPr>
        <w:widowControl w:val="0"/>
        <w:autoSpaceDE w:val="0"/>
        <w:autoSpaceDN w:val="0"/>
        <w:adjustRightInd w:val="0"/>
        <w:spacing w:after="120"/>
      </w:pPr>
      <w:r w:rsidRPr="008608AA">
        <w:t xml:space="preserve">Biodiversity loss is known to substantially decrease ecosystem function and stability </w:t>
      </w:r>
      <w:r w:rsidRPr="008608AA">
        <w:fldChar w:fldCharType="begin" w:fldLock="1"/>
      </w:r>
      <w:r w:rsidRPr="008608AA">
        <w:instrText>ADDIN CSL_CITATION { "citationItems" : [ { "id" : "ITEM-1", "itemData" : { "DOI" : "10.3732/ajb.1000364", "ISBN" : "00029122 (ISSN)", "ISSN" : "00029122", "PMID" : "21613148", "abstract" : "Over the past several decades, a rapidly expanding field of research known as biodiversity and ecosystem functioning has begun to quantify how the world's biological diversity can, as an independent variable, control ecological processes that are both essential for, and fundamental to, the functioning of ecosystems. Research in this area has often been justified on grounds that (1) loss of biological diversity ranks among the most pronounced changes to the global environment and that (2) reductions in diversity, and corresponding changes in species composition, could alter important services that ecosystems provide to humanity (e.g., food production, pest/disease control, water purification). Here we review over two decades of experiments that have examined how species richness of primary producers influences the suite of ecological processes that are controlled by plants and algae in terrestrial, marine, and freshwater ecosystems. Using formal meta-analyses, we assess the balance of evidence for eight fundamental questions and corresponding hypotheses about the functional role of producer diversity in ecosystems. These include questions about how primary producer diversity influences the efficiency of resource use and biomass production in ecosystems, how primary producer diversity influences the transfer and recycling of biomass to other trophic groups in a food web, and the number of species and spatial /temporal scales at which diversity effects are most apparent. After summarizing the balance of evidence and stating our own confidence in the conclusions, we outline several new questions that must now be addressed if this field is going to evolve into a predictive science that can help conserve and manage ecological processes in ecosystems.", "author" : [ { "dropping-particle" : "", "family" : "Cardinale", "given" : "Bradley J.", "non-dropping-particle" : "", "parse-names" : false, "suffix" : "" }, { "dropping-particle" : "", "family" : "Matulich", "given" : "Kristin L.", "non-dropping-particle" : "", "parse-names" : false, "suffix" : "" }, { "dropping-particle" : "", "family" : "Hooper", "given" : "David U.", "non-dropping-particle" : "", "parse-names" : false, "suffix" : "" }, { "dropping-particle" : "", "family" : "Byrnes", "given" : "Jarrett E.", "non-dropping-particle" : "", "parse-names" : false, "suffix" : "" }, { "dropping-particle" : "", "family" : "Duffy", "given" : "Emmett", "non-dropping-particle" : "", "parse-names" : false, "suffix" : "" }, { "dropping-particle" : "", "family" : "Gamfeldt", "given" : "Lars", "non-dropping-particle" : "", "parse-names" : false, "suffix" : "" }, { "dropping-particle" : "", "family" : "Balvanera", "given" : "Patricia", "non-dropping-particle" : "", "parse-names" : false, "suffix" : "" }, { "dropping-particle" : "", "family" : "O'Connor", "given" : "Mary I.", "non-dropping-particle" : "", "parse-names" : false, "suffix" : "" }, { "dropping-particle" : "", "family" : "Gonzalez", "given" : "Andrew", "non-dropping-particle" : "", "parse-names" : false, "suffix" : "" } ], "container-title" : "American Journal of Botany", "id" : "ITEM-1", "issued" : { "date-parts" : [ [ "2011" ] ] }, "page" : "572-592", "title" : "The functional role of producer diversity in ecosystems", "type" : "article-journal", "volume" : "98" }, "uris" : [ "http://www.mendeley.com/documents/?uuid=43d11e63-7dc3-392b-8a89-99f1db524ecd" ] }, { "id" : "ITEM-2", "itemData" : { "DOI" : "10.1111/oik.03652", "ISBN" : "0030-1299", "ISSN" : "16000706", "abstract" : "Species diversity aff ects the functioning of ecosystems, including the effi ciency by which communities capture limited resources, produce biomass, recycle and retain biologically essential nutrients. Th ese ecological functions ultimately support the ecosystem services upon which humanity depends. Despite hundreds of experimental tests of the eff ect of biodiversity on ecosystem function (BEF), it remains unclear whether diversity eff ects are suffi ciently general that we can use a single relationship to quantitatively predict how changes in species richness alter an ecosystem function across trophic levels, ecosystems and ecological conditions. Our objective here is to determine whether a general relationship exists between biodiversity and standing biomass. We used hierarchical mixed eff ects models, based on a power function between species richness and biomass production (Y \u03ed a \u03eb S b), and a database of 374 published experiments to estimate the BEF relationship (the change in biomass with the addition of species), and its associated uncertainty, in the context of environmental factors. We found that the mean relationship (b \u03ed 0.26, 95% CI: 0.16, 0.37) characterized the vast majority of observations, was robust to diff erences in experimental design, and was independent of the range of species richness levels considered. However, the richness \u2013 biomass relationship varied by trophic level and among ecosystems; in aquatic systems b was nearly twice as large for consumers (herbivores and detritivores) compared to primary producers; in terrestrial ecosystems, b for detritivores was negative but depended on few studies. We estimated changes in biomass expected for a range of changes in species richness, highlighting that species loss has greater implications than species gains, skewing a distribution of biomass change relative to observed species richness change. When biomass provides a good proxy for processes that underpin ecosystem services, this relationship could be used as a step in modeling the production of ecosystem services and their dependence on biodiversity.", "author" : [ { "dropping-particle" : "", "family" : "O'Connor", "given" : "Mary I", "non-dropping-particle" : "", "parse-names" : false, "suffix" : "" }, { "dropping-particle" : "", "family" : "Gonzalez", "given" : "Andrew", "non-dropping-particle" : "", "parse-names" : false, "suffix" : "" }, { "dropping-particle" : "", "family" : "Byrnes", "given" : "Jarrett E.K.", "non-dropping-particle" : "", "parse-names" : false, "suffix" : "" }, { "dropping-particle" : "", "family" : "Cardinale", "given" : "Bradley J", "non-dropping-particle" : "", "parse-names" : false, "suffix" : "" }, { "dropping-particle" : "", "family" : "Duffy", "given" : "J Emmett", "non-dropping-particle" : "", "parse-names" : false, "suffix" : "" }, { "dropping-particle" : "", "family" : "Gamfeldt", "given" : "Lars", "non-dropping-particle" : "", "parse-names" : false, "suffix" : "" }, { "dropping-particle" : "", "family" : "Griffin", "given" : "John N", "non-dropping-particle" : "", "parse-names" : false, "suffix" : "" }, { "dropping-particle" : "", "family" : "Hooper", "given" : "David", "non-dropping-particle" : "", "parse-names" : false, "suffix" : "" }, { "dropping-particle" : "", "family" : "Hungate", "given" : "Bruce A", "non-dropping-particle" : "", "parse-names" : false, "suffix" : "" }, { "dropping-particle" : "", "family" : "Paquette", "given" : "Alain", "non-dropping-particle" : "", "parse-names" : false, "suffix" : "" }, { "dropping-particle" : "", "family" : "Thompson", "given" : "Patrick L", "non-dropping-particle" : "", "parse-names" : false, "suffix" : "" }, { "dropping-particle" : "", "family" : "Dee", "given" : "Laura E", "non-dropping-particle" : "", "parse-names" : false, "suffix" : "" }, { "dropping-particle" : "", "family" : "Dolan", "given" : "Kristin L", "non-dropping-particle" : "", "parse-names" : false, "suffix" : "" } ], "container-title" : "Oikos", "id" : "ITEM-2", "issue" : "1", "issued" : { "date-parts" : [ [ "2017" ] ] }, "page" : "18-31", "title" : "A general biodiversity\u2013function relationship is mediated by trophic level", "type" : "article-journal", "volume" : "126" }, "uris" : [ "http://www.mendeley.com/documents/?uuid=ca8d9b75-07f3-3e0c-85e2-7e640b4bfbdd" ] } ], "mendeley" : { "formattedCitation" : "(Cardinale et al., 2011; O\u2019Connor et al., 2017)", "plainTextFormattedCitation" : "(Cardinale et al., 2011; O\u2019Connor et al., 2017)", "previouslyFormattedCitation" : "(Cardinale et al., 2011; O\u2019Connor et al., 2017)" }, "properties" : { "noteIndex" : 0 }, "schema" : "https://github.com/citation-style-language/schema/raw/master/csl-citation.json" }</w:instrText>
      </w:r>
      <w:r w:rsidRPr="008608AA">
        <w:fldChar w:fldCharType="separate"/>
      </w:r>
      <w:r w:rsidRPr="008608AA">
        <w:rPr>
          <w:noProof/>
        </w:rPr>
        <w:t>(Cardinale et al., 2011; O’Connor et al., 2017)</w:t>
      </w:r>
      <w:r w:rsidRPr="008608AA">
        <w:fldChar w:fldCharType="end"/>
      </w:r>
      <w:r w:rsidRPr="008608AA">
        <w:t xml:space="preserve">. Consequently, biodiversity loss and ecosystem degradation diminish the ability of humans to benefit from or establish spiritual relationships with other living beings. </w:t>
      </w:r>
    </w:p>
    <w:p w14:paraId="1C8F155D" w14:textId="27C9119C" w:rsidR="0014755F" w:rsidRPr="008608AA" w:rsidRDefault="004255E7" w:rsidP="0039151E">
      <w:pPr>
        <w:widowControl w:val="0"/>
        <w:autoSpaceDE w:val="0"/>
        <w:autoSpaceDN w:val="0"/>
        <w:adjustRightInd w:val="0"/>
        <w:spacing w:after="120"/>
        <w:rPr>
          <w:lang w:val="fr-CA"/>
        </w:rPr>
      </w:pPr>
      <w:r w:rsidRPr="008608AA">
        <w:t xml:space="preserve">The relationships between biodiversity and ecosystem function have been rigorously investigated in numerous experiments </w:t>
      </w:r>
      <w:r w:rsidRPr="008608AA">
        <w:fldChar w:fldCharType="begin" w:fldLock="1"/>
      </w:r>
      <w:r w:rsidRPr="008608AA">
        <w:instrText>ADDIN CSL_CITATION { "citationItems" : [ { "id" : "ITEM-1", "itemData" : { "DOI" : "10.3732/ajb.1000364", "ISBN" : "00029122 (ISSN)", "ISSN" : "00029122", "PMID" : "21613148", "abstract" : "Over the past several decades, a rapidly expanding field of research known as biodiversity and ecosystem functioning has begun to quantify how the world's biological diversity can, as an independent variable, control ecological processes that are both essential for, and fundamental to, the functioning of ecosystems. Research in this area has often been justified on grounds that (1) loss of biological diversity ranks among the most pronounced changes to the global environment and that (2) reductions in diversity, and corresponding changes in species composition, could alter important services that ecosystems provide to humanity (e.g., food production, pest/disease control, water purification). Here we review over two decades of experiments that have examined how species richness of primary producers influences the suite of ecological processes that are controlled by plants and algae in terrestrial, marine, and freshwater ecosystems. Using formal meta-analyses, we assess the balance of evidence for eight fundamental questions and corresponding hypotheses about the functional role of producer diversity in ecosystems. These include questions about how primary producer diversity influences the efficiency of resource use and biomass production in ecosystems, how primary producer diversity influences the transfer and recycling of biomass to other trophic groups in a food web, and the number of species and spatial /temporal scales at which diversity effects are most apparent. After summarizing the balance of evidence and stating our own confidence in the conclusions, we outline several new questions that must now be addressed if this field is going to evolve into a predictive science that can help conserve and manage ecological processes in ecosystems.", "author" : [ { "dropping-particle" : "", "family" : "Cardinale", "given" : "Bradley J.", "non-dropping-particle" : "", "parse-names" : false, "suffix" : "" }, { "dropping-particle" : "", "family" : "Matulich", "given" : "Kristin L.", "non-dropping-particle" : "", "parse-names" : false, "suffix" : "" }, { "dropping-particle" : "", "family" : "Hooper", "given" : "David U.", "non-dropping-particle" : "", "parse-names" : false, "suffix" : "" }, { "dropping-particle" : "", "family" : "Byrnes", "given" : "Jarrett E.", "non-dropping-particle" : "", "parse-names" : false, "suffix" : "" }, { "dropping-particle" : "", "family" : "Duffy", "given" : "Emmett", "non-dropping-particle" : "", "parse-names" : false, "suffix" : "" }, { "dropping-particle" : "", "family" : "Gamfeldt", "given" : "Lars", "non-dropping-particle" : "", "parse-names" : false, "suffix" : "" }, { "dropping-particle" : "", "family" : "Balvanera", "given" : "Patricia", "non-dropping-particle" : "", "parse-names" : false, "suffix" : "" }, { "dropping-particle" : "", "family" : "O'Connor", "given" : "Mary I.", "non-dropping-particle" : "", "parse-names" : false, "suffix" : "" }, { "dropping-particle" : "", "family" : "Gonzalez", "given" : "Andrew", "non-dropping-particle" : "", "parse-names" : false, "suffix" : "" } ], "container-title" : "American Journal of Botany", "id" : "ITEM-1", "issued" : { "date-parts" : [ [ "2011" ] ] }, "page" : "572-592", "title" : "The functional role of producer diversity in ecosystems", "type" : "article-journal", "volume" : "98" }, "uris" : [ "http://www.mendeley.com/documents/?uuid=43d11e63-7dc3-392b-8a89-99f1db524ecd" ] } ], "mendeley" : { "formattedCitation" : "(Cardinale et al., 2011)", "manualFormatting" : "(e.g., Cardinale et al., 2011)", "plainTextFormattedCitation" : "(Cardinale et al., 2011)", "previouslyFormattedCitation" : "(Cardinale et al., 2011)" }, "properties" : { "noteIndex" : 0 }, "schema" : "https://github.com/citation-style-language/schema/raw/master/csl-citation.json" }</w:instrText>
      </w:r>
      <w:r w:rsidRPr="008608AA">
        <w:fldChar w:fldCharType="separate"/>
      </w:r>
      <w:r w:rsidR="000957E0" w:rsidRPr="008608AA">
        <w:rPr>
          <w:noProof/>
        </w:rPr>
        <w:t>(e.g.</w:t>
      </w:r>
      <w:r w:rsidRPr="008608AA">
        <w:rPr>
          <w:noProof/>
        </w:rPr>
        <w:t xml:space="preserve"> Cardinale et al., 2011)</w:t>
      </w:r>
      <w:r w:rsidRPr="008608AA">
        <w:fldChar w:fldCharType="end"/>
      </w:r>
      <w:r w:rsidRPr="008608AA">
        <w:t xml:space="preserve"> and in theoretical </w:t>
      </w:r>
      <w:r w:rsidRPr="008608AA">
        <w:fldChar w:fldCharType="begin" w:fldLock="1"/>
      </w:r>
      <w:r w:rsidRPr="008608AA">
        <w:instrText>ADDIN CSL_CITATION { "citationItems" : [ { "id" : "ITEM-1", "itemData" : { "author" : [ { "dropping-particle" : "", "family" : "Loreau", "given" : "M.", "non-dropping-particle" : "", "parse-names" : false, "suffix" : "" } ], "id" : "ITEM-1", "issued" : { "date-parts" : [ [ "2010" ] ] }, "publisher" : "Princeton University Press", "publisher-place" : "New Jersey, USA", "title" : "From Populations to Ecosystems: Theoretical Foundations for a New Ecological Synthesis", "type" : "book" }, "uris" : [ "http://www.mendeley.com/documents/?uuid=0f6f116a-4b3f-4879-b13d-5ec87f1da979" ] }, { "id" : "ITEM-2", "itemData" : { "ISBN" : "0027-8424", "PMID" : "11038606", "abstract" : "Ecosystem processes are thought to depend on both the number and identity of the species present in an ecosystem, but mathematical theory predicting this has been lacking, Here we present three simple models of interspecific competitive interactions in communities containing various numbers of randomly chosen species, All three models predict that, on average, productivity increases asymptotically with the original biodiversity of a community. The two models that address plant nutrient competition also predict that ecosystem nutrient retention increases with biodiversity and that the effects of biodiversity on productivity and nutrient retention increase with interspecific differences in resource requirements. All three models show that both species identity and biodiversity simultaneously influence ecosystem functioning, but their relative importance varies greatly among the models. This theory reinforces recent experimental results and shows that effects of biodiversity on ecosystem functioning are predicted by well-known ecological processes. Recent studies have shown that several community and ecosystem processes are correlated with species diversity (1\u00e2\u20ac\u201c12), However, recent work, plus early observations by Darwin (20), have left open two major questions: Are effects of biodiversity on ecosystems the logical outcome of fundamental ecological processes, such as interspecific competition for resources, or must deeper explanations be sought? And, what are the potential impacts of the rapid increases in global extinctions (e.g., ref. 21) and of the extreme simplifications of humandominated ecosystems (e.g., ref. 22) on ecosystem functioning? In total, this simple model illustrates a potentially important effect of diversity\u00e2\u20ac\u201dthe sampling effect. All else being equal, greater original diversity increases the chance that species that have a given impact on a community or ecosystem process are present. If interspecific interactions cause such species to become dominant, then, on average, the rate or intensity of this community or ecosystem process will depend on diversity. This model also demonstrates that the effects of diversity are unavoidably the effects of species differences, and that it is possible to distinguish between the effects of the number of species versus their identity. Finally, for this case, the effects of various species combinations explain more of the observed variance in ecosystem performance than does diversity, reinforcing the lo\u2026", "author" : [ { "dropping-particle" : "", "family" : "Tilman", "given" : "David", "non-dropping-particle" : "", "parse-names" : false, "suffix" : "" }, { "dropping-particle" : "", "family" : "Lehman", "given" : "Clarence L.", "non-dropping-particle" : "", "parse-names" : false, "suffix" : "" }, { "dropping-particle" : "", "family" : "Thomson", "given" : "Kendell T.", "non-dropping-particle" : "", "parse-names" : false, "suffix" : "" } ], "container-title" : "PNAS", "id" : "ITEM-2", "issue" : "5", "issued" : { "date-parts" : [ [ "1997" ] ] }, "page" : "1857-1861", "title" : "Plant diversity and ecosystem productivity: theoretical considerations", "type" : "article-journal", "volume" : "94" }, "uris" : [ "http://www.mendeley.com/documents/?uuid=422c5a40-9247-3406-a0a0-edc42db07a3c" ] } ], "mendeley" : { "formattedCitation" : "(M. Loreau, 2010; David Tilman, Lehman, &amp; Thomson, 1997)", "manualFormatting" : "(Loreau, 2010; Tilman et al., 1997)", "plainTextFormattedCitation" : "(M. Loreau, 2010; David Tilman, Lehman, &amp; Thomson, 1997)", "previouslyFormattedCitation" : "(M. Loreau, 2010; David Tilman, Lehman, &amp; Thomson, 1997)" }, "properties" : { "noteIndex" : 0 }, "schema" : "https://github.com/citation-style-language/schema/raw/master/csl-citation.json" }</w:instrText>
      </w:r>
      <w:r w:rsidRPr="008608AA">
        <w:fldChar w:fldCharType="separate"/>
      </w:r>
      <w:r w:rsidRPr="008608AA">
        <w:rPr>
          <w:noProof/>
        </w:rPr>
        <w:t>(Loreau, 2010; Tilman et al., 1997)</w:t>
      </w:r>
      <w:r w:rsidRPr="008608AA">
        <w:fldChar w:fldCharType="end"/>
      </w:r>
      <w:r w:rsidRPr="008608AA">
        <w:t xml:space="preserve"> and observational studies in a wide range of ecosystems, including grasslands </w:t>
      </w:r>
      <w:r w:rsidRPr="008608AA">
        <w:fldChar w:fldCharType="begin" w:fldLock="1"/>
      </w:r>
      <w:r w:rsidRPr="008608AA">
        <w:instrText>ADDIN CSL_CITATION { "citationItems" : [ { "id" : "ITEM-1", "itemData" : { "DOI" : "10.1038/nature13014", "ISBN" : "1476-4687", "ISSN" : "14764687", "PMID" : "24531763", "abstract" : "Studies of experimental grassland communities have demonstrated that plant diversity can stabilize productivity through species asynchrony, in which decreases in the biomass of some species are compensated for by increases in others. However, it remains unknown whether these findings are relevant to natural ecosystems, especially those for which species diversity is threatened by anthropogenic global change. Here we analyse diversity-stability relationships from 41 grasslands on five continents and examine how these relationships are affected by chronic fertilization, one of the strongest drivers of species loss globally. Unmanipulated communities with more species had greater species asynchrony, resulting in more stable biomass production, generalizing a result from biodiversity experiments to real-world grasslands. However, fertilization weakened the positive effect of diversity on stability. Contrary to expectations, this was not due to species loss after eutrophication but rather to an increase in the temporal variation of productivity in combination with a decrease in species asynchrony in diverse communities. Our results demonstrate separate and synergistic effects of diversity and eutrophication on stability, emphasizing the need to understand how drivers of global change interactively affect the reliable provisioning of ecosystem services in real-world systems.", "author" : [ { "dropping-particle" : "", "family" : "Hautier", "given" : "Yann", "non-dropping-particle" : "", "parse-names" : false, "suffix" : "" }, { "dropping-particle" : "", "family" : "Seabloom", "given" : "Eric W.", "non-dropping-particle" : "", "parse-names" : false, "suffix" : "" }, { "dropping-particle" : "", "family" : "Borer", "given" : "Elizabeth T.", "non-dropping-particle" : "", "parse-names" : false, "suffix" : "" }, { "dropping-particle" : "", "family" : "Adler", "given" : "Peter B.", "non-dropping-particle" : "", "parse-names" : false, "suffix" : "" }, { "dropping-particle" : "", "family" : "Harpole", "given" : "W. Stanley", "non-dropping-particle" : "", "parse-names" : false, "suffix" : "" }, { "dropping-particle" : "", "family" : "Hillebrand", "given" : "Helmut", "non-dropping-particle" : "", "parse-names" : false, "suffix" : "" }, { "dropping-particle" : "", "family" : "Lind", "given" : "Eric M.", "non-dropping-particle" : "", "parse-names" : false, "suffix" : "" }, { "dropping-particle" : "", "family" : "MacDougall", "given" : "Andrew S.", "non-dropping-particle" : "", "parse-names" : false, "suffix" : "" }, { "dropping-particle" : "", "family" : "Stevens", "given" : "Carly J.", "non-dropping-particle" : "", "parse-names" : false, "suffix" : "" }, { "dropping-particle" : "", "family" : "Bakker", "given" : "Jonathan D.", "non-dropping-particle" : "", "parse-names" : false, "suffix" : "" }, { "dropping-particle" : "", "family" : "Buckley", "given" : "Yvonne M.", "non-dropping-particle" : "", "parse-names" : false, "suffix" : "" }, { "dropping-particle" : "", "family" : "Chu", "given" : "Chengjin", "non-dropping-particle" : "", "parse-names" : false, "suffix" : "" }, { "dropping-particle" : "", "family" : "Collins", "given" : "Scott L.", "non-dropping-particle" : "", "parse-names" : false, "suffix" : "" }, { "dropping-particle" : "", "family" : "Daleo", "given" : "Pedro", "non-dropping-particle" : "", "parse-names" : false, "suffix" : "" }, { "dropping-particle" : "", "family" : "Damschen", "given" : "Ellen I.", "non-dropping-particle" : "", "parse-names" : false, "suffix" : "" }, { "dropping-particle" : "", "family" : "Davies", "given" : "Kendi F.", "non-dropping-particle" : "", "parse-names" : false, "suffix" : "" }, { "dropping-particle" : "", "family" : "Fay", "given" : "Philip A.", "non-dropping-particle" : "", "parse-names" : false, "suffix" : "" }, { "dropping-particle" : "", "family" : "Firn", "given" : "Jennifer", "non-dropping-particle" : "", "parse-names" : false, "suffix" : "" }, { "dropping-particle" : "", "family" : "Gruner", "given" : "Daniel S.", "non-dropping-particle" : "", "parse-names" : false, "suffix" : "" }, { "dropping-particle" : "", "family" : "Jin", "given" : "Virginia L.", "non-dropping-particle" : "", "parse-names" : false, "suffix" : "" }, { "dropping-particle" : "", "family" : "Klein", "given" : "Julia A.", "non-dropping-particle" : "", "parse-names" : false, "suffix" : "" }, { "dropping-particle" : "", "family" : "Knops", "given" : "Johannes M.H.", "non-dropping-particle" : "", "parse-names" : false, "suffix" : "" }, { "dropping-particle" : "", "family" : "Pierre", "given" : "Kimberly J.", "non-dropping-particle" : "La", "parse-names" : false, "suffix" : "" }, { "dropping-particle" : "", "family" : "Li", "given" : "Wei", "non-dropping-particle" : "", "parse-names" : false, "suffix" : "" }, { "dropping-particle" : "", "family" : "McCulley", "given" : "Rebecca L.", "non-dropping-particle" : "", "parse-names" : false, "suffix" : "" }, { "dropping-particle" : "", "family" : "Melbourne", "given" : "Brett A.", "non-dropping-particle" : "", "parse-names" : false, "suffix" : "" }, { "dropping-particle" : "", "family" : "Moore", "given" : "Joslin L.", "non-dropping-particle" : "", "parse-names" : false, "suffix" : "" }, { "dropping-particle" : "", "family" : "O'Halloran", "given" : "Lydia R.", "non-dropping-particle" : "", "parse-names" : false, "suffix" : "" }, { "dropping-particle" : "", "family" : "Prober", "given" : "Suzanne M.", "non-dropping-particle" : "", "parse-names" : false, "suffix" : "" }, { "dropping-particle" : "", "family" : "Risch", "given" : "Anita C.", "non-dropping-particle" : "", "parse-names" : false, "suffix" : "" }, { "dropping-particle" : "", "family" : "Sankaran", "given" : "Mahesh", "non-dropping-particle" : "", "parse-names" : false, "suffix" : "" }, { "dropping-particle" : "", "family" : "Schuetz", "given" : "Martin", "non-dropping-particle" : "", "parse-names" : false, "suffix" : "" }, { "dropping-particle" : "", "family" : "Hector", "given" : "Andy", "non-dropping-particle" : "", "parse-names" : false, "suffix" : "" } ], "container-title" : "Nature", "id" : "ITEM-1", "issue" : "7497", "issued" : { "date-parts" : [ [ "2014" ] ] }, "page" : "521-525", "title" : "Eutrophication weakens stabilizing effects of diversity in natural grasslands", "type" : "article-journal", "volume" : "508" }, "uris" : [ "http://www.mendeley.com/documents/?uuid=7fc7d1d9-662d-3f97-b77f-756ee64fa698" ] }, { "id" : "ITEM-2", "itemData" : { "DOI" : "10.1038/nature16524", "ISBN" : "9781137332875", "ISSN" : "0028-0836", "PMID" : "21112818", "abstract" : "Nature 529, 390 (2016). doi:10.1038/nature16524", "author" : [ { "dropping-particle" : "", "family" : "Grace", "given" : "James B.", "non-dropping-particle" : "", "parse-names" : false, "suffix" : "" }, { "dropping-particle" : "", "family" : "Anderson", "given" : "T. Michael", "non-dropping-particle" : "", "parse-names" : false, "suffix" : "" }, { "dropping-particle" : "", "family" : "Seabloom", "given" : "Eric W.", "non-dropping-particle" : "", "parse-names" : false, "suffix" : "" }, { "dropping-particle" : "", "family" : "Borer", "given" : "Elizabeth T.", "non-dropping-particle" : "", "parse-names" : false, "suffix" : "" }, { "dropping-particle" : "", "family" : "Adler", "given" : "Peter B.", "non-dropping-particle" : "", "parse-names" : false, "suffix" : "" }, { "dropping-particle" : "", "family" : "Harpole", "given" : "W. Stanley", "non-dropping-particle" : "", "parse-names" : false, "suffix" : "" }, { "dropping-particle" : "", "family" : "Hautier", "given" : "Yann", "non-dropping-particle" : "", "parse-names" : false, "suffix" : "" }, { "dropping-particle" : "", "family" : "Hillebrand", "given" : "Helmut", "non-dropping-particle" : "", "parse-names" : false, "suffix" : "" }, { "dropping-particle" : "", "family" : "Lind", "given" : "Eric M.", "non-dropping-particle" : "", "parse-names" : false, "suffix" : "" }, { "dropping-particle" : "", "family" : "P\u00e4rtel", "given" : "Meelis", "non-dropping-particle" : "", "parse-names" : false, "suffix" : "" }, { "dropping-particle" : "", "family" : "Bakker", "given" : "Jonathan D.", "non-dropping-particle" : "", "parse-names" : false, "suffix" : "" }, { "dropping-particle" : "", "family" : "Buckley", "given" : "Yvonne M.", "non-dropping-particle" : "", "parse-names" : false, "suffix" : "" }, { "dropping-particle" : "", "family" : "Crawley", "given" : "Michael J.", "non-dropping-particle" : "", "parse-names" : false, "suffix" : "" }, { "dropping-particle" : "", "family" : "Damschen", "given" : "Ellen I.", "non-dropping-particle" : "", "parse-names" : false, "suffix" : "" }, { "dropping-particle" : "", "family" : "Davies", "given" : "Kendi F.", "non-dropping-particle" : "", "parse-names" : false, "suffix" : "" }, { "dropping-particle" : "", "family" : "Fay", "given" : "Philip A.", "non-dropping-particle" : "", "parse-names" : false, "suffix" : "" }, { "dropping-particle" : "", "family" : "Firn", "given" : "Jennifer", "non-dropping-particle" : "", "parse-names" : false, "suffix" : "" }, { "dropping-particle" : "", "family" : "Gruner", "given" : "Daniel S.", "non-dropping-particle" : "", "parse-names" : false, "suffix" : "" }, { "dropping-particle" : "", "family" : "Hector", "given" : "Andy", "non-dropping-particle" : "", "parse-names" : false, "suffix" : "" }, { "dropping-particle" : "", "family" : "Knops", "given" : "Johannes M. H.", "non-dropping-particle" : "", "parse-names" : false, "suffix" : "" }, { "dropping-particle" : "", "family" : "MacDougall", "given" : "Andrew S.", "non-dropping-particle" : "", "parse-names" : false, "suffix" : "" }, { "dropping-particle" : "", "family" : "Melbourne", "given" : "Brett A.", "non-dropping-particle" : "", "parse-names" : false, "suffix" : "" }, { "dropping-particle" : "", "family" : "Morgan", "given" : "John W.", "non-dropping-particle" : "", "parse-names" : false, "suffix" : "" }, { "dropping-particle" : "", "family" : "Orrock", "given" : "John L.", "non-dropping-particle" : "", "parse-names" : false, "suffix" : "" }, { "dropping-particle" : "", "family" : "Prober", "given" : "Suzanne M.", "non-dropping-particle" : "", "parse-names" : false, "suffix" : "" }, { "dropping-particle" : "", "family" : "Smith", "given" : "Melinda D.", "non-dropping-particle" : "", "parse-names" : false, "suffix" : "" } ], "container-title" : "Nature", "id" : "ITEM-2", "issue" : "7586", "issued" : { "date-parts" : [ [ "2016" ] ] }, "page" : "390-393", "title" : "Integrative modelling reveals mechanisms linking productivity and plant species richness", "type" : "article-journal", "volume" : "529" }, "uris" : [ "http://www.mendeley.com/documents/?uuid=e226f384-f81d-3b74-887f-a889930fa01e" ] } ], "mendeley" : { "formattedCitation" : "(Grace et al., 2016; Hautier et al., 2014)", "plainTextFormattedCitation" : "(Grace et al., 2016; Hautier et al., 2014)", "previouslyFormattedCitation" : "(Grace et al., 2016; Hautier et al., 2014)" }, "properties" : { "noteIndex" : 0 }, "schema" : "https://github.com/citation-style-language/schema/raw/master/csl-citation.json" }</w:instrText>
      </w:r>
      <w:r w:rsidRPr="008608AA">
        <w:fldChar w:fldCharType="separate"/>
      </w:r>
      <w:r w:rsidRPr="008608AA">
        <w:rPr>
          <w:noProof/>
        </w:rPr>
        <w:t>(Grace et al., 2016; Hautier et al., 2014)</w:t>
      </w:r>
      <w:r w:rsidRPr="008608AA">
        <w:fldChar w:fldCharType="end"/>
      </w:r>
      <w:r w:rsidRPr="008608AA">
        <w:t xml:space="preserve">, forests </w:t>
      </w:r>
      <w:r w:rsidRPr="008608AA">
        <w:fldChar w:fldCharType="begin" w:fldLock="1"/>
      </w:r>
      <w:r w:rsidRPr="008608AA">
        <w:instrText>ADDIN CSL_CITATION { "citationItems" : [ { "id" : "ITEM-1", "itemData" : { "DOI" : "10.1038/ncomms2328", "ISBN" : "2041-1723", "ISSN" : "2041-1723", "PMID" : "23299890", "abstract" : "Forests are of major importance to human society, contributing several crucial ecosystem services. Biodiversity is suggested to positively influence multiple services but evidence from natural systems at scales relevant to management is scarce. Here, across a scale of 400,000 km(2), we report that tree species richness in production forests shows positive to positively hump-shaped relationships with multiple ecosystem services. These include production of tree biomass, soil carbon storage, berry production and game production potential. For example, biomass production was approximately 50% greater with five than with one tree species. In addition, we show positive relationships between tree species richness and proxies for other biodiversity components. Importantly, no single tree species was able to promote all services, and some services were negatively correlated to each other. Management of production forests will therefore benefit from considering multiple tree species to sustain the full range of benefits that the society obtains from forests.", "author" : [ { "dropping-particle" : "", "family" : "Gamfeldt", "given" : "Lars", "non-dropping-particle" : "", "parse-names" : false, "suffix" : "" }, { "dropping-particle" : "", "family" : "Sn\u00e4ll", "given" : "Tord", "non-dropping-particle" : "", "parse-names" : false, "suffix" : "" }, { "dropping-particle" : "", "family" : "Bagchi", "given" : "Robert", "non-dropping-particle" : "", "parse-names" : false, "suffix" : "" }, { "dropping-particle" : "", "family" : "Jonsson", "given" : "Micael", "non-dropping-particle" : "", "parse-names" : false, "suffix" : "" }, { "dropping-particle" : "", "family" : "Gustafsson", "given" : "Lena", "non-dropping-particle" : "", "parse-names" : false, "suffix" : "" }, { "dropping-particle" : "", "family" : "Kjellander", "given" : "Petter", "non-dropping-particle" : "", "parse-names" : false, "suffix" : "" }, { "dropping-particle" : "", "family" : "Ruiz-Jaen", "given" : "Mar\u00eda C", "non-dropping-particle" : "", "parse-names" : false, "suffix" : "" }, { "dropping-particle" : "", "family" : "Fr\u00f6berg", "given" : "Mats", "non-dropping-particle" : "", "parse-names" : false, "suffix" : "" }, { "dropping-particle" : "", "family" : "Stendahl", "given" : "Johan", "non-dropping-particle" : "", "parse-names" : false, "suffix" : "" }, { "dropping-particle" : "", "family" : "Philipson", "given" : "Christopher D.", "non-dropping-particle" : "", "parse-names" : false, "suffix" : "" }, { "dropping-particle" : "", "family" : "Mikusi\u0144ski", "given" : "Grzegorz", "non-dropping-particle" : "", "parse-names" : false, "suffix" : "" }, { "dropping-particle" : "", "family" : "Andersson", "given" : "Erik", "non-dropping-particle" : "", "parse-names" : false, "suffix" : "" }, { "dropping-particle" : "", "family" : "Westerlund", "given" : "Bertil", "non-dropping-particle" : "", "parse-names" : false, "suffix" : "" }, { "dropping-particle" : "", "family" : "Andr\u00e9n", "given" : "Henrik", "non-dropping-particle" : "", "parse-names" : false, "suffix" : "" }, { "dropping-particle" : "", "family" : "Moberg", "given" : "Fredrik", "non-dropping-particle" : "", "parse-names" : false, "suffix" : "" }, { "dropping-particle" : "", "family" : "Moen", "given" : "Jon", "non-dropping-particle" : "", "parse-names" : false, "suffix" : "" }, { "dropping-particle" : "", "family" : "Bengtsson", "given" : "Jan", "non-dropping-particle" : "", "parse-names" : false, "suffix" : "" } ], "container-title" : "Nature Communications", "id" : "ITEM-1", "issued" : { "date-parts" : [ [ "2013" ] ] }, "page" : "1340", "title" : "Higher levels of multiple ecosystem services are found in forests with more tree species", "type" : "article-journal", "volume" : "4" }, "uris" : [ "http://www.mendeley.com/documents/?uuid=7e735f9c-a6e8-31f6-a24b-ab75ef4df9a9" ] }, { "id" : "ITEM-2", "itemData" : { "DOI" : "10.1126/science.aaf8957", "ISBN" : "0036-8075", "ISSN" : "0036-8075", "PMID" : "27738143", "abstract" : "The biodiversity-productivity relationship (BPR) is foundational to our understanding of the global extinction crisis and its impacts on ecosystem functioning. Understanding BPR is critical for the accurate valuation and effective conservation of biodiversity. Using ground-sourced data from 777,126 permanent plots, spanning 44 countries andmost terrestrial biomes,we reveal a globally consistent positive concave-down BPR, showing that continued biodiversity loss would result in an accelerating decline in forest productivityworldwide.The value of biodiversity inmaintaining commercial forest productivity alone\u2014US$166 billion to 490 billion per year according to our estimation\u2014ismore than twice what it would cost to implement effective global conservation.This highlights the need for a worldwide reassessment of biodiversity values, forestmanagement strategies, and conservation priorities.", "author" : [ { "dropping-particle" : "", "family" : "Liang", "given" : "Jingjing", "non-dropping-particle" : "", "parse-names" : false, "suffix" : "" }, { "dropping-particle" : "", "family" : "Crowther", "given" : "Thomas W.", "non-dropping-particle" : "", "parse-names" : false, "suffix" : "" }, { "dropping-particle" : "", "family" : "Picard", "given" : "Nicolas", "non-dropping-particle" : "", "parse-names" : false, "suffix" : "" }, { "dropping-particle" : "", "family" : "Wiser", "given" : "Susan", "non-dropping-particle" : "", "parse-names" : false, "suffix" : "" }, { "dropping-particle" : "", "family" : "Zhou", "given" : "Mo", "non-dropping-particle" : "", "parse-names" : false, "suffix" : "" }, { "dropping-particle" : "", "family" : "Alberti", "given" : "Giorgio", "non-dropping-particle" : "", "parse-names" : false, "suffix" : "" }, { "dropping-particle" : "", "family" : "Schulze", "given" : "E.-D.", "non-dropping-particle" : "", "parse-names" : false, "suffix" : "" }, { "dropping-particle" : "", "family" : "McGuire", "given" : "A. D.", "non-dropping-particle" : "", "parse-names" : false, "suffix" : "" }, { "dropping-particle" : "", "family" : "Bozzato", "given" : "Fabio", "non-dropping-particle" : "", "parse-names" : false, "suffix" : "" }, { "dropping-particle" : "", "family" : "Pretzsch", "given" : "Hans", "non-dropping-particle" : "", "parse-names" : false, "suffix" : "" }, { "dropping-particle" : "", "family" : "De-Miguel", "given" : "S.", "non-dropping-particle" : "", "parse-names" : false, "suffix" : "" }, { "dropping-particle" : "", "family" : "Paquette", "given" : "Alain", "non-dropping-particle" : "", "parse-names" : false, "suffix" : "" }, { "dropping-particle" : "", "family" : "Herault", "given" : "B.", "non-dropping-particle" : "", "parse-names" : false, "suffix" : "" }, { "dropping-particle" : "", "family" : "Scherer-Lorenzen", "given" : "Michael", "non-dropping-particle" : "", "parse-names" : false, "suffix" : "" }, { "dropping-particle" : "", "family" : "Barrett", "given" : "Christopher B.", "non-dropping-particle" : "", "parse-names" : false, "suffix" : "" }, { "dropping-particle" : "", "family" : "Glick", "given" : "Henry B.", "non-dropping-particle" : "", "parse-names" : false, "suffix" : "" }, { "dropping-particle" : "", "family" : "Hengeveld", "given" : "Geerten M.", "non-dropping-particle" : "", "parse-names" : false, "suffix" : "" }, { "dropping-particle" : "", "family" : "Nabuurs", "given" : "G.-J.", "non-dropping-particle" : "", "parse-names" : false, "suffix" : "" }, { "dropping-particle" : "", "family" : "Pfautsch", "given" : "Sebastian", "non-dropping-particle" : "", "parse-names" : false, "suffix" : "" }, { "dropping-particle" : "", "family" : "Viana", "given" : "Helder", "non-dropping-particle" : "", "parse-names" : false, "suffix" : "" }, { "dropping-particle" : "", "family" : "Vibrans", "given" : "Alexander C.", "non-dropping-particle" : "", "parse-names" : false, "suffix" : "" }, { "dropping-particle" : "", "family" : "Ammer", "given" : "Christian", "non-dropping-particle" : "", "parse-names" : false, "suffix" : "" }, { "dropping-particle" : "", "family" : "Schall", "given" : "Peter", "non-dropping-particle" : "", "parse-names" : false, "suffix" : "" }, { "dropping-particle" : "", "family" : "Verbyla", "given" : "David", "non-dropping-particle" : "", "parse-names" : false, "suffix" : "" }, { "dropping-particle" : "", "family" : "Tchebakova", "given" : "Nadja", "non-dropping-particle" : "", "parse-names" : false, "suffix" : "" }, { "dropping-particle" : "", "family" : "Fischer", "given" : "Markus", "non-dropping-particle" : "", "parse-names" : false, "suffix" : "" }, { "dropping-particle" : "V.", "family" : "Watson", "given" : "James", "non-dropping-particle" : "", "parse-names" : false, "suffix" : "" }, { "dropping-particle" : "", "family" : "Chen", "given" : "H. Y. H.", "non-dropping-particle" : "", "parse-names" : false, "suffix" : "" }, { "dropping-particle" : "", "family" : "Lei", "given" : "Xiangdong", "non-dropping-particle" : "", "parse-names" : false, "suffix" : "" }, { "dropping-particle" : "", "family" : "Schelhaas", "given" : "M.-J.", "non-dropping-particle" : "", "parse-names" : false, "suffix" : "" }, { "dropping-particle" : "", "family" : "Lu", "given" : "Huicui", "non-dropping-particle" : "", "parse-names" : false, "suffix" : "" }, { "dropping-particle" : "", "family" : "Gianelle", "given" : "Damiano", "non-dropping-particle" : "", "parse-names" : false, "suffix" : "" }, { "dropping-particle" : "", "family" : "Parfenova", "given" : "Elena I.", "non-dropping-particle" : "", "parse-names" : false, "suffix" : "" }, { "dropping-particle" : "", "family" : "Salas", "given" : "Christian", "non-dropping-particle" : "", "parse-names" : false, "suffix" : "" }, { "dropping-particle" : "", "family" : "Lee", "given" : "E.", "non-dropping-particle" : "", "parse-names" : false, "suffix" : "" }, { "dropping-particle" : "", "family" : "Lee", "given" : "Boknam", "non-dropping-particle" : "", "parse-names" : false, "suffix" : "" }, { "dropping-particle" : "", "family" : "Kim", "given" : "Hyun Seok", "non-dropping-particle" : "", "parse-names" : false, "suffix" : "" }, { "dropping-particle" : "", "family" : "Bruelheide", "given" : "Helge", "non-dropping-particle" : "", "parse-names" : false, "suffix" : "" }, { "dropping-particle" : "", "family" : "Coomes", "given" : "David A.", "non-dropping-particle" : "", "parse-names" : false, "suffix" : "" }, { "dropping-particle" : "", "family" : "Piotto", "given" : "Daniel", "non-dropping-particle" : "", "parse-names" : false, "suffix" : "" }, { "dropping-particle" : "", "family" : "Sunderland", "given" : "Terry", "non-dropping-particle" : "", "parse-names" : false, "suffix" : "" }, { "dropping-particle" : "", "family" : "Schmid", "given" : "Bernhard", "non-dropping-particle" : "", "parse-names" : false, "suffix" : "" }, { "dropping-particle" : "", "family" : "Gourlet-Fleury", "given" : "Sylvie", "non-dropping-particle" : "", "parse-names" : false, "suffix" : "" }, { "dropping-particle" : "", "family" : "Sonke", "given" : "B.", "non-dropping-particle" : "", "parse-names" : false, "suffix" : "" }, { "dropping-particle" : "", "family" : "Tavani", "given" : "Rebecca", "non-dropping-particle" : "", "parse-names" : false, "suffix" : "" }, { "dropping-particle" : "", "family" : "Zhu", "given" : "Jun", "non-dropping-particle" : "", "parse-names" : false, "suffix" : "" }, { "dropping-particle" : "", "family" : "Brandl", "given" : "Susanne", "non-dropping-particle" : "", "parse-names" : false, "suffix" : "" }, { "dropping-particle" : "", "family" : "Vayreda", "given" : "Jordi", "non-dropping-particle" : "", "parse-names" : false, "suffix" : "" }, { "dropping-particle" : "", "family" : "Kitahara", "given" : "Fumiaki", "non-dropping-particle" : "", "parse-names" : false, "suffix" : "" }, { "dropping-particle" : "", "family" : "Searle", "given" : "Eric B.", "non-dropping-particle" : "", "parse-names" : false, "suffix" : "" }, { "dropping-particle" : "", "family" : "Neldner", "given" : "Victor J.", "non-dropping-particle" : "", "parse-names" : false, "suffix" : "" }, { "dropping-particle" : "", "family" : "Ngugi", "given" : "Michael R.", "non-dropping-particle" : "", "parse-names" : false, "suffix" : "" }, { "dropping-particle" : "", "family" : "Baraloto", "given" : "Christopher", "non-dropping-particle" : "", "parse-names" : false, "suffix" : "" }, { "dropping-particle" : "", "family" : "Frizzera", "given" : "Lorenzo", "non-dropping-particle" : "", "parse-names" : false, "suffix" : "" }, { "dropping-particle" : "", "family" : "Ba azy", "given" : "R.", "non-dropping-particle" : "", "parse-names" : false, "suffix" : "" }, { "dropping-particle" : "", "family" : "Oleksyn", "given" : "Jacek", "non-dropping-particle" : "", "parse-names" : false, "suffix" : "" }, { "dropping-particle" : "", "family" : "Zawi a-Nied wiecki", "given" : "T.", "non-dropping-particle" : "", "parse-names" : false, "suffix" : "" }, { "dropping-particle" : "", "family" : "Bouriaud", "given" : "Olivier", "non-dropping-particle" : "", "parse-names" : false, "suffix" : "" }, { "dropping-particle" : "", "family" : "Bussotti", "given" : "Filippo", "non-dropping-particle" : "", "parse-names" : false, "suffix" : "" }, { "dropping-particle" : "", "family" : "Finer", "given" : "L.", "non-dropping-particle" : "", "parse-names" : false, "suffix" : "" }, { "dropping-particle" : "", "family" : "Jaroszewicz", "given" : "Bogdan", "non-dropping-particle" : "", "parse-names" : false, "suffix" : "" }, { "dropping-particle" : "", "family" : "Jucker", "given" : "Tommaso", "non-dropping-particle" : "", "parse-names" : false, "suffix" : "" }, { "dropping-particle" : "", "family" : "Valladares", "given" : "Fernando", "non-dropping-particle" : "", "parse-names" : false, "suffix" : "" }, { "dropping-particle" : "", "family" : "Jagodzinski", "given" : "Andrzej M.", "non-dropping-particle" : "", "parse-names" : false, "suffix" : "" }, { "dropping-particle" : "", "family" : "Peri", "given" : "Pablo L.", "non-dropping-particle" : "", "parse-names" : false, "suffix" : "" }, { "dropping-particle" : "", "family" : "Gonmadje", "given" : "Christelle", "non-dropping-particle" : "", "parse-names" : false, "suffix" : "" }, { "dropping-particle" : "", "family" : "Marthy", "given" : "William", "non-dropping-particle" : "", "parse-names" : false, "suffix" : "" }, { "dropping-particle" : "", "family" : "OBrien", "given" : "T.", "non-dropping-particle" : "", "parse-names" : false, "suffix" : "" }, { "dropping-particle" : "", "family" : "Martin", "given" : "Emanuel H.", "non-dropping-particle" : "", "parse-names" : false, "suffix" : "" }, { "dropping-particle" : "", "family" : "Marshall", "given" : "A. R.", "non-dropping-particle" : "", "parse-names" : false, "suffix" : "" }, { "dropping-particle" : "", "family" : "Rovero", "given" : "Francesco", "non-dropping-particle" : "", "parse-names" : false, "suffix" : "" }, { "dropping-particle" : "", "family" : "Bitariho", "given" : "Robert", "non-dropping-particle" : "", "parse-names" : false, "suffix" : "" }, { "dropping-particle" : "", "family" : "Niklaus", "given" : "Pascal A.", "non-dropping-particle" : "", "parse-names" : false, "suffix" : "" }, { "dropping-particle" : "", "family" : "Alvarez-Loayza", "given" : "Patricia", "non-dropping-particle" : "", "parse-names" : false, "suffix" : "" }, { "dropping-particle" : "", "family" : "Chamuya", "given" : "Nurdin", "non-dropping-particle" : "", "parse-names" : false, "suffix" : "" }, { "dropping-particle" : "", "family" : "Valencia", "given" : "Renato", "non-dropping-particle" : "", "parse-names" : false, "suffix" : "" }, { "dropping-particle" : "", "family" : "Mortier", "given" : "Fr\u00e9d\u00e9ric", "non-dropping-particle" : "", "parse-names" : false, "suffix" : "" }, { "dropping-particle" : "", "family" : "Wortel", "given" : "Verginia", "non-dropping-particle" : "", "parse-names" : false, "suffix" : "" }, { "dropping-particle" : "", "family" : "Engone-Obiang", "given" : "Nestor L.", "non-dropping-particle" : "", "parse-names" : false, "suffix" : "" }, { "dropping-particle" : "V.", "family" : "Ferreira", "given" : "Leandro", "non-dropping-particle" : "", "parse-names" : false, "suffix" : "" }, { "dropping-particle" : "", "family" : "Odeke", "given" : "David E.", "non-dropping-particle" : "", "parse-names" : false, "suffix" : "" }, { "dropping-particle" : "", "family" : "Vasquez", "given" : "Rodolfo M.", "non-dropping-particle" : "", "parse-names" : false, "suffix" : "" }, { "dropping-particle" : "", "family" : "Lewis", "given" : "S. L.", "non-dropping-particle" : "", "parse-names" : false, "suffix" : "" }, { "dropping-particle" : "", "family" : "Reich", "given" : "Peter B.", "non-dropping-particle" : "", "parse-names" : false, "suffix" : "" } ], "container-title" : "Science", "id" : "ITEM-2", "issue" : "6309", "issued" : { "date-parts" : [ [ "2016" ] ] }, "page" : "aaf8957", "title" : "Positive biodiversity-productivity relationship predominant in global forests", "type" : "article-journal", "volume" : "354" }, "uris" : [ "http://www.mendeley.com/documents/?uuid=e8d7c716-8107-33d7-9853-b7f5645aaba7" ] }, { "id" : "ITEM-3", "itemData" : { "DOI" : "10.1111/j.1466-8238.2010.00592.x", "ISBN" : "1466-822X", "ISSN" : "1466822X", "PMID" : "20033045113", "abstract" : "Aim An important issue regarding biodiversity concerns its influence on ecosystem functioning. Experimental work has led to the proposal of mechanisms such as niche complementarity. However, few attempts have been made to confirm these in natural systems, especially in forests. Furthermore, one of the most interesting unresolved questions is whether the effects of complementarity on ecosystem functioning (EF) decrease in favour of competitive exclusions over an increasing productivity gradient. Using records from permanent forest plots, we asked the following questions. (1) Is tree productivity positively related to diversity? (2) Does the effect of diversity increase in less productive forests? (3) What metric of diversity (e.g. functional or phylogenetic diversity) better relates to tree productivity?Location Temperate, mixed and boreal forests of eastern Canada.Methods Over 12,000 permanent forest plots, from temperate to boreal forests, were used to test our hypotheses in two steps. (1) Stepwise regressions were used to identify the best explanatory variables for tree productivity. (2) The selected climatic and environmental variables, as well as density and biodiversity indices, were included in a structural equation model where links (paths) between covarying variables are made explicit, making structural equation modelling the best tool to explore such complicated causal networks.Results This is the first large-scale demonstration of a strong, positive and significant effect of biodiversity on tree productivity with control for climatic and environmental conditions. Important differences were noted between the two forest biomes investigated.Main conclusions We show for the first time that complementarity may be less important in temperate forests growing in a more stable and productive environment where competitive exclusion is the most probable outcome of species interactions, whereas in the more stressful environment of boreal forests, beneficial interactions between species may be more important. The present work is also a framework for the analysis of large datasets in biodiversity\u2013ecosystem functioning (B-EF) research.", "author" : [ { "dropping-particle" : "", "family" : "Paquette", "given" : "Alain", "non-dropping-particle" : "", "parse-names" : false, "suffix" : "" }, { "dropping-particle" : "", "family" : "Messier", "given" : "Christian", "non-dropping-particle" : "", "parse-names" : false, "suffix" : "" } ], "container-title" : "Global Ecology and Biogeography", "id" : "ITEM-3", "issue" : "1", "issued" : { "date-parts" : [ [ "2011" ] ] }, "page" : "170-180", "title" : "The effect of biodiversity on tree productivity: from temperate to boreal forests", "type" : "article-journal", "volume" : "20" }, "uris" : [ "http://www.mendeley.com/documents/?uuid=d9b35f2b-b73f-3a87-b469-921b3b3516f7" ] } ], "mendeley" : { "formattedCitation" : "(Gamfeldt et al., 2013; Liang et al., 2016; Paquette &amp; Messier, 2011)", "manualFormatting" : "(Gamfeldt et al., 2013; Liang et al., 2016; Paquette &amp; Messier, 2011)", "plainTextFormattedCitation" : "(Gamfeldt et al., 2013; Liang et al., 2016; Paquette &amp; Messier, 2011)", "previouslyFormattedCitation" : "(Gamfeldt et al., 2013; Liang et al., 2016; Paquette &amp; Messier, 2011)" }, "properties" : { "noteIndex" : 0 }, "schema" : "https://github.com/citation-style-language/schema/raw/master/csl-citation.json" }</w:instrText>
      </w:r>
      <w:r w:rsidRPr="008608AA">
        <w:fldChar w:fldCharType="separate"/>
      </w:r>
      <w:r w:rsidRPr="008608AA">
        <w:rPr>
          <w:noProof/>
        </w:rPr>
        <w:t>(Gamfeldt et al., 2013; Liang et al., 2016; Paquette &amp; Messier, 2011)</w:t>
      </w:r>
      <w:r w:rsidRPr="008608AA">
        <w:fldChar w:fldCharType="end"/>
      </w:r>
      <w:r w:rsidRPr="008608AA">
        <w:t xml:space="preserve">, drylands </w:t>
      </w:r>
      <w:r w:rsidRPr="008608AA">
        <w:fldChar w:fldCharType="begin" w:fldLock="1"/>
      </w:r>
      <w:r w:rsidRPr="008608AA">
        <w:instrText>ADDIN CSL_CITATION { "citationItems" : [ { "id" : "ITEM-1", "itemData" : { "DOI" : "10.1126/science.1215442", "ISBN" : "1095-9203 (Electronic)\\r0036-8075 (Linking)", "ISSN" : "0036-8075", "PMID" : "22246775", "abstract" : "Experiments suggest that biodiversity enhances the ability of ecosystems to maintain multiple functions, such as carbon storage, productivity, and the buildup of nutrient pools (multifunctionality). However, the relationship between biodiversity and multifunctionality has never been assessed globally in natural ecosystems. We report here on a global empirical study relating plant species richness and abiotic factors to multifunctionality in drylands, which collectively cover 41% of Earth\u2019s land surface and support over 38% of the human population. Multifunctionality was positively and significantly related to species richness. The best-fitting models accounted for over 55% of the variation in multifunctionality and always included species richness as a predictor variable. Our results suggest that the preservation of plant biodiversity is crucial to buffer negative effects of climate change and desertification in drylands.", "author" : [ { "dropping-particle" : "", "family" : "Maestre", "given" : "Fernando T", "non-dropping-particle" : "", "parse-names" : false, "suffix" : "" }, { "dropping-particle" : "", "family" : "Quero", "given" : "Jos\u00e9 L", "non-dropping-particle" : "", "parse-names" : false, "suffix" : "" }, { "dropping-particle" : "", "family" : "Gotelli", "given" : "Nicholas J", "non-dropping-particle" : "", "parse-names" : false, "suffix" : "" }, { "dropping-particle" : "", "family" : "Escudero", "given" : "Adri\u00e1n", "non-dropping-particle" : "", "parse-names" : false, "suffix" : "" }, { "dropping-particle" : "", "family" : "Ochoa", "given" : "Victoria", "non-dropping-particle" : "", "parse-names" : false, "suffix" : "" }, { "dropping-particle" : "", "family" : "Delgado-Baquerizo", "given" : "Manuel", "non-dropping-particle" : "", "parse-names" : false, "suffix" : "" }, { "dropping-particle" : "", "family" : "Garc\u00eda-G\u00f3mez", "given" : "M.", "non-dropping-particle" : "", "parse-names" : false, "suffix" : "" }, { "dropping-particle" : "", "family" : "Bowker", "given" : "Matthew A", "non-dropping-particle" : "", "parse-names" : false, "suffix" : "" }, { "dropping-particle" : "", "family" : "Soliveres", "given" : "Santiago", "non-dropping-particle" : "", "parse-names" : false, "suffix" : "" }, { "dropping-particle" : "", "family" : "Escolar", "given" : "Cristina", "non-dropping-particle" : "", "parse-names" : false, "suffix" : "" }, { "dropping-particle" : "", "family" : "Garc\u00eda-Palacios", "given" : "P.", "non-dropping-particle" : "", "parse-names" : false, "suffix" : "" }, { "dropping-particle" : "", "family" : "Berdugo", "given" : "Miguel", "non-dropping-particle" : "", "parse-names" : false, "suffix" : "" }, { "dropping-particle" : "", "family" : "Valencia", "given" : "Enrique", "non-dropping-particle" : "", "parse-names" : false, "suffix" : "" }, { "dropping-particle" : "", "family" : "Gozalo", "given" : "Beatriz", "non-dropping-particle" : "", "parse-names" : false, "suffix" : "" }, { "dropping-particle" : "", "family" : "Gallardo", "given" : "Antonio", "non-dropping-particle" : "", "parse-names" : false, "suffix" : "" }, { "dropping-particle" : "", "family" : "Aguilera", "given" : "Lorgio", "non-dropping-particle" : "", "parse-names" : false, "suffix" : "" }, { "dropping-particle" : "", "family" : "Arredondo", "given" : "Tulio", "non-dropping-particle" : "", "parse-names" : false, "suffix" : "" }, { "dropping-particle" : "", "family" : "Blones", "given" : "Julio", "non-dropping-particle" : "", "parse-names" : false, "suffix" : "" }, { "dropping-particle" : "", "family" : "Boeken", "given" : "Bertrand", "non-dropping-particle" : "", "parse-names" : false, "suffix" : "" }, { "dropping-particle" : "", "family" : "Bran", "given" : "Donaldo", "non-dropping-particle" : "", "parse-names" : false, "suffix" : "" }, { "dropping-particle" : "", "family" : "Concei\u00e7\u00e3o", "given" : "A. A.", "non-dropping-particle" : "", "parse-names" : false, "suffix" : "" }, { "dropping-particle" : "", "family" : "Cabrera", "given" : "Omar", "non-dropping-particle" : "", "parse-names" : false, "suffix" : "" }, { "dropping-particle" : "", "family" : "Chaieb", "given" : "Mohamed", "non-dropping-particle" : "", "parse-names" : false, "suffix" : "" }, { "dropping-particle" : "", "family" : "Derak", "given" : "Mchich", "non-dropping-particle" : "", "parse-names" : false, "suffix" : "" }, { "dropping-particle" : "", "family" : "Eldridge", "given" : "David J", "non-dropping-particle" : "", "parse-names" : false, "suffix" : "" }, { "dropping-particle" : "", "family" : "Espinosa", "given" : "Carlos I", "non-dropping-particle" : "", "parse-names" : false, "suffix" : "" }, { "dropping-particle" : "", "family" : "Florentino", "given" : "Adriana", "non-dropping-particle" : "", "parse-names" : false, "suffix" : "" }, { "dropping-particle" : "", "family" : "Gait\u00e1n", "given" : "J.", "non-dropping-particle" : "", "parse-names" : false, "suffix" : "" }, { "dropping-particle" : "", "family" : "Gatica", "given" : "M Gabriel", "non-dropping-particle" : "", "parse-names" : false, "suffix" : "" }, { "dropping-particle" : "", "family" : "Ghiloufi", "given" : "Wahida", "non-dropping-particle" : "", "parse-names" : false, "suffix" : "" }, { "dropping-particle" : "", "family" : "G\u00f3mez-Gonz\u00e1lez", "given" : "S.", "non-dropping-particle" : "", "parse-names" : false, "suffix" : "" }, { "dropping-particle" : "", "family" : "Guti\u00e9rrez", "given" : "J. R.", "non-dropping-particle" : "", "parse-names" : false, "suffix" : "" }, { "dropping-particle" : "", "family" : "Hern\u00e1ndez", "given" : "R. M.", "non-dropping-particle" : "", "parse-names" : false, "suffix" : "" }, { "dropping-particle" : "", "family" : "Huang", "given" : "Xuewen", "non-dropping-particle" : "", "parse-names" : false, "suffix" : "" }, { "dropping-particle" : "", "family" : "Huber-Sannwald", "given" : "Elisabeth", "non-dropping-particle" : "", "parse-names" : false, "suffix" : "" }, { "dropping-particle" : "", "family" : "Jankju", "given" : "Mohammad", "non-dropping-particle" : "", "parse-names" : false, "suffix" : "" }, { "dropping-particle" : "", "family" : "Miriti", "given" : "Maria", "non-dropping-particle" : "", "parse-names" : false, "suffix" : "" }, { "dropping-particle" : "", "family" : "Monerris", "given" : "Jorge", "non-dropping-particle" : "", "parse-names" : false, "suffix" : "" }, { "dropping-particle" : "", "family" : "Mau", "given" : "Rebecca L", "non-dropping-particle" : "", "parse-names" : false, "suffix" : "" }, { "dropping-particle" : "", "family" : "Morici", "given" : "Ernesto", "non-dropping-particle" : "", "parse-names" : false, "suffix" : "" }, { "dropping-particle" : "", "family" : "Naseri", "given" : "Kamal", "non-dropping-particle" : "", "parse-names" : false, "suffix" : "" }, { "dropping-particle" : "", "family" : "Ospina", "given" : "Abelardo", "non-dropping-particle" : "", "parse-names" : false, "suffix" : "" }, { "dropping-particle" : "", "family" : "Polo", "given" : "Vicente", "non-dropping-particle" : "", "parse-names" : false, "suffix" : "" }, { "dropping-particle" : "", "family" : "Prina", "given" : "An\u00edbal", "non-dropping-particle" : "", "parse-names" : false, "suffix" : "" }, { "dropping-particle" : "", "family" : "Pucheta", "given" : "Eduardo", "non-dropping-particle" : "", "parse-names" : false, "suffix" : "" }, { "dropping-particle" : "", "family" : "Ram\u00edrez-Collantes", "given" : "D. A.", "non-dropping-particle" : "", "parse-names" : false, "suffix" : "" }, { "dropping-particle" : "", "family" : "Rom\u00e3o", "given" : "R.", "non-dropping-particle" : "", "parse-names" : false, "suffix" : "" }, { "dropping-particle" : "", "family" : "Tighe", "given" : "Matthew", "non-dropping-particle" : "", "parse-names" : false, "suffix" : "" }, { "dropping-particle" : "", "family" : "Torres-D\u00edaz", "given" : "C.", "non-dropping-particle" : "", "parse-names" : false, "suffix" : "" }, { "dropping-particle" : "", "family" : "Val", "given" : "James", "non-dropping-particle" : "", "parse-names" : false, "suffix" : "" }, { "dropping-particle" : "", "family" : "Veiga", "given" : "Jos\u00e9 P", "non-dropping-particle" : "", "parse-names" : false, "suffix" : "" }, { "dropping-particle" : "", "family" : "Wang", "given" : "Deli", "non-dropping-particle" : "", "parse-names" : false, "suffix" : "" }, { "dropping-particle" : "", "family" : "Zaady", "given" : "Eli", "non-dropping-particle" : "", "parse-names" : false, "suffix" : "" } ], "container-title" : "Science", "id" : "ITEM-1", "issue" : "6065", "issued" : { "date-parts" : [ [ "2012" ] ] }, "page" : "214-218", "title" : "Plant species richness and ecosystem multifunctionality in global drylands", "type" : "article-journal", "volume" : "335" }, "uris" : [ "http://www.mendeley.com/documents/?uuid=f8d98778-5baa-3a63-bda1-4b69079671bb" ] } ], "mendeley" : { "formattedCitation" : "(Maestre et al., 2012)", "plainTextFormattedCitation" : "(Maestre et al., 2012)", "previouslyFormattedCitation" : "(Maestre et al., 2012)" }, "properties" : { "noteIndex" : 0 }, "schema" : "https://github.com/citation-style-language/schema/raw/master/csl-citation.json" }</w:instrText>
      </w:r>
      <w:r w:rsidRPr="008608AA">
        <w:fldChar w:fldCharType="separate"/>
      </w:r>
      <w:r w:rsidRPr="008608AA">
        <w:rPr>
          <w:noProof/>
        </w:rPr>
        <w:t>(Maestre et al., 2012)</w:t>
      </w:r>
      <w:r w:rsidRPr="008608AA">
        <w:fldChar w:fldCharType="end"/>
      </w:r>
      <w:r w:rsidRPr="008608AA">
        <w:t xml:space="preserve"> and marine systems </w:t>
      </w:r>
      <w:r w:rsidRPr="008608AA">
        <w:fldChar w:fldCharType="begin" w:fldLock="1"/>
      </w:r>
      <w:r w:rsidRPr="008608AA">
        <w:instrText>ADDIN CSL_CITATION { "citationItems" : [ { "id" : "ITEM-1", "itemData" : { "DOI" : "10.1073/pnas.1524465113", "ISBN" : "0027-8424", "ISSN" : "0027-8424", "PMID" : "27185921", "abstract" : "Fishes are the most diverse group of vertebrates, play key functional roles in aquatic ecosystems, and provide protein for a billion people, especially in the developing world. Those functions are compromised by mounting pressures on marine biodiversity and ecosystems. Because of its economic and food value, fish biomass production provides an unusually direct link from biodiversity to critical ecosystem services. We used the Reef Life Survey\u2019s global database of 4,556 standardized fish surveys to test the importance of biodiversity to fish production relative to 25 environmental drivers. Temperature, biodiversity, and human influence together explained 47% of the global variation in reef fish biomass among sites. Fish species richness and functional diversity were among the strongest predictors of fish biomass, particularly for the largebodied species and carnivores preferred by fishers, and these biodiversity effects were robust to potentially confounding influences of sample abundance, scale, and environmental correlations. Warmer temperatures increased biomass directly, presumably by raising metabolism, and indirectly by increasing diversity, whereas temperature variability reduced biomass. Importantly, diversity and climate interact, with biomass of diverse communities less affected by rising and variable temperatures than species-poor communities. Biodiversity thus buffers global fish biomass from climate change, and conservation of marine biodiversity can stabilize fish production in a changing ocean.", "author" : [ { "dropping-particle" : "", "family" : "Duffy", "given" : "J. Emmett", "non-dropping-particle" : "", "parse-names" : false, "suffix" : "" }, { "dropping-particle" : "", "family" : "Lefcheck", "given" : "Jonathan S.", "non-dropping-particle" : "", "parse-names" : false, "suffix" : "" }, { "dropping-particle" : "", "family" : "Stuart-Smith", "given" : "Rick D.", "non-dropping-particle" : "", "parse-names" : false, "suffix" : "" }, { "dropping-particle" : "", "family" : "Navarrete", "given" : "Sergio A.", "non-dropping-particle" : "", "parse-names" : false, "suffix" : "" }, { "dropping-particle" : "", "family" : "Edgar", "given" : "Graham J.", "non-dropping-particle" : "", "parse-names" : false, "suffix" : "" } ], "container-title" : "PNAS", "id" : "ITEM-1", "issue" : "22", "issued" : { "date-parts" : [ [ "2016" ] ] }, "page" : "6230-6235", "title" : "Biodiversity enhances reef fish biomass and resistance to climate change", "type" : "article-journal", "volume" : "113" }, "uris" : [ "http://www.mendeley.com/documents/?uuid=31061d1e-1eaa-39d1-9bf7-b90ce83e8807" ] }, { "id" : "ITEM-2", "itemData" : { "DOI" : "http://dx.doi.org/10.1098/rspb.2016.1435", "ISBN" : "0962-8452", "ISSN" : "1471-2954", "PMID" : "27534960", "abstract" : "Temperature variation within a year can impact biological processes driving population abundances. The implications for the ecosystem services these populations provide, including food production from marine fisheries, are poorly understood. Whether and how temperature variability impacts fishery yields may depend on the number of harvested species and differences in their responses to varying temperatures. Drawing from previous theoretical and empirical studies, we predict that greater temperature variability within years will reduce yields, but harvesting a larger number of species, especially a more functionally diverse set, will decrease this impact. Using a global marine fisheries dataset, we find that within-year temperature variability reduces yields, but current levels of functional diversity (FD) of targeted species, measured using traits related to species' responses to temperature, largely offset this effect. Globally, high FD of catch could avoid annual losses in yield of 6.8% relative to projections if FD were degraded to the lowest level observed in the data. By contrast, species richness in the catch and in the ecosystem did not provide a similar mitigating effect. This work provides novel empirical evidence that short-term temperature variability can negatively impact the provisioning of ecosystem services, but that FD can buffer these negative impacts.", "author" : [ { "dropping-particle" : "", "family" : "Dee", "given" : "Laura E", "non-dropping-particle" : "", "parse-names" : false, "suffix" : "" }, { "dropping-particle" : "", "family" : "Miller", "given" : "Steve J", "non-dropping-particle" : "", "parse-names" : false, "suffix" : "" }, { "dropping-particle" : "", "family" : "Peavey", "given" : "Lindsey E", "non-dropping-particle" : "", "parse-names" : false, "suffix" : "" }, { "dropping-particle" : "", "family" : "Bradley", "given" : "Darcy", "non-dropping-particle" : "", "parse-names" : false, "suffix" : "" }, { "dropping-particle" : "", "family" : "Gentry", "given" : "Rebecca R", "non-dropping-particle" : "", "parse-names" : false, "suffix" : "" }, { "dropping-particle" : "", "family" : "Startz", "given" : "Richard", "non-dropping-particle" : "", "parse-names" : false, "suffix" : "" }, { "dropping-particle" : "", "family" : "Gaines", "given" : "Steven D", "non-dropping-particle" : "", "parse-names" : false, "suffix" : "" }, { "dropping-particle" : "", "family" : "Lester", "given" : "Sarah E", "non-dropping-particle" : "", "parse-names" : false, "suffix" : "" } ], "container-title" : "Proceedings of the Royal Society of London B: Biological Sciences", "id" : "ITEM-2", "issue" : "1836", "issued" : { "date-parts" : [ [ "2016" ] ] }, "page" : "20161435", "title" : "Functional diversity of catch mitigates negative effects of temperature variability on fisheries yields", "type" : "article-journal", "volume" : "283" }, "uris" : [ "http://www.mendeley.com/documents/?uuid=940936ab-1529-4859-bc8b-5568bbcf543b" ] } ], "mendeley" : { "formattedCitation" : "(Dee et al., 2016; Duffy, Lefcheck, Stuart-Smith, Navarrete, &amp; Edgar, 2016)", "manualFormatting" : "(Dee et al., 2016; Duffy et al., 2016)", "plainTextFormattedCitation" : "(Dee et al., 2016; Duffy, Lefcheck, Stuart-Smith, Navarrete, &amp; Edgar, 2016)", "previouslyFormattedCitation" : "(Dee et al., 2016; Duffy, Lefcheck, Stuart-Smith, Navarrete, &amp; Edgar, 2016)" }, "properties" : { "noteIndex" : 0 }, "schema" : "https://github.com/citation-style-language/schema/raw/master/csl-citation.json" }</w:instrText>
      </w:r>
      <w:r w:rsidRPr="008608AA">
        <w:fldChar w:fldCharType="separate"/>
      </w:r>
      <w:r w:rsidRPr="008608AA">
        <w:rPr>
          <w:noProof/>
        </w:rPr>
        <w:t>(Dee et al., 2016; Duffy et al., 2016)</w:t>
      </w:r>
      <w:r w:rsidRPr="008608AA">
        <w:fldChar w:fldCharType="end"/>
      </w:r>
      <w:r w:rsidRPr="008608AA">
        <w:t xml:space="preserve">, many conducted in the Americas. Recent studies have also revealed many potential benefits of increasing plant diversity in managed production systems, including enhancing the production of crops, forage, wood, and fish; stabilizing productivity; enhancing pollinators and pollination; suppressing weeds and other pests; and accumulating and retaining soil nutrients and carbon </w:t>
      </w:r>
      <w:r w:rsidRPr="008608AA">
        <w:fldChar w:fldCharType="begin" w:fldLock="1"/>
      </w:r>
      <w:r w:rsidRPr="008608AA">
        <w:instrText>ADDIN CSL_CITATION { "citationItems" : [ { "id" : "ITEM-1", "itemData" : { "DOI" : "10.1111/j.1461-0248.2006.00963.x", "ISSN" : "1461-0248", "author" : [ { "dropping-particle" : "", "family" : "Balvanera", "given" : "Patricia", "non-dropping-particle" : "", "parse-names" : false, "suffix" : "" }, { "dropping-particle" : "", "family" : "Pfisterer", "given" : "Andrea B.", "non-dropping-particle" : "", "parse-names" : false, "suffix" : "" }, { "dropping-particle" : "", "family" : "Buchmann", "given" : "Nina", "non-dropping-particle" : "", "parse-names" : false, "suffix" : "" }, { "dropping-particle" : "", "family" : "He", "given" : "Jing-Shen", "non-dropping-particle" : "", "parse-names" : false, "suffix" : "" }, { "dropping-particle" : "", "family" : "Nakashizuka", "given" : "Tohru", "non-dropping-particle" : "", "parse-names" : false, "suffix" : "" }, { "dropping-particle" : "", "family" : "Raffaelli", "given" : "David", "non-dropping-particle" : "", "parse-names" : false, "suffix" : "" }, { "dropping-particle" : "", "family" : "Schmid", "given" : "Bernhard", "non-dropping-particle" : "", "parse-names" : false, "suffix" : "" } ], "container-title" : "Ecology Letters", "id" : "ITEM-1", "issue" : "10", "issued" : { "date-parts" : [ [ "2006" ] ] }, "page" : "1146-1156", "publisher" : "Blackwell Publishing Ltd", "title" : "Quantifying the evidence for biodiversity effects on ecosystem functioning and services", "type" : "article-journal", "volume" : "9" }, "uris" : [ "http://www.mendeley.com/documents/?uuid=64e0d87c-c1b7-4128-b6c5-8fa69b432d4e" ] }, { "id" : "ITEM-2", "itemData" : { "DOI" : "10.1093/biosci/bit003", "ISBN" : "0006-3568", "ISSN" : "15253244", "abstract" : "Understanding when biodiversity conservation and ecosystem-service maintenance are compatible is needed within the Intergovernmental Platform on Biodiversity and Ecosystem Services (IPBES). Here, we evaluate current understanding and uncertainties of the effects of biodiversity change on selected ecosystem services and suggest ways to further understand the links between biodiversity change and ecosystem services. We reviewed experiments, observations, and syntheses on the effects of species richness on six ecosystem services: forage, timber, fisheries, climate regulation, agricultural pest control, and water quality. Establishing a direct link from biodiversity to ecosystem-service provision has often been precluded by limited data (i.e., the amount, consistency, or generality of the data) and a mismatch between the variables measured and the final ecosystem service that is relevant to stakeholders. We suggest that encompassing syntheses and a network of interdisciplinary experiments under realistic conditions could fill these gaps and could inform the outcomes of alternative management and policy scenarios within IPBES.", "author" : [ { "dropping-particle" : "", "family" : "Balvanera", "given" : "Patricia", "non-dropping-particle" : "", "parse-names" : false, "suffix" : "" }, { "dropping-particle" : "", "family" : "Siddique", "given" : "Ilyas", "non-dropping-particle" : "", "parse-names" : false, "suffix" : "" }, { "dropping-particle" : "", "family" : "Dee", "given" : "Laura", "non-dropping-particle" : "", "parse-names" : false, "suffix" : "" }, { "dropping-particle" : "", "family" : "Paquette", "given" : "Alain", "non-dropping-particle" : "", "parse-names" : false, "suffix" : "" }, { "dropping-particle" : "", "family" : "Isbell", "given" : "Forest", "non-dropping-particle" : "", "parse-names" : false, "suffix" : "" }, { "dropping-particle" : "", "family" : "Gonzalez", "given" : "Andrew", "non-dropping-particle" : "", "parse-names" : false, "suffix" : "" }, { "dropping-particle" : "", "family" : "Byrnes", "given" : "Jarrett", "non-dropping-particle" : "", "parse-names" : false, "suffix" : "" }, { "dropping-particle" : "", "family" : "O'Connor", "given" : "Mary I.", "non-dropping-particle" : "", "parse-names" : false, "suffix" : "" }, { "dropping-particle" : "", "family" : "Hungate", "given" : "Bruce A.", "non-dropping-particle" : "", "parse-names" : false, "suffix" : "" }, { "dropping-particle" : "", "family" : "Griffin", "given" : "John N.", "non-dropping-particle" : "", "parse-names" : false, "suffix" : "" } ], "container-title" : "BioScience", "id" : "ITEM-2", "issued" : { "date-parts" : [ [ "2014" ] ] }, "page" : "49-57", "title" : "Linking biodiversity and ecosystem services: Current uncertainties and the necessary next steps", "type" : "article-journal", "volume" : "64" }, "uris" : [ "http://www.mendeley.com/documents/?uuid=ea99c717-6dfd-4b39-96d7-c1c1333ba249" ] }, { "id" : "ITEM-3", "itemData" : { "DOI" : "10.1038/nature11373", "ISBN" : "00280836", "ISSN" : "0028-0836", "PMID" : "22678280", "abstract" : "The most unique feature of Earth is the existence of life, and the most extraordinary feature of life is its diversity. Approximately 9 million types of plants, animals, protists and fungi inhabit the Earth. So, too, do 7 billion people. Two decades ago, at the first Earth Summit, the vast majority of the world's nations declared that human actions were dismantling the Earth's ecosystems, eliminating genes, species and biological traits at an alarming rate. This observation led to the question of how such loss of biological diversity will alter the functioning of ecosystems and their ability to provide society with the goods and services needed to prosper.", "author" : [ { "dropping-particle" : "", "family" : "Cardinale", "given" : "Bradley J.", "non-dropping-particle" : "", "parse-names" : false, "suffix" : "" }, { "dropping-particle" : "", "family" : "Duffy", "given" : "J. Emmett", "non-dropping-particle" : "", "parse-names" : false, "suffix" : "" }, { "dropping-particle" : "", "family" : "Gonzalez", "given" : "Andrew", "non-dropping-particle" : "", "parse-names" : false, "suffix" : "" }, { "dropping-particle" : "", "family" : "Hooper", "given" : "David U.", "non-dropping-particle" : "", "parse-names" : false, "suffix" : "" }, { "dropping-particle" : "", "family" : "Perrings", "given" : "Charles", "non-dropping-particle" : "", "parse-names" : false, "suffix" : "" }, { "dropping-particle" : "", "family" : "Venail", "given" : "Patrick", "non-dropping-particle" : "", "parse-names" : false, "suffix" : "" }, { "dropping-particle" : "", "family" : "Narwani", "given" : "Anita", "non-dropping-particle" : "", "parse-names" : false, "suffix" : "" }, { "dropping-particle" : "", "family" : "Mace", "given" : "Georgina M.", "non-dropping-particle" : "", "parse-names" : false, "suffix" : "" }, { "dropping-particle" : "", "family" : "Tilman", "given" : "David", "non-dropping-particle" : "", "parse-names" : false, "suffix" : "" }, { "dropping-particle" : "", "family" : "A.Wardle", "given" : "David", "non-dropping-particle" : "", "parse-names" : false, "suffix" : "" }, { "dropping-particle" : "", "family" : "Kinzig", "given" : "Ann P.", "non-dropping-particle" : "", "parse-names" : false, "suffix" : "" }, { "dropping-particle" : "", "family" : "Daily", "given" : "Gretchen C.", "non-dropping-particle" : "", "parse-names" : false, "suffix" : "" }, { "dropping-particle" : "", "family" : "Loreau", "given" : "Michel", "non-dropping-particle" : "", "parse-names" : false, "suffix" : "" }, { "dropping-particle" : "", "family" : "Grace", "given" : "James B.", "non-dropping-particle" : "", "parse-names" : false, "suffix" : "" }, { "dropping-particle" : "", "family" : "Larigauderie", "given" : "Anne", "non-dropping-particle" : "", "parse-names" : false, "suffix" : "" }, { "dropping-particle" : "", "family" : "Srivastava", "given" : "Diane S.", "non-dropping-particle" : "", "parse-names" : false, "suffix" : "" }, { "dropping-particle" : "", "family" : "Naeem", "given" : "Shahid", "non-dropping-particle" : "", "parse-names" : false, "suffix" : "" } ], "container-title" : "Nature", "id" : "ITEM-3", "issued" : { "date-parts" : [ [ "2012" ] ] }, "page" : "326-326", "title" : "Corrigendum: Biodiversity loss and its impact on humanity", "type" : "article-journal", "volume" : "489" }, "uris" : [ "http://www.mendeley.com/documents/?uuid=3c699c5d-9b44-3a8a-96c4-2cb44a762d3d" ] }, { "id" : "ITEM-4", "itemData" : { "DOI" : "10.5751/ES-05035-170440", "ISBN" : "1708-3087", "ISSN" : "17083087", "PMID" : "776", "abstract" : "agricultural food production; agricultural intensification; agrobiodiversity; agroecology; biodiversity; conventional agriculture; conventional farming systems; diversified farming systems; ecosystem services; land-sharing; land-sparing; organic agriculture; sustainable agriculture; sustainable intensification", "author" : [ { "dropping-particle" : "", "family" : "Kremen", "given" : "Claire", "non-dropping-particle" : "", "parse-names" : false, "suffix" : "" }, { "dropping-particle" : "", "family" : "Miles", "given" : "Albie", "non-dropping-particle" : "", "parse-names" : false, "suffix" : "" } ], "container-title" : "Ecology and Society", "id" : "ITEM-4", "issue" : "4", "issued" : { "date-parts" : [ [ "2012" ] ] }, "page" : "40", "title" : "Ecosystem services in biologically diversified versus conventional farming systems: benefits, externalities, and trade-offs", "type" : "article-journal", "volume" : "17" }, "uris" : [ "http://www.mendeley.com/documents/?uuid=a8773412-559c-30a5-a86f-cdfed1a68445" ] }, { "id" : "ITEM-5", "itemData" : { "DOI" : "10.1890/09-2026.1", "ISBN" : "1051-0761", "ISSN" : "10510761", "PMID" : "21516884", "abstract" : "Predictive theory on how plant diversity promotes herbivore suppression through movement patterns, host associations, and predation promises a potential alternative to pesticide-intensive monoculture crop production. We used meta-analysis on 552 experiments in 45 articles published over the last 10 years to test if plant diversification schemes reduce herbivores and/or increase the natural enemies of herbivores as predicted by associational resistance hypotheses, the enemies hypothesis, and attraction and repellency model applications in agriculture. We found extensive support for these models with intercropping schemes, inclusion of flowering plants, and use of plants that repel herbivores or attract them away from the crop. Overall, herbivore suppression, enemy enhancement, and crop damage suppression effects were significantly stronger on diversified crops than on crops with none or fewer associated plant species. However, a relatively small, but significantly negative, mean effect size for crop yield indicated that pest-suppressive diversification schemes interfered with production, in part because of reducing densities of the main crop by replacing it with intercrops or non-crop plants. This first use of meta-analysis to evaluate the effects of diversification schemes, a potentially more powerful tool than tallies of significant positive and negative outcomes (vote-counting), revealed stronger overall effects on all parameters measured compared to previous reviews. Our analysis of the same articles used in a recent review facilitates comparisons of vote-counting and meta-analysis, and shows that pronounced results of the meta-analysis are not well explained by a reduction in articles that met its stricter criteria. Rather, compared to outcome counts, effect sizes were rarely neutral (equal to zero), and a mean effect size value for mixed outcomes could be calculated. Problematic statistical properties of vote-counting were avoided with meta-analysis, thus providing a more precise test of the hypotheses. The unambiguous and encouraging results from this meta-analysis of previous research should motivate ecologists to conduct more mechanistic experiments to improve the odds of designing effective crop diversification schemes for improved pest regulation and enhanced crop yield.", "author" : [ { "dropping-particle" : "", "family" : "Letourneau", "given" : "Deborah K.", "non-dropping-particle" : "", "parse-names" : false, "suffix" : "" }, { "dropping-particle" : "", "family" : "Armbrecht", "given" : "Inge", "non-dropping-particle" : "", "parse-names" : false, "suffix" : "" }, { "dropping-particle" : "", "family" : "Rivera", "given" : "Beatriz Salguero", "non-dropping-particle" : "", "parse-names" : false, "suffix" : "" }, { "dropping-particle" : "", "family" : "Lerma", "given" : "James", "non-dropping-particle" : "", "parse-names" : false, "suffix" : "" }, { "dropping-particle" : "", "family" : "Carmona", "given" : "Elizabeth Jim\u00e9nez", "non-dropping-particle" : "", "parse-names" : false, "suffix" : "" }, { "dropping-particle" : "", "family" : "Daza", "given" : "Martha Constanza", "non-dropping-particle" : "", "parse-names" : false, "suffix" : "" }, { "dropping-particle" : "", "family" : "Escobar", "given" : "Selene", "non-dropping-particle" : "", "parse-names" : false, "suffix" : "" }, { "dropping-particle" : "", "family" : "Galindo", "given" : "V\u00edctor", "non-dropping-particle" : "", "parse-names" : false, "suffix" : "" }, { "dropping-particle" : "", "family" : "Guti\u00e9Rrez", "given" : "Catalina", "non-dropping-particle" : "", "parse-names" : false, "suffix" : "" }, { "dropping-particle" : "", "family" : "L\u00f3Pez", "given" : "Sebasti\u00e1n Duque", "non-dropping-particle" : "", "parse-names" : false, "suffix" : "" }, { "dropping-particle" : "", "family" : "Mej\u00eda", "given" : "Jessica L\u00f3pez", "non-dropping-particle" : "", "parse-names" : false, "suffix" : "" }, { "dropping-particle" : "", "family" : "Rangel", "given" : "Aleyda Maritza Acosta", "non-dropping-particle" : "", "parse-names" : false, "suffix" : "" }, { "dropping-particle" : "", "family" : "Rangel", "given" : "Janine Herrera", "non-dropping-particle" : "", "parse-names" : false, "suffix" : "" }, { "dropping-particle" : "", "family" : "Rivera", "given" : "Leonardo", "non-dropping-particle" : "", "parse-names" : false, "suffix" : "" }, { "dropping-particle" : "", "family" : "Saavedra", "given" : "Carlos Arturo", "non-dropping-particle" : "", "parse-names" : false, "suffix" : "" }, { "dropping-particle" : "", "family" : "Torres", "given" : "Alba Marina", "non-dropping-particle" : "", "parse-names" : false, "suffix" : "" }, { "dropping-particle" : "", "family" : "Trujillo", "given" : "Aldemar Reyes", "non-dropping-particle" : "", "parse-names" : false, "suffix" : "" } ], "container-title" : "Ecological Applications", "id" : "ITEM-5", "issue" : "1", "issued" : { "date-parts" : [ [ "2011" ] ] }, "page" : "9-21", "title" : "Does plant diversity benefit agroecosystems? A synthetic review", "type" : "article", "volume" : "21" }, "uris" : [ "http://www.mendeley.com/documents/?uuid=b066e7f7-0984-35b3-898a-2ae3f4941fff" ] }, { "id" : "ITEM-6", "itemData" : { "ISBN" : "9781107323506", "abstract" : "Forests hold a significant proportion of global biodiversity and terrestrial carbon stocks and are at the forefront of human-induced global change. The dynamics and distribution of forest vegetation determines the habitat for other organisms, and regulates the delivery of ecosystem services, including carbon storage. Presenting recent research across temperate and tropical ecosystems, this volume synthesises the numerous ways that forests are responding to global change and includes perspectives on: \u2022 the role of forests in the global carbon and energy budgets \u2022 historical patterns of forest change and diversification \u2022 contemporary mechanisms of community assembly and implications of underlying drivers of global change \u2022 the ways in which forests supply ecosystem services that support human lives. The chapters represent case studies drawn from the authors' expertise, highlighting exciting new research and providing information that will be valuable to academics, students, researchers and practitioners with an interest in this field.", "author" : [ { "dropping-particle" : "", "family" : "Scherer-Lorenzen", "given" : "Michael", "non-dropping-particle" : "", "parse-names" : false, "suffix" : "" } ], "container-title" : "Forests and Global Change", "editor" : [ { "dropping-particle" : "", "family" : "Coomes", "given" : "David A.", "non-dropping-particle" : "", "parse-names" : false, "suffix" : "" }, { "dropping-particle" : "", "family" : "Burslem", "given" : "F.R.P", "non-dropping-particle" : "", "parse-names" : false, "suffix" : "" }, { "dropping-particle" : "", "family" : "Simonson", "given" : "W.D.", "non-dropping-particle" : "", "parse-names" : false, "suffix" : "" } ], "id" : "ITEM-6", "issued" : { "date-parts" : [ [ "2014" ] ] }, "page" : "195-238", "publisher" : "Cambridge University Press", "publisher-place" : "Cambridge, UK", "title" : "The functional role of biodiversity in the context of global change", "type" : "chapter" }, "uris" : [ "http://www.mendeley.com/documents/?uuid=716f94e5-6c89-3ccd-89ce-cfb52ca50ca0" ] }, { "id" : "ITEM-7", "itemData" : { "DOI" : "10.1016/j.baae.2010.06.009", "ISBN" : "1439-1791", "ISSN" : "14391791", "abstract" : "Biodiversity is known to play a fundamental role in ecosystem functioning and thus may positively influence the provision of ecosystem services with benefits to society. There is a need for further understanding of how specific components of biodiversity are affecting service provision. In this context, terrestrial plants are a particularly important component of biodiversity and one for which a wealth of information on biodiversity-ecosystem functioning relationships is available. In this paper, we consider terrestrial plants as providers of ecosystem services and analyze whether manipulating plant diversity has an effect on the magnitude of ecosystem service provision using a meta-analysis of 197 effect sizes and a vote-counting analysis of 361 significance tests. The results of these analyses are compared with those of a previous meta-analysis that included a wide diversity of service providers. We produce a synthesis table to explicitly link plants as service providers to indicators of ecosystem properties and these to ecosystem services. By focusing on only plants, we found a clear positive effect of biodiversity on six out of eight services analyzed (provisioning of plant products, erosion control, invasion resistance, pest regulation, pathogen regulation and soil fertility regulation). When controlling for pseudoreplication (repeated records from single studies), we found that four of the six positive effects remained significant; only pest regulation and soil fertility showed non-significant effects. Further expanding our basis for inference with the vote-counting analysis corroborated these results, demonstrating that quantitative meta-analysis and vote-counting methods are both useful methods to synthesize biodiversity-ecosystem service studies. Notwithstanding the restricted number of identified services, our results point to the importance of maintaining plant diversity to ensure and increased provision of ecosystem services which benefit human well-being. ?? 2010 Gesellschaft f??r ??kologie.", "author" : [ { "dropping-particle" : "", "family" : "Quijas", "given" : "Sandra", "non-dropping-particle" : "", "parse-names" : false, "suffix" : "" }, { "dropping-particle" : "", "family" : "Schmid", "given" : "</w:instrText>
      </w:r>
      <w:r w:rsidRPr="008608AA">
        <w:rPr>
          <w:lang w:val="fr-CA"/>
        </w:rPr>
        <w:instrText>Bernhard", "non-dropping-particle" : "", "parse-names" : false, "suffix" : "" }, { "dropping-particle" : "", "family" : "Balvanera", "given" : "Patricia", "non-dropping-particle" : "", "parse-names" : false, "suffix" : "" } ], "container-title" : "Basic and Applied Ecology", "id" : "ITEM-7", "issue" : "7", "issued" : { "date-parts" : [ [ "2010" ] ] }, "page" : "582-593", "title" : "Plant diversity enhances provision of ecosystem services: a new synthesis", "type" : "article-journal", "volume" : "11" }, "uris" : [ "http://www.mendeley.com/documents/?uuid=0f3b822b-e0b2-4f13-9b10-375adaa18ec7" ] } ], "mendeley" : { "formattedCitation" : "(Balvanera et al., 2006, 2014; Cardinale et al., 2012; Kremen &amp; Miles, 2012; Letourneau et al., 2011; Quijas, Schmid, &amp; Balvanera, 2010; Scherer-Lorenzen, 2014)", "manualFormatting" : "(Balvanera et al., 2006, 2014; Cardinale et al., 2012; Kremen &amp; Miles, 2012; Letourneau et al., 2011; Quijas et al., 2010; Scherer-Lorenzen, 2014)", "plainTextFormattedCitation" : "(Balvanera et al., 2006, 2014; Cardinale et al., 2012; Kremen &amp; Miles, 2012; Letourneau et al., 2011; Quijas, Schmid, &amp; Balvanera, 2010; Scherer-Lorenzen, 2014)", "previouslyFormattedCitation" : "(Balvanera et al., 2006, 2014; Cardinale et al., 2012; Kremen &amp; Miles, 2012; Letourneau et al., 2011; Quijas, Schmid, &amp; Balvanera, 2010; Scherer-Lorenzen, 2014)" }, "properties" : { "noteIndex" : 0 }, "schema" : "https://github.com/citation-style-language/schema/raw/master/csl-citation.json" }</w:instrText>
      </w:r>
      <w:r w:rsidRPr="008608AA">
        <w:fldChar w:fldCharType="separate"/>
      </w:r>
      <w:r w:rsidRPr="008608AA">
        <w:rPr>
          <w:noProof/>
          <w:lang w:val="fr-CA"/>
        </w:rPr>
        <w:t>(Balvanera et al., 2006, 2014; Cardinale et al., 2012; Kremen &amp; Miles, 2012; Letourneau et al., 2011; Quijas et al., 2010; Scherer-Lorenzen, 2014)</w:t>
      </w:r>
      <w:r w:rsidRPr="008608AA">
        <w:fldChar w:fldCharType="end"/>
      </w:r>
      <w:r w:rsidRPr="008608AA">
        <w:rPr>
          <w:lang w:val="fr-CA"/>
        </w:rPr>
        <w:t>.</w:t>
      </w:r>
    </w:p>
    <w:p w14:paraId="2792810A" w14:textId="77777777" w:rsidR="0039151E" w:rsidRPr="008608AA" w:rsidRDefault="0039151E" w:rsidP="0039151E">
      <w:pPr>
        <w:widowControl w:val="0"/>
        <w:autoSpaceDE w:val="0"/>
        <w:autoSpaceDN w:val="0"/>
        <w:adjustRightInd w:val="0"/>
        <w:spacing w:after="120"/>
        <w:rPr>
          <w:lang w:val="fr-CA"/>
        </w:rPr>
      </w:pPr>
    </w:p>
    <w:p w14:paraId="38546FDB" w14:textId="58829FE7" w:rsidR="004255E7" w:rsidRDefault="004255E7" w:rsidP="00C1178A">
      <w:pPr>
        <w:pStyle w:val="Heading3"/>
      </w:pPr>
      <w:bookmarkStart w:id="831" w:name="_Toc502927332"/>
      <w:bookmarkStart w:id="832" w:name="_Toc502951161"/>
      <w:bookmarkStart w:id="833" w:name="_Toc502953604"/>
      <w:bookmarkStart w:id="834" w:name="_Toc502954897"/>
      <w:bookmarkStart w:id="835" w:name="_Toc502957704"/>
      <w:bookmarkStart w:id="836" w:name="_Toc502957903"/>
      <w:bookmarkStart w:id="837" w:name="_Toc502958057"/>
      <w:bookmarkStart w:id="838" w:name="_Toc503293105"/>
      <w:bookmarkStart w:id="839" w:name="_Toc503293703"/>
      <w:bookmarkStart w:id="840" w:name="_Toc503293965"/>
      <w:bookmarkStart w:id="841" w:name="_Toc503863358"/>
      <w:bookmarkStart w:id="842" w:name="_Toc503863586"/>
      <w:bookmarkStart w:id="843" w:name="_Toc517393286"/>
      <w:bookmarkStart w:id="844" w:name="_Toc517719027"/>
      <w:bookmarkStart w:id="845" w:name="_Toc517796984"/>
      <w:r w:rsidRPr="008608AA">
        <w:t>Conceptual and theoretical linkages between biodiversity and ecosystem functions and services</w:t>
      </w:r>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p>
    <w:p w14:paraId="263D4B3E" w14:textId="77777777" w:rsidR="00843724" w:rsidRPr="00843724" w:rsidRDefault="00843724" w:rsidP="00843724">
      <w:pPr>
        <w:rPr>
          <w:lang w:val="en-GB" w:eastAsia="es-CO"/>
        </w:rPr>
      </w:pPr>
    </w:p>
    <w:p w14:paraId="1A53F8DB" w14:textId="77777777" w:rsidR="004255E7" w:rsidRPr="008608AA" w:rsidRDefault="004255E7" w:rsidP="0039151E">
      <w:pPr>
        <w:spacing w:after="120"/>
      </w:pPr>
      <w:r w:rsidRPr="008608AA">
        <w:t xml:space="preserve">Biodiversity loss can alter ecosystem function. Here, we focus on relationships between plant diversity and productivity. Theory </w:t>
      </w:r>
      <w:r w:rsidRPr="008608AA">
        <w:fldChar w:fldCharType="begin" w:fldLock="1"/>
      </w:r>
      <w:r w:rsidRPr="008608AA">
        <w:instrText>ADDIN CSL_CITATION { "citationItems" : [ { "id" : "ITEM-1", "itemData" : { "DOI" : "10.1073/pnas.2434847100", "ISBN" : "0027-8424 (Print)\\r0027-8424 (Linking)", "ISSN" : "0027-8424", "PMID" : "14638942", "abstract" : "The consequences of biodiversity loss for ecosystem functioning and ecosystem services have aroused considerable interest during the past decade. Recent work has focused mainly on the impact of species diversity within single trophic levels, both experimentally and theoretically. Experiments have usually showed increased plant biomass and productivity with increasing plant diversity. Changes in biodiversity, however, may affect ecosystem processes through trophic interactions among species as well. An important current challenge is to understand how these trophic interactions affect the relationship between biodiversity and ecosystem functioning. Here we present a mechanistic model of an ecosystem with multiple trophic levels in which plants compete for a limiting soil nutrient. In contrast to previous studies that focused on single trophic levels, we show that plant biomass does not always increase with plant diversity and that changes in biodiversity can lead to complex if predictable changes in ecosystem processes. Our analysis demonstrates that food-web structure can profoundly influence ecosystem properties.", "author" : [ { "dropping-particle" : "", "family" : "Thebault", "given" : "E.", "non-dropping-particle" : "", "parse-names" : false, "suffix" : "" }, { "dropping-particle" : "", "family" : "Loreau", "given" : "Michel", "non-dropping-particle" : "", "parse-names" : false, "suffix" : "" } ], "container-title" : "PNAS", "id" : "ITEM-1", "issue" : "25", "issued" : { "date-parts" : [ [ "2003" ] ] }, "page" : "14949-14954", "title" : "Food-web constraints on biodiversity-ecosystem functioning relationships", "type" : "article-journal", "volume" : "100" }, "uris" : [ "http://www.mendeley.com/documents/?uuid=855103a0-0a4b-339c-8be3-5e75a0a6746c" ] } ], "mendeley" : { "formattedCitation" : "(Thebault &amp; Loreau, 2003)", "manualFormatting" : "(Th\u00e9bault &amp; Loreau, 2003)", "plainTextFormattedCitation" : "(Thebault &amp; Loreau, 2003)", "previouslyFormattedCitation" : "(Thebault &amp; Loreau, 2003)" }, "properties" : { "noteIndex" : 0 }, "schema" : "https://github.com/citation-style-language/schema/raw/master/csl-citation.json" }</w:instrText>
      </w:r>
      <w:r w:rsidRPr="008608AA">
        <w:fldChar w:fldCharType="separate"/>
      </w:r>
      <w:r w:rsidRPr="008608AA">
        <w:rPr>
          <w:noProof/>
        </w:rPr>
        <w:t>(Thébault &amp; Loreau, 2003)</w:t>
      </w:r>
      <w:r w:rsidRPr="008608AA">
        <w:fldChar w:fldCharType="end"/>
      </w:r>
      <w:r w:rsidRPr="008608AA">
        <w:t xml:space="preserve"> and experiments </w:t>
      </w:r>
      <w:r w:rsidRPr="008608AA">
        <w:fldChar w:fldCharType="begin" w:fldLock="1"/>
      </w:r>
      <w:r w:rsidRPr="008608AA">
        <w:instrText>ADDIN CSL_CITATION { "citationItems" : [ { "id" : "ITEM-1", "itemData" : { "DOI" : "10.1038/ncomms7936", "ISBN" : "doi:10.1038/ncomms7936", "ISSN" : "2041-1723", "PMID" : "25907115", "abstract" : "The importance of biodiversity for the integrated functioning of ecosystems remains unclear because most evidence comes from analyses of biodiversity's effect on individual functions. Here we show that the effects of biodiversity on ecosystem function become more important as more functions are considered. We present the first systematic investigation of biodiversity's effect on ecosystem multifunctionality across multiple taxa, trophic levels and habitats using a comprehensive database of 94 manipulations of species richness. We show that species-rich communities maintained multiple functions at higher levels than depauperate ones. These effects were stronger for herbivore biodiversity than for plant biodiversity, and were remarkably consistent across aquatic and terrestrial habitats. Despite observed tradeoffs, the overall effect of biodiversity on multifunctionality grew stronger as more functions were considered. These results indicate that prior research has under-estimated the importance of biodiversity for ecosystem functioning by focusing on individual functions and taxonomic groups.", "author" : [ { "dropping-particle" : "", "family" : "Lefcheck", "given" : "Jonathan S.", "non-dropping-particle" : "", "parse-names" : false, "suffix" : "" }, { "dropping-particle" : "", "family" : "Byrnes", "given" : "Jarrett E. K.", "non-dropping-particle" : "", "parse-names" : false, "suffix" : "" }, { "dropping-particle" : "", "family" : "Isbell", "given" : "Forest", "non-dropping-particle" : "", "parse-names" : false, "suffix" : "" }, { "dropping-particle" : "", "family" : "Gamfeldt", "given" : "Lars", "non-dropping-particle" : "", "parse-names" : false, "suffix" : "" }, { "dropping-particle" : "", "family" : "Griffin", "given" : "John N.", "non-dropping-particle" : "", "parse-names" : false, "suffix" : "" }, { "dropping-particle" : "", "family" : "Eisenhauer", "given" : "Nico", "non-dropping-particle" : "", "parse-names" : false, "suffix" : "" }, { "dropping-particle" : "", "family" : "Hensel", "given" : "Marc J.S.", "non-dropping-particle" : "", "parse-names" : false, "suffix" : "" }, { "dropping-particle" : "", "family" : "Hector", "given" : "Andy", "non-dropping-particle" : "", "parse-names" : false, "suffix" : "" }, { "dropping-particle" : "", "family" : "Cardinale", "given" : "Bradley J.", "non-dropping-particle" : "", "parse-names" : false, "suffix" : "" }, { "dropping-particle" : "", "family" : "Duffy", "given" : "J. Emmett", "non-dropping-particle" : "", "parse-names" : false, "suffix" : "" } ], "container-title" : "Nature Communications", "id" : "ITEM-1", "issued" : { "date-parts" : [ [ "2015" ] ] }, "page" : "6936", "title" : "Biodiversity enhances ecosystem multifunctionality across trophic levels and habitats", "type" : "article-journal", "volume" : "6" }, "uris" : [ "http://www.mendeley.com/documents/?uuid=51868b7d-a9ef-3e73-aa87-c9f0a43f59e4" ] } ], "mendeley" : { "formattedCitation" : "(Lefcheck et al., 2015)", "plainTextFormattedCitation" : "(Lefcheck et al., 2015)", "previouslyFormattedCitation" : "(Lefcheck et al., 2015)" }, "properties" : { "noteIndex" : 0 }, "schema" : "https://github.com/citation-style-language/schema/raw/master/csl-citation.json" }</w:instrText>
      </w:r>
      <w:r w:rsidRPr="008608AA">
        <w:fldChar w:fldCharType="separate"/>
      </w:r>
      <w:r w:rsidRPr="008608AA">
        <w:rPr>
          <w:noProof/>
        </w:rPr>
        <w:t>(Lefcheck et al., 2015)</w:t>
      </w:r>
      <w:r w:rsidRPr="008608AA">
        <w:fldChar w:fldCharType="end"/>
      </w:r>
      <w:r w:rsidRPr="008608AA">
        <w:t xml:space="preserve"> have shown that these relationships are largely generalizable to other trophic levels. Furthermore, given that rates of primary productivity limit the energy available to animals at all higher trophic levels, effects of changes in biodiversity on productivity have many cascading effects on other pools and fluxes of matter and energy in ecosystems </w:t>
      </w:r>
      <w:r w:rsidRPr="008608AA">
        <w:fldChar w:fldCharType="begin" w:fldLock="1"/>
      </w:r>
      <w:r w:rsidRPr="008608AA">
        <w:instrText>ADDIN CSL_CITATION { "citationItems" : [ { "id" : "ITEM-1", "itemData" : { "DOI" : "10.1038/341142a0", "abstract" : "Janeway. an explanation for the protective effect of the mHC class II I-E molecule in murine diabetes.", "author" : [ { "dropping-particle" : "al", "family" : "McNaughton", "given" : "S. J. et", "non-dropping-particle" : "", "parse-names" : false, "suffix" : "" } ], "container-title" : "Nature", "id" : "ITEM-1", "issued" : { "date-parts" : [ [ "1989" ] ] }, "page" : "142-144", "title" : "Ecosystem-level patterns of primary productivity and herbivory in terrestrial habitats", "type" : "article-journal", "volume" : "341" }, "uris" : [ "http://www.mendeley.com/documents/?uuid=e3ed06c1-4fe2-44a6-bb00-25f195b47796" ] } ], "mendeley" : { "formattedCitation" : "(McNaughton, 1989)", "manualFormatting" : "(McNaughton et al., 1989)", "plainTextFormattedCitation" : "(McNaughton, 1989)", "previouslyFormattedCitation" : "(McNaughton, 1989)" }, "properties" : { "noteIndex" : 0 }, "schema" : "https://github.com/citation-style-language/schema/raw/master/csl-citation.json" }</w:instrText>
      </w:r>
      <w:r w:rsidRPr="008608AA">
        <w:fldChar w:fldCharType="separate"/>
      </w:r>
      <w:r w:rsidRPr="008608AA">
        <w:rPr>
          <w:noProof/>
        </w:rPr>
        <w:t>(McNaughton et al., 1989)</w:t>
      </w:r>
      <w:r w:rsidRPr="008608AA">
        <w:fldChar w:fldCharType="end"/>
      </w:r>
      <w:r w:rsidRPr="008608AA">
        <w:t>.</w:t>
      </w:r>
    </w:p>
    <w:p w14:paraId="227EAA4C" w14:textId="64C75579" w:rsidR="004255E7" w:rsidRPr="008608AA" w:rsidRDefault="004255E7" w:rsidP="0039151E">
      <w:pPr>
        <w:spacing w:after="120"/>
      </w:pPr>
      <w:r w:rsidRPr="008608AA">
        <w:t xml:space="preserve">Plant species richness increases primary productivity when interspecific competition is reduced relative to intraspecific competition </w:t>
      </w:r>
      <w:r w:rsidRPr="008608AA">
        <w:fldChar w:fldCharType="begin" w:fldLock="1"/>
      </w:r>
      <w:r w:rsidRPr="008608AA">
        <w:instrText>ADDIN CSL_CITATION { "citationItems" : [ { "id" : "ITEM-1", "itemData" : { "DOI" : "10.1111/j.0030-1299.2004.12685.x", "ISBN" : "0030-1299", "ISSN" : "00301299", "PMID" : "620", "abstract" : "Functional redundancy has often been assumed as an intuitive null hypothesis in biodiversity experiments, but theory based on the classical Lotka-Volterra competition model shows that functional redundancy sensu stricto is incompatible with stable coexistence. Stable coexistence requires differences between species which lead to functional complementarity and differences between the yields of mixtures and monocultures. Only a weaker version of functional redundancy, i.e. that mixture yields lie within the range of variation of monoculture yields, is compatible with stable coexistence in Lotka-Volterra systems. Spatial and temporal environmental variability may provide room for functional redundancy at small spatial and temporal scales, but is not expected to do so at the larger scales at which environmental variations help maintain coexistence. Neutral coexistence of equivalent competitors, non-linear per capita growth rates, and lack of correlation between functional impact and biomass may provide the basis for the existence of functional redundancy in natural ecosystems. Overall, there is a striking parallel between the conditions that allow stable coexistence and those that allow overyielding.", "author" : [ { "dropping-particle" : "", "family" : "Loreau", "given" : "Michel", "non-dropping-particle" : "", "parse-names" : false, "suffix" : "" } ], "container-title" : "Oikos", "id" : "ITEM-1", "issue" : "3", "issued" : { "date-parts" : [ [ "2004" ] ] }, "page" : "606-611", "title" : "Does functional redundancy exist?", "type" : "article-journal", "volume" : "104" }, "uris" : [ "http://www.mendeley.com/documents/?uuid=fafd67f6-f594-3dde-bf9c-aceb3c33839e" ] }, { "id" : "ITEM-2", "itemData" : { "DOI" : "10.2307/1308400", "ISBN" : "0006-3568", "ISSN" : "00063568", "abstract" : "This paper shows the competitive exclusion principle of theoretical ecology to be mathematically identical to the criterion most commonly used for assessing yield advantage in intercrop situations-a \"land equivalent ratio\" greater than unity. Thus, an intercrop may show an advantage over its associated monocultures for the same ecological reasons that two species coexist in a given area.", "author" : [ { "dropping-particle" : "", "family" : "Vandermeer", "given" : "John", "non-dropping-particle" : "", "parse-names" : false, "suffix" : "" } ], "container-title" : "BioScience", "id" : "ITEM-2", "issue" : "5", "issued" : { "date-parts" : [ [ "1981" ] ] }, "page" : "361-364", "title" : "The interference production principle: an ecological theory for agriculture", "type" : "article-journal", "volume" : "31" }, "uris" : [ "http://www.mendeley.com/documents/?uuid=e61262b8-06f3-45f0-a9f4-dd1f1b07d7e9" ] } ], "mendeley" : { "formattedCitation" : "(Michel Loreau, 2004; Vandermeer, 1981)", "manualFormatting" : "(Loreau, 2004; Vandermeer, 1981)", "plainTextFormattedCitation" : "(Michel Loreau, 2004; Vandermeer, 1981)", "previouslyFormattedCitation" : "(Michel Loreau, 2004; Vandermeer, 1981)" }, "properties" : { "noteIndex" : 0 }, "schema" : "https://github.com/citation-style-language/schema/raw/master/csl-citation.json" }</w:instrText>
      </w:r>
      <w:r w:rsidRPr="008608AA">
        <w:fldChar w:fldCharType="separate"/>
      </w:r>
      <w:r w:rsidRPr="008608AA">
        <w:rPr>
          <w:noProof/>
        </w:rPr>
        <w:t>(Loreau, 2004; Vandermeer, 1981)</w:t>
      </w:r>
      <w:r w:rsidRPr="008608AA">
        <w:fldChar w:fldCharType="end"/>
      </w:r>
      <w:r w:rsidRPr="008608AA">
        <w:t>. Reduced competition among species for resources can occur in diverse communities because different plant species consume som</w:t>
      </w:r>
      <w:r w:rsidR="000957E0" w:rsidRPr="008608AA">
        <w:t>ewhat different resources (e.g.</w:t>
      </w:r>
      <w:r w:rsidRPr="008608AA">
        <w:t xml:space="preserve"> different forms of nitrogen) or consume the same resources at somewhat different times (</w:t>
      </w:r>
      <w:r w:rsidR="00847F60" w:rsidRPr="008608AA">
        <w:t>e.g.</w:t>
      </w:r>
      <w:r w:rsidRPr="008608AA">
        <w:t xml:space="preserve"> phenological niche</w:t>
      </w:r>
      <w:r w:rsidR="000957E0" w:rsidRPr="008608AA">
        <w:t xml:space="preserve"> partitioning) or places (e.g. </w:t>
      </w:r>
      <w:r w:rsidRPr="008608AA">
        <w:t xml:space="preserve">different rooting zones) </w:t>
      </w:r>
      <w:r w:rsidRPr="008608AA">
        <w:fldChar w:fldCharType="begin" w:fldLock="1"/>
      </w:r>
      <w:r w:rsidRPr="008608AA">
        <w:instrText>ADDIN CSL_CITATION { "citationItems" : [ { "id" : "ITEM-1", "itemData" : { "DOI" : "10.1038/415068a", "ISBN" : "0028-0836", "ISSN" : "00280836", "PMID" : "11780117", "abstract" : "Ecologists have long been intrigued by the ways co-occurring species divide limiting resources. Such resource partitioning, or niche differentiation, may promote species diversity by reducing competition. Although resource partitioning is an important determinant of species diversity and composition in animal communities, its importance in structuring plant communities has been difficult to resolve. This is due mainly to difficulties in studying how plants compete for below-ground resources. Here we provide evidence from a 15N-tracer field experiment showing that plant species in a nitrogen-limited, arctic tundra community were differentiated in timing, depth and chemical form of nitrogen uptake, and that species dominance was strongly correlated with uptake of the most available soil nitrogen forms. That is, the most productive species used the most abundant nitrogen forms, and less productive species used less abundant forms. To our knowledge, this is the first documentation that the composition of a plant community is related to partitioning of differentially available forms of a single limiting resource.", "author" : [ { "dropping-particle" : "", "family" : "McKane", "given" : "Robert B", "non-dropping-particle" : "", "parse-names" : false, "suffix" : "" }, { "dropping-particle" : "", "family" : "Johnson", "given" : "Loretta C", "non-dropping-particle" : "", "parse-names" : false, "suffix" : "" }, { "dropping-particle" : "", "family" : "Shaver", "given" : "Gaius R", "non-dropping-particle" : "", "parse-names" : false, "suffix" : "" }, { "dropping-particle" : "", "family" : "Nadelhoffer", "given" : "Knute J", "non-dropping-particle" : "", "parse-names" : false, "suffix" : "" }, { "dropping-particle" : "", "family" : "Rastetter", "given" : "Edward B", "non-dropping-particle" : "", "parse-names" : false, "suffix" : "" }, { "dropping-particle" : "", "family" : "Fry", "given" : "Brian", "non-dropping-particle" : "", "parse-names" : false, "suffix" : "" }, { "dropping-particle" : "", "family" : "Giblin", "given" : "Anne E", "non-dropping-particle" : "", "parse-names" : false, "suffix" : "" }, { "dropping-particle" : "", "family" : "Kielland", "given" : "Knut", "non-dropping-particle" : "", "parse-names" : false, "suffix" : "" }, { "dropping-particle" : "", "family" : "Kwiatkowski", "given" : "Bonnie L", "non-dropping-particle" : "", "parse-names" : false, "suffix" : "" }, { "dropping-particle" : "", "family" : "Laundre", "given" : "James A.", "non-dropping-particle" : "", "parse-names" : false, "suffix" : "" }, { "dropping-particle" : "", "family" : "Murray", "given" : "Georgia", "non-dropping-particle" : "", "parse-names" : false, "suffix" : "" } ], "container-title" : "Nature", "id" : "ITEM-1", "issue" : "6867", "issued" : { "date-parts" : [ [ "2002" ] ] }, "page" : "68-71", "title" : "Resource-based niches provide a basis for plant species diversity and dominance in arctic tundra", "type" : "article-journal", "volume" : "415" }, "uris" : [ "http://www.mendeley.com/documents/?uuid=6910263c-b9bf-3704-886a-f0de7d84eb65" ] }, { "id" : "ITEM-2", "itemData" : { "ISBN" : "0027-8424", "PMID" : "11038606", "abstract" : "Ecosystem processes are thought to depend on both the number and identity of the species present in an ecosystem, but mathematical theory predicting this has been lacking, Here we present three simple models of interspecific competitive interactions in communities containing various numbers of randomly chosen species, All three models predict that, on average, productivity increases asymptotically with the original biodiversity of a community. The two models that address plant nutrient competition also predict that ecosystem nutrient retention increases with biodiversity and that the effects of biodiversity on productivity and nutrient retention increase with interspecific differences in resource requirements. All three models show that both species identity and biodiversity simultaneously influence ecosystem functioning, but their relative importance varies greatly among the models. This theory reinforces recent experimental results and shows that effects of biodiversity on ecosystem functioning are predicted by well-known ecological processes. Recent studies have shown that several community and ecosystem processes are correlated with species diversity (1\u00e2\u20ac\u201c12), However, recent work, plus early observations by Darwin (20), have left open two major questions: Are effects of biodiversity on ecosystems the logical outcome of fundamental ecological processes, such as interspecific competition for resources, or must deeper explanations be sought? And, what are the potential impacts of the rapid increases in global extinctions (e.g., ref. 21) and of the extreme simplifications of humandominated ecosystems (e.g., ref. 22) on ecosystem functioning? In total, this simple model illustrates a potentially important effect of diversity\u00e2\u20ac\u201dthe sampling effect. All else being equal, greater original diversity increases the chance that species that have a given impact on a community or ecosystem process are present. If interspecific interactions cause such species to become dominant, then, on average, the rate or intensity of this community or ecosystem process will depend on diversity. This model also demonstrates that the effects of diversity are unavoidably the effects of species differences, and that it is possible to distinguish between the effects of the number of species versus their identity. Finally, for this case, the effects of various species combinations explain more of the observed variance in ecosystem performance than does diversity, reinforcing the lo\u2026", "author" : [ { "dropping-particle" : "", "family" : "Tilman", "given" : "David", "non-dropping-particle" : "", "parse-names" : false, "suffix" : "" }, { "dropping-particle" : "", "family" : "Lehman", "given" : "Clarence L.", "non-dropping-particle" : "", "parse-names" : false, "suffix" : "" }, { "dropping-particle" : "", "family" : "Thomson", "given" : "Kendell T.", "non-dropping-particle" : "", "parse-names" : false, "suffix" : "" } ], "container-title" : "PNAS", "id" : "ITEM-2", "issue" : "5", "issued" : { "date-parts" : [ [ "1997" ] ] }, "page" : "1857-1861", "title" : "Plant diversity and ecosystem productivity: theoretical considerations", "type" : "article-journal", "volume" : "94" }, "uris" : [ "http://www.mendeley.com/documents/?uuid=422c5a40-9247-3406-a0a0-edc42db07a3c" ] } ], "mendeley" : { "formattedCitation" : "(McKane et al., 2002; David Tilman et al., 1997)", "manualFormatting" : "(McKane et al., 2002; Tilman et al., 1997)", "plainTextFormattedCitation" : "(McKane et al., 2002; David Tilman et al., 1997)", "previouslyFormattedCitation" : "(McKane et al., 2002; David Tilman et al., 1997)" }, "properties" : { "noteIndex" : 0 }, "schema" : "https://github.com/citation-style-language/schema/raw/master/csl-citation.json" }</w:instrText>
      </w:r>
      <w:r w:rsidRPr="008608AA">
        <w:fldChar w:fldCharType="separate"/>
      </w:r>
      <w:r w:rsidRPr="008608AA">
        <w:rPr>
          <w:noProof/>
        </w:rPr>
        <w:t>(McKane et al., 2002; Tilman et al., 1997)</w:t>
      </w:r>
      <w:r w:rsidRPr="008608AA">
        <w:fldChar w:fldCharType="end"/>
      </w:r>
      <w:r w:rsidRPr="008608AA">
        <w:t xml:space="preserve">. Such resource partitioning likely contributes to both coexistence and positive effects of plant diversity on ecosystem productivity in many ecological communities </w:t>
      </w:r>
      <w:r w:rsidRPr="008608AA">
        <w:fldChar w:fldCharType="begin" w:fldLock="1"/>
      </w:r>
      <w:r w:rsidRPr="008608AA">
        <w:instrText>ADDIN CSL_CITATION { "citationItems" : [ { "id" : "ITEM-1", "itemData" : { "DOI" : "10.1098/rspb.2016.0536", "ISBN" : "0000000213097", "ISSN" : "0962-8452", "PMID" : "27928043", "abstract" : "Biodiversity experiments have generated robust empirical results supporting the hypothesis that ecosystems function betterwhen they containmore species. Given that ecosystems provide services that are valued by humans, this inevi- tably suggests that the loss of species from natural ecosystems could diminish their value. This raises twoimportant questions. First,will experimental results translate into the real world, where species are being lost at an alarming rate? And second, what are the benefits and pitfalls of such valuation exercises? We argue that theempirical results obtained in experiments are entirely consist- ent with well-established theories of species coexistence.We then examine the current body of work through the lens of niche theory and highlight where closer links with theory could open up opportunities for future research. We argue that niche theory predicts that diversity\u2013functioning relationships are likely to be stronger (and require more species) in the field than in simplified experimental settings. However, we caution that while many of the biological processes that promote coexistence can also generate diversity\u2013function relationships, there is no simple mapping between the two. This implies that valuation exercises need to proceed with care.", "author" : [ { "dropping-particle" : "", "family" : "Turnbull", "given" : "Lindsay A.", "non-dropping-particle" : "", "parse-names" : false, "suffix" : "" }, { "dropping-particle" : "", "family" : "Isbell", "given" : "Forest", "non-dropping-particle" : "", "parse-names" : false, "suffix" : "" }, { "dropping-particle" : "", "family" : "Purves", "given" : "Drew W.", "non-dropping-particle" : "", "parse-names" : false, "suffix" : "" }, { "dropping-particle" : "", "family" : "Loreau", "given" : "Michel", "non-dropping-particle" : "", "parse-names" : false, "suffix" : "" }, { "dropping-particle" : "", "family" : "Hector", "given" : "Andy", "non-dropping-particle" : "", "parse-names" : false, "suffix" : "" } ], "container-title" : "Proceedings of the Royal Society B: Biological Sciences", "id" : "ITEM-1", "issue" : "1844", "issued" : { "date-parts" : [ [ "2016" ] ] }, "page" : "20160536", "title" : "Understanding the value of plant diversity for ecosystem functioning through niche theory", "type" : "article-journal", "volume" : "283" }, "uris" : [ "http://www.mendeley.com/documents/?uuid=5e67cf4b-31a6-374f-b207-88c5ad934588" ] } ], "mendeley" : { "formattedCitation" : "(Turnbull, Isbell, Purves, Loreau, &amp; Hector, 2016)", "manualFormatting" : "(Turnbull et al., 2016)", "plainTextFormattedCitation" : "(Turnbull, Isbell, Purves, Loreau, &amp; Hector, 2016)", "previouslyFormattedCitation" : "(Turnbull, Isbell, Purves, Loreau, &amp; Hector, 2016)" }, "properties" : { "noteIndex" : 0 }, "schema" : "https://github.com/citation-style-language/schema/raw/master/csl-citation.json" }</w:instrText>
      </w:r>
      <w:r w:rsidRPr="008608AA">
        <w:fldChar w:fldCharType="separate"/>
      </w:r>
      <w:r w:rsidRPr="008608AA">
        <w:rPr>
          <w:noProof/>
        </w:rPr>
        <w:t>(Turnbull et al., 2016)</w:t>
      </w:r>
      <w:r w:rsidRPr="008608AA">
        <w:fldChar w:fldCharType="end"/>
      </w:r>
      <w:r w:rsidRPr="008608AA">
        <w:t xml:space="preserve">. Similarly, increased plant species richness can lead to increased ecosystem productivity when there is reduced apparent competition in diverse communities because plant species can avoid natural enemies, such as specialized herbivores or pathogens, that become diluted in diverse communities </w:t>
      </w:r>
      <w:r w:rsidRPr="008608AA">
        <w:fldChar w:fldCharType="begin" w:fldLock="1"/>
      </w:r>
      <w:r w:rsidRPr="008608AA">
        <w:instrText>ADDIN CSL_CITATION { "citationItems" : [ { "id" : "ITEM-1", "itemData" : { "DOI" : "10.1098/rspb.2016.0536", "ISBN" : "0000000213097", "ISSN" : "0962-8452", "PMID" : "27928043", "abstract" : "Biodiversity experiments have generated robust empirical results supporting the hypothesis that ecosystems function betterwhen they containmore species. Given that ecosystems provide services that are valued by humans, this inevi- tably suggests that the loss of species from natural ecosystems could diminish their value. This raises twoimportant questions. First,will experimental results translate into the real world, where species are being lost at an alarming rate? And second, what are the benefits and pitfalls of such valuation exercises? We argue that theempirical results obtained in experiments are entirely consist- ent with well-established theories of species coexistence.We then examine the current body of work through the lens of niche theory and highlight where closer links with theory could open up opportunities for future research. We argue that niche theory predicts that diversity\u2013functioning relationships are likely to be stronger (and require more species) in the field than in simplified experimental settings. However, we caution that while many of the biological processes that promote coexistence can also generate diversity\u2013function relationships, there is no simple mapping between the two. This implies that valuation exercises need to proceed with care.", "author" : [ { "dropping-particle" : "", "family" : "Turnbull", "given" : "Lindsay A.", "non-dropping-particle" : "", "parse-names" : false, "suffix" : "" }, { "dropping-particle" : "", "family" : "Isbell", "given" : "Forest", "non-dropping-particle" : "", "parse-names" : false, "suffix" : "" }, { "dropping-particle" : "", "family" : "Purves", "given" : "Drew W.", "non-dropping-particle" : "", "parse-names" : false, "suffix" : "" }, { "dropping-particle" : "", "family" : "Loreau", "given" : "Michel", "non-dropping-particle" : "", "parse-names" : false, "suffix" : "" }, { "dropping-particle" : "", "family" : "Hector", "given" : "Andy", "non-dropping-particle" : "", "parse-names" : false, "suffix" : "" } ], "container-title" : "Proceedings of the Royal Society B: Biological Sciences", "id" : "ITEM-1", "issue" : "1844", "issued" : { "date-parts" : [ [ "2016" ] ] }, "page" : "20160536", "title" : "Understanding the value of plant diversity for ecosystem functioning through niche theory", "type" : "article-journal", "volume" : "283" }, "uris" : [ "http://www.mendeley.com/documents/?uuid=5e67cf4b-31a6-374f-b207-88c5ad934588" ] }, { "id" : "ITEM-2", "itemData" : { "DOI" : "10.1890/07-2056.1", "ISBN" : "0012-9658", "ISSN" : "00129658", "PMID" : "19569358", "abstract" : "To understand how different frugivores impact dispersal, we studied the assemblage that feed on Virola flexuosa over a two-year period at two sites differing in hunting pressure in Ecuador. We focus on disperser effectiveness and test the hypothesis that seed removal, influenced by differential visits of large-bodied frugivores, will differ between hunted and non-hunted sites. All visiting frugivores were identified, and fruit handling behavior and seed removal rates quantified. Seed traps were placed under fruiting trees to estimate crop size and fruit removal. Seventeen bird and three primate species were recorded foraging in V. flexuosa trees. Toucans and primates were the most important dispersers comprising nearly 85% of visits with six toucan species recorded in 74% of visits. A proportionately larger number of seeds were removed from fruiting trees at a non-hunted site (89.4%) than a hunted site (66.8%). In addition, there were significantly more frugivore visits at the non-hunted than the hunted site. The differences in the frugivore assemblage and the number of seeds dispersed from individual trees between two structurally similar forest sites suggest dispersal limitation resulting from a decline in frugivores.", "author" : [ { "dropping-particle" : "", "family" : "Petermann", "given" : "Jana S.", "non-dropping-particle" : "", "parse-names" : false, "suffix" : "" }, { "dropping-particle" : "", "family" : "Fergus", "given" : "Alexander J. F.", "non-dropping-particle" : "", "parse-names" : false, "suffix" : "" }, { "dropping-particle" : "", "family" : "Turnbull", "given" : "Lindsay A.", "non-dropping-particle" : "", "parse-names" : false, "suffix" : "" }, { "dropping-particle" : "", "family" : "Schmid", "given" : "Bernhard", "non-dropping-particle" : "", "parse-names" : false, "suffix" : "" } ], "container-title" : "Ecology", "id" : "ITEM-2", "issue" : "9", "issued" : { "date-parts" : [ [ "2008" ] ] }, "page" : "2399-2406", "title" : "Janzen-Connell effects are widespread and strong enough to maintain diversity in grasslands", "type" : "article-journal", "volume" : "89" }, "uris" : [ "http://www.mendeley.com/documents/?uuid=3cf7cd27-491c-37bd-b775-6b7057cda536" ] } ], "mendeley" : { "formattedCitation" : "(Petermann, Fergus, Turnbull, &amp; Schmid, 2008; Turnbull et al., 2016)", "manualFormatting" : "(Petermann et al., 2008; Turnbull et al., 2016)", "plainTextFormattedCitation" : "(Petermann, Fergus, Turnbull, &amp; Schmid, 2008; Turnbull et al., 2016)", "previouslyFormattedCitation" : "(Petermann, Fergus, Turnbull, &amp; Schmid, 2008; Turnbull et al., 2016)" }, "properties" : { "noteIndex" : 0 }, "schema" : "https://github.com/citation-style-language/schema/raw/master/csl-citation.json" }</w:instrText>
      </w:r>
      <w:r w:rsidRPr="008608AA">
        <w:fldChar w:fldCharType="separate"/>
      </w:r>
      <w:r w:rsidRPr="008608AA">
        <w:rPr>
          <w:noProof/>
        </w:rPr>
        <w:t>(Petermann et al., 2008; Turnbull et al., 2016)</w:t>
      </w:r>
      <w:r w:rsidRPr="008608AA">
        <w:fldChar w:fldCharType="end"/>
      </w:r>
      <w:r w:rsidRPr="008608AA">
        <w:t xml:space="preserve">. Strong effects of complementarity between species or groups of species </w:t>
      </w:r>
      <w:r w:rsidRPr="008608AA">
        <w:fldChar w:fldCharType="begin" w:fldLock="1"/>
      </w:r>
      <w:r w:rsidRPr="008608AA">
        <w:instrText>ADDIN CSL_CITATION { "citationItems" : [ { "id" : "ITEM-1", "itemData" : { "DOI" : "10.1111/j.1365-2745.2007.01295.x", "abstract" : "1. Once neglected, the role of facilitative interactions in plant communities has received considerable attention in the last two decades, and is now widely recognized. It is timely to consider the progress made by research in this field. 2. We review the development of plant facilitation research, focusing on the history of the field, the relationship between plant\u2013plant interactions and environmental severity gradients, and attempts to integrate facilitation into mainstream ecological theory. We then consider future directions for facilitation research. 3. With respect to our fundamental understanding of plant facilitation, clarification of the relationship between interactions and environmental gradients is central for further progress, and necessitates the design and implementation of experiments that move beyond the clear limitations of previous studies. 4. There is substantial scope for exploring indirect facilitative effects in plant communities, including their impacts on diversity and evolution, and future studies should connect the degree of non-transitivity in plant competitive networks to community diversity and facilitative promotion of species coexistence, and explore how the role of indirect facilitation ...", "author" : [ { "dropping-particle" : "", "family" : "Brooker", "given" : "Rob W.", "non-dropping-particle" : "", "parse-names" : false, "suffix" : "" }, { "dropping-particle" : "", "family" : "Maestre", "given" : "Fernando T.", "non-dropping-particle" : "", "parse-names" : false, "suffix" : "" }, { "dropping-particle" : "", "family" : "Callaway", "given" : "Ragan M.", "non-dropping-particle" : "", "parse-names" : false, "suffix" : "" }, { "dropping-particle" : "", "family" : "Lortie", "given" : "Christopher J.", "non-dropping-particle" : "", "parse-names" : false, "suffix" : "" }, { "dropping-particle" : "", "family" : "Cavieres", "given" : "Lohengrin A.", "non-dropping-particle" : "", "parse-names" : false, "suffix" : "" }, { "dropping-particle" : "", "family" : "Kunstler", "given" : "Georges", "non-dropping-particle" : "", "parse-names" : false, "suffix" : "" }, { "dropping-particle" : "", "family" : "Liancourt", "given" : "Pierre", "non-dropping-particle" : "", "parse-names" : false, "suffix" : "" }, { "dropping-particle" : "", "family" : "Travis", "given" : "Justin M. J.", "non-dropping-particle" : "", "parse-names" : false, "suffix" : "" }, { "dropping-particle" : "", "family" : "Anthelme", "given" : "Fabien", "non-dropping-particle" : "", "parse-names" : false, "suffix" : "" }, { "dropping-particle" : "", "family" : "Armas", "given" : "Cristina", "non-dropping-particle" : "", "parse-names" : false, "suffix" : "" }, { "dropping-particle" : "", "family" : "Coll", "given" : "Lluis", "non-dropping-particle" : "", "parse-names" : false, "suffix" : "" }, { "dropping-particle" : "", "family" : "Corcket", "given" : "Emmanuel", "non-dropping-particle" : "", "parse-names" : false, "suffix" : "" }, { "dropping-particle" : "", "family" : "Delzon", "given" : "Sylvain", "non-dropping-particle" : "", "parse-names" : false, "suffix" : "" }, { "dropping-particle" : "", "family" : "Forey", "given" : "Estelle", "non-dropping-particle" : "", "parse-names" : false, "suffix" : "" }, { "dropping-particle" : "", "family" : "Kikvidze", "given" : "Zaal", "non-dropping-particle" : "", "parse-names" : false, "suffix" : "" }, { "dropping-particle" : "", "family" : "Olofsson", "given" : "Johan", "non-dropping-particle" : "", "parse-names" : false, "suffix" : "" }, { "dropping-particle" : "", "family" : "Pugnaire", "given" : "Francisco", "non-dropping-particle" : "", "parse-names" : false, "suffix" : "" }, { "dropping-particle" : "", "family" : "Quiroz", "given" : "Constanza L.", "non-dropping-particle" : "", "parse-names" : false, "suffix" : "" }, { "dropping-particle" : "", "family" : "Saccone", "given" : "Patrick", "non-dropping-particle" : "", "parse-names" : false, "suffix" : "" }, { "dropping-particle" : "", "family" : "Schiffers", "given" : "Katja", "non-dropping-particle" : "", "parse-names" : false, "suffix" : "" }, { "dropping-particle" : "", "family" : "Seifan", "given" : "Merav", "non-dropping-particle" : "", "parse-names" : false, "suffix" : "" }, { "dropping-particle" : "", "family" : "Touzard", "given" : "Blaise", "non-dropping-particle" : "", "parse-names" : false, "suffix" : "" }, { "dropping-particle" : "", "family" : "Michalet", "given" : "Richard", "non-dropping-particle" : "", "parse-names" : false, "suffix" : "" } ], "container-title" : "Journal of Ecology", "id" : "ITEM-1", "issue" : "1", "issued" : { "date-parts" : [ [ "2008" ] ] }, "page" : "18-34", "title" : "Facilitation in plant communities: the past, the present, and the future", "type" : "article-journal", "volume" : "96" }, "uris" : [ "http://www.mendeley.com/documents/?uuid=1dd1fe46-6084-4fbb-866f-2aeea1799db4" ] } ], "mendeley" : { "formattedCitation" : "(Brooker et al., 2008)", "plainTextFormattedCitation" : "(Brooker et al., 2008)", "previouslyFormattedCitation" : "(Brooker et al., 2008)" }, "properties" : { "noteIndex" : 0 }, "schema" : "https://github.com/citation-style-language/schema/raw/master/csl-citation.json" }</w:instrText>
      </w:r>
      <w:r w:rsidRPr="008608AA">
        <w:fldChar w:fldCharType="separate"/>
      </w:r>
      <w:r w:rsidRPr="008608AA">
        <w:rPr>
          <w:noProof/>
        </w:rPr>
        <w:t>(Brooker et al., 2008)</w:t>
      </w:r>
      <w:r w:rsidRPr="008608AA">
        <w:fldChar w:fldCharType="end"/>
      </w:r>
      <w:r w:rsidRPr="008608AA">
        <w:t xml:space="preserve">, such as between grasses and legumes </w:t>
      </w:r>
      <w:r w:rsidRPr="008608AA">
        <w:fldChar w:fldCharType="begin" w:fldLock="1"/>
      </w:r>
      <w:r w:rsidRPr="008608AA">
        <w:instrText>ADDIN CSL_CITATION { "citationItems" : [ { "id" : "ITEM-1", "itemData" : { "author" : [ { "dropping-particle" : "", "family" : "Temperton", "given" : "V. M.", "non-dropping-particle" : "", "parse-names" : false, "suffix" : "" }, { "dropping-particle" : "", "family" : "Mwangi", "given" : "P. N.", "non-dropping-particle" : "", "parse-names" : false, "suffix" : "" }, { "dropping-particle" : "", "family" : "Scherer-Lorenzen", "given" : "M.", "non-dropping-particle" : "", "parse-names" : false, "suffix" : "" }, { "dropping-particle" : "", "family" : "Schmid", "given" : "B.", "non-dropping-particle" : "", "parse-names" : false, "suffix" : "" }, { "dropping-particle" : "", "family" : "Buchmann", "given" : "N.", "non-dropping-particle" : "", "parse-names" : false, "suffix" : "" } ], "container-title" : "Oecologia", "id" : "ITEM-1", "issue" : "2", "issued" : { "date-parts" : [ [ "2007" ] ] }, "page" : "190-205", "title" : "Positive interactions between nitrogen-fixing legumes and four different neighbouring species in a biodiversity experiment", "type" : "article-journal", "volume" : "151" }, "uris" : [ "http://www.mendeley.com/documents/?uuid=92f5698f-4113-4134-be31-f39fa8895e50" ] } ], "mendeley" : { "formattedCitation" : "(Temperton, Mwangi, Scherer-Lorenzen, Schmid, &amp; Buchmann, 2007)", "manualFormatting" : "(Temperton et al., 2007)", "plainTextFormattedCitation" : "(Temperton, Mwangi, Scherer-Lorenzen, Schmid, &amp; Buchmann, 2007)", "previouslyFormattedCitation" : "(Temperton, Mwangi, Scherer-Lorenzen, Schmid, &amp; Buchmann, 2007)" }, "properties" : { "noteIndex" : 0 }, "schema" : "https://github.com/citation-style-language/schema/raw/master/csl-citation.json" }</w:instrText>
      </w:r>
      <w:r w:rsidRPr="008608AA">
        <w:fldChar w:fldCharType="separate"/>
      </w:r>
      <w:r w:rsidRPr="008608AA">
        <w:rPr>
          <w:noProof/>
        </w:rPr>
        <w:t>(Temperton et al., 2007)</w:t>
      </w:r>
      <w:r w:rsidRPr="008608AA">
        <w:fldChar w:fldCharType="end"/>
      </w:r>
      <w:r w:rsidRPr="008608AA">
        <w:t xml:space="preserve">, contribute to </w:t>
      </w:r>
      <w:r w:rsidRPr="008608AA">
        <w:rPr>
          <w:color w:val="000000" w:themeColor="text1"/>
        </w:rPr>
        <w:t xml:space="preserve">the </w:t>
      </w:r>
      <w:r w:rsidRPr="008608AA">
        <w:t xml:space="preserve">positive effects of plant diversity on ecosystem productivity. Results from the five longest-running grassland biodiversity experiments suggest that these complementarity effects grow stronger over time, while the importance of individual species that are particularly productive become less important for ecosystem productivity </w:t>
      </w:r>
      <w:r w:rsidRPr="008608AA">
        <w:fldChar w:fldCharType="begin" w:fldLock="1"/>
      </w:r>
      <w:r w:rsidRPr="008608AA">
        <w:instrText>ADDIN CSL_CITATION { "citationItems" : [ { "id" : "ITEM-1", "itemData" : { "author" : [ { "dropping-particle" : "", "family" : "Fargione", "given" : "J.", "non-dropping-particle" : "", "parse-names" : false, "suffix" : "" }, { "dropping-particle" : "", "family" : "Tilman", "given" : "D.", "non-dropping-particle" : "", "parse-names" : false, "suffix" : "" }, { "dropping-particle" : "", "family" : "Dybzinski", "given" : "R.", "non-dropping-particle" : "", "parse-names" : false, "suffix" : "" }, { "dropping-particle" : "", "family" : "Lambers", "given" : "J.H.R.", "non-dropping-particle" : "", "parse-names" : false, "suffix" : "" }, { "dropping-particle" : "", "family" : "Clark", "given" : "C.", "non-dropping-particle" : "", "parse-names" : false, "suffix" : "" }, { "dropping-particle" : "", "family" : "Harpole", "given" : "W.S.", "non-dropping-particle" : "", "parse-names" : false, "suffix" : "" }, { "dropping-particle" : "", "family" : "Knops", "given" : "J.M.H.", "non-dropping-particle" : "", "parse-names" : false, "suffix" : "" }, { "dropping-particle" : "", "family" : "Reich", "given" : "P.B.", "non-dropping-particle" : "", "parse-names" : false, "suffix" : "" }, { "dropping-particle" : "", "family" : "Loreau", "given" : "M.", "non-dropping-particle" : "", "parse-names" : false, "suffix" : "" } ], "container-title" : "Proceedings of the Royal Society Biological Sciences", "id" : "ITEM-1", "issue" : "1611", "issued" : { "date-parts" : [ [ "2007" ] ] }, "page" : "871-876", "title" : "From selection to complementarity: shifts in the causes of biodiversity-productivity relationships in a long-term biodiversity experiment", "type" : "article-journal", "volume" : "274" }, "uris" : [ "http://www.mendeley.com/documents/?uuid=e5cf8232-5532-4876-90ab-2d4d5aad0f6e" ] }, { "id" : "ITEM-2", "itemData" : { "DOI" : "10.1890/08-0514.1", "ISBN" : "0012-9658 (Print)\\r0012-9658 (Linking)", "ISSN" : "00129658", "PMID" : "19694131", "abstract" : "Development of theory has outpaced experimental tests for most maintenance of diversity mechanisms. Here we demonstrate how data from biodiversity-ecosystem functioning experiments can be used to determine the mechanisms that maintain plant species diversity. We hypothesized that grassland plant diversity is maintained by two classes of mechanisms: (1) equalizing mechanisms, which reduce asymmetric competition by reducing differences in monoculture biomass production among species in mixture, and (2) species interaction mechanisms, which increase overyielding by increasing niche partitioning and facilitation among species in mixture. Specifically, equalizing mechanisms reduce the coefficient of variation in monoculture biomass production among species in mixture. Species interaction mechanisms increase species overyielding in mixture, especially for low-biomass species. We tested these predictions with a seven-year data set from an experiment that varied grassland plant species evenness and richness. We used path analysis to model effects of these mechanisms on annual and multiyear changes in diversity. We found that diversity was frequently maintained by species interaction mechanisms and was infrequently maintained by equalizing mechanisms. Species interaction mechanisms maintained diversity by allowing the species that produced the least biomass in monoculture to benefit the most from species interactions in mixture. Equalizing mechanisms infrequently maintained diversity because asymmetric competition infrequently resulted in competitive exclusion. We propose that this mechanistic framework be used to better understand the specific processes that influence diversity.", "author" : [ { "dropping-particle" : "", "family" : "Isbell", "given" : "Forest I.", "non-dropping-particle" : "", "parse-names" : false, "suffix" : "" }, { "dropping-particle" : "", "family" : "Polley", "given" : "H. Wayne", "non-dropping-particle" : "", "parse-names" : false, "suffix" : "" }, { "dropping-particle" : "", "family" : "Wilsey", "given" : "Brian J.", "non-dropping-particle" : "", "parse-names" : false, "suffix" : "" } ], "container-title" : "Ecology", "id" : "ITEM-2", "issue" : "7", "issued" : { "date-parts" : [ [ "2009" ] ] }, "page" : "1821-1830", "title" : "Species interaction mechanisms maintain grassland plant species diversity", "type" : "article-journal", "volume" : "90" }, "uris" : [ "http://www.mendeley.com/documents/?uuid=8ee76732-3e70-36d5-8a1e-c4e58f340e56" ] }, { "id" : "ITEM-3", "itemData" : { "DOI" : "10.1890/09-0069.1", "ISBN" : "0012-9658", "ISSN" : "00129658", "PMID" : "20120799", "abstract" : "Plant diversity has been shown to increase community biomass in experimental communities, but the mechanisms resulting in such positive biodiversity effects have remained largely unknown. We used a large-scale six-year biodiversity experiment near Jena, Germany, to examine how aboveground community biomass in grasslands is affected by different components of plant diversity and thereby infer the mechanisms that may underlie positive biodiversity effects. As components of diversity we defined the number of species (1\u201316), number of functional groups (1\u20134), presence of functional groups (legumes, tall herbs, small herbs, and grasses) and proportional abundance of functional groups. Using linear models, replacement series on the level of functional groups, and additive partitioning on the level of species, we explored whether the observed biodiversity effects originated from disproportionate effects of single functional groups or species or from positive interactions between them. Aboveground community biomass was positively related to the number of species measured across functional groups as well as to the number of functional groups measured across different levels of species richness. Furthermore, increasing the number of species within functional groups increased aboveground community biomass, indicating that species within functional groups were not redundant with respect to biomass production. A positive relationship between the number of functional groups and aboveground community biomass within a particular level of species richness suggested that complementarity was larger between species belonging to different rather than to the same functional groups. The presence of legumes or tall herbs had a strong positive impact on aboveground community biomass whereas the presence of small herbs or grasses had on average no significant effect. Two- and three-way interactions between functional group presences were weak, suggesting that their main effects were largely additive. Replacement series analyses on the level of functional groups revealed strong transgressive overyielding and relative yields &gt;1, indicating facilitation. On the species level, we found strong complementarity effects that increased over time while selection effects due to disproportionate contributions of particular species decreased over time. We conclude that transgressive overyielding between functional groups and species richness effects within functional groups caused the positi\u2026", "author" : [ { "dropping-particle" : "", "family" : "Marquard", "given" : "Elisabeth", "non-dropping-particle" : "", "parse-names" : false, "suffix" : "" }, { "dropping-particle" : "", "family" : "Weigelt", "given" : "Alexandra", "non-dropping-particle" : "", "parse-names" : false, "suffix" : "" }, { "dropping-particle" : "", "family" : "Temperton", "given" : "Vicky M.", "non-dropping-particle" : "", "parse-names" : false, "suffix" : "" }, { "dropping-particle" : "", "family" : "Roscher", "given" : "Christiane", "non-dropping-particle" : "", "parse-names" : false, "suffix" : "" }, { "dropping-particle" : "", "family" : "Schumacher", "given" : "Jens", "non-dropping-particle" : "", "parse-names" : false, "suffix" : "" }, { "dropping-particle" : "", "family" : "Buchmann", "given" : "Nina", "non-dropping-particle" : "", "parse-names" : false, "suffix" : "" }, { "dropping-particle" : "", "family" : "Fischer", "given" : "Markus", "non-dropping-particle" : "", "parse-names" : false, "suffix" : "" }, { "dropping-particle" : "", "family" : "Weisser", "given" : "Wolfgang W.", "non-dropping-particle" : "", "parse-names" : false, "suffix" : "" }, { "dropping-particle" : "", "family" : "Schmid", "given" : "Bernhard", "non-dropping-particle" : "", "parse-names" : false, "suffix" : "" } ], "container-title" : "Ecology", "id" : "ITEM-3", "issue" : "12", "issued" : { "date-parts" : [ [ "2009" ] ] }, "page" : "3290-3302", "title" : "Plant species richness and functional composition drive overyielding in a six-year grassland experiment", "type" : "article-journal", "volume" : "90" }, "uris" : [ "http://www.mendeley.com/documents/?uuid=13b4b3a2-c4fa-3f9d-8321-55c9735047b6" ] }, { "id" : "ITEM-4", "itemData" : { "DOI" : "10.1126/science.1217909", "ISBN" : "0036-8075", "ISSN" : "0036-8075", "PMID" : "22556253", "abstract" : "Plant diversity generally promotes biomass production, but how the shape of the response curve changes with time remains unclear. This is a critical knowledge gap because the shape of this relationship indicates the extent to which loss of the first few species will influence biomass production. Using two long-term (&gt;= 13 years) biodiversity experiments, we show that the effects of diversity on biomass productivity increased and became less saturating over time. Our analyses suggest that effects of diversity-dependent ecosystem feedbacks and interspecific complementarity accumulate over time, causing high-diversity species combinations that appeared functionally redundant during early years to become more functionally unique through time. Consequently, simplification of diverse ecosystems will likely have greater negative impacts on ecosystem functioning than has been suggested by short-term experiments.", "author" : [ { "dropping-particle" : "", "family" : "Reich", "given" : "P. B.", "non-dropping-particle" : "", "parse-names" : false, "suffix" : "" }, { "dropping-particle" : "", "family" : "Tilman", "given" : "D.", "non-dropping-particle" : "", "parse-names" : false, "suffix" : "" }, { "dropping-particle" : "", "family" : "Isbell", "given" : "F.", "non-dropping-particle" : "", "parse-names" : false, "suffix" : "" }, { "dropping-particle" : "", "family" : "Mueller", "given" : "K.", "non-dropping-particle" : "", "parse-names" : false, "suffix" : "" }, { "dropping-particle" : "", "family" : "Hobbie", "given" : "S. E.", "non-dropping-particle" : "", "parse-names" : false, "suffix" : "" }, { "dropping-particle" : "", "family" : "Flynn", "given" : "D. F. B.", "non-dropping-particle" : "", "parse-names" : false, "suffix" : "" }, { "dropping-particle" : "", "family" : "Eisenhauer", "given" : "N.", "non-dropping-particle" : "", "parse-names" : false, "suffix" : "" } ], "container-title" : "Science", "id" : "ITEM-4", "issue" : "6081", "issued" : { "date-parts" : [ [ "2012" ] ] }, "page" : "589-592", "title" : "Impacts of biodiversity loss escalate through time as redundancy fades", "type" : "article-journal", "volume" : "336" }, "uris" : [ "http://www.mendeley.com/documents/?uuid=d2c58b9a-5c3c-4d9c-b14f-374e86d1ddab" ] }, { "id" : "I</w:instrText>
      </w:r>
      <w:r w:rsidRPr="008608AA">
        <w:rPr>
          <w:lang w:val="de-DE"/>
        </w:rPr>
        <w:instrText>TEM-5", "itemData" : { "author" : [ { "dropping-particle" : "", "family" : "Ruijven", "given" : "J.", "non-dropping-particle" : "van", "parse-names" : false, "suffix" : "" }, { "dropping-particle" : "", "family" : "Berendse", "given" : "F.", "non-dropping-particle" : "", "parse-names" : false, "suffix" : "" } ], "container-title" : "Oikos", "id" : "ITEM-5", "issue" : "1", "issued" : { "date-parts" : [ [ "2009" ] ] }, "page" : "101-106", "title" : "Long-term persistence of a positive plant diversity-productivity relationship in the absence of legumes", "type" : "article-journal", "volume" : "118" }, "uris" : [ "http://www.mendeley.com/documents/?uuid=8ff82e24-820e-4bd0-9c34-b42aeece712e" ] } ], "mendeley" : { "formattedCitation" : "(Fargione et al., 2007; Isbell, Polley, &amp; Wilsey, 2009; Marquard et al., 2009; P. B. Reich et al., 2012; J. van Ruijven &amp; Berendse, 2009)", "manualFormatting" : "(Fargione et al., 2007; Isbell et al., 2009; Marquard et al., 2009; Reich et al., 2012; van Ruijven &amp; Berendse, 2009)", "plainTextFormattedCitation" : "(Fargione et al., 2007; Isbell, Polley, &amp; Wilsey, 2009; Marquard et al., 2009; P. B. Reich et al., 2012; J. van Ruijven &amp; Berendse, 2009)", "previouslyFormattedCitation" : "(Fargione et al., 2007; Isbell, Polley, &amp; Wilsey, 2009; Marquard et al., 2009; P. B. Reich et al., 2012; J. van Ruijven &amp; Berendse, 2009)" }, "properties" : { "noteIndex" : 0 }, "schema" : "https://github.com/citation-style-language/schema/raw/master/csl-citation.json" }</w:instrText>
      </w:r>
      <w:r w:rsidRPr="008608AA">
        <w:fldChar w:fldCharType="separate"/>
      </w:r>
      <w:r w:rsidRPr="008608AA">
        <w:rPr>
          <w:noProof/>
          <w:lang w:val="de-DE"/>
        </w:rPr>
        <w:t>(Fargione et al., 2007; Isbell et al., 2009; Marquard et al., 2009; Reich et al., 2012; van Ruijven &amp; Berendse, 2009)</w:t>
      </w:r>
      <w:r w:rsidRPr="008608AA">
        <w:fldChar w:fldCharType="end"/>
      </w:r>
      <w:r w:rsidRPr="008608AA">
        <w:rPr>
          <w:lang w:val="de-DE"/>
        </w:rPr>
        <w:t xml:space="preserve">. </w:t>
      </w:r>
      <w:r w:rsidRPr="008608AA">
        <w:t xml:space="preserve">Based on abundant empirical evidence, it is now well-established that local complementarity effects often explain positive effects of biodiversity on ecosystem productivity </w:t>
      </w:r>
      <w:r w:rsidRPr="008608AA">
        <w:fldChar w:fldCharType="begin" w:fldLock="1"/>
      </w:r>
      <w:r w:rsidRPr="008608AA">
        <w:instrText>ADDIN CSL_CITATION { "citationItems" : [ { "id" : "ITEM-1", "itemData" : { "DOI" : "10.1038/35083573", "ISBN" : "0036-8075", "ISSN" : "0028-0836", "PMID" : "11452308", "abstract" : "The impact of biodiversity loss on the functioning of ecosystems and their ability to provide ecological services has become a central issue in ecology. Several experiments have provided evidence that reduced species diversity may impair ecosystem processes such as plant biomass production. The interpretation of these experiments, however, has been controversial because two types of mechanism may operate in combination. In the 'selection effect', dominance by species with particular traits affects ecosystem processes. In the 'complementarity effect', resource partitioning or positive interactions lead to increased total resource use. Here we present a new approach to separate the two effects on the basis of an additive partitioning analogous to the Price equation in evolutionary genetics. Applying this method to data from the pan-European BIODEPTH experiment reveals that the selection effect is zero on average and varies from negative to positive in different localities, depending on whether species with lower- or higher-than-average biomass dominate communities. In contrast, the complementarity effect is positive overall, supporting the hypothesis that plant diversity influences primary production in European grasslands through niche differentiation or facilitation.", "author" : [ { "dropping-particle" : "", "family" : "Loreau", "given" : "Michel", "non-dropping-particle" : "", "parse-names" : false, "suffix" : "" }, { "dropping-particle" : "", "family" : "Hector", "given" : "Andy", "non-dropping-particle" : "", "parse-names" : false, "suffix" : "" } ], "container-title" : "Nature", "id" : "ITEM-1", "issue" : "6842", "issued" : { "date-parts" : [ [ "2001" ] ] }, "page" : "72-76", "title" : "Partitioning selection and complementarity in biodiversity experiments", "type" : "article-journal", "volume" : "412" }, "uris" : [ "http://www.mendeley.com/documents/?uuid=7bf32c49-062e-338b-b071-c077a6652dd2" ] }, { "id" : "ITEM-2", "itemData" : { "DOI" : "10.3732/ajb.1000364", "ISBN" : "00029122 (ISSN)", "ISSN" : "00029122", "PMID" : "21613148", "abstract" : "Over the past several decades, a rapidly expanding field of research known as biodiversity and ecosystem functioning has begun to quantify how the world's biological diversity can, as an independent variable, control ecological processes that are both essential for, and fundamental to, the functioning of ecosystems. Research in this area has often been justified on grounds that (1) loss of biological diversity ranks among the most pronounced changes to the global environment and that (2) reductions in diversity, and corresponding changes in species composition, could alter important services that ecosystems provide to humanity (e.g., food production, pest/disease control, water purification). Here we review over two decades of experiments that have examined how species richness of primary producers influences the suite of ecological processes that are controlled by plants and algae in terrestrial, marine, and freshwater ecosystems. Using formal meta-analyses, we assess the balance of evidence for eight fundamental questions and corresponding hypotheses about the functional role of producer diversity in ecosystems. These include questions about how primary producer diversity influences the efficiency of resource use and biomass production in ecosystems, how primary producer diversity influences the transfer and recycling of biomass to other trophic groups in a food web, and the number of species and spatial /temporal scales at which diversity effects are most apparent. After summarizing the balance of evidence and stating our own confidence in the conclusions, we outline several new questions that must now be addressed if this field is going to evolve into a predictive science that can help conserve and manage ecological processes in ecosystems.", "author" : [ { "dropping-particle" : "", "family" : "Cardinale", "given" : "Bradley J.", "non-dropping-particle" : "", "parse-names" : false, "suffix" : "" }, { "dropping-particle" : "", "family" : "Matulich", "given" : "Kristin L.", "non-dropping-particle" : "", "parse-names" : false, "suffix" : "" }, { "dropping-particle" : "", "family" : "Hooper", "given" : "David U.", "non-dropping-particle" : "", "parse-names" : false, "suffix" : "" }, { "dropping-particle" : "", "family" : "Byrnes", "given" : "Jarrett E.", "non-dropping-particle" : "", "parse-names" : false, "suffix" : "" }, { "dropping-particle" : "", "family" : "Duffy", "given" : "Emmett", "non-dropping-particle" : "", "parse-names" : false, "suffix" : "" }, { "dropping-particle" : "", "family" : "Gamfeldt", "given" : "Lars", "non-dropping-particle" : "", "parse-names" : false, "suffix" : "" }, { "dropping-particle" : "", "family" : "Balvanera", "given" : "Patricia", "non-dropping-particle" : "", "parse-names" : false, "suffix" : "" }, { "dropping-particle" : "", "family" : "O'Connor", "given" : "Mary I.", "non-dropping-particle" : "", "parse-names" : false, "suffix" : "" }, { "dropping-particle" : "", "family" : "Gonzalez", "given" : "Andrew", "non-dropping-particle" : "", "parse-names" : false, "suffix" : "" } ], "container-title" : "American Journal of Botany", "id" : "ITEM-2", "issued" : { "date-parts" : [ [ "2011" ] ] }, "page" : "572-592", "title" : "The functional role of producer diversity in ecosystems", "type" : "article-journal", "volume" : "98" }, "uris" : [ "http://www.mendeley.com/documents/?uuid=43d11e63-7dc3-392b-8a89-99f1db524ecd" ] } ], "mendeley" : { "formattedCitation" : "(Cardinale et al., 2011; Michel Loreau &amp; Hector, 2001)", "manualFormatting" : "(Cardinale et al., 2011; Loreau &amp; Hector, 2001)", "plainTextFormattedCitation" : "(Cardinale et al., 2011; Michel Loreau &amp; Hector, 2001)", "previouslyFormattedCitation" : "(Cardinale et al., 2011; Michel Loreau &amp; Hector, 2001)" }, "properties" : { "noteIndex" : 0 }, "schema" : "https://github.com/citation-style-language/schema/raw/master/csl-citation.json" }</w:instrText>
      </w:r>
      <w:r w:rsidRPr="008608AA">
        <w:fldChar w:fldCharType="separate"/>
      </w:r>
      <w:r w:rsidRPr="008608AA">
        <w:rPr>
          <w:noProof/>
        </w:rPr>
        <w:t>(Cardinale et al., 2011; Loreau &amp; Hector, 2001)</w:t>
      </w:r>
      <w:r w:rsidRPr="008608AA">
        <w:fldChar w:fldCharType="end"/>
      </w:r>
      <w:r w:rsidRPr="008608AA">
        <w:t xml:space="preserve">, especially in long-term studies </w:t>
      </w:r>
      <w:r w:rsidRPr="008608AA">
        <w:fldChar w:fldCharType="begin" w:fldLock="1"/>
      </w:r>
      <w:r w:rsidRPr="008608AA">
        <w:instrText>ADDIN CSL_CITATION { "citationItems" : [ { "id" : "ITEM-1", "itemData" : { "DOI" : "10.1073/pnas.0709069104", "ISBN" : "1091-6490 (Electronic)\\n0027-8424 (Linking)", "ISSN" : "0027-8424", "PMID" : "17991772", "abstract" : "Accelerating rates of species extinction have prompted a growing number of researchers to manipulate the richness of various groups of organisms and examine how this aspect of diversity impacts ecological processes that control the functioning of ecosystems. We summarize the results of 44 experiments that have manipulated the richness of plants to examine how plant diversity affects the production of biomass. We show that mixtures of species produce an average of 1.7 times more biomass than species monocultures and are more productive than the average monoculture in 79% of all experiments. However, in only 12% of all experiments do diverse polycultures achieve greater biomass than their single most productive species. Previously, a positive net effect of diversity that is no greater than the most productive species has been interpreted as evidence for selection effects, which occur when diversity maximizes the chance that highly productive species will be included in and ultimately dominate the biomass of polycultures. Contrary to this, we show that although productive species do indeed contribute to diversity effects, these contributions are equaled or exceeded by species complementarity, where biomass is augmented by biological processes that involve multiple species. Importantly, both the net effect of diversity and the probability of polycultures being more productive than their most productive species increases through time, because the magnitude of complementarity increases as experiments are run longer. Our results suggest that experiments to date have, if anything, underestimated the impacts of species extinction on the productivity of ecosystems.", "author" : [ { "dropping-particle" : "", "family" : "Cardinale", "given" : "Bradley J.", "non-dropping-particle" : "", "parse-names" : false, "suffix" : "" }, { "dropping-particle" : "", "family" : "Wright", "given" : "Justin P.", "non-dropping-particle" : "", "parse-names" : false, "suffix" : "" }, { "dropping-particle" : "", "family" : "Cadotte", "given" : "Marc W.", "non-dropping-particle" : "", "parse-names" : false, "suffix" : "" }, { "dropping-particle" : "", "family" : "Carroll", "given" : "Ian T.", "non-dropping-particle" : "", "parse-names" : false, "suffix" : "" }, { "dropping-particle" : "", "family" : "Hector", "given" : "Andy", "non-dropping-particle" : "", "parse-names" : false, "suffix" : "" }, { "dropping-particle" : "", "family" : "Srivastava", "given" : "Diane S.", "non-dropping-particle" : "", "parse-names" : false, "suffix" : "" }, { "dropping-particle" : "", "family" : "Loreau", "given" : "Michel", "non-dropping-particle" : "", "parse-names" : false, "suffix" : "" }, { "dropping-particle" : "", "family" : "Weis", "given" : "Jerome J.", "non-dropping-particle" : "", "parse-names" : false, "suffix" : "" } ], "container-title" : "PNAS", "id" : "ITEM-1", "issued" : { "date-parts" : [ [ "2007" ] ] }, "page" : "18123-18128", "title" : "Impacts of plant diversity on biomass production increase through time because of species complementarity", "type" : "article-journal", "volume" : "104" }, "uris" : [ "http://www.mendeley.com/documents/?uuid=62c2367d-4fe0-3ba4-81a2-1ff95f002f55" ] }, { "id" : "ITEM-2", "itemData" : { "author" : [ { "dropping-particle" : "", "family" : "Fargione", "given" : "J.", "non-dropping-particle" : "", "parse-names" : false, "suffix" : "" }, { "dropping-particle" : "", "family" : "Tilman", "given" : "D.", "non-dropping-particle" : "", "parse-names" : false, "suffix" : "" }, { "dropping-particle" : "", "family" : "Dybzinski", "given" : "R.", "non-dropping-particle" : "", "parse-names" : false, "suffix" : "" }, { "dropping-particle" : "", "family" : "Lambers", "given" : "J.H.R.", "non-dropping-particle" : "", "parse-names" : false, "suffix" : "" }, { "dropping-particle" : "", "family" : "Clark", "given" : "C.", "non-dropping-particle" : "", "parse-names" : false, "suffix" : "" }, { "dropping-particle" : "", "family" : "Harpole", "given" : "W.S.", "non-dropping-particle" : "", "parse-names" : false, "suffix" : "" }, { "dropping-particle" : "", "family" : "Knops", "given" : "J.M.H.", "non-dropping-particle" : "", "parse-names" : false, "suffix" : "" }, { "dropping-particle" : "", "family" : "Reich", "given" : "P.B.", "non-dropping-particle" : "", "parse-names" : false, "suffix" : "" }, { "dropping-particle" : "", "family" : "Loreau", "given" : "M.", "non-dropping-particle" : "", "parse-names" : false, "suffix" : "" } ], "container-title" : "Proceedings of the Royal Society Biological Sciences", "id" : "ITEM-2", "issue" : "1611", "issued" : { "date-parts" : [ [ "2007" ] ] }, "page" : "871-876", "title" : "From selection to complementarity: shifts in the causes of biodiversity-productivity relationships in a long-term biodiversity experiment", "type" : "article-journal", "volume" : "274" }, "uris" : [ "http://www.mendeley.com/documents/?uuid=e5cf8232-5532-4876-90ab-2d4d5aad0f6e" ] }, { "id" : "ITEM-3", "itemData" : { "DOI" : "10.1890/08-0514.1", "ISBN" : "0012-9658 (Print)\\r0012-9658 (Linking)", "ISSN" : "00129658", "PMID" : "19694131", "abstract" : "Development of theory has outpaced experimental tests for most maintenance of diversity mechanisms. Here we demonstrate how data from biodiversity-ecosystem functioning experiments can be used to determine the mechanisms that maintain plant species diversity. We hypothesized that grassland plant diversity is maintained by two classes of mechanisms: (1) equalizing mechanisms, which reduce asymmetric competition by reducing differences in monoculture biomass production among species in mixture, and (2) species interaction mechanisms, which increase overyielding by increasing niche partitioning and facilitation among species in mixture. Specifically, equalizing mechanisms reduce the coefficient of variation in monoculture biomass production among species in mixture. Species interaction mechanisms increase species overyielding in mixture, especially for low-biomass species. We tested these predictions with a seven-year data set from an experiment that varied grassland plant species evenness and richness. We used path analysis to model effects of these mechanisms on annual and multiyear changes in diversity. We found that diversity was frequently maintained by species interaction mechanisms and was infrequently maintained by equalizing mechanisms. Species interaction mechanisms maintained diversity by allowing the species that produced the least biomass in monoculture to benefit the most from species interactions in mixture. Equalizing mechanisms infrequently maintained diversity because asymmetric competition infrequently resulted in competitive exclusion. We propose that this mechanistic framework be used to better understand the specific processes that influence diversity.", "author" : [ { "dropping-particle" : "", "family" : "Isbell", "given" : "Forest I.", "non-dropping-particle" : "", "parse-names" : false, "suffix" : "" }, { "dropping-particle" : "", "family" : "Polley", "given" : "H. Wayne", "non-dropping-particle" : "", "parse-names" : false, "suffix" : "" }, { "dropping-particle" : "", "family" : "Wilsey", "given" : "Brian J.", "non-dropping-particle" : "", "parse-names" : false, "suffix" : "" } ], "container-title" : "Ecology", "id" : "ITEM-3", "issue" : "7", "issued" : { "date-parts" : [ [ "2009" ] ] }, "page" : "1821-1830", "title" : "Species interaction mechanisms maintain grassland plant species diversity", "type" : "article-journal", "volume" : "90" }, "uris" : [ "http://www.mendeley.com/documents/?uuid=8ee76732-3e70-36d5-8a1e-c4e58f340e56" ] }, { "id" : "ITEM-4", "itemData" : { "DOI" : "10.1890/09-0069.1", "ISBN" : "0012-9658", "ISSN" : "00129658", "PMID" : "20120799", "abstract" : "Plant diversity has been shown to increase community biomass in experimental communities, but the mechanisms resulting in such positive biodiversity effects have remained largely unknown. We used a large-scale six-year biodiversity experiment near Jena, Germany, to examine how aboveground community biomass in grasslands is affected by different components of plant diversity and thereby infer the mechanisms that may underlie positive biodiversity effects. As components of diversity we defined the number of species (1\u201316), number of functional groups (1\u20134), presence of functional groups (legumes, tall herbs, small herbs, and grasses) and proportional abundance of functional groups. Using linear models, replacement series on the level of functional groups, and additive partitioning on the level of species, we explored whether the observed biodiversity effects originated from disproportionate effects of single functional groups or species or from positive interactions between them. Aboveground community biomass was positively related to the number of species measured across functional groups as well as to the number of functional groups measured across different levels of species richness. Furthermore, increasing the number of species within functional groups increased aboveground community biomass, indicating that species within functional groups were not redundant with respect to biomass production. A positive relationship between the number of functional groups and aboveground community biomass within a particular level of species richness suggested that complementarity was larger between species belonging to different rather than to the same functional groups. The presence of legumes or tall herbs had a strong positive impact on aboveground community biomass whereas the presence of small herbs or grasses had on average no significant effect. Two- and three-way interactions between functional group presences were weak, suggesting that their main effects were largely additive. Replacement series analyses on the level of functional groups revealed strong transgressive overyielding and relative yields &gt;1, indicating facilitation. On the species level, we found strong complementarity effects that increased over time while selection effects due to disproportionate contributions of particular species decreased over time. We conclude that transgressive overyielding between functional groups and species richness effects within functional groups caused the positi\u2026", "author" : [ { "dropping-particle" : "", "family" : "Marquard", "given" : "Elisabeth", "non-dropping-particle" : "", "parse-names" : false, "suffix" : "" }, { "dropping-particle" : "", "family" : "Weigelt", "given" : "Alexandra", "non-dropping-particle" : "", "parse-names" : false, "suffix" : "" }, { "dropping-particle" : "", "family" : "Temperton", "given" : "Vicky M.", "non-dropping-particle" : "", "parse-names" : false, "suffix" : "" }, { "dropping-particle" : "", "family" : "Roscher", "given" : "Christiane", "non-dropping-particle" : "", "parse-names" : false, "suffix" : "" }, { "dropping-particle" : "", "family" : "Schumacher", "given" : "Jens", "non-dropping-particle" : "", "parse-names" : false, "suffix" : "" }, { "dropping-particle" : "", "family" : "Buchmann", "given" : "Nina", "non-dropping-particle" : "", "parse-names" : false, "suffix" : "" }, { "dropping-particle" : "", "family" : "Fischer", "given" : "Markus", "non-dropping-particle" : "", "parse-names" : false, "suffix" : "" }, { "dropping-particle" : "", "family" : "Weisser", "given" : "Wolfgang W.", "non-dropping-particle" : "", "parse-names" : false, "suffix" : "" }, { "dropping-particle" : "", "family" : "Schmid", "given" : "Bernhard", "non-dropping-particle" : "", "parse-names" : false, "suffix" : "" } ], "container-title" : "Ecology", "id" : "ITEM-4", "issue" : "12", "issued" : { "date-parts" : [ [ "2009" ] ] }, "page" : "3290-3302", "title" : "Plant species richness and functional composition drive overyielding in a six-year grassland experiment", "type" : "article-journal", "volume" : "90" }, "uris" : [ "http://www.mendeley.com/documents/?uuid=13b4b3a2-c4fa-3f9d-8321-55c9735047b6" ] }, { "id" : "ITEM-5", "itemData" : { "DOI" : "10.1126/science.1217909", "ISBN" : "0036-8075", "ISSN" : "0036-8075", "PMID" : "22556253", "abstract" : "Plant diversity generally promotes biomass production, but how the shape of the response curve changes with time remains unclear. This is a critical knowledge gap because the shape of this relationship indicates the extent to which loss of the first few species will influence biomass production. Using two long-term (&gt;= 13 years) biodiversity experiments, we show that the effects of diversity on biomass productivity increased and became less saturating over time. Our analyses suggest that effects of diversity-dependent ecosystem feedbacks and interspecific complementarity accumulate over time, causing high-diversity species combinations that appeared functionally redundant during early years to become more functionally unique through time. Consequently, simplification of diverse ecosystems will likely have greater negative impacts on ecosystem functioning than has been suggested by short-term experiments.", "author" : [ { "dropping-particle" : "", "family" : "Reich", "given" : "P. B.", "non-dropping-particle" : "", "parse-names" : false, "suffix" : "" }, { "dropping-particle" : "", "family" : "Tilman", "given" : "D.", "non-dropping-particle" : "", "parse-names" : false, "suffix" : "" }, { "dropping-particle" : "", "family" : "Isbell", "given" : "F.", "non-dropping-particle" : "", "parse-names" : false, "suffix" : "" }, { "dropping-particle" : "", "family" : "Mueller", "given" : "K.", "non-dropping-particle" : "", "parse-names" : false, "suffix" : "" }, { "dropping-particle" : "", "family" : "Hobbie", "given" : "S. E.", "non-dropping-particle" : "", "parse-names" : false, "suffix" : "" }, { "dropping-particle" : "", "family" : "Flynn", "given" : "D. F. B.", "non-dropping-particle" : "", "parse-names" : false, "suffix" : "" }, { "dropping-particle" : "", "family" : "Eisenhauer", "given" : "N.", "non-dropping-particle" : "", "parse-names" : false, "suffix" : "" } ], "container-title" : "Science", "id" : "ITEM-5", "issue" : "6081", "issued" : { "date-parts" : [ [ "2012" ] ] }, "page" : "589-592", "title" : "Impacts of biodiversity loss escalate through time as redundancy fades", "type" : "article-journal", "volume" : "336" }, "uris" : [ "http://www.mendeley.com/documents/?uuid=d2c58b9a-5c3c-4d9c-b14f-374e86d1ddab" ] }, { "id" : "ITEM-6", "itemData" : { "author" : [ { "dropping-particle" : "", "family" : "Ruijven", "given" : "J.", "non-dropping-particle" : "van", "parse-names" : false, "suffix" : "" }, { "dropping-particle" : "", "family" : "Berendse", "given" : "F.", "non-dropping-particle" : "", "parse-names" : false, "suffix" : "" } ], "container-title" : "Oikos", "id" : "ITEM-6", "issue" : "1", "issued" : { "date-parts" : [ [ "2009" ] ] }, "page" : "101-106", "title" : "Long-term persistence of a positive plant diversity-productivity relationship in the absence of legumes", "type" : "article-journal", "volume" : "118" }, "uris" : [ "http://www.mendeley.com/documents/?uuid=8ff82e24-820e-4bd0-9c34-b42aeece712e" ] } ], "mendeley" : { "formattedCitation" : "(Cardinale et al., 2007; Fargione et al., 2007; Isbell et al., 2009; Marquard et al., 2009; P. B. Reich et al., 2012; J. van Ruijven &amp; Berendse, 2009)", "manualFormatting" : "(Cardinale et al., 2007; Fargione et al., 2007; Isbell et al., 2009; Marquard et al., 2009; Reich et al., 2012; van Ruijven &amp; Berendse, 2009)", "plainTextFormattedCitation" : "(Cardinale et al., 2007; Fargione et al., 2007; Isbell et al., 2009; Marquard et al., 2009; P. B. Reich et al., 2012; J. van Ruijven &amp; Berendse, 2009)", "previouslyFormattedCitation" : "(Cardinale et al., 2007; Fargione et al., 2007; Isbell et al., 2009; Marquard et al., 2009; P. B. Reich et al., 2012; J. van Ruijven &amp; Berendse, 2009)" }, "properties" : { "noteIndex" : 0 }, "schema" : "https://github.com/citation-style-language/schema/raw/master/csl-citation.json" }</w:instrText>
      </w:r>
      <w:r w:rsidRPr="008608AA">
        <w:fldChar w:fldCharType="separate"/>
      </w:r>
      <w:r w:rsidRPr="008608AA">
        <w:rPr>
          <w:noProof/>
        </w:rPr>
        <w:t>(Cardinale et al., 2007; Fargione et al., 2007; Isbell et al., 2009; Marquard et al., 2009; Reich et al., 2012; van Ruijven &amp; Berendse, 2009)</w:t>
      </w:r>
      <w:r w:rsidRPr="008608AA">
        <w:fldChar w:fldCharType="end"/>
      </w:r>
      <w:r w:rsidRPr="008608AA">
        <w:t xml:space="preserve">, but the precise mechanisms are not always possible to discern and are the subject of ongoing research. </w:t>
      </w:r>
    </w:p>
    <w:p w14:paraId="7A93B496" w14:textId="02DEB375" w:rsidR="004255E7" w:rsidRDefault="004255E7" w:rsidP="0039151E">
      <w:pPr>
        <w:spacing w:after="120"/>
      </w:pPr>
      <w:r w:rsidRPr="008608AA">
        <w:t xml:space="preserve">Biodiversity experiments address limitations of observational studies and have been designed and conducted to tease apart effects of changing numbers of species (richness) from effects of changing identities of species (composition) </w:t>
      </w:r>
      <w:r w:rsidRPr="008608AA">
        <w:fldChar w:fldCharType="begin" w:fldLock="1"/>
      </w:r>
      <w:r w:rsidRPr="008608AA">
        <w:instrText>ADDIN CSL_CITATION { "citationItems" : [ { "id" : "ITEM-1", "itemData" : { "DOI" : "10.1111/oik.03652", "ISBN" : "0030-1299", "ISSN" : "16000706", "abstract" : "Species diversity aff ects the functioning of ecosystems, including the effi ciency by which communities capture limited resources, produce biomass, recycle and retain biologically essential nutrients. Th ese ecological functions ultimately support the ecosystem services upon which humanity depends. Despite hundreds of experimental tests of the eff ect of biodiversity on ecosystem function (BEF), it remains unclear whether diversity eff ects are suffi ciently general that we can use a single relationship to quantitatively predict how changes in species richness alter an ecosystem function across trophic levels, ecosystems and ecological conditions. Our objective here is to determine whether a general relationship exists between biodiversity and standing biomass. We used hierarchical mixed eff ects models, based on a power function between species richness and biomass production (Y \u03ed a \u03eb S b), and a database of 374 published experiments to estimate the BEF relationship (the change in biomass with the addition of species), and its associated uncertainty, in the context of environmental factors. We found that the mean relationship (b \u03ed 0.26, 95% CI: 0.16, 0.37) characterized the vast majority of observations, was robust to diff erences in experimental design, and was independent of the range of species richness levels considered. However, the richness \u2013 biomass relationship varied by trophic level and among ecosystems; in aquatic systems b was nearly twice as large for consumers (herbivores and detritivores) compared to primary producers; in terrestrial ecosystems, b for detritivores was negative but depended on few studies. We estimated changes in biomass expected for a range of changes in species richness, highlighting that species loss has greater implications than species gains, skewing a distribution of biomass change relative to observed species richness change. When biomass provides a good proxy for processes that underpin ecosystem services, this relationship could be used as a step in modeling the production of ecosystem services and their dependence on biodiversity.", "author" : [ { "dropping-particle" : "", "family" : "O'Connor", "given" : "Mary I", "non-dropping-particle" : "", "parse-names" : false, "suffix" : "" }, { "dropping-particle" : "", "family" : "Gonzalez", "given" : "Andrew", "non-dropping-particle" : "", "parse-names" : false, "suffix" : "" }, { "dropping-particle" : "", "family" : "Byrnes", "given" : "Jarrett E.K.", "non-dropping-particle" : "", "parse-names" : false, "suffix" : "" }, { "dropping-particle" : "", "family" : "Cardinale", "given" : "Bradley J", "non-dropping-particle" : "", "parse-names" : false, "suffix" : "" }, { "dropping-particle" : "", "family" : "Duffy", "given" : "J Emmett", "non-dropping-particle" : "", "parse-names" : false, "suffix" : "" }, { "dropping-particle" : "", "family" : "Gamfeldt", "given" : "Lars", "non-dropping-particle" : "", "parse-names" : false, "suffix" : "" }, { "dropping-particle" : "", "family" : "Griffin", "given" : "John N", "non-dropping-particle" : "", "parse-names" : false, "suffix" : "" }, { "dropping-particle" : "", "family" : "Hooper", "given" : "David", "non-dropping-particle" : "", "parse-names" : false, "suffix" : "" }, { "dropping-particle" : "", "family" : "Hungate", "given" : "Bruce A", "non-dropping-particle" : "", "parse-names" : false, "suffix" : "" }, { "dropping-particle" : "", "family" : "Paquette", "given" : "Alain", "non-dropping-particle" : "", "parse-names" : false, "suffix" : "" }, { "dropping-particle" : "", "family" : "Thompson", "given" : "Patrick L", "non-dropping-particle" : "", "parse-names" : false, "suffix" : "" }, { "dropping-particle" : "", "family" : "Dee", "given" : "Laura E", "non-dropping-particle" : "", "parse-names" : false, "suffix" : "" }, { "dropping-particle" : "", "family" : "Dolan", "given" : "Kristin L", "non-dropping-particle" : "", "parse-names" : false, "suffix" : "" } ], "container-title" : "Oikos", "id" : "ITEM-1", "issue" : "1", "issued" : { "date-parts" : [ [ "2017" ] ] }, "page" : "18-31", "title" : "A general biodiversity\u2013function relationship is mediated by trophic level", "type" : "article-journal", "volume" : "126" }, "uris" : [ "http://www.mendeley.com/documents/?uuid=ca8d9b75-07f3-3e0c-85e2-7e640b4bfbdd" ] } ], "mendeley" : { "formattedCitation" : "(O\u2019Connor et al., 2017)", "manualFormatting" : "(c.f., O\u2019Connor et al., 2017)", "plainTextFormattedCitation" : "(O\u2019Connor et al., 2017)", "previouslyFormattedCitation" : "(O\u2019Connor et al., 2017)" }, "properties" : { "noteIndex" : 0 }, "schema" : "https://github.com/citation-style-language/schema/raw/master/csl-citation.json" }</w:instrText>
      </w:r>
      <w:r w:rsidRPr="008608AA">
        <w:fldChar w:fldCharType="separate"/>
      </w:r>
      <w:r w:rsidRPr="008608AA">
        <w:rPr>
          <w:noProof/>
        </w:rPr>
        <w:t>(c.f., O’Connor et al., 2017)</w:t>
      </w:r>
      <w:r w:rsidRPr="008608AA">
        <w:fldChar w:fldCharType="end"/>
      </w:r>
      <w:r w:rsidRPr="008608AA">
        <w:t xml:space="preserve">. Such experiments have revealed some surprisingly productive species and combinations of species, even when excluding legumes </w:t>
      </w:r>
      <w:r w:rsidRPr="008608AA">
        <w:fldChar w:fldCharType="begin" w:fldLock="1"/>
      </w:r>
      <w:r w:rsidRPr="008608AA">
        <w:instrText>ADDIN CSL_CITATION { "citationItems" : [ { "id" : "ITEM-1", "itemData" : { "DOI" : "10.1890/04-0245", "ISBN" : "0012-9658", "ISSN" : "00129658", "PMID" : "3021", "abstract" : "Biodiversity is declining worldwide from reductions in both species richness and evenness. Field experiments have shown that primary productivity is often reduced when richness of plant species is lowered. However, experiments testing richness effects have used evenness levels that are much higher than normally encountered in plant communities and have been based on the assumption that species extinctions are random. We experimentally varied, for the first time, both species richness (1\u20138 perennial species/m2) and species evenness (near maximal vs. realistically low) in grassland plots. Net primary productivity (NPP) and ecosystem CO2 uptake declined when richness was reduced, and reductions were similar between evenness treatments. Richness effects were associated more with a selection effect than with complementarity (found only with high evenness). Importantly, extinctions in plots during the second year were not random, but were greater at low than at high evenness (i.e., with increased rarity) and in species with low aboveground growth rates. Thus, species evenness can affect grassland ecosystem processes indirectly by affecting species richness, and it will be imperative to understand how nonrandom extinctions affect NPP in future studies. Our results indicate that richness studies may not be biased by using mixtures with artificially high evenness levels, but the results also demonstrate that results from these studies are directly applicable only to communities in which plant extinctions are random.", "author" : [ { "dropping-particle" : "", "family" : "Wilsey", "given" : "Brian J.", "non-dropping-particle" : "", "parse-names" : false, "suffix" : "" }, { "dropping-particle" : "", "family" : "Polley", "given" : "H. Wayne", "non-dropping-particle" : "", "parse-names" : false, "suffix" : "" } ], "container-title" : "Ecology", "id" : "ITEM-1", "issue" : "10", "issued" : { "date-parts" : [ [ "2004" ] ] }, "page" : "2693-2700", "title" : "Realistically low species evenness does not alter grassland species-richness-productivity relationships", "type" : "article-journal", "volume" : "85" }, "uris" : [ "http://www.mendeley.com/documents/?uuid=45e1833b-933a-3586-89ac-836b4adbb947" ] }, { "id" : "ITEM-2", "itemData" : { "DOI" : "10.1073/pnas.0407524102", "ISBN" : "0027-8424", "ISSN" : "0027-8424", "PMID" : "15640357", "abstract" : "A common pattern emerging from studies on the relationship between plant diversity and ecosystem functioning is that productivity increases with diversity. Most of these studies have been carried out in perennial grasslands, but many lasted only two growing seasons or reported data from a single year. Especially for perennial plant communities, however, the long-term effects of diversity are important. The question whether interactions between few species or among many species lead to increased productivity remained largely unanswered. So far, the main mechanism addressed is the increased input of nitrogen by nitrogen-fixing legumes. We report that other mechanisms can also generate strong increases of productivity with diversity. Results from 4 consecutive years of a plant diversity experiment without legumes show that a positive relationship between plant species richness and productivity emerged in the second year and strengthened with time. We show that incr</w:instrText>
      </w:r>
      <w:r w:rsidRPr="008608AA">
        <w:rPr>
          <w:lang w:val="es-CO"/>
        </w:rPr>
        <w:instrText>eased nutrient use efficiency at high species richness is an important underlying mechanism. This mechanism had not been discussed in earlier studies. Furthermore, our results suggest that complementary nutrient uptake in space and time is important. Together, these mechanisms sustain consistently high productivity at high diversity.", "author" : [ { "dropping-particle" : "", "family" : "Ruijven", "given" : "Jasper", "non-dropping-particle" : "van", "parse-names" : false, "suffix" : "" }, { "dropping-particle" : "", "family" : "Berendse", "given" : "Frank", "non-dropping-particle" : "", "parse-names" : false, "suffix" : "" } ], "container-title" : "PNAS", "id" : "ITEM-2", "issue" : "3", "issued" : { "date-parts" : [ [ "2005" ] ] }, "page" : "695-700", "title" : "Diversity-productivity relationships: initial effects, long-term patterns, and underlying mechanisms", "type" : "article-journal", "volume" : "102" }, "uris" : [ "http://www.mendeley.com/documents/?uuid=c5454d26-5678-4ce7-be66-063d0e67e3d0" ] } ], "mendeley" : { "formattedCitation" : "(Jasper van Ruijven &amp; Berendse, 2005; Wilsey &amp; Polley, 2004)", "manualFormatting" : "(van Ruijven &amp; Berendse, 2005;", "plainTextFormattedCitation" : "(Jasper van Ruijven &amp; Berendse, 2005; Wilsey &amp; Polley, 2004)", "previouslyFormattedCitation" : "(Jasper van Ruijven &amp; Berendse, 2005; Wilsey &amp; Polley, 2004)" }, "properties" : { "noteIndex" : 0 }, "schema" : "https://github.com/citation-style-language/schema/raw/master/csl-citation.json" }</w:instrText>
      </w:r>
      <w:r w:rsidRPr="008608AA">
        <w:fldChar w:fldCharType="separate"/>
      </w:r>
      <w:r w:rsidRPr="008608AA">
        <w:rPr>
          <w:noProof/>
          <w:lang w:val="es-ES"/>
        </w:rPr>
        <w:t>(van Ruijven &amp; Berendse, 2005;</w:t>
      </w:r>
      <w:r w:rsidRPr="008608AA">
        <w:fldChar w:fldCharType="end"/>
      </w:r>
      <w:r w:rsidRPr="008608AA">
        <w:rPr>
          <w:lang w:val="es-ES"/>
        </w:rPr>
        <w:t xml:space="preserve"> </w:t>
      </w:r>
      <w:r w:rsidRPr="008608AA">
        <w:fldChar w:fldCharType="begin" w:fldLock="1"/>
      </w:r>
      <w:r w:rsidRPr="008608AA">
        <w:rPr>
          <w:lang w:val="es-ES"/>
        </w:rPr>
        <w:instrText>ADDIN CSL_CITATION { "citationItems" : [ { "id" : "ITEM-1", "itemData" : { "DOI" : "10.1890/04-0245", "ISBN" : "0012-9658", "ISSN" : "00129658", "PMID" : "3021", "abstract" : "Biodiversity is declining worldwide from reductions in both species richness and evenness. Field experiments have shown that primary productivity is often reduced when richness of plant species is lowered. However, experiments testing richness effects have used evenness levels that are much higher than normally encountered in plant communities and have been based on the assumption that species extinctions are random. We experimentally varied, for the first time, both species richness (1\u20138 perennial species/m2) and species evenness (near maximal vs. realistically low) in grassland plots. Net primary productivity (NPP) and ecosystem CO2 uptake declined when richness was reduced, and reductions were similar between evenness treatments. Richness effects were associated more with a selection effect than with complementarity (found only with high evenness). Importantly, extinctions in plots during the second year were not random, but were greater at low than at high evenness (i.e., with increased rarity) and in species with low aboveground growth rates. Thus, species evenness can affect grassland ecosystem processes indirectly by affecting species richness, and it will be imperative to understand how nonrandom extinctions affect NPP in future studies. Our results indicate that richness studies may not be biased by using mixtures with artificially high evenness levels, but the results also demonstrate that results from these studies are directly applicable only to communities in which plant extinctions are random.", "author" : [ { "dropping-particle" : "", "family" : "Wilsey", "given" : "Brian J.", "non-dropping-particle" : "", "parse-names" : false, "suffix" : "" }, { "dropping-particle" : "", "family" : "Polley", "given" : "H. Wayne", "non-dropping-particle" : "", "parse-names" : false, "suffix" : "" } ], "container-title" : "Ecology", "id" : "ITEM-1", "issue" : "10", "issued" : { "date-parts" : [ [ "2004" ] ] }, "page" : "2693-2700", "title" : "Realistically low species evenness does not alter grassland species-richness-productivity relationships", "type" : "article-journal", "volume" : "85" }, "uris" : [ "http://www.mendeley.com/documents/?uuid=45e1833b-933a-3586-89ac-836b4adbb947" ] } ], "mendeley" : { "formattedCitation" : "(Wilsey &amp; Polley, 2004)", "manualFormatting" : "Wilsey &amp; Polley, 2004)", "plainTextFormattedCitation" : "(Wilsey &amp; Polley, 2004)", "previouslyFormattedCitation" : "(Wilsey &amp; Polley, 2004)" }, "properties" : { "noteIndex" : 0 }, "schema" : "https://github.com/citation-style-language/schema/raw/master/csl-citation.json" }</w:instrText>
      </w:r>
      <w:r w:rsidRPr="008608AA">
        <w:fldChar w:fldCharType="separate"/>
      </w:r>
      <w:r w:rsidRPr="008608AA">
        <w:rPr>
          <w:noProof/>
          <w:lang w:val="es-ES"/>
        </w:rPr>
        <w:t>Wilsey &amp; Polley, 2004)</w:t>
      </w:r>
      <w:r w:rsidRPr="008608AA">
        <w:fldChar w:fldCharType="end"/>
      </w:r>
      <w:r w:rsidRPr="008608AA">
        <w:rPr>
          <w:lang w:val="es-ES"/>
        </w:rPr>
        <w:t xml:space="preserve"> or mixing species within functional groups </w:t>
      </w:r>
      <w:r w:rsidRPr="008608AA">
        <w:fldChar w:fldCharType="begin" w:fldLock="1"/>
      </w:r>
      <w:r w:rsidRPr="008608AA">
        <w:rPr>
          <w:lang w:val="es-ES"/>
        </w:rPr>
        <w:instrText>ADDIN CSL_CITATION { "citationItems" : [ { "id" : "ITEM-1", "itemData" : { "DOI" : "10.1073/pnas.0306602101", "ISBN" : "0027-8424", "ISSN" : "0027-8424", "PMID" : "15220472", "abstract" : "The characteristics of plant assemblages influence ecosystem processes such as biomass accumulation and modulate terrestrial responses to global change factors such as elevated atmospheric CO(2) and N deposition, but covariation between species richness (S) and functional group richness (F) among assemblages obscures the specific role of each in these ecosystem responses. In a 4-year study of grassland species grown under ambient and elevated CO(2) and N in Minnesota, we experimentally varied plant S and F to assess their independent effects. We show here that at all CO(2) and N levels, biomass increased with S, even with F constant at 1 or 4 groups. Likewise, with S at 4, biomass increased as F varied continuously from 1 to 4. The S and F effects were not dependent upon specific species or functional groups or combinations and resulted from complementarity. Biomass increases in response to CO(2) and N, moreover, varied with time but were generally larger with increasing S (with F constant) and with increasing F (with S constant). These results indicate that S and F independently influence biomass accumulation and its response to elevated CO(2) and N.", "author" : [ { "dropping-particle" : "", "family" : "Reich", "given" : "Peter B.", "non-dropping-particle" : "", "parse-names" : false, "suffix" : "" }, { "dropping-particle" : "", "family" : "Tilman", "given" : "David", "non-dropping-particle" : "", "parse-names" : false, "suffix" : "" }, { "dropping-particle" : "", "family" : "Naeem", "given" : "Shahid", "non-dropping-particle" : "", "parse-names" : false, "suffix" : "" }, { "dropping-particle" : "", "family" : "Ellsworth", "given" : "David S.", "non-dropping-particle" : "", "parse-names" : false, "suffix" : "" }, { "dropping-particle" : "", "family" : "Knops", "given" : "Johannes", "non-dropping-particle" : "", "parse-names" : false, "suffix" : "" }, { "dropping-particle" : "", "family" : "Craine", "given" : "Joseph", "non-dropping-particle" : "", "parse-names" : false, "suffix" : "" }, { "dropping-particle" : "", "family" : "Wedin", "given" : "David", "non-dropping-particle" : "", "parse-names" : false, "suffix" : "" }, { "dropping-particle" : "", "family" : "Trost", "given" : "Jared", "non-dropping-particle" : "", "parse-names" : false, "suffix" : "" } ], "container-title" : "PNAS", "id" : "ITEM-1", "issue" : "27", "issued" : { "date-parts" : [ [ "2004" ] ] }, "page" : "10101-10106", "title" : "Species and functional group diversity independently influence biomass accumulation and its response to CO2 and N", "type" : "article-journal", "volume" : "101" }, "uris" : [ "http://www.mendeley.com/documents/?uuid=bac1692b-839f-30e1-93ae-23ad0bd308e2" ] }, { "id" : "ITEM-2", "itemData" : { "DOI" : "10.1111/j.1365-2664.2006.01252.x", "ISBN" : "0021-8901", "ISSN" : "00218901", "PMID" : "2062", "abstract" : "1.\\r\\nExperimental manipulations have shown positive impacts of increased species richness on ecosystem productivity, but there remain some questions about this relationship. First, most studies last &lt; 4 years, which raises issues about whether diversity\u2013productivity\\r\\nrelationships are maintained in mature communities. Secondly, the conservation relevance of many studies is debatable. We addressed both issues using long-term experimental studies of the agriculturally relevant hay yield of recreated species-rich grasslands. 2. Grasslands were recreated within replicated experiments in ex-arable fields at two\\r\\nsites in southern England by using either species-poor or species-rich seed mixtures. The species-poor mixture comprised seven grasses as recommended for grassland creation in English agri-environment schemes. The species-rich mixture comprised 11 grasses and 28 forbs and was designed to recreate a typical southern English hay meadow. 3. After 8 years the plots sown with species-rich mixtures resembled target diverse community types. The plots sown with species-poor mixtures had been colonized by a number of forbs but had lower numbers of grasses, legumes and other forbs than the species-rich plots. Increased hay yield of the species-rich plots in the first years of the experiments have been described in an earlier paper, and these differences were maintained after 8 years. 4. In the eighth year the species-rich plots had an average 43% higher hay yield than the species-poor plots. Regression analysis showed that the variation in hay yield was related to differences in the number of non-leguminous forbs and showed no relation to grass or legume numbers. This suggests increased hay yield is an effect of the greater range of life forms exhibited by forbs rather than a simple fertilizing effect of legumes. 5. The nitrogen content and phosphorus content of the hay showed complex treatment\\r\\neffects over time. However, the nutritional value of the hay was above the minimum requirements for livestock. 6. Synthesis and applications. The aims of conservationists and farmers can often be in conflict. This study has shown that the recreation of diverse grasslands of conservation value can have a positive impact on hay yield</w:instrText>
      </w:r>
      <w:r w:rsidRPr="008608AA">
        <w:instrText>, which benefits the farm business, and this is repeated across differing sites. Because the effect is maintained over time, farm income\\r\\nwill be increased in the long term.", "author" : [ { "dropping-particle" : "", "family" : "Bullock", "given" : "James M.", "non-dropping-particle" : "", "parse-names" : false, "suffix" : "" }, { "dropping-particle" : "", "family" : "Pywell", "given" : "Richard F.", "non-dropping-particle" : "", "parse-names" : false, "suffix" : "" }, { "dropping-particle" : "", "family" : "Walker", "given" : "Kevin J.", "non-dropping-particle" : "", "parse-names" : false, "suffix" : "" } ], "container-title" : "Journal of Applied Ecology", "id" : "ITEM-2", "issue" : "1", "issued" : { "date-parts" : [ [ "2007" ] ] }, "page" : "6-12", "title" : "Long-term enhancement of agricultural production by restoration of biodiversity", "type" : "article-journal", "volume" : "44" }, "uris" : [ "http://www.mendeley.com/documents/?uuid=94eb694a-a82d-3adc-9443-322684154903" ] } ], "mendeley" : { "formattedCitation" : "(Bullock, Pywell, &amp; Walker, 2007; Peter B. Reich et al., 2004)", "manualFormatting" : "(Bullock et al., 2007; Reich et al., 2004)", "plainTextFormattedCitation" : "(Bullock, Pywell, &amp; Walker, 2007; Peter B. Reich et al., 2004)", "previouslyFormattedCitation" : "(Bullock, Pywell, &amp; Walker, 2007; Peter B. Reich et al., 2004)" }, "properties" : { "noteIndex" : 0 }, "schema" : "https://github.com/citation-style-language/schema/raw/master/csl-citation.json" }</w:instrText>
      </w:r>
      <w:r w:rsidRPr="008608AA">
        <w:fldChar w:fldCharType="separate"/>
      </w:r>
      <w:r w:rsidRPr="008608AA">
        <w:rPr>
          <w:noProof/>
        </w:rPr>
        <w:t>(Bullock et al., 2007; Reich et al., 2004)</w:t>
      </w:r>
      <w:r w:rsidRPr="008608AA">
        <w:fldChar w:fldCharType="end"/>
      </w:r>
      <w:r w:rsidRPr="008608AA">
        <w:t xml:space="preserve">. Changes in grassland plant species richness can influence plant productivity as much as changes in species composition </w:t>
      </w:r>
      <w:r w:rsidRPr="008608AA">
        <w:fldChar w:fldCharType="begin" w:fldLock="1"/>
      </w:r>
      <w:r w:rsidRPr="008608AA">
        <w:instrText>ADDIN CSL_CITATION { "citationItems" : [ { "id" : "ITEM-1", "itemData" : { "DOI" : "10.1371/journal.pone.0017434", "ISBN" : "10.1371/journal.pone.0017434", "ISSN" : "19326203", "PMID" : "21399688", "abstract" : "The idea that species diversity can influence ecosystem functioning has been controversial and its importance relative to compositional effects hotly debated. Unfortunately, assessing the relative importance of different explanatory variables in complex linear models is not simple. In this paper we assess the relative importance of species richness and species composition in a multilevel model analysis of net aboveground biomass production in grassland biodiversity experiments by estimating variance components for all explanatory variables. We compare the variance components using a recently introduced graphical Bayesian ANOVA. We show that while the use of test statistics and the R2 gives contradictory assessments, the variance components analysis reveals that species richness and composition are of roughly similar importance for primary productivity in grassland biodiversity experiments.", "author" : [ { "dropping-particle" : "", "family" : "Hector", "given" : "Andy", "non-dropping-particle" : "", "parse-names" : false, "suffix" : "" }, { "dropping-particle" : "", "family" : "Bell", "given" : "Thomas", "non-dropping-particle" : "", "parse-names" : false, "suffix" : "" }, { "dropping-particle" : "", "family" : "Hautier", "given" : "Yann", "non-dropping-particle" : "", "parse-names" : false, "suffix" : "" }, { "dropping-particle" : "", "family" : "Isbell", "given" : "Forest", "non-dropping-particle" : "", "parse-names" : false, "suffix" : "" }, { "dropping-particle" : "", "family" : "K\u00e9ry", "given" : "Marc", "non-dropping-particle" : "", "parse-names" : false, "suffix" : "" }, { "dropping-particle" : "", "family" : "Reich", "given" : "Peter B.", "non-dropping-particle" : "", "parse-names" : false, "suffix" : "" }, { "dropping-particle" : "", "family" : "Ruijven", "given" : "Jasper", "non-dropping-particle" : "van", "parse-names" : false, "suffix" : "" }, { "dropping-particle" : "", "family" : "Schmid", "given" : "Bernhard", "non-dropping-particle" : "", "parse-names" : false, "suffix" : "" } ], "container-title" : "PLoS One", "id" : "ITEM-1", "issue" : "3", "issued" : { "date-parts" : [ [ "2011" ] ] }, "page" : "e17434", "title" : "BUGS in the analysis of biodiversity experiments: species richness and composition are of similar importance for grassland productivity", "type" : "article-journal", "volume" : "6" }, "uris" : [ "http://www.mendeley.com/documents/?uuid=4a6e43ae-5f83-3398-9e98-d7dacdba0389" ] } ], "mendeley" : { "formattedCitation" : "(Hector et al., 2011)", "plainTextFormattedCitation" : "(Hector et al., 2011)", "previouslyFormattedCitation" : "(Hector et al., 2011)" }, "properties" : { "noteIndex" : 0 }, "schema" : "https://github.com/citation-style-language/schema/raw/master/csl-citation.json" }</w:instrText>
      </w:r>
      <w:r w:rsidRPr="008608AA">
        <w:fldChar w:fldCharType="separate"/>
      </w:r>
      <w:r w:rsidRPr="008608AA">
        <w:rPr>
          <w:noProof/>
        </w:rPr>
        <w:t>(Hector et al., 2011)</w:t>
      </w:r>
      <w:r w:rsidRPr="008608AA">
        <w:fldChar w:fldCharType="end"/>
      </w:r>
      <w:r w:rsidRPr="008608AA">
        <w:t xml:space="preserve">, intensive agricultural management </w:t>
      </w:r>
      <w:r w:rsidRPr="008608AA">
        <w:fldChar w:fldCharType="begin" w:fldLock="1"/>
      </w:r>
      <w:r w:rsidRPr="008608AA">
        <w:instrText>ADDIN CSL_CITATION { "citationItems" : [ { "id" : "ITEM-1", "itemData" : { "DOI" : "10.5194/bgd-6-3187-2009", "ISBN" : "1726-4170", "ISSN" : "17264189", "abstract" : "Modern grassland management seeks to pro-vide many ecosystem services and experimental studies in resource-poor grasslands have shown a positive relationship between plant species richness and a variety of ecosystem functions. Thus, increasing species richness might help to enhance multifunctionality in managed grasslands if the rela-tionship between species richness and ecosystem functioning is equally valid in high-input grassland systems. We tested the relative effects of low-input to high-input management intensities and low to high plant species rich-ness. Using a combination of mowing frequencies (1, 2 or 4 cuts per season) and fertilisation levels (0, 100 and 200 kg N ha \u22121 a \u22121), we studied the productivity of 78 exper-imental grassland communities of increasing plant species richness (1, 2, 4, 8 or 16 species with 1 to 4 functional groups) in two successive years. Our results showed that in both years higher diversity was more effective in increasing productivity than higher man-agement intensity: the 16-species mixtures had a surplus of 449 g m \u22122 y \u22121 in 2006 and 492 g m \u22122 y \u22121 in 2007 over the monoculture yields whereas the high-input management resulted in only 315 g m \u22122 y \u22121 higher productivity in 2006 and 440 g m \u22122 y \u22121 in 2007 than the low-input management. In addition, high-diversity low-input grassland communities had similar productivity as low-diversity high-input commu-nities. The slopes of the biodiversity \u2013 productivity relation-ships significantly increased with increasing levels of man-agement intensity in both years. We conclude that the biological mechanisms leading to enhanced biomass production in diverse grassland commu-nities are as effective for productivity as a combination of several agricultural measures. Our results demonstrate that high-diversity low-input grassland communities provide not Correspondence to: A. Weigelt (alexandra.weigelt@uni-jena.de) only a high diversity of plants and other organisms, but also ensure high forage yields, thus granting the basis for multi-functional managed grasslands.", "author" : [ { "dropping-particle" : "", "family" : "Weigelt", "given" : "A.", "non-dropping-particle" : "", "parse-names" : false, "suffix" : "" }, { "dropping-particle" : "", "family" : "Weisser", "given" : "W.W.", "non-dropping-particle" : "", "parse-names" : false, "suffix" : "" }, { "dropping-particle" : "", "family" : "Buchmann", "given" : "N.", "non-dropping-particle" : "", "parse-names" : false, "suffix" : "" }, { "dropping-particle" : "", "family" : "Scherer-Lorenzen", "given" : "M.", "non-dropping-particle" : "", "parse-names" : false, "suffix" : "" } ], "container-title" : "Biogeosciences", "id" : "ITEM-1", "issue" : "8", "issued" : { "date-parts" : [ [ "2009" ] ] }, "page" : "1695-1706", "title" : "Biodiversity for multifunctional grasslands: equal productivity in high-diversity low-input and low-diversity high-input systems", "type" : "article-journal", "volume" : "6" }, "uris" : [ "http://www.mendeley.com/documents/?uuid=aaeee471-0fb2-3a29-a523-b97792a58dda" ] } ], "mendeley" : { "formattedCitation" : "(Weigelt, Weisser, Buchmann, &amp; Scherer-Lorenzen, 2009)", "manualFormatting" : "(Weigelt et al., 2009)", "plainTextFormattedCitation" : "(Weigelt, Weisser, Buchmann, &amp; Scherer-Lorenzen, 2009)", "previouslyFormattedCitation" : "(Weigelt, Weisser, Buchmann, &amp; Scherer-Lorenzen, 2009)" }, "properties" : { "noteIndex" : 0 }, "schema" : "https://github.com/citation-style-language/schema/raw/master/csl-citation.json" }</w:instrText>
      </w:r>
      <w:r w:rsidRPr="008608AA">
        <w:fldChar w:fldCharType="separate"/>
      </w:r>
      <w:r w:rsidRPr="008608AA">
        <w:rPr>
          <w:noProof/>
        </w:rPr>
        <w:t>(Weigelt et al., 2009)</w:t>
      </w:r>
      <w:r w:rsidRPr="008608AA">
        <w:fldChar w:fldCharType="end"/>
      </w:r>
      <w:r w:rsidRPr="008608AA">
        <w:t xml:space="preserve"> and many other factors long known to regulate plant productivity </w:t>
      </w:r>
      <w:r w:rsidRPr="008608AA">
        <w:fldChar w:fldCharType="begin" w:fldLock="1"/>
      </w:r>
      <w:r w:rsidRPr="008608AA">
        <w:instrText>ADDIN CSL_CITATION { "citationItems" : [ { "id" : "ITEM-1", "itemData" : { "DOI" : "10.1038/nature11118", "ISBN" : "1476-4687", "ISSN" : "0028-0836", "PMID" : "22678289", "abstract" : "Evidence is mounting that extinctions are altering key processes important to the productivity and sustainability of Earth's ecosystems. Further species loss will accelerate change in ecosystem processes, but it is unclear how these effects compare to the direct effects of other forms of environmental change that are both driving diversity loss and altering ecosystem function. Here we use a suite of meta-analyses of published data to show that the effects of species loss on productivity and decomposition--two processes important in all ecosystems--are of comparable magnitude to the effects of many other global environmental changes. In experiments, intermediate levels of species loss (21-40%) reduced plant production by 5-10%, comparable to previously documented effects of ultraviolet radiation and climate warming. Higher levels of extinction (41-60%) had effects rivalling those of ozone, acidification, elevated CO(2) and nutrient pollution. At intermediate levels, species loss generally had equal or greater effects on decomposition than did elevated CO(2) and nitrogen addition. The identity of species lost also had a large effect on changes in productivity and decomposition, generating a wide range of plausible outcomes for extinction. Despite the need for more studies on interactive effects of diversity loss and environmental changes, our analyses clearly show that the ecosystem consequences of local species loss are as quantitatively significant as the direct effects of several global change stressors that have mobilized major international concern and remediation efforts.", "author" : [ { "dropping-particle" : "", "family" : "Hooper", "given" : "David U.", "non-dropping-particle" : "", "parse-names" : false, "suffix" : "" }, { "dropping-particle" : "", "family" : "Adair", "given" : "E. Carol", "non-dropping-particle" : "", "parse-names" : false, "suffix" : "" }, { "dropping-particle" : "", "family" : "Cardinale", "given" : "Bradley J.", "non-dropping-particle" : "", "parse-names" : false, "suffix" : "" }, { "dropping-particle" : "", "family" : "Byrnes", "given" : "Jarrett E. K.", "non-dropping-particle" : "", "parse-names" : false, "suffix" : "" }, { "dropping-particle" : "", "family" : "Hungate", "given" : "Bruce A.", "non-dropping-particle" : "", "parse-names" : false, "suffix" : "" }, { "dropping-particle" : "", "family" : "Matulich", "given" : "Kristin L.", "non-dropping-particle" : "", "parse-names" : false, "suffix" : "" }, { "dropping-particle" : "", "family" : "Gonzalez", "given" : "Andrew", "non-dropping-particle" : "", "parse-names" : false, "suffix" : "" }, { "dropping-particle" : "", "family" : "Duffy", "given" : "J. Emmett", "non-dropping-particle" : "", "parse-names" : false, "suffix" : "" }, { "dropping-particle" : "", "family" : "Gamfeldt", "given" : "Lars", "non-dropping-particle" : "", "parse-names" : false, "suffix" : "" }, { "dropping-particle" : "", "family" : "O\u2019Connor", "given" : "Mary I.", "non-dropping-particle" : "", "parse-names" : false, "suffix" : "" } ], "container-title" : "Nature", "id" : "ITEM-1", "issue" : "7401", "issued" : { "date-parts" : [ [ "2012" ] ] }, "page" : "105-108", "title" : "A global synthesis reveals biodiversity loss as a major driver of ecosystem change", "type" : "article-journal", "volume" : "486" }, "uris" : [ "http://www.mendeley.com/documents/?uuid=ceeee59a-5719-3392-b2f7-6622498a7693" ] }, { "id" : "ITEM-2", "itemData" : { "DOI" : "10.1073/pnas.1208240109", "ISBN" : "0027-8424", "ISSN" : "0027-8424", "PMID" : "22689971", "abstract" : "Although the impacts of the loss of biodiversity on ecosystem functioning are well established, the importance of the loss of biodiversity relative to other human-caused drivers of environmental change remains uncertain. Results of 11 experiments show that ecologically relevant decreases in grassland plant diversity influenced productivity at least as much as ecologically relevant changes in nitrogen, water, CO(2), herbivores, drought, or fire. Moreover, biodiversity became an increasingly dominant driver of ecosystem productivity through time, whereas effects of other factors either declined (nitrogen addition) or remained unchanged (all others). In particular, a change in plant diversity from four to 16 species caused as large an increase in productivity as addition of 54 kg \u00b7 ha(-1) \u00b7 y(-1) of fertilizer N, and was as influential as removing a dominant herbivore, a major natural drought, water addition, and fire suppression. A change in diversity from one to 16 species caused a greater biomass increase than 95 kg \u00b7 ha(-1) \u00b7 y(-1) of N or any other treatment. Our conclusions are based on &gt;7,000 productivity measurements from 11 long-term experiments (mean length, ~ 13 y) conducted at a single site with species from a single regional species pool, thus controlling for many potentially confounding factors. Our results suggest that the loss of biodiversity may have at least as great an impact on ecosystem functioning as other anthropogenic drivers of environmental change, and that use of diverse mixtures of species may be as effective in increasing productivity of some biomass crops as fertilization and may better provide ecosystem services.", "author" : [ { "dropping-particle" : "", "family" : "Tilman", "given" : "D.", "non-dropping-particle" : "", "parse-names" : false, "suffix" : "" }, { "dropping-particle" : "", "family" : "Reich", "given" : "P. B.", "non-dropping-particle" : "", "parse-names" : false, "suffix" : "" }, { "dropping-particle" : "", "family" : "Isbell", "given" : "F.", "non-dropping-particle" : "", "parse-names" : false, "suffix" : "" } ], "container-title" : "PNAS", "id" : "ITEM-2", "issue" : "26", "issued" : { "date-parts" : [ [ "2012" ] ] }, "page" : "10394-10397", "title" : "Biodiversity impacts ecosystem productivity as much as resources, disturbance, or herbivory", "type" : "article-journal", "volume" : "109" }, "uris" : [ "http://www.mendeley.com/documents/?uuid=cfb212e2-1a6a-3695-910a-78620e9644fe" ] } ], "mendeley" : { "formattedCitation" : "(Hooper et al., 2012; D. Tilman, Reich, &amp; Isbell, 2012)", "manualFormatting" : "(Hooper et al., 2012; Tilman et al., 2012)", "plainTextFormattedCitation" : "(Hooper et al., 2012; D. Tilman, Reich, &amp; Isbell, 2012)", "previouslyFormattedCitation" : "(Hooper et al., 2012; D. Tilman, Reich, &amp; Isbell, 2012)" }, "properties" : { "noteIndex" : 0 }, "schema" : "https://github.com/citation-style-language/schema/raw/master/csl-citation.json" }</w:instrText>
      </w:r>
      <w:r w:rsidRPr="008608AA">
        <w:fldChar w:fldCharType="separate"/>
      </w:r>
      <w:r w:rsidRPr="008608AA">
        <w:rPr>
          <w:noProof/>
        </w:rPr>
        <w:t>(Hooper et al., 2012; Tilman et al., 2012)</w:t>
      </w:r>
      <w:r w:rsidRPr="008608AA">
        <w:fldChar w:fldCharType="end"/>
      </w:r>
      <w:r w:rsidRPr="008608AA">
        <w:t xml:space="preserve">. Similar strengths of biodiversity effects on ecosystem function have been found in terrestrial and aquatic habitats </w:t>
      </w:r>
      <w:r w:rsidRPr="008608AA">
        <w:fldChar w:fldCharType="begin" w:fldLock="1"/>
      </w:r>
      <w:r w:rsidRPr="008608AA">
        <w:instrText>ADDIN CSL_CITATION { "citationItems" : [ { "id" : "ITEM-1", "itemData" : { "DOI" : "10.1111/oik.03652", "ISBN" : "0030-1299", "ISSN" : "16000706", "abstract" : "Species diversity aff ects the functioning of ecosystems, including the effi ciency by which communities capture limited resources, produce biomass, recycle and retain biologically essential nutrients. Th ese ecological functions ultimately support the ecosystem services upon which humanity depends. Despite hundreds of experimental tests of the eff ect of biodiversity on ecosystem function (BEF), it remains unclear whether diversity eff ects are suffi ciently general that we can use a single relationship to quantitatively predict how changes in species richness alter an ecosystem function across trophic levels, ecosystems and ecological conditions. Our objective here is to determine whether a general relationship exists between biodiversity and standing biomass. We used hierarchical mixed eff ects models, based on a power function between species richness and biomass production (Y \u03ed a \u03eb S b), and a database of 374 published experiments to estimate the BEF relationship (the change in biomass with the addition of species), and its associated uncertainty, in the context of environmental factors. We found that the mean relationship (b \u03ed 0.26, 95% CI: 0.16, 0.37) characterized the vast majority of observations, was robust to diff erences in experimental design, and was independent of the range of species richness levels considered. However, the richness \u2013 biomass relationship varied by trophic level and among ecosystems; in aquatic systems b was nearly twice as large for consumers (herbivores and detritivores) compared to primary producers; in terrestrial ecosystems, b for detritivores was negative but depended on few studies. We estimated changes in biomass expected for a range of changes in species richness, highlighting that species loss has greater implications than species gains, skewing a distribution of biomass change relative to observed species richness change. When biomass provides a good proxy for processes that underpin ecosystem services, this relationship could be used as a step in modeling the production of ecosystem services and their dependence on biodiversity.", "author" : [ { "dropping-particle" : "", "family" : "O'Connor", "given" : "Mary I", "non-dropping-particle" : "", "parse-names" : false, "suffix" : "" }, { "dropping-particle" : "", "family" : "Gonzalez", "given" : "Andrew", "non-dropping-particle" : "", "parse-names" : false, "suffix" : "" }, { "dropping-particle" : "", "family" : "Byrnes", "given" : "Jarrett E.K.", "non-dropping-particle" : "", "parse-names" : false, "suffix" : "" }, { "dropping-particle" : "", "family" : "Cardinale", "given" : "Bradley J", "non-dropping-particle" : "", "parse-names" : false, "suffix" : "" }, { "dropping-particle" : "", "family" : "Duffy", "given" : "J Emmett", "non-dropping-particle" : "", "parse-names" : false, "suffix" : "" }, { "dropping-particle" : "", "family" : "Gamfeldt", "given" : "Lars", "non-dropping-particle" : "", "parse-names" : false, "suffix" : "" }, { "dropping-particle" : "", "family" : "Griffin", "given" : "John N", "non-dropping-particle" : "", "parse-names" : false, "suffix" : "" }, { "dropping-particle" : "", "family" : "Hooper", "given" : "David", "non-dropping-particle" : "", "parse-names" : false, "suffix" : "" }, { "dropping-particle" : "", "family" : "Hungate", "given" : "Bruce A", "non-dropping-particle" : "", "parse-names" : false, "suffix" : "" }, { "dropping-particle" : "", "family" : "Paquette", "given" : "Alain", "non-dropping-particle" : "", "parse-names" : false, "suffix" : "" }, { "dropping-particle" : "", "family" : "Thompson", "given" : "Patrick L", "non-dropping-particle" : "", "parse-names" : false, "suffix" : "" }, { "dropping-particle" : "", "family" : "Dee", "given" : "Laura E", "non-dropping-particle" : "", "parse-names" : false, "suffix" : "" }, { "dropping-particle" : "", "family" : "Dolan", "given" : "Kristin L", "non-dropping-particle" : "", "parse-names" : false, "suffix" : "" } ], "container-title" : "Oikos", "id" : "ITEM-1", "issue" : "1", "issued" : { "date-parts" : [ [ "2017" ] ] }, "page" : "18-31", "title" : "A general biodiversity\u2013function relationship is mediated by trophic level", "type" : "article-journal", "volume" : "126" }, "uris" : [ "http://www.mendeley.com/documents/?uuid=ca8d9b75-07f3-3e0c-85e2-7e640b4bfbdd" ] } ], "mendeley" : { "formattedCitation" : "(O\u2019Connor et al., 2017)", "plainTextFormattedCitation" : "(O\u2019Connor et al., 2017)", "previouslyFormattedCitation" : "(O\u2019Connor et al., 2017)" }, "properties" : { "noteIndex" : 0 }, "schema" : "https://github.com/citation-style-language/schema/raw/master/csl-citation.json" }</w:instrText>
      </w:r>
      <w:r w:rsidRPr="008608AA">
        <w:fldChar w:fldCharType="separate"/>
      </w:r>
      <w:r w:rsidRPr="008608AA">
        <w:rPr>
          <w:noProof/>
        </w:rPr>
        <w:t>(O’Connor et al., 2017)</w:t>
      </w:r>
      <w:r w:rsidRPr="008608AA">
        <w:fldChar w:fldCharType="end"/>
      </w:r>
      <w:r w:rsidRPr="008608AA">
        <w:t xml:space="preserve">. Meta-analysis reveals that herbivore diversity influences more ecosystem functions than plant diversity </w:t>
      </w:r>
      <w:r w:rsidRPr="008608AA">
        <w:fldChar w:fldCharType="begin" w:fldLock="1"/>
      </w:r>
      <w:r w:rsidRPr="008608AA">
        <w:instrText>ADDIN CSL_CITATION { "citationItems" : [ { "id" : "ITEM-1", "itemData" : { "DOI" : "10.1038/ncomms7936", "ISBN" : "doi:10.1038/ncomms7936", "ISSN" : "2041-1723", "PMID" : "25907115", "abstract" : "The importance of biodiversity for the integrated functioning of ecosystems remains unclear because most evidence comes from analyses of biodiversity's effect on individual functions. Here we show that the effects of biodiversity on ecosystem function become more important as more functions are considered. We present the first systematic investigation of biodiversity's effect on ecosystem multifunctionality across multiple taxa, trophic levels and habitats using a comprehensive database of 94 manipulations of species richness. We show that species-rich communities maintained multiple functions at higher levels than depauperate ones. These effects were stronger for herbivore biodiversity than for plant biodiversity, and were remarkably consistent across aquatic and terrestrial habitats. Despite observed tradeoffs, the overall effect of biodiversity on multifunctionality grew stronger as more functions were considered. These results indicate that prior research has under-estimated the importance of biodiversity for ecosystem functioning by focusing on individual functions and taxonomic groups.", "author" : [ { "dropping-particle" : "", "family" : "Lefcheck", "given" : "Jonathan S.", "non-dropping-particle" : "", "parse-names" : false, "suffix" : "" }, { "dropping-particle" : "", "family" : "Byrnes", "given" : "Jarrett E. K.", "non-dropping-particle" : "", "parse-names" : false, "suffix" : "" }, { "dropping-particle" : "", "family" : "Isbell", "given" : "Forest", "non-dropping-particle" : "", "parse-names" : false, "suffix" : "" }, { "dropping-particle" : "", "family" : "Gamfeldt", "given" : "Lars", "non-dropping-particle" : "", "parse-names" : false, "suffix" : "" }, { "dropping-particle" : "", "family" : "Griffin", "given" : "John N.", "non-dropping-particle" : "", "parse-names" : false, "suffix" : "" }, { "dropping-particle" : "", "family" : "Eisenhauer", "given" : "Nico", "non-dropping-particle" : "", "parse-names" : false, "suffix" : "" }, { "dropping-particle" : "", "family" : "Hensel", "given" : "Marc J.S.", "non-dropping-particle" : "", "parse-names" : false, "suffix" : "" }, { "dropping-particle" : "", "family" : "Hector", "given" : "Andy", "non-dropping-particle" : "", "parse-names" : false, "suffix" : "" }, { "dropping-particle" : "", "family" : "Cardinale", "given" : "Bradley J.", "non-dropping-particle" : "", "parse-names" : false, "suffix" : "" }, { "dropping-particle" : "", "family" : "Duffy", "given" : "J. Emmett", "non-dropping-particle" : "", "parse-names" : false, "suffix" : "" } ], "container-title" : "Nature Communications", "id" : "ITEM-1", "issued" : { "date-parts" : [ [ "2015" ] ] }, "page" : "6936", "title" : "Biodiversity enhances ecosystem multifunctionality across trophic levels and habitats", "type" : "article-journal", "volume" : "6" }, "uris" : [ "http://www.mendeley.com/documents/?uuid=51868b7d-a9ef-3e73-aa87-c9f0a43f59e4" ] }, { "id" : "ITEM-2", "itemData" : { "author" : [ { "dropping-particle" : "", "family" : "Arias-Gonz\u00e1lez", "given" : "J.E.", "non-dropping-particle" : "", "parse-names" : false, "suffix" : "" }, { "dropping-particle" : "", "family" : "Rodr\u00edguez-Pe\u00f1a", "given" : "O.N.", "non-dropping-particle" : "", "parse-names" : false, "suffix" : "" }, { "dropping-particle" : "", "family" : "Almeida-Le\u00f1ero", "given" : "Luc\u00eda", "non-dropping-particle" : "", "parse-names" : false, "suffix" : "" }, { "dropping-particle" : "", "family" : "Hern\u00e1ndez Almeida", "given" : "O.U.", "non-dropping-particle" : "", "parse-names" : false, "suffix" : "" }, { "dropping-particle" : "", "family" : "Schmitter-Soto", "given" : "J.J.", "non-dropping-particle" : "", "parse-names" : false, "suffix" : "" }, { "dropping-particle" : "", "family" : "Gonz\u00e1lez Mart\u00ednez", "given" : "T.M.", "non-dropping-particle" : "", "parse-names" : false, "suffix" : "" }, { "dropping-particle" : "", "family" : "Mor\u00f3n-R\u00edos", "given" : "Alejandro", "non-dropping-particle" : "", "parse-names" : false, "suffix" : "" }, { "dropping-particle" : "", "family" : "Alcocer Duran", "given" : "J.", "non-dropping-particle" : "", "parse-names" : false, "suffix" : "" }, { "dropping-particle" : "", "family" : "Barba Mac\u00edas", "given" : "E.", "non-dropping-particle" : "", "parse-names" : false, "suffix" : "" }, { "dropping-particle" : "", "family" : "D\u00edaz Casta\u00f1eda", "given" : "V.", "non-dropping-particle" : "", "parse-names" : false, "suffix" : "" }, { "dropping-particle" : "", "family" : "Jim\u00e9nez-Badillo", "given" : "M.L.", "non-dropping-particle" : "", "parse-names" : false, "suffix" : "" }, { "dropping-particle" : "", "family" : "Lara Dom\u00ednguez", "given" : "A.L.", "non-dropping-particle" : "", "parse-names" : false, "suffix" : "" }, { "dropping-particle" : "", "family" : "Sosa-Ram\u00edrez", "given" : "J.", "non-dropping-particle" : "", "parse-names" : false, "suffix" : "" } ], "container-title" : "Una Mirada al Conocimiento de los Ecosistemas de M\u00e9xico", "editor" : [ { "dropping-particle" : "", "family" : "Balvanera", "given" : "Patricia", "non-dropping-particle" : "", "parse-names" : false, "suffix" : "" }, { "dropping-particle" : "", "family" : "Arias-Gonz\u00e1lez", "given" : "Ernesto", "non-dropping-particle" : "", "parse-names" : false, "suffix" : "" }, { "dropping-particle" : "", "family" : "Rodr\u00edguez-Estrella", "given" : "Ricardo", "non-dropping-particle" : "", "parse-names" : false, "suffix" : "" }, { "dropping-particle" : "", "family" : "Almeida-Le\u00f1ero", "given" : "Luc\u00eda", "non-dropping-particle" : "", "parse-names" : false, "suffix" : "" }, { "dropping-particle" : "", "family" : "Schmitter-Soto", "given" : "J. J.", "non-dropping-particle" : "", "parse-names" : false, "suffix" : "" } ], "id" : "ITEM-2", "issued" : { "date-parts" : [ [ "2016" ] ] }, "page" : "191-228", "publisher" : "Universidad Nacional Aut\u00f3noma de M\u00e9xico", "publisher-place" : "Mexico City, Mexico", "title" : "Cambios en la biodiversidad y sus consecuencias en el funcionamiento de los ecosistemas y sus servicios", "type" : "chapter" }, "uris" : [ "http://www.mendeley.com/documents/?uuid=550b4483-5478-406c-bb26-b1516b654875" ] } ], "mendeley" : { "formattedCitation" : "(Arias-Gonz\u00e1lez et al., 2016; Lefcheck et al., 2015)", "plainTextFormattedCitation" : "(Arias-Gonz\u00e1lez et al., 2016; Lefcheck et al., 2015)", "previouslyFormattedCitation" : "(Arias-Gonz\u00e1lez et al., 2016; Lefcheck et al., 2015)" }, "properties" : { "noteIndex" : 0 }, "schema" : "https://github.com/citation-style-language/schema/raw/master/csl-citation.json" }</w:instrText>
      </w:r>
      <w:r w:rsidRPr="008608AA">
        <w:fldChar w:fldCharType="separate"/>
      </w:r>
      <w:r w:rsidRPr="008608AA">
        <w:rPr>
          <w:noProof/>
        </w:rPr>
        <w:t>(Arias-González et al., 2016; Lefcheck et al., 2015)</w:t>
      </w:r>
      <w:r w:rsidRPr="008608AA">
        <w:fldChar w:fldCharType="end"/>
      </w:r>
      <w:r w:rsidRPr="008608AA">
        <w:t>. Additional examples of biodiversity links to ecosystem functions in different biomes and other units of analysis can be found throughout the chapter.</w:t>
      </w:r>
    </w:p>
    <w:p w14:paraId="3497386A" w14:textId="77777777" w:rsidR="004D42ED" w:rsidRPr="008608AA" w:rsidRDefault="004D42ED" w:rsidP="0039151E">
      <w:pPr>
        <w:spacing w:after="120"/>
      </w:pPr>
    </w:p>
    <w:p w14:paraId="0F83C8D2" w14:textId="77777777" w:rsidR="004255E7" w:rsidRPr="008608AA" w:rsidRDefault="004255E7" w:rsidP="00C1178A">
      <w:pPr>
        <w:pStyle w:val="Heading2"/>
      </w:pPr>
      <w:bookmarkStart w:id="846" w:name="_Toc502927333"/>
      <w:bookmarkStart w:id="847" w:name="_Toc502951162"/>
      <w:bookmarkStart w:id="848" w:name="_Toc502953605"/>
      <w:bookmarkStart w:id="849" w:name="_Toc502954898"/>
      <w:bookmarkStart w:id="850" w:name="_Toc502957705"/>
      <w:bookmarkStart w:id="851" w:name="_Toc502957904"/>
      <w:bookmarkStart w:id="852" w:name="_Toc502958058"/>
      <w:bookmarkStart w:id="853" w:name="_Toc503293106"/>
      <w:bookmarkStart w:id="854" w:name="_Toc503293704"/>
      <w:bookmarkStart w:id="855" w:name="_Toc503293966"/>
      <w:bookmarkStart w:id="856" w:name="_Toc503863359"/>
      <w:bookmarkStart w:id="857" w:name="_Toc503863587"/>
      <w:bookmarkStart w:id="858" w:name="_Toc517393287"/>
      <w:bookmarkStart w:id="859" w:name="_Toc517719028"/>
      <w:bookmarkStart w:id="860" w:name="_Toc517796985"/>
      <w:r w:rsidRPr="008608AA">
        <w:t>Continental distribution of ecosystem functions and biodiversity</w:t>
      </w:r>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r w:rsidRPr="008608AA">
        <w:t xml:space="preserve"> </w:t>
      </w:r>
    </w:p>
    <w:p w14:paraId="4DBBCA2C" w14:textId="77777777" w:rsidR="004255E7" w:rsidRPr="008608AA" w:rsidRDefault="004255E7" w:rsidP="00C1178A">
      <w:pPr>
        <w:pStyle w:val="Heading3"/>
      </w:pPr>
      <w:bookmarkStart w:id="861" w:name="_Toc502927334"/>
      <w:bookmarkStart w:id="862" w:name="_Toc502951163"/>
      <w:bookmarkStart w:id="863" w:name="_Toc502953606"/>
      <w:bookmarkStart w:id="864" w:name="_Toc502954899"/>
      <w:bookmarkStart w:id="865" w:name="_Toc502957706"/>
      <w:bookmarkStart w:id="866" w:name="_Toc502957905"/>
      <w:bookmarkStart w:id="867" w:name="_Toc502958059"/>
      <w:bookmarkStart w:id="868" w:name="_Toc503293107"/>
      <w:bookmarkStart w:id="869" w:name="_Toc503293705"/>
      <w:bookmarkStart w:id="870" w:name="_Toc503293967"/>
      <w:bookmarkStart w:id="871" w:name="_Toc503863360"/>
      <w:bookmarkStart w:id="872" w:name="_Toc503863588"/>
      <w:bookmarkStart w:id="873" w:name="_Toc517393288"/>
      <w:bookmarkStart w:id="874" w:name="_Toc517719029"/>
      <w:bookmarkStart w:id="875" w:name="_Toc517796986"/>
      <w:r w:rsidRPr="008608AA">
        <w:t>Status and trends of ecosystem functions linked to biodiversity</w:t>
      </w:r>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p>
    <w:p w14:paraId="1D01157F" w14:textId="77777777" w:rsidR="00E714CA" w:rsidRPr="008608AA" w:rsidRDefault="00E714CA" w:rsidP="00E714CA">
      <w:pPr>
        <w:rPr>
          <w:lang w:val="en-GB" w:eastAsia="es-CO"/>
        </w:rPr>
      </w:pPr>
    </w:p>
    <w:p w14:paraId="3847E86E" w14:textId="1E38555A" w:rsidR="004255E7" w:rsidRPr="008608AA" w:rsidRDefault="004255E7" w:rsidP="00C1178A">
      <w:pPr>
        <w:pStyle w:val="Heading4"/>
      </w:pPr>
      <w:bookmarkStart w:id="876" w:name="_Toc502927335"/>
      <w:bookmarkStart w:id="877" w:name="_Toc517393289"/>
      <w:bookmarkStart w:id="878" w:name="_Toc517719030"/>
      <w:bookmarkStart w:id="879" w:name="_Toc517796987"/>
      <w:r w:rsidRPr="008608AA">
        <w:t>Carbon cycling and energy fluxes</w:t>
      </w:r>
      <w:bookmarkEnd w:id="876"/>
      <w:bookmarkEnd w:id="877"/>
      <w:bookmarkEnd w:id="878"/>
      <w:bookmarkEnd w:id="879"/>
      <w:r w:rsidRPr="008608AA">
        <w:t xml:space="preserve"> </w:t>
      </w:r>
    </w:p>
    <w:p w14:paraId="39AC93C3" w14:textId="2A5F5010" w:rsidR="004255E7" w:rsidRPr="008608AA" w:rsidRDefault="00657833" w:rsidP="00C1178A">
      <w:pPr>
        <w:spacing w:after="120"/>
      </w:pPr>
      <w:r w:rsidRPr="008608AA">
        <w:t xml:space="preserve">Status. </w:t>
      </w:r>
      <w:r w:rsidR="004255E7" w:rsidRPr="008608AA">
        <w:t>The carbon cycle is strongl</w:t>
      </w:r>
      <w:r w:rsidR="00A47F44" w:rsidRPr="008608AA">
        <w:t>y linked to land cover change (s</w:t>
      </w:r>
      <w:r w:rsidR="004255E7" w:rsidRPr="008608AA">
        <w:t xml:space="preserve">ection 3.3.2) and energy flux since energy enters and moves through ecosystems in the form of carbon-based molecules. Therefore, the carbon cycle has major implications for ecosystem function and provisioning of ecosystem services. Land use change increases carbon emissions or sequestration depending on the nature of vegetation replacement. Agriculture and deforestation are the main land use changes that have altered carbon fluxes and stocks. Overall, agriculture has reduced carbon inputs to ecosystems through harvest and/or increased carbon output from cultivation; human appropriation of primary production (a measure of the amount of energy captured by humans from ecosystems) is particularly high in agricultural regions of the Americas </w:t>
      </w:r>
      <w:r w:rsidR="004255E7" w:rsidRPr="008608AA">
        <w:fldChar w:fldCharType="begin" w:fldLock="1"/>
      </w:r>
      <w:r w:rsidR="004255E7" w:rsidRPr="008608AA">
        <w:instrText>ADDIN CSL_CITATION { "citationItems" : [ { "id" : "ITEM-1", "itemData" : { "DOI" : "10.1073/pnas.0704243104", "ISBN" : "0027-8424", "ISSN" : "0027-8424", "PMID" : "17616580", "abstract" : "Human appropriation of net primary production (HANPP), the aggregate impact of land use on biomass available each year in ecosystems, is a prominent measure of the human domination of the biosphere. We present a comprehensive assessment of global HANPP based on vegetation modeling, agricultural and forestry statistics, and geographical information systems data on land use, land cover, and soil degradation that localizes human impact on ecosystems. We found an aggregate global HANPP value of 15.6 Pg C/yr or 23.8% of potential net primary productivity, of which 53% was contributed by harvest, 40% by land-use-induced productivity changes, and 7% by human-induced fires. This is a remarkable impact on the biosphere caused by just one species. We present maps quantifying human-induced changes in trophic energy flows in ecosystems that illustrate spatial patterns in the human domination of ecosystems, thus emphasizing land use as a pervasive factor of global importance. Land use transforms earth's terrestrial surface, resulting in changes in biogeochemical cycles and in the ability of ecosystems to deliver services critical to human well being. The results suggest that large-scale schemes to substitute biomass for fossil fuels should be viewed cautiously because massive additional pressures on ecosystems might result from increased biomass harvest. \u00c2", "author" : [ { "dropping-particle" : "", "family" : "Haberl", "given" : "Helmut", "non-dropping-particle" : "", "parse-names" : false, "suffix" : "" }, { "dropping-particle" : "", "family" : "Erb", "given" : "K. Heinz", "non-dropping-particle" : "", "parse-names" : false, "suffix" : "" }, { "dropping-particle" : "", "family" : "Krausmann", "given" : "Fridolin", "non-dropping-particle" : "", "parse-names" : false, "suffix" : "" }, { "dropping-particle" : "", "family" : "Gaube", "given" : "Veronika", "non-dropping-particle" : "", "parse-names" : false, "suffix" : "" }, { "dropping-particle" : "", "family" : "Bondeau", "given" : "Alberte", "non-dropping-particle" : "", "parse-names" : false, "suffix" : "" }, { "dropping-particle" : "", "family" : "Plutzar", "given" : "Christoph", "non-dropping-particle" : "", "parse-names" : false, "suffix" : "" }, { "dropping-particle" : "", "family" : "Gingrich", "given" : "Simone", "non-dropping-particle" : "", "parse-names" : false, "suffix" : "" }, { "dropping-particle" : "", "family" : "Lucht", "given" : "Wolfgang", "non-dropping-particle" : "", "parse-names" : false, "suffix" : "" }, { "dropping-particle" : "", "family" : "Fischer-Kowalski", "given" : "Marina", "non-dropping-particle" : "", "parse-names" : false, "suffix" : "" } ], "container-title" : "PNAS", "id" : "ITEM-1", "issue" : "31", "issued" : { "date-parts" : [ [ "2007" ] ] }, "page" : "12942-12947", "title" : "Quantifying and mapping the human appropriation of net primary production in earth's terrestrial ecosystems", "type" : "article-journal", "volume" : "104" }, "uris" : [ "http://www.mendeley.com/documents/?uuid=f9ad5897-16d3-4181-af22-91175b27fbf6" ] } ], "mendeley" : { "formattedCitation" : "(Haberl et al., 2007)", "plainTextFormattedCitation" : "(Haberl et al., 2007)", "previouslyFormattedCitation" : "(Haberl et al., 2007)" }, "properties" : { "noteIndex" : 0 }, "schema" : "https://github.com/citation-style-language/schema/raw/master/csl-citation.json" }</w:instrText>
      </w:r>
      <w:r w:rsidR="004255E7" w:rsidRPr="008608AA">
        <w:fldChar w:fldCharType="separate"/>
      </w:r>
      <w:r w:rsidR="004255E7" w:rsidRPr="008608AA">
        <w:rPr>
          <w:noProof/>
        </w:rPr>
        <w:t>(Haberl et al., 2007)</w:t>
      </w:r>
      <w:r w:rsidR="004255E7" w:rsidRPr="008608AA">
        <w:fldChar w:fldCharType="end"/>
      </w:r>
      <w:r w:rsidR="004255E7" w:rsidRPr="008608AA">
        <w:t xml:space="preserve">. Agricultural soils lose carbon when monocultures of annual crops are planted without rotations </w:t>
      </w:r>
      <w:r w:rsidR="004255E7" w:rsidRPr="008608AA">
        <w:fldChar w:fldCharType="begin" w:fldLock="1"/>
      </w:r>
      <w:r w:rsidR="004255E7" w:rsidRPr="008608AA">
        <w:instrText>ADDIN CSL_CITATION { "citationItems" : [ { "id" : "ITEM-1", "itemData" : { "DOI" : "10.1016/j.still.2009.08.001", "ISBN" : "0167-1987", "ISSN" : "01671987", "abstract" : "Soil degradation associated with tillage is a major problem in Uruguayan agriculture. Either rotation of crops with pastures (ROT) or no-till (NT) cropping have been proposed as alternatives to minimize the impact of agriculture on soil quality. The combined impact on soil properties of ROT and NT has not been evaluated. In this study, we report results of the first 12 years of a long-term experiment established on a clay loam soil in western Uruguay. The objective was to determine the influence of conventional tillage (CT) and NT on systems under continuous cropping (CC, two crops per year) or ROT (3.5-year annual crops/2.5-year pastures). Soil samples taken at the beginning of the experiment in 1994 and in 2004 were analyzed for organic carbon (SOC), total organic carbon (TSOC) and total nitrogen content (STN), and for water-stable aggregation (WAS). Soil loss and erodibility indicators were studied using microrain simulator. With 12 years, the cumulative carbon (C) inputs of aboveground biomass were similar between tillage, but C input in CC was 50% higher than ROT. This difference was explained because 84% of the pastures dry matter was consumed by animals. Nevertheless we estimated a higher below ground biomass in ROT compared to CC systems (24.9Mgha -1 vs. 10.9Mgha -1). NT presented 7% higher SOC than CT (0-18cm) with no differences between rotation systems. While all treatments declined in STN during 12 years, ROT had 11% and 58% higher STN and WAS than CC systems, with a large impact of the pasture under CT. Runoff and erosion were minimized under NT in both rotations systems. Thus, including pastures in the rotation, or switching from CT to NT improved soil quality properties. The expected benefit of combining NT and ROT will likely require more years for the cumulative effect to be detectable in both C input and soil properties. \u00a9 2009 Elsevier B.V.", "author" : [ { "dropping-particle" : "", "family" : "Ernst", "given" : "Oswaldo", "non-dropping-particle" : "", "parse-names" : false, "suffix" : "" }, { "dropping-particle" : "", "family" : "Siri-Prieto", "given" : "Guillermo", "non-dropping-particle" : "", "parse-names" : false, "suffix" : "" } ], "container-title" : "Soil and Tillage Research", "id" : "ITEM-1", "issue" : "2", "issued" : { "date-parts" : [ [ "2009" ] ] }, "page" : "260-268", "title" : "Impact of perennial pasture and tillage systems on carbon input and soil quality indicators", "type" : "article-journal", "volume" : "105" }, "uris" : [ "http://www.mendeley.com/documents/?uuid=8aaecc65-5e1f-4d1d-ac7e-c3579f11a4de" ] }, { "id" : "ITEM-2", "itemData" : { "DOI" : "10.1016/j.still.2005.02.012", "ISBN" : "0167-1987", "ISSN" : "01671987", "abstract" : "Agriculture in the southeastern USA can be highly productive (i.e., high photosynthetic fixation of atmospheric CO2) due to warm-moist climatic conditions. However, its impacts on greenhouse gas emissions and mitigation potential have not been thoroughly characterized. This paper is a review and synthesis of literature pertaining to soil organic C (SOC) sequestration and greenhouse gas emissions from agricultural activities in the southeastern USA. Conservation tillage is an effective strategy to regain some of the SOC lost following decades, and in some areas centuries, of intensive soil tillage and erosion. With conventional tillage (CT) as a baseline, SOC sequestration with no tillage (NT) was 0.42 \u00b1 0.46 Mg ha-1 year-1 (10 \u00b1 5 years). Combining cover cropping with NT enhanced SOC sequestration (0.53 \u00b1 0.45 Mg ha-1 year -1) compared with NT and no cover cropping (0.28 \u00b1 0.44 Mg ha-1 year-1). By increasing cropping system complexity, SOC could be increased by 0.22 Mg ha-1 year-1, irrespective of tillage management. Taking into account an average C cost of producing and transporting N fertilizer, SOC sequestration could be optimized at 0.24 Mg ha-1 year-1 with application of 107 kg N ha -1 year-1 on N-responsive crops, irrespective of tillage management. In longer-term studies (5-21 years), poultry litter application led to SOC sequestration of 0.72 \u00b1 0.67 Mg ha-1 year-1 (17 \u00b1 15% of C applied). Land that was previously cropped and converted to forages sequestered SOC at a rate of 1.03 \u00b1 0.90 Mg ha-1 year-1 (15 \u00b1 17 years). Limited data suggest animal grazing increases SOC sequestration on upland pastures. By expanding research on SOC sequestration into more diverse pasture and manure application systems and gathering much needed data on methane and nitrous oxide fluxes under almost any agricultural operation in the region, a more complete analysis of greenhouse gas emissions and potential mitigation from agricultural management systems would be possible. This information will be necessary for developing appropriate technological and political solutions to increase agricultural sustainability and combat environmental degradation in the southeastern USA. \u00a9 2005 Elsevier B.V. All rights reserved.", "author" : [ { "dropping-particle" : "", "family" : "Franzluebbers", "given" : "A. J.", "non-dropping-particle" : "", "parse-names" : false, "suffix" : "" } ], "container-title" : "Soil and Tillage Research", "id" : "ITEM-2", "issue" : "1", "issued" : { "date-parts" : [ [ "2005" ] ] }, "page" : "120-147", "title" : "Soil organic carbon sequestration and agricultural greenhouse gas emissions in the southeastern USA", "type" : "article-journal", "volume" : "83" }, "uris" : [ "http://www.mendeley.com/documents/?uuid=9dfcd27e-adb9-4115-9c1c-866c929f3a29" ] } ], "mendeley" : { "formattedCitation" : "(Ernst &amp; Siri-Prieto, 2009; Franzluebbers, 2005)", "manualFormatting" : "(Ernst &amp; Siri-Prieto, 2009; Franzluebbers, 2005)", "plainTextFormattedCitation" : "(Ernst &amp; Siri-Prieto, 2009; Franzluebbers, 2005)", "previouslyFormattedCitation" : "(Ernst &amp; Siri-Prieto, 2009; Franzluebbers, 2005)" }, "properties" : { "noteIndex" : 0 }, "schema" : "https://github.com/citation-style-language/schema/raw/master/csl-citation.json" }</w:instrText>
      </w:r>
      <w:r w:rsidR="004255E7" w:rsidRPr="008608AA">
        <w:fldChar w:fldCharType="separate"/>
      </w:r>
      <w:r w:rsidR="004255E7" w:rsidRPr="008608AA">
        <w:rPr>
          <w:noProof/>
        </w:rPr>
        <w:t>(Ernst &amp; Siri-Prieto, 2009; Franzluebbers, 2005)</w:t>
      </w:r>
      <w:r w:rsidR="004255E7" w:rsidRPr="008608AA">
        <w:fldChar w:fldCharType="end"/>
      </w:r>
      <w:r w:rsidR="004255E7" w:rsidRPr="008608AA">
        <w:t xml:space="preserve">. However, recent trends in double cropping, no-till practices and used cover crops have the potential to at least partially restore soil organic carbon stocks </w:t>
      </w:r>
      <w:r w:rsidR="004255E7" w:rsidRPr="008608AA">
        <w:fldChar w:fldCharType="begin" w:fldLock="1"/>
      </w:r>
      <w:r w:rsidR="004255E7" w:rsidRPr="008608AA">
        <w:instrText>ADDIN CSL_CITATION { "citationItems" : [ { "id" : "ITEM-1", "itemData" : { "DOI" : "10.1016/j.agee.2014.10.024", "author" : [ { "dropping-particle" : "", "family" : "Poeplau", "given" : "Christopher", "non-dropping-particle" : "", "parse-names" : false, "suffix" : "" }, { "dropping-particle" : "", "family" : "Don", "given" : "Axel", "non-dropping-particle" : "", "parse-names" : false, "suffix" : "" } ], "container-title" : "Agriculture Ecosystems &amp; Environment", "id" : "ITEM-1", "issued" : { "date-parts" : [ [ "2015" ] ] }, "page" : "33-41", "title" : "Carbon sequestration in agricultural soils via cultivation of cover crops \u2013 A meta-analysis", "type" : "article-journal", "volume" : "200" }, "uris" : [ "http://www.mendeley.com/documents/?uuid=458a3594-499e-4e6f-bde5-2c31e0515049" ] }, { "id" : "ITEM-2", "itemData" : { "DOI" : "10.2489/jswc.71.1.12", "ISBN" : "0022-4561", "ISSN" : "0022-4561", "abstract" : "Cover crops are well known for their positive effects on erosion processes, soil organic matter, soil physical properties, weed populations and nitrate (NO3) leaching. In this work, we evaluated the fate of nitrogen (N) from fertilizer in maize (Zea mays L.) and then in ryegrass (Lolium multiflorum) as cover crop, in the conditions of the Argentine Pampas. To this end, a field experiment was carried out at the School of Agriculture, University of Buenos Aires, Argentina (34 degrees 36' S, 58 degrees 29' W). The design of the experiment was factorial with three replications. We applied to maize two levels of N (0 and 140 kg N ha-1 [125 lb N ac-1] ammonium nitrate target with 15N) and two levels of water (50% and 100% of crop evapotranspiration). 15N was determined in both the soil and plants. Maize plants and the soil organic fraction were the main sinks of fertilizer N, depending on the water treatment. The N from fertilizer remaining as NO3 in the soil (0 to 1.5 m [0 to .92 ft] depth) at maize harvest was 8% in plots subjected to water stress compared to 3% in the nonstressed. Nitrogen losses due to volatilization were minor. Total N (soil and fertilizer) accumulated in ryegrass tissues plus NO3 remaining in the soil were higher in cover crop plots than in bare soil (130 versus 51 kg N ha-1 [116 versus 45.5 lb N ac-1]). The N in the soil organic matter originating from fertilizer significantly decreased between maize harvest and cover crop harvest. This soil organic N that originated from fertilizer mineralized at high rate (around 47% in six months), suggesting it was in more labile. This mineralized N can be subjected to potential losses during following months.", "author" : [ { "dropping-particle" : "", "family" : "Rimski-Korsakov", "given" : "H.", "non-dropping-particle" : "", "parse-names" : false, "suffix" : "" }, { "dropping-particle" : "", "family" : "Zubillaga", "given" : "M. S.", "non-dropping-particle" : "", "parse-names" : false, "suffix" : "" }, { "dropping-particle" : "", "family" : "Landriscini", "given" : "M. R.", "non-dropping-particle" : "", "parse-names" : false, "suffix" : "" }, { "dropping-particle" : "", "family" : "Lavado", "given" : "R. S.", "non-dropping-particle" : "", "parse-names" : false, "suffix" : "" } ], "container-title" : "Journal of Soil and Water Conservation", "id" : "ITEM-2", "issue" : "1", "issued" : { "date-parts" : [ [ "2016" ] ] }, "page" : "12-20", "title" : "Maize and cover crop sequence in the Pampas: effect of fertilization and water stress on the fate of nitrogen", "type" : "article-journal", "volume" : "71" }, "uris" : [ "http://www.mendeley.com/documents/?uuid=972ce818-b823-33da-b035-32716a44b3d7" ] }, { "id" : "ITEM-3", "itemData" : { "DOI" : "10.1016/j.still.2005.02.012", "ISBN" : "0167-1987", "ISSN" : "01671987", "abstract" : "Agriculture in the southeastern USA can be highly productive (i.e., high photosynthetic fixation of atmospheric CO2) due to warm-moist climatic conditions. However, its impacts on greenhouse gas emissions and mitigation potential have not been thoroughly characterized. This paper is a review and synthesis of literature pertaining to soil organic C (SOC) sequestration and greenhouse gas emissions from agricultural activities in the southeastern USA. Conservation tillage is an effective strategy to regain some of the SOC lost following decades, and in some areas centuries, of intensive soil tillage and erosion. With conventional tillage (CT) as a baseline, SOC sequestration with no tillage (NT) was 0.42 \u00b1 0.46 Mg ha-1 year-1 (10 \u00b1 5 years). Combining cover cropping with NT enhanced SOC sequestration (0.53 \u00b1 0.45 Mg ha-1 year -1) compared with NT and no cover cropping (0.28 \u00b1 0.44 Mg ha-1 year-1). By increasing cropping system complexity, SOC could be increased by 0.22 Mg ha-1 year-1, irrespective of tillage management. Taking into account an average C cost of producing and transporting N fertilizer, SOC sequestration could be optimized at 0.24 Mg ha-1 year-1 with application of 107 kg N ha -1 year-1 on N-responsive crops, irrespective of tillage management. In longer-term studies (5-21 years), poultry litter application led to SOC sequestration of 0.72 \u00b1 0.67 Mg ha-1 year-1 (17 \u00b1 15% of C applied). Land that was previously cropped and converted to forages sequestered SOC at a rate of 1.03 \u00b1 0.90 Mg ha-1 year-1 (15 \u00b1 17 years). Limited data suggest animal grazing increases SOC sequestration on upland pastures. By expanding research on SOC sequestration into more diverse pasture and manure application systems and gathering much needed data on methane and nitrous oxide fluxes under almost any agricultural operation in the region, a more complete analysis of greenhouse gas emissions and potential mitigation from agricultural management systems would be possible. This information will be necessary for developing appropriate technological and political solutions to increase agricultural sustainability and combat environmental degradation in the southeastern USA. \u00a9 2005 Elsevier B.V. All rights reserved.", "author" : [ { "dropping-particle" : "", "family" : "Franzluebbers", "given" : "A. J.", "non-dropping-particle" : "", "parse-names" : false, "suffix" : "" } ], "container-title" : "Soil and Tillage Research", "id" : "ITEM-3", "issue" : "1", "issued" : { "date-parts" : [ [ "2005" ] ] }, "page" : "120-147", "title" : "Soil organic carbon sequestration and agricultural greenhouse gas emissions in the southeastern USA", "type" : "article-journal", "volume" : "83" }, "uris" : [ "http://www.mendeley.com/documents/?uuid=9dfcd27e-adb9-4115-9c1c-866c929f3a29" ] } ], "mendeley" : { "formattedCitation" : "(Franzluebbers, 2005; Poeplau &amp; Don, 2015; Rimski-Korsakov, Zubillaga, Landriscini, &amp; Lavado, 2016)", "manualFormatting" : "(Franzluebbers, 2005; Poeplau et al., 2015; Rimski-Korsakov et al., 2016)", "plainTextFormattedCitation" : "(Franzluebbers, 2005; Poeplau &amp; Don, 2015; Rimski-Korsakov, Zubillaga, Landriscini, &amp; Lavado, 2016)", "previouslyFormattedCitation" : "(Franzluebbers, 2005; Poeplau &amp; Don, 2015; Rimski-Korsakov, Zubillaga, Landriscini, &amp; Lavado, 2016)" }, "properties" : { "noteIndex" : 0 }, "schema" : "https://github.com/citation-style-language/schema/raw/master/csl-citation.json" }</w:instrText>
      </w:r>
      <w:r w:rsidR="004255E7" w:rsidRPr="008608AA">
        <w:fldChar w:fldCharType="separate"/>
      </w:r>
      <w:r w:rsidR="004255E7" w:rsidRPr="008608AA">
        <w:rPr>
          <w:noProof/>
        </w:rPr>
        <w:t>(Franzluebbers, 2005; Poeplau et al., 2015; Rimski-Korsakov et al., 2016)</w:t>
      </w:r>
      <w:r w:rsidR="004255E7" w:rsidRPr="008608AA">
        <w:fldChar w:fldCharType="end"/>
      </w:r>
      <w:r w:rsidR="004255E7" w:rsidRPr="008608AA">
        <w:t xml:space="preserve">. </w:t>
      </w:r>
    </w:p>
    <w:p w14:paraId="2CAD647A" w14:textId="4701ED42" w:rsidR="004255E7" w:rsidRPr="008608AA" w:rsidRDefault="004255E7" w:rsidP="00C1178A">
      <w:pPr>
        <w:spacing w:after="120"/>
      </w:pPr>
      <w:r w:rsidRPr="008608AA">
        <w:t xml:space="preserve">Forest ecosystems of Americas contain near 250 picograms of carbon </w:t>
      </w:r>
      <w:r w:rsidRPr="008608AA">
        <w:fldChar w:fldCharType="begin" w:fldLock="1"/>
      </w:r>
      <w:r w:rsidRPr="008608AA">
        <w:instrText>ADDIN CSL_CITATION { "citationItems" : [ { "id" : "ITEM-1", "itemData" : { "DOI" : "10.1016/j.foreco.2015.05.036", "ISBN" : "0378-1127", "ISSN" : "03781127", "abstract" : "Forests are important sources of livelihoods to millions of people and contribute to national economic development of many countries. In addition, they are vital sources and sinks of carbon and contribute to the rate of climate change. The UN Food and Agriculture Organization has been collecting and presenting data on global forest resources and forest cover since 1948. This paper builds on data from FAO's 2015 Global Forest Resource Assessment (FRA) and presents information on growing stock, biomass, carbon stock, wood removals, and changes of forest area primarily designated for production and multiple use of the world's forests.Between 1990 and 2015, the total growing stock volume has increased in East Asia, Caribbean, Western and Central Asia, North America, Europe (including the Russian Federation), and Oceania with the highest relative increase in East Asia and the Caribbean. In all other subregions the total growing stock volume decreased. North and Central America, Europe and Asia report forest C stock increases while South America and Africa report strong decreases and Oceania reports stable forest C stocks. The annual rate of decrease of forest C stock weakened between 1990 and 2015.The total volume of annual wood removals including woodfuel removals increased between 1990 and 2011, but shows a remarkable decline during the 2008-2009 economic crisis.Forest areas designated for production purposes differ considerably between subregions. The percentage of production area out of total forest area ranges between 16 percent in South America and 53 percent in Europe. Globally about one quarter of the forest area is designated to multiple use forestry.The balance between biomass growth and removals shows considerable sub-regional differences and related implications for the sustainable use of forests.", "author" : [ { "dropping-particle" : "", "family" : "K\u00f6hl", "given" : "Michael", "non-dropping-particle" : "", "parse-names" : false, "suffix" : "" }, { "dropping-particle" : "", "family" : "Lasco", "given" : "Rodel", "non-dropping-particle" : "", "parse-names" : false, "suffix" : "" }, { "dropping-particle" : "", "family" : "Cifuentes", "given" : "Miguel", "non-dropping-particle" : "", "parse-names" : false, "suffix" : "" }, { "dropping-particle" : "", "family" : "Jonsson", "given" : "\u00d6rjan", "non-dropping-particle" : "", "parse-names" : false, "suffix" : "" }, { "dropping-particle" : "", "family" : "Korhonen", "given" : "Kari T.", "non-dropping-particle" : "", "parse-names" : false, "suffix" : "" }, { "dropping-particle" : "", "family" : "Mundhenk", "given" : "Philip", "non-dropping-particle" : "", "parse-names" : false, "suffix" : "" }, { "dropping-particle" : "", "family" : "Jesus Navar", "given" : "Jose", "non-dropping-particle" : "de", "parse-names" : false, "suffix" : "" }, { "dropping-particle" : "", "family" : "Stinson", "given" : "Graham", "non-dropping-particle" : "", "parse-names" : false, "suffix" : "" } ], "container-title" : "Forest Ecology and Management", "id" : "ITEM-1", "issued" : { "date-parts" : [ [ "2015" ] ] }, "page" : "21-34", "publisher" : "Elsevier B.V.", "title" : "Changes in forest production, biomass and carbon: results from the 2015 UN FAO Global Forest Resource Assessment", "type" : "article-journal", "volume" : "352" }, "uris" : [ "http://www.mendeley.com/documents/?uuid=342bf298-5080-4a7b-a70b-ec622a06ddf4" ] } ], "mendeley" : { "formattedCitation" : "(K\u00f6hl et al., 2015)", "plainTextFormattedCitation" : "(K\u00f6hl et al., 2015)", "previouslyFormattedCitation" : "(K\u00f6hl et al., 2015)" }, "properties" : { "noteIndex" : 0 }, "schema" : "https://github.com/citation-style-language/schema/raw/master/csl-citation.json" }</w:instrText>
      </w:r>
      <w:r w:rsidRPr="008608AA">
        <w:fldChar w:fldCharType="separate"/>
      </w:r>
      <w:r w:rsidRPr="008608AA">
        <w:rPr>
          <w:noProof/>
        </w:rPr>
        <w:t>(Köhl et al., 2015)</w:t>
      </w:r>
      <w:r w:rsidRPr="008608AA">
        <w:fldChar w:fldCharType="end"/>
      </w:r>
      <w:r w:rsidRPr="008608AA">
        <w:t xml:space="preserve">, with large amounts of biomass carbon stored in South American forests and high soil carbon stocks located in the permafrost boreal regions of Canada </w:t>
      </w:r>
      <w:r w:rsidRPr="008608AA">
        <w:fldChar w:fldCharType="begin" w:fldLock="1"/>
      </w:r>
      <w:r w:rsidRPr="008608AA">
        <w:instrText>ADDIN CSL_CITATION { "citationItems" : [ { "id" : "ITEM-1", "itemData" : { "DOI" : "10.1146/annurev-ecolsys-112414-054234", "ISSN" : "1543-592X", "abstract" : "Soil organic matter (SOM) anchors global terrestrial productivity and food and fiber supply. SOM retains water and soil nutrients and stores more global carbon than do plants and the atmosphere combined. SOM is also decomposed by microbes, returning CO 2 , a greenhouse gas, to the atmo-sphere. Unfortunately, soil carbon stocks have been widely lost or degraded through land use changes and unsustainable forest and agricultural practices. SOM: soil organic matter To understand its structure and function and to maintain and restore SOM, we need a better appreciation of soil organic carbon (SOC) saturation capacity and the retention of above-and belowground inputs in SOM. Our analysis suggests root inputs are approximately five times more likely than an equivalent mass of aboveground litter to be stabilized as SOM. Microbes, particularly fungi and bacteria, and soil faunal food webs strongly influence SOM decomposition at shallower depths, whereas mineral associations drive stabilization at depths greater than \u223c30 cm. Global uncertainties in the amounts and locations of SOM include the extent of wetland, peatland, and permafrost systems and factors that constrain soil depths, such as shallow bedrock. In consideration of these uncertainties, global SOC stocks at depths of 2 and 3 m are estimated to be between 2,270 and 2,770 Pg, respectively, but could be as much as 700 Pg smaller. Sedimentary deposits deeper than 3 m likely contain &gt;500 Pg of additional SOC. Soils hold the largest biogeochemically active terrestrial carbon pool on Earth and are critical for stabilizing atmospheric CO 2 concentrations. Nonetheless, global pressures on soils continue from changes in land management, including the need for increasing bioenergy and food production. to the bacteria, tumblebugs, scavengers, wordsmiths\u2014the transfigurers, restorers \u2014A.R. Ammons, Garbage", "author" : [ { "dropping-particle" : "", "family" : "Jackson", "given" : "Robert B.", "non-dropping-particle" : "", "parse-names" : false, "suffix" : "" }, { "dropping-particle" : "", "family" : "Lajtha", "given" : "Kate", "non-dropping-particle" : "", "parse-names" : false, "suffix" : "" }, { "dropping-particle" : "", "family" : "Crow", "given" : "Susan E.", "non-dropping-particle" : "", "parse-names" : false, "suffix" : "" }, { "dropping-particle" : "", "family" : "Hugelius", "given" : "Gustaf", "non-dropping-particle" : "", "parse-names" : false, "suffix" : "" }, { "dropping-particle" : "", "family" : "Kramer", "given" : "Marc G.", "non-dropping-particle" : "", "parse-names" : false, "suffix" : "" }, { "dropping-particle" : "", "family" : "Pi\u00f1eiro", "given" : "Gervasio", "non-dropping-particle" : "", "parse-names" : false, "suffix" : "" } ], "container-title" : "Annual Review of Ecology, Evolution, and Systematics", "id" : "ITEM-1", "issue" : "1", "issued" : { "date-parts" : [ [ "2017" ] ] }, "page" : "419-445", "title" : "The ecology of soil carbon: pools, vulnerabilities, and biotic and abiotic controls", "type" : "article-journal", "volume" : "48" }, "uris" : [ "http://www.mendeley.com/documents/?uuid=c04bc6ae-c787-4f09-bb98-5f5db5f58080" ] } ], "mendeley" : { "formattedCitation" : "(R. B. Jackson et al., 2017)", "manualFormatting" : "(Jackson et al., 2017)", "plainTextFormattedCitation" : "(R. B. Jackson et al., 2017)", "previouslyFormattedCitation" : "(R. B. Jackson et al., 2017)" }, "properties" : { "noteIndex" : 0 }, "schema" : "https://github.com/citation-style-language/schema/raw/master/csl-citation.json" }</w:instrText>
      </w:r>
      <w:r w:rsidRPr="008608AA">
        <w:fldChar w:fldCharType="separate"/>
      </w:r>
      <w:r w:rsidRPr="008608AA">
        <w:rPr>
          <w:noProof/>
        </w:rPr>
        <w:t>(Jackson et al., 2017)</w:t>
      </w:r>
      <w:r w:rsidRPr="008608AA">
        <w:fldChar w:fldCharType="end"/>
      </w:r>
      <w:r w:rsidR="00A47F44" w:rsidRPr="008608AA">
        <w:t>. Deforestation (s</w:t>
      </w:r>
      <w:r w:rsidRPr="008608AA">
        <w:t xml:space="preserve">ection 3.2.2.1 and Chapter 4) has significantly decreased plant biomass stocks (80 to 95%) throughout the Americas </w:t>
      </w:r>
      <w:r w:rsidRPr="008608AA">
        <w:fldChar w:fldCharType="begin" w:fldLock="1"/>
      </w:r>
      <w:r w:rsidRPr="008608AA">
        <w:instrText>ADDIN CSL_CITATION { "citationItems" : [ { "id" : "ITEM-1", "itemData" : { "DOI" : "10.1007/978-1-4419-9504-9", "ISBN" : "9781441995049", "ISSN" : "10510761", "PMID" : "21939041", "abstract" : "Ecosystem ecology studies the links between organisms and their physical environ- ment within an Earth System context.This chapter provides background on the con- ceptual framework and history of ecosystem ecology.", "author" : [ { "dropping-particle" : "", "family" : "Chapin", "given" : "F. S.", "non-dropping-particle" : "", "parse-names" : false, "suffix" : "" }, { "dropping-particle" : "", "family" : "Matson", "given" : "Pamela A.", "non-dropping-particle" : "", "parse-names" : false, "suffix" : "" }, { "dropping-particle" : "", "family" : "Vitousek", "given" : "Peter M.", "non-dropping-particle" : "", "parse-names" : false, "suffix" : "" } ], "id" : "ITEM-1", "issued" : { "date-parts" : [ [ "2012" ] ] }, "number-of-pages" : "529", "publisher" : "Springer-Verlag", "publisher-place" : "New York, USA", "title" : "Principles of Terrestrial Ecosystem Ecology", "type" : "book" }, "uris" : [ "http://www.mendeley.com/documents/?uuid=5bbabf46-ef33-4a77-86ee-f09adb7ff74f" ] } ], "mendeley" : { "formattedCitation" : "(F. S. Chapin, Matson, &amp; Vitousek, 2012)", "manualFormatting" : "(Chapin et al., 2012)", "plainTextFormattedCitation" : "(F. S. Chapin, Matson, &amp; Vitousek, 2012)", "previouslyFormattedCitation" : "(F. S. Chapin, Matson, &amp; Vitousek, 2012)" }, "properties" : { "noteIndex" : 0 }, "schema" : "https://github.com/citation-style-language/schema/raw/master/csl-citation.json" }</w:instrText>
      </w:r>
      <w:r w:rsidRPr="008608AA">
        <w:fldChar w:fldCharType="separate"/>
      </w:r>
      <w:r w:rsidRPr="008608AA">
        <w:rPr>
          <w:noProof/>
        </w:rPr>
        <w:t>(Chapin et al., 2012)</w:t>
      </w:r>
      <w:r w:rsidRPr="008608AA">
        <w:fldChar w:fldCharType="end"/>
      </w:r>
      <w:r w:rsidRPr="008608AA">
        <w:t xml:space="preserve"> and also soil carbon stocks </w:t>
      </w:r>
      <w:r w:rsidRPr="008608AA">
        <w:fldChar w:fldCharType="begin" w:fldLock="1"/>
      </w:r>
      <w:r w:rsidRPr="008608AA">
        <w:instrText>ADDIN CSL_CITATION { "citationItems" : [ { "id" : "ITEM-1", "itemData" : { "author" : [ { "dropping-particle" : "", "family" : "Villarino", "given" : "S. H.", "non-dropping-particle" : "", "parse-names" : false, "suffix" : "" }, { "dropping-particle" : "", "family" : "Studdert", "given" : "G. A.", "non-dropping-particle" : "", "parse-names" : false, "suffix" : "" }, { "dropping-particle" : "", "family" : "Baldassini", "given" : "P.", "non-dropping-particle" : "", "parse-names" : false, "suffix" : "" }, { "dropping-particle" : "", "family" : "Cendoya", "given" : "M.G.", "non-dropping-particle" : "", "parse-names" : false, "suffix" : "" }, { "dropping-particle" : "", "family" : "Ciuffoli", "given" : "L.", "non-dropping-particle" : "", "parse-names" : false, "suffix" : "" }, { "dropping-particle" : "", "family" : "Mastr\u00e1ngelo", "given" : "M.", "non-dropping-particle" : "", "parse-names" : false, "suffix" : "" }, { "dropping-particle" : "", "family" : "Pi\u00f1eiro", "given" : "G.", "non-dropping-particle" : "", "parse-names" : false, "suffix" : "" } ], "container-title" : "Science of The Total Environment", "id" : "ITEM-1", "issued" : { "date-parts" : [ [ "2016" ] ] }, "page" : "1056-1065", "title" : "Deforestation impacts on soil organic carbon stocks in the Semiarid Chaco Region, Argentina", "type" : "article-journal", "volume" : "575" }, "uris" : [ "http://www.mendeley.com/documents/?uuid=2ff466b1-ed7a-3bf4-b9ff-18f952188f8a" ] } ], "mendeley" : { "formattedCitation" : "(Villarino et al., 2016)", "manualFormatting" : "(Villarino et al., 2016)", "plainTextFormattedCitation" : "(Villarino et al., 2016)", "previouslyFormattedCitation" : "(Villarino et al., 2016)" }, "properties" : { "noteIndex" : 0 }, "schema" : "https://github.com/citation-style-language/schema/raw/master/csl-citation.json" }</w:instrText>
      </w:r>
      <w:r w:rsidRPr="008608AA">
        <w:fldChar w:fldCharType="separate"/>
      </w:r>
      <w:r w:rsidRPr="008608AA">
        <w:rPr>
          <w:noProof/>
        </w:rPr>
        <w:t>(Villarino et al., 2016)</w:t>
      </w:r>
      <w:r w:rsidRPr="008608AA">
        <w:fldChar w:fldCharType="end"/>
      </w:r>
      <w:r w:rsidRPr="008608AA">
        <w:t xml:space="preserve"> except in </w:t>
      </w:r>
      <w:r w:rsidR="00032883" w:rsidRPr="008608AA">
        <w:t>moist</w:t>
      </w:r>
      <w:r w:rsidRPr="008608AA">
        <w:t xml:space="preserve"> forests replaced by pastures that may increase soil organic carbon stocks </w:t>
      </w:r>
      <w:r w:rsidRPr="008608AA">
        <w:fldChar w:fldCharType="begin" w:fldLock="1"/>
      </w:r>
      <w:r w:rsidRPr="008608AA">
        <w:instrText>ADDIN CSL_CITATION { "citationItems" : [ { "id" : "ITEM-1", "itemData" : { "DOI" : "10.1111/j.1365-2486.2012.02761.x", "ISBN" : "1354-1013", "ISSN" : "13541013", "PMID" : "24101986", "abstract" : "The replacement of native vegetation by pastures or tree plantations is increasing worldwide. Contradictory effects of these land use transitions on the direction of changes in soil organic carbon (SOC) stocks, quality, and vertical distribution have been reported, which could be explained by the characteristics of the new or prior vegetation, time since vegetation replacement, and environmental conditions. We used a series of paired-field experiments and a literature synthesis to evaluate how these factors affect SOC contents in transitions between tree- and grass-dominated (grazed) ecosystems in South America. Both our field and literature approaches showed that SOC changes (020cm of depth) were independent of the initial native vegetation (forest, grassland, or savanna) but strongly dependent on the characteristics of the new vegetation (tree plantations or pastures), its age, and precipitation. Pasture establishment increased SOC contents across all our precipitation gradient and C gains were greater as pastures aged. In contrast, tree plantations increased SOC stocks in arid sites but decreased them in humid ones. However, SOC losses in humid sites were counterbalanced by the effect of plantation age, as plantations increased their SOC stocks as plantations aged. A multiple regression model including age and precipitation explained more than 50% (p&lt;0.01) of SOC changes observed after sowing pastures or planting trees. The only clear shift observed in the vertical distribution of SOC occurred when pastures replaced native forests, with SOC gains in the surface soil but losses at greater depths. The changes in SOC stocks occurred mainly in the silt+clay soil size fraction (MAOM), while SOC stocks in labile (POM) fraction remained relatively constant. Our results can be considered in designing strategies to increase SOC storage and soil fertility and highlight the importance of precipitation, soil depth, and age in determining SOC changes across a range of environments and land-use transitions.", "author" : [ { "dropping-particle" : "", "family" : "Eclesia", "given" : "Roxana P.", "non-dropping-particle" : "", "parse-names" : false, "suffix" : "" }, { "dropping-particle" : "", "family" : "Jobbagy", "given" : "Esteban G.", "non-dropping-particle" : "", "parse-names" : false, "suffix" : "" }, { "dropping-particle" : "", "family" : "Jackson", "given" : "Robert B.", "non-dropping-particle" : "", "parse-names" : false, "suffix" : "" }, { "dropping-particle" : "", "family" : "Biganzoli", "given" : "Fernando", "non-dropping-particle" : "", "parse-names" : false, "suffix" : "" }, { "dropping-particle" : "", "family" : "Pi\u00f1eiro", "given" : "Gervasio", "non-dropping-particle" : "", "parse-names" : false, "suffix" : "" } ], "container-title" : "Global Change Biology", "id" : "ITEM-1", "issue" : "10", "issued" : { "date-parts" : [ [ "2012" ] ] }, "page" : "3237-3251", "title" : "Shifts in soil organic carbon for plantation and pasture establishment in native forests and grasslands of South America", "type" : "article-journal", "volume" : "18" }, "uris" : [ "http://www.mendeley.com/documents/?uuid=2ed83bf6-8761-4b1b-a3d0-c147d7598e3d" ] }, { "id" : "ITEM-2", "itemData" : { "DOI" : "10.1046/j.1354-1013.2002.00486.x", "ISBN" : "1354-1013", "abstract" : "Abstract The effects of land use change on soil carbon stocks are of concern in the context of international policy agendas on greenhouse gas emissions mitigation. This paper reviews the literature for the influence of land use changes on soil C stocks and reports the results of a meta analysis of these data from 74 publications. The meta analysis indicates that soil C stocks decline after land use changes from pasture to plantation (-10%), native forest to plantation (-13%), native forest to crop (-42%), and pasture to crop (-59%). Soil C stocks increase after land use changes from native forest to pasture (+ 8%), crop to pasture (+ 19%), crop to plantation (+ 18%), and crop to secondary forest (+ 53%). Wherever one of the land use changes decreased soil C, the reverse process usually increased soil carbon and vice versa. As the quantity of available data is not large and the methodologies used are diverse, the conclusions drawn must be regarded as working hypotheses from which to design future targeted investigations that broaden the database. Within some land use changes there were, however, sufficient examples to explore the role of other factors contributing to the above conclusions. One outcome of the meta analysis, especially worthy of further investigation in the context of carbon sink strategies for greenhouse gas mitigation, is that broadleaf tree plantations placed onto prior native forest or pastures did not affect soil C stocks whereas pine plantations reduced soil C stocks by 12-15", "author" : [ { "dropping-particle" : "", "family" : "Guo", "given" : "L.B.", "non-dropping-particle" : "", "parse-names" : false, "suffix" : "" }, { "dropping-particle" : "", "family" : "Gifford", "given" : "R.M.", "non-dropping-particle" : "", "parse-names" : false, "suffix" : "" } ], "container-title" : "Global Change Biology", "id" : "ITEM-2", "issue" : "4", "issued" : { "date-parts" : [ [ "2002" ] ] }, "page" : "345-360", "title" : "Soil carbon stocks and land use change: a meta analysis", "type" : "article-journal", "volume" : "8" }, "uris" : [ "http://www.mendeley.com/documents/?uuid=996c4979-5e77-48e9-896c-48b5fa33b2ca" ] } ], "mendeley" : { "formattedCitation" : "(Eclesia, Jobbagy, Jackson, Biganzoli, &amp; Pi\u00f1eiro, 2012; Guo &amp; Gifford, 2002)", "manualFormatting" : "(Eclesia et al., 2012; Guo &amp; Gifford, 2002)", "plainTextFormattedCitation" : "(Eclesia, Jobbagy, Jackson, Biganzoli, &amp; Pi\u00f1eiro, 2012; Guo &amp; Gifford, 2002)", "previouslyFormattedCitation" : "(Eclesia, Jobbagy, Jackson, Biganzoli, &amp; Pi\u00f1eiro, 2012; Guo &amp; Gifford, 2002)" }, "properties" : { "noteIndex" : 0 }, "schema" : "https://github.com/citation-style-language/schema/raw/master/csl-citation.json" }</w:instrText>
      </w:r>
      <w:r w:rsidRPr="008608AA">
        <w:fldChar w:fldCharType="separate"/>
      </w:r>
      <w:r w:rsidRPr="008608AA">
        <w:rPr>
          <w:noProof/>
        </w:rPr>
        <w:t>(Eclesia et al., 2012; Guo &amp; Gifford, 2002)</w:t>
      </w:r>
      <w:r w:rsidRPr="008608AA">
        <w:fldChar w:fldCharType="end"/>
      </w:r>
      <w:r w:rsidRPr="008608AA">
        <w:t xml:space="preserve">. Maintaining the integrity of forests in the Americas thus is essential for climate regulation. Croplands today in the Americas contain 20 to 40% less carbon than under native forest, savannas or grasslands </w:t>
      </w:r>
      <w:r w:rsidRPr="008608AA">
        <w:fldChar w:fldCharType="begin" w:fldLock="1"/>
      </w:r>
      <w:r w:rsidRPr="008608AA">
        <w:instrText>ADDIN CSL_CITATION { "citationItems" : [ { "id" : "ITEM-1", "itemData" : { "DOI" : "10.1046/j.1354-1013.2002.00486.x", "ISBN" : "1354-1013", "abstract" : "Abstract The effects of land use change on soil carbon stocks are of concern in the context of international policy agendas on greenhouse gas emissions mitigation. This paper reviews the literature for the influence of land use changes on soil C stocks and reports the results of a meta analysis of these data from 74 publications. The meta analysis indicates that soil C stocks decline after land use changes from pasture to plantation (-10%), native forest to plantation (-13%), native forest to crop (-42%), and pasture to crop (-59%). Soil C stocks increase after land use changes from native forest to pasture (+ 8%), crop to pasture (+ 19%), crop to plantation (+ 18%), and crop to secondary forest (+ 53%). Wherever one of the land use changes decreased soil C, the reverse process usually increased soil carbon and vice versa. As the quantity of available data is not large and the methodologies used are diverse, the conclusions drawn must be regarded as working hypotheses from which to design future targeted investigations that broaden the database. Within some land use changes there were, however, sufficient examples to explore the role of other factors contributing to the above conclusions. One outcome of the meta analysis, especially worthy of further investigation in the context of carbon sink strategies for greenhouse gas mitigation, is that broadleaf tree plantations placed onto prior native forest or pastures did not affect soil C stocks whereas pine plantations reduced soil C stocks by 12-15", "author" : [ { "dropping-particle" : "", "family" : "Guo", "given" : "L.B.", "non-dropping-particle" : "", "parse-names" : false, "suffix" : "" }, { "dropping-particle" : "", "family" : "Gifford", "given" : "R.M.", "non-dropping-particle" : "", "parse-names" : false, "suffix" : "" } ], "container-title" : "Global Change Biology", "id" : "ITEM-1", "issue" : "4", "issued" : { "date-parts" : [ [ "2002" ] ] }, "page" : "345-360", "title" : "Soil carbon stocks and land use change: a meta analysis", "type" : "article-journal", "volume" : "8" }, "uris" : [ "http://www.mendeley.com/documents/?uuid=996c4979-5e77-48e9-896c-48b5fa33b2ca" ] }, { "id" : "ITEM-2", "itemData" : { "DOI" : "10.1081/CSS-200059082", "ISBN" : "0010-3624", "ISSN" : "0010-3624", "abstract" : "Abstract: Using published data from a soil survey, a carbon (C) inventory of Pampean soils was performed. As a mean, carbon storage in the 0-20 cm soil layer is 40tC/ha for the region, decreasing to about half in the 20-50 cm depth. In the 0-50 cm stratum stored, carbon is 3.3 10(9) t corresponding to a surveyed area of 57 Mha. By multiple-regression analysis, an explanatory model of carbon content at different depths could be adjusted that accounts for 92% of variability of carbon levels in nondegraded soils. Climate, texture, and depth were the independent variables included in the model. When comparing carbon stored in the 0-20 cm layer of degraded soils belonging to the Rolling Pampa, an area subjected to cultivation since the nineteenth century, predicted carbon by the model averaged 60tC/ha, and observed carbon content rounded 40tC/ha. So this area lost around one-third of the stored carbon in the upper soil layer by cropping. A similar estimation of carbon losses may be performed by other methodologies. Regression appeared to be a suitable toot for predicting soil degradation and carbon sequestration potential.", "author" : [ { "dropping-particle" : "", "family" : "Alvarez", "given" : "R", "non-dropping-particle" : "", "parse-names" : false, "suffix" : "" } ], "container-title" : "Communications in Soil Science and Plant Analysis", "id" : "ITEM-2", "issue" : "11-12", "issued" : { "date-parts" : [ [ "2005" ] ] }, "page" : "1583-1589", "title" : "Carbon stocks in pampean soils: a simple regression model for estimation of carbon storage under nondegraded scenarios", "type" : "article-journal", "volume" : "36" }, "uris" : [ "http://www.mendeley.com/documents/?uuid=c2f21c8d-36e6-3a86-a21f-33e30c561d29" ] } ], "mendeley" : { "formattedCitation" : "(Alvarez, 2005; Guo &amp; Gifford, 2002)", "plainTextFormattedCitation" : "(Alvarez, 2005; Guo &amp; Gifford, 2002)", "previouslyFormattedCitation" : "(Alvarez, 2005; Guo &amp; Gifford, 2002)" }, "properties" : { "noteIndex" : 0 }, "schema" : "https://github.com/citation-style-language/schema/raw/master/csl-citation.json" }</w:instrText>
      </w:r>
      <w:r w:rsidRPr="008608AA">
        <w:fldChar w:fldCharType="separate"/>
      </w:r>
      <w:r w:rsidRPr="008608AA">
        <w:rPr>
          <w:noProof/>
        </w:rPr>
        <w:t>(Alvarez, 2005; Guo &amp; Gifford, 2002)</w:t>
      </w:r>
      <w:r w:rsidRPr="008608AA">
        <w:fldChar w:fldCharType="end"/>
      </w:r>
      <w:r w:rsidRPr="008608AA">
        <w:t>.</w:t>
      </w:r>
    </w:p>
    <w:p w14:paraId="12F45E7C" w14:textId="2EFE4E98" w:rsidR="004255E7" w:rsidRPr="008608AA" w:rsidRDefault="004255E7" w:rsidP="00C1178A">
      <w:pPr>
        <w:spacing w:after="120"/>
      </w:pPr>
      <w:r w:rsidRPr="008608AA">
        <w:rPr>
          <w:rFonts w:eastAsia="Times"/>
          <w:bCs/>
          <w:lang w:eastAsia="ja-JP"/>
        </w:rPr>
        <w:t>Recent</w:t>
      </w:r>
      <w:r w:rsidRPr="008608AA">
        <w:rPr>
          <w:rFonts w:eastAsia="Times"/>
          <w:b/>
          <w:bCs/>
          <w:lang w:eastAsia="ja-JP"/>
        </w:rPr>
        <w:t xml:space="preserve"> </w:t>
      </w:r>
      <w:r w:rsidRPr="008608AA">
        <w:t>trends</w:t>
      </w:r>
      <w:r w:rsidR="00657833" w:rsidRPr="008608AA">
        <w:t xml:space="preserve">. </w:t>
      </w:r>
      <w:r w:rsidRPr="008608AA">
        <w:t xml:space="preserve">Forest regrowth in some parts of the North American subregion increased between 1990 and 2015 </w:t>
      </w:r>
      <w:r w:rsidRPr="008608AA">
        <w:fldChar w:fldCharType="begin" w:fldLock="1"/>
      </w:r>
      <w:r w:rsidRPr="008608AA">
        <w:instrText>ADDIN CSL_CITATION { "citationItems" : [ { "id" : "ITEM-1", "itemData" : { "DOI" : "10.1016/j.foreco.2015.06.014", "ISBN" : "0378-1127", "ISSN" : "03781127", "PMID" : "17255001", "abstract" : "The area of land covered by forest and trees is an important indicator of environmental condition. This study presents and analyses results from the Global Forest Resources Assessment 2015 (FRA 2015) of the Food and Agriculture Organization of the United Nations. FRA 2015 was based on responses to surveys by individual countries using a common reporting framework, agreed definitions and reporting standards. Results indicated that total forest area declined by 3%, from 4128Mha in 1990 to 3999Mha in 2015. The annual rate of net forest loss halved from 7.3Mhay-1 in the 1990s to 3.3Mhay-1 between 2010 and 2015. Natural forest area declined from 3961Mha to 3721Mha between 1990 and 2015, while planted forest (including rubber plantations) increased from 168Mha to 278Mha. From 2010 to 2015, tropical forest area declined at a rate of 5.5Mhay-1 - only 58% of the rate in the 1990s - while temperate forest area expanded at a rate of 2.2Mhay-1. Boreal and sub-tropical forest areas showed little net change. Forest area expanded in Europe, North America, the Caribbean, East Asia, and Western-Central Asia, but declined in Central America, South America, South and Southeast Asia and all three regions in Africa. Analysis indicates that, between 1990 and 2015, 13 tropical countries may have either passed through their forest transitions from net forest loss to net forest expansion, or continued along the path of forest expansion that follows these transitions. Comparing FRA 2015 statistics with the findings of global and pan-tropical remote-sensing forest area surveys was challenging, due to differences in assessment periods, the definitions of forest and remote sensing methods. More investment in national and global forest monitoring is needed to provide better support for international initiatives to increase sustainable forest management and reduce forest loss, particularly in tropical countries.", "author" : [ { "dropping-particle" : "", "family" : "Keenan", "given" : "Rodney", "non-dropping-particle" : "", "parse-names" : false, "suffix" : "" }, { "dropping-particle" : "", "family" : "Reams", "given" : "Gregory", "non-dropping-particle" : "", "parse-names" : false, "suffix" : "" }, { "dropping-particle" : "", "family" : "Achard", "given" : "Frederic", "non-dropping-particle" : "", "parse-names" : false, "suffix" : "" }, { "dropping-particle" : "", "family" : "De-Freitas", "given" : "Joberto", "non-dropping-particle" : "", "parse-names" : false, "suffix" : "" }, { "dropping-particle" : "", "family" : "Grainger", "given" : "Alan", "non-dropping-particle" : "", "parse-names" : false, "suffix" : "" }, { "dropping-particle" : "", "family" : "Lindquist", "given" : "Erik", "non-dropping-particle" : "", "parse-names" : false, "suffix" : "" } ], "container-title" : "Forest Ecology and Management", "id" : "ITEM-1", "issued" : { "date-parts" : [ [ "2015" ] ] }, "page" : "9-20", "title" : "Dynamics of global forest area: results from the FAO Global Forest Resources Assessment 2015", "type" : "article-journal", "volume" : "352" }, "uris" : [ "http://www.mendeley.com/documents/?uuid=44d52952-e109-4e2a-bb7c-c40e756745d3" ] } ], "mendeley" : { "formattedCitation" : "(Keenan et al., 2015)", "plainTextFormattedCitation" : "(Keenan et al., 2015)", "previouslyFormattedCitation" : "(Keenan et al., 2015)" }, "properties" : { "noteIndex" : 0 }, "schema" : "https://github.com/citation-style-language/schema/raw/master/csl-citation.json" }</w:instrText>
      </w:r>
      <w:r w:rsidRPr="008608AA">
        <w:fldChar w:fldCharType="separate"/>
      </w:r>
      <w:r w:rsidRPr="008608AA">
        <w:rPr>
          <w:noProof/>
        </w:rPr>
        <w:t>(Keenan et al., 2015)</w:t>
      </w:r>
      <w:r w:rsidRPr="008608AA">
        <w:fldChar w:fldCharType="end"/>
      </w:r>
      <w:r w:rsidRPr="008608AA">
        <w:t xml:space="preserve">, and primary production in plantation forests mostly in South America has sequestered significant atmospheric carbon </w:t>
      </w:r>
      <w:r w:rsidRPr="008608AA">
        <w:fldChar w:fldCharType="begin" w:fldLock="1"/>
      </w:r>
      <w:r w:rsidRPr="008608AA">
        <w:instrText>ADDIN CSL_CITATION { "citationItems" : [ { "id" : "ITEM-1", "itemData" : { "ISBN" : "0022-1201", "ISSN" : "00221201", "abstract" : "Forest plantations in Latin America can help sequester the carbon dioxide produced in more-developed regions. Industrial emitters of carbon in developed countries would pay for this service through the Kyoto Protocol policy framework. Latin America offers rapid forest growth rates, past success in implementing large-scale plantations, and low costs for land and labor. Constraints in Latin America are land-tenure issues, limited funds for long-term forest projects, and difficulties in maintaining access to world markets for the export of forest products. But increased investment for forest plantations in Latin America would bring economic development and reduce pressure on native forests, while providing forest products and sequestering greenhouse gases. Forest plantations in Latin America can help sequester the carbon dioxide produced in more-developed regions. Industrial emitters of carbon in developed countries would pay for this service through the Kyoto Protocol policy framework. Latin America offers rapid forest growth rates, past success in implementing large-scale plantations, and low costs for land and labor. Constraints in Latin America are land-tenure issues, limited funds for long-term forest projects, and difficulties in maintaining access to world markets for the export of forest products. But increased investment for forest plantations in Latin America would bring economic development and reduce pressure on native forests, while providing forest products and sequestering greenhouse gases. Sequestering carbon through forest plantations has great potential in Latin America where forest growth rates are rapid, large-scale plantations have been successful in the past, and costs of land and labor are low. Through the international policy framework of the Kyoto Protocol, industrial emitters of carbon dioxide in developed countries would pay for this carbon sequestration service. Besides storing carbon and providing forest products, the plantations would promote economic development and reduce pressure on native forests. Possible constraints in Latin America include land-tenure issues, limited funds for long-term forest projects, and difficulties in marketing forest products.", "author" : [ { "dropping-particle" : "", "family" : "Wright", "given" : "J. A.", "non-dropping-particle" : "", "parse-names" : false, "suffix" : "" }, { "dropping-particle" : "", "family" : "DiNicola", "given" : "A.", "non-dropping-particle" : "", "parse-names" : false, "suffix" : "" }, { "dropping-particle" : "", "family" : "Gaitan", "given" : "E.", "non-dropping-particle" : "", "parse-names" : false, "suffix" : "" } ], "container-title" : "Journal of Forestry", "id" : "ITEM-1", "issue" : "9", "issued" : { "date-parts" : [ [ "2000" ] ] }, "page" : "20-23", "title" : "Latin American forest plantations: opportunities for carbon sequestration, economic development, and financial returns", "type" : "article-journal", "volume" : "98" }, "uris" : [ "http://www.mendeley.com/documents/?uuid=f8e40d74-0332-44b9-ac92-03267f727fe9", "http://www.mendeley.com/documents/?uuid=934f6627-192d-486f-bd25-c81510410b94" ] } ], "mendeley" : { "formattedCitation" : "(J. A. Wright, DiNicola, &amp; Gaitan, 2000)", "manualFormatting" : "(Wright et al., 2000)", "plainTextFormattedCitation" : "(J. A. Wright, DiNicola, &amp; Gaitan, 2000)", "previouslyFormattedCitation" : "(J. A. Wright, DiNicola, &amp; Gaitan, 2000)" }, "properties" : { "noteIndex" : 0 }, "schema" : "https://github.com/citation-style-language/schema/raw/master/csl-citation.json" }</w:instrText>
      </w:r>
      <w:r w:rsidRPr="008608AA">
        <w:fldChar w:fldCharType="separate"/>
      </w:r>
      <w:r w:rsidRPr="008608AA">
        <w:rPr>
          <w:noProof/>
        </w:rPr>
        <w:t>(Wright et al., 2000)</w:t>
      </w:r>
      <w:r w:rsidRPr="008608AA">
        <w:fldChar w:fldCharType="end"/>
      </w:r>
      <w:r w:rsidRPr="008608AA">
        <w:t xml:space="preserve">. Recent decreases in deforestation rates in Amazonia have favored net atmospheric carbon sequestration </w:t>
      </w:r>
      <w:r w:rsidRPr="008608AA">
        <w:fldChar w:fldCharType="begin" w:fldLock="1"/>
      </w:r>
      <w:r w:rsidRPr="008608AA">
        <w:instrText>ADDIN CSL_CITATION { "citationItems" : [ { "id" : "ITEM-1", "itemData" : { "DOI" : "10.1038/nature10717", "ISSN" : "0028-0836", "PMID" : "22258611", "abstract" : "Agricultural expansion and climate variability have become important agents of disturbance in the Amazon basin. Recent studies have demonstrated considerable resilience of Amazonian forests to moderate annual drought, but they also show that interactions between deforestation, fire and drought potentially lead to losses of carbon storage and changes in regional precipitation patterns and river discharge. Although the basin-wide impacts of land use and drought may not yet surpass the magnitude of natural variability of hydrologic and biogeochemical cycles, there are some signs of a transition to a disturbance-dominated regime. These signs include changing energy and water cycles in the southern and eastern portions of the Amazon basin.", "author" : [ { "dropping-particle" : "", "family" : "Davidson", "given" : "Eric A.", "non-dropping-particle" : "", "parse-names" : false, "suffix" : "" }, { "dropping-particle" : "", "family" : "Ara\u00fajo", "given" : "Alessandro C.", "non-dropping-particle" : "de", "parse-names" : false, "suffix" : "" }, { "dropping-particle" : "", "family" : "Artaxo", "given" : "Paulo", "non-dropping-particle" : "", "parse-names" : false, "suffix" : "" }, { "dropping-particle" : "", "family" : "Balch", "given" : "Jennifer K.", "non-dropping-particle" : "", "parse-names" : false, "suffix" : "" }, { "dropping-particle" : "", "family" : "Brown", "given" : "I. Foster", "non-dropping-particle" : "", "parse-names" : false, "suffix" : "" }, { "dropping-particle" : "", "family" : "Bustamante", "given" : "Mercedes M.", "non-dropping-particle" : "", "parse-names" : false, "suffix" : "" }, { "dropping-particle" : "", "family" : "Coe", "given" : "Michael T.", "non-dropping-particle" : "", "parse-names" : false, "suffix" : "" }, { "dropping-particle" : "", "family" : "DeFries", "given" : "Ruth S.", "non-dropping-particle" : "", "parse-names" : false, "suffix" : "" }, { "dropping-particle" : "", "family" : "Keller", "given" : "Michael", "non-dropping-particle" : "", "parse-names" : false, "suffix" : "" }, { "dropping-particle" : "", "family" : "Longo", "given" : "Marcos", "non-dropping-particle" : "", "parse-names" : false, "suffix" : "" }, { "dropping-particle" : "", "family" : "Munger", "given" : "J. William", "non-dropping-particle" : "", "parse-names" : false, "suffix" : "" }, { "dropping-particle" : "", "family" : "Schroeder", "given" : "Wilfrid", "non-dropping-particle" : "", "parse-names" : false, "suffix" : "" }, { "dropping-particle" : "", "family" : "Soares-Filho", "given" : "Britaldo S.", "non-dropping-particle" : "", "parse-names" : false, "suffix" : "" }, { "dropping-particle" : "", "family" : "Souza", "given" : "Carlos M.", "non-dropping-particle" : "", "parse-names" : false, "suffix" : "" }, { "dropping-particle" : "", "family" : "Wofsy", "given" : "Steven C.", "non-dropping-particle" : "", "parse-names" : false, "suffix" : "" } ], "container-title" : "Nature", "id" : "ITEM-1", "issue" : "7381", "issued" : { "date-parts" : [ [ "2012", "1" ] ] }, "page" : "321-328", "title" : "The Amazon basin in transition", "type" : "article-journal", "volume" : "481" }, "uris" : [ "http://www.mendeley.com/documents/?uuid=2e2d2797-7c8b-43ef-86e8-0718951abe42" ] }, { "id" : "ITEM-2", "itemData" : { "abstract" : "The recent 70% decline in deforestation in the Brazilian Amazon suggests that it is possible to manage the advance of a vast agricultural frontier. Enforcement of laws, interventions in soy and beef supply chains, restrictions on access to credit, and expansion of protected areas appear to have contributed to this decline, as did a decline in the demand for new deforestation. The supply chain interventions that fed into this deceleration are precariously dependent on corporate risk management, and public policies have relied excessively on punitive measures. Systems for delivering positive incentives for farmers to forgo deforestation have been designed but not fully implemented. Territorial approaches to deforestation have been effective and could consolidate progress in slowing deforestation while providing a framework for addressing other important dimensions of sustainable development.", "author" : [ { "dropping-particle" : "", "family" : "Nepstad", "given" : "Daniel", "non-dropping-particle" : "", "parse-names" : false, "suffix" : "" }, { "dropping-particle" : "", "family" : "McGrath", "given" : "David", "non-dropping-particle" : "", "parse-names" : false, "suffix" : "" }, { "dropping-particle" : "", "family" : "Stickler", "given" : "Claudia", "non-dropping-particle" : "", "parse-names" : false, "suffix" : "" }, { "dropping-particle" : "", "family" : "Alencar", "given" : "Ane", "non-dropping-particle" : "", "parse-names" : false, "suffix" : "" }, { "dropping-particle" : "", "family" : "Azevedo", "given" : "Andrea", "non-dropping-particle" : "", "parse-names" : false, "suffix" : "" }, { "dropping-particle" : "", "family" : "Swette", "given" : "Briana", "non-dropping-particle" : "", "parse-names" : false, "suffix" : "" }, { "dropping-particle" : "", "family" : "Bezerra", "given" : "Tathiana", "non-dropping-particle" : "", "parse-names" : false, "suffix" : "" }, { "dropping-particle" : "", "family" : "DiGiano", "given" : "Maria", "non-dropping-particle" : "", "parse-names" : false, "suffix" : "" }, { "dropping-particle" : "", "family" : "Shimada", "given" : "Jo\u00e3o", "non-dropping-particle" : "", "parse-names" : false, "suffix" : "" }, { "dropping-particle" : "", "family" : "Seroa da Motta", "given" : "Ronaldo", "non-dropping-particle" : "", "parse-names" : false, "suffix" : "" }, { "dropping-particle" : "", "family" : "Armijo", "given" : "Eric", "non-dropping-particle" : "", "parse-names" : false, "suffix" : "" }, { "dropping-particle" : "", "family" : "Castello", "given" : "Leandro", "non-dropping-particle" : "", "parse-names" : false, "suffix" : "" }, { "dropping-particle" : "", "family" : "Brando", "given" : "Paulo", "non-dropping-particle" : "", "parse-names" : false, "suffix" : "" }, { "dropping-particle" : "", "family" : "Hansen", "given" : "Matt C", "non-dropping-particle" : "", "parse-names" : false, "suffix" : "" }, { "dropping-particle" : "", "family" : "McGrath-Horn", "given" : "Max", "non-dropping-particle" : "", "parse-names" : false, "suffix" : "" }, { "dropping-particle" : "", "family" : "Carvalho", "given" : "Oswaldo", "non-dropping-particle" : "", "parse-names" : false, "suffix" : "" }, { "dropping-particle" : "", "family" : "Hess", "given" : "Laura", "non-dropping-particle" : "", "parse-names" : false, "suffix" : "" } ], "container-title" : "Science", "id" : "ITEM-2", "issue" : "6188", "issued" : { "date-parts" : [ [ "2014", "6", "6" ] ] }, "note" : "10.1126/science.1248525", "page" : "1118-1123", "title" : "Slowing Amazon deforestation through public policy and interventions in beef and soy supply chains", "type" : "article-journal", "volume" : "344" }, "uris" : [ "http://www.mendeley.com/documents/?uuid=99087634-fa46-41ee-a50e-6caf5710cb9f" ] }, { "id" : "ITEM-3", "itemData" : { "DOI" : "10.1111/gcb.13153", "ISSN" : "1365-2486", "abstract" : "Halving carbon emissions from tropical deforestation by 2020 could help bring the international community closer to the agreed goal of &lt;2 degree increase in global average temperature change and is consistent with a target set last year by the governments, corporations, indigenous peoples' organizations and non-governmental organizations that signed the New York Declaration on Forests (NYDF). We assemble and refine a robust dataset to establish a 2001\u20132013 benchmark for average annual carbon emissions from gross tropical deforestation at 2.270\u00a0Gt CO2\u00a0yr\u22121. Brazil did not sign the NYDF, yet from 2001 to 2013, Brazil ranks first for both carbon emissions from gross tropical deforestation and reductions in those emissions \u2013 its share of the total declined from a peak of 69% in 2003 to a low of 20% in 2012. Indonesia, an NYDF signatory, is the second highest emitter, peaking in 2012 at 0.362\u00a0Gt CO2\u00a0yr\u22121 before declining to 0.205\u00a0Gt CO2\u00a0yr\u22121 in 2013. The other 14 NYDF tropical country signatories were responsible for a combined average of 0.317\u00a0Gt CO2\u00a0yr\u22121, while the other 86 tropical country non-signatories were responsible for a combined average of 0.688\u00a0Gt CO2\u00a0yr\u22121. We outline two scenarios for achieving the 50% emission reduction target by 2020, both emphasizing the critical role of Brazil and the need to reverse the trends of increasing carbon emissions from gross tropical deforestation in many other tropical countries that, from 2001 to 2013, have largely offset Brazil's reductions. Achieving the target will therefore be challenging, even though it is in the self-interest of the international community. Conserving rather than cutting down tropical forests requires shifting economic development away from a dependence on natural resource depletion toward recognition of the dependence of human societies on the natural capital that tropical forests represent and the goods and services they provide. ", "author" : [ { "dropping-particle" : "", "family" : "Zarin", "given" : "Daniel J", "non-dropping-particle" : "", "parse-names" : false, "suffix" : "" }, { "dropping-particle" : "", "family" : "Harris", "given" : "Nancy L", "non-dropping-particle" : "", "parse-names" : false, "suffix" : "" }, { "dropping-particle" : "", "family" : "Baccini", "given" : "Alessandro", "non-dropping-particle" : "", "parse-names" : false, "suffix" : "" }, { "dropping-particle" : "", "family" : "Aksenov", "given" : "Dmitry", "non-dropping-particle" : "", "parse-names" : false, "suffix" : "" }, { "dropping-particle" : "", "family" : "Hansen", "given" : "Matthew C", "non-dropping-particle" : "", "parse-names" : false, "suffix" : "" }, { "dropping-particle" : "", "family" : "Azevedo-Ramos", "given" : "Claudia", "non-dropping-particle" : "", "parse-names" : false, "suffix" : "" }, { "dropping-particle" : "", "family" : "Azevedo", "given" : "Tasso", "non-dropping-particle" : "", "parse-names" : false, "suffix" : "" }, { "dropping-particle" : "", "family" : "Margono", "given" : "Belinda A", "non-dropping-particle" : "", "parse-names" : false, "suffix" : "" }, { "dropping-particle" : "", "family" : "Alencar", "given" : "Ane C", "non-dropping-particle" : "", "parse-names" : false, "suffix" : "" }, { "dropping-particle" : "", "family" : "Gabris", "given" : "Chris", "non-dropping-particle" : "", "parse-names" : false, "suffix" : "" }, { "dropping-particle" : "", "family" : "Allegretti", "given" : "Adrienne", "non-dropping-particle" : "", "parse-names" : false, "suffix" : "" }, { "dropping-particle" : "", "family" : "Potapov", "given" : "Peter", "non-dropping-particle" : "", "parse-names" : false, "suffix" : "" }, { "dropping-particle" : "", "family" : "Farina", "given" : "Mary", "non-dropping-particle" : "", "parse-names" : false, "suffix" : "" }, { "dropping-particle" : "", "family" : "Walker", "given" : "Wayne S", "non-dropping-particle" : "", "parse-names" : false, "suffix" : "" }, { "dropping-particle" : "", "family" : "Shevade", "given" : "Varada S", "non-dropping-particle" : "", "parse-names" : false, "suffix" : "" }, { "dropping-particle" : "V", "family" : "Loboda", "given" : "Tatiana", "non-dropping-particle" : "", "parse-names" : false, "suffix" : "" }, { "dropping-particle" : "", "family" : "Turubanova", "given" : "Svetlana", "non-dropping-particle" : "", "parse-names" : false, "suffix" : "" }, { "dropping-particle" : "", "family" : "Tyukavina", "given" : "Alexandra", "non-dropping-particle" : "", "parse-names" : false, "suffix" : "" } ], "container-title" : "Global Change Biology", "id" : "ITEM-3", "issue" : "4", "issued" : { "date-parts" : [ [ "2016", "4", "1" ] ] }, "page" : "1336-1347", "title" : "Can carbon emissions from tropical deforestation drop by 50% in 5\u00a0years?", "type" : "article-journal", "volume" : "22" }, "uris" : [ "http://www.mendeley.com/documents/?uuid=9b71dc1e-6ebc-45c3-b22b-1fa4bd0848e0" ] } ], "mendeley" : { "formattedCitation" : "(E. A. Davidson et al., 2012; Daniel Nepstad et al., 2014; Zarin et al., 2016)", "manualFormatting" : "(Davidson et al., 2012; Nepstad et al., 2014; Zarin et al., 2016)", "plainTextFormattedCitation" : "(E. A. Davidson et al., 2012; Daniel Nepstad et al., 2014; Zarin et al., 2016)", "previouslyFormattedCitation" : "(E. A. Davidson et al., 2012; Daniel Nepstad et al., 2014; Zarin et al., 2016)" }, "properties" : { "noteIndex" : 0 }, "schema" : "https://github.com/citation-style-language/schema/raw/master/csl-citation.json" }</w:instrText>
      </w:r>
      <w:r w:rsidRPr="008608AA">
        <w:fldChar w:fldCharType="separate"/>
      </w:r>
      <w:r w:rsidRPr="008608AA">
        <w:rPr>
          <w:noProof/>
        </w:rPr>
        <w:t>(Davidson et al., 2012; Nepstad et al., 2014; Zarin et al., 2016)</w:t>
      </w:r>
      <w:r w:rsidRPr="008608AA">
        <w:fldChar w:fldCharType="end"/>
      </w:r>
      <w:r w:rsidRPr="008608AA">
        <w:t xml:space="preserve">. Afforestation of grasslands has increased carbon uptake (primary production) and biomass carbon stocks </w:t>
      </w:r>
      <w:r w:rsidRPr="008608AA">
        <w:fldChar w:fldCharType="begin" w:fldLock="1"/>
      </w:r>
      <w:r w:rsidRPr="008608AA">
        <w:instrText>ADDIN CSL_CITATION { "citationItems" : [ { "id" : "ITEM-1", "itemData" : { "DOI" : "10.1111/avsc.12016", "ISBN" : "1654-109X", "ISSN" : "14022001", "abstract" : "Question: How is the magnitude and seasonality of carbon uptake affected by the replacement of native grasslands by eucalyptus plantations? Location: R\u00edo de la Plata Grasslands in Argentina and Uruguay. Methods: A total of 115 paired sites of fast-growing Eucalyptus grandis plantations and adjacent grasslands were used to characterize the magnitude and seasonality of (1) radiation interception by canopies and (2) above-ground net primary productivity based on a time series of MODIS-derived normalized difference vegetation index (NDVI). The response of NDVI to precipitation was explored across temporal scales. Results: NDVI in afforested vs. grassland plots presented higher annual averages (1.3-fold), lower seasonal ranges (average relative range of 0.11 vs. 0.29) and delayed growing seasons (2-month shift). Temporally, NDVI was positively associated with precipitation input, showing a correlation with longer periods of precipitation accumulation in tree plantations compared to grasslands (&gt; 7 vs. 2-3 months). Estimated average annual above-ground net primary productivity (ANPP) almost quadrupled as a consequence of replacing grasslands by tree plantations (\u223c4 vs. \u223c17 Mg dry matter. ha-1\u00b7yr-1), and this difference was evidenced throughout the whole study period. Conclusions: Afforested grasslands intercept more radiation and have higher and more stable ANPP throughout the year, probably as a result of major changes in leaf phenology and root distribution patterns, which in turn allowed better access to water. Changes in carbon uptake can influence climate/biosphere feedbacks and should be considered in land-use planning, especially when grassland afforestation is recommended as a tool to mitigate global warming. \u00a9 2012 International Association for Vegetation Science.", "author" : [ { "dropping-particle" : "", "family" : "Vassallo", "given" : "M. Mercedes", "non-dropping-particle" : "", "parse-names" : false, "suffix" : "" }, { "dropping-particle" : "", "family" : "Dieguez", "given" : "Hern\u00e1n D.", "non-dropping-particle" : "", "parse-names" : false, "suffix" : "" }, { "dropping-particle" : "", "family" : "Garbulsky", "given" : "Mart\u00edn F.", "non-dropping-particle" : "", "parse-names" : false, "suffix" : "" }, { "dropping-particle" : "", "family" : "Jobb\u00e1gy", "given" : "Esteban G.", "non-dropping-particle" : "", "parse-names" : false, "suffix" : "" }, { "dropping-particle" : "", "family" : "Paruelo", "given" : "Jos\u00e9 M.", "non-dropping-particle" : "", "parse-names" : false, "suffix" : "" } ], "container-title" : "Applied Vegetation Science", "id" : "ITEM-1", "issue" : "3", "issued" : { "date-parts" : [ [ "2013" ] ] }, "page" : "390-403", "title" : "Grassland afforestation impact on primary productivity: a remote sensing approach", "type" : "article-journal", "volume" : "16" }, "uris" : [ "http://www.mendeley.com/documents/?uuid=bbabee42-4085-3a2a-b6ea-93a9041e4353" ] } ], "mendeley" : { "formattedCitation" : "(Vassallo, Dieguez, Garbulsky, Jobb\u00e1gy, &amp; Paruelo, 2013)", "manualFormatting" : "(Vassallo et al., 2013)", "plainTextFormattedCitation" : "(Vassallo, Dieguez, Garbulsky, Jobb\u00e1gy, &amp; Paruelo, 2013)", "previouslyFormattedCitation" : "(Vassallo, Dieguez, Garbulsky, Jobb\u00e1gy, &amp; Paruelo, 2013)" }, "properties" : { "noteIndex" : 0 }, "schema" : "https://github.com/citation-style-language/schema/raw/master/csl-citation.json" }</w:instrText>
      </w:r>
      <w:r w:rsidRPr="008608AA">
        <w:fldChar w:fldCharType="separate"/>
      </w:r>
      <w:r w:rsidRPr="008608AA">
        <w:rPr>
          <w:noProof/>
        </w:rPr>
        <w:t>(Vassallo et al., 2013)</w:t>
      </w:r>
      <w:r w:rsidRPr="008608AA">
        <w:fldChar w:fldCharType="end"/>
      </w:r>
      <w:r w:rsidRPr="008608AA">
        <w:t xml:space="preserve">, and increased soil organic carbon on dry sites but decreased soil organic carbon contents on humid sites </w:t>
      </w:r>
      <w:r w:rsidRPr="008608AA">
        <w:fldChar w:fldCharType="begin" w:fldLock="1"/>
      </w:r>
      <w:r w:rsidRPr="008608AA">
        <w:instrText>ADDIN CSL_CITATION { "citationItems" : [ { "id" : "ITEM-1", "itemData" : { "DOI" : "10.1890/10-2210.1", "ISBN" : "1051-0761", "ISSN" : "10510761", "PMID" : "22471076", "abstract" : "Afforestation, the conversion of unforested lands to forests, is a tool for sequestering anthropogenic carbon dioxide into plant biomass. However, in addition to altering biomass, afforestation can have substantial effects on soil organic carbon (SOC) pools, some of which have much longer turnover times than plant biomass. An increasing body of evidence suggests that the effect of afforestation on SOC may depend on mean annual precipitation (MAP). The goal of this study was to test how labile and bulk pools of SOC and total soil nitrogen (TN) change with afforestation across a rainfall gradient of 600-1500 mm in the Rio de la Plata grasslands of Argentina and Uruguay. The sites were all former grasslands planted with Eucalyptus spp. Overall, we found that afforestation increased (up to 1012 kg C x ha(-1) x yr(-1)) or decreased (as much as 1294 kg C x ha(-1) x yr(-1)) SOC pools in this region and that these changes were significantly related to MAP. Drier sites gained, and wetter sites lost, SOC and TN (r2 = 0.59, P = 0.003; and r2 = 0.57, P = 0.004, respectively). Labile C and N in microbial biomass and extractable soil pools followed similar patterns to bulk SOC and TN. Interestingly, drier sites gained more SOC and TN as plantations aged, while losses reversed as plantations aged in wet sites, suggesting that plantation age in addition to precipitation is a critical driver of changes in soil organic matter with afforestation. This new evidence implies that longer intervals between harvests for plantations could improve SOC storage, ameliorating the negative trends found in humid sites. Our results suggest that the value of afforestation as a carbon sequestration tool should be considered in the context of precipitation and age of the forest stand.", "author" : [ { "dropping-particle" : "", "family" : "Berthrong", "given" : "Sean T.", "non-dropping-particle" : "", "parse-names" : false, "suffix" : "" }, { "dropping-particle" : "", "family" : "Pi\u00f1eiro", "given" : "Gervasio", "non-dropping-particle" : "", "parse-names" : false, "suffix" : "" }, { "dropping-particle" : "", "family" : "Jobb\u00e1gy", "given" : "Esteban G.", "non-dropping-particle" : "", "parse-names" : false, "suffix" : "" }, { "dropping-particle" : "", "family" : "Jackson", "given" : "Robert B.", "non-dropping-particle" : "", "parse-names" : false, "suffix" : "" } ], "container-title" : "Ecological Applications", "id" : "ITEM-1", "issue" : "1", "issued" : { "date-parts" : [ [ "2012" ] ] }, "page" : "76-86", "title" : "Soil C and N changes with afforestation of grasslands across gradients of precipitation and plantation age", "type" : "article-journal", "volume" : "22" }, "uris" : [ "http://www.mendeley.com/documents/?uuid=25c13d6f-6aa4-3470-9258-be5e04fa870a" ] }, { "id" : "ITEM-2", "itemData" : { "DOI" : "10.1111/j.1365-2486.2012.02761.x", "ISBN" : "1354-1013", "ISSN" : "13541013", "PMID" : "24101986", "abstract" : "The replacement of native vegetation by pastures or tree plantations is increasing worldwide. Contradictory effects of these land use transitions on the direction of changes in soil organic carbon (SOC) stocks, quality, and vertical distribution have been reported, which could be explained by the characteristics of the new or prior vegetation, time since vegetation replacement, and environmental conditions. We used a series of paired-field experiments and a literature synthesis to evaluate how these factors affect SOC contents in transitions between tree- and grass-dominated (grazed) ecosystems in South America. Both our field and literature approaches showed that SOC changes (020cm of depth) were independent of the initial native vegetation (forest, grassland, or savanna) but strongly dependent on the characteristics of the new vegetation (tree plantations or pastures), its age, and precipitation. Pasture establishment increased SOC contents across all our precipitation gradient and C gains were greater as pastures aged. In contrast, tree plantations increased SOC stocks in arid sites but decreased them in humid ones. However, SOC losses in humid sites were counterbalanced by the effect of plantation age, as plantations increased their SOC stocks as plantations aged. A multiple regression model including age and precipitation explained more than 50% (p&lt;0.01) of SOC changes observed after sowing pastures or planting trees. The only clear shift observed in the vertical distribution of SOC occurred when pastures replaced native forests, with SOC gains in the surface soil but losses at greater depths. The changes in SOC stocks occurred mainly in the silt+clay soil size fraction (MAOM), while SOC stocks in labile (POM) fraction remained relatively constant. Our results can be considered in designing strategies to increase SOC storage and soil fertility and highlight the importance of precipitation, soil depth, and age in determining SOC changes across a range of environments and land-use transitions.", "author" : [ { "dropping-particle" : "", "family" : "Eclesia", "given" : "Roxana P.", "non-dropping-particle" : "", "parse-names" : false, "suffix" : "" }, { "dropping-particle" : "", "family" : "Jobbagy", "given" : "Esteban G.", "non-dropping-particle" : "", "parse-names" : false, "suffix" : "" }, { "dropping-particle" : "", "family" : "Jackson", "given" : "Robert B.", "non-dropping-particle" : "", "parse-names" : false, "suffix" : "" }, { "dropping-particle" : "", "family" : "Biganzoli", "given" : "Fernando", "non-dropping-particle" : "", "parse-names" : false, "suffix" : "" }, { "dropping-particle" : "", "family" : "Pi\u00f1eiro", "given" : "Gervasio", "non-dropping-particle" : "", "parse-names" : false, "suffix" : "" } ], "container-title" : "Global Change Biology", "id" : "ITEM-2", "issue" : "10", "issued" : { "date-parts" : [ [ "2012" ] ] }, "page" : "3237-3251", "title" : "Shifts in soil organic carbon for plantation and pasture establishment in native forests and grasslands of South America", "type" : "article-journal", "volume" : "18" }, "uris" : [ "http://www.mendeley.com/documents/?uuid=2ed83bf6-8761-4b1b-a3d0-c147d7598e3d" ] } ], "mendeley" : { "formattedCitation" : "(Berthrong, Pi\u00f1eiro, Jobb\u00e1gy, &amp; Jackson, 2012; Eclesia et al., 2012)", "manualFormatting" : "(Berthrong et al., 2012; Eclesia et al., 2012)", "plainTextFormattedCitation" : "(Berthrong, Pi\u00f1eiro, Jobb\u00e1gy, &amp; Jackson, 2012; Eclesia et al., 2012)", "previouslyFormattedCitation" : "(Berthrong, Pi\u00f1eiro, Jobb\u00e1gy, &amp; Jackson, 2012; Eclesia et al., 2012)" }, "properties" : { "noteIndex" : 0 }, "schema" : "https://github.com/citation-style-language/schema/raw/master/csl-citation.json" }</w:instrText>
      </w:r>
      <w:r w:rsidRPr="008608AA">
        <w:fldChar w:fldCharType="separate"/>
      </w:r>
      <w:r w:rsidRPr="008608AA">
        <w:rPr>
          <w:noProof/>
        </w:rPr>
        <w:t>(Berthrong et al., 2012; Eclesia et al., 2012)</w:t>
      </w:r>
      <w:r w:rsidRPr="008608AA">
        <w:fldChar w:fldCharType="end"/>
      </w:r>
      <w:r w:rsidRPr="008608AA">
        <w:t xml:space="preserve">. While recent woody encroachment in the USA and Argentina has increased biomass stock, it may have negative impacts on deep carbon storage </w:t>
      </w:r>
      <w:r w:rsidRPr="008608AA">
        <w:fldChar w:fldCharType="begin" w:fldLock="1"/>
      </w:r>
      <w:r w:rsidRPr="008608AA">
        <w:instrText>ADDIN CSL_CITATION { "citationItems" : [ { "id" : "ITEM-1", "itemData" : { "author" : [ { "dropping-particle" : "", "family" : "Asner", "given" : "Gregory P.", "non-dropping-particle" : "", "parse-names" : false, "suffix" : "" }, { "dropping-particle" : "", "family" : "Archer", "given" : "Steven R.", "non-dropping-particle" : "", "parse-names" : false, "suffix" : "" } ], "container-title" : "Livestock in a Changing Landscape: Volume 1, Drivers, Consequences, and Responses", "editor" : [ { "dropping-particle" : "", "family" : "Steinfeld", "given" : "H.", "non-dropping-particle" : "", "parse-names" : false, "suffix" : "" }, { "dropping-particle" : "", "family" : "Mooney", "given" : "H. A.", "non-dropping-particle" : "", "parse-names" : false, "suffix" : "" }, { "dropping-particle" : "", "family" : "Schneider", "given" : "F.", "non-dropping-particle" : "", "parse-names" : false, "suffix" : "" }, { "dropping-particle" : "", "family" : "Neville", "given" : "L.E.", "non-dropping-particle" : "", "parse-names" : false, "suffix" : "" } ], "id" : "ITEM-1", "issued" : { "date-parts" : [ [ "2010" ] ] }, "page" : "69-82", "publisher" : "Island Press", "publisher-place" : "Washington, DC., USA", "title" : "Livestock and the global carbon cycle", "type" : "chapter" }, "uris" : [ "http://www.mendeley.com/documents/?uuid=3ee6a16b-7a5d-478b-a120-ada718420f9c" ] }, { "id" : "ITEM-2", "itemData" : { "DOI" : "10.1038/nature00910", "ISBN" : "0028-0836", "ISSN" : "0028-0836", "PMID" : "12167857", "author" : [ { "dropping-particle" : "", "family" : "Jackson", "given" : "Robert B.", "non-dropping-particle" : "", "parse-names" : false, "suffix" : "" }, { "dropping-particle" : "", "family" : "Banner", "given" : "Jay L.", "non-dropping-particle" : "", "parse-names" : false, "suffix" : "" }, { "dropping-particle" : "", "family" : "Jobb\u00e1gy", "given" : "Esteban G.", "non-dropping-particle" : "", "parse-names" : false, "suffix" : "" }, { "dropping-particle" : "", "family" : "Pockman", "given" : "William T.", "non-dropping-particle" : "", "parse-names" : false, "suffix" : "" }, { "dropping-particle" : "", "family" : "Wall", "given" : "Diana H.", "non-dropping-particle" : "", "parse-names" : false, "suffix" : "" } ], "container-title" : "Nature", "id" : "ITEM-2", "issue" : "6898", "issued" : { "date-parts" : [ [ "2002" ] ] }, "page" : "623-626", "title" : "Ecosystem carbon loss with woody plant invasion of grasslands", "type" : "article-journal", "volume" : "418" }, "uris" : [ "http://www.mendeley.com/documents/?uuid=3dce6cca-1028-3c1f-87e9-76b08b0bde15" ] } ], "mendeley" : { "formattedCitation" : "(Asner &amp; Archer, 2010; R. B. Jackson, Banner, Jobb\u00e1gy, Pockman, &amp; Wall, 2002)", "manualFormatting" : "(Asner &amp; Archer, 2010; Jackson et al., 2002)", "plainTextFormattedCitation" : "(Asner &amp; Archer, 2010; R. B. Jackson, Banner, Jobb\u00e1gy, Pockman, &amp; Wall, 2002)", "previouslyFormattedCitation" : "(Asner &amp; Archer, 2010; R. B. Jackson, Banner, Jobb\u00e1gy, Pockman, &amp; Wall, 2002)" }, "properties" : { "noteIndex" : 0 }, "schema" : "https://github.com/citation-style-language/schema/raw/master/csl-citation.json" }</w:instrText>
      </w:r>
      <w:r w:rsidRPr="008608AA">
        <w:fldChar w:fldCharType="separate"/>
      </w:r>
      <w:r w:rsidRPr="008608AA">
        <w:rPr>
          <w:noProof/>
        </w:rPr>
        <w:t>(Asner &amp; Archer, 2010; Jackson et al., 2002)</w:t>
      </w:r>
      <w:r w:rsidRPr="008608AA">
        <w:fldChar w:fldCharType="end"/>
      </w:r>
      <w:r w:rsidRPr="008608AA">
        <w:t xml:space="preserve">. Satellite-detected trends in </w:t>
      </w:r>
      <w:r w:rsidR="007F7326" w:rsidRPr="008608AA">
        <w:t xml:space="preserve">the Normalized Difference Vegetation Index </w:t>
      </w:r>
      <w:r w:rsidRPr="008608AA">
        <w:t xml:space="preserve">(a proxy of primary production) support observed changes in carbon stocks </w:t>
      </w:r>
      <w:r w:rsidRPr="008608AA">
        <w:fldChar w:fldCharType="begin" w:fldLock="1"/>
      </w:r>
      <w:r w:rsidRPr="008608AA">
        <w:instrText>ADDIN CSL_CITATION { "citationItems" : [ { "id" : "ITEM-1", "itemData" : { "DOI" : "10.1080/01431160310001619526", "ISBN" : "01431161", "ISSN" : "01431161", "abstract" : "Estimates of carbon uptake at the continental scale become urgently needed as the role of countries as net sinks or sources of carbon gains political and economic importance. Despite uncertainties related to radiation use efficiency, the amount of photosynthetically active radiation (PAR) intercepted by the canopy is a reliable estimator of primary production. Theoretical and empirical data support the relationship between the Normalized Difference Vegetation Index (NDVI) derived from the Advanced Very High Resolution Radiometer sensor on National Oceanic &amp;amp; Atmospheric Administration satellites and the fraction of PAR intercepted by green canopies. It is shown, for the period 1981\u00e2\u20ac\u201c2000, that there is an overall increase in the radiation intercepted by the canopy over South America by 1.3%, with rainforests making the largest absolute contribution (45%), followed by savannas (23%). Under conditions of minimal agricultural use, disturbance and anthropogenic N deposition, humid temperate forests showed the highest proportional increase in NDVI during the last two decades (4.9%). Deserts showed a net reduction in NDVI relative to the 1981\u00e2\u20ac\u201c1985 average (-4.4%). The expansion of agriculture over the last two decades was associated with NDVI reductions over subtropical forests. NDVI trends in South American region highlight a biome-dependent imprint of major global change noticeable in only two decades.", "author" : [ { "dropping-particle" : "", "family" : "Paruelo", "given" : "J.M.", "non-dropping-particle" : "", "parse-names" : false, "suffix" : "" }, { "dropping-particle" : "", "family" : "Garbulsky", "given" : "M.F.", "non-dropping-particle" : "", "parse-names" : false, "suffix" : "" }, { "dropping-particle" : "", "family" : "Guerschman", "given" : "J.P", "non-dropping-particle" : "", "parse-names" : false, "suffix" : "" }, { "dropping-particle" : "", "family" : "Jobb\u00e1gy", "given" : "E.G.", "non-dropping-particle" : "", "parse-names" : false, "suffix" : "" } ], "container-title" : "International Journal of Remote Sensing", "id" : "ITEM-1", "issue" : "14", "issued" : { "date-parts" : [ [ "2004" ] ] }, "page" : "2793-2806", "title" : "Two decades of normalized difference vegetation index changes in South America: identifying the imprint of global change", "type" : "article-journal", "volume" : "25" }, "uris" : [ "http://www.mendeley.com/documents/?uuid=92f5359e-7c59-498a-a058-e808be4fda9d" ] }, { "id" : "ITEM-2", "itemData" : { "DOI" : "10.1029/2001GB001550", "ISBN" : "1944-9224", "ISSN" : "0886-6236", "abstract" : "Net primary productivity (NPP) in North America was computed for the years 1982?1998 using the Carnegie-Ames-Stanford approach (CASA) carbon cycle model. CASA was driven by a new, corrected satellite record of the normalized difference vegetation index at 8-km spatial resolution. Regional trends in the 17-year NPP record varied substantially across the continent. Croplands and grasslands of the Central Plains and eastern Canadian forests experienced summer increases in NPP. Peak NPP trends in Alaska and western Canada occurred in late spring or early summer, suggesting an earlier onset of the growing season in these regions. Forests and woodlands of the southeastern United States showed NPP increases in spring and fall, also suggesting an increase in the length of the growing season. An analysis of climate variables showed that summer precipitation increased in the Central Plains, indicating that climate changes probably play some role in increasing NPP in this region, though intensive management of agricultural ecosystems has also increased productivity. Similarly, increased summer precipitation possibly increased NPP in eastern Canada, but another possible explanation is forest recovery after insect damage. NPP in the southeastern United States increased in the absence of climate variation. Much of this region consists of aggressively managed forests, with young stand ages and intensive silviculture resulting in increased NPP. The high latitudes of western Canada and Alaska experienced spring warming that could have increased NPP in late spring or early summer.", "author" : [ { "dropping-particle" : "", "family" : "Hicke", "given" : "Jeffrey A.", "non-dropping-particle" : "", "parse-names" : false, "suffix" : "" }, { "dropping-particle" : "", "family" : "Asner", "given" : "Gregory P.", "non-dropping-particle" : "", "parse-names" : false, "suffix" : "" }, { "dropping-particle" : "", "family" : "Randerson", "given" : "James T.", "non-dropping-particle" : "", "parse-names" : false, "suffix" : "" }, { "dropping-particle" : "", "family" : "Tucker", "given" : "Compton J.", "non-dropping-particle" : "", "parse-names" : false, "suffix" : "" }, { "dropping-particle" : "", "family" : "Los", "given" : "Sietse", "non-dropping-particle" : "", "parse-names" : false, "suffix" : "" }, { "dropping-particle" : "", "family" : "Birdsey", "given" : "Richard A.", "non-dropping-particle" : "", "parse-names" : false, "suffix" : "" }, { "dropping-particle" : "", "family" : "Jenkins", "given" : "Jennifer C.", "non-dropping-particle" : "", "parse-names" : false, "suffix" : "" }, { "dropping-particle" : "", "family" : "Field", "given" : "Christopher B.", "non-dropping-particle" : "", "parse-names" : false, "suffix" : "" } ], "container-title" : "Global Biogeochemical Cycles", "id" : "ITEM-2", "issue" : "2", "issued" : { "date-parts" : [ [ "2002" ] ] }, "page" : "1019", "title" : "Trends in North American net primary productivity derived from satellite observations, 1982-1998", "type" : "article-journal", "volume" : "16" }, "uris" : [ "http://www.mendeley.com/documents/?uuid=e0408ca7-c56f-4b89-b844-bce1d15a376c" ] } ], "mendeley" : { "formattedCitation" : "(Hicke et al., 2002; Paruelo, Garbulsky, Guerschman, &amp; Jobb\u00e1gy, 2004)", "manualFormatting" : "(Hicke et al., 2002; Paruelo et al., 2004)", "plainTextFormattedCitation" : "(Hicke et al., 2002; Paruelo, Garbulsky, Guerschman, &amp; Jobb\u00e1gy, 2004)", "previouslyFormattedCitation" : "(Hicke et al., 2002; Paruelo, Garbulsky, Guerschman, &amp; Jobb\u00e1gy, 2004)" }, "properties" : { "noteIndex" : 0 }, "schema" : "https://github.com/citation-style-language/schema/raw/master/csl-citation.json" }</w:instrText>
      </w:r>
      <w:r w:rsidRPr="008608AA">
        <w:fldChar w:fldCharType="separate"/>
      </w:r>
      <w:r w:rsidRPr="008608AA">
        <w:rPr>
          <w:noProof/>
        </w:rPr>
        <w:t>(Hicke et al., 2002; Paruelo et al., 2004)</w:t>
      </w:r>
      <w:r w:rsidRPr="008608AA">
        <w:fldChar w:fldCharType="end"/>
      </w:r>
      <w:r w:rsidRPr="008608AA">
        <w:t xml:space="preserve">. Finally, oceans around the Americas </w:t>
      </w:r>
      <w:r w:rsidR="007F7326" w:rsidRPr="008608AA">
        <w:t>must be</w:t>
      </w:r>
      <w:r w:rsidRPr="008608AA">
        <w:t xml:space="preserve"> storing significant amounts of carbon</w:t>
      </w:r>
      <w:r w:rsidR="007854D8" w:rsidRPr="008608AA">
        <w:t>, given</w:t>
      </w:r>
      <w:r w:rsidRPr="008608AA">
        <w:t xml:space="preserve"> </w:t>
      </w:r>
      <w:r w:rsidR="007854D8" w:rsidRPr="008608AA">
        <w:t xml:space="preserve">they represent a significant fraction of the 2 picograms/year global ocean total. The </w:t>
      </w:r>
      <w:r w:rsidRPr="008608AA">
        <w:t xml:space="preserve">Americas total is not available. </w:t>
      </w:r>
    </w:p>
    <w:p w14:paraId="43D97D6F" w14:textId="77777777" w:rsidR="004255E7" w:rsidRPr="008608AA" w:rsidRDefault="004255E7" w:rsidP="00C1178A">
      <w:pPr>
        <w:spacing w:after="120"/>
      </w:pPr>
      <w:r w:rsidRPr="008608AA">
        <w:t xml:space="preserve">The net impact of land use on climate change is still under debate </w:t>
      </w:r>
      <w:r w:rsidRPr="008608AA">
        <w:fldChar w:fldCharType="begin" w:fldLock="1"/>
      </w:r>
      <w:r w:rsidRPr="008608AA">
        <w:instrText>ADDIN CSL_CITATION { "citationItems" : [ { "id" : "ITEM-1", "itemData" : { "DOI" : "10.1088/1748-9326/3/4/044006", "ISBN" : "1748-9326", "ISSN" : "17489326", "PMID" : "20109550", "abstract" : "Policies for climate mitigation on land rarely acknowledge biophysical factors, such as reflectivity, evaporation, and surface roughness. Yet such factors can alter temperatures much more than carbon sequestration does, and often in a conflicting way. We outline a framework for examining biophysical factors in mitigation policies and provide some best-practice recommendations based on that framework. Tropical projects--avoided deforestation, forest restoration, and afforestation--provide the greatest climate value, because carbon storage and biophysics align to cool the Earth. In contrast, the climate benefits of carbon storage are often counteracted in boreal and other snow-covered regions, where darker trees trap more heat than snow does. Managers can increase the climate benefit of some forest projects by using more reflective and deciduous species and through urban forestry projects that reduce energy use. Ignoring biophysical interactions could result in millions of dollars being invested in some mitigation projects that provide little climate benefit or, worse, are counter-productive.", "author" : [ { "dropping-particle" : "", "family" : "Jackson", "given" : "Robert B.", "non-dropping-particle" : "", "parse-names" : false, "suffix" : "" }, { "dropping-particle" : "", "family" : "Randerson", "given" : "James T.", "non-dropping-particle" : "", "parse-names" : false, "suffix" : "" }, { "dropping-particle" : "", "family" : "Canadell", "given" : "Josep G.", "non-dropping-particle" : "", "parse-names" : false, "suffix" : "" }, { "dropping-particle" : "", "family" : "Anderson", "given" : "Ray G.", "non-dropping-particle" : "", "parse-names" : false, "suffix" : "" }, { "dropping-particle" : "", "family" : "Avissar", "given" : "Roni", "non-dropping-particle" : "", "parse-names" : false, "suffix" : "" }, { "dropping-particle" : "", "family" : "Baldocchi", "given" : "Dennis D.", "non-dropping-particle" : "", "parse-names" : false, "suffix" : "" }, { "dropping-particle" : "", "family" : "Bonan", "given" : "Gordon B.", "non-dropping-particle" : "", "parse-names" : false, "suffix" : "" }, { "dropping-particle" : "", "family" : "Caldeira", "given" : "Ken", "non-dropping-particle" : "", "parse-names" : false, "suffix" : "" }, { "dropping-particle" : "", "family" : "Diffenbaugh", "given" : "Noah S.", "non-dropping-particle" : "", "parse-names" : false, "suffix" : "" }, { "dropping-particle" : "", "family" : "Field", "given" : "Christopher B.", "non-dropping-particle" : "", "parse-names" : false, "suffix" : "" }, { "dropping-particle" : "", "family" : "Hungate", "given" : "Bruce A.", "non-dropping-particle" : "", "parse-names" : false, "suffix" : "" }, { "dropping-particle" : "", "family" : "Jobb\u00e1gy", "given" : "Esteban G.", "non-dropping-particle" : "", "parse-names" : false, "suffix" : "" }, { "dropping-particle" : "", "family" : "Kueppers", "given" : "Lara M.", "non-dropping-particle" : "", "parse-names" : false, "suffix" : "" }, { "dropping-particle" : "", "family" : "Nosetto", "given" : "Marcelo D.", "non-dropping-particle" : "", "parse-names" : false, "suffix" : "" }, { "dropping-particle" : "", "family" : "Pataki", "given" : "Diane E.", "non-dropping-particle" : "", "parse-names" : false, "suffix" : "" } ], "container-title" : "Environmental Research Letters", "id" : "ITEM-1", "issue" : "4", "issued" : { "date-parts" : [ [ "2008" ] ] }, "page" : "044006", "title" : "Protecting climate with forests", "type" : "article-journal", "volume" : "3" }, "uris" : [ "http://www.mendeley.com/documents/?uuid=024f75ed-5af9-4188-ace3-fa9b713c52ca" ] }, { "id" : "ITEM-2", "itemData" : { "DOI" : "10.1016/j.agrformet.2016.08.015", "ISBN" : "0168-1923", "ISSN" : "01681923", "abstract" : "Deforestation affects climate and the energy balance of the Earth not only through the release of greenhouse gases but also through shifts in the physical properties of the surface. These physical effects can be strongly dependent not only on the deforestation event but on the land use choices and management that follow it. Here we explored how the albedo and radiation balance of the dry subtropical Chaco forests of South America changed over the last decade in response to both deforestation and land use/management. For the whole region we analyzed changes in the mean annual albedo derived from MODIS imagery and their relation with the dominant land use trajectories for a 12-year period (2000\u20132012). In two focal areas we identified how specific land uses and management shifts affected the seasonality of surface albedo and green vegetation cover, quantifying their associated radiation budget changes and radiative forcing effects. Deforestation accounted for 83% of the regional albedo increase observed in Chaco, yet, land use and land management changes were also a main driver of albedo shifts, explaining the rest of the albedo rise occurred in the region. Albedo raises increased the mean annual outgoing shortwave energy flux at the top of the atmosphere producing a biophysical cooling effect which was strongly dependent on the land use choice and agricultural management, ranging from \u22128 W m\u22122 in silvopastoral systems to \u221217 W m\u22122 under single annual cropping schemes. These values are equivalent to a reduction in atmospheric CO2 of 12\u201327 Mg C ha\u22121, or 15\u201355% of the typical emissions that accompany deforestation in this region. Land use and management choices in the Chaco region produce strong divergences in the resulting albedo seasonality that should not be ignored in the assessment of their net climatic effects and the discussion of possible mitigation actions.", "author" : [ { "dropping-particle" : "", "family" : "Houspanossian", "given" : "Javier", "non-dropping-particle" : "", "parse-names" : false, "suffix" : "" }, { "dropping-particle" : "", "family" : "Gim\u00e9nez", "given" : "Ra\u00fal", "non-dropping-particle" : "", "parse-names" : false, "suffix" : "" }, { "dropping-particle" : "", "family" : "Jobb\u00e1gy", "given" : "Esteban", "non-dropping-particle" : "", "parse-names" : false, "suffix" : "" }, { "dropping-particle" : "", "family" : "Nosetto", "given" : "Marcelo", "non-dropping-particle" : "", "parse-names" : false, "suffix" : "" } ], "container-title" : "Agricultural and Forest Meteorology", "id" : "ITEM-2", "issued" : { "date-parts" : [ [ "2017" ] ] }, "page" : "118-127", "title" : "Surface albedo raise in the South American Chaco: combined effects of deforestation and agricultural changes", "type" : "article-journal", "volume" : "232" }, "uris" : [ "http://www.mendeley.com/documents/?uuid=1f98cd4c-1525-4105-9b7d-6d86eccd8c63" ] }, { "id" : "ITEM-3", "itemData" : { "DOI" : "10.1038/nclimate1346", "ISBN" : "1758-678X", "ISSN" : "1758-678X", "abstract" : "Terrestrial ecosystems regulate climate through both biogeochemical (greenhouse-gas regulation) and biophysical (regulation of water and energy) mechanisms. However, policies aimed at climate protection through land management, including REDD+ (where REDD is Reducing Emissions from Deforestation and Forest Degradation) and bioenergy sustainability standards, account only for biogeochemical mechanisms. By ignoring biophysical processes, which sometimes offset biogeochemical effects, policies risk promoting suboptimal solutions. Here, we quantify how biogeochemical and biophysical processes combine to shape the climate regulation values of 18 natural and agricultural ecoregions across the Americas. Natural ecosystems generally had higher climate regulation values than agroecosystems, largely driven by differences in biogeochemical services. Biophysical contributions ranged from minimal to dominant. They were highly variable in space, and their relative importance varied with the spatio-temporal scale of analysis. Our findings reinforce the importance of protecting tropical forests, show that northern forests have a relatively small net effect on climate, and indicate that climatic effects of bioenergy production may be more positive when biophysical processes are considered. Ensuring effective climate protection through land management requires consideration of combined biogeochemical and biophysical processes. Our climate regulation value index serves as one potential approach to quantify the full climate services of terrestrial ecosystems.", "author" : [ { "dropping-particle" : "", "family" : "Anderson-Teixeira", "given" : "Kristina J.", "non-dropping-particle" : "", "parse-names" : false, "suffix" : "" }, { "dropping-particle" : "", "family" : "Snyder", "given" : "Peter K.", "non-dropping-particle" : "", "parse-names" : false, "suffix" : "" }, { "dropping-particle" : "", "family" : "Twine", "given" : "Tracy E.", "non-dropping-particle" : "", "parse-names" : false, "suffix" : "" }, { "dropping-particle</w:instrText>
      </w:r>
      <w:r w:rsidRPr="008608AA">
        <w:rPr>
          <w:lang w:val="fr-CA"/>
        </w:rPr>
        <w:instrText xml:space="preserve">" : "V.", "family" : "Cuadra", "given" : "Santiago", "non-dropping-particle" : "", </w:instrText>
      </w:r>
      <w:r w:rsidRPr="002276D3">
        <w:rPr>
          <w:lang w:val="fr-FR"/>
        </w:rPr>
        <w:instrText>"parse-names" : false, "suffix" : "" }, { "dropping-particle" : "", "family" : "Costa", "given" : "Marcos H.", "non-dropping-particle" : "", "parse-names" : false, "suffix" : "" }, { "dropping-particle" : "", "family" : "DeLucia", "given" : "Evan H.", "non-dropping-particle" : "", "parse-names" : false, "suffix" : "" } ], "container-title" : "Nature Climate Change", "id" : "ITEM-3", "issue" : "3", "issued" : { "date-parts" : [ [ "2012" ] ] }, "page" : "177-181", "title" : "Climate-regulation services of natural and agricultural ecoregions of the Americas", "type" : "article-journal", "volume" : "2" }, "uris" : [ "http://www.mendeley.com/documents/?uuid=54f2ac02-34b3-3321-bd9b-0a6b330627d5" ] } ], "mendeley" : { "formattedCitation" : "(Anderson-Teixeira et al., 2012; Houspanossian, Gim\u00e9nez, Jobb\u00e1gy, &amp; Nosetto, 2017; R. B. Jackson et al., 2008)", "manualFormatting" : "(Anderson-Teixeira et al., 2012; Houspanossian et al., 2017; Jackson et al., 2008)", "plainTextFormattedCitation" : "(Anderson-Teixeira et al., 2012; Houspanossian, Gim\u00e9nez, Jobb\u00e1gy, &amp; Nosetto, 2017; R. B. Jackson et al., 2008)", "previouslyFormattedCitation" : "(Anderson-Teixeira et al., 2012; Houspanossian, Gim\u00e9nez, Jobb\u00e1gy, &amp; Nosetto, 2017; R. B. Jackson et al., 2008)" }, "properties" : { "noteIndex" : 0 }, "schema" : "https://github.com/citation-style-language/schema/raw/master/csl-citation.json" }</w:instrText>
      </w:r>
      <w:r w:rsidRPr="008608AA">
        <w:fldChar w:fldCharType="separate"/>
      </w:r>
      <w:r w:rsidRPr="002276D3">
        <w:rPr>
          <w:noProof/>
          <w:lang w:val="fr-FR"/>
        </w:rPr>
        <w:t>(Anderson-Teixeira et al., 2012; Houspanossian et al., 2017; Jackson et al., 2008)</w:t>
      </w:r>
      <w:r w:rsidRPr="008608AA">
        <w:fldChar w:fldCharType="end"/>
      </w:r>
      <w:r w:rsidRPr="002276D3">
        <w:rPr>
          <w:lang w:val="fr-FR"/>
        </w:rPr>
        <w:t xml:space="preserve">. </w:t>
      </w:r>
      <w:r w:rsidRPr="008608AA">
        <w:t xml:space="preserve">Meanwhile, it is clear that soil organic carbon loss severely affects soil fertility and plant production and that such losses are associated with nutrient releases and erosion that promote the eutrophication of rivers, lakes and oceans, all affecting human well-being. Several studies show negative impacts of land use changes on water cycling and other ecosystem services </w:t>
      </w:r>
      <w:r w:rsidRPr="008608AA">
        <w:fldChar w:fldCharType="begin" w:fldLock="1"/>
      </w:r>
      <w:r w:rsidRPr="008608AA">
        <w:instrText>ADDIN CSL_CITATION { "citationItems" : [ { "id" : "ITEM-1", "itemData" : { "DOI" : "10.1126/science.1119282", "ISBN" : "0036-8075", "ISSN" : "0036-8075", "PMID" : "16373572", "abstract" : "Carbon sequestration strategies highlight tree plantations without considering their full environmental consequences. We combined field research, synthesis of more than 600 observations, and climate and economic modeling to document substantial losses in stream flow, and increased soil salinization and acidification, with afforestation. Plantations decreased stream flow by 227 millimeters per year globally (52%), with 13% of streams drying completely for at least 1 year. Regional modeling of U.S. plantation scenarios suggests that climate feedbacks are unlikely to offset such water losses and could exacerbate them. Plantations can help control groundwater recharge and upwelling but reduce stream flow and salinize and acidify some soils", "author" : [ { "dropping-particle" : "", "family" : "Jackson", "given" : "Robert B", "non-dropping-particle" : "", "parse-names" : false, "suffix" : "" }, { "dropping-particle" : "", "family" : "Jobb\u00e1gy", "given" : "Esteban G.", "non-dropping-particle" : "", "parse-names" : false, "suffix" : "" }, { "dropping-particle" : "", "family" : "Avissar", "given" : "Roni", "non-dropping-particle" : "", "parse-names" : false, "suffix" : "" } ], "container-title" : "Science", "id" : "ITEM-1", "issue" : "5756", "issued" : { "date-parts" : [ [ "2005" ] ] }, "page" : "1944-1947", "title" : "Trading water for carbon with biological carbon sequestration", "type" : "article-journal", "volume" : "310" }, "uris" : [ "http://www.mendeley.com/documents/?uuid=a7efec01-fd9c-490f-8b6e-de66c23252e2" ] }, { "id" : "ITEM-2", "itemData" : { "DOI" : "10.1016/j.agee.2008.01.015", "ISSN" : "01678809", "author" : [ { "dropping-particle" : "", "family" : "Trabucco", "given" : "A.", "non-dropping-particle" : "", "parse-names" : false, "suffix" : "" }, { "dropping-particle" : "", "family" : "Zomer", "given" : "R.", "non-dropping-particle" : "", "parse-names" : false, "suffix" : "" }, { "dropping-particle" : "", "family" : "Bossio", "given" : "D.", "non-dropping-particle" : "", "parse-names" : false, "suffix" : "" }, { "dropping-particle" : "", "family" : "Vanstraaten", "given" : "O.", "non-dropping-particle" : "", "parse-names" : false, "suffix" : "" }, { "dropping-particle" : "", "family" : "Verchot", "given" : "L.", "non-dropping-particle" : "", "parse-names" : false, "suffix" : "" } ], "container-title" : "Agriculture, Ecosystems &amp; Environment", "id" : "ITEM-2", "issue" : "1-2", "issued" : { "date-parts" : [ [ "2008", "6" ] ] }, "page" : "81-97", "title" : "Climate change mitigation through afforestation/reforestation: a global analysis of hydrologic impacts with four case studies", "type" : "article-journal", "volume" : "126" }, "uris" : [ "http://www.mendeley.com/documents/?uuid=a42ce4e8-fe75-4570-abb1-9b6d9e78da4b" ] } ], "mendeley" : { "formattedCitation" : "(R. B. Jackson, Jobb\u00e1gy, &amp; Avissar, 2005; Trabucco, Zomer, Bossio, Vanstraaten, &amp; Verchot, 2008)", "manualFormatting" : "(Jackson et al., 2005; Trabucco et al., 2008)", "plainTextFormattedCitation" : "(R. B. Jackson, Jobb\u00e1gy, &amp; Avissar, 2005; Trabucco, Zomer, Bossio, Vanstraaten, &amp; Verchot, 2008)", "previouslyFormattedCitation" : "(R. B. Jackson, Jobb\u00e1gy, &amp; Avissar, 2005; Trabucco, Zomer, Bossio, Vanstraaten, &amp; Verchot, 2008)" }, "properties" : { "noteIndex" : 0 }, "schema" : "https://github.com/citation-style-language/schema/raw/master/csl-citation.json" }</w:instrText>
      </w:r>
      <w:r w:rsidRPr="008608AA">
        <w:fldChar w:fldCharType="separate"/>
      </w:r>
      <w:r w:rsidRPr="008608AA">
        <w:rPr>
          <w:noProof/>
        </w:rPr>
        <w:t>(Jackson et al., 2005; Trabucco et al., 2008)</w:t>
      </w:r>
      <w:r w:rsidRPr="008608AA">
        <w:fldChar w:fldCharType="end"/>
      </w:r>
      <w:r w:rsidRPr="008608AA">
        <w:t xml:space="preserve">. </w:t>
      </w:r>
    </w:p>
    <w:p w14:paraId="09ADE29F" w14:textId="679278AF" w:rsidR="004255E7" w:rsidRPr="008608AA" w:rsidRDefault="004255E7" w:rsidP="00E714CA">
      <w:pPr>
        <w:pStyle w:val="Heading4"/>
      </w:pPr>
      <w:bookmarkStart w:id="880" w:name="_Toc502927336"/>
      <w:bookmarkStart w:id="881" w:name="_Toc517393290"/>
      <w:bookmarkStart w:id="882" w:name="_Toc517719031"/>
      <w:bookmarkStart w:id="883" w:name="_Toc517796988"/>
      <w:r w:rsidRPr="008608AA">
        <w:t>Water cycle and regulation</w:t>
      </w:r>
      <w:bookmarkEnd w:id="880"/>
      <w:bookmarkEnd w:id="881"/>
      <w:bookmarkEnd w:id="882"/>
      <w:bookmarkEnd w:id="883"/>
      <w:r w:rsidRPr="008608AA">
        <w:t xml:space="preserve"> </w:t>
      </w:r>
    </w:p>
    <w:p w14:paraId="6EDB9253" w14:textId="75364766" w:rsidR="004255E7" w:rsidRPr="008608AA" w:rsidRDefault="00657833" w:rsidP="00C1178A">
      <w:pPr>
        <w:spacing w:after="120"/>
      </w:pPr>
      <w:r w:rsidRPr="008608AA">
        <w:t xml:space="preserve">Status. </w:t>
      </w:r>
      <w:r w:rsidR="004255E7" w:rsidRPr="008608AA">
        <w:t xml:space="preserve">The water cycle is strongly regulated by evapotranspiration, which reduces water available for runoff and groundwater recharge </w:t>
      </w:r>
      <w:r w:rsidR="004255E7" w:rsidRPr="008608AA">
        <w:fldChar w:fldCharType="begin" w:fldLock="1"/>
      </w:r>
      <w:r w:rsidR="004255E7" w:rsidRPr="008608AA">
        <w:instrText>ADDIN CSL_CITATION { "citationItems" : [ { "id" : "ITEM-1", "itemData" : { "DOI" : "10.1146/annurev.energy.32.031306.102758", "ISBN" : "1543-5938", "ISSN" : "1543-5938", "abstract" : "Ecosystem services, the benefits that people obtain from ecosystems, are a powerful lens through which to understand human relation- ships with the environment and to design environmental policy. The explicit inclusion of beneficiaries makes values intrinsic to ecosystem services; whether or not those values are monetized, the ecosystem services framework provides a way to assess trade-offs among alter- native scenarios of resource use and land- and seascape change.We provide an overview of the ecosystem functions responsible for pro- ducing terrestrial hydrologic services and use this context to lay out a blueprint for a more general ecosystem service assessment. Other ecosystem services are addressed in our discussion of scale and trade- offs.We review valuation and policy tools useful for ecosystem ser- vice protection and provide several examples of land management using these tools. Throughout, we highlight avenues for research to advance the ecosystem services framework as an operational basis for policy decisions.", "author" : [ { "dropping-particle" : "", "family" : "Brauman", "given" : "Kate A.", "non-dropping-particle" : "", "parse-names" : false, "suffix" : "" }, { "dropping-particle" : "", "family" : "Daily", "given" : "Gretchen C", "non-dropping-particle" : "", "parse-names" : false, "suffix" : "" }, { "dropping-particle" : "", "family" : "Duarte", "given" : "T. Ka\u2019eo", "non-dropping-particle" : "", "parse-names" : false, "suffix" : "" }, { "dropping-particle" : "", "family" : "Mooney", "given" : "Harold A.", "non-dropping-particle" : "", "parse-names" : false, "suffix" : "" } ], "container-title" : "Annual Review of Environment and Resources", "id" : "ITEM-1", "issue" : "1", "issued" : { "date-parts" : [ [ "2007" ] ] }, "page" : "67-98", "title" : "The nature and value of ecosystem services: An overview highlighting hydrologic services", "type" : "article-journal", "volume" : "32" }, "uris" : [ "http://www.mendeley.com/documents/?uuid=4c28d7ae-b461-3718-becb-82b92ec9f87e" ] } ], "mendeley" : { "formattedCitation" : "(Brauman, Daily, Duarte, &amp; Mooney, 2007)", "manualFormatting" : "(Brauman et al., 2007)", "plainTextFormattedCitation" : "(Brauman, Daily, Duarte, &amp; Mooney, 2007)", "previouslyFormattedCitation" : "(Brauman, Daily, Duarte, &amp; Mooney, 2007)" }, "properties" : { "noteIndex" : 0 }, "schema" : "https://github.com/citation-style-language/schema/raw/master/csl-citation.json" }</w:instrText>
      </w:r>
      <w:r w:rsidR="004255E7" w:rsidRPr="008608AA">
        <w:fldChar w:fldCharType="separate"/>
      </w:r>
      <w:r w:rsidR="004255E7" w:rsidRPr="008608AA">
        <w:rPr>
          <w:noProof/>
        </w:rPr>
        <w:t>(Brauman et al., 2007)</w:t>
      </w:r>
      <w:r w:rsidR="004255E7" w:rsidRPr="008608AA">
        <w:fldChar w:fldCharType="end"/>
      </w:r>
      <w:r w:rsidR="004255E7" w:rsidRPr="008608AA">
        <w:t xml:space="preserve">. Evapotranspoiration depends on the physical structure of vegetation and characteristics of individual species, particularly rooting depth, which controls plant access to water in water-limited environments </w:t>
      </w:r>
      <w:r w:rsidR="004255E7" w:rsidRPr="008608AA">
        <w:fldChar w:fldCharType="begin" w:fldLock="1"/>
      </w:r>
      <w:r w:rsidR="004255E7" w:rsidRPr="008608AA">
        <w:instrText>ADDIN CSL_CITATION { "citationItems" : [ { "id" : "ITEM-1", "itemData" : { "DOI" : "10.1093/aobpla/plv043", "ISBN" : "2041-2851", "ISSN" : "20412851", "PMID" : "25935861", "abstract" : "There have been many studies of the diverse impacts of invasions by alien plants but few have assessed impacts on water resources. We reviewed the information on the impacts of invasions on surface runoff and groundwater resources at stand to catchment scales and covering a full annual cycle. Most of the research is South African so the emphasis is on South Africa's major invaders with data from commercial forest plantations where relevant. Catchment studies worldwide have shown that changes in vegetation structure and the physiology of the dominant plant species result in changes in surface runoff and groundwater discharge, whether they involve native or alien plant species. Where there is little change in vegetation structure [e.g. leaf area (index), height, rooting depth and seasonality] the effects of invasions generally are small or undetectable. In South Africa, the most important woody invaders typically are taller and deeper rooted than the native species. The impacts of changes in evaporation (and thus runoff) in dryland settings are constrained by water availability to the plants and, thus, by rainfall. Where the dryland invaders are evergreen and the native vegetation (grass) is seasonal, the increases can reach 300-400 mm/year. Where the native vegetation is evergreen (shrublands) the increases are \u223c200-300 mm/year. Where water availability is greater (riparian settings or shallow water tables), invading tree water-use can reach 1.5-2.0 times that of the same species in a dryland setting. So, riparian invasions have a much greater impact per unit area invaded than dryland invasions. The available data are scattered and incomplete, and there are many gaps and issues that must be addressed before a thorough understanding of the impacts at the site scale can be gained and used in extrapolating to watershed scales, and in converting changes in flows to water supply system yields.", "author" : [ { "dropping-particle" : "", "family" : "Maitre", "given" : "D. C.", "non-dropping-particle" : "Le", "parse-names" : false, "suffix" : "" }, { "dropping-particle" : "", "family" : "Gush", "given" : "M. B.", "non-dropping-particle" : "", "parse-names" : false, "suffix" : "" }, { "dropping-particle" : "", "family" : "Dzikiti", "given" : "S.", "non-dropping-particle" : "", "parse-names" : false, "suffix" : "" } ], "container-title" : "AoB Plants", "id" : "ITEM-1", "issue" : "1", "issued" : { "date-parts" : [ [ "2015" ] ] }, "page" : "plv043", "title" : "Impacts of invading alien plant species on water flows at stand and catchment scales", "type" : "article-journal", "volume" : "7" }, "uris" : [ "http://www.mendeley.com/documents/?uuid=f851f985-cfa4-3251-a315-31c730c23464" ] } ], "mendeley" : { "formattedCitation" : "(Le Maitre, Gush, &amp; Dzikiti, 2015)", "manualFormatting" : "(Le Maitre et al., 2015)", "plainTextFormattedCitation" : "(Le Maitre, Gush, &amp; Dzikiti, 2015)", "previouslyFormattedCitation" : "(Le Maitre, Gush, &amp; Dzikiti, 2015)" }, "properties" : { "noteIndex" : 0 }, "schema" : "https://github.com/citation-style-language/schema/raw/master/csl-citation.json" }</w:instrText>
      </w:r>
      <w:r w:rsidR="004255E7" w:rsidRPr="008608AA">
        <w:fldChar w:fldCharType="separate"/>
      </w:r>
      <w:r w:rsidR="004255E7" w:rsidRPr="008608AA">
        <w:rPr>
          <w:noProof/>
        </w:rPr>
        <w:t>(Le Maitre et al., 2015)</w:t>
      </w:r>
      <w:r w:rsidR="004255E7" w:rsidRPr="008608AA">
        <w:fldChar w:fldCharType="end"/>
      </w:r>
      <w:r w:rsidR="004255E7" w:rsidRPr="008608AA">
        <w:t xml:space="preserve">. Woody vegetation generally has higher evapotranspiration than other vegetation, reducing streamflow </w:t>
      </w:r>
      <w:r w:rsidR="004255E7" w:rsidRPr="008608AA">
        <w:fldChar w:fldCharType="begin" w:fldLock="1"/>
      </w:r>
      <w:r w:rsidR="004255E7" w:rsidRPr="008608AA">
        <w:instrText>ADDIN CSL_CITATION { "citationItems" : [ { "id" : "ITEM-1", "itemData" : { "DOI" : "10.1016/0022-1694(82)90117-2", "ISBN" : "0022-1694", "ISSN" : "00221694", "PMID" : "8205647", "abstract" : "This summary and review of 94 catchment experiments shows that accumulated information on the effect of vegetation changes on water yield can be used for practical purposes. The direction of change in water yield following forest operations can be predicted with fair accuracy since no experiments, with the exception of perhaps one, have resulted in reductions in water yield with reductions in cover, or increases in yield, with increases in cover. The approximate magnitude of changes can also be estimated. Pine and eucalypt forest types cause on average 40-mm change in water yield per 10% change in cover and deciduous hardwood and scrub \u223c25 and 10 mm, respectively. Maximum changes of 660 mm were experienced at Coweeta, North Carolina. An assimilation of the collective experimental results shows that more careful design and expansion of experiments to certain rainfall regions would augment statistical inference.", "author" : [ { "dropping-particle" : "", "family" : "Bosch", "given" : "J.M.", "non-dropping-particle" : "", "parse-names" : false, "suffix" : "" }, { "dropping-particle" : "", "family" : "Hewlett", "given" : "J.D.", "non-dropping-particle" : "", "parse-names" : false, "suffix" : "" } ], "container-title" : "Journal of Hydrology", "id" : "ITEM-1", "issue" : "1-4", "issued" : { "date-parts" : [ [ "1982" ] ] }, "page" : "3-23", "title" : "A review of catchment experiments to determine the effect of vegetation changes on water yield and evapotranspiration", "type" : "article-journal", "volume" : "55" }, "uris" : [ "http://www.mendeley.com/documents/?uuid=48a845e1-2929-3600-aefa-cfc586f84c76" ] }, { "id" : "ITEM-2", "itemData" : { "DOI" : "10.1016/j.jhydrol.2004.12.010", "ISBN" : "0022-1694", "ISSN" : "00221694", "PMID" : "230436200003", "abstract" : "Paired catchment studies have been widely used as a means of determining the magnitude of water yield changes resulting from changes in vegetation. This review focuses on the use of paired catchment studies for determining the changes in water yield at various time scales resulting from permanent changes in vegetation. The review considers long term annual changes, adjustment time scales, the seasonal pattern of flows and changes in both annual and seasonal flow duration curves. The paired catchment studies reported in the literature have been divided into four broad categories: afforestation experiments, deforestation experiments, regrowth experiments and forest conversion experiments. Comparisons between paired catchment results and a mean annual water balance model are presented and show good agreement between the two methodologies. The results highlight the potential underestimation of water yield changes if regrowth experiments are used to predict the likely impact of permanent alterations to a catchment's vegetation. An analysis of annual water yield changes from afforestation, deforestation and regrowth experiments demonstrates that the time taken to reach a new equilibrium under permanent land use change varies considerably. Deforestation experiments reach a new equilibrium more quickly than afforestation experiments. The review of papers reporting seasonal changes in water yield highlights the proportionally larger impact on low flows. Flow duration curve comparison provides a potential means of gaining a greater understanding of the impact of vegetation on the distribution of daily flows. ?? 2005 Elsevier B.V. All rights reserved.", "author" : [ { "dropping-particle" : "", "family" : "Brown", "given" : "Alice E.", "non-dropping-particle" : "", "parse-names" : false, "suffix" : "" }, { "dropping-particle" : "", "family" : "Zhang", "given" : "Lu", "non-dropping-particle" : "", "parse-names" : false, "suffix" : "" }, { "dropping-particle" : "", "family" : "McMahon", "given" : "Thomas A.", "non-dropping-particle" : "", "parse-names" : false, "suffix" : "" }, { "dropping-particle" : "", "family" : "Western", "given" : "Andrew W.", "non-dropping-particle" : "", "parse-names" : false, "suffix" : "" }, { "dropping-particle" : "", "family" : "Vertessy", "given" : "Robert A.", "non-dropping-particle" : "", "parse-names" : false, "suffix" : "" } ], "container-title" : "Journal of Hydrology", "id" : "ITEM-2", "issue" : "1-4", "issued" : { "date-parts" : [ [ "2005" ] ] }, "page" : "28-61", "title" : "A review of paired catchment studies for determining changes in water yield resulting from alterations in vegetation", "type" : "article-journal", "volume" : "310" }, "uris" : [ "http://www.mendeley.com/documents/?uuid=d654a894-ebcd-35f9-b5df-8da857b17294" ] }, { "id" : "ITEM-3", "itemData" : { "DOI" : "10.1016/0022-1694(95)02825-0", "ISBN" : "0022-1694", "ISSN" : "00221694", "abstract" : "The application of fuzzy linear regression analysis to data from 145 experiments has shown that, for a 10% reduction in cover, the yield from conifer-type forest increased by some 20-25 mm, whereas that for eucalyptus-type forest increased by only 6 mm. Both values were somewhat lower than those previously published, as was the 5 mm decrease in yield associated with a 10% afforestation of scrub. A 10% reduction in the cover of deciduous hardwood gave a 17-19 mm increase in yield, broadly in line with earlier estimates.", "author" : [ { "dropping-particle" : "", "family" : "Sahin", "given" : "V.", "non-dropping-particle" : "", "parse-names" : false, "suffix" : "" }, { "dropping-particle" : "", "family" : "Hall", "given" : "M. J.", "non-dropping-particle" : "", "parse-names" : false, "suffix" : "" } ], "container-title" : "Journal of Hydrology", "id" : "ITEM-3", "issue" : "1", "issued" : { "date-parts" : [ [ "1996" ] ] }, "page" : "293-309", "title" : "The effects of afforestation and deforestation on water yields", "type" : "article-journal", "volume" : "178" }, "uris" : [ "http://www.mendeley.com/documents/?uuid=d2152bc0-2444-3adc-9153-24d56a643f32" ] } ], "mendeley" : { "formattedCitation" : "(Bosch &amp; Hewlett, 1982; A. E. Brown, Zhang, McMahon, Western, &amp; Vertessy, 2005; Sahin &amp; Hall, 1996)", "manualFormatting" : "(Bosch &amp; Hewlett, 1982; Brown, et al., 2005; Sahin &amp; Hall, 1996)", "plainTextFormattedCitation" : "(Bosch &amp; Hewlett, 1982; A. E. Brown, Zhang, McMahon, Western, &amp; Vertessy, 2005; Sahin &amp; Hall, 1996)", "previouslyFormattedCitation" : "(Bosch &amp; Hewlett, 1982; A. E. Brown, Zhang, McMahon, Western, &amp; Vertessy, 2005; Sahin &amp; Hall, 1996)" }, "properties" : { "noteIndex" : 0 }, "schema" : "https://github.com/citation-style-language/schema/raw/master/csl-citation.json" }</w:instrText>
      </w:r>
      <w:r w:rsidR="004255E7" w:rsidRPr="008608AA">
        <w:fldChar w:fldCharType="separate"/>
      </w:r>
      <w:r w:rsidR="004255E7" w:rsidRPr="008608AA">
        <w:rPr>
          <w:noProof/>
        </w:rPr>
        <w:t>(Bosch &amp; Hewlett, 1982; Brown, et al., 2005; Sahin &amp; Hall, 1996)</w:t>
      </w:r>
      <w:r w:rsidR="004255E7" w:rsidRPr="008608AA">
        <w:fldChar w:fldCharType="end"/>
      </w:r>
      <w:r w:rsidR="004255E7" w:rsidRPr="008608AA">
        <w:t xml:space="preserve">. Studies supporting this conclusion are largely from temperate regions </w:t>
      </w:r>
      <w:r w:rsidR="004255E7" w:rsidRPr="008608AA">
        <w:fldChar w:fldCharType="begin" w:fldLock="1"/>
      </w:r>
      <w:r w:rsidR="004255E7" w:rsidRPr="008608AA">
        <w:instrText>ADDIN CSL_CITATION { "citationItems" : [ { "id" : "ITEM-1", "itemData" : { "DOI" : "10.1016/j.jhydrol.2003.12.015", "ISBN" : "0022-1694", "ISSN" : "00221694", "PMID" : "22900479", "abstract" : "This article presents an historical perspective of the controversy concerning the hydrological impact of forests, and shows how a mostly romantic and emotional confrontation finally evolved into a scientific debate. We first analyze the historical evolution of ideas, starting with the views of Pliny the Elder in the first century AD and ending with the debate on the 'Eaux et For\u00eats' in France in the 19th century. Then, we give an up-to-date overview of the paired-watershed experiments conducted throughout 20th century, and identify some research issues that should help forest hydrology science to move forward in the 21st century. \u00a9 2004 Elsevier B.V. All rights reserved.", "author" : [ { "dropping-particle" : "", "family" : "Andr\u00e9assian", "given" : "Vazken", "non-dropping-particle" : "", "parse-names" : false, "suffix" : "" } ], "container-title" : "Journal of Hydrology", "id" : "ITEM-1", "issue" : "1-2", "issued" : { "date-parts" : [ [ "2004" ] ] }, "page" : "1-27", "title" : "Waters and forests: From historical controversy to scientific debate", "type" : "article-journal", "volume" : "291" }, "uris" : [ "http://www.mendeley.com/documents/?uuid=66a1e052-3d61-3266-985e-2c0e03e7c46b" ] } ], "mendeley" : { "formattedCitation" : "(Andr\u00e9assian, 2004)", "plainTextFormattedCitation" : "(Andr\u00e9assian, 2004)", "previouslyFormattedCitation" : "(Andr\u00e9assian, 2004)" }, "properties" : { "noteIndex" : 0 }, "schema" : "https://github.com/citation-style-language/schema/raw/master/csl-citation.json" }</w:instrText>
      </w:r>
      <w:r w:rsidR="004255E7" w:rsidRPr="008608AA">
        <w:fldChar w:fldCharType="separate"/>
      </w:r>
      <w:r w:rsidR="004255E7" w:rsidRPr="008608AA">
        <w:rPr>
          <w:noProof/>
        </w:rPr>
        <w:t>(Andréassian, 2004)</w:t>
      </w:r>
      <w:r w:rsidR="004255E7" w:rsidRPr="008608AA">
        <w:fldChar w:fldCharType="end"/>
      </w:r>
      <w:r w:rsidR="004255E7" w:rsidRPr="008608AA">
        <w:t xml:space="preserve">, </w:t>
      </w:r>
      <w:r w:rsidR="007854D8" w:rsidRPr="008608AA">
        <w:t>a</w:t>
      </w:r>
      <w:r w:rsidR="004255E7" w:rsidRPr="008608AA">
        <w:t xml:space="preserve">though some research has also been carried out in the tropics </w:t>
      </w:r>
      <w:r w:rsidR="004255E7" w:rsidRPr="008608AA">
        <w:fldChar w:fldCharType="begin" w:fldLock="1"/>
      </w:r>
      <w:r w:rsidR="004255E7" w:rsidRPr="008608AA">
        <w:instrText>ADDIN CSL_CITATION { "citationItems" : [ { "id" : "ITEM-1", "itemData" : { "DOI" : "10.3390/w6051187", "ISSN" : "2073-4441", "abstract" : "The efficient management of water resources and services continues to be a concern in many of the small island states of the Caribbean. There are growing concerns over the ability of governments in the region to ensure the good management and provision of water without jeopardizing economic growth and the maintenance of social well-being. This paper provides an overview of the major factors influencing the water security facing the Caribbean Region and how the emerging concerns are being addressed. The key challenges and vulnerabilities may be summarized as lack of data and barriers to making available what information there is. Forward planning has been largely neglected and is symptomatic of a lack of appreciation of the need for having national water policies. In this respect Jamaica\u2019s development of a national master water plan serves as a good example of what is needed. Water service providers have to be efficient, well managed and allowed to do their job. This means that they have to be on a sound financial footing. The challenge is to find the balance between appropriate political and regulatory oversight and the autonomy of water managers and service providers.", "author" : [ { "dropping-particle" : "", "family" : "Cashman", "given" : "Adrian", "non-dropping-particle" : "", "parse-names" : false, "suffix" : "" } ], "container-title" : "Water", "id" : "ITEM-1", "issue" : "5", "issued" : { "date-parts" : [ [ "2014" ] ] }, "page" : "1187-1203", "title" : "Water security and services in the Caribbean", "type" : "article-journal", "volume" : "6" }, "uris" : [ "http://www.mendeley.com/documents/?uuid=1298af2c-c98f-3942-ad8c-1a93b2d6c03f" ] }, { "id" : "ITEM-2", "itemData" : { "DOI" : "10.1029/2008GM000727", "ISBN" : "9781118670347", "abstract" : "The objective of this chapter is to summarize current understanding of the hydrological function and nutrient dynamics of Amazonian forest derived from work in microcatchments and how these processes are affected by land use and land cover changes, mainly the conversion of forest to pasture. Our conclusions are based on field observations in catchments located in different regions of Amazonia. This chapter is divided into sections that provide (1) a general overview of small catchment research in LBA and then address (2) runoff and water budgets, (3) the influences of soil, vegetation, and riparian zones on stream chemistry and element budgets, and (4) the potential influence of catchment scale on the hydrological and biogeochemical processes that control water and element budgets. The first section provides a background on the principle sites where microcatchments have been studied as part of LBA and the questions that have driven research at these sites. The second section reviews intensive studies of runoff, streamflow, and catchment water balance and how these processes are altered by clearing of tropical forest for pasture. The third section synthesizes what is known about the processes that control the concentrations and export of materials that reach streams via different hydrological flow paths in Amazonian forest and how these processes and flow paths are altered by deforestation and land use change. The fourth section summarizes what we know about how hydrological and biogeochemical processes change with scale and how this understanding can be used to both predict catchment response to land use change and manage Amazonian landscapes to maintain valuable hydrological and biogeochemical functions.", "author" : [ { "dropping-particle" : "", "family" : "Tomasella", "given" : "Javier", "non-dropping-particle" : "", "parse-names" : false, "suffix" : "" }, { "dropping-particle" : "", "family" : "Neill", "given" : "Christopher", "non-dropping-particle" : "", "parse-names" : false, "suffix" : "" }, { "dropping-particle" : "", "family" : "Figueiredo", "given" : "Ricardo", "non-dropping-particle" : "", "parse-names" : false, "suffix" : "" }, { "dropping-particle" : "", "family" : "Nobre", "given" : "Antonio D.", "non-dropping-particle" : "", "parse-names" : false, "suffix" : "" } ], "container-title" : "Geophysical Monograph Series", "editor" : [ { "dropping-particle" : "", "family" : "M. Keller, M. Bustamante", "given" : "J. Gash and P. S. Dias", "non-dropping-particle" : "", "parse-names" : false, "suffix" : "" } ], "id" : "ITEM-2", "issued" : { "date-parts" : [ [ "2009" ] ] }, "page" : "505-524", "title" : "Water and chemical budgets at the catchment scale including nutrient exports from intact forests and disturbed landscapes", "type" : "article-journal", "volume" : "186" }, "uris" : [ "http://www.mendeley.com/documents/?uuid=e2df9233-b2d4-3c47-a4ce-9de47808534d" ] } ], "mendeley" : { "formattedCitation" : "(Cashman, 2014; Tomasella, Neill, Figueiredo, &amp; Nobre, 2009)", "manualFormatting" : "(Cashman, 2014; Tomasella et al., 2009)", "plainTextFormattedCitation" : "(Cashman, 2014; Tomasella, Neill, Figueiredo, &amp; Nobre, 2009)", "previouslyFormattedCitation" : "(Cashman, 2014; Tomasella, Neill, Figueiredo, &amp; Nobre, 2009)" }, "properties" : { "noteIndex" : 0 }, "schema" : "https://github.com/citation-style-language/schema/raw/master/csl-citation.json" }</w:instrText>
      </w:r>
      <w:r w:rsidR="004255E7" w:rsidRPr="008608AA">
        <w:fldChar w:fldCharType="separate"/>
      </w:r>
      <w:r w:rsidR="004255E7" w:rsidRPr="008608AA">
        <w:rPr>
          <w:noProof/>
        </w:rPr>
        <w:t>(Cashman, 2014; Tomasella et al., 2009)</w:t>
      </w:r>
      <w:r w:rsidR="004255E7" w:rsidRPr="008608AA">
        <w:fldChar w:fldCharType="end"/>
      </w:r>
      <w:r w:rsidR="004255E7" w:rsidRPr="008608AA">
        <w:t xml:space="preserve">. The reduction in woody vegetation is also associated with higher soil infiltration </w:t>
      </w:r>
      <w:r w:rsidR="004255E7" w:rsidRPr="008608AA">
        <w:fldChar w:fldCharType="begin" w:fldLock="1"/>
      </w:r>
      <w:r w:rsidR="004255E7" w:rsidRPr="008608AA">
        <w:instrText>ADDIN CSL_CITATION { "citationItems" : [ { "id" : "ITEM-1", "itemData" : { "DOI" : "10.1111/j.1365-2486.2005.01011.x", "ISBN" : "1354-1013", "ISSN" : "13541013", "PMID" : "25246403", "abstract" : "Carbon sequestration programs, including afforestation and reforestation, are gaining attention globally and will alter many ecosystem processes, including water yield. Some previous analyses have addressed deforestation and water yield, while the effects of afforestation on water yield have been considered for some regions. However, to our knowledge no systematic global analysis of the effects of afforestation on water yield has been undertaken. To assess and predict these effects globally, we analyzed 26 catchment data sets with 504 observations, including annual runoff and low flow. We examined changes in the context of several variables, including original vegetation type, plantation species, plantation age, and mean annual precipitation (MAP). All of these variables should be useful for understanding and modeling the effects of afforestation on water yield. We found that annual runoff was reduced on average by 44% (\ufffd3%) and 31% (\ufffd2%) when grasslands and shrublands were afforested, respectively. Eucalypts had a larger impact than other tree species in afforested grasslands (P=0.002), reducing runoff (90) by 75% (\ufffd10%), compared with a 40% (\ufffd3%) average decrease with pines. Runoff losses increased significantly with plantation age for at least 20 years after planting, whether expressed as absolute changes (mm) or as a proportion of predicted runoff (%) (P&lt;0.001). For grasslands, absolute reductions in annual runoff were greatest at wetter sites, but proportional reductions were significantly larger in drier sites (P&lt;0.01 and P&lt;0.001, respectively). Afforestation effects on low flow were similar to those on total annual flow, but proportional reductions were even larger for low flow (P&lt;0.001). These results clearly demonstrate that reductions in runoff can be expected following afforestation of grasslands and shrublands and may be most severe in drier regions. Our results suggest that, in a region where natural runoff is less than 10% of MAP, afforestation should result in a complete loss of runoff; where natural runoff is 30% of precipitation, it will likely be cut by half or more when trees are planted. The possibility that afforestation could cause or intensify water shortages in many locations is a tradeoff that should be explicitly addressed in carbon sequestration programs.", "author" : [ { "dropping-particle" : "", "family" : "Farley", "given" : "Kathleen A.", "non-dropping-particle" : "", "parse-names" : false, "suffix" : "" }, { "dropping-particle" : "", "family" : "Jobb\u00e1gy", "given" : "Esteban G.", "non-dropping-particle" : "", "parse-names" : false, "suffix" : "" }, { "dropping-particle" : "", "family" : "Jackson", "given" : "Robert B.", "non-dropping-particle" : "", "parse-names" : false, "suffix" : "" } ], "container-title" : "Global change biology", "id" : "ITEM-1", "issue" : "10", "issued" : { "date-parts" : [ [ "2005" ] ] }, "page" : "1565-1576", "title" : "Effects of afforestation on water yield: a global synthesis with implications for policy", "type" : "article-journal", "volume" : "11" }, "uris" : [ "http://www.mendeley.com/documents/?uuid=6a3076f4-b3c2-307a-ade1-ea96ed50800e" ] }, { "id" : "ITEM-2", "itemData" : { "DOI" : "10.1002/2016WR018596", "ISBN" : "6176273099", "ISSN" : "19447973", "PMID" : "1000287943", "abstract" : "Quantifying the impact of land use and cover (LUC) change on catchment hydrological response is essential for land-use planning and management. Yet hydrologists are often not able to present consistent and reliable evidence to support such decision-making. The issue tends to be twofold: a scarcity of relevant observations, and the difficulty of regionalizing any existing observations. This study explores the potential of a paired catchment monitoring network to provide statistically robust, regionalized predictions of LUC change impact in an environment of high hydrological variability. We test the importance of LUC variables to explain hydrological responses and to improve regionalized predictions using 24 catchments distributed along the Tropical Andes. For this, we calculate first 50 physical catchment properties, and then select a subset based on correlation analysis. The reduced set is subsequently used to regionalize a selection of hydrological indices using multiple linear regression. Contrary to earlier studies, we find that incorporating LUC variables in the regional model structures increases significantly regression performance and predictive capacity for 66% of the indices. For the runoff ratio, baseflow index, and slope of the flow duration curve, the mean absolute error reduces by 53% and the variance of the residuals by 79%, on average. We attribute the explanatory capacity of LUC in the regional model to the pairwise monitoring setup, which increases the contrast of the land-use signal in the data set. As such, it may be a useful strategy to optimize data collection to support watershed management practices and improve decision-making in data-scarce regions.", "author" : [ { "dropping-particle" : "", "family" : "Ochoa-Tocachi", "given" : "Boris F.", "non-dropping-particle" : "", "parse-names" : false, "suffix" : "" }, { "dropping-particle" : "", "family" : "Buytaert", "given" : "Wouter", "non-dropping-particle" : "", "parse-names" : false, "suffix" : "" }, { "dropping-particle" : "", "family" : "Bi\u00e8vre", "given" : "Bert", "non-dropping-particle" : "De", "parse-names" : false, "suffix" : "" } ], "container-title" : "Water Resources Research", "id" : "ITEM-2", "issue" : "9", "issued" : { "date-parts" : [ [ "2016" ] ] }, "page" : "6710-6729", "title" : "Regionalization of land-use impacts on streamflow using a network of paired catchments", "type" : "article-journal", "volume" : "52" }, "uris" : [ "http://www.mendeley.com/documents/?uuid=21412806-a5e4-36c3-8ad2-269613160e25" ] } ], "mendeley" : { "formattedCitation" : "(Farley, Jobb\u00e1gy, &amp; Jackson, 2005; Ochoa-Tocachi, Buytaert, &amp; De Bi\u00e8vre, 2016)", "manualFormatting" : "(Farley et al., 2005; Ochoa-Tocachi et al., 2016)", "plainTextFormattedCitation" : "(Farley, Jobb\u00e1gy, &amp; Jackson, 2005; Ochoa-Tocachi, Buytaert, &amp; De Bi\u00e8vre, 2016)", "previouslyFormattedCitation" : "(Farley, Jobb\u00e1gy, &amp; Jackson, 2005; Ochoa-Tocachi, Buytaert, &amp; De Bi\u00e8vre, 2016)" }, "properties" : { "noteIndex" : 0 }, "schema" : "https://github.com/citation-style-language/schema/raw/master/csl-citation.json" }</w:instrText>
      </w:r>
      <w:r w:rsidR="004255E7" w:rsidRPr="008608AA">
        <w:fldChar w:fldCharType="separate"/>
      </w:r>
      <w:r w:rsidR="004255E7" w:rsidRPr="008608AA">
        <w:rPr>
          <w:noProof/>
        </w:rPr>
        <w:t>(Farley et al., 2005; Ochoa-Tocachi et al., 2016)</w:t>
      </w:r>
      <w:r w:rsidR="004255E7" w:rsidRPr="008608AA">
        <w:fldChar w:fldCharType="end"/>
      </w:r>
      <w:r w:rsidR="004255E7" w:rsidRPr="008608AA">
        <w:t xml:space="preserve">. Changes in infiltration have been also attributed to the impact of conversion on soils, which are compacted by timber harvesting and cattle grazing </w:t>
      </w:r>
      <w:r w:rsidR="004255E7" w:rsidRPr="008608AA">
        <w:fldChar w:fldCharType="begin" w:fldLock="1"/>
      </w:r>
      <w:r w:rsidR="004255E7" w:rsidRPr="008608AA">
        <w:instrText>ADDIN CSL_CITATION { "citationItems" : [ { "id" : "ITEM-1", "itemData" : { "DOI" : "10.1029/2008GM000727", "ISBN" : "9781118670347", "abstract" : "The objective of this chapter is to summarize current understanding of the hydrological function and nutrient dynamics of Amazonian forest derived from work in microcatchments and how these processes are affected by land use and land cover changes, mainly the conversion of forest to pasture. Our conclusions are based on field observations in catchments located in different regions of Amazonia. This chapter is divided into sections that provide (1) a general overview of small catchment research in LBA and then address (2) runoff and water budgets, (3) the influences of soil, vegetation, and riparian zones on stream chemistry and element budgets, and (4) the potential influence of catchment scale on the hydrological and biogeochemical processes that control water and element budgets. The first section provides a background on the principle sites where microcatchments have been studied as part of LBA and the questions that have driven research at these sites. The second section reviews intensive studies of runoff, streamflow, and catchment water balance and how these processes are altered by clearing of tropical forest for pasture. The third section synthesizes what is known about the processes that control the concentrations and export of materials that reach streams via different hydrological flow paths in Amazonian forest and how these processes and flow paths are altered by deforestation and land use change. The fourth section summarizes what we know about how hydrological and biogeochemical processes change with scale and how this understanding can be used to both predict catchment response to land use change and manage Amazonian landscapes to maintain valuable hydrological and biogeochemical functions.", "author" : [ { "dropping-particle" : "", "family" : "Tomasella", "given" : "Javier", "non-dropping-particle" : "", "parse-names" : false, "suffix" : "" }, { "dropping-particle" : "", "family" : "Neill", "given" : "Christopher", "non-dropping-particle" : "", "parse-names" : false, "suffix" : "" }, { "dropping-particle" : "", "family" : "Figueiredo", "given" : "Ricardo", "non-dropping-particle" : "", "parse-names" : false, "suffix" : "" }, { "dropping-particle" : "", "family" : "Nobre", "given" : "Antonio D.", "non-dropping-particle" : "", "parse-names" : false, "suffix" : "" } ], "container-title" : "Geophysical Monograph Series", "editor" : [ { "dropping-particle" : "", "family" : "M. Keller, M. Bustamante", "given" : "J. Gash and P. S. Dias", "non-dropping-particle" : "", "parse-names" : false, "suffix" : "" } ], "id" : "ITEM-1", "issued" : { "date-parts" : [ [ "2009" ] ] }, "page" : "505-524", "title" : "Water and chemical budgets at the catchment scale including nutrient exports from intact forests and disturbed landscapes", "type" : "article-journal", "volume" : "186" }, "uris" : [ "http://www.mendeley.com/documents/?uuid=e2df9233-b2d4-3c47-a4ce-9de47808534d" ] } ], "mendeley" : { "formattedCitation" : "(Tomasella et al., 2009)", "manualFormatting" : "(Tomasella, et al., 2009)", "plainTextFormattedCitation" : "(Tomasella et al., 2009)", "previouslyFormattedCitation" : "(Tomasella et al., 2009)" }, "properties" : { "noteIndex" : 0 }, "schema" : "https://github.com/citation-style-language/schema/raw/master/csl-citation.json" }</w:instrText>
      </w:r>
      <w:r w:rsidR="004255E7" w:rsidRPr="008608AA">
        <w:fldChar w:fldCharType="separate"/>
      </w:r>
      <w:r w:rsidR="004255E7" w:rsidRPr="008608AA">
        <w:rPr>
          <w:noProof/>
        </w:rPr>
        <w:t>(Tomasella, et al., 2009)</w:t>
      </w:r>
      <w:r w:rsidR="004255E7" w:rsidRPr="008608AA">
        <w:fldChar w:fldCharType="end"/>
      </w:r>
      <w:r w:rsidR="004255E7" w:rsidRPr="008608AA">
        <w:t xml:space="preserve">. The hydrologic impact of forest conversion to pasture depends on grazing intensity, with high-density grazing causing more surface flow </w:t>
      </w:r>
      <w:r w:rsidR="004255E7" w:rsidRPr="008608AA">
        <w:fldChar w:fldCharType="begin" w:fldLock="1"/>
      </w:r>
      <w:r w:rsidR="004255E7" w:rsidRPr="008608AA">
        <w:instrText>ADDIN CSL_CITATION { "citationItems" : [ { "id" : "ITEM-1", "itemData" : { "DOI" : "10.1002/2016WR018596", "ISBN" : "6176273099", "ISSN" : "19447973", "PMID" : "1000287943", "abstract" : "Quantifying the impact of land use and cover (LUC) change on catchment hydrological response is essential for land-use planning and management. Yet hydrologists are often not able to present consistent and reliable evidence to support such decision-making. The issue tends to be twofold: a scarcity of relevant observations, and the difficulty of regionalizing any existing observations. This study explores the potential of a paired catchment monitoring network to provide statistically robust, regionalized predictions of LUC change impact in an environment of high hydrological variability. We test the importance of LUC variables to explain hydrological responses and to improve regionalized predictions using 24 catchments distributed along the Tropical Andes. For this, we calculate first 50 physical catchment properties, and then select a subset based on correlation analysis. The reduced set is subsequently used to regionalize a selection of hydrological indices using multiple linear regression. Contrary to earlier studies, we find that incorporating LUC variables in the regional model structures increases significantly regression performance and predictive capacity for 66% of the indices. For the runoff ratio, baseflow index, and slope of the flow duration curve, the mean absolute error reduces by 53% and the variance of the residuals by 79%, on average. We attribute the explanatory capacity of LUC in the regional model to the pairwise monitoring setup, which increases the contrast of the land-use signal in the data set. As such, it may be a useful strategy to optimize data collection to support watershed management practices and improve decision-making in data-scarce regions.", "author" : [ { "dropping-particle" : "", "family" : "Ochoa-Tocachi", "given" : "Boris F.", "non-dropping-particle" : "", "parse-names" : false, "suffix" : "" }, { "dropping-particle" : "", "family" : "Buytaert", "given" : "Wouter", "non-dropping-particle" : "", "parse-names" : false, "suffix" : "" }, { "dropping-particle" : "", "family" : "Bi\u00e8vre", "given" : "Bert", "non-dropping-particle" : "De", "parse-names" : false, "suffix" : "" } ], "container-title" : "Water Resources Research", "id" : "ITEM-1", "issue" : "9", "issued" : { "date-parts" : [ [ "2016" ] ] }, "page" : "6710-6729", "title" : "Regionalization of land-use impacts on streamflow using a network of paired catchments", "type" : "article-journal", "volume" : "52" }, "uris" : [ "http://www.mendeley.com/documents/?uuid=21412806-a5e4-36c3-8ad2-269613160e25" ] } ], "mendeley" : { "formattedCitation" : "(Ochoa-Tocachi et al., 2016)", "manualFormatting" : "(Ochoa-Tocachi et al., 2016)", "plainTextFormattedCitation" : "(Ochoa-Tocachi et al., 2016)", "previouslyFormattedCitation" : "(Ochoa-Tocachi et al., 2016)" }, "properties" : { "noteIndex" : 0 }, "schema" : "https://github.com/citation-style-language/schema/raw/master/csl-citation.json" }</w:instrText>
      </w:r>
      <w:r w:rsidR="004255E7" w:rsidRPr="008608AA">
        <w:fldChar w:fldCharType="separate"/>
      </w:r>
      <w:r w:rsidR="004255E7" w:rsidRPr="008608AA">
        <w:rPr>
          <w:noProof/>
        </w:rPr>
        <w:t>(Ochoa-Tocachi et al., 2016)</w:t>
      </w:r>
      <w:r w:rsidR="004255E7" w:rsidRPr="008608AA">
        <w:fldChar w:fldCharType="end"/>
      </w:r>
      <w:r w:rsidR="004255E7" w:rsidRPr="008608AA">
        <w:t>. These kinds of links with biodiversity are important for water regulation</w:t>
      </w:r>
      <w:r w:rsidR="004255E7" w:rsidRPr="008608AA">
        <w:rPr>
          <w:color w:val="FF0000"/>
        </w:rPr>
        <w:t>.</w:t>
      </w:r>
      <w:r w:rsidR="004255E7" w:rsidRPr="008608AA">
        <w:t xml:space="preserve"> </w:t>
      </w:r>
    </w:p>
    <w:p w14:paraId="78896C91" w14:textId="43E46E92" w:rsidR="004255E7" w:rsidRPr="008608AA" w:rsidRDefault="004255E7" w:rsidP="00C1178A">
      <w:pPr>
        <w:tabs>
          <w:tab w:val="left" w:pos="8010"/>
        </w:tabs>
        <w:spacing w:after="120"/>
      </w:pPr>
      <w:r w:rsidRPr="008608AA">
        <w:t>Recent trend</w:t>
      </w:r>
      <w:r w:rsidR="00657833" w:rsidRPr="008608AA">
        <w:t xml:space="preserve">s. </w:t>
      </w:r>
      <w:r w:rsidRPr="008608AA">
        <w:t xml:space="preserve">Reduced evapotranspiration can lead to reduced rainfall. Measurements and models of climate impacts of deforestation demonstrate a threshold by which complete deforestation of the tropics would substantially reduce rainfall </w:t>
      </w:r>
      <w:r w:rsidRPr="008608AA">
        <w:fldChar w:fldCharType="begin" w:fldLock="1"/>
      </w:r>
      <w:r w:rsidRPr="008608AA">
        <w:instrText>ADDIN CSL_CITATION { "citationItems" : [ { "id" : "ITEM-1", "itemData" : { "DOI" : "10.1038/nclimate2430", "ISBN" : "1758-678X", "ISSN" : "1758-678X", "abstract" : "Considerable evidence from both modeling and empirical studies indicate that 10 deforestation on many scales influences local, regional, and even global climate. Deforestation-\u00ad\u2010 11 driven changes to water availability and climate variability could have strong implications for 12 agricultural production systems and food security in some regions. Here we present what is 13 known about the impacts of tropical deforestation on climate at a range of spatial scales from 14 global scale modeling studies to point measurements at the plot scale. We describe the 15 commonalities and major differences in deforestation impacts in the three major tropical 16 regions of Amazonia, Central Africa, and Southeast Asia. We also point out key gaps in our 17 understanding and areas of uncertainty where studies have come to conflicting conclusions. 18 Finally, we assess the potential impact of deforestation-\u00ad\u2010driven climatic change on agricultural 19 productivity.", "author" : [ { "dropping-particle" : "", "family" : "Lawrence", "given" : "Deborah", "non-dropping-particle" : "", "parse-names" : false, "suffix" : "" }, { "dropping-particle" : "", "family" : "Vandecar", "given" : "Karen", "non-dropping-particle" : "", "parse-names" : false, "suffix" : "" } ], "container-title" : "Nature Climate Change", "id" : "ITEM-1", "issue" : "1", "issued" : { "date-parts" : [ [ "2015" ] ] }, "page" : "27-36", "title" : "Effects of tropical deforestation on climate and agriculture", "type" : "article-journal", "volume" : "5" }, "uris" : [ "http://www.mendeley.com/documents/?uuid=07a49147-be6d-3955-bc79-823885899b74" ] } ], "mendeley" : { "formattedCitation" : "(Lawrence &amp; Vandecar, 2015)", "manualFormatting" : "(Lawrence &amp; Vandecar, 2015)", "plainTextFormattedCitation" : "(Lawrence &amp; Vandecar, 2015)", "previouslyFormattedCitation" : "(Lawrence &amp; Vandecar, 2015)" }, "properties" : { "noteIndex" : 0 }, "schema" : "https://github.com/citation-style-language/schema/raw/master/csl-citation.json" }</w:instrText>
      </w:r>
      <w:r w:rsidRPr="008608AA">
        <w:fldChar w:fldCharType="separate"/>
      </w:r>
      <w:r w:rsidRPr="008608AA">
        <w:rPr>
          <w:noProof/>
        </w:rPr>
        <w:t>(Lawrence &amp; Vandecar, 2015)</w:t>
      </w:r>
      <w:r w:rsidRPr="008608AA">
        <w:fldChar w:fldCharType="end"/>
      </w:r>
      <w:r w:rsidRPr="008608AA">
        <w:t xml:space="preserve">. More realistic measurements and models of deforestation in the Amazon and non-Amazonian South America, however, show land use change to reduce precipitation only on the order of a few percent </w:t>
      </w:r>
      <w:r w:rsidRPr="008608AA">
        <w:fldChar w:fldCharType="begin" w:fldLock="1"/>
      </w:r>
      <w:r w:rsidRPr="008608AA">
        <w:instrText>ADDIN CSL_CITATION { "citationItems" : [ { "id" : "ITEM-1", "itemData" : { "DOI" : "10.1038/nclimate2430", "ISBN" : "1758-678X", "ISSN" : "1758-678X", "abstract" : "Considerable evidence from both modeling and empirical studies indicate that 10 deforestation on many scales influences local, regional, and even global climate. Deforestation-\u00ad\u2010 11 driven changes to water availability and climate variability could have strong implications for 12 agricultural production systems and food security in some regions. Here we present what is 13 known about the impacts of tropical deforestation on climate at a range of spatial scales from 14 global scale modeling studies to point measurements at the plot scale. We describe the 15 commonalities and major differences in deforestation impacts in the three major tropical 16 regions of Amazonia, Central Africa, and Southeast Asia. We also point out key gaps in our 17 understanding and areas of uncertainty where studies have come to conflicting conclusions. 18 Finally, we assess the potential impact of deforestation-\u00ad\u2010driven climatic change on agricultural 19 productivity.", "author" : [ { "dropping-particle" : "", "family" : "Lawrence", "given" : "Deborah", "non-dropping-particle" : "", "parse-names" : false, "suffix" : "" }, { "dropping-particle" : "", "family" : "Vandecar", "given" : "Karen", "non-dropping-particle" : "", "parse-names" : false, "suffix" : "" } ], "container-title" : "Nature Climate Change", "id" : "ITEM-1", "issue" : "1", "issued" : { "date-parts" : [ [ "2015" ] ] }, "page" : "27-36", "title" : "Effects of tropical deforestation on climate and agriculture", "type" : "article-journal", "volume" : "5" }, "uris" : [ "http://www.mendeley.com/documents/?uuid=07a49147-be6d-3955-bc79-823885899b74" ] } ], "mendeley" : { "formattedCitation" : "(Lawrence &amp; Vandecar, 2015)", "manualFormatting" : "(Lawrence &amp; Vandecar, 2015)", "plainTextFormattedCitation" : "(Lawrence &amp; Vandecar, 2015)", "previouslyFormattedCitation" : "(Lawrence &amp; Vandecar, 2015)" }, "properties" : { "noteIndex" : 0 }, "schema" : "https://github.com/citation-style-language/schema/raw/master/csl-citation.json" }</w:instrText>
      </w:r>
      <w:r w:rsidRPr="008608AA">
        <w:fldChar w:fldCharType="separate"/>
      </w:r>
      <w:r w:rsidRPr="008608AA">
        <w:rPr>
          <w:noProof/>
        </w:rPr>
        <w:t>(Lawrence &amp; Vandecar, 2015)</w:t>
      </w:r>
      <w:r w:rsidRPr="008608AA">
        <w:fldChar w:fldCharType="end"/>
      </w:r>
      <w:r w:rsidRPr="008608AA">
        <w:t xml:space="preserve">. The impact of changing climate on streamflow is complex, and most large rivers worldwide have not changed measurably at this point. Ten of the 14 large rivers that show increasing discharge are in the Americas. These rivers mostly correspond to places where rainfall has measurably increased </w:t>
      </w:r>
      <w:r w:rsidRPr="008608AA">
        <w:fldChar w:fldCharType="begin" w:fldLock="1"/>
      </w:r>
      <w:r w:rsidRPr="008608AA">
        <w:instrText>ADDIN CSL_CITATION { "citationItems" : [ { "id" : "ITEM-1", "itemData" : { "DOI" : "10.1016/j.gloplacha.2008.03.001", "ISBN" : "0921-8181", "ISSN" : "09218181", "abstract" : "During the last half of the 20th century, cumulative annual discharge from 137 representative rivers (watershed areas ranging from 0.3 to 6300 \u00d7 103 km2) to the global ocean remained constant, although annual discharge from about one-third of these rivers changed by more than 30%. Discharge trends for many rivers reflected mostly changes in precipitation, primarily in response to short- and longer-term atmospheric-oceanic signals; with the notable exception of the Parana, Mississippi, Niger and Cunene rivers, few of these \"normal\" rivers experienced significant changes in either discharge or precipitation. Cumulative discharge from many mid-latitude rivers, in contrast, decreased by 60%, reflecting in large part impacts due to damming, irrigation and interbasin water transfers. A number of high-latitude and high-altitude rivers experienced increased discharge despite generally declining precipitation. Poorly constrained meteorological and hydrological data do not seem to explain fully these \"excess\" rivers; changed seasonality in discharge, decreased storage and/or decreased evapotranspiration also may play important roles. \u00a9 2008 Elsevier B.V. All rights reserved.", "author" : [ { "dropping-particle" : "", "family" : "Milliman", "given" : "J D", "non-dropping-particle" : "", "parse-names" : false, "suffix" : "" }, { "dropping-particle" : "", "family" : "Farnsworth", "given" : "K L", "non-dropping-particle" : "", "parse-names" : false, "suffix" : "" }, { "dropping-particle" : "", "family" : "Jones", "given" : "P D", "non-dropping-particle" : "", "parse-names" : false, "suffix" : "" }, { "dropping-particle" : "", "family" : "Xu", "given" : "K H", "non-dropping-particle" : "", "parse-names" : false, "suffix" : "" }, { "dropping-particle" : "", "family" : "Smith", "given" : "L C", "non-dropping-particle" : "", "parse-names" : false, "suffix" : "" } ], "container-title" : "Global and Planetary Change", "id" : "ITEM-1", "issue" : "3", "issued" : { "date-parts" : [ [ "2008" ] ] }, "page" : "187-194", "title" : "Climatic and anthropogenic factors affecting river discharge to the global ocean, 1951-2000", "type" : "article-journal", "volume" : "62" }, "uris" : [ "http://www.mendeley.com/documents/?uuid=0a3397da-234b-33ee-8c04-7369070a5642" ] } ], "mendeley" : { "formattedCitation" : "(Milliman, Farnsworth, Jones, Xu, &amp; Smith, 2008)", "manualFormatting" : "(Milliman et al., 2008)", "plainTextFormattedCitation" : "(Milliman, Farnsworth, Jones, Xu, &amp; Smith, 2008)", "previouslyFormattedCitation" : "(Milliman, Farnsworth, Jones, Xu, &amp; Smith, 2008)" }, "properties" : { "noteIndex" : 0 }, "schema" : "https://github.com/citation-style-language/schema/raw/master/csl-citation.json" }</w:instrText>
      </w:r>
      <w:r w:rsidRPr="008608AA">
        <w:fldChar w:fldCharType="separate"/>
      </w:r>
      <w:r w:rsidRPr="008608AA">
        <w:rPr>
          <w:noProof/>
        </w:rPr>
        <w:t>(Milliman et al., 2008)</w:t>
      </w:r>
      <w:r w:rsidRPr="008608AA">
        <w:fldChar w:fldCharType="end"/>
      </w:r>
      <w:r w:rsidRPr="008608AA">
        <w:t>.</w:t>
      </w:r>
    </w:p>
    <w:p w14:paraId="792CB035" w14:textId="77777777" w:rsidR="00C1178A" w:rsidRPr="008608AA" w:rsidRDefault="00C1178A" w:rsidP="00C1178A">
      <w:pPr>
        <w:tabs>
          <w:tab w:val="left" w:pos="8010"/>
        </w:tabs>
        <w:spacing w:after="120"/>
      </w:pPr>
    </w:p>
    <w:p w14:paraId="4B16DE9A" w14:textId="4270CAE7" w:rsidR="004255E7" w:rsidRPr="008608AA" w:rsidRDefault="004255E7" w:rsidP="005F249C">
      <w:pPr>
        <w:pStyle w:val="Heading4"/>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120" w:line="240" w:lineRule="auto"/>
        <w:ind w:left="0" w:firstLine="0"/>
        <w:rPr>
          <w:szCs w:val="24"/>
          <w:lang w:val="en-US"/>
        </w:rPr>
      </w:pPr>
      <w:bookmarkStart w:id="884" w:name="_Toc502927337"/>
      <w:bookmarkStart w:id="885" w:name="_Toc517393291"/>
      <w:bookmarkStart w:id="886" w:name="_Toc517719032"/>
      <w:bookmarkStart w:id="887" w:name="_Toc517796989"/>
      <w:r w:rsidRPr="008608AA">
        <w:rPr>
          <w:szCs w:val="24"/>
          <w:lang w:val="en-US"/>
        </w:rPr>
        <w:t>Nutrient cycling</w:t>
      </w:r>
      <w:bookmarkEnd w:id="884"/>
      <w:bookmarkEnd w:id="885"/>
      <w:bookmarkEnd w:id="886"/>
      <w:bookmarkEnd w:id="887"/>
      <w:r w:rsidRPr="008608AA">
        <w:rPr>
          <w:szCs w:val="24"/>
          <w:lang w:val="en-US"/>
        </w:rPr>
        <w:t xml:space="preserve"> </w:t>
      </w:r>
    </w:p>
    <w:p w14:paraId="47669163" w14:textId="72805035" w:rsidR="004255E7" w:rsidRPr="008608AA" w:rsidRDefault="00657833" w:rsidP="00C1178A">
      <w:pPr>
        <w:spacing w:after="120"/>
      </w:pPr>
      <w:r w:rsidRPr="008608AA">
        <w:t xml:space="preserve">Status. </w:t>
      </w:r>
      <w:r w:rsidR="004255E7" w:rsidRPr="008608AA">
        <w:t xml:space="preserve">Over the past century, land use change, new agricultural practices, and fossil fuel combustion have drastically disrupted nutrient cycles worldwide </w:t>
      </w:r>
      <w:r w:rsidR="004255E7" w:rsidRPr="008608AA">
        <w:fldChar w:fldCharType="begin" w:fldLock="1"/>
      </w:r>
      <w:r w:rsidR="004255E7" w:rsidRPr="008608AA">
        <w:instrText>ADDIN CSL_CITATION { "citationItems" : [ { "id" : "ITEM-1", "itemData" : { "DOI" : "10.1126/science.1186120", "ISBN" : "0036-8075", "ISSN" : "0036-8075", "PMID" : "20929768", "abstract" : "Atmospheric reactions and slow geological processes controlled Earth\u2019s earliest nitrogen cycle, and by ~2.7 billion years ago, a linked suite of microbial processes evolved to form the modern nitrogen cycle with robust natural feedbacks and controls. Over the past century, however, the development of new agricultural practices to satisfy a growing global demand for food has drastically disrupted the nitrogen cycle. This has led to extensive eutrophication of fresh waters and coastal zones as well as increased inventories of the potent greenhouse gas nitrous oxide (N2O). Microbial processes will ultimately restore balance to the nitrogen cycle, but the damage done by humans to the nitrogen economy of the planet will persist for decades, possibly centuries, if active intervention and careful management strategies are not initiated.", "author" : [ { "dropping-particle" : "", "family" : "Canfield", "given" : "Donald E.", "non-dropping-particle" : "", "parse-names" : false, "suffix" : "" }, { "dropping-particle" : "", "family" : "Glazer", "given" : "Alexander N.", "non-dropping-particle" : "", "parse-names" : false, "suffix" : "" }, { "dropping-particle" : "", "family" : "Falkowski", "given" : "Paul G.", "non-dropping-particle" : "", "parse-names" : false, "suffix" : "" } ], "container-title" : "Science", "id" : "ITEM-1", "issued" : { "date-parts" : [ [ "2010" ] ] }, "page" : "192-196", "title" : "The evolution and future of Earth's nitrogen cycle", "type" : "article-journal", "volume" : "330" }, "uris" : [ "http://www.mendeley.com/documents/?uuid=f12a30e7-a828-4688-9748-da1ae9da8d28" ] } ], "mendeley" : { "formattedCitation" : "(Canfield, Glazer, &amp; Falkowski, 2010)", "manualFormatting" : "(Canfield et al., 2010)", "plainTextFormattedCitation" : "(Canfield, Glazer, &amp; Falkowski, 2010)", "previouslyFormattedCitation" : "(Canfield, Glazer, &amp; Falkowski, 2010)" }, "properties" : { "noteIndex" : 0 }, "schema" : "https://github.com/citation-style-language/schema/raw/master/csl-citation.json" }</w:instrText>
      </w:r>
      <w:r w:rsidR="004255E7" w:rsidRPr="008608AA">
        <w:fldChar w:fldCharType="separate"/>
      </w:r>
      <w:r w:rsidR="004255E7" w:rsidRPr="008608AA">
        <w:rPr>
          <w:noProof/>
        </w:rPr>
        <w:t>(Canfield et al., 2010)</w:t>
      </w:r>
      <w:r w:rsidR="004255E7" w:rsidRPr="008608AA">
        <w:fldChar w:fldCharType="end"/>
      </w:r>
      <w:r w:rsidR="004255E7" w:rsidRPr="008608AA">
        <w:t xml:space="preserve">. Latin America showed high biological nitrogen fixation in native ecosystems until the mid-1990s (26.6 teragrams of nitrogen) and maintained fertilization and legume crops at relatively low rates (5.0 and 3.2 teragrams of nitrogen, respectively). In contrast, North America is characterized by relatively low natural fixation (11.9 teragrams of nitrogen), and high fixation by legume crops (6.0 teragrams of nitrogen) and fertilization (18.3 teragrams of nitrogen) </w:t>
      </w:r>
      <w:r w:rsidR="004255E7" w:rsidRPr="008608AA">
        <w:fldChar w:fldCharType="begin" w:fldLock="1"/>
      </w:r>
      <w:r w:rsidR="004255E7" w:rsidRPr="008608AA">
        <w:instrText>ADDIN CSL_CITATION { "citationItems" : [ { "id" : "ITEM-1", "itemData" : { "DOI" : "10.1007/s10533-004-0370-0", "ISBN" : "1434924130", "ISSN" : "01682563", "PMID" : "18713578", "abstract" : "This paper contrasts the natural and anthropogenic controls on the conversion of unreactive N2 to more reactive forms of nitrogen (Nr). A variety of data sets are used to construct global N budgets for 1860 and the early 1990s and to make projections for the global N budget in 2050. RegionalN budgets for Asia, North America, and other major regions for the early 1990s, as well as the marine N budget, are presented to highlight the dominant fluxes of nitrogen in each region. Important findings are that human activities increasingly dominate the N budget at the global and at most regional scales, the terrestrial and open ocean N budgets are essentially dis- connected, and the fixed forms ofNare accumulating in most environmental reservoirs. The largest uncertainties in our understanding of the N budget at most scales are the rates of natural biological nitrogen fixation, the amount of Nr storage in most environmental reservoirs, and the production rates of N2 by denitrification", "author" : [ { "dropping-particle" : "", "family" : "Galloway", "given" : "J. N.", "non-dropping-particle" : "", "parse-names" : false, "suffix" : "" }, { "dropping-particle" : "", "family" : "Dentener", "given" : "F. J.", "non-dropping-particle" : "", "parse-names" : false, "suffix" : "" }, { "dropping-particle" : "", "family" : "Capone", "given" : "D. G.", "non-dropping-particle" : "", "parse-names" : false, "suffix" : "" }, { "dropping-particle" : "", "family" : "Boyer", "given" : "E. W.", "non-dropping-particle" : "", "parse-names" : false, "suffix" : "" }, { "dropping-particle" : "", "family" : "Howarth", "given" : "R. W.", "non-dropping-particle" : "", "parse-names" : false, "suffix" : "" }, { "dropping-particle" : "", "family" : "Seitzinger", "given" : "S. P.", "non-dropping-particle" : "", "parse-names" : false, "suffix" : "" }, { "dropping-particle" : "", "family" : "Asner", "given" : "G. P.", "non-dropping-particle" : "", "parse-names" : false, "suffix" : "" }, { "dropping-particle" : "", "family" : "Cleveland", "given" : "C. C.", "non-dropping-particle" : "", "parse-names" : false, "suffix" : "" }, { "dropping-particle" : "", "family" : "Green", "given" : "P. A.", "non-dropping-particle" : "", "parse-names" : false, "suffix" : "" }, { "dropping-particle" : "", "family" : "Holland", "given" : "E. A.", "non-dropping-particle" : "", "parse-names" : false, "suffix" : "" }, { "dropping-particle" : "", "family" : "Karl", "given" : "D. M.", "non-dropping-particle" : "", "parse-names" : false, "suffix" : "" }, { "dropping-particle" : "", "family" : "Michaels", "given" : "A. F.", "non-dropping-particle" : "", "parse-names" : false, "suffix" : "" }, { "dropping-particle" : "", "family" : "Porter", "given" : "J. H.", "non-dropping-particle" : "", "parse-names" : false, "suffix" : "" }, { "dropping-particle" : "", "family" : "Townsend", "given" : "A. R.", "non-dropping-particle" : "", "parse-names" : false, "suffix" : "" }, { "dropping-particle" : "", "family" : "V\u00f6r\u00f6smarty", "given" : "C. J.", "non-dropping-particle" : "", "parse-names" : false, "suffix" : "" } ], "container-title" : "Biogeochemistry", "id" : "ITEM-1", "issue" : "2", "issued" : { "date-parts" : [ [ "2004" ] ] }, "page" : "153-226", "title" : "Nitrogen cycles: past, present, and future", "type" : "article-journal", "volume" : "70" }, "uris" : [ "http://www.mendeley.com/documents/?uuid=fdc3db64-ea1b-4268-bf0c-f3e738f7008f" ] } ], "mendeley" : { "formattedCitation" : "(J. N. Galloway et al., 2004)", "manualFormatting" : "(Galloway et al., 2004)", "plainTextFormattedCitation" : "(J. N. Galloway et al., 2004)", "previouslyFormattedCitation" : "(J. N. Galloway et al., 2004)" }, "properties" : { "noteIndex" : 0 }, "schema" : "https://github.com/citation-style-language/schema/raw/master/csl-citation.json" }</w:instrText>
      </w:r>
      <w:r w:rsidR="004255E7" w:rsidRPr="008608AA">
        <w:fldChar w:fldCharType="separate"/>
      </w:r>
      <w:r w:rsidR="004255E7" w:rsidRPr="008608AA">
        <w:rPr>
          <w:noProof/>
        </w:rPr>
        <w:t>(Galloway et al., 2004)</w:t>
      </w:r>
      <w:r w:rsidR="004255E7" w:rsidRPr="008608AA">
        <w:fldChar w:fldCharType="end"/>
      </w:r>
      <w:r w:rsidR="004255E7" w:rsidRPr="008608AA">
        <w:t>. While increased nitrogen input into agricultural ecosystems in the Americas has increased food production, it has promoted a four</w:t>
      </w:r>
      <w:r w:rsidR="007854D8" w:rsidRPr="008608AA">
        <w:t>-</w:t>
      </w:r>
      <w:r w:rsidR="004255E7" w:rsidRPr="008608AA">
        <w:t xml:space="preserve">fold increase in river nitrogen exports and a four- to seven-fold increase in nitrogen emissions to the atmosphere </w:t>
      </w:r>
      <w:r w:rsidR="004255E7" w:rsidRPr="008608AA">
        <w:fldChar w:fldCharType="begin" w:fldLock="1"/>
      </w:r>
      <w:r w:rsidR="004255E7" w:rsidRPr="008608AA">
        <w:instrText>ADDIN CSL_CITATION { "citationItems" : [ { "id" : "ITEM-1", "itemData" : { "DOI" : "10.1007/s10533-004-0370-0", "ISBN" : "1434924130", "ISSN" : "01682563", "PMID" : "18713578", "abstract" : "This paper contrasts the natural and anthropogenic controls on the conversion of unreactive N2 to more reactive forms of nitrogen (Nr). A variety of data sets are used to construct global N budgets for 1860 and the early 1990s and to make projections for the global N budget in 2050. RegionalN budgets for Asia, North America, and other major regions for the early 1990s, as well as the marine N budget, are presented to highlight the dominant fluxes of nitrogen in each region. Important findings are that human activities increasingly dominate the N budget at the global and at most regional scales, the terrestrial and open ocean N budgets are essentially dis- connected, and the fixed forms ofNare accumulating in most environmental reservoirs. The largest uncertainties in our understanding of the N budget at most scales are the rates of natural biological nitrogen fixation, the amount of Nr storage in most environmental reservoirs, and the production rates of N2 by denitrification", "author" : [ { "dropping-particle" : "", "family" : "Galloway", "given" : "J. N.", "non-dropping-particle" : "", "parse-names" : false, "suffix" : "" }, { "dropping-particle" : "", "family" : "Dentener", "given" : "F. J.", "non-dropping-particle" : "", "parse-names" : false, "suffix" : "" }, { "dropping-particle" : "", "family" : "Capone", "given" : "D. G.", "non-dropping-particle" : "", "parse-names" : false, "suffix" : "" }, { "dropping-particle" : "", "family" : "Boyer", "given" : "E. W.", "non-dropping-particle" : "", "parse-names" : false, "suffix" : "" }, { "dropping-particle" : "", "family" : "Howarth", "given" : "R. W.", "non-dropping-particle" : "", "parse-names" : false, "suffix" : "" }, { "dropping-particle" : "", "family" : "Seitzinger", "given" : "S. P.", "non-dropping-particle" : "", "parse-names" : false, "suffix" : "" }, { "dropping-particle" : "", "family" : "Asner", "given" : "G. P.", "non-dropping-particle" : "", "parse-names" : false, "suffix" : "" }, { "dropping-particle" : "", "family" : "Cleveland", "given" : "C. C.", "non-dropping-particle" : "", "parse-names" : false, "suffix" : "" }, { "dropping-particle" : "", "family" : "Green", "given" : "P. A.", "non-dropping-particle" : "", "parse-names" : false, "suffix" : "" }, { "dropping-particle" : "", "family" : "Holland", "given" : "E. A.", "non-dropping-particle" : "", "parse-names" : false, "suffix" : "" }, { "dropping-particle" : "", "family" : "Karl", "given" : "D. M.", "non-dropping-particle" : "", "parse-names" : false, "suffix" : "" }, { "dropping-particle" : "", "family" : "Michaels", "given" : "A. F.", "non-dropping-particle" : "", "parse-names" : false, "suffix" : "" }, { "dropping-particle" : "", "family" : "Porter", "given" : "J. H.", "non-dropping-particle" : "", "parse-names" : false, "suffix" : "" }, { "dropping-particle" : "", "family" : "Townsend", "given" : "A. R.", "non-dropping-particle" : "", "parse-names" : false, "suffix" : "" }, { "dropping-particle" : "", "family" : "V\u00f6r\u00f6smarty", "given" : "C. J.", "non-dropping-particle" : "", "parse-names" : false, "suffix" : "" } ], "container-title" : "Biogeochemistry", "id" : "ITEM-1", "issue" : "2", "issued" : { "date-parts" : [ [ "2004" ] ] }, "page" : "153-226", "title" : "Nitrogen cycles: past, present, and future", "type" : "article-journal", "volume" : "70" }, "uris" : [ "http://www.mendeley.com/documents/?uuid=fdc3db64-ea1b-4268-bf0c-f3e738f7008f" ] } ], "mendeley" : { "formattedCitation" : "(J. N. Galloway et al., 2004)", "manualFormatting" : "(Galloway et al., 2004)", "plainTextFormattedCitation" : "(J. N. Galloway et al., 2004)", "previouslyFormattedCitation" : "(J. N. Galloway et al., 2004)" }, "properties" : { "noteIndex" : 0 }, "schema" : "https://github.com/citation-style-language/schema/raw/master/csl-citation.json" }</w:instrText>
      </w:r>
      <w:r w:rsidR="004255E7" w:rsidRPr="008608AA">
        <w:fldChar w:fldCharType="separate"/>
      </w:r>
      <w:r w:rsidR="004255E7" w:rsidRPr="008608AA">
        <w:rPr>
          <w:noProof/>
        </w:rPr>
        <w:t>(Galloway et al., 2004)</w:t>
      </w:r>
      <w:r w:rsidR="004255E7" w:rsidRPr="008608AA">
        <w:fldChar w:fldCharType="end"/>
      </w:r>
      <w:r w:rsidR="004255E7" w:rsidRPr="008608AA">
        <w:t xml:space="preserve"> resulting in reduced drinking water and air quality, freshwater eutrophication, biodiversity loss, rain acidification, stratospheric ozone depletion, climate change and coastal ecosystem destruction (dead zones). Severe pollution occurs with the discharge of the Mississippi River into the Gulf of Mexico, of several rivers on the eastern coast of North America and from some rivers in South America associated with agriculture </w:t>
      </w:r>
      <w:r w:rsidR="004255E7" w:rsidRPr="008608AA">
        <w:fldChar w:fldCharType="begin" w:fldLock="1"/>
      </w:r>
      <w:r w:rsidR="004255E7" w:rsidRPr="008608AA">
        <w:instrText>ADDIN CSL_CITATION { "citationItems" : [ { "id" : "ITEM-1", "itemData" : { "DOI" : "10.1126/science.1156401", "ISBN" : "0036-8075", "ISSN" : "1095-9203", "PMID" : "18703733", "abstract" : "Dead zones in the coastal oceans have spread exponentially since the 1960s and have serious consequences for ecosystem functioning. The formation of dead zones has been exacerbated by the increase in primary production and consequent worldwide coastal eutrophication fueled by riverine runoff of fertilizers and the burning of fossil fuels. Enhanced primary production results in an accumulation of particulate organic matter, which encourages microbial activity and the consumption of dissolved oxygen in bottom waters. Dead zones have now been reported from more than 400 systems, affecting a total area of more than 245,000 square kilometers, and are probably a key stressor on marine ecosystems.", "author" : [ { "dropping-particle" : "", "family" : "Diaz", "given" : "R.J.", "non-dropping-particle" : "", "parse-names" : false, "suffix" : "" }, { "dropping-particle" : "", "family" : "Rosenberg", "given" : "R.", "non-dropping-particle" : "", "parse-names" : false, "suffix" : "" } ], "container-title" : "Science", "id" : "ITEM-1", "issue" : "5891", "issued" : { "date-parts" : [ [ "2008" ] ] }, "page" : "926-929", "title" : "Spreading dead zones and consequences for marine ecosystems.", "type" : "article-journal", "volume" : "321" }, "uris" : [ "http://www.mendeley.com/documents/?uuid=6a26aae3-1651-4dbb-8e09-23c4e1451802" ] } ], "mendeley" : { "formattedCitation" : "(Diaz &amp; Rosenberg, 2008)", "manualFormatting" : "(Diaz &amp; Rosenberg, 2008)", "plainTextFormattedCitation" : "(Diaz &amp; Rosenberg, 2008)", "previouslyFormattedCitation" : "(Diaz &amp; Rosenberg, 2008)" }, "properties" : { "noteIndex" : 0 }, "schema" : "https://github.com/citation-style-language/schema/raw/master/csl-citation.json" }</w:instrText>
      </w:r>
      <w:r w:rsidR="004255E7" w:rsidRPr="008608AA">
        <w:fldChar w:fldCharType="separate"/>
      </w:r>
      <w:r w:rsidR="004255E7" w:rsidRPr="008608AA">
        <w:rPr>
          <w:noProof/>
        </w:rPr>
        <w:t>(Diaz &amp; Rosenberg, 2008)</w:t>
      </w:r>
      <w:r w:rsidR="004255E7" w:rsidRPr="008608AA">
        <w:fldChar w:fldCharType="end"/>
      </w:r>
      <w:r w:rsidR="004255E7" w:rsidRPr="008608AA">
        <w:t xml:space="preserve">. </w:t>
      </w:r>
    </w:p>
    <w:p w14:paraId="44E45BD4" w14:textId="7811E037" w:rsidR="004255E7" w:rsidRPr="008608AA" w:rsidRDefault="00657833" w:rsidP="00C1178A">
      <w:pPr>
        <w:widowControl w:val="0"/>
        <w:autoSpaceDE w:val="0"/>
        <w:autoSpaceDN w:val="0"/>
        <w:adjustRightInd w:val="0"/>
        <w:spacing w:after="120"/>
      </w:pPr>
      <w:r w:rsidRPr="008608AA">
        <w:t xml:space="preserve">Recent trends. </w:t>
      </w:r>
      <w:r w:rsidR="004255E7" w:rsidRPr="008608AA">
        <w:t xml:space="preserve">As a result of the green revolution, nitrogen inputs increased in the Americas, particularly in South America over the past two decades </w:t>
      </w:r>
      <w:r w:rsidR="004255E7" w:rsidRPr="008608AA">
        <w:fldChar w:fldCharType="begin" w:fldLock="1"/>
      </w:r>
      <w:r w:rsidR="004255E7" w:rsidRPr="008608AA">
        <w:instrText>ADDIN CSL_CITATION { "citationItems" : [ { "id" : "ITEM-1", "itemData" : { "DOI" : "10.1007/s10533-006-9002-1", "ISBN" : "0168-2563", "ISSN" : "01682563", "abstract" : "Human impact on nitrogen cycling, in particular the introduction of reactive nitrogen in terrestrial and aquatic ecosystems, can be examined at multiple scales, from the global impact on atmospheric chemistry to the impact of human activities on soil organic matter and fertility at the scale of square meters. Nevertheless, anthropogenic loading of nitrogen cycling in natural and managed ecosystems can be seen most directly at the regional scale, where concentrated human activity results in disruption of the nitrogen balance, with consequences for biogeochemical cycling and their interactions. Differences in land-use and agricultural practices between North and South America, and the importance of economic drivers that determine the fate of new reactive nitrogen demonstrate a contrasting picture of human impact on N cycling when the consequences are considered at the global vs. the regional scale. In particular, in the Pampa region of Argentina, the central agricultural zone of the country, the expansion of soybean cultivation in the last 20years and the use of synthetic fertilizers have resulted in an influx of reactive nitrogen into these systems, with unexpected consequences for the nitrogen balance. A mass balance of nitrogen for soybean demonstrates that increased nitrogen inputs from biological fixation do not compensate for losses due to seed export, such that most areas under soybean cultivation are currently experiencing a substantive net loss of nitrogen. In addition, other crops that are currently being fertilized still show a net loss of nitrogen also due to the effect of primary exports from these agroecosystems. These simple models demonstrate that socioeconomic factors in large part drive the contrasting effects of anthropogenic impact on nitrogen cycling at global vs. regional scales. The future impact on nitrogen cycling in the Americas requires an integration of both ecological factors and socioeconomic drivers that will ultimately determine human disruption of the nitrogen cycle.", "author" : [ { "dropping-particle" : "", "family" : "Austin", "given" : "Amy T.", "non-dropping-particle" : "", "parse-names" : false, "suffix" : "" }, { "dropping-particle" : "", "family" : "Pi\u00f1eiro", "given" : "Gervasio", "non-dropping-particle" : "", "parse-names" : false, "suffix" : "" }, { "dropping-particle" : "", "family" : "Gonzalez-Polo", "given" : "Marina", "non-dropping-particle" : "", "parse-names" : false, "suffix" : "" } ], "container-title" : "Biogeochemistry", "id" : "ITEM-1", "issued" : { "date-parts" : [ [ "2006" ] ] }, "page" : "45-60", "title" : "More is less: Agricultural impacts on the N cycle in Argentina", "type" : "article-journal", "volume" : "79" }, "uris" : [ "http://www.mendeley.com/documents/?uuid=7995ab1c-a683-4d47-9254-35f2f1c640db" ] } ], "mendeley" : { "formattedCitation" : "(Austin, Pi\u00f1eiro, &amp; Gonzalez-Polo, 2006)", "manualFormatting" : "(Austin et al., 2006)", "plainTextFormattedCitation" : "(Austin, Pi\u00f1eiro, &amp; Gonzalez-Polo, 2006)", "previouslyFormattedCitation" : "(Austin, Pi\u00f1eiro, &amp; Gonzalez-Polo, 2006)" }, "properties" : { "noteIndex" : 0 }, "schema" : "https://github.com/citation-style-language/schema/raw/master/csl-citation.json" }</w:instrText>
      </w:r>
      <w:r w:rsidR="004255E7" w:rsidRPr="008608AA">
        <w:fldChar w:fldCharType="separate"/>
      </w:r>
      <w:r w:rsidR="004255E7" w:rsidRPr="008608AA">
        <w:rPr>
          <w:noProof/>
        </w:rPr>
        <w:t>(Austin et al., 2006)</w:t>
      </w:r>
      <w:r w:rsidR="004255E7" w:rsidRPr="008608AA">
        <w:fldChar w:fldCharType="end"/>
      </w:r>
      <w:r w:rsidR="004255E7" w:rsidRPr="008608AA">
        <w:t xml:space="preserve">. Soybean crops expanded from 17 to more than 46 million ha between 1990 and 2010 </w:t>
      </w:r>
      <w:r w:rsidR="004255E7" w:rsidRPr="008608AA">
        <w:fldChar w:fldCharType="begin" w:fldLock="1"/>
      </w:r>
      <w:r w:rsidR="004255E7" w:rsidRPr="008608AA">
        <w:instrText>ADDIN CSL_CITATION { "citationItems" : [ { "id" : "ITEM-1", "itemData" : { "author" : [ { "dropping-particle" : "", "family" : "FAO", "given" : "", "non-dropping-particle" : "", "parse-names" : false, "suffix" : "" } ], "container-title" : "Food and Agriculture Organization of the United Nations.", "id" : "ITEM-1", "issued" : { "date-parts" : [ [ "2011" ] ] }, "publisher-place" : "Rome, Italy", "title" : "The State of Forest Resources- a Regional Analysis. In State of the World\u2019s Forests", "type" : "report" }, "uris" : [ "http://www.mendeley.com/documents/?uuid=90002476-468d-4708-893f-9105a935b351" ] } ], "mendeley" : { "formattedCitation" : "(FAO, 2011)", "plainTextFormattedCitation" : "(FAO, 2011)", "previouslyFormattedCitation" : "(FAO, 2011)" }, "properties" : { "noteIndex" : 0 }, "schema" : "https://github.com/citation-style-language/schema/raw/master/csl-citation.json" }</w:instrText>
      </w:r>
      <w:r w:rsidR="004255E7" w:rsidRPr="008608AA">
        <w:fldChar w:fldCharType="separate"/>
      </w:r>
      <w:r w:rsidR="004255E7" w:rsidRPr="008608AA">
        <w:rPr>
          <w:noProof/>
        </w:rPr>
        <w:t>(FAO, 2011)</w:t>
      </w:r>
      <w:r w:rsidR="004255E7" w:rsidRPr="008608AA">
        <w:fldChar w:fldCharType="end"/>
      </w:r>
      <w:r w:rsidR="004255E7" w:rsidRPr="008608AA">
        <w:t xml:space="preserve">. Some 48% of all croplands in southern South America (Brazil, Argentina, Uruguay, Paraguay, and Bolivia) are soybean </w:t>
      </w:r>
      <w:r w:rsidR="004255E7" w:rsidRPr="008608AA">
        <w:fldChar w:fldCharType="begin" w:fldLock="1"/>
      </w:r>
      <w:r w:rsidR="004255E7" w:rsidRPr="008608AA">
        <w:instrText>ADDIN CSL_CITATION { "citationItems" : [ { "id" : "ITEM-1", "itemData" : { "author" : [ { "dropping-particle" : "", "family" : "FAO", "given" : "", "non-dropping-particle" : "", "parse-names" : false, "suffix" : "" } ], "container-title" : "Food and Agriculture Organization of the United Nations.", "id" : "ITEM-1", "issued" : { "date-parts" : [ [ "2011" ] ] }, "publisher-place" : "Rome, Italy", "title" : "The State of Forest Resources- a Regional Analysis. In State of the World\u2019s Forests", "type" : "report" }, "uris" : [ "http://www.mendeley.com/documents/?uuid=90002476-468d-4708-893f-9105a935b351" ] } ], "mendeley" : { "formattedCitation" : "(FAO, 2011)", "plainTextFormattedCitation" : "(FAO, 2011)", "previouslyFormattedCitation" : "(FAO, 2011)" }, "properties" : { "noteIndex" : 0 }, "schema" : "https://github.com/citation-style-language/schema/raw/master/csl-citation.json" }</w:instrText>
      </w:r>
      <w:r w:rsidR="004255E7" w:rsidRPr="008608AA">
        <w:fldChar w:fldCharType="separate"/>
      </w:r>
      <w:r w:rsidR="004255E7" w:rsidRPr="008608AA">
        <w:rPr>
          <w:noProof/>
        </w:rPr>
        <w:t>(FAO, 2011)</w:t>
      </w:r>
      <w:r w:rsidR="004255E7" w:rsidRPr="008608AA">
        <w:fldChar w:fldCharType="end"/>
      </w:r>
      <w:r w:rsidR="004255E7" w:rsidRPr="008608AA">
        <w:t xml:space="preserve">. In addition, both North and South America have become key grain exporters; currently around 8 teragrams of nitrogen are being exported from the Americas, mainly to Europe and Asia, while around 6 teragrams of nitrogen come back as fertilizers, generating an imbalance in the region of 2 teragrams of nitrogen per year as a result of international trade </w:t>
      </w:r>
      <w:r w:rsidR="004255E7" w:rsidRPr="008608AA">
        <w:fldChar w:fldCharType="begin" w:fldLock="1"/>
      </w:r>
      <w:r w:rsidR="004255E7" w:rsidRPr="008608AA">
        <w:instrText>ADDIN CSL_CITATION { "citationItems" : [ { "id" : "ITEM-1", "itemData" : { "DOI" : "10.1126/science.1136674", "ISBN" : "0036-8075", "ISSN" : "0036-8075", "PMID" : "18487183", "abstract" : "Humans continue to transform the global nitrogen cycle at a record pace, reflecting an increased combustion of fossil fuels, growing demand for nitrogen in agriculture and industry, and pervasive inefficiencies in its use. Much anthropogenic nitrogen is lost to air, water, and land to cause a cascade of environmental and human health problems. Simultaneously, food production in some parts of the world is nitrogen-deficient, highlighting inequities in the distribution of nitrogen-containing fertilizers. Optimizing the need for a key human resource while minimizing its negative consequences requires an integrated interdisciplinary approach and the development of strategies to decrease nitrogen-containing waste.", "author" : [ { "dropping-particle" : "", "family" : "Galloway", "given" : "James N.", "non-dropping-particle" : "", "parse-names" : false, "suffix" : "" }, { "dropping-particle" : "", "family" : "Townsend", "given" : "Alan R.", "non-dropping-particle" : "", "parse-names" : false, "suffix" : "" }, { "dropping-particle" : "", "family" : "Erisman", "given" : "Jan Willem", "non-dropping-particle" : "", "parse-names" : false, "suffix" : "" }, { "dropping-particle" : "", "family" : "Bekunda", "given" : "Mateete", "non-dropping-particle" : "", "parse-names" : false, "suffix" : "" }, { "dropping-particle" : "", "family" : "Cai", "given" : "Zucong", "non-dropping-particle" : "", "parse-names" : false, "suffix" : "" }, { "dropping-particle" : "", "family" : "Freney", "given" : "John R.", "non-dropping-particle" : "", "parse-names" : false, "suffix" : "" }, { "dropping-particle" : "", "family" : "Martinelli", "given" : "Luiz A.", "non-dropping-particle" : "", "parse-names" : false, "suffix" : "" }, { "dropping-particle" : "", "family" : "Seitzinger", "given" : "Sybil P.", "non-dropping-particle" : "", "parse-names" : false, "suffix" : "" }, { "dropping-particle" : "", "family" : "Sutton", "given" : "Mark A.", "non-dropping-particle" : "", "parse-names" : false, "suffix" : "" } ], "container-title" : "Science", "id" : "ITEM-1", "issue" : "5878", "issued" : { "date-parts" : [ [ "2008" ] ] }, "page" : "889-892", "title" : "Transformation of the nitrogen cycle: recent trends, questions, and potential solutions", "type" : "article-journal", "volume" : "320" }, "uris" : [ "http://www.mendeley.com/documents/?uuid=544b7676-9bf5-4746-b607-1d81ee7f50a7" ] } ], "mendeley" : { "formattedCitation" : "(James N. Galloway et al., 2008)", "manualFormatting" : "(Galloway et al., 2008)", "plainTextFormattedCitation" : "(James N. Galloway et al., 2008)", "previouslyFormattedCitation" : "(James N. Galloway et al., 2008)" }, "properties" : { "noteIndex" : 0 }, "schema" : "https://github.com/citation-style-language/schema/raw/master/csl-citation.json" }</w:instrText>
      </w:r>
      <w:r w:rsidR="004255E7" w:rsidRPr="008608AA">
        <w:fldChar w:fldCharType="separate"/>
      </w:r>
      <w:r w:rsidR="004255E7" w:rsidRPr="008608AA">
        <w:rPr>
          <w:noProof/>
        </w:rPr>
        <w:t>(Galloway et al., 2008)</w:t>
      </w:r>
      <w:r w:rsidR="004255E7" w:rsidRPr="008608AA">
        <w:fldChar w:fldCharType="end"/>
      </w:r>
      <w:r w:rsidR="004255E7" w:rsidRPr="008608AA">
        <w:t xml:space="preserve">. However, the Americas show a better nutrient balance in agricultural systems than other regions of the world </w:t>
      </w:r>
      <w:r w:rsidR="004255E7" w:rsidRPr="008608AA">
        <w:fldChar w:fldCharType="begin" w:fldLock="1"/>
      </w:r>
      <w:r w:rsidR="004255E7" w:rsidRPr="008608AA">
        <w:instrText>ADDIN CSL_CITATION { "citationItems" : [ { "id" : "ITEM-1", "itemData" : { "DOI" : "10.1126/science.1170261", "ISBN" : "0036-8075\\r1095-9203", "ISSN" : "0036-8075", "PMID" : "267130600026", "author" : [ { "dropping-particle" : "", "family" : "Vitousek", "given" : "P.M.", "non-dropping-particle" : "", "parse-names" : false, "suffix" : "" }, { "dropping-particle" : "", "family" : "Naylor", "given" : "R.", "non-dropping-particle" : "", "parse-names" : false, "suffix" : "" }, { "dropping-particle" : "", "family" : "Crews", "given" : "T.", "non-dropping-particle" : "", "parse-names" : false, "suffix" : "" }, { "dropping-particle" : "", "family" : "David", "given" : "M.B.", "non-dropping-particle" : "", "parse-names" : false, "suffix" : "" }, { "dropping-particle" : "", "family" : "Drinkwater", "given" : "L.E.", "non-dropping-particle" : "", "parse-names" : false, "suffix" : "" }, { "dropping-particle" : "", "family" : "Holland", "given" : "E.", "non-dropping-particle" : "", "parse-names" : false, "suffix" : "" }, { "dropping-particle" : "", "family" : "Johnes", "given" : "P.J.", "non-dropping-particle" : "", "parse-names" : false, "suffix" : "" }, { "dropping-particle" : "", "family" : "Katzenberger", "given" : "J.", "non-dropping-particle" : "", "parse-names" : false, "suffix" : "" }, { "dropping-particle" : "", "family" : "Martinelli", "given" : "L.A.", "non-dropping-particle" : "", "parse-names" : false, "suffix" : "" }, { "dropping-particle" : "", "family" : "Matson", "given" : "P.A.", "non-dropping-particle" : "", "parse-names" : false, "suffix" : "" }, { "dropping-particle" : "", "family" : "Nziguheba", "given" : "G.", "non-dropping-particle" : "", "parse-names" : false, "suffix" : "" }, { "dropping-particle" : "", "family" : "Ojima", "given" : "D.", "non-dropping-particle" : "", "parse-names" : false, "suffix" : "" }, { "dropping-particle" : "", "family" : "Palm", "given" : "C.A.", "non-dropping-particle" : "", "parse-names" : false, "suffix" : "" }, { "dropping-particle" : "", "family" : "Robertson", "given" : "G.P.", "non-dropping-particle" : "", "parse-names" : false, "suffix" : "" }, { "dropping-particle" : "", "family" : "Sanchez", "given" : "P.A.", "non-dropping-particle" : "", "parse-names" : false, "suffix" : "" }, { "dropping-particle" : "", "family" : "Townsend", "given" : "A.R.", "non-dropping-particle" : "", "parse-names" : false, "suffix" : "" }, { "dropping-particle" : "", "family" : "Zhang", "given" : "F.S.", "non-dropping-particle" : "", "parse-names" : false, "suffix" : "" } ], "container-title" : "Science", "id" : "ITEM-1", "issue" : "5934", "issued" : { "date-parts" : [ [ "2009" ] ] }, "page" : "1519-1520", "title" : "Nutrient imbalances in agricultural development", "type" : "article-journal", "volume" : "324" }, "uris" : [ "http://www.mendeley.com/documents/?uuid=179f56e2-04de-4a0b-a987-8f9bb3f4c632" ] } ], "mendeley" : { "formattedCitation" : "(Vitousek et al., 2009)", "manualFormatting" : "(Vitousek et al., 2009)", "plainTextFormattedCitation" : "(Vitousek et al., 2009)", "previouslyFormattedCitation" : "(Vitousek et al., 2009)" }, "properties" : { "noteIndex" : 0 }, "schema" : "https://github.com/citation-style-language/schema/raw/master/csl-citation.json" }</w:instrText>
      </w:r>
      <w:r w:rsidR="004255E7" w:rsidRPr="008608AA">
        <w:fldChar w:fldCharType="separate"/>
      </w:r>
      <w:r w:rsidR="004255E7" w:rsidRPr="008608AA">
        <w:rPr>
          <w:noProof/>
        </w:rPr>
        <w:t>(Vitousek et al., 2009)</w:t>
      </w:r>
      <w:r w:rsidR="004255E7" w:rsidRPr="008608AA">
        <w:fldChar w:fldCharType="end"/>
      </w:r>
      <w:r w:rsidR="004255E7" w:rsidRPr="008608AA">
        <w:t xml:space="preserve">. Although technology is available for improved nutrient recycling in cities and farms, it is seldom used in the Americas </w:t>
      </w:r>
      <w:r w:rsidR="004255E7" w:rsidRPr="008608AA">
        <w:fldChar w:fldCharType="begin" w:fldLock="1"/>
      </w:r>
      <w:r w:rsidR="004255E7" w:rsidRPr="008608AA">
        <w:instrText>ADDIN CSL_CITATION { "citationItems" : [ { "id" : "ITEM-1", "itemData" : { "DOI" : "10.1016/S0167-8809(98)00140-6", "ISBN" : "0167-8809", "ISSN" : "01678809", "abstract" : "One of the biggest challenges in the tropics is to develop organic matter technologies which are adopted by the farmers. Technologies must be effective within farmer resource constraints, increase food production, reduce risk and enhance the soil fertility. Results from on-farm participatory research were used to quantify the effects of agronomic practices on soil resources. Agricultural productivity is primarily nitrogen (N) limited throughout Malawi, and sub-humid Zimbabwe. Tightening economic constraints faced by farmers in the region have reduced inorganic fertilizer inputs and necessitate increased reliance on biologically-fixed N and N cycling. Three components of organic matter technology were evaluated: (1) the effects of residue quality; (2) the role of deep rooting systems; and (3) tradeoffs between legumes grown for grain versus soil regeneration. Perennial systems investigated include improved fallows, intercropping, and biomass transfer. Annual systems include intercrops and rotations of cereals with legumes. The most promising non-food legumes were Tephrosia and Sesbania. Interestingly, high quality residues of perennial legumes were most effective at supplying N in the short to medium term, whereas low quality residues immobilised N. Low quality residues were problematic for smallholder farmers who need immediately available N. Challenges to adoption of perennial system technologies include establishment costs, resource competition and delayed benefits. Farmer adoption of annual grain legumes is promoted by the simultaneous production of food; however, those species which have a high N harvest index add little to no net N to the soil. Species that combine some grain yield with high root and leaf biomass, thus a low N harvest offer a useful compromise of meeting farmer food security concerns and improving soil fertility. Promising genotypes include Arachis, Cajanus, Dolichos and Mucuna spp. On-farm N budgets indicate that legumes with high quality residues and deep root systems are effective ways at improving nutrient cycling. Areas of future research priority for smallholder farms in southern Africa were identified, including technologies which combine inorganic and organic fertilizer and improve legume growth and establishment on degraded soils.", "author" : [ { "dropping-particle" : "", "family" : "Snapp", "given" : "S. S.", "non-dropping-particle" : "", "parse-names" : false, "suffix" : "" }, { "dropping-particle" : "", "family" : "Mafongoya", "given" : "P. L.", "non-dropping-particle" : "", "parse-names" : false, "suffix" : "" }, { "dropping-particle" : "", "family" : "Waddington", "given" : "S", "non-dropping-particle" : "", "parse-names" : false, "suffix" : "" } ], "container-title" : "Agriculture, Ecosystems and Environment", "id" : "ITEM-1", "issue" : "1-3", "issued" : { "date-parts" : [ [ "1998" ] ] }, "page" : "185-200", "title" : "Organic matter technologies for integrated nutrient management in smallholder cropping systems of southern Africa", "type" : "article-journal", "volume" : "71" }, "uris" : [ "http://www.mendeley.com/documents/?uuid=5b582dec-6056-367a-82a5-48d71a94a3b8" ] }, { "id" : "ITEM-2", "itemData" : { "author" : [ { "dropping-particle" : "", "family" : "Grimm", "given" : "N.B.", "non-dropping-particle" : "", "parse-names" : false, "suffix" : "" }, { "dropping-particle" : "", "family" : "Cook", "given" : "E.M.", "non-dropping-particle" : "", "parse-names" : false, "suffix" : "" }, { "dropping-particle" : "", "family" : "Hale", "given" : "R.L.", "non-dropping-particle" : "", "parse-names" : false, "suffix" : "" }, { "dropping-particle" : "", "family" : "Iwaniec", "given" : "D. M.", "non-dropping-particle" : "", "parse-names" : false, "suffix" : "" }, { "dropping-particle" : "", "family" : "Seto", "given" : "K. C.", "non-dropping-particle" : "", "parse-names" : false, "suffix" : "" }, { "dropping-particle" : "", "family" : "Solecki", "given" : "W.", "non-dropping-particle" : "", "parse-names" : false, "suffix" : "" }, { "dropping-particle" : "", "family" : "Griffith", "given" : "C.A.", "non-dropping-particle" : "", "parse-names" : false, "suffix" : "" } ], "container-title" : "The Routledge Handbook of Urbanization and Global Environmental Change", "editor" : [ { "dropping-particle" : "", "family" : "Seto", "given" : "K.C.", "non-dropping-particle" : "", "parse-names" : false, "suffix" : "" }, { "dropping-particle" : "", "family" : "Solecki", "given" : "W.D.", "non-dropping-particle" : "", "parse-names" : false, "suffix" : "" }, { "dropping-particle" : "", "family" : "Griffith", "given" : "C.A.", "non-dropping-particle" : "", "parse-names" : false, "suffix" : "" } ], "id" : "ITEM-2", "issued" : { "date-parts" : [ [ "2015" ] ] }, "page" : "203-212", "publisher" : "Routeledge Taylor &amp; Francis Group", "publisher-place" : "New York, USA", "title" : "A broader framing of ecosystem services in cities: benefits and challenges of built, natural, or hybrid system function", "type" : "chapter" }, "uris" : [ "http://www.mendeley.com/documents/?uuid=8225e8a9-383d-484e-adf5-f132d332f6b4" ] } ], "mendeley" : { "formattedCitation" : "(N.B. Grimm et al., 2015; Snapp, Mafongoya, &amp; Waddington, 1998)", "manualFormatting" : "(Grimm et al., 2015; Snapp at al., 1998)", "plainTextFormattedCitation" : "(N.B. Grimm et al., 2015; Snapp, Mafongoya, &amp; Waddington, 1998)", "previouslyFormattedCitation" : "(N.B. Grimm et al., 2015; Snapp, Mafongoya, &amp; Waddington, 1998)" }, "properties" : { "noteIndex" : 0 }, "schema" : "https://github.com/citation-style-language/schema/raw/master/csl-citation.json" }</w:instrText>
      </w:r>
      <w:r w:rsidR="004255E7" w:rsidRPr="008608AA">
        <w:fldChar w:fldCharType="separate"/>
      </w:r>
      <w:r w:rsidR="004255E7" w:rsidRPr="008608AA">
        <w:rPr>
          <w:noProof/>
        </w:rPr>
        <w:t>(Grimm et al., 2015; Snapp at al., 1998)</w:t>
      </w:r>
      <w:r w:rsidR="004255E7" w:rsidRPr="008608AA">
        <w:fldChar w:fldCharType="end"/>
      </w:r>
      <w:r w:rsidR="004255E7" w:rsidRPr="008608AA">
        <w:t xml:space="preserve">. The use of legumes and catch crops </w:t>
      </w:r>
      <w:r w:rsidR="00F65807" w:rsidRPr="008608AA">
        <w:t>(i.e. fast-growing crop</w:t>
      </w:r>
      <w:r w:rsidR="007854D8" w:rsidRPr="008608AA">
        <w:t>s</w:t>
      </w:r>
      <w:r w:rsidR="00F65807" w:rsidRPr="008608AA">
        <w:t xml:space="preserve"> that </w:t>
      </w:r>
      <w:r w:rsidR="007854D8" w:rsidRPr="008608AA">
        <w:t>are</w:t>
      </w:r>
      <w:r w:rsidR="00F65807" w:rsidRPr="008608AA">
        <w:t xml:space="preserve"> grown between successive plantings of a main crop) </w:t>
      </w:r>
      <w:r w:rsidR="004255E7" w:rsidRPr="008608AA">
        <w:t xml:space="preserve">to tighten or close the nitrogen cycle via synchronization of nutrient uptake and mineralization to avoid nutrient loses is a challenging issue for the Americas. </w:t>
      </w:r>
    </w:p>
    <w:p w14:paraId="2D6971A6" w14:textId="77777777" w:rsidR="00C1178A" w:rsidRPr="008608AA" w:rsidRDefault="00C1178A" w:rsidP="00C1178A">
      <w:pPr>
        <w:widowControl w:val="0"/>
        <w:autoSpaceDE w:val="0"/>
        <w:autoSpaceDN w:val="0"/>
        <w:adjustRightInd w:val="0"/>
        <w:spacing w:after="120"/>
      </w:pPr>
    </w:p>
    <w:p w14:paraId="07A3BE31" w14:textId="77777777" w:rsidR="004255E7" w:rsidRPr="008608AA" w:rsidRDefault="004255E7" w:rsidP="00C1178A">
      <w:pPr>
        <w:pStyle w:val="Heading3"/>
      </w:pPr>
      <w:bookmarkStart w:id="888" w:name="_Toc502927338"/>
      <w:bookmarkStart w:id="889" w:name="_Toc502951164"/>
      <w:bookmarkStart w:id="890" w:name="_Toc502953607"/>
      <w:bookmarkStart w:id="891" w:name="_Toc502954900"/>
      <w:bookmarkStart w:id="892" w:name="_Toc502957707"/>
      <w:bookmarkStart w:id="893" w:name="_Toc502957906"/>
      <w:bookmarkStart w:id="894" w:name="_Toc502958060"/>
      <w:bookmarkStart w:id="895" w:name="_Toc503293108"/>
      <w:bookmarkStart w:id="896" w:name="_Toc503293706"/>
      <w:bookmarkStart w:id="897" w:name="_Toc503293968"/>
      <w:bookmarkStart w:id="898" w:name="_Toc503863361"/>
      <w:bookmarkStart w:id="899" w:name="_Toc503863589"/>
      <w:bookmarkStart w:id="900" w:name="_Toc517393292"/>
      <w:bookmarkStart w:id="901" w:name="_Toc517719033"/>
      <w:bookmarkStart w:id="902" w:name="_Toc517796990"/>
      <w:r w:rsidRPr="008608AA">
        <w:t>Status and trends of terrestrial biodiversity</w:t>
      </w:r>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p>
    <w:p w14:paraId="6508C882" w14:textId="77777777" w:rsidR="00E714CA" w:rsidRPr="008608AA" w:rsidRDefault="00E714CA" w:rsidP="00E714CA">
      <w:pPr>
        <w:rPr>
          <w:lang w:val="en-GB" w:eastAsia="es-CO"/>
        </w:rPr>
      </w:pPr>
    </w:p>
    <w:p w14:paraId="2FC4200A" w14:textId="7C24DE19" w:rsidR="004255E7" w:rsidRPr="008608AA" w:rsidRDefault="004255E7" w:rsidP="00C1178A">
      <w:pPr>
        <w:pStyle w:val="Heading4"/>
      </w:pPr>
      <w:bookmarkStart w:id="903" w:name="_Toc502927339"/>
      <w:bookmarkStart w:id="904" w:name="_Toc517393293"/>
      <w:bookmarkStart w:id="905" w:name="_Toc517719034"/>
      <w:bookmarkStart w:id="906" w:name="_Toc517796991"/>
      <w:r w:rsidRPr="008608AA">
        <w:t>Land cover status and trends</w:t>
      </w:r>
      <w:bookmarkEnd w:id="903"/>
      <w:bookmarkEnd w:id="904"/>
      <w:bookmarkEnd w:id="905"/>
      <w:bookmarkEnd w:id="906"/>
    </w:p>
    <w:p w14:paraId="5F353826" w14:textId="6C335953" w:rsidR="00C1178A" w:rsidRPr="008608AA" w:rsidRDefault="004255E7" w:rsidP="00C1178A">
      <w:r w:rsidRPr="008608AA">
        <w:t>With better technology and availability of country surveys, we now have fairly reliable estimates of land cover in the Americas, especially for forests (Figures 3.2. and 3.3). More than two-thirds of the Americas is composed of closed to open vegetation, including forests, savannas, and grasslands, as well as mosaics of those vegetation types. About 16% of the region is occupied exclusively by croplands (</w:t>
      </w:r>
      <w:r w:rsidR="00847F60" w:rsidRPr="008608AA">
        <w:t>e.g.</w:t>
      </w:r>
      <w:r w:rsidRPr="008608AA">
        <w:t xml:space="preserve"> corn, soybeans, wheat, sugarcane, and grazing land) and 1% by urban or bare land </w:t>
      </w:r>
      <w:r w:rsidRPr="008608AA">
        <w:rPr>
          <w:b/>
        </w:rPr>
        <w:fldChar w:fldCharType="begin" w:fldLock="1"/>
      </w:r>
      <w:r w:rsidRPr="008608AA">
        <w:rPr>
          <w:b/>
        </w:rPr>
        <w:instrText>ADDIN CSL_CITATION { "citationItems" : [ { "id" : "ITEM-1", "itemData" : { "DOI" : "10.1111/geb.12182", "ISBN" : "1466-8238", "ISSN" : "14668238", "PMID" : "97448066", "abstract" : "Aim\\n\\nFor many applications in biodiversity and ecology, existing remote sensing-derived land-cover products have limitations due to among-product inconsistency and their typically non-continuous nature. Here we aim to help address these shortcomings by generating a 1-km resolution global product that provides scale-integrated and accuracy-weighted consensus land-cover information on an approximately continuous scale.\\n\\n\\nLocation\\n\\nGlobal.\\n\\n\\nMethods\\n\\nUsing a generalized classification scheme and an accuracy-based integration approach, we integrated four global land-cover products. We evaluated the performance of this product compared with inputs for estimating subpixel 30-m resolution land cover. We also compared the accuracy of deductive and inductive species distribution models built with the different products for modelling the continental distributions of six avian habitat specialists.\\n\\n\\nResults\\n\\nOur product offers accuracy-weighted consensus information on the prevalence of 12 land-cover classes within every nominal 1-km pixel across the globe (except for Antarctica). Compared with the four base products, it better captures the land-cover information contained in the fine-grain validation data for all classes combined and for most individual classes. It also has the highest sensitivity and overall accuracy for detecting the presence of every fine-grain land-cover class. Both deductive and inductive models built with the consensus dataset have the highest or second highest accuracy for modelling bird species distributions.\\n\\n\\nMain conclusions\\n\\nOur consensus product integrates the four base products and successfully maximizes accuracy and reduces errors of omission. Specifically, the consensus product reduces limitations caused by misclassifications, false absence rates and the categorical format of existing land-cover products. Consequently, it surpasses single base products in the ability to capture subpixel land-cover information and the utility for modelling species distributions. Both the presented methodology and the consensus product have multiple applications in biodiversity research and for understanding and modelling of global terrestrial ecosystems.", "author" : [ { "dropping-particle" : "", "family" : "Tuanmu", "given" : "Mao Ning", "non-dropping-particle" : "", "parse-names" : false, "suffix" : "" }, { "dropping-particle" : "", "family" : "Jetz", "given" : "Walter", "non-dropping-particle" : "", "parse-names" : false, "suffix" : "" } ], "container-title" : "Global Ecology and Biogeography", "id" : "ITEM-1", "issue" : "9", "issued" : { "date-parts" : [ [ "2014" ] ] }, "page" : "1031-1045", "title" : "A global 1-km consensus land-cover product for biodiversity and ecosystem modellingxxx", "type" : "article-journal", "volume" : "23" }, "uris" : [ "http://www.mendeley.com/documents/?uuid=90e898e4-73b9-48b0-bbbb-ccb14d3e5d91" ] } ], "mendeley" : { "formattedCitation" : "(Tuanmu &amp; Jetz, 2014)", "plainTextFormattedCitation" : "(Tuanmu &amp; Jetz, 2014)", "previouslyFormattedCitation" : "(Tuanmu &amp; Jetz, 2014)" }, "properties" : { "noteIndex" : 0 }, "schema" : "https://github.com/citation-style-language/schema/raw/master/csl-citation.json" }</w:instrText>
      </w:r>
      <w:r w:rsidRPr="008608AA">
        <w:rPr>
          <w:b/>
        </w:rPr>
        <w:fldChar w:fldCharType="separate"/>
      </w:r>
      <w:r w:rsidRPr="008608AA">
        <w:rPr>
          <w:noProof/>
        </w:rPr>
        <w:t>(Tuanmu &amp; Jetz, 2014)</w:t>
      </w:r>
      <w:r w:rsidRPr="008608AA">
        <w:rPr>
          <w:b/>
        </w:rPr>
        <w:fldChar w:fldCharType="end"/>
      </w:r>
      <w:r w:rsidRPr="008608AA">
        <w:t>.</w:t>
      </w:r>
    </w:p>
    <w:p w14:paraId="1E727ECB" w14:textId="1C5FB31C" w:rsidR="00C1178A" w:rsidRPr="008608AA" w:rsidRDefault="00B2242D" w:rsidP="00C1178A">
      <w:pPr>
        <w:spacing w:before="120"/>
        <w:jc w:val="center"/>
      </w:pPr>
      <w:r w:rsidRPr="008608AA">
        <w:rPr>
          <w:noProof/>
          <w:lang w:val="en-GB" w:eastAsia="en-GB"/>
        </w:rPr>
        <w:drawing>
          <wp:inline distT="0" distB="0" distL="0" distR="0" wp14:anchorId="79241648" wp14:editId="08F597BF">
            <wp:extent cx="5934075" cy="2543175"/>
            <wp:effectExtent l="0" t="0" r="9525" b="9525"/>
            <wp:docPr id="253" name="Imagen 253" descr="C:\Users\Alejandro Valderrama\Downloads\Fig3.2-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9" descr="C:\Users\Alejandro Valderrama\Downloads\Fig3.2-V2.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b="70267"/>
                    <a:stretch/>
                  </pic:blipFill>
                  <pic:spPr bwMode="auto">
                    <a:xfrm>
                      <a:off x="0" y="0"/>
                      <a:ext cx="5934075" cy="2543175"/>
                    </a:xfrm>
                    <a:prstGeom prst="rect">
                      <a:avLst/>
                    </a:prstGeom>
                    <a:noFill/>
                    <a:ln>
                      <a:noFill/>
                    </a:ln>
                    <a:extLst>
                      <a:ext uri="{53640926-AAD7-44D8-BBD7-CCE9431645EC}">
                        <a14:shadowObscured xmlns:a14="http://schemas.microsoft.com/office/drawing/2010/main"/>
                      </a:ext>
                    </a:extLst>
                  </pic:spPr>
                </pic:pic>
              </a:graphicData>
            </a:graphic>
          </wp:inline>
        </w:drawing>
      </w:r>
    </w:p>
    <w:p w14:paraId="0BEA9316" w14:textId="2976FB41" w:rsidR="004255E7" w:rsidRPr="008608AA" w:rsidRDefault="004255E7" w:rsidP="00C1178A">
      <w:pPr>
        <w:spacing w:before="120"/>
      </w:pPr>
      <w:r w:rsidRPr="008608AA">
        <w:t xml:space="preserve">Forest cover in the Americas represents ca. 40% of the global forest cover, with ca. 842 millions of hectares in South America, 723 millions of hectares in North America and 20 millions of hectares in Central America </w:t>
      </w:r>
      <w:r w:rsidRPr="008608AA">
        <w:fldChar w:fldCharType="begin" w:fldLock="1"/>
      </w:r>
      <w:r w:rsidRPr="008608AA">
        <w:instrText>ADDIN CSL_CITATION { "citationItems" : [ { "id" : "ITEM-1", "itemData" : { "DOI" : "10.1016/j.foreco.2015.06.014", "ISBN" : "0378-1127", "ISSN" : "03781127", "PMID" : "17255001", "abstract" : "The area of land covered by forest and trees is an important indicator of environmental condition. This study presents and analyses results from the Global Forest Resources Assessment 2015 (FRA 2015) of the Food and Agriculture Organization of the United Nations. FRA 2015 was based on responses to surveys by individual countries using a common reporting framework, agreed definitions and reporting standards. Results indicated that total forest area declined by 3%, from 4128Mha in 1990 to 3999Mha in 2015. The annual rate of net forest loss halved from 7.3Mhay-1 in the 1990s to 3.3Mhay-1 between 2010 and 2015. Natural forest area declined from 3961Mha to 3721Mha between 1990 and 2015, while planted forest (including rubber plantations) increased from 168Mha to 278Mha. From 2010 to 2015, tropical forest area declined at a rate of 5.5Mhay-1 - only 58% of the rate in the 1990s - while temperate forest area expanded at a rate of 2.2Mhay-1. Boreal and sub-tropical forest areas showed little net change. Forest area expanded in Europe, North America, the Caribbean, East Asia, and Western-Central Asia, but declined in Central America, South America, South and Southeast Asia and all three regions in Africa. Analysis indicates that, between 1990 and 2015, 13 tropical countries may have either passed through their forest transitions from net forest loss to net forest expansion, or continued along the path of forest expansion that follows these transitions. Comparing FRA 2015 statistics with the findings of global and pan-tropical remote-sensing forest area surveys was challenging, due to differences in assessment periods, the definitions of forest and remote sensing methods. More investment in national and global forest monitoring is needed to provide better support for international initiatives to increase sustainable forest management and reduce forest loss, particularly in tropical countries.", "author" : [ { "dropping-particle" : "", "family" : "Keenan", "given" : "Rodney", "non-dropping-particle" : "", "parse-names" : false, "suffix" : "" }, { "dropping-particle" : "", "family" : "Reams", "given" : "Gregory", "non-dropping-particle" : "", "parse-names" : false, "suffix" : "" }, { "dropping-particle" : "", "family" : "Achard", "given" : "Frederic", "non-dropping-particle" : "", "parse-names" : false, "suffix" : "" }, { "dropping-particle" : "", "family" : "De-Freitas", "given" : "Joberto", "non-dropping-particle" : "", "parse-names" : false, "suffix" : "" }, { "dropping-particle" : "", "family" : "Grainger", "given" : "Alan", "non-dropping-particle" : "", "parse-names" : false, "suffix" : "" }, { "dropping-particle" : "", "family" : "Lindquist", "given" : "Erik", "non-dropping-particle" : "", "parse-names" : false, "suffix" : "" } ], "container-title" : "Forest Ecology and Management", "id" : "ITEM-1", "issued" : { "date-parts" : [ [ "2015" ] ] }, "page" : "9-20", "title" : "Dynamics of global forest area: results from the FAO Global Forest Resources Assessment 2015", "type" : "article-journal", "volume" : "352" }, "uris" : [ "http://www.mendeley.com/documents/?uuid=44d52952-e109-4e2a-bb7c-c40e756745d3" ] } ], "mendeley" : { "formattedCitation" : "(Keenan et al., 2015)", "plainTextFormattedCitation" : "(Keenan et al., 2015)", "previouslyFormattedCitation" : "(Keenan et al., 2015)" }, "properties" : { "noteIndex" : 0 }, "schema" : "https://github.com/citation-style-language/schema/raw/master/csl-citation.json" }</w:instrText>
      </w:r>
      <w:r w:rsidRPr="008608AA">
        <w:fldChar w:fldCharType="separate"/>
      </w:r>
      <w:r w:rsidRPr="008608AA">
        <w:rPr>
          <w:noProof/>
        </w:rPr>
        <w:t>(Keenan et al., 2015)</w:t>
      </w:r>
      <w:r w:rsidRPr="008608AA">
        <w:fldChar w:fldCharType="end"/>
      </w:r>
      <w:r w:rsidRPr="008608AA">
        <w:t xml:space="preserve">. Following the last update </w:t>
      </w:r>
      <w:r w:rsidR="007854D8" w:rsidRPr="008608AA">
        <w:t xml:space="preserve">of </w:t>
      </w:r>
      <w:r w:rsidRPr="008608AA">
        <w:fldChar w:fldCharType="begin" w:fldLock="1"/>
      </w:r>
      <w:r w:rsidRPr="008608AA">
        <w:instrText>ADDIN CSL_CITATION { "citationItems" : [ { "id" : "ITEM-1", "itemData" : { "URL" : "http://www.globalforestwatch.org/map", "id" : "ITEM-1", "issued" : { "date-parts" : [ [ "2017" ] ] }, "title" : "Global Forest Watch", "type" : "webpage" }, "uris" : [ "http://www.mendeley.com/documents/?uuid=e5995899-8c72-4fce-ac77-deb251d9c0bb", "http://www.mendeley.com/documents/?uuid=c504ecd0-2685-4c9f-a83a-e16df6e9c2c0" ] } ], "mendeley" : { "formattedCitation" : "(\u201cGlobal Forest Watch,\u201d 2017)", "manualFormatting" : "Global Forest Watch (2017),", "plainTextFormattedCitation" : "(\u201cGlobal Forest Watch,\u201d 2017)", "previouslyFormattedCitation" : "(\u201cGlobal Forest Watch,\u201d 2017)" }, "properties" : { "noteIndex" : 0 }, "schema" : "https://github.com/citation-style-language/schema/raw/master/csl-citation.json" }</w:instrText>
      </w:r>
      <w:r w:rsidRPr="008608AA">
        <w:fldChar w:fldCharType="separate"/>
      </w:r>
      <w:r w:rsidRPr="008608AA">
        <w:rPr>
          <w:noProof/>
        </w:rPr>
        <w:t>Global Forest Watch (2017),</w:t>
      </w:r>
      <w:r w:rsidRPr="008608AA">
        <w:fldChar w:fldCharType="end"/>
      </w:r>
      <w:r w:rsidRPr="008608AA">
        <w:t xml:space="preserve"> which differentiates native from planted forests, the Americas have 1.668 millions of hectares of natural forest and ca. 67 millions of hectares of planted areas (e.g. timber, oil palm, rubber). Around 870 millions of hectares of the natural forest cover is considered primary forest (no clear indications of human activity or significant disturbance) and 797 millions of hectares is naturally regenerated native forests with clear indications of human activities (</w:t>
      </w:r>
      <w:r w:rsidRPr="008608AA">
        <w:fldChar w:fldCharType="begin" w:fldLock="1"/>
      </w:r>
      <w:r w:rsidRPr="008608AA">
        <w:instrText>ADDIN CSL_CITATION { "citationItems" : [ { "id" : "ITEM-1", "itemData" : { "URL" : "http://www.globalforestwatch.org/map", "id" : "ITEM-1", "issued" : { "date-parts" : [ [ "2017" ] ] }, "title" : "Global Forest Watch", "type" : "webpage" }, "uris" : [ "http://www.mendeley.com/documents/?uuid=e5995899-8c72-4fce-ac77-deb251d9c0bb", "http://www.mendeley.com/documents/?uuid=c504ecd0-2685-4c9f-a83a-e16df6e9c2c0" ] } ], "mendeley" : { "formattedCitation" : "(\u201cGlobal Forest Watch,\u201d 2017)", "manualFormatting" : "Global Forest Watch, 2017).", "plainTextFormattedCitation" : "(\u201cGlobal Forest Watch,\u201d 2017)", "previouslyFormattedCitation" : "(\u201cGlobal Forest Watch,\u201d 2017)" }, "properties" : { "noteIndex" : 0 }, "schema" : "https://github.com/citation-style-language/schema/raw/master/csl-citation.json" }</w:instrText>
      </w:r>
      <w:r w:rsidRPr="008608AA">
        <w:fldChar w:fldCharType="separate"/>
      </w:r>
      <w:r w:rsidRPr="008608AA">
        <w:rPr>
          <w:noProof/>
        </w:rPr>
        <w:t>Global Forest Watch, 2017).</w:t>
      </w:r>
      <w:r w:rsidRPr="008608AA">
        <w:fldChar w:fldCharType="end"/>
      </w:r>
      <w:r w:rsidRPr="008608AA">
        <w:t xml:space="preserve"> </w:t>
      </w:r>
    </w:p>
    <w:p w14:paraId="08F6B7B9" w14:textId="77777777" w:rsidR="00C1178A" w:rsidRPr="008608AA" w:rsidRDefault="00C1178A" w:rsidP="00AF4DDA">
      <w:pPr>
        <w:pStyle w:val="Caption"/>
        <w:spacing w:before="120" w:beforeAutospacing="0" w:after="120"/>
        <w:rPr>
          <w:b w:val="0"/>
          <w:lang w:val="en-US"/>
        </w:rPr>
      </w:pPr>
    </w:p>
    <w:p w14:paraId="6268F85F" w14:textId="4A3A9F3A" w:rsidR="00C1178A" w:rsidRPr="008608AA" w:rsidRDefault="00B2242D" w:rsidP="003E65F0">
      <w:r w:rsidRPr="008608AA">
        <w:rPr>
          <w:noProof/>
          <w:lang w:val="en-GB" w:eastAsia="en-GB"/>
        </w:rPr>
        <w:drawing>
          <wp:inline distT="0" distB="0" distL="0" distR="0" wp14:anchorId="34196E8C" wp14:editId="6F0B6317">
            <wp:extent cx="5934075" cy="3305175"/>
            <wp:effectExtent l="0" t="0" r="9525" b="9525"/>
            <wp:docPr id="254" name="Imagen 254" descr="C:\Users\Alejandro Valderrama\Downloads\Fig3.3-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1" descr="C:\Users\Alejandro Valderrama\Downloads\Fig3.3-V2.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b="61359"/>
                    <a:stretch/>
                  </pic:blipFill>
                  <pic:spPr bwMode="auto">
                    <a:xfrm>
                      <a:off x="0" y="0"/>
                      <a:ext cx="5934075" cy="3305175"/>
                    </a:xfrm>
                    <a:prstGeom prst="rect">
                      <a:avLst/>
                    </a:prstGeom>
                    <a:noFill/>
                    <a:ln>
                      <a:noFill/>
                    </a:ln>
                    <a:extLst>
                      <a:ext uri="{53640926-AAD7-44D8-BBD7-CCE9431645EC}">
                        <a14:shadowObscured xmlns:a14="http://schemas.microsoft.com/office/drawing/2010/main"/>
                      </a:ext>
                    </a:extLst>
                  </pic:spPr>
                </pic:pic>
              </a:graphicData>
            </a:graphic>
          </wp:inline>
        </w:drawing>
      </w:r>
    </w:p>
    <w:p w14:paraId="23256B0B" w14:textId="700D4161" w:rsidR="004255E7" w:rsidRPr="008608AA" w:rsidRDefault="004255E7" w:rsidP="00C1178A">
      <w:pPr>
        <w:spacing w:after="120"/>
      </w:pPr>
      <w:r w:rsidRPr="008608AA">
        <w:t>Forest cover has changed throughout the Americas in recent decades (Figure 3.3). It continues to decline in most subregions except in the Caribbean where forest regrowth predominates (see also 3.4.1.1). In North America the overall amount of forest has slightly increased (Figures 3.2 and 3.3). Further details on declines can be found for t</w:t>
      </w:r>
      <w:r w:rsidR="00A47F44" w:rsidRPr="008608AA">
        <w:t>he specific biomes assessed in s</w:t>
      </w:r>
      <w:r w:rsidRPr="008608AA">
        <w:t>ection 3.4.</w:t>
      </w:r>
    </w:p>
    <w:p w14:paraId="6D8840DD" w14:textId="765672AF" w:rsidR="004255E7" w:rsidRPr="008608AA" w:rsidRDefault="004255E7" w:rsidP="00C1178A">
      <w:pPr>
        <w:spacing w:after="120"/>
      </w:pPr>
      <w:r w:rsidRPr="008608AA">
        <w:t xml:space="preserve">Grasslands and shrublands are frequently confounded with agricultural areas or pasturelands at coarse scales and usually represented as a “mosaic of vegetation and cropland” </w:t>
      </w:r>
      <w:r w:rsidRPr="008608AA">
        <w:fldChar w:fldCharType="begin" w:fldLock="1"/>
      </w:r>
      <w:r w:rsidRPr="008608AA">
        <w:instrText>ADDIN CSL_CITATION { "citationItems" : [ { "id" : "ITEM-1", "itemData" : { "author" : [ { "dropping-particle" : "", "family" : "Arino", "given" : "Olivier", "non-dropping-particle" : "", "parse-names" : false, "suffix" : "" }, { "dropping-particle" : "", "family" : "Ramos Perez", "given" : "Jose Julio", "non-dropping-particle" : "", "parse-names" : false, "suffix" : "" }, { "dropping-particle" : "", "family" : "Kalogirou", "given" : "Vasileios", "non-dropping-particle" : "", "parse-names" : false, "suffix" : "" }, { "dropping-particle" : "", "family" : "Bontemps", "given" : "Sophie", "non-dropping-particle" : "", "parse-names" : false, "suffix" : "" }, { "dropping-particle" : "", "family" : "Defourny", "given" : "Pierre", "non-dropping-particle" : "", "parse-names" : false, "suffix" : "" }, { "dropping-particle" : "", "family" : "Bogaert", "given" : "Eric", "non-dropping-particle" : "Van", "parse-names" : false, "suffix" : "" } ], "id" : "ITEM-1", "issued" : { "date-parts" : [ [ "2012" ] ] }, "publisher" : "European Space Agency (ESA), Universit\u00e9 catholique de Louvain (UCL), PANGAEA", "title" : "Global Land Cover Map for 2009 (GlobCover 2009)", "type" : "article" }, "uris" : [ "http://www.mendeley.com/documents/?uuid=9a8e7174-76aa-404a-b2a2-05c367bc67bf", "http://www.mendeley.com/documents/?uuid=31678553-21a6-4d47-9dc4-a2a9f32e15df" ] } ], "mendeley" : { "formattedCitation" : "(Arino et al., 2012)", "manualFormatting" : "(Arino et al., 2012)", "plainTextFormattedCitation" : "(Arino et al., 2012)", "previouslyFormattedCitation" : "(Arino et al., 2012)" }, "properties" : { "noteIndex" : 0 }, "schema" : "https://github.com/citation-style-language/schema/raw/master/csl-citation.json" }</w:instrText>
      </w:r>
      <w:r w:rsidRPr="008608AA">
        <w:fldChar w:fldCharType="separate"/>
      </w:r>
      <w:r w:rsidRPr="008608AA">
        <w:t>(Arino et al., 2012)</w:t>
      </w:r>
      <w:r w:rsidRPr="008608AA">
        <w:fldChar w:fldCharType="end"/>
      </w:r>
      <w:r w:rsidRPr="008608AA">
        <w:t xml:space="preserve">. This mixed class covers about 12% of the Americas (and includes almost 80% of the croplands) </w:t>
      </w:r>
      <w:r w:rsidRPr="008608AA">
        <w:fldChar w:fldCharType="begin" w:fldLock="1"/>
      </w:r>
      <w:r w:rsidRPr="008608AA">
        <w:instrText>ADDIN CSL_CITATION { "citationItems" : [ { "id" : "ITEM-1", "itemData" : { "author" : [ { "dropping-particle" : "", "family" : "Arino", "given" : "Olivier", "non-dropping-particle" : "", "parse-names" : false, "suffix" : "" }, { "dropping-particle" : "", "family" : "Ramos Perez", "given" : "Jose Julio", "non-dropping-particle" : "", "parse-names" : false, "suffix" : "" }, { "dropping-particle" : "", "family" : "Kalogirou", "given" : "Vasileios", "non-dropping-particle" : "", "parse-names" : false, "suffix" : "" }, { "dropping-particle" : "", "family" : "Bontemps", "given" : "Sophie", "non-dropping-particle" : "", "parse-names" : false, "suffix" : "" }, { "dropping-particle" : "", "family" : "Defourny", "given" : "Pierre", "non-dropping-particle" : "", "parse-names" : false, "suffix" : "" }, { "dropping-particle" : "", "family" : "Bogaert", "given" : "Eric", "non-dropping-particle" : "Van", "parse-names" : false, "suffix" : "" } ], "id" : "ITEM-1", "issued" : { "date-parts" : [ [ "2012" ] ] }, "publisher" : "European Space Agency (ESA), Universit\u00e9 catholique de Louvain (UCL), PANGAEA", "title" : "Global Land Cover Map for 2009 (GlobCover 2009)", "type" : "article" }, "uris" : [ "http://www.mendeley.com/documents/?uuid=9a8e7174-76aa-404a-b2a2-05c367bc67bf", "http://www.mendeley.com/documents/?uuid=31678553-21a6-4d47-9dc4-a2a9f32e15df" ] } ], "mendeley" : { "formattedCitation" : "(Arino et al., 2012)", "manualFormatting" : "(Arino et al., 2012)", "plainTextFormattedCitation" : "(Arino et al., 2012)", "previouslyFormattedCitation" : "(Arino et al., 2012)" }, "properties" : { "noteIndex" : 0 }, "schema" : "https://github.com/citation-style-language/schema/raw/master/csl-citation.json" }</w:instrText>
      </w:r>
      <w:r w:rsidRPr="008608AA">
        <w:fldChar w:fldCharType="separate"/>
      </w:r>
      <w:r w:rsidRPr="008608AA">
        <w:t>(Arino et al., 2012)</w:t>
      </w:r>
      <w:r w:rsidRPr="008608AA">
        <w:fldChar w:fldCharType="end"/>
      </w:r>
      <w:r w:rsidRPr="008608AA">
        <w:t xml:space="preserve"> distributed predominantly in the USA (Central Great Plains), Canada (</w:t>
      </w:r>
      <w:r w:rsidR="00847F60" w:rsidRPr="008608AA">
        <w:t>e.g.</w:t>
      </w:r>
      <w:r w:rsidRPr="008608AA">
        <w:t xml:space="preserve"> northern grasslands), Chile (Patagonian grasslands), Brazil (campos sulinos) and Argentina (pampas, Patagonian grasslands). Shrublands or savannas represent another 10% of the Americas’ land cover, with extensive coverage in the USA (</w:t>
      </w:r>
      <w:r w:rsidR="00847F60" w:rsidRPr="008608AA">
        <w:t>e.g.</w:t>
      </w:r>
      <w:r w:rsidRPr="008608AA">
        <w:t xml:space="preserve"> Californian chaparral, arid shrublands, Great Plain shrublands</w:t>
      </w:r>
      <w:r w:rsidR="00F65807" w:rsidRPr="008608AA">
        <w:t>)</w:t>
      </w:r>
      <w:r w:rsidRPr="008608AA">
        <w:t xml:space="preserve"> and Brazil </w:t>
      </w:r>
      <w:r w:rsidR="00F65807" w:rsidRPr="008608AA">
        <w:t>(</w:t>
      </w:r>
      <w:r w:rsidR="00A01A41" w:rsidRPr="008608AA">
        <w:t>Cerrado</w:t>
      </w:r>
      <w:r w:rsidRPr="008608AA">
        <w:t>). For details of changes in the differ</w:t>
      </w:r>
      <w:r w:rsidR="00A47F44" w:rsidRPr="008608AA">
        <w:t xml:space="preserve">ent biomes of the Americas </w:t>
      </w:r>
      <w:r w:rsidR="00B20C8E" w:rsidRPr="008608AA">
        <w:t>(</w:t>
      </w:r>
      <w:r w:rsidR="00A47F44" w:rsidRPr="008608AA">
        <w:t>s</w:t>
      </w:r>
      <w:r w:rsidRPr="008608AA">
        <w:t>ection 3.4</w:t>
      </w:r>
      <w:r w:rsidR="00B20C8E" w:rsidRPr="008608AA">
        <w:t>)</w:t>
      </w:r>
      <w:r w:rsidRPr="008608AA">
        <w:t xml:space="preserve">. </w:t>
      </w:r>
    </w:p>
    <w:p w14:paraId="3E1E5644" w14:textId="77777777" w:rsidR="00C1178A" w:rsidRPr="008608AA" w:rsidRDefault="00C1178A" w:rsidP="00C1178A">
      <w:pPr>
        <w:spacing w:after="120"/>
      </w:pPr>
    </w:p>
    <w:p w14:paraId="1F2D3D26" w14:textId="783C588F" w:rsidR="004255E7" w:rsidRPr="008608AA" w:rsidRDefault="004255E7" w:rsidP="005F249C">
      <w:pPr>
        <w:pStyle w:val="Heading4"/>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120" w:line="240" w:lineRule="auto"/>
        <w:ind w:left="0" w:firstLine="0"/>
        <w:rPr>
          <w:szCs w:val="24"/>
          <w:lang w:val="en-US"/>
        </w:rPr>
      </w:pPr>
      <w:bookmarkStart w:id="907" w:name="_Toc502927340"/>
      <w:bookmarkStart w:id="908" w:name="_Toc517393294"/>
      <w:bookmarkStart w:id="909" w:name="_Toc517719035"/>
      <w:bookmarkStart w:id="910" w:name="_Toc517796992"/>
      <w:r w:rsidRPr="008608AA">
        <w:rPr>
          <w:szCs w:val="24"/>
          <w:lang w:val="en-US"/>
        </w:rPr>
        <w:t>Status and patterns of diversity for taxonomic groups</w:t>
      </w:r>
      <w:bookmarkEnd w:id="907"/>
      <w:bookmarkEnd w:id="908"/>
      <w:bookmarkEnd w:id="909"/>
      <w:bookmarkEnd w:id="910"/>
    </w:p>
    <w:p w14:paraId="188B30EE" w14:textId="2A00AB5D" w:rsidR="00834C04" w:rsidRDefault="00657833" w:rsidP="00C1178A">
      <w:r w:rsidRPr="008608AA">
        <w:t xml:space="preserve">Overall richness patterns. </w:t>
      </w:r>
      <w:r w:rsidR="004255E7" w:rsidRPr="008608AA">
        <w:t>Despite several centuries of exploration,</w:t>
      </w:r>
      <w:r w:rsidR="004255E7" w:rsidRPr="008608AA">
        <w:rPr>
          <w:i/>
        </w:rPr>
        <w:t xml:space="preserve"> </w:t>
      </w:r>
      <w:r w:rsidR="004255E7" w:rsidRPr="008608AA">
        <w:t>accessible and accurate data for biodiversity across the entire Americas is limited to a very small number of taxonomic groups.</w:t>
      </w:r>
      <w:r w:rsidR="004255E7" w:rsidRPr="008608AA">
        <w:rPr>
          <w:i/>
        </w:rPr>
        <w:t xml:space="preserve"> </w:t>
      </w:r>
      <w:r w:rsidR="004255E7" w:rsidRPr="008608AA">
        <w:t>Data compiled at the subregional level for such groups confirms that the Americas region (comprising 28% of the world´s land area, including water bodies), holds significant proportions of the world’s biodiversity, as high as 51% for amphibians and 41% for birds (</w:t>
      </w:r>
      <w:r w:rsidR="00834C04" w:rsidRPr="008608AA">
        <w:t>Table 3.1</w:t>
      </w:r>
      <w:r w:rsidR="004255E7" w:rsidRPr="008608AA">
        <w:t xml:space="preserve">). Species richness is highest for all taxonomic groups in the South American subregion and far higher in South America than in North America </w:t>
      </w:r>
      <w:r w:rsidR="00834C04" w:rsidRPr="008608AA">
        <w:t>(Table 3.1).</w:t>
      </w:r>
      <w:r w:rsidR="004255E7" w:rsidRPr="008608AA">
        <w:t xml:space="preserve"> Mesoamerica and the Caribbean are very rich in relation to their land area. For example, the Caribbean subregion (&lt;1% of the Americas´ land area) is more diverse than North America (51% of the Americas´ area) for reptiles and is not that far behind for plants (</w:t>
      </w:r>
      <w:r w:rsidR="00834C04" w:rsidRPr="008608AA">
        <w:t>Table 3.1)</w:t>
      </w:r>
      <w:r w:rsidR="004255E7" w:rsidRPr="008608AA">
        <w:t>. Mesoamerica (6% of the Americas´ land area) has more species in all taxonomic groups — in three out of five cases over twice as many — as the much larger North American subregion. The Americas account for some 33% of plants that have been recorded to be useful to humans globally (Table 3.1). The absolute numbers of useful plants in Table 3.1 are likely to be conservative, given that comprehensive surveys of useful plants have still to be undertaken in many parts of the Americas.</w:t>
      </w:r>
    </w:p>
    <w:p w14:paraId="76BAE806" w14:textId="68FC671A" w:rsidR="00843724" w:rsidRDefault="00843724" w:rsidP="00C1178A"/>
    <w:p w14:paraId="360C446F" w14:textId="77777777" w:rsidR="00E95397" w:rsidRPr="008608AA" w:rsidRDefault="00E95397" w:rsidP="00C1178A"/>
    <w:p w14:paraId="0F18B46B" w14:textId="1313E2C6" w:rsidR="004255E7" w:rsidRPr="008608AA" w:rsidRDefault="00870677" w:rsidP="00870677">
      <w:pPr>
        <w:pStyle w:val="Caption"/>
        <w:rPr>
          <w:b w:val="0"/>
          <w:sz w:val="20"/>
        </w:rPr>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3</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w:t>
      </w:r>
      <w:r w:rsidR="000E562E">
        <w:rPr>
          <w:noProof/>
        </w:rPr>
        <w:fldChar w:fldCharType="end"/>
      </w:r>
      <w:r w:rsidRPr="008608AA">
        <w:t xml:space="preserve">. </w:t>
      </w:r>
      <w:r w:rsidR="004255E7" w:rsidRPr="008608AA">
        <w:t>Species richness for taxonomic groups where data could be compiled for IPBES subregions of the Americas. The percentages under the subregional headings give the amount of land (including water bodies) in relation to the total for the Americas. The percentages for the different taxonomic groups and useful plants in each subregion are calculated in relation to the totals for the Americas.</w:t>
      </w:r>
      <w:r w:rsidR="004255E7" w:rsidRPr="008608AA">
        <w:rPr>
          <w:b w:val="0"/>
          <w:sz w:val="20"/>
        </w:rPr>
        <w:t xml:space="preserve"> </w:t>
      </w:r>
    </w:p>
    <w:p w14:paraId="785BF4F8" w14:textId="77777777" w:rsidR="007D620C" w:rsidRPr="008608AA" w:rsidRDefault="007D620C" w:rsidP="0032208B">
      <w:pP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1825"/>
        <w:gridCol w:w="1266"/>
        <w:gridCol w:w="1049"/>
        <w:gridCol w:w="1442"/>
        <w:gridCol w:w="1457"/>
        <w:gridCol w:w="1296"/>
        <w:gridCol w:w="1152"/>
      </w:tblGrid>
      <w:tr w:rsidR="007D620C" w:rsidRPr="00843724" w14:paraId="5ACF1F98" w14:textId="77777777" w:rsidTr="00C1178A">
        <w:trPr>
          <w:trHeight w:val="460"/>
        </w:trPr>
        <w:tc>
          <w:tcPr>
            <w:tcW w:w="962" w:type="pct"/>
            <w:shd w:val="clear" w:color="auto" w:fill="BFBFBF" w:themeFill="background1" w:themeFillShade="BF"/>
            <w:vAlign w:val="center"/>
          </w:tcPr>
          <w:p w14:paraId="43C9EC1B" w14:textId="77777777" w:rsidR="007D620C" w:rsidRPr="00843724" w:rsidRDefault="007D620C" w:rsidP="00C1178A">
            <w:pPr>
              <w:jc w:val="center"/>
              <w:rPr>
                <w:b/>
                <w:szCs w:val="22"/>
              </w:rPr>
            </w:pPr>
            <w:r w:rsidRPr="00843724">
              <w:rPr>
                <w:b/>
                <w:szCs w:val="22"/>
              </w:rPr>
              <w:t>Taxon</w:t>
            </w:r>
          </w:p>
        </w:tc>
        <w:tc>
          <w:tcPr>
            <w:tcW w:w="667" w:type="pct"/>
            <w:shd w:val="clear" w:color="auto" w:fill="BFBFBF" w:themeFill="background1" w:themeFillShade="BF"/>
            <w:vAlign w:val="center"/>
          </w:tcPr>
          <w:p w14:paraId="34738F97" w14:textId="77777777" w:rsidR="007D620C" w:rsidRPr="00843724" w:rsidRDefault="007D620C" w:rsidP="00C1178A">
            <w:pPr>
              <w:jc w:val="center"/>
              <w:rPr>
                <w:b/>
                <w:szCs w:val="22"/>
              </w:rPr>
            </w:pPr>
            <w:r w:rsidRPr="00843724">
              <w:rPr>
                <w:b/>
                <w:szCs w:val="22"/>
              </w:rPr>
              <w:t>Total for Americas</w:t>
            </w:r>
          </w:p>
        </w:tc>
        <w:tc>
          <w:tcPr>
            <w:tcW w:w="553" w:type="pct"/>
            <w:shd w:val="clear" w:color="auto" w:fill="BFBFBF" w:themeFill="background1" w:themeFillShade="BF"/>
            <w:vAlign w:val="center"/>
          </w:tcPr>
          <w:p w14:paraId="50586E25" w14:textId="77777777" w:rsidR="007D620C" w:rsidRPr="00843724" w:rsidRDefault="007D620C" w:rsidP="00C1178A">
            <w:pPr>
              <w:jc w:val="center"/>
              <w:rPr>
                <w:b/>
                <w:szCs w:val="22"/>
              </w:rPr>
            </w:pPr>
            <w:r w:rsidRPr="00843724">
              <w:rPr>
                <w:b/>
                <w:szCs w:val="22"/>
              </w:rPr>
              <w:t>% of world total</w:t>
            </w:r>
          </w:p>
        </w:tc>
        <w:tc>
          <w:tcPr>
            <w:tcW w:w="760" w:type="pct"/>
            <w:shd w:val="clear" w:color="auto" w:fill="BFBFBF" w:themeFill="background1" w:themeFillShade="BF"/>
            <w:vAlign w:val="center"/>
          </w:tcPr>
          <w:p w14:paraId="6B86568F" w14:textId="77777777" w:rsidR="007D620C" w:rsidRPr="00843724" w:rsidRDefault="007D620C" w:rsidP="00C1178A">
            <w:pPr>
              <w:jc w:val="center"/>
              <w:rPr>
                <w:b/>
                <w:szCs w:val="22"/>
              </w:rPr>
            </w:pPr>
            <w:r w:rsidRPr="00843724">
              <w:rPr>
                <w:b/>
                <w:szCs w:val="22"/>
              </w:rPr>
              <w:t>North America</w:t>
            </w:r>
          </w:p>
          <w:p w14:paraId="1BB392FA" w14:textId="77777777" w:rsidR="007D620C" w:rsidRPr="00843724" w:rsidRDefault="007D620C" w:rsidP="00C1178A">
            <w:pPr>
              <w:jc w:val="center"/>
              <w:rPr>
                <w:b/>
                <w:szCs w:val="22"/>
              </w:rPr>
            </w:pPr>
            <w:r w:rsidRPr="00843724">
              <w:rPr>
                <w:b/>
                <w:szCs w:val="22"/>
              </w:rPr>
              <w:t>(51%)</w:t>
            </w:r>
          </w:p>
        </w:tc>
        <w:tc>
          <w:tcPr>
            <w:tcW w:w="768" w:type="pct"/>
            <w:shd w:val="clear" w:color="auto" w:fill="BFBFBF" w:themeFill="background1" w:themeFillShade="BF"/>
            <w:vAlign w:val="center"/>
          </w:tcPr>
          <w:p w14:paraId="531A515E" w14:textId="77777777" w:rsidR="007D620C" w:rsidRPr="00843724" w:rsidRDefault="007D620C" w:rsidP="00C1178A">
            <w:pPr>
              <w:jc w:val="center"/>
              <w:rPr>
                <w:b/>
                <w:szCs w:val="22"/>
              </w:rPr>
            </w:pPr>
            <w:r w:rsidRPr="00843724">
              <w:rPr>
                <w:b/>
                <w:szCs w:val="22"/>
              </w:rPr>
              <w:t>Mesoamerica</w:t>
            </w:r>
          </w:p>
          <w:p w14:paraId="33B0671B" w14:textId="77777777" w:rsidR="007D620C" w:rsidRPr="00843724" w:rsidRDefault="007D620C" w:rsidP="00C1178A">
            <w:pPr>
              <w:jc w:val="center"/>
              <w:rPr>
                <w:b/>
                <w:szCs w:val="22"/>
              </w:rPr>
            </w:pPr>
            <w:r w:rsidRPr="00843724">
              <w:rPr>
                <w:b/>
                <w:szCs w:val="22"/>
              </w:rPr>
              <w:t>(6%)</w:t>
            </w:r>
          </w:p>
        </w:tc>
        <w:tc>
          <w:tcPr>
            <w:tcW w:w="683" w:type="pct"/>
            <w:shd w:val="clear" w:color="auto" w:fill="BFBFBF" w:themeFill="background1" w:themeFillShade="BF"/>
            <w:vAlign w:val="center"/>
          </w:tcPr>
          <w:p w14:paraId="11703620" w14:textId="77777777" w:rsidR="007D620C" w:rsidRPr="00843724" w:rsidRDefault="007D620C" w:rsidP="00C1178A">
            <w:pPr>
              <w:jc w:val="center"/>
              <w:rPr>
                <w:b/>
                <w:szCs w:val="22"/>
              </w:rPr>
            </w:pPr>
            <w:r w:rsidRPr="00843724">
              <w:rPr>
                <w:b/>
                <w:szCs w:val="22"/>
              </w:rPr>
              <w:t>Caribbean</w:t>
            </w:r>
          </w:p>
          <w:p w14:paraId="18D92FC3" w14:textId="77777777" w:rsidR="007D620C" w:rsidRPr="00843724" w:rsidRDefault="007D620C" w:rsidP="00C1178A">
            <w:pPr>
              <w:jc w:val="center"/>
              <w:rPr>
                <w:b/>
                <w:szCs w:val="22"/>
              </w:rPr>
            </w:pPr>
            <w:r w:rsidRPr="00843724">
              <w:rPr>
                <w:b/>
                <w:szCs w:val="22"/>
              </w:rPr>
              <w:t>(&lt;1%)</w:t>
            </w:r>
          </w:p>
        </w:tc>
        <w:tc>
          <w:tcPr>
            <w:tcW w:w="607" w:type="pct"/>
            <w:shd w:val="clear" w:color="auto" w:fill="BFBFBF" w:themeFill="background1" w:themeFillShade="BF"/>
            <w:vAlign w:val="center"/>
          </w:tcPr>
          <w:p w14:paraId="5F09FFEA" w14:textId="77777777" w:rsidR="007D620C" w:rsidRPr="00843724" w:rsidRDefault="007D620C" w:rsidP="00C1178A">
            <w:pPr>
              <w:jc w:val="center"/>
              <w:rPr>
                <w:b/>
                <w:szCs w:val="22"/>
              </w:rPr>
            </w:pPr>
            <w:r w:rsidRPr="00843724">
              <w:rPr>
                <w:b/>
                <w:szCs w:val="22"/>
              </w:rPr>
              <w:t>South America</w:t>
            </w:r>
          </w:p>
          <w:p w14:paraId="1DAB9711" w14:textId="77777777" w:rsidR="007D620C" w:rsidRPr="00843724" w:rsidRDefault="007D620C" w:rsidP="00C1178A">
            <w:pPr>
              <w:jc w:val="center"/>
              <w:rPr>
                <w:b/>
                <w:szCs w:val="22"/>
              </w:rPr>
            </w:pPr>
            <w:r w:rsidRPr="00843724">
              <w:rPr>
                <w:b/>
                <w:szCs w:val="22"/>
              </w:rPr>
              <w:t>(42%)</w:t>
            </w:r>
          </w:p>
        </w:tc>
      </w:tr>
      <w:tr w:rsidR="007D620C" w:rsidRPr="00843724" w14:paraId="6BE6EEFD" w14:textId="77777777" w:rsidTr="007D620C">
        <w:trPr>
          <w:trHeight w:val="475"/>
        </w:trPr>
        <w:tc>
          <w:tcPr>
            <w:tcW w:w="962" w:type="pct"/>
          </w:tcPr>
          <w:p w14:paraId="56FC01CE" w14:textId="77777777" w:rsidR="007D620C" w:rsidRPr="00843724" w:rsidRDefault="007D620C" w:rsidP="007D620C">
            <w:pPr>
              <w:rPr>
                <w:szCs w:val="22"/>
                <w:vertAlign w:val="superscript"/>
              </w:rPr>
            </w:pPr>
            <w:r w:rsidRPr="00843724">
              <w:rPr>
                <w:b/>
                <w:szCs w:val="22"/>
              </w:rPr>
              <w:t>Plants</w:t>
            </w:r>
            <w:r w:rsidRPr="00843724">
              <w:rPr>
                <w:rStyle w:val="FootnoteReference"/>
                <w:szCs w:val="22"/>
              </w:rPr>
              <w:footnoteReference w:customMarkFollows="1" w:id="11"/>
              <w:t>1</w:t>
            </w:r>
            <w:r w:rsidRPr="00843724">
              <w:rPr>
                <w:szCs w:val="22"/>
                <w:vertAlign w:val="superscript"/>
              </w:rPr>
              <w:t>,8</w:t>
            </w:r>
          </w:p>
          <w:p w14:paraId="1CDE11C8" w14:textId="77777777" w:rsidR="007D620C" w:rsidRPr="00843724" w:rsidRDefault="007D620C" w:rsidP="007D620C">
            <w:pPr>
              <w:rPr>
                <w:szCs w:val="22"/>
              </w:rPr>
            </w:pPr>
            <w:r w:rsidRPr="00843724">
              <w:rPr>
                <w:szCs w:val="22"/>
              </w:rPr>
              <w:t>(seed plants only)</w:t>
            </w:r>
          </w:p>
        </w:tc>
        <w:tc>
          <w:tcPr>
            <w:tcW w:w="667" w:type="pct"/>
          </w:tcPr>
          <w:p w14:paraId="0E5CE63F" w14:textId="77777777" w:rsidR="007D620C" w:rsidRPr="00843724" w:rsidRDefault="007D620C" w:rsidP="007D620C">
            <w:pPr>
              <w:jc w:val="center"/>
              <w:rPr>
                <w:rFonts w:eastAsia="MS Gothic"/>
                <w:b/>
                <w:bCs/>
                <w:szCs w:val="22"/>
              </w:rPr>
            </w:pPr>
            <w:r w:rsidRPr="00843724">
              <w:rPr>
                <w:szCs w:val="22"/>
              </w:rPr>
              <w:t>98,473</w:t>
            </w:r>
          </w:p>
          <w:p w14:paraId="1CF9C865" w14:textId="77777777" w:rsidR="007D620C" w:rsidRPr="00843724" w:rsidRDefault="007D620C" w:rsidP="007D620C">
            <w:pPr>
              <w:jc w:val="center"/>
              <w:rPr>
                <w:rFonts w:eastAsia="MS Gothic"/>
                <w:b/>
                <w:bCs/>
                <w:szCs w:val="22"/>
              </w:rPr>
            </w:pPr>
            <w:r w:rsidRPr="00843724">
              <w:rPr>
                <w:szCs w:val="22"/>
              </w:rPr>
              <w:t>(108,320)</w:t>
            </w:r>
            <w:r w:rsidRPr="00843724">
              <w:rPr>
                <w:rStyle w:val="FootnoteReference"/>
                <w:rFonts w:eastAsia="MS Gothic"/>
                <w:bCs/>
                <w:szCs w:val="22"/>
              </w:rPr>
              <w:footnoteReference w:customMarkFollows="1" w:id="12"/>
              <w:t>2</w:t>
            </w:r>
          </w:p>
        </w:tc>
        <w:tc>
          <w:tcPr>
            <w:tcW w:w="553" w:type="pct"/>
          </w:tcPr>
          <w:p w14:paraId="35898570" w14:textId="77777777" w:rsidR="007D620C" w:rsidRPr="00843724" w:rsidRDefault="007D620C" w:rsidP="007D620C">
            <w:pPr>
              <w:jc w:val="center"/>
              <w:rPr>
                <w:szCs w:val="22"/>
              </w:rPr>
            </w:pPr>
          </w:p>
          <w:p w14:paraId="77D0DCBF" w14:textId="77777777" w:rsidR="007D620C" w:rsidRPr="00843724" w:rsidRDefault="007D620C" w:rsidP="007D620C">
            <w:pPr>
              <w:jc w:val="center"/>
              <w:rPr>
                <w:szCs w:val="22"/>
              </w:rPr>
            </w:pPr>
            <w:r w:rsidRPr="00843724">
              <w:rPr>
                <w:szCs w:val="22"/>
              </w:rPr>
              <w:t>29</w:t>
            </w:r>
          </w:p>
        </w:tc>
        <w:tc>
          <w:tcPr>
            <w:tcW w:w="760" w:type="pct"/>
          </w:tcPr>
          <w:p w14:paraId="22B17B08" w14:textId="77777777" w:rsidR="007D620C" w:rsidRPr="00843724" w:rsidRDefault="007D620C" w:rsidP="007D620C">
            <w:pPr>
              <w:jc w:val="center"/>
              <w:rPr>
                <w:szCs w:val="22"/>
              </w:rPr>
            </w:pPr>
            <w:r w:rsidRPr="00843724">
              <w:rPr>
                <w:szCs w:val="22"/>
              </w:rPr>
              <w:t>13,214</w:t>
            </w:r>
          </w:p>
          <w:p w14:paraId="0DC9AE43" w14:textId="77777777" w:rsidR="007D620C" w:rsidRPr="00843724" w:rsidRDefault="007D620C" w:rsidP="007D620C">
            <w:pPr>
              <w:jc w:val="center"/>
              <w:rPr>
                <w:rFonts w:eastAsia="MS Gothic"/>
                <w:b/>
                <w:bCs/>
                <w:szCs w:val="22"/>
              </w:rPr>
            </w:pPr>
            <w:r w:rsidRPr="00843724">
              <w:rPr>
                <w:szCs w:val="22"/>
              </w:rPr>
              <w:t>(13%)</w:t>
            </w:r>
          </w:p>
        </w:tc>
        <w:tc>
          <w:tcPr>
            <w:tcW w:w="768" w:type="pct"/>
          </w:tcPr>
          <w:p w14:paraId="0D2EF757" w14:textId="77777777" w:rsidR="007D620C" w:rsidRPr="00843724" w:rsidRDefault="007D620C" w:rsidP="007D620C">
            <w:pPr>
              <w:jc w:val="center"/>
              <w:rPr>
                <w:szCs w:val="22"/>
              </w:rPr>
            </w:pPr>
            <w:r w:rsidRPr="00843724">
              <w:rPr>
                <w:szCs w:val="22"/>
              </w:rPr>
              <w:t>26,551</w:t>
            </w:r>
          </w:p>
          <w:p w14:paraId="5DD38485" w14:textId="77777777" w:rsidR="007D620C" w:rsidRPr="00843724" w:rsidRDefault="007D620C" w:rsidP="007D620C">
            <w:pPr>
              <w:jc w:val="center"/>
              <w:rPr>
                <w:rFonts w:eastAsia="MS Gothic"/>
                <w:b/>
                <w:bCs/>
                <w:szCs w:val="22"/>
              </w:rPr>
            </w:pPr>
            <w:r w:rsidRPr="00843724">
              <w:rPr>
                <w:szCs w:val="22"/>
              </w:rPr>
              <w:t>(27%)</w:t>
            </w:r>
          </w:p>
        </w:tc>
        <w:tc>
          <w:tcPr>
            <w:tcW w:w="683" w:type="pct"/>
          </w:tcPr>
          <w:p w14:paraId="168FB9D6" w14:textId="77777777" w:rsidR="007D620C" w:rsidRPr="00843724" w:rsidRDefault="007D620C" w:rsidP="007D620C">
            <w:pPr>
              <w:jc w:val="center"/>
              <w:rPr>
                <w:szCs w:val="22"/>
              </w:rPr>
            </w:pPr>
            <w:r w:rsidRPr="00843724">
              <w:rPr>
                <w:szCs w:val="22"/>
              </w:rPr>
              <w:t>11,473</w:t>
            </w:r>
          </w:p>
          <w:p w14:paraId="22D90037" w14:textId="77777777" w:rsidR="007D620C" w:rsidRPr="00843724" w:rsidRDefault="007D620C" w:rsidP="007D620C">
            <w:pPr>
              <w:jc w:val="center"/>
              <w:rPr>
                <w:rFonts w:eastAsia="MS Gothic"/>
                <w:b/>
                <w:bCs/>
                <w:szCs w:val="22"/>
              </w:rPr>
            </w:pPr>
            <w:r w:rsidRPr="00843724">
              <w:rPr>
                <w:szCs w:val="22"/>
              </w:rPr>
              <w:t>(12%)</w:t>
            </w:r>
          </w:p>
        </w:tc>
        <w:tc>
          <w:tcPr>
            <w:tcW w:w="607" w:type="pct"/>
          </w:tcPr>
          <w:p w14:paraId="79E9FDAB" w14:textId="77777777" w:rsidR="007D620C" w:rsidRPr="00843724" w:rsidRDefault="007D620C" w:rsidP="007D620C">
            <w:pPr>
              <w:jc w:val="center"/>
              <w:rPr>
                <w:szCs w:val="22"/>
              </w:rPr>
            </w:pPr>
            <w:r w:rsidRPr="00843724">
              <w:rPr>
                <w:szCs w:val="22"/>
              </w:rPr>
              <w:t>63,725</w:t>
            </w:r>
          </w:p>
          <w:p w14:paraId="20B57219" w14:textId="77777777" w:rsidR="007D620C" w:rsidRPr="00843724" w:rsidRDefault="007D620C" w:rsidP="007D620C">
            <w:pPr>
              <w:jc w:val="center"/>
              <w:rPr>
                <w:rFonts w:eastAsia="MS Gothic"/>
                <w:b/>
                <w:bCs/>
                <w:szCs w:val="22"/>
              </w:rPr>
            </w:pPr>
            <w:r w:rsidRPr="00843724">
              <w:rPr>
                <w:szCs w:val="22"/>
              </w:rPr>
              <w:t>(65%)</w:t>
            </w:r>
          </w:p>
        </w:tc>
      </w:tr>
      <w:tr w:rsidR="007D620C" w:rsidRPr="00843724" w14:paraId="20D56725" w14:textId="77777777" w:rsidTr="007D620C">
        <w:trPr>
          <w:trHeight w:val="530"/>
        </w:trPr>
        <w:tc>
          <w:tcPr>
            <w:tcW w:w="962" w:type="pct"/>
          </w:tcPr>
          <w:p w14:paraId="156B4BCF" w14:textId="77777777" w:rsidR="007D620C" w:rsidRPr="00843724" w:rsidRDefault="007D620C" w:rsidP="007D620C">
            <w:pPr>
              <w:rPr>
                <w:b/>
                <w:szCs w:val="22"/>
              </w:rPr>
            </w:pPr>
            <w:r w:rsidRPr="00843724">
              <w:rPr>
                <w:b/>
                <w:szCs w:val="22"/>
              </w:rPr>
              <w:t>Useful plants</w:t>
            </w:r>
            <w:r w:rsidRPr="00843724">
              <w:rPr>
                <w:rStyle w:val="EndnoteReference"/>
                <w:szCs w:val="22"/>
              </w:rPr>
              <w:endnoteReference w:customMarkFollows="1" w:id="1"/>
              <w:t>3</w:t>
            </w:r>
          </w:p>
          <w:p w14:paraId="50480D41" w14:textId="77777777" w:rsidR="007D620C" w:rsidRPr="00843724" w:rsidRDefault="007D620C" w:rsidP="007D620C">
            <w:pPr>
              <w:rPr>
                <w:szCs w:val="22"/>
              </w:rPr>
            </w:pPr>
            <w:r w:rsidRPr="00843724">
              <w:rPr>
                <w:szCs w:val="22"/>
              </w:rPr>
              <w:t>(seed plants only)</w:t>
            </w:r>
          </w:p>
        </w:tc>
        <w:tc>
          <w:tcPr>
            <w:tcW w:w="667" w:type="pct"/>
          </w:tcPr>
          <w:p w14:paraId="77315445" w14:textId="77777777" w:rsidR="007D620C" w:rsidRPr="00843724" w:rsidRDefault="007D620C" w:rsidP="007D620C">
            <w:pPr>
              <w:jc w:val="center"/>
              <w:rPr>
                <w:szCs w:val="22"/>
              </w:rPr>
            </w:pPr>
            <w:r w:rsidRPr="00843724">
              <w:rPr>
                <w:szCs w:val="22"/>
              </w:rPr>
              <w:t>10,188</w:t>
            </w:r>
          </w:p>
          <w:p w14:paraId="3A7ADD38" w14:textId="77777777" w:rsidR="007D620C" w:rsidRPr="00843724" w:rsidRDefault="007D620C" w:rsidP="007D620C">
            <w:pPr>
              <w:jc w:val="center"/>
              <w:rPr>
                <w:szCs w:val="22"/>
              </w:rPr>
            </w:pPr>
          </w:p>
        </w:tc>
        <w:tc>
          <w:tcPr>
            <w:tcW w:w="553" w:type="pct"/>
          </w:tcPr>
          <w:p w14:paraId="16857474" w14:textId="77777777" w:rsidR="007D620C" w:rsidRPr="00843724" w:rsidRDefault="007D620C" w:rsidP="007D620C">
            <w:pPr>
              <w:jc w:val="center"/>
              <w:rPr>
                <w:szCs w:val="22"/>
              </w:rPr>
            </w:pPr>
            <w:r w:rsidRPr="00843724">
              <w:rPr>
                <w:szCs w:val="22"/>
              </w:rPr>
              <w:t>33</w:t>
            </w:r>
          </w:p>
        </w:tc>
        <w:tc>
          <w:tcPr>
            <w:tcW w:w="760" w:type="pct"/>
          </w:tcPr>
          <w:p w14:paraId="18D14815" w14:textId="77777777" w:rsidR="007D620C" w:rsidRPr="00843724" w:rsidRDefault="007D620C" w:rsidP="007D620C">
            <w:pPr>
              <w:jc w:val="center"/>
              <w:rPr>
                <w:rFonts w:eastAsia="MS Gothic"/>
                <w:b/>
                <w:bCs/>
                <w:szCs w:val="22"/>
              </w:rPr>
            </w:pPr>
            <w:r w:rsidRPr="00843724">
              <w:rPr>
                <w:szCs w:val="22"/>
              </w:rPr>
              <w:t>4,252</w:t>
            </w:r>
          </w:p>
          <w:p w14:paraId="2FC6FB1D" w14:textId="77777777" w:rsidR="007D620C" w:rsidRPr="00843724" w:rsidRDefault="007D620C" w:rsidP="007D620C">
            <w:pPr>
              <w:jc w:val="center"/>
              <w:rPr>
                <w:rFonts w:eastAsia="MS Gothic"/>
                <w:b/>
                <w:bCs/>
                <w:szCs w:val="22"/>
              </w:rPr>
            </w:pPr>
            <w:r w:rsidRPr="00843724">
              <w:rPr>
                <w:szCs w:val="22"/>
              </w:rPr>
              <w:t>(42%)</w:t>
            </w:r>
          </w:p>
        </w:tc>
        <w:tc>
          <w:tcPr>
            <w:tcW w:w="768" w:type="pct"/>
          </w:tcPr>
          <w:p w14:paraId="7F9C44D3" w14:textId="77777777" w:rsidR="007D620C" w:rsidRPr="00843724" w:rsidRDefault="007D620C" w:rsidP="007D620C">
            <w:pPr>
              <w:jc w:val="center"/>
              <w:rPr>
                <w:rFonts w:eastAsia="MS Gothic"/>
                <w:b/>
                <w:bCs/>
                <w:szCs w:val="22"/>
              </w:rPr>
            </w:pPr>
            <w:r w:rsidRPr="00843724">
              <w:rPr>
                <w:szCs w:val="22"/>
              </w:rPr>
              <w:t>4,217</w:t>
            </w:r>
          </w:p>
          <w:p w14:paraId="290942D2" w14:textId="77777777" w:rsidR="007D620C" w:rsidRPr="00843724" w:rsidRDefault="007D620C" w:rsidP="007D620C">
            <w:pPr>
              <w:jc w:val="center"/>
              <w:rPr>
                <w:rFonts w:eastAsia="MS Gothic"/>
                <w:b/>
                <w:bCs/>
                <w:szCs w:val="22"/>
              </w:rPr>
            </w:pPr>
            <w:r w:rsidRPr="00843724">
              <w:rPr>
                <w:szCs w:val="22"/>
              </w:rPr>
              <w:t>(41%)</w:t>
            </w:r>
          </w:p>
        </w:tc>
        <w:tc>
          <w:tcPr>
            <w:tcW w:w="683" w:type="pct"/>
          </w:tcPr>
          <w:p w14:paraId="635548FB" w14:textId="77777777" w:rsidR="007D620C" w:rsidRPr="00843724" w:rsidRDefault="007D620C" w:rsidP="007D620C">
            <w:pPr>
              <w:jc w:val="center"/>
              <w:rPr>
                <w:rFonts w:eastAsia="MS Gothic"/>
                <w:b/>
                <w:bCs/>
                <w:szCs w:val="22"/>
              </w:rPr>
            </w:pPr>
            <w:r w:rsidRPr="00843724">
              <w:rPr>
                <w:szCs w:val="22"/>
              </w:rPr>
              <w:t>2,915</w:t>
            </w:r>
          </w:p>
          <w:p w14:paraId="59DDA517" w14:textId="77777777" w:rsidR="007D620C" w:rsidRPr="00843724" w:rsidRDefault="007D620C" w:rsidP="007D620C">
            <w:pPr>
              <w:jc w:val="center"/>
              <w:rPr>
                <w:rFonts w:eastAsia="MS Gothic"/>
                <w:b/>
                <w:bCs/>
                <w:szCs w:val="22"/>
              </w:rPr>
            </w:pPr>
            <w:r w:rsidRPr="00843724">
              <w:rPr>
                <w:szCs w:val="22"/>
              </w:rPr>
              <w:t>(29%)</w:t>
            </w:r>
          </w:p>
        </w:tc>
        <w:tc>
          <w:tcPr>
            <w:tcW w:w="607" w:type="pct"/>
          </w:tcPr>
          <w:p w14:paraId="27135061" w14:textId="77777777" w:rsidR="007D620C" w:rsidRPr="00843724" w:rsidRDefault="007D620C" w:rsidP="007D620C">
            <w:pPr>
              <w:jc w:val="center"/>
              <w:rPr>
                <w:rFonts w:eastAsia="MS Gothic"/>
                <w:b/>
                <w:bCs/>
                <w:szCs w:val="22"/>
              </w:rPr>
            </w:pPr>
            <w:r w:rsidRPr="00843724">
              <w:rPr>
                <w:szCs w:val="22"/>
              </w:rPr>
              <w:t>5,621</w:t>
            </w:r>
          </w:p>
          <w:p w14:paraId="2AFF57BB" w14:textId="77777777" w:rsidR="007D620C" w:rsidRPr="00843724" w:rsidRDefault="007D620C" w:rsidP="007D620C">
            <w:pPr>
              <w:jc w:val="center"/>
              <w:rPr>
                <w:rFonts w:eastAsia="MS Gothic"/>
                <w:b/>
                <w:bCs/>
                <w:szCs w:val="22"/>
              </w:rPr>
            </w:pPr>
            <w:r w:rsidRPr="00843724">
              <w:rPr>
                <w:szCs w:val="22"/>
              </w:rPr>
              <w:t>(55%)</w:t>
            </w:r>
          </w:p>
        </w:tc>
      </w:tr>
      <w:tr w:rsidR="007D620C" w:rsidRPr="00843724" w14:paraId="45D9FAE1" w14:textId="77777777" w:rsidTr="007D620C">
        <w:trPr>
          <w:trHeight w:val="568"/>
        </w:trPr>
        <w:tc>
          <w:tcPr>
            <w:tcW w:w="962" w:type="pct"/>
          </w:tcPr>
          <w:p w14:paraId="35E2B17C" w14:textId="77777777" w:rsidR="007D620C" w:rsidRPr="00843724" w:rsidRDefault="007D620C" w:rsidP="007D620C">
            <w:pPr>
              <w:rPr>
                <w:szCs w:val="22"/>
              </w:rPr>
            </w:pPr>
            <w:r w:rsidRPr="00843724">
              <w:rPr>
                <w:b/>
                <w:szCs w:val="22"/>
              </w:rPr>
              <w:t>Birds</w:t>
            </w:r>
            <w:r w:rsidRPr="00843724">
              <w:rPr>
                <w:rStyle w:val="FootnoteReference"/>
                <w:szCs w:val="22"/>
              </w:rPr>
              <w:footnoteReference w:customMarkFollows="1" w:id="13"/>
              <w:t>4</w:t>
            </w:r>
            <w:r w:rsidRPr="00843724">
              <w:rPr>
                <w:szCs w:val="22"/>
              </w:rPr>
              <w:t xml:space="preserve"> – breeding species</w:t>
            </w:r>
          </w:p>
        </w:tc>
        <w:tc>
          <w:tcPr>
            <w:tcW w:w="667" w:type="pct"/>
          </w:tcPr>
          <w:p w14:paraId="54BFC0FB" w14:textId="77777777" w:rsidR="007D620C" w:rsidRPr="00843724" w:rsidRDefault="007D620C" w:rsidP="007D620C">
            <w:pPr>
              <w:jc w:val="center"/>
              <w:rPr>
                <w:szCs w:val="22"/>
              </w:rPr>
            </w:pPr>
            <w:r w:rsidRPr="00843724">
              <w:rPr>
                <w:szCs w:val="22"/>
              </w:rPr>
              <w:t>4,374</w:t>
            </w:r>
          </w:p>
        </w:tc>
        <w:tc>
          <w:tcPr>
            <w:tcW w:w="553" w:type="pct"/>
          </w:tcPr>
          <w:p w14:paraId="5B5B3C57" w14:textId="77777777" w:rsidR="007D620C" w:rsidRPr="00843724" w:rsidRDefault="007D620C" w:rsidP="007D620C">
            <w:pPr>
              <w:jc w:val="center"/>
              <w:rPr>
                <w:szCs w:val="22"/>
              </w:rPr>
            </w:pPr>
            <w:r w:rsidRPr="00843724">
              <w:rPr>
                <w:szCs w:val="22"/>
              </w:rPr>
              <w:t>41</w:t>
            </w:r>
          </w:p>
        </w:tc>
        <w:tc>
          <w:tcPr>
            <w:tcW w:w="760" w:type="pct"/>
          </w:tcPr>
          <w:p w14:paraId="5626C9AB" w14:textId="77777777" w:rsidR="007D620C" w:rsidRPr="00843724" w:rsidRDefault="007D620C" w:rsidP="007D620C">
            <w:pPr>
              <w:jc w:val="center"/>
              <w:rPr>
                <w:szCs w:val="22"/>
              </w:rPr>
            </w:pPr>
            <w:r w:rsidRPr="00843724">
              <w:rPr>
                <w:szCs w:val="22"/>
              </w:rPr>
              <w:t>649</w:t>
            </w:r>
          </w:p>
          <w:p w14:paraId="29138CD3" w14:textId="77777777" w:rsidR="007D620C" w:rsidRPr="00843724" w:rsidRDefault="007D620C" w:rsidP="007D620C">
            <w:pPr>
              <w:jc w:val="center"/>
              <w:rPr>
                <w:rFonts w:eastAsia="MS Gothic"/>
                <w:b/>
                <w:bCs/>
                <w:szCs w:val="22"/>
              </w:rPr>
            </w:pPr>
            <w:r w:rsidRPr="00843724">
              <w:rPr>
                <w:szCs w:val="22"/>
              </w:rPr>
              <w:t>(15%)</w:t>
            </w:r>
          </w:p>
        </w:tc>
        <w:tc>
          <w:tcPr>
            <w:tcW w:w="768" w:type="pct"/>
          </w:tcPr>
          <w:p w14:paraId="6E0E3D1C" w14:textId="77777777" w:rsidR="007D620C" w:rsidRPr="00843724" w:rsidRDefault="007D620C" w:rsidP="007D620C">
            <w:pPr>
              <w:jc w:val="center"/>
              <w:rPr>
                <w:szCs w:val="22"/>
              </w:rPr>
            </w:pPr>
            <w:r w:rsidRPr="00843724">
              <w:rPr>
                <w:szCs w:val="22"/>
              </w:rPr>
              <w:t>1,191</w:t>
            </w:r>
          </w:p>
          <w:p w14:paraId="334B5FCC" w14:textId="77777777" w:rsidR="007D620C" w:rsidRPr="00843724" w:rsidRDefault="007D620C" w:rsidP="007D620C">
            <w:pPr>
              <w:jc w:val="center"/>
              <w:rPr>
                <w:rFonts w:eastAsia="MS Gothic"/>
                <w:b/>
                <w:bCs/>
                <w:szCs w:val="22"/>
              </w:rPr>
            </w:pPr>
            <w:r w:rsidRPr="00843724">
              <w:rPr>
                <w:szCs w:val="22"/>
              </w:rPr>
              <w:t>(27%)</w:t>
            </w:r>
          </w:p>
        </w:tc>
        <w:tc>
          <w:tcPr>
            <w:tcW w:w="683" w:type="pct"/>
          </w:tcPr>
          <w:p w14:paraId="6DA6DC10" w14:textId="77777777" w:rsidR="007D620C" w:rsidRPr="00843724" w:rsidRDefault="007D620C" w:rsidP="007D620C">
            <w:pPr>
              <w:jc w:val="center"/>
              <w:rPr>
                <w:szCs w:val="22"/>
              </w:rPr>
            </w:pPr>
            <w:r w:rsidRPr="00843724">
              <w:rPr>
                <w:szCs w:val="22"/>
              </w:rPr>
              <w:t>320</w:t>
            </w:r>
          </w:p>
          <w:p w14:paraId="3555528A" w14:textId="77777777" w:rsidR="007D620C" w:rsidRPr="00843724" w:rsidRDefault="007D620C" w:rsidP="007D620C">
            <w:pPr>
              <w:jc w:val="center"/>
              <w:rPr>
                <w:rFonts w:eastAsia="MS Gothic"/>
                <w:bCs/>
                <w:szCs w:val="22"/>
              </w:rPr>
            </w:pPr>
            <w:r w:rsidRPr="00843724">
              <w:rPr>
                <w:rFonts w:eastAsia="MS Gothic"/>
                <w:bCs/>
                <w:szCs w:val="22"/>
              </w:rPr>
              <w:t>(7%)</w:t>
            </w:r>
          </w:p>
        </w:tc>
        <w:tc>
          <w:tcPr>
            <w:tcW w:w="607" w:type="pct"/>
          </w:tcPr>
          <w:p w14:paraId="254C545F" w14:textId="77777777" w:rsidR="007D620C" w:rsidRPr="00843724" w:rsidRDefault="007D620C" w:rsidP="007D620C">
            <w:pPr>
              <w:jc w:val="center"/>
              <w:rPr>
                <w:szCs w:val="22"/>
              </w:rPr>
            </w:pPr>
            <w:r w:rsidRPr="00843724">
              <w:rPr>
                <w:szCs w:val="22"/>
              </w:rPr>
              <w:t>3205</w:t>
            </w:r>
          </w:p>
          <w:p w14:paraId="7C4D8AFD" w14:textId="77777777" w:rsidR="007D620C" w:rsidRPr="00843724" w:rsidRDefault="007D620C" w:rsidP="007D620C">
            <w:pPr>
              <w:jc w:val="center"/>
              <w:rPr>
                <w:rFonts w:eastAsia="MS Gothic"/>
                <w:b/>
                <w:bCs/>
                <w:szCs w:val="22"/>
              </w:rPr>
            </w:pPr>
            <w:r w:rsidRPr="00843724">
              <w:rPr>
                <w:szCs w:val="22"/>
              </w:rPr>
              <w:t>(73%)</w:t>
            </w:r>
          </w:p>
        </w:tc>
      </w:tr>
      <w:tr w:rsidR="007D620C" w:rsidRPr="00843724" w14:paraId="5E67F6BA" w14:textId="77777777" w:rsidTr="007D620C">
        <w:trPr>
          <w:trHeight w:val="442"/>
        </w:trPr>
        <w:tc>
          <w:tcPr>
            <w:tcW w:w="962" w:type="pct"/>
          </w:tcPr>
          <w:p w14:paraId="567A6407" w14:textId="77777777" w:rsidR="007D620C" w:rsidRPr="00843724" w:rsidRDefault="007D620C" w:rsidP="007D620C">
            <w:pPr>
              <w:rPr>
                <w:b/>
                <w:szCs w:val="22"/>
              </w:rPr>
            </w:pPr>
            <w:r w:rsidRPr="00843724">
              <w:rPr>
                <w:b/>
                <w:szCs w:val="22"/>
              </w:rPr>
              <w:t>Mammals</w:t>
            </w:r>
            <w:r w:rsidRPr="00843724">
              <w:rPr>
                <w:b/>
                <w:szCs w:val="22"/>
                <w:vertAlign w:val="superscript"/>
              </w:rPr>
              <w:t>5</w:t>
            </w:r>
            <w:r w:rsidRPr="00843724">
              <w:rPr>
                <w:b/>
                <w:szCs w:val="22"/>
              </w:rPr>
              <w:t xml:space="preserve"> </w:t>
            </w:r>
          </w:p>
          <w:p w14:paraId="305C35AA" w14:textId="77777777" w:rsidR="007D620C" w:rsidRPr="00843724" w:rsidRDefault="007D620C" w:rsidP="007D620C">
            <w:pPr>
              <w:ind w:firstLine="90"/>
              <w:rPr>
                <w:szCs w:val="22"/>
              </w:rPr>
            </w:pPr>
            <w:r w:rsidRPr="00843724">
              <w:rPr>
                <w:szCs w:val="22"/>
              </w:rPr>
              <w:t>native – terrestrial</w:t>
            </w:r>
          </w:p>
        </w:tc>
        <w:tc>
          <w:tcPr>
            <w:tcW w:w="667" w:type="pct"/>
          </w:tcPr>
          <w:p w14:paraId="5C837B6B" w14:textId="77777777" w:rsidR="007D620C" w:rsidRPr="00843724" w:rsidRDefault="007D620C" w:rsidP="007D620C">
            <w:pPr>
              <w:jc w:val="center"/>
              <w:rPr>
                <w:rFonts w:eastAsia="MS Gothic"/>
                <w:b/>
                <w:bCs/>
                <w:szCs w:val="22"/>
              </w:rPr>
            </w:pPr>
            <w:r w:rsidRPr="00843724">
              <w:rPr>
                <w:szCs w:val="22"/>
              </w:rPr>
              <w:t>1,963</w:t>
            </w:r>
          </w:p>
        </w:tc>
        <w:tc>
          <w:tcPr>
            <w:tcW w:w="553" w:type="pct"/>
          </w:tcPr>
          <w:p w14:paraId="3B22AEB5" w14:textId="77777777" w:rsidR="007D620C" w:rsidRPr="00843724" w:rsidRDefault="007D620C" w:rsidP="007D620C">
            <w:pPr>
              <w:jc w:val="center"/>
              <w:rPr>
                <w:szCs w:val="22"/>
              </w:rPr>
            </w:pPr>
            <w:r w:rsidRPr="00843724">
              <w:rPr>
                <w:szCs w:val="22"/>
              </w:rPr>
              <w:t>35</w:t>
            </w:r>
          </w:p>
        </w:tc>
        <w:tc>
          <w:tcPr>
            <w:tcW w:w="760" w:type="pct"/>
          </w:tcPr>
          <w:p w14:paraId="3C9532BE" w14:textId="77777777" w:rsidR="007D620C" w:rsidRPr="00843724" w:rsidRDefault="007D620C" w:rsidP="007D620C">
            <w:pPr>
              <w:jc w:val="center"/>
              <w:rPr>
                <w:szCs w:val="22"/>
              </w:rPr>
            </w:pPr>
            <w:r w:rsidRPr="00843724">
              <w:rPr>
                <w:szCs w:val="22"/>
              </w:rPr>
              <w:t>458</w:t>
            </w:r>
          </w:p>
          <w:p w14:paraId="42C86676" w14:textId="77777777" w:rsidR="007D620C" w:rsidRPr="00843724" w:rsidRDefault="007D620C" w:rsidP="007D620C">
            <w:pPr>
              <w:jc w:val="center"/>
              <w:rPr>
                <w:rFonts w:eastAsia="MS Gothic"/>
                <w:b/>
                <w:bCs/>
                <w:szCs w:val="22"/>
              </w:rPr>
            </w:pPr>
            <w:r w:rsidRPr="00843724">
              <w:rPr>
                <w:szCs w:val="22"/>
              </w:rPr>
              <w:t>(23%)</w:t>
            </w:r>
          </w:p>
        </w:tc>
        <w:tc>
          <w:tcPr>
            <w:tcW w:w="768" w:type="pct"/>
          </w:tcPr>
          <w:p w14:paraId="1D0F82A1" w14:textId="77777777" w:rsidR="007D620C" w:rsidRPr="00843724" w:rsidRDefault="007D620C" w:rsidP="007D620C">
            <w:pPr>
              <w:jc w:val="center"/>
              <w:rPr>
                <w:szCs w:val="22"/>
              </w:rPr>
            </w:pPr>
            <w:r w:rsidRPr="00843724">
              <w:rPr>
                <w:szCs w:val="22"/>
              </w:rPr>
              <w:t>627</w:t>
            </w:r>
          </w:p>
          <w:p w14:paraId="77131215" w14:textId="77777777" w:rsidR="007D620C" w:rsidRPr="00843724" w:rsidRDefault="007D620C" w:rsidP="007D620C">
            <w:pPr>
              <w:jc w:val="center"/>
              <w:rPr>
                <w:rFonts w:eastAsia="MS Gothic"/>
                <w:b/>
                <w:bCs/>
                <w:szCs w:val="22"/>
              </w:rPr>
            </w:pPr>
            <w:r w:rsidRPr="00843724">
              <w:rPr>
                <w:szCs w:val="22"/>
              </w:rPr>
              <w:t>(32%)</w:t>
            </w:r>
          </w:p>
        </w:tc>
        <w:tc>
          <w:tcPr>
            <w:tcW w:w="683" w:type="pct"/>
          </w:tcPr>
          <w:p w14:paraId="31A9A74A" w14:textId="77777777" w:rsidR="007D620C" w:rsidRPr="00843724" w:rsidRDefault="007D620C" w:rsidP="007D620C">
            <w:pPr>
              <w:jc w:val="center"/>
              <w:rPr>
                <w:szCs w:val="22"/>
              </w:rPr>
            </w:pPr>
            <w:r w:rsidRPr="00843724">
              <w:rPr>
                <w:szCs w:val="22"/>
              </w:rPr>
              <w:t>185</w:t>
            </w:r>
          </w:p>
          <w:p w14:paraId="54839EDE" w14:textId="77777777" w:rsidR="007D620C" w:rsidRPr="00843724" w:rsidRDefault="007D620C" w:rsidP="007D620C">
            <w:pPr>
              <w:jc w:val="center"/>
              <w:rPr>
                <w:rFonts w:eastAsia="MS Gothic"/>
                <w:b/>
                <w:bCs/>
                <w:szCs w:val="22"/>
              </w:rPr>
            </w:pPr>
            <w:r w:rsidRPr="00843724">
              <w:rPr>
                <w:szCs w:val="22"/>
              </w:rPr>
              <w:t>(9%)</w:t>
            </w:r>
          </w:p>
        </w:tc>
        <w:tc>
          <w:tcPr>
            <w:tcW w:w="607" w:type="pct"/>
          </w:tcPr>
          <w:p w14:paraId="58729472" w14:textId="77777777" w:rsidR="007D620C" w:rsidRPr="00843724" w:rsidRDefault="007D620C" w:rsidP="007D620C">
            <w:pPr>
              <w:jc w:val="center"/>
              <w:rPr>
                <w:szCs w:val="22"/>
              </w:rPr>
            </w:pPr>
            <w:r w:rsidRPr="00843724">
              <w:rPr>
                <w:szCs w:val="22"/>
              </w:rPr>
              <w:t>1,266</w:t>
            </w:r>
          </w:p>
          <w:p w14:paraId="3EB5C589" w14:textId="77777777" w:rsidR="007D620C" w:rsidRPr="00843724" w:rsidRDefault="007D620C" w:rsidP="007D620C">
            <w:pPr>
              <w:jc w:val="center"/>
              <w:rPr>
                <w:rFonts w:eastAsia="MS Gothic"/>
                <w:b/>
                <w:bCs/>
                <w:szCs w:val="22"/>
              </w:rPr>
            </w:pPr>
            <w:r w:rsidRPr="00843724">
              <w:rPr>
                <w:szCs w:val="22"/>
              </w:rPr>
              <w:t>(64%)</w:t>
            </w:r>
          </w:p>
        </w:tc>
      </w:tr>
      <w:tr w:rsidR="007D620C" w:rsidRPr="00843724" w14:paraId="43A97EB5" w14:textId="77777777" w:rsidTr="007D620C">
        <w:trPr>
          <w:trHeight w:val="556"/>
        </w:trPr>
        <w:tc>
          <w:tcPr>
            <w:tcW w:w="962" w:type="pct"/>
          </w:tcPr>
          <w:p w14:paraId="5571353B" w14:textId="77777777" w:rsidR="007D620C" w:rsidRPr="00843724" w:rsidRDefault="007D620C" w:rsidP="007D620C">
            <w:pPr>
              <w:rPr>
                <w:b/>
                <w:szCs w:val="22"/>
              </w:rPr>
            </w:pPr>
            <w:r w:rsidRPr="00843724">
              <w:rPr>
                <w:b/>
                <w:szCs w:val="22"/>
              </w:rPr>
              <w:t>Amphibians</w:t>
            </w:r>
            <w:r w:rsidRPr="00843724">
              <w:rPr>
                <w:b/>
                <w:szCs w:val="22"/>
                <w:vertAlign w:val="superscript"/>
              </w:rPr>
              <w:t>6</w:t>
            </w:r>
          </w:p>
        </w:tc>
        <w:tc>
          <w:tcPr>
            <w:tcW w:w="667" w:type="pct"/>
          </w:tcPr>
          <w:p w14:paraId="7313F558" w14:textId="77777777" w:rsidR="007D620C" w:rsidRPr="00843724" w:rsidRDefault="007D620C" w:rsidP="007D620C">
            <w:pPr>
              <w:jc w:val="center"/>
              <w:rPr>
                <w:rFonts w:eastAsia="MS Gothic"/>
                <w:b/>
                <w:bCs/>
                <w:szCs w:val="22"/>
              </w:rPr>
            </w:pPr>
            <w:r w:rsidRPr="00843724">
              <w:rPr>
                <w:szCs w:val="22"/>
              </w:rPr>
              <w:t>3,928</w:t>
            </w:r>
          </w:p>
        </w:tc>
        <w:tc>
          <w:tcPr>
            <w:tcW w:w="553" w:type="pct"/>
          </w:tcPr>
          <w:p w14:paraId="5FB813CC" w14:textId="77777777" w:rsidR="007D620C" w:rsidRPr="00843724" w:rsidRDefault="007D620C" w:rsidP="007D620C">
            <w:pPr>
              <w:jc w:val="center"/>
              <w:rPr>
                <w:szCs w:val="22"/>
              </w:rPr>
            </w:pPr>
            <w:r w:rsidRPr="00843724">
              <w:rPr>
                <w:szCs w:val="22"/>
              </w:rPr>
              <w:t>51</w:t>
            </w:r>
          </w:p>
        </w:tc>
        <w:tc>
          <w:tcPr>
            <w:tcW w:w="760" w:type="pct"/>
          </w:tcPr>
          <w:p w14:paraId="33DC696E" w14:textId="77777777" w:rsidR="007D620C" w:rsidRPr="00843724" w:rsidRDefault="007D620C" w:rsidP="007D620C">
            <w:pPr>
              <w:jc w:val="center"/>
              <w:rPr>
                <w:szCs w:val="22"/>
              </w:rPr>
            </w:pPr>
            <w:r w:rsidRPr="00843724">
              <w:rPr>
                <w:szCs w:val="22"/>
              </w:rPr>
              <w:t>307</w:t>
            </w:r>
          </w:p>
          <w:p w14:paraId="29C55F27" w14:textId="77777777" w:rsidR="007D620C" w:rsidRPr="00843724" w:rsidRDefault="007D620C" w:rsidP="007D620C">
            <w:pPr>
              <w:jc w:val="center"/>
              <w:rPr>
                <w:rFonts w:eastAsia="MS Gothic"/>
                <w:b/>
                <w:bCs/>
                <w:szCs w:val="22"/>
              </w:rPr>
            </w:pPr>
            <w:r w:rsidRPr="00843724">
              <w:rPr>
                <w:szCs w:val="22"/>
              </w:rPr>
              <w:t>(8%)</w:t>
            </w:r>
          </w:p>
        </w:tc>
        <w:tc>
          <w:tcPr>
            <w:tcW w:w="768" w:type="pct"/>
          </w:tcPr>
          <w:p w14:paraId="13E02BDE" w14:textId="77777777" w:rsidR="007D620C" w:rsidRPr="00843724" w:rsidRDefault="007D620C" w:rsidP="007D620C">
            <w:pPr>
              <w:jc w:val="center"/>
              <w:rPr>
                <w:szCs w:val="22"/>
              </w:rPr>
            </w:pPr>
            <w:r w:rsidRPr="00843724">
              <w:rPr>
                <w:szCs w:val="22"/>
              </w:rPr>
              <w:t>812</w:t>
            </w:r>
          </w:p>
          <w:p w14:paraId="19FFAF2E" w14:textId="77777777" w:rsidR="007D620C" w:rsidRPr="00843724" w:rsidRDefault="007D620C" w:rsidP="007D620C">
            <w:pPr>
              <w:jc w:val="center"/>
              <w:rPr>
                <w:rFonts w:eastAsia="MS Gothic"/>
                <w:b/>
                <w:bCs/>
                <w:szCs w:val="22"/>
              </w:rPr>
            </w:pPr>
            <w:r w:rsidRPr="00843724">
              <w:rPr>
                <w:szCs w:val="22"/>
              </w:rPr>
              <w:t>(21%)</w:t>
            </w:r>
          </w:p>
        </w:tc>
        <w:tc>
          <w:tcPr>
            <w:tcW w:w="683" w:type="pct"/>
          </w:tcPr>
          <w:p w14:paraId="00F02ECA" w14:textId="77777777" w:rsidR="007D620C" w:rsidRPr="00843724" w:rsidRDefault="007D620C" w:rsidP="007D620C">
            <w:pPr>
              <w:jc w:val="center"/>
              <w:rPr>
                <w:szCs w:val="22"/>
              </w:rPr>
            </w:pPr>
            <w:r w:rsidRPr="00843724">
              <w:rPr>
                <w:szCs w:val="22"/>
              </w:rPr>
              <w:t>234</w:t>
            </w:r>
          </w:p>
          <w:p w14:paraId="193F9BE8" w14:textId="77777777" w:rsidR="007D620C" w:rsidRPr="00843724" w:rsidRDefault="007D620C" w:rsidP="007D620C">
            <w:pPr>
              <w:jc w:val="center"/>
              <w:rPr>
                <w:rFonts w:eastAsia="MS Gothic"/>
                <w:b/>
                <w:bCs/>
                <w:szCs w:val="22"/>
              </w:rPr>
            </w:pPr>
            <w:r w:rsidRPr="00843724">
              <w:rPr>
                <w:szCs w:val="22"/>
              </w:rPr>
              <w:t>(6%)</w:t>
            </w:r>
          </w:p>
        </w:tc>
        <w:tc>
          <w:tcPr>
            <w:tcW w:w="607" w:type="pct"/>
          </w:tcPr>
          <w:p w14:paraId="384CC051" w14:textId="77777777" w:rsidR="007D620C" w:rsidRPr="00843724" w:rsidRDefault="007D620C" w:rsidP="007D620C">
            <w:pPr>
              <w:jc w:val="center"/>
              <w:rPr>
                <w:szCs w:val="22"/>
              </w:rPr>
            </w:pPr>
            <w:r w:rsidRPr="00843724">
              <w:rPr>
                <w:szCs w:val="22"/>
              </w:rPr>
              <w:t>2,809</w:t>
            </w:r>
          </w:p>
          <w:p w14:paraId="737AA8C5" w14:textId="77777777" w:rsidR="007D620C" w:rsidRPr="00843724" w:rsidRDefault="007D620C" w:rsidP="007D620C">
            <w:pPr>
              <w:jc w:val="center"/>
              <w:rPr>
                <w:rFonts w:eastAsia="MS Gothic"/>
                <w:b/>
                <w:bCs/>
                <w:szCs w:val="22"/>
              </w:rPr>
            </w:pPr>
            <w:r w:rsidRPr="00843724">
              <w:rPr>
                <w:szCs w:val="22"/>
              </w:rPr>
              <w:t>(72%)</w:t>
            </w:r>
          </w:p>
        </w:tc>
      </w:tr>
      <w:tr w:rsidR="007D620C" w:rsidRPr="00843724" w14:paraId="1321CA2A" w14:textId="77777777" w:rsidTr="007D620C">
        <w:trPr>
          <w:trHeight w:val="556"/>
        </w:trPr>
        <w:tc>
          <w:tcPr>
            <w:tcW w:w="962" w:type="pct"/>
          </w:tcPr>
          <w:p w14:paraId="586ECA62" w14:textId="77777777" w:rsidR="007D620C" w:rsidRPr="00843724" w:rsidRDefault="007D620C" w:rsidP="007D620C">
            <w:pPr>
              <w:rPr>
                <w:b/>
                <w:szCs w:val="22"/>
              </w:rPr>
            </w:pPr>
            <w:r w:rsidRPr="00843724">
              <w:rPr>
                <w:b/>
                <w:szCs w:val="22"/>
              </w:rPr>
              <w:t>Reptiles</w:t>
            </w:r>
            <w:r w:rsidRPr="00843724">
              <w:rPr>
                <w:b/>
                <w:szCs w:val="22"/>
                <w:vertAlign w:val="superscript"/>
              </w:rPr>
              <w:t>7</w:t>
            </w:r>
          </w:p>
        </w:tc>
        <w:tc>
          <w:tcPr>
            <w:tcW w:w="667" w:type="pct"/>
          </w:tcPr>
          <w:p w14:paraId="2D56E945" w14:textId="77777777" w:rsidR="007D620C" w:rsidRPr="00843724" w:rsidRDefault="007D620C" w:rsidP="007D620C">
            <w:pPr>
              <w:jc w:val="center"/>
              <w:rPr>
                <w:rFonts w:eastAsia="MS Gothic"/>
                <w:b/>
                <w:bCs/>
                <w:szCs w:val="22"/>
              </w:rPr>
            </w:pPr>
            <w:r w:rsidRPr="00843724">
              <w:rPr>
                <w:szCs w:val="22"/>
              </w:rPr>
              <w:t>3,652</w:t>
            </w:r>
          </w:p>
        </w:tc>
        <w:tc>
          <w:tcPr>
            <w:tcW w:w="553" w:type="pct"/>
          </w:tcPr>
          <w:p w14:paraId="7A3FC378" w14:textId="77777777" w:rsidR="007D620C" w:rsidRPr="00843724" w:rsidRDefault="007D620C" w:rsidP="007D620C">
            <w:pPr>
              <w:jc w:val="center"/>
              <w:rPr>
                <w:szCs w:val="22"/>
              </w:rPr>
            </w:pPr>
            <w:r w:rsidRPr="00843724">
              <w:rPr>
                <w:szCs w:val="22"/>
              </w:rPr>
              <w:t>35</w:t>
            </w:r>
          </w:p>
        </w:tc>
        <w:tc>
          <w:tcPr>
            <w:tcW w:w="760" w:type="pct"/>
          </w:tcPr>
          <w:p w14:paraId="7B3AD6C4" w14:textId="77777777" w:rsidR="007D620C" w:rsidRPr="00843724" w:rsidRDefault="007D620C" w:rsidP="007D620C">
            <w:pPr>
              <w:jc w:val="center"/>
              <w:rPr>
                <w:szCs w:val="22"/>
              </w:rPr>
            </w:pPr>
            <w:r w:rsidRPr="00843724">
              <w:rPr>
                <w:szCs w:val="22"/>
              </w:rPr>
              <w:t>431</w:t>
            </w:r>
          </w:p>
          <w:p w14:paraId="1B4E06EE" w14:textId="77777777" w:rsidR="007D620C" w:rsidRPr="00843724" w:rsidRDefault="007D620C" w:rsidP="007D620C">
            <w:pPr>
              <w:jc w:val="center"/>
              <w:rPr>
                <w:rFonts w:eastAsia="MS Gothic"/>
                <w:b/>
                <w:bCs/>
                <w:szCs w:val="22"/>
              </w:rPr>
            </w:pPr>
            <w:r w:rsidRPr="00843724">
              <w:rPr>
                <w:szCs w:val="22"/>
              </w:rPr>
              <w:t>(12%)</w:t>
            </w:r>
          </w:p>
        </w:tc>
        <w:tc>
          <w:tcPr>
            <w:tcW w:w="768" w:type="pct"/>
          </w:tcPr>
          <w:p w14:paraId="1B6C9754" w14:textId="77777777" w:rsidR="007D620C" w:rsidRPr="00843724" w:rsidRDefault="007D620C" w:rsidP="007D620C">
            <w:pPr>
              <w:jc w:val="center"/>
              <w:rPr>
                <w:szCs w:val="22"/>
              </w:rPr>
            </w:pPr>
            <w:r w:rsidRPr="00843724">
              <w:rPr>
                <w:szCs w:val="22"/>
              </w:rPr>
              <w:t>1231</w:t>
            </w:r>
          </w:p>
          <w:p w14:paraId="2FF63434" w14:textId="77777777" w:rsidR="007D620C" w:rsidRPr="00843724" w:rsidRDefault="007D620C" w:rsidP="007D620C">
            <w:pPr>
              <w:jc w:val="center"/>
              <w:rPr>
                <w:rFonts w:eastAsia="MS Gothic"/>
                <w:bCs/>
                <w:szCs w:val="22"/>
              </w:rPr>
            </w:pPr>
            <w:r w:rsidRPr="00843724">
              <w:rPr>
                <w:rFonts w:eastAsia="MS Gothic"/>
                <w:bCs/>
                <w:szCs w:val="22"/>
              </w:rPr>
              <w:t>(34%)</w:t>
            </w:r>
          </w:p>
        </w:tc>
        <w:tc>
          <w:tcPr>
            <w:tcW w:w="683" w:type="pct"/>
          </w:tcPr>
          <w:p w14:paraId="133D7BB2" w14:textId="77777777" w:rsidR="007D620C" w:rsidRPr="00843724" w:rsidRDefault="007D620C" w:rsidP="007D620C">
            <w:pPr>
              <w:jc w:val="center"/>
              <w:rPr>
                <w:szCs w:val="22"/>
              </w:rPr>
            </w:pPr>
            <w:r w:rsidRPr="00843724">
              <w:rPr>
                <w:szCs w:val="22"/>
              </w:rPr>
              <w:t>637</w:t>
            </w:r>
          </w:p>
          <w:p w14:paraId="38BF161C" w14:textId="77777777" w:rsidR="007D620C" w:rsidRPr="00843724" w:rsidRDefault="007D620C" w:rsidP="007D620C">
            <w:pPr>
              <w:jc w:val="center"/>
              <w:rPr>
                <w:rFonts w:eastAsia="MS Gothic"/>
                <w:b/>
                <w:bCs/>
                <w:szCs w:val="22"/>
              </w:rPr>
            </w:pPr>
            <w:r w:rsidRPr="00843724">
              <w:rPr>
                <w:szCs w:val="22"/>
              </w:rPr>
              <w:t>(17%)</w:t>
            </w:r>
          </w:p>
        </w:tc>
        <w:tc>
          <w:tcPr>
            <w:tcW w:w="607" w:type="pct"/>
          </w:tcPr>
          <w:p w14:paraId="15BFFDBA" w14:textId="77777777" w:rsidR="007D620C" w:rsidRPr="00843724" w:rsidRDefault="007D620C" w:rsidP="007D620C">
            <w:pPr>
              <w:jc w:val="center"/>
              <w:rPr>
                <w:szCs w:val="22"/>
              </w:rPr>
            </w:pPr>
            <w:r w:rsidRPr="00843724">
              <w:rPr>
                <w:szCs w:val="22"/>
              </w:rPr>
              <w:t>1,990</w:t>
            </w:r>
          </w:p>
          <w:p w14:paraId="01757BFA" w14:textId="77777777" w:rsidR="007D620C" w:rsidRPr="00843724" w:rsidRDefault="007D620C" w:rsidP="007D620C">
            <w:pPr>
              <w:jc w:val="center"/>
              <w:rPr>
                <w:rFonts w:eastAsia="MS Gothic"/>
                <w:b/>
                <w:bCs/>
                <w:szCs w:val="22"/>
              </w:rPr>
            </w:pPr>
            <w:r w:rsidRPr="00843724">
              <w:rPr>
                <w:szCs w:val="22"/>
              </w:rPr>
              <w:t>(54%)</w:t>
            </w:r>
          </w:p>
        </w:tc>
      </w:tr>
    </w:tbl>
    <w:p w14:paraId="17EA6BB3" w14:textId="77777777" w:rsidR="007D620C" w:rsidRPr="008608AA" w:rsidRDefault="007D620C" w:rsidP="0032208B">
      <w:pPr>
        <w:rPr>
          <w:b/>
        </w:rPr>
      </w:pPr>
    </w:p>
    <w:p w14:paraId="45D247CF" w14:textId="07FCC7D5" w:rsidR="004255E7" w:rsidRPr="008608AA" w:rsidRDefault="00B2242D" w:rsidP="00C1178A">
      <w:pPr>
        <w:jc w:val="center"/>
        <w:rPr>
          <w:noProof/>
          <w:lang w:val="es-CO"/>
        </w:rPr>
      </w:pPr>
      <w:r w:rsidRPr="008608AA">
        <w:rPr>
          <w:b/>
          <w:noProof/>
          <w:lang w:val="en-GB" w:eastAsia="en-GB"/>
        </w:rPr>
        <w:drawing>
          <wp:inline distT="0" distB="0" distL="0" distR="0" wp14:anchorId="3E7E87E7" wp14:editId="536FEDA5">
            <wp:extent cx="5934075" cy="8553450"/>
            <wp:effectExtent l="0" t="0" r="9525" b="0"/>
            <wp:docPr id="255" name="Imagen 255" descr="C:\Users\Alejandro Valderrama\Downloads\Fig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3" descr="C:\Users\Alejandro Valderrama\Downloads\Fig3.4.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4075" cy="8553450"/>
                    </a:xfrm>
                    <a:prstGeom prst="rect">
                      <a:avLst/>
                    </a:prstGeom>
                    <a:noFill/>
                    <a:ln>
                      <a:noFill/>
                    </a:ln>
                  </pic:spPr>
                </pic:pic>
              </a:graphicData>
            </a:graphic>
          </wp:inline>
        </w:drawing>
      </w:r>
    </w:p>
    <w:p w14:paraId="0BE568EB" w14:textId="77777777" w:rsidR="00C1178A" w:rsidRPr="008608AA" w:rsidRDefault="00C1178A" w:rsidP="00895B15">
      <w:pPr>
        <w:spacing w:before="120" w:after="120"/>
      </w:pPr>
    </w:p>
    <w:p w14:paraId="6B1954E2" w14:textId="5108D1E5" w:rsidR="004255E7" w:rsidRPr="008608AA" w:rsidRDefault="004255E7" w:rsidP="00C1178A">
      <w:pPr>
        <w:spacing w:before="120" w:after="120"/>
      </w:pPr>
      <w:r w:rsidRPr="008608AA">
        <w:t>C</w:t>
      </w:r>
      <w:r w:rsidR="00657833" w:rsidRPr="008608AA">
        <w:t xml:space="preserve">ontinent-level spatial patterns. </w:t>
      </w:r>
      <w:r w:rsidRPr="008608AA">
        <w:t xml:space="preserve">The development of new biodiversity metrics that go beyond traditional species richness and better spatial data coverage of species over the past 15 years have greatly improved our understanding of how biodiversity is distributed at a finer geographical scale within the Americas. New patterns have emerged that are highly relevant for the valuation of biodiversity across the region. See </w:t>
      </w:r>
      <w:r w:rsidR="00895B15" w:rsidRPr="008608AA">
        <w:t>the g</w:t>
      </w:r>
      <w:r w:rsidR="00F65807" w:rsidRPr="008608AA">
        <w:t>lossary</w:t>
      </w:r>
      <w:r w:rsidRPr="008608AA">
        <w:t xml:space="preserve"> for definitions of the biodiversity metrics assessed.</w:t>
      </w:r>
    </w:p>
    <w:p w14:paraId="45DA6587" w14:textId="24F0DC47" w:rsidR="004255E7" w:rsidRPr="008608AA" w:rsidRDefault="004255E7" w:rsidP="00C1178A">
      <w:pPr>
        <w:spacing w:after="120"/>
      </w:pPr>
      <w:r w:rsidRPr="008608AA">
        <w:t>Reflecting the subregion-level survey data (Table 3.1), amphibians, birds, mammals, and plants all show high species richness in tropical South Ameri</w:t>
      </w:r>
      <w:r w:rsidR="00895B15" w:rsidRPr="008608AA">
        <w:t>ca and Mesoamerica (Figure 3.4</w:t>
      </w:r>
      <w:r w:rsidRPr="008608AA">
        <w:t>a). For mammals and amphibians, the highest richness is found in the Andes, the coastal northwest of South America and the Atlantic coast</w:t>
      </w:r>
      <w:r w:rsidR="00895B15" w:rsidRPr="008608AA">
        <w:t xml:space="preserve"> of Brazil; plants (Figure 3.4</w:t>
      </w:r>
      <w:r w:rsidRPr="008608AA">
        <w:t>a) reach their highest richness in Mesoamerica, the Andes and other regions of South America. Avian richness shows peaks in both the lowlands and parts of the Andes. Evidence from ants (</w:t>
      </w:r>
      <w:r w:rsidRPr="008608AA">
        <w:fldChar w:fldCharType="begin" w:fldLock="1"/>
      </w:r>
      <w:r w:rsidRPr="008608AA">
        <w:instrText>ADDIN CSL_CITATION { "citationItems" : [ { "id" : "ITEM-1", "itemData" : { "DOI" : "10.1111/j.1461-0248.2009.01291.x", "ISBN" : "1461-023X", "ISSN" : "1461023X", "PMID" : "19292793", "abstract" : "Although many taxa show a latitudinal gradient in richness, the relationship between latitude and species richness is often asymmetrical between the northern and southern hemispheres. Here we examine the latitudinal pattern of species richness across 1003 local ant assemblages. We find latitudinal asymmetry, with southern hemisphere sites being more diverse than northern hemisphere sites. Most of this asymmetry could be explained statistically by differences in contemporary climate. Local ant species richness was positively associated with temperature, but negatively (although weakly) associated with temperature range and precipitation. After contemporary climate was accounted for, a modest difference in diversity between hemispheres persisted, suggesting that factors other than contemporary climate contributed to the hemispherical asymmetry. The most parsimonious explanation for this remaining asymmetry is that greater climate change since the Eocene in the northern than in the southern hemisphere has led to more extinctions in the northern hemisphere with consequent effects on local ant species richness.", "author" : [ { "dropping-particle" : "", "family" : "Dunn", "given" : "Robert R.", "non-dropping-particle" : "", "parse-names" : false, "suffix" : "" }, { "dropping-particle" : "", "family" : "Agosti", "given" : "Donat", "non-dropping-particle" : "", "parse-names" : false, "suffix" : "" }, { "dropping-particle" : "", "family" : "Andersen", "given" : "Alan N.", "non-dropping-particle" : "", "parse-names" : false, "suffix" : "" }, { "dropping-particle" : "", "family" : "Arnan", "given" : "Xavier", "non-dropping-particle" : "", "parse-names" : false, "suffix" : "" }, { "dropping-particle" : "", "family" : "Bruhl", "given" : "Carsten A.", "non-dropping-particle" : "", "parse-names" : false, "suffix" : "" }, { "dropping-particle" : "", "family" : "Cerd\u00e1", "given" : "Xim", "non-dropping-particle" : "", "parse-names" : false, "suffix" : "" }, { "dropping-particle" : "", "family" : "Ellison", "given" : "Aaron M.", "non-dropping-particle" : "", "parse-names" : false, "suffix" : "" }, { "dropping-particle" : "", "family" : "Fisher", "given" : "Brian L.", "non-dropping-particle" : "", "parse-names" : false, "suffix" : "" }, { "dropping-particle" : "", "family" : "Fitzpatrick", "given" : "Matthew C.", "non-dropping-particle" : "", "parse-names" : false, "suffix" : "" }, { "dropping-particle" : "", "family" : "Gibb", "given" : "Heloise", "non-dropping-particle" : "", "parse-names" : false, "suffix" : "" }, { "dropping-particle" : "", "family" : "Gotelli", "given" : "Nicholas J.", "non-dropping-particle" : "", "parse-names" : false, "suffix" : "" }, { "dropping-particle" : "", "family" : "Gove", "given" : "Aaron D.", "non-dropping-particle" : "", "parse-names" : false, "suffix" : "" }, { "dropping-particle" : "", "family" : "Guenard", "given" : "Benoit", "non-dropping-particle" : "", "parse-names" : false, "suffix" : "" }, { "dropping-particle" : "", "family" : "Janda", "given" : "Milan", "non-dropping-particle" : "", "parse-names" : false, "suffix" : "" }, { "dropping-particle" : "", "family" : "Kaspari", "given" : "Michael", "non-dropping-particle" : "", "parse-names" : false, "suffix" : "" }, { "dropping-particle" : "", "family" : "Laurent", "given" : "Edward J.", "non-dropping-particle" : "", "parse-names" : false, "suffix" : "" }, { "dropping-particle" : "", "family" : "Lessard", "given" : "Jean Philippe", "non-dropping-particle" : "", "parse-names" : false, "suffix" : "" }, { "dropping-particle" : "", "family" : "Longino", "given" : "John T.", "non-dropping-particle" : "", "parse-names" : false, "suffix" : "" }, { "dropping-particle" : "", "family" : "Majer", "given" : "Jonathan D.", "non-dropping-particle" : "", "parse-names" : false, "suffix" : "" }, { "dropping-particle" : "", "family" : "Menke", "given" : "Sean B.", "non-dropping-particle" : "", "parse-names" : false, "suffix" : "" }, { "dropping-particle" : "", "family" : "McGlynn", "given" : "Terrence P.", "non-dropping-particle" : "", "parse-names" : false, "suffix" : "" }, { "dropping-particle" : "", "family" : "Parr", "given" : "Catherine L.", "non-dropping-particle" : "", "parse-names" : false, "suffix" : "" }, { "dropping-particle" : "", "family" : "Philpott", "given" : "Stacy M.", "non-dropping-particle" : "", "parse-names" : false, "suffix" : "" }, { "dropping-particle" : "", "family" : "Pfeiffer", "given" : "Martin", "non-dropping-particle" : "", "parse-names" : false, "suffix" : "" }, { "dropping-particle" : "", "family" : "Retana", "given" : "Javier", "non-dropping-particle" : "", "parse-names" : false, "suffix" : "" }, { "dropping-particle" : "V.", "family" : "Suarez", "given" : "Andrew", "non-dropping-particle" : "", "parse-names" : false, "suffix" : "" }, { "dropping-particle" : "", "family" : "Vasconcelos", "given" : "Heraldo L.", "non-dropping-particle" : "", "parse-names" : false, "suffix" : "" }, { "dropping-particle" : "", "family" : "Weiser", "given" : "Michael D.", "non-dropping-particle" : "", "parse-names" : false, "suffix" : "" }, { "dropping-particle" : "", "family" : "Sanders", "given" : "Nathan J.", "non-dropping-particle" : "", "parse-names" : false, "suffix" : "" } ], "container-title" : "Ecology Letters", "id" : "ITEM-1", "issue" : "4", "issued" : { "date-parts" : [ [ "2009" ] ] }, "page" : "324-333", "title" : "Climatic drivers of hemispheric asymmetry in global patterns of ant species richness", "type" : "article-journal", "volume" : "12" }, "uris" : [ "http://www.mendeley.com/documents/?uuid=9c58e852-d5c3-4977-8b8d-c70b68bc8861" ] } ], "mendeley" : { "formattedCitation" : "(Dunn et al., 2009)", "manualFormatting" : "Dunn et al., 2009", "plainTextFormattedCitation" : "(Dunn et al., 2009)", "previouslyFormattedCitation" : "(Dunn et al., 2009)" }, "properties" : { "noteIndex" : 0 }, "schema" : "https://github.com/citation-style-language/schema/raw/master/csl-citation.json" }</w:instrText>
      </w:r>
      <w:r w:rsidRPr="008608AA">
        <w:fldChar w:fldCharType="separate"/>
      </w:r>
      <w:r w:rsidRPr="008608AA">
        <w:rPr>
          <w:noProof/>
        </w:rPr>
        <w:t>Dunn et al., 2009</w:t>
      </w:r>
      <w:r w:rsidRPr="008608AA">
        <w:fldChar w:fldCharType="end"/>
      </w:r>
      <w:r w:rsidRPr="008608AA">
        <w:t>) and soil fungal communities (</w:t>
      </w:r>
      <w:r w:rsidRPr="008608AA">
        <w:fldChar w:fldCharType="begin" w:fldLock="1"/>
      </w:r>
      <w:r w:rsidRPr="008608AA">
        <w:instrText>ADDIN CSL_CITATION { "citationItems" : [ { "id" : "ITEM-1", "itemData" : { "DOI" : "10.1126/science.1256688", "ISBN" : "1095-9203 (Electronic) 0036-8075 (Linking)", "ISSN" : "0036-8075", "PMID" : "25430773", "abstract" : "Fungi play major roles in ecosystem processes, but the determinants of fungal diversity and biogeographic patterns remain poorly understood. Using DNA metabarcoding data from hundreds of globally distributed soil samples, we demonstrate that fungal richness is decoupled from plant diversity. The plant-to-fungus richness ratio declines exponentially toward the poles. Climatic factors, followed by edaphic and spatial variables, constitute the best predictors of fungal richness and community composition at the global scale. Fungi show similar latitudinal diversity gradients to other organisms, with several notable exceptions. These findings advance our understanding of global fungal diversity patterns and permit integration of fungi into a general macroecological framework.", "author" : [ { "dropping-particle" : "", "family" : "Tedersoo", "given" : "L.", "non-dropping-particle" : "", "parse-names" : false, "suffix" : "" }, { "dropping-particle" : "", "family" : "Bahram", "given" : "Mohammad", "non-dropping-particle" : "", "parse-names" : false, "suffix" : "" }, { "dropping-particle" : "", "family" : "Polme", "given" : "S.", "non-dropping-particle" : "", "parse-names" : false, "suffix" : "" }, { "dropping-particle" : "", "family" : "Koljalg", "given" : "U.", "non-dropping-particle" : "", "parse-names" : false, "suffix" : "" }, { "dropping-particle" : "", "family" : "Yorou", "given" : "Nourou S.", "non-dropping-particle" : "", "parse-names" : false, "suffix" : "" }, { "dropping-particle" : "", "family" : "Wijesundera", "given" : "Ravi", "non-dropping-particle" : "", "parse-names" : false, "suffix" : "" }, { "dropping-particle" : "", "family" : "Ruiz", "given" : "Luis Villarreal", "non-dropping-particle" : "", "parse-names" : false, "suffix" : "" }, { "dropping-particle" : "", "family" : "Vasco-Palacios", "given" : "A\u00edda M.", "non-dropping-particle" : "", "parse-names" : false, "suffix" : "" }, { "dropping-particle" : "", "family" : "Thu", "given" : "Pham Quang", "non-dropping-particle" : "", "parse-names" : false, "suffix" : "" }, { "dropping-particle" : "", "family" : "Suija", "given" : "Ave", "non-dropping-particle" : "", "parse-names" : false, "suffix" : "" }, { "dropping-particle" : "", "family" : "Smith", "given" : "Matthew E.", "non-dropping-particle" : "", "parse-names" : false, "suffix" : "" }, { "dropping-particle" : "", "family" : "Sharp", "given" : "Cathy", "non-dropping-particle" : "", "parse-names" : false, "suffix" : "" }, { "dropping-particle" : "", "family" : "Saluveer", "given" : "Erki", "non-dropping-particle" : "", "parse-names" : false, "suffix" : "" }, { "dropping-particle" : "", "family" : "Saitta", "given" : "Alessandro", "non-dropping-particle" : "", "parse-names" : false, "suffix" : "" }, { "dropping-particle" : "", "family" : "Rosas", "given" : "Miguel", "non-dropping-particle" : "", "parse-names" : false, "suffix" : "" }, { "dropping-particle" : "", "family" : "Riit", "given" : "Taavi", "non-dropping-particle" : "", "parse-names" : false, "suffix" : "" }, { "dropping-particle" : "", "family" : "Ratkowsky", "given" : "David", "non-dropping-particle" : "", "parse-names" : false, "suffix" : "" }, { "dropping-particle" : "", "family" : "Pritsch", "given" : "Karin", "non-dropping-particle" : "", "parse-names" : false, "suffix" : "" }, { "dropping-particle" : "", "family" : "Poldmaa", "given" : "K.", "non-dropping-particle" : "", "parse-names" : false, "suffix" : "" }, { "dropping-particle" : "", "family" : "Piepenbring", "given" : "Meike", "non-dropping-particle" : "", "parse-names" : false, "suffix" : "" }, { "dropping-particle" : "", "family" : "Phosri", "given" : "Cherdchai", "non-dropping-particle" : "", "parse-names" : false, "suffix" : "" }, { "dropping-particle" : "", "family" : "Peterson", "given" : "Marko", "non-dropping-particle" : "", "parse-names" : false, "suffix" : "" }, { "dropping-particle" : "", "family" : "Parts", "given" : "Kaarin", "non-dropping-particle" : "", "parse-names" : false, "suffix" : "" }, { "dropping-particle" : "", "family" : "Partel", "given" : "K", "non-dropping-particle" : "", "parse-names" : false, "suffix" : "" }, { "dropping-particle" : "", "family" : "Otsing", "given" : "Eveli", "non-dropping-particle" : "", "parse-names" : false, "suffix" : "" }, { "dropping-particle" : "", "family" : "Nouhra", "given" : "Eduardo", "non-dropping-particle" : "", "parse-names" : false, "suffix" : "" }, { "dropping-particle" : "", "family" : "Njouonkou", "given" : "Andr\u00e9 L.", "non-dropping-particle" : "", "parse-names" : false, "suffix" : "" }, { "dropping-particle" : "", "family" : "Nilsson", "given" : "R. Henrik", "non-dropping-particle" : "", "parse-names" : false, "suffix" : "" }, { "dropping-particle" : "", "family" : "Morgado", "given" : "Luis N.", "non-dropping-particle" : "", "parse-names" : false, "suffix" : "" }, { "dropping-particle" : "", "family" : "Mayor", "given" : "Jordan", "non-dropping-particle" : "", "parse-names" : false, "suffix" : "" }, { "dropping-particle" : "", "family" : "May", "given" : "Tom W.", "non-dropping-particle" : "", "parse-names" : false, "suffix" : "" }, { "dropping-particle" : "", "family" : "Majuakim", "given" : "Luiza", "non-dropping-particle" : "", "parse-names" : false, "suffix" : "" }, { "dropping-particle" : "", "family" : "Lodge", "given" : "D. Jean", "non-dropping-particle" : "", "parse-names" : false, "suffix" : "" }, { "dropping-particle" : "", "family" : "Lee", "given" : "Su See", "non-dropping-particle" : "", "parse-names" : false, "suffix" : "" }, { "dropping-particle" : "", "family" : "Larsson", "given" : "K.-H.", "non-dropping-particle" : "", "parse-names" : false, "suffix" : "" }, { "dropping-particle" : "", "family" : "Kohout", "given" : "Petr", "non-dropping-particle" : "", "parse-names" : false, "suffix" : "" }, { "dropping-particle" : "", "family" : "Hosaka", "given" : "Kentaro", "non-dropping-particle" : "", "parse-names" : false, "suffix" : "" }, { "dropping-particle" : "", "family" : "Hiiesalu", "given" : "Indrek", "non-dropping-particle" : "", "parse-names" : false, "suffix" : "" }, { "dropping-particle" : "", "family" : "Henkel", "given" : "Terry W.", "non-dropping-particle" : "", "parse-names" : false, "suffix" : "" }, { "dropping-particle" : "", "family" : "Harend", "given" : "Helery", "non-dropping-particle" : "", "parse-names" : false, "suffix" : "" }, { "dropping-particle" : "", "family" : "Guo", "given" : "L.-D.", "non-dropping-particle" : "", "parse-names" : false, "suffix" : "" }, { "dropping-particle" : "", "family" : "Greslebin", "given" : "Alina", "non-dropping-particle" : "", "parse-names" : false, "suffix" : "" }, { "dropping-particle" : "", "family" : "Grelet", "given" : "Gwen", "non-dropping-particle" : "", "parse-names" : false, "suffix" : "" }, { "dropping-particle" : "", "family" : "Geml", "given" : "Jozsef", "non-dropping-particle" : "", "parse-names" : false, "suffix" : "" }, { "dropping-particle" : "", "family" : "Gates", "given" : "Genevieve", "non-dropping-particle" : "", "parse-names" : false, "suffix" : "" }, { "dropping-particle" : "", "family" : "Dunstan", "given" : "William", "non-dropping-particle" : "", "parse-names" : false, "suffix" : "" }, { "dropping-particle" : "", "family" : "Dunk", "given" : "Chris", "non-dropping-particle" : "", "parse-names" : false, "suffix" : "" }, { "dropping-particle" : "", "family" : "Drenkhan", "given" : "Rein", "non-dropping-particle" : "", "parse-names" : false, "suffix" : "" }, { "dropping-particle" : "", "family" : "Dearnaley", "given" : "John", "non-dropping-particle" : "", "parse-names" : false, "suffix" : "" }, { "dropping-particle" : "", "family" : "Kesel", "given" : "A.", "non-dropping-particle" : "De", "parse-names" : false, "suffix" : "" }, { "dropping-particle" : "", "family" : "Dang", "given" : "Tan", "non-dropping-particle" : "", "parse-names" : false, "suffix" : "" }, { "dropping-particle" : "", "family" : "Chen", "given" : "Xin", "non-dropping-particle" : "", "parse-names" : false, "suffix" : "" }, { "dropping-particle" : "", "family" : "Buegger", "given" : "Franz", "non-dropping-particle" : "", "parse-names" : false, "suffix" : "" }, { "dropping-particle" : "", "family" : "Brearley", "given" : "Francis Q.", "non-dropping-particle" : "", "parse-names" : false, "suffix" : "" }, { "dropping-particle" : "", "family" : "Bonito", "given" : "Gregory", "non-dropping-particle" : "", "parse-names" : false, "suffix" : "" }, { "dropping-particle" : "", "family" : "Anslan", "given" : "Sten", "non-dropping-particle" : "", "parse-names" : false, "suffix" : "" }, { "dropping-particle" : "", "family" : "Abell", "given" : "Sandra", "non-dropping-particle" : "", "parse-names" : false, "suffix" : "" }, { "dropping-particle" : "", "family" : "Abarenkov", "given" : "Kessy", "non-dropping-particle" : "", "parse-names" : false, "suffix" : "" } ], "container-title" : "Science", "id" : "ITEM-1", "issue" : "6213", "issued" : { "date-parts" : [ [ "2014" ] ] }, "page" : "1256688", "title" : "Global diversity and geography of soil fungi", "type" : "article-journal", "volume" : "346" }, "uris" : [ "http://www.mendeley.com/documents/?uuid=8c3a8400-4350-30d2-83a0-4692a49b7321" ] } ], "mendeley" : { "formattedCitation" : "(Tedersoo et al., 2014)", "manualFormatting" : "Tedersoo et al., 2014", "plainTextFormattedCitation" : "(Tedersoo et al., 2014)", "previouslyFormattedCitation" : "(Tedersoo et al., 2014)" }, "properties" : { "noteIndex" : 0 }, "schema" : "https://github.com/citation-style-language/schema/raw/master/csl-citation.json" }</w:instrText>
      </w:r>
      <w:r w:rsidRPr="008608AA">
        <w:fldChar w:fldCharType="separate"/>
      </w:r>
      <w:r w:rsidRPr="008608AA">
        <w:rPr>
          <w:noProof/>
        </w:rPr>
        <w:t>Tedersoo et al., 2014</w:t>
      </w:r>
      <w:r w:rsidRPr="008608AA">
        <w:fldChar w:fldCharType="end"/>
      </w:r>
      <w:r w:rsidRPr="008608AA">
        <w:t xml:space="preserve">) suggests that these taxa may also reach their peak diversity in tropical regions, although considerable gaps exist in spatial sampling for these groups. Outside of the tropics, amphibians and plants show moderately high species richness in the southeastern USA (Figure 3.4. a) </w:t>
      </w:r>
      <w:r w:rsidRPr="008608AA">
        <w:fldChar w:fldCharType="begin" w:fldLock="1"/>
      </w:r>
      <w:r w:rsidRPr="008608AA">
        <w:instrText>ADDIN CSL_CITATION { "citationItems" : [ { "id" : "ITEM-1", "itemData" : { "DOI" : "10.1098/rspb.2006.0436", "ISBN" : "0962-8452 (Print)\\n0962-8452 (Linking)", "ISSN" : "0962-8452", "PMID" : "17327208", "abstract" : "Our knowledge of the broad-scale ecology of vertebrate ectotherms remains very limited. Despite ongoing declines and sensitivity to environmental change, amphibian distributions are particularly poorly understood. We present a global analysis of contemporary environmental and historical constraints on amphibian richness, the first for an ectotherm clade at this scale. Amphibians are presumed to experience environmental constraints distinct from those of better studied endothermic taxa due to their stringent water requirements and the temperature dependence of their energetic costs and performance. Single environmental predictors set upper bounds on, but do not exclusively determine, amphibian richness. Accounting for differing regional histories of speciation and extinction helps resolve triangular or scattered relationships between core environmental predictors and amphibian richness, as the relationships' intercepts or slopes can vary regionally. While the magnitude of richness is strongly determined by regional history, within-region patterns are consistently jointly driven by water and temperature. This confirms that ecophysiological constraints extend to the broad scale. This coupling suggests that shifts in climatic regimes will probably have dramatic consequences for amphibians. Our results illustrate how the environmental and historical explanations of species richness gradients can be reconciled and how the perspectives are complements for understanding broad-scale patterns of diversity.", "author" : [ { "dropping-particle" : "", "family" : "Buckley", "given" : "Lauren B.", "non-dropping-particle" : "", "parse-names" : false, "suffix" : "" }, { "dropping-particle" : "", "family" : "Jetz", "given" : "Walter", "non-dropping-particle" : "", "parse-names" : false, "suffix" : "" } ], "container-title" : "Proceedings of the Royal Society B: Biological Sciences", "id" : "ITEM-1", "issue" : "1614", "issued" : { "date-parts" : [ [ "2007" ] ] }, "page" : "1167-1173", "title" : "Environmental and historical constraints on global patterns of amphibian richness", "type" : "article-journal", "volume" : "274" }, "uris" : [ "http://www.mendeley.com/documents/?uuid=e393bc40-d292-48a4-a3ca-1b960c63c553" ] } ], "mendeley" : { "formattedCitation" : "(Buckley &amp; Jetz, 2007)", "manualFormatting" : "(Buckley &amp; Jetz, 2007)", "plainTextFormattedCitation" : "(Buckley &amp; Jetz, 2007)", "previouslyFormattedCitation" : "(Buckley &amp; Jetz, 2007)" }, "properties" : { "noteIndex" : 0 }, "schema" : "https://github.com/citation-style-language/schema/raw/master/csl-citation.json" }</w:instrText>
      </w:r>
      <w:r w:rsidRPr="008608AA">
        <w:fldChar w:fldCharType="separate"/>
      </w:r>
      <w:r w:rsidRPr="008608AA">
        <w:rPr>
          <w:noProof/>
        </w:rPr>
        <w:t>(Buckley &amp; Jetz, 2007)</w:t>
      </w:r>
      <w:r w:rsidRPr="008608AA">
        <w:fldChar w:fldCharType="end"/>
      </w:r>
      <w:r w:rsidRPr="008608AA">
        <w:t>, and plants and mammals both reach high or moderately high richness in the western USA.</w:t>
      </w:r>
    </w:p>
    <w:p w14:paraId="6675B698" w14:textId="77777777" w:rsidR="004255E7" w:rsidRPr="008608AA" w:rsidRDefault="004255E7" w:rsidP="00C1178A">
      <w:pPr>
        <w:spacing w:after="120"/>
      </w:pPr>
      <w:r w:rsidRPr="008608AA">
        <w:t>In contrast to species richness, which is broadly congruent across taxa and reaches its peak in tropical South America, highest evolutionary distinctiveness is found outside of the tropics for all taxa (Figure 3.4. b). For the taxa where information is available, this indicates that the regions where co-occurring species are more distantly related on average tend not to be found in the tropics. Among amphibians, high evolutionary distinctiveness is found in western North America and parts of Mesoamerica. Mammals have high evolutionary distinctiveness throughout the Americas, especially in the Mediterranean region of southwestern South America. Birds and plants both have hotspots of evolutionary distinctiveness at high latitudes, indicating that even in these regions where low numbers of species persist, the species that do occur are drawn from distinct branches across the tree of life. Birds also achieve moderately high evolutionary distinctiveness in the tropical lowlands of South America. Overall, these trends indicate that subtropical, temperate or boreal regions can be rich in certain dimensions of biodiversity. This, of course, does not mean that the tropics have less overall evolutionary diversity, but rather that tropical species often co-occur with many close relatives, reducing their evolutionary distinctiveness.</w:t>
      </w:r>
    </w:p>
    <w:p w14:paraId="4CEADB28" w14:textId="11D25A9B" w:rsidR="004255E7" w:rsidRPr="008608AA" w:rsidRDefault="004255E7" w:rsidP="00C1178A">
      <w:pPr>
        <w:spacing w:after="120"/>
      </w:pPr>
      <w:r w:rsidRPr="008608AA">
        <w:t>In all taxa, high phylogenetic endemism occurs in Mesoamerica and in parts of tropical South America, particularly the coastal northwest and tropical Andes (Figure 3.4. c). Amphibians, mammals, and plants have further hotspots of phylogenetic endemism  in the western USA, and amphibians and plants also have high phylogenetic endemis</w:t>
      </w:r>
      <w:r w:rsidR="00AD22AA" w:rsidRPr="008608AA">
        <w:t xml:space="preserve">m </w:t>
      </w:r>
      <w:r w:rsidRPr="008608AA">
        <w:t xml:space="preserve">in the southeastern USA. Central and part of southern Chile also stand out for some groups. With some deviations, geographic patterns of phylogenetic endemism  in these particular areas of the Americas tend to mirror species richness, signifying overall that they generally house large numbers of evolutionary distinct species and lineages not found elsewhere. Such areas are worthy of special concern in conservation decision-making but are sometimes located where protection measures are still poor </w:t>
      </w:r>
      <w:r w:rsidR="0032208B" w:rsidRPr="008608AA">
        <w:t>(</w:t>
      </w:r>
      <w:r w:rsidRPr="008608AA">
        <w:t>3.5.2</w:t>
      </w:r>
      <w:r w:rsidR="0032208B" w:rsidRPr="008608AA">
        <w:t>)</w:t>
      </w:r>
      <w:r w:rsidRPr="008608AA">
        <w:t>.</w:t>
      </w:r>
    </w:p>
    <w:p w14:paraId="68E6639F" w14:textId="77777777" w:rsidR="004255E7" w:rsidRPr="008608AA" w:rsidRDefault="004255E7" w:rsidP="00C1178A">
      <w:pPr>
        <w:spacing w:after="120"/>
      </w:pPr>
      <w:r w:rsidRPr="008608AA">
        <w:t xml:space="preserve">Variation in functional traits, a measure of functional diversity, can tell us about the diversity of ecological adaptations among a set of organisms and the potential of particular ecosystems to adjust to environmental change. Data are available on three functional traits for plants; specific leaf area, seed mass and plant height. Specific leaf area (the area of a leaf divided by its dry weight) is tightly linked to photosynthetic rates and nutrient content. It is indicative of the life history strategy of the plant along a spectrum ranging from rapid growth and competitive resource capture to slow growth and stress tolerance </w:t>
      </w:r>
      <w:r w:rsidRPr="008608AA">
        <w:fldChar w:fldCharType="begin" w:fldLock="1"/>
      </w:r>
      <w:r w:rsidRPr="008608AA">
        <w:instrText>ADDIN CSL_CITATION { "citationItems" : [ { "id" : "ITEM-1", "itemData" : { "DOI" : "10.1038/nature02403", "ISBN" : "0028-0836", "ISSN" : "0028-0836", "PMID" : "15103368", "abstract" : "Bringing together leaf trait data spanning 2,548 species and 175 sites we describe, for the first time at global scale, a universal spectrum of leaf economics consisting of key chemical, structural and physiological properties. The spectrum runs from quick to slow return on investments of nutrients and dry mass in leaves, and operates largely independently of growth form, plant functional type or biome. Categories along the spectrum would, in general, describe leaf economic variation at the global scale better than plant functional types overlap substantially in their leaf traits. Overall, modulation of leaf traits and trait relationships by climate is surprisingly modest, although some striking and significant patterns can be seen. Reliable quantification of the leaf economics spectrum and its interaction with climate will prove valuable for modelling nutrient fluxes and vegetation boundaries under changing land-use and climate.", "author" : [ { "dropping-particle" : "", "family" : "Wright", "given" : "Ian J.", "non-dropping-particle" : "", "parse-names" : false, "suffix" : "" }, { "dropping-particle" : "", "family" : "Reich", "given" : "Peter B.", "non-dropping-particle" : "", "parse-names" : false, "suffix" : "" }, { "dropping-particle" : "", "family" : "Westoby", "given" : "Mark", "non-dropping-particle" : "", "parse-names" : false, "suffix" : "" }, { "dropping-particle" : "", "family" : "Ackerly", "given" : "D. D.", "non-dropping-particle" : "", "parse-names" : false, "suffix" : "" }, { "dropping-particle" : "", "family" : "Baruch", "given" : "Zdravko", "non-dropping-particle" : "", "parse-names" : false, "suffix" : "" }, { "dropping-particle" : "", "family" : "Bongers", "given" : "Frans", "non-dropping-particle" : "", "parse-names" : false, "suffix" : "" }, { "dropping-particle" : "", "family" : "Cavender-Bares", "given" : "Jeannine", "non-dropping-particle" : "", "parse-names" : false, "suffix" : "" }, { "dropping-particle" : "", "family" : "Chapin", "given" : "Terry", "non-dropping-particle" : "", "parse-names" : false, "suffix" : "" }, { "dropping-particle" : "", "family" : "Cornelissen", "given" : "Johannes H. C.", "non-dropping-particle" : "", "parse-names" : false, "suffix" : "" }, { "dropping-particle" : "", "family" : "Diemer", "given" : "Matthias", "non-dropping-particle" : "", "parse-names" : false, "suffix" : "" }, { "dropping-particle" : "", "family" : "Flexas", "given" : "Jaume", "non-dropping-particle" : "", "parse-names" : false, "suffix" : "" }, { "dropping-particle" : "", "family" : "Garnier", "given" : "Eric", "non-dropping-particle" : "", "parse-names" : false, "suffix" : "" }, { "dropping-particle" : "", "family" : "Groom", "given" : "Philip K.", "non-dropping-particle" : "", "parse-names" : false, "suffix" : "" }, { "dropping-particle" : "", "family" : "Gulias", "given" : "Javier", "non-dropping-particle" : "", "parse-names" : false, "suffix" : "" }, { "dropping-particle" : "", "family" : "Hikosaka", "given" : "Kouki", "non-dropping-particle" : "", "parse-names" : false, "suffix" : "" }, { "dropping-particle" : "", "family" : "Lamont", "given" : "Byron B.", "non-dropping-particle" : "", "parse-names" : false, "suffix" : "" }, { "dropping-particle" : "", "family" : "Lee", "given" : "Tali", "non-dropping-particle" : "", "parse-names" : false, "suffix" : "" }, { "dropping-particle" : "", "family" : "Lee", "given" : "William", "non-dropping-particle" : "", "parse-names" : false, "suffix" : "" }, { "dropping-particle" : "", "family" : "Lusk", "given" : "Christopher", "non-dropping-particle" : "", "parse-names" : false, "suffix" : "" }, { "dropping-particle" : "", "family" : "Midgley", "given" : "Jeremy J.", "non-dropping-particle" : "", "parse-names" : false, "suffix" : "" }, { "dropping-particle" : "", "family" : "Navas", "given" : "Marie-Laure", "non-dropping-particle" : "", "parse-names" : false, "suffix" : "" }, { "dropping-particle" : "", "family" : "Niinemets", "given" : "\u00dc.", "non-dropping-particle" : "", "parse-names" : false, "suffix" : "" }, { "dropping-particle" : "", "family" : "Oleksyn", "given" : "Jacek", "non-dropping-particle" : "", "parse-names" : false, "suffix" : "" }, { "dropping-particle" : "", "family" : "Osada", "given" : "Noriyuki", "non-dropping-particle" : "", "parse-names" : false, "suffix" : "" }, { "dropping-particle" : "", "family" : "Poorter", "given" : "Hendrik", "non-dropping-particle" : "", "parse-names" : false, "suffix" : "" }, { "dropping-particle" : "", "family" : "Poot", "given" : "Pieter", "non-dropping-particle" : "", "parse-names" : false, "suffix" : "" }, { "dropping-particle" : "", "family" : "Prior", "given" : "Lynda", "non-dropping-particle" : "", "parse-names" : false, "suffix" : "" }, { "dropping-particle" : "", "family" : "Pyankov", "given" : "Vladimir I.", "non-dropping-particle" : "", "parse-names" : false, "suffix" : "" }, { "dropping-particle" : "", "family" : "Roumet", "given" : "Catherine", "non-dropping-particle" : "", "parse-names" : false, "suffix" : "" }, { "dropping-particle" : "", "family" : "Thomas", "given" : "Sean C.", "non-dropping-particle" : "", "parse-names" : false, "suffix" : "" }, { "dropping-particle" : "", "family" : "Tjoelker", "given" : "Mark G.", "non-dropping-particle" : "", "parse-names" : false, "suffix" : "" }, { "dropping-particle" : "", "family" : "Veneklaas", "given" : "Erik J.", "non-dropping-particle" : "", "parse-names" : false, "suffix" : "" }, { "dropping-particle" : "", "family" : "Villar", "given" : "Rafael", "non-dropping-particle" : "", "parse-names" : false, "suffix" : "" } ], "container-title" : "Nature", "id" : "ITEM-1", "issue" : "6985", "issued" : { "date-parts" : [ [ "2004" ] ] }, "page" : "821-827", "title" : "The worldwide leaf economics spectrum", "type" : "article-journal", "volume" : "428" }, "uris" : [ "http://www.mendeley.com/documents/?uuid=21d0b29a-0893-4bb0-a359-059ac4a68912" ] } ], "mendeley" : { "formattedCitation" : "(I. J. Wright et al., 2004)", "manualFormatting" : "(Wright et al., 2004)", "plainTextFormattedCitation" : "(I. J. Wright et al., 2004)", "previouslyFormattedCitation" : "(I. J. Wright et al., 2004)" }, "properties" : { "noteIndex" : 0 }, "schema" : "https://github.com/citation-style-language/schema/raw/master/csl-citation.json" }</w:instrText>
      </w:r>
      <w:r w:rsidRPr="008608AA">
        <w:fldChar w:fldCharType="separate"/>
      </w:r>
      <w:r w:rsidRPr="008608AA">
        <w:rPr>
          <w:noProof/>
        </w:rPr>
        <w:t>(Wright et al., 2004)</w:t>
      </w:r>
      <w:r w:rsidRPr="008608AA">
        <w:fldChar w:fldCharType="end"/>
      </w:r>
      <w:r w:rsidRPr="008608AA">
        <w:t xml:space="preserve">. Seed mass is indicative of reproductive and dispersal strategy </w:t>
      </w:r>
      <w:r w:rsidRPr="008608AA">
        <w:fldChar w:fldCharType="begin" w:fldLock="1"/>
      </w:r>
      <w:r w:rsidRPr="008608AA">
        <w:instrText>ADDIN CSL_CITATION { "citationItems" : [ { "id" : "ITEM-1", "itemData" : { "DOI" : "10.2307/2261604", "ISBN" : "00220477", "ISSN" : "00220477", "PMID" : "420", "abstract" : "1 Five temperate floras were studied to assess to what extent seed size correlations with other plant attributes are consistent across floras. The floras were from three continents: Australia (semiarid woodlands of western New South Wales, arid woodlands of Central Australia, and the Sydney region), North America (Indiana Dunes) and Europe (Sheffield region, UK). The plant attributes used were growth form, plant height, perenniality and dispersal mode. We used general linear models to consider not only the primary correlations between seed size and each other attribute, but also the overlap patterns among correlations to determine if each correlation could be interpreted as a secondary effect via a third variable. 2 Plant height and growth form were consistently correlated with the largest proportion of log seed mass variation (up to 37% in Central Australia). Although there was strong overlap in the amount of log seed mass variation explained by the two attributes (6-22%), each could explain small but significant variation after the other in all floras. The strong association between growth form/plant height and seed size was found not only among unassisted and wind-adapted species, but also among species dispersed by other means. 3 In all floras, dispersal mode was also able to account for significant variation in log seed mass independently of growth form and plant height. The association between plant perenniality and seed size could be explained as a secondary correlation of growth form and plant height with both seed size and perenniality. 4 There were significant differences in log seed mass among the five floras. However, seed size ranged over at least five orders of magnitude in each flora. Differences between floras could account for relatively little (4%) of the variation in seed size between species, compared to the attributes growth form (20%), plant height (20%) and dispersal mode (29%), despite the quite different soils and climates of the five floras. This suggests that seed size is more strongly associated with other plant attributes than with the environmental conditions for establishment. It appears that within any one community, plants have found a diversity of possible solutions to the problems of seedling establishment, resulting in a wide range of log seed mass.", "author" : [ { "dropping-particle" : "", "family" : "Leishman", "given" : "Michelle R.", "non-dropping-particle" : "", "parse-names" : false, "suffix" : "" }, { "dropping-particle" : "", "family" : "Westoby", "given" : "Mark", "non-dropping-particle" : "", "parse-names" : false, "suffix" : "" }, { "dropping-particle" : "", "family" : "Jurado", "given" : "Enrique", "non-dropping-particle" : "", "parse-names" : false, "suffix" : "" } ], "container-title" : "Journal of Ecology", "id" : "ITEM-1", "issue" : "3", "issued" : { "date-parts" : [ [ "1995" ] ] }, "page" : "517-529", "title" : "Correlates of seed size variation: a comparison among five temperate floras", "type" : "article-journal", "volume" : "83" }, "uris" : [ "http://www.mendeley.com/documents/?uuid=182354c6-8656-4d6c-88f2-8f988c1891e1" ] }, { "id" : "ITEM-2", "itemData" : { "DOI" : "10.1126/science.1104863", "ISBN" : "0036-8075", "ISSN" : "1095-9203", "PMID" : "15681384", "abstract" : "Improved phylogenies and the accumulation of broad comparative data sets have opened the way for phylogenetic analyses to trace trait evolution in major groups of organisms. We arrayed seed mass data for 12,987 species on the seed plant phylogeny and show the history of seed size from the emergence of the angiosperms through to the present day. The largest single contributor to the present-day spread of seed mass was the divergence between angiosperms and gymnosperms, whereas the widest divergence was between Celastraceae and Parnassiaceae. Wide divergences in seed size were more often associated with divergences in growth form than with divergences in dispersal syndrome or latitude. Cross-species studies and evolutionary theory are consistent with this evidence that growth form and seed size evolve in a coordinated manner.", "author" : [ { "dropping-particle" : "", "family" : "Moles", "given" : "Angela T", "non-dropping-particle" : "", "parse-names" : false, "suffix" : "" }, { "dropping-particle" : "", "family" : "Ackerly", "given" : "D. D.", "non-dropping-particle" : "", "parse-names" : false, "suffix" : "" }, { "dropping-particle" : "", "family" : "Webb", "given" : "Campbell O", "non-dropping-particle" : "", "parse-names" : false, "suffix" : "" }, { "dropping-particle" : "", "family" : "Tweddle", "given" : "John C", "non-dropping-particle" : "", "parse-names" : false, "suffix" : "" }, { "dropping-particle" : "", "family" : "Dickie, John", "given" : "B", "non-dropping-particle" : "", "parse-names" : false, "suffix" : "" }, { "dropping-particle" : "", "family" : "Westoby", "given" : "Mark", "non-dropping-particle" : "", "parse-names" : false, "suffix" : "" } ], "container-title" : "Science", "id" : "ITEM-2", "issue" : "5709", "issued" : { "date-parts" : [ [ "2005" ] ] }, "page" : "576-580", "title" : "A brief history of seed size.", "type" : "article-journal", "volume" : "307" }, "uris" : [ "http://www.mendeley.com/documents/?uuid=44433007-d6f9-4cb2-a8b0-ab4f5407f820" ] } ], "mendeley" : { "formattedCitation" : "(Leishman, Westoby, &amp; Jurado, 1995; Moles et al., 2005)", "manualFormatting" : "(Leishman et al., 1995; Moles et al., 2005)", "plainTextFormattedCitation" : "(Leishman, Westoby, &amp; Jurado, 1995; Moles et al., 2005)", "previouslyFormattedCitation" : "(Leishman, Westoby, &amp; Jurado, 1995; Moles et al., 2005)" }, "properties" : { "noteIndex" : 0 }, "schema" : "https://github.com/citation-style-language/schema/raw/master/csl-citation.json" }</w:instrText>
      </w:r>
      <w:r w:rsidRPr="008608AA">
        <w:fldChar w:fldCharType="separate"/>
      </w:r>
      <w:r w:rsidRPr="008608AA">
        <w:rPr>
          <w:noProof/>
        </w:rPr>
        <w:t>(Leishman et al., 1995; Moles et al., 2005)</w:t>
      </w:r>
      <w:r w:rsidRPr="008608AA">
        <w:fldChar w:fldCharType="end"/>
      </w:r>
      <w:r w:rsidRPr="008608AA">
        <w:t xml:space="preserve">, and plant height is a critical indicator of life history, indicating growth form and habit </w:t>
      </w:r>
      <w:r w:rsidRPr="008608AA">
        <w:fldChar w:fldCharType="begin" w:fldLock="1"/>
      </w:r>
      <w:r w:rsidRPr="008608AA">
        <w:instrText>ADDIN CSL_CITATION { "citationItems" : [ { "id" : "ITEM-1", "itemData" : { "DOI" : "10.1086/303369", "ISBN" : "0003-0147", "ISSN" : "0003-0147", "PMID" : "10824018", "abstract" : "The disturbance spectrum consists of disturbance patterns differing in type, size, intensity, and frequency. It is proposed that tree life-history traits are adaptations to particular disturbance regimes. Four independent axes are proposed to define the dominant dimensions of tree strategy space: shade tolerance, tree height, capacity for vegetative reproduction, and seed dispersal distance. A fitness model was developed to elucidate interactions between the proposed life-history traits. The model shows how alternate life-history sets can coexist when disturbance patterns fluctuate in space and time. Variable disturbance regimes were shown, based on data and simulation results, to enhance species coexistence, as predicted. The strategy space model accurately predicts the number of common tree species for the eastern United States, boreal Canada, and southwestern pi\u00f1on-juniper woodlands. The model also provides an explanation for latitudinal gradients in tree species richness in North America and Europe. The proposed model predicts a relationship between disturbance characteristics and the species composition of a forest that allows for the coexistence of large numbers of species. The life-history traits of size, growth rate, life span, shade tolerance, age of reproduction, seed dispersal distance, and vegetative reproduction are all incorporated into the model.", "author" : [ { "dropping-particle" : "", "family" : "Loehle", "given" : "Craig", "non-dropping-particle" : "", "parse-names" : false, "suffix" : "" } ], "container-title" : "The American Naturalist", "id" : "ITEM-1", "issue" : "1", "issued" : { "date-parts" : [ [ "2000" ] ] }, "page" : "14-33", "title" : "Strategy space and the disturbance spectrum: a life\u2010history model for tree species coexistence", "type" : "article-journal", "volume" : "156" }, "uris" : [ "http://www.mendeley.com/documents/?uuid=dd19e69b-19f9-4109-b6ef-029fe6ae89c5" ] } ], "mendeley" : { "formattedCitation" : "(Loehle, 2000)", "plainTextFormattedCitation" : "(Loehle, 2000)", "previouslyFormattedCitation" : "(Loehle, 2000)" }, "properties" : { "noteIndex" : 0 }, "schema" : "https://github.com/citation-style-language/schema/raw/master/csl-citation.json" }</w:instrText>
      </w:r>
      <w:r w:rsidRPr="008608AA">
        <w:fldChar w:fldCharType="separate"/>
      </w:r>
      <w:r w:rsidRPr="008608AA">
        <w:rPr>
          <w:noProof/>
        </w:rPr>
        <w:t>(Loehle, 2000)</w:t>
      </w:r>
      <w:r w:rsidRPr="008608AA">
        <w:fldChar w:fldCharType="end"/>
      </w:r>
      <w:r w:rsidRPr="008608AA">
        <w:t xml:space="preserve">. These three traits are important for understanding major axes of variation in plant function and ecological strategy </w:t>
      </w:r>
      <w:r w:rsidRPr="008608AA">
        <w:fldChar w:fldCharType="begin" w:fldLock="1"/>
      </w:r>
      <w:r w:rsidRPr="008608AA">
        <w:instrText>ADDIN CSL_CITATION { "citationItems" : [ { "id" : "ITEM-1", "itemData" : { "DOI" : "10.1023/A:1004327224729", "ISBN" : "0032-079X", "ISSN" : "0032079X", "PMID" : "909", "abstract" : "A leaf-height-seed (LHS) plant ecology strategy scheme is proposed. The axes would be speci\ufb01c leaf area SLA (light-capturing area deployed per dry mass allocated), height of the plant\u2019s canopy at maturity, and seed mass. All axes would be log-scaled. The strategy of a species would be described by its position in the volume formed by the three axes. The advantages of the LHS scheme can be understood by comparing it to Grime\u2019s CSR scheme, which has Competitors, Stress-tolerators and Ruderals at the corners of a triangle. The CSR triangle is widely cited as expressing important strategic variation between species. The C\u2013S axis re\ufb02ects variation in responsiveness to opportunities for rapid growth; in the LHS scheme, SLA re\ufb02ects the same type of variation. The R axis re\ufb02ects coping with disturbance; in the LHS scheme, height and seed mass re\ufb02ect separate aspects of coping with disturbance. A plant ecology strategy scheme that permitted any species worldwide to be readily positioned within the scheme could bring substantial bene\ufb01ts for improved meta-analysis of experimental results, for placing detailed ecophysiology in context, and for coping with questions posed by global change. In the CSR triangle the axes are de\ufb01ned by reference to concepts, there is no simple protocol for positioning species beyond the reference datasets within the scheme, and consequently bene\ufb01ts of worldwide comparison have not materialized. LHS does permit any vascular land plant species to be positioned within the scheme, without time-consuming measurement of metabolic rates or of \ufb01eld performance relative to other species. The merits of the LHS scheme reside (it is argued) in this potential for worldwide comparison, more than in superior explanatory power within any particular vegetation region. The LHS scheme avoids also two other dif\ufb01culties with the CSR scheme: (a) It does not prejudge that there are no viable strategies under high stress and high disturbance (the missing quadrant in the CSR triangle compared to a two-axis rectangle); (b) It separates out two distinct aspects of the response to disturbance, height at maturity expressing the amount of growth attempted between disturbances, and seed mass (inverse of seed output per unit reproductive effort) expressing the capacity to colonize growth opportunities at a distance. The advantage of LHS axes de\ufb01ned through a single readily-measured variable needs to be weighed against the disadvantage that single plant traits may not \u2026", "author" : [ { "dropping-particle" : "", "family" : "Westoby", "given" : "Mark", "non-dropping-particle" : "", "parse-names" : false, "suffix" : "" } ], "container-title" : "Plant and Soil", "id" : "ITEM-1", "issue" : "2", "issued" : { "date-parts" : [ [ "1998" ] ] }, "page" : "213-227", "title" : "A leaf-height-seed (LHS) plant ecology strategy scheme", "type" : "article-journal", "volume" : "199" }, "uris" : [ "http://www.mendeley.com/documents/?uuid=313d206a-66ea-471d-b3d6-148bec33641f" ] } ], "mendeley" : { "formattedCitation" : "(Westoby, 1998)", "plainTextFormattedCitation" : "(Westoby, 1998)", "previouslyFormattedCitation" : "(Westoby, 1998)" }, "properties" : { "noteIndex" : 0 }, "schema" : "https://github.com/citation-style-language/schema/raw/master/csl-citation.json" }</w:instrText>
      </w:r>
      <w:r w:rsidRPr="008608AA">
        <w:fldChar w:fldCharType="separate"/>
      </w:r>
      <w:r w:rsidRPr="008608AA">
        <w:rPr>
          <w:noProof/>
        </w:rPr>
        <w:t>(Westoby, 1998)</w:t>
      </w:r>
      <w:r w:rsidRPr="008608AA">
        <w:fldChar w:fldCharType="end"/>
      </w:r>
      <w:r w:rsidRPr="008608AA">
        <w:t xml:space="preserve">. As with species richness, we tend to see the greatest diversity in seed mass and height of vascular plants in tropical regions of the Americas </w:t>
      </w:r>
      <w:r w:rsidRPr="008608AA">
        <w:fldChar w:fldCharType="begin" w:fldLock="1"/>
      </w:r>
      <w:r w:rsidRPr="008608AA">
        <w:instrText>ADDIN CSL_CITATION { "citationItems" : [ { "id" : "ITEM-1", "itemData" : { "DOI" : "10.1073/pnas.1317722111", "ISBN" : "1091-6490 (Electronic)\\r0027-8424 (Linking)", "ISSN" : "0027-8424", "PMID" : "25225365", "abstract" : "The processes causing the latitudinal gradient in species richness remain elusive. Ecological theories for the origin of biodiversity gradients, such as competitive exclusion, neutral dynamics, and environmental filtering, make predictions for how functional diversity should vary at the alpha (within local assemblages), beta (among assemblages), and gamma (regional pool) scales. We test these predictions by quantifying hypervolumes constructed from functional traits representing major axes of plant strategy variation (specific leaf area, plant height, and seed mass) in tree assemblages spanning the temperate and tropical New World. Alpha-scale trait volume decreases with absolute latitude and is often lower than sampling expectation, consistent with environmental filtering theory. Beta-scale overlap decays with geographic distance fastest in the temperate zone, again consistent with environmental filtering theory. In contrast, gamma-scale trait space shows a hump-shaped relationship with absolute latitude, consistent with no theory. Furthermore, the overall temperate trait hypervolume was larger than the overall tropical hypervolume, indicating that the temperate zone permits a wider range of trait combinations or that niche packing is stronger in the tropical zone. Although there are limitations in the data, our analyses suggest that multiple processes have shaped trait diversity in trees, reflecting no consistent support for any one theory.", "author" : [ { "dropping-particle" : "", "family" : "Lamanna", "given" : "C.", "non-dropping-particle" : "", "parse-names" : false, "suffix" : "" }, { "dropping-particle" : "", "family" : "Blonder", "given" : "Benjamin", "non-dropping-particle" : "", "parse-names" : false, "suffix" : "" }, { "dropping-particle" : "", "family" : "Violle", "given" : "Cyrille", "non-dropping-particle" : "", "parse-names" : false, "suffix" : "" }, { "dropping-particle" : "", "family" : "Kraft", "given" : "Nathan J. B.", "non-dropping-particle" : "", "parse-names" : false, "suffix" : "" }, { "dropping-particle" : "", "family" : "Sandel", "given" : "Brody", "non-dropping-particle" : "", "parse-names" : false, "suffix" : "" }, { "dropping-particle" : "", "family" : "Imova", "given" : "I.", "non-dropping-particle" : "", "parse-names" : false, "suffix" : "" }, { "dropping-particle" : "", "family" : "Donoghue", "given" : "J. C.", "non-dropping-particle" : "", "parse-names" : false, "suffix" : "" }, { "dropping-particle" : "", "family" : "Svenning", "given" : "J.-C.", "non-dropping-particle" : "", "parse-names" : false, "suffix" : "" }, { "dropping-particle" : "", "family" : "McGill", "given" : "B. J.", "non-dropping-particle" : "", "parse-names" : false, "suffix" : "" }, { "dropping-particle" : "", "family" : "Boyle", "given" : "Brad", "non-dropping-particle" : "", "parse-names" : false, "suffix" : "" }, { "dropping-particle" : "", "family" : "Buzzard", "given" : "Vanessa", "non-dropping-particle" : "", "parse-names" : false, "suffix" : "" }, { "dropping-particle" : "", "family" : "Dolins", "given" : "Steven", "non-dropping-particle" : "", "parse-names" : false, "suffix" : "" }, { "dropping-particle" : "", "family" : "Jorgensen", "given" : "P. M.", "non-dropping-particle" : "", "parse-names" : false, "suffix" : "" }, { "dropping-particle" : "", "family" : "Marcuse-Kubitza", "given" : "A.", "non-dropping-particle" : "", "parse-names" : false, "suffix" : "" }, { "dropping-particle" : "", "family" : "Morueta-Holme", "given" : "N.", "non-dropping-particle" : "", "parse-names" : false, "suffix" : "" }, { "dropping-particle" : "", "family" : "Peet", "given" : "Robert K.", "non-dropping-particle" : "", "parse-names" : false, "suffix" : "" }, { "dropping-particle" : "", "family" : "Piel", "given" : "W. H.", "non-dropping-particle" : "", "parse-names" : false, "suffix" : "" }, { "dropping-particle" : "", "family" : "Regetz", "given" : "Jim", "non-dropping-particle" : "", "parse-names" : false, "suffix" : "" }, { "dropping-particle" : "", "family" : "Schildhauer", "given" : "Mark", "non-dropping-particle" : "", "parse-names" : false, "suffix" : "" }, { "dropping-particle" : "", "family" : "Spencer", "given" : "Nick", "non-dropping-particle" : "", "parse-names" : false, "suffix" : "" }, { "dropping-particle" : "", "family" : "Thiers", "given" : "B.", "non-dropping-particle" : "", "parse-names" : false, "suffix" : "" }, { "dropping-particle" : "", "family" : "Wiser", "given" : "S. K.", "non-dropping-particle" : "", "parse-names" : false, "suffix" : "" }, { "dropping-particle" : "", "family" : "Enquist", "given" : "Brian J.", "non-dropping-particle" : "", "parse-names" : false, "suffix" : "" } ], "container-title" : "PNAS", "id" : "ITEM-1", "issue" : "38", "issued" : { "date-parts" : [ [ "2014" ] ] }, "page" : "13745-13750", "title" : "Functional trait space and the latitudinal diversity gradient", "type" : "article-journal", "volume" : "111" }, "uris" : [ "http://www.mendeley.com/documents/?uuid=dbc77e83-5ae3-4c16-9e25-0e924e0ff468" ] } ], "mendeley" : { "formattedCitation" : "(Lamanna et al., 2014)", "plainTextFormattedCitation" : "(Lamanna et al., 2014)", "previouslyFormattedCitation" : "(Lamanna et al., 2014)" }, "properties" : { "noteIndex" : 0 }, "schema" : "https://github.com/citation-style-language/schema/raw/master/csl-citation.json" }</w:instrText>
      </w:r>
      <w:r w:rsidRPr="008608AA">
        <w:fldChar w:fldCharType="separate"/>
      </w:r>
      <w:r w:rsidRPr="008608AA">
        <w:rPr>
          <w:noProof/>
        </w:rPr>
        <w:t>(Lamanna et al., 2014)</w:t>
      </w:r>
      <w:r w:rsidRPr="008608AA">
        <w:fldChar w:fldCharType="end"/>
      </w:r>
      <w:r w:rsidRPr="008608AA">
        <w:t xml:space="preserve"> (Figure 3.4. d). Nevertheless, temperate regions tend to be enriched in functional diversity for specific leaf area relative to tropical areas (Figure 3.4. d). This might reflect a tendency to retain more diversity in leaf economic strategies under harsher and less equitable climatic conditions </w:t>
      </w:r>
      <w:r w:rsidRPr="008608AA">
        <w:fldChar w:fldCharType="begin" w:fldLock="1"/>
      </w:r>
      <w:r w:rsidRPr="008608AA">
        <w:instrText>ADDIN CSL_CITATION { "citationItems" : [ { "id" : "ITEM-1", "itemData" : { "DOI" : "10.1073/pnas.1317722111", "ISBN" : "1091-6490 (Electronic)\\r0027-8424 (Linking)", "ISSN" : "0027-8424", "PMID" : "25225365", "abstract" : "The processes causing the latitudinal gradient in species richness remain elusive. Ecological theories for the origin of biodiversity gradients, such as competitive exclusion, neutral dynamics, and environmental filtering, make predictions for how functional diversity should vary at the alpha (within local assemblages), beta (among assemblages), and gamma (regional pool) scales. We test these predictions by quantifying hypervolumes constructed from functional traits representing major axes of plant strategy variation (specific leaf area, plant height, and seed mass) in tree assemblages spanning the temperate and tropical New World. Alpha-scale trait volume decreases with absolute latitude and is often lower than sampling expectation, consistent with environmental filtering theory. Beta-scale overlap decays with geographic distance fastest in the temperate zone, again consistent with environmental filtering theory. In contrast, gamma-scale trait space shows a hump-shaped relationship with absolute latitude, consistent with no theory. Furthermore, the overall temperate trait hypervolume was larger than the overall tropical hypervolume, indicating that the temperate zone permits a wider range of trait combinations or that niche packing is stronger in the tropical zone. Although there are limitations in the data, our analyses suggest that multiple processes have shaped trait diversity in trees, reflecting no consistent support for any one theory.", "author" : [ { "dropping-particle" : "", "family" : "Lamanna", "given" : "C.", "non-dropping-particle" : "", "parse-names" : false, "suffix" : "" }, { "dropping-particle" : "", "family" : "Blonder", "given" : "Benjamin", "non-dropping-particle" : "", "parse-names" : false, "suffix" : "" }, { "dropping-particle" : "", "family" : "Violle", "given" : "Cyrille", "non-dropping-particle" : "", "parse-names" : false, "suffix" : "" }, { "dropping-particle" : "", "family" : "Kraft", "given" : "Nathan J. B.", "non-dropping-particle" : "", "parse-names" : false, "suffix" : "" }, { "dropping-particle" : "", "family" : "Sandel", "given" : "Brody", "non-dropping-particle" : "", "parse-names" : false, "suffix" : "" }, { "dropping-particle" : "", "family" : "Imova", "given" : "I.", "non-dropping-particle" : "", "parse-names" : false, "suffix" : "" }, { "dropping-particle" : "", "family" : "Donoghue", "given" : "J. C.", "non-dropping-particle" : "", "parse-names" : false, "suffix" : "" }, { "dropping-particle" : "", "family" : "Svenning", "given" : "J.-C.", "non-dropping-particle" : "", "parse-names" : false, "suffix" : "" }, { "dropping-particle" : "", "family" : "McGill", "given" : "B. J.", "non-dropping-particle" : "", "parse-names" : false, "suffix" : "" }, { "dropping-particle" : "", "family" : "Boyle", "given" : "Brad", "non-dropping-particle" : "", "parse-names" : false, "suffix" : "" }, { "dropping-particle" : "", "family" : "Buzzard", "given" : "Vanessa", "non-dropping-particle" : "", "parse-names" : false, "suffix" : "" }, { "dropping-particle" : "", "family" : "Dolins", "given" : "Steven", "non-dropping-particle" : "", "parse-names" : false, "suffix" : "" }, { "dropping-particle" : "", "family" : "Jorgensen", "given" : "P. M.", "non-dropping-particle" : "", "parse-names" : false, "suffix" : "" }, { "dropping-particle" : "", "family" : "Marcuse-Kubitza", "given" : "A.", "non-dropping-particle" : "", "parse-names" : false, "suffix" : "" }, { "dropping-particle" : "", "family" : "Morueta-Holme", "given" : "N.", "non-dropping-particle" : "", "parse-names" : false, "suffix" : "" }, { "dropping-particle" : "", "family" : "Peet", "given" : "Robert K.", "non-dropping-particle" : "", "parse-names" : false, "suffix" : "" }, { "dropping-particle" : "", "family" : "Piel", "given" : "W. H.", "non-dropping-particle" : "", "parse-names" : false, "suffix" : "" }, { "dropping-particle" : "", "family" : "Regetz", "given" : "Jim", "non-dropping-particle" : "", "parse-names" : false, "suffix" : "" }, { "dropping-particle" : "", "family" : "Schildhauer", "given" : "Mark", "non-dropping-particle" : "", "parse-names" : false, "suffix" : "" }, { "dropping-particle" : "", "family" : "Spencer", "given" : "Nick", "non-dropping-particle" : "", "parse-names" : false, "suffix" : "" }, { "dropping-particle" : "", "family" : "Thiers", "given" : "B.", "non-dropping-particle" : "", "parse-names" : false, "suffix" : "" }, { "dropping-particle" : "", "family" : "Wiser", "given" : "S. K.", "non-dropping-particle" : "", "parse-names" : false, "suffix" : "" }, { "dropping-particle" : "", "family" : "Enquist", "given" : "Brian J.", "non-dropping-particle" : "", "parse-names" : false, "suffix" : "" } ], "container-title" : "PNAS", "id" : "ITEM-1", "issue" : "38", "issued" : { "date-parts" : [ [ "2014" ] ] }, "page" : "13745-13750", "title" : "Functional trait space and the latitudinal diversity gradient", "type" : "article-journal", "volume" : "111" }, "uris" : [ "http://www.mendeley.com/documents/?uuid=dbc77e83-5ae3-4c16-9e25-0e924e0ff468" ] }, { "id" : "ITEM-2", "itemData" : { "DOI" : "10.1111/j.1466-8238.2011.00727.x", "ISBN" : "1466-822X", "ISSN" : "1466-822X", "abstract" : "Aim In recent years evidence has accumulated that plant species are differentially sorted from regional assemblages into local assemblages along local-scale environmental gradients on the basis of their function and abiotic filtering. The favourability hypothesis in biogeography proposes that in climatically difficult regions abiotic filtering should produce a regional assemblage that is less functionally diverse than that expected given the species richness and the global pool of traits. Thus it seems likely that differential filtering of plant traits along local-scale gradients may scale up to explain the distribution, diversity and filtering of plant traits in regional-scale assemblages across continents. The present work aims to address this prediction. Location North and South America. Methods We combine a dataset comprising over 5.5 million georeferenced plant occurrence records with several large plant functional trait databases in order to: (1) quantify how several critical traits associated with plant performance and ecology vary across environmental gradients; and (2) provide the first test of whether the woody plants found within 1 degrees and 5 degrees map grid cells are more or less functionally diverse than expected, given their species richness, across broad gradients. Results The results show that, for many of the traits studied, the overall distribution of functional traits in tropical regions often exceeds the expectations of random sampling given the species richness. Conversely, temperate regions often had narrower functional trait distributions than their smaller species pools would suggest. Main conclusion The results show that the overall distribution of function does increase towards the equator, but the functional diversity within regional-scale tropical assemblages is higher than that expected given their species richness. These results are consistent with the hypothesis that abiotic filtering constrains the overall distribution of function in temperate assemblages, but tropical assemblages are not as tightly constrained.", "author" : [ { "dropping-particle" : "", "family" : "Swenson", "given" : "N. G.", "non-dropping-particle" : "", "parse-names" : false, "suffix" : "" }, { "dropping-particle" : "", "family" : "Enquist", "given" : "B. J.", "non-dropping-particle" : "", "parse-names" : false, "suffix" : "" }, { "dropping-particle" : "", "family" : "Pither", "given" : "J.", "non-dropping-particle" : "", "parse-names" : false, "suffix" : "" }, { "dropping-particle" : "", "family" : "Kerkhoff", "given" : "A. J.", "non-dropping-particle" : "", "parse-names" : false, "suffix" : "" }, { "dropping-particle" : "", "family" : "Boyle", "given" : "B.", "non-dropping-particle" : "", "parse-names" : false, "suffix" : "" }, { "dropping-particle" : "", "family" : "Weiser", "given" : "M. D.", "non-dropping-particle" : "", "parse-names" : false, "suffix" : "" }, { "dropping-particle" : "", "family" : "Elser", "given" : "J. J.", "non-dropping-particle" : "", "parse-names" : false, "suffix" : "" }, { "dropping-particle" : "", "family" : "Fagan", "given" : "W. F.", "non-dropping-particle" : "", "parse-names" : false, "suffix" : "" }, { "dropping-particle" : "", "family" : "Forero-Montana", "given" : "J.", "non-dropping-particle" : "", "parse-names" : false, "suffix" : "" }, { "dropping-particle" : "", "family" : "Fyllas", "given" : "N.", "non-dropping-particle" : "", "parse-names" : false, "suffix" : "" }, { "dropping-particle" : "", "family" : "Kraft", "given" : "N. J. B.", "non-dropping-particle" : "", "parse-names" : false, "suffix" : "" }, { "dropping-particle" : "", "family" : "Lake", "given" : "J. K.", "non-dropping-particle" : "", "parse-names" : false, "suffix" : "" }, { "dropping-particle" : "", "family" : "Moles", "given" : "A. T.", "non-dropping-particle" : "", "parse-names" : false, "suffix" : "" }, { "dropping-particle" : "", "family" : "Patino", "given" : "S.", "non-dropping-particle" : "", "parse-names" : false, "suffix" : "" }, { "dropping-particle" : "", "family" : "Phillips", "given" : "O. L.", "non-dropping-particle" : "", "parse-names" : false, "suffix" : "" }, { "dropping-particle" : "", "family" : "Price", "given" : "C. A.", "non-dropping-particle" : "", "parse-names" : false, "suffix" : "" }, { "dropping-particle" : "", "family" : "Reich", "given" : "P. B.", "non-dropping-particle" : "", "parse-names" : false, "suffix" : "" }, { "dropping-particle" : "", "family" : "Quesada", "given" : "C. A.", "non-dropping-particle" : "", "parse-names" : false, "suffix" : "" }, { "dropping-particle" : "", "family" : "Stegen", "given" : "J. C.", "non-dropping-particle" : "", "parse-names" : false, "suffix" : "" }, { "dropping-particle" : "", "family" : "Valencia", "given" : "R.", "non-dropping-particle" : "", "parse-names" : false, "suffix" : "" }, { "dropping-particle" : "", "family" : "Wright", "given" : "I. J.", "non-dropping-particle" : "", "parse-names" : false, "suffix" : "" }, { "dropping-particle" : "", "family" : "Wright", "given" : "S. J.", "non-dropping-particle" : "", "parse-names" : false, "suffix" : "" }, { "dropping-particle" : "", "family" : "Andelman", "given" : "S.", "non-dropping-particle" : "", "parse-names" : false, "suffix" : "" }, { "dropping-particle" : "", "family" : "Jorgensen", "given" : "P. M.", "non-dropping-particle" : "", "parse-names" : false, "suffix" : "" }, { "dropping-particle" : "", "family" : "Lacher", "given" : "T. E.", "non-dropping-particle" : "", "parse-names" : false, "suffix" : "" }, { "dropping-particle" : "", "family" : "Monteagudo", "given" : "A.", "non-dropping-particle" : "", "parse-names" : false, "suffix" : "" }, { "dropping-particle" : "", "family" : "Nunez-Vargas", "given" : "M. P.", "non-dropping-particle" : "", "parse-names" : false, "suffix" : "" }, { "dropping-particle" : "", "family" : "Vasquez-Martinez", "given" : "R.", "non-dropping-particle" : "", "parse-names" : false, "suffix" : "" }, { "dropping-particle" : "", "family" : "Nolting", "given" : "K. M.", "non-dropping-particle" : "", "parse-names" : false, "suffix" : "" } ], "container-title" : "Global Ecology and Biogeography", "id" : "ITEM-2", "issue" : "8", "issued" : { "date-parts" : [ [ "2012" ] ] }, "page" : "798-808", "title" : "The biogeography and filtering of woody plant functional diversity in North and South America", "type" : "article-journal", "volume" : "21" }, "uris" : [ "http://www.mendeley.com/documents/?uuid=2da320fe-b29e-3e36-97f9-a7643826e2aa" ] } ], "mendeley" : { "formattedCitation" : "(Lamanna et al., 2014; Swenson et al., 2012)", "plainTextFormattedCitation" : "(Lamanna et al., 2014; Swenson et al., 2012)", "previouslyFormattedCitation" : "(Lamanna et al., 2014; Swenson et al., 2012)" }, "properties" : { "noteIndex" : 0 }, "schema" : "https://github.com/citation-style-language/schema/raw/master/csl-citation.json" }</w:instrText>
      </w:r>
      <w:r w:rsidRPr="008608AA">
        <w:fldChar w:fldCharType="separate"/>
      </w:r>
      <w:r w:rsidRPr="008608AA">
        <w:rPr>
          <w:noProof/>
        </w:rPr>
        <w:t>(Lamanna et al., 2014; Swenson et al., 2012)</w:t>
      </w:r>
      <w:r w:rsidRPr="008608AA">
        <w:fldChar w:fldCharType="end"/>
      </w:r>
      <w:r w:rsidRPr="008608AA">
        <w:t>. Variation in different plant functional traits is maximized in different regions. Likewise, different components of diversity are highest in different regions and these patterns vary by taxonomic group. As a consequence, conservation efforts across regions will be crucial for maintaining both the diversity of ecological strategies we observe in plants and the full spectrum of biodiversity across the tree of life, the basis of many NCP.</w:t>
      </w:r>
    </w:p>
    <w:p w14:paraId="2F384BB2" w14:textId="77777777" w:rsidR="00C1178A" w:rsidRPr="008608AA" w:rsidRDefault="00C1178A" w:rsidP="00C1178A">
      <w:pPr>
        <w:spacing w:after="120"/>
        <w:rPr>
          <w:color w:val="FF0000"/>
        </w:rPr>
      </w:pPr>
    </w:p>
    <w:p w14:paraId="6988BFA6" w14:textId="35F5BBF4" w:rsidR="004255E7" w:rsidRPr="008608AA" w:rsidRDefault="004255E7" w:rsidP="005F249C">
      <w:pPr>
        <w:pStyle w:val="Heading4"/>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120" w:line="240" w:lineRule="auto"/>
        <w:ind w:left="0" w:firstLine="0"/>
        <w:rPr>
          <w:szCs w:val="24"/>
          <w:lang w:val="en-US"/>
        </w:rPr>
      </w:pPr>
      <w:bookmarkStart w:id="911" w:name="_Toc502927341"/>
      <w:bookmarkStart w:id="912" w:name="_Toc517393295"/>
      <w:bookmarkStart w:id="913" w:name="_Toc517719036"/>
      <w:bookmarkStart w:id="914" w:name="_Toc517796993"/>
      <w:r w:rsidRPr="008608AA">
        <w:rPr>
          <w:szCs w:val="24"/>
          <w:lang w:val="en-US"/>
        </w:rPr>
        <w:t>Patterns and trends in alien and</w:t>
      </w:r>
      <w:r w:rsidRPr="008608AA">
        <w:rPr>
          <w:color w:val="FF0000"/>
          <w:szCs w:val="24"/>
          <w:lang w:val="en-US"/>
        </w:rPr>
        <w:t xml:space="preserve"> </w:t>
      </w:r>
      <w:r w:rsidRPr="008608AA">
        <w:rPr>
          <w:szCs w:val="24"/>
          <w:lang w:val="en-US"/>
        </w:rPr>
        <w:t xml:space="preserve">invasive </w:t>
      </w:r>
      <w:r w:rsidR="007854D8" w:rsidRPr="008608AA">
        <w:rPr>
          <w:szCs w:val="24"/>
          <w:lang w:val="en-US"/>
        </w:rPr>
        <w:t xml:space="preserve">alien </w:t>
      </w:r>
      <w:r w:rsidRPr="008608AA">
        <w:rPr>
          <w:szCs w:val="24"/>
          <w:lang w:val="en-US"/>
        </w:rPr>
        <w:t>species</w:t>
      </w:r>
      <w:bookmarkEnd w:id="911"/>
      <w:bookmarkEnd w:id="912"/>
      <w:bookmarkEnd w:id="913"/>
      <w:bookmarkEnd w:id="914"/>
      <w:r w:rsidRPr="008608AA">
        <w:rPr>
          <w:szCs w:val="24"/>
          <w:lang w:val="en-US"/>
        </w:rPr>
        <w:t xml:space="preserve"> </w:t>
      </w:r>
    </w:p>
    <w:p w14:paraId="498227CE" w14:textId="5B9441C2" w:rsidR="00895B15" w:rsidRPr="008608AA" w:rsidRDefault="00657833" w:rsidP="00C1178A">
      <w:r w:rsidRPr="008608AA">
        <w:t xml:space="preserve">Status. </w:t>
      </w:r>
      <w:r w:rsidR="004255E7" w:rsidRPr="008608AA">
        <w:t>We define alien species as species that become distributed beyond their native ranges intentionally or unintentionally aided by humans. The introduction and spread of alien species in the Anthropocene has led to greatly heightened levels of dispersal of organisms around the globe. Invasive alien species are alien species that modify ecosystems, causing potential damage to the environment, human health, and consequently, the economy. The distinction between these two categories is not always clear because designating an alien species as an invasive species requires detailed studies and objective and comparable criteria. The economic damage caused by alien invasive species can be severe. For example, globally, invasive insects (some of which carry diseases) are estimated to cost a mi</w:t>
      </w:r>
      <w:r w:rsidR="00895B15" w:rsidRPr="008608AA">
        <w:t xml:space="preserve">nimum of </w:t>
      </w:r>
      <w:r w:rsidR="004255E7" w:rsidRPr="008608AA">
        <w:t xml:space="preserve">$70.0 billion per year, while associated health costs exceed US$6.9 billion </w:t>
      </w:r>
      <w:r w:rsidR="004255E7" w:rsidRPr="008608AA">
        <w:fldChar w:fldCharType="begin" w:fldLock="1"/>
      </w:r>
      <w:r w:rsidR="004255E7" w:rsidRPr="008608AA">
        <w:instrText>ADDIN CSL_CITATION { "citationItems" : [ { "id" : "ITEM-1", "itemData" : { "DOI" : "10.1038/ncomms12986", "ISBN" : "2041-1723", "ISSN" : "2041-1723", "PMID" : "27698460", "abstract" : "Insects have for millennia presented human society with some of its greatest development challenges by spreading diseases, consuming crops and damaging infrastructure. Despite the massive human and financial toll of invasive insects, cost estimates of their impacts remain sporadic, spatially incomplete and of questionable quality. We compiled the most comprehensive database of economic costs of invasive insects, expressing historical estimates in annual 2014-equivalent US dollars. Taking all reported goods and services estimates, invasive insects cost a minimum of US$70.0 billion year-1 globally, while global health costs directly attributable to invasive insects exceed US$6.9 billion year-1. Total costs rise as the number of estimates increases, although many of the worst costs have already been estimated (especially those related to human health). A lack of dedicated studies, especially for reproducible goods and services estimates, implies gross underestimation of global costs. Global warming as a consequence of climate change, rising human population densities and intensifying international trade will allow the costliest insects to spread into new areas, although substantial savings could be achieved by increasing surveillance, containment and public awareness.", "author" : [ { "dropping-particle" : "", "family" : "Bradshaw", "given" : "Corey J. A.", "non-dropping-particle" : "", "parse-names" : false, "suffix" : "" }, { "dropping-particle" : "", "family" : "Leroy", "given" : "Boris", "non-dropping-particle" : "", "parse-names" : false, "suffix" : "" }, { "dropping-particle" : "", "family" : "Bellard", "given" : "Celine", "non-dropping-particle" : "", "parse-names" : false, "suffix" : "" }, { "dropping-particle" : "", "family" : "Roiz", "given" : "David", "non-dropping-particle" : "", "parse-names" : false, "suffix" : "" }, { "dropping-particle" : "", "family" : "Albert", "given" : "Celine", "non-dropping-particle" : "", "parse-names" : false, "suffix" : "" }, { "dropping-particle" : "", "family" : "Fournier", "given" : "Alice", "non-dropping-particle" : "", "parse-names" : false, "suffix" : "" }, { "dropping-particle" : "", "family" : "Barbet-Massin", "given" : "Morgane", "non-dropping-particle" : "", "parse-names" : false, "suffix" : "" }, { "dropping-particle" : "", "family" : "Salles", "given" : "Jean-Michel", "non-dropping-particle" : "", "parse-names" : false, "suffix" : "" }, { "dropping-particle" : "", "family" : "Simard", "given" : "Frederic", "non-dropping-particle" : "", "parse-names" : false, "suffix" : "" }, { "dropping-particle" : "", "family" : "Courchamp", "given" : "Franck", "non-dropping-particle" : "", "parse-names" : false, "suffix" : "" } ], "container-title" : "Nature Communications", "id" : "ITEM-1", "issued" : { "date-parts" : [ [ "2016" ] ] }, "page" : "12986", "title" : "Massive yet grossly underestimated global costs of invasive insects", "type" : "article-journal", "volume" : "7" }, "uris" : [ "http://www.mendeley.com/documents/?uuid=91fd0e44-a074-4207-87d4-17d37f01a1d0" ] } ], "mendeley" : { "formattedCitation" : "(Bradshaw et al., 2016)", "plainTextFormattedCitation" : "(Bradshaw et al., 2016)", "previouslyFormattedCitation" : "(Bradshaw et al., 2016)" }, "properties" : { "noteIndex" : 0 }, "schema" : "https://github.com/citation-style-language/schema/raw/master/csl-citation.json" }</w:instrText>
      </w:r>
      <w:r w:rsidR="004255E7" w:rsidRPr="008608AA">
        <w:fldChar w:fldCharType="separate"/>
      </w:r>
      <w:r w:rsidR="004255E7" w:rsidRPr="008608AA">
        <w:rPr>
          <w:noProof/>
        </w:rPr>
        <w:t>(Bradshaw et al., 2016)</w:t>
      </w:r>
      <w:r w:rsidR="004255E7" w:rsidRPr="008608AA">
        <w:fldChar w:fldCharType="end"/>
      </w:r>
      <w:r w:rsidR="004255E7" w:rsidRPr="008608AA">
        <w:t>. Control of invasive species requires knowledge of global and local introduction trends and distinguishing harmful alien species from the more benign ones; that said, not all alien species are harmful (Table 3.2).</w:t>
      </w:r>
    </w:p>
    <w:p w14:paraId="75BFC467" w14:textId="77777777" w:rsidR="00895B15" w:rsidRPr="008608AA" w:rsidRDefault="00895B15" w:rsidP="00C1178A"/>
    <w:p w14:paraId="65D4CE51" w14:textId="77777777" w:rsidR="004255E7" w:rsidRPr="008608AA" w:rsidRDefault="004255E7" w:rsidP="00C1178A">
      <w:pPr>
        <w:spacing w:after="120"/>
      </w:pPr>
      <w:r w:rsidRPr="008608AA">
        <w:t xml:space="preserve">Comprehensive data on naturalized alien species for the Americas is available for plants and birds. Currently the North American (which includes Greenland and Mexico) and the South American (which includes Mesoamerica south of Mexico and the Caribbean) biogeographic regions are home to 3,513 (39%) and 1,806 (20%) respectively of the world’s 9004 plant species that have been introduced from one continent to another </w:t>
      </w:r>
      <w:r w:rsidRPr="008608AA">
        <w:fldChar w:fldCharType="begin" w:fldLock="1"/>
      </w:r>
      <w:r w:rsidRPr="008608AA">
        <w:instrText>ADDIN CSL_CITATION { "citationItems" : [ { "id" : "ITEM-1", "itemData" : { "DOI" : "10.1038/nature14910", "ISBN" : "doi:10.1038/nature14910", "ISSN" : "0028-0836", "PMID" : "26287466", "abstract" : "All around the globe, humans have greatly altered the abiotic and biotic environment with ever-increasing speed. One defining fea-ture of the Anthropocene epoch 1,2 is the erosion of biogeographical barriers by human-mediated dispersal of species into new regions, where they can naturalize and cause ecological, economic and social damage 3 . So far, no comprehensive analysis of the global accumulation and exchange of alien plant species between conti-nents has been performed, primarily because of a lack of data. Here we bridge this knowledge gap by using a unique global database on the occurrences of naturalized alien plant species in 481 mainland and 362 island regions. In total, 13,168 plant species, correspond-ing to 3.9% of the extant global vascular flora, or approximately the size of the native European flora, have become naturalized some-where on the globe as a result of human activity. North America has accumulated the largest number of naturalized species, whereas the Pacific Islands show the fastest increase in species numbers with respect to their land area. Continents in the Northern Hemisphere have been the major donors of naturalized alien species to all other continents. Our results quantify for the first time the extent of plant naturalizations worldwide, and illustrate the urgent need for globally integrated efforts to control, manage and understand the spread of alien species. The magnitude of impacts caused by alien species on native biota and human societies is increasing rapidly 3", "author" : [ { "dropping-particle" : "", "family" : "Kleunen", "given" : "Mark", "non-dropping-particle" : "Van", "parse-names" : false, "suffix" : "" }, { "dropping-particle" : "", "family" : "Dawson", "given" : "Wayne", "non-dropping-particle" : "", "parse-names" : false, "suffix" : "" }, { "dropping-particle" : "", "family" : "Essl", "given" : "Franz", "non-dropping-particle" : "", "parse-names" : false, "suffix" : "" }, { "dropping-particle" : "", "family" : "Pergl", "given" : "Jan", "non-dropping-particle" : "", "parse-names" : false, "suffix" : "" }, { "dropping-particle" : "", "family" : "Winter", "given" : "Marten", "non-dropping-particle" : "", "parse-names" : false, "suffix" : "" }, { "dropping-particle" : "", "family" : "Weber", "given" : "Ewald", "non-dropping-particle" : "", "parse-names" : false, "suffix" : "" }, { "dropping-particle" : "", "family" : "Kreft", "given" : "Holger", "non-dropping-particle" : "", "parse-names" : false, "suffix" : "" }, { "dropping-particle" : "", "family" : "Weigelt", "given" : "Patrick", "non-dropping-particle" : "", "parse-names" : false, "suffix" : "" }, { "dropping-particle" : "", "family" : "Kartesz", "given" : "John", "non-dropping-particle" : "", "parse-names" : false, "suffix" : "" }, { "dropping-particle" : "", "family" : "Nishino", "given" : "Misako", "non-dropping-particle" : "", "parse-names" : false, "suffix" : "" }, { "dropping-particle" : "", "family" : "Antonova", "given" : "Liubov A.", "non-dropping-particle" : "", "parse-names" : false, "suffix" : "" }, { "dropping-particle" : "", "family" : "Barcelona", "given" : "Julie F.", "non-dropping-particle" : "", "parse-names" : false, "suffix" : "" }, { "dropping-particle" : "", "family" : "Cabezas", "given" : "Francisco J.", "non-dropping-particle" : "", "parse-names" : false, "suffix" : "" }, { "dropping-particle" : "", "family" : "C\u00e1rdenas", "given" : "D.", "non-dropping-particle" : "", "parse-names" : false, "suffix" : "" }, { "dropping-particle" : "", "family" : "C\u00e1rdenas-Toro", "given" : "J.", "non-dropping-particle" : "", "parse-names" : false, "suffix" : "" }, { "dropping-particle" : "", "family" : "N", "given" : "Casta\u00f1o", "non-dropping-particle" : "", "parse-names" : false, "suffix" : "" }, { "dropping-particle" : "", "family" : "Chac\u00f3n", "given" : "E.", "non-dropping-particle" : "", "parse-names" : false, "suffix" : "" }, { "dropping-particle" : "", "family" : "Chatelain", "given" : "C.", "non-dropping-particle" : "", "parse-names" : false, "suffix" : "" }, { "dropping-particle" : "", "family" : "Ebel", "given" : "A.L.", "non-dropping-particle" : "", "parse-names" : false, "suffix" : "" }, { "dropping-particle" : "", "family" : "Figueiredo", "given" : "E", "non-dropping-particle" : "", "parse-names" : false, "suffix" : "" }, { "dropping-particle" : "", "family" : "Fuentes", "given" : "N.", "non-dropping-particle" : "", "parse-names" : false, "suffix" : "" }, { "dropping-particle" : "", "family" : "Groom", "given" : "Q.J.", "non-dropping-particle" : "", "parse-names" : false, "suffix" : "" }, { "dropping-particle" : "", "family" : "Henderson", "given" : "L.", "non-dropping-particle" : "", "parse-names" : false, "suffix" : "" }, { "dropping-particle" : "", "family" : "Inderjit", "given" : "L.", "non-dropping-particle" : "", "parse-names" : false, "suffix" : "" }, { "dropping-particle" : "", "family" : "Kupriyanov", "given" : "A.", "non-dropping-particle" : "", "parse-names" : false, "suffix" : "" }, { "dropping-particle" : "", "family" : "S", "given" : "Masciadri.", "non-dropping-particle" : "", "parse-names" : false, "suffix" : "" }, { "dropping-particle" : "", "family" : "Morozova", "given" : "Olga", "non-dropping-particle" : "", "parse-names" : false, "suffix" : "" }, { "dropping-particle" : "", "family" : "Moser", "given" : "Dietmar", "non-dropping-particle" : "", "parse-names" : false, "suffix" : "" }, { "dropping-particle" : "", "family" : "Nickrent", "given" : "Daniel L.", "non-dropping-particle" : "", "parse-names" : false, "suffix" : "" }, { "dropping-particle" : "", "family" : "Patzelt", "given" : "Annette", "non-dropping-particle" : "", "parse-names" : false, "suffix" : "" }, { "dropping-particle" : "", "family" : "Pelser", "given" : "Pieter B.", "non-dropping-particle" : "", "parse-names" : false, "suffix" : "" }, { "dropping-particle" : "", "family" : "Baptiste", "given" : "Mar\u00eda P.", "non-dropping-particle" : "", "parse-names" : false, "suffix" : "" }, { "dropping-particle" : "", "family" : "Poopath", "given" : "Manop", "non-dropping-particle" : "", "parse-names" : false, "suffix" : "" }, { "dropping-particle" : "", "family" : "Schulze", "given" : "Maria", "non-dropping-particle" : "", "parse-names" : false, "suffix" : "" }, { "dropping-particle" : "", "family" : "Seebens", "given" : "Hanno", "non-dropping-particle" : "", "parse-names" : false, "suffix" : "" }, { "dropping-particle" : "", "family" : "Shu", "given" : "Wen-Sheng", "non-dropping-particle" : "", "parse-names" : false, "suffix" : "" }, { "dropping-particle" : "", "family" : "Thomas", "given" : "Jacob", "non-dropping-particle" : "", "parse-names" : false, "suffix" : "" }, { "dropping-particle" : "", "family" : "Velayos", "given" : "Mauricio", "non-dropping-particle" : "", "parse-names" : false, "suffix" : "" }, { "dropping-particle" : "", "family" : "Wieringa", "given" : "Jan J.", "non-dropping-particle" : "", "parse-names" : false, "suffix" : "" }, { "dropping-particle" : "", "family" : "Py\u0161ek", "given" : "P.", "non-dropping-particle" : "", "parse-names" : false, "suffix" : "" } ], "container-title" : "Nature", "id" : "ITEM-1", "issue" : "7567", "issued" : { "date-parts" : [ [ "2015" ] ] }, "page" : "100-103", "title" : "Global exchange and accumulation of non-native plants", "type" : "article-journal", "volume" : "525" }, "uris" : [ "http://www.mendeley.com/documents/?uuid=e939e99c-1169-3e6b-be2c-26c82dfd9d44" ] } ], "mendeley" : { "formattedCitation" : "(Van Kleunen et al., 2015)", "manualFormatting" : "(Van Kleunen et al., 2015, and personal communication)", "plainTextFormattedCitation" : "(Van Kleunen et al., 2015)", "previouslyFormattedCitation" : "(Van Kleunen et al., 2015)" }, "properties" : { "noteIndex" : 0 }, "schema" : "https://github.com/citation-style-language/schema/raw/master/csl-citation.json" }</w:instrText>
      </w:r>
      <w:r w:rsidRPr="008608AA">
        <w:fldChar w:fldCharType="separate"/>
      </w:r>
      <w:r w:rsidRPr="008608AA">
        <w:rPr>
          <w:noProof/>
        </w:rPr>
        <w:t>(Van Kleunen et al., 2015, and personal communication)</w:t>
      </w:r>
      <w:r w:rsidRPr="008608AA">
        <w:fldChar w:fldCharType="end"/>
      </w:r>
      <w:r w:rsidRPr="008608AA">
        <w:t>. A</w:t>
      </w:r>
      <w:r w:rsidRPr="008608AA">
        <w:rPr>
          <w:color w:val="222222"/>
          <w:shd w:val="clear" w:color="auto" w:fill="FFFFFF"/>
        </w:rPr>
        <w:t xml:space="preserve">dditional intra-continental plant movements beyond their natural ranges within North and South America, bring the total numbers of alien records to 5,958 and 3,117, respectively. </w:t>
      </w:r>
      <w:r w:rsidRPr="008608AA">
        <w:t xml:space="preserve">North America has been a much larger donor of alien plant species to other continents than has South America; additionally North America, as defined by IPBES, is one of the most heavily invaded areas of the world </w:t>
      </w:r>
      <w:r w:rsidRPr="008608AA">
        <w:fldChar w:fldCharType="begin" w:fldLock="1"/>
      </w:r>
      <w:r w:rsidRPr="008608AA">
        <w:instrText>ADDIN CSL_CITATION { "citationItems" : [ { "id" : "ITEM-1", "itemData" : { "DOI" : "10.1038/nature14910", "ISBN" : "doi:10.1038/nature14910", "ISSN" : "0028-0836", "PMID" : "26287466", "abstract" : "All around the globe, humans have greatly altered the abiotic and biotic environment with ever-increasing speed. One defining fea-ture of the Anthropocene epoch 1,2 is the erosion of biogeographical barriers by human-mediated dispersal of species into new regions, where they can naturalize and cause ecological, economic and social damage 3 . So far, no comprehensive analysis of the global accumulation and exchange of alien plant species between conti-nents has been performed, primarily because of a lack of data. Here we bridge this knowledge gap by using a unique global database on the occurrences of naturalized alien plant species in 481 mainland and 362 island regions. In total, 13,168 plant species, correspond-ing to 3.9% of the extant global vascular flora, or approximately the size of the native European flora, have become naturalized some-where on the globe as a result of human activity. North America has accumulated the largest number of naturalized species, whereas the Pacific Islands show the fastest increase in species numbers with respect to their land area. Continents in the Northern Hemisphere have been the major donors of naturalized alien species to all other continents. Our results quantify for the first time the extent of plant naturalizations worldwide, and illustrate the urgent need for globally integrated efforts to control, manage and understand the spread of alien species. The magnitude of impacts caused by alien species on native biota and human societies is increasing rapidly 3", "author" : [ { "dropping-particle" : "", "family" : "Kleunen", "given" : "Mark", "non-dropping-particle" : "Van", "parse-names" : false, "suffix" : "" }, { "dropping-particle" : "", "family" : "Dawson", "given" : "Wayne", "non-dropping-particle" : "", "parse-names" : false, "suffix" : "" }, { "dropping-particle" : "", "family" : "Essl", "given" : "Franz", "non-dropping-particle" : "", "parse-names" : false, "suffix" : "" }, { "dropping-particle" : "", "family" : "Pergl", "given" : "Jan", "non-dropping-particle" : "", "parse-names" : false, "suffix" : "" }, { "dropping-particle" : "", "family" : "Winter", "given" : "Marten", "non-dropping-particle" : "", "parse-names" : false, "suffix" : "" }, { "dropping-particle" : "", "family" : "Weber", "given" : "Ewald", "non-dropping-particle" : "", "parse-names" : false, "suffix" : "" }, { "dropping-particle" : "", "family" : "Kreft", "given" : "Holger", "non-dropping-particle" : "", "parse-names" : false, "suffix" : "" }, { "dropping-particle" : "", "family" : "Weigelt", "given" : "Patrick", "non-dropping-particle" : "", "parse-names" : false, "suffix" : "" }, { "dropping-particle" : "", "family" : "Kartesz", "given" : "John", "non-dropping-particle" : "", "parse-names" : false, "suffix" : "" }, { "dropping-particle" : "", "family" : "Nishino", "given" : "Misako", "non-dropping-particle" : "", "parse-names" : false, "suffix" : "" }, { "dropping-particle" : "", "family" : "Antonova", "given" : "Liubov A.", "non-dropping-particle" : "", "parse-names" : false, "suffix" : "" }, { "dropping-particle" : "", "family" : "Barcelona", "given" : "Julie F.", "non-dropping-particle" : "", "parse-names" : false, "suffix" : "" }, { "dropping-particle" : "", "family" : "Cabezas", "given" : "Francisco J.", "non-dropping-particle" : "", "parse-names" : false, "suffix" : "" }, { "dropping-particle" : "", "family" : "C\u00e1rdenas", "given" : "D.", "non-dropping-particle" : "", "parse-names" : false, "suffix" : "" }, { "dropping-particle" : "", "family" : "C\u00e1rdenas-Toro", "given" : "J.", "non-dropping-particle" : "", "parse-names" : false, "suffix" : "" }, { "dropping-particle" : "", "family" : "N", "given" : "Casta\u00f1o", "non-dropping-particle" : "", "parse-names" : false, "suffix" : "" }, { "dropping-particle" : "", "family" : "Chac\u00f3n", "given" : "E.", "non-dropping-particle" : "", "parse-names" : false, "suffix" : "" }, { "dropping-particle" : "", "family" : "Chatelain", "given" : "C.", "non-dropping-particle" : "", "parse-names" : false, "suffix" : "" }, { "dropping-particle" : "", "family" : "Ebel", "given" : "A.L.", "non-dropping-particle" : "", "parse-names" : false, "suffix" : "" }, { "dropping-particle" : "", "family" : "Figueiredo", "given" : "E", "non-dropping-particle" : "", "parse-names" : false, "suffix" : "" }, { "dropping-particle" : "", "family" : "Fuentes", "given" : "N.", "non-dropping-particle" : "", "parse-names" : false, "suffix" : "" }, { "dropping-particle" : "", "family" : "Groom", "given" : "Q.J.", "non-dropping-particle" : "", "parse-names" : false, "suffix" : "" }, { "dropping-particle" : "", "family" : "Henderson", "given" : "L.", "non-dropping-particle" : "", "parse-names" : false, "suffix" : "" }, { "dropping-particle" : "", "family" : "Inderjit", "given" : "L.", "non-dropping-particle" : "", "parse-names" : false, "suffix" : "" }, { "dropping-particle" : "", "family" : "Kupriyanov", "given" : "A.", "non-dropping-particle" : "", "parse-names" : false, "suffix" : "" }, { "dropping-particle" : "", "family" : "S", "given" : "Masciadri.", "non-dropping-particle" : "", "parse-names" : false, "suffix" : "" }, { "dropping-particle" : "", "family" : "Morozova", "given" : "Olga", "non-dropping-particle" : "", "parse-names" : false, "suffix" : "" }, { "dropping-particle" : "", "family" : "Moser", "given" : "Dietmar", "non-dropping-particle" : "", "parse-names" : false, "suffix" : "" }, { "dropping-particle" : "", "family" : "Nickrent", "given" : "Daniel L.", "non-dropping-particle" : "", "parse-names" : false, "suffix" : "" }, { "dropping-particle" : "", "family" : "Patzelt", "given" : "Annette", "non-dropping-particle" : "", "parse-names" : false, "suffix" : "" }, { "dropping-particle" : "", "family" : "Pelser", "given" : "Pieter B.", "non-dropping-particle" : "", "parse-names" : false, "suffix" : "" }, { "dropping-particle" : "", "family" : "Baptiste", "given" : "Mar\u00eda P.", "non-dropping-particle" : "", "parse-names" : false, "suffix" : "" }, { "dropping-particle" : "", "family" : "Poopath", "given" : "Manop", "non-dropping-particle" : "", "parse-names" : false, "suffix" : "" }, { "dropping-particle" : "", "family" : "Schulze", "given" : "Maria", "non-dropping-particle" : "", "parse-names" : false, "suffix" : "" }, { "dropping-particle" : "", "family" : "Seebens", "given" : "Hanno", "non-dropping-particle" : "", "parse-names" : false, "suffix" : "" }, { "dropping-particle" : "", "family" : "Shu", "given" : "Wen-Sheng", "non-dropping-particle" : "", "parse-names" : false, "suffix" : "" }, { "dropping-particle" : "", "family" : "Thomas", "given" : "Jacob", "non-dropping-particle" : "", "parse-names" : false, "suffix" : "" }, { "dropping-particle" : "", "family" : "Velayos", "given" : "Mauricio", "non-dropping-particle" : "", "parse-names" : false, "suffix" : "" }, { "dropping-particle" : "", "family" : "Wieringa", "given" : "Jan J.", "non-dropping-particle" : "", "parse-names" : false, "suffix" : "" }, { "dropping-particle" : "", "family" : "Py\u0161ek", "given" : "P.", "non-dropping-particle" : "", "parse-names" : false, "suffix" : "" } ], "container-title" : "Nature", "id" : "ITEM-1", "issue" : "7567", "issued" : { "date-parts" : [ [ "2015" ] ] }, "page" : "100-103", "title" : "Global exchange and accumulation of non-native plants", "type" : "article-journal", "volume" : "525" }, "uris" : [ "http://www.mendeley.com/documents/?uuid=e939e99c-1169-3e6b-be2c-26c82dfd9d44" ] } ], "mendeley" : { "formattedCitation" : "(Van Kleunen et al., 2015)", "plainTextFormattedCitation" : "(Van Kleunen et al., 2015)", "previouslyFormattedCitation" : "(Van Kleunen et al., 2015)" }, "properties" : { "noteIndex" : 0 }, "schema" : "https://github.com/citation-style-language/schema/raw/master/csl-citation.json" }</w:instrText>
      </w:r>
      <w:r w:rsidRPr="008608AA">
        <w:fldChar w:fldCharType="separate"/>
      </w:r>
      <w:r w:rsidRPr="008608AA">
        <w:rPr>
          <w:noProof/>
        </w:rPr>
        <w:t>(Van Kleunen et al., 2015)</w:t>
      </w:r>
      <w:r w:rsidRPr="008608AA">
        <w:fldChar w:fldCharType="end"/>
      </w:r>
      <w:r w:rsidRPr="008608AA">
        <w:t xml:space="preserve">. The Caribbean subregion is also strongly invaded in relation to its land area (see also Figure 3.5, where there are many plant species). </w:t>
      </w:r>
    </w:p>
    <w:p w14:paraId="03908B49" w14:textId="116DEFB0" w:rsidR="00482783" w:rsidRPr="008608AA" w:rsidRDefault="004255E7" w:rsidP="00C1178A">
      <w:r w:rsidRPr="008608AA">
        <w:rPr>
          <w:shd w:val="clear" w:color="auto" w:fill="FFFFFF"/>
        </w:rPr>
        <w:t xml:space="preserve">Some 3,661 alien bird introductions (first known occurrence of a given species in a given country) were reported across the globe from 1500 to 2000 </w:t>
      </w:r>
      <w:r w:rsidRPr="008608AA">
        <w:fldChar w:fldCharType="begin" w:fldLock="1"/>
      </w:r>
      <w:r w:rsidRPr="008608AA">
        <w:instrText>ADDIN CSL_CITATION { "citationItems" : [ { "id" : "ITEM-1", "itemData" : { "DOI" : "10.1371/journal.pbio.2000942", "ISBN" : "1111111111", "ISSN" : "15457885", "PMID" : "28081142", "abstract" : "Alien species are a major component of human-induced environmental change. Variation in the numbers of alien species found in different areas is likely to depend on a combination of anthropogenic and environmental factors, with anthropogenic factors affecting the number of species introduced to new locations, and when, and environmental factors influencing how many species are able to persist there. However, global spatial and temporal variation in the drivers of alien introduction and species richness remain poorly understood. Here, we analyse an extensive new database of alien birds to explore what determines the global dis- tribution of alien species richness for an entire taxonomic class. We demonstrate that the locations of origin and introduction of alien birds, and their identities, were initially driven largely by European (mainly British) colonialism. However, recent introduction s are a wider phenomenon, involving more species and countries, and driven in part by increasing eco- nomic activity. We find that, globally, alien bird species richness is currently highest at mid- latitudes and is strongly determined by anthropogenic effects, most notably the number of species introduced (i.e., \u2122colonisation pressure\u222b). Nevertheless, environmental drivers are also important, with native and alien species richness being strongly and consistently posi- tively associated. Our results demonstrate that colonisation pressure is key to understand- ing alien species richness, show that areas of high native species richness are not resistant to colonisation by alien species at the global scale, and emphasise the likely ongoing threats to global environments from introductions of species.", "author" : [ { "dropping-particle" : "", "family" : "Dyer", "given" : "Ellie E.", "non-dropping-particle" : "", "parse-names" : false, "suffix" : "" }, { "dropping-particle" : "", "family" : "Cassey", "given" : "Phillip", "non-dropping-particle" : "", "parse-names" : false, "suffix" : "" }, { "dropping-particle" : "", "family" : "Redding", "given" : "David W.", "non-dropping-particle" : "", "parse-names" : false, "suffix" : "" }, { "dropping-particle" : "", "family" : "Collen", "given" : "Ben", "non-dropping-particle" : "", "parse-names" : false, "suffix" : "" }, { "dropping-particle" : "", "family" : "Franks", "given" : "Victoria", "non-dropping-particle" : "", "parse-names" : false, "suffix" : "" }, { "dropping-particle" : "", "family" : "Gaston", "given" : "Kevin J.", "non-dropping-particle" : "", "parse-names" : false, "suffix" : "" }, { "dropping-particle" : "", "family" : "Jones", "given" : "Kate E.", "non-dropping-particle" : "", "parse-names" : false, "suffix" : "" }, { "dropping-particle" : "", "family" : "Kark", "given" : "Salit", "non-dropping-particle" : "", "parse-names" : false, "suffix" : "" }, { "dropping-particle" : "", "family" : "Orme", "given" : "C. David L.", "non-dropping-particle" : "", "parse-names" : false, "suffix" : "" }, { "dropping-particle" : "", "family" : "Blackburn", "given" : "Tim M.", "non-dropping-particle" : "", "parse-names" : false, "suffix" : "" } ], "container-title" : "PLoS Biol", "id" : "ITEM-1", "issue" : "1", "issued" : { "date-parts" : [ [ "2017" ] ] }, "page" : "e2000942.", "title" : "The global distribution and drivers of alien bird species richness", "type" : "article-journal", "volume" : "15" }, "uris" : [ "http://www.mendeley.com/documents/?uuid=4fbfa1d5-2164-4522-b0be-83051a028ebe" ] } ], "mendeley" : { "formattedCitation" : "(Dyer et al., 2017)", "plainTextFormattedCitation" : "(Dyer et al., 2017)", "previouslyFormattedCitation" : "(Dyer et al., 2017)" }, "properties" : { "noteIndex" : 0 }, "schema" : "https://github.com/citation-style-language/schema/raw/master/csl-citation.json" }</w:instrText>
      </w:r>
      <w:r w:rsidRPr="008608AA">
        <w:fldChar w:fldCharType="separate"/>
      </w:r>
      <w:r w:rsidRPr="008608AA">
        <w:rPr>
          <w:noProof/>
        </w:rPr>
        <w:t>(Dyer et al., 2017)</w:t>
      </w:r>
      <w:r w:rsidRPr="008608AA">
        <w:fldChar w:fldCharType="end"/>
      </w:r>
      <w:r w:rsidRPr="008608AA">
        <w:t xml:space="preserve">. Relative to other regions the Americas, particularly the North American and Caribbean subregions, support large numbers of alien birds </w:t>
      </w:r>
      <w:r w:rsidRPr="008608AA">
        <w:fldChar w:fldCharType="begin" w:fldLock="1"/>
      </w:r>
      <w:r w:rsidRPr="008608AA">
        <w:instrText>ADDIN CSL_CITATION { "citationItems" : [ { "id" : "ITEM-1", "itemData" : { "DOI" : "10.1371/journal.pbio.2000942", "ISBN" : "1111111111", "ISSN" : "15457885", "PMID" : "28081142", "abstract" : "Alien species are a major component of human-induced environmental change. Variation in the numbers of alien species found in different areas is likely to depend on a combination of anthropogenic and environmental factors, with anthropogenic factors affecting the number of species introduced to new locations, and when, and environmental factors influencing how many species are able to persist there. However, global spatial and temporal variation in the drivers of alien introduction and species richness remain poorly understood. Here, we analyse an extensive new database of alien birds to explore what determines the global dis- tribution of alien species richness for an entire taxonomic class. We demonstrate that the locations of origin and introduction of alien birds, and their identities, were initially driven largely by European (mainly British) colonialism. However, recent introduction s are a wider phenomenon, involving more species and countries, and driven in part by increasing eco- nomic activity. We find that, globally, alien bird species richness is currently highest at mid- latitudes and is strongly determined by anthropogenic effects, most notably the number of species introduced (i.e., \u2122colonisation pressure\u222b). Nevertheless, environmental drivers are also important, with native and alien species richness being strongly and consistently posi- tively associated. Our results demonstrate that colonisation pressure is key to understand- ing alien species richness, show that areas of high native species richness are not resistant to colonisation by alien species at the global scale, and emphasise the likely ongoing threats to global environments from introductions of species.", "author" : [ { "dropping-particle" : "", "family" : "Dyer", "given" : "Ellie E.", "non-dropping-particle" : "", "parse-names" : false, "suffix" : "" }, { "dropping-particle" : "", "family" : "Cassey", "given" : "Phillip", "non-dropping-particle" : "", "parse-names" : false, "suffix" : "" }, { "dropping-particle" : "", "family" : "Redding", "given" : "David W.", "non-dropping-particle" : "", "parse-names" : false, "suffix" : "" }, { "dropping-particle" : "", "family" : "Collen", "given" : "Ben", "non-dropping-particle" : "", "parse-names" : false, "suffix" : "" }, { "dropping-particle" : "", "family" : "Franks", "given" : "Victoria", "non-dropping-particle" : "", "parse-names" : false, "suffix" : "" }, { "dropping-particle" : "", "family" : "Gaston", "given" : "Kevin J.", "non-dropping-particle" : "", "parse-names" : false, "suffix" : "" }, { "dropping-particle" : "", "family" : "Jones", "given" : "Kate E.", "non-dropping-particle" : "", "parse-names" : false, "suffix" : "" }, { "dropping-particle" : "", "family" : "Kark", "given" : "Salit", "non-dropping-particle" : "", "parse-names" : false, "suffix" : "" }, { "dropping-particle" : "", "family" : "Orme", "given" : "C. David L.", "non-dropping-particle" : "", "parse-names" : false, "suffix" : "" }, { "dropping-particle" : "", "family" : "Blackburn", "given" : "Tim M.", "non-dropping-particle" : "", "parse-names" : false, "suffix" : "" } ], "container-title" : "PLoS Biol", "id" : "ITEM-1", "issue" : "1", "issued" : { "date-parts" : [ [ "2017" ] ] }, "page" : "e2000942.", "title" : "The global distribution and drivers of alien bird species richness", "type" : "article-journal", "volume" : "15" }, "uris" : [ "http://www.mendeley.com/documents/?uuid=4fbfa1d5-2164-4522-b0be-83051a028ebe" ] } ], "mendeley" : { "formattedCitation" : "(Dyer et al., 2017)", "plainTextFormattedCitation" : "(Dyer et al., 2017)", "previouslyFormattedCitation" : "(Dyer et al., 2017)" }, "properties" : { "noteIndex" : 0 }, "schema" : "https://github.com/citation-style-language/schema/raw/master/csl-citation.json" }</w:instrText>
      </w:r>
      <w:r w:rsidRPr="008608AA">
        <w:fldChar w:fldCharType="separate"/>
      </w:r>
      <w:r w:rsidRPr="008608AA">
        <w:rPr>
          <w:noProof/>
        </w:rPr>
        <w:t>(Dyer et al., 2017)</w:t>
      </w:r>
      <w:r w:rsidRPr="008608AA">
        <w:fldChar w:fldCharType="end"/>
      </w:r>
      <w:r w:rsidRPr="008608AA">
        <w:t xml:space="preserve">. Reports of introduced birds are currently lacking in some tropical areas in northern South America </w:t>
      </w:r>
      <w:r w:rsidRPr="008608AA">
        <w:fldChar w:fldCharType="begin" w:fldLock="1"/>
      </w:r>
      <w:r w:rsidRPr="008608AA">
        <w:instrText>ADDIN CSL_CITATION { "citationItems" : [ { "id" : "ITEM-1", "itemData" : { "DOI" : "10.1371/journal.pbio.2000942", "ISBN" : "1111111111", "ISSN" : "15457885", "PMID" : "28081142", "abstract" : "Alien species are a major component of human-induced environmental change. Variation in the numbers of alien species found in different areas is likely to depend on a combination of anthropogenic and environmental factors, with anthropogenic factors affecting the number of species introduced to new locations, and when, and environmental factors influencing how many species are able to persist there. However, global spatial and temporal variation in the drivers of alien introduction and species richness remain poorly understood. Here, we analyse an extensive new database of alien birds to explore what determines the global dis- tribution of alien species richness for an entire taxonomic class. We demonstrate that the locations of origin and introduction of alien birds, and their identities, were initially driven largely by European (mainly British) colonialism. However, recent introduction s are a wider phenomenon, involving more species and countries, and driven in part by increasing eco- nomic activity. We find that, globally, alien bird species richness is currently highest at mid- latitudes and is strongly determined by anthropogenic effects, most notably the number of species introduced (i.e., \u2122colonisation pressure\u222b). Nevertheless, environmental drivers are also important, with native and alien species richness being strongly and consistently posi- tively associated. Our results demonstrate that colonisation pressure is key to understand- ing alien species richness, show that areas of high native species richness are not resistant to colonisation by alien species at the global scale, and emphasise the likely ongoing threats to global environments from introductions of species.", "author" : [ { "dropping-particle" : "", "family" : "Dyer", "given" : "Ellie E.", "non-dropping-particle" : "", "parse-names" : false, "suffix" : "" }, { "dropping-particle" : "", "family" : "Cassey", "given" : "Phillip", "non-dropping-particle" : "", "parse-names" : false, "suffix" : "" }, { "dropping-particle" : "", "family" : "Redding", "given" : "David W.", "non-dropping-particle" : "", "parse-names" : false, "suffix" : "" }, { "dropping-particle" : "", "family" : "Collen", "given" : "Ben", "non-dropping-particle" : "", "parse-names" : false, "suffix" : "" }, { "dropping-particle" : "", "family" : "Franks", "given" : "Victoria", "non-dropping-particle" : "", "parse-names" : false, "suffix" : "" }, { "dropping-particle" : "", "family" : "Gaston", "given" : "Kevin J.", "non-dropping-particle" : "", "parse-names" : false, "suffix" : "" }, { "dropping-particle" : "", "family" : "Jones", "given" : "Kate E.", "non-dropping-particle" : "", "parse-names" : false, "suffix" : "" }, { "dropping-particle" : "", "family" : "Kark", "given" : "Salit", "non-dropping-particle" : "", "parse-names" : false, "suffix" : "" }, { "dropping-particle" : "", "family" : "Orme", "given" : "C. David L.", "non-dropping-particle" : "", "parse-names" : false, "suffix" : "" }, { "dropping-particle" : "", "family" : "Blackburn", "given" : "Tim M.", "non-dropping-particle" : "", "parse-names" : false, "suffix" : "" } ], "container-title" : "PLoS Biol", "id" : "ITEM-1", "issue" : "1", "issued" : { "date-parts" : [ [ "2017" ] ] }, "page" : "e2000942.", "title" : "The global distribution and drivers of alien bird species richness", "type" : "article-journal", "volume" : "15" }, "uris" : [ "http://www.mendeley.com/documents/?uuid=4fbfa1d5-2164-4522-b0be-83051a028ebe" ] } ], "mendeley" : { "formattedCitation" : "(Dyer et al., 2017)", "plainTextFormattedCitation" : "(Dyer et al., 2017)", "previouslyFormattedCitation" : "(Dyer et al., 2017)" }, "properties" : { "noteIndex" : 0 }, "schema" : "https://github.com/citation-style-language/schema/raw/master/csl-citation.json" }</w:instrText>
      </w:r>
      <w:r w:rsidRPr="008608AA">
        <w:fldChar w:fldCharType="separate"/>
      </w:r>
      <w:r w:rsidRPr="008608AA">
        <w:rPr>
          <w:noProof/>
        </w:rPr>
        <w:t>(Dyer et al., 2017)</w:t>
      </w:r>
      <w:r w:rsidRPr="008608AA">
        <w:fldChar w:fldCharType="end"/>
      </w:r>
      <w:r w:rsidRPr="008608AA">
        <w:t>.</w:t>
      </w:r>
      <w:r w:rsidR="00482783" w:rsidRPr="008608AA">
        <w:br w:type="page"/>
      </w:r>
    </w:p>
    <w:p w14:paraId="6C2C5AA1" w14:textId="24E6576D" w:rsidR="004255E7" w:rsidRPr="008608AA" w:rsidRDefault="00870677" w:rsidP="00870677">
      <w:pPr>
        <w:pStyle w:val="Caption"/>
        <w:keepNext/>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3</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2</w:t>
      </w:r>
      <w:r w:rsidR="000E562E">
        <w:rPr>
          <w:noProof/>
        </w:rPr>
        <w:fldChar w:fldCharType="end"/>
      </w:r>
      <w:r w:rsidRPr="008608AA">
        <w:t xml:space="preserve">. </w:t>
      </w:r>
      <w:r w:rsidR="004255E7" w:rsidRPr="008608AA">
        <w:t xml:space="preserve">Multiple effects of mostly recent terrestrial alien introductions in the Americas. Alien species can have both negative and positive impacts on humans and biodiversity. See chapter 4 for additional examples. See chapter 4 for additional examples. </w:t>
      </w:r>
      <w:r w:rsidR="004255E7" w:rsidRPr="008608AA">
        <w:rPr>
          <w:rFonts w:eastAsia="Times New Roman"/>
          <w:b w:val="0"/>
          <w:bCs w:val="0"/>
          <w:color w:val="FF0000"/>
          <w:sz w:val="20"/>
          <w:szCs w:val="20"/>
          <w:lang w:val="en-US" w:eastAsia="en-US"/>
        </w:rPr>
        <w:t>•</w:t>
      </w:r>
      <w:r w:rsidR="004255E7" w:rsidRPr="008608AA">
        <w:t xml:space="preserve"> = negative impact; </w:t>
      </w:r>
      <w:r w:rsidR="004255E7" w:rsidRPr="008608AA">
        <w:rPr>
          <w:rFonts w:eastAsia="Times New Roman"/>
          <w:b w:val="0"/>
          <w:bCs w:val="0"/>
          <w:color w:val="92D050"/>
          <w:sz w:val="20"/>
          <w:szCs w:val="20"/>
          <w:lang w:val="en-US" w:eastAsia="en-US"/>
        </w:rPr>
        <w:t>•</w:t>
      </w:r>
      <w:r w:rsidR="004255E7" w:rsidRPr="008608AA">
        <w:t xml:space="preserve"> = positive impact.</w:t>
      </w:r>
    </w:p>
    <w:p w14:paraId="2EE4BE9E" w14:textId="4C85443D" w:rsidR="00E7683B" w:rsidRPr="008608AA" w:rsidRDefault="00B2242D" w:rsidP="00E7683B">
      <w:pPr>
        <w:spacing w:before="240"/>
        <w:jc w:val="center"/>
      </w:pPr>
      <w:r w:rsidRPr="008608AA">
        <w:rPr>
          <w:noProof/>
          <w:lang w:val="en-GB" w:eastAsia="en-GB"/>
        </w:rPr>
        <w:drawing>
          <wp:inline distT="0" distB="0" distL="0" distR="0" wp14:anchorId="21520342" wp14:editId="07F4DF22">
            <wp:extent cx="5934075" cy="5076825"/>
            <wp:effectExtent l="0" t="0" r="9525" b="9525"/>
            <wp:docPr id="30304" name="Imagen 30304" descr="C:\Users\Alejandro Valderrama\Downloads\Table 3.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5" descr="C:\Users\Alejandro Valderrama\Downloads\Table 3.2 (1).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b="40646"/>
                    <a:stretch/>
                  </pic:blipFill>
                  <pic:spPr bwMode="auto">
                    <a:xfrm>
                      <a:off x="0" y="0"/>
                      <a:ext cx="5934075" cy="5076825"/>
                    </a:xfrm>
                    <a:prstGeom prst="rect">
                      <a:avLst/>
                    </a:prstGeom>
                    <a:noFill/>
                    <a:ln>
                      <a:noFill/>
                    </a:ln>
                    <a:extLst>
                      <a:ext uri="{53640926-AAD7-44D8-BBD7-CCE9431645EC}">
                        <a14:shadowObscured xmlns:a14="http://schemas.microsoft.com/office/drawing/2010/main"/>
                      </a:ext>
                    </a:extLst>
                  </pic:spPr>
                </pic:pic>
              </a:graphicData>
            </a:graphic>
          </wp:inline>
        </w:drawing>
      </w:r>
    </w:p>
    <w:p w14:paraId="52FE3DC9" w14:textId="77777777" w:rsidR="004255E7" w:rsidRPr="008608AA" w:rsidRDefault="004255E7" w:rsidP="00C1178A">
      <w:pPr>
        <w:spacing w:before="240"/>
      </w:pPr>
      <w:r w:rsidRPr="008608AA">
        <w:t xml:space="preserve">Although much progress has been made, we currently cannot say how many alien species in the Americas are harmful. Comprehensive risk analyses are lacking in most countries. In general, the number of harmful species is likely to higher than currently visualized because detailed studies are lacking and due to the fact that many potentially strongly invasive species will be still in a lag phase. In Mexico, a comprehensive risk analysis found 41% of 472 species (including aquatic species) analyzed out of a total of 1,683 potentially invasive species to be very high-risk species </w:t>
      </w:r>
      <w:r w:rsidRPr="008608AA">
        <w:fldChar w:fldCharType="begin" w:fldLock="1"/>
      </w:r>
      <w:r w:rsidRPr="008608AA">
        <w:instrText>ADDIN CSL_CITATION { "citationItems" : [ { "id" : "ITEM-1", "itemData" : { "author" : [ { "dropping-particle" : "", "family" : "Gonz\u00e1lez Mart\u00ednez", "given" : "A. I.", "non-dropping-particle" : "", "parse-names" : false, "suffix" : "" }, { "dropping-particle" : "", "family" : "Barrios Caballero", "given" : "Y.", "non-dropping-particle" : "", "parse-names" : false, "suffix" : "" }, { "dropping-particle" : "", "family" : "Jesus", "given" : "S.", "non-dropping-particle" : "De", "parse-names" : false, "suffix" : "" } ], "container-title" : "El Impacto de las Especies Ex\u00f3ticas en M\u00e9xico", "id" : "ITEM-1", "issued" : { "date-parts" : [ [ "2017" ] ] }, "page" : "24-29", "publisher" : "Centro de Estudios Sociales y de Opini\u00f3n P\u00fablica de la C\u00e1mara de Diputados", "publisher-place" : "Mexico City, Mexico", "title" : "An\u00e1lisis de riesgo para especies invasoras en M\u00e9xico", "type" : "chapter" }, "uris" : [ "http://www.mendeley.com/documents/?uuid=d703b90e-cd51-35ce-b0dc-c3a96d118666" ] } ], "mendeley" : { "formattedCitation" : "(Gonz\u00e1lez Mart\u00ednez, Barrios Caballero, &amp; De Jesus, 2017)", "manualFormatting" : "(Gonzalez Mart\u00ednez et al., 2017)", "plainTextFormattedCitation" : "(Gonz\u00e1lez Mart\u00ednez, Barrios Caballero, &amp; De Jesus, 2017)", "previouslyFormattedCitation" : "(Gonz\u00e1lez Mart\u00ednez, Barrios Caballero, &amp; De Jesus, 2017)" }, "properties" : { "noteIndex" : 0 }, "schema" : "https://github.com/citation-style-language/schema/raw/master/csl-citation.json" }</w:instrText>
      </w:r>
      <w:r w:rsidRPr="008608AA">
        <w:fldChar w:fldCharType="separate"/>
      </w:r>
      <w:r w:rsidRPr="008608AA">
        <w:rPr>
          <w:noProof/>
        </w:rPr>
        <w:t>(Gonzalez Martínez et al., 2017)</w:t>
      </w:r>
      <w:r w:rsidRPr="008608AA">
        <w:fldChar w:fldCharType="end"/>
      </w:r>
      <w:r w:rsidRPr="008608AA">
        <w:t>.</w:t>
      </w:r>
    </w:p>
    <w:p w14:paraId="381D5CB9" w14:textId="77777777" w:rsidR="00C1178A" w:rsidRPr="008608AA" w:rsidRDefault="00C1178A" w:rsidP="00895B15">
      <w:pPr>
        <w:spacing w:before="120" w:after="120"/>
      </w:pPr>
    </w:p>
    <w:p w14:paraId="597AEDBD" w14:textId="3AE55700" w:rsidR="00C1178A" w:rsidRPr="008608AA" w:rsidRDefault="00B2242D" w:rsidP="00C1178A">
      <w:pPr>
        <w:spacing w:before="120" w:after="120"/>
        <w:jc w:val="center"/>
      </w:pPr>
      <w:r w:rsidRPr="008608AA">
        <w:rPr>
          <w:noProof/>
          <w:lang w:val="en-GB" w:eastAsia="en-GB"/>
        </w:rPr>
        <w:drawing>
          <wp:inline distT="0" distB="0" distL="0" distR="0" wp14:anchorId="50C4C3A6" wp14:editId="4E7CD7BC">
            <wp:extent cx="5934075" cy="3409950"/>
            <wp:effectExtent l="0" t="0" r="9525" b="0"/>
            <wp:docPr id="30305" name="Imagen 30305" descr="C:\Users\Alejandro Valderrama\Downloads\Fig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7" descr="C:\Users\Alejandro Valderrama\Downloads\Fig3.5.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b="60134"/>
                    <a:stretch/>
                  </pic:blipFill>
                  <pic:spPr bwMode="auto">
                    <a:xfrm>
                      <a:off x="0" y="0"/>
                      <a:ext cx="5934075" cy="3409950"/>
                    </a:xfrm>
                    <a:prstGeom prst="rect">
                      <a:avLst/>
                    </a:prstGeom>
                    <a:noFill/>
                    <a:ln>
                      <a:noFill/>
                    </a:ln>
                    <a:extLst>
                      <a:ext uri="{53640926-AAD7-44D8-BBD7-CCE9431645EC}">
                        <a14:shadowObscured xmlns:a14="http://schemas.microsoft.com/office/drawing/2010/main"/>
                      </a:ext>
                    </a:extLst>
                  </pic:spPr>
                </pic:pic>
              </a:graphicData>
            </a:graphic>
          </wp:inline>
        </w:drawing>
      </w:r>
    </w:p>
    <w:p w14:paraId="3953EA0A" w14:textId="77777777" w:rsidR="004255E7" w:rsidRPr="008608AA" w:rsidRDefault="004255E7" w:rsidP="00C1178A">
      <w:pPr>
        <w:spacing w:before="120" w:after="120"/>
      </w:pPr>
      <w:r w:rsidRPr="008608AA">
        <w:t>Across all taxonomic groups, some 521 species considered to be harmful to biodiversity in Global Invasive Species Database are known to be strongly invasive somewhere in the Americas. North America has far more such species than the other subregions, but for its small land area, the Caribbean is clearly very susceptible to invasion</w:t>
      </w:r>
      <w:r w:rsidRPr="008608AA">
        <w:rPr>
          <w:b/>
        </w:rPr>
        <w:t xml:space="preserve"> (</w:t>
      </w:r>
      <w:r w:rsidRPr="008608AA">
        <w:t xml:space="preserve">Figure 3.5). Additional species found in Global Invasive Species Database that are not considered to be invasive at the moment in a particular subregion could eventually become invasive (Figure 3.5). For the World’s 100 Worst Invaders found in Global Invasive Species Database, 78% have been recorded to occur in at least one subregion of the Americas. Beyond invasive species that harm biodiversity, many alien species have negative impacts on agriculture and forestry. For example, in Brazil, more than 500 species of alien pathogenic fungi, 100 viruses, 25 nematodes and one protozoan attack crops and reduce crop production an estimated 15% </w:t>
      </w:r>
      <w:r w:rsidRPr="008608AA">
        <w:fldChar w:fldCharType="begin" w:fldLock="1"/>
      </w:r>
      <w:r w:rsidRPr="008608AA">
        <w:instrText>ADDIN CSL_CITATION { "citationItems" : [ { "id" : "ITEM-1", "itemData" : { "author" : [ { "dropping-particle" : "", "family" : "Pimentel", "given" : "David", "non-dropping-particle" : "", "parse-names" : false, "suffix" : "" } ], "editor" : [ { "dropping-particle" : "", "family" : "Pimentel", "given" : "David", "non-dropping-particle" : "", "parse-names" : false, "suffix" : "" } ], "id" : "ITEM-1", "issued" : { "date-parts" : [ [ "2002" ] ] }, "publisher" : "CRC Press", "publisher-place" : "Boca Raton, USA", "title" : "Biological Invasions \u2013 Economic and Environmental Costs of Alien Plant, Animal, and Microbe Species", "type" : "book" }, "uris" : [ "http://www.mendeley.com/documents/?uuid=691cc6ab-d83c-4fb7-a302-7752be380b4b" ] } ], "mendeley" : { "formattedCitation" : "(Pimentel, 2002)", "plainTextFormattedCitation" : "(Pimentel, 2002)", "previouslyFormattedCitation" : "(Pimentel, 2002)" }, "properties" : { "noteIndex" : 0 }, "schema" : "https://github.com/citation-style-language/schema/raw/master/csl-citation.json" }</w:instrText>
      </w:r>
      <w:r w:rsidRPr="008608AA">
        <w:fldChar w:fldCharType="separate"/>
      </w:r>
      <w:r w:rsidRPr="008608AA">
        <w:rPr>
          <w:noProof/>
        </w:rPr>
        <w:t>(Pimentel, 2002)</w:t>
      </w:r>
      <w:r w:rsidRPr="008608AA">
        <w:fldChar w:fldCharType="end"/>
      </w:r>
      <w:r w:rsidRPr="008608AA">
        <w:t xml:space="preserve">. Chapter 4 provides more information on the effects of harmful invasive species and on their drivers. </w:t>
      </w:r>
    </w:p>
    <w:p w14:paraId="63466450" w14:textId="274738CF" w:rsidR="006A770E" w:rsidRPr="008608AA" w:rsidRDefault="00657833" w:rsidP="00C1178A">
      <w:r w:rsidRPr="008608AA">
        <w:t xml:space="preserve">Recent trends. </w:t>
      </w:r>
      <w:r w:rsidR="004255E7" w:rsidRPr="008608AA">
        <w:t>Globally, 37% of all recorded naturalized aliens from a wide spectrum of taxonomic groups were recorded for the first time as recently as 1970</w:t>
      </w:r>
      <w:r w:rsidR="004255E7" w:rsidRPr="008608AA">
        <w:softHyphen/>
        <w:t xml:space="preserve">–2014 </w:t>
      </w:r>
      <w:r w:rsidR="004255E7" w:rsidRPr="008608AA">
        <w:fldChar w:fldCharType="begin" w:fldLock="1"/>
      </w:r>
      <w:r w:rsidR="004255E7" w:rsidRPr="008608AA">
        <w:instrText>ADDIN CSL_CITATION { "citationItems" : [ { "id" : "ITEM-1", "itemData" : { "DOI" : "10.1038/ncomms14435", "ISBN" : "2041-1723", "ISSN" : "2041-1723", "PMID" : "28198420", "abstract" : "Although research on human-mediated exchanges of species has substantially intensified during the last centuries, we know surprisingly little about temporal dynamics of alien species accumulations across regions and taxa. Using a novel database of 45,813 first records of 16,926 established alien species, we show that the annual rate of first records worldwide has increased during the last 200 years, with 37% of all first records reported most recently (1970\u20132014). Inter-continental and inter-taxonomic variation can be largely attributed to the diaspora of European settlers in the nineteenth century and to the acceleration in trade in the twentieth century. For all taxonomic groups, the increase in numbers of alien species does not show any sign of saturation and most taxa even show increases in the rate of first records over time. This highlights that past efforts to mitigate invasions have not been effective enough to keep up with increasing globalization. Correspondence", "author" : [ { "dropping-particle" : "", "family" : "Seebens", "given" : "Hanno", "non-dropping-particle" : "", "parse-names" : false, "suffix" : "" }, { "dropping-particle" : "", "family" : "Blackburn", "given" : "Tim M.", "non-dropping-particle" : "", "parse-names" : false, "suffix" : "" }, { "dropping-particle" : "", "family" : "Dyer", "given" : "Ellie E.", "non-dropping-particle" : "", "parse-names" : false, "suffix" : "" }, { "dropping-particle" : "", "family" : "Genovesi", "given" : "Piero", "non-dropping-particle" : "", "parse-names" : false, "suffix" : "" }, { "dropping-particle" : "", "family" : "Hulme", "given" : "Philip E.", "non-dropping-particle" : "", "parse-names" : false, "suffix" : "" }, { "dropping-particle" : "", "family" : "Jeschke", "given" : "Jonathan M.", "non-dropping-particle" : "", "parse-names" : false, "suffix" : "" }, { "dropping-particle" : "", "family" : "Pagad", "given" : "Shyama", "non-dropping-particle" : "", "parse-names" : false, "suffix" : "" }, { "dropping-particle" : "", "family" : "Py\u0161ek", "given" : "Petr", "non-dropping-particle" : "", "parse-names" : false, "suffix" : "" }, { "dropping-particle" : "", "family" : "Winter", "given" : "Marten", "non-dropping-particle" : "", "parse-names" : false, "suffix" : "" }, { "dropping-particle" : "", "family" : "Arianoutsou", "given" : "Margarita", "non-dropping-particle" : "", "parse-names" : false, "suffix" : "" }, { "dropping-particle" : "", "family" : "Bacher", "given" : "Sven", "non-dropping-particle" : "", "parse-names" : false, "suffix" : "" }, { "dropping-particle" : "", "family" : "Blasius", "given" : "Bernd", "non-dropping-particle" : "", "parse-names" : false, "suffix" : "" }, { "dropping-particle" : "", "family" : "Brundu", "given" : "Giuseppe", "non-dropping-particle" : "", "parse-names" : false, "suffix" : "" }, { "dropping-particle" : "", "family" : "Capinha", "given" : "C\u00e9sar", "non-dropping-particle" : "", "parse-names" : false, "suffix" : "" }, { "dropping-particle" : "", "family" : "Celesti-Grapow", "given" : "Laura", "non-dropping-particle" : "", "parse-names" : false, "suffix" : "" }, { "dropping-particle" : "", "family" : "Dawson", "given" : "Wayne", "non-dropping-particle" : "", "parse-names" : false, "suffix" : "" }, { "dropping-particle" : "", "family" : "Dullinger", "given" : "Stefan", "non-dropping-particle" : "", "parse-names" : false, "suffix" : "" }, { "dropping-particle" : "", "family" : "Fuentes", "given" : "Nicol", "non-dropping-particle" : "", "parse-names" : false, "suffix" : "" }, { "dropping-particle" : "", "family" : "J\u00e4ger", "given" : "Heinke", "non-dropping-particle" : "", "parse-names" : false, "suffix" : "" }, { "dropping-particle" : "", "family" : "Kartesz", "given" : "John", "non-dropping-particle" : "", "parse-names" : false, "suffix" : "" }, { "dropping-particle" : "", "family" : "Kenis", "given" : "Marc", "non-dropping-particle" : "", "parse-names" : false, "suffix" : "" }, { "dropping-particle" : "", "family" : "Kreft", "given" : "Holger", "non-dropping-particle" : "", "parse-names" : false, "suffix" : "" }, { "dropping-particle" : "", "family" : "K\u00fchn", "given" : "Ingolf", "non-dropping-particle" : "", "parse-names" : false, "suffix" : "" }, { "dropping-particle" : "", "family" : "Lenzner", "given" : "Bernd", "non-dropping-particle" : "", "parse-names" : false, "suffix" : "" }, { "dropping-particle" : "", "family" : "Liebhold", "given" : "Andrew", "non-dropping-particle" : "", "parse-names" : false, "suffix" : "" }, { "dropping-particle" : "", "family" : "Mosena", "given" : "Alexander", "non-dropping-particle" : "", "parse-names" : false, "suffix" : "" }, { "dropping-particle" : "", "family" : "Moser", "given" : "Dietmar", "non-dropping-particle" : "", "parse-names" : false, "suffix" : "" }, { "dropping-particle" : "", "family" : "Nishino", "given" : "Misako", "non-dropping-particle" : "", "parse-names" : false, "suffix" : "" }, { "dropping-particle" : "", "family" : "Pearman", "given" : "David", "non-dropping-particle" : "", "parse-names" : false, "suffix" : "" }, { "dropping-particle" : "", "family" : "Pergl", "given" : "Jan", "non-dropping-particle" : "", "parse-names" : false, "suffix" : "" }, { "dropping-particle" : "", "family" : "Rabitsch", "given" : "Wolfgang", "non-dropping-particle" : "", "parse-names" : false, "suffix" : "" }, { "dropping-particle" : "", "family" : "Rojas-Sandoval", "given" : "Julissa", "non-dropping-particle" : "", "parse-names" : false, "suffix" : "" }, { "dropping-particle" : "", "family" : "Roques", "given" : "Alain", "non-dropping-particle" : "", "parse-names" : false, "suffix" : "" }, { "dropping-particle" : "", "family" : "Rorke", "given" : "Stephanie", "non-dropping-particle" : "", "parse-names" : false, "suffix" : "" }, { "dropping-particle" : "", "family" : "Rossinelli", "given" : "Silvia", "non-dropping-particle" : "", "parse-names" : false, "suffix" : "" }, { "dropping-particle" : "", "family" : "Roy", "given" : "Helen E.", "non-dropping-particle" : "", "parse-names" : false, "suffix" : "" }, { "dropping-particle" : "", "family" : "Scalera", "given" : "Riccardo", "non-dropping-particle" : "", "parse-names" : false, "suffix" : "" }, { "dropping-particle" : "", "family" : "Schindler", "given" : "Stefan", "non-dropping-particle" : "", "parse-names" : false, "suffix" : "" }, { "dropping-particle" : "", "family" : "\u0160tajerov\u00e1", "given" : "Kate\u0159ina", "non-dropping-particle" : "", "parse-names" : false, "suffix" : "" }, { "dropping-particle" : "", "family" : "Tokarska-Guzik", "given" : "Barbara", "non-dropping-particle" : "", "parse-names" : false, "suffix" : "" }, { "dropping-particle" : "", "family" : "Kleunen", "given" : "Mark", "non-dropping-particle" : "van", "parse-names" : false, "suffix" : "" }, { "dropping-particle" : "", "family" : "Walker", "given" : "Kevin", "non-dropping-particle" : "", "parse-names" : false, "suffix" : "" }, { "dropping-particle" : "", "family" : "Weigelt", "given" : "Patrick", "non-dropping-particle" : "", "parse-names" : false, "suffix" : "" }, { "dropping-particle" : "", "family" : "Yamanaka", "given" : "Takehiko", "non-dropping-particle" : "", "parse-names" : false, "suffix" : "" }, { "dropping-particle" : "", "family" : "Essl", "given" : "Franz", "non-dropping-particle" : "", "parse-names" : false, "suffix" : "" } ], "container-title" : "Nature Communications", "id" : "ITEM-1", "issued" : { "date-parts" : [ [ "2017" ] ] }, "page" : "14435", "title" : "No saturation in the accumulation of alien species worldwide", "type" : "article-journal", "volume" : "8" }, "uris" : [ "http://www.mendeley.com/documents/?uuid=95729d3b-33a0-3706-b6cc-e2cb6ff337bf" ] } ], "mendeley" : { "formattedCitation" : "(Seebens et al., 2017)", "manualFormatting" : "(Seebens et al., 2017)", "plainTextFormattedCitation" : "(Seebens et al., 2017)", "previouslyFormattedCitation" : "(Seebens et al., 2017)" }, "properties" : { "noteIndex" : 0 }, "schema" : "https://github.com/citation-style-language/schema/raw/master/csl-citation.json" }</w:instrText>
      </w:r>
      <w:r w:rsidR="004255E7" w:rsidRPr="008608AA">
        <w:fldChar w:fldCharType="separate"/>
      </w:r>
      <w:r w:rsidR="004255E7" w:rsidRPr="008608AA">
        <w:rPr>
          <w:noProof/>
        </w:rPr>
        <w:t>(Seebens et al., 2017)</w:t>
      </w:r>
      <w:r w:rsidR="004255E7" w:rsidRPr="008608AA">
        <w:fldChar w:fldCharType="end"/>
      </w:r>
      <w:r w:rsidR="004255E7" w:rsidRPr="008608AA">
        <w:t xml:space="preserve">. This signifies that invasion risk is currently high and with increasing globalization will not cease. For the Americas, rates of appearance for different groups have varied over time, with a tendency for steeper early climbs and an earlier tendency to decline in North America than in South America (Figure 3.6). Insects showed a very rapid rate of increase in South America as of the 1950s. </w:t>
      </w:r>
    </w:p>
    <w:p w14:paraId="73F8FA56" w14:textId="77777777" w:rsidR="00C1178A" w:rsidRPr="008608AA" w:rsidRDefault="00C1178A" w:rsidP="00482783">
      <w:pPr>
        <w:spacing w:before="240"/>
      </w:pPr>
    </w:p>
    <w:p w14:paraId="1EB99FDC" w14:textId="648AB43E" w:rsidR="00E714CA" w:rsidRPr="008608AA" w:rsidRDefault="00B2242D" w:rsidP="00E714CA">
      <w:pPr>
        <w:spacing w:before="240"/>
        <w:jc w:val="center"/>
      </w:pPr>
      <w:r w:rsidRPr="008608AA">
        <w:rPr>
          <w:noProof/>
          <w:lang w:val="en-GB" w:eastAsia="en-GB"/>
        </w:rPr>
        <w:drawing>
          <wp:inline distT="0" distB="0" distL="0" distR="0" wp14:anchorId="57315559" wp14:editId="558182FB">
            <wp:extent cx="5934075" cy="8553450"/>
            <wp:effectExtent l="0" t="0" r="9525" b="0"/>
            <wp:docPr id="30306" name="Imagen 30306" descr="C:\Users\Alejandro Valderrama\Downloads\Fig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9" descr="C:\Users\Alejandro Valderrama\Downloads\Fig3.6.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4075" cy="8553450"/>
                    </a:xfrm>
                    <a:prstGeom prst="rect">
                      <a:avLst/>
                    </a:prstGeom>
                    <a:noFill/>
                    <a:ln>
                      <a:noFill/>
                    </a:ln>
                  </pic:spPr>
                </pic:pic>
              </a:graphicData>
            </a:graphic>
          </wp:inline>
        </w:drawing>
      </w:r>
    </w:p>
    <w:p w14:paraId="3319705C" w14:textId="1AB68E84" w:rsidR="00482783" w:rsidRPr="008608AA" w:rsidRDefault="004255E7" w:rsidP="00E714CA">
      <w:pPr>
        <w:spacing w:before="240"/>
      </w:pPr>
      <w:r w:rsidRPr="008608AA">
        <w:t xml:space="preserve">For birds, half of the naturalized alien introductions worldwide occurred after 1956, in concert with increasing globalization and economic growth. As with plants, early bird introductions came mostly from Europe. However, more recently the Indian subcontinent, Indochina, and sub-Saharan Africa have become important sources of alien birds </w:t>
      </w:r>
      <w:r w:rsidRPr="008608AA">
        <w:rPr>
          <w:rFonts w:eastAsia="Times"/>
          <w:b/>
          <w:bCs/>
          <w:lang w:eastAsia="ja-JP"/>
        </w:rPr>
        <w:fldChar w:fldCharType="begin" w:fldLock="1"/>
      </w:r>
      <w:r w:rsidRPr="008608AA">
        <w:instrText>ADDIN CSL_CITATION { "citationItems" : [ { "id" : "ITEM-1", "itemData" : { "DOI" : "10.1371/journal.pbio.2000942", "ISBN" : "1111111111", "ISSN" : "15457885", "PMID" : "28081142", "abstract" : "Alien species are a major component of human-induced environmental change. Variation in the numbers of alien species found in different areas is likely to depend on a combination of anthropogenic and environmental factors, with anthropogenic factors affecting the number of species introduced to new locations, and when, and environmental factors influencing how many species are able to persist there. However, global spatial and temporal variation in the drivers of alien introduction and species richness remain poorly understood. Here, we analyse an extensive new database of alien birds to explore what determines the global dis- tribution of alien species richness for an entire taxonomic class. We demonstrate that the locations of origin and introduction of alien birds, and their identities, were initially driven largely by European (mainly British) colonialism. However, recent introduction s are a wider phenomenon, involving more species and countries, and driven in part by increasing eco- nomic activity. We find that, globally, alien bird species richness is currently highest at mid- latitudes and is strongly determined by anthropogenic effects, most notably the number of species introduced (i.e., \u2122colonisation pressure\u222b). Nevertheless, environmental drivers are also important, with native and alien species richness being strongly and consistently posi- tively associated. Our results demonstrate that colonisation pressure is key to understand- ing alien species richness, show that areas of high native species richness are not resistant to colonisation by alien species at the global scale, and emphasise the likely ongoing threats to global environments from introductions of species.", "author" : [ { "dropping-particle" : "", "family" : "Dyer", "given" : "Ellie E.", "non-dropping-particle" : "", "parse-names" : false, "suffix" : "" }, { "dropping-particle" : "", "family" : "Cassey", "given" : "Phillip", "non-dropping-particle" : "", "parse-names" : false, "suffix" : "" }, { "dropping-particle" : "", "family" : "Redding", "given" : "David W.", "non-dropping-particle" : "", "parse-names" : false, "suffix" : "" }, { "dropping-particle" : "", "family" : "Collen", "given" : "Ben", "non-dropping-particle" : "", "parse-names" : false, "suffix" : "" }, { "dropping-particle" : "", "family" : "Franks", "given" : "Victoria", "non-dropping-particle" : "", "parse-names" : false, "suffix" : "" }, { "dropping-particle" : "", "family" : "Gaston", "given" : "Kevin J.", "non-dropping-particle" : "", "parse-names" : false, "suffix" : "" }, { "dropping-particle" : "", "family" : "Jones", "given" : "Kate E.", "non-dropping-particle" : "", "parse-names" : false, "suffix" : "" }, { "dropping-particle" : "", "family" : "Kark", "given" : "Salit", "non-dropping-particle" : "", "parse-names" : false, "suffix" : "" }, { "dropping-particle" : "", "family" : "Orme", "given" : "C. David L.", "non-dropping-particle" : "", "parse-names" : false, "suffix" : "" }, { "dropping-particle" : "", "family" : "Blackburn", "given" : "Tim M.", "non-dropping-particle" : "", "parse-names" : false, "suffix" : "" } ], "container-title" : "PLoS Biol", "id" : "ITEM-1", "issue" : "1", "issued" : { "date-parts" : [ [ "2017" ] ] }, "page" : "e2000942.", "title" : "The global distribution and drivers of alien bird species richness", "type" : "article-journal", "volume" : "15" }, "uris" : [ "http://www.mendeley.com/documents/?uuid=4fbfa1d5-2164-4522-b0be-83051a028ebe" ] } ], "mendeley" : { "formattedCitation" : "(Dyer et al., 2017)", "plainTextFormattedCitation" : "(Dyer et al., 2017)", "previouslyFormattedCitation" : "(Dyer et al., 2017)" }, "properties" : { "noteIndex" : 0 }, "schema" : "https://github.com/citation-style-language/schema/raw/master/csl-citation.json" }</w:instrText>
      </w:r>
      <w:r w:rsidRPr="008608AA">
        <w:rPr>
          <w:rFonts w:eastAsia="Times"/>
          <w:b/>
          <w:bCs/>
          <w:lang w:eastAsia="ja-JP"/>
        </w:rPr>
        <w:fldChar w:fldCharType="separate"/>
      </w:r>
      <w:r w:rsidRPr="008608AA">
        <w:rPr>
          <w:noProof/>
        </w:rPr>
        <w:t>(Dyer et al., 2017)</w:t>
      </w:r>
      <w:r w:rsidRPr="008608AA">
        <w:rPr>
          <w:rFonts w:eastAsia="Times"/>
          <w:b/>
          <w:bCs/>
          <w:lang w:eastAsia="ja-JP"/>
        </w:rPr>
        <w:fldChar w:fldCharType="end"/>
      </w:r>
      <w:r w:rsidRPr="008608AA">
        <w:t xml:space="preserve">. For the Americas, as of 1983, at the country level, 102 new alien birds were registered for the Caribbean subregion, 8 the Mesoamerican subregion, and 19 for South America. At the individual state (USA) or province (Canada) level, 163 were recorded for the North America subregion - calculated from Supplementary material </w:t>
      </w:r>
      <w:r w:rsidRPr="008608AA">
        <w:rPr>
          <w:rFonts w:eastAsia="Times"/>
          <w:b/>
          <w:bCs/>
          <w:lang w:eastAsia="ja-JP"/>
        </w:rPr>
        <w:fldChar w:fldCharType="begin" w:fldLock="1"/>
      </w:r>
      <w:r w:rsidRPr="008608AA">
        <w:instrText>ADDIN CSL_CITATION { "citationItems" : [ { "id" : "ITEM-1", "itemData" : { "DOI" : "10.1371/journal.pbio.2000942", "ISBN" : "1111111111", "ISSN" : "15457885", "PMID" : "28081142", "abstract" : "Alien species are a major component of human-induced environmental change. Variation in the numbers of alien species found in different areas is likely to depend on a combination of anthropogenic and environmental factors, with anthropogenic factors affecting the number of species introduced to new locations, and when, and environmental factors influencing how many species are able to persist there. However, global spatial and temporal variation in the drivers of alien introduction and species richness remain poorly understood. Here, we analyse an extensive new database of alien birds to explore what determines the global dis- tribution of alien species richness for an entire taxonomic class. We demonstrate that the locations of origin and introduction of alien birds, and their identities, were initially driven largely by European (mainly British) colonialism. However, recent introduction s are a wider phenomenon, involving more species and countries, and driven in part by increasing eco- nomic activity. We find that, globally, alien bird species richness is currently highest at mid- latitudes and is strongly determined by anthropogenic effects, most notably the number of species introduced (i.e., \u2122colonisation pressure\u222b). Nevertheless, environmental drivers are also important, with native and alien species richness being strongly and consistently posi- tively associated. Our results demonstrate that colonisation pressure is key to understand- ing alien species richness, show that areas of high native species richness are not resistant to colonisation by alien species at the global scale, and emphasise the likely ongoing threats to global environments from introductions of species.", "author" : [ { "dropping-particle" : "", "family" : "Dyer", "given" : "Ellie E.", "non-dropping-particle" : "", "parse-names" : false, "suffix" : "" }, { "dropping-particle" : "", "family" : "Cassey", "given" : "Phillip", "non-dropping-particle" : "", "parse-names" : false, "suffix" : "" }, { "dropping-particle" : "", "family" : "Redding", "given" : "David W.", "non-dropping-particle" : "", "parse-names" : false, "suffix" : "" }, { "dropping-particle" : "", "family" : "Collen", "given" : "Ben", "non-dropping-particle" : "", "parse-names" : false, "suffix" : "" }, { "dropping-particle" : "", "family" : "Franks", "given" : "Victoria", "non-dropping-particle" : "", "parse-names" : false, "suffix" : "" }, { "dropping-particle" : "", "family" : "Gaston", "given" : "Kevin J.", "non-dropping-particle" : "", "parse-names" : false, "suffix" : "" }, { "dropping-particle" : "", "family" : "Jones", "given" : "Kate E.", "non-dropping-particle" : "", "parse-names" : false, "suffix" : "" }, { "dropping-particle" : "", "family" : "Kark", "given" : "Salit", "non-dropping-particle" : "", "parse-names" : false, "suffix" : "" }, { "dropping-particle" : "", "family" : "Orme", "given" : "C. David L.", "non-dropping-particle" : "", "parse-names" : false, "suffix" : "" }, { "dropping-particle" : "", "family" : "Blackburn", "given" : "Tim M.", "non-dropping-particle" : "", "parse-names" : false, "suffix" : "" } ], "container-title" : "PLoS Biol", "id" : "ITEM-1", "issue" : "1", "issued" : { "date-parts" : [ [ "2017" ] ] }, "page" : "e2000942.", "title" : "The global distribution and drivers of alien bird species richness", "type" : "article-journal", "volume" : "15" }, "uris" : [ "http://www.mendeley.com/documents/?uuid=4fbfa1d5-2164-4522-b0be-83051a028ebe" ] } ], "mendeley" : { "formattedCitation" : "(Dyer et al., 2017)", "plainTextFormattedCitation" : "(Dyer et al., 2017)", "previouslyFormattedCitation" : "(Dyer et al., 2017)" }, "properties" : { "noteIndex" : 0 }, "schema" : "https://github.com/citation-style-language/schema/raw/master/csl-citation.json" }</w:instrText>
      </w:r>
      <w:r w:rsidRPr="008608AA">
        <w:rPr>
          <w:rFonts w:eastAsia="Times"/>
          <w:b/>
          <w:bCs/>
          <w:lang w:eastAsia="ja-JP"/>
        </w:rPr>
        <w:fldChar w:fldCharType="separate"/>
      </w:r>
      <w:r w:rsidRPr="008608AA">
        <w:rPr>
          <w:noProof/>
        </w:rPr>
        <w:t>(Dyer et al., 2017)</w:t>
      </w:r>
      <w:r w:rsidRPr="008608AA">
        <w:rPr>
          <w:rFonts w:eastAsia="Times"/>
          <w:b/>
          <w:bCs/>
          <w:lang w:eastAsia="ja-JP"/>
        </w:rPr>
        <w:fldChar w:fldCharType="end"/>
      </w:r>
      <w:r w:rsidRPr="008608AA">
        <w:t xml:space="preserve">. </w:t>
      </w:r>
    </w:p>
    <w:p w14:paraId="7C696640" w14:textId="529004B5" w:rsidR="00653D6A" w:rsidRPr="008608AA" w:rsidRDefault="00E714CA" w:rsidP="00E714CA">
      <w:pPr>
        <w:pStyle w:val="Caption"/>
        <w:rPr>
          <w:b w:val="0"/>
          <w:sz w:val="20"/>
        </w:rPr>
      </w:pPr>
      <w:bookmarkStart w:id="915" w:name="_Toc516922442"/>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3</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w:t>
      </w:r>
      <w:r w:rsidR="000E562E">
        <w:rPr>
          <w:noProof/>
        </w:rPr>
        <w:fldChar w:fldCharType="end"/>
      </w:r>
      <w:r w:rsidRPr="008608AA">
        <w:t xml:space="preserve">. </w:t>
      </w:r>
      <w:r w:rsidR="00482783" w:rsidRPr="008608AA">
        <w:t xml:space="preserve">Alien species in the </w:t>
      </w:r>
      <w:r w:rsidR="00631590" w:rsidRPr="008608AA">
        <w:t xml:space="preserve">Galápagos </w:t>
      </w:r>
      <w:r w:rsidR="00482783" w:rsidRPr="008608AA">
        <w:t>Islands.</w:t>
      </w:r>
      <w:bookmarkEnd w:id="915"/>
    </w:p>
    <w:tbl>
      <w:tblPr>
        <w:tblStyle w:val="TableGrid"/>
        <w:tblW w:w="5000" w:type="pct"/>
        <w:tblLook w:val="04A0" w:firstRow="1" w:lastRow="0" w:firstColumn="1" w:lastColumn="0" w:noHBand="0" w:noVBand="1"/>
      </w:tblPr>
      <w:tblGrid>
        <w:gridCol w:w="9487"/>
      </w:tblGrid>
      <w:tr w:rsidR="00482783" w:rsidRPr="008608AA" w14:paraId="3031A8ED" w14:textId="77777777" w:rsidTr="00E714CA">
        <w:trPr>
          <w:trHeight w:val="5347"/>
        </w:trPr>
        <w:tc>
          <w:tcPr>
            <w:tcW w:w="5000" w:type="pct"/>
            <w:tcBorders>
              <w:bottom w:val="single" w:sz="4" w:space="0" w:color="auto"/>
            </w:tcBorders>
          </w:tcPr>
          <w:p w14:paraId="169D786C" w14:textId="77777777" w:rsidR="00482783" w:rsidRPr="008608AA" w:rsidRDefault="00482783" w:rsidP="00E714CA">
            <w:pPr>
              <w:spacing w:before="120" w:after="120"/>
              <w:rPr>
                <w:rFonts w:asciiTheme="majorHAnsi" w:eastAsiaTheme="majorEastAsia" w:hAnsiTheme="majorHAnsi" w:cstheme="majorBidi"/>
                <w:b/>
                <w:i/>
                <w:iCs/>
                <w:sz w:val="20"/>
                <w:szCs w:val="20"/>
              </w:rPr>
            </w:pPr>
            <w:r w:rsidRPr="008608AA">
              <w:rPr>
                <w:sz w:val="20"/>
                <w:szCs w:val="20"/>
              </w:rPr>
              <w:t>Described by UNESCO (</w:t>
            </w:r>
            <w:r w:rsidRPr="008608AA">
              <w:rPr>
                <w:rStyle w:val="st"/>
                <w:sz w:val="20"/>
                <w:szCs w:val="20"/>
              </w:rPr>
              <w:t>United Nations Educational, Scientific and Cultural Organization)</w:t>
            </w:r>
            <w:r w:rsidRPr="008608AA">
              <w:rPr>
                <w:sz w:val="20"/>
                <w:szCs w:val="20"/>
              </w:rPr>
              <w:t xml:space="preserve"> as a “living museum and showcase of evolution”, the Galápagos Islands, a World Heritage site, are today a major tourist attraction. Some 1,476 of 1,</w:t>
            </w:r>
            <w:r w:rsidRPr="008608AA">
              <w:rPr>
                <w:color w:val="000000" w:themeColor="text1"/>
                <w:sz w:val="20"/>
                <w:szCs w:val="20"/>
              </w:rPr>
              <w:t xml:space="preserve">579 alien terrestrial (and marine) species have become established on the islands </w:t>
            </w:r>
            <w:r w:rsidRPr="008608AA">
              <w:rPr>
                <w:color w:val="000000" w:themeColor="text1"/>
                <w:sz w:val="20"/>
                <w:szCs w:val="20"/>
              </w:rPr>
              <w:fldChar w:fldCharType="begin" w:fldLock="1"/>
            </w:r>
            <w:r w:rsidRPr="008608AA">
              <w:rPr>
                <w:color w:val="000000" w:themeColor="text1"/>
                <w:sz w:val="20"/>
                <w:szCs w:val="20"/>
              </w:rPr>
              <w:instrText>ADDIN CSL_CITATION { "citationItems" : [ { "id" : "ITEM-1", "itemData" : { "DOI" : "10.1371/journal.pone.0184379", "author" : [ { "dropping-particle" : "", "family" : "Toral-Granda", "given" : "M. Ver\u00f3nica", "non-dropping-particle" : "", "parse-names" : false, "suffix" : "" }, { "dropping-particle" : "", "family" : "Causton", "given" : "Charlotte E.", "non-dropping-particle" : "", "parse-names" : false, "suffix" : "" }, { "dropping-particle" : "", "family" : "J\u00e4ger", "given" : "Heinke", "non-dropping-particle" : "", "parse-names" : false, "suffix" : "" }, { "dropping-particle" : "", "family" : "Trueman", "given" : "Mandy", "non-dropping-particle" : "", "parse-names" : false, "suffix" : "" }, { "dropping-particle" : "", "family" : "Izurieta", "given" : "Juan Carlos", "non-dropping-particle" : "", "parse-names" : false, "suffix" : "" }, { "dropping-particle" : "", "family" : "Araujo", "given" : "Eddy", "non-dropping-particle" : "", "parse-names" : false, "suffix" : "" }, { "dropping-particle" : "", "family" : "Cruz", "given" : "Marilyn", "non-dropping-particle" : "", "parse-names" : false, "suffix" : "" }, { "dropping-particle" : "", "family" : "Zander", "given" : "Kerstin K.", "non-dropping-particle" : "", "parse-names" : false, "suffix" : "" }, { "dropping-particle" : "", "family" : "Izurieta", "given" : "Arturo", "non-dropping-particle" : "", "parse-names" : false, "suffix" : "" }, { "dropping-particle" : "", "family" : "Garnett", "given" : "Stephen T.", "non-dropping-particle" : "", "parse-names" : false, "suffix" : "" } ], "container-title" : "PLoS ONE", "editor" : [ { "dropping-particle" : "", "family" : "Gao", "given" : "Yulin", "non-dropping-particle" : "", "parse-names" : false, "suffix" : "" } ], "id" : "ITEM-1", "issue" : "9", "issued" : { "date-parts" : [ [ "2017", "9", "13" ] ] }, "page" : "e0184379", "title" : "Alien species pathways to the Galapagos Islands, Ecuador", "type" : "article-journal", "volume" : "12" }, "uris" : [ "http://www.mendeley.com/documents/?uuid=6a56e017-c5db-3ba0-a831-84aff70cf8f7" ] } ], "mendeley" : { "formattedCitation" : "(Toral-Granda et al., 2017)", "plainTextFormattedCitation" : "(Toral-Granda et al., 2017)", "previouslyFormattedCitation" : "(Toral-Granda et al., 2017)" }, "properties" : { "noteIndex" : 0 }, "schema" : "https://github.com/citation-style-language/schema/raw/master/csl-citation.json" }</w:instrText>
            </w:r>
            <w:r w:rsidRPr="008608AA">
              <w:rPr>
                <w:color w:val="000000" w:themeColor="text1"/>
                <w:sz w:val="20"/>
                <w:szCs w:val="20"/>
              </w:rPr>
              <w:fldChar w:fldCharType="separate"/>
            </w:r>
            <w:r w:rsidRPr="008608AA">
              <w:rPr>
                <w:noProof/>
                <w:color w:val="000000" w:themeColor="text1"/>
                <w:sz w:val="20"/>
                <w:szCs w:val="20"/>
              </w:rPr>
              <w:t>(Toral-Granda et al., 2017)</w:t>
            </w:r>
            <w:r w:rsidRPr="008608AA">
              <w:rPr>
                <w:color w:val="000000" w:themeColor="text1"/>
                <w:sz w:val="20"/>
                <w:szCs w:val="20"/>
              </w:rPr>
              <w:fldChar w:fldCharType="end"/>
            </w:r>
            <w:r w:rsidRPr="008608AA">
              <w:rPr>
                <w:color w:val="000000" w:themeColor="text1"/>
                <w:sz w:val="20"/>
                <w:szCs w:val="20"/>
              </w:rPr>
              <w:t xml:space="preserve">; </w:t>
            </w:r>
            <w:r w:rsidRPr="008608AA">
              <w:rPr>
                <w:color w:val="000000" w:themeColor="text1"/>
                <w:sz w:val="20"/>
                <w:szCs w:val="20"/>
                <w:shd w:val="clear" w:color="auto" w:fill="FFFFFF"/>
              </w:rPr>
              <w:t xml:space="preserve">50% of aliens were first reported after the 1990s and just over 50% were introduced through unintentional human assistance. The rate of introduction represents an average of around three species per year. </w:t>
            </w:r>
            <w:r w:rsidRPr="008608AA">
              <w:rPr>
                <w:color w:val="000000" w:themeColor="text1"/>
                <w:sz w:val="20"/>
                <w:szCs w:val="20"/>
              </w:rPr>
              <w:t xml:space="preserve">Geographic </w:t>
            </w:r>
            <w:r w:rsidRPr="008608AA">
              <w:rPr>
                <w:sz w:val="20"/>
                <w:szCs w:val="20"/>
              </w:rPr>
              <w:t xml:space="preserve">origins and modes of introduction have diversified over time, reflecting the increase in human influence on the islands. In general, islands are prone to invasions. The mythical oceanic Robinson Crusoe islands are also strongly invaded </w:t>
            </w:r>
            <w:r w:rsidRPr="008608AA">
              <w:rPr>
                <w:sz w:val="20"/>
                <w:szCs w:val="20"/>
              </w:rPr>
              <w:fldChar w:fldCharType="begin" w:fldLock="1"/>
            </w:r>
            <w:r w:rsidRPr="008608AA">
              <w:rPr>
                <w:sz w:val="20"/>
                <w:szCs w:val="20"/>
              </w:rPr>
              <w:instrText>ADDIN CSL_CITATION { "citationItems" : [ { "id" : "ITEM-1", "itemData" : { "DOI" : "10.1016/0305-7488(91)90003-E", "ISSN" : "03057488", "author" : [ { "dropping-particle" : "", "family" : "Wester", "given" : "Lyndon", "non-dropping-particle" : "", "parse-names" : false, "suffix" : "" } ], "container-title" : "Journal of Historical Geography", "id" : "ITEM-1", "issue" : "1", "issued" : { "date-parts" : [ [ "1991" ] ] }, "page" : "18-34", "title" : "Invasions and extinctions on Masatierra (Juan Fernandez Islands): a review of early historical evidence", "type" : "article-journal", "volume" : "17" }, "uris" : [ "http://www.mendeley.com/documents/?uuid=176360a7-39c5-4575-b427-73be9de4920a", "http://www.mendeley.com/documents/?uuid=0423e6a5-2f76-4e7f-9baf-9fdf44b18ac0" ] } ], "mendeley" : { "formattedCitation" : "(Wester, 1991)", "plainTextFormattedCitation" : "(Wester, 1991)", "previouslyFormattedCitation" : "(Wester, 1991)" }, "properties" : { "noteIndex" : 0 }, "schema" : "https://github.com/citation-style-language/schema/raw/master/csl-citation.json" }</w:instrText>
            </w:r>
            <w:r w:rsidRPr="008608AA">
              <w:rPr>
                <w:sz w:val="20"/>
                <w:szCs w:val="20"/>
              </w:rPr>
              <w:fldChar w:fldCharType="separate"/>
            </w:r>
            <w:r w:rsidRPr="008608AA">
              <w:rPr>
                <w:noProof/>
                <w:sz w:val="20"/>
                <w:szCs w:val="20"/>
              </w:rPr>
              <w:t>(Wester, 1991)</w:t>
            </w:r>
            <w:r w:rsidRPr="008608AA">
              <w:rPr>
                <w:sz w:val="20"/>
                <w:szCs w:val="20"/>
              </w:rPr>
              <w:fldChar w:fldCharType="end"/>
            </w:r>
            <w:r w:rsidRPr="008608AA">
              <w:rPr>
                <w:sz w:val="20"/>
                <w:szCs w:val="20"/>
              </w:rPr>
              <w:t xml:space="preserve">. </w:t>
            </w:r>
          </w:p>
          <w:p w14:paraId="48927C38" w14:textId="77777777" w:rsidR="00482783" w:rsidRPr="008608AA" w:rsidRDefault="00B2242D" w:rsidP="00B2242D">
            <w:pPr>
              <w:jc w:val="right"/>
            </w:pPr>
            <w:r w:rsidRPr="008608AA">
              <w:rPr>
                <w:noProof/>
                <w:lang w:val="en-GB" w:eastAsia="en-GB"/>
              </w:rPr>
              <w:drawing>
                <wp:inline distT="0" distB="0" distL="0" distR="0" wp14:anchorId="4D037C89" wp14:editId="2A7E410E">
                  <wp:extent cx="5934075" cy="3152775"/>
                  <wp:effectExtent l="0" t="0" r="9525" b="9525"/>
                  <wp:docPr id="30307" name="Imagen 30307" descr="C:\Users\Alejandro Valderrama\Downloads\Fig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1" descr="C:\Users\Alejandro Valderrama\Downloads\Fig3.7.jpg"/>
                          <pic:cNvPicPr>
                            <a:picLocks noChangeAspect="1" noChangeArrowheads="1"/>
                          </pic:cNvPicPr>
                        </pic:nvPicPr>
                        <pic:blipFill rotWithShape="1">
                          <a:blip r:embed="rId121">
                            <a:extLst>
                              <a:ext uri="{28A0092B-C50C-407E-A947-70E740481C1C}">
                                <a14:useLocalDpi xmlns:a14="http://schemas.microsoft.com/office/drawing/2010/main" val="0"/>
                              </a:ext>
                            </a:extLst>
                          </a:blip>
                          <a:srcRect b="63140"/>
                          <a:stretch/>
                        </pic:blipFill>
                        <pic:spPr bwMode="auto">
                          <a:xfrm>
                            <a:off x="0" y="0"/>
                            <a:ext cx="5934075" cy="3152775"/>
                          </a:xfrm>
                          <a:prstGeom prst="rect">
                            <a:avLst/>
                          </a:prstGeom>
                          <a:noFill/>
                          <a:ln>
                            <a:noFill/>
                          </a:ln>
                          <a:extLst>
                            <a:ext uri="{53640926-AAD7-44D8-BBD7-CCE9431645EC}">
                              <a14:shadowObscured xmlns:a14="http://schemas.microsoft.com/office/drawing/2010/main"/>
                            </a:ext>
                          </a:extLst>
                        </pic:spPr>
                      </pic:pic>
                    </a:graphicData>
                  </a:graphic>
                </wp:inline>
              </w:drawing>
            </w:r>
          </w:p>
          <w:p w14:paraId="4D361E35" w14:textId="3ABE8B90" w:rsidR="00B2242D" w:rsidRPr="008608AA" w:rsidRDefault="00B2242D" w:rsidP="00B2242D">
            <w:pPr>
              <w:jc w:val="right"/>
            </w:pPr>
          </w:p>
        </w:tc>
      </w:tr>
    </w:tbl>
    <w:p w14:paraId="72849EDB" w14:textId="7D660103" w:rsidR="004255E7" w:rsidRPr="008608AA" w:rsidRDefault="004255E7" w:rsidP="00E714CA">
      <w:pPr>
        <w:widowControl w:val="0"/>
        <w:autoSpaceDE w:val="0"/>
        <w:autoSpaceDN w:val="0"/>
        <w:adjustRightInd w:val="0"/>
        <w:spacing w:before="120"/>
      </w:pPr>
      <w:r w:rsidRPr="008608AA">
        <w:t xml:space="preserve">Overall, alien introductions and their spread are likely to continue in the Americas </w:t>
      </w:r>
      <w:r w:rsidRPr="008608AA">
        <w:rPr>
          <w:rFonts w:eastAsia="Times"/>
          <w:b/>
          <w:bCs/>
          <w:lang w:eastAsia="ja-JP"/>
        </w:rPr>
        <w:fldChar w:fldCharType="begin" w:fldLock="1"/>
      </w:r>
      <w:r w:rsidRPr="008608AA">
        <w:instrText>ADDIN CSL_CITATION { "citationItems" : [ { "id" : "ITEM-1", "itemData" : { "DOI" : "10.1038/ncomms14435", "ISBN" : "2041-1723", "ISSN" : "2041-1723", "PMID" : "28198420", "abstract" : "Although research on human-mediated exchanges of species has substantially intensified during the last centuries, we know surprisingly little about temporal dynamics of alien species accumulations across regions and taxa. Using a novel database of 45,813 first records of 16,926 established alien species, we show that the annual rate of first records worldwide has increased during the last 200 years, with 37% of all first records reported most recently (1970\u20132014). Inter-continental and inter-taxonomic variation can be largely attributed to the diaspora of European settlers in the nineteenth century and to the acceleration in trade in the twentieth century. For all taxonomic groups, the increase in numbers of alien species does not show any sign of saturation and most taxa even show increases in the rate of first records over time. This highlights that past efforts to mitigate invasions have not been effective enough to keep up with increasing globalization. Correspondence", "author" : [ { "dropping-particle" : "", "family" : "Seebens", "given" : "Hanno", "non-dropping-particle" : "", "parse-names" : false, "suffix" : "" }, { "dropping-particle" : "", "family" : "Blackburn", "given" : "Tim M.", "non-dropping-particle" : "", "parse-names" : false, "suffix" : "" }, { "dropping-particle" : "", "family" : "Dyer", "given" : "Ellie E.", "non-dropping-particle" : "", "parse-names" : false, "suffix" : "" }, { "dropping-particle" : "", "family" : "Genovesi", "given" : "Piero", "non-dropping-particle" : "", "parse-names" : false, "suffix" : "" }, { "dropping-particle" : "", "family" : "Hulme", "given" : "Philip E.", "non-dropping-particle" : "", "parse-names" : false, "suffix" : "" }, { "dropping-particle" : "", "family" : "Jeschke", "given" : "Jonathan M.", "non-dropping-particle" : "", "parse-names" : false, "suffix" : "" }, { "dropping-particle" : "", "family" : "Pagad", "given" : "Shyama", "non-dropping-particle" : "", "parse-names" : false, "suffix" : "" }, { "dropping-particle" : "", "family" : "Py\u0161ek", "given" : "Petr", "non-dropping-particle" : "", "parse-names" : false, "suffix" : "" }, { "dropping-particle" : "", "family" : "Winter", "given" : "Marten", "non-dropping-particle" : "", "parse-names" : false, "suffix" : "" }, { "dropping-particle" : "", "family" : "Arianoutsou", "given" : "Margarita", "non-dropping-particle" : "", "parse-names" : false, "suffix" : "" }, { "dropping-particle" : "", "family" : "Bacher", "given" : "Sven", "non-dropping-particle" : "", "parse-names" : false, "suffix" : "" }, { "dropping-particle" : "", "family" : "Blasius", "given" : "Bernd", "non-dropping-particle" : "", "parse-names" : false, "suffix" : "" }, { "dropping-particle" : "", "family" : "Brundu", "given" : "Giuseppe", "non-dropping-particle" : "", "parse-names" : false, "suffix" : "" }, { "dropping-particle" : "", "family" : "Capinha", "given" : "C\u00e9sar", "non-dropping-particle" : "", "parse-names" : false, "suffix" : "" }, { "dropping-particle" : "", "family" : "Celesti-Grapow", "given" : "Laura", "non-dropping-particle" : "", "parse-names" : false, "suffix" : "" }, { "dropping-particle" : "", "family" : "Dawson", "given" : "Wayne", "non-dropping-particle" : "", "parse-names" : false, "suffix" : "" }, { "dropping-particle" : "", "family" : "Dullinger", "given" : "Stefan", "non-dropping-particle" : "", "parse-names" : false, "suffix" : "" }, { "dropping-particle" : "", "family" : "Fuentes", "given" : "Nicol", "non-dropping-particle" : "", "parse-names" : false, "suffix" : "" }, { "dropping-particle" : "", "family" : "J\u00e4ger", "given" : "Heinke", "non-dropping-particle" : "", "parse-names" : false, "suffix" : "" }, { "dropping-particle" : "", "family" : "Kartesz", "given" : "John", "non-dropping-particle" : "", "parse-names" : false, "suffix" : "" }, { "dropping-particle" : "", "family" : "Kenis", "given" : "Marc", "non-dropping-particle" : "", "parse-names" : false, "suffix" : "" }, { "dropping-particle" : "", "family" : "Kreft", "given" : "Holger", "non-dropping-particle" : "", "parse-names" : false, "suffix" : "" }, { "dropping-particle" : "", "family" : "K\u00fchn", "given" : "Ingolf", "non-dropping-particle" : "", "parse-names" : false, "suffix" : "" }, { "dropping-particle" : "", "family" : "Lenzner", "given" : "Bernd", "non-dropping-particle" : "", "parse-names" : false, "suffix" : "" }, { "dropping-particle" : "", "family" : "Liebhold", "given" : "Andrew", "non-dropping-particle" : "", "parse-names" : false, "suffix" : "" }, { "dropping-particle" : "", "family" : "Mosena", "given" : "Alexander", "non-dropping-particle" : "", "parse-names" : false, "suffix" : "" }, { "dropping-particle" : "", "family" : "Moser", "given" : "Dietmar", "non-dropping-particle" : "", "parse-names" : false, "suffix" : "" }, { "dropping-particle" : "", "family" : "Nishino", "given" : "Misako", "non-dropping-particle" : "", "parse-names" : false, "suffix" : "" }, { "dropping-particle" : "", "family" : "Pearman", "given" : "David", "non-dropping-particle" : "", "parse-names" : false, "suffix" : "" }, { "dropping-particle" : "", "family" : "Pergl", "given" : "Jan", "non-dropping-particle" : "", "parse-names" : false, "suffix" : "" }, { "dropping-particle" : "", "family" : "Rabitsch", "given" : "Wolfgang", "non-dropping-particle" : "", "parse-names" : false, "suffix" : "" }, { "dropping-particle" : "", "family" : "Rojas-Sandoval", "given" : "Julissa", "non-dropping-particle" : "", "parse-names" : false, "suffix" : "" }, { "dropping-particle" : "", "family" : "Roques", "given" : "Alain", "non-dropping-particle" : "", "parse-names" : false, "suffix" : "" }, { "dropping-particle" : "", "family" : "Rorke", "given" : "Stephanie", "non-dropping-particle" : "", "parse-names" : false, "suffix" : "" }, { "dropping-particle" : "", "family" : "Rossinelli", "given" : "Silvia", "non-dropping-particle" : "", "parse-names" : false, "suffix" : "" }, { "dropping-particle" : "", "family" : "Roy", "given" : "Helen E.", "non-dropping-particle" : "", "parse-names" : false, "suffix" : "" }, { "dropping-particle" : "", "family" : "Scalera", "given" : "Riccardo", "non-dropping-particle" : "", "parse-names" : false, "suffix" : "" }, { "dropping-particle" : "", "family" : "Schindler", "given" : "Stefan", "non-dropping-particle" : "", "parse-names" : false, "suffix" : "" }, { "dropping-particle" : "", "family" : "\u0160tajerov\u00e1", "given" : "Kate\u0159ina", "non-dropping-particle" : "", "parse-names" : false, "suffix" : "" }, { "dropping-particle" : "", "family" : "Tokarska-Guzik", "given" : "Barbara", "non-dropping-particle" : "", "parse-names" : false, "suffix" : "" }, { "dropping-particle" : "", "family" : "Kleunen", "given" : "Mark", "non-dropping-particle" : "van", "parse-names" : false, "suffix" : "" }, { "dropping-particle" : "", "family" : "Walker", "given" : "Kevin", "non-dropping-particle" : "", "parse-names" : false, "suffix" : "" }, { "dropping-particle" : "", "family" : "Weigelt", "given" : "Patrick", "non-dropping-particle" : "", "parse-names" : false, "suffix" : "" }, { "dropping-particle" : "", "family" : "Yamanaka", "given" : "Takehiko", "non-dropping-particle" : "", "parse-names" : false, "suffix" : "" }, { "dropping-particle" : "", "family" : "Essl", "given" : "Franz", "non-dropping-particle" : "", "parse-names" : false, "suffix" : "" } ], "container-title" : "Nature Communications", "id" : "ITEM-1", "issued" : { "date-parts" : [ [ "2017" ] ] }, "page" : "14435", "title" : "No saturation in the accumulation of alien species worldwide", "type" : "article-journal", "volume" : "8" }, "uris" : [ "http://www.mendeley.com/documents/?uuid=95729d3b-33a0-3706-b6cc-e2cb6ff337bf" ] } ], "mendeley" : { "formattedCitation" : "(Seebens et al., 2017)", "manualFormatting" : "(Seebens et al., 2017)", "plainTextFormattedCitation" : "(Seebens et al., 2017)", "previouslyFormattedCitation" : "(Seebens et al., 2017)" }, "properties" : { "noteIndex" : 0 }, "schema" : "https://github.com/citation-style-language/schema/raw/master/csl-citation.json" }</w:instrText>
      </w:r>
      <w:r w:rsidRPr="008608AA">
        <w:rPr>
          <w:rFonts w:eastAsia="Times"/>
          <w:b/>
          <w:bCs/>
          <w:lang w:eastAsia="ja-JP"/>
        </w:rPr>
        <w:fldChar w:fldCharType="separate"/>
      </w:r>
      <w:r w:rsidRPr="008608AA">
        <w:rPr>
          <w:noProof/>
        </w:rPr>
        <w:t>(Seebens et al., 2017)</w:t>
      </w:r>
      <w:r w:rsidRPr="008608AA">
        <w:rPr>
          <w:rFonts w:eastAsia="Times"/>
          <w:b/>
          <w:bCs/>
          <w:lang w:eastAsia="ja-JP"/>
        </w:rPr>
        <w:fldChar w:fldCharType="end"/>
      </w:r>
      <w:r w:rsidRPr="008608AA">
        <w:rPr>
          <w:rFonts w:eastAsia="Times"/>
          <w:b/>
          <w:bCs/>
          <w:lang w:eastAsia="ja-JP"/>
        </w:rPr>
        <w:t xml:space="preserve"> </w:t>
      </w:r>
      <w:r w:rsidRPr="008608AA">
        <w:rPr>
          <w:rFonts w:eastAsia="Times"/>
          <w:bCs/>
          <w:lang w:eastAsia="ja-JP"/>
        </w:rPr>
        <w:t>opening the door to additional negative</w:t>
      </w:r>
      <w:r w:rsidR="001F02A4" w:rsidRPr="008608AA">
        <w:rPr>
          <w:rFonts w:eastAsia="Times"/>
          <w:bCs/>
          <w:lang w:eastAsia="ja-JP"/>
        </w:rPr>
        <w:t xml:space="preserve"> </w:t>
      </w:r>
      <w:r w:rsidRPr="008608AA">
        <w:rPr>
          <w:rFonts w:eastAsia="Times"/>
          <w:bCs/>
          <w:lang w:eastAsia="ja-JP"/>
        </w:rPr>
        <w:t>effects on biodiversity, forestry and agriculture.</w:t>
      </w:r>
      <w:r w:rsidRPr="008608AA">
        <w:t xml:space="preserve"> Modeling suggests that many established alien species in the Americas do not yet fully occupy their climatic niches </w:t>
      </w:r>
      <w:r w:rsidRPr="008608AA">
        <w:rPr>
          <w:rFonts w:eastAsia="Times"/>
          <w:b/>
          <w:bCs/>
          <w:lang w:eastAsia="ja-JP"/>
        </w:rPr>
        <w:fldChar w:fldCharType="begin" w:fldLock="1"/>
      </w:r>
      <w:r w:rsidRPr="008608AA">
        <w:instrText>ADDIN CSL_CITATION { "citationItems" : [ { "id" : "ITEM-1", "itemData" : { "DOI" : "10.1371/journal.pone.0105025", "ISSN" : "1932-6203", "author" : [ { "dropping-particle" : "", "family" : "Pe\u00f1a-G\u00f3mez", "given" : "Francisco T.", "non-dropping-particle" : "", "parse-names" : false, "suffix" : "" }, { "dropping-particle" : "", "family" : "Guerrero", "given" : "Pablo C.", "non-dropping-particle" : "", "parse-names" : false, "suffix" : "" }, { "dropping-particle" : "", "family" : "Bizama", "given" : "Gustavo", "non-dropping-particle" : "", "parse-names" : false, "suffix" : "" }, { "dropping-particle" : "", "family" : "Duarte", "given" : "Mil\u00e9n", "non-dropping-particle" : "", "parse-names" : false, "suffix" : "" }, { "dropping-particle" : "", "family" : "Bustamante", "given" : "Ramiro O.", "non-dropping-particle" : "", "parse-names" : false, "suffix" : "" } ], "container-title" : "PLoS ONE", "editor" : [ { "dropping-particle" : "", "family" : "Auge", "given" : "Harald", "non-dropping-particle" : "", "parse-names" : false, "suffix" : "" } ], "id" : "ITEM-1", "issue" : "8", "issued" : { "date-parts" : [ [ "2014", "8", "19" ] ] }, "page" : "e105025", "publisher" : "Public Library of Science", "title" : "Climatic niche conservatism and biogeographical non-equilibrium in &lt;i&gt;Eschscholzia californica&lt;/i&gt; (Papaveraceae), an invasive plant in the Chilean Mediterranean region", "type" : "article-journal", "volume" : "9" }, "uris" : [ "http://www.mendeley.com/documents/?uuid=bc87438a-da40-3f5c-b8f5-67cc86c11d82" ] }, { "id" : "ITEM-2", "itemData" : { "DOI" : "10.1111/j.1523-1739.2004.00166.x", "ISBN" : "0888-8892", "ISSN" : "0888-8892", "PMID" : "10455", "abstract" : "Alien invasive species represent a severe risk to biodiversity Such is the case of buffel grass (Cenchrus ciliaris L.), a native species of Southern Asia and East Africa, which was introduced to the United States and Mexico for use in improved pasture. Here we present a coarse-grain approach to determine areas where buffel grass can potentially invade in Mexico. Potential species distribution suitable for an invasion by buffel grass, were obtained through genetic algorithms. We generated the algorithms with databases of herbaria specimens; environmental digital covers of climate, soil texture, and vegetation; and the program called Genetic Algorithm for Rule-Set Prediction. This spatial modeling approach was validated with a case study for the state of Sonora, Mexico, where the occurrence of buffel grass has been proven. The most threatened vegetation types for the specific case of Sonora were desert scrub, mesquite woodlands, and tropical deciduous forest. The model prediction agreed with the field observations recorded in Sonora and allowed us to apply the same procedure to produce a map of the potential sites of buffel grass invasion for Mexico. The areas at risk of invasion mostly occurred in desert scrub, located in the and and semiarid regions of northern Mexico. This methodology provides an initial baseline for assessment, prevention, and management of alien species that may become invasive under certain environmental conditions. Additionally this modeling approach provides a tool for policy makers to use in making decisions on land-use management practices when alien species are involved.", "author" : [ { "dropping-particle" : "", "family" : "Arriaga", "given" : "Laura", "non-dropping-particle" : "", "parse-names" : false, "suffix" : "" }, { "dropping-particle" : "", "family" : "Castellanos", "given" : "Alejandro E.", "non-dropping-particle" : "", "parse-names" : false, "suffix" : "" }, { "dropping-particle" : "", "family" : "Moreno", "given" : "Elizabeth", "non-dropping-particle" : "", "parse-names" : false, "suffix" : "" }, { "dropping-particle" : "", "family" : "Alarcon", "given" : "Jesus", "non-dropping-particle" : "", "parse-names" : false, "suffix" : "" } ], "container-title" : "Conservation Biology", "id" : "ITEM-2", "issue" : "6", "issued" : { "date-parts" : [ [ "2004" ] ] }, "page" : "1504-1514", "title" : "Potential ecological distribution of alien invasive species and risk assessment: a case study of buffel grass in arid regions of Mexico", "type" : "article-journal", "volume" : "18" }, "uris" : [ "http://www.mendeley.com/documents/?uuid=914ccbf2-0556-474f-a69f-be27489acd85" ] } ], "mendeley" : { "formattedCitation" : "(Arriaga, Castellanos, Moreno, &amp; Alarcon, 2004; Pe\u00f1a-G\u00f3mez, Guerrero, Bizama, Duarte, &amp; Bustamante, 2014)", "manualFormatting" : "(Arriaga et al., 2004; Pe\u00f1a-G\u00f3mez et al., 2014)", "plainTextFormattedCitation" : "(Arriaga, Castellanos, Moreno, &amp; Alarcon, 2004; Pe\u00f1a-G\u00f3mez, Guerrero, Bizama, Duarte, &amp; Bustamante, 2014)", "previouslyFormattedCitation" : "(Arriaga, Castellanos, Moreno, &amp; Alarcon, 2004; Pe\u00f1a-G\u00f3mez, Guerrero, Bizama, Duarte, &amp; Bustamante, 2014)" }, "properties" : { "noteIndex" : 0 }, "schema" : "https://github.com/citation-style-language/schema/raw/master/csl-citation.json" }</w:instrText>
      </w:r>
      <w:r w:rsidRPr="008608AA">
        <w:rPr>
          <w:rFonts w:eastAsia="Times"/>
          <w:b/>
          <w:bCs/>
          <w:lang w:eastAsia="ja-JP"/>
        </w:rPr>
        <w:fldChar w:fldCharType="separate"/>
      </w:r>
      <w:r w:rsidRPr="008608AA">
        <w:rPr>
          <w:noProof/>
        </w:rPr>
        <w:t>(</w:t>
      </w:r>
      <w:r w:rsidRPr="008608AA">
        <w:rPr>
          <w:noProof/>
        </w:rPr>
        <w:fldChar w:fldCharType="begin" w:fldLock="1"/>
      </w:r>
      <w:r w:rsidRPr="008608AA">
        <w:rPr>
          <w:noProof/>
        </w:rPr>
        <w:instrText>ADDIN CSL_CITATION { "citationItems" : [ { "id" : "ITEM-1", "itemData" : { "DOI" : "10.1111/j.1523-1739.2004.00166.x", "ISBN" : "0888-8892", "ISSN" : "0888-8892", "PMID" : "10455", "abstract" : "Alien invasive species represent a severe risk to biodiversity Such is the case of buffel grass (Cenchrus ciliaris L.), a native species of Southern Asia and East Africa, which was introduced to the United States and Mexico for use in improved pasture. Here we present a coarse-grain approach to determine areas where buffel grass can potentially invade in Mexico. Potential species distribution suitable for an invasion by buffel grass, were obtained through genetic algorithms. We generated the algorithms with databases of herbaria specimens; environmental digital covers of climate, soil texture, and vegetation; and the program called Genetic Algorithm for Rule-Set Prediction. This spatial modeling approach was validated with a case study for the state of Sonora, Mexico, where the occurrence of buffel grass has been proven. The most threatened vegetation types for the specific case of Sonora were desert scrub, mesquite woodlands, and tropical deciduous forest. The model prediction agreed with the field observations recorded in Sonora and allowed us to apply the same procedure to produce a map of the potential sites of buffel grass invasion for Mexico. The areas at risk of invasion mostly occurred in desert scrub, located in the and and semiarid regions of northern Mexico. This methodology provides an initial baseline for assessment, prevention, and management of alien species that may become invasive under certain environmental conditions. Additionally this modeling approach provides a tool for policy makers to use in making decisions on land-use management practices when alien species are involved.", "author" : [ { "dropping-particle" : "", "family" : "Arriaga", "given" : "Laura", "non-dropping-particle" : "", "parse-names" : false, "suffix" : "" }, { "dropping-particle" : "", "family" : "Castellanos", "given" : "Alejandro E.", "non-dropping-particle" : "", "parse-names" : false, "suffix" : "" }, { "dropping-particle" : "", "family" : "Moreno", "given" : "Elizabeth", "non-dropping-particle" : "", "parse-names" : false, "suffix" : "" }, { "dropping-particle" : "", "family" : "Alarcon", "given" : "Jesus", "non-dropping-particle" : "", "parse-names" : false, "suffix" : "" } ], "container-title" : "Conservation Biology", "id" : "ITEM-1", "issue" : "6", "issued" : { "date-parts" : [ [ "2004" ] ] }, "page" : "1504-1514", "title" : "Potential ecological distribution of alien invasive species and risk assessment: a case study of buffel grass in arid regions of Mexico", "type" : "article-journal", "volume" : "18" }, "uris" : [ "http://www.mendeley.com/documents/?uuid=914ccbf2-0556-474f-a69f-be27489acd85" ] } ], "mendeley" : { "formattedCitation" : "(Arriaga et al., 2004)", "manualFormatting" : "Arriaga et al., 2004", "plainTextFormattedCitation" : "(Arriaga et al., 2004)", "previouslyFormattedCitation" : "(Arriaga et al., 2004)" }, "properties" : { "noteIndex" : 0 }, "schema" : "https://github.com/citation-style-language/schema/raw/master/csl-citation.json" }</w:instrText>
      </w:r>
      <w:r w:rsidRPr="008608AA">
        <w:rPr>
          <w:noProof/>
        </w:rPr>
        <w:fldChar w:fldCharType="separate"/>
      </w:r>
      <w:r w:rsidRPr="008608AA">
        <w:rPr>
          <w:noProof/>
        </w:rPr>
        <w:t>Arriaga et al., 2004</w:t>
      </w:r>
      <w:r w:rsidRPr="008608AA">
        <w:rPr>
          <w:noProof/>
        </w:rPr>
        <w:fldChar w:fldCharType="end"/>
      </w:r>
      <w:r w:rsidRPr="008608AA">
        <w:rPr>
          <w:noProof/>
        </w:rPr>
        <w:t>; Peña-Gómez et al., 2014)</w:t>
      </w:r>
      <w:r w:rsidRPr="008608AA">
        <w:rPr>
          <w:rFonts w:eastAsia="Times"/>
          <w:b/>
          <w:bCs/>
          <w:lang w:eastAsia="ja-JP"/>
        </w:rPr>
        <w:fldChar w:fldCharType="end"/>
      </w:r>
      <w:r w:rsidRPr="008608AA">
        <w:rPr>
          <w:rFonts w:eastAsia="Times"/>
          <w:b/>
          <w:bCs/>
          <w:lang w:eastAsia="ja-JP"/>
        </w:rPr>
        <w:t xml:space="preserve"> </w:t>
      </w:r>
      <w:r w:rsidRPr="008608AA">
        <w:t xml:space="preserve">and thus can be expected to expand further, facilitated by disturbance. We are currently in a modern era of assisted dispersal heightened by global travel, tourism, and the introduction of pets and pest-carrying plant parts (see Chapter 4). A dramatic example of how alien species have increased recently in relation to increasing vector availability is seen in the Galápagos Islands (Box 3.1, Figure 3.7). </w:t>
      </w:r>
    </w:p>
    <w:p w14:paraId="007DB6D2" w14:textId="5955D981" w:rsidR="00E714CA" w:rsidRPr="008608AA" w:rsidRDefault="00B2242D" w:rsidP="00E714CA">
      <w:pPr>
        <w:spacing w:before="120" w:after="120"/>
        <w:jc w:val="center"/>
      </w:pPr>
      <w:r w:rsidRPr="008608AA">
        <w:rPr>
          <w:noProof/>
          <w:lang w:val="en-GB" w:eastAsia="en-GB"/>
        </w:rPr>
        <w:drawing>
          <wp:inline distT="0" distB="0" distL="0" distR="0" wp14:anchorId="4DC48305" wp14:editId="28490D93">
            <wp:extent cx="5934075" cy="3562350"/>
            <wp:effectExtent l="0" t="0" r="9525" b="0"/>
            <wp:docPr id="30308" name="Imagen 30308" descr="C:\Users\Alejandro Valderrama\Downloads\Fig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3" descr="C:\Users\Alejandro Valderrama\Downloads\Fig3.8.jpg"/>
                    <pic:cNvPicPr>
                      <a:picLocks noChangeAspect="1" noChangeArrowheads="1"/>
                    </pic:cNvPicPr>
                  </pic:nvPicPr>
                  <pic:blipFill rotWithShape="1">
                    <a:blip r:embed="rId122">
                      <a:extLst>
                        <a:ext uri="{28A0092B-C50C-407E-A947-70E740481C1C}">
                          <a14:useLocalDpi xmlns:a14="http://schemas.microsoft.com/office/drawing/2010/main" val="0"/>
                        </a:ext>
                      </a:extLst>
                    </a:blip>
                    <a:srcRect b="58352"/>
                    <a:stretch/>
                  </pic:blipFill>
                  <pic:spPr bwMode="auto">
                    <a:xfrm>
                      <a:off x="0" y="0"/>
                      <a:ext cx="5934075" cy="3562350"/>
                    </a:xfrm>
                    <a:prstGeom prst="rect">
                      <a:avLst/>
                    </a:prstGeom>
                    <a:noFill/>
                    <a:ln>
                      <a:noFill/>
                    </a:ln>
                    <a:extLst>
                      <a:ext uri="{53640926-AAD7-44D8-BBD7-CCE9431645EC}">
                        <a14:shadowObscured xmlns:a14="http://schemas.microsoft.com/office/drawing/2010/main"/>
                      </a:ext>
                    </a:extLst>
                  </pic:spPr>
                </pic:pic>
              </a:graphicData>
            </a:graphic>
          </wp:inline>
        </w:drawing>
      </w:r>
    </w:p>
    <w:p w14:paraId="62EB5130" w14:textId="4057B681" w:rsidR="004255E7" w:rsidRPr="008608AA" w:rsidRDefault="004255E7" w:rsidP="00E714CA">
      <w:pPr>
        <w:spacing w:before="120" w:after="120"/>
      </w:pPr>
      <w:r w:rsidRPr="008608AA">
        <w:t xml:space="preserve">Knowing which geographic areas are likely to receive more alien species is useful for the development of early-warning systems. According to a recent analysis of current invasion vectors and environmental susceptibility to invasion, the threat of invasion is very unevenly distributed across the Americas </w:t>
      </w:r>
      <w:r w:rsidRPr="008608AA">
        <w:fldChar w:fldCharType="begin" w:fldLock="1"/>
      </w:r>
      <w:r w:rsidRPr="008608AA">
        <w:instrText>ADDIN CSL_CITATION { "citationItems" : [ { "id" : "ITEM-1", "itemData" : { "DOI" : "10.1038/ncomms12485", "ISBN" : "9788578110796", "ISSN" : "20411723", "PMID" : "27549569", "abstract" : "Provides data on the impact of the spread of invasive species and the limited response capacity", "author" : [ { "dropping-particle" : "", "family" : "Early", "given" : "Regan", "non-dropping-particle" : "", "parse-names" : false, "suffix" : "" }, { "dropping-particle" : "", "family" : "Bradley", "given" : "Bethany A.", "non-dropping-particle" : "", "parse-names" : false, "suffix" : "" }, { "dropping-particle" : "", "family" : "Dukes", "given" : "Jeffrey S.", "non-dropping-particle" : "", "parse-names" : false, "suffix" : "" }, { "dropping-particle" : "", "family" : "Lawler", "given" : "Joshua J.", "non-dropping-particle" : "", "parse-names" : false, "suffix" : "" }, { "dropping-particle" : "", "family" : "Olden", "given" : "Julian D.", "non-dropping-particle" : "", "parse-names" : false, "suffix" : "" }, { "dropping-particle" : "", "family" : "Blumenthal", "given" : "Dana M.", "non-dropping-particle" : "", "parse-names" : false, "suffix" : "" }, { "dropping-particle" : "", "family" : "Gonzalez", "given" : "Patrick", "non-dropping-particle" : "", "parse-names" : false, "suffix" : "" }, { "dropping-particle" : "", "family" : "Grosholz", "given" : "Edwin D.", "non-dropping-particle" : "", "parse-names" : false, "suffix" : "" }, { "dropping-particle" : "", "family" : "Iba\u00f1ez", "given" : "Ines", "non-dropping-particle" : "", "parse-names" : false, "suffix" : "" }, { "dropping-particle" : "", "family" : "Miller", "given" : "Luke P.", "non-dropping-particle" : "", "parse-names" : false, "suffix" : "" }, { "dropping-particle" : "", "family" : "Sorte", "given" : "Cascade J.B.", "non-dropping-particle" : "", "parse-names" : false, "suffix" : "" }, { "dropping-particle" : "", "family" : "Tatem", "given" : "Andrew J.", "non-dropping-particle" : "", "parse-names" : false, "suffix" : "" } ], "container-title" : "Nature Communications", "id" : "ITEM-1", "issued" : { "date-parts" : [ [ "2016" ] ] }, "page" : "art12485", "title" : "Global threats from invasive alien species in the twenty-first century and national response capacities", "type" : "article-journal", "volume" : "7" }, "uris" : [ "http://www.mendeley.com/documents/?uuid=a8c785f8-fa62-4588-b747-be7f0cb1eeb6" ] } ], "mendeley" : { "formattedCitation" : "(Early et al., 2016)", "plainTextFormattedCitation" : "(Early et al., 2016)", "previouslyFormattedCitation" : "(Early et al., 2016)" }, "properties" : { "noteIndex" : 0 }, "schema" : "https://github.com/citation-style-language/schema/raw/master/csl-citation.json" }</w:instrText>
      </w:r>
      <w:r w:rsidRPr="008608AA">
        <w:fldChar w:fldCharType="separate"/>
      </w:r>
      <w:r w:rsidRPr="008608AA">
        <w:rPr>
          <w:noProof/>
        </w:rPr>
        <w:t>(Early et al., 2016)</w:t>
      </w:r>
      <w:r w:rsidRPr="008608AA">
        <w:fldChar w:fldCharType="end"/>
      </w:r>
      <w:r w:rsidRPr="008608AA">
        <w:t xml:space="preserve"> (Figure 3.8). The dominant invasion vectors differ between high-income countries (imports, particularly of plants and pets) and low-income countries (air travel). Climate change, further biome transformation </w:t>
      </w:r>
      <w:r w:rsidR="0032208B" w:rsidRPr="008608AA">
        <w:t>(</w:t>
      </w:r>
      <w:r w:rsidR="00847F60" w:rsidRPr="008608AA">
        <w:t>e.g.</w:t>
      </w:r>
      <w:r w:rsidRPr="008608AA">
        <w:t xml:space="preserve"> 3.4.1.6</w:t>
      </w:r>
      <w:r w:rsidR="0032208B" w:rsidRPr="008608AA">
        <w:t>)</w:t>
      </w:r>
      <w:r w:rsidRPr="008608AA">
        <w:t xml:space="preserve"> and increased fire frequency </w:t>
      </w:r>
      <w:r w:rsidR="0032208B" w:rsidRPr="008608AA">
        <w:t>(</w:t>
      </w:r>
      <w:r w:rsidR="00847F60" w:rsidRPr="008608AA">
        <w:t>e.g.</w:t>
      </w:r>
      <w:r w:rsidRPr="008608AA">
        <w:t xml:space="preserve"> 3.4.1.4</w:t>
      </w:r>
      <w:r w:rsidR="0032208B" w:rsidRPr="008608AA">
        <w:t>)</w:t>
      </w:r>
      <w:r w:rsidRPr="008608AA">
        <w:t xml:space="preserve"> are expected to hasten the spread of </w:t>
      </w:r>
      <w:r w:rsidR="001F02A4" w:rsidRPr="008608AA">
        <w:t xml:space="preserve">invasive </w:t>
      </w:r>
      <w:r w:rsidRPr="008608AA">
        <w:t xml:space="preserve">alien species once established. Given that strongly invasive alien species, in addition to signifying economic costs, have been the cause of many extinctions </w:t>
      </w:r>
      <w:r w:rsidRPr="008608AA">
        <w:fldChar w:fldCharType="begin" w:fldLock="1"/>
      </w:r>
      <w:r w:rsidRPr="008608AA">
        <w:instrText>ADDIN CSL_CITATION { "citationItems" : [ { "id" : "ITEM-1", "itemData" : { "DOI" : "10.1098/rsbl.2015.0623", "ISBN" : "1744-957X (Electronic) 1744-9561 (Linking)", "ISSN" : "1744-9561", "PMID" : "26888913", "abstract" : "We assessed the prevalence of alien species as a driver of recent extinctions in five major taxa (plants, amphibians, reptiles, birds and mammals), using data from the IUCN Red List. Our results show that alien species are the second most common threat associated with species that have gone com- pletely extinct from these taxa since AD 1500. Aliens are the most common threat associated with extinctions in three of the five taxa analysed, and for vertebrate extinctions overall.", "author" : [ { "dropping-particle" : "", "family" : "Bellard", "given" : "Celine", "non-dropping-particle" : "", "parse-names" : false, "suffix" : "" }, { "dropping-particle" : "", "family" : "Cassey", "given" : "Phillip", "non-dropping-particle" : "", "parse-names" : false, "suffix" : "" }, { "dropping-particle" : "", "family" : "Blackburn", "given" : "Tim M.", "non-dropping-particle" : "", "parse-names" : false, "suffix" : "" } ], "container-title" : "Biology Letters", "id" : "ITEM-1", "issue" : "2", "issued" : { "date-parts" : [ [ "2016" ] ] }, "page" : "20150623", "title" : "Alien species as a driver of recent extinctions", "type" : "article-journal", "volume" : "12" }, "uris" : [ "http://www.mendeley.com/documents/?uuid=28ce71d8-404d-4a00-918e-a924ee317a5f" ] } ], "mendeley" : { "formattedCitation" : "(Bellard, Cassey, &amp; Blackburn, 2016)", "plainTextFormattedCitation" : "(Bellard, Cassey, &amp; Blackburn, 2016)", "previouslyFormattedCitation" : "(Bellard, Cassey, &amp; Blackburn, 2016)" }, "properties" : { "noteIndex" : 0 }, "schema" : "https://github.com/citation-style-language/schema/raw/master/csl-citation.json" }</w:instrText>
      </w:r>
      <w:r w:rsidRPr="008608AA">
        <w:fldChar w:fldCharType="separate"/>
      </w:r>
      <w:r w:rsidR="007513D3" w:rsidRPr="008608AA">
        <w:rPr>
          <w:noProof/>
        </w:rPr>
        <w:t>(Bellard et al.</w:t>
      </w:r>
      <w:r w:rsidRPr="008608AA">
        <w:rPr>
          <w:noProof/>
        </w:rPr>
        <w:t>, 2016)</w:t>
      </w:r>
      <w:r w:rsidRPr="008608AA">
        <w:fldChar w:fldCharType="end"/>
      </w:r>
      <w:r w:rsidRPr="008608AA">
        <w:t xml:space="preserve">, alien species are a component of biodiversity that requires attention. </w:t>
      </w:r>
    </w:p>
    <w:p w14:paraId="2A373174" w14:textId="77777777" w:rsidR="00E714CA" w:rsidRPr="008608AA" w:rsidRDefault="00E714CA" w:rsidP="00E714CA">
      <w:pPr>
        <w:spacing w:before="120" w:after="120"/>
      </w:pPr>
    </w:p>
    <w:p w14:paraId="78967DE5" w14:textId="77777777" w:rsidR="004255E7" w:rsidRPr="008608AA" w:rsidRDefault="004255E7" w:rsidP="00E714CA">
      <w:pPr>
        <w:pStyle w:val="Heading3"/>
      </w:pPr>
      <w:bookmarkStart w:id="916" w:name="_Toc502927342"/>
      <w:bookmarkStart w:id="917" w:name="_Toc502951165"/>
      <w:bookmarkStart w:id="918" w:name="_Toc502953608"/>
      <w:bookmarkStart w:id="919" w:name="_Toc502954901"/>
      <w:bookmarkStart w:id="920" w:name="_Toc502957708"/>
      <w:bookmarkStart w:id="921" w:name="_Toc502957907"/>
      <w:bookmarkStart w:id="922" w:name="_Toc502958061"/>
      <w:bookmarkStart w:id="923" w:name="_Toc503293109"/>
      <w:bookmarkStart w:id="924" w:name="_Toc503293707"/>
      <w:bookmarkStart w:id="925" w:name="_Toc503293969"/>
      <w:bookmarkStart w:id="926" w:name="_Toc503863362"/>
      <w:bookmarkStart w:id="927" w:name="_Toc503863590"/>
      <w:bookmarkStart w:id="928" w:name="_Toc517393296"/>
      <w:bookmarkStart w:id="929" w:name="_Toc517719037"/>
      <w:bookmarkStart w:id="930" w:name="_Toc517796994"/>
      <w:r w:rsidRPr="008608AA">
        <w:t>Status and trends of freshwater biodiversity</w:t>
      </w:r>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r w:rsidRPr="008608AA">
        <w:t xml:space="preserve"> </w:t>
      </w:r>
    </w:p>
    <w:p w14:paraId="40B46EBB" w14:textId="77777777" w:rsidR="00E714CA" w:rsidRPr="008608AA" w:rsidRDefault="00E714CA" w:rsidP="00E714CA">
      <w:pPr>
        <w:rPr>
          <w:lang w:val="en-GB" w:eastAsia="es-CO"/>
        </w:rPr>
      </w:pPr>
    </w:p>
    <w:p w14:paraId="4068A3C4" w14:textId="2270E7B7" w:rsidR="004255E7" w:rsidRPr="008608AA" w:rsidRDefault="004255E7" w:rsidP="005F249C">
      <w:pPr>
        <w:pStyle w:val="Heading4"/>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120" w:line="240" w:lineRule="auto"/>
        <w:ind w:left="0" w:firstLine="0"/>
        <w:rPr>
          <w:rFonts w:eastAsia="Cambria"/>
          <w:szCs w:val="24"/>
          <w:lang w:val="en-US"/>
        </w:rPr>
      </w:pPr>
      <w:bookmarkStart w:id="931" w:name="_Toc502927343"/>
      <w:bookmarkStart w:id="932" w:name="_Toc517393297"/>
      <w:bookmarkStart w:id="933" w:name="_Toc517719038"/>
      <w:bookmarkStart w:id="934" w:name="_Toc517796995"/>
      <w:r w:rsidRPr="008608AA">
        <w:rPr>
          <w:szCs w:val="24"/>
          <w:lang w:val="en-US"/>
        </w:rPr>
        <w:t>Patterns of diversity for taxonomic groups</w:t>
      </w:r>
      <w:bookmarkEnd w:id="931"/>
      <w:bookmarkEnd w:id="932"/>
      <w:bookmarkEnd w:id="933"/>
      <w:bookmarkEnd w:id="934"/>
      <w:r w:rsidRPr="008608AA">
        <w:rPr>
          <w:rFonts w:eastAsia="Cambria"/>
          <w:szCs w:val="24"/>
          <w:lang w:val="en-US"/>
        </w:rPr>
        <w:tab/>
      </w:r>
    </w:p>
    <w:p w14:paraId="095F6D80" w14:textId="342BC030" w:rsidR="004255E7" w:rsidRPr="008608AA" w:rsidRDefault="004255E7" w:rsidP="00E714CA">
      <w:pPr>
        <w:shd w:val="clear" w:color="auto" w:fill="FFFFFF"/>
        <w:spacing w:after="120"/>
        <w:rPr>
          <w:color w:val="222222"/>
        </w:rPr>
      </w:pPr>
      <w:r w:rsidRPr="008608AA">
        <w:rPr>
          <w:color w:val="222222"/>
        </w:rPr>
        <w:t>Taxonomic groups</w:t>
      </w:r>
      <w:r w:rsidR="00C04AD0" w:rsidRPr="008608AA">
        <w:t xml:space="preserve">. </w:t>
      </w:r>
      <w:r w:rsidRPr="008608AA">
        <w:rPr>
          <w:color w:val="222222"/>
        </w:rPr>
        <w:t xml:space="preserve">The Americas hold the most diversified freshwater fish fauna in the world, with 1,213 species in the North American biogeographical region and 4,035 in the South American biogeographical region for a world total of over 13,600 species </w:t>
      </w:r>
      <w:r w:rsidRPr="008608AA">
        <w:fldChar w:fldCharType="begin" w:fldLock="1"/>
      </w:r>
      <w:r w:rsidRPr="008608AA">
        <w:instrText>ADDIN CSL_CITATION { "citationItems" : [ { "id" : "ITEM-1", "itemData" : { "DOI" : "10.1525/bio.2012.62.9.5", "ISSN" : "00063568", "abstract" : "Widespread evidence shows that the modern rates of extinction in many plants and animals exceed background rates in the fossil record. In the present article, I investigate this issue with regard to North American freshwater fishes. From 1898 to 2006, 57 taxa became extinct, and three distinct populations were extirpated from the continent. Since 1989, the numbers of extinct North American fishes have increased by 25%. From the end of the nineteenth century to the present, modern extinctions varied by decade but significantly increased after 1950 (post-1950s mean = 7.5 extinct taxa per decade). In the twentieth century, freshwater fishes had the highest extinction rate worldwide among vertebrates. The modern extinction rate for North American freshwater fishes is conservatively estimated to be 877 times greater than the background extinction rate for freshwater fishes (one extinction every 3 million years). Reasonable estimates project that future increases in extinctions will range from 53 to 86 species by 2050.", "author" : [ { "dropping-particle" : "", "family" : "Burkhead", "given" : "Noel M.", "non-dropping-particle" : "", "parse-names" : false, "suffix" : "" } ], "container-title" : "BioScience", "id" : "ITEM-1", "issued" : { "date-parts" : [ [ "2012", "9" ] ] }, "page" : "798-808", "title" : "Extinction rates in North American freshwater fishes, 1900\u20132010", "type" : "article-journal", "volume" : "62" }, "uris" : [ "http://www.mendeley.com/documents/?uuid=d2416bea-4ba2-4b15-89eb-d47fcbb8e924" ] } ], "mendeley" : { "formattedCitation" : "(Burkhead, 2012)", "plainTextFormattedCitation" : "(Burkhead, 2012)", "previouslyFormattedCitation" : "(Burkhead, 2012)" }, "properties" : { "noteIndex" : 0 }, "schema" : "https://github.com/citation-style-language/schema/raw/master/csl-citation.json" }</w:instrText>
      </w:r>
      <w:r w:rsidRPr="008608AA">
        <w:fldChar w:fldCharType="separate"/>
      </w:r>
      <w:r w:rsidRPr="008608AA">
        <w:rPr>
          <w:noProof/>
        </w:rPr>
        <w:t>(Burkhead, 2012)</w:t>
      </w:r>
      <w:r w:rsidRPr="008608AA">
        <w:fldChar w:fldCharType="end"/>
      </w:r>
      <w:r w:rsidRPr="008608AA">
        <w:t>.</w:t>
      </w:r>
      <w:r w:rsidRPr="008608AA">
        <w:rPr>
          <w:color w:val="222222"/>
        </w:rPr>
        <w:t xml:space="preserve"> Other freshwater taxonomic groups of note include crayfishes, with high diversity in the southeastern USA </w:t>
      </w:r>
      <w:r w:rsidRPr="008608AA">
        <w:rPr>
          <w:color w:val="222222"/>
        </w:rPr>
        <w:fldChar w:fldCharType="begin" w:fldLock="1"/>
      </w:r>
      <w:r w:rsidRPr="008608AA">
        <w:rPr>
          <w:color w:val="222222"/>
        </w:rPr>
        <w:instrText>ADDIN CSL_CITATION { "citationItems" : [ { "id" : "ITEM-1", "itemData" : { "DOI" : "10.1007/s10750-007-9120-3", "ISBN" : "0018-8158", "ISSN" : "00188158", "abstract" : "The freshwater crayfishes are distributed across all but the Indian and Antarctic continents with centers of diversity in the southeastern Appalachian Mountains in the Northern Hemisphere and in south-east Australia in the Southern Hemisphere. There are currently over 640 described species of freshwater crayfishes with an average of 5-10 species still being described each year. Freshwater crayfishes can serve as keystone species in aquatic habitats, but a few species are also significantly invasive and can cause impressive damage to the fragile freshwater habitat. Crayfishes inhabit caves, burrows, streams, lakes and strong burrowers can even be found in terrestrial habitats where they have burrowed to the water table or where rainfall is sufficiently abundant to provide the needed moisture. The freshwater crayfishes, like the habitats in which they are encountered, are generally endangered to some degree and conservation efforts would do well to focus on them as key elements of the freshwater ecosystem.", "author" : [ { "dropping-particle" : "", "family" : "Crandall", "given" : "Keith A", "non-dropping-particle" : "", "parse-names" : false, "suffix" : "" }, { "dropping-particle" : "", "family" : "Buhay", "given" : "Jennifer E", "non-dropping-particle" : "", "parse-names" : false, "suffix" : "" } ], "container-title" : "Hydrobiologia", "id" : "ITEM-1", "issue" : "1", "issued" : { "date-parts" : [ [ "2008" ] ] }, "page" : "295-301", "title" : "Global diversity of crayfish (Astacidae, Cambaridae, and Parastacidae - Decapoda) in freshwater", "type" : "article-journal", "volume" : "595" }, "uris" : [ "http://www.mendeley.com/documents/?uuid=f5382eca-239d-42fa-a252-7e200f32d5ae" ] } ], "mendeley" : { "formattedCitation" : "(Crandall &amp; Buhay, 2008)", "manualFormatting" : "(Crandall &amp; Buhay, 2008)", "plainTextFormattedCitation" : "(Crandall &amp; Buhay, 2008)", "previouslyFormattedCitation" : "(Crandall &amp; Buhay, 2008)" }, "properties" : { "noteIndex" : 0 }, "schema" : "https://github.com/citation-style-language/schema/raw/master/csl-citation.json" }</w:instrText>
      </w:r>
      <w:r w:rsidRPr="008608AA">
        <w:rPr>
          <w:color w:val="222222"/>
        </w:rPr>
        <w:fldChar w:fldCharType="separate"/>
      </w:r>
      <w:r w:rsidRPr="008608AA">
        <w:rPr>
          <w:noProof/>
          <w:color w:val="222222"/>
        </w:rPr>
        <w:t>(Crandall &amp; Buhay, 2008)</w:t>
      </w:r>
      <w:r w:rsidRPr="008608AA">
        <w:rPr>
          <w:color w:val="222222"/>
        </w:rPr>
        <w:fldChar w:fldCharType="end"/>
      </w:r>
      <w:r w:rsidRPr="008608AA">
        <w:rPr>
          <w:color w:val="222222"/>
        </w:rPr>
        <w:t xml:space="preserve">; amphibians, with nearly half of all salamander species found in North America; 40% of all water-dependent frog species found in the Neotropical realm </w:t>
      </w:r>
      <w:r w:rsidRPr="008608AA">
        <w:rPr>
          <w:color w:val="222222"/>
        </w:rPr>
        <w:fldChar w:fldCharType="begin" w:fldLock="1"/>
      </w:r>
      <w:r w:rsidRPr="008608AA">
        <w:rPr>
          <w:color w:val="222222"/>
        </w:rPr>
        <w:instrText>ADDIN CSL_CITATION { "citationItems" : [ { "id" : "ITEM-1", "itemData" : { "DOI" : "10.1007/s10750-007-9032-2", "ISBN" : "00188158", "ISSN" : "00188158", "PMID" : "28164444", "abstract" : "This article present a review of species numbers, biogeographic patterns and evolutionary trends of amphibians in freshwater. Although most amphibians live in freshwater in at least their larval phase, many species have evolved different degrees of independence from water including direct terrestrial development and viviparity. Of a total of 5,828 amphibian species considered here, 4,117 are aquatic in that they live in the water during at least one life-history stage, and a further 177 species are water-dependent. These numbers are tentative and provide a conservative estimate, because (1) the biology of many species is unknown, (2) more direct-developing species e.g. in the Brachycephalidae, probably depend directly on moisture near water bodies and (3) the accelerating rate of species discoveries and descriptions in amphibians indicates the existence of many more, yet undescribed species, most of which are likely to have aquatic larvae. Regional endemism in amphibians is very high, with only six out of 348 aquatic genera occurring in more than one of the major biogeographic divisions used herein. Global declines threatening amphibians are known to be triggered by an emerging infectious fungal disease and possibly by climate change, emphasizing the need of concerted conservation efforts, and of more research, focused on both their terrestrial and aquatic stages. [ABSTRACT FROM AUTHOR] Copyright of Hydrobiologia is the property of Springer Science &amp; Business Media B.V.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 "author" : [ { "dropping-particle" : "", "family" : "Vences", "given" : "Miguel", "non-dropping-particle" : "", "parse-names" : false, "suffix" : "" }, { "dropping-particle" : "", "family" : "K\u00f6hler", "given" : "J\u00f6rn", "non-dropping-particle" : "", "parse-names" : false, "suffix" : "" } ], "container-title" : "Hydrobiologia", "id" : "ITEM-1", "issue" : "1", "issued" : { "date-parts" : [ [ "2008" ] ] }, "page" : "569-580", "title" : "Global diversity of amphibians (Amphibia) in freshwater", "type" : "article-journal", "volume" : "595" }, "uris" : [ "http://www.mendeley.com/documents/?uuid=074bb17d-75f3-4508-a865-37825e0e6f94" ] } ], "mendeley" : { "formattedCitation" : "(Vences &amp; K\u00f6hler, 2008)", "manualFormatting" : "(Vences &amp; K\u00f6hler, 2008)", "plainTextFormattedCitation" : "(Vences &amp; K\u00f6hler, 2008)", "previouslyFormattedCitation" : "(Vences &amp; K\u00f6hler, 2008)" }, "properties" : { "noteIndex" : 0 }, "schema" : "https://github.com/citation-style-language/schema/raw/master/csl-citation.json" }</w:instrText>
      </w:r>
      <w:r w:rsidRPr="008608AA">
        <w:rPr>
          <w:color w:val="222222"/>
        </w:rPr>
        <w:fldChar w:fldCharType="separate"/>
      </w:r>
      <w:r w:rsidRPr="008608AA">
        <w:rPr>
          <w:noProof/>
          <w:color w:val="222222"/>
        </w:rPr>
        <w:t>(Vences &amp; Köhler, 2008)</w:t>
      </w:r>
      <w:r w:rsidRPr="008608AA">
        <w:rPr>
          <w:color w:val="222222"/>
        </w:rPr>
        <w:fldChar w:fldCharType="end"/>
      </w:r>
      <w:r w:rsidRPr="008608AA">
        <w:rPr>
          <w:color w:val="222222"/>
        </w:rPr>
        <w:t xml:space="preserve">; 11 of the world’s 23 crocodilian species </w:t>
      </w:r>
      <w:r w:rsidRPr="008608AA">
        <w:rPr>
          <w:color w:val="222222"/>
        </w:rPr>
        <w:fldChar w:fldCharType="begin" w:fldLock="1"/>
      </w:r>
      <w:r w:rsidRPr="008608AA">
        <w:rPr>
          <w:color w:val="222222"/>
        </w:rPr>
        <w:instrText>ADDIN CSL_CITATION { "citationItems" : [ { "id" : "ITEM-1", "itemData" : { "DOI" : "10.1007/s10750-007-9030-4", "ISBN" : "0018-8158", "ISSN" : "00188158", "abstract" : "Living crocodilians include the 24 species of alligators, caimans, crocodiles and gharials. These large semi-aquatic ambush predators are ubiquitous in freshwater ecosystems throughout the world's tropics and warm temperate regions. Extant crocodilian diversity is low, but the group has a rich fossil record in every continental deposit. Most populations suffered from over-hunting and habitat loss during the twentieth century and even though some species remain critically endangered others are real success stories in conservation biology and have become important economic resources.", "author" : [ { "dropping-particle" : "", "family" : "Martin", "given" : "Samuel", "non-dropping-particle" : "", "parse-names" : false, "suffix" : "" } ], "container-title" : "Hydrobiologia", "id" : "ITEM-1", "issue" : "1", "issued" : { "date-parts" : [ [ "2008" ] ] }, "page" : "587-591", "title" : "Global diversity of crocodiles (Crocodilia, Reptilia) in freshwater", "type" : "article-journal", "volume" : "595" }, "uris" : [ "http://www.mendeley.com/documents/?uuid=7105763b-f452-4b0f-adda-79060a2529a9" ] } ], "mendeley" : { "formattedCitation" : "(S. Martin, 2008)", "manualFormatting" : "(Martin, 2008)", "plainTextFormattedCitation" : "(S. Martin, 2008)", "previouslyFormattedCitation" : "(S. Martin, 2008)" }, "properties" : { "noteIndex" : 0 }, "schema" : "https://github.com/citation-style-language/schema/raw/master/csl-citation.json" }</w:instrText>
      </w:r>
      <w:r w:rsidRPr="008608AA">
        <w:rPr>
          <w:color w:val="222222"/>
        </w:rPr>
        <w:fldChar w:fldCharType="separate"/>
      </w:r>
      <w:r w:rsidRPr="008608AA">
        <w:rPr>
          <w:noProof/>
          <w:color w:val="222222"/>
        </w:rPr>
        <w:t>(Martin, 2008)</w:t>
      </w:r>
      <w:r w:rsidRPr="008608AA">
        <w:rPr>
          <w:color w:val="222222"/>
        </w:rPr>
        <w:fldChar w:fldCharType="end"/>
      </w:r>
      <w:r w:rsidRPr="008608AA">
        <w:rPr>
          <w:color w:val="222222"/>
        </w:rPr>
        <w:t xml:space="preserve">; the vast majority of the world’s temperate freshwater turtle species in North America </w:t>
      </w:r>
      <w:r w:rsidRPr="008608AA">
        <w:rPr>
          <w:color w:val="222222"/>
        </w:rPr>
        <w:fldChar w:fldCharType="begin" w:fldLock="1"/>
      </w:r>
      <w:r w:rsidRPr="008608AA">
        <w:rPr>
          <w:color w:val="222222"/>
        </w:rPr>
        <w:instrText>ADDIN CSL_CITATION { "citationItems" : [ { "id" : "ITEM-1", "itemData" : { "DOI" : "10.1007/s10750-007-9244-5", "ISBN" : "1075000792445", "ISSN" : "00188158", "abstract" : "The turtles are an evolutionary ancient group of tetrapod vertebrates, and their present-day distribution and diversity reflects the long and complex history of the taxon.Today, about 250 of the total of 320 species recognized are freshwater turtles; most of these inhabit tropical andsubtropical zones.Diversityhotspots occur in SoutheastNorthAmerica, regardingEmydidae, and in the Indo-Malayan region, mostly Geoemydidae andTrionychidae.Chelidae are predominantlyNeotrop- ical andAustralasian,while Pelomedusidae areAfrican. The majority of genus- and species-level taxa are regional or even local endemics.Amajority of freshwa- ter turtles are threatened in varying degrees, mostly by habitat modification and collection.", "author" : [ { "dropping-particle" : "", "family" : "Bour", "given" : "Roger", "non-dropping-particle" : "", "parse-names" : false, "suffix" : "" } ], "container-title" : "Hydrobiologia", "id" : "ITEM-1", "issue" : "1", "issued" : { "date-parts" : [ [ "2008" ] ] }, "page" : "593-598", "title" : "Global diversity of turtles (Chelonii; Reptilia) in freshwater", "type" : "article", "volume" : "595" }, "uris" : [ "http://www.mendeley.com/documents/?uuid=07820cc7-c8d9-4123-9e09-aaa510761c35" ] } ], "mendeley" : { "formattedCitation" : "(Bour, 2008)", "plainTextFormattedCitation" : "(Bour, 2008)", "previouslyFormattedCitation" : "(Bour, 2008)" }, "properties" : { "noteIndex" : 0 }, "schema" : "https://github.com/citation-style-language/schema/raw/master/csl-citation.json" }</w:instrText>
      </w:r>
      <w:r w:rsidRPr="008608AA">
        <w:rPr>
          <w:color w:val="222222"/>
        </w:rPr>
        <w:fldChar w:fldCharType="separate"/>
      </w:r>
      <w:r w:rsidRPr="008608AA">
        <w:rPr>
          <w:noProof/>
          <w:color w:val="222222"/>
        </w:rPr>
        <w:t>(Bour, 2008)</w:t>
      </w:r>
      <w:r w:rsidRPr="008608AA">
        <w:rPr>
          <w:color w:val="222222"/>
        </w:rPr>
        <w:fldChar w:fldCharType="end"/>
      </w:r>
      <w:r w:rsidRPr="008608AA">
        <w:rPr>
          <w:color w:val="222222"/>
        </w:rPr>
        <w:t xml:space="preserve">; the most diverse freshwater bivalve fauna globally also in North America </w:t>
      </w:r>
      <w:r w:rsidRPr="008608AA">
        <w:rPr>
          <w:color w:val="222222"/>
        </w:rPr>
        <w:fldChar w:fldCharType="begin" w:fldLock="1"/>
      </w:r>
      <w:r w:rsidRPr="008608AA">
        <w:rPr>
          <w:color w:val="222222"/>
        </w:rPr>
        <w:instrText>ADDIN CSL_CITATION { "citationItems" : [ { "id" : "ITEM-1", "itemData" : { "DOI" : "10.1007/s10750-007-9011-7", "ISBN" : "0018-8158", "ISSN" : "00188158", "PMID" : "301", "abstract" : "The term freshwater bivalve is very inclusive and not very informative. There are representatives of at least 19 families that have at least one representative living in freshwater. This suggests at least 14 different invasions of freshwater. At least nine families have small to large radiations in the freshwater environment: Corbiculidae, Sphaeriidae, Dreissenidae, and the unioniforme families: Hyriidae, Margaritiferidae, Unionidae, Etheriidae, Iridinidae, and Mycetopodidae. The unioniforme families contain at least 180 genera and about 800 species. This order is characterized by the unique parasitic larval stage on the gills, fins or the body of a particular host fish. This order of freshwater bivalves is suffering a very high rate of extinction, with about 37 species considered presumed extinct in North America alone. The level of endangerment and extinction facing these animals is primarily the result of habitat destruction or modification.", "author" : [ { "dropping-particle" : "", "family" : "Bogan", "given" : "Arthur E.", "non-dropping-particle" : "", "parse-names" : false, "suffix" : "" } ], "container-title" : "Hydrobiologia", "id" : "ITEM-1", "issue" : "1", "issued" : { "date-parts" : [ [ "2008" ] ] }, "page" : "139-147", "title" : "Global diversity of freshwater mussels (Mollusca, Bivalvia) in freshwater", "type" : "article", "volume" : "595" }, "uris" : [ "http://www.mendeley.com/documents/?uuid=28d18f75-c364-4c6f-a9a1-10c9cb07e91a" ] } ], "mendeley" : { "formattedCitation" : "(Bogan, 2008)", "plainTextFormattedCitation" : "(Bogan, 2008)", "previouslyFormattedCitation" : "(Bogan, 2008)" }, "properties" : { "noteIndex" : 0 }, "schema" : "https://github.com/citation-style-language/schema/raw/master/csl-citation.json" }</w:instrText>
      </w:r>
      <w:r w:rsidRPr="008608AA">
        <w:rPr>
          <w:color w:val="222222"/>
        </w:rPr>
        <w:fldChar w:fldCharType="separate"/>
      </w:r>
      <w:r w:rsidRPr="008608AA">
        <w:rPr>
          <w:noProof/>
          <w:color w:val="222222"/>
        </w:rPr>
        <w:t>(Bogan, 2008)</w:t>
      </w:r>
      <w:r w:rsidRPr="008608AA">
        <w:rPr>
          <w:color w:val="222222"/>
        </w:rPr>
        <w:fldChar w:fldCharType="end"/>
      </w:r>
      <w:r w:rsidRPr="008608AA">
        <w:rPr>
          <w:color w:val="222222"/>
        </w:rPr>
        <w:t xml:space="preserve">; and an especially diverse assemblage of decapods in Central </w:t>
      </w:r>
      <w:r w:rsidRPr="008608AA">
        <w:t xml:space="preserve">America </w:t>
      </w:r>
      <w:r w:rsidRPr="008608AA">
        <w:fldChar w:fldCharType="begin" w:fldLock="1"/>
      </w:r>
      <w:r w:rsidRPr="008608AA">
        <w:instrText>ADDIN CSL_CITATION { "citationItems" : [ { "id" : "ITEM-1", "itemData" : { "DOI" : "10.1007/978-3-319-42527-6_9", "ISBN" : "9783319425276", "abstract" : "This chapter provides an overview of the species diversity and conservation status of the freshwater decapods in Central America and the Caribbean islands that date back to the late 1800s in both areas. The majority of the early studies were on taxonomy but our knowledge of freshwater decapod ecology (especially of freshwater shrimps from some Caribbean islands) has increased substantially over the last four decades. Currently, 86 species of freshwater decapods are known from Central America and the Caribbean. Here the decapod fauna comprises two families of primary freshwater crabs (Pseudothelphusidae and Trichodactylidae), three families of freshwater shrimps (Atyidae, Palaemonidae and Xiphocarididae), and one family of crayfish (Cambaridae). Several species have been introduced to this region for aquaculture and have now established wild populations. We also provide a list of Central American and Caribbean freshwater decapods that host parasites. To date, the conservation status of 43 % of all freshwater decapods in the region has been assessed using the IUCN Red List protocols; 5 % of these species are endangered or Critically Endangered, and two species (Cambarellus alvarezi and C. chihuahuae) are likely extinct. Cuba is the country with the most Vulnerable species (7 spp.), while Bermuda (2 spp.) and Barbados (1 sp.) have Critically Endangered species. The biodiversityBiodiversity of the freshwater decapod fauna of this region is still incompletely known despite recent efforts, and much more data need to be collected on species that are already known to be threatened with extinction, and on species that are too poorly known to assess. The high diversity of amphidromus caridean shrimps makes them especially vulnerable to threats from the modification of natural river systems such as the construction of dams for hydroelectric power or for water supply.", "author" : [ { "dropping-particle" : "", "family" : "Wehrtmann", "given" : "Ingo S", "non-dropping-particle" : "", "parse-names" : false, "suffix" : "" }, { "dropping-particle" : "", "family" : "Ram\u00edrez", "given" : "Alonso", "non-dropping-particle" : "", "parse-names" : false, "suffix" : "" }, { "dropping-particle" : "", "family" : "P\u00e9rez-Reyes", "given" : "Omar", "non-dropping-particle" : "", "parse-names" : false, "suffix" : "" } ], "container-title" : "A Global Overview of the Conservation of Freshwater Decapod Crustaceans", "editor" : [ { "dropping-particle" : "", "family" : "Kawai", "given" : "Tadashi", "non-dropping-particle" : "", "parse-names" : false, "suffix" : "" }, { "dropping-particle" : "", "family" : "Cumberlidge", "given" : "Neil", "non-dropping-particle" : "", "parse-names" : false, "suffix" : "" } ], "id" : "ITEM-1", "issued" : { "date-parts" : [ [ "2016" ] ] }, "page" : "267-301", "publisher" : "Springer", "publisher-place" : "Cham, Switzerlan", "title" : "Freshwater decapod diversity and conservation in Central America and the Caribbean", "type" : "chapter" }, "uris" : [ "http://www.mendeley.com/documents/?uuid=885f29cb-cef3-4f5e-9c89-859446c41f51" ] } ], "mendeley" : { "formattedCitation" : "(Wehrtmann, Ram\u00edrez, &amp; P\u00e9rez-Reyes, 2016)", "manualFormatting" : "(Wehrtmann et al., 2016)", "plainTextFormattedCitation" : "(Wehrtmann, Ram\u00edrez, &amp; P\u00e9rez-Reyes, 2016)", "previouslyFormattedCitation" : "(Wehrtmann, Ram\u00edrez, &amp; P\u00e9rez-Reyes, 2016)" }, "properties" : { "noteIndex" : 0 }, "schema" : "https://github.com/citation-style-language/schema/raw/master/csl-citation.json" }</w:instrText>
      </w:r>
      <w:r w:rsidRPr="008608AA">
        <w:fldChar w:fldCharType="separate"/>
      </w:r>
      <w:r w:rsidRPr="008608AA">
        <w:rPr>
          <w:noProof/>
        </w:rPr>
        <w:t>(Wehrtmann et al., 2016)</w:t>
      </w:r>
      <w:r w:rsidRPr="008608AA">
        <w:fldChar w:fldCharType="end"/>
      </w:r>
      <w:r w:rsidRPr="008608AA">
        <w:t>.</w:t>
      </w:r>
      <w:r w:rsidRPr="008608AA">
        <w:rPr>
          <w:color w:val="222222"/>
        </w:rPr>
        <w:t xml:space="preserve"> </w:t>
      </w:r>
    </w:p>
    <w:p w14:paraId="2CF86C11" w14:textId="77777777" w:rsidR="004255E7" w:rsidRPr="008608AA" w:rsidRDefault="004255E7" w:rsidP="00E714CA">
      <w:pPr>
        <w:spacing w:after="120"/>
      </w:pPr>
      <w:r w:rsidRPr="008608AA">
        <w:rPr>
          <w:color w:val="222222"/>
        </w:rPr>
        <w:t xml:space="preserve">Freshwater species contribute NCP in numerous ways. Freshwater mussels cleanse water </w:t>
      </w:r>
      <w:r w:rsidRPr="008608AA">
        <w:rPr>
          <w:color w:val="222222"/>
        </w:rPr>
        <w:fldChar w:fldCharType="begin" w:fldLock="1"/>
      </w:r>
      <w:r w:rsidRPr="008608AA">
        <w:rPr>
          <w:color w:val="222222"/>
        </w:rPr>
        <w:instrText>ADDIN CSL_CITATION { "citationItems" : [ { "id" : "ITEM-1", "itemData" : { "DOI" : "DOI: 10.5772/25102", "ISBN" : "9789533077079", "abstract" : "The loss of biodiversity worldwide has been well documented for decades, and while much of the attention of the media and scientific community has been focused on terrestrial ecosystems, other biomes such as freshwater lakes and streams have received less consideration (Myers et al., 2000). Despite the current decade (2005-2015) being declared an International Decade for Action \u2013 \u2018Water for Life\u2019 by the United Nations General Assembly, freshwater ecosystems worldwide are as threatened as ever by the activities of a rapidly growing human population. Surface freshwater ecosystems only constitute 0.8% of the Earth\u2019s surface, yet they contain almost 9.5% of the Earth\u2019s known species, including as many as one-third all known vertebrate species (Balian et al., 2008; Dudgeon et al., 2006). The impact of human disturbances on this disproportionate amount of biodiversity has made the extinction rate in freshwater ecosystems equal to that of tropical rainforests (Ricciardi and Rasmussen, 1999).", "author" : [ { "dropping-particle" : "", "family" : "Nobles", "given" : "Trey", "non-dropping-particle" : "", "parse-names" : false, "suffix" : "" }, { "dropping-particle" : "", "family" : "Zhang", "given" : "Yixin", "non-dropping-particle" : "", "parse-names" : false, "suffix" : "" } ], "container-title" : "Biodiversity Loss in a Changing Planet", "editor" : [ { "dropping-particle" : "", "family" : "Grillo", "given" : "O.", "non-dropping-particle" : "", "parse-names" : false, "suffix" : "" }, { "dropping-particle" : "", "family" : "Venora", "given" : "G.", "non-dropping-particle" : "", "parse-names" : false, "suffix" : "" } ], "id" : "ITEM-1", "issued" : { "date-parts" : [ [ "2011" ] ] }, "page" : "137-162", "publisher" : "Intech", "publisher-place" : "Open Access", "title" : "Biodiversity loss in freshwater mussels: Importance, threats, and solutions", "type" : "chapter" }, "uris" : [ "http://www.mendeley.com/documents/?uuid=18891aad-d096-4b19-9047-ef552b8d5146" ] } ], "mendeley" : { "formattedCitation" : "(Nobles &amp; Zhang, 2011)", "manualFormatting" : "(Nobles &amp; Zhang, 2011)", "plainTextFormattedCitation" : "(Nobles &amp; Zhang, 2011)", "previouslyFormattedCitation" : "(Nobles &amp; Zhang, 2011)" }, "properties" : { "noteIndex" : 0 }, "schema" : "https://github.com/citation-style-language/schema/raw/master/csl-citation.json" }</w:instrText>
      </w:r>
      <w:r w:rsidRPr="008608AA">
        <w:rPr>
          <w:color w:val="222222"/>
        </w:rPr>
        <w:fldChar w:fldCharType="separate"/>
      </w:r>
      <w:r w:rsidRPr="008608AA">
        <w:rPr>
          <w:noProof/>
          <w:color w:val="222222"/>
        </w:rPr>
        <w:t>(Nobles &amp; Zhang, 2011)</w:t>
      </w:r>
      <w:r w:rsidRPr="008608AA">
        <w:rPr>
          <w:color w:val="222222"/>
        </w:rPr>
        <w:fldChar w:fldCharType="end"/>
      </w:r>
      <w:r w:rsidRPr="008608AA">
        <w:rPr>
          <w:color w:val="222222"/>
        </w:rPr>
        <w:t xml:space="preserve">. Fish regulate nutrients in water </w:t>
      </w:r>
      <w:r w:rsidRPr="008608AA">
        <w:rPr>
          <w:color w:val="222222"/>
        </w:rPr>
        <w:fldChar w:fldCharType="begin" w:fldLock="1"/>
      </w:r>
      <w:r w:rsidRPr="008608AA">
        <w:rPr>
          <w:color w:val="222222"/>
        </w:rPr>
        <w:instrText>ADDIN CSL_CITATION { "citationItems" : [ { "id" : "ITEM-1", "itemData" : { "DOI" : "10.1016/S0921-8009(99)00015-4", "ISBN" : "0921-8009", "ISSN" : "09218009", "abstract" : "In this paper, we review the role of fish populations in generating ecosystem services based on documented ecological functions and human demands of fish. The ongoing overexploitation of global fish resources concerns our societies, not only in terms of decreasing fish populations important for consumption and recreational activities. Rather, a number of ecosystem services generated by fish populations are also at risk, with consequences for biodiversity, ecosystem functioning, and ultimately human welfare. Examples are provided from marine and freshwater ecosystems, in various parts of the world, and include all life-stages of fish. Ecosystem services are here defined as fundamental services for maintaining ecosystem functioning and resilience, or demand-derived services based on human values. To secure the generation of ecosystem services from fish populations, management approaches need to address the fact that fish are embedded in ecosystems and that substitutions for declining populations and habitat losses, such as fish stocking and nature reserves, rarely replace losses of all services.", "author" : [ { "dropping-particle" : "", "family" : "Holmlund", "given" : "Cecilia M.", "non-dropping-particle" : "", "parse-names" : false, "suffix" : "" }, { "dropping-particle" : "", "family" : "Hammer", "given" : "Monica", "non-dropping-particle" : "", "parse-names" : false, "suffix" : "" } ], "container-title" : "Ecological Economics", "id" : "ITEM-1", "issue" : "2", "issued" : { "date-parts" : [ [ "1999" ] ] }, "page" : "253-268", "title" : "Ecosystem services generated by fish populations", "type" : "article-journal", "volume" : "29" }, "uris" : [ "http://www.mendeley.com/documents/?uuid=e672d90d-707a-407c-8255-0e1c71d78327" ] } ], "mendeley" : { "formattedCitation" : "(Holmlund &amp; Hammer, 1999)", "manualFormatting" : "(Holmlund &amp; Hammer, 1999)", "plainTextFormattedCitation" : "(Holmlund &amp; Hammer, 1999)", "previouslyFormattedCitation" : "(Holmlund &amp; Hammer, 1999)" }, "properties" : { "noteIndex" : 0 }, "schema" : "https://github.com/citation-style-language/schema/raw/master/csl-citation.json" }</w:instrText>
      </w:r>
      <w:r w:rsidRPr="008608AA">
        <w:rPr>
          <w:color w:val="222222"/>
        </w:rPr>
        <w:fldChar w:fldCharType="separate"/>
      </w:r>
      <w:r w:rsidRPr="008608AA">
        <w:rPr>
          <w:noProof/>
          <w:color w:val="222222"/>
        </w:rPr>
        <w:t>(Holmlund &amp; Hammer, 1999)</w:t>
      </w:r>
      <w:r w:rsidRPr="008608AA">
        <w:rPr>
          <w:color w:val="222222"/>
        </w:rPr>
        <w:fldChar w:fldCharType="end"/>
      </w:r>
      <w:r w:rsidRPr="008608AA">
        <w:rPr>
          <w:color w:val="222222"/>
        </w:rPr>
        <w:t xml:space="preserve">. North American Pacific salmon transfer nutrients from marine to freshwater realms when they die en masse after migrating upstream </w:t>
      </w:r>
      <w:r w:rsidRPr="008608AA">
        <w:rPr>
          <w:color w:val="222222"/>
        </w:rPr>
        <w:fldChar w:fldCharType="begin" w:fldLock="1"/>
      </w:r>
      <w:r w:rsidRPr="008608AA">
        <w:rPr>
          <w:color w:val="222222"/>
        </w:rPr>
        <w:instrText>ADDIN CSL_CITATION { "citationItems" : [ { "id" : "ITEM-1", "itemData" : { "ISBN" : "0002-8487", "ISSN" : "0892-2284", "abstract" : "Migratory fishes are common in freshwaters throughout the world and can fundamentally alter recipient ecosystems. We describe different types of fish migrations and consider their importance from the perspective of ecosystem subsidies\u2014that is, landscape-scale flows of energy, materials, and organisms that are important in driving local food web and ecosystem dynamics. We distinguish between two general categories of subsidies, which we term here material subsidies and process subsidies. Material subsidies are the transfer of energy, nutrients, and other resources resulting in direct changes in resource pools within ecosystems. We posit that material subsidies occur under only a subset of life history strategies and ecological settings, and the potential for migratory fish to represent major material subsidies is greatest when (1) the biomass of migrants is high relative to recipient ecosystem size, (2) the availability of nutrients and energy is low in the recipient ecosystem (i.e., oligotrophic), and (3) there are effective mechanisms for both liberating nutrients and energy from migratory fishes and retaining those materials within the food web of the recipient ecosystem. Thus, anadromous semelparous Pacific salmon Oncorhynchus spp. with en masse programmed senescence in oligotrophic Pacific Northwest streams can be large material subsidies. In contrast, process subsidies arise from feeding or other activities of migratory species that directly affect process rates within recipient ecosystems. For example, the physical and chemical effects of grazing and sediment-feeding fishes such as prochilodontids, as well as seed dispersal by large-bodied frugivorous characins, represent potentially key process subsidies by migratory fishes in some of the great rivers of South America. We speculate that process subsidies are more widespread than material subsidies from migratory stream fishes because they are independent of the type of migration patterns, life history, and distance traveled. Nevertheless, the magnitude of process subsidies is likely to be greatest under a specific subset of ecological conditions, which can differ from those where material subsidies might be most important. In addition to migrant biomass, the potential for migratory fish to represent strong process subsidies is regulated by migrant interaction strength and the degree to which a migratory species is functionally unique in a particular ecological setting. Unlike material subsidies, \u2026", "author" : [ { "dropping-particle" : "", "family" : "Flecker", "given" : "Alexander S.", "non-dropping-particle" : "", "parse-names" : false, "suffix" : "" }, { "dropping-particle" : "", "family" : "McIntyre", "given" : "Peter B.", "non-dropping-particle" : "", "parse-names" : false, "suffix" : "" }, { "dropping-particle" : "", "family" : "Moore", "given" : "Jonathan W.", "non-dropping-particle" : "", "parse-names" : false, "suffix" : "" }, { "dropping-particle" : "", "family" : "Anderson", "given" : "Jill T.", "non-dropping-particle" : "", "parse-names" : false, "suffix" : "" }, { "dropping-particle" : "", "family" : "Taylor", "given" : "Brad W.", "non-dropping-particle" : "", "parse-names" : false, "suffix" : "" }, { "dropping-particle" : "", "family" : "Hall Jr.", "given" : "Robert O.", "non-dropping-particle" : "", "parse-names" : false, "suffix" : "" } ], "container-title" : "American Fisheries Society Symposium", "id" : "ITEM-1", "issue" : "2", "issued" : { "date-parts" : [ [ "2010" ] ] }, "page" : "559-592", "title" : "Migratory fishes as material and process subsidies in riverine ecosystems", "type" : "article-journal", "volume" : "73" }, "uris" : [ "http://www.mendeley.com/documents/?uuid=4802f73a-3366-4357-9e3d-419065578e0d" ] } ], "mendeley" : { "formattedCitation" : "(Flecker et al., 2010)", "plainTextFormattedCitation" : "(Flecker et al., 2010)", "previouslyFormattedCitation" : "(Flecker et al., 2010)" }, "properties" : { "noteIndex" : 0 }, "schema" : "https://github.com/citation-style-language/schema/raw/master/csl-citation.json" }</w:instrText>
      </w:r>
      <w:r w:rsidRPr="008608AA">
        <w:rPr>
          <w:color w:val="222222"/>
        </w:rPr>
        <w:fldChar w:fldCharType="separate"/>
      </w:r>
      <w:r w:rsidRPr="008608AA">
        <w:rPr>
          <w:noProof/>
          <w:color w:val="222222"/>
        </w:rPr>
        <w:t>(Flecker et al., 2010)</w:t>
      </w:r>
      <w:r w:rsidRPr="008608AA">
        <w:rPr>
          <w:color w:val="222222"/>
        </w:rPr>
        <w:fldChar w:fldCharType="end"/>
      </w:r>
      <w:r w:rsidRPr="008608AA">
        <w:rPr>
          <w:color w:val="222222"/>
        </w:rPr>
        <w:t xml:space="preserve">. In the Amazon, Orinoco, and parts of Central America, frugivorous fish disperse seeds for floodplain forest trees </w:t>
      </w:r>
      <w:r w:rsidRPr="008608AA">
        <w:rPr>
          <w:color w:val="222222"/>
        </w:rPr>
        <w:fldChar w:fldCharType="begin" w:fldLock="1"/>
      </w:r>
      <w:r w:rsidRPr="008608AA">
        <w:rPr>
          <w:color w:val="222222"/>
        </w:rPr>
        <w:instrText>ADDIN CSL_CITATION { "citationItems" : [ { "id" : "ITEM-1", "itemData" : { "ISBN" : "0002-8487", "ISSN" : "0892-2284", "abstract" : "Migratory fishes are common in freshwaters throughout the world and can fundamentally alter recipient ecosystems. We describe different types of fish migrations and consider their importance from the perspective of ecosystem subsidies\u2014that is, landscape-scale flows of energy, materials, and organisms that are important in driving local food web and ecosystem dynamics. We distinguish between two general categories of subsidies, which we term here material subsidies and process subsidies. Material subsidies are the transfer of energy, nutrients, and other resources resulting in direct changes in resource pools within ecosystems. We posit that material subsidies occur under only a subset of life history strategies and ecological settings, and the potential for migratory fish to represent major material subsidies is greatest when (1) the biomass of migrants is high relative to recipient ecosystem size, (2) the availability of nutrients and energy is low in the recipient ecosystem (i.e., oligotrophic), and (3) there are effective mechanisms for both liberating nutrients and energy from migratory fishes and retaining those materials within the food web of the recipient ecosystem. Thus, anadromous semelparous Pacific salmon Oncorhynchus spp. with en masse programmed senescence in oligotrophic Pacific Northwest streams can be large material subsidies. In contrast, process subsidies arise from feeding or other activities of migratory species that directly affect process rates within recipient ecosystems. For example, the physical and chemical effects of grazing and sediment-feeding fishes such as prochilodontids, as well as seed dispersal by large-bodied frugivorous characins, represent potentially key process subsidies by migratory fishes in some of the great rivers of South America. We speculate that process subsidies are more widespread than material subsidies from migratory stream fishes because they are independent of the type of migration patterns, life history, and distance traveled. Nevertheless, the magnitude of process subsidies is likely to be greatest under a specific subset of ecological conditions, which can differ from those where material subsidies might be most important. In addition to migrant biomass, the potential for migratory fish to represent strong process subsidies is regulated by migrant interaction strength and the degree to which a migratory species is functionally unique in a particular ecological setting. Unlike material subsidies, \u2026", "author" : [ { "dropping-particle" : "", "family" : "Flecker", "given" : "Alexander S.", "non-dropping-particle" : "", "parse-names" : false, "suffix" : "" }, { "dropping-particle" : "", "family" : "McIntyre", "given" : "Peter B.", "non-dropping-particle" : "", "parse-names" : false, "suffix" : "" }, { "dropping-particle" : "", "family" : "Moore", "given" : "Jonathan W.", "non-dropping-particle" : "", "parse-names" : false, "suffix" : "" }, { "dropping-particle" : "", "family" : "Anderson", "given" : "Jill T.", "non-dropping-particle" : "", "parse-names" : false, "suffix" : "" }, { "dropping-particle" : "", "family" : "Taylor", "given" : "Brad W.", "non-dropping-particle" : "", "parse-names" : false, "suffix" : "" }, { "dropping-particle" : "", "family" : "Hall Jr.", "given" : "Robert O.", "non-dropping-particle" : "", "parse-names" : false, "suffix" : "" } ], "container-title" : "American Fisheries Society Symposium", "id" : "ITEM-1", "issue" : "2", "issued" : { "date-parts" : [ [ "2010" ] ] }, "page" : "559-592", "title" : "Migratory fishes as material and process subsidies in riverine ecosystems", "type" : "article-journal", "volume" : "73" }, "uris" : [ "http://www.mendeley.com/documents/?uuid=4802f73a-3366-4357-9e3d-419065578e0d" ] } ], "mendeley" : { "formattedCitation" : "(Flecker et al., 2010)", "plainTextFormattedCitation" : "(Flecker et al., 2010)", "previouslyFormattedCitation" : "(Flecker et al., 2010)" }, "properties" : { "noteIndex" : 0 }, "schema" : "https://github.com/citation-style-language/schema/raw/master/csl-citation.json" }</w:instrText>
      </w:r>
      <w:r w:rsidRPr="008608AA">
        <w:rPr>
          <w:color w:val="222222"/>
        </w:rPr>
        <w:fldChar w:fldCharType="separate"/>
      </w:r>
      <w:r w:rsidRPr="008608AA">
        <w:rPr>
          <w:noProof/>
          <w:color w:val="222222"/>
        </w:rPr>
        <w:t>(Flecker et al., 2010)</w:t>
      </w:r>
      <w:r w:rsidRPr="008608AA">
        <w:rPr>
          <w:color w:val="222222"/>
        </w:rPr>
        <w:fldChar w:fldCharType="end"/>
      </w:r>
      <w:r w:rsidRPr="008608AA">
        <w:rPr>
          <w:color w:val="222222"/>
        </w:rPr>
        <w:t xml:space="preserve">. </w:t>
      </w:r>
      <w:r w:rsidRPr="008608AA">
        <w:rPr>
          <w:bCs/>
          <w:color w:val="222222"/>
        </w:rPr>
        <w:t xml:space="preserve">An estimated 450,000 tons of riverine fish are landed each year in the Amazon, with important implications for the food security of local people </w:t>
      </w:r>
      <w:r w:rsidRPr="008608AA">
        <w:rPr>
          <w:bCs/>
          <w:color w:val="222222"/>
        </w:rPr>
        <w:fldChar w:fldCharType="begin" w:fldLock="1"/>
      </w:r>
      <w:r w:rsidRPr="008608AA">
        <w:rPr>
          <w:bCs/>
          <w:color w:val="222222"/>
        </w:rPr>
        <w:instrText>ADDIN CSL_CITATION { "citationItems" : [ { "id" : "ITEM-1", "itemData" : { "DOI" : "10.1080/14634980701351023", "ISBN" : "1539-4077", "ISSN" : "14634988", "abstract" : "Stretching more than seven million square kilometers, the Amazon River basin is the largest river basin in the world and discharges about one-sixth of all freshwater from the continents to the oceans of the world. The age of this ecosystem, its position near the equator and the enormous diversity of its aquatic habitats, have produced the most diverse fish fauna on the planet. About 2,500 fish species have already been described and it is estimated that more than 1,000 new species remain to be discovered. Knowledge concerning this multitude of fish species is still insufficient, which makes their management and protection difficult. About 50% of the species are thought to occur in the large rivers and connected floodplains and another 50% in headwater streams. Inland fisheries give rise to 450,000 t of fish each year and thus contribute substantially to the protein supply of local populations. However, despite their economic importance, these fisheries receive little attention from the respective governments. The fisheries are highly selective and several stocks of large species with high market value have been over fished. Fish culture is still in its infancy but its development is expected to provide high-quality species during periods of low supply. Over large areas, aquatic habitats are still in near-natural conditions because of the low densities of resident human populations. Nonetheless, over the last few decades, the pressure on aquatic ecosystems and habitats has steadily increased, mainly due to large-scale destruction of natural vegetation cover by agro-industries in the savanna belt (cerrado), small-scale agriculture in the Andean hill slopes, and logging in rain forests. These activities have placed aquatic biodiversity, including fishes, at serious risk. Many headwater species have restricted distributions and are therefore particularly vulnerable to large- scale environmental degradation. Moreover, the construction of large reservoirs for hydroelectric power generation has serious consequences for fish fauna. Currently, about 16.4% of the Amazon River basin is protected, and another 15.2% is under partial protection in indigenous reserves in Brazil. Another 9.1% will be implemented as reserves in the next 10 years in the Brazilian part of the basin. The formulation by the Amazonian countries of a coherent policy that integrates long-term management of the river basin with sustainablemanagement of aquaticandwetlandhabitats, including their\u2026", "author" : [ { "dropping-particle" : "", "family" : "Junk", "given" : "Wolfgang J", "non-dropping-particle" : "", "parse-names" : false, "suffix" : "" }, { "dropping-particle" : "", "family" : "Soares", "given" : "Maria Gercilia Mota", "non-dropping-particle" : "", "parse-names" : false, "suffix" : "" }, { "dropping-particle" : "", "family" : "Bayley", "given" : "Peter B", "non-dropping-particle" : "", "parse-names" : false, "suffix" : "" } ], "container-title" : "Aquatic Ecosystem Health &amp; Management", "id" : "ITEM-1", "issue" : "2", "issued" : { "date-parts" : [ [ "2007", "6" ] ] }, "page" : "153-173", "publisher" : "Taylor &amp; Francis", "title" : "Freshwater fishes of the Amazon River basin: their biodiversity, fisheries, and habitats", "type" : "article-journal", "volume" : "10" }, "uris" : [ "http://www.mendeley.com/documents/?uuid=b483da2d-7c5b-49f5-9f26-bb6f16b32cbf" ] }, { "id" : "ITEM-2", "itemData" : { "DOI" : "10.1073/pnas.1521540113", "ISBN" : "1091-6490 (Electronic) 0027-8424 (Linking)", "ISSN" : "0027-8424", "PMID" : "27791055", "abstract" : "Fisheries are an essential ecosystem service, but catches from freshwaters are often overlooked. Hundreds of millions of people around the world benefit from low-cost protein, recreation, and commerce provided by freshwater fisheries, particularly in regions where alternative sources of nutrition and employment are scarce. Here, we derive a gridded global map of riverine fisheries and assess its implications for biodiversity conservation, fishery sustainability, and food security. Catches increase with river discharge and human population density, and 90% of global catch comes from river basins with above-average stress levels. Fish richness and catches are positively but not causally correlated, revealing that fishing pressure is most intense in rivers where potential impacts on biodiversity are highest. Merging our catch analysis with nutritional and socioeconomic data, we find that freshwater fisheries provide the equivalent of all dietary animal protein for 158 million people. Poor and undernourished populations are particularly reliant on inland fisheries compared with marine or aquaculture sources. The spatial coincidence of productive freshwater fisheries and low food security highlights the critical role of rivers and lakes in providing locally sourced, low-cost protein. At the same time, intensive fishing in regions where rivers are already degraded by other stressors may undermine efforts to conserve biodiversity. This syndrome of poverty, nutritional deficiency, fishery dependence, and extrinsic threats to biodiverse river ecosystems underscores the high stakes for improving fishery management. Our enhanced spatial data on estimated catches can facilitate the inclusion of inland fisheries in environmental planning to protect both food security and species diversity.", "author" : [ { "dropping-particle" : "", "family" : "McIntyre", "given" : "Peter B", "non-dropping-particle" : "", "parse-names" : false, "suffix" : "" }, { "dropping-particle" : "", "family" : "Reidy Liermann", "given" : "Catherine A", "non-dropping-particle" : "", "parse-names" : false, "suffix" : "" }, { "dropping-particle" : "", "family" : "Revenga", "given" : "Carmen", "non-dropping-particle" : "", "parse-names" : false, "suffix" : "" } ], "container-title" : "PNAS", "id" : "ITEM-2", "issue" : "45", "issued" : { "date-parts" : [ [ "2016", "11" ] ] }, "page" : "12880-12885", "title" : "Linking freshwater fishery management to global food security and biodiversity conservation", "type" : "article-journal", "volume" : "113" }, "uris" : [ "http://www.mendeley.com/documents/?uuid=0c5c8df8-338e-4ef4-b0f8-ed42f6c4c52c" ] } ], "mendeley" : { "formattedCitation" : "(Wolfgang J Junk, Soares, &amp; Bayley, 2007; P. B. McIntyre, Reidy Liermann, &amp; Revenga, 2016)", "manualFormatting" : "(Junk et al., 2007; McIntyre et al., 2016)", "plainTextFormattedCitation" : "(Wolfgang J Junk, Soares, &amp; Bayley, 2007; P. B. McIntyre, Reidy Liermann, &amp; Revenga, 2016)", "previouslyFormattedCitation" : "(Wolfgang J Junk, Soares, &amp; Bayley, 2007; P. B. McIntyre, Reidy Liermann, &amp; Revenga, 2016)" }, "properties" : { "noteIndex" : 0 }, "schema" : "https://github.com/citation-style-language/schema/raw/master/csl-citation.json" }</w:instrText>
      </w:r>
      <w:r w:rsidRPr="008608AA">
        <w:rPr>
          <w:bCs/>
          <w:color w:val="222222"/>
        </w:rPr>
        <w:fldChar w:fldCharType="separate"/>
      </w:r>
      <w:r w:rsidRPr="008608AA">
        <w:rPr>
          <w:bCs/>
          <w:noProof/>
          <w:color w:val="222222"/>
        </w:rPr>
        <w:t>(Junk et al., 2007; McIntyre et al., 2016)</w:t>
      </w:r>
      <w:r w:rsidRPr="008608AA">
        <w:rPr>
          <w:bCs/>
          <w:color w:val="222222"/>
        </w:rPr>
        <w:fldChar w:fldCharType="end"/>
      </w:r>
      <w:r w:rsidRPr="008608AA">
        <w:rPr>
          <w:bCs/>
          <w:color w:val="222222"/>
        </w:rPr>
        <w:t xml:space="preserve">. However, riverine fish catch is estimated to be low in large North American rivers like the Mississippi, where recreational fisheries dominate commercial or artisanal fisheries </w:t>
      </w:r>
      <w:r w:rsidRPr="008608AA">
        <w:rPr>
          <w:bCs/>
          <w:color w:val="222222"/>
        </w:rPr>
        <w:fldChar w:fldCharType="begin" w:fldLock="1"/>
      </w:r>
      <w:r w:rsidRPr="008608AA">
        <w:rPr>
          <w:bCs/>
          <w:color w:val="222222"/>
        </w:rPr>
        <w:instrText>ADDIN CSL_CITATION { "citationItems" : [ { "id" : "ITEM-1", "itemData" : { "DOI" : "10.1073/pnas.1521540113", "ISBN" : "1091-6490 (Electronic) 0027-8424 (Linking)", "ISSN" : "0027-8424", "PMID" : "27791055", "abstract" : "Fisheries are an essential ecosystem service, but catches from freshwaters are often overlooked. Hundreds of millions of people around the world benefit from low-cost protein, recreation, and commerce provided by freshwater fisheries, particularly in regions where alternative sources of nutrition and employment are scarce. Here, we derive a gridded global map of riverine fisheries and assess its implications for biodiversity conservation, fishery sustainability, and food security. Catches increase with river discharge and human population density, and 90% of global catch comes from river basins with above-average stress levels. Fish richness and catches are positively but not causally correlated, revealing that fishing pressure is most intense in rivers where potential impacts on biodiversity are highest. Merging our catch analysis with nutritional and socioeconomic data, we find that freshwater fisheries provide the equivalent of all dietary animal protein for 158 million people. Poor and undernourished populations are particularly reliant on inland fisheries compared with marine or aquaculture sources. The spatial coincidence of productive freshwater fisheries and low food security highlights the critical role of rivers and lakes in providing locally sourced, low-cost protein. At the same time, intensive fishing in regions where rivers are already degraded by other stressors may undermine efforts to conserve biodiversity. This syndrome of poverty, nutritional deficiency, fishery dependence, and extrinsic threats to biodiverse river ecosystems underscores the high stakes for improving fishery management. Our enhanced spatial data on estimated catches can facilitate the inclusion of inland fisheries in environmental planning to protect both food security and species diversity.", "author" : [ { "dropping-particle" : "", "family" : "McIntyre", "given" : "Peter B", "non-dropping-particle" : "", "parse-names" : false, "suffix" : "" }, { "dropping-particle" : "", "family" : "Reidy Liermann", "given" : "Catherine A", "non-dropping-particle" : "", "parse-names" : false, "suffix" : "" }, { "dropping-particle" : "", "family" : "Revenga", "given" : "Carmen", "non-dropping-particle" : "", "parse-names" : false, "suffix" : "" } ], "container-title" : "PNAS", "id" : "ITEM-1", "issue" : "45", "issued" : { "date-parts" : [ [ "2016", "11" ] ] }, "page" : "12880-12885", "title" : "Linking freshwater fishery management to global food security and biodiversity conservation", "type" : "article-journal", "volume" : "113" }, "uris" : [ "http://www.mendeley.com/documents/?uuid=0c5c8df8-338e-4ef4-b0f8-ed42f6c4c52c" ] } ], "mendeley" : { "formattedCitation" : "(P. B. McIntyre et al., 2016)", "manualFormatting" : "(McIntyre et al., 2016)", "plainTextFormattedCitation" : "(P. B. McIntyre et al., 2016)", "previouslyFormattedCitation" : "(P. B. McIntyre et al., 2016)" }, "properties" : { "noteIndex" : 0 }, "schema" : "https://github.com/citation-style-language/schema/raw/master/csl-citation.json" }</w:instrText>
      </w:r>
      <w:r w:rsidRPr="008608AA">
        <w:rPr>
          <w:bCs/>
          <w:color w:val="222222"/>
        </w:rPr>
        <w:fldChar w:fldCharType="separate"/>
      </w:r>
      <w:r w:rsidRPr="008608AA">
        <w:rPr>
          <w:bCs/>
          <w:noProof/>
          <w:color w:val="222222"/>
        </w:rPr>
        <w:t>(McIntyre et al., 2016)</w:t>
      </w:r>
      <w:r w:rsidRPr="008608AA">
        <w:rPr>
          <w:bCs/>
          <w:color w:val="222222"/>
        </w:rPr>
        <w:fldChar w:fldCharType="end"/>
      </w:r>
      <w:r w:rsidRPr="008608AA">
        <w:rPr>
          <w:bCs/>
          <w:color w:val="222222"/>
        </w:rPr>
        <w:t xml:space="preserve">. Overall, reported inland fish catch in the Americas is low compared to other regions </w:t>
      </w:r>
      <w:r w:rsidRPr="008608AA">
        <w:fldChar w:fldCharType="begin" w:fldLock="1"/>
      </w:r>
      <w:r w:rsidRPr="008608AA">
        <w:instrText>ADDIN CSL_CITATION { "citationItems" : [ { "id" : "ITEM-1", "itemData" : { "author" : [ { "dropping-particle" : "", "family" : "Bennett", "given" : "Elizabeth", "non-dropping-particle" : "", "parse-names" : false, "suffix" : "" }, { "dropping-particle" : "", "family" : "Thorpe", "given" : "Andy", "non-dropping-particle" : "", "parse-names" : false, "suffix" : "" } ], "container-title" : "Tropical River Fisheries Valuation: Background Papers to a Global Synthesis", "editor" : [ { "dropping-particle" : "", "family" : "Neiland", "given" : "A.", "non-dropping-particle" : "", "parse-names" : false, "suffix" : "" }, { "dropping-particle" : "", "family" : "B\u00e9n\u00e9", "given" : "C.", "non-dropping-particle" : "", "parse-names" : false, "suffix" : "" } ], "id" : "ITEM-1", "issued" : { "date-parts" : [ [ "2008" ] ] }, "page" : "3-44", "publisher" : "The WorldFish Center Studies and Reviews", "publisher-place" : "Penang, Malaysia", "title" : "Review of river fisheries valuation in Central and South America", "type" : "chapter" }, "uris" : [ "http://www.mendeley.com/documents/?uuid=3e38795d-cb20-400a-9ce9-bfd6a4f68cd7" ] } ], "mendeley" : { "formattedCitation" : "(Bennett &amp; Thorpe, 2008)", "plainTextFormattedCitation" : "(Bennett &amp; Thorpe, 2008)", "previouslyFormattedCitation" : "(Bennett &amp; Thorpe, 2008)" }, "properties" : { "noteIndex" : 0 }, "schema" : "https://github.com/citation-style-language/schema/raw/master/csl-citation.json" }</w:instrText>
      </w:r>
      <w:r w:rsidRPr="008608AA">
        <w:fldChar w:fldCharType="separate"/>
      </w:r>
      <w:r w:rsidRPr="008608AA">
        <w:rPr>
          <w:noProof/>
        </w:rPr>
        <w:t>(Bennett &amp; Thorpe, 2008)</w:t>
      </w:r>
      <w:r w:rsidRPr="008608AA">
        <w:fldChar w:fldCharType="end"/>
      </w:r>
      <w:r w:rsidRPr="008608AA">
        <w:t>.</w:t>
      </w:r>
    </w:p>
    <w:p w14:paraId="5156943A" w14:textId="5360319D" w:rsidR="004255E7" w:rsidRPr="008608AA" w:rsidRDefault="004255E7" w:rsidP="00E714CA">
      <w:pPr>
        <w:shd w:val="clear" w:color="auto" w:fill="FFFFFF"/>
        <w:spacing w:after="120"/>
        <w:rPr>
          <w:color w:val="222222"/>
        </w:rPr>
      </w:pPr>
      <w:r w:rsidRPr="008608AA">
        <w:t>Status</w:t>
      </w:r>
      <w:r w:rsidR="00C04AD0" w:rsidRPr="008608AA">
        <w:t xml:space="preserve">. </w:t>
      </w:r>
      <w:r w:rsidRPr="008608AA">
        <w:t xml:space="preserve">Much freshwater biodiversity in the Americas is threatened, </w:t>
      </w:r>
      <w:r w:rsidRPr="008608AA">
        <w:rPr>
          <w:color w:val="222222"/>
        </w:rPr>
        <w:t xml:space="preserve">derived largely from catchment land use, water use and direct habitat alterations </w:t>
      </w:r>
      <w:r w:rsidRPr="008608AA">
        <w:rPr>
          <w:color w:val="222222"/>
        </w:rPr>
        <w:fldChar w:fldCharType="begin" w:fldLock="1"/>
      </w:r>
      <w:r w:rsidRPr="008608AA">
        <w:rPr>
          <w:color w:val="222222"/>
        </w:rPr>
        <w:instrText>ADDIN CSL_CITATION { "citationItems" : [ { "id" : "ITEM-1", "itemData" : { "DOI" : "10.1038/nature09549", "ISBN" : "1476-4687 (Electronic)\\r0028-0836 (Linking)", "ISSN" : "0028-0836", "PMID" : "20882010", "abstract" : "Protecting the world's freshwater resources requires diagnosing threats over a broad range of scales, from global to local. Here we present the first worldwide synthesis to jointly consider human and biodiversity perspectives on water security using a spatial framework that quantifies multiple stressors and accounts for downstream impacts. We find that nearly 80% of the world's population is exposed to high levels of threat to water security. Massive investment in water technology enables rich nations to offset high stressor levels without remedying their underlying causes, whereas less wealthy nations remain vulnerable. A similar lack of precautionary investment jeopardizes biodiversity, with habitats associated with 65% of continental discharge classified as moderately to highly threatened. The cumulative threat framework offers a tool for prioritizing policy and management responses to this crisis, and underscores the necessity of limiting threats at their source instead of through costly remediation of symptoms in order to assure global water security for both humans and freshwater biodiversity.", "author" : [ { "dropping-particle" : "", "family" : "V\u00f6r\u00f6smarty", "given" : "C. J.", "non-dropping-particle" : "", "parse-names" : false, "suffix" : "" }, { "dropping-particle" : "", "family" : "McIntyre", "given" : "P. B.", "non-dropping-particle" : "", "parse-names" : false, "suffix" : "" }, { "dropping-particle" : "", "family" : "Gessner", "given" : "M. O.", "non-dropping-particle" : "", "parse-names" : false, "suffix" : "" }, { "dropping-particle" : "", "family" : "Dudgeon", "given" : "D.", "non-dropping-particle" : "", "parse-names" : false, "suffix" : "" }, { "dropping-particle" : "", "family" : "Prusevich", "given" : "A.", "non-dropping-particle" : "", "parse-names" : false, "suffix" : "" }, { "dropping-particle" : "", "family" : "Green", "given" : "P.", "non-dropping-particle" : "", "parse-names" : false, "suffix" : "" }, { "dropping-particle" : "", "family" : "Glidden", "given" : "S.", "non-dropping-particle" : "", "parse-names" : false, "suffix" : "" }, { "dropping-particle" : "", "family" : "Bunn", "given" : "S. E.", "non-dropping-particle" : "", "parse-names" : false, "suffix" : "" }, { "dropping-particle" : "", "family" : "Sullivan", "given" : "C. A.", "non-dropping-particle" : "", "parse-names" : false, "suffix" : "" }, { "dropping-particle" : "", "family" : "Liermann", "given" : "C. Reidy", "non-dropping-particle" : "", "parse-names" : false, "suffix" : "" }, { "dropping-particle" : "", "family" : "Davies", "given" : "P. M.", "non-dropping-particle" : "", "parse-names" : false, "suffix" : "" } ], "container-title" : "Nature", "id" : "ITEM-1", "issue" : "7315", "issued" : { "date-parts" : [ [ "2010" ] ] }, "page" : "555-561", "title" : "Global threats to human water security and river biodiversity", "type" : "article-journal", "volume" : "467" }, "uris" : [ "http://www.mendeley.com/documents/?uuid=0eca5de1-1bc7-471f-815c-fed10c67f2b3" ] } ], "mendeley" : { "formattedCitation" : "(V\u00f6r\u00f6smarty et al., 2010)", "manualFormatting" : "(V\u00f6r\u00f6smarty et al., 2010)", "plainTextFormattedCitation" : "(V\u00f6r\u00f6smarty et al., 2010)", "previouslyFormattedCitation" : "(V\u00f6r\u00f6smarty et al., 2010)" }, "properties" : { "noteIndex" : 0 }, "schema" : "https://github.com/citation-style-language/schema/raw/master/csl-citation.json" }</w:instrText>
      </w:r>
      <w:r w:rsidRPr="008608AA">
        <w:rPr>
          <w:color w:val="222222"/>
        </w:rPr>
        <w:fldChar w:fldCharType="separate"/>
      </w:r>
      <w:r w:rsidRPr="008608AA">
        <w:rPr>
          <w:noProof/>
          <w:color w:val="222222"/>
        </w:rPr>
        <w:t>(Vörösmarty et al., 2010)</w:t>
      </w:r>
      <w:r w:rsidRPr="008608AA">
        <w:rPr>
          <w:color w:val="222222"/>
        </w:rPr>
        <w:fldChar w:fldCharType="end"/>
      </w:r>
      <w:r w:rsidRPr="008608AA">
        <w:rPr>
          <w:color w:val="222222"/>
        </w:rPr>
        <w:t xml:space="preserve"> (see Chapter 4 for discussion of drivers). </w:t>
      </w:r>
      <w:r w:rsidRPr="008608AA">
        <w:t>Some 23% for the Nearctic and 22% for the Neotropics of freshwater mammals, amphibians, reptiles, fishes, crabs and crayfish collectively fall here. The well-studied North American biogeographical region freshwater fish fauna in the 20</w:t>
      </w:r>
      <w:r w:rsidRPr="008608AA">
        <w:rPr>
          <w:vertAlign w:val="superscript"/>
        </w:rPr>
        <w:t>th</w:t>
      </w:r>
      <w:r w:rsidRPr="008608AA">
        <w:t xml:space="preserve"> century had the highest extinction rate worldwide among vertebrates </w:t>
      </w:r>
      <w:r w:rsidRPr="008608AA">
        <w:fldChar w:fldCharType="begin" w:fldLock="1"/>
      </w:r>
      <w:r w:rsidRPr="008608AA">
        <w:instrText>ADDIN CSL_CITATION { "citationItems" : [ { "id" : "ITEM-1", "itemData" : { "DOI" : "10.1525/bio.2012.62.9.5", "ISSN" : "00063568", "abstract" : "Widespread evidence shows that the modern rates of extinction in many plants and animals exceed background rates in the fossil record. In the present article, I investigate this issue with regard to North American freshwater fishes. From 1898 to 2006, 57 taxa became extinct, and three distinct populations were extirpated from the continent. Since 1989, the numbers of extinct North American fishes have increased by 25%. From the end of the nineteenth century to the present, modern extinctions varied by decade but significantly increased after 1950 (post-1950s mean = 7.5 extinct taxa per decade). In the twentieth century, freshwater fishes had the highest extinction rate worldwide among vertebrates. The modern extinction rate for North American freshwater fishes is conservatively estimated to be 877 times greater than the background extinction rate for freshwater fishes (one extinction every 3 million years). Reasonable estimates project that future increases in extinctions will range from 53 to 86 species by 2050.", "author" : [ { "dropping-particle" : "", "family" : "Burkhead", "given" : "Noel M.", "non-dropping-particle" : "", "parse-names" : false, "suffix" : "" } ], "container-title" : "BioScience", "id" : "ITEM-1", "issued" : { "date-parts" : [ [ "2012", "9" ] ] }, "page" : "798-808", "title" : "Extinction rates in North American freshwater fishes, 1900\u20132010", "type" : "article-journal", "volume" : "62" }, "uris" : [ "http://www.mendeley.com/documents/?uuid=d2416bea-4ba2-4b15-89eb-d47fcbb8e924" ] } ], "mendeley" : { "formattedCitation" : "(Burkhead, 2012)", "plainTextFormattedCitation" : "(Burkhead, 2012)", "previouslyFormattedCitation" : "(Burkhead, 2012)" }, "properties" : { "noteIndex" : 0 }, "schema" : "https://github.com/citation-style-language/schema/raw/master/csl-citation.json" }</w:instrText>
      </w:r>
      <w:r w:rsidRPr="008608AA">
        <w:fldChar w:fldCharType="separate"/>
      </w:r>
      <w:r w:rsidRPr="008608AA">
        <w:rPr>
          <w:noProof/>
        </w:rPr>
        <w:t>(Burkhead, 2012)</w:t>
      </w:r>
      <w:r w:rsidRPr="008608AA">
        <w:fldChar w:fldCharType="end"/>
      </w:r>
      <w:r w:rsidRPr="008608AA">
        <w:t xml:space="preserve">. Some 72% of freshwater mussels in the USA and Canada were considered imperiled as of the early 1990s </w:t>
      </w:r>
      <w:r w:rsidRPr="008608AA">
        <w:fldChar w:fldCharType="begin" w:fldLock="1"/>
      </w:r>
      <w:r w:rsidRPr="008608AA">
        <w:instrText>ADDIN CSL_CITATION { "citationItems" : [ { "id" : "ITEM-1", "itemData" : { "DOI" : "10.1577/1548-8446(1993)018&lt;0006:CSOFMO&gt;2.0.CO;2", "ISBN" : "0363-2415", "ISSN" : "0363-2415", "abstract" : "The American Fisheries Society (AFS) herein provides a list of all native freshwater mussels (families Margaritiferidae and Unionidae) in the United States and Canada. This report also provides state and provincial distributions; a comprehensive review of the conservation status of all taxa; and references on biology, conservation, and distribution of freshwater mussels. The list includes 297 native freshwater mussels, of which 213 taxa (71.7%) are considered endangered, threatened, or of special concern. Twenty-one taxa (7.1%) are listed as endangered but possibly extinct, 77 (20.6%) as endangered but extant, 43 (14.5%) as threatened, 72 (24.2%) as of special concern, 14 (4.7%) as undetermined, and only 70 (23.6%) as currently stable. The primary reasons for the decline of freshwater mussels are habitat destruction from dams, channel modification, siltation, and the introduction of nonindigenous mollusks. The high numbers of imperiled freshwater mussels in the United States and Canada, which harbor the most diverse fauna in the world, portend a trajectory toward an extinction crisis that, if unchecked, will severely impoverish one of our richest components of aquatic biodiversity.", "author" : [ { "dropping-particle" : "", "family" : "Williams", "given" : "James D.", "non-dropping-particle" : "", "parse-names" : false, "suffix" : "" }, { "dropping-particle" : "", "family" : "Warren Jr", "given" : "Melvin L.", "non-dropping-particle" : "", "parse-names" : false, "suffix" : "" }, { "dropping-particle" : "", "family" : "Cummings", "given" : "Kevin S.", "non-dropping-particle" : "", "parse-names" : false, "suffix" : "" }, { "dropping-particle" : "", "family" : "Harris", "given" : "John L.", "non-dropping-particle" : "", "parse-names" : false, "suffix" : "" }, { "dropping-particle" : "", "family" : "Neves", "given" : "Richard J.", "non-dropping-particle" : "", "parse-names" : false, "suffix" : "" } ], "container-title" : "Fisheries", "id" : "ITEM-1", "issue" : "9", "issued" : { "date-parts" : [ [ "1993" ] ] }, "page" : "6-22", "title" : "Conservation status of freshwater mussels of the United States and Canada", "type" : "article-journal", "volume" : "18" }, "uris" : [ "http://www.mendeley.com/documents/?uuid=e3cefff9-7f45-4730-8083-d970dc65a21d" ] } ], "mendeley" : { "formattedCitation" : "(J. D. Williams, Warren Jr, Cummings, Harris, &amp; Neves, 1993)", "manualFormatting" : "(Williams et al., 1993)", "plainTextFormattedCitation" : "(J. D. Williams, Warren Jr, Cummings, Harris, &amp; Neves, 1993)", "previouslyFormattedCitation" : "(J. D. Williams, Warren Jr, Cummings, Harris, &amp; Neves, 1993)" }, "properties" : { "noteIndex" : 0 }, "schema" : "https://github.com/citation-style-language/schema/raw/master/csl-citation.json" }</w:instrText>
      </w:r>
      <w:r w:rsidRPr="008608AA">
        <w:fldChar w:fldCharType="separate"/>
      </w:r>
      <w:r w:rsidRPr="008608AA">
        <w:rPr>
          <w:noProof/>
        </w:rPr>
        <w:t>(Williams et al., 1993)</w:t>
      </w:r>
      <w:r w:rsidRPr="008608AA">
        <w:fldChar w:fldCharType="end"/>
      </w:r>
      <w:r w:rsidRPr="008608AA">
        <w:t xml:space="preserve">. In Central America, 42% of </w:t>
      </w:r>
      <w:r w:rsidR="001F02A4" w:rsidRPr="008608AA">
        <w:t xml:space="preserve">ca. 500 </w:t>
      </w:r>
      <w:r w:rsidRPr="008608AA">
        <w:t xml:space="preserve">known amphibian species have been assessed as threatened, with stream-dependent species at particular risk </w:t>
      </w:r>
      <w:r w:rsidRPr="008608AA">
        <w:fldChar w:fldCharType="begin" w:fldLock="1"/>
      </w:r>
      <w:r w:rsidRPr="008608AA">
        <w:instrText>ADDIN CSL_CITATION { "citationItems" : [ { "id" : "ITEM-1", "itemData" : { "DOI" : "10.1643/CH-15-300", "ISBN" : "0045-8511", "ISSN" : "0045-8511", "abstract" : "Central America hosts a diverse, unique, and imperiled amphibian fauna, and for decades Central America been amajor epicenter of research into amphibian decline and conservation. In this critical and quantitative review, we synthesize current knowledge regarding amphibian decline and conservation in the seven countries that constitute Central America. There are 495 currently recognized amphibian species known from the region, distributed among the three extant orders, 16 families, and 69 genera\u2014though description of new species continues to occur at a rapid pace. Central America\u2019s amphibian fauna is unique: 251 species are restricted to the region, and amphibian diversity varies among the major biogeographic provinces and climatic zones found in Central America. We use data generated by the International Union for the Conservation of Nature (IUCN) to evaluate trends in extinction risk among Central American amphibians. As of 2014, there are 207 amphibian species considered threatened by the IUCN, and threat status varies according to taxonomic groupings, biogeographical association, elevation, and life history variables. Major threats to Central American amphibians include both conventional threats (habitat modification, habitat fragmentation, overharvesting, and invasive species) as well as emerging threats that operate on large spatial scales (pollution, emerging infectious diseases, UV-B radiation, and climate change). We conducted a quantitative literature review to document conservation research and to show trends in research activity. While the number of published studies on amphibian conservation increases each year, there are pronounced biogeographic biases in the distribution of published research, and most research is conducted by scientists at institutions outside of Central America with limited involvement of host-nation biologists in amphibian research. We synthesize empirical studies of conservation impacts to amphibians in Central America from habitat modification and fragmentation, overharvesting, invasive species, pollution, UV-B radiation, chytridiomycosis and other amphibian pathogens, climate change, and synergistic interactions among these threats. Much research in the past decade has focused on chytridiomycosis and the amphibian chytrid fungus (Batrachochytrium dendrobatidis), with far fewer studies on habitat modification, other amphibian pathogens, or climate change impacts to amphibians. We describe ongoing conservation actions \u2026", "author" : [ { "dropping-particle" : "", "family" : "Whitfield", "given" : "Steven M.", "non-dropping-particle" : "", "parse-names" : false, "suffix" : "" }, { "dropping-particle" : "", "family" : "Lips", "given" : "Karen R.", "non-dropping-particle" : "", "parse-names" : false, "suffix" : "" }, { "dropping-particle" : "", "family" : "Donnelly", "given" : "Maureen A.", "non-dropping-particle" : "", "parse-names" : false, "suffix" : "" } ], "container-title" : "Copeia", "id" : "ITEM-1", "issue" : "2", "issued" : { "date-parts" : [ [ "2016", "5" ] ] }, "page" : "351-379", "publisher" : "The American Society of Ichthyologists and Herpetologists", "title" : "Amphibian decline and conservation in Central America", "type" : "article-journal", "volume" : "104" }, "uris" : [ "http://www.mendeley.com/documents/?uuid=a9df1900-ae97-4a30-b24e-f8c63ba394a4" ] } ], "mendeley" : { "formattedCitation" : "(Whitfield, Lips, &amp; Donnelly, 2016)", "manualFormatting" : "(Whitfield et al., 2016)", "plainTextFormattedCitation" : "(Whitfield, Lips, &amp; Donnelly, 2016)", "previouslyFormattedCitation" : "(Whitfield, Lips, &amp; Donnelly, 2016)" }, "properties" : { "noteIndex" : 0 }, "schema" : "https://github.com/citation-style-language/schema/raw/master/csl-citation.json" }</w:instrText>
      </w:r>
      <w:r w:rsidRPr="008608AA">
        <w:fldChar w:fldCharType="separate"/>
      </w:r>
      <w:r w:rsidRPr="008608AA">
        <w:rPr>
          <w:noProof/>
        </w:rPr>
        <w:t>(Whitfield et al., 2016)</w:t>
      </w:r>
      <w:r w:rsidRPr="008608AA">
        <w:fldChar w:fldCharType="end"/>
      </w:r>
      <w:r w:rsidRPr="008608AA">
        <w:t xml:space="preserve">. </w:t>
      </w:r>
      <w:r w:rsidRPr="008608AA">
        <w:rPr>
          <w:color w:val="222222"/>
        </w:rPr>
        <w:t xml:space="preserve">Regions with low threat are remote areas in northern Canada, Alaska, and the Amazon. </w:t>
      </w:r>
    </w:p>
    <w:p w14:paraId="01815CED" w14:textId="609568DE" w:rsidR="004255E7" w:rsidRPr="008608AA" w:rsidRDefault="004255E7" w:rsidP="00E714CA">
      <w:pPr>
        <w:shd w:val="clear" w:color="auto" w:fill="FFFFFF"/>
        <w:spacing w:after="120"/>
      </w:pPr>
      <w:r w:rsidRPr="008608AA">
        <w:t>Recent trends</w:t>
      </w:r>
      <w:r w:rsidR="00C04AD0" w:rsidRPr="008608AA">
        <w:t xml:space="preserve">. </w:t>
      </w:r>
      <w:r w:rsidRPr="008608AA">
        <w:t xml:space="preserve">In North America (including Mexico), since 1989, the number of threatened freshwater fishes has increased by 25%; extinctions peaked after 1950 with 7.5 extinct taxa per decade post-1950 </w:t>
      </w:r>
      <w:r w:rsidRPr="008608AA">
        <w:fldChar w:fldCharType="begin" w:fldLock="1"/>
      </w:r>
      <w:r w:rsidRPr="008608AA">
        <w:instrText>ADDIN CSL_CITATION { "citationItems" : [ { "id" : "ITEM-1", "itemData" : { "DOI" : "10.1525/bio.2012.62.9.5", "ISSN" : "00063568", "abstract" : "Widespread evidence shows that the modern rates of extinction in many plants and animals exceed background rates in the fossil record. In the present article, I investigate this issue with regard to North American freshwater fishes. From 1898 to 2006, 57 taxa became extinct, and three distinct populations were extirpated from the continent. Since 1989, the numbers of extinct North American fishes have increased by 25%. From the end of the nineteenth century to the present, modern extinctions varied by decade but significantly increased after 1950 (post-1950s mean = 7.5 extinct taxa per decade). In the twentieth century, freshwater fishes had the highest extinction rate worldwide among vertebrates. The modern extinction rate for North American freshwater fishes is conservatively estimated to be 877 times greater than the background extinction rate for freshwater fishes (one extinction every 3 million years). Reasonable estimates project that future increases in extinctions will range from 53 to 86 species by 2050.", "author" : [ { "dropping-particle" : "", "family" : "Burkhead", "given" : "Noel M.", "non-dropping-particle" : "", "parse-names" : false, "suffix" : "" } ], "container-title" : "BioScience", "id" : "ITEM-1", "issued" : { "date-parts" : [ [ "2012", "9" ] ] }, "page" : "798-808", "title" : "Extinction rates in North American freshwater fishes, 1900\u20132010", "type" : "article-journal", "volume" : "62" }, "uris" : [ "http://www.mendeley.com/documents/?uuid=d2416bea-4ba2-4b15-89eb-d47fcbb8e924" ] } ], "mendeley" : { "formattedCitation" : "(Burkhead, 2012)", "plainTextFormattedCitation" : "(Burkhead, 2012)", "previouslyFormattedCitation" : "(Burkhead, 2012)" }, "properties" : { "noteIndex" : 0 }, "schema" : "https://github.com/citation-style-language/schema/raw/master/csl-citation.json" }</w:instrText>
      </w:r>
      <w:r w:rsidRPr="008608AA">
        <w:fldChar w:fldCharType="separate"/>
      </w:r>
      <w:r w:rsidRPr="008608AA">
        <w:rPr>
          <w:noProof/>
        </w:rPr>
        <w:t>(Burkhead, 2012)</w:t>
      </w:r>
      <w:r w:rsidRPr="008608AA">
        <w:fldChar w:fldCharType="end"/>
      </w:r>
      <w:r w:rsidRPr="008608AA">
        <w:t xml:space="preserve">. This level </w:t>
      </w:r>
      <w:r w:rsidR="001F02A4" w:rsidRPr="008608AA">
        <w:t xml:space="preserve">of </w:t>
      </w:r>
      <w:r w:rsidRPr="008608AA">
        <w:t>e</w:t>
      </w:r>
      <w:r w:rsidRPr="008608AA">
        <w:rPr>
          <w:color w:val="222222"/>
        </w:rPr>
        <w:t xml:space="preserve">xtinction gives reason for great concern. </w:t>
      </w:r>
      <w:r w:rsidRPr="008608AA">
        <w:t xml:space="preserve">In the Caribbean native fish species continue to decline and be extirpated with dam building, pollution and overharvesting exerting considerable pressure </w:t>
      </w:r>
      <w:r w:rsidRPr="008608AA">
        <w:fldChar w:fldCharType="begin" w:fldLock="1"/>
      </w:r>
      <w:r w:rsidRPr="008608AA">
        <w:instrText>ADDIN CSL_CITATION { "citationItems" : [ { "id" : "ITEM-1", "itemData" : { "DOI" : "10.1577/M10-058.1", "ISBN" : "0275-5947", "ISSN" : "0275-5947", "abstract" : "We collected and compiled length and weight information from four countries and one commonwealth to develop standard weight (W(s)) equations for three amphidromous fish species native to the Caribbean and Gulf of Mexico regions: mountain mullet Agonostomus monticola (N = 9,768 individuals, 52 populations), river goby Awaous banana (N = 1,847 individuals, 62 populations), and bigmouth sleeper Gobiomorus dormitor (N = 2,983 individuals, 53 populations). Linear and quadratic W(s) equations for three quartiles (25%, median, 75%) are presented for these three species. The length-weight relationship from eight lentic bigmouth sleeper populations was significantly different from that of lotic populations, reflecting higher weights of juvenile fish ({&lt;} 70 mm total length) in lentic environments. Thus, independent W(s) equations were developed for lotic populations of bigmouth sleepers. W(s) equations were not developed from lentic bigmouth sleeper populations alone due to the low number of applicable populations caused by life history constraints; the equation from combined lentic and lotic populations is suggested for application to lentic bigmouth sleeper populations. These morphometric relationships for amphidromous fishes may improve the ability to assess existing and potential sport fisheries and allow ecological assessment based on fish condition.", "author" : [ { "dropping-particle" : "", "family" : "Cooney", "given" : "Patrick B", "non-dropping-particle" : "", "parse-names" : false, "suffix" : "" }, { "dropping-particle" : "", "family" : "Kwak", "given" : "Thomas J", "non-dropping-particle" : "", "parse-names" : false, "suffix" : "" } ], "container-title" : "North American Journal of Fisheries Management", "id" : "ITEM-1", "issue" : "5", "issued" : { "date-parts" : [ [ "2010" ] ] }, "page" : "1203-1209", "title" : "Development of standard weight equations for Caribbean and Gulf of Mexico amphidromous fishes", "type" : "article-journal", "volume" : "30" }, "uris" : [ "http://www.mendeley.com/documents/?uuid=41235d70-35f0-4f4a-84e6-90b9ab317498" ] } ], "mendeley" : { "formattedCitation" : "(Cooney &amp; Kwak, 2010)", "plainTextFormattedCitation" : "(Cooney &amp; Kwak, 2010)", "previouslyFormattedCitation" : "(Cooney &amp; Kwak, 2010)" }, "properties" : { "noteIndex" : 0 }, "schema" : "https://github.com/citation-style-language/schema/raw/master/csl-citation.json" }</w:instrText>
      </w:r>
      <w:r w:rsidRPr="008608AA">
        <w:fldChar w:fldCharType="separate"/>
      </w:r>
      <w:r w:rsidRPr="008608AA">
        <w:rPr>
          <w:noProof/>
        </w:rPr>
        <w:t>(Cooney &amp; Kwak, 2010)</w:t>
      </w:r>
      <w:r w:rsidRPr="008608AA">
        <w:fldChar w:fldCharType="end"/>
      </w:r>
      <w:r w:rsidRPr="008608AA">
        <w:t xml:space="preserve">. In the 1970s, a noticeable decline in populations of freshwater turtles in the Amazon was observed </w:t>
      </w:r>
      <w:r w:rsidRPr="008608AA">
        <w:fldChar w:fldCharType="begin" w:fldLock="1"/>
      </w:r>
      <w:r w:rsidRPr="008608AA">
        <w:instrText>ADDIN CSL_CITATION { "citationItems" : [ { "id" : "ITEM-1", "itemData" : { "DOI" : "10.1177/1940082916667139", "ISSN" : "1940-0829", "abstract" : "\u00a9 The Author(s) 2016.A change in seasonal flooding cycles in the Amazon may negatively impact nesting success of the Giant South American Turtle (Podocnemis expansa). Our aim was to devise a technique that could be replicated in the entire Amazon basin, for monitoring alterations in fluvial cycles and their effects on turtle nest mortality. We mapped the spatial distribution and height of P. expansa nests and tested the effects of different inundation scenarios within the Trombetas River Biological Reserve, Para state, Brazil. We also used historical data on water level and hatchling production to test whether the sharp decline in the Trombetas River P. expansa population over the past thirty years was related to detected changes in the flood pulse. Our models indicate that an increase of 1.5m in the water level is sufficient to decrease the time of exposure to less than the minimum required for incubation and hatching (55 days above the water) in 50% of the nesting area. This model explains the low hatchling production in dry seasons when the total nesting site exposure was less than 200 days. Since 1971, there was an average decline of 15 days per decade in sandbank exposure during the nesting season (a total of 62 days from 1971 to 2015). However, the decrease in sandbank exposure was not significantly correlated with the sharp decline in hatchling production. Changes to the water cycle in combination with the main sources of decline (overharvest, construction of dams, and dredging of riverbeds) might have an accumulative effect on P. expansa populations.", "author" : [ { "dropping-particle" : "", "family" : "Eisemberg", "given" : "Carla Camilo", "non-dropping-particle" : "", "parse-names" : false, "suffix" : "" }, { "dropping-particle" : "", "family" : "Machado Balestra", "given" : "Rafael Ant\u00f4nio", "non-dropping-particle" : "", "parse-names" : false, "suffix" : "" }, { "dropping-particle" : "", "family" : "Famelli", "given" : "Shirley", "non-dropping-particle" : "", "parse-names" : false, "suffix" : "" }, { "dropping-particle" : "", "family" : "Pereira", "given" : "Fernanda Freda", "non-dropping-particle" : "", "parse-names" : false, "suffix" : "" }, { "dropping-particle" : "", "family" : "Diniz Bernardes", "given" : "Virg\u00ednia Campos", "non-dropping-particle" : "", "parse-names" : false, "suffix" : "" }, { "dropping-particle" : "", "family" : "Vogt", "given" : "Richard C.", "non-dropping-particle" : "", "parse-names" : false, "suffix" : "" } ], "container-title" : "Tropical Conservation Science", "id" : "ITEM-1", "issue" : "October-December issue", "issued" : { "date-parts" : [ [ "2016", "10" ] ] }, "page" : "1-12", "publisher" : "SAGE Publications Inc", "title" : "Vulnerability of giant South American turtle (&lt;i&gt;Podocnemis expansa&lt;/i&gt;) nesting habitat to climate-change-induced alterations to fluvial cycles", "type" : "article-journal" }, "uris" : [ "http://www.mendeley.com/documents/?uuid=e6204eea-c22c-4883-9db8-7d96c03b7e5d" ] } ], "mendeley" : { "formattedCitation" : "(Eisemberg et al., 2016)", "plainTextFormattedCitation" : "(Eisemberg et al., 2016)", "previouslyFormattedCitation" : "(Eisemberg et al., 2016)" }, "properties" : { "noteIndex" : 0 }, "schema" : "https://github.com/citation-style-language/schema/raw/master/csl-citation.json" }</w:instrText>
      </w:r>
      <w:r w:rsidRPr="008608AA">
        <w:fldChar w:fldCharType="separate"/>
      </w:r>
      <w:r w:rsidRPr="008608AA">
        <w:rPr>
          <w:noProof/>
        </w:rPr>
        <w:t>(Eisemberg et al., 2016)</w:t>
      </w:r>
      <w:r w:rsidRPr="008608AA">
        <w:fldChar w:fldCharType="end"/>
      </w:r>
      <w:r w:rsidRPr="008608AA">
        <w:t xml:space="preserve">. Amphibian population declines in Mesoamerica and South America have been documented largely beginning in the 1970s–1990s, with the majority in the 1980s </w:t>
      </w:r>
      <w:r w:rsidRPr="008608AA">
        <w:fldChar w:fldCharType="begin" w:fldLock="1"/>
      </w:r>
      <w:r w:rsidRPr="008608AA">
        <w:instrText>ADDIN CSL_CITATION { "citationItems" : [ { "id" : "ITEM-1", "itemData" : { "DOI" : "10.1111/j.1523-1739.2001.00218.x", "ISBN" : "1523-1739", "ISSN" : "1523-1739", "abstract" : "Abstract: Although dramatic amphibian population declines have been reported worldwide, our understanding of the extent of the declines in Latin America, where amphibian diversity is high, is limited to a few well-documented studies. To better understand the geographic extent of declines, their possible causes, and the measures needed to improve Latin American scientists' ability to research the phenomenon and make effective management recommendations, we convened three regional workshops with 88 Latin American herpetologists and conservationists. Population declines are widespread in Latin America. At least 13 countries have experienced declines, and in 40 cases species are now thought to be extinct or extirpated in a country where they once occurred. Declines or extinctions have affected 30 genera and nine families of amphibians. Most declines have occurred in remote highlands, above 500 m in elevation in Central America and above 1000 m in the Andes. Most documented declines occurred in the 1980s. Of the possible causes studied to date, climate change appears to be important at one site and chytrid fungal disease has been identified at sites in three countries. Although many monitoring studies are currently underway in a variety of habitats, most studies are recent and of short duration. In a signed resolution, workshop participants called for greater collaboration and communication among scientists working in Latin America to understand the geographic extent of population declines and the distribution of possible causal factors. In situ conservation is important to protect habitats, but captive-rearing programs for species subject to imminent extinction are also needed. Better understanding of the taxonomy and natural history of amphibians and more funding for research and monitoring are critical to developing a scientific basis for management action to arrest and reverse population declines. Resumen: A pesar de las dram\u00e1ticas disminuciones en las poblaciones de anfibios que se han reportado a nivel mundial, nuestro conocimiento sobre la extensi\u00f3n de las disminuciones en Latinoam\u00e9rica, donde la diversidad de anfibios es alta, se encuentra limitado a unos pocos estudios bien documentados. Para conocer mejor la extensi\u00f3n geogr\u00e1fica de las disminuciones, las posibles causas y las medidas necesarias para mejorar la capacidad de los cient\u00edficos latinoamericanos para investigar el fen\u00f3meno y realizar recomendaciones de manejo efectivas, llevamos a cabo tr\u2026", "author" : [ { "dropping-particle" : "", "family" : "Young", "given" : "Bruce E.", "non-dropping-particle" : "", "parse-names" : false, "suffix" : "" }, { "dropping-particle" : "", "family" : "Lips", "given" : "Karen R.", "non-dropping-particle" : "", "parse-names" : false, "suffix" : "" }, { "dropping-particle" : "", "family" : "Reaser", "given" : "Jamie K.", "non-dropping-particle" : "", "parse-names" : false, "suffix" : "" }, { "dropping-particle" : "", "family" : "Ib\u00e1\u00f1ez", "given" : "Roberto", "non-dropping-particle" : "", "parse-names" : false, "suffix" : "" }, { "dropping-particle" : "", "family" : "Salas", "given" : "Antonio W.", "non-dropping-particle" : "", "parse-names" : false, "suffix" : "" }, { "dropping-particle" : "", "family" : "Cede\u00f1o", "given" : "J. Rogelio", "non-dropping-particle" : "", "parse-names" : false, "suffix" : "" }, { "dropping-particle" : "", "family" : "Coloma", "given" : "Luis A.", "non-dropping-particle" : "", "parse-names" : false, "suffix" : "" }, { "dropping-particle" : "", "family" : "Ron", "given" : "Santiago", "non-dropping-particle" : "", "parse-names" : false, "suffix" : "" }, { "dropping-particle" : "", "family" : "Marca", "given" : "Enrique", "non-dropping-particle" : "La", "parse-names" : false, "suffix" : "" }, { "dropping-particle" : "", "family" : "Meyer", "given" : "John R.", "non-dropping-particle" : "", "parse-names" : false, "suffix" : "" }, { "dropping-particle" : "", "family" : "Mu\u00f1oz", "given" : "Antonio", "non-dropping-particle" : "", "parse-names" : false, "suffix" : "" }, { "dropping-particle" : "", "family" : "Bola\u00f1os", "given" : "Federico", "non-dropping-particle" : "", "parse-names" : false, "suffix" : "" }, { "dropping-particle" : "", "family" : "Chaves", "given" : "Gerardo", "non-dropping-particle" : "", "parse-names" : false, "suffix" : "" }, { "dropping-particle" : "", "family" : "Romo", "given" : "David", "non-dropping-particle" : "", "parse-names" : false, "suffix" : "" } ], "container-title" : "Conservation Biology", "id" : "ITEM-1", "issue" : "5", "issued" : { "date-parts" : [ [ "2001", "10" ] ] }, "page" : "1213-1223", "publisher" : "Blackwell Science Inc", "title" : "Population declines and priorities for amphibian conservation in Latin America", "type" : "article-journal", "volume" : "15" }, "uris" : [ "http://www.mendeley.com/documents/?uuid=25bbd5f6-b0bd-4609-9db9-648a64cd16c3" ] } ], "mendeley" : { "formattedCitation" : "(B. E. Young et al., 2001)", "manualFormatting" : "(Young et al., 2001)", "plainTextFormattedCitation" : "(B. E. Young et al., 2001)", "previouslyFormattedCitation" : "(B. E. Young et al., 2001)" }, "properties" : { "noteIndex" : 0 }, "schema" : "https://github.com/citation-style-language/schema/raw/master/csl-citation.json" }</w:instrText>
      </w:r>
      <w:r w:rsidRPr="008608AA">
        <w:fldChar w:fldCharType="separate"/>
      </w:r>
      <w:r w:rsidRPr="008608AA">
        <w:rPr>
          <w:noProof/>
        </w:rPr>
        <w:t>(Young et al., 2001)</w:t>
      </w:r>
      <w:r w:rsidRPr="008608AA">
        <w:fldChar w:fldCharType="end"/>
      </w:r>
      <w:r w:rsidRPr="008608AA">
        <w:t xml:space="preserve">. Freshwater mussel extinctions have been documented in the USA from the beginning of the 20th century, with a peak of eight extinctions in the 1920s through the 1940s and seven documented extinctions in the 1970s </w:t>
      </w:r>
      <w:r w:rsidRPr="008608AA">
        <w:fldChar w:fldCharType="begin" w:fldLock="1"/>
      </w:r>
      <w:r w:rsidRPr="008608AA">
        <w:instrText>ADDIN CSL_CITATION { "citationItems" : [ { "id" : "ITEM-1", "itemData" : { "DOI" : "10.1093/acprof:oso/9780199535095.003.0005", "ISBN" : "9780191715754", "abstract" : "Humans have had profound impacts on the ecology of North America both before and since colonization by Europeans. Modern-day human impacts extend to nearly every type of habitat, but evidence for pre-Columbian human impacts is limited almost exclusively to", "author" : [ { "dropping-particle" : "", "family" : "Haag", "given" : "Wendell R.", "non-dropping-particle" : "", "parse-names" : false, "suffix" : "" } ], "container-title" : "Holocene Extinctions", "editor" : [ { "dropping-particle" : "", "family" : "Turvey", "given" : "S.", "non-dropping-particle" : "", "parse-names" : false, "suffix" : "" } ], "id" : "ITEM-1", "issued" : { "date-parts" : [ [ "2009" ] ] }, "page" : "107-128", "publisher" : "Oxford University Press", "publisher-place" : "Oxford, UK", "title" : "Past and future patterns of freshwater mussel extinctions in North America during the Holocene", "type" : "chapter" }, "uris" : [ "http://www.mendeley.com/documents/?uuid=c8c6af27-8389-461b-8b3c-0b2218a818a4" ] } ], "mendeley" : { "formattedCitation" : "(Haag, 2009)", "plainTextFormattedCitation" : "(Haag, 2009)", "previouslyFormattedCitation" : "(Haag, 2009)" }, "properties" : { "noteIndex" : 0 }, "schema" : "https://github.com/citation-style-language/schema/raw/master/csl-citation.json" }</w:instrText>
      </w:r>
      <w:r w:rsidRPr="008608AA">
        <w:fldChar w:fldCharType="separate"/>
      </w:r>
      <w:r w:rsidRPr="008608AA">
        <w:rPr>
          <w:noProof/>
        </w:rPr>
        <w:t>(Haag, 2009)</w:t>
      </w:r>
      <w:r w:rsidRPr="008608AA">
        <w:fldChar w:fldCharType="end"/>
      </w:r>
      <w:r w:rsidRPr="008608AA">
        <w:t xml:space="preserve">. </w:t>
      </w:r>
    </w:p>
    <w:p w14:paraId="2C5B417F" w14:textId="77777777" w:rsidR="00E714CA" w:rsidRPr="008608AA" w:rsidRDefault="00E714CA" w:rsidP="00E714CA">
      <w:pPr>
        <w:shd w:val="clear" w:color="auto" w:fill="FFFFFF"/>
        <w:spacing w:after="120"/>
        <w:rPr>
          <w:color w:val="222222"/>
        </w:rPr>
      </w:pPr>
    </w:p>
    <w:p w14:paraId="5AD69A22" w14:textId="60761046" w:rsidR="004255E7" w:rsidRPr="008608AA" w:rsidRDefault="004255E7" w:rsidP="00BE4235">
      <w:pPr>
        <w:pStyle w:val="Heading4"/>
        <w:rPr>
          <w:lang w:val="en-US"/>
        </w:rPr>
      </w:pPr>
      <w:bookmarkStart w:id="935" w:name="_Toc502927344"/>
      <w:bookmarkStart w:id="936" w:name="_Toc517393298"/>
      <w:bookmarkStart w:id="937" w:name="_Toc517719039"/>
      <w:bookmarkStart w:id="938" w:name="_Toc517796996"/>
      <w:r w:rsidRPr="008608AA">
        <w:rPr>
          <w:lang w:val="en-US"/>
        </w:rPr>
        <w:t xml:space="preserve">Patterns </w:t>
      </w:r>
      <w:r w:rsidRPr="008608AA">
        <w:t>and</w:t>
      </w:r>
      <w:r w:rsidRPr="008608AA">
        <w:rPr>
          <w:lang w:val="en-US"/>
        </w:rPr>
        <w:t xml:space="preserve"> trends in alien and </w:t>
      </w:r>
      <w:r w:rsidRPr="008608AA">
        <w:t>invasive</w:t>
      </w:r>
      <w:r w:rsidRPr="008608AA">
        <w:rPr>
          <w:lang w:val="en-US"/>
        </w:rPr>
        <w:t xml:space="preserve"> species</w:t>
      </w:r>
      <w:bookmarkEnd w:id="935"/>
      <w:bookmarkEnd w:id="936"/>
      <w:bookmarkEnd w:id="937"/>
      <w:bookmarkEnd w:id="938"/>
      <w:r w:rsidRPr="008608AA">
        <w:rPr>
          <w:rFonts w:eastAsia="Cambria"/>
          <w:lang w:val="en-US"/>
        </w:rPr>
        <w:t xml:space="preserve"> </w:t>
      </w:r>
    </w:p>
    <w:p w14:paraId="75E3E05E" w14:textId="7410B5D3" w:rsidR="004255E7" w:rsidRPr="008608AA" w:rsidRDefault="004255E7" w:rsidP="00E714CA">
      <w:pPr>
        <w:widowControl w:val="0"/>
        <w:autoSpaceDE w:val="0"/>
        <w:autoSpaceDN w:val="0"/>
        <w:adjustRightInd w:val="0"/>
        <w:spacing w:after="120"/>
      </w:pPr>
      <w:r w:rsidRPr="008608AA">
        <w:t>Status and recent trends</w:t>
      </w:r>
      <w:r w:rsidR="00C04AD0" w:rsidRPr="008608AA">
        <w:t xml:space="preserve">. </w:t>
      </w:r>
      <w:r w:rsidRPr="008608AA">
        <w:t xml:space="preserve">Data on freshwater alien species is scattered, making it difficult to provide an overall picture for the Americas and its subregions. Where databases are available, numbers of alien species can be high, as seen in over 1000 species in the USA (plants excluded) </w:t>
      </w:r>
      <w:r w:rsidRPr="008608AA">
        <w:fldChar w:fldCharType="begin" w:fldLock="1"/>
      </w:r>
      <w:r w:rsidRPr="008608AA">
        <w:instrText>ADDIN CSL_CITATION { "citationItems" : [ { "id" : "ITEM-1", "itemData" : { "DOI" : "10.3391/mbi.2015.6.2.06", "ISSN" : "19898649", "abstract" : "The U.S. Geological Survey\u2019s Nonindigenous Aquatic Species (NAS) Databa se has tracked introductions of freshwater aquatic organ isms in the United States for the past four decades. A website provides access to occurrence reports, distribution maps, and fact sheets fo r more than 1,000 species. The site also includes an on-line reporting system and an alert system for new occurrences. We provide an historical o verview of the database, a description of its current capabilities and functionality, and a basic characterization of the data contained withi n the database.", "author" : [ { "dropping-particle" : "", "family" : "Fuller", "given" : "Pam", "non-dropping-particle" : "", "parse-names" : false, "suffix" : "" }, { "dropping-particle" : "", "family" : "Neilson", "given" : "Matthew", "non-dropping-particle" : "", "parse-names" : false, "suffix" : "" } ], "container-title" : "Management of Biological Invasions", "id" : "ITEM-1", "issue" : "2", "issued" : { "date-parts" : [ [ "2015" ] ] }, "page" : "159-170", "title" : "The U.S. Geological Survey\u2019s Nonindigenous Aquatic Species Database: over thirty years of tracking introduced aquatic species in the United States (and counting)", "type" : "article-journal", "volume" : "6" }, "uris" : [ "http://www.mendeley.com/documents/?uuid=824b6263-a9a9-4b5b-9ef0-40c02924cd51" ] } ], "mendeley" : { "formattedCitation" : "(Fuller &amp; Neilson, 2015)", "plainTextFormattedCitation" : "(Fuller &amp; Neilson, 2015)", "previouslyFormattedCitation" : "(Fuller &amp; Neilson, 2015)" }, "properties" : { "noteIndex" : 0 }, "schema" : "https://github.com/citation-style-language/schema/raw/master/csl-citation.json" }</w:instrText>
      </w:r>
      <w:r w:rsidRPr="008608AA">
        <w:fldChar w:fldCharType="separate"/>
      </w:r>
      <w:r w:rsidRPr="008608AA">
        <w:rPr>
          <w:noProof/>
        </w:rPr>
        <w:t>(Fuller &amp; Neilson, 2015)</w:t>
      </w:r>
      <w:r w:rsidRPr="008608AA">
        <w:fldChar w:fldCharType="end"/>
      </w:r>
      <w:r w:rsidRPr="008608AA">
        <w:t xml:space="preserve"> and 50 species of fishes (including marine species) in Mexico </w:t>
      </w:r>
      <w:r w:rsidRPr="008608AA">
        <w:fldChar w:fldCharType="begin" w:fldLock="1"/>
      </w:r>
      <w:r w:rsidRPr="008608AA">
        <w:instrText>ADDIN CSL_CITATION { "citationItems" : [ { "id" : "ITEM-1", "itemData" : { "author" : [ { "dropping-particle" : "", "family" : "Mendoza", "given" : "R", "non-dropping-particle" : "", "parse-names" : false, "suffix" : "" }, { "dropping-particle" : "", "family" : "Koleff", "given" : "P", "non-dropping-particle" : "", "parse-names" : false, "suffix" : "" } ], "id" : "ITEM-1", "issued" : { "date-parts" : [ [ "2014" ] ] }, "publisher" : "Comisi\u00f3n Nacional para el Conocimiento y Uso de la Biodiversidad, M\u00e9xico", "publisher-place" : "Mexico City, Mexico", "title" : "Especies acu\u00e1ticas invasoras en M\u00e9xico", "type" : "book" }, "uris" : [ "http://www.mendeley.com/documents/?uuid=7d5c7e63-d235-43a0-a185-9d68efa2647f", "http://www.mendeley.com/documents/?uuid=86e4fc38-9a24-41e5-a45a-84608144ffb6" ] } ], "mendeley" : { "formattedCitation" : "(Mendoza &amp; Koleff, 2014)", "manualFormatting" : "(Mendoza &amp; Koleff, 2014)", "plainTextFormattedCitation" : "(Mendoza &amp; Koleff, 2014)", "previouslyFormattedCitation" : "(Mendoza &amp; Koleff, 2014)" }, "properties" : { "noteIndex" : 0 }, "schema" : "https://github.com/citation-style-language/schema/raw/master/csl-citation.json" }</w:instrText>
      </w:r>
      <w:r w:rsidRPr="008608AA">
        <w:fldChar w:fldCharType="separate"/>
      </w:r>
      <w:r w:rsidRPr="008608AA">
        <w:rPr>
          <w:noProof/>
        </w:rPr>
        <w:t>(Mendoza &amp; Koleff, 2014)</w:t>
      </w:r>
      <w:r w:rsidRPr="008608AA">
        <w:fldChar w:fldCharType="end"/>
      </w:r>
      <w:r w:rsidRPr="008608AA">
        <w:t xml:space="preserve"> (see also Box 3.2). The impacts of aquatic alien species are multiple and can be severe (Table 3.3). The spread of some aquatic invasive </w:t>
      </w:r>
      <w:r w:rsidR="001F02A4" w:rsidRPr="008608AA">
        <w:t xml:space="preserve">alien </w:t>
      </w:r>
      <w:r w:rsidRPr="008608AA">
        <w:t xml:space="preserve">species, moreover, has been very rapid, leaving cause for concern. </w:t>
      </w:r>
    </w:p>
    <w:p w14:paraId="42236F88" w14:textId="43E053CE" w:rsidR="004255E7" w:rsidRPr="008608AA" w:rsidRDefault="004255E7" w:rsidP="00E714CA">
      <w:pPr>
        <w:spacing w:after="120"/>
      </w:pPr>
      <w:r w:rsidRPr="008608AA">
        <w:t xml:space="preserve">In North America, alien freshwater species have been arriving for close to two centuries and continue to arrive. Some of the earliest known introductions occurred in the late 1800s when fish were transported from coast to coast </w:t>
      </w:r>
      <w:r w:rsidRPr="008608AA">
        <w:fldChar w:fldCharType="begin" w:fldLock="1"/>
      </w:r>
      <w:r w:rsidRPr="008608AA">
        <w:instrText>ADDIN CSL_CITATION { "citationItems" : [ { "id" : "ITEM-1", "itemData" : { "ISBN" : "1-56670-449-9(H)", "author" : [ { "dropping-particle" : "", "family" : "Benson", "given" : "A. J.", "non-dropping-particle" : "", "parse-names" : false, "suffix" : "" }, { "dropping-particle" : "", "family" : "Boydstun", "given" : "C. P.", "non-dropping-particle" : "", "parse-names" : false, "suffix" : "" } ], "container-title" : "Nonindigenous Freshwater Organisms: Vectors, Biology, and Impacts", "editor" : [ { "dropping-particle" : "", "family" : "Claudi", "given" : "R.", "non-dropping-particle" : "", "parse-names" : false, "suffix" : "" }, { "dropping-particle" : "", "family" : "Leach", "given" : "J.H.", "non-dropping-particle" : "", "parse-names" : false, "suffix" : "" } ], "id" : "ITEM-1", "issued" : { "date-parts" : [ [ "1999" ] ] }, "page" : "1-31", "publisher" : "Lewis Publishers", "publisher-place" : "Boca Raton, USA", "title" : "Documenting over a century of aquatic introductions in the United States", "type" : "chapter" }, "uris" : [ "http://www.mendeley.com/documents/?uuid=fe09bcf6-5daf-38a5-80f9-9f4c3499b8d2" ] } ], "mendeley" : { "formattedCitation" : "(A. J. Benson &amp; Boydstun, 1999)", "manualFormatting" : "(Benson &amp; Boydstun, 1999)", "plainTextFormattedCitation" : "(A. J. Benson &amp; Boydstun, 1999)", "previouslyFormattedCitation" : "(Benson &amp; Boydstun, 1999)" }, "properties" : { "noteIndex" : 0 }, "schema" : "https://github.com/citation-style-language/schema/raw/master/csl-citation.json" }</w:instrText>
      </w:r>
      <w:r w:rsidRPr="008608AA">
        <w:fldChar w:fldCharType="separate"/>
      </w:r>
      <w:r w:rsidRPr="008608AA">
        <w:rPr>
          <w:noProof/>
        </w:rPr>
        <w:t>(Benson &amp; Boydstun, 1999)</w:t>
      </w:r>
      <w:r w:rsidRPr="008608AA">
        <w:fldChar w:fldCharType="end"/>
      </w:r>
      <w:r w:rsidRPr="008608AA">
        <w:t xml:space="preserve">. Crayfish and other freshwater organisms were moved from the southeastern USA to the western USA to serve as game species or forage for game species. </w:t>
      </w:r>
      <w:r w:rsidRPr="008608AA">
        <w:rPr>
          <w:bCs/>
          <w:color w:val="222222"/>
        </w:rPr>
        <w:t>Temperate piscivorous and carnivorous fish species have been reported to cause much harm to native fish fauna, especially in Cuban freshwaters, Lake Atitlán (Guatemala) and Lake Titicaca (Bolivia and Perú) </w:t>
      </w:r>
      <w:r w:rsidRPr="008608AA">
        <w:rPr>
          <w:bCs/>
          <w:color w:val="222222"/>
        </w:rPr>
        <w:fldChar w:fldCharType="begin" w:fldLock="1"/>
      </w:r>
      <w:r w:rsidRPr="008608AA">
        <w:rPr>
          <w:bCs/>
          <w:color w:val="222222"/>
        </w:rPr>
        <w:instrText>ADDIN CSL_CITATION { "citationItems" : [ { "id" : "ITEM-1", "itemData" : { "ISBN" : "9280723987", "author" : [ { "dropping-particle" : "", "family" : "Revenga", "given" : "Carmen", "non-dropping-particle" : "", "parse-names" : false, "suffix" : "" }, { "dropping-particle" : "", "family" : "Kura", "given" : "Yumiko", "non-dropping-particle" : "", "parse-names" : false, "suffix" : "" } ], "container-title" : "Technical Series No. 11", "id" : "ITEM-1", "issued" : { "date-parts" : [ [ "2003" ] ] }, "publisher" : "Secretariat of the Convention on Biological Diversity", "publisher-place" : "Montreal, Canada", "title" : "Status and Trends of Biodiversity of Inland Water Ecosystems", "type" : "report" }, "uris" : [ "http://www.mendeley.com/documents/?uuid=52b6e5d5-36a8-48e7-8bad-d95f4fcf8d75" ] } ], "mendeley" : { "formattedCitation" : "(Revenga &amp; Kura, 2003)", "manualFormatting" : "(Revenga &amp; Kura, 2003)", "plainTextFormattedCitation" : "(Revenga &amp; Kura, 2003)", "previouslyFormattedCitation" : "(Revenga &amp; Kura, 2003)" }, "properties" : { "noteIndex" : 0 }, "schema" : "https://github.com/citation-style-language/schema/raw/master/csl-citation.json" }</w:instrText>
      </w:r>
      <w:r w:rsidRPr="008608AA">
        <w:rPr>
          <w:bCs/>
          <w:color w:val="222222"/>
        </w:rPr>
        <w:fldChar w:fldCharType="separate"/>
      </w:r>
      <w:r w:rsidRPr="008608AA">
        <w:rPr>
          <w:bCs/>
          <w:noProof/>
          <w:color w:val="222222"/>
        </w:rPr>
        <w:t>(Revenga &amp; Kura, 2003)</w:t>
      </w:r>
      <w:r w:rsidRPr="008608AA">
        <w:rPr>
          <w:bCs/>
          <w:color w:val="222222"/>
        </w:rPr>
        <w:fldChar w:fldCharType="end"/>
      </w:r>
      <w:r w:rsidRPr="008608AA">
        <w:rPr>
          <w:bCs/>
          <w:color w:val="222222"/>
        </w:rPr>
        <w:t xml:space="preserve">. </w:t>
      </w:r>
    </w:p>
    <w:p w14:paraId="647A9822" w14:textId="29691223" w:rsidR="005975AA" w:rsidRPr="008608AA" w:rsidRDefault="004255E7" w:rsidP="00E714CA">
      <w:pPr>
        <w:widowControl w:val="0"/>
        <w:autoSpaceDE w:val="0"/>
        <w:autoSpaceDN w:val="0"/>
        <w:adjustRightInd w:val="0"/>
        <w:spacing w:after="120"/>
      </w:pPr>
      <w:r w:rsidRPr="008608AA">
        <w:rPr>
          <w:bCs/>
          <w:color w:val="222222"/>
        </w:rPr>
        <w:t>The zebra mussel (</w:t>
      </w:r>
      <w:r w:rsidRPr="008608AA">
        <w:rPr>
          <w:rStyle w:val="Emphasis"/>
          <w:shd w:val="clear" w:color="auto" w:fill="FFFFFF"/>
        </w:rPr>
        <w:t>Dreissena polymorpha),</w:t>
      </w:r>
      <w:r w:rsidRPr="008608AA">
        <w:rPr>
          <w:rStyle w:val="Emphasis"/>
          <w:i w:val="0"/>
          <w:shd w:val="clear" w:color="auto" w:fill="FFFFFF"/>
        </w:rPr>
        <w:t xml:space="preserve"> native to Europe, and the Asian clam</w:t>
      </w:r>
      <w:r w:rsidRPr="008608AA">
        <w:rPr>
          <w:rStyle w:val="Emphasis"/>
          <w:shd w:val="clear" w:color="auto" w:fill="FFFFFF"/>
        </w:rPr>
        <w:t xml:space="preserve"> (Corbicula fluminea</w:t>
      </w:r>
      <w:r w:rsidR="00264A3D" w:rsidRPr="008608AA">
        <w:rPr>
          <w:rStyle w:val="Emphasis"/>
          <w:i w:val="0"/>
          <w:shd w:val="clear" w:color="auto" w:fill="FFFFFF"/>
        </w:rPr>
        <w:t xml:space="preserve">) are estimated to cost the </w:t>
      </w:r>
      <w:r w:rsidRPr="008608AA">
        <w:rPr>
          <w:rStyle w:val="Emphasis"/>
          <w:i w:val="0"/>
          <w:shd w:val="clear" w:color="auto" w:fill="FFFFFF"/>
        </w:rPr>
        <w:t xml:space="preserve">$1 billion a year, largely through impacts to infrastructure </w:t>
      </w:r>
      <w:r w:rsidRPr="008608AA">
        <w:rPr>
          <w:rStyle w:val="Emphasis"/>
          <w:i w:val="0"/>
          <w:shd w:val="clear" w:color="auto" w:fill="FFFFFF"/>
        </w:rPr>
        <w:fldChar w:fldCharType="begin" w:fldLock="1"/>
      </w:r>
      <w:r w:rsidRPr="008608AA">
        <w:rPr>
          <w:rStyle w:val="Emphasis"/>
          <w:i w:val="0"/>
          <w:shd w:val="clear" w:color="auto" w:fill="FFFFFF"/>
        </w:rPr>
        <w:instrText>ADDIN CSL_CITATION { "citationItems" : [ { "id" : "ITEM-1", "itemData" : { "DOI" : "10.1016/j.ecolecon.2004.10.002", "ISSN" : "09218009", "abstract" : "Invading alien species in the United States cause major environmental damages and losses adding up to almost $120 billion per year. There are approximately 50,000 foreign species and the number is increasing. About 42% of the species on the Threatened or Endangered species lists are at risk primarily because of alien-invasive species.", "author" : [ { "dropping-particle" : "", "family" : "Pimentel", "given" : "David", "non-dropping-particle" : "", "parse-names" : false, "suffix" : "" }, { "dropping-particle" : "", "family" : "Zuniga", "given" : "Rodolfo", "non-dropping-particle" : "", "parse-names" : false, "suffix" : "" }, { "dropping-particle" : "", "family" : "Morrison", "given" : "Doug", "non-dropping-particle" : "", "parse-names" : false, "suffix" : "" } ], "container-title" : "Ecological Economics", "id" : "ITEM-1", "issue" : "3", "issued" : { "date-parts" : [ [ "2005" ] ] }, "page" : "273-288", "title" : "Update on the environmental and economic costs associated with alien-invasive species in the United States", "type" : "article-journal", "volume" : "52" }, "uris" : [ "http://www.mendeley.com/documents/?uuid=9f16d1fb-596f-49c2-afdf-ea2394f2d718" ] } ], "mendeley" : { "formattedCitation" : "(Pimentel, Zuniga, &amp; Morrison, 2005)", "manualFormatting" : "(Pimentel et al., 2005)", "plainTextFormattedCitation" : "(Pimentel, Zuniga, &amp; Morrison, 2005)", "previouslyFormattedCitation" : "(Pimentel, Zuniga, &amp; Morrison, 2005)" }, "properties" : { "noteIndex" : 0 }, "schema" : "https://github.com/citation-style-language/schema/raw/master/csl-citation.json" }</w:instrText>
      </w:r>
      <w:r w:rsidRPr="008608AA">
        <w:rPr>
          <w:rStyle w:val="Emphasis"/>
          <w:i w:val="0"/>
          <w:shd w:val="clear" w:color="auto" w:fill="FFFFFF"/>
        </w:rPr>
        <w:fldChar w:fldCharType="separate"/>
      </w:r>
      <w:r w:rsidRPr="008608AA">
        <w:rPr>
          <w:rStyle w:val="Emphasis"/>
          <w:i w:val="0"/>
          <w:noProof/>
          <w:shd w:val="clear" w:color="auto" w:fill="FFFFFF"/>
        </w:rPr>
        <w:t>(Pimentel et al., 2005)</w:t>
      </w:r>
      <w:r w:rsidRPr="008608AA">
        <w:rPr>
          <w:rStyle w:val="Emphasis"/>
          <w:i w:val="0"/>
          <w:shd w:val="clear" w:color="auto" w:fill="FFFFFF"/>
        </w:rPr>
        <w:fldChar w:fldCharType="end"/>
      </w:r>
      <w:r w:rsidRPr="008608AA">
        <w:rPr>
          <w:rStyle w:val="Emphasis"/>
          <w:i w:val="0"/>
          <w:shd w:val="clear" w:color="auto" w:fill="FFFFFF"/>
        </w:rPr>
        <w:t xml:space="preserve">. Their spread has been recent, with the first established zebra mussel population recorded in the USA in 1988 </w:t>
      </w:r>
      <w:r w:rsidRPr="008608AA">
        <w:rPr>
          <w:rStyle w:val="Emphasis"/>
          <w:i w:val="0"/>
          <w:shd w:val="clear" w:color="auto" w:fill="FFFFFF"/>
        </w:rPr>
        <w:fldChar w:fldCharType="begin" w:fldLock="1"/>
      </w:r>
      <w:r w:rsidRPr="008608AA">
        <w:rPr>
          <w:rStyle w:val="Emphasis"/>
          <w:i w:val="0"/>
          <w:shd w:val="clear" w:color="auto" w:fill="FFFFFF"/>
        </w:rPr>
        <w:instrText>ADDIN CSL_CITATION { "citationItems" : [ { "id" : "ITEM-1", "itemData" : { "author" : [ { "dropping-particle" : "", "family" : "Benson", "given" : "Amy J", "non-dropping-particle" : "", "parse-names" : false, "suffix" : "" } ], "id" : "ITEM-1", "issued" : { "date-parts" : [ [ "2012" ] ] }, "publisher" : "U.S. Fish and Wildlife Service", "title" : "The Exotic Zebra Mussel", "type" : "article" }, "uris" : [ "http://www.mendeley.com/documents/?uuid=85c794a3-ff70-44b7-8c4a-54c4241ece83" ] } ], "mendeley" : { "formattedCitation" : "(Amy J Benson, 2012)", "manualFormatting" : "(Benson, 2012)", "plainTextFormattedCitation" : "(Amy J Benson, 2012)", "previouslyFormattedCitation" : "(Amy J Benson, 2012)" }, "properties" : { "noteIndex" : 0 }, "schema" : "https://github.com/citation-style-language/schema/raw/master/csl-citation.json" }</w:instrText>
      </w:r>
      <w:r w:rsidRPr="008608AA">
        <w:rPr>
          <w:rStyle w:val="Emphasis"/>
          <w:i w:val="0"/>
          <w:shd w:val="clear" w:color="auto" w:fill="FFFFFF"/>
        </w:rPr>
        <w:fldChar w:fldCharType="separate"/>
      </w:r>
      <w:r w:rsidRPr="008608AA">
        <w:rPr>
          <w:rStyle w:val="Emphasis"/>
          <w:i w:val="0"/>
          <w:noProof/>
          <w:shd w:val="clear" w:color="auto" w:fill="FFFFFF"/>
        </w:rPr>
        <w:t>(Benson, 2012)</w:t>
      </w:r>
      <w:r w:rsidRPr="008608AA">
        <w:rPr>
          <w:rStyle w:val="Emphasis"/>
          <w:i w:val="0"/>
          <w:shd w:val="clear" w:color="auto" w:fill="FFFFFF"/>
        </w:rPr>
        <w:fldChar w:fldCharType="end"/>
      </w:r>
      <w:r w:rsidRPr="008608AA">
        <w:rPr>
          <w:rStyle w:val="Emphasis"/>
          <w:i w:val="0"/>
          <w:shd w:val="clear" w:color="auto" w:fill="FFFFFF"/>
        </w:rPr>
        <w:t xml:space="preserve">. </w:t>
      </w:r>
      <w:r w:rsidRPr="008608AA">
        <w:t xml:space="preserve">Some freshwater invasive species in South America have also spread very rapidly. </w:t>
      </w:r>
      <w:r w:rsidR="00F35FD8" w:rsidRPr="008608AA">
        <w:t xml:space="preserve">For example, the exotic freshwater water-fouling mussel, </w:t>
      </w:r>
      <w:r w:rsidR="00F35FD8" w:rsidRPr="008608AA">
        <w:rPr>
          <w:i/>
        </w:rPr>
        <w:t>Limnoperna fortunei</w:t>
      </w:r>
      <w:r w:rsidR="00F35FD8" w:rsidRPr="008608AA">
        <w:t>, was introduced into Río de la Plata estuary in 1991; from there it spread at a rate of up to 250 km.year</w:t>
      </w:r>
      <w:r w:rsidR="00F35FD8" w:rsidRPr="008608AA">
        <w:rPr>
          <w:vertAlign w:val="superscript"/>
        </w:rPr>
        <w:t xml:space="preserve">-1 </w:t>
      </w:r>
      <w:r w:rsidR="00F35FD8" w:rsidRPr="008608AA">
        <w:t xml:space="preserve">and is now found in freshwater systems in Argentina, Uruguay, Paraguay, Brazil, Bolivia </w:t>
      </w:r>
      <w:r w:rsidR="001F02A4" w:rsidRPr="008608AA">
        <w:fldChar w:fldCharType="begin" w:fldLock="1"/>
      </w:r>
      <w:r w:rsidR="001F02A4" w:rsidRPr="008608AA">
        <w:instrText xml:space="preserve">ADDIN CSL_CITATION { "citationItems" : [ { "id" : "ITEM-1", "itemData" : { "DOI" : "10.1007/978-3-319-13494-9_19", "ISBN" : "978-3-319-13493-2", "author" : [ { "dropping-particle" : "", "family" : "Oliveira", "given" : "Marcia D.", "non-dropping-particle" : "", "parse-names" : false, "suffix" : "" }, { "dropping-particle" : "", "family" : "Campos", "given" : "M\u00f4nica C. S.", "non-dropping-particle" : "", "parse-names" : false, "suffix" : "" }, { "dropping-particle" : "", "family" : "Paolucci", "given" : "Esteban M.", "non-dropping-particle" : "", "parse-names" : false, "suffix" : "" }, { "dropping-particle" : "", "family" : "Mansur", "given" : "Maria C. D.", "non-dropping-particle" : "", "parse-names" : false, "suffix" : "" }, { "dropping-particle" : "", "family" : "Hamilton", "given" : "Stephen K.", "non-dropping-particle" : "", "parse-names" : false, "suffix" : "" } ], "container-title" : "Limnoperna fortunei: the Ecology, Distribution and Control of a Swiftly Spreading Invasive Fouling Mussel", "editor" : [ { "dropping-particle" : "", "family" : "Boltovskoy", "given" : "D.", "non-dropping-particle" : "", "parse-names" : false, "suffix" : "" } ], "id" : "ITEM-1", "issued" : { "date-parts" : [ [ "2015" ] ] }, "page" : "333-355", "publisher" : "Springer International Publishing", "title" : "Colonization and spread of Limnoperna fortunei in South America", "type" : "chapter" }, "uris" : [ "http://www.mendeley.com/documents/?uuid=18c7ac48-4244-32f5-adba-15423ccdd784" ] }, { "id" : "ITEM-2", "itemData" : { "DOI" : "10.1007/s10530-005-0331-0", "author" : [ { "dropping-particle" : "", "family" : "Darrigran", "given" : "G.", "non-dropping-particle" : "", "parse-names" : false, "suffix" : "" }, { "dropping-particle" : "", "family" : "Ezcurra de Drago", "given" : "I.", "non-dropping-particle" : "", "parse-names" : false, "suffix" : "" } ], "container-title" : "The Nautilus", "id" : "ITEM-2", "issued" : { "date-parts" : [ [ "2000" ] ] }, "page" : "69-73", "title" : "Invasion of Limnoperna fortunei (Dunker, 1857) (Bivalvia: Mytilidae) in America", "type" : "article-journal", "volume" : "114" }, "uris" : [ "http://www.mendeley.com/documents/?uuid=c0293cc2-5855-4447-b9c0-a0389c7ee4e1" ] }, { "id" : "ITEM-3", "itemData" : { "DOI" : "10.1590/S1984-46702012000600004", "author" : [ { "dropping-particle" : "", "family" : "Darrigran", "given" : "G.", "non-dropping-particle" : "", "parse-names" : false, "suffix" : "" }, { "dropping-particle" : "", "family" : "Damborenea", "given" : "C.", "non-dropping-particle" : "", "parse-names" : false, "suffix" : "" }, { "dropping-particle" : "", "family" : "Drago", "given" : "E.C.", "non-dropping-particle" : "", "parse-names" : false, </w:instrText>
      </w:r>
      <w:r w:rsidR="001F02A4" w:rsidRPr="00CE0821">
        <w:rPr>
          <w:lang w:val="es-CO"/>
        </w:rPr>
        <w:instrText>"suffix" : "" }, { "dropping-particle" : "", "family" : "Ezcurra de Drago", "given" : "I.", "non-dropping-particle" : "", "parse-names" : false, "suffix" : "" }, { "dropping-particle" : "", "family" : "Paira", "given" : "A.", "non-dropping-particle" : "", "parse-names" : false, "suffix" : "" }, { "dropping-particle" : "", "family" : "Archuby", "given" : "F.", "non-dropping-particle" : "", "parse-names" : false, "suffix" : "" } ], "container-title" : "Zoolog\u00eda", "id" : "ITEM-3", "issue" : "6", "issued" : { "date-parts" : [ [ "2012" ] ] }, "page" : "531\u2013539", "title" : "Invasion process of &lt;i&gt;Limnoperna fortunei&lt;/i&gt; (Bivalvia: Mytilidae): the case of Uruguay River and emissaries of the Esteros del Iber\u00e1 Wetland, Argentina", "type" : "article-journal", "volume" : "29" }, "uris" : [ "http://www.mendeley.com/documents/?uuid=d3dce839-be7b-430e-ac0b-5138679a0414" ] } ], "mendeley" : { "formattedCitation" : "(Darrigran and Ezcurra de Drago 2000, Darrigran et al. 2012, Oliveira et al. 2015a)", "manualFormatting" : "(Darrigran et al., 2012; Darrigran &amp; Ezcurra de Drago, 2000; Oliveira, Campos et al., 2015)", "plainTextFormattedCitation" : "(Darrigran and Ezcurra de Drago 2000, Darrigran et al. 2012, Oliveira et al. 2015a)", "previouslyFormattedCitation" : "(Darrigran and Ezcurra de Drago 2000, Darrigran et al. 2012, Oliveira et al. 2015a)" }, "properties" : { "noteIndex" : 0 }, "schema" : "https://github.com/citation-style-language/schema/raw/master/csl-citation.json" }</w:instrText>
      </w:r>
      <w:r w:rsidR="001F02A4" w:rsidRPr="008608AA">
        <w:fldChar w:fldCharType="separate"/>
      </w:r>
      <w:r w:rsidR="001F02A4" w:rsidRPr="00CE0821">
        <w:rPr>
          <w:noProof/>
          <w:lang w:val="es-CO"/>
        </w:rPr>
        <w:t>(Darrigran et al., 2012; Darrigran &amp; Ezcurra de Drago, 2000; Oliveira</w:t>
      </w:r>
      <w:r w:rsidR="00E45C8F" w:rsidRPr="00CE0821">
        <w:rPr>
          <w:noProof/>
          <w:lang w:val="es-CO"/>
        </w:rPr>
        <w:t xml:space="preserve"> </w:t>
      </w:r>
      <w:r w:rsidR="001F02A4" w:rsidRPr="00CE0821">
        <w:rPr>
          <w:noProof/>
          <w:lang w:val="es-CO"/>
        </w:rPr>
        <w:t>et al., 2015)</w:t>
      </w:r>
      <w:r w:rsidR="001F02A4" w:rsidRPr="008608AA">
        <w:fldChar w:fldCharType="end"/>
      </w:r>
      <w:r w:rsidR="001F02A4" w:rsidRPr="00CE0821">
        <w:rPr>
          <w:lang w:val="es-CO"/>
        </w:rPr>
        <w:t xml:space="preserve">. </w:t>
      </w:r>
      <w:r w:rsidRPr="008608AA">
        <w:t>This mussel, which is similar to invasive Dreissinids in North America, has altered benthic communities and is predicted to expand further. This example shows that insufficient measures to prevent the introduction of invasive aquatic species can have severe consequences. The most invaded freshwater system in the Americas, and a warning to what can happen without adequate control from the beginning, are the Great Lakes of North America (Box 3.2, Figure 3.9).</w:t>
      </w:r>
      <w:r w:rsidRPr="008608AA">
        <w:rPr>
          <w:rStyle w:val="Emphasis"/>
          <w:shd w:val="clear" w:color="auto" w:fill="FFFFFF"/>
        </w:rPr>
        <w:t xml:space="preserve"> </w:t>
      </w:r>
      <w:r w:rsidRPr="008608AA">
        <w:t xml:space="preserve">Other examples of freshwater invasions are shown in Table 3.3. </w:t>
      </w:r>
    </w:p>
    <w:p w14:paraId="4E2B477D" w14:textId="473E22F2" w:rsidR="004255E7" w:rsidRPr="008608AA" w:rsidRDefault="00870677" w:rsidP="00870677">
      <w:pPr>
        <w:pStyle w:val="Caption"/>
        <w:rPr>
          <w:sz w:val="20"/>
        </w:rPr>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3</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3</w:t>
      </w:r>
      <w:r w:rsidR="000E562E">
        <w:rPr>
          <w:noProof/>
        </w:rPr>
        <w:fldChar w:fldCharType="end"/>
      </w:r>
      <w:r w:rsidRPr="008608AA">
        <w:t xml:space="preserve">. </w:t>
      </w:r>
      <w:r w:rsidR="004255E7" w:rsidRPr="008608AA">
        <w:t xml:space="preserve">Multiple effects of freshwater invasive species in the Americas. See Chapter 4 for additional examples. for additional examples. . </w:t>
      </w:r>
      <w:r w:rsidR="00E714CA" w:rsidRPr="008608AA">
        <w:rPr>
          <w:color w:val="FF0000"/>
          <w:sz w:val="20"/>
          <w:szCs w:val="20"/>
        </w:rPr>
        <w:t>•</w:t>
      </w:r>
      <w:r w:rsidR="004255E7" w:rsidRPr="008608AA">
        <w:t xml:space="preserve"> = negative impact; </w:t>
      </w:r>
      <w:r w:rsidR="00E714CA" w:rsidRPr="008608AA">
        <w:rPr>
          <w:color w:val="92D050"/>
          <w:sz w:val="20"/>
          <w:szCs w:val="20"/>
        </w:rPr>
        <w:t>•</w:t>
      </w:r>
      <w:r w:rsidR="004255E7" w:rsidRPr="008608AA">
        <w:t xml:space="preserve"> = positive impact</w:t>
      </w:r>
      <w:r w:rsidR="001F02A4" w:rsidRPr="008608AA">
        <w:t>; ? • = unsure negative impact</w:t>
      </w:r>
      <w:r w:rsidR="004255E7" w:rsidRPr="008608AA">
        <w:t>.</w:t>
      </w:r>
    </w:p>
    <w:p w14:paraId="265F4533" w14:textId="4804F321" w:rsidR="00E7683B" w:rsidRPr="008608AA" w:rsidRDefault="00B2242D" w:rsidP="003E65F0">
      <w:bookmarkStart w:id="939" w:name="_Toc516922443"/>
      <w:r w:rsidRPr="008608AA">
        <w:rPr>
          <w:noProof/>
          <w:lang w:val="en-GB" w:eastAsia="en-GB"/>
        </w:rPr>
        <w:drawing>
          <wp:inline distT="0" distB="0" distL="0" distR="0" wp14:anchorId="3338D714" wp14:editId="5CD39000">
            <wp:extent cx="5934075" cy="3609975"/>
            <wp:effectExtent l="0" t="0" r="9525" b="9525"/>
            <wp:docPr id="30309" name="Imagen 30309" descr="C:\Users\Alejandro Valderrama\Downloads\Table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5" descr="C:\Users\Alejandro Valderrama\Downloads\Table 3.3.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b="57795"/>
                    <a:stretch/>
                  </pic:blipFill>
                  <pic:spPr bwMode="auto">
                    <a:xfrm>
                      <a:off x="0" y="0"/>
                      <a:ext cx="5934075" cy="3609975"/>
                    </a:xfrm>
                    <a:prstGeom prst="rect">
                      <a:avLst/>
                    </a:prstGeom>
                    <a:noFill/>
                    <a:ln>
                      <a:noFill/>
                    </a:ln>
                    <a:extLst>
                      <a:ext uri="{53640926-AAD7-44D8-BBD7-CCE9431645EC}">
                        <a14:shadowObscured xmlns:a14="http://schemas.microsoft.com/office/drawing/2010/main"/>
                      </a:ext>
                    </a:extLst>
                  </pic:spPr>
                </pic:pic>
              </a:graphicData>
            </a:graphic>
          </wp:inline>
        </w:drawing>
      </w:r>
    </w:p>
    <w:p w14:paraId="2A290FB6" w14:textId="77777777" w:rsidR="003E65F0" w:rsidRPr="008608AA" w:rsidRDefault="003E65F0" w:rsidP="00E714CA">
      <w:pPr>
        <w:pStyle w:val="Caption"/>
      </w:pPr>
    </w:p>
    <w:p w14:paraId="6F949AC2" w14:textId="77777777" w:rsidR="003E65F0" w:rsidRPr="008608AA" w:rsidRDefault="003E65F0" w:rsidP="003E65F0">
      <w:pPr>
        <w:pStyle w:val="Caption"/>
      </w:pPr>
      <w:r w:rsidRPr="008608AA">
        <w:br w:type="page"/>
      </w:r>
    </w:p>
    <w:p w14:paraId="4CCE8ADA" w14:textId="09313866" w:rsidR="00C6517A" w:rsidRPr="008608AA" w:rsidRDefault="00E714CA" w:rsidP="003E65F0">
      <w:pPr>
        <w:pStyle w:val="Caption"/>
        <w:rPr>
          <w:b w:val="0"/>
          <w:sz w:val="20"/>
        </w:rPr>
      </w:pPr>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3</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2</w:t>
      </w:r>
      <w:r w:rsidR="000E562E">
        <w:rPr>
          <w:noProof/>
        </w:rPr>
        <w:fldChar w:fldCharType="end"/>
      </w:r>
      <w:r w:rsidRPr="008608AA">
        <w:t xml:space="preserve">. </w:t>
      </w:r>
      <w:r w:rsidR="00C6517A" w:rsidRPr="008608AA">
        <w:t>The Great Lakes history with invasive species</w:t>
      </w:r>
      <w:r w:rsidR="00C5395F" w:rsidRPr="008608AA">
        <w:t>.</w:t>
      </w:r>
      <w:bookmarkEnd w:id="939"/>
    </w:p>
    <w:tbl>
      <w:tblPr>
        <w:tblStyle w:val="TableGrid"/>
        <w:tblW w:w="5000" w:type="pct"/>
        <w:tblLook w:val="04A0" w:firstRow="1" w:lastRow="0" w:firstColumn="1" w:lastColumn="0" w:noHBand="0" w:noVBand="1"/>
      </w:tblPr>
      <w:tblGrid>
        <w:gridCol w:w="9487"/>
      </w:tblGrid>
      <w:tr w:rsidR="00C6517A" w:rsidRPr="00843724" w14:paraId="2B565F6B" w14:textId="77777777" w:rsidTr="00E714CA">
        <w:trPr>
          <w:trHeight w:val="5032"/>
        </w:trPr>
        <w:tc>
          <w:tcPr>
            <w:tcW w:w="5000" w:type="pct"/>
            <w:tcBorders>
              <w:bottom w:val="single" w:sz="4" w:space="0" w:color="auto"/>
            </w:tcBorders>
          </w:tcPr>
          <w:p w14:paraId="6F047F89" w14:textId="77777777" w:rsidR="00C6517A" w:rsidRPr="00843724" w:rsidRDefault="00C6517A" w:rsidP="00E714CA">
            <w:pPr>
              <w:keepNext/>
              <w:keepLines/>
              <w:spacing w:after="120"/>
              <w:outlineLvl w:val="7"/>
              <w:rPr>
                <w:b/>
                <w:szCs w:val="22"/>
              </w:rPr>
            </w:pPr>
            <w:r w:rsidRPr="00843724">
              <w:rPr>
                <w:szCs w:val="22"/>
              </w:rPr>
              <w:t>The Great Lakes in North America</w:t>
            </w:r>
            <w:r w:rsidRPr="00843724">
              <w:rPr>
                <w:b/>
                <w:szCs w:val="22"/>
              </w:rPr>
              <w:t xml:space="preserve"> </w:t>
            </w:r>
            <w:r w:rsidRPr="00843724">
              <w:rPr>
                <w:szCs w:val="22"/>
              </w:rPr>
              <w:t xml:space="preserve">have accumulated an excess of 165 alien species in what is still an ongoing process (Figure 3.9). Some species have had significant negative impacts on aquatic ecosystems </w:t>
            </w:r>
            <w:r w:rsidRPr="00843724">
              <w:rPr>
                <w:szCs w:val="22"/>
              </w:rPr>
              <w:fldChar w:fldCharType="begin" w:fldLock="1"/>
            </w:r>
            <w:r w:rsidRPr="00843724">
              <w:rPr>
                <w:szCs w:val="22"/>
              </w:rPr>
              <w:instrText>ADDIN CSL_CITATION { "citationItems" : [ { "id" : "ITEM-1", "itemData" : { "author" : [ { "dropping-particle" : "", "family" : "Higgins", "given" : "S.N.", "non-dropping-particle" : "", "parse-names" : false, "suffix" : "" }, { "dropping-particle" : "", "family" : "Zanden", "given" : "M.J.", "non-dropping-particle" : "Vander", "parse-names" : false, "suffix" : "" } ], "container-title" : "Ecological Monographs", "id" : "ITEM-1", "issue" : "2", "issued" : { "date-parts" : [ [ "2010" ] ] }, "page" : "179-196", "title" : "What a difference a species makes: a meta-analysis of dreissenid mussel impacts on freshwater ecosystems", "type" : "article-journal", "volume" : "80" }, "uris" : [ "http://www.mendeley.com/documents/?uuid=270ed654-3f29-42a3-9dd8-0bc45f3f3e6a" ] } ], "mendeley" : { "formattedCitation" : "(Higgins &amp; Vander Zanden, 2010)", "manualFormatting" : "(Higgins &amp; Vander Zanden, 2010)", "plainTextFormattedCitation" : "(Higgins &amp; Vander Zanden, 2010)", "previouslyFormattedCitation" : "(Higgins &amp; Vander Zanden, 2010)" }, "properties" : { "noteIndex" : 0 }, "schema" : "https://github.com/citation-style-language/schema/raw/master/csl-citation.json" }</w:instrText>
            </w:r>
            <w:r w:rsidRPr="00843724">
              <w:rPr>
                <w:szCs w:val="22"/>
              </w:rPr>
              <w:fldChar w:fldCharType="separate"/>
            </w:r>
            <w:r w:rsidRPr="00843724">
              <w:rPr>
                <w:noProof/>
                <w:szCs w:val="22"/>
              </w:rPr>
              <w:t>(Higgins &amp; Vander Zanden, 2010)</w:t>
            </w:r>
            <w:r w:rsidRPr="00843724">
              <w:rPr>
                <w:szCs w:val="22"/>
              </w:rPr>
              <w:fldChar w:fldCharType="end"/>
            </w:r>
            <w:r w:rsidRPr="00843724">
              <w:rPr>
                <w:szCs w:val="22"/>
              </w:rPr>
              <w:t>. Among the most damaging is the sea lamprey (</w:t>
            </w:r>
            <w:r w:rsidRPr="00843724">
              <w:rPr>
                <w:i/>
                <w:szCs w:val="22"/>
              </w:rPr>
              <w:t>Petromyzon marinus</w:t>
            </w:r>
            <w:r w:rsidRPr="00843724">
              <w:rPr>
                <w:szCs w:val="22"/>
              </w:rPr>
              <w:t>), which appeared in the 1830s and spread throughout the Great Lakes during the 20th century, impacting several fisheries. Zebra mussels and quagga mussels, first detected in the late 1980s, create dense colonies that harm ecosystems, harbors and waterways and clog water intakes in water treatment facilities and power plants.</w:t>
            </w:r>
          </w:p>
          <w:p w14:paraId="677FA982" w14:textId="77777777" w:rsidR="00C6517A" w:rsidRPr="00843724" w:rsidRDefault="00B2242D" w:rsidP="00B2242D">
            <w:pPr>
              <w:widowControl w:val="0"/>
              <w:autoSpaceDE w:val="0"/>
              <w:autoSpaceDN w:val="0"/>
              <w:adjustRightInd w:val="0"/>
              <w:jc w:val="center"/>
              <w:rPr>
                <w:rStyle w:val="Emphasis"/>
                <w:i w:val="0"/>
                <w:iCs w:val="0"/>
                <w:szCs w:val="22"/>
              </w:rPr>
            </w:pPr>
            <w:r w:rsidRPr="00843724">
              <w:rPr>
                <w:noProof/>
                <w:szCs w:val="22"/>
                <w:lang w:val="en-GB" w:eastAsia="en-GB"/>
              </w:rPr>
              <w:drawing>
                <wp:inline distT="0" distB="0" distL="0" distR="0" wp14:anchorId="41A2B1E3" wp14:editId="0AA4989E">
                  <wp:extent cx="5753100" cy="3533775"/>
                  <wp:effectExtent l="0" t="0" r="0" b="9525"/>
                  <wp:docPr id="30310" name="Imagen 30310" descr="C:\Users\Alejandro Valderrama\Downloads\Fig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7" descr="C:\Users\Alejandro Valderrama\Downloads\Fig3.9.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r="3050" b="58686"/>
                          <a:stretch/>
                        </pic:blipFill>
                        <pic:spPr bwMode="auto">
                          <a:xfrm>
                            <a:off x="0" y="0"/>
                            <a:ext cx="5753100" cy="3533775"/>
                          </a:xfrm>
                          <a:prstGeom prst="rect">
                            <a:avLst/>
                          </a:prstGeom>
                          <a:noFill/>
                          <a:ln>
                            <a:noFill/>
                          </a:ln>
                          <a:extLst>
                            <a:ext uri="{53640926-AAD7-44D8-BBD7-CCE9431645EC}">
                              <a14:shadowObscured xmlns:a14="http://schemas.microsoft.com/office/drawing/2010/main"/>
                            </a:ext>
                          </a:extLst>
                        </pic:spPr>
                      </pic:pic>
                    </a:graphicData>
                  </a:graphic>
                </wp:inline>
              </w:drawing>
            </w:r>
          </w:p>
          <w:p w14:paraId="1A9D9B2A" w14:textId="08B4BE1C" w:rsidR="00B2242D" w:rsidRPr="00843724" w:rsidRDefault="00B2242D" w:rsidP="00B2242D">
            <w:pPr>
              <w:widowControl w:val="0"/>
              <w:autoSpaceDE w:val="0"/>
              <w:autoSpaceDN w:val="0"/>
              <w:adjustRightInd w:val="0"/>
              <w:jc w:val="center"/>
              <w:rPr>
                <w:rStyle w:val="Emphasis"/>
                <w:i w:val="0"/>
                <w:iCs w:val="0"/>
                <w:szCs w:val="22"/>
              </w:rPr>
            </w:pPr>
          </w:p>
        </w:tc>
      </w:tr>
    </w:tbl>
    <w:p w14:paraId="1E65E5B0" w14:textId="4AD6CF69" w:rsidR="00E714CA" w:rsidRPr="008608AA" w:rsidRDefault="00E714CA" w:rsidP="00E714CA">
      <w:pPr>
        <w:rPr>
          <w:lang w:eastAsia="es-CO"/>
        </w:rPr>
      </w:pPr>
      <w:bookmarkStart w:id="940" w:name="_Toc502927345"/>
      <w:bookmarkStart w:id="941" w:name="_Toc502951166"/>
      <w:bookmarkStart w:id="942" w:name="_Toc502953609"/>
      <w:bookmarkStart w:id="943" w:name="_Toc502954902"/>
      <w:bookmarkStart w:id="944" w:name="_Toc502957709"/>
      <w:bookmarkStart w:id="945" w:name="_Toc502957908"/>
      <w:bookmarkStart w:id="946" w:name="_Toc502958062"/>
      <w:bookmarkStart w:id="947" w:name="_Toc503293110"/>
      <w:bookmarkStart w:id="948" w:name="_Toc503293708"/>
      <w:bookmarkStart w:id="949" w:name="_Toc503293970"/>
      <w:bookmarkStart w:id="950" w:name="_Toc503863363"/>
      <w:bookmarkStart w:id="951" w:name="_Toc503863591"/>
    </w:p>
    <w:p w14:paraId="7CB77C59" w14:textId="77777777" w:rsidR="00E714CA" w:rsidRPr="008608AA" w:rsidRDefault="004255E7" w:rsidP="00E714CA">
      <w:pPr>
        <w:pStyle w:val="Heading3"/>
        <w:rPr>
          <w:lang w:val="en-US"/>
        </w:rPr>
      </w:pPr>
      <w:bookmarkStart w:id="952" w:name="_Toc517393299"/>
      <w:bookmarkStart w:id="953" w:name="_Toc517719040"/>
      <w:bookmarkStart w:id="954" w:name="_Toc517796997"/>
      <w:r w:rsidRPr="008608AA">
        <w:t>Marine</w:t>
      </w:r>
      <w:r w:rsidRPr="008608AA">
        <w:rPr>
          <w:lang w:val="en-US"/>
        </w:rPr>
        <w:t xml:space="preserve"> biodiversity</w:t>
      </w:r>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p>
    <w:p w14:paraId="6092E4B4" w14:textId="262A52BA" w:rsidR="004255E7" w:rsidRPr="008608AA" w:rsidRDefault="004255E7" w:rsidP="008B3BCD">
      <w:r w:rsidRPr="008608AA">
        <w:t xml:space="preserve"> </w:t>
      </w:r>
    </w:p>
    <w:p w14:paraId="7E5CB191" w14:textId="4DA25CB0" w:rsidR="004255E7" w:rsidRPr="008608AA" w:rsidRDefault="004255E7" w:rsidP="00E714CA">
      <w:pPr>
        <w:pStyle w:val="Heading4"/>
        <w:rPr>
          <w:lang w:val="en-US"/>
        </w:rPr>
      </w:pPr>
      <w:bookmarkStart w:id="955" w:name="_Toc502927346"/>
      <w:bookmarkStart w:id="956" w:name="_Toc517393300"/>
      <w:bookmarkStart w:id="957" w:name="_Toc517719041"/>
      <w:bookmarkStart w:id="958" w:name="_Toc517796998"/>
      <w:r w:rsidRPr="008608AA">
        <w:rPr>
          <w:lang w:val="en-US"/>
        </w:rPr>
        <w:t xml:space="preserve">Patterns of diversity for </w:t>
      </w:r>
      <w:r w:rsidRPr="008608AA">
        <w:t>taxonomic</w:t>
      </w:r>
      <w:r w:rsidRPr="008608AA">
        <w:rPr>
          <w:lang w:val="en-US"/>
        </w:rPr>
        <w:t xml:space="preserve"> groups</w:t>
      </w:r>
      <w:bookmarkEnd w:id="955"/>
      <w:bookmarkEnd w:id="956"/>
      <w:bookmarkEnd w:id="957"/>
      <w:bookmarkEnd w:id="958"/>
      <w:r w:rsidRPr="008608AA">
        <w:rPr>
          <w:lang w:val="en-US"/>
        </w:rPr>
        <w:t xml:space="preserve"> </w:t>
      </w:r>
    </w:p>
    <w:p w14:paraId="68CAA493" w14:textId="404FC931" w:rsidR="00E714CA" w:rsidRPr="008608AA" w:rsidRDefault="004255E7" w:rsidP="00E714CA">
      <w:pPr>
        <w:spacing w:after="120"/>
      </w:pPr>
      <w:r w:rsidRPr="008608AA">
        <w:t>Status</w:t>
      </w:r>
      <w:r w:rsidR="00C04AD0" w:rsidRPr="008608AA">
        <w:t xml:space="preserve">. </w:t>
      </w:r>
      <w:r w:rsidRPr="008608AA">
        <w:t xml:space="preserve">Marine life in the Americas is found in the Atlantic, Pacific and Arctic oceans, and in the Caribbean Sea. Atlantic and Pacific offshore and deepwater areas (&gt; 200 m) encompass a range of habitats with a wide diversity of species </w:t>
      </w:r>
      <w:r w:rsidRPr="008608AA">
        <w:fldChar w:fldCharType="begin" w:fldLock="1"/>
      </w:r>
      <w:r w:rsidRPr="008608AA">
        <w:instrText>ADDIN CSL_CITATION { "citationItems" : [ { "id" : "ITEM-1", "itemData" : { "URL" : "http://www.iobis.org/", "author" : [ { "dropping-particle" : "", "family" : "OBIS", "given" : "", "non-dropping-particle" : "", "parse-names" : false, "suffix" : "" } ], "id" : "ITEM-1", "issued" : { "date-parts" : [ [ "0" ] ] }, "title" : "No Title", "type" : "webpage" }, "uris" : [ "http://www.mendeley.com/documents/?uuid=e8f18fff-3341-406e-8987-d4d2f2532f73", "http://www.mendeley.com/documents/?uuid=9bfb9c3d-13d1-4099-aa82-f6caee242e80" ] } ], "mendeley" : { "formattedCitation" : "(OBIS, n.d.)", "manualFormatting" : "(OBIS, n.d.)", "plainTextFormattedCitation" : "(OBIS, n.d.)", "previouslyFormattedCitation" : "(OBIS, n.d.)" }, "properties" : { "noteIndex" : 0 }, "schema" : "https://github.com/citation-style-language/schema/raw/master/csl-citation.json" }</w:instrText>
      </w:r>
      <w:r w:rsidRPr="008608AA">
        <w:fldChar w:fldCharType="separate"/>
      </w:r>
      <w:r w:rsidRPr="008608AA">
        <w:rPr>
          <w:noProof/>
        </w:rPr>
        <w:t>(OBIS, n.d.)</w:t>
      </w:r>
      <w:r w:rsidRPr="008608AA">
        <w:fldChar w:fldCharType="end"/>
      </w:r>
      <w:r w:rsidRPr="008608AA">
        <w:t xml:space="preserve"> (Figure 3.10). Exceptional diversity is being revealed for the oceans. Including all taxonomic groups (except bacteria and phytoplankton), 12,046 marine species have been found in the Caribbean realm </w:t>
      </w:r>
      <w:r w:rsidRPr="008608AA">
        <w:fldChar w:fldCharType="begin" w:fldLock="1"/>
      </w:r>
      <w:r w:rsidRPr="008608AA">
        <w:instrText>ADDIN CSL_CITATION { "citationItems" : [ { "id" : "ITEM-1", "itemData" : { "DOI" : "10.1371/journal.pone.0011916", "ISBN" : "1932-6203 (Electronic)\\r1932-6203 (Linking)", "ISSN" : "19326203", "PMID" : "20689856", "abstract" : "This paper provides an analysis of the distribution patterns of marine biodiversity and summarizes the major activities of the Census of Marine Life program in the Caribbean region. The coastal Caribbean region is a large marine ecosystem (LME) characterized by coral reefs, mangroves, and seagrasses, but including other environments, such as sandy beaches and rocky shores. These tropical ecosystems incorporate a high diversity of associated flora and fauna, and the nations that border the Caribbean collectively encompass a major global marine biodiversity hot spot. We analyze the state of knowledge of marine biodiversity based on the geographic distribution of georeferenced species records and regional taxonomic lists. A total of 12,046 marine species are reported in this paper for the Caribbean region. These include representatives from 31 animal phyla, two plant phyla, one group of Chromista, and three groups of Protoctista. Sampling effort has been greatest in shallow, nearshore waters, where there is relatively good coverage of species records; offshore and deep environments have been less studied. Additionally, we found that the currently accepted classification of marine ecoregions of the Caribbean did not apply for the benthic distributions of five relatively well known taxonomic groups. Coastal species richness tends to concentrate along the Antillean arc (Cuba to the southernmost Antilles) and the northern coast of South America (Venezuela-Colombia), while no pattern can be observed in the deep sea with the available data. Several factors make it impossible to determine the extent to which these distribution patterns accurately reflect the true situation for marine biodiversity in general: (1) highly localized concentrations of collecting effort and a lack of collecting in many areas and ecosystems, (2) high variability among collecting methods, (3) limited taxonomic expertise for many groups, and (4) differing levels of activity in the study of different taxa.", "author" : [ { "dropping-particle" : "", "family" : "Miloslavich", "given" : "Patricia", "non-dropping-particle" : "", "parse-names" : false, "suffix" : "" }, { "dropping-particle" : "", "family" : "D\u00edaz", "given" : "Juan Manuel", "non-dropping-particle" : "", "parse-names" : false, "suffix" : "" }, { "dropping-particle" : "", "family" : "Klein", "given" : "Eduardo", "non-dropping-particle" : "", "parse-names" : false, "suffix" : "" }, { "dropping-particle" : "", "family" : "Alvarado", "given" : "Juan Jos\u00e9", "non-dropping-particle" : "", "parse-names" : false, "suffix" : "" }, { "dropping-particle" : "", "family" : "D\u00edaz", "given" : "Cristina", "non-dropping-particle" : "", "parse-names" : false, "suffix" : "" }, { "dropping-particle" : "", "family" : "Gobin", "given" : "Judith", "non-dropping-particle" : "", "parse-names" : false, "suffix" : "" }, { "dropping-particle" : "", "family" : "Escobar-Briones", "given" : "Elva", "non-dropping-particle" : "", "parse-names" : false, "suffix" : "" }, { "dropping-particle" : "", "family" : "Cruz-Motta", "given" : "Juan Jos\u00e9", "non-dropping-particle" : "", "parse-names" : false, "suffix" : "" }, { "dropping-particle" : "", "family" : "Weil", "given" : "Ernesto", "non-dropping-particle" : "", "parse-names" : false, "suffix" : "" }, { "dropping-particle" : "", "family" : "Cort\u00e9s", "given" : "Jorge", "non-dropping-particle" : "", "parse-names" : false, "suffix" : "" }, { "dropping-particle" : "", "family" : "Bastidas", "given" : "Ana Carolina", "non-dropping-particle" : "", "parse-names" : false, "suffix" : "" }, { "dropping-particle" : "", "family" : "Robertson", "given" : "Ross", "non-dropping-particle" : "", "parse-names" : false, "suffix" : "" }, { "dropping-particle" : "", "family" : "Zapata", "given" : "Fernando", "non-dropping-particle" : "", "parse-names" : false, "suffix" : "" }, { "dropping-particle" : "", "family" : "Mart\u00edn", "given" : "Alberto", "non-dropping-particle" : "", "parse-names" : false, "suffix" : "" }, { "dropping-particle" : "", "family" : "Castillo", "given" : "Julio", "non-dropping-particle" : "", "parse-names" : false, "suffix" : "" }, { "dropping-particle" : "", "family" : "Kazandjian", "given" : "Aniuska", "non-dropping-particle" : "", "parse-names" : false, "suffix" : "" }, { "dropping-particle" : "", "family" : "Ortiz", "given" : "Manuel", "non-dropping-particle" : "", "parse-names" : false, "suffix" : "" } ], "container-title" : "PLoS ONE", "id" : "ITEM-1", "issue" : "8", "issued" : { "date-parts" : [ [ "2010" ] ] }, "page" : "e11916", "title" : "Marine biodiversity in the Caribbean: regional estimates and distribution patterns", "type" : "article-journal", "volume" : "5" }, "uris" : [ "http://www.mendeley.com/documents/?uuid=075016f2-6238-45db-a7f8-c342c9c635de" ] } ], "mendeley" : { "formattedCitation" : "(Patricia Miloslavich et al., 2010)", "manualFormatting" : "(Miloslavich et al., 2010)", "plainTextFormattedCitation" : "(Patricia Miloslavich et al., 2010)", "previouslyFormattedCitation" : "(Patricia Miloslavich et al., 2010)" }, "properties" : { "noteIndex" : 0 }, "schema" : "https://github.com/citation-style-language/schema/raw/master/csl-citation.json" }</w:instrText>
      </w:r>
      <w:r w:rsidRPr="008608AA">
        <w:fldChar w:fldCharType="separate"/>
      </w:r>
      <w:r w:rsidRPr="008608AA">
        <w:rPr>
          <w:noProof/>
        </w:rPr>
        <w:t>(Miloslavich et al., 2010)</w:t>
      </w:r>
      <w:r w:rsidRPr="008608AA">
        <w:fldChar w:fldCharType="end"/>
      </w:r>
      <w:r w:rsidRPr="008608AA">
        <w:t xml:space="preserve">, 10,201 in the Humboldt Current System, 6,714 in the Tropical East Pacific, 9,103 on the Brazilian shelves, 2,743 in the Tropical West Atlantic, and 3,776 on the Patagonian shelf in South America </w:t>
      </w:r>
      <w:r w:rsidRPr="008608AA">
        <w:fldChar w:fldCharType="begin" w:fldLock="1"/>
      </w:r>
      <w:r w:rsidRPr="008608AA">
        <w:instrText>ADDIN CSL_CITATION { "citationItems" : [ { "id" : "ITEM-1", "itemData" : { "author" : [ { "dropping-particle" : "", "family" : "Miloslavich", "given" : "P.", "non-dropping-particle" : "", "parse-names" : false, "suffix" : "" }, { "dropping-particle" : "", "family" : "Klein", "given" : "E.", "non-dropping-particle" : "", "parse-names" : false, "suffix" : "" }, { "dropping-particle" : "", "family" : "Diaz", "given" : "J. M.", "non-dropping-particle" : "", "parse-names" : false, "suffix" : "" }, { "dropping-particle" : "", "family" : "Hernandez", "given" : "C. E.", "non-dropping-particle" : "", "parse-names" : false, "suffix" : "" }, { "dropping-particle" : "", "family" : "Bigatti", "given" : "G.", "non-dropping-particle" : "", "parse-names" : false, "suffix" : "" }, { "dropping-particle" : "", "family" : "Campos", "given" : "L.", "non-dropping-particle" : "", "parse-names" : false, "suffix" : "" }, { "dropping-particle" : "", "family" : "Artigas", "given" : "F.", "non-dropping-particle" : "", "parse-names" : false, "suffix" : "" }, { "dropping-particle" : "", "family" : "Castillo", "given" : "J.", "non-dropping-particle" : "", "parse-names" : false, "suffix" : "" }, { "dropping-particle" : "", "family" : "Penchaszadeh", "given" : "P. E.", "non-dropping-particle" : "", "parse-names" : false, "suffix" : "" }, { "dropping-particle" : "", "family" : "Neill", "given" : "P. E.", "non-dropping-particle" : "", "parse-names" : false, "suffix" : "" }, { "dropping-particle" : "", "family" : "Carranza", "given" : "A.", "non-dropping-particle" : "", "parse-names" : false, "suffix" : "" }, { "dropping-particle" : "V.", "family" : "Retana", "given" : "M.", "non-dropping-particle" : "", "parse-names" : false, "suffix" : "" }, { "dropping-particle" : "", "family" : "Astarloa", "given" : "J. M. D.", "non-dropping-particle" : "de", "parse-names" : false, "suffix" : "" }, { "dropping-particle" : "", "family" : "Lewis", "given" : "M.", "non-dropping-particle" : "", "parse-names" : false, "suffix" : "" }, { "dropping-particle" : "", "family" : "Yorio", "given" : "P.", "non-dropping-particle" : "", "parse-names" : false, "suffix" : "" }, { "dropping-particle" : "", "family" : "Piriz", "given" : "M. L.", "non-dropping-particle" : "", "parse-names" : false, "suffix" : "" }, { "dropping-particle" : "", "family" : "Rodriguez", "given" : "D.", "non-dropping-particle" : "", "parse-names" : false, "suffix" : "" }, { "dropping-particle" : "", "family" : "Yoneshigue-Valentin", "given" : "Y.", "non-dropping-particle" : "", "parse-names" : false, "suffix" : "" }, { "dropping-particle" : "", "family" : "Gamboa", "given" : "L.", "non-dropping-particle" : "", "parse-names" : false, "suffix" : "" }, { "dropping-particle" : "", "family" : "Martin", "given" : "A.", "non-dropping-particle" : "", "parse-names" : false, "suffix" : "" } ], "container-title" : "PLoS ONE", "id" : "ITEM-1", "issue" : "1", "issued" : { "date-parts" : [ [ "2011" ] ] }, "page" : "e14631", "title" : "Marine biodiversity in the Atlantic and Pacific Coasts of South America: Knowledge and gaps", "type" : "article-journal", "volume" : "6" }, "uris" : [ "http://www.mendeley.com/documents/?uuid=246eab2d-4b4d-4a5b-84d6-71f834bbfe2d" ] } ], "mendeley" : { "formattedCitation" : "(P. Miloslavich et al., 2011)", "manualFormatting" : "(Miloslavich et al., 2011)", "plainTextFormattedCitation" : "(P. Miloslavich et al., 2011)", "previouslyFormattedCitation" : "(P. Miloslavich et al., 2011)" }, "properties" : { "noteIndex" : 0 }, "schema" : "https://github.com/citation-style-language/schema/raw/master/csl-citation.json" }</w:instrText>
      </w:r>
      <w:r w:rsidRPr="008608AA">
        <w:fldChar w:fldCharType="separate"/>
      </w:r>
      <w:r w:rsidRPr="008608AA">
        <w:rPr>
          <w:noProof/>
        </w:rPr>
        <w:t>(Miloslavich et al., 2011)</w:t>
      </w:r>
      <w:r w:rsidRPr="008608AA">
        <w:fldChar w:fldCharType="end"/>
      </w:r>
      <w:r w:rsidRPr="008608AA">
        <w:t xml:space="preserve">. These numbers are considered to be conservative </w:t>
      </w:r>
      <w:r w:rsidR="0032208B" w:rsidRPr="008608AA">
        <w:t>(</w:t>
      </w:r>
      <w:r w:rsidRPr="008608AA">
        <w:t>see 3.6</w:t>
      </w:r>
      <w:r w:rsidR="0032208B" w:rsidRPr="008608AA">
        <w:t>)</w:t>
      </w:r>
      <w:r w:rsidRPr="008608AA">
        <w:t>. Marine mammals in the Americas include 74 cetacean species, 22 pinnipeds, 3 sirenians, 3 mustelids and the polar bear. Additionally, six of the world’s seven sea turtles and more than 400 chondrichthyan species occur in the Americas.</w:t>
      </w:r>
      <w:r w:rsidRPr="008608AA">
        <w:rPr>
          <w:color w:val="FF0000"/>
        </w:rPr>
        <w:t xml:space="preserve"> </w:t>
      </w:r>
      <w:r w:rsidRPr="008608AA">
        <w:t xml:space="preserve">The Arctic Ocean, in its waters, ice and seafloor, hosts unique biodiversity of many thousands of species, including mammals, seabirds, fish, invertebrates, and algae </w:t>
      </w:r>
      <w:r w:rsidRPr="008608AA">
        <w:fldChar w:fldCharType="begin" w:fldLock="1"/>
      </w:r>
      <w:r w:rsidRPr="008608AA">
        <w:instrText>ADDIN CSL_CITATION { "citationItems" : [ { "id" : "ITEM-1", "itemData" : { "DOI" : "10.1002/9781444325508", "ISBN" : "9781405192972", "author" : [ { "dropping-particle" : "", "family" : "Gradinger", "given" : "Rolf", "non-dropping-particle" : "", "parse-names" : false, "suffix" : "" }, { "dropping-particle" : "", "family" : "Bluhm", "given" : "Bodil A.", "non-dropping-particle" : "", "parse-names" : false, "suffix" : "" }, { "dropping-particle" : "", "family" : "Hopcroft", "given" : "Russell R.", "non-dropping-particle" : "", "parse-names" : false, "suffix" : "" }, { "dropping-particle" : "V.", "family" : "Gebruk", "given" : "Andrey", "non-dropping-particle" : "", "parse-names" : false, "suffix" : "" }, { "dropping-particle" : "", "family" : "Kosobokova", "given" : "Ksenia", "non-dropping-particle" : "", "parse-names" : false, "suffix" : "" }, { "dropping-particle" : "", "family" : "Sirenko", "given" : "Boris", "non-dropping-particle" : "", "parse-names" : false, "suffix" : "" }, { "dropping-particle" : "", "family" : "W\u0119s\u0142awski", "given" : "Jan Marcin", "non-dropping-particle" : "", "parse-names" : false, "suffix" : "" } ], "container-title" : "Life in the World's Oceans: Diversity, Distribution, and Abundance", "editor" : [ { "dropping-particle" : "", "family" : "McIntyre", "given" : "A.D.", "non-dropping-particle" : "", "parse-names" : false, "suffix" : "" } ], "id" : "ITEM-1", "issued" : { "date-parts" : [ [ "2010" ] ] }, "page" : "183-202", "publisher" : "Willey Blackwell Publishing", "publisher-place" : "New Jersey, USA", "title" : "Marine life in the Arctic", "type" : "chapter" }, "uris" : [ "http://www.mendeley.com/documents/?uuid=1a759e49-9502-4527-97ae-448b6a003e0a" ] } ], "mendeley" : { "formattedCitation" : "(Gradinger et al., 2010)", "plainTextFormattedCitation" : "(Gradinger et al., 2010)", "previouslyFormattedCitation" : "(Gradinger et al., 2010)" }, "properties" : { "noteIndex" : 0 }, "schema" : "https://github.com/citation-style-language/schema/raw/master/csl-citation.json" }</w:instrText>
      </w:r>
      <w:r w:rsidRPr="008608AA">
        <w:fldChar w:fldCharType="separate"/>
      </w:r>
      <w:r w:rsidRPr="008608AA">
        <w:rPr>
          <w:noProof/>
        </w:rPr>
        <w:t>(Gradinger et al., 2010)</w:t>
      </w:r>
      <w:r w:rsidRPr="008608AA">
        <w:fldChar w:fldCharType="end"/>
      </w:r>
      <w:r w:rsidRPr="008608AA">
        <w:t xml:space="preserve"> in a rapidly changing environment (see Chapter 4). The Caribbean basin deep-sea species database </w:t>
      </w:r>
      <w:r w:rsidRPr="008608AA">
        <w:fldChar w:fldCharType="begin" w:fldLock="1"/>
      </w:r>
      <w:r w:rsidRPr="008608AA">
        <w:instrText>ADDIN CSL_CITATION { "citationItems" : [ { "id" : "ITEM-1", "itemData" : { "URL" : "http://www.iobis.org/", "author" : [ { "dropping-particle" : "", "family" : "OBIS", "given" : "", "non-dropping-particle" : "", "parse-names" : false, "suffix" : "" } ], "id" : "ITEM-1", "issued" : { "date-parts" : [ [ "0" ] ] }, "title" : "No Title", "type" : "webpage" }, "uris" : [ "http://www.mendeley.com/documents/?uuid=e8f18fff-3341-406e-8987-d4d2f2532f73", "http://www.mendeley.com/documents/?uuid=9bfb9c3d-13d1-4099-aa82-f6caee242e80" ] } ], "mendeley" : { "formattedCitation" : "(OBIS, n.d.)", "manualFormatting" : "(OBIS. n.d.)", "plainTextFormattedCitation" : "(OBIS, n.d.)", "previouslyFormattedCitation" : "(OBIS, n.d.)" }, "properties" : { "noteIndex" : 0 }, "schema" : "https://github.com/citation-style-language/schema/raw/master/csl-citation.json" }</w:instrText>
      </w:r>
      <w:r w:rsidRPr="008608AA">
        <w:fldChar w:fldCharType="separate"/>
      </w:r>
      <w:r w:rsidRPr="008608AA">
        <w:rPr>
          <w:noProof/>
        </w:rPr>
        <w:t>(OBIS. n.d.)</w:t>
      </w:r>
      <w:r w:rsidRPr="008608AA">
        <w:fldChar w:fldCharType="end"/>
      </w:r>
      <w:r w:rsidRPr="008608AA">
        <w:t xml:space="preserve"> lists 1,530 species from 12 phyla, but much more work is needed </w:t>
      </w:r>
      <w:r w:rsidRPr="008608AA">
        <w:fldChar w:fldCharType="begin" w:fldLock="1"/>
      </w:r>
      <w:r w:rsidRPr="008608AA">
        <w:instrText>ADDIN CSL_CITATION { "citationItems" : [ { "id" : "ITEM-1", "itemData" : { "DOI" : "10.1371/journal.pone.0011916", "ISBN" : "1932-6203 (Electronic)\\r1932-6203 (Linking)", "ISSN" : "19326203", "PMID" : "20689856", "abstract" : "This paper provides an analysis of the distribution patterns of marine biodiversity and summarizes the major activities of the Census of Marine Life program in the Caribbean region. The coastal Caribbean region is a large marine ecosystem (LME) characterized by coral reefs, mangroves, and seagrasses, but including other environments, such as sandy beaches and rocky shores. These tropical ecosystems incorporate a high diversity of associated flora and fauna, and the nations that border the Caribbean collectively encompass a major global marine biodiversity hot spot. We analyze the state of knowledge of marine biodiversity based on the geographic distribution of georeferenced species records and regional taxonomic lists. A total of 12,046 marine species are reported in this paper for the Caribbean region. These include representatives from 31 animal phyla, two plant phyla, one group of Chromista, and three groups of Protoctista. Sampling effort has been greatest in shallow, nearshore waters, where there is relatively good coverage of species records; offshore and deep environments have been less studied. Additionally, we found that the currently accepted classification of marine ecoregions of the Caribbean did not apply for the benthic distributions of five relatively well known taxonomic groups. Coastal species richness tends to concentrate along the Antillean arc (Cuba to the southernmost Antilles) and the northern coast of South America (Venezuela-Colombia), while no pattern can be observed in the deep sea with the available data. Several factors make it impossible to determine the extent to which these distribution patterns accurately reflect the true situation for marine biodiversity in general: (1) highly localized concentrations of collecting effort and a lack of collecting in many areas and ecosystems, (2) high variability among collecting methods, (3) limited taxonomic expertise for many groups, and (4) differing levels of activity in the study of different taxa.", "author" : [ { "dropping-particle" : "", "family" : "Miloslavich", "given" : "Patricia", "non-dropping-particle" : "", "parse-names" : false, "suffix" : "" }, { "dropping-particle" : "", "family" : "D\u00edaz", "given" : "Juan Manuel", "non-dropping-particle" : "", "parse-names" : false, "suffix" : "" }, { "dropping-particle" : "", "family" : "Klein", "given" : "Eduardo", "non-dropping-particle" : "", "parse-names" : false, "suffix" : "" }, { "dropping-particle" : "", "family" : "Alvarado", "given" : "Juan Jos\u00e9", "non-dropping-particle" : "", "parse-names" : false, "suffix" : "" }, { "dropping-particle" : "", "family" : "D\u00edaz", "given" : "Cristina", "non-dropping-particle" : "", "parse-names" : false, "suffix" : "" }, { "dropping-particle" : "", "family" : "Gobin", "given" : "Judith", "non-dropping-particle" : "", "parse-names" : false, "suffix" : "" }, { "dropping-particle" : "", "family" : "Escobar-Briones", "given" : "Elva", "non-dropping-particle" : "", "parse-names" : false, "suffix" : "" }, { "dropping-particle" : "", "family" : "Cruz-Motta", "given" : "Juan Jos\u00e9", "non-dropping-particle" : "", "parse-names" : false, "suffix" : "" }, { "dropping-particle" : "", "family" : "Weil", "given" : "Ernesto", "non-dropping-particle" : "", "parse-names" : false, "suffix" : "" }, { "dropping-particle" : "", "family" : "Cort\u00e9s", "given" : "Jorge", "non-dropping-particle" : "", "parse-names" : false, "suffix" : "" }, { "dropping-particle" : "", "family" : "Bastidas", "given" : "Ana Carolina", "non-dropping-particle" : "", "parse-names" : false, "suffix" : "" }, { "dropping-particle" : "", "family" : "Robertson", "given" : "Ross", "non-dropping-particle" : "", "parse-names" : false, "suffix" : "" }, { "dropping-particle" : "", "family" : "Zapata", "given" : "Fernando", "non-dropping-particle" : "", "parse-names" : false, "suffix" : "" }, { "dropping-particle" : "", "family" : "Mart\u00edn", "given" : "Alberto", "non-dropping-particle" : "", "parse-names" : false, "suffix" : "" }, { "dropping-particle" : "", "family" : "Castillo", "given" : "Julio", "non-dropping-particle" : "", "parse-names" : false, "suffix" : "" }, { "dropping-particle" : "", "family" : "Kazandjian", "given" : "Aniuska", "non-dropping-particle" : "", "parse-names" : false, "suffix" : "" }, { "dropping-particle" : "", "family" : "Ortiz", "given" : "Manuel", "non-dropping-particle" : "", "parse-names" : false, "suffix" : "" } ], "container-title" : "PLoS ONE", "id" : "ITEM-1", "issue" : "8", "issued" : { "date-parts" : [ [ "2010" ] ] }, "page" : "e11916", "title" : "Marine biodiversity in the Caribbean: regional estimates and distribution patterns", "type" : "article-journal", "volume" : "5" }, "uris" : [ "http://www.mendeley.com/documents/?uuid=075016f2-6238-45db-a7f8-c342c9c635de" ] } ], "mendeley" : { "formattedCitation" : "(Patricia Miloslavich et al., 2010)", "manualFormatting" : "(Miloslavich et al., 2010)", "plainTextFormattedCitation" : "(Patricia Miloslavich et al., 2010)", "previouslyFormattedCitation" : "(Patricia Miloslavich et al., 2010)" }, "properties" : { "noteIndex" : 0 }, "schema" : "https://github.com/citation-style-language/schema/raw/master/csl-citation.json" }</w:instrText>
      </w:r>
      <w:r w:rsidRPr="008608AA">
        <w:fldChar w:fldCharType="separate"/>
      </w:r>
      <w:r w:rsidRPr="008608AA">
        <w:rPr>
          <w:noProof/>
        </w:rPr>
        <w:t>(Miloslavich et al., 2010)</w:t>
      </w:r>
      <w:r w:rsidRPr="008608AA">
        <w:fldChar w:fldCharType="end"/>
      </w:r>
      <w:r w:rsidRPr="008608AA">
        <w:t xml:space="preserve">. The Caribbean Sea holds most of the Americas’ biodiversity associated with coral reefs. </w:t>
      </w:r>
    </w:p>
    <w:p w14:paraId="41189709" w14:textId="335655A9" w:rsidR="00E714CA" w:rsidRPr="008608AA" w:rsidRDefault="00B2242D" w:rsidP="00E714CA">
      <w:pPr>
        <w:spacing w:before="120" w:after="120"/>
        <w:jc w:val="center"/>
      </w:pPr>
      <w:r w:rsidRPr="008608AA">
        <w:rPr>
          <w:noProof/>
          <w:lang w:val="en-GB" w:eastAsia="en-GB"/>
        </w:rPr>
        <w:drawing>
          <wp:inline distT="0" distB="0" distL="0" distR="0" wp14:anchorId="37B2EDB0" wp14:editId="5E3DF818">
            <wp:extent cx="5934075" cy="4076700"/>
            <wp:effectExtent l="0" t="0" r="9525" b="0"/>
            <wp:docPr id="30312" name="Imagen 30312" descr="C:\Users\Alejandro Valderrama\Downloads\Fig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3" descr="C:\Users\Alejandro Valderrama\Downloads\Fig3.10.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b="52339"/>
                    <a:stretch/>
                  </pic:blipFill>
                  <pic:spPr bwMode="auto">
                    <a:xfrm>
                      <a:off x="0" y="0"/>
                      <a:ext cx="5934075" cy="4076700"/>
                    </a:xfrm>
                    <a:prstGeom prst="rect">
                      <a:avLst/>
                    </a:prstGeom>
                    <a:noFill/>
                    <a:ln>
                      <a:noFill/>
                    </a:ln>
                    <a:extLst>
                      <a:ext uri="{53640926-AAD7-44D8-BBD7-CCE9431645EC}">
                        <a14:shadowObscured xmlns:a14="http://schemas.microsoft.com/office/drawing/2010/main"/>
                      </a:ext>
                    </a:extLst>
                  </pic:spPr>
                </pic:pic>
              </a:graphicData>
            </a:graphic>
          </wp:inline>
        </w:drawing>
      </w:r>
    </w:p>
    <w:p w14:paraId="77EC3E17" w14:textId="447F745B" w:rsidR="004255E7" w:rsidRPr="008608AA" w:rsidRDefault="00480E3C" w:rsidP="00E714CA">
      <w:pPr>
        <w:spacing w:before="120" w:after="120"/>
      </w:pPr>
      <w:r w:rsidRPr="008608AA">
        <w:t>In many</w:t>
      </w:r>
      <w:r w:rsidRPr="008608AA" w:rsidDel="00B04875">
        <w:t xml:space="preserve"> </w:t>
      </w:r>
      <w:r w:rsidR="004255E7" w:rsidRPr="008608AA">
        <w:t xml:space="preserve">species of coastal fish, mangroves, seagrasses, squids, non-oceanic shark species, and corals, diversity generally peaks near the equator </w:t>
      </w:r>
      <w:r w:rsidR="004255E7" w:rsidRPr="008608AA">
        <w:fldChar w:fldCharType="begin" w:fldLock="1"/>
      </w:r>
      <w:r w:rsidR="004255E7" w:rsidRPr="008608AA">
        <w:instrText>ADDIN CSL_CITATION { "citationItems" : [ { "id" : "ITEM-1", "itemData" : { "DOI" : "10.1038/nature09329", "ISBN" : "0028-0836", "ISSN" : "0028-0836", "PMID" : "20668450", "abstract" : "Global patterns of species richness and their structuring forces have fascinated biologists since Darwin and provide critical context for contemporary studies in ecology, evolution and conservation. Anthropogenic impacts and the need for systematic conservation planning have further motivated the analysis of diversity patterns and processes at regional to global scales. Whereas land diversity patterns and their predictors are known for numerous taxa, our understanding of global marine diversity has been more limited, with recent findings revealing some striking contrasts to widely held terrestrial paradigms. Here we examine global patterns and predictors of species richness across 13 major species groups ranging from zooplankton to marine mammals. Two major patterns emerged: coastal species showed maximum diversity in the Western Pacific, whereas oceanic groups consistently peaked across broad mid-latitudinal bands in all oceans. Spatial regression analyses revealed sea surface temperature as the only environmental predictor highly related to diversity across all 13 taxa. Habitat availability and historical factors were also important for coastal species, whereas other predictors had less significance. Areas of high species richness were disproportionately concentrated in regions with medium or higher human impacts. Our findings indicate a fundamental role of temperature or kinetic energy in structuring cross-taxon marine biodiversity, and indicate that changes in ocean temperature, in conjunction with other human impacts, may ultimately rearrange the global distribution of life in the ocean.", "author" : [ { "dropping-particle" : "", "family" : "Tittensor", "given" : "Derek P.", "non-dropping-particle" : "", "parse-names" : false, "suffix" : "" }, { "dropping-particle" : "", "family" : "Mora", "given" : "Camilo", "non-dropping-particle" : "", "parse-names" : false, "suffix" : "" }, { "dropping-particle" : "", "family" : "Jetz", "given" : "Walter", "non-dropping-particle" : "", "parse-names" : false, "suffix" : "" }, { "dropping-particle" : "", "family" : "Lotze", "given" : "Heike K.", "non-dropping-particle" : "", "parse-names" : false, "suffix" : "" }, { "dropping-particle" : "", "family" : "Ricard", "given" : "Daniel", "non-dropping-particle" : "", "parse-names" : false, "suffix" : "" }, { "dropping-particle" : "Vanden", "family" : "Berghe", "given" : "Edward", "non-dropping-particle" : "", "parse-names" : false, "suffix" : "" }, { "dropping-particle" : "", "family" : "Worm", "given" : "Boris", "non-dropping-particle" : "", "parse-names" : false, "suffix" : "" } ], "container-title" : "Nature", "id" : "ITEM-1", "issue" : "7310", "issued" : { "date-parts" : [ [ "2010" ] ] }, "page" : "1098-1101", "title" : "Global patterns and predictors of marine biodiversity across taxa", "type" : "article-journal", "volume" : "466" }, "uris" : [ "http://www.mendeley.com/documents/?uuid=527d066e-4623-37c8-ba67-10b8b22ea46a" ] } ], "mendeley" : { "formattedCitation" : "(Tittensor et al., 2010)", "plainTextFormattedCitation" : "(Tittensor et al., 2010)", "previouslyFormattedCitation" : "(Tittensor et al., 2010)" }, "properties" : { "noteIndex" : 0 }, "schema" : "https://github.com/citation-style-language/schema/raw/master/csl-citation.json" }</w:instrText>
      </w:r>
      <w:r w:rsidR="004255E7" w:rsidRPr="008608AA">
        <w:fldChar w:fldCharType="separate"/>
      </w:r>
      <w:r w:rsidR="004255E7" w:rsidRPr="008608AA">
        <w:rPr>
          <w:noProof/>
        </w:rPr>
        <w:t>(Tittensor et al., 2010)</w:t>
      </w:r>
      <w:r w:rsidR="004255E7" w:rsidRPr="008608AA">
        <w:fldChar w:fldCharType="end"/>
      </w:r>
      <w:r w:rsidR="004255E7" w:rsidRPr="008608AA">
        <w:t xml:space="preserve">. In contrast, pinniped (seals and sea lions) diversity is highest in polar regions. Cetacean species diversity peaks in the subtropics in both oceans, and is highest on the Atlantic coast of Argentina </w:t>
      </w:r>
      <w:r w:rsidR="004255E7" w:rsidRPr="008608AA">
        <w:fldChar w:fldCharType="begin" w:fldLock="1"/>
      </w:r>
      <w:r w:rsidR="004255E7" w:rsidRPr="008608AA">
        <w:instrText>ADDIN CSL_CITATION { "citationItems" : [ { "id" : "ITEM-1", "itemData" : { "DOI" : "10.1038/nature09329", "ISBN" : "0028-0836", "ISSN" : "0028-0836", "PMID" : "20668450", "abstract" : "Global patterns of species richness and their structuring forces have fascinated biologists since Darwin and provide critical context for contemporary studies in ecology, evolution and conservation. Anthropogenic impacts and the need for systematic conservation planning have further motivated the analysis of diversity patterns and processes at regional to global scales. Whereas land diversity patterns and their predictors are known for numerous taxa, our understanding of global marine diversity has been more limited, with recent findings revealing some striking contrasts to widely held terrestrial paradigms. Here we examine global patterns and predictors of species richness across 13 major species groups ranging from zooplankton to marine mammals. Two major patterns emerged: coastal species showed maximum diversity in the Western Pacific, whereas oceanic groups consistently peaked across broad mid-latitudinal bands in all oceans. Spatial regression analyses revealed sea surface temperature as the only environmental predictor highly related to diversity across all 13 taxa. Habitat availability and historical factors were also important for coastal species, whereas other predictors had less significance. Areas of high species richness were disproportionately concentrated in regions with medium or higher human impacts. Our findings indicate a fundamental role of temperature or kinetic energy in structuring cross-taxon marine biodiversity, and indicate that changes in ocean temperature, in conjunction with other human impacts, may ultimately rearrange the global distribution of life in the ocean.", "author" : [ { "dropping-particle" : "", "family" : "Tittensor", "given" : "Derek P.", "non-dropping-particle" : "", "parse-names" : false, "suffix" : "" }, { "dropping-particle" : "", "family" : "Mora", "given" : "Camilo", "non-dropping-particle" : "", "parse-names" : false, "suffix" : "" }, { "dropping-particle" : "", "family" : "Jetz", "given" : "Walter", "non-dropping-particle" : "", "parse-names" : false, "suffix" : "" }, { "dropping-particle" : "", "family" : "Lotze", "given" : "Heike K.", "non-dropping-particle" : "", "parse-names" : false, "suffix" : "" }, { "dropping-particle" : "", "family" : "Ricard", "given" : "Daniel", "non-dropping-particle" : "", "parse-names" : false, "suffix" : "" }, { "dropping-particle" : "Vanden", "family" : "Berghe", "given" : "Edward", "non-dropping-particle" : "", "parse-names" : false, "suffix" : "" }, { "dropping-particle" : "", "family" : "Worm", "given" : "Boris", "non-dropping-particle" : "", "parse-names" : false, "suffix" : "" } ], "container-title" : "Nature", "id" : "ITEM-1", "issue" : "7310", "issued" : { "date-parts" : [ [ "2010" ] ] }, "page" : "1098-1101", "title" : "Global patterns and predictors of marine biodiversity across taxa", "type" : "article-journal", "volume" : "466" }, "uris" : [ "http://www.mendeley.com/documents/?uuid=527d066e-4623-37c8-ba67-10b8b22ea46a" ] } ], "mendeley" : { "formattedCitation" : "(Tittensor et al., 2010)", "plainTextFormattedCitation" : "(Tittensor et al., 2010)", "previouslyFormattedCitation" : "(Tittensor et al., 2010)" }, "properties" : { "noteIndex" : 0 }, "schema" : "https://github.com/citation-style-language/schema/raw/master/csl-citation.json" }</w:instrText>
      </w:r>
      <w:r w:rsidR="004255E7" w:rsidRPr="008608AA">
        <w:fldChar w:fldCharType="separate"/>
      </w:r>
      <w:r w:rsidR="004255E7" w:rsidRPr="008608AA">
        <w:rPr>
          <w:noProof/>
        </w:rPr>
        <w:t>(Tittensor et al., 2010)</w:t>
      </w:r>
      <w:r w:rsidR="004255E7" w:rsidRPr="008608AA">
        <w:fldChar w:fldCharType="end"/>
      </w:r>
      <w:r w:rsidR="004255E7" w:rsidRPr="008608AA">
        <w:t xml:space="preserve">. Shark species peak in biodiversity between 30 and 40 degrees N and S; southeastern Brazil and the southeastern USA are considered global hotspots of shark biodiversity with high species richness, functional diversity, and endemism </w:t>
      </w:r>
      <w:r w:rsidR="004255E7" w:rsidRPr="008608AA">
        <w:fldChar w:fldCharType="begin" w:fldLock="1"/>
      </w:r>
      <w:r w:rsidR="004255E7" w:rsidRPr="008608AA">
        <w:instrText>ADDIN CSL_CITATION { "citationItems" : [ { "id" : "ITEM-1", "itemData" : { "DOI" : "10.1371/journal.pone.0019356", "ISBN" : "0011-3891", "ISSN" : "19326203", "PMID" : "1000090690", "abstract" : "Next-generation sequencing (NGS) technologies provide a revolutionary tool with numerous applications in transcriptome studies. The power of NGS technologies to address diverse biological questions has already been proved in many studies. One of the most important applications of NGS is the sequencing and characterization of transcriptome of a non-model species using RNA-seq. This application of NGS technologies can be used to dissect the complete expressed gene content of an organism. In this article, I illustrate the use of NGS technologies in transcriptome characterization of a non-model species taking example of chickpea from our recent studies.", "author" : [ { "dropping-particle" : "", "family" : "Lucifora", "given" : "Luis O.", "non-dropping-particle" : "", "parse-names" : false, "suffix" : "" }, { "dropping-particle" : "", "family" : "Garc\u00eda", "given" : "Ver\u00f3nica B.", "non-dropping-particle" : "", "parse-names" : false, "suffix" : "" }, { "dropping-particle" : "", "family" : "Worm", "given" : "Boris", "non-dropping-particle" : "", "parse-names" : false, "suffix" : "" } ], "container-title" : "PLoS ONE", "id" : "ITEM-1", "issue" : "5", "issued" : { "date-parts" : [ [ "2011" ] ] }, "page" : "e19356", "title" : "Global diversity hotspots and conservation priorities for sharks", "type" : "article-journal", "volume" : "6" }, "uris" : [ "http://www.mendeley.com/documents/?uuid=fed49226-0c52-4092-aabf-230cc32113ad" ] } ], "mendeley" : { "formattedCitation" : "(Lucifora, Garc\u00eda, &amp; Worm, 2011)", "manualFormatting" : "(Lucifora et al., 2011)", "plainTextFormattedCitation" : "(Lucifora, Garc\u00eda, &amp; Worm, 2011)", "previouslyFormattedCitation" : "(Lucifora, Garc\u00eda, &amp; Worm, 2011)" }, "properties" : { "noteIndex" : 0 }, "schema" : "https://github.com/citation-style-language/schema/raw/master/csl-citation.json" }</w:instrText>
      </w:r>
      <w:r w:rsidR="004255E7" w:rsidRPr="008608AA">
        <w:fldChar w:fldCharType="separate"/>
      </w:r>
      <w:r w:rsidR="004255E7" w:rsidRPr="008608AA">
        <w:rPr>
          <w:noProof/>
        </w:rPr>
        <w:t>(Lucifora et al., 2011)</w:t>
      </w:r>
      <w:r w:rsidR="004255E7" w:rsidRPr="008608AA">
        <w:fldChar w:fldCharType="end"/>
      </w:r>
      <w:r w:rsidR="004255E7" w:rsidRPr="008608AA">
        <w:t xml:space="preserve">. Brazil alone has 31 endemic shark species </w:t>
      </w:r>
      <w:r w:rsidR="004255E7" w:rsidRPr="008608AA">
        <w:fldChar w:fldCharType="begin" w:fldLock="1"/>
      </w:r>
      <w:r w:rsidR="004255E7" w:rsidRPr="008608AA">
        <w:instrText>ADDIN CSL_CITATION { "citationItems" : [ { "id" : "ITEM-1", "itemData" : { "DOI" : "10.1371/journal.pone.0019356", "ISBN" : "0011-3891", "ISSN" : "19326203", "PMID" : "1000090690", "abstract" : "Next-generation sequencing (NGS) technologies provide a revolutionary tool with numerous applications in transcriptome studies. The power of NGS technologies to address diverse biological questions has already been proved in many studies. One of the most important applications of NGS is the sequencing and characterization of transcriptome of a non-model species using RNA-seq. This application of NGS technologies can be used to dissect the complete expressed gene content of an organism. In this article, I illustrate the use of NGS technologies in transcriptome characterization of a non-model species taking example of chickpea from our recent studies.", "author" : [ { "dropping-particle" : "", "family" : "Lucifora", "given" : "Luis O.", "non-dropping-particle" : "", "parse-names" : false, "suffix" : "" }, { "dropping-particle" : "", "family" : "Garc\u00eda", "given" : "Ver\u00f3nica B.", "non-dropping-particle" : "", "parse-names" : false, "suffix" : "" }, { "dropping-particle" : "", "family" : "Worm", "given" : "Boris", "non-dropping-particle" : "", "parse-names" : false, "suffix" : "" } ], "container-title" : "PLoS ONE", "id" : "ITEM-1", "issue" : "5", "issued" : { "date-parts" : [ [ "2011" ] ] }, "page" : "e19356", "title" : "Global diversity hotspots and conservation priorities for sharks", "type" : "article-journal", "volume" : "6" }, "uris" : [ "http://www.mendeley.com/documents/?uuid=fed49226-0c52-4092-aabf-230cc32113ad" ] } ], "mendeley" : { "formattedCitation" : "(Lucifora et al., 2011)", "plainTextFormattedCitation" : "(Lucifora et al., 2011)", "previouslyFormattedCitation" : "(Lucifora et al., 2011)" }, "properties" : { "noteIndex" : 0 }, "schema" : "https://github.com/citation-style-language/schema/raw/master/csl-citation.json" }</w:instrText>
      </w:r>
      <w:r w:rsidR="004255E7" w:rsidRPr="008608AA">
        <w:fldChar w:fldCharType="separate"/>
      </w:r>
      <w:r w:rsidR="004255E7" w:rsidRPr="008608AA">
        <w:rPr>
          <w:noProof/>
        </w:rPr>
        <w:t>(Lucifora et al., 2011)</w:t>
      </w:r>
      <w:r w:rsidR="004255E7" w:rsidRPr="008608AA">
        <w:fldChar w:fldCharType="end"/>
      </w:r>
      <w:r w:rsidR="004255E7" w:rsidRPr="008608AA">
        <w:t xml:space="preserve">. Seaweed biodiversity peaks in temperate regions around 35 degrees latitude N and S in the Pacific </w:t>
      </w:r>
      <w:r w:rsidR="004255E7" w:rsidRPr="008608AA">
        <w:fldChar w:fldCharType="begin" w:fldLock="1"/>
      </w:r>
      <w:r w:rsidR="004255E7" w:rsidRPr="008608AA">
        <w:instrText>ADDIN CSL_CITATION { "citationItems" : [ { "id" : "ITEM-1", "itemData" : { "DOI" : "10.1146/annurev.es.13.110182.000551", "ISBN" : "0066-4162", "ISSN" : "0066-4162", "PMID" : "484725", "abstract" : "Here we extend these considerations to biogeographic patterns of marine community structure by assessing the importance of latitudinal variation in algae-herbivore interactions.", "author" : [ { "dropping-particle" : "", "family" : "Gaines", "given" : "Steven D.", "non-dropping-particle" : "", "parse-names" : false, "suffix" : "" }, { "dropping-particle" : "", "family" : "Lubchenco", "given" : "Jane", "non-dropping-particle" : "", "parse-names" : false, "suffix" : "" } ], "container-title" : "Annual Review of Ecology and Systematics", "id" : "ITEM-1", "issue" : "1", "issued" : { "date-parts" : [ [ "1982" ] ] }, "page" : "111-138", "title" : "A unified approach to marine plant-herbivore interactions II. Biogeography", "type" : "article-journal", "volume" : "13" }, "uris" : [ "http://www.mendeley.com/documents/?uuid=18485932-0665-490a-8bae-6516a19ed300" ] } ], "mendeley" : { "formattedCitation" : "(Gaines &amp; Lubchenco, 1982)", "manualFormatting" : "(Gaines &amp; Lubchenco, 1982)", "plainTextFormattedCitation" : "(Gaines &amp; Lubchenco, 1982)", "previouslyFormattedCitation" : "(Gaines &amp; Lubchenco, 1982)" }, "properties" : { "noteIndex" : 0 }, "schema" : "https://github.com/citation-style-language/schema/raw/master/csl-citation.json" }</w:instrText>
      </w:r>
      <w:r w:rsidR="004255E7" w:rsidRPr="008608AA">
        <w:fldChar w:fldCharType="separate"/>
      </w:r>
      <w:r w:rsidR="004255E7" w:rsidRPr="008608AA">
        <w:rPr>
          <w:noProof/>
        </w:rPr>
        <w:t>(Gaines &amp; Lubchenco, 1982)</w:t>
      </w:r>
      <w:r w:rsidR="004255E7" w:rsidRPr="008608AA">
        <w:fldChar w:fldCharType="end"/>
      </w:r>
      <w:r w:rsidR="004255E7" w:rsidRPr="008608AA">
        <w:t xml:space="preserve">, although it is also highly diverse in the Caribbean </w:t>
      </w:r>
      <w:r w:rsidR="004255E7" w:rsidRPr="008608AA">
        <w:fldChar w:fldCharType="begin" w:fldLock="1"/>
      </w:r>
      <w:r w:rsidR="004255E7" w:rsidRPr="008608AA">
        <w:instrText>ADDIN CSL_CITATION { "citationItems" : [ { "id" : "ITEM-1", "itemData" : { "DOI" : "10.1890/0012-9658(2006)87[2479:GBPOBM]2.0.CO;2", "ISBN" : "0012-9658", "ISSN" : "00129658", "PMID" : "17089657", "abstract" : "Species richness patterns are remarkably similar across many marine taxa, yet explanations of how such patterns are generated and maintained are conflicting. I use published occurrence data to identify previously masked latitudinal and longitudinal diversity gradients for all genera of benthic marine macroalgae and for species in the Order Bryopsidales. I also quantify the size, location, and overlap of macroalgal geographic ranges to determine how the observed richness patterns are generated. Algal genera exhibit an inverse latitudinal gradient, with biodiversity hotspots in temperate regions, while bryopsidalean species reach peak diversity in the tropics. The geographic distribution of range locations results in distinct clusters of range mid-points. In particular, widespread taxa are centered within tight latitudinal and longitudinal bands in the middle of the Indo-Pacific and Atlantic Oceans while small-ranged taxa are clustered in peripheral locations, suggesting that variation in speciation and extinction are important drivers of algal diversity patterns. Hypotheses about factors that regulate diversity contain underlying assumptions about the size and location of geographic ranges, in addition to predictions as to why species numbers will differ among regions. Yet these assumptions are rarely considered in assessing the validity of the prevailing hypotheses. I assess a suite of hypotheses, suggested to explain patterns of marine diversity, by comparing algal-richness patterns in combination with the size and location of algal geographic ranges, to the richness and range locations predicted by these hypotheses. In particular, the results implicate habitat areas and ocean currents as the most plausible drivers of observed diversity patterns.", "author" : [ { "dropping-particle" : "", "family" : "Kerswell", "given" : "Ailsa P.", "non-dropping-particle" : "", "parse-names" : false, "suffix" : "" } ], "container-title" : "Ecology", "id" : "ITEM-1", "issue" : "10", "issued" : { "date-parts" : [ [ "2006" ] ] }, "page" : "2479-2488", "title" : "Global biodiversity patterns of benthic marine algae", "type" : "article-journal", "volume" : "87" }, "uris" : [ "http://www.mendeley.com/documents/?uuid=2e7671f3-8a3c-4f59-8c01-a0c30922e4c0" ] } ], "mendeley" : { "formattedCitation" : "(Kerswell, 2006)", "plainTextFormattedCitation" : "(Kerswell, 2006)", "previouslyFormattedCitation" : "(Kerswell, 2006)" }, "properties" : { "noteIndex" : 0 }, "schema" : "https://github.com/citation-style-language/schema/raw/master/csl-citation.json" }</w:instrText>
      </w:r>
      <w:r w:rsidR="004255E7" w:rsidRPr="008608AA">
        <w:fldChar w:fldCharType="separate"/>
      </w:r>
      <w:r w:rsidR="004255E7" w:rsidRPr="008608AA">
        <w:rPr>
          <w:noProof/>
        </w:rPr>
        <w:t>(Kerswell, 2006)</w:t>
      </w:r>
      <w:r w:rsidR="004255E7" w:rsidRPr="008608AA">
        <w:fldChar w:fldCharType="end"/>
      </w:r>
      <w:r w:rsidR="004255E7" w:rsidRPr="008608AA">
        <w:t xml:space="preserve">. Kelp diversity is greatest in colder parts of both oceans, and algal diversity reaches its nadir in the southeastern Atlantic (Argentina, &lt;100 species) </w:t>
      </w:r>
      <w:r w:rsidR="004255E7" w:rsidRPr="008608AA">
        <w:fldChar w:fldCharType="begin" w:fldLock="1"/>
      </w:r>
      <w:r w:rsidR="004255E7" w:rsidRPr="008608AA">
        <w:instrText>ADDIN CSL_CITATION { "citationItems" : [ { "id" : "ITEM-1", "itemData" : { "DOI" : "10.1890/0012-9658(2006)87[2479:GBPOBM]2.0.CO;2", "ISBN" : "0012-9658", "ISSN" : "00129658", "PMID" : "17089657", "abstract" : "Species richness patterns are remarkably similar across many marine taxa, yet explanations of how such patterns are generated and maintained are conflicting. I use published occurrence data to identify previously masked latitudinal and longitudinal diversity gradients for all genera of benthic marine macroalgae and for species in the Order Bryopsidales. I also quantify the size, location, and overlap of macroalgal geographic ranges to determine how the observed richness patterns are generated. Algal genera exhibit an inverse latitudinal gradient, with biodiversity hotspots in temperate regions, while bryopsidalean species reach peak diversity in the tropics. The geographic distribution of range locations results in distinct clusters of range mid-points. In particular, widespread taxa are centered within tight latitudinal and longitudinal bands in the middle of the Indo-Pacific and Atlantic Oceans while small-ranged taxa are clustered in peripheral locations, suggesting that variation in speciation and extinction are important drivers of algal diversity patterns. Hypotheses about factors that regulate diversity contain underlying assumptions about the size and location of geographic ranges, in addition to predictions as to why species numbers will differ among regions. Yet these assumptions are rarely considered in assessing the validity of the prevailing hypotheses. I assess a suite of hypotheses, suggested to explain patterns of marine diversity, by comparing algal-richness patterns in combination with the size and location of algal geographic ranges, to the richness and range locations predicted by these hypotheses. In particular, the results implicate habitat areas and ocean currents as the most plausible drivers of observed diversity patterns.", "author" : [ { "dropping-particle" : "", "family" : "Kerswell", "given" : "Ailsa P.", "non-dropping-particle" : "", "parse-names" : false, "suffix" : "" } ], "container-title" : "Ecology", "id" : "ITEM-1", "issue" : "10", "issued" : { "date-parts" : [ [ "2006" ] ] }, "page" : "2479-2488", "title" : "Global biodiversity patterns of benthic marine algae", "type" : "article-journal", "volume" : "87" }, "uris" : [ "http://www.mendeley.com/documents/?uuid=2e7671f3-8a3c-4f59-8c01-a0c30922e4c0" ] } ], "mendeley" : { "formattedCitation" : "(Kerswell, 2006)", "plainTextFormattedCitation" : "(Kerswell, 2006)", "previouslyFormattedCitation" : "(Kerswell, 2006)" }, "properties" : { "noteIndex" : 0 }, "schema" : "https://github.com/citation-style-language/schema/raw/master/csl-citation.json" }</w:instrText>
      </w:r>
      <w:r w:rsidR="004255E7" w:rsidRPr="008608AA">
        <w:fldChar w:fldCharType="separate"/>
      </w:r>
      <w:r w:rsidR="004255E7" w:rsidRPr="008608AA">
        <w:rPr>
          <w:noProof/>
        </w:rPr>
        <w:t>(Kerswell, 2006)</w:t>
      </w:r>
      <w:r w:rsidR="004255E7" w:rsidRPr="008608AA">
        <w:fldChar w:fldCharType="end"/>
      </w:r>
      <w:r w:rsidR="004255E7" w:rsidRPr="008608AA">
        <w:t xml:space="preserve">. The America’s host hundreds of thousands – if not millions – of invertebrate species; their biogeographic patterns are still poorly known </w:t>
      </w:r>
      <w:r w:rsidR="004255E7" w:rsidRPr="008608AA">
        <w:fldChar w:fldCharType="begin" w:fldLock="1"/>
      </w:r>
      <w:r w:rsidR="004255E7" w:rsidRPr="008608AA">
        <w:instrText>ADDIN CSL_CITATION { "citationItems" : [ { "id" : "ITEM-1", "itemData" : { "DOI" : "10.1146/annurev.energy.31.020105.100235", "ISBN" : "1543-5938", "ISSN" : "1543-5938", "PMID" : "1121", "abstract" : "\u25aa Abstract Marine biodiversity encompasses all levels of complexity of life in the sea, from within species to across ecosystems. At all levels, marine biodiversity has naturally exhibited a general, slow trajectory of increase, punctuated by mass extinctions at the evolutionary scale and by disturbances at the ecological scale. In historical times, a synergy of human threats, including overfishing, global warming, biological introductions, and pollution, has caused a rapid decline in global marine biodiversity, as measured by species extinctions, population depletions, and community homogenization. The consequences of this biodiversity loss include changes in ecosystem function and a reduction in the provision of ecosystem services. Global biodiversity loss will continue and likely accelerate in the future, with potentially more frequent ecological collapses and community-wide shifts. However, the timing and magnitude of these catastrophic events are probably unpredictable.", "author" : [ { "dropping-particle" : "", "family" : "Sala", "given" : "Enric", "non-dropping-particle" : "", "parse-names" : false, "suffix" : "" }, { "dropping-particle" : "", "family" : "Knowlton", "given" : "Nancy", "non-dropping-particle" : "", "parse-names" : false, "suffix" : "" } ], "container-title" : "Annual Review of Environment and Resources", "id" : "ITEM-1", "issue" : "1", "issued" : { "date-parts" : [ [ "2006" ] ] }, "page" : "93-122", "title" : "Global marine biodiversity trends", "type" : "article-journal", "volume" : "31" }, "uris" : [ "http://www.mendeley.com/documents/?uuid=2726b1d8-d702-4eef-95a1-b28d7342d7ee" ] } ], "mendeley" : { "formattedCitation" : "(Sala &amp; Knowlton, 2006)", "manualFormatting" : "(Sala &amp; Knowlton, 2006)", "plainTextFormattedCitation" : "(Sala &amp; Knowlton, 2006)", "previouslyFormattedCitation" : "(Sala &amp; Knowlton, 2006)" }, "properties" : { "noteIndex" : 0 }, "schema" : "https://github.com/citation-style-language/schema/raw/master/csl-citation.json" }</w:instrText>
      </w:r>
      <w:r w:rsidR="004255E7" w:rsidRPr="008608AA">
        <w:fldChar w:fldCharType="separate"/>
      </w:r>
      <w:r w:rsidR="004255E7" w:rsidRPr="008608AA">
        <w:rPr>
          <w:noProof/>
        </w:rPr>
        <w:t>(Sala &amp; Knowlton, 2006)</w:t>
      </w:r>
      <w:r w:rsidR="004255E7" w:rsidRPr="008608AA">
        <w:fldChar w:fldCharType="end"/>
      </w:r>
      <w:r w:rsidR="004255E7" w:rsidRPr="008608AA">
        <w:t xml:space="preserve">. Invertebrate diversity within many distinct taxonomic groups generally (with some exceptions) follows the latitudinal trend of increasing species diversity per area at lower latitudes, as seen in South American crabs on both coasts </w:t>
      </w:r>
      <w:r w:rsidR="004255E7" w:rsidRPr="008608AA">
        <w:fldChar w:fldCharType="begin" w:fldLock="1"/>
      </w:r>
      <w:r w:rsidR="004255E7" w:rsidRPr="008608AA">
        <w:instrText>ADDIN CSL_CITATION { "citationItems" : [ { "id" : "ITEM-1", "itemData" : { "DOI" : "10.1046/j.1461-0248.2003.00445.x", "ISBN" : "1461-023X", "ISSN" : "1461023X", "PMID" : "383", "abstract" : "The latitudinal gradient of species diversity is a widely recognized but poorly understood phenomenon. In marine systems, differences in dispersal abilities among species may pose an additional problem in identifying the processes that affect diversity. We compared latitudinal diversity gradients along two parallel continental coasts, the east and west coasts of South America, of two groups of Crustacea (Brachyura and Anomura), which exclusively exhibit planktonic development. We also evaluated the species-area and the energy-input hypotheses. Diversity decreased with increasing latitude for both groups in both oceans. Results suggest that the spatial structure of sea surface temperature (SST) explains diversity of both groups at large, but not small (&lt; 5\ue001), scales. Range size and latitude were not correlated. We hypothesize that SST differentially affects taxa with contrasting modes of development, influencing patterns of diversity. We suggest that developmental modes of marine organisms should be considered in future diversity analyses", "author" : [ { "dropping-particle" : "", "family" : "Astorga", "given" : "Anna", "non-dropping-particle" : "", "parse-names" : false, "suffix" : "" }, { "dropping-particle" : "", "family" : "Fern\u00e1ndez", "given" : "Miriam", "non-dropping-particle" : "", "parse-names" : false, "suffix" : "" }, { "dropping-particle" : "", "family" : "Boschi", "given" : "Enrique E.", "non-dropping-particle" : "", "parse-names" : false, "suffix" : "" }, { "dropping-particle" : "", "family" : "Lagos", "given" : "Nelson", "non-dropping-particle" : "", "parse-names" : false, "suffix" : "" } ], "container-title" : "Ecology Letters", "id" : "ITEM-1", "issue" : "5", "issued" : { "date-parts" : [ [ "2003" ] ] }, "page" : "420-427", "title" : "Two oceans, two taxa and one mode of development: latitudinal diversity patterns of South American crabs and test for possible causal processes", "type" : "article-journal", "volume" : "6" }, "uris" : [ "http://www.mendeley.com/documents/?uuid=030f03c2-3cfd-4b47-a823-3ca1c4e1df8b" ] } ], "mendeley" : { "formattedCitation" : "(Astorga, Fern\u00e1ndez, Boschi, &amp; Lagos, 2003)", "manualFormatting" : "(Astorga et al., 2003)", "plainTextFormattedCitation" : "(Astorga, Fern\u00e1ndez, Boschi, &amp; Lagos, 2003)", "previouslyFormattedCitation" : "(Astorga, Fern\u00e1ndez, Boschi, &amp; Lagos, 2003)" }, "properties" : { "noteIndex" : 0 }, "schema" : "https://github.com/citation-style-language/schema/raw/master/csl-citation.json" }</w:instrText>
      </w:r>
      <w:r w:rsidR="004255E7" w:rsidRPr="008608AA">
        <w:fldChar w:fldCharType="separate"/>
      </w:r>
      <w:r w:rsidR="004255E7" w:rsidRPr="008608AA">
        <w:rPr>
          <w:noProof/>
        </w:rPr>
        <w:t>(Astorga et al., 2003)</w:t>
      </w:r>
      <w:r w:rsidR="004255E7" w:rsidRPr="008608AA">
        <w:fldChar w:fldCharType="end"/>
      </w:r>
      <w:r w:rsidR="004255E7" w:rsidRPr="008608AA">
        <w:t xml:space="preserve">, and fish </w:t>
      </w:r>
      <w:r w:rsidR="004255E7" w:rsidRPr="008608AA">
        <w:fldChar w:fldCharType="begin" w:fldLock="1"/>
      </w:r>
      <w:r w:rsidR="004255E7" w:rsidRPr="008608AA">
        <w:instrText>ADDIN CSL_CITATION { "citationItems" : [ { "id" : "ITEM-1", "itemData" : { "DOI" : "10.1086/285526", "ISBN" : "0003-0147", "ISSN" : "0003-0147", "PMID" : "121", "abstract" : "Two methods are used to analyze latitudinal ranges of fish species: means of ranges of all species with a midpoint in the same 50 latitujde band plotted against latitude, and means of ranges of all species occurring in the same 50 latitude band plotted against latitude. Application of the first method to data on 894 teleost species from the Indo-Pacific and Atlantic oceans showed that species with midpoints of latitudinal ranges near the equator have, on the average, much greater latitudinal ranges than species with midpoints at higher latitudes. Ranges of species were more or less the same when the second method was used, because of larger ranges and greater species numbers of low-latitude species. Rapoport's rule, according to which high- latitude species have greater latitudinal range than low-latitude species, therefore does not generally apply to marine teleosts. In contrast, the rule applies to North American (720 species) and North European (61 species) freshwater fish above a latitude of approximately 40?N as demonstrated by both methods. The rule has not been shown to apply to any group of organisms below a latitude of approximately 25?-35?N. Attempts to explain greater species numbers of tropical species by narrower environmental tolerances of tropical species, as indicated by Rapo- port's rule, are therefore premature, and such an explanation does not hold for marine teleosts.", "author" : [ { "dropping-particle" : "", "family" : "Rohde", "given" : "Klaus", "non-dropping-particle" : "", "parse-names" : false, "suffix" : "" }, { "dropping-particle" : "", "family" : "Heap", "given" : "Maureen", "non-dropping-particle" : "", "parse-names" : false, "suffix" : "" }, { "dropping-particle" : "", "family" : "Heap", "given" : "David", "non-dropping-particle" : "", "parse-names" : false, "suffix" : "" } ], "container-title" : "The American Naturalist", "id" : "ITEM-1", "issue" : "1", "issued" : { "date-parts" : [ [ "1993" ] ] }, "page" : "1-16", "title" : "Rapoport's rule does not apply to marine teleosts and cannot explain latitudinal gradients in species richness", "type" : "article-journal", "volume" : "142" }, "uris" : [ "http://www.mendeley.com/documents/?uuid=7998497c-fa2e-453c-b969-2e4be5f7f85a" ] } ], "mendeley" : { "formattedCitation" : "(Rohde, Heap, &amp; Heap, 1993)", "manualFormatting" : "(Rohde et al., 1993)", "plainTextFormattedCitation" : "(Rohde, Heap, &amp; Heap, 1993)", "previouslyFormattedCitation" : "(Rohde, Heap, &amp; Heap, 1993)" }, "properties" : { "noteIndex" : 0 }, "schema" : "https://github.com/citation-style-language/schema/raw/master/csl-citation.json" }</w:instrText>
      </w:r>
      <w:r w:rsidR="004255E7" w:rsidRPr="008608AA">
        <w:fldChar w:fldCharType="separate"/>
      </w:r>
      <w:r w:rsidR="004255E7" w:rsidRPr="008608AA">
        <w:rPr>
          <w:noProof/>
        </w:rPr>
        <w:t>(Rohde et al., 1993)</w:t>
      </w:r>
      <w:r w:rsidR="004255E7" w:rsidRPr="008608AA">
        <w:fldChar w:fldCharType="end"/>
      </w:r>
      <w:r w:rsidR="004255E7" w:rsidRPr="008608AA">
        <w:t xml:space="preserve">, molluscs </w:t>
      </w:r>
      <w:r w:rsidR="004255E7" w:rsidRPr="008608AA">
        <w:fldChar w:fldCharType="begin" w:fldLock="1"/>
      </w:r>
      <w:r w:rsidR="004255E7" w:rsidRPr="008608AA">
        <w:instrText>ADDIN CSL_CITATION { "citationItems" : [ { "id" : "ITEM-1", "itemData" : { "DOI" : "10.1073/pnas.95.7.3699", "ISBN" : "00278424", "ISSN" : "00278424", "PMID" : "9520429", "abstract" : "Latitudinal diversity gradients are first-order expressions of diversity patterns both on land and in the oceans, although the current hypotheses that seek to explain them are based chiefly on terrestrial data. We have assembled a database of the geographic ranges of 3,916 species of marine prosobranch gastropods living on the shelves of the western Atlantic and eastern Pacific Oceans, from the tropics to the Arctic Ocean. Western Atlantic and eastern Pacific diversities are similar, and the diversity gradients are strikingly similar despite many important physical and historical differences between the oceans. This shared diversity pattern cannot be explained by: (i) latitudinal differences in species range-length (Rapoport's rule); (ii) species-area effects; or (iii) recent geologic histories. One parameter that does correlate significantly with diversity in both oceans is solar energy input, as represented by average sea surface temperature. If this correlation is causal, sea surface temperature is probably linked to diversity through some aspect of productivity. In this case, diversity is an evolutionary outcome of trophodynamic processes inherent in ecosystems, and not just a byproduct of physical geographies.", "author" : [ { "dropping-particle" : "", "family" : "Roy", "given" : "K.", "non-dropping-particle" : "", "parse-names" : false, "suffix" : "" }, { "dropping-particle" : "", "family" : "Jablonski", "given" : "D.", "non-dropping-particle" : "", "parse-names" : false, "suffix" : "" }, { "dropping-particle" : "", "family" : "Valentine", "given" : "J. W.", "non-dropping-particle" : "", "parse-names" : false, "suffix" : "" }, { "dropping-particle" : "", "family" : "Rosenberg", "given" : "G.", "non-dropping-particle" : "", "parse-names" : false, "suffix" : "" } ], "container-title" : "PNAS", "id" : "ITEM-1", "issue" : "7", "issued" : { "date-parts" : [ [ "1998" ] ] }, "page" : "3699-3702", "title" : "Marine latitudinal diversity gradients: tests of causal hypotheses", "type" : "article-journal", "volume" : "95" }, "uris" : [ "http://www.mendeley.com/documents/?uuid=24333aa6-4e33-44cb-bd52-4a0b3cda5b33" ] } ], "mendeley" : { "formattedCitation" : "(Roy, Jablonski, Valentine, &amp; Rosenberg, 1998)", "manualFormatting" : "(Roy et al., 1998)", "plainTextFormattedCitation" : "(Roy, Jablonski, Valentine, &amp; Rosenberg, 1998)", "previouslyFormattedCitation" : "(Roy, Jablonski, Valentine, &amp; Rosenberg, 1998)" }, "properties" : { "noteIndex" : 0 }, "schema" : "https://github.com/citation-style-language/schema/raw/master/csl-citation.json" }</w:instrText>
      </w:r>
      <w:r w:rsidR="004255E7" w:rsidRPr="008608AA">
        <w:fldChar w:fldCharType="separate"/>
      </w:r>
      <w:r w:rsidR="004255E7" w:rsidRPr="008608AA">
        <w:rPr>
          <w:noProof/>
        </w:rPr>
        <w:t>(Roy et al., 1998)</w:t>
      </w:r>
      <w:r w:rsidR="004255E7" w:rsidRPr="008608AA">
        <w:fldChar w:fldCharType="end"/>
      </w:r>
      <w:r w:rsidR="004255E7" w:rsidRPr="008608AA">
        <w:t xml:space="preserve"> and foraminifera </w:t>
      </w:r>
      <w:r w:rsidR="004255E7" w:rsidRPr="008608AA">
        <w:fldChar w:fldCharType="begin" w:fldLock="1"/>
      </w:r>
      <w:r w:rsidR="004255E7" w:rsidRPr="008608AA">
        <w:instrText>ADDIN CSL_CITATION { "citationItems" : [ { "id" : "ITEM-1", "itemData" : { "DOI" : "10.1038/23449", "ISBN" : "0028-0836", "ISSN" : "1476-4687", "PMID" : "2189655", "abstract" : "Proposed explanations for the geographic distribution of zooplankton diversity include control of diversity by geographic variation in: physical and chemical properties of the near-surface ocean(1-3); the surface area of biotic provinces(4); energy availability(5); rates of evolution and extinction(6); and primary productivity(7). None of these explanations has been quantitatively tested on a basin-wide scale. Here we used assemblages of planktic foraminifera from surface sediments to test these hypotheses. Our analysis shows that sea-surface temperature measured by satellites explains nearly 90% of the geographic variation in planktic foraminiferal diversity throughout the Atlantic Ocean. Temperatures at depths of 50, 100 and 150 m (ref. 9) are highly correlated to sea-surface temperature and explain the diversity pattern nearly as well. These findings indicate that geographic variation in zooplankton diversity may be directly controlled by the physical structure of the near-surface ocean. Furthermore, our results Show that planktic foraminiferal diversity does not strictly adhere to the model of continually decreasing diversity from equator to pole. Instead, planktic foraminiferal diversity peaks in the middle latitudes in all oceans.", "author" : [ { "dropping-particle" : "", "family" : "Rutherford", "given" : "S.", "non-dropping-particle" : "", "parse-names" : false, "suffix" : "" }, { "dropping-particle" : "", "family" : "D'Hondt", "given" : "S.", "non-dropping-particle" : "", "parse-names" : false, "suffix" : "" }, { "dropping-particle" : "", "family" : "Prell", "given" : "W.", "non-dropping-particle" : "", "parse-names" : false, "suffix" : "" } ], "container-title" : "Nature", "id" : "ITEM-1", "issue" : "6746", "issued" : { "date-parts" : [ [ "1999" ] ] }, "page" : "749-753", "title" : "Environmental controls on the geographic distribution of zooplankton diversity", "type" : "article-journal", "volume" : "400" }, "uris" : [ "http://www.mendeley.com/documents/?uuid=e96950d2-8d38-42c0-80c8-f966be08c627" ] } ], "mendeley" : { "formattedCitation" : "(Rutherford, D\u2019Hondt, &amp; Prell, 1999)", "manualFormatting" : "(Rutherford et al., 1999)", "plainTextFormattedCitation" : "(Rutherford, D\u2019Hondt, &amp; Prell, 1999)", "previouslyFormattedCitation" : "(Rutherford, D\u2019Hondt, &amp; Prell, 1999)" }, "properties" : { "noteIndex" : 0 }, "schema" : "https://github.com/citation-style-language/schema/raw/master/csl-citation.json" }</w:instrText>
      </w:r>
      <w:r w:rsidR="004255E7" w:rsidRPr="008608AA">
        <w:fldChar w:fldCharType="separate"/>
      </w:r>
      <w:r w:rsidR="004255E7" w:rsidRPr="008608AA">
        <w:rPr>
          <w:noProof/>
        </w:rPr>
        <w:t>(Rutherford et al., 1999)</w:t>
      </w:r>
      <w:r w:rsidR="004255E7" w:rsidRPr="008608AA">
        <w:fldChar w:fldCharType="end"/>
      </w:r>
      <w:r w:rsidR="004255E7" w:rsidRPr="008608AA">
        <w:t xml:space="preserve"> in North America. Different biogeographic regions, reflecting major oceanographic features, have distinct invertebrate species assemblages off South America, North America, the Arctic and the Caribbean. This pattern is exemplified by the spatial distribution of the estimated 1,539 species of echinoderms inhabiting Latin America </w:t>
      </w:r>
      <w:r w:rsidR="004255E7" w:rsidRPr="008608AA">
        <w:fldChar w:fldCharType="begin" w:fldLock="1"/>
      </w:r>
      <w:r w:rsidR="004255E7" w:rsidRPr="008608AA">
        <w:instrText>ADDIN CSL_CITATION { "citationItems" : [ { "id" : "ITEM-1", "itemData" : { "DOI" : "10.1007/978-3-642-20051-9_16", "ISBN" : "9783642200519", "abstract" : "\u00a9 2013 Springer-Verlag Berlin Heidelberg. All rights are reserved. We investigated the current patterns of diversity by country and by class of echinoderms, and analyzed their biogeographical, depth, and habitat or substratum affinities, using the database of the appendix of this book. Traditionally, the area has been divided into five biogeographical Regions and nine Provinces that cover a wide climate range. Currently, the echinoderm fauna of Latin America and Canary islands is constituted by 1,539 species, with 82 species of Crinoidea, 392 species of Asteroidea, 521 species of Ophiuroidea, 242 species of Echinoidea and 302 species of Holothuroidea. Species richness is highly variable among the different countries. The number of species for the countries is highly dependent on its coast length. The echinoderm fauna of the Panamic, Gal\u00e1pagos and the Chilean regions are biogeographically related. Other regions that are closely related are the Caribbean, West Indian, Lusitania and Brazilian. Cosmopolitan species are an important component in all the regions. Affinities between faunas are a consequence of the combination of climatic and trophic factors, connectivity as a function of distance, currents patterns and historical processes. Moreover, different environmental factors would be responsible for the faunal composition and species distribution at different spatial scales. The bathymetrical distribution of the echinoderm classes and the species richness varies according to the depth range and the ocean. Most species occurred at depths between 20 and 200 m. The Caribbean-Atlantic regions are richest in shallow depths, while the Pacific coast has higher values in deeper waters. The domination of each class in each substrate and habitat categories also varies differentially along each coast.", "author" : [ { "dropping-particle" : "", "family" : "P\u00e9rez-Ruzafa", "given" : "A.", "non-dropping-particle" : "", "parse-names" : false, "suffix" : "" }, { "dropping-particle" : "", "family" : "Alvarado", "given" : "J. J.", "non-dropping-particle" : "", "parse-names" : false, "suffix" : "" }, { "dropping-particle" : "", "family" : "Sol\u00eds-Mar\u00edn", "given" : "F. A.", "non-dropping-particle" : "", "parse-names" : false, "suffix" : "" }, { "dropping-particle" : "", "family" : "Hern\u00e1ndez", "given" : "J. C.", "non-dropping-particle" : "", "parse-names" : false, "suffix" : "" }, { "dropping-particle" : "", "family" : "Morata", "given" : "A.", "non-dropping-particle" : "", "parse-names" : false, "suffix" : "" }, { "dropping-particle" : "", "family" : "Marcos", "given" : "C.", "non-dropping-particle" : "", "parse-names" : false, "suffix" : "" }, { "dropping-particle" : "", "family" : "Abreu-P\u00e9rez", "given" : "M.", "non-dropping-particle" : "", "parse-names" : false, "suffix" : "" }, { "dropping-particle" : "", "family" : "Aguilera", "given" : "O.", "non-dropping-particle" : "", "parse-names" : false, "suffix" : "" }, { "dropping-particle" : "", "family" : "Ali\u00f3", "given" : "J.", "non-dropping-particle" : "", "parse-names" : false, "suffix" : "" }, { "dropping-particle" : "", "family" : "Bacallado-Ar\u00e1nega", "given" : "J. J.", "non-dropping-particle" : "", "parse-names" : false, "suffix" : "" }, { "dropping-particle" : "", "family" : "Barraza", "given" : "E.", "non-dropping-particle" : "", "parse-names" : false, "suffix" : "" }, { "dropping-particle" : "", "family" : "Benavides-Serrato", "given" : "M.", "non-dropping-particle" : "", "parse-names" : false, "suffix" : "" }, { "dropping-particle" : "", "family" : "Ben\u00edtez-Villalobos", "given" : "F.", "non-dropping-particle" : "", "parse-names" : false, "suffix" : "" }, { "dropping-particle" : "", "family" : "Betancourt-Fern\u00e1ndez", "given" : "L.", "non-dropping-particle" : "", "parse-names" : false, "suffix" : "" }, { "dropping-particle" : "", "family" : "Borges", "given" : "M.", "non-dropping-particle" : "", "parse-names" : false, "suffix" : "" }, { "dropping-particle" : "", "family" : "Brandt", "given" : "M.", "non-dropping-particle" : "", "parse-names" : false, "suffix" : "" }, { "dropping-particle" : "", "family" : "Brogger", "given" : "M. I.", "non-dropping-particle" : "", "parse-names" : false, "suffix" : "" }, { "dropping-particle" : "", "family" : "Borrero-P\u00e9rez", "given" : "G. H.", "non-dropping-particle" : "", "parse-names" : false, "suffix" : "" }, { "dropping-particle" : "", "family" : "Buitr\u00f3n-S\u00e1nchez", "given" : "B. E.", "non-dropping-particle" : "", "parse-names" : false, "suffix" : "" }, { "dropping-particle" : "", "family" : "Campos", "given" : "L. S.", "non-dropping-particle" : "", "parse-names" : false, "suffix" : "" }, { "dropping-particle" : "", "family" : "Cantera", "given" : "J. R.", "non-dropping-particle" : "", "parse-names" : false, "suffix" : "" }, { "dropping-particle" : "", "family" : "Clemente", "given" : "S.", "non-dropping-particle" : "", "parse-names" : false, "suffix" : "" }, { "dropping-particle" : "", "family" : "Cohen-Renfijo", "given" : "M.", "non-dropping-particle" : "", "parse-names" : false, "suffix" : "" }, { "dropping-particle" : "", "family" : "Coppard", "given" : "S. E.", "non-dropping-particle" : "", "parse-names" : false, "suffix" : "" }, { "dropping-particle" : "V.", "family" : "Costa-Lotufo", "given" : "L.", "non-dropping-particle" : "", "parse-names" : false, "suffix" : "" }, { "dropping-particle" : "", "family" : "Valle-Garc\u00eda", "given" : "R.", "non-dropping-particle" : "Del", "parse-names" : false, "suffix" : "" }, { "dropping-particle" : "", "family" : "D\u00edaz De Vivar", "given" : "M. E.", "non-dropping-particle" : "", "parse-names" : false, "suffix" : "" }, { "dropping-particle" : "", "family" : "D\u00edaz-Mart\u00ednez", "given" : "J. P.", "non-dropping-particle" : "", "parse-names" : false, "suffix" : "" }, { "dropping-particle" : "", "family" : "D\u00edaz", "given" : "Y.", "non-dropping-particle" : "", "parse-names" : false, "suffix" : "" }, { "dropping-particle" : "", "family" : "Dur\u00e1n-Gonz\u00e1lez", "given" : "A.", "non-dropping-particle" : "", "parse-names" : false, "suffix" : "" }, { "dropping-particle" : "", "family" : "Epherra", "given" : "L.", "non-dropping-particle" : "", "parse-names" : false, "suffix" : "" }, { "dropping-particle" : "", "family" : "Escolar", "given" : "M.", "non-dropping-particle" : "", "parse-names" : false, "suffix" : "" }, { "dropping-particle" : "", "family" : "Francisco", "given" : "V.", "non-dropping-particle" : "", "parse-names" : false, "suffix" : "" }, { "dropping-particle" : "", "family" : "Freire", "given" : "C. A.", "non-dropping-particle" : "", "parse-names" : false, "suffix" : "" }, { "dropping-particle" : "", "family" : "Garc\u00eda-Arrar\u00e1s", "given" : "J. E.", "non-dropping-particle" : "", "parse-names" : false, "suffix" : "" }, { "dropping-particle" : "", "family" : "Gil", "given" : "D. G.", "non-dropping-particle" : "", "parse-names" : false, "suffix" : "" }, { "dropping-particle" : "", "family" : "Guarderas", "given" : "P.", "non-dropping-particle" : "", "parse-names" : false, "suffix" : "" }, { "dropping-particle" : "", "family" : "Hadel", "given" : "V. F.", "non-dropping-particle" : "", "parse-names" : false, "suffix" : "" }, { "dropping-particle" : "", "family" : "Hearn", "given" : "A.", "non-dropping-particle" : "", "parse-names" : false, "suffix" : "" }, { "dropping-particle" : "", "family" : "Hern\u00e1ndez-Delgado", "given" : "E. A.", "non-dropping-particle" : "", "parse-names" : false, "suffix" : "" }, { "dropping-particle" : "", "family" : "Herrera-Moreno", "given" : "A.", "non-dropping-particle" : "", "parse-names" : false, "suffix" : "" }, { "dropping-particle" : "", "family" : "Herrero-P\u00e9rezrul", "given" : "M. D.", "non-dropping-particle" : "", "parse-names" : false, "suffix" : "" }, { "dropping-particle" : "", "family" : "Hooker", "given" : "Y.", "non-dropping-particle" : "", "parse-names" : false, "suffix" : "" }, { "dropping-particle" : "", "family" : "Honey-Escand\u00f3n", "given" : "M. B I", "non-dropping-particle" : "", "parse-names" : false, "suffix" : "" }, { "dropping-particle" : "", "family" : "Lodeiros", "given" : "C.", "non-dropping-particle" : "", "parse-names" : false, "suffix" : "" }, { "dropping-particle" : "", "family" : "Luzuriaga", "given" : "M.", "non-dropping-particle" : "", "parse-names" : false, "suffix" : "" }, { "dropping-particle" : "", "family" : "Manso", "given" : "C. L. C.", "non-dropping-particle" : "", "parse-names" : false, "suffix" : "" }, { "dropping-particle" : "", "family" : "Mart\u00edn", "given" : "A.", "non-dropping-particle" : "", "parse-names" : false, "suffix" : "" }, { "dropping-particle" : "", "family" : "Mart\u00ednez", "given" : "M. I.", "non-dropping-particle" : "", "parse-names" : false, "suffix" : "" }, { "dropping-particle" : "", "family" : "Mart\u00ednez", "given" : "S.", "non-dropping-particle" : "", "parse-names" : false, "suffix" : "" }, { "dropping-particle" : "", "family" : "Moro-Abad", "given" : "L.", "non-dropping-particle" : "", "parse-names" : false, "suffix" : "" }, { "dropping-particle" : "", "family" : "Mutschke", "given" : "E.", "non-dropping-particle" : "", "parse-names" : false, "suffix" : "" }, { "dropping-particle" : "", "family" : "Navarro", "given" : "J. C.", "non-dropping-particle" : "", "parse-names" : false, "suffix" : "" }, { "dropping-particle" : "", "family" : "Neira", "given" : "R.", "non-dropping-particle" : "", "parse-names" : false, "suffix" : "" }, { "dropping-particle" : "", "family" : "Noriega", "given" : "N.", "non-dropping-particle" : "", "parse-names" : false, "suffix" : "" }, { "dropping-particle" : "", "family" : "Palleiro-Nayar", "given" : "J. S.", "non-dropping-particle" : "", "parse-names" : false, "suffix" : "" }, { "dropping-particle" : "", "family" : "P\u00e9rez", "given" : "A. F.", "non-dropping-particle" : "", "parse-names" : false, "suffix" : "" }, { "dropping-particle" : "", "family" : "Prieto-R\u00edos", "given" : "E.", "non-dropping-particle" : "", "parse-names" : false, "suffix" : "" }, { "dropping-particle" : "", "family" : "Reyes", "given" : "J.", "non-dropping-particle" : "", "parse-names" : false, "suffix" : "" }, { "dropping-particle" : "", "family" : "Rodr\u00edguez-Barreras", "given" : "R.", "non-dropping-particle" : "", "parse-names" : false, "suffix" : "" }, { "dropping-particle" : "", "family" : "Rubilar", "given" : "T.", "non-dropping-particle" : "", "parse-names" : false, "suffix" : "" }, { "dropping-particle" : "", "family" : "Sancho-Mej\u00edas", "given" : "T. I.", "non-dropping-particle" : "", "parse-names" : false, "suffix" : "" }, { "dropping-particle" : "", "family" : "Sangil", "given" : "C.", "non-dropping-particle" : "", "parse-names" : false, "suffix" : "" }, { "dropping-particle" : "", "family" : "Silva", "given" : "J. R. M. C.", "non-dropping-particle" : "", "parse-names" : false, "suffix" : "" }, { "dropping-particle" : "", "family" : "Sonnenholzner", "given" : "J. I.", "non-dropping-particle" : "", "parse-names" : false, "suffix" : "" }, { "dropping-particle" : "", "family" : "Ventura", "given" : "C. R. R.", "non-dropping-particle" : "", "parse-names" : false, "suffix" : "" }, { "dropping-particle" : "", "family" : "Tablado", "given" : "A.", "non-dropping-particle" : "", "parse-names" : false, "suffix" : "" }, { "dropping-particle" : "", "family" : "Tavares", "given" : "Y.", "non-dropping-particle" : "", "parse-names" : false, "suffix" : "" }, { "dropping-particle" : "", "family" : "Tiago", "given" : "C. G.", "non-dropping-particle" : "", "parse-names" : false, "suffix" : "" }, { "dropping-particle" : "", "family" : "Tuya", "given" : "F.", "non-dropping-particle" : "", "parse-names" : false, "suffix" : "" }, { "dropping-particle" : "", "family" : "Williams", "given" : "S. M.", "non-dropping-particle" : "", "parse-names" : false, "suffix" : "" } ], "container-title" : "Echinoderm Research and Diversity in Latin America", "editor" : [ { "dropping-particle" : "", "family" : "Alvarado", "given" : "J.J.", "non-dropping-particle" : "", "parse-names" : false, "suffix" : "" }, { "dropping-particle" : "", "family" : "Sol\u00eds-Mar\u00edn", "given" : "F.A.", "non-dropping-particle" : "", "parse-names" : false, "suffix" : "" } ], "id" : "ITEM-1", "issued" : { "date-parts" : [ [ "2013" ] ] }, "page" : "511-542", "publisher" : "Springer", "publisher-place" : "Berlin, Germany", "title" : "Latin America echinoderm biodiversity and biogeography: patterns and affinities", "type" : "chapter" }, "uris" : [ "http://www.mendeley.com/documents/?uuid=fc97bb82-6b38-4b1d-8e90-fbba428100af" ] } ], "mendeley" : { "formattedCitation" : "(P\u00e9rez-Ruzafa et al., 2013)", "plainTextFormattedCitation" : "(P\u00e9rez-Ruzafa et al., 2013)", "previouslyFormattedCitation" : "(P\u00e9rez-Ruzafa et al., 2013)" }, "properties" : { "noteIndex" : 0 }, "schema" : "https://github.com/citation-style-language/schema/raw/master/csl-citation.json" }</w:instrText>
      </w:r>
      <w:r w:rsidR="004255E7" w:rsidRPr="008608AA">
        <w:fldChar w:fldCharType="separate"/>
      </w:r>
      <w:r w:rsidR="004255E7" w:rsidRPr="008608AA">
        <w:rPr>
          <w:noProof/>
        </w:rPr>
        <w:t>(Pérez-Ruzafa et al., 2013)</w:t>
      </w:r>
      <w:r w:rsidR="004255E7" w:rsidRPr="008608AA">
        <w:fldChar w:fldCharType="end"/>
      </w:r>
      <w:r w:rsidR="004255E7" w:rsidRPr="008608AA">
        <w:t xml:space="preserve">. The Western Atlantic and the coast of South America host an exceptionally high diversity of the world’s 2064 ophiuroid echinoderms (335 species) with high rates of endemism </w:t>
      </w:r>
      <w:r w:rsidR="004255E7" w:rsidRPr="008608AA">
        <w:fldChar w:fldCharType="begin" w:fldLock="1"/>
      </w:r>
      <w:r w:rsidR="004255E7" w:rsidRPr="008608AA">
        <w:instrText>ADDIN CSL_CITATION { "citationItems" : [ { "id" : "ITEM-1", "itemData" : { "DOI" : "10.1371/journal.pone.0031940", "ISBN" : "1932-6203 (Electronic)\\r1932-6203 (Linking)", "ISSN" : "19326203", "PMID" : "22396744", "abstract" : "This review presents a comprehensive overview of the current status regarding the global diversity of the echinoderm class Ophiuroidea, focussing on taxonomy and distribution patterns, with brief introduction to their anatomy, biology, phylogeny, and palaeontological history. A glossary of terms is provided. Species names and taxonomic decisions have been extracted from the literature and compiled in The World Ophiuroidea Database, part of the World Register of Marine Species (WoRMS). Ophiuroidea, with 2064 known species, are the largest class of Echinodermata. A table presents 16 families with numbers of genera and species. The largest are Amphiuridae (467), Ophiuridae (344 species) and Ophiacanthidae (319 species). A biogeographic analysis for all world oceans and all accepted species was performed, based on published distribution records. Approximately similar numbers of species were recorded from the shelf (n = 1313) and bathyal depth strata (1297). The Indo-Pacific region had the highest species richness overall (825 species) and at all depths. Adjacent regions were also relatively species rich, including the North Pacific (398), South Pacific (355) and Indian (316) due to the presence of many Indo-Pacific species that partially extended into these regions. A secondary region of enhanced species richness was found in the West Atlantic (335). Regions of relatively low species richness include the Arctic (73 species), East Atlantic (118), South America (124) and Antarctic (126).", "author" : [ { "dropping-particle" : "", "family" : "St\u00f6hr", "given" : "Sabine", "non-dropping-particle" : "", "parse-names" : false, "suffix" : "" }, { "dropping-particle" : "", "family" : "O'Hara", "given" : "Timothy D.", "non-dropping-particle" : "", "parse-names" : false, "suffix" : "" }, { "dropping-particle" : "", "family" : "Thuy", "given" : "Ben", "non-dropping-particle" : "", "parse-names" : false, "suffix" : "" } ], "container-title" : "PLoS ONE", "id" : "ITEM-1", "issue" : "3", "issued" : { "date-parts" : [ [ "2012" ] ] }, "page" : "e31940", "title" : "Global diversity of brittle stars (Echinodermata: Ophiuroidea)", "type" : "article-journal", "volume" : "7" }, "uris" : [ "http://www.mendeley.com/documents/?uuid=e5db5204-e4fd-3d3b-a905-b89ec974b204" ] } ], "mendeley" : { "formattedCitation" : "(St\u00f6hr, O\u2019Hara, &amp; Thuy, 2012)", "manualFormatting" : "(St\u00f6hr et al., 2012)", "plainTextFormattedCitation" : "(St\u00f6hr, O\u2019Hara, &amp; Thuy, 2012)", "previouslyFormattedCitation" : "(St\u00f6hr, O\u2019Hara, &amp; Thuy, 2012)" }, "properties" : { "noteIndex" : 0 }, "schema" : "https://github.com/citation-style-language/schema/raw/master/csl-citation.json" }</w:instrText>
      </w:r>
      <w:r w:rsidR="004255E7" w:rsidRPr="008608AA">
        <w:fldChar w:fldCharType="separate"/>
      </w:r>
      <w:r w:rsidR="004255E7" w:rsidRPr="008608AA">
        <w:rPr>
          <w:noProof/>
        </w:rPr>
        <w:t>(Stöhr et al., 2012)</w:t>
      </w:r>
      <w:r w:rsidR="004255E7" w:rsidRPr="008608AA">
        <w:fldChar w:fldCharType="end"/>
      </w:r>
      <w:r w:rsidR="004255E7" w:rsidRPr="008608AA">
        <w:t>.</w:t>
      </w:r>
    </w:p>
    <w:p w14:paraId="4FE62E52" w14:textId="77777777" w:rsidR="00E714CA" w:rsidRPr="008608AA" w:rsidRDefault="00E714CA" w:rsidP="00E714CA">
      <w:pPr>
        <w:spacing w:before="120" w:after="120"/>
      </w:pPr>
    </w:p>
    <w:p w14:paraId="3D16DDE2" w14:textId="7E0625C0" w:rsidR="004255E7" w:rsidRPr="008608AA" w:rsidRDefault="004255E7" w:rsidP="00E714CA">
      <w:pPr>
        <w:pStyle w:val="Heading4"/>
      </w:pPr>
      <w:bookmarkStart w:id="959" w:name="_Toc502927347"/>
      <w:bookmarkStart w:id="960" w:name="_Toc517393301"/>
      <w:bookmarkStart w:id="961" w:name="_Toc517719042"/>
      <w:bookmarkStart w:id="962" w:name="_Toc517796999"/>
      <w:r w:rsidRPr="008608AA">
        <w:t>Patterns and trends in marine invasive species</w:t>
      </w:r>
      <w:bookmarkEnd w:id="959"/>
      <w:bookmarkEnd w:id="960"/>
      <w:bookmarkEnd w:id="961"/>
      <w:bookmarkEnd w:id="962"/>
      <w:r w:rsidRPr="008608AA">
        <w:t xml:space="preserve"> </w:t>
      </w:r>
    </w:p>
    <w:p w14:paraId="314B05BD" w14:textId="5182B7DC" w:rsidR="000B3919" w:rsidRPr="008608AA" w:rsidRDefault="004255E7" w:rsidP="00E714CA">
      <w:pPr>
        <w:spacing w:after="120"/>
      </w:pPr>
      <w:r w:rsidRPr="008608AA">
        <w:t>Status</w:t>
      </w:r>
      <w:r w:rsidR="00C04AD0" w:rsidRPr="008608AA">
        <w:t xml:space="preserve">. </w:t>
      </w:r>
      <w:r w:rsidRPr="008608AA">
        <w:t xml:space="preserve">Pagad et al. </w:t>
      </w:r>
      <w:r w:rsidRPr="008608AA">
        <w:fldChar w:fldCharType="begin" w:fldLock="1"/>
      </w:r>
      <w:r w:rsidRPr="008608AA">
        <w:instrText>ADDIN CSL_CITATION { "citationItems" : [ { "id" : "ITEM-1", "itemData" : { "URL" : "http://www.marinespecies.org/introduced", "accessed" : { "date-parts" : [ [ "2017", "3", "15" ] ] }, "author" : [ { "dropping-particle" : "", "family" : "Pagad", "given" : "S.", "non-dropping-particle" : "", "parse-names" : false, "suffix" : "" }, { "dropping-particle" : "", "family" : "Hayes", "given" : "K.", "non-dropping-particle" : "", "parse-names" : false, "suffix" : "" }, { "dropping-particle" : "", "family" : "Katsanevakis", "given" : "S.", "non-dropping-particle" : "", "parse-names" : false, "suffix" : "" }, { "dropping-particle" : "", "family" : "Costello", "given" : "M. J.", "non-dropping-particle" : "", "parse-names" : false, "suffix" : "" } ], "id" : "ITEM-1", "issued" : { "date-parts" : [ [ "2017" ] ] }, "title" : "World Register of Introduced Marine Species (WRIMS)", "type" : "webpage" }, "uris" : [ "http://www.mendeley.com/documents/?uuid=d6f5f9ca-4ca3-3302-9af9-4f4e8a014a45" ] } ], "mendeley" : { "formattedCitation" : "(Pagad, Hayes, Katsanevakis, &amp; Costello, 2017)", "manualFormatting" : "(2017)", "plainTextFormattedCitation" : "(Pagad, Hayes, Katsanevakis, &amp; Costello, 2017)", "previouslyFormattedCitation" : "(Pagad, Hayes, Katsanevakis, &amp; Costello, 2017)" }, "properties" : { "noteIndex" : 0 }, "schema" : "https://github.com/citation-style-language/schema/raw/master/csl-citation.json" }</w:instrText>
      </w:r>
      <w:r w:rsidRPr="008608AA">
        <w:fldChar w:fldCharType="separate"/>
      </w:r>
      <w:r w:rsidRPr="008608AA">
        <w:rPr>
          <w:noProof/>
        </w:rPr>
        <w:t>(2017)</w:t>
      </w:r>
      <w:r w:rsidRPr="008608AA">
        <w:fldChar w:fldCharType="end"/>
      </w:r>
      <w:r w:rsidRPr="008608AA">
        <w:t xml:space="preserve"> document 2,103 introduced marine species worldwide, of which 305 are considered strongly invasive. According to this source, the North American continent has 388 alien marine species (70 invasives); Mexico, 94 (6 invasives); the Caribbean Sea, 47 (5 invasives); Brazil, 49 (9 invasives); Argentina, 25 (1 invasive) and Greenland, 1</w:t>
      </w:r>
      <w:r w:rsidR="00C5395F" w:rsidRPr="008608AA">
        <w:t xml:space="preserve"> </w:t>
      </w:r>
      <w:r w:rsidRPr="008608AA">
        <w:t>(not invasive).</w:t>
      </w:r>
    </w:p>
    <w:p w14:paraId="2E4FC1B4" w14:textId="77777777" w:rsidR="00E714CA" w:rsidRPr="008608AA" w:rsidRDefault="00E714CA" w:rsidP="00E714CA">
      <w:pPr>
        <w:spacing w:after="120"/>
      </w:pPr>
    </w:p>
    <w:p w14:paraId="44249BC9" w14:textId="2EE7CDD6" w:rsidR="00E714CA" w:rsidRPr="008608AA" w:rsidRDefault="00B2242D" w:rsidP="00E714CA">
      <w:pPr>
        <w:spacing w:before="120" w:after="120"/>
        <w:jc w:val="center"/>
      </w:pPr>
      <w:r w:rsidRPr="008608AA">
        <w:rPr>
          <w:noProof/>
          <w:lang w:val="en-GB" w:eastAsia="en-GB"/>
        </w:rPr>
        <w:drawing>
          <wp:inline distT="0" distB="0" distL="0" distR="0" wp14:anchorId="48F01C52" wp14:editId="0D3F8A5C">
            <wp:extent cx="5934075" cy="3409950"/>
            <wp:effectExtent l="0" t="0" r="9525" b="0"/>
            <wp:docPr id="30313" name="Imagen 30313" descr="C:\Users\Alejandro Valderrama\Downloads\Fig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5" descr="C:\Users\Alejandro Valderrama\Downloads\Fig3.11.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b="60134"/>
                    <a:stretch/>
                  </pic:blipFill>
                  <pic:spPr bwMode="auto">
                    <a:xfrm>
                      <a:off x="0" y="0"/>
                      <a:ext cx="5934075" cy="3409950"/>
                    </a:xfrm>
                    <a:prstGeom prst="rect">
                      <a:avLst/>
                    </a:prstGeom>
                    <a:noFill/>
                    <a:ln>
                      <a:noFill/>
                    </a:ln>
                    <a:extLst>
                      <a:ext uri="{53640926-AAD7-44D8-BBD7-CCE9431645EC}">
                        <a14:shadowObscured xmlns:a14="http://schemas.microsoft.com/office/drawing/2010/main"/>
                      </a:ext>
                    </a:extLst>
                  </pic:spPr>
                </pic:pic>
              </a:graphicData>
            </a:graphic>
          </wp:inline>
        </w:drawing>
      </w:r>
    </w:p>
    <w:p w14:paraId="5FCCDB41" w14:textId="005DBCBD" w:rsidR="004255E7" w:rsidRPr="008608AA" w:rsidRDefault="004255E7" w:rsidP="00E714CA">
      <w:pPr>
        <w:spacing w:before="120" w:after="120"/>
      </w:pPr>
      <w:r w:rsidRPr="008608AA">
        <w:t>In general</w:t>
      </w:r>
      <w:r w:rsidR="00480E3C" w:rsidRPr="008608AA">
        <w:t>,</w:t>
      </w:r>
      <w:r w:rsidRPr="008608AA">
        <w:t xml:space="preserve"> North American waters are more heavily invaded than those of other subregions (Figure 3.11). However, differences between North and South America are less evident when considering invasive algae (including native invasive species) </w:t>
      </w:r>
      <w:r w:rsidRPr="008608AA">
        <w:fldChar w:fldCharType="begin" w:fldLock="1"/>
      </w:r>
      <w:r w:rsidRPr="008608AA">
        <w:instrText>ADDIN CSL_CITATION { "citationItems" : [ { "id" : "ITEM-1", "itemData" : { "DOI" : "10.1073/pnas.1524427113", "ISBN" : "1215421109", "ISSN" : "0027-8424", "PMID" : "27091983", "abstract" : "SignificancePredicting the arrival of alien species remains a big challenge, which is assumed to be a consequence of the complexity of the invasion process. Here, we demonstrate that spreading of alien marine species can be predicted by a simple model using only global shipping intensities, environmental variables, and species occurrence data. We provide species lists of the next potentially invading species in a local habitat or species causing harmful algal blooms with their associated probability of invasion. This will help to improve mitigation strategies to reduce the further introduction of alien species. Although this study focuses on marine algae, the model approach can be easily adopted to other taxonomic groups and their respective drivers of invasion. The human-mediated translocation of species poses a distinct threat to nature, human health, and economy. Although existing models calculate the invasion probability of any species, frameworks for species-specific forecasts are still missing. Here, we developed a model approach using global ship movements and environmental conditions to simulate the successive global spread of marine alien species that allows predicting the identity of those species likely to arrive next in a given habitat. In a first step, we simulated the historical stepping-stone spreading dynamics of 40 marine alien species and compared predicted and observed alien species ranges. With an accuracy of 77%, the model correctly predicted the presence/absence of an alien species in an ecoregion. Spreading dynamics followed a common pattern with an initial invasion of most suitable habitats worldwide and a subsequent spread into neighboring habitats. In a second step, we used the reported distribution of 97 marine algal species with a known invasion history, and six species causing harmful algal blooms, to determine the ecoregions most likely to be invaded next under climate warming. Cluster analysis revealed that species can be classified according to three characteristic spreading profiles: emerging species, high-risk species, and widespread species. For the North Sea, the model predictions could be confirmed because two of the predicted high-risk species have recently invaded the North Sea. This study highlights that even simple models considering only shipping intensities and habitat matches are able to correctly predict the identity of the next invading marine species.", "author" : [ { "dropping-particle" : "", "family" : "Seebens", "given" : "Hanno", "non-dropping-particle" : "", "parse-names" : false, "suffix" : "" }, { "dropping-particle" : "", "family" : "Schwartz", "given" : "Nicole", "non-dropping-particle" : "", "parse-names" : false, "suffix" : "" }, { "dropping-particle" : "", "family" : "Schupp", "given" : "Peter J.", "non-dropping-particle" : "", "parse-names" : false, "suffix" : "" }, { "dropping-particle" : "", "family" : "Blasius", "given" : "Bernd", "non-dropping-particle" : "", "parse-names" : false, "suffix" : "" } ], "container-title" : "PNAS", "id" : "ITEM-1", "issue" : "20", "issued" : { "date-parts" : [ [ "2016" ] ] }, "page" : "5646-5651", "title" : "Predicting the spread of marine species introduced by global shipping", "type" : "article-journal", "volume" : "113" }, "uris" : [ "http://www.mendeley.com/documents/?uuid=81f167a4-60bd-3cd7-b309-19d44ab2f766" ] } ], "mendeley" : { "formattedCitation" : "(Seebens, Schwartz, Schupp, &amp; Blasius, 2016)", "manualFormatting" : "(Figure  1.A in Seebens et al., 2016)", "plainTextFormattedCitation" : "(Seebens, Schwartz, Schupp, &amp; Blasius, 2016)", "previouslyFormattedCitation" : "(Seebens, Schwartz, Schupp, &amp; Blasius, 2016)" }, "properties" : { "noteIndex" : 0 }, "schema" : "https://github.com/citation-style-language/schema/raw/master/csl-citation.json" }</w:instrText>
      </w:r>
      <w:r w:rsidRPr="008608AA">
        <w:fldChar w:fldCharType="separate"/>
      </w:r>
      <w:r w:rsidRPr="008608AA">
        <w:rPr>
          <w:noProof/>
        </w:rPr>
        <w:t>(Figure 1.A in Seebens et al., 2016)</w:t>
      </w:r>
      <w:r w:rsidRPr="008608AA">
        <w:fldChar w:fldCharType="end"/>
      </w:r>
      <w:r w:rsidRPr="008608AA">
        <w:t xml:space="preserve">. Miloslavich et al. </w:t>
      </w:r>
      <w:r w:rsidRPr="008608AA">
        <w:fldChar w:fldCharType="begin" w:fldLock="1"/>
      </w:r>
      <w:r w:rsidRPr="008608AA">
        <w:instrText>ADDIN CSL_CITATION { "citationItems" : [ { "id" : "ITEM-1", "itemData" : { "author" : [ { "dropping-particle" : "", "family" : "Miloslavich", "given" : "P.", "non-dropping-particle" : "", "parse-names" : false, "suffix" : "" }, { "dropping-particle" : "", "family" : "Klein", "given" : "E.", "non-dropping-particle" : "", "parse-names" : false, "suffix" : "" }, { "dropping-particle" : "", "family" : "Diaz", "given" : "J. M.", "non-dropping-particle" : "", "parse-names" : false, "suffix" : "" }, { "dropping-particle" : "", "family" : "Hernandez", "given" : "C. E.", "non-dropping-particle" : "", "parse-names" : false, "suffix" : "" }, { "dropping-particle" : "", "family" : "Bigatti", "given" : "G.", "non-dropping-particle" : "", "parse-names" : false, "suffix" : "" }, { "dropping-particle" : "", "family" : "Campos", "given" : "L.", "non-dropping-particle" : "", "parse-names" : false, "suffix" : "" }, { "dropping-particle" : "", "family" : "Artigas", "given" : "F.", "non-dropping-particle" : "", "parse-names" : false, "suffix" : "" }, { "dropping-particle" : "", "family" : "Castillo", "given" : "J.", "non-dropping-particle" : "", "parse-names" : false, "suffix" : "" }, { "dropping-particle" : "", "family" : "Penchaszadeh", "given" : "P. E.", "non-dropping-particle" : "", "parse-names" : false, "suffix" : "" }, { "dropping-particle" : "", "family" : "Neill", "given" : "P. E.", "non-dropping-particle" : "", "parse-names" : false, "suffix" : "" }, { "dropping-particle" : "", "family" : "Carranza", "given" : "A.", "non-dropping-particle" : "", "parse-names" : false, "suffix" : "" }, { "dropping-particle" : "V.", "family" : "Retana", "given" : "M.", "non-dropping-particle" : "", "parse-names" : false, "suffix" : "" }, { "dropping-particle" : "", "family" : "Astarloa", "given" : "J. M. D.", "non-dropping-particle" : "de", "parse-names" : false, "suffix" : "" }, { "dropping-particle" : "", "family" : "Lewis", "given" : "M.", "non-dropping-particle" : "", "parse-names" : false, "suffix" : "" }, { "dropping-particle" : "", "family" : "Yorio", "given" : "P.", "non-dropping-particle" : "", "parse-names" : false, "suffix" : "" }, { "dropping-particle" : "", "family" : "Piriz", "given" : "M. L.", "non-dropping-particle" : "", "parse-names" : false, "suffix" : "" }, { "dropping-particle" : "", "family" : "Rodriguez", "given" : "D.", "non-dropping-particle" : "", "parse-names" : false, "suffix" : "" }, { "dropping-particle" : "", "family" : "Yoneshigue-Valentin", "given" : "Y.", "non-dropping-particle" : "", "parse-names" : false, "suffix" : "" }, { "dropping-particle" : "", "family" : "Gamboa", "given" : "L.", "non-dropping-particle" : "", "parse-names" : false, "suffix" : "" }, { "dropping-particle" : "", "family" : "Martin", "given" : "A.", "non-dropping-particle" : "", "parse-names" : false, "suffix" : "" } ], "container-title" : "PLoS ONE", "id" : "ITEM-1", "issue" : "1", "issued" : { "date-parts" : [ [ "2011" ] ] }, "page" : "e14631", "title" : "Marine biodiversity in the Atlantic and Pacific Coasts of South America: Knowledge and gaps", "type" : "article-journal", "volume" : "6" }, "uris" : [ "http://www.mendeley.com/documents/?uuid=246eab2d-4b4d-4a5b-84d6-71f834bbfe2d" ] } ], "mendeley" : { "formattedCitation" : "(P. Miloslavich et al., 2011)", "manualFormatting" : "(2011)", "plainTextFormattedCitation" : "(P. Miloslavich et al., 2011)", "previouslyFormattedCitation" : "(P. Miloslavich et al., 2011)" }, "properties" : { "noteIndex" : 0 }, "schema" : "https://github.com/citation-style-language/schema/raw/master/csl-citation.json" }</w:instrText>
      </w:r>
      <w:r w:rsidRPr="008608AA">
        <w:fldChar w:fldCharType="separate"/>
      </w:r>
      <w:r w:rsidRPr="008608AA">
        <w:rPr>
          <w:noProof/>
        </w:rPr>
        <w:t>(2011)</w:t>
      </w:r>
      <w:r w:rsidRPr="008608AA">
        <w:fldChar w:fldCharType="end"/>
      </w:r>
      <w:r w:rsidRPr="008608AA">
        <w:t xml:space="preserve"> report more alien species at cooler latitudes in South America, but this difference might be influenced by sampling density at other latitudes. Most alien and invasive invertebrate and algal species are found in bays and estuaries, with few occurring on outer coasts </w:t>
      </w:r>
      <w:r w:rsidRPr="008608AA">
        <w:fldChar w:fldCharType="begin" w:fldLock="1"/>
      </w:r>
      <w:r w:rsidRPr="008608AA">
        <w:instrText>ADDIN CSL_CITATION { "citationItems" : [ { "id" : "ITEM-1", "itemData" : { "DOI" : "10.1080/14634988.2015.1027534", "ISSN" : "1463-4988", "abstract" : "The known extent of biological invasions exhibits strong variation with respect to space, time, taxonomic group, and vector. Using a synthesis of nonindigenous species (NIS) occurrences in North America, we characterized the invasion history for coastal marine ecosystems by invertebrates and algae through 2010, to evaluate variation and existing patterns at a continental scale. This study updates a previous analysis of invasions for the same taxonomic groups in North America, providing a first assessment of changes in the last 11 year period (2000\u20132010). Overall, we documented 450 marine and estuarine NIS that are considered to have established populations in tidal waters of North America, representing a 51% increase in NIS richness compared to the earlier analysis. Of the 152 species added, 71 species (47%) have first documented records since the year 1999, and 81 species (53%) were additions attributed to earlier time periods due to recent reports and further analysis. Across all time periods, taxonomic...", "author" : [ { "dropping-particle" : "", "family" : "Ruiz", "given" : "Gregory M.", "non-dropping-particle" : "", "parse-names" : false, "suffix" : "" }, { "dropping-particle" : "", "family" : "Fofonoff", "given" : "Paul W.", "non-dropping-particle" : "", "parse-names" : false, "suffix" : "" }, { "dropping-particle" : "", "family" : "Steves", "given" : "Brian P.", "non-dropping-particle" : "", "parse-names" : false, "suffix" : "" }, { "dropping-particle" : "", "family" : "Carlton", "given" : "James T.", "non-dropping-particle" : "", "parse-names" : false, "suffix" : "" } ], "container-title" : "Aquatic Ecosystem Health &amp; Management", "id" : "ITEM-1", "issue" : "3", "issued" : { "date-parts" : [ [ "2015" ] ] }, "page" : "299-311", "title" : "Invasion history and vector dynamics in coastal marine ecosystems: a North American perspective", "type" : "article-journal", "volume" : "18" }, "uris" : [ "http://www.mendeley.com/documents/?uuid=9d328419-3034-3a94-adcd-bd3f609eeb85" ] } ], "mendeley" : { "formattedCitation" : "(Ruiz, Fofonoff, Steves, &amp; Carlton, 2015)", "manualFormatting" : "(Ruiz et al., 2015)", "plainTextFormattedCitation" : "(Ruiz, Fofonoff, Steves, &amp; Carlton, 2015)", "previouslyFormattedCitation" : "(Ruiz, Fofonoff, Steves, &amp; Carlton, 2015)" }, "properties" : { "noteIndex" : 0 }, "schema" : "https://github.com/citation-style-language/schema/raw/master/csl-citation.json" }</w:instrText>
      </w:r>
      <w:r w:rsidRPr="008608AA">
        <w:fldChar w:fldCharType="separate"/>
      </w:r>
      <w:r w:rsidRPr="008608AA">
        <w:rPr>
          <w:noProof/>
        </w:rPr>
        <w:t>(Ruiz et al., 2015)</w:t>
      </w:r>
      <w:r w:rsidRPr="008608AA">
        <w:fldChar w:fldCharType="end"/>
      </w:r>
      <w:r w:rsidRPr="008608AA">
        <w:t xml:space="preserve">. San Francisco Bay, USA, may the most invaded marine region on Earth, with more than half its fish and most of its benthic invertebrates being non-native </w:t>
      </w:r>
      <w:r w:rsidRPr="008608AA">
        <w:fldChar w:fldCharType="begin" w:fldLock="1"/>
      </w:r>
      <w:r w:rsidRPr="008608AA">
        <w:instrText>ADDIN CSL_CITATION { "citationItems" : [ { "id" : "ITEM-1", "itemData" : { "author" : [ { "dropping-particle" : "", "family" : "Cohen", "given" : "Andrew", "non-dropping-particle" : "", "parse-names" : false, "suffix" : "" }, { "dropping-particle" : "", "family" : "Carlton", "given" : "James", "non-dropping-particle" : "", "parse-names" : false, "suffix" : "" } ], "container-title" : "Science", "id" : "ITEM-1", "issue" : "5350", "issued" : { "date-parts" : [ [ "1998" ] ] }, "page" : "555-558", "title" : "Accelerating invasion rate in a highly invaded estuary", "type" : "article-journal", "volume" : "279" }, "uris" : [ "http://www.mendeley.com/documents/?uuid=8b917012-0231-46ed-9f56-313583b4f3bb" ] } ], "mendeley" : { "formattedCitation" : "(Cohen &amp; Carlton, 1998)", "manualFormatting" : "(Cohen &amp; Carlton, 1998)", "plainTextFormattedCitation" : "(Cohen &amp; Carlton, 1998)", "previouslyFormattedCitation" : "(Cohen &amp; Carlton, 1998)" }, "properties" : { "noteIndex" : 0 }, "schema" : "https://github.com/citation-style-language/schema/raw/master/csl-citation.json" }</w:instrText>
      </w:r>
      <w:r w:rsidRPr="008608AA">
        <w:fldChar w:fldCharType="separate"/>
      </w:r>
      <w:r w:rsidRPr="008608AA">
        <w:rPr>
          <w:noProof/>
        </w:rPr>
        <w:t>(Cohen &amp; Carlton, 1998)</w:t>
      </w:r>
      <w:r w:rsidRPr="008608AA">
        <w:fldChar w:fldCharType="end"/>
      </w:r>
      <w:r w:rsidRPr="008608AA">
        <w:t xml:space="preserve">. </w:t>
      </w:r>
    </w:p>
    <w:p w14:paraId="51043E0E" w14:textId="77777777" w:rsidR="004255E7" w:rsidRPr="008608AA" w:rsidRDefault="004255E7" w:rsidP="00E714CA">
      <w:pPr>
        <w:shd w:val="clear" w:color="auto" w:fill="FFFFFF"/>
        <w:spacing w:before="120" w:after="120"/>
      </w:pPr>
      <w:r w:rsidRPr="008608AA">
        <w:t xml:space="preserve">As in terrestrial habitats, recent invasions may not be detected for many years. Controlling the introduction of marine species and their impacts, however, is far more difficult than controlling terrestrial and freshwater species given that they are not so obvious. Moreover, introduced marine species can transport many other alien species. For example, the American oyster, </w:t>
      </w:r>
      <w:r w:rsidRPr="008608AA">
        <w:rPr>
          <w:i/>
        </w:rPr>
        <w:t>Crassostrea virginica</w:t>
      </w:r>
      <w:r w:rsidRPr="008608AA">
        <w:t>, was introduced to the Pacific coast to supplement stocks of local species. Oyster drills (</w:t>
      </w:r>
      <w:r w:rsidRPr="008608AA">
        <w:rPr>
          <w:i/>
        </w:rPr>
        <w:t>Urosalpinx cinerea</w:t>
      </w:r>
      <w:r w:rsidRPr="008608AA">
        <w:t>), slipper shells (</w:t>
      </w:r>
      <w:r w:rsidRPr="008608AA">
        <w:rPr>
          <w:i/>
        </w:rPr>
        <w:t>Crepidula fornicata</w:t>
      </w:r>
      <w:r w:rsidRPr="008608AA">
        <w:t xml:space="preserve"> and </w:t>
      </w:r>
      <w:r w:rsidRPr="008608AA">
        <w:rPr>
          <w:i/>
        </w:rPr>
        <w:t>C. plana</w:t>
      </w:r>
      <w:r w:rsidRPr="008608AA">
        <w:t>), polychaetes (</w:t>
      </w:r>
      <w:r w:rsidRPr="008608AA">
        <w:rPr>
          <w:i/>
        </w:rPr>
        <w:t>Polydora cornuta</w:t>
      </w:r>
      <w:r w:rsidRPr="008608AA">
        <w:t>), and cordgrass</w:t>
      </w:r>
      <w:r w:rsidRPr="008608AA">
        <w:rPr>
          <w:i/>
        </w:rPr>
        <w:t xml:space="preserve"> </w:t>
      </w:r>
      <w:r w:rsidRPr="008608AA">
        <w:t>(</w:t>
      </w:r>
      <w:r w:rsidRPr="008608AA">
        <w:rPr>
          <w:i/>
        </w:rPr>
        <w:t>Spartina</w:t>
      </w:r>
      <w:r w:rsidRPr="008608AA">
        <w:t xml:space="preserve"> </w:t>
      </w:r>
      <w:r w:rsidRPr="008608AA">
        <w:rPr>
          <w:i/>
        </w:rPr>
        <w:t>alterniflora</w:t>
      </w:r>
      <w:r w:rsidRPr="008608AA">
        <w:t xml:space="preserve">) may have been introduced with them </w:t>
      </w:r>
      <w:r w:rsidRPr="008608AA">
        <w:fldChar w:fldCharType="begin" w:fldLock="1"/>
      </w:r>
      <w:r w:rsidRPr="008608AA">
        <w:instrText>ADDIN CSL_CITATION { "citationItems" : [ { "id" : "ITEM-1", "itemData" : { "author" : [ { "dropping-particle" : "", "family" : "Ray", "given" : "Gary L.", "non-dropping-particle" : "", "parse-names" : false, "suffix" : "" } ], "id" : "ITEM-1", "issued" : { "date-parts" : [ [ "2005" ] ] }, "number-of-pages" : "64", "publisher" : "US Army Corps of Engineers", "publisher-place" : "Vicksburg, USA", "title" : "Invasive Animal Species in Marine and Estuarine Environments: Biology and Ecology", "type" : "report" }, "uris" : [ "http://www.mendeley.com/documents/?uuid=bd5cfe1c-820e-3ac4-87ae-8181be65ae1b" ] } ], "mendeley" : { "formattedCitation" : "(G. L. Ray, 2005)", "manualFormatting" : "(Ray, 2005)", "plainTextFormattedCitation" : "(G. L. Ray, 2005)", "previouslyFormattedCitation" : "(G. L. Ray, 2005)" }, "properties" : { "noteIndex" : 0 }, "schema" : "https://github.com/citation-style-language/schema/raw/master/csl-citation.json" }</w:instrText>
      </w:r>
      <w:r w:rsidRPr="008608AA">
        <w:fldChar w:fldCharType="separate"/>
      </w:r>
      <w:r w:rsidRPr="008608AA">
        <w:rPr>
          <w:noProof/>
        </w:rPr>
        <w:t>(Ray, 2005)</w:t>
      </w:r>
      <w:r w:rsidRPr="008608AA">
        <w:fldChar w:fldCharType="end"/>
      </w:r>
      <w:r w:rsidRPr="008608AA">
        <w:t>. Worms used for live bait (</w:t>
      </w:r>
      <w:r w:rsidRPr="008608AA">
        <w:rPr>
          <w:i/>
        </w:rPr>
        <w:t>Glycera dibranchiata</w:t>
      </w:r>
      <w:r w:rsidRPr="008608AA">
        <w:t xml:space="preserve">) are shipped packed in seaweed, which carries many potentially invasive organisms such as snails, crabs, isopods, insects, plants and algae </w:t>
      </w:r>
      <w:r w:rsidRPr="008608AA">
        <w:fldChar w:fldCharType="begin" w:fldLock="1"/>
      </w:r>
      <w:r w:rsidRPr="008608AA">
        <w:instrText>ADDIN CSL_CITATION { "citationItems" : [ { "id" : "ITEM-1", "itemData" : { "URL" : "http://www.mdsg.umd.edu/topics/aquatic-invasive-species/bait-worm-study", "author" : [ { "dropping-particle" : "", "family" : "MD Sea Grant", "given" : "", "non-dropping-particle" : "", "parse-names" : false, "suffix" : "" } ], "id" : "ITEM-1", "issued" : { "date-parts" : [ [ "0" ] ] }, "title" : "Bait Worm Study", "type" : "webpage" }, "uris" : [ "http://www.mendeley.com/documents/?uuid=ac7c68e9-3cfe-4ac3-a12e-acdda93473ad", "http://www.mendeley.com/documents/?uuid=638a4328-631c-4033-a21d-5c745306c19f" ] } ], "mendeley" : { "formattedCitation" : "(MD Sea Grant, n.d.)", "manualFormatting" : "(MD Sea Grant, n.d.)", "plainTextFormattedCitation" : "(MD Sea Grant, n.d.)", "previouslyFormattedCitation" : "(MD Sea Grant, n.d.)" }, "properties" : { "noteIndex" : 0 }, "schema" : "https://github.com/citation-style-language/schema/raw/master/csl-citation.json" }</w:instrText>
      </w:r>
      <w:r w:rsidRPr="008608AA">
        <w:fldChar w:fldCharType="separate"/>
      </w:r>
      <w:r w:rsidRPr="008608AA">
        <w:rPr>
          <w:noProof/>
        </w:rPr>
        <w:t>(MD Sea Grant, n.d.)</w:t>
      </w:r>
      <w:r w:rsidRPr="008608AA">
        <w:fldChar w:fldCharType="end"/>
      </w:r>
      <w:r w:rsidRPr="008608AA">
        <w:t>. Some species arrive by multiple mechanisms, e.g. the Chinese mitten crab (</w:t>
      </w:r>
      <w:r w:rsidRPr="008608AA">
        <w:rPr>
          <w:i/>
        </w:rPr>
        <w:t>Eriocheir sinensis</w:t>
      </w:r>
      <w:r w:rsidRPr="008608AA">
        <w:t xml:space="preserve">) may have arrived in ballast water and in live trade as food </w:t>
      </w:r>
      <w:r w:rsidRPr="008608AA">
        <w:fldChar w:fldCharType="begin" w:fldLock="1"/>
      </w:r>
      <w:r w:rsidRPr="008608AA">
        <w:instrText>ADDIN CSL_CITATION { "citationItems" : [ { "id" : "ITEM-1", "itemData" : { "DOI" : "10.1146/annurev.ecolsys.31.1.481", "ISBN" : "0066-4162", "ISSN" : "0066-4162", "PMID" : "20", "abstract" : "Biological invasions of marine habitats have been common, and many patterns emerge from the existing literature. In North America, we identify 298 non- indigenous species (NIS) of invertebrates and algae that are established in marine and estuarine waters, generating many \u201capparent patterns\u201d of invasion: (a) The rate of re- ported invasions has increased exponentially over the past 200 years; (b) Most NIS are crustaceans and molluscs, while NIS in taxonomic groups dominated by small organisms are rare; (c) Most invasions have resulted from shipping; (d ) More NIS are present along the Pacific coast than the Atlantic and Gulf coasts; (e) Native and source regions of NIS differ among coasts, corresponding to trade patterns. The va- lidity of these apparent patterns remains to be tested, because strong bias exists in the data. Overall, the emergent patterns reflect interactive effects of propagule supply, invasion resistance, and sampling bias. Understanding the relative contribution of each component remains a major challenge for invasion ecology and requires standardized, quantitative measures in space and time that we now lack.", "author" : [ { "dropping-particle" : "", "family" : "Ruiz", "given" : "Gregory M.", "non-dropping-particle" : "", "parse-names" : false, "suffix" : "" }, { "dropping-particle" : "", "family" : "Fofonoff", "given" : "Paul W.", "non-dropping-particle" : "", "parse-names" : false, "suffix" : "" }, { "dropping-particle" : "", "family" : "Carlton", "given" : "James T.", "non-dropping-particle" : "", "parse-names" : false, "suffix" : "" }, { "dropping-particle" : "", "family" : "Wonham", "given" : "Marjorie J.", "non-dropping-particle" : "", "parse-names" : false, "suffix" : "" }, { "dropping-particle" : "", "family" : "Hines", "given" : "Anson H.", "non-dropping-particle" : "", "parse-names" : false, "suffix" : "" } ], "container-title" : "Annual Review of Ecology and Systematics", "id" : "ITEM-1", "issue" : "1", "issued" : { "date-parts" : [ [ "2000" ] ] }, "page" : "481-531", "title" : "Invasion of coastal marine communities in North America: apparent patterns, processes, and biases", "type" : "article-journal", "volume" : "31" }, "uris" : [ "http://www.mendeley.com/documents/?uuid=a9badba4-bacf-3951-9355-d74e52016b7d" ] } ], "mendeley" : { "formattedCitation" : "(Ruiz, Fofonoff, Carlton, Wonham, &amp; Hines, 2000)", "manualFormatting" : "(Ruiz et al., 2000)", "plainTextFormattedCitation" : "(Ruiz, Fofonoff, Carlton, Wonham, &amp; Hines, 2000)", "previouslyFormattedCitation" : "(Ruiz, Fofonoff, Carlton, Wonham, &amp; Hines, 2000)" }, "properties" : { "noteIndex" : 0 }, "schema" : "https://github.com/citation-style-language/schema/raw/master/csl-citation.json" }</w:instrText>
      </w:r>
      <w:r w:rsidRPr="008608AA">
        <w:fldChar w:fldCharType="separate"/>
      </w:r>
      <w:r w:rsidRPr="008608AA">
        <w:rPr>
          <w:noProof/>
        </w:rPr>
        <w:t>(Ruiz et al., 2000)</w:t>
      </w:r>
      <w:r w:rsidRPr="008608AA">
        <w:fldChar w:fldCharType="end"/>
      </w:r>
      <w:r w:rsidRPr="008608AA">
        <w:t xml:space="preserve"> or as pets from the aquarium trade </w:t>
      </w:r>
      <w:r w:rsidRPr="008608AA">
        <w:fldChar w:fldCharType="begin" w:fldLock="1"/>
      </w:r>
      <w:r w:rsidRPr="008608AA">
        <w:instrText>ADDIN CSL_CITATION { "citationItems" : [ { "id" : "ITEM-1", "itemData" : { "DOI" : "10.1111/j.1755-263X.2008.00014.x", "ISBN" : "1755-263X", "ISSN" : "1755-263X", "abstract" : "More than half a million shipments and over one billion live animals were imported to the United States since 2000. The majority of these were aquatic organisms, including approximately 1.1 billion fishes. Imported fishes are a major source of revenue for the pet industry and aquaculture, but can be a nuisance if they escape or are released into the wild. Over 200 fish species have been introduced to the United States following importation, many of which threaten ecosystems and infrastructure. Although fishes constitute the majority of animal imports, they receive minimal attention from regulatory agencies. Moreover, poor record keeping at ports make it impossible to assess the diversity of fishes imported, making species-specific risk analysis and prevention programs difficult. As a global leader in wildlife trade, the United States is well positioned to set standards that promote safe and responsible trade practices. To date, the nation has languished, though there are mechanisms for improvement.", "author" : [ { "dropping-particle" : "", "family" : "Smith", "given" : "Katherine F.", "non-dropping-particle" : "", "parse-names" : false, "suffix" : "" }, { "dropping-particle" : "", "family" : "Behrens", "given" : "Michael D.", "non-dropping-particle" : "", "parse-names" : false, "suffix" : "" }, { "dropping-particle" : "", "family" : "Max", "given" : "Lisa M.", "non-dropping-particle" : "", "parse-names" : false, "suffix" : "" }, { "dropping-particle" : "", "family" : "Daszak", "given" : "Peter", "non-dropping-particle" : "", "parse-names" : false, "suffix" : "" } ], "container-title" : "Conservation Letters", "id" : "ITEM-1", "issue" : "2", "issued" : { "date-parts" : [ [ "2008" ] ] }, "page" : "103-109", "title" : "U.S. drowning in unidentified fishes: Scope, implications, and regulation of live fish import", "type" : "article-journal", "volume" : "1" }, "uris" : [ "http://www.mendeley.com/documents/?uuid=48947bb5-e792-4ef9-866a-ca27ebc3309d" ] }, { "id" : "ITEM-2", "itemData" : { "author" : [ { "dropping-particle" : "", "family" : "Dee, L.E., Horii, S.S. &amp; Thornhill", "given" : "D.J.", "non-dropping-particle" : "", "parse-names" : false, "suffix" : "" } ], "container-title" : "Biological Conservation", "id" : "ITEM-2", "issued" : { "date-parts" : [ [ "2014" ] ] }, "page" : "225-237", "title" : "Conservation and management of ornamental coral reef wildlife: Successes, shortcomings, and future directions", "type" : "article-journal", "volume" : "169" }, "uris" : [ "http://www.mendeley.com/documents/?uuid=d99c96a1-3c0e-422c-b56f-6d143dd50f58" ] } ], "mendeley" : { "formattedCitation" : "(Dee, L.E., Horii, S.S. &amp; Thornhill, 2014; K. F. Smith, Behrens, Max, &amp; Daszak, 2008)", "manualFormatting" : "(Dee et al., 2014; Smith et al., 2008)", "plainTextFormattedCitation" : "(Dee, L.E., Horii, S.S. &amp; Thornhill, 2014; K. F. Smith, Behrens, Max, &amp; Daszak, 2008)", "previouslyFormattedCitation" : "(Dee, L.E., Horii, S.S. &amp; Thornhill, 2014; K. F. Smith, Behrens, Max, &amp; Daszak, 2008)" }, "properties" : { "noteIndex" : 0 }, "schema" : "https://github.com/citation-style-language/schema/raw/master/csl-citation.json" }</w:instrText>
      </w:r>
      <w:r w:rsidRPr="008608AA">
        <w:fldChar w:fldCharType="separate"/>
      </w:r>
      <w:r w:rsidRPr="008608AA">
        <w:rPr>
          <w:noProof/>
        </w:rPr>
        <w:t>(Dee et al., 2014; Smith et al., 2008)</w:t>
      </w:r>
      <w:r w:rsidRPr="008608AA">
        <w:fldChar w:fldCharType="end"/>
      </w:r>
      <w:r w:rsidRPr="008608AA">
        <w:t xml:space="preserve">. Overall strategies to deal with marine invasion require international collaboration. </w:t>
      </w:r>
    </w:p>
    <w:p w14:paraId="2ACD7914" w14:textId="5BAED689" w:rsidR="004255E7" w:rsidRPr="008608AA" w:rsidRDefault="004255E7" w:rsidP="00E714CA">
      <w:pPr>
        <w:spacing w:after="120"/>
      </w:pPr>
      <w:r w:rsidRPr="008608AA">
        <w:t>Recent trends</w:t>
      </w:r>
      <w:r w:rsidR="00C04AD0" w:rsidRPr="008608AA">
        <w:t>.</w:t>
      </w:r>
      <w:r w:rsidRPr="008608AA">
        <w:t xml:space="preserve"> As is occurring in terrestrial and freshwater systems, the spread of alien species in marine systems of the Americas continues. Marine species once established, can spread very rapidly. The Asian green mussel </w:t>
      </w:r>
      <w:r w:rsidRPr="008608AA">
        <w:rPr>
          <w:i/>
        </w:rPr>
        <w:t>Perna viridis</w:t>
      </w:r>
      <w:r w:rsidRPr="008608AA">
        <w:t xml:space="preserve">, native to the Indo-Pacific, was first observed in Caribbean waters in 1990 </w:t>
      </w:r>
      <w:r w:rsidRPr="008608AA">
        <w:fldChar w:fldCharType="begin" w:fldLock="1"/>
      </w:r>
      <w:r w:rsidRPr="008608AA">
        <w:instrText>ADDIN CSL_CITATION { "citationItems" : [ { "id" : "ITEM-1", "itemData" : { "author" : [ { "dropping-particle" : "", "family" : "Agard", "given" : "J", "non-dropping-particle" : "", "parse-names" : false, "suffix" : "" }, { "dropping-particle" : "", "family" : "Kishore", "given" : "R", "non-dropping-particle" : "", "parse-names" : false, "suffix" : "" }, { "dropping-particle" : "", "family" : "Bayne", "given" : "B", "non-dropping-particle" : "", "parse-names" : false, "suffix" : "" } ], "container-title" : "Caribbean Marine Studies", "id" : "ITEM-1", "issued" : { "date-parts" : [ [ "1992" ] ] }, "page" : "59\u201360", "title" : "&lt;i&gt;Perna viridis&lt;/i&gt; (Linnaeus, 1758): first record of the Indo-Pacific green mussel (Mollusca: Bivalvia) in the Caribbean", "type" : "article-journal", "volume" : "3" }, "uris" : [ "http://www.mendeley.com/documents/?uuid=0ee5299f-8c8f-4ecc-92a1-8d06dd9dfa1f" ] } ], "mendeley" : { "formattedCitation" : "(Agard, Kishore, &amp; Bayne, 1992)", "manualFormatting" : "(Agard et al., 1992)", "plainTextFormattedCitation" : "(Agard, Kishore, &amp; Bayne, 1992)", "previouslyFormattedCitation" : "(Agard, Kishore, &amp; Bayne, 1992)" }, "properties" : { "noteIndex" : 0 }, "schema" : "https://github.com/citation-style-language/schema/raw/master/csl-citation.json" }</w:instrText>
      </w:r>
      <w:r w:rsidRPr="008608AA">
        <w:fldChar w:fldCharType="separate"/>
      </w:r>
      <w:r w:rsidRPr="008608AA">
        <w:rPr>
          <w:noProof/>
        </w:rPr>
        <w:t>(Agard et al., 1992)</w:t>
      </w:r>
      <w:r w:rsidRPr="008608AA">
        <w:fldChar w:fldCharType="end"/>
      </w:r>
      <w:r w:rsidRPr="008608AA">
        <w:t xml:space="preserve">. Within 10 years, green mussels were found along the coasts of Venezuela, Jamaica and Tampa Bay, Florida </w:t>
      </w:r>
      <w:r w:rsidRPr="008608AA">
        <w:fldChar w:fldCharType="begin" w:fldLock="1"/>
      </w:r>
      <w:r w:rsidRPr="008608AA">
        <w:instrText>ADDIN CSL_CITATION { "citationItems" : [ { "id" : "ITEM-1", "itemData" : { "author" : [ { "dropping-particle" : "", "family" : "Benson", "given" : "A.J.", "non-dropping-particle" : "", "parse-names" : false, "suffix" : "" }, { "dropping-particle" : "", "family" : "Marelli", "given" : "D.C.", "non-dropping-particle" : "", "parse-names" : false, "suffix" : "" }, { "dropping-particle" : "", "family" : "Frischer", "given" : "M.E.", "non-dropping-particle" : "", "parse-names" : false, "suffix" : "" }, { "dropping-particle" : "", "family" : "Danforth", "given" : "J.M.", "non-dropping-particle" : "", "parse-names" : false, "suffix" : "" }, { "dropping-particle" : "", "family" : "Williams", "given" : "J.D.", "non-dropping-particle" : "", "parse-names" : false, "suffix" : "" } ], "container-title" : "Journal of Shellfish Research", "id" : "ITEM-1", "issue" : "1", "issued" : { "date-parts" : [ [ "2001" ] ] }, "page" : "21\u201329", "title" : "Establishment of the green mussel &lt;i&gt;Perna viridis&lt;/i&gt; (Linnaeus 1758), (Mollusca: Mytilidae) on the west coast of Florida", "type" : "article-journal", "volume" : "20" }, "uris" : [ "http://www.mendeley.com/documents/?uuid=bdb8efe9-f5d6-49e2-b6a1-3e1567fdfad3" ] }, { "id" : "ITEM-2", "itemData" : { "author" : [ { "dropping-particle" : "", "family" : "Buddo", "given" : "D. S. A.", "non-dropping-particle" : "", "parse-names" : false, "suffix" : "" }, { "dropping-particle" : "", "family" : "Steele", "given" : "R. D.", "non-dropping-particle" : "", "parse-names" : false, "suffix" : "" }, { "dropping-particle" : "", "family" : "D\u2019Oyen", "given" : "E. R.", "non-dropping-particle" : "", "parse-names" : false, "suffix" : "" } ], "container-title" : "Bulletin of Marine Science", "id" : "ITEM-2", "issue" : "2", "issued" : { "date-parts" : [ [ "2003" ] ] }, "page" : "433\u2013441", "title" : "Distribution of the invasive Indo-Pacific green mussel, &lt;i&gt;Perna viridis&lt;/i&gt;, in Kingston Harbour, Jamaica", "type" : "article-journal", "volume" : "73" }, "uris" : [ "http://www.mendeley.com/documents/?uuid=d662e770-c7ee-46e6-824a-52c1ea8f6b4e" ] }, { "id" : "ITEM-3", "itemData" : { "author" : [ { "dropping-particle" : "", "family" : "Ingrao", "given" : "D.A.", "non-dropping-particle" : "", "parse-names" : false, "suffix" : "" }, { "dropping-particle" : "", "family" : "Mikkelson", "given" : "P.M.", "non-dropping-particle" : "", "parse-names" : false, "suffix" : "" }, { "dropping-particle" : "", "family" : "Hicks", "given" : "D.W.", "non-dropping-particle" : "", "parse-names" : false, "suffix" : "" } ], "container-title" : "Journal of Shellfish Research", "id" : "ITEM-3", "issue" : "1", "issued" : { "date-parts" : [ [ "2001" ] ] }, "page" : "13\u201319", "title" : "Another introduced marine mollusk in the Gulf of Mexico: the indo- Pacific green mussel, &lt;i&gt;Perna viridis&lt;/i&gt;, in Tampa Bay, Florida", "type" : "article-journal", "volume" : "20" }, "uris" : [ "http://www.mendeley.com/documents/?uuid=33de90f8-b119-4f3d-8ae3-fcce19283b52" ] }, { "id" : "ITEM-4", "itemData" : { "author" : [ { "dropping-particle" : "", "family" : "Rylander", "given" : "K", "non-dropping-particle" : "", "parse-names" : false, "suffix" : "" }, { "dropping-p</w:instrText>
      </w:r>
      <w:r w:rsidRPr="00A3137A">
        <w:rPr>
          <w:lang w:val="fr-FR"/>
        </w:rPr>
        <w:instrText>article" : "", "family" : "Perez", "given" : "J", "non-dropping-particle" : "", "parse-names" : false, "suffix" : "" }, { "dropping-particle" : "", "family" : "Gomez", "given" : "JA", "non-dropping-particle" : "", "parse-names" : false, "suffix" : "" } ], "container-title" : "Caribbean Marine Studies", "id" : "ITEM-4", "issued" : { "date-parts" : [ [ "1996" ] ] }, "page" : "86\u201387", "title" : "Status of the green mussel, &lt;i&gt;Perna viridis&lt;/i&gt; (Linnaeus, 1758)(Mollusca: Mytilidae), in northeastern Venezuela", "type" : "article-journal", "volume" : "5" }, "uris" : [ "http://www.mendeley.com/documents/?uuid=23ad8090-d521-444d-a2e4-3d14a1f37e8d" ] } ], "mendeley" : { "formattedCitation" : "(A.J. Benson, Marelli, Frischer, Danforth, &amp; Williams, 2001; Buddo, Steele, &amp; D\u2019Oyen, 2003; Ingrao, Mikkelson, &amp; Hicks, 2001; Rylander, Perez, &amp; Gomez, 1996)", "manualFormatting" : "(Benson et al., 2001; Buddo et al., 2003; Ingrao et al., 2001; Rylander et al., 1996)", "plainTextFormattedCitation" : "(A.J. Benson, Marelli, Frischer, Danforth, &amp; Williams, 2001; Buddo, Steele, &amp; D\u2019Oyen, 2003; Ingrao, Mikkelson, &amp; Hicks, 2001; Rylander, Perez, &amp; Gomez, 1996)", "previouslyFormattedCitation" : "(A.J. Benson, Marelli, Frischer, Danforth, &amp; Williams, 2001; Buddo, Steele, &amp; D\u2019Oyen, 2003; Ingrao, Mikkelson, &amp; Hicks, 2001; Rylander, Perez, &amp; Gomez, 1996)" }, "properties" : { "noteIndex" : 0 }, "schema" : "https://github.com/citation-style-language/schema/raw/master/csl-citation.json" }</w:instrText>
      </w:r>
      <w:r w:rsidRPr="008608AA">
        <w:fldChar w:fldCharType="separate"/>
      </w:r>
      <w:r w:rsidRPr="00A3137A">
        <w:rPr>
          <w:noProof/>
          <w:lang w:val="fr-FR"/>
        </w:rPr>
        <w:t>(Benson et al., 2001; Buddo et al., 2003; Ingrao et al., 2001; Rylander et al., 1996)</w:t>
      </w:r>
      <w:r w:rsidRPr="008608AA">
        <w:fldChar w:fldCharType="end"/>
      </w:r>
      <w:r w:rsidRPr="00A3137A">
        <w:rPr>
          <w:lang w:val="fr-FR"/>
        </w:rPr>
        <w:t xml:space="preserve">. </w:t>
      </w:r>
      <w:r w:rsidRPr="008608AA">
        <w:t xml:space="preserve">Rates of marine introduction seem to be increasing in some places. For example, Cohen and Carlton </w:t>
      </w:r>
      <w:r w:rsidRPr="008608AA">
        <w:fldChar w:fldCharType="begin" w:fldLock="1"/>
      </w:r>
      <w:r w:rsidRPr="008608AA">
        <w:instrText>ADDIN CSL_CITATION { "citationItems" : [ { "id" : "ITEM-1", "itemData" : { "author" : [ { "dropping-particle" : "", "family" : "Cohen", "given" : "Andrew", "non-dropping-particle" : "", "parse-names" : false, "suffix" : "" }, { "dropping-particle" : "", "family" : "Carlton", "given" : "James", "non-dropping-particle" : "", "parse-names" : false, "suffix" : "" } ], "container-title" : "Science", "id" : "ITEM-1", "issue" : "5350", "issued" : { "date-parts" : [ [ "1998" ] ] }, "page" : "555-558", "title" : "Accelerating invasion rate in a highly invaded estuary", "type" : "article-journal", "volume" : "279" }, "uris" : [ "http://www.mendeley.com/documents/?uuid=8b917012-0231-46ed-9f56-313583b4f3bb" ] } ], "mendeley" : { "formattedCitation" : "(Cohen &amp; Carlton, 1998)", "manualFormatting" : "(1998)", "plainTextFormattedCitation" : "(Cohen &amp; Carlton, 1998)", "previouslyFormattedCitation" : "(Cohen &amp; Carlton, 1998)" }, "properties" : { "noteIndex" : 0 }, "schema" : "https://github.com/citation-style-language/schema/raw/master/csl-citation.json" }</w:instrText>
      </w:r>
      <w:r w:rsidRPr="008608AA">
        <w:fldChar w:fldCharType="separate"/>
      </w:r>
      <w:r w:rsidRPr="008608AA">
        <w:rPr>
          <w:noProof/>
        </w:rPr>
        <w:t>(1998)</w:t>
      </w:r>
      <w:r w:rsidRPr="008608AA">
        <w:fldChar w:fldCharType="end"/>
      </w:r>
      <w:r w:rsidRPr="008608AA">
        <w:t xml:space="preserve"> estimated that the </w:t>
      </w:r>
      <w:r w:rsidRPr="008608AA">
        <w:rPr>
          <w:shd w:val="clear" w:color="auto" w:fill="FFFFFF"/>
        </w:rPr>
        <w:t>San Francisco Bay and Delta ecosystem </w:t>
      </w:r>
      <w:r w:rsidRPr="008608AA">
        <w:t xml:space="preserve">has received about one new invasive species every 36 weeks since 1850: as of 1970, the rate increased to one new species every 24 weeks. A huge number of marine species (280) were recently found to have crossed the Pacific from Japan to the west coast of North America on debris swept to sea by the 2011 </w:t>
      </w:r>
      <w:r w:rsidRPr="008608AA">
        <w:rPr>
          <w:color w:val="111111"/>
        </w:rPr>
        <w:t xml:space="preserve">tsunami </w:t>
      </w:r>
      <w:r w:rsidRPr="008608AA">
        <w:fldChar w:fldCharType="begin" w:fldLock="1"/>
      </w:r>
      <w:r w:rsidRPr="008608AA">
        <w:instrText>ADDIN CSL_CITATION { "citationItems" : [ { "id" : "ITEM-1", "itemData" : { "DOI" : "10.1126/science.aao1498", "ISSN" : "0036-8075", "PMID" : "28963256", "abstract" : "When coastal ecosystems are affected by storms or tsunamis, organisms can be rafted across oceans on floating debris. However, such events are rarely observed, still less quantified. Carlton et al. chart the rafting journeys of coastal marine organisms across the Pacific Ocean after the 2011 East Japan earthquake and tsunami (see the Perspective by Chown). Of the nearly 300 mainly invertebrate species that reached the shores of the U.S. Pacific Northwest, most arrived attached to the remains of manmade structures. Science , this issue p. [1402][1]; see also p. [1356][2] [1]: /lookup/doi/10.1126/science.aao1498 [2]: /lookup/doi/10.1126/science.aao5677", "author" : [ { "dropping-particle" : "", "family" : "Carlton", "given" : "James T.", "non-dropping-particle" : "", "parse-names" : false, "suffix" : "" }, { "dropping-particle" : "", "family" : "Chapman", "given" : "John W.", "non-dropping-particle" : "", "parse-names" : false, "suffix" : "" }, { "dropping-particle" : "", "family" : "Geller", "given" : "Jonathan B.", "non-dropping-particle" : "", "parse-names" : false, "suffix" : "" }, { "dropping-particle" : "", "family" : "Miller", "given" : "Jessica A.", "non-dropping-particle" : "", "parse-names" : false, "suffix" : "" }, { "dropping-particle" : "", "family" : "Carlton", "given" : "Deborah A.", "non-dropping-particle" : "", "parse-names" : false, "suffix" : "" }, { "dropping-particle" : "", "family" : "McCuller", "given" : "Megan I.", "non-dropping-particle" : "", "parse-names" : false, "suffix" : "" }, { "dropping-particle" : "", "family" : "Treneman", "given" : "Nancy C.", "non-dropping-particle" : "", "parse-names" : false, "suffix" : "" }, { "dropping-particle" : "", "family" : "Steves", "given" : "Brian P.", "non-dropping-particle" : "", "parse-names" : false, "suffix" : "" }, { "dropping-particle" : "", "family" : "Ruiz", "given" : "Gregory M.", "non-dropping-particle" : "", "parse-names" : false, "suffix" : "" } ], "container-title" : "Science", "id" : "ITEM-1", "issue" : "6358", "issued" : { "date-parts" : [ [ "2017", "9", "29" ] ] }, "page" : "1402-1406", "publisher" : "American Association for the Advancement of Science", "title" : "Tsunami-driven rafting: Transoceanic species dispersal and implications for marine biogeography", "type" : "article-journal", "volume" : "357" }, "uris" : [ "http://www.mendeley.com/documents/?uuid=b880d8cd-ffd1-396c-85e6-a37d2cd7b9e7" ] } ], "mendeley" : { "formattedCitation" : "(Carlton et al., 2017)", "plainTextFormattedCitation" : "(Carlton et al., 2017)", "previouslyFormattedCitation" : "(Carlton et al., 2017)" }, "properties" : { "noteIndex" : 0 }, "schema" : "https://github.com/citation-style-language/schema/raw/master/csl-citation.json" }</w:instrText>
      </w:r>
      <w:r w:rsidRPr="008608AA">
        <w:fldChar w:fldCharType="separate"/>
      </w:r>
      <w:r w:rsidRPr="008608AA">
        <w:rPr>
          <w:noProof/>
        </w:rPr>
        <w:t>(Carlton et al., 2017)</w:t>
      </w:r>
      <w:r w:rsidRPr="008608AA">
        <w:fldChar w:fldCharType="end"/>
      </w:r>
      <w:r w:rsidRPr="008608AA">
        <w:t xml:space="preserve">, warning that increasing amount of debris in the oceans are a potential source of invasive marine species. Invasions related to human food production are a current concern. Non-native shrimp (Asian tiger shrimp, </w:t>
      </w:r>
      <w:r w:rsidRPr="008608AA">
        <w:rPr>
          <w:i/>
        </w:rPr>
        <w:t>Penaeus monodon</w:t>
      </w:r>
      <w:r w:rsidRPr="008608AA">
        <w:t>), oysters (</w:t>
      </w:r>
      <w:r w:rsidRPr="008608AA">
        <w:rPr>
          <w:i/>
        </w:rPr>
        <w:t>Ostrea edulis</w:t>
      </w:r>
      <w:r w:rsidRPr="008608AA">
        <w:t>) and Atlantic salmon (</w:t>
      </w:r>
      <w:r w:rsidRPr="008608AA">
        <w:rPr>
          <w:i/>
        </w:rPr>
        <w:t>Salmo salar</w:t>
      </w:r>
      <w:r w:rsidRPr="008608AA">
        <w:t>) cultured in marine enclosures, have generated concern over disease and other impacts that might arise from their escape.</w:t>
      </w:r>
    </w:p>
    <w:p w14:paraId="44C6E5D1" w14:textId="77777777" w:rsidR="00E714CA" w:rsidRPr="008608AA" w:rsidRDefault="00E714CA" w:rsidP="00E714CA">
      <w:pPr>
        <w:spacing w:after="120"/>
      </w:pPr>
    </w:p>
    <w:p w14:paraId="27AAAD83" w14:textId="77777777" w:rsidR="004255E7" w:rsidRPr="008608AA" w:rsidRDefault="004255E7" w:rsidP="00E714CA">
      <w:pPr>
        <w:pStyle w:val="Heading2"/>
      </w:pPr>
      <w:bookmarkStart w:id="963" w:name="_Toc502927348"/>
      <w:bookmarkStart w:id="964" w:name="_Toc502951167"/>
      <w:bookmarkStart w:id="965" w:name="_Toc502953610"/>
      <w:bookmarkStart w:id="966" w:name="_Toc502954903"/>
      <w:bookmarkStart w:id="967" w:name="_Toc502957710"/>
      <w:bookmarkStart w:id="968" w:name="_Toc502957909"/>
      <w:bookmarkStart w:id="969" w:name="_Toc502958063"/>
      <w:bookmarkStart w:id="970" w:name="_Toc503293111"/>
      <w:bookmarkStart w:id="971" w:name="_Toc503293709"/>
      <w:bookmarkStart w:id="972" w:name="_Toc503293971"/>
      <w:bookmarkStart w:id="973" w:name="_Toc503863364"/>
      <w:bookmarkStart w:id="974" w:name="_Toc503863592"/>
      <w:bookmarkStart w:id="975" w:name="_Toc517393302"/>
      <w:bookmarkStart w:id="976" w:name="_Toc517719043"/>
      <w:bookmarkStart w:id="977" w:name="_Toc517797000"/>
      <w:r w:rsidRPr="008608AA">
        <w:t>Biodiversity and people</w:t>
      </w:r>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r w:rsidRPr="008608AA">
        <w:t xml:space="preserve"> </w:t>
      </w:r>
    </w:p>
    <w:p w14:paraId="1D6B6216" w14:textId="77777777" w:rsidR="00E714CA" w:rsidRPr="008608AA" w:rsidRDefault="00E714CA" w:rsidP="00E714CA">
      <w:pPr>
        <w:rPr>
          <w:lang w:val="en-GB" w:eastAsia="es-CO"/>
        </w:rPr>
      </w:pPr>
    </w:p>
    <w:p w14:paraId="59CF4BBC" w14:textId="6E2183F6" w:rsidR="004255E7" w:rsidRDefault="004255E7" w:rsidP="00E714CA">
      <w:pPr>
        <w:pStyle w:val="Heading3"/>
      </w:pPr>
      <w:bookmarkStart w:id="978" w:name="_Toc502927349"/>
      <w:bookmarkStart w:id="979" w:name="_Toc502951168"/>
      <w:bookmarkStart w:id="980" w:name="_Toc502953611"/>
      <w:bookmarkStart w:id="981" w:name="_Toc502954904"/>
      <w:bookmarkStart w:id="982" w:name="_Toc502957711"/>
      <w:bookmarkStart w:id="983" w:name="_Toc502957910"/>
      <w:bookmarkStart w:id="984" w:name="_Toc502958064"/>
      <w:bookmarkStart w:id="985" w:name="_Toc503293112"/>
      <w:bookmarkStart w:id="986" w:name="_Toc503293710"/>
      <w:bookmarkStart w:id="987" w:name="_Toc503293972"/>
      <w:bookmarkStart w:id="988" w:name="_Toc503863365"/>
      <w:bookmarkStart w:id="989" w:name="_Toc503863593"/>
      <w:bookmarkStart w:id="990" w:name="_Toc517393303"/>
      <w:bookmarkStart w:id="991" w:name="_Toc517719044"/>
      <w:bookmarkStart w:id="992" w:name="_Toc517797001"/>
      <w:r w:rsidRPr="008608AA">
        <w:t>Cultural diversity: How many indigenous groups and languages are represented in the Americas?</w:t>
      </w:r>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r w:rsidRPr="008608AA">
        <w:t xml:space="preserve"> </w:t>
      </w:r>
    </w:p>
    <w:p w14:paraId="16D06C55" w14:textId="77777777" w:rsidR="00843724" w:rsidRPr="00843724" w:rsidRDefault="00843724" w:rsidP="00843724">
      <w:pPr>
        <w:rPr>
          <w:lang w:val="en-GB" w:eastAsia="es-CO"/>
        </w:rPr>
      </w:pPr>
    </w:p>
    <w:p w14:paraId="009960A4" w14:textId="77777777" w:rsidR="004255E7" w:rsidRPr="008608AA" w:rsidRDefault="004255E7" w:rsidP="00E714CA">
      <w:pPr>
        <w:spacing w:after="120"/>
      </w:pPr>
      <w:r w:rsidRPr="008608AA">
        <w:t xml:space="preserve">Cultural diversity is defined as the spiritual, material, intellectual, and emotional processes and dynamics developed by a social group. It is composed of livelihoods, values, traditions, knowledge, and beliefs centered on nature </w:t>
      </w:r>
      <w:r w:rsidRPr="008608AA">
        <w:fldChar w:fldCharType="begin" w:fldLock="1"/>
      </w:r>
      <w:r w:rsidRPr="008608AA">
        <w:instrText>ADDIN CSL_CITATION { "citationItems" : [ { "id" : "ITEM-1", "itemData" : { "author" : [ { "dropping-particle" : "", "family" : "Berkes", "given" : "Fikret", "non-dropping-particle" : "", "parse-names" : false, "suffix" : "" } ], "id" : "ITEM-1", "issued" : { "date-parts" : [ [ "2008" ] ] }, "number-of-pages" : "313", "publisher" : "Routledge", "publisher-place" : "New York, USA", "title" : "Sacred Ecology", "type" : "book" }, "uris" : [ "http://www.mendeley.com/documents/?uuid=f647fcd1-b55c-46c2-b5bc-c4ca686d3f02" ] }, { "id" : "ITEM-2", "itemData" : { "abstract" : "This volume on 'Cultural and Spiritual Values of Biodiversity' presents a sample of the vast array of threads that make up the tapestry of our cultural and spiritual diversity. Some of the articles are philosophical or historical, others are scientific or legal, and some are accounts of personal experiences and beliefs.", "author" : [ { "dropping-particle" : "", "family" : "Posey", "given" : "D.A.", "non-dropping-particle" : "", "parse-names" : false, "suffix" : "" } ], "id" : "ITEM-2", "issued" : { "date-parts" : [ [ "1999" ] ] }, "number-of-pages" : "731", "publisher" : "UNEP and Intermediate Technology Publications", "publisher-place" : "London, UK", "title" : "Cultural and Spiritual Values of Biodiversity", "type" : "book" }, "uris" : [ "http://www.mendeley.com/documents/?uuid=a980bab1-bb88-4c9c-8a16-7b91c492ce13" ] }, { "id" : "ITEM-3", "itemData" : { "author" : [ { "dropping-particle" : "", "family" : "UNESCO", "given" : "", "non-dropping-particle" : "", "parse-names" : false, "suffix" : "" } ], "id" : "ITEM-3", "issued" : { "date-parts" : [ [ "2002" ] ] }, "publisher" : "Serie sobre la Diversidad Cultural. Documento preparado para la Cumbre Mundial sobre el Desarrollo Sostenible", "publisher-place" : "Johannesburgo, South Africa", "title" : "Declaraci\u00f3n Universal Sobre la Diversidad Cultural: Una Visi\u00f3n, una Plataforma Conceptual, un Semillero de Ideas, un Paradigma Nuevo", "type" : "article" }, "uris" : [ "http://www.mendeley.com/documents/?uuid=0230fc09-4c65-4a7b-bdea-3224d237919f" ] } ], "mendeley" : { "formattedCitation" : "(Berkes, 2008; Posey, 1999; UNESCO, 2002)", "plainTextFormattedCitation" : "(Berkes, 2008; Posey, 1999; UNESCO, 2002)", "previouslyFormattedCitation" : "(Berkes, 2008; Posey, 1999; UNESCO, 2002)" }, "properties" : { "noteIndex" : 0 }, "schema" : "https://github.com/citation-style-language/schema/raw/master/csl-citation.json" }</w:instrText>
      </w:r>
      <w:r w:rsidRPr="008608AA">
        <w:fldChar w:fldCharType="separate"/>
      </w:r>
      <w:r w:rsidRPr="008608AA">
        <w:rPr>
          <w:noProof/>
        </w:rPr>
        <w:t>(Berkes, 2008; Posey, 1999; UNESCO, 2002)</w:t>
      </w:r>
      <w:r w:rsidRPr="008608AA">
        <w:fldChar w:fldCharType="end"/>
      </w:r>
      <w:r w:rsidRPr="008608AA">
        <w:t xml:space="preserve">. Traditional cultural and spiritual values provide the context in which environmental stewardship can be nurtured </w:t>
      </w:r>
      <w:r w:rsidRPr="008608AA">
        <w:fldChar w:fldCharType="begin" w:fldLock="1"/>
      </w:r>
      <w:r w:rsidRPr="008608AA">
        <w:instrText>ADDIN CSL_CITATION { "citationItems" : [ { "id" : "ITEM-1", "itemData" : { "author" : [ { "dropping-particle" : "", "family" : "Kothari", "given" : "A.", "non-dropping-particle" : "", "parse-names" : false, "suffix" : "" } ], "container-title" : "Parks", "id" : "ITEM-1", "issue" : "2", "issued" : { "date-parts" : [ [ "2009" ] ] }, "page" : "23-34", "title" : "Protected areas and people: the future of the past", "type" : "article-journal", "volume" : "17" }, "uris" : [ "http://www.mendeley.com/documents/?uuid=fc934e3d-d8ce-44f3-a1e6-221dc4402eb7" ] }, { "id" : "ITEM-2", "itemData" : { "DOI" : "10.4324/9781849776455", "ISBN" : "9780415813549", "author" : [ { "dropping-particle" : "", "family" : "Robson", "given" : "James", "non-dropping-particle" : "", "parse-names" : false, "suffix" : "" }, { "dropping-particle" : "", "family" : "Berkes", "given" : "Fikret", "non-dropping-particle" : "", "parse-names" : false, "suffix" : "" } ], "container-title" : "Nature and Culture: Rebuilding Lost Connections", "editor" : [ { "dropping-particle" : "", "family" : "Pilgrim", "given" : "Sarah", "non-dropping-particle" : "", "parse-names" : false, "suffix" : "" }, { "dropping-particle" : "", "family" : "Pretty", "given" : "Jules", "non-dropping-particle" : "", "parse-names" : false, "suffix" : "" } ], "id" : "ITEM-2", "issued" : { "date-parts" : [ [ "2012" ] ] }, "page" : "197-216", "publisher" : "Earthscan", "publisher-place" : "London, UK and Washington DC., USA", "title" : "Sacred nature and community conserved areas", "type" : "chapter" }, "uris" : [ "http://www.mendeley.com/documents/?uuid=d2e0870e-5f08-4efa-98ba-78dc1ff63273" ] } ], "mendeley" : { "formattedCitation" : "(Kothari, 2009; Robson &amp; Berkes, 2012)", "plainTextFormattedCitation" : "(Kothari, 2009; Robson &amp; Berkes, 2012)", "previouslyFormattedCitation" : "(Kothari, 2009; Robson &amp; Berkes, 2012)" }, "properties" : { "noteIndex" : 0 }, "schema" : "https://github.com/citation-style-language/schema/raw/master/csl-citation.json" }</w:instrText>
      </w:r>
      <w:r w:rsidRPr="008608AA">
        <w:fldChar w:fldCharType="separate"/>
      </w:r>
      <w:r w:rsidRPr="008608AA">
        <w:rPr>
          <w:noProof/>
        </w:rPr>
        <w:t>(Kothari, 2009; Robson &amp; Berkes, 2012)</w:t>
      </w:r>
      <w:r w:rsidRPr="008608AA">
        <w:fldChar w:fldCharType="end"/>
      </w:r>
      <w:r w:rsidRPr="008608AA">
        <w:t xml:space="preserve">. </w:t>
      </w:r>
    </w:p>
    <w:p w14:paraId="171D11ED" w14:textId="1796C4E5" w:rsidR="004255E7" w:rsidRPr="008608AA" w:rsidRDefault="004255E7" w:rsidP="00E714CA">
      <w:pPr>
        <w:spacing w:after="120"/>
      </w:pPr>
      <w:r w:rsidRPr="008608AA">
        <w:t xml:space="preserve">In the 1980 census, half of the Latin American countries quantified their indigenous populations based on linguistic criteria </w:t>
      </w:r>
      <w:r w:rsidRPr="008608AA">
        <w:fldChar w:fldCharType="begin" w:fldLock="1"/>
      </w:r>
      <w:r w:rsidRPr="008608AA">
        <w:instrText>ADDIN CSL_CITATION { "citationItems" : [ { "id" : "ITEM-1", "itemData" : { "ISBN" : "9789212211053", "ISSN" : "92-1-321576-2", "PMID" : "25246403", "abstract" : "Cuiidadores", "author" : [ { "dropping-particle" : "", "family" : "CEPAL", "given" : "", "non-dropping-particle" : "", "parse-names" : false, "suffix" : "" } ], "id" : "ITEM-1", "issued" : { "date-parts" : [ [ "2014" ] ] }, "number-of-pages" : "1-12", "publisher-place" : "Santiago, Chile", "title" : "Panorama Social de America Latina (LC/G.2635-P)", "type" : "book" }, "uris" : [ "http://www.mendeley.com/documents/?uuid=6f0e3ebe-9119-47eb-b922-33088f5a30a2" ] } ], "mendeley" : { "formattedCitation" : "(CEPAL, 2014)", "manualFormatting" : "(CEPAL, 2014;", "plainTextFormattedCitation" : "(CEPAL, 2014)", "previouslyFormattedCitation" : "(CEPAL, 2014)" }, "properties" : { "noteIndex" : 0 }, "schema" : "https://github.com/citation-style-language/schema/raw/master/csl-citation.json" }</w:instrText>
      </w:r>
      <w:r w:rsidRPr="008608AA">
        <w:fldChar w:fldCharType="separate"/>
      </w:r>
      <w:r w:rsidRPr="008608AA">
        <w:rPr>
          <w:noProof/>
        </w:rPr>
        <w:t>(CEPAL, 2014;</w:t>
      </w:r>
      <w:r w:rsidRPr="008608AA">
        <w:fldChar w:fldCharType="end"/>
      </w:r>
      <w:r w:rsidRPr="008608AA">
        <w:t xml:space="preserve"> </w:t>
      </w:r>
      <w:r w:rsidRPr="008608AA">
        <w:fldChar w:fldCharType="begin" w:fldLock="1"/>
      </w:r>
      <w:r w:rsidRPr="008608AA">
        <w:instrText>ADDIN CSL_CITATION { "citationItems" : [ { "id" : "ITEM-1", "itemData" : { "author" : [ { "dropping-particle" : "", "family" : "Correa", "given" : "F.", "non-dropping-particle" : "", "parse-names" : false, "suffix" : "" } ], "container-title" : "Naciones Ind\u00edgenas en los Estados Contempor\u00e1neos", "editor" : [ { "dropping-particle" : "", "family" : "Nemog\u00e1", "given" : "G.R.", "non-dropping-particle" : "", "parse-names" : false, "suffix" : "" } ], "id" : "ITEM-1", "issued" : { "date-parts" : [ [ "2011" ] ] }, "page" : "83-111", "publisher" : "Universidad Nacional de Colombia", "publisher-place" : "Bogot\u00e1, Colombia", "title" : "Desencializando lo ind\u00edgena", "type" : "chapter" }, "uris" : [ "http://www.mendeley.com/documents/?uuid=b9ff1e6b-e6b2-4f18-85b6-53048baf852c" ] } ], "mendeley" : { "formattedCitation" : "(F. Correa, 2011)", "manualFormatting" : "Correa, 2011)", "plainTextFormattedCitation" : "(F. Correa, 2011)", "previouslyFormattedCitation" : "(F. Correa, 2011)" }, "properties" : { "noteIndex" : 0 }, "schema" : "https://github.com/citation-style-language/schema/raw/master/csl-citation.json" }</w:instrText>
      </w:r>
      <w:r w:rsidRPr="008608AA">
        <w:fldChar w:fldCharType="separate"/>
      </w:r>
      <w:r w:rsidRPr="008608AA">
        <w:rPr>
          <w:noProof/>
        </w:rPr>
        <w:t>Correa, 2011)</w:t>
      </w:r>
      <w:r w:rsidRPr="008608AA">
        <w:fldChar w:fldCharType="end"/>
      </w:r>
      <w:r w:rsidRPr="008608AA">
        <w:t xml:space="preserve">. As of 2000, 16 out of 19 countries identified their indigenous populations on the basis of self-determination, common origin, territories, and linguistic and cultural dimensions </w:t>
      </w:r>
      <w:r w:rsidRPr="008608AA">
        <w:fldChar w:fldCharType="begin" w:fldLock="1"/>
      </w:r>
      <w:r w:rsidRPr="008608AA">
        <w:instrText>ADDIN CSL_CITATION { "citationItems" : [ { "id" : "ITEM-1", "itemData" : { "author" : [ { "dropping-particle" : "", "family" : "International Labour Organization", "given" : "", "non-dropping-particle" : "", "parse-names" : false, "suffix" : "" } ], "id" : "ITEM-1", "issued" : { "date-parts" : [ [ "1989" ] ] }, "publisher" : "International Labour Organization (ILO)", "title" : "Indigenous and Tribal Peoples Convention, C169", "type" : "report" }, "uris" : [ "http://www.mendeley.com/documents/?uuid=92025841-0c7b-4289-9a91-824435aaa2e9" ] }, { "id" : "ITEM-2", "itemData" : { "author" : [ { "dropping-particle" : "", "family" : "Bartolom\u00e9", "given" : "M. A.", "non-dropping-particle" : "", "parse-names" : false, "suffix" : "" } ], "id" : "ITEM-2", "issued" : { "date-parts" : [ [ "2006" ] ] }, "number-of-pages" : "368", "publisher" : "Siglo XXI", "publisher-place" : "M\u00e9xico, D.F., M\u00e9xico", "title" : "Procesos Interculturales. Antropolog\u00eda Pol\u00edtica del Pluralismo Cultural en Am\u00e9rica Latina", "type" : "book" }, "uris" : [ "http://www.mendeley.com/documents/?uuid=82728878-1494-4f9c-9b5c-84030eed1e91" ] }, { "id" : "ITEM-3", "itemData" : { "author" : [ { "dropping-particle" : "", "family" : "Correa", "given" : "F.", "non-dropping-particle" : "", "parse-names" : false, "suffix" : "" } ], "container-title" : "Naciones Ind\u00edgenas en los Estados Contempor\u00e1neos", "editor" : [ { "dropping-particle" : "", "family" : "Nemog\u00e1", "given" : "G.R.", "non-dropping-particle" : "", "parse-names" : false, "suffix" : "" } ], "id" : "ITEM-3", "issued" : { "date-parts" : [ [ "2011" ] ] }, "page" : "83-111", "publisher" : "Universidad Nacional de Colombia", "publisher-place" : "Bogot\u00e1, Colombia", "title" : "Desencializando lo ind\u00edgena", "type" : "chapter" }, "uris" : [ "http://www.mendeley.com/documents/?uuid=b9ff1e6b-e6b2-4f18-85b6-53048baf852c" ] }, { "id" : "ITEM-4", "itemData" : { "ISBN" : "9789212211053", "ISSN" : "92-1-321576-2", "PMID" : "25246403", "abstract" : "Cuiidadores", "author" : [ { "dropping-particle" : "", "family" : "CEPAL", "given" : "", "non-dropping-particle" : "", "parse-names" : false, "suffix" : "" } ], "id" : "ITEM-4", "issued" : { "date-parts" : [ [ "2014" ] ] }, "number-of-pages" : "1-12", "publisher-place" : "Santiago, Chile", "title" : "Panorama Social de America Latina (LC/G.2635-P)", "type" : "book" }, "uris" : [ "http://www.mendeley.com/documents/?uuid=6f0e3ebe-9119-47eb-b922-33088f5a30a2" ] } ], "mendeley" : { "formattedCitation" : "(Bartolom\u00e9, 2006; CEPAL, 2014; F. Correa, 2011; International Labour Organization, 1989)", "plainTextFormattedCitation" : "(Bartolom\u00e9, 2006; CEPAL, 2014; F. Correa, 2011; International Labour Organization, 1989)", "previouslyFormattedCitation" : "(Bartolom\u00e9, 2006; CEPAL, 2014; F. Correa, 2011; International Labour Organization, 1989)" }, "properties" : { "noteIndex" : 0 }, "schema" : "https://github.com/citation-style-language/schema/raw/master/csl-citation.json" }</w:instrText>
      </w:r>
      <w:r w:rsidRPr="008608AA">
        <w:fldChar w:fldCharType="separate"/>
      </w:r>
      <w:r w:rsidRPr="008608AA">
        <w:rPr>
          <w:noProof/>
        </w:rPr>
        <w:t>(Bartolomé, 2006; CEPAL, 2014; F. Correa, 2011; International Labour Organization, 1989)</w:t>
      </w:r>
      <w:r w:rsidRPr="008608AA">
        <w:fldChar w:fldCharType="end"/>
      </w:r>
      <w:r w:rsidRPr="008608AA">
        <w:t xml:space="preserve">. Based on these criteria, in 2014, 826 native populations were legally recognized in the Americas (305 in Brazil, 102 in Colombia, 85 in Peru, 78 in Mexico, 39 in Bolivia) and 15 First Nations populations were recognized in Canada and </w:t>
      </w:r>
      <w:r w:rsidR="00840739" w:rsidRPr="008608AA">
        <w:t xml:space="preserve">the </w:t>
      </w:r>
      <w:r w:rsidRPr="008608AA">
        <w:t xml:space="preserve">USA </w:t>
      </w:r>
      <w:r w:rsidRPr="008608AA">
        <w:fldChar w:fldCharType="begin" w:fldLock="1"/>
      </w:r>
      <w:r w:rsidRPr="008608AA">
        <w:instrText>ADDIN CSL_CITATION { "citationItems" : [ { "id" : "ITEM-1", "itemData" : { "ISBN" : "9789211263688", "ISSN" : "00987921", "PMID" : "20403539", "abstract" : "The 2014 Report highlights the need for both promoting people's choices and protecting human development achievements. It takes the view that vulnerability threatens human development, and unless it is systematically addressed, by changing policies and social norms, progress will be neither equitable nor sustainable.", "author" : [ { "dropping-particle" : "", "family" : "United Nations Development Programme", "given" : "", "non-dropping-particle" : "", "parse-names" : false, "suffix" : "" } ], "id" : "ITEM-1", "issued" : { "date-parts" : [ [ "2014" ] ] }, "number-of-pages" : "1-239", "publisher" : "United Nations Development Programme (UNDP)", "publisher-place" : "New York, USA", "title" : "Human Development Report 2014. Sustaining Human Progress: Reducing Vulnerabilities and Building Resilience", "type" : "report" }, "uris" : [ "http://www.mendeley.com/documents/?uuid=1e5b8979-e359-4b14-98e2-e66963b4c189" ] } ], "mendeley" : { "formattedCitation" : "(United Nations Development Programme, 2014)", "plainTextFormattedCitation" : "(United Nations Development Programme, 2014)", "previouslyFormattedCitation" : "(United Nations Development Programme, 2014)" }, "properties" : { "noteIndex" : 0 }, "schema" : "https://github.com/citation-style-language/schema/raw/master/csl-citation.json" }</w:instrText>
      </w:r>
      <w:r w:rsidRPr="008608AA">
        <w:fldChar w:fldCharType="separate"/>
      </w:r>
      <w:r w:rsidRPr="008608AA">
        <w:rPr>
          <w:noProof/>
        </w:rPr>
        <w:t>(United Nations Development Programme, 2014)</w:t>
      </w:r>
      <w:r w:rsidRPr="008608AA">
        <w:fldChar w:fldCharType="end"/>
      </w:r>
      <w:r w:rsidRPr="008608AA">
        <w:t xml:space="preserve">. In Latin America in 2010, indigenous peoples numbered about 45 million. Mexico is home to 17 million (15.1% of the total population); Peru, 7 million (24%); Bolivia 6.2 million (62.2%) and Guatemala, 5.8 million (41%) </w:t>
      </w:r>
      <w:r w:rsidRPr="008608AA">
        <w:fldChar w:fldCharType="begin" w:fldLock="1"/>
      </w:r>
      <w:r w:rsidRPr="008608AA">
        <w:instrText>ADDIN CSL_CITATION { "citationItems" : [ { "id" : "ITEM-1", "itemData" : { "ISBN" : "9789212211053", "ISSN" : "92-1-321576-2", "PMID" : "25246403", "abstract" : "Cuiidadores", "author" : [ { "dropping-particle" : "", "family" : "CEPAL", "given" : "", "non-dropping-particle" : "", "parse-names" : false, "suffix" : "" } ], "id" : "ITEM-1", "issued" : { "date-parts" : [ [ "2014" ] ] }, "number-of-pages" : "1-12", "publisher-place" : "Santiago, Chile", "title" : "Panorama Social de America Latina (LC/G.2635-P)", "type" : "book" }, "uris" : [ "http://www.mendeley.com/documents/?uuid=6f0e3ebe-9119-47eb-b922-33088f5a30a2" ] } ], "mendeley" : { "formattedCitation" : "(CEPAL, 2014)", "plainTextFormattedCitation" : "(CEPAL, 2014)", "previouslyFormattedCitation" : "(CEPAL, 2014)" }, "properties" : { "noteIndex" : 0 }, "schema" : "https://github.com/citation-style-language/schema/raw/master/csl-citation.json" }</w:instrText>
      </w:r>
      <w:r w:rsidRPr="008608AA">
        <w:fldChar w:fldCharType="separate"/>
      </w:r>
      <w:r w:rsidRPr="008608AA">
        <w:rPr>
          <w:noProof/>
        </w:rPr>
        <w:t>(CEPAL, 2014)</w:t>
      </w:r>
      <w:r w:rsidRPr="008608AA">
        <w:fldChar w:fldCharType="end"/>
      </w:r>
      <w:r w:rsidRPr="008608AA">
        <w:t xml:space="preserve">. In Canada, First Nations population was less than 1 million (2.6% of the total population) and in the USA, 5.1 million (1.7%) </w:t>
      </w:r>
      <w:r w:rsidRPr="008608AA">
        <w:fldChar w:fldCharType="begin" w:fldLock="1"/>
      </w:r>
      <w:r w:rsidRPr="008608AA">
        <w:instrText>ADDIN CSL_CITATION { "citationItems" : [ { "id" : "ITEM-1", "itemData" : { "ISBN" : "9789211263688", "ISSN" : "00987921", "PMID" : "20403539", "abstract" : "The 2014 Report highlights the need for both promoting people's choices and protecting human development achievements. It takes the view that vulnerability threatens human development, and unless it is systematically addressed, by changing policies and social norms, progress will be neither equitable nor sustainable.", "author" : [ { "dropping-particle" : "", "family" : "United Nations Development Programme", "given" : "", "non-dropping-particle" : "", "parse-names" : false, "suffix" : "" } ], "id" : "ITEM-1", "issued" : { "date-parts" : [ [ "2014" ] ] }, "number-of-pages" : "1-239", "publisher" : "United Nations Development Programme (UNDP)", "publisher-place" : "New York, USA", "title" : "Human Development Report 2014. Sustaining Human Progress: Reducing Vulnerabilities and Building Resilience", "type" : "report" }, "uris" : [ "http://www.mendeley.com/documents/?uuid=1e5b8979-e359-4b14-98e2-e66963b4c189" ] } ], "mendeley" : { "formattedCitation" : "(United Nations Development Programme, 2014)", "plainTextFormattedCitation" : "(United Nations Development Programme, 2014)", "previouslyFormattedCitation" : "(United Nations Development Programme, 2014)" }, "properties" : { "noteIndex" : 0 }, "schema" : "https://github.com/citation-style-language/schema/raw/master/csl-citation.json" }</w:instrText>
      </w:r>
      <w:r w:rsidRPr="008608AA">
        <w:fldChar w:fldCharType="separate"/>
      </w:r>
      <w:r w:rsidRPr="008608AA">
        <w:rPr>
          <w:noProof/>
        </w:rPr>
        <w:t>(United Nations Development Programme, 2014)</w:t>
      </w:r>
      <w:r w:rsidRPr="008608AA">
        <w:fldChar w:fldCharType="end"/>
      </w:r>
      <w:r w:rsidRPr="008608AA">
        <w:t>. In the 2011 census, aboriginal peoples in Canada totaled 1</w:t>
      </w:r>
      <w:r w:rsidR="00480E3C" w:rsidRPr="008608AA">
        <w:t>.</w:t>
      </w:r>
      <w:r w:rsidRPr="008608AA">
        <w:t xml:space="preserve">4 million, or 4.3% of the population. Some 600 First Nations governments or bands with distinctive cultures, languages, art, and music were recognized. In the USA, 566 distinct Native American tribes are recognized by the government as of 2016, including indigenous peoples of Alaska and Hawaii </w:t>
      </w:r>
      <w:r w:rsidRPr="008608AA">
        <w:fldChar w:fldCharType="begin" w:fldLock="1"/>
      </w:r>
      <w:r w:rsidRPr="008608AA">
        <w:instrText>ADDIN CSL_CITATION { "citationItems" : [ { "id" : "ITEM-1", "itemData" : { "author" : [ { "dropping-particle" : "", "family" : "Federal Register", "given" : "", "non-dropping-particle" : "", "parse-names" : false, "suffix" : "" } ], "id" : "ITEM-1", "issued" : { "date-parts" : [ [ "2016" ] ] }, "publisher" : "Bureau of Indian Affairs", "title" : "Indian Entities Recognized and Eligible to Receive Services From the United States Bureau of Indian Affairs", "type" : "report" }, "uris" : [ "http://www.mendeley.com/documents/?uuid=61f2c484-6655-44ba-845c-3c174745a5ec" ] } ], "mendeley" : { "formattedCitation" : "(Federal Register, 2016)", "plainTextFormattedCitation" : "(Federal Register, 2016)", "previouslyFormattedCitation" : "(Federal Register, 2016)" }, "properties" : { "noteIndex" : 0 }, "schema" : "https://github.com/citation-style-language/schema/raw/master/csl-citation.json" }</w:instrText>
      </w:r>
      <w:r w:rsidRPr="008608AA">
        <w:fldChar w:fldCharType="separate"/>
      </w:r>
      <w:r w:rsidRPr="008608AA">
        <w:rPr>
          <w:noProof/>
        </w:rPr>
        <w:t>(Federal Register, 2016)</w:t>
      </w:r>
      <w:r w:rsidRPr="008608AA">
        <w:fldChar w:fldCharType="end"/>
      </w:r>
      <w:r w:rsidRPr="008608AA">
        <w:t>. In 2010, the US Census Bureau estimated that about 0.8 or 0.9% of the USA</w:t>
      </w:r>
      <w:r w:rsidR="00A26A68" w:rsidRPr="008608AA">
        <w:t xml:space="preserve"> population was of n</w:t>
      </w:r>
      <w:r w:rsidRPr="008608AA">
        <w:t xml:space="preserve">ative American descent; one-third of that population lives in California, Oklahoma </w:t>
      </w:r>
      <w:r w:rsidR="00480E3C" w:rsidRPr="008608AA">
        <w:t xml:space="preserve">and </w:t>
      </w:r>
      <w:r w:rsidRPr="008608AA">
        <w:t xml:space="preserve">Arizona </w:t>
      </w:r>
      <w:r w:rsidRPr="008608AA">
        <w:fldChar w:fldCharType="begin" w:fldLock="1"/>
      </w:r>
      <w:r w:rsidRPr="008608AA">
        <w:instrText>ADDIN CSL_CITATION { "citationItems" : [ { "id" : "ITEM-1", "itemData" : { "URL" : "https://web.archive.org/web/20120304192040/http://quickfacts.census.gov:80/qfd/states/00000.html", "accessed" : { "date-parts" : [ [ "2013", "6", "16" ] ] }, "id" : "ITEM-1", "issued" : { "date-parts" : [ [ "2012" ] ] }, "title" : "USA quickfacts census", "type" : "webpage" }, "uris" : [ "http://www.mendeley.com/documents/?uuid=beeac023-828d-49d9-8724-9ce5914a965a" ] } ], "mendeley" : { "formattedCitation" : "(\u201cUSA quickfacts census,\u201d 2012)", "manualFormatting" : "(USA quickfacts census, 2012)", "plainTextFormattedCitation" : "(\u201cUSA quickfacts census,\u201d 2012)", "previouslyFormattedCitation" : "(\u201cUSA quickfacts census,\u201d 2012)" }, "properties" : { "noteIndex" : 0 }, "schema" : "https://github.com/citation-style-language/schema/raw/master/csl-citation.json" }</w:instrText>
      </w:r>
      <w:r w:rsidRPr="008608AA">
        <w:fldChar w:fldCharType="separate"/>
      </w:r>
      <w:r w:rsidRPr="008608AA">
        <w:rPr>
          <w:noProof/>
        </w:rPr>
        <w:t>(USA quickfacts census, 2012)</w:t>
      </w:r>
      <w:r w:rsidRPr="008608AA">
        <w:fldChar w:fldCharType="end"/>
      </w:r>
      <w:r w:rsidRPr="008608AA">
        <w:t>.</w:t>
      </w:r>
    </w:p>
    <w:p w14:paraId="51457A3A" w14:textId="17020726" w:rsidR="004255E7" w:rsidRPr="008608AA" w:rsidRDefault="004255E7" w:rsidP="00E714CA">
      <w:pPr>
        <w:spacing w:after="120"/>
      </w:pPr>
      <w:r w:rsidRPr="008608AA">
        <w:t xml:space="preserve">Languages underpin ethnobotanical, ethnozoological and ethnoecological knowledge and guides a people´s spirituality and worldview. </w:t>
      </w:r>
      <w:r w:rsidR="00017975" w:rsidRPr="008608AA">
        <w:t>Indigenous and local knowledge (</w:t>
      </w:r>
      <w:r w:rsidRPr="008608AA">
        <w:t>ILK</w:t>
      </w:r>
      <w:r w:rsidR="00017975" w:rsidRPr="008608AA">
        <w:t>)</w:t>
      </w:r>
      <w:r w:rsidRPr="008608AA">
        <w:t xml:space="preserve"> is transmitted by language and thus conserving languages is crucial for understanding biodiversity as it relates to human well-being. Over 1,000 indigenous languages are spoken across the Americas. Most of the indigenous American languages in North America are in trouble, dying or already extinct. Other subregions also face language extinction but are somewhat more stable (Chapter 2, Table 2.2).</w:t>
      </w:r>
    </w:p>
    <w:p w14:paraId="3B9EB3B2" w14:textId="77777777" w:rsidR="00E714CA" w:rsidRPr="008608AA" w:rsidRDefault="00E714CA" w:rsidP="00E714CA">
      <w:pPr>
        <w:spacing w:after="120"/>
      </w:pPr>
    </w:p>
    <w:p w14:paraId="716EF333" w14:textId="5C8BC7BF" w:rsidR="004255E7" w:rsidRDefault="004255E7" w:rsidP="00BE4235">
      <w:pPr>
        <w:pStyle w:val="Heading3"/>
      </w:pPr>
      <w:bookmarkStart w:id="993" w:name="_Toc502927350"/>
      <w:bookmarkStart w:id="994" w:name="_Toc502951169"/>
      <w:bookmarkStart w:id="995" w:name="_Toc502953612"/>
      <w:bookmarkStart w:id="996" w:name="_Toc502954905"/>
      <w:bookmarkStart w:id="997" w:name="_Toc502957712"/>
      <w:bookmarkStart w:id="998" w:name="_Toc502957911"/>
      <w:bookmarkStart w:id="999" w:name="_Toc502958065"/>
      <w:bookmarkStart w:id="1000" w:name="_Toc503293113"/>
      <w:bookmarkStart w:id="1001" w:name="_Toc503293711"/>
      <w:bookmarkStart w:id="1002" w:name="_Toc503293973"/>
      <w:bookmarkStart w:id="1003" w:name="_Toc503863366"/>
      <w:bookmarkStart w:id="1004" w:name="_Toc503863594"/>
      <w:bookmarkStart w:id="1005" w:name="_Toc517393304"/>
      <w:bookmarkStart w:id="1006" w:name="_Toc517719045"/>
      <w:bookmarkStart w:id="1007" w:name="_Toc517797002"/>
      <w:r w:rsidRPr="008608AA">
        <w:t>Cultural and biological diversity: Traditional knowledge and worldviews among the indigenous communities of the Americas</w:t>
      </w:r>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p>
    <w:p w14:paraId="797AC86B" w14:textId="77777777" w:rsidR="00843724" w:rsidRPr="00843724" w:rsidRDefault="00843724" w:rsidP="00843724">
      <w:pPr>
        <w:rPr>
          <w:lang w:val="en-GB" w:eastAsia="es-CO"/>
        </w:rPr>
      </w:pPr>
    </w:p>
    <w:p w14:paraId="4874D1E1" w14:textId="77777777" w:rsidR="004255E7" w:rsidRPr="008608AA" w:rsidRDefault="004255E7" w:rsidP="00BE4235">
      <w:pPr>
        <w:widowControl w:val="0"/>
        <w:autoSpaceDE w:val="0"/>
        <w:autoSpaceDN w:val="0"/>
        <w:adjustRightInd w:val="0"/>
        <w:spacing w:after="120"/>
      </w:pPr>
      <w:r w:rsidRPr="008608AA">
        <w:t xml:space="preserve">Traditional knowledge. “Traditional knowledge is the ancestral wisdom and the collective and integrated knowledge that indigenous, Afro-descendants, First Nation peoples, and local communities share based in their praxis in the interrelationship human-nature, transmitted from generation to generation” </w:t>
      </w:r>
      <w:r w:rsidRPr="008608AA">
        <w:fldChar w:fldCharType="begin" w:fldLock="1"/>
      </w:r>
      <w:r w:rsidRPr="008608AA">
        <w:instrText>ADDIN CSL_CITATION { "citationItems" : [ { "id" : "ITEM-1", "itemData" : { "author" : [ { "dropping-particle" : "", "family" : "la Cruz", "given" : "R.", "non-dropping-particle" : "De", "parse-names" : false, "suffix" : "" }, { "dropping-particle" : "", "family" : "Muyuy Jacanamejoy", "given" : "G.", "non-dropping-particle" : "", "parse-names" : false, "suffix" : "" }, { "dropping-particle" : "", "family" : "Viteri Gualinga", "given" : "A.", "non-dropping-particle" : "", "parse-names" : false, "suffix" : "" }, { "dropping-particle" : "", "family" : "Flores", "given" : "G.", "non-dropping-particle" : "", "parse-names" : false, "suffix" : "" }, { "dropping-particle" : "", "family" : "Humpire", "given" : "J. G.", "non-dropping-particle" : "", "parse-names" : false, "suffix" : "" }, { "dropping-particle" : "", "family" : "Mirabal D\u00ccaz", "given" : "J. G.", "non-dropping-particle" : "", "parse-names" : false, "suffix" : "" }, { "dropping-particle" : "", "family" : "Guimaraez", "given" : "R.", "non-dropping-particle" : "", "parse-names" : false, "suffix" : "" } ], "id" : "ITEM-1", "issued" : { "date-parts" : [ [ "2005" ] ] }, "publisher" : "The Corporacion Andina de Fomento (CAF)/Comunidad Andina (CAN)", "publisher-place" : "Caracas, Venezuela", "title" : "Elementos para la Protecci\u00f3n sui generis de los Conocimientos Tradicionales Colectivos e Integrales desde la Perspectiva Indigena", "type" : "report" }, "uris" : [ "http://www.mendeley.com/documents/?uuid=157029f9-e9d6-4173-a93e-6ba91ffb2beb" ] } ], "mendeley" : { "formattedCitation" : "(De la Cruz et al., 2005)", "plainTextFormattedCitation" : "(De la Cruz et al., 2005)", "previouslyFormattedCitation" : "(De la Cruz et al., 2005)" }, "properties" : { "noteIndex" : 0 }, "schema" : "https://github.com/citation-style-language/schema/raw/master/csl-citation.json" }</w:instrText>
      </w:r>
      <w:r w:rsidRPr="008608AA">
        <w:fldChar w:fldCharType="separate"/>
      </w:r>
      <w:r w:rsidRPr="008608AA">
        <w:rPr>
          <w:noProof/>
        </w:rPr>
        <w:t>(De la Cruz et al., 2005)</w:t>
      </w:r>
      <w:r w:rsidRPr="008608AA">
        <w:fldChar w:fldCharType="end"/>
      </w:r>
      <w:r w:rsidRPr="008608AA">
        <w:t xml:space="preserve">. Biodiversity has significance to indigenous communities for human nature, culture and spirituality. Traditional knowledge is collective, intergenerational and linked to the right of free determination and worldview </w:t>
      </w:r>
      <w:r w:rsidRPr="008608AA">
        <w:fldChar w:fldCharType="begin" w:fldLock="1"/>
      </w:r>
      <w:r w:rsidRPr="008608AA">
        <w:instrText>ADDIN CSL_CITATION { "citationItems" : [ { "id" : "ITEM-1", "itemData" : { "author" : [ { "dropping-particle" : "", "family" : "la Cruz", "given" : "R.", "non-dropping-particle" : "De", "parse-names" : false, "suffix" : "" } ], "container-title" : "Naciones Ind\u00edgenas en los Estados Contempor\u00e1neos", "editor" : [ { "dropping-particle" : "", "family" : "Nemog\u00e1", "given" : "G.R.", "non-dropping-particle" : "", "parse-names" : false, "suffix" : "" } ], "id" : "ITEM-1", "issued" : { "date-parts" : [ [ "2011" ] ] }, "page" : "211-230", "publisher" : "Universidad Nacional de Colombia", "publisher-place" : "Bogot\u00e1, Colombia", "title" : "Conocimientos tradicionales, biodiversidad y derechos de propiedad intelectual, patentes", "type" : "chapter" }, "uris" : [ "http://www.mendeley.com/documents/?uuid=77506b4c-28ca-4106-9904-200c3da88271" ] }, { "id" : "ITEM-2", "itemData" : { "DOI" : "10.4324/9781849776455", "ISBN" : "9780415813549", "author" : [ { "dropping-particle" : "", "family" : "Robson", "given" : "James", "non-dropping-particle" : "", "parse-names" : false, "suffix" : "" }, { "dropping-particle" : "", "family" : "Berkes", "given" : "Fikret", "non-dropping-particle" : "", "parse-names" : false, "suffix" : "" } ], "container-title" : "Nature and Culture: Rebuilding Lost Connections", "editor" : [ { "dropping-particle" : "", "family" : "Pilgrim", "given" : "Sarah", "non-dropping-particle" : "", "parse-names" : false, "suffix" : "" }, { "dropping-particle" : "", "family" : "Pretty", "given" : "Jules", "non-dropping-particle" : "", "parse-names" : false, "suffix" : "" } ], "id" : "ITEM-2", "issued" : { "date-parts" : [ [ "2012" ] ] }, "page" : "197-216", "publisher" : "Earthscan", "publisher-place" : "London, UK and Washington DC., USA", "title" : "Sacred nature and community conserved areas", "type" : "chapter" }, "uris" : [ "http://www.mendeley.com/documents/?uuid=d2e0870e-5f08-4efa-98ba-78dc1ff63273" ] } ], "mendeley" : { "formattedCitation" : "(De la Cruz, 2011; Robson &amp; Berkes, 2012)", "plainTextFormattedCitation" : "(De la Cruz, 2011; Robson &amp; Berkes, 2012)", "previouslyFormattedCitation" : "(De la Cruz, 2011; Robson &amp; Berkes, 2012)" }, "properties" : { "noteIndex" : 0 }, "schema" : "https://github.com/citation-style-language/schema/raw/master/csl-citation.json" }</w:instrText>
      </w:r>
      <w:r w:rsidRPr="008608AA">
        <w:fldChar w:fldCharType="separate"/>
      </w:r>
      <w:r w:rsidRPr="008608AA">
        <w:rPr>
          <w:noProof/>
        </w:rPr>
        <w:t>(De la Cruz, 2011; Robson &amp; Berkes, 2012)</w:t>
      </w:r>
      <w:r w:rsidRPr="008608AA">
        <w:fldChar w:fldCharType="end"/>
      </w:r>
      <w:r w:rsidRPr="008608AA">
        <w:t xml:space="preserve">. These interrelationships constitute the biocultural heritage of indigenous people that is intimately related to their connection to land and sacred or spiritual places, and influence how people interact with and manage land. A good example is seen in the indigenous Menominee people who inhabit the Great Lakes region (Box 3.3). </w:t>
      </w:r>
    </w:p>
    <w:p w14:paraId="44A4835F" w14:textId="2B89A350" w:rsidR="004255E7" w:rsidRPr="008608AA" w:rsidRDefault="004255E7" w:rsidP="00BE4235">
      <w:pPr>
        <w:widowControl w:val="0"/>
        <w:autoSpaceDE w:val="0"/>
        <w:autoSpaceDN w:val="0"/>
        <w:adjustRightInd w:val="0"/>
        <w:spacing w:after="120"/>
      </w:pPr>
      <w:r w:rsidRPr="008608AA">
        <w:rPr>
          <w:color w:val="222222"/>
          <w:shd w:val="clear" w:color="auto" w:fill="FFFFFF"/>
        </w:rPr>
        <w:t xml:space="preserve">Worldview. </w:t>
      </w:r>
      <w:r w:rsidRPr="008608AA">
        <w:t xml:space="preserve">The </w:t>
      </w:r>
      <w:r w:rsidR="00017975" w:rsidRPr="008608AA">
        <w:t>“</w:t>
      </w:r>
      <w:r w:rsidRPr="008608AA">
        <w:t>worldview</w:t>
      </w:r>
      <w:r w:rsidR="00017975" w:rsidRPr="008608AA">
        <w:t>”</w:t>
      </w:r>
      <w:r w:rsidRPr="008608AA">
        <w:t xml:space="preserve"> is the structured group of diverse ideological systems </w:t>
      </w:r>
      <w:r w:rsidR="00017975" w:rsidRPr="008608AA">
        <w:t xml:space="preserve">by </w:t>
      </w:r>
      <w:r w:rsidRPr="008608AA">
        <w:t>which a social group understand</w:t>
      </w:r>
      <w:r w:rsidR="00017975" w:rsidRPr="008608AA">
        <w:t>s</w:t>
      </w:r>
      <w:r w:rsidRPr="008608AA">
        <w:t xml:space="preserve"> the universe and </w:t>
      </w:r>
      <w:r w:rsidR="00017975" w:rsidRPr="008608AA">
        <w:t xml:space="preserve">the </w:t>
      </w:r>
      <w:r w:rsidRPr="008608AA">
        <w:t xml:space="preserve">order </w:t>
      </w:r>
      <w:r w:rsidR="00017975" w:rsidRPr="008608AA">
        <w:t>of</w:t>
      </w:r>
      <w:r w:rsidRPr="008608AA">
        <w:t xml:space="preserve"> systems, knowledge, and interrelationships with nature</w:t>
      </w:r>
      <w:r w:rsidR="00017975" w:rsidRPr="008608AA">
        <w:t xml:space="preserve">. </w:t>
      </w:r>
      <w:r w:rsidRPr="008608AA">
        <w:fldChar w:fldCharType="begin" w:fldLock="1"/>
      </w:r>
      <w:r w:rsidRPr="008608AA">
        <w:instrText>ADDIN CSL_CITATION { "citationItems" : [ { "id" : "ITEM-1", "itemData" : { "author" : [ { "dropping-particle" : "", "family" : "L\u00f3pez-Austin", "given" : "Alfredo.", "non-dropping-particle" : "", "parse-names" : false, "suffix" : "" } ], "id" : "ITEM-1", "issued" : { "date-parts" : [ [ "1990" ] ] }, "publisher" : "Universidad Nacional Aut\u00f3noma de M\u00e9xico, Instituto de Investigaciones Antropol\u00f3gicas", "publisher-place" : "Mexico City, Mexico", "title" : "Cuerpo Humano e Ideolog\u00eda. Las Concepciones de los Antiguos Nahuas (2 vols)", "type" : "book" }, "uris" : [ "http://www.mendeley.com/documents/?uuid=ec89bea0-5e6d-4a2f-bea6-456ffbf604c6" ] } ], "mendeley" : { "formattedCitation" : "(L\u00f3pez-Austin, 1990)", "plainTextFormattedCitation" : "(L\u00f3pez-Austin, 1990)", "previouslyFormattedCitation" : "(L\u00f3pez-Austin, 1990)" }, "properties" : { "noteIndex" : 0 }, "schema" : "https://github.com/citation-style-language/schema/raw/master/csl-citation.json" }</w:instrText>
      </w:r>
      <w:r w:rsidRPr="008608AA">
        <w:fldChar w:fldCharType="separate"/>
      </w:r>
      <w:r w:rsidRPr="008608AA">
        <w:rPr>
          <w:noProof/>
        </w:rPr>
        <w:t>(López-Austin, 1990)</w:t>
      </w:r>
      <w:r w:rsidRPr="008608AA">
        <w:fldChar w:fldCharType="end"/>
      </w:r>
      <w:r w:rsidRPr="008608AA">
        <w:t>. Recognition of worldview signifies appreciation for a system that has the potential to be less damaging to the environment than many current dominant practices.</w:t>
      </w:r>
      <w:r w:rsidRPr="008608AA">
        <w:rPr>
          <w:rStyle w:val="CommentReference"/>
          <w:rFonts w:eastAsia="Times"/>
          <w:sz w:val="24"/>
          <w:szCs w:val="24"/>
          <w:lang w:eastAsia="ja-JP"/>
        </w:rPr>
        <w:t xml:space="preserve"> T</w:t>
      </w:r>
      <w:r w:rsidRPr="008608AA">
        <w:t xml:space="preserve">he worldview is interrelated with territory, nature, religion, politics and the economy </w:t>
      </w:r>
      <w:r w:rsidRPr="008608AA">
        <w:fldChar w:fldCharType="begin" w:fldLock="1"/>
      </w:r>
      <w:r w:rsidRPr="008608AA">
        <w:instrText>ADDIN CSL_CITATION { "citationItems" : [ { "id" : "ITEM-1", "itemData" : { "author" : [ { "dropping-particle" : "", "family" : "Zolla", "given" : "C.", "non-dropping-particle" : "", "parse-names" : false, "suffix" : "" }, { "dropping-particle" : "", "family" : "Zolla", "given" : "E.", "non-dropping-particle" : "", "parse-names" : false, "suffix" : "" } ], "id" : "ITEM-1", "issued" : { "date-parts" : [ [ "2004" ] ] }, "publisher" : "Universidad Nacional Aut\u00f3noma de M\u00e9xico", "publisher-place" : "M\u00e9xico D.F., M\u00e9xico", "title" : "Los Pueblos Ind\u00edgenas de M\u00e9xico, 100 Preguntas", "type" : "book" }, "uris" : [ "http://www.mendeley.com/documents/?uuid=27a2cd07-9a0b-42b4-b2b7-0f54b303c787" ] } ], "mendeley" : { "formattedCitation" : "(Zolla &amp; Zolla, 2004)", "manualFormatting" : "(Zolla &amp; Zolla, 2004)", "plainTextFormattedCitation" : "(Zolla &amp; Zolla, 2004)", "previouslyFormattedCitation" : "(Zolla &amp; Zolla, 2004)" }, "properties" : { "noteIndex" : 0 }, "schema" : "https://github.com/citation-style-language/schema/raw/master/csl-citation.json" }</w:instrText>
      </w:r>
      <w:r w:rsidRPr="008608AA">
        <w:fldChar w:fldCharType="separate"/>
      </w:r>
      <w:r w:rsidRPr="008608AA">
        <w:rPr>
          <w:noProof/>
        </w:rPr>
        <w:t>(Zolla &amp; Zolla, 2004)</w:t>
      </w:r>
      <w:r w:rsidRPr="008608AA">
        <w:fldChar w:fldCharType="end"/>
      </w:r>
      <w:r w:rsidRPr="008608AA">
        <w:t xml:space="preserve">. Most indigenous populations share principles that derive from their worldview, including the principle of reciprocity, the principle of correspondence between the micro-cosmos and the macro-cosmos and the principle of complementarity, in which the cosmos functions with all of its parts </w:t>
      </w:r>
      <w:r w:rsidRPr="008608AA">
        <w:fldChar w:fldCharType="begin" w:fldLock="1"/>
      </w:r>
      <w:r w:rsidRPr="008608AA">
        <w:instrText>ADDIN CSL_CITATION { "citationItems" : [ { "id" : "ITEM-1", "itemData" : { "author" : [ { "dropping-particle" : "", "family" : "Zolla", "given" : "C.", "non-dropping-particle" : "", "parse-names" : false, "suffix" : "" }, { "dropping-particle" : "", "family" : "Zolla", "given" : "E.", "non-dropping-particle" : "", "parse-names" : false, "suffix" : "" } ], "id" : "ITEM-1", "issued" : { "date-parts" : [ [ "2004" ] ] }, "publisher" : "Universidad Nacional Aut\u00f3noma de M\u00e9xico", "publisher-place" : "M\u00e9xico D.F., M\u00e9xico", "title" : "Los Pueblos Ind\u00edgenas de M\u00e9xico, 100 Preguntas", "type" : "book" }, "uris" : [ "http://www.mendeley.com/documents/?uuid=27a2cd07-9a0b-42b4-b2b7-0f54b303c787" ] } ], "mendeley" : { "formattedCitation" : "(Zolla &amp; Zolla, 2004)", "manualFormatting" : "(Zolla &amp; Zolla, 2004)", "plainTextFormattedCitation" : "(Zolla &amp; Zolla, 2004)", "previouslyFormattedCitation" : "(Zolla &amp; Zolla, 2004)" }, "properties" : { "noteIndex" : 0 }, "schema" : "https://github.com/citation-style-language/schema/raw/master/csl-citation.json" }</w:instrText>
      </w:r>
      <w:r w:rsidRPr="008608AA">
        <w:fldChar w:fldCharType="separate"/>
      </w:r>
      <w:r w:rsidRPr="008608AA">
        <w:rPr>
          <w:noProof/>
        </w:rPr>
        <w:t>(Zolla &amp; Zolla, 2004)</w:t>
      </w:r>
      <w:r w:rsidRPr="008608AA">
        <w:fldChar w:fldCharType="end"/>
      </w:r>
      <w:r w:rsidRPr="008608AA">
        <w:t>.</w:t>
      </w:r>
    </w:p>
    <w:p w14:paraId="0CA5818E" w14:textId="451995C4" w:rsidR="00C6517A" w:rsidRPr="008608AA" w:rsidRDefault="00BE4235" w:rsidP="00BE4235">
      <w:pPr>
        <w:pStyle w:val="Caption"/>
      </w:pPr>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3</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3</w:t>
      </w:r>
      <w:r w:rsidR="000E562E">
        <w:rPr>
          <w:noProof/>
        </w:rPr>
        <w:fldChar w:fldCharType="end"/>
      </w:r>
      <w:r w:rsidRPr="008608AA">
        <w:t xml:space="preserve">. </w:t>
      </w:r>
      <w:r w:rsidR="00C6517A" w:rsidRPr="008608AA">
        <w:t>The Menominee Nation: an example of indigenous knowledge and practice</w:t>
      </w:r>
      <w:r w:rsidR="00605385" w:rsidRPr="008608AA">
        <w:t>.</w:t>
      </w:r>
    </w:p>
    <w:tbl>
      <w:tblPr>
        <w:tblStyle w:val="TableGrid"/>
        <w:tblW w:w="0" w:type="auto"/>
        <w:tblLook w:val="04A0" w:firstRow="1" w:lastRow="0" w:firstColumn="1" w:lastColumn="0" w:noHBand="0" w:noVBand="1"/>
      </w:tblPr>
      <w:tblGrid>
        <w:gridCol w:w="9487"/>
      </w:tblGrid>
      <w:tr w:rsidR="003A3EBC" w:rsidRPr="008608AA" w14:paraId="021BFEDE" w14:textId="77777777" w:rsidTr="00ED2CA3">
        <w:tc>
          <w:tcPr>
            <w:tcW w:w="9606" w:type="dxa"/>
          </w:tcPr>
          <w:tbl>
            <w:tblPr>
              <w:tblW w:w="5000" w:type="pct"/>
              <w:tblLook w:val="04A0" w:firstRow="1" w:lastRow="0" w:firstColumn="1" w:lastColumn="0" w:noHBand="0" w:noVBand="1"/>
            </w:tblPr>
            <w:tblGrid>
              <w:gridCol w:w="9271"/>
            </w:tblGrid>
            <w:tr w:rsidR="003A3EBC" w:rsidRPr="00843724" w14:paraId="7E45E902" w14:textId="77777777" w:rsidTr="0005440D">
              <w:trPr>
                <w:trHeight w:val="1226"/>
              </w:trPr>
              <w:tc>
                <w:tcPr>
                  <w:tcW w:w="5000" w:type="pct"/>
                </w:tcPr>
                <w:p w14:paraId="4757618B" w14:textId="77777777" w:rsidR="003A3EBC" w:rsidRPr="00843724" w:rsidRDefault="003A3EBC" w:rsidP="00BE4235">
                  <w:pPr>
                    <w:spacing w:before="120" w:after="120"/>
                    <w:rPr>
                      <w:rFonts w:asciiTheme="majorHAnsi" w:eastAsiaTheme="majorEastAsia" w:hAnsiTheme="majorHAnsi" w:cstheme="majorBidi"/>
                      <w:b/>
                      <w:i/>
                      <w:iCs/>
                      <w:color w:val="404040" w:themeColor="text1" w:themeTint="BF"/>
                      <w:szCs w:val="22"/>
                      <w:u w:val="single"/>
                    </w:rPr>
                  </w:pPr>
                  <w:r w:rsidRPr="00843724">
                    <w:rPr>
                      <w:szCs w:val="22"/>
                    </w:rPr>
                    <w:t xml:space="preserve">The Menominee Nation is a nation of indigenous people of North America that has existed for thousands of years. Currently situated in Wisconsin (USA), it stewards one of the significant regions of contiguous vestiges of old growth hardwood forest that remain in the Great Lakes Region. The present-day Menominee reservation is only a fraction of the estimated 4.05 million hectares of ancestral lands accessed by the Omaeqnomenewak prior to European contact. Treaties with the USA government between 1817 and 1856 resulted in a large loss of land, down now to approximately 95,313 ha </w:t>
                  </w:r>
                  <w:r w:rsidRPr="00843724">
                    <w:rPr>
                      <w:szCs w:val="22"/>
                    </w:rPr>
                    <w:fldChar w:fldCharType="begin" w:fldLock="1"/>
                  </w:r>
                  <w:r w:rsidRPr="00843724">
                    <w:rPr>
                      <w:szCs w:val="22"/>
                    </w:rPr>
                    <w:instrText>ADDIN CSL_CITATION { "citationItems" : [ { "id" : "ITEM-1", "itemData" : { "author" : [ { "dropping-particle" : "", "family" : "Omaeqnomenew Masenahekan", "given" : "", "non-dropping-particle" : "", "parse-names" : false, "suffix" : "" } ], "id" : "ITEM-1", "issued" : { "date-parts" : [ [ "2004" ] ] }, "title" : "Menominee Indian Tribe of Wisconsin. Facts and Figures Reference Book. 3rd Edition. December 15, 2004", "type" : "article-journal" }, "uris" : [ "http://www.mendeley.com/documents/?uuid=8a6ce3a4-b8ae-494b-87a1-73d9669aad82" ] } ], "mendeley" : { "formattedCitation" : "(Omaeqnomenew Masenahekan, 2004)", "plainTextFormattedCitation" : "(Omaeqnomenew Masenahekan, 2004)", "previouslyFormattedCitation" : "(Omaeqnomenew Masenahekan, 2004)" }, "properties" : { "noteIndex" : 0 }, "schema" : "https://github.com/citation-style-language/schema/raw/master/csl-citation.json" }</w:instrText>
                  </w:r>
                  <w:r w:rsidRPr="00843724">
                    <w:rPr>
                      <w:szCs w:val="22"/>
                    </w:rPr>
                    <w:fldChar w:fldCharType="separate"/>
                  </w:r>
                  <w:r w:rsidRPr="00843724">
                    <w:rPr>
                      <w:noProof/>
                      <w:szCs w:val="22"/>
                    </w:rPr>
                    <w:t>(Omaeqnomenew Masenahekan, 2004)</w:t>
                  </w:r>
                  <w:r w:rsidRPr="00843724">
                    <w:rPr>
                      <w:szCs w:val="22"/>
                    </w:rPr>
                    <w:fldChar w:fldCharType="end"/>
                  </w:r>
                  <w:r w:rsidRPr="00843724">
                    <w:rPr>
                      <w:szCs w:val="22"/>
                    </w:rPr>
                    <w:t>. Much of the Menominee forest is old growth due to efforts by early leaders to manage the resource sustainably in a time when land barons were harvesting what they perceived were unlimited supplies of timber. Some 68%</w:t>
                  </w:r>
                  <w:r w:rsidRPr="00843724" w:rsidDel="00F751FD">
                    <w:rPr>
                      <w:szCs w:val="22"/>
                    </w:rPr>
                    <w:t xml:space="preserve"> </w:t>
                  </w:r>
                  <w:r w:rsidRPr="00843724">
                    <w:rPr>
                      <w:szCs w:val="22"/>
                    </w:rPr>
                    <w:t xml:space="preserve">of the region was covered by old-growth forests in the late 1800s </w:t>
                  </w:r>
                  <w:r w:rsidRPr="00843724">
                    <w:rPr>
                      <w:szCs w:val="22"/>
                    </w:rPr>
                    <w:fldChar w:fldCharType="begin" w:fldLock="1"/>
                  </w:r>
                  <w:r w:rsidRPr="00843724">
                    <w:rPr>
                      <w:szCs w:val="22"/>
                    </w:rPr>
                    <w:instrText>ADDIN CSL_CITATION { "citationItems" : [ { "id" : "ITEM-1", "itemData" : { "author" : [ { "dropping-particle" : "", "family" : "Frelich", "given" : "L.E.", "non-dropping-particle" : "", "parse-names" : false, "suffix" : "" } ], "container-title" : "Natural Areas Journal", "id" : "ITEM-1", "issue" : "2", "issued" : { "date-parts" : [ [ "1995" ] ] }, "page" : "157-167", "title" : "Old forest in the Lake States today and before European settlement", "type" : "article-journal", "volume" : "15" }, "uris" : [ "http://www.mendeley.com/documents/?uuid=2e565596-593a-4016-a770-467af134709d" ] } ], "mendeley" : { "formattedCitation" : "(Frelich, 1995)", "plainTextFormattedCitation" : "(Frelich, 1995)", "previouslyFormattedCitation" : "(Frelich, 1995)" }, "properties" : { "noteIndex" : 0 }, "schema" : "https://github.com/citation-style-language/schema/raw/master/csl-citation.json" }</w:instrText>
                  </w:r>
                  <w:r w:rsidRPr="00843724">
                    <w:rPr>
                      <w:szCs w:val="22"/>
                    </w:rPr>
                    <w:fldChar w:fldCharType="separate"/>
                  </w:r>
                  <w:r w:rsidRPr="00843724">
                    <w:rPr>
                      <w:noProof/>
                      <w:szCs w:val="22"/>
                    </w:rPr>
                    <w:t>(Frelich, 1995)</w:t>
                  </w:r>
                  <w:r w:rsidRPr="00843724">
                    <w:rPr>
                      <w:szCs w:val="22"/>
                    </w:rPr>
                    <w:fldChar w:fldCharType="end"/>
                  </w:r>
                  <w:r w:rsidRPr="00843724">
                    <w:rPr>
                      <w:szCs w:val="22"/>
                    </w:rPr>
                    <w:t xml:space="preserve">, but only about 1% of Wisconsin’s old-growth forests remain today as a consequence of producing more than 8.26 million cubic meters of timber annually in the late 1800s. Guided by tribal leaders’ philosophy for managing forests and processing of forest products, Menominee forested land provides economic benefits not only through sustainable timber harvesting and wood product manufacturing but also through access to culturally important plant and animal species and ecosystems. As a result, the Menominee forest is home to ecosystems not seen in Wisconsin since before the great forest clear-cuts of the 1800s. The current sustainable forest management is a reflection of the worldview of early tribal leaders expressed in the following management goal: </w:t>
                  </w:r>
                  <w:r w:rsidRPr="00843724">
                    <w:rPr>
                      <w:i/>
                      <w:szCs w:val="22"/>
                    </w:rPr>
                    <w:t>Maintain the diversity of native species and habitats, continue to improve environmental and cultural protection, improve planning efforts, further develop economic opportunities, promote communication, and increase environmental education for the Menominee people, while maximizing the quantity and quality of forest products grown under sustained yield principles</w:t>
                  </w:r>
                  <w:r w:rsidRPr="00843724">
                    <w:rPr>
                      <w:szCs w:val="22"/>
                    </w:rPr>
                    <w:t xml:space="preserve"> </w:t>
                  </w:r>
                  <w:r w:rsidRPr="00843724">
                    <w:rPr>
                      <w:szCs w:val="22"/>
                    </w:rPr>
                    <w:fldChar w:fldCharType="begin" w:fldLock="1"/>
                  </w:r>
                  <w:r w:rsidRPr="00843724">
                    <w:rPr>
                      <w:szCs w:val="22"/>
                    </w:rPr>
                    <w:instrText>ADDIN CSL_CITATION { "citationItems" : [ { "id" : "ITEM-1", "itemData" : { "author" : [ { "dropping-particle" : "", "family" : "Menominee Tribal Enterprises", "given" : "", "non-dropping-particle" : "", "parse-names" : false, "suffix" : "" } ], "id" : "ITEM-1", "issued" : { "date-parts" : [ [ "2012" ] ] }, "title" : "Forest Management Plan (Revised 1973) 2012-2027. November 29, 2012", "type" : "article-journal" }, "uris" : [ "http://www.mendeley.com/documents/?uuid=8d186a92-b101-475c-9fd9-0b97dc5d5cbe" ] } ], "mendeley" : { "formattedCitation" : "(Menominee Tribal Enterprises, 2012)", "plainTextFormattedCitation" : "(Menominee Tribal Enterprises, 2012)", "previouslyFormattedCitation" : "(Menominee Tribal Enterprises, 2012)" }, "properties" : { "noteIndex" : 0 }, "schema" : "https://github.com/citation-style-language/schema/raw/master/csl-citation.json" }</w:instrText>
                  </w:r>
                  <w:r w:rsidRPr="00843724">
                    <w:rPr>
                      <w:szCs w:val="22"/>
                    </w:rPr>
                    <w:fldChar w:fldCharType="separate"/>
                  </w:r>
                  <w:r w:rsidRPr="00843724">
                    <w:rPr>
                      <w:noProof/>
                      <w:szCs w:val="22"/>
                    </w:rPr>
                    <w:t>(Menominee Tribal Enterprises, 2012)</w:t>
                  </w:r>
                  <w:r w:rsidRPr="00843724">
                    <w:rPr>
                      <w:szCs w:val="22"/>
                    </w:rPr>
                    <w:fldChar w:fldCharType="end"/>
                  </w:r>
                  <w:r w:rsidRPr="00843724">
                    <w:rPr>
                      <w:szCs w:val="22"/>
                    </w:rPr>
                    <w:t>.</w:t>
                  </w:r>
                </w:p>
              </w:tc>
            </w:tr>
          </w:tbl>
          <w:p w14:paraId="5B08F7EC" w14:textId="77777777" w:rsidR="003A3EBC" w:rsidRPr="008608AA" w:rsidRDefault="003A3EBC" w:rsidP="003A3EBC">
            <w:pPr>
              <w:widowControl w:val="0"/>
              <w:autoSpaceDE w:val="0"/>
              <w:autoSpaceDN w:val="0"/>
              <w:adjustRightInd w:val="0"/>
            </w:pPr>
          </w:p>
        </w:tc>
      </w:tr>
    </w:tbl>
    <w:p w14:paraId="1FA55F5D" w14:textId="77777777" w:rsidR="004255E7" w:rsidRPr="008608AA" w:rsidRDefault="004255E7" w:rsidP="00BE4235">
      <w:pPr>
        <w:widowControl w:val="0"/>
        <w:autoSpaceDE w:val="0"/>
        <w:autoSpaceDN w:val="0"/>
        <w:adjustRightInd w:val="0"/>
        <w:spacing w:before="120" w:after="120"/>
      </w:pPr>
      <w:r w:rsidRPr="008608AA">
        <w:t xml:space="preserve">For the Otomi people, an indigenous group in Mesoamerica, worldview explains the universe; the origin and destiny of humanity; the origin of their territory and mountains as the source of fertility and force; the dialogues between humans and animals to seal protection; the creation of plants, health, and sickness as a unity among body, soul and land; and the circle of time and space </w:t>
      </w:r>
      <w:r w:rsidRPr="008608AA">
        <w:fldChar w:fldCharType="begin" w:fldLock="1"/>
      </w:r>
      <w:r w:rsidRPr="008608AA">
        <w:instrText>ADDIN CSL_CITATION { "citationItems" : [ { "id" : "ITEM-1", "itemData" : { "author" : [ { "dropping-particle" : "", "family" : "P\u00e9rez", "given" : "L.", "non-dropping-particle" : "", "parse-names" : false, "suffix" : "" } ], "container-title" : "El Derecho al Desarrollo Social: Una Visi\u00f3n Desde el Multiculturalismo: El Caso de los Pueblos Ind\u00edgenas", "editor" : [ { "dropping-particle" : "", "family" : "Durand", "given" : "C.H.", "non-dropping-particle" : "", "parse-names" : false, "suffix" : "" } ], "id" : "ITEM-1", "issued" : { "date-parts" : [ [ "2008" ] ] }, "page" : "273-292", "publisher" : "Editorial Porr\u00faa", "publisher-place" : "Ciudad de M\u00e9xico, M\u00e9xico", "title" : "Aportes para la comprensi\u00f3n del imaginario Otom\u00ed", "type" : "chapter" }, "uris" : [ "http://www.mendeley.com/documents/?uuid=afe3e861-89f1-4f53-b43c-542b956f7da7" ] }, { "id" : "ITEM-2", "itemData" : { "author" : [ { "dropping-particle" : "", "family" : "Galinier", "given" : "J.", "non-dropping-particle" : "", "parse-names" : false, "suffix" : "" } ], "id" : "ITEM-2", "issued" : { "date-parts" : [ [ "1997" ] ] }, "publisher" : "Centro de Estudios Mexicanos y Centroamericanos, Instituto Nacional Indigenista", "publisher-place" : "M\u00e9xico", "title" : "Pueblos de la Sierra Madre", "type" : "article" }, "uris" : [ "http://www.mendeley.com/documents/?uuid=095cf8d8-5d13-4dbf-8571-842480d41274" ] } ], "mendeley" : { "formattedCitation" : "(Galinier, 1997; P\u00e9rez, 2008)", "manualFormatting" : "(Galinier, 1997; P\u00e9rez, 2008)", "plainTextFormattedCitation" : "(Galinier, 1997; P\u00e9rez, 2008)", "previouslyFormattedCitation" : "(Galinier, 1997; P\u00e9rez, 2008)" }, "properties" : { "noteIndex" : 0 }, "schema" : "https://github.com/citation-style-language/schema/raw/master/csl-citation.json" }</w:instrText>
      </w:r>
      <w:r w:rsidRPr="008608AA">
        <w:fldChar w:fldCharType="separate"/>
      </w:r>
      <w:r w:rsidRPr="008608AA">
        <w:rPr>
          <w:noProof/>
        </w:rPr>
        <w:t>(Galinier, 1997; Pérez, 2008)</w:t>
      </w:r>
      <w:r w:rsidRPr="008608AA">
        <w:fldChar w:fldCharType="end"/>
      </w:r>
      <w:r w:rsidRPr="008608AA">
        <w:t>. Humans are integrated with land, animals, plants, and mountains. Well-being consists of finding equilibrium among these parts. “To be fine is to dominate our soul (</w:t>
      </w:r>
      <w:r w:rsidRPr="008608AA">
        <w:rPr>
          <w:i/>
        </w:rPr>
        <w:t>ro mui</w:t>
      </w:r>
      <w:r w:rsidRPr="008608AA">
        <w:t xml:space="preserve">)” </w:t>
      </w:r>
      <w:r w:rsidRPr="008608AA">
        <w:fldChar w:fldCharType="begin" w:fldLock="1"/>
      </w:r>
      <w:r w:rsidRPr="008608AA">
        <w:instrText>ADDIN CSL_CITATION { "citationItems" : [ { "id" : "ITEM-1", "itemData" : { "author" : [ { "dropping-particle" : "", "family" : "P\u00e9rez", "given" : "L.", "non-dropping-particle" : "", "parse-names" : false, "suffix" : "" } ], "container-title" : "El Derecho al Desarrollo Social: Una Visi\u00f3n Desde el Multiculturalismo: El Caso de los Pueblos Ind\u00edgenas", "editor" : [ { "dropping-particle" : "", "family" : "Durand", "given" : "C.H.", "non-dropping-particle" : "", "parse-names" : false, "suffix" : "" } ], "id" : "ITEM-1", "issued" : { "date-parts" : [ [ "2008" ] ] }, "page" : "273-292", "publisher" : "Editorial Porr\u00faa", "publisher-place" : "Ciudad de M\u00e9xico, M\u00e9xico", "title" : "Aportes para la comprensi\u00f3n del imaginario Otom\u00ed", "type" : "chapter" }, "uris" : [ "http://www.mendeley.com/documents/?uuid=afe3e861-89f1-4f53-b43c-542b956f7da7" ] } ], "mendeley" : { "formattedCitation" : "(P\u00e9rez, 2008)", "plainTextFormattedCitation" : "(P\u00e9rez, 2008)", "previouslyFormattedCitation" : "(P\u00e9rez, 2008)" }, "properties" : { "noteIndex" : 0 }, "schema" : "https://github.com/citation-style-language/schema/raw/master/csl-citation.json" }</w:instrText>
      </w:r>
      <w:r w:rsidRPr="008608AA">
        <w:fldChar w:fldCharType="separate"/>
      </w:r>
      <w:r w:rsidRPr="008608AA">
        <w:rPr>
          <w:noProof/>
        </w:rPr>
        <w:t>(Pérez, 2008)</w:t>
      </w:r>
      <w:r w:rsidRPr="008608AA">
        <w:fldChar w:fldCharType="end"/>
      </w:r>
      <w:r w:rsidRPr="008608AA">
        <w:t xml:space="preserve">. Among the Kichwa people in Ecuador, the Sumak Kawsay (“good living”) is based on a communitarian space, continuous dialogue with Mother Nature or Mother Earth (pachamama), the conservation of ecosystems, different ways to produce knowledge by all members, social organization based on the principle of reciprocity and solidarity (minka, ranti-ranti, makikuna, uyanza). For Manuel Castro (ECUARUNARI, Ecuador), Sumak Kawsay implies social equity, justice, and peace </w:t>
      </w:r>
      <w:r w:rsidRPr="008608AA">
        <w:fldChar w:fldCharType="begin" w:fldLock="1"/>
      </w:r>
      <w:r w:rsidRPr="008608AA">
        <w:instrText>ADDIN CSL_CITATION { "citationItems" : [ { "id" : "ITEM-1", "itemData" : { "author" : [ { "dropping-particle" : "", "family" : "Houtart", "given" : "F.", "non-dropping-particle" : "", "parse-names" : false, "suffix" : "" } ], "container-title" : "Buena Vida, Buen Vivir: Imaginarios Alternativos Para el Bien Com\u00fan de la Humanidad", "editor" : [ { "dropping-particle" : "", "family" : "Delgado", "given" : "G.C.", "non-dropping-particle" : "", "parse-names" : false, "suffix" : "" } ], "id" : "ITEM-1", "issued" : { "date-parts" : [ [ "2014" ] ] }, "page" : "97-123", "publisher" : "Universidad Nacional Aut\u00f3noma de M\u00e9xico", "publisher-place" : "M\u00e9xico D.F., M\u00e9xico", "title" : "El concepto de sumak kawsay (Buen vivir) y su correspondencia con el bien com\u00fan de la humanidad", "type" : "chapter" }, "uris" : [ "http://www.mendeley.com/documents/?uuid=276740ca-7189-47fe-bb8e-65dbdabe533b" ] } ], "mendeley" : { "formattedCitation" : "(Houtart, 2014)", "plainTextFormattedCitation" : "(Houtart, 2014)", "previouslyFormattedCitation" : "(Houtart, 2014)" }, "properties" : { "noteIndex" : 0 }, "schema" : "https://github.com/citation-style-language/schema/raw/master/csl-citation.json" }</w:instrText>
      </w:r>
      <w:r w:rsidRPr="008608AA">
        <w:fldChar w:fldCharType="separate"/>
      </w:r>
      <w:r w:rsidRPr="008608AA">
        <w:rPr>
          <w:noProof/>
        </w:rPr>
        <w:t>(Houtart, 2014)</w:t>
      </w:r>
      <w:r w:rsidRPr="008608AA">
        <w:fldChar w:fldCharType="end"/>
      </w:r>
      <w:r w:rsidRPr="008608AA">
        <w:t xml:space="preserve">. For Eugenia Choque, </w:t>
      </w:r>
      <w:r w:rsidRPr="008608AA">
        <w:rPr>
          <w:i/>
        </w:rPr>
        <w:t>suma jakaña</w:t>
      </w:r>
      <w:r w:rsidRPr="008608AA">
        <w:t xml:space="preserve"> means to achieve food sovereignty, and for Xabier Albó it denotes to “live together well” </w:t>
      </w:r>
      <w:r w:rsidRPr="008608AA">
        <w:fldChar w:fldCharType="begin" w:fldLock="1"/>
      </w:r>
      <w:r w:rsidRPr="008608AA">
        <w:instrText>ADDIN CSL_CITATION { "citationItems" : [ { "id" : "ITEM-1", "itemData" : { "author" : [ { "dropping-particle" : "", "family" : "Houtart", "given" : "F.", "non-dropping-particle" : "", "parse-names" : false, "suffix" : "" } ], "container-title" : "Buena Vida, Buen Vivir: Imaginarios Alternativos Para el Bien Com\u00fan de la Humanidad", "editor" : [ { "dropping-particle" : "", "family" : "Delgado", "given" : "G.C.", "non-dropping-particle" : "", "parse-names" : false, "suffix" : "" } ], "id" : "ITEM-1", "issued" : { "date-parts" : [ [ "2014" ] ] }, "page" : "97-123", "publisher" : "Universidad Nacional Aut\u00f3noma de M\u00e9xico", "publisher-place" : "M\u00e9xico D.F., M\u00e9xico", "title" : "El concepto de sumak kawsay (Buen vivir) y su correspondencia con el bien com\u00fan de la humanidad", "type" : "chapter" }, "uris" : [ "http://www.mendeley.com/documents/?uuid=276740ca-7189-47fe-bb8e-65dbdabe533b" ] } ], "mendeley" : { "formattedCitation" : "(Houtart, 2014)", "plainTextFormattedCitation" : "(Houtart, 2014)", "previouslyFormattedCitation" : "(Houtart, 2014)" }, "properties" : { "noteIndex" : 0 }, "schema" : "https://github.com/citation-style-language/schema/raw/master/csl-citation.json" }</w:instrText>
      </w:r>
      <w:r w:rsidRPr="008608AA">
        <w:fldChar w:fldCharType="separate"/>
      </w:r>
      <w:r w:rsidRPr="008608AA">
        <w:rPr>
          <w:noProof/>
        </w:rPr>
        <w:t>(Houtart, 2014)</w:t>
      </w:r>
      <w:r w:rsidRPr="008608AA">
        <w:fldChar w:fldCharType="end"/>
      </w:r>
      <w:r w:rsidRPr="008608AA">
        <w:t xml:space="preserve">. This worldview constitutes an alternative for development and a “cosmic ethic” </w:t>
      </w:r>
      <w:r w:rsidRPr="008608AA">
        <w:fldChar w:fldCharType="begin" w:fldLock="1"/>
      </w:r>
      <w:r w:rsidRPr="008608AA">
        <w:instrText>ADDIN CSL_CITATION { "citationItems" : [ { "id" : "ITEM-1", "itemData" : { "author" : [ { "dropping-particle" : "", "family" : "Gudynas", "given" : "E.", "non-dropping-particle" : "", "parse-names" : false, "suffix" : "" } ], "container-title" : "Revista Am\u00e9rica Latina en Movimiento", "id" : "ITEM-1", "issued" : { "date-parts" : [ [ "2011" ] ] }, "page" : "1-20", "publisher-place" : "Quito, Ecuador", "title" : "Buen vivir: germinando alternativas al desarrollo.", "type" : "article-journal", "volume" : "462" }, "uris" : [ "http://www.mendeley.com/documents/?uuid=c7ac3e7e-af7b-4d05-8475-97d7577e7135" ] }, { "id" : "ITEM-2", "itemData" : { "author" : [ { "dropping-particle" : "", "family" : "Gudynas", "given" : "E.", "non-dropping-particle" : "", "parse-names" : false, "suffix" : "" } ], "id" : "ITEM-2", "issued" : { "date-parts" : [ [ "2009" ] ] }, "publisher" : "Abya Yala", "publisher-place" : "Quito, Ecuador", "title" : "El Mandato Ecol\u00f3gico. Derechos de la Naturaleza y Pol\u00edticas Ambientales en la Nueva Constituci\u00f3n", "type" : "report" }, "uris" : [ "http://www.mendeley.com/documents/?uuid=04fe07bf-977f-4790-a02e-22a64fd38711" ] }, { "id" : "ITEM-3", "itemData" : { "author" : [ { "dropping-particle" : "", "family" : "Houtart", "given" : "F.", "non-dropping-particle" : "", "parse-names" : false, "suffix" : "" } ], "container-title" : "Buena Vida, Buen Vivir: Imaginarios Alternativos Para el Bien Com\u00fan de la Humanidad", "editor" : [ { "dropping-particle" : "", "family" : "Delgado", "given" : "G.C.", "non-dropping-particle" : "", "parse-names" : false, "suffix" : "" } ], "id" : "ITEM-3", "issued" : { "date-parts" : [ [ "2014" ] ] }, "page" : "97-123", "publisher" : "Universidad Nacional Aut\u00f3noma de M\u00e9xico", "publisher-place" : "M\u00e9xico D.F., M\u00e9xico", "title" : "El concepto de sumak kawsay (Buen vivir) y su correspondencia con el bien com\u00fan de la humanidad", "type" : "chapter" }, "uris" : [ "http://www.mendeley.com/documents/?uuid=276740ca-7189-47fe-bb8e-65dbdabe533b" ] } ], "mendeley" : { "formattedCitation" : "(Gudynas, 2009, 2011; Houtart, 2014)", "plainTextFormattedCitation" : "(Gudynas, 2009, 2011; Houtart, 2014)", "previouslyFormattedCitation" : "(Gudynas, 2009, 2011; Houtart, 2014)" }, "properties" : { "noteIndex" : 0 }, "schema" : "https://github.com/citation-style-language/schema/raw/master/csl-citation.json" }</w:instrText>
      </w:r>
      <w:r w:rsidRPr="008608AA">
        <w:fldChar w:fldCharType="separate"/>
      </w:r>
      <w:r w:rsidRPr="008608AA">
        <w:rPr>
          <w:noProof/>
        </w:rPr>
        <w:t>(Gudynas, 2009, 2011; Houtart, 2014)</w:t>
      </w:r>
      <w:r w:rsidRPr="008608AA">
        <w:fldChar w:fldCharType="end"/>
      </w:r>
      <w:r w:rsidRPr="008608AA">
        <w:t>. Much can be learned from the worldview of indigenous peoples when it comes to sustainability and biodiversity conservation.</w:t>
      </w:r>
    </w:p>
    <w:p w14:paraId="77CA94D0" w14:textId="77777777" w:rsidR="00BE4235" w:rsidRPr="008608AA" w:rsidRDefault="00BE4235" w:rsidP="00BE4235">
      <w:pPr>
        <w:widowControl w:val="0"/>
        <w:autoSpaceDE w:val="0"/>
        <w:autoSpaceDN w:val="0"/>
        <w:adjustRightInd w:val="0"/>
        <w:spacing w:before="120" w:after="120"/>
      </w:pPr>
    </w:p>
    <w:p w14:paraId="264848B8" w14:textId="79D8F276" w:rsidR="004255E7" w:rsidRDefault="004255E7" w:rsidP="00BE4235">
      <w:pPr>
        <w:pStyle w:val="Heading3"/>
        <w:rPr>
          <w:lang w:val="en-US"/>
        </w:rPr>
      </w:pPr>
      <w:bookmarkStart w:id="1008" w:name="_Toc502927351"/>
      <w:bookmarkStart w:id="1009" w:name="_Toc502951170"/>
      <w:bookmarkStart w:id="1010" w:name="_Toc502953613"/>
      <w:bookmarkStart w:id="1011" w:name="_Toc502954906"/>
      <w:bookmarkStart w:id="1012" w:name="_Toc502957713"/>
      <w:bookmarkStart w:id="1013" w:name="_Toc502957912"/>
      <w:bookmarkStart w:id="1014" w:name="_Toc502958066"/>
      <w:bookmarkStart w:id="1015" w:name="_Toc503293114"/>
      <w:bookmarkStart w:id="1016" w:name="_Toc503293712"/>
      <w:bookmarkStart w:id="1017" w:name="_Toc503293974"/>
      <w:bookmarkStart w:id="1018" w:name="_Toc503863367"/>
      <w:bookmarkStart w:id="1019" w:name="_Toc503863595"/>
      <w:bookmarkStart w:id="1020" w:name="_Toc517393305"/>
      <w:bookmarkStart w:id="1021" w:name="_Toc517719046"/>
      <w:bookmarkStart w:id="1022" w:name="_Toc517797003"/>
      <w:r w:rsidRPr="008608AA">
        <w:t>Domestication</w:t>
      </w:r>
      <w:r w:rsidRPr="008608AA">
        <w:rPr>
          <w:lang w:val="en-US"/>
        </w:rPr>
        <w:t xml:space="preserve"> and use of biodiversity and agroforestry</w:t>
      </w:r>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p>
    <w:p w14:paraId="12DA8AC3" w14:textId="77777777" w:rsidR="00843724" w:rsidRPr="00843724" w:rsidRDefault="00843724" w:rsidP="00843724">
      <w:pPr>
        <w:rPr>
          <w:lang w:eastAsia="es-CO"/>
        </w:rPr>
      </w:pPr>
    </w:p>
    <w:p w14:paraId="3E1A928C" w14:textId="02466437" w:rsidR="004255E7" w:rsidRPr="008608AA" w:rsidRDefault="002F1F98" w:rsidP="00BE4235">
      <w:pPr>
        <w:spacing w:after="120"/>
        <w:rPr>
          <w:lang w:val="fr-CA"/>
        </w:rPr>
      </w:pPr>
      <w:r w:rsidRPr="008608AA">
        <w:t>Domestication</w:t>
      </w:r>
      <w:r w:rsidR="00C04AD0" w:rsidRPr="008608AA">
        <w:t xml:space="preserve">. </w:t>
      </w:r>
      <w:r w:rsidR="004255E7" w:rsidRPr="008608AA">
        <w:t xml:space="preserve">The northeastern USA, Mesoamerica, the Andean region of Peru, Ecuador and Bolivia, and the Amazon basin are widely recognized as primary sites of management and domestication of biological diversity in the Americas </w:t>
      </w:r>
      <w:r w:rsidR="004255E7" w:rsidRPr="008608AA">
        <w:fldChar w:fldCharType="begin" w:fldLock="1"/>
      </w:r>
      <w:r w:rsidR="004255E7" w:rsidRPr="008608AA">
        <w:instrText>ADDIN CSL_CITATION { "citationItems" : [ { "id" : "ITEM-1", "itemData" : { "author" : [ { "dropping-particle" : "", "family" : "Parra", "given" : "F.", "non-dropping-particle" : "", "parse-names" : false, "suffix" : "" }, { "dropping-particle" : "", "family" : "Casas", "given" : "A.", "non-dropping-particle" : "", "parse-names" : false, "suffix" : "" } ], "container-title" : "Domesticaci\u00f3n en el Continente Americano Vol. 1. Investigaci\u00f3n Manejo de Biodiversidad y Evoluci\u00f3n Dirigida por las Culturas del Nuevo Mundo", "editor" : [ { "dropping-particle" : "", "family" : "Casas", "given" : "A.", "non-dropping-particle" : "", "parse-names" : false, "suffix" : "" }, { "dropping-particle" : "", "family" : "Torres-Guevara", "given" : "J.", "non-dropping-particle" : "", "parse-names" : false, "suffix" : "" }, { "dropping-particle" : "", "family" : "Parra", "given" : "F.", "non-dropping-particle" : "", "parse-names" : false, "suffix" : "" } ], "id" : "ITEM-1", "issued" : { "date-parts" : [ [ "2016" ] ] }, "page" : "159-188", "publisher" : "Universidad Nacional Aut\u00f3noma de M\u00e9xico /Universidad Nacional Agraria La Molina", "publisher-place" : "M\u00e9xico D.F., M\u00e9xico and Lima, Per\u00fa", "title" : "Origen y difusi\u00f3n de la domesticaci\u00f3n y la agricultura en el Nuevo Mundo", "type" : "chapter" }, "uris" : [ "http://www.mendeley.com/documents/?uuid=d8513cdf-acdb-4774-a2f8-741cb6464bc5" ] }, { "id" : "ITEM-2", "itemData" : { "DOI" : "10.1093/aob/mcm126", "ISBN" : "0305-7364", "ISSN" : "03057364", "PMID" : "17652338", "abstract" : "BACKGROUND AND AIMS: Ethnobotanical studies in Mexico have documented that Mesoamerican peoples practise systems of in situ management of wild and weedy vegetation directed to control availability of useful plants. In situ management includes let standing, encouraging growing and protection of individual plants of useful species during clearance of vegetation, which in some cases may involve artificial selection. The aim of this study was to review, complement and re-analyse information from three case studies which examined patterns of morphological, physiological and genetic effects of artificial selection in plant populations under in situ management in the region.\\n\\nMETHODS: Information on wild and in situ managed populations of the herbaceous weedy plants Anoda cristata and Crotalaria pumila, the tree Leucaena esculenta subsp. esculenta and the columnar cacti Escontria chiotilla, Polaskia chichipe and Stenocereus stellatus from Central Mexico was re-analysed. Analyses compared morphology and frequency of morphological variants, germination patterns, and population genetics parameters between wild and managed in situ populations of the species studied. Species of columnar cacti are under different management intensities and their populations, including cultivated stands of P. chichipe and S. stellatus, were also compared between species.\\n\\nKEY RESULTS: Significant differences in morphology, germination patterns and genetic variation documented between wild, in situ managed and cultivated populations of the species studied are associated with higher frequencies of phenotypes favoured by humans in managed populations. Genetic diversity in managed populations of E. chiotilla and P. chichipe is slightly lower than in wild populations but in managed populations of S. stellatus variation was higher than in the wild. However, genetic distance between populations was generally small and influenced more by geographic distance than by management.\\n\\nCONCLUSIONS: Artificial selection operating on in situ managed populations of the species analysed is causing incipient domestication. This process could be acting on any of the 600-700 plant species documented to be under in situ management in Mesoamerica. In situ domestication of plants could be relevant to understand early processes of domestication and current conditions of in situ conservation of plant genetic resources.", "author" : [ { "dropping-particle" : "", "family" : "Casas", "given" : "Alejandro", "non-dropping-particle" : "", "parse-names" : false, "suffix" : "" }, { "dropping-particle" : "", "family" : "Otero-Arnaiz", "given" : "Adriana", "non-dropping-particle" : "", "parse-names" : false, "suffix" : "" }, { "dropping-particle" : "", "family" : "Perez-Negron", "given" : "Edgar", "non-dropping-particle" : "", "parse-names" : false, "suffix" : "" }, { "dropping-particle" : "", "family" : "Valiente-Banuet", "given" : "Alfonso", "non-dropping-particle" : "", "parse-names" : false, "suffix" : "" } ], "container-title" : "Annals of Botany", "id" : "ITEM-2", "issue" : "5", "issued" : { "date-parts" : [ [ "2007" ] ] }, "page" : "1101-1115", "title" : "In situ management and domestication of plants in Mesoamerica", "type" : "article-journal", "volume" : "100" }, "uris" : [ "http://www.mendeley.com/documents/?uuid=29be8a1e-ecec-4171-8b3a-ec820ad47449" ] }, { "id" : "ITEM-3", "itemData" : { "DOI" : "10.1007/s00122-004-1842-2", "ISBN" : "1432-2242", "abstract" : "Chloroplast DNA polymorphisms were studied by PCR sequencing and PCR-restriction fragment length polymorphism in 165 accessions of domesticated landraces of common bean from Latin America and the USA, 23 accessions of weedy beans, and 134 accessions of wild beans covering the entire geographic range of wild Phaseolus vulgaris. Fourteen chloroplast haplotypes were identified in wild beans, only five of which occur also in domesticated beans. The chloroplast data agree with those obtained from analyses based on morphology and isozymes and with other DNA polymorphisms in supporting independent domestications of common bean in Mesoamerica and the Andean region and in demonstrating a founder effect associated with domestication in each region. Andean landraces have been classified into three different racial groups, but all share the same chloroplast haplotype. This suggests that common bean was domesticated once only in South America and that the races diverged post-domestication. The haplotype found in Andean domesticated beans is confined to the southern part of the range of wild beans, so Andean beans were probably domesticated somewhere within this area. Mesoamerican landraces have been classified into four racial groups. Our limited samples of Races Jalisco and Guatemala differ from the more widespread and commercially important Races Mesoamerica and Durango in types and/or frequencies of haplotypes. All four Mesoamerican races share their haplotypes with local wild beans in parts of their ranges. Independent domestications of at least some of the races in Mesoamerica and/or conversion of some locally adapted wild beans to cultigens by hybridization with introduced domesticated beans, followed by introgression of the \u201cdomestication syndrome\u201d seem the most plausible explanations of the chloroplast and other molecular data.", "author" : [ { "dropping-particle" : "", "family" : "Chac\u00f3n", "given" : "MI", "non-dropping-particle" : "", "parse-names" : false, "suffix" : "" }, { "dropping-particle" : "", "family" : "Pickersgill", "given" : "SB", "non-dropping-particle" : "", "parse-names" : false, "suffix" : "" }, { "dropping-particle" : "", "family" : "Debouck", "given" : "DG", "non-dropping-particle" : "", "parse-names" : false, "suffix" : "" } ], "container-title" : "Theoretical and Applied Genetics", "id" : "ITEM-3", "issue" : "3", "issued" : { "date-parts" : [ [ "2005" ] ] }, "page" : "432-444", "title" : "Domestication patterns in common bean (&lt;i&gt;Phaseolus vulgaris&lt;/i&gt; L.) and the origin of the Mesoamerican and Andean cultivated races", "type" : "article-journal", "volume" : "110" }, "uris" : [ "http://www.mendeley.com/documents/?uuid=01df8b8a-ec10-4e34-a426-4043c2b9274f" ] }, { "id" : "ITEM-4", "itemData" : { "DOI" : "10.3390/d2010072", "ISBN" : "5592364318", "ISSN" : "14242818", "abstract" : "Molecular analyses are providing new elements to decipher the origin, domestication and dispersal of native Amazonian crops in an expanding archaeological context. Solid molecular data are available for manioc (Manihot esculenta), cacao (Theobroma cacao), pineapple (Ananas comosus), peach palm (Bactris gasipaes) and guaran\u00e1 (Paullinia cupana), while hot peppers (Capsicum spp.), inga (Inga edulis), Brazil nut (Bertholletia excelsa) and cupuassu (Theobroma grandiflorum) are being studied. Emergent patterns include the relationships among domestication, antiquity (terminal Pleistocene to early Holocene), origin in the periphery, ample pre-Columbian dispersal and clear phylogeographic population structure for manioc, pineapple, peach palm and, perhaps, Capsicum peppers. Cacao represents the special case of an Amazonian species possibly brought into domestication in Mesoamerica, but close scrutiny of molecular data suggests that it may also have some incipiently domesticated populations in Amazonia. Another pattern includes the relationships among species with incipiently domesticated populations or very recently domesticated populations, rapid pre- or post-conquest dispersal and lack of phylogeographic population structure, e.g., Brazil nut, cupuassu and guaran\u00e1. These patterns contrast the peripheral origin of most species with domesticated populations with the subsequent concentration of their genetic resources in the center of the basin, along the major white water rivers where high pre-conquest population densities developed. Additional molecular genetic analyses on these and other species will allow better examination of these processes and will enable us to relate them to other historical ecological patterns in Amazonia.", "author" : [ { "dropping-particle" : "", "family" : "Clement", "given" : "Charles R.", "non-dropping-particle" : "", "parse-names" : false, "suffix" : "" }, { "dropping-particle" : "", "family" : "Cristo-Ara\u00fajo", "given" : "Michelly", "non-dropping-particle" : "de", "parse-names" : false, "suffix" : "" }, { "dropping-particle" : "", "family" : "D'Eeckenbrugge", "given" : "Geo Coppens", "non-dropping-particle" : "", "parse-names" : false, "suffix" : "" }, { "dropping-particle" : "", "family" : "Pereira", "given" : "Alessandro Alves", "non-dropping-particle" : "", "parse-names" : false, "suffix" : "" }, { "dropping-particle" : "", "family" : "Pican\u00e7o-Rodrigues", "given" : "Doriane", "non-dropping-particle" : "", "parse-names" : false, "suffix" : "" } ], "container-title" : "Diversity", "id" : "ITEM-4", "issue" : "1", "issued" : { "date-parts" : [ [ "2010" ] ] }, "page" : "72-106", "title" : "Origin and domestication of native Amazonian crops", "type" : "article-journal", "volume" : "2" }, "uris" : [ "http://www.mendeley.com/documents/?uuid=5d7746b4-4ca6-45ec-955c-8e28e585ad95" ] }, { "id" : "ITEM-5", "itemData" : { "DOI" : "https://doi.org/10.1007/s10531-010-9919-5", "ISBN" : "0960-3115", "ISSN" : "09603115", "abstract" : "Over the last two decades, the importance of conserving genetic resources has received increasing attention. In this context the role of home gardens as repositories of biological diversity has been acknowledged but still a comprehensive, interdisciplinary investigation of their agro-biodiversity is lacking. Home gardens, whether found in rural or urban areas, are characterized by a structural complexity and multifunctionality which enables the provision of different benefits to ecosystems and people. Studies carried out in various countries demonstrate that high levels of inter- and intra-specific plant genetic diversity, especially in terms of traditional crop varieties and landraces, are preserved in home gardens. Families engage in food production for subsistence or small-scale marketing and the variety of crops and wild plants provides nutritional benefits. At the same time, home gardens are important social and cultural spaces where knowledge related to agricultural practices is transmitted and through which households may improve their income and livelihoods. The present article summarizes available literature on the biological and cultural significance of agro-biodiversity in home gardens. It discusses future constraints and opportunities in home garden research, in the prospect of defining and promoting their role in conservation of agricultural biodiversity and cultural heritage.", "author" : [ { "dropping-particle" : "", "family" : "Galluzzi", "given" : "Gea", "non-dropping-particle" : "", "parse-names" : false, "suffix" : "" }, { "dropping-particle" : "", "family" : "Eyzaguirre", "given" : "Pablo", "non-dropping-particle" : "", "parse-names" : false, "suffix" : "" }, { "dropping-particle" : "", "family" : "Negri", "given" : "Valeria", "non-dropping-particle" : "", "parse-names" : false, "suffix" : "" } ], "container-title" : "Biodiversity and Conservation", "id" : "ITEM-5", "issue" : "13", "issued" : { "date-parts" : [ [ "2010" ] ] }, "page" : "3635-3654", "title" : "Home gardens: Neglected hotspots of agro-biodiversity and cultural diversity", "type" : "article-journal", "volume" : "19" }, "uris" : [ "http://www.mendeley.com/documents/?uuid=d6a66269-e910-44ef-8b31-13bde3e208df" ] }, { "id" : "ITEM-6", "itemData" : { "DOI" : "10.1126/science.174.4008.468", "ISBN" : "0036-8075", "ISSN" : "0036-8075", "PMID" : "17745730", "abstract" : "I propose the theory that agriculture originated independently in three different areas and that, in each case, there was a system composed of a center of origin and a noncenter, in which activities of domestication were dispersed over a span of 5,000 to 10,000 kilometers. One system includes a definable Near East center and a noncenter in Africa; another system includes a North Chinese center and a noncenter in Southeast Asia and the South Pacific; the third system includes a Mesoamerican center and a South American noncenter. There are suggestions that, in each case, the center and noncenter interact with each other. Crops did not necessarily originate in centers (in any conventional concept of the term), nor did agriculture necessarily develop in a geographical \"center.\"", "author" : [ { "dropping-particle" : "", "family" : "Harlan", "given" : "J.R.", "non-dropping-particle" : "", "parse-names" : false, "suffix" : "" } ], "container-title" : "Science", "id" : "ITEM-6", "issue" : "4008", "issued" : { "date-parts" : [ [ "1971" ] ] }, "page" : "468-474", "title" : "Agricultural origins: centers and noncenters", "type" : "article-journal", "volume" : "174" }, "uris" : [ "http://www.mendeley.com/documents/?uuid=e0c969c0-c25b-4d8d-af2a-a3273c798566" ] }, { "id" : "ITEM-7", "itemData" : { "DOI" : "10.2135/cropsci2008.07.0421", "ISBN" : "0011-183X", "ISSN" : "0011183X", "abstract" : "Mesoamerican food agriculture is defined by the milpa cropping system, consisting of maize (Zea mays L.), common bean (Phaseolus vulgaris L.), and squash (Cucurbita spp.). In recent years, a domestication center for maize has been proposed in the Balsas River basin in west-central Mexico, raising the question whether the Balsas basin was also the center of origin for Mesoamerican food agriculture in general. We conducted a survey of genetic diversity for 26 microsatellite markers in a representative sample of 155 wild and domesticated common bean from its Mesoamerican gene pool. Microsatellite diversity was analyzed with STRUCTURE, neighbor-joining tree construction, and principal coordinate analysis. Most Mesoamerican domesticated accessions clustered in a single group, suggesting a single domestication. Furthermore, the most closely related wild beans to the domesticated clade originated from a restricted region in the Rio Lerma-Rio Grande de Santiago basin in west-central Mexico, distinct from the Balsas basin. Although wild maize and Phaseolus beans grow together in the wild, they appear to have been domesticated in different regions to be reunited later on in a single cropping system. Crop domestications in Mesoamerica may therefore have a diffuse rather than a single geographic origin. Archaeological and ecological investigations into the origins of agriculture should be refocused from the arid eastern half of Mexico to the west-central part of the country.", "author" : [ { "dropping-particle" : "", "family" : "Kwak", "given" : "Myounghai", "non-dropping-particle" : "", "parse-names" : false, "suffix" : "" }, { "dropping-particle" : "", "family" : "Kami", "given" : "James A.", "non-dropping-particle" : "", "parse-names" : false, "suffix" : "" }, { "dropping-particle" : "", "family" : "Gepts", "given" : "Paul", "non-dropping-particle" : "", "parse-names" : false, "suffix" : "" } ], "container-title" : "Crop Science", "id" : "ITEM-7", "issue" : "2", "issued" : { "date-parts" : [ [ "2009" ] ] }, "page" : "554-563", "title" : "The putative Mesoamerican domestication center of &lt;i&gt;Phaseolus vulgaris&lt;/i&gt; is located in the Lerma-Santiago basin of Mexico", "type" : "article-journal", "volume" : "49" }, "uris" : [ "http://www.mendeley.com/documents/?uuid=3aa3eb2a-dbe0-4cbe-84e9-149115945d9f" ] }, { "id" : "ITEM-8", "itemData" : { "DOI" : "10.1126/science.1136914", "ISBN" : "00368075", "ISSN" : "1095-9203", "PMID" : "17303753", "abstract" : "Chili peppers (Capsicum spp.) are widely cultivated food plants that arose in the Americas and are now incorporated into cuisines worldwide. Here, we report a genus-specific starch morphotype that provides a means to identify chili peppers from archaeological contexts and trace both their domestication and dispersal. These starch microfossils have been found at seven sites dating from 6000 years before present to European contact and ranging from the Bahamas to southern Peru. The starch grain assemblages demonstrate that maize and chilies occurred together as an ancient and widespread Neotropical plant food complex that predates pottery in some regions.", "author" : [ { "dropping-particle" : "", "family" : "Perry", "given" : "Linda", "non-dropping-particle" : "", "parse-names" : false, "suffix" : "" }, { "dropping-particle" : "", "family" : "Dickau", "given" : "Ruth", "non-dropping-particle" : "", "parse-names" : false, "suffix" : "" }, { "dropping-particle" : "", "family" : "Zarrillo", "given" : "Sonia", "non-dropping-particle" : "", "parse-names" : false, "suffix" : "" }, { "dropping-particle" : "", "family" : "Holst", "given" : "Irene", "non-dropping-particle" : "", "parse-names" : false, "suffix" : "" }, { "dropping-particle" : "", "family" : "Pearsall", "given" : "Deborah M.", "non-dropping-particle" : "", "parse-names" : false, "suffix" : "" }, { "dropping-particle" : "", "family" : "Piperno", "given" : "Dolores R.", "non-dropping-particle" : "", "parse-names" : false, "suffix" : "" }, { "dropping-particle" : "", "family" : "Berman", "given" : "Mary Jane", "non-dropping-particle" : "", "parse-names" : false, "suffix" : "" }, { "dropping-particle" : "", "family" : "Cooke", "given" : "Richard G.", "non-dropping-particle" : "", "parse-names" : false, "suffix" : "" }, { "dropping-particle" : "", "family" : "Rademaker", "given" : "Kurt", "non-dropping-particle" : "", "parse-names" : false, "suffix" : "" }, { "dropping-particle" : "", "family" : "Ranere", "given" : "Anthony J.", "non-dropping-particle" : "", "parse-names" : false, "suffix" : "" }, { "dropping-particle" : "", "family" : "Raymond", "given" : "J. Scott", "non-dropping-particle" : "", "parse-names" : false, "suffix" : "" }, { "dropping-particle" : "", "family" : "Sandweiss", "given" : "Daniel H.", "non-dropping-particle" : "", "parse-names" : false, "suffix" : "" }, { "dropping-particle" : "", "family" : "Scaramelli", "given" : "Franz", "non-dropping-particle" : "", "parse-names" : false, "suffix" : "" }, { "dropping-particle" : "", "family" : "Tarble", "given" : "Kay", "non-dropping-particle" : "", "parse-names" : false, "suffix" : "" }, { "dropping-particle" : "", "family" : "Zeidler", "given" : "James A.", "non-dropping-particle" : "", "parse-names" : false, "suffix" : "" } ], "container-title" : "Science", "id" : "ITEM-8", "issue" : "5814", "issued" : { "date-parts" : [ [ "2007" ] ] }, "page" : "986-988", "title" : "Starch fossils and the domestication and dispersal of chili peppers (&lt;i&gt;Capsicum&lt;/i&gt; spp. L.) in the Americas", "type" : "article-journal", "volume" : "315" }, "uris" : [ "http://www.mendeley.com/documents/?uuid=9c0bd553-2e38-4fe1-ae88-b696f5a25279" ] }, { "id" : "ITEM-9", "itemData" : { "ISSN" : "1520-6505", "author" : [ { "dropping-particle" : "", "family" : "Smith", "given" : "Bruce D.", "non-dropping-particle" : "", "parse-names" : false, "suffix" : "" } ], "container-title" : "Evolutionary Anthropology: Issues, News, and Reviews", "id" : "ITEM-9", "issue" : "5", "issued" : { "date-parts" : [ [ "1994" ] ] }, "page" : "174-184", "publisher" : "Wiley Online Library", "title" : "The origins of agriculture in the Americas", "type" : "article-journal", "volume" : "3" }, "uris" : [ "http://www.mendeley.com/documents/?uuid=13f1dead-6967-49bc-a3ea-65f18391a940" ] } ], "mendeley" : { "formattedCitation" : "(Ale</w:instrText>
      </w:r>
      <w:r w:rsidR="004255E7" w:rsidRPr="008608AA">
        <w:rPr>
          <w:lang w:val="fr-CA"/>
        </w:rPr>
        <w:instrText>jandro Casas, Otero-Arnaiz, Perez-Negron, &amp; Valiente-Banuet, 2007; Chac\u00f3n, Pickersgill, &amp; Debouck, 2005; Charles R. Clement, de Cristo-Ara\u00fajo, D\u2019Eeckenbrugge, Pereira, &amp; Pican\u00e7o-Rodrigues, 2010; Galluzzi, Eyzaguirre, &amp; Negri, 2010; J. R. Harlan, 1971; Kwak, Kami, &amp; Gepts, 2009; Parra &amp; Casas, 2016; L. Perry et al., 2007; B. D. Smith, 1994)", "manualFormatting" : "(Casas et al., 2007; Chac\u00f3n et al., 2005; Clement et al., 2010; Galluzzi et al., 2010; Harlan, 1971; Kwak et al., 2009; Parra &amp; Casas, 2016; Perry et al., 2007; Smith, 1994)", "plainTextFormattedCitation" : "(Alejandro Casas, Otero-Arnaiz, Perez-Negron, &amp; Valiente-Banuet, 2007; Chac\u00f3n, Pickersgill, &amp; Debouck, 2005; Charles R. Clement, de Cristo-Ara\u00fajo, D\u2019Eeckenbrugge, Pereira, &amp; Pican\u00e7o-Rodrigues, 2010; Galluzzi, Eyzaguirre, &amp; Negri, 2010; J. R. Harlan, 1971; Kwak, Kami, &amp; Gepts, 2009; Parra &amp; Casas, 2016; L. Perry et al., 2007; B. D. Smith, 1994)", "previouslyFormattedCitation" : "(Alejandro Casas, Otero-Arnaiz, Perez-Negron, &amp; Valiente-Banuet, 2007; Chac\u00f3n, Pickersgill, &amp; Debouck, 2005; Charles R. Clement, de Cristo-Ara\u00fajo, D\u2019Eeckenbrugge, Pereira, &amp; Pican\u00e7o-Rodrigues, 2010; Galluzzi, Eyzaguirre, &amp; Negri, 2010; J. R. Harlan, 1971; Kwak, Kami, &amp; Gepts, 2009; Parra &amp; Casas, 2016; L. Perry et al., 2007; B. D. Smith, 1994)" }, "properties" : { "noteIndex" : 0 }, "schema" : "https://github.com/citation-style-language/schema/raw/master/csl-citation.json" }</w:instrText>
      </w:r>
      <w:r w:rsidR="004255E7" w:rsidRPr="008608AA">
        <w:fldChar w:fldCharType="separate"/>
      </w:r>
      <w:r w:rsidR="004255E7" w:rsidRPr="008608AA">
        <w:rPr>
          <w:noProof/>
          <w:lang w:val="fr-CA"/>
        </w:rPr>
        <w:t>(Casas e</w:t>
      </w:r>
      <w:r w:rsidR="00CD5D68" w:rsidRPr="008608AA">
        <w:rPr>
          <w:noProof/>
          <w:lang w:val="fr-CA"/>
        </w:rPr>
        <w:t>t al., 2007; Chacón et al., 2005; Clement et al., 2010; Galluzzi et al., 2010; Harlan, 1971; Kwak et al., 2009; Parra &amp; Casas, 2016; Perry et al., 2007;</w:t>
      </w:r>
      <w:r w:rsidR="004255E7" w:rsidRPr="008608AA">
        <w:rPr>
          <w:noProof/>
          <w:lang w:val="fr-CA"/>
        </w:rPr>
        <w:t xml:space="preserve"> Smith, 1994)</w:t>
      </w:r>
      <w:r w:rsidR="004255E7" w:rsidRPr="008608AA">
        <w:fldChar w:fldCharType="end"/>
      </w:r>
      <w:r w:rsidR="004255E7" w:rsidRPr="008608AA">
        <w:rPr>
          <w:lang w:val="fr-CA"/>
        </w:rPr>
        <w:t xml:space="preserve"> (see also Chapter 2).</w:t>
      </w:r>
    </w:p>
    <w:p w14:paraId="1C74E2EF" w14:textId="56EE59EA" w:rsidR="004255E7" w:rsidRPr="00CE0821" w:rsidRDefault="004255E7" w:rsidP="00BE4235">
      <w:pPr>
        <w:widowControl w:val="0"/>
        <w:autoSpaceDE w:val="0"/>
        <w:autoSpaceDN w:val="0"/>
        <w:adjustRightInd w:val="0"/>
        <w:spacing w:after="120"/>
        <w:rPr>
          <w:lang w:val="es-CO"/>
        </w:rPr>
      </w:pPr>
      <w:r w:rsidRPr="008608AA">
        <w:t xml:space="preserve">Many plants were domesticated in Mesoamerica (mainly 30 food species, such as maize, beans, tomatoes, cacao, squash, and chili), and the Andean region (potato, quinoa, squash, maize, beans, chili), Brazil, Paraguay (mate, pineapple, some nuts) </w:t>
      </w:r>
      <w:r w:rsidRPr="008608AA">
        <w:fldChar w:fldCharType="begin" w:fldLock="1"/>
      </w:r>
      <w:r w:rsidRPr="008608AA">
        <w:instrText>ADDIN CSL_CITATION { "citationItems" : [ { "id" : "ITEM-1", "itemData" : { "author" : [ { "dropping-particle" : "", "family" : "Nemog\u00e1 Soto", "given" : "G.R.", "non-dropping-particle" : "", "parse-names" : false, "suffix" : "" } ], "container-title" : "Naciones Ind\u00edgenas en los Estados Contempor\u00e1neos", "editor" : [ { "dropping-particle" : "", "family" : "Nemog\u00e1", "given" : "G.R.", "non-dropping-particle" : "", "parse-names" : false, "suffix" : "" } ], "id" : "ITEM-1", "issued" : { "date-parts" : [ [ "2011" ] ] }, "page" : "231-252", "publisher" : "Universidad Nacional de Colombia", "publisher-place" : "Bogot\u00e1, Colombia", "title" : "Conocimientos tradicionales, biodiversidad y derechos de propiedad intellectual: Necesidad de una perspectiva de an\u00e1lisis propia", "type" : "chapter" }, "uris" : [ "http://www.mendeley.com/documents/?uuid=652caf3b-4ccd-4e5c-9d19-21006a484b92" ] }, { "id" : "ITEM-2", "itemData" : { "ISBN" : "0 521 32691 5", "author" : [ { "dropping-particle" : "", "family" : "Kloppenburg", "given" : "J.R.", "non-dropping-particle" : "", "parse-names" : false, "suffix" : "" } ], "id" : "ITEM-2", "issued" : { "date-parts" : [ [ "1991" ] ] }, "publisher" : "Cambridge University Press", "publisher-place" : "New York, USA", "title" : "First the Seed. The political economy of plant biotechnology 1492-2000", "type" : "book" }, "uris" : [ "http://www.mendeley.com/documents/?uuid=99fe0ed3-d2e3-4642-b4ce-27ce84490a90" ] }, { "id" : "ITEM-3", "itemData" : { "author" : [ { "dropping-particle" : "", "family" : "Harlan", "given" : "J.", "non-dropping-particle" : "", "parse-names" : false, "suffix" : "" } ], "container-title" : "Germplasm Resources", "id" : "ITEM-3", "issued" : { "date-parts" : [ [ "1961" ] ] }, "page" : "3-19", "publisher" : "American Association for the Advancement of Science", "publisher-place" : "Washington D.C., USA", "title" : "Geographic origin of plants useful to agriculture", "type" : "chapter" }, "uris" : [ "http://www.mendeley.com/documents/?uuid=18b0c7c7-735a-4d03-a1b8-40f87d5b09da" ] } ], "mendeley" : { "formattedCitation" : "(J. Harlan, 1961; Kloppenburg, 1991; Nemog\u00e1 Soto, 2011)", "manualFormatting" : "(Harlan, 1961; Kloppenburg, 1991; Nemog\u00e1 Soto, 2011)", "plainTextFormattedCitation" : "(J. Harlan, 1961; Kloppenburg, 1991; Nemog\u00e1 Soto, 2011)", "previouslyFormattedCitation" : "(J. Harlan, 1961; Kloppenburg, 1991; Nemog\u00e1 Soto, 2011)" }, "properties" : { "noteIndex" : 0 }, "schema" : "https://github.com/citation-style-language/schema/raw/master/csl-citation.json" }</w:instrText>
      </w:r>
      <w:r w:rsidRPr="008608AA">
        <w:fldChar w:fldCharType="separate"/>
      </w:r>
      <w:r w:rsidRPr="008608AA">
        <w:rPr>
          <w:noProof/>
        </w:rPr>
        <w:t>(Harlan, 1961; Kloppenburg, 1991; Nemogá Soto, 2011)</w:t>
      </w:r>
      <w:r w:rsidRPr="008608AA">
        <w:fldChar w:fldCharType="end"/>
      </w:r>
      <w:r w:rsidRPr="008608AA">
        <w:t xml:space="preserve"> (see also Chapter 2). In the northeastern USA, native peoples domesticated perhaps 20 plant species, dogs, and turkeys; in the Mesoamerica subregion nearly 200 plant species, dogs, turkeys, and cochineal were domesticated </w:t>
      </w:r>
      <w:r w:rsidRPr="008608AA">
        <w:fldChar w:fldCharType="begin" w:fldLock="1"/>
      </w:r>
      <w:r w:rsidRPr="008608AA">
        <w:instrText>ADDIN CSL_CITATION { "citationItems" : [ { "id" : "ITEM-1", "itemData" : { "author" : [ { "dropping-particle" : "", "family" : "Zaraz\u00faa", "given" : "M", "non-dropping-particle" : "", "parse-names" : false, "suffix" : "" } ], "container-title" : "Domesticaci\u00f3n en el Continente Americano Vol. 1. Investigaci\u00f3n Manejo de Biodiversidad y Evoluci\u00f3n Dirigida por las Culturas del Nuevo Mundo", "editor" : [ { "dropping-particle" : "", "family" : "Casas", "given" : "A.", "non-dropping-particle" : "", "parse-names" : false, "suffix" : "" }, { "dropping-particle" : "", "family" : "Torres-Guevara", "given" : "J.", "non-dropping-particle" : "", "parse-names" : false, "suffix" : "" }, { "dropping-particle" : "", "family" : "F. Parra", "given" : "", "non-dropping-particle" : "", "parse-names" : false, "suffix" : "" } ], "id" : "ITEM-1", "issued" : { "date-parts" : [ [ "2016" ] ] }, "page" : "283- 316", "publisher" : "Universidad Nacional Aut\u00f3noma de M\u00e9xico/Universidad Nacional Agraria La Molina", "publisher-place" : "M\u00e9xico D.F., M\u00e9xico and", "title" : "Del guajolote a las chicatanas. Uso, manejo y domesticaci\u00f3n de recursos gen\u00e9ticos animales en Mesoam\u00e9rica", "type" : "chapter" }, "uris" : [ "http://www.mendeley.com/documents/?uuid=77af7ac9-9e76-43dc-97ed-8fba1d6d6116" ] }, { "id" : "ITEM-2", "itemData" : { "author" : [ { "dropping-particle" : "", "family" : "Casas", "given" : "A.", "non-dropping-particle" : "", "parse-names" : false, "suffix" : "" }, { "dropping-particle" : "", "family" : "Parra-Rondinel", "given" : "F.", "non-dropping-particle" : "", "parse-names" : false, "suffix" : "" }, { "dropping-particle" : "", "family" : "Torres-Garc\u00eda", "given" : "I.", "non-dropping-particle" : "", "parse-names" : false, "suffix" : "" }, { "dropping-particle" : "", "family" : "Rangel-Landa", "given" : "S.", "non-dropping-particle" : "", "parse-names" : false, "suffix" : "" }, { "dropping-particle" : "", "family" : "Zaraz\u00faa", "given" : "M.", "non-dropping-particle" : "", "parse-names" : false, "suffix" : "" }, { "dropping-particle" : "", "family" : "Torres-Guevara", "given" : "J.", "non-dropping-particle" : "", "parse-names" : false, "suffix" : "" } ], "chapter-number" : "23", "container-title" : "Domesticaci\u00f3n en el Continente Americano Vol. 2. Investigaci\u00f3n para el Manejo Sustentable de Recursos Gen\u00e9ticos en el Nuevo Mundo", "editor" : [ { "dropping-particle" : "", "family" : "Casas", "given" : "A.", "non-dropping-particle" : "", "parse-names" : false, "suffix" : "" }, { "dropping-particle" : "", "family" : "Torres-Guevara", "given" : "J.", "non-dropping-particle" : "", "parse-names" : false, "suffix" : "" }, { "dropping-particle" : "", "family" : "Parra-Rondinel", "given" : "F.", "non-dropping-particle" : "", "parse-names" : false, "suffix" : "" } ], "id" : "ITEM-2", "issued" : { "date-parts" : [ [ "2017" ] ] }, "page" : "537-569", "publisher" : "Universidad Nacional Aut\u00f3noma de M\u00e9xico/Universidad Nacional Agraria La Molina/CONACYT", "publisher-place" : "M\u00e9xico D.F., M\u00e9xico and Lima, Per\u00fa", "title" : "Estudios y patrones continentales de domesticaci\u00f3n y manejo de recursos gen\u00e9ticos: perspectivas", "type" : "chapter" }, "uris" : [ "http://www.mendeley.com/documents/?uuid=6469326d-6241-4538-a5f8-f98b229e8812" ] } ], "mendeley" : { "formattedCitation" : "(A. Casas, Parra-Rondinel, et al., 2017; Zaraz\u00faa, 2016)", "manualFormatting" : "(Casas, Parra-Rondinel, Torres-Garc\u00eda et al., 2017; Zaraz\u00faa, 2016)", "plainTextFormattedCitation" : "(A. Casas, Parra-Rondinel, et al., 2017; Zaraz\u00faa, 2016)", "previouslyFormattedCitation" : "(A. Casas, Parra-Rondinel, et al., 2017; Zaraz\u00faa, 2016)" }, "properties" : { "noteIndex" : 0 }, "schema" : "https://github.com/citation-style-language/schema/raw/master/csl-citation.json" }</w:instrText>
      </w:r>
      <w:r w:rsidRPr="008608AA">
        <w:fldChar w:fldCharType="separate"/>
      </w:r>
      <w:r w:rsidR="00D45AD3" w:rsidRPr="008608AA">
        <w:rPr>
          <w:noProof/>
        </w:rPr>
        <w:t xml:space="preserve">(Casas </w:t>
      </w:r>
      <w:r w:rsidRPr="008608AA">
        <w:rPr>
          <w:noProof/>
        </w:rPr>
        <w:t>et al., 2017; Zarazúa, 2016)</w:t>
      </w:r>
      <w:r w:rsidRPr="008608AA">
        <w:fldChar w:fldCharType="end"/>
      </w:r>
      <w:r w:rsidRPr="008608AA">
        <w:t xml:space="preserve">. In the Andean region of Peru, 182 plant species, dogs, and two species of camelids (llamas and alpacas) were domesticated </w:t>
      </w:r>
      <w:r w:rsidRPr="008608AA">
        <w:fldChar w:fldCharType="begin" w:fldLock="1"/>
      </w:r>
      <w:r w:rsidRPr="008608AA">
        <w:instrText>ADDIN CSL_CITATION { "citationItems" : [ { "id" : "ITEM-1", "itemData" : { "author" : [ { "dropping-particle" : "", "family" : "Wheeler", "given" : "J.C.", "non-dropping-particle" : "", "parse-names" : false, "suffix" : "" } ], "container-title" : "Domesticaci\u00f3n en el Continente Americano Vol. 2. Investigaci\u00f3n para el Manejo Sustentable de Recursos Gen\u00e9ticos en el Nuevo Mundo", "editor" : [ { "dropping-particle" : "", "family" : "Casas", "given" : "A.", "non-dropping-particle" : "", "parse-names" : false, "suffix" : "" }, { "dropping-particle" : "", "family" : "Torres-Guevara", "given" : "J.", "non-dropping-particle" : "", "parse-names" : false, "suffix" : "" }, { "dropping-particle" : "", "family" : "Parra", "given" : "F.", "non-dropping-particle" : "", "parse-names" : false, "suffix" : "" } ], "id" : "ITEM-1", "issued" : { "date-parts" : [ [ "2017" ] ] }, "page" : "193-216", "publisher" : "Universidad Nacional Aut\u00f3noma de M\u00e9xico/Universidad Nacional Agraria La Molina/CONACYT", "publisher-place" : "M\u00e9xico D.F., M\u00e9xico and Lima, Per\u00fa", "title" : "Evoluci\u00f3n y domesticaci\u00f3n en los cam\u00e9lidos sudamericanos", "type" : "chapter" }, "uris" : [ "http://www.mendeley.com/documents/?uuid=c6cfa60f-e4f8-4a80-bd9a-15bb2a1ca5c9" ] } ], "mendeley" : { "formattedCitation" : "(Wheeler, 2017)", "plainTextFormattedCitation" : "(Wheeler, 2017)", "previouslyFormattedCitation" : "(Wheeler, 2017)" }, "properties" : { "noteIndex" : 0 }, "schema" : "https://github.com/citation-style-language/schema/raw/master/csl-citation.json" }</w:instrText>
      </w:r>
      <w:r w:rsidRPr="008608AA">
        <w:fldChar w:fldCharType="separate"/>
      </w:r>
      <w:r w:rsidRPr="008608AA">
        <w:rPr>
          <w:noProof/>
        </w:rPr>
        <w:t>(Wheeler, 2017)</w:t>
      </w:r>
      <w:r w:rsidRPr="008608AA">
        <w:fldChar w:fldCharType="end"/>
      </w:r>
      <w:r w:rsidRPr="008608AA">
        <w:t xml:space="preserve">, as well as the guinea pig and possibly the duck </w:t>
      </w:r>
      <w:r w:rsidRPr="008608AA">
        <w:rPr>
          <w:i/>
          <w:iCs/>
        </w:rPr>
        <w:t>Cairina moschata</w:t>
      </w:r>
      <w:r w:rsidRPr="008608AA">
        <w:t xml:space="preserve"> </w:t>
      </w:r>
      <w:r w:rsidRPr="008608AA">
        <w:fldChar w:fldCharType="begin" w:fldLock="1"/>
      </w:r>
      <w:r w:rsidRPr="008608AA">
        <w:instrText>ADDIN CSL_CITATION { "citationItems" : [ { "id" : "ITEM-1", "itemData" : { "author" : [ { "dropping-particle" : "", "family" : "Torres-Guevara", "given" : "Juan.", "non-dropping-particle" : "", "parse-names" : false, "suffix" : "" }, { "dropping-particle" : "", "family" : "Parra-Rodinel", "given" : "Fabiola", "non-dropping-particle" : "", "parse-names" : false, "suffix" : "" }, { "dropping-particle" : "", "family" : "Casas", "given" : "Alejandro", "non-dropping-particle" : "", "parse-names" : false, "suffix" : "" } ], "container-title" : "Domesticaci\u00f3n en el Continente Americano Vol. 2. Investigaci\u00f3n para el Manejo Sustentable de Recursos Gen\u00e9ticos en el Nuevo Mundo", "editor" : [ { "dropping-particle" : "", "family" : "Casas", "given" : "Alejandro", "non-dropping-particle" : "", "parse-names" : false, "suffix" : "" }, { "dropping-particle" : "", "family" : "Torres-Guevara", "given" : "Juan", "non-dropping-particle" : "", "parse-names" : false, "suffix" : "" }, { "dropping-particle" : "", "family" : "Parra-Rondinel", "given" : "Fabiola", "non-dropping-particle" : "", "parse-names" : false, "suffix" : "" } ], "id" : "ITEM-1", "issued" : { "date-parts" : [ [ "2017" ] ] }, "page" : "103-133", "publisher" : "Universidad Nacional Aut\u00f3noma de M\u00e9xico/Universidad Nacional Agraria La Molina/CONACYT.", "publisher-place" : "M\u00e9xico D.F., M\u00e9xico and Lima, Per\u00fa", "title" : "Panorama de los recursos gen\u00e9ticos en Per\u00fa", "type" : "chapter" }, "uris" : [ "http://www.mendeley.com/documents/?uuid=e5d870a7-85d6-44c8-b147-62784dd3357f" ] } ], "mendeley" : { "formattedCitation" : "(Torres-Guevara, Parra-Rodinel, &amp; Casas, 2017)", "manualFormatting" : "(Torres-Guevara et al., 2017)", "plainTextFormattedCitation" : "(Torres-Guevara, Parra-Rodinel, &amp; Casas, 2017)", "previouslyFormattedCitation" : "(Torres-Guevara, Parra-Rodinel, &amp; Casas, 2017)" }, "properties" : { "noteIndex" : 0 }, "schema" : "https://github.com/citation-style-language/schema/raw/master/csl-citation.json" }</w:instrText>
      </w:r>
      <w:r w:rsidRPr="008608AA">
        <w:fldChar w:fldCharType="separate"/>
      </w:r>
      <w:r w:rsidRPr="008608AA">
        <w:rPr>
          <w:noProof/>
        </w:rPr>
        <w:t>(Torres-Guevara et al., 2017)</w:t>
      </w:r>
      <w:r w:rsidRPr="008608AA">
        <w:fldChar w:fldCharType="end"/>
      </w:r>
      <w:r w:rsidRPr="008608AA">
        <w:t xml:space="preserve">. In the Amazon, at least 80 species of edible plants have been domesticated </w:t>
      </w:r>
      <w:r w:rsidRPr="008608AA">
        <w:fldChar w:fldCharType="begin" w:fldLock="1"/>
      </w:r>
      <w:r w:rsidRPr="008608AA">
        <w:instrText>ADDIN CSL_CITATION { "citationItems" : [ { "id" : "ITEM-1", "itemData" : { "author" : [ { "dropping-particle" : "", "family" : "Clement", "given" : "C. R.", "non-dropping-particle" : "", "parse-names" : false, "suffix" : "" } ], "container-title" : "Domesticaci\u00f3n en el Continente Americano Vol. 2. Investigaci\u00f3n para el Manejo Sustentable de Recursos Gen\u00e9ticos en el Nuevo Mundo", "editor" : [ { "dropping-particle" : "", "family" : "Casas", "given" : "A.", "non-dropping-particle" : "", "parse-names" : false, "suffix" : "" }, { "dropping-particle" : "", "family" : "Torres-Guevara", "given" : "J.", "non-dropping-particle" : "", "parse-names" : false, "suffix" : "" }, { "dropping-particle" : "", "family" : "Parra", "given" : "F.", "non-dropping-particle" : "", "parse-names" : false, "suffix" : "" } ], "id" : "ITEM-1", "issued" : { "date-parts" : [ [ "2017" ] ] }, "page" : "27-42", "publisher" : "Universidad Nacional Aut\u00f3noma de M\u00e9xico/Universidad Nacional Agraria La Molina/CONACYT", "publisher-place" : "M\u00e9xico D.F. and Lima, Peru", "title" : "Panorama de los recursos gen\u00e9ticos de Brasil, con \u00e9nfasis en la Amazon\u00eda", "type" : "chapter" }, "uris" : [ "http://www.mendeley.com/documents/?uuid=e98a6111-8c4f-41f8-adc9-e9c50d2475be" ] }, { "id" : "ITEM-2", "itemData" : { "author" : [ { "dropping-particle" : "", "family" : "Clement", "given" : "C.", "non-dropping-particle" : "", "parse-names" : false, "suffix" : "" }, { "dropping-particle" : "", "family" : "Cristo-Araujo", "given" : "M.", "non-dropping-particle" : "de", "parse-names" : false, "suffix" : "" }, { "dropping-particle" : "", "family" : "D\u2019Eeckenbrugge", "given" : "G. C", "non-dropping-particle" : "", "parse-names" : false, "suffix" : "" }, { "dropping-particle" : "", "family" : "Alves-Pereira", "given" : "A.", "non-dropping-particle" : "", "parse-names" : false, "suffix" : "" }, { "dropping-particle" : "", "family" : "Pican\u00e7o-Rodrigues", "given" : "D.", "non-dropping-particle" : "", "parse-names" : false, "suffix" : "" } ], "container-title" : "Domesticaci\u00f3n en el Continente Americano Vol. 1. Investigaci\u00f3n Manejo de Biodiversidad y Evoluci\u00f3n Dirigida por las Culturas del Nuevo Mundo", "editor" : [ { "dropping-particle" : "", "family" : "Casas", "given" : "A.", "non-dropping-particle" : "", "parse-names" : false, "suffix" : "" }, { "dropping-particle" : "", "family" : "Torres-Guevara", "given" : "J.", "non-dropping-particle" : "", "parse-names" : false, "suffix" : "" }, { "dropping-particle" : "", "family" : "Parra", "given" : "F.", "non-dropping-particle" : "", "parse-names" : false, "suffix" : "" } ], "id" : "ITEM-2", "issued" : { "date-parts" : [ [ "2016" ] ] }, "page" : "253-282", "publisher" : "Universidad Nacional Aut\u00f3noma de M\u00e9xico/Universidad Nacional Agraria La Molina", "publisher-place" : "M\u00e9xico D.F., M\u00e9xico and Lima, Per\u00fa", "title" : "10,000 years of plant domestication: the origins of agrobiodiversity in indigenous Amazonia", "type" : "chapter" }, "uris" : [ "http://www.mendeley.com/documents/?uuid=6cfac59f-0a03-4879-982a-0c6246d88edf" ] } ], "mendeley" : { "formattedCitation" : "(C. Clement, de Cristo-Araujo, D\u2019Eeckenbrugge, Alves-Pereira, &amp; Pican\u00e7o-Rodrigues, 2016; C. R. Clement, 2017)", "manualFormatting" : "(Clement, 2017; Clement et al., 2016)", "plainTextFormattedCitation" : "(C. Clement, de Cristo-Araujo, D\u2019Eeckenbrugge, Alves-Pereira, &amp; Pican\u00e7o-Rodrigues, 2016; C. R. Clement, 2017)", "previouslyFormattedCitation" : "(C. Clement, de Cristo-Araujo, D\u2019Eeckenbrugge, Alves-Pereira, &amp; Pican\u00e7o-Rodrigues, 2016; C. R. Clement, 2017)" }, "properties" : { "noteIndex" : 0 }, "schema" : "https://github.com/citation-style-language/schema/raw/master/csl-citation.json" }</w:instrText>
      </w:r>
      <w:r w:rsidRPr="008608AA">
        <w:fldChar w:fldCharType="separate"/>
      </w:r>
      <w:r w:rsidRPr="008608AA">
        <w:rPr>
          <w:noProof/>
        </w:rPr>
        <w:t>(Clement, 2017; Clement et al., 2016)</w:t>
      </w:r>
      <w:r w:rsidRPr="008608AA">
        <w:fldChar w:fldCharType="end"/>
      </w:r>
      <w:r w:rsidRPr="008608AA">
        <w:t xml:space="preserve">. </w:t>
      </w:r>
      <w:r w:rsidR="006A2D19" w:rsidRPr="008608AA">
        <w:t xml:space="preserve">In Mexico, incipient management may include 800 to 1,200 plant species, whereas in Peru nearly 1,800 species are incipiently managed </w:t>
      </w:r>
      <w:r w:rsidR="006A2D19" w:rsidRPr="008608AA">
        <w:fldChar w:fldCharType="begin" w:fldLock="1"/>
      </w:r>
      <w:r w:rsidR="006A2D19" w:rsidRPr="008608AA">
        <w:instrText xml:space="preserve">ADDIN CSL_CITATION { "citationItems" : [ { "id" : "ITEM-1", "itemData" : { "author" : [ { "dropping-particle" : "", "family" : "Casas", "given" : "Alejandro", "non-dropping-particle" : "", "parse-names" : false, "suffix" : "" }, { "dropping-particle" : "", "family" : "Parra", "given" : "Fabiola", "non-dropping-particle" : "", "parse-names" : false, "suffix" : "" }, { "dropping-particle" : "", "family" : "Blancas", "given" : "Jos\u00e9", "non-dropping-particle" : "", "parse-names" : false, "suffix" : "" }, { "dropping-particle" : "", "family" : "Rangel-Landa", "given" : "Selene", "non-dropping-particle" : "", "parse-names" : false, "suffix" : "" }, { "dropping-particle" : "", "family" : "Vallejo", "given" : "Mariana", "non-dropping-particle" : "", "parse-names" : false, "suffix" : "" }, { "dropping-particle" : "", "family" : "Figueredo", "given" : "Carmen Julia", "non-dropping-particle" : "", "parse-names" : false, "suffix" : "" }, { "dropping-particle" : "", "family" : "Moreno-Calles", "given" : "Ana Isabel", "non-dropping-particle" : "", "parse-names" : false, "suffix" : "" } ], "container-title" : "Domesticaci\u00f3n en el Continente Americano Vol. 1. Investigaci\u00f3n Manejo de Biodiversidad y Evoluci\u00f3n Dirigida por las Culturas del Nuevo Mundo", "editor" : [ { "dropping-particle" : "", "family" : "Casas", "given" : "Alejandro", "non-dropping-particle" : "", "parse-names" : false, "suffix" : "" }, { "dropping-particle" : "", "family" : "Torres-Guevara", "given" : "Juan", "non-dropping-particle" : "", "parse-names" : false, "suffix" : "" }, { "dropping-particle" : "", "family" : "Parra", "given" : "Fabiola", "non-dropping-particle" : "", "parse-names" : false, "suffix" : "" } ], "id" : "ITEM-1", "issued" : { "date-parts" : [ [ "2016" ] ] }, "page" : "189-224", "publisher" : "Universidad Nacional Aut\u00f3noma de M\u00e9xico/Universidad Nacional Agraria La Molina", "publisher-place" : "M\u00e9xico D.F., M\u00e9xico and Lima, Per\u00fa", "title" : "Origen de la domesticaci\u00f3n y la agricultura: c\u00f3mo y por qu\u00e9", "type" : "chapter" }, "uris" : [ "http://www.mendeley.com/documents/?uuid=301f20cb-dae5-490d-ba6e-2f563f50cbab" ] }, { "id" : "ITEM-2", "itemData" : { "author" : [ { "dropping-particle" : "", "family" : "Casas", "given" : "A.", "non-dropping-particle" : "", "parse-names" : false, "suffix" : "" }, { "dropping-particle" : "", "family" : "Parra-Rondinel", "given" : "F.", "non-dropping-particle" : "", "parse-names" : false, "suffix" : "" }, { "dropping-particle" : "", "family" : "Torres-Garc\u00eda", "given" : "I.", "non-dropping-particle" : "", "parse-names" : false, "suffix" : "" }, { "dropping-particle" : "", "family" : "Rangel-Landa", "given" : "S.", "non-dropping-particle" : "", "parse-names" : false, "suffix" : "" }, { "dropping-particle" : "", "family" : "Zaraz\u00faa", "given" : "M.", "non-dropping-particle" : "", "parse-names" : false, "suffix" : "" }, { "dropping-particle" : "", "family" : "Torres-Guevara", "given" : "J.", "non-dropping-particle" : "", "parse-names" : false, "suffix" : "" } ], "chapter-number" : "23", "container-title" : "Domesticaci\u00f3n en el Continente Americano Vol. 2. Investigaci\u00f3n para el Manejo Sustentable de Recursos Gen\u00e9ticos en el Nuevo Mundo", "editor" : [ { "dropping-particle" : "", "family" : "Casas", "given" : "A.", "non-dropping-particle" : "", "parse-names" : false, "suffix" : "" }, { "dropping-particle" : "", "family" : "Torres-Guevara", "given" : "J.", "non-dropping-particle" : "", "parse-names" : false, "suffix" : "" }, { "dropping-particle" : "", "family" : "Parra-Rondinel", "given" : "F.", "non-dropping-particle" : "", "parse-names" : false, "suffix" : "" } ], "id" : "ITEM-2", "issued" : { "date-parts" : [ [ "2017" ] ] }, "page" : "537-569", "publisher" : "Universidad Nacional Aut\u00f3noma de M\u00e9xico/Universidad Nacional Agraria La Molina/CONACYT", "publisher-place" : "M\u00e9xico D.F., M\u00e9xico and Lima, Per\u00fa", "title" : "Estudios y patrones continentales de domesticaci\u00f3n y manejo de recursos gen\u00e9ticos: perspectivas", "type" : "chapter" }, "uris" : [ "http://www.mendeley.com/documents/?uuid=1497e88f-f737-4d47-8b4c-4f690bb2fcf1" ] }, { "id" : "ITEM-3", "itemData" : { "DOI" : "10.1007/BF00046928", "author" : [ { "dropping-particle" : "", "family" : "Jong", "given" : "W.", "non-dropping-particle" : "De", "parse-names" : false, "suffix" : "" } ], "container-title" : "Agroforestry Systems", "id" : "ITEM-3", "issued" : { "date-parts" : [ [ "1996" ] ] }, "page" : "277-290", "title" : "Swidden-fallow agroforestry in Amazonia: diversity at close distance", "type" : "article-journal", "volume" : "34" }, "uris" : [ "http://www.mendeley.com/documents/?uuid=16a4b41f-f6d2-46d1-9c97-088c64e4931e" ] }, { "id" : "ITEM-4", "itemData" : { "author" : [ { "dropping-particle" : "", "family" : "Fraser", "given" : "James Angus.", "non-dropping-particle" : "", "parse-names" : false, "suffix" : "" }, { "dropping-particle" : "", "family" : "Junqueira", "given" : "Andr\u00e9 B.", "non-dropping-particle" : "", "parse-names" : false, "suffix" : "" }, { "dropping-particle" : "", "family" : "Kawa", "given" : "Nicholas C.", "non-dropping-particle" : "", "parse-names" : false, "suffix" : "" }, { "dropping-particle" : "", "family" : "Moraes", "given" : "Claide P.", "non-dropping-particle" : "", "parse-names" : false, "suffix" : "" }, { "dropping-particle" : "", "family" : "Clement", "given" : "Charles R.", "non-dropping-particle" : "", "parse-names" : false, "suffix" : "" } ], "container-title" : "Human Ecology", "id" : "ITEM-4", "issue" : "4", "issued" : { "date-parts" : [ [ "2011" ] ] }, "page" : "395-406", "title" : "Crop diversity on anthropogenic dark earths in central Amazonia", "type" : "article-journal", "volume" : "39" }, "uris" : [ "http://www.mendeley.com/documents/?uuid=7088cd1e-a131-4425-863f-e43c5b4399c6" ] }, { "id" : "ITEM-5", "itemData" : { "editor" : [ { "dropping-particle" : "", "family" : "Moreno-Calles", "given" : "A. I.", "non-dropping-particle" : "", "parse-names" : false, "suffix" : "" }, { "dropping-particle" : "", "family" : "Casas", "given" : "Alejandro", "non-dropping-particle" : "", "parse-names" : false, "suffix" : "" }, { "dropping-particle" : "", "family" : "Toledo", "given" : "Victor M.", "non-dropping-particle" : "", "parse-names" : false, "suffix" : "" }, { "dropping-particle" : "", "family" : "Vallejo-Ramos", "given" : "Mariana", "non-dropping-particle" : "", "parse-names" : false, "suffix" : "" } ], "id" : "ITEM-5", "issued" : { "date-parts" : [ [ "2016" ] ] }, "publisher" : "Universidad Nacional Aut\u00f3noma de M\u00e9xico", "publisher-place" : "M\u00e9xico D.F., M\u00e9xico", "title" : "Etnoagroforester\u00eda en M\u00e9xico", "type" : "book" }, "uris" : [ "http://www.mendeley.com/documents/?uuid=e3fc2c34-12c7-458c-a1a8-cd8ffbfd5045" ] }, { "id" : "ITEM-6", "itemData" : { "DOI" : "10.1186/s13002-016-0127-6", "author" : [ { "dropping-particle" : "", "family" : "Moreno-Calles", "given" : "A. I.", "non-dropping-particle" : "", "parse-names" : false, "suffix" : "" }, { "dropping-particle" : "", "family" : "Casas", "given" : "Alejandro", "non-dropping-particle" : "", "parse-names" : false, "suffix" : "" }, { "dropping-particle" : "", "family" : "Rivero-Romero", "given" : "Alexis Daniela", "non-dropping-particle" : "", "parse-names" : false, "suffix" : "" }, { "dropping-particle" : "", "family" : "Romero-Bautista", "given" : "Y. A.", "non-dropping-particle" : "", "parse-names" : false, "suffix" : "" }, { "dropping-particle" : "", "family" : "Rangel-Landa", "given" : "Selene", "non-dropping-particle" : "", "parse-names" : false, "suffix" : "" }, { "dropping-particle" : "", "family" : "Fisher-Ort\u00edz", "given" : "Roberto A.", "non-dropping-particle" : "", "parse-names" : false, "suffix" : "" }, { "dropping-particle" : "", "family" : "Alvarado-Ramos", "given" : "Fernando", "non-dropping-particle" : "", "parse-names" : false, "suffix" : "" }, { "dropping-particle" : "", "family" : "Vallejo-Ramos", "given" : "Mariana", "non-dropping-particle" : "", "parse-names" : false, "suffix" : "" }, { "dropping-particle" : "", "family" : "Santos-Fita", "given" : "D\u00eddac", "non-dropping-particle" : "", "parse-names" : false, "suffix" : "" } ], "container-title" : "Journal of Ethnobiology and Ethnomedicine", "id" : "ITEM-6", "issued" : { "date-parts" : [ [ "2016" ] ] }, "page" : "54", "title" : "Ethnoagroforestry: integration of biocultural diversity for food sovereignty in Mexico", "type" : "article-journal", "volume" : "12" }, "uris" : [ "http://www.mendeley.com/documents/?uuid=627f4889-0136-4580-8584-feb46e173d8f" ] }, { "id" : "ITEM-7", "itemData" : { "author" : [ { "dropping-particle" : "", "family" : "Peri", "given" : "P.L.", "non-dropping-particle" : "", "parse-names" : false, "suffix" : "" }, { "dropping-particle" : "", "family" : "Dube", "given" : "Francis", "non-dropping-particle" : "", "parse-names" : false, "suffix" : "" }, { "dropping-particle" : "", "family" : "Varella", "given" : "A. C.", "non-dropping-particle" : "", "parse-names" : false, "suffix" : "" } ], "container-title" : "Silvopastoral Systems in Southern South America", "editor" : [ { "dropping-particle" : "", "family" : "Peri", "given" : "P.L.", "non-dropping-particle" : "", "parse-names" : false, "suffix" : "" }, { "dropping-particle" : "", "family" : "Dube", "given" : "Francis", "non-dropping-particle" : "", "parse-names" : false, "suffix" : "" }, { "dropping-particle" : "", "family" : "Varella", "given" : "Alexandre", "non-dropping-particle" : "", "parse-names" : false, "suffix" : "" } ], "id" : "ITEM-7", "issued" : { "date-parts" : [ [ "2016" ] ] }, "page" : "1-8", "publisher" : "Springer", "publisher-place" : "Cham, Switzerland", "title" : "Silvopastoral systems in the subtropical and temperate zones of South America: an overview", "type" : "chapter" }, "uris" : [ "http://www.mendeley.com/documents/?uuid=ea5ce588-b999-4985-ab1c-b99e4dc298f2" ] }, { "id" : "ITEM-8", "itemData" : { "author" : [ { "dropping-particle" : "", "family" : "Somarriba", "given" : "E.", "non-dropping-particle" : "", "parse-names" : false, "suffix" : "" }, { "dropping-particle" : "", "family" : "Beer", "given" : "J.", "non-dropping-particle" : "", "parse-names" : false, "suffix" : "" }, { "dropping-particle" : "", "family" : "Alegre-Orihuela", "given" : "J.", "non-dropping-particle" : "", "parse-names" : false, "suffix" : "" }, { "dropping-particle" : "", "family" : "Andrade", "given" : "H.", "non-dropping-particle" : "", "parse-names" : false, "suffix" : "" }, { "dropping-particle" : "", "family" : "Cerda", "given" : "R.", "non-dropping-particle" : "", "parse-names" : false, "suffix" : "" }, { "dropping-particle" : "", "family" : "DeClerck", "given" : "F.", "non-dropping-particle" : "", "parse-names" : false, "suffix" : "" }, { "dropping-particle" : "", "family" : "Detlefsen", "given" : "G.", "non-dropping-particle" : "", "parse-names" : false, "suffix" : "" }, { "dropping-particle" : "", "family" : "Escalante", "given" : "M.", "non-dropping-particle" : "", "parse-names" : false, "suffix" : "" }, { "dropping-particle" : "", "family" : "Giraldo", "given" : "L.", "non-dropping-particle" : "", "parse-names" : false, "suffix" : "" }, { "dropping-particle" : "", "family" : "Ibrahim", "given" : "M.", "non-dropping-particle" : "", "parse-names" : false, "suffix" : "" }, { "dropping-particle" : "", "family" : "Krishnamurthy", "given" : "L.", "non-dropping-particle" : "", "parse-names" : false, "suffix" : "" }, { "dropping-particle" : "", "family" : "Mena-Mosquera", "given" : "V.", "non-dropping-particle" : "", "parse-names" : false, "suffix" : "" }, { "dropping-particle" : "", "family" : "Mora- Degado", "given" : "J.", "non-dropping-particle" : "", "parse-names" : false, "suffix" : "" }, { "dropping-particle" : "", "family" : "Orozco", "given" : "L.", "non-dropping-particle" : "", "parse-names" : false, "suffix" : "" }, { "dropping-particle" : "", "family" : "Scheelje", "given" : "M.", "non-dropping-particle" : "", "parse-names" : false, "suffix" : "" }, { "dropping-particle" : "", "family" : "Campos", "given" : "J.", "non-dropping-particle" : "", "parse-names" : false, "suffix" : "" } ], "container-title" : "Agroforestry the Future of Global Land Use, Advances in Agroforestry", "editor" : [ { "dropping-particle" : "", "family" : "Nair", "given" : "P.K.R.", "non-dropping-particle" : "", "parse-names" : false, "suffix" : "" }, { "dropping-particle" : "", "family" : "Garrity", "given" : "D.", "non-dropping-particle" : "", "parse-names" : false, "suffix" : "" } ], "id" : "ITEM-8", "issued" : { "date-parts" : [ [ "2012" ] ] }, "page" : "429\u2013453", "publisher" : "Springer", "publisher-place" : "Dordrecht, Netherlands", "title" : "Mainstreaming agroforestry in Latin America", "type" : "chapter" }, "uris" : [ "http://www.mendeley.com/documents/?uuid=439cd00c-e954-490f-8e4b-fb5e6cd97a18" ] }, { "id" : "ITEM-9", "itemData" : { "author" : [ { "dropping-particle" : "", "family" : "Torres-Guevara", "given" : "Juan.", "non-dropping-particle" : "", "parse-names" : false, "suffix" : "" }, { "dropping-particle" : "", "family" : "Parra-Rodinel", "given" : "Fabiola", "non-dropping-particle" : "", "parse-names" : false, "suffix" : "" }, { "dropping-particle" : "", "family" : "Casas", "given" : "Alejandro", "non-dropping-particle" : "", "parse-names" : false, "suffix" : "" } ], "container-title" : "Domesticaci\u00f3n en el Continente Americano Vol. 2. Investigaci\u00f3n para el Manejo Sustentable de Recursos Gen\u00e9ticos en el Nuevo Mundo", "editor" : [ { "dropping-particle" : "", "family" : "Casas", "given" : "Alejandro", "non-dropping-particle" : "", "parse-names" : false, "suffix" : "" }, { "dropping-particle" : "", "family" : "Torres-Guevara", "given" : "Juan", "non-dropping-particle" : "", "parse-names" : false, "suffix" : "" }, { "dropping-particle" : "", "family" : "Parra-Rondinel", "given" : "Fabiola", "non-dropping-particle" : "", "parse-names" : false, "suffix" </w:instrText>
      </w:r>
      <w:r w:rsidR="006A2D19" w:rsidRPr="00CE0821">
        <w:rPr>
          <w:lang w:val="es-CO"/>
        </w:rPr>
        <w:instrText>: "" } ], "id" : "ITEM-9", "issued" : { "date-parts" : [ [ "2017" ] ] }, "page" : "103-133", "publisher" : "Universidad Nacional Aut\u00f3noma de M\u00e9xico/Universidad Nacional Agraria La Molina/CONACYT.", "publisher-place" : "M\u00e9xico D.F., M\u00e9xico and Lima, Per\u00fa", "title" : "Panorama de los recursos gen\u00e9ticos en Per\u00fa", "type" : "chapter" }, "uris" : [ "http://www.mendeley.com/documents/?uuid=e5d870a7-85d6-44c8-b147-62784dd3357f" ] } ], "mendeley" : { "formattedCitation" : "(De Jong 1996, Fraser et al. 2011, Somarriba et al. 2012, Casas et al. 2016, 2017, Moreno-Calles et al. 2016a, 2016b, Peri et al. 2016, Torres-Guevara et al. 2017)", "manualFormatting" : "(Casas, Parra et al., 2016; Casas, Parra-Rodinel, Rangel-Landa et al.,2017; De Jong, 1996; Fraser et al., 2011; Moreno-Calles, Casas, Rivero-Romero et al., 2016; Moreno-Calles, Casas, Toledo et al., 2016; Peri et al., 2016; Somarriba et al., 2012; Torres-Guevara et al., 2017)", "plainTextFormattedCitation" : "(De Jong 1996, Fraser et al. 2011, Somarriba et al. 2012, Casas et al. 2016, 2017, Moreno-Calles et al. 2016a, 2016b, Peri et al. 2016, Torres-Guevara et al. 2017)", "previouslyFormattedCitation" : "(De Jong 1996, Fraser et al. 2011, Somarriba et al. 2012, Casas et al. 2016, 2017, Moreno-Calles et al. 2016a, 2016b, Peri et al. 2016, Torres-Guevara et al. 2017)" }, "properties" : { "noteIndex" : 0 }, "schema" : "https://github.com/citation-style-language/schema/raw/master/csl-citation.json" }</w:instrText>
      </w:r>
      <w:r w:rsidR="006A2D19" w:rsidRPr="008608AA">
        <w:fldChar w:fldCharType="separate"/>
      </w:r>
      <w:r w:rsidR="00D45AD3" w:rsidRPr="00CE0821">
        <w:rPr>
          <w:noProof/>
          <w:lang w:val="es-CO"/>
        </w:rPr>
        <w:t xml:space="preserve">(Casas et al., 2016; Casas </w:t>
      </w:r>
      <w:r w:rsidR="006A2D19" w:rsidRPr="00CE0821">
        <w:rPr>
          <w:noProof/>
          <w:lang w:val="es-CO"/>
        </w:rPr>
        <w:t>et al.,</w:t>
      </w:r>
      <w:r w:rsidR="00D45AD3" w:rsidRPr="00CE0821">
        <w:rPr>
          <w:noProof/>
          <w:lang w:val="es-CO"/>
        </w:rPr>
        <w:t xml:space="preserve"> </w:t>
      </w:r>
      <w:r w:rsidR="006A2D19" w:rsidRPr="00CE0821">
        <w:rPr>
          <w:noProof/>
          <w:lang w:val="es-CO"/>
        </w:rPr>
        <w:t>2017; De Jong, 1996; Fras</w:t>
      </w:r>
      <w:r w:rsidR="00D45AD3" w:rsidRPr="00CE0821">
        <w:rPr>
          <w:noProof/>
          <w:lang w:val="es-CO"/>
        </w:rPr>
        <w:t xml:space="preserve">er et al., 2011; Moreno-Calles et al., 2016; Moreno-Calles </w:t>
      </w:r>
      <w:r w:rsidR="006A2D19" w:rsidRPr="00CE0821">
        <w:rPr>
          <w:noProof/>
          <w:lang w:val="es-CO"/>
        </w:rPr>
        <w:t>et al., 2016; Peri et al., 2016; Somarriba et al., 2012; Torres-Guevara et al., 2017)</w:t>
      </w:r>
      <w:r w:rsidR="006A2D19" w:rsidRPr="008608AA">
        <w:fldChar w:fldCharType="end"/>
      </w:r>
      <w:r w:rsidR="006A2D19" w:rsidRPr="00CE0821">
        <w:rPr>
          <w:lang w:val="es-CO"/>
        </w:rPr>
        <w:t>.</w:t>
      </w:r>
    </w:p>
    <w:p w14:paraId="4B32B35B" w14:textId="77777777" w:rsidR="004255E7" w:rsidRPr="008608AA" w:rsidRDefault="004255E7" w:rsidP="00BE4235">
      <w:pPr>
        <w:widowControl w:val="0"/>
        <w:autoSpaceDE w:val="0"/>
        <w:autoSpaceDN w:val="0"/>
        <w:adjustRightInd w:val="0"/>
        <w:spacing w:after="120"/>
      </w:pPr>
      <w:r w:rsidRPr="008608AA">
        <w:t xml:space="preserve">In addition to agricultural development, local populations manage a high diversity of forests (tropical, dry, temperate, boreal) and ecosystems (coastal, wetland, mountain, plain, desert, aquatic) from which they obtain food, medicine, wood, fuelwood, water, tools, handicrafts, colorants, fodder, ornamental, biological control and instruments. Traditional agricultural systems in the Americas, a result of millennia of cultural and biological evolution, harbor high levels of biodiversity, planned and associated, and represent a high-quality matrix that allows forest species movements among patches </w:t>
      </w:r>
      <w:r w:rsidRPr="008608AA">
        <w:fldChar w:fldCharType="begin" w:fldLock="1"/>
      </w:r>
      <w:r w:rsidRPr="008608AA">
        <w:instrText>ADDIN CSL_CITATION { "citationItems" : [ { "id" : "ITEM-1", "itemData" : { "DOI" : "https://doi.org/10.1007/s10531-010-9919-5", "ISBN" : "0960-3115", "ISSN" : "09603115", "abstract" : "Over the last two decades, the importance of conserving genetic resources has received increasing attention. In this context the role of home gardens as repositories of biological diversity has been acknowledged but still a comprehensive, interdisciplinary investigation of their agro-biodiversity is lacking. Home gardens, whether found in rural or urban areas, are characterized by a structural complexity and multifunctionality which enables the provision of different benefits to ecosystems and people. Studies carried out in various countries demonstrate that high levels of inter- and intra-specific plant genetic diversity, especially in terms of traditional crop varieties and landraces, are preserved in home gardens. Families engage in food production for subsistence or small-scale marketing and the variety of crops and wild plants provides nutritional benefits. At the same time, home gardens are important social and cultural spaces where knowledge related to agricultural practices is transmitted and through which households may improve their income and livelihoods. The present article summarizes available literature on the biological and cultural significance of agro-biodiversity in home gardens. It discusses future constraints and opportunities in home garden research, in the prospect of defining and promoting their role in conservation of agricultural biodiversity and cultural heritage.", "author" : [ { "dropping-particle" : "", "family" : "Galluzzi", "given" : "Gea", "non-dropping-particle" : "", "parse-names" : false, "suffix" : "" }, { "dropping-particle" : "", "family" : "Eyzaguirre", "given" : "Pablo", "non-dropping-particle" : "", "parse-names" : false, "suffix" : "" }, { "dropping-particle" : "", "family" : "Negri", "given" : "Valeria", "non-dropping-particle" : "", "parse-names" : false, "suffix" : "" } ], "container-title" : "Biodiversity and Conservation", "id" : "ITEM-1", "issue" : "13", "issued" : { "date-parts" : [ [ "2010" ] ] }, "page" : "3635-3654", "title" : "Home gardens: Neglected hotspots of agro-biodiversity and cultural diversity", "type" : "article-journal", "volume" : "19" }, "uris" : [ "http://www.mendeley.com/documents/?uuid=d6a66269-e910-44ef-8b31-13bde3e208df" ] }, { "id" : "ITEM-2", "itemData" : { "DOI" : "10.1186/1746-4269-9-74", "ISBN" : "1746-4269 (Electronic)\\r1746-4269 (Linking)", "ISSN" : "1746-4269", "PMID" : "24195962", "abstract" : "BACKGROUND: The Tehuac\u00e1n Valley is one of the areas of Mesoamerica with the oldest history of plant management. Homegardens are among the most ancient management systems that currently provide economic benefits to people and are reservoirs of native biodiversity. Previous studies estimated that 30% of the plant richness of homegardens of the region are native plant species from wild populations. We studied in N\u00e1huatl communities the proportion of native plant species maintained in homegardens, hypothesizing to find a proportion similar to that estimated at regional level, mainly plant resources maintained for edible, medicinal and ornamental purposes.METHODS: We analysed the composition of plant species of homegardens and their similarity with surrounding Cloud Forest (CF), Tropical Rainforest (TRF), Tropical Dry forest (TDF), and Thorn-Scrub Forest (TSF). We determined density, frequency and biomass of plant species composing homegardens and forests through vegetation sampling of a total of 30 homegardens and nine plots of forests, and documented ethnobotanical information on use, management, and economic benefits from plants maintained in homegardens. RESULTS: A total of 281 plant species was recorded with 12 use categories, 115 ornamental, 92 edible, and 50 medicinal plant species. We recorded 49.8 \u00b1 23.2 (average \u00b1 S.D.) woody plant species (shrubs and trees) per homegarden. In total, 34% species are native to the Tehuac\u00e1n Valley and nearly 16% are components of the surrounding forests. A total of 176 species were cultivated through seeds, vegetative propagules or transplanted entire individual plants, 71 tolerated, and 23 enhanced. The highest species richness and diversity were recorded in homegardens from the CF zone (199 species), followed by those from the TRF (157) and those from the TDF (141) zones. CONCLUSION: Homegardens provide a high diversity of resources for subsistence of local households and significantly contribute to conservation of native biodiversity. The highest diversity was recorded in homegardens where the neighbouring forests had the least diversity, suggesting that management of homegardens aims at compensating scarcity of naturally available plant resources. Cultivated species were markedly more abundant than plants under other management forms. Diversity harboured and management techniques make homegardens keystones in strategies for regional biodiversity conservation.", "author" : [ { "dropping-particle" : "", "family" : "Larios", "given" : "Carolina", "non-dropping-particle" : "", "parse-names" : false, "suffix" : "" }, { "dropping-particle" : "", "family" : "Casas", "given" : "Alejandro", "non-dropping-particle" : "", "parse-names" : false, "suffix" : "" }, { "dropping-particle" : "", "family" : "Vallejo", "given" : "Mariana", "non-dropping-particle" : "", "parse-names" : false, "suffix" : "" }, { "dropping-particle" : "", "family" : "Moreno-Calles", "given" : "Ana Isabel", "non-dropping-particle" : "", "parse-names" : false, "suffix" : "" }, { "dropping-particle" : "", "family" : "Blancas", "given" : "Jos\u00e9", "non-dropping-particle" : "", "parse-names" : false, "suffix" : "" } ], "container-title" : "Journal of Ethnobiology and Ethnomedicine", "id" : "ITEM-2", "issue" : "74", "issued" : { "date-parts" : [ [ "2013" ] ] }, "page" : "16", "title" : "Plant management and biodiversity conservation in N\u00e1huatl homegardens of the Tehuac\u00e1n Valley, Mexico", "type" : "article-journal", "volume" : "9" }, "uris" : [ "http://www.mendeley.com/documents/?uuid=29e39282-3958-4eba-9408-d1a5046be093" ] }, { "id" : "ITEM-3", "itemData" : { "DOI" : "10.1196/annals.1439.011", "ISBN" : "1749-6632", "ISSN" : "0077-8923", "PMID" : "18566094", "abstract" : "It is almost certainly the case that many populations have always existed as metapopulations, leading to the conclusion that local extinctions are common and normally balanced by migrations. This conclusion has major consequences for biodiversity conservation in fragmented tropical forests and the agricultural matrices in which they are embedded. Here we make the argument that the conservation paradigm that focuses on setting aside pristine forests while ignoring the agricultural landscape is a failed strategy in light of what is now conventional wisdom in ecology. Given the fragmented nature of most tropical ecosystems, agricultural landscapes should be an essential component of any conservation strategy. We review the literature on biodiversity in tropical agricultural landscapes and present evidence that many tropical agricultural systems have high levels of biodiversity (planned and associated). These systems represent, not only habitat for biodiversity, but also a high-quality matrix that permits the movement of forest organisms among patches of natural vegetation. We review a variety of agroecosystem types and conclude that diverse, low-input systems using agroecological principles are probably the best option for a high-quality matrix. Such systems are most likely to be constructed by small farmers with land titles, who, in turn, are normally the consequence of grassroots social movements. Therefore, the new conservation paradigm should incorporate a landscape approach in which small farmers, through their social organizations, work with conservationists to create a landscape matrix dominated by productive agroecological systems that facilitate interpatch migration while promoting a sustainable and dignified livelihood for rural communities.", "author" : [ { "dropping-particle" : "", "family" : "Perfecto", "given" : "Ivette", "non-dropping-particle" : "", "parse-names" : false, "suffix" : "" }, { "dropping-particle" : "", "family" : "Vandermeer", "given" : "John", "non-dropping-particle" : "", "parse-names" : false, "suffix" : "" } ], "container-title" : "Annals of the New York Academy of Sciences", "id" : "ITEM-3", "issue" : "1", "issued" : { "date-parts" : [ [ "2008" ] ] }, "page" : "173-200", "title" : "Biodiversity conservation in tropical agroecosystems", "type" : "article-journal", "volume" : "1134" }, "uris" : [ "http://www.mendeley.com/documents/?uuid=9418dc34-e3b8-4a6d-91ff-7f0d76b659cd" ] } ], "mendeley" : { "formattedCitation" : "(Galluzzi et al., 2010; Larios, Casas, Vallejo, Moreno-Calles, &amp; Blancas, 2013; Perfecto &amp; Vandermeer, 2008)", "manualFormatting" : "(Galluzzi et al., 2010; Larios et al., 2013; Perfecto &amp; Vandermeer, 2008)", "plainTextFormattedCitation" : "(Galluzzi et al., 2010; Larios, Casas, Vallejo, Moreno-Calles, &amp; Blancas, 2013; Perfecto &amp; Vandermeer, 2008)", "previouslyFormattedCitation" : "(Galluzzi et al., 2010; Larios, Casas, Vallejo, Moreno-Calles, &amp; Blancas, 2013; Perfecto &amp; Vandermeer, 2008)" }, "properties" : { "noteIndex" : 0 }, "schema" : "https://github.com/citation-style-language/schema/raw/master/csl-citation.json" }</w:instrText>
      </w:r>
      <w:r w:rsidRPr="008608AA">
        <w:fldChar w:fldCharType="separate"/>
      </w:r>
      <w:r w:rsidRPr="008608AA">
        <w:rPr>
          <w:noProof/>
        </w:rPr>
        <w:t>(Galluzzi et al., 2010; Larios et al., 2013; Perfecto &amp; Vandermeer, 2008)</w:t>
      </w:r>
      <w:r w:rsidRPr="008608AA">
        <w:fldChar w:fldCharType="end"/>
      </w:r>
      <w:r w:rsidRPr="008608AA">
        <w:t xml:space="preserve">. Traditional farming systems can have a structural complexity and multifunctionality that benefit people and ecosystems and allow farmers to maximize harvest security and reap the benefits of the multiple use of landscapes with low-environmental impacts </w:t>
      </w:r>
      <w:r w:rsidRPr="008608AA">
        <w:fldChar w:fldCharType="begin" w:fldLock="1"/>
      </w:r>
      <w:r w:rsidRPr="008608AA">
        <w:instrText>ADDIN CSL_CITATION { "citationItems" : [ { "id" : "ITEM-1", "itemData" : { "abstract" : "The great majority of farmers in Latin America are peasants who still farm small plots of land, usually in marginal environments utilizing traditional and subsistence methods. The contribution of the 16 million peasant units to regional food security is however substantial. Research has shown that peasant systems, which mostly rely on local resources and complex cropping patterns, are reasonably productive despite their small land endowments and low use of external inputs. Moreover analysis of NGO-led agroecological initiatives show that traditional crop and animal systems can be adapted to increase productivity by biologically re-structuring peasant farms which in turn leads to optimization of key agroecosystem processes (nutrient cycling, organic matter accumulation, biological pest regulation, etc.) and efficient use of labour and local resources. Examples of such grassroots projects are herein described to show that agroecological approaches can offer opportunities to substantially increase food production while preserving the natural resource base and empowering rural communities. (C) 2000 Published by Elsevier Science Ltd. All rights reserved.", "author" : [ { "dropping-particle" : "", "family" : "Altieri", "given" : "M.", "non-dropping-particle" : "", "parse-names" : false, "suffix" : "" } ], "container-title" : "Natural Resource Forum", "id" : "ITEM-1", "issue" : "2", "issued" : { "date-parts" : [ [ "2000" ] ] }, "page" : "97-105", "title" : "Developing sustainable agricultural systems for small farmers in Latin America", "type" : "article-journal", "volume" : "24" }, "uris" : [ "http://www.mendeley.com/documents/?uuid=920a93a3-6035-41e4-bbd9-177d2a60bb9b" ] }, { "id" : "ITEM-2", "itemData" : { "DOI" : "https://doi.org/10.1007/s10531-010-9919-5", "ISBN" : "0960-3115", "ISSN" : "09603115", "abstract" : "Over the last two decades, the importance of conserving genetic resources has received increasing attention. In this context the role of home gardens as repositories of biological diversity has been acknowledged but still a comprehensive, interdisciplinary investigation of their agro-biodiversity is lacking. Home gardens, whether found in rural or urban areas, are characterized by a structural complexity and multifunctionality which enables the provision of different benefits to ecosystems and people. Studies carried out in various countries demonstrate that high levels of inter- and intra-specific plant genetic diversity, especially in terms of traditional crop varieties and landraces, are preserved in home gardens. Families engage in food production for subsistence or small-scale marketing and the variety of crops and wild plants provides nutritional benefits. At the same time, home gardens are important social and cultural spaces where knowledge related to agricultural practices is transmitted and through which households may improve their income and livelihoods. The present article summarizes available literature on the biological and cultural significance of agro-biodiversity in home gardens. It discusses future constraints and opportunities in home garden research, in the prospect of defining and promoting their role in conservation of agricultural biodiversity and cultural heritage.", "author" : [ { "dropping-particle" : "", "family" : "Galluzzi", "given" : "Gea", "non-dropping-particle" : "", "parse-names" : false, "suffix" : "" }, { "dropping-particle" : "", "family" : "Eyzaguirre", "given" : "Pablo", "non-dropping-particle" : "", "parse-names" : false, "suffix" : "" }, { "dropping-particle" : "", "family" : "Negri", "given" : "Valeria", "non-dropping-particle" : "", "parse-names" : false, "suffix" : "" } ], "container-title" : "Biodiversity and Conservation", "id" : "ITEM-2", "issue" : "13", "issued" : { "date-parts" : [ [ "2010" ] ] }, "page" : "3635-3654", "title" : "Home gardens: Neglected hotspots of agro-biodiversity and cultural diversity", "type" : "article-journal", "volume" : "19" }, "uris" : [ "http://www.mendeley.com/documents/?uuid=d6a66269-e910-44ef-8b31-13bde3e208df" ] } ], "mendeley" : { "formattedCitation" : "(Altieri, 2000; Galluzzi et al., 2010)", "manualFormatting" : "(Altieri, 2000; Galluzzi et al., 2010)", "plainTextFormattedCitation" : "(Altieri, 2000; Galluzzi et al., 2010)", "previouslyFormattedCitation" : "(Altieri, 2000; Galluzzi et al., 2010)" }, "properties" : { "noteIndex" : 0 }, "schema" : "https://github.com/citation-style-language/schema/raw/master/csl-citation.json" }</w:instrText>
      </w:r>
      <w:r w:rsidRPr="008608AA">
        <w:fldChar w:fldCharType="separate"/>
      </w:r>
      <w:r w:rsidRPr="008608AA">
        <w:rPr>
          <w:noProof/>
        </w:rPr>
        <w:t>(Altieri, 2000; Galluzzi et al., 2010)</w:t>
      </w:r>
      <w:r w:rsidRPr="008608AA">
        <w:fldChar w:fldCharType="end"/>
      </w:r>
      <w:r w:rsidRPr="008608AA">
        <w:t xml:space="preserve">. For example, Mayan milpa systems, characterized by open field gaps, reforested plots, and mature closed-canopy forests are recognized for their high agrobiodiversity. In Mayan milpa systems of Greater Petén on the Yucatán Peninsula, around 99 cultigens of native species have been reported as dominant plants on the open multi-crop maize fields, and more than 30 native tree species are managed or protected inside the long-lived perennial reforestation plots and under closed canopies </w:t>
      </w:r>
      <w:r w:rsidRPr="008608AA">
        <w:fldChar w:fldCharType="begin" w:fldLock="1"/>
      </w:r>
      <w:r w:rsidRPr="008608AA">
        <w:instrText>ADDIN CSL_CITATION { "citationItems" : [ { "id" : "ITEM-1", "itemData" : { "author" : [ { "dropping-particle" : "", "family" : "Ford", "given" : "A.", "non-dropping-particle" : "", "parse-names" : false, "suffix" : "" }, { "dropping-particle" : "", "family" : "Nigh", "given" : "R.", "non-dropping-particle" : "", "parse-names" : false, "suffix" : "" } ], "id" : "ITEM-1", "issued" : { "date-parts" : [ [ "2015" ] ] }, "number-of-pages" : "260", "publisher" : "Routledge Taylor &amp; Francis Group", "publisher-place" : "New York, USA", "title" : "Maya Forest Garden: Eight Millennia of Sustainable Cultivation of the Tropical Woodlands", "type" : "book" }, "uris" : [ "http://www.mendeley.com/documents/?uuid=9e812f13-a74a-440a-8620-b18408169548" ] } ], "mendeley" : { "formattedCitation" : "(A. Ford &amp; Nigh, 2015)", "manualFormatting" : "(Ford &amp; Nigh, 2015)", "plainTextFormattedCitation" : "(A. Ford &amp; Nigh, 2015)", "previouslyFormattedCitation" : "(A. Ford &amp; Nigh, 2015)" }, "properties" : { "noteIndex" : 0 }, "schema" : "https://github.com/citation-style-language/schema/raw/master/csl-citation.json" }</w:instrText>
      </w:r>
      <w:r w:rsidRPr="008608AA">
        <w:fldChar w:fldCharType="separate"/>
      </w:r>
      <w:r w:rsidRPr="008608AA">
        <w:rPr>
          <w:noProof/>
        </w:rPr>
        <w:t>(Ford &amp; Nigh, 2015)</w:t>
      </w:r>
      <w:r w:rsidRPr="008608AA">
        <w:fldChar w:fldCharType="end"/>
      </w:r>
      <w:r w:rsidRPr="008608AA">
        <w:t>. Saving such biodiversity should be a priority.</w:t>
      </w:r>
    </w:p>
    <w:p w14:paraId="73177D4D" w14:textId="02AC7E57" w:rsidR="004255E7" w:rsidRPr="008608AA" w:rsidRDefault="004255E7" w:rsidP="00BE4235">
      <w:pPr>
        <w:widowControl w:val="0"/>
        <w:autoSpaceDE w:val="0"/>
        <w:autoSpaceDN w:val="0"/>
        <w:adjustRightInd w:val="0"/>
        <w:spacing w:after="120"/>
      </w:pPr>
      <w:r w:rsidRPr="008608AA">
        <w:t>Use of biodiversity</w:t>
      </w:r>
      <w:r w:rsidR="00C04AD0" w:rsidRPr="008608AA">
        <w:rPr>
          <w:i/>
        </w:rPr>
        <w:t xml:space="preserve">. </w:t>
      </w:r>
      <w:r w:rsidRPr="008608AA">
        <w:t>Besides domestication, the biologically-diverse Americas contain a large amount of other biodiversity used by people, including plants, vertebrates, arthropods, fungi, lichens, bacteria, and yeasts. For Mexico, the</w:t>
      </w:r>
      <w:r w:rsidR="00F90B7C" w:rsidRPr="008608AA">
        <w:t xml:space="preserve"> ethnobotanical </w:t>
      </w:r>
      <w:r w:rsidRPr="008608AA">
        <w:t xml:space="preserve">data bank at the Universidad Nacional Autónoma de México records close to 7,000 useful plant species out of a total of 24,000 for the country </w:t>
      </w:r>
      <w:r w:rsidRPr="008608AA">
        <w:fldChar w:fldCharType="begin" w:fldLock="1"/>
      </w:r>
      <w:r w:rsidRPr="008608AA">
        <w:instrText>ADDIN CSL_CITATION { "citationItems" : [ { "id" : "ITEM-1", "itemData" : { "author" : [ { "dropping-particle" : "", "family" : "Casas", "given" : "A.", "non-dropping-particle" : "", "parse-names" : false, "suffix" : "" }, { "dropping-particle" : "", "family" : "Moreno-Calles", "given" : "A. I.", "non-dropping-particle" : "", "parse-names" : false, "suffix" : "" }, { "dropping-particle" : "", "family" : "Vallejo", "given" : "M.", "non-dropping-particle" : "", "parse-names" : false, "suffix" : "" }, { "dropping-particle" : "", "family" : "Parra", "given" : "F.", "non-dropping-particle" : "", "parse-names" : false, "suffix" : "" } ], "container-title" : "Domesticaci\u00f3n en el Continente Americano Vol. 1. Investigaci\u00f3n Manejo de Biodiversidad y Evoluci\u00f3n Dirigida por las Culturas del Nuevo Mundo", "editor" : [ { "dropping-particle" : "", "family" : "Casas", "given" : "A.", "non-dropping-particle" : "", "parse-names" : false, "suffix" : "" }, { "dropping-particle" : "", "family" : "Torres-Guevara", "given" : "J.", "non-dropping-particle" : "", "parse-names" : false, "suffix" : "" }, { "dropping-particle" : "", "family" : "Parra", "given" : "F.", "non-dropping-particle" : "", "parse-names" : false, "suffix" : "" } ], "id" : "ITEM-1", "issued" : { "date-parts" : [ [ "2016" ] ] }, "page" : "51-74", "publisher" : "Universidad Nacional Aut\u00f3noma de M\u00e9xico/Universidad Nacional Agraria La Molina", "publisher-place" : "M\u00e9xico D.F., M\u00e9xico and Lima, Per\u00fa", "title" : "Importancia actual y potencial de los recursos gen\u00e9ticos", "type" : "chapter" }, "uris" : [ "http://www.mendeley.com/documents/?uuid=33d3da9f-639e-470f-b8d6-9ff2f1acbcbf" ] }, { "id" : "ITEM-2", "itemData" : { "author" : [ { "dropping-particle" : "", "family" : "Casas", "given" : "A.", "non-dropping-particle" : "", "parse-names" : false, "suffix" : "" }, { "dropping-particle" : "", "family" : "Parra-Rodinel", "given" : "F.", "non-dropping-particle" : "", "parse-names" : false, "suffix" : "" }, { "dropping-particle" : "", "family" : "Rangel-Landa", "given" : "S.", "non-dropping-particle" : "", "parse-names" : false, "suffix" : "" }, { "dropping-particle" : "", "family" : "Blancas", "given" : "J.", "non-dropping-particle" : "", "parse-names" : false, "suffix" : "" }, { "dropping-particle" : "", "family" : "Vallejo", "given" : "M.", "non-dropping-particle" : "", "parse-names" : false, "suffix" : "" }, { "dropping-particle" : "", "family" : "Moreno-Calles", "given" : "A. I.", "non-dropping-particle" : "", "parse-names" : false, "suffix" : "" }, { "dropping-particle" : "", "family" : "Guill\u00e9n", "given" : "S.", "non-dropping-particle" : "", "parse-names" : false, "suffix" : "" }, { "dropping-particle" : "", "family" : "Torres-Garc\u00eda", "given" : "I.", "non-dropping-particle" : "", "parse-names" : false, "suffix" : "" }, { "dropping-particle" : "", "family" : "Delgado-Lemus", "given" : "A.", "non-dropping-particle" : "", "parse-names" : false, "suffix" : "" }, { "dropping-particle" : "", "family" : "P\u00e9rez-Negr\u00f3n", "given" : "E.", "non-dropping-particle" : "", "parse-names" : false, "suffix" : "" }, { "dropping-particle" : "", "family" : "Figueredo", "given" : "C. J.", "non-dropping-particle" : "", "parse-names" : false, "suffix" : "" }, { "dropping-particle" : "", "family" : "Cruse-Sanders", "given" : "J. M.", "non-dropping-particle" : "", "parse-names" : false, "suffix" : "" }, { "dropping-particle" : "", "family" : "Farf\u00e1n-Heredia", "given" : "B.", "non-dropping-particle" : "", "parse-names" : false, "suffix" : "" }, { "dropping-particle" : "", "family" : "Sol\u00eds", "given" : "L.", "non-dropping-particle" : "", "parse-names" : false, "suffix" : "" }, { "dropping-particle" : "", "family" : "Aguirre-Dugua", "given" : "X.", "non-dropping-particle" : "", "parse-names" : false, "suffix" : "" }, { "dropping-particle" : "", "family" : "Otero-Arnaiz", "given" : "A.", "non-dropping-particle" : "", "parse-names" : false, "suffix" : "" }, { "dropping-particle" : "", "family" : "Alvarado-Sizzo", "given" : "H.", "non-dropping-particle" : "", "parse-names" : false, "suffix" : "" }, { "dropping-particle" : "", "family" : "Camou-Guerrero", "given" : "A.", "non-dropping-particle" : "", "parse-names" : false, "suffix" : "" } ], "container-title" : "Domesticaci\u00f3n en el Continente Americano Vol. 2. Investigaci\u00f3n para el Manejo Sustentable de Recursos Gen\u00e9ticos en el Nuevo Mundo", "editor" : [ { "dropping-particle" : "", "family" : "Casas", "given" : "A.", "non-dropping-particle" : "", "parse-names" : false, "suffix" : "" }, { "dropping-particle" : "", "family" : "Torres-Guevara", "given" : "J.", "non-dropping-particle" : "", "parse-names" : false, "suffix" : "" }, { "dropping-particle" : "", "family" : "Parra-Rondinel", "given" : "F.", "non-dropping-particle" : "", "parse-names" : false, "suffix" : "" } ], "id" : "ITEM-2", "issued" : { "date-parts" : [ [ "2017" ] ] }, "page" : "69-102", "publisher" : "Universidad Nacional Aut\u00f3noma de M\u00e9xico/Universidad Nacional Agraria La Molina/CONACYT", "publisher-place" : "M\u00e9xico D.F., M\u00e9xico and Lima, Per\u00fa", "title" : "Manejo y domesticaci\u00f3n de plantas en Mesoam\u00e9rica. Una estrategia de investigaci\u00f3n y estado del conocimiento sobre los recursos gen\u00e9ticos en M\u00e9xico", "type" : "chapter" }, "uris" : [ "http://www.mendeley.com/documents/?uuid=07c43401-f367-44f4-b7c6-71e6d5f9c350" ] } ], "mendeley" : { "formattedCitation" : "(A. Casas, Parra-Rodinel, et al., 2017; A. Casas, Moreno-Calles, Vallejo, &amp; Parra, 2016)", "manualFormatting" : "(Casas, Parra-Rondinel, Rangel-Landa, et al., 2017; Casas, Moreno-Calles et al., 2016)", "plainTextFormattedCitation" : "(A. Casas, Parra-Rodinel, et al., 2017; A. Casas, Moreno-Calles, Vallejo, &amp; Parra, 2016)", "previouslyFormattedCitation" : "(A. Casas, Parra-Rodinel, et al., 2017; A. Casas, Moreno-Calles, Vallejo, &amp; Parra, 2016)" }, "properties" : { "noteIndex" : 0 }, "schema" : "https://github.com/citation-style-language/schema/raw/master/csl-citation.json" }</w:instrText>
      </w:r>
      <w:r w:rsidRPr="008608AA">
        <w:fldChar w:fldCharType="separate"/>
      </w:r>
      <w:r w:rsidR="00D45AD3" w:rsidRPr="008608AA">
        <w:rPr>
          <w:noProof/>
        </w:rPr>
        <w:t xml:space="preserve">(Casas </w:t>
      </w:r>
      <w:r w:rsidRPr="008608AA">
        <w:rPr>
          <w:noProof/>
        </w:rPr>
        <w:t xml:space="preserve">et </w:t>
      </w:r>
      <w:r w:rsidR="00D45AD3" w:rsidRPr="008608AA">
        <w:rPr>
          <w:noProof/>
        </w:rPr>
        <w:t xml:space="preserve">al., 2017; Casas </w:t>
      </w:r>
      <w:r w:rsidRPr="008608AA">
        <w:rPr>
          <w:noProof/>
        </w:rPr>
        <w:t>et al., 2016)</w:t>
      </w:r>
      <w:r w:rsidRPr="008608AA">
        <w:fldChar w:fldCharType="end"/>
      </w:r>
      <w:r w:rsidRPr="008608AA">
        <w:t xml:space="preserve">. Studies in some regions of Mexico indicate that, on average, nearly 40% of plant species are useful. Such information leads to an estimate of around 10,000 useful plants in Mexico. In Peru, different studies have recorded some 4,400 useful plant species </w:t>
      </w:r>
      <w:r w:rsidRPr="008608AA">
        <w:fldChar w:fldCharType="begin" w:fldLock="1"/>
      </w:r>
      <w:r w:rsidRPr="008608AA">
        <w:instrText>ADDIN CSL_CITATION { "citationItems" : [ { "id" : "ITEM-1", "itemData" : { "author" : [ { "dropping-particle" : "", "family" : "Torres-Guevara", "given" : "Juan.", "non-dropping-particle" : "", "parse-names" : false, "suffix" : "" }, { "dropping-particle" : "", "family" : "Parra-Rodinel", "given" : "Fabiola", "non-dropping-particle" : "", "parse-names" : false, "suffix" : "" }, { "dropping-particle" : "", "family" : "Casas", "given" : "Alejandro", "non-dropping-particle" : "", "parse-names" : false, "suffix" : "" } ], "container-title" : "Domesticaci\u00f3n en el Continente Americano Vol. 2. Investigaci\u00f3n para el Manejo Sustentable de Recursos Gen\u00e9ticos en el Nuevo Mundo", "editor" : [ { "dropping-particle" : "", "family" : "Casas", "given" : "Alejandro", "non-dropping-particle" : "", "parse-names" : false, "suffix" : "" }, { "dropping-particle" : "", "family" : "Torres-Guevara", "given" : "Juan", "non-dropping-particle" : "", "parse-names" : false, "suffix" : "" }, { "dropping-particle" : "", "family" : "Parra-Rondinel", "given" : "Fabiola", "non-dropping-particle" : "", "parse-names" : false, "suffix" : "" } ], "id" : "ITEM-1", "issued" : { "date-parts" : [ [ "2017" ] ] }, "page" : "103-133", "publisher" : "Universidad Nacional Aut\u00f3noma de M\u00e9xico/Universidad Nacional Agraria La Molina/CONACYT.", "publisher-place" : "M\u00e9xico D.F., M\u00e9xico and Lima, Per\u00fa", "title" : "Panorama de los recursos gen\u00e9ticos en Per\u00fa", "type" : "chapter" }, "uris" : [ "http://www.mendeley.com/documents/?uuid=e5d870a7-85d6-44c8-b147-62784dd3357f" ] } ], "mendeley" : { "formattedCitation" : "(Torres-Guevara et al., 2017)", "plainTextFormattedCitation" : "(Torres-Guevara et al., 2017)", "previouslyFormattedCitation" : "(Torres-Guevara et al., 2017)" }, "properties" : { "noteIndex" : 0 }, "schema" : "https://github.com/citation-style-language/schema/raw/master/csl-citation.json" }</w:instrText>
      </w:r>
      <w:r w:rsidRPr="008608AA">
        <w:fldChar w:fldCharType="separate"/>
      </w:r>
      <w:r w:rsidRPr="008608AA">
        <w:rPr>
          <w:noProof/>
        </w:rPr>
        <w:t>(Torres-Guevara et al., 2017)</w:t>
      </w:r>
      <w:r w:rsidRPr="008608AA">
        <w:fldChar w:fldCharType="end"/>
      </w:r>
      <w:r w:rsidRPr="008608AA">
        <w:t xml:space="preserve">. Mesoamerican peoples are known to use about 7,000 plant species, mainly for medicines; 3,000 animal species (including insects); and 120 fungal species </w:t>
      </w:r>
      <w:r w:rsidRPr="008608AA">
        <w:fldChar w:fldCharType="begin" w:fldLock="1"/>
      </w:r>
      <w:r w:rsidRPr="008608AA">
        <w:instrText>ADDIN CSL_CITATION { "citationItems" : [ { "id" : "ITEM-1", "itemData" : { "author" : [ { "dropping-particle" : "", "family" : "Rojas", "given" : "R.T.", "non-dropping-particle" : "", "parse-names" : false, "suffix" : "" } ], "container-title" : "La Agricultura en Tierras Mexicanas desde sus Or\u00edgenes hasta Nuestros D\u00edas", "editor" : [ { "dropping-particle" : "", "family" : "Rojas", "given" : "T.", "non-dropping-particle" : "", "parse-names" : false, "suffix" : "" } ], "id" : "ITEM-1", "issued" : { "date-parts" : [ [ "1991" ] ] }, "page" : "15-138", "publisher" : "Grijalbo", "publisher-place" : "Ciudad de M\u00e9xico, M\u00e9xico", "title" : "La agricultura en la \u00e9poca prehisp\u00e1nica", "type" : "chapter" }, "uris" : [ "http://www.mendeley.com/documents/?uuid=ffabfe25-2c56-4f7d-a84d-b099d4aba4a8" ] }, { "id" : "ITEM-2", "itemData" : { "author" : [ { "dropping-particle" : "", "family" : "Hern\u00e1ndez", "given" : "X.", "non-dropping-particle" : "", "parse-names" : false, "suffix" : "" } ], "id" : "ITEM-2", "issued" : { "date-parts" : [ [ "1985" ] ] }, "publisher" : "CECSA", "publisher-place" : "M\u00e9xico", "title" : "Biolog\u00eda agr\u00edcola: los conocimientos biol\u00f3gicos y su aplicaci\u00f3n a la agricultura", "type" : "article" }, "uris" : [ "http://www.mendeley.com/documents/?uuid=680ecac5-9019-4b8b-908a-b0054d3bad31" ] }, { "id" : "ITEM-3", "itemData" : { "author" : [ { "dropping-particle" : "", "family" : "Caballero", "given" : "J.", "non-dropping-particle" : "", "parse-names" : false, "suffix" : "" }, { "dropping-particle" : "", "family" : "Cort\u00e9s", "given" : "L.", "non-dropping-particle" : "", "parse-names" : false, "suffix" : "" } ], "container-title" : "Plantas, Cultura y Sociedad", "editor" : [ { "dropping-particle" : "", "family" : "Rend\u00f3n Aguilar", "given" : "B.", "non-dropping-particle" : "", "parse-names" : false, "suffix" : "" }, { "dropping-particle" : "", "family" : "Rebollar Dom\u00ednguez", "given" : "S.", "non-dropping-particle" : "", "parse-names" : false, "suffix" : "" }, { "dropping-particle" : "", "family" : "Caballero Nieto", "given" : "J.", "non-dropping-particle" : "", "parse-names" : false, "suffix" : "" }, { "dropping-particle" : "", "family" : "Mart\u00ednez Alfaro", "given" : "M.A.", "non-dropping-particle" : "", "parse-names" : false, "suffix" : "" } ], "id" : "ITEM-3", "issued" : { "date-parts" : [ [ "2001" ] ] }, "page" : "79-100", "publisher" : "Universidad Aut\u00f3noma Metropolitana y Secretar\u00eda del Medio Ambiente, Recursos Naturales y Pesca", "publisher-place" : "M\u00e9xico D.F., M\u00e9xico", "title" : "Percepci\u00f3n, uso y manejo tradicional de los recursos vegetales en M\u00e9xico", "type" : "chapter" }, "uris" : [ "http://www.mendeley.com/documents/?uuid=8e55d93b-0e21-4524-85b2-63cf3ebc3e10" ] } ], "mendeley" : { "formattedCitation" : "(Caballero &amp; Cort\u00e9s, 2001; X. Hern\u00e1ndez, 1985; Rojas, 1991)", "manualFormatting" : "(Caballero &amp; Cort\u00e9s, 2001; Hern\u00e1ndez, 1985; Rojas, 1991)", "plainTextFormattedCitation" : "(Caballero &amp; Cort\u00e9s, 2001; X. Hern\u00e1ndez, 1985; Rojas, 1991)", "previouslyFormattedCitation" : "(Caballero &amp; Cort\u00e9s, 2001; X. Hern\u00e1ndez, 1985; Rojas, 1991)" }, "properties" : { "noteIndex" : 0 }, "schema" : "https://github.com/citation-style-language/schema/raw/master/csl-citation.json" }</w:instrText>
      </w:r>
      <w:r w:rsidRPr="008608AA">
        <w:fldChar w:fldCharType="separate"/>
      </w:r>
      <w:r w:rsidRPr="008608AA">
        <w:rPr>
          <w:noProof/>
        </w:rPr>
        <w:t>(Caballero &amp; Cortés, 2001; Hernández, 1985; Rojas, 1991)</w:t>
      </w:r>
      <w:r w:rsidRPr="008608AA">
        <w:fldChar w:fldCharType="end"/>
      </w:r>
      <w:r w:rsidRPr="008608AA">
        <w:t xml:space="preserve">. </w:t>
      </w:r>
    </w:p>
    <w:p w14:paraId="672EEB9B" w14:textId="76BC8AD4" w:rsidR="001E6D7A" w:rsidRPr="008608AA" w:rsidRDefault="004255E7" w:rsidP="00BE4235">
      <w:pPr>
        <w:spacing w:after="120"/>
        <w:rPr>
          <w:bCs/>
          <w:lang w:val="fr-CA"/>
        </w:rPr>
      </w:pPr>
      <w:r w:rsidRPr="008608AA">
        <w:rPr>
          <w:bCs/>
        </w:rPr>
        <w:t>Agroforestry</w:t>
      </w:r>
      <w:r w:rsidR="00C04AD0" w:rsidRPr="008608AA">
        <w:rPr>
          <w:bCs/>
        </w:rPr>
        <w:t xml:space="preserve">. </w:t>
      </w:r>
      <w:r w:rsidRPr="008608AA">
        <w:t xml:space="preserve">In Latin America, an estimated 200 to 357 million ha are under agroforestry </w:t>
      </w:r>
      <w:r w:rsidRPr="008608AA">
        <w:fldChar w:fldCharType="begin" w:fldLock="1"/>
      </w:r>
      <w:r w:rsidRPr="008608AA">
        <w:instrText>ADDIN CSL_CITATION { "citationItems" : [ { "id" : "ITEM-1", "itemData" : { "DOI" : "10.1007/978-94-007-4676-3_1", "author" : [ { "dropping-particle" : "", "family" : "Somarriba", "given" : "E.", "non-dropping-particle" : "", "parse-names" : false, "suffix" : "" }, { "dropping-particle" : "", "family" : "Beer", "given" : "J.", "non-dropping-particle" : "", "parse-names" : false, "suffix" : "" }, { "dropping-particle" : "", "family" : "Alegre-Orihuela", "given" : "J.", "non-dropping-particle" : "", "parse-names" : false, "suffix" : "" }, { "dropping-particle" : "", "family" : "Andrade", "given" : "H.", "non-dropping-particle" : "", "parse-names" : false, "suffix" : "" }, { "dropping-particle" : "", "family" : "Cerda", "given" : "R.", "non-dropping-particle" : "", "parse-names" : false, "suffix" : "" }, { "dropping-particle" : "", "family" : "DeClerck", "given" : "F.", "non-dropping-particle" : "", "parse-names" : false, "suffix" : "" }, { "dropping-particle" : "", "family" : "Detlefsen", "given" : "G.", "non-dropping-particle" : "", "parse-names" : false, "suffix" : "" }, { "dropping-particle" : "", "family" : "Escalante", "given" : "M.", "non-dropping-particle" : "", "parse-names" : false, "suffix" : "" }, { "dropping-particle" : "", "family" : "Giraldo", "given" : "L.", "non-dropping-particle" : "", "parse-names" : false, "suffix" : "" }, { "dropping-particle" : "", "family" : "Ibrahim", "given" : "M.", "non-dropping-particle" : "", "parse-names" : false, "suffix" : "" }, { "dropping-particle" : "", "family" : "Krishnamurthy", "given" : "L.", "non-dropping-particle" : "", "parse-names" : false, "suffix" : "" }, { "dropping-particle" : "", "family" : "Mena-Mosquera", "given" : "V.", "non-dropping-particle" : "", "parse-names" : false, "suffix" : "" }, { "dropping-particle" : "", "family" : "Mora- Degado", "given" : "J.", "non-dropping-particle" : "", "parse-names" : false, "suffix" : "" }, { "dropping-particle" : "", "family" : "Orozco", "given" : "L.", "non-dropping-particle" : "", "parse-names" : false, "suffix" : "" }, { "dropping-particle" : "", "family" : "Scheelje", "given" : "M.", "non-dropping-particle" : "", "parse-names" : false, "suffix" : "" }, { "dropping-particle" : "", "family" : "Campos", "given" : "J.", "non-dropping-particle" : "", "parse-names" : false, "suffix" : "" } ], "container-title" : "Agroforestry the Future of Global Land Use, Advances in Agroforestry", "editor" : [ { "dropping-particle" : "", "family" : "Nair", "given" : "P.K.R.", "non-dropping-particle" : "", "parse-names" : false, "suffix" : "" }, { "dropping-particle" : "", "family" : "Garrity", "given" : "D.", "non-dropping-particle" : "", "parse-names" : false, "suffix" : "" } ], "id" : "ITEM-1", "issued" : { "date-parts" : [ [ "2012" ] ] }, "page" : "429\u2013453", "publisher" : "Springer", "publisher-place" : "Dordrecht, Netherlands", "title" : "Mainstreaming agroforestry in Latin America", "type" : "chapter" }, "uris" : [ "http://www.mendeley.com/documents/?uuid=439cd00c-e954-490f-8e4b-fb5e6cd97a18" ] } ], "mendeley" : { "formattedCitation" : "(Somarriba et al., 2012)", "plainTextFormattedCitation" : "(Somarriba et al., 2012)", "previouslyFormattedCitation" : "(Somarriba et al., 2012)" }, "properties" : { "noteIndex" : 0 }, "schema" : "https://github.com/citation-style-language/schema/raw/master/csl-citation.json" }</w:instrText>
      </w:r>
      <w:r w:rsidRPr="008608AA">
        <w:fldChar w:fldCharType="separate"/>
      </w:r>
      <w:r w:rsidRPr="008608AA">
        <w:rPr>
          <w:noProof/>
        </w:rPr>
        <w:t>(Somarriba et al., 2012)</w:t>
      </w:r>
      <w:r w:rsidRPr="008608AA">
        <w:fldChar w:fldCharType="end"/>
      </w:r>
      <w:r w:rsidRPr="008608AA">
        <w:rPr>
          <w:bCs/>
          <w:shd w:val="clear" w:color="auto" w:fill="FFFFFF"/>
        </w:rPr>
        <w:t xml:space="preserve">. </w:t>
      </w:r>
      <w:r w:rsidRPr="008608AA">
        <w:rPr>
          <w:shd w:val="clear" w:color="auto" w:fill="FFFFFF"/>
        </w:rPr>
        <w:t xml:space="preserve">About 12 recognizable types are found, seven in the tropics and five in temperate zones </w:t>
      </w:r>
      <w:r w:rsidRPr="008608AA">
        <w:rPr>
          <w:shd w:val="clear" w:color="auto" w:fill="FFFFFF"/>
        </w:rPr>
        <w:fldChar w:fldCharType="begin" w:fldLock="1"/>
      </w:r>
      <w:r w:rsidRPr="008608AA">
        <w:rPr>
          <w:shd w:val="clear" w:color="auto" w:fill="FFFFFF"/>
        </w:rPr>
        <w:instrText xml:space="preserve">ADDIN CSL_CITATION { "citationItems" : [ { "id" : "ITEM-1", "itemData" : { "DOI" : "10.1007/978-94-007-4676-3_1", "author" : [ { "dropping-particle" : "", "family" : "Somarriba", "given" : "E.", "non-dropping-particle" : "", "parse-names" : false, "suffix" : "" }, { "dropping-particle" : "", "family" : "Beer", "given" : "J.", "non-dropping-particle" : "", "parse-names" : false, "suffix" : "" }, { "dropping-particle" : "", "family" : "Alegre-Orihuela", "given" : "J.", "non-dropping-particle" : "", "parse-names" : false, "suffix" : "" }, { "dropping-particle" : "", "family" : "Andrade", "given" : "H.", "non-dropping-particle" : "", "parse-names" : false, "suffix" : "" }, { "dropping-particle" : "", "family" : "Cerda", "given" : "R.", "non-dropping-particle" : "", "parse-names" : false, "suffix" : "" }, { "dropping-particle" : "", "family" : "DeClerck", "given" : "F.", "non-dropping-particle" : "", "parse-names" : false, "suffix" : "" }, { "dropping-particle" : "", "family" : "Detlefsen", "given" : "G.", "non-dropping-particle" : "", "parse-names" : false, "suffix" : "" }, { "dropping-particle" : "", "family" : "Escalante", "given" : "M.", "non-dropping-particle" : "", "parse-names" : false, "suffix" : "" }, { "dropping-particle" : "", "family" : "Giraldo", "given" : "L.", "non-dropping-particle" : "", "parse-names" : false, "suffix" : "" }, { "dropping-particle" : "", "family" : "Ibrahim", "given" : "M.", "non-dropping-particle" : "", "parse-names" : false, "suffix" : "" }, { "dropping-particle" : "", "family" : "Krishnamurthy", "given" : "L.", "non-dropping-particle" : "", "parse-names" : false, "suffix" : "" }, { "dropping-particle" : "", "family" : "Mena-Mosquera", "given" : "V.", "non-dropping-particle" : "", "parse-names" : false, "suffix" : "" }, { "dropping-particle" : "", "family" : "Mora- Degado", "given" : "J.", "non-dropping-particle" : "", "parse-names" : false, "suffix" : "" }, { "dropping-particle" : "", "family" : "Orozco", "given" : "L.", "non-dropping-particle" : "", "parse-names" : false, "suffix" : "" }, { "dropping-particle" : "", "family" : "Scheelje", "given" : "M.", "non-dropping-particle" : "", "parse-names" : false, "suffix" : "" }, { "dropping-particle" : "", "family" : "Campos", "given" : "J.", "non-dropping-particle" : "", "parse-names" : false, "suffix" : "" } ], "container-title" : "Agroforestry the Future of Global Land Use, Advances in Agroforestry", "editor" : [ { "dropping-particle" : "", "family" : "Nair", "given" : "P.K.R.", "non-dropping-particle" : "", "parse-names" : false, "suffix" : "" }, { "dropping-particle" : "", "family" : "Garrity", "given" : "D.", "non-dropping-particle" : "", "parse-names" : false, "suffix" : "" } ], "id" : "ITEM-1", "issued" : { "date-parts" : [ [ "2012" ] ] }, "page" : "429\u2013453", "publisher" : "Springer", "publisher-place" : "Dordrecht, Netherlands", "title" : "Mainstreaming agroforestry in Latin America", "type" : "chapter" }, "uris" : [ "http://www.mendeley.com/documents/?uuid=439cd00c-e954-490f-8e4b-fb5e6cd97a18" ] }, { "id" : "ITEM-2", "itemData" : { "author" : [ { "dropping-particle" : "", "family" : "Association for Temperate Agroforestry (AFTA)", "given" : "", "non-dropping-particle" : "", "parse-names" : false, "suffix" : "" } ], "id" : "ITEM-2", "issued" : { "date-parts" : [ [ "2017" ] ] }, "title" : "What is Agroforestry?", "type" : "article-magazine" }, "uris" : [ "http://www.mendeley.com/documents/?uuid=512b992f-b3c7-4284-a15f-786f455d1ef0" ] }, { "id" : "ITEM-3", "itemData" : { "author" : [ { "dropping-particle" : "", "family" : "Jose", "given" : "Shibu", "non-dropping-particle" : "", "parse-names" : false, "suffix" : "" }, { "dropping-particle" : "", "family" : "Gold", "given" : "Michael A.", "non-dropping-particle" : "", "parse-names" : false, "suffix" : "" }, { "dropping-particle" : "", "family" : "Garrett", "given" : "Harold E.", "non-dropping-particle" : "", "parse-names" : false, "suffix" : "" } ], "container-title" : "Agroforestry - The Future of Global Land Use", "editor" : [ { "dropping-particle" : "", "family" : "Nair", "given" : "P.K.R.", "non-dropping-particle" : "", "parse-names" : false, "suffix" : "" }, { "dropping-particle" : "", "family" : "Garrity", "given" : "D.", "non-dropping-particle" : "", "parse-names" : false, "suffix" : "" } ], "id" : "ITEM-3", "issued" : { "date-parts" : [ [ "2012" ] ] }, "page" : "217-245", "publisher" : "Springer", "publisher-place" : "New York, USA", "title" : "The future of temperate agroforestry in the United States", "type" : "chapter" }, "uris" : [ "http://www.mendeley.com/documents/?uuid=fa5d4d95-42d5-477d-ac1c-0f70369e89af" ] }, { "id" : "ITEM-4", "itemData" : { "author" : [ { "dropping-particle" : "", "family" : "Kort", "given" : "J.", "non-dropping-particle" : "", "parse-names" : false, "suffix" : "" }, { "dropping-particle" : "", "family" : "Richardson", "given" : "Jim", "non-dropping-particle" : "", "parse-names" : false, "suffix" : "" }, { "dropping-particle" : "", "family" : "Soolanayakanahally", "given" : "Raju", "non-dropping-particle" : "", "parse-names" : false, "suffix" : "" }, { "dropping-particle" : "", "family" : "Schroede", "given" : "William", "non-dropping-particle" : "", "parse-names" : false, "suffix" : "" } ], "container-title" : "Agroforestry Systems", "id" : "ITEM-4", "issue" : "4", "issued" : { "date-parts" : [ [ "2014" ] ] }, "page" : "563-567", "title" : "Innovations in temperate agroforestry: the 13th North American Agroforestry Conference", "type" : "article-journal", "volume" : "88" }, "uris" : [ "http://www.mendeley.com/documents/?uuid=5c9fdcdd-e2ab-4289-9b48-1b3d3655baac" ] }, { "id" : "ITEM-5", "itemData" : { "author" : [ { "dropping-particle" : "", "family" : "Nair", "given" : "P. K. R.", "non-dropping-particle" : "", "parse-names" : false, "suffix" : "" } ], "container-title" : "Agroforestry Systems", "id" : "ITEM-5", "issue" : "2", "issued" : { "date-parts" : [ [ "1985" ] ] }, "page" : "97-128", "title" : "Classification of agroforestry systems", "type" : "article-journal", "volume" : "3" }, "uris" : [ "http://www.mendeley.com/documents/?uuid=40f7a3fc-6afe-47ad-847d-942cb09dc744" ] }, { "id" : "ITEM-6", "itemData" : { "ISBN" : "9780444520333", "author" : [ { "dropping-particle" : "", "family" : "Nair", "given" : "P. K. R.", "non-dropping-particle" : "", "parse-names" : false, "suffix" : "" }, { "dropping-particle" : "", "family" : "Gordon", "given" : "A. M.", "non-dropping-particle" : "", "parse-names" : false, "suffix" : "" }, { "dropping-particle" : "", "family" : "Mosqueda-Losada", "given" : "M. R.", "non-dropping-particle" : "", "parse-names" : false, "suffix" : "" } ], "container-title" : "Encyclopedia of Ecology. Vol. 1", "editor" : [ { "dropping-particle" : "", "family" : "Jorgensen", "given" : "S. E.", "non-dropping-particle" : "", "parse-names" : false, "suffix" : "" }, { "dropping-particle" : "", "family" : "Fath", "given" : "B.", "non-dropping-particle" : "", "parse-names" : false, "suffix" : "" } ], "id" : "ITEM-6", "issued" : { "date-parts" : [ [ "2008" ] ] }, "publisher" : "Elsevier", "publisher-place" : "Amsterdam, The Netherlands", "title" : "Agroforestry", "type" : "chapter" }, "uris" : [ "http://www.mendeley.com/documents/?uuid=5190e706-2884-48a8-85d6-f82d60afad46" ] }, { "id" : "ITEM-7", "itemData" : { "editor" : [ { "dropping-particle" : "", "family" : "Moreno-Calles", "given" : "A. I.", "non-dropping-particle" : "", "parse-names" : false, "suffix" : "" }, { "dropping-particle" : "", "family" : "Casas", "given" : "Alejandro", "non-dropping-particle" : "", "parse-names" : false, "suffix" : "" }, { "dropping-particle" : "", "family" : "Toledo", "given" : "Victor M.", "non-dropping-particle" : "", "parse-names" : false, "suffix" : "" }, { "dropping-particle" : "", "family" : "Vallejo-Ramos", "given" : "Mariana", "non-dropping-particle" : "", "parse-names" : false, "suffix" : "" } ], "id" : "ITEM-7", "issued" : { "date-parts" : [ [ "2016" ] ] }, "publisher" : "Universidad Nacional Aut\u00f3noma de M\u00e9xico", "publisher-place" : "M\u00e9xico D.F., M\u00e9xico", "title" : "Etnoagroforester\u00eda en M\u00e9xico", "type" : "book" }, "uris" : [ "http://www.mendeley.com/documents/?uuid=e3fc2c34-12c7-458c-a1a8-cd8ffbfd5045" ] }, { "id" : "ITEM-8", "itemData" : { "DOI" : "10.1007/978-3-319-24109-8_1", "author" : [ { "dropping-particle" : "", "family" : "Peri", "given" : "P.L.", "non-dropping-particle" : "", "parse-names" : false, "suffix" : "" }, { "dropping-particle" : "", "family" : "Dube", "given" : "Francis", "non-dropping-particle" : "", "parse-names" : false, "suffix" : "" }, { "dropping-particle" : "", "family" : "Varella", "given" : "A. C.", "non-dropping-particle" : "", "parse-names" : false, "suffix" : "" } ], "container-title" : "Silvopastoral Systems in Southern South America", "editor" : [ { "dropping-particle" : "", "family" : "Peri", "given" : "P.L.", "non-dropping-particle" : "", "parse-names" : false, "suffix" : "" }, { "dropping-particle" : "", "family" : "Dube", "given" : "Francis", "non-dropping-particle" : "", "parse-names" : false, "suffix" : "" }, { "dropping-particle" : "", "family" : "Varella", "given" : "Alexandre", "non-dropping-particle" : "", "parse-names" : false, "suffix" : "" } ], "id" : "ITEM-8", "issued" : { "date-parts" : [ [ "2016" ] ] }, "page" : "1-8", "publisher" : "Springer", "publisher-place" : "Cham, Switzerland", </w:instrText>
      </w:r>
      <w:r w:rsidRPr="002365C4">
        <w:rPr>
          <w:shd w:val="clear" w:color="auto" w:fill="FFFFFF"/>
          <w:lang w:val="fr-FR"/>
        </w:rPr>
        <w:instrText>"title" : "Silvopastoral systems in the subtropical and temperate zones of South America: an overview", "type" : "chapter" }, "uris" : [ "http://www.mendeley.com/documents/?uuid=ea5ce588-b999-4985-ab1c-b99e4dc298f2" ] } ], "mendeley" : { "formattedCitation" : "(Association for Temperate Agroforestry (AFTA), 2017; Jose, Gold, &amp; Garrett, 2012; Kort, Richardson, Soolanayakanahally, &amp; Schroede, 2014; Moreno-Calles, Casas, Toledo, et al., 2016; Nair, 1985; Nair, Gordon, &amp; Mosqueda-Losada, 2008; P.L. Peri et al., 2016; Somarriba et al., 2012)", "manualFormatting" : "(Association for Temperate Agroforestry (AFTA), 2017; Jose et al., 2012; Kort et al., 2014; Nair, 1985; Nair et al., 2008; Peri et al., 2016; Somarriba et al., 2012", "plainTextFormattedCitation" : "(Association for Temperate Agroforestry (AFTA), 2017; Jose, Gold, &amp; Garrett, 2012; Kort, Richardson, Soolanayakanahally, &amp; Schroede, 2014; Moreno-Calles, Casas, Toledo, et al., 2016; Nair, 1985; Nair, Gordon, &amp; Mosqueda-Losada, 2008; P.L. Peri et al., 2016; Somarriba et al., 2012)", "previouslyFormattedCitation" : "(Association for Temperate Agroforestry (AFTA), 2017; Jose, Gold, &amp; Garrett, 2012; Kort, Richardson, Soolanayakanahally, &amp; Schroede, 2014; Moreno-Calles, Casas, Toledo, et al., 2016; Nair, 1985; Nair, Gordon, &amp; Mosqueda-Losada, 2008; P.L. Peri et al., 2016; Somarriba et al., 2012)" }, "properties" : { "noteIndex" : 0 }, "schema" : "https://github.com/citation-style-language/schema/raw/master/csl-citation.json" }</w:instrText>
      </w:r>
      <w:r w:rsidRPr="008608AA">
        <w:rPr>
          <w:shd w:val="clear" w:color="auto" w:fill="FFFFFF"/>
        </w:rPr>
        <w:fldChar w:fldCharType="separate"/>
      </w:r>
      <w:r w:rsidR="004F76EF" w:rsidRPr="002365C4">
        <w:rPr>
          <w:noProof/>
          <w:shd w:val="clear" w:color="auto" w:fill="FFFFFF"/>
          <w:lang w:val="fr-FR"/>
        </w:rPr>
        <w:t xml:space="preserve"> </w:t>
      </w:r>
      <w:r w:rsidR="004F76EF" w:rsidRPr="00A3137A">
        <w:rPr>
          <w:noProof/>
          <w:shd w:val="clear" w:color="auto" w:fill="FFFFFF"/>
          <w:lang w:val="fr-FR"/>
        </w:rPr>
        <w:t>(AFTA</w:t>
      </w:r>
      <w:r w:rsidRPr="00A3137A">
        <w:rPr>
          <w:noProof/>
          <w:shd w:val="clear" w:color="auto" w:fill="FFFFFF"/>
          <w:lang w:val="fr-FR"/>
        </w:rPr>
        <w:t xml:space="preserve">, 2017; Jose et al., 2012; </w:t>
      </w:r>
      <w:r w:rsidRPr="008608AA">
        <w:rPr>
          <w:noProof/>
          <w:shd w:val="clear" w:color="auto" w:fill="FFFFFF"/>
        </w:rPr>
        <w:fldChar w:fldCharType="begin" w:fldLock="1"/>
      </w:r>
      <w:r w:rsidRPr="00A3137A">
        <w:rPr>
          <w:noProof/>
          <w:shd w:val="clear" w:color="auto" w:fill="FFFFFF"/>
          <w:lang w:val="fr-FR"/>
        </w:rPr>
        <w:instrText>ADDIN CSL_CITATION { "citationItems" : [ { "id" : "ITEM-1", "itemData" : { "author" : [ { "dropping-particle" : "", "family" : "Kort", "given" : "J.", "non-dropping-particle" : "", "parse-names" : false, "suffix" : "" }, { "dropping-particle" : "", "family" : "Richardson", "given" : "Jim", "non-dropping-particle" : "", "parse-names" : false, "suffix" : "" }, { "dropping-particle" : "", "family" : "Soolanayakanahally", "given" : "Raju", "non-dropping-particle" : "", "parse-names" : false, "suffix" : "" }, { "dropping-particle" : "", "family" : "Schroede", "given" : "William", "non-dropping-particle" : "", "parse-names" : false, "suffix" : "" } ], "container-title" : "Agroforestry Systems", "id" : "ITEM-1", "issue" : "4", "issued" : { "date-parts" : [ [ "2014" ] ] }, "page" : "563-567", "title" : "Innovations in temperate agroforestry: the 13th North American Agroforestry Conference", "type" : "article-journal", "volume" : "88" }, "uris" : [ "http://www.mendeley.com/documents/?uuid=5c9fdcdd-e2ab-4289-9b48-1b3d3655baac" ] } ], "mendeley" : { "formattedCitation" : "(Kort et al., 2014)", "manualFormatting" : "Kort et al., 2014;", "plainTextFormattedCitation" : "(Kort et al., 2014)", "previouslyFormattedCitation" : "(Kort et al., 2014)" }, "properties" : { "noteIndex" : 0 }, "schema" : "https://github.com/citation-style-language/schema/raw/master/csl-citation.json" }</w:instrText>
      </w:r>
      <w:r w:rsidRPr="008608AA">
        <w:rPr>
          <w:noProof/>
          <w:shd w:val="clear" w:color="auto" w:fill="FFFFFF"/>
        </w:rPr>
        <w:fldChar w:fldCharType="separate"/>
      </w:r>
      <w:r w:rsidRPr="00A3137A">
        <w:rPr>
          <w:noProof/>
          <w:shd w:val="clear" w:color="auto" w:fill="FFFFFF"/>
          <w:lang w:val="fr-FR"/>
        </w:rPr>
        <w:t>Kort et al., 2014;</w:t>
      </w:r>
      <w:r w:rsidRPr="008608AA">
        <w:rPr>
          <w:noProof/>
          <w:shd w:val="clear" w:color="auto" w:fill="FFFFFF"/>
        </w:rPr>
        <w:fldChar w:fldCharType="end"/>
      </w:r>
      <w:r w:rsidRPr="00A3137A">
        <w:rPr>
          <w:noProof/>
          <w:shd w:val="clear" w:color="auto" w:fill="FFFFFF"/>
          <w:lang w:val="fr-FR"/>
        </w:rPr>
        <w:t xml:space="preserve"> Nair, 1985; Nair et al., 2008; Peri et al., 2016; Somarriba et al., 2012</w:t>
      </w:r>
      <w:r w:rsidRPr="008608AA">
        <w:rPr>
          <w:shd w:val="clear" w:color="auto" w:fill="FFFFFF"/>
        </w:rPr>
        <w:fldChar w:fldCharType="end"/>
      </w:r>
      <w:r w:rsidRPr="00A3137A">
        <w:rPr>
          <w:shd w:val="clear" w:color="auto" w:fill="FFFFFF"/>
          <w:lang w:val="fr-FR"/>
        </w:rPr>
        <w:t xml:space="preserve">). </w:t>
      </w:r>
      <w:r w:rsidRPr="008608AA">
        <w:t xml:space="preserve">Agroforestry systems in North America and part of southern South America are of recent origin, while central and northern South American agroforestry systems are bound to highly diverse cultural zones, where societies have preserved their traditional knowledge over thousands years </w:t>
      </w:r>
      <w:r w:rsidRPr="008608AA">
        <w:fldChar w:fldCharType="begin" w:fldLock="1"/>
      </w:r>
      <w:r w:rsidRPr="008608AA">
        <w:instrText>ADDIN CSL_CITATION { "citationItems" : [ { "id" : "ITEM-1", "itemData" : { "author" : [ { "dropping-particle" : "", "family" : "Casas", "given" : "Alejandro", "non-dropping-particle" : "", "parse-names" : false, "suffix" : "" }, { "dropping-particle" : "", "family" : "Parra", "given" : "Fabiola", "non-dropping-particle" : "", "parse-names" : false, "suffix" : "" }, { "dropping-particle" : "", "family" : "Blancas", "given" : "Jos\u00e9", "non-dropping-particle" : "", "parse-names" : false, "suffix" : "" }, { "dropping-particle" : "", "family" : "Rangel-Landa", "given" : "Selene", "non-dropping-particle" : "", "parse-names" : false, "suffix" : "" }, { "dropping-particle" : "", "family" : "Vallejo", "given" : "Mariana", "non-dropping-particle" : "", "parse-names" : false, "suffix" : "" }, { "dropping-particle" : "", "family" : "Figueredo", "given" : "Carmen Julia", "non-dropping-particle" : "", "parse-names" : false, "suffix" : "" }, { "dropping-particle" : "", "family" : "Moreno-Calles", "given" : "Ana Isabel", "non-dropping-particle" : "", "parse-names" : false, "suffix" : "" } ], "container-title" : "Domesticaci\u00f3n en el Continente Americano Vol. 1. Investigaci\u00f3n Manejo de Biodiversidad y Evoluci\u00f3n Dirigida por las Culturas del Nuevo Mundo", "editor" : [ { "dropping-particle" : "", "family" : "Casas", "given" : "Alejandro", "non-dropping-particle" : "", "parse-names" : false, "suffix" : "" }, { "dropping-particle" : "", "family" : "Torres-Guevara", "given" : "Juan", "non-dropping-particle" : "", "parse-names" : false, "suffix" : "" }, { "dropping-particle" : "", "family" : "Parra", "given" : "Fabiola", "non-dropping-particle" : "", "parse-names" : false, "suffix" : "" } ], "id" : "ITEM-1", "issued" : { "date-parts" : [ [ "2016" ] ] }, "page" : "189-224", "publisher" : "Universidad Nacional Aut\u00f3noma de M\u00e9xico/Universidad Nacional Agraria La Molina", "publisher-place" : "M\u00e9xico D.F., M\u00e9xico and Lima, Per\u00fa", "title" : "Origen de la domesticaci\u00f3n y la agricultura: c\u00f3mo y por qu\u00e9", "type" : "chapter" }, "uris" : [ "http://www.mendeley.com/documents/?uuid=301f20cb-dae5-490d-ba6e-2f563f50cbab" ] }, { "id" : "ITEM-2", "itemData" : { "author" : [ { "dropping-particle" : "", "family" : "Casas", "given" : "A.", "non-dropping-particle" : "", "parse-names" : false, "suffix" : "" }, { "dropping-particle" : "", "family" : "Parra-Rondinel", "given" : "F.", "non-dropping-particle" : "", "parse-names" : false, "suffix" : "" }, { "dropping-particle" : "", "family" : "Torres-Garc\u00eda", "given" : "I.", "non-dropping-particle" : "", "parse-names" : false, "suffix" : "" }, { "dropping-particle" : "", "family" : "Rangel-Landa", "given" : "S.", "non-dropping-particle" : "", "parse-names" : false, "suffix" : "" }, { "dropping-particle" : "", "family" : "Zaraz\u00faa", "given" : "M.", "non-dropping-particle" : "", "parse-names" : false, "suffix" : "" }, { "dropping-particle" : "", "family" : "Torres-Guevara", "given" : "J.", "non-dropping-particle" : "", "parse-names" : false, "suffix" : "" } ], "chapter-number" : "23", "container-title" : "Domesticaci\u00f3n en el Continente Americano Vol. 2. Investigaci\u00f3n para el Manejo Sustentable de Recursos Gen\u00e9ticos en el Nuevo Mundo", "editor" : [ { "dropping-particle" : "", "family" : "Casas", "given" : "A.", "non-dropping-particle" : "", "parse-names" : false, "suffix" : "" }, { "dropping-particle" : "", "family" : "Torres-Guevara", "given" : "J.", "non-dropping-particle" : "", "parse-names" : false, "suffix" : "" }, { "dropping-particle" : "", "family" : "Parra-Rondinel", "given" : "F.", "non-dropping-particle" : "", "parse-names" : false, "suffix" : "" } ], "id" : "ITEM-2", "issued" : { "date-parts" : [ [ "2017" ] ] }, "page" : "537-569", "publisher" : "Universidad Nacional Aut\u00f3noma de M\u00e9xico/Universidad Nacional Agraria La Molina/CONACYT", "publisher-place" : "M\u00e9xico D.F., M\u00e9xico and Lima, Per\u00fa", "title" : "Estudios y patrones continentales de domesticaci\u00f3n y manejo de recursos gen\u00e9ticos: perspectivas", "type" : "chapter" }, "uris" : [ "http://www.mendeley.com/documents/?uuid=1497e88f-f737-4d47-8b4c-4f690bb2fcf1" ] }, { "id" : "ITEM-3", "itemData" : { "author" : [ { "dropping-particle" : "", "family" : "Jong", "given" : "V.", "non-dropping-particle" : "De", "parse-names" : false, "suffix" : "" } ], "container-title" : "Agroforestry Systems", "id" : "ITEM-3", "issued" : { "date-parts" : [ [ "1996" ] ] }, "page" : "277-290", "title" : "Swidden-fallow agroforestry in Amazonia: diversity at close distance", "type" : "article-journal", "volume" : "34" }, "uris" : [ "http://www.mendeley.com/documents/?uuid=16a4b41f-f6d2-46d1-9c97-088c64e4931e" ] }, { "id" : "ITEM-4", "itemData" : { "author" : [ { "dropping-particle" : "", "family" : "Fraser", "given" : "James Angus.", "non-dropping-particle" : "", "parse-names" : false, "suffix" : "" }, { "dropping-particle" : "", "family" : "Junqueira", "given" : "Andr\u00e9 B.", "non-dropping-particle" : "", "parse-names" : false, "suffix" : "" }, { "dropping-particle" : "", "family" : "Kawa", "given" : "Nicholas C.", "non-dropping-particle" : "", "parse-names" : false, "suffix" : "" }, { "dropping-particle" : "", "family" : "Moraes", "given" : "Claide P.", "non-dropping-particle" : "", "parse-names" : false, "suffix" : "" }, { "dropping-particle" : "", "family" : "Clement", "given" : "Charles R.", "non-dropping-particle" : "", "parse-names" : false, "suffix" : "" } ], "container-title" : "Human Ecology", "id" : "ITEM-4", "issue" : "4", "issued" : { "date-parts" : [ [ "2011" ] ] }, "page" : "395-406", "title" : "Crop diversity on anthropogenic dark earths in central Amazonia", "type" : "article-journal", "volume" : "39" }, "uris" : [ "http://www.mendeley.com/documents/?uuid=7088cd1e-a131-4425-863f-e43c5b4399c6" ] }, { "id" : "ITEM-5", "itemData" : { "editor" : [ { "dropping-particle" : "", "family" : "Moreno-Calles", "given" : "A. I.", "non-dropping-particle" : "", "parse-names" : false, "suffix" : "" }, { "dropping-particle" : "", "family" : "Casas", "given" : "Alejandro", "non-dropping-particle" : "", "parse-names" : false, "suffix" : "" }, { "dropping-particle" : "", "family" : "Toledo", "given" : "Victor M.", "non-dropping-particle" : "", "parse-names" : false, "suffix" : "" }, { "dropping-particle" : "", "family" : "Vallejo-Ramos", "given" : "Mariana", "non-dropping-particle" : "", "parse-names" : false, "suffix" : "" } ], "id" : "ITEM-5", "issued" : { "date-parts" : [ [ "2016" ] ] }, "publisher" : "Universidad Nacional Aut\u00f3noma de M\u00e9xico", "publisher-place" : "M\u00e9xico D.F., M\u00e9xico", "title" : "Etnoagroforester\u00eda en M\u00e9xico", "type" : "book" }, "uris" : [ "http://www.mendeley.com/documents/?uuid=e3fc2c34-12c7-458c-a1a8-cd8ffbfd5045" ] }, { "id" : "ITEM-6", "itemData" : { "DOI" : "DOI: 10.1186/s13002-016-0127-6", "author" : [ { "dropping-particle" : "", "family" : "Moreno-Calles", "given" : "A. I.", "non-dropping-particle" : "", "parse-names" : false, "suffix" : "" }, { "dropping-particle" : "", "family" : "Casas", "given" : "Alejandro", "non-dropping-particle" : "", "parse-names" : false, "suffix" : "" }, { "dropping-particle" : "", "family" : "Rivero-Romero", "given" : "Alexis Daniela", "non-dropping-particle" : "", "parse-names" : false, "suffix" : "" }, { "dropping-particle" : "", "family" : "Romero-Bautista", "given" : "Y. A.", "non-dropping-particle" : "", "parse-names" : false, "suffix" : "" }, { "dropping-particle" : "", "family" : "Rangel-Landa", "given" : "Selene", "non-dropping-particle" : "", "parse-names" : false, "suffix" : "" }, { "dropping-particle" : "", "family" : "Fisher-Ort\u00edz", "given" : "Roberto A.", "non-dropping-particle" : "", "parse-names" : false, "suffix" : "" }, { "dropping-particle" : "", "family" : "Alvarado-Ramos", "given" : "Fernando", "non-dropping-particle" : "", "parse-names" : false, "suffix" : "" }, { "dropping-particle" : "", "family" : "Vallejo-Ramos", "given" : "Mariana", "non-dropping-particle" : "", "parse-names" : false, "suffix" : "" }, { "dropping-particle" : "", "family" : "Santos-Fita", "given" : "D\u00eddac", "non-dropping-particle" : "", "parse-names" : false, "suffix" : "" } ], "container-title" : "Journal of Ethnobiology and Ethnomedicine", "id" : "ITEM-6", "issued" : { "date-parts" : [ [ "2016" ] ] }, "page" : "54", "title" : "Ethnoagroforestry: integration of biocultural diversity for food sovereignty in Mexico", "type" : "article-journal", "volume" : "12" }, "uris" : [ "http://www.mendeley.com/documents/?uuid=627f4889-0136-4580-8584-feb46e173d8f" ] }, { "id" : "ITEM-7", "itemData" : { "DOI" : "10.1007/978-3-319-24109-8_1", "author" : [ { "dropping-particle" : "", "family" : "Peri", "given" : "P.L.", "non-dropping-particle" : "", "parse-names" : false, "suffix" : "" }, { "dropping-particle" : "", "family" : "Dube", "given" : "Francis", "non-dropping-particle" : "", "parse-names" : false, "suffix" : "" }, { "dropping-particle" : "", "family" : "Varella", "given" : "A. C.", "non-dropping-particle" : "", "parse-names" : false, "suffix" : "" } ], "container-title" : "Silvopastoral Systems in Southern South America", "editor" : [ { "dropping-particle" : "", "family" : "Peri", "given" : "P.L.", "non-dropping-particle" : "", "parse-names" : false, "suffix" : "" }, { "dropping-particle" : "", "family" : "Dube", "given" : "Francis", "non-dropping-particle" : "", "parse-names" : false, "suffix" : "" }, { "dropping-particle" : "", "family" : "Varella", "given" : "Alexandre", "non-dropping-particle" : "", "parse-names" : false, "suffix" : "" } ], "id" : "ITEM-7", "issued" : { "date-parts" : [ [ "2016" ] ] }, "page" : "1-8", "publisher" : "Springer", "publisher-place" : "Cham, Switzerland", "title" : "Silvopastoral systems in the subtropical and temperate zones of South America: an overview", "type" : "chapter" }, "uris" : [ "http://www.mendeley.com/documents/?uuid=ea5ce588-b999-4985-ab1c-b99e4dc298f2" ] }, { "id" : "ITEM-8", "itemData" : { "DOI" : "10.1007/978-94-007-4676-3_1", "author" : [ { "dropping-particle" : "", "family" : "Somarriba", "given" : "E.", "non-dropping-particle" : "", "parse-names" : false, "suffix" : "" }, { "dropping-particle" : "", "family" : "Beer", "given" : "J.", "non-dropping-particle" : "", "parse-names" : false, "suffix" : "" }, { "dropping-particle" : "", "family" : "Alegre-Orihuela", "given" : "J.", "non-dropping-particle" : "", "parse-names" : false, "suffix" : "" }, { "dropping-particle" : "", "family" : "Andrade", "given" : "H.", "non-dropping-particle" : "", "parse-names" : false, "suffix" : "" }, { "dropping-particle" : "", "family" : "Cerda", "given" : "R.", "non-dropping-particle" : "", "parse-names" : false, "suffix" : "" }, { "dropping-particle" : "", "family" : "DeClerck", "given" : "F.", "non-dropping-particle" : "", "parse-names" : false, "suffix" : "" }, { "dropping-particle" : "", "family" : "Detlefsen", "given" : "G.", "non-dropping-particle" : "", "parse-names" : false, "suffix" : "" }, { "dropping-particle" : "", "family" : "Escalante", "given" : "M.", "non-dropping-particle" : "", "parse-names" : false, "suffix" : "" }, { "dropping-particle" : "", "family" : "Giraldo", "given" : "L.", "non-dropping-particle" : "", "parse-names" : false, "suffix" : "" }, { "dropping-particle" : "", "family" : "Ibrahim", "given" : "M.", "non-dropping-particle" : "", "parse-names" : false, "suffix" : "" }, { "dropping-particle" : "", "family" : "Krishnamurthy", "given" : "L.", "non-dropping-particle" : "", "parse-names" : false, "suffix" : "" }, { "dropping-particle" : "", "family" : "Mena-Mosquera", "given" : "V.", "non-dropping-particle" : "", "parse-names" : false, "suffix" : "" }, { "dropping-particle" : "", "family" : "Mora- Degado", "given" : "J.", "non-dropping-particle" : "", "parse-names" : false, "suffix" : "" }, { "dropping-particle" : "", "family" : "Orozco", "given" : "L.", "non-dropping-particle" : "", "parse-names" : false, "suffix" : "" }, { "dropping-particle" : "", "family" : "Scheelje", "given" : "M.", "non-dropping-particle" : "", "parse-names" : false, "suffix" : "" }, { "dropping-particle" : "", "family" : "Campos", "given" : "J.", "non-dropping-particle" : "", "parse-names" : false, "suffix" : "" } ], "container-title" : "Agroforestry the Future of Global Land Use, Advances in Agroforestry", "editor" : [ { "dropping-particle" : "", "family" : "Nair", "given" : "P.K.R.", "non-dropping-particle" : "", "parse-names" : false, "suffix" : "" }, { "dropping-particle" : "", "family" : "Garrity", "given" : "D.", "non-dropping-particle" : "", "parse-names" : false, "suffix" : "" } ], "id" : "ITEM-8", "issued" : { "date-parts" : [ [ "2012" ] ] }, "page" : "429\u2013453", "publisher" : "Springer", "publisher-place" : "Dordrecht, Netherlands", "title" : "Mainstreaming agroforestry in Latin America", "type" : "chapter" }, "uris" : [ "http://www.mendeley.com/documents/?uuid=439cd00c-e954-490f-8e4b-fb5e6cd97a18" ] }, { "id" : "ITEM-9", "itemData" : { "author" : [ { "dropping-particle" : "", "family" : "Torres-Guevara", "given" : "Juan.", "non-dropping-particle" : "", "parse-names" : false, "suffix" : "" }, { "dropping-particle" : "", "family" : "Parra-Rodinel", "given" : "Fabiola", "non-dropping-particle" : "", "parse-names" : false, "suffix" : "" }, { "dropping-particle" : "", "family" : "Casas", "given" : "Alejandro", "non-dropping-particle" : "", "parse-names" : false, "suffix" : "" } ], "container-title" : "Domesticaci\u00f3n en el Continente Americano Vol. 2. Investigaci\u00f3n para el Manejo Sustentable de Recursos Gen\u00e9ticos en el Nuevo Mundo", "editor" : [ { "dropping-particle" : "", "family" : "Casas", "given" : "Alejandro", "non-dropping-particle" : "", "parse-names" : false, "suffix" : "" }, { "dropping-particle" : "", "family" : "Torres-Guevara", "given" : "Juan", "non-dropping-particle" : "", "parse-names" : false, "suffix" : "" }, { "dropping-particle" : "", "family" : "Parra-Rondinel", "given" : "Fabiola", "non-dropping-particle" : "", "parse-names" : false, "suffix" : "" } ], "id" : "ITEM-9", "issued" : { "date-parts" : [ [ "2017" ] ] }, "page" : "103-133", "publisher" : "Universidad Nacional Aut\u00f3noma de M\u00e9xico/Universidad Nacional Agraria La Molina/CONACYT.", "publisher-place" : "M\u00e9xico D.F., M\u00e9xico and Lima, Per\u00fa", "title" : "Panorama de los recursos gen\u00e9ticos en Per\u00fa</w:instrText>
      </w:r>
      <w:r w:rsidRPr="008608AA">
        <w:rPr>
          <w:lang w:val="es-CO"/>
        </w:rPr>
        <w:instrText>", "type" : "chapter" }, "uris" : [ "http://www.mendeley.com/documents/?uuid=e5d870a7-85d6-44c8-b147-62784dd3357f" ] } ], "mendeley" : { "formattedCitation" : "(A. Casas, Parra-Rondinel, et al., 2017; Alejandro Casas et al., 2016; De Jong, 1996; J. A. Fraser et al., 2011; Moreno-Calles, Casas, Rivero-Romero, et al., 2016; Moreno-Calles, Casas, Toledo, et al., 2016; P.L. Peri et al., 2016; Somarriba et al., 2012; Torres-Guevara et al., 2017)", "manualFormatting" : "(Casas, Parra et al., 2016; Casas, Parra-Rodinel, Rangel-Landa et al.,2017; De Jong, 1996; Fraser et al., 2011; Moreno-Calles, Casas, Rivero-Romero et al., 2016; Moreno-Calles, Casas, Toledo et al., 2016; Somarriba et al., 2012; Torres-Guevara et al., 2017)", "plainTextFormattedCitation" : "(A. Casas, Parra-Rondinel, et al., 2017; Alejandro Casas et al., 2016; De Jong, 1996; J. A. Fraser et al., 2011; Moreno-Calles, Casas, Rivero-Romero, et al., 2016; Moreno-Calles, Casas, Toledo, et al., 2016; P.L. Peri et al., 2016; Somarriba et al., 2012; Torres-Guevara et al., 2017)", "previouslyFormattedCitation" : "(A. Casas, Parra-Rondinel, et al., 2017; Alejandro Casas et al., 2016; De Jong, 1996; J. A. Fraser et al., 2011; Moreno-Calles, Casas, Rivero-Romero, et al., 2016; Moreno-Calles, Casas, Toledo, et al., 2016; P.L. Peri et al., 2016; Somarriba et al., 2012; Torres-Guevara et al., 2017)" }, "properties" : { "noteIndex" : 0 }, "schema" : "https://github.com/citation-style-language/schema/raw/master/csl-citation.json" }</w:instrText>
      </w:r>
      <w:r w:rsidRPr="008608AA">
        <w:fldChar w:fldCharType="separate"/>
      </w:r>
      <w:r w:rsidRPr="008608AA">
        <w:rPr>
          <w:noProof/>
          <w:lang w:val="es-CO"/>
        </w:rPr>
        <w:t>(Casas, Parra et al., 2016; Casas, Parra-Rodinel, Rangel-Landa et al.,2017; De Jong, 1996; Fraser et al., 2011; Moreno-Calles, Casas, Rivero-Romero et al., 2016; Moreno-Calles, Casas, Toledo et al., 2016; Somarriba et al., 2012; Torres-Guevara et al., 2017)</w:t>
      </w:r>
      <w:r w:rsidRPr="008608AA">
        <w:fldChar w:fldCharType="end"/>
      </w:r>
      <w:r w:rsidRPr="008608AA">
        <w:rPr>
          <w:lang w:val="es-CO"/>
        </w:rPr>
        <w:t xml:space="preserve">. </w:t>
      </w:r>
      <w:r w:rsidRPr="008608AA">
        <w:t xml:space="preserve">Ethnoagroforestry management conserves native wild plants, wild and domesticated animals, and the interactions among them </w:t>
      </w:r>
      <w:r w:rsidRPr="008608AA">
        <w:rPr>
          <w:shd w:val="clear" w:color="auto" w:fill="FFFFFF"/>
        </w:rPr>
        <w:fldChar w:fldCharType="begin" w:fldLock="1"/>
      </w:r>
      <w:r w:rsidRPr="008608AA">
        <w:rPr>
          <w:shd w:val="clear" w:color="auto" w:fill="FFFFFF"/>
        </w:rPr>
        <w:instrText>ADDIN CSL_CITATION { "citationItems" : [ { "id" : "ITEM-1", "itemData" : { "DOI" : "DOI: 10.1186/s13002-016-0127-6", "author" : [ { "dropping-particle" : "", "family" : "Moreno-Calles", "given" : "A. I.", "non-dropping-particle" : "", "parse-names" : false, "suffix" : "" }, { "dropping-particle" : "", "family" : "Casas", "given" : "Alejandro", "non-dropping-particle" : "", "parse-names" : false, "suffix" : "" }, { "dropping-particle" : "", "family" : "Rivero-Romero", "given" : "Alexis Daniela", "non-dropping-particle" : "", "parse-names" : false, "suffix" : "" }, { "dropping-particle" : "", "family" : "Romero-Bautista", "given" : "Y. A.", "non-dropping-particle" : "", "parse-names" : false, "suffix" : "" }, { "dropping-particle" : "", "family" : "Rangel-Landa", "given" : "Selene", "non-dropping-particle" : "", "parse-names" : false, "suffix" : "" }, { "dropping-particle" : "", "family" : "Fisher-Ort\u00edz", "given" : "Roberto A.", "non-dropping-particle" : "", "parse-names" : false, "suffix" : "" }, { "dropping-particle" : "", "family" : "Alvarado-Ramos", "given" : "Fernando", "non-dropping-particle" : "", "parse-names" : false, "suffix" : "" }, { "dropping-particle" : "", "family" : "Vallejo-Ramos", "given" : "Mariana", "non-dropping-particle" : "", "parse-names" : false, "suffix" : "" }, { "dropping-particle" : "", "family" : "Santos-Fita", "given" : "D\u00eddac", "non-dropping-particle" : "", "parse-names" : false, "suffix" : "" } ], "container-title" : "Journal of Ethnobiology and Ethnomedicine", "id" : "ITEM-1", "issued" : { "date-parts" : [ [ "2016" ] ] }, "page" : "54", "title" : "Ethnoagroforestry: integration of biocultural diversity for food sovereignty in Mexico", "type" : "article-journal", "volume" : "12" }, "uris" : [ "http://www.mendeley.com/documents/?uuid=627f4889-0136-4580-8584-feb46e173d8f" ] }, { "id" : "ITEM-2", "itemData" : { "author" : [ { "dropping-particle" : "", "family" : "Pell", "given" : "Alice N.", "non-dropping-particle" : "", "parse-names" : false, "suffix" : "" } ], "container-title" : "Agroforestry in Sustainable Agricultural Systems", "editor" : [ { "dropping-particle" : "", "family" : "Buck", "given" : "Louise E.", "non-dropping-particle" : "", "parse-names" : false, "suffix" : "" }, { "dropping-particle" : "", "family" : "Lassoie", "given" : "James P.", "non-dropping-particle" : "", "parse-names" : false, "suffix" : "" }, { "dropping-particle" : "", "family" : "Fernandes", "given" : "Erick C.M.", "non-dropping-particle" : "", "parse-names" : false, "suffix" : "" } ], "id" : "ITEM-2", "issued" : { "date-parts" : [ [ "1999" ] ] }, "page" : "33-46", "publisher" : "CRC Press and Lewis Publishers", "publisher-place" : "Boca Raton, USA", "title" : "Animals and agroforestry in the tropics", "type" : "chapter" }, "uris" : [ "http://www.mendeley.com/documents/?uuid=7b5aeeb1-0003-4e7f-a874-340041699663" ] } ], "mendeley" : { "formattedCitation" : "(Moreno-Calles, Casas, Rivero-Romero, et al., 2016; Pell, 1999)", "plainTextFormattedCitation" : "(Moreno-Calles, Casas, Rivero-Romero, et al., 2016; Pell, 1999)", "previouslyFormattedCitation" : "(Moreno-Calles, Casas, Rivero-Romero, et al., 2016; Pell, 1999)" }, "properties" : { "noteIndex" : 0 }, "schema" : "https://github.com/citation-style-language/schema/raw/master/csl-citation.json" }</w:instrText>
      </w:r>
      <w:r w:rsidRPr="008608AA">
        <w:rPr>
          <w:shd w:val="clear" w:color="auto" w:fill="FFFFFF"/>
        </w:rPr>
        <w:fldChar w:fldCharType="separate"/>
      </w:r>
      <w:r w:rsidR="004F76EF" w:rsidRPr="008608AA">
        <w:rPr>
          <w:noProof/>
          <w:shd w:val="clear" w:color="auto" w:fill="FFFFFF"/>
        </w:rPr>
        <w:t>(Moreno-Calles</w:t>
      </w:r>
      <w:r w:rsidRPr="008608AA">
        <w:rPr>
          <w:noProof/>
          <w:shd w:val="clear" w:color="auto" w:fill="FFFFFF"/>
        </w:rPr>
        <w:t xml:space="preserve"> et al., 2016; Pell, 1999)</w:t>
      </w:r>
      <w:r w:rsidRPr="008608AA">
        <w:rPr>
          <w:shd w:val="clear" w:color="auto" w:fill="FFFFFF"/>
        </w:rPr>
        <w:fldChar w:fldCharType="end"/>
      </w:r>
      <w:r w:rsidRPr="008608AA">
        <w:rPr>
          <w:shd w:val="clear" w:color="auto" w:fill="FFFFFF"/>
        </w:rPr>
        <w:t xml:space="preserve">. </w:t>
      </w:r>
      <w:r w:rsidRPr="008608AA">
        <w:t xml:space="preserve">Species richness of non-volant mammals and amphibians is similar for agroforestry systems and forests </w:t>
      </w:r>
      <w:r w:rsidRPr="008608AA">
        <w:fldChar w:fldCharType="begin" w:fldLock="1"/>
      </w:r>
      <w:r w:rsidRPr="008608AA">
        <w:instrText>ADDIN CSL_CITATION { "citationItems" : [ { "id" : "ITEM-1", "itemData" : { "DOI" : "10.1038/srep23954", "ISSN" : "2045-2322", "PMID" : "27040604", "abstract" : "Forests managed for timber have an important role to play in conserving global biodiversity. We evaluated the most common timber production systems worldwide in terms of their impact on local species richness by conducting a categorical meta-analysis. We reviewed 287 published studies containing 1008 comparisons of species richness in managed and unmanaged forests and derived management, taxon, and continent specific effect sizes. We show that in terms of local species richness loss, forest management types can be ranked, from best to worse, as follows: selection and retention systems, reduced impact logging, conventional selective logging, clear-cutting, agroforestry, timber plantations, fuelwood plantations. Next, we calculated the economic profitability in terms of the net present value of timber harvesting from 10 hypothetical wood-producing Forest Management Units (FMU) from around the globe. The ranking of management types is altered when the species loss per unit profit generated from the FMU is considered. This is due to differences in yield, timber species prices, rotation cycle length and production costs. We thus conclude that it would be erroneous to dismiss or prioritize timber production regimes, based solely on their ranking of alpha diversity impacts.", "author" : [ { "dropping-particle" : "", "family" : "Chaudhary", "given" : "Abhishek", "non-dropping-particle" : "", "parse-names" : false, "suffix" : "" }, { "dropping-particle" : "", "family" : "Burivalova", "given" : "Zuzana", "non-dropping-particle" : "", "parse-names" : false, "suffix" : "" }, { "dropping-particle" : "", "family" : "Koh", "given" : "Lian Pin", "non-dropping-particle" : "", "parse-names" : false, "suffix" : "" }, { "dropping-particle" : "", "family" : "Hellweg", "given" : "Stefanie", "non-dropping-particle" : "", "parse-names" : false, "suffix" : "" } ], "container-title" : "Scientific Reports", "id" : "ITEM-1", "issue" : "April", "issued" : { "date-parts" : [ [ "2016" ] ] }, "page" : "23954", "title" : "Impact of forest management on species richness: global meta-analysis and economic trade-offs", "type" : "article-journal", "volume" : "6" }, "uris" : [ "http://www.mendeley.com/documents/?uuid=5aeb1c80-8c67-4cc9-a090-5e9e0ea097e4" ] }, { "id" : "ITEM-2", "itemData" : { "DOI" : "10.1111/cobi.12099", "ISBN" : "1523-1739", "ISSN" : "08888892", "PMID" : "23869786", "abstract" : "Neotropical bats are sensitive to human-induced habitat changes, and some authors believe bats can be used as bioindicators. In the literature, however, the results are disparate. Some results show bat diversity deceases as disturbance increases, whereas others indicate no effect. Determining the general response patterns of bats when they encounter different degrees of human-induced disturbance across the Neotropics would help to determine their usefulness as bioindicators. In a series of meta-analyses, we compared the occurrence frequency of bat species between well-preserved forests and human-use areas. We obtained data through an extensive review of published peer-reviewed articles, theses, and reports. The overall effect size indicated that human-use areas harbored more bat species than well-preserved forests. Different response patterns emerged when meta-analyses were conducted separately by family, feeding habit, vegetation stratum, and conservation status. Our results suggest that bat assemblages display strong responses to forest loss and land-use change and that the direction and magnitude of these responses depends on the bat group under study and the type of disturbance. Our results are consistent with the idea that bats are useful for assessing the effects of habitat changes in the Neotropics. However, with our meta-analyses we could not detect fine differences in bat feeding habits, especially within Phyllostomidae, or elucidate the effect of landscape configuration. Respuesta de Ensambles de Murci\u00e9lagos Neotropicales al Uso de Suelo por Humanos Los murci\u00e9lagos neotropicales son sensibles a los cambios de h\u00e1bitat inducidos por humanos, y algunos autores consideran que los murci\u00e9lagos pueden ser utilizados como bioindicadores. Sin embargo, en la literatura los resultados son dispares. Algunos resultados muestran que la diversidad de murci\u00e9lagos disminuye a medida que incrementa la perturbaci\u00f3n, mientras que otros indican que no hay efecto. La determinaci\u00f3n de los patrones de respuesta general de los murci\u00e9lagos cuando encuentran diferentes grados de perturbaci\u00f3n inducida por humanos en los neotr\u00f3picos ayudar\u00eda a determinar su utilidad como bioindicadores. En una serie de meta-an\u00e1lisis, comparamos la frecuencia de ocurrencia de especies de murci\u00e9lagos entre bosques bien preservados y \u00e1reas de uso humano. Obtuvimos los datos por medio de una revisi\u00f3n extensiva de art\u00edculos publicados revisados por pares, tesis y reportes. El tama\u00f1o del efecto\u2026", "author" : [ { "dropping-particle" : "", "family" : "Garc\u00eda-Morales", "given" : "Rodrigo", "non-dropping-particle" : "", "parse-names" : false, "suffix" : "" }, { "dropping-particle" : "", "family" : "Badano", "given" : "Ernesto I.", "non-dropping-particle" : "", "parse-names" : false, "suffix" : "" }, { "dropping-particle" : "", "family" : "Moreno", "given" : "Claudia E.", "non-dropping-particle" : "", "parse-names" : false, "suffix" : "" } ], "container-title" : "Conservation Biology", "id" : "ITEM-2", "issue" : "5", "issued" : { "date-parts" : [ [ "2013" ] ] }, "page" : "1096-1106", "title" : "Response of neotropical bat assemblages to human land use", "type" : "article-journal", "volume" : "27" }, "uris" : [ "http://www.mendeley.com/documents/?uuid=25524234-d4a2-414f-93f1-3359b11900ea" ] }, { "id" : "ITEM-3", "itemData" : { "DOI" : "10.1038/nature13139", "ISBN" : "0028-0836", "ISSN" : "0028-0836", "PMID" : "24739971", "abstract" : "The equilibrium theory of island biogeography is the basis for estimating extinction rates and a pillar of conservation science. The default strategy for conserving biodiversity is the designation of nature reserves, treated as islands in an inhospitable sea of human activity. Despite the profound influence of islands on conservation theory and practice, their mainland analogues, forest fragments in human-dominated landscapes, consistently defy expected biodiversity patterns based on island biogeography theory. Countryside biogeography is an alternative framework, which recognizes that the fate of the world's wildlife will be decided largely by the hospitality of agricultural or countryside ecosystems. Here we directly test these biogeographic theories by comparing a Neotropical countryside ecosystem with a nearby island ecosystem, and show that each supports similar bat biodiversity in fundamentally different ways. The island ecosystem conforms to island biogeographic predictions of bat species loss, in which the water matrix is not habitat. In contrast, the countryside ecosystem has high species richness and evenness across forest reserves and smaller forest fragments. Relative to forest reserves and fragments, deforested countryside habitat supports a less species-rich, yet equally even, bat assemblage. Moreover, the bat assemblage associated with deforested habitat is compositionally novel because of predictable changes in abundances by many species using human-made habitat. Finally, we perform a global meta-analysis of bat biogeographic studies, spanning more than 700 species. It generalizes our findings, showing that separate biogeographic theories for countryside and island ecosystems are necessary. A theory of countryside biogeography is essential to conservation strategy in the agricultural ecosystems that comprise roughly half of the global land surface and are likely to increase even further.", "author" : [ { "dropping-particle" : "", "family" : "Mendenhall", "given" : "Chase D.", "non-dropping-particle" : "", "parse-names" : false, "suffix" : "" }, { "dropping-particle" : "", "family" : "Karp", "given" : "Daniel S.", "non-dropping-particle" : "", "parse-names" : false, "suffix" : "" }, { "dropping-particle" : "", "family" : "Meyer", "given" : "Christoph F. J.", "non-dropping-particle" : "", "parse-names" : false, "suffix" : "" }, { "dropping-particle" : "", "family" : "Hadly", "given" : "Elizabeth A.", "non-dropping-particle" : "", "parse-names" : false, "suffix" : "" }, { "dropping-particle" : "", "family" : "Daily", "given" : "Gretchen C.", "non-dropping-particle" : "", "parse-names" : false, "suffix" : "" } ], "container-title" : "Nature", "id" : "ITEM-3", "issue" : "7499", "issued" : { "date-parts" : [ [ "2014" ] ] }, "page" : "213-217", "title" : "Predicting biodiversity change and averting collapse in agricultural landscapes", "type" : "article-journal", "volume" : "509" }, "uris" : [ "http://www.mendeley.com/documents/?uuid=031910ce-bf15-45fd-81e4-0f1523cc8d43" ] }, { "id" : "ITEM-4", "itemData" : { "DOI" : "10.1016/j.biocon.2017.04.021", "ISSN" : "00063207", "abstract" : "Understanding the effects of land conversion for livestock grazing on species diversity and functional groups continues to be urgently needed to assess how ranching affects animal assemblages and provide guidelines for managing landscapes under this omnipresent type of land use. Given Neotropical bats' high diversity of feeding habits and flying abilities, and that they play multiple, important ecological roles in ecosystems, they are an ideal study system to address such a need. We investigated the effects of livestock ranching on Neotropical bat species and functional groups composition via meta-analyses of published information. We used the odds-ratio metric to compare the frequency of occurrence of bat species in old-growth forest vs. areas influenced by livestock. Our results show no effects when considering bats as a group. However, significant effects emerge when they are assessed separately, on the basis of taxonomic family, feeding habit, conservation status and flying ability, showing that considering bats as a black box mutes relevant patterns. Molossid and phyllostomid species with high movement ability or omnivorous habit showed an increased frequency in livestock areas. In contrast, frugivores and aerial insectivores with low movement ability, carnivores, gleaning insectivores, nectarivores, sanguivores and species considered under some degree of extinction risk were significantly more frequent in old-growth forest. Overall, our results support that areas converted for livestock production retain only a subset of the Neotropical bat functional diversity while most of the functional groups are negatively impacted. Such heterogeneity of responses seems critical for our understanding of the effects of land use change on animal communities.", "author" : [ { "dropping-particle" : "", "family" : "Gon\u00e7alves", "given" : "Fernando", "non-dropping-particle" : "", "parse-names" : false, "suffix" : "" }, { "dropping-particle" : "", "family" : "Fischer", "given" : "Erich", "non-dropping-particle" : "", "parse-names" : false, "suffix" : "" }, { "dropping-particle" : "", "family" : "Dirzo", "given" : "Rodolfo", "non-dropping-particle" : "", "parse-names" : false, "suffix" : "" } ], "container-title" : "Biological Conservation", "id" : "ITEM-4", "issued" : { "date-parts" : [ [ "2017" ] ] }, "page" : "343-348", "title" : "Forest conversion to cattle ranching differentially affects taxonomic and functional groups of Neotropical bats", "type" : "article-journal", "volume" : "210" }, "uris" : [ "http://www.mendeley.com/documents/?uuid=065e7927-5c4a-4850-9ab8-8153031dc82b" ] }, { "id" : "ITEM-5", "itemData" : { "DOI" : "10.1111/j.1523-1739.2008.01029.x", "ISBN" : "0888-8892", "ISSN" : "08888892", "PMID" : "18759777", "abstract" : "Studies have documented biodiversity losses due to intensification of coffee management (reduction in canopy richness and complexity). Nevertheless, questions remain regarding relative sensitivity of different taxa, habitat specialists, and functional groups, and whether implications for biodiversity conservation vary across regions.We quantitatively reviewed data from ant, bird, and tree biodiversity studies in coffee agroecosystems to address the following questions: Does species richness decline with intensification or with individual vegetation characteristics? Are there significant losses of species richness in coffee-management systems compared with forests? Is species loss greater for forest species or for particular functional groups?and Are ants or birds more strongly affected by intensification? Across studies, ant and bird richness declined with management intensification and with changes in vegetation. Species richness of all ants and birds and of forest ant and bird species was lower in most coffee agroecosystems than in forests, but rustic coffee (grown under native forest canopies) had equal or greater ant and bird richness than nearby forests. Sun coffee(grown without canopy trees) sustained the highest species losses, and species loss of forest ant, bird, and tree species increased with management intensity. Losses of ant and bird species were similar, although losses of forest ants were more drastic in rustic coffee. Richness of migratory birds and of birds that forage across vegetation strata was less affected by intensification than richness of resident, canopy, and understory bird species. Rustic farms protected more species than other coffee systems, and loss of species depended greatly on habitat specialization and functional traits. We recommend that forest be protected, rustic coffee be promoted,and intensive coffee farms be restored by augmenting native tree density and richness and allowing growth of epiphytes. We also recommend that future research focus on potential trade-offs between biodiversity conservation and farmer livelihoods stemming from coffee production.", "author" : [ { "dropping-particle" : "", "family" : "Philpott", "given" : "Stacy M.", "non-dropping-particle" : "", "parse-names" : false, "suffix" : "" }, { "dropping-particle" : "", "family" : "Arendt", "given" : "Wayne J.", "non-dropping-particle" : "", "parse-names" : false, "suffix" : "" }, { "dropping-particle" : "", "family" : "Armbrecht", "given" : "Inge", "non-dropping-particle" : "", "parse-names" : false, "suffix" : "" }, { "dropping-particle" : "", "family" : "Bichier", "given" : "Peter", "non-dropping-particle" : "", "parse-names" : false, "suffix" : "" }, { "dropping-particle" : "V.", "family" : "Diestch", "given" : "Thomas", "non-dropping-particle" : "", "parse-names" : false, "suffix" : "" }, { "dropping-particle" : "", "family" : "Gordon", "given" : "Caleb", "non-dropping-particle" : "", "parse-names" : false, "suffix" : "" }, { "dropping-particle" : "", "family" : "Greenberg", "given" : "Russell", "non-dropping-particle" : "", "parse-names" : false, "suffix" : "" }, { "dropping-particle" : "", "family" : "Perfecto", "given" : "Ivette", "non-dropping-particle" : "", "parse-names" : false, "suffix" : "" }, { "dropping-particle" : "", "family" : "Reynoso-Santos", "given" : "Roberto", "non-dropping-particle" : "", "parse-names" : false, "suffix" : "" }, { "dropping-particle" : "", "family" : "Soto-Pinto", "given" : "Lorena", "non-dropping-particle" : "", "parse-names" : false, "suffix" : "" }, { "dropping-particle" : "", "family" : "Tejeda-Cruz", "given" : "Cesar", "non-dropping-particle" : "", "parse-names" : false, "suffix" : "" }, { "dropping-particle" : "", "family" : "Williams-Linera", "given" : "Guadalupe", "non-dropping-particle" : "", "parse-names" : false, "suffix" : "" }, { "dropping-particle" : "", "family" : "Valenzuela", "given" : "Jorge", "non-dropping-particle" : "", "parse-names" : false, "suffix" : "" }, { "dropping-particle" : "", "family" : "Zolotoff", "given" : "Jos\u00e9 Manuel", "non-dropping-particle" : "", "parse-names" : false, "suffix" : "" } ], "container-title" : "Conservation Biology", "id" : "ITEM-5", "issue" : "5", "issued" : { "date-parts" : [ [ "2008" ] ] }, "page" : "1093-1105", "title" : "Biodiversity loss in Latin American coffee landscapes: Review of the evidence on ants, birds, and trees", "type" : "article-journal", "volume" : "22" }, "uris" : [ "http://www.mendeley.com/documents/?uuid=b296f4e7-e522-4e73-bb17-4927ef50ac91" ] }, { "id" : "ITEM-6", "itemData" : { "DOI" : "10.1111/j.1523-1739.2008.01096.x", "ISBN" : "0888-8892", "ISSN" : "08888892", "PMID" : "19040648", "abstract" : "Abstract: The growing demand for biofuels is promoting the expansion of a number of agricultural commodities, including oil palm (Elaeis guineensis). Oil-palm plantations cover over 13 million ha, primarily in Southeast Asia, where they have directly or indirectly replaced tropical rainforest. We explored the impact of the spread of oil-palm plantations on greenhouse gas emission and biodiversity. We assessed changes in carbon stocks with changing land use and compared this with the amount of fossil-fuel carbon emission avoided through its replacement by biofuel carbon. We estimated it would take between 75 and 93 years for the carbon emissions saved through use of biofuel to compensate for the carbon lost through forest conversion, depending on how the forest was cleared. If the original habitat was peatland, carbon balance would take more than 600 years. Conversely, planting oil palms on degraded grassland would lead to a net removal of carbon within 10 years. These estimates have associated uncertainty, but their magnitude and relative proportions seem credible. We carried out a meta-analysis of published faunal studies that compared forest with oil palm. We found that plantations supported species-poor communities containing few forest species. Because no published data on flora were available, we present results from our sampling of plants in oil palm and forest plots in Indonesia. Although the species richness of pteridophytes was higher in plantations, they held few forest species. Trees, lianas, epiphytic orchids, and indigenous palms were wholly absent from oil-palm plantations. The majority of individual plants and animals in oil-palm plantations belonged to a small number of generalist species of low conservation concern. As countries strive to meet obligations to reduce carbon emissions under one international agreement (Kyoto Protocol), they may not only fail to meet their obligations under another (Convention on Biological Diversity) but may actually hasten global climate change. Reducing deforestation is likely to represent a more effective climate-change mitigation strategy than converting forest for biofuel production, and it may help nations meet their international commitments to reduce biodiversity loss.", "author" : [ { "dropping-particle" : "", "family" : "Danielsen", "given" : "Finn", "non-dropping-particle" : "", "parse-names" : false, "suffix" : "" }, { "dropping-particle" : "", "family" : "Beukema", "given" : "Hendrien", "non-dropping-particle" : "", "parse-names" : false, "suffix" : "" }, { "dropping-particle" : "", "family" : "Burgess", "given" : "Neil D.", "non-dropping-particle" : "", "parse-names" : false, "suffix" : "" }, { "dropping-particle" : "", "family" : "Parish", "given" : "Faizal", "non-dropping-particle" : "", "parse-names" : false, "suffix" : "" }, { "dropping-particle" : "", "family" : "Buhl", "given" : "Carsten A.", "non-dropping-particle" : "", "parse-names" : false, "suffix" : "" }, { "dropping-particle" : "", "family" : "Donald", "given" : "Paul F.", "non-dropping-particle" : "", "parse-names" : false, "suffix" : "" }, { "dropping-particle" : "", "family" : "Murdiyarso", "given" : "Daniel", "non-dropping-particle" : "", "parse-names" : false, "suffix" : "" }, { "dropping-particle" : "", "family" : "Phalan", "given" : "Ben", "non-dropping-particle" : "", "parse-names" : false, "suffix" : "" }, { "dropping-particle" : "", "family" : "Reijnders", "given" : "Lucas", "non-dropping-particle" : "", "parse-names" : false, "suffix" : "" }, { "dropping-particle" : "", "family" : "Struebig", "given" : "Matthew", "non-dropping-particle" : "", "parse-names" : false, "suffix" : "" }, { "dropping-particle" : "", "family" : "Fitzherbert", "given" : "Emily B.", "non-dropping-particle" : "", "pars</w:instrText>
      </w:r>
      <w:r w:rsidRPr="008608AA">
        <w:rPr>
          <w:lang w:val="de-DE"/>
        </w:rPr>
        <w:instrText>e-names" : false, "suffix" : "" } ], "container-title" : "Conservation Biology", "id" : "ITEM-6", "issue" : "2", "issued" : { "date-parts" : [ [ "2009" ] ] }, "page" : "348-358", "title" : "Biofuel plantations on forested lands: double jeopardy for biodiversity and climate", "type" : "article-journal", "volume" : "23" }, "uris" : [ "http://www.mendeley.com/documents/?uuid=aa2402fa-8e75-4fa9-8471-3a9f1edc73df" ] } ], "mendeley" : { "formattedCitation" : "(Chaudhary, Burivalova, Koh, &amp; Hellweg, 2016; Danielsen et al., 2009; Garc\u00eda-Morales, Badano, &amp; Moreno, 2013; F. Gon\u00e7alves, Fischer, &amp; Dirzo, 2017; Mendenhall, Karp, Meyer, Hadly, &amp; Daily, 2014; Philpott et al., 2008)", "manualFormatting" : "(Chaudhary et al., 2016; Danielsen et al., 2009; Garc\u00eda-Morales et al., 2013; Mendenhall et al., 2014; Philpott et al., 2008)", "plainTextFormattedCitation" : "(Chaudhary, Burivalova, Koh, &amp; Hellweg, 2016; Danielsen et al., 2009; Garc\u00eda-Morales, Badano, &amp; Moreno, 2013; F. Gon\u00e7alves, Fischer, &amp; Dirzo, 2017; Mendenhall, Karp, Meyer, Hadly, &amp; Daily, 2014; Philpott et al., 2008)", "previouslyFormattedCitation" : "(Chaudhary, Burivalova, Koh, &amp; Hellweg, 2016; Danielsen et al., 2009; Garc\u00eda-Morales, Badano, &amp; Moreno, 2013; F. Gon\u00e7alves, Fischer, &amp; Dirzo, 2017; Mendenhall, Karp, Meyer, Hadly, &amp; Daily, 2014; Philpott et al., 2008)" }, "properties" : { "noteIndex" : 0 }, "schema" : "https://github.com/citation-style-language/schema/raw/master/csl-citation.json" }</w:instrText>
      </w:r>
      <w:r w:rsidRPr="008608AA">
        <w:fldChar w:fldCharType="separate"/>
      </w:r>
      <w:r w:rsidRPr="008608AA">
        <w:rPr>
          <w:noProof/>
          <w:lang w:val="de-DE"/>
        </w:rPr>
        <w:t>(Chaudhary et al., 2016; Danielsen et al., 2009; García-Morales et al., 2013; Mendenhall et al., 2014; Philpott et al., 2008)</w:t>
      </w:r>
      <w:r w:rsidRPr="008608AA">
        <w:fldChar w:fldCharType="end"/>
      </w:r>
      <w:r w:rsidRPr="008608AA">
        <w:rPr>
          <w:lang w:val="de-DE"/>
        </w:rPr>
        <w:t xml:space="preserve">. </w:t>
      </w:r>
      <w:r w:rsidR="001E6D7A" w:rsidRPr="008608AA">
        <w:t xml:space="preserve">However, forest birds, particularly specialist species, and phytophagous bats have declined over time in richness and abundance, respectively, in agroecosystems </w:t>
      </w:r>
      <w:r w:rsidR="001E6D7A" w:rsidRPr="008608AA">
        <w:fldChar w:fldCharType="begin" w:fldLock="1"/>
      </w:r>
      <w:r w:rsidR="001E6D7A" w:rsidRPr="008608AA">
        <w:instrText>ADDIN CSL_CITATION { "citationItems" : [ { "id" : "ITEM-1", "itemData" : { "DOI" : "10.1111/j.1523-1739.2008.01096.x", "ISBN" : "0888-8892", "ISSN" : "08888892", "PMID" : "19040648", "abstract" : "Abstract: The growing demand for biofuels is promoting the expansion of a number of agricultural commodities, including oil palm (Elaeis guineensis). Oil-palm plantations cover over 13 million ha, primarily in Southeast Asia, where they have directly or indirectly replaced tropical rainforest. We explored the impact of the spread of oil-palm plantations on greenhouse gas emission and biodiversity. We assessed changes in carbon stocks with changing land use and compared this with the amount of fossil-fuel carbon emission avoided through its replacement by biofuel carbon. We estimated it would take between 75 and 93 years for the carbon emissions saved through use of biofuel to compensate for the carbon lost through forest conversion, depending on how the forest was cleared. If the original habitat was peatland, carbon balance would take more than 600 years. Conversely, planting oil palms on degraded grassland would lead to a net removal of carbon within 10 years. These estimates have associated uncertainty, but their magnitude and relative proportions seem credible. We carried out a meta-analysis of published faunal studies that compared forest with oil palm. We found that plantations supported species-poor communities containing few forest species. Because no published data on flora were available, we present results from our sampling of plants in oil palm and forest plots in Indonesia. Although the species richness of pteridophytes was higher in plantations, they held few forest species. Trees, lianas, epiphytic orchids, and indigenous palms were wholly absent from oil-palm plantations. The majority of individual plants and animals in oil-palm plantations belonged to a small number of generalist species of low conservation concern. As countries strive to meet obligations to reduce carbon emissions under one international agreement (Kyoto Protocol), they may not only fail to meet their obligations under another (Convention on Biological Diversity) but may actually hasten global climate change. Reducing deforestation is likely to represent a more effective climate-change mitigation strategy than converting forest for biofuel production, and it may help nations meet their international commitments to reduce biodiversity loss.", "author" : [ { "dropping-particle" : "", "family" : "Danielsen", "given" : "Finn", "non-dropping-particle" : "", "parse-names" : false, "suffix" : "" }, { "dropping-particle" : "", "family" : "Beukema", "given" : "Hendrien", "non-dropping-particle" : "", "parse-names" : false, "suffix" : "" }, { "dropping-particle" : "", "family" : "Burgess", "given" : "Neil D.", "non-dropping-particle" : "", "parse-names" : false, "suffix" : "" }, { "dropping-particle" : "", "family" : "Parish", "given" : "Faizal", "non-dropping-particle" : "", "parse-names" : false, "suffix" : "" }, { "dropping-particle" : "", "family" : "Buhl", "given" : "Carsten A.", "non-dropping-particle" : "", "parse-names" : false, "suffix" : "" }, { "dropping-particle" : "", "family" : "Donald", "given" : "Paul F.", "non-dropping-particle" : "", "parse-names" : false, "suffix" : "" }, { "dropping-particle" : "", "family" : "Murdiyarso", "given" : "Daniel", "non-dropping-particle" : "", "parse-names" : false, "suffix" : "" }, { "dropping-particle" : "", "family" : "Phalan", "given" : "Ben", "non-dropping-particle" : "", "parse-names" : false, "suffix" : "" }, { "dropping-particle" : "", "family" : "Reijnders", "given" : "Lucas", "non-dropping-particle" : "", "parse-names" : false, "suffix" : "" }, { "dropping-particle" : "", "family" : "Struebig", "given" : "Matthew", "non-dropping-particle" : "", "parse-names" : false, "suffix" : "" }, { "dropping-particle" : "", "family" : "Fitzherbert", "given" : "Emily B.", "non-dropping-particle" : "", "parse-names" : false, "suffix" : "" } ], "container-title" : "Conservation Biology", "id" : "ITEM-1", "issue" : "2", "issued" : { "date-parts" : [ [ "2009" ] ] }, "page" : "348-358", "title" : "Biofuel plantations on forested lands: double jeopardy for biodiversity and climate", "type" : "article-journal", "volume" : "23" }, "uris" : [ "http://www.mendeley.com/documents/?uuid=aa2402fa-8e75-4fa9-8471-3a9f1edc73df" ] }, { "id" : "ITEM-2", "itemData" : { "DOI" : "10.1111/j.1523-1739.2008.01029.x", "ISBN" : "0888-8892", "ISSN" : "08888892", "PMID" : "18759777", "abstract" : "Studies have documented biodiversity losses due to intensification of coffee management (reduction in canopy richness and complexity). Nevertheless, questions remain regarding relative sensitivity of different taxa, habitat specialists, and functional groups, and whether implications for biodiversity conservation vary across regions.We quantitatively reviewed data from ant, bird, and tree biodiversity studies in coffee agroecosystems to address the following questions: Does species richness decline with intensification or with individual vegetation characteristics? Are there significant losses of species richness in coffee-management systems compared with forests? Is species loss greater for forest species or for particular functional groups?and Are ants or birds more strongly affected by intensification? Across studies, ant and bird richness declined with management intensification and with changes in vegetation. Species richness of all ants and birds and of forest ant and bird species was lower in most coffee agroecosystems than in forests, but rustic coffee (grown under native forest canopies) had equal or greater ant and bird richness than nearby forests. Sun coffee(grown without canopy trees) sustained the highest species losses, and species loss of forest ant, bird, and tree species increased with management intensity. Losses of ant and bird species were similar, although losses of forest ants were more drastic in rustic coffee. Richness of migratory birds and of birds that forage across vegetation strata was less affected by intensification than richness of resident, canopy, and understory bird species. Rustic farms protected more species than other coffee systems, and loss of species depended greatly on habitat specialization and functional traits. We recommend that forest be protected, rustic coffee be promoted,and intensive coffee farms be restored by augmenting native tree density and richness and allowing growth of epiphytes. We also recommend that future research focus on potential trade-offs between biodiversity conservation and farmer livelihoods stemming from coffee production.", "author" : [ { "dropping-particle" : "", "family" : "Philpott", "given" : "Stacy M.", "non-dropping-particle" : "", "parse-names" : false, "suffix" : "" }, { "dropping-particle" : "", "family" : "Arendt", "given" : "Wayne J.", "non-dropping-particle" : "", "parse-names" : false, "suffix" : "" }, { "dropping-particle" : "", "family" : "Armbrecht", "given" : "Inge", "non-dropping-particle" : "", "parse-names" : false, "suffix" : "" }, { "dropping-particle" : "", "family" : "Bichier", "given" : "Peter", "non-dropping-particle" : "", "parse-names" : false, "suffix" : "" }, { "dropping-particle" : "V.", "family" : "Diestch", "given" : "Thomas", "non-dropping-particle" : "", "parse-names" : false, "suffix" : "" }, { "dropping-particle" : "", "family" : "Gordon", "given" : "Caleb", "non-dropping-particle" : "", "parse-names" : false, "suffix" : "" }, { "dropping-particle" : "", "family" : "Greenberg", "given" : "Russell", "non-dropping-particle" : "", "parse-names" : false, "suffix" : "" }, { "dropping-particle" : "", "family" : "Perfecto", "given" : "Ivette", "non-dropping-particle" : "", "parse-names" : false, "suffix" : "" }, { "dropping-particle" : "", "family" : "Reynoso-Santos", "given" : "Roberto", "non-dropping-particle" : "", "parse-names" : false, "suffix" : "" }, { "dropping-particle" : "", "family" : "Soto-Pinto", "given" : "Lorena", "non-dropping-particle" : "", "parse-names" : false, "suffix" : "" }, { "dropping-particle" : "", "family" : "Tejeda-Cruz", "given" : "Cesar", "non-dropping-particle" : "", "parse-names" : false, "suffix" : "" }, { "dropping-particle" : "", "family" : "Williams-Linera", "given" : "Guadalupe", "non-dropping-particle" : "", "parse-names" : false, "suffix" : "" }, { "dropping-particle" : "", "family" : "Valenzuela", "given" : "Jorge", "non-dropping-particle" : "", "parse-names" : false, "suffix" : "" }, { "dropping-particle" : "", "family" : "Zolotoff", "given" : "Jos\u00e9 Manuel", "non-dropping-particle" : "", "parse-names" : false, "suffix" : "" } ], "container-title" : "Conservation Biology", "id" : "ITEM-2", "issue" : "5", "issued" : { "date-parts" : [ [ "2008" ] ] }, "page" : "1093-1105", "title" : "Biodiversity loss in Latin American coffee landscapes: Review of the evidence on ants, birds, and trees", "type" : "article-journal", "volume" : "22" }, "uris" : [ "http://www.mendeley.com/documents/?uuid=b296f4e7-e522-4e73-bb17-4927ef50ac91" ] }, { "id" : "ITEM-3", "itemData" : { "DOI" : "10.1038/nature13139", "ISBN" : "0028-0836", "ISSN" : "0028-0836", "PMID" : "24739971", "abstract" : "The equilibrium theory of island biogeography is the basis for estimating extinction rates and a pillar of conservation science. The default strategy for conserving biodiversity is the designation of nature reserves, treated as islands in an inhospitable sea of human activity. Despite the profound influence of islands on conservation theory and practice, their mainland analogues, forest fragments in human-dominated landscapes, consistently defy expected biodiversity patterns based on island biogeography theory. Countryside biogeography is an alternative framework, which recognizes that the fate of the world's wildlife will be decided largely by the hospitality of agricultural or countryside ecosystems. Here we directly test these biogeographic theories by comparing a Neotropical countryside ecosystem with a nearby island ecosystem, and show that each supports similar bat biodiversity in fundamentally different ways. The island ecosystem conforms to island biogeographic predictions of bat species loss, in which the water matrix is not habitat. In contrast, the countryside ecosystem has high species richness and evenness across forest reserves and smaller forest fragments. Relative to forest reserves and fragments, deforested countryside habitat supports a less species-rich, yet equally even, bat assemblage. Moreover, the bat assemblage associated with deforested habitat is compositionally novel because of predictable changes in abundances by many species using human-made habitat. Finally, we perform a global meta-analysis of bat biogeographic studies, spanning more than 700 species. It generalizes our findings, showing that separate biogeographic theories for countryside and island ecosystems are necessary. A theory of countryside biogeography is essential to conservation strategy in the agricultural ecosystems that comprise roughly half of the global land surface and are likely to increase even further.", "author" : [ { "dropping-particle" : "", "family" : "Mendenhall", "given" : "Chase D.", "non-dropping-particle" : "", "parse-names" : false, "suffix" : "" }, { "dropping-particle" : "", "family" : "Karp", "given" : "Daniel S.", "non-dropping-particle" : "", "parse-names" : false, "suffix" : "" }, { "dropping-particle" : "", "family" : "Meyer", "given" : "Christoph F. J.", "non-dropping-particle" : "", "parse-names" : false, "suffix" : "" }, { "dropping-particle" : "", "family" : "Hadly", "given" : "Elizabeth A.", "non-dropping-particle" : "", "parse-names" : false, "suffix" : "" }, { "dropping-particle" : "", "family" : "Daily", "given" : "Gretchen C.", "non-dropping-particle" : "", "parse-names" : false, "suffix" : "" } ], "container-title" : "Nature", "id" : "ITEM-3", "issue" : "7499", "issued" : { "date-parts" : [ [ "2014" ] ] }, "page" : "213-217", "title" : "Predicting biodiversity change and averting collapse in agricultural landscapes", "type" : "article-journal", "volume" : "509" }, "uris" : [ "http://www.mendeley.com/documents/?uuid=031910ce-bf15-45fd-81e4-0f1523cc8d43" ] }, { "id" : "ITEM-4", "itemData" : { "DOI" : "10.1111/cobi.12099", "ISBN" : "1523-1739", "ISSN" : "08888892", "PMID" : "23869786", "abstract" : "Neotropical bats are sensitive to human-induced habitat changes, and some authors believe bats can be used as bioindicators. In the literature, however, the results are disparate. Some results show bat diversity deceases as disturbance increases, whereas others indicate no effect. Determining the general response patterns of bats when they encounter different degrees of human-induced disturbance across the Neotropics would help to determine their usefulness as bioindicators. In a series of meta-analyses, we compared the occurrence frequency of bat species between well-preserved forests and human-use areas. We obtained data through an extensive review of published peer-reviewed articles, theses, and reports. The overall effect size indicated that human-use areas harbored more bat species than well-preserved forests. Different response patterns emerged when meta-analyses were conducted separately by family, feeding habit, vegetation stratum, and conservation status. Our results suggest that bat assemblages display strong responses to forest loss and land-use change and that the direction and magnitude of these responses depends on the bat group under study and the type of disturbance. Our results are consistent with the idea that bats are useful for assessing the effects of habitat changes in the Neotropics. However, with our meta-analyses we could not detect fine differences in bat feeding habits, especially within Phyllostomidae, or elucidate the effect of landscape configuration. Respuesta de Ensambles de Murci\u00e9lagos Neotropicales al Uso de Suelo por Humanos Los murci\u00e9lagos neotropicales son sensibles a los cambios de h\u00e1bitat inducidos por humanos, y algunos autores consideran que los murci\u00e9lagos pueden ser utilizados como bioindicadores. Sin embargo, en la literatura los resultados son dispares. Algunos resultados muestran que la diversidad de murci\u00e9lagos disminuye a medida que incrementa la perturbaci\u00f3n, mientras que otros indican que no hay efecto. La determinaci\u00f3n de los patrones de respuesta general de los murci\u00e9lagos cuando encuentran diferentes grados de perturbaci\u00f3n inducida por humanos en los neotr\u00f3picos ayudar\u00eda a determinar su utilidad como bioindicadores. En una serie de meta-an\u00e1lisis, comparamos la frecuencia de ocurrencia de especies de murci\u00e9lagos entre bosques bien preservados y \u00e1reas de uso humano. Obtuvimos los datos por medio de una revisi\u00f3n extensiva de art\u00edculos publicados revisados por pares, tesis y reportes. El tama\u00f1o del efecto\u2026", "author" : [ { "droppin</w:instrText>
      </w:r>
      <w:r w:rsidR="001E6D7A" w:rsidRPr="008608AA">
        <w:rPr>
          <w:lang w:val="de-DE"/>
        </w:rPr>
        <w:instrText>g-particle" : "", "family" : "Garc\u00eda-Morales", "given" : "Rodrigo", "non-dropping-particle" : "", "parse-names" : false, "suffix" : "" }, { "dropping-particle" : "", "family" : "Badano", "given" : "Ernesto I.", "non-dropping-particle" : "", "parse-names" : false, "suffix" : "" }, { "dropping-particle" : "", "family" : "Moreno", "given" : "Claudia E.", "non-dropping-particle" : "", "parse-names" : false, "suffix" : "" } ], "container-title" : "Conservation Biology", "id" : "ITEM-4", "issue" : "5", "issued" : { "date-parts" : [ [ "2013" ] ] }, "page" : "1096-1106", "title" : "Response of neotropical bat assemblages to human land use", "type" : "article-journal", "volume" : "27" }, "uris" : [ "http://www.mendeley.com/documents/?uuid=25524234-d4a2-414f-93f1-3359b11900ea" ] } ], "mendeley" : { "formattedCitation" : "(Philpott et al. 2008, Danielsen et al. 2009, Garc\u00eda-Morales et al. 2013, Mendenhall et al. 2014)", "manualFormatting" : "(Danielsen et al., 2009; Garc\u00eda-Morales et al., 2013; Mendenhall et al., 2014; Philpott et al., 2008; Gon\u00e7alves et al., 2017)", "plainTextFormattedCitation" : "(Philpott et al. 2008, Danielsen et al. 2009, Garc\u00eda-Morales et al. 2013, Mendenhall et al. 2014)", "previouslyFormattedCitation" : "(Philpott et al. 2008, Danielsen et al. 2009, Garc\u00eda-Morales et al. 2013, Mendenhall et al. 2014)" }, "properties" : { "noteIndex" : 0 }, "schema" : "https://github.com/citation-style-language/schema/raw/master/csl-citation.json" }</w:instrText>
      </w:r>
      <w:r w:rsidR="001E6D7A" w:rsidRPr="008608AA">
        <w:fldChar w:fldCharType="separate"/>
      </w:r>
      <w:r w:rsidR="001E6D7A" w:rsidRPr="008608AA">
        <w:rPr>
          <w:noProof/>
          <w:lang w:val="de-DE"/>
        </w:rPr>
        <w:t>(Danielsen et al., 2009; García-Morales et al., 2013; Mendenhall et al., 2014; Philpott et al., 2008; Gonçalves et al., 2017)</w:t>
      </w:r>
      <w:r w:rsidR="001E6D7A" w:rsidRPr="008608AA">
        <w:fldChar w:fldCharType="end"/>
      </w:r>
      <w:r w:rsidR="001E6D7A" w:rsidRPr="008608AA">
        <w:rPr>
          <w:lang w:val="de-DE"/>
        </w:rPr>
        <w:t>.</w:t>
      </w:r>
    </w:p>
    <w:p w14:paraId="0E11843C" w14:textId="5931436C" w:rsidR="004255E7" w:rsidRPr="008608AA" w:rsidRDefault="004255E7" w:rsidP="00BE4235">
      <w:pPr>
        <w:widowControl w:val="0"/>
        <w:autoSpaceDE w:val="0"/>
        <w:autoSpaceDN w:val="0"/>
        <w:adjustRightInd w:val="0"/>
        <w:spacing w:after="120"/>
        <w:rPr>
          <w:bCs/>
        </w:rPr>
      </w:pPr>
      <w:r w:rsidRPr="008608AA">
        <w:rPr>
          <w:shd w:val="clear" w:color="auto" w:fill="FFFFFF"/>
        </w:rPr>
        <w:t xml:space="preserve">Agroforestry systems are being lost due to human migration, access to commercial markets, land use change, and the disinterest of government agencies </w:t>
      </w:r>
      <w:r w:rsidRPr="008608AA">
        <w:rPr>
          <w:shd w:val="clear" w:color="auto" w:fill="FFFFFF"/>
        </w:rPr>
        <w:fldChar w:fldCharType="begin" w:fldLock="1"/>
      </w:r>
      <w:r w:rsidRPr="008608AA">
        <w:rPr>
          <w:shd w:val="clear" w:color="auto" w:fill="FFFFFF"/>
        </w:rPr>
        <w:instrText>ADDIN CSL_CITATION { "citationItems" : [ { "id" : "ITEM-1", "itemData" : { "author" : [ { "dropping-particle" : "", "family" : "Montes-Leyva", "given" : "Leobardo.", "non-dropping-particle" : "", "parse-names" : false, "suffix" : "" }, { "dropping-particle" : "", "family" : "T\u00e9llez-Vald\u00e9s", "given" : "Oswaldo", "non-dropping-particle" : "", "parse-names" : false, "suffix" : "" }, { "dropping-particle" : "", "family" : "Bojorquez", "given" : "Luis", "non-dropping-particle" : "", "parse-names" : false, "suffix" : "" }, { "dropping-particle" : "", "family" : "D\u00e1vila", "given" : "Patricia", "non-dropping-particle" : "", "parse-names" : false, "suffix" : "" }, { "dropping-particle" : "", "family" : "Lira", "given" : "Rafael", "non-dropping-particle" : "", "parse-names" : false, "suffix" : "" } ], "container-title" : "Genetic Resources and Crop Evolution", "id" : "ITEM-1", "issued" : { "date-parts" : [ [ "2017" ] ] }, "page" : "1-12", "title" : "Potential areas for conservation of useful flora of the Tehuac\u00e1n-Cuicatl\u00e1n Valley, Mexico", "type" : "article-journal" }, "uris" : [ "http://www.mendeley.com/documents/?uuid=1d5190af-8a01-4c80-8adc-fa0d4e93fccf" ] }, { "id" : "ITEM-2", "itemData" : { "author" : [ { "dropping-particle" : "", "family" : "Vliet", "given" : "N.", "non-dropping-particle" : "Van", "parse-names" : false, "suffix" : "" }, { "dropping-particle" : "", "family" : "Mertz", "given" : "Ole", "non-dropping-particle" : "", "parse-names" : false, "suffix" : "" }, { "dropping-particle" : "", "family" : "Heinimann", "given" : "Andreas", "non-dropping-particle" : "", "parse-names" : false, "suffix" : "" }, { "dropping-particle" : "", "family" : "Langanke", "given" : "Tobias", "non-dropping-particle" : "", "parse-names" : false, "suffix" : "" }, { "dropping-particle" : "", "family" : "Pascual", "given" : "Unai", "non-dropping-particle" : "", "parse-names" : false, "suffix" : "" }, { "dropping-particle" : "", "family" : "Schmook", "given" : "Birgit", "non-dropping-particle" : "", "parse-names" : false, "suffix" : "" }, { "dropping-particle" : "", "family" : "Adams", "given" : "Cristina", "non-dropping-particle" : "", "parse-names" : false, "suffix" : "" }, { "dropping-particle" : "", "family" : "Schmidt-Vogt", "given" : "Dietrich", "non-dropping-particle" : "", "parse-names" : false, "suffix" : "" }, { "dropping-particle" : "", "family" : "Messerli", "given" : "Peter", "non-dropping-particle" : "", "parse-names" : false, "suffix" : "" }, { "dropping-particle" : "", "family" : "Leisz", "given" : "Stephen", "non-dropping-particle" : "", "parse-names" : false, "suffix" : "" }, { "dropping-particle" : "", "family" : "Castella", "given" : "Jean-Christophe", "non-dropping-particle" : "", "parse-names" : false, "suffix" : "" }, { "dropping-particle" : "", "family" : "J\u00f8rgensen", "given" : "Lars", "non-dropping-particle" : "", "parse-names" : false, "suffix" : "" }, { "dropping-particle" : "", "family" : "Birch-Thomsen", "given" : "Torben", "non-dropping-particle" : "", "parse-names" : false, "suffix" : "" }, { "dropping-particle" : "", "family" : "Hett", "given" : "Cornelia", "non-dropping-particle" : "", "parse-names" : false, "suffix" : "" }, { "dropping-particle" : "", "family" : "Bech-Bruun", "given" : "Thilde", "non-dropping-particle" : "", "parse-names" : false, "suffix" : "" }, { "dropping-particle" : "", "family" : "Ickowitz", "given" : "Amy", "non-dropping-particle" : "", "parse-names" : false, "suffix" : "" }, { "dropping-particle" : "", "family" : "Vu", "given" : "Kim Chi", "non-dropping-particle" : "", "parse-names" : false, "suffix" : "" }, { "dropping-particle" : "", "family" : "Yasuyuki", "given" : "Kono", "non-dropping-particle" : "", "parse-names" : false, "suffix" : "" }, { "dropping-particle" : "", "family" : "Fox", "given" : "Jefferson", "non-dropping-particle" : "", "parse-names" : false, "suffix" : "" }, { "dropping-particle" : "", "family" : "Padoch", "given" : "Christine", "non-dropping-particle" : "", "parse-names" : false, "suffix" : "" }, { "dropping-particle" : "", "family" : "Dressler", "given" : "Wolfram", "non-dropping-particle" : "", "parse-names" : false, "suffix" : "" }, { "dropping-particle" : "", "family" : "Ziegler", "given" : "Alan D.", "non-dropping-particle" : "", "parse-names" : false, "suffix" : "" } ], "container-title" : "Global Environmental Change", "id" : "ITEM-2", "issue" : "2", "issued" : { "date-parts" : [ [ "2012" ] ] }, "page" : "418-429", "title" : "Trends, drivers and impacts of changes in swidden cultivation in tropical forest-agriculture frontiers: a global assessment", "type" : "article-journal", "volume" : "22" }, "uris" : [ "http://www.mendeley.com/documents/?uuid=23cdeca9-4c97-4a3c-87bd-44ce5753d282" ] } ], "mendeley" : { "formattedCitation" : "(Montes-Leyva, T\u00e9llez-Vald\u00e9s, Bojorquez, D\u00e1vila, &amp; Lira, 2017; Van Vliet et al., 2012)", "manualFormatting" : "(Montes-Leyva et al., 2017; Van Vliet et al., 2012", "plainTextFormattedCitation" : "(Montes-Leyva, T\u00e9llez-Vald\u00e9s, Bojorquez, D\u00e1vila, &amp; Lira, 2017; Van Vliet et al., 2012)", "previouslyFormattedCitation" : "(Montes-Leyva, T\u00e9llez-Vald\u00e9s, Bojorquez, D\u00e1vila, &amp; Lira, 2017; Van Vliet et al., 2012)" }, "properties" : { "noteIndex" : 0 }, "schema" : "https://github.com/citation-style-language/schema/raw/master/csl-citation.json" }</w:instrText>
      </w:r>
      <w:r w:rsidRPr="008608AA">
        <w:rPr>
          <w:shd w:val="clear" w:color="auto" w:fill="FFFFFF"/>
        </w:rPr>
        <w:fldChar w:fldCharType="separate"/>
      </w:r>
      <w:r w:rsidRPr="008608AA">
        <w:rPr>
          <w:noProof/>
          <w:shd w:val="clear" w:color="auto" w:fill="FFFFFF"/>
        </w:rPr>
        <w:t>(Montes-Leyva et al., 2017; Van Vliet et al., 2012</w:t>
      </w:r>
      <w:r w:rsidRPr="008608AA">
        <w:rPr>
          <w:shd w:val="clear" w:color="auto" w:fill="FFFFFF"/>
        </w:rPr>
        <w:fldChar w:fldCharType="end"/>
      </w:r>
      <w:r w:rsidRPr="008608AA">
        <w:rPr>
          <w:bCs/>
          <w:shd w:val="clear" w:color="auto" w:fill="FFFFFF"/>
        </w:rPr>
        <w:t>)</w:t>
      </w:r>
      <w:r w:rsidRPr="008608AA">
        <w:rPr>
          <w:shd w:val="clear" w:color="auto" w:fill="FFFFFF"/>
        </w:rPr>
        <w:t>. The</w:t>
      </w:r>
      <w:r w:rsidRPr="008608AA">
        <w:rPr>
          <w:bCs/>
        </w:rPr>
        <w:t xml:space="preserve"> </w:t>
      </w:r>
      <w:r w:rsidRPr="008608AA">
        <w:t xml:space="preserve">creation of agroforestry systems based on traditional indigenous and local knowledge and novel technological advances promises improvement of ecological interactions, provision of multiple products and ecosystem services </w:t>
      </w:r>
      <w:r w:rsidRPr="008608AA">
        <w:fldChar w:fldCharType="begin" w:fldLock="1"/>
      </w:r>
      <w:r w:rsidRPr="008608AA">
        <w:instrText>ADDIN CSL_CITATION { "citationItems" : [ { "id" : "ITEM-1", "itemData" : { "author" : [ { "dropping-particle" : "", "family" : "Jose", "given" : "Shibu", "non-dropping-particle" : "", "parse-names" : false, "suffix" : "" }, { "dropping-particle" : "", "family" : "Gold", "given" : "Michael A.", "non-dropping-particle" : "", "parse-names" : false, "suffix" : "" }, { "dropping-particle" : "", "family" : "Garrett", "given" : "Harold E.", "non-dropping-particle" : "", "parse-names" : false, "suffix" : "" } ], "container-title" : "Agroforestry - The Future of Global Land Use", "editor" : [ { "dropping-particle" : "", "family" : "Nair", "given" : "P.K.R.", "non-dropping-particle" : "", "parse-names" : false, "suffix" : "" }, { "dropping-particle" : "", "family" : "Garrity", "given" : "D.", "non-dropping-particle" : "", "parse-names" : false, "suffix" : "" } ], "id" : "ITEM-1", "issued" : { "date-parts" : [ [ "2012" ] ] }, "page" : "217-245", "publisher" : "Springer", "publisher-place" : "New York, USA", "title" : "The future of temperate agroforestry in the United States", "type" : "chapter" }, "uris" : [ "http://www.mendeley.com/documents/?uuid=fa5d4d95-42d5-477d-ac1c-0f70369e89af" ] }, { "id" : "ITEM-2", "itemData" : { "editor" : [ { "dropping-particle" : "", "family" : "Moreno-Calles", "given" : "A. I.", "non-dropping-particle" : "", "parse-names" : false, "suffix" : "" }, { "dropping-particle" : "", "family" : "Casas", "given" : "Alejandro", "non-dropping-particle" : "", "parse-names" : false, "suffix" : "" }, { "dropping-particle" : "", "family" : "Toledo", "given" : "Victor M.", "non-dropping-particle" : "", "parse-names" : false, "suffix" : "" }, { "dropping-particle" : "", "family" : "Vallejo-Ramos", "given" : "Mariana", "non-dropping-particle" : "", "parse-names" : false, "suffix" : "" } ], "id" : "ITEM-2", "issued" : { "date-parts" : [ [ "2016" ] ] }, "publisher" : "Universidad Nacional Aut\u00f3noma de M\u00e9xico", "publisher-place" : "M\u00e9xico D.F., M\u00e9xico", "title" : "Etnoagroforester\u00eda en M\u00e9xico", "type" : "book" }, "uris" : [ "http://www.mendeley.com/documents/?uuid=e3fc2c34-12c7-458c-a1a8-cd8ffbfd5045" ] }, { "id" : "ITEM-3", "itemData" : { "DOI" : "DOI: 10.1186/s13002-016-0127-6", "author" : [ { "dropping-particle" : "", "family" : "Moreno-Calles", "given" : "A. I.", "non-dropping-particle" : "", "parse-names" : false, "suffix" : "" }, { "dropping-particle" : "", "family" : "Casas", "given" : "Alejandro", "non-dropping-particle" : "", "parse-names" : false, "suffix" : "" }, { "dropping-particle" : "", "family" : "Rivero-Romero", "given" : "Alexis Daniela", "non-dropping-particle" : "", "parse-names" : false, "suffix" : "" }, { "dropping-particle" : "", "family" : "Romero-Bautista", "given" : "Y. A.", "non-dropping-particle" : "", "parse-names" : false, "suffix" : "" }, { "dropping-particle" : "", "family" : "Rangel-Landa", "given" : "Selene", "non-dropping-particle" : "", "parse-names" : false, "suffix" : "" }, { "dropping-particle" : "", "family" : "Fisher-Ort\u00edz", "given" : "Roberto A.", "non-dropping-particle" : "", "parse-names" : false, "suffix" : "" }, { "dropping-particle" : "", "family" : "Alvarado-Ramos", "given" : "Fernando", "non-dropping-particle" : "", "parse-names" : false, "suffix" : "" }, { "dropping-particle" : "", "family" : "Vallejo-Ramos", "given" : "Mariana", "non-dropping-particle" : "", "parse-names" : false, "suffix" : "" }, { "dropping-particle" : "", "family" : "Santos-Fita", "given" : "D\u00eddac", "non-dropping-particle" : "", "parse-names" : false, "suffix" : "" } ], "container-title" : "Journal of Ethnobiology and Ethnomedicine", "id" : "ITEM-3", "issued" : { "date-parts" : [ [ "2016" ] ] }, "page" : "54", "title" : "Ethnoagroforestry: integration of biocultural diversity for food sovereignty in Mexico", "type" : "article-journal", "volume" : "12" }, "uris" : [ "http://www.mendeley.com/documents/?uuid=627f4889-0136-4580-8584-feb46e173d8f" ] }, { "id" : "ITEM-4", "itemData" : { "DOI" : "10.1007/978-3-319-24109-8_1", "author" : [ { "dropping-particle" : "", "family" : "Peri", "given" : "P.L.", "non-dropping-particle" : "", "parse-names" : false, "suffix" : "" }, { "dropping-particle" : "", "family" : "Dube", "given" : "Francis", "non-dropping-particle" : "", "parse-names" : false, "suffix" : "" }, { "dropping-particle" : "", "family" : "Varella", "given" : "A. C.", "non-dropping-particle" : "", "parse-names" : false, "suffix" : "" } ], "container-title" : "Silvopastoral Systems in Southern South America", "editor" : [ { "dropping-particle" : "", "family" : "Peri", "given" : "P.L.", "non-dropping-particle" : "", "parse-names" : false, "suffix" : "" }, { "dropping-particle" : "", "family" : "Dube", "given" : "Francis", "non-dropping-particle" : "", "parse-names" : false, "suffix" : "" }, { "dropping-particle" : "", "family" : "Varella", "given" : "Alexandre", "non-dropping-particle" : "", "parse-names" : false, "suffix" : "" } ], "id" : "ITEM-4", "issued" : { "date-parts" : [ [ "2016" ] ] }, "page" : "1-8", "publisher" : "Springer", "publisher-place" : "Cham, Switzerland", "title" : "Silvopastoral systems in the subtropical and temperate zones of South America: an overview", "type" : "chapter" }, "uris" : [ "http://www.mendeley.com/documents/?uuid=ea5ce588-b999-4985-ab1c-b99e4dc298f2" ] } ], "mendeley" : { "formattedCitation" : "(Jose et al., 2012; Moreno-Calles, Casas, Rivero-Romero, et al., 2016; Moreno-Calles, Casas, Toledo, et al., 2016; P.L. Peri et al., 2016)", "manualFormatting" : "(Jose et al., 2012; Moreno-Calles, Casas, Rivero-Romero et al., 2016; Moreno-Calles, Casas, Toledo et al., 2016; Peri et al., 2016)", "plainTextFormattedCitation" : "(Jose et al., 2012; Moreno-Calles, Casas, Rivero-Romero, et al., 2016; Moreno-Calles, Casas, Toledo, et al., 2016; P.L. Peri et al., 2016)", "previouslyFormattedCitation" : "(Jose et al., 2012; Moreno-Calles, Casas, Rivero-Romero, et al., 2016; Moreno-Calles, Casas, Toledo, et al., 2016; P.L. Peri et al., 2016)" }, "properties" : { "noteIndex" : 0 }, "schema" : "https://github.com/citation-style-language/schema/raw/master/csl-citation.json" }</w:instrText>
      </w:r>
      <w:r w:rsidRPr="008608AA">
        <w:fldChar w:fldCharType="separate"/>
      </w:r>
      <w:r w:rsidRPr="008608AA">
        <w:rPr>
          <w:noProof/>
        </w:rPr>
        <w:t>(</w:t>
      </w:r>
      <w:r w:rsidR="00D37B59" w:rsidRPr="008608AA">
        <w:rPr>
          <w:noProof/>
        </w:rPr>
        <w:t>Jose et al., 2012; Moreno-Calles</w:t>
      </w:r>
      <w:r w:rsidRPr="008608AA">
        <w:rPr>
          <w:noProof/>
        </w:rPr>
        <w:t xml:space="preserve"> </w:t>
      </w:r>
      <w:r w:rsidR="00D37B59" w:rsidRPr="008608AA">
        <w:rPr>
          <w:noProof/>
        </w:rPr>
        <w:t xml:space="preserve">et al., 2016; Moreno-Calles </w:t>
      </w:r>
      <w:r w:rsidRPr="008608AA">
        <w:rPr>
          <w:noProof/>
        </w:rPr>
        <w:t>et al., 2016; Peri et al., 2016)</w:t>
      </w:r>
      <w:r w:rsidRPr="008608AA">
        <w:fldChar w:fldCharType="end"/>
      </w:r>
      <w:r w:rsidRPr="008608AA">
        <w:t>, and if stimulated, would contribute to biodiversity conservation</w:t>
      </w:r>
      <w:r w:rsidRPr="008608AA">
        <w:rPr>
          <w:bCs/>
        </w:rPr>
        <w:t>.</w:t>
      </w:r>
    </w:p>
    <w:p w14:paraId="31BBD76A" w14:textId="77777777" w:rsidR="00BE4235" w:rsidRPr="008608AA" w:rsidRDefault="00BE4235" w:rsidP="00BE4235">
      <w:pPr>
        <w:widowControl w:val="0"/>
        <w:autoSpaceDE w:val="0"/>
        <w:autoSpaceDN w:val="0"/>
        <w:adjustRightInd w:val="0"/>
        <w:spacing w:after="120"/>
        <w:rPr>
          <w:shd w:val="clear" w:color="auto" w:fill="FFFFFF"/>
        </w:rPr>
      </w:pPr>
    </w:p>
    <w:p w14:paraId="510AACFD" w14:textId="2D090DE6" w:rsidR="004255E7" w:rsidRDefault="004255E7" w:rsidP="00BE4235">
      <w:pPr>
        <w:pStyle w:val="Heading3"/>
        <w:rPr>
          <w:lang w:val="en-US"/>
        </w:rPr>
      </w:pPr>
      <w:bookmarkStart w:id="1023" w:name="_Toc502927352"/>
      <w:bookmarkStart w:id="1024" w:name="_Toc502951171"/>
      <w:bookmarkStart w:id="1025" w:name="_Toc502953614"/>
      <w:bookmarkStart w:id="1026" w:name="_Toc502954907"/>
      <w:bookmarkStart w:id="1027" w:name="_Toc502957714"/>
      <w:bookmarkStart w:id="1028" w:name="_Toc502957913"/>
      <w:bookmarkStart w:id="1029" w:name="_Toc502958067"/>
      <w:bookmarkStart w:id="1030" w:name="_Toc503293115"/>
      <w:bookmarkStart w:id="1031" w:name="_Toc503293713"/>
      <w:bookmarkStart w:id="1032" w:name="_Toc503293975"/>
      <w:bookmarkStart w:id="1033" w:name="_Toc503863368"/>
      <w:bookmarkStart w:id="1034" w:name="_Toc503863596"/>
      <w:bookmarkStart w:id="1035" w:name="_Toc517393306"/>
      <w:bookmarkStart w:id="1036" w:name="_Toc517719047"/>
      <w:bookmarkStart w:id="1037" w:name="_Toc517797004"/>
      <w:r w:rsidRPr="008608AA">
        <w:rPr>
          <w:lang w:val="en-US"/>
        </w:rPr>
        <w:t>Status and trends of biodiversity in urban anthropogenic systems</w:t>
      </w:r>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p>
    <w:p w14:paraId="4F66ECB9" w14:textId="77777777" w:rsidR="00843724" w:rsidRPr="00843724" w:rsidRDefault="00843724" w:rsidP="00843724">
      <w:pPr>
        <w:rPr>
          <w:lang w:eastAsia="es-CO"/>
        </w:rPr>
      </w:pPr>
    </w:p>
    <w:p w14:paraId="219B52C8" w14:textId="636F78DF" w:rsidR="004255E7" w:rsidRPr="008608AA" w:rsidRDefault="004255E7" w:rsidP="00BE4235">
      <w:pPr>
        <w:widowControl w:val="0"/>
        <w:autoSpaceDE w:val="0"/>
        <w:autoSpaceDN w:val="0"/>
        <w:adjustRightInd w:val="0"/>
        <w:spacing w:after="120"/>
      </w:pPr>
      <w:r w:rsidRPr="008608AA">
        <w:t>Status</w:t>
      </w:r>
      <w:r w:rsidR="00C04AD0" w:rsidRPr="008608AA">
        <w:t xml:space="preserve">. </w:t>
      </w:r>
      <w:r w:rsidRPr="008608AA">
        <w:t xml:space="preserve">Urban areas are home to about 80% of </w:t>
      </w:r>
      <w:r w:rsidR="002F1F98" w:rsidRPr="008608AA">
        <w:t xml:space="preserve">the population in the </w:t>
      </w:r>
      <w:r w:rsidRPr="008608AA">
        <w:t xml:space="preserve">Americas. Urban land in the North American (excluding Greenland) and Mesoamerican subregions accounts for 5% of the total land </w:t>
      </w:r>
      <w:r w:rsidRPr="008608AA">
        <w:rPr>
          <w:lang w:val="es-CL"/>
        </w:rPr>
        <w:fldChar w:fldCharType="begin" w:fldLock="1"/>
      </w:r>
      <w:r w:rsidRPr="008608AA">
        <w:instrText>ADDIN CSL_CITATION { "citationItems" : [ { "id" : "ITEM-1", "itemData" : { "DOI" : "10.1088/1748-9326/8/1/014025", "author" : [ { "dropping-particle" : "", "family" : "G\u00fcneralp", "given" : "B.", "non-dropping-particle" : "", "parse-names" : false, "suffix" : "" }, { "dropping-particle" : "", "family" : "Seto", "given" : "K.C.", "non-dropping-particle" : "", "parse-names" : false, "suffix" : "" } ], "container-title" : "Environmental Research Letters", "id" : "ITEM-1", "issue" : "1", "issued" : { "date-parts" : [ [ "2013" ] ] }, "page" : "14025", "title" : "Futures of global urban expansion: uncertainties and implications for biodiversity conservation", "type" : "article-journal", "volume" : "8" }, "uris" : [ "http://www.mendeley.com/documents/?uuid=a68e66f6-2de8-46e4-93a9-ff09a9e19191" ] } ], "mendeley" : { "formattedCitation" : "(G\u00fcneralp &amp; Seto, 2013)", "plainTextFormattedCitation" : "(G\u00fcneralp &amp; Seto, 2013)", "previouslyFormattedCitation" : "(G\u00fcneralp &amp; Seto, 2013)" }, "properties" : { "noteIndex" : 0 }, "schema" : "https://github.com/citation-style-language/schema/raw/master/csl-citation.json" }</w:instrText>
      </w:r>
      <w:r w:rsidRPr="008608AA">
        <w:rPr>
          <w:lang w:val="es-CL"/>
        </w:rPr>
        <w:fldChar w:fldCharType="separate"/>
      </w:r>
      <w:r w:rsidRPr="008608AA">
        <w:rPr>
          <w:noProof/>
        </w:rPr>
        <w:t>(Güneralp &amp; Seto, 2013)</w:t>
      </w:r>
      <w:r w:rsidRPr="008608AA">
        <w:rPr>
          <w:lang w:val="es-CL"/>
        </w:rPr>
        <w:fldChar w:fldCharType="end"/>
      </w:r>
      <w:r w:rsidRPr="008608AA">
        <w:t xml:space="preserve">. The Caribbean subregion has the highest urban land fraction (16%) and South America the lowest (2%). Currently, the Americas host eight (20%) of the world´s 40 Megacities (population over 10 million): two in the North American subregion, one in the Mesoamerican subregion and five in the South American subregion. There are many other large cities in the Americas that do not qualify as megacities (Figure 3.12A). Urban ecosystems in the Americas are expected to continue to expand and coalesce </w:t>
      </w:r>
      <w:r w:rsidRPr="008608AA">
        <w:fldChar w:fldCharType="begin" w:fldLock="1"/>
      </w:r>
      <w:r w:rsidRPr="008608AA">
        <w:instrText>ADDIN CSL_CITATION { "citationItems" : [ { "id" : "ITEM-1", "itemData" : { "DOI" : "doi: 10.1073/pnas.1211658109", "author" : [ { "dropping-particle" : "", "family" : "Seto", "given" : "K.C.", "non-dropping-particle" : "", "parse-names" : false, "suffix" : "" }, { "dropping-particle" : "", "family" : "G\u00fcneralp", "given" : "B.", "non-dropping-particle" : "", "parse-names" : false, "suffix" : "" }, { "dropping-particle" : "", "family" : "Hutyra", "given" : "L.R.", "non-dropping-particle" : "", "parse-names" : false, "suffix" : "" } ], "container-title" : "PNAS", "id" : "ITEM-1", "issued" : { "date-parts" : [ [ "2012" ] ] }, "page" : "16083-16088", "title" : "Global forecasts of urban expansion to 2030 and direct impacts on biodiversity and carbon pools.", "type" : "article-journal", "volume" : "109" }, "uris" : [ "http://www.mendeley.com/documents/?uuid=3b689a3f-c80d-4404-aad9-1c0f2b2801a1" ] } ], "mendeley" : { "formattedCitation" : "(Seto, G\u00fcneralp, &amp; Hutyra, 2012)", "manualFormatting" : "(Seto et al., 2012)", "plainTextFormattedCitation" : "(Seto, G\u00fcneralp, &amp; Hutyra, 2012)", "previouslyFormattedCitation" : "(Seto, G\u00fcneralp, &amp; Hutyra, 2012)" }, "properties" : { "noteIndex" : 0 }, "schema" : "https://github.com/citation-style-language/schema/raw/master/csl-citation.json" }</w:instrText>
      </w:r>
      <w:r w:rsidRPr="008608AA">
        <w:fldChar w:fldCharType="separate"/>
      </w:r>
      <w:r w:rsidRPr="008608AA">
        <w:rPr>
          <w:noProof/>
        </w:rPr>
        <w:t>(Seto et al., 2012)</w:t>
      </w:r>
      <w:r w:rsidRPr="008608AA">
        <w:fldChar w:fldCharType="end"/>
      </w:r>
      <w:r w:rsidRPr="008608AA">
        <w:t>. This signifies that urban areas will be the main contact point with nature for an increasingly large proportion of the Americas population. Policies that conserve and enhance urban biodiversity will thus enhance human well-being.</w:t>
      </w:r>
    </w:p>
    <w:p w14:paraId="5EC39992" w14:textId="6251CAB0" w:rsidR="004255E7" w:rsidRPr="008608AA" w:rsidRDefault="004255E7" w:rsidP="00BE4235">
      <w:pPr>
        <w:spacing w:after="120"/>
      </w:pPr>
      <w:r w:rsidRPr="008608AA">
        <w:t xml:space="preserve">Urban areas in many parts of the Americas are surrounded by high-diversity ecosystems. Major changes in species richness, species composition, and ecosystem functioning have accompanied urbanization </w:t>
      </w:r>
      <w:r w:rsidRPr="008608AA">
        <w:fldChar w:fldCharType="begin" w:fldLock="1"/>
      </w:r>
      <w:r w:rsidRPr="008608AA">
        <w:instrText>ADDIN CSL_CITATION { "citationItems" : [ { "id" : "ITEM-1", "itemData" : { "author" : [ { "dropping-particle" : "", "family" : "McPhearson", "given" : "T.", "non-dropping-particle" : "", "parse-names" : false, "suffix" : "" }, { "dropping-particle" : "", "family" : "Auch", "given" : "R.", "non-dropping-particle" : "", "parse-names" : false, "suffix" : "" }, { "dropping-particle" : "", "family" : "Alberti", "given" : "M.", "non-dropping-particle" : "", "parse-names" : false, "suffix" : "" } ], "container-title" : "Urbanization, Biodiversity and Ecosystem Services: Challenges and Opportunities: A Global Assessment", "editor" : [ { "dropping-particle" : "", "family" : "Elmqvist", "given" : "T.", "non-dropping-particle" : "", "parse-names" : false, "suffix" : "" }, { "dropping-particle" : "", "family" : "Fagkias", "given" : "M.", "non-dropping-particle" : "", "parse-names" : false, "suffix" : "" }, { "dropping-particle" : "", "family" : "Goodness", "given" : "J.", "non-dropping-particle" : "", "parse-names" : false, "suffix" : "" }, { "dropping-particle" : "", "family" : "G\u00fcneralp", "given" : "B.", "non-dropping-particle" : "", "parse-names" : false, "suffix" : "" }, { "dropping-particle" : "", "family" : "Marcotullio", "given" : "P.J.", "non-dropping-particle" : "", "parse-names" : false, "suffix" : "" }, { "dropping-particle" : "", "family" : "McDonald", "given" : "R.I.", "non-dropping-particle" : "", "parse-names" : false, "suffix" : "" }, { "dropping-particle" : "", "family" : "Parnell", "given" : "S.", "non-dropping-particle" : "", "parse-names" : false, "suffix" : "" }, { "dropping-particle" : "", "family" : "Schewenius", "given" : "M.", "non-dropping-particle" : "", "parse-names" : false, "suffix" : "" }, { "dropping-particle" : "", "family" : "Sendstad", "given" : "M.", "non-dropping-particle" : "", "parse-names" : false, "suffix" : "" }, { "dropping-particle" : "", "family" : "Seto", "given" : "K.C.", "non-dropping-particle" : "", "parse-names" : false, "suffix" : "" }, { "dropping-particle" : "", "family" : "Wilkinson", "given" : "C.", "non-dropping-particle" : "", "parse-names" : false, "suffix" : "" } ], "id" : "ITEM-1", "issued" : { "date-parts" : [ [ "2013" ] ] }, "page" : "279-286", "publisher" : "Springer", "publisher-place" : "New York, USA", "title" : "Regional assessment of North America: Urbanization trends, biodiversity patterns, and ecosystem services.", "type" : "chapter" }, "uris" : [ "http://www.mendeley.com/documents/?uuid=660242f5-d97c-4f0d-8b0b-d143b3c524fb" ] }, { "id" : "ITEM-2", "itemData" : { "author" : [ { "dropping-particle" : "", "family" : "Pauchard", "given" : "A.", "non-dropping-particle" : "", "parse-names" : false, "suffix" : "" }, { "dropping-particle" : "", "family" : "Barbosa", "given" : "O.", "non-dropping-particle" : "", "parse-names" : false, "suffix" : "" } ], "container-title" : "Urbanization, Biodiversity and Ecosystem Services: Challenges and Opportunities: A Global Assessment", "editor" : [ { "dropping-particle" : "", "family" : "Elmqvist", "given" : "T.", "non-dropping-particle" : "", "parse-names" : false, "suffix" : "" }, { "dropping-particle" : "", "family" : "Fagkias", "given" : "M.", "non-dropping-particle" : "", "parse-names" : false, "suffix" : "" }, { "dropping-particle" : "", "family" : "Goodness", "given" : "J.", "non-dropping-particle" : "", "parse-names" : false, "suffix" : "" }, { "dropping-particle" : "", "family" : "G\u00fcneralp", "given" : "B.", "non-dropping-particle" : "", "parse-names" : false, "suffix" : "" }, { "dropping-particle" : "", "family" : "Marcotullio", "given" : "P.J.", "non-dropping-particle" : "", "parse-names" : false, "suffix" : "" }, { "dropping-particle" : "", "family" : "McDonald", "given" : "R.I.", "non-dropping-particle" : "", "parse-names" : false, "suffix" : "" }, { "dropping-particle" : "", "family" : "Parnell", "given" : "S.", "non-dropping-particle" : "", "parse-names" : false, "suffix" : "" }, { "dropping-particle" : "", "family" : "Schewenius", "given" : "M.", "non-dropping-particle" : "", "parse-names" : false, "suffix" : "" }, { "dropping-particle" : "", "family" : "Sendstad", "given" : "M.", "non-dropping-particle" : "", "parse-names" : false, "suffix" : "" }, { "dropping-particle" : "", "family" : "Seto", "given" : "K.C.", "non-dropping-particle" : "", "parse-names" : false, "suffix" : "" }, { "dropping-particle" : "", "family" : "Wilkinson", "given" : "C.", "non-dropping-particle" : "", "parse-names" : false, "suffix" : "" } ], "id" : "ITEM-2", "issued" : { "date-parts" : [ [ "2013" ] ] }, "page" : "589-608", "publisher" : "Springer", "publisher-place" : "New York, USA", "title" : "Regional assessment of Latin America: Rapid urban development and social economic inequity threaten biodiversity hotspots.", "type" : "chapter" }, "uris" : [ "http://www.mendeley.com/documents/?uuid=b80b582f-3b4a-4e78-a1f5-790e792668a7" ] } ], "mendeley" : { "formattedCitation" : "(McPhearson, Auch, &amp; Alberti, 2013; A. Pauchard &amp; Barbosa, 2013)", "manualFormatting" : "(McPhearson et al., 2013; Pauchard &amp; Barbosa, 2013)", "plainTextFormattedCitation" : "(McPhearson, Auch, &amp; Alberti, 2013; A. Pauchard &amp; Barbosa, 2013)", "previouslyFormattedCitation" : "(McPhearson, Auch, &amp; Alberti, 2013; A. Pauchard &amp; Barbosa, 2013)" }, "properties" : { "noteIndex" : 0 }, "schema" : "https://github.com/citation-style-language/schema/raw/master/csl-citation.json" }</w:instrText>
      </w:r>
      <w:r w:rsidRPr="008608AA">
        <w:fldChar w:fldCharType="separate"/>
      </w:r>
      <w:r w:rsidRPr="008608AA">
        <w:rPr>
          <w:noProof/>
        </w:rPr>
        <w:t>(McPhearson et al., 2013; Pauchard &amp; Barbosa, 2013)</w:t>
      </w:r>
      <w:r w:rsidRPr="008608AA">
        <w:fldChar w:fldCharType="end"/>
      </w:r>
      <w:r w:rsidRPr="008608AA">
        <w:t xml:space="preserve"> although cities may be hotspots of plant biodiversity because of human cultivation </w:t>
      </w:r>
      <w:r w:rsidRPr="008608AA">
        <w:fldChar w:fldCharType="begin" w:fldLock="1"/>
      </w:r>
      <w:r w:rsidRPr="008608AA">
        <w:instrText>ADDIN CSL_CITATION { "citationItems" : [ { "id" : "ITEM-1", "itemData" : { "DOI" : "10.1007/978-94-007-7088-1_10", "ISBN" : "9789400770881", "ISSN" : "978-94-007-7087-4", "PMID" : "10493538", "abstract" : "Urbanization destroys or modifi es native habitats and creates new ones with its infrastructure. Because of these changes, urban landscapes favor non-native and native species that are generalists. Nevertheless, cities reveal a great variety of habitats and species, and, especially in temperate cities, the diversity of vascular plants and birds can be higher than in the surrounding landscapes. The actual occurrence of a species, however, depends on habitat availability and quality, the spatial arrangements of habitats, species pools, a species\u2019 adaptability and natural history, and site history. In addition, cities are particularly human-made ecological systems. Top- down and bottom-up activities of planners, land managers, and citi- zens create the urban biodiversity in general and in detail. Plants and animals in cities are the everyday life contact with nature of the most humans on our earth. The intrinsic interplay of social and ecological systems with a city often forms unique biotic assemblages inherent to that city. To support native biodiversity, landscape architects, conservation biologists, and other groups are linking landscape design with ecosystem structure and function to create and restore habitats and reintroduce native species in cities.", "author" : [ { "dropping-particle" : "", "family" : "M\u00fcller", "given" : "Norbert", "non-dropping-particle" : "", "parse-names" : false, "suffix" : "" }, { "dropping-particle" : "", "family" : "Ignatieva", "given" : "Maria", "non-dropping-particle" : "", "parse-names" : false, "suffix" : "" }, { "dropping-particle" : "", "family" : "Nilon", "given" : "Charles H.", "non-dropping-particle" : "", "parse-names" : false, "suffix" : "" }, { "dropping-particle" : "", "family" : "Werner", "given" : "Peter", "non-dropping-particle" : "", "parse-names" : false, "suffix" : "" }, { "dropping-particle" : "", "family" : "Zipperer", "given" : "Wayne C.", "non-dropping-particle" : "", "parse-names" : false, "suffix" : "" } ], "container-title" : "Urbanization, Biodiversity and Ecosystem Services: Challenges and Opportunities: A Global Assessment", "id" : "ITEM-1", "issued" : { "date-parts" : [ [ "2013" ] ] }, "page" : "123-174", "title" : "Patterns and trends in urban biodiversity and landscape design", "type" : "chapter" }, "uris" : [ "http://www.mendeley.com/documents/?uuid=bebc3b83-a4d8-3a5f-964d-1315a85bfc75" ] } ], "mendeley" : { "formattedCitation" : "(M\u00fcller, Ignatieva, Nilon, Werner, &amp; Zipperer, 2013)", "manualFormatting" : "(M\u00fcller et al., 2013)", "plainTextFormattedCitation" : "(M\u00fcller, Ignatieva, Nilon, Werner, &amp; Zipperer, 2013)", "previouslyFormattedCitation" : "(M\u00fcller, Ignatieva, Nilon, Werner, &amp; Zipperer, 2013)" }, "properties" : { "noteIndex" : 0 }, "schema" : "https://github.com/citation-style-language/schema/raw/master/csl-citation.json" }</w:instrText>
      </w:r>
      <w:r w:rsidRPr="008608AA">
        <w:fldChar w:fldCharType="separate"/>
      </w:r>
      <w:r w:rsidRPr="008608AA">
        <w:rPr>
          <w:noProof/>
        </w:rPr>
        <w:t>(Müller et al., 2013)</w:t>
      </w:r>
      <w:r w:rsidRPr="008608AA">
        <w:fldChar w:fldCharType="end"/>
      </w:r>
      <w:r w:rsidRPr="008608AA">
        <w:t xml:space="preserve">. A survey of spontaneous and cultivated flora across seven USA cities found a positive association between species richness and urbanization </w:t>
      </w:r>
      <w:r w:rsidRPr="008608AA">
        <w:fldChar w:fldCharType="begin" w:fldLock="1"/>
      </w:r>
      <w:r w:rsidRPr="008608AA">
        <w:instrText>ADDIN CSL_CITATION { "citationItems" : [ { "id" : "ITEM-1", "itemData" : { "abstract" : "Urban ecosystems are widely hypothesised to be more ecologically homogeneous than natural ecosystems. We argue that urban plant communities assemble from a complex mix of horticultural and regional species pools and thus evaluate the homogenisation hypothesis by comparing cultivated and spontaneously occurring urban vegetation to natural area vegetation across seven major US cities. Urban yards were homogenised across cities in terms of their diversity, composition, and structure. First, cultivated and spontaneous yard flora had higher numbers of species than did natural areas but similar phylogenetic diversity, indicating that yard species were drawn from a relatively small number of lineages. Second, yards were compositionally more similar across regions than were natural areas. Finally, vegetation structure, specifically cultivated tree density, was less variable in yards than natural areas across cities. Biodiversity homogenisation likely reflects similar horticultural source pools, homeowner preferences, management practices, and environmental filters across US cities.", "author" : [ { "dropping-particle" : "", "family" : "Pearse", "given" : "William D.", "non-dropping-particle" : "", "parse-names" : false, "suffix" : "" }, { "dropping-particle" : "", "family" : "Cavender-Bares", "given" : "Jeannine", "non-dropping-particle" : "", "parse-names" : false, "suffix" : "" }, { "dropping-particle" : "", "family" : "Hobbie", "given" : "Sarah E.", "non-dropping-particle" : "", "parse-names" : false, "suffix" : "" }, { "dropping-particle" : "", "family" : "Avolio", "given" : "Meghan", "non-dropping-particle" : "", "parse-names" : false, "suffix" : "" }, { "dropping-particle" : "", "family" : "Bettez", "given" : "Neil", "non-dropping-particle" : "", "parse-names" : false, "suffix" : "" }, { "dropping-particle" : "", "family" : "Chowdhury", "given" : "Rinku Roy", "non-dropping-particle" : "", "parse-names" : false, "suffix" : "" }, { "dropping-particle" : "", "family" : "Groffman", "given" : "Peter M.", "non-dropping-particle" : "", "parse-names" : false, "suffix" : "" }, { "dropping-particle" : "", "family" : "Grove", "given" : "Morgan", "non-dropping-particle" : "", "parse-names" : false, "suffix" : "" }, { "dropping-particle" : "", "family" : "Hall", "given" : "Sharon J.", "non-dropping-particle" : "", "parse-names" : false, "suffix" : "" }, { "dropping-particle" : "", "family" : "Heffernan", "given" : "James B.", "non-dropping-particle" : "", "parse-names" : false, "suffix" : "" }, { "dropping-particle" : "", "family" : "Learned", "given" : "Jennifer", "non-dropping-particle" : "", "parse-names" : false, "suffix" : "" }, { "dropping-particle" : "", "family" : "Neill", "given" : "Christopher", "non-dropping-particle" : "", "parse-names" : false, "suffix" : "" }, { "dropping-particle" : "", "family" : "Nelson", "given" : "Kristen C.", "non-dropping-particle" : "", "parse-names" : false, "suffix" : "" }, { "dropping-particle" : "", "family" : "Pataki", "given" : "Diane E.", "non-dropping-particle" : "", "parse-names" : false, "suffix" : "" }, { "dropping-particle" : "", "family" : "Ruddell", "given" : "Benjamin L.", "non-dropping-particle" : "", "parse-names" : false, "suffix" : "" }, { "dropping-particle" : "", "family" : "Steele", "given" : "Meredith E.", "non-dropping-particle" : "", "parse-names" : false, "suffix" : "" }, { "dropping-particle" : "", "family" : "Trammell", "given" : "Tara L. E.", "non-dropping-particle" : "", "parse-names" : false, "suffix" : "" } ], "container-title" : "bioRxiv", "id" : "ITEM-1", "issued" : { "date-parts" : [ [ "2016" ] ] }, "page" : "061937", "title" : "Ecological homogenisation in North American urban yards: vegetation diversity, composition, and structure", "type" : "article-journal" }, "uris" : [ "http://www.mendeley.com/documents/?uuid=5536bf2d-5df7-48b2-a44a-53868ce57fd1" ] } ], "mendeley" : { "formattedCitation" : "(Pearse et al., 2016)", "manualFormatting" : "(Pearse et al., 2016)", "plainTextFormattedCitation" : "(Pearse et al., 2016)", "previouslyFormattedCitation" : "(Pearse et al., 2016)" }, "properties" : { "noteIndex" : 0 }, "schema" : "https://github.com/citation-style-language/schema/raw/master/csl-citation.json" }</w:instrText>
      </w:r>
      <w:r w:rsidRPr="008608AA">
        <w:fldChar w:fldCharType="separate"/>
      </w:r>
      <w:r w:rsidRPr="008608AA">
        <w:rPr>
          <w:noProof/>
        </w:rPr>
        <w:t xml:space="preserve">(Pearse et al., </w:t>
      </w:r>
      <w:r w:rsidR="006E5B50" w:rsidRPr="008608AA">
        <w:rPr>
          <w:noProof/>
        </w:rPr>
        <w:t>2018</w:t>
      </w:r>
      <w:r w:rsidRPr="008608AA">
        <w:rPr>
          <w:noProof/>
        </w:rPr>
        <w:t>)</w:t>
      </w:r>
      <w:r w:rsidRPr="008608AA">
        <w:fldChar w:fldCharType="end"/>
      </w:r>
      <w:r w:rsidRPr="008608AA">
        <w:t xml:space="preserve">, a pattern that has been observed in other regions </w:t>
      </w:r>
      <w:r w:rsidRPr="008608AA">
        <w:fldChar w:fldCharType="begin" w:fldLock="1"/>
      </w:r>
      <w:r w:rsidRPr="008608AA">
        <w:instrText>ADDIN CSL_CITATION { "citationItems" : [ { "id" : "ITEM-1", "itemData" : { "author" : [ { "dropping-particle" : "", "family" : "Walker", "given" : "J.S.", "non-dropping-particle" : "", "parse-names" : false, "suffix" : "" }, { "dropping-particle" : "", "family" : "Grimm", "given" : "N.B.", "non-dropping-particle" : "", "parse-names" : false, "suffix" : "" }, { "dropping-particle" : "", "family" : "Briggs", "given" : "J.M.", "non-dropping-particle" : "", "parse-names" : false, "suffix" : "" }, { "dropping-particle" : "", "family" : "Gries", "given" : "C.", "non-dropping-particle" : "", "parse-names" : false, "suffix" : "" }, { "dropping-particle" : "", "family" : "Dugan", "given" : "L.", "non-dropping-particle" : "", "parse-names" : false, "suffix" : "" } ], "container-title" : "Frontiers in Ecology and the Environment", "id" : "ITEM-1", "issue" : "9", "issued" : { "date-parts" : [ [ "2009" ] ] }, "page" : "465\u2013470", "title" : "Effects of urbanization on plant species diversity in central Arizona", "type" : "article-journal", "volume" : "7" }, "uris" : [ "http://www.mendeley.com/documents/?uuid=bdd5e3dd-c56b-4e75-9189-90ccb8348ab1" ] }, { "id" : "ITEM-2", "itemData" : { "author" : [ { "dropping-particle" : "", "family" : "Hope", "given" : "D.", "non-dropping-particle" : "", "parse-names" : false, "suffix" : "" }, { "dropping-particle" : "", "family" : "Gries", "given" : "C.", "non-dropping-particle" : "", "parse-names" : false, "suffix" : "" }, { "dropping-particle" : "", "family" : "Zhu", "given" : "W.", "non-dropping-particle" : "", "parse-names" : false, "suffix" : "" }, { "dropping-particle" : "", "family" : "Fagan", "given" : "W.F.", "non-dropping-particle" : "", "parse-names" : false, "suffix" : "" }, { "dropping-particle" : "", "family" : "Redman", "given" : "C.L.", "non-dropping-particle" : "", "parse-names" : false, "suffix" : "" }, { "dropping-particle" : "", "family" : "Grim", "given" : "N.B.", "non-dropping-particle" : "", "parse-names" : false, "suffix" : "" }, { "dropping-particle" : "", "family" : "Nelson", "given" : "A.L.", "non-dropping-particle" : "", "parse-names" : false, "suffix" : "" }, { "dropping-particle" : "", "family" : "Martin", "given" : "C.", "non-dropping-particle" : "", "parse-names" : false, "suffix" : "" }, { "dropping-particle" : "", "family" : "Kinzig", "given" : "A.", "non-dropping-particle" : "", "parse-names" : false, "suffix" : "" } ], "container-title" : "PNAS", "id" : "ITEM-2", "issue" : "15", "issued" : { "date-parts" : [ [ "2003" ] ] }, "page" : "8788\u20138792", "title" : "Socioeconomics drive urban plant diversity", "type" : "article-journal", "volume" : "100" }, "uris" : [ "http://www.mendeley.com/documents/?uuid=4270b22c-f3e5-47df-acfd-42ea22184de6" ] } ], "mendeley" : { "formattedCitation" : "(Hope et al., 2003; J. S. Walker, Grimm, Briggs, Gries, &amp; Dugan, 2009)", "manualFormatting" : "(Hope et al., 2003; Walker et al., 2009)", "plainTextFormattedCitation" : "(Hope et al., 2003; J. S. Walker, Grimm, Briggs, Gries, &amp; Dugan, 2009)", "previouslyFormattedCitation" : "(Hope et al., 2003; J. S. Walker, Grimm, Briggs, Gries, &amp; Dugan, 2009)" }, "properties" : { "noteIndex" : 0 }, "schema" : "https://github.com/citation-style-language/schema/raw/master/csl-citation.json" }</w:instrText>
      </w:r>
      <w:r w:rsidRPr="008608AA">
        <w:fldChar w:fldCharType="separate"/>
      </w:r>
      <w:r w:rsidRPr="008608AA">
        <w:rPr>
          <w:noProof/>
        </w:rPr>
        <w:t>(Hope et al., 2003; Walker et al., 2009)</w:t>
      </w:r>
      <w:r w:rsidRPr="008608AA">
        <w:fldChar w:fldCharType="end"/>
      </w:r>
      <w:r w:rsidRPr="008608AA">
        <w:t xml:space="preserve">. However, urbanization can lead to loss of spontaneous species richness and phylogenetic diversity and selects for plants with functional traits that allow them to disperse and reproduce well in the urban environment </w:t>
      </w:r>
      <w:r w:rsidRPr="008608AA">
        <w:fldChar w:fldCharType="begin" w:fldLock="1"/>
      </w:r>
      <w:r w:rsidRPr="008608AA">
        <w:instrText>ADDIN CSL_CITATION { "citationItems" : [ { "id" : "ITEM-1", "itemData" : { "DOI" : "10.1890/11-0392.1", "ISBN" : "0012-9658", "ISSN" : "00129658", "abstract" : "Urban areas are among the most heavily managed landscapes in the world, yet they harbor a remarkable richness of species. Private yards are common habitats in urban areas and are places where cultivated species manage to escape cultivation and become part of the spontaneous species pool. Yards are novel ecosystems where community assembly is driven by both natural and anthropogenic processes. Phylogenetic diversity and functional traits are increasingly recognized as critical to understanding processes of community assembly. Recent evidence indicates that urban areas may select more closely related plant species from the pool of regionally occurring species than do nonurban areas, and that exotic species are phylogenetically clustered within communities. We tested whether phylogenetic diversity and functional trait composition in privately managed yards change along a gradient of housing density in the Minneapolis\u2013Saint Paul metropolis, Minnesota, USA, in accordance with these predictions. We also identified characteristics of the spontaneous yard flora by comparing its phylogenetic diversity and functional composition with the \u2018\u2018natural-areas\u2019\u2019 species pool represented by the flora of nearby Cedar Creek Ecosystem Science Reserve. Along the urbanization gradient, yards had more species per hectare in densely built regions than in lower-density regions, but phylogenetic diversity and functional composition did not change with housing density. In contrast, in comparison to species in natural areas, yard species were more closely related to each other and functionally distinct: They were more often short-lived, self-compatible, and had higher specific leaf area than species of Cedar Creek. The high number of exotic yard species increased the yard flora\u2019s phylogenetic relatedness in comparison to species of Cedar Creek, causing a degree of phylogenetic homogenization within yards. The urban environment and homeowners\u2019 preferences select for trait attributes and phylogenetic lineages that can colonize and persist in yards. As yard species disperse beyond household boundaries, their functional attributes will affect ecosystem processes in comparison to species of Cedar Creek, causing a degree of phylogenetic homogenization within yards. The urban environment and homeowners\u2019 preferences select for trait attributes and phylogenetic lineages that can colonize and persist in yards. As yard species disperse beyond household boundaries, their functional attributes \u2026", "author" : [ { "dropping-particle" : "", "family" : "Knapp", "given" : "Sonja", "non-dropping-particle" : "", "parse-names" : false, "suffix" : "" }, { "dropping-particle" : "", "family" : "Dinsmore", "given" : "Lucy", "non-dropping-particle" : "", "parse-names" : false, "suffix" : "" }, { "dropping-particle" : "", "family" : "Fissore", "given" : "Cinzia", "non-dropping-particle" : "", "parse-names" : false, "suffix" : "" }, { "dropping-particle" : "", "family" : "Hobbie", "given" : "Sarah E.", "non-dropping-particle" : "", "parse-names" : false, "suffix" : "" }, { "dropping-particle" : "", "family" : "Jakobsdottir", "given" : "Ina", "non-dropping-particle" : "", "parse-names" : false, "suffix" : "" }, { "dropping-particle" : "", "family" : "Kattge", "given" : "Jens", "non-dropping-particle" : "", "parse-names" : false, "suffix" : "" }, { "dropping-particle" : "", "family" : "King", "given" : "Jennifer Y.", "non-dropping-particle" : "", "parse-names" : false, "suffix" : "" }, { "dropping-particle" : "", "family" : "Klotz", "given" : "Stefan", "non-dropping-particle" : "", "parse-names" : false, "suffix" : "" }, { "dropping-particle" : "", "family" : "McFadden", "given" : "Joseph P.", "non-dropping-particle" : "", "parse-names" : false, "suffix" : "" }, { "dropping-particle" : "", "family" : "Cavender-Bares", "given" : "Jeannine", "non-dropping-particle" : "", "parse-names" : false, "suffix" : "" } ], "container-title" : "Ecology", "id" : "ITEM-1", "issue" : "sp8", "issued" : { "date-parts" : [ [ "2012" ] ] }, "page" : "S83-S98", "title" : "Phylogenetic and functional characteristics of household yard floras and their changes along an urbanization gradient", "type" : "article-journal", "volume" : "93" }, "uris" : [ "http://www.mendeley.com/documents/?uuid=930375bf-7314-4c42-aaa7-e2123b5626bf" ] } ], "mendeley" : { "formattedCitation" : "(S. Knapp et al., 2012)", "manualFormatting" : "(Knapp et al., 2012)", "plainTextFormattedCitation" : "(S. Knapp et al., 2012)", "previouslyFormattedCitation" : "(S. Knapp et al., 2012)" }, "properties" : { "noteIndex" : 0 }, "schema" : "https://github.com/citation-style-language/schema/raw/master/csl-citation.json" }</w:instrText>
      </w:r>
      <w:r w:rsidRPr="008608AA">
        <w:fldChar w:fldCharType="separate"/>
      </w:r>
      <w:r w:rsidRPr="008608AA">
        <w:rPr>
          <w:noProof/>
        </w:rPr>
        <w:t>(Knapp et al., 2012)</w:t>
      </w:r>
      <w:r w:rsidRPr="008608AA">
        <w:fldChar w:fldCharType="end"/>
      </w:r>
      <w:r w:rsidRPr="008608AA">
        <w:t>. That is, the urban flora is a non-random sample of plant biodiversity.</w:t>
      </w:r>
    </w:p>
    <w:p w14:paraId="0DA3FDA9" w14:textId="263A6164" w:rsidR="00ED2CA3" w:rsidRPr="008608AA" w:rsidRDefault="004255E7" w:rsidP="00BE4235">
      <w:r w:rsidRPr="008608AA">
        <w:t xml:space="preserve">Cultivated plant species in North America, and perhaps across the Americas, include a high number of introduced species </w:t>
      </w:r>
      <w:r w:rsidRPr="008608AA">
        <w:fldChar w:fldCharType="begin" w:fldLock="1"/>
      </w:r>
      <w:r w:rsidRPr="008608AA">
        <w:instrText>ADDIN CSL_CITATION { "citationItems" : [ { "id" : "ITEM-1", "itemData" : { "abstract" : "Urban ecosystems are widely hypothesised to be more ecologically homogeneous than natural ecosystems. We argue that urban plant communities assemble from a complex mix of horticultural and regional species pools and thus evaluate the homogenisation hypothesis by comparing cultivated and spontaneously occurring urban vegetation to natural area vegetation across seven major US cities. Urban yards were homogenised across cities in terms of their diversity, composition, and structure. First, cultivated and spontaneous yard flora had higher numbers of species than did natural areas but similar phylogenetic diversity, indicating that yard species were drawn from a relatively small number of lineages. Second, yards were compositionally more similar across regions than were natural areas. Finally, vegetation structure, specifically cultivated tree density, was less variable in yards than natural areas across cities. Biodiversity homogenisation likely reflects similar horticultural source pools, homeowner preferences, management practices, and environmental filters across US cities.", "author" : [ { "dropping-particle" : "", "family" : "Pearse", "given" : "William D.", "non-dropping-particle" : "", "parse-names" : false, "suffix" : "" }, { "dropping-particle" : "", "family" : "Cavender-Bares", "given" : "Jeannine", "non-dropping-particle" : "", "parse-names" : false, "suffix" : "" }, { "dropping-particle" : "", "family" : "Hobbie", "given" : "Sarah E.", "non-dropping-particle" : "", "parse-names" : false, "suffix" : "" }, { "dropping-particle" : "", "family" : "Avolio", "given" : "Meghan", "non-dropping-particle" : "", "parse-names" : false, "suffix" : "" }, { "dropping-particle" : "", "family" : "Bettez", "given" : "Neil", "non-dropping-particle" : "", "parse-names" : false, "suffix" : "" }, { "dropping-particle" : "", "family" : "Chowdhury", "given" : "Rinku Roy", "non-dropping-particle" : "", "parse-names" : false, "suffix" : "" }, { "dropping-particle" : "", "family" : "Groffman", "given" : "Peter M.", "non-dropping-particle" : "", "parse-names" : false, "suffix" : "" }, { "dropping-particle" : "", "family" : "Grove", "given" : "Morgan", "non-dropping-particle" : "", "parse-names" : false, "suffix" : "" }, { "dropping-particle" : "", "family" : "Hall", "given" : "Sharon J.", "non-dropping-particle" : "", "parse-names" : false, "suffix" : "" }, { "dropping-particle" : "", "family" : "Heffernan", "given" : "James B.", "non-dropping-particle" : "", "parse-names" : false, "suffix" : "" }, { "dropping-particle" : "", "family" : "Learned", "given" : "Jennifer", "non-dropping-particle" : "", "parse-names" : false, "suffix" : "" }, { "dropping-particle" : "", "family" : "Neill", "given" : "Christopher", "non-dropping-particle" : "", "parse-names" : false, "suffix" : "" }, { "dropping-particle" : "", "family" : "Nelson", "given" : "Kristen C.", "non-dropping-particle" : "", "parse-names" : false, "suffix" : "" }, { "dropping-particle" : "", "family" : "Pataki", "given" : "Diane E.", "non-dropping-particle" : "", "parse-names" : false, "suffix" : "" }, { "dropping-particle" : "", "family" : "Ruddell", "given" : "Benjamin L.", "non-dropping-particle" : "", "parse-names" : false, "suffix" : "" }, { "dropping-particle" : "", "family" : "Steele", "given" : "Meredith E.", "non-dropping-particle" : "", "parse-names" : false, "suffix" : "" }, { "dropping-particle" : "", "family" : "Trammell", "given" : "Tara L. E.", "non-dropping-particle" : "", "parse-names" : false, "suffix" : "" } ], "container-title" : "bioRxiv", "id" : "ITEM-1", "issued" : { "date-parts" : [ [ "2016" ] ] }, "page" : "061937", "title" : "Ecological homogenisation in North American urban yards: vegetation diversity, composition, and structure", "type" : "article-journal" }, "uris" : [ "http://www.mendeley.com/documents/?uuid=5536bf2d-5df7-48b2-a44a-53868ce57fd1" ] } ], "mendeley" : { "formattedCitation" : "(Pearse et al., 2016)", "manualFormatting" : "(Pearse et al., 2016)", "plainTextFormattedCitation" : "(Pearse et al., 2016)", "previouslyFormattedCitation" : "(Pearse et al., 2016)" }, "properties" : { "noteIndex" : 0 }, "schema" : "https://github.com/citation-style-language/schema/raw/master/csl-citation.json" }</w:instrText>
      </w:r>
      <w:r w:rsidRPr="008608AA">
        <w:fldChar w:fldCharType="separate"/>
      </w:r>
      <w:r w:rsidRPr="008608AA">
        <w:rPr>
          <w:noProof/>
        </w:rPr>
        <w:t xml:space="preserve">(Pearse et al., </w:t>
      </w:r>
      <w:r w:rsidR="006E5B50" w:rsidRPr="008608AA">
        <w:rPr>
          <w:noProof/>
        </w:rPr>
        <w:t>2018</w:t>
      </w:r>
      <w:r w:rsidRPr="008608AA">
        <w:rPr>
          <w:noProof/>
        </w:rPr>
        <w:t>)</w:t>
      </w:r>
      <w:r w:rsidRPr="008608AA">
        <w:fldChar w:fldCharType="end"/>
      </w:r>
      <w:r w:rsidRPr="008608AA">
        <w:t xml:space="preserve">. Such introduced species can escape cultivation </w:t>
      </w:r>
      <w:r w:rsidRPr="008608AA">
        <w:fldChar w:fldCharType="begin" w:fldLock="1"/>
      </w:r>
      <w:r w:rsidRPr="008608AA">
        <w:instrText>ADDIN CSL_CITATION { "citationItems" : [ { "id" : "ITEM-1", "itemData" : { "DOI" : "10.1890/11-0392.1", "ISBN" : "0012-9658", "ISSN" : "00129658", "abstract" : "Urban areas are among the most heavily managed landscapes in the world, yet they harbor a remarkable richness of species. Private yards are common habitats in urban areas and are places where cultivated species manage to escape cultivation and become part of the spontaneous species pool. Yards are novel ecosystems where community assembly is driven by both natural and anthropogenic processes. Phylogenetic diversity and functional traits are increasingly recognized as critical to understanding processes of community assembly. Recent evidence indicates that urban areas may select more closely related plant species from the pool of regionally occurring species than do nonurban areas, and that exotic species are phylogenetically clustered within communities. We tested whether phylogenetic diversity and functional trait composition in privately managed yards change along a gradient of housing density in the Minneapolis\u2013Saint Paul metropolis, Minnesota, USA, in accordance with these predictions. We also identified characteristics of the spontaneous yard flora by comparing its phylogenetic diversity and functional composition with the \u2018\u2018natural-areas\u2019\u2019 species pool represented by the flora of nearby Cedar Creek Ecosystem Science Reserve. Along the urbanization gradient, yards had more species per hectare in densely built regions than in lower-density regions, but phylogenetic diversity and functional composition did not change with housing density. In contrast, in comparison to species in natural areas, yard species were more closely related to each other and functionally distinct: They were more often short-lived, self-compatible, and had higher specific leaf area than species of Cedar Creek. The high number of exotic yard species increased the yard flora\u2019s phylogenetic relatedness in comparison to species of Cedar Creek, causing a degree of phylogenetic homogenization within yards. The urban environment and homeowners\u2019 preferences select for trait attributes and phylogenetic lineages that can colonize and persist in yards. As yard species disperse beyond household boundaries, their functional attributes will affect ecosystem processes in comparison to species of Cedar Creek, causing a degree of phylogenetic homogenization within yards. The urban environment and homeowners\u2019 preferences select for trait attributes and phylogenetic lineages that can colonize and persist in yards. As yard species disperse beyond household boundaries, their functional attributes \u2026", "author" : [ { "dropping-particle" : "", "family" : "Knapp", "given" : "Sonja", "non-dropping-particle" : "", "parse-names" : false, "suffix" : "" }, { "dropping-particle" : "", "family" : "Dinsmore", "given" : "Lucy", "non-dropping-particle" : "", "parse-names" : false, "suffix" : "" }, { "dropping-particle" : "", "family" : "Fissore", "given" : "Cinzia", "non-dropping-particle" : "", "parse-names" : false, "suffix" : "" }, { "dropping-particle" : "", "family" : "Hobbie", "given" : "Sarah E.", "non-dropping-particle" : "", "parse-names" : false, "suffix" : "" }, { "dropping-particle" : "", "family" : "Jakobsdottir", "given" : "Ina", "non-dropping-particle" : "", "parse-names" : false, "suffix" : "" }, { "dropping-particle" : "", "family" : "Kattge", "given" : "Jens", "non-dropping-particle" : "", "parse-names" : false, "suffix" : "" }, { "dropping-particle" : "", "family" : "King", "given" : "Jennifer Y.", "non-dropping-particle" : "", "parse-names" : false, "suffix" : "" }, { "dropping-particle" : "", "family" : "Klotz", "given" : "Stefan", "non-dropping-particle" : "", "parse-names" : false, "suffix" : "" }, { "dropping-particle" : "", "family" : "McFadden", "given" : "Joseph P.", "non-dropping-particle" : "", "parse-names" : false, "suffix" : "" }, { "dropping-particle" : "", "family" : "Cavender-Bares", "given" : "Jeannine", "non-dropping-particle" : "", "parse-names" : false, "suffix" : "" } ], "container-title" : "Ecology", "id" : "ITEM-1", "issue" : "sp8", "issued" : { "date-parts" : [ [ "2012" ] ] }, "page" : "S83-S98", "title" : "Phylogenetic and functional characteristics of household yard floras and their changes along an urbanization gradient", "type" : "article-journal", "volume" : "93" }, "uris" : [ "http://www.mendeley.com/documents/?uuid=930375bf-7314-4c42-aaa7-e2123b5626bf" ] } ], "mendeley" : { "formattedCitation" : "(S. Knapp et al., 2012)", "manualFormatting" : "(Knapp et al., 2012", "plainTextFormattedCitation" : "(S. Knapp et al., 2012)", "previouslyFormattedCitation" : "(S. Knapp et al., 2012)" }, "properties" : { "noteIndex" : 0 }, "schema" : "https://github.com/citation-style-language/schema/raw/master/csl-citation.json" }</w:instrText>
      </w:r>
      <w:r w:rsidRPr="008608AA">
        <w:fldChar w:fldCharType="separate"/>
      </w:r>
      <w:r w:rsidRPr="008608AA">
        <w:rPr>
          <w:noProof/>
        </w:rPr>
        <w:t>(Knapp et al., 2012</w:t>
      </w:r>
      <w:r w:rsidRPr="008608AA">
        <w:fldChar w:fldCharType="end"/>
      </w:r>
      <w:r w:rsidRPr="008608AA">
        <w:t xml:space="preserve">; </w:t>
      </w:r>
      <w:r w:rsidRPr="008608AA">
        <w:fldChar w:fldCharType="begin" w:fldLock="1"/>
      </w:r>
      <w:r w:rsidRPr="008608AA">
        <w:instrText>ADDIN CSL_CITATION { "citationItems" : [ { "id" : "ITEM-1", "itemData" : { "abstract" : "Urban ecosystems are widely hypothesised to be more ecologically homogeneous than natural ecosystems. We argue that urban plant communities assemble from a complex mix of horticultural and regional species pools and thus evaluate the homogenisation hypothesis by comparing cultivated and spontaneously occurring urban vegetation to natural area vegetation across seven major US cities. Urban yards were homogenised across cities in terms of their diversity, composition, and structure. First, cultivated and spontaneous yard flora had higher numbers of species than did natural areas but similar phylogenetic diversity, indicating that yard species were drawn from a relatively small number of lineages. Second, yards were compositionally more similar across regions than were natural areas. Finally, vegetation structure, specifically cultivated tree density, was less variable in yards than natural areas across cities. Biodiversity homogenisation likely reflects similar horticultural source pools, homeowner preferences, management practices, and environmental filters across US cities.", "author" : [ { "dropping-particle" : "", "family" : "Pearse", "given" : "William D.", "non-dropping-particle" : "", "parse-names" : false, "suffix" : "" }, { "dropping-particle" : "", "family" : "Cavender-Bares", "given" : "Jeannine", "non-dropping-particle" : "", "parse-names" : false, "suffix" : "" }, { "dropping-particle" : "", "family" : "Hobbie", "given" : "Sarah E.", "non-dropping-particle" : "", "parse-names" : false, "suffix" : "" }, { "dropping-particle" : "", "family" : "Avolio", "given" : "Meghan", "non-dropping-particle" : "", "parse-names" : false, "suffix" : "" }, { "dropping-particle" : "", "family" : "Bettez", "given" : "Neil", "non-dropping-particle" : "", "parse-names" : false, "suffix" : "" }, { "dropping-particle" : "", "family" : "Chowdhury", "given" : "Rinku Roy", "non-dropping-particle" : "", "parse-names" : false, "suffix" : "" }, { "dropping-particle" : "", "family" : "Groffman", "given" : "Peter M.", "non-dropping-particle" : "", "parse-names" : false, "suffix" : "" }, { "dropping-particle" : "", "family" : "Grove", "given" : "Morgan", "non-dropping-particle" : "", "parse-names" : false, "suffix" : "" }, { "dropping-particle" : "", "family" : "Hall", "given" : "Sharon J.", "non-dropping-particle" : "", "parse-names" : false, "suffix" : "" }, { "dropping-particle" : "", "family" : "Heffernan", "given" : "James B.", "non-dropping-particle" : "", "parse-names" : false, "suffix" : "" }, { "dropping-particle" : "", "family" : "Learned", "given" : "Jennifer", "non-dropping-particle" : "", "parse-names" : false, "suffix" : "" }, { "dropping-particle" : "", "family" : "Neill", "given" : "Christopher", "non-dropping-particle" : "", "parse-names" : false, "suffix" : "" }, { "dropping-particle" : "", "family" : "Nelson", "given" : "Kristen C.", "non-dropping-particle" : "", "parse-names" : false, "suffix" : "" }, { "dropping-particle" : "", "family" : "Pataki", "given" : "Diane E.", "non-dropping-particle" : "", "parse-names" : false, "suffix" : "" }, { "dropping-particle" : "", "family" : "Ruddell", "given" : "Benjamin L.", "non-dropping-particle" : "", "parse-names" : false, "suffix" : "" }, { "dropping-particle" : "", "family" : "Steele", "given" : "Meredith E.", "non-dropping-particle" : "", "parse-names" : false, "suffix" : "" }, { "dropping-particle" : "", "family" : "Trammell", "given" : "Tara L. E.", "non-dropping-particle" : "", "parse-names" : false, "suffix" : "" } ], "container-title" : "bioRxiv", "id" : "ITEM-1", "issued" : { "date-parts" : [ [ "2016" ] ] }, "page" : "061937", "title" : "Ecological homogenisation in North American urban yards: vegetation diversity, composition, and structure", "type" : "article-journal" }, "uris" : [ "http://www.mendeley.com/documents/?uuid=5536bf2d-5df7-48b2-a44a-53868ce57fd1" ] } ], "mendeley" : { "formattedCitation" : "(Pearse et al., 2016)", "manualFormatting" : "Pearse et al., 2016)", "plainTextFormattedCitation" : "(Pearse et al., 2016)", "previouslyFormattedCitation" : "(Pearse et al., 2016)" }, "properties" : { "noteIndex" : 0 }, "schema" : "https://github.com/citation-style-language/schema/raw/master/csl-citation.json" }</w:instrText>
      </w:r>
      <w:r w:rsidRPr="008608AA">
        <w:fldChar w:fldCharType="separate"/>
      </w:r>
      <w:r w:rsidRPr="008608AA">
        <w:rPr>
          <w:noProof/>
        </w:rPr>
        <w:t xml:space="preserve">Pearse et al., </w:t>
      </w:r>
      <w:r w:rsidR="006E5B50" w:rsidRPr="008608AA">
        <w:rPr>
          <w:noProof/>
        </w:rPr>
        <w:t>2018</w:t>
      </w:r>
      <w:r w:rsidRPr="008608AA">
        <w:rPr>
          <w:noProof/>
        </w:rPr>
        <w:t>)</w:t>
      </w:r>
      <w:r w:rsidRPr="008608AA">
        <w:fldChar w:fldCharType="end"/>
      </w:r>
      <w:r w:rsidRPr="008608AA">
        <w:t xml:space="preserve"> and interact with native species, changing the floral composition in urban areas and beyond </w:t>
      </w:r>
      <w:r w:rsidRPr="008608AA">
        <w:fldChar w:fldCharType="begin" w:fldLock="1"/>
      </w:r>
      <w:r w:rsidRPr="008608AA">
        <w:instrText>ADDIN CSL_CITATION { "citationItems" : [ { "id" : "ITEM-1", "itemData" : { "DOI" : "doi: 10.1016/j.scitotenv.2016.04.200", "ISBN" : "0006-3568", "ISSN" : "1525-3244", "abstract" : "The global decline in biodiversity as a result of urbanization remains poorly understood. Whereas habitat destruction accounts for losses at the species level, it may not explain diversity loss at the community level, because urban centers also attract synanthropic species that do not neces- sarily exist in wildlands. Here we suggest an alternative framework for understanding this phenomenon: the competitive exclusion of native, non- synanthropic species by invasive species. We use data from two urban centers (Phoenix and Baltimore) and two taxa (birds and spiders) to link diversity loss with reduced community evenness among species in urban communities. This reduction in evenness may be caused by a minority of invasive species dominating the majority of the resources, consequently excluding nonsynanthropic species that could otherwise adapt to urban conditions. We use foraging efficiency as a mechanism to explain the loss of diversity. Thus, to understand the effects of habitat conversion on biodiversity, and to sustain species-rich communities, future research should give more attention to interspecific interactions in urban settings.", "author" : [ { "dropping-particle" : "", "family" : "Shochat", "given" : "Eyal", "non-dropping-particle" : "", "parse-names" : false, "suffix" : "" }, { "dropping-particle" : "", "family" : "Lerman", "given" : "Susannah B.", "non-dropping-particle" : "", "parse-names" : false, "suffix" : "" }, { "dropping-particle" : "", "family" : "Anderies", "given" : "John M.", "non-dropping-particle" : "", "parse-names" : false, "suffix" : "" }, { "dropping-particle" : "", "family" : "Warren", "given" : "Paige S.", "non-dropping-particle" : "", "parse-names" : false, "suffix" : "" }, { "dropping-particle" : "", "family" : "Faeth", "given" : "Stanley H.", "non-dropping-particle" : "", "parse-names" : false, "suffix" : "" }, { "dropping-particle" : "", "family" : "Nilon", "given" : "Charles H.", "non-dropping-particle" : "", "parse-names" : false, "suffix" : "" } ], "container-title" : "BioScience", "id" : "ITEM-1", "issue" : "3", "issued" : { "date-parts" : [ [ "2010" ] ] }, "page" : "199-208", "title" : "Invasion, competition, and biodiversity loss in urban ecosystems", "type" : "article-journal", "volume" : "60" }, "uris" : [ "http://www.mendeley.com/documents/?uuid=4dcd10ea-89dc-3a49-b1a4-3ac8f6707115" ] } ], "mendeley" : { "formattedCitation" : "(Shochat et al., 2010)", "plainTextFormattedCitation" : "(Shochat et al., 2010)", "previouslyFormattedCitation" : "(Shochat et al., 2010)" }, "properties" : { "noteIndex" : 0 }, "schema" : "https://github.com/citation-style-language/schema/raw/master/csl-citation.json" }</w:instrText>
      </w:r>
      <w:r w:rsidRPr="008608AA">
        <w:fldChar w:fldCharType="separate"/>
      </w:r>
      <w:r w:rsidRPr="008608AA">
        <w:rPr>
          <w:noProof/>
        </w:rPr>
        <w:t>(Shochat et al., 2010)</w:t>
      </w:r>
      <w:r w:rsidRPr="008608AA">
        <w:fldChar w:fldCharType="end"/>
      </w:r>
      <w:r w:rsidRPr="008608AA">
        <w:t xml:space="preserve">. Indeed, the proportion of exotic plants is expanding, and the number of native species is declining in urban areas in the Americas </w:t>
      </w:r>
      <w:r w:rsidRPr="008608AA">
        <w:fldChar w:fldCharType="begin" w:fldLock="1"/>
      </w:r>
      <w:r w:rsidRPr="008608AA">
        <w:instrText>ADDIN CSL_CITATION { "citationItems" : [ { "id" : "ITEM-1", "itemData" : { "ISSN" : "0006-3568", "abstract" : "There must have been plenty of them about, growing up quietly and inoffensively, with nobody taking any particular notice of them\u2026. And so the one in our garden continued its growth peacefully, as did thousands like it in neglected spots all over the world\u2026. It was some little time later that the first one picked up its roots and walked.John Wyndham, The Day of the Triffids", "author" : [ { "dropping-particle" : "", "family" : "Reichard", "given" : "Sarah Hayden", "non-dropping-particle" : "", "parse-names" : false, "suffix" : "" }, { "dropping-particle" : "", "family" : "White", "given" : "Peter", "non-dropping-particle" : "", "parse-names" : false, "suffix" : "" } ], "container-title" : "BioScience", "id" : "ITEM-1", "issue" : "2", "issued" : { "date-parts" : [ [ "2001", "2", "1" ] ] }, "note" : "10.1641/0006-3568(2001)051[0103:HAAPOI]2.0.CO;2", "page" : "103-113", "title" : "Horticulture as a pathway of invasive plant introductions in the United States most invasive plants have been introduced for horticultural use by nurseries, botanical gardens, and individuals", "type" : "article-journal", "volume" : "51" }, "uris" : [ "http://www.mendeley.com/documents/?uuid=9f1e671e-d1c1-4d12-be2f-3b9d66381d13" ] } ], "mendeley" : { "formattedCitation" : "(Reichard &amp; White, 2001)", "manualFormatting" : "(Reichard &amp; White, 2001;", "plainTextFormattedCitation" : "(Reichard &amp; White, 2001)", "previouslyFormattedCitation" : "(Reichard &amp; White, 2001)" }, "properties" : { "noteIndex" : 0 }, "schema" : "https://github.com/citation-style-language/schema/raw/master/csl-citation.json" }</w:instrText>
      </w:r>
      <w:r w:rsidRPr="008608AA">
        <w:fldChar w:fldCharType="separate"/>
      </w:r>
      <w:r w:rsidRPr="008608AA">
        <w:rPr>
          <w:noProof/>
        </w:rPr>
        <w:t>(Reichard &amp; White, 2001;</w:t>
      </w:r>
      <w:r w:rsidRPr="008608AA">
        <w:fldChar w:fldCharType="end"/>
      </w:r>
      <w:r w:rsidRPr="008608AA">
        <w:t xml:space="preserve"> </w:t>
      </w:r>
      <w:r w:rsidRPr="008608AA">
        <w:fldChar w:fldCharType="begin" w:fldLock="1"/>
      </w:r>
      <w:r w:rsidRPr="008608AA">
        <w:instrText>ADDIN CSL_CITATION { "citationItems" : [ { "id" : "ITEM-1", "itemData" : { "DOI" : "10.1641/0006-3568(2002) 052.", "author" : [ { "dropping-particle" : "", "family" : "McKinney", "given" : "M L", "non-dropping-particle" : "", "parse-names" : false, "suffix" : "" } ], "container-title" : "BioScience", "id" : "ITEM-1", "issue" : "10", "issued" : { "date-parts" : [ [ "2002" ] ] }, "page" : "883-890", "title" : "Urbanization, biodiversity, and conservation", "type" : "article-journal", "volume" : "52" }, "uris" : [ "http://www.mendeley.com/documents/?uuid=203f99b2-ec70-4828-b529-57150cef9750" ] } ], "mendeley" : { "formattedCitation" : "(M L McKinney, 2002)", "manualFormatting" : "McKinney, 2002", "plainTextFormattedCitation" : "(M L McKinney, 2002)", "previouslyFormattedCitation" : "(M L McKinney, 2002)" }, "properties" : { "noteIndex" : 0 }, "schema" : "https://github.com/citation-style-language/schema/raw/master/csl-citation.json" }</w:instrText>
      </w:r>
      <w:r w:rsidRPr="008608AA">
        <w:fldChar w:fldCharType="separate"/>
      </w:r>
      <w:r w:rsidRPr="008608AA">
        <w:rPr>
          <w:noProof/>
        </w:rPr>
        <w:t>McKinney, 2002</w:t>
      </w:r>
      <w:r w:rsidRPr="008608AA">
        <w:fldChar w:fldCharType="end"/>
      </w:r>
      <w:r w:rsidRPr="008608AA">
        <w:t xml:space="preserve">; </w:t>
      </w:r>
      <w:r w:rsidRPr="008608AA">
        <w:fldChar w:fldCharType="begin" w:fldLock="1"/>
      </w:r>
      <w:r w:rsidRPr="008608AA">
        <w:instrText>ADDIN CSL_CITATION { "citationItems" : [ { "id" : "ITEM-1", "itemData" : { "DOI" : "10.1007/978-0-387-73412-5_20", "author" : [ { "dropping-particle" : "", "family" : "Kowarik", "given" : "I", "non-dropping-particle" : "", "parse-names" : false, "suffix" : "" } ], "container-title" : "Urban Ecology", "editor" : [ { "dropping-particle" : "", "family" : "Marzluff", "given" : "J.M.", "non-dropping-particle" : "", "parse-names" : false, "suffix" : "" }, { "dropping-particle" : "", "family" : "Shulenberger", "given" : "E.", "non-dropping-particle" : "", "parse-names" : false, "suffix" : "" }, { "dropping-particle" : "", "family" : "Endlicher", "given" : "W.", "non-dropping-particle" : "", "parse-names" : false, "suffix" : "" }, { "dropping-particle" : "", "family" : "Alberti", "given" : "M.", "non-dropping-particle" : "", "parse-names" : false, "suffix" : "" }, { "dropping-particle" : "", "family" : "Bradley", "given" : "G.", "non-dropping-particle" : "", "parse-names" : false, "suffix" : "" }, { "dropping-particle" : "", "family" : "Ryan", "given" : "C.", "non-dropping-particle" : "", "parse-names" : false, "suffix" : "" }, { "dropping-particle" : "", "family" : "ZumBrunnen", "given" : "C.", "non-dropping-particle" : "", "parse-names" : false, "suffix" : "" }, { "dropping-particle" : "", "family" : "Simon", "given" : "U.", "non-dropping-particle" : "", "parse-names" : false, "suffix" : "" } ], "id" : "ITEM-1", "issued" : { "date-parts" : [ [ "2008" ] ] }, "page" : "321-338", "publisher" : "Springer", "publisher-place" : "Boston, USA", "title" : "On the role of alien species in urban flora and vegetation", "type" : "chapter" }, "uris" : [ "http://www.mendeley.com/documents/?uuid=1457c3f0-9773-4708-9d7a-e1a0d44995c1" ] } ], "mendeley" : { "formattedCitation" : "(Kowarik, 2008)", "manualFormatting" : "Kowarik, 2008", "plainTextFormattedCitation" : "(Kowarik, 2008)", "previouslyFormattedCitation" : "(Kowarik, 2008)" }, "properties" : { "noteIndex" : 0 }, "schema" : "https://github.com/citation-style-language/schema/raw/master/csl-citation.json" }</w:instrText>
      </w:r>
      <w:r w:rsidRPr="008608AA">
        <w:fldChar w:fldCharType="separate"/>
      </w:r>
      <w:r w:rsidRPr="008608AA">
        <w:rPr>
          <w:noProof/>
        </w:rPr>
        <w:t>Kowarik, 2008</w:t>
      </w:r>
      <w:r w:rsidRPr="008608AA">
        <w:fldChar w:fldCharType="end"/>
      </w:r>
      <w:r w:rsidRPr="008608AA">
        <w:t xml:space="preserve">; </w:t>
      </w:r>
      <w:r w:rsidRPr="008608AA">
        <w:fldChar w:fldCharType="begin" w:fldLock="1"/>
      </w:r>
      <w:r w:rsidRPr="008608AA">
        <w:instrText>ADDIN CSL_CITATION { "citationItems" : [ { "id" : "ITEM-1", "itemData" : { "URL" : "www1.inecol.edu.mx/libro_ecologia_urbana", "author" : [ { "dropping-particle" : "", "family" : "MacGregor-Fors", "given" : "Ian", "non-dropping-particle" : "", "parse-names" : false, "suffix" : "" }, { "dropping-particle" : "", "family" : "Ortega-\u00c1lvarez", "given" : "Rub\u00e9n", "non-dropping-particle" : "", "parse-names" : false, "suffix" : "" } ], "id" : "ITEM-1", "issued" : { "date-parts" : [ [ "2013" ] ] }, "title" : "Ecolog\u00eda Urbana: Experiencias en Am\u00e9rica Latina", "type" : "webpage" }, "uris" : [ "http://www.mendeley.com/documents/?uuid=b0ec2bd8-184a-4743-8535-20eb0f11e4b9" ] } ], "mendeley" : { "formattedCitation" : "(MacGregor-Fors &amp; Ortega-\u00c1lvarez, 2013)", "manualFormatting" : "MacGregor-Fors &amp; Ortega-\u00c1lvarez, 2013)", "plainTextFormattedCitation" : "(MacGregor-Fors &amp; Ortega-\u00c1lvarez, 2013)", "previouslyFormattedCitation" : "(MacGregor-Fors &amp; Ortega-\u00c1lvarez, 2013)" }, "properties" : { "noteIndex" : 0 }, "schema" : "https://github.com/citation-style-language/schema/raw/master/csl-citation.json" }</w:instrText>
      </w:r>
      <w:r w:rsidRPr="008608AA">
        <w:fldChar w:fldCharType="separate"/>
      </w:r>
      <w:r w:rsidRPr="008608AA">
        <w:rPr>
          <w:noProof/>
        </w:rPr>
        <w:t>MacGregor-Fors &amp; Ortega-Álvarez, 2013)</w:t>
      </w:r>
      <w:r w:rsidRPr="008608AA">
        <w:fldChar w:fldCharType="end"/>
      </w:r>
      <w:r w:rsidRPr="008608AA">
        <w:t xml:space="preserve">, while urban floras are tending to homogenize </w:t>
      </w:r>
      <w:r w:rsidRPr="008608AA">
        <w:fldChar w:fldCharType="begin" w:fldLock="1"/>
      </w:r>
      <w:r w:rsidRPr="008608AA">
        <w:instrText>ADDIN CSL_CITATION { "citationItems" : [ { "id" : "ITEM-1", "itemData" : { "DOI" : "10.1111/j.1365-2699.2007.01761.x", "ISBN" : "0305-0270", "ISSN" : "03050270", "abstract" : "Aim Changes in community attributes due to the influence of anthropogenic activities have been examined primarily using occurrence data with little consideration of associated changes in abundance. To determine how this influences our perception of biotic homogenization, we examined compositional patterns for avian assemblages over space and time along an occurrence-abundance continuum. Location The contiguous United States and southern Canada. Methods We examined avian assemblages at 951 Breeding Bird Survey (BBS) routes from 1970 to 2005 that contained a total of 443 species. We used five dissimilarity indices to estimate compositional patterns along an occurrence-abundance continuum of assemblage structure (from species occurrence to transformed abundance to raw abundance) for 396,925 unique combinations of BBS route pairs. We examined annual plots of dissimilarity by distance between BBS routes pairs to estimate spatial and temporal patterns for each index. Results Dissimilarity declined with increasing distance between route pairs for occurrence and transformed abundance, reaching an asymptote at approximately 2500 km. For raw abundance, dissimilarity peaked at intermediate distances (1000-2500 km) with no evidence of an asymptote. Avian assemblages became more similar over time at all points along the continuum. Occurrence and transformed abundance presented the weakest temporal trends, which were uniform or poorly delineated as a function of distance between routes. Raw abundance presented the strongest temporal trends, which declined in strength with increasing distance between routes. Main conclusions With the addition of abundance, there was a substantial and consistent pattern of degradation of beta-diversity for North American avifauna that differed considerably from that observed from occurrence data alone. The geographical expansion of a few species, which recently benefited from the direct and indirect consequences of anthropogenic activities, probably played a prominent role in these patterns. When broad-scale expansions in occupancy are evident, minor gains in similarity based on species occurrence can mask more substantial gains in similarity based on local abundance. When abundance information is unavailable, its role can be estimated by how occupancy has responded geographically to anthropogenic activities and the expectations of the abundance-occupancy relationship. Our findings support previous work indicating that widespread and l\u2026", "author" : [ { "dropping-particle" : "", "family" : "Sorte", "given" : "Frank A.", "non-dropping-particle" : "La", "parse-names" : false, "suffix" : "" }, { "dropping-particle" : "", "family" : "McKinney", "given" : "Michael L.", "non-dropping-particle" : "", "parse-names" : false, "suffix" : "" } ], "container-title" : "Journal of Biogeography", "id" : "ITEM-1", "issue" : "12", "issued" : { "date-parts" : [ [ "2007" ] ] }, "page" : "2159-2167", "title" : "Compositional changes over space and time along an occurrence-abundance continuum: anthropogenic homogenization of the North American avifauna", "type" : "article-journal", "volume" : "34" }, "uris" : [ "http://www.mendeley.com/documents/?uuid=41c7229a-78a0-4521-9beb-dc3386902b59" ] } ], "mendeley" : { "formattedCitation" : "(F. A. La Sorte &amp; McKinney, 2007)", "manualFormatting" : "(La Sorte &amp; McKinney, 2007)", "plainTextFormattedCitation" : "(F. A. La Sorte &amp; McKinney, 2007)", "previouslyFormattedCitation" : "(F. A. La Sorte &amp; McKinney, 2007)" }, "properties" : { "noteIndex" : 0 }, "schema" : "https://github.com/citation-style-language/schema/raw/master/csl-citation.json" }</w:instrText>
      </w:r>
      <w:r w:rsidRPr="008608AA">
        <w:fldChar w:fldCharType="separate"/>
      </w:r>
      <w:r w:rsidRPr="008608AA">
        <w:rPr>
          <w:noProof/>
        </w:rPr>
        <w:t>(La Sorte &amp; McKinney, 2007)</w:t>
      </w:r>
      <w:r w:rsidRPr="008608AA">
        <w:fldChar w:fldCharType="end"/>
      </w:r>
      <w:r w:rsidRPr="008608AA">
        <w:t>.</w:t>
      </w:r>
      <w:r w:rsidR="002F1F98" w:rsidRPr="008608AA">
        <w:t xml:space="preserve"> </w:t>
      </w:r>
      <w:r w:rsidRPr="008608AA">
        <w:t xml:space="preserve">Consequently, urbanization affects community assembly and leads to more simplified </w:t>
      </w:r>
      <w:r w:rsidRPr="008608AA">
        <w:fldChar w:fldCharType="begin" w:fldLock="1"/>
      </w:r>
      <w:r w:rsidRPr="008608AA">
        <w:instrText>ADDIN CSL_CITATION { "citationItems" : [ { "id" : "ITEM-1", "itemData" : { "DOI" : "10.1641/0006-3568(2002) 052.", "author" : [ { "dropping-particle" : "", "family" : "McKinney", "given" : "M L", "non-dropping-particle" : "", "parse-names" : false, "suffix" : "" } ], "container-title" : "BioScience", "id" : "ITEM-1", "issue" : "10", "issued" : { "date-parts" : [ [ "2002" ] ] }, "page" : "883-890", "title" : "Urbanization, biodiversity, and conservation", "type" : "article-journal", "volume" : "52" }, "uris" : [ "http://www.mendeley.com/documents/?uuid=203f99b2-ec70-4828-b529-57150cef9750" ] }, { "id" : "ITEM-2", "itemData" : { "DOI" : "10.1098/rspb.2013.3330", "ISBN" : "0962-8452", "ISSN" : "0962-8452", "PMID" : "24523278", "abstract" : "Urbanization contributes to the loss of the world's biodiversity and the homogenization of its biota. However, comparative studies of urban biodiversity leading to robust generalities of the status and drivers of biodiversity in cities at the global scale are lacking. Here, we compiled the largest global dataset to date of two diverse taxa in cities: birds (54 cities) and plants (110 cities). We found that the majority of urban bird and plant species are native in the world's cities. Few plants and birds are cosmopolitan, the most common being Columba livia and Poa annua. The density of bird and plant species (the number of species per km(2)) has declined substantially: only 8% of native bird and 25% of native plant species are currently present compared with estimates of non-urban density of species. The current density of species in cities and the loss in density of species was best explained by anthropogenic features (landcover, city age) rather than by non-anthropogenic factors (geography, climate, topography). As urbanization continues to expand, efforts directed towards the conservation of intact vegetation within urban landscapes could support higher concentrations of both bird and plant species. Despite declines in the density of species, cities still retain endemic native species, thus providing opportunities for regional and global biodiversity conservation, restoration and education.", "author" : [ { "dropping-particle" : "", "family" : "Aronson", "given" : "Myla F. J.", "non-dropping-particle" : "", "parse-names" : false, "suffix" : "" }, { "dropping-particle" : "", "family" : "Sorte", "given" : "Frank A.", "non-dropping-particle" : "La", "parse-names" : false, "suffix" : "" }, { "dropping-particle" : "", "family" : "Nilon", "given" : "Charles H.", "non-dropping-particle" : "", "parse-names" : false, "suffix" : "" }, { "dropping-particle" : "", "family" : "Katti", "given" : "Madhusudan", "non-dropping-particle" : "", "parse-names" : false, "suffix" : "" }, { "dropping-particle" : "", "family" : "Goddard", "given" : "Mark A.", "non-dropping-particle" : "", "parse-names" : false, "suffix" : "" }, { "dropping-particle" : "", "family" : "Lepczyk", "given" : "Christopher A.", "non-dropping-particle" : "", "parse-names" : false, "suffix" : "" }, { "dropping-particle" : "", "family" : "Warren", "given" : "Paige S.", "non-dropping-particle" : "", "parse-names" : false, "suffix" : "" }, { "dropping-particle" : "", "family" : "Williams", "given" : "N. S. G.", "non-dropping-particle" : "", "parse-names" : false, "suffix" : "" }, { "dropping-particle" : "", "family" : "Cilliers", "given" : "Sarel", "non-dropping-particle" : "", "parse-names" : false, "suffix" : "" }, { "dropping-particle" : "", "family" : "Clarkson", "given" : "Bruce", "non-dropping-particle" : "", "parse-names" : false, "suffix" : "" }, { "dropping-particle" : "", "family" : "Dobbs", "given" : "Cynnamon", "non-dropping-particle" : "", "parse-names" : false, "suffix" : "" }, { "dropping-particle" : "", "family" : "Dolan", "given" : "Rebecca", "non-dropping-particle" : "", "parse-names" : false, "suffix" : "" }, { "dropping-particle" : "", "family" : "Hedblom", "given" : "Marcus", "non-dropping-particle" : "", "parse-names" : false, "suffix" : "" }, { "dropping-particle" : "", "family" : "Klotz", "given" : "S.", "non-dropping-particle" : "", "parse-names" : false, "suffix" : "" }, { "dropping-particle" : "", "family" : "Kooijmans", "given" : "Jip Louwe", "non-dropping-particle" : "", "parse-names" : false, "suffix" : "" }, { "dropping-particle" : "", "family" : "Kuhn", "given" : "I.", "non-dropping-particle" : "", "parse-names" : false, "suffix" : "" }, { "dropping-particle" : "", "family" : "MacGregor-Fors", "given" : "I.", "non-dropping-particle" : "", "parse-names" : false, "suffix" : "" }, { "dropping-particle" : "", "family" : "McDonnell", "given" : "M.J.", "non-dropping-particle" : "", "parse-names" : false, "suffix" : "" }, { "dropping-particle" : "", "family" : "Mortberg", "given" : "U.", "non-dropping-particle" : "", "parse-names" : false, "suffix" : "" }, { "dropping-particle" : "", "family" : "Pysek", "given" : "Petr", "non-dropping-particle" : "", "parse-names" : false, "suffix" : "" }, { "dropping-particle" : "", "family" : "Siebert", "given" : "Stefan", "non-dropping-particle" : "", "parse-names" : false, "suffix" : "" }, { "dropping-particle" : "", "family" : "Sushinsky", "given" : "J.R.", "non-dropping-particle" : "", "parse-names" : false, "suffix" : "" }, { "dropping-particle" : "", "family" : "Werner", "given" : "P.", "non-dropping-particle" : "", "parse-names" : false, "suffix" : "" }, { "dropping-particle" : "", "family" : "Winter", "given" : "M.", "non-dropping-particle" : "", "parse-names" : false, "suffix" : "" } ], "container-title" : "Proceedings of the Royal Society B: Biological Sciences", "id" : "ITEM-2", "issue" : "1780", "issued" : { "date-parts" : [ [ "2014" ] ] }, "title" : "A global analysis of the impacts of urbanization on bird and plant diversity reveals key anthropogenic drivers", "type" : "article-journal", "volume" : "281" }, "uris" : [ "http://www.mendeley.com/documents/?uuid=217c1f62-87bc-36bf-85e8-3f06e3fb8aa8" ] }, { "id" : "ITEM-3", "itemData" : { "DOI" : "10.1656/045.017.0406", "ISBN" : "1092-6194", "ISSN" : "1092-6194", "abstract" : "The distribution of imperiled stream fish, crayfish, salamander, and freshwater mussel species of Maryland streams in relation to urban land cover and nonnative species was investigated. Over the last 30 years, extinction or extirpation of 13 stream animal species (including the endemic Etheostoma sellare [Maryland Darter]) was observed within the Piedmont region of Maryland, where urbanization has spread extensively outward from Baltimore and Washington, DC, and many non-native species have become established. The presence of imperiled species in this area was correlated with urbanization and non-native species occurrence. However, correlations with land-cover data were stronger than with non-native occurrence. The majority of sites with imperiled species contained less than 10% urban land cover and less than 5% impervious land cover in their catchments. In contrast, stream reaches with non-native species spanned the entire gradient of urban, agriculture, and forested land cover, with the majority of non-native species persisting in streams with over 60% urban and 40% impervious land cover. The persistence of rare species coincident with introduced species in rural portions of Maryland indicates that habitat degradation (like that typically accompanying urbanization) may be the most important threat limiting the distributions of the rarest species that remain in these streams. Limits on urbanization in areas with rare species are needed to maintain regional and global biological diversity. This is particularly important in areas like Maryland that are anticipating extensive human population and urban growth over the next 30 years.", "author" : [ { "dropping-particle" : "", "family" : "Stranko", "given" : "Scott A.", "non-dropping-particle" : "", "parse-names" : false, "suffix" : "" }, { "dropping-particle" : "", "family" : "Gresens", "given" : "Susan E.", "non-dropping-particle" : "", "parse-names" : false, "suffix" : "" }, { "dropping-particle" : "", "family" : "Klauda", "given" : "Ronald J.", "non-dropping-particle" : "", "parse-names" : false, "suffix" : "" }, { "dropping-particle" : "V.", "family" : "Kilian", "given" : "Jay", "non-dropping-particle" : "", "parse-names" : false, "suffix" : "" }, { "dropping-particle" : "", "family" : "Ciccotto", "given" : "Patrick J.", "non-dropping-particle" : "", "parse-names" : false, "suffix" : "" }, { "dropping-particle" : "", "family" : "Ashton", "given" : "Matthew J.", "non-dropping-particle" : "", "parse-names" : false, "suffix" : "" }, { "dropping-particle" : "", "family" : "Becker", "given" : "Andrew J.", "non-dropping-particle" : "", "parse-names" : false, "suffix" : "" } ], "container-title" : "Northeastern Naturalist", "id" : "ITEM-3", "issue" : "4", "issued" : { "date-parts" : [ [ "2010" ] ] }, "page" : "593-614", "title" : "Differential effects of urbanization and non-natives on imperiled stream species", "type" : "article-journal", "volume" : "17" }, "uris" : [ "http://www.mendeley.com/documents/?uuid=140dc516-b2dc-38d7-aede-e10e6e4b2157" ] } ], "mendeley" : { "formattedCitation" : "(Aronson et al., 2014; M L McKinney, 2002; Stranko et al., 2010)", "manualFormatting" : "(Aronson et al., 2014; McKinney, 2002; Stranko et al., 2010)", "plainTextFormattedCitation" : "(Aronson et al., 2014; M L McKinney, 2002; Stranko et al., 2010)", "previouslyFormattedCitation" : "(Aronson et al., 2014; M L McKinney, 2002; Stranko et al., 2010)" }, "properties" : { "noteIndex" : 0 }, "schema" : "https://github.com/citation-style-language/schema/raw/master/csl-citation.json" }</w:instrText>
      </w:r>
      <w:r w:rsidRPr="008608AA">
        <w:fldChar w:fldCharType="separate"/>
      </w:r>
      <w:r w:rsidRPr="008608AA">
        <w:rPr>
          <w:noProof/>
        </w:rPr>
        <w:t>(Aronson et al., 2014; McKinney, 2002; Stranko et al., 2010)</w:t>
      </w:r>
      <w:r w:rsidRPr="008608AA">
        <w:fldChar w:fldCharType="end"/>
      </w:r>
      <w:r w:rsidRPr="008608AA">
        <w:t xml:space="preserve"> and more homogenized ecosystems </w:t>
      </w:r>
      <w:r w:rsidRPr="008608AA">
        <w:fldChar w:fldCharType="begin" w:fldLock="1"/>
      </w:r>
      <w:r w:rsidRPr="008608AA">
        <w:instrText>ADDIN CSL_CITATION { "citationItems" : [ { "id" : "ITEM-1", "itemData" : { "DOI" : "10.1016/j.biocon.2005.09.005", "ISBN" : "0006-3207", "ISSN" : "00063207", "PMID" : "3690", "abstract" : "When measured by extent and intensity, urbanization is one of the most homogenizing of all major human activities. Cities homogenize the physical environment because they are built to meet the relatively narrow needs of just one species, our own. Also, cities are maintained for centuries in a disequilibrium state from the local natural environment by the importation of vast resources of energy and materials. Consequently, as cities expand across the planet, biological homogenization increases because the same \"urban-adaptable\" species become increasingly widespread and locally abundant in cities across the planet. As urbanization often produces a local gradient of disturbance, one can also observe a gradient of homogenization. Synanthropic species adapted to intensely modified built habitats at the urban core are \"global homogenizers\", found in cities worldwide. However, many suburban and urban fringe habitats are occupied by native species that become regionally widespread. These suburban adapters typically consist of early successional plants and \"edge\" animal species such as mesopredator mammals, and ground-foraging, omnivorous and frugivorous birds that can utilize gardens, forest fragments and many other habitats available in the suburbs. A basic conservation challenge is that urban biota is often quite diverse and very abundant. The intentional and unintentional importation of species adapted to urban habitats, combined with many food resources imported for human use, often produces local species diversity and abundance that is often equal to or greater than the surrounding landscape. With the important exception of low-income areas, urban human populations often inhabit richly cultivated suburban habitats with a relatively high local floral and faunal diversity and/or abundance without awareness of the global impoverishment caused by urbanization. Equally challenging is that, because so many urban species are immigrants adapting to city habitats, urbanites of all income levels become increasingly disconnected from local indigenous species and their natural ecosystems. Urban conservation should therefore focus on promoting preservation and restoration of local indigenous species.", "author" : [ { "dropping-particle" : "", "family" : "McKinney", "given" : "Michael L.", "non-dropping-particle" : "", "parse-names" : false, "suffix" : "" } ], "container-title" : "Biological Conservation", "id" : "ITEM-1", "issued" : { "date-parts" : [ [ "2006" ] ] }, "page" : "247-260", "title" : "Urbanization as a major cause of biotic homogenization", "type" : "article-journal", "volume" : "127" }, "uris" : [ "http://www.mendeley.com/documents/?uuid=8e37846f-a1b6-43d6-9394-6396f11e93ff" ] }, { "id" : "ITEM-2", "itemData" : { "DOI" : "10.1111/j.1365-2699.2007.01761.x", "ISBN" : "0305-0270", "ISSN" : "03050270", "abstract" : "Aim Changes in community attributes due to the influence of anthropogenic activities have been examined primarily using occurrence data with little consideration of associated changes in abundance. To determine how this influences our perception of biotic homogenization, we examined compositional patterns for avian assemblages over space and time along an occurrence-abundance continuum. Location The contiguous United States and southern Canada. Methods We examined avian assemblages at 951 Breeding Bird Survey (BBS) routes from 1970 to 2005 that contained a total of 443 species. We used five dissimilarity indices to estimate compositional patterns along an occurrence-abundance continuum of assemblage structure (from species occurrence to transformed abundance to raw abundance) for 396,925 unique combinations of BBS route pairs. We examined annual plots of dissimilarity by distance between BBS routes pairs to estimate spatial and temporal patterns for each index. Results Dissimilarity declined with increasing distance between route pairs for occurrence and transformed abundance, reaching an asymptote at approximately 2500 km. For raw abundance, dissimilarity peaked at intermediate distances (1000-2500 km) with no evidence of an asymptote. Avian assemblages became more similar over time at all points along the continuum. Occurrence and transformed abundance presented the weakest temporal trends, which were uniform or poorly delineated as a function of distance between routes. Raw abundance presented the strongest temporal trends, which declined in strength with increasing distance between routes. Main conclusions With the addition of abundance, there was a substantial and consistent pattern of degradation of beta-diversity for North American avifauna that differed considerably from that observed from occurrence data alone. The geographical expansion of a few species, which recently benefited from the direct and indirect consequences of anthropogenic activities, probably played a prominent role in these patterns. When broad-scale expansions in occupancy are evident, minor gains in similarity based on species occurrence can mask more substantial gains in similarity based on local abundance. When abundance information is unavailable, its role can be estimated by how occupancy has responded geographically to anthropogenic activities and the expectations of the abundance-occupancy relationship. Our findings support previous work indicating that widespread and l\u2026", "author" : [ { "dropping-particle" : "", "family" : "Sorte", "given" : "Frank A.", "non-dropping-particle" : "La", "parse-names" : false, "suffix" : "" }, { "dropping-particle" : "", "family" : "McKinney", "given" : "Michael L.", "non-dropping-particle" : "", "parse-names" : false, "suffix" : "" } ], "container-title" : "Journal of Biogeography", "id" : "ITEM-2", "issue" : "12", "issued" : { "date-parts" : [ [ "2007" ] ] }, "page" : "2159-2167", "title" : "Compositional changes over space and time along an occurrence-abundance continuum: anthropogenic homogenization of the North American avifauna", "type" : "article-journal", "volume" : "34" }, "uris" : [ "http://www.mendeley.com/documents/?uuid=41c7229a-78a0-4521-9beb-dc3386902b59" ] }, { "id" : "ITEM-3", "itemData" : { "DOI" : "10.1007/s10021-014-9751-y", "ISSN" : "14350629", "abstract" : "Earth's surface is rapidly urbanizing, resulting in dramatic changes in the abundance, distribution and character of surface water features in urban landscapes. However, the scope and consequences of surface water redistribution at broad spatial scales are not well understood. We hypothesized that urbanization would lead to convergent surface water abundance and distribution: in other words, cities will gain or lose water such that they become more similar to each other than are their surrounding natural landscapes. Using a database of more than 1 million water bodies and 1 million km of streams, we compared the surface water of 100 US cities with their surrounding undeveloped land. We evaluated differences in areal (A WB) and numeric densities (N WB) of water bodies (lakes, wetlands, and so on), the morphological characteristics of water bodies (size), and the density (D C) of surface flow channels (that is, streams and rivers). The variance of urban A WB, N WB, and D C across the 100 MSAs decreased, by 89, 25, and 71%, respectively, compared to undeveloped land. These data show that many cities are surface water poor relative to undeveloped land; however, in drier landscapes urbanization increases the occurrence of surface water. This convergence pattern strengthened with development intensity, such that high intensity urban development had an areal water body density 98% less than undeveloped lands. Urbanization appears to drive the convergence of hydrological features across the US, such that surface water distributions of cities are more similar to each other than to their surrounding landscapes. \u00a9 2014 The Author(s).", "author" : [ { "dropping-particle" : "", "family" : "Steele", "given" : "M. K.", "non-dropping-particle" : "", "parse-names" : false, "suffix" : "" }, { "dropping-particle" : "", "family" : "Heffernan", "given" : "J. B.", "non-dropping-particle" : "", "parse-names" : false, "suffix" : "" }, { "dropping-particle" : "", "family" : "Bettez", "given" : "N.", "non-dropping-particle" : "", "parse-names" : false, "suffix" : "" }, { "dropping-particle" : "", "family" : "Cavender-Bares", "given" : "J.", "non-dropping-particle" : "", "parse-names" : false, "suffix" : "" }, { "dropping-particle" : "", "family" : "Groffman", "given" : "P. M.", "non-dropping-particle" : "", "parse-names" : false, "suffix" : "" }, { "dropping-particle" : "", "family" : "Grove", "given" : "J. M.", "non-dropping-particle" : "", "parse-names" : false, "suffix" : "" }, { "dropping-particle" : "", "family" : "Hall", "given" : "S.", "non-dropping-particle" : "", "parse-names" : false, "suffix" : "" }, { "dropping-particle" : "", "family" : "Hobbie", "given" : "S. E.", "non-dropping-particle" : "", "parse-names" : false, "suffix" : "" }, { "dropping-particle" : "", "family" : "Larson", "given" : "K.", "non-dropping-particle" : "", "parse-names" : false, "suffix" : "" }, { "dropping-particle" : "", "family" : "Morse", "given" : "J. L.", "non-dropping-particle" : "", "parse-names" : false, "suffix" : "" }, { "dropping-particle" : "", "family" : "Neill", "given" : "C.", "non-dropping-particle" : "", "parse-names" : false, "suffix" : "" }, { "dropping-particle" : "", "family" : "Nelson", "given" : "K. C.", "non-dropping-particle" : "", "parse-names" : false, "suffix" : "" }, { "dropping-particle" : "", "family" : "O'Neil-Dunne", "given" : "J.", "non-dropping-particle" : "", "parse-names" : false, "suffix" : "" }, { "dropping-particle" : "", "family" : "Ogden", "given" : "L.", "non-dropping-particle" : "", "parse-names" : false, "suffix" : "" }, { "dropping-particle" : "", "family" : "Pataki", "given" : "D. E.", "non-dropping-particle" : "", "parse-names" : false, "suffix" : "" }, { "dropping-particle" : "", "family" : "Polsky", "given" : "C.", "non-dropping-particle" : "", "parse-names" : false, "suffix" : "" }, { "dropping-particle" : "", "family" : "Roy Chowdhury", "given" : "R.", "non-dropping-particle" : "", "parse-names" : false, "suffix" : "" } ], "container-title" : "Ecosystems", "id" : "ITEM-3", "issue" : "4", "issued" : { "date-parts" : [ [ "2014" ] ] }, "page" : "685-697", "title" : "Convergent surface water distributions in U.S. cities", "type" : "article-journal", "volume" : "17" }, "uris" : [ "http://www.mendeley.com/documents/?uuid=192a9309-f443-432c-8e43-77c6e241e530" ] }, { "id" : "ITEM-4", "itemData" : { "DOI" : "10.1007/s10980-015-0297-y", "ISBN" : "0921-2973", "ISSN" : "15729761", "abstract" : "\u00a9 2015, Springer Science+Business Media Dordrecht. Context: The urban heat island (UHI) is a well-documented pattern of warming in cities relative to rural areas. Most UHI research utilizes remote sensing methods at large scales, or climate sensors in single cities surrounded by standardized land cover. Relatively few studies have explored continental-scale climatic patterns within common urban microenvironments such as residential landscapes that may affect human comfort. Objectives: We tested the urban homogenization hypothesis which states that structure and function in cities exhibit ecological \u201csameness\u201d across diverse regions relative to the native ecosystems they replaced. Methods: We deployed portable micrometeorological sensors to compare air temperature and humidity in residential yards and native landscapes across six U.S. cities that span a range of climates (Phoenix, AZ; Los Angeles, CA; Minneapolis-St. Paul, MN; Boston, MA; Baltimore, MD; and Miami, FL). Results: Microclimate in residential ecosystems was more similar among cities than among native ecosystems, particularly during the calm morning hours. Maximum regional actual evapotranspiration (AET) was related to the morning residential microclimate effect. Residential yards in cities with maximum AET &lt;50\u201365 cm/year (Phoenix and Los Angeles) were generally cooler and more humid than nearby native shrublands during summer mornings, while yards in cities above this threshold were generally warmer (Baltimore and Miami) and drier (Miami) than native forests. On average, temperature and absolute humidity were ~6 % less variable among residential ecosystems than among native ecosystems from diverse regions. Conclusions: These data suggest that common residential land cover and structural characteristics lead to microclimatic convergence across diverse regions at the continental scale.", "author" : [ { "dropping-particle" : "", "family" : "Hall", "given" : "Sharon J.", "non-dropping-particle" : "", "parse-names" : false, "suffix" : "" }, { "dropping-particle" : "", "family" : "Learned", "given" : "J.", "non-dropping-particle" : "", "parse-names" : false, "suffix" : "" }, { "dropping-particle" : "", "family" : "Ruddell", "given" : "B.", "non-dropping-particle" : "", "parse-names" : false, "suffix" : "" }, { "dropping-particle" : "", "family" : "Larson", "given" : "K.L.", "non-dropping-particle" : "", "parse-names" : false, "suffix" : "" }, { "dropping-particle" : "", "family" : "Cavender-Bares", "given" : "J.", "non-dropping-particle" : "", "parse-names" : false, "suffix" : "" }, { "dropping-particle" : "", "family" : "Bettez", "given" : "N.", "non-dropping-particle" : "", "parse-names" : false, "suffix" : "" }, { "dropping-particle" : "", "family" : "Groffman", "given" : "P.M.", "non-dropping-particle" : "", "parse-names" : false, "suffix" : "" }, { "dropping-particle" : "", "family" : "Grove", "given" : "J.M.", "non-dropping-particle" : "", "parse-names" : false, "suffix" : "" }, { "dropping-particle" : "", "family" : "Heffernan", "given" : "J.B.", "non-dropping-particle" : "", "parse-names" : false, "suffix" : "" }, { "dropping-particle" : "", "family" : "Hobbie", "given" : "S.E.", "non-dropping-particle" : "", "parse-names" : false, "suffix" : "" }, { "dropping-particle" : "", "family" : "Morse", "given" : "J.L.", "non-dropping-particle" : "", "parse-names" : false, "suffix" : "" }, { "dropping-particle" : "", "family" : "Neill", "given" : "C.", "non-dropping-particle" : "", "parse-names" : false, "suffix" : "" }, { "dropping-particle" : "", "family" : "Nelson", "given" : "K.C.", "non-dropping-particle" : "", "parse-names" : false, "suffix" : "" }, { "dropping-particle" : "", "family" : "ONeil-Dunne", "given" : "J.P.M.", "non-dropping-particle" : "", "parse-names" : false, "suffix" : "" }, { "dropping-particle" : "", "family" : "Ogden", "given" : "L.", "non-dropping-particle" : "", "parse-names" : false, "suffix" : "" }, { "dropping-particle" : "", "family" : "Pataki", "given" : "D.E.", "non-dropping-particle" : "", "parse-names" : false, "suffix" : "" }, { "dropping-particle" : "", "family" : "Pearse", "given" : "W.D.", "non-dropping-particle" : "", "parse-names" : false, "suffix" : "" }, { "dropping-particle" : "", "family" : "Polsky", "given" : "C.", "non-dropping-particle" : "", "parse-names" : false, "suffix" : "" }, { "dropping-particle" : "", "family" : "Chowdhury", "given" : "R. Roy", "non-dropping-particle" : "", "parse-names" : false, "suffix" : "" }, { "dropping-particle" : "", "family" : "Steele", "given" : "M.K.", "non-dropping-particle" : "", "parse-names" : false, "suffix" : "" }, { "dropping-particle" : "", "family" : "Trammell", "given" : "T.L.E.", "non-dropping-particle" : "", "parse-names" : false, "suffix" : "" } ], "container-title" : "Landscape Ecology", "id" : "ITEM-4", "issue" : "1", "issued" : { "date-parts" : [ [ "2016" ] ] }, "page" : "101-117", "title" : "Convergence of microclimate in residential landscapes across diverse cities in the United States", "type" : "article-journal", "volume" : "31" }, "uris" : [ "http://www.mendeley.com/documents/?uuid=8997a959-366c-46ad-a861-2cc911ee4f0a" ] }, { "id" : "ITEM-5", "itemData" : { "DOI" : "10.1890/120374", "ISBN" : "1540-9309", "ISSN" : "15409295", "abstract" : "A visually apparent but scientifically untested outcome of land-use change is homogenization across urban areas, where neighborhoods in different parts of the country have similar patterns of roads, residential lots, commercial areas, and aquatic features. We hypothesize that this homogenization extends to ecological struc- ture and also to ecosystem functions such as carbon dynamics and microclimate, with continental-scale impli- cations. Further, we suggest that understanding urban homogenization will provide the basis for understanding the impacts of urban land-use change from local to continental scales. Here, we show how multi-scale, multi- disciplinary datasets from six metropolitan areas that cover the major climatic regions of the US (Phoenix, AZ; Miami, FL; Baltimore, MD; Boston, MA; Minneapolis\u2013St Paul, MN; and Los Angeles, CA) can be used to deter- mine how household and neighborhood characteristics correlate with land-management practices, land-cover composition, and landscape structure and ecosystem functions at local, regional, and continental scales.", "author" : [ { "dropping-particle" : "", "family" : "Groffman", "given" : "Peter M.", "non-dropping-particle" : "", "parse-names" : false, "suffix" : "" }, { "dropping-particle" : "", "family" : "Cavender-Bares", "given" : "Jeannine", "non-dropping-particle" : "", "parse-names" : false, "suffix" : "" }, { "dropping-particle" : "", "family" : "Bettez", "given" : "Neil D.", "non-dropping-particle" : "", "parse-names" : false, "suffix" : "" }, { "dropping-particle" : "", "family" : "Grove", "given" : "J. Morgan", "non-dropping-particle" : "", "parse-names" : false, "suffix" : "" }, { "dropping-particle" : "", "family" : "Hall", "given" : "Sharon J.", "non-dropping-particle" : "", "parse-names" : false, "suffix" : "" }, { "dropping-particle" : "", "family" : "Heffernan", "given" : "James B.", "non-dropping-particle" : "", "parse-names" : false, "suffix" : "" }, { "dropping-particle" : "", "family" : "Hobbie", "given" : "Sarah E.", "non-dropping-particle" : "", "parse-names" : false, "suffix" : "" }, { "dropping-particle" : "", "family" : "Larson", "given" : "Kelli L.", "non-dropping-particle" : "", "parse-names" : false, "suffix" : "" }, { "dropping-particle" : "", "family" : "Morse", "given" : "Jennifer L.", "non-dropping-particle" : "", "parse-names" : false, "suffix" : "" }, { "dropping-particle" : "", "family" : "Neill", "given" : "Christopher", "non-dropping-particle" : "", "parse-names" : false, "suffix" : "" }, { "dropping-particle" : "", "family" : "Nelson", "given" : "Kristen", "non-dropping-particle" : "", "parse-names" : false, "suffix" : "" }, { "dropping-particle" : "", "family" : "O'Neil-Dunne", "given" : "Jarlath", "non-dropping-particle" : "", "parse-names" : false, "suffix" : "" }, { "dropping-particle" : "", "family" : "Ogden", "given" : "Laura", "non-dropping-particle" : "", "parse-names" : false, "suffix" : "" }, { "dropping-particle" : "", "family" : "Pataki", "given" : "Diane E.", "non-dropping-particle" : "", "parse-names" : false, "suffix" : "" }, { "dropping-particle" : "", "family" : "Polsky", "given" : "Colin", "non-dropping-particle" : "", "parse-names" : false, "suffix" : "" }, { "dropping-particle" : "", "family" : "Chowdhury", "given" : "Rinku Roy", "non-dropping-particle" : "", "parse-names" : false, "suffix" : "" }, { "dropping-particle" : "", "family" : "Steele", "given" : "Meredith K.", "non-dropping-particle" : "", "parse-names" : false, "suffix" : "" } ], "container-title" : "Frontiers in Ecology and the Environment", "id" : "ITEM-5", "issue" : "1", "issued" : { "date-parts" : [ [ "2014" ] ] }, "page" : "74-81", "title" : "Ecological homogenization of urban USA", "type" : "article-journal", "volume" : "12" }, "uris" : [ "http://www.mendeley.com/documents/?uuid=64faa0c1-204f-4d5c-a4c3-1e83a05b2bbd" ] } ], "mendeley" : { "formattedCitation" : "(Groffman et al., 2014; Hall et al., 2016; F. A. La Sorte &amp; McKinney, 2007; Michael L. McKinney, 2006; Steele et al., 2014)", "manualFormatting" : "(Groffman et al., 2014; Hall et al., 2016; La Sorte &amp; McKinney, 2007; McKinney, 2006; Steele et al., 2014)", "plainTextFormattedCitation" : "(Groffman et al., 2014; Hall et al., 2016; F. A. La Sorte &amp; McKinney, 2007; Michael L. McKinney, 2006; Steele et al., 2014)", "previouslyFormattedCitation" : "(Groffman et al., 2014; Hall et al., 2016; F. A. La Sorte &amp; McKinney, 2007; Michael L. McKinney, 2006; Steele et al., 2014)" }, "properties" : { "noteIndex" : 0 }, "schema" : "https://github.com/citation-style-language/schema/raw/master/csl-citation.json" }</w:instrText>
      </w:r>
      <w:r w:rsidRPr="008608AA">
        <w:fldChar w:fldCharType="separate"/>
      </w:r>
      <w:r w:rsidRPr="008608AA">
        <w:rPr>
          <w:noProof/>
        </w:rPr>
        <w:t>(Groffman et al., 2014; Hall et al., 2016; La Sorte &amp; McKinney, 2007; McKinney, 2006; Steele et al., 2014)</w:t>
      </w:r>
      <w:r w:rsidRPr="008608AA">
        <w:fldChar w:fldCharType="end"/>
      </w:r>
      <w:r w:rsidRPr="008608AA">
        <w:t>.</w:t>
      </w:r>
      <w:r w:rsidR="00ED2CA3" w:rsidRPr="008608AA">
        <w:br w:type="page"/>
      </w:r>
    </w:p>
    <w:p w14:paraId="502075EB" w14:textId="3D834555" w:rsidR="00C6517A" w:rsidRPr="008608AA" w:rsidRDefault="00BE4235" w:rsidP="00BE4235">
      <w:pPr>
        <w:pStyle w:val="Caption"/>
      </w:pPr>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3</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4</w:t>
      </w:r>
      <w:r w:rsidR="000E562E">
        <w:rPr>
          <w:noProof/>
        </w:rPr>
        <w:fldChar w:fldCharType="end"/>
      </w:r>
      <w:r w:rsidRPr="008608AA">
        <w:t xml:space="preserve">. </w:t>
      </w:r>
      <w:r w:rsidR="00C6517A" w:rsidRPr="008608AA">
        <w:t>Botanical gardens in the Americas</w:t>
      </w:r>
      <w:r w:rsidR="002F1F98" w:rsidRPr="008608AA">
        <w:t>.</w:t>
      </w:r>
    </w:p>
    <w:tbl>
      <w:tblPr>
        <w:tblStyle w:val="TableGrid"/>
        <w:tblW w:w="0" w:type="auto"/>
        <w:tblLook w:val="04A0" w:firstRow="1" w:lastRow="0" w:firstColumn="1" w:lastColumn="0" w:noHBand="0" w:noVBand="1"/>
      </w:tblPr>
      <w:tblGrid>
        <w:gridCol w:w="9487"/>
      </w:tblGrid>
      <w:tr w:rsidR="00FE65F2" w:rsidRPr="008608AA" w14:paraId="7CB5198F" w14:textId="77777777" w:rsidTr="00FE65F2">
        <w:tc>
          <w:tcPr>
            <w:tcW w:w="9637" w:type="dxa"/>
          </w:tcPr>
          <w:p w14:paraId="57A81FAD" w14:textId="77777777" w:rsidR="00FE65F2" w:rsidRPr="008608AA" w:rsidRDefault="00FE65F2" w:rsidP="00FE65F2">
            <w:pPr>
              <w:rPr>
                <w:color w:val="000000" w:themeColor="text1"/>
              </w:rPr>
            </w:pPr>
            <w:r w:rsidRPr="008608AA">
              <w:rPr>
                <w:color w:val="000000" w:themeColor="text1"/>
              </w:rPr>
              <w:t>otanical gardens are stores of plant biodiversity that provide ex-situ conservation and biodiversity education to urban populations. However, there is a large imbalance in the distribution of botanical gardens across the subregions. Of the 2,728 botanical gardens registered globally with the botanic gardens Conservation International, 765 occur in North America, 127 in Mesoamerica, 46 in the Caribbean, but only 164 in South America (Figure 3.12. B). South America’s relatively low number is noteworthy given that it houses higher plant species richness and more megacities than North America. Some very rich biomes, like the South American Mediterranean forests, shrublands and scrub biome, have a very poor representation of certified botanical gardens (Figure 3.12. B).</w:t>
            </w:r>
          </w:p>
          <w:p w14:paraId="08F50158" w14:textId="77777777" w:rsidR="00FE65F2" w:rsidRPr="008608AA" w:rsidRDefault="00FE65F2" w:rsidP="00FE65F2">
            <w:pPr>
              <w:rPr>
                <w:color w:val="000000" w:themeColor="text1"/>
              </w:rPr>
            </w:pPr>
          </w:p>
          <w:p w14:paraId="67D40A82" w14:textId="799181C0" w:rsidR="00FE65F2" w:rsidRPr="008608AA" w:rsidRDefault="00FF0580" w:rsidP="00FF0580">
            <w:pPr>
              <w:jc w:val="center"/>
              <w:rPr>
                <w:color w:val="000000" w:themeColor="text1"/>
              </w:rPr>
            </w:pPr>
            <w:r w:rsidRPr="008608AA">
              <w:rPr>
                <w:noProof/>
                <w:color w:val="000000" w:themeColor="text1"/>
                <w:lang w:val="en-GB" w:eastAsia="en-GB"/>
              </w:rPr>
              <w:drawing>
                <wp:inline distT="0" distB="0" distL="0" distR="0" wp14:anchorId="0CB18AE1" wp14:editId="344066FE">
                  <wp:extent cx="5772150" cy="5638800"/>
                  <wp:effectExtent l="0" t="0" r="0" b="0"/>
                  <wp:docPr id="30314" name="Imagen 30314" descr="C:\Users\Alejandro Valderrama\Downloads\Fig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7" descr="C:\Users\Alejandro Valderrama\Downloads\Fig3.12.jpg"/>
                          <pic:cNvPicPr>
                            <a:picLocks noChangeAspect="1" noChangeArrowheads="1"/>
                          </pic:cNvPicPr>
                        </pic:nvPicPr>
                        <pic:blipFill rotWithShape="1">
                          <a:blip r:embed="rId127">
                            <a:extLst>
                              <a:ext uri="{28A0092B-C50C-407E-A947-70E740481C1C}">
                                <a14:useLocalDpi xmlns:a14="http://schemas.microsoft.com/office/drawing/2010/main" val="0"/>
                              </a:ext>
                            </a:extLst>
                          </a:blip>
                          <a:srcRect r="2729" b="34076"/>
                          <a:stretch/>
                        </pic:blipFill>
                        <pic:spPr bwMode="auto">
                          <a:xfrm>
                            <a:off x="0" y="0"/>
                            <a:ext cx="5772150" cy="5638800"/>
                          </a:xfrm>
                          <a:prstGeom prst="rect">
                            <a:avLst/>
                          </a:prstGeom>
                          <a:noFill/>
                          <a:ln>
                            <a:noFill/>
                          </a:ln>
                          <a:extLst>
                            <a:ext uri="{53640926-AAD7-44D8-BBD7-CCE9431645EC}">
                              <a14:shadowObscured xmlns:a14="http://schemas.microsoft.com/office/drawing/2010/main"/>
                            </a:ext>
                          </a:extLst>
                        </pic:spPr>
                      </pic:pic>
                    </a:graphicData>
                  </a:graphic>
                </wp:inline>
              </w:drawing>
            </w:r>
          </w:p>
          <w:p w14:paraId="66F5BF34" w14:textId="4AA283D3" w:rsidR="00FE65F2" w:rsidRPr="008608AA" w:rsidRDefault="00FE65F2" w:rsidP="00FE65F2">
            <w:pPr>
              <w:rPr>
                <w:lang w:val="en-GB" w:eastAsia="ja-JP"/>
              </w:rPr>
            </w:pPr>
          </w:p>
        </w:tc>
      </w:tr>
    </w:tbl>
    <w:p w14:paraId="5060307A" w14:textId="77777777" w:rsidR="00FE65F2" w:rsidRPr="008608AA" w:rsidRDefault="00FE65F2" w:rsidP="00FE65F2">
      <w:pPr>
        <w:rPr>
          <w:lang w:val="en-GB" w:eastAsia="ja-JP"/>
        </w:rPr>
      </w:pPr>
    </w:p>
    <w:p w14:paraId="261B562F" w14:textId="282868EC" w:rsidR="004255E7" w:rsidRPr="008608AA" w:rsidRDefault="004255E7" w:rsidP="00FE65F2">
      <w:pPr>
        <w:spacing w:before="120" w:after="120"/>
      </w:pPr>
      <w:r w:rsidRPr="008608AA">
        <w:t xml:space="preserve">Some plant and animal species tend to do well in the physical structure of the urban landscape and are able to take advantage of the availability of resources such as human garbage. However, animal species richness tends to decline along urbanization gradients </w:t>
      </w:r>
      <w:r w:rsidRPr="008608AA">
        <w:fldChar w:fldCharType="begin" w:fldLock="1"/>
      </w:r>
      <w:r w:rsidRPr="008608AA">
        <w:instrText>ADDIN CSL_CITATION { "citationItems" : [ { "id" : "ITEM-1", "itemData" : { "DOI" : "10.1641/0006-3568(2002) 052.", "author" : [ { "dropping-particle" : "", "family" : "McKinney", "given" : "M L", "non-dropping-particle" : "", "parse-names" : false, "suffix" : "" } ], "container-title" : "BioScience", "id" : "ITEM-1", "issue" : "10", "issued" : { "date-parts" : [ [ "2002" ] ] }, "page" : "883-890", "title" : "Urbanization, biodiversity, and conservation", "type" : "article-journal", "volume" : "52" }, "uris" : [ "http://www.mendeley.com/documents/?uuid=203f99b2-ec70-4828-b529-57150cef9750" ] }, { "id" : "ITEM-2", "itemData" : { "author" : [ { "dropping-particle" : "", "family" : "McKinney", "given" : "M L", "non-dropping-particle" : "", "parse-names" : false, "suffix" : "" } ], "container-title" : "Urban Ecosystems", "id" : "ITEM-2", "issue" : "2", "issued" : { "date-parts" : [ [ "2008" ] ] }, "page" : "161-176", "title" : "Effects of urbanization on species richness: A review of plants and animals", "type" : "article-journal", "volume" : "11" }, "uris" : [ "http://www.mendeley.com/documents/?uuid=bc4d2e65-5257-49c5-aa6f-d8dccbfce43f" ] }, { "id" : "ITEM-3", "itemData" : { "DOI" : "10.1098/rspb.2013.3330", "ISBN" : "0962-8452", "ISSN" : "0962-8452", "PMID" : "24523278", "abstract" : "Urbanization contributes to the loss of the world's biodiversity and the homogenization of its biota. However, comparative studies of urban biodiversity leading to robust generalities of the status and drivers of biodiversity in cities at the global scale are lacking. Here, we compiled the largest global dataset to date of two diverse taxa in cities: birds (54 cities) and plants (110 cities). We found that the majority of urban bird and plant species are native in the world's cities. Few plants and birds are cosmopolitan, the most common being Columba livia and Poa annua. The density of bird and plant species (the number of species per km(2)) has declined substantially: only 8% of native bird and 25% of native plant species are currently present compared with estimates of non-urban density of species. The current density of species in cities and the loss in density of species was best explained by anthropogenic features (landcover, city age) rather than by non-anthropogenic factors (geography, climate, topography). As urbanization continues to expand, efforts directed towards the conservation of intact vegetation within urban landscapes could support higher concentrations of both bird and plant species. Despite declines in the density of species, cities still retain endemic native species, thus providing opportunities for regional and global biodiversity conservation, restoration and education.", "author" : [ { "dropping-particle" : "", "family" : "Aronson", "given" : "Myla F. J.", "non-dropping-particle" : "", "parse-names" : false, "suffix" : "" }, { "dropping-particle" : "", "family" : "Sorte", "given" : "Frank A.", "non-dropping-particle" : "La", "parse-names" : false, "suffix" : "" }, { "dropping-particle" : "", "family" : "Nilon", "given" : "Charles H.", "non-dropping-particle" : "", "parse-names" : false, "suffix" : "" }, { "dropping-particle" : "", "family" : "Katti", "given" : "Madhusudan", "non-dropping-particle" : "", "parse-names" : false, "suffix" : "" }, { "dropping-particle" : "", "family" : "Goddard", "given" : "Mark A.", "non-dropping-particle" : "", "parse-names" : false, "suffix" : "" }, { "dropping-particle" : "", "family" : "Lepczyk", "given" : "Christopher A.", "non-dropping-particle" : "", "parse-names" : false, "suffix" : "" }, { "dropping-particle" : "", "family" : "Warren", "given" : "Paige S.", "non-dropping-particle" : "", "parse-names" : false, "suffix" : "" }, { "dropping-particle" : "", "family" : "Williams", "given" : "N. S. G.", "non-dropping-particle" : "", "parse-names" : false, "suffix" : "" }, { "dropping-particle" : "", "family" : "Cilliers", "given" : "Sarel", "non-dropping-particle" : "", "parse-names" : false, "suffix" : "" }, { "dropping-particle" : "", "family" : "Clarkson", "given" : "Bruce", "non-dropping-particle" : "", "parse-names" : false, "suffix" : "" }, { "dropping-particle" : "", "family" : "Dobbs", "given" : "Cynnamon", "non-dropping-particle" : "", "parse-names" : false, "suffix" : "" }, { "dropping-particle" : "", "family" : "Dolan", "given" : "Rebecca", "non-dropping-particle" : "", "parse-names" : false, "suffix" : "" }, { "dropping-particle" : "", "family" : "Hedblom", "given" : "Marcus", "non-dropping-particle" : "", "parse-names" : false, "suffix" : "" }, { "dropping-particle" : "", "family" : "Klotz", "given" : "S.", "non-dropping-particle" : "", "parse-names" : false, "suffix" : "" }, { "dropping-particle" : "", "family" : "Kooijmans", "given" : "Jip Louwe", "non-dropping-particle" : "", "parse-names" : false, "suffix" : "" }, { "dropping-particle" : "", "family" : "Kuhn", "given" : "I.", "non-dropping-particle" : "", "parse-names" : false, "suffix" : "" }, { "dropping-particle" : "", "family" : "MacGregor-Fors", "given" : "I.", "non-dropping-particle" : "", "parse-names" : false, "suffix" : "" }, { "dropping-particle" : "", "family" : "McDonnell", "given" : "M.J.", "non-dropping-particle" : "", "parse-names" : false, "suffix" : "" }, { "dropping-particle" : "", "family" : "Mortberg", "given" : "U.", "non-dropping-particle" : "", "parse-names" : false, "suffix" : "" }, { "dropping-particle" : "", "family" : "Pysek", "given" : "Petr", "non-dropping-particle" : "", "parse-names" : false, "suffix" : "" }, { "dropping-particle" : "", "family" : "Siebert", "given" : "Stefan", "non-dropping-particle" : "", "parse-names" : false, "suffix" : "" }, { "dropping-particle" : "", "family" : "Sushinsky", "given" : "J.R.", "non-dropping-particle" : "", "parse-names" : false, "suffix" : "" }, { "dropping-particle" : "", "family" : "Werner", "given" : "P.", "non-dropping-particle" : "", "parse-names" : false, "suffix" : "" }, { "dropping-particle" : "", "family" : "Winter", "given" : "M.", "non-dropping-particle" : "", "parse-names" : false, "suffix" : "" } ], "container-title" : "Proceedings of the Royal Society B: Biological Sciences", "id" : "ITEM-3", "issue" : "1780", "issued" : { "date-parts" : [ [ "2014" ] ] }, "title" : "A global analysis of the impacts of urbanization on bird and plant diversity reveals key anthropogenic drivers", "type" : "article-journal", "volume" : "281" }, "uris" : [ "http://www.mendeley.com/documents/?uuid=217c1f62-87bc-36bf-85e8-3f06e3fb8aa8" ] }, { "id" : "ITEM-4", "itemData" : { "author" : [ { "dropping-particle" : "", "family" : "Chace", "given" : "J F", "non-dropping-particle" : "", "parse-names" : false, "suffix" : "" }, { "dropping-particle" : "", "family" : "Walsh", "given" : "J J", "non-dropping-particle" : "", "parse-names" : false, "suffix" : "" } ], "container-title" : "Landscape and Urban Planning", "id" : "ITEM-4", "issue" : "1", "issued" : { "date-parts" : [ [ "2006" ] ] }, "page" : "46-69", "title" : "Urban effects on native avifauna: A review", "type" : "article-journal", "volume" : "74" }, "uris" : [ "http://www.mendeley.com/documents/?uuid=63624a65-aaa3-42cc-ba43-b741f95f3995" ] }, { "id" : "ITEM-5", "itemData" : { "author" : [ { "dropping-particle" : "", "family" : "Gonz\u00e1lez-Urrutia", "given" : "M.", "non-dropping-particle" : "", "parse-names" : false, "suffix" : "" } ], "container-title" : "Gesti\u00f3n Ambiental", "id" : "ITEM-5", "issued" : { "date-parts" : [ [ "2009" ] ] }, "page" : "55-68", "title" : "Avifauna urbana de Am\u00e9rica Latina: estudio de casos", "type" : "article-journal", "volume" : "17" }, "uris" : [ "http://www.mendeley.com/documents/?uuid=acd9e38f-5332-4b2b-b784-a399ad60526f" ] }, { "id" : "ITEM-6", "itemData" : { "author" : [ { "dropping-particle" : "", "family" : "Ortega-\u00c1lvarez", "given" : "R", "non-dropping-particle" : "", "parse-names" : false, "suffix" : "" }, { "dropping-particle" : "", "family" : "MacGregor-Fors", "given" : "I", "non-dropping-particle" : "", "parse-names" : false, "suffix" : "" } ], "container-title" : "The Auk", "id" : "ITEM-6", "issue" : "2", "issued" : { "date-parts" : [ [ "2011" ] ] }, "page" : "415-418", "title" : "Spreading the word: The ecology of urban birds outside the United States, Canada, and western Europe", "type" : "article-journal", "volume" : "128" }, "uris" : [ "http://www.mendeley.com/documents/?uuid=b2c46dd4-0951-40e7-b119-e3f1927de28a" ] }, { "id" : "ITEM-7", "itemData" : { "DOI" : "doi:10.1146/annurev.ecolsys.32.081501.114040", "ISBN" : "978-0-387-73411-8", "ISSN" : "0066-4162", "PMID" : "29", "abstract" : "t The world's population is concentrated in urban areas. This change in demography has brought landscape transformations that have a number of documented effects on stream ecosystems. The most consistent and pervasive effect is an increase in impervious surface cover within urban catchments, which alters the hydrology and geomorphology of streams. This results in predictable changes in stream habitat. In addition to imperviousness, runoff from urbanized surfaces as well as municipal and in- dustlial discharges result in increased loading of nutrients, metals, pesticides, and other contaminants to streams. These changes result in consistent declines in the richness of algal, invertebrate, and fish communities in urban streams. Although understud- ied in urban streams, ecosystem processes are also affected by urbanization. Urban streams represent opportunities for ecologists interested in studying disturbance and contributing to more effective landscape manageme", "author" : [ { "dropping-particle" : "", "family" : "Paul", "given" : "Michael J.", "non-dropping-particle" : "", "parse-names" : false, "suffix" : "" }, { "dropping-particle" : "", "family" : "Meyer", "given" : "Judy L.", "non-dropping-particle" : "", "parse-names" : false, "suffix" : "" } ], "container-title" : "Annual Review of Ecology and Systematics", "id" : "ITEM-7", "issue" : "2001", "issued" : { "date-parts" : [ [ "2001" ] ] }, "page" : "333-365", "title" : "Streams in the urban landscape", "type" : "article-journal", "volume" : "32" }, "uris" : [ "http://www.mendeley.com/documents/?uuid=2e732222-e91a-3e11-a662-3f00b1c8db25" ] }, { "id" : "ITEM-8", "itemData" : { "DOI" : "10.2307/3868092", "ISBN" : "1540-9295", "ISSN" : "15409309", "PMID" : "21179505", "abstract" : "Riparian areas are hotspots of interactions between plants, soil, water, microbes, and people. While urban land use change has been shown to have dramatic effects on watershed hydrology, there has been surpris- ingly little analysis of its effects on riparian areas. Here we examine the ecology of urban riparian zones, focusing on work done in the Baltimore Ecosystem Study, a component of the US National Science Foundation's Long Term Ecological Research network. Research in the Baltimore study has addressed how changes in hydrology associated with urbanization create riparian \"hydrologic drought\" by lowering water tables, which in turn alters soil, vegetation, and microbial processes. We analyze the nature of past and cur- rent human interactions with riparian ecosystems, and review other urban ecosystem studies to show how our observations mirror those in other cities.", "author" : [ { "dropping-particle" : "", "family" : "Groffman", "given" : "Peter M.", "non-dropping-particle" : "", "parse-names" : false, "suffix" : "" }, { "dropping-particle" : "", "family" : "Bain", "given" : "Daniel J.", "non-dropping-particle" : "", "parse-names" : false, "suffix" : "" }, { "dropping-particle" : "", "family" : "Band", "given" : "Lawrence E.", "non-dropping-particle" : "", "parse-names" : false, "suffix" : "" }, { "dropping-particle" : "", "family" : "Belt", "given" : "Kenneth T.", "non-dropping-particle" : "", "parse-names" : false, "suffix" : "" }, { "dropping-particle" : "", "family" : "Brush", "given" : "Grace S.", "non-dropping-particle" : "", "parse-names" : false, "suffix" : "" }, { "dropping-particle" : "", "family" : "Grove", "given" : "J. Morgan", "non-dropping-particle" : "", "parse-names" : false, "suffix" : "" }, { "dropping-particle" : "V.", "family" : "Pouyat", "given" : "Richard", "non-dropping-particle" : "", "parse-names" : false, "suffix" : "" }, { "dropping-particle" : "", "family" : "Yesilonis", "given" : "Ian C.", "non-dropping-particle" : "", "parse-names" : false, "suffix" : "" }, { "dropping-particle" : "", "family" : "Zipperer", "given" : "Wayne C.", "non-dropping-particle" : "", "parse-names" : false, "suffix" : "" } ], "container-title" : "Frontiers in Ecology and the Environment", "id" : "ITEM-8", "issue" : "6", "issued" : { "date-parts" : [ [ "2003" ] ] }, "page" : "315-321", "title" : "Down by the riverside: urban riparian ecology", "type" : "article-journal", "volume" : "1" }, "uris" : [ "http://www.mendeley.com/documents/?uuid=0f735216-d287-4cc3-808a-7d6a2aee84b9" ] }, { "id" : "ITEM-9", "itemData" : { "DOI" : "10.1890/04-1484", "ISBN" : "1051-0761", "ISSN" : "10510761", "abstract" : "The urbanization of agricultural lands is currently one of the dominant pat- terns of land use change in developed countries. In the United States and parts of Europe, this has led to the implementation of agricultural land preservation programs and riparian protection and replanting efforts along urban streams. The ecological benefits of such programs for the conservation of freshwater biodiversity have yet to be fully explored. We designed a study to investigate the patterns of stream macroinvertebrate community structure along a gradient of agriculture to urban development, and the patterns among urban streams that vary in the amount of intact riparian buffer. In 2001 and 2002, we sampled the 29 small headwater streams comprising the outlying tributaries of four watersheds just north ofWashington, D.C., in Montgomery County, Maryland, USA. This region has had dramatic urban development over the last 50 years, yet significant efforts have been made to maintain riparian buffers and promote preservation of agricultural land. Macroinvertebrate richness was strongly related to land use, with agricultural streams exhibiting the highest macroinvertebrate diversity. Taxa richness was related negatively and linearly (no statistical threshold) to the amount of impervious surface cover. For the urban streams, there was a strong positive relationship between invertebrate diversity and riparian forest cover. Urban streams with high amounts of intact riparian forest exhibited biodiversity levels more comparable to less urban areas despite high amounts of impervious cover in their catchments. The agricultural headwater streams in this study were not only more diverse than the urban headwaters, but their levels of macroinvertebrate diversity were high compared to other published estimates for agricultural streams. These higher richness values may be due to widespread use of \u2018\u2018best management practices\u2019\u2019 (BMPs), including no-till farming and the implementation of woody and herbaceous riparian buffers, which may alleviate many acute stressors caused by cultivation. These findings suggest that, if managed properly, the preservation of agricultural land from development may help conserve stream invertebrate biodiversity, and that maintenance of riparian forests even in highly urbanized watersheds may help alleviate ecological disturbances that might otherwise limit macroinvertebrate survival.", "author" : [ { "dropping-particle" : "", "family" : "Moore", "given" : "Aaron A.", "non-dropping-particle" : "", "parse-names" : false, "suffix" : "" }, { "dropping-particle" : "", "family" : "Palmer", "given" : "Margaret A.", "non-dropping-particle" : "", "parse-names" : false, "suffix" : "" } ], "container-title" : "Ecological Applications", "id" : "ITEM-9", "issue" : "4", "issued" : { "date-parts" : [ [ "2005" ] ] }, "page" : "1169-1177", "title" : "Invertebrate biodiversity in agricultural and urban headwater streams: Implications for conservation and management", "type" : "article-journal", "volume" : "15" }, "uris" : [ "http://www.mendeley.com/documents/?uuid=c9f1f37a-a868-3f10-a4d0-3e74f74ade23" ] }, { "id" : "ITEM-10", "itemData" : { "DOI" : "10.1111/j.1366-9516.2005.00226.x", "ISBN" : "1366-9516", "ISSN" : "13669516", "abstract" : "Rapid urbanization throughout the world is expected to cause extensive loss of biodiversity in the upcoming decades. Disturbances associated with urbanization frequently operate over multiple spatial scales such that local species extirpations have been attributed both to localized habitat degradation and to regional changes in land use. Urbanization also may shape stream communities by restricting species dispersal within and among stream reaches. In this patch-dynamics view, anthropogenic disturbances and isolation jointly reduce stream biodiversity in urbanizing landscapes. We evaluated predictions of stream invertebrate community composition and abundance based on variation in environmental conditions at five distinct spatial scales: stream habitats, reaches, riparian corridors and watersheds and their spatial location within the larger three-river basin. Despite strong associations between biodiversity loss and human density in this study, local stream habitat and stream reach conditions were poor predictors of community patterns. Instead, local community diversity and abundance were more accurately predicted by riparian vegetation and watershed landscape structure. Spatial coordinates associated with instream distances provided better predictions of stream communities than any of the environmental data sets. Together, results suggest that urbanization in the study region was associated with reduced stream invertebrate diversity through the alteration of landscape vegetation structure and patch connectivity. These findings suggest that maintaining and restoring watershed vegetation corridors in urban landscapes will aid efforts to conserve freshwater biodiversity.", "author" : [ { "dropping-particle" : "", "family" : "Urban", "given" : "Mark C.", "non-dropping-particle" : "", "parse-names" : false, "suffix" : "" }, { "dropping-particle" : "", "family" : "Skelly", "given" : "David K.", "non-dropping-particle" : "", "parse-names" : false, "suffix" : "" }, { "dropping-particle" : "", "family" : "Burchsted", "given" : "Denise", "non-dropping-particle" : "", "parse-names" : false, "suffix" : "" }, { "dropping-particle" : "", "family" : "Price", "given" : "William", "non-dropping-particle" : "", "parse-names" : false, "suffix" : "" }, { "dropping-particle" : "", "family" : "Lowry", "given" : "Sarah", "non-dropping-particle" : "", "parse-names" : false, "suffix" : "" } ], "container-title" : "Diversity and Distributions", "id" : "ITEM-10", "issue" : "4", "issued" : { "date-parts" : [ [ "2006" ] ] }, "page" : "337-350", "title" : "Stream communities across a rural-urban landscape gradient", "type" : "article-journal", "volume" : "12" }, "uris" : [ "http://www.mendeley.com/documents/?uuid=5c9861b0-f9ac-3080-86ad-9a10e28509df" ] }, { "id" : "ITEM-11", "itemData" : { "DOI" : "10.1656/045.017.0406", "ISBN" : "1092-6194", "ISSN" : "1092-6194", "abstract" : "The distribution of imperiled stream fish, crayfish, salamander, and freshwater mussel species of Maryland streams in relation to urban land cover and nonnative species was investigated. Over the last 30 years, extinction or extirpation of 13 stream animal species (including the endemic Etheostoma sellare [Maryland Darter]) was observed within the Piedmont region of Maryland, where urbanization has spread extensively outward from Baltimore and Washington, DC, and many non-native species have become established. The presence of imperiled species in this area was correlated with urbanization and non-native species occurrence. However, correlations with land-cover data were stronger than with non-native occurrence. The majority of sites with imperiled species contained less than 10% urban land cover and less than 5% impervious land cover in their catchments. In contrast, stream reaches with non-native species spanned the entire gradient of urban, agriculture, and forested land cover, with the majority of non-native species persisting in streams with over 60% urban and 40% impervious land cover. The persistence of rare species coincident with introduced species in rural portions of Maryland indicates that habitat degradation (like that typically accompanying urbanization) may be the most important threat limiting the distributions of the rarest species that remain in these streams. Limits on urbanization in areas with rare species are needed to maintain regional and global biological diversity. This is particularly important in areas like Maryland that are anticipating extensive human population and urban growth over the next 30 years.", "author" : [ { "dropping-particle" : "", "family" : "Stranko", "given" : "Scott A.", "non-dropping-particle" : "", "parse-names" : false, "suffix" : "" }, { "dropping-particle" : "", "family" : "Gresens", "given" : "Susan E.", "non-dropping-particle" : "", "parse-names" : false, "suffix" : "" }, { "dropping-particle" : "", "family" : "Klauda", "given" : "Ronald J.", "non-dropping-particle" : "", "parse-names" : false, "suffix" : "" }, { "dropping-particle" : "V.", "family" : "Kilian", "given" : "Jay", "non-dropping-particle" : "", "parse-names" : false, "suffix" : "" }, { "dropping-particle" : "", "family" : "Ciccotto", "given" : "Patrick J.", "non-dropping-particle" : "", "parse-names" : false, "suffix" : "" }, { "dropping-particle" : "", "family" : "Ashton", "given" : "Matthew J.", "non-dropping-particle" : "", "parse-names" : false, "suffix" : "" }, { "dropping-particle" : "", "family" : "Becker", "given" : "Andrew J.", "non-dropping-particle" : "", "parse-names" : false, "suffix" : "" } ], "container-title" : "Northeastern Naturalist", "id" : "ITEM-11", "issue" : "4", "issued" : { "date-parts" : [ [ "2010" ] ] }, "page" : "593-614", "title" : "Differential effects of urbanization and non-natives on imperiled stream species", "type" : "article-journal", "volume" : "17" }, "uris" : [ "http://www.mendeley.com/documents/?uuid=140dc516-b2dc-38d7-aede-e10e6e4b2157" ] }, { "id" : "ITEM-12", "itemData" : { "DOI" : "10.1016/j.biocon.2008.07.020", "ISBN" : "0006-3207", "ISSN" : "00063207", "PMID" : "22144392", "abstract" : "Urbanisation currently threatens over one-third of the world's known amphibian species. The main threats of urbanisation to amphibian populations are habitat loss, habitat fragmentation and isolation, and degradation of habitat quality. A complex array of interacting biotic and abiotic factors impact amphibians in urban and urbanising landscapes. These can lead to a decrease in species richness and the abundance of individual species towards the centre of cities and towns. The ability of amphibians to disperse can be significantly reduced in urban and suburban landscapes. However, different species exhibit markedly different responses to urbanisation. Amphibian species that are habitat generalists or have relatively low dispersal requirements appear to be better able to survive in urban and suburban landscapes. There is insufficient information on the ecology of amphibians in urban and suburban areas, particularly in the tropics and sub-tropics, despite worldwide declines reported over past decades. Future research of amphibians in urban and suburban landscapes would greatly benefit by using long-term studies at sites along urban-rural gradients, conducted at both local and landscape scales. Research needs to be directed to the developing world in the tropics and sub-tropics, which has the highest rates of urbanisation. Research into amphibian ecology and conservation in the urbanising world would be improved through experimental approaches to determine the proximate causes of species' responses to human modification of the landscape. Maintaining viable populations of amphibians in urban and suburban landscapes will require conservation strategies that consider key urbanisation processes (i.e. habitat availability and habitat quality) and the key responses and adaptations to urbanisation (i.e. species availability and species response). Conservation strategies for amphibians in urban and suburban landscapes need to include actions to prevent further loss and degradation of both terrestrial and aquatic habitat, and to reconnect the landscape to facilitate dispersal and long-term regional persistence of amphibian populations and communities. Crown Copyright \u00a9 2008.", "author" : [ { "dropping-particle" : "", "family" : "Hamer", "given" : "Andrew J.", "non-dropping-particle" : "", "parse-names" : false, "suffix" : "" }, { "dropping-particle" : "", "family" : "McDonnell", "given" : "Mark J.", "non-dropping-particle" : "", "parse-names" : false, "suffix" : "" } ], "container-title" : "Biological Conservation", "id" : "ITEM-12", "issue" : "10", "issued" : { "date-parts" : [ [ "2008" ] ] }, "page" : "2432-2449", "title" : "Amphibian ecology and conservation in the urbanising world: A review", "type" : "article-journal", "volume" : "141" }, "uris" : [ "http://www.mendeley.com/documents/?uuid=026660f5-9ff0-495c-bc55-9a78d2ed03f7" ] } ], "mendeley" : { "formattedCitation" : "(Aronson et al., 2014; Chace &amp; Walsh, 2006; Gonz\u00e1lez-Urrutia, 2009; Groffman et al., 2003; Hamer &amp; McDonnell, 2008; M L McKinney, 2002, 2008; Moore &amp; Palmer, 2005; Ortega-\u00c1lvarez &amp; MacGregor-Fors, 2011; Paul &amp; Meyer, 2001; Stranko et al., 2010; Urban, Skelly, Burchsted, Price, &amp; Lowry, 2006)", "manualFormatting" : "(Aronson et al., 2014; Chace &amp; Walsh, 2006; Gonz\u00e1lez-Urrutia, 2009; Groffman et al., 2003; Hamer and McDonnell, 2008; McKinney, 2002, 2008; Moore &amp; Palmer, 2005; Ortega-\u00c1lvarez &amp; MacGregor-Fors, 2011; Paul &amp; Meyer, 2001; Stranko et al., 2010; Urban et al., 2006)", "plainTextFormattedCitation" : "(Aronson et al., 2014; Chace &amp; Walsh, 2006; Gonz\u00e1lez-Urrutia, 2009; Groffman et al., 2003; Hamer &amp; McDonnell, 2008; M L McKinney, 2002, 2008; Moore &amp; Palmer, 2005; Ortega-\u00c1lvarez &amp; MacGregor-Fors, 2011; Paul &amp; Meyer, 2001; Stranko et al., 2010; Urban, Skelly, Burchsted, Price, &amp; Lowry, 2006)", "previouslyFormattedCitation" : "(Aronson et al., 2014; Chace &amp; Walsh, 2006; Gonz\u00e1lez-Urrutia, 2009; Groffman et al., 2003; Hamer &amp; McDonnell, 2008; M L McKinney, 2002, 2008; Moore &amp; Palmer, 2005; Ortega-\u00c1lvarez &amp; MacGregor-Fors, 2011; Paul &amp; Meyer, 2001; Stranko et al., 2010; Urban, Skelly, Burchsted, Price, &amp; Lowry, 2006)" }, "properties" : { "noteIndex" : 0 }, "schema" : "https://github.com/citation-style-language/schema/raw/master/csl-citation.json" }</w:instrText>
      </w:r>
      <w:r w:rsidRPr="008608AA">
        <w:fldChar w:fldCharType="separate"/>
      </w:r>
      <w:r w:rsidRPr="008608AA">
        <w:rPr>
          <w:noProof/>
        </w:rPr>
        <w:t xml:space="preserve">(Aronson et al., 2014; Chace &amp; Walsh, 2006; González-Urrutia, 2009; Groffman et al., 2003; Hamer </w:t>
      </w:r>
      <w:r w:rsidR="00D37B59" w:rsidRPr="008608AA">
        <w:rPr>
          <w:noProof/>
        </w:rPr>
        <w:t>&amp;</w:t>
      </w:r>
      <w:r w:rsidRPr="008608AA">
        <w:rPr>
          <w:noProof/>
        </w:rPr>
        <w:t xml:space="preserve"> McDonnell, 2008; McKinney, 2002, 2008; Moore &amp; Palmer, 2005; Ortega-Álvarez &amp; MacGregor-Fors, 2011; Paul &amp; Meyer, 2001; Stranko et al., 2010; Urban et al., 2006)</w:t>
      </w:r>
      <w:r w:rsidRPr="008608AA">
        <w:fldChar w:fldCharType="end"/>
      </w:r>
      <w:r w:rsidRPr="008608AA">
        <w:t xml:space="preserve">. That said, nonlinear relationships have also been reported for animal species along these gradients </w:t>
      </w:r>
      <w:r w:rsidRPr="008608AA">
        <w:fldChar w:fldCharType="begin" w:fldLock="1"/>
      </w:r>
      <w:r w:rsidRPr="008608AA">
        <w:instrText>ADDIN CSL_CITATION { "citationItems" : [ { "id" : "ITEM-1", "itemData" : { "DOI" : "10.1016/S0006-3207(96)00056-0", "ISBN" : "0006-3207", "ISSN" : "00063207", "PMID" : "2119", "abstract" : "We examined the distribution and abundance of butterfly species across an urban gradient and concomitant changes in community structure by censusing the butterfly and skipper populations at 48 points within six sites near Palo Alto, California, USA (all former oak woodlands). These sites represent a gradient of urban land use running from relatively undisturbed to highly developed and include a nature preserve, recreational area, golf course, residential neighborhood, office park and business district. The species richness and Shannon diversity of butterflies peaked at moderately disturbed sites while the relative abundance decreased from the natural to the urban areas. Butterfly species thought to be most representative of the original, predevelopment butterfly fauna progressively disappear as the sites become more urban. These patterns are significantly related to shifts in habitat structure that occur along the gradient as determined by canonical correspondence analysis (CCA) using the environmental variables of percent land covered by pavement, buildings, lawn, grasslands, and trees or shrubs. The mechanisms behind these patterns may be related to life history and resource use by the individual butterfly species.", "author" : [ { "dropping-particle" : "", "family" : "Blair", "given" : "Robert B.", "non-dropping-particle" : "", "parse-names" : false, "suffix" : "" }, { "dropping-particle" : "", "family" : "Launer", "given" : "Alan E.", "non-dropping-particle" : "", "parse-names" : false, "suffix" : "" } ], "container-title" : "Biological Conservation", "id" : "ITEM-1", "issue" : "1", "issued" : { "date-parts" : [ [ "1997" ] ] }, "page" : "113-125", "title" : "Butterfly diversity and human land use: Species assemblages along an urban gradient", "type" : "article-journal", "volume" : "80" }, "uris" : [ "http://www.mendeley.com/documents/?uuid=e6946d16-8a61-4249-a377-c4bed9e2d6fd" ] }, { "id" : "ITEM-2", "itemData" : { "DOI" : "10.1016/S0169-2046(00)00122-5", "ISBN" : "0169-2046", "ISSN" : "01692046", "PMID" : "22218816", "abstract" : "Despite being conspicuous and influential features of the biosphere, urban ecosystems have been neglected in ecological research. Arthropods are abundant in urban settings, but little is known about how these animals respond to urbanization. We systematically monitored the structure of ground arthropod communities for 12 months at 16 sites representing the four most abundant forms of urban land use (residential, industrial, agricultural, and desert remnant) in a rapidly growing metropolitan area (Phoenix, AZ). Although taxonomic richness was comparable among land-use types, community composition differed, with certain taxa being uniquely associated with each form of land use. Three taxa (springtails, ants, and mites) were extremely widespread and abundant, accounting for over 92% of captures; when these three taxa were excluded from analysis, however, differences were revealed in arthropod community composition with urban land use. Trophic dynamics also varied with land use: predators, herbivores, and detritivores were most abundant in agricultural sites, while onmivores were equally abundant in all forms of land use. These community-level differences resulted from taxon-specific responses to habitat structure, which varied with land use. Because arthropod community structure is affected by habitat structure and land use, and because arthropods play key roles in nutrient cycling, organic matter decomposition, pollination, and soil aeration, the spatial heterogeneity of urban ecosystems therefore may affect ecosystem functioning. \u00a9 2001 Elsevier Science B.V.", "author" : [ { "dropping-particle" : "", "family" : "McIntyre", "given" : "N. E.", "non-dropping-particle" : "", "parse-names" : false, "suffix" : "" }, { "dropping-particle" : "", "family" : "Rango", "given" : "J.", "non-dropping-particle" : "", "parse-names" : false, "suffix" : "" }, { "dropping-particle" : "", "family" : "Fagan", "given" : "W. F.", "non-dropping-particle" : "", "parse-names" : false, "suffix" : "" }, { "dropping-particle" : "", "family" : "Faeth", "given" : "S. H.", "non-dropping-particle" : "", "parse-names" : false, "suffix" : "" } ], "container-title" : "Landscape and Urban Planning", "id" : "ITEM-2", "issue" : "4", "issued" : { "date-parts" : [ [ "2001" ] ] }, "page" : "257-274", "title" : "Ground arthropod community structure in a heterogeneous urban environment", "type" : "article-journal", "volume" : "52" }, "uris" : [ "http://www.mendeley.com/documents/?uuid=f32bdefb-18be-4389-9476-5177a7648ccf" ] }, { "id" : "ITEM-3", "itemData" : { "DOI" : "10.1016/S0006-3207(00)00115-4", "ISBN" : "0006-3207", "ISSN" : "00063207", "abstract" : "Despite expanding human populations in metropolitan areas world-wide, habitat relationships of lizards have seldom been examined along urban gradients. We tested three hypotheses addressing lizard species distributions, site occupation, and assemblage organization along the urban gradient in Tucson, Arizona, USA. One hundred twenty-nine random sampling plots were distributed from undisturbed-natural land beyond the boundary of development to highly developed land within the city. We recorded lizard species abundances and 19 variables describing habitat physiognomy, floristics, and spatial relationships of native remnant and developed land parcels in each plot. We ordinated lizard species and habitat data in a canonical correspondence analysis, and tested significance of relationships in a Monte Carlo randomization test. We then tested effects of individual habitat features on site occupation by lizards using a presence-absence transformation of lizard abundance data and multiple logistic regression. Both species distributions and site occupation were influenced by factors describing habitat physiognomy, floristics, and landscape spatial relationships. Finally, we examined total abundance, number of species, and evenness across five categories describing increasing residential density. All three measures of assemblage organization peaked at low-moderate levels of development, and declined markedly as residential density increased beyond moderate levels. Distinct attributes of urban development influence lizard species distributions, site occupation, and assemblage organization. Attention to these attributes will allow land developers to mitigate the effects of future urban development on lizard populations. ?? 2000 Elsevier Science Ltd.", "author" : [ { "dropping-particle" : "", "family" : "Germaine", "given" : "S. S.", "non-dropping-particle" : "", "parse-names" : false, "suffix" : "" }, { "dropping-particle" : "", "family" : "Wakeling", "given" : "B. F.", "non-dropping-particle" : "", "parse-names" : false, "suffix" : "" } ], "container-title" : "Biological Conservation", "id" : "ITEM-3", "issue" : "2", "issued" : { "date-parts" : [ [ "2001" ] ] }, "page" : "229-237", "title" : "Lizard species distributions and habitat occupation along an urban gradient in Tucson, Arizona, USA", "type" : "article-journal", "volume" : "97" }, "uris" : [ "http://www.mendeley.com/documents/?uuid=255efc6e-9f58-3e65-a20f-83c8d9331c6c" ] }, { "id" : "ITEM-4", "itemData" : { "author" : [ { "dropping-particle" : "", "family" : "McKinney", "given" : "M L", "non-dropping-particle" : "", "parse-names" : false, "suffix" : "" } ], "container-title" : "Urban Ecosystems", "id" : "ITEM-4", "issue" : "2", "issued" : { "date-parts" : [ [ "2008" ] ] }, "page" : "161-176", "title" : "Effects of urbanization on species richness: A review of plants and animals", "type" : "article-journal", "volume" : "11" }, "uris" : [ "http://www.mendeley.com/documents/?uuid=bc4d2e65-5257-49c5-aa6f-d8dccbfce43f" ] }, { "id" : "ITEM-5", "itemData" : { "author" : [ { "dropping-particle" : "", "family" : "Faggi", "given" : "A.", "non-dropping-particle" : "", "parse-names" : false, "suffix" : "" }, { "dropping-particle" : "V.", "family" : "Perepelizin", "given" : "P.", "non-dropping-particle" : "", "parse-names" : false, "suffix" : "" } ], "container-title" : "Revista del Museo Argentino de Ciencias Naturales", "id" : "ITEM-5", "issue" : "2", "issued" : { "date-parts" : [ [ "2006" ] ] }, "page" : "289-297", "title" : "Riqueza de aves a lo largo de un gradiente de urbanizaci\u00f3n en la ciudad de Buenos Aires", "type" : "article-journal", "volume" : "8" }, "uris" : [ "http://www.mendeley.com/documents/?uuid=a0749782-0228-46ab-be2b-8ff8905d62e8" ] } ], "mendeley" : { "formattedCitation" : "(Blair &amp; Launer, 1997; Faggi &amp; Perepelizin, 2006; Germaine &amp; Wakeling, 2001; N. E. McIntyre, Rango, Fagan, &amp; Faeth, 2001; M L McKinney, 2008)", "manualFormatting" : "(Blair &amp; Launer, 1997; Faggi &amp; Perepelizin, 2006; Germaine &amp; Wakeling, 2001; McIntyre et al., 2001; McKinney, 2008)", "plainTextFormattedCitation" : "(Blair &amp; Launer, 1997; Faggi &amp; Perepelizin, 2006; Germaine &amp; Wakeling, 2001; N. E. McIntyre, Rango, Fagan, &amp; Faeth, 2001; M L McKinney, 2008)", "previouslyFormattedCitation" : "(Blair &amp; Launer, 1997; Faggi &amp; Perepelizin, 2006; Germaine &amp; Wakeling, 2001; N. E. McIntyre, Rango, Fagan, &amp; Faeth, 2001; M L McKinney, 2008)" }, "properties" : { "noteIndex" : 0 }, "schema" : "https://github.com/citation-style-language/schema/raw/master/csl-citation.json" }</w:instrText>
      </w:r>
      <w:r w:rsidRPr="008608AA">
        <w:fldChar w:fldCharType="separate"/>
      </w:r>
      <w:r w:rsidRPr="008608AA">
        <w:rPr>
          <w:noProof/>
        </w:rPr>
        <w:t>(Blair &amp; Launer, 1997; Faggi &amp; Perepelizin, 2006; Germaine &amp; Wakeling, 2001; McIntyre et al., 2001; McKinney, 2008)</w:t>
      </w:r>
      <w:r w:rsidRPr="008608AA">
        <w:fldChar w:fldCharType="end"/>
      </w:r>
      <w:r w:rsidRPr="008608AA">
        <w:t>.</w:t>
      </w:r>
    </w:p>
    <w:p w14:paraId="01C60027" w14:textId="270F64E4" w:rsidR="004255E7" w:rsidRPr="008608AA" w:rsidRDefault="00540ABA" w:rsidP="00FE65F2">
      <w:pPr>
        <w:spacing w:before="120" w:after="120"/>
      </w:pPr>
      <w:r w:rsidRPr="008608AA">
        <w:t xml:space="preserve">Urban environments are associated with a decline in native mammals, with the rare exception of species able to thrive near humans. Carnivorous and large mammals have been progressively excluded from urban areas, while middle-size omnivorous mammals that eat anthropogenic foods tend to persist </w:t>
      </w:r>
      <w:r w:rsidRPr="008608AA">
        <w:fldChar w:fldCharType="begin" w:fldLock="1"/>
      </w:r>
      <w:r w:rsidRPr="008608AA">
        <w:instrText>ADDIN CSL_CITATION { "citationItems" : [ { "id" : "ITEM-1", "itemData" : { "ISSN" : "2156-3276", "author" : [ { "dropping-particle" : "", "family" : "McCleery", "given" : "Robert", "non-dropping-particle" : "", "parse-names" : false, "suffix" : "" } ], "container-title" : "Urban Ecosystem Ecology, Agronomy Monographs 55", "editor" : [ { "dropping-particle" : "", "family" : "Aitkenhead-Peterson", "given" : "J.", "non-dropping-particle" : "", "parse-names" : false, "suffix" : "" }, { "dropping-particle" : "", "family" : "Volder", "given" : "A.", "non-dropping-particle" : "", "parse-names" : false, "suffix" : "" } ], "id" : "ITEM-1", "issued" : { "date-parts" : [ [ "2010" ] ] }, "page" : "87-102", "publisher" : "American Society of Agronomy, Crop Science Society of America, Soil Science Society of America", "publisher-place" : "Madison, USA", "title" : "Urban mammals", "type" : "chapter" }, "uris" : [ "http://www.mendeley.com/documents/?uuid=7ff9e203-0332-3f62-9cb4-84f3ac06c691" ] }, { "id" : "ITEM-2", "itemData" : { "DOI" : "10.4067/S0716-078X2013000400003", "author" : [ { "dropping-particle" : "", "family" : "Pereira-Garbero", "given" : "R.", "non-dropping-particle" : "", "parse-names" : false, "suffix" : "" }, { "dropping-particle" : "", "family" : "Barreneche", "given" : "J. M.", "non-dropping-particle" : "", "parse-names" : false, "suffix" : "" }, { "dropping-particle" : "", "family" : "Laufer", "given" : "G.", "non-dropping-particle" : "", "parse-names" : false, "suffix" : "" }, { "dropping-particle" : "", "family" : "Achaval", "given" : "F.", "non-dropping-particle" : "", "parse-names" : false, "suffix" : "" }, { "dropping-particle" : "", "family" : "Arim", "given" : "M.", "non-dropping-particle" : "", "parse-names" : false, "suffix" : "" } ], "container-title" : "Revista Chilena de Historia Natural", "id" : "ITEM-2", "issue" : "4", "issued" : { "date-parts" : [ [ "2013" ] ] }, "page" : "403-421", "title" : "Mam\u00edferos invasores en Uruguay, historia, perspectivas y consecuencias", "type" : "article-journal", "volume" : "86" }, "uris" : [ "http://www.mendeley.com/documents/?uuid=653585d9-73b8-4ade-afe1-7a80905ea865" ] } ], "mendeley" : { "formattedCitation" : "(McCleery 2010, Pereira-Garbero et al. 2013)", "manualFormatting" : "(McCleery, 2010; Pereira-Garbero et al., 2013)", "plainTextFormattedCitation" : "(McCleery 2010, Pereira-Garbero et al. 2013)", "previouslyFormattedCitation" : "(McCleery 2010, Pereira-Garbero et al. 2013)" }, "properties" : { "noteIndex" : 0 }, "schema" : "https://github.com/citation-style-language/schema/raw/master/csl-citation.json" }</w:instrText>
      </w:r>
      <w:r w:rsidRPr="008608AA">
        <w:fldChar w:fldCharType="separate"/>
      </w:r>
      <w:r w:rsidRPr="008608AA">
        <w:rPr>
          <w:noProof/>
        </w:rPr>
        <w:t>(McCleery, 2010; Pereira-Garbero et al., 2013)</w:t>
      </w:r>
      <w:r w:rsidRPr="008608AA">
        <w:fldChar w:fldCharType="end"/>
      </w:r>
      <w:r w:rsidRPr="008608AA">
        <w:t xml:space="preserve">. </w:t>
      </w:r>
      <w:r w:rsidR="004255E7" w:rsidRPr="008608AA">
        <w:t xml:space="preserve">Many small mammals in the Americas are poorly represented in cities except rats and mice </w:t>
      </w:r>
      <w:r w:rsidR="004255E7" w:rsidRPr="008608AA">
        <w:fldChar w:fldCharType="begin" w:fldLock="1"/>
      </w:r>
      <w:r w:rsidR="004255E7" w:rsidRPr="008608AA">
        <w:instrText>ADDIN CSL_CITATION { "citationItems" : [ { "id" : "ITEM-1", "itemData" : { "author" : [ { "dropping-particle" : "", "family" : "Cavia", "given" : "R", "non-dropping-particle" : "", "parse-names" : false, "suffix" : "" }, { "dropping-particle" : "", "family" : "Cueto", "given" : "G R", "non-dropping-particle" : "", "parse-names" : false, "suffix" : "" }, { "dropping-particle" : "V", "family" : "Su\u00e1rez", "given" : "O", "non-dropping-particle" : "", "parse-names" : false, "suffix" : "" } ], "container-title" : "Landscape and Urban Planning", "id" : "ITEM-1", "issued" : { "date-parts" : [ [ "2009" ] ] }, "page" : "11-19", "title" : "Changes in rodent communities according to the landscape structure in an urban ecosystem", "type" : "article-journal", "volume" : "90" }, "uris" : [ "http://www.mendeley.com/documents/?uuid=dd13f637-18b4-4267-b62b-66051a06f2e8" ] }, { "id" : "ITEM-2", "itemData" : { "author" : [ { "dropping-particle" : "", "family" : "Childs", "given" : "J. E.", "non-dropping-particle" : "", "parse-names" : false, "suffix" : "" }, { "dropping-particle" : "", "family" : "Seegar", "given" : "W. S.", "non-dropping-particle" : "", "parse-names" : false, "suffix" : "" } ], "container-title" : "International Journal of Zoonoses", "id" : "ITEM-2", "issue" : "4", "issued" : { "date-parts" : [ [ "1986" ] ] }, "page" : "249-261", "title" : "Epidemiologic observations on infection with &lt;i&gt;Toxoplasma gondii&lt;/i&gt; in three species of urban mammals from Baltimore, Maryland, USA.", "type" : "article-journal", "volume" : "13" }, "uris" : [ "http://www.mendeley.com/documents/?uuid=f40118a7-aa41-4a48-b664-01c55d07c28d" ] }, { "id" : "ITEM-3", "itemData" : { "DOI" : "10.1089/vbz.2012.1195", "ISBN" : "1530-3667", "ISSN" : "1530-3667", "PMID" : "23590323", "abstract" : "Abstract Urban Norway and black rats (Rattus norvegicus and Rattus rattus) are the source of a number of pathogens responsible for significant human morbidity and mortality in cities around the world. These pathogens include zoonotic bacteria (Leptospira interrogans, Yersina pestis, Rickettsia typhi, Bartonella spp., Streptobacillus moniliformis), viruses (Seoul hantavirus), and parasites (Angiostrongylus cantonensis). A more complete understanding of the ecology of these pathogens in people and rats is critical for determining the public health risks associated with urban rats and for developing strategies to monitor and mitigate those risks. Although the ecology of rat-associated zoonoses is complex, due to the multiple ways in which rats, people, pathogens, vectors, and the environment may interact, common determinants of human disease can still be identified. This review summarizes the ecology of zoonoses associated with urban rats with a view to identifying similarities, critical differences, and ave...", "author" : [ { "dropping-particle" : "", "family" : "Himsworth", "given" : "Chelsea G.", "non-dropping-particle" : "", "parse-names" : false, "suffix" : "" }, { "dropping-particle" : "", "family" : "Parsons", "given" : "Kirbee L.", "non-dropping-particle" : "", "parse-names" : false, "suffix" : "" }, { "dropping-particle" : "", "family" : "Jardine", "given" : "Claire", "non-dropping-particle" : "", "parse-names" : false, "suffix" : "" }, { "dropping-particle" : "", "family" : "Patrick", "given" : "David M.", "non-dropping-particle" : "", "parse-names" : false, "suffix" : "" } ], "container-title" : "Vector-Borne and Zoonotic Diseases", "id" : "ITEM-3", "issue" : "6", "issued" : { "date-parts" : [ [ "2013" ] ] }, "page" : "349-359", "title" : "Rats, cities, people, and pathogens: A systematic review and narrative synthesis of literature regarding the ecology of rat-associated zoonoses in urban centers", "type" : "article-journal", "volume" : "13" }, "uris" : [ "http://www.mendeley.com/documents/?uuid=c75f32d9-4f9f-4889-a16d-330263dcaec9" ] } ], "mendeley" : { "formattedCitation" : "(Cavia, Cueto, &amp; Su\u00e1rez, 2009; Childs &amp; Seegar, 1986; Himsworth, Parsons, Jardine, &amp; Patrick, 2013)", "manualFormatting" : "(Cavia et al., 2009; Childs &amp; Seegar, 1986; Himsworth et al., 2013)", "plainTextFormattedCitation" : "(Cavia, Cueto, &amp; Su\u00e1rez, 2009; Childs &amp; Seegar, 1986; Himsworth, Parsons, Jardine, &amp; Patrick, 2013)", "previouslyFormattedCitation" : "(Cavia, Cueto, &amp; Su\u00e1rez, 2009; Childs &amp; Seegar, 1986; Himsworth, Parsons, Jardine, &amp; Patrick, 2013)" }, "properties" : { "noteIndex" : 0 }, "schema" : "https://github.com/citation-style-language/schema/raw/master/csl-citation.json" }</w:instrText>
      </w:r>
      <w:r w:rsidR="004255E7" w:rsidRPr="008608AA">
        <w:fldChar w:fldCharType="separate"/>
      </w:r>
      <w:r w:rsidR="004255E7" w:rsidRPr="008608AA">
        <w:rPr>
          <w:noProof/>
        </w:rPr>
        <w:t>(Cavia et al., 2009; Childs &amp; Seegar, 1986; Himsworth et al., 2013)</w:t>
      </w:r>
      <w:r w:rsidR="004255E7" w:rsidRPr="008608AA">
        <w:fldChar w:fldCharType="end"/>
      </w:r>
      <w:r w:rsidR="004255E7" w:rsidRPr="008608AA">
        <w:rPr>
          <w:noProof/>
        </w:rPr>
        <w:t xml:space="preserve">. </w:t>
      </w:r>
      <w:r w:rsidR="004255E7" w:rsidRPr="008608AA">
        <w:t xml:space="preserve">The response of reptile biodiversity to urbanization is poorly understood, although positive trends were reported for turtles and snakes </w:t>
      </w:r>
      <w:r w:rsidR="004255E7" w:rsidRPr="008608AA">
        <w:fldChar w:fldCharType="begin" w:fldLock="1"/>
      </w:r>
      <w:r w:rsidR="004255E7" w:rsidRPr="008608AA">
        <w:instrText>ADDIN CSL_CITATION { "citationItems" : [ { "id" : "ITEM-1", "itemData" : { "DOI" : "10.1016/j.biocon.2008.06.019", "ISBN" : "0006-3207", "ISSN" : "00063207", "PMID" : "22144392", "abstract" : "Urban and agricultural land uses have caused documented declines in diversity of many organisms. However, responses of stream- and riparian-dwelling amphibians and reptiles to anthropogenic land development are collectively understudied and, when studied, are often grouped together as though these two taxa respond in a similar fashion. We surveyed watersheds in four land use categories (reference, pasture, developing, and urban) for amphibian and reptile species richness over a two-year period in the southeastern United States. Total herpetofauna species richness was equivalent among all watershed types, but amphibians and reptiles responded differently to urbanization when analyzed separately. Urban watersheds had significantly fewer amphibian species than all other watershed types, but these losses were counterbalanced by significant increases in reptile species richness in these same watersheds. We also found that local, riparian-scale, habitat differences were strongly correlated with species composition differences between pasture and developing watersheds. While the difference in species composition between pasture and developing sites may have multiple, species-specific explanations, the dramatic differences between amphibian and reptile species richness in urban watersheds suggest broad trends that may be important to conservation planning. Specifically, our observations suggest that urbanization in the studied watersheds alters small streams from closed-canopy, shallow-water features of the forested landscape likely present before settlement by Europeans and favored by many salamanders and frogs to features associated with open vegetation and deeper, warmer waters favored by riverine turtles and snakes. We conclude that amphibians and reptiles, despite some physiological similarities, are not equivalent for monitoring purposes. Additionally, if future development in the Piedmont mirrors current urbanization, then significant faunal shifts seem assured. ?? 2008 Elsevier Ltd. All rights reserved.", "author" : [ { "dropping-particle" : "", "family" : "Barrett", "given" : "Kyle", "non-dropping-particle" : "", "parse-names" : false, "suffix" : "" }, { "dropping-particle" : "", "family" : "Guyer", "given" : "Craig", "non-dropping-particle" : "", "parse-names" : false, "suffix" : "" } ], "container-title" : "Biological Conservation", "id" : "ITEM-1", "issue" : "9", "issued" : { "date-parts" : [ [ "2008" ] ] }, "page" : "2290-2300", "title" : "Differential responses of amphibians and reptiles in riparian and stream habitats to land use disturbances in western Georgia, USA", "type" : "article-journal", "volume" : "141" }, "uris" : [ "http://www.mendeley.com/documents/?uuid=c297d616-dda1-4a60-b8ee-7298b1d8654c" ] } ], "mendeley" : { "formattedCitation" : "(Barrett &amp; Guyer, 2008)", "manualFormatting" : "(Barrett &amp; Guyer, 2008)", "plainTextFormattedCitation" : "(Barrett &amp; Guyer, 2008)", "previouslyFormattedCitation" : "(Barrett &amp; Guyer, 2008)" }, "properties" : { "noteIndex" : 0 }, "schema" : "https://github.com/citation-style-language/schema/raw/master/csl-citation.json" }</w:instrText>
      </w:r>
      <w:r w:rsidR="004255E7" w:rsidRPr="008608AA">
        <w:fldChar w:fldCharType="separate"/>
      </w:r>
      <w:r w:rsidR="004255E7" w:rsidRPr="008608AA">
        <w:rPr>
          <w:noProof/>
        </w:rPr>
        <w:t>(Barrett &amp; Guyer, 2008)</w:t>
      </w:r>
      <w:r w:rsidR="004255E7" w:rsidRPr="008608AA">
        <w:fldChar w:fldCharType="end"/>
      </w:r>
      <w:r w:rsidR="004255E7" w:rsidRPr="008608AA">
        <w:t xml:space="preserve">. In Arizona, lizard diversity and abundance follows a humped pattern on a residential density gradient </w:t>
      </w:r>
      <w:r w:rsidR="004255E7" w:rsidRPr="008608AA">
        <w:fldChar w:fldCharType="begin" w:fldLock="1"/>
      </w:r>
      <w:r w:rsidR="004255E7" w:rsidRPr="008608AA">
        <w:instrText>ADDIN CSL_CITATION { "citationItems" : [ { "id" : "ITEM-1", "itemData" : { "DOI" : "10.1016/S0006-3207(00)00115-4", "ISBN" : "0006-3207", "ISSN" : "00063207", "abstract" : "Despite expanding human populations in metropolitan areas world-wide, habitat relationships of lizards have seldom been examined along urban gradients. We tested three hypotheses addressing lizard species distributions, site occupation, and assemblage organization along the urban gradient in Tucson, Arizona, USA. One hundred twenty-nine random sampling plots were distributed from undisturbed-natural land beyond the boundary of development to highly developed land within the city. We recorded lizard species abundances and 19 variables describing habitat physiognomy, floristics, and spatial relationships of native remnant and developed land parcels in each plot. We ordinated lizard species and habitat data in a canonical correspondence analysis, and tested significance of relationships in a Monte Carlo randomization test. We then tested effects of individual habitat features on site occupation by lizards using a presence-absence transformation of lizard abundance data and multiple logistic regression. Both species distributions and site occupation were influenced by factors describing habitat physiognomy, floristics, and landscape spatial relationships. Finally, we examined total abundance, number of species, and evenness across five categories describing increasing residential density. All three measures of assemblage organization peaked at low-moderate levels of development, and declined markedly as residential density increased beyond moderate levels. Distinct attributes of urban development influence lizard species distributions, site occupation, and assemblage organization. Attention to these attributes will allow land developers to mitigate the effects of future urban development on lizard populations. ?? 2000 Elsevier Science Ltd.", "author" : [ { "dropping-particle" : "", "family" : "Germaine", "given" : "S. S.", "non-dropping-particle" : "", "parse-names" : false, "suffix" : "" }, { "dropping-particle" : "", "family" : "Wakeling", "given" : "B. F.", "non-dropping-particle" : "", "parse-names" : false, "suffix" : "" } ], "container-title" : "Biological Conservation", "id" : "ITEM-1", "issue" : "2", "issued" : { "date-parts" : [ [ "2001" ] ] }, "page" : "229-237", "title" : "Lizard species distributions and habitat occupation along an urban gradient in Tucson, Arizona, USA", "type" : "article-journal", "volume" : "97" }, "uris" : [ "http://www.mendeley.com/documents/?uuid=255efc6e-9f58-3e65-a20f-83c8d9331c6c" ] } ], "mendeley" : { "formattedCitation" : "(Germaine &amp; Wakeling, 2001)", "manualFormatting" : "(Germaine &amp; Wakeling, 2001)", "plainTextFormattedCitation" : "(Germaine &amp; Wakeling, 2001)", "previouslyFormattedCitation" : "(Germaine &amp; Wakeling, 2001)" }, "properties" : { "noteIndex" : 0 }, "schema" : "https://github.com/citation-style-language/schema/raw/master/csl-citation.json" }</w:instrText>
      </w:r>
      <w:r w:rsidR="004255E7" w:rsidRPr="008608AA">
        <w:fldChar w:fldCharType="separate"/>
      </w:r>
      <w:r w:rsidR="004255E7" w:rsidRPr="008608AA">
        <w:rPr>
          <w:noProof/>
        </w:rPr>
        <w:t>(Germaine &amp; Wakeling, 2001)</w:t>
      </w:r>
      <w:r w:rsidR="004255E7" w:rsidRPr="008608AA">
        <w:fldChar w:fldCharType="end"/>
      </w:r>
      <w:r w:rsidR="002F1F98" w:rsidRPr="008608AA">
        <w:t>.</w:t>
      </w:r>
    </w:p>
    <w:p w14:paraId="240078B0" w14:textId="77777777" w:rsidR="004255E7" w:rsidRPr="008608AA" w:rsidRDefault="004255E7" w:rsidP="00FE65F2">
      <w:pPr>
        <w:spacing w:after="120"/>
      </w:pPr>
      <w:r w:rsidRPr="008608AA">
        <w:t xml:space="preserve">Birds are among the most studied urban animals. Avian diversity and urbanization are negatively correlated, while the total abundance of birds may increase with urbanization </w:t>
      </w:r>
      <w:r w:rsidRPr="008608AA">
        <w:fldChar w:fldCharType="begin" w:fldLock="1"/>
      </w:r>
      <w:r w:rsidRPr="008608AA">
        <w:instrText>ADDIN CSL_CITATION { "citationItems" : [ { "id" : "ITEM-1", "itemData" : { "author" : [ { "dropping-particle" : "", "family" : "Chace", "given" : "J F", "non-dropping-particle" : "", "parse-names" : false, "suffix" : "" }, { "dropping-particle" : "", "family" : "Walsh", "given" : "J J", "non-dropping-particle" : "", "parse-names" : false, "suffix" : "" } ], "container-title" : "Landscape and Urban Planning", "id" : "ITEM-1", "issue" : "1", "issued" : { "date-parts" : [ [ "2006" ] ] }, "page" : "46-69", "title" : "Urban effects on native avifauna: A review", "type" : "article-journal", "volume" : "74" }, "uris" : [ "http://www.mendeley.com/documents/?uuid=63624a65-aaa3-42cc-ba43-b741f95f3995" ] }, { "id" : "ITEM-2", "itemData" : { "author" : [ { "dropping-particle" : "", "family" : "Gonz\u00e1lez-Urrutia", "given" : "M.", "non-dropping-particle" : "", "parse-names" : false, "suffix" : "" } ], "container-title" : "Gesti\u00f3n Ambiental", "id" : "ITEM-2", "issued" : { "date-parts" : [ [ "2009" ] ] }, "page" : "55-68", "title" : "Avifauna urbana de Am\u00e9rica Latina: estudio de casos", "type" : "article-journal", "volume" : "17" }, "uris" : [ "http://www.mendeley.com/documents/?uuid=acd9e38f-5332-4b2b-b784-a399ad60526f" ] }, { "id" : "ITEM-3", "itemData" : { "author" : [ { "dropping-particle" : "", "family" : "Ortega-\u00c1lvarez", "given" : "R", "non-dropping-particle" : "", "parse-names" : false, "suffix" : "" }, { "dropping-particle" : "", "family" : "MacGregor-Fors", "given" : "I", "non-dropping-particle" : "", "parse-names" : false, "suffix" : "" } ], "container-title" : "The Auk", "id" : "ITEM-3", "issue" : "2", "issued" : { "date-parts" : [ [ "2011" ] ] }, "page" : "415-418", "title" : "Spreading the word: The ecology of urban birds outside the United States, Canada, and western Europe", "type" : "article-journal", "volume" : "128" }, "uris" : [ "http://www.mendeley.com/documents/?uuid=b2c46dd4-0951-40e7-b119-e3f1927de28a" ] } ], "mendeley" : { "formattedCitation" : "(Chace &amp; Walsh, 2006; Gonz\u00e1lez-Urrutia, 2009; Ortega-\u00c1lvarez &amp; MacGregor-Fors, 2011)", "manualFormatting" : "(Chace &amp; Walsh, 2006; Gonz\u00e1lez-Urrutia, 2009; Ortega-\u00c1lvarez &amp; MacGregor-Fors, 2011)", "plainTextFormattedCitation" : "(Chace &amp; Walsh, 2006; Gonz\u00e1lez-Urrutia, 2009; Ortega-\u00c1lvarez &amp; MacGregor-Fors, 2011)", "previouslyFormattedCitation" : "(Chace &amp; Walsh, 2006; Gonz\u00e1lez-Urrutia, 2009; Ortega-\u00c1lvarez &amp; MacGregor-Fors, 2011)" }, "properties" : { "noteIndex" : 0 }, "schema" : "https://github.com/citation-style-language/schema/raw/master/csl-citation.json" }</w:instrText>
      </w:r>
      <w:r w:rsidRPr="008608AA">
        <w:fldChar w:fldCharType="separate"/>
      </w:r>
      <w:r w:rsidRPr="008608AA">
        <w:rPr>
          <w:noProof/>
        </w:rPr>
        <w:t>(Chace &amp; Walsh, 2006; González-Urrutia, 2009; Ortega-Álvarez &amp; MacGregor-Fors, 2011)</w:t>
      </w:r>
      <w:r w:rsidRPr="008608AA">
        <w:fldChar w:fldCharType="end"/>
      </w:r>
      <w:r w:rsidRPr="008608AA">
        <w:t xml:space="preserve">. As in other taxa, these trends are associated with shifts in functional traits along urbanization gradients </w:t>
      </w:r>
      <w:r w:rsidRPr="008608AA">
        <w:fldChar w:fldCharType="begin" w:fldLock="1"/>
      </w:r>
      <w:r w:rsidRPr="008608AA">
        <w:instrText>ADDIN CSL_CITATION { "citationItems" : [ { "id" : "ITEM-1", "itemData" : { "author" : [ { "dropping-particle" : "", "family" : "Chace", "given" : "J F", "non-dropping-particle" : "", "parse-names" : false, "suffix" : "" }, { "dropping-particle" : "", "family" : "Walsh", "given" : "J J", "non-dropping-particle" : "", "parse-names" : false, "suffix" : "" } ], "container-title" : "Landscape and Urban Planning", "id" : "ITEM-1", "issue" : "1", "issued" : { "date-parts" : [ [ "2006" ] ] }, "page" : "46-69", "title" : "Urban effects on native avifauna: A review", "type" : "article-journal", "volume" : "74" }, "uris" : [ "http://www.mendeley.com/documents/?uuid=63624a65-aaa3-42cc-ba43-b741f95f3995" ] }, { "id" : "ITEM-2", "itemData" : { "DOI" : "10.1007/s10336-012-0928-x", "author" : [ { "dropping-particle" : "", "family" : "Leveau", "given" : "L. M.", "non-dropping-particle" : "", "parse-names" : false, "suffix" : "" } ], "container-title" : "Journal of Ornithology", "id" : "ITEM-2", "issue" : "3", "issued" : { "date-parts" : [ [ "2013" ] ] }, "page" : "655-662", "title" : "Bird traits in urban\u2013 rural gradients: how many functional groups are there?", "type" : "article-journal", "volume" : "154" }, "uris" : [ "http://www.mendeley.com/documents/?uuid=8050a1a7-abe0-4a4d-a716-3cc47cecb032" ] }, { "id" : "ITEM-3", "itemData" : { "DOI" : "10.1641/0006-3568(2002) 052.", "author" : [ { "dropping-particle" : "", "family" : "McKinney", "given" : "M L", "non-dropping-particle" : "", "parse-names" : false, "suffix" : "" } ], "container-title" : "BioScience", "id" : "ITEM-3", "issue" : "10", "issued" : { "date-parts" : [ [ "2002" ] ] }, "page" : "883-890", "title" : "Urbanization, biodiversity, and conservation", "type" : "article-journal", "volume" : "52" }, "uris" : [ "http://www.mendeley.com/documents/?uuid=203f99b2-ec70-4828-b529-57150cef9750" ] } ], "mendeley" : { "formattedCitation" : "(Chace &amp; Walsh, 2006; Leveau, 2013; M L McKinney, 2002)", "manualFormatting" : "(Chace &amp; Walsh, 2006; Leveau, 2013; McKinney, 2002)", "plainTextFormattedCitation" : "(Chace &amp; Walsh, 2006; Leveau, 2013; M L McKinney, 2002)", "previouslyFormattedCitation" : "(Chace &amp; Walsh, 2006; Leveau, 2013; M L McKinney, 2002)" }, "properties" : { "noteIndex" : 0 }, "schema" : "https://github.com/citation-style-language/schema/raw/master/csl-citation.json" }</w:instrText>
      </w:r>
      <w:r w:rsidRPr="008608AA">
        <w:fldChar w:fldCharType="separate"/>
      </w:r>
      <w:r w:rsidRPr="008608AA">
        <w:rPr>
          <w:noProof/>
        </w:rPr>
        <w:t>(Chace &amp; Walsh, 2006; Leveau, 2013; McKinney, 2002)</w:t>
      </w:r>
      <w:r w:rsidRPr="008608AA">
        <w:fldChar w:fldCharType="end"/>
      </w:r>
      <w:r w:rsidRPr="008608AA">
        <w:t xml:space="preserve"> and species ability to use waste as food </w:t>
      </w:r>
      <w:r w:rsidRPr="008608AA">
        <w:fldChar w:fldCharType="begin" w:fldLock="1"/>
      </w:r>
      <w:r w:rsidRPr="008608AA">
        <w:instrText>ADDIN CSL_CITATION { "citationItems" : [ { "id" : "ITEM-1", "itemData" : { "ISSN" : "1667-782X", "abstract" : "Los basurales a cielo abierto y los rellenos sanitarios son sitios de atracci\u00f3n para diferentes especies de aves oportunistas que pueden aumentar sus poblaciones debido al suplemento alimentario brindado por los residuos org\u00e1nicos. Estas aves pueden actuar como vectores de enfermedades o contaminantes, causar da\u00f1os a la agricultura, aumentar el riesgo de accidentes a\u00e9reos y tener efectos negativos sobre otras especies por competencia o depredaci\u00f3n. Los objetivos de este trabajo son identificar y cuantificar las especies de aves y el uso de h\u00e1bitat en tres rellenos sanitarios del noreste de la provincia de Buenos Aires y determinar la importancia de la cantidad de residuos depositados sobre dichas variables durante dos per\u00edodos invernales consecutivos. La abundancia total de aves fue diferente entre los rellenos en ambos per\u00edodos de estudio, aunque las gaviotas fue siempre el grupo m\u00e1s abundante en los tres rellenos. El relleno Norte 3 tuvo la mayor abundancia de gaviotas y palomas. Las aves zancudas fueron significativamente m\u00e1s abundantes en el relleno de Gonz\u00e1lez Cat\u00e1n, y las rapaces tuvieron abundancias similares en los tres rellenos en ambos per\u00edodos. En ambos per\u00edodos las gaviotas de los tres rellenos fueron abundantes en todos los ambientes, mientras que s\u00f3lo la abundancia de las palomas en el relleno Norte 3 estuvo relacionada con las celdas de disposici\u00f3n final y el borde cercano. Se encontr\u00f3 relaci\u00f3n entre la superficie de residuos expuestos y la abundancia total de aves y la abundancia de palomas, que a su vez se relacion\u00f3 con la cantidad diaria de residuos depositados. La reducci\u00f3n de la porci\u00f3n org\u00e1nica y el manejo de los residuos durante la disposici\u00f3n final, el manejo de los ambientes aleda\u00f1os, junto a m\u00e9todos directos pasivos y activos de control, reducir\u00edan las abundancias de aves y la potencialidad de los efectos negativos para el hombre y el ambiente.", "author" : [ { "dropping-particle" : "", "family" : "Marateo", "given" : "G", "non-dropping-particle" : "", "parse-names" : false, "suffix" : "" }, { "dropping-particle" : "", "family" : "Grilli", "given" : "P", "non-dropping-particle" : "", "parse-names" : false, "suffix" : "" }, { "dropping-particle" : "", "family" : "Bouzas", "given" : "N", "non-dropping-particle" : "", "parse-names" : false, "suffix" : "" }, { "dropping-particle" : "", "family" : "Jensen", "given" : "R", "non-dropping-particle" : "", "parse-names" : false, "suffix" : "" }, { "dropping-particle" : "", "family" : "Ferretti", "given" : "V", "non-dropping-particle" : "", "parse-names" : false, "suffix" : "" }, { "dropping-particle" : "", "family" : "Juarez", "given" : "M", "non-dropping-particle" : "", "parse-names" : false, "suffix" : "" }, { "dropping-particle" : "", "family" : "Soave", "given" : "G", "non-dropping-particle" : "", "parse-names" : false, "suffix" : "" } ], "container-title" : "Ecologia Austral", "id" : "ITEM-1", "issue" : "Diciembre 2013", "issued" : { "date-parts" : [ [ "2013" ] ] }, "page" : "202-208", "title" : "Uso de h\u00e1bitat por aves en rellenos sanitarios del noreste de la provincia de Buenos Aires, Argentina", "type" : "article-journal" }, "uris" : [ "http://www.mendeley.com/documents/?uuid=356c207a-01b9-4c1d-abfd-f4bebfa20be9" ] } ], "mendeley" : { "formattedCitation" : "(Marateo et al., 2013)", "plainTextFormattedCitation" : "(Marateo et al., 2013)", "previouslyFormattedCitation" : "(Marateo et al., 2013)" }, "properties" : { "noteIndex" : 0 }, "schema" : "https://github.com/citation-style-language/schema/raw/master/csl-citation.json" }</w:instrText>
      </w:r>
      <w:r w:rsidRPr="008608AA">
        <w:fldChar w:fldCharType="separate"/>
      </w:r>
      <w:r w:rsidRPr="008608AA">
        <w:rPr>
          <w:noProof/>
        </w:rPr>
        <w:t>(Marateo et al., 2013)</w:t>
      </w:r>
      <w:r w:rsidRPr="008608AA">
        <w:fldChar w:fldCharType="end"/>
      </w:r>
      <w:r w:rsidRPr="008608AA">
        <w:t xml:space="preserve">. </w:t>
      </w:r>
      <w:r w:rsidR="00147DF3" w:rsidRPr="008608AA">
        <w:t xml:space="preserve">Urban bird diversity is enhanced by increases in the number, size, connectivity and habitat heterogeneity of urban parks and vegetation remnants </w:t>
      </w:r>
      <w:r w:rsidR="00147DF3" w:rsidRPr="008608AA">
        <w:fldChar w:fldCharType="begin" w:fldLock="1"/>
      </w:r>
      <w:r w:rsidR="00147DF3" w:rsidRPr="008608AA">
        <w:instrText>ADDIN CSL_CITATION { "citationItems" : [ { "id" : "ITEM-1", "itemData" : { "author" : [ { "dropping-particle" : "", "family" : "D\u00edaz", "given" : "I A", "non-dropping-particle" : "", "parse-names" : false, "suffix" : "" }, { "dropping-particle" : "", "family" : "Armesto", "given" : "J J", "non-dropping-particle" : "", "parse-names" : false, "suffix" : "" } ], "container-title" : "Revista Ambiente y Desarrollo de CIPMA", "id" : "ITEM-1", "issue" : "2", "issued" : { "date-parts" : [ [ "2003" ] ] }, "page" : "31-38", "title" : "La conservaci\u00f3n de las aves silvestres en ambientes urbanos de Santiago", "type" : "article-journal", "volume" : "19" }, "uris" : [ "http://www.mendeley.com/documents/?uuid=c2d1f5be-04c4-4041-9d74-5a716c8d13c5" ] }, { "id" : "ITEM-2", "itemData" : { "DOI" : "10.1590/S1516-89132005000200016", "author" : [ { "dropping-particle" : "", "family" : "Manh\u00e3es", "given" : "M. A.", "non-dropping-particle" : "", "parse-names" : false, "suffix" : "" }, { "dropping-particle" : "", "family" : "Loures-Ribeiro", "given" : "A", "non-dropping-particle" : "", "parse-names" : false, "suffix" : "" } ], "container-title" : "Brazilian Archives of Biology and Technology", "id" : "ITEM-2", "issue" : "2", "issued" : { "date-parts" : [ [ "2005" ] ] }, "page" : "285-294", "title" : "Spatial distribution and diversity of bird community in an urban area of southeast Brazil", "type" : "article-journal", "volume" : "48" }, "uris" : [ "http://www.mendeley.com/documents/?uuid=1ee15030-05b7-46e5-bed4-8b989b58512d" ] }, { "id" : "ITEM-3", "itemData" : { "author" : [ { "dropping-particle" : "", "family" : "Juri", "given" : "M. D.", "non-dropping-particle" : "", "parse-names" : false, "suffix" : "" }, { "dropping-particle" : "", "family" : "Chani", "given" : "J. M.", "non-dropping-particle" : "", "parse-names" : false, "suffix" : "" } ], "container-title" : "Ecolog\u00eda Austral", "id" : "ITEM-3", "issue" : "3", "issued" : { "date-parts" : [ [ "2009" ] ] }, "page" : "175-184", "title" : "Variaci\u00f3n estacional en la composici\u00f3n de las comunidades de aves en un gradiente urbano", "type" : "article-journal", "volume" : "19" }, "uris" : [ "http://www.mendeley.com/documents/?uuid=e53359b4-9e6c-4d2d-baf6-945a84f7c905" ] }, { "id" : "ITEM-4", "itemData" : { "DOI" : "10.1525/auk.2011.10082", "author" : [ { "dropping-particle" : "", "family" : "Ortega-\u00c1lvarez", "given" : "R.", "non-dropping-particle" : "", "parse-names" : false, "suffix" : "" }, { "dropping-particle" : "", "family" : "MacGregor-Fors", "given" : "I.", "non-dropping-particle" : "", "parse-names" : false, "suffix" : "" } ], "container-title" : "The Auk: Ornithological Advances", "id" : "ITEM-4", "issue" : "2", "issued" : { "date-parts" : [ [ "2011" ] ] }, "page" : "415-418", "title" : "Spreading the word: The ecology of urban birds outside the United States, Canada, and western Europe", "type" : "article-journal", "volume" : "128" }, "uris" : [ "http://www.mendeley.com/documents/?uuid=b2c46dd4-0951-40e7-b119-e3f1927de28a" ] }, { "id" : "ITEM-5", "itemData" : { "DOI" : "10.1007/s11252-010-0126-7", "ISBN" : "1083-8155", "author" : [ { "dropping-particle" : "", "family" : "Villegas", "given" : "Mariana", "non-dropping-particle" : "", "parse-names" : false, "suffix" : "" }, { "dropping-particle" : "", "family" : "Garitano-Zavala", "given" : "\u00c1lvaro", "non-dropping-particle" : "", "parse-names" : false, "suffix" : "" } ], "container-title" : "Urban Ecosystems", "id" : "ITEM-5", "issue" : "3", "issued" : { "date-parts" : [ [ "2010" ] ] }, "language" : "English", "page" : "375-391", "publisher" : "Springer US", "title" : "Bird community responses to different urban conditions in La Paz, Bolivia", "type" : "article-journal", "volume" : "13" }, "uris" : [ "http://www.mendeley.com/documents/?uuid=25685ae5-26ee-45b7-9a9b-eb700f89df36" ] }, { "id" : "ITEM-6", "itemData" : { "DOI" : "10.1590/S1676-06032013000200014", "author" : [ { "dropping-particle" : "", "family" : "Sacco", "given" : "Anne Gomes", "non-dropping-particle" : "", "parse-names" : false, "suffix" : "" }, { "dropping-particle" : "", "family" : "Bergmann", "given" : "Fabiane Borba", "non-dropping-particle" : "", "parse-names" : false, "suffix" : "" }, { "dropping-particle" : "", "family" : "Rui", "given" : "Ana Maria", "non-dropping-particle" : "", "parse-names" : false, "suffix" : "" } ], "container-title" : "Biota Neotropica", "id" : "ITEM-6", "issue" : "2", "issued" : { "date-parts" : [ [ "2013" ] ] }, "page" : "153-162", "title" : "Assembleia de aves na \u00e1rea urbana do munic\u00edpio de Pelotas, Rio Grande do Sul, Brasil", "type" : "article-journal", "volume" : "13" }, "uris" : [ "http://www.mendeley.com/documents/?uuid=241fbc8a-87e7-4c13-8e16-e9ed5cf84c5e" ] }, { "id" : "ITEM-7", "itemData" : { "ISBN" : "1852-7329", "author" : [ { "dropping-particle" : "V.", "family" : "Perepelizin", "given" : "Pablo", "non-dropping-particle" : "", "parse-names" : false, "suffix" : "" }, { "dropping-particle" : "", "family" : "Faggi", "given" : "A. M.", "non-dropping-particle" : "", "parse-names" : false, "suffix" : "" } ], "container-title" : "Multequina", "id" : "ITEM-7", "issue" : "2", "issued" : { "date-parts" : [ [ "2009" ] ] }, "page" : "71-85", "title" : "Diversidad de aves en tres barrios de la ciudad de Buenos Aires, Argentina", "type" : "article-journal", "volume" : "18" }, "uris" : [ "http://www.mendeley.com/documents/?uuid=9d2e9061-151b-4c5c-9926-f5d04f097fb7" ] }, { "id" : "ITEM-8", "itemData" : { "author" : [ { "dropping-particle" : "", "family" : "Gonz\u00e1lez-Urrutia", "given" : "M.", "non-dropping-particle" : "", "parse-names" : false, "suffix" : "" } ], "container-title" : "Gesti\u00f3n Ambiental", "id" : "ITEM-8", "issued" : { "date-parts" : [ [ "2009" ] ] }, "page" : "55-68", "title" : "Avifauna urbana de Am\u00e9rica Latina: estudio de casos", "type" : "article-journal", "volume" : "17" }, "uris" : [ "http://www.mendeley.com/documents/?uuid=acd9e38f-5332-4b2b-b784-a399ad60526f" ] }, { "id" : "ITEM-9", "itemData" : { "author" : [ { "dropping-particle" : "", "family" : "Garitano-Zavala", "given" : "\u00c1", "non-dropping-particle" : "", "parse-names" : false, "suffix" : "" }, { "dropping-particle" : "", "family" : "Gismondi", "given" : "P.", "non-dropping-particle" : "", "parse-names" : false, "suffix" : "" } ], "container-title" : "Ecolog\u00eda en Bolivia", "id" : "ITEM-9", "issue" : "1", "issued" : { "date-parts" : [ [ "2003" ] ] }, "page" : "65-78", "title" : "Variaci\u00f3n de la riqueza y diversidad de la ornitofauna en \u00e1reas verdes urbanas de las ciudades de La Paz y El Alto (Bolivia)", "type" : "article-journal", "volume" : "38" }, "uris" : [ "http://www.mendeley.com/documents/?uuid=09d7cb75-de75-49fa-8532-0e4f0a4be248" ] }, { "id" : "ITEM-10", "itemData" : { "DOI" : "10.1111/ele.12427", "author" : [ { "dropping-particle" : "", "family" : "Beninde", "given" : "J", "non-dropping-particle" : "", "parse-names" : false, "suffix" : "" }, { "dropping-particle" : "", "family" : "Veith", "given" : "M", "non-dropping-particle" : "", "parse-names" : false, "suffix" : "" }, { "dropping-particle" : "", "family" : "Hochkirch", "given" : "A", "non-dropping-particle" : "", "parse-names" : false, "suffix" : "" } ], "container-title" : "Ecology Letters", "id" : "ITEM-10", "issued" : { "date-parts" : [ [ "2015" ] ] }, "page" : "581-592", "title" : "Biodiversity in cities needs space: a meta-analysis of factors determining intra-urban biodiversity variation", "type" : "article-journal", "volume" : "18" }, "uris" : [ "http://www.mendeley.com/documents/?uuid=52addf29-e168-4420-98f1-78</w:instrText>
      </w:r>
      <w:r w:rsidR="00147DF3" w:rsidRPr="00CE0821">
        <w:rPr>
          <w:lang w:val="es-CO"/>
        </w:rPr>
        <w:instrText>961d56d4f5" ] } ], "mendeley" : { "formattedCitation" : "(D\u00edaz and Armesto 2003, Garitano-Zavala and Gismondi 2003, Manh\u00e3es and Loures-Ribeiro 2005, Gonz\u00e1lez-Urrutia 2009, Juri and Chani 2009, Perepelizin and Faggi 2009, Villegas and Garitano-Zavala 2010, Ortega-\u00c1lvarez and MacGregor-Fors 2011, Sacco et al. 2013, Beninde et al. 2015)", "manualFormatting" : "(Beninde et al., 2015; D\u00edaz &amp; Armesto, 2003; Garitano-Zavala &amp; Gismondi, 2003; Gonz\u00e1lez-Urrutia, 2009; Juri &amp; Chani, 2009; Manh\u00e3es &amp; Loures-Ribeiro, 2005; Maragliano et al., 2009; Ortega-\u00c1lvarez &amp; MacGregor-Fors, 2011; Perepelizin &amp; Faggi, 2009; Sacco et al., 2013; Villegas &amp; Garitano-Zavala, 2010", "plainTextFormattedCitation" : "(D\u00edaz and Armesto 2003, Garitano-Zavala and Gismondi 2003, Manh\u00e3es and Loures-Ribeiro 2005, Gonz\u00e1lez-Urrutia 2009, Juri and Chani 2009, Perepelizin and Faggi 2009, Villegas and Garitano-Zavala 2010, Ortega-\u00c1lvarez and MacGregor-Fors 2011, Sacco et al. 2013, Beninde et al. 2015)", "previouslyFormattedCitation" : "(D\u00edaz and Armesto 2003, Garitano-Zavala and Gismondi 2003, Manh\u00e3es and Loures-Ribeiro 2005, Gonz\u00e1lez-Urrutia 2009, Juri and Chani 2009, Perepelizin and Faggi 2009, Villegas and Garitano-Zavala 2010, Ortega-\u00c1lvarez and MacGregor-Fors 2011, Sacco et al. 2013, Beninde et al. 2015)" }, "properties" : { "noteIndex" : 0 }, "schema" : "https://github.com/citation-style-language/schema/raw/master/csl-citation.json" }</w:instrText>
      </w:r>
      <w:r w:rsidR="00147DF3" w:rsidRPr="008608AA">
        <w:fldChar w:fldCharType="separate"/>
      </w:r>
      <w:r w:rsidR="00147DF3" w:rsidRPr="00CE0821">
        <w:rPr>
          <w:noProof/>
          <w:lang w:val="es-CO"/>
        </w:rPr>
        <w:t>(Beninde et al., 2015; Díaz &amp; Armesto, 2003; Garitano-Zavala &amp; Gismondi, 2003; González-Urrutia, 2009; Juri &amp; Chani, 2009; Manh</w:t>
      </w:r>
      <w:r w:rsidR="00147DF3" w:rsidRPr="00CE0821">
        <w:rPr>
          <w:rFonts w:cstheme="minorHAnsi"/>
          <w:noProof/>
          <w:lang w:val="es-CO"/>
        </w:rPr>
        <w:t>ã</w:t>
      </w:r>
      <w:r w:rsidR="00147DF3" w:rsidRPr="00CE0821">
        <w:rPr>
          <w:noProof/>
          <w:lang w:val="es-CO"/>
        </w:rPr>
        <w:t>es &amp; Loures-Ribeiro, 2005; Mar</w:t>
      </w:r>
      <w:r w:rsidR="00147DF3" w:rsidRPr="002365C4">
        <w:rPr>
          <w:noProof/>
          <w:lang w:val="es-ES"/>
        </w:rPr>
        <w:t>agliano et al., 2009; Ortega-Álvarez &amp; MacGregor-Fors, 2011; Perepelizin &amp; Faggi, 2009; Sacco et al., 2013; Villegas &amp; Garitano-Zavala, 2010</w:t>
      </w:r>
      <w:r w:rsidR="00147DF3" w:rsidRPr="008608AA">
        <w:fldChar w:fldCharType="end"/>
      </w:r>
      <w:r w:rsidR="00147DF3" w:rsidRPr="008608AA">
        <w:fldChar w:fldCharType="begin" w:fldLock="1"/>
      </w:r>
      <w:r w:rsidR="00147DF3" w:rsidRPr="002365C4">
        <w:rPr>
          <w:lang w:val="es-ES"/>
        </w:rPr>
        <w:instrText>ADDIN CSL_CITATION { "citationItems" : [ { "id" : "ITEM-1", "itemData" : { "author" : [ { "dropping-particle" : "", "family" : "Maragliano", "given" : "R.E.", "non-dropping-particle" : "", "parse-names" : false, "suffix" : "" }, { "dropping-particle" : "", "family" : "Marti", "given" : "L.J.", "non-dropping-particle" : "", "parse-names" : false, "suffix" : "" }, { "dropping-particle" : "", "family" : "Iba\u00f1ez", "given" : "L.M.", "non-dropping-particle" : "", "parse-names" : false, "suffix" : "" }, { "dropping-particle" : "", "family" : "Montalti", "given" : "D.", "non-dropping-particle" : "", "parse-names" : false, "suffix" : "" } ], "container-title" : "Acta Zoologica Lilloana", "id" : "ITEM-1", "issue" : "1-2", "issued" : { "date-parts" : [ [ "2009" ] ] }, "page" : "108-114", "title" : "Comunidades de aves urbanas de Lavallol, Buenos Aires, Argentina.", "type" : "article-journal", "volume" : "53" }, "uris" : [ "http://www.mendeley.com/documents/?uuid=63459545-9e4c-4d54-addc-2d760fc79e1f" ] } ], "mendeley" : { "formattedCitation" : "(Maragliano et al. 2009)", "manualFormatting" : ")", "plainTextFormattedCitation" : "(Maragliano et al. 2009)", "previouslyFormattedCitation" : "(</w:instrText>
      </w:r>
      <w:r w:rsidR="00147DF3" w:rsidRPr="008608AA">
        <w:rPr>
          <w:lang w:val="es-CO"/>
        </w:rPr>
        <w:instrText>Maragliano et al. 2009)" }, "properties" : { "noteIndex" : 0 }, "schema" : "https://github.com/citation-style-language/schema/raw/master/csl-citation.json" }</w:instrText>
      </w:r>
      <w:r w:rsidR="00147DF3" w:rsidRPr="008608AA">
        <w:fldChar w:fldCharType="separate"/>
      </w:r>
      <w:r w:rsidR="00147DF3" w:rsidRPr="008608AA">
        <w:rPr>
          <w:noProof/>
          <w:lang w:val="es-CO"/>
        </w:rPr>
        <w:t>)</w:t>
      </w:r>
      <w:r w:rsidR="00147DF3" w:rsidRPr="008608AA">
        <w:fldChar w:fldCharType="end"/>
      </w:r>
      <w:r w:rsidR="00147DF3" w:rsidRPr="008608AA">
        <w:rPr>
          <w:lang w:val="es-CO"/>
        </w:rPr>
        <w:t xml:space="preserve">. </w:t>
      </w:r>
      <w:r w:rsidRPr="008608AA">
        <w:t xml:space="preserve">Significant raptor diversity has been reported, even in larger cities. For example, more than 20 raptor species were recorded in Buenos Aires, Argentina </w:t>
      </w:r>
      <w:r w:rsidRPr="008608AA">
        <w:fldChar w:fldCharType="begin" w:fldLock="1"/>
      </w:r>
      <w:r w:rsidRPr="008608AA">
        <w:instrText>ADDIN CSL_CITATION { "citationItems" : [ { "id" : "ITEM-1", "itemData" : { "author" : [ { "dropping-particle" : "", "family" : "Cavicchia", "given" : "M.", "non-dropping-particle" : "", "parse-names" : false, "suffix" : "" }, { "dropping-particle" : "", "family" : "Garc\u00eda", "given" : "G.V.", "non-dropping-particle" : "", "parse-names" : false, "suffix" : "" } ], "container-title" : "Hornero", "id" : "ITEM-1", "issued" : { "date-parts" : [ [ "2012" ] ] }, "page" : "159-166", "publisher-place" : "Buenos Aires, Argentina", "title" : "Riqueza y composici\u00f3n de especies de aves rapaces (Falconiformes y Strigiformes) de la ciudad de Buenos Aires, Argentina", "type" : "article-journal", "volume" : "027" }, "uris" : [ "http://www.mendeley.com/documents/?uuid=393099c4-eda4-4a31-a3ba-12ae1f09ceaa" ] } ], "mendeley" : { "formattedCitation" : "(Cavicchia &amp; Garc\u00eda, 2012)", "manualFormatting" : "(Cavicchia &amp; Garc\u00eda, 2012)", "plainTextFormattedCitation" : "(Cavicchia &amp; Garc\u00eda, 2012)", "previouslyFormattedCitation" : "(Cavicchia &amp; Garc\u00eda, 2012)" }, "properties" : { "noteIndex" : 0 }, "schema" : "https://github.com/citation-style-language/schema/raw/master/csl-citation.json" }</w:instrText>
      </w:r>
      <w:r w:rsidRPr="008608AA">
        <w:fldChar w:fldCharType="separate"/>
      </w:r>
      <w:r w:rsidRPr="008608AA">
        <w:rPr>
          <w:noProof/>
        </w:rPr>
        <w:t>(Cavicchia &amp; García, 2012)</w:t>
      </w:r>
      <w:r w:rsidRPr="008608AA">
        <w:fldChar w:fldCharType="end"/>
      </w:r>
      <w:r w:rsidRPr="008608AA">
        <w:t xml:space="preserve">. Some 24 species (83% of Chilean raptor species) were observed in the Chilean Metropolitan Region of which 18 occur in the vicinity of Santiago; seven are considered urban or suburban </w:t>
      </w:r>
      <w:r w:rsidRPr="008608AA">
        <w:fldChar w:fldCharType="begin" w:fldLock="1"/>
      </w:r>
      <w:r w:rsidRPr="008608AA">
        <w:instrText>ADDIN CSL_CITATION { "citationItems" : [ { "id" : "ITEM-1", "itemData" : { "author" : [ { "dropping-particle" : "", "family" : "Jaksic", "given" : "F. M.", "non-dropping-particle" : "", "parse-names" : false, "suffix" : "" }, { "dropping-particle" : "", "family" : "Pavez", "given" : "E. F.", "non-dropping-particle" : "", "parse-names" : false, "suffix" : "" }, { "dropping-particle" : "", "family" : "Jim\u00e9nez", "given" : "J. E.", "non-dropping-particle" : "", "parse-names" : false, "suffix" : "" }, { "dropping-particle" : "", "family" : "Torres-Mura", "given" : "J. C.", "non-dropping-particle" : "", "parse-names" : false, "suffix" : "" } ], "container-title" : "Journal of Raptor Research", "id" : "ITEM-1", "issue" : "2", "issued" : { "date-parts" : [ [ "2001" ] ] }, "page" : "151-158", "title" : "The conservation status of raptors in the Metropolitan Region, Chile", "type" : "article-journal", "volume" : "35" }, "uris" : [ "http://www.mendeley.com/documents/?uuid=5e73ea0c-69e3-4141-aff2-d29988388d5a" ] } ], "mendeley" : { "formattedCitation" : "(F. M. Jaksic, Pavez, Jim\u00e9nez, &amp; Torres-Mura, 2001)", "manualFormatting" : "(Jaksic et al., 2001)", "plainTextFormattedCitation" : "(F. M. Jaksic, Pavez, Jim\u00e9nez, &amp; Torres-Mura, 2001)", "previouslyFormattedCitation" : "(F. M. Jaksic, Pavez, Jim\u00e9nez, &amp; Torres-Mura, 2001)" }, "properties" : { "noteIndex" : 0 }, "schema" : "https://github.com/citation-style-language/schema/raw/master/csl-citation.json" }</w:instrText>
      </w:r>
      <w:r w:rsidRPr="008608AA">
        <w:fldChar w:fldCharType="separate"/>
      </w:r>
      <w:r w:rsidRPr="008608AA">
        <w:rPr>
          <w:noProof/>
        </w:rPr>
        <w:t>(Jaksic et al., 2001)</w:t>
      </w:r>
      <w:r w:rsidRPr="008608AA">
        <w:fldChar w:fldCharType="end"/>
      </w:r>
      <w:r w:rsidRPr="008608AA">
        <w:t xml:space="preserve">. In Baja California, Mexico, raptor richness was unaffected by the anthropogenic transformation of the habitat </w:t>
      </w:r>
      <w:r w:rsidRPr="008608AA">
        <w:fldChar w:fldCharType="begin" w:fldLock="1"/>
      </w:r>
      <w:r w:rsidRPr="008608AA">
        <w:instrText>ADDIN CSL_CITATION { "citationItems" : [ { "id" : "ITEM-1", "itemData" : { "author" : [ { "dropping-particle" : "", "family" : "Rodr\u00edguez-Estrella", "given" : "R.", "non-dropping-particle" : "", "parse-names" : false, "suffix" : "" }, { "dropping-particle" : "", "family" : "Don\u00e1zar", "given" : "J.A.", "non-dropping-particle" : "", "parse-names" : false, "suffix" : "" }, { "dropping-particle" : "", "family" : "Hiraldo", "given" : "F.", "non-dropping-particle" : "", "parse-names" : false, "suffix" : "" } ], "container-title" : "Conservation Biology", "id" : "ITEM-1", "issue" : "4", "issued" : { "date-parts" : [ [ "1998" ] ] }, "page" : "921-925", "title" : "Raptors as indicators of environmental change in the scrub habitat of Baja California Sur, Mexico", "type" : "article-journal", "volume" : "12" }, "uris" : [ "http://www.mendeley.com/documents/?uuid=663ce674-bc24-4209-b3d0-711cab812e7a" ] } ], "mendeley" : { "formattedCitation" : "(Rodr\u00edguez-Estrella, Don\u00e1zar, &amp; Hiraldo, 1998)", "manualFormatting" : "(Rodr\u00edguez-Estrella et al., 1998)", "plainTextFormattedCitation" : "(Rodr\u00edguez-Estrella, Don\u00e1zar, &amp; Hiraldo, 1998)", "previouslyFormattedCitation" : "(Rodr\u00edguez-Estrella, Don\u00e1zar, &amp; Hiraldo, 1998)" }, "properties" : { "noteIndex" : 0 }, "schema" : "https://github.com/citation-style-language/schema/raw/master/csl-citation.json" }</w:instrText>
      </w:r>
      <w:r w:rsidRPr="008608AA">
        <w:fldChar w:fldCharType="separate"/>
      </w:r>
      <w:r w:rsidRPr="008608AA">
        <w:rPr>
          <w:noProof/>
        </w:rPr>
        <w:t>(Rodríguez-Estrella et al., 1998)</w:t>
      </w:r>
      <w:r w:rsidRPr="008608AA">
        <w:fldChar w:fldCharType="end"/>
      </w:r>
      <w:r w:rsidRPr="008608AA">
        <w:t xml:space="preserve">. At the same time, non-native avian species have progressively established in urban areas. In Mesoamerica some urban areas now have non-native avian abundances similar to those observed in developed countries at temperate latitudes </w:t>
      </w:r>
      <w:r w:rsidRPr="008608AA">
        <w:fldChar w:fldCharType="begin" w:fldLock="1"/>
      </w:r>
      <w:r w:rsidRPr="008608AA">
        <w:instrText>ADDIN CSL_CITATION { "citationItems" : [ { "id" : "ITEM-1", "itemData" : { "author" : [ { "dropping-particle" : "", "family" : "Gonz\u00e1lez Oreja", "given" : "J.A.", "non-dropping-particle" : "", "parse-names" : false, "suffix" : "" }, { "dropping-particle" : "", "family" : "Bonache Regidor", "given" : "C.", "non-dropping-particle" : "", "parse-names" : false, "suffix" : "" }, { "dropping-particle" : "", "family" : "Buzo Franco", "given" : "D.", "non-dropping-particle" : "", "parse-names" : false, "suffix" : "" }, { "dropping-particle" : "", "family" : "La Fuente D\u00edaz Ordaz", "given" : "A.", "non-dropping-particle" : "De", "parse-names" : false, "suffix" : "" }, { "dropping-particle" : "", "family" : "Hern\u00e1ndez Sat\u00edn", "given" : "L.", "non-dropping-particle" : "", "parse-names" : false, "suffix" : "" } ], "container-title" : "Ardeola", "id" : "ITEM-1", "issue" : "1", "issued" : { "date-parts" : [ [ "2007" ] ] }, "page" : "53-67", "title" : "Caracterizaci\u00f3n ecol\u00f3gica de la avifauna de los parques urbanos de la ciudad de Puebla (M\u00e9xico)", "type" : "article-journal", "volume" : "54" }, "uris" : [ "http://www.mendeley.com/documents/?uuid=2333f9b1-a64a-4113-8d2e-77de35dfacda" ] } ], "mendeley" : { "formattedCitation" : "(Gonz\u00e1lez Oreja, Bonache Regidor, Buzo Franco, De La Fuente D\u00edaz Ordaz, &amp; Hern\u00e1ndez Sat\u00edn, 2007)", "manualFormatting" : "(Gonz\u00e1lez Oreja et al., 2007)", "plainTextFormattedCitation" : "(Gonz\u00e1lez Oreja, Bonache Regidor, Buzo Franco, De La Fuente D\u00edaz Ordaz, &amp; Hern\u00e1ndez Sat\u00edn, 2007)", "previouslyFormattedCitation" : "(Gonz\u00e1lez Oreja, Bonache Regidor, Buzo Franco, De La Fuente D\u00edaz Ordaz, &amp; Hern\u00e1ndez Sat\u00edn, 2007)" }, "properties" : { "noteIndex" : 0 }, "schema" : "https://github.com/citation-style-language/schema/raw/master/csl-citation.json" }</w:instrText>
      </w:r>
      <w:r w:rsidRPr="008608AA">
        <w:fldChar w:fldCharType="separate"/>
      </w:r>
      <w:r w:rsidRPr="008608AA">
        <w:rPr>
          <w:noProof/>
        </w:rPr>
        <w:t>(González Oreja et al., 2007)</w:t>
      </w:r>
      <w:r w:rsidRPr="008608AA">
        <w:fldChar w:fldCharType="end"/>
      </w:r>
      <w:r w:rsidRPr="008608AA">
        <w:t xml:space="preserve">. In the midwestern USA, raptors such as the peregrine falcon, whose populations plummeted with pesticide use in the mid-20th century, have been successfully reintroduced in cities where tall buildings provide suitable nesting sites </w:t>
      </w:r>
      <w:r w:rsidRPr="008608AA">
        <w:fldChar w:fldCharType="begin" w:fldLock="1"/>
      </w:r>
      <w:r w:rsidRPr="008608AA">
        <w:instrText>ADDIN CSL_CITATION { "citationItems" : [ { "id" : "ITEM-1", "itemData" : { "author" : [ { "dropping-particle" : "", "family" : "Tordoff", "given" : "H.B", "non-dropping-particle" : "", "parse-names" : false, "suffix" : "" }, { "dropping-particle" : "", "family" : "Redig", "given" : "P.T.", "non-dropping-particle" : "", "parse-names" : false, "suffix" : "" } ], "container-title" : "Conservation Biology", "id" : "ITEM-1", "issue" : "2", "issued" : { "date-parts" : [ [ "2001" ] ] }, "page" : "528-532", "title" : "Role of genetic background in the success of reintroduced peregrine falcons", "type" : "article-journal", "volume" : "15" }, "uris" : [ "http://www.mendeley.com/documents/?uuid=0517daf1-9a33-4642-95e7-1926b3787e3b" ] } ], "mendeley" : { "formattedCitation" : "(Tordoff &amp; Redig, 2001)", "manualFormatting" : "(Tordoff &amp; Redig, 2001)", "plainTextFormattedCitation" : "(Tordoff &amp; Redig, 2001)", "previouslyFormattedCitation" : "(Tordoff &amp; Redig, 2001)" }, "properties" : { "noteIndex" : 0 }, "schema" : "https://github.com/citation-style-language/schema/raw/master/csl-citation.json" }</w:instrText>
      </w:r>
      <w:r w:rsidRPr="008608AA">
        <w:fldChar w:fldCharType="separate"/>
      </w:r>
      <w:r w:rsidRPr="008608AA">
        <w:rPr>
          <w:noProof/>
        </w:rPr>
        <w:t>(Tordoff &amp; Redig, 2001)</w:t>
      </w:r>
      <w:r w:rsidRPr="008608AA">
        <w:fldChar w:fldCharType="end"/>
      </w:r>
      <w:r w:rsidRPr="008608AA">
        <w:t>.</w:t>
      </w:r>
    </w:p>
    <w:p w14:paraId="4122CB56" w14:textId="7C48D659" w:rsidR="004255E7" w:rsidRPr="008608AA" w:rsidRDefault="004255E7" w:rsidP="00FE65F2">
      <w:pPr>
        <w:spacing w:after="120"/>
      </w:pPr>
      <w:r w:rsidRPr="008608AA">
        <w:t xml:space="preserve">Arthropods show a range of responses to urbanization </w:t>
      </w:r>
      <w:r w:rsidRPr="008608AA">
        <w:fldChar w:fldCharType="begin" w:fldLock="1"/>
      </w:r>
      <w:r w:rsidRPr="008608AA">
        <w:instrText>ADDIN CSL_CITATION { "citationItems" : [ { "id" : "ITEM-1", "itemData" : { "DOI" : "10.1603/0013-8746(2000)093[0825:EOUAAR]2.0.CO;2", "ISBN" : "0013-8746", "ISSN" : "00138746", "PMID" : "16703939", "abstract" : "A review of the entomological literature revealed relatively few general studies on arthropods in urban environments, excluding those in the context of pest control or epidemiology, and all were limited in scope and duration. Most studies documented the presence and abundance of species in a variety of poorly quantified urban categories. There also were a number of studies on the effects of urban pollution and changes in arthropod community composition over time (particularly in urban green areas). From these studies, three groups of arthropods could be identified: (1) &amp;#8220;rural&amp;#8221; taxa not present (or at lower abundance) in urban settings, (2) &amp;#8220;urban&amp;#8221; taxa present only (or at higher abundance) in urban settings, and (3) taxa present in both rural and urban settings with no particular affinity for either. The lack of a basic understanding of the mechanisms accounting for distributional and abundance patterns of urban arthropods illustrates the many opportunities for entomological research that exist in urban settings. Some of these opportunities are outlined to encourage further work on the ecology of urban arthropods.", "author" : [ { "dropping-particle" : "", "family" : "McIntyre", "given" : "Nancy E", "non-dropping-particle" : "", "parse-names" : false, "suffix" : "" } ], "container-title" : "Annals of the Entomological Society of America", "id" : "ITEM-1", "issue" : "4", "issued" : { "date-parts" : [ [ "2000" ] ] }, "page" : "825-835", "title" : "Ecology of urban arthropods: A review and a call to action", "type" : "article-journal", "volume" : "93" }, "uris" : [ "http://www.mendeley.com/documents/?uuid=b11e2c54-ea05-4791-9d46-4cd008bf867a" ] }, { "id" : "ITEM-2", "itemData" : { "DOI" : "10.1007/978-94-007-7088-1_10", "ISBN" : "9789400770881", "ISSN" : "978-94-007-7087-4", "PMID" : "10493538", "abstract" : "Urbanization destroys or modifi es native habitats and creates new ones with its infrastructure. Because of these changes, urban landscapes favor non-native and native species that are generalists. Nevertheless, cities reveal a great variety of habitats and species, and, especially in temperate cities, the diversity of vascular plants and birds can be higher than in the surrounding landscapes. The actual occurrence of a species, however, depends on habitat availability and quality, the spatial arrangements of habitats, species pools, a species\u2019 adaptability and natural history, and site history. In addition, cities are particularly human-made ecological systems. Top- down and bottom-up activities of planners, land managers, and citi- zens create the urban biodiversity in general and in detail. Plants and animals in cities are the everyday life contact with nature of the most humans on our earth. The intrinsic interplay of social and ecological systems with a city often forms unique biotic assemblages inherent to that city. To support native biodiversity, landscape architects, conservation biologists, and other groups are linking landscape design with ecosystem structure and function to create and restore habitats and reintroduce native species in cities.", "author" : [ { "dropping-particle" : "", "family" : "M\u00fcller", "given" : "Norbert"</w:instrText>
      </w:r>
      <w:r w:rsidRPr="008608AA">
        <w:rPr>
          <w:lang w:val="de-DE"/>
        </w:rPr>
        <w:instrText>, "non-dropping-particle" : "", "parse-names" : false, "suffix" : "" }, { "dropping-particle" : "", "family" : "Ignatieva", "given" : "Maria", "non-dropping-particle" : "", "parse-names" : false, "suffix" : "" }, { "dropping-particle" : "", "family" : "Nilon", "given" : "Charles H.", "non-dropping-particle" : "", "parse-names" : false, "suffix" : "" }, { "dropping-particle" : "", "family" : "Werner", "given" : "Peter", "non-dropping-particle" : "", "parse-names" : false, "suffix" : "" }, { "dropping-particle" : "", "family" : "Zipperer", "given" : "Wayne C.", "non-dropping-particle" : "", "parse-names" : false, "suffix" : "" } ], "container-title" : "Urbanization, Biodiversity and Ecosystem Services: Challenges and Opportunities: A Global Assessment", "id" : "ITEM-2", "issued" : { "date-parts" : [ [ "2013" ] ] }, "page" : "123-174", "title" : "Patterns and trends in urban biodiversity and landscape design", "type" : "chapter" }, "uris" : [ "http://www.mendeley.com/documents/?uuid=bebc3b83-a4d8-3a5f-964d-1315a85bfc75" ] } ], "mendeley" : { "formattedCitation" : "(Nancy E McIntyre, 2000; M\u00fcller et al., 2013)", "manualFormatting" : "(McIntyre, 2000; M\u00fcller et al., 2013", "plainTextFormattedCitation" : "(Nancy E McIntyre, 2000; M\u00fcller et al., 2013)", "previouslyFormattedCitation" : "(Nancy E McIntyre, 2000; M\u00fcller et al., 2013)" }, "properties" : { "noteIndex" : 0 }, "schema" : "https://github.com/citation-style-language/schema/raw/master/csl-citation.json" }</w:instrText>
      </w:r>
      <w:r w:rsidRPr="008608AA">
        <w:fldChar w:fldCharType="separate"/>
      </w:r>
      <w:r w:rsidRPr="008608AA">
        <w:rPr>
          <w:noProof/>
          <w:lang w:val="de-DE"/>
        </w:rPr>
        <w:t>(McIntyre, 2000; Müller et al., 2013</w:t>
      </w:r>
      <w:r w:rsidRPr="008608AA">
        <w:fldChar w:fldCharType="end"/>
      </w:r>
      <w:r w:rsidRPr="008608AA">
        <w:rPr>
          <w:lang w:val="de-DE"/>
        </w:rPr>
        <w:t xml:space="preserve">, </w:t>
      </w:r>
      <w:r w:rsidRPr="008608AA">
        <w:fldChar w:fldCharType="begin" w:fldLock="1"/>
      </w:r>
      <w:r w:rsidRPr="008608AA">
        <w:rPr>
          <w:lang w:val="de-DE"/>
        </w:rPr>
        <w:instrText>ADDIN CSL_CITATION { "citationItems" : [ { "id" : "ITEM-1", "itemData" : { "DOI" : "10.1146/annurev-ento-112408-085351", "ISBN" : "0066-4170", "ISSN" : "0066-4170", "PMID" : "19961321", "abstract" : "Urbanization affects communities of herbivorous arthropods and provides opportunities for dramatic changes in their abundance and richness. Underlying these changes are creation of impervious surfaces; variation in the density, diversity, and complexity of vegetation; and maintenance practices including pulsed inputs of fertilizers, water, and pesticides. A rich body of knowledge provides theoretical underpinnings for predicting and understanding impacts of urbanization on arthropods. However, relatively few studies have elucidated mechanisms that explain patterns of insect and mite abundance and diversity across urbanization gradients. Published accounts suggest that responses to urbanization are often taxon specific, highly variable, and linked to properties of urbanization that weaken top-down and/or bottom-up processes, thereby destabilizing populations of herbivores and their natural enemies. In addition to revealing patterns in diversity and abundance of herbivores across urbanization gradients, a primary objective of this review is to examine mechanisms underlying these patterns and to identify potential hypotheses for future testing.", "author" : [ { "dropping-particle" : "", "family" : "Raupp", "given" : "Michael J.", "non-dropping-particle" : "", "parse-names" : false, "suffix" : "" }, { "dropping-particle" : "", "family" : "Shrewsbury", "given" : "Paula M.", "non-dropping-particle" : "", "parse-names" : false, "suffix" : "" }, { "dropping-particle" : "", "family" : "Herms", "given" : "Daniel A.", "non-dropping-particle" : "", "parse-names" : false, "suffix" : "" } ], "container-title" : "Annual Review of Entomology", "id" : "ITEM-1", "issue" : "1", "issued" : { "date-parts" : [ [ "2010" ] ] }, "page" : "19-38", "title" : "Ecology of herbivorous arthropods in urban landscapes", "type" : "article-journal", "volume" : "55" }, "uris" : [ "http://www.mendeley.com/documents/?uuid=bc6caa69-2354-32e2-858d-f6a6a27abbf7" ] } ], "mendeley" : { "formattedCitation" : "(Raupp, Shrewsbury, &amp; Herms, 2010)", "manualFormatting" : "Raupp et al., 2010)", "plainTextFormattedCitation" : "(Raupp, Shrewsbury, &amp; Herms, 2010)", "previouslyFormattedCitation" : "(Raupp, Shrewsbury, &amp; Herms, 2010)" }, "properties" : { "noteIndex" : 0 }, "schema" : "https://github.com/citation-style-language/schema/raw/master/csl-citation.json" }</w:instrText>
      </w:r>
      <w:r w:rsidRPr="008608AA">
        <w:fldChar w:fldCharType="separate"/>
      </w:r>
      <w:r w:rsidRPr="008608AA">
        <w:rPr>
          <w:noProof/>
          <w:lang w:val="de-DE"/>
        </w:rPr>
        <w:t>Raupp et al., 2010)</w:t>
      </w:r>
      <w:r w:rsidRPr="008608AA">
        <w:fldChar w:fldCharType="end"/>
      </w:r>
      <w:r w:rsidRPr="008608AA">
        <w:rPr>
          <w:lang w:val="de-DE"/>
        </w:rPr>
        <w:t xml:space="preserve">. In the Phoenix area, for example, birds were found to be a dominant force controlling arthropod ecology </w:t>
      </w:r>
      <w:r w:rsidRPr="008608AA">
        <w:fldChar w:fldCharType="begin" w:fldLock="1"/>
      </w:r>
      <w:r w:rsidRPr="008608AA">
        <w:rPr>
          <w:lang w:val="de-DE"/>
        </w:rPr>
        <w:instrText>ADDIN CSL_CITATION { "citationItems" : [ { "id" : "ITEM-1", "itemData" : { "DOI" : "10.1641/0006-3568(2005)055[0399:TDIUC]2.0.CO;2", "ISBN" : "00063568", "ISSN" : "0006-3568", "abstract" : "Human activities dramatically change the abundance, diversity, and composition of species. However, little is known about how, the most intense human activity, urbanization, alters food webs and trophic structure in biological communities. Studies of the Phoenix area, situated amid the Sonoran Desert, reveal some surprising alterations in the control of trophic dynamics. Species composition is radically altered, and resource subsidies increase and stabilize productivity. Changes in productivity dampen seasonal and yearly fluctuations in specics diversity, elevate, abundances, and alter feeding behaviors of some key urban species. In urban systems contrast to the trophic systems in outlying deserts, which are dominated by limiting resources-predation by birds becomes the dominant force controlling arthropods on plants. Reduced predation risk elevates the abundance of urban birds and alters their foraging behavior such that they exert increased top-down effects on arthropods. Shifts in control of food web dynamics are probably common in urban ecosystems, and are influenced by complex human social processes and feedbacks.", "author" : [ { "dropping-particle" : "", "family" : "Faeth", "give</w:instrText>
      </w:r>
      <w:r w:rsidRPr="008608AA">
        <w:instrText>n" : "Stanley H.", "non-dropping-particle" : "", "parse-names" : false, "suffix" : "" }, { "dropping-particle" : "", "family" : "Marussich", "given" : "Wendy A.", "non-dropping-particle" : "", "parse-names" : false, "suffix" : "" }, { "dropping-particle" : "", "family" : "Shochat", "given" : "E.", "non-dropping-particle" : "", "parse-names" : false, "suffix" : "" }, { "dropping-particle" : "", "family" : "Warren", "given" : "Paige S.", "non-dropping-particle" : "", "parse-names" : false, "suffix" : "" } ], "container-title" : "BioScience", "id" : "ITEM-1", "issue" : "5", "issued" : { "date-parts" : [ [ "2005" ] ] }, "page" : "399-407", "title" : "Trophic dynamics in urban communities", "type" : "article-journal", "volume" : "55" }, "uris" : [ "http://www.mendeley.com/documents/?uuid=0c25c043-f8d1-4d77-9de0-80016ed227c1" ] } ], "mendeley" : { "formattedCitation" : "(Faeth, Marussich, Shochat, &amp; Warren, 2005)", "manualFormatting" : "(Faeth et al., 2005)", "plainTextFormattedCitation" : "(Faeth, Marussich, Shochat, &amp; Warren, 2005)", "previouslyFormattedCitation" : "(Faeth, Marussich, Shochat, &amp; Warren, 2005)" }, "properties" : { "noteIndex" : 0 }, "schema" : "https://github.com/citation-style-language/schema/raw/master/csl-citation.json" }</w:instrText>
      </w:r>
      <w:r w:rsidRPr="008608AA">
        <w:fldChar w:fldCharType="separate"/>
      </w:r>
      <w:r w:rsidRPr="008608AA">
        <w:rPr>
          <w:noProof/>
        </w:rPr>
        <w:t>(Faeth et al., 2005)</w:t>
      </w:r>
      <w:r w:rsidRPr="008608AA">
        <w:fldChar w:fldCharType="end"/>
      </w:r>
      <w:r w:rsidRPr="008608AA">
        <w:t xml:space="preserve">. While some urban gradients involve small changes in richness or abundance of arthropods, community composition may change considerably </w:t>
      </w:r>
      <w:r w:rsidRPr="008608AA">
        <w:fldChar w:fldCharType="begin" w:fldLock="1"/>
      </w:r>
      <w:r w:rsidRPr="008608AA">
        <w:instrText>ADDIN CSL_CITATION { "citationItems" : [ { "id" : "ITEM-1", "itemData" : { "DOI" : "10.1016/S0169-2046(00)00122-5", "ISBN" : "0169-2046", "ISSN" : "01692046", "PMID" : "22218816", "abstract" : "Despite being conspicuous and influential features of the biosphere, urban ecosystems have been neglected in ecological research. Arthropods are abundant in urban settings, but little is known about how these animals respond to urbanization. We systematically monitored the structure of ground arthropod communities for 12 months at 16 sites representing the four most abundant forms of urban land use (residential, industrial, agricultural, and desert remnant) in a rapidly growing metropolitan area (Phoenix, AZ). Although taxonomic richness was comparable among land-use types, community composition differed, with certain taxa being uniquely associated with each form of land use. Three taxa (springtails, ants, and mites) were extremely widespread and abundant, accounting for over 92% of captures; when these three taxa were excluded from analysis, however, differences were revealed in arthropod community composition with urban land use. Trophic dynamics also varied with land use: predators, herbivores, and detritivores were most abundant in agricultural sites, while onmivores were equally abundant in all forms of land use. These community-level differences resulted from taxon-specific responses to habitat structure, which varied with land use. Because arthropod community structure is affected by habitat structure and land use, and because arthropods play key roles in nutrient cycling, organic matter decomposition, pollination, and soil aeration, the spatial heterogeneity of urban ecosystems therefore may affect ecosystem functioning. \u00a9 2001 Elsevier Science B.V.", "author" : [ { "dropping-particle" : "", "family" : "McIntyre", "given" : "N. E.", "non-dropping-particle" : "", "parse-names" : false, "suffix" : "" }, { "dropping-particle" : "", "family" : "Rango", "given" : "J.", "non-dropping-particle" : "", "parse-names" : false, "suffix" : "" }, { "dropping-particle" : "", "family" : "Fagan", "given" : "W. F.", "non-dropping-particle" : "", "parse-names" : false, "suffix" : "" }, { "dropping-particle" : "", "family" : "Faeth", "given" : "S. H.", "non-dropping-particle" : "", "parse-names" : false, "suffix" : "" } ], "container-title" : "Landscape and Urban Planning", "id" : "ITEM-1", "issue" : "4", "issued" : { "date-parts" : [ [ "2001" ] ] }, "page" : "257-274", "title" : "Ground arthropod community structure in a heterogeneous urban environment", "type" : "article-journal", "volume" : "52" }, "uris" : [ "http://www.mendeley.com/documents/?uuid=f32bdefb-18be-4389-9476-5177a7648ccf" ] } ], "mendeley" : { "formattedCitation" : "(N. E. McIntyre et al., 2001)", "manualFormatting" : "(McIntyre et al., 2001)", "plainTextFormattedCitation" : "(N. E. McIntyre et al., 2001)", "previouslyFormattedCitation" : "(N. E. McIntyre et al., 2001)" }, "properties" : { "noteIndex" : 0 }, "schema" : "https://github.com/citation-style-language/schema/raw/master/csl-citation.json" }</w:instrText>
      </w:r>
      <w:r w:rsidRPr="008608AA">
        <w:fldChar w:fldCharType="separate"/>
      </w:r>
      <w:r w:rsidRPr="008608AA">
        <w:rPr>
          <w:noProof/>
        </w:rPr>
        <w:t>(McIntyre et al., 2001)</w:t>
      </w:r>
      <w:r w:rsidRPr="008608AA">
        <w:fldChar w:fldCharType="end"/>
      </w:r>
      <w:r w:rsidRPr="008608AA">
        <w:t xml:space="preserve">. In Palo Alto, California, butterfly diversity </w:t>
      </w:r>
      <w:r w:rsidR="002F1F98" w:rsidRPr="008608AA">
        <w:t xml:space="preserve">has </w:t>
      </w:r>
      <w:r w:rsidRPr="008608AA">
        <w:t xml:space="preserve">progressively declined with increasing urbanization </w:t>
      </w:r>
      <w:r w:rsidRPr="008608AA">
        <w:fldChar w:fldCharType="begin" w:fldLock="1"/>
      </w:r>
      <w:r w:rsidRPr="008608AA">
        <w:instrText>ADDIN CSL_CITATION { "citationItems" : [ { "id" : "ITEM-1", "itemData" : { "DOI" : "10.1016/S0006-3207(96)00056-0", "ISBN" : "0006-3207", "ISSN" : "00063207", "PMID" : "2119", "abstract" : "We examined the distribution and abundance of butterfly species across an urban gradient and concomitant changes in community structure by censusing the butterfly and skipper populations at 48 points within six sites near Palo Alto, California, USA (all former oak woodlands). These sites represent a gradient of urban land use running from relatively undisturbed to highly developed and include a nature preserve, recreational area, golf course, residential neighborhood, office park and business district. The species richness and Shannon diversity of butterflies peaked at moderately disturbed sites while the relative abundance decreased from the natural to the urban areas. Butterfly species thought to be most representative of the original, predevelopment butterfly fauna progressively disappear as the sites become more urban. These patterns are significantly related to shifts in habitat structure that occur along the gradient as determined by canonical correspondence analysis (CCA) using the environmental variables of percent land covered by pavement, buildings, lawn, grasslands, and trees or shrubs. The mechanisms behind these patterns may be related to life history and resource use by the individual butterfly species.", "author" : [ { "dropping-particle" : "", "family" : "Blair", "given" : "Robert B.", "non-dropping-particle" : "", "parse-names" : false, "suffix" : "" }, { "dropping-particle" : "", "family" : "Launer", "given" : "Alan E.", "non-dropping-particle" : "", "parse-names" : false, "suffix" : "" } ], "container-title" : "Biological Conservation", "id" : "ITEM-1", "issue" : "1", "issued" : { "date-parts" : [ [ "1997" ] ] }, "page" : "113-125", "title" : "Butterfly diversity and human land use: Species assemblages along an urban gradient", "type" : "article-journal", "volume" : "80" }, "uris" : [ "http://www.mendeley.com/documents/?uuid=e6946d16-8a61-4249-a377-c4bed9e2d6fd" ] } ], "mendeley" : { "formattedCitation" : "(Blair &amp; Launer, 1997)", "manualFormatting" : "(Blair &amp; Launer, 1997)", "plainTextFormattedCitation" : "(Blair &amp; Launer, 1997)", "previouslyFormattedCitation" : "(Blair &amp; Launer, 1997)" }, "properties" : { "noteIndex" : 0 }, "schema" : "https://github.com/citation-style-language/schema/raw/master/csl-citation.json" }</w:instrText>
      </w:r>
      <w:r w:rsidRPr="008608AA">
        <w:fldChar w:fldCharType="separate"/>
      </w:r>
      <w:r w:rsidRPr="008608AA">
        <w:rPr>
          <w:noProof/>
        </w:rPr>
        <w:t>(Blair &amp; Launer, 1997)</w:t>
      </w:r>
      <w:r w:rsidRPr="008608AA">
        <w:fldChar w:fldCharType="end"/>
      </w:r>
      <w:r w:rsidRPr="008608AA">
        <w:t xml:space="preserve">. However, several studies show a positive relationship between urbanization and some bee guilds </w:t>
      </w:r>
      <w:r w:rsidRPr="008608AA">
        <w:fldChar w:fldCharType="begin" w:fldLock="1"/>
      </w:r>
      <w:r w:rsidRPr="008608AA">
        <w:instrText>ADDIN CSL_CITATION { "citationItems" : [ { "id" : "ITEM-1", "itemData" : { "DOI" : "10.1016/j.tree.2010.01.007", "ISBN" : "0169-5347", "ISSN" : "01695347", "PMID" : "20188434", "abstract" : "Pollinators are a key component of global biodiversity, providing vital ecosystem services to crops and wild plants. There is clear evidence of recent declines in both wild and domesticated pollinators, and parallel declines in the plants that rely upon them. Here we describe the nature and extent of reported declines, and review the potential drivers of pollinator loss, including habitat loss and fragmentation, agrochemicals, pathogens, alien species, climate change and the interactions between them. Pollinator declines can result in loss of pollination services which have important negative ecological and economic impacts that could significantly affect the maintenance of wild plant diversity, wider ecosystem stability, crop production, food security and human welfare. \u00a9 2010 Elsevier Ltd.", "author" : [ { "dropping-particle" : "", "family" : "Potts", "given" : "Simon G.", "non-dropping-particle" : "", "parse-names" : false, "suffix" : "" }, { "dropping-particle" : "", "family" : "Biesmeijer", "given" : "Jacobus C.", "non-dropping-particle" : "", "parse-names" : false, "suffix" : "" }, { "dropping-particle" : "", "family" : "Kremen", "given" : "Claire", "non-dropping-particle" : "", "parse-names" : false, "suffix" : "" }, { "dropping-particle" : "", "family" : "Neumann", "given" : "Peter", "non-dropping-particle" : "", "parse-names" : false, "suffix" : "" }, { "dropping-particle" : "", "family" : "Schweiger", "given" : "Oliver", "non-dropping-particle" : "", "parse-names" : false, "suffix" : "" }, { "dropping-particle" : "", "family" : "Kunin", "given" : "William E.", "non-dropping-particle" : "", "parse-names" : false, "suffix" : "" } ], "container-title" : "Trends in Ecology and Evolution", "id" : "ITEM-1", "issue" : "6", "issued" : { "date-parts" : [ [ "2010" ] ] }, "page" : "345-353", "title" : "Global pollinator declines: trends, impacts and drivers", "type" : "article-journal", "volume" : "25" }, "uris" : [ "http://www.mendeley.com/documents/?uuid=41c26b6b-0928-3a9b-b7a5-38b06bace431" ] } ], "mendeley" : { "formattedCitation" : "(Potts et al., 2010)", "manualFormatting" : "(e.g. cavity-nesters within urban areas, Potts et al., 2010)", "plainTextFormattedCitation" : "(Potts et al., 2010)", "previouslyFormattedCitation" : "(Potts et al., 2010)" }, "properties" : { "noteIndex" : 0 }, "schema" : "https://github.com/citation-style-language/schema/raw/master/csl-citation.json" }</w:instrText>
      </w:r>
      <w:r w:rsidRPr="008608AA">
        <w:fldChar w:fldCharType="separate"/>
      </w:r>
      <w:r w:rsidRPr="008608AA">
        <w:rPr>
          <w:noProof/>
        </w:rPr>
        <w:t>(e.g. cavity-nesters within urban areas, Potts et al., 2010)</w:t>
      </w:r>
      <w:r w:rsidRPr="008608AA">
        <w:fldChar w:fldCharType="end"/>
      </w:r>
      <w:r w:rsidRPr="008608AA">
        <w:t xml:space="preserve">. </w:t>
      </w:r>
    </w:p>
    <w:p w14:paraId="6EDF7316" w14:textId="0ACCF4D8" w:rsidR="004255E7" w:rsidRPr="008608AA" w:rsidRDefault="00ED6262" w:rsidP="00FE65F2">
      <w:pPr>
        <w:widowControl w:val="0"/>
        <w:autoSpaceDE w:val="0"/>
        <w:autoSpaceDN w:val="0"/>
        <w:adjustRightInd w:val="0"/>
        <w:spacing w:after="120"/>
      </w:pPr>
      <w:r w:rsidRPr="008608AA">
        <w:t>Recent trends.</w:t>
      </w:r>
      <w:r w:rsidR="004255E7" w:rsidRPr="008608AA">
        <w:t xml:space="preserve"> An increase in high-rise buildings has greatly increased population density in many cities of the Americas. Urban ecosystems within these cities have increased in size as the human population has grown </w:t>
      </w:r>
      <w:r w:rsidR="004255E7" w:rsidRPr="008608AA">
        <w:fldChar w:fldCharType="begin" w:fldLock="1"/>
      </w:r>
      <w:r w:rsidR="004255E7" w:rsidRPr="008608AA">
        <w:instrText>ADDIN CSL_CITATION { "citationItems" : [ { "id" : "ITEM-1", "itemData" : { "DOI" : "10.1126/science.1150195", "ISBN" : "1095-9203 (Electronic)\\r0036-8075 (Linking)", "ISSN" : "0036-8075", "PMID" : "18258902", "abstract" : "Urban areas are hot spots that drive environmental change at multiple scales. Material demands of production and human consumption alter land use and cover, biodiversity, and hydrosystems locally to regionally, and urban waste discharge affects local to global biogeochemical cycles and climate. For urbanites, however, global environmental changes are swamped by dramatic changes in the local environment. Urban ecology integrates natural and social sciences to study these radically altered local environments and their regional and global effects. Cities themselves present both the problems and solutions to sustainability challenges of an increasingly urbanized world.", "author" : [ { "dropping-particle" : "", "family" : "Grimm", "given" : "Nancy B.", "non-dropping-particle" : "", "parse-names" : false, "suffix" : "" }, { "dropping-particle" : "", "family" : "Faeth", "given" : "Stanley H.", "non-dropping-particle" : "", "parse-names" : false, "suffix" : "" }, { "dropping-particle" : "", "family" : "Golubiewski", "given" : "Nancy E.", "non-dropping-particle" : "", "parse-names" : false, "suffix" : "" }, { "dropping-particle" : "", "family" : "Redman", "given" : "Charles L.", "non-dropping-particle" : "", "parse-names" : false, "suffix" : "" }, { "dropping-particle" : "", "family" : "Wu", "given" : "Jianguo", "non-dropping-particle" : "", "parse-names" : false, "suffix" : "" }, { "dropping-particle" : "", "family" : "Bai", "given" : "Xuemei", "non-dropping-particle" : "", "parse-names" : false, "suffix" : "" }, { "dropping-particle" : "", "family" : "Briggs", "given" : "John M.", "non-dropping-particle" : "", "parse-names" : false, "suffix" : "" } ], "container-title" : "Science", "id" : "ITEM-1", "issue" : "5864", "issued" : { "date-parts" : [ [ "2008" ] ] }, "page" : "756-760", "title" : "Global change and the ecology of cities", "type" : "article-journal", "volume" : "319" }, "uris" : [ "http://www.mendeley.com/documents/?uuid=02a90945-332f-3f78-8078-dce04bf3b4be" ] } ], "mendeley" : { "formattedCitation" : "(Nancy B. Grimm et al., 2008)", "manualFormatting" : "(Grimm et al., 2008)", "plainTextFormattedCitation" : "(Nancy B. Grimm et al., 2008)", "previouslyFormattedCitation" : "(Nancy B. Grimm et al., 2008)" }, "properties" : { "noteIndex" : 0 }, "schema" : "https://github.com/citation-style-language/schema/raw/master/csl-citation.json" }</w:instrText>
      </w:r>
      <w:r w:rsidR="004255E7" w:rsidRPr="008608AA">
        <w:fldChar w:fldCharType="separate"/>
      </w:r>
      <w:r w:rsidR="004255E7" w:rsidRPr="008608AA">
        <w:rPr>
          <w:noProof/>
        </w:rPr>
        <w:t>(Grimm et al., 2008)</w:t>
      </w:r>
      <w:r w:rsidR="004255E7" w:rsidRPr="008608AA">
        <w:fldChar w:fldCharType="end"/>
      </w:r>
      <w:r w:rsidR="004255E7" w:rsidRPr="008608AA">
        <w:t xml:space="preserve">. This portends large-scale transformations for the provision of water, food, and services </w:t>
      </w:r>
      <w:r w:rsidR="004255E7" w:rsidRPr="008608AA">
        <w:fldChar w:fldCharType="begin" w:fldLock="1"/>
      </w:r>
      <w:r w:rsidR="004255E7" w:rsidRPr="008608AA">
        <w:instrText>ADDIN CSL_CITATION { "citationItems" : [ { "id" : "ITEM-1", "itemData" : { "author" : [ { "dropping-particle" : "", "family" : "V\u00f6r\u00f6smarty", "given" : "C.J.", "non-dropping-particle" : "", "parse-names" : false, "suffix" : "" }, { "dropping-particle" : "", "family" : "Green", "given" : "P.", "non-dropping-particle" : "", "parse-names" : false, "suffix" : "" }, { "dropping-particle" : "", "family" : "Salisbury", "given" : "J.", "non-dropping-particle" : "", "parse-names" : false, "suffix" : "" }, { "dropping-particle" : "", "family" : "Lammers", "given" : "R.B.", "non-dropping-particle" : "", "parse-names" : false, "suffix" : "" } ], "container-title" : "Science", "id" : "ITEM-1", "issue" : "5477", "issued" : { "date-parts" : [ [ "2000" ] ] }, "page" : "284-288", "title" : "Global water resources: vulnerability from climate change and population growth", "type" : "article-journal", "volume" : "289" }, "uris" : [ "http://www.mendeley.com/documents/?uuid=ebdb78f5-f32a-4b22-94cd-0ecca79f78e9" ] } ], "mendeley" : { "formattedCitation" : "(V\u00f6r\u00f6smarty, Green, Salisbury, &amp; Lammers, 2000)", "manualFormatting" : "(V\u00f6r\u00f6smarty et al., 2000)", "plainTextFormattedCitation" : "(V\u00f6r\u00f6smarty, Green, Salisbury, &amp; Lammers, 2000)", "previouslyFormattedCitation" : "(V\u00f6r\u00f6smarty, Green, Salisbury, &amp; Lammers, 2000)" }, "properties" : { "noteIndex" : 0 }, "schema" : "https://github.com/citation-style-language/schema/raw/master/csl-citation.json" }</w:instrText>
      </w:r>
      <w:r w:rsidR="004255E7" w:rsidRPr="008608AA">
        <w:fldChar w:fldCharType="separate"/>
      </w:r>
      <w:r w:rsidR="004255E7" w:rsidRPr="008608AA">
        <w:rPr>
          <w:noProof/>
        </w:rPr>
        <w:t>(Vörösmarty et al., 2000)</w:t>
      </w:r>
      <w:r w:rsidR="004255E7" w:rsidRPr="008608AA">
        <w:fldChar w:fldCharType="end"/>
      </w:r>
      <w:r w:rsidR="004255E7" w:rsidRPr="008608AA">
        <w:t xml:space="preserve">. Associated transportation systems have created a network of interconnected urban habitats that has grown significantly in extent, density and flow </w:t>
      </w:r>
      <w:r w:rsidR="004255E7" w:rsidRPr="008608AA">
        <w:fldChar w:fldCharType="begin" w:fldLock="1"/>
      </w:r>
      <w:r w:rsidR="004255E7" w:rsidRPr="008608AA">
        <w:instrText>ADDIN CSL_CITATION { "citationItems" : [ { "id" : "ITEM-1", "itemData" : { "author" : [ { "dropping-particle" : "", "family" : "Kohon", "given" : "Jorge", "non-dropping-particle" : "", "parse-names" : false, "suffix" : "" } ], "id" : "ITEM-1", "issued" : { "date-parts" : [ [ "2011" ] ] }, "publisher" : "Corporaci\u00f3n Andina de Fomento (CAF)", "publisher-place" : "Bogot\u00e1, Colombia", "title" : "La Infraestructura en el Desarrollo Integral de Am\u00e9rica Latina. Diagn\u00f3stico Estrat\u00e9gico y Propuestas para una Agenda Prioritaria. Transporte IDeAL 2011", "type" : "book" }, "uris" : [ "http://www.mendeley.com/documents/?uuid=966be1b1-ee3e-3ff5-994c-758bb85ddb3e" ] }, { "id" : "ITEM-2", "itemData" : { "ISBN" : "978-1138669574", "author" : [ { "dropping-particle" : "", "family" : "Rodrigue", "given" : "J-P.", "non-dropping-particle" : "", "parse-names" : false, "suffix" : "" }, { "dropping-particle" : "", "family" : "Slack", "given" : "B.", "non-dropping-particle" : "", "parse-names" : false, "suffix" : "" }, { "dropping-particle" : "", "family" : "Blank", "given" : "S.", "non-dropping-particle" : "", "parse-names" : false, "suffix" : "" } ], "container-title" : "The Geography of Transport Systems", "edition" : "4", "editor" : [ { "dropping-particle" : "", "family" : "Rodrigue", "given" : "J-P.", "non-dropping-particle" : "", "parse-names" : false, "suffix" : "" }, { "dropping-particle" : "", "family" : "Comotois", "given" : "C.", "non-dropping-particle" : "", "parse-names" : false, "suffix" : "" }, { "dropping-particle" : "", "family" : "Slack", "given" : "B.", "non-dropping-particle" : "", "parse-names" : false, "suffix" : "" } ], "id" : "ITEM-2", "issued" : { "date-parts" : [ [ "2017" ] ] }, "page" : "32 pp", "publisher" : "Routledge Taylor &amp; Francis Group", "publisher-place" : "New York, USA", "title" : "Gateways and transport corridors in North America", "type" : "chapter" }, "uris" : [ "http://www.mendeley.com/documents/?uuid=a074cd91-11a9-3321-93d8-62c0530293d6" ] } ], "mendeley" : { "formattedCitation" : "(Kohon, 2011; Rodrigue, Slack, &amp; Blank, 2017)", "manualFormatting" : "(Kohon, 2011; Rodrigue et al., 2017)", "plainTextFormattedCitation" : "(Kohon, 2011; Rodrigue, Slack, &amp; Blank, 2017)", "previouslyFormattedCitation" : "(Kohon, 2011; Rodrigue, Slack, &amp; Blank, 2017)" }, "properties" : { "noteIndex" : 0 }, "schema" : "https://github.com/citation-style-language/schema/raw/master/csl-citation.json" }</w:instrText>
      </w:r>
      <w:r w:rsidR="004255E7" w:rsidRPr="008608AA">
        <w:fldChar w:fldCharType="separate"/>
      </w:r>
      <w:r w:rsidR="004255E7" w:rsidRPr="008608AA">
        <w:rPr>
          <w:noProof/>
        </w:rPr>
        <w:t>(Kohon, 2011; Rodrigue et al., 2017)</w:t>
      </w:r>
      <w:r w:rsidR="004255E7" w:rsidRPr="008608AA">
        <w:fldChar w:fldCharType="end"/>
      </w:r>
      <w:r w:rsidR="004255E7" w:rsidRPr="008608AA">
        <w:t xml:space="preserve">. </w:t>
      </w:r>
    </w:p>
    <w:p w14:paraId="73B12E53" w14:textId="68DAB7B1" w:rsidR="00FE65F2" w:rsidRPr="008608AA" w:rsidRDefault="004255E7" w:rsidP="00FE65F2">
      <w:pPr>
        <w:spacing w:after="120"/>
      </w:pPr>
      <w:r w:rsidRPr="008608AA">
        <w:t xml:space="preserve">Over the past two decades, the uneven accessibility of urban greenspace has become recognized as an environmental justice issue as awareness of its importance to public health has become recognized </w:t>
      </w:r>
      <w:r w:rsidRPr="008608AA">
        <w:fldChar w:fldCharType="begin" w:fldLock="1"/>
      </w:r>
      <w:r w:rsidRPr="008608AA">
        <w:instrText>ADDIN CSL_CITATION { "citationItems" : [ { "id" : "ITEM-1", "itemData" : { "DOI" : "10.1016/j.landurbplan.2011.05.002", "ISBN" : "0169-2046", "ISSN" : "01692046", "abstract" : "Access to green spaces is important to physical activities and public health, yet one concern remains as to whether the disparities in green space access exist. This study aimed to (1) introduce an approach to quantify potential spatial accessibility to green spaces in a Geographic Information Systems (GIS) environment; and (2) evaluate the racial/ethnic and socioeconomic disparities in green space access. Urban green spaces (n=890) in metropolitan Atlanta, Georgia were collected from the Atlanta Regional Commission. A Gaussian-based two-step floating catchment area method was adapted to assess the spatial accessibility to green spaces at the census tract level. The Ordinary Least Squares (OLS) model and the spatial lag model were used to evaluate the racial/ethnic and socioeconomic disparities. Results suggest that the spatial accessibility to green spaces in Atlanta was not evenly distributed. Both models show that neighborhoods with a higher concentration of African Americans had significantly poorer access to green spaces (P&lt;0.05). Asian population had significantly poor access in the OLS model but not in the spatial lag model. Poor access was present in socioeconomically disadvantaged areas as well. Findings can be used for the city and regional planners to target the specific areas for green space development in order to elucidate the disparities. ?? 2011 Elsevier B.V.", "author" : [ { "dropping-particle" : "", "family" : "Dai", "given" : "Dajun", "non-dropping-particle" : "", "parse-names" : false, "suffix" : "" } ], "container-title" : "Landscape and Urban Planning", "id" : "ITEM-1", "issue" : "4", "issued" : { "date-parts" : [ [ "2011" ] ] }, "page" : "234-244", "publisher" : "Elsevier B.V.", "title" : "Racial/ethnic and socioeconomic disparities in urban green space accessibility: Where to intervene?", "type" : "article-journal", "volume" : "102" }, "uris" : [ "http://www.mendeley.com/documents/?uuid=69435319-25c0-46dc-b0d0-1850807955bd" ] } ], "mendeley" : { "formattedCitation" : "(Dai, 2011)", "plainTextFormattedCitation" : "(Dai, 2011)", "previouslyFormattedCitation" : "(Dai, 2011)" }, "properties" : { "noteIndex" : 0 }, "schema" : "https://github.com/citation-style-language/schema/raw/master/csl-citation.json" }</w:instrText>
      </w:r>
      <w:r w:rsidRPr="008608AA">
        <w:fldChar w:fldCharType="separate"/>
      </w:r>
      <w:r w:rsidRPr="008608AA">
        <w:rPr>
          <w:noProof/>
        </w:rPr>
        <w:t>(Dai, 2011)</w:t>
      </w:r>
      <w:r w:rsidRPr="008608AA">
        <w:fldChar w:fldCharType="end"/>
      </w:r>
      <w:r w:rsidRPr="008608AA">
        <w:t xml:space="preserve">. </w:t>
      </w:r>
      <w:r w:rsidR="00AA1AF4" w:rsidRPr="008608AA">
        <w:t xml:space="preserve">Some cities in Latin America have begun to set goals </w:t>
      </w:r>
      <w:r w:rsidR="00B131E2" w:rsidRPr="008608AA">
        <w:t>to plan</w:t>
      </w:r>
      <w:r w:rsidR="00AA1AF4" w:rsidRPr="008608AA">
        <w:t xml:space="preserve"> for</w:t>
      </w:r>
      <w:r w:rsidRPr="008608AA">
        <w:t xml:space="preserve"> a minimum of 9m</w:t>
      </w:r>
      <w:r w:rsidRPr="008608AA">
        <w:rPr>
          <w:vertAlign w:val="superscript"/>
        </w:rPr>
        <w:t>2</w:t>
      </w:r>
      <w:r w:rsidRPr="008608AA">
        <w:t xml:space="preserve"> of green area per inhabitant</w:t>
      </w:r>
      <w:r w:rsidR="00EA2A4C" w:rsidRPr="008608AA">
        <w:rPr>
          <w:rStyle w:val="FootnoteReference"/>
          <w:lang w:val="en-GB"/>
        </w:rPr>
        <w:footnoteReference w:id="14"/>
      </w:r>
      <w:r w:rsidRPr="008608AA">
        <w:t xml:space="preserve">. Data on green areas for cities in the Americas is scarce and this is an area that needs better attention. </w:t>
      </w:r>
      <w:r w:rsidRPr="008608AA">
        <w:rPr>
          <w:shd w:val="clear" w:color="auto" w:fill="FFFFFF"/>
        </w:rPr>
        <w:t xml:space="preserve">The percentage of urban areas dedicated to green areas is highly variable across the Americas (Figure 3.13). </w:t>
      </w:r>
      <w:r w:rsidRPr="008608AA">
        <w:t>Considerable variation, moreover, can occur within individual cities. For example one of the wealthiest suburbs of Santiago, Chile has 56m</w:t>
      </w:r>
      <w:r w:rsidRPr="008608AA">
        <w:rPr>
          <w:vertAlign w:val="superscript"/>
        </w:rPr>
        <w:t>2</w:t>
      </w:r>
      <w:r w:rsidR="002F1F98" w:rsidRPr="008608AA">
        <w:t xml:space="preserve"> per </w:t>
      </w:r>
      <w:r w:rsidRPr="008608AA">
        <w:t>inhabitant, while one of the poorest has only 2.4m</w:t>
      </w:r>
      <w:r w:rsidRPr="008608AA">
        <w:rPr>
          <w:vertAlign w:val="superscript"/>
        </w:rPr>
        <w:t xml:space="preserve">2 </w:t>
      </w:r>
      <w:r w:rsidRPr="008608AA">
        <w:rPr>
          <w:shd w:val="clear" w:color="auto" w:fill="FFFFFF"/>
        </w:rPr>
        <w:fldChar w:fldCharType="begin" w:fldLock="1"/>
      </w:r>
      <w:r w:rsidRPr="008608AA">
        <w:rPr>
          <w:shd w:val="clear" w:color="auto" w:fill="FFFFFF"/>
        </w:rPr>
        <w:instrText>ADDIN CSL_CITATION { "citationItems" : [ { "id" : "ITEM-1", "itemData" : { "author" : [ { "dropping-particle" : "", "family" : "Reyes", "given" : "S.Y.", "non-dropping-particle" : "", "parse-names" : false, "suffix" : "" }, { "dropping-particle" : "", "family" : "Figueroa", "given" : "I.M.", "non-dropping-particle" : "", "parse-names" : false, "suffix" : "" } ], "container-title" : "EURE Revista Latinoamericana de Estudios Urbanos Regionales", "id" : "ITEM-1", "issue" : "109", "issued" : { "date-parts" : [ [ "2010" ] ] }, "page" : "89-110", "title" : "Distribuci\u00f3n, superficie y accesibilidad de las \u00e1reas verdes en Santiago de Chile", "type" : "article-journal", "volume" : "36" }, "uris" : [ "http://www.mendeley.com/documents/?uuid=5e08b32a-4c86-49ce-873b-3edc9b68cf38", "http://www.mendeley.com/documents/?uuid=75f5499c-c5ee-4bb8-a41b-17dda9bd9981" ] } ], "mendeley" : { "formattedCitation" : "(Reyes &amp; Figueroa, 2010)", "plainTextFormattedCitation" : "(Reyes &amp; Figueroa, 2010)", "previouslyFormattedCitation" : "(Reyes &amp; Figueroa, 2010)" }, "properties" : { "noteIndex" : 0 }, "schema" : "https://github.com/citation-style-language/schema/raw/master/csl-citation.json" }</w:instrText>
      </w:r>
      <w:r w:rsidRPr="008608AA">
        <w:rPr>
          <w:shd w:val="clear" w:color="auto" w:fill="FFFFFF"/>
        </w:rPr>
        <w:fldChar w:fldCharType="separate"/>
      </w:r>
      <w:r w:rsidRPr="008608AA">
        <w:rPr>
          <w:noProof/>
          <w:shd w:val="clear" w:color="auto" w:fill="FFFFFF"/>
        </w:rPr>
        <w:t>(Reyes &amp; Figueroa, 2010)</w:t>
      </w:r>
      <w:r w:rsidRPr="008608AA">
        <w:rPr>
          <w:shd w:val="clear" w:color="auto" w:fill="FFFFFF"/>
        </w:rPr>
        <w:fldChar w:fldCharType="end"/>
      </w:r>
      <w:r w:rsidRPr="008608AA">
        <w:rPr>
          <w:shd w:val="clear" w:color="auto" w:fill="FFFFFF"/>
        </w:rPr>
        <w:t xml:space="preserve">. Generally, the incorporation of green areas of any kind has promoted urban biodiversity </w:t>
      </w:r>
      <w:r w:rsidRPr="008608AA">
        <w:fldChar w:fldCharType="begin" w:fldLock="1"/>
      </w:r>
      <w:r w:rsidRPr="008608AA">
        <w:instrText>ADDIN CSL_CITATION { "citationItems" : [ { "id" : "ITEM-1", "itemData" : { "DOI" : "10.1016/j.ufug.2012.01.002", "abstract" : "Domestic gardens provide a significant component of urban green infrastructure but their relative contribution to eco-system service provision remains largely un-quantified. \u2018Green infrastructure\u2019 itself is often ill-defined, posing problems for planners to ascertain what types of green infrastructure provide greatest benefit and under what circumstances. Within this context the relative merits of gardens are unclear; however, at a time of greater urbanization where private gardens are increasingly seen as a \u2018luxury\u2019, it is important to define their role precisely. Hence, the nature of this review is to interpret existing information pertaining to gardens/gardening per se, identify where they may have a unique role to play and to highlight where further research is warranted. The review suggests that there are significant differences in both form and management of domestic gardens which radically influence the benefits. Nevertheless, gardens can play a strong role in improving the environmental impact of the domestic curtilage, e.g. by insulating houses against temperature extremes they can reduce domestic energy use. Gardens also improve localized air cooling, help mitigate flooding and provide a haven for wildlife. Less favourable aspects include contributions of gardens and gardening to greenhouse gas emissions, misuse of fertilizers and pesticides, and introduction of alien plant species. Due to the close proximity to the home and hence accessibility for many, possibly the greatest benefit of the domestic garden is on human health and well-being, but further work is required to define this clearly within the wider context of green infrastructure.", "author" : [ { "dropping-particle" : "", "family" : "Cameron", "given" : "R.W.F", "non-dropping-particle" : "", "parse-names" : false, "suffix" : "" }, { "dropping-particle" : "", "family" : "Blanu\u0161a", "given" : "T.", "non-dropping-particle" : "", "parse-names" : false, "suffix" : "" }, { "dropping-particle" : "", "family" : "Taylor", "given" : "J.E.", "non-dropping-particle" : "", "parse-names" : false, "suffix" : "" }, { "dropping-particle" : "", "family" : "Salisbury", "given" : "A.", "non-dropping-particle" : "", "parse-names" : false, "suffix" : "" }, { "dropping-particle" : "", "family" : "Halstead", "given" : "A.J.", "non-dropping-particle" : "", "parse-names" : false, "suffix" : "" }, { "dropping-particle" : "", "family" : "Henricot", "given" : "B.", "non-dropping-particle" : "", "parse-names" : false, "suffix" : "" }, { "dropping-particle" : "", "family" : "Thompson", "given" : "K.", "non-dropping-particle" : "", "parse-names" : false, "suffix" : "" } ], "container-title" : "Urban Forestry &amp; Urban Greening", "id" : "ITEM-1", "issue" : "2", "issued" : { "date-parts" : [ [ "2012" ] ] }, "page" : "129-137", "title" : "The domestic garden \u2013 Its contribution to urban green infrastructure", "type" : "article-journal", "volume" : "11" }, "uris" : [ "http://www.mendeley.com/documents/?uuid=0010930e-d9ca-4bad-835c-3769c269a2ab" ] } ], "mendeley" : { "formattedCitation" : "(Cameron et al., 2012)", "plainTextFormattedCitation" : "(Cameron et al., 2012)", "previouslyFormattedCitation" : "(Cameron et al., 2012)" }, "properties" : { "noteIndex" : 0 }, "schema" : "https://github.com/citation-style-language/schema/raw/master/csl-citation.json" }</w:instrText>
      </w:r>
      <w:r w:rsidRPr="008608AA">
        <w:fldChar w:fldCharType="separate"/>
      </w:r>
      <w:r w:rsidRPr="008608AA">
        <w:rPr>
          <w:noProof/>
        </w:rPr>
        <w:t>(Cameron et al., 2012)</w:t>
      </w:r>
      <w:r w:rsidRPr="008608AA">
        <w:fldChar w:fldCharType="end"/>
      </w:r>
      <w:r w:rsidRPr="008608AA">
        <w:rPr>
          <w:shd w:val="clear" w:color="auto" w:fill="FFFFFF"/>
        </w:rPr>
        <w:t>, although the development of green areas has not been commensurate with the population increase in urban areas. Thus, c</w:t>
      </w:r>
      <w:r w:rsidRPr="008608AA">
        <w:t>onserving biodiversity in urban areas should be a priority. The establishment of green areas using native species can simultaneously contribute to biodiversity conservation and human well-being and should be a</w:t>
      </w:r>
      <w:r w:rsidR="00FE65F2" w:rsidRPr="008608AA">
        <w:t xml:space="preserve"> priority.</w:t>
      </w:r>
    </w:p>
    <w:p w14:paraId="6F4B2680" w14:textId="7A749670" w:rsidR="00FE65F2" w:rsidRPr="008608AA" w:rsidRDefault="00FF0580" w:rsidP="00FE65F2">
      <w:pPr>
        <w:spacing w:before="120" w:after="120"/>
        <w:jc w:val="center"/>
      </w:pPr>
      <w:r w:rsidRPr="008608AA">
        <w:rPr>
          <w:noProof/>
          <w:lang w:val="en-GB" w:eastAsia="en-GB"/>
        </w:rPr>
        <w:drawing>
          <wp:inline distT="0" distB="0" distL="0" distR="0" wp14:anchorId="727DB93D" wp14:editId="04629A49">
            <wp:extent cx="5934075" cy="3257550"/>
            <wp:effectExtent l="0" t="0" r="9525" b="0"/>
            <wp:docPr id="30316" name="Imagen 30316" descr="C:\Users\Alejandro Valderrama\Downloads\Fig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9" descr="C:\Users\Alejandro Valderrama\Downloads\Fig3.13.jpg"/>
                    <pic:cNvPicPr>
                      <a:picLocks noChangeAspect="1" noChangeArrowheads="1"/>
                    </pic:cNvPicPr>
                  </pic:nvPicPr>
                  <pic:blipFill rotWithShape="1">
                    <a:blip r:embed="rId128">
                      <a:extLst>
                        <a:ext uri="{28A0092B-C50C-407E-A947-70E740481C1C}">
                          <a14:useLocalDpi xmlns:a14="http://schemas.microsoft.com/office/drawing/2010/main" val="0"/>
                        </a:ext>
                      </a:extLst>
                    </a:blip>
                    <a:srcRect b="61916"/>
                    <a:stretch/>
                  </pic:blipFill>
                  <pic:spPr bwMode="auto">
                    <a:xfrm>
                      <a:off x="0" y="0"/>
                      <a:ext cx="5934075" cy="3257550"/>
                    </a:xfrm>
                    <a:prstGeom prst="rect">
                      <a:avLst/>
                    </a:prstGeom>
                    <a:noFill/>
                    <a:ln>
                      <a:noFill/>
                    </a:ln>
                    <a:extLst>
                      <a:ext uri="{53640926-AAD7-44D8-BBD7-CCE9431645EC}">
                        <a14:shadowObscured xmlns:a14="http://schemas.microsoft.com/office/drawing/2010/main"/>
                      </a:ext>
                    </a:extLst>
                  </pic:spPr>
                </pic:pic>
              </a:graphicData>
            </a:graphic>
          </wp:inline>
        </w:drawing>
      </w:r>
    </w:p>
    <w:p w14:paraId="32834D2C" w14:textId="776BA0C5" w:rsidR="004255E7" w:rsidRPr="008608AA" w:rsidRDefault="004255E7" w:rsidP="00FE65F2">
      <w:pPr>
        <w:spacing w:before="120" w:after="120"/>
      </w:pPr>
      <w:r w:rsidRPr="008608AA">
        <w:t xml:space="preserve">The Americas are projected to experience significant increases in urban land extent (Figure 3.14. a) </w:t>
      </w:r>
      <w:r w:rsidRPr="008608AA">
        <w:rPr>
          <w:lang w:val="es-CL"/>
        </w:rPr>
        <w:fldChar w:fldCharType="begin" w:fldLock="1"/>
      </w:r>
      <w:r w:rsidRPr="008608AA">
        <w:instrText>ADDIN CSL_CITATION { "citationItems" : [ { "id" : "ITEM-1", "itemData" : { "DOI" : "10.1088/1748-9326/8/1/014025", "author" : [ { "dropping-particle" : "", "family" : "G\u00fcneralp", "given" : "B.", "non-dropping-particle" : "", "parse-names" : false, "suffix" : "" }, { "dropping-particle" : "", "family" : "Seto", "given" : "K.C.", "non-dropping-particle" : "", "parse-names" : false, "suffix" : "" } ], "container-title" : "Environmental Research Letters", "id" : "ITEM-1", "issue" : "1", "issued" : { "date-parts" : [ [ "2013" ] ] }, "page" : "14025", "title" : "Futures of global urban expansion: uncertainties and implications for biodiversity conservation", "type" : "article-journal", "volume" : "8" }, "uris" : [ "http://www.mendeley.com/documents/?uuid=a68e66f6-2de8-46e4-93a9-ff09a9e19191" ] } ], "mendeley" : { "formattedCitation" : "(G\u00fcneralp &amp; Seto, 2013)", "plainTextFormattedCitation" : "(G\u00fcneralp &amp; Seto, 2013)", "previouslyFormattedCitation" : "(G\u00fcneralp &amp; Seto, 2013)" }, "properties" : { "noteIndex" : 0 }, "schema" : "https://github.com/citation-style-language/schema/raw/master/csl-citation.json" }</w:instrText>
      </w:r>
      <w:r w:rsidRPr="008608AA">
        <w:rPr>
          <w:lang w:val="es-CL"/>
        </w:rPr>
        <w:fldChar w:fldCharType="separate"/>
      </w:r>
      <w:r w:rsidRPr="008608AA">
        <w:rPr>
          <w:noProof/>
        </w:rPr>
        <w:t>(Güneralp &amp; Seto, 2013)</w:t>
      </w:r>
      <w:r w:rsidRPr="008608AA">
        <w:rPr>
          <w:lang w:val="es-CL"/>
        </w:rPr>
        <w:fldChar w:fldCharType="end"/>
      </w:r>
      <w:r w:rsidRPr="008608AA">
        <w:t xml:space="preserve">. Moreover, North America is expected to have more than 50% of its total urban lands within 25 km of protected areas and 90% of its urban lands within 50 km of protected areas by 2030; in contrast, South America is projected to have about 65% within 50 km while Mesoamerica and the Caribbean are projected to have somewhat more (Figure 3.14. b) </w:t>
      </w:r>
      <w:r w:rsidRPr="008608AA">
        <w:rPr>
          <w:lang w:val="es-CL"/>
        </w:rPr>
        <w:fldChar w:fldCharType="begin" w:fldLock="1"/>
      </w:r>
      <w:r w:rsidRPr="008608AA">
        <w:instrText>ADDIN CSL_CITATION { "citationItems" : [ { "id" : "ITEM-1", "itemData" : { "DOI" : "10.1088/1748-9326/8/1/014025", "author" : [ { "dropping-particle" : "", "family" : "G\u00fcneralp", "given" : "B.", "non-dropping-particle" : "", "parse-names" : false, "suffix" : "" }, { "dropping-particle" : "", "family" : "Seto", "given" : "K.C.", "non-dropping-particle" : "", "parse-names" : false, "suffix" : "" } ], "container-title" : "Environmental Research Letters", "id" : "ITEM-1", "issue" : "1", "issued" : { "date-parts" : [ [ "2013" ] ] }, "page" : "14025", "title" : "Futures of global urban expansion: uncertainties and implications for biodiversity conservation", "type" : "article-journal", "volume" : "8" }, "uris" : [ "http://www.mendeley.com/documents/?uuid=a68e66f6-2de8-46e4-93a9-ff09a9e19191" ] } ], "mendeley" : { "formattedCitation" : "(G\u00fcneralp &amp; Seto, 2013)", "plainTextFormattedCitation" : "(G\u00fcneralp &amp; Seto, 2013)", "previouslyFormattedCitation" : "(G\u00fcneralp &amp; Seto, 2013)" }, "properties" : { "noteIndex" : 0 }, "schema" : "https://github.com/citation-style-language/schema/raw/master/csl-citation.json" }</w:instrText>
      </w:r>
      <w:r w:rsidRPr="008608AA">
        <w:rPr>
          <w:lang w:val="es-CL"/>
        </w:rPr>
        <w:fldChar w:fldCharType="separate"/>
      </w:r>
      <w:r w:rsidRPr="008608AA">
        <w:rPr>
          <w:noProof/>
        </w:rPr>
        <w:t>(Güneralp &amp; Seto, 2013)</w:t>
      </w:r>
      <w:r w:rsidRPr="008608AA">
        <w:rPr>
          <w:lang w:val="es-CL"/>
        </w:rPr>
        <w:fldChar w:fldCharType="end"/>
      </w:r>
      <w:r w:rsidRPr="008608AA">
        <w:t xml:space="preserve">. Documented changes in hydrology with urbanization, including alteration of wetlands </w:t>
      </w:r>
      <w:r w:rsidRPr="008608AA">
        <w:fldChar w:fldCharType="begin" w:fldLock="1"/>
      </w:r>
      <w:r w:rsidRPr="008608AA">
        <w:instrText>ADDIN CSL_CITATION { "citationItems" : [ { "id" : "ITEM-1", "itemData" : { "DOI" : "10.1007/s10021-014-9751-y", "ISSN" : "14350629", "abstract" : "Earth's surface is rapidly urbanizing, resulting in dramatic changes in the abundance, distribution and character of surface water features in urban landscapes. However, the scope and consequences of surface water redistribution at broad spatial scales are not well understood. We hypothesized that urbanization would lead to convergent surface water abundance and distribution: in other words, cities will gain or lose water such that they become more similar to each other than are their surrounding natural landscapes. Using a database of more than 1 million water bodies and 1 million km of streams, we compared the surface water of 100 US cities with their surrounding undeveloped land. We evaluated differences in areal (A WB) and numeric densities (N WB) of water bodies (lakes, wetlands, and so on), the morphological characteristics of water bodies (size), and the density (D C) of surface flow channels (that is, streams and rivers). The variance of urban A WB, N WB, and D C across the 100 MSAs decreased, by 89, 25, and 71%, respectively, compared to undeveloped land. These data show that many cities are surface water poor relative to undeveloped land; however, in drier landscapes urbanization increases the occurrence of surface water. This convergence pattern strengthened with development intensity, such that high intensity urban development had an areal water body density 98% less than undeveloped lands. Urbanization appears to drive the convergence of hydrological features across the US, such that surface water distributions of cities are more similar to each other than to their surrounding landscapes. \u00a9 2014 The Author(s).", "author" : [ { "dropping-particle" : "", "family" : "Steele", "given" : "M. K.", "non-dropping-particle" : "", "parse-names" : false, "suffix" : "" }, { "dropping-particle" : "", "family" : "Heffernan", "given" : "J. B.", "non-dropping-particle" : "", "parse-names" : false, "suffix" : "" }, { "dropping-particle" : "", "family" : "Bettez", "given" : "N.", "non-dropping-particle" : "", "parse-names" : false, "suffix" : "" }, { "dropping-particle" : "", "family" : "Cavender-Bares", "given" : "J.", "non-dropping-particle" : "", "parse-names" : false, "suffix" : "" }, { "dropping-particle" : "", "family" : "Groffman", "given" : "P. M.", "non-dropping-particle" : "", "parse-names" : false, "suffix" : "" }, { "dropping-particle" : "", "family" : "Grove", "given" : "J. M.", "non-dropping-particle" : "", "parse-names" : false, "suffix" : "" }, { "dropping-particle" : "", "family" : "Hall", "given" : "S.", "non-dropping-particle" : "", "parse-names" : false, "suffix" : "" }, { "dropping-particle" : "", "family" : "Hobbie", "given" : "S. E.", "non-dropping-particle" : "", "parse-names" : false, "suffix" : "" }, { "dropping-particle" : "", "family" : "Larson", "given" : "K.", "non-dropping-particle" : "", "parse-names" : false, "suffix" : "" }, { "dropping-particle" : "", "family" : "Morse", "given" : "J. L.", "non-dropping-particle" : "", "parse-names" : false, "suffix" : "" }, { "dropping-particle" : "", "family" : "Neill", "given" : "C.", "non-dropping-particle" : "", "parse-names" : false, "suffix" : "" }, { "dropping-particle" : "", "family" : "Nelson", "given" : "K. C.", "non-dropping-particle" : "", "parse-names" : false, "suffix" : "" }, { "dropping-particle" : "", "family" : "O'Neil-Dunne", "given" : "J.", "non-dropping-particle" : "", "parse-names" : false, "suffix" : "" }, { "dropping-particle" : "", "family" : "Ogden", "given" : "L.", "non-dropping-particle" : "", "parse-names" : false, "suffix" : "" }, { "dropping-particle" : "", "family" : "Pataki", "given" : "D. E.", "non-dropping-particle" : "", "parse-names" : false, "suffix" : "" }, { "dropping-particle" : "", "family" : "Polsky", "given" : "C.", "non-dropping-particle" : "", "parse-names" : false, "suffix" : "" }, { "dropping-particle" : "", "family" : "Roy Chowdhury", "given" : "R.", "non-dropping-particle" : "", "parse-names" : false, "suffix" : "" } ], "container-title" : "Ecosystems", "id" : "ITEM-1", "issue" : "4", "issued" : { "date-parts" : [ [ "2014" ] ] }, "page" : "685-697", "title" : "Convergent surface water distributions in U.S. cities", "type" : "article-journal", "volume" : "17" }, "uris" : [ "http://www.mendeley.com/documents/?uuid=192a9309-f443-432c-8e43-77c6e241e530" ] } ], "mendeley" : { "formattedCitation" : "(Steele et al., 2014)", "plainTextFormattedCitation" : "(Steele et al., 2014)", "previouslyFormattedCitation" : "(Steele et al., 2014)" }, "properties" : { "noteIndex" : 0 }, "schema" : "https://github.com/citation-style-language/schema/raw/master/csl-citation.json" }</w:instrText>
      </w:r>
      <w:r w:rsidRPr="008608AA">
        <w:fldChar w:fldCharType="separate"/>
      </w:r>
      <w:r w:rsidRPr="008608AA">
        <w:rPr>
          <w:noProof/>
        </w:rPr>
        <w:t>(Steele et al., 2014)</w:t>
      </w:r>
      <w:r w:rsidRPr="008608AA">
        <w:fldChar w:fldCharType="end"/>
      </w:r>
      <w:r w:rsidRPr="008608AA">
        <w:t xml:space="preserve">, pollution, simplification of freshwater environments and loss of riparian vegetation, will tend to reduce biodiversity among algae, plants, invertebrates and vertebrate communities </w:t>
      </w:r>
      <w:r w:rsidRPr="008608AA">
        <w:fldChar w:fldCharType="begin" w:fldLock="1"/>
      </w:r>
      <w:r w:rsidRPr="008608AA">
        <w:instrText>ADDIN CSL_CITATION { "citationItems" : [ { "id" : "ITEM-1", "itemData" : { "DOI" : "10.2307/3868092", "ISBN" : "1540-9295", "ISSN" : "15409309", "PMID" : "21179505", "abstract" : "Riparian areas are hotspots of interactions between plants, soil, water, microbes, and people. While urban land use change has been shown to have dramatic effects on watershed hydrology, there has been surpris- ingly little analysis of its effects on riparian areas. Here we examine the ecology of urban riparian zones, focusing on work done in the Baltimore Ecosystem Study, a component of the US National Science Foundation's Long Term Ecological Research network. Research in the Baltimore study has addressed how changes in hydrology associated with urbanization create riparian \"hydrologic drought\" by lowering water tables, which in turn alters soil, vegetation, and microbial processes. We analyze the nature of past and cur- rent human interactions with riparian ecosystems, and review other urban ecosystem studies to show how our observations mirror those in other cities.", "author" : [ { "dropping-particle" : "", "family" : "Groffman", "given" : "Peter M.", "non-dropping-particle" : "", "parse-names" : false, "suffix" : "" }, { "dropping-particle" : "", "family" : "Bain", "given" : "Daniel J.", "non-dropping-particle" : "", "parse-names" : false, "suffix" : "" }, { "dropping-particle" : "", "family" : "Band", "given" : "Lawrence E.", "non-dropping-particle" : "", "parse-names" : false, "suffix" : "" }, { "dropping-particle" : "", "family" : "Belt", "given" : "Kenneth T.", "non-dropping-particle" : "", "parse-names" : false, "suffix" : "" }, { "dropping-particle" : "", "family" : "Brush", "given" : "Grace S.", "non-dropping-particle" : "", "parse-names" : false, "suffix" : "" }, { "dropping-particle" : "", "family" : "Grove", "given" : "J. Morgan", "non-dropping-particle" : "", "parse-names" : false, "suffix" : "" }, { "dropping-particle" : "V.", "family" : "Pouyat", "given" : "Richard", "non-dropping-particle" : "", "parse-names" : false, "suffix" : "" }, { "dropping-particle" : "", "family" : "Yesilonis", "given" : "Ian C.", "non-dropping-particle" : "", "parse-names" : false, "suffix" : "" }, { "dropping-particle" : "", "family" : "Zipperer", "given" : "Wayne C.", "non-dropping-particle" : "", "parse-names" : false, "suffix" : "" } ], "container-title" : "Frontiers in Ecology and the Environment", "id" : "ITEM-1", "issue" : "6", "issued" : { "date-parts" : [ [ "2003" ] ] }, "page" : "315-321", "title" : "Down by the riverside: urban riparian ecology", "type" : "article-journal", "volume" : "1" }, "uris" : [ "http://www.mendeley.com/documents/?uuid=0f735216-d287-4cc3-808a-7d6a2aee84b9" ] }, { "id" : "ITEM-2", "itemData" : { "DOI" : "10.1890/04-1484", "ISBN" : "1051-0761", "ISSN" : "10510761", "abstract" : "The urbanization of agricultural lands is currently one of the dominant pat- terns of land use change in developed countries. In the United States and parts of Europe, this has led to the implementation of agricultural land preservation programs and riparian protection and replanting efforts along urban streams. The ecological benefits of such programs for the conservation of freshwater biodiversity have yet to be fully explored. We designed a study to investigate the patterns of stream macroinvertebrate community structure along a gradient of agriculture to urban development, and the patterns among urban streams that vary in the amount of intact riparian buffer. In 2001 and 2002, we sampled the 29 small headwater streams comprising the outlying tributaries of four watersheds just north ofWashington, D.C., in Montgomery County, Maryland, USA. This region has had dramatic urban development over the last 50 years, yet significant efforts have been made to maintain riparian buffers and promote preservation of agricultural land. Macroinvertebrate richness was strongly related to land use, with agricultural streams exhibiting the highest macroinvertebrate diversity. Taxa richness was related negatively and linearly (no statistical threshold) to the amount of impervious surface cover. For the urban streams, there was a strong positive relationship between invertebrate diversity and riparian forest cover. Urban streams with high amounts of intact riparian forest exhibited biodiversity levels more comparable to less urban areas despite high amounts of impervious cover in their catchments. The agricultural headwater streams in this study were not only more diverse than the urban headwaters, but their levels of macroinvertebrate diversity were high compared to other published estimates for agricultural streams. These higher richness values may be due to widespread use of \u2018\u2018best management practices\u2019\u2019 (BMPs), including no-till farming and the implementation of woody and herbaceous riparian buffers, which may alleviate many acute stressors caused by cultivation. These findings suggest that, if managed properly, the preservation of agricultural land from development may help conserve stream invertebrate biodiversity, and that maintenance of riparian forests even in highly urbanized watersheds may help alleviate ecological disturbances that might otherwise limit macroinvertebrate survival.", "author" : [ { "dropping-particle" : "", "family" : "Moore", "given" : "Aaron A.", "non-dropping-particle" : "", "parse-names" : false, "suffix" : "" }, { "dropping-particle" : "", "family" : "Palmer", "given" : "Margaret A.", "non-dropping-particle" : "", "parse-names" : false, "suffix" : "" } ], "container-title" : "Ecological Applications", "id" : "ITEM-2", "issue" : "4", "issued" : { "date-parts" : [ [ "2005" ] ] }, "page" : "1169-1177", "title" : "Invertebrate biodiversity in agricultural and urban headwater streams: Implications for conservation and management", "type" : "article-journal", "volume" : "15" }, "uris" : [ "http://www.mendeley.com/documents/?uuid=c9f1f37a-a868-3f10-a4d0-3e74f74ade23" ] }, { "id" : "ITEM-3", "itemData" : { "DOI" : "doi:10.1146/annurev.ecolsys.32.081501.114040", "ISBN" : "978-0-387-73411-8", "ISSN" : "0066-4162", "PMID" : "29", "abstract" : "t The world's population is concentrated in urban areas. This change in demography has brought landscape transformations that have a number of documented effects on stream ecosystems. The most consistent and pervasive effect is an increase in impervious surface cover within urban catchments, which alters the hydrology and geomorphology of streams. This results in predictable changes in stream habitat. In addition to imperviousness, runoff from urbanized surfaces as well as municipal and in- dustlial discharges result in increased loading of nutrients, metals, pesticides, and other contaminants to streams. These changes result in consistent declines in the richness of algal, invertebrate, and fish communities in urban streams. Although understud- ied in urban streams, ecosystem processes are also affected by urbanization. Urban streams represent opportunities for ecologists interested in studying disturbance and contributing to more effective landscape manageme", "author" : [ { "dropping-particle" : "", "family" : "Paul", "given" : "Michael J.", "non-dropping-particle" : "", "parse-names" : false, "suffix" : "" }, { "dropping-particle" : "", "family" : "Meyer", "given" : "Judy L.", "non-dropping-particle" : "", "parse-names" : false, "suffix" : "" } ], "container-title" : "Annual Review of Ecology and Systematics", "id" : "ITEM-3", "issue" : "2001", "issued" : { "date-parts" : [ [ "2001" ] ] }, "page" : "333-365", "title" : "Streams in the urban landscape", "type" : "article-journal", "volume" : "32" }, "uris" : [ "http://www.mendeley.com/documents/?uuid=2e732222-e91a-3e11-a662-3f00b1c8db25" ] }, { "id" : "ITEM-4", "itemData" : { "DOI" : "10.1656/045.017.0406", "ISBN" : "1092-6194", "ISSN" : "1092-6194", "abstract" : "The distribution of imperiled stream fish, crayfish, salamander, and freshwater mussel species of Maryland streams in relation to urban land cover and nonnative species was investigated. Over the last 30 years, extinction or extirpation of 13 stream animal species (including the endemic Etheostoma sellare [Maryland Darter]) was observed within the Piedmont region of Maryland, where urbanization has spread extensively outward from Baltimore and Washington, DC, and many non-native species have become established. The presence of imperiled species in this area was correlated with urbanization and non-native species occurrence. However, correlations with land-cover data were stronger than with non-native occurrence. The majority of sites with imperiled species contained less than 10% urban land cover and less than 5% impervious land cover in their catchments. In contrast, stream reaches with non-native species spanned the entire gradient of urban, agriculture, and forested land cover, with the majority of non-native species persisting in streams with over 60% urban and 40% impervious land cover. The persistence of rare species coincident with introduced species in rural portions of Maryland indicates that habitat degradation (like that typically accompanying urbanization) may be the most important threat limiting the distributions of the rarest species that remain in these streams. Limits on urbanization in areas with rare species are needed to maintain regional and global biological diversity. This is particularly important in areas like Maryland that are anticipating extensive human population and urban growth over the next 30 years.", "author" : [ { "dropping-particle" : "", "family" : "Stranko", "given" : "Scott A.", "non-dropping-particle" : "", "parse-names" : false, "suffix" : "" }, { "dropping-particle" : "", "family" : "Gresens", "given" : "Susan E.", "non-dropping-particle" : "", "parse-names" : false, "suffix" : "" }, { "dropping-particle" : "", "family" : "Klauda", "given" : "Ronald J.", "non-dropping-particle" : "", "parse-names" : false, "suffix" : "" }, { "dropping-particle" : "V.", "family" : "Kilian", "given" : "Jay", "non-dropping-particle" : "", "parse-names" : false, "suffix" : "" }, { "dropping-particle" : "", "family" : "Ciccotto", "given" : "Patrick J.", "non-dropping-particle" : "", "parse-names" : false, "suffix" : "" }, { "dropping-particle" : "", "family" : "Ashton", "given" : "Matthew J.", "non-dropping-particle" : "", "parse-names" : false, "suffix" : "" }, { "dropping-particle" : "", "family" : "Becker", "given" : "Andrew J.", "non-dropping-particle" : "", "parse-names" : false, "suffix" : "" } ], "container-title" : "Northeastern Naturalist", "id" : "ITEM-4", "issue" : "4", "issued" : { "date-parts" : [ [ "2010" ] ] }, "page" : "593-614", "title" : "Differential effects of urbanization and non-natives on imperiled stream species", "type" : "article-journal", "volume" : "17" }, "uris" : [ "http://www.mendeley.com/documents/?uuid=140dc516-b2dc-38d7-aede-e10e6e4b2157" ] }, { "id" : "ITEM-5", "itemData" : { "DOI" : "10.1111/j.1366-9516.2005.00226.x", "ISBN" : "1366-9516", "ISSN" : "13669516", "abstract" : "Rapid urbanization throughout the world is expected to cause extensive loss of biodiversity in the upcoming decades. Disturbances associated with urbanization frequently operate over multiple spatial scales such that local species extirpations have been attributed both to localized habitat degradation and to regional changes in land use. Urbanization also may shape stream communities by restricting species dispersal within and among stream reaches. In this patch-dynamics view, anthropogenic disturbances and isolation jointly reduce stream biodiversity in urbanizing landscapes. We evaluated predictions of stream invertebrate community composition and abundance based on variation in environmental conditions at five distinct spatial scales: stream habitats, reaches, riparian corridors and watersheds and their spatial location within the larger three-river basin. Despite strong associations between biodiversity loss and human density in this study, local stream habitat and stream reach conditions were poor predictors of community patterns. Instead, local community diversity and abundance were more accurately predicted by riparian vegetation and watershed landscape structure. Spatial coordinates associated with instream distances provided better predictions of stream communities than any of the environmental data sets. Together, results suggest that urbanization in the study region was associated with reduced stream invertebrate diversity through the alteration of landscape vegetation structure and patch connectivity. These findings suggest that maintaining and restoring watershed vegetation corridors in urban landscapes will aid efforts to conserve freshwater biodiversity.", "author" : [ { "dropping-particle" : "", "family" : "Urban", "given" : "Mark C.", "non-dropping-particle" : "", "parse-names" : false, "suffix" : "" }, { "dropping-particle" : "", "family" : "Skelly", "given" : "David K.", "non-dropping-particle" : "", "parse-names" : false,</w:instrText>
      </w:r>
      <w:r w:rsidRPr="008608AA">
        <w:rPr>
          <w:lang w:val="fr-CA"/>
        </w:rPr>
        <w:instrText xml:space="preserve"> "suffix" : "" }, { "dropping-particle" : "", "family" : "Burchsted", "given" : "Denise", "non-dropping-particle" : "", "parse-names" : false, "suffix" : "" }, { "dropping-particle" : "", "family" : "Price", "given" : "William", "non-dropping-particle" : "", "parse-names" : false, "suffix" : "" }, { "dropping-particle" : "", "family" : "Lowry", "given" : "Sarah", "non-dropping-particle" : "", "parse-names" : false, "suffix" : "" } ], "container-title" : "Diversity and Distributions", "id" : "ITEM-5", "issue" : "4", "issued" : { "date-parts" : [ [ "2006" ] ] }, "page" : "337-350", "title" : "Stream communities across a rural-urban landscape gradient", "type" : "article-journal", "volume" : "12" }, "uris" : [ "http://www.mendeley.com/documents/?uuid=5c9861b0-f9ac-3080-86ad-9a10e28509df" ] } ], "mendeley" : { "formattedCitation" : "(Groffman et al., 2003; Moore &amp; Palmer, 2005; Paul &amp; Meyer, 2001; Stranko et al., 2010; Urban et al., 2006)", "manualFormatting" : "(Groffman et al., 2003; Moore &amp; Palmer, 2005; Paul &amp; Meyer, 2001; Stranko et al., 2010; Urban et al., 2006)", "plainTextFormattedCitation" : "(Groffman et al., 2003; Moore &amp; Palmer, 2005; Paul &amp; Meyer, 2001; Stranko et al., 2010; Urban et al., 2006)", "previouslyFormattedCitation" : "(Groffman et al., 2003; Moore &amp; Palmer, 2005; Paul &amp; Meyer, 2001; Stranko et al., 2010; Urban et al., 2006)" }, "properties" : { "noteIndex" : 0 }, "schema" : "https://github.com/citation-style-language/schema/raw/master/csl-citation.json" }</w:instrText>
      </w:r>
      <w:r w:rsidRPr="008608AA">
        <w:fldChar w:fldCharType="separate"/>
      </w:r>
      <w:r w:rsidRPr="008608AA">
        <w:rPr>
          <w:noProof/>
          <w:lang w:val="fr-CA"/>
        </w:rPr>
        <w:t>(Groffman et al., 2003; Moore &amp; Palmer, 2005; Paul &amp; Meyer, 2001; Stranko et al., 2010; Urban et al., 2006)</w:t>
      </w:r>
      <w:r w:rsidRPr="008608AA">
        <w:fldChar w:fldCharType="end"/>
      </w:r>
      <w:r w:rsidRPr="008608AA">
        <w:rPr>
          <w:lang w:val="fr-CA"/>
        </w:rPr>
        <w:t xml:space="preserve">. </w:t>
      </w:r>
      <w:r w:rsidRPr="008608AA">
        <w:t xml:space="preserve">Amphibians are particularly vulnerable to urban development </w:t>
      </w:r>
      <w:r w:rsidRPr="008608AA">
        <w:fldChar w:fldCharType="begin" w:fldLock="1"/>
      </w:r>
      <w:r w:rsidRPr="008608AA">
        <w:instrText>ADDIN CSL_CITATION { "citationItems" : [ { "id" : "ITEM-1", "itemData" : { "DOI" : "10.1016/j.biocon.2008.07.020", "ISBN" : "0006-3207", "ISSN" : "00063207", "PMID" : "22144392", "abstract" : "Urbanisation currently threatens over one-third of the world's known amphibian species. The main threats of urbanisation to amphibian populations are habitat loss, habitat fragmentation and isolation, and degradation of habitat quality. A complex array of interacting biotic and abiotic factors impact amphibians in urban and urbanising landscapes. These can lead to a decrease in species richness and the abundance of individual species towards the centre of cities and towns. The ability of amphibians to disperse can be significantly reduced in urban and suburban landscapes. However, different species exhibit markedly different responses to urbanisation. Amphibian species that are habitat generalists or have relatively low dispersal requirements appear to be better able to survive in urban and suburban landscapes. There is insufficient information on the ecology of amphibians in urban and suburban areas, particularly in the tropics and sub-tropics, despite worldwide declines reported over past decades. Future research of amphibians in urban and suburban landscapes would greatly benefit by using long-term studies at sites along urban-rural gradients, conducted at both local and landscape scales. Research needs to be directed to the developing world in the tropics and sub-tropics, which has the highest rates of urbanisation. Research into amphibian ecology and conservation in the urbanising world would be improved through experimental approaches to determine the proximate causes of species' responses to human modification of the landscape. Maintaining viable populations of amphibians in urban and suburban landscapes will require conservation strategies that consider key urbanisation processes (i.e. habitat availability and habitat quality) and the key responses and adaptations to urbanisation (i.e. species availability and species response). Conservation strategies for amphibians in urban and suburban landscapes need to include actions to prevent further loss and degradation of both terrestrial and aquatic habitat, and to reconnect the landscape to facilitate dispersal and long-term regional persistence of amphibian populations and communities. Crown Copyright \u00a9 2008.", "author" : [ { "dropping-particle" : "", "family" : "Hamer", "given" : "Andrew J.", "non-dropping-particle" : "", "parse-names" : false, "suffix" : "" }, { "dropping-particle" : "", "family" : "McDonnell", "given" : "Mark J.", "non-dropping-particle" : "", "parse-names" : false, "suffix" : "" } ], "container-title" : "Biological Conservation", "id" : "ITEM-1", "issue" : "10", "issued" : { "date-parts" : [ [ "2008" ] ] }, "page" : "2432-2449", "title" : "Amphibian ecology and conservation in the urbanising world: A review", "type" : "article-journal", "volume" : "141" }, "uris" : [ "http://www.mendeley.com/documents/?uuid=026660f5-9ff0-495c-bc55-9a78d2ed03f7" ] } ], "mendeley" : { "formattedCitation" : "(Hamer &amp; McDonnell, 2008)", "manualFormatting" : "(Hamer &amp; McDonnell, 2008)", "plainTextFormattedCitation" : "(Hamer &amp; McDonnell, 2008)", "previouslyFormattedCitation" : "(Hamer &amp; McDonnell, 2008)" }, "properties" : { "noteIndex" : 0 }, "schema" : "https://github.com/citation-style-language/schema/raw/master/csl-citation.json" }</w:instrText>
      </w:r>
      <w:r w:rsidRPr="008608AA">
        <w:fldChar w:fldCharType="separate"/>
      </w:r>
      <w:r w:rsidRPr="008608AA">
        <w:rPr>
          <w:noProof/>
        </w:rPr>
        <w:t>(Hamer &amp; McDonnell, 2008)</w:t>
      </w:r>
      <w:r w:rsidRPr="008608AA">
        <w:fldChar w:fldCharType="end"/>
      </w:r>
      <w:r w:rsidRPr="008608AA">
        <w:t xml:space="preserve">, habitat loss, homogenization and isolation </w:t>
      </w:r>
      <w:r w:rsidRPr="008608AA">
        <w:fldChar w:fldCharType="begin" w:fldLock="1"/>
      </w:r>
      <w:r w:rsidRPr="008608AA">
        <w:instrText>ADDIN CSL_CITATION { "citationItems" : [ { "id" : "ITEM-1", "itemData" : { "DOI" : "10.1016/0006-3207(94)00102-V", "ISBN" : "0006-3207", "ISSN" : "00063207", "PMID" : "116", "abstract" : "We studied the effect of traffic intensity on local abundance of anurans. We counted dead and live frogs and toads per km and estimated frog and toad local abundances using breeding chorus intensities on similar roads through similar habitats, but with different levels of traffic intensity. After correcting for effects of date, local habitat, time, and region, our analyses demonstrated that (1) the number of dead and live frogs and toads per km decreased with increasing traffic intensity; (2) the proportion of frogs and toads dead increased with increasing traffic intensity; and (3) the frog and toad density, as measured by the chorus intensity, decreased with increasing traffic intensity. Taken together, our results indicate that traffic mortality has a significant negative effect on the local density of anurans. Our results suggest that recent increases in traffic volumes worldwide are probably contributing to declines in amphibian populations, particularly in populated areas. ?? 1995.", "author" : [ { "dropping-particle" : "", "family" : "Fahrig", "given" : "Lenore", "non-dropping-particle" : "", "parse-names" : false, "suffix" : "" }, { "dropping-particle" : "", "family" : "Pedlar", "given" : "John H.", "non-dropping-particle" : "", "parse-names" : false, "suffix" : "" }, { "dropping-particle" : "", "family" : "Pope", "given" : "Shealagh E.", "non-dropping-particle" : "", "parse-names" : false, "suffix" : "" }, { "dropping-particle" : "", "family" : "Taylor", "given" : "Philip D.", "non-dropping-particle" : "", "parse-names" : false, "suffix" : "" }, { "dropping-particle" : "", "family" : "Wegner", "given" : "John F.", "non-dropping-particle" : "", "parse-names" : false, "suffix" : "" } ], "container-title" : "Biological Conservation", "id" : "ITEM-1", "issue" : "3", "issued" : { "date-parts" : [ [ "1995" ] ] }, "page" : "177-182", "title" : "Effect of road traffic on amphibian density", "type" : "article-journal", "volume" : "73" }, "uris" : [ "http://www.mendeley.com/documents/?uuid=4c1b05e4-6f2b-41dd-8596-1d95394ec442" ] }, { "id" : "ITEM-2", "itemData" : { "DOI" : "10.1146/annurev.ecolsys.34.011802.132419", "ISBN" : "1543592X", "ISSN" : "1543-592X", "PMID" : "220102000018", "abstract" : "The literature on effects of habitat fragmentation on biodiversity is huge. It is also very diverse, with different authors measuring fragmentation in different ways and, as a consequence, drawing different conclusions regarding both the magnitude and direction of its effects. Habitat fragmentation is usually defined as a landscape-scale process involving both habitat loss and the breaking apart of habitat. Results of empirical studies of habitat fragmentation are often difficult to interpret because (a) many researchers measure fragmentation at the patch scale, not the landscape scale and (b) most researchers measure fragmentation in ways that do not distinguish between habitat loss and habitat fragmentation per se, i.e., the breaking apart of habitat after controlling for habitat loss. Empirical studies to date suggest that habitat loss has large, consistently negative effects on biodiversity. Habitat fragmentation per se has much weaker effects on biodiversity that are at least as likely to be positive as negative. Therefore, to correctly interpret the influence of habitat fragmentation on biodiversity, the effects of these two components of fragmentation must be measured independently. More studies of the independent effects of habitat loss and fragmentation per se are needed to determine the factors that lead to positive versus negative effects of fragmentation per se. I suggest that the term \"fragmentation\" should be reserved for the breaking apart of habitat, independent of habitat loss.", "author" : [ { "dropping-particle" : "", "family" : "Fahrig", "given" : "Lenore", "non-dropping-particle" : "", "parse-names" : false, "suffix" : "" } ], "container-title" : "Annual Review of Ecology, Evolution, and Systematics", "id" : "ITEM-2", "issue" : "1", "issued" : { "date-parts" : [ [ "2003" ] ] }, "page" : "487-515", "title" : "Effects of habitat fragmentation on biodiversity", "type" : "article-journal", "volume" : "34" }, "uris" : [ "http://www.mendeley.com/documents/?uuid=96c8ecc7-be5c-4ca8-9961-53307fe057e1" ] }, { "id" : "ITEM-3", "itemData" : { "DOI" : "10.1007/BF00052117", "ISBN" : "0960-3115", "ISSN" : "0960-3115", "abstract" : "Recent reports have suggested that a global decline in amphibian populations has taken place during the past few decades. Urban development is thought to affect the richness and abundances of species and, therefore, could be an important cause of decline. We estimated the richness and abundances of anurans in wetlands at a residential development and in similar wetlands at a nearby undeveloped park. The residential development originally was pine natwoods habitat, as is the undeveloped park currently. We also compared the anuran species' composition of the park in 1992 with the composition in 1974. Both richness and abundances of anurans in the residential development were different than those in the undeveloped park. Employing the same amount of sampling effort at both sites, we trapped or observed 11 species at the development and 15 species at the park, and trapped 569 individuals at the development and 1224 individuals at the park. The anuran species richness at the undeveloped park in 1992 was nearly the same as in 1974; a single rare species apparently was not present in 1992. Of the t5 species present in both surveys, 14 showed higher abundances in 1992 than in 1974. We suggest that the current differences between the residential development and the park have resulted from degradation of both the uplands used by many species during the dry season and the temporary wetlands used by many species for reproduction. Four species especially sensitive to such degradation, Bufo quercicus, Scaphiopus h. holbrookii, Hyla femoralis, and H. gratiosa, were the species missing from the residential development. Not all species of anurans typical of pine flatwoods appeared to be affected adversely by development. Three species of ranids, Rana utricularia, R. grylio, and R. catesbeiana, were found in higher abundances at the residential development than at the park. These ranid species breed in a wide variety of aquatic systems, including the permanent bodies of water that are now abundant in the development, and probably use the uplands less than other anurans. If amphibian decline is international in scope, then the decline could be attributable either to global changes caused by humans, or to local, but widespread, environmental degradation, or to a combination of factors. While much recent popular focus has been on potential global causes of decline, we believe that this emphasis may have caused attention to be taken away from local causes that, as our study \u2026", "author" : [ { "dropping-particle" : "", "family" : "Delis", "given" : "Pablo R.", "non-dropping-particle" : "", "parse-names" : false, "suffix" : "" }, { "dropping-particle" : "", "family" : "Mushinsky", "given" : "Henry R.", "non-dropping-particle" : "", "parse-names" : false, "suffix" : "" }, { "dropping-particle" : "", "family" : "McCoy", "given" : "Earl D.", "non-dropping-particle" : "", "parse-names" : false, "suffix" : "" } ], "container-title" : "Biodiversity and Conservation", "id" : "ITEM-3", "issue" : "12", "issued" : { "date-parts" : [ [ "1996" ] ] }, "page" : "1579-1595", "title" : "Decline of some west-central Florida anuran populations in response to habitat degradation", "type" : "article-journal", "volume" : "5" }, "uris" : [ "http://www.mendeley.com/documents/?uuid=dbd27386-fa9b-4588-942b-2f7dd096e83d" ] }, { "id" : "ITEM-4", "itemData" : { "DOI" : "10.1016/j.biocon.2005.09.031", "ISBN" : "0006-3207", "ISSN" : "00063207", "PMID" : "12151285", "abstract" : "Habitat loss and fragmentation are among the largest threats to amphibian populations. However, most studies have not provided clear insights into their population-level implications. There is a critical need to investigate the mechanisms that underlie patterns of distribution and abundance. In order to understand the population- and species-level implications of habitat loss and fragmentation, it is necessary to move from site-specific inferences to assessments of how the influences of multiple factors interact across extensive landscapes to influence population size and population connectivity. The goal of this paper is to summarize the state of knowledge, identify information gaps and suggest research approaches to provide reliable knowledge and effective conservation of amphibians in landscapes experiencing habitat loss and fragmentation. Reliable inferences require attention to species-specific ecological characteristics and their interactions with environmental conditions at a range of spatial scales. Habitat connectivity appears to play a key role in regional viability of amphibian populations. In amphibians, population connectivity is predominantly effected through juvenile dispersal. The preponderance of evidence suggests that the short-term impact of habitat loss and fragmentation increases with dispersal ability. However, species with limited dispersal abilities are likely to be equally imperiled by habitat loss and fragmentation over longer time periods. Rigorous understanding of the effects of habitat loss and fragmentation on amphibians will require species-specific, multi-scale, mechanistic investigations, and will be benefit from integrating large empirical field studies with molecular genetics and simulation modeling. Molecular genetic methods are particularly suited to quantifying the influences of habitat structure across large spatial extents on gene flow and population connectivity. Conservation strategies would benefit by moving from generalizations to species and process specific recommendations and by moving from site-specific actions to implementing conservation plans at multiple scales across broad landscapes. \u00a9 2005 Elsevier Ltd. All rights reserved.", "author" : [ { "dropping-particle" : "", "family" : "Cushman", "given" : "Samuel A.", "non-dropping-particle" : "", "parse-names" : false, "suffix" : "" } ], "container-title" : "Biological Conservation", "id" : "ITEM-4", "issue" : "2", "issued" : { "date-parts" : [ [ "2006" ] ] }, "page" : "231-240", "title" : "Effects of habitat loss and fragmentation on amphibians: A review and prospectus", "type" : "article-journal", "volume" : "128" }, "uris" : [ "http://www.mendeley.com/documents/?uuid=42910d8e-3a1a-47ef-a018-456e150e81bb" ] }, { "id" : "ITEM-5", "itemData" : { "DOI" : "10.1007/s11252-009-0116-9", "ISBN" : "1125200901", "ISSN" : "10838155", "abstract" : "Abstract&amp;nbsp;&amp;nbsp;Urbanization is widespread throughout the United States and negatively affects many wildlife populations. However, certain urban features, such as retention ponds, may provide habitat for some species, such as amphibians. This study examines the influence of riparian zone proximity and pond age on retention pond occupancy by anurans. We identified and estimated the age of 25 retention ponds near Charlotte, North Carolina, USA and used a geographic information system to determine the distance to the nearest riparian zone. Occupancy modeling indicated that anuran presence decreased with increasing distance to riparian zone. Pond age also appeared to be an important factor, but the effect varied among species. Although the results of this study demonstrate the potential value of retention ponds to anurans, it is important to be conservative in estimating the ability of these ponds to sustain amphibian populations in urbanized regions.", "author" : [ { "dropping-particle" : "", "family" : "Birx-Raybuck", "given" : "Devynn A.", "non-dropping-particle" : "", "parse-names" : false, "suffix" : "" }, { "dropping-particle" : "", "family" : "Price", "given" : "Steven J.", "non-dropping-particle" : "", "parse-names" : false, "suffix" : "" }, { "dropping-particle" : "", "family" : "Dorcas", "given" : "Michael E.", "non-dropping-particle" : "", "parse-names" : false, "suffix" : "" } ], "container-title" : "Urban Ecosystems", "id" : "ITEM-5", "issue" : "2", "issued" : { "date-parts" : [ [ "2010" ] ] }, "page" : "181-190", "title" : "Pond age and riparian zone proximity influence anuran occupancy of urban retention ponds", "type" : "article-journal", "volume" : "13" }, "uris" : [ "http://www.mendeley.com/documents/?uuid=ce4950fc-9ed6-4999-bdea-8473da0fea8d" ] }, { "id" : "ITEM-6", "itemData" : { "DOI" : "10.1111/j.1523-1739.2010.01570.x", "ISBN" : "0888-8892", "ISSN" : "08888892", "PMID" : "20735450", "abstract" : "Although amphibians have relatively high rates of road mortality in urban areas, the conditions under which traffic threatens the survival of local amphibian populations remain unclear. In the Sandhills region of North Carolina (U.S.A.), we counted living and dead amphibians along two transects (total length 165 km) established on roads in areas with varying degrees of urbanization. We found 2665 individuals of 15 species, and amphibian encounter rates declined sharply as traffic and urban development increased. Regression-tree models indicated that 35 amphibians/100 km occurred on roads with &lt;535 vehicles/day, whereas the encounter rate decreased to only 2 amphibians/100 km on roads with &gt;2048 vehicles/day. Although mortality rate peaked at higher traffic levels (47% dead on roads with &gt;5200 vehicles/day), the number of dead amphibians was highest at low levels of traffic. This suggests that areas where amphibian mortality is concentrated may actually contain the largest populations remaining on a given road transect.", "author" : [ { "dropping-particle" : "", "family" : "Sutherland", "given" : "Ronald W.", "non-dropping-particle" : "", "parse-names" : false, "suffix" : "" }, { "dropping-particle" : "", "family" : "Dunning", "given" : "Phillip R.", "non-dropping-particle" : "", "parse-names" : false, "suffix" : "" }, { "dropping-particle" : "", "family" : "Baker", "given" : "Whit M.", "non-dropping-particle" : "", "parse-names" : false, "suffix" : "" } ], "container-title" : "Conservation Biology", "id" : "ITEM-6", "issue" : "6", "issued" : { "date-parts" : [ [ "2010" ] ] }, "page" : "1626-1635", "title" : "Amphibian encounter rates on roads with different amounts of traffic and urbanization", "type" : "article-journal", "volume" : "24" }, "uris" : [ "http://www.mendeley.com/documents/?uuid=d49a0a1c-bbee-3f67-8a4f-2a3640dde8e7" ] }, { "id" : "ITEM-7", "itemData" : { "DOI" : "10.1007/s13157-011-0217-0", "ISBN" : "0277-5212", "ISSN" : "02775212", "abstract" : "The biodiversity values of temporary pools in tropical ecosystems are poorly understood. Such wetlands are often threatened by agriculture. Constructed pools provide a means to mitigate for loss of natural pools but design features associated with restoration successful are not known. In this paper, we evaluated the effects of environmental variables at local (breeding pools) and regional spatial scales (landscape configuration) on species richness and abundance of anurans in heavily altered landscapes of southeastern Brazil. Frog and toad communities of 18 constructed temporary breeding pools were sampled every 2 weeks from October 2008 to March 2009. Two variables-hydroperiod and percentage of vegetation in the interior of the pools-explained 62% of species richness variation. Three other variables-pool area, distance of pools to forest fragments, and distance of pools to road-explained between 22 and 46% of the variation in frog and toad abundance. Our results indicate that local- and regional-scale variables, and their interaction, are important drivers of the structure of frog and toad communities in these agricultural landscapes. To facilitate amphibian conservation we suggest that cattle ranchers create and maintain heavily vegetated temporary pools near protected forest reserves as both a water source for livestock and breeding habitat for amphibians.", "author" : [ { "dropping-particle" : "", "family" : "Silva", "given" : "Fernando Rodrigues", "non-dropping-particle" : "da", "parse-names" : false, "suffix" : "" }, { "dropping-particle" : "", "family" : "Gibbs", "given" : "James P.", "non-dropping-particle" : "", "parse-names" : false, "suffix" : "" }, { "dropping-particle" : "", "family" : "Rossa-Feres", "given" : "Denise Cerqueira", "non-dropping-particle" : "", "parse-names" : false, "suffix" : "" } ], "container-title" : "Wetlands", "id" : "ITEM-7", "issue" : "6", "issued" : { "date-parts" : [ [ "2011" ] ] }, "page" : "1079-1087", "title" : "Breeding habitat and landscape correlates of frog diversity and abundance in a tropical agricultural landscape", "type" : "article-journal", "volume" : "31" }, "uris" : [ "http://www.mendeley.com/documents/?uuid=a59aec77-0e44-4bb5-b1ad-40422213f26d" ] }, { "id" : "ITEM-8", "itemData" : { "DOI" : "10.1007/s10531-012-0252-z", "ISBN" : "0960-3115\\r1572-9710", "ISSN" : "09603115", "abstract" : "In the Neotropics, conversion of natural habitats into agricultural areas is occurring at a high rate, with consequent reduction of habitat complexity in anuran breeding ponds. Identifying features of farmland ponds that allow them to support a high diversity of species is fundamental for successful management and conservation policies and is especially important in Neotropical regions that harbor the highest anuran species richness in the world. Here, we aimed to investigate which environmental descriptors correlate the occurrence of anuran species in tropical farmland ponds in southeastern Brazil. We found that environmental descriptors reflecting the complexity of vegetation in farmland ponds primarily predict the diversity of anuran species in these habitats. Species richness was correlated mainly by vegetation height in the margin, with ponds that exhibit greater stratification harboring a larger number of species. Vegetation height in the interior of ponds, diversity of vegetation in the margin, pond area and hydroperiod were also important variables predicting the abundance of six of 10 anuran species analyzed. Our results show that features of farmland ponds representing increased habitat complexity are key factors in maintaining a high diversity of species, providing a greater variety of microhabitats, both in vertical and horizontal strata, and thus meeting diverse species- specific requirements.", "author" : [ { "dropping-particle" : "", "family" : "Silva", "given" : "Fernando Rodrigues", "non-dropping-particle" : "da", "parse-names" : false, "suffix" : "" }, { "dropping-particle" : "", "family" : "Candeira", "given" : "Carolina Panin", "non-dropping-particle" : "", "parse-names" : false, "suffix" : "" }, { "dropping-particle" : "", "family" : "Rossa-Feres", "given" : "Denise C.", "non-dropping-particle" : "", "parse-names" : false, "suffix" : "" } ], "container-title" : "Biodiversity and Conservation", "id" : "ITEM-8", "issue" : "6", "issued" : { "date-parts" : [ [ "2012" ] ] }, "page" : "1411-1424"</w:instrText>
      </w:r>
      <w:r w:rsidRPr="00A3137A">
        <w:rPr>
          <w:lang w:val="fr-FR"/>
        </w:rPr>
        <w:instrText>, "title" : "Dependence of anuran diversity on environmental descriptors in farmland ponds", "type" : "article-journal", "volume" : "21" }, "uris" : [ "http://www.mendeley.com/documents/?uuid=2287d86f-1995-43d7-ad91-0e475733047d" ] } ], "mendeley" : { "formattedCitation" : "(Birx-Raybuck, Price, &amp; Dorcas, 2010; Cushman, 2006; F. R. da Silva, Candeira, &amp; Rossa-Feres, 2012; F. R. da Silva, Gibbs, &amp; Rossa-Feres, 2011; Delis, Mushinsky, &amp; McCoy, 1996; Fahrig, 2003; Fahrig, Pedlar, Pope, Taylor, &amp; Wegner, 1995; R. W. Sutherland, Dunning, &amp; Baker, 2010)", "manualFormatting" : "(Birx-Raybuck et al., 2010; Cushman, 2006; da Silva et al., 2011, 2012; Delis et al., 1996; Fahrig, 2003; Fahrig et al., 1995; Sutherland, Dunning et al., 2010)", "plainTextFormattedCitation" : "(Birx-Raybuck, Price, &amp; Dorcas, 2010; Cushman, 2006; F. R. da Silva, Candeira, &amp; Rossa-Feres, 2012; F. R. da Silva, Gibbs, &amp; Rossa-Feres, 2011; Delis, Mushinsky, &amp; McCoy, 1996; Fahrig, 2003; Fahrig, Pedlar, Pope, Taylor, &amp; Wegner, 1995; R. W. Sutherland, Dunning, &amp; Baker, 2010)", "previouslyFormattedCitation" : "(Birx-Raybuck, Price, &amp; Dorcas, 2010; Cushman, 2006; F. R. da Silva, Candeira, &amp; Rossa-Feres, 2012; F. R. da Silva, Gibbs, &amp; Rossa-Feres, 2011; Delis, Mushinsky, &amp; McCoy, 1996; Fahrig, 2003; Fahrig, Pedlar, Pope, Taylor, &amp; Wegner, 1995; R. W. Sutherland, Dunning, &amp; Baker, 2010)" }, "properties" : { "noteIndex" : 0 }, "schema" : "https://github.com/citation-style-language/schema/raw/master/csl-citation.json" }</w:instrText>
      </w:r>
      <w:r w:rsidRPr="008608AA">
        <w:fldChar w:fldCharType="separate"/>
      </w:r>
      <w:r w:rsidRPr="00A3137A">
        <w:rPr>
          <w:noProof/>
          <w:lang w:val="fr-FR"/>
        </w:rPr>
        <w:t>(Birx-Raybuck et al., 2010; Cushman, 2006; da Silva et al., 2011, 2012; Delis et al., 1996; Fahrig, 2003; F</w:t>
      </w:r>
      <w:r w:rsidR="00916A08" w:rsidRPr="00A3137A">
        <w:rPr>
          <w:noProof/>
          <w:lang w:val="fr-FR"/>
        </w:rPr>
        <w:t xml:space="preserve">ahrig et al., 1995; Sutherland </w:t>
      </w:r>
      <w:r w:rsidRPr="00A3137A">
        <w:rPr>
          <w:noProof/>
          <w:lang w:val="fr-FR"/>
        </w:rPr>
        <w:t>et al., 2010)</w:t>
      </w:r>
      <w:r w:rsidRPr="008608AA">
        <w:fldChar w:fldCharType="end"/>
      </w:r>
      <w:r w:rsidRPr="00A3137A">
        <w:rPr>
          <w:lang w:val="fr-FR"/>
        </w:rPr>
        <w:t xml:space="preserve"> and changes in hydrodynamics </w:t>
      </w:r>
      <w:r w:rsidRPr="008608AA">
        <w:fldChar w:fldCharType="begin" w:fldLock="1"/>
      </w:r>
      <w:r w:rsidRPr="00A3137A">
        <w:rPr>
          <w:lang w:val="fr-FR"/>
        </w:rPr>
        <w:instrText>ADDIN CSL_CITATION { "citationItems" : [ { "id" : "ITEM-1", "itemData" : { "DOI" : "10.1016/j.biocon.2010.05.001", "ISBN" : "0006-3207", "ISSN" : "00063207", "abstract" : "Sufficient data have been collected to document negative effects of urbanization on many abiotic parameters, aquatic insects, and fish. Recently, stream-breeding salamanders have been observed to decrease in density in urban areas. We employed a two-step process to determine the mechanism(s) most likely responsible for salamander decline in disturbed streams. First, we conducted a 2-year survey of larval two-lined salamanders (Eurycea cirrigera) and abiotic variables among 12 streams in western Georgia, USA surrounded by land disturbed by urbanization and pasture. From these surveys we constructed hypotheses that might explain differences in observed larval salamander density among streams. A model in which increased watershed impervious surface causes an increase in spate (i.e., high water flow) frequency and magnitude, which then leads to decreased larval density had the most support. This analysis led to a second step in which we conducted an experiment using artificial streams lined with substrates commonly found in urban and forested streams (sand/sand with detritus and gravel-pebble/pebble-cobble, respectively). We placed</w:instrText>
      </w:r>
      <w:r w:rsidRPr="008608AA">
        <w:instrText xml:space="preserve"> salamander larvae in the artificial stream channels and subjected them to increasing water velocity. Larvae on sand-based substrates common to urban streams were flushed from the artificial stream at significantly lower velocities than larvae on rock-based substrates. The experimental data were consistent with the hypothesis generated from field sampling that high water velocities in urban streams result in decreased larval retention in streams. Our result emphasizes the need for upland habitat restoration in urban areas, which will reduce run-off and improve stream habitat quality. ?? 2010 Elsevier Ltd.", "author" : [ { "dropping-particle" : "", "family" : "Barrett", "given" : "Kyle", "non-dropping-particle" : "", "parse-names" : false, "suffix" : "" }, { "dropping-particle" : "", "family" : "Helms", "given" : "Brian S.", "non-dropping-particle" : "", "parse-names" : false, "suffix" : "" }, { "dropping-particle" : "", "family" : "Guyer", "given" : "Craig", "non-dropping-particle" : "", "parse-names" : false, "suffix" : "" }, { "dropping-particle" : "", "family" : "Schoonover", "given" : "Jon E.", "non-dropping-particle" : "", "parse-names" : false, "suffix" : "" } ], "container-title" : "Biological Conservation", "id" : "ITEM-1", "issued" : { "date-parts" : [ [ "2010" ] ] }, "page" : "1998-2005", "title" : "Linking process to pattern: Causes of stream-breeding amphibian decline in urbanized watersheds", "type" : "article-journal", "volume" : "143" }, "uris" : [ "http://www.mendeley.com/documents/?uuid=551aece9-56fb-3104-a1d7-3119c3d1b5e1" ] }, { "id" : "ITEM-2", "itemData" : { "DOI" : "10.1111/j.1523-1739.2012.01842.x", "ISBN" : "1523-1739", "ISSN" : "08888892", "PMID" : "22519586", "abstract" : "The natural flow regimes of rivers worldwide have been heavily altered through anthropogenic activities, and dams in particular have a pervasive effect on riverine ecosystems. Flow-regulation effects of dams negatively affect species diversity and abundance of a variety of aquatic animals, including invertebrates and fishes. However, the effects on semiaquatic animals are relatively unknown. We conducted anuran calling surveys at 42 study locations along the Broad and Pacolet Rivers in South Carolina to address the potential effects of flow regulation by damming on anuran occupancy and abundance. We estimated occupancy and abundance with Program PRESENCE. Models incorporated distance upstream and downstream from the nearest dam as covariates and urbanization pressure as an alternative stressor. Distance from dam was associated with occupancy of 2 of the 9 anuran species in our analyses and with abundance of 6 species. In all cases, distance downstream from nearest dam was a better predictor of occupancy and abundance than distance upstream from nearest dam. For all but one species, distance downstream from nearest dam was positively correlated with both occupancy and abundance. Reduced occupancy and abundance of anurans likely resulted from downstream alterations in flow regime associated with damming, which can lead to reduced area of riparian wetlands that serve as anuran breeding habitat. Our results showed that damming has a strong negative effect on multiple anuran species across large spatial extents and suggest that flow regulation can affect semiaquatic animals occupying riparian zones.", "author" : [ { "dropping-particle" : "", "family" : "Eskew", "given" : "Evan A.", "non-dropping-particle" : "", "parse-names" : false, "suffix" : "" }, { "dropping-particle" : "", "family" : "Price", "given" : "Steven J.", "non-dropping-particle" : "", "parse-names" : false, "suffix" : "" }, { "dropping-particle" : "", "family" : "Dorcas", "given" : "Michael E.", "non-dropping-particle" : "", "parse-names" : false, "suffix" : "" } ], "container-title" : "Conservation Biology", "id" : "ITEM-2", "issue" : "3", "issued" : { "date-parts" : [ [ "2012" ] ] }, "page" : "504-512", "title" : "Effects of river-flow regulation on anuran occupancy and abundance in riparian zones", "type" : "article-journal", "volume" : "26" }, "uris" : [ "http://www.mendeley.com/documents/?uuid=df6ef634-c742-4e46-acb5-1f2386ff65c4" ] }, { "id" : "ITEM-3", "itemData" : { "DOI" : "10.1111/j.1523-1739.2010.01627.x", "ISBN" : "1523-1739", "ISSN" : "08888892", "PMID" : "21175842", "abstract" : "Abstract: Urban development is the most common form of land conversion in the United States. Using a before\u2013after control-impact study design, we investigated the effects of urbanization on larval and adult stages of southern two-lined salamanders (Eurycea cirrigera) and northern dusky salamanders (Desmognathus fuscus). Over 5 years, we estimated changes in occupancy and probabilities of colonization and survival in 13 stream catchments after urbanization and in 17 catchments that were not urbanized. We also examined effects of proportion of urbanized area in a catchment and distance of the salamander population to the nearest stream on probabilities of colonization and survival. Before urbanization, adult and larval stages of the two salamander species occupied nearly all surveyed streams, with occupancy estimates ranging from 1.0 to 0.78. Four years after urbanization mean occupancy of larval and adult two-lined salamanders had decreased from 0.87 and 0.78 to 0.57 and 0.39, respectively. Estimates of mean occupancy of larval northern dusky salamanders decreased from 1.0 to 0.57 in urban streams 4 years after urbanization; however, adult northern dusky salamander occupancy remained close to 1.0 in urban streams over 5 years. Occupancy estimates in control streams were similar for each species and stage over 5 years. Urbanization was associated with decreases in survival probabilities of adult and larval two-lined salamanders and decreases in colonization probabilities of larval dusky salamanders. Nevertheless, proportion of impervious surface and distance to nearest stream had little effect on probabilities of survival and colonization. Our results imply that in the evaluation of the effects of urbanization on species, such as amphibians, with complex life cycles, consideration of the effects of urbanization on both adult and larval stages is required.", "author" : [ { "dropping-particle" : "", "family" : "Price", "given" : "Steven J.", "non-dropping-particle" : "", "parse-names" : false, "suffix" : "" }, { "dropping-particle" : "", "family" : "Cecala", "given" : "Kristen K.", "non-dropping-particle" : "", "parse-names" : false, "suffix" : "" }, { "dropping-particle" : "", "family" : "Browne", "given" : "Robert A.", "non-dropping-particle" : "", "parse-names" : false, "suffix" : "" }, { "dropping-particle" : "", "family" : "Dorcas", "given" : "Michael E.", "non-dropping-particle" : "", "parse-names" : false, "suffix" : "" } ], "container-title" : "Conservation Biology", "id" : "ITEM-3", "issue" : "3", "issued" : { "date-parts" : [ [ "2011" ] ] }, "page" : "547-555", "title" : "Effects of urbanization on occupancy of stream salamanders", "type" : "article-journal", "volume" : "25" }, "uris" : [ "http://www.mendeley.com/documents/?uuid=91f15576-10a7-3488-8176-e54bd365ebc3" ] } ], "mendeley" : { "formattedCitation" : "(Barrett, Helms, Guyer, &amp; Schoonover, 2010; Eskew, Price, &amp; Dorcas, 2012; Price, Cecala, Browne, &amp; Dorcas, 2011)", "manualFormatting" : "(Barrett et al., 2010; Eskew et al., 2012; Price et al., 2011)", "plainTextFormattedCitation" : "(Barrett, Helms, Guyer, &amp; Schoonover, 2010; Eskew, Price, &amp; Dorcas, 2012; Price, Cecala, Browne, &amp; Dorcas, 2011)", "previouslyFormattedCitation" : "(Barrett, Helms, Guyer, &amp; Schoonover, 2010; Eskew, Price, &amp; Dorcas, 2012; Price, Cecala, Browne, &amp; Dorcas, 2011)" }, "properties" : { "noteIndex" : 0 }, "schema" : "https://github.com/citation-style-language/schema/raw/master/csl-citation.json" }</w:instrText>
      </w:r>
      <w:r w:rsidRPr="008608AA">
        <w:fldChar w:fldCharType="separate"/>
      </w:r>
      <w:r w:rsidRPr="008608AA">
        <w:rPr>
          <w:noProof/>
        </w:rPr>
        <w:t>(Barrett et al., 2010; Eskew et al., 2012; Price et al., 2011)</w:t>
      </w:r>
      <w:r w:rsidRPr="008608AA">
        <w:fldChar w:fldCharType="end"/>
      </w:r>
      <w:r w:rsidRPr="008608AA">
        <w:t>.</w:t>
      </w:r>
    </w:p>
    <w:p w14:paraId="29C5F4FE" w14:textId="7585A956" w:rsidR="00FE65F2" w:rsidRPr="008608AA" w:rsidRDefault="00FF0580" w:rsidP="00FE65F2">
      <w:pPr>
        <w:spacing w:before="120" w:after="120"/>
        <w:jc w:val="center"/>
      </w:pPr>
      <w:r w:rsidRPr="008608AA">
        <w:rPr>
          <w:noProof/>
          <w:lang w:val="en-GB" w:eastAsia="en-GB"/>
        </w:rPr>
        <w:drawing>
          <wp:inline distT="0" distB="0" distL="0" distR="0" wp14:anchorId="3EEECF7E" wp14:editId="542DA356">
            <wp:extent cx="5934075" cy="2895600"/>
            <wp:effectExtent l="0" t="0" r="9525" b="0"/>
            <wp:docPr id="30318" name="Imagen 30318" descr="C:\Users\Alejandro Valderrama\Downloads\Fig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4" descr="C:\Users\Alejandro Valderrama\Downloads\Fig3.14.jpg"/>
                    <pic:cNvPicPr>
                      <a:picLocks noChangeAspect="1" noChangeArrowheads="1"/>
                    </pic:cNvPicPr>
                  </pic:nvPicPr>
                  <pic:blipFill rotWithShape="1">
                    <a:blip r:embed="rId129">
                      <a:extLst>
                        <a:ext uri="{28A0092B-C50C-407E-A947-70E740481C1C}">
                          <a14:useLocalDpi xmlns:a14="http://schemas.microsoft.com/office/drawing/2010/main" val="0"/>
                        </a:ext>
                      </a:extLst>
                    </a:blip>
                    <a:srcRect b="66147"/>
                    <a:stretch/>
                  </pic:blipFill>
                  <pic:spPr bwMode="auto">
                    <a:xfrm>
                      <a:off x="0" y="0"/>
                      <a:ext cx="5934075" cy="2895600"/>
                    </a:xfrm>
                    <a:prstGeom prst="rect">
                      <a:avLst/>
                    </a:prstGeom>
                    <a:noFill/>
                    <a:ln>
                      <a:noFill/>
                    </a:ln>
                    <a:extLst>
                      <a:ext uri="{53640926-AAD7-44D8-BBD7-CCE9431645EC}">
                        <a14:shadowObscured xmlns:a14="http://schemas.microsoft.com/office/drawing/2010/main"/>
                      </a:ext>
                    </a:extLst>
                  </pic:spPr>
                </pic:pic>
              </a:graphicData>
            </a:graphic>
          </wp:inline>
        </w:drawing>
      </w:r>
    </w:p>
    <w:p w14:paraId="2A547922" w14:textId="77777777" w:rsidR="00FE65F2" w:rsidRPr="008608AA" w:rsidRDefault="00FE65F2" w:rsidP="00ED6262">
      <w:pPr>
        <w:spacing w:before="120" w:after="120"/>
      </w:pPr>
    </w:p>
    <w:p w14:paraId="50462DE9" w14:textId="4616336F" w:rsidR="004255E7" w:rsidRPr="008608AA" w:rsidRDefault="004255E7" w:rsidP="00FE65F2">
      <w:pPr>
        <w:spacing w:before="120" w:after="120"/>
      </w:pPr>
      <w:r w:rsidRPr="008608AA">
        <w:t>Long-term data on biodiversity in cities of the Americas still tends to be limited and fragmented. In the USA, two urban Long-Term Ecolog</w:t>
      </w:r>
      <w:r w:rsidR="00ED6262" w:rsidRPr="008608AA">
        <w:t>ical Research sites (Baltimore and</w:t>
      </w:r>
      <w:r w:rsidRPr="008608AA">
        <w:t xml:space="preserve"> Phoenix) have been established to gather social and ecological data </w:t>
      </w:r>
      <w:r w:rsidRPr="008608AA">
        <w:fldChar w:fldCharType="begin" w:fldLock="1"/>
      </w:r>
      <w:r w:rsidRPr="008608AA">
        <w:instrText>ADDIN CSL_CITATION { "citationItems" : [ { "id" : "ITEM-1", "itemData" : { "DOI" : "10.1007/s10021-003-0215-z", "abstract" : "The integration of the social sciences into long-term ecological research is an urgent priority. To address this need, a group of social, earth, and life scientists associated with the National Science Foundation\u2019s (NSF) Long-Term Ecological Research (LTER) Network have articulated a conceptual framework for understanding the human dimensions of ecological change for the LTER Network. This framework explicitly advocates that what is often divided into \u201cnatural\u201d and human systems be considered a single, complex social-ecological system (SES). In this paper, we propose a list of core social science research areas, concepts, and questions; identify the need for multiscale investigatory frameworks crucial for implementing integrated research; and suggest practical approaches for integration. In sum, this paper is a general outline for empirical and cross-site research projects where investigators agree that bringing together social, biological, and earth scientists can lead to synthetic approaches and a unified understanding of the mechanisms regulating SES. Although the motivation for this goal is specific to the LTER Network and similar projects, we believe that the issues and ideas presented here are widely applicable to other interdisciplinary SES studies.", "author" : [ { "dropping-particle" : "", "family" : "Redman", "given" : "C.L.", "non-dropping-particle" : "", "parse-names" : false, "suffix" : "" }, { "dropping-particle" : "", "family" : "Grove", "given" : "J.M.", "non-dropping-particle" : "", "parse-names" : false, "suffix" : "" }, { "dropping-particle" : "", "family" : "Kuby", "given" : "L.H.", "non-dropping-particle" : "", "parse-names" : false, "suffix" : "" } ], "container-title" : "Ecosystems", "id" : "ITEM-1", "issue" : "2", "issued" : { "date-parts" : [ [ "2004" ] ] }, "page" : "161-171", "title" : "Integrating social science into the long-term ecological research (LTER) network: social dimensions of ecological change and ecological dimensions of social change", "type" : "article-journal", "volume" : "7" }, "uris" : [ "http://www.mendeley.com/documents/?uuid=babe0fbf-14d6-4c34-8d4d-5e76d5383711" ] } ], "mendeley" : { "formattedCitation" : "(Redman, Grove, &amp; Kuby, 2004)", "manualFormatting" : "(Redman et al., 2004)", "plainTextFormattedCitation" : "(Redman, Grove, &amp; Kuby, 2004)", "previouslyFormattedCitation" : "(Redman, Grove, &amp; Kuby, 2004)" }, "properties" : { "noteIndex" : 0 }, "schema" : "https://github.com/citation-style-language/schema/raw/master/csl-citation.json" }</w:instrText>
      </w:r>
      <w:r w:rsidRPr="008608AA">
        <w:fldChar w:fldCharType="separate"/>
      </w:r>
      <w:r w:rsidRPr="008608AA">
        <w:rPr>
          <w:noProof/>
        </w:rPr>
        <w:t>(Redman et al., 2004)</w:t>
      </w:r>
      <w:r w:rsidRPr="008608AA">
        <w:fldChar w:fldCharType="end"/>
      </w:r>
      <w:r w:rsidRPr="008608AA">
        <w:t xml:space="preserve">. Such Long-Term Ecological Research sites are valuable for the purpose of comparative international research on urban socio-ecological systems and their links to decision-making. The City Biodiversity Index </w:t>
      </w:r>
      <w:r w:rsidRPr="008608AA">
        <w:fldChar w:fldCharType="begin" w:fldLock="1"/>
      </w:r>
      <w:r w:rsidRPr="008608AA">
        <w:instrText>ADDIN CSL_CITATION { "citationItems" : [ { "id" : "ITEM-1", "itemData" : { "URL" : "http://www.cbd.int/authorities/gettinginvolved/cbi.shtml", "id" : "ITEM-1", "issued" : { "date-parts" : [ [ "0" ] ] }, "title" : "Singapore Index", "type" : "webpage" }, "uris" : [ "http://www.mendeley.com/documents/?uuid=b64e511f-028f-43aa-af66-8fd3e47b3f98", "http://www.mendeley.com/documents/?uuid=4b3df038-8203-4520-a00b-e0e8271400aa" ] } ], "mendeley" : { "formattedCitation" : "(\u201cSingapore Index,\u201d n.d.)", "manualFormatting" : "(\u201cSingapore Index\u201d)", "plainTextFormattedCitation" : "(\u201cSingapore Index,\u201d n.d.)", "previouslyFormattedCitation" : "(\u201cSingapore Index,\u201d n.d.)" }, "properties" : { "noteIndex" : 0 }, "schema" : "https://github.com/citation-style-language/schema/raw/master/csl-citation.json" }</w:instrText>
      </w:r>
      <w:r w:rsidRPr="008608AA">
        <w:fldChar w:fldCharType="separate"/>
      </w:r>
      <w:r w:rsidRPr="008608AA">
        <w:rPr>
          <w:noProof/>
        </w:rPr>
        <w:t>(“Singapore Index”)</w:t>
      </w:r>
      <w:r w:rsidRPr="008608AA">
        <w:fldChar w:fldCharType="end"/>
      </w:r>
      <w:r w:rsidRPr="008608AA">
        <w:t xml:space="preserve">, which integrates biodiversity data, has been widely used in South East Asia to assess the role of cities in conserving biodiversity. This, or some similar index, could be adapted for use in the Americas. </w:t>
      </w:r>
    </w:p>
    <w:p w14:paraId="3B921237" w14:textId="77777777" w:rsidR="00FE65F2" w:rsidRPr="008608AA" w:rsidRDefault="00FE65F2" w:rsidP="00FE65F2">
      <w:pPr>
        <w:spacing w:before="120" w:after="120"/>
      </w:pPr>
    </w:p>
    <w:p w14:paraId="2F5C1458" w14:textId="6EDA0896" w:rsidR="004255E7" w:rsidRDefault="004255E7" w:rsidP="00FE65F2">
      <w:pPr>
        <w:pStyle w:val="Heading3"/>
        <w:rPr>
          <w:lang w:val="en-US"/>
        </w:rPr>
      </w:pPr>
      <w:bookmarkStart w:id="1038" w:name="_Toc502927353"/>
      <w:bookmarkStart w:id="1039" w:name="_Toc502951172"/>
      <w:bookmarkStart w:id="1040" w:name="_Toc502953615"/>
      <w:bookmarkStart w:id="1041" w:name="_Toc502954908"/>
      <w:bookmarkStart w:id="1042" w:name="_Toc502957715"/>
      <w:bookmarkStart w:id="1043" w:name="_Toc502957914"/>
      <w:bookmarkStart w:id="1044" w:name="_Toc502958068"/>
      <w:bookmarkStart w:id="1045" w:name="_Toc503293116"/>
      <w:bookmarkStart w:id="1046" w:name="_Toc503293714"/>
      <w:bookmarkStart w:id="1047" w:name="_Toc503293976"/>
      <w:bookmarkStart w:id="1048" w:name="_Toc503863369"/>
      <w:bookmarkStart w:id="1049" w:name="_Toc503863597"/>
      <w:bookmarkStart w:id="1050" w:name="_Toc517393307"/>
      <w:bookmarkStart w:id="1051" w:name="_Toc517719048"/>
      <w:bookmarkStart w:id="1052" w:name="_Toc517797005"/>
      <w:r w:rsidRPr="008608AA">
        <w:rPr>
          <w:lang w:val="en-US"/>
        </w:rPr>
        <w:t xml:space="preserve">Status and trends of biodiversity in agricultural, silvicultural and aquacultural anthropogenic </w:t>
      </w:r>
      <w:r w:rsidRPr="008608AA">
        <w:t>systems</w:t>
      </w:r>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r w:rsidRPr="008608AA">
        <w:rPr>
          <w:lang w:val="en-US"/>
        </w:rPr>
        <w:t xml:space="preserve"> </w:t>
      </w:r>
    </w:p>
    <w:p w14:paraId="3D886278" w14:textId="77777777" w:rsidR="00843724" w:rsidRPr="00843724" w:rsidRDefault="00843724" w:rsidP="00843724">
      <w:pPr>
        <w:rPr>
          <w:lang w:eastAsia="es-CO"/>
        </w:rPr>
      </w:pPr>
    </w:p>
    <w:p w14:paraId="7A853F7E" w14:textId="0775C540" w:rsidR="004255E7" w:rsidRPr="008608AA" w:rsidRDefault="004255E7" w:rsidP="00FE65F2">
      <w:pPr>
        <w:spacing w:after="120"/>
      </w:pPr>
      <w:r w:rsidRPr="008608AA">
        <w:t xml:space="preserve">European colonization simplified agricultural systems and landscapes across the Americas, reducing crop diversity, marginalizing several native crops and eroding knowledge associated with traditional farming practices </w:t>
      </w:r>
      <w:r w:rsidRPr="008608AA">
        <w:fldChar w:fldCharType="begin" w:fldLock="1"/>
      </w:r>
      <w:r w:rsidRPr="008608AA">
        <w:instrText>ADDIN CSL_CITATION { "citationItems" : [ { "id" : "ITEM-1", "itemData" : { "author" : [ { "dropping-particle" : "", "family" : "Winograd", "given" : "Manuel", "non-dropping-particle" : "", "parse-names" : false, "suffix" : "" }, { "dropping-particle" : "", "family" : "Farrow", "given" : "Andrew", "non-dropping-particle" : "", "parse-names" : false, "suffix" : "" }, { "dropping-particle" : "", "family" : "Aguilar", "given" : "Marta", "non-dropping-particle" : "", "parse-names" : false, "suffix" : "" }, { "dropping-particle" : "", "family" : "Clavijo", "given" : "Luz Amira", "non-dropping-particle" : "", "parse-names" : false, "suffix" : "" }, { "dropping-particle" : "", "family" : "Debouck", "given" : "Daniel G.", "non-dropping-particle" : "", "parse-names" : false, "suffix" : "" }, { "dropping-particle" : "", "family" : "Jones", "given" : "Peter G.", "non-dropping-particle" : "", "parse-names" : false, "suffix" : "" }, { "dropping-particle" : "", "family" : "Hyman", "given" : "Glenn", "non-dropping-particle" : "", "parse-names" : false, "suffix" : "" }, { "dropping-particle" : "", "family" : "Lema", "given" : "Germ\u00e1n", "non-dropping-particle" : "", "parse-names" : false, "suffix" : "" }, { "dropping-particle" : "", "family" : "Nelson", "given" : "Andrew N.", "non-dropping-particle" : "", "parse-names" : false, "suffix" : "" }, { "dropping-particle" : "", "family" : "Holmann", "given" : "Federico Jos\u00e9", "non-dropping-particle" : "", "parse-names" : false, "suffix" : "" }, { "dropping-particle" : "", "family" : "Tohme", "given" : "M.J.", "non-dropping-particle" : "", "parse-names" : false, "suffix" : "" }, { "dropping-particle" : "", "family" : "Toro", "given" : "C.O.", "non-dropping-particle" : "", "parse-names" : false, "suffix" : "" }, { "dropping-particle" : "", "family" : "Voyset", "given" : "V.O.", "non-dropping-particle" : "", "parse-names" : false, "suffix" : "" } ], "id" : "ITEM-1", "issued" : { "date-parts" : [ [ "1999" ] ] }, "publisher" : "Centro Internacional de Agricultura Tropical (CIAT)", "publisher-place" : "Cali, Colombia", "title" : "Agroecosystem Assessment for Latin America: Agriculture Extent, Production Systems and Agrobiodiversity", "type" : "book" }, "uris" : [ "http://www.mendeley.com/documents/?uuid=078eb3b0-e3bd-4b42-a337-4d8979a0285b" ] }, { "id" : "ITEM-2", "itemData" : { "DOI" : "https://doi.org/10.1007/s10531-010-9919-5", "ISBN" : "0960-3115", "ISSN" : "09603115", "abstract" : "Over the last two decades, the importance of conserving genetic resources has received increasing attention. In this context the role of home gardens as repositories of biological diversity has been acknowledged but still a comprehensive, interdisciplinary investigation of their agro-biodiversity is lacking. Home gardens, whether found in rural or urban areas, are characterized by a structural complexity and multifunctionality which enables the provision of different benefits to ecosystems and people. Studies carried out in various countries demonstrate that high levels of inter- and intra-specific plant genetic diversity, especially in terms of traditional crop varieties and landraces, are preserved in home gardens. Families engage in food production for subsistence or small-scale marketing and the variety of crops and wild plants provides nutritional benefits. At the same time, home gardens are important social and cultural spaces where knowledge related to agricultural practices is transmitted and through which households may improve their income and livelihoods. The present article summarizes available literature on the biological and cultural significance of agro-biodiversity in home gardens. It discusses future constraints and opportunities in home garden research, in the prospect of defining and promoting their role in conservation of agricultural biodiversity and cultural heritage.", "author" : [ { "dropping-particle" : "", "family" : "Galluzzi", "given" : "Gea", "non-dropping-particle" : "", "parse-names" : false, "suffix" : "" }, { "dropping-particle" : "", "family" : "Eyzaguirre", "given" : "Pablo", "non-dropping-particle" : "", "parse-names" : false, "suffix" : "" }, { "dropping-particle" : "", "family" : "Negri", "given" : "Valeria", "non-dropping-particle" : "", "parse-names" : false, "suffix" : "" } ], "container-title" : "Biodiversity and Conservation", "id" : "ITEM-2", "issue" : "13", "issued" : { "date-parts" : [ [ "2010" ] ] }, "page" : "3635-3654", "title" : "Home gardens: Neglected hotspots of agro-biodiversity and cultural diversity", "type" : "article-journal", "volume" : "19" }, "uris" : [ "http://www.mendeley.com/documents/?uuid=d6a66269-e910-44ef-8b31-13bde3e208df" ] }, { "id" : "ITEM-3", "itemData" : { "DOI" : "10.5751/ES-05035-170440", "ISBN" : "1708-3087", "ISSN" : "17083087", "PMID" : "776", "abstract" : "agricultural food production; agricultural intensification; agrobiodiversity; agroecology; biodiversity; conventional agriculture; conventional farming systems; diversified farming systems; ecosystem services; land-sharing; land-sparing; organic agriculture; sustainable agriculture; sustainable intensification", "author" : [ { "dropping-particle" : "", "family" : "Kremen", "given" : "Claire", "non-dropping-particle" : "", "parse-names" : false, "suffix" : "" }, { "dropping-particle" : "", "family" : "Miles", "given" : "Albie", "non-dropping-particle" : "", "parse-names" : false, "suffix" : "" } ], "container-title" : "Ecology and Society", "id" : "ITEM-3", "issue" : "4", "issued" : { "date-parts" : [ [ "2012" ] ] }, "page" : "40", "title" : "Ecosystem services in biologically diversified versus conventional farming systems: benefits, externalities, and trade-offs", "type" : "article-journal", "volume" : "17" }, "uris" : [ "http://www.mendeley.com/documents/?uuid=a8773412-559c-30a5-a86f-cdfed1a68445" ] }, { "id" : "ITEM-4", "itemData" : { "author" : [ { "dropping-particle" : "", "family" : "Galluzzi", "given" : "Gea", "non-dropping-particle" : "", "parse-names" : false, "suffix" : "" }, { "dropping-particle" : "", "family" : "L\u00f3pez Noriega", "given" : "Isabel", "non-dropping-particle" : "", "parse-names" : false, "suffix" : "" } ], "container-title" : "Sustainability", "id" : "ITEM-4", "issue" : "2", "issued" : { "date-parts" : [ [ "2014" ] ] }, "page" : "980-1017", "title" : "Conservation and use of genetic resources of underutilized crops in the Americas\u2014a continental analysis", "type" : "article-journal", "volume" : "6" }, "uris" : [ "http://www.mendeley.com/documents/?uuid=81d287e5-d9e4-45b7-b349-00dbfe9b4fd7" ] }, { "id" : "ITEM-5", "itemData" : { "DOI" : "10.1073/pnas.1313490111", "ISBN" : "1091-6490 (Electronic) 0027-8424 (Linking)", "ISSN" : "1091-6490", "PMID" : "24591623", "abstract" : "The narrowing of diversity in crop species contributing to the world's food supplies has been considered a potential threat to food security. However, changes in this diversity have not been quantified globally. We assess trends over the past 50 y in the richness, abundance, and composition of crop species in national food supplies worldwide. Over this period, national per capita food supplies expanded in total quantities of food calories, protein, fat, and weight, with increased proportions of those quantities sourcing from energy-dense foods. At the same time the number of measured crop commodities contributing to national food supplies increased, the relative contribution of these commodities within these supplies became more even, and the dominance of the most significant commodities decreased. As a consequence, national food supplies worldwide became more similar in composition, correlated particularly with an increased supply of a number of globally important cereal and oil crops, and a decline of other cereal, oil, and starchy root species. The increase in homogeneity worldwide portends the establishment of a global standard food supply, which is relatively species-rich in regard to measured crops at the national level, but species-poor globally. These changes in food supplies heighten interdependence among countries in regard to availability and access to these food sources and the genetic resources supporting their production, and give further urgency to nutrition development priorities aimed at bolstering food security.", "author" : [ { "dropping-particle" : "", "family" : "Khoury", "given" : "Colin K.", "non-dropping-particle" : "", "parse-names" : false, "suffix" : "" }, { "dropping-particle" : "", "family" : "Bjorkman", "given" : "Anne D.", "non-dropping-particle" : "", "parse-names" : false, "suffix" : "" }, { "dropping-particle" : "", "family" : "Dempewolf", "given" : "Hannes", "non-dropping-particle" : "", "parse-names" : false, "suffix" : "" }, { "dropping-particle" : "", "family" : "Ramirez-Villegas", "given" : "Julian", "non-dropping-particle" : "", "parse-names" : false, "suffix" : "" }, { "dropping-particle" : "", "family" : "Guarino", "given" : "Luigi", "non-dropping-particle" : "", "parse-names" : false, "suffix" : "" }, { "dropping-particle" : "", "family" : "Jarvis", "given" : "Andy", "non-dropping-particle" : "", "parse-names" : false, "suffix" : "" }, { "dropping-particle" : "", "family" : "Rieseberg", "given" : "Loren H.", "non-dropping-particle" : "", "parse-names" : false, "suffix" : "" }, { "dropping-particle" : "", "family" : "Struik", "given" : "Paul C.", "non-dropping-particle" : "", "parse-names" : false, "suffix" : "" } ], "container-title" : "PNAS", "id" : "ITEM-5", "issue" : "11", "issued" : { "date-parts" : [ [ "2014" ] ] }, "page" : "4001-4006", "title" : "Increasing homogeneity in global food supplies and the implications for food security", "type" : "article-journal", "volume" : "111" }, "uris" : [ "http://www.mendeley.com/documents/?uuid=9b7e81f4-f708-4676-924e-484ff7e52f0a" ] } ], "mendeley" : { "formattedCitation" : "(Galluzzi et al., 2010; Galluzzi &amp; L\u00f3pez Noriega, 2014; Khoury et al., 2014; Kremen &amp; Miles, 2012; Winograd et al., 1999)", "manualFormatting" : "(Galluzzi et al., 2010; Galluzzi &amp; L\u00f3pez Noriega, 2014; Khoury et al., 2014; Kremen &amp; Miles, 2012; Winograd et al., 1999)", "plainTextFormattedCitation" : "(Galluzzi et al., 2010; Galluzzi &amp; L\u00f3pez Noriega, 2014; Khoury et al., 2014; Kremen &amp; Miles, 2012; Winograd et al., 1999)", "previouslyFormattedCitation" : "(Galluzzi et al., 2010; Galluzzi &amp; L\u00f3pez Noriega, 2014; Khoury et al., 2014; Kremen &amp; Miles, 2012; Winograd et al., 1999)" }, "properties" : { "noteIndex" : 0 }, "schema" : "https://github.com/citation-style-language/schema/raw/master/csl-citation.json" }</w:instrText>
      </w:r>
      <w:r w:rsidRPr="008608AA">
        <w:fldChar w:fldCharType="separate"/>
      </w:r>
      <w:r w:rsidRPr="008608AA">
        <w:rPr>
          <w:noProof/>
        </w:rPr>
        <w:t>(Galluzzi et al., 2010; Galluzzi &amp; López Noriega, 2014; Khoury et al., 2014; Kremen &amp; Miles, 2012; Winograd et al., 1999)</w:t>
      </w:r>
      <w:r w:rsidRPr="008608AA">
        <w:fldChar w:fldCharType="end"/>
      </w:r>
      <w:r w:rsidRPr="008608AA">
        <w:t xml:space="preserve">. As a consequence, large amounts of land in the Americas are today devoted to intensive cropping and forestry (c.f., </w:t>
      </w:r>
      <w:r w:rsidRPr="008608AA">
        <w:rPr>
          <w:noProof/>
        </w:rPr>
        <w:t xml:space="preserve">Beddow et al., </w:t>
      </w:r>
      <w:r w:rsidRPr="008608AA">
        <w:rPr>
          <w:noProof/>
        </w:rPr>
        <w:fldChar w:fldCharType="begin" w:fldLock="1"/>
      </w:r>
      <w:r w:rsidRPr="008608AA">
        <w:rPr>
          <w:noProof/>
        </w:rPr>
        <w:instrText>ADDIN CSL_CITATION { "citationItems" : [ { "id" : "ITEM-1", "itemData" : { "author" : [ { "dropping-particle" : "", "family" : "Beddow", "given" : "J.M.", "non-dropping-particle" : "", "parse-names" : false, "suffix" : "" }, { "dropping-particle" : "", "family" : "Pardey", "given" : "P.G.", "non-dropping-particle" : "", "parse-names" : false, "suffix" : "" }, { "dropping-particle" : "", "family" : "Koo", "given" : "J.", "non-dropping-particle" : "", "parse-names" : false, "suffix" : "" }, { "dropping-particle" : "", "family" : "Wood", "given" : "S.", "non-dropping-particle" : "", "parse-names" : false, "suffix" : "" } ], "container-title" : "The Shifting Patterns of Agricultural Production and Productivity Worldwide", "editor" : [ { "dropping-particle" : "", "family" : "Alston", "given" : "Julian M.", "non-dropping-particle" : "", "parse-names" : false, "suffix" : "" }, { "dropping-particle" : "", "family" : "Babcock", "given" : "Bruce A.", "non-dropping-particle" : "", "parse-names" : false, "suffix" : "" }, { "dropping-particle" : "", "family" : "Pardey", "given" : "Philip G.", "non-dropping-particle" : "", "parse-names" : false, "suffix" : "" } ], "id" : "ITEM-1", "issued" : { "date-parts" : [ [ "2010" ] ] }, "publisher" : "Iowa State University, The Midwest Agribusiness Trade Research and Information Center (MATRIC)", "publisher-place" : "Ames, USA", "title" : "The changing landscape of global agriculture", "type" : "chapter" }, "uris" : [ "http://www.mendeley.com/documents/?uuid=601f9677-9df3-4911-b67d-6ff50eede496" ] } ], "mendeley" : { "formattedCitation" : "(Beddow, Pardey, Koo, &amp; Wood, 2010)", "manualFormatting" : "2010", "plainTextFormattedCitation" : "(Beddow, Pardey, Koo, &amp; Wood, 2010)", "previouslyFormattedCitation" : "(Beddow, Pardey, Koo, &amp; Wood, 2010)" }, "properties" : { "noteIndex" : 0 }, "schema" : "https://github.com/citation-style-language/schema/raw/master/csl-citation.json" }</w:instrText>
      </w:r>
      <w:r w:rsidRPr="008608AA">
        <w:rPr>
          <w:noProof/>
        </w:rPr>
        <w:fldChar w:fldCharType="separate"/>
      </w:r>
      <w:r w:rsidRPr="008608AA">
        <w:rPr>
          <w:noProof/>
        </w:rPr>
        <w:t>2010</w:t>
      </w:r>
      <w:r w:rsidRPr="008608AA">
        <w:rPr>
          <w:noProof/>
        </w:rPr>
        <w:fldChar w:fldCharType="end"/>
      </w:r>
      <w:r w:rsidRPr="008608AA">
        <w:rPr>
          <w:noProof/>
        </w:rPr>
        <w:t>)</w:t>
      </w:r>
      <w:r w:rsidRPr="008608AA">
        <w:t xml:space="preserve">. Conversion of land from natural systems to crop production and agriculture has important impacts on habitat for biodiversity and differs by biome </w:t>
      </w:r>
      <w:r w:rsidRPr="008608AA">
        <w:fldChar w:fldCharType="begin" w:fldLock="1"/>
      </w:r>
      <w:r w:rsidRPr="008608AA">
        <w:instrText>ADDIN CSL_CITATION { "citationItems" : [ { "id" : "ITEM-1", "itemData" : { "URL" : "http://sedac.ciesin.columbia.edu/data/set/aglands-pastures-2000", "author" : [ { "dropping-particle" : "", "family" : "Ramankutty", "given" : "N.", "non-dropping-particle" : "", "parse-names" : false, "suffix" : "" }, { "dropping-particle" : "", "family" : "Evan", "given" : "A.T.", "non-dropping-particle" : "", "parse-names" : false, "suffix" : "" }, { "dropping-particle" : "", "family" : "Monfreda", "given" : "C.", "non-dropping-particle" : "", "parse-names" : false, "suffix" : "" }, { "dropping-particle" : "", "family" : "Foley", "given" : "J.A.", "non-dropping-particle" : "", "parse-names" : false, "suffix" : "" } ], "id" : "ITEM-1", "issued" : { "date-parts" : [ [ "2010" ] ] }, "title" : "Global Agricultural Lands: Pastures, 2000 Palisades, NY: NASA Socioeconomic Data and Applications Center (SEDAC)", "type" : "webpage" }, "uris" : [ "http://www.mendeley.com/documents/?uuid=630bf4dd-8dea-4876-b991-c9ff361577d0" ] } ], "mendeley" : { "formattedCitation" : "(N. Ramankutty, Evan, Monfreda, &amp; Foley, 2010)", "manualFormatting" : "(Ramankutty et al., 2010)", "plainTextFormattedCitation" : "(N. Ramankutty, Evan, Monfreda, &amp; Foley, 2010)", "previouslyFormattedCitation" : "(N. Ramankutty, Evan, Monfreda, &amp; Foley, 2010)" }, "properties" : { "noteIndex" : 0 }, "schema" : "https://github.com/citation-style-language/schema/raw/master/csl-citation.json" }</w:instrText>
      </w:r>
      <w:r w:rsidRPr="008608AA">
        <w:fldChar w:fldCharType="separate"/>
      </w:r>
      <w:r w:rsidRPr="008608AA">
        <w:rPr>
          <w:noProof/>
        </w:rPr>
        <w:t>(Ramankutty et al., 2010)</w:t>
      </w:r>
      <w:r w:rsidRPr="008608AA">
        <w:fldChar w:fldCharType="end"/>
      </w:r>
      <w:r w:rsidRPr="008608AA">
        <w:t xml:space="preserve"> and type of farming system. </w:t>
      </w:r>
      <w:r w:rsidR="005C030B" w:rsidRPr="008608AA">
        <w:t xml:space="preserve">For Latin America, expansion of pastures is the main cause of habitat loss and is responsible for more than two-thirds of deforestation in the Amazon region, with agrofuel and fodder (soybean) monocultures also adding pressure to forests </w:t>
      </w:r>
      <w:r w:rsidR="005C030B" w:rsidRPr="008608AA">
        <w:fldChar w:fldCharType="begin" w:fldLock="1"/>
      </w:r>
      <w:r w:rsidR="005C030B" w:rsidRPr="008608AA">
        <w:instrText>ADDIN CSL_CITATION { "citationItems" : [ { "id" : "ITEM-1", "itemData" : { "DOI" : "10.1177/0270467609333728", "ISBN" : "0270-4676", "author" : [ { "dropping-particle" : "", "family" : "Altieri", "given" : "M.A.", "non-dropping-particle" : "", "parse-names" : false, "suffix" : "" } ], "container-title" : "Bulletin of Science, Technology &amp; Society", "id" : "ITEM-1", "issue" : "3", "issued" : { "date-parts" : [ [ "2009" ] ] }, "page" : "236-244", "title" : "The ecological impacts of large-scale agrofuel monoculture production systems in the Americas", "type" : "article-journal", "volume" : "29" }, "uris" : [ "http://www.mendeley.com/documents/?uuid=b22c0d6b-3737-4c00-9dbf-18d4db1885ac" ] }, { "id" : "ITEM-2", "itemData" : { "DOI" : "10.3390/f2010001", "author" : [ { "dropping-particle" : "", "family" : "Pacheco", "given" : "Pablo", "non-dropping-particle" : "", "parse-names" : false, "suffix" : "" }, { "dropping-particl</w:instrText>
      </w:r>
      <w:r w:rsidR="005C030B" w:rsidRPr="002365C4">
        <w:rPr>
          <w:lang w:val="fr-FR"/>
        </w:rPr>
        <w:instrText>e" : "", "family" : "Aguilar-St\u00f8en", "given" : "Mariel", "non-dropping-particle" : "", "parse-names" : false, "suffix" : "" }, { "dropping-particle" : "", "family" : "B\u00f6rner", "given" : "Jan", "non-dropping-particle" : "", "parse-names" : false, "suffix" : "" }, { "dropping-particle" : "", "family" : "Etter", "given" :</w:instrText>
      </w:r>
      <w:r w:rsidR="005C030B" w:rsidRPr="00A3137A">
        <w:rPr>
          <w:lang w:val="fr-FR"/>
        </w:rPr>
        <w:instrText xml:space="preserve"> "Andres", "non-dropping-particle" : "", "parse-names" : false, "suffix" : "" }, { "dropping-particle" : "", "family" : "Putzel", "given" : "Louis", "non-dropping-particle" : "", "parse-names" : false, "suffix" : "" }, { "dropping-particle" : "", "family" : "Vera Diaz", "given" : "Maria del Carmen", "non-dropping-particle" : "", "parse-names" : false, "suffix" : "" } ], "container-title" : "Forests", "id" : "ITEM-2", "issue" : "1", "issued" : { "date-parts" : [ [ "2011" ] ] }, "page" : "1-29", "title" : "Landscape transformation in tropical Latin America: assessing trends and policy implications for REDD+", "type" : "article-journal", "volume" : "2" }, "uris" : [ "http://www.mendeley.com/documents/?uuid=7150426a-ea59-49fe-a8e5-928e24b339c6" ] } ], "mendeley" : { "formattedCitation" : "(Altieri 2009, Pacheco et al. 2011)", "manualFormatting" : "(Altieri, 2009; Pacheco et al., 2011; ", "plainTextFormattedCitation" : "(Altieri 2009, Pacheco et al. 2011)", "previouslyFormattedCitation" : "(Altieri 2009, Pacheco et al. 2011)" }, "properties" : { "noteIndex" : 0 }, "schema" : "https://github.com/citation-style-language/schema/raw/master/csl-citation.json" }</w:instrText>
      </w:r>
      <w:r w:rsidR="005C030B" w:rsidRPr="008608AA">
        <w:fldChar w:fldCharType="separate"/>
      </w:r>
      <w:r w:rsidR="005C030B" w:rsidRPr="00A3137A">
        <w:rPr>
          <w:noProof/>
          <w:lang w:val="fr-FR"/>
        </w:rPr>
        <w:t xml:space="preserve">(Altieri, 2009; Pacheco et al., 2011; </w:t>
      </w:r>
      <w:r w:rsidR="005C030B" w:rsidRPr="008608AA">
        <w:fldChar w:fldCharType="end"/>
      </w:r>
      <w:r w:rsidR="005C030B" w:rsidRPr="008608AA">
        <w:fldChar w:fldCharType="begin" w:fldLock="1"/>
      </w:r>
      <w:r w:rsidR="005C030B" w:rsidRPr="00A3137A">
        <w:rPr>
          <w:lang w:val="fr-FR"/>
        </w:rPr>
        <w:instrText>ADDIN CSL_CITATION { "citationItems" : [ { "id" : "ITEM-1", "itemData" : { "DOI" : "10.1098/rstb.2010.0134", "abstract" : "The livestock sector globally is highly dynamic. In developing countries, it is evolving in response to rapidly increasing demand for livestock products. In developed countries, demand for livestock products is stagnating, while many production systems are increasing their efficiency and environmental sustainability. Historical changes in the demand for livestock products have been largely driven by human population growth, income growth and urbanization and the production response in different livestock systems has been associated with science and technology as well as increases in animal numbers. In the future, production will increasingly be affected by competition for natural resources, particularly land and water, competition between food and feed and by the need to operate in a carbon-constrained economy. Developments in breeding, nutrition and animal health will continue to contribute to increasing potential production and further efficiency and genetic gains. Livestock production is likely to be increasingly affected by carbon constraints and environmental and animal welfare legislation. Demand for livestock products in the future could be heavily moderated by socio-economic factors such as human health concerns and changing socio-cultural values. There is considerable uncertainty as to how these factors will play out in different regions of the world in the coming decades.", "author" : [ { "dropping-particle" : "", "family" : "Thornton", "given" : "Philip K.", "non-dropping-particle" : "", "parse-names" : false, "suffix" : "" } ], "container-title" : "Philosophical Transactions of the Royal Society of London B: Biological Sciences", "id" : "ITEM-1", "issue" : "1554", "issued" : { "date-parts" : [ [ "2010" ] ] }, "page" : "2853-2867", "title" : "Livestock production: recent trends, future prospects", "type" : "article-journal", "volume" : "365" }, "uris" : [ "http://www.mendeley.com/documents/?uuid=3c6d679b-42ba-4e2f-b0a2-02fbae4ed662" ] } ], "mendeley" : { "formattedCitation" : "(Thornton 2010)", "manualFormatting" : "Thornton, 2010)", "plainTextFormattedCitation" : "(Thornton 2010)", "previouslyFormattedCitation" : "(Thornton 2010)" }, "properties" : { "noteIndex" : 0 }, "schema" : "https://github.com/citation-style-language/schema/raw/master/csl-citation.json" }</w:instrText>
      </w:r>
      <w:r w:rsidR="005C030B" w:rsidRPr="008608AA">
        <w:fldChar w:fldCharType="separate"/>
      </w:r>
      <w:r w:rsidR="005C030B" w:rsidRPr="00A3137A">
        <w:rPr>
          <w:noProof/>
          <w:lang w:val="fr-FR"/>
        </w:rPr>
        <w:t>Thornton, 2010)</w:t>
      </w:r>
      <w:r w:rsidR="005C030B" w:rsidRPr="008608AA">
        <w:fldChar w:fldCharType="end"/>
      </w:r>
      <w:r w:rsidR="005C030B" w:rsidRPr="00A3137A">
        <w:rPr>
          <w:lang w:val="fr-FR"/>
        </w:rPr>
        <w:t xml:space="preserve">. </w:t>
      </w:r>
      <w:r w:rsidRPr="00A3137A">
        <w:rPr>
          <w:lang w:val="fr-FR"/>
        </w:rPr>
        <w:t xml:space="preserve">Agricultural intensification changes and diminishes ecological functions </w:t>
      </w:r>
      <w:r w:rsidRPr="008608AA">
        <w:fldChar w:fldCharType="begin" w:fldLock="1"/>
      </w:r>
      <w:r w:rsidRPr="00A3137A">
        <w:rPr>
          <w:lang w:val="fr-FR"/>
        </w:rPr>
        <w:instrText>ADDIN CSL_CITATION { "citationItems" : [ { "id" : "ITEM-1", "itemData" : { "DOI" : "10.1371/journal.pone.0130874",</w:instrText>
      </w:r>
      <w:r w:rsidRPr="008B3BCD">
        <w:instrText xml:space="preserve"> "ISSN" : "1932-6203", "author" : [ { "dropping-particle" : "", "family" : "Goijman", "given" : "Andrea Paula", "non-dropping-particle" : "", "parse-names" : false, "suffix" : "" }, { "dropping-particle" : "", "family" : "Conroy", "given" : "Michael. J.", "non-dropping-particle" : "", "parse-names" : false, "suffix" : "" }, { "dropping-particle" : "", "family" : "Bernardos", "given" : "Jaime Nicol\u00e1s", "non-dropping-particle" : "", "parse-names" : false, "suffix" : "" }, { "dropping-particle" : "", "family" : "Zaccagnini", "given" : "Mar\u00eda Elena", "non-dropping-particle" : "", "parse-names" : false, "suffix" : "" } ], "container-title" : "PLoS ONE", "id" : "ITEM-1", "issue" : "6", "issued" : { "date-parts" : [ [ "2015" ] ] }, "page" : "e0130874", "title" : "Multi-season regional analysis of multi-species occupancy: implications for bird conservation in agricultural lands in east-central Argentina", "type" : "article-journal", "volume" : "10" }, "uris" : [ "http://www.mendeley.com/documents/?uuid=504fc939-d9f6-46b1-a1c3-501679e39539" ] } ], "mendeley" : { "formattedCitation" : "(Goijman, Conroy, Bernardos, &amp; Zaccagnini, 2015)", "manualFormatting" : "(Goijman et al., 2015)", "plainTextFormattedCitation" : "(Goijman, Conroy, Bernardos, &amp; Zaccagnini, 2015)", "previouslyFormattedCitation</w:instrText>
      </w:r>
      <w:r w:rsidRPr="008608AA">
        <w:instrText>" : "(Goijman, Conroy, Bernardos, &amp; Zaccagnini, 2015)" }, "properties" : { "noteIndex" : 0 }, "schema" : "https://github.com/citation-style-language/schema/raw/master/csl-citation.json" }</w:instrText>
      </w:r>
      <w:r w:rsidRPr="008608AA">
        <w:fldChar w:fldCharType="separate"/>
      </w:r>
      <w:r w:rsidRPr="008608AA">
        <w:rPr>
          <w:noProof/>
        </w:rPr>
        <w:t>(Goijman et al., 2015)</w:t>
      </w:r>
      <w:r w:rsidRPr="008608AA">
        <w:fldChar w:fldCharType="end"/>
      </w:r>
      <w:r w:rsidRPr="008608AA">
        <w:t xml:space="preserve"> and can lead regionally to shif</w:t>
      </w:r>
      <w:r w:rsidR="00A47F44" w:rsidRPr="008608AA">
        <w:t>ts in species composition (</w:t>
      </w:r>
      <w:r w:rsidR="00B20C8E" w:rsidRPr="008608AA">
        <w:t>section</w:t>
      </w:r>
      <w:r w:rsidRPr="008608AA">
        <w:t xml:space="preserve"> 3.4 for details of impacts in different terrestrial biomes). Traditional knowledge and systems for the maintenance of crop genotypes have been lost as agriculture has been commercialized. For example, there is evidence of a loss of large numbers of native potato in Cusco </w:t>
      </w:r>
      <w:r w:rsidRPr="008608AA">
        <w:fldChar w:fldCharType="begin" w:fldLock="1"/>
      </w:r>
      <w:r w:rsidRPr="008608AA">
        <w:instrText>ADDIN CSL_CITATION { "citationItems" : [ { "id" : "ITEM-1", "itemData" : { "author" : [ { "dropping-particle" : "", "family" : "Guti\u00e9rrez", "given" : "R.", "non-dropping-particle" : "", "parse-names" : false, "suffix" : "" }, { "dropping-particle" : "", "family" : "Schafleitner", "given" : "R.", "non-dropping-particle" : "", "parse-names" : false, "suffix" : "" } ], "container-title" : "Reporte de Investigaci\u00f3n para Soluciones Pr\u00e1cticas-ITDG y Centro Internacional de la Papa", "id" : "ITEM-1", "issued" : { "date-parts" : [ [ "2007" ] ] }, "publisher-place" : "Lima, Per\u00fa", "title" : "Caracterizaci\u00f3n Morfofisiol\u00f3gica, Molecular y de Procesamiento para Cultivares de Papas Nativas en la Provincia de Canchis, Cusco", "type" : "report" }, "uris" : [ "http://www.mendeley.com/documents/?uuid=d147439f-b468-4ef0-b5ac-e5be203f2a9a" ] } ], "mendeley" : { "formattedCitation" : "(R. Guti\u00e9rrez &amp; Schafleitner, 2007)", "manualFormatting" : "(Guti\u00e9rrez &amp; Schafleitner, 2007)", "plainTextFormattedCitation" : "(R. Guti\u00e9rrez &amp; Schafleitner, 2007)", "previouslyFormattedCitation" : "(R. Guti\u00e9rrez &amp; Schafleitner, 2007)" }, "properties" : { "noteIndex" : 0 }, "schema" : "https://github.com/citation-style-language/schema/raw/master/csl-citation.json" }</w:instrText>
      </w:r>
      <w:r w:rsidRPr="008608AA">
        <w:fldChar w:fldCharType="separate"/>
      </w:r>
      <w:r w:rsidRPr="008608AA">
        <w:rPr>
          <w:noProof/>
        </w:rPr>
        <w:t>(Gutiérrez &amp; Schafleitner, 2007)</w:t>
      </w:r>
      <w:r w:rsidRPr="008608AA">
        <w:fldChar w:fldCharType="end"/>
      </w:r>
      <w:r w:rsidRPr="008608AA">
        <w:t>, due to the introduction of commercial strains. This is a vast area of knowledge that was not possible to cover in the present assessment and warrants an assessment on its own merits.</w:t>
      </w:r>
    </w:p>
    <w:p w14:paraId="6DD19B13" w14:textId="6B9A800C" w:rsidR="00FE65F2" w:rsidRPr="008608AA" w:rsidRDefault="004255E7" w:rsidP="00FF0580">
      <w:r w:rsidRPr="008608AA">
        <w:t xml:space="preserve">Non-native species are often the base of production systems and can impact ecosystem services needed to support production in the long term. Fishes in aquaculture represent a good example, as nearly all countries culture tilapias, carp and trout, none of which are native to the Americas. Although Brazil contains 20% of the world’s fish species, aquaculture is based solely on non-native species – some are native to the country but produced beyond their native ranges </w:t>
      </w:r>
      <w:r w:rsidRPr="008608AA">
        <w:fldChar w:fldCharType="begin" w:fldLock="1"/>
      </w:r>
      <w:r w:rsidRPr="008608AA">
        <w:instrText>ADDIN CSL_CITATION { "citationItems" : [ { "id" : "ITEM-1", "itemData" : { "author" : [ { "dropping-particle" : "", "family" : "I3N", "given" : "", "non-dropping-particle" : "", "parse-names" : false, "suffix" : "" } ], "id" : "ITEM-1", "issued" : { "date-parts" : [ [ "2016" ] ] }, "publisher" : "I3N National Database", "title" : "I3N National Database: Argentina, Brasil, Chile, Colombia, Costa Rica, Jamaica, and Uruguay", "type" : "article" }, "uris" : [ "http://www.mendeley.com/documents/?uuid=90b037ba-dfef-4b51-a484-2d5be53eb8b9" ] } ], "mendeley" : { "formattedCitation" : "(I3N, 2016)", "plainTextFormattedCitation" : "(I3N, 2016)", "previouslyFormattedCitation" : "(I3N, 2016)" }, "properties" : { "noteIndex" : 0 }, "schema" : "https://github.com/citation-style-language/schema/raw/master/csl-citation.json" }</w:instrText>
      </w:r>
      <w:r w:rsidRPr="008608AA">
        <w:fldChar w:fldCharType="separate"/>
      </w:r>
      <w:r w:rsidRPr="008608AA">
        <w:rPr>
          <w:noProof/>
        </w:rPr>
        <w:t>(I3N, 2016)</w:t>
      </w:r>
      <w:r w:rsidRPr="008608AA">
        <w:fldChar w:fldCharType="end"/>
      </w:r>
      <w:r w:rsidRPr="008608AA">
        <w:t>. The same trend is present in silviculture. Pines (</w:t>
      </w:r>
      <w:r w:rsidRPr="008608AA">
        <w:rPr>
          <w:i/>
        </w:rPr>
        <w:t xml:space="preserve">Pinus </w:t>
      </w:r>
      <w:r w:rsidRPr="008608AA">
        <w:t xml:space="preserve">spp.) are widely invasive in the southern hemisphere, with at least 16 species that have spread from planting sites into natural or seminatural vegetation </w:t>
      </w:r>
      <w:r w:rsidRPr="008608AA">
        <w:fldChar w:fldCharType="begin" w:fldLock="1"/>
      </w:r>
      <w:r w:rsidRPr="008608AA">
        <w:instrText>ADDIN CSL_CITATION { "citationItems" : [ { "id" : "ITEM-1", "itemData" : { "author" : [ { "dropping-particle" : "", "family" : "Richardson", "given" : "D.M.", "non-dropping-particle" : "", "parse-names" : false, "suffix" : "" }, { "dropping-particle" : "", "family" : "Williams", "given" : "P.A.", "non-dropping-particle" : "", "parse-names" : false, "suffix" : "" }, { "dropping-particle" : "", "family" : "Hobbs", "given" : "R.J.", "non-dropping-particle" : "", "parse-names" : false, "suffix" : "" } ], "container-title" : "Journal of Biogeography", "id" : "ITEM-1", "issue" : "5", "issued" : { "date-parts" : [ [ "1994" ] ] }, "page" : "511-527", "title" : "Pine invasions in the southern hemisphere: determinants of spread and invadability", "type" : "article-journal", "volume" : "21" }, "uris" : [ "http://www.mendeley.com/documents/?uuid=23484de1-a6f1-4fab-8566-bdf857c240c5" ] } ], "mendeley" : { "formattedCitation" : "(Richardson, Williams, &amp; Hobbs, 1994)", "manualFormatting" : "(Richardson et al., 1994)", "plainTextFormattedCitation" : "(Richardson, Williams, &amp; Hobbs, 1994)", "previouslyFormattedCitation" : "(Richardson, Williams, &amp; Hobbs, 1994)" }, "properties" : { "noteIndex" : 0 }, "schema" : "https://github.com/citation-style-language/schema/raw/master/csl-citation.json" }</w:instrText>
      </w:r>
      <w:r w:rsidRPr="008608AA">
        <w:fldChar w:fldCharType="separate"/>
      </w:r>
      <w:r w:rsidRPr="008608AA">
        <w:rPr>
          <w:noProof/>
        </w:rPr>
        <w:t>(Richardson et al., 1994)</w:t>
      </w:r>
      <w:r w:rsidRPr="008608AA">
        <w:fldChar w:fldCharType="end"/>
      </w:r>
      <w:r w:rsidRPr="008608AA">
        <w:t>, while acacias (</w:t>
      </w:r>
      <w:r w:rsidRPr="008608AA">
        <w:rPr>
          <w:i/>
        </w:rPr>
        <w:t>Acacia</w:t>
      </w:r>
      <w:r w:rsidRPr="008608AA">
        <w:t xml:space="preserve"> spp.) and gums (</w:t>
      </w:r>
      <w:r w:rsidRPr="008608AA">
        <w:rPr>
          <w:i/>
        </w:rPr>
        <w:t>Eucalyptus</w:t>
      </w:r>
      <w:r w:rsidRPr="008608AA">
        <w:t xml:space="preserve"> spp.) are either not planted as much or are less aggressive. These taxa, either in plantations or invasions, have been documented as intensive water users; areas invaded with these trees tend to have low economic value and low productivity </w:t>
      </w:r>
      <w:r w:rsidRPr="008608AA">
        <w:fldChar w:fldCharType="begin" w:fldLock="1"/>
      </w:r>
      <w:r w:rsidRPr="008608AA">
        <w:instrText>ADDIN CSL_CITATION { "citationItems" : [ { "id" : "ITEM-1", "itemData" : { "author" : [ { "dropping-particle" : "", "family" : "Versveld", "given" : "D. B.", "non-dropping-particle" : "", "parse-names" : false, "suffix" : "" }, { "dropping-particle" : "", "family" : "Maitre", "given" : "D. C.", "non-dropping-particle" : "Le", "parse-names" : false, "suffix" : "" }, { "dropping-particle" : "", "family" : "Chapman", "given" : "R. A.", "non-dropping-particle" : "", "parse-names" : false, "suffix" : "" } ], "id" : "ITEM-1", "issued" : { "date-parts" : [ [ "1998" ] ] }, "publisher" : "Water Research Commission", "publisher-place" : "Pretoria, South Africa", "title" : "Alien Invading Plants and Water Resources in South Africa: a Preliminary Assessment", "type" : "book" }, "uris" : [ "http://www.mendeley.com/documents/?uuid=8685c071-b648-488c-bfd4-4b1afa2513b6" ] } ], "mendeley" : { "formattedCitation" : "(Versveld, Le Maitre, &amp; Chapman, 1998)", "manualFormatting" : "(Versveld et al., 1998)", "plainTextFormattedCitation" : "(Versveld, Le Maitre, &amp; Chapman, 1998)", "previouslyFormattedCitation" : "(Versveld, Le Maitre, &amp; Chapman, 1998)" }, "properties" : { "noteIndex" : 0 }, "schema" : "https://github.com/citation-style-language/schema/raw/master/csl-citation.json" }</w:instrText>
      </w:r>
      <w:r w:rsidRPr="008608AA">
        <w:fldChar w:fldCharType="separate"/>
      </w:r>
      <w:r w:rsidRPr="008608AA">
        <w:rPr>
          <w:noProof/>
        </w:rPr>
        <w:t>(Versveld et al., 1998)</w:t>
      </w:r>
      <w:r w:rsidRPr="008608AA">
        <w:fldChar w:fldCharType="end"/>
      </w:r>
      <w:r w:rsidR="00FF0580" w:rsidRPr="008608AA">
        <w:t>.</w:t>
      </w:r>
    </w:p>
    <w:p w14:paraId="1D37129A" w14:textId="132DA9CC" w:rsidR="00FE65F2" w:rsidRPr="008608AA" w:rsidRDefault="00FF0580" w:rsidP="00FE65F2">
      <w:pPr>
        <w:widowControl w:val="0"/>
        <w:autoSpaceDE w:val="0"/>
        <w:autoSpaceDN w:val="0"/>
        <w:adjustRightInd w:val="0"/>
        <w:spacing w:before="240" w:after="120"/>
        <w:jc w:val="center"/>
      </w:pPr>
      <w:r w:rsidRPr="008608AA">
        <w:rPr>
          <w:noProof/>
          <w:lang w:val="en-GB" w:eastAsia="en-GB"/>
        </w:rPr>
        <w:drawing>
          <wp:inline distT="0" distB="0" distL="0" distR="0" wp14:anchorId="61C98744" wp14:editId="742611E2">
            <wp:extent cx="5934075" cy="3152775"/>
            <wp:effectExtent l="0" t="0" r="9525" b="9525"/>
            <wp:docPr id="30319" name="Imagen 30319" descr="C:\Users\Alejandro Valderrama\Downloads\Fig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9" descr="C:\Users\Alejandro Valderrama\Downloads\Fig3.15.jpg"/>
                    <pic:cNvPicPr>
                      <a:picLocks noChangeAspect="1" noChangeArrowheads="1"/>
                    </pic:cNvPicPr>
                  </pic:nvPicPr>
                  <pic:blipFill rotWithShape="1">
                    <a:blip r:embed="rId130">
                      <a:extLst>
                        <a:ext uri="{28A0092B-C50C-407E-A947-70E740481C1C}">
                          <a14:useLocalDpi xmlns:a14="http://schemas.microsoft.com/office/drawing/2010/main" val="0"/>
                        </a:ext>
                      </a:extLst>
                    </a:blip>
                    <a:srcRect b="63140"/>
                    <a:stretch/>
                  </pic:blipFill>
                  <pic:spPr bwMode="auto">
                    <a:xfrm>
                      <a:off x="0" y="0"/>
                      <a:ext cx="5934075" cy="3152775"/>
                    </a:xfrm>
                    <a:prstGeom prst="rect">
                      <a:avLst/>
                    </a:prstGeom>
                    <a:noFill/>
                    <a:ln>
                      <a:noFill/>
                    </a:ln>
                    <a:extLst>
                      <a:ext uri="{53640926-AAD7-44D8-BBD7-CCE9431645EC}">
                        <a14:shadowObscured xmlns:a14="http://schemas.microsoft.com/office/drawing/2010/main"/>
                      </a:ext>
                    </a:extLst>
                  </pic:spPr>
                </pic:pic>
              </a:graphicData>
            </a:graphic>
          </wp:inline>
        </w:drawing>
      </w:r>
    </w:p>
    <w:p w14:paraId="6016AEFA" w14:textId="2F9D29F6" w:rsidR="004255E7" w:rsidRPr="008608AA" w:rsidRDefault="004255E7" w:rsidP="00FE65F2">
      <w:pPr>
        <w:widowControl w:val="0"/>
        <w:autoSpaceDE w:val="0"/>
        <w:autoSpaceDN w:val="0"/>
        <w:adjustRightInd w:val="0"/>
        <w:spacing w:before="240" w:after="120"/>
      </w:pPr>
      <w:r w:rsidRPr="008608AA">
        <w:t>Recent trends</w:t>
      </w:r>
      <w:r w:rsidR="00ED6262" w:rsidRPr="008608AA">
        <w:t xml:space="preserve">. </w:t>
      </w:r>
      <w:r w:rsidRPr="008608AA">
        <w:t xml:space="preserve">The Americas have led world production of high-demand agricultural products like soybeans, sugarcane, and cattle meat over the past five decades. During this period, the net agricultural production of the region has grown together with its population </w:t>
      </w:r>
      <w:r w:rsidRPr="008608AA">
        <w:fldChar w:fldCharType="begin" w:fldLock="1"/>
      </w:r>
      <w:r w:rsidRPr="008608AA">
        <w:instrText>ADDIN CSL_CITATION { "citationItems" : [ { "id" : "ITEM-1", "itemData" : { "DOI" : "10.1579/0044-7447-31.3.251", "ISSN" : "0044-7447", "author" : [ { "dropping-particle" : "", "family" : "Ramankutty", "given" : "Navin", "non-dropping-particle" : "", "parse-names" : false, "suffix" : "" }, { "dropping-particle" : "", "family" : "Foley", "given" : "Jonathan A.", "non-dropping-particle" : "", "parse-names" : false, "suffix" : "" }, { "dropping-particle" : "", "family" : "Olejniczak", "given" : "Nicholas J.", "non-dropping-particle" : "", "parse-names" : false, "suffix" : "" } ], "container-title" : "Ambio", "id" : "ITEM-1", "issue" : "3", "issued" : { "date-parts" : [ [ "2002", "5", "1" ] ] }, "note" : "doi: 10.1579/0044-7447-31.3.251", "page" : "251-257", "publisher" : "Royal Swedish Academy of Sciences", "title" : "People on the land: changes in global population and croplands during the 20th century", "type" : "article-journal", "volume" : "31" }, "uris" : [ "http://www.mendeley.com/documents/?uuid=e3f337f5-eb81-4a21-89d5-073dd3668731" ] } ], "mendeley" : { "formattedCitation" : "(Navin Ramankutty, Foley, &amp; Olejniczak, 2002)", "manualFormatting" : "(Ramankutty et al., 2002)", "plainTextFormattedCitation" : "(Navin Ramankutty, Foley, &amp; Olejniczak, 2002)", "previouslyFormattedCitation" : "(Navin Ramankutty, Foley, &amp; Olejniczak, 2002)" }, "properties" : { "noteIndex" : 0 }, "schema" : "https://github.com/citation-style-language/schema/raw/master/csl-citation.json" }</w:instrText>
      </w:r>
      <w:r w:rsidRPr="008608AA">
        <w:fldChar w:fldCharType="separate"/>
      </w:r>
      <w:r w:rsidRPr="008608AA">
        <w:rPr>
          <w:noProof/>
        </w:rPr>
        <w:t>(Ramankutty et al., 2002)</w:t>
      </w:r>
      <w:r w:rsidRPr="008608AA">
        <w:fldChar w:fldCharType="end"/>
      </w:r>
      <w:r w:rsidRPr="008608AA">
        <w:t xml:space="preserve">. This has led to increases in the conversion of land to agriculture (Figure 3.15). The apportionment of land to agriculture (aggregated within each subregion) shows the greatest increases in Mesoamerica followed by South America, but recent declines in the Caribbean and North America. The total extent of arable and pasture lands in Latin America has increased at an annual rate (1990–2008) of 0.87% for South America (16.4 million ha) and 0.15% for Mesoamerica (828,000 ha). </w:t>
      </w:r>
      <w:r w:rsidR="00540ABA" w:rsidRPr="008608AA">
        <w:t xml:space="preserve">Pasture land grew by 11.3 million ha (0.14% per year) in South America, while in Mesoamerica it declined 2.7 million ha (−0.17% per year) </w:t>
      </w:r>
      <w:r w:rsidR="00540ABA" w:rsidRPr="008608AA">
        <w:fldChar w:fldCharType="begin" w:fldLock="1"/>
      </w:r>
      <w:r w:rsidR="00540ABA" w:rsidRPr="008608AA">
        <w:instrText>ADDIN CSL_CITATION { "citationItems" : [ { "id" : "ITEM-1", "itemData" : { "DOI" : "10.3390/f2010001", "author" : [ { "dropping-particle" : "", "family" : "Pacheco", "given" : "Pablo", "non-dropping-particle" : "", "parse-names" : false, "suffix" : "" }, { "dropping-particle" : "", "family" : "Aguilar-St\u00f8en", "given" : "Mariel", "non-dropping-particle" : "", "parse-names" : false, "suffix" : "" }, { "dropping-particle" : "", "family" : "B\u00f6rner", "given" : "Jan", "non-dropping-particle" : "", "parse-names" : false, "suffix" : "" }, { "dropping-particle" : "", "family" : "Etter", "given" : "Andres", "non-dropping-particle" : "", "parse-names" : false, "suffix" : "" }, { "dropping-particle" : "", "family" : "Putzel", "given" : "Louis", "non-dropping-particle" : "", "parse-names" : false, "suffix" : "" }, { "dropping-particle" : "", "family" : "Vera Diaz", "given" : "Maria del Carmen", "non-dropping-particle" : "", "parse-names" : false, "suffix" : "" } ], "container-title" : "Forests", "id" : "ITEM-1", "issue" : "1", "issued" : { "date-parts" : [ [ "2011" ] ] }, "page" : "1-29", "title" : "Landscape transformation in tropical Latin America: assessing trends and policy implications for REDD+", "type" : "article-journal", "volume" : "2" }, "uris" : [ "http://www.mendeley.com/documents/?uuid=7150426a-ea59-49fe-a8e5-928e24b339c6" ] } ], "mendeley" : { "formattedCitation" : "(Pacheco et al. 2011)", "manualFormatting" : "(Pacheco et al., 2011)", "plainTextFormattedCitation" : "(Pacheco et al. 2011)", "previouslyFormattedCitation" : "(Pacheco et al. 2011)" }, "properties" : { "noteIndex" : 0 }, "schema" : "https://github.com/citation-style-language/schema/raw/master/csl-citation.json" }</w:instrText>
      </w:r>
      <w:r w:rsidR="00540ABA" w:rsidRPr="008608AA">
        <w:fldChar w:fldCharType="separate"/>
      </w:r>
      <w:r w:rsidR="00540ABA" w:rsidRPr="008608AA">
        <w:rPr>
          <w:noProof/>
        </w:rPr>
        <w:t>(Pacheco et al., 2011)</w:t>
      </w:r>
      <w:r w:rsidR="00540ABA" w:rsidRPr="008608AA">
        <w:fldChar w:fldCharType="end"/>
      </w:r>
      <w:r w:rsidR="00540ABA" w:rsidRPr="008608AA">
        <w:t xml:space="preserve">. </w:t>
      </w:r>
      <w:r w:rsidRPr="008608AA">
        <w:t>Conversion of land for agricultural purposes has often come at the expense of forest, woodland, a</w:t>
      </w:r>
      <w:r w:rsidR="00A47F44" w:rsidRPr="008608AA">
        <w:t>nd other vegetation types (s</w:t>
      </w:r>
      <w:r w:rsidRPr="008608AA">
        <w:t>ection</w:t>
      </w:r>
      <w:r w:rsidR="00B20C8E" w:rsidRPr="008608AA">
        <w:t xml:space="preserve"> 3.4</w:t>
      </w:r>
      <w:r w:rsidRPr="008608AA">
        <w:t>).</w:t>
      </w:r>
    </w:p>
    <w:p w14:paraId="6143A860" w14:textId="513F83C9" w:rsidR="004255E7" w:rsidRPr="008608AA" w:rsidRDefault="004255E7" w:rsidP="00FE65F2">
      <w:pPr>
        <w:spacing w:after="120"/>
      </w:pPr>
      <w:r w:rsidRPr="008608AA">
        <w:t xml:space="preserve">From 1992 to 2010, richness and phylogenetic diversity of crop production and exports from all subregions have been relatively constant. However, South America and Mesoamerica have higher phylogenetic diversity in crop production than does North America, and Mesoamerica has higher crop species richness than both North and South America </w:t>
      </w:r>
      <w:r w:rsidRPr="008608AA">
        <w:fldChar w:fldCharType="begin" w:fldLock="1"/>
      </w:r>
      <w:r w:rsidRPr="008608AA">
        <w:instrText>ADDIN CSL_CITATION { "citationItems" : [ { "id" : "ITEM-1", "itemData" : { "DOI" : "https://doi.org/10.1371/journal.pone.0163002", "author" : [ { "dropping-particle" : "", "family" : "Nelson", "given" : "E.", "non-dropping-particle" : "", "parse-names" : false, "suffix" : "" }, { "dropping-particle" : "", "family" : "Helmus", "given" : "M.R.", "non-dropping-particle" : "", "parse-names" : false, "suffix" : "" }, { "dropping-particle" : "", "family" : "Cavender-Bares", "given" : "J.", "non-dropping-particle" : "", "parse-names" : false, "suffix" : "" }, { "dropping-particle" : "", "family" : "Polasky", "given" : "S.", "non-dropping-particle" : "", "parse-names" : false, "suffix" : "" }, { "dropping-particle" : "", "family" : "Lasky", "given" : "J.R.", "non-dropping-particle" : "", "parse-names" : false, "suffix" : "" }, { "dropping-particle" : "", "family" : "Zanne", "given" : "A.E.", "non-dropping-particle" : "", "parse-names" : false, "suffix" : "" }, { "dropping-particle" : "", "family" : "Pearse", "given" : "W.D.", "non-dropping-particle" : "", "parse-names" : false, "suffix" : "" }, { "dropping-particle" : "", "family" : "Kraft", "given" : "N.J.B.", "non-dropping-particle" : "", "parse-names" : false, "suffix" : "" }, { "dropping-particle" : "", "family" : "Miteva", "given" : "D.A.", "non-dropping-particle" : "", "parse-names" : false, "suffix" : "" }, { "dropping-particle" : "", "family" : "Fagan", "given" : "W.F.", "non-dropping-particle" : "", "parse-names" : false, "suffix" : "" }, { "dropping-particle" : "", "family" : "Miteva", "given" : "D.", "non-dropping-particle" : "", "parse-names" : false, "suffix" : "" }, { "dropping-particle" : "", "family" : "Fagan", "given" : "WF.", "non-dropping-particle" : "", "parse-names" : false, "suffix" : "" } ], "container-title" : "PLoS ONE", "id" : "ITEM-1", "issue" : "10", "issued" : { "date-parts" : [ [ "2016" ] ] }, "page" : "e0163002", "title" : "Commercial plant production and consumption still follow the latitudinal gradient in species diversity despite economic globalization", "type" : "article-journal", "volume" : "11" }, "uris" : [ "http://www.mendeley.com/documents/?uuid=aa9b9b40-a2f9-370c-b126-358163f7bcb2" ] } ], "mendeley" : { "formattedCitation" : "(E. Nelson et al., 2016)", "manualFormatting" : "(Nelson, Helmus et al., 2016)", "plainTextFormattedCitation" : "(E. Nelson et al., 2016)", "previouslyFormattedCitation" : "(E. Nelson et al., 2016)" }, "properties" : { "noteIndex" : 0 }, "schema" : "https://github.com/citation-style-language/schema/raw/master/csl-citation.json" }</w:instrText>
      </w:r>
      <w:r w:rsidRPr="008608AA">
        <w:fldChar w:fldCharType="separate"/>
      </w:r>
      <w:r w:rsidR="006528B0" w:rsidRPr="008608AA">
        <w:rPr>
          <w:noProof/>
        </w:rPr>
        <w:t xml:space="preserve">(Nelson </w:t>
      </w:r>
      <w:r w:rsidRPr="008608AA">
        <w:rPr>
          <w:noProof/>
        </w:rPr>
        <w:t>et al., 2016)</w:t>
      </w:r>
      <w:r w:rsidRPr="008608AA">
        <w:fldChar w:fldCharType="end"/>
      </w:r>
      <w:r w:rsidRPr="008608AA">
        <w:t xml:space="preserve">. In contrast, North America has a higher consumption of species richness than other subregions, even while all subregions have similar phylogenetic diversity in crop consumption </w:t>
      </w:r>
      <w:r w:rsidRPr="008608AA">
        <w:fldChar w:fldCharType="begin" w:fldLock="1"/>
      </w:r>
      <w:r w:rsidRPr="008608AA">
        <w:instrText>ADDIN CSL_CITATION { "citationItems" : [ { "id" : "ITEM-1", "itemData" : { "DOI" : "https://doi.org/10.1371/journal.pone.0163002", "author" : [ { "dropping-particle" : "", "family" : "Nelson", "given" : "E.", "non-dropping-particle" : "", "parse-names" : false, "suffix" : "" }, { "dropping-particle" : "", "family" : "Helmus", "given" : "M.R.", "non-dropping-particle" : "", "parse-names" : false, "suffix" : "" }, { "dropping-particle" : "", "family" : "Cavender-Bares", "given" : "J.", "non-dropping-particle" : "", "parse-names" : false, "suffix" : "" }, { "dropping-particle" : "", "family" : "Polasky", "given" : "S.", "non-dropping-particle" : "", "parse-names" : false, "suffix" : "" }, { "dropping-particle" : "", "family" : "Lasky", "given" : "J.R.", "non-dropping-particle" : "", "parse-names" : false, "suffix" : "" }, { "dropping-particle" : "", "family" : "Zanne", "given" : "A.E.", "non-dropping-particle" : "", "parse-names" : false, "suffix" : "" }, { "dropping-particle" : "", "family" : "Pearse", "given" : "W.D.", "non-dropping-particle" : "", "parse-names" : false, "suffix" : "" }, { "dropping-particle" : "", "family" : "Kraft", "given" : "N.J.B.", "non-dropping-particle" : "", "parse-names" : false, "suffix" : "" }, { "dropping-particle" : "", "family" : "Miteva", "given" : "D.A.", "non-dropping-particle" : "", "parse-names" : false, "suffix" : "" }, { "dropping-particle" : "", "family" : "Fagan", "given" : "W.F.", "non-dropping-particle" : "", "parse-names" : false, "suffix" : "" }, { "dropping-particle" : "", "family" : "Miteva", "given" : "D.", "non-dropping-particle" : "", "parse-names" : false, "suffix" : "" }, { "dropping-particle" : "", "family" : "Fagan", "given" : "WF.", "non-dropping-particle" : "", "parse-names" : false, "suffix" : "" } ], "container-title" : "PLoS ONE", "id" : "ITEM-1", "issue" : "10", "issued" : { "date-parts" : [ [ "2016" ] ] }, "page" : "e0163002", "title" : "Commercial plant production and consumption still follow the latitudinal gradient in species diversity despite economic globalization", "type" : "article-journal", "volume" : "11" }, "uris" : [ "http://www.mendeley.com/documents/?uuid=aa9b9b40-a2f9-370c-b126-358163f7bcb2" ] } ], "mendeley" : { "formattedCitation" : "(E. Nelson et al., 2016)", "manualFormatting" : "(Nelson, Helmus et al., 2016)", "plainTextFormattedCitation" : "(E. Nelson et al., 2016)", "previouslyFormattedCitation" : "(E. Nelson et al., 2016)" }, "properties" : { "noteIndex" : 0 }, "schema" : "https://github.com/citation-style-language/schema/raw/master/csl-citation.json" }</w:instrText>
      </w:r>
      <w:r w:rsidRPr="008608AA">
        <w:fldChar w:fldCharType="separate"/>
      </w:r>
      <w:r w:rsidR="006528B0" w:rsidRPr="008608AA">
        <w:rPr>
          <w:noProof/>
        </w:rPr>
        <w:t xml:space="preserve">(Nelson </w:t>
      </w:r>
      <w:r w:rsidRPr="008608AA">
        <w:rPr>
          <w:noProof/>
        </w:rPr>
        <w:t>et al., 2016)</w:t>
      </w:r>
      <w:r w:rsidRPr="008608AA">
        <w:fldChar w:fldCharType="end"/>
      </w:r>
      <w:r w:rsidRPr="008608AA">
        <w:t>.</w:t>
      </w:r>
    </w:p>
    <w:p w14:paraId="7B9F58DE" w14:textId="717DBD7F" w:rsidR="004255E7" w:rsidRPr="008608AA" w:rsidRDefault="004255E7" w:rsidP="00FE65F2">
      <w:pPr>
        <w:spacing w:after="120"/>
      </w:pPr>
      <w:r w:rsidRPr="008608AA">
        <w:t xml:space="preserve">Pollinator-friendly agricultural systems can help maximize crop yields by preserving the pollination services offered by wild bees </w:t>
      </w:r>
      <w:r w:rsidRPr="008608AA">
        <w:fldChar w:fldCharType="begin" w:fldLock="1"/>
      </w:r>
      <w:r w:rsidRPr="008608AA">
        <w:instrText>ADDIN CSL_CITATION { "citationItems" : [ { "id" : "ITEM-1", "itemData" : { "DOI" : "10.1890/130330", "ISBN" : "1540-9295", "ISSN" : "1540-9295", "abstract" : "Recent evidence highlights the value of wild-insect species richness and abundance for crop pollination worldwide. Yet, deliberate physical importation of single species (eg European honey bees) into crop fields for pollination remains the mainstream management approach, and implementation of practices to enhance crop yield (production per area) through wild insects is only just beginning. With few exceptions, studies measuring the impacts of pollinator-supporting practices on wild-insect richness and pollination service success \u2013 particularly in relation to long-term crop yield and economic profit \u2013 are rare. Here, we provide a general framework and examples of approaches for enhancing pollinator richness and abundance, quantity and quality of pollen on stigmas, crop yield, and farmers' profit, including some benefits detected only through long-term monitoring. We argue for integrating the promotion of wild-insect species richness with single-species management to benefit farmers and society.", "author" : [ { "dropping-particle" : "", "family" : "Garibaldi", "given" : "Lucas A.", "non-dropping-particle" : "", "parse-names" : false, "suffix" : "" }, { "dropping-particle" : "", "family" : "Carvalheiro", "given" : "Lu\u00edsa G.", "non-dropping-particle" : "", "parse-names" : false, "suffix" : "" }, { "dropping-particle" : "", "family" : "Leonhardt", "given" : "Sara D.", "non-dropping-particle" : "", "parse-names" : false, "suffix" : "" }, { "dropping-particle" : "", "family" : "Aizen", "given" : "Marcelo A.", "non-dropping-particle" : "", "parse-names" : false, "suffix" : "" }, { "dropping-particle" : "", "family" : "Blaauw", "given" : "Brett R.", "non-dropping-particle" : "", "parse-names" : false, "suffix" : "" }, { "dropping-particle" : "", "family" : "Isaacs", "given" : "Rufus", "non-dropping-particle" : "", "parse-names" : false, "suffix" : "" }, { "dropping-particle" : "", "family" : "Kuhlmann", "given" : "Michael", "non-dropping-particle" : "", "parse-names" : false, "suffix" : "" }, { "dropping-particle" : "", "family" : "Kleijn", "given" : "David", "non-dropping-particle" : "", "parse-names" : false, "suffix" : "" }, { "dropping-particle" : "", "family" : "Klein", "given" : "Alexandra M.", "non-dropping-particle" : "", "parse-names" : false, "suffix" : "" }, { "dropping-particle" : "", "family" : "Kremen", "given" : "Claire", "non-dropping-particle" : "", "parse-names" : false, "suffix" : "" }, { "dropping-particle" : "", "family" : "Morandin", "given" : "Lora", "non-dropping-particle" : "", "parse-names" : false, "suffix" : "" }, { "dropping-particle" : "", "family" : "Scheper", "given" : "Jeroen", "non-dropping-particle" : "", "parse-names" : false, "suffix" : "" }, { "dropping-particle" : "", "family" : "Winfree", "given" : "Rachael", "non-dropping-particle" : "", "parse-names" : false, "suffix" : "" } ], "container-title" : "Frontiers in Ecology and the Environment", "id" : "ITEM-1", "issue" : "8", "issued" : { "date-parts" : [ [ "2014" ] ] }, "page" : "439-447", "title" : "From research to action: enhancing crop yield through wild pollinators", "type" : "article-journal", "volume" : "12" }, "uris" : [ "http://www.mendeley.com/documents/?uuid=5d0d500f-6f10-473c-9272-bde62ff3de1e" ] }, { "id" : "ITEM-2", "itemData" : { "ISSN" : "0959-3780", "author" : [ { "dropping-particle" : "", "family" : "Shaver", "given" : "I.", "non-dropping-particle" : "", "parse-names" : false, "suffix" : "" }, { "dropping-particle" : "", "family" : "Chain Guadarrama", "given" : "A.", "non-dropping-particle" : "", "parse-names" : false, "suffix" : "" }, { "dropping-particle" : "", "family" : "Cleary", "given" : "K.", "non-dropping-particle" : "", "parse-names" : false, "suffix" : "" }, { "dropping-particle" : "", "family" : "Sanfiorenzo", "given" : "A. R.", "non-dropping-particle" : "", "parse-names" : false, "suffix" : "" }, { "dropping-particle" : "", "family" : "Santiago-Garcia", "given" : "R.", "non-dropping-particle" : "", "parse-names" : false, "suffix" : "" }, { "dropping-particle" : "", "family" : "Finegan", "given" : "B.", "non-dropping-particle" : "", "parse-names" : false, "suffix" : "" }, { "dropping-particle" : "", "family" : "Hormel", "given" : "L.", "non-dropping-particle" : "", "parse-names" : false, "suffix" : "" }, { "dropping-particle" : "", "family" : "Sibelet", "given" : "N.", "non-dropping-particle" : "", "parse-names" : false, "suffix" : "" }, { "dropping-particle" : "", "family" : "Vierling", "given" : "L. A.", "non-dropping-particle" : "", "parse-names" : false, "suffix" : "" }, { "dropping-particle" : "", "family" : "Bosque-Perez", "given" : "N.", "non-dropping-particle" : "", "parse-names" : false, "suffix" : "" }, { "dropping-particle" : "", "family" : "DeClerck", "given" : "F.", "non-dropping-particle" : "", "parse-names" : false, "suffix" : "" }, { "dropping-particle" : "", "family" : "Fagan", "given" : "M. E.", "non-dropping-particle" : "", "parse-names" : false, "suffix" : "" }, { "dropping-particle" : "", "family" : "Waits", "given" : "L.", "non-dropping-particle" : "", "parse-names" : false, "suffix" : "" } ], "container-title" : "Global Environmental Change", "id" : "ITEM-2", "issued" : { "date-parts" : [ [ "2015" ] ] }, "page" : "74-86", "publisher" : "Elsevier", "title" : "Coupled social and ecological outcomes of agricultural intensification in Costa Rica and the future of biodiversity conservation in tropical agricultural regions", "type" : "article-journal", "volume" : "32" }, "uris" : [ "http://www.mendeley.com/documents/?uuid=f40c184f-8260-4aed-8d90-03050fbf24c9" ] } ], "mendeley" : { "formattedCitation" : "(Garibaldi et al., 2014; I. Shaver et al., 2015)", "manualFormatting" : "(Garibaldi et al., 2014; Shaver et al., 2015)", "plainTextFormattedCitation" : "(Garibaldi et al., 2014; I. Shaver et al., 2015)", "previouslyFormattedCitation" : "(Garibaldi et al., 2014; I. Shaver et al., 2015)" }, "properties" : { "noteIndex" : 0 }, "schema" : "https://github.com/citation-style-language/schema/raw/master/csl-citation.json" }</w:instrText>
      </w:r>
      <w:r w:rsidRPr="008608AA">
        <w:fldChar w:fldCharType="separate"/>
      </w:r>
      <w:r w:rsidRPr="008608AA">
        <w:rPr>
          <w:noProof/>
        </w:rPr>
        <w:t>(Garibaldi et al., 2014; Shaver et al., 2015)</w:t>
      </w:r>
      <w:r w:rsidRPr="008608AA">
        <w:fldChar w:fldCharType="end"/>
      </w:r>
      <w:r w:rsidRPr="008608AA">
        <w:t xml:space="preserve">. Pollinator loss has been particularly rapid in tropical regions </w:t>
      </w:r>
      <w:r w:rsidRPr="008608AA">
        <w:fldChar w:fldCharType="begin" w:fldLock="1"/>
      </w:r>
      <w:r w:rsidRPr="008608AA">
        <w:instrText>ADDIN CSL_CITATION { "citationItems" : [ { "id" : "ITEM-1", "itemData" : { "ISBN" : "1461-0248", "author" : [ { "dropping-particle" : "", "family" : "Ricketts", "given" : "T. H.", "non-dropping-particle" : "", "parse-names" : false, "suffix" : "" }, { "dropping-particle" : "", "family" : "Regetz", "given" : "J.", "non-dropping-particle" : "", "parse-names" : false, "suffix" : "" }, { "dropping-particle" : "", "family" : "Steffan\u2010Dewenter", "given" : "I.", "non-dropping-particle" : "", "parse-names" : false, "suffix" : "" }, { "dropping-particle" : "", "family" : "Cunningham", "given" : "S. A.", "non-dropping-particle" : "", "parse-names" : false, "suffix" : "" }, { "dropping-particle" : "", "family" : "Kremen", "given" : "C.", "non-dropping-particle" : "", "parse-names" : false, "suffix" : "" }, { "dropping-particle" : "", "family" : "Bogdanski", "given" : "A.", "non-dropping-particle" : "", "parse-names" : false, "suffix" : "" }, { "dropping-particle" : "", "family" : "Gemmill\u2010Herren", "given" : "B.", "non-dropping-particle" : "", "parse-names" : false, "suffix" : "" }, { "dropping-particle" : "", "family" : "Greenleaf", "given" : "S. S.", "non-dropping-particle" : "", "parse-names" : false, "suffix" : "" }, { "dropping-particle" : "", "family" : "Klein", "given" : "A. M.", "non-dropping-particle" : "", "parse-names" : false, "suffix" : "" }, { "dropping-particle" : "", "family" : "Mayfield", "given" : "M. M.", "non-dropping-particle" : "", "parse-names" : false, "suffix" : "" } ], "container-title" : "Ecology Letters", "id" : "ITEM-1", "issue" : "5", "issued" : { "date-parts" : [ [ "2008" ] ] }, "page" : "499-515", "title" : "Landscape effects on crop pollination services: are there general patterns?", "type" : "article-journal", "volume" : "11" }, "uris" : [ "http://www.mendeley.com/documents/?uuid=89fbaf77-c49f-4c7d-a83b-d0054a22cd78" ] } ], "mendeley" : { "formattedCitation" : "(T. H. Ricketts et al., 2008)", "manualFormatting" : "(Ricketts et al., 2008)", "plainTextFormattedCitation" : "(T. H. Ricketts et al., 2008)", "previouslyFormattedCitation" : "(T. H. Ricketts et al., 2008)" }, "properties" : { "noteIndex" : 0 }, "schema" : "https://github.com/citation-style-language/schema/raw/master/csl-citation.json" }</w:instrText>
      </w:r>
      <w:r w:rsidRPr="008608AA">
        <w:fldChar w:fldCharType="separate"/>
      </w:r>
      <w:r w:rsidRPr="008608AA">
        <w:rPr>
          <w:noProof/>
        </w:rPr>
        <w:t>(Ricketts et al., 2008)</w:t>
      </w:r>
      <w:r w:rsidRPr="008608AA">
        <w:fldChar w:fldCharType="end"/>
      </w:r>
      <w:r w:rsidRPr="008608AA">
        <w:t xml:space="preserve"> as well as in extensive temperate regions that have experienced drastic land use transformations, like the Pampas of South America </w:t>
      </w:r>
      <w:r w:rsidRPr="008608AA">
        <w:fldChar w:fldCharType="begin" w:fldLock="1"/>
      </w:r>
      <w:r w:rsidRPr="008608AA">
        <w:instrText>ADDIN CSL_CITATION { "citationItems" : [ { "id" : "ITEM-1", "itemData" : { "ISSN" : "0960-3115", "author" : [ { "dropping-particle" : "", "family" : "Medan", "given" : "Diego", "non-dropping-particle" : "", "parse-names" : false, "suffix" : "" }, { "dropping-particle" : "", "family" : "Torretta", "given" : "Juan Pablo", "non-dropping-particle" : "", "parse-names" : false, "suffix" : "" }, { "dropping-particle" : "", "family" : "Hodara", "given" : "Karina", "non-dropping-particle" : "", "parse-names" : false, "suffix" : "" }, { "dropping-particle" : "", "family" : "Elba", "given" : "B", "non-dropping-particle" : "", "parse-names" : false, "suffix" : "" }, { "dropping-particle" : "", "family" : "Montaldo", "given" : "Norberto H", "non-dropping-particle" : "", "parse-names" : false, "suffix" : "" } ], "container-title" : "Biodiversity and Conservation", "id" : "ITEM-1", "issue" : "13", "issued" : { "date-parts" : [ [ "2011" ] ] }, "page" : "3077-3100", "publisher" : "Springer", "title" : "Effects of agriculture expansion and intensification on the vertebrate and invertebrate diversity in the Pampas of Argentina", "type" : "article-journal", "volume" : "20" }, "uris" : [ "http://www.mendeley.com/documents/?uuid=fd7a6bb1-a99b-49ba-ac3c-65c36a3ec7a8" ] } ], "mendeley" : { "formattedCitation" : "(Medan, Torretta, Hodara, Elba, &amp; Montaldo, 2011)", "manualFormatting" : "(Medan et al., 2011)", "plainTextFormattedCitation" : "(Medan, Torretta, Hodara, Elba, &amp; Montaldo, 2011)", "previouslyFormattedCitation" : "(Medan, Torretta, Hodara, Elba, &amp; Montaldo, 2011)" }, "properties" : { "noteIndex" : 0 }, "schema" : "https://github.com/citation-style-language/schema/raw/master/csl-citation.json" }</w:instrText>
      </w:r>
      <w:r w:rsidRPr="008608AA">
        <w:fldChar w:fldCharType="separate"/>
      </w:r>
      <w:r w:rsidRPr="008608AA">
        <w:rPr>
          <w:noProof/>
        </w:rPr>
        <w:t>(Medan et al., 2011)</w:t>
      </w:r>
      <w:r w:rsidRPr="008608AA">
        <w:fldChar w:fldCharType="end"/>
      </w:r>
      <w:r w:rsidRPr="008608AA">
        <w:t xml:space="preserve"> and the USA Midwest and Great Plains </w:t>
      </w:r>
      <w:r w:rsidRPr="008608AA">
        <w:fldChar w:fldCharType="begin" w:fldLock="1"/>
      </w:r>
      <w:r w:rsidRPr="008608AA">
        <w:instrText>ADDIN CSL_CITATION { "citationItems" : [ { "id" : "ITEM-1", "itemData" : { "DOI" : "10.1073/pnas.1517685113", "abstract" : "Wild bees are highly valuable pollinators. Along with managed honey bees, they provide a critical ecosystem service by ensuring stable pollination to agriculture and wild plant communities. Increasing concern about the welfare of both wild and managed pollinators, however, has prompted recent calls for national evaluation and action. Here, for the first time to our knowledge, we assess the status and trends of wild bees and their potential impacts on pollination services across the coterminous United States. We use a spatial habitat model, national land-cover data, and carefully quantified expert knowledge to estimate wild bee abundance and associated uncertainty. Between 2008 and 2013, modeled bee abundance declined across 23% of US land area. This decline was generally associated with conversion of natural habitats to row crops. We identify 139 counties where low bee abundances correspond to large areas of pollinator-dependent crops. These areas of mismatch between supply (wild bee abundance) and demand (cultivated area) for pollination comprise 39% of the pollinator-dependent crop area in the United States. Further, we find that the crops most highly dependent on pollinators tend to experience more severe mismatches between declining supply and increasing demand. These trends, should they continue, may increase costs for US farmers and may even destabilize crop production over time. National assessments such as this can help focus both scientific and political efforts to understand and sustain wild bees. As new information becomes available, repeated assessments can update findings, revise priorities, and track progress toward sustainable management of our nation\u2019s pollinators.", "author" : [ { "dropping-particle" : "", "family" : "Koh", "given" : "Insu", "non-dropping-particle" : "", "parse-names" : false, "suffix" : "" }, { "dropping-particle" : "V.", "family" : "Lonsdorf", "given" : "Eric", "non-dropping-particle" : "", "parse-names" : false, "suffix" : "" }, { "dropping-particle" : "", "family" : "Williams", "given" : "Neal M.", "non-dropping-particle" : "", "parse-names" : false, "suffix" : "" }, { "dropping-particle" : "", "family" : "Brittain", "given" : "Claire", "non-dropping-particle" : "", "parse-names" : false, "suffix" : "" }, { "dropping-particle" : "", "family" : "Isaacs", "given" : "Rufus", "non-dropping-particle" : "", "parse-names" : false, "suffix" : "" }, { "dropping-particle" : "", "family" : "Gibbs", "given" : "Jason", "non-dropping-particle" : "", "parse-names" : false, "suffix" : "" }, { "dropping-particle" : "", "family" : "Ricketts", "given" : "Taylor H.", "non-dropping-particle" : "", "parse-names" : false, "suffix" : "" } ], "container-title" : "PNAS", "id" : "ITEM-1", "issue" : "1", "issued" : { "date-parts" : [ [ "2016", "1", "5" ] ] }, "note" : "10.1073/pnas.1517685113", "page" : "140-145", "title" : "Modeling the status, trends, and impacts of wild bee abundance in the United States", "type" : "article-journal", "volume" : "113" }, "uris" : [ "http://www.mendeley.com/documents/?uuid=39744b7d-39b3-4b0d-aa2a-5d96b077803b" ] } ], "mendeley" : { "formattedCitation" : "(Koh et al., 2016)", "plainTextFormattedCitation" : "(Koh et al., 2016)", "previouslyFormattedCitation" : "(Koh et al., 2016)" }, "properties" : { "noteIndex" : 0 }, "schema" : "https://github.com/citation-style-language/schema/raw/master/csl-citation.json" }</w:instrText>
      </w:r>
      <w:r w:rsidRPr="008608AA">
        <w:fldChar w:fldCharType="separate"/>
      </w:r>
      <w:r w:rsidRPr="008608AA">
        <w:rPr>
          <w:noProof/>
        </w:rPr>
        <w:t>(Koh et al., 2016)</w:t>
      </w:r>
      <w:r w:rsidRPr="008608AA">
        <w:fldChar w:fldCharType="end"/>
      </w:r>
      <w:r w:rsidRPr="008608AA">
        <w:t xml:space="preserve">. The high use of pesticides across the Americas </w:t>
      </w:r>
      <w:r w:rsidRPr="008608AA">
        <w:fldChar w:fldCharType="begin" w:fldLock="1"/>
      </w:r>
      <w:r w:rsidRPr="008608AA">
        <w:instrText>ADDIN CSL_CITATION { "citationItems" : [ { "id" : "ITEM-1", "itemData" : { "DOI" : "10.1007/s13593-014-0259-9", "ISSN" : "1774-0746", "abstract" : "Global crop production has doubled since the Green Revolution on the average, but crop yield has stagnated or even declined in some regions. In the same time, food demand has highly increased due to population growth and higher living standards. The use of pesticides and mineral fertilizers has improved crop yields but also contaminated food and the environment, thus leading to a global food crisis. Here, we reviewed the historical trends of global pesticide and fertilizer application, cereal yields, and production. Our main findings are as follows: (1) fertilizer and pesticide consumption increased for 35-40 % of the countries; (2) cereal production in 38 % of countries and yields in 47 % of countries either stagnated or decreased from 1961 to 2010; (3) countries showing stagnated or decreased yields are countries with low gross domestic product per capita, mainly situated in Africa, South America, and West Asia. Our findings thus evidence a global imbalance in food production and the usage of fertilizers and pesticides.", "author" : [ { "dropping-particle" : "", "family" : "Liu", "given" : "Yongbo", "non-dropping-particle" : "", "parse-names" : false, "suffix" : "" }, { "dropping-particle" : "", "family" : "Pan", "given" : "Xubin", "non-dropping-particle" : "", "parse-names" : false, "suffix" : "" }, { "dropping-particle" : "", "family" : "Li", "given" : "Junsheng", "non-dropping-particle" : "", "parse-names" : false, "suffix" : "" } ], "container-title" : "Agronomy for Sustainable Development", "id" : "ITEM-1", "issue" : "1", "issued" : { "date-parts" : [ [ "2015", "1" ] ] }, "page" : "83-93", "publisher" : "SPRINGER FRANCE", "publisher-place" : "22 RUE DE PALESTRO, PARIS, 75002, FRANCE", "title" : "A 1961-2010 record of fertilizer use, pesticide application and cereal yields: a review", "type" : "article-journal", "volume" : "35" }, "uris" : [ "http://www.mendeley.com/documents/?uuid=8cd0469b-d3ce-4a4d-9d37-d4a4e551aebd" ] } ], "mendeley" : { "formattedCitation" : "(Liu, Pan, &amp; Li, 2015)", "manualFormatting" : "(Liu et al., 2015)", "plainTextFormattedCitation" : "(Liu, Pan, &amp; Li, 2015)", "previouslyFormattedCitation" : "(Liu, Pan, &amp; Li, 2015)" }, "properties" : { "noteIndex" : 0 }, "schema" : "https://github.com/citation-style-language/schema/raw/master/csl-citation.json" }</w:instrText>
      </w:r>
      <w:r w:rsidRPr="008608AA">
        <w:fldChar w:fldCharType="separate"/>
      </w:r>
      <w:r w:rsidRPr="008608AA">
        <w:rPr>
          <w:noProof/>
        </w:rPr>
        <w:t>(Liu et al., 2015)</w:t>
      </w:r>
      <w:r w:rsidRPr="008608AA">
        <w:fldChar w:fldCharType="end"/>
      </w:r>
      <w:r w:rsidRPr="008608AA">
        <w:t xml:space="preserve"> is an important additive and interactive cause of bee declines </w:t>
      </w:r>
      <w:r w:rsidRPr="008608AA">
        <w:fldChar w:fldCharType="begin" w:fldLock="1"/>
      </w:r>
      <w:r w:rsidRPr="008608AA">
        <w:instrText>ADDIN CSL_CITATION { "citationItems" : [ { "id" : "ITEM-1", "itemData" : { "DOI" : "10.1126/science.1255957", "abstract" : "Bees are subject to numerous pressures in the modern world. The abundance and diversity of flowers has declined, bees are chronically exposed to cocktails of agrochemicals, and they are simultaneously exposed to novel parasites accidentally spread by humans. Climate change is likely to exacerbate these problems in the future. Stressors do not act in isolation; for example pesticide exposure can impair both detoxification mechanisms and immune responses, rendering bees more susceptible to parasites. It seems certain that chronic exposure to multiple, interacting stressors is driving honey bee colony losses and declines of wild pollinators, but such interactions are not addressed by current regulatory procedures and studying these interactions experimentally poses a major challenge. In the meantime, taking steps to reduce stress on bees would seem prudent; incorporating flower-rich habitat into farmland, reducing pesticide use through adopting more sustainable farming methods, and enforcing effective quarantine measures on bee movements are all practical measures that should be adopted. Effective monitoring of wild pollinator populations is urgently needed to inform management strategies into the future.", "author" : [ { "dropping-particle" : "", "family" : "Goulson", "given" : "Dave", "non-dropping-particle" : "", "parse-names" : false, "suffix" : "" }, { "dropping-particle" : "", "family" : "Nicholls", "given" : "Elizabeth", "non-dropping-particle" : "", "parse-names" : false, "suffix" : "" }, { "dropping-particle" : "", "family" : "Bot\u00edas", "given" : "Cristina", "non-dropping-particle" : "", "parse-names" : false, "suffix" : "" }, { "dropping-particle" : "", "family" : "Rotheray", "given" : "Ellen L.", "non-dropping-particle" : "", "parse-names" : false, "suffix" : "" } ], "container-title" : "Science", "id" : "ITEM-1", "issue" : "6229", "issued" : { "date-parts" : [ [ "2015" ] ] }, "page" : "1255957", "title" : "Bee declines driven by combined stress from parasites, pesticides, and lack of flowers", "type" : "article-journal", "volume" : "347" }, "uris" : [ "http://www.mendeley.com/documents/?uuid=94068362-094b-49e2-a092-6c34540411d7" ] } ], "mendeley" : { "formattedCitation" : "(Goulson, Nicholls, Bot\u00edas, &amp; Rotheray, 2015)", "manualFormatting" : "(Goulson et al., 2015)", "plainTextFormattedCitation" : "(Goulson, Nicholls, Bot\u00edas, &amp; Rotheray, 2015)", "previouslyFormattedCitation" : "(Goulson, Nicholls, Bot\u00edas, &amp; Rotheray, 2015)" }, "properties" : { "noteIndex" : 0 }, "schema" : "https://github.com/citation-style-language/schema/raw/master/csl-citation.json" }</w:instrText>
      </w:r>
      <w:r w:rsidRPr="008608AA">
        <w:fldChar w:fldCharType="separate"/>
      </w:r>
      <w:r w:rsidRPr="008608AA">
        <w:rPr>
          <w:noProof/>
        </w:rPr>
        <w:t>(Goulson et al., 2015)</w:t>
      </w:r>
      <w:r w:rsidRPr="008608AA">
        <w:fldChar w:fldCharType="end"/>
      </w:r>
      <w:r w:rsidRPr="008608AA">
        <w:t xml:space="preserve">. </w:t>
      </w:r>
    </w:p>
    <w:p w14:paraId="5DCB9626" w14:textId="77777777" w:rsidR="00FE65F2" w:rsidRPr="008608AA" w:rsidRDefault="004255E7" w:rsidP="00FE65F2">
      <w:pPr>
        <w:spacing w:after="120"/>
      </w:pPr>
      <w:r w:rsidRPr="008608AA">
        <w:t xml:space="preserve">Aquaculture has increased in the Americas. In the USA, aquaculture growth for marine fish and shellfish has been below the world average, rising annually by 4% in volume and 1% in value </w:t>
      </w:r>
      <w:r w:rsidRPr="008608AA">
        <w:fldChar w:fldCharType="begin" w:fldLock="1"/>
      </w:r>
      <w:r w:rsidRPr="008608AA">
        <w:instrText>ADDIN CSL_CITATION { "citationItems" : [ { "id" : "ITEM-1", "itemData" : { "author" : [ { "dropping-particle" : "", "family" : "Naylor", "given" : "R. L.", "non-dropping-particle" : "", "parse-names" : false, "suffix" : "" } ], "container-title" : "Issues in Science and Technology", "id" : "ITEM-1", "issue" : "3", "issued" : { "date-parts" : [ [ "2006" ] ] }, "page" : "53-58", "title" : "Environmental safeguards for open-ocean aquaculture.", "type" : "article-journal", "volume" : "22" }, "uris" : [ "http://www.mendeley.com/documents/?uuid=baf22183-8e6d-495d-9d26-e94f8882e4e7" ] } ], "mendeley" : { "formattedCitation" : "(Naylor, 2006)", "plainTextFormattedCitation" : "(Naylor, 2006)", "previouslyFormattedCitation" : "(Naylor, 2006)" }, "properties" : { "noteIndex" : 0 }, "schema" : "https://github.com/citation-style-language/schema/raw/master/csl-citation.json" }</w:instrText>
      </w:r>
      <w:r w:rsidRPr="008608AA">
        <w:fldChar w:fldCharType="separate"/>
      </w:r>
      <w:r w:rsidRPr="008608AA">
        <w:rPr>
          <w:noProof/>
        </w:rPr>
        <w:t>(Naylor, 2006)</w:t>
      </w:r>
      <w:r w:rsidRPr="008608AA">
        <w:fldChar w:fldCharType="end"/>
      </w:r>
      <w:r w:rsidRPr="008608AA">
        <w:t xml:space="preserve">. The main marine species are Atlantic salmon, shrimp, oysters, and hard clams, which together account for about one-quarter of total USA aquaculture production. In South America, Chile is now the second largest producer of salmon globally after Norway </w:t>
      </w:r>
      <w:r w:rsidRPr="008608AA">
        <w:fldChar w:fldCharType="begin" w:fldLock="1"/>
      </w:r>
      <w:r w:rsidRPr="008608AA">
        <w:instrText>ADDIN CSL_CITATION { "citationItems" : [ { "id" : "ITEM-1", "itemData" : { "DOI" : "10.1016/j.icesjms.2006.04.021", "ISBN" : "1054-3139", "ISSN" : "10543139", "abstract" : "The production of farmed salmonids in Chile reached 550 000 t in 2004. The industry is considered to be consolidated, but with potential for further expansion to the south into pristine coastal areas. The environmental impacts of the salmonid farming industry in Chile were reviewed in 1996, and evidence at that time did not suggest significant adverse effects. However, after almost ten years of sustained growth, current evidence indicates that significant loss of benthic biodiversity and localized changes in the physico-chemical properties of sediments have occurred in areas with salmonid farms. Furthermore, the presence of these farms significantly increases in pulses the density of dinoflagellates. Data suggest that escaped farmed fish may have an impact on native species, although their survival in the wild appears low. The abundance of omnivorous diving and carrion-feeding marine birds increased from twofold to fivefold in areas with salmon farms compared with control areas without them. It is urgent that an ecosystem approach be implemented to assess all impacts of salmonid farming on coastal ecosystems in southern Chile. \u00a9 2006 International Council for the Exploration of the Sea.", "author" : [ { "dropping-particle" : "", "family" : "Buschmann", "given" : "Alejandro H.", "non-dropping-particle" : "", "parse-names" : false, "suffix" : "" }, { "dropping-particle" : "", "family" : "Riquelme", "given" : "Ver\u00f3nica A.", "non-dropping-particle" : "", "parse-names" : false, "suffix" : "" }, { "dropping-particle" : "", "family" : "Hern\u00e1ndez-Gonz\u00e1lez", "given" : "Mar\u00eda C.", "non-dropping-particle" : "", "parse-names" : false, "suffix" : "" }, { "dropping-particle" : "", "family" : "Varela", "given" : "Daniel", "non-dropping-particle" : "", "parse-names" : false, "suffix" : "" }, { "dropping-particle" : "", "family" : "Jim\u00e9nez", "given" : "Jaime E.", "non-dropping-particle" : "", "parse-names" : false, "suffix" : "" }, { "dropping-particle" : "", "family" : "Henr\u00edquez", "given" : "Luis A.", "non-dropping-particle" : "", "parse-names" : false, "suffix" : "" }, { "dropping-particle" : "", "family" : "Vergara", "given" : "Pedro A.", "non-dropping-particle" : "", "parse-names" : false, "suffix" : "" }, { "dropping-particle" : "", "family" : "Gu\u00ed\u00f1ez", "given" : "Ricardo", "non-dropping-particle" : "", "parse-names" : false, "suffix" : "" }, { "dropping-particle" : "", "family" : "Fil\u00fan", "given" : "Luis", "non-dropping-particle" : "", "parse-names" : false, "suffix" : "" } ], "container-title" : "ICES Journal of Marine Science", "id" : "ITEM-1", "issue" : "7", "issued" : { "date-parts" : [ [ "2006" ] ] }, "page" : "1338-1345", "title" : "A review of the impacts of salmonid farming on marine coastal ecosystems in the southeast Pacific", "type" : "article-journal", "volume" : "63" }, "uris" : [ "http://www.mendeley.com/documents/?uuid=d7193929-716f-40d7-9a65-c4f2e5f3770b" ] } ], "mendeley" : { "formattedCitation" : "(Buschmann et al., 2006)", "plainTextFormattedCitation" : "(Buschmann et al., 2006)", "previouslyFormattedCitation" : "(Buschmann et al., 2006)" }, "properties" : { "noteIndex" : 0 }, "schema" : "https://github.com/citation-style-language/schema/raw/master/csl-citation.json" }</w:instrText>
      </w:r>
      <w:r w:rsidRPr="008608AA">
        <w:fldChar w:fldCharType="separate"/>
      </w:r>
      <w:r w:rsidRPr="008608AA">
        <w:rPr>
          <w:noProof/>
        </w:rPr>
        <w:t>(Buschmann et al., 2006)</w:t>
      </w:r>
      <w:r w:rsidRPr="008608AA">
        <w:fldChar w:fldCharType="end"/>
      </w:r>
      <w:r w:rsidRPr="008608AA">
        <w:t xml:space="preserve">. Excessive use of antibiotics in Chilean salmon farms have resulted in antibiotic resistance </w:t>
      </w:r>
      <w:r w:rsidRPr="008608AA">
        <w:fldChar w:fldCharType="begin" w:fldLock="1"/>
      </w:r>
      <w:r w:rsidRPr="008608AA">
        <w:instrText>ADDIN CSL_CITATION { "citationItems" : [ { "id" : "ITEM-1", "itemData" : { "author" : [ { "dropping-particle" : "", "family" : "Burridge", "given" : "L.", "non-dropping-particle" : "", "parse-names" : false, "suffix" : "" }, { "dropping-particle" : "", "family" : "Weis", "given" : "J. S.", "non-dropping-particle" : "", "parse-names" : false, "suffix" : "" }, { "dropping-particle" : "", "family" : "Cabello", "given" : "F.", "non-dropping-particle" : "", "parse-names" : false, "suffix" : "" }, { "dropping-particle" : "", "family" : "Pizarro", "given" : "J.", "non-dropping-particle" : "", "parse-names" : false, "suffix" : "" }, { "dropping-particle" : "", "family" : "Bostick", "given" : "K.", "non-dropping-particle" : "", "parse-names" : false, "suffix" : "" } ], "container-title" : "Aquaculture", "id" : "ITEM-1", "issue" : "1", "issued" : { "date-parts" : [ [ "2010" ] ] }, "page" : "7-23", "title" : "Chemical use in salmon aquaculture: A review of current practices and possible environmental effects", "type" : "article-journal", "volume" : "306" }, "uris" : [ "http://www.mendeley.com/documents/?uuid=f2bd2bf4-c1e4-40aa-83f5-693c7ace27e5" ] } ], "mendeley" : { "formattedCitation" : "(Burridge, Weis, Cabello, Pizarro, &amp; Bostick, 2010)", "manualFormatting" : "(Burridge et al., 2010)", "plainTextFormattedCitation" : "(Burridge, Weis, Cabello, Pizarro, &amp; Bostick, 2010)", "previouslyFormattedCitation" : "(Burridge, Weis, Cabello, Pizarro, &amp; Bostick, 2010)" }, "properties" : { "noteIndex" : 0 }, "schema" : "https://github.com/citation-style-language/schema/raw/master/csl-citation.json" }</w:instrText>
      </w:r>
      <w:r w:rsidRPr="008608AA">
        <w:fldChar w:fldCharType="separate"/>
      </w:r>
      <w:r w:rsidRPr="008608AA">
        <w:rPr>
          <w:noProof/>
        </w:rPr>
        <w:t>(Burridge et al., 2010)</w:t>
      </w:r>
      <w:r w:rsidRPr="008608AA">
        <w:fldChar w:fldCharType="end"/>
      </w:r>
      <w:r w:rsidRPr="008608AA">
        <w:t>, and this trend may be widespread.</w:t>
      </w:r>
    </w:p>
    <w:p w14:paraId="2B212F5E" w14:textId="664C0632" w:rsidR="004255E7" w:rsidRPr="008608AA" w:rsidRDefault="004255E7" w:rsidP="00FE65F2">
      <w:pPr>
        <w:spacing w:after="120"/>
      </w:pPr>
      <w:r w:rsidRPr="008608AA">
        <w:t xml:space="preserve"> </w:t>
      </w:r>
    </w:p>
    <w:p w14:paraId="3322E039" w14:textId="034738F4" w:rsidR="004255E7" w:rsidRDefault="004255E7" w:rsidP="00FE65F2">
      <w:pPr>
        <w:pStyle w:val="Heading3"/>
        <w:rPr>
          <w:lang w:val="en-US"/>
        </w:rPr>
      </w:pPr>
      <w:bookmarkStart w:id="1053" w:name="_Toc502927354"/>
      <w:bookmarkStart w:id="1054" w:name="_Toc502951173"/>
      <w:bookmarkStart w:id="1055" w:name="_Toc502953616"/>
      <w:bookmarkStart w:id="1056" w:name="_Toc502954909"/>
      <w:bookmarkStart w:id="1057" w:name="_Toc502957716"/>
      <w:bookmarkStart w:id="1058" w:name="_Toc502957915"/>
      <w:bookmarkStart w:id="1059" w:name="_Toc502958069"/>
      <w:bookmarkStart w:id="1060" w:name="_Toc503293117"/>
      <w:bookmarkStart w:id="1061" w:name="_Toc503293715"/>
      <w:bookmarkStart w:id="1062" w:name="_Toc503293977"/>
      <w:bookmarkStart w:id="1063" w:name="_Toc503863370"/>
      <w:bookmarkStart w:id="1064" w:name="_Toc503863598"/>
      <w:bookmarkStart w:id="1065" w:name="_Toc517393308"/>
      <w:bookmarkStart w:id="1066" w:name="_Toc517719049"/>
      <w:bookmarkStart w:id="1067" w:name="_Toc517797006"/>
      <w:r w:rsidRPr="008608AA">
        <w:rPr>
          <w:lang w:val="en-US"/>
        </w:rPr>
        <w:t xml:space="preserve">Emerging diseases </w:t>
      </w:r>
      <w:r w:rsidRPr="008608AA">
        <w:t>and</w:t>
      </w:r>
      <w:r w:rsidRPr="008608AA">
        <w:rPr>
          <w:lang w:val="en-US"/>
        </w:rPr>
        <w:t xml:space="preserve"> biodiversity</w:t>
      </w:r>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r w:rsidRPr="008608AA">
        <w:rPr>
          <w:lang w:val="en-US"/>
        </w:rPr>
        <w:t xml:space="preserve"> </w:t>
      </w:r>
    </w:p>
    <w:p w14:paraId="5E60A794" w14:textId="77777777" w:rsidR="00843724" w:rsidRPr="00843724" w:rsidRDefault="00843724" w:rsidP="00843724">
      <w:pPr>
        <w:rPr>
          <w:lang w:eastAsia="es-CO"/>
        </w:rPr>
      </w:pPr>
    </w:p>
    <w:p w14:paraId="5C00B196" w14:textId="77777777" w:rsidR="004255E7" w:rsidRPr="008608AA" w:rsidRDefault="004255E7" w:rsidP="00FE65F2">
      <w:pPr>
        <w:spacing w:after="120"/>
      </w:pPr>
      <w:r w:rsidRPr="008608AA">
        <w:t xml:space="preserve">Emerging infectious diseases have become a major concern </w:t>
      </w:r>
      <w:r w:rsidRPr="008608AA">
        <w:fldChar w:fldCharType="begin" w:fldLock="1"/>
      </w:r>
      <w:r w:rsidRPr="008608AA">
        <w:instrText>ADDIN CSL_CITATION { "citationItems" : [ { "id" : "ITEM-1", "itemData" : { "DOI" : "10.1111/j.1365-2435.2012.02031.x", "ISBN" : "0269-8463", "ISSN" : "02698463", "abstract" : "* Emerging infectious diseases (EIDs) are recognized as having significant social, economic and ecological costs, threatening human health, food security, wildlife conservation and biodiversity. We review the processes underlying the emergence of infectious disease, focusing on the similarities and differences between conceptual models of disease emergence and biological invasions in general. * Study of the IUCN's list of the world's worst invaders reveals that disease is cited as a driver behind the conservation, medical or economic impact of nearly a quarter of the species on the data base. * The emergence of novel diseases in new host species are, in essence, examples of invasions by parasites. Many of the ecological and anthropogenic drivers of disease emergence and classical invasions are also shared, with environmental change and global transport providing opportunities for the introduction and spread of invaders and novel parasites. * The phases of disease emergence and biological invasions have many parallels; particularly the early and late phases, where demographic and anthropogenic factors are key drivers. However, there are also differences in the intermediate phases, where host\u2013parasite co-evolution plays a crucial role in determining parasite establishment in novel hosts. * Similar opportunities and constraints on control and management occur at the different phases of invasions and disease emergence. However, exploitation of host immune responses offers additional control opportunities through contact control and vaccination against EIDs. We propose that cross-fertilization between the disciplines of disease emergence and invasion biology may provide further insights into their prediction, control and management.", "author" : [ { "dropping-particle" : "", "family" : "Hatcher", "given" : "Melanie J.", "non-dropping-particle" : "", "parse-names" : false, "suffix" : "" }, { "dropping-particle" : "", "family" : "Dick", "given" : "Jaimie T.A.", "non-dropping-particle" : "", "parse-names" : false, "suffix" : "" }, { "dropping-particle" : "", "family" : "Dunn", "given" : "Alison M.", "non-dropping-particle" : "", "parse-names" : false, "suffix" : "" } ], "container-title" : "Functional Ecology", "id" : "ITEM-1", "issue" : "6", "issued" : { "date-parts" : [ [ "2012" ] ] }, "page" : "1275-1287", "title" : "Disease emergence and invasions", "type" : "article-journal", "volume" : "26" }, "uris" : [ "http://www.mendeley.com/documents/?uuid=c9b92013-9bb2-40b8-8438-9fb5261d393e" ] } ], "mendeley" : { "formattedCitation" : "(Hatcher, Dick, &amp; Dunn, 2012)", "manualFormatting" : "(Hatcher et al., 2012)", "plainTextFormattedCitation" : "(Hatcher, Dick, &amp; Dunn, 2012)", "previouslyFormattedCitation" : "(Hatcher, Dick, &amp; Dunn, 2012)" }, "properties" : { "noteIndex" : 0 }, "schema" : "https://github.com/citation-style-language/schema/raw/master/csl-citation.json" }</w:instrText>
      </w:r>
      <w:r w:rsidRPr="008608AA">
        <w:fldChar w:fldCharType="separate"/>
      </w:r>
      <w:r w:rsidRPr="008608AA">
        <w:rPr>
          <w:noProof/>
        </w:rPr>
        <w:t>(Hatcher et al., 2012)</w:t>
      </w:r>
      <w:r w:rsidRPr="008608AA">
        <w:fldChar w:fldCharType="end"/>
      </w:r>
      <w:r w:rsidRPr="008608AA">
        <w:t xml:space="preserve">. Bacteria, viruses, protozoan, fungi, helminths and drug-resistant microbes are commonly reported in emerging infectious diseases outbreaks worldwide affecting a wide taxonomic spectrum </w:t>
      </w:r>
      <w:r w:rsidRPr="008608AA">
        <w:fldChar w:fldCharType="begin" w:fldLock="1"/>
      </w:r>
      <w:r w:rsidRPr="008608AA">
        <w:instrText>ADDIN CSL_CITATION { "citationItems" : [ { "id" : "ITEM-1", "itemData" : { "DOI" : "10.1111/j.1523-1739.2007.00776.x", "ISBN" : "1523-1739 (Electronic)\\n0888-8892 (Linking)", "ISSN" : "08888892", "PMID" : "17883492", "abstract" : "Parasite-driven declines in wildlife have become increasingly common and can pose significant risks to natural populations. We used the IUCN Red List of Threatened and Endangered Species and compiled data on hosts threatened by infectious disease and their parasites to better understand the role of infectious disease in contemporary host extinctions. The majority of mammal species considered threatened by parasites were either carnivores or artiodactyls, two clades that include the majority of domesticated animals. Parasites affecting host threat status were predominantly viruses and bacteria that infect a wide range of host species, including domesticated animals. Counter to our predictions, parasites transmitted by close contact were more likely to cause extinction risk than those transmitted by other routes. Mammal species threatened by parasites were not better studied for infectious diseases than other threatened mammals and did not have more parasites or differ in four key traits demonstrated to affect parasite species richness in other comparative studies. Our findings underscore the need for better information concerning the distribution and impacts of infectious diseases in populations of endangered mammals. In addition, our results suggest that evolutionary similarity to domesticated animals may be a key factor associated with parasite-mediated declines; thus, efforts to limit contact between domesticated hosts and wildlife could reduce extinction risk.", "author" : [ { "dropping-particle" : "", "family" : "Pedersen", "given" : "Amy B.", "non-dropping-particle" : "", "parse-names" : false, "suffix" : "" }, { "dropping-particle" : "", "family" : "Jones", "given" : "Kate E.", "non-dropping-particle" : "", "parse-names" : false, "suffix" : "" }, { "dropping-particle" : "", "family" : "Nunn", "given" : "Charles L.", "non-dropping-particle" : "", "parse-names" : false, "suffix" : "" }, { "dropping-particle" : "", "family" : "Altizer", "given" : "Sonia", "non-dropping-particle" : "", "parse-names" : false, "suffix" : "" } ], "container-title" : "Conservation Biology", "id" : "ITEM-1", "issue" : "5", "issued" : { "date-parts" : [ [ "2007" ] ] }, "page" : "1269-1279", "title" : "Infectious diseases and extinction risk in wild mammals", "type" : "article-journal", "volume" : "21" }, "uris" : [ "http://www.mendeley.com/documents/?uuid=88ea027f-ebc1-4036-9aaa-d5c3a908920e" ] }, { "id" : "ITEM-2", "itemData" : { "DOI" : "10.1038/nature06536", "ISBN" : "1476-4687 (Electronic) 0028-0836 (Linking)", "ISSN" : "0028-0836", "PMID" : "18288193", "abstract" : "Emerging infectious diseases (EIDs) are a significant burden on global economies and public health. Their emergence is thought to be driven largely by socio-economic, environmental and ecological factors, but no comparative study has explicitly analysed these linkages to understand global temporal and spatial patterns of EIDs. Here we analyse a database of 335 EID 'events' (origins of EIDs) between 1940 and 2004, and demonstrate non-random global patterns. EID events have risen significantly over time after controlling for reporting bias, with their peak incidence (in the 1980s) concomitant with the HIV pandemic. EID events are dominated by zoonoses (60.3% of EIDs): the majority of these (71.8%) originate in wildlife (for example, severe acute respiratory virus, Ebola virus), and are increasing significantly over time. We find that 54.3% of EID events are caused by bacteria or rickettsia, reflecting a large number of drug-resistant microbes in our database. Our results confirm that EID origins are significantly correlated with socio-economic, environmental and ecological factors, and provide a basis for identifying regions where new EIDs are most likely to originate (emerging disease 'hotspots'). They also reveal a substantial risk of wildlife zoonotic and vector-borne EIDs originating at lower latitudes where reporting effort is low. We conclude that global resources to counter disease emergence are poorly allocated, with the majority of the scientific and surveillance effort focused on countries from where the next important EID is least likely to originate", "author" : [ { "dropping-particle" : "", "family" : "Jones", "given" : "Kate E.", "non-dropping-particle" : "", "parse-names" : false, "suffix" : "" }, { "dropping-particle" : "", "family" : "Patel", "given" : "Nikkita G.", "non-dropping-particle" : "", "parse-names" : false, "suffix" : "" }, { "dropping-particle" : "", "family" : "Levy", "given" : "Marc A.", "non-dropping-particle" : "", "parse-names" : false, "suffix" : "" }, { "dropping-particle" : "", "family" : "Storeygard", "given" : "Adam", "non-dropping-particle" : "", "parse-names" : false, "suffix" : "" }, { "dropping-particle" : "", "family" : "Balk", "given" : "Deborah", "non-dropping-particle" : "", "parse-names" : false, "suffix" : "" }, { "dropping-particle" : "", "family" : "Gittleman", "given" : "John L.", "non-dropping-particle" : "", "parse-names" : false, "suffix" : "" }, { "dropping-particle" : "", "family" : "Daszak", "given" : "Peter", "non-dropping-particle" : "", "parse-names" : false, "suffix" : "" } ], "container-title" : "Nature", "id" : "ITEM-2", "issue" : "7181", "issued" : { "date-parts" : [ [ "2008" ] ] }, "page" : "990-993", "title" : "Global trends in emerging infectious diseases", "type" : "article-journal", "volume" : "451" }, "uris" : [ "http://www.mendeley.com/documents/?uuid=91cb4262-35e5-4ef5-9931-47fbb50dc780" ] } ], "mendeley" : { "formattedCitation" : "(Jones et al., 2008; Pedersen, Jones, Nunn, &amp; Altizer, 2007)", "manualFormatting" : "(Jones et al., 2008; Pedersen et al., 2007)", "plainTextFormattedCitation" : "(Jones et al., 2008; Pedersen, Jones, Nunn, &amp; Altizer, 2007)", "previouslyFormattedCitation" : "(Jones et al., 2008; Pedersen, Jones, Nunn, &amp; Altizer, 2007)" }, "properties" : { "noteIndex" : 0 }, "schema" : "https://github.com/citation-style-language/schema/raw/master/csl-citation.json" }</w:instrText>
      </w:r>
      <w:r w:rsidRPr="008608AA">
        <w:fldChar w:fldCharType="separate"/>
      </w:r>
      <w:r w:rsidRPr="008608AA">
        <w:rPr>
          <w:noProof/>
        </w:rPr>
        <w:t>(Jones et al., 2008; Pedersen et al., 2007)</w:t>
      </w:r>
      <w:r w:rsidRPr="008608AA">
        <w:fldChar w:fldCharType="end"/>
      </w:r>
      <w:r w:rsidRPr="008608AA">
        <w:t xml:space="preserve">. Multiple mechanisms and causes for emerging infectious diseases have been recognized, including biodiversity loss, land use change, urbanization, climate change, human demographics, international travel and commerce, species invasions, pollution, microbial adaptation, war and famine, poverty, and breakdown of public and animal health measures </w:t>
      </w:r>
      <w:r w:rsidRPr="008608AA">
        <w:fldChar w:fldCharType="begin" w:fldLock="1"/>
      </w:r>
      <w:r w:rsidRPr="008608AA">
        <w:instrText>ADDIN CSL_CITATION { "citationItems" : [ { "id" : "ITEM-1", "itemData" : { "DOI" : "10.1038/nature06536", "ISBN" : "1476-4687 (Electronic) 0028-0836 (Linking)", "ISSN" : "0028-0836", "PMID" : "18288193", "abstract" : "Emerging infectious diseases (EIDs) are a significant burden on global economies and public health. Their emergence is thought to be driven largely by socio-economic, environmental and ecological factors, but no comparative study has explicitly analysed these linkages to understand global temporal and spatial patterns of EIDs. Here we analyse a database of 335 EID 'events' (origins of EIDs) between 1940 and 2004, and demonstrate non-random global patterns. EID events have risen significantly over time after controlling for reporting bias, with their peak incidence (in the 1980s) concomitant with the HIV pandemic. EID events are dominated by zoonoses (60.3% of EIDs): the majority of these (71.8%) originate in wildlife (for example, severe acute respiratory virus, Ebola virus), and are increasing significantly over time. We find that 54.3% of EID events are caused by bacteria or rickettsia, reflecting a large number of drug-resistant microbes in our database. Our results confirm that EID origins are significantly correlated with socio-economic, environmental and ecological factors, and provide a basis for identifying regions where new EIDs are most likely to originate (emerging disease 'hotspots'). They also reveal a substantial risk of wildlife zoonotic and vector-borne EIDs originating at lower latitudes where reporting effort is low. We conclude that global resources to counter disease emergence are poorly allocated, with the majority of the scientific and surveillance effort focused on countries from where the next important EID is least likely to originate", "author" : [ { "dropping-particle" : "", "family" : "Jones", "given" : "Kate E.", "non-dropping-particle" : "", "parse-names" : false, "suffix" : "" }, { "dropping-particle" : "", "family" : "Patel", "given" : "Nikkita G.", "non-dropping-particle" : "", "parse-names" : false, "suffix" : "" }, { "dropping-particle" : "", "family" : "Levy", "given" : "Marc A.", "non-dropping-particle" : "", "parse-names" : false, "suffix" : "" }, { "dropping-particle" : "", "family" : "Storeygard", "given" : "Adam", "non-dropping-particle" : "", "parse-names" : false, "suffix" : "" }, { "dropping-particle" : "", "family" : "Balk", "given" : "Deborah", "non-dropping-particle" : "", "parse-names" : false, "suffix" : "" }, { "dropping-particle" : "", "family" : "Gittleman", "given" : "John L.", "non-dropping-particle" : "", "parse-names" : false, "suffix" : "" }, { "dropping-particle" : "", "family" : "Daszak", "given" : "Peter", "non-dropping-particle" : "", "parse-names" : false, "suffix" : "" } ], "container-title" : "Nature", "id" : "ITEM-1", "issue" : "7181", "issued" : { "date-parts" : [ [ "2008" ] ] }, "page" : "990-993", "title" : "Global trends in emerging infectious diseases", "type" : "article-journal", "volume" : "451" }, "uris" : [ "http://www.mendeley.com/documents/?uuid=91cb4262-35e5-4ef5-9931-47fbb50dc780" ] }, { "id" : "ITEM-2", "itemData" : { "DOI" : "10.1111/j.1365-2435.2012.02031.x", "ISBN" : "0269-8463", "ISSN" : "02698463", "abstract" : "* Emerging infectious diseases (EIDs) are recognized as having significant social, economic and ecological costs, threatening human health, food security, wildlife conservation and biodiversity. We review the processes underlying the emergence of infectious disease, focusing on the similarities and differences between conceptual models of disease emergence and biological invasions in general. * Study of the IUCN's list of the world's worst invaders reveals that disease is cited as a driver behind the conservation, medical or economic impact of nearly a quarter of the species on the data base. * The emergence of novel diseases in new host species are, in essence, examples of invasions by parasites. Many of the ecological and anthropogenic drivers of disease emergence and classical invasions are also shared, with environmental change and global transport providing opportunities for the introduction and spread of invaders and novel parasites. * The phases of disease emergence and biological invasions have many parallels; particularly the early and late phases, where demographic and anthropogenic factors are key drivers. However, there are also differences in the intermediate phases, where host\u2013parasite co-evolution plays a crucial role in determining parasite establishment in novel hosts. * Similar opportunities and constraints on control and management occur at the different phases of invasions and disease emergence. However, exploitation of host immune responses offers additional control opportunities through contact control and vaccination against EIDs. We propose that cross-fertilization between the disciplines of disease emergence and invasion biology may provide further insights into their prediction, control and management.", "author" : [ { "dropping-particle" : "", "family" : "Hatcher", "given" : "Melanie J.", "non-dropping-particle" : "", "parse-names" : false, "suffix" : "" }, { "dropping-particle" : "", "family" : "Dick", "given" : "Jaimie T.A.", "non-dropping-particle" : "", "parse-names" : false, "suffix" : "" }, { "dropping-particle" : "", "family" : "Dunn", "given" : "Alison M.", "non-dropping-particle" : "", "parse-names" : false, "suffix" : "" } ], "container-title" : "Functional Ecology", "id" : "ITEM-2", "issue" : "6", "issued" : { "date-parts" : [ [ "2012" ] ] }, "page" : "1275-1287", "title" : "Disease emergence and invasions", "type" : "article-journal", "volume" : "26" }, "uris" : [ "http://www.mendeley.com/documents/?uuid=c9b92013-9bb2-40b8-8438-9fb5261d393e" ] }, { "id" : "ITEM-3", "itemData" : { "DOI" : "10.1089/vbz.2013.1563", "ISBN" : "1557-7759 (Electronic)\\r1530-3667 (Linking)", "ISSN" : "1530-3667", "PMID" : "26186515", "abstract" : "Abstract We used literature searches and a database of all reported emerging infectious diseases (EIDs) to analyze the most important transmission pathways (e.g., vector-borne, aerosol droplet transmitted) for emerging zoonoses. Our results suggest that at the broad scale, the likelihood of transmission occurring through any one pathway is approximately equal. However, the major transmission pathways for zoonoses differ widely according to the specific underlying drivers of EID events (e.g., land-use change, agricultural intensification). These results can be used to develop better targeting of surveillance for, and more effective control of newly emerged zoonoses in regions under different underlying pressures that drive disease emergence.", "author" : [ { "dropping-particle" : "", "family" : "Loh", "given" : "Elizabeth H.", "non-dropping-particle" : "", "parse-names" : false, "suffix" : "" }, { "dropping-particle" : "", "family" : "Zambrana-Torrelio", "given" : "Carlos", "non-dropping-particle" : "", "parse-names" : false, "suffix" : "" }, { "dropping-particle" : "", "family" : "Olival", "given" : "Kevin J.", "non-dropping-particle" : "", "parse-names" : false, "suffix" : "" }, { "dropping-particle" : "", "family" : "Bogich", "given" : "Tiffany L.", "non-dropping-particle" : "", "parse-names" : false, "suffix" : "" }, { "dropping-particle" : "", "family" : "Johnson", "given" : "Christine K.", "non-dropping-particle" : "", "parse-names" : false, "suffix" : "" }, { "dropping-particle" : "", "family" : "Mazet", "given" : "Jonna A. K.", "non-dropping-particle" : "", "parse-names" : false, "suffix" : "" }, { "dropping-particle" : "", "family" : "Karesh", "given" : "William", "non-dropping-particle" : "", "parse-names" : false, "suffix" : "" }, { "dropping-particle" : "", "family" : "Daszak", "given" : "Peter", "non-dropping-particle" : "", "parse-names" : false, "suffix" : "" } ], "container-title" : "Vector-Borne and Zoonotic Diseases", "id" : "ITEM-3", "issue" : "7", "issued" : { "date-parts" : [ [ "2015" ] ] }, "page" : "432-437", "title" : "Targeting transmission pathways for emerging zoonotic disease surveillance and control", "type" : "article-journal", "volume" : "15" }, "uris" : [ "http://www.mendeley.com/documents/?uuid=dcade9a4-5aa7-43b5-9fdd-7f89f5349593" ] } ], "mendeley" : { "formattedCitation" : "(Hatcher et al., 2012; Jones et al., 2008; Loh et al., 2015)", "plainTextFormattedCitation" : "(Hatcher et al., 2012; Jones et al., 2008; Loh et al., 2015)", "previouslyFormattedCitation" : "(Hatcher et al., 2012; Jones et al., 2008; Loh et al., 2015)" }, "properties" : { "noteIndex" : 0 }, "schema" : "https://github.com/citation-style-language/schema/raw/master/csl-citation.json" }</w:instrText>
      </w:r>
      <w:r w:rsidRPr="008608AA">
        <w:fldChar w:fldCharType="separate"/>
      </w:r>
      <w:r w:rsidRPr="008608AA">
        <w:rPr>
          <w:noProof/>
        </w:rPr>
        <w:t>(Hatcher et al., 2012; Jones et al., 2008; Loh et al., 2015)</w:t>
      </w:r>
      <w:r w:rsidRPr="008608AA">
        <w:fldChar w:fldCharType="end"/>
      </w:r>
      <w:r w:rsidRPr="008608AA">
        <w:t xml:space="preserve">. Individually or synergistically, these causes affect patterns of species distributions and favor invasions of reservoirs, hosts, vectors, and pathogens affecting native species </w:t>
      </w:r>
      <w:r w:rsidRPr="008608AA">
        <w:fldChar w:fldCharType="begin" w:fldLock="1"/>
      </w:r>
      <w:r w:rsidRPr="008608AA">
        <w:instrText>ADDIN CSL_CITATION { "citationItems" : [ { "id" : "ITEM-1", "itemData" : { "DOI" : "10.1038/nature09575", "ISBN" : "0028-0836", "ISSN" : "0028-0836", "PMID" : "21124449", "abstract" : "Current unprecedented declines in biodiversity reduce the ability of ecological communities to provide many fundamental ecosystem services. Here we evaluate evidence that reduced biodiversity affects the transmission of infectious diseases of humans, other animals and plants. In principle, loss of biodiversity could either increase or decrease disease transmission. However, mounting evidence indicates that biodiversity loss frequently increases disease transmission. In contrast, areas of naturally high biodiversity may serve as a source pool for new pathogens. Overall, despite many remaining questions, current evidence indicates that preserving intact ecosystems and their endemic biodiversity should generally reduce the prevalence of infectious diseases.", "author" : [ { "dropping-particle" : "", "family" : "Keesing", "given" : "Felicia", "non-dropping-particle" : "", "parse-names" : false, "suffix" : "" }, { "dropping-particle" : "", "family" : "Belden", "given" : "Lisa K.", "non-dropping-particle" : "", "parse-names" : false, "suffix" : "" }, { "dropping-particle" : "", "family" : "Daszak", "given" : "Peter", "non-dropping-particle" : "", "parse-names" : false, "suffix" : "" }, { "dropping-particle" : "", "family" : "Dobson", "given" : "Andrew", "non-dropping-particle" : "", "parse-names" : false, "suffix" : "" }, { "dropping-particle" : "", "family" : "Harvell", "given" : "C. Drew", "non-dropping-particle" : "", "parse-names" : false, "suffix" : "" }, { "dropping-particle" : "", "family" : "Holt", "given" : "Robert D.", "non-dropping-particle" : "", "parse-names" : false, "suffix" : "" }, { "dropping-particle" : "", "family" : "Hudson", "given" : "Peter", "non-dropping-particle" : "", "parse-names" : false, "suffix" : "" }, { "dropping-particle" : "", "family" : "Jolles", "given" : "Anna", "non-dropping-particle" : "", "parse-names" : false, "suffix" : "" }, { "dropping-particle" : "", "family" : "Jones", "given" : "Kate E.", "non-dropping-particle" : "", "parse-names" : false, "suffix" : "" }, { "dropping-particle" : "", "family" : "Mitchell", "given" : "Charles E.", "non-dropping-particle" : "", "parse-names" : false, "suffix" : "" }, { "dropping-particle" : "", "family" : "Myers", "given" : "Samuel S.", "non-dropping-particle" : "", "parse-names" : false, "suffix" : "" }, { "dropping-particle" : "", "family" : "Bogich", "given" : "Tiffany", "non-dropping-particle" : "", "parse-names" : false, "suffix" : "" }, { "dropping-particle" : "", "family" : "Ostfeld", "given" : "Richard S.", "non-dropping-particle" : "", "parse-names" : false, "suffix" : "" } ], "container-title" : "Nature", "id" : "ITEM-1", "issue" : "7324", "issued" : { "date-parts" : [ [ "2010" ] ] }, "page" : "647-652", "title" : "Impacts of biodiversity on the emergence and transmission of infectious diseases", "type" : "article-journal", "volume" : "468" }, "uris" : [ "http://www.mendeley.com/documents/?uuid=7db835cd-9dcb-4bcf-82e4-c7bad5e7b915" ] }, { "id" : "ITEM-2", "itemData" : { "DOI" : "10.1371/journal.pone.0005461", "ISBN" : "1932-6203 (Electronic)", "ISSN" : "19326203", "PMID" : "19421313", "abstract" : "Emerging and re-emerging infectious diseases have become a major global environmental problem with important public health, economic, and political consequences. The etiologic agents of most emerging infectious diseases are zoonotic, and anthropogenic environmental changes that affect wildlife communities are increasingly implicated in disease emergence and spread. Although increased disease incidence has been correlated with biodiversity loss for several zoonoses, experimental tests in these systems are lacking. We manipulated small-mammal biodiversity by removing non-reservoir species in replicated field plots in Panama, where zoonotic hantaviruses are endemic. Both infection prevalence of hantaviruses in wild reservoir (rodent) populations and reservoir population density increased where small-mammal species diversity was reduced. Regardless of other variables that affect the prevalence of directly transmitted infections in natural communities, high biodiversity is important in reducing transmission of zoonotic pathogens among wildlife hosts. Our results have wide applications in both conservation biology and infectious disease management.", "author" : [ { "dropping-particle" : "", "family" : "Suz\u00e1n", "given" : "Gerardo", "non-dropping-particle" : "", "parse-names" : false, "suffix" : "" }, { "dropping-particle" : "", "family" : "Marc\u00e9", "given" : "Erika", "non-dropping-particle" : "", "parse-names" : false, "suffix" : "" }, { "dropping-particle" : "", "family" : "Giermakowski", "given" : "J. Tomasz", "non-dropping-particle" : "", "parse-names" : false, "suffix" : "" }, { "dropping-particle" : "", "family" : "Mills", "given" : "James N.", "non-dropping-particle" : "", "parse-names" : false, "suffix" : "" }, { "dropping-particle" : "", "family" : "Ceballos", "given" : "Gerardo", "non-dropping-particle" : "", "parse-names" : false, "suffix" : "" }, { "dropping-particle" : "", "family" : "Ostfeld", "given" : "Richard S.", "non-dropping-particle" : "", "parse-names" : false, "suffix" : "" }, { "dropping-particle" : "", "family" : "Armi\u00e9n", "given" : "Blas", "non-dropping-particle" : "", "parse-names" : false, "suffix" : "" }, { "dropping-particle" : "", "family" : "Pascale", "given" : "Juan M.", "non-dropping-particle" : "", "parse-names" : false, "suffix" : "" }, { "dropping-particle" : "", "family" : "Yates", "given" : "Terry L.", "non-dropping-particle" : "", "parse-names" : false, "suffix" : "" } ], "container-title" : "PLoS ONE", "id" : "ITEM-2", "issue" : "5", "issued" : { "date-parts" : [ [ "2009" ] ] }, "page" : "e5461", "title" : "Experimental evidence for reduced rodent diversity causing increased hantavirus prevalence", "type" : "article-journal", "volume" : "4" }, "uris" : [ "http://www.mendeley.com/documents/?uuid=13d20c00-c24a-4ec3-bc92-fdc56197dae3" ] } ], "mendeley" : { "formattedCitation" : "(Keesing et al., 2010; Suz\u00e1n et al., 2009)", "plainTextFormattedCitation" : "(Keesing et al., 2010; Suz\u00e1n et al., 2009)", "previouslyFormattedCitation" : "(Keesing et al., 2010; Suz\u00e1n et al., 2009)" }, "properties" : { "noteIndex" : 0 }, "schema" : "https://github.com/citation-style-language/schema/raw/master/csl-citation.json" }</w:instrText>
      </w:r>
      <w:r w:rsidRPr="008608AA">
        <w:fldChar w:fldCharType="separate"/>
      </w:r>
      <w:r w:rsidRPr="008608AA">
        <w:rPr>
          <w:noProof/>
        </w:rPr>
        <w:t>(Keesing et al., 2010; Suzán et al., 2009)</w:t>
      </w:r>
      <w:r w:rsidRPr="008608AA">
        <w:fldChar w:fldCharType="end"/>
      </w:r>
      <w:r w:rsidRPr="008608AA">
        <w:t>.</w:t>
      </w:r>
    </w:p>
    <w:p w14:paraId="3F5898E2" w14:textId="1983D4DA" w:rsidR="001F4A3E" w:rsidRPr="008608AA" w:rsidRDefault="004255E7" w:rsidP="00FE65F2">
      <w:pPr>
        <w:spacing w:after="120"/>
      </w:pPr>
      <w:r w:rsidRPr="008608AA">
        <w:t xml:space="preserve">Emerging infectious diseases are reported in marine and terrestrial ecosystems and are responsible for several species and populations extinctions worldwide. Coral reef fragmentation, pollution, and warming have favored toxins and pathogens like </w:t>
      </w:r>
      <w:r w:rsidRPr="008608AA">
        <w:rPr>
          <w:i/>
        </w:rPr>
        <w:t>Serratia marcescens</w:t>
      </w:r>
      <w:r w:rsidRPr="008608AA">
        <w:t xml:space="preserve"> (white pox disease) and Vibrio AK-1 (coral bleaching), producing widespread coral reef mortality </w:t>
      </w:r>
      <w:r w:rsidRPr="008608AA">
        <w:fldChar w:fldCharType="begin" w:fldLock="1"/>
      </w:r>
      <w:r w:rsidRPr="008608AA">
        <w:instrText>ADDIN CSL_CITATION { "citationItems" : [ { "id" : "ITEM-1", "itemData" : { "DOI" : "10.1111/gcb.12450", "ISBN" : "1365-2486", "ISSN" : "13541013", "PMID" : "24277207", "abstract" : "Nutrient loading is one of the strongest drivers of marine habitat degradation. Yet, the link between nutrients and disease epizootics in marine organisms is often tenuous and supported only by correlative data. Here, we present experimental evidence that chronic nutrient exposure leads to increases in both disease prevalence and severity and coral bleaching in scleractinian corals, the major habitat-forming organisms in tropical reefs. Over 3 years, from June 2009 to June 2012, we continuously exposed areas of a coral reef to elevated levels of nitrogen and phosphorus. At the termination of the enrichment, we surveyed over 1200 scleractinian corals for signs of disease or bleaching. Siderastrea siderea corals within enrichment plots had a twofold increase in both the prevalence and severity of disease compared with corals in unenriched control plots. In addition, elevated nutrient loading increased coral bleaching; Agaricia spp. of corals exposed to nutrients suffered a 3.5-fold increase in bleaching frequency relative to control corals, providing empirical support for a hypothesized link between nutrient loading and bleaching-induced coral declines. However, 1 year later, after nutrient enrichment had been terminated for 10 months, there were no differences in coral disease or coral bleaching prevalence between the previously enriched and control treatments. Given that our experimental enrichments were well within the ranges of ambient nutrient concentrations found on many degraded reefs worldwide, these data provide strong empirical support to the idea that coastal nutrient loading is one of the major factors contributing to the increasing levels of both coral disease and coral bleaching. Yet, these data also suggest that simple improvements to water quality may be an effective way to mitigate some coral disease epizootics and the corresponding loss of coral cover in the future.", "author" : [ { "dropping-particle" : "", "family" : "Vega Thurber", "given" : "Rebecca L.", "non-dropping-particle" : "", "parse-names" : false, "suffix" : "" }, { "dropping-particle" : "", "family" : "Burkepile", "given" : "Deron E.", "non-dropping-particle" : "", "parse-names" : false, "suffix" : "" }, { "dropping-particle" : "", "family" : "Fuchs", "given" : "Corinne", "non-dropping-particle" : "", "parse-names" : false, "suffix" : "" }, { "dropping-particle" : "", "family" : "Shantz", "given" : "Andrew A.", "non-dropping-particle" : "", "parse-names" : false, "suffix" : "" }, { "dropping-particle" : "", "family" : "Mcminds", "given" : "Ryan", "non-dropping-particle" : "", "parse-names" : false, "suffix" : "" }, { "dropping-particle" : "", "family" : "Zaneveld", "given" : "Jesse R.", "non-dropping-particle" : "", "parse-names" : false, "suffix" : "" } ], "container-title" : "Global Change Biology", "id" : "ITEM-1", "issue" : "2", "issued" : { "date-parts" : [ [ "2014" ] ] }, "page" : "544-554", "title" : "Chronic nutrient enrichment increases prevalence and severity of coral disease and bleaching", "type" : "article-journal", "volume" : "20" }, "uris" : [ "http://www.mendeley.com/documents/?uuid=01d4758a-e3dc-48be-8606-5f0fd8624995" ] }, { "id" : "ITEM-2", "itemData" : { "DOI" : "10.1111/j.1462-2920.2010.02152.x", "ISBN" : "1462-2920 (Electronic)\\r1462-2912 (Linking)", "ISSN" : "14622912", "PMID" : "20132278", "abstract" : "Summary Caribbean elkhorn coral, Acropora palmata, has been decimated in recent years, resulting in the listing of this species as threatened under the United States Endangered Species Act. A major contributing factor in the decline of this iconic species is white pox disease. In 2002, we identified the faecal enterobacterium, Serratia marcescens, as an etiological agent for white pox. During outbreaks in 2003 a unique strain of S. marcescens was identified in both human sewage and white pox lesions. This strain (PDR60) was also identified from corallivorious snails (Coralliophila abbreviata), reef water, and two non-acroporid coral species, Siderastrea siderea and Solenastrea bournoni. Identification of PDR60 in sewage, diseased Acropora palmata and other reef invertebrates within a discrete time frame suggests a causal link between white pox and sewage contamination on reefs and supports the conclusion that humans are a likely source of this disease.", "author" : [ { "dropping-particle" : "", "family" : "Sutherland", "given" : "Kathryn Patterson", "non-dropping-particle" : "", "parse-names" : false, "suffix" : "" }, { "dropping-particle" : "", "family" : "Porter", "given" : "James W.", "non-dropping-particle" : "", "parse-names" : false, "suffix" : "" }, { "dropping-particle" : "", "family" : "Turner", "given" : "Jeffrey W.", "non-dropping-particle" : "", "parse-names" : false, "suffix" : "" }, { "dropping-particle" : "", "family" : "Thomas", "given" : "Brian J.", "non-dropping-particle" : "", "parse-names" : false, "suffix" : "" }, { "dropping-particle" : "", "family" : "Looney", "given" : "Erin E.", "non-dropping-particle" : "", "parse-names" : false, "suffix" : "" }, { "dropping-particle" : "", "family" : "Luna", "given" : "Trevor P.", "non-dropping-particle" : "", "parse-names" : false, "suffix" : "" }, { "dropping-particle" : "", "family" : "Meyers", "given" : "Meredith K.", "non-dropping-particle" : "", "parse-names" : false, "suffix" : "" }, { "dropping-particle" : "", "family" : "Futch", "given" : "J. Carrie", "non-dropping-particle" : "", "parse-names" : false, "suffix" : "" }, { "dropping-particle" : "", "family" : "Lipp", "given" : "Erin K.", "non-dropping-particle" : "", "parse-names" : false, "suffix" : "" } ], "container-title" : "Environmental Microbiology", "id" : "ITEM-2", "issue" : "5", "issued" : { "date-parts" : [ [ "2010" ] ] }, "page" : "1122-1131", "title" : "Human sewage identified as likely source of white pox disease of the threatened Caribbean elkhorn coral, &lt;i&gt;Acropora palmata&lt;/i&gt;", "type" : "article-journal", "volume" : "12" }, "uris" : [ "http://www.mendeley.com/documents/?uuid=47206f9a-6dd0-4ad5-bb22-e0dbd909e3b6" ] } ], "mendeley" : { "formattedCitation" : "(K. P. Sutherland et al., 2010; Vega Thurber et al., 2014)", "manualFormatting" : "(Sutherland, Porter et al., 2010; Vega Thurber et al., 2014)", "plainTextFormattedCitation" : "(K. P. Sutherland et al., 2010; Vega Thurber et al., 2014)", "previouslyFormattedCitation" : "(K. P. Sutherland et al., 2010; Vega Thurber et al., 2014)" }, "properties" : { "noteIndex" : 0 }, "schema" : "https://github.com/citation-style-language/schema/raw/master/csl-citation.json" }</w:instrText>
      </w:r>
      <w:r w:rsidRPr="008608AA">
        <w:fldChar w:fldCharType="separate"/>
      </w:r>
      <w:r w:rsidR="006528B0" w:rsidRPr="008608AA">
        <w:rPr>
          <w:noProof/>
        </w:rPr>
        <w:t xml:space="preserve">(Sutherland </w:t>
      </w:r>
      <w:r w:rsidRPr="008608AA">
        <w:rPr>
          <w:noProof/>
        </w:rPr>
        <w:t>et al., 2010; Vega Thurber et al., 2014)</w:t>
      </w:r>
      <w:r w:rsidRPr="008608AA">
        <w:fldChar w:fldCharType="end"/>
      </w:r>
      <w:r w:rsidRPr="008608AA">
        <w:t xml:space="preserve">. Likewise, marine mammals have been threatened by morbilliviruses, poxviruses, and papillomaviruses globally </w:t>
      </w:r>
      <w:r w:rsidRPr="008608AA">
        <w:fldChar w:fldCharType="begin" w:fldLock="1"/>
      </w:r>
      <w:r w:rsidRPr="008608AA">
        <w:instrText>ADDIN CSL_CITATION { "citationItems" : [ { "id" : "ITEM-1", "itemData" : { "DOI" : "10.1126/science.285.5433.1505", "ISBN" : "0036-8075", "ISSN" : "00368075", "PMID" : "10498537", "abstract" : "Mass mortalities due to disease outbreaks have recently affected major taxa in the oceans. For closely monitored groups like corals and marine mammals, reports of the frequency of epidemics and the number of new diseases have increased recently. A dramatic global increase in the severity of coral bleaching in 1997-98 is coincident with high El Ni\u00f1o temperatures. Such climate-mediated, physiological stresses may compromise host resistance and increase frequency of opportunistic diseases. Where documented, new diseases typically have emerged through host or range shifts of known pathogens. Both climate and human activities may have also accelerated global transport of species, bringing together pathogens and previously unexposed host populations.", "author" : [ { "dropping-particle" : "", "family" : "Harvell", "given" : "C.D.", "non-dropping-particle" : "", "parse-names" : false, "suffix" : "" } ], "container-title" : "Science", "id" : "ITEM-1", "issue" : "5433", "issued" : { "date-parts" : [ [ "1999" ] ] }, "page" : "1505-1510", "title" : "Emerging marine diseases--climate links and anthropogenic factors", "type" : "article-journal", "volume" : "285" }, "uris" : [ "http://www.mendeley.com/documents/?uuid=7fb789aa-1a2c-48f3-a18c-03f36fc7f18a" ] } ], "mendeley" : { "formattedCitation" : "(Harvell, 1999)", "plainTextFormattedCitation" : "(Harvell, 1999)", "previouslyFormattedCitation" : "(Harvell, 1999)" }, "properties" : { "noteIndex" : 0 }, "schema" : "https://github.com/citation-style-language/schema/raw/master/csl-citation.json" }</w:instrText>
      </w:r>
      <w:r w:rsidRPr="008608AA">
        <w:fldChar w:fldCharType="separate"/>
      </w:r>
      <w:r w:rsidRPr="008608AA">
        <w:rPr>
          <w:noProof/>
        </w:rPr>
        <w:t>(Harvell, 1999)</w:t>
      </w:r>
      <w:r w:rsidRPr="008608AA">
        <w:fldChar w:fldCharType="end"/>
      </w:r>
      <w:r w:rsidRPr="008608AA">
        <w:t>. In terrestrial systems, plant communities have been decimated by emerging infectious diseases such as Dutch elm disease (</w:t>
      </w:r>
      <w:r w:rsidRPr="008608AA">
        <w:rPr>
          <w:i/>
        </w:rPr>
        <w:t xml:space="preserve">Ophiostoma </w:t>
      </w:r>
      <w:r w:rsidRPr="008608AA">
        <w:t>spp.), chestnut blight (</w:t>
      </w:r>
      <w:r w:rsidRPr="008608AA">
        <w:rPr>
          <w:i/>
        </w:rPr>
        <w:t>Cryphonectria parasitica</w:t>
      </w:r>
      <w:r w:rsidRPr="008608AA">
        <w:t>), and jarrah dieback (</w:t>
      </w:r>
      <w:r w:rsidRPr="008608AA">
        <w:rPr>
          <w:i/>
        </w:rPr>
        <w:t>Phytophthora cinnamomi</w:t>
      </w:r>
      <w:r w:rsidRPr="008608AA">
        <w:t>)</w:t>
      </w:r>
      <w:r w:rsidR="006F4B6F" w:rsidRPr="008608AA">
        <w:t xml:space="preserve"> that affects hundreds of host plants</w:t>
      </w:r>
      <w:r w:rsidRPr="008608AA">
        <w:t xml:space="preserve"> </w:t>
      </w:r>
      <w:r w:rsidRPr="008608AA">
        <w:fldChar w:fldCharType="begin" w:fldLock="1"/>
      </w:r>
      <w:r w:rsidRPr="008608AA">
        <w:instrText>ADDIN CSL_CITATION { "citationItems" : [ { "id" : "ITEM-1", "itemData" : { "DOI" : "10.1016/j.tree.2004.07.021", "ISBN" : "0169-5347", "ISSN" : "01695347", "PMID" : "16701319", "abstract" : "Emerging infectious diseases (EIDs) pose threats to conservation and public health. Here, we apply the definition of EIDs used in the medical and veterinary fields to botany and highlight a series of emerging plant diseases. We include EIDs of cultivated and wild plants, some of which are of significant conservation concern. The underlying cause of most plant EIDs is the anthropogenic introduction of parasites, although severe weather events are also important drivers of disease emergence. Much is known about crop plant EIDs, but there is little information about wild-plant EIDs, suggesting that their impact on conservation is underestimated. We conclude with recommendations for improving strategies for the surveillance and control of plant EIDs.", "author" : [ { "dropping-particle" : "", "family" : "Anderson", "given" : "Pamela K.", "non-dropping-particle" : "", "parse-names" : false, "suffix" : "" }, { "dropping-particle" : "", "family" : "Cunningham", "given" : "Andrew A.", "non-dropping-particle" : "", "parse-names" : false, "suffix" : "" }, { "dropping-particle" : "", "family" : "Patel", "given" : "Nikkita G.", "non-dropping-particle" : "", "parse-names" : false, "suffix" : "" }, { "dropping-particle" : "", "family" : "Morales", "given" : "Francisco J.", "non-dropping-particle" : "", "parse-names" : false, "suffix" : "" }, { "dropping-particle" : "", "family" : "Epstein", "given" : "Paul R.", "non-dropping-particle" : "", "parse-names" : false, "suffix" : "" }, { "dropping-particle" : "", "family" : "Daszak", "given" : "Peter", "non-dropping-particle" : "", "parse-names" : false, "suffix" : "" } ], "container-title" : "Trends in Ecology and Evolution", "id" : "ITEM-1", "issue" : "10", "issued" : { "date-parts" : [ [ "2004" ] ] }, "page" : "535-544", "title" : "Emerging infectious diseases of plants: Pathogen pollution, climate change and agrotechnology drivers", "type" : "article-journal", "volume" : "19" }, "uris" : [ "http://www.mendeley.com/documents/?uuid=b5711de5-a5df-4290-a7db-20d83fb50e3a" ] } ], "mendeley" : { "formattedCitation" : "(Anderson et al., 2004)", "plainTextFormattedCitation" : "(Anderson et al., 2004)", "previouslyFormattedCitation" : "(Anderson et al., 2004)" }, "properties" : { "noteIndex" : 0 }, "schema" : "https://github.com/citation-style-language/schema/raw/master/csl-citation.json" }</w:instrText>
      </w:r>
      <w:r w:rsidRPr="008608AA">
        <w:fldChar w:fldCharType="separate"/>
      </w:r>
      <w:r w:rsidRPr="008608AA">
        <w:rPr>
          <w:noProof/>
        </w:rPr>
        <w:t>(Anderson et al., 2004)</w:t>
      </w:r>
      <w:r w:rsidRPr="008608AA">
        <w:fldChar w:fldCharType="end"/>
      </w:r>
      <w:r w:rsidRPr="008608AA">
        <w:t xml:space="preserve">. Several examples of emerging infectious diseases have been reported to affect vertebrates, including </w:t>
      </w:r>
      <w:r w:rsidRPr="008608AA">
        <w:rPr>
          <w:i/>
        </w:rPr>
        <w:t>Batrachochytrium dendrobatidis</w:t>
      </w:r>
      <w:r w:rsidRPr="008608AA">
        <w:t xml:space="preserve">, a fungal infection producing population and species extinction in amphibians worldwide, and malaria infection in Hawaiian birds </w:t>
      </w:r>
      <w:r w:rsidRPr="008608AA">
        <w:fldChar w:fldCharType="begin" w:fldLock="1"/>
      </w:r>
      <w:r w:rsidRPr="008608AA">
        <w:instrText>ADDIN CSL_CITATION { "citationItems" : [ { "id" : "ITEM-1", "itemData" : { "DOI" : "10.1111/j.1469-1795.2008.00228.x", "ISBN" : "1367-9430", "ISSN" : "13679430", "PMID" : "6490", "abstract" : "Recent increases in the magnitude and rate of environmental change, including habitat loss, climate change and overexploitation, have been directly linked to the global loss of biodiversity. Wildlife extinction rates are estimated to be 100-1000 times greater than the historical norm, and up to 50% of higher taxonomic groups are critically endangered. While many types of environmental changes threaten the survival of species all over the planet, infectious disease has rarely been cited as the primary cause of global species extinctions. There is substantial evidence, however, that diseases can greatly impact local species populations by causing temporary or permanent declines in abundance. More importantly, pathogens can interact with other driving factors, such as habitat loss, climate change, overexploitation, invasive species and environmental pollution to contribute to local and global extinctions. Regrettably, our current lack of knowledge about the diversity and abundance of pathogens in natural systems has made it difficult to establish the relative importance of disease as a significant driver of species extinction, and the context when this is most likely to occur. Here, we review the role of infectious diseases in biological conservation. We summarize existing knowledge of disease-induced extinction at global and local scales and review the ecological and evolutionary forces that may facilitate disease-mediated extinction risk. We suggest that while disease alone may currently threaten few species, pathogens may be a significant threat to already-endangered species, especially when disease interacts with other drivers. We identify control strategies that may help reduce the negative effects of disease on wildlife and discuss the most critical challenges and future directions for the study of infectious diseases in the conservation sciences.", "author" : [ { "dropping-particle" : "", "family" : "Smith", "given" : "Katherine F.", "non-dropping-particle" : "", "parse-names" : false, "suffix" : "" }, { "dropping-particle" : "", "family" : "Acevedo-Whitehouse", "given" : "K.", "non-dropping-particle" : "", "parse-names" : false, "suffix" : "" }, { "dropping-particle" : "", "family" : "Pedersen", "given" : "A. B.", "non-dropping-particle" : "", "parse-names" : false, "suffix" : "" } ], "container-title" : "Animal Conservation", "id" : "ITEM-1", "issue" : "1", "issued" : { "date-parts" : [ [ "2009" ] ] }, "page" : "1-12", "title" : "The role of infectious diseases in biological conservation", "type" : "article-journal", "volume" : "12" }, "uris" : [ "http://www.mendeley.com/documents/?uuid=0908ce12-af29-45a1-84bf-fcf1bcebd177" ] } ], "mendeley" : { "formattedCitation" : "(K. F. Smith, Acevedo-Whitehouse, &amp; Pedersen, 2009)", "manualFormatting" : "(Smith et al., 2009)", "plainTextFormattedCitation" : "(K. F. Smith, Acevedo-Whitehouse, &amp; Pedersen, 2009)", "previouslyFormattedCitation" : "(K. F. Smith, Acevedo-Whitehouse, &amp; Pedersen, 2009)" }, "properties" : { "noteIndex" : 0 }, "schema" : "https://github.com/citation-style-language/schema/raw/master/csl-citation.json" }</w:instrText>
      </w:r>
      <w:r w:rsidRPr="008608AA">
        <w:fldChar w:fldCharType="separate"/>
      </w:r>
      <w:r w:rsidRPr="008608AA">
        <w:rPr>
          <w:noProof/>
        </w:rPr>
        <w:t>(Smith et al., 2009)</w:t>
      </w:r>
      <w:r w:rsidRPr="008608AA">
        <w:fldChar w:fldCharType="end"/>
      </w:r>
      <w:r w:rsidRPr="008608AA">
        <w:t xml:space="preserve">. In the Americas, several endangered and threatened species have declined as a result of emerging infectious diseases such as West Nile virus in native birds </w:t>
      </w:r>
      <w:r w:rsidRPr="008608AA">
        <w:fldChar w:fldCharType="begin" w:fldLock="1"/>
      </w:r>
      <w:r w:rsidRPr="008608AA">
        <w:instrText>ADDIN CSL_CITATION { "citationItems" : [ { "id" : "ITEM-1", "itemData" : { "DOI" : "10.1111/j.1469-1795.2008.00228.x", "ISBN" : "1367-9430", "ISSN" : "13679430", "PMID" : "6490", "abstract" : "Recent increases in the magnitude and rate of environmental change, including habitat loss, climate change and overexploitation, have been directly linked to the global loss of biodiversity. Wildlife extinction rates are estimated to be 100-1000 times greater than the historical norm, and up to 50% of higher taxonomic groups are critically endangered. While many types of environmental changes threaten the survival of species all over the planet, infectious disease has rarely been cited as the primary cause of global species extinctions. There is substantial evidence, however, that diseases can greatly impact local species populations by causing temporary or permanent declines in abundance. More importantly, pathogens can interact with other driving factors, such as habitat loss, climate change, overexploitation, invasive species and environmental pollution to contribute to local and global extinctions. Regrettably, our current lack of knowledge about the diversity and abundance of pathogens in natural systems has made it difficult to establish the relative importance of disease as a significant driver of species extinction, and the context when this is most likely to occur. Here, we review the role of infectious diseases in biological conservation. We summarize existing knowledge of disease-induced extinction at global and local scales and review the ecological and evolutionary forces that may facilitate disease-mediated extinction risk. We suggest that while disease alone may currently threaten few species, pathogens may be a significant threat to already-endangered species, especially when disease interacts with other drivers. We identify control strategies that may help reduce the negative effects of disease on wildlife and discuss the most critical challenges and future directions for the study of infectious diseases in the conservation sciences.", "author" : [ { "dropping-particle" : "", "family" : "Smith", "given" : "Katherine F.", "non-dropping-particle" : "", "parse-names" : false, "suffix" : "" }, { "dropping-particle" : "", "family" : "Acevedo-Whitehouse", "given" : "K.", "non-dropping-particle" : "", "parse-names" : false, "suffix" : "" }, { "dropping-particle" : "", "family" : "Pedersen", "given" : "A. B.", "non-dropping-particle" : "", "parse-names" : false, "suffix" : "" } ], "container-title" : "Animal Conservation", "id" : "ITEM-1", "issue" : "1", "issued" : { "date-parts" : [ [ "2009" ] ] }, "page" : "1-12", "title" : "The role of infectious diseases in biological conservation", "type" : "article-journal", "volume" : "12" }, "uris" : [ "http://www.mendeley.com/documents/?uuid=0908ce12-af29-45a1-84bf-fcf1bcebd177" ] }, { "id" : "ITEM-2", "itemData" : { "DOI" : "10.1371/journal.pone.0012215", "ISBN" : "1932-6203 (Electronic)\\r1932-6203 (Linking)", "ISSN" : "19326203", "PMID" : "20805869", "abstract" : "Emerging infectious diseases are increasingly cited as threats to wildlife, livestock and humans alike. They can threaten geographically isolated or critically endangered wildlife populations; however, relatively few studies have clearly demonstrated the extent to which emerging diseases can impact populations of common wildlife species. Here, we report the impact of an emerging protozoal disease on British populations of greenfinch Carduelis chloris and chaffinch Fringilla coelebs, two of the most common birds in Britain. Morphological and molecular analyses showed this to be due to Trichomonas gallinae. Trichomonosis emerged as a novel fatal disease of finches in Britain in 2005 and rapidly became epidemic within greenfinch, and to a lesser extent chaffinch, populations in 2006. By 2007, breeding populations of greenfinches and chaffinches in the geographic region of highest disease incidence had decreased by 35% and 21% respectively, representing mortality in excess of half a million birds. In contrast, declines were less pronounced or absent in these species in regions where the disease was found in intermediate or low incidence. Also, populations of dunnock Prunella modularis, which similarly feeds in gardens, but in which T. gallinae was rarely recorded, did not decline. This is the first trichomonosis epidemic reported in the scientific literature to negatively impact populations of free-ranging non-columbiform species, and such levels of mortality and decline due to an emerging infectious disease are unprecedented in British wild bird populations. This disease emergence event demonstrates the potential for a protozoan parasite to jump avian host taxonomic groups with dramatic effect over a short time period.", "author" : [ { "dropping-particle" : "", "family" : "Robinson", "given" : "Robert A.", "non-dropping-particle" : "", "parse-names" : false, "suffix" : "" }, { "dropping-particle" : "", "family" : "Lawson", "given" : "Becki", "non-dropping-particle" : "", "parse-names" : false, "suffix" : "" }, { "dropping-particle" : "", "family" : "Toms", "given" : "Mike P.", "non-dropping-particle" : "", "parse-names" : false, "suffix" : "" }, { "dropping-particle" : "", "family" : "Peck", "given" : "Kirsi M.", "non-dropping-particle" : "", "parse-names" : false, "suffix" : "" }, { "dropping-particle" : "", "family" : "Kirkwood", "given" : "James K.", "non-dropping-particle" : "", "parse-names" : false, "suffix" : "" }, { "dropping-particle" : "", "family" : "Chantrey", "given" : "Julian", "non-dropping-particle" : "", "parse-names" : false, "suffix" : "" }, { "dropping-particle" : "", "family" : "Clatworthy", "given" : "Innes R.", "non-dropping-particle" : "", "parse-names" : false, "suffix" : "" }, { "dropping-particle" : "", "family" : "Evans", "given" : "Andy D.", "non-dropping-particle" : "", "parse-names" : false, "suffix" : "" }, { "dropping-particle" : "", "family" : "Hughes", "given" : "Laura A.", "non-dropping-particle" : "", "parse-names" : false, "suffix" : "" }, { "dropping-particle" : "", "family" : "Hutchinson", "given" : "Oliver C.", "non-dropping-particle" : "", "parse-names" : false, "suffix" : "" }, { "dropping-particle" : "", "family" : "John", "given" : "Shinto K.", "non-dropping-particle" : "", "parse-names" : false, "suffix" : "" }, { "dropping-particle" : "", "family" : "Pennycott", "given" : "Tom W.", "non-dropping-particle" : "", "parse-names" : false, "suffix" : "" }, { "dropping-particle" : "", "family" : "Perkins", "given" : "Matthew W.", "non-dropping-particle" : "", "parse-names" : false, "suffix" : "" }, { "dropping-particle" : "", "family" : "Rowley", "given" : "Peter S.", "non-dropping-particle" : "", "parse-names" : false, "suffix" : "" }, { "dropping-particle" : "", "family" : "Simpson", "given" : "Vic R.", "non-dropping-particle" : "", "parse-names" : false, "suffix" : "" }, { "dropping-particle" : "", "family" : "Tyler", "given" : "Kevin M.", "non-dropping-particle" : "", "parse-names" : false, "suffix" : "" }, { "dropping-particle" : "", "family" : "Cunningham", "given" : "Andrew A.", "non-dropping-particle" : "", "parse-names" : false, "suffix" : "" } ], "container-title" : "PLoS ONE", "id" : "ITEM-2", "issue" : "8", "issued" : { "date-parts" : [ [ "2010" ] ] }, "page" : "e12215", "title" : "Emerging infectious disease leads to rapid population declines of common british birds", "type" : "article-journal", "volume" : "5" }, "uris" : [ "http://www.mendeley.com/documents/?uuid=d366c0f6-4fce-419c-b49c-2112242caf1e" ] } ], "mendeley" : { "formattedCitation" : "(Robinson et al., 2010; K. F. Smith et al., 2009)", "manualFormatting" : "(Robinson et al., 2010; Smith et al., 2009)", "plainTextFormattedCitation" : "(Robinson et al., 2010; K. F. Smith et al., 2009)", "previouslyFormattedCitation" : "(Robinson et al., 2010; K. F. Smith et al., 2009)" }, "properties" : { "noteIndex" : 0 }, "schema" : "https://github.com/citation-style-language/schema/raw/master/csl-citation.json" }</w:instrText>
      </w:r>
      <w:r w:rsidRPr="008608AA">
        <w:fldChar w:fldCharType="separate"/>
      </w:r>
      <w:r w:rsidRPr="008608AA">
        <w:rPr>
          <w:noProof/>
        </w:rPr>
        <w:t>(Robinson et al., 2010; Smith et al., 2009)</w:t>
      </w:r>
      <w:r w:rsidRPr="008608AA">
        <w:fldChar w:fldCharType="end"/>
      </w:r>
      <w:r w:rsidRPr="008608AA">
        <w:t xml:space="preserve">, plague in prairie dog colonies </w:t>
      </w:r>
      <w:r w:rsidRPr="008608AA">
        <w:fldChar w:fldCharType="begin" w:fldLock="1"/>
      </w:r>
      <w:r w:rsidRPr="008608AA">
        <w:instrText>ADDIN CSL_CITATION { "citationItems" : [ { "id" : "ITEM-1", "itemData" : { "DOI" : "10.1890/1540-9295(2004)002[0235:POEIPD]2.0.CO;2", "ISBN" : "1540-9295", "ISSN" : "15409309", "abstract" : "Outbreaks of many vector-borne human diseases are broadly correlated with climatic variation, but evidence of similar fluctuations in disease in natural host populations is rare. Here, we use 21 years of monitoring of black-tailed prairie dog (Cynomys ludovicianus) colonies to demonstrate a link between extinctions of colonies attributed to plague (Yersinia pestis) and climatic fluctuations associated with El Nino Southern Oscillation events that promote the growth of flea vector and rodent host populations. During epizootics, rates of extinction of the largest colonies (&gt;16 ha) were nearly as high (&gt;60%) as for the smallest ones (&gt;3 ha), but only a third of intermediate-sized colonies were extirpated. The probability of extinction was influenced by the size and fate of adjacent colonies, but there was no predictable relationship between extinction probabilities and intercolony distance, indicating that spatial isolation does not reduce the vulnerability of colonies to plague. By causing sporadic extinction of colonies, plague creaties a metapopulation structure that has altered the dynamics of prairie dog colonies as they respond to a century of human persecution and habitat loss.", "author" : [ { "dropping-particle" : "", "family" : "Stapp", "given" : "Paul", "non-dropping-particle" : "", "parse-names" : false, "suffix" : "" }, { "dropping-particle" : "", "family" : "Antolin", "given" : "Michael F.", "non-dropping-particle" : "", "parse-names" : false, "suffix" : "" }, { "dropping-particle" : "", "family" : "Ball", "given" : "Mark", "non-dropping-particle" : "", "parse-names" : false, "suffix" : "" } ], "container-title" : "Frontiers in Ecology and the Environment", "id" : "ITEM-1", "issue" : "5", "issued" : { "date-parts" : [ [ "2004" ] ] }, "page" : "235-240", "title" : "Patterns of extinction in prairie dog metapopulations: plague outbreaks follow El Ni\u00f1o events", "type" : "article-journal", "volume" : "2" }, "uris" : [ "http://www.mendeley.com/documents/?uuid=c2e5e885-580f-4098-8999-07c14d3531e9" ] } ], "mendeley" : { "formattedCitation" : "(Stapp, Antolin, &amp; Ball, 2004)", "manualFormatting" : "(Stapp et al., 2004)", "plainTextFormattedCitation" : "(Stapp, Antolin, &amp; Ball, 2004)", "previouslyFormattedCitation" : "(Stapp, Antolin, &amp; Ball, 2004)" }, "properties" : { "noteIndex" : 0 }, "schema" : "https://github.com/citation-style-language/schema/raw/master/csl-citation.json" }</w:instrText>
      </w:r>
      <w:r w:rsidRPr="008608AA">
        <w:fldChar w:fldCharType="separate"/>
      </w:r>
      <w:r w:rsidRPr="008608AA">
        <w:rPr>
          <w:noProof/>
        </w:rPr>
        <w:t>(Stapp et al., 2004)</w:t>
      </w:r>
      <w:r w:rsidRPr="008608AA">
        <w:fldChar w:fldCharType="end"/>
      </w:r>
      <w:r w:rsidRPr="008608AA">
        <w:t xml:space="preserve"> and White-nose syndrome in North American bats </w:t>
      </w:r>
      <w:r w:rsidRPr="008608AA">
        <w:fldChar w:fldCharType="begin" w:fldLock="1"/>
      </w:r>
      <w:r w:rsidRPr="008608AA">
        <w:instrText>ADDIN CSL_CITATION { "citationItems" : [ { "id" : "ITEM-1", "itemData" : { "DOI" : "10.1002/ecy.1706/suppinfo", "ISBN" : "4955139574", "ISSN" : "00129658", "author" : [ { "dropping-particle" : "", "family" : "Frick", "given" : "Winifred F.", "non-dropping-particle" : "", "parse-names" : false, "suffix" : "" }, { "dropping-particle" : "", "family" : "Cheng", "given" : "Tina L.", "non-dropping-particle" : "", "parse-names" : false, "suffix" : "" }, { "dropping-particle" : "", "family" : "Langwig", "given" : "Kate E.", "non-dropping-particle" : "", "parse-names" : false, "suffix" : "" }, { "dropping-particle" : "", "family" : "Hoyt", "given" : "Joseph R.", "non-dropping-particle" : "", "parse-names" : false, "suffix" : "" }, { "dropping-particle" : "", "family" : "Janicki", "given" : "Amanda F.", "non-dropping-particle" : "", "parse-names" : false, "suffix" : "" }, { "dropping-particle" : "", "family" : "Parise", "given" : "Katy L.", "non-dropping-particle" : "", "parse-names" : false, "suffix" : "" }, { "dropping-particle" : "", "family" : "Foster", "given" : "Jeffrey T.", "non-dropping-particle" : "", "parse-names" : false, "suffix" : "" }, { "dropping-particle" : "", "family" : "Kilpatrick", "given" : "A. Marm", "non-dropping-particle" : "", "parse-names" : false, "suffix" : "" } ], "container-title" : "Ecology", "id" : "ITEM-1", "issue" : "3", "issued" : { "date-parts" : [ [ "2017" ] ] }, "page" : "624-631", "title" : "Pathogen dynamics during invasion and establishment of white-nose syndrome explain mechanisms of host persistence", "type" : "article-journal", "volume" : "98" }, "uris" : [ "http://www.mendeley.com/documents/?uuid=f63dcbae-3e03-4171-bb04-defc70ba3d31" ] } ], "mendeley" : { "formattedCitation" : "(Frick et al., 2017)", "plainTextFormattedCitation" : "(Frick et al., 2017)", "previouslyFormattedCitation" : "(Frick et al., 2017)" }, "properties" : { "noteIndex" : 0 }, "schema" : "https://github.com/citation-style-language/schema/raw/master/csl-citation.json" }</w:instrText>
      </w:r>
      <w:r w:rsidRPr="008608AA">
        <w:fldChar w:fldCharType="separate"/>
      </w:r>
      <w:r w:rsidRPr="008608AA">
        <w:rPr>
          <w:noProof/>
        </w:rPr>
        <w:t>(Frick et al., 2017)</w:t>
      </w:r>
      <w:r w:rsidRPr="008608AA">
        <w:fldChar w:fldCharType="end"/>
      </w:r>
      <w:r w:rsidRPr="008608AA">
        <w:t xml:space="preserve">. Several infections affect top predators, including canine parvovirus in wild carnivores </w:t>
      </w:r>
      <w:r w:rsidRPr="008608AA">
        <w:fldChar w:fldCharType="begin" w:fldLock="1"/>
      </w:r>
      <w:r w:rsidRPr="008608AA">
        <w:instrText>ADDIN CSL_CITATION { "citationItems" : [ { "id" : "ITEM-1", "itemData" : { "DOI" : "10.1111/j.1523-1739.2007.00776.x", "ISBN" : "1523-1739 (Electronic)\\n0888-8892 (Linking)", "ISSN" : "08888892", "PMID" : "17883492", "abstract" : "Parasite-driven declines in wildlife have become increasingly common and can pose significant risks to natural populations. We used the IUCN Red List of Threatened and Endangered Species and compiled data on hosts threatened by infectious disease and their parasites to better understand the role of infectious disease in contemporary host extinctions. The majority of mammal species considered threatened by parasites were either carnivores or artiodactyls, two clades that include the majority of domesticated animals. Parasites affecting host threat status were predominantly viruses and bacteria that infect a wide range of host species, including domesticated animals. Counter to our predictions, parasites transmitted by close contact were more likely to cause extinction risk than those transmitted by other routes. Mammal species threatened by parasites were not better studied for infectious diseases than other threatened mammals and did not have more parasites or differ in four key traits demonstrated to affect parasite species richness in other comparative studies. Our findings underscore the need for better information concerning the distribution and impacts of infectious diseases in populations of endangered mammals. In addition, our results suggest that evolutionary similarity to domesticated animals may be a key factor associated with parasite-mediated declines; thus, efforts to limit contact between domesticated hosts and wildlife could reduce extinction risk.", "author" : [ { "dropping-particle" : "", "family" : "Pedersen", "given" : "Amy B.", "non-dropping-particle" : "", "parse-names" : false, "suffix" : "" }, { "dropping-particle" : "", "family" : "Jones", "given" : "Kate E.", "non-dropping-particle" : "", "parse-names" : false, "suffix" : "" }, { "dropping-particle" : "", "family" : "Nunn", "given" : "Charles L.", "non-dropping-particle" : "", "parse-names" : false, "suffix" : "" }, { "dropping-particle" : "", "family" : "Altizer", "given" : "Sonia", "non-dropping-particle" : "", "parse-names" : false, "suffix" : "" } ], "container-title" : "Conservation Biology", "id" : "ITEM-1", "issue" : "5", "issued" : { "date-parts" : [ [ "2007" ] ] }, "page" : "1269-1279", "title" : "Infectious diseases and extinction risk in wild mammals", "type" : "article-journal", "volume" : "21" }, "uris" : [ "http://www.mendeley.com/documents/?uuid=88ea027f-ebc1-4036-9aaa-d5c3a908920e" ] } ], "mendeley" : { "formattedCitation" : "(Pedersen et al., 2007)", "manualFormatting" : "(Pedersen et al., 2007)", "plainTextFormattedCitation" : "(Pedersen et al., 2007)", "previouslyFormattedCitation" : "(Pedersen et al., 2007)" }, "properties" : { "noteIndex" : 0 }, "schema" : "https://github.com/citation-style-language/schema/raw/master/csl-citation.json" }</w:instrText>
      </w:r>
      <w:r w:rsidRPr="008608AA">
        <w:fldChar w:fldCharType="separate"/>
      </w:r>
      <w:r w:rsidRPr="008608AA">
        <w:rPr>
          <w:noProof/>
        </w:rPr>
        <w:t>(Pedersen et al., 2007)</w:t>
      </w:r>
      <w:r w:rsidRPr="008608AA">
        <w:fldChar w:fldCharType="end"/>
      </w:r>
      <w:r w:rsidRPr="008608AA">
        <w:t xml:space="preserve"> and canine distemper, which is associated with extinction in the wild of the black-footed ferret </w:t>
      </w:r>
      <w:r w:rsidRPr="008608AA">
        <w:fldChar w:fldCharType="begin" w:fldLock="1"/>
      </w:r>
      <w:r w:rsidRPr="008608AA">
        <w:instrText>ADDIN CSL_CITATION { "citationItems" : [ { "id" : "ITEM-1", "itemData" : { "DOI" : "10.1111/j.1523-1739.1988.tb00336.x", "ISBN" : "0888-8892", "ISSN" : "15231739", "abstract" : "Diseases may play major roles in the conservation of endangered species. Although the threat of disease received extensive consideration and influenced research and man- agement activities governing the endangered black- footed fmet (Mustela nigripes) in Wyoming, a canine distemper epizootic in 1985 severely affected a captive breeding pro- gram and led to extirpation of the species from the wild. This recent example of the catastrophic effect of epizootic disease in an endangered species is described in an historical con- text In addition, examples are given of disease further en- dangering other rare species, including Mauritius pink pi- geon, Pere David's deer, cranes, maned wolves, native Hawaiian birak, cheetahs, and others.", "author" : [ { "dropping-particle" : "", "family" : "Thorne", "given" : "Tom", "non-dropping-particle" : "", "parse-names" : false, "suffix" : "" }, { "dropping-particle" : "", "family" : "Williams", "given" : "Elizabeth S.", "non-dropping-particle" : "", "parse-names" : false, "suffix" : "" } ], "container-title" : "Conservation Biology", "id" : "ITEM-1", "issue" : "1", "issued" : { "date-parts" : [ [ "1988" ] ] }, "page" : "66-74", "title" : "Disease and endangered species: the black-footed ferret as a recent example", "type" : "article-journal", "volume" : "2" }, "uris" : [ "http://www.mendeley.com/documents/?uuid=5b4d3ead-78e6-4f75-bb3d-2af5ca69bd00" ] }, { "id" : "ITEM-2", "itemData" : { "DOI" : "10.1098/rspb.2007.0884", "ISBN" : "0962-8452", "ISSN" : "0962-8452", "PMID" : "17956850", "abstract" : "Emerging infectious diseases constitute some of the most pressing problems for both human and domestic animal health, and biodiversity conservation. Currently it is not clear whether the removal of past constraints on geographical distribution and transmission possibilities for pathogens alone are sufficient to give rise to novel host-pathogen combinations, or whether pathogen evolution is also generally required for establishment in novel hosts. Canine distemper virus (CDV) is a morbillivirus that is prevalent in the world dog population and poses an important conservation threat to a diverse range of carnivores. We performed an extensive phylogenetic and molecular evolution analysis on complete sequences of all CDV genes to assess the role of selection and recombination in shaping viral genetic diversity and driving the emergence of CDV in non-dog hosts. We tested the specific hypothesis that molecular adaptation at known receptor-binding sites of the haemagglutinin gene is associated with independent instances of the spread of CDV to novel non-dog hosts in the wild. This hypothesis was upheld, providing compelling evidence that repeated evolution at known functional sites (in this case residues 530 and 549 of the haemagglutinin molecule) is associated with multiple independent occurrences of disease emergence in a range of novel host species.", "author" : [ { "dropping-particle" : "", "family" : "McCarthy", "given" : "A. J", "non-dropping-particle" : "", "parse-names" : false, "suffix" : "" }, { "dropping-particle" : "", "family" : "Shaw", "given" : "M.-A.", "non-dropping-particle" : "", "parse-names" : false, "suffix" : "" }, { "dropping-particle" : "", "family" : "Goodman", "given" : "S. J", "non-dropping-particle" : "", "parse-names" : false, "suffix" : "" } ], "container-title" : "Proceedings of the Royal Society B: Biological Sciences", "id" : "ITEM-2", "issue" : "1629", "issued" : { "date-parts" : [ [ "2007" ] ] }, "page" : "3165-3174", "title" : "Pathogen evolution and disease emergence in carnivores", "type" : "article-journal", "volume" : "274" }, "uris" : [ "http://www.mendeley.com/documents/?uuid=9d1c8bc5-fa54-4ac9-98c8-54309fc4ad79" ] } ], "mendeley" : { "formattedCitation" : "(McCarthy, Shaw, &amp; Goodman, 2007; Thorne &amp; Williams, 1988)", "manualFormatting" : "(McCarthy et al., 2007; Thorne &amp; Williams, 1988)", "plainTextFormattedCitation" : "(McCarthy, Shaw, &amp; Goodman, 2007; Thorne &amp; Williams, 1988)", "previouslyFormattedCitation" : "(McCarthy, Shaw, &amp; Goodman, 2007; Thorne &amp; Williams, 1988)" }, "properties" : { "noteIndex" : 0 }, "schema" : "https://github.com/citation-style-language/schema/raw/master/csl-citation.json" }</w:instrText>
      </w:r>
      <w:r w:rsidRPr="008608AA">
        <w:fldChar w:fldCharType="separate"/>
      </w:r>
      <w:r w:rsidRPr="008608AA">
        <w:rPr>
          <w:noProof/>
        </w:rPr>
        <w:t>(McCarthy et al., 2007; Thorne &amp; Williams, 1988)</w:t>
      </w:r>
      <w:r w:rsidRPr="008608AA">
        <w:fldChar w:fldCharType="end"/>
      </w:r>
      <w:r w:rsidRPr="008608AA">
        <w:t>. Increasing spread of infectious diseases can be expected with globalization, calling for greater vigilance.</w:t>
      </w:r>
    </w:p>
    <w:p w14:paraId="71897BEB" w14:textId="77777777" w:rsidR="00B817DF" w:rsidRPr="008608AA" w:rsidRDefault="00B817DF" w:rsidP="00FE65F2">
      <w:pPr>
        <w:spacing w:after="120"/>
      </w:pPr>
    </w:p>
    <w:p w14:paraId="08679476" w14:textId="1649C666" w:rsidR="004255E7" w:rsidRPr="008608AA" w:rsidRDefault="004255E7" w:rsidP="00FE65F2">
      <w:pPr>
        <w:pStyle w:val="Heading2"/>
        <w:rPr>
          <w:lang w:val="en-US"/>
        </w:rPr>
      </w:pPr>
      <w:bookmarkStart w:id="1068" w:name="_Toc502927355"/>
      <w:bookmarkStart w:id="1069" w:name="_Toc502951174"/>
      <w:bookmarkStart w:id="1070" w:name="_Toc502953617"/>
      <w:bookmarkStart w:id="1071" w:name="_Toc502954910"/>
      <w:bookmarkStart w:id="1072" w:name="_Toc502957717"/>
      <w:bookmarkStart w:id="1073" w:name="_Toc502957916"/>
      <w:bookmarkStart w:id="1074" w:name="_Toc502958070"/>
      <w:bookmarkStart w:id="1075" w:name="_Toc503293118"/>
      <w:bookmarkStart w:id="1076" w:name="_Toc503293716"/>
      <w:bookmarkStart w:id="1077" w:name="_Toc503293978"/>
      <w:bookmarkStart w:id="1078" w:name="_Toc503863371"/>
      <w:bookmarkStart w:id="1079" w:name="_Toc503863599"/>
      <w:bookmarkStart w:id="1080" w:name="_Toc517393309"/>
      <w:bookmarkStart w:id="1081" w:name="_Toc517719050"/>
      <w:bookmarkStart w:id="1082" w:name="_Toc517797007"/>
      <w:r w:rsidRPr="008608AA">
        <w:t>Status</w:t>
      </w:r>
      <w:r w:rsidRPr="008608AA">
        <w:rPr>
          <w:lang w:val="en-US"/>
        </w:rPr>
        <w:t xml:space="preserve"> and recent trends of biodiversity by units of analysis</w:t>
      </w:r>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p>
    <w:p w14:paraId="08B72F0A" w14:textId="76311140" w:rsidR="004255E7" w:rsidRDefault="004255E7" w:rsidP="00FE65F2">
      <w:pPr>
        <w:pStyle w:val="Heading3"/>
      </w:pPr>
      <w:bookmarkStart w:id="1083" w:name="_Toc502927356"/>
      <w:bookmarkStart w:id="1084" w:name="_Toc502951175"/>
      <w:bookmarkStart w:id="1085" w:name="_Toc502953618"/>
      <w:bookmarkStart w:id="1086" w:name="_Toc502954911"/>
      <w:bookmarkStart w:id="1087" w:name="_Toc502957718"/>
      <w:bookmarkStart w:id="1088" w:name="_Toc502957917"/>
      <w:bookmarkStart w:id="1089" w:name="_Toc502958071"/>
      <w:bookmarkStart w:id="1090" w:name="_Toc503293119"/>
      <w:bookmarkStart w:id="1091" w:name="_Toc503293717"/>
      <w:bookmarkStart w:id="1092" w:name="_Toc503293979"/>
      <w:bookmarkStart w:id="1093" w:name="_Toc503863372"/>
      <w:bookmarkStart w:id="1094" w:name="_Toc503863600"/>
      <w:bookmarkStart w:id="1095" w:name="_Toc517393310"/>
      <w:bookmarkStart w:id="1096" w:name="_Toc517719051"/>
      <w:bookmarkStart w:id="1097" w:name="_Toc517797008"/>
      <w:r w:rsidRPr="008608AA">
        <w:t>Terrestrial biomes</w:t>
      </w:r>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r w:rsidRPr="008608AA">
        <w:t xml:space="preserve"> </w:t>
      </w:r>
    </w:p>
    <w:p w14:paraId="536FBCBC" w14:textId="77777777" w:rsidR="00843724" w:rsidRPr="00843724" w:rsidRDefault="00843724" w:rsidP="00843724">
      <w:pPr>
        <w:rPr>
          <w:lang w:val="en-GB" w:eastAsia="es-CO"/>
        </w:rPr>
      </w:pPr>
    </w:p>
    <w:p w14:paraId="769440A3" w14:textId="4D2452FE" w:rsidR="004255E7" w:rsidRPr="008608AA" w:rsidRDefault="004255E7" w:rsidP="00FE65F2">
      <w:pPr>
        <w:rPr>
          <w:bCs/>
          <w:color w:val="222222"/>
          <w:shd w:val="clear" w:color="auto" w:fill="FFFFFF"/>
        </w:rPr>
      </w:pPr>
      <w:r w:rsidRPr="008608AA">
        <w:t xml:space="preserve">In this section, snapshots of the status and recent trends in biodiversity for the major terrestrial biomes are examined in each subregion where they occur (see Chapter 1 for official </w:t>
      </w:r>
      <w:r w:rsidR="007D0059" w:rsidRPr="008608AA">
        <w:t xml:space="preserve">units of analysis </w:t>
      </w:r>
      <w:r w:rsidRPr="008608AA">
        <w:t xml:space="preserve">map of the assessment). Although coverage is extensive, space limitations prevented assessment of all biomes in each subregion and exhaustive treatments for the biomes that are assessed. </w:t>
      </w:r>
      <w:r w:rsidRPr="008608AA">
        <w:rPr>
          <w:bCs/>
          <w:color w:val="222222"/>
          <w:shd w:val="clear" w:color="auto" w:fill="FFFFFF"/>
        </w:rPr>
        <w:t>Status and recent trends in biodiversity and the relative importance of NCP are synthesized in Figures 3.24 and 3.25, respectively. Summary data on species richness for the biomes assessed in each subregion can be found in Table 3.4.</w:t>
      </w:r>
    </w:p>
    <w:p w14:paraId="18C3AE35" w14:textId="77777777" w:rsidR="00ED6262" w:rsidRPr="008608AA" w:rsidRDefault="00ED6262" w:rsidP="0032208B"/>
    <w:p w14:paraId="30809B49" w14:textId="651AE974" w:rsidR="004255E7" w:rsidRPr="008608AA" w:rsidRDefault="004255E7" w:rsidP="005F249C">
      <w:pPr>
        <w:pStyle w:val="Heading4"/>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120" w:line="240" w:lineRule="auto"/>
        <w:ind w:left="0" w:firstLine="0"/>
        <w:rPr>
          <w:szCs w:val="24"/>
          <w:lang w:val="en-US"/>
        </w:rPr>
      </w:pPr>
      <w:bookmarkStart w:id="1098" w:name="_Toc502927357"/>
      <w:bookmarkStart w:id="1099" w:name="_Toc517393311"/>
      <w:bookmarkStart w:id="1100" w:name="_Toc517719052"/>
      <w:bookmarkStart w:id="1101" w:name="_Toc517797009"/>
      <w:r w:rsidRPr="008608AA">
        <w:rPr>
          <w:szCs w:val="24"/>
          <w:lang w:val="en-US"/>
        </w:rPr>
        <w:t xml:space="preserve">Tropical and subtropical </w:t>
      </w:r>
      <w:r w:rsidR="00032883" w:rsidRPr="008608AA">
        <w:rPr>
          <w:szCs w:val="24"/>
          <w:lang w:val="en-US"/>
        </w:rPr>
        <w:t>moist</w:t>
      </w:r>
      <w:r w:rsidRPr="008608AA">
        <w:rPr>
          <w:szCs w:val="24"/>
          <w:lang w:val="en-US"/>
        </w:rPr>
        <w:t xml:space="preserve"> forests</w:t>
      </w:r>
      <w:bookmarkEnd w:id="1098"/>
      <w:bookmarkEnd w:id="1099"/>
      <w:bookmarkEnd w:id="1100"/>
      <w:bookmarkEnd w:id="1101"/>
    </w:p>
    <w:p w14:paraId="50D212EA" w14:textId="77777777" w:rsidR="004255E7" w:rsidRPr="008608AA" w:rsidRDefault="004255E7" w:rsidP="00FE65F2">
      <w:pPr>
        <w:pStyle w:val="Heading5"/>
        <w:numPr>
          <w:ilvl w:val="0"/>
          <w:numId w:val="0"/>
        </w:numPr>
        <w:rPr>
          <w:sz w:val="24"/>
          <w:szCs w:val="24"/>
        </w:rPr>
      </w:pPr>
      <w:r w:rsidRPr="008608AA">
        <w:rPr>
          <w:sz w:val="24"/>
          <w:szCs w:val="24"/>
        </w:rPr>
        <w:t xml:space="preserve">Mesoamerican subregion </w:t>
      </w:r>
    </w:p>
    <w:p w14:paraId="262C7B38" w14:textId="2ADB363D" w:rsidR="004255E7" w:rsidRPr="008608AA" w:rsidRDefault="00ED6262" w:rsidP="00FE65F2">
      <w:pPr>
        <w:spacing w:after="120"/>
      </w:pPr>
      <w:r w:rsidRPr="008608AA">
        <w:rPr>
          <w:iCs/>
        </w:rPr>
        <w:t xml:space="preserve">Status. </w:t>
      </w:r>
      <w:r w:rsidR="004255E7" w:rsidRPr="008608AA">
        <w:t xml:space="preserve">Species diversity in the Mesoamerican broad-leaved tropical/subtropical moist broadleaf biomes is high, with low to moderate species endemism </w:t>
      </w:r>
      <w:r w:rsidR="004255E7" w:rsidRPr="008608AA">
        <w:fldChar w:fldCharType="begin" w:fldLock="1"/>
      </w:r>
      <w:r w:rsidR="004255E7" w:rsidRPr="008608AA">
        <w:instrText>ADDIN CSL_CITATION { "citationItems" : [ { "id" : "ITEM-1", "itemData" : { "DOI" : "10.1038/35002501", "ISBN" : "0028-0836", "ISSN" : "00280836", "PMID" : "10706275", "abstract" : "Conservationists are far from able to assist all species under threat, if only for lack of funding. This places a premium on priorities: how can we support the most species at the least cost? One way is to identify 'biodiversity hotspots' where exceptional concentrations of endemic species are undergoing exceptional loss of habitat. As many as 44% of all species of vascular plants and 35% of all species in four vertebrate groups are confined to 25 hotspots comprising only 1.4% of the land surface of the Earth. This opens the way for a 'silver bullet' strategy on the part of conservation planners, focusing on these hotspots in proportion to their share of the world's species at risk.", "author" : [ { "dropping-particle" : "", "family" : "Myers", "given" : "Norman", "non-dropping-particle" : "", "parse-names" : false, "suffix" : "" }, { "dropping-particle" : "", "family" : "Mittermeier", "given" : "Russell A.", "non-dropping-particle" : "", "parse-names" : false, "suffix" : "" }, { "dropping-particle" : "", "family" : "Mittermeier", "given" : "Cristina G.", "non-dropping-particle" : "", "parse-names" : false, "suffix" : "" }, { "dropping-particle" : "", "family" : "Fonseca", "given" : "Gustavo A. B.", "non-dropping-particle" : "da", "parse-names" : false, "suffix" : "" }, { "dropping-particle" : "", "family" : "Kent", "given" : "Jennifer", "non-dropping-particle" : "", "parse-names" : false, "suffix" : "" } ], "container-title" : "Nature", "id" : "ITEM-1", "issue" : "6772", "issued" : { "date-parts" : [ [ "2000" ] ] }, "page" : "853-858", "title" : "Biodiversity hotspots for conservation priorities", "type" : "article-journal", "volume" : "403" }, "uris" : [ "http://www.mendeley.com/documents/?uuid=85b61de5-e331-3fd2-898a-4f64cdd49a3f" ] } ], "mendeley" : { "formattedCitation" : "(Myers, Mittermeier, Mittermeier, da Fonseca, &amp; Kent, 2000)", "manualFormatting" : "(Myers et al., 2000; ", "plainTextFormattedCitation" : "(Myers, Mittermeier, Mittermeier, da Fonseca, &amp; Kent, 2000)", "previouslyFormattedCitation" : "(Norman Myers, Mittermeier, Mittermeier, da Fonseca, &amp; Kent, 2000)" }, "properties" : { "noteIndex" : 0 }, "schema" : "https://github.com/citation-style-language/schema/raw/master/csl-citation.json" }</w:instrText>
      </w:r>
      <w:r w:rsidR="004255E7" w:rsidRPr="008608AA">
        <w:fldChar w:fldCharType="separate"/>
      </w:r>
      <w:r w:rsidR="004255E7" w:rsidRPr="008608AA">
        <w:rPr>
          <w:noProof/>
        </w:rPr>
        <w:t xml:space="preserve">(Myers et al., 2000; </w:t>
      </w:r>
      <w:r w:rsidR="004255E7" w:rsidRPr="008608AA">
        <w:fldChar w:fldCharType="end"/>
      </w:r>
      <w:r w:rsidR="004255E7" w:rsidRPr="008608AA">
        <w:fldChar w:fldCharType="begin" w:fldLock="1"/>
      </w:r>
      <w:r w:rsidR="004255E7" w:rsidRPr="008608AA">
        <w:instrText>ADDIN CSL_CITATION { "citationItems" : [ { "id" : "ITEM-1", "itemData" : { "DOI" : "10.1016/j.gloplacha.2005.09.004", "ISBN" : "0921-8181", "ISSN" : "09218181", "abstract" : "The proposed Mesoamerican Biological Corridor (MBC) is an ambitious effort to stem the erosion of biodiversity in one of the world's biologically richest regions. The intent is to connect large existing parks and reserves with new protected areas by means of an extensive network of biological corridors within Mesoamerica/Central America to create an environment which provides better prospects for the long-term survival of native species while also addressing the region's socioeconomic needs. While the forest types in northern Central America generally receive some dry season rainfall, in the proposed protected regions, however, it is unclear whether current rainfall has been altered by regional land-use change. Based upon climatological rainfall records at 266 stations in Guatemala and adjacent areas, dry season rainfall in March is markedly lower in deforested areas than in forested areas of the same life zone for each of the widespread life zones. In general, dry season deforested habitats have higher daytime temperatures, are less cloudy, have lower estimated soil moisture and lower values of normalized difference vegetation index (NDVI) than do forested habitats in the same life zone. The result is hotter and drier air over deforested regions, with lower values of cloud formation and precipitation. Rainfall is predicted from the correlation of raingauge measurements and observed cloud cover; moreover, March rainfall deficiencies &gt; 25 mm are found for several Holdridge life zones. The data suggest that deforestation is locally intensifying the dry season, increasing the risk of fire, especially for the long corridor connecting regions. In addition, forest regeneration in some parts of the MBC may not result in second-growth forest that is characteristic of that life zone but rather in forest regeneration more typical of drier conditions. The extent to which this would influence the conservation utility of any given corridor depends upon the ecological requirements of the organisms concerned. \u00a9 2006 Elsevier B.V. All rights reserved.", "author" : [ { "dropping-particle" : "", "family" : "Ray", "given" : "Deepak K.", "non-dropping-particle" : "", "parse-names" : false, "suffix" : "" }, { "dropping-particle" : "", "family" : "Welch", "given" : "Ronald M.", "non-dropping-particle" : "", "parse-names" : false, "suffix" : "" }, { "dropping-particle" : "", "family" : "Lawton", "given" : "Robert O.", "non-dropping-particle" : "", "parse-names" : false, "suffix" : "" }, { "dropping-particle" : "", "family" : "Nair", "given" : "Udaysankar S.", "non-dropping-particle" : "", "parse-names" : false, "suffix" : "" } ], "container-title" : "Global and Planetary Change", "id" : "ITEM-1", "issue" : "1-2", "issued" : { "date-parts" : [ [ "2006" ] ] }, "page" : "150-162", "title" : "Dry season clouds and rainfall in northern Central America: implications for the Mesoamerican Biological Corridor", "type" : "article-journal", "volume" : "54" }, "uris" : [ "http://www.mendeley.com/documents/?uuid=c4724474-3431-3378-bf98-c67950ef201b" ] } ], "mendeley" : { "formattedCitation" : "(D. K. Ray, Welch, Lawton, &amp; Nair, 2006)", "manualFormatting" : "Ray et al., 2006)", "plainTextFormattedCitation" : "(D. K. Ray, Welch, Lawton, &amp; Nair, 2006)", "previouslyFormattedCitation" : "(D. K. Ray, Welch, Lawton, &amp; Nair, 2006)" }, "properties" : { "noteIndex" : 0 }, "schema" : "https://github.com/citation-style-language/schema/raw/master/csl-citation.json" }</w:instrText>
      </w:r>
      <w:r w:rsidR="004255E7" w:rsidRPr="008608AA">
        <w:fldChar w:fldCharType="separate"/>
      </w:r>
      <w:r w:rsidR="004255E7" w:rsidRPr="008608AA">
        <w:rPr>
          <w:noProof/>
        </w:rPr>
        <w:t>Ray et al., 2006)</w:t>
      </w:r>
      <w:r w:rsidR="004255E7" w:rsidRPr="008608AA">
        <w:fldChar w:fldCharType="end"/>
      </w:r>
      <w:r w:rsidR="004255E7" w:rsidRPr="008608AA">
        <w:t xml:space="preserve">. In Mexico, </w:t>
      </w:r>
      <w:r w:rsidR="007D0059" w:rsidRPr="008608AA">
        <w:t xml:space="preserve">moist </w:t>
      </w:r>
      <w:r w:rsidR="004255E7" w:rsidRPr="008608AA">
        <w:t xml:space="preserve">wet forests and montane cloud forests have the highest diversity of plant species per unit area among vegetation types </w:t>
      </w:r>
      <w:r w:rsidR="004255E7" w:rsidRPr="008608AA">
        <w:fldChar w:fldCharType="begin" w:fldLock="1"/>
      </w:r>
      <w:r w:rsidR="004255E7" w:rsidRPr="008608AA">
        <w:instrText>ADDIN CSL_CITATION { "citationItems" : [ { "id" : "ITEM-1", "itemData" : { "author" : [ { "dropping-particle" : "", "family" : "Rzedowski", "given" : "J.", "non-dropping-particle" : "", "parse-names" : false, "suffix" : "" } ], "container-title" : "Acta Bot\u00e1nica Mexicana", "id" : "ITEM-1", "issued" : { "date-parts" : [ [ "1991" ] ] }, "page" : "3-21", "title" : "Diversidad y or\u00edgenes de la flora fanerog\u00e1mica de M\u00e9xico", "type" : "article-journal", "volume" : "14" }, "uris" : [ "http://www.mendeley.com/documents/?uuid=e3d49e98-7adb-4c15-bc3b-8d1c9b9d518a", "http://www.mendeley.com/documents/?uuid=44801d52-05a4-47d2-94b2-25a29d56b361" ] } ], "mendeley" : { "formattedCitation" : "(Rzedowski, 1991)", "manualFormatting" : "(Rzedowski, 1991)", "plainTextFormattedCitation" : "(Rzedowski, 1991)", "previouslyFormattedCitation" : "(Rzedowski, 1991)" }, "properties" : { "noteIndex" : 0 }, "schema" : "https://github.com/citation-style-language/schema/raw/master/csl-citation.json" }</w:instrText>
      </w:r>
      <w:r w:rsidR="004255E7" w:rsidRPr="008608AA">
        <w:fldChar w:fldCharType="separate"/>
      </w:r>
      <w:r w:rsidR="004255E7" w:rsidRPr="008608AA">
        <w:rPr>
          <w:noProof/>
        </w:rPr>
        <w:t>(Rzedowski, 1991)</w:t>
      </w:r>
      <w:r w:rsidR="004255E7" w:rsidRPr="008608AA">
        <w:fldChar w:fldCharType="end"/>
      </w:r>
      <w:r w:rsidR="004255E7" w:rsidRPr="008608AA">
        <w:t xml:space="preserve">. Tropical lowland broadleaf moist forests house around 17% of the flora of Mexico, while montane mesophyll forests contain around 9% of the flora (see also, Table 3.4 for numbers) </w:t>
      </w:r>
      <w:r w:rsidR="004255E7" w:rsidRPr="008608AA">
        <w:fldChar w:fldCharType="begin" w:fldLock="1"/>
      </w:r>
      <w:r w:rsidR="004255E7" w:rsidRPr="008608AA">
        <w:instrText>ADDIN CSL_CITATION { "citationItems" : [ { "id" : "ITEM-1", "itemData" : { "ISBN" : "978-607-7607-03-8", "abstract" : "Challenger, A., Sober\u00f3n, J. 2008. Los ecosistemas terrestres. En: Sarukh\u00e1n, J. (coord.). Capitalnatural de M\u00e9xico, vol. I: Conocimiento actual de la biodiversidad, pp. 87-108, Comisi\u00f3n Nacionalpara el Conocimiento y Uso de la Biodiversidad, M\u00e9xico. Chapela, F. 2005. ...", "author" : [ { "dropping-particle" : "", "family" : "Challenger", "given" : "A.", "non-dropping-particle" : "", "parse-names" : false, "suffix" : "" }, { "dropping-particle" : "", "family" : "Sober\u00f3n", "given" : "J.", "non-dropping-particle" : "", "parse-names" : false, "suffix" : "" } ], "container-title" : "Capital Natural de M\u00e9xico, Vol. I: Conocimiento Actual de la Biodiversidad", "editor" : [ { "dropping-particle" : "", "family" : "Sarukh\u00e1n", "given" : "Jos\u00e9", "non-dropping-particle" : "", "parse-names" : false, "suffix" : "" } ], "id" : "ITEM-1", "issued" : { "date-parts" : [ [ "2008" ] ] }, "page" : "87-108", "publisher" : "CONABIO", "publisher-place" : "Sarukh\u00e1n, Jos\u00e9", "title" : "Los ecosistemas terrestres", "type" : "chapter" }, "uris" : [ "http://www.mendeley.com/documents/?uuid=3ee86e12-ed09-3522-b56e-692774865ec3" ] } ], "mendeley" : { "formattedCitation" : "(Challenger &amp; Sober\u00f3n, 2008)", "manualFormatting" : "(Challenger &amp; Sober\u00f3n, 2008)", "plainTextFormattedCitation" : "(Challenger &amp; Sober\u00f3n, 2008)", "previouslyFormattedCitation" : "(Challenger &amp; Sober\u00f3n, 2008)" }, "properties" : { "noteIndex" : 0 }, "schema" : "https://github.com/citation-style-language/schema/raw/master/csl-citation.json" }</w:instrText>
      </w:r>
      <w:r w:rsidR="004255E7" w:rsidRPr="008608AA">
        <w:fldChar w:fldCharType="separate"/>
      </w:r>
      <w:r w:rsidR="004255E7" w:rsidRPr="008608AA">
        <w:rPr>
          <w:noProof/>
        </w:rPr>
        <w:t>(Challenger &amp; Soberón, 2008)</w:t>
      </w:r>
      <w:r w:rsidR="004255E7" w:rsidRPr="008608AA">
        <w:fldChar w:fldCharType="end"/>
      </w:r>
      <w:r w:rsidR="004255E7" w:rsidRPr="008608AA">
        <w:t xml:space="preserve">. Mesoamerican coniferous forests in general support low to moderate species diversity. Notably, however, Mexican coniferous forests contain very high numbers of pine and oak species (Table 3.4). Species diversity and endemism for amphibians are high in the </w:t>
      </w:r>
      <w:r w:rsidR="007D0059" w:rsidRPr="008608AA">
        <w:t xml:space="preserve">moist </w:t>
      </w:r>
      <w:r w:rsidR="004255E7" w:rsidRPr="008608AA">
        <w:t xml:space="preserve">forests of the Mesoamerican highlands </w:t>
      </w:r>
      <w:r w:rsidR="004255E7" w:rsidRPr="008608AA">
        <w:fldChar w:fldCharType="begin" w:fldLock="1"/>
      </w:r>
      <w:r w:rsidR="004255E7" w:rsidRPr="008608AA">
        <w:instrText>ADDIN CSL_CITATION { "citationItems" : [ { "id" : "ITEM-1", "itemData" : { "author" : [ { "dropping-particle" : "", "family" : "K\u00f6hler", "given" : "G.", "non-dropping-particle" : "", "parse-names" : false, "suffix" : "" } ], "id" : "ITEM-1", "issued" : { "date-parts" : [ [ "2011" ] ] }, "number-of-pages" : "379", "publisher" : "Herpeton-Verlag", "publisher-place" : "Offenbach, Germany", "title" : "Amphibians of Central America", "type" : "book" }, "uris" : [ "http://www.mendeley.com/documents/?uuid=d230e770-1fb8-486e-a124-885785d90e36" ] }, { "id" : "ITEM-2", "itemData" : { "author" : [ { "dropping-particle" : "", "family" : "Lamoreux", "given" : "J. F.", "non-dropping-particle" : "", "parse-names" : false, "suffix" : "" }, { "dropping-particle" : "", "family" : "McKnight", "given" : "M. W.", "non-dropping-particle" : "", "parse-names" : false, "suffix" : "" }, { "dropping-particle" : "", "family" : "Hernandez", "given" : "R. Cabrera", "non-dropping-particle" : "", "parse-names" : false, "suffix" : "" } ], "id" : "ITEM-2", "issued" : { "date-parts" : [ [ "2015" ] ] }, "number-of-pages" : "320", "publisher" : "IUCN", "publisher-place" : "Gland, Switzerland", "title" : "Amphibian Alliance for Zero Extinction Sites in Chiapas and Oaxaca", "type" : "book" }, "uris" : [ "http://www.mendeley.com/documents/?uuid=a6ef6eb2-9caf-4340-8954-fdc49b3687a3" ] } ], "mendeley" : { "formattedCitation" : "(K\u00f6hler, 2011; Lamoreux, McKnight, &amp; Hernandez, 2015)", "manualFormatting" : "(K\u00f6hler, 2011; Lamoreux et al., 2015)", "plainTextFormattedCitation" : "(K\u00f6hler, 2011; Lamoreux, McKnight, &amp; Hernandez, 2015)", "previouslyFormattedCitation" : "(K\u00f6hler, 2011; Lamoreux, McKnight, &amp; Hernandez, 2015)" }, "properties" : { "noteIndex" : 0 }, "schema" : "https://github.com/citation-style-language/schema/raw/master/csl-citation.json" }</w:instrText>
      </w:r>
      <w:r w:rsidR="004255E7" w:rsidRPr="008608AA">
        <w:fldChar w:fldCharType="separate"/>
      </w:r>
      <w:r w:rsidR="004255E7" w:rsidRPr="008608AA">
        <w:rPr>
          <w:noProof/>
        </w:rPr>
        <w:t>(Köhler, 2011; Lamoreux et al., 2015)</w:t>
      </w:r>
      <w:r w:rsidR="004255E7" w:rsidRPr="008608AA">
        <w:fldChar w:fldCharType="end"/>
      </w:r>
      <w:r w:rsidR="004255E7" w:rsidRPr="008608AA">
        <w:t xml:space="preserve">. In </w:t>
      </w:r>
      <w:r w:rsidR="006F4B6F" w:rsidRPr="008608AA">
        <w:t>Mesoa</w:t>
      </w:r>
      <w:r w:rsidR="004255E7" w:rsidRPr="008608AA">
        <w:t xml:space="preserve">merican lowland rainforests, the diversity of mammals decreases from eastern Panama to southern Mexico </w:t>
      </w:r>
      <w:r w:rsidR="004255E7" w:rsidRPr="008608AA">
        <w:fldChar w:fldCharType="begin" w:fldLock="1"/>
      </w:r>
      <w:r w:rsidR="004255E7" w:rsidRPr="008608AA">
        <w:instrText>ADDIN CSL_CITATION { "citationItems" : [ { "id" : "ITEM-1", "itemData" : { "ISBN" : "0003-0090", "ISSN" : "00030090", "abstract" : "Information about the magnitude and geographic distribution of mammalian diversity in Neotropical lowland rainforests is important for evaluating research and conservation priorities in Central and South America. Although relevant inventory data are rapidly accumulating in the literature, real site-to-site diversity differences are hard to identify because many confounding factors can affect the size and composition of faunal lists. Herein we assess the available information about Neotropical rainforest mammal diversity and suggest guidelines for future work by reviewing inventory methods, documenting and discussing faunal lists from ten localities, and summarizing geographic range data to predict diversity patterns that can be tested by field and museum research. All inventory methods are biased because each is suitable for collecting or observing only a fraction of the morphologically and behaviorally diverse mammalian fauna that inhabits Neotropical rainforests. Hence, many methods must be used in combination to census whole communities. Although no combination of methods can be guaranteed to produce complete inventories, the omission or nonintensive application of any of several essential methods probably guarantees incomplete results. We recommend nine methods that, used intensively and in combination, should maximize the efficiency of future inventory fieldwork. Ten rainforest mammal inventories selected as exemplars illustrate several common problems: sampling effort is highly variable from study to study, species accumulation curves are not asymptotic for any fauna, essential field methods were omitted in every case, and some localities were partially defaunated by hunters prior to inventory. Meaningful diversity comparisons are therefore impossible without a major investment in additional fieldwork at each site. Geographic range data provide an essential alternative source of diversity estimates. Comparisons of inventory results with geographic expectations (diversity predictions based on range data) suggest that all existing inventories are incomplete, that the degree of incompleteness is inversely correlated with inventory duration, and that special methods are required to add elusive species to faunal lists. The range data at hand also suggest several geographic patterns that should be tested with carefully focussed fieldwork. (1) Mammalian diversity in Amazonia is probably greatest in the western subregion (between the Rio Negro and the Rio\u2026", "author" : [ { "dropping-particle" : "", "family" : "Voss", "given" : "Robert S.", "non-dropping-particle" : "", "parse-names" : false, "suffix" : "" }, { "dropping-particle" : "", "family" : "Emmons", "given" : "Louise H.", "non-dropping-particle" : "", "parse-names" : false, "suffix" : "" } ], "container-title" : "Bulletin of the American Museum of Natural History", "id" : "ITEM-1", "issued" : { "date-parts" : [ [ "1996" ] ] }, "page" : "3-115", "title" : "Mammalian diversity in neotropical lowland rainforests: a preliminary assessment", "type" : "article-journal", "volume" : "230" }, "uris" : [ "http://www.mendeley.com/documents/?uuid=9e3026e2-b77f-314a-b326-6be5f4d1e043" ] } ], "mendeley" : { "formattedCitation" : "(Voss &amp; Emmons, 1996)", "manualFormatting" : "(Voss &amp; Emmons, 1996)", "plainTextFormattedCitation" : "(Voss &amp; Emmons, 1996)", "previouslyFormattedCitation" : "(Voss &amp; Emmons, 1996)" }, "properties" : { "noteIndex" : 0 }, "schema" : "https://github.com/citation-style-language/schema/raw/master/csl-citation.json" }</w:instrText>
      </w:r>
      <w:r w:rsidR="004255E7" w:rsidRPr="008608AA">
        <w:fldChar w:fldCharType="separate"/>
      </w:r>
      <w:r w:rsidR="004255E7" w:rsidRPr="008608AA">
        <w:rPr>
          <w:noProof/>
        </w:rPr>
        <w:t>(Voss &amp; Emmons, 1996)</w:t>
      </w:r>
      <w:r w:rsidR="004255E7" w:rsidRPr="008608AA">
        <w:fldChar w:fldCharType="end"/>
      </w:r>
      <w:r w:rsidR="004255E7" w:rsidRPr="008608AA">
        <w:t xml:space="preserve">. The mesic forests of southeastern Mexico have been classified as critically endangered </w:t>
      </w:r>
      <w:r w:rsidR="004255E7" w:rsidRPr="008608AA">
        <w:fldChar w:fldCharType="begin" w:fldLock="1"/>
      </w:r>
      <w:r w:rsidR="004255E7" w:rsidRPr="008608AA">
        <w:instrText>ADDIN CSL_CITATION { "citationItems" : [ { "id" : "ITEM-1", "itemData" : { "DOI" : "10.1111/j.1461-0248.2004.00686.x", "ISBN" : "1461-023X", "ISSN" : "1461023X", "PMID" : "12", "abstract" : "Human impacts on the natural environment have reached such proportions that in addition to an 'extinction crisis', we now also face a broader 'biome crisis'. Here we identify the world's terrestrial biomes and, at a finer spatial scale, ecoregions in which biodiversity and ecological function are at greatest risk because of extensive habitat conversion and limited habitat protection. Habitat conversion exceeds habitat protection by a ratio of 8 : 1 in temperate grasslands and Mediterranean biomes, and 10 : 1 in more than 140 ecoregions. These regions include some of the most biologically distinctive, species rich ecosystems on Earth, as well as the last home of many threatened and endangered species. Confronting the biome crisis requires a concerted and comprehensive response aimed at protecting not only species, but the variety of landscapes, ecological interactions, and evolutionary pressures that sustain biodiversity, generate ecosystem services, and evolve new species in the future", "author" : [ { "dropping-particle" : "", "family" : "Hoekstra", "given" : "Jonathan M.", "non-dropping-particle" : "", "parse-names" : false, "suffix" : "" }, { "dropping-particle" : "", "family" : "Boucher", "given" : "Timothy M.", "non-dropping-particle" : "", "parse-names" : false, "suffix" : "" }, { "dropping-particle" : "", "family" : "Ricketts", "given" : "Taylor H.", "non-dropping-particle" : "", "parse-names" : false, "suffix" : "" }, { "dropping-particle" : "", "family" : "Roberts", "given" : "Carter", "non-dropping-particle" : "", "parse-names" : false, "suffix" : "" } ], "container-title" : "Ecology Letters", "id" : "ITEM-1", "issue" : "1", "issued" : { "date-parts" : [ [ "2005" ] ] }, "page" : "23-29", "title" : "Confronting a biome crisis: global disparities of habitat loss and protection", "type" : "article-journal", "volume" : "8" }, "uris" : [ "http://www.mendeley.com/documents/?uuid=c98a8088-898d-3bd7-b4d5-e44a21846997" ] } ], "mendeley" : { "formattedCitation" : "(Hoekstra, Boucher, Ricketts, &amp; Roberts, 2005)", "manualFormatting" : "(Hoekstra et al., 2005)", "plainTextFormattedCitation" : "(Hoekstra, Boucher, Ricketts, &amp; Roberts, 2005)", "previouslyFormattedCitation" : "(Hoekstra, Boucher, Ricketts, &amp; Roberts, 2005)" }, "properties" : { "noteIndex" : 0 }, "schema" : "https://github.com/citation-style-language/schema/raw/master/csl-citation.json" }</w:instrText>
      </w:r>
      <w:r w:rsidR="004255E7" w:rsidRPr="008608AA">
        <w:fldChar w:fldCharType="separate"/>
      </w:r>
      <w:r w:rsidR="004255E7" w:rsidRPr="008608AA">
        <w:rPr>
          <w:noProof/>
        </w:rPr>
        <w:t>(Hoekstra et al., 2005)</w:t>
      </w:r>
      <w:r w:rsidR="004255E7" w:rsidRPr="008608AA">
        <w:fldChar w:fldCharType="end"/>
      </w:r>
      <w:r w:rsidR="004255E7" w:rsidRPr="008608AA">
        <w:t>.</w:t>
      </w:r>
    </w:p>
    <w:p w14:paraId="137FCF84" w14:textId="120660C8" w:rsidR="004255E7" w:rsidRPr="008608AA" w:rsidRDefault="004255E7" w:rsidP="00FE65F2">
      <w:pPr>
        <w:spacing w:after="120"/>
      </w:pPr>
      <w:r w:rsidRPr="008608AA">
        <w:rPr>
          <w:iCs/>
        </w:rPr>
        <w:t>Recent trends</w:t>
      </w:r>
      <w:r w:rsidR="00ED6262" w:rsidRPr="008608AA">
        <w:t xml:space="preserve">. </w:t>
      </w:r>
      <w:r w:rsidRPr="008608AA">
        <w:t xml:space="preserve">Over the past 50 years, loss of lowland </w:t>
      </w:r>
      <w:r w:rsidR="007D0448" w:rsidRPr="008608AA">
        <w:t xml:space="preserve">moist </w:t>
      </w:r>
      <w:r w:rsidRPr="008608AA">
        <w:t xml:space="preserve">forest in Mexico was acute, the yearly deforestation rate reaching 2.6% for 1976-1993 and 1.3% for 1993–2002 </w:t>
      </w:r>
      <w:r w:rsidRPr="008608AA">
        <w:fldChar w:fldCharType="begin" w:fldLock="1"/>
      </w:r>
      <w:r w:rsidRPr="008608AA">
        <w:instrText>ADDIN CSL_CITATION { "citationItems" : [ { "id" : "ITEM-1", "itemData" : { "ISBN" : "978-607-7607-08-3", "author" : [ { "dropping-particle" : "", "family" : "Challenger", "given" : "A.", "non-dropping-particle" : "", "parse-names" : false, "suffix" : "" }, { "dropping-particle" : "", "family" : "Dirzo", "given" : "R.", "non-dropping-particle" : "", "parse-names" : false, "suffix" : "" } ], "container-title" : "Capital Natural de M\u00e9xico, Vol. II: Estado de Conservaci\u00f3n y Tendencias de Cambio", "editor" : [ { "dropping-particle" : "", "family" : "Sarukh\u00e1n", "given" : "Jos\u00e9", "non-dropping-particle" : "", "parse-names" : false, "suffix" : "" } ], "id" : "ITEM-1", "issued" : { "date-parts" : [ [ "2009" ] ] }, "page" : "37-73", "publisher" : "CONABIO", "publisher-place" : "Mexico City, Mexico", "title" : "Factores de cambio y estado de la biodiversidad", "type" : "chapter" }, "uris" : [ "http://www.mendeley.com/documents/?uuid=3ab2f8e7-1213-4f59-9e4e-6e5929508ba9", "http://www.mendeley.com/documents/?uuid=e52aac8b-7d8d-4c8d-abff-2c97ec51462d" ] } ], "mendeley" : { "formattedCitation" : "(Challenger &amp; Dirzo, 2009)", "plainTextFormattedCitation" : "(Challenger &amp; Dirzo, 2009)", "previouslyFormattedCitation" : "(Challenger &amp; Dirzo, 2009)" }, "properties" : { "noteIndex" : 0 }, "schema" : "https://github.com/citation-style-language/schema/raw/master/csl-citation.json" }</w:instrText>
      </w:r>
      <w:r w:rsidRPr="008608AA">
        <w:fldChar w:fldCharType="separate"/>
      </w:r>
      <w:r w:rsidRPr="008608AA">
        <w:rPr>
          <w:noProof/>
        </w:rPr>
        <w:t>(Challenger &amp; Dirzo, 2009)</w:t>
      </w:r>
      <w:r w:rsidRPr="008608AA">
        <w:fldChar w:fldCharType="end"/>
      </w:r>
      <w:r w:rsidRPr="008608AA">
        <w:t xml:space="preserve">; by 2002 primary forest was down to only 17.5% of the original area. Before the late 1980s, forest loss was generally caused by small-scale slash-and-burn agriculture. In the past 25 years, however, large-scale cropping and pastures became the main causes of tropical habitat loss </w:t>
      </w:r>
      <w:r w:rsidRPr="008608AA">
        <w:fldChar w:fldCharType="begin" w:fldLock="1"/>
      </w:r>
      <w:r w:rsidRPr="008608AA">
        <w:instrText>ADDIN CSL_CITATION { "citationItems" : [ { "id" : "ITEM-1", "itemData" : { "DOI" : "10.1073/pnas.0910275107", "ISBN" : "0027-8424", "ISSN" : "0027-8424", "PMID" : "20807750", "abstract" : "Global demand for agricultural products such as food, feed, and fuel is now a major driver of cropland and pasture expansion across much of the developing world. Whether these new agricultural lands replace forests, degraded forests, or grasslands greatly influences the environmental consequences of expansion. Although the general pattern is known, there still is no definitive quantification of these land-cover changes. Here we analyze the rich, pan-tropical database of classified Landsat scenes created by the Food and Agricultural Organization of the United Nations to examine pathways of agricultural expansion across the major tropical forest regions in the 1980s and 1990s and use this information to highlight the future land conversions that probably will be needed to meet mounting demand for agricultural products. Across the tropics, we find that between 1980 and 2000 more than 55% of new agricultural land came at the expense of intact forests, and another 28% came from disturbed forests. This study underscores the potential consequences of unabated agricultural expansion for forest conservation and carbon emissions.", "author" : [ { "dropping-particle" : "", "family" : "Gibbs", "given" : "H.K.", "non-dropping-particle" : "", "parse-names" : false, "suffix" : "" }, { "dropping-particle" : "", "family" : "Ruesch", "given" : "A.S.", "non-dropping-particle" : "", "parse-names" : false, "suffix" : "" }, { "dropping-particle" : "", "family" : "Achard", "given" : "F.", "non-dropping-particle" : "", "parse-names" : false, "suffix" : "" }, { "dropping-particle" : "", "family" : "Clayton", "given" : "M.K.", "non-dropping-particle" : "", "parse-names" : false, "suffix" : "" }, { "dropping-particle" : "", "family" : "Holmgren", "given" : "P.", "non-dropping-particle" : "", "parse-names" : false, "suffix" : "" }, { "dropping-particle" : "", "family" : "Ramankutty", "given" : "N.", "non-dropping-particle" : "", "parse-names" : false, "suffix" : "" }, { "dropping-particle" : "", "family" : "Foley", "given" : "J.A.", "non-dropping-particle" : "", "parse-names" : false, "suffix" : "" } ], "container-title" : "PNAS", "id" : "ITEM-1", "issue" : "38", "issued" : { "date-parts" : [ [ "2010" ] ] }, "page" : "16732-16737", "title" : "Tropical forests were the primary sources of new agricultural land in the 1980s and 1990s", "type" : "article-journal", "volume" : "107" }, "uris" : [ "http://www.mendeley.com/documents/?uuid=fb99e79b-ec4f-335b-9010-ce0286438a4b" ] }, { "id" : "ITEM-2", "itemData" : { "ISBN" : "9780191720666", "ISSN" : "18255167", "abstract" : "Vast amounts of habitat destruction have already occurred. For instance, about half of all global forest cover has been lost, and forests have virtually vanished in over 50 nations Worldwide. Habitat destruction has been highly uneven among different ecosystems. From a geographic perspective, islands, coastal areas, wetlands, regions with large or growing human populations, and emerging agricultural frontiers are all sustaining rapid habitat loss. From a biome perspective, habitat loss has been very high in Mediterranean forests, temperate forest- steppe and woodland, temperate broadleaf forests, and tropical coniferous forests. Other ecosystems, particularly tropical rainforests, are now disappearing rapidly. Habitat destruction in the temperate zone peaked in the 19th and early 20th centuries. Although considerable habitat loss is occurring in some temperate ecosystems, overall forest cover is now increasing from forest regeneration and plantation establishment in some temperate regions. Primary (old-growth) habitats are rapidly diminishing across much of the earth. In their place, a variety of semi-natural or intensively managed ecosystems are being established. For example, although just two-tenths of the temperate coniferous forests have disappeared, vast areas are being converted from old-growth to timber-production forests, with a greatly simplified stand structure and species composition. Boreal ecosystems have suffered relatively limited reductions to date but are especially vulnerable to global warming. Boreal forests could become increasingly vulnerable to destructive fires if future conditions become warmer or drier.", "author" : [ { "dropping-particle" : "", "family" : "Laurance", "given" : "William F.", "non-dropping-particle" : "", "parse-names" : false, "suffix" : "" } ], "container-title" : "Conservation Biology for All", "editor" : [ { "dropping-particle" : "", "family" : "Sodhi", "given" : "Navjot S.", "non-dropping-particle" : "", "parse-names" : false, "suffix" : "" }, { "dropping-particle" : "", "family" : "Ehrlich", "given" : "Paul R.", "non-dropping-particle" : "", "parse-names" : false, "suffix" : "" } ], "id" : "ITEM-2", "issued" : { "date-parts" : [ [ "2010" ] ] }, "page" : "73-87", "publisher" : "Oxford University Press", "publisher-place" : "New York, USA", "title" : "Habitat destruction: Death by a thousand cuts", "type" : "chapter" }, "uris" : [ "http://www.mendeley.com/documents/?uuid=bb57c9c0-1952-449f-8a9d-973765ef1729" ] } ], "mendeley" : { "formattedCitation" : "(Gibbs et al., 2010; Laurance, 2010)", "plainTextFormattedCitation" : "(Gibbs et al., 2010; Laurance, 2010)", "previouslyFormattedCitation" : "(Gibbs et al., 2010; Laurance, 2010)" }, "properties" : { "noteIndex" : 0 }, "schema" : "https://github.com/citation-style-language/schema/raw/master/csl-citation.json" }</w:instrText>
      </w:r>
      <w:r w:rsidRPr="008608AA">
        <w:fldChar w:fldCharType="separate"/>
      </w:r>
      <w:r w:rsidRPr="008608AA">
        <w:rPr>
          <w:noProof/>
        </w:rPr>
        <w:t>(Gibbs et al., 2010; Laurance, 2010)</w:t>
      </w:r>
      <w:r w:rsidRPr="008608AA">
        <w:fldChar w:fldCharType="end"/>
      </w:r>
      <w:r w:rsidRPr="008608AA">
        <w:t xml:space="preserve">. Montane mesophyll forest (including cloud forest) was reduced from less than 50% to 28% of its original extent over the period 1976 -2003; coniferous forests fared better, with around 50% still remaining </w:t>
      </w:r>
      <w:r w:rsidRPr="008608AA">
        <w:fldChar w:fldCharType="begin" w:fldLock="1"/>
      </w:r>
      <w:r w:rsidRPr="008608AA">
        <w:instrText>ADDIN CSL_CITATION { "citationItems" : [ { "id" : "ITEM-1", "itemData" : { "ISBN" : "978-607-7607-08-3", "author" : [ { "dropping-particle" : "", "family" : "Challenger", "given" : "A.", "non-dropping-particle" : "", "parse-names" : false, "suffix" : "" }, { "dropping-particle" : "", "family" : "Dirzo", "given" : "R.", "non-dropping-particle" : "", "parse-names" : false, "suffix" : "" } ], "container-title" : "Capital Natural de M\u00e9xico, Vol. II: Estado de Conservaci\u00f3n y Tendencias de Cambio", "editor" : [ { "dropping-particle" : "", "family" : "Sarukh\u00e1n", "given" : "Jos\u00e9", "non-dropping-particle" : "", "parse-names" : false, "suffix" : "" } ], "id" : "ITEM-1", "issued" : { "date-parts" : [ [ "2009" ] ] }, "page" : "37-73", "publisher" : "CONABIO", "publisher-place" : "Mexico City, Mexico", "title" : "Factores de cambio y estado de la biodiversidad", "type" : "chapter" }, "uris" : [ "http://www.mendeley.com/documents/?uuid=3ab2f8e7-1213-4f59-9e4e-6e5929508ba9", "http://www.mendeley.com/documents/?uuid=e52aac8b-7d8d-4c8d-abff-2c97ec51462d" ] } ], "mendeley" : { "formattedCitation" : "(Challenger &amp; Dirzo, 2009)", "plainTextFormattedCitation" : "(Challenger &amp; Dirzo, 2009)", "previouslyFormattedCitation" : "(Challenger &amp; Dirzo, 2009)" }, "properties" : { "noteIndex" : 0 }, "schema" : "https://github.com/citation-style-language/schema/raw/master/csl-citation.json" }</w:instrText>
      </w:r>
      <w:r w:rsidRPr="008608AA">
        <w:fldChar w:fldCharType="separate"/>
      </w:r>
      <w:r w:rsidRPr="008608AA">
        <w:rPr>
          <w:noProof/>
        </w:rPr>
        <w:t>(Challenger &amp; Dirzo, 2009)</w:t>
      </w:r>
      <w:r w:rsidRPr="008608AA">
        <w:fldChar w:fldCharType="end"/>
      </w:r>
      <w:r w:rsidRPr="008608AA">
        <w:t xml:space="preserve">. </w:t>
      </w:r>
    </w:p>
    <w:p w14:paraId="2948A8F6" w14:textId="3F8F163D" w:rsidR="004255E7" w:rsidRPr="008608AA" w:rsidRDefault="004255E7" w:rsidP="00FE65F2">
      <w:pPr>
        <w:spacing w:after="120"/>
      </w:pPr>
      <w:r w:rsidRPr="008608AA">
        <w:t xml:space="preserve">Removal and fragmentation of </w:t>
      </w:r>
      <w:r w:rsidR="007D0448" w:rsidRPr="008608AA">
        <w:t xml:space="preserve">moist </w:t>
      </w:r>
      <w:r w:rsidRPr="008608AA">
        <w:t xml:space="preserve">forest have led to a significant decrease of regional species diversity </w:t>
      </w:r>
      <w:r w:rsidRPr="008608AA">
        <w:fldChar w:fldCharType="begin" w:fldLock="1"/>
      </w:r>
      <w:r w:rsidRPr="008608AA">
        <w:instrText>ADDIN CSL_CITATION { "citationItems" : [ { "id" : "ITEM-1", "itemData" : { "DOI" : "10.1016/j.gloplacha.2005.09.004", "ISBN" : "0921-8181", "ISSN" : "09218181", "abstract" : "The proposed Mesoamerican Biological Corridor (MBC) is an ambitious effort to stem the erosion of biodiversity in one of the world's biologically richest regions. The intent is to connect large existing parks and reserves with new protected areas by means of an extensive network of biological corridors within Mesoamerica/Central America to create an environment which provides better prospects for the long-term survival of native species while also addressing the region's socioeconomic needs. While the forest types in northern Central America generally receive some dry season rainfall, in the proposed protected regions, however, it is unclear whether current rainfall has been altered by regional land-use change. Based upon climatological rainfall records at 266 stations in Guatemala and adjacent areas, dry season rainfall in March is markedly lower in deforested areas than in forested areas of the same life zone for each of the widespread life zones. In general, dry season deforested habitats have higher daytime temperatures, are less cloudy, have lower estimated soil moisture and lower values of normalized difference vegetation index (NDVI) than do forested habitats in the same life zone. The result is hotter and drier air over deforested regions, with lower values of cloud formation and precipitation. Rainfall is predicted from the correlation of raingauge measurements and observed cloud cover; moreover, March rainfall deficiencies &gt; 25 mm are found for several Holdridge life zones. The data suggest that deforestation is locally intensifying the dry season, increasing the risk of fire, especially for the long corridor connecting regions. In addition, forest regeneration in some parts of the MBC may not result in second-growth forest that is characteristic of that life zone but rather in forest regeneration more typical of drier conditions. The extent to which this would influence the conservation utility of any given corridor depends upon the ecological requirements of the organisms concerned. \u00a9 2006 Elsevier B.V. All rights reserved.", "author" : [ { "dropping-particle" : "", "family" : "Ray", "given" : "Deepak K.", "non-dropping-particle" : "", "parse-names" : false, "suffix" : "" }, { "dropping-particle" : "", "family" : "Welch", "given" : "Ronald M.", "non-dropping-particle" : "", "parse-names" : false, "suffix" : "" }, { "dropping-particle" : "", "family" : "Lawton", "given" : "Robert O.", "non-dropping-particle" : "", "parse-names" : false, "suffix" : "" }, { "dropping-particle" : "", "family" : "Nair", "given" : "Udaysankar S.", "non-dropping-particle" : "", "parse-names" : false, "suffix" : "" } ], "container-title" : "Global and Planetary Change", "id" : "ITEM-1", "issue" : "1-2", "issued" : { "date-parts" : [ [ "2006" ] ] }, "page" : "150-162", "title" : "Dry season clouds and rainfall in northern Central America: implications for the Mesoamerican Biological Corridor", "type" : "article-journal", "volume" : "54" }, "uris" : [ "http://www.mendeley.com/documents/?uuid=c4724474-3431-3378-bf98-c67950ef201b" ] } ], "mendeley" : { "formattedCitation" : "(D. K. Ray et al., 2006)", "manualFormatting" : "(Ray et al., 2006)", "plainTextFormattedCitation" : "(D. K. Ray et al., 2006)", "previouslyFormattedCitation" : "(D. K. Ray et al., 2006)" }, "properties" : { "noteIndex" : 0 }, "schema" : "https://github.com/citation-style-language/schema/raw/master/csl-citation.json" }</w:instrText>
      </w:r>
      <w:r w:rsidRPr="008608AA">
        <w:fldChar w:fldCharType="separate"/>
      </w:r>
      <w:r w:rsidRPr="008608AA">
        <w:rPr>
          <w:noProof/>
        </w:rPr>
        <w:t>(Ray et al., 2006)</w:t>
      </w:r>
      <w:r w:rsidRPr="008608AA">
        <w:fldChar w:fldCharType="end"/>
      </w:r>
      <w:r w:rsidRPr="008608AA">
        <w:t xml:space="preserve">. Many amphibian species have experienced severe local and regional declines across the </w:t>
      </w:r>
      <w:r w:rsidR="007D0448" w:rsidRPr="008608AA">
        <w:t xml:space="preserve">moist </w:t>
      </w:r>
      <w:r w:rsidRPr="008608AA">
        <w:t xml:space="preserve">forests of the Mesoamerican highlands due to habitat destruction, emerging infectious diseases and other factors </w:t>
      </w:r>
      <w:r w:rsidRPr="008608AA">
        <w:fldChar w:fldCharType="begin" w:fldLock="1"/>
      </w:r>
      <w:r w:rsidRPr="008608AA">
        <w:instrText>ADDIN CSL_CITATION { "citationItems" : [ { "id" : "ITEM-1", "itemData" : { "editor" : [ { "dropping-particle" : "", "family" : "Stuart", "given" : "S. N.", "non-dropping-particle" : "", "parse-names" : false, "suffix" : "" }, { "dropping-particle" : "", "family" : "Hoffmann", "given" : "M.", "non-dropping-particle" : "", "parse-names" : false, "suffix" : "" }, { "dropping-particle" : "", "family" : "Chanson", "given" : "J. S.", "non-dropping-particle" : "", "parse-names" : false, "suffix" : "" }, { "dropping-particle" : "", "family" : "Cox", "given" : "N. A.", "non-dropping-particle" : "", "parse-names" : false, "suffix" : "" }, { "dropping-particle" : "", "family" : "Berridge", "given" : "R. J.", "non-dropping-particle" : "", "parse-names" : false, "suffix" : "" }, { "dropping-particle" : "", "family" : "Ramani", "given" : "P.", "non-dropping-particle" : "", "parse-names" : false, "suffix" : "" }, { "dropping-particle" : "", "family" : "Young", "given" : "B. E.", "non-dropping-particle" : "", "parse-names" : false, "suffix" : "" } ], "id" : "ITEM-1", "issued" : { "date-parts" : [ [ "2008" ] ] }, "publisher" : "Lynx Edicions, IUCN and Conservation International", "publisher-place" : "Barcelona, Spain; Gland Switzerland; Arlington, USA", "title" : "Threatened Amphibians of the World", "type" : "book" }, "uris" : [ "http://www.mendeley.com/documents/?uuid=f9dccd9b-d292-451f-a1ca-32401d11ba9d" ] }, { "id" : "ITEM-2", "itemData" : { "author" : [ { "dropping-particle" : "", "family" : "Lamoreux", "given" : "J. F.", "non-dropping-particle" : "", "parse-names" : false, "suffix" : "" }, { "dropping-particle" : "", "family" : "McKnight", "given" : "M. W.", "non-dropping-particle" : "", "parse-names" : false, "suffix" : "" }, { "dropping-particle" : "", "family" : "Hernandez", "given" : "R. Cabrera", "non-dropping-particle" : "", "parse-names" : false, "suffix" : "" } ], "id" : "ITEM-2", "issued" : { "date-parts" : [ [ "2015" ] ] }, "number-of-pages" : "320", "publisher" : "IUCN", "publisher-place" : "Gland, Switzerland", "title" : "Amphibian Alliance for Zero Extinction Sites in Chiapas and Oaxaca", "type" : "book" }, "uris" : [ "http://www.mendeley.com/documents/?uuid=a6ef6eb2-9caf-4340-8954-fdc49b3687a3" ] } ], "mendeley" : { "formattedCitation" : "(Lamoreux et al., 2015; Stuart et al., 2008)", "manualFormatting" : "(Lamoreux et al., 2015; Stuart et al., 2008)", "plainTextFormattedCitation" : "(Lamoreux et al., 2015; Stuart et al., 2008)", "previouslyFormattedCitation" : "(Lamoreux et al., 2015; Stuart et al., 2008)" }, "properties" : { "noteIndex" : 0 }, "schema" : "https://github.com/citation-style-language/schema/raw/master/csl-citation.json" }</w:instrText>
      </w:r>
      <w:r w:rsidRPr="008608AA">
        <w:fldChar w:fldCharType="separate"/>
      </w:r>
      <w:r w:rsidRPr="008608AA">
        <w:rPr>
          <w:noProof/>
        </w:rPr>
        <w:t>(Lamoreux et al., 2015; Stuart et al., 2008)</w:t>
      </w:r>
      <w:r w:rsidRPr="008608AA">
        <w:fldChar w:fldCharType="end"/>
      </w:r>
      <w:r w:rsidRPr="008608AA">
        <w:t xml:space="preserve">. The increased use of pesticides and fertilizers, loss of live fences, and decline of natural habitat fragments within agroecosystems – have also exacerbated biodiversity losses due to habitat reduction </w:t>
      </w:r>
      <w:r w:rsidRPr="008608AA">
        <w:fldChar w:fldCharType="begin" w:fldLock="1"/>
      </w:r>
      <w:r w:rsidRPr="008608AA">
        <w:instrText>ADDIN CSL_CITATION { "citationItems" : [ { "id" : "ITEM-1", "itemData" : { "DOI" : "10.13140/RG.2.1.2898.9524", "ISBN" : "996895571X", "ISSN" : "1098-6596", "PMID" : "10048586", "abstract" : "Agriculture is widely considered the single most important threat to biodiversity conservation and the greatest driver of habitat destruction and change in Central America. Historically, agriculture has had a negative impact on biodiversity conservation primarily through the expansion of the agricultural frontier, at the expense of natural habitat. Today, the nature of the threat of agriculture to biodiversity conservation has changed. While agriculture continues to drive deforestation in the few remaining, remote areas where the agricultural frontier still exists, the main impact of agriculture is now due to the intensification of existing agricultural systems (and the concurrent increased use of pesticides, fertilizers and other inputs, the loss of hedgerows/l\u00edve fences and natural habitats within these systems and the greater pressure on the remaining natural resources) and to a lesser degree, changes in the configuration of agricultural landscapes. A wide array of social, economic and institutional factors have contributed to (and continue to drive) the expansion of the agricultural frontier, the intensification of existing agricultural systems and changes in agricultural landscapes within the region. These include demographic and social factors, poverty levels, land tenure, government policies and laws, international prices and consumption tendencies, expansion of available infrastructure, market failures, technological factors, subsidies and tariff protection, and gaps in information and extension services, among otherfactors. In particular, thegrow\u00edng population and increased demand for land and agricultural products make it likely that the pressure to increase agricultural production (either through the conversion of additional habitat to agricultural production and/or the intensification of production of already existing agricultural areas) will intensify in upcoming decades. The eventual implementation of CAFTA is also likely to strongly affect agricultural activities in the region through the establishment of new laws that force exporters to comply with local environmental regulations and the creation of new markets for some agricultural products. Agriculture can affect biodiversity in a number of ways. The most immediate way in which agriculture impacts biodiversity is through the conversion, destruction of modification of natural habitats, the fragmentation of remaining natural habitat and the concurrent loss of landscape connectivity. Howe\u2026", "author" : [ { "dropping-particle" : "", "family" : "The Nature Conservancy", "given" : "", "non-dropping-particle" : "", "parse-names" : false, "suffix" : "" } ], "id" : "ITEM-1", "issued" : { "date-parts" : [ [ "2005" ] ] }, "number-of-pages" : "162", "publisher" : "Mesoamerican &amp; Caribbean Region, Conservation Science Program", "publisher-place" : "San Jos\u00e9, Costa Rica", "title" : "Assessing Linkages between Agriculture and Biodiversity in Central America: Historical Overview and Future Perspectives", "type" : "report" }, "uris" : [ "http://www.mendeley.com/documents/?uuid=1098494d-70af-4d9b-af6d-37d988c1fd4e" ] } ], "mendeley" : { "formattedCitation" : "(The Nature Conservancy, 2005)", "plainTextFormattedCitation" : "(The Nature Conservancy, 2005)", "previouslyFormattedCitation" : "(The Nature Conservancy, 2005)" }, "properties" : { "noteIndex" : 0 }, "schema" : "https://github.com/citation-style-language/schema/raw/master/csl-citation.json" }</w:instrText>
      </w:r>
      <w:r w:rsidRPr="008608AA">
        <w:fldChar w:fldCharType="separate"/>
      </w:r>
      <w:r w:rsidRPr="008608AA">
        <w:rPr>
          <w:noProof/>
        </w:rPr>
        <w:t>(The Nature Conservancy, 2005)</w:t>
      </w:r>
      <w:r w:rsidRPr="008608AA">
        <w:fldChar w:fldCharType="end"/>
      </w:r>
      <w:r w:rsidRPr="008608AA">
        <w:t xml:space="preserve">. </w:t>
      </w:r>
    </w:p>
    <w:p w14:paraId="6386AD12" w14:textId="641AC6F7" w:rsidR="004255E7" w:rsidRPr="008608AA" w:rsidRDefault="004255E7" w:rsidP="00FE65F2">
      <w:pPr>
        <w:spacing w:after="120"/>
      </w:pPr>
      <w:r w:rsidRPr="008608AA">
        <w:t xml:space="preserve">In general, tropical forests seem to be resistant to the impacts of invasive plant species </w:t>
      </w:r>
      <w:r w:rsidRPr="008608AA">
        <w:fldChar w:fldCharType="begin" w:fldLock="1"/>
      </w:r>
      <w:r w:rsidRPr="008608AA">
        <w:instrText>ADDIN CSL_CITATION { "citationItems" : [ { "id" : "ITEM-1", "itemData" : { "ISBN" : "978-1-405-11897-2", "abstract" : "In the tropics, exotic plants have been widely introduced for industrial timber, for land reclamation and forage crops and as ornamentals. In spite of the apparent opportunity for naturalization and spread, invasive exotic plants are scarce in many continental tropical forests. We examine several conditions under which exotic species do pose substantial threats to tropical ecosystems or to their management. These include island ecosystems, open-canopied forests, fragmented or disturbed ecosystems, and forests managed for timber or crops. We explore four hypotheses to account for the scarcity of exotic species in many tropical forests: 1) Tropical forests are resistant to invasions by exotic species because they are rich in species and functional groups; 2) Native rain forest species competitively exclude exotic species; 3) High pest loads and high pest diversity in the tropics deter establishment and spread of exotic species; 4) Low propagule availability contributes to the rarity of exotic species in many tropical forests. While current research suggests that high species diversity per se is not likely to be an impediment to exotic species, functional group diversity, high competitive exclusion rates and high pest loads all may confer a certain biotic resistance to the establishment and spread of exotic species in tropical forests. Similarly high functional diversity and high productivity may increase the resilience of tropical forests to the kinds of ecosystem changes effected by invasive species in other ecosystems. However, we are unable to fully evaluate these hypotheses and their interactions in the absence of a better assessment of the actual exposure of tropical forests to exotic propagules and results from seed-addition experiments to test the relative importance of biotic resistance and dispersal limitation in limiting the spread of exotic species into tropical forests.", "author" : [ { "dropping-particle" : "", "family" : "Denslow", "given" : "J S", "non-dropping-particle" : "", "parse-names" : false, "suffix" : "" }, { "dropping-particle" : "", "family" : "DeWalt", "given" : "S J", "non-dropping-particle" : "", "parse-names" : false, "suffix" : "" } ], "container-title" : "Tropical forest community ecology", "editor" : [ { "dropping-particle" : "", "family" : "Carson", "given" : "W.", "non-dropping-particle" : "", "parse-names" : false, "suffix" : "" }, { "dropping-particle" : "", "family" : "Schnitze", "given" : "S.", "non-dropping-particle" : "", "parse-names" : false, "suffix" : "" } ], "id" : "ITEM-1", "issued" : { "date-parts" : [ [ "2008" ] ] }, "page" : "409-426", "publisher" : "Wiley-Blackwell", "publisher-place" : "Oxford, UK", "title" : "Exotic plant invasions in tropical forests: patterns and hypotheses", "type" : "chapter" }, "uris" : [ "http://www.mendeley.com/documents/?uuid=bfcf5710-844a-44cd-8bb8-05b1fa74fef2" ] }, { "id" : "ITEM-2", "itemData" : { "DOI" : "10.1007/978-3-642-79755-2_8", "ISBN" : "3642797571", "author" : [ { "dropping-particle" : "", "family" : "Rejm\u00e1nek", "given" : "Marcel", "non-dropping-particle" : "", "parse-names" : false, "suffix" : "" } ], "container-title" : "Biodiversity and Ecosystem Processes in Tropical Forests. Ecological Studies (Analysis and Synthesis)", "editor" : [ { "dropping-particle" : "", "family" : "Orians", "given" : "G.", "non-dropping-particle" : "", "parse-names" : false, "suffix" : "" }, { "dropping-particle" : "", "family" : "Dirzo", "given" : "R.", "non-dropping-particle" : "", "parse-names" : false, "suffix" : "" }, { "dropping-particle" : "", "family" : "Cushman", "given" : "J.H.", "non-dropping-particle" : "", "parse-names" : false, "suffix" : "" } ], "id" : "ITEM-2", "issued" : { "date-parts" : [ [ "1996" ] ] }, "page" : "153-172", "publisher" : "Springer Verlag", "publisher-place" : "Berlin, Germany", "title" : "Species richness and resistance to invasions", "type" : "chapter", "volume" : "122" }, "uris" : [ "http://www.mendeley.com/documents/?uuid=ddcaeb63-4ca4-4e78-8b53-ced116e09845" ] } ], "mendeley" : { "formattedCitation" : "(Denslow &amp; DeWalt, 2008; Marcel Rejm\u00e1nek, 1996)", "manualFormatting" : "(Denslow &amp; DeWalt, 2008) and compared with habitat loss and fragmentation, exotic invasive species are considered a relatively minor threat to humid forest biodiversity as seen in Mexico (Challenger &amp; Dirzo, 2009; Dirzo &amp; Raven, 2003). Of the 42 exotic species reported by Rejm\u00e1nek (1996)", "plainTextFormattedCitation" : "(Denslow &amp; DeWalt, 2008; Marcel Rejm\u00e1nek, 1996)", "previouslyFormattedCitation" : "(Denslow &amp; DeWalt, 2008; Marcel Rejm\u00e1nek, 1996)" }, "properties" : { "noteIndex" : 0 }, "schema" : "https://github.com/citation-style-language/schema/raw/master/csl-citation.json" }</w:instrText>
      </w:r>
      <w:r w:rsidRPr="008608AA">
        <w:fldChar w:fldCharType="separate"/>
      </w:r>
      <w:r w:rsidRPr="008608AA">
        <w:rPr>
          <w:noProof/>
        </w:rPr>
        <w:t>(Denslow &amp; DeWalt, 2008)</w:t>
      </w:r>
      <w:r w:rsidR="007D0448" w:rsidRPr="008608AA">
        <w:rPr>
          <w:noProof/>
        </w:rPr>
        <w:t>,</w:t>
      </w:r>
      <w:r w:rsidRPr="008608AA">
        <w:rPr>
          <w:noProof/>
        </w:rPr>
        <w:t xml:space="preserve"> and compared with habitat loss and fragmentation, exotic invasive species are considered a relatively minor threat to </w:t>
      </w:r>
      <w:r w:rsidR="007D0448" w:rsidRPr="008608AA">
        <w:rPr>
          <w:noProof/>
        </w:rPr>
        <w:t xml:space="preserve">moist </w:t>
      </w:r>
      <w:r w:rsidRPr="008608AA">
        <w:rPr>
          <w:noProof/>
        </w:rPr>
        <w:t xml:space="preserve">forest biodiversity as seen in Mexico </w:t>
      </w:r>
      <w:r w:rsidRPr="008608AA">
        <w:rPr>
          <w:noProof/>
        </w:rPr>
        <w:fldChar w:fldCharType="begin" w:fldLock="1"/>
      </w:r>
      <w:r w:rsidRPr="008608AA">
        <w:rPr>
          <w:noProof/>
        </w:rPr>
        <w:instrText>ADDIN CSL_CITATION { "citationItems" : [ { "id" : "ITEM-1", "itemData" : { "author" : [ { "dropping-particle" : "", "family" : "Dirzo", "given" : "R", "non-dropping-particle" : "", "parse-names" : false, "suffix" : "" }, { "dropping-particle" : "", "family" : "Raven", "given" : "P", "non-dropping-particle" : "", "parse-names" : false, "suffix" : "" } ], "container-title" : "Annual Reivew of the Environment and Resources", "id" : "ITEM-1", "issued" : { "date-parts" : [ [ "2003" ] ] }, "page" : "137-167", "title" : "Global state of biodiversity and loss", "type" : "article-journal", "volume" : "28" }, "uris" : [ "http://www.mendeley.com/documents/?uuid=d165180e-8718-4e74-b663-d4d1e1fb4cef", "http://www.mendeley.com/documents/?uuid=9123306c-a695-413b-a71a-7ed4254f707f" ] }, { "id" : "ITEM-2", "itemData" : { "ISBN" : "978-607-7607-08-3", "author" : [ { "dropping-particle" : "", "family" : "Challenger", "given" : "A.", "non-dropping-particle" : "", "parse-names" : false, "suffix" : "" }, { "dropping-particle" : "", "family" : "Dirzo", "given" : "R.", "non-dropping-particle" : "", "parse-names" : false, "suffix" : "" } ], "container-title" : "Capital Natural de M\u00e9xico, Vol. II: Estado de Conservaci\u00f3n y Tendencias de Cambio", "editor" : [ { "dropping-particle" : "", "family" : "Sarukh\u00e1n", "given" : "Jos\u00e9", "non-dropping-particle" : "", "parse-names" : false, "suffix" : "" } ], "id" : "ITEM-2", "issued" : { "date-parts" : [ [ "2009" ] ] }, "page" : "37-73", "publisher" : "CONABIO", "publisher-place" : "Mexico City, Mexico", "title" : "Factores de cambio y estado de la biodiversidad", "type" : "chapter" }, "uris" : [ "http://www.mendeley.com/documents/?uuid=3ab2f8e7-1213-4f59-9e4e-6e5929508ba9", "http://www.mendeley.com/documents/?uuid=e52aac8b-7d8d-4c8d-abff-2c97ec51462d" ] } ], "mendeley" : { "formattedCitation" : "(Challenger &amp; Dirzo, 2009; Dirzo &amp; Raven, 2003)", "plainTextFormattedCitation" : "(Challenger &amp; Dirzo, 2009; Dirzo &amp; Raven, 2003)", "previouslyFormattedCitation" : "(Challenger &amp; Dirzo, 2009; Dirzo &amp; Raven, 2003)" }, "properties" : { "noteIndex" : 0 }, "schema" : "https://github.com/citation-style-language/schema/raw/master/csl-citation.json" }</w:instrText>
      </w:r>
      <w:r w:rsidRPr="008608AA">
        <w:rPr>
          <w:noProof/>
        </w:rPr>
        <w:fldChar w:fldCharType="separate"/>
      </w:r>
      <w:r w:rsidRPr="008608AA">
        <w:rPr>
          <w:noProof/>
        </w:rPr>
        <w:t>(Challenger &amp; Dirzo, 2009; Dirzo &amp; Raven, 2003)</w:t>
      </w:r>
      <w:r w:rsidRPr="008608AA">
        <w:rPr>
          <w:noProof/>
        </w:rPr>
        <w:fldChar w:fldCharType="end"/>
      </w:r>
      <w:r w:rsidRPr="008608AA">
        <w:rPr>
          <w:noProof/>
        </w:rPr>
        <w:t>. Of the 42 exotic species reported by Rejmánek (1996)</w:t>
      </w:r>
      <w:r w:rsidRPr="008608AA">
        <w:fldChar w:fldCharType="end"/>
      </w:r>
      <w:r w:rsidRPr="008608AA">
        <w:t xml:space="preserve">, most are confined to pastures, clearings, or other highly disturbed sites </w:t>
      </w:r>
      <w:r w:rsidRPr="008608AA">
        <w:fldChar w:fldCharType="begin" w:fldLock="1"/>
      </w:r>
      <w:r w:rsidRPr="008608AA">
        <w:instrText>ADDIN CSL_CITATION { "citationItems" : [ { "id" : "ITEM-1", "itemData" : { "ISBN" : "9780300047226", "author" : [ { "dropping-particle" : "", "family" : "Foster", "given" : "R.B.", "non-dropping-particle" : "", "parse-names" : false, "suffix" : "" }, { "dropping-particle" : "", "family" : "Hubbell", "given" : "S.P.", "non-dropping-particle" : "", "parse-names" : false, "suffix" : "" } ], "container-title" : "Four Neotropical Rainforests", "editor" : [ { "dropping-particle" : "", "family" : "Gentry", "given" : "A.H.", "non-dropping-particle" : "", "parse-names" : false, "suffix" : "" } ], "id" : "ITEM-1", "issued" : { "date-parts" : [ [ "1990" ] ] }, "page" : "85-98", "publisher" : "Yale University Press", "publisher-place" : "New Haven, USA", "title" : "The floristic composition of the Barro Colorado Island forest", "type" : "chapter" }, "uris" : [ "http://www.mendeley.com/documents/?uuid=a8144b26-5d05-4bbd-9388-ccc73dbb4f67" ] }, { "id" : "ITEM-2", "itemData" : { "author" : [ { "dropping-particle" : "", "family" : "Hammel", "given" : "B.", "non-dropping-particle" : "", "parse-names" : false, "suffix" : "" } ], "container-title" : "Four Neotropical Rainforests", "editor" : [ { "dropping-particle" : "", "family" : "Gentry", "given" : "A.H.", "non-dropping-particle" : "", "parse-names" : false, "suffix" : "" } ], "id" : "ITEM-2", "issued" : { "date-parts" : [ [ "1990" ] ] }, "page" : "75-84", "publisher" : "Yale University Press", "publisher-place" : "New Haven, USA", "title" : "The distribution of diversity among families, genera and habitat types in the La Selva Flora", "type" : "chapter" }, "uris" : [ "http://www.mendeley.com/documents/?uuid=6b974611-ee2a-4970-ba9f-b82596027b79" ] } ], "mendeley" : { "formattedCitation" : "(Foster &amp; Hubbell, 1990; Hammel, 1990)", "manualFormatting" : "(Foster &amp; Hubbell, 1990; Hammel, 1990)", "plainTextFormattedCitation" : "(Foster &amp; Hubbell, 1990; Hammel, 1990)", "previouslyFormattedCitation" : "(Foster &amp; Hubbell, 1990; Hammel, 1990)" }, "properties" : { "noteIndex" : 0 }, "schema" : "https://github.com/citation-style-language/schema/raw/master/csl-citation.json" }</w:instrText>
      </w:r>
      <w:r w:rsidRPr="008608AA">
        <w:fldChar w:fldCharType="separate"/>
      </w:r>
      <w:r w:rsidRPr="008608AA">
        <w:rPr>
          <w:noProof/>
        </w:rPr>
        <w:t>(Foster &amp; Hubbell, 1990; Hammel, 1990)</w:t>
      </w:r>
      <w:r w:rsidRPr="008608AA">
        <w:fldChar w:fldCharType="end"/>
      </w:r>
      <w:r w:rsidRPr="008608AA">
        <w:t xml:space="preserve">. However, there is some evidence that invasive species are increasing </w:t>
      </w:r>
      <w:r w:rsidRPr="008608AA">
        <w:fldChar w:fldCharType="begin" w:fldLock="1"/>
      </w:r>
      <w:r w:rsidRPr="008608AA">
        <w:instrText>ADDIN CSL_CITATION { "citationItems" : [ { "id" : "ITEM-1", "itemData" : { "author" : [ { "dropping-particle" : "", "family" : "Aguirre-Mu\u00f1oz", "given" : "A.", "non-dropping-particle" : "", "parse-names" : false, "suffix" : "" }, { "dropping-particle" : "", "family" : "Mendoza", "given" : "R.", "non-dropping-particle" : "", "parse-names" : false, "suffix" : "" } ], "container-title" : "Capital Natural de M\u00e9xico, Vol 2: Estado de Conservaci\u00f3n y Tendencias de Cambio.", "editor" : [ { "dropping-particle" : "", "family" : "Dirzo", "given" : "R", "non-dropping-particle" : "", "parse-names" : false, "suffix" : "" }, { "dropping-particle" : "", "family" : "Gonz\u00e1lez", "given" : "R", "non-dropping-particle" : "", "parse-names" : false, "suffix" : "" }, { "dropping-particle" : "", "family" : "March", "given" : "I.J.", "non-dropping-particle" : "", "parse-names" : false, "suffix" : "" } ], "id" : "ITEM-1", "issued" : { "date-parts" : [ [ "2009" ] ] }, "page" : "277-318", "publisher" : "CONABIO", "publisher-place" : "Mexico City, Mexico", "title" : "Especies ex\u00f3ticas invasoras: impactos sobre las poblaciones de flora y fauna, los procesos ecol\u00f3gicos y la econom\u00eda", "type" : "chapter" }, "uris" : [ "http://www.mendeley.com/documents/?uuid=c797e877-bb05-44d0-8ce9-4ecfe30e8406" ] }, { "id" : "ITEM-2", "itemData" : { "author" : [ { "dropping-particle" : "", "family" : "Espinosa", "given" : "F.J.", "non-dropping-particle" : "", "parse-names" : false, "suffix" : "" }, { "dropping-particle" : "", "family" : "Vibrans", "given" : "H.", "non-dropping-particle" : "", "parse-names" : false, "suffix" : "" } ], "container-title" : "Invasive Plants on the Move: Controlling them in North America", "editor" : [ { "dropping-particle" : "", "family" : "Devender", "given" : "T.", "non-dropping-particle" : "van", "parse-names" : false, "suffix" : "" }, { "dropping-particle" : "", "family" : "Espinosa-Garc\u00eda", "given" : "F.J.", "non-dropping-particle" : "", "parse-names" : false, "suffix" : "" }, { "dropping-particle" : "", "family" : "Harper-Lore", "given" : "B.L.", "non-dropping-particle" : "", "parse-names" : false, "suffix" : "" }, { "dropping-particle" : "", "family" : "Hubbard", "given" : "T.", "non-dropping-particle" : "", "parse-names" : false, "suffix" : "" } ], "id" : "ITEM-2", "issued" : { "date-parts" : [ [ "2009" ] ] }, "page" : "23-32", "publisher" : "Arizona-Sonora Desert Museum", "publisher-place" : "Tucson, USA", "title" : "The need for a national weed management strategy", "type" : "chapter" }, "uris" : [ "http://www.mendeley.com/documents/?uuid=26248838-c765-483a-854b-47a422770b91" ] } ], "mendeley" : { "formattedCitation" : "(Aguirre-Mu\u00f1oz &amp; Mendoza, 2009; Espinosa &amp; Vibrans, 2009)", "plainTextFormattedCitation" : "(Aguirre-Mu\u00f1oz &amp; Mendoza, 2009; Espinosa &amp; Vibrans, 2009)", "previouslyFormattedCitation" : "(Aguirre-Mu\u00f1oz &amp; Mendoza, 2009; Espinosa &amp; Vibrans, 2009)" }, "properties" : { "noteIndex" : 0 }, "schema" : "https://github.com/citation-style-language/schema/raw/master/csl-citation.json" }</w:instrText>
      </w:r>
      <w:r w:rsidRPr="008608AA">
        <w:fldChar w:fldCharType="separate"/>
      </w:r>
      <w:r w:rsidRPr="008608AA">
        <w:rPr>
          <w:noProof/>
        </w:rPr>
        <w:t>(Aguirre-Muñoz &amp; Mendoza, 2009; Espinosa &amp; Vibrans, 2009)</w:t>
      </w:r>
      <w:r w:rsidRPr="008608AA">
        <w:fldChar w:fldCharType="end"/>
      </w:r>
      <w:r w:rsidRPr="008608AA">
        <w:t xml:space="preserve">. The Asian house gecko, </w:t>
      </w:r>
      <w:r w:rsidRPr="008608AA">
        <w:rPr>
          <w:i/>
        </w:rPr>
        <w:t>Hemidactylus frenatus</w:t>
      </w:r>
      <w:r w:rsidRPr="008608AA">
        <w:t xml:space="preserve">, has been widely introduced in Mesoamerica and is replacing the native leaf-toe gecko, </w:t>
      </w:r>
      <w:r w:rsidRPr="008608AA">
        <w:rPr>
          <w:i/>
        </w:rPr>
        <w:t>Phyllodactylus tuberculosus</w:t>
      </w:r>
      <w:r w:rsidRPr="008608AA">
        <w:t xml:space="preserve">, especially along the forest edge and in disturbed forests (G. Köhler unpubl. data). It is known to carry the pentastomid parasite, </w:t>
      </w:r>
      <w:r w:rsidRPr="008608AA">
        <w:rPr>
          <w:i/>
        </w:rPr>
        <w:t>Raillietiella frenata</w:t>
      </w:r>
      <w:r w:rsidRPr="008608AA">
        <w:t xml:space="preserve">, native to Asia, and has been shown to transfer this parasite to </w:t>
      </w:r>
      <w:r w:rsidRPr="008608AA">
        <w:rPr>
          <w:i/>
        </w:rPr>
        <w:t>Rhinella marina</w:t>
      </w:r>
      <w:r w:rsidRPr="008608AA">
        <w:t xml:space="preserve">, a toad native to Mesoamerica </w:t>
      </w:r>
      <w:r w:rsidRPr="008608AA">
        <w:fldChar w:fldCharType="begin" w:fldLock="1"/>
      </w:r>
      <w:r w:rsidRPr="008608AA">
        <w:instrText>ADDIN CSL_CITATION { "citationItems" : [ { "id" : "ITEM-1", "itemData" : { "DOI" : "10.1017/S0031182014001759", "ISSN" : "0031-1820", "PMID" : "25394910", "abstract" : "The pentastomid parasite, Raillietiella frenata , is native to Asia where it infects the Asian House gecko, Hemidactylus frenatus . This gecko has been widely introduced and recently R. frenata was found in introduced populations of cane toads ( Rhinella marina ) in Australia, indicating a host-switch from introduced geckos to toads. Here we report non-native adult R. frenata infecting the lungs of native cane toads in Panama. Eight of 64 toads were infected (median = 2\u00b75, range = 1\u201380 pentastomids/toad) and pentastomid prevalence was positively associated with the number of buildings at a site, though further sampling is needed to confirm this pattern. We postulate that this pattern is likely due to a host shift of this parasite from an urban-associated introduced gecko. This is the first record of this parasite infecting cane toads in their native range, and the first instance of this parasite occurring in Central America.", "author" : [ { "dropping-particle" : "", "family" : "Kelehear", "given" : "C.", "non-dropping-particle" : "", "parse-names" : false, "suffix" : "" }, { "dropping-particle" : "", "family" : "Saltonstall", "given" : "K.", "non-dropping-particle" : "", "parse-names" : false, "suffix" : "" }, { "dropping-particle" : "", "family" : "Torchin", "given" : "M. E.", "non-dropping-particle" : "", "parse-names" : false, "suffix" : "" } ], "container-title" : "Parasitology", "id" : "ITEM-1", "issue" : "5", "issued" : { "date-parts" : [ [ "2015" ] ] }, "page" : "675-679", "title" : "An introduced pentastomid parasite (&lt;i&gt;Raillietiella frenata&lt;/i&gt;) infects native cane toads (&lt;i&gt;Rhinella marina&lt;/i&gt;) in Panama", "type" : "article-journal", "volume" : "142" }, "uris" : [ "http://www.mendeley.com/documents/?uuid=88aa3a0b-ec65-44db-9805-d9b5d6a3909f" ] } ], "mendeley" : { "formattedCitation" : "(Kelehear, Saltonstall, &amp; Torchin, 2015)", "manualFormatting" : "(Kelehear et al., 2015)", "plainTextFormattedCitation" : "(Kelehear, Saltonstall, &amp; Torchin, 2015)", "previouslyFormattedCitation" : "(Kelehear, Saltonstall, &amp; Torchin, 2015)" }, "properties" : { "noteIndex" : 0 }, "schema" : "https://github.com/citation-style-language/schema/raw/master/csl-citation.json" }</w:instrText>
      </w:r>
      <w:r w:rsidRPr="008608AA">
        <w:fldChar w:fldCharType="separate"/>
      </w:r>
      <w:r w:rsidRPr="008608AA">
        <w:rPr>
          <w:noProof/>
        </w:rPr>
        <w:t>(Kelehear et al., 2015)</w:t>
      </w:r>
      <w:r w:rsidRPr="008608AA">
        <w:fldChar w:fldCharType="end"/>
      </w:r>
      <w:r w:rsidRPr="008608AA">
        <w:t xml:space="preserve">. Several species of Caribbean frogs of the genus </w:t>
      </w:r>
      <w:r w:rsidRPr="008608AA">
        <w:rPr>
          <w:i/>
        </w:rPr>
        <w:t>Eleutherodactylus</w:t>
      </w:r>
      <w:r w:rsidRPr="008608AA">
        <w:t xml:space="preserve"> have been documented as invasive species in Mesoamerican </w:t>
      </w:r>
      <w:r w:rsidR="0012790F" w:rsidRPr="008608AA">
        <w:t xml:space="preserve">Tropical/Subtropical Moist Broadleaf Forests </w:t>
      </w:r>
      <w:r w:rsidRPr="008608AA">
        <w:fldChar w:fldCharType="begin" w:fldLock="1"/>
      </w:r>
      <w:r w:rsidRPr="008608AA">
        <w:instrText>ADDIN CSL_CITATION { "citationItems" : [ { "id" : "ITEM-1", "itemData" : { "author" : [ { "dropping-particle" : "", "family" : "K\u00f6hler", "given" : "G.", "non-dropping-particle" : "", "parse-names" : false, "suffix" : "" } ], "edition" : "2", "id" : "ITEM-1", "issued" : { "date-parts" : [ [ "2008" ] ] }, "number-of-pages" : "400", "publisher" : "Herpeton-Verlag", "publisher-place" : "Offenbach, Germany", "title" : "Reptiles of Central America", "type" : "book" }, "uris" : [ "http://www.mendeley.com/documents/?uuid=cd82a784-c286-4a30-93ad-8dd038fce5ca" ] }, { "id" : "ITEM-2", "itemData" : { "ISBN" : "1175-5326", "ISSN" : "11755326", "abstract" : "No Abstract available", "author" : [ { "dropping-particle" : "", "family" : "Crawford", "given" : "Andrew J.", "non-dropping-particle" : "", "parse-names" : false, "suffix" : "" }, { "dropping-particle" : "", "family" : "Alonso", "given" : "Roberto", "non-dropping-particle" : "", "parse-names" : false, "suffix" : "" }, { "dropping-particle" : "", "family" : "Jaramillo", "given" : "C\u00e9sar A.A.", "non-dropping-particle" : "", "parse-names" : false, "suffix" : "" }, { "dropping-particle" : "", "family" : "Sucre", "given" : "Samuel", "non-dropping-particle" : "", "parse-names" : false, "suffix" : "" }, { "dropping-particle" : "", "family" : "Ib\u00e1\u0144ez", "given" : "Roberto D.", "non-dropping-particle" : "", "parse-names" : false, "suffix" : "" } ], "container-title" : "Zootaxa", "id" : "ITEM-2", "issue" : "2890", "issued" : { "date-parts" : [ [ "2011" ] ] }, "page" : "65-67", "title" : "DNA barcoding identifies a third invasive species of &lt;i&gt;Eleutherodactylus&lt;/i&gt; (Anura: Eleutherodactylidae) in Panama City, Panama", "type" : "article-journal", "volume" : "67" }, "uris" : [ "http://www.mendeley.com/documents/?uuid=499194db-4fd3-4c67-8a82-493b4e64bb0a" ] } ], "mendeley" : { "formattedCitation" : "(Crawford, Alonso, Jaramillo, Sucre, &amp; Ib\u00e1\u0144ez, 2011; K\u00f6hler, 2008)", "manualFormatting" : "(Crawford et al., 2011; K\u00f6hler, 2008)", "plainTextFormattedCitation" : "(Crawford, Alonso, Jaramillo, Sucre, &amp; Ib\u00e1\u0144ez, 2011; K\u00f6hler, 2008)", "previouslyFormattedCitation" : "(Crawford, Alonso, Jaramillo, Sucre, &amp; Ib\u00e1\u0144ez, 2011; K\u00f6hler, 2008)" }, "properties" : { "noteIndex" : 0 }, "schema" : "https://github.com/citation-style-language/schema/raw/master/csl-citation.json" }</w:instrText>
      </w:r>
      <w:r w:rsidRPr="008608AA">
        <w:fldChar w:fldCharType="separate"/>
      </w:r>
      <w:r w:rsidRPr="008608AA">
        <w:rPr>
          <w:noProof/>
        </w:rPr>
        <w:t>(Crawford et al., 2011; Köhler, 2008)</w:t>
      </w:r>
      <w:r w:rsidRPr="008608AA">
        <w:fldChar w:fldCharType="end"/>
      </w:r>
      <w:r w:rsidRPr="008608AA">
        <w:t xml:space="preserve">. </w:t>
      </w:r>
    </w:p>
    <w:p w14:paraId="40AA8539" w14:textId="77777777" w:rsidR="004255E7" w:rsidRPr="008608AA" w:rsidRDefault="004255E7" w:rsidP="00FE65F2">
      <w:pPr>
        <w:pStyle w:val="Heading5"/>
        <w:numPr>
          <w:ilvl w:val="0"/>
          <w:numId w:val="0"/>
        </w:numPr>
        <w:spacing w:after="120"/>
        <w:ind w:left="1008" w:hanging="1008"/>
        <w:rPr>
          <w:sz w:val="24"/>
          <w:szCs w:val="24"/>
        </w:rPr>
      </w:pPr>
      <w:r w:rsidRPr="008608AA">
        <w:rPr>
          <w:sz w:val="24"/>
          <w:szCs w:val="24"/>
        </w:rPr>
        <w:t xml:space="preserve">Caribbean subregion </w:t>
      </w:r>
    </w:p>
    <w:p w14:paraId="68C5B4F2" w14:textId="3145D16B" w:rsidR="004255E7" w:rsidRPr="008608AA" w:rsidRDefault="004255E7" w:rsidP="00FE65F2">
      <w:pPr>
        <w:spacing w:after="120"/>
      </w:pPr>
      <w:r w:rsidRPr="008608AA">
        <w:t>Status</w:t>
      </w:r>
      <w:r w:rsidR="00ED6262" w:rsidRPr="008608AA">
        <w:t xml:space="preserve">. </w:t>
      </w:r>
      <w:r w:rsidRPr="008608AA">
        <w:t xml:space="preserve">The tropical </w:t>
      </w:r>
      <w:r w:rsidR="00032883" w:rsidRPr="008608AA">
        <w:t>moist</w:t>
      </w:r>
      <w:r w:rsidRPr="008608AA">
        <w:t xml:space="preserve"> forest biome is thought originally to have covered around 81,000 km</w:t>
      </w:r>
      <w:r w:rsidRPr="008608AA">
        <w:rPr>
          <w:vertAlign w:val="superscript"/>
        </w:rPr>
        <w:t>2</w:t>
      </w:r>
      <w:r w:rsidRPr="008608AA">
        <w:t xml:space="preserve"> in the Caribbean </w:t>
      </w:r>
      <w:r w:rsidRPr="008608AA">
        <w:fldChar w:fldCharType="begin" w:fldLock="1"/>
      </w:r>
      <w:r w:rsidRPr="008608AA">
        <w:instrText>ADDIN CSL_CITATION { "citationItems" : [ { "id" : "ITEM-1", "itemData" : { "author" : [ { "dropping-particle" : "", "family" : "Dinerstein", "given" : "Eric", "non-dropping-particle" : "", "parse-names" : false, "suffix" : "" }, { "dropping-particle" : "", "family" : "Olson", "given" : "David M.", "non-dropping-particle" : "", "parse-names" : false, "suffix" : "" }, { "dropping-particle" : "", "family" : "Graham", "given" : "Douglas J.", "non-dropping-particle" : "", "parse-names" : false, "suffix" : "" }, { "dropping-particle" : "", "family" : "Webster", "given" : "Avis L.", "non-dropping-particle" : "", "parse-names" : false, "suffix" : "" }, { "dropping-particle" : "", "family" : "Primm", "given" : "Steven A.", "non-dropping-particle" : "", "parse-names" : false, "suffix" : "" }, { "dropping-particle" : "", "family" : "Bookbinder", "given" : "Marnie P.", "non-dropping-particle" : "", "parse-names" : false, "suffix" : "" }, { "dropping-particle" : "", "family" : "Ledec", "given" : "George", "non-dropping-particle" : "", "parse-names" : false, "suffix" : "" } ], "id" : "ITEM-1", "issued" : { "date-parts" : [ [ "1995" ] ] }, "publisher" : "The World Bank and World Wildlife Fund", "publisher-place" : "Washington, D.C., USA", "title" : "A Conservation Assessment of the Terrestrial Ecoregions of Latin America and the Caribbean", "type" : "book" }, "uris" : [ "http://www.mendeley.com/documents/?uuid=21db0c07-14b2-4a3e-9e46-4a3bb1517b85" ] } ], "mendeley" : { "formattedCitation" : "(Dinerstein et al., 1995)", "manualFormatting" : "(Dinerstein et al., 1995)", "plainTextFormattedCitation" : "(Dinerstein et al., 1995)", "previouslyFormattedCitation" : "(Dinerstein et al., 1995)" }, "properties" : { "noteIndex" : 0 }, "schema" : "https://github.com/citation-style-language/schema/raw/master/csl-citation.json" }</w:instrText>
      </w:r>
      <w:r w:rsidRPr="008608AA">
        <w:fldChar w:fldCharType="separate"/>
      </w:r>
      <w:r w:rsidRPr="008608AA">
        <w:rPr>
          <w:noProof/>
        </w:rPr>
        <w:t>(Dinerstein et al., 1995)</w:t>
      </w:r>
      <w:r w:rsidRPr="008608AA">
        <w:fldChar w:fldCharType="end"/>
      </w:r>
      <w:r w:rsidRPr="008608AA">
        <w:t xml:space="preserve">. As of European colonial times and especially before the 1900s </w:t>
      </w:r>
      <w:r w:rsidRPr="008608AA">
        <w:fldChar w:fldCharType="begin" w:fldLock="1"/>
      </w:r>
      <w:r w:rsidRPr="008608AA">
        <w:instrText>ADDIN CSL_CITATION { "citationItems" : [ { "id" : "ITEM-1", "itemData" : { "author" : [ { "dropping-particle" : "", "family" : "Gould", "given" : "W. A.", "non-dropping-particle" : "", "parse-names" : false, "suffix" : "" }, { "dropping-particle" : "", "family" : "Martinuzzi", "given" : "Sebastia\u0301n", "non-dropping-particle" : "", "parse-names" : false, "suffix" : "" }, { "dropping-particle" : "", "family" : "Pare\u0301s-Ramos", "given" : "Isabel K.", "non-dropping-particle" : "", "parse-names" : false, "suffix" : "" } ], "container-title" : "Water Quality and Landscape Processes of Four Watersheds in Eastern Puerto Rico", "editor" : [ { "dropping-particle" : "", "family" : "Murphy", "given" : "S.F.", "non-dropping-particle" : "", "parse-names" : false, "suffix" : "" }, { "dropping-particle" : "", "family" : "Stallard", "given" : "R. F.", "non-dropping-particle" : "", "parse-names" : false, "suffix" : "" } ], "id" : "ITEM-1", "issued" : { "date-parts" : [ [ "2012" ] ] }, "page" : "25-42", "publisher" : "U.S. Geological Survey / Professional Paper 1789", "publisher-place" : "Reston, USA", "title" : "Land use, population dynamics, and land-cover change in eastern Puerto Rico", "type" : "chapter" }, "uris" : [ "http://www.mendeley.com/documents/?uuid=803ed29b-12be-4de7-b06a-89b58ab76da8" ] }, { "id" : "ITEM-2", "itemData" : { "author" : [ { "dropping-particle" : "", "family" : "Lugo", "given" : "Ariel E.", "non-dropping-particle" : "", "parse-names" : false, "suffix" : "" }, { "dropping-particle" : "", "family" : "Helmer", "given" : "Eileen H.", "non-dropping-particle" : "", "parse-names" : false, "suffix" : "" }, { "dropping-particle" : "", "family" : "Valent\u00edn", "given" : "Eugenio Santiago", "non-dropping-particle" : "", "parse-names" : false, "suffix" : "" } ], "container-title" : "Interciencia", "id" : "ITEM-2", "issue" : "9", "issued" : { "date-parts" : [ [ "2012" ] ] }, "page" : "705-710", "title" : "Caribbean landscapes and their biodiversity", "type" : "article-journal", "volume" : "37" }, "uris" : [ "http://www.mendeley.com/documents/?uuid=9db582fa-cf69-4f3f-969e-784264293c02" ] } ], "mendeley" : { "formattedCitation" : "(Gould, Martinuzzi, &amp; Pare\u0301s-Ramos, 2012; Lugo, Helmer, &amp; Valent\u00edn, 2012)", "manualFormatting" : "(Gould et al., 2012; Lugo et al., 2012)", "plainTextFormattedCitation" : "(Gould, Martinuzzi, &amp; Pare\u0301s-Ramos, 2012; Lugo, Helmer, &amp; Valent\u00edn, 2012)", "previouslyFormattedCitation" : "(Gould, Martinuzzi, &amp; Pare\u0301s-Ramos, 2012; Lugo, Helmer, &amp; Valent\u00edn, 2012)" }, "properties" : { "noteIndex" : 0 }, "schema" : "https://github.com/citation-style-language/schema/raw/master/csl-citation.json" }</w:instrText>
      </w:r>
      <w:r w:rsidRPr="008608AA">
        <w:fldChar w:fldCharType="separate"/>
      </w:r>
      <w:r w:rsidRPr="008608AA">
        <w:rPr>
          <w:noProof/>
        </w:rPr>
        <w:t>(Gould et al., 2012; Lugo et al., 2012)</w:t>
      </w:r>
      <w:r w:rsidRPr="008608AA">
        <w:fldChar w:fldCharType="end"/>
      </w:r>
      <w:r w:rsidRPr="008608AA">
        <w:t xml:space="preserve">, much forest was cleared for agriculture </w:t>
      </w:r>
      <w:r w:rsidRPr="008608AA">
        <w:fldChar w:fldCharType="begin" w:fldLock="1"/>
      </w:r>
      <w:r w:rsidRPr="008608AA">
        <w:instrText>ADDIN CSL_CITATION { "citationItems" : [ { "id" : "ITEM-1", "itemData" : { "author" : [ { "dropping-particle" : "", "family" : "Fitzpatrick", "given" : "S.M.", "non-dropping-particle" : "", "parse-names" : false, "suffix" : "" }, { "dropping-particle" : "", "family" : "Keegan", "given" : "W.F.", "non-dropping-particle" : "", "parse-names" : false, "suffix" : "" } ], "container-title" : "Earth and Environmental Science Transactions of the Royal Society of Edinburgh", "id" : "ITEM-1", "issue" : "1", "issued" : { "date-parts" : [ [ "2007" ] ] }, "page" : "29\u201345", "title" : "Human impacts and adaptations in the Caribbean Islands: an historical ecology approach", "type" : "article-journal", "volume" : "98" }, "uris" : [ "http://www.mendeley.com/documents/?uuid=aa984332-7c00-4d48-b085-3b2520dadade" ] } ], "mendeley" : { "formattedCitation" : "(Fitzpatrick &amp; Keegan, 2007)", "manualFormatting" : "(Fitzpatrick &amp; Keegan, 2007)", "plainTextFormattedCitation" : "(Fitzpatrick &amp; Keegan, 2007)", "previouslyFormattedCitation" : "(Fitzpatrick &amp; Keegan, 2007)" }, "properties" : { "noteIndex" : 0 }, "schema" : "https://github.com/citation-style-language/schema/raw/master/csl-citation.json" }</w:instrText>
      </w:r>
      <w:r w:rsidRPr="008608AA">
        <w:fldChar w:fldCharType="separate"/>
      </w:r>
      <w:r w:rsidRPr="008608AA">
        <w:rPr>
          <w:noProof/>
        </w:rPr>
        <w:t>(Fitzpatrick &amp; Keegan, 2007)</w:t>
      </w:r>
      <w:r w:rsidRPr="008608AA">
        <w:fldChar w:fldCharType="end"/>
      </w:r>
      <w:r w:rsidRPr="008608AA">
        <w:t xml:space="preserve">. Dinerstein et al. </w:t>
      </w:r>
      <w:r w:rsidRPr="008608AA">
        <w:fldChar w:fldCharType="begin" w:fldLock="1"/>
      </w:r>
      <w:r w:rsidRPr="008608AA">
        <w:instrText>ADDIN CSL_CITATION { "citationItems" : [ { "id" : "ITEM-1", "itemData" : { "author" : [ { "dropping-particle" : "", "family" : "Dinerstein", "given" : "Eric", "non-dropping-particle" : "", "parse-names" : false, "suffix" : "" }, { "dropping-particle" : "", "family" : "Olson", "given" : "David M.", "non-dropping-particle" : "", "parse-names" : false, "suffix" : "" }, { "dropping-particle" : "", "family" : "Graham", "given" : "Douglas J.", "non-dropping-particle" : "", "parse-names" : false, "suffix" : "" }, { "dropping-particle" : "", "family" : "Webster", "given" : "Avis L.", "non-dropping-particle" : "", "parse-names" : false, "suffix" : "" }, { "dropping-particle" : "", "family" : "Primm", "given" : "Steven A.", "non-dropping-particle" : "", "parse-names" : false, "suffix" : "" }, { "dropping-particle" : "", "family" : "Bookbinder", "given" : "Marnie P.", "non-dropping-particle" : "", "parse-names" : false, "suffix" : "" }, { "dropping-particle" : "", "family" : "Ledec", "given" : "George", "non-dropping-particle" : "", "parse-names" : false, "suffix" : "" } ], "id" : "ITEM-1", "issued" : { "date-parts" : [ [ "1995" ] ] }, "publisher" : "The World Bank and World Wildlife Fund", "publisher-place" : "Washington, D.C., USA", "title" : "A Conservation Assessment of the Terrestrial Ecoregions of Latin America and the Caribbean", "type" : "book" }, "uris" : [ "http://www.mendeley.com/documents/?uuid=21db0c07-14b2-4a3e-9e46-4a3bb1517b85" ] } ], "mendeley" : { "formattedCitation" : "(Dinerstein et al., 1995)", "manualFormatting" : "(1995)", "plainTextFormattedCitation" : "(Dinerstein et al., 1995)", "previouslyFormattedCitation" : "(Dinerstein et al., 1995)" }, "properties" : { "noteIndex" : 0 }, "schema" : "https://github.com/citation-style-language/schema/raw/master/csl-citation.json" }</w:instrText>
      </w:r>
      <w:r w:rsidRPr="008608AA">
        <w:fldChar w:fldCharType="separate"/>
      </w:r>
      <w:r w:rsidRPr="008608AA">
        <w:rPr>
          <w:noProof/>
        </w:rPr>
        <w:t>(1995)</w:t>
      </w:r>
      <w:r w:rsidRPr="008608AA">
        <w:fldChar w:fldCharType="end"/>
      </w:r>
      <w:r w:rsidRPr="008608AA">
        <w:t xml:space="preserve"> estimate that 50% of the original wet forest in the Greater Antilles (90% in Jamaica and Hispaniola) and 25% in the Lesser Antilles was removed or degraded. Land too steep or distant from coastal markets was often left untouched and today forms the core of the remaining biodiversity in Caribbean islands. Vegetation at higher altitudes on the islands of the Lesser Antilles was often retained for “attraction of the rains” </w:t>
      </w:r>
      <w:r w:rsidRPr="008608AA">
        <w:fldChar w:fldCharType="begin" w:fldLock="1"/>
      </w:r>
      <w:r w:rsidRPr="008608AA">
        <w:instrText>ADDIN CSL_CITATION { "citationItems" : [ { "id" : "ITEM-1", "itemData" : { "author" : [ { "dropping-particle" : "", "family" : "Fitzpatrick", "given" : "S.M.", "non-dropping-particle" : "", "parse-names" : false, "suffix" : "" }, { "dropping-particle" : "", "family" : "Keegan", "given" : "W.F.", "non-dropping-particle" : "", "parse-names" : false, "suffix" : "" } ], "container-title" : "Earth and Environmental Science Transactions of the Royal Society of Edinburgh", "id" : "ITEM-1", "issue" : "1", "issued" : { "date-parts" : [ [ "2007" ] ] }, "page" : "29\u201345", "title" : "Human impacts and adaptations in the Caribbean Islands: an historical ecology approach", "type" : "article-journal", "volume" : "98" }, "uris" : [ "http://www.mendeley.com/documents/?uuid=aa984332-7c00-4d48-b085-3b2520dadade" ] }, { "id" : "ITEM-2", "itemData" : { "author" : [ { "dropping-particle" : "", "family" : "Lugo", "given" : "Ariel E.", "non-dropping-particle" : "", "parse-names" : false, "suffix" : "" }, { "dropping-particle" : "", "family" : "Helmer", "given" : "Eileen H.", "non-dropping-particle" : "", "parse-names" : false, "suffix" : "" }, { "dropping-particle" : "", "family" : "Valent\u00edn", "given" : "Eugenio Santiago", "non-dropping-particle" : "", "parse-names" : false, "suffix" : "" } ], "container-title" : "Interciencia", "id" : "ITEM-2", "issue" : "9", "issued" : { "date-parts" : [ [ "2012" ] ] }, "page" : "705-710", "title" : "Caribbean landscapes and their biodiversity", "type" : "article-journal", "volume" : "37" }, "uris" : [ "http://www.mendeley.com/documents/?uuid=9db582fa-cf69-4f3f-969e-784264293c02" ] } ], "mendeley" : { "formattedCitation" : "(Fitzpatrick &amp; Keegan, 2007; Lugo et al., 2012)", "manualFormatting" : "(Fitzpatrick &amp; Keegan, 2007; Lugo et al., 2012)", "plainTextFormattedCitation" : "(Fitzpatrick &amp; Keegan, 2007; Lugo et al., 2012)", "previouslyFormattedCitation" : "(Fitzpatrick &amp; Keegan, 2007; Lugo et al., 2012)" }, "properties" : { "noteIndex" : 0 }, "schema" : "https://github.com/citation-style-language/schema/raw/master/csl-citation.json" }</w:instrText>
      </w:r>
      <w:r w:rsidRPr="008608AA">
        <w:fldChar w:fldCharType="separate"/>
      </w:r>
      <w:r w:rsidRPr="008608AA">
        <w:rPr>
          <w:noProof/>
        </w:rPr>
        <w:t>(Fitzpatrick &amp; Keegan, 2007; Lugo et al., 2012)</w:t>
      </w:r>
      <w:r w:rsidRPr="008608AA">
        <w:fldChar w:fldCharType="end"/>
      </w:r>
      <w:r w:rsidRPr="008608AA">
        <w:t xml:space="preserve">. </w:t>
      </w:r>
    </w:p>
    <w:p w14:paraId="03BB8E92" w14:textId="4BDD58BA" w:rsidR="004255E7" w:rsidRPr="008608AA" w:rsidRDefault="004255E7" w:rsidP="00FE65F2">
      <w:pPr>
        <w:widowControl w:val="0"/>
        <w:autoSpaceDE w:val="0"/>
        <w:autoSpaceDN w:val="0"/>
        <w:adjustRightInd w:val="0"/>
        <w:spacing w:after="120"/>
      </w:pPr>
      <w:r w:rsidRPr="008608AA">
        <w:t xml:space="preserve">In general, endemism is high for plants and vertebrates in the Caribbean subregion, as is plant species richness. The biodiversity data for the subregion (Table 3.4) to some extent correlates with Caribbean tropical moist forest extent, given that this biome contains a high proportion of Caribbean terrestrial biodiversity. In the Lesser Antilles, the upland moist forests are more species diverse and host the majority of the endemic plant species due to biogeographic factors and human deforestation of the lowlands </w:t>
      </w:r>
      <w:r w:rsidRPr="008608AA">
        <w:fldChar w:fldCharType="begin" w:fldLock="1"/>
      </w:r>
      <w:r w:rsidRPr="008608AA">
        <w:instrText>ADDIN CSL_CITATION { "citationItems" : [ { "id" : "ITEM-1", "itemData" : { "author" : [ { "dropping-particle" : "", "family" : "Adams", "given" : "C. D.", "non-dropping-particle" : "", "parse-names" : false, "suffix" : "" } ], "container-title" : "Centres of Plant Diversity. A Guide and Strategy for their Conservation. Vol. 3. The Americas.", "editor" : [ { "dropping-particle" : "", "family" : "Davis", "given" : "S. D.", "non-dropping-particle" : "", "parse-names" : false, "suffix" : "" }, { "dropping-particle" : "", "family" : "Heywood", "given" : "V.H.", "non-dropping-particle" : "", "parse-names" : false, "suffix" : "" }, { "dropping-particle" : "", "family" : "Herrera-Macbryde", "given" : "O.", "non-dropping-particle" : "", "parse-names" : false, "suffix" : "" }, { "dropping-particle" : "", "family" : "Villa-Lobos", "given" : "J.", "non-dropping-particle" : "", "parse-names" : false, "suffix" : "" }, { "dropping-particle" : "", "family" : "Hamilton", "given" : "A. C.", "non-dropping-particle" : "", "parse-names" : false, "suffix" : "" } ], "id" : "ITEM-1", "issued" : { "date-parts" : [ [ "1997" ] ] }, "page" : "233-258", "publisher" : "IUCN and WWF", "publisher-place" : "Cambridge, UK", "title" : "Regional overview: Caribbean Islands", "type" : "chapter" }, "uris" : [ "http://www.mendeley.com/documents/?uuid=a24ab162-6d21-4e01-9f5f-c7a5cf2adebe" ] } ], "mendeley" : { "formattedCitation" : "(Adams, 1997)", "plainTextFormattedCitation" : "(Adams, 1997)", "previouslyFormattedCitation" : "(Adams, 1997)" }, "properties" : { "noteIndex" : 0 }, "schema" : "https://github.com/citation-style-language/schema/raw/master/csl-citation.json" }</w:instrText>
      </w:r>
      <w:r w:rsidRPr="008608AA">
        <w:fldChar w:fldCharType="separate"/>
      </w:r>
      <w:r w:rsidRPr="008608AA">
        <w:rPr>
          <w:noProof/>
        </w:rPr>
        <w:t>(Adams, 1997)</w:t>
      </w:r>
      <w:r w:rsidRPr="008608AA">
        <w:fldChar w:fldCharType="end"/>
      </w:r>
      <w:r w:rsidRPr="008608AA">
        <w:t xml:space="preserve">. On the other hand, montane moist forests in the Dominican Republic appear to have lower rates of species richness and endemism than do dry forests </w:t>
      </w:r>
      <w:r w:rsidRPr="008608AA">
        <w:fldChar w:fldCharType="begin" w:fldLock="1"/>
      </w:r>
      <w:r w:rsidRPr="008608AA">
        <w:instrText>ADDIN CSL_CITATION { "citationItems" : [ { "id" : "ITEM-1", "itemData" : { "DOI" : "10.9734/BJAST/2015/17507", "author" : [ { "dropping-particle" : "", "family" : "Cano-Ortiz", "given" : "A.", "non-dropping-particle" : "", "parse-names" : false, "suffix" : "" }, { "dropping-particle" : "", "family" : "Musarella", "given" : "C. M.", "non-dropping-particle" : "", "parse-names" : false, "suffix" : "" }, { "dropping-particle" : "", "family" : "Pi\u00f1ar-Fuentes", "given" : "J. C.", "non-dropping-particle" : "", "parse-names" : false, "suffix" : "" }, { "dropping-particle" : "", "family" : "Pinto-Gomes", "given" : "C.", "non-dropping-particle" : "", "parse-names" : false, "suffix" : "" }, { "dropping-particle" : "", "family" : "Cano-Carmona", "given" : "E.", "non-dropping-particle" : "", "parse-names" : false, "suffix" : "" } ], "container-title" : "British Journal of Applied Science &amp; Technology", "id" : "ITEM-1", "issued" : { "date-parts" : [ [ "2015" ] ] }, "page" : "231-242", "title" : "Forests and landscapes of Dominican Republic", "type" : "article-journal", "volume" : "9" }, "uris" : [ "http://www.mendeley.com/documents/?uuid=1f650e30-ccf6-495a-8eca-df371406daac" ] } ], "mendeley" : { "formattedCitation" : "(Cano-Ortiz, Musarella, Pi\u00f1ar-Fuentes, Pinto-Gomes, &amp; Cano-Carmona, 2015)", "manualFormatting" : "(Cano-Ortiz et al., 2015)", "plainTextFormattedCitation" : "(Cano-Ortiz, Musarella, Pi\u00f1ar-Fuentes, Pinto-Gomes, &amp; Cano-Carmona, 2015)", "previouslyFormattedCitation" : "(Cano-Ortiz, Musarella, Pi\u00f1ar-Fuentes, Pinto-Gomes, &amp; Cano-Carmona, 2015)" }, "properties" : { "noteIndex" : 0 }, "schema" : "https://github.com/citation-style-language/schema/raw/master/csl-citation.json" }</w:instrText>
      </w:r>
      <w:r w:rsidRPr="008608AA">
        <w:fldChar w:fldCharType="separate"/>
      </w:r>
      <w:r w:rsidRPr="008608AA">
        <w:rPr>
          <w:noProof/>
        </w:rPr>
        <w:t>(Cano-Ortiz et al., 2015)</w:t>
      </w:r>
      <w:r w:rsidRPr="008608AA">
        <w:fldChar w:fldCharType="end"/>
      </w:r>
      <w:r w:rsidRPr="008608AA">
        <w:t xml:space="preserve">. Cuban invertebrates seem to show high endemism levels similar to those found in vertebrates </w:t>
      </w:r>
      <w:r w:rsidRPr="008608AA">
        <w:fldChar w:fldCharType="begin" w:fldLock="1"/>
      </w:r>
      <w:r w:rsidRPr="008608AA">
        <w:instrText>ADDIN CSL_CITATION { "citationItems" : [ { "id" : "ITEM-1", "itemData" : { "author" : [ { "dropping-particle" : "", "family" : "Alayo", "given" : "P.", "non-dropping-particle" : "", "parse-names" : false, "suffix" : "" } ], "container-title" : "Nueva Serie Torreia", "id" : "ITEM-1", "issued" : { "date-parts" : [ [ "1974" ] ] }, "page" : "9-64", "title" : "Los hem\u00edpteros acu\u00e1ticos de Cuba.", "type" : "article-journal", "volume" : "36" }, "uris" : [ "http://www.mendeley.com/documents/?uuid=f0c514da-b931-4813-b588-14bbf652c8be" ] }, { "id" : "ITEM-2", "itemData" : { "author" : [ { "dropping-particle" : "", "family" : "Alay\u00f3n Garc\u00eda", "given" : "G.", "non-dropping-particle" : "", "parse-names" : false, "suffix" : "" } ], "container-title" : "Cocuyo", "id" : "ITEM-2", "issued" : { "date-parts" : [ [ "1999" ] ] }, "page" : "3-8", "title" : "Biodiversidad de las ara\u00f1as (Arachnida: Araneae): Estado del conocimiento en Cuba.", "type" : "article-journal", "volume" : "8" }, "uris" : [ "http://www.mendeley.com/documents/?uuid=3d402f5a-96f5-414d-b2e9-5df0f0320315" ] } ], "mendeley" : { "formattedCitation" : "(Alayo, 1974; Alay\u00f3n Garc\u00eda, 1999)", "manualFormatting" : "(e.g., Alayo, 1974; Alay\u00f3n Garc\u00eda, 1999; Starr, personal communication)", "plainTextFormattedCitation" : "(Alayo, 1974; Alay\u00f3n Garc\u00eda, 1999)", "previouslyFormattedCitation" : "(Alayo, 1974; Alay\u00f3n Garc\u00eda, 1999)" }, "properties" : { "noteIndex" : 0 }, "schema" : "https://github.com/citation-style-language/schema/raw/master/csl-citation.json" }</w:instrText>
      </w:r>
      <w:r w:rsidRPr="008608AA">
        <w:fldChar w:fldCharType="separate"/>
      </w:r>
      <w:r w:rsidR="007F651A" w:rsidRPr="008608AA">
        <w:rPr>
          <w:noProof/>
        </w:rPr>
        <w:t>(e.g.</w:t>
      </w:r>
      <w:r w:rsidRPr="008608AA">
        <w:rPr>
          <w:noProof/>
        </w:rPr>
        <w:t xml:space="preserve"> Alayo, 1974; Alayón García, 1999; Starr, personal communication)</w:t>
      </w:r>
      <w:r w:rsidRPr="008608AA">
        <w:fldChar w:fldCharType="end"/>
      </w:r>
      <w:r w:rsidRPr="008608AA">
        <w:t xml:space="preserve">. Among those assessed, some 316 species of plants and vertebrates in the Caribbean are considered threatened </w:t>
      </w:r>
      <w:r w:rsidRPr="008608AA">
        <w:fldChar w:fldCharType="begin" w:fldLock="1"/>
      </w:r>
      <w:r w:rsidRPr="008608AA">
        <w:instrText>ADDIN CSL_CITATION { "citationItems" : [ { "id" : "ITEM-1", "itemData" : { "DOI" : "10.11609/JoTT.o2996.2806-44", "abstract" : "The Caribbean Islands Biodiversity Hotspot is exceptionally important for global biodiversity conservation due to high levels of species endemism and threat. A total of 755 Caribbean plant and vertebrate species are considered globally threatened, making it one of the top Biodiversity Hotspots in terms of threat levels. In 2009, Key Biodiversity Areas (KBAs) were identified for the Caribbean Islands through a regional-level analysis of accessible data and literature, followed by extensive national-level stakeholder consultation. By applying the Vulnerability criterion, a total of 284 Key Biodiversity Areas were defined and mapped as holding 409 (54%) of the region\u2019s threatened species. Of these, 144 (or 51%) overlapped partially or completely with protected areas. Cockpit Country, followed by Litchfield Mountain - Matheson\u2019s Run, Blue Mountains (all Jamaica) and Massif de la Hotte (Haiti) were found to support exceptionally high numbers of globally threatened taxa, with more than 40 such species at each site. Key Biodiversity Areas, building from Important Bird Areas, provide a valuable framework against which to review the adequacy of existing national protected-area systems and also to prioritize which species and sites require the most urgent conservation attention.", "author" : [ { "dropping-particle" : "", "family" : "Anad\u00f3n-Irizarry", "given" : "Ver\u00f3nica", "non-dropping-particle" : "", "parse-names" : false, "suffix" : "" }, { "dropping-particle" : "", "family" : "Wege", "given" : "David C.", "non-dropping-particle" : "", "parse-names" : false, "suffix" : "" }, { "dropping-particle" : "", "family" : "Upgren", "given" : "Amy", "non-dropping-particle" : "", "parse-names" : false, "suffix" : "" }, { "dropping-particle" : "", "family" : "Young", "given" : "Richard", "non-dropping-particle" : "", "parse-names" : false, "suffix" : "" }, { "dropping-particle" : "", "family" : "Boom", "given" : "Brian", "non-dropping-particle" : "", "parse-names" : false, "suffix" : "" }, { "dropping-particle" : "", "family" : "Le\u00f3n", "given" : "Yolanda M.", "non-dropping-particle" : "", "parse-names" : false, "suffix" : "" }, { "dropping-particle" : "", "family" : "Arias", "given" : "Yvonne", "non-dropping-particle" : "", "parse-names" : false, "suffix" : "" }, { "dropping-particle" : "", "family" : "Koenig", "given" : "Kellee", "non-dropping-particle" : "", "parse-names" : false, "suffix" : "" }, { "dropping-particle" : "", "family" : "Morales", "given" : "Alcides L.", "non-dropping-particle" : "", "parse-names" : false, "suffix" : "" }, { "dropping-particle" : "", "family" : "Burke", "given" : "Wayne", "non-dropping-particle" : "", "parse-names" : false, "suffix" : "" }, { "dropping-particle" : "", "family" : "P\u00e9rez-Leroux", "given" : "Amiro", "non-dropping-particle" : "", "parse-names" : false, "suffix" : "" }, { "dropping-particle" : "", "family" : "Levy", "given" : "Catherine", "non-dropping-particle" : "", "parse-names" : false, "suffix" : "" }, { "dropping-particle" : "", "family" : "Koenig", "given" : "Susan", "non-dropping-particle" : "", "parse-names" : false, "suffix" : "" }, { "dropping-particle" : "", "family" : "Gape", "given" : "Lynn", "non-dropping-particle" : "", "parse-names" : false, "suffix" : "" }, { "dropping-particle" : "", "family" : "Moore", "given" : "Predensa", "non-dropping-particle" : "", "parse-names" : false, "suffix" : "" } ], "container-title" : "Journal of Threatened Taxa", "id" : "ITEM-1", "issue" : "8", "issued" : { "date-parts" : [ [ "2012" ] ] }, "page" : "2806-2844", "title" : "Sites for priority biodiversity conservation in the Caribbean Islands biodiversity hotspot", "type" : "article-journal", "volume" : "4" }, "uris" : [ "http://www.mendeley.com/documents/?uuid=c2cc7760-2571-3610-b26a-a25e92a5975f" ] }, { "id" : "ITEM-2", "itemData" : { "URL" : "www.iucnredlist.org", "accessed" : { "date-parts" : [ [ "2017", "1", "1" ] ] }, "author" : [ { "dropping-particle" : "", "family" : "IUCN", "given" : "", "non-dropping-particle" : "", "parse-names" : false, "suffix" : "" } ], "id" : "ITEM-2", "issued" : { "date-parts" : [ [ "2017" ] ] }, "title" : "The IUCN Red List of Threatened Species. Version 2016-3", "type" : "webpage" }, "uris" : [ "http://www.mendeley.com/documents/?uuid=9e1b2abd-bf56-415b-9f06-ca49e284658d" ] } ], "mendeley" : { "formattedCitation" : "(Anad\u00f3n-Irizarry et al., 2012; IUCN, 2017)", "plainTextFormattedCitation" : "(Anad\u00f3n-Irizarry et al., 2012; IUCN, 2017)", "previouslyFormattedCitation" : "(Anad\u00f3n-Irizarry et al., 2012; IUCN, 2017)" }, "properties" : { "noteIndex" : 0 }, "schema" : "https://github.com/citation-style-language/schema/raw/master/csl-citation.json" }</w:instrText>
      </w:r>
      <w:r w:rsidRPr="008608AA">
        <w:fldChar w:fldCharType="separate"/>
      </w:r>
      <w:r w:rsidRPr="008608AA">
        <w:rPr>
          <w:noProof/>
        </w:rPr>
        <w:t>(Anadón-Irizarry et al., 2012; IUCN, 2017)</w:t>
      </w:r>
      <w:r w:rsidRPr="008608AA">
        <w:fldChar w:fldCharType="end"/>
      </w:r>
      <w:r w:rsidRPr="008608AA">
        <w:t xml:space="preserve">. </w:t>
      </w:r>
    </w:p>
    <w:p w14:paraId="4D5924AB" w14:textId="4DEDFB4B" w:rsidR="004255E7" w:rsidRPr="008608AA" w:rsidRDefault="004255E7" w:rsidP="00FE65F2">
      <w:pPr>
        <w:spacing w:after="120"/>
      </w:pPr>
      <w:r w:rsidRPr="008608AA">
        <w:t xml:space="preserve">In the Caribbean, terrestrial habitats, including productive areas, are affected by a multitude of invasive alien species — among them, agricultural pests that were introduced with crops. Adverse impacts of invasive species are most severe in the Greater Antilles and Northern Lesser Antilles on islands that have been isolated for the longest time periods and have the greatest degree of human degradation and disturbance </w:t>
      </w:r>
      <w:r w:rsidRPr="008608AA">
        <w:fldChar w:fldCharType="begin" w:fldLock="1"/>
      </w:r>
      <w:r w:rsidRPr="008608AA">
        <w:instrText>ADDIN CSL_CITATION { "citationItems" : [ { "id" : "ITEM-1", "itemData" : { "author" : [ { "dropping-particle" : "", "family" : "Kairo", "given" : "Moses", "non-dropping-particle" : "", "parse-names" : false, "suffix" : "" }, { "dropping-particle" : "", "family" : "Ali", "given" : "Bibi", "non-dropping-particle" : "", "parse-names" : false, "suffix" : "" }, { "dropping-particle" : "", "family" : "Cheesman", "given" : "Oliver", "non-dropping-particle" : "", "parse-names" : false, "suffix" : "" }, { "dropping-particle" : "", "family" : "Haysom", "given" : "Karen", "non-dropping-particle" : "", "parse-names" : false, "suffix" : "" }, { "dropping-particle" : "", "family" : "Murphy", "given" : "Sean", "non-dropping-particle" : "", "parse-names" : false, "suffix" : "" } ], "id" : "ITEM-1", "issued" : { "date-parts" : [ [ "2003" ] ] }, "publisher" : "CAB International", "publisher-place" : "Arlington, USA", "title" : "Invasive Species Threats in the Caribbean Region, Report to the Nature Conservancy", "type" : "report" }, "uris" : [ "http://www.mendeley.com/documents/?uuid=99b5bda8-d32d-4cdb-835d-f7768031a14d" ] } ], "mendeley" : { "formattedCitation" : "(Kairo, Ali, Cheesman, Haysom, &amp; Murphy, 2003)", "manualFormatting" : "(Kairo et al., 2003)", "plainTextFormattedCitation" : "(Kairo, Ali, Cheesman, Haysom, &amp; Murphy, 2003)", "previouslyFormattedCitation" : "(Kairo, Ali, Cheesman, Haysom, &amp; Murphy, 2003)" }, "properties" : { "noteIndex" : 0 }, "schema" : "https://github.com/citation-style-language/schema/raw/master/csl-citation.json" }</w:instrText>
      </w:r>
      <w:r w:rsidRPr="008608AA">
        <w:fldChar w:fldCharType="separate"/>
      </w:r>
      <w:r w:rsidRPr="008608AA">
        <w:rPr>
          <w:noProof/>
        </w:rPr>
        <w:t>(Kairo et al., 2003)</w:t>
      </w:r>
      <w:r w:rsidRPr="008608AA">
        <w:fldChar w:fldCharType="end"/>
      </w:r>
      <w:r w:rsidRPr="008608AA">
        <w:t>. However, there is speculation that some invasive exotic plants may act as nurse plants for native species and will decline in importance once native species recover from human disturbance (</w:t>
      </w:r>
      <w:r w:rsidR="00847F60" w:rsidRPr="008608AA">
        <w:t>e.g.</w:t>
      </w:r>
      <w:r w:rsidRPr="008608AA">
        <w:t xml:space="preserve"> </w:t>
      </w:r>
      <w:r w:rsidRPr="008608AA">
        <w:rPr>
          <w:i/>
        </w:rPr>
        <w:t>Leucaena</w:t>
      </w:r>
      <w:r w:rsidRPr="008608AA">
        <w:t xml:space="preserve"> in Puerto Rico) </w:t>
      </w:r>
      <w:r w:rsidRPr="008608AA">
        <w:fldChar w:fldCharType="begin" w:fldLock="1"/>
      </w:r>
      <w:r w:rsidRPr="008608AA">
        <w:instrText>ADDIN CSL_CITATION { "citationItems" : [ { "id" : "ITEM-1", "itemData" : { "author" : [ { "dropping-particle" : "", "family" : "Lugo", "given" : "Ariel E.", "non-dropping-particle" : "", "parse-names" : false, "suffix" : "" }, { "dropping-particle" : "", "family" : "Helmer", "given" : "Eileen H.", "non-dropping-particle" : "", "parse-names" : false, "suffix" : "" }, { "dropping-particle" : "", "family" : "Valent\u00edn", "given" : "Eugenio Santiago", "non-dropping-particle" : "", "parse-names" : false, "suffix" : "" } ], "container-title" : "Interciencia", "id" : "ITEM-1", "issue" : "9", "issued" : { "date-parts" : [ [ "2012" ] ] }, "page" : "705-710", "title" : "Caribbean landscapes and their biodiversity", "type" : "article-journal", "volume" : "37" }, "uris" : [ "http://www.mendeley.com/documents/?uuid=9db582fa-cf69-4f3f-969e-784264293c02" ] } ], "mendeley" : { "formattedCitation" : "(Lugo et al., 2012)", "manualFormatting" : "(Lugo et al., 2012)", "plainTextFormattedCitation" : "(Lugo et al., 2012)", "previouslyFormattedCitation" : "(Lugo et al., 2012)" }, "properties" : { "noteIndex" : 0 }, "schema" : "https://github.com/citation-style-language/schema/raw/master/csl-citation.json" }</w:instrText>
      </w:r>
      <w:r w:rsidRPr="008608AA">
        <w:fldChar w:fldCharType="separate"/>
      </w:r>
      <w:r w:rsidRPr="008608AA">
        <w:rPr>
          <w:noProof/>
        </w:rPr>
        <w:t>(Lugo et al., 2012)</w:t>
      </w:r>
      <w:r w:rsidRPr="008608AA">
        <w:fldChar w:fldCharType="end"/>
      </w:r>
      <w:r w:rsidRPr="008608AA">
        <w:t xml:space="preserve">. There is also growing acceptance that exotic species have become important components of many island ecosystems </w:t>
      </w:r>
      <w:r w:rsidRPr="008608AA">
        <w:fldChar w:fldCharType="begin" w:fldLock="1"/>
      </w:r>
      <w:r w:rsidRPr="008608AA">
        <w:instrText>ADDIN CSL_CITATION { "citationItems" : [ { "id" : "ITEM-1", "itemData" : { "author" : [ { "dropping-particle" : "", "family" : "Lugo", "given" : "Ariel E.", "non-dropping-particle" : "", "parse-names" : false, "suffix" : "" }, { "dropping-particle" : "", "family" : "Helmer", "given" : "Eileen H.", "non-dropping-particle" : "", "parse-names" : false, "suffix" : "" }, { "dropping-particle" : "", "family" : "Valent\u00edn", "given" : "Eugenio Santiago", "non-dropping-particle" : "", "parse-names" : false, "suffix" : "" } ], "container-title" : "Interciencia", "id" : "ITEM-1", "issue" : "9", "issued" : { "date-parts" : [ [ "2012" ] ] }, "page" : "705-710", "title" : "Caribbean landscapes and their biodiversity", "type" : "article-journal", "volume" : "37" }, "uris" : [ "http://www.mendeley.com/documents/?uuid=9db582fa-cf69-4f3f-969e-784264293c02" ] } ], "mendeley" : { "formattedCitation" : "(Lugo et al., 2012)", "manualFormatting" : "(Lugo et al., 2012)", "plainTextFormattedCitation" : "(Lugo et al., 2012)", "previouslyFormattedCitation" : "(Lugo et al., 2012)" }, "properties" : { "noteIndex" : 0 }, "schema" : "https://github.com/citation-style-language/schema/raw/master/csl-citation.json" }</w:instrText>
      </w:r>
      <w:r w:rsidRPr="008608AA">
        <w:fldChar w:fldCharType="separate"/>
      </w:r>
      <w:r w:rsidRPr="008608AA">
        <w:rPr>
          <w:noProof/>
        </w:rPr>
        <w:t>(Lugo et al., 2012)</w:t>
      </w:r>
      <w:r w:rsidRPr="008608AA">
        <w:fldChar w:fldCharType="end"/>
      </w:r>
      <w:r w:rsidRPr="008608AA">
        <w:t xml:space="preserve">. </w:t>
      </w:r>
    </w:p>
    <w:p w14:paraId="6FE0A5B6" w14:textId="2B8A73D4" w:rsidR="004255E7" w:rsidRPr="008608AA" w:rsidRDefault="00657833" w:rsidP="00FE65F2">
      <w:pPr>
        <w:spacing w:after="120"/>
      </w:pPr>
      <w:r w:rsidRPr="008608AA">
        <w:t xml:space="preserve">Recent trends. </w:t>
      </w:r>
      <w:r w:rsidR="004255E7" w:rsidRPr="008608AA">
        <w:t xml:space="preserve">Forests at mid- to high altitudes began to regenerate when agriculture declined after World War I </w:t>
      </w:r>
      <w:r w:rsidR="004255E7" w:rsidRPr="008608AA">
        <w:fldChar w:fldCharType="begin" w:fldLock="1"/>
      </w:r>
      <w:r w:rsidR="004255E7" w:rsidRPr="008608AA">
        <w:instrText>ADDIN CSL_CITATION { "citationItems" : [ { "id" : "ITEM-1", "itemData" : { "author" : [ { "dropping-particle" : "", "family" : "Lugo", "given" : "Ariel E.", "non-dropping-particle" : "", "parse-names" : false, "suffix" : "" }, { "dropping-particle" : "", "family" : "Helmer", "given" : "Eileen H.", "non-dropping-particle" : "", "parse-names" : false, "suffix" : "" }, { "dropping-particle" : "", "family" : "Valent\u00edn", "given" : "Eugenio Santiago", "non-dropping-particle" : "", "parse-names" : false, "suffix" : "" } ], "container-title" : "Interciencia", "id" : "ITEM-1", "issue" : "9", "issued" : { "date-parts" : [ [ "2012" ] ] }, "page" : "705-710", "title" : "Caribbean landscapes and their biodiversity", "type" : "article-journal", "volume" : "37" }, "uris" : [ "http://www.mendeley.com/documents/?uuid=9db582fa-cf69-4f3f-969e-784264293c02" ] }, { "id" : "ITEM-2", "itemData" : { "author" : [ { "dropping-particle" : "", "family" : "Gould", "given" : "W. A.", "non-dropping-particle" : "", "parse-names" : false, "suffix" : "" }, { "dropping-particle" : "", "family" : "Martinuzzi", "given" : "Sebastia\u0301n", "non-dropping-particle" : "", "parse-names" : false, "suffix" : "" }, { "dropping-particle" : "", "family" : "Pare\u0301s-Ramos", "given" : "Isabel K.", "non-dropping-particle" : "", "parse-names" : false, "suffix" : "" } ], "container-title" : "Water Quality and Landscape Processes of Four Watersheds in Eastern Puerto Rico", "editor" : [ { "dropping-particle" : "", "family" : "Murphy", "given" : "S.F.", "non-dropping-particle" : "", "parse-names" : false, "suffix" : "" }, { "dropping-particle" : "", "family" : "Stallard", "given" : "R. F.", "non-dropping-particle" : "", "parse-names" : false, "suffix" : "" } ], "id" : "ITEM-2", "issued" : { "date-parts" : [ [ "2012" ] ] }, "page" : "25-42", "publisher" : "U.S. Geological Survey / Professional Paper 1789", "publisher-place" : "Reston, USA", "title" : "Land use, population dynamics, and land-cover change in eastern Puerto Rico", "type" : "chapter" }, "uris" : [ "http://www.mendeley.com/documents/?uuid=803ed29b-12be-4de7-b06a-89b58ab76da8" ] } ], "mendeley" : { "formattedCitation" : "(Gould et al., 2012; Lugo et al., 2012)", "manualFormatting" : "(Gould et al., 2012; Lugo et al., 2012)", "plainTextFormattedCitation" : "(Gould et al., 2012; Lugo et al., 2012)", "previouslyFormattedCitation" : "(Gould et al., 2012; Lugo et al., 2012)" }, "properties" : { "noteIndex" : 0 }, "schema" : "https://github.com/citation-style-language/schema/raw/master/csl-citation.json" }</w:instrText>
      </w:r>
      <w:r w:rsidR="004255E7" w:rsidRPr="008608AA">
        <w:fldChar w:fldCharType="separate"/>
      </w:r>
      <w:r w:rsidR="004255E7" w:rsidRPr="008608AA">
        <w:rPr>
          <w:noProof/>
        </w:rPr>
        <w:t>(Gould et al., 2012; Lugo et al., 2012)</w:t>
      </w:r>
      <w:r w:rsidR="004255E7" w:rsidRPr="008608AA">
        <w:fldChar w:fldCharType="end"/>
      </w:r>
      <w:r w:rsidR="004255E7" w:rsidRPr="008608AA">
        <w:t xml:space="preserve">. In Puerto Rico, forest cover increased from approximately 5% to over 30% between 1940 and 1990 </w:t>
      </w:r>
      <w:r w:rsidR="004255E7" w:rsidRPr="008608AA">
        <w:fldChar w:fldCharType="begin" w:fldLock="1"/>
      </w:r>
      <w:r w:rsidR="004255E7" w:rsidRPr="008608AA">
        <w:instrText>ADDIN CSL_CITATION { "citationItems" : [ { "id" : "ITEM-1", "itemData" : { "DOI" : "10.1046/j.1526-100x.2000.80048.x", "author" : [ { "dropping-particle" : "", "family" : "Aide", "given" : "T. M.", "non-dropping-particle" : "", "parse-names" : false, "suffix" : "" }, { "dropping-particle" : "", "family" : "Zimmerman", "given" : "J. K.", "non-dropping-particle" : "", "parse-names" : false, "suffix" : "" }, { "dropping-particle" : "", "family" : "Pascarella", "given" : "J. B.", "non-dropping-particle" : "", "parse-names" : false, "suffix" : "" }, { "dropping-particle" : "", "family" : "Rivera", "given" : "L.", "non-dropping-particle" : "", "parse-names" : false, "suffix" : "" }, { "dropping-particle" : "", "family" : "Marcano-Vega", "given" : "H", "non-dropping-particle" : "", "parse-names" : false, "suffix" : "" } ], "container-title" : "Restoration Ecology", "id" : "ITEM-1", "issue" : "4", "issued" : { "date-parts" : [ [ "2000" ] ] }, "page" : "328-338", "title" : "Forest regeneration in a chronosequence of tropical abandoned pastures: Implications for restoration ecology", "type" : "article-journal", "volume" : "8" }, "uris" : [ "http://www.mendeley.com/documents/?uuid=ac1746d9-5859-4d98-8ca0-b3e7a523d3e1" ] } ], "mendeley" : { "formattedCitation" : "(Aide, Zimmerman, Pascarella, Rivera, &amp; Marcano-Vega, 2000)", "manualFormatting" : "(Aide et al., 2000)", "plainTextFormattedCitation" : "(Aide, Zimmerman, Pascarella, Rivera, &amp; Marcano-Vega, 2000)", "previouslyFormattedCitation" : "(Aide, Zimmerman, Pascarella, Rivera, &amp; Marcano-Vega, 2000)" }, "properties" : { "noteIndex" : 0 }, "schema" : "https://github.com/citation-style-language/schema/raw/master/csl-citation.json" }</w:instrText>
      </w:r>
      <w:r w:rsidR="004255E7" w:rsidRPr="008608AA">
        <w:fldChar w:fldCharType="separate"/>
      </w:r>
      <w:r w:rsidR="004255E7" w:rsidRPr="008608AA">
        <w:rPr>
          <w:noProof/>
        </w:rPr>
        <w:t>(Aide et al., 2000)</w:t>
      </w:r>
      <w:r w:rsidR="004255E7" w:rsidRPr="008608AA">
        <w:fldChar w:fldCharType="end"/>
      </w:r>
      <w:r w:rsidR="004255E7" w:rsidRPr="008608AA">
        <w:t xml:space="preserve">. Tropical moist forest tends to regrow in mountainous areas where agriculture is more likely to be small scale </w:t>
      </w:r>
      <w:r w:rsidR="004255E7" w:rsidRPr="008608AA">
        <w:fldChar w:fldCharType="begin" w:fldLock="1"/>
      </w:r>
      <w:r w:rsidR="004255E7" w:rsidRPr="008608AA">
        <w:instrText>ADDIN CSL_CITATION { "citationItems" : [ { "id" : "ITEM-1", "itemData" : { "DOI" : "10.1111/j.1523-1739.2009.01333.x", "ISBN" : "1523-1739", "ISSN" : "08888892", "PMID" : "20078639", "abstract" : "In recent decades the rate and geographic extent of land-use and land-cover change has increased throughout the world's humid tropical forests. The pan-tropical geography of forest change is a challenge to assess, and improved estimates of the human footprint in the tropics are critical to understanding potential changes in biodiversity. We combined recently published and new satellite observations, along with images from Google Earth and a literature review, to estimate the contemporary global extent of deforestation, selective logging, and secondary regrowth in humid tropical forests. Roughly 1.4% of the biome was deforested between 2000 and 2005. As of 2005, about half of the humid tropical forest biome contained 50% or less tree cover. Although not directly comparable to deforestation, geographic estimates of selective logging indicate that at least 20% of the humid tropical forest biome was undergoing some level of timber harvesting between 2000 and 2005. Forest recovery estimates are even less certain, but a compilation of available reports suggests that at least 1.2% of the humid tropical forest biome was in some stage of long-term secondary regrowth in 2000. Nearly 70% of the regrowth reports indicate forest regeneration in hilly, upland, and mountainous environments considered marginal for large-scale agriculture and ranching. Our estimates of the human footprint are conservative because they do not resolve very small-scale deforestation, low-intensity logging, and unreported secondary regrowth, nor do they incorporate other impacts on tropical forest ecosystems, such as fire and hunting. Our results highlight the enormous geographic extent of forest change throughout the humid tropics and the considerable limitations of the science and technology available for such a synthesis.", "author" : [ { "dropping-particle" : "", "family" : "Asner", "given" : "Gregory P.", "non-dropping-particle" : "", "parse-names" : false, "suffix" : "" }, { "dropping-particle" : "", "family" : "Rudel", "given" : "Thomas K.", "non-dropping-particle" : "", "parse-names" : false, "suffix" : "" }, { "dropping-particle" : "", "family" : "Aide", "given" : "T. Mitchell", "non-dropping-particle" : "", "parse-names" : false, "suffix" : "" }, { "dropping-particle" : "", "family" : "Defries", "given" : "Ruth", "non-dropping-particle" : "", "parse-names" : false, "suffix" : "" }, { "dropping-particle" : "", "family" : "Emerson", "given" : "Ruth", "non-dropping-particle" : "", "parse-names" : false, "suffix" : "" } ], "container-title" : "Conservation Biology", "id" : "ITEM-1", "issue" : "6", "issued" : { "date-parts" : [ [ "2009" ] ] }, "page" : "1386-1395", "title" : "A contemporary assessment of change in humid tropical forests", "type" : "article-journal", "volume" : "23" }, "uris" : [ "http://www.mendeley.com/documents/?uuid=e675448f-fe40-4675-a02e-2efd34881a88" ] } ], "mendeley" : { "formattedCitation" : "(Asner, Rudel, Aide, Defries, &amp; Emerson, 2009)", "manualFormatting" : "(Asner et al., 2009)", "plainTextFormattedCitation" : "(Asner, Rudel, Aide, Defries, &amp; Emerson, 2009)", "previouslyFormattedCitation" : "(Asner, Rudel, Aide, Defries, &amp; Emerson, 2009)" }, "properties" : { "noteIndex" : 0 }, "schema" : "https://github.com/citation-style-language/schema/raw/master/csl-citation.json" }</w:instrText>
      </w:r>
      <w:r w:rsidR="004255E7" w:rsidRPr="008608AA">
        <w:fldChar w:fldCharType="separate"/>
      </w:r>
      <w:r w:rsidR="004255E7" w:rsidRPr="008608AA">
        <w:rPr>
          <w:noProof/>
        </w:rPr>
        <w:t>(Asner et al., 2009)</w:t>
      </w:r>
      <w:r w:rsidR="004255E7" w:rsidRPr="008608AA">
        <w:fldChar w:fldCharType="end"/>
      </w:r>
      <w:r w:rsidR="004255E7" w:rsidRPr="008608AA">
        <w:t>; 2,550 km</w:t>
      </w:r>
      <w:r w:rsidR="004255E7" w:rsidRPr="008608AA">
        <w:rPr>
          <w:vertAlign w:val="superscript"/>
        </w:rPr>
        <w:t>2</w:t>
      </w:r>
      <w:r w:rsidR="004255E7" w:rsidRPr="008608AA">
        <w:t xml:space="preserve"> of mountain tropical moist forest regenerated between 1984 and 2002 in the Dominican Republic </w:t>
      </w:r>
      <w:r w:rsidR="004255E7" w:rsidRPr="008608AA">
        <w:fldChar w:fldCharType="begin" w:fldLock="1"/>
      </w:r>
      <w:r w:rsidR="004255E7" w:rsidRPr="008608AA">
        <w:instrText>ADDIN CSL_CITATION { "citationItems" : [ { "id" : "ITEM-1", "itemData" : { "ISBN" : "978-968-7462-49-3", "author" : [ { "dropping-particle" : "", "family" : "Grau", "given" : "H. R.", "non-dropping-particle" : "", "parse-names" : false, "suffix" : "" }, { "dropping-particle" : "", "family" : "Pe\u0301rez", "given" : "M.", "non-dropping-particle" : "", "parse-names" : false, "suffix" : "" }, { "dropping-particle" : "", "family" : "Martinuzzi", "given" : "S.", "non-dropping-particle" : "", "parse-names" : false, "suffix" : "" }, { "dropping-particle" : "", "family" : "Encarnacio\u0301n", "given" : "X.", "non-dropping-particle" : "", "parse-names" : false, "suffix" : "" }, { "dropping-particle" : "", "family" : "Aide", "given" : "T. M.", "non-dropping-particle" : "", "parse-names" : false, "suffix" : "" } ], "container-title" : "Restauracio\u0301n de Bosques en Ame\u0301rica Latina", "editor" : [ { "dropping-particle" : "", "family" : "Gonza\u0301lez-Espinosa", "given" : "M.", "non-dropping-particle" : "", "parse-names" : false, "suffix" : "" }, { "dropping-particle" : "", "family" : "Rey-Benayas", "given" : "J. M.", "non-dropping-particle" : "", "parse-names" : false, "suffix" : "" }, { "dropping-particle" : "", "family" : "Rami\u0301rez-Marcial", "given" : "N.", "non-dropping-particle" : "", "parse-names" : false, "suffix" : "" } ], "id" : "ITEM-1", "issued" : { "date-parts" : [ [ "2008" ] ] }, "page" : "211-227", "publisher" : "Fundacio\u0301n Internacional para la Restauracio\u0301n de Ecosistemas (FIRE) and Editorial Mundi-Prensa Me\u0301xico", "publisher-place" : "Ciudad de M\u00e9xico, M\u00e9xico", "title" : "Cambios socioecono\u0301micos y regeneracio\u0301n del bosque en la Repu\u0301blica Dominicana", "type" : "chapter" }, "uris" : [ "http://www.mendeley.com/documents/?uuid=697dbfc8-86e9-4dff-afa5-154c5bc5fbad" ] } ], "mendeley" : { "formattedCitation" : "(Grau, Pe\u0301rez, Martinuzzi, Encarnacio\u0301n, &amp; Aide, 2008)", "manualFormatting" : "(Grau et al., 2008)", "plainTextFormattedCitation" : "(Grau, Pe\u0301rez, Martinuzzi, Encarnacio\u0301n, &amp; Aide, 2008)", "previouslyFormattedCitation" : "(Grau, Pe\u0301rez, Martinuzzi, Encarnacio\u0301n, &amp; Aide, 2008)" }, "properties" : { "noteIndex" : 0 }, "schema" : "https://github.com/citation-style-language/schema/raw/master/csl-citation.json" }</w:instrText>
      </w:r>
      <w:r w:rsidR="004255E7" w:rsidRPr="008608AA">
        <w:fldChar w:fldCharType="separate"/>
      </w:r>
      <w:r w:rsidR="004255E7" w:rsidRPr="008608AA">
        <w:rPr>
          <w:noProof/>
        </w:rPr>
        <w:t>(Grau et al., 2008)</w:t>
      </w:r>
      <w:r w:rsidR="004255E7" w:rsidRPr="008608AA">
        <w:fldChar w:fldCharType="end"/>
      </w:r>
      <w:r w:rsidR="004255E7" w:rsidRPr="008608AA">
        <w:t xml:space="preserve"> and 1,036 km</w:t>
      </w:r>
      <w:r w:rsidR="004255E7" w:rsidRPr="008608AA">
        <w:rPr>
          <w:vertAlign w:val="superscript"/>
        </w:rPr>
        <w:t>2</w:t>
      </w:r>
      <w:r w:rsidR="004255E7" w:rsidRPr="008608AA">
        <w:t xml:space="preserve"> of dry/moist/wet mountain forest regenerated between 1991 and 2000 in Puerto Rico </w:t>
      </w:r>
      <w:r w:rsidR="004255E7" w:rsidRPr="008608AA">
        <w:fldChar w:fldCharType="begin" w:fldLock="1"/>
      </w:r>
      <w:r w:rsidR="004255E7" w:rsidRPr="008608AA">
        <w:instrText>ADDIN CSL_CITATION { "citationItems" : [ { "id" : "ITEM-1", "itemData" : { "ISBN" : "1708-3087", "ISSN" : "17083087", "abstract" : "The response of local economies to the globalization process can have a large effect on population and land-use dynamics. In countries with a high population density and relatively high levels of education, the globalization process has resulted in a shift in the local economy from agriculture to manufacturing, technology, and service sectors. This shift in the economy has impacted land-use dynamics by decreasing agricultural lands, increasing urban growth, and in some cases, increasing forest cover. This process of economic and forest transition has been well documented in Puerto Rico for the period 1950 to 1990, but some authors predicted that poor planning and continued urban growth would eliminate the gains in forest cover. To investigate the impacts of recent economic changes, we evaluated demographic and land-use changes for 880 \u201cbarrios\u201d (i.e., neighborhoods), the smallest administrative unit, in Puerto Rico using government census data from 1990 and 2000 and land-cover classifications from 1991 and 2000. During this period, the population increased by 284 127 people (8.2%). Most of the growth was in the suburban barrios, whereas urban barrios lost population. This shift was reflected by the construction of more than 100 000 housing units in suburban barrios. Although urban sprawl is perceived as the major land-cover change, urban cover only increased from 10% to 11% between 1990 and 2000, whereas the increase in forest cover was much greater (28% to 40%). Grasslands and shrublands were the major sources of new urban and forest areas in 2000. Although these results are encouraging in terms of increasing forest cover, most of the new development has been concentrated in the coastal plains, which are the location of most of the remaining agricultural areas, a few protected areas, and threatened ecosystems (e.g., mangroves).", "author" : [ { "dropping-particle" : "", "family" : "Par\u00e9s-Ramos", "given" : "Isabel K.", "non-dropping-particle" : "", "parse-names" : false, "suffix" : "" }, { "dropping-particle" : "", "family" : "Gould", "given" : "William A.", "non-dropping-particle" : "", "parse-names" : false, "suffix" : "" }, { "dropping-particle" : "", "family" : "Aide", "given" : "T. Mitchell", "non-dropping-particle" : "", "parse-names" : false, "suffix" : "" } ], "container-title" : "Ecology and Society", "id" : "ITEM-1", "issue" : "2", "issued" : { "date-parts" : [ [ "2008" ] ] }, "title" : "Agricultural abandonment, suburban growth, and forest expansion in Puerto Rico between 1991 and 2000", "type" : "article-journal", "volume" : "13" }, "uris" : [ "http://www.mendeley.com/documents/?uuid=0ae52d46-e7d2-4d72-834f-12e27f3f4378" ] } ], "mendeley" : { "formattedCitation" : "(Par\u00e9s-Ramos, Gould, &amp; Aide, 2008)", "manualFormatting" : "(Par\u00e9s-Ramos et al., 2008)", "plainTextFormattedCitation" : "(Par\u00e9s-Ramos, Gould, &amp; Aide, 2008)", "previouslyFormattedCitation" : "(Par\u00e9s-Ramos, Gould, &amp; Aide, 2008)" }, "properties" : { "noteIndex" : 0 }, "schema" : "https://github.com/citation-style-language/schema/raw/master/csl-citation.json" }</w:instrText>
      </w:r>
      <w:r w:rsidR="004255E7" w:rsidRPr="008608AA">
        <w:fldChar w:fldCharType="separate"/>
      </w:r>
      <w:r w:rsidR="004255E7" w:rsidRPr="008608AA">
        <w:rPr>
          <w:noProof/>
        </w:rPr>
        <w:t>(Parés-Ramos et al., 2008)</w:t>
      </w:r>
      <w:r w:rsidR="004255E7" w:rsidRPr="008608AA">
        <w:fldChar w:fldCharType="end"/>
      </w:r>
      <w:r w:rsidR="004255E7" w:rsidRPr="008608AA">
        <w:t xml:space="preserve">. The area of Caribbean forests in general increased by an average of 0.81% between 1990 and 2010 </w:t>
      </w:r>
      <w:r w:rsidR="004255E7" w:rsidRPr="008608AA">
        <w:fldChar w:fldCharType="begin" w:fldLock="1"/>
      </w:r>
      <w:r w:rsidR="004255E7" w:rsidRPr="008608AA">
        <w:instrText>ADDIN CSL_CITATION { "citationItems" : [ { "id" : "ITEM-1", "itemData" : { "author" : [ { "dropping-particle" : "", "family" : "FAO", "given" : "", "non-dropping-particle" : "", "parse-names" : false, "suffix" : "" } ], "container-title" : "Food and Agriculture Organization of the United Nations.", "id" : "ITEM-1", "issued" : { "date-parts" : [ [ "2011" ] ] }, "publisher-place" : "Rome, Italy", "title" : "The State of Forest Resources- a Regional Analysis. In State of the World\u2019s Forests", "type" : "report" }, "uris" : [ "http://www.mendeley.com/documents/?uuid=90002476-468d-4708-893f-9105a935b351" ] } ], "mendeley" : { "formattedCitation" : "(FAO, 2011)", "plainTextFormattedCitation" : "(FAO, 2011)", "previouslyFormattedCitation" : "(FAO, 2011)" }, "properties" : { "noteIndex" : 0 }, "schema" : "https://github.com/citation-style-language/schema/raw/master/csl-citation.json" }</w:instrText>
      </w:r>
      <w:r w:rsidR="004255E7" w:rsidRPr="008608AA">
        <w:fldChar w:fldCharType="separate"/>
      </w:r>
      <w:r w:rsidR="004255E7" w:rsidRPr="008608AA">
        <w:rPr>
          <w:noProof/>
        </w:rPr>
        <w:t>(FAO, 2011)</w:t>
      </w:r>
      <w:r w:rsidR="004255E7" w:rsidRPr="008608AA">
        <w:fldChar w:fldCharType="end"/>
      </w:r>
      <w:r w:rsidR="004255E7" w:rsidRPr="008608AA">
        <w:t xml:space="preserve">, but in Puerto Rico, the increase has now ceased </w:t>
      </w:r>
      <w:r w:rsidR="004255E7" w:rsidRPr="008608AA">
        <w:fldChar w:fldCharType="begin" w:fldLock="1"/>
      </w:r>
      <w:r w:rsidR="004255E7" w:rsidRPr="008608AA">
        <w:instrText>ADDIN CSL_CITATION { "citationItems" : [ { "id" : "ITEM-1", "itemData" : { "ISBN" : "978-968-7462-49-3", "author" : [ { "dropping-particle" : "", "family" : "Grau", "given" : "H. R.", "non-dropping-particle" : "", "parse-names" : false, "suffix" : "" }, { "dropping-particle" : "", "family" : "Pe\u0301rez", "given" : "M.", "non-dropping-particle" : "", "parse-names" : false, "suffix" : "" }, { "dropping-particle" : "", "family" : "Martinuzzi", "given" : "S.", "non-dropping-particle" : "", "parse-names" : false, "suffix" : "" }, { "dropping-particle" : "", "family" : "Encarnacio\u0301n", "given" : "X.", "non-dropping-particle" : "", "parse-names" : false, "suffix" : "" }, { "dropping-particle" : "", "family" : "Aide", "given" : "T. M.", "non-dropping-particle" : "", "parse-names" : false, "suffix" : "" } ], "container-title" : "Restauracio\u0301n de Bosques en Ame\u0301rica Latina", "editor" : [ { "dropping-particle" : "", "family" : "Gonza\u0301lez-Espinosa", "given" : "M.", "non-dropping-particle" : "", "parse-names" : false, "suffix" : "" }, { "dropping-particle" : "", "family" : "Rey-Benayas", "given" : "J. M.", "non-dropping-particle" : "", "parse-names" : false, "suffix" : "" }, { "dropping-particle" : "", "family" : "Rami\u0301rez-Marcial", "given" : "N.", "non-dropping-particle" : "", "parse-names" : false, "suffix" : "" } ], "id" : "ITEM-1", "issued" : { "date-parts" : [ [ "2008" ] ] }, "page" : "211-227", "publisher" : "Fundacio\u0301n Internacional para la Restauracio\u0301n de Ecosistemas (FIRE) and Editorial Mundi-Prensa Me\u0301xico", "publisher-place" : "Ciudad de M\u00e9xico, M\u00e9xico", "title" : "Cambios socioecono\u0301micos y regeneracio\u0301n del bosque en la Repu\u0301blica Dominicana", "type" : "chapter" }, "uris" : [ "http://www.mendeley.com/documents/?uuid=697dbfc8-86e9-4dff-afa5-154c5bc5fbad" ] } ], "mendeley" : { "formattedCitation" : "(Grau et al., 2008)", "manualFormatting" : "(Grau et al., 2008)", "plainTextFormattedCitation" : "(Grau et al., 2008)", "previouslyFormattedCitation" : "(Grau et al., 2008)" }, "properties" : { "noteIndex" : 0 }, "schema" : "https://github.com/citation-style-language/schema/raw/master/csl-citation.json" }</w:instrText>
      </w:r>
      <w:r w:rsidR="004255E7" w:rsidRPr="008608AA">
        <w:fldChar w:fldCharType="separate"/>
      </w:r>
      <w:r w:rsidR="004255E7" w:rsidRPr="008608AA">
        <w:rPr>
          <w:noProof/>
        </w:rPr>
        <w:t>(Grau et al., 2008)</w:t>
      </w:r>
      <w:r w:rsidR="004255E7" w:rsidRPr="008608AA">
        <w:fldChar w:fldCharType="end"/>
      </w:r>
      <w:r w:rsidR="004255E7" w:rsidRPr="008608AA">
        <w:t xml:space="preserve">. Loss of native predators and herbivores due to introduced predators in post- and pre-Columbian times continues </w:t>
      </w:r>
      <w:r w:rsidR="004255E7" w:rsidRPr="008608AA">
        <w:fldChar w:fldCharType="begin" w:fldLock="1"/>
      </w:r>
      <w:r w:rsidR="004255E7" w:rsidRPr="008608AA">
        <w:instrText>ADDIN CSL_CITATION { "citationItems" : [ { "id" : "ITEM-1", "itemData" : { "author" : [ { "dropping-particle" : "", "family" : "Kairo", "given" : "Moses", "non-dropping-particle" : "", "parse-names" : false, "suffix" : "" }, { "dropping-particle" : "", "family" : "Ali", "given" : "Bibi", "non-dropping-particle" : "", "parse-names" : false, "suffix" : "" }, { "dropping-particle" : "", "family" : "Cheesman", "given" : "Oliver", "non-dropping-particle" : "", "parse-names" : false, "suffix" : "" }, { "dropping-particle" : "", "family" : "Haysom", "given" : "Karen", "non-dropping-particle" : "", "parse-names" : false, "suffix" : "" }, { "dropping-particle" : "", "family" : "Murphy", "given" : "Sean", "non-dropping-particle" : "", "parse-names" : false, "suffix" : "" } ], "id" : "ITEM-1", "issued" : { "date-parts" : [ [ "2003" ] ] }, "publisher" : "CAB International", "publisher-place" : "Arlington, USA", "title" : "Invasive Species Threats in the Caribbean Region, Report to the Nature Conservancy", "type" : "report" }, "uris" : [ "http://www.mendeley.com/documents/?uuid=99b5bda8-d32d-4cdb-835d-f7768031a14d" ] } ], "mendeley" : { "formattedCitation" : "(Kairo et al., 2003)", "manualFormatting" : "(Kairo et al., 2003)", "plainTextFormattedCitation" : "(Kairo et al., 2003)", "previouslyFormattedCitation" : "(Kairo et al., 2003)" }, "properties" : { "noteIndex" : 0 }, "schema" : "https://github.com/citation-style-language/schema/raw/master/csl-citation.json" }</w:instrText>
      </w:r>
      <w:r w:rsidR="004255E7" w:rsidRPr="008608AA">
        <w:fldChar w:fldCharType="separate"/>
      </w:r>
      <w:r w:rsidR="004255E7" w:rsidRPr="008608AA">
        <w:rPr>
          <w:noProof/>
        </w:rPr>
        <w:t>(Kairo et al., 2003)</w:t>
      </w:r>
      <w:r w:rsidR="004255E7" w:rsidRPr="008608AA">
        <w:fldChar w:fldCharType="end"/>
      </w:r>
      <w:r w:rsidR="004255E7" w:rsidRPr="008608AA">
        <w:t xml:space="preserve">. </w:t>
      </w:r>
    </w:p>
    <w:p w14:paraId="18421F0C" w14:textId="77777777" w:rsidR="004255E7" w:rsidRPr="008608AA" w:rsidRDefault="004255E7" w:rsidP="00FE65F2">
      <w:pPr>
        <w:pStyle w:val="Heading5"/>
        <w:numPr>
          <w:ilvl w:val="0"/>
          <w:numId w:val="0"/>
        </w:numPr>
        <w:ind w:left="1008" w:hanging="1008"/>
        <w:rPr>
          <w:b w:val="0"/>
          <w:sz w:val="24"/>
          <w:szCs w:val="24"/>
          <w:lang w:val="en-US"/>
        </w:rPr>
      </w:pPr>
      <w:r w:rsidRPr="008608AA">
        <w:rPr>
          <w:sz w:val="24"/>
          <w:szCs w:val="24"/>
        </w:rPr>
        <w:t xml:space="preserve">South American subregion </w:t>
      </w:r>
    </w:p>
    <w:p w14:paraId="3BADC070" w14:textId="1F2C23B6" w:rsidR="004255E7" w:rsidRPr="008608AA" w:rsidRDefault="00657833" w:rsidP="00FE65F2">
      <w:pPr>
        <w:spacing w:after="120"/>
      </w:pPr>
      <w:r w:rsidRPr="008608AA">
        <w:t xml:space="preserve">Status. </w:t>
      </w:r>
      <w:r w:rsidR="004255E7" w:rsidRPr="008608AA">
        <w:t>In South America, this biome is centered on the Amazonian wet forest, Atlantic coastal forest, and Andean tropical montane forest. It is also found on the western side of the northern Andes (at low altitudes) and in lowland Venezuela, Guyana, Suriname, and French Guiana.</w:t>
      </w:r>
      <w:r w:rsidR="004255E7" w:rsidRPr="008608AA">
        <w:rPr>
          <w:i/>
        </w:rPr>
        <w:t xml:space="preserve"> </w:t>
      </w:r>
      <w:r w:rsidR="004255E7" w:rsidRPr="008608AA">
        <w:t>Amazonian wet forest covers 6.7 million km</w:t>
      </w:r>
      <w:r w:rsidR="004255E7" w:rsidRPr="008608AA">
        <w:rPr>
          <w:vertAlign w:val="superscript"/>
        </w:rPr>
        <w:t>2</w:t>
      </w:r>
      <w:r w:rsidR="004255E7" w:rsidRPr="008608AA">
        <w:t xml:space="preserve"> </w:t>
      </w:r>
      <w:r w:rsidR="004255E7" w:rsidRPr="008608AA">
        <w:rPr>
          <w:i/>
        </w:rPr>
        <w:t>—</w:t>
      </w:r>
      <w:r w:rsidR="004255E7" w:rsidRPr="008608AA">
        <w:t xml:space="preserve"> half of the planet’s remaining tropical forests. Around 17% of </w:t>
      </w:r>
      <w:r w:rsidR="007D0448" w:rsidRPr="008608AA">
        <w:t>Amazonian wet forest</w:t>
      </w:r>
      <w:r w:rsidR="004255E7" w:rsidRPr="008608AA">
        <w:t xml:space="preserve"> has been destroyed </w:t>
      </w:r>
      <w:r w:rsidR="004255E7" w:rsidRPr="008608AA">
        <w:fldChar w:fldCharType="begin" w:fldLock="1"/>
      </w:r>
      <w:r w:rsidR="004255E7" w:rsidRPr="008608AA">
        <w:instrText>ADDIN CSL_CITATION { "citationItems" : [ { "id" : "ITEM-1", "itemData" : { "ISBN" : "978-2-940529-37-7", "editor" : [ { "dropping-particle" : "", "family" : "Charity", "given" : "S.", "non-dropping-particle" : "", "parse-names" : false, "suffix" : "" }, { "dropping-particle" : "", "family" : "Dudley", "given" : "N.", "non-dropping-particle" : "", "parse-names" : false, "suffix" : "" }, { "dropping-particle" : "", "family" : "Oliveira", "given" : "D.", "non-dropping-particle" : "", "parse-names" : false, "suffix" : "" }, { "dropping-particle" : "", "family" : "Stolton", "given" : "S.", "non-dropping-particle" : "", "parse-names" : false, "suffix" : "" } ], "id" : "ITEM-1", "issued" : { "date-parts" : [ [ "2016" ] ] }, "publisher" : "WWF Living Amazon Initiative", "publisher-place" : "Bras\u00edlia, Brazil and Quito, Ecuador", "title" : "Living Amazon Report 2016: A Regional Approach to Conservation in the Amazon", "type" : "book" }, "uris" : [ "http://www.mendeley.com/documents/?uuid=cc024ac3-df91-4454-a6b1-2df30626b009" ] } ], "mendeley" : { "formattedCitation" : "(Charity, Dudley, Oliveira, &amp; Stolton, 2016)", "manualFormatting" : "(Charity et al., 2016)", "plainTextFormattedCitation" : "(Charity, Dudley, Oliveira, &amp; Stolton, 2016)", "previouslyFormattedCitation" : "(Charity, Dudley, Oliveira, &amp; Stolton, 2016)" }, "properties" : { "noteIndex" : 0 }, "schema" : "https://github.com/citation-style-language/schema/raw/master/csl-citation.json" }</w:instrText>
      </w:r>
      <w:r w:rsidR="004255E7" w:rsidRPr="008608AA">
        <w:fldChar w:fldCharType="separate"/>
      </w:r>
      <w:r w:rsidR="004255E7" w:rsidRPr="008608AA">
        <w:rPr>
          <w:noProof/>
        </w:rPr>
        <w:t>(Charity et al., 2016)</w:t>
      </w:r>
      <w:r w:rsidR="004255E7" w:rsidRPr="008608AA">
        <w:fldChar w:fldCharType="end"/>
      </w:r>
      <w:r w:rsidR="004255E7" w:rsidRPr="008608AA">
        <w:t xml:space="preserve"> (see also Figure 3.16). Andean tropical montane forest comprises cloud forests (northern Andean forests, Yungas forests and Bolivia-Tucuman forests) and seasonal (wet) forest mostly found above 1,500 m.a.s.l. Atlantic coastal forest once covered around 1.5 million km</w:t>
      </w:r>
      <w:r w:rsidR="004255E7" w:rsidRPr="008608AA">
        <w:rPr>
          <w:vertAlign w:val="superscript"/>
        </w:rPr>
        <w:t xml:space="preserve">2 </w:t>
      </w:r>
      <w:r w:rsidR="004255E7" w:rsidRPr="008608AA">
        <w:t xml:space="preserve">but today is down to ~12% of its original pre-colonial extent </w:t>
      </w:r>
      <w:r w:rsidR="004255E7" w:rsidRPr="008608AA">
        <w:fldChar w:fldCharType="begin" w:fldLock="1"/>
      </w:r>
      <w:r w:rsidR="004255E7" w:rsidRPr="008608AA">
        <w:instrText>ADDIN CSL_CITATION { "citationItems" : [ { "id" : "ITEM-1", "itemData" : { "DOI" : "10.1007/978-3-642-20992-5_21", "author" : [ { "dropping-particle" : "", "family" : "Ribeiro", "given" : "Milton Cezar", "non-dropping-particle" : "", "parse-names" : false, "suffix" : "" }, { "dropping-particle" : "", "family" : "Martensen", "given" : "Alexandre Camargo", "non-dropping-particle" : "", "parse-names" : false, "suffix" : "" }, { "dropping-particle" : "", "family" : "Metzger", "given" : "Jean Paul", "non-dropping-particle" : "", "parse-names" : false, "suffix" : "" }, { "dropping-particle" : "", "family" : "Tabarelli", "given" : "Marcelo", "non-dropping-particle" : "", "parse-names" : false, "suffix" : "" }, { "dropping-particle" : "", "family" : "Scarano", "given" : "F\u00e1bio", "non-dropping-particle" : "", "parse-names" : false, "suffix" : "" }, { "dropping-particle" : "", "family" : "Fortin", "given" : "Marie-Josee", "non-dropping-particle" : "", "parse-names" : false, "suffix" : "" } ], "container-title" : "Biodiversity Hotspots: Distribution and Protection of Conservation Priority Areas", "editor" : [ { "dropping-particle" : "", "family" : "Zachos", "given" : "F.", "non-dropping-particle" : "", "parse-names" : false, "suffix" : "" }, { "dropping-particle" : "", "family" : "Habel", "given" : "J.", "non-dropping-particle" : "", "parse-names" : false, "suffix" : "" } ], "id" : "ITEM-1", "issued" : { "date-parts" : [ [ "2011" ] ] }, "page" : "405-434", "publisher" : "Springer", "publisher-place" : "Berlin, Germany", "title" : "The Brazilian Atlantic Forest: a shrinking biodiversity hotspot", "type" : "chapter" }, "uris" : [ "http://www.mendeley.com/documents/?uuid=13e3b9ce-93f7-4448-8d12-810751b804b4" ] } ], "mendeley" : { "formattedCitation" : "(Ribeiro et al., 2011)", "plainTextFormattedCitation" : "(Ribeiro et al., 2011)", "previouslyFormattedCitation" : "(Ribeiro et al., 2011)" }, "properties" : { "noteIndex" : 0 }, "schema" : "https://github.com/citation-style-language/schema/raw/master/csl-citation.json" }</w:instrText>
      </w:r>
      <w:r w:rsidR="004255E7" w:rsidRPr="008608AA">
        <w:fldChar w:fldCharType="separate"/>
      </w:r>
      <w:r w:rsidR="004255E7" w:rsidRPr="008608AA">
        <w:rPr>
          <w:noProof/>
        </w:rPr>
        <w:t>(Ribeiro et al., 2011)</w:t>
      </w:r>
      <w:r w:rsidR="004255E7" w:rsidRPr="008608AA">
        <w:fldChar w:fldCharType="end"/>
      </w:r>
      <w:r w:rsidR="004255E7" w:rsidRPr="008608AA">
        <w:t xml:space="preserve">. Continuous expanses of forest (measured as the proportion of forest more than 1 km from the forest edge) have decreased from 90% (historical) to 75% (today) in Amazonian wet forest and from 90% to less than 9% in Atlantic coastal forest </w:t>
      </w:r>
      <w:r w:rsidR="004255E7" w:rsidRPr="008608AA">
        <w:fldChar w:fldCharType="begin" w:fldLock="1"/>
      </w:r>
      <w:r w:rsidR="004255E7" w:rsidRPr="008608AA">
        <w:instrText>ADDIN CSL_CITATION { "citationItems" : [ { "id" : "ITEM-1", "itemData" : { "DOI" : "10.1126/sciadv.1500052", "ISBN" : "doi : 10.1126/sciadv.1500052", "ISSN" : "2375-2548", "PMID" : "26601154", "abstract" : "We conducted an analysis of global forest cover to reveal that 70% of remaining forest is within 1 km of the forest\u2019s edge, subject to the degrading effects of fragmentation. A synthesis of fragmentation experiments spanning multiple biomes and scales, five continents, and 35 years demonstrates that habitat fragmentation reduces biodiversity by 13 to 75% and impairs key ecosystem functions by decreasing biomass and altering nutrient cycles. Effects are greatest in the smallest and most isolated fragments, and they magnify with the passage of time. These findings indicate an urgent need for conservation and restoration measures to improve landscape connectivity, which will reduce extinction rates and help maintain ecosystem services.", "author" : [ { "dropping-particle" : "", "family" : "Haddad", "given" : "N.M.", "non-dropping-particle" : "", "parse-names" : false, "suffix" : "" }, { "dropping-particle" : "", "family" : "Brudvig", "given" : "L.A.", "non-dropping-particle" : "", "parse-names" : false, "suffix" : "" }, { "dropping-particle" : "", "family" : "Clobert", "given" : "J.", "non-dropping-particle" : "", "parse-names" : false, "suffix" : "" }, { "dropping-particle" : "", "family" : "Davies", "given" : "K.F.", "non-dropping-particle" : "", "parse-names" : false, "suffix" : "" }, { "dropping-particle" : "", "family" : "Gonzalez", "given" : "A.", "non-dropping-particle" : "", "parse-names" : false, "suffix" : "" }, { "dropping-particle" : "", "family" : "Holt", "given" : "R.D.", "non-dropping-particle" : "", "parse-names" : false, "suffix" : "" }, { "dropping-particle" : "", "family" : "Lovejoy", "given" : "T.E.", "non-dropping-particle" : "", "parse-names" : false, "suffix" : "" }, { "dropping-particle" : "", "family" : "Sexton", "given" : "J.O.", "non-dropping-particle" : "", "parse-names" : false, "suffix" : "" }, { "dropping-particle" : "", "family" : "Austin", "given" : "M.P.", "non-dropping-particle" : "", "parse-names" : false, "suffix" : "" }, { "dropping-particle" : "", "family" : "Collins", "given" : "C.D.", "non-dropping-particle" : "", "parse-names" : false, "suffix" : "" }, { "dropping-particle" : "", "family" : "Cook", "given" : "W.M.", "non-dropping-particle" : "", "parse-names" : false, "suffix" : "" }, { "dropping-particle" : "", "family" : "Damschen", "given" : "E.I.", "non-dropping-particle" : "", "parse-names" : false, "suffix" : "" }, { "dropping-particle" : "", "family" : "Ewers", "given" : "R.M.", "non-dropping-particle" : "", "parse-names" : false, "suffix" : "" }, { "dropping-particle" : "", "family" : "Foster", "given" : "B.L.", "non-dropping-particle" : "", "parse-names" : false, "suffix" : "" }, { "dropping-particle" : "", "family" : "Jenkins", "given" : "C.N.", "non-dropping-particle" : "", "parse-names" : false, "suffix" : "" }, { "dropping-particle" : "", "family" : "King", "given" : "A.J.", "non-dropping-particle" : "", "parse-names" : false, "suffix" : "" }, { "dropping-particle" : "", "family" : "Laurance", "given" : "W.F.", "non-dropping-particle" : "", "parse-names" : false, "suffix" : "" }, { "dropping-particle" : "", "family" : "Levey", "given" : "D.J.", "non-dropping-particle" : "", "parse-names" : false, "suffix" : "" }, { "dropping-particle" : "", "family" : "Margules", "given" : "C.R.", "non-dropping-particle" : "", "parse-names" : false, "suffix" : "" }, { "dropping-particle" : "", "family" : "Melbourne", "given" : "B.A.", "non-dropping-particle" : "", "parse-names" : false, "suffix" : "" }, { "dropping-particle" : "", "family" : "Nicholls", "given" : "A.O.", "non-dropping-particle" : "", "parse-names" : false, "suffix" : "" }, { "dropping-particle" : "", "family" : "Orrock", "given" : "J.L.", "non-dropping-particle" : "", "parse-names" : false, "suffix" : "" }, { "dropping-particle" : "", "family" : "Song", "given" : "Dan-Xia", "non-dropping-particle" : "", "parse-names" : false, "suffix" : "" }, { "dropping-particle" : "", "family" : "Townshend", "given" : "J. R.", "non-dropping-particle" : "", "parse-names" : false, "suffix" : "" } ], "container-title" : "Science Advances", "id" : "ITEM-1", "issue" : "2", "issued" : { "date-parts" : [ [ "2015" ] ] }, "page" : "e1500052", "title" : "Habitat fragmentation and its lasting impact on Earth's ecosystems", "type" : "article-journal", "volume" : "1" }, "uris" : [ "http://www.mendeley.com/documents/?uuid=4d384bad-ee04-4731-9183-e7653938861c" ] } ], "mendeley" : { "formattedCitation" : "(Haddad et al., 2015)", "plainTextFormattedCitation" : "(Haddad et al., 2015)", "previouslyFormattedCitation" : "(Haddad et al., 2015)" }, "properties" : { "noteIndex" : 0 }, "schema" : "https://github.com/citation-style-language/schema/raw/master/csl-citation.json" }</w:instrText>
      </w:r>
      <w:r w:rsidR="004255E7" w:rsidRPr="008608AA">
        <w:fldChar w:fldCharType="separate"/>
      </w:r>
      <w:r w:rsidR="004255E7" w:rsidRPr="008608AA">
        <w:rPr>
          <w:noProof/>
        </w:rPr>
        <w:t>(Haddad et al., 2015)</w:t>
      </w:r>
      <w:r w:rsidR="004255E7" w:rsidRPr="008608AA">
        <w:fldChar w:fldCharType="end"/>
      </w:r>
      <w:r w:rsidR="004255E7" w:rsidRPr="008608AA">
        <w:t xml:space="preserve">. The Amazon, long thought to be a pristine forest, is now recognized as having been subject to long-standing indigenous management and transformation </w:t>
      </w:r>
      <w:r w:rsidR="004255E7" w:rsidRPr="008608AA">
        <w:fldChar w:fldCharType="begin" w:fldLock="1"/>
      </w:r>
      <w:r w:rsidR="004255E7" w:rsidRPr="008608AA">
        <w:instrText>ADDIN CSL_CITATION { "citationItems" : [ { "id" : "ITEM-1", "itemData" : { "DOI" : "10.1038/nplants.2017.93", "ISSN" : "2055-0278", "abstract" : "PUBLISHED: 3 AUGUST 2017 | VOLUME: 3 | ARTICLE NUMBER: 17093 B y 2050, it is estimated that over half of the world's population will live in the tropics, with many people relying on tropical for-ests as a source of freshwater and agricultural and urban land, as well as timber, medicine and food 1 . The expansion of human pop-ulations into tropical forest environments has seen them become some of the most threatened ecosystems in the world 2,3 . Every day, c. 320 km 2 of tropical rainforest is destroyed, significantly impact-ing human populations, along with 135 plant, animal and insect species 4 . The ongoing viability of dry tropical forests is also under ser ious threat 5 . These alterations affect ecosystems that are central to the stability of Earth's atmosphere and climate 6 , as well as key providers of economic goods and ecosystem services 2 . Focus on recent impacts to tropical forests has tended to promote these ecosystems as pristine and relatively untouched until recent centuries or even decades. Nevertheless, cumulative archaeological interest, spurred on by the application of novel methods of site dis-covery 7 , archaeological science research (for example, refs 8\u201311) and palaeoenvironmental reconstruction (for example, refs 12 ,13), have increasingly demonstrated tropical forests to be dynamic 'artefacts' of millennia of human\u2013forest interaction 14,15 . Attempts to investigate the relationship between, on the one hand, prehistoric fire regime alteration, cultivation 16 , extensive sedentary settlement and endur-ing landscape modification 17,18 , and, on the other, sustainable past subsistence, water-use and intensive human occupation, have so far been limited. This is despite recent calls from UNESCO 19 and a broad range of researchers 20,21 to actively involve archaeologists in conservation and policy-making in tropical forests. Awareness of long-term anthropogenic impacts to tropical for-ests has only gradually emerged. As recently as the 1980s and 1990s, anthropologists argued that tropical forests were unattractive envi-ronments for human occupation (for example, ref. 22). This view was further promoted by archaeologists, who, for example, saw tropical forests as barriers to the expansion of Late Pleistocene Homo sapiens foragers 23 , and also deemed them incapable of sup-porting agricultural populations 24 . This bias has been exacerbated by the generally poor preservation of organic archaeological remains Significant human impacts on\u2026", "author" : [ { "dropping-particle" : "", "family" : "Roberts", "given" : "Patrick", "non-dropping-particle" : "", "parse-names" : false, "suffix" : "" }, { "dropping-particle" : "", "family" : "Hunt", "given" : "Chris", "non-dropping-particle" : "", "parse-names" : false, "suffix" : "" }, { "dropping-particle" : "", "family" : "Arroyo-Kalin", "given" : "Manuel", "non-dropping-particle" : "", "parse-names" : false, "suffix" : "" }, { "dropping-particle" : "", "family" : "Evans", "given" : "Damian", "non-dropping-particle" : "", "parse-names" : false, "suffix" : "" }, { "dropping-particle" : "", "family" : "Boivin", "given" : "Nicole", "non-dropping-particle" : "", "parse-names" : false, "suffix" : "" } ], "container-title" : "Nature Plants", "id" : "ITEM-1", "issue" : "8", "issued" : { "date-parts" : [ [ "2017" ] ] }, "page" : "17093", "title" : "The deep human prehistory of global tropical forests and its relevance for modern conservation", "type" : "article-journal", "volume" : "3" }, "uris" : [ "http://www.mendeley.com/documents/?uuid=8c594f00-c6ce-4a8b-9a3d-2c693e905cd4" ] } ], "mendeley" : { "formattedCitation" : "(Roberts, Hunt, Arroyo-Kalin, Evans, &amp; Boivin, 2017)", "manualFormatting" : "(Roberts et al., 2017)", "plainTextFormattedCitation" : "(Roberts, Hunt, Arroyo-Kalin, Evans, &amp; Boivin, 2017)", "previouslyFormattedCitation" : "(Roberts, Hunt, Arroyo-Kalin, Evans, &amp; Boivin, 2017)" }, "properties" : { "noteIndex" : 0 }, "schema" : "https://github.com/citation-style-language/schema/raw/master/csl-citation.json" }</w:instrText>
      </w:r>
      <w:r w:rsidR="004255E7" w:rsidRPr="008608AA">
        <w:fldChar w:fldCharType="separate"/>
      </w:r>
      <w:r w:rsidR="004255E7" w:rsidRPr="008608AA">
        <w:rPr>
          <w:noProof/>
        </w:rPr>
        <w:t>(Roberts et al., 2017)</w:t>
      </w:r>
      <w:r w:rsidR="004255E7" w:rsidRPr="008608AA">
        <w:fldChar w:fldCharType="end"/>
      </w:r>
      <w:r w:rsidR="004255E7" w:rsidRPr="008608AA">
        <w:t xml:space="preserve">. At least 138 crops in 44 plant families, mostly trees or woody species, were cultivated, managed or promoted in Amazonia upon European contact, although some were subsequently lost </w:t>
      </w:r>
      <w:r w:rsidR="004255E7" w:rsidRPr="008608AA">
        <w:fldChar w:fldCharType="begin" w:fldLock="1"/>
      </w:r>
      <w:r w:rsidR="004255E7" w:rsidRPr="008608AA">
        <w:instrText>ADDIN CSL_CITATION { "citationItems" : [ { "id" : "ITEM-1", "itemData" : { "author" : [ { "dropping-particle" : "", "family" : "Clement", "given" : "C. R.", "non-dropping-particle" : "", "parse-names" : false, "suffix" : "" } ], "container-title" : "Economic Botany", "id" : "ITEM-1", "issued" : { "date-parts" : [ [ "1999" ] ] }, "page" : "203-216", "title" : "1492 and the loss of Amazonian crop genetic resources. II. Crop biogeography at contact", "type" : "article-journal", "volume" : "53" }, "uris" : [ "http://www.mendeley.com/documents/?uuid=e233e8fe-8315-42e4-8b53-c30499d2e63d" ] } ], "mendeley" : { "formattedCitation" : "(C. R. Clement, 1999)", "manualFormatting" : "(Clement, 1999)", "plainTextFormattedCitation" : "(C. R. Clement, 1999)", "previouslyFormattedCitation" : "(C. R. Clement, 1999)" }, "properties" : { "noteIndex" : 0 }, "schema" : "https://github.com/citation-style-language/schema/raw/master/csl-citation.json" }</w:instrText>
      </w:r>
      <w:r w:rsidR="004255E7" w:rsidRPr="008608AA">
        <w:fldChar w:fldCharType="separate"/>
      </w:r>
      <w:r w:rsidR="004255E7" w:rsidRPr="008608AA">
        <w:rPr>
          <w:noProof/>
        </w:rPr>
        <w:t>(Clement, 1999)</w:t>
      </w:r>
      <w:r w:rsidR="004255E7" w:rsidRPr="008608AA">
        <w:fldChar w:fldCharType="end"/>
      </w:r>
      <w:r w:rsidR="004255E7" w:rsidRPr="008608AA">
        <w:t xml:space="preserve">. Human use of biodiversity has been associated with the origin of many new varieties of manioc in both Amazonian wet forest and Atlantic coastal forest </w:t>
      </w:r>
      <w:r w:rsidR="004255E7" w:rsidRPr="008608AA">
        <w:fldChar w:fldCharType="begin" w:fldLock="1"/>
      </w:r>
      <w:r w:rsidR="004255E7" w:rsidRPr="008608AA">
        <w:instrText>ADDIN CSL_CITATION { "citationItems" : [ { "id" : "ITEM-1", "itemData" : { "author" : [ { "dropping-particle" : "", "family" : "Emperaire", "given" : "L.", "non-dropping-particle" : "", "parse-names" : false, "suffix" : "" }, { "dropping-particle" : "", "family" : "Peroni", "given" : "N.", "non-dropping-particle" : "", "parse-names" : false, "suffix" : "" } ], "container-title" : "Human Ecology", "id" : "ITEM-1", "issued" : { "date-parts" : [ [ "2007" ] ] }, "page" : "761-768", "title" : "Traditional management of agrobiodiversity in Brazil: A case study of manioc", "type" : "article-journal", "volume" : "35" }, "uris" : [ "http://www.mendeley.com/documents/?uuid=344fafcf-aaa2-4f6e-9c15-3d00129ccd7f" ] } ], "mendeley" : { "formattedCitation" : "(Emperaire &amp; Peroni, 2007)", "manualFormatting" : "(Emperaire &amp; Peroni, 2007)", "plainTextFormattedCitation" : "(Emperaire &amp; Peroni, 2007)", "previouslyFormattedCitation" : "(Emperaire &amp; Peroni, 2007)" }, "properties" : { "noteIndex" : 0 }, "schema" : "https://github.com/citation-style-language/schema/raw/master/csl-citation.json" }</w:instrText>
      </w:r>
      <w:r w:rsidR="004255E7" w:rsidRPr="008608AA">
        <w:fldChar w:fldCharType="separate"/>
      </w:r>
      <w:r w:rsidR="004255E7" w:rsidRPr="008608AA">
        <w:rPr>
          <w:noProof/>
        </w:rPr>
        <w:t>(Emperaire &amp; Peroni, 2007)</w:t>
      </w:r>
      <w:r w:rsidR="004255E7" w:rsidRPr="008608AA">
        <w:fldChar w:fldCharType="end"/>
      </w:r>
      <w:r w:rsidR="004255E7" w:rsidRPr="008608AA">
        <w:t xml:space="preserve">. </w:t>
      </w:r>
    </w:p>
    <w:p w14:paraId="13BC618E" w14:textId="77777777" w:rsidR="004255E7" w:rsidRPr="008608AA" w:rsidRDefault="004255E7" w:rsidP="00FE65F2">
      <w:pPr>
        <w:widowControl w:val="0"/>
        <w:autoSpaceDE w:val="0"/>
        <w:autoSpaceDN w:val="0"/>
        <w:adjustRightInd w:val="0"/>
        <w:spacing w:after="120"/>
      </w:pPr>
      <w:r w:rsidRPr="008608AA">
        <w:t xml:space="preserve">Exceedingly rich (Table 3.4), Amazonian wet forest is estimated to house one-tenth of all known species of plants and animals </w:t>
      </w:r>
      <w:r w:rsidRPr="008608AA">
        <w:fldChar w:fldCharType="begin" w:fldLock="1"/>
      </w:r>
      <w:r w:rsidRPr="008608AA">
        <w:instrText>ADDIN CSL_CITATION { "citationItems" : [ { "id" : "ITEM-1", "itemData" : { "ISBN" : "978-2-940529-37-7", "editor" : [ { "dropping-particle" : "", "family" : "Charity", "given" : "S.", "non-dropping-particle" : "", "parse-names" : false, "suffix" : "" }, { "dropping-particle" : "", "family" : "Dudley", "given" : "N.", "non-dropping-particle" : "", "parse-names" : false, "suffix" : "" }, { "dropping-particle" : "", "family" : "Oliveira", "given" : "D.", "non-dropping-particle" : "", "parse-names" : false, "suffix" : "" }, { "dropping-particle" : "", "family" : "Stolton", "given" : "S.", "non-dropping-particle" : "", "parse-names" : false, "suffix" : "" } ], "id" : "ITEM-1", "issued" : { "date-parts" : [ [ "2016" ] ] }, "publisher" : "WWF Living Amazon Initiative", "publisher-place" : "Bras\u00edlia, Brazil and Quito, Ecuador", "title" : "Living Amazon Report 2016: A Regional Approach to Conservation in the Amazon", "type" : "book" }, "uris" : [ "http://www.mendeley.com/documents/?uuid=cc024ac3-df91-4454-a6b1-2df30626b009" ] } ], "mendeley" : { "formattedCitation" : "(Charity et al., 2016)", "manualFormatting" : "(Charity et al., 2016)", "plainTextFormattedCitation" : "(Charity et al., 2016)", "previouslyFormattedCitation" : "(Charity et al., 2016)" }, "properties" : { "noteIndex" : 0 }, "schema" : "https://github.com/citation-style-language/schema/raw/master/csl-citation.json" }</w:instrText>
      </w:r>
      <w:r w:rsidRPr="008608AA">
        <w:fldChar w:fldCharType="separate"/>
      </w:r>
      <w:r w:rsidRPr="008608AA">
        <w:rPr>
          <w:noProof/>
        </w:rPr>
        <w:t>(Charity et al., 2016)</w:t>
      </w:r>
      <w:r w:rsidRPr="008608AA">
        <w:fldChar w:fldCharType="end"/>
      </w:r>
      <w:r w:rsidRPr="008608AA">
        <w:t xml:space="preserve">, although these estimates require careful verification. Although opinions differ widely regarding total tree species richness (Table 3.4), it seems that relatively few species account for the bulk of the Amazonian wet forest trees </w:t>
      </w:r>
      <w:r w:rsidRPr="008608AA">
        <w:fldChar w:fldCharType="begin" w:fldLock="1"/>
      </w:r>
      <w:r w:rsidRPr="008608AA">
        <w:instrText>ADDIN CSL_CITATION { "citationItems" : [ { "id" : "ITEM-1", "itemData" : { "DOI" : "10.1126/science.1243092", "ISBN" : "2818", "ISSN" : "0036-8075", "PMID" : "24136971", "abstract" : "The vast extent of the Amazon Basin has historically restricted the study of its tree communities to the local and regional scales. Here, we provide empirical data on the commonness, rarity, and richness of lowland tree species across the entire Amazon Basin and Guiana Shield (Amazonia), collected in 1170 tree plots in all major forest types. Extrapolations suggest that Amazonia harbors roughly 16,000 tree species, of which just 227 (1.4%) account for half of all trees. Most of these are habitat specialists and only dominant in one or two regions of the basin. We discuss some implications of the finding that a small group of species--less diverse than the North American tree flora--accounts for half of the world's most diverse tree community.", "author" : [ { "dropping-particle" : "", "family" : "Steege", "given" : "H.", "non-dropping-particle" : "ter", "parse-names" : false, "suffix" : "" }, { "dropping-particle" : "", "family" : "Pitman", "given" : "N. C. A.", "non-dropping-particle" : "", "parse-names" : false, "suffix" : "" }, { "dropping-particle" : "", "family" : "Sabatier", "given" : "D.", "non-dropping-particle" : "", "parse-names" : false, "suffix" : "" }, { "dropping-particle" : "", "family" : "Baraloto", "given" : "C.", "non-dropping-particle" : "", "parse-names" : false, "suffix" : "" }, { "dropping-particle" : "", "family" : "Salomao", "given" : "R. P.", "non-dropping-particle" : "", "parse-names" : false, "suffix" : "" }, { "dropping-particle" : "", "family" : "Guevara", "given" : "J. E.", "non-dropping-particle" : "", "parse-names" : false, "suffix" : "" }, { "dropping-particle" : "", "family" : "Phillips", "given" : "O. L.", "non-dropping-particle" : "", "parse-names" : false, "suffix" : "" }, { "dropping-particle" : "V.", "family" : "Castilho", "given" : "C.", "non-dropping-particle" : "", "parse-names" : false, "suffix" : "" }, { "dropping-particle" : "", "family" : "Magnusson", "given" : "W. E.", "non-dropping-particle" : "", "parse-names" : false, "suffix" : "" }, { "dropping-particle" : "", "family" : "Molino", "given" : "J.F.", "non-dropping-particle" : "", "parse-names" : false, "suffix" : "" }, { "dropping-particle" : "", "family" : "Monteagudo", "given" : "A.", "non-dropping-particle" : "", "parse-names" : false, "suffix" : "" }, { "dropping-particle" : "", "family" : "Nunez Vargas", "given" : "P.", "non-dropping-particle" : "", "parse-names" : false, "suffix" : "" }, { "dropping-particle" : "", "family" : "Montero", "given" : "J. C.", "non-dropping-particle" : "", "parse-names" : false, "suffix" : "" }, { "dropping-particle" : "", "family" : "Feldpausch", "given" : "T. R.", "non-dropping-particle" : "", "parse-names" : false, "suffix" : "" }, { "dropping-particle" : "", "family" : "Coronado", "given" : "E. N. H.", "non-dropping-particle" : "", "parse-names" : false, "suffix" : "" }, { "dropping-particle" : "", "family" : "Killeen", "given" : "T. J.", "non-dropping-particle" : "", "parse-names" : false, "suffix" : "" }, { "dropping-particle" : "", "family" : "Mostacedo", "given" : "B.", "non-dropping-particle" : "", "parse-names" : false, "suffix" : "" }, { "dropping-particle" : "", "family" : "Vasquez", "given" : "R.", "non-dropping-particle" : "", "parse-names" : false, "suffix" : "" }, { "dropping-particle" : "", "family" : "Assis", "given" : "R. L.", "non-dropping-particle" : "", "parse-names" : false, "suffix" : "" }, { "dropping-particle" : "", "family" : "Terborgh", "given" : "J.", "non-dropping-particle" : "", "parse-names" : false, "suffix" : "" }, { "dropping-particle" : "", "family" : "Wittmann", "given" : "F.", "non-dropping-particle" : "", "parse-names" : false, "suffix" : "" }, { "dropping-particle" : "", "family" : "Andrade", "given" : "A.", "non-dropping-particle" : "", "parse-names" : false, "suffix" : "" }, { "dropping-particle" : "", "family" : "Laurance", "given" : "W. F.", "non-dropping-particle" : "", "parse-names" : false, "suffix" : "" }, { "dropping-particle" : "", "family" : "Laurance", "given" : "S. G. W.", "non-dropping-particle" : "", "parse-names" : false, "suffix" : "" }, { "dropping-particle" : "", "family" : "Marimon", "given" : "B. S.", "non-dropping-particle" : "", "parse-names" : false, "suffix" : "" }, { "dropping-particle" : "", "family" : "Marimon", "given" : "B.H.", "non-dropping-particle" : "", "parse-names" : false, "suffix" : "" }, { "dropping-particle" : "", "family" : "Guimaraes Vieira", "given" : "I. C.", "non-dropping-particle" : "", "parse-names" : false, "suffix" : "" }, { "dropping-particle" : "", "family" : "Amaral", "given" : "I. L.", "non-dropping-particle" : "", "parse-names" : false, "suffix" : "" }, { "dropping-particle" : "", "family" : "Brienen", "given" : "R.", "non-dropping-particle" : "", "parse-names" : false, "suffix" : "" }, { "dropping-particle" : "", "family" : "Castellanos", "given" : "H.", "non-dropping-particle" : "", "parse-names" : false, "suffix" : "" }, { "dropping-particle" : "", "family" : "Cardenas Lopez", "given" : "D.", "non-dropping-particle" : "", "parse-names" : false, "suffix" : "" }, { "dropping-particle" : "", "family" : "Duivenvoorden", "given" : "J. F.", "non-dropping-particle" : "", "parse-names" : false, "suffix" : "" }, { "dropping-particle" : "", "family" : "Mogollon", "given" : "H. F.", "non-dropping-particle" : "", "parse-names" : false, "suffix" : "" }, { "dropping-particle" : "", "family" : "Matos", "given" : "F. D. D. A.", "non-dropping-particle" : "", "parse-names" : false, "suffix" : "" }, { "dropping-particle" : "", "family" : "Davila", "given" : "N.", "non-dropping-particle" : "", "parse-names" : false, "suffix" : "" }, { "dropping-particle" : "", "family" : "Garcia-Villacorta", "given" : "R.", "non-dropping-particle" : "", "parse-names" : false, "suffix" : "" }, { "dropping-particle" : "", "family" : "Stevenson Diaz", "given" : "P. R.", "non-dropping-particle" : "", "parse-names" : false, "suffix" : "" }, { "dropping-particle" : "", "family" : "Costa", "given" : "F.", "non-dropping-particle" : "", "parse-names" : false, "suffix" : "" }, { "dropping-particle" : "", "family" : "Emilio", "given" : "T.", "non-dropping-particle" : "", "parse-names" : false, "suffix" : "" }, { "dropping-particle" : "", "family" : "Levis", "given" : "C.", "non-dropping-particle" : "", "parse-names" : false, "suffix" : "" }, { "dropping-particle" : "", "family" : "Schietti", "given" : "J.", "non-dropping-particle" : "", "parse-names" : false, "suffix" : "" }, { "dropping-particle" : "", "family" : "Souza", "given" : "P.", "non-dropping-particle" : "", "parse-names" : false, "suffix" : "" }, { "dropping-particle" : "", "family" : "Alonso", "given" : "A.", "non-dropping-particle" : "", "parse-names" : false, "suffix" : "" }, { "dropping-particle" : "", "family" : "Dallmeier", "given" : "F.", "non-dropping-particle" : "", "parse-names" : false, "suffix" : "" }, { "dropping-particle" : "", "family" : "Montoya", "given" : "A. J. D.", "non-dropping-particle" : "", "parse-names" : false, "suffix" : "" }, { "dropping-particle" : "", "family" : "Fernandez Piedade", "given" : "M. T.", "non-dropping-particle" : "", "parse-names" : false, "suffix" : "" }, { "dropping-particle" : "", "family" : "Araujo-Murakami", "given" : "A.", "non-dropping-particle" : "", "parse-names" : false, "suffix" : "" }, { "dropping-particle" : "", "family" : "Arroyo", "given" : "L.", "non-dropping-particle" : "", "parse-names" : false, "suffix" : "" }, { "dropping-particle" : "", "family" : "Gribel", "given" : "R.", "non-dropping-particle" : "", "parse-names" : false, "suffix" : "" }, { "dropping-particle" : "", "family" : "Fine", "given" : "P. V. A.", "non-dropping-particle" : "", "parse-names" : false, "suffix" : "" }, { "dropping-particle" : "", "family" : "Peres", "given" : "C. A.", "non-dropping-particle" : "", "parse-names" : false, "suffix" : "" }, { "dropping-particle" : "", "family" : "Toledo", "given" : "M.", "non-dropping-particle" : "", "parse-names" : false, "suffix" : "" }, { "dropping-particle" : "", "family" : "Aymard C.", "given" : "G. A.", "non-dropping-particle" : "", "parse-names" : false, "suffix" : "" }, { "dropping-particle" : "", "family" : "Baker", "given" : "T. R.", "non-dropping-particle" : "", "parse-names" : false, "suffix" : "" }, { "dropping-particle" : "", "family" : "Ceron", "given" : "C.", "non-dropping-particle" : "", "parse-names" : false, "suffix" : "" }, { "dropping-particle" : "", "family" : "Engel", "given" : "J.", "non-dropping-particle" : "", "parse-names" : false, "suffix" : "" }, { "dropping-particle" : "", "family" : "Henkel", "given" : "T. W.", "non-dropping-particle" : "", "parse-names" : false, "suffix" : "" }, { "dropping-particle" : "", "family" : "Maas", "given" : "P.", "non-dropping-particle" : "", "parse-names" : false, "suffix" : "" }, { "dropping-particle" : "", "family" : "Petronelli", "given" : "P.", "non-dropping-particle" : "", "parse-names" : false, "suffix" : "" }, { "dropping-particle" : "", "family" : "Stropp", "given" : "J.", "non-dropping-particle" : "", "parse-names" : false, "suffix" : "" }, { "dropping-particle" : "", "family" : "Zartman", "given" : "C. E.", "non-dropping-particle" : "", "parse-names" : false, "suffix" : "" }, { "dropping-particle" : "", "family" : "Daly", "given" : "D.", "non-dropping-particle" : "", "parse-names" : false, "suffix" : "" }, { "dropping-particle" : "", "family" : "Neill", "given" : "D.", "non-dropping-particle" : "", "parse-names" : false, "suffix" : "" }, { "dropping-particle" : "", "family" : "Silveira", "given" : "M.", "non-dropping-particle" : "", "parse-names" : false, "suffix" : "" }, { "dropping-particle" : "", "family" : "Paredes", "given" : "M. R.", "non-dropping-particle" : "", "parse-names" : false, "suffix" : "" }, { "dropping-particle" : "", "family" : "Chave", "given" : "J.", "non-dropping-particle" : "", "parse-names" : false, "suffix" : "" }, { "dropping-particle" : "", "family" : "Lima Filho", "given" : "D. D. A.", "non-dropping-particle" : "", "parse-names" : false, "suffix" : "" }, { "dropping-particle" : "", "family" : "Jorgensen", "given" : "P. M.", "non-dropping-particle" : "", "parse-names" : false, "suffix" : "" }, { "dropping-particle" : "", "family" : "Fuentes", "given" : "A.", "non-dropping-particle" : "", "parse-names" : false, "suffix" : "" }, { "dropping-particle" : "", "family" : "Schongart", "given" : "J.", "non-dropping-particle" : "", "parse-names" : false, "suffix" : "" }, { "dropping-particle" : "", "family" : "Cornejo Valverde", "given" : "F.", "non-dropping-particle" : "", "parse-names" : false, "suffix" : "" }, { "dropping-particle" : "", "family" : "Fiore", "given" : "A.", "non-dropping-particle" : "Di", "parse-names" : false, "suffix" : "" }, { "dropping-particle" : "", "family" : "Jimenez", "given" : "E. M.", "non-dropping-particle" : "", "parse-names" : false, "suffix" : "" }, { "dropping-particle" : "", "family" : "Penuela Mora", "given" : "M. C.", "non-dropping-particle" : "", "parse-names" : false, "suffix" : "" }, { "dropping-particle" : "", "family" : "Phillips", "given" : "J. F.", "non-dropping-particle" : "", "parse-names" : false, "suffix" : "" }, { "dropping-particle" : "", "family" : "Rivas", "given" : "G.", "non-dropping-particle" : "", "parse-names" : false, "suffix" : "" }, { "dropping-particle" : "", "family" : "Andel", "given" : "T. R.", "non-dropping-particle" : "van", "parse-names" : false, "suffix" : "" }, { "dropping-particle" : "", "family" : "Hildebrand", "given" : "P.", "non-dropping-particle" : "von", "parse-names" : false, "suffix" : "" }, { "dropping-particle" : "", "family" : "Hoffman", "given" : "B.", "non-dropping-particle" : "", "parse-names" : false, "suffix" : "" }, { "dropping-particle" : "", "family" : "Zent", "given" : "E. L.", "non-dropping-particle" : "", "parse-names" : false, "suffix" : "" }, { "dropping-particle" : "", "family" : "Malhi", "given" : "Y.", "non-dropping-particle" : "", "parse-names" : false, "suffix" : "" }, { "dropping-particle" : "", "family" : "Prieto", "given" : "A.", "non-dropping-particle" : "", "parse-names" : false, "suffix" : "" }, { "dropping-particle" : "", "family" : "Rudas", "given" : "A.", "non-dropping-particle" : "", "parse-names" : false, "suffix" : "" }, { "dropping-particle" : "", "family" : "Ruschell", "given" : "A. R.", "non-dropping-particle" : "", "parse-names" : false, "suffix" : "" }, { "dropping-particle" : "", "family" : "Silva", "given" : "N.", "non-dropping-particle" : "", "parse-names" : false, "suffix" : "" }, { "dropping-particle" : "", "family" : "Vos", "given" : "V.A.", "non-dropping-particle" : "", "parse-names" : false, "suffix" : "" }, { "dropping-particle" : "", "family" : "Zent", "given" : "S.", "non-dropping-particle" : "", "parse-names" : false, "suffix" : "" }, { "dropping-particle" : "", "family" : "Oliveira", "given" : "A. A.", "non-dropping-particle" : "", "parse-names" : false, "suffix" : "" }, { "dropping-particle" : "", "family" : "Schutz", "given" : "A. C.", "non-dropping-particle" : "", "parse-names" : false, "suffix" : "" }, { "dropping-particle" : "", "family" : "Gonzales", "given" : "T.", "non-dropping-particle" : "", "parse-names" : false, "suffix" : "" }, { "dropping-particle" : "", "family" : "Trindade Nascimento", "given" : "M.", "non-dropping-particle" : "", "parse-names" : false, "suffix" : "" }, { "dropping-particle" : "", "family" : "Ramirez-Angulo", "given" : "H.", "non-dropping-particle" : "", "parse-names" : false, "suffix" : "" }, { "dropping-particle" : "", "family" : "Sierra", "given" : "R.", "non-dropping-particle" : "", "parse-names" : false, "suffix" : "" }, { "dropping-particle" : "", "family" : "Tirado", "given" : "M.", "non-dropping-particle" : "", "parse-names" : false, "suffix" : "" }, { "dropping-particle" : "", "family" : "Umana Medina", "given" : "M. N.", "non-dropping-particle" : "", "parse-names" : false, "suffix" : "" }, { "dropping-particle" : "", "family" : "Heijden", "given" : "G.", "non-dropping-particle" : "van der", "parse-names" : false, "suffix" : "" }, { "dropping-particle" : "", "family" : "Vela", "given" : "C. I. A.", "non-dropping-particle" : "", "parse-names" : false, "suffix" : "" }, { "dropping-particle" : "", "family" : "Vilanova Torre", "given" : "E.", "non-dropping-particle" : "", "parse-names" : false, "suffix" : "" }, { "dropping-particle" : "", "family" : "Vriesendorp", "given" : "C.", "non-dropping-particle" : "", "parse-names" : false, "suffix" : "" }, { "dropping-particle" : "", "family" : "Wang", "given" : "O.", "non-dropping-particle" : "", "parse-names" : false, "suffix" : "" }, { "dropping-particle" : "", "family" : "Young", "given" : "K. R.", "non-dropping-particle" : "", "parse-names" : false, "suffix" : "" }, { "dropping-particle" : "", "family" : "Baider", "given" : "C.", "non-dropping-particle" : "", "parse-names" : false, "suffix" : "" }, { "dropping-particle" : "", "family" : "Balslev", "given" : "H.", "non-dropping-particle" : "", "parse-names" : false, "suffix" : "" }, { "dropping-particle" : "", "family" : "Ferreira", "given" : "C.", "non-dropping-particle" : "", "parse-names" : false, "suffix" : "" }, { "dropping-particle" : "", "family" : "Mesones", "given" : "I.", "non-dropping-particle" : "", "parse-names" : false, "suffix" : "" }, { "dropping-particle" : "", "family" : "Torres-Lezama", "given" : "A.", "non-dropping-particle" : "", "parse-names" : false, "suffix" : "" }, { "dropping-particle" : "", "family" : "Urrego Giraldo", "given" : "L. E.", "non-dropping-particle" : "", "parse-names" : false, "suffix" : "" }, { "dropping-particle" : "", "family" : "Zagt", "given" : "R.", "non-dropping-particle" : "", "parse-names" : false, "suffix" : "" }, { "dropping-particle" : "", "family" : "Alexiades", "given" : "M. N.", "non-dropping-particle" : "", "parse-names" : false, "suffix" : "" }, { "dropping-particle" : "", "family" : "Hernandez", "given" : "L.", "non-dropping-particle" : "", "parse-names" : false, "suffix" : "" }, { "dropping-particle" : "", "family" : "Huamantupa-Chuquimaco", "given" : "I.", "non-dropping-particle" : "", "parse-names" : false, "suffix" : "" }, { "dropping-particle" : "", "family" : "Milliken", "given" : "W.", "non-dropping-particle" : "", "parse-names" : false, "suffix" : "" }, { "dropping-particle" : "", "family" : "Palacios Cuenca", "given" : "W.", "non-dropping-particle" : "", "parse-names" : false, "suffix" : "" }, { "dropping-particle" : "", "family" : "Pauletto", "given" : "D.", "non-dropping-particle" : "", "parse-names" : false, "suffix" : "" }, { "dropping-particle" : "", "family" : "Valderrama Sandoval", "given" : "E.", "non-dropping-particle" : "", "parse-names" : false, "suffix" : "" }, { "dropping-particle" : "", "family" : "Valenzuela Gamarra", "given" : "L.", "non-dropping-particle" : "", "parse-names" : false, "suffix" : "" }, { "dropping-particle" : "", "family" : "Dexter", "given" : "K. G.", "non-dropping-particle" : "", "parse-names" : false, "suffix" : "" }, { "dropping-particle" : "", "family" : "Feeley", "given" : "K.", "non-dropping-particle" : "", "parse-names" : false, "suffix" : "" }, { "dropping-particle" : "", "family" : "Lopez-Gonzalez", "given" : "G.", "non-dropping-particle" : "", "parse-names" : false, "suffix" : "" }, { "dropping-particle" : "", "family" : "Silman", "given" : "M. R.", "non-dropping-particle" : "", "parse-names" : false, "suffix" : "" } ], "container-title" : "Science", "id" : "ITEM-1", "issue" : "6156", "issued" : { "date-parts" : [ [ "2013" ] ] }, "page" : "1243092", "title" : "Hyperdominance in the Amazonian tree flora", "type" : "article-journal", "volume" : "342" }, "uris" : [ "http://www.mendeley.com/documents/?uuid=56f562ac-fb5a-392a-bb3f-267d656adb7b" ] } ], "mendeley" : { "formattedCitation" : "(H. ter Steege et al., 2013)", "manualFormatting" : "(ter Steege et al., 2013,", "plainTextFormattedCitation" : "(H. ter Steege et al., 2013)", "previouslyFormattedCitation" : "(H. ter Steege et al., 2013)" }, "properties" : { "noteIndex" : 0 }, "schema" : "https://github.com/citation-style-language/schema/raw/master/csl-citation.json" }</w:instrText>
      </w:r>
      <w:r w:rsidRPr="008608AA">
        <w:fldChar w:fldCharType="separate"/>
      </w:r>
      <w:r w:rsidRPr="008608AA">
        <w:rPr>
          <w:noProof/>
        </w:rPr>
        <w:t>(ter Steege et al., 2013,</w:t>
      </w:r>
      <w:r w:rsidRPr="008608AA">
        <w:fldChar w:fldCharType="end"/>
      </w:r>
      <w:r w:rsidRPr="008608AA">
        <w:t xml:space="preserve"> </w:t>
      </w:r>
      <w:r w:rsidRPr="008608AA">
        <w:fldChar w:fldCharType="begin" w:fldLock="1"/>
      </w:r>
      <w:r w:rsidRPr="008608AA">
        <w:instrText>ADDIN CSL_CITATION { "citationItems" : [ { "id" : "ITEM-1", "itemData" : { "DOI" : "10.1038/srep29549", "ISSN" : "2045-2322", "PMID" : "27406027", "abstract" : "Amazonia is the most biodiverse rainforest on Earth, and the debate over how many tree species grow there remains contentious. Here we provide a checklist of all tree species collected to date, and describe spatial and temporal trends in data accumulation. We report 530,025 unique collections of trees in Amazonia, dating between 1707 and 2015, for a total of 11,676 species in 1225 genera and 140 families. These figures support recent estimates of 16,000 total Amazonian tree species based on ecological plot data from the Amazonian Tree Diversity Network. Botanical collection in Amazonia is characterized by three major peaks, centred around 1840, 1920, and 1980, which are associated with flora projects and the establishment of inventory plots. Most collections were made in the 20th century. The number of collections has increased exponentially, but shows a slowdown in the last two decades. We find that a species\u2019 range size is a better predictor of the number of times it has been collected than the species\u2019 estimated basin-wide population size. Finding, describing, and documenting the distribution of the remaining species will require coordinated efforts at under-collected sites", "author" : [ { "dropping-particle" : "", "family" : "Steege", "given" : "Hans", "non-dropping-particle" : "ter", "parse-names" : false, "suffix" : "" }, { "dropping-particle" : "", "family" : "Vaessen", "given" : "Rens W.", "non-dropping-particle" : "", "parse-names" : false, "suffix" : "" }, { "dropping-particle" : "", "family" : "C\u00e1rdenas-L\u00f3pez", "given" : "Dairon", "non-dropping-particle" : "", "parse-names" : false, "suffix" : "" }, { "dropping-particle" : "", "family" : "Sabatier", "given" : "Daniel", "non-dropping-particle" : "", "parse-names" : false, "suffix" : "" }, { "dropping-particle" : "", "family" : "Antonelli", "given" : "Alexandre", "non-dropping-particle" : "", "parse-names" : false, "suffix" : "" }, { "dropping-particle" : "", "family" : "Oliveira", "given" : "Sylvia Mota", "non-dropping-particle" : "de", "parse-names" : false, "suffix" : "" }, { "dropping-particle" : "", "family" : "Pitman", "given" : "Nigel C. A.", "non-dropping-particle" : "", "parse-names" : false, "suffix" : "" }, { "dropping-particle" : "", "family" : "J\u00f8rgensen", "given" : "Peter M\u00f8ller", "non-dropping-particle" : "", "parse-names" : false, "suffix" : "" }, { "dropping-particle" : "", "family" : "Salom\u00e3o", "given" : "Rafael P.", "non-dropping-particle" : "", "parse-names" : false, "suffix" : "" } ], "container-title" : "Scientific Reports", "id" : "ITEM-1", "issue" : "1", "issued" : { "date-parts" : [ [ "2016" ] ] }, "page" : "29549", "title" : "The discovery of the Amazonian tree flora with an updated checklist of all known tree taxa", "type" : "article-journal", "volume" : "6" }, "uris" : [ "http://www.mendeley.com/documents/?uuid=157ab2f8-d6e4-4797-900c-6ff79f292235" ] } ], "mendeley" : { "formattedCitation" : "(Hans ter Steege et al., 2016)", "manualFormatting" : "2016)", "plainTextFormattedCitation" : "(Hans ter Steege et al., 2016)", "previouslyFormattedCitation" : "(Hans ter Steege et al., 2016)" }, "properties" : { "noteIndex" : 0 }, "schema" : "https://github.com/citation-style-language/schema/raw/master/csl-citation.json" }</w:instrText>
      </w:r>
      <w:r w:rsidRPr="008608AA">
        <w:fldChar w:fldCharType="separate"/>
      </w:r>
      <w:r w:rsidRPr="008608AA">
        <w:rPr>
          <w:noProof/>
        </w:rPr>
        <w:t>2016)</w:t>
      </w:r>
      <w:r w:rsidRPr="008608AA">
        <w:fldChar w:fldCharType="end"/>
      </w:r>
      <w:r w:rsidRPr="008608AA">
        <w:t>. Also very rich,</w:t>
      </w:r>
      <w:r w:rsidRPr="008608AA">
        <w:rPr>
          <w:color w:val="FF0000"/>
        </w:rPr>
        <w:t xml:space="preserve"> </w:t>
      </w:r>
      <w:r w:rsidRPr="008608AA">
        <w:t xml:space="preserve">Atlantic coastal forest has high endemism </w:t>
      </w:r>
      <w:r w:rsidRPr="008608AA">
        <w:fldChar w:fldCharType="begin" w:fldLock="1"/>
      </w:r>
      <w:r w:rsidRPr="008608AA">
        <w:instrText>ADDIN CSL_CITATION { "citationItems" : [ { "id" : "ITEM-1", "itemData" : { "author" : [ { "dropping-particle" : "", "family" : "Kier", "given" : "G.", "non-dropping-particle" : "", "parse-names" : false, "suffix" : "" }, { "dropping-particle" : "", "family" : "Kreft", "given" : "H.", "non-dropping-particle" : "", "parse-names" : false, "suffix" : "" }, { "dropping-particle" : "", "family" : "Lee", "given" : "T. M.", "non-dropping-particle" : "", "parse-names" : false, "suffix" : "" }, { "dropping-particle" : "", "family" : "Jetz", "given" : "W.", "non-dropping-particle" : "", "parse-names" : false, "suffix" : "" }, { "dropping-particle" : "", "family" : "Ibisch", "given" : "P. L.", "non-dropping-particle" : "", "parse-names" : false, "suffix" : "" }, { "dropping-particle" : "", "family" : "Nowicki", "given" : "C.", "non-dropping-particle" : "", "parse-names" : false, "suffix" : "" }, { "dropping-particle" : "", "family" : "Mutke", "given" : "J.", "non-dropping-particle" : "", "parse-names" : false, "suffix" : "" }, { "dropping-particle" : "", "family" : "Barthlott", "given" : "W.", "non-dropping-particle" : "", "parse-names" : false, "suffix" : "" } ], "container-title" : "PNAS", "id" : "ITEM-1", "issue" : "23", "issued" : { "date-parts" : [ [ "2009" ] ] }, "page" : "9322-9327", "title" : "A global assessment of endemism and species richness across island and mainland regions", "type" : "article-journal", "volume" : "106" }, "uris" : [ "http://www.mendeley.com/documents/?uuid=b09b11d9-44f2-4878-ba2b-538f1ff58d71" ] }, { "id" : "ITEM-2", "itemData" : { "author" : [ { "dropping-particle" : "", "family" : "Mittermeier", "given" : "R A", "non-dropping-particle" : "", "parse-names" : false, "suffix" : "" }, { "dropping-particle" : "", "family" : "Gil", "given" : "P R", "non-dropping-particle" : "", "parse-names" : false, "suffix" : "" }, { "dropping-particle" : "", "family" : "Hoffmann", "given" : "M", "non-dropping-particle" : "", "parse-names" : false, "suffix" : "" }, { "dropping-particle" : "", "family" : "Pilgrim", "given" : "J", "non-dropping-particle" : "", "parse-names" : false, "suffix" : "" }, { "dropping-particle" : "", "family" : "Brooks", "given" : "T", "non-dropping-particle" : "", "parse-names" : false, "suffix" : "" }, { "dropping-particle" : "", "family" : "Mittermeier", "given" : "C G", "non-dropping-particle" : "", "parse-names" : false, "suffix" : "" }, { "dropping-particle" : "", "family" : "Lamoreux", "given" : "J", "non-dropping-particle" : "", "parse-names" : false, "suffix" : "" }, { "dropping-particle" : "", "family" : "Fonseca", "given" : "G A", "non-dropping-particle" : "", "parse-names" : false, "suffix" : "" } ], "container-title" : "CEMEX Books on Nature Series", "id" : "ITEM-2", "issued" : { "date-parts" : [ [ "2005" ] ] }, "publisher-place" : "Mexico City", "title" : "Hotspots Revisited: Earth\u2019s Biologically Richest and Most Endangered Terrestrial Ecoregions", "type" : "book" }, "uris" : [ "http://www.mendeley.com/documents/?uuid=d1d76359-dd2a-41bb-b945-ec9449256dca" ] }, { "id" : "ITEM-3", "itemData" : { "DOI" : "10.1016/j.biocon.2010.02.005", "ISBN" : "0006-3207", "ISSN" : "00063207", "PMID" : "21516884", "abstract" : "Recent global assessments have shown the limited coverage of protected areas across tropical biotas, fuelling a growing interest in the potential conservation services provided by anthropogenic landscapes. Here we examine the geographic distribution of biological diversity in the Atlantic Forest of South America, synthesize the most conspicuous forest biodiversity responses to human disturbances, propose further conservation initiatives for this biota, and offer a range of general insights into the prospects of forest species persistence in human-modified tropical forest landscapes worldwide. At the biome scale, the most extensive pre-Columbian habitats across the Atlantic Forest ranged across elevations below 800. masl, which still concentrate most areas within the major centers of species endemism. Unfortunately, up to 88% of the original forest habitat has been lost, mainly across these low to intermediate elevations, whereas protected areas are clearly skewed towards high elevations above 1200. masl. At the landscape scale, most remaining Atlantic Forest cover is embedded within dynamic agro-mosaics including elements such as small forest fragments, early-to-late secondary forest patches and exotic tree monocultures. In this sort of aging or long-term modified landscapes, habitat fragmentation appears to effectively drive edge-dominated portions of forest fragments towards an early-successional system, greatly limiting the long-term persistence of forest-obligate and forest-dependent species. However, the extent to which forest habitats approach early-successional systems, thereby threatening the bulk of the Atlantic Forest biodiversity, depends on both past and present landscape configuration. Many elements of human-modified landscapes (e.g. patches of early-secondary forests and tree monocultures) may offer excellent conservation opportunities, but they cannot replace the conservation value of protected areas and hitherto unprotected large patches of old-growth forests. Finally, the biodiversity conservation services provided by anthropogenic landscapes across Atlantic Forest and other tropical forest regions can be significantly augmented by coupling biodiversity corridor initiatives with biota-scale attempts to plug existing gaps in the representativeness of protected areas. ?? 2010 Elsevier Ltd.", "author" : [ { "dropping-particle" : "", "family" : "Tabarelli", "given" : "Marcelo", "non-dropping-particle" : "", "parse-names" : false, "suffix" : "" }, { "dropping-particle" : "", "family" : "Aguiar", "given" : "Antonio Venceslau", "non-dropping-particle" : "", "parse-names" : false, "suffix" : "" }, { "dropping-particle" : "", "family" : "Ribeiro", "given" : "Milton Cezar", "non-dropping-particle" : "", "parse-names" : false, "suffix" : "" }, { "dropping-particle" : "", "family" : "Metzger", "given" : "Jean Paul", "non-dropping-particle" : "", "parse-names" : false, "suffix" : "" }, { "dropping-particle" : "", "family" : "Peres", "given" : "Carlos A.", "non-dropping-particle" : "", "parse-names" : false, "suffix" : "" } ], "container-title" : "Biological Conservation", "id" : "ITEM-3", "issue" : "10", "issued" : { "date-parts" : [ [ "2010" ] ] }, "page" : "2328-2340", "publisher" : "Elsevier Ltd", "title" : "Prospects for biodiversity conservation in the Atlantic Forest: lessons from aging human-modified landscapes", "type" : "article-journal", "volume" : "143" }, "uris" : [ "http://www.mendeley.com/documents/?uuid=5eeb0925-ca5a-429e-89df-ce1c4d953897" ] } ], "mendeley" : { "formattedCitation" : "(Kier et al., 2009; Mittermeier et al., 2005; Tabarelli, Aguiar, Ribeiro, Metzger, &amp; Peres, 2010)", "manualFormatting" : "(Kier et al., 2009; Mittermeier et al., 2005; Tabarelli et al., 2010)", "plainTextFormattedCitation" : "(Kier et al., 2009; Mittermeier et al., 2005; Tabarelli, Aguiar, Ribeiro, Metzger, &amp; Peres, 2010)", "previouslyFormattedCitation" : "(Kier et al., 2009; Mittermeier et al., 2005; Tabarelli, Aguiar, Ribeiro, Metzger, &amp; Peres, 2010)" }, "properties" : { "noteIndex" : 0 }, "schema" : "https://github.com/citation-style-language/schema/raw/master/csl-citation.json" }</w:instrText>
      </w:r>
      <w:r w:rsidRPr="008608AA">
        <w:fldChar w:fldCharType="separate"/>
      </w:r>
      <w:r w:rsidRPr="008608AA">
        <w:rPr>
          <w:noProof/>
        </w:rPr>
        <w:t>(Kier et al., 2009; Mittermeier et al., 2005; Tabarelli et al., 2010)</w:t>
      </w:r>
      <w:r w:rsidRPr="008608AA">
        <w:fldChar w:fldCharType="end"/>
      </w:r>
      <w:r w:rsidRPr="008608AA">
        <w:t xml:space="preserve">. For example, 16–60% of birds, mammals, reptiles, and amphibians in Atlantic coastal forest are endemic </w:t>
      </w:r>
      <w:r w:rsidRPr="008608AA">
        <w:fldChar w:fldCharType="begin" w:fldLock="1"/>
      </w:r>
      <w:r w:rsidRPr="008608AA">
        <w:instrText>ADDIN CSL_CITATION { "citationItems" : [ { "id" : "ITEM-1", "itemData" : { "DOI" : "10.1016/j.biocon.2010.02.005", "ISBN" : "0006-3207", "ISSN" : "00063207", "PMID" : "21516884", "abstract" : "Recent global assessments have shown the limited coverage of protected areas across tropical biotas, fuelling a growing interest in the potential conservation services provided by anthropogenic landscapes. Here we examine the geographic distribution of biological diversity in the Atlantic Forest of South America, synthesize the most conspicuous forest biodiversity responses to human disturbances, propose further conservation initiatives for this biota, and offer a range of general insights into the prospects of forest species persistence in human-modified tropical forest landscapes worldwide. At the biome scale, the most extensive pre-Columbian habitats across the Atlantic Forest ranged across elevations below 800. masl, which still concentrate most areas within the major centers of species endemism. Unfortunately, up to 88% of the original forest habitat has been lost, mainly across these low to intermediate elevations, whereas protected areas are clearly skewed towards high elevations above 1200. masl. At the landscape scale, most remaining Atlantic Forest cover is embedded within dynamic agro-mosaics including elements such as small forest fragments, early-to-late secondary forest patches and exotic tree monocultures. In this sort of aging or long-term modified landscapes, habitat fragmentation appears to effectively drive edge-dominated portions of forest fragments towards an early-successional system, greatly limiting the long-term persistence of forest-obligate and forest-dependent species. However, the extent to which forest habitats approach early-successional systems, thereby threatening the bulk of the Atlantic Forest biodiversity, depends on both past and present landscape configuration. Many elements of human-modified landscapes (e.g. patches of early-secondary forests and tree monocultures) may offer excellent conservation opportunities, but they cannot replace the conservation value of protected areas and hitherto unprotected large patches of old-growth forests. Finally, the biodiversity conservation services provided by anthropogenic landscapes across Atlantic Forest and other tropical forest regions can be significantly augmented by coupling biodiversity corridor initiatives with biota-scale attempts to plug existing gaps in the representativeness of protected areas. ?? 2010 Elsevier Ltd.", "author" : [ { "dropping-particle" : "", "family" : "Tabarelli", "given" : "Marcelo", "non-dropping-particle" : "", "parse-names" : false, "suffix" : "" }, { "dropping-particle" : "", "family" : "Aguiar", "given" : "Antonio Venceslau", "non-dropping-particle" : "", "parse-names" : false, "suffix" : "" }, { "dropping-particle" : "", "family" : "Ribeiro", "given" : "Milton Cezar", "non-dropping-particle" : "", "parse-names" : false, "suffix" : "" }, { "dropping-particle" : "", "family" : "Metzger", "given" : "Jean Paul", "non-dropping-particle" : "", "parse-names" : false, "suffix" : "" }, { "dropping-particle" : "", "family" : "Peres", "given" : "Carlos A.", "non-dropping-particle" : "", "parse-names" : false, "suffix" : "" } ], "container-title" : "Biological Conservation", "id" : "ITEM-1", "issue" : "10", "issued" : { "date-parts" : [ [ "2010" ] ] }, "page" : "2328-2340", "publisher" : "Elsevier Ltd", "title" : "Prospects for biodiversity conservation in the Atlantic Forest: lessons from aging human-modified landscapes", "type" : "article-journal", "volume" : "143" }, "uris" : [ "http://www.mendeley.com/documents/?uuid=5eeb0925-ca5a-429e-89df-ce1c4d953897" ] }, { "id" : "ITEM-2", "itemData" : { "author" : [ { "dropping-particle" : "", "family" : "Mittermeier", "given" : "R A", "non-dropping-particle" : "", "parse-names" : false, "suffix" : "" }, { "dropping-particle" : "", "family" : "Gil", "given" : "P R", "non-dropping-particle" : "", "parse-names" : false, "suffix" : "" }, { "dropping-particle" : "", "family" : "Hoffmann", "given" : "M", "non-dropping-particle" : "", "parse-names" : false, "suffix" : "" }, { "dropping-particle" : "", "family" : "Pilgrim", "given" : "J", "non-dropping-particle" : "", "parse-names" : false, "suffix" : "" }, { "dropping-particle" : "", "family" : "Brooks", "given" : "T", "non-dropping-particle" : "", "parse-names" : false, "suffix" : "" }, { "dropping-particle" : "", "family" : "Mittermeier", "given" : "C G", "non-dropping-particle" : "", "parse-names" : false, "suffix" : "" }, { "dropping-particle" : "", "family" : "Lamoreux", "given" : "J", "non-dropping-particle" : "", "parse-names" : false, "suffix" : "" }, { "dropping-particle" : "", "family" : "Fonseca", "given" : "G A", "non-dropping-particle" : "", "parse-names" : false, "suffix" : "" } ], "container-title" : "CEMEX Books on Nature Series", "id" : "ITEM-2", "issued" : { "date-parts" : [ [ "2005" ] ] }, "publisher-place" : "Mexico City", "title" : "Hotspots Revisited: Earth\u2019s Biologically Richest and Most Endangered Terrestrial Ecoregions", "type" : "book" }, "uris" : [ "http://www.mendeley.com/documents/?uuid=d1d76359-dd2a-41bb-b945-ec9449256dca" ] } ], "mendeley" : { "formattedCitation" : "(Mittermeier et al., 2005; Tabarelli et al., 2010)", "manualFormatting" : "(Mittermeier et al., 2005; Tabarelli et al., 2010)", "plainTextFormattedCitation" : "(Mittermeier et al., 2005; Tabarelli et al., 2010)", "previouslyFormattedCitation" : "(Mittermeier et al., 2005; Tabarelli et al., 2010)" }, "properties" : { "noteIndex" : 0 }, "schema" : "https://github.com/citation-style-language/schema/raw/master/csl-citation.json" }</w:instrText>
      </w:r>
      <w:r w:rsidRPr="008608AA">
        <w:fldChar w:fldCharType="separate"/>
      </w:r>
      <w:r w:rsidRPr="008608AA">
        <w:rPr>
          <w:noProof/>
        </w:rPr>
        <w:t>(Mittermeier et al., 2005; Tabarelli et al., 2010)</w:t>
      </w:r>
      <w:r w:rsidRPr="008608AA">
        <w:fldChar w:fldCharType="end"/>
      </w:r>
      <w:r w:rsidRPr="008608AA">
        <w:t xml:space="preserve">. Andean tropical montane forest likewise has many range-restricted species </w:t>
      </w:r>
      <w:r w:rsidRPr="008608AA">
        <w:fldChar w:fldCharType="begin" w:fldLock="1"/>
      </w:r>
      <w:r w:rsidRPr="008608AA">
        <w:instrText>ADDIN CSL_CITATION { "citationItems" : [ { "id" : "ITEM-1", "itemData" : { "DOI" : "10.1093/icb/icj009", "ISBN" : "1540-7063 (Print)\\n1540-7063 (Linking)", "ISSN" : "1540-7063", "PMID" : "21672724", "abstract" : "Synopsis The process of diversification since the late Tertiary was studied by linking together well-resolved phylogenies and species distributions for tanagers (Aves, Thraupini). Species richness patterns reveal very high densities of range-restricted species in the Andes, and to a lesser extent in the Atlantic forests of south-eastern Brazil, and moderate densities of widespread species in the tropical lowlands. Contemporary climate explains well the variation in species richness for the 25% most widespread species; for the remaining 75% of species with more restricted distributions, variation can only be explained well from topography and landscape complexity. Phylogenetically old species are mainly found along the Andes and along the Rio coast of Brazil. Most other areas outside the Andes probably had very moderate rates of later diversification. In contrast, the humid tropical Andes region was a centre of intensive speciation throughout the evolutionary history of the group, and species richness patterns here seem largely to be driven by the rate of speciation, with further diversification from the highlands into adjacent lowlands. The diversification process in montane areas may be related to high persistence of lineages in specific areas, something that may be related to how climatic changes are moderated by local topography.", "author" : [ { "dropping-particle" : "", "family" : "Fjelds\u00e5", "given" : "J.", "non-dropping-particle" : "", "parse-names" : false, "suffix" : "" }, { "dropping-particle" : "", "family" : "Rahbek", "given" : "C.", "non-dropping-particle" : "", "parse-names" : false, "suffix" : "" } ], "container-title" : "Integrative and Comparative Biology", "id" : "ITEM-1", "issue" : "1", "issued" : { "date-parts" : [ [ "2006" ] ] }, "page" : "72-81", "title" : "Diversification of tanagers, a species rich bird group, from lowlands to montane regions of South America", "type" : "article-journal", "volume" : "46" }, "uris" : [ "http://www.mendeley.com/documents/?uuid=cd07d4b2-ea79-46f3-a74e-059f225a8a79" ] } ], "mendeley" : { "formattedCitation" : "(J. Fjelds\u00e5 &amp; Rahbek, 2006)", "manualFormatting" : "(Fjelds\u00e5 &amp; Rahbek, 2006)", "plainTextFormattedCitation" : "(J. Fjelds\u00e5 &amp; Rahbek, 2006)", "previouslyFormattedCitation" : "(J. Fjelds\u00e5 &amp; Rahbek, 2006)" }, "properties" : { "noteIndex" : 0 }, "schema" : "https://github.com/citation-style-language/schema/raw/master/csl-citation.json" }</w:instrText>
      </w:r>
      <w:r w:rsidRPr="008608AA">
        <w:fldChar w:fldCharType="separate"/>
      </w:r>
      <w:r w:rsidRPr="008608AA">
        <w:rPr>
          <w:noProof/>
        </w:rPr>
        <w:t>(Fjeldså &amp; Rahbek, 2006)</w:t>
      </w:r>
      <w:r w:rsidRPr="008608AA">
        <w:fldChar w:fldCharType="end"/>
      </w:r>
      <w:r w:rsidRPr="008608AA">
        <w:t xml:space="preserve">, high bird species diversity (Table 3.4), high species turnover along altitudinal gradients and high endemism. Epiphytes, which have high water storage, are especially abundant in Andean tropical montane forest </w:t>
      </w:r>
      <w:r w:rsidRPr="008608AA">
        <w:fldChar w:fldCharType="begin" w:fldLock="1"/>
      </w:r>
      <w:r w:rsidRPr="008608AA">
        <w:instrText>ADDIN CSL_CITATION { "citationItems" : [ { "id" : "ITEM-1", "itemData" : { "abstract" : "In the Montane Forest of El Rey National Park in Northwest Argentina, between 800 and 1700 m.a.s.l., epiphytism is conspicuos both in flora and structure, comprising at least 47 species of vascular epiphytes: 18 species of fern, 11 Bromeliaceae, 9 Orchidacea, 4 Piperaceae, 4 Cactaceae and 1 Begoniaceae. Percentage of trees with vascular epiphytes was 52% for the Basal Forest (900 m.a.s.l.) and more than 78% in the Myrtaceae Forest (1100 m.a.s.l.). These species are distributed in no less than ten biotopes in which the phorophytes may be divided, forming five ecological groups according to kind of substrate and light intensity. The stability of the substrate is an important factor for epiphyte distribution promoting a succession from the distal to the basal extremes of branches. This succession starts in a smooth and highly unstable substrate exposed to high watery stress and ends in a rough, rugose substrate where accumulation of water, nutrients and organic matter allow the settling of bigger epiphytes with longer life cycles.", "author" : [ { "dropping-particle" : "", "family" : "Brown", "given" : "A.D.", "non-dropping-particle" : "", "parse-names" : false, "suffix" : "" } ], "container-title" : "Revista de Biolog\u00eda Tropical", "id" : "ITEM-1", "issue" : "2A", "issued" : { "date-parts" : [ [ "1990" ] ] }, "page" : "155-166", "title" : "Epiphytism in the montane forests of El Rey National Park in Argentina: Floristic composition and distribution pattern", "type" : "article-journal", "volume" : "38" }, "uris" : [ "http://www.mendeley.com/documents/?uuid=5f5f12ea-e3b3-39b2-ae8d-d2b6b9e975e2" ] }, { "id" : "ITEM-2", "itemData" : { "DOI" : "10.1023/A:1013130902993", "ISBN" : "1011961725", "ISSN" : "09603115", "PMID" : "5327961", "abstract" : "Patterns of point, alpha, and betta diversity, and of an index of range size were studied for Acanthaceae, Araceae, Bromeliaceae, Melastomataceae, Palmae, and Pteridophyta in 204 vegetation plots of 400 m^2 along an elevational gradient in humid montane forest at 220\u20133950 m in central Bolivia. Zonal forest point-diversity (mean species number per plot) and !-diversity (extrapolated total species number) showed either hump-shaped curves or constant values from lowlands to mid-elevations, followed by a steep decline. These patterns correspond to the hypothesis of maximum diversity at intermediate levels of productivity, while for pteridophytes and epiphytic Bromeliaceae they also fitt a null-model of random distribution within bounded geographical ranges. The ratio of point to !-diversity was surprisingly constant across study groups and elevation with values of 0.2\u20130.4. Range size index (mean inverse range size of all species recorded at a given elevation) either increased with elevation, showed hump-shaped patterns, or remained roughly constant. Non-zonal habitats (ravines, ridge-tops, rock faces, roadsides, pastures) contributed significantly to overall species number for terrestrial herbs and shrubs of Bromeliaceae, Melastomataceae, and Pteridophyta, but not for Acanthaceae, Araceae, and epiphytic taxa. With few exceptions, endemism was most pronounced in zonal forests. These results imply that conservation measures should focus on zonal forests in a few large reserves at low and mid-elevations and in many smaller reserves at higher elevations.", "author" : [ { "dropping-particle" : "", "family" : "Kessler", "given" : "Michael", "non-dropping-particle" : "", "parse-names" : false, "suffix" : "" } ], "container-title" : "Biodiversity and Conservation", "id" : "ITEM-2", "issue" : "11", "issued" : { "date-parts" : [ [ "2001" ] ] }, "page" : "1897-1921", "title" : "Patterns of diversity and range size of selected plant groups along an elevational transect in the Bolivian Andes", "type" : "article-journal", "volume" : "10" }, "uris" : [ "http://www.mendeley.com/documents/?uuid=2034a985-2ad8-3bdd-b344-3104c0f54d86" ] }, { "id" : "ITEM-3", "itemData" : { "DOI" : "10.1111/j.1365-2699.2005.01318.x", "ISBN" : "0305-0270\\r1365-2699", "ISSN" : "03050270", "abstract" : "Aim To document the elevational pattern of epiphyte species richness at the local scale in the tropical Andes with a consistent methodology. Location The northern Bolivian Andes at 350\u20134000 m above sea level. Methods We surveyed epiphytic vascular plant assemblages in humid forests in (a) single trees located in (b) 90 subplots of 400 m2 each located in (c) 14 plots of 1 ha each. The plots were separated by 100\u2013800 m along the elevational gradient. Results We recorded about 800 epiphyte species in total, with up to 83 species found on a single tree. Species richness peaked at c. 1500 m and declined by c. 65% to 350 m and by c. 99% to 4000 m, while forests on mountain ridges had richness values lowered by c. 30% relative to slope forests at the same elevations. The hump-shaped richness pattern differed from a nullmodel of random species distribution within a bounded domain (the middomain effect) as well as from the pattern of mean annual precipitation by a shift of the diversity peak to lower elevations and by a more pronounced decline of species richness at higher elevations. With the exception of Araceae, which declined almost monotonically, all epiphyte taxa showed hump-shaped curves, albeit with slightly differing shapes. Orchids and pteridophytes were the most species-rich epiphytic taxa, but their relative contributions shifted with elevation from a predominance of orchids at low elevations to purely ferndominated epiphyte assemblages at 4000 m. Within the pteridophytes, the polygrammoid clade was conspicuously overrepresented in dry or cold environments. Orchids, various small groups (Cyclanthaceae, Ericaceae, Melastomataceae, etc.), and Bromeliaceae (below 1000 m) were mostly restricted to the forest canopy, while Araceae and Pteridophyta were well represented in the forest understorey. Main conclusions Our study confirms the hump-shaped elevational pattern of vascular epiphyte richness, but the causes of this are still poorly understood. We hypothesize that the decline of richness at high elevations is a result of low temperatures, but the mechanism involved is unknown. The taxon-specific patterns suggest that some taxa have a phylogenetically determined propensity for survival under extreme conditions (low temperatures, low humidity, and low light levels in the forest interior). The three spatial sampling scales show some different patterns, highlighting the influence of the sampling methodology.", "author" : [ { "dropping-particle" : "", "family" : "Kramer", "given" : "Thorsten", "non-dropping-particle" : "", "parse-names" : false, "suffix" : "" }, { "dropping-particle" : "", "family" : "Kessler", "given" : "Michael", "non-dropping-particle" : "", "parse-names" : false, "suffix" : "" }, { "dropping-particle" : "", "family" : "Gradstein", "given" : "S.R.", "non-dropping-particle" : "", "parse-names" : false, "suffix" : "" }, { "dropping-particle" : "", "family" : "Acebey", "given" : "Amparo", "non-dropping-particle" : "", "parse-names" : false, "suffix" : "" } ], "container-title" : "Journal of Biogeography", "id" : "ITEM-3", "issue" : "10", "issued" : { "date-parts" : [ [ "2005" ] ] }, "page" : "1799-1809", "title" : "Diversity patterns of vascular epiphytes along an elevational gradient in the Andes", "type" : "article-journal", "volume" : "32" }, "uris" : [ "http://www.mendeley.com/documents/?uuid=596e9413-1dd4-3338-bb91-765e7c1500bd" ] }, { "id" : "ITEM-4", "itemData" : { "DOI" : "10.1111/j.1365-2699.2004.01093.x", "ISBN" : "0305-0270", "ISSN" : "03050270", "abstract" : "Aim Epiphytes contribute up to 30% to the number of vascular plant species in certain global biodiversity hotspots, e.g. the Ecuadorian Andes. However, their large scale diversity patterns are still discussed on the base of results from a few, local epiphyte inventories. Consequently, explanatory models on epiphyte diversity concentrate on the impact of local climate on small scale epiphyte species richness. Our aim was to analyse large scale elevational patterns of epiphyte diversity integrating data from different geographic scales. Location Tropical America, with special emphasis on the Ecuadorian Andes. Methods Our study is based on two data sources. First, we analysed the elevational patterns of epiphyte diversity based on the Catalogue of the Vascular Plants of Ecuador and the Libro Rojo de las Plantas Endemicas del Ecuador. Secondly, the floristic turnover between the epiphyte inventories of seven montane and four lowland study sites in the Neotropics was analysed. Results The floristic turnover between Neotropical montane epiphyte floras is higher than the one between lowland epiphyte floras. Montane study sites located only a few kilometres apart from each other show considerable differences in their epiphyte species inventories. Irrespectively of their similar dispersal mode, the floristic turnover is much higher for orchids than for Pteridophyta. The Orchidaceae are the species richest group in all of the examined 11 Neotropical epiphyte floras. At the larger scale of the Ecuadorian Flora, c. 50% of the species in the elevational zone with maximum epiphyte diversity (between 1000 and 1500 m) are orchids. Elevational patterns of epiphyte diversity strongly reflect patterns of Orchidaceae. Main conclusions Our results support the observation of a 'mid-elevation bulge' of epiphyte diversity by Gentry and Dodson. It has been frequently shown that the high humidity in mid-elevations is suitable to maintan a high epiphyte species richness. Our findings show that in addition, large scale epiphyte diversity in montane rain forest is increased by the high floristic turnover at local and regional scale. Based on the importance of Orchidaceae for epiphyte diversity, we discuss that speciation processes corresponding to the highly diverse environment are a driving force for endemism, floristic heterogeneity and consequently for large scale epiphyte species richness in montane forests.", "author" : [ { "dropping-particle" : "", "family" : "K\u00fcper", "given" : "W.", "non-dropping-particle" : "", "parse-names" : false, "suffix" : "" }, { "dropping-particle" : "", "family" : "Kreft", "given" : "H.", "non-dropping-particle" : "", "parse-names" : false, "suffix" : "" }, { "dropping-particle" : "", "family" : "Nieder", "given" : "J.", "non-dropping-particle" : "", "parse-names" : false, "suffix" : "" }, { "dropping-particle" : "", "family" : "K\u00f6ster", "given" : "N.", "non-dropping-particle" : "", "parse-names" : false, "suffix" : "" }, { "dropping-particle" : "", "family" : "Barthlott", "given" : "W.", "non-dropping-particle" : "", "parse-names" : false, "suffix" : "" } ], "container-title" : "Journal of Biogeography", "id" : "ITEM-4", "issue" : "9", "issued" : { "date-parts" : [ [ "2004" ] ] }, "page" : "1477-1487", "title" : "Large-scale diversity patterns of vascular epiphytes in Neotropical montane rain forests", "type" : "article-journal", "volume" : "31" }, "uris" : [ "http://www.mendeley.com/documents/?uuid=7c3a640e-1a4d-350d-904b-3e17d042a6b5" ] }, { "id" : "ITEM-5", "itemData" : { "DOI" : "10.1111/j.1744-7429.2006.00124.x", "ISBN" : "0006-3606", "ISSN" : "00063606", "PMID" : "19", "abstract" : "We compared the diversity, taxonomic composition, and pollination syndromes of bromeliad assemblages and the diversity and abundance of hummingbirds along two climatically contrasting elevational gradients in Bolivia. Elevational patterns of bromeliad species richness differed noticeably between transects. Along the continuously wet Carrasco transect, species richness peaked at mid-elevations, whereas at Masicuri most species were found in the hot, semiarid lowlands. Bromeliad assemblages were dominated by large epiphytic tank bromeliads at Carrasco and by small epiphytic, atmospheric tillandsias at Masicuri. In contrast to the epiphytic taxa, terrestrial bromeliads showed similar distributions across both transects. At Carrasco, hummingbird-pollination was the most common pollination mode, whereas at Masicuri most species were entomophilous. The proportion of ornithophilous species increased with elevation on both transects, whereas entomophily showed the opposite pattern. At Carrasco, the percentage of ornithophilous bromeliad species was significantly correlated with hummingbird abundance but not with hummingbird species richness. Bat-pollination was linked to humid, tropical conditions in accordance with the high species richness of bats in tropical lowlands. At Carrasco, mixed hummingbird/bat-pollination was found especially at mid-elevations, i.e., on the transition between preferential bat-pollination in the lowlands and preferential hummingbird-pollination in the highlands. In conclusion, both richness patterns and pollination syndromes of bromeliad assemblages varied in distinct and readily interpretable ways in relation to environmental humidity and temperature, and bromeliad pollination syndromes appear to follow the elevational gradients exhibited by their pollinators.", "author" : [ { "dropping-particle" : "", "family" : "Kr\u00f6mer", "given" : "Thorsten", "non-dropping-particle" : "", "parse-names" : false, "suffix" : "" }, { "dropping-particle" : "", "family" : "Kessler", "given" : "Michael", "non-dropping-particle" : "", "parse-names" : false, "suffix" : "" }, { "dropping-particle" : "", "family" : "Herzog", "given" : "Sebastian K.", "non-dropping-particle" : "", "parse-names" : false, "suffix" : "" } ], "container-title" : "Biotropica", "id" : "ITEM-5", "issue" : "2", "issued" : { "date-parts" : [ [ "2006" ] ] }, "page" : "183-195", "title" : "Distribution and flowering ecology of bromeliads along two climatically contrasting elevational transects in the Bolivian Andes", "type" : "article-journal", "volume" : "38" }, "uris" : [ "http://www.mendeley.com/documents/?uuid=1bd8a1be-5be3-309e-9ac3-7c0c63ee0e26" ] }, { "id" : "ITEM-6", "itemData" : { "author" : [ { "dropping-particle" : "", "family" : "Roque", "given" : "J.", "non-dropping-particle" : "", "parse-names" : false, "suffix" : "" }, { "dropping-particle" : "", "family" : "Le\u00f3n", "given" : "B.", "non-dropping-particle" : "", "parse-names" : false, "suffix" : "" } ], "container-title" : "Revista Peruana de Biologia", "id" : "ITEM-6", "issue" : "2", "issued" : { "date-parts" : [ [ "2006" ] ] }, "page" : "759S-878S", "title" : "Endemic Orchidaceae of Peru", "type" : "article-journal", "volume" : "13" }, "uris" : [ "http://www.mendeley.com/documents/?uuid=0f932227-d9c3-423b-a044-75c37011a6d2" ] } ], "mendeley" : { "formattedCitation" : "(A. D. Brown, 1990; Kessler, 2001; Kramer, Kessler, Gradstein, &amp; Acebey, 2005; Kr\u00f6mer, Kessler, &amp; Herzog, 2006; K\u00fcper, Kreft, Nieder, K\u00f6ster, &amp; Barthlott, 2004; Roque &amp; Le\u00f3n, 2006)", "manualFormatting" : "(Brown, 1990; Kessler, 2001; Kramer et al., 2005; Kr\u00f6mer et al., 2006; K\u00fcper et al., 2004; Roque &amp; Le\u00f3n, 2006)", "plainTextFormattedCitation" : "(A. D. Brown, 1990; Kessler, 2001; Kramer, Kessler, Gradstein, &amp; Acebey, 2005; Kr\u00f6mer, Kessler, &amp; Herzog, 2006; K\u00fcper, Kreft, Nieder, K\u00f6ster, &amp; Barthlott, 2004; Roque &amp; Le\u00f3n, 2006)", "previouslyFormattedCitation" : "(A. D. Brown, 1990; Kessler, 2001; Kramer, Kessler, Gradstein, &amp; Acebey, 2005; Kr\u00f6mer, Kessler, &amp; Herzog, 2006; K\u00fcper, Kreft, Nieder, K\u00f6ster, &amp; Barthlott, 2004; Roque &amp; Le\u00f3n, 2006)" }, "properties" : { "noteIndex" : 0 }, "schema" : "https://github.com/citation-style-language/schema/raw/master/csl-citation.json" }</w:instrText>
      </w:r>
      <w:r w:rsidRPr="008608AA">
        <w:fldChar w:fldCharType="separate"/>
      </w:r>
      <w:r w:rsidRPr="008608AA">
        <w:rPr>
          <w:noProof/>
        </w:rPr>
        <w:t>(Brown, 1990; Kessler, 2001; Kramer et al., 2005; Krömer et al., 2006; Küper et al., 2004; Roque &amp; León, 2006)</w:t>
      </w:r>
      <w:r w:rsidRPr="008608AA">
        <w:fldChar w:fldCharType="end"/>
      </w:r>
      <w:r w:rsidRPr="008608AA">
        <w:t xml:space="preserve">, as they are in Atlantic coastal forest (2,256 species of hemi-epiphytes, the equivalent of 15% of all vascular plants in these forests) </w:t>
      </w:r>
      <w:r w:rsidRPr="008608AA">
        <w:rPr>
          <w:rFonts w:eastAsia="MS Gothic"/>
          <w:b/>
          <w:bCs/>
        </w:rPr>
        <w:fldChar w:fldCharType="begin" w:fldLock="1"/>
      </w:r>
      <w:r w:rsidRPr="008608AA">
        <w:rPr>
          <w:rFonts w:eastAsia="MS Gothic"/>
          <w:b/>
          <w:bCs/>
        </w:rPr>
        <w:instrText>ADDIN CSL_CITATION { "citationItems" : [ { "id" : "ITEM-1", "itemData" : { "DOI" : "10.3897/phytokeys.58.5643", "ISSN" : "1314-2003", "PMID" : "26884706", "abstract" : "\u00a9 Leandro Freitas et al. Knowledge of the geographic distribution of plants is essential to underpin the understanding of global biodiversity patterns. Vascular epiphytes are important components of diversity and functionality of Neotropical forests but, unlike their terrestrial counterparts, they are under-represented in large-scale diversity and biogeographic analyses. This is the case for the Atlantic Forest - one of the most diverse and threatened biomes worldwide. We provide the first comprehensive species list of Atlantic Forest vascular epiphytes; their endemism patterns and threatened species occurrence have also been analyzed. A list with 2,256 species of (hemi-)epiphytes - distributed in 240 genera and 33 families - is presented based on the updated Brazilian Flora Checklist. This represents more than 15% of the total vascular plant richness in the Atlantic Forest. Moreover, 256 species are included on the Brazilian Red List. More than 93% of the overall richness is concentrated in ten families, with 73% represented by Orchidaceae and Bromeliaceae species alone. A total of 78% of epiphytic species are endemic to the Atlantic Forest, in contrast to overall vascular plant endemism in this biome estimated at 57%. Among the non-endemics, 13% of epiphytic species also occur either in the Amazon or in the Cerrado - the other two largest biomes of Brazil - and only 8% are found in two or more Brazilian biomes. This pattern of endemism, in addition to available dated phylogenies of some genera, indicate the dominance of recent radiations of epiphytic groups in the Atlantic Forest, showing that the majority of divergences dating from the Pliocene onwards are similar to those that were recently reported for other Neotropical plants.", "author" : [ { "dropping-particle" : "", "family" : "Freitas", "given" : "Leandro", "non-dropping-particle" : "", "parse-names" : false, "suffix" : "" }, { "dropping-particle" : "", "family" : "Salino", "given" : "Alexandre", "non-dropping-particle" : "", "parse-names" : false, "suffix" : "" }, { "dropping-particle" : "", "family" : "Menini Neto", "given" : "Luiz", "non-dropping-particle" : "", "parse-names" : false, "suffix" : "" }, { "dropping-particle" : "", "family" : "Almeida", "given" : "Thais E.", "non-dropping-particle" : "", "parse-names" : false, "suffix" : "" }, { "dropping-particle" : "", "family" : "Mortara", "given" : "Sara R.", "non-dropping-particle" : "", "parse-names" : false, "suffix" : "" }, { "dropping-particle" : "", "family" : "Stehmann", "given" : "Joao R.", "non-dropping-particle" : "", "parse-names" : false, "suffix" : "" }, { "dropping-particle" : "", "family" : "Amorim", "given" : "Andr\u00e9 Marcio", "non-dropping-particle" : "", "parse-names" : false, "suffix" : "" }, { "dropping-particle" : "", "family" : "Guimaraes", "given" : "Elsie F.", "non-dropping-particle" : "", "parse-names" : false, "suffix" : "" }, { "dropping-particle" : "", "family" : "Coelho", "given" : "Marcus Nadruz", "non-dropping-particle" : "", "parse-names" : false, "suffix" : "" }, { "dropping-particle" : "", "family" : "Zanin", "given" : "Ana", "non-dropping-particle" : "", "parse-names" : false, "suffix" : "" }, { "dropping-particle" : "", "family" : "Forzza", "given" : "Rafaela C.", "non-dropping-particle" : "", "parse-names" : false, "suffix" : "" } ], "container-title" : "PhytoKeys", "id" : "ITEM-1", "issued" : { "date-parts" : [ [ "2016", "1", "12" ] ] }, "page" : "65-79", "title" : "A comprehensive checklist of vascular epiphytes of the Atlantic Forest reveals outstanding endemic rates", "type" : "article-journal", "volume" : "58" }, "uris" : [ "http://www.mendeley.com/documents/?uuid=cb99ab50-3c82-3e04-b654-1c4dcf5579fe" ] } ], "mendeley" : { "formattedCitation" : "(Freitas et al., 2016)", "plainTextFormattedCitation" : "(Freitas et al., 2016)", "previouslyFormattedCitation" : "(Freitas et al., 2016)" }, "properties" : { "noteIndex" : 0 }, "schema" : "https://github.com/citation-style-language/schema/raw/master/csl-citation.json" }</w:instrText>
      </w:r>
      <w:r w:rsidRPr="008608AA">
        <w:rPr>
          <w:rFonts w:eastAsia="MS Gothic"/>
          <w:b/>
          <w:bCs/>
        </w:rPr>
        <w:fldChar w:fldCharType="separate"/>
      </w:r>
      <w:r w:rsidRPr="008608AA">
        <w:rPr>
          <w:rFonts w:eastAsia="MS Gothic"/>
          <w:bCs/>
          <w:noProof/>
        </w:rPr>
        <w:t>(Freitas et al., 2016)</w:t>
      </w:r>
      <w:r w:rsidRPr="008608AA">
        <w:rPr>
          <w:rFonts w:eastAsia="MS Gothic"/>
          <w:b/>
          <w:bCs/>
        </w:rPr>
        <w:fldChar w:fldCharType="end"/>
      </w:r>
      <w:r w:rsidRPr="008608AA">
        <w:rPr>
          <w:rFonts w:eastAsia="MS Gothic"/>
          <w:b/>
          <w:bCs/>
        </w:rPr>
        <w:t>.</w:t>
      </w:r>
    </w:p>
    <w:p w14:paraId="3CF74866" w14:textId="01EEF02F" w:rsidR="004255E7" w:rsidRPr="008608AA" w:rsidRDefault="004255E7" w:rsidP="00FE65F2">
      <w:pPr>
        <w:spacing w:after="120"/>
      </w:pPr>
      <w:r w:rsidRPr="008608AA">
        <w:t xml:space="preserve">South American tropical and subtropical moist forests provide important biodiversity-linked NCP. Amazonian wet forest stores 10% of global carbon and places seven trillion tons of water per year into the atmosphere, contributing to the stabilization of local and global climate and nurturing agriculture </w:t>
      </w:r>
      <w:r w:rsidRPr="008608AA">
        <w:fldChar w:fldCharType="begin" w:fldLock="1"/>
      </w:r>
      <w:r w:rsidRPr="008608AA">
        <w:instrText>ADDIN CSL_CITATION { "citationItems" : [ { "id" : "ITEM-1", "itemData" : { "ISBN" : "978-2-940529-37-7", "editor" : [ { "dropping-particle" : "", "family" : "Charity", "given" : "S.", "non-dropping-particle" : "", "parse-names" : false, "suffix" : "" }, { "dropping-particle" : "", "family" : "Dudley", "given" : "N.", "non-dropping-particle" : "", "parse-names" : false, "suffix" : "" }, { "dropping-particle" : "", "family" : "Oliveira", "given" : "D.", "non-dropping-particle" : "", "parse-names" : false, "suffix" : "" }, { "dropping-particle" : "", "family" : "Stolton", "given" : "S.", "non-dropping-particle" : "", "parse-names" : false, "suffix" : "" } ], "id" : "ITEM-1", "issued" : { "date-parts" : [ [ "2016" ] ] }, "publisher" : "WWF Living Amazon Initiative", "publisher-place" : "Bras\u00edlia, Brazil and Quito, Ecuador", "title" : "Living Amazon Report 2016: A Regional Approach to Conservation in the Amazon", "type" : "book" }, "uris" : [ "http://www.mendeley.com/documents/?uuid=cc024ac3-df91-4454-a6b1-2df30626b009" ] } ], "mendeley" : { "formattedCitation" : "(Charity et al., 2016)", "manualFormatting" : "(Charity et al., 2016)", "plainTextFormattedCitation" : "(Charity et al., 2016)", "previouslyFormattedCitation" : "(Charity et al., 2016)" }, "properties" : { "noteIndex" : 0 }, "schema" : "https://github.com/citation-style-language/schema/raw/master/csl-citation.json" }</w:instrText>
      </w:r>
      <w:r w:rsidRPr="008608AA">
        <w:fldChar w:fldCharType="separate"/>
      </w:r>
      <w:r w:rsidRPr="008608AA">
        <w:rPr>
          <w:noProof/>
        </w:rPr>
        <w:t>(Charity et al., 2016)</w:t>
      </w:r>
      <w:r w:rsidRPr="008608AA">
        <w:fldChar w:fldCharType="end"/>
      </w:r>
      <w:r w:rsidRPr="008608AA">
        <w:t xml:space="preserve">. Although globally less relevant than Amazonian wet forest, mature Andean tropical montane forest has higher above-ground biomass than was originally thought </w:t>
      </w:r>
      <w:r w:rsidRPr="008608AA">
        <w:fldChar w:fldCharType="begin" w:fldLock="1"/>
      </w:r>
      <w:r w:rsidRPr="008608AA">
        <w:instrText>ADDIN CSL_CITATION { "citationItems" : [ { "id" : "ITEM-1", "itemData" : { "DOI" : "10.5194/bg-11-2741-2014", "ISBN" : "1810-6277", "ISSN" : "17264189", "abstract" : "Tropical montane forests (TMFs) are recognized for the provision of hydrological services and the protection of biodiversity, but their role in carbon storage is not well understood. We synthesized published observations (n=94) of above-ground biomass (AGB) from forest inventory plots in TMFs (defined here as forests between 23.5\u00b0 N and 23.5\u00b0 S with elevations \u22651000 m a.s.l.). We found that mean (median) AGB in TMFs is 271 (254) t per hectare of land surface. We demonstrate that AGB declines moderately with both elevation and slope angle but that TMFs store substantial amounts of biomass, both at high elevations (up to 3500 m) and on steep slopes (slope angles of up to 40\u00b0). We combined remotely sensed data sets of forest cover with high resolution data of elevation to show that 75% of the global planimetric (horizontal) area of TMF are on steep slopes (slope angles greater than 27\u00b0). We used our remote sensed data sets to demonstrate that this prevalence of steep slopes results in the global land surface area of TMF (1.22 million km2) being 40% greater than the planimetric area that is the usual basis for reporting global land surface areas and remotely sensed data. Our study suggests that TMFs are likely to be a greater store of carbon than previously thought, highlighting the need for conservation of the remaining montane forests. \u00a9 2014 Author(s).", "author" : [ { "dropping-particle" : "V.", "family" : "Spracklen", "given" : "D.", "non-dropping-particle" : "", "parse-names" : false, "suffix" : "" }, { "dropping-particle" : "", "family" : "Righelato", "given" : "R.", "non-dropping-particle" : "", "parse-names" : false, "suffix" : "" } ], "container-title" : "Biogeosciences", "id" : "ITEM-1", "issue" : "10", "issued" : { "date-parts" : [ [ "2014" ] ] }, "page" : "2741-2754", "title" : "Tropical montane forests are a larger than expected global carbon store", "type" : "article-journal", "volume" : "11" }, "uris" : [ "http://www.mendeley.com/documents/?uuid=23d32de1-2146-3282-bd6e-b3f6c25ca790" ] } ], "mendeley" : { "formattedCitation" : "(Spracklen &amp; Righelato, 2014)", "manualFormatting" : "(Spracklen &amp; Righelato, 2014)", "plainTextFormattedCitation" : "(Spracklen &amp; Righelato, 2014)", "previouslyFormattedCitation" : "(Spracklen &amp; Righelato, 2014)" }, "properties" : { "noteIndex" : 0 }, "schema" : "https://github.com/citation-style-language/schema/raw/master/csl-citation.json" }</w:instrText>
      </w:r>
      <w:r w:rsidRPr="008608AA">
        <w:fldChar w:fldCharType="separate"/>
      </w:r>
      <w:r w:rsidRPr="008608AA">
        <w:rPr>
          <w:noProof/>
        </w:rPr>
        <w:t>(Spracklen &amp; Righelato, 2014)</w:t>
      </w:r>
      <w:r w:rsidRPr="008608AA">
        <w:fldChar w:fldCharType="end"/>
      </w:r>
      <w:r w:rsidRPr="008608AA">
        <w:t xml:space="preserve">. Slope stability, critical in Andean countries, is higher in secondary Andean tropical montane forest than in forest land converted to pastures </w:t>
      </w:r>
      <w:r w:rsidRPr="008608AA">
        <w:fldChar w:fldCharType="begin" w:fldLock="1"/>
      </w:r>
      <w:r w:rsidRPr="008608AA">
        <w:instrText>ADDIN CSL_CITATION { "citationItems" : [ { "id" : "ITEM-1", "itemData" : { "DOI" : "10.1007/s12665-013-2352-9", "ISBN" : "2013104081", "ISSN" : "18666280", "abstract" : "Tropical mountain regions are prone to landslide hazards. Given the current land pressure with increasing occupation of steep uplands, landslide hazards are expected to increase in the near future. Understanding the factors that control landslide hazards is therefore essential. Rare event logistic regression allows us to perform a robust detection of landslide controlling factors. This technique is here applied to the tropical Andes to evaluate the impact of dynamic land cover changes on landslide occurrences. Land cover change trajectories (i.e. dynamic evolution of land cover through time) were specifically included in the probabilistic landslide analysis. While natural physical processes such as slope undercutting by rivers and failure of oversteepened slopes are important in this tropical mountainous site, landslides are increasingly associated with human activities. The data show that land cover trajectories are associated with landslide patterns. In this humid mountainous site, forest degradation does not lead to a measurable increase in landslide occurrence. However, few years after forests are converted to pastures, a rapid decline of slope stability is observed. Land cover conversion from forest to pasture permanently reduces slope stability. It is assumed that major changes in soil properties and hydrology induced by the vegetation conversion play a role in accelerating landslide hazards. \u00a9 2013 Springer-Verlag Berlin Heidelberg.", "author" : [ { "dropping-particle" : "", "family" : "Guns", "given" : "Marie", "non-dropping-particle" : "", "parse-names" : false, "suffix" : "" }, { "dropping-particle" : "", "family" : "Vanacker", "given" : "Veerle", "non-dropping-particle" : "", "parse-names" : false, "suffix" : "" } ], "container-title" : "Environmental Earth Sciences", "id" : "ITEM-1", "issue" : "7", "issued" : { "date-parts" : [ [ "2013" ] ] }, "page" : "2941-2952", "title" : "Forest cover change trajectories and their impact on landslide occurrence in the tropical Andes", "type" : "article-journal", "volume" : "70" }, "uris" : [ "http://www.mendeley.com/documents/?uuid=9bb15098-35dd-4599-9255-3ed9700310b8" ] } ], "mendeley" : { "formattedCitation" : "(Guns &amp; Vanacker, 2013)", "plainTextFormattedCitation" : "(Guns &amp; Vanacker, 2013)", "previouslyFormattedCitation" : "(Guns &amp; Vanacker, 2013)" }, "properties" : { "noteIndex" : 0 }, "schema" : "https://github.com/citation-style-language/schema/raw/master/csl-citation.json" }</w:instrText>
      </w:r>
      <w:r w:rsidRPr="008608AA">
        <w:fldChar w:fldCharType="separate"/>
      </w:r>
      <w:r w:rsidRPr="008608AA">
        <w:rPr>
          <w:noProof/>
        </w:rPr>
        <w:t>(Guns &amp; Vanacker, 2013)</w:t>
      </w:r>
      <w:r w:rsidRPr="008608AA">
        <w:fldChar w:fldCharType="end"/>
      </w:r>
      <w:r w:rsidRPr="008608AA">
        <w:t xml:space="preserve">. Pollination provided by wild bees and birds, and animal dispersal are additional biodiversity-linked ecosystem services provided by this biome (see Box </w:t>
      </w:r>
      <w:r w:rsidR="00F04D68" w:rsidRPr="008608AA">
        <w:t>3.</w:t>
      </w:r>
      <w:r w:rsidRPr="008608AA">
        <w:t xml:space="preserve">5). Currently, many orchids in Ecuador are grown commercially </w:t>
      </w:r>
      <w:r w:rsidRPr="008608AA">
        <w:fldChar w:fldCharType="begin" w:fldLock="1"/>
      </w:r>
      <w:r w:rsidRPr="008608AA">
        <w:instrText>ADDIN CSL_CITATION { "citationItems" : [ { "id" : "ITEM-1", "itemData" : { "URL" : "https://cites.org/sites/default/files/ndf_material/WG4-CS3-S.pdf", "author" : [ { "dropping-particle" : "", "family" : "Mites", "given" : "M.", "non-dropping-particle" : "", "parse-names" : false, "suffix" : "" } ], "id" : "ITEM-1", "issued" : { "date-parts" : [ [ "2008" ] ] }, "title" : "Criteria used to set export quotas for Appendix I and II orchid species from Ecuador. NDF Workshop WG 4 \u2013 Geophytes and epiphytes. Case study 3 summary", "type" : "webpage" }, "uris" : [ "http://www.mendeley.com/documents/?uuid=510282e8-cab7-4d32-a01b-ca3cffb1db31" ] } ], "mendeley" : { "formattedCitation" : "(Mites, 2008)", "plainTextFormattedCitation" : "(Mites, 2008)", "previouslyFormattedCitation" : "(Mites, 2008)" }, "properties" : { "noteIndex" : 0 }, "schema" : "https://github.com/citation-style-language/schema/raw/master/csl-citation.json" }</w:instrText>
      </w:r>
      <w:r w:rsidRPr="008608AA">
        <w:fldChar w:fldCharType="separate"/>
      </w:r>
      <w:r w:rsidRPr="008608AA">
        <w:rPr>
          <w:noProof/>
        </w:rPr>
        <w:t>(Mites, 2008)</w:t>
      </w:r>
      <w:r w:rsidRPr="008608AA">
        <w:fldChar w:fldCharType="end"/>
      </w:r>
      <w:r w:rsidRPr="008608AA">
        <w:t xml:space="preserve">, and orchid greenhouses are now a major tourist attraction. </w:t>
      </w:r>
    </w:p>
    <w:p w14:paraId="547AEA7F" w14:textId="70B7A2E6" w:rsidR="00FE65F2" w:rsidRPr="008608AA" w:rsidRDefault="004255E7" w:rsidP="00FE65F2">
      <w:pPr>
        <w:spacing w:after="120"/>
        <w:rPr>
          <w:rFonts w:eastAsiaTheme="minorEastAsia"/>
        </w:rPr>
      </w:pPr>
      <w:r w:rsidRPr="008608AA">
        <w:rPr>
          <w:rFonts w:eastAsiaTheme="minorEastAsia"/>
          <w:iCs/>
        </w:rPr>
        <w:t>Recent trends</w:t>
      </w:r>
      <w:r w:rsidR="00657833" w:rsidRPr="008608AA">
        <w:rPr>
          <w:rFonts w:eastAsiaTheme="minorEastAsia"/>
          <w:iCs/>
        </w:rPr>
        <w:t xml:space="preserve">. </w:t>
      </w:r>
      <w:r w:rsidRPr="008608AA">
        <w:rPr>
          <w:rFonts w:eastAsiaTheme="minorEastAsia"/>
        </w:rPr>
        <w:t>Deforestation rates in the Amazon decreased during the past decade but increased again as of 2015 (</w:t>
      </w:r>
      <w:r w:rsidRPr="008608AA">
        <w:rPr>
          <w:rFonts w:eastAsiaTheme="minorEastAsia"/>
        </w:rPr>
        <w:fldChar w:fldCharType="begin" w:fldLock="1"/>
      </w:r>
      <w:r w:rsidRPr="008608AA">
        <w:rPr>
          <w:rFonts w:eastAsiaTheme="minorEastAsia"/>
        </w:rPr>
        <w:instrText>ADDIN CSL_CITATION { "citationItems" : [ { "id" : "ITEM-1", "itemData" : { "ISBN" : "978-85-8226-028-9", "author" : [ { "dropping-particle" : "", "family" : "RAISG", "given" : "", "non-dropping-particle" : "", "parse-names" : false, "suffix" : "" } ], "id" : "ITEM-1", "issued" : { "date-parts" : [ [ "2015" ] ] }, "publisher" : "Instituto Socioambiental", "publisher-place" : "S\u00e3o Paulo", "title" : "Deforestaci\u00f3n en la Amazon\u00eda (1970-2013)", "type" : "report" }, "uris" : [ "http://www.mendeley.com/documents/?uuid=80b779ec-81ed-4e17-b4d2-51cf838f1eb5" ] } ], "mendeley" : { "formattedCitation" : "(RAISG, 2015)", "manualFormatting" : "RAISG, 2015)", "plainTextFormattedCitation" : "(RAISG, 2015)", "previouslyFormattedCitation" : "(RAISG, 2015)"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RAISG, 2015)</w:t>
      </w:r>
      <w:r w:rsidRPr="008608AA">
        <w:rPr>
          <w:rFonts w:eastAsiaTheme="minorEastAsia"/>
        </w:rPr>
        <w:fldChar w:fldCharType="end"/>
      </w:r>
      <w:r w:rsidRPr="008608AA">
        <w:rPr>
          <w:rFonts w:eastAsiaTheme="minorEastAsia"/>
        </w:rPr>
        <w:t xml:space="preserve">. Habitat loss in </w:t>
      </w:r>
      <w:r w:rsidRPr="008608AA">
        <w:t>Atlantic coastal forest</w:t>
      </w:r>
      <w:r w:rsidRPr="008608AA">
        <w:rPr>
          <w:rFonts w:eastAsiaTheme="minorEastAsia"/>
        </w:rPr>
        <w:t xml:space="preserve"> remains high in most regions, attaining annual rates of 0.5% for the whole biome </w:t>
      </w:r>
      <w:r w:rsidRPr="008608AA">
        <w:rPr>
          <w:rFonts w:eastAsiaTheme="minorEastAsia"/>
        </w:rPr>
        <w:fldChar w:fldCharType="begin" w:fldLock="1"/>
      </w:r>
      <w:r w:rsidRPr="008608AA">
        <w:rPr>
          <w:rFonts w:eastAsiaTheme="minorEastAsia"/>
        </w:rPr>
        <w:instrText>ADDIN CSL_CITATION { "citationItems" : [ { "id" : "ITEM-1", "itemData" : { "DOI" : "10.1016/j.foreco.2008.10.011", "ISBN" : "0378-1127", "ISSN" : "03781127", "PMID" : "18556551", "abstract" : "The dynamics of the Atlantic Rainforest loss and recovery are still not fully understood despite its long history of human occupation. In this study, we investigated changes in an Atlantic Rainforest region due to major biophysical and human proximate causes. First, we modeled land-cover and land-use changes from 1962 to 2000, including deforestation and forest regrowth, and thereby simulated future landscape trajectories to assess their possible effects on the conservation of forest species of the Ibi??na Plateau, a region located in Southeastern Brazil within the Atlantic Rainforest biome. We modeled four scenarios (status quo, random, law enforcement, and land-use intensification) and simulated their resulting landscape trajectories for the year 2019 using DINAMICA. The landscape dynamics in the study region were particularly intense. During the first period of 1962-1981, the rate of forest regrowth (3% year-1) was greater than the rate of deforestation (2% year-1), whereas in the latter period of 1981-2000, increasing urbanization and the spreading of rural establishments resulted in more deforestation (2.9% year-1) than regrowth (1% year-1). These dynamics imprinted a heterogeneous landscape, leading to the predominance of progressively younger secondary forests with increasingly less capacity of hosting sensitive forest species. The influence of proximate causes on the dynamics of deforestation and forest regrowth showed consistent patterns, such as higher forest regrowth rates near rivers, on steep slopes and far from dirt roads, whereas losses in young secondary vegetation and forest were far from rivers, on gentle slopes and near urban areas. Of the modeled scenarios, only the law enforcement scenario may lead to the recovery of a network of interconnected forest patches, suggesting that simply the enforcement of current forest laws, which prohibit deforestation on unsuitable agricultural areas and along river margins and establish a minimum of 20% of forest remnant per rural property, may effectively favor forest species conservation in the short term (two decades) without the need of any forest restoration effort. ?? 2008 Elsevier B.V. All rights reserved.", "author" : [ { "dropping-particle" : "", "family" : "Teixeira", "given" : "Ana Maria G.", "non-dropping-particle" : "", "parse-names" : false, "suffix" : "" }, { "dropping-particle" : "", "family" : "Soares-Filho", "given" : "Britaldo S.", "non-dropping-particle" : "", "parse-names" : false, "suffix" : "" }, { "dropping-particle" : "", "family" : "Freitas", "given" : "Simone R.", "non-dropping-particle" : "", "parse-names" : false, "suffix" : "" }, { "dropping-particle" : "", "family" : "Metzger", "given" : "Jean Paul", "non-dropping-particle" : "", "parse-names" : false, "suffix" : "" } ], "container-title" : "Forest Ecology and Management", "id" : "ITEM-1", "issue" : "4", "issued" : { "date-parts" : [ [ "2009" ] ] }, "page" : "1219-1230", "title" : "Modeling landscape dynamics in an Atlantic Rainforest region: implications for conservation", "type" : "article-journal", "volume" : "257" }, "uris" : [ "http://www.mendeley.com/documents/?uuid=cc12d260-7bb5-4ad2-9d88-d5f9002d2c28" ] } ], "mendeley" : { "formattedCitation" : "(Teixeira, Soares-Filho, Freitas, &amp; Metzger, 2009)", "manualFormatting" : "(Teixeira et al., 2009", "plainTextFormattedCitation" : "(Teixeira, Soares-Filho, Freitas, &amp; Metzger, 2009)", "previouslyFormattedCitation" : "(Teixeira, Soares-Filho, Freitas, &amp; Metzger, 2009)"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(Teixeira et al., 2009</w:t>
      </w:r>
      <w:r w:rsidRPr="008608AA">
        <w:rPr>
          <w:rFonts w:eastAsiaTheme="minorEastAsia"/>
        </w:rPr>
        <w:fldChar w:fldCharType="end"/>
      </w:r>
      <w:r w:rsidRPr="008608AA">
        <w:rPr>
          <w:rFonts w:eastAsiaTheme="minorEastAsia"/>
        </w:rPr>
        <w:t xml:space="preserve">, </w:t>
      </w:r>
      <w:r w:rsidRPr="008608AA">
        <w:rPr>
          <w:rFonts w:eastAsiaTheme="minorEastAsia"/>
          <w:bCs/>
        </w:rPr>
        <w:t>see</w:t>
      </w:r>
      <w:r w:rsidRPr="008608AA">
        <w:rPr>
          <w:rFonts w:eastAsiaTheme="minorEastAsia"/>
          <w:b/>
          <w:bCs/>
        </w:rPr>
        <w:t xml:space="preserve"> </w:t>
      </w:r>
      <w:r w:rsidRPr="008608AA">
        <w:rPr>
          <w:rFonts w:eastAsiaTheme="minorEastAsia"/>
          <w:bCs/>
        </w:rPr>
        <w:t>also</w:t>
      </w:r>
      <w:r w:rsidRPr="008608AA">
        <w:rPr>
          <w:rFonts w:eastAsiaTheme="minorEastAsia"/>
          <w:b/>
          <w:bCs/>
        </w:rPr>
        <w:t xml:space="preserve"> </w:t>
      </w:r>
      <w:r w:rsidRPr="008608AA">
        <w:rPr>
          <w:rFonts w:eastAsiaTheme="minorEastAsia"/>
          <w:bCs/>
        </w:rPr>
        <w:t>Chapter 4</w:t>
      </w:r>
      <w:r w:rsidRPr="008608AA">
        <w:rPr>
          <w:rFonts w:eastAsiaTheme="minorEastAsia"/>
        </w:rPr>
        <w:t xml:space="preserve">). Between 2000 and 2012, the net loss of </w:t>
      </w:r>
      <w:r w:rsidRPr="008608AA">
        <w:t xml:space="preserve">Atlantic coastal forest </w:t>
      </w:r>
      <w:r w:rsidRPr="008608AA">
        <w:rPr>
          <w:rFonts w:eastAsiaTheme="minorEastAsia"/>
        </w:rPr>
        <w:t xml:space="preserve">was proportionally lower than for other tropical woody biomes (Figure 3.19), but this is considered to be due mainly to the establishment of exotic tree plantations </w:t>
      </w:r>
      <w:r w:rsidRPr="008608AA">
        <w:fldChar w:fldCharType="begin" w:fldLock="1"/>
      </w:r>
      <w:r w:rsidRPr="008608AA">
        <w:instrText>ADDIN CSL_CITATION { "citationItems" : [ { "id" : "ITEM-1", "itemData" : { "DOI" : "10.1016/j.gloplacha.2015.02.009", "ISBN" : "09218181", "ISSN" : "09218181", "PMID" : "3666", "abstract" : "Land use and land cover change (LUCC) affects regional climate through modifications in the water balance and energy budget. These impacts are frequently expressed by: changes in the amount and frequency of precipitation and alteration of surface temperatures. In South America, most of the studies of the effects of LUCC on the local and regional climate have focused on the Amazon region (54 studies), whereas LUCC within non-Amazonian regions have been largely undermined regardless their potential importance in regulating the regional climate (19 studies). We estimated that 3.6millionkm2 of the original natural vegetation cover in non-Amazonian South America were converted into other types of land use, which is about 4 times greater than the historical Amazon deforestation. Moreover, there is evidence showing that LUCC within such fairly neglected ecosystems cause significant reductions in precipitation and increases in surface temperatures, with occasional impacts affecting neighboring or remote areas. We explore the implications of these findings in the context of water security, climatic extremes and future research priorities.", "author" : [ { "dropping-particle" : "", "family" : "Salazar", "given" : "Alvaro", "non-dropping-particle" : "", "parse-names" : false, "suffix" : "" }, { "dropping-particle" : "", "family" : "Baldi", "given" : "German", "non-dropping-particle" : "", "parse-names" : false, "suffix" : "" }, { "dropping-particle" : "", "family" : "Hirota", "given" : "Marina", "non-dropping-particle" : "", "parse-names" : false, "suffix" : "" }, { "dropping-particle" : "", "family" : "Syktus", "given" : "Jozef", "non-dropping-particle" : "", "parse-names" : false, "suffix" : "" }, { "dropping-particle" : "", "family" : "McAlpine", "given" : "Clive", "non-dropping-particle" : "", "parse-names" : false, "suffix" : "" } ], "container-title" : "Global and Planetary Change", "id" : "ITEM-1", "issued" : { "date-parts" : [ [ "2015" ] ] }, "page" : "103-119", "title" : "Land use and land cover change impacts on the regional climate of non-Amazonian South America: A review", "type" : "article-journal", "volume" : "128" }, "uris" : [ "http://www.mendeley.com/documents/?uuid=64b216cc-a67a-4618-aa4c-51e46195a20a" ] } ], "mendeley" : { "formattedCitation" : "(Salazar, Baldi, Hirota, Syktus, &amp; McAlpine, 2015)", "manualFormatting" : "(Salazar et al., 2015)", "plainTextFormattedCitation" : "(Salazar, Baldi, Hirota, Syktus, &amp; McAlpine, 2015)", "previouslyFormattedCitation" : "(Salazar, Baldi, Hirota, Syktus, &amp; McAlpine, 2015)" }, "properties" : { "noteIndex" : 0 }, "schema" : "https://github.com/citation-style-language/schema/raw/master/csl-citation.json" }</w:instrText>
      </w:r>
      <w:r w:rsidRPr="008608AA">
        <w:fldChar w:fldCharType="separate"/>
      </w:r>
      <w:r w:rsidRPr="008608AA">
        <w:rPr>
          <w:noProof/>
        </w:rPr>
        <w:t>(Salazar et al., 2015)</w:t>
      </w:r>
      <w:r w:rsidRPr="008608AA">
        <w:fldChar w:fldCharType="end"/>
      </w:r>
      <w:r w:rsidRPr="008608AA">
        <w:t xml:space="preserve">. </w:t>
      </w:r>
      <w:r w:rsidRPr="008608AA">
        <w:rPr>
          <w:rFonts w:eastAsiaTheme="minorEastAsia"/>
        </w:rPr>
        <w:t xml:space="preserve">Andean tropical montane forest was lost in all Andean countries between 2005 and 2010: between 1985 and 2000 Colombia lost close to one million ha of montane forest </w:t>
      </w:r>
      <w:r w:rsidRPr="008608AA">
        <w:rPr>
          <w:rFonts w:eastAsiaTheme="minorEastAsia"/>
        </w:rPr>
        <w:fldChar w:fldCharType="begin" w:fldLock="1"/>
      </w:r>
      <w:r w:rsidRPr="008608AA">
        <w:rPr>
          <w:rFonts w:eastAsiaTheme="minorEastAsia"/>
        </w:rPr>
        <w:instrText>ADDIN CSL_CITATION { "citationItems" : [ { "id" : "ITEM-1", "itemData" : { "DOI" : "10.7818/RE.2014.21-1-2.00", "ISBN" : "1697-2473", "ISSN" : "1697-2473", "abstract" : "Los Andes tropicales constituyen una regi\u00f3n \u00fanica con una alta diversidad de h\u00e1bitats, producto de complejos gradientes espaciales y ambientales. Los bosques montanos de esta regi\u00f3n son considerados como una prioridad global de conservaci\u00f3n, debido principalmente a su elevada riqueza biol\u00f3gica y de endemismos. Sin embargo su biodiversidad es de las menos conocidas de toda la regi\u00f3n tropical, aunque se reconoce la amplia gama de servicios ambientales que prestan, incluyendo la regulaci\u00f3n del clima regional y la captura y almacenamiento de carbono. Este art\u00edculo ofrece una perspectiva general del estado de conservaci\u00f3n de los bosques montanos tropicales andinos y de los retos que esta implica. Asimismo, proporciona informaci\u00f3n sobre sus amenazas, identificando aqu\u00e9llas que con mayor probabilidad sean responsables de aumentar el riesgo de extinci\u00f3n de especies. Se resalta la necesidad de disponer de m\u00e1s informaci\u00f3n sobre el estado de conservaci\u00f3n de las especies para identificar las futuras prioridades de conservaci\u00f3n en la regi\u00f3n. La reciente iniciativa de la \"Lista Roja y planeaci\u00f3n para la conservaci\u00f3n de especies de \u00e1rboles montanos de los Andes Tropicales\", formada por delegados de varios pa\u00edses de la regi\u00f3n, constituir\u00e1 una s\u00f3lida base para el desarrollo y enfoque de pol\u00edticas y respuestas de manejo dirigidas a la reducci\u00f3n de la deforestaci\u00f3n y p\u00e9rdida de especies en estos bosques, incluyendo acciones para promover la creaci\u00f3n de \u00e1reas protegidas, restauraci\u00f3n forestal y manejo forestal sostenible", "author" : [ { "dropping-particle" : "", "family" : "Tejedor-Garavito", "given" : "N.", "non-dropping-particle" : "", "parse-names" : false, "suffix" : "" }, { "dropping-particle" : "", "family" : "\u00c1lvarez", "given" : "E.", "non-dropping-particle" : "", "parse-names" : false, "suffix" : "" }, { "dropping-particle" : "", "family" : "Caro", "given" : "S. Arango", "non-dropping-particle" : "", "parse-names" : false, "suffix" : "" }, { "dropping-particle" : "", "family" : "Murakami", "given" : "A. Araujo", "non-dropping-particle" : "", "parse-names" : false, "suffix" : "" }, { "dropping-particle" : "", "family" : "Blundo", "given" : "C.", "non-dropping-particle" : "", "parse-names" : false, "suffix" : "" }, { "dropping-particle" : "", "family" : "Espinoza", "given" : "T. E. Boza", "non-dropping-particle" : "", "parse-names" : false, "suffix" : "" }, { "dropping-particle" : "", "family" : "Cuadros", "given" : "La Torre M.A.", "non-dropping-particle" : "", "parse-names" : false, "suffix" : "" }, { "dropping-particle" : "", "family" : "Gaviria", "given" : "J.", "non-dropping-particle" : "", "parse-names" : false, "suffix" : "" }, { "dropping-particle" : "", "family" : "Guti\u00e9rrez", "given" : "N.", "non-dropping-particle" : "", "parse-names" : false, "suffix" : "" }, { "dropping-particle" : "", "family" : "Jorgensen", "given" : "P. M.", "non-dropping-particle" : "", "parse-names" : false, "suffix" : "" }, { "dropping-particle" : "", "family" : "Le\u00f3n", "given" : "B.", "non-dropping-particle" : "", "parse-names" : false, "suffix" : "" }, { "dropping-particle" : "", "family" : "L\u00f3pez Camacho", "given" : "R.", "non-dropping-particle" : "", "parse-names" : false, "suffix" : "" }, { "dropping-particle" : "", "family" : "Malizia", "given" : "L.", "non-dropping-particle" : "", "parse-names" : false, "suffix" : "" }, { "dropping-particle" : "", "family" : "Timan\u00e1 de la Flor", "given" : "M.", "non-dropping-particle" : "", "parse-names" : false, "suffix" : "" }, { "dropping-particle" : "", "family" : "Ulloa Ulloa", "given" : "C.", "non-dropping-particle" : "", "parse-names" : false, "suffix" : "" }, { "dropping-particle" : "", "family" : "Cruz", "given" : "Vacas O.", "non-dropping-particle" : "", "parse-names" : false, "suffix" : "" }, { "dropping-particle" : "", "family" : "Newton", "given" : "A.C.", "non-dropping-particle" : "", "parse-names" : false, "suffix" : "" } ], "container-title" : "Ecosistemas", "id" : "ITEM-1", "issue" : "1-2", "issued" : { "date-parts" : [ [ "2012", "6", "14" ] ] }, "page" : "148-166", "title" : "Evaluaci\u00f3n del estado de conservaci\u00f3n de los bosques montanos en los Andes tropicales", "type" : "chapter", "volume" : "21" }, "uris" : [ "http://www.mendeley.com/documents/?uuid=3e78571f-b6c0-3d61-b5c7-7c109c3b919e" ] } ], "mendeley" : { "formattedCitation" : "(Tejedor-Garavito et al., 2012)", "manualFormatting" : "(Tejedor-Garavito et al., 2012)", "plainTextFormattedCitation" : "(Tejedor-Garavito et al., 2012)", "previouslyFormattedCitation" : "(Tejedor-Garavito et al., 2012)"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(Tejedor</w:t>
      </w:r>
      <w:r w:rsidR="00AD36E8" w:rsidRPr="008608AA">
        <w:rPr>
          <w:rFonts w:eastAsiaTheme="minorEastAsia"/>
          <w:noProof/>
        </w:rPr>
        <w:t xml:space="preserve"> </w:t>
      </w:r>
      <w:r w:rsidRPr="008608AA">
        <w:rPr>
          <w:rFonts w:eastAsiaTheme="minorEastAsia"/>
          <w:noProof/>
        </w:rPr>
        <w:t>Garavito et al., 2012)</w:t>
      </w:r>
      <w:r w:rsidRPr="008608AA">
        <w:rPr>
          <w:rFonts w:eastAsiaTheme="minorEastAsia"/>
        </w:rPr>
        <w:fldChar w:fldCharType="end"/>
      </w:r>
      <w:r w:rsidRPr="008608AA">
        <w:rPr>
          <w:rFonts w:eastAsiaTheme="minorEastAsia"/>
        </w:rPr>
        <w:t>.</w:t>
      </w:r>
    </w:p>
    <w:p w14:paraId="0A82DE6F" w14:textId="0B4C45A6" w:rsidR="00FE65F2" w:rsidRPr="008608AA" w:rsidRDefault="00FF0580" w:rsidP="003E65F0">
      <w:pPr>
        <w:rPr>
          <w:rFonts w:eastAsiaTheme="minorEastAsia"/>
        </w:rPr>
      </w:pPr>
      <w:r w:rsidRPr="008608AA">
        <w:rPr>
          <w:rFonts w:eastAsiaTheme="minorEastAsia"/>
          <w:noProof/>
          <w:lang w:val="en-GB" w:eastAsia="en-GB"/>
        </w:rPr>
        <w:drawing>
          <wp:inline distT="0" distB="0" distL="0" distR="0" wp14:anchorId="7FE3EE93" wp14:editId="57A6F7A7">
            <wp:extent cx="5934075" cy="3209925"/>
            <wp:effectExtent l="0" t="0" r="9525" b="9525"/>
            <wp:docPr id="30320" name="Imagen 30320" descr="C:\Users\Alejandro Valderrama\Downloads\Fig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1" descr="C:\Users\Alejandro Valderrama\Downloads\Fig3.16.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b="62472"/>
                    <a:stretch/>
                  </pic:blipFill>
                  <pic:spPr bwMode="auto">
                    <a:xfrm>
                      <a:off x="0" y="0"/>
                      <a:ext cx="5934075" cy="3209925"/>
                    </a:xfrm>
                    <a:prstGeom prst="rect">
                      <a:avLst/>
                    </a:prstGeom>
                    <a:noFill/>
                    <a:ln>
                      <a:noFill/>
                    </a:ln>
                    <a:extLst>
                      <a:ext uri="{53640926-AAD7-44D8-BBD7-CCE9431645EC}">
                        <a14:shadowObscured xmlns:a14="http://schemas.microsoft.com/office/drawing/2010/main"/>
                      </a:ext>
                    </a:extLst>
                  </pic:spPr>
                </pic:pic>
              </a:graphicData>
            </a:graphic>
          </wp:inline>
        </w:drawing>
      </w:r>
    </w:p>
    <w:p w14:paraId="4C677646" w14:textId="77777777" w:rsidR="00843724" w:rsidRDefault="00843724" w:rsidP="00843724">
      <w:pPr>
        <w:pStyle w:val="NormalWeb"/>
        <w:rPr>
          <w:lang w:val="en-US" w:eastAsia="en-US"/>
        </w:rPr>
      </w:pPr>
    </w:p>
    <w:p w14:paraId="0B0BA31C" w14:textId="24D64D7D" w:rsidR="004255E7" w:rsidRPr="008608AA" w:rsidRDefault="004255E7" w:rsidP="00843724">
      <w:pPr>
        <w:pStyle w:val="NormalWeb"/>
        <w:rPr>
          <w:lang w:val="en-US"/>
        </w:rPr>
      </w:pPr>
      <w:r w:rsidRPr="008608AA">
        <w:rPr>
          <w:lang w:val="en-US" w:eastAsia="en-US"/>
        </w:rPr>
        <w:t xml:space="preserve">Deforestation has impacted tree species in Andean tropical montane forest, judging by the 235 species classified as globally threatened according to the </w:t>
      </w:r>
      <w:r w:rsidR="007472D0" w:rsidRPr="008608AA">
        <w:rPr>
          <w:lang w:val="en-US" w:eastAsia="en-US"/>
        </w:rPr>
        <w:t>International Union for Conservation of Nature (</w:t>
      </w:r>
      <w:r w:rsidRPr="008608AA">
        <w:rPr>
          <w:lang w:val="en-US" w:eastAsia="en-US"/>
        </w:rPr>
        <w:t>IUCN</w:t>
      </w:r>
      <w:r w:rsidR="007472D0" w:rsidRPr="008608AA">
        <w:rPr>
          <w:lang w:val="en-US" w:eastAsia="en-US"/>
        </w:rPr>
        <w:t>)</w:t>
      </w:r>
      <w:r w:rsidRPr="008608AA">
        <w:rPr>
          <w:lang w:val="en-US" w:eastAsia="en-US"/>
        </w:rPr>
        <w:t xml:space="preserve"> Red List of Categories and Criteria </w:t>
      </w:r>
      <w:r w:rsidRPr="008608AA">
        <w:rPr>
          <w:lang w:val="en-US" w:eastAsia="en-US"/>
        </w:rPr>
        <w:fldChar w:fldCharType="begin" w:fldLock="1"/>
      </w:r>
      <w:r w:rsidRPr="008608AA">
        <w:rPr>
          <w:lang w:val="en-US" w:eastAsia="en-US"/>
        </w:rPr>
        <w:instrText>ADDIN CSL_CITATION { "citationItems" : [ { "id" : "ITEM-1", "itemData" : { "ISBN" : "9781905164608", "author" : [ { "dropping-particle" : "", "family" : "Tejedor Garavito", "given" : "N", "non-dropping-particle" : "", "parse-names" : false, "suffix" : "" }, { "dropping-particle" : "", "family" : "D\u00e1vila", "given" : "\u00c1lvarez E.", "non-dropping-particle" : "", "parse-names" : false, "suffix" : "" }, { "dropping-particle" : "", "family" : "Caro", "given" : "Arango S.", "non-dropping-particle" : "", "parse-names" : false, "suffix" : "" }, { "dropping-particle" : "", "family" : "Murakami", "given" : "Araujo A.", "non-dropping-particle" : "", "parse-names" : false, "suffix" : "" }, { "dropping-particle" : "", "family" : "Balde\u00f3n", "given" : "A.", "non-dropping-particle" : "", "parse-names" : false, "suffix" : "" }, { "dropping-particle" : "", "family" : "Beltr\u00e1n", "given" : "H", "non-dropping-particle" : "", "parse-names" : false, "suffix" : "" }, { "dropping-particle" : "", "family" : "Blundo", "given" : "C", "non-dropping-particle" : "", "parse-names" : false, "suffix" : "" }, { "dropping-particle" : "", "family" : "Espinoza", "given" : "Boza T.E.", "non-dropping-particle" : "", "parse-names" : false, "suffix" : "" }, { "dropping-particle" : "", "family" : "Claros", "given" : "Fuentes A.", "non-dropping-particle" : "", "parse-names" : false, "suffix" : "" }, { "dropping-particle" : "", "family" : "Gaviria", "given" : "J", "non-dropping-particle" : "", "parse-names" : false, "suffix" : "" }, { "dropping-particle" : "", "family" : "Guti\u00e9rrez", "given" : "N", "non-dropping-particle" : "", "parse-names" : false, "suffix" : "" }, { "dropping-particle" : "", "family" : "Khela", "given" : "S", "non-dropping-particle" : "", "parse-names" : false, "suffix" : "" }, { "dropping-particle" : "", "family" : "Le\u00f3n", "given" : "B", "non-dropping-particle" : "", "parse-names" : false, "suffix" : "" }, { "dropping-particle" : "", "family" : "Cuadros", "given" : "La Torre M.A.", "non-dropping-particle" : "", "parse-names" : false, "suffix" : "" }, { "dropping-particle" : "", "family" : "Camacho", "given" : "L\u00f3pez R.", "non-dropping-particle" : "", "parse-names" : false, "suffix" : "" }, { "dropping-particle" : "", "family" : "Malizia", "given" : "L", "non-dropping-particle" : "", "parse-names" : false, "suffix" : "" }, { "dropping-particle" : "", "family" : "Mill\u00e1n", "given" : "B", "non-dropping-particle" : "", "parse-names" : false, "suffix" : "" }, { "dropping-particle" : "", "family" : "Moraes", "given" : "R M.", "non-dropping-particle" : "", "parse-names" : false, "suffix" : "" }, { "dropping-particle" : "", "family" : "Newton", "given" : "Ac", "non-dropping-particle" : "", "parse-names" : false, "suffix" : "" }, { "dropping-particle" : "", "family" : "Pacheco", "given" : "S", "non-dropping-particle" : "", "parse-names" : false, "suffix" : "" }, { "dropping-particle" : "", "family" : "Reynel", "given" : "C", "non-dropping-particle" : "", "parse-names" : false, "suffix" : "" }, { "dropping-particle" : "", "family" : "Ulloa", "given" : "C.", "non-dropping-particle" : "", "parse-names" : false, "suffix" : "" }, { "dropping-particle" : "", "family" : "Cruz", "given" : "Vacas O.", "non-dropping-particle" : "", "parse-names" : false, "suffix" : "" } ], "id" : "ITEM-1", "issued" : { "date-parts" : [ [ "2014" ] ] }, "number-of-pages" : "1-56", "publisher" : "Botanic Gardens Conservation International", "publisher-place" : "Richmond, UK", "title" : "A Regional Red List of Montane Tree Species of the Tropical Andes: Trees at the top of the world", "type" : "book" }, "uris" : [ "http://www.mendeley.com/documents/?uuid=399f2da3-18bb-35b1-9f27-d1be502c6967" ] } ], "mendeley" : { "formattedCitation" : "(Tejedor Garavito et al., 2014)", "plainTextFormattedCitation" : "(Tejedor Garavito et al., 2014)", "previouslyFormattedCitation" : "(Tejedor Garavito et al., 2014)" }, "properties" : { "noteIndex" : 0 }, "schema" : "https://github.com/citation-style-language/schema/raw/master/csl-citation.json" }</w:instrText>
      </w:r>
      <w:r w:rsidRPr="008608AA">
        <w:rPr>
          <w:lang w:val="en-US" w:eastAsia="en-US"/>
        </w:rPr>
        <w:fldChar w:fldCharType="separate"/>
      </w:r>
      <w:r w:rsidRPr="008608AA">
        <w:rPr>
          <w:noProof/>
          <w:lang w:val="en-US" w:eastAsia="en-US"/>
        </w:rPr>
        <w:t>(Tejedor Garavito et al., 2014)</w:t>
      </w:r>
      <w:r w:rsidRPr="008608AA">
        <w:rPr>
          <w:lang w:val="en-US" w:eastAsia="en-US"/>
        </w:rPr>
        <w:fldChar w:fldCharType="end"/>
      </w:r>
      <w:r w:rsidRPr="008608AA">
        <w:rPr>
          <w:lang w:val="en-US" w:eastAsia="en-US"/>
        </w:rPr>
        <w:t>.</w:t>
      </w:r>
      <w:r w:rsidRPr="008608AA">
        <w:rPr>
          <w:lang w:val="en-US"/>
        </w:rPr>
        <w:t xml:space="preserve"> </w:t>
      </w:r>
      <w:r w:rsidRPr="008608AA">
        <w:rPr>
          <w:lang w:val="en-US" w:eastAsia="en-US"/>
        </w:rPr>
        <w:t xml:space="preserve">Upon taking recent deforestation into account, some Andean species representing different taxonomic groups in the IUCN lists were judged as requiring updating in terms of </w:t>
      </w:r>
      <w:r w:rsidRPr="00360ADC">
        <w:rPr>
          <w:lang w:val="en-US"/>
        </w:rPr>
        <w:t>extinction</w:t>
      </w:r>
      <w:r w:rsidRPr="008608AA">
        <w:rPr>
          <w:lang w:val="en-US" w:eastAsia="en-US"/>
        </w:rPr>
        <w:t xml:space="preserve"> risk </w:t>
      </w:r>
      <w:r w:rsidRPr="008608AA">
        <w:rPr>
          <w:lang w:val="en-US" w:eastAsia="en-US"/>
        </w:rPr>
        <w:fldChar w:fldCharType="begin" w:fldLock="1"/>
      </w:r>
      <w:r w:rsidRPr="008608AA">
        <w:rPr>
          <w:lang w:val="en-US" w:eastAsia="en-US"/>
        </w:rPr>
        <w:instrText>ADDIN CSL_CITATION { "citationItems" : [ { "id" : "ITEM-1", "itemData" : { "DOI" : "10.1111/cobi.12715", "ISBN" : "08888892", "ISSN" : "15231739", "PMID" : "26991445", "abstract" : "Conservation actions need to be prioritised, often taking into account species' extinction risk. The International Union for Conservation of Nature (IUCN) Red List provides an accepted objective framework for the assessment of extinction risk, but field data to apply the IUCN Red List criteria are often limited. Information collected through remote sensing can inform these assessments, and forests are perhaps the best-studied habitat type for use in this approach. Using an open-access 30 m resolution map of tree cover and its change between 2000 and 2012, the extent of forest cover and loss within the distributions of 11,186 forest-dependent amphibians, birds and mammals worldwide was assessed. Sixteen species have experienced sufficiently high rates of forest loss to be considered at elevated extinction risk under Red List criterion A, owing to inferred rapid population declines. This number would increase to 23 if data deficient species (i.e., those with insufficient information previously to apply the Red List criteria) were included. Some 484 species (855 if data deficient species are included) may be considered at elevated extinction risk under Red List criterion B2, owing to restricted areas of occupancy resulting from little forest cover remaining within their ranges. This would increase the proportion of species of conservation concern by 32.8% for amphibians, 15.1% for birds and 24.7% for mammals. Central America, the Northern Andes, Madagascar, the Eastern Arc forests in Africa and the islands of South-East Asia are hotspots for these species. The analyses illustrate the utility of satellite imagery for global extinction risk assessment and measurement of progress towards international environmental agreement targets. We highlight areas for which subsequent analyses could be performed on satellite image data in order to improve our knowledge of extinction risk of species. This article is protected by copyright. All rights reserved.", "author" : [ { "dropping-particle" : "", "family" : "Tracewski", "given" : "\u0141ukasz", "non-dropping-particle" : "", "parse-names" : false, "suffix" : "" }, { "dropping-particle" : "", "family" : "Butchart", "given" : "Stuart H.M.", "non-dropping-particle" : "", "parse-names" : false, "suffix" : "" }, { "dropping-particle" : "", "family" : "Marco", "given" : "Moreno", "non-dropping-particle" : "Di", "parse-names" : false, "suffix" : "" }, { "dropping-particle" : "", "family" : "Ficetola", "given" : "Gentile F.", "non-dropping-particle" : "", "parse-names" : false, "suffix" : "" }, { "dropping-particle" : "", "family" : "Rondinini", "given" : "Carlo", "non-dropping-particle" : "", "parse-names" : false, "suffix" : "" }, { "dropping-particle" : "", "family" : "Symes", "given" : "Andy", "non-dropping-particle" : "", "parse-names" : false, "suffix" : "" }, { "dropping-particle" : "", "family" : "Wheatley", "given" : "Hannah.", "non-dropping-particle" : "", "parse-names" : false, "suffix" : "" }, { "dropping-particle" : "", "family" : "Beresford", "given" : "Alison E.", "non-dropping-particle" : "", "parse-names" : false, "suffix" : "" }, { "dropping-particle" : "", "family" : "Buchanan", "given" : "Graeme M.", "non-dropping-particle" : "", "parse-names" : false, "suffix" : "" } ], "container-title" : "Conservation Biology", "id" : "ITEM-1", "issue" : "5", "issued" : { "date-parts" : [ [ "2016" ] ] }, "page" : "1070-1079", "title" : "Toward quantification of the impact of 21st-century deforestation on the extinction risk of terrestrial vertebrates", "type" : "article-journal", "volume" : "30" }, "uris" : [ "http://www.mendeley.com/documents/?uuid=13310e15-8ed1-39dc-80d0-a3ca751d82a4" ] } ], "mendeley" : { "formattedCitation" : "(Tracewski et al., 2016)", "plainTextFormattedCitation" : "(Tracewski et al., 2016)", "previouslyFormattedCitation" : "(Tracewski et al., 2016)" }, "properties" : { "noteIndex" : 0 }, "schema" : "https://github.com/citation-style-language/schema/raw/master/csl-citation.json" }</w:instrText>
      </w:r>
      <w:r w:rsidRPr="008608AA">
        <w:rPr>
          <w:lang w:val="en-US" w:eastAsia="en-US"/>
        </w:rPr>
        <w:fldChar w:fldCharType="separate"/>
      </w:r>
      <w:r w:rsidRPr="008608AA">
        <w:rPr>
          <w:noProof/>
          <w:lang w:val="en-US" w:eastAsia="en-US"/>
        </w:rPr>
        <w:t>(Tracewski et al., 2016)</w:t>
      </w:r>
      <w:r w:rsidRPr="008608AA">
        <w:rPr>
          <w:lang w:val="en-US" w:eastAsia="en-US"/>
        </w:rPr>
        <w:fldChar w:fldCharType="end"/>
      </w:r>
      <w:r w:rsidRPr="008608AA">
        <w:rPr>
          <w:lang w:val="en-US" w:eastAsia="en-US"/>
        </w:rPr>
        <w:t xml:space="preserve">, suggesting heightened impacts. Reductions in habitat and biodiversity in Andean tropical montane forest are in part due to down-burning fires set in páramo and puna </w:t>
      </w:r>
      <w:r w:rsidRPr="008608AA">
        <w:rPr>
          <w:lang w:val="en-US" w:eastAsia="en-US"/>
        </w:rPr>
        <w:fldChar w:fldCharType="begin" w:fldLock="1"/>
      </w:r>
      <w:r w:rsidRPr="008608AA">
        <w:rPr>
          <w:lang w:val="en-US" w:eastAsia="en-US"/>
        </w:rPr>
        <w:instrText>ADDIN CSL_CITATION { "citationItems" : [ { "id" : "ITEM-1", "itemData" : { "DOI" : "10.1016/j.foreco.2011.02.025", "ISBN" : "0378-1127", "ISSN" : "03781127", "abstract" : "Fire in tropical montane cloud forests (TMCFs) is not as rare as once believed. Andean TMCFs sit immediately below highly flammable, high-altitude grasslands (Puna/P\u00e1ramo) that suffer from recurrent anthropogenic fire. This treeline is a zone of climatic tension where substantial future warming is likely to force upward tree migrations, while increased fire presence and fire impacts are likely to force it downwards. TMCFs contain large carbon stocks in their peat soils and their loss through fire is a currently unaccounted for regional source of CO2. This study, conducted in the southern Peruvian Andes (&gt;2800m), documents differences in live tree biomass, fine root biomass, fallen and standing dead wood, and soil organic carbon in 4 paired-sample plots (burned versus control) following the severe ground fires that occurred during the 2005 Andean drought. Peat soils contributed the most to biomass burning emissions, with lower values corresponding to an 89% mean stock difference compared to the controls (mean\u00b1SE) (54.1\u00b122.3 vs. 5.8\u00b15.3MgCha-1). Contrastingly, carbon stocks from live standing trees differed by a non-significant 37% lower value in the burned plots compared to the controls, largely compensated by vigorous resprouting (45.5\u00b117.4 vs. 69.2\u00b113.4MgCha-1). Both standing dead trees and fallen dead wood were significantly higher in the burned plots with a three-fold difference from the controls: dead Trees 45.2\u00b19.4 vs. 16.4\u00b14.4MgCha-1, and ca. a 2 fold difference for the fallen dead wood: 11.2\u00b15 vs. 6.7\u00b13.2MgCha-1 for the burned plots versus their controls. A preliminary estimate of the regional contribution of biomass burning emissions from Andean TMCFs for the period 2000-2008, resulted in mean carbon emission rates of 1.3TgCyr-1 (max-min: 1.8-0.8TgCyr-1). This value is in the same order of magnitude than South American annual fire emissions (300TgCyr-1) suggesting the need for further research on Andean forest fires. On-going projects on the region are working on the promotion of landowner participation in TMCFs conservation through REDD+ mechanism. The heart of the proposed initiative is reforestation of degraded lands with green fire breaks enriched with economically valuable Andean plant species. The cultivation of these species may contribute to reduce deforestation pressure on the Amazonian cloud forest by providing an alternative income to local communities, at the same time that they prevent the spread of fire into Manu National Park and \u2026", "author" : [ { "dropping-particle" : "", "family" : "Rom\u00e1n-Cuesta", "given" : "R. M.", "non-dropping-particle" : "", "parse-names" : false, "suffix" : "" }, { "dropping-particle" : "", "family" : "Salinas", "given" : "N.", "non-dropping-particle" : "", "parse-names" : false, "suffix" : "" }, { "dropping-particle" : "", "family" : "Asbjornsen", "given" : "H.", "non-dropping-particle" : "", "parse-names" : false, "suffix" : "" }, { "dropping-particle" : "", "family" : "Oliveras", "given" : "I.", "non-dropping-particle" : "", "parse-names" : false, "suffix" : "" }, { "dropping-particle" : "", "family" : "Huaman", "given" : "V.", "non-dropping-particle" : "", "parse-names" : false, "suffix" : "" }, { "dropping-particle" : "", "family" : "Guti\u00e9rrez", "given" : "Y.", "non-dropping-particle" : "", "parse-names" : false, "suffix" : "" }, { "dropping-particle" : "", "family" : "Puelles", "given" : "L.", "non-dropping-particle" : "", "parse-names" : false, "suffix" : "" }, { "dropping-particle" : "", "family" : "Kala", "given" : "J.", "non-dropping-particle" : "", "parse-names" : false, "suffix" : "" }, { "dropping-particle" : "", "family" : "Yabar", "given" : "D.", "non-dropping-particle" : "", "parse-names" : false, "suffix" : "" }, { "dropping-particle" : "", "family" : "Rojas", "given" : "M.", "non-dropping-particle" : "", "parse-names" : false, "suffix" : "" }, { "dropping-particle" : "", "family" : "Astete", "given" : "R.", "non-dropping-particle" : "", "parse-names" : false, "suffix" : "" }, { "dropping-particle" : "", "family" : "Jord\u00e1n", "given" : "D. Y.", "non-dropping-particle" : "", "parse-names" : false, "suffix" : "" }, { "dropping-particle" : "", "family" : "Silman", "given" : "M.", "non-dropping-particle" : "", "parse-names" : false, "suffix" : "" }, { "dropping-particle" : "", "family" : "Mosandl", "given" : "R.", "non-dropping-particle" : "", "parse-names" : false, "suffix" : "" }, { "dropping-particle" : "", "family" : "Weber", "given" : "M.", "non-dropping-particle" : "", "parse-names" : false, "suffix" : "" }, { "dropping-particle" : "", "family" : "Stimm", "given" : "B.", "non-dropping-particle" : "", "parse-names" : false, "suffix" : "" }, { "dropping-particle" : "", "family" : "G\u00fcnter", "given" : "S.", "non-dropping-particle" : "", "parse-names" : false, "suffix" : "" }, { "dropping-particle" : "", "family" : "Knoke", "given" : "T.", "non-dropping-particle" : "", "parse-names" : false, "suffix" : "" }, { "dropping-particle" : "", "family" : "Malhi", "given" : "Y.", "non-dropping-particle" : "", "parse-names" : false, "suffix" : "" } ], "container-title" : "Forest Ecology and Management", "id" : "ITEM-1", "issue" : "11", "issued" : { "date-parts" : [ [ "2011" ] ] }, "page" : "1987-1997", "title" : "Implications of fires on carbon budgets in Andean cloud montane forest: the importance of peat soils and tree resprouting", "type" : "article-journal", "volume" : "261" }, "uris" : [ "http://www.mendeley.com/documents/?uuid=e649b713-97e8-396e-ac96-14672a464063" ] } ], "mendeley" : { "formattedCitation" : "(Rom\u00e1n-Cuesta et al., 2011)", "manualFormatting" : "(e.g., Rom\u00e1n-Cuesta et al., 2011)", "plainTextFormattedCitation" : "(Rom\u00e1n-Cuesta et al., 2011)", "previouslyFormattedCitation" : "(Rom\u00e1n-Cuesta et al., 2011)" }, "properties" : { "noteIndex" : 0 }, "schema" : "https://github.com/citation-style-language/schema/raw/master/csl-citation.json" }</w:instrText>
      </w:r>
      <w:r w:rsidRPr="008608AA">
        <w:rPr>
          <w:lang w:val="en-US" w:eastAsia="en-US"/>
        </w:rPr>
        <w:fldChar w:fldCharType="separate"/>
      </w:r>
      <w:r w:rsidR="007F651A" w:rsidRPr="008608AA">
        <w:rPr>
          <w:noProof/>
          <w:lang w:val="en-US" w:eastAsia="en-US"/>
        </w:rPr>
        <w:t>(e.g.</w:t>
      </w:r>
      <w:r w:rsidRPr="008608AA">
        <w:rPr>
          <w:noProof/>
          <w:lang w:val="en-US" w:eastAsia="en-US"/>
        </w:rPr>
        <w:t xml:space="preserve"> Román-Cuesta et al., 2011)</w:t>
      </w:r>
      <w:r w:rsidRPr="008608AA">
        <w:rPr>
          <w:lang w:val="en-US" w:eastAsia="en-US"/>
        </w:rPr>
        <w:fldChar w:fldCharType="end"/>
      </w:r>
      <w:r w:rsidRPr="008608AA">
        <w:rPr>
          <w:lang w:val="en-US" w:eastAsia="en-US"/>
        </w:rPr>
        <w:t xml:space="preserve">. Ongoing deforestation is affecting range sizes </w:t>
      </w:r>
      <w:r w:rsidRPr="008608AA">
        <w:rPr>
          <w:lang w:val="en-US" w:eastAsia="en-US"/>
        </w:rPr>
        <w:fldChar w:fldCharType="begin" w:fldLock="1"/>
      </w:r>
      <w:r w:rsidRPr="008608AA">
        <w:rPr>
          <w:lang w:val="en-US" w:eastAsia="en-US"/>
        </w:rPr>
        <w:instrText>ADDIN CSL_CITATION { "citationItems" : [ { "id" : "ITEM-1", "itemData" : { "DOI" : "10.2192/1537-6176(2005)016[0222:DPHAFT]2.0.CO;2", "ISBN" : "1537-6176", "ISSN" : "1537-6176", "PMID" : "13075", "abstract" : "Abstract: We sought to identify priority areas for the conservation of Andean bear (Tremarctos ornatus) habitat in the northern portion of the eastern Andean cordillera in Ecuador. The study area included pa\u00b4ramo and montane forest habitats within the Antisana and Cayambe-Coca ecological reserves, and unprotected areas north of these reserves with elevations ranging from 1,800 to 4,300 m. We collected data on bear occurrence along 53 transects during 2000\u201301 in the Oyacachi River basin, an area of indigenous communities within the Cayambe-Coca Ecological Reserve. We used those data and a set of 7 environmental variables to predict suitability of Andean bear habitat using Mahalanobis distance, a multivariate measure of dissimilarity. The Mahalanobis distance values were classified into 5 classes of habitat suitability and generalized to a resolution of 1,650-m 3 1,650-m grid cells. Clusters of grid cells with high suitability values were delineated from the generalized model and defined as important habitat areas (IHAs) for conservation. The IHAs were ranked using a weighted index that included factors of elevation range, influence from disturbed areas, and current conservation status. We identified 12 IHAs, which were mainly associated with pa\u00b4ramo and cloud forest habitats; 2 of these areas have high conservation priorities because they are outside existing reserves and close to areas of human pressure. The distribution of the IHAs highlighted the role of human land use as the main source of fragmentation of Andean bear habitat in this region, emphasizing the importance of preserving habitat connectivity to allow the seasonal movements among habitat types that we documented for this species. Furthermore, the existence of areas with high habitat suitability close to areas of intense human use indicates the importance of bear\u2013human conflict management as a critical Andean bear conservation strategy. We suggest that a promising conservation opportunity for this species is linked to its occurrence in highland habitats, which play a key role in the maintenance of long-term water supplies. Key words: Andean bear, Andes Mountains, conservation planning, Ecuador, geographical information system, GIS, habitat suitability, Mahalanobis distance, Tremarctos ornatus", "author" : [ { "dropping-particle" : "", "family" : "Peralvo", "given" : "Manuel F.", "non-dropping-particle" : "", "parse-names" : false, "suffix" : "" }, { "dropping-particle" : "", "family" : "Cuesta", "given" : "Francisco", "non-dropping-particle" : "", "parse-names" : false, "suffix" : "" }, { "dropping-particle" : "", "family" : "Manen", "given" : "Frank", "non-dropping-particle" : "van", "parse-names" : false, "suffix" : "" } ], "container-title" : "Ursus", "id" : "ITEM-1", "issue" : "2", "issued" : { "date-parts" : [ [ "2005" ] ] }, "page" : "222-233", "title" : "Delineating priority habitat areas for the conservation of Andean bears in northern Ecuador", "type" : "article-journal", "volume" : "16" }, "uris" : [ "http://www.mendeley.com/documents/?uuid=9ca9399c-2c2e-3db2-8817-67bab9d598e0" ] } ], "mendeley" : { "formattedCitation" : "(Peralvo, Cuesta, &amp; van Manen, 2005)", "manualFormatting" : "(Peralvo et al., 2005", "plainTextFormattedCitation" : "(Peralvo, Cuesta, &amp; van Manen, 2005)", "previouslyFormattedCitation" : "(Peralvo, Cuesta, &amp; van Manen, 2005)" }, "properties" : { "noteIndex" : 0 }, "schema" : "https://github.com/citation-style-language/schema/raw/master/csl-citation.json" }</w:instrText>
      </w:r>
      <w:r w:rsidRPr="008608AA">
        <w:rPr>
          <w:lang w:val="en-US" w:eastAsia="en-US"/>
        </w:rPr>
        <w:fldChar w:fldCharType="separate"/>
      </w:r>
      <w:r w:rsidRPr="008608AA">
        <w:rPr>
          <w:noProof/>
          <w:lang w:val="en-US" w:eastAsia="en-US"/>
        </w:rPr>
        <w:t>(Peralvo et al., 2005</w:t>
      </w:r>
      <w:r w:rsidRPr="008608AA">
        <w:rPr>
          <w:lang w:val="en-US" w:eastAsia="en-US"/>
        </w:rPr>
        <w:fldChar w:fldCharType="end"/>
      </w:r>
      <w:r w:rsidRPr="008608AA">
        <w:rPr>
          <w:lang w:val="en-US" w:eastAsia="en-US"/>
        </w:rPr>
        <w:fldChar w:fldCharType="begin" w:fldLock="1"/>
      </w:r>
      <w:r w:rsidRPr="008608AA">
        <w:rPr>
          <w:lang w:val="en-US" w:eastAsia="en-US"/>
        </w:rPr>
        <w:instrText>ADDIN CSL_CITATION { "citationItems" : [ { "id" : "ITEM-1", "itemData" : { "DOI" : "10.1371/journal.pone.0143311", "ISBN" : "1932-6203", "ISSN" : "19326203", "PMID" : "26641477", "abstract" : "Deforestation causes habitat loss, fragmentation, degradation, and can ultimately cause extinction of the remnant species. Tropical montane birds face these threats with the added natural vulnerability of narrower elevational ranges and higher specialization than lowland species. Recent studies assess the impact of present and future global climate change on species' ranges, but only a few of these evaluate the potentially confounding effect of lowland deforestation on species elevational distributions. In the Western Andes of Colombia, an important biodiversity hotspot, we evaluated the effects of deforestation on the elevational ranges of montane birds along altitudinal transects. Using point counts and mist-nets, we surveyed six altitudinal transects spanning 2200 to 2800m. Three transects were forested from 2200 to 2800m, and three were partially deforested with forest cover only above 2400m. We compared abundance-weighted mean elevation, minimum elevation, and elevational range width. In addition to analysing the effect of deforestation on 134 species, we tested its impact within trophic guilds and habitat preference groups. Abundance-weighted mean and minimum elevations were not significantly different between forested and partially deforested transects. Range width was marginally different: as expected, ranges were larger in forested transects. Species in different trophic guilds and habitat preference categories showed different trends. These results suggest that deforestation may affect species' elevational ranges, even within the forest that remains. Climate change will likely exacerbate harmful impacts of deforestation on species' elevational distributions. Future conservation strategies need to account for this by protecting connected forest tracts across a wide range of elevations.", "author" : [ { "dropping-particle" : "", "family" : "Ocampo-Pe\u00f1uela", "given" : "Natalia", "non-dropping-particle" : "", "parse-names" : false, "suffix" : "" }, { "dropping-particle" : "", "family" : "Pimm", "given" : "Stuart L.", "non-dropping-particle" : "", "parse-names" : false, "suffix" : "" } ], "container-title" : "PLoS ONE", "id" : "ITEM-1", "issue" : "12", "issued" : { "date-parts" : [ [ "2015" ] ] }, "page" : "e0143311", "title" : "Elevational ranges of montane birds and deforestation in the Western Andes of Colombia", "type" : "article-journal", "volume" : "10" }, "uris" : [ "http://www.mendeley.com/documents/?uuid=7483ac4a-f20d-3b4b-ae7f-9c9d4ef7f5e2" ] } ], "mendeley" : { "formattedCitation" : "(Ocampo-Pe\u00f1uela &amp; Pimm, 2015)", "manualFormatting" : "; Ocampo-Pe\u00f1uela &amp; Pimm, 2015)", "plainTextFormattedCitation" : "(Ocampo-Pe\u00f1uela &amp; Pimm, 2015)", "previouslyFormattedCitation" : "(Ocampo-Pe\u00f1uela &amp; Pimm, 2015)" }, "properties" : { "noteIndex" : 0 }, "schema" : "https://github.com/citation-style-language/schema/raw/master/csl-citation.json" }</w:instrText>
      </w:r>
      <w:r w:rsidRPr="008608AA">
        <w:rPr>
          <w:lang w:val="en-US" w:eastAsia="en-US"/>
        </w:rPr>
        <w:fldChar w:fldCharType="separate"/>
      </w:r>
      <w:r w:rsidRPr="008608AA">
        <w:rPr>
          <w:noProof/>
          <w:lang w:val="en-US" w:eastAsia="en-US"/>
        </w:rPr>
        <w:t>; Ocampo-Peñuela &amp; Pimm, 2015)</w:t>
      </w:r>
      <w:r w:rsidRPr="008608AA">
        <w:rPr>
          <w:lang w:val="en-US" w:eastAsia="en-US"/>
        </w:rPr>
        <w:fldChar w:fldCharType="end"/>
      </w:r>
      <w:r w:rsidRPr="008608AA">
        <w:rPr>
          <w:lang w:val="en-US" w:eastAsia="en-US"/>
        </w:rPr>
        <w:t xml:space="preserve">, genetic connectivity among populations </w:t>
      </w:r>
      <w:r w:rsidRPr="008608AA">
        <w:rPr>
          <w:lang w:val="en-US" w:eastAsia="en-US"/>
        </w:rPr>
        <w:fldChar w:fldCharType="begin" w:fldLock="1"/>
      </w:r>
      <w:r w:rsidRPr="008608AA">
        <w:rPr>
          <w:lang w:val="en-US" w:eastAsia="en-US"/>
        </w:rPr>
        <w:instrText>ADDIN CSL_CITATION { "citationItems" : [ { "id" : "ITEM-1", "itemData" : { "author" : [ { "dropping-particle" : "", "family" : "Klauke", "given" : "N.", "non-dropping-particle" : "", "parse-names" : false, "suffix" : "" }, { "dropping-particle" : "", "family" : "Schaefer", "given" : "H. M.", "non-dropping-particle" : "", "parse-names" : false, "suffix" : "" }, { "dropping-particle" : "", "family" : "Bauer", "given" : "M.", "non-dropping-particle" : "", "parse-names" : false, "suffix" : "" }, { "dropping-particle" : "", "family" : "Segelbacher", "given" : "G.", "non-dropping-particle" : "", "parse-names" : false, "suffix" : "" } ], "container-title" : "PLoS ONE", "id" : "ITEM-1", "issue" : "12", "issued" : { "date-parts" : [ [ "2016" ] ] }, "page" : "e0169165", "title" : "Limited dispersal and significant fine- scale genetic structure in a tropical montane parrot species", "type" : "article-journal", "volume" : "11" }, "uris" : [ "http://www.mendeley.com/documents/?uuid=d76c68bc-a9b2-44d7-8d4e-b6a7547a8d18" ] } ], "mendeley" : { "formattedCitation" : "(Klauke, Schaefer, Bauer, &amp; Segelbacher, 2016)", "manualFormatting" : "(Klauke et al., 2016)", "plainTextFormattedCitation" : "(Klauke, Schaefer, Bauer, &amp; Segelbacher, 2016)", "previouslyFormattedCitation" : "(Klauke, Schaefer, Bauer, &amp; Segelbacher, 2016)" }, "properties" : { "noteIndex" : 0 }, "schema" : "https://github.com/citation-style-language/schema/raw/master/csl-citation.json" }</w:instrText>
      </w:r>
      <w:r w:rsidRPr="008608AA">
        <w:rPr>
          <w:lang w:val="en-US" w:eastAsia="en-US"/>
        </w:rPr>
        <w:fldChar w:fldCharType="separate"/>
      </w:r>
      <w:r w:rsidRPr="008608AA">
        <w:rPr>
          <w:noProof/>
          <w:lang w:val="en-US" w:eastAsia="en-US"/>
        </w:rPr>
        <w:t>(Klauke et al., 2016)</w:t>
      </w:r>
      <w:r w:rsidRPr="008608AA">
        <w:rPr>
          <w:lang w:val="en-US" w:eastAsia="en-US"/>
        </w:rPr>
        <w:fldChar w:fldCharType="end"/>
      </w:r>
      <w:r w:rsidRPr="008608AA">
        <w:rPr>
          <w:lang w:val="en-US" w:eastAsia="en-US"/>
        </w:rPr>
        <w:t xml:space="preserve"> and stream quality </w:t>
      </w:r>
      <w:r w:rsidRPr="008608AA">
        <w:rPr>
          <w:lang w:val="en-US" w:eastAsia="en-US"/>
        </w:rPr>
        <w:fldChar w:fldCharType="begin" w:fldLock="1"/>
      </w:r>
      <w:r w:rsidRPr="008608AA">
        <w:rPr>
          <w:lang w:val="en-US" w:eastAsia="en-US"/>
        </w:rPr>
        <w:instrText>ADDIN CSL_CITATION { "citationItems" : [ { "id" : "ITEM-1", "itemData" : { "DOI" : "10.1371/journal.pone.0105869", "ISBN" : "1932-6203 (Electronic)\\r1932-6203 (Linking)", "ISSN" : "19326203", "PMID" : "25147941", "abstract" : "Deforestation in the tropical Andes is affecting ecological conditions of streams, and determination of how much forest should be retained is a pressing task for conservation, restoration and management strategies. We calculated and analyzed eight benthic metrics (structural, compositional and water quality indices) and a physical-chemical composite index with gradients of vegetation cover to assess the effects of deforestation on macroinvertebrate communities and water quality of 23 streams in southern Ecuadorian Andes. Using a geographical information system (GIS), we quantified vegetation cover at three spatial scales: the entire catchment, the riparian buffer of 30 m width extending the entire stream length, and the local scale defined for a stream reach of 100 m in length and similar buffer width. Macroinvertebrate and water quality metrics had the strongest relationships with vegetation cover at catchment and riparian scales, while vegetation cover did not show any association with the macroinvertebrate metrics at local scale. At catchment scale, the water quality metrics indicate that ecological condition of Andean streams is good when vegetation cover is over 70%. Further, macroinvertebrate community assemblages were more diverse and related in catchments largely covered by native vegetation (&gt;70%). Our results suggest that retaining an important quantity of native vegetation cover within the catchments and a linkage between headwater and riparian forests help to maintain and improve stream biodiversity and water quality in Andean streams affected by deforestation. This research proposes that a strong regulation focused to the management of riparian buffers can be successful when decision making is addressed to conservation/restoration of Andean catchments.", "author" : [ { "dropping-particle" : "", "family" : "I\u00f1iguez-Armijos", "given" : "Carlos", "non-dropping-particle" : "", "parse-names" : false, "suffix" : "" }, { "dropping-particle" : "", "family" : "Leiva", "given" : "Adri\u00e1n", "non-dropping-particle" : "", "parse-names" : false, "suffix" : "" }, { "dropping-particle" : "", "family" : "Frede", "given" : "Hans Georg", "non-dropping-particle" : "", "parse-names" : false, "suffix" : "" }, { "dropping-particle" : "", "family" : "Hampel", "given" : "Henrietta", "non-dropping-particle" : "", "parse-names" : false, "suffix" : "" }, { "dropping-particle" : "", "family" : "Breuer", "given" : "Lutz", "non-dropping-particle" : "", "parse-names" : false, "suffix" : "" } ], "container-title" : "PLoS One", "id" : "ITEM-1", "issue" : "8", "issued" : { "date-parts" : [ [ "2014" ] ] }, "page" : "e105869", "title" : "Deforestation and benthic indicators: how much vegetation cover is needed to sustain healthy Andean streams?", "type" : "article-journal", "volume" : "9" }, "uris" : [ "http://www.mendeley.com/documents/?uuid=39b93eba-4abd-339c-a922-83e935a93a10" ] } ], "mendeley" : { "formattedCitation" : "(I\u00f1iguez-Armijos, Leiva, Frede, Hampel, &amp; Breuer, 2014)", "manualFormatting" : "(I\u00f1iguez-Armijos et al., 2014)", "plainTextFormattedCitation" : "(I\u00f1iguez-Armijos, Leiva, Frede, Hampel, &amp; Breuer, 2014)", "previouslyFormattedCitation" : "(I\u00f1iguez-Armijos, Leiva, Frede, Hampel, &amp; Breuer, 2014)" }, "properties" : { "noteIndex" : 0 }, "schema" : "https://github.com/citation-style-language/schema/raw/master/csl-citation.json" }</w:instrText>
      </w:r>
      <w:r w:rsidRPr="008608AA">
        <w:rPr>
          <w:lang w:val="en-US" w:eastAsia="en-US"/>
        </w:rPr>
        <w:fldChar w:fldCharType="separate"/>
      </w:r>
      <w:r w:rsidRPr="008608AA">
        <w:rPr>
          <w:noProof/>
          <w:lang w:val="en-US" w:eastAsia="en-US"/>
        </w:rPr>
        <w:t>(Iñiguez-Armijos et al., 2014)</w:t>
      </w:r>
      <w:r w:rsidRPr="008608AA">
        <w:rPr>
          <w:lang w:val="en-US" w:eastAsia="en-US"/>
        </w:rPr>
        <w:fldChar w:fldCharType="end"/>
      </w:r>
      <w:r w:rsidRPr="008608AA">
        <w:rPr>
          <w:lang w:val="en-US" w:eastAsia="en-US"/>
        </w:rPr>
        <w:t xml:space="preserve">. Moreover, hydrologic connections between the atmosphere and surface waters and their downstream effects have been altered in Andean tropical montane forest - soil moisture can be significantly lower in pasture compared with forest </w:t>
      </w:r>
      <w:r w:rsidRPr="008608AA">
        <w:rPr>
          <w:lang w:val="en-US" w:eastAsia="en-US"/>
        </w:rPr>
        <w:fldChar w:fldCharType="begin" w:fldLock="1"/>
      </w:r>
      <w:r w:rsidRPr="008608AA">
        <w:rPr>
          <w:lang w:val="en-US" w:eastAsia="en-US"/>
        </w:rPr>
        <w:instrText>ADDIN CSL_CITATION { "citationItems" : [ { "id" : "ITEM-1", "itemData" : { "DOI" : "10.1579/0044-7447-29.7.440", "ISBN" : "0044-7447", "ISSN" : "0044-7447", "PMID" : "408", "abstract" : "Andean cloud forests play an important role in watershed hydrology and protection against erosion. Even though most cloud forests fall under officially protected areas, a good deal of the cloud forests are being deforested and replaced by pastures for grazing cattle, which is the most important land use in Venezuelan cloud forest environments. The water dynamics of the natural forest as well as the impact of replacement by pastures are poorly understood. We have been conducting a research project since 1996, in order to study some of the water fluxes of the forest and to evaluate the hydrological impact of replacement by pasture. The study site is located at La Mucuy (2300 m with 3124 mm rainfall), Merida State, in the Venezuelan Andes. The results show that, in the forest, 91% of total incoming water was from rainfall and 9% was from cloudwater. Total foliage interception was 51%, which is a high value for a tropical montane forest. About 49% of the total incoming water reaches the ground as throughfall, whereas litter intercepts 6% of the water and a final 1.4% was lost by surface runoff. Therefore, infiltration must be about 42%. Approximately 16% was lost by transpiration leaving about 26% for drainage. Results from pasture-land studies show 7% interception, while surface runoff (2%) and transpiration (about 66%) were higher than in the forest. Our first results on soil water status suggest that the forest soil (upper horizon) has a significantly higher % moisture than the pasture soil.", "author" : [ { "dropping-particle" : "", "family" : "Ataroff", "given" : "Michele", "non-dropping-particle" : "", "parse-names" : false, "suffix" : "" }, { "dropping-particle" : "", "family" : "Rada", "given" : "Ferm\u00edn", "non-dropping-particle" : "", "parse-names" : false, "suffix" : "" } ], "container-title" : "Ambio", "id" : "ITEM-1", "issue" : "7", "issued" : { "date-parts" : [ [ "2000" ] ] }, "page" : "440-444", "title" : "Deforestation impact on water dynamics in a Venezuelan Andean cloud forest", "type" : "article-journal", "volume" : "29" }, "uris" : [ "http://www.mendeley.com/documents/?uuid=8379f672-399a-36aa-90da-5e0d55d37dbe" ] } ], "mendeley" : { "formattedCitation" : "(Ataroff &amp; Rada, 2000)", "plainTextFormattedCitation" : "(Ataroff &amp; Rada, 2000)", "previouslyFormattedCitation" : "(Ataroff &amp; Rada, 2000)" }, "properties" : { "noteIndex" : 0 }, "schema" : "https://github.com/citation-style-language/schema/raw/master/csl-citation.json" }</w:instrText>
      </w:r>
      <w:r w:rsidRPr="008608AA">
        <w:rPr>
          <w:lang w:val="en-US" w:eastAsia="en-US"/>
        </w:rPr>
        <w:fldChar w:fldCharType="separate"/>
      </w:r>
      <w:r w:rsidRPr="008608AA">
        <w:rPr>
          <w:noProof/>
          <w:lang w:val="en-US" w:eastAsia="en-US"/>
        </w:rPr>
        <w:t>(Ataroff &amp; Rada, 2000)</w:t>
      </w:r>
      <w:r w:rsidRPr="008608AA">
        <w:rPr>
          <w:lang w:val="en-US" w:eastAsia="en-US"/>
        </w:rPr>
        <w:fldChar w:fldCharType="end"/>
      </w:r>
      <w:r w:rsidRPr="008608AA">
        <w:rPr>
          <w:lang w:val="en-US" w:eastAsia="en-US"/>
        </w:rPr>
        <w:t xml:space="preserve">. </w:t>
      </w:r>
    </w:p>
    <w:p w14:paraId="4FF15308" w14:textId="7AD02090" w:rsidR="00FE65F2" w:rsidRPr="008608AA" w:rsidRDefault="004255E7" w:rsidP="00FE65F2">
      <w:pPr>
        <w:spacing w:before="120"/>
        <w:rPr>
          <w:rFonts w:eastAsiaTheme="minorEastAsia"/>
        </w:rPr>
      </w:pPr>
      <w:r w:rsidRPr="008608AA">
        <w:rPr>
          <w:rFonts w:eastAsiaTheme="minorEastAsia"/>
        </w:rPr>
        <w:t xml:space="preserve">Forest fragmentation has been associated with long-term losses in species richness and changes in species composition </w:t>
      </w:r>
      <w:r w:rsidRPr="008608AA">
        <w:fldChar w:fldCharType="begin" w:fldLock="1"/>
      </w:r>
      <w:r w:rsidRPr="008608AA">
        <w:instrText>ADDIN CSL_CITATION { "citationItems" : [ { "id" : "ITEM-1", "itemData" : { "DOI" : "10.1126/sciadv.1500052", "ISBN" : "doi : 10.1126/sciadv.1500052", "ISSN" : "2375-2548", "PMID" : "26601154", "abstract" : "We conducted an analysis of global forest cover to reveal that 70% of remaining forest is within 1 km of the forest\u2019s edge, subject to the degrading effects of fragmentation. A synthesis of fragmentation experiments spanning multiple biomes and scales, five continents, and 35 years demonstrates that habitat fragmentation reduces biodiversity by 13 to 75% and impairs key ecosystem functions by decreasing biomass and altering nutrient cycles. Effects are greatest in the smallest and most isolated fragments, and they magnify with the passage of time. These findings indicate an urgent need for conservation and restoration measures to improve landscape connectivity, which will reduce extinction rates and help maintain ecosystem services.", "author" : [ { "dropping-particle" : "", "family" : "Haddad", "given" : "N.M.", "non-dropping-particle" : "", "parse-names" : false, "suffix" : "" }, { "dropping-particle" : "", "family" : "Brudvig", "given" : "L.A.", "non-dropping-particle" : "", "parse-names" : false, "suffix" : "" }, { "dropping-particle" : "", "family" : "Clobert", "given" : "J.", "non-dropping-particle" : "", "parse-names" : false, "suffix" : "" }, { "dropping-particle" : "", "family" : "Davies", "given" : "K.F.", "non-dropping-particle" : "", "parse-names" : false, "suffix" : "" }, { "dropping-particle" : "", "family" : "Gonzalez", "given" : "A.", "non-dropping-particle" : "", "parse-names" : false, "suffix" : "" }, { "dropping-particle" : "", "family" : "Holt", "given" : "R.D.", "non-dropping-particle" : "", "parse-names" : false, "suffix" : "" }, { "dropping-particle" : "", "family" : "Lovejoy", "given" : "T.E.", "non-dropping-particle" : "", "parse-names" : false, "suffix" : "" }, { "dropping-particle" : "", "family" : "Sexton", "given" : "J.O.", "non-dropping-particle" : "", "parse-names" : false, "suffix" : "" }, { "dropping-particle" : "", "family" : "Austin", "given" : "M.P.", "non-dropping-particle" : "", "parse-names" : false, "suffix" : "" }, { "dropping-particle" : "", "family" : "Collins", "given" : "C.D.", "non-dropping-particle" : "", "parse-names" : false, "suffix" : "" }, { "dropping-particle" : "", "family" : "Cook", "given" : "W.M.", "non-dropping-particle" : "", "parse-names" : false, "suffix" : "" }, { "dropping-particle" : "", "family" : "Damschen", "given" : "E.I.", "non-dropping-particle" : "", "parse-names" : false, "suffix" : "" }, { "dropping-particle" : "", "family" : "Ewers", "given" : "R.M.", "non-dropping-particle" : "", "parse-names" : false, "suffix" : "" }, { "dropping-particle" : "", "family" : "Foster", "given" : "B.L.", "non-dropping-particle" : "", "parse-names" : false, "suffix" : "" }, { "dropping-particle" : "", "family" : "Jenkins", "given" : "C.N.", "non-dropping-particle" : "", "parse-names" : false, "suffix" : "" }, { "dropping-particle" : "", "family" : "King", "given" : "A.J.", "non-dropping-particle" : "", "parse-names" : false, "suffix" : "" }, { "dropping-particle" : "", "family" : "Laurance", "given" : "W.F.", "non-dropping-particle" : "", "parse-names" : false, "suffix" : "" }, { "dropping-particle" : "", "family" : "Levey", "given" : "D.J.", "non-dropping-particle" : "", "parse-names" : false, "suffix" : "" }, { "dropping-particle" : "", "family" : "Margules", "given" : "C.R.", "non-dropping-particle" : "", "parse-names" : false, "suffix" : "" }, { "dropping-particle" : "", "family" : "Melbourne", "given" : "B.A.", "non-dropping-particle" : "", "parse-names" : false, "suffix" : "" }, { "dropping-particle" : "", "family" : "Nicholls", "given" : "A.O.", "non-dropping-particle" : "", "parse-names" : false, "suffix" : "" }, { "dropping-particle" : "", "family" : "Orrock", "given" : "J.L.", "non-dropping-particle" : "", "parse-names" : false, "suffix" : "" }, { "dropping-particle" : "", "family" : "Song", "given" : "Dan-Xia", "non-dropping-particle" : "", "parse-names" : false, "suffix" : "" }, { "dropping-particle" : "", "family" : "Townshend", "given" : "J. R.", "non-dropping-particle" : "", "parse-names" : false, "suffix" : "" } ], "container-title" : "Science Advances", "id" : "ITEM-1", "issue" : "2", "issued" : { "date-parts" : [ [ "2015" ] ] }, "page" : "e1500052", "title" : "Habitat fragmentation and its lasting impact on Earth's ecosystems", "type" : "article-journal", "volume" : "1" }, "uris" : [ "http://www.mendeley.com/documents/?uuid=4d384bad-ee04-4731-9183-e7653938861c" ] }, { "id" : "ITEM-2", "itemData" : { "DOI" : "10.1016/j.biocon.2008.10.012", "ISBN" : "0006-3207", "ISSN" : "00063207", "abstract" : "In 2000, a Special Issue of the journal Biotropica focused on the natural history and ecology of Brazil\u2019s Atlantic forest (Morellato and Haddad, 2000). After nine years, it is time to again analyze this endangered forest, but now emphasizing the implications of the ecological knowledge for its conservation and restoration. Further, the lessons from the Atlantic forest can also supply lessons for con- servation in other tropical forests around the world", "author" : [ { "dropping-particle" : "", "family" : "Metzger", "given" : "Jean Paul", "non-dropping-particle" : "", "parse-names" : false, "suffix" : "" } ], "container-title" : "Biological Conservation", "id" : "ITEM-2", "issue" : "6", "issued" : { "date-parts" : [ [ "2009" ] ] }, "page" : "1138-1140", "title" : "Conservation issues in the Brazilian Atlantic forest", "type" : "article-magazine", "volume" : "142" }, "uris" : [ "http://www.mendeley.com/documents/?uuid=ebd9adda-5942-432a-9f99-d9b1191861a4" ] } ], "mendeley" : { "formattedCitation" : "(Haddad et al., 2015; Metzger, 2009)", "manualFormatting" : "(Haddad et al., 2015; Metzger, 2009", "plainTextFormattedCitation" : "(Haddad et al., 2015; Metzger, 2009)", "previouslyFormattedCitation" : "(Haddad et al., 2015; Metzger, 2009)" }, "properties" : { "noteIndex" : 0 }, "schema" : "https://github.com/citation-style-language/schema/raw/master/csl-citation.json" }</w:instrText>
      </w:r>
      <w:r w:rsidRPr="008608AA">
        <w:fldChar w:fldCharType="separate"/>
      </w:r>
      <w:r w:rsidRPr="008608AA">
        <w:rPr>
          <w:noProof/>
        </w:rPr>
        <w:t>(Haddad et al., 2015; Metzger, 2009</w:t>
      </w:r>
      <w:r w:rsidRPr="008608AA">
        <w:fldChar w:fldCharType="end"/>
      </w:r>
      <w:r w:rsidRPr="008608AA">
        <w:fldChar w:fldCharType="begin" w:fldLock="1"/>
      </w:r>
      <w:r w:rsidRPr="008608AA">
        <w:instrText>ADDIN CSL_CITATION { "citationItems" : [ { "id" : "ITEM-1", "itemData" : { "DOI" : "10.1111/brv.12343", "abstract" : "We synthesize findings from one of the world's largest and longest-running experimental investigations, the Biological Dynamics of Forest Fragments Project (BDFFP). Spanning an area of \u223c1000 km 2 in central Amazonia, the BDFFP was initially designed to evaluate the effects of fragment area on rainforest biodiversity and ecological processes. However, over its 38-year history to date the project has far transcended its original mission, and now focuses more broadly on landscape dynamics, forest regeneration, regional-and global-change phenomena, and their potential interactions and implications for Amazonian forest conservation. The project has yielded a wealth of insights into the ecological and environmental changes in fragmented forests. For instance, many rainforest species are naturally rare and hence are either missing entirely from many fragments or so sparsely represented as to have little chance of long-term survival. Additionally, edge effects are a prominent driver of fragment dynamics, strongly affecting forest microclimate, tree mortality, carbon storage and a diversity of fauna. Even within our controlled study area, the landscape has been highly dynamic: for example, the matrix of vegetation surrounding fragments has changed markedly over time, succeeding from large cattle pastures or forest clearcuts to secondary regrowth forest. This, in turn, has influenced the dynamics of plant and animal communities and their trajectories of change over time. In general, fauna and flora have responded differently to fragmentation: the most locally extinction-prone animal species are those that have both large area requirements and low tolerance of the modified habitats surrounding fragments, whereas the most vulnerable plants are those that respond poorly to edge effects or chronic forest disturbances, and that rely on vulnerable animals for seed dispersal or pollination. Relative to intact forests, most fragments are hyperdynamic, with unstable or fluctuating populations of species in response to a variety of external vicissitudes. Rare weather events such as droughts, windstorms and floods have had strong impacts on fragments and left lasting legacies of change. Both forest fragments and the intact forests in our study area appear to be influenced by larger-scale environmental drivers operating at regional or global scales. These drivers are apparently increasing forest productivity and have led to concerted, widespread increases in forest dynamics \u2026", "author" : [ { "dropping-particle" : "", "family" : "Laurance", "given" : "William F.", "non-dropping-particle" : "", "parse-names" : false, "suffix" : "" }, { "dropping-particle" : "", "family" : "Camargo", "given" : "Jos\u00e9 L. C.", "non-dropping-particle" : "", "parse-names" : false, "suffix" : "" }, { "dropping-particle" : "", "family" : "Fearnside", "given" : "Philip M.", "non-dropping-particle" : "", "parse-names" : false, "suffix" : "" }, { "dropping-particle" : "", "family" : "Lovejoy", "given" : "Thomas E.", "non-dropping-particle" : "", "parse-names" : false, "suffix" : "" }, { "dropping-particle" : "", "family" : "Williamson", "given" : "G. Bruce", "non-dropping-particle" : "", "parse-names" : false, "suffix" : "" }, { "dropping-particle" : "", "family" : "Mesquita", "given" : "Rita C. G.", "non-dropping-particle" : "", "parse-names" : false, "suffix" : "" }, { "dropping-particle" : "", "family" : "Meyer", "given" : "Christoph F. J.", "non-dropping-particle" : "", "parse-names" : false, "suffix" : "" }, { "dropping-particle" : "", "family" : "Bobrowiec", "given" : "Paulo E. D.", "non-dropping-particle" : "", "parse-names" : false, "suffix" : "" }, { "dropping-particle" : "", "family" : "Laurance", "given" : "Susan G. W.", "non-dropping-particle" : "", "parse-names" : false, "suffix" : "" } ], "container-title" : "Biological Review", "id" : "ITEM-1", "issued" : { "date-parts" : [ [ "2017" ] ] }, "title" : "An Amazonian rainforest and its fragments as a laboratory of global change", "type" : "article" }, "uris" : [ "http://www.mendeley.com/documents/?uuid=430bae59-85c5-4b5f-aca4-3e82e454fb79" ] } ], "mendeley" : { "formattedCitation" : "(Laurance et al., 2017)", "manualFormatting" : "; Laurance et al., 2017)", "plainTextFormattedCitation" : "(Laurance et al., 2017)", "previouslyFormattedCitation" : "(Laurance et al., 2017)" }, "properties" : { "noteIndex" : 0 }, "schema" : "https://github.com/citation-style-language/schema/raw/master/csl-citation.json" }</w:instrText>
      </w:r>
      <w:r w:rsidRPr="008608AA">
        <w:fldChar w:fldCharType="separate"/>
      </w:r>
      <w:r w:rsidRPr="008608AA">
        <w:rPr>
          <w:noProof/>
        </w:rPr>
        <w:t>; Laurance et al., 2017)</w:t>
      </w:r>
      <w:r w:rsidRPr="008608AA">
        <w:fldChar w:fldCharType="end"/>
      </w:r>
      <w:r w:rsidRPr="008608AA">
        <w:t xml:space="preserve">. </w:t>
      </w:r>
      <w:r w:rsidRPr="008608AA">
        <w:rPr>
          <w:rFonts w:eastAsiaTheme="minorEastAsia"/>
        </w:rPr>
        <w:t xml:space="preserve">In </w:t>
      </w:r>
      <w:r w:rsidRPr="008608AA">
        <w:t>Atlantic coastal forest</w:t>
      </w:r>
      <w:r w:rsidRPr="008608AA">
        <w:rPr>
          <w:rFonts w:eastAsiaTheme="minorEastAsia"/>
        </w:rPr>
        <w:t xml:space="preserve">, old-growth forest patches operate both as irreplaceable habitats for forest-obligate species and as stable source areas </w:t>
      </w:r>
      <w:r w:rsidRPr="008608AA">
        <w:fldChar w:fldCharType="begin" w:fldLock="1"/>
      </w:r>
      <w:r w:rsidRPr="008608AA">
        <w:instrText>ADDIN CSL_CITATION { "citationItems" : [ { "id" : "ITEM-1", "itemData" : { "DOI" : "10.1016/j.biocon.2010.02.005", "ISBN" : "0006-3207", "ISSN" : "00063207", "PMID" : "21516884", "abstract" : "Recent global assessments have shown the limited coverage of protected areas across tropical biotas, fuelling a growing interest in the potential conservation services provided by anthropogenic landscapes. Here we examine the geographic distribution of biological diversity in the Atlantic Forest of South America, synthesize the most conspicuous forest biodiversity responses to human disturbances, propose further conservation initiatives for this biota, and offer a range of general insights into the prospects of forest species persistence in human-modified tropical forest landscapes worldwide. At the biome scale, the most extensive pre-Columbian habitats across the Atlantic Forest ranged across elevations below 800. masl, which still concentrate most areas within the major centers of species endemism. Unfortunately, up to 88% of the original forest habitat has been lost, mainly across these low to intermediate elevations, whereas protected areas are clearly skewed towards high elevations above 1200. masl. At the landscape scale, most remaining Atlantic Forest cover is embedded within dynamic agro-mosaics including elements such as small forest fragments, early-to-late secondary forest patches and exotic tree monocultures. In this sort of aging or long-term modified landscapes, habitat fragmentation appears to effectively drive edge-dominated portions of forest fragments towards an early-successional system, greatly limiting the long-term persistence of forest-obligate and forest-dependent species. However, the extent to which forest habitats approach early-successional systems, thereby threatening the bulk of the Atlantic Forest biodiversity, depends on both past and present landscape configuration. Many elements of human-modified landscapes (e.g. patches of early-secondary forests and tree monocultures) may offer excellent conservation opportunities, but they cannot replace the conservation value of protected areas and hitherto unprotected large patches of old-growth forests. Finally, the biodiversity conservation services provided by anthropogenic landscapes across Atlantic Forest and other tropical forest regions can be significantly augmented by coupling biodiversity corridor initiatives with biota-scale attempts to plug existing gaps in the representativeness of protected areas. ?? 2010 Elsevier Ltd.", "author" : [ { "dropping-particle" : "", "family" : "Tabarelli", "given" : "Marcelo", "non-dropping-particle" : "", "parse-names" : false, "suffix" : "" }, { "dropping-particle" : "", "family" : "Aguiar", "given" : "Antonio Venceslau", "non-dropping-particle" : "", "parse-names" : false, "suffix" : "" }, { "dropping-particle" : "", "family" : "Ribeiro", "given" : "Milton Cezar", "non-dropping-particle" : "", "parse-names" : false, "suffix" : "" }, { "dropping-particle" : "", "family" : "Metzger", "given" : "Jean Paul", "non-dropping-particle" : "", "parse-names" : false, "suffix" : "" }, { "dropping-particle" : "", "family" : "Peres", "given" : "Carlos A.", "non-dropping-particle" : "", "parse-names" : false, "suffix" : "" } ], "container-title" : "Biological Conservation", "id" : "ITEM-1", "issue" : "10", "issued" : { "date-parts" : [ [ "2010" ] ] }, "page" : "2328-2340", "publisher" : "Elsevier Ltd", "title" : "Prospects for biodiversity conservation in the Atlantic Forest: lessons from aging human-modified landscapes", "type" : "article-journal", "volume" : "143" }, "uris" : [ "http://www.mendeley.com/documents/?uuid=5eeb0925-ca5a-429e-89df-ce1c4d953897" ] } ], "mendeley" : { "formattedCitation" : "(Tabarelli et al., 2010)", "manualFormatting" : "(Tabarelli et al., 2010)", "plainTextFormattedCitation" : "(Tabarelli et al., 2010)", "previouslyFormattedCitation" : "(Tabarelli et al., 2010)" }, "properties" : { "noteIndex" : 0 }, "schema" : "https://github.com/citation-style-language/schema/raw/master/csl-citation.json" }</w:instrText>
      </w:r>
      <w:r w:rsidRPr="008608AA">
        <w:fldChar w:fldCharType="separate"/>
      </w:r>
      <w:r w:rsidRPr="008608AA">
        <w:rPr>
          <w:noProof/>
        </w:rPr>
        <w:t>(Tabarelli et al., 2010)</w:t>
      </w:r>
      <w:r w:rsidRPr="008608AA">
        <w:fldChar w:fldCharType="end"/>
      </w:r>
      <w:r w:rsidRPr="008608AA">
        <w:t>.</w:t>
      </w:r>
      <w:r w:rsidRPr="008608AA">
        <w:rPr>
          <w:rFonts w:eastAsiaTheme="minorEastAsia"/>
        </w:rPr>
        <w:t xml:space="preserve"> Fragment size distribution, structural connectivity, matrix quality, remaining forest cover, presence of old-growth forest patches and/or proportion of edge-affected habitats have been identified as key correlates of species richness and abundance in bats, reptiles, birds, canopy/emergent trees, small mammals, mammalian carnivores, butterflies, chironomid insects, and frogs </w:t>
      </w:r>
      <w:r w:rsidRPr="008608AA">
        <w:rPr>
          <w:rFonts w:eastAsiaTheme="minorEastAsia"/>
        </w:rPr>
        <w:fldChar w:fldCharType="begin" w:fldLock="1"/>
      </w:r>
      <w:r w:rsidRPr="008608AA">
        <w:rPr>
          <w:rFonts w:eastAsiaTheme="minorEastAsia"/>
        </w:rPr>
        <w:instrText>ADDIN CSL_CITATION { "citationItems" : [ { "id" : "ITEM-1", "itemData" : { "DOI" : "10.1016/j.biocon.2010.02.005", "ISBN" : "0006-3207", "ISSN" : "00063207", "PMID" : "21516884", "abstract" : "Recent global assessments have shown the limited coverage of protected areas across tropical biotas, fuelling a growing interest in the potential conservation services provided by anthropogenic landscapes. Here we examine the geographic distribution of biological diversity in the Atlantic Forest of South America, synthesize the most conspicuous forest biodiversity responses to human disturbances, propose further conservation initiatives for this biota, and offer a range of general insights into the prospects of forest species persistence in human-modified tropical forest landscapes worldwide. At the biome scale, the most extensive pre-Columbian habitats across the Atlantic Forest ranged across elevations below 800. masl, which still concentrate most areas within the major centers of species endemism. Unfortunately, up to 88% of the original forest habitat has been lost, mainly across these low to intermediate elevations, whereas protected areas are clearly skewed towards high elevations above 1200. masl. At the landscape scale, most remaining Atlantic Forest cover is embedded within dynamic agro-mosaics including elements such as small forest fragments, early-to-late secondary forest patches and exotic tree monocultures. In this sort of aging or long-term modified landscapes, habitat fragmentation appears to effectively drive edge-dominated portions of forest fragments towards an early-successional system, greatly limiting the long-term persistence of forest-obligate and forest-dependent species. However, the extent to which forest habitats approach early-successional systems, thereby threatening the bulk of the Atlantic Forest biodiversity, depends on both past and present landscape configuration. Many elements of human-modified landscapes (e.g. patches of early-secondary forests and tree monocultures) may offer excellent conservation opportunities, but they cannot replace the conservation value of protected areas and hitherto unprotected large patches of old-growth forests. Finally, the biodiversity conservation services provided by anthropogenic landscapes across Atlantic Forest and other tropical forest regions can be significantly augmented by coupling biodiversity corridor initiatives with biota-scale attempts to plug existing gaps in the representativeness of protected areas. ?? 2010 Elsevier Ltd.", "author" : [ { "dropping-particle" : "", "family" : "Tabarelli", "given" : "Marcelo", "non-dropping-particle" : "", "parse-names" : false, "suffix" : "" }, { "dropping-particle" : "", "family" : "Aguiar", "given" : "Antonio Venceslau", "non-dropping-particle" : "", "parse-names" : false, "suffix" : "" }, { "dropping-particle" : "", "family" : "Ribeiro", "given" : "Milton Cezar", "non-dropping-particle" : "", "parse-names" : false, "suffix" : "" }, { "dropping-particle" : "", "family" : "Metzger", "given" : "Jean Paul", "non-dropping-particle" : "", "parse-names" : false, "suffix" : "" }, { "dropping-particle" : "", "family" : "Peres", "given" : "Carlos A.", "non-dropping-particle" : "", "parse-names" : false, "suffix" : "" } ], "container-title" : "Biological Conservation", "id" : "ITEM-1", "issue" : "10", "issued" : { "date-parts" : [ [ "2010" ] ] }, "page" : "2328-2340", "publisher" : "Elsevier Ltd", "title" : "Prospects for biodiversity conservation in the Atlantic Forest: lessons from aging human-modified landscapes", "type" : "article-journal", "volume" : "143" }, "uris" : [ "http://www.mendeley.com/documents/?uuid=5eeb0925-ca5a-429e-89df-ce1c4d953897" ] } ], "mendeley" : { "formattedCitation" : "(Tabarelli et al., 2010)", "manualFormatting" : "(Tabarelli et al., 2010)", "plainTextFormattedCitation" : "(Tabarelli et al., 2010)", "previouslyFormattedCitation" : "(Tabarelli et al., 2010)"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(Tabarelli et al., 2010)</w:t>
      </w:r>
      <w:r w:rsidRPr="008608AA">
        <w:rPr>
          <w:rFonts w:eastAsiaTheme="minorEastAsia"/>
        </w:rPr>
        <w:fldChar w:fldCharType="end"/>
      </w:r>
      <w:r w:rsidRPr="008608AA">
        <w:rPr>
          <w:rFonts w:eastAsiaTheme="minorEastAsia"/>
        </w:rPr>
        <w:t xml:space="preserve">. Multi-taxa data collected at regional and local scales in the northern Amazon demonstrate reduced species richness with increasing anthropogenic disturbance and considerably more biotic homogenization in arable croplands and cattle pastures than in disturbed, regenerating and primary forest </w:t>
      </w:r>
      <w:r w:rsidRPr="008608AA">
        <w:fldChar w:fldCharType="begin" w:fldLock="1"/>
      </w:r>
      <w:r w:rsidRPr="008608AA">
        <w:instrText>ADDIN CSL_CITATION { "citationItems" : [ { "id" : "ITEM-1", "itemData" : { "DOI" : "10.1111/ele.12494", "ISBN" : "1461-0248", "ISSN" : "14610248", "PMID" : "26299405", "abstract" : "Land-cover change and ecosystem degradation may lead to biotic homogenization, yet our under-standing of this phenomenon over large spatial scales and different biotic groups remains weak. We used a multi-taxa dataset from 335 sites and 36 heterogeneous landscapes in the Brazilian Amazon to examine the potential for landscape-scale processes to modulate the cumulative effects of local disturbances. Biotic homogenization was high in production areas but much less in dis-turbed and regenerating forests, where high levels of among-site and among-landscape b-diversity appeared to attenuate species loss at larger scales. We found consistently high levels of b-diversity among landscapes for all land cover classes, providing support for landscape-scale divergence in species composition. Our findings support concerns that b-diversity has been underestimated as a driver of biodiversity change and underscore the importance of maintaining a distributed network of reserves, including remaining areas of undisturbed primary forest, but also disturbed and regen-erating forests, to conserve regional biota.", "author" : [ { "dropping-particle" : "", "family" : "Solar", "given" : "Ricardo Ribeiro de Castro", "non-dropping-particle" : "", "parse-names" : false, "suffix" : "" }, { "dropping-particle" : "", "family" : "Barlow", "given" : "Jos", "non-dropping-particle" : "", "parse-names" : false, "suffix" : "" }, { "dropping-particle" : "", "family" : "Ferreira", "given" : "Joice", "non-dropping-particle" : "", "parse-names" : false, "suffix" : "" }, { "dropping-particle" : "", "family" : "Berenguer", "given" : "Erika", "non-dropping-particle" : "", "parse-names" : false, "suffix" : "" }, { "dropping-particle" : "", "family" : "Lees", "given" : "Alexander C.", "non-dropping-particle" : "", "parse-names" : false, "suffix" : "" }, { "dropping-particle" : "", "family" : "Thomson", "given" : "James R.", "non-dropping-particle" : "", "parse-names" : false, "suffix" : "" }, { "dropping-particle" : "", "family" : "Louzada", "given" : "J\u00falio", "non-dropping-particle" : "", "parse-names" : false, "suffix" : "" }, { "dropping-particle" : "", "family" : "Mau\u00e9s", "given" : "M\u00e1rcia", "non-dropping-particle" : "", "parse-names" : false, "suffix" : "" }, { "dropping-particle" : "", "family" : "Moura", "given" : "N??rgila G.", "non-dropping-particle" : "", "parse-names" : false, "suffix" : "" }, { "dropping-particle" : "", "family" : "Oliveira", "given" : "Victor H. F.", "non-dropping-particle" : "", "parse-names" : false, "suffix" : "" }, { "dropping-particle" : "", "family" : "Chaul", "given" : "J\u00falio C. M.", "non-dropping-particle" : "", "parse-names" : false, "suffix" : "" }, { "dropping-particle" : "", "family" : "Schoereder", "given" : "Jos\u00e9 Henrique", "non-dropping-particle" : "", "parse-names" : false, "suffix" : "" }, { "dropping-particle" : "", "family" : "Vieira", "given" : "Ima C\u00e9lia Guimaraes", "non-dropping-particle" : "", "parse-names" : false, "suffix" : "" }, { "dropping-particle" : "", "family" : "Nally", "given" : "Ralph", "non-dropping-particle" : "Mac", "parse-names" : false, "suffix" : "" }, { "dropping-particle" : "", "family" : "Gardner", "given" : "Toby A.", "non-dropping-particle" : "", "parse-names" : false, "suffix" : "" } ], "container-title" : "Ecology Letters", "id" : "ITEM-1", "issue" : "10", "issued" : { "date-parts" : [ [ "2015" ] ] }, "page" : "1108-1118", "title" : "How pervasive is biotic homogenization in human-modified tropical forest landscapes?", "type" : "article-journal", "volume" : "18" }, "uris" : [ "http://www.mendeley.com/documents/?uuid=62a19a32-f7b6-4978-b3ae-efde1e14b751" ] } ], "mendeley" : { "formattedCitation" : "(Solar et al., 2015)", "plainTextFormattedCitation" : "(Solar et al., 2015)", "previouslyFormattedCitation" : "(Solar et al., 2015)" }, "properties" : { "noteIndex" : 0 }, "schema" : "https://github.com/citation-style-language/schema/raw/master/csl-citation.json" }</w:instrText>
      </w:r>
      <w:r w:rsidRPr="008608AA">
        <w:fldChar w:fldCharType="separate"/>
      </w:r>
      <w:r w:rsidRPr="008608AA">
        <w:rPr>
          <w:noProof/>
        </w:rPr>
        <w:t>(Solar et al., 2015)</w:t>
      </w:r>
      <w:r w:rsidRPr="008608AA">
        <w:fldChar w:fldCharType="end"/>
      </w:r>
      <w:r w:rsidRPr="008608AA">
        <w:t>.</w:t>
      </w:r>
      <w:r w:rsidRPr="008608AA">
        <w:rPr>
          <w:rFonts w:eastAsiaTheme="minorEastAsia"/>
        </w:rPr>
        <w:t xml:space="preserve"> Likewise, multi-taxa studies reveal a threshold forest cover that triggers local extinctions </w:t>
      </w:r>
      <w:r w:rsidRPr="008608AA">
        <w:rPr>
          <w:rFonts w:eastAsiaTheme="minorEastAsia"/>
        </w:rPr>
        <w:fldChar w:fldCharType="begin" w:fldLock="1"/>
      </w:r>
      <w:r w:rsidRPr="008608AA">
        <w:rPr>
          <w:rFonts w:eastAsiaTheme="minorEastAsia"/>
        </w:rPr>
        <w:instrText>ADDIN CSL_CITATION { "citationItems" : [ { "id" : "ITEM-1", "itemData" : { "ISBN" : "1469-8137", "author" : [ { "dropping-particle" : "", "family" : "Joly", "given" : "Carlos A.", "non-dropping-particle" : "", "parse-names" : false, "suffix" : "" }, { "dropping-particle" : "", "family" : "Metzger", "given" : "Jean Paul", "non-dropping-particle" : "", "parse-names" : false, "suffix" : "" }, { "dropping-particle" : "", "family" : "Tabarelli", "given" : "Marcelo", "non-dropping-particle" : "", "parse-names" : false, "suffix" : "" } ], "container-title" : "New Phytologist", "id" : "ITEM-1", "issue" : "3", "issued" : { "date-parts" : [ [ "2014" ] ] }, "page" : "459-473", "title" : "Experiences from the Brazilian Atlantic Forest: ecological findings and conservation initiatives", "type" : "article-journal", "volume" : "204" }, "uris" : [ "http://www.mendeley.com/documents/?uuid=04561f46-9dfe-4231-a309-67f2fe14fe55" ] } ], "mendeley" : { "formattedCitation" : "(Joly, Metzger, &amp; Tabarelli, 2014)", "manualFormatting" : "(Joly et al., 2014)", "plainTextFormattedCitation" : "(Joly, Metzger, &amp; Tabarelli, 2014)", "previouslyFormattedCitation" : "(Joly, Metzger, &amp; Tabarelli, 2014)"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(Joly et al., 2014)</w:t>
      </w:r>
      <w:r w:rsidRPr="008608AA">
        <w:rPr>
          <w:rFonts w:eastAsiaTheme="minorEastAsia"/>
        </w:rPr>
        <w:fldChar w:fldCharType="end"/>
      </w:r>
      <w:r w:rsidRPr="008608AA">
        <w:rPr>
          <w:rFonts w:eastAsiaTheme="minorEastAsia"/>
        </w:rPr>
        <w:t>. A survey of a wide range of taxa within a large forest mosaic recorded only about 50% of old-growth forest species richness within patches of tree plantations (</w:t>
      </w:r>
      <w:r w:rsidRPr="008608AA">
        <w:rPr>
          <w:rFonts w:eastAsiaTheme="minorEastAsia"/>
          <w:i/>
          <w:iCs/>
        </w:rPr>
        <w:t>Araucaria, Pinus</w:t>
      </w:r>
      <w:r w:rsidRPr="008608AA">
        <w:rPr>
          <w:rFonts w:eastAsiaTheme="minorEastAsia"/>
        </w:rPr>
        <w:t xml:space="preserve"> and </w:t>
      </w:r>
      <w:r w:rsidRPr="008608AA">
        <w:rPr>
          <w:rFonts w:eastAsiaTheme="minorEastAsia"/>
          <w:i/>
          <w:iCs/>
        </w:rPr>
        <w:t>Eucalyptus</w:t>
      </w:r>
      <w:r w:rsidRPr="008608AA">
        <w:rPr>
          <w:rFonts w:eastAsiaTheme="minorEastAsia"/>
        </w:rPr>
        <w:t xml:space="preserve">) </w:t>
      </w:r>
      <w:r w:rsidRPr="008608AA">
        <w:rPr>
          <w:rFonts w:eastAsiaTheme="minorEastAsia"/>
        </w:rPr>
        <w:fldChar w:fldCharType="begin" w:fldLock="1"/>
      </w:r>
      <w:r w:rsidRPr="008608AA">
        <w:rPr>
          <w:rFonts w:eastAsiaTheme="minorEastAsia"/>
        </w:rPr>
        <w:instrText>ADDIN CSL_CITATION { "citationItems" : [ { "id" : "ITEM-1", "itemData" : { "DOI" : "10.1016/j.biocon.2009.02.017", "ISBN" : "0006-3207", "ISSN" : "00063207", "abstract" : "Since pristine Atlantic Forest remnants are vanishing, and biological reserves are in short, conservation of biodiversity will largely depend on proper management of the anthropogenic matrix. Here, we test (1) the effectiveness of ecologically-managed tree monocultures in maintaining Araucaria Forest biodiversity, (2) how this effectiveness change among taxa, and (3) we discuss management principles that can be used by the forestry industry in order to contribute positively to biodiversity conservation. The study was conducted in the S\u00e3o Francisco de Paula National Forest, southern Brazil, an environmental mosaic composed mostly of patches of Araucaria Forest and ecologically-managed monocultures of Araucaria, Pinus and Eucalyptus. Using standardized sampling methods in these four main habitats, we have recorded the richness and species composition of small mammals, birds, leaf-litter frogs, butterflies, galling insects, spiders, opiliones, flatworms, woody plants, epiphytic angiosperms, epiphytic ferns, lichens, and fruit-body producing fungi. Overall, we recorded 506 species in Araucaria Forest, 181 (36%) of which were exclusive of this habitat while 325 (64%) could be found in at least one monoculture. Distribution patterns of species richness and number of records across taxonomic groups showed that a large biodiversity can be found inside ecologically-managed plantations of Araucaria, Pinus, and Eucalyptus. For all studied taxa, except for epiphytic angiosperms and fruit-body producing fungi, more than half of the Araucaria Forest species could be found living on monocultures. We discuss how the actual management practices of the forest industry can be improved to contribute positively to the conservation of the Atlantic Forest biodiversity. \u00a9 2009 Elsevier Ltd. All rights reserved.", "author" : [ { "dropping-particle" : "", "family" : "Fonseca", "given" : "Carlos R.", "non-dropping-particle" : "", "parse-names" : false, "suffix" : "" }, { "dropping-particle" : "", "family" : "Ganade", "given" : "Gislene", "non-dropping-particle" : "", "parse-names" : false, "suffix" : "" }, { "dropping-particle" : "", "family" : "Baldissera", "given" : "Ronei", "non-dropping-particle" : "", "parse-names" : false, "suffix" : "" }, { "dropping-particle" : "", "family" : "Becker", "given" : "Carlos G.", "non-dropping-particle" : "", "parse-names" : false, "suffix" : "" }, { "dropping-particle" : "", "family" : "Boelter", "given" : "Carlos R.", "non-dropping-particle" : "", "parse-names" : false, "suffix" : "" }, { "dropping-particle" : "", "family" : "Brescovit", "given" : "Antonio D.", "non-dropping-particle" : "", "parse-names" : false, "suffix" : "" }, { "dropping-particle" : "", "family" : "Campos", "given" : "Lucas M.", "non-dropping-particle" : "", "parse-names" : false, "suffix" : "" }, { "dropping-particle" : "", "family" : "Fleck", "given" : "Tom\u00e1s", "non-dropping-particle" : "", "parse-names" : false, "suffix" : "" }, { "dropping-particle" : "", "family" : "Fonseca", "given" : "Vanda S.", "non-dropping-particle" : "", "parse-names" : false, "suffix" : "" }, { "dropping-particle" : "", "family" : "Hartz", "given" : "Sandra M.", "non-dropping-particle" : "", "parse-names" : false, "suffix" : "" }, { "dropping-particle" : "", "family" : "Joner", "given" : "Fernando", "non-dropping-particle" : "", "parse-names" : false, "suffix" : "" }, { "dropping-particle" : "", "family" : "K\u00e4ffer", "given" : "Marcia I.", "non-dropping-particle" : "", "parse-names" : false, "suffix" : "" }, { "dropping-particle" : "", "family" : "Leal-Zanchet", "given" : "Ana M.", "non-dropping-particle" : "", "parse-names" : false, "suffix" : "" }, { "dropping-particle" : "", "family" : "Marcelli", "given" : "Marcelo P.", "non-dropping-particle" : "", "parse-names" : false, "suffix" : "" }, { "dropping-particle" : "", "family" : "Mesquita", "given" : "Alex S.", "non-dropping-particle" : "", "parse-names" : false, "suffix" : "" }, { "dropping-particle" : "", "family" : "Mondin", "given" : "Cl\u00e1udio A.", "non-dropping-particle" : "", "parse-names" : false, "suffix" : "" }, { "dropping-particle" : "", "family" : "Paz", "given" : "Claudia P.", "non-dropping-particle" : "", "parse-names" : false, "suffix" : "" }, { "dropping-particle" : "V.", "family" : "Petry", "given" : "Maria", "non-dropping-particle" : "", "parse-names" : false, "suffix" : "" }, { "dropping-particle" : "", "family" : "Piovensan", "given" : "Fabio N.", "non-dropping-particle" : "", "parse-names" : false, "suffix" : "" }, { "dropping-particle" : "", "family" : "Putzke", "given" : "Jair", "non-dropping-particle" : "", "parse-names" : false, "suffix" : "" }, { "dropping-particle" : "", "family" : "Stranz", "given" : "Anamaria", "non-dropping-particle" : "", "parse-names" : false, "suffix" : "" }, { "dropping-particle" : "", "family" : "Vergara", "given" : "Micheline", "non-dropping-particle" : "", "parse-names" : false, "suffix" : "" }, { "dropping-particle" : "", "family" : "Vieira", "given" : "Emerson M.", "non-dropping-particle" : "", "parse-names" : false, "suffix" : "" } ], "container-title" : "Biological Conservation", "id" : "ITEM-1", "issue" : "6", "issued" : { "date-parts" : [ [ "2009" ] ] }, "page" : "1209-1219", "publisher" : "Elsevier Ltd", "title" : "Towards an ecologically-sustainable forestry in the Atlantic Forest", "type" : "article-journal", "volume" : "142" }, "uris" : [ "http://www.mendeley.com/documents/?uuid=b8b917a9-97d9-447d-bfc4-ffd39cd9a703" ] } ], "mendeley" : { "formattedCitation" : "(Fonseca et al., 2009)", "plainTextFormattedCitation" : "(Fonseca et al., 2009)", "previouslyFormattedCitation" : "(Fonseca et al., 2009)"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(Fonseca et al., 2009)</w:t>
      </w:r>
      <w:r w:rsidRPr="008608AA">
        <w:rPr>
          <w:rFonts w:eastAsiaTheme="minorEastAsia"/>
        </w:rPr>
        <w:fldChar w:fldCharType="end"/>
      </w:r>
      <w:r w:rsidRPr="008608AA">
        <w:rPr>
          <w:rFonts w:eastAsiaTheme="minorEastAsia"/>
        </w:rPr>
        <w:t xml:space="preserve">. Overall, habitat degradation has driven a fraction of </w:t>
      </w:r>
      <w:r w:rsidRPr="008608AA">
        <w:t>Atlantic coastal forest</w:t>
      </w:r>
      <w:r w:rsidRPr="008608AA">
        <w:rPr>
          <w:rFonts w:eastAsiaTheme="minorEastAsia"/>
        </w:rPr>
        <w:t xml:space="preserve">´s unique biodiversity to near extinction </w:t>
      </w:r>
      <w:r w:rsidRPr="008608AA">
        <w:rPr>
          <w:rFonts w:eastAsiaTheme="minorEastAsia"/>
        </w:rPr>
        <w:fldChar w:fldCharType="begin" w:fldLock="1"/>
      </w:r>
      <w:r w:rsidRPr="008608AA">
        <w:rPr>
          <w:rFonts w:eastAsiaTheme="minorEastAsia"/>
        </w:rPr>
        <w:instrText>ADDIN CSL_CITATION { "citationItems" : [ { "id" : "ITEM-1", "itemData" : { "ISBN" : "1469-8137", "author" : [ { "dropping-particle" : "", "family" : "Joly", "given" : "Carlos A.", "non-dropping-particle" : "", "parse-names" : false, "suffix" : "" }, { "dropping-particle" : "", "family" : "Metzger", "given" : "Jean Paul", "non-dropping-particle" : "", "parse-names" : false, "suffix" : "" }, { "dropping-particle" : "", "family" : "Tabarelli", "given" : "Marcelo", "non-dropping-particle" : "", "parse-names" : false, "suffix" : "" } ], "container-title" : "New Phytologist", "id" : "ITEM-1", "issue" : "3", "issued" : { "date-parts" : [ [ "2014" ] ] }, "page" : "459-473", "title" : "Experiences from the Brazilian Atlantic Forest: ecological findings and conservation initiatives", "type" : "article-journal", "volume" : "204" }, "uris" : [ "http://www.mendeley.com/documents/?uuid=04561f46-9dfe-4231-a309-67f2fe14fe55" ] }, { "id" : "ITEM-2", "itemData" : { "DOI" : "10.1016/j.biocon.2010.02.005", "ISBN" : "0006-3207", "ISSN" : "00063207", "PMID" : "21516884", "abstract" : "Recent global assessments have shown the limited coverage of protected areas across tropical biotas, fuelling a growing interest in the potential conservation services provided by anthropogenic landscapes. Here we examine the geographic distribution of biological diversity in the Atlantic Forest of South America, synthesize the most conspicuous forest biodiversity responses to human disturbances, propose further conservation initiatives for this biota, and offer a range of general insights into the prospects of forest species persistence in human-modified tropical forest landscapes worldwide. At the biome scale, the most extensive pre-Columbian habitats across the Atlantic Forest ranged across elevations below 800. masl, which still concentrate most areas within the major centers of species endemism. Unfortunately, up to 88% of the original forest habitat has been lost, mainly across these low to intermediate elevations, whereas protected areas are clearly skewed towards high elevations above 1200. masl. At the landscape scale, most remaining Atlantic Forest cover is embedded within dynamic agro-mosaics including elements such as small forest fragments, early-to-late secondary forest patches and exotic tree monocultures. In this sort of aging or long-term modified landscapes, habitat fragmentation appears to effectively drive edge-dominated portions of forest fragments towards an early-successional system, greatly limiting the long-term persistence of forest-obligate and forest-dependent species. However, the extent to which forest habitats approach early-successional systems, thereby threatening the bulk of the Atlantic Forest biodiversity, depends on both past and present landscape configuration. Many elements of human-modified landscapes (e.g. patches of early-secondary forests and tree monocultures) may offer excellent conservation opportunities, but they cannot replace the conservation value of protected areas and hitherto unprotected large patches of old-growth forests. Finally, the biodiversity conservation services provided by anthropogenic landscapes across Atlantic Forest and other tropical forest regions can be significantly augmented by coupling biodiversity corridor initiatives with biota-scale attempts to plug existing gaps in the representativeness of protected areas. ?? 2010 Elsevier Ltd.", "author" : [ { "dropping-particle" : "", "family" : "Tabarelli", "given" : "Marcelo", "non-dropping-particle" : "", "parse-names" : false, "suffix" : "" }, { "dropping-particle" : "", "family" : "Aguiar", "given" : "Antonio Venceslau", "non-dropping-particle" : "", "parse-names" : false, "suffix" : "" }, { "dropping-particle" : "", "family" : "Ribeiro", "given" : "Milton Cezar", "non-dropping-particle" : "", "parse-names" : false, "suffix" : "" }, { "dropping-particle" : "", "family" : "Metzger", "given" : "Jean Paul", "non-dropping-particle" : "", "parse-names" : false, "suffix" : "" }, { "dropping-particle" : "", "family" : "Peres", "given" : "Carlos A.", "non-dropping-particle" : "", "parse-names" : false, "suffix" : "" } ], "container-title" : "Biological Conservation", "id" : "ITEM-2", "issue" : "10", "issued" : { "date-parts" : [ [ "2010" ] ] }, "page" : "2328-2340", "publisher" : "Elsevier Ltd", "title" : "Prospects for biodiversity conservation in the Atlantic Forest: lessons from aging human-modified landscapes", "type" : "article-journal", "volume" : "143" }, "uris" : [ "http://www.mendeley.com/documents/?uuid=5eeb0925-ca5a-429e-89df-ce1c4d953897" ] } ], "mendeley" : { "formattedCitation" : "(Joly et al., 2014; Tabarelli et al., 2010)", "manualFormatting" : "(Joly et al., 2014; Tabarelli et al., 2010)", "plainTextFormattedCitation" : "(Joly et al., 2014; Tabarelli et al., 2010)", "previouslyFormattedCitation" : "(Joly et al., 2014; Tabarelli et al., 2010)"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(Joly et al., 2014; Tabarelli et al., 2010)</w:t>
      </w:r>
      <w:r w:rsidRPr="008608AA">
        <w:rPr>
          <w:rFonts w:eastAsiaTheme="minorEastAsia"/>
        </w:rPr>
        <w:fldChar w:fldCharType="end"/>
      </w:r>
      <w:r w:rsidRPr="008608AA">
        <w:rPr>
          <w:rFonts w:eastAsiaTheme="minorEastAsia"/>
        </w:rPr>
        <w:t xml:space="preserve">. Nevertheless, landscape dynamics suggest young secondary forests are beginning to expand in the Amazon, reducing forest isolation and maintaining a significant amount of the original biodiversity </w:t>
      </w:r>
      <w:r w:rsidRPr="008608AA">
        <w:rPr>
          <w:rFonts w:eastAsiaTheme="minorEastAsia"/>
        </w:rPr>
        <w:fldChar w:fldCharType="begin" w:fldLock="1"/>
      </w:r>
      <w:r w:rsidRPr="008608AA">
        <w:rPr>
          <w:rFonts w:eastAsiaTheme="minorEastAsia"/>
        </w:rPr>
        <w:instrText>ADDIN CSL_CITATION { "citationItems" : [ { "id" : "ITEM-1", "itemData" : { "DOI" : "10.1016/j.foreco.2012.05.008", "ISSN" : "03781127", "author" : [ { "dropping-particle" : "", "family" : "Lira", "given" : "Paula K.", "non-dropping-particle" : "", "parse-names" : false, "suffix" : "" }, { "dropping-particle" : "", "family" : "Tambosi", "given" : "Leandro Reverberi", "non-dropping-particle" : "", "parse-names" : false, "suffix" : "" }, { "dropping-particle" : "", "family" : "Ewers", "given" : "Robert M", "non-dropping-particle" : "", "parse-names" : false, "suffix" : "" }, { "dropping-particle" : "", "family" : "Metzger", "given" : "Jean Paul", "non-dropping-particle" : "", "parse-names" : false, "suffix" : "" } ], "container-title" : "Forest Ecology and Management", "id" : "ITEM-1", "issued" : { "date-parts" : [ [ "2012" ] ] }, "page" : "80-89", "title" : "Land-use and land-cover change in Atlantic Forest landscapes", "type" : "article-journal", "volume" : "278" }, "uris" : [ "http://www.mendeley.com/documents/?uuid=fcd4d269-843e-43cc-b6c9-279fb20d2ca4" ] } ], "mendeley" : { "formattedCitation" : "(Lira, Tambosi, Ewers, &amp; Metzger, 2012)", "manualFormatting" : "(Lira et al., 2012)", "plainTextFormattedCitation" : "(Lira, Tambosi, Ewers, &amp; Metzger, 2012)", "previouslyFormattedCitation" : "(Lira, Tambosi, Ewers, &amp; Metzger, 2012)"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(Lira et al., 2012)</w:t>
      </w:r>
      <w:r w:rsidRPr="008608AA">
        <w:rPr>
          <w:rFonts w:eastAsiaTheme="minorEastAsia"/>
        </w:rPr>
        <w:fldChar w:fldCharType="end"/>
      </w:r>
      <w:r w:rsidRPr="008608AA">
        <w:rPr>
          <w:rFonts w:eastAsiaTheme="minorEastAsia"/>
        </w:rPr>
        <w:t xml:space="preserve">. On the other hand, reduction of traditional practices in </w:t>
      </w:r>
      <w:r w:rsidRPr="008608AA">
        <w:t>Atlantic coastal forest</w:t>
      </w:r>
      <w:r w:rsidRPr="008608AA">
        <w:rPr>
          <w:rFonts w:eastAsiaTheme="minorEastAsia"/>
        </w:rPr>
        <w:t xml:space="preserve"> has led to the local loss of cultivar varieties </w:t>
      </w:r>
      <w:r w:rsidRPr="008608AA">
        <w:rPr>
          <w:rFonts w:eastAsiaTheme="minorEastAsia"/>
        </w:rPr>
        <w:fldChar w:fldCharType="begin" w:fldLock="1"/>
      </w:r>
      <w:r w:rsidRPr="008608AA">
        <w:rPr>
          <w:rFonts w:eastAsiaTheme="minorEastAsia"/>
        </w:rPr>
        <w:instrText>ADDIN CSL_CITATION { "citationItems" : [ { "id" : "ITEM-1", "itemData" : { "author" : [ { "dropping-particle" : "", "family" : "Peroni", "given" : "N.", "non-dropping-particle" : "", "parse-names" : false, "suffix" : "" }, { "dropping-particle" : "", "family" : "Hanazaki.", "given" : "N.", "non-dropping-particle" : "", "parse-names" : false, "suffix" : "" } ], "container-title" : "Agriculture Ecosystems &amp; Environment", "id" : "ITEM-1", "issue" : "2", "issued" : { "date-parts" : [ [ "2002" ] ] }, "page" : "171-183", "title" : "Current and lost diversity of cultivated varieties, especially cassava, under swidden cultivation systems in the Brazilian Atlantic Forest", "type" : "article-journal", "volume" : "92" }, "uris" : [ "http://www.mendeley.com/documents/?uuid=7c964dcd-6d9c-40c0-9be8-2b755e70c3b4" ] } ], "mendeley" : { "formattedCitation" : "(Peroni &amp; Hanazaki., 2002)", "plainTextFormattedCitation" : "(Peroni &amp; Hanazaki., 2002)", "previouslyFormattedCitation" : "(Peroni &amp; Hanazaki., 2002)"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(Peroni &amp; Hanazaki., 2002)</w:t>
      </w:r>
      <w:r w:rsidRPr="008608AA">
        <w:rPr>
          <w:rFonts w:eastAsiaTheme="minorEastAsia"/>
        </w:rPr>
        <w:fldChar w:fldCharType="end"/>
      </w:r>
      <w:r w:rsidR="00843724">
        <w:rPr>
          <w:rFonts w:eastAsiaTheme="minorEastAsia"/>
        </w:rPr>
        <w:t>.</w:t>
      </w:r>
    </w:p>
    <w:p w14:paraId="037BE605" w14:textId="4099F6ED" w:rsidR="0014497E" w:rsidRPr="008608AA" w:rsidRDefault="00FE65F2" w:rsidP="00FE65F2">
      <w:pPr>
        <w:pStyle w:val="Caption"/>
        <w:rPr>
          <w:b w:val="0"/>
          <w:sz w:val="20"/>
        </w:rPr>
      </w:pPr>
      <w:bookmarkStart w:id="1102" w:name="_Toc502951176"/>
      <w:bookmarkStart w:id="1103" w:name="_Toc502953619"/>
      <w:bookmarkStart w:id="1104" w:name="_Toc502954912"/>
      <w:bookmarkStart w:id="1105" w:name="_Toc502957719"/>
      <w:bookmarkStart w:id="1106" w:name="_Toc502957918"/>
      <w:bookmarkStart w:id="1107" w:name="_Toc502958072"/>
      <w:bookmarkStart w:id="1108" w:name="_Toc503293120"/>
      <w:bookmarkStart w:id="1109" w:name="_Toc503293718"/>
      <w:bookmarkStart w:id="1110" w:name="_Toc503293980"/>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3</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5</w:t>
      </w:r>
      <w:r w:rsidR="000E562E">
        <w:rPr>
          <w:noProof/>
        </w:rPr>
        <w:fldChar w:fldCharType="end"/>
      </w:r>
      <w:r w:rsidRPr="008608AA">
        <w:t xml:space="preserve">. </w:t>
      </w:r>
      <w:r w:rsidR="0014497E" w:rsidRPr="008608AA">
        <w:t>Nature´s contributions to people (NCP) of the South American Atlantic coastal forest.</w:t>
      </w:r>
      <w:bookmarkEnd w:id="1102"/>
      <w:bookmarkEnd w:id="1103"/>
      <w:bookmarkEnd w:id="1104"/>
      <w:bookmarkEnd w:id="1105"/>
      <w:bookmarkEnd w:id="1106"/>
      <w:bookmarkEnd w:id="1107"/>
      <w:bookmarkEnd w:id="1108"/>
      <w:bookmarkEnd w:id="1109"/>
      <w:bookmarkEnd w:id="1110"/>
    </w:p>
    <w:tbl>
      <w:tblPr>
        <w:tblStyle w:val="TableGrid"/>
        <w:tblW w:w="5000" w:type="pct"/>
        <w:tblLook w:val="04A0" w:firstRow="1" w:lastRow="0" w:firstColumn="1" w:lastColumn="0" w:noHBand="0" w:noVBand="1"/>
      </w:tblPr>
      <w:tblGrid>
        <w:gridCol w:w="9487"/>
      </w:tblGrid>
      <w:tr w:rsidR="005265F1" w:rsidRPr="00843724" w14:paraId="4FACD853" w14:textId="77777777" w:rsidTr="0014497E">
        <w:tc>
          <w:tcPr>
            <w:tcW w:w="5000" w:type="pct"/>
          </w:tcPr>
          <w:p w14:paraId="417C1134" w14:textId="28A0E8EF" w:rsidR="005265F1" w:rsidRPr="00843724" w:rsidRDefault="005265F1" w:rsidP="00FE65F2">
            <w:pPr>
              <w:spacing w:before="120" w:after="120"/>
              <w:rPr>
                <w:rFonts w:asciiTheme="majorHAnsi" w:eastAsiaTheme="minorEastAsia" w:hAnsiTheme="majorHAnsi" w:cs="Calibri"/>
                <w:b/>
                <w:i/>
                <w:iCs/>
                <w:szCs w:val="22"/>
              </w:rPr>
            </w:pPr>
            <w:r w:rsidRPr="00843724">
              <w:rPr>
                <w:szCs w:val="22"/>
              </w:rPr>
              <w:t>Reflecting the</w:t>
            </w:r>
            <w:r w:rsidR="002D2C47" w:rsidRPr="00843724">
              <w:rPr>
                <w:szCs w:val="22"/>
              </w:rPr>
              <w:t xml:space="preserve"> very high NCP contribution of t</w:t>
            </w:r>
            <w:r w:rsidRPr="00843724">
              <w:rPr>
                <w:szCs w:val="22"/>
              </w:rPr>
              <w:t xml:space="preserve">ropical and subtropical </w:t>
            </w:r>
            <w:r w:rsidR="00032883" w:rsidRPr="00843724">
              <w:rPr>
                <w:szCs w:val="22"/>
              </w:rPr>
              <w:t>moist</w:t>
            </w:r>
            <w:r w:rsidRPr="00843724">
              <w:rPr>
                <w:szCs w:val="22"/>
              </w:rPr>
              <w:t xml:space="preserve"> forest (</w:t>
            </w:r>
            <w:r w:rsidR="002D2C47" w:rsidRPr="00843724">
              <w:rPr>
                <w:szCs w:val="22"/>
              </w:rPr>
              <w:t>Figure</w:t>
            </w:r>
            <w:r w:rsidRPr="00843724">
              <w:rPr>
                <w:szCs w:val="22"/>
              </w:rPr>
              <w:t xml:space="preserve"> 3.25), the importance of the Atlantic coastal forest goes beyond its rich and diverse biota. First, Atlantic coastal forest provides water for 125 million people, representing three-quarters of Brazil’s population and for electricity production. Additionally, Atlantic coastal forest provides food. The fruits of the Myrtaceae species, palms, legumes, and passion flowers are important components of the diet of traditional and local people, while other species provide raw materials such as fibers and oils. Many traditional populations rely on Atlantic coastal forest vertebrates as a source of protein. This </w:t>
            </w:r>
            <w:r w:rsidR="007D0448" w:rsidRPr="00843724">
              <w:rPr>
                <w:szCs w:val="22"/>
              </w:rPr>
              <w:t xml:space="preserve">part of the more inclusive </w:t>
            </w:r>
            <w:r w:rsidR="00657833" w:rsidRPr="00843724">
              <w:rPr>
                <w:szCs w:val="22"/>
              </w:rPr>
              <w:t>t</w:t>
            </w:r>
            <w:r w:rsidR="007D0448" w:rsidRPr="00843724">
              <w:rPr>
                <w:szCs w:val="22"/>
              </w:rPr>
              <w:t xml:space="preserve">ropical and subtropical moist forest biome </w:t>
            </w:r>
            <w:r w:rsidRPr="00843724">
              <w:rPr>
                <w:szCs w:val="22"/>
              </w:rPr>
              <w:t xml:space="preserve">plays an important role in climate regulation and soil stability. Disrupting this stability signifies increased landslides and floods, with disastrous consequences for human populations. In terms of agriculture-related NCP, Atlantic coastal forest hosts some 60 species of Euglossini bees, known to be long-distance pollinators. Finally, the cultural value of Atlantic coastal forest dates back &gt;8,000 years. </w:t>
            </w:r>
            <w:r w:rsidR="007D0448" w:rsidRPr="00843724">
              <w:rPr>
                <w:szCs w:val="22"/>
              </w:rPr>
              <w:t>Atlantic coastal forest</w:t>
            </w:r>
            <w:r w:rsidRPr="00843724">
              <w:rPr>
                <w:szCs w:val="22"/>
              </w:rPr>
              <w:t xml:space="preserve"> remnants are increasingly important for recreation in urban areas, where they serve as parks or urban forests </w:t>
            </w:r>
            <w:r w:rsidRPr="00843724">
              <w:rPr>
                <w:rFonts w:eastAsiaTheme="minorEastAsia"/>
                <w:szCs w:val="22"/>
              </w:rPr>
              <w:fldChar w:fldCharType="begin" w:fldLock="1"/>
            </w:r>
            <w:r w:rsidRPr="00843724">
              <w:rPr>
                <w:rFonts w:eastAsiaTheme="minorEastAsia"/>
                <w:szCs w:val="22"/>
              </w:rPr>
              <w:instrText>ADDIN CSL_CITATION { "citationItems" : [ { "id" : "ITEM-1", "itemData" : { "ISBN" : "1469-8137", "author" : [ { "dropping-particle" : "", "family" : "Joly", "given" : "Carlos A.", "non-dropping-particle" : "", "parse-names" : false, "suffix" : "" }, { "dropping-particle" : "", "family" : "Metzger", "given" : "Jean Paul", "non-dropping-particle" : "", "parse-names" : false, "suffix" : "" }, { "dropping-particle" : "", "family" : "Tabarelli", "given" : "Marcelo", "non-dropping-particle" : "", "parse-names" : false, "suffix" : "" } ], "container-title" : "New Phytologist", "id" : "ITEM-1", "issue" : "3", "issued" : { "date-parts" : [ [ "2014" ] ] }, "page" : "459-473", "title" : "Experiences from the Brazilian Atlantic Forest: ecological findings and conservation initiatives", "type" : "article-journal", "volume" : "204" }, "uris" : [ "http://www.mendeley.com/documents/?uuid=04561f46-9dfe-4231-a309-67f2fe14fe55" ] } ], "mendeley" : { "formattedCitation" : "(Joly et al., 2014)", "manualFormatting" : "(Joly et al., 2014)", "plainTextFormattedCitation" : "(Joly et al., 2014)", "previouslyFormattedCitation" : "(Joly et al., 2014)" }, "properties" : { "noteIndex" : 0 }, "schema" : "https://github.com/citation-style-language/schema/raw/master/csl-citation.json" }</w:instrText>
            </w:r>
            <w:r w:rsidRPr="00843724">
              <w:rPr>
                <w:rFonts w:eastAsiaTheme="minorEastAsia"/>
                <w:szCs w:val="22"/>
              </w:rPr>
              <w:fldChar w:fldCharType="separate"/>
            </w:r>
            <w:r w:rsidRPr="00843724">
              <w:rPr>
                <w:rFonts w:eastAsiaTheme="minorEastAsia"/>
                <w:noProof/>
                <w:szCs w:val="22"/>
              </w:rPr>
              <w:t>(Joly et al., 2014)</w:t>
            </w:r>
            <w:r w:rsidRPr="00843724">
              <w:rPr>
                <w:rFonts w:eastAsiaTheme="minorEastAsia"/>
                <w:szCs w:val="22"/>
              </w:rPr>
              <w:fldChar w:fldCharType="end"/>
            </w:r>
            <w:r w:rsidRPr="00843724">
              <w:rPr>
                <w:rFonts w:eastAsiaTheme="minorEastAsia"/>
                <w:szCs w:val="22"/>
              </w:rPr>
              <w:t>.</w:t>
            </w:r>
          </w:p>
        </w:tc>
      </w:tr>
    </w:tbl>
    <w:p w14:paraId="2BC3FE19" w14:textId="17009B00" w:rsidR="004255E7" w:rsidRPr="008608AA" w:rsidRDefault="004255E7" w:rsidP="0041668E">
      <w:pPr>
        <w:spacing w:before="120" w:after="120"/>
        <w:rPr>
          <w:rFonts w:eastAsiaTheme="minorEastAsia"/>
        </w:rPr>
      </w:pPr>
      <w:r w:rsidRPr="008608AA">
        <w:rPr>
          <w:rFonts w:eastAsiaTheme="minorEastAsia"/>
        </w:rPr>
        <w:t xml:space="preserve">Overharvesting in Amazonian wet forest has caused recent declines in animal populations and basinwide collapse in aquatic species </w:t>
      </w:r>
      <w:r w:rsidRPr="008608AA">
        <w:rPr>
          <w:rFonts w:eastAsiaTheme="minorEastAsia"/>
        </w:rPr>
        <w:fldChar w:fldCharType="begin" w:fldLock="1"/>
      </w:r>
      <w:r w:rsidRPr="008608AA">
        <w:rPr>
          <w:rFonts w:eastAsiaTheme="minorEastAsia"/>
        </w:rPr>
        <w:instrText>ADDIN CSL_CITATION { "citationItems" : [ { "id" : "ITEM-1", "itemData" : { "DOI" : "10.1126/sciadv.1600936", "abstract" : "The Amazon basin is the largest and most species-rich tropical forest and river system in the world, playing a pivotal role in global climate regulation and harboring hundreds of traditional and indigenous cultures. It is a matter of intense debate whether the ecosystem is threatened by hunting practices, whereby an {\\textquotedblleft}empty forest{\\textquotedblright} loses critical ecological functions. Strikingly, no previous study has examined Amazonian ecosystem resilience through the perspective of the massive 20th century international trade in furs and skins. We present the first historical account of the scale and impacts of this trade and show that whereas aquatic species suffered basin-wide population collapse, terrestrial species did not. We link this differential resilience to the persistence of adequate spatial refuges for terrestrial species, enabling populations to be sustained through source-sink dynamics, contrasting with unremitting hunting pressure on more accessible aquatic habitats. Our findings attest the high vulnerability of aquatic fauna to unregulated hunting, particularly during years of severe drought. We propose that the relative resilience of terrestrial species suggests a marked opportunity for managing, rather than criminalizing, contemporary traditional subsistence hunting in Amazonia, through both the engagement of local people in community-based comanagement programs and science-led conservation governance.", "author" : [ { "dropping-particle" : "", "family" : "Antunes", "given" : "Andr\u00e9 P.", "non-dropping-particle" : "", "parse-names" : false, "suffix" : "" }, { "dropping-particle" : "", "family" : "Fewster", "given" : "Rachel M.", "non-dropping-particle" : "", "parse-names" : false, "suffix" : "" }, { "dropping-particle" : "", "family" : "Venticinque", "given" : "Eduardo M.", "non-dropping-particle" : "", "parse-names" : false, "suffix" : "" }, { "dropping-particle" : "", "family" : "Peres", "given" : "Carlos A.", "non-dropping-particle" : "", "parse-names" : false, "suffix" : "" }, { "dropping-particle" : "", "family" : "Levi", "given" : "Taal", "non-dropping-particle" : "", "parse-names" : false, "suffix" : "" }, { "dropping-particle" : "", "family" : "Rohe", "given" : "Fabio", "non-dropping-particle" : "", "parse-names" : false, "suffix" : "" }, { "dropping-particle" : "", "family" : "Shepard", "given" : "Glenn H.", "non-dropping-particle" : "", "parse-names" : false, "suffix" : "" } ], "container-title" : "Science Advances", "id" : "ITEM-1", "issue" : "10", "issued" : { "date-parts" : [ [ "2016" ] ] }, "page" : "e1600936", "publisher" : "American Association for the Advancement of Science", "title" : "Empty forest or empty rivers? A century of commercial hunting in Amazonia", "type" : "article-journal", "volume" : "2" }, "uris" : [ "http://www.mendeley.com/documents/?uuid=5592a3cb-79f9-433c-8787-6703b6d67982" ] } ], "mendeley" : { "formattedCitation" : "(Antunes et al., 2016)", "plainTextFormattedCitation" : "(Antunes et al., 2016)", "previouslyFormattedCitation" : "(Antunes et al., 2016)"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(Antunes et al., 2016)</w:t>
      </w:r>
      <w:r w:rsidRPr="008608AA">
        <w:rPr>
          <w:rFonts w:eastAsiaTheme="minorEastAsia"/>
        </w:rPr>
        <w:fldChar w:fldCharType="end"/>
      </w:r>
      <w:r w:rsidRPr="008608AA">
        <w:rPr>
          <w:rFonts w:eastAsiaTheme="minorEastAsia"/>
        </w:rPr>
        <w:t xml:space="preserve">. Likewise, many species have proven susceptible to road kill, predation or hunting by humans near roads </w:t>
      </w:r>
      <w:r w:rsidRPr="008608AA">
        <w:rPr>
          <w:rFonts w:eastAsiaTheme="minorEastAsia"/>
        </w:rPr>
        <w:fldChar w:fldCharType="begin" w:fldLock="1"/>
      </w:r>
      <w:r w:rsidRPr="008608AA">
        <w:rPr>
          <w:rFonts w:eastAsiaTheme="minorEastAsia"/>
        </w:rPr>
        <w:instrText>ADDIN CSL_CITATION { "citationItems" : [ { "id" : "ITEM-1", "itemData" : { "DOI" : "10.1016/j.tree.2009.06.009", "ISBN" : "0169-5347", "ISSN" : "01695347", "PMID" : "19748151", "abstract" : "Linear infrastructure such as roads, highways, power lines and gas lines are omnipresent features of human activity and are rapidly expanding in the tropics. Tropical species are especially vulnerable to such infrastructure because they include many ecological specialists that avoid even narrow (&lt;30-m wide) clearings and forest edges, as well as other species that are susceptible to road kill, predation or hunting by humans near roads. In addition, roads have a major role in opening up forested tropical regions to destructive colonization and exploitation. Here, we synthesize existing research on the impacts of roads and other linear clearings on tropical rainforests, and assert that such impacts are often qualitatively and quantitatively different in tropical forests than in other ecosystems. We also highlight practical measures to reduce the negative impacts of roads and other linear infrastructure on tropical species. ?? 2009 Elsevier Ltd. All rights reserved.", "author" : [ { "dropping-particle" : "", "family" : "Laurance", "given" : "William F.", "non-dropping-particle" : "", "parse-names" : false, "suffix" : "" }, { "dropping-particle" : "", "family" : "Goosem", "given" : "Miriam", "non-dropping-particle" : "", "parse-names" : false, "suffix" : "" }, { "dropping-particle" : "", "family" : "Laurance", "given" : "Susan G. W.", "non-dropping-particle" : "", "parse-names" : false, "suffix" : "" } ], "container-title" : "Trends in Ecology and Evolution", "id" : "ITEM-1", "issue" : "12", "issued" : { "date-parts" : [ [ "2009" ] ] }, "page" : "659-669", "title" : "Impacts of roads and linear clearings on tropical forests", "type" : "article-journal", "volume" : "24" }, "uris" : [ "http://www.mendeley.com/documents/?uuid=706c21d4-05b4-4a83-a747-e47fdac5e492" ] } ], "mendeley" : { "formattedCitation" : "(Laurance, Goosem, &amp; Laurance, 2009)", "manualFormatting" : "(Laurance et al., 2009)", "plainTextFormattedCitation" : "(Laurance, Goosem, &amp; Laurance, 2009)", "previouslyFormattedCitation" : "(Laurance, Goosem, &amp; Laurance, 2009)"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(Laurance et al., 2009)</w:t>
      </w:r>
      <w:r w:rsidRPr="008608AA">
        <w:rPr>
          <w:rFonts w:eastAsiaTheme="minorEastAsia"/>
        </w:rPr>
        <w:fldChar w:fldCharType="end"/>
      </w:r>
      <w:r w:rsidRPr="008608AA">
        <w:rPr>
          <w:rFonts w:eastAsiaTheme="minorEastAsia"/>
        </w:rPr>
        <w:t>.</w:t>
      </w:r>
      <w:r w:rsidR="00605385" w:rsidRPr="008608AA">
        <w:rPr>
          <w:rFonts w:eastAsiaTheme="minorEastAsia"/>
        </w:rPr>
        <w:t xml:space="preserve"> </w:t>
      </w:r>
      <w:r w:rsidRPr="008608AA">
        <w:rPr>
          <w:rFonts w:eastAsiaTheme="minorEastAsia"/>
        </w:rPr>
        <w:t xml:space="preserve">Hunting of large mammals that disperse seeds of many Neotropical trees can lead to important losses in above-ground biomass </w:t>
      </w:r>
      <w:r w:rsidRPr="008608AA">
        <w:rPr>
          <w:rFonts w:eastAsiaTheme="minorEastAsia"/>
        </w:rPr>
        <w:fldChar w:fldCharType="begin" w:fldLock="1"/>
      </w:r>
      <w:r w:rsidRPr="008608AA">
        <w:rPr>
          <w:rFonts w:eastAsiaTheme="minorEastAsia"/>
        </w:rPr>
        <w:instrText>ADDIN CSL_CITATION { "citationItems" : [ { "id" : "ITEM-1", "itemData" : { "ISSN" : "0027-8424", "author" : [ { "dropping-particle" : "", "family" : "Peres", "given" : "Carlos A.", "non-dropping-particle" : "", "parse-names" : false, "suffix" : "" }, { "dropping-particle" : "", "family" : "Emilio", "given" : "Thaise", "non-dropping-particle" : "", "parse-names" : false, "suffix" : "" }, { "dropping-particle" : "", "family" : "Schietti", "given" : "Juliana", "non-dropping-particle" : "", "parse-names" : false, "suffix" : "" }, { "dropping-particle" : "", "family" : "Desmouli\u00e8re", "given" : "Sylvain J. M.", "non-dropping-particle" : "", "parse-names" : false, "suffix" : "" }, { "dropping-particle" : "", "family" : "Levi", "given" : "Taal", "non-dropping-particle" : "", "parse-names" : false, "suffix" : "" } ], "container-title" : "PNAS", "id" : "ITEM-1", "issue" : "4", "issued" : { "date-parts" : [ [ "2016" ] ] }, "page" : "892-897", "publisher" : "National Acad Sciences", "title" : "Dispersal limitation induces long-term biomass collapse in overhunted Amazonian forests", "type" : "article-journal", "volume" : "113" }, "uris" : [ "http://www.mendeley.com/documents/?uuid=27f9d66a-fd5d-4813-aed0-d1a3aca3af0d" ] } ], "mendeley" : { "formattedCitation" : "(Peres, Emilio, Schietti, Desmouli\u00e8re, &amp; Levi, 2016)", "manualFormatting" : "(Peres et al., 2016)", "plainTextFormattedCitation" : "(Peres, Emilio, Schietti, Desmouli\u00e8re, &amp; Levi, 2016)", "previouslyFormattedCitation" : "(Peres, Emilio, Schietti, Desmouli\u00e8re, &amp; Levi, 2016)"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(Peres et al., 2016)</w:t>
      </w:r>
      <w:r w:rsidRPr="008608AA">
        <w:rPr>
          <w:rFonts w:eastAsiaTheme="minorEastAsia"/>
        </w:rPr>
        <w:fldChar w:fldCharType="end"/>
      </w:r>
      <w:r w:rsidRPr="008608AA">
        <w:rPr>
          <w:rFonts w:eastAsiaTheme="minorEastAsia"/>
        </w:rPr>
        <w:t xml:space="preserve">. Defaunation thus has the potential to erode carbon storage, even when only a small proportion of large-seeded trees are extirpated </w:t>
      </w:r>
      <w:r w:rsidRPr="008608AA">
        <w:rPr>
          <w:rFonts w:eastAsiaTheme="minorEastAsia"/>
        </w:rPr>
        <w:fldChar w:fldCharType="begin" w:fldLock="1"/>
      </w:r>
      <w:r w:rsidRPr="008608AA">
        <w:rPr>
          <w:rFonts w:eastAsiaTheme="minorEastAsia"/>
        </w:rPr>
        <w:instrText>ADDIN CSL_CITATION { "citationItems" : [ { "id" : "ITEM-1", "itemData" : { "DOI" : "10.1126/sciadv.1501105", "ISBN" : "10.1126/sciadv.1501105", "ISSN" : "2375-2548", "PMID" : "26824067", "abstract" : "Carbon storage is widely acknowledged as one of the most valuable forest ecosystem services. Deforestation, logging, fragmentation, fire, and climate change have significant effects on tropical carbon stocks; however, an elusive and yet undetected decrease in carbon storage may be due to defaunation of large seed dispersers. Many large tropical trees with sizeable contributions to carbon stock rely on large vertebrates for seed dispersal and regeneration, however many of these frugivores are threatened by hunting, illegal trade, and habitat loss. We used a large data set on tree species composition and abundance, seed, fruit, and carbon-related traits, and plant-animal interactions to estimate the loss of carbon storage capacity of tropical forests in defaunated scenarios. By simulating the local extinction of trees that depend on large frugivores in 31 Atlantic Forest communities, we found that defaunation has the potential to significantly erode carbon storage even when only a small proportion of large-seeded trees are extirpated. Although intergovernmental policies to reduce carbon emissions and reforestation programs have been mostly focused on deforestation, our results demonstrate that defaunation, and the loss of key ecological interactions, also poses a serious risk for the maintenance of tropical forest carbon storage.", "author" : [ { "dropping-particle" : "", "family" : "Bello", "given" : "C.", "non-dropping-particle" : "", "parse-names" : false, "suffix" : "" }, { "dropping-particle" : "", "family" : "Galetti", "given" : "M.", "non-dropping-particle" : "", "parse-names" : false, "suffix" : "" }, { "dropping-particle" : "", "family" : "Pizo", "given" : "M. A.", "non-dropping-particle" : "", "parse-names" : false, "suffix" : "" }, { "dropping-particle" : "", "family" : "Magnago", "given" : "L. F. S.", "non-dropping-particle" : "", "parse-names" : false, "suffix" : "" }, { "dropping-particle" : "", "family" : "Rocha", "given" : "M. F.", "non-dropping-particle" : "", "parse-names" : false, "suffix" : "" }, { "dropping-particle" : "", "family" : "Lima", "given" : "R. A. F.", "non-dropping-particle" : "", "parse-names" : false, "suffix" : "" }, { "dropping-particle" : "", "family" : "Peres", "given" : "C. A.", "non-dropping-particle" : "", "parse-names" : false, "suffix" : "" }, { "dropping-particle" : "", "family" : "Ovaskainen", "given" : "O.", "non-dropping-particle" : "", "parse-names" : false, "suffix" : "" }, { "dropping-particle" : "", "family" : "Jordano", "given" : "P.", "non-dropping-particle" : "", "parse-names" : false, "suffix" : "" } ], "container-title" : "Science Advances", "id" : "ITEM-1", "issue" : "11", "issued" : { "date-parts" : [ [ "2015" ] ] }, "page" : "e1501105-e1501105", "title" : "Defaunation affects carbon storage in tropical forests", "type" : "article-journal", "volume" : "1" }, "uris" : [ "http://www.mendeley.com/documents/?uuid=a0b32559-145c-47d1-916d-2ad990cdc4d6" ] } ], "mendeley" : { "formattedCitation" : "(C. Bello et al., 2015)", "manualFormatting" : "(Bello et al., 2015)", "plainTextFormattedCitation" : "(C. Bello et al., 2015)", "previouslyFormattedCitation" : "(C. Bello et al., 2015)"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(Bello et al., 2015)</w:t>
      </w:r>
      <w:r w:rsidRPr="008608AA">
        <w:rPr>
          <w:rFonts w:eastAsiaTheme="minorEastAsia"/>
        </w:rPr>
        <w:fldChar w:fldCharType="end"/>
      </w:r>
      <w:r w:rsidRPr="008608AA">
        <w:rPr>
          <w:rFonts w:eastAsiaTheme="minorEastAsia"/>
        </w:rPr>
        <w:t xml:space="preserve">. The conservation of large frugivorous vertebrates is therefore important to reduce emissions from deforestation and forest degradation. </w:t>
      </w:r>
    </w:p>
    <w:p w14:paraId="19D3D918" w14:textId="77777777" w:rsidR="0063629E" w:rsidRPr="008608AA" w:rsidRDefault="0063629E" w:rsidP="0041668E">
      <w:pPr>
        <w:spacing w:before="120" w:after="120"/>
        <w:rPr>
          <w:rFonts w:eastAsiaTheme="minorEastAsia"/>
        </w:rPr>
      </w:pPr>
    </w:p>
    <w:p w14:paraId="18F7CDD7" w14:textId="0B9FD2C5" w:rsidR="004255E7" w:rsidRPr="008608AA" w:rsidRDefault="004255E7" w:rsidP="0041668E">
      <w:pPr>
        <w:pStyle w:val="Heading4"/>
        <w:rPr>
          <w:lang w:val="en-US"/>
        </w:rPr>
      </w:pPr>
      <w:bookmarkStart w:id="1111" w:name="_Toc502927358"/>
      <w:bookmarkStart w:id="1112" w:name="_Toc517393312"/>
      <w:bookmarkStart w:id="1113" w:name="_Toc517719053"/>
      <w:bookmarkStart w:id="1114" w:name="_Toc517797010"/>
      <w:r w:rsidRPr="008608AA">
        <w:rPr>
          <w:lang w:val="en-US"/>
        </w:rPr>
        <w:t>Tropical and subtropical dry forests</w:t>
      </w:r>
      <w:bookmarkEnd w:id="1111"/>
      <w:bookmarkEnd w:id="1112"/>
      <w:bookmarkEnd w:id="1113"/>
      <w:bookmarkEnd w:id="1114"/>
      <w:r w:rsidRPr="008608AA">
        <w:rPr>
          <w:lang w:val="en-US"/>
        </w:rPr>
        <w:t xml:space="preserve"> </w:t>
      </w:r>
    </w:p>
    <w:p w14:paraId="75A072E4" w14:textId="77777777" w:rsidR="004255E7" w:rsidRPr="008608AA" w:rsidRDefault="004255E7" w:rsidP="0041668E">
      <w:pPr>
        <w:pStyle w:val="Heading5"/>
        <w:numPr>
          <w:ilvl w:val="0"/>
          <w:numId w:val="0"/>
        </w:numPr>
        <w:spacing w:after="120"/>
        <w:ind w:left="1008" w:hanging="1008"/>
      </w:pPr>
      <w:r w:rsidRPr="008608AA">
        <w:rPr>
          <w:sz w:val="24"/>
          <w:szCs w:val="24"/>
        </w:rPr>
        <w:t>Mesoamerican subregion</w:t>
      </w:r>
      <w:r w:rsidRPr="008608AA">
        <w:t xml:space="preserve"> </w:t>
      </w:r>
    </w:p>
    <w:p w14:paraId="2764811A" w14:textId="5DB6463D" w:rsidR="004255E7" w:rsidRPr="008608AA" w:rsidRDefault="004255E7" w:rsidP="0041668E">
      <w:pPr>
        <w:spacing w:after="120"/>
      </w:pPr>
      <w:r w:rsidRPr="008608AA">
        <w:t>Status</w:t>
      </w:r>
      <w:r w:rsidR="00657833" w:rsidRPr="008608AA">
        <w:t>.</w:t>
      </w:r>
      <w:r w:rsidRPr="008608AA">
        <w:rPr>
          <w:shd w:val="clear" w:color="auto" w:fill="FFFFFF"/>
        </w:rPr>
        <w:t xml:space="preserve"> Tropical and subtropical dry forests are rich in </w:t>
      </w:r>
      <w:r w:rsidRPr="008608AA">
        <w:t xml:space="preserve">biodiversity, particularly insects, as seen for data for mostly northwestern Costa Rica and Mexico (Table 3.4). The flora of Mexican lowland dry forests shows outstanding endemism (25% at the generic level and 40% the species level) </w:t>
      </w:r>
      <w:r w:rsidRPr="008608AA">
        <w:fldChar w:fldCharType="begin" w:fldLock="1"/>
      </w:r>
      <w:r w:rsidRPr="008608AA">
        <w:instrText>ADDIN CSL_CITATION { "citationItems" : [ { "id" : "ITEM-1", "itemData" : { "ISBN" : "978-607-7607-03-8", "abstract" : "Challenger, A., Sober\u00f3n, J. 2008. Los ecosistemas terrestres. En: Sarukh\u00e1n, J. (coord.). Capitalnatural de M\u00e9xico, vol. I: Conocimiento actual de la biodiversidad, pp. 87-108, Comisi\u00f3n Nacionalpara el Conocimiento y Uso de la Biodiversidad, M\u00e9xico. Chapela, F. 2005. ...", "author" : [ { "dropping-particle" : "", "family" : "Challenger", "given" : "A.", "non-dropping-particle" : "", "parse-names" : false, "suffix" : "" }, { "dropping-particle" : "", "family" : "Sober\u00f3n", "given" : "J.", "non-dropping-particle" : "", "parse-names" : false, "suffix" : "" } ], "container-title" : "Capital Natural de M\u00e9xico, Vol. I: Conocimiento Actual de la Biodiversidad", "editor" : [ { "dropping-particle" : "", "family" : "Sarukh\u00e1n", "given" : "Jos\u00e9", "non-dropping-particle" : "", "parse-names" : false, "suffix" : "" } ], "id" : "ITEM-1", "issued" : { "date-parts" : [ [ "2008" ] ] }, "page" : "87-108", "publisher" : "CONABIO", "publisher-place" : "Sarukh\u00e1n, Jos\u00e9", "title" : "Los ecosistemas terrestres", "type" : "chapter" }, "uris" : [ "http://www.mendeley.com/documents/?uuid=3ee86e12-ed09-3522-b56e-692774865ec3" ] } ], "mendeley" : { "formattedCitation" : "(Challenger &amp; Sober\u00f3n, 2008)", "manualFormatting" : "(Challenger &amp; Sober\u00f3n, 2008)", "plainTextFormattedCitation" : "(Challenger &amp; Sober\u00f3n, 2008)", "previouslyFormattedCitation" : "(Challenger &amp; Sober\u00f3n, 2008)" }, "properties" : { "noteIndex" : 0 }, "schema" : "https://github.com/citation-style-language/schema/raw/master/csl-citation.json" }</w:instrText>
      </w:r>
      <w:r w:rsidRPr="008608AA">
        <w:fldChar w:fldCharType="separate"/>
      </w:r>
      <w:r w:rsidRPr="008608AA">
        <w:rPr>
          <w:noProof/>
        </w:rPr>
        <w:t>(Challenger &amp; Soberón, 2008)</w:t>
      </w:r>
      <w:r w:rsidRPr="008608AA">
        <w:fldChar w:fldCharType="end"/>
      </w:r>
      <w:r w:rsidRPr="008608AA">
        <w:t xml:space="preserve">. An estimated 72% of this biome, found mostly along the </w:t>
      </w:r>
      <w:r w:rsidRPr="008608AA">
        <w:rPr>
          <w:shd w:val="clear" w:color="auto" w:fill="FFFFFF"/>
        </w:rPr>
        <w:t xml:space="preserve">Pacific side </w:t>
      </w:r>
      <w:r w:rsidRPr="008608AA">
        <w:t>of the Mesoamerican subregion,</w:t>
      </w:r>
      <w:r w:rsidRPr="008608AA">
        <w:rPr>
          <w:shd w:val="clear" w:color="auto" w:fill="FFFFFF"/>
        </w:rPr>
        <w:t xml:space="preserve"> from Panama to western Mexico, is converted</w:t>
      </w:r>
      <w:r w:rsidRPr="008608AA">
        <w:rPr>
          <w:vertAlign w:val="superscript"/>
        </w:rPr>
        <w:t xml:space="preserve"> </w:t>
      </w:r>
      <w:r w:rsidRPr="008608AA">
        <w:fldChar w:fldCharType="begin" w:fldLock="1"/>
      </w:r>
      <w:r w:rsidRPr="008608AA">
        <w:instrText>ADDIN CSL_CITATION { "citationItems" : [ { "id" : "ITEM-1", "itemData" : { "DOI" : "10.1016/j.biocon.2009.09.020", "ISBN" : "0006-3207", "ISSN" : "00063207", "PMID" : "8522144", "abstract" : "This paper shows the results of an assessment on the current extent of Neotropical dry forests based on a supervised classification of MODIS surface reflectance imagery at 500-m resolution. Our findings show that tropical dry forests extend for 519,597 km2 across North and South America. Mexico, Brazil and Bolivia harbor the largest and best-preserved dry forest fragments. Mexico contains the largest extent at 181,461 km2 (38% of the total), although it remains poorly represented under protected areas. On the other hand, Brazil and Bolivia contain the largest proportion of protected tropical dry forests and the largest extent in continuous forest fragments. We found that five single ecoregions account for more than half of the tropical dry forests in the Americas (continental and insular) and these ecoregions are: the Chiquitano dry forests, located in Bolivia and Brazil (27.5%), the Atlantic dry forests (10.2%), the Sinaloan dry forests in Mexico (9.7%), the Cuban dry forests (7.1%) and the Bajio dry forests in Mexico (7%). Chiquitano dry forests alone contain 142,941 km2 of dry forests. Of the approximately 23,000 km2 of dry forest under legal protection, 15,000 km2 are located in just two countries, Bolivia and Brazil. In fact, Bolivia protects 10,609 km2 of dry forests, where 7600 km2 are located within the Chiquitano dry forest ecoregion and protected by a single park. Low extent and high fragmentation of dry forests in countries like Guatemala, Nicaragua, Ecuador, Costa Rica and Peru means that these forests are at a higher risk from human disturbance and deforestation. \u00a9 2009 Elsevier Ltd. All rights reserved.", "author" : [ { "dropping-particle" : "", "family" : "Portillo-Quintero", "given" : "C. A.", "non-dropping-particle" : "", "parse-names" : false, "suffix" : "" }, { "dropping-particle" : "", "family" : "S\u00e1nchez-Azofeifa", "given" : "G. A.", "non-dropping-particle" : "", "parse-names" : false, "suffix" : "" } ], "container-title" : "Biological Conservation", "id" : "ITEM-1", "issue" : "1", "issued" : { "date-parts" : [ [ "2010" ] ] }, "page" : "144-155", "title" : "Extent and conservation of tropical dry forests in the Americas", "type" : "article-journal", "volume" : "143" }, "uris" : [ "http://www.mendeley.com/documents/?uuid=44430ed5-0e24-34a0-8b8f-7050b582900a" ] } ], "mendeley" : { "formattedCitation" : "(Portillo-Quintero &amp; S\u00e1nchez-Azofeifa, 2010)", "manualFormatting" : "(Portillo-Quintero &amp; S\u00e1nchez-Azofeifa, 2010)", "plainTextFormattedCitation" : "(Portillo-Quintero &amp; S\u00e1nchez-Azofeifa, 2010)", "previouslyFormattedCitation" : "(Portillo-Quintero &amp; S\u00e1nchez-Azofeifa, 2010)" }, "properties" : { "noteIndex" : 0 }, "schema" : "https://github.com/citation-style-language/schema/raw/master/csl-citation.json" }</w:instrText>
      </w:r>
      <w:r w:rsidRPr="008608AA">
        <w:fldChar w:fldCharType="separate"/>
      </w:r>
      <w:r w:rsidRPr="008608AA">
        <w:rPr>
          <w:noProof/>
        </w:rPr>
        <w:t>(Portillo-Quintero &amp; Sánchez-Azofeifa, 2010)</w:t>
      </w:r>
      <w:r w:rsidRPr="008608AA">
        <w:fldChar w:fldCharType="end"/>
      </w:r>
      <w:r w:rsidRPr="008608AA">
        <w:t xml:space="preserve">. Today Tropical and subtropical dry forests are considered among the most threatened of all terrestrial ecosystems worldwide </w:t>
      </w:r>
      <w:r w:rsidRPr="008608AA">
        <w:fldChar w:fldCharType="begin" w:fldLock="1"/>
      </w:r>
      <w:r w:rsidRPr="008608AA">
        <w:instrText>ADDIN CSL_CITATION { "citationItems" : [ { "id" : "ITEM-1", "itemData" : { "DOI" : "10.1016/B978-0-12-384719-5.00354-3", "ISBN" : "9780123847201", "abstract" : "Neotropical seasonally dry forests (NSDFs) extend for approximately 520,000 sq. km. across 18 countries in the Neotropics. Its high degree of floristic and animal endemism and its high diversity of life forms makes it an important asset of the world\u2019s biodiversity. However, because of its biophysical, edaphic, and climatic characteristics, NSDF also represents the first frontier of economic development in tropical America. At least 66% has disappeared from its potential extent. NSDF are not only threatened by socioeconomic pressures but also may be experiencing a combined and still poorly documented pressure from climate variability and change. In this article the authors provide a context to the definition of NSDF by analyzing the existing descriptions available today. In addition, they describe the general physical and biotic characteristics of NSDF and its successional stages. The authors explore patterns and processes of land-use/cover change such as extent, fragmentation patterns, and degree of protection, plus deforestation and drivers of change. Finally, issues associated to NSDF silvicultural management have been explored.", "author" : [ { "dropping-particle" : "", "family" : "Calvo-Alvarado", "given" : "Julio", "non-dropping-particle" : "", "parse-names" : false, "suffix" : "" }, { "dropping-particle" : "", "family" : "S\u00e1nchez-Azofeifa", "given" : "Arturo", "non-dropping-particle" : "", "parse-names" : false, "suffix" : "" }, { "dropping-particle" : "", "family" : "Portillo-Quintero", "given" : "Carlos", "non-dropping-particle" : "", "parse-names" : false, "suffix" : "" } ], "container-title" : "Encyclopedia of Biodiversity", "editor" : [ { "dropping-particle" : "", "family" : "Levin", "given" : "S.", "non-dropping-particle" : "", "parse-names" : false, "suffix" : "" } ], "id" : "ITEM-1", "issued" : { "date-parts" : [ [ "2013" ] ] }, "page" : "488-500", "publisher" : "Academic Press", "publisher-place" : "Amsterdam, The Netherlands", "title" : "Neotropical seasonally dry forests", "type" : "chapter" }, "uris" : [ "http://www.mendeley.com/documents/?uuid=f7441e29-937e-3f02-aa92-4045e1f068e6" ] }, { "id" : "ITEM-2", "itemData" : { "author" : [ { "dropping-particle" : "", "family" : "Janzen", "given" : "D.H.", "non-dropping-particle" : "", "parse-names" : false, "suffix" : "" } ], "container-title" : "Biodiversity", "editor" : [ { "dropping-particle" : "", "family" : "Wilson", "given" : "E.O.", "non-dropping-particle" : "", "parse-names" : false, "suffix" : "" }, { "dropping-particle" : "", "family" : "Peters", "given" : "F.M.", "non-dropping-particle" : "", "parse-names" : false, "suffix" : "" } ], "id" : "ITEM-2", "issued" : { "date-parts" : [ [ "1988" ] ] }, "page" : "130-137", "publisher" : "National Academy Press", "publisher-place" : "Washington, D.C.", "title" : "Tropical dry forests: the most endangered major tropical ecosystem", "type" : "chapter" }, "uris" : [ "http://www.mendeley.com/documents/?uuid=f8fee195-7393-4cb8-89ac-7eb935c365af" ] } ], "mendeley" : { "formattedCitation" : "(Julio Calvo-Alvarado, S\u00e1nchez-Azofeifa, &amp; Portillo-Quintero, 2013; D.H. Janzen, 1988)", "manualFormatting" : "(Calvo-Alvarado et al., 2013; Janzen, 1988", "plainTextFormattedCitation" : "(Julio Calvo-Alvarado, S\u00e1nchez-Azofeifa, &amp; Portillo-Quintero, 2013; D.H. Janzen, 1988)", "previouslyFormattedCitation" : "(Julio Calvo-Alvarado, S\u00e1nchez-Azofeifa, &amp; Portillo-Quintero, 2013; D.H. Janzen, 1988)" }, "properties" : { "noteIndex" : 0 }, "schema" : "https://github.com/citation-style-language/schema/raw/master/csl-citation.json" }</w:instrText>
      </w:r>
      <w:r w:rsidRPr="008608AA">
        <w:fldChar w:fldCharType="separate"/>
      </w:r>
      <w:r w:rsidRPr="008608AA">
        <w:rPr>
          <w:noProof/>
        </w:rPr>
        <w:t>(Calvo-Alvarado et al., 2013; Janzen, 1988</w:t>
      </w:r>
      <w:r w:rsidRPr="008608AA">
        <w:fldChar w:fldCharType="end"/>
      </w:r>
      <w:r w:rsidRPr="008608AA">
        <w:t xml:space="preserve">; </w:t>
      </w:r>
      <w:r w:rsidRPr="008608AA">
        <w:fldChar w:fldCharType="begin" w:fldLock="1"/>
      </w:r>
      <w:r w:rsidRPr="008608AA">
        <w:instrText>ADDIN CSL_CITATION { "citationItems" : [ { "id" : "ITEM-1", "itemData" : { "editor" : [ { "dropping-particle" : "", "family" : "Frankie", "given" : "G W", "non-dropping-particle" : "", "parse-names" : false, "suffix" : "" }, { "dropping-particle" : "", "family" : "Mata", "given" : "A", "non-dropping-particle" : "", "parse-names" : false, "suffix" : "" }, { "dropping-particle" : "", "family" : "Vinson", "given" : "S B", "non-dropping-particle" : "", "parse-names" : false, "suffix" : "" } ], "id" : "ITEM-1", "issued" : { "date-parts" : [ [ "2004" ] ] }, "publisher" : "University of California Press", "publisher-place" : "Berkeley, USA", "title" : "Biodiversity Conservation in Costa Rica: Learning the Lessons in a Seasonal Dry Forest.", "type" : "book" }, "uris" : [ "http://www.mendeley.com/documents/?uuid=d1f27e97-0c2f-4f1e-abae-4f9f468c4b0b" ] } ], "mendeley" : { "formattedCitation" : "(G W Frankie, Mata, &amp; Vinson, 2004)", "manualFormatting" : "Frankie et al., 2004)", "plainTextFormattedCitation" : "(G W Frankie, Mata, &amp; Vinson, 2004)", "previouslyFormattedCitation" : "(G W Frankie, Mata, &amp; Vinson, 2004)" }, "properties" : { "noteIndex" : 0 }, "schema" : "https://github.com/citation-style-language/schema/raw/master/csl-citation.json" }</w:instrText>
      </w:r>
      <w:r w:rsidRPr="008608AA">
        <w:fldChar w:fldCharType="separate"/>
      </w:r>
      <w:r w:rsidRPr="008608AA">
        <w:rPr>
          <w:noProof/>
        </w:rPr>
        <w:t>Frankie et al., 2004)</w:t>
      </w:r>
      <w:r w:rsidRPr="008608AA">
        <w:fldChar w:fldCharType="end"/>
      </w:r>
      <w:r w:rsidRPr="008608AA">
        <w:t>.</w:t>
      </w:r>
      <w:r w:rsidRPr="008608AA">
        <w:rPr>
          <w:shd w:val="clear" w:color="auto" w:fill="FFFFFF"/>
        </w:rPr>
        <w:t xml:space="preserve"> </w:t>
      </w:r>
      <w:r w:rsidRPr="008608AA">
        <w:rPr>
          <w:color w:val="222222"/>
          <w:shd w:val="clear" w:color="auto" w:fill="FFFFFF"/>
        </w:rPr>
        <w:t>Mexico contains the largest remaining extent in the Mesoamerican subregion (181,461 km</w:t>
      </w:r>
      <w:r w:rsidRPr="008608AA">
        <w:rPr>
          <w:color w:val="222222"/>
          <w:shd w:val="clear" w:color="auto" w:fill="FFFFFF"/>
          <w:vertAlign w:val="superscript"/>
        </w:rPr>
        <w:t>2</w:t>
      </w:r>
      <w:r w:rsidRPr="008608AA">
        <w:rPr>
          <w:color w:val="222222"/>
          <w:shd w:val="clear" w:color="auto" w:fill="FFFFFF"/>
        </w:rPr>
        <w:t xml:space="preserve">) </w:t>
      </w:r>
      <w:r w:rsidRPr="008608AA">
        <w:fldChar w:fldCharType="begin" w:fldLock="1"/>
      </w:r>
      <w:r w:rsidRPr="008608AA">
        <w:instrText>ADDIN CSL_CITATION { "citationItems" : [ { "id" : "ITEM-1", "itemData" : { "DOI" : "10.1016/j.biocon.2009.09.020", "ISBN" : "0006-3207", "ISSN" : "00063207", "PMID" : "8522144", "abstract" : "This paper shows the results of an assessment on the current extent of Neotropical dry forests based on a supervised classification of MODIS surface reflectance imagery at 500-m resolution. Our findings show that tropical dry forests extend for 519,597 km2 across North and South America. Mexico, Brazil and Bolivia harbor the largest and best-preserved dry forest fragments. Mexico contains the largest extent at 181,461 km2 (38% of the total), although it remains poorly represented under protected areas. On the other hand, Brazil and Bolivia contain the largest proportion of protected tropical dry forests and the largest extent in continuous forest fragments. We found that five single ecoregions account for more than half of the tropical dry forests in the Americas (continental and insular) and these ecoregions are: the Chiquitano dry forests, located in Bolivia and Brazil (27.5%), the Atlantic dry forests (10.2%), the Sinaloan dry forests in Mexico (9.7%), the Cuban dry forests (7.1%) and the Bajio dry forests in Mexico (7%). Chiquitano dry forests alone contain 142,941 km2 of dry forests. Of the approximately 23,000 km2 of dry forest under legal protection, 15,000 km2 are located in just two countries, Bolivia and Brazil. In fact, Bolivia protects 10,609 km2 of dry forests, where 7600 km2 are located within the Chiquitano dry forest ecoregion and protected by a single park. Low extent and high fragmentation of dry forests in countries like Guatemala, Nicaragua, Ecuador, Costa Rica and Peru means that these forests are at a higher risk from human disturbance and deforestation. \u00a9 2009 Elsevier Ltd. All rights reserved.", "author" : [ { "dropping-particle" : "", "family" : "Portillo-Quintero", "given" : "C. A.", "non-dropping-particle" : "", "parse-names" : false, "suffix" : "" }, { "dropping-particle" : "", "family" : "S\u00e1nchez-Azofeifa", "given" : "G. A.", "non-dropping-particle" : "", "parse-names" : false, "suffix" : "" } ], "container-title" : "Biological Conservation", "id" : "ITEM-1", "issue" : "1", "issued" : { "date-parts" : [ [ "2010" ] ] }, "page" : "144-155", "title" : "Extent and conservation of tropical dry forests in the Americas", "type" : "article-journal", "volume" : "143" }, "uris" : [ "http://www.mendeley.com/documents/?uuid=44430ed5-0e24-34a0-8b8f-7050b582900a" ] } ], "mendeley" : { "formattedCitation" : "(Portillo-Quintero &amp; S\u00e1nchez-Azofeifa, 2010)", "manualFormatting" : "(Portillo-Quintero &amp; S\u00e1nchez-Azofeifa, 2010)", "plainTextFormattedCitation" : "(Portillo-Quintero &amp; S\u00e1nchez-Azofeifa, 2010)", "previouslyFormattedCitation" : "(Portillo-Quintero &amp; S\u00e1nchez-Azofeifa, 2010)" }, "properties" : { "noteIndex" : 0 }, "schema" : "https://github.com/citation-style-language/schema/raw/master/csl-citation.json" }</w:instrText>
      </w:r>
      <w:r w:rsidRPr="008608AA">
        <w:fldChar w:fldCharType="separate"/>
      </w:r>
      <w:r w:rsidRPr="008608AA">
        <w:rPr>
          <w:noProof/>
        </w:rPr>
        <w:t>(Portillo-Quintero &amp; Sánchez-Azofeifa, 2010)</w:t>
      </w:r>
      <w:r w:rsidRPr="008608AA">
        <w:fldChar w:fldCharType="end"/>
      </w:r>
      <w:r w:rsidRPr="008608AA">
        <w:t>.</w:t>
      </w:r>
    </w:p>
    <w:p w14:paraId="55B9880D" w14:textId="3A01E17F" w:rsidR="004255E7" w:rsidRPr="008608AA" w:rsidRDefault="004255E7" w:rsidP="0041668E">
      <w:pPr>
        <w:spacing w:after="120"/>
      </w:pPr>
      <w:r w:rsidRPr="008608AA">
        <w:t xml:space="preserve">Tropical and subtropical dry forests have attracted far less attention than tropical </w:t>
      </w:r>
      <w:r w:rsidR="00A86148" w:rsidRPr="008608AA">
        <w:t xml:space="preserve">moist </w:t>
      </w:r>
      <w:r w:rsidRPr="008608AA">
        <w:t>forests. Not surprisingly, comprehensive information on population trends is less abundant. However, several large mammals have gone locally extinct, including the greater anteater (</w:t>
      </w:r>
      <w:r w:rsidRPr="008608AA">
        <w:rPr>
          <w:i/>
        </w:rPr>
        <w:t>Myrmecophaga tridactyla</w:t>
      </w:r>
      <w:r w:rsidRPr="008608AA">
        <w:t xml:space="preserve">) from Costa Rica </w:t>
      </w:r>
      <w:r w:rsidRPr="008608AA">
        <w:rPr>
          <w:color w:val="000000" w:themeColor="text1"/>
        </w:rPr>
        <w:fldChar w:fldCharType="begin" w:fldLock="1"/>
      </w:r>
      <w:r w:rsidRPr="008608AA">
        <w:rPr>
          <w:color w:val="000000" w:themeColor="text1"/>
        </w:rPr>
        <w:instrText>ADDIN CSL_CITATION { "citationItems" : [ { "id" : "ITEM-1", "itemData" : { "author" : [ { "dropping-particle" : "", "family" : "Janzen", "given" : "D.H.", "non-dropping-particle" : "", "parse-names" : false, "suffix" : "" } ], "container-title" : "Handbook of Ecological Restoration. Vol 2 Restoration in Practice", "editor" : [ { "dropping-particle" : "", "family" : "Perrow", "given" : "M.R.", "non-dropping-particle" : "", "parse-names" : false, "suffix" : "" }, { "dropping-particle" : "", "family" : "Davy", "given" : "A.J.", "non-dropping-particle" : "", "parse-names" : false, "suffix" : "" } ], "id" : "ITEM-1", "issued" : { "date-parts" : [ [ "2002" ] ] }, "page" : "559-583", "publisher" : "Cambridge University Press", "publisher-place" : "Cambridge, UK", "title" : "Tropical Dry Forest: Area de Conservaci\u00f3n Guanacaste, northwetern Costa Rica", "type" : "chapter" }, "uris" : [ "http://www.mendeley.com/documents/?uuid=85f664d0-8281-3f81-919b-4f29f6982b63" ] } ], "mendeley" : { "formattedCitation" : "(D.H. Janzen, 2002)", "manualFormatting" : "(Janzen, 2002)", "plainTextFormattedCitation" : "(D.H. Janzen, 2002)", "previouslyFormattedCitation" : "(Daniel H Janzen, 2002)"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(Janzen, 2002)</w:t>
      </w:r>
      <w:r w:rsidRPr="008608AA">
        <w:rPr>
          <w:color w:val="000000" w:themeColor="text1"/>
        </w:rPr>
        <w:fldChar w:fldCharType="end"/>
      </w:r>
      <w:r w:rsidRPr="008608AA">
        <w:rPr>
          <w:color w:val="000000" w:themeColor="text1"/>
        </w:rPr>
        <w:t xml:space="preserve">. For the dry forests of Mexico, seven mammals, one reptile, and seven birds have been reported as extinct: twelve plant species have been registered as extinct in states of Mexico dominated by dry forest extinct </w:t>
      </w:r>
      <w:r w:rsidRPr="008608AA">
        <w:rPr>
          <w:color w:val="000000" w:themeColor="text1"/>
        </w:rPr>
        <w:fldChar w:fldCharType="begin" w:fldLock="1"/>
      </w:r>
      <w:r w:rsidRPr="008608AA">
        <w:rPr>
          <w:color w:val="000000" w:themeColor="text1"/>
        </w:rPr>
        <w:instrText>ADDIN CSL_CITATION { "citationItems" : [ { "id" : "ITEM-1", "itemData" : { "ISBN" : "968-36-3992-5", "author" : [ { "dropping-particle" : "", "family" : "Flores-Villela", "given" : "Oscar", "non-dropping-particle" : "", "parse-names" : false, "suffix" : "" }, { "dropping-particle" : "", "family" : "Gerez", "given" : "Patricia", "non-dropping-particle" : "", "parse-names" : false, "suffix" : "" } ], "edition" : "2", "id" : "ITEM-1", "issued" : { "date-parts" : [ [ "1994" ] ] }, "number-of-pages" : "446", "publisher" : "Universidad Nacional Aut\u00f3noma de M\u00e9xico", "publisher-place" : "M\u00e9xico D.F., M\u00e9xico", "title" : "Biodiversidad y Conservaci\u00f3n en M\u00e9xico: Vertebrados, Vegetaci\u00f3n y Uso del Suelo", "type" : "book" }, "uris" : [ "http://www.mendeley.com/documents/?uuid=5445fb46-cf38-4d39-b632-b9f19f50ad5e" ] }, { "id" : "ITEM-2", "itemData" : { "author" : [ { "dropping-particle" : "", "family" : "Baena", "given" : "M.L.", "non-dropping-particle" : "", "parse-names" : false, "suffix" : "" }, { "dropping-particle" : "", "family" : "Halfflter", "given" : "G.", "non-dropping-particle" : "", "parse-names" : false, "suffix" : "" } ], "container-title" : "Capital Natural de M\u00e9xico, Vol. I: Conocimiento Actual de la Biodiversidad", "editor" : [ { "dropping-particle" : "", "family" : "Sarukh\u00e1n", "given" : "Jos\u00e9", "non-dropping-particle" : "", "parse-names" : false, "suffix" : "" } ], "id" : "ITEM-2", "issued" : { "date-parts" : [ [ "2008" ] ] }, "page" : "263-282", "publisher" : "CONABIO", "publisher-place" : "Mexico City, Mexico", "title" : "Extinci\u00f3n de especies", "type" : "chapter" }, "uris" : [ "http://www.mendeley.com/documents/?uuid=101e5f41-2cf1-4f90-b64f-97c811f9dc43" ] } ], "mendeley" : { "formattedCitation" : "(Baena &amp; Halfflter, 2008; Flores-Villela &amp; Gerez, 1994)", "plainTextFormattedCitation" : "(Baena &amp; Halfflter, 2008; Flores-Villela &amp; Gerez, 1994)", "previouslyFormattedCitation" : "(Baena &amp; Halfflter, 2008; Flores-Villela &amp; Gerez, 1994)"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(Baena &amp; Halfflter, 2008; Flores-Villela &amp; Gerez, 1994)</w:t>
      </w:r>
      <w:r w:rsidRPr="008608AA">
        <w:rPr>
          <w:color w:val="000000" w:themeColor="text1"/>
        </w:rPr>
        <w:fldChar w:fldCharType="end"/>
      </w:r>
      <w:r w:rsidRPr="008608AA">
        <w:rPr>
          <w:color w:val="000000" w:themeColor="text1"/>
        </w:rPr>
        <w:t>. F</w:t>
      </w:r>
      <w:r w:rsidRPr="008608AA">
        <w:t xml:space="preserve">or the Chamela-Cuixmala region of Mexico, at least 40 vertebrate species (fishes not included) are at risk of extinction, representing about 15% of the regional vertebrate diversity </w:t>
      </w:r>
      <w:r w:rsidRPr="008608AA">
        <w:fldChar w:fldCharType="begin" w:fldLock="1"/>
      </w:r>
      <w:r w:rsidRPr="008608AA">
        <w:instrText>ADDIN CSL_CITATION { "citationItems" : [ { "id" : "ITEM-1", "itemData" : { "author" : [ { "dropping-particle" : "", "family" : "Ceballos", "given" : "G.", "non-dropping-particle" : "", "parse-names" : false, "suffix" : "" }, { "dropping-particle" : "", "family" : "Garcia-Aguayo", "given" : "A.", "non-dropping-particle" : "", "parse-names" : false, "suffix" : "" }, { "dropping-particle" : "", "family" : "Rodriguez", "given" : "P.", "non-dropping-particle" : "", "parse-names" : false, "suffix" : "" }, { "dropping-particle" : "", "family" : "Noguera", "given" : "F.", "non-dropping-particle" : "", "parse-names" : false, "suffix" : "" } ], "id" : "ITEM-1", "issued" : { "date-parts" : [ [ "1993" ] ] }, "publisher" : "Fundacion Ecologia de Cuixmala", "publisher-place" : "M\u00e9xico City, Mexico", "title" : "Plan de Manejo de la Reserva Ecol\u00f3gica de Chamela-Cuixmala", "type" : "book" }, "uris" : [ "http://www.mendeley.com/documents/?uuid=8ff72806-5f24-4395-a355-7c08cbfbc67e" ] } ], "mendeley" : { "formattedCitation" : "(Ceballos, Garcia-Aguayo, Rodriguez, &amp; Noguera, 1993)", "manualFormatting" : "(Ceballos et al., 1993)", "plainTextFormattedCitation" : "(Ceballos, Garcia-Aguayo, Rodriguez, &amp; Noguera, 1993)", "previouslyFormattedCitation" : "(Ceballos, Garcia-Aguayo, Rodriguez, &amp; Noguera, 1993)" }, "properties" : { "noteIndex" : 0 }, "schema" : "https://github.com/citation-style-language/schema/raw/master/csl-citation.json" }</w:instrText>
      </w:r>
      <w:r w:rsidRPr="008608AA">
        <w:fldChar w:fldCharType="separate"/>
      </w:r>
      <w:r w:rsidRPr="008608AA">
        <w:rPr>
          <w:noProof/>
        </w:rPr>
        <w:t>(Ceballos et al., 1993)</w:t>
      </w:r>
      <w:r w:rsidRPr="008608AA">
        <w:fldChar w:fldCharType="end"/>
      </w:r>
      <w:r w:rsidRPr="008608AA">
        <w:t xml:space="preserve">. </w:t>
      </w:r>
    </w:p>
    <w:p w14:paraId="49A5511C" w14:textId="4BD799C7" w:rsidR="004255E7" w:rsidRPr="008608AA" w:rsidRDefault="004255E7" w:rsidP="0041668E">
      <w:pPr>
        <w:spacing w:after="120"/>
      </w:pPr>
      <w:r w:rsidRPr="008608AA">
        <w:t xml:space="preserve">More open Tropical and subtropical dry forests is more susceptible to invasion than closed </w:t>
      </w:r>
      <w:r w:rsidR="00032883" w:rsidRPr="008608AA">
        <w:t>moist</w:t>
      </w:r>
      <w:r w:rsidRPr="008608AA">
        <w:t xml:space="preserve"> tropical forest. Invasive species, especially plants, abound. In Chamela, Jalisco, Mexico, 20 exotic species from seven families of plants have been recorded, the grass family (Poaceae) being amply represented, along with three exotic animal species, one rodent (</w:t>
      </w:r>
      <w:r w:rsidRPr="008608AA">
        <w:rPr>
          <w:i/>
        </w:rPr>
        <w:t>Mus musculus</w:t>
      </w:r>
      <w:r w:rsidRPr="008608AA">
        <w:t>) and two birds (</w:t>
      </w:r>
      <w:r w:rsidRPr="008608AA">
        <w:rPr>
          <w:i/>
        </w:rPr>
        <w:t>Bubulcus ibis</w:t>
      </w:r>
      <w:r w:rsidRPr="008608AA">
        <w:t xml:space="preserve"> and </w:t>
      </w:r>
      <w:r w:rsidRPr="008608AA">
        <w:rPr>
          <w:i/>
        </w:rPr>
        <w:t>Passer domesticus</w:t>
      </w:r>
      <w:r w:rsidRPr="008608AA">
        <w:t xml:space="preserve">) </w:t>
      </w:r>
      <w:r w:rsidRPr="008608AA">
        <w:fldChar w:fldCharType="begin" w:fldLock="1"/>
      </w:r>
      <w:r w:rsidRPr="008608AA">
        <w:instrText>ADDIN CSL_CITATION { "citationItems" : [ { "id" : "ITEM-1", "itemData" : { "author" : [ { "dropping-particle" : "", "family" : "CONABIO", "given" : "", "non-dropping-particle" : "", "parse-names" : false, "suffix" : "" } ], "id" : "ITEM-1", "issued" : { "date-parts" : [ [ "2016" ] ] }, "publisher" : "Comisi\u00f3n Nacional para el Conocimiento y Uso de la Biodiversidad (Available on request)", "title" : "Sistema de Informaci\u00f3n sobre Especies Invasoras en M\u00e9xico", "type" : "article" }, "uris" : [ "http://www.mendeley.com/documents/?uuid=b784dfdb-d005-4850-9e89-9cc11d8a71b0" ] } ], "mendeley" : { "formattedCitation" : "(CONABIO, 2016)", "plainTextFormattedCitation" : "(CONABIO, 2016)", "previouslyFormattedCitation" : "(CONABIO, 2016)" }, "properties" : { "noteIndex" : 0 }, "schema" : "https://github.com/citation-style-language/schema/raw/master/csl-citation.json" }</w:instrText>
      </w:r>
      <w:r w:rsidRPr="008608AA">
        <w:fldChar w:fldCharType="separate"/>
      </w:r>
      <w:r w:rsidRPr="008608AA">
        <w:rPr>
          <w:noProof/>
        </w:rPr>
        <w:t>(CONABIO, 2016)</w:t>
      </w:r>
      <w:r w:rsidRPr="008608AA">
        <w:fldChar w:fldCharType="end"/>
      </w:r>
      <w:r w:rsidRPr="008608AA">
        <w:t xml:space="preserve">. For Yucatan forests, 90 species of plants from 28 families have been registered as exotic (again, the most species-rich family is Poaceae, followed by legumes) as well as 18 species of animals, including three birds, one rodent and five reptiles </w:t>
      </w:r>
      <w:r w:rsidRPr="008608AA">
        <w:fldChar w:fldCharType="begin" w:fldLock="1"/>
      </w:r>
      <w:r w:rsidRPr="008608AA">
        <w:instrText>ADDIN CSL_CITATION { "citationItems" : [ { "id" : "ITEM-1", "itemData" : { "author" : [ { "dropping-particle" : "", "family" : "CONABIO", "given" : "", "non-dropping-particle" : "", "parse-names" : false, "suffix" : "" } ], "id" : "ITEM-1", "issued" : { "date-parts" : [ [ "2016" ] ] }, "publisher" : "Comisi\u00f3n Nacional para el Conocimiento y Uso de la Biodiversidad (Available on request)", "title" : "Sistema de Informaci\u00f3n sobre Especies Invasoras en M\u00e9xico", "type" : "article" }, "uris" : [ "http://www.mendeley.com/documents/?uuid=b784dfdb-d005-4850-9e89-9cc11d8a71b0" ] } ], "mendeley" : { "formattedCitation" : "(CONABIO, 2016)", "plainTextFormattedCitation" : "(CONABIO, 2016)", "previouslyFormattedCitation" : "(CONABIO, 2016)" }, "properties" : { "noteIndex" : 0 }, "schema" : "https://github.com/citation-style-language/schema/raw/master/csl-citation.json" }</w:instrText>
      </w:r>
      <w:r w:rsidRPr="008608AA">
        <w:fldChar w:fldCharType="separate"/>
      </w:r>
      <w:r w:rsidRPr="008608AA">
        <w:rPr>
          <w:noProof/>
        </w:rPr>
        <w:t>(CONABIO, 2016)</w:t>
      </w:r>
      <w:r w:rsidRPr="008608AA">
        <w:fldChar w:fldCharType="end"/>
      </w:r>
      <w:r w:rsidRPr="008608AA">
        <w:t>.</w:t>
      </w:r>
    </w:p>
    <w:p w14:paraId="662578B6" w14:textId="17187090" w:rsidR="004255E7" w:rsidRPr="008608AA" w:rsidRDefault="004255E7" w:rsidP="0041668E">
      <w:pPr>
        <w:spacing w:after="120"/>
      </w:pPr>
      <w:r w:rsidRPr="008608AA">
        <w:rPr>
          <w:iCs/>
        </w:rPr>
        <w:t>Recent trends</w:t>
      </w:r>
      <w:r w:rsidR="00657833" w:rsidRPr="008608AA">
        <w:t xml:space="preserve">. </w:t>
      </w:r>
      <w:r w:rsidRPr="008608AA">
        <w:t xml:space="preserve">Tropical and subtropical dry forests in Mesoamerica have disappeared rapidly over the past 50 years </w:t>
      </w:r>
      <w:r w:rsidRPr="008608AA">
        <w:fldChar w:fldCharType="begin" w:fldLock="1"/>
      </w:r>
      <w:r w:rsidRPr="008608AA">
        <w:instrText>ADDIN CSL_CITATION { "citationItems" : [ { "id" : "ITEM-1", "itemData" : { "DOI" : "10.1126/science.306.5694.227b", "ISBN" : "0036-8075", "ISSN" : "1095-9203", "PMID" : "15472058", "abstract" : "This article presents similarities and differences of Ecological Society of America (ESA) and Association for Tropical Biology and Conservation (ATBC) on issues related to tropical ecosystems into 21st century. The ATBC report, like that of ESA, recognizes the increasing impact of humans on tropical ecosystems. Tropical forest conversion, the effects of climate change, nutrient deposition, spread of alien species, and extraction of ecosystem products on the structure and functioning of undisturbed and managed ecosystems must be understood. The second component pertains to social drivers of change and social responses to conservation. The third component, understanding the structure and function of tropical ecosystems, including cataloging tropical diversity, is fundamental to comprehend and mitigate consequences of the biodiversity loss in human-impacted ecosystems. This article presents similarities and differences of Ecological Society of America (ESA) and Association for Tropical Biology and Conservation (ATBC) on issues related to tropical ecosystems into 21st century. The ATBC report, like that of ESA, recognizes the increasing impact of humans on tropical ecosystems. Tropical forest conversion, the effects of climate change, nutrient deposition, spread of alien species, and extraction of ecosystem products on the structure and functioning of undisturbed and managed ecosystems must be understood. The second component pertains to social drivers of change and social responses to conservation. The third component, understanding the structure and function of tropical ecosystems, including cataloging tropical diversity, is fundamental to comprehend and mitigate consequences of the biodiversity loss in human-impacted ecosystems.", "author" : [ { "dropping-particle" : "", "family" : "Bawa", "given" : "Kamaljit S.", "non-dropping-particle" : "", "parse-names" : false, "suffix" : "" }, { "dropping-particle" : "", "family" : "Kress", "given" : "W. John", "non-dropping-particle" : "", "parse-names" : false, "suffix" : "" }, { "dropping-particle" : "", "family" : "Nadkarni", "given" : "Nalini M.", "non-dropping-particle" : "", "parse-names" : false, "suffix" : "" }, { "dropping-particle" : "", "family" : "Lele", "given" : "Sharachchandra", "non-dropping-particle" : "", "parse-names" : false, "suffix" : "" }, { "dropping-particle" : "", "family" : "Raven", "given" : "Peter H.", "non-dropping-particle" : "", "parse-names" : false, "suffix" : "" }, { "dropping-particle" : "", "family" : "Janzen", "given" : "Daniel H.", "non-dropping-particle" : "", "parse-names" : false, "suffix" : "" }, { "dropping-particle" : "", "family" : "Lugo", "given" : "Ariel E.", "non-dropping-particle" : "", "parse-names" : false, "suffix" : "" }, { "dropping-particle" : "", "family" : "Ashton", "given" : "Peter S.", "non-dropping-particle" : "", "parse-names" : false, "suffix" : "" }, { "dropping-particle" : "", "family" : "Lovejoy", "given" : "Thomas E.", "non-dropping-particle" : "", "parse-names" : false, "suffix" : "" } ], "container-title" : "Science", "id" : "ITEM-1", "issued" : { "date-parts" : [ [ "2004" ] ] }, "page" : "227-228", "title" : "Tropical ecosystems into the 21st century", "type" : "article-journal", "volume" : "306" }, "uris" : [ "http://www.mendeley.com/documents/?uuid=9a02c41c-5b48-4137-8b47-92b613dd3256" ] }, { "id" : "ITEM-2", "itemData" : { "author" : [ { "dropping-particle" : "", "family" : "Janzen", "given" : "D.H.", "non-dropping-particle" : "", "parse-names" : false, "suffix" : "" } ], "container-title" : "Biodiversity", "editor" : [ { "dropping-particle" : "", "family" : "Wilson", "given" : "E.O.", "non-dropping-particle" : "", "parse-names" : false, "suffix" : "" }, { "dropping-particle" : "", "family" : "Peters", "given" : "F.M.", "non-dropping-particle" : "", "parse-names" : false, "suffix" : "" } ], "id" : "ITEM-2", "issued" : { "date-parts" : [ [ "1988" ] ] }, "page" : "130-137", "publisher" : "National Academy Press", "publisher-place" : "Washington, D.C.", "title" : "Tropical dry forests: the most endangered major tropical ecosystem", "type" : "chapter" }, "uris" : [ "http://www.mendeley.com/documents/?uuid=f8fee195-7393-4cb8-89ac-7eb935c365af" ] } ], "mendeley" : { "formattedCitation" : "(Bawa et al., 2004; D.H. Janzen, 1988)", "manualFormatting" : "(Bawa et al., 2004; Janzen, 1988)", "plainTextFormattedCitation" : "(Bawa et al., 2004; D.H. Janzen, 1988)", "previouslyFormattedCitation" : "(Bawa et al., 2004; D.H. Janzen, 1988)" }, "properties" : { "noteIndex" : 0 }, "schema" : "https://github.com/citation-style-language/schema/raw/master/csl-citation.json" }</w:instrText>
      </w:r>
      <w:r w:rsidRPr="008608AA">
        <w:fldChar w:fldCharType="separate"/>
      </w:r>
      <w:r w:rsidRPr="008608AA">
        <w:rPr>
          <w:noProof/>
        </w:rPr>
        <w:t>(Bawa et al., 2004; Janzen, 1988)</w:t>
      </w:r>
      <w:r w:rsidRPr="008608AA">
        <w:fldChar w:fldCharType="end"/>
      </w:r>
      <w:r w:rsidRPr="008608AA">
        <w:t>. The deforestation rate in Mexico was estimated to be 0.5% per year for the period 1993–2002; by 2002 only 26% of the original cover, by the authors</w:t>
      </w:r>
      <w:r w:rsidR="00A86148" w:rsidRPr="008608AA">
        <w:t>’</w:t>
      </w:r>
      <w:r w:rsidRPr="008608AA">
        <w:t xml:space="preserve"> definition, remained, and only 38% of that is considered to be old-growth forest </w:t>
      </w:r>
      <w:r w:rsidRPr="008608AA">
        <w:fldChar w:fldCharType="begin" w:fldLock="1"/>
      </w:r>
      <w:r w:rsidRPr="008608AA">
        <w:instrText>ADDIN CSL_CITATION { "citationItems" : [ { "id" : "ITEM-1", "itemData" : { "ISBN" : "978-607-7607-08-3", "author" : [ { "dropping-particle" : "", "family" : "Challenger", "given" : "A.", "non-dropping-particle" : "", "parse-names" : false, "suffix" : "" }, { "dropping-particle" : "", "family" : "Dirzo", "given" : "R.", "non-dropping-particle" : "", "parse-names" : false, "suffix" : "" } ], "container-title" : "Capital Natural de M\u00e9xico, Vol. II: Estado de Conservaci\u00f3n y Tendencias de Cambio", "editor" : [ { "dropping-particle" : "", "family" : "Sarukh\u00e1n", "given" : "Jos\u00e9", "non-dropping-particle" : "", "parse-names" : false, "suffix" : "" } ], "id" : "ITEM-1", "issued" : { "date-parts" : [ [ "2009" ] ] }, "page" : "37-73", "publisher" : "CONABIO", "publisher-place" : "Mexico City, Mexico", "title" : "Factores de cambio y estado de la biodiversidad", "type" : "chapter" }, "uris" : [ "http://www.mendeley.com/documents/?uuid=3ab2f8e7-1213-4f59-9e4e-6e5929508ba9", "http://www.mendeley.com/documents/?uuid=e52aac8b-7d8d-4c8d-abff-2c97ec51462d" ] } ], "mendeley" : { "formattedCitation" : "(Challenger &amp; Dirzo, 2009)", "plainTextFormattedCitation" : "(Challenger &amp; Dirzo, 2009)", "previouslyFormattedCitation" : "(Challenger &amp; Dirzo, 2009)" }, "properties" : { "noteIndex" : 0 }, "schema" : "https://github.com/citation-style-language/schema/raw/master/csl-citation.json" }</w:instrText>
      </w:r>
      <w:r w:rsidRPr="008608AA">
        <w:fldChar w:fldCharType="separate"/>
      </w:r>
      <w:r w:rsidRPr="008608AA">
        <w:rPr>
          <w:noProof/>
        </w:rPr>
        <w:t>(Challenger &amp; Dirzo, 2009)</w:t>
      </w:r>
      <w:r w:rsidRPr="008608AA">
        <w:fldChar w:fldCharType="end"/>
      </w:r>
      <w:r w:rsidRPr="008608AA">
        <w:t xml:space="preserve">. Most of this deforestation may be attributed to conversion to pastures and agricultural crops </w:t>
      </w:r>
      <w:r w:rsidRPr="008608AA">
        <w:fldChar w:fldCharType="begin" w:fldLock="1"/>
      </w:r>
      <w:r w:rsidRPr="008608AA">
        <w:instrText>ADDIN CSL_CITATION { "citationItems" : [ { "id" : "ITEM-1", "itemData" : { "DOI" : "10.1016/0961-9534(95)00028-3", "ISBN" : "0961-9534", "ISSN" : "09619534", "abstract" : "This paper identifies and examines economic response options to avoid carbon emissions and increase carbon sequestration in Mexican forests. A \"Policy\" scenario covering the years 2000, 2010 and 2030 and a \"Technical Potential\" scenario (year 2030) are developed to examine the potential carbon sequestration and costs of each response option. Benefit-cost analyses for three case studies, including management of a pulpwood plantation, a native temperate forest and a native tropical evergreen forest are presented and discussed. The study suggests that a large potential for reducing carbon emissions and increasing carbon sequestration exists in Mexican forests. However, the achievement of this potential will require important reforms to the current institutional setting of the forest sector. The management of native temperate and tropical forests offers the most promising alternatives for carbon sequestration. The cost effectiveness of commercial plantations critically depends on very high site productivity. Restoration of degraded forest lands; particularly through the establishment of energy plantations, also shows a large carbon sequestration potential. \u00a9 1995.", "author" : [ { "dropping-particle" : "", "family" : "Masera", "given" : "Omar R.", "non-dropping-particle" : "", "parse-names" : false, "suffix" : "" }, { "dropping-particle" : "", "family" : "Bellon", "given" : "Mauricio R.", "non-dropping-particle" : "", "parse-names" : false, "suffix" : "" }, { "dropping-particle" : "", "family" : "Segura", "given" : "Gerardo", "non-dropping-particle" : "", "parse-names" : false, "suffix" : "" } ], "container-title" : "Biomass and Bioenergy", "id" : "ITEM-1", "issue" : "5", "issued" : { "date-parts" : [ [ "1995" ] ] }, "page" : "357-367", "title" : "Forest management options for sequestering carbon in Mexico", "type" : "article-journal", "volume" : "8" }, "uris" : [ "http://www.mendeley.com/documents/?uuid=e8b58848-0412-416a-9084-27897b969efc", "http://www.mendeley.com/documents/?uuid=4c5d7208-85e1-420e-a77e-dea95fa20752" ] } ], "mendeley" : { "formattedCitation" : "(Masera, Bellon, &amp; Segura, 1995)", "manualFormatting" : "(Masera et al., 1995)", "plainTextFormattedCitation" : "(Masera, Bellon, &amp; Segura, 1995)", "previouslyFormattedCitation" : "(Masera, Bellon, &amp; Segura, 1995)" }, "properties" : { "noteIndex" : 0 }, "schema" : "https://github.com/citation-style-language/schema/raw/master/csl-citation.json" }</w:instrText>
      </w:r>
      <w:r w:rsidRPr="008608AA">
        <w:fldChar w:fldCharType="separate"/>
      </w:r>
      <w:r w:rsidRPr="008608AA">
        <w:rPr>
          <w:noProof/>
        </w:rPr>
        <w:t>(Masera et al., 1995)</w:t>
      </w:r>
      <w:r w:rsidRPr="008608AA">
        <w:fldChar w:fldCharType="end"/>
      </w:r>
      <w:r w:rsidRPr="008608AA">
        <w:t xml:space="preserve">. However, a major effort to promote natural regeneration of Guanacaste dry forest is ongoing </w:t>
      </w:r>
      <w:r w:rsidRPr="008608AA">
        <w:fldChar w:fldCharType="begin" w:fldLock="1"/>
      </w:r>
      <w:r w:rsidRPr="008608AA">
        <w:instrText>ADDIN CSL_CITATION { "citationItems" : [ { "id" : "ITEM-1", "itemData" : { "DOI" : "10.1016/j.foreco.2008.10.035", "ISBN" : "0378-1127", "ISSN" : "03781127", "abstract" : "Traditionally Land Use Cover Change (LUCC) studies have focused on processes of negative land-cover change, primarily deforestation, partially because examples of positive land-cover change were not common. During the last two decades an outstanding tropical dry forest restoration process had taken place in the province of Guanacaste, Costa Rica, which has given us a unique opportunity to study how and why tropical dry forest regrowth occurs. The purpose of this paper is to undertake a retrospective analysis of the social dynamics of forest deforestation and restoration in Guanacaste from 1960 to 2005. Hence we investigate how structural drivers shape patterns of forest-cover change and examine how the role that Costa Rica's conservation policies had played in promoting forest restoration. Our study combined analyses of socioeconomic data and satellite images of forest cover. We showed that forest regrowth observed in Guanacaste after the 1980s was the result of multiple socioeconomic factors. Our results indicate that the degree of incentive provided by conservation policies such as Payment for Environmental Services are not enough to ensure that Guanacaste's forest will be protected against the potentially negative impacts of future socioeconomic changes. The findings from our analysis can assist decision-makers and managers in other regions to understand how social, economic and political dynamics impact the effectiveness of forest conservation efforts. ?? 2008 Elsevier B.V. All rights reserved.", "author" : [ { "dropping-particle" : "", "family" : "Calvo-Alvarado", "given" : "J.", "non-dropping-particle" : "", "parse-names" : false, "suffix" : "" }, { "dropping-particle" : "", "family" : "McLennan", "given" : "B.", "non-dropping-particle" : "", "parse-names" : false, "suffix" : "" }, { "dropping-particle" : "", "family" : "S\u00e1nchez-Azofeifa", "given" : "A.", "non-dropping-particle" : "", "parse-names" : false, "suffix" : "" }, { "dropping-particle" : "", "family" : "Garvin", "given" : "T.", "non-dropping-particle" : "", "parse-names" : false, "suffix" : "" } ], "container-title" : "Forest Ecology and Management", "id" : "ITEM-1", "issue" : "6", "issued" : { "date-parts" : [ [ "2009" ] ] }, "page" : "931-940", "title" : "Deforestation and forest restoration in Guanacaste, Costa Rica: Putting conservation policies in context", "type" : "article-journal", "volume" : "258" }, "uris" : [ "http://www.mendeley.com/documents/?uuid=c8d38a08-61f7-435b-94b9-ba779b25134f" ] } ], "mendeley" : { "formattedCitation" : "(J. Calvo-Alvarado, McLennan, S\u00e1nchez-Azofeifa, &amp; Garvin, 2009)", "manualFormatting" : "(Calvo-Alvarado et al., 2009)", "plainTextFormattedCitation" : "(J. Calvo-Alvarado, McLennan, S\u00e1nchez-Azofeifa, &amp; Garvin, 2009)", "previouslyFormattedCitation" : "(J. Calvo-Alvarado, McLennan, S\u00e1nchez-Azofeifa, &amp; Garvin, 2009)" }, "properties" : { "noteIndex" : 0 }, "schema" : "https://github.com/citation-style-language/schema/raw/master/csl-citation.json" }</w:instrText>
      </w:r>
      <w:r w:rsidRPr="008608AA">
        <w:fldChar w:fldCharType="separate"/>
      </w:r>
      <w:r w:rsidRPr="008608AA">
        <w:rPr>
          <w:noProof/>
        </w:rPr>
        <w:t>(Calvo-Alvarado et al., 2009)</w:t>
      </w:r>
      <w:r w:rsidRPr="008608AA">
        <w:fldChar w:fldCharType="end"/>
      </w:r>
      <w:r w:rsidRPr="008608AA">
        <w:t xml:space="preserve"> and should serve as a stimulus for other countries in the Mesoamerican subregion for the recuperation of this biome. In the 1970s, the scarlet macaw (</w:t>
      </w:r>
      <w:r w:rsidRPr="008608AA">
        <w:rPr>
          <w:i/>
        </w:rPr>
        <w:t>Ara macao</w:t>
      </w:r>
      <w:r w:rsidRPr="008608AA">
        <w:t xml:space="preserve">) still occurred in the Guanacaste Conservation Area </w:t>
      </w:r>
      <w:r w:rsidRPr="008608AA">
        <w:fldChar w:fldCharType="begin" w:fldLock="1"/>
      </w:r>
      <w:r w:rsidRPr="008608AA">
        <w:instrText>ADDIN CSL_CITATION { "citationItems" : [ { "id" : "ITEM-1", "itemData" : { "author" : [ { "dropping-particle" : "", "family" : "Janzen", "given" : "D.H.", "non-dropping-particle" : "", "parse-names" : false, "suffix" : "" } ], "container-title" : "Handbook of Ecological Restoration. Vol 2 Restoration in Practice", "editor" : [ { "dropping-particle" : "", "family" : "Perrow", "given" : "M.R.", "non-dropping-particle" : "", "parse-names" : false, "suffix" : "" }, { "dropping-particle" : "", "family" : "Davy", "given" : "A.J.", "non-dropping-particle" : "", "parse-names" : false, "suffix" : "" } ], "id" : "ITEM-1", "issued" : { "date-parts" : [ [ "2002" ] ] }, "page" : "559-583", "publisher" : "Cambridge University Press", "publisher-place" : "Cambridge, UK", "title" : "Tropical Dry Forest: Area de Conservaci\u00f3n Guanacaste, northwetern Costa Rica", "type" : "chapter" }, "uris" : [ "http://www.mendeley.com/documents/?uuid=85f664d0-8281-3f81-919b-4f29f6982b63" ] } ], "mendeley" : { "formattedCitation" : "(D.H. Janzen, 2002)", "manualFormatting" : "(Janzen, 2002)", "plainTextFormattedCitation" : "(D.H. Janzen, 2002)", "previouslyFormattedCitation" : "(Daniel H Janzen, 2002)" }, "properties" : { "noteIndex" : 0 }, "schema" : "https://github.com/citation-style-language/schema/raw/master/csl-citation.json" }</w:instrText>
      </w:r>
      <w:r w:rsidRPr="008608AA">
        <w:fldChar w:fldCharType="separate"/>
      </w:r>
      <w:r w:rsidRPr="008608AA">
        <w:rPr>
          <w:noProof/>
        </w:rPr>
        <w:t>(Janzen, 2002)</w:t>
      </w:r>
      <w:r w:rsidRPr="008608AA">
        <w:fldChar w:fldCharType="end"/>
      </w:r>
      <w:r w:rsidRPr="008608AA">
        <w:t xml:space="preserve">; reintroduction can be expected in the future as forests regenerate. </w:t>
      </w:r>
    </w:p>
    <w:p w14:paraId="4694BA47" w14:textId="76EFC6FC" w:rsidR="004255E7" w:rsidRPr="008608AA" w:rsidRDefault="004255E7" w:rsidP="0041668E">
      <w:pPr>
        <w:widowControl w:val="0"/>
        <w:autoSpaceDE w:val="0"/>
        <w:autoSpaceDN w:val="0"/>
        <w:adjustRightInd w:val="0"/>
        <w:spacing w:after="120"/>
        <w:rPr>
          <w:b/>
        </w:rPr>
      </w:pPr>
      <w:r w:rsidRPr="008608AA">
        <w:t>The Africanized honeybee (</w:t>
      </w:r>
      <w:r w:rsidRPr="008608AA">
        <w:rPr>
          <w:i/>
        </w:rPr>
        <w:t>Apis mellifera</w:t>
      </w:r>
      <w:r w:rsidRPr="008608AA">
        <w:t xml:space="preserve">) arrived in the Guanacaste Conservation Area in the early 1980s and now is a low-density member of the local bee fauna </w:t>
      </w:r>
      <w:r w:rsidRPr="008608AA">
        <w:fldChar w:fldCharType="begin" w:fldLock="1"/>
      </w:r>
      <w:r w:rsidRPr="008608AA">
        <w:instrText>ADDIN CSL_CITATION { "citationItems" : [ { "id" : "ITEM-1", "itemData" : { "author" : [ { "dropping-particle" : "", "family" : "Janzen", "given" : "D.H.", "non-dropping-particle" : "", "parse-names" : false, "suffix" : "" } ], "container-title" : "Handbook of Ecological Restoration. Vol 2 Restoration in Practice", "editor" : [ { "dropping-particle" : "", "family" : "Perrow", "given" : "M.R.", "non-dropping-particle" : "", "parse-names" : false, "suffix" : "" }, { "dropping-particle" : "", "family" : "Davy", "given" : "A.J.", "non-dropping-particle" : "", "parse-names" : false, "suffix" : "" } ], "id" : "ITEM-1", "issued" : { "date-parts" : [ [ "2002" ] ] }, "page" : "559-583", "publisher" : "Cambridge University Press", "publisher-place" : "Cambridge, UK", "title" : "Tropical Dry Forest: Area de Conservaci\u00f3n Guanacaste, northwetern Costa Rica", "type" : "chapter" }, "uris" : [ "http://www.mendeley.com/documents/?uuid=85f664d0-8281-3f81-919b-4f29f6982b63" ] } ], "mendeley" : { "formattedCitation" : "(D.H. Janzen, 2002)", "manualFormatting" : "(Janzen, 2002)", "plainTextFormattedCitation" : "(D.H. Janzen, 2002)", "previouslyFormattedCitation" : "(Daniel H Janzen, 2002)" }, "properties" : { "noteIndex" : 0 }, "schema" : "https://github.com/citation-style-language/schema/raw/master/csl-citation.json" }</w:instrText>
      </w:r>
      <w:r w:rsidRPr="008608AA">
        <w:fldChar w:fldCharType="separate"/>
      </w:r>
      <w:r w:rsidRPr="008608AA">
        <w:rPr>
          <w:noProof/>
        </w:rPr>
        <w:t>(Janzen, 2002)</w:t>
      </w:r>
      <w:r w:rsidRPr="008608AA">
        <w:fldChar w:fldCharType="end"/>
      </w:r>
      <w:r w:rsidRPr="008608AA">
        <w:t xml:space="preserve">. In the 1990s, wild native bee diversity and abundance severely declined throughout Guanacaste Tropical and subtropical dry forests; this is thought to be a possible consequence of reduced flower abundance due to the elimination of pastures and forest not counterbalanced by Tropical and subtropical dry forest restoration </w:t>
      </w:r>
      <w:r w:rsidRPr="008608AA">
        <w:fldChar w:fldCharType="begin" w:fldLock="1"/>
      </w:r>
      <w:r w:rsidRPr="008608AA">
        <w:instrText>ADDIN CSL_CITATION { "citationItems" : [ { "id" : "ITEM-1", "itemData" : { "author" : [ { "dropping-particle" : "", "family" : "Janzen", "given" : "D.H.", "non-dropping-particle" : "", "parse-names" : false, "suffix" : "" } ], "container-title" : "Handbook of Ecological Restoration. Vol 2 Restoration in Practice", "editor" : [ { "dropping-particle" : "", "family" : "Perrow", "given" : "M.R.", "non-dropping-particle" : "", "parse-names" : false, "suffix" : "" }, { "dropping-particle" : "", "family" : "Davy", "given" : "A.J.", "non-dropping-particle" : "", "parse-names" : false, "suffix" : "" } ], "id" : "ITEM-1", "issued" : { "date-parts" : [ [ "2002" ] ] }, "page" : "559-583", "publisher" : "Cambridge University Press", "publisher-place" : "Cambridge, UK", "title" : "Tropical Dry Forest: Area de Conservaci\u00f3n Guanacaste, northwetern Costa Rica", "type" : "chapter" }, "uris" : [ "http://www.mendeley.com/documents/?uuid=85f664d0-8281-3f81-919b-4f29f6982b63" ] } ], "mendeley" : { "formattedCitation" : "(D.H. Janzen, 2002)", "manualFormatting" : "(Janzen, 2002)", "plainTextFormattedCitation" : "(D.H. Janzen, 2002)", "previouslyFormattedCitation" : "(Daniel H Janzen, 2002)" }, "properties" : { "noteIndex" : 0 }, "schema" : "https://github.com/citation-style-language/schema/raw/master/csl-citation.json" }</w:instrText>
      </w:r>
      <w:r w:rsidRPr="008608AA">
        <w:fldChar w:fldCharType="separate"/>
      </w:r>
      <w:r w:rsidRPr="008608AA">
        <w:rPr>
          <w:noProof/>
        </w:rPr>
        <w:t>(Janzen, 2002)</w:t>
      </w:r>
      <w:r w:rsidRPr="008608AA">
        <w:fldChar w:fldCharType="end"/>
      </w:r>
      <w:r w:rsidRPr="008608AA">
        <w:t xml:space="preserve">. </w:t>
      </w:r>
      <w:r w:rsidR="00E61364" w:rsidRPr="008608AA">
        <w:t>The flammable African pasture grass jaragua (</w:t>
      </w:r>
      <w:r w:rsidR="00E61364" w:rsidRPr="008608AA">
        <w:rPr>
          <w:i/>
        </w:rPr>
        <w:t>Hyparrhenia rufa</w:t>
      </w:r>
      <w:r w:rsidR="00E61364" w:rsidRPr="008608AA">
        <w:t xml:space="preserve">) has now reached high abundance in Guanacaste, increasing fire frequency with complex impacts on biodiversity </w:t>
      </w:r>
      <w:r w:rsidR="00E61364" w:rsidRPr="008608AA">
        <w:fldChar w:fldCharType="begin" w:fldLock="1"/>
      </w:r>
      <w:r w:rsidR="00E61364" w:rsidRPr="008608AA">
        <w:instrText>ADDIN CSL_CITATION { "citationItems" : [ { "id" : "ITEM-1", "itemData" : { "author" : [ { "dropping-particle" : "", "family" : "Bonoff", "given" : "M. B.", "non-dropping-particle" : "", "parse-names" : false, "suffix" : "" }, { "dropping-particle" : "", "family" : "Janzen", "given" : "D. H.", "non-dropping-particle" : "", "parse-names" : false, "suffix" : "" } ], "container-title" : "Brenesia", "id" : "ITEM-1", "issued" : { "date-parts" : [ [ "1980" ] ] }, "page" : "163\u2013174", "title" : "Small terrestrial rodents in eleven habitats in Santa Rosa National Park. Costa Rica", "type" : "article-journal", "volume" : "17" }, "uris" : [ "http://www.mendeley.com/documents/?uuid=a5998674-906a-4e4d-a9e5-a4cf56a4d198" ] }, { "id" : "ITEM-2", "itemData" : { "author" : [ { "dropping-particle" : "", "family" : "Janzen", "given" : "D.H.", "non-dropping-particle" : "", "parse-names" : false, "suffix" : "" } ], "container-title" : "Handbook of Ecological Restoration. Vol 2 Restoration in Practice", "editor" : [ { "dropping-particle" : "", "family" : "Perrow", "given" : "M.R.", "non-dropping-particle" : "", "parse-names" : false, "suffix" : "" }, { "dropping-particle" : "", "family" : "Davy", "given" : "A.J.", "non-dropping-particle" : "", "parse-names" : false, "suffix" : "" } ], "id" : "ITEM-2", "issued" : { "date-parts" : [ [ "2002" ] ] }, "page" : "559-583", "publisher" : "Cambridge University Press", "publisher-place" : "Cambridge, UK", "title" : "Tropical Dry Forest: Area de Conservaci\u00f3n Guanacaste, northwetern Costa Rica", "type" : "chapter" }, "uris" : [ "http://www.mendeley.com/documents/?uuid=85f664d0-8281-3f81-919b-4f29f6982b63" ] }, { "id" : "ITEM-3", "itemData" : { "DOI" : "10.7208/chicago/9780226121642.003.0010", "author" : [ { "dropping-particle" : "", "family" : "Janzen", "given" : "D.H.", "non-dropping-particle" : "", "parse-names" : false, "suffix" : "" }, { "dropping-particle" : "", "family" : "Hallwachs", "given" : "W.", "non-dropping-particle" : "", "parse-names" : false, "suffix" : "" } ], "container-title" : "Costa Rican Ecosystems", "editor" : [ { "dropping-particle" : "", "family" : "Kappelle", "given" : "M.", "non-dropping-particle" : "", "parse-names" : false, "suffix" : "" } ], "id" : "ITEM-3", "issued" : { "date-parts" : [ [ "2016" ] ] }, "page" : "290- 341", "publisher" : "University Of Chicago Press", "publisher-place" : "Chicago, USA.", "title" : "Biodiversity conservation history and future in Costa Rica: The case of \u00c1rea de Conservaci\u00f3n Guanacaste (ACG)", "type" : "chapter" }, "uris" : [ "http://www.mendeley.com/documents/?uuid=bcfa13e9-7468-457e-8fe9-51947729f07f" ] } ], "mendeley" : { "formattedCitation" : "(Bonoff and Janzen 1980, Janzen 2002, Janzen and Hallwachs 2016)", "manualFormatting" : "(Bonoff and Janzen 1980; Janzen 2002; Janzen and Hallwachs 2016)", "plainTextFormattedCitation" : "(Bonoff and Janzen 1980, Janzen 2002, Janzen and Hallwachs 2016)", "previouslyFormattedCitation" : "(Bonoff and Janzen 1980, Janzen 2002, Janzen and Hallwachs 2016)" }, "properties" : { "noteIndex" : 0 }, "schema" : "https://github.com/citation-style-language/schema/raw/master/csl-citation.json" }</w:instrText>
      </w:r>
      <w:r w:rsidR="00E61364" w:rsidRPr="008608AA">
        <w:fldChar w:fldCharType="separate"/>
      </w:r>
      <w:r w:rsidR="00E61364" w:rsidRPr="008608AA">
        <w:rPr>
          <w:noProof/>
        </w:rPr>
        <w:t xml:space="preserve">(Bonoff </w:t>
      </w:r>
      <w:r w:rsidR="00720F47" w:rsidRPr="008608AA">
        <w:rPr>
          <w:noProof/>
        </w:rPr>
        <w:t>&amp;</w:t>
      </w:r>
      <w:r w:rsidR="00E61364" w:rsidRPr="008608AA">
        <w:rPr>
          <w:noProof/>
        </w:rPr>
        <w:t xml:space="preserve"> Janzen</w:t>
      </w:r>
      <w:r w:rsidR="00720F47" w:rsidRPr="008608AA">
        <w:rPr>
          <w:noProof/>
        </w:rPr>
        <w:t>,</w:t>
      </w:r>
      <w:r w:rsidR="00E61364" w:rsidRPr="008608AA">
        <w:rPr>
          <w:noProof/>
        </w:rPr>
        <w:t xml:space="preserve"> 1980; Janzen</w:t>
      </w:r>
      <w:r w:rsidR="00720F47" w:rsidRPr="008608AA">
        <w:rPr>
          <w:noProof/>
        </w:rPr>
        <w:t>,</w:t>
      </w:r>
      <w:r w:rsidR="00E61364" w:rsidRPr="008608AA">
        <w:rPr>
          <w:noProof/>
        </w:rPr>
        <w:t xml:space="preserve"> 2002; Janzen </w:t>
      </w:r>
      <w:r w:rsidR="00720F47" w:rsidRPr="008608AA">
        <w:rPr>
          <w:noProof/>
        </w:rPr>
        <w:t>&amp;</w:t>
      </w:r>
      <w:r w:rsidR="00E61364" w:rsidRPr="008608AA">
        <w:rPr>
          <w:noProof/>
        </w:rPr>
        <w:t xml:space="preserve"> Hallwachs</w:t>
      </w:r>
      <w:r w:rsidR="00720F47" w:rsidRPr="008608AA">
        <w:rPr>
          <w:noProof/>
        </w:rPr>
        <w:t>,</w:t>
      </w:r>
      <w:r w:rsidR="00E61364" w:rsidRPr="008608AA">
        <w:rPr>
          <w:noProof/>
        </w:rPr>
        <w:t xml:space="preserve"> 2016)</w:t>
      </w:r>
      <w:r w:rsidR="00E61364" w:rsidRPr="008608AA">
        <w:fldChar w:fldCharType="end"/>
      </w:r>
      <w:r w:rsidR="00E61364" w:rsidRPr="008608AA">
        <w:t>.</w:t>
      </w:r>
    </w:p>
    <w:p w14:paraId="52BB1FAA" w14:textId="77777777" w:rsidR="004255E7" w:rsidRPr="008608AA" w:rsidRDefault="004255E7" w:rsidP="0041668E">
      <w:pPr>
        <w:pStyle w:val="Heading5"/>
        <w:numPr>
          <w:ilvl w:val="0"/>
          <w:numId w:val="0"/>
        </w:numPr>
        <w:ind w:left="1008" w:hanging="1008"/>
        <w:rPr>
          <w:sz w:val="24"/>
          <w:szCs w:val="24"/>
        </w:rPr>
      </w:pPr>
      <w:r w:rsidRPr="008608AA">
        <w:rPr>
          <w:sz w:val="24"/>
          <w:szCs w:val="24"/>
        </w:rPr>
        <w:t xml:space="preserve">Caribbean subregion </w:t>
      </w:r>
    </w:p>
    <w:p w14:paraId="6FBAAFD8" w14:textId="6D5DC93B" w:rsidR="004255E7" w:rsidRPr="008608AA" w:rsidRDefault="00657833" w:rsidP="0041668E">
      <w:pPr>
        <w:spacing w:after="120"/>
      </w:pPr>
      <w:r w:rsidRPr="008608AA">
        <w:t xml:space="preserve">Status. </w:t>
      </w:r>
      <w:r w:rsidR="004255E7" w:rsidRPr="008608AA">
        <w:t>Some 92% of the areas suitable for Tropical and subtropical dry forests in the Caribbean are found in Cuba and the Dominican Republic, a total of 124,488km</w:t>
      </w:r>
      <w:r w:rsidR="004255E7" w:rsidRPr="008608AA">
        <w:rPr>
          <w:vertAlign w:val="superscript"/>
        </w:rPr>
        <w:t>2</w:t>
      </w:r>
      <w:r w:rsidR="004255E7" w:rsidRPr="008608AA">
        <w:t xml:space="preserve">, which is close to 9% of this biome in Latin America overall </w:t>
      </w:r>
      <w:r w:rsidR="004255E7" w:rsidRPr="008608AA">
        <w:fldChar w:fldCharType="begin" w:fldLock="1"/>
      </w:r>
      <w:r w:rsidR="004255E7" w:rsidRPr="008608AA">
        <w:instrText>ADDIN CSL_CITATION { "citationItems" : [ { "id" : "ITEM-1", "itemData" : { "DOI" : "10.1016/j.biocon.2009.09.020", "ISBN" : "0006-3207", "ISSN" : "00063207", "PMID" : "8522144", "abstract" : "This paper shows the results of an assessment on the current extent of Neotropical dry forests based on a supervised classification of MODIS surface reflectance imagery at 500-m resolution. Our findings show that tropical dry forests extend for 519,597 km2 across North and South America. Mexico, Brazil and Bolivia harbor the largest and best-preserved dry forest fragments. Mexico contains the largest extent at 181,461 km2 (38% of the total), although it remains poorly represented under protected areas. On the other hand, Brazil and Bolivia contain the largest proportion of protected tropical dry forests and the largest extent in continuous forest fragments. We found that five single ecoregions account for more than half of the tropical dry forests in the Americas (continental and insular) and these ecoregions are: the Chiquitano dry forests, located in Bolivia and Brazil (27.5%), the Atlantic dry forests (10.2%), the Sinaloan dry forests in Mexico (9.7%), the Cuban dry forests (7.1%) and the Bajio dry forests in Mexico (7%). Chiquitano dry forests alone contain 142,941 km2 of dry forests. Of the approximately 23,000 km2 of dry forest under legal protection, 15,000 km2 are located in just two countries, Bolivia and Brazil. In fact, Bolivia protects 10,609 km2 of dry forests, where 7600 km2 are located within the Chiquitano dry forest ecoregion and protected by a single park. Low extent and high fragmentation of dry forests in countries like Guatemala, Nicaragua, Ecuador, Costa Rica and Peru means that these forests are at a higher risk from human disturbance and deforestation. \u00a9 2009 Elsevier Ltd. All rights reserved.", "author" : [ { "dropping-particle" : "", "family" : "Portillo-Quintero", "given" : "C. A.", "non-dropping-particle" : "", "parse-names" : false, "suffix" : "" }, { "dropping-particle" : "", "family" : "S\u00e1nchez-Azofeifa", "given" : "G. A.", "non-dropping-particle" : "", "parse-names" : false, "suffix" : "" } ], "container-title" : "Biological Conservation", "id" : "ITEM-1", "issue" : "1", "issued" : { "date-parts" : [ [ "2010" ] ] }, "page" : "144-155", "title" : "Extent and conservation of tropical dry forests in the Americas", "type" : "article-journal", "volume" : "143" }, "uris" : [ "http://www.mendeley.com/documents/?uuid=44430ed5-0e24-34a0-8b8f-7050b582900a" ] } ], "mendeley" : { "formattedCitation" : "(Portillo-Quintero &amp; S\u00e1nchez-Azofeifa, 2010)", "manualFormatting" : "(Portillo-Quintero and S\u00e1nchez-Azofeifa, 2010)", "plainTextFormattedCitation" : "(Portillo-Quintero &amp; S\u00e1nchez-Azofeifa, 2010)", "previouslyFormattedCitation" : "(Portillo-Quintero &amp; S\u00e1nchez-Azofeifa, 2010)" }, "properties" : { "noteIndex" : 0 }, "schema" : "https://github.com/citation-style-language/schema/raw/master/csl-citation.json" }</w:instrText>
      </w:r>
      <w:r w:rsidR="004255E7" w:rsidRPr="008608AA">
        <w:fldChar w:fldCharType="separate"/>
      </w:r>
      <w:r w:rsidR="004255E7" w:rsidRPr="008608AA">
        <w:rPr>
          <w:noProof/>
        </w:rPr>
        <w:t xml:space="preserve">(Portillo-Quintero </w:t>
      </w:r>
      <w:r w:rsidR="00EE77AC" w:rsidRPr="008608AA">
        <w:rPr>
          <w:noProof/>
        </w:rPr>
        <w:t>&amp;</w:t>
      </w:r>
      <w:r w:rsidR="004255E7" w:rsidRPr="008608AA">
        <w:rPr>
          <w:noProof/>
        </w:rPr>
        <w:t xml:space="preserve"> Sánchez-Azofeifa, 2010)</w:t>
      </w:r>
      <w:r w:rsidR="004255E7" w:rsidRPr="008608AA">
        <w:fldChar w:fldCharType="end"/>
      </w:r>
      <w:r w:rsidR="004255E7" w:rsidRPr="008608AA">
        <w:t xml:space="preserve">. Around 66% of Tropical and subtropical dry forests has been converted to nonforest in the Caribbean (66% in Cuba, 78% in Haiti, 58% in the Dominican Republic, 54% in Jamaica and 64% in the Cayman Islands) </w:t>
      </w:r>
      <w:r w:rsidR="004255E7" w:rsidRPr="008608AA">
        <w:fldChar w:fldCharType="begin" w:fldLock="1"/>
      </w:r>
      <w:r w:rsidR="004255E7" w:rsidRPr="008608AA">
        <w:instrText>ADDIN CSL_CITATION { "citationItems" : [ { "id" : "ITEM-1", "itemData" : { "DOI" : "10.1016/j.biocon.2009.09.020", "ISBN" : "0006-3207", "ISSN" : "00063207", "PMID" : "8522144", "abstract" : "This paper shows the results of an assessment on the current extent of Neotropical dry forests based on a supervised classification of MODIS surface reflectance imagery at 500-m resolution. Our findings show that tropical dry forests extend for 519,597 km2 across North and South America. Mexico, Brazil and Bolivia harbor the largest and best-preserved dry forest fragments. Mexico contains the largest extent at 181,461 km2 (38% of the total), although it remains poorly represented under protected areas. On the other hand, Brazil and Bolivia contain the largest proportion of protected tropical dry forests and the largest extent in continuous forest fragments. We found that five single ecoregions account for more than half of the tropical dry forests in the Americas (continental and insular) and these ecoregions are: the Chiquitano dry forests, located in Bolivia and Brazil (27.5%), the Atlantic dry forests (10.2%), the Sinaloan dry forests in Mexico (9.7%), the Cuban dry forests (7.1%) and the Bajio dry forests in Mexico (7%). Chiquitano dry forests alone contain 142,941 km2 of dry forests. Of the approximately 23,000 km2 of dry forest under legal protection, 15,000 km2 are located in just two countries, Bolivia and Brazil. In fact, Bolivia protects 10,609 km2 of dry forests, where 7600 km2 are located within the Chiquitano dry forest ecoregion and protected by a single park. Low extent and high fragmentation of dry forests in countries like Guatemala, Nicaragua, Ecuador, Costa Rica and Peru means that these forests are at a higher risk from human disturbance and deforestation. \u00a9 2009 Elsevier Ltd. All rights reserved.", "author" : [ { "dropping-particle" : "", "family" : "Portillo-Quintero", "given" : "C. A.", "non-dropping-particle" : "", "parse-names" : false, "suffix" : "" }, { "dropping-particle" : "", "family" : "S\u00e1nchez-Azofeifa", "given" : "G. A.", "non-dropping-particle" : "", "parse-names" : false, "suffix" : "" } ], "container-title" : "Biological Conservation", "id" : "ITEM-1", "issue" : "1", "issued" : { "date-parts" : [ [ "2010" ] ] }, "page" : "144-155", "title" : "Extent and conservation of tropical dry forests in the Americas", "type" : "article-journal", "volume" : "143" }, "uris" : [ "http://www.mendeley.com/documents/?uuid=44430ed5-0e24-34a0-8b8f-7050b582900a" ] } ], "mendeley" : { "formattedCitation" : "(Portillo-Quintero &amp; S\u00e1nchez-Azofeifa, 2010)", "manualFormatting" : "(Portillo-Quintero &amp; S\u00e1nchez-Azofeifa, 2010)", "plainTextFormattedCitation" : "(Portillo-Quintero &amp; S\u00e1nchez-Azofeifa, 2010)", "previouslyFormattedCitation" : "(Portillo-Quintero &amp; S\u00e1nchez-Azofeifa, 2010)" }, "properties" : { "noteIndex" : 0 }, "schema" : "https://github.com/citation-style-language/schema/raw/master/csl-citation.json" }</w:instrText>
      </w:r>
      <w:r w:rsidR="004255E7" w:rsidRPr="008608AA">
        <w:fldChar w:fldCharType="separate"/>
      </w:r>
      <w:r w:rsidR="004255E7" w:rsidRPr="008608AA">
        <w:rPr>
          <w:noProof/>
        </w:rPr>
        <w:t>(Portillo-Quintero &amp; Sánchez-Azofeifa, 2010)</w:t>
      </w:r>
      <w:r w:rsidR="004255E7" w:rsidRPr="008608AA">
        <w:fldChar w:fldCharType="end"/>
      </w:r>
      <w:r w:rsidR="004255E7" w:rsidRPr="008608AA">
        <w:t xml:space="preserve">. </w:t>
      </w:r>
    </w:p>
    <w:p w14:paraId="67F8F1AB" w14:textId="0CF89435" w:rsidR="004255E7" w:rsidRPr="008608AA" w:rsidRDefault="004255E7" w:rsidP="0041668E">
      <w:pPr>
        <w:spacing w:after="120"/>
      </w:pPr>
      <w:r w:rsidRPr="008608AA">
        <w:t xml:space="preserve">In the insular Caribbean, a typical island pattern of moderate to low species richness (Table 3.4) but high species endemism is observed in Tropical and subtropical dry forests </w:t>
      </w:r>
      <w:r w:rsidRPr="008608AA">
        <w:fldChar w:fldCharType="begin" w:fldLock="1"/>
      </w:r>
      <w:r w:rsidRPr="008608AA">
        <w:instrText>ADDIN CSL_CITATION { "citationItems" : [ { "id" : "ITEM-1", "itemData" : { "DOI" : "10.1126/science.aaf5080", "ISBN" : "3586", "ISSN" : "0036-8075", "PMID" : "27708031", "abstract" : "Seasonally dry tropical forests are distributed across Latin America and the Caribbean and are highly threatened, with less than 10% of their original extent remaining in many countries. Using 835 inventories covering 4660 species of woody plants, we show marked floristic turnover among inventories and regions, which may be higher than in other neotropical biomes, such as savanna. Such high floristic turnover indicates that numerous conservation areas across many countries will be needed to protect the full diversity of tropical dry forests. Our results provide a scientific framework within which national decision-makers can contextualize the floristic significance of their dry forest at a regional and continental scale.", "author" : [ { "dropping-particle" : "", "family" : "Banda-R", "given" : "K.", "non-dropping-particle" : "", "parse-names" : false, "suffix" : "" }, { "dropping-particle" : "", "family" : "Delgado-Salinas", "given" : "A.", "non-dropping-particle" : "", "parse-names" : false, "suffix" : "" }, { "dropping-particle" : "", "family" : "Dexter", "given" : "K. G.", "non-dropping-particle" : "", "parse-names" : false, "suffix" : "" }, { "dropping-particle" : "", "family" : "Linares-Palomino", "given" : "R.", "non-dropping-particle" : "", "parse-names" : false, "suffix" : "" }, { "dropping-particle" : "", "family" : "Oliveira-Filho", "given" : "A.", "non-dropping-particle" : "", "parse-names" : false, "suffix" : "" }, { "dropping-particle" : "", "family" : "Prado", "given" : "D.", "non-dropping-particle" : "", "parse-names" : false, "suffix" : "" }, { "dropping-particle" : "", "family" : "Pullan", "given" : "M.", "non-dropping-particle" : "", "parse-names" : false, "suffix" : "" }, { "dropping-particle" : "", "family" : "Quintana", "given" : "C.", "non-dropping-particle" : "", "parse-names" : false, "suffix" : "" }, { "dropping-particle" : "", "family" : "Riina", "given" : "R.", "non-dropping-particle" : "", "parse-names" : false, "suffix" : "" }, { "dropping-particle" : "", "family" : "Rodriguez M.", "given" : "G. M.", "non-dropping-particle" : "", "parse-names" : false, "suffix" : "" }, { "dropping-particle" : "", "family" : "Weintritt", "given" : "J.", "non-dropping-particle" : "", "parse-names" : false, "suffix" : "" }, { "dropping-particle" : "", "family" : "Acevedo-Rodriguez", "given" : "P.", "non-dropping-particle" : "", "parse-names" : false, "suffix" : "" }, { "dropping-particle" : "", "family" : "Adarve", "given" : "J.", "non-dropping-particle" : "", "parse-names" : false, "suffix" : "" }, { "dropping-particle" : "", "family" : "Alvarez", "given" : "E.", "non-dropping-particle" : "", "parse-names" : false, "suffix" : "" }, { "dropping-particle" : "", "family" : "Aranguren B.", "given" : "A.", "non-dropping-particle" : "", "parse-names" : false, "suffix" : "" }, { "dropping-particle" : "", "family" : "Arteaga", "given" : "J. C.", "non-dropping-particle" : "", "parse-names" : false, "suffix" : "" }, { "dropping-particle" : "", "family" : "Aymard", "given" : "G.", "non-dropping-particle" : "", "parse-names" : false, "suffix" : "" }, { "dropping-particle" : "", "family" : "Castano", "given" : "A.", "non-dropping-particle" : "", "parse-names" : false, "suffix" : "" }, { "dropping-particle" : "", "family" : "Ceballos-Mago", "given" : "N.", "non-dropping-particle" : "", "parse-names" : false, "suffix" : "" }, { "dropping-particle" : "", "family" : "Cogollo", "given" : "A.", "non-dropping-particle" : "", "parse-names" : false, "suffix" : "" }, { "dropping-particle" : "", "family" : "Cuadros", "given" : "H.", "non-dropping-particle" : "", "parse-names" : false, "suffix" : "" }, { "dropping-particle" : "", "family" : "Delgado", "given" : "F.", "non-dropping-particle" : "", "parse-names" : false, "suffix" : "" }, { "dropping-particle" : "", "family" : "Devia", "given" : "W.", "non-dropping-particle" : "", "parse-names" : false, "suffix" : "" }, { "dropping-particle" : "", "family" : "Duenas", "given" : "H.", "non-dropping-particle" : "", "parse-names" : false, "suffix" : "" }, { "dropping-particle" : "", "family" : "Fajardo", "given" : "L.", "non-dropping-particle" : "", "parse-names" : false, "suffix" : "" }, { "dropping-particle" : "", "family" : "Fernandez", "given" : "A.", "non-dropping-particle" : "", "parse-names" : false, "suffix" : "" }, { "dropping-particle" : "", "family" : "Fernandez", "given" : "M. A.", "non-dropping-particle" : "", "parse-names" : false, "suffix" : "" }, { "dropping-particle" : "", "family" : "Franklin", "given" : "J.", "non-dropping-particle" : "", "parse-names" : false, "suffix" : "" }, { "dropping-particle" : "", "family" : "Freid", "given" : "E. H.", "non-dropping-particle" : "", "parse-names" : false, "suffix" : "" }, { "dropping-particle" : "", "family" : "Galetti", "given" : "L. A.", "non-dropping-particle" : "", "parse-names" : false, "suffix" : "" }, { "dropping-particle" : "", "family" : "Gonto", "given" : "R.", "non-dropping-particle" : "", "parse-names" : false, "suffix" : "" }, { "dropping-particle" : "", "family" : "Gonzalez-M.", "given" : "R.", "non-dropping-particle" : "", "parse-names" : false, "suffix" : "" }, { "dropping-particle" : "", "family" : "Graveson", "given" : "R.", "non-dropping-particle" : "", "parse-names" : false, "suffix" : "" }, { "dropping-particle" : "", "family" : "Helmer", "given" : "E. H.", "non-dropping-particle" : "", "parse-names" : false, "suffix" : "" }, { "dropping-particle" : "", "family" : "Idarraga", "given" : "A.", "non-dropping-particle" : "", "parse-names" : false, "suffix" : "" }, { "dropping-particle" : "", "family" : "Lopez", "given" : "R.", "non-dropping-particle" : "", "parse-names" : false, "suffix" : "" }, { "dropping-particle" : "", "family" : "Marcano-Vega", "given" : "H.", "non-dropping-particle" : "", "parse-names" : false, "suffix" : "" }, { "dropping-particle" : "", "family" : "Martinez", "given" : "O. G.", "non-dropping-particle" : "", "parse-names" : false, "suffix" : "" }, { "dropping-particle" : "", "family" : "Maturo", "given" : "H. M.", "non-dropping-particle" : "", "parse-names" : false, "suffix" : "" }, { "dropping-particle" : "", "family" : "McDonald", "given" : "M.", "non-dropping-particle" : "", "parse-names" : false, "suffix" : "" }, { "dropping-particle" : "", "family" : "McLaren", "given" : "K.", "non-dropping-particle" : "", "parse-names" : false, "suffix" : "" }, { "dropping-particle" : "", "family" : "Melo", "given" : "O.", "non-dropping-particle" : "", "parse-names" : false, "suffix" : "" }, { "dropping-particle" : "", "family" : "Mijares", "given" : "F.", "non-dropping-particle" : "", "parse-names" : false, "suffix" : "" }, { "dropping-particle" : "", "family" : "Mogni", "given" : "V.", "non-dropping-particle" : "", "parse-names" : false, "suffix" : "" }, { "dropping-particle" : "", "family" : "Molina", "given" : "D.", "non-dropping-particle" : "", "parse-names" : false, "suffix" : "" }, { "dropping-particle" : "", "family" : "Moreno", "given" : "N. d. P.", "non-dropping-particle" : "", "parse-names" : false, "suffix" : "" }, { "dropping-particle" : "", "family" : "Nassar", "given" : "J. M.", "non-dropping-particle" : "", "parse-names" : false, "suffix" : "" }, { "dropping-particle" : "", "family" : "Neves", "given" : "D. M.", "non-dropping-particle" : "", "parse-names" : false, "suffix" : "" }, { "dropping-particle" : "", "family" : "Oakley", "given" : "L. J.", "non-dropping-particle" : "", "parse-names" : false, "suffix" : "" }, { "dropping-particle" : "", "family" : "Oatham", "given" : "M.", "non-dropping-particle" : "", "parse-names" : false, "suffix" : "" }, { "dropping-particle" : "", "family" : "Olvera-Luna", "given" : "A. R.", "non-dropping-particle" : "", "parse-names" : false, "suffix" : "" }, { "dropping-particle" : "", "family" : "Pezzini", "given" : "F. F.", "non-dropping-particle" : "", "parse-names" : false, "suffix" : "" }, { "dropping-particle" : "", "family" : "Dominguez", "given" : "O. J. R.", "non-dropping-particle" : "", "parse-names" : false, "suffix" : "" }, { "dropping-particle" : "", "family" : "Rios", "given" : "M. E.", "non-dropping-particle" : "", "parse-names" : false, "suffix" : "" }, { "dropping-particle" : "", "family" : "Rivera", "given" : "O.", "non-dropping-particle" : "", "parse-names" : false, "suffix" : "" }, { "dropping-particle" : "", "family" : "Rodriguez", "given" : "N.", "non-dropping-particle" : "", "parse-names" : false, "suffix" : "" }, { "dropping-particle" : "", "family" : "Rojas", "given" : "A.", "non-dropping-particle" : "", "parse-names" : false, "suffix" : "" }, { "dropping-particle" : "", "family" : "Sarkinen", "given" : "T.", "non-dropping-particle" : "", "parse-names" : false, "suffix" : "" }, { "dropping-particle" : "", "family" : "Sanchez", "given" : "R.", "non-dropping-particle" : "", "parse-names" : false, "suffix" : "" }, { "dropping-particle" : "", "family" : "Smith", "given" : "M.", "non-dropping-particle" : "", "parse-names" : false, "suffix" : "" }, { "dropping-particle" : "", "family" : "Vargas", "given" : "C.", "non-dropping-particle" : "", "parse-names" : false, "suffix" : "" }, { "dropping-particle" : "", "family" : "Villanueva", "given" : "B.", "non-dropping-particle" : "", "parse-names" : false, "suffix" : "" }, { "dropping-particle" : "", "family" : "Pennington", "given" : "R. T.", "non-dropping-particle" : "", "parse-names" : false, "suffix" : "" } ], "container-title" : "Science", "id" : "ITEM-1", "issue" : "6306", "issued" : { "date-parts" : [ [ "2016" ] ] }, "page" : "1383-1387", "title" : "Plant diversity patterns in neotropical dry forests and their conservation implications", "type" : "article-journal", "volume" : "353" }, "uris" : [ "http://www.mendeley.com/documents/?uuid=a649f79c-6777-405c-8a4d-9c9f5ef5dbb7" ] } ], "mendeley" : { "formattedCitation" : "(Banda-R et al., 2016)", "manualFormatting" : "(Banda-R et al., 2016)", "plainTextFormattedCitation" : "(Banda-R et al., 2016)", "previouslyFormattedCitation" : "(Banda-R et al., 2016)" }, "properties" : { "noteIndex" : 0 }, "schema" : "https://github.com/citation-style-language/schema/raw/master/csl-citation.json" }</w:instrText>
      </w:r>
      <w:r w:rsidRPr="008608AA">
        <w:fldChar w:fldCharType="separate"/>
      </w:r>
      <w:r w:rsidRPr="008608AA">
        <w:rPr>
          <w:noProof/>
        </w:rPr>
        <w:t>(Banda-R et al., 2016)</w:t>
      </w:r>
      <w:r w:rsidRPr="008608AA">
        <w:fldChar w:fldCharType="end"/>
      </w:r>
      <w:r w:rsidRPr="008608AA">
        <w:t xml:space="preserve">. The endemism rate in this biome´s woody plant species is 77.5% in the insular Caribbean </w:t>
      </w:r>
      <w:r w:rsidRPr="008608AA">
        <w:fldChar w:fldCharType="begin" w:fldLock="1"/>
      </w:r>
      <w:r w:rsidRPr="008608AA">
        <w:instrText>ADDIN CSL_CITATION { "citationItems" : [ { "id" : "ITEM-1", "itemData" : { "author" : [ { "dropping-particle" : "", "family" : "Linares-Palomino", "given" : "R.", "non-dropping-particle" : "", "parse-names" : false, "suffix" : "" }, { "dropping-particle" : "", "family" : "Oliveira-Filho", "given" : "A. T.", "non-dropping-particle" : "", "parse-names" : false, "suffix" : "" }, { "dropping-particle" : "", "family" : "Pennington", "given" : "R. T.", "non-dropping-particle" : "", "parse-names" : false, "suffix" : "" } ], "container-title" : "Seasonally Dry Tropical Forests: Ecology and Conservation", "editor" : [ { "dropping-particle" : "", "family" : "Dirzo", "given" : "R", "non-dropping-particle" : "", "parse-names" : false, "suffix" : "" }, { "dropping-particle" : "", "family" : "Young", "given" : "H.", "non-dropping-particle" : "", "parse-names" : false, "suffix" : "" }, { "dropping-particle" : "", "family" : "Mooney", "given" : "H", "non-dropping-particle" : "", "parse-names" : false, "suffix" : "" }, { "dropping-particle" : "", "family" : "Ceballos", "given" : "G", "non-dropping-particle" : "", "parse-names" : false, "suffix" : "" } ], "id" : "ITEM-1", "issued" : { "date-parts" : [ [ "2011" ] ] }, "page" : "3-21", "publisher" : "Island Press", "publisher-place" : "Washington, DC, USA", "title" : "Neotropical seasonally dry forests: diversity, endemism and biogeography of woody plants", "type" : "chapter" }, "uris" : [ "http://www.mendeley.com/documents/?uuid=ec5894ec-20fa-4515-94f0-c3dda99e6778" ] } ], "mendeley" : { "formattedCitation" : "(Linares-Palomino, Oliveira-Filho, &amp; Pennington, 2011)", "manualFormatting" : "(Linares-Palomino et  al., 2011)", "plainTextFormattedCitation" : "(Linares-Palomino, Oliveira-Filho, &amp; Pennington, 2011)", "previouslyFormattedCitation" : "(Linares-Palomino, Oliveira-Filho, &amp; Pennington, 2011)" }, "properties" : { "noteIndex" : 0 }, "schema" : "https://github.com/citation-style-language/schema/raw/master/csl-citation.json" }</w:instrText>
      </w:r>
      <w:r w:rsidRPr="008608AA">
        <w:fldChar w:fldCharType="separate"/>
      </w:r>
      <w:r w:rsidRPr="008608AA">
        <w:rPr>
          <w:noProof/>
        </w:rPr>
        <w:t>(Linares-Palomino et al., 2011)</w:t>
      </w:r>
      <w:r w:rsidRPr="008608AA">
        <w:fldChar w:fldCharType="end"/>
      </w:r>
      <w:r w:rsidRPr="008608AA">
        <w:t xml:space="preserve">. Mirroring the poor conservation state of Caribbean ecosystems, available data show a large proportion of species in Tropical and subtropical dry forests to be vulnerable to extinction or under a greater threat level according to IUCN Red Data List criteria </w:t>
      </w:r>
      <w:r w:rsidRPr="008608AA">
        <w:fldChar w:fldCharType="begin" w:fldLock="1"/>
      </w:r>
      <w:r w:rsidRPr="008608AA">
        <w:instrText>ADDIN CSL_CITATION { "citationItems" : [ { "id" : "ITEM-1", "itemData" : { "URL" : "www.iucnredlist.org", "accessed" : { "date-parts" : [ [ "2017", "1", "1" ] ] }, "author" : [ { "dropping-particle" : "", "family" : "IUCN", "given" : "", "non-dropping-particle" : "", "parse-names" : false, "suffix" : "" } ], "id" : "ITEM-1", "issued" : { "date-parts" : [ [ "2017" ] ] }, "title" : "The IUCN Red List of Threatened Species. Version 2016-3", "type" : "webpage" }, "uris" : [ "http://www.mendeley.com/documents/?uuid=9e1b2abd-bf56-415b-9f06-ca49e284658d" ] } ], "mendeley" : { "formattedCitation" : "(IUCN, 2017)", "plainTextFormattedCitation" : "(IUCN, 2017)", "previouslyFormattedCitation" : "(IUCN, 2017)" }, "properties" : { "noteIndex" : 0 }, "schema" : "https://github.com/citation-style-language/schema/raw/master/csl-citation.json" }</w:instrText>
      </w:r>
      <w:r w:rsidRPr="008608AA">
        <w:fldChar w:fldCharType="separate"/>
      </w:r>
      <w:r w:rsidRPr="008608AA">
        <w:rPr>
          <w:noProof/>
        </w:rPr>
        <w:t>(IUCN, 2017)</w:t>
      </w:r>
      <w:r w:rsidRPr="008608AA">
        <w:fldChar w:fldCharType="end"/>
      </w:r>
      <w:r w:rsidRPr="008608AA">
        <w:t xml:space="preserve">. Terrestrial and freshwater Tropical and subtropical dry forests ecosystems include 51 threatened plant species, 108 threatened reptile species, 16 threatened amphibian species, 35 threatened birds species and four threatened mammal species </w:t>
      </w:r>
      <w:r w:rsidRPr="008608AA">
        <w:fldChar w:fldCharType="begin" w:fldLock="1"/>
      </w:r>
      <w:r w:rsidRPr="008608AA">
        <w:instrText>ADDIN CSL_CITATION { "citationItems" : [ { "id" : "ITEM-1", "itemData" : { "URL" : "www.iucnredlist.org", "accessed" : { "date-parts" : [ [ "2017", "1", "1" ] ] }, "author" : [ { "dropping-particle" : "", "family" : "IUCN", "given" : "", "non-dropping-particle" : "", "parse-names" : false, "suffix" : "" } ], "id" : "ITEM-1", "issued" : { "date-parts" : [ [ "2017" ] ] }, "title" : "The IUCN Red List of Threatened Species. Version 2016-3", "type" : "webpage" }, "uris" : [ "http://www.mendeley.com/documents/?uuid=9e1b2abd-bf56-415b-9f06-ca49e284658d" ] } ], "mendeley" : { "formattedCitation" : "(IUCN, 2017)", "plainTextFormattedCitation" : "(IUCN, 2017)", "previouslyFormattedCitation" : "(IUCN, 2017)" }, "properties" : { "noteIndex" : 0 }, "schema" : "https://github.com/citation-style-language/schema/raw/master/csl-citation.json" }</w:instrText>
      </w:r>
      <w:r w:rsidRPr="008608AA">
        <w:fldChar w:fldCharType="separate"/>
      </w:r>
      <w:r w:rsidRPr="008608AA">
        <w:rPr>
          <w:noProof/>
        </w:rPr>
        <w:t>(IUCN, 2017)</w:t>
      </w:r>
      <w:r w:rsidRPr="008608AA">
        <w:fldChar w:fldCharType="end"/>
      </w:r>
      <w:r w:rsidRPr="008608AA">
        <w:t xml:space="preserve">. </w:t>
      </w:r>
    </w:p>
    <w:p w14:paraId="545C253B" w14:textId="77777777" w:rsidR="004255E7" w:rsidRPr="008608AA" w:rsidRDefault="004255E7" w:rsidP="0041668E">
      <w:pPr>
        <w:spacing w:after="120"/>
      </w:pPr>
      <w:r w:rsidRPr="008608AA">
        <w:t xml:space="preserve">In pre-Columbian times, humans altered habitats using fire and shifting cultivation </w:t>
      </w:r>
      <w:r w:rsidRPr="008608AA">
        <w:softHyphen/>
        <w:t xml:space="preserve">– especially in Tropical and subtropical dry forests where soils are fertile. Humans also caused the extinction of large mammal species by overhunting or modifying habitat </w:t>
      </w:r>
      <w:r w:rsidRPr="008608AA">
        <w:fldChar w:fldCharType="begin" w:fldLock="1"/>
      </w:r>
      <w:r w:rsidRPr="008608AA">
        <w:instrText>ADDIN CSL_CITATION { "citationItems" : [ { "id" : "ITEM-1", "itemData" : { "author" : [ { "dropping-particle" : "", "family" : "Fitzpatrick", "given" : "S.M.", "non-dropping-particle" : "", "parse-names" : false, "suffix" : "" }, { "dropping-particle" : "", "family" : "Keegan", "given" : "W.F.", "non-dropping-particle" : "", "parse-names" : false, "suffix" : "" } ], "container-title" : "Earth and Environmental Science Transactions of the Royal Society of Edinburgh", "id" : "ITEM-1", "issue" : "1", "issued" : { "date-parts" : [ [ "2007" ] ] }, "page" : "29\u201345", "title" : "Human impacts and adaptations in the Caribbean Islands: an historical ecology approach", "type" : "article-journal", "volume" : "98" }, "uris" : [ "http://www.mendeley.com/documents/?uuid=aa984332-7c00-4d48-b085-3b2520dadade" ] } ], "mendeley" : { "formattedCitation" : "(Fitzpatrick &amp; Keegan, 2007)", "manualFormatting" : "(Fitzpatrick &amp; Keegan, 2007)", "plainTextFormattedCitation" : "(Fitzpatrick &amp; Keegan, 2007)", "previouslyFormattedCitation" : "(Fitzpatrick &amp; Keegan, 2007)" }, "properties" : { "noteIndex" : 0 }, "schema" : "https://github.com/citation-style-language/schema/raw/master/csl-citation.json" }</w:instrText>
      </w:r>
      <w:r w:rsidRPr="008608AA">
        <w:fldChar w:fldCharType="separate"/>
      </w:r>
      <w:r w:rsidRPr="008608AA">
        <w:rPr>
          <w:noProof/>
        </w:rPr>
        <w:t>(Fitzpatrick &amp; Keegan, 2007)</w:t>
      </w:r>
      <w:r w:rsidRPr="008608AA">
        <w:fldChar w:fldCharType="end"/>
      </w:r>
      <w:r w:rsidRPr="008608AA">
        <w:t xml:space="preserve">. In European colonial times large areas of this biome were cleared for agriculture in the insular Caribbean, and by the start of the 1900s Tropical and subtropical dry forests on most islands had been largely cleared or degraded </w:t>
      </w:r>
      <w:r w:rsidRPr="008608AA">
        <w:fldChar w:fldCharType="begin" w:fldLock="1"/>
      </w:r>
      <w:r w:rsidRPr="008608AA">
        <w:instrText>ADDIN CSL_CITATION { "citationItems" : [ { "id" : "ITEM-1", "itemData" : { "author" : [ { "dropping-particle" : "", "family" : "Fitzpatrick", "given" : "S.M.", "non-dropping-particle" : "", "parse-names" : false, "suffix" : "" }, { "dropping-particle" : "", "family" : "Keegan", "given" : "W.F.", "non-dropping-particle" : "", "parse-names" : false, "suffix" : "" } ], "container-title" : "Earth and Environmental Science Transactions of the Royal Society of Edinburgh", "id" : "ITEM-1", "issue" : "1", "issued" : { "date-parts" : [ [ "2007" ] ] }, "page" : "29\u201345", "title" : "Human impacts and adaptations in the Caribbean Islands: an historical ecology approach", "type" : "article-journal", "volume" : "98" }, "uris" : [ "http://www.mendeley.com/documents/?uuid=aa984332-7c00-4d48-b085-3b2520dadade" ] }, { "id" : "ITEM-2", "itemData" : { "author" : [ { "dropping-particle" : "", "family" : "Gould", "given" : "W. A.", "non-dropping-particle" : "", "parse-names" : false, "suffix" : "" }, { "dropping-particle" : "", "family" : "Martinuzzi", "given" : "Sebastia\u0301n", "non-dropping-particle" : "", "parse-names" : false, "suffix" : "" }, { "dropping-particle" : "", "family" : "Pare\u0301s-Ramos", "given" : "Isabel K.", "non-dropping-particle" : "", "parse-names" : false, "suffix" : "" } ], "container-title" : "Water Quality and Landscape Processes of Four Watersheds in Eastern Puerto Rico", "editor" : [ { "dropping-particle" : "", "family" : "Murphy", "given" : "S.F.", "non-dropping-particle" : "", "parse-names" : false, "suffix" : "" }, { "dropping-particle" : "", "family" : "Stallard", "given" : "R. F.", "non-dropping-particle" : "", "parse-names" : false, "suffix" : "" } ], "id" : "ITEM-2", "issued" : { "date-parts" : [ [ "2012" ] ] }, "page" : "25-42", "publisher" : "U.S. Geological Survey / Professional Paper 1789", "publisher-place" : "Reston, USA", "title" : "Land use, population dynamics, and land-cover change in eastern Puerto Rico", "type" : "chapter" }, "uris" : [ "http://www.mendeley.com/documents/?uuid=803ed29b-12be-4de7-b06a-89b58ab76da8" ] }, { "id" : "ITEM-3", "itemData" : { "author" : [ { "dropping-particle" : "", "family" : "Lugo", "given" : "Ariel E.", "non-dropping-particle" : "", "parse-names" : false, "suffix" : "" }, { "dropping-particle" : "", "family" : "Helmer", "given" : "Eileen H.", "non-dropping-particle" : "", "parse-names" : false, "suffix" : "" }, { "dropping-particle" : "", "family" : "Valent\u00edn", "given" : "Eugenio Santiago", "non-dropping-particle" : "", "parse-names" : false, "suffix" : "" } ], "container-title" : "Interciencia", "id" : "ITEM-3", "issue" : "9", "issued" : { "date-parts" : [ [ "2012" ] ] }, "page" : "705-710", "title" : "Caribbean landscapes and their biodiversity", "type" : "article-journal", "volume" : "37" }, "uris" : [ "http://www.mendeley.com/documents/?uuid=9db582fa-cf69-4f3f-969e-784264293c02" ] } ], "mendeley" : { "formattedCitation" : "(Fitzpatrick &amp; Keegan, 2007; Gould et al., 2012; Lugo et al., 2012)", "manualFormatting" : "(Fitzpatrick &amp; Keegan, 2007; Gould et al., 2012; Lugo et al., 2012)", "plainTextFormattedCitation" : "(Fitzpatrick &amp; Keegan, 2007; Gould et al., 2012; Lugo et al., 2012)", "previouslyFormattedCitation" : "(Fitzpatrick &amp; Keegan, 2007; Gould et al., 2012; Lugo et al., 2012)" }, "properties" : { "noteIndex" : 0 }, "schema" : "https://github.com/citation-style-language/schema/raw/master/csl-citation.json" }</w:instrText>
      </w:r>
      <w:r w:rsidRPr="008608AA">
        <w:fldChar w:fldCharType="separate"/>
      </w:r>
      <w:r w:rsidRPr="008608AA">
        <w:rPr>
          <w:noProof/>
        </w:rPr>
        <w:t>(Fitzpatrick &amp; Keegan, 2007; Gould et al., 2012; Lugo et al., 2012)</w:t>
      </w:r>
      <w:r w:rsidRPr="008608AA">
        <w:fldChar w:fldCharType="end"/>
      </w:r>
      <w:r w:rsidRPr="008608AA">
        <w:t xml:space="preserve">. </w:t>
      </w:r>
    </w:p>
    <w:p w14:paraId="6E0D28CA" w14:textId="4DC269C2" w:rsidR="004255E7" w:rsidRPr="008608AA" w:rsidRDefault="00657833" w:rsidP="0041668E">
      <w:pPr>
        <w:spacing w:after="120"/>
      </w:pPr>
      <w:r w:rsidRPr="008608AA">
        <w:t xml:space="preserve">Recent trends. </w:t>
      </w:r>
      <w:r w:rsidR="004255E7" w:rsidRPr="008608AA">
        <w:t>As mentioned earlier, the Caribbean forest area (both Tropical and subtropical dry forests and moist forest</w:t>
      </w:r>
      <w:r w:rsidR="00A86148" w:rsidRPr="008608AA">
        <w:t>s</w:t>
      </w:r>
      <w:r w:rsidR="004255E7" w:rsidRPr="008608AA">
        <w:t xml:space="preserve">) increased by an average of 0.81% between 1990 and 2010 </w:t>
      </w:r>
      <w:r w:rsidR="004255E7" w:rsidRPr="008608AA">
        <w:fldChar w:fldCharType="begin" w:fldLock="1"/>
      </w:r>
      <w:r w:rsidR="004255E7" w:rsidRPr="008608AA">
        <w:instrText>ADDIN CSL_CITATION { "citationItems" : [ { "id" : "ITEM-1", "itemData" : { "author" : [ { "dropping-particle" : "", "family" : "FAO", "given" : "", "non-dropping-particle" : "", "parse-names" : false, "suffix" : "" } ], "container-title" : "Food and Agriculture Organization of the United Nations.", "id" : "ITEM-1", "issued" : { "date-parts" : [ [ "2011" ] ] }, "publisher-place" : "Rome, Italy", "title" : "The State of Forest Resources- a Regional Analysis. In State of the World\u2019s Forests", "type" : "report" }, "uris" : [ "http://www.mendeley.com/documents/?uuid=90002476-468d-4708-893f-9105a935b351" ] } ], "mendeley" : { "formattedCitation" : "(FAO, 2011)", "plainTextFormattedCitation" : "(FAO, 2011)", "previouslyFormattedCitation" : "(FAO, 2011)" }, "properties" : { "noteIndex" : 0 }, "schema" : "https://github.com/citation-style-language/schema/raw/master/csl-citation.json" }</w:instrText>
      </w:r>
      <w:r w:rsidR="004255E7" w:rsidRPr="008608AA">
        <w:fldChar w:fldCharType="separate"/>
      </w:r>
      <w:r w:rsidR="004255E7" w:rsidRPr="008608AA">
        <w:rPr>
          <w:noProof/>
        </w:rPr>
        <w:t>(FAO, 2011)</w:t>
      </w:r>
      <w:r w:rsidR="004255E7" w:rsidRPr="008608AA">
        <w:fldChar w:fldCharType="end"/>
      </w:r>
      <w:r w:rsidR="004255E7" w:rsidRPr="008608AA">
        <w:t xml:space="preserve"> as agriculture declined on most islands, domestic energy requirements shifted to imported fossil fuels, living standards increased and population levels stabilized or declined and people moved to urban centers from rural areas </w:t>
      </w:r>
      <w:r w:rsidR="004255E7" w:rsidRPr="008608AA">
        <w:fldChar w:fldCharType="begin" w:fldLock="1"/>
      </w:r>
      <w:r w:rsidR="004255E7" w:rsidRPr="008608AA">
        <w:instrText>ADDIN CSL_CITATION { "citationItems" : [ { "id" : "ITEM-1", "itemData" : { "DOI" : "10.1017/S0376892912000446", "ISBN" : "0376-8929", "ISSN" : "0376-8929", "abstract" : "Islands of the West Indies are among the most historically impacted by agriculture, yet agricultural influences on forests there have been little studied. This research compared tree species richness and vegetation structure between farmed lands, post-agriculture secondary forests and mature remnant forests in two watersheds in Saint Lucia, and sought to understand the current distribution of these habitats in terms of land use and watershed topography. Farms devoted to annual crops had few trees and much exposed soil. By contrast, agroforests had abundant (mostly planted) trees and vegetation structure comparable to secondary forests. Secondary forests had highest overall species richness, but mature forests had the most developed vegetation structure. Variations in habitat distribution reflected different land use histories, with the more rugged west coast long dominated by tree crop farming and the east coast experiencing a recent boom-bust cycle in bananas. Mature and secondary forests were more likely found at higher altitude, further from roads and at sites more difficult to access, the combined result of government protection of key forest and watershed reserves and farmers' preferential abandonment of marginal lands. For conservationists, this return of forests is reason for optimism and it presents strategic opportunities for public land acquisition or collaborative management to further forest and watershed protection objectives. \u00a9 Foundation for Environmental Conservation 2012.", "author" : [ { "dropping-particle" : "", "family" : "Walters", "given" : "B. B.", "non-dropping-particle" : "", "parse-names" : false, "suffix" : "" }, { "dropping-particle" : "", "family" : "Hansen", "given" : "L.", "non-dropping-particle" : "", "parse-names" : false, "suffix" : "" } ], "container-title" : "Environmental Conservation", "id" : "ITEM-1", "issue" : "3", "issued" : { "date-parts" : [ [ "2013" ] ] }, "page" : "211-221", "title" : "Farmed landscapes, trees and forest conservation in Saint Lucia (West Indies)", "type" : "article-journal", "volume" : "40" }, "uris" : [ "http://www.mendeley.com/documents/?uuid=00d27d7b-8397-3bc0-8cfd-59cbcc219828" ] } ], "mendeley" : { "formattedCitation" : "(Walters &amp; Hansen, 2013)", "manualFormatting" : "(Walters &amp; Hansen, 2013)", "plainTextFormattedCitation" : "(Walters &amp; Hansen, 2013)", "previouslyFormattedCitation" : "(Walters &amp; Hansen, 2013)" }, "properties" : { "noteIndex" : 0 }, "schema" : "https://github.com/citation-style-language/schema/raw/master/csl-citation.json" }</w:instrText>
      </w:r>
      <w:r w:rsidR="004255E7" w:rsidRPr="008608AA">
        <w:fldChar w:fldCharType="separate"/>
      </w:r>
      <w:r w:rsidR="004255E7" w:rsidRPr="008608AA">
        <w:rPr>
          <w:noProof/>
        </w:rPr>
        <w:t>(Walters &amp; Hansen, 2013)</w:t>
      </w:r>
      <w:r w:rsidR="004255E7" w:rsidRPr="008608AA">
        <w:fldChar w:fldCharType="end"/>
      </w:r>
      <w:r w:rsidR="004255E7" w:rsidRPr="008608AA">
        <w:t xml:space="preserve">. In Puerto Rico, forest cover increased from approximately 5% to over 30% between 1940 and 1990, particularly Tropical and subtropical dry forests </w:t>
      </w:r>
      <w:r w:rsidR="004255E7" w:rsidRPr="008608AA">
        <w:fldChar w:fldCharType="begin" w:fldLock="1"/>
      </w:r>
      <w:r w:rsidR="004255E7" w:rsidRPr="008608AA">
        <w:instrText>ADDIN CSL_CITATION { "citationItems" : [ { "id" : "ITEM-1", "itemData" : { "DOI" : "10.1046/j.1526-100x.2000.80048.x", "author" : [ { "dropping-particle" : "", "family" : "Aide", "given" : "T. M.", "non-dropping-particle" : "", "parse-names" : false, "suffix" : "" }, { "dropping-particle" : "", "family" : "Zimmerman", "given" : "J. K.", "non-dropping-particle" : "", "parse-names" : false, "suffix" : "" }, { "dropping-particle" : "", "family" : "Pascarella", "given" : "J. B.", "non-dropping-particle" : "", "parse-names" : false, "suffix" : "" }, { "dropping-particle" : "", "family" : "Rivera", "given" : "L.", "non-dropping-particle" : "", "parse-names" : false, "suffix" : "" }, { "dropping-particle" : "", "family" : "Marcano-Vega", "given" : "H", "non-dropping-particle" : "", "parse-names" : false, "suffix" : "" } ], "container-title" : "Restoration Ecology", "id" : "ITEM-1", "issue" : "4", "issued" : { "date-parts" : [ [ "2000" ] ] }, "page" : "328-338", "title" : "Forest regeneration in a chronosequence of tropical abandoned pastures: Implications for restoration ecology", "type" : "article-journal", "volume" : "8" }, "uris" : [ "http://www.mendeley.com/documents/?uuid=ac1746d9-5859-4d98-8ca0-b3e7a523d3e1" ] }, { "id" : "ITEM-2", "itemData" : { "DOI" : "10.1016/j.foreco.2012.08.001", "ISBN" : "0378-1127", "ISSN" : "03781127", "abstract" : "Antillean dry forests have experienced high levels of human impact for almost five centuries. Economic changes in the second half of the 20th century have facilitated forest recovery in Puerto Rico. We quantified the extent of forest cover and the community composition of representative forest fragments in the subtropical dry forest life zone (sensu Holdridge, 1967) in southwestern Puerto Rico. Forest cover, which was largely eliminated by the 1940s, stood at 48% in the western dry forest life zone in 1993. Fragments varied in land-use history and supported from 1% to 86% of the reference species sampled in Gu\u00e1nica Forest, a 4000-ha protected area. Reference species were well represented in forest fragments, even those smaller than 1. ha, if they had never been completely cleared, but were uncommon in forests regenerating on previously cleared sites. The studied fragments are novel ecosystems which combine native and introduced elements; Leucaena leucocephala (Lam.) De Wit, an introduced legume, was the most common species, regardless of land-use history. \u00a9 2012 Elsevier B.V.", "author" : [ { "dropping-particle" : "", "family" : "Ramjohn", "given" : "Ian A.", "non-dropping-particle" : "", "parse-names" : false, "suffix" : "" }, { "dropping-particle" : "", "family" : "Murphy", "given" : "Peter G.", "non-dropping-particle" : "", "parse-names" : false, "suffix" : "" }, { "dropping-particle" : "", "family" : "Burton", "given" : "Thomas M.", "non-dropping-particle" : "", "parse-names" : false, "suffix" : "" }, { "dropping-particle" : "", "family" : "Lugo", "given" : "Ariel E.", "non-dropping-particle" : "", "parse-names" : false, "suffix" : "" } ], "container-title" : "Forest Ecology and Management", "id" : "ITEM-2", "issued" : { "date-parts" : [ [ "2012" ] ] }, "page" : "124-132", "title" : "Survival and rebound of Antillean dry forests: role of forest fragments", "type" : "article-journal", "volume" : "284" }, "uris" : [ "http://www.mendeley.com/documents/?uuid=0434b78f-abb3-3dbe-b32b-206fe2c139b5" ] } ], "mendeley" : { "formattedCitation" : "(Aide et al., 2000; Ramjohn, Murphy, Burton, &amp; Lugo, 2012)", "manualFormatting" : "(Aide et al., 2000; Ramjohn et al., 2012)", "plainTextFormattedCitation" : "(Aide et al., 2000; Ramjohn, Murphy, Burton, &amp; Lugo, 2012)", "previouslyFormattedCitation" : "(Aide et al., 2000; Ramjohn, Murphy, Burton, &amp; Lugo, 2012)" }, "properties" : { "noteIndex" : 0 }, "schema" : "https://github.com/citation-style-language/schema/raw/master/csl-citation.json" }</w:instrText>
      </w:r>
      <w:r w:rsidR="004255E7" w:rsidRPr="008608AA">
        <w:fldChar w:fldCharType="separate"/>
      </w:r>
      <w:r w:rsidR="004255E7" w:rsidRPr="008608AA">
        <w:rPr>
          <w:noProof/>
        </w:rPr>
        <w:t>(Aide et al., 2000; Ramjohn et al., 2012)</w:t>
      </w:r>
      <w:r w:rsidR="004255E7" w:rsidRPr="008608AA">
        <w:fldChar w:fldCharType="end"/>
      </w:r>
      <w:r w:rsidR="004255E7" w:rsidRPr="008608AA">
        <w:t xml:space="preserve">. However, during the same period urban expansion and tourism lead to declines in Tropical and subtropical dry forests in coastal areas </w:t>
      </w:r>
      <w:r w:rsidR="004255E7" w:rsidRPr="008608AA">
        <w:fldChar w:fldCharType="begin" w:fldLock="1"/>
      </w:r>
      <w:r w:rsidR="004255E7" w:rsidRPr="008608AA">
        <w:instrText>ADDIN CSL_CITATION { "citationItems" : [ { "id" : "ITEM-1", "itemData" : { "author" : [ { "dropping-particle" : "", "family" : "Lugo", "given" : "Ariel E.", "non-dropping-particle" : "", "parse-names" : false, "suffix" : "" }, { "dropping-particle" : "", "family" : "Helmer", "given" : "Eileen H.", "non-dropping-particle" : "", "parse-names" : false, "suffix" : "" }, { "dropping-particle" : "", "family" : "Valent\u00edn", "given" : "Eugenio Santiago", "non-dropping-particle" : "", "parse-names" : false, "suffix" : "" } ], "container-title" : "Interciencia", "id" : "ITEM-1", "issue" : "9", "issued" : { "date-parts" : [ [ "2012" ] ] }, "page" : "705-710", "title" : "Caribbean landscapes and their biodiversity", "type" : "article-journal", "volume" : "37" }, "uris" : [ "http://www.mendeley.com/documents/?uuid=9db582fa-cf69-4f3f-969e-784264293c02" ] }, { "id" : "ITEM-2", "itemData" : { "author" : [ { "dropping-particle" : "", "family" : "Gould", "given" : "W. A.", "non-dropping-particle" : "", "parse-names" : false, "suffix" : "" }, { "dropping-particle" : "", "family" : "Martinuzzi", "given" : "Sebastia\u0301n", "non-dropping-particle" : "", "parse-names" : false, "suffix" : "" }, { "dropping-particle" : "", "family" : "Pare\u0301s-Ramos", "given" : "Isabel K.", "non-dropping-particle" : "", "parse-names" : false, "suffix" : "" } ], "container-title" : "Water Quality and Landscape Processes of Four Watersheds in Eastern Puerto Rico", "editor" : [ { "dropping-particle" : "", "family" : "Murphy", "given" : "S.F.", "non-dropping-particle" : "", "parse-names" : false, "suffix" : "" }, { "dropping-particle" : "", "family" : "Stallard", "given" : "R. F.", "non-dropping-particle" : "", "parse-names" : false, "suffix" : "" } ], "id" : "ITEM-2", "issued" : { "date-parts" : [ [ "2012" ] ] }, "page" : "25-42", "publisher" : "U.S. Geological Survey / Professional Paper 1789", "publisher-place" : "Reston, USA", "title" : "Land use, population dynamics, and land-cover change in eastern Puerto Rico", "type" : "chapter" }, "uris" : [ "http://www.mendeley.com/documents/?uuid=803ed29b-12be-4de7-b06a-89b58ab76da8" ] } ], "mendeley" : { "formattedCitation" : "(Gould et al., 2012; Lugo et al., 2012)", "manualFormatting" : "(Gould et al., 2012; Lugo et al., 2012)", "plainTextFormattedCitation" : "(Gould et al., 2012; Lugo et al., 2012)", "previouslyFormattedCitation" : "(Gould et al., 2012; Lugo et al., 2012)" }, "properties" : { "noteIndex" : 0 }, "schema" : "https://github.com/citation-style-language/schema/raw/master/csl-citation.json" }</w:instrText>
      </w:r>
      <w:r w:rsidR="004255E7" w:rsidRPr="008608AA">
        <w:fldChar w:fldCharType="separate"/>
      </w:r>
      <w:r w:rsidR="004255E7" w:rsidRPr="008608AA">
        <w:rPr>
          <w:noProof/>
        </w:rPr>
        <w:t>(Gould et al., 2012; Lugo et al., 2012)</w:t>
      </w:r>
      <w:r w:rsidR="004255E7" w:rsidRPr="008608AA">
        <w:fldChar w:fldCharType="end"/>
      </w:r>
      <w:r w:rsidR="004255E7" w:rsidRPr="008608AA">
        <w:t xml:space="preserve">. Notwithstanding, some local declines of the last kind, Caribbean dry forest seems to </w:t>
      </w:r>
      <w:r w:rsidR="00A86148" w:rsidRPr="008608AA">
        <w:t xml:space="preserve">be </w:t>
      </w:r>
      <w:r w:rsidR="004255E7" w:rsidRPr="008608AA">
        <w:t>on the way to recuperation.</w:t>
      </w:r>
    </w:p>
    <w:p w14:paraId="09E2BDDB" w14:textId="77777777" w:rsidR="004255E7" w:rsidRPr="008608AA" w:rsidRDefault="004255E7" w:rsidP="0041668E">
      <w:pPr>
        <w:pStyle w:val="Heading5"/>
        <w:numPr>
          <w:ilvl w:val="0"/>
          <w:numId w:val="0"/>
        </w:numPr>
        <w:spacing w:after="120"/>
        <w:ind w:left="1008" w:hanging="1008"/>
        <w:rPr>
          <w:sz w:val="24"/>
          <w:szCs w:val="24"/>
        </w:rPr>
      </w:pPr>
      <w:r w:rsidRPr="008608AA">
        <w:rPr>
          <w:sz w:val="24"/>
          <w:szCs w:val="24"/>
        </w:rPr>
        <w:t>South American subregion</w:t>
      </w:r>
    </w:p>
    <w:p w14:paraId="5A9A2065" w14:textId="2581F729" w:rsidR="004255E7" w:rsidRPr="008608AA" w:rsidRDefault="00657833" w:rsidP="0041668E">
      <w:pPr>
        <w:spacing w:after="120"/>
      </w:pPr>
      <w:r w:rsidRPr="008608AA">
        <w:rPr>
          <w:iCs/>
        </w:rPr>
        <w:t xml:space="preserve">Status. </w:t>
      </w:r>
      <w:r w:rsidR="004255E7" w:rsidRPr="008608AA">
        <w:t xml:space="preserve">The definition of Tropical and subtropical dry forests in South America lacks consensus </w:t>
      </w:r>
      <w:r w:rsidR="004255E7" w:rsidRPr="008608AA">
        <w:fldChar w:fldCharType="begin" w:fldLock="1"/>
      </w:r>
      <w:r w:rsidR="004255E7" w:rsidRPr="008608AA">
        <w:instrText>ADDIN CSL_CITATION { "citationItems" : [ { "id" : "ITEM-1", "itemData" : { "DOI" : "10.1016/j.biocon.2009.09.020", "ISBN" : "0006-3207", "ISSN" : "00063207", "PMID" : "8522144", "abstract" : "This paper shows the results of an assessment on the current extent of Neotropical dry forests based on a supervised classification of MODIS surface reflectance imagery at 500-m resolution. Our findings show that tropical dry forests extend for 519,597 km2 across North and South America. Mexico, Brazil and Bolivia harbor the largest and best-preserved dry forest fragments. Mexico contains the largest extent at 181,461 km2 (38% of the total), although it remains poorly represented under protected areas. On the other hand, Brazil and Bolivia contain the largest proportion of protected tropical dry forests and the largest extent in continuous forest fragments. We found that five single ecoregions account for more than half of the tropical dry forests in the Americas (continental and insular) and these ecoregions are: the Chiquitano dry forests, located in Bolivia and Brazil (27.5%), the Atlantic dry forests (10.2%), the Sinaloan dry forests in Mexico (9.7%), the Cuban dry forests (7.1%) and the Bajio dry forests in Mexico (7%). Chiquitano dry forests alone contain 142,941 km2 of dry forests. Of the approximately 23,000 km2 of dry forest under legal protection, 15,000 km2 are located in just two countries, Bolivia and Brazil. In fact, Bolivia protects 10,609 km2 of dry forests, where 7600 km2 are located within the Chiquitano dry forest ecoregion and protected by a single park. Low extent and high fragmentation of dry forests in countries like Guatemala, Nicaragua, Ecuador, Costa Rica and Peru means that these forests are at a higher risk from human disturbance and deforestation. \u00a9 2009 Elsevier Ltd. All rights reserved.", "author" : [ { "dropping-particle" : "", "family" : "Portillo-Quintero", "given" : "C. A.", "non-dropping-particle" : "", "parse-names" : false, "suffix" : "" }, { "dropping-particle" : "", "family" : "S\u00e1nchez-Azofeifa", "given" : "G. A.", "non-dropping-particle" : "", "parse-names" : false, "suffix" : "" } ], "container-title" : "Biological Conservation", "id" : "ITEM-1", "issue" : "1", "issued" : { "date-parts" : [ [ "2010" ] ] }, "page" : "144-155", "title" : "Extent and conservation of tropical dry forests in the Americas", "type" : "article-journal", "volume" : "143" }, "uris" : [ "http://www.mendeley.com/documents/?uuid=44430ed5-0e24-34a0-8b8f-7050b582900a" ] }, { "id" : "ITEM-2", "itemData" : { "DOI" : "10.1126/science.aaf5080", "ISBN" : "3586", "ISSN" : "0036-8075", "PMID" : "27708031", "abstract" : "Seasonally dry tropical forests are distributed across Latin America and the Caribbean and are highly threatened, with less than 10% of their original extent remaining in many countries. Using 835 inventories covering 4660 species of woody plants, we show marked floristic turnover among inventories and regions, which may be higher than in other neotropical biomes, such as savanna. Such high floristic turnover indicates that numerous conservation areas across many countries will be needed to protect the full diversity of tropical dry forests. Our results provide a scientific framework within which national decision-makers can contextualize the floristic significance of their dry forest at a regional and continental scale.", "author" : [ { "dropping-particle" : "", "family" : "Banda-R", "given" : "K.", "non-dropping-particle" : "", "parse-names" : false, "suffix" : "" }, { "dropping-particle" : "", "family" : "Delgado-Salinas", "given" : "A.", "non-dropping-particle" : "", "parse-names" : false, "suffix" : "" }, { "dropping-particle" : "", "family" : "Dexter", "given" : "K. G.", "non-dropping-particle" : "", "parse-names" : false, "suffix" : "" }, { "dropping-particle" : "", "family" : "Linares-Palomino", "given" : "R.", "non-dropping-particle" : "", "parse-names" : false, "suffix" : "" }, { "dropping-particle" : "", "family" : "Oliveira-Filho", "given" : "A.", "non-dropping-particle" : "", "parse-names" : false, "suffix" : "" }, { "dropping-particle" : "", "family" : "Prado", "given" : "D.", "non-dropping-particle" : "", "parse-names" : false, "suffix" : "" }, { "dropping-particle" : "", "family" : "Pullan", "given" : "M.", "non-dropping-particle" : "", "parse-names" : false, "suffix" : "" }, { "dropping-particle" : "", "family" : "Quintana", "given" : "C.", "non-dropping-particle" : "", "parse-names" : false, "suffix" : "" }, { "dropping-particle" : "", "family" : "Riina", "given" : "R.", "non-dropping-particle" : "", "parse-names" : false, "suffix" : "" }, { "dropping-particle" : "", "family" : "Rodriguez M.", "given" : "G. M.", "non-dropping-particle" : "", "parse-names" : false, "suffix" : "" }, { "dropping-particle" : "", "family" : "Weintritt", "given" : "J.", "non-dropping-particle" : "", "parse-names" : false, "suffix" : "" }, { "dropping-particle" : "", "family" : "Acevedo-Rodriguez", "given" : "P.", "non-dropping-particle" : "", "parse-names" : false, "suffix" : "" }, { "dropping-particle" : "", "family" : "Adarve", "given" : "J.", "non-dropping-particle" : "", "parse-names" : false, "suffix" : "" }, { "dropping-particle" : "", "family" : "Alvarez", "given" : "E.", "non-dropping-particle" : "", "parse-names" : false, "suffix" : "" }, { "dropping-particle" : "", "family" : "Aranguren B.", "given" : "A.", "non-dropping-particle" : "", "parse-names" : false, "suffix" : "" }, { "dropping-particle" : "", "family" : "Arteaga", "given" : "J. C.", "non-dropping-particle" : "", "parse-names" : false, "suffix" : "" }, { "dropping-particle" : "", "family" : "Aymard", "given" : "G.", "non-dropping-particle" : "", "parse-names" : false, "suffix" : "" }, { "dropping-particle" : "", "family" : "Castano", "given" : "A.", "non-dropping-particle" : "", "parse-names" : false, "suffix" : "" }, { "dropping-particle" : "", "family" : "Ceballos-Mago", "given" : "N.", "non-dropping-particle" : "", "parse-names" : false, "suffix" : "" }, { "dropping-particle" : "", "family" : "Cogollo", "given" : "A.", "non-dropping-particle" : "", "parse-names" : false, "suffix" : "" }, { "dropping-particle" : "", "family" : "Cuadros", "given" : "H.", "non-dropping-particle" : "", "parse-names" : false, "suffix" : "" }, { "dropping-particle" : "", "family" : "Delgado", "given" : "F.", "non-dropping-particle" : "", "parse-names" : false, "suffix" : "" }, { "dropping-particle" : "", "family" : "Devia", "given" : "W.", "non-dropping-particle" : "", "parse-names" : false, "suffix" : "" }, { "dropping-particle" : "", "family" : "Duenas", "given" : "H.", "non-dropping-particle" : "", "parse-names" : false, "suffix" : "" }, { "dropping-particle" : "", "family" : "Fajardo", "given" : "L.", "non-dropping-particle" : "", "parse-names" : false, "suffix" : "" }, { "dropping-particle" : "", "family" : "Fernandez", "given" : "A.", "non-dropping-particle" : "", "parse-names" : false, "suffix" : "" }, { "dropping-particle" : "", "family" : "Fernandez", "given" : "M. A.", "non-dropping-particle" : "", "parse-names" : false, "suffix" : "" }, { "dropping-particle" : "", "family" : "Franklin", "given" : "J.", "non-dropping-particle" : "", "parse-names" : false, "suffix" : "" }, { "dropping-particle" : "", "family" : "Freid", "given" : "E. H.", "non-dropping-particle" : "", "parse-names" : false, "suffix" : "" }, { "dropping-particle" : "", "family" : "Galetti", "given" : "L. A.", "non-dropping-particle" : "", "parse-names" : false, "suffix" : "" }, { "dropping-particle" : "", "family" : "Gonto", "given" : "R.", "non-dropping-particle" : "", "parse-names" : false, "suffix" : "" }, { "dropping-particle" : "", "family" : "Gonzalez-M.", "given" : "R.", "non-dropping-particle" : "", "parse-names" : false, "suffix" : "" }, { "dropping-particle" : "", "family" : "Graveson", "given" : "R.", "non-dropping-particle" : "", "parse-names" : false, "suffix" : "" }, { "dropping-particle" : "", "family" : "Helmer", "given" : "E. H.", "non-dropping-particle" : "", "parse-names" : false, "suffix" : "" }, { "dropping-particle" : "", "family" : "Idarraga", "given" : "A.", "non-dropping-particle" : "", "parse-names" : false, "suffix" : "" }, { "dropping-particle" : "", "family" : "Lopez", "given" : "R.", "non-dropping-particle" : "", "parse-names" : false, "suffix" : "" }, { "dropping-particle" : "", "family" : "Marcano-Vega", "given" : "H.", "non-dropping-particle" : "", "parse-names" : false, "suffix" : "" }, { "dropping-particle" : "", "family" : "Martinez", "given" : "O. G.", "non-dropping-particle" : "", "parse-names" : false, "suffix" : "" }, { "dropping-particle" : "", "family" : "Maturo", "given" : "H. M.", "non-dropping-particle" : "", "parse-names" : false, "suffix" : "" }, { "dropping-particle" : "", "family" : "McDonald", "given" : "M.", "non-dropping-particle" : "", "parse-names" : false, "suffix" : "" }, { "dropping-particle" : "", "family" : "McLaren", "given" : "K.", "non-dropping-particle" : "", "parse-names" : false, "suffix" : "" }, { "dropping-particle" : "", "family" : "Melo", "given" : "O.", "non-dropping-particle" : "", "parse-names" : false, "suffix" : "" }, { "dropping-particle" : "", "family" : "Mijares", "given" : "F.", "non-dropping-particle" : "", "parse-names" : false, "suffix" : "" }, { "dropping-particle" : "", "family" : "Mogni", "given" : "V.", "non-dropping-particle" : "", "parse-names" : false, "suffix" : "" }, { "dropping-particle" : "", "family" : "Molina", "given" : "D.", "non-dropping-particle" : "", "parse-names" : false, "suffix" : "" }, { "dropping-particle" : "", "family" : "Moreno", "given" : "N. d. P.", "non-dropping-particle" : "", "parse-names" : false, "suffix" : "" }, { "dropping-particle" : "", "family" : "Nassar", "given" : "J. M.", "non-dropping-particle" : "", "parse-names" : false, "suffix" : "" }, { "dropping-particle" : "", "family" : "Neves", "given" : "D. M.", "non-dropping-particle" : "", "parse-names" : false, "suffix" : "" }, { "dropping-particle" : "", "family" : "Oakley", "given" : "L. J.", "non-dropping-particle" : "", "parse-names" : false, "suffix" : "" }, { "dropping-particle" : "", "family" : "Oatham", "given" : "M.", "non-dropping-particle" : "", "parse-names" : false, "suffix" : "" }, { "dropping-particle" : "", "family" : "Olvera-Luna", "given" : "A. R.", "non-dropping-particle" : "", "parse-names" : false, "suffix" : "" }, { "dropping-particle" : "", "family" : "Pezzini", "given" : "F. F.", "non-dropping-particle" : "", "parse-names" : false, "suffix" : "" }, { "dropping-particle" : "", "family" : "Dominguez", "given" : "O. J. R.", "non-dropping-particle" : "", "parse-names" : false, "suffix" : "" }, { "dropping-particle" : "", "family" : "Rios", "given" : "M. E.", "non-dropping-particle" : "", "parse-names" : false, "suffix" : "" }, { "dropping-particle" : "", "family" : "Rivera", "given" : "O.", "non-dropping-particle" : "", "parse-names" : false, "suffix" : "" }, { "dropping-particle" : "", "family" : "Rodriguez", "given" : "N.", "non-dropping-particle" : "", "parse-names" : false, "suffix" : "" }, { "dropping-particle" : "", "family" : "Rojas", "given" : "A.", "non-dropping-particle" : "", "parse-names" : false, "suffix" : "" }, { "dropping-particle" : "", "family" : "Sarkinen", "given" : "T.", "non-dropping-particle" : "", "parse-names" : false, "suffix" : "" }, { "dropping-particle" : "", "family" : "Sanchez", "given" : "R.", "non-dropping-particle" : "", "parse-names" : false, "suffix" : "" }, { "dropping-particle" : "", "family" : "Smith", "given" : "M.", "non-dropping-particle" : "", "parse-names" : false, "suffix" : "" }, { "dropping-particle" : "", "family" : "Vargas", "given" : "C.", "non-dropping-particle" : "", "parse-names" : false, "suffix" : "" }, { "dropping-particle" : "", "family" : "Villanueva", "given" : "B.", "non-dropping-particle" : "", "parse-names" : false, "suffix" : "" }, { "dropping-particle" : "", "family" : "Pennington", "given" : "R. T.", "non-dropping-particle" : "", "parse-names" : false, "suffix" : "" } ], "container-title" : "Science", "id" : "ITEM-2", "issue" : "6306", "issued" : { "date-parts" : [ [ "2016" ] ] }, "page" : "1383-1387", "title" : "Plant diversity patterns in neotropical dry forests and their conservation implications", "type" : "article-journal", "volume" : "353" }, "uris" : [ "http://www.mendeley.com/documents/?uuid=a649f79c-6777-405c-8a4d-9c9f5ef5dbb7" ] }, { "id" : "ITEM-3", "itemData" : { "DOI" : "10.1016/j.gloplacha.2015.02.009", "ISBN" : "09218181", "ISSN" : "09218181", "PMID" : "3666", "abstract" : "Land use and land cover change (LUCC) affects regional climate through modifications in the water balance and energy budget. These impacts are frequently expressed by: changes in the amount and frequency of precipitation and alteration of surface temperatures. In South America, most of the studies of the effects of LUCC on the local and regional climate have focused on the Amazon region (54 studies), whereas LUCC within non-Amazonian regions have been largely undermined regardless their potential importance in regulating the regional climate (19 studies). We estimated that 3.6millionkm2 of the original natural vegetation cover in non-Amazonian South America were converted into other types of land use, which is about 4 times greater than the historical Amazon deforestation. Moreover, there is evidence showing that LUCC within such fairly neglected ecosystems cause significant reductions in precipitation and increases in surface temperatures, with occasional impacts affecting neighboring or remote areas. We explore the implications of these findings in the context of water security, climatic extremes and future research priorities.", "author" : [ { "dropping-particle" : "", "family" : "Salazar", "given" : "Alvaro", "non-dropping-particle" : "", "parse-names" : false, "suffix" : "" }, { "dropping-particle" : "", "family" : "Baldi", "given" : "German", "non-dropping-particle" : "</w:instrText>
      </w:r>
      <w:r w:rsidR="004255E7" w:rsidRPr="008608AA">
        <w:rPr>
          <w:lang w:val="es-CO"/>
        </w:rPr>
        <w:instrText>", "parse-names" : false, "suffix" : "" }, { "dropping-particle" : "", "family" : "Hirota", "given" : "Marina", "non-dropping-particle" : "", "parse-names" : false, "suffix" : "" }, { "dropping-particle" : "", "family" : "Syktus", "given" : "Jozef", "non-dropping-particle" : "", "parse-names" : false, "suffix" : "" }, { "dropping-particle" : "", "family" : "McAlpine", "given" : "Clive", "non-dropping-particle" : "", "parse-names" : false, "suffix" : "" } ], "container-title" : "Global and Planetary Change", "id" : "ITEM-3", "issued" : { "date-parts" : [ [ "2015" ] ] }, "page" : "103-119", "title" : "Land use and land cover change impacts on the regional climate of non-Amazonian South America: A review", "type" : "article-journal", "volume" : "128" }, "uris" : [ "http://www.mendeley.com/documents/?uuid=64b216cc-a67a-4618-aa4c-51e46195a20a" ] } ], "mendeley" : { "formattedCitation" : "(Banda-R et al., 2016; Portillo-Quintero &amp; S\u00e1nchez-Azofeifa, 2010; Salazar et al., 2015)", "manualFormatting" : "(Banda-R et al., 2016; Portillo-Quintero &amp; S\u00e1nchez-Azofeifa, 2010; Salazar, et al., 2015)", "plainTextFormattedCitation" : "(Banda-R et al., 2016; Portillo-Quintero &amp; S\u00e1nchez-Azofeifa, 2010; Salazar et al., 2015)", "previouslyFormattedCitation" : "(Banda-R et al., 2016; Portillo-Quintero &amp; S\u00e1nchez-Azofeifa, 2010; Salazar et al., 2015)" }, "properties" : { "noteIndex" : 0 }, "schema" : "https://github.com/citation-style-language/schema/raw/master/csl-citation.json" }</w:instrText>
      </w:r>
      <w:r w:rsidR="004255E7" w:rsidRPr="008608AA">
        <w:fldChar w:fldCharType="separate"/>
      </w:r>
      <w:r w:rsidR="004255E7" w:rsidRPr="008608AA">
        <w:rPr>
          <w:noProof/>
          <w:lang w:val="es-CO"/>
        </w:rPr>
        <w:t>(Banda-R et al., 2016; Portillo-Quintero &amp; Sánchez-Azofeifa, 2010; Salazar, et al., 2015)</w:t>
      </w:r>
      <w:r w:rsidR="004255E7" w:rsidRPr="008608AA">
        <w:fldChar w:fldCharType="end"/>
      </w:r>
      <w:r w:rsidR="004255E7" w:rsidRPr="008608AA">
        <w:rPr>
          <w:lang w:val="es-CO"/>
        </w:rPr>
        <w:t xml:space="preserve">. </w:t>
      </w:r>
      <w:r w:rsidR="004255E7" w:rsidRPr="008608AA">
        <w:t xml:space="preserve">Some authors include the Caatinga and Chaco </w:t>
      </w:r>
      <w:r w:rsidR="00A86148" w:rsidRPr="008608AA">
        <w:t xml:space="preserve">in </w:t>
      </w:r>
      <w:r w:rsidR="007472D0" w:rsidRPr="008608AA">
        <w:t>t</w:t>
      </w:r>
      <w:r w:rsidR="004255E7" w:rsidRPr="008608AA">
        <w:t xml:space="preserve">ropical and subtropical dry forests while others do not. This makes assessing this biome </w:t>
      </w:r>
      <w:r w:rsidR="00A86148" w:rsidRPr="008608AA">
        <w:t xml:space="preserve">difficult </w:t>
      </w:r>
      <w:r w:rsidR="004255E7" w:rsidRPr="008608AA">
        <w:t>in South America. The biome scheme adopted by the</w:t>
      </w:r>
      <w:r w:rsidR="007472D0" w:rsidRPr="008608AA">
        <w:t xml:space="preserve"> Americas assessment considers dry Chaco as part of t</w:t>
      </w:r>
      <w:r w:rsidR="004255E7" w:rsidRPr="008608AA">
        <w:t xml:space="preserve">ropical and subtropical savannas and grasslands </w:t>
      </w:r>
      <w:r w:rsidR="0032208B" w:rsidRPr="008608AA">
        <w:t>(</w:t>
      </w:r>
      <w:r w:rsidR="004255E7" w:rsidRPr="008608AA">
        <w:t>3.4.1.6</w:t>
      </w:r>
      <w:r w:rsidR="0032208B" w:rsidRPr="008608AA">
        <w:t>)</w:t>
      </w:r>
      <w:r w:rsidR="004255E7" w:rsidRPr="008608AA">
        <w:t>, whil</w:t>
      </w:r>
      <w:r w:rsidR="007472D0" w:rsidRPr="008608AA">
        <w:t>e Caatinga is considered under d</w:t>
      </w:r>
      <w:r w:rsidR="004255E7" w:rsidRPr="008608AA">
        <w:t xml:space="preserve">rylands </w:t>
      </w:r>
      <w:r w:rsidR="0032208B" w:rsidRPr="008608AA">
        <w:t>(</w:t>
      </w:r>
      <w:r w:rsidR="004255E7" w:rsidRPr="008608AA">
        <w:t>3.4.1.8</w:t>
      </w:r>
      <w:r w:rsidR="0032208B" w:rsidRPr="008608AA">
        <w:t>)</w:t>
      </w:r>
      <w:r w:rsidR="004255E7" w:rsidRPr="008608AA">
        <w:t>.</w:t>
      </w:r>
      <w:r w:rsidR="004255E7" w:rsidRPr="008608AA">
        <w:rPr>
          <w:iCs/>
        </w:rPr>
        <w:t xml:space="preserve"> </w:t>
      </w:r>
    </w:p>
    <w:p w14:paraId="65D9B87A" w14:textId="5F6493B8" w:rsidR="004255E7" w:rsidRPr="008608AA" w:rsidRDefault="004255E7" w:rsidP="0041668E">
      <w:pPr>
        <w:widowControl w:val="0"/>
        <w:autoSpaceDE w:val="0"/>
        <w:autoSpaceDN w:val="0"/>
        <w:adjustRightInd w:val="0"/>
        <w:spacing w:after="120"/>
        <w:rPr>
          <w:iCs/>
        </w:rPr>
      </w:pPr>
      <w:r w:rsidRPr="008608AA">
        <w:t xml:space="preserve">Species diversity in South American Tropical and subtropical dry forests is moderate to high with high species endemism (Table 3.4) </w:t>
      </w:r>
      <w:r w:rsidRPr="008608AA">
        <w:fldChar w:fldCharType="begin" w:fldLock="1"/>
      </w:r>
      <w:r w:rsidRPr="008608AA">
        <w:instrText>ADDIN CSL_CITATION { "citationItems" : [ { "id" : "ITEM-1", "itemData" : { "DOI" : "10.1126/science.aaf5080", "ISBN" : "3586", "ISSN" : "0036-8075", "PMID" : "27708031", "abstract" : "Seasonally dry tropical forests are distributed across Latin America and the Caribbean and are highly threatened, with less than 10% of their original extent remaining in many countries. Using 835 inventories covering 4660 species of woody plants, we show marked floristic turnover among inventories and regions, which may be higher than in other neotropical biomes, such as savanna. Such high floristic turnover indicates that numerous conservation areas across many countries will be needed to protect the full diversity of tropical dry forests. Our results provide a scientific framework within which national decision-makers can contextualize the floristic significance of their dry forest at a regional and continental scale.", "author" : [ { "dropping-particle" : "", "family" : "Banda-R", "given" : "K.", "non-dropping-particle" : "", "parse-names" : false, "suffix" : "" }, { "dropping-particle" : "", "family" : "Delgado-Salinas", "given" : "A.", "non-dropping-particle" : "", "parse-names" : false, "suffix" : "" }, { "dropping-particle" : "", "family" : "Dexter", "given" : "K. G.", "non-dropping-particle" : "", "parse-names" : false, "suffix" : "" }, { "dropping-particle" : "", "family" : "Linares-Palomino", "given" : "R.", "non-dropping-particle" : "", "parse-names" : false, "suffix" : "" }, { "dropping-particle" : "", "family" : "Oliveira-Filho", "given" : "A.", "non-dropping-particle" : "", "parse-names" : false, "suffix" : "" }, { "dropping-particle" : "", "family" : "Prado", "given" : "D.", "non-dropping-particle" : "", "parse-names" : false, "suffix" : "" }, { "dropping-particle" : "", "family" : "Pullan", "given" : "M.", "non-dropping-particle" : "", "parse-names" : false, "suffix" : "" }, { "dropping-particle" : "", "family" : "Quintana", "given" : "C.", "non-dropping-particle" : "", "parse-names" : false, "suffix" : "" }, { "dropping-particle" : "", "family" : "Riina", "given" : "R.", "non-dropping-particle" : "", "parse-names" : false, "suffix" : "" }, { "dropping-particle" : "", "family" : "Rodriguez M.", "given" : "G. M.", "non-dropping-particle" : "", "parse-names" : false, "suffix" : "" }, { "dropping-particle" : "", "family" : "Weintritt", "given" : "J.", "non-dropping-particle" : "", "parse-names" : false, "suffix" : "" }, { "dropping-particle" : "", "family" : "Acevedo-Rodriguez", "given" : "P.", "non-dropping-particle" : "", "parse-names" : false, "suffix" : "" }, { "dropping-particle" : "", "family" : "Adarve", "given" : "J.", "non-dropping-particle" : "", "parse-names" : false, "suffix" : "" }, { "dropping-particle" : "", "family" : "Alvarez", "given" : "E.", "non-dropping-particle" : "", "parse-names" : false, "suffix" : "" }, { "dropping-particle" : "", "family" : "Aranguren B.", "given" : "A.", "non-dropping-particle" : "", "parse-names" : false, "suffix" : "" }, { "dropping-particle" : "", "family" : "Arteaga", "given" : "J. C.", "non-dropping-particle" : "", "parse-names" : false, "suffix" : "" }, { "dropping-particle" : "", "family" : "Aymard", "given" : "G.", "non-dropping-particle" : "", "parse-names" : false, "suffix" : "" }, { "dropping-particle" : "", "family" : "Castano", "given" : "A.", "non-dropping-particle" : "", "parse-names" : false, "suffix" : "" }, { "dropping-particle" : "", "family" : "Ceballos-Mago", "given" : "N.", "non-dropping-particle" : "", "parse-names" : false, "suffix" : "" }, { "dropping-particle" : "", "family" : "Cogollo", "given" : "A.", "non-dropping-particle" : "", "parse-names" : false, "suffix" : "" }, { "dropping-particle" : "", "family" : "Cuadros", "given" : "H.", "non-dropping-particle" : "", "parse-names" : false, "suffix" : "" }, { "dropping-particle" : "", "family" : "Delgado", "given" : "F.", "non-dropping-particle" : "", "parse-names" : false, "suffix" : "" }, { "dropping-particle" : "", "family" : "Devia", "given" : "W.", "non-dropping-particle" : "", "parse-names" : false, "suffix" : "" }, { "dropping-particle" : "", "family" : "Duenas", "given" : "H.", "non-dropping-particle" : "", "parse-names" : false, "suffix" : "" }, { "dropping-particle" : "", "family" : "Fajardo", "given" : "L.", "non-dropping-particle" : "", "parse-names" : false, "suffix" : "" }, { "dropping-particle" : "", "family" : "Fernandez", "given" : "A.", "non-dropping-particle" : "", "parse-names" : false, "suffix" : "" }, { "dropping-particle" : "", "family" : "Fernandez", "given" : "M. A.", "non-dropping-particle" : "", "parse-names" : false, "suffix" : "" }, { "dropping-particle" : "", "family" : "Franklin", "given" : "J.", "non-dropping-particle" : "", "parse-names" : false, "suffix" : "" }, { "dropping-particle" : "", "family" : "Freid", "given" : "E. H.", "non-dropping-particle" : "", "parse-names" : false, "suffix" : "" }, { "dropping-particle" : "", "family" : "Galetti", "given" : "L. A.", "non-dropping-particle" : "", "parse-names" : false, "suffix" : "" }, { "dropping-particle" : "", "family" : "Gonto", "given" : "R.", "non-dropping-particle" : "", "parse-names" : false, "suffix" : "" }, { "dropping-particle" : "", "family" : "Gonzalez-M.", "given" : "R.", "non-dropping-particle" : "", "parse-names" : false, "suffix" : "" }, { "dropping-particle" : "", "family" : "Graveson", "given" : "R.", "non-dropping-particle" : "", "parse-names" : false, "suffix" : "" }, { "dropping-particle" : "", "family" : "Helmer", "given" : "E. H.", "non-dropping-particle" : "", "parse-names" : false, "suffix" : "" }, { "dropping-particle" : "", "family" : "Idarraga", "given" : "A.", "non-dropping-particle" : "", "parse-names" : false, "suffix" : "" }, { "dropping-particle" : "", "family" : "Lopez", "given" : "R.", "non-dropping-particle" : "", "parse-names" : false, "suffix" : "" }, { "dropping-particle" : "", "family" : "Marcano-Vega", "given" : "H.", "non-dropping-particle" : "", "parse-names" : false, "suffix" : "" }, { "dropping-particle" : "", "family" : "Martinez", "given" : "O. G.", "non-dropping-particle" : "", "parse-names" : false, "suffix" : "" }, { "dropping-particle" : "", "family" : "Maturo", "given" : "H. M.", "non-dropping-particle" : "", "parse-names" : false, "suffix" : "" }, { "dropping-particle" : "", "family" : "McDonald", "given" : "M.", "non-dropping-particle" : "", "parse-names" : false, "suffix" : "" }, { "dropping-particle" : "", "family" : "McLaren", "given" : "K.", "non-dropping-particle" : "", "parse-names" : false, "suffix" : "" }, { "dropping-particle" : "", "family" : "Melo", "given" : "O.", "non-dropping-particle" : "", "parse-names" : false, "suffix" : "" }, { "dropping-particle" : "", "family" : "Mijares", "given" : "F.", "non-dropping-particle" : "", "parse-names" : false, "suffix" : "" }, { "dropping-particle" : "", "family" : "Mogni", "given" : "V.", "non-dropping-particle" : "", "parse-names" : false, "suffix" : "" }, { "dropping-particle" : "", "family" : "Molina", "given" : "D.", "non-dropping-particle" : "", "parse-names" : false, "suffix" : "" }, { "dropping-particle" : "", "family" : "Moreno", "given" : "N. d. P.", "non-dropping-particle" : "", "parse-names" : false, "suffix" : "" }, { "dropping-particle" : "", "family" : "Nassar", "given" : "J. M.", "non-dropping-particle" : "", "parse-names" : false, "suffix" : "" }, { "dropping-particle" : "", "family" : "Neves", "given" : "D. M.", "non-dropping-particle" : "", "parse-names" : false, "suffix" : "" }, { "dropping-particle" : "", "family" : "Oakley", "given" : "L. J.", "non-dropping-particle" : "", "parse-names" : false, "suffix" : "" }, { "dropping-particle" : "", "family" : "Oatham", "given" : "M.", "non-dropping-particle" : "", "parse-names" : false, "suffix" : "" }, { "dropping-particle" : "", "family" : "Olvera-Luna", "given" : "A. R.", "non-dropping-particle" : "", "parse-names" : false, "suffix" : "" }, { "dropping-particle" : "", "family" : "Pezzini", "given" : "F. F.", "non-dropping-particle" : "", "parse-names" : false, "suffix" : "" }, { "dropping-particle" : "", "family" : "Dominguez", "given" : "O. J. R.", "non-dropping-particle" : "", "parse-names" : false, "suffix" : "" }, { "dropping-particle" : "", "family" : "Rios", "given" : "M. E.", "non-dropping-particle" : "", "parse-names" : false, "suffix" : "" }, { "dropping-particle" : "", "family" : "Rivera", "given" : "O.", "non-dropping-particle" : "", "parse-names" : false, "suffix" : "" }, { "dropping-particle" : "", "family" : "Rodriguez", "given" : "N.", "non-dropping-particle" : "", "parse-names" : false, "suffix" : "" }, { "dropping-particle" : "", "family" : "Rojas", "given" : "A.", "non-dropping-particle" : "", "parse-names" : false, "suffix" : "" }, { "dropping-particle" : "", "family" : "Sarkinen", "given" : "T.", "non-dropping-particle" : "", "parse-names" : false, "suffix" : "" }, { "dropping-particle" : "", "family" : "Sanchez", "given" : "R.", "non-dropping-particle" : "", "parse-names" : false, "suffix" : "" }, { "dropping-particle" : "", "family" : "Smith", "given" : "M.", "non-dropping-particle" : "", "parse-names" : false, "suffix" : "" }, { "dropping-particle" : "", "family" : "Vargas", "given" : "C.", "non-dropping-particle" : "", "parse-names" : false, "suffix" : "" }, { "dropping-particle" : "", "family" : "Villanueva", "given" : "B.", "non-dropping-particle" : "", "parse-names" : false, "suffix" : "" }, { "dropping-particle" : "", "family" : "Pennington", "given" : "R. T.", "non-dropping-particle" : "", "parse-names" : false, "suffix" : "" } ], "container-title" : "Science", "id" : "ITEM-1", "issue" : "6306", "issued" : { "date-parts" : [ [ "2016" ] ] }, "page" : "1383-1387", "title" : "Plant diversity patterns in neotropical dry forests and their conservation implications", "type" : "article-journal", "volume" : "353" }, "uris" : [ "http://www.mendeley.com/documents/?uuid=a649f79c-6777-405c-8a4d-9c9f5ef5dbb7" ] }, { "id" : "ITEM-2", "itemData" : { "DOI" : "10.1023/A:1023625125032", "ISBN" : "0960-3115", "ISSN" : "09603115", "abstract" : "The tropicaltemperate interface of the southern Neotropics harbours an interdigitating array of biomes (Puna, Monte, Chaco, Yungas). This topographic and climatically complex region needs urgent conservation efforts, as it is being transformed by human activities at an accelerating pace. We analyse georeferenced field records of mammal species in northwestern Argentina (provinces: Catamarca, Jujuy, Salta, Tucuman) in order to define biodiversity hotspots on the basis of 0.5 0.5 grid cells within northwestern Argentina according to total richness of mammal species, richness of megaspecies (species above 10 kg), and endemic species (species restricted to Argentina or neighbouring countries with shared biomes). The mammal fauna of northwestern Argentina is fairly well known (176 species). The biomes differ considerably in species richness (Puna low, Yungas high) and species composition. We found no significant difference between endemic and non-endemic species regarding cell occupancy or body size. Cell occupancy was not correlated to body size. Across grids, species richness, number of megaspecies as well as richness of endemics are all correlated to sampling effort. More than 50% of the species in the region are restricted to one or two biomes. Overall, the species turn-over between biomes in northwestern Argentina is high. Using a simple algorithm we identified 10 grid cells which covered 90% of the total number of recorded species, and contrast them with the protected areas. While the Puna and Yungas biomes are rather well protected, the arid and semiarid Monte and Chaco are in need of urgent attention in biodiversity conservation.", "author" : [ { "dropping-particle" : "", "family" : "Ojeda", "given" : "R. A.", "non-dropping-particle" : "", "parse-names" : false, "suffix" : "" }, { "dropping-particle" : "", "family" : "Stadler", "given" : "J.", "non-dropping-particle" : "", "parse-names" : false, "suffix" : "" }, { "dropping-particle" : "", "family" : "Brandl", "given" : "R.", "non-dropping-particle" : "", "parse-names" : false, "suffix" : "" } ], "container-title" : "Biodiversity and Conservation", "id" : "ITEM-2", "issue" : "7", "issued" : { "date-parts" : [ [ "2003" ] ] }, "page" : "1431-1444", "title" : "Diversity of mammals in the tropical-temperate Neotropics: hotspots on a regional scale", "type" : "article-journal", "volume" : "12" }, "uris" : [ "http://www.mendeley.com/documents/?uuid=e75c0621-73f6-373e-83f1-0bcddc190e14" ] }, { "id" : "ITEM-3", "itemData" : { "DOI" : "10.4067/S0716-078X2013000100007", "ISBN" : "0716-078X", "ISSN" : "0716078X", "abstract" : "The aim of this paper is to characterize the Chaco thorn-scrub savanna as a unit, biologically defined by means of its identification as a regional pattern of distributional congruence, through the evaluation of the utility of bat assemblages as biogeographical indicators of the Chaco at regional scale, and to then evaluate this characterization in terms of the conservation value of this habitat. We have considered the whole territory of Paraguay and Bolivia, and the northern of Argentina; that is the entire Chaco biogeographical province, and part of the surrounding biogeographical provinces. We conducted an exhaustive search and constructed a database consisting in 9509 geo-referenced records showing that the bat fauna of the Chaco is richer than previously reported. We used an optimality criterion to identify patterns of distributional congruence determined by the distribution of bats. We recovered several areas that correspond with the Chaco. The areas that are coinci!", "author" : [ { "dropping-particle" : "", "family" : "Sandoval", "given" : "L. M.", "non-dropping-particle" : "", "parse-names" : false, "suffix" : "" }, { "dropping-particle" : "", "family" : "Barquez", "given" : "Rub\u00e9n M.", "non-dropping-particle" : "", "parse-names" : false, "suffix" : "" } ], "container-title" : "Revista Chilena de Historia Natural", "id" : "ITEM-3", "issue" : "1", "issued" : { "date-parts" : [ [ "2013" ] ] }, "page" : "75-94", "title" : "The Chacoan bat fauna identity: Patterns of distributional congruence and conservation implications", "type" : "article-journal", "volume" : "86" }, "uris" : [ "http://www.mendeley.com/documents/?uuid=09297247-27a9-34c2-978f-33926e1ccd9a" ] }, { "id" : "ITEM-4", "itemData" : { "author" : [ { "dropping-particle" : "", "family" : "Linares-Palomino", "given" : "R.", "non-dropping-particle" : "", "parse-names" : false, "suffix" : "" }, { "dropping-particle" : "", "family" : "Oliveira-Filho", "given" : "A. T.", "non-dropping-particle" : "", "parse-names" : false, "suffix" : "" }, { "dropping-particle" : "", "family" : "Pennington", "given" : "R. T.", "non-dropping-particle" : "", "parse-names" : false, "suffix" : "" } ], "container-title" : "Seasonally Dry Tropical Forests: Ecology and Conservation", "editor" : [ { "dropping-particle" : "", "family" : "Dirzo", "given" : "R", "non-dropping-particle" : "", "parse-names" : false, "suffix" : "" }, { "dropping-particle" : "", "family" : "Young", "given" : "H.", "non-dropping-particle" : "", "parse-names" : false, "suffix" : "" }, { "dropping-particle" : "", "family" : "Mooney", "given" : "H", "non-dropping-particle" : "", "parse-names" : false, "suffix" : "" }, { "dropping-particle" : "", "family" : "Ceballos", "given" : "G", "non-dropping-particle" : "", "parse-names" : false, "suffix" : "" } ], "id" : "ITEM-4", "issued" : { "date-parts" : [ [ "2011" ] ] }, "page" : "3-21", "publisher" : "Island Press", "publisher-place" : "Washington, DC, USA", "title" : "Neotropical seasonally dry forests: diversity, endemism and biogeography of woody plants", "type" : "chapter" }, "uris" : [ "http://www.mendeley.com/documents/?uuid=ec5894ec-20fa-4515-94f0-c</w:instrText>
      </w:r>
      <w:r w:rsidRPr="008608AA">
        <w:rPr>
          <w:lang w:val="es-CO"/>
        </w:rPr>
        <w:instrText>3dda99e6778" ] }, { "id" : "ITEM-5", "itemData" : { "author" : [ { "dropping-particle" : "", "family" : "Pizano", "given" : "Camila", "non-dropping-particle" : "", "parse-names" : false, "suffix" : "" }, { "dropping-particle" : "", "family" : "Garc\u00eda", "given" : "H.", "non-dropping-particle" : "", "parse-names" : false, "suffix" : "" } ], "id" : "ITEM-5", "issued" : { "date-parts" : [ [ "2014" ] ] }, "publisher" : "Instituto de Recursos Biol\u00f3gicos Alexander Von Humboldt", "publisher-place" : "Bogota, D.C.", "title" : "El Bosque Seco Tropical de Colombia", "type" : "book" }, "uris" : [ "http://www.mendeley.com/documents/?uuid=840131e5-12f5-4ccb-a722-b2fd0d4fb18c" ] } ], "mendeley" : { "formattedCitation" : "(Banda-R et al., 2016; Linares-Palomino et al., 2011; Ojeda, Stadler, &amp; Brandl, 2003; Pizano &amp; Garc\u00eda, 2014; Sandoval &amp; Barquez, 2013)", "manualFormatting" : "(Banda-R et al., 2016; Linares-Palomino et al., 2011; Ojeda et al. 2003; Pizano &amp; Garc\u00eda, 2014; Sandoval &amp; Barquez, 2013)", "plainTextFormattedCitation" : "(Banda-R et al., 2016; Linares-Palomino et al., 2011; Ojeda, Stadler, &amp; Brandl, 2003; Pizano &amp; Garc\u00eda, 2014; Sandoval &amp; Barquez, 2013)", "previouslyFormattedCitation" : "(Banda-R et al., 2016; Linares-Palomino et al., 2011; Ojeda, Stadler, &amp; Brandl, 2003; Pizano &amp; Garc\u00eda, 2014; Sandoval &amp; Barquez, 2013)" }, "properties" : { "noteIndex" : 0 }, "schema" : "https://github.com/citation-style-language/schema/raw/master/csl-citation.json" }</w:instrText>
      </w:r>
      <w:r w:rsidRPr="008608AA">
        <w:fldChar w:fldCharType="separate"/>
      </w:r>
      <w:r w:rsidRPr="008608AA">
        <w:rPr>
          <w:noProof/>
          <w:lang w:val="es-CO"/>
        </w:rPr>
        <w:t>(Banda-R et al., 2016; Linares-Palomino et al., 2011; Ojeda et al. 2003; Pizano &amp; García, 2014; Sandoval &amp; Barquez, 2013)</w:t>
      </w:r>
      <w:r w:rsidRPr="008608AA">
        <w:fldChar w:fldCharType="end"/>
      </w:r>
      <w:r w:rsidRPr="008608AA">
        <w:rPr>
          <w:lang w:val="es-CO"/>
        </w:rPr>
        <w:t xml:space="preserve">. </w:t>
      </w:r>
      <w:r w:rsidRPr="008608AA">
        <w:t xml:space="preserve">According to one source, between 45-95% of Tropical and subtropical dry forests in the Andean countries has now been converted (Venezuela, 74%; Colombia, 67%; Ecuador, 75%; Peru, 95%; Bolivia, 45%) </w:t>
      </w:r>
      <w:r w:rsidRPr="008608AA">
        <w:fldChar w:fldCharType="begin" w:fldLock="1"/>
      </w:r>
      <w:r w:rsidRPr="008608AA">
        <w:instrText>ADDIN CSL_CITATION { "citationItems" : [ { "id" : "ITEM-1", "itemData" : { "DOI" : "10.1016/j.biocon.2009.09.020", "ISBN" : "0006-3207", "ISSN" : "00063207", "PMID" : "8522144", "abstract" : "This paper shows the results of an assessment on the current extent of Neotropical dry forests based on a supervised classification of MODIS surface reflectance imagery at 500-m resolution. Our findings show that tropical dry forests extend for 519,597 km2 across North and South America. Mexico, Brazil and Bolivia harbor the largest and best-preserved dry forest fragments. Mexico contains the largest extent at 181,461 km2 (38% of the total), although it remains poorly represented under protected areas. On the other hand, Brazil and Bolivia contain the largest proportion of protected tropical dry forests and the largest extent in continuous forest fragments. We found that five single ecoregions account for more than half of the tropical dry forests in the Americas (continental and insular) and these ecoregions are: the Chiquitano dry forests, located in Bolivia and Brazil (27.5%), the Atlantic dry forests (10.2%), the Sinaloan dry forests in Mexico (9.7%), the Cuban dry forests (7.1%) and the Bajio dry forests in Mexico (7%). Chiquitano dry forests alone contain 142,941 km2 of dry forests. Of the approximately 23,000 km2 of dry forest under legal protection, 15,000 km2 are located in just two countries, Bolivia and Brazil. In fact, Bolivia protects 10,609 km2 of dry forests, where 7600 km2 are located within the Chiquitano dry forest ecoregion and protected by a single park. Low extent and high fragmentation of dry forests in countries like Guatemala, Nicaragua, Ecuador, Costa Rica and Peru means that these forests are at a higher risk from human disturbance and deforestation. \u00a9 2009 Elsevier Ltd. All rights reserved.", "author" : [ { "dropping-particle" : "", "family" : "Portillo-Quintero", "given" : "C. A.", "non-dropping-particle" : "", "parse-names" : false, "suffix" : "" }, { "dropping-particle" : "", "family" : "S\u00e1nchez-Azofeifa", "given" : "G. A.", "non-dropping-particle" : "", "parse-names" : false, "suffix" : "" } ], "container-title" : "Biological Conservation", "id" : "ITEM-1", "issue" : "1", "issued" : { "date-parts" : [ [ "2010" ] ] }, "page" : "144-155", "title" : "Extent and conservation of tropical dry forests in the Americas", "type" : "article-journal", "volume" : "143" }, "uris" : [ "http://www.mendeley.com/documents/?uuid=44430ed5-0e24-34a0-8b8f-7050b582900a" ] } ], "mendeley" : { "formattedCitation" : "(Portillo-Quintero &amp; S\u00e1nchez-Azofeifa, 2010)", "manualFormatting" : "(Portillo-Quintero &amp; S\u00e1nchez-Azofeifa, 2010)", "plainTextFormattedCitation" : "(Portillo-Quintero &amp; S\u00e1nchez-Azofeifa, 2010)", "previouslyFormattedCitation" : "(Portillo-Quintero &amp; S\u00e1nchez-Azofeifa, 2010)" }, "properties" : { "noteIndex" : 0 }, "schema" : "https://github.com/citation-style-language/schema/raw/master/csl-citation.json" }</w:instrText>
      </w:r>
      <w:r w:rsidRPr="008608AA">
        <w:fldChar w:fldCharType="separate"/>
      </w:r>
      <w:r w:rsidRPr="008608AA">
        <w:rPr>
          <w:noProof/>
        </w:rPr>
        <w:t>(Portillo-Quintero &amp; Sánchez-Azofeifa, 2010)</w:t>
      </w:r>
      <w:r w:rsidRPr="008608AA">
        <w:fldChar w:fldCharType="end"/>
      </w:r>
      <w:r w:rsidRPr="008608AA">
        <w:t>. The figure for Bolivia is likely to include some Chaco. However, another source for Colombia suggests a greater loss at more than 90%</w:t>
      </w:r>
      <w:r w:rsidRPr="008608AA">
        <w:rPr>
          <w:iCs/>
        </w:rPr>
        <w:t xml:space="preserve"> </w:t>
      </w:r>
      <w:r w:rsidRPr="008608AA">
        <w:rPr>
          <w:iCs/>
        </w:rPr>
        <w:fldChar w:fldCharType="begin" w:fldLock="1"/>
      </w:r>
      <w:r w:rsidRPr="008608AA">
        <w:rPr>
          <w:iCs/>
        </w:rPr>
        <w:instrText>ADDIN CSL_CITATION { "citationItems" : [ { "id" : "ITEM-1", "itemData" : { "ISBN" : "978-958-8889-84-9", "editor" : [ { "dropping-particle" : "", "family" : "G\u00f3mez", "given" : "M. F.", "non-dropping-particle" : "", "parse-names" : false, "suffix" : "" }, { "dropping-particle" : "", "family" : "Moreno", "given" : "L. A.", "non-dropping-particle" : "", "parse-names" : false, "suffix" : "" }, { "dropping-particle" : "", "family" : "Andrade", "given" : "G. G.", "non-dropping-particle" : "", "parse-names" : false, "suffix" : "" }, { "dropping-particle" : "", "family" : "Rueda", "given" : "C.", "non-dropping-particle" : "", "parse-names" : false, "suffix" : "" } ], "id" : "ITEM-1", "issued" : { "date-parts" : [ [ "2016" ] ] }, "publisher" : "Instituto Alexander von Humboldt", "publisher-place" : "Bogot\u00e1, D.C., Colombia", "title" : "Biodiversidad 2015. Estado y Tendencias de la Biodiversidad Continental de Colombia", "type" : "book" }, "uris" : [ "http://www.mendeley.com/documents/?uuid=53c34a4e-b5e6-4409-b012-cdf6ef9fb4fe" ] }, { "id" : "ITEM-2", "itemData" : { "author" : [ { "dropping-particle" : "", "family" : "Pizano", "given" : "Camila", "non-dropping-particle" : "", "parse-names" : false, "suffix" : "" }, { "dropping-particle" : "", "family" : "Garc\u00eda", "given" : "H.", "non-dropping-particle" : "", "parse-names" : false, "suffix" : "" } ], "id" : "ITEM-2", "issued" : { "date-parts" : [ [ "2014" ] ] }, "publisher" : "Instituto de Recursos Biol\u00f3gicos Alexander Von Humboldt", "publisher-place" : "Bogota, D.C.", "title" : "El Bosque Seco Tropical de Colombia", "type" : "book" }, "uris" : [ "http://www.mendeley.com/documents/?uuid=840131e5-12f5-4ccb-a722-b2fd0d4fb18c" ] } ], "mendeley" : { "formattedCitation" : "(G\u00f3mez, Moreno, Andrade, &amp; Rueda, 2016; Pizano &amp; Garc\u00eda, 2014)", "manualFormatting" : "(G\u00f3mez et., 2016; Pizano &amp; Garc\u00eda, 2014)", "plainTextFormattedCitation" : "(G\u00f3mez, Moreno, Andrade, &amp; Rueda, 2016; Pizano &amp; Garc\u00eda, 2014)", "previouslyFormattedCitation" : "(G\u00f3mez, Moreno, Andrade, &amp; Rueda, 2016; Pizano &amp; Garc\u00eda, 2014)" }, "properties" : { "noteIndex" : 0 }, "schema" : "https://github.com/citation-style-language/schema/raw/master/csl-citation.json" }</w:instrText>
      </w:r>
      <w:r w:rsidRPr="008608AA">
        <w:rPr>
          <w:iCs/>
        </w:rPr>
        <w:fldChar w:fldCharType="separate"/>
      </w:r>
      <w:r w:rsidRPr="008608AA">
        <w:rPr>
          <w:iCs/>
          <w:noProof/>
        </w:rPr>
        <w:t>(Gómez et</w:t>
      </w:r>
      <w:r w:rsidR="00EE77AC" w:rsidRPr="008608AA">
        <w:rPr>
          <w:iCs/>
          <w:noProof/>
        </w:rPr>
        <w:t xml:space="preserve"> al</w:t>
      </w:r>
      <w:r w:rsidRPr="008608AA">
        <w:rPr>
          <w:iCs/>
          <w:noProof/>
        </w:rPr>
        <w:t>., 2016; Pizano &amp; García, 2014)</w:t>
      </w:r>
      <w:r w:rsidRPr="008608AA">
        <w:rPr>
          <w:iCs/>
        </w:rPr>
        <w:fldChar w:fldCharType="end"/>
      </w:r>
      <w:r w:rsidRPr="008608AA">
        <w:rPr>
          <w:iCs/>
        </w:rPr>
        <w:t xml:space="preserve">. </w:t>
      </w:r>
      <w:r w:rsidRPr="008608AA">
        <w:t xml:space="preserve">Some 58 species of amphibians found in Colombian dry forest have been assessed to be at some level of risk; many mammals likewise are at risk </w:t>
      </w:r>
      <w:r w:rsidRPr="008608AA">
        <w:fldChar w:fldCharType="begin" w:fldLock="1"/>
      </w:r>
      <w:r w:rsidRPr="008608AA">
        <w:instrText>ADDIN CSL_CITATION { "citationItems" : [ { "id" : "ITEM-1", "itemData" : { "author" : [ { "dropping-particle" : "", "family" : "Pizano", "given" : "Camila", "non-dropping-particle" : "", "parse-names" : false, "suffix" : "" }, { "dropping-particle" : "", "family" : "Garc\u00eda", "given" : "H.", "non-dropping-particle" : "", "parse-names" : false, "suffix" : "" } ], "id" : "ITEM-1", "issued" : { "date-parts" : [ [ "2014" ] ] }, "publisher" : "Instituto de Recursos Biol\u00f3gicos Alexander Von Humboldt", "publisher-place" : "Bogota, D.C.", "title" : "El Bosque Seco Tropical de Colombia", "type" : "book" }, "uris" : [ "http://www.mendeley.com/documents/?uuid=840131e5-12f5-4ccb-a722-b2fd0d4fb18c" ] } ], "mendeley" : { "formattedCitation" : "(Pizano &amp; Garc\u00eda, 2014)", "plainTextFormattedCitation" : "(Pizano &amp; Garc\u00eda, 2014)", "previouslyFormattedCitation" : "(Pizano &amp; Garc\u00eda, 2014)" }, "properties" : { "noteIndex" : 0 }, "schema" : "https://github.com/citation-style-language/schema/raw/master/csl-citation.json" }</w:instrText>
      </w:r>
      <w:r w:rsidRPr="008608AA">
        <w:fldChar w:fldCharType="separate"/>
      </w:r>
      <w:r w:rsidRPr="008608AA">
        <w:rPr>
          <w:noProof/>
        </w:rPr>
        <w:t>(Pizano &amp; García, 2014)</w:t>
      </w:r>
      <w:r w:rsidRPr="008608AA">
        <w:fldChar w:fldCharType="end"/>
      </w:r>
      <w:r w:rsidRPr="008608AA">
        <w:t xml:space="preserve">. </w:t>
      </w:r>
    </w:p>
    <w:p w14:paraId="6C870ED6" w14:textId="5041E41D" w:rsidR="004255E7" w:rsidRPr="008608AA" w:rsidRDefault="00657833" w:rsidP="0041668E">
      <w:pPr>
        <w:pStyle w:val="gmail-msonormal"/>
        <w:spacing w:before="0" w:beforeAutospacing="0" w:after="120" w:afterAutospacing="0"/>
        <w:rPr>
          <w:color w:val="000000"/>
          <w:shd w:val="clear" w:color="auto" w:fill="FFFFFF"/>
          <w:lang w:val="en-US"/>
        </w:rPr>
      </w:pPr>
      <w:r w:rsidRPr="008608AA">
        <w:rPr>
          <w:iCs/>
          <w:color w:val="000000"/>
          <w:shd w:val="clear" w:color="auto" w:fill="FFFFFF"/>
          <w:lang w:val="en-US"/>
        </w:rPr>
        <w:t xml:space="preserve">Recent trends. </w:t>
      </w:r>
      <w:r w:rsidR="004255E7" w:rsidRPr="008608AA">
        <w:rPr>
          <w:iCs/>
          <w:color w:val="000000"/>
          <w:shd w:val="clear" w:color="auto" w:fill="FFFFFF"/>
          <w:lang w:val="en-US"/>
        </w:rPr>
        <w:t>Reflecting th</w:t>
      </w:r>
      <w:r w:rsidR="007472D0" w:rsidRPr="008608AA">
        <w:rPr>
          <w:iCs/>
          <w:color w:val="000000"/>
          <w:shd w:val="clear" w:color="auto" w:fill="FFFFFF"/>
          <w:lang w:val="en-US"/>
        </w:rPr>
        <w:t>e poorer state of knowledge of t</w:t>
      </w:r>
      <w:r w:rsidR="004255E7" w:rsidRPr="008608AA">
        <w:rPr>
          <w:iCs/>
          <w:color w:val="000000"/>
          <w:shd w:val="clear" w:color="auto" w:fill="FFFFFF"/>
          <w:lang w:val="en-US"/>
        </w:rPr>
        <w:t xml:space="preserve">ropical and subtropical dry forests compared to </w:t>
      </w:r>
      <w:r w:rsidR="00032883" w:rsidRPr="008608AA">
        <w:rPr>
          <w:iCs/>
          <w:color w:val="000000"/>
          <w:shd w:val="clear" w:color="auto" w:fill="FFFFFF"/>
          <w:lang w:val="en-US"/>
        </w:rPr>
        <w:t>moist</w:t>
      </w:r>
      <w:r w:rsidRPr="008608AA">
        <w:rPr>
          <w:iCs/>
          <w:color w:val="000000"/>
          <w:shd w:val="clear" w:color="auto" w:fill="FFFFFF"/>
          <w:lang w:val="en-US"/>
        </w:rPr>
        <w:t xml:space="preserve"> forests (c.f.</w:t>
      </w:r>
      <w:r w:rsidR="004255E7" w:rsidRPr="008608AA">
        <w:rPr>
          <w:iCs/>
          <w:color w:val="000000"/>
          <w:shd w:val="clear" w:color="auto" w:fill="FFFFFF"/>
          <w:lang w:val="en-US"/>
        </w:rPr>
        <w:t xml:space="preserve"> 3.4.1.1),</w:t>
      </w:r>
      <w:r w:rsidR="004255E7" w:rsidRPr="008608AA">
        <w:rPr>
          <w:i/>
          <w:iCs/>
          <w:color w:val="000000"/>
          <w:shd w:val="clear" w:color="auto" w:fill="FFFFFF"/>
          <w:lang w:val="en-US"/>
        </w:rPr>
        <w:t xml:space="preserve"> </w:t>
      </w:r>
      <w:r w:rsidR="004255E7" w:rsidRPr="008608AA">
        <w:rPr>
          <w:color w:val="000000"/>
          <w:shd w:val="clear" w:color="auto" w:fill="FFFFFF"/>
          <w:lang w:val="en-US"/>
        </w:rPr>
        <w:t>little data is available on recent trends in this biome in South America. The b</w:t>
      </w:r>
      <w:r w:rsidR="007472D0" w:rsidRPr="008608AA">
        <w:rPr>
          <w:color w:val="000000"/>
          <w:shd w:val="clear" w:color="auto" w:fill="FFFFFF"/>
          <w:lang w:val="en-US"/>
        </w:rPr>
        <w:t>iome in Eastern Andean Colombia</w:t>
      </w:r>
      <w:r w:rsidR="004255E7" w:rsidRPr="008608AA">
        <w:rPr>
          <w:color w:val="000000"/>
          <w:shd w:val="clear" w:color="auto" w:fill="FFFFFF"/>
          <w:lang w:val="en-US"/>
        </w:rPr>
        <w:t xml:space="preserve"> now shows one of the highest fragmentation levels among all vegetation types </w:t>
      </w:r>
      <w:r w:rsidR="004255E7" w:rsidRPr="008608AA">
        <w:rPr>
          <w:color w:val="000000"/>
          <w:shd w:val="clear" w:color="auto" w:fill="FFFFFF"/>
          <w:lang w:val="en-US"/>
        </w:rPr>
        <w:fldChar w:fldCharType="begin" w:fldLock="1"/>
      </w:r>
      <w:r w:rsidR="004255E7" w:rsidRPr="008608AA">
        <w:rPr>
          <w:color w:val="000000"/>
          <w:shd w:val="clear" w:color="auto" w:fill="FFFFFF"/>
          <w:lang w:val="en-US"/>
        </w:rPr>
        <w:instrText>ADDIN CSL_CITATION { "citationItems" : [ { "id" : "ITEM-1", "itemData" : { "DOI" : "10.1016/S0006-3207(02)00359-2", "abstract" : "Biodiversity characterization at the landscape level based on remote sensing and geographic information systems data has become increasingly important for conservation planning. We present the results of a study of the fragmentation of Andean forests and other ecosystems and an assessment of the representativeness at the ecosystem level of protected natural areas in the eastern Andes of Colombia. We used satellite remote sensing data to characterize ecosystems and undertook ground truthing at six sites. The 11 identified ecosystem types were analyzed within existing protected areas to assess the representativeness of these sites within the region. Five ecosystems were well-represented and six of them had &lt;10% of their area protected. Highland ecosystems were the best represented in protected areas due to the preponderance of highland parks in the eastern Andes. However Andean and sub Andean forests have less than 4.5 and 6.4% of their original pre-Columbian extent currently protected. Fragmentation parameters such as patch size, patch shape, number of patches, mean nearest neighbor distance and landscape shape index were also analyzed. Andean, sub Andean and dry forests are highly fragmented ecosystems but there is a clear latitudinal gradient of fragmentation. Our findings suggested that conservation efforts should be directed first toward the conservation of dry and oak forests in the center of the eastern Andes, and then Andean and sub Andean montane forests toward the south near the border with Ecuador.", "author" : [ { "dropping-particle" : "", "family" : "Armenteras", "given" : "D.", "non-dropping-particle" : "", "parse-names" : false, "suffix" : "" }, { "dropping-particle" : "", "family" : "Gast", "given" : "F.", "non-dropping-particle" : "", "parse-names" : false, "suffix" : "" }, { "dropping-particle" : "", "family" : "Villareal", "given" : "H.", "non-dropping-particle" : "", "parse-names" : false, "suffix" : "" } ], "container-title" : "Biological Conservation", "id" : "ITEM-1", "issue" : "2", "issued" : { "date-parts" : [ [ "2003", "10", "1" ] ] }, "page" : "245-256", "publisher" : "Elsevier", "title" : "Andean forest fragmentation and the representativeness of protected natural areas in the eastern Andes, Colombia", "type" : "article-journal", "volume" : "113" }, "uris" : [ "http://www.mendeley.com/documents/?uuid=219a90b6-daac-3c1e-abe2-a273986a0262" ] } ], "mendeley" : { "formattedCitation" : "(D. Armenteras, Gast, &amp; Villareal, 2003)", "manualFormatting" : "(Armenteras et al., 2003)", "plainTextFormattedCitation" : "(D. Armenteras, Gast, &amp; Villareal, 2003)", "previouslyFormattedCitation" : "(D. Armenteras, Gast, &amp; Villareal, 2003)" }, "properties" : { "noteIndex" : 0 }, "schema" : "https://github.com/citation-style-language/schema/raw/master/csl-citation.json" }</w:instrText>
      </w:r>
      <w:r w:rsidR="004255E7" w:rsidRPr="008608AA">
        <w:rPr>
          <w:color w:val="000000"/>
          <w:shd w:val="clear" w:color="auto" w:fill="FFFFFF"/>
          <w:lang w:val="en-US"/>
        </w:rPr>
        <w:fldChar w:fldCharType="separate"/>
      </w:r>
      <w:r w:rsidR="004255E7" w:rsidRPr="008608AA">
        <w:rPr>
          <w:noProof/>
          <w:color w:val="000000"/>
          <w:shd w:val="clear" w:color="auto" w:fill="FFFFFF"/>
          <w:lang w:val="en-US"/>
        </w:rPr>
        <w:t>(Armenteras et al., 2003)</w:t>
      </w:r>
      <w:r w:rsidR="004255E7" w:rsidRPr="008608AA">
        <w:rPr>
          <w:color w:val="000000"/>
          <w:shd w:val="clear" w:color="auto" w:fill="FFFFFF"/>
          <w:lang w:val="en-US"/>
        </w:rPr>
        <w:fldChar w:fldCharType="end"/>
      </w:r>
      <w:r w:rsidR="004255E7" w:rsidRPr="008608AA">
        <w:rPr>
          <w:color w:val="000000"/>
          <w:shd w:val="clear" w:color="auto" w:fill="FFFFFF"/>
          <w:lang w:val="en-US"/>
        </w:rPr>
        <w:t xml:space="preserve">. Deforestation rates have descended notably of late in Ecuador </w:t>
      </w:r>
      <w:r w:rsidR="004255E7" w:rsidRPr="008608AA">
        <w:rPr>
          <w:lang w:val="en-US"/>
        </w:rPr>
        <w:fldChar w:fldCharType="begin" w:fldLock="1"/>
      </w:r>
      <w:r w:rsidR="004255E7" w:rsidRPr="008608AA">
        <w:rPr>
          <w:lang w:val="en-US"/>
        </w:rPr>
        <w:instrText>ADDIN CSL_CITATION { "citationItems" : [ { "id" : "ITEM-1", "itemData" : { "author" : [ { "dropping-particle" : "", "family" : "Ministerio del Ambiente", "given" : "", "non-dropping-particle" : "", "parse-names" : false, "suffix" : "" } ], "id" : "ITEM-1", "issued" : { "date-parts" : [ [ "2014" ] ] }, "number-of-pages" : "50", "publisher-place" : "Quito, Ecuador", "title" : "Plan Nacional de Restauraci\u00f3n Forestal 2014-2017", "type" : "report" }, "uris" : [ "http://www.mendeley.com/documents/?uuid=1b434556-e674-3eed-bdea-a407daedffc3" ] }, { "id" : "ITEM-2", "itemData" : { "author" : [ { "dropping-particle" : "", "family" : "Sierra", "given" : "Rodrigo", "non-dropping-particle" : "", "parse-names" : false, "suffix" : "" } ], "id" : "ITEM-2", "issued" : { "date-parts" : [ [ "2013" ] ] }, "publisher" : "Conservaci\u00f3n Internacional Ecuador y Forest Trends", "publisher-place" : "Quito, Ecuador", "title" : "Patrones y Factores de Deforestaci\u00f3n en el Ecuador Continental, 1990-2010. Y un Acercamiento a los Pr\u00f3ximos 10 A\u00f1os", "type" : "book" }, "uris" : [ "http://www.mendeley.com/documents/?uuid=b4299423-11f3-3284-8794-33c8f6833fd1" ] } ], "mendeley" : { "formattedCitation" : "(Ministerio del Ambiente, 2014; Sierra, 2013)", "plainTextFormattedCitation" : "(Ministerio del Ambiente, 2014; Sierra, 2013)", "previouslyFormattedCitation" : "(Ministerio del Ambiente, 2014; Sierra, 2013)" }, "properties" : { "noteIndex" : 0 }, "schema" : "https://github.com/citation-style-language/schema/raw/master/csl-citation.json" }</w:instrText>
      </w:r>
      <w:r w:rsidR="004255E7" w:rsidRPr="008608AA">
        <w:rPr>
          <w:lang w:val="en-US"/>
        </w:rPr>
        <w:fldChar w:fldCharType="separate"/>
      </w:r>
      <w:r w:rsidR="004255E7" w:rsidRPr="008608AA">
        <w:rPr>
          <w:noProof/>
          <w:lang w:val="en-US"/>
        </w:rPr>
        <w:t>(Ministerio del Ambiente, 2014; Sierra, 2013)</w:t>
      </w:r>
      <w:r w:rsidR="004255E7" w:rsidRPr="008608AA">
        <w:rPr>
          <w:lang w:val="en-US"/>
        </w:rPr>
        <w:fldChar w:fldCharType="end"/>
      </w:r>
      <w:r w:rsidR="004255E7" w:rsidRPr="008608AA">
        <w:rPr>
          <w:lang w:val="en-US"/>
        </w:rPr>
        <w:t xml:space="preserve">. </w:t>
      </w:r>
      <w:r w:rsidR="004255E7" w:rsidRPr="008608AA">
        <w:rPr>
          <w:color w:val="000000"/>
          <w:shd w:val="clear" w:color="auto" w:fill="FFFFFF"/>
          <w:lang w:val="en-US"/>
        </w:rPr>
        <w:t>However, over the period 1990-2008 some 31% of the remaining 4985 km</w:t>
      </w:r>
      <w:r w:rsidR="004255E7" w:rsidRPr="008608AA">
        <w:rPr>
          <w:color w:val="000000"/>
          <w:shd w:val="clear" w:color="auto" w:fill="FFFFFF"/>
          <w:vertAlign w:val="superscript"/>
          <w:lang w:val="en-US"/>
        </w:rPr>
        <w:t xml:space="preserve">2 </w:t>
      </w:r>
      <w:r w:rsidR="004255E7" w:rsidRPr="008608AA">
        <w:rPr>
          <w:color w:val="000000"/>
          <w:shd w:val="clear" w:color="auto" w:fill="FFFFFF"/>
          <w:lang w:val="en-US"/>
        </w:rPr>
        <w:t xml:space="preserve">of dry and semi-dry coastal forest was removed </w:t>
      </w:r>
      <w:r w:rsidR="004255E7" w:rsidRPr="008608AA">
        <w:rPr>
          <w:color w:val="000000"/>
          <w:shd w:val="clear" w:color="auto" w:fill="FFFFFF"/>
          <w:lang w:val="en-US"/>
        </w:rPr>
        <w:fldChar w:fldCharType="begin" w:fldLock="1"/>
      </w:r>
      <w:r w:rsidR="004255E7" w:rsidRPr="008608AA">
        <w:rPr>
          <w:color w:val="000000"/>
          <w:shd w:val="clear" w:color="auto" w:fill="FFFFFF"/>
          <w:lang w:val="en-US"/>
        </w:rPr>
        <w:instrText>ADDIN CSL_CITATION { "citationItems" : [ { "id" : "ITEM-1", "itemData" : { "author" : [ { "dropping-particle" : "", "family" : "Sierra", "given" : "Rodrigo", "non-dropping-particle" : "", "parse-names" : false, "suffix" : "" } ], "id" : "ITEM-1", "issued" : { "date-parts" : [ [ "2013" ] ] }, "publisher" : "Conservaci\u00f3n Internacional Ecuador y Forest Trends", "publisher-place" : "Quito, Ecuador", "title" : "Patrones y Factores de Deforestaci\u00f3n en el Ecuador Continental, 1990-2010. Y un Acercamiento a los Pr\u00f3ximos 10 A\u00f1os", "type" : "book" }, "uris" : [ "http://www.mendeley.com/documents/?uuid=b4299423-11f3-3284-8794-33c8f6833fd1" ] } ], "mendeley" : { "formattedCitation" : "(Sierra, 2013)", "plainTextFormattedCitation" : "(Sierra, 2013)", "previouslyFormattedCitation" : "(Sierra, 2013)" }, "properties" : { "noteIndex" : 0 }, "schema" : "https://github.com/citation-style-language/schema/raw/master/csl-citation.json" }</w:instrText>
      </w:r>
      <w:r w:rsidR="004255E7" w:rsidRPr="008608AA">
        <w:rPr>
          <w:color w:val="000000"/>
          <w:shd w:val="clear" w:color="auto" w:fill="FFFFFF"/>
          <w:lang w:val="en-US"/>
        </w:rPr>
        <w:fldChar w:fldCharType="separate"/>
      </w:r>
      <w:r w:rsidR="004255E7" w:rsidRPr="008608AA">
        <w:rPr>
          <w:noProof/>
          <w:color w:val="000000"/>
          <w:shd w:val="clear" w:color="auto" w:fill="FFFFFF"/>
          <w:lang w:val="en-US"/>
        </w:rPr>
        <w:t>(Sierra, 2013)</w:t>
      </w:r>
      <w:r w:rsidR="004255E7" w:rsidRPr="008608AA">
        <w:rPr>
          <w:color w:val="000000"/>
          <w:shd w:val="clear" w:color="auto" w:fill="FFFFFF"/>
          <w:lang w:val="en-US"/>
        </w:rPr>
        <w:fldChar w:fldCharType="end"/>
      </w:r>
      <w:r w:rsidR="007472D0" w:rsidRPr="008608AA">
        <w:rPr>
          <w:color w:val="000000"/>
          <w:shd w:val="clear" w:color="auto" w:fill="FFFFFF"/>
          <w:lang w:val="en-US"/>
        </w:rPr>
        <w:t xml:space="preserve">. </w:t>
      </w:r>
      <w:r w:rsidR="004255E7" w:rsidRPr="008608AA">
        <w:rPr>
          <w:color w:val="000000"/>
          <w:shd w:val="clear" w:color="auto" w:fill="FFFFFF"/>
          <w:lang w:val="en-US"/>
        </w:rPr>
        <w:t>For Venezuela, 88% of 3522 km</w:t>
      </w:r>
      <w:r w:rsidR="004255E7" w:rsidRPr="008608AA">
        <w:rPr>
          <w:color w:val="000000"/>
          <w:shd w:val="clear" w:color="auto" w:fill="FFFFFF"/>
          <w:vertAlign w:val="superscript"/>
          <w:lang w:val="en-US"/>
        </w:rPr>
        <w:t>2</w:t>
      </w:r>
      <w:r w:rsidR="004255E7" w:rsidRPr="008608AA">
        <w:rPr>
          <w:color w:val="000000"/>
          <w:shd w:val="clear" w:color="auto" w:fill="FFFFFF"/>
          <w:lang w:val="en-US"/>
        </w:rPr>
        <w:t xml:space="preserve"> of Maracaibo Tropical and subtropical dry forests was lost between 1985 and 2010 </w:t>
      </w:r>
      <w:r w:rsidR="004255E7" w:rsidRPr="008608AA">
        <w:rPr>
          <w:color w:val="000000"/>
          <w:shd w:val="clear" w:color="auto" w:fill="FFFFFF"/>
          <w:lang w:val="en-US"/>
        </w:rPr>
        <w:fldChar w:fldCharType="begin" w:fldLock="1"/>
      </w:r>
      <w:r w:rsidR="004255E7" w:rsidRPr="008608AA">
        <w:rPr>
          <w:color w:val="000000"/>
          <w:shd w:val="clear" w:color="auto" w:fill="FFFFFF"/>
          <w:lang w:val="en-US"/>
        </w:rPr>
        <w:instrText>ADDIN CSL_CITATION { "citationItems" : [ { "id" : "ITEM-1", "itemData" : { "author" : [ { "dropping-particle" : "", "family" : "Mor\u00f3n Zambrano", "given" : "V.I.", "non-dropping-particle" : "", "parse-names" : false, "suffix" : "" }, { "dropping-particle" : "", "family" : "Garc\u00eda Rangel", "given" : "S.", "non-dropping-particle" : "", "parse-names" : false, "suffix" : "" }, { "dropping-particle" : "", "family" : "Yerena", "given" : "E.", "non-dropping-particle" : "", "parse-names" : false, "suffix" : "" } ], "id" : "ITEM-1", "issued" : { "date-parts" : [ [ "2015" ] ] }, "publisher-place" : "Caracas, Venezuela", "title" : "Deforestaci\u00f3n en Venezuela: Una Comparaci\u00f3n de las Evaluaciones Existentes", "type" : "report" }, "uris" : [ "http://www.mendeley.com/documents/?uuid=a3b23b64-9d9e-3c4d-93bd-01acb98b106e" ] } ], "mendeley" : { "formattedCitation" : "(Mor\u00f3n Zambrano, Garc\u00eda Rangel, &amp; Yerena, 2015)", "manualFormatting" : "(Mor\u00f3n Zambrano et al., 2015)", "plainTextFormattedCitation" : "(Mor\u00f3n Zambrano, Garc\u00eda Rangel, &amp; Yerena, 2015)", "previouslyFormattedCitation" : "(Mor\u00f3n Zambrano, Garc\u00eda Rangel, &amp; Yerena, 2015)" }, "properties" : { "noteIndex" : 0 }, "schema" : "https://github.com/citation-style-language/schema/raw/master/csl-citation.json" }</w:instrText>
      </w:r>
      <w:r w:rsidR="004255E7" w:rsidRPr="008608AA">
        <w:rPr>
          <w:color w:val="000000"/>
          <w:shd w:val="clear" w:color="auto" w:fill="FFFFFF"/>
          <w:lang w:val="en-US"/>
        </w:rPr>
        <w:fldChar w:fldCharType="separate"/>
      </w:r>
      <w:r w:rsidR="004255E7" w:rsidRPr="008608AA">
        <w:rPr>
          <w:noProof/>
          <w:color w:val="000000"/>
          <w:shd w:val="clear" w:color="auto" w:fill="FFFFFF"/>
          <w:lang w:val="en-US"/>
        </w:rPr>
        <w:t>(Morón Zambrano et al., 2015)</w:t>
      </w:r>
      <w:r w:rsidR="004255E7" w:rsidRPr="008608AA">
        <w:rPr>
          <w:color w:val="000000"/>
          <w:shd w:val="clear" w:color="auto" w:fill="FFFFFF"/>
          <w:lang w:val="en-US"/>
        </w:rPr>
        <w:fldChar w:fldCharType="end"/>
      </w:r>
      <w:r w:rsidR="004255E7" w:rsidRPr="008608AA">
        <w:rPr>
          <w:color w:val="000000"/>
          <w:shd w:val="clear" w:color="auto" w:fill="FFFFFF"/>
          <w:lang w:val="en-US"/>
        </w:rPr>
        <w:t xml:space="preserve">. These data attest to a general tendency for very high deforestation rates in Tropical and subtropical dry forests in South America </w:t>
      </w:r>
      <w:r w:rsidR="004255E7" w:rsidRPr="008608AA">
        <w:rPr>
          <w:color w:val="000000"/>
          <w:shd w:val="clear" w:color="auto" w:fill="FFFFFF"/>
          <w:lang w:val="en-US"/>
        </w:rPr>
        <w:fldChar w:fldCharType="begin" w:fldLock="1"/>
      </w:r>
      <w:r w:rsidR="004255E7" w:rsidRPr="008608AA">
        <w:rPr>
          <w:color w:val="000000"/>
          <w:shd w:val="clear" w:color="auto" w:fill="FFFFFF"/>
          <w:lang w:val="en-US"/>
        </w:rPr>
        <w:instrText>ADDIN CSL_CITATION { "citationItems" : [ { "id" : "ITEM-1", "itemData" : { "author" : [ { "dropping-particle" : "", "family" : "Armenteras", "given" : "D.", "non-dropping-particle" : "", "parse-names" : false, "suffix" : "" }, { "dropping-particle" : "", "family" : "Rodriguez Eraso", "given" : "N.", "non-dropping-particle" : "", "parse-names" : false, "suffix" : "" } ], "container-title" : "Colombia Forestal", "id" : "ITEM-1", "issue" : "2", "issued" : { "date-parts" : [ [ "2014" ] ] }, "page" : "233-246", "title" : "Forest deforestation dynamics and drivers in Latin America: a review since 1990.", "type" : "article-journal", "volume" : "17" }, "uris" : [ "http://www.mendeley.com/documents/?uuid=1c22698f-86bd-4df2-afa8-64268d07f4a8" ] } ], "mendeley" : { "formattedCitation" : "(D. Armenteras &amp; Rodriguez Eraso, 2014)", "manualFormatting" : "(Armenteras &amp; Rodriguez Eraso, 2014)", "plainTextFormattedCitation" : "(D. Armenteras &amp; Rodriguez Eraso, 2014)", "previouslyFormattedCitation" : "(D. Armenteras &amp; Rodriguez Eraso, 2014)" }, "properties" : { "noteIndex" : 0 }, "schema" : "https://github.com/citation-style-language/schema/raw/master/csl-citation.json" }</w:instrText>
      </w:r>
      <w:r w:rsidR="004255E7" w:rsidRPr="008608AA">
        <w:rPr>
          <w:color w:val="000000"/>
          <w:shd w:val="clear" w:color="auto" w:fill="FFFFFF"/>
          <w:lang w:val="en-US"/>
        </w:rPr>
        <w:fldChar w:fldCharType="separate"/>
      </w:r>
      <w:r w:rsidR="004255E7" w:rsidRPr="008608AA">
        <w:rPr>
          <w:noProof/>
          <w:color w:val="000000"/>
          <w:shd w:val="clear" w:color="auto" w:fill="FFFFFF"/>
          <w:lang w:val="en-US"/>
        </w:rPr>
        <w:t>(Armenteras &amp; Rodr</w:t>
      </w:r>
      <w:r w:rsidR="00A86148" w:rsidRPr="008608AA">
        <w:rPr>
          <w:noProof/>
          <w:color w:val="000000"/>
          <w:shd w:val="clear" w:color="auto" w:fill="FFFFFF"/>
          <w:lang w:val="en-US"/>
        </w:rPr>
        <w:t>í</w:t>
      </w:r>
      <w:r w:rsidR="004255E7" w:rsidRPr="008608AA">
        <w:rPr>
          <w:noProof/>
          <w:color w:val="000000"/>
          <w:shd w:val="clear" w:color="auto" w:fill="FFFFFF"/>
          <w:lang w:val="en-US"/>
        </w:rPr>
        <w:t>guez Eraso, 2014)</w:t>
      </w:r>
      <w:r w:rsidR="004255E7" w:rsidRPr="008608AA">
        <w:rPr>
          <w:color w:val="000000"/>
          <w:shd w:val="clear" w:color="auto" w:fill="FFFFFF"/>
          <w:lang w:val="en-US"/>
        </w:rPr>
        <w:fldChar w:fldCharType="end"/>
      </w:r>
      <w:r w:rsidR="004255E7" w:rsidRPr="008608AA">
        <w:rPr>
          <w:color w:val="000000"/>
          <w:shd w:val="clear" w:color="auto" w:fill="FFFFFF"/>
          <w:lang w:val="en-US"/>
        </w:rPr>
        <w:t xml:space="preserve"> and are of great concern given the high NCP contribution of this biome (Figure 3.25).</w:t>
      </w:r>
    </w:p>
    <w:p w14:paraId="01CC688F" w14:textId="77777777" w:rsidR="0063629E" w:rsidRPr="008608AA" w:rsidRDefault="0063629E" w:rsidP="0041668E">
      <w:pPr>
        <w:pStyle w:val="gmail-msonormal"/>
        <w:spacing w:before="0" w:beforeAutospacing="0" w:after="120" w:afterAutospacing="0"/>
        <w:rPr>
          <w:color w:val="000000"/>
          <w:shd w:val="clear" w:color="auto" w:fill="FFFFFF"/>
          <w:lang w:val="en-US"/>
        </w:rPr>
      </w:pPr>
    </w:p>
    <w:p w14:paraId="145124E0" w14:textId="2CBD55A4" w:rsidR="004255E7" w:rsidRPr="008608AA" w:rsidRDefault="004255E7" w:rsidP="00A11ECA">
      <w:pPr>
        <w:pStyle w:val="Heading4"/>
        <w:rPr>
          <w:lang w:val="en-US"/>
        </w:rPr>
      </w:pPr>
      <w:bookmarkStart w:id="1115" w:name="_Toc502927359"/>
      <w:bookmarkStart w:id="1116" w:name="_Toc517393313"/>
      <w:bookmarkStart w:id="1117" w:name="_Toc517719054"/>
      <w:bookmarkStart w:id="1118" w:name="_Toc517797011"/>
      <w:r w:rsidRPr="008608AA">
        <w:t>Temperate</w:t>
      </w:r>
      <w:r w:rsidRPr="008608AA">
        <w:rPr>
          <w:lang w:val="en-US"/>
        </w:rPr>
        <w:t xml:space="preserve"> and boreal forests and woodlands</w:t>
      </w:r>
      <w:bookmarkEnd w:id="1115"/>
      <w:bookmarkEnd w:id="1116"/>
      <w:bookmarkEnd w:id="1117"/>
      <w:bookmarkEnd w:id="1118"/>
    </w:p>
    <w:p w14:paraId="0800660B" w14:textId="77777777" w:rsidR="004255E7" w:rsidRPr="008608AA" w:rsidRDefault="004255E7" w:rsidP="00A11ECA">
      <w:pPr>
        <w:pStyle w:val="Heading5"/>
        <w:numPr>
          <w:ilvl w:val="0"/>
          <w:numId w:val="0"/>
        </w:numPr>
        <w:ind w:left="1008" w:hanging="1008"/>
        <w:rPr>
          <w:sz w:val="24"/>
          <w:szCs w:val="24"/>
        </w:rPr>
      </w:pPr>
      <w:r w:rsidRPr="008608AA">
        <w:rPr>
          <w:sz w:val="24"/>
          <w:szCs w:val="24"/>
        </w:rPr>
        <w:t xml:space="preserve">North American subregion </w:t>
      </w:r>
    </w:p>
    <w:p w14:paraId="12575E1C" w14:textId="587D4925" w:rsidR="004255E7" w:rsidRDefault="004255E7" w:rsidP="00843724">
      <w:pPr>
        <w:pStyle w:val="NormalWeb"/>
        <w:rPr>
          <w:lang w:val="en-US"/>
        </w:rPr>
      </w:pPr>
      <w:r w:rsidRPr="008608AA">
        <w:rPr>
          <w:iCs/>
          <w:color w:val="000000"/>
          <w:lang w:val="en-US"/>
        </w:rPr>
        <w:t>Status</w:t>
      </w:r>
      <w:r w:rsidR="00657833" w:rsidRPr="008608AA">
        <w:rPr>
          <w:color w:val="000000"/>
          <w:lang w:val="en-US"/>
        </w:rPr>
        <w:t xml:space="preserve">. </w:t>
      </w:r>
      <w:r w:rsidRPr="008608AA">
        <w:rPr>
          <w:lang w:val="en-US"/>
        </w:rPr>
        <w:t xml:space="preserve">Temperate and boreal forests in North America cover most of the eastern USA and Canada and the Pacific </w:t>
      </w:r>
      <w:r w:rsidRPr="00360ADC">
        <w:rPr>
          <w:lang w:val="en-US"/>
        </w:rPr>
        <w:t>Northwest</w:t>
      </w:r>
      <w:r w:rsidRPr="008608AA">
        <w:rPr>
          <w:lang w:val="en-US"/>
        </w:rPr>
        <w:t xml:space="preserve">. Boreal forests, which include many coniferous tree species, occur in colder regions, while deciduous hardwood forests occur in both cold and warm temperate regions. Temperate forests occupy ca. 70% of the land area that was forested at the time of European settlement </w:t>
      </w:r>
      <w:r w:rsidRPr="008608AA">
        <w:rPr>
          <w:lang w:val="en-US"/>
        </w:rPr>
        <w:fldChar w:fldCharType="begin" w:fldLock="1"/>
      </w:r>
      <w:r w:rsidRPr="008608AA">
        <w:rPr>
          <w:lang w:val="en-US"/>
        </w:rPr>
        <w:instrText>ADDIN CSL_CITATION { "citationItems" : [ { "id" : "ITEM-1", "itemData" : { "author" : [ { "dropping-particle" : "", "family" : "Flather", "given" : "Curtis H.", "non-dropping-particle" : "", "parse-names" : false, "suffix" : "" }, { "dropping-particle" : "", "family" : "Brady", "given" : "Stephen J.", "non-dropping-particle" : "", "parse-names" : false, "suffix" : "" }, { "dropping-particle" : "", "family" : "Knowles", "given" : "Michael S.", "non-dropping-particle" : "", "parse-names" : false, "suffix" : "" } ], "id" : "ITEM-1", "issued" : { "date-parts" : [ [ "1999" ] ] }, "publisher" : "U.S. Department of Agriculture, Forest Service, Rocky Mountain Research Station", "publisher-place" : "Fort Collins, USA", "title" : "Wildlife Resource Trends in the United States: A Technical Document Supporting the 2000 RPA Assessment. Gen. Tech. Rep. RMRS-GTR-33", "type" : "article" }, "uris" : [ "http://www.mendeley.com/documents/?uuid=9d865a85-c2cc-4b9b-8f85-3645bb4e005f" ] } ], "mendeley" : { "formattedCitation" : "(Flather, Brady, &amp; Knowles, 1999)", "manualFormatting" : "(Flather et al., 1999)", "plainTextFormattedCitation" : "(Flather, Brady, &amp; Knowles, 1999)", "previouslyFormattedCitation" : "(Flather, Brady, &amp; Knowles, 1999)" }, "properties" : { "noteIndex" : 0 }, "schema" : "https://github.com/citation-style-language/schema/raw/master/csl-citation.json" }</w:instrText>
      </w:r>
      <w:r w:rsidRPr="008608AA">
        <w:rPr>
          <w:lang w:val="en-US"/>
        </w:rPr>
        <w:fldChar w:fldCharType="separate"/>
      </w:r>
      <w:r w:rsidRPr="008608AA">
        <w:rPr>
          <w:noProof/>
          <w:lang w:val="en-US"/>
        </w:rPr>
        <w:t>(Flather et al., 1999)</w:t>
      </w:r>
      <w:r w:rsidRPr="008608AA">
        <w:rPr>
          <w:lang w:val="en-US"/>
        </w:rPr>
        <w:fldChar w:fldCharType="end"/>
      </w:r>
      <w:r w:rsidRPr="008608AA">
        <w:rPr>
          <w:lang w:val="en-US"/>
        </w:rPr>
        <w:t xml:space="preserve">. Large numbers of </w:t>
      </w:r>
      <w:r w:rsidRPr="008608AA">
        <w:rPr>
          <w:color w:val="000000"/>
          <w:lang w:val="en-US"/>
        </w:rPr>
        <w:t xml:space="preserve">plant and animal species depend on these forest habitats. An estimated 90% of the resident or common migrant vertebrate species in the USA </w:t>
      </w:r>
      <w:r w:rsidRPr="008608AA">
        <w:rPr>
          <w:lang w:val="en-US"/>
        </w:rPr>
        <w:fldChar w:fldCharType="begin" w:fldLock="1"/>
      </w:r>
      <w:r w:rsidRPr="008608AA">
        <w:rPr>
          <w:lang w:val="en-US"/>
        </w:rPr>
        <w:instrText>ADDIN CSL_CITATION { "citationItems" : [ { "id" : "ITEM-1", "itemData" : { "author" : [ { "dropping-particle" : "", "family" : "Flather", "given" : "Curtis H.", "non-dropping-particle" : "", "parse-names" : false, "suffix" : "" }, { "dropping-particle" : "", "family" : "Brady", "given" : "Stephen J.", "non-dropping-particle" : "", "parse-names" : false, "suffix" : "" }, { "dropping-particle" : "", "family" : "Knowles", "given" : "Michael S.", "non-dropping-particle" : "", "parse-names" : false, "suffix" : "" } ], "id" : "ITEM-1", "issued" : { "date-parts" : [ [ "1999" ] ] }, "publisher" : "U.S. Department of Agriculture, Forest Service, Rocky Mountain Research Station", "publisher-place" : "Fort Collins, USA", "title" : "Wildlife Resource Trends in the United States: A Technical Document Supporting the 2000 RPA Assessment. Gen. Tech. Rep. RMRS-GTR-33", "type" : "article" }, "uris" : [ "http://www.mendeley.com/documents/?uuid=9d865a85-c2cc-4b9b-8f85-3645bb4e005f" ] } ], "mendeley" : { "formattedCitation" : "(Flather et al., 1999)", "plainTextFormattedCitation" : "(Flather et al., 1999)", "previouslyFormattedCitation" : "(Flather et al., 1999)" }, "properties" : { "noteIndex" : 0 }, "schema" : "https://github.com/citation-style-language/schema/raw/master/csl-citation.json" }</w:instrText>
      </w:r>
      <w:r w:rsidRPr="008608AA">
        <w:rPr>
          <w:lang w:val="en-US"/>
        </w:rPr>
        <w:fldChar w:fldCharType="separate"/>
      </w:r>
      <w:r w:rsidRPr="008608AA">
        <w:rPr>
          <w:noProof/>
          <w:lang w:val="en-US"/>
        </w:rPr>
        <w:t>(Flather et al., 1999)</w:t>
      </w:r>
      <w:r w:rsidRPr="008608AA">
        <w:rPr>
          <w:lang w:val="en-US"/>
        </w:rPr>
        <w:fldChar w:fldCharType="end"/>
      </w:r>
      <w:r w:rsidRPr="008608AA">
        <w:rPr>
          <w:lang w:val="en-US"/>
        </w:rPr>
        <w:t>,</w:t>
      </w:r>
      <w:r w:rsidRPr="008608AA">
        <w:rPr>
          <w:color w:val="000000"/>
          <w:lang w:val="en-US"/>
        </w:rPr>
        <w:t xml:space="preserve"> and likely in Canada, use forest habitats. The number of forest-associated species is highest in the Southeast and in the arid ecoregions of the Southwest </w:t>
      </w:r>
      <w:r w:rsidRPr="008608AA">
        <w:rPr>
          <w:lang w:val="en-US"/>
        </w:rPr>
        <w:fldChar w:fldCharType="begin" w:fldLock="1"/>
      </w:r>
      <w:r w:rsidRPr="008608AA">
        <w:rPr>
          <w:lang w:val="en-US"/>
        </w:rPr>
        <w:instrText>ADDIN CSL_CITATION { "citationItems" : [ { "id" : "ITEM-1", "itemData" : { "author" : [ { "dropping-particle" : "", "family" : "U.S. Forestry Service", "given" : "", "non-dropping-particle" : "", "parse-names" : false, "suffix" : "" } ], "id" : "ITEM-1", "issued" : { "date-parts" : [ [ "2015" ] ] }, "publisher" : "United States Department of Agriculture", "title" : "National Report on Sustainable Forests", "type" : "report" }, "uris" : [ "http://www.mendeley.com/documents/?uuid=a8731317-6af7-4784-bfb6-d52e8d164f7f" ] } ], "mendeley" : { "formattedCitation" : "(U.S. Forestry Service, 2015)", "plainTextFormattedCitation" : "(U.S. Forestry Service, 2015)", "previouslyFormattedCitation" : "(U.S. Forestry Service, 2015)" }, "properties" : { "noteIndex" : 0 }, "schema" : "https://github.com/citation-style-language/schema/raw/master/csl-citation.json" }</w:instrText>
      </w:r>
      <w:r w:rsidRPr="008608AA">
        <w:rPr>
          <w:lang w:val="en-US"/>
        </w:rPr>
        <w:fldChar w:fldCharType="separate"/>
      </w:r>
      <w:r w:rsidRPr="008608AA">
        <w:rPr>
          <w:noProof/>
          <w:lang w:val="en-US"/>
        </w:rPr>
        <w:t>(U.S. Forestry Service, 2015)</w:t>
      </w:r>
      <w:r w:rsidRPr="008608AA">
        <w:rPr>
          <w:lang w:val="en-US"/>
        </w:rPr>
        <w:fldChar w:fldCharType="end"/>
      </w:r>
      <w:r w:rsidRPr="008608AA">
        <w:rPr>
          <w:lang w:val="en-US"/>
        </w:rPr>
        <w:t>.</w:t>
      </w:r>
    </w:p>
    <w:p w14:paraId="596BF285" w14:textId="77777777" w:rsidR="00843724" w:rsidRPr="008608AA" w:rsidRDefault="00843724" w:rsidP="00843724">
      <w:pPr>
        <w:pStyle w:val="NormalWeb"/>
        <w:rPr>
          <w:lang w:val="en-US"/>
        </w:rPr>
      </w:pPr>
    </w:p>
    <w:p w14:paraId="3CC20ECC" w14:textId="583DD3D9" w:rsidR="004255E7" w:rsidRPr="008608AA" w:rsidRDefault="004255E7" w:rsidP="00843724">
      <w:pPr>
        <w:pStyle w:val="NormalWeb"/>
        <w:rPr>
          <w:lang w:val="en-US"/>
        </w:rPr>
      </w:pPr>
      <w:r w:rsidRPr="008608AA">
        <w:rPr>
          <w:lang w:val="en-US"/>
        </w:rPr>
        <w:t xml:space="preserve">Several natural forest types and numerous species have been greatly reduced by human activities. For example, longleaf pine, and loblolly and shortleaf pine forests now cover less than 2% of their presettlement ranges </w:t>
      </w:r>
      <w:r w:rsidRPr="008608AA">
        <w:rPr>
          <w:lang w:val="en-US"/>
        </w:rPr>
        <w:fldChar w:fldCharType="begin" w:fldLock="1"/>
      </w:r>
      <w:r w:rsidRPr="008608AA">
        <w:rPr>
          <w:lang w:val="en-US"/>
        </w:rPr>
        <w:instrText>ADDIN CSL_CITATION { "citationItems" : [ { "id" : "ITEM-1", "itemData" : { "author" : [ { "dropping-particle" : "", "family" : "Noss", "given" : "RF", "non-dropping-particle" : "", "parse-names" : false, "suffix" : "" }, { "dropping-particle" : "", "family" : "LaRoe", "given" : "ET", "non-dropping-particle" : "", "parse-names" : false, "suffix" : "" }, { "dropping-particle" : "", "family" : "Scott", "given" : "JM.", "non-dropping-particle" : "", "parse-names" : false, "suffix" : "" } ], "id" : "ITEM-1", "issued" : { "date-parts" : [ [ "1995" ] ] }, "publisher" : "US Department of the Interior. National Biological Service.", "publisher-place" : "Washington D.C., USA", "title" : "Endangered Ecosystems of the United States: A Preliminary Assessment of Loss and Degradation", "type" : "book" }, "uris" : [ "http://www.mendeley.com/documents/?uuid=58f16a5a-0a81-4110-8d05-ade9fe833604" ] } ], "mendeley" : { "formattedCitation" : "(Noss, LaRoe, &amp; Scott, 1995)", "manualFormatting" : "(Noss et al., 1995)", "plainTextFormattedCitation" : "(Noss, LaRoe, &amp; Scott, 1995)", "previouslyFormattedCitation" : "(Noss, LaRoe, &amp; Scott, 1995)" }, "properties" : { "noteIndex" : 0 }, "schema" : "https://github.com/citation-style-language/schema/raw/master/csl-citation.json" }</w:instrText>
      </w:r>
      <w:r w:rsidRPr="008608AA">
        <w:rPr>
          <w:lang w:val="en-US"/>
        </w:rPr>
        <w:fldChar w:fldCharType="separate"/>
      </w:r>
      <w:r w:rsidRPr="008608AA">
        <w:rPr>
          <w:noProof/>
          <w:lang w:val="en-US"/>
        </w:rPr>
        <w:t>(Noss et al., 1995)</w:t>
      </w:r>
      <w:r w:rsidRPr="008608AA">
        <w:rPr>
          <w:lang w:val="en-US"/>
        </w:rPr>
        <w:fldChar w:fldCharType="end"/>
      </w:r>
      <w:r w:rsidRPr="008608AA">
        <w:rPr>
          <w:lang w:val="en-US"/>
        </w:rPr>
        <w:t xml:space="preserve">. Less than 1% of North </w:t>
      </w:r>
      <w:r w:rsidRPr="00360ADC">
        <w:rPr>
          <w:lang w:val="en-US"/>
        </w:rPr>
        <w:t>American</w:t>
      </w:r>
      <w:r w:rsidRPr="008608AA">
        <w:rPr>
          <w:lang w:val="en-US"/>
        </w:rPr>
        <w:t xml:space="preserve"> temperate deciduous forest has not experienced anthropogenic disturbance </w:t>
      </w:r>
      <w:r w:rsidRPr="008608AA">
        <w:rPr>
          <w:lang w:val="en-US"/>
        </w:rPr>
        <w:fldChar w:fldCharType="begin" w:fldLock="1"/>
      </w:r>
      <w:r w:rsidRPr="008608AA">
        <w:rPr>
          <w:lang w:val="en-US"/>
        </w:rPr>
        <w:instrText>ADDIN CSL_CITATION { "citationItems" : [ { "id" : "ITEM-1", "itemData" : { "author" : [ { "dropping-particle" : "", "family" : "Frelich", "given" : "L.E.", "non-dropping-particle" : "", "parse-names" : false, "suffix" : "" }, { "dropping-particle" : "", "family" : "Reich", "given" : "P.B.", "non-dropping-particle" : "", "parse-names" : false, "suffix" : "" } ], "container-title" : "Natural Areas Journal", "id" : "ITEM-1", "issue" : "4", "issued" : { "date-parts" : [ [ "2009" ] ] }, "page" : "385-393", "title" : "Wilderness conservation in an era of global warming and invasive species: a case study from Minnesota's Boundary Waters Canoe Area Wilderness", "type" : "article-journal", "volume" : "29" }, "uris" : [ "http://www.mendeley.com/documents/?uuid=b85ad0a7-c167-4d28-b024-b49542f2925f" ] } ], "mendeley" : { "formattedCitation" : "(Frelich &amp; Reich, 2009)", "manualFormatting" : "(Frelich &amp; Reich, 2009)", "plainTextFormattedCitation" : "(Frelich &amp; Reich, 2009)", "previouslyFormattedCitation" : "(Frelich &amp; Reich, 2009)" }, "properties" : { "noteIndex" : 0 }, "schema" : "https://github.com/citation-style-language/schema/raw/master/csl-citation.json" }</w:instrText>
      </w:r>
      <w:r w:rsidRPr="008608AA">
        <w:rPr>
          <w:lang w:val="en-US"/>
        </w:rPr>
        <w:fldChar w:fldCharType="separate"/>
      </w:r>
      <w:r w:rsidRPr="008608AA">
        <w:rPr>
          <w:noProof/>
          <w:lang w:val="en-US"/>
        </w:rPr>
        <w:t>(Frelich &amp; Reich, 2009)</w:t>
      </w:r>
      <w:r w:rsidRPr="008608AA">
        <w:rPr>
          <w:lang w:val="en-US"/>
        </w:rPr>
        <w:fldChar w:fldCharType="end"/>
      </w:r>
      <w:r w:rsidRPr="008608AA">
        <w:rPr>
          <w:lang w:val="en-US"/>
        </w:rPr>
        <w:t xml:space="preserve">. Temperate deciduous forests have a smaller fraction of original primary forest remaining than do boreal or tropical forests, although most of the original species remain present </w:t>
      </w:r>
      <w:r w:rsidRPr="008608AA">
        <w:rPr>
          <w:lang w:val="en-US"/>
        </w:rPr>
        <w:fldChar w:fldCharType="begin" w:fldLock="1"/>
      </w:r>
      <w:r w:rsidRPr="008608AA">
        <w:rPr>
          <w:lang w:val="en-US"/>
        </w:rPr>
        <w:instrText>ADDIN CSL_CITATION { "citationItems" : [ { "id" : "ITEM-1", "itemData" : { "author" : [ { "dropping-particle" : "", "family" : "Frelich", "given" : "L.E.", "non-dropping-particle" : "", "parse-names" : false, "suffix" : "" } ], "container-title" : "Natural Areas Journal", "id" : "ITEM-1", "issue" : "2", "issued" : { "date-parts" : [ [ "1995" ] ] }, "page" : "157-167", "title" : "Old forest in the Lake States today and before European settlement", "type" : "article-journal", "volume" : "15" }, "uris" : [ "http://www.mendeley.com/documents/?uuid=2e565596-593a-4016-a770-467af134709d" ] } ], "mendeley" : { "formattedCitation" : "(Frelich, 1995)", "plainTextFormattedCitation" : "(Frelich, 1995)", "previouslyFormattedCitation" : "(Frelich, 1995)" }, "properties" : { "noteIndex" : 0 }, "schema" : "https://github.com/citation-style-language/schema/raw/master/csl-citation.json" }</w:instrText>
      </w:r>
      <w:r w:rsidRPr="008608AA">
        <w:rPr>
          <w:lang w:val="en-US"/>
        </w:rPr>
        <w:fldChar w:fldCharType="separate"/>
      </w:r>
      <w:r w:rsidRPr="008608AA">
        <w:rPr>
          <w:noProof/>
          <w:lang w:val="en-US"/>
        </w:rPr>
        <w:t>(Frelich, 1995)</w:t>
      </w:r>
      <w:r w:rsidRPr="008608AA">
        <w:rPr>
          <w:lang w:val="en-US"/>
        </w:rPr>
        <w:fldChar w:fldCharType="end"/>
      </w:r>
      <w:r w:rsidRPr="008608AA">
        <w:rPr>
          <w:lang w:val="en-US"/>
        </w:rPr>
        <w:t xml:space="preserve">; 94% of forest-associated vascular plants fully occupy their former range </w:t>
      </w:r>
      <w:r w:rsidRPr="008608AA">
        <w:rPr>
          <w:lang w:val="en-US"/>
        </w:rPr>
        <w:fldChar w:fldCharType="begin" w:fldLock="1"/>
      </w:r>
      <w:r w:rsidRPr="008608AA">
        <w:rPr>
          <w:lang w:val="en-US"/>
        </w:rPr>
        <w:instrText>ADDIN CSL_CITATION { "citationItems" : [ { "id" : "ITEM-1", "itemData" : { "DOI" : "10.2737/PNW-GTR-931", "author" : [ { "dropping-particle" : "", "family" : "Nelson", "given" : "M.D.", "non-dropping-particle" : "", "parse-names" : false, "suffix" : "" }, { "dropping-particle" : "", "family" : "Flather", "given" : "C.H.", "non-dropping-particle" : "", "parse-names" : false, "suffix" : "" }, { "dropping-particle" : "", "family" : "Riitters", "given" : "K.H.", "non-dropping-particle" : "", "parse-names" : false, "suffix" : "" }, { "dropping-particle" : "", "family" : "Sieg", "given" : "C.", "non-dropping-particle" : "", "parse-names" : false, "suffix" : "" }, { "dropping-particle" : "", "family" : "Garner", "given" : "J.D.", "non-dropping-particle" : "", "parse-names" : false, "suffix" : "" } ], "container-title" : "Pushing Boundaries: New Directions in Inventory Techniques and Applications: Forest Inventory and Analysis (FIA) Symposium 2015", "editor" : [ { "dropping-particle" : "", "family" : "Stanton", "given" : "Sharon M.", "non-dropping-particle" : "", "parse-names" : false, "suffix" : "" }, { "dropping-particle" : "", "family" : "Christensen", "given" : "Glenn A.", "non-dropping-particle" : "", "parse-names" : false, "suffix" : "" } ], "id" : "ITEM-1", "issued" : { "date-parts" : [ [ "2016" ] ] }, "page" : "375", "publisher" : "United States Department of Agriculture", "publisher-place" : "Portland, USA", "title" : "National report on sustainable forests\u20142015: Conservation of biological diversity", "type" : "chapter" }, "uris" : [ "http://www.mendeley.com/documents/?uuid=f36db6ac-c898-4da1-a94d-40704718859c" ] } ], "mendeley" : { "formattedCitation" : "(M. D. Nelson, Flather, Riitters, Sieg, &amp; Garner, 2016)", "manualFormatting" : "(Nelson, Flather et al., 2016)", "plainTextFormattedCitation" : "(M. D. Nelson, Flather, Riitters, Sieg, &amp; Garner, 2016)", "previouslyFormattedCitation" : "(M. D. Nelson, Flather, Riitters, Sieg, &amp; Garner, 2016)" }, "properties" : { "noteIndex" : 0 }, "schema" : "https://github.com/citation-style-language/schema/raw/master/csl-citation.json" }</w:instrText>
      </w:r>
      <w:r w:rsidRPr="008608AA">
        <w:rPr>
          <w:lang w:val="en-US"/>
        </w:rPr>
        <w:fldChar w:fldCharType="separate"/>
      </w:r>
      <w:r w:rsidR="00EE77AC" w:rsidRPr="008608AA">
        <w:rPr>
          <w:noProof/>
          <w:lang w:val="en-US"/>
        </w:rPr>
        <w:t xml:space="preserve">(Nelson </w:t>
      </w:r>
      <w:r w:rsidRPr="008608AA">
        <w:rPr>
          <w:noProof/>
          <w:lang w:val="en-US"/>
        </w:rPr>
        <w:t>et al., 2016)</w:t>
      </w:r>
      <w:r w:rsidRPr="008608AA">
        <w:rPr>
          <w:lang w:val="en-US"/>
        </w:rPr>
        <w:fldChar w:fldCharType="end"/>
      </w:r>
      <w:r w:rsidRPr="008608AA">
        <w:rPr>
          <w:lang w:val="en-US"/>
        </w:rPr>
        <w:t xml:space="preserve">. Logging, grazing, fire suppression and manipulation of wildlife populations have altered forest composition, structure, and landscape. An estimated 32% of amphibian species and 12–15% of mammals, birds, reptiles, and fish are possibly extinct or at risk of extinction in USA forests </w:t>
      </w:r>
      <w:r w:rsidRPr="008608AA">
        <w:rPr>
          <w:lang w:val="en-US"/>
        </w:rPr>
        <w:fldChar w:fldCharType="begin" w:fldLock="1"/>
      </w:r>
      <w:r w:rsidRPr="008608AA">
        <w:rPr>
          <w:lang w:val="en-US"/>
        </w:rPr>
        <w:instrText>ADDIN CSL_CITATION { "citationItems" : [ { "id" : "ITEM-1", "itemData" : { "DOI" : "10.2737/PNW-GTR-931", "author" : [ { "dropping-particle" : "", "family" : "Nelson", "given" : "M.D.", "non-dropping-particle" : "", "parse-names" : false, "suffix" : "" }, { "dropping-particle" : "", "family" : "Flather", "given" : "C.H.", "non-dropping-particle" : "", "parse-names" : false, "suffix" : "" }, { "dropping-particle" : "", "family" : "Riitters", "given" : "K.H.", "non-dropping-particle" : "", "parse-names" : false, "suffix" : "" }, { "dropping-particle" : "", "family" : "Sieg", "given" : "C.", "non-dropping-particle" : "", "parse-names" : false, "suffix" : "" }, { "dropping-particle" : "", "family" : "Garner", "given" : "J.D.", "non-dropping-particle" : "", "parse-names" : false, "suffix" : "" } ], "container-title" : "Pushing Boundaries: New Directions in Inventory Techniques and Applications: Forest Inventory and Analysis (FIA) Symposium 2015", "editor" : [ { "dropping-particle" : "", "family" : "Stanton", "given" : "Sharon M.", "non-dropping-particle" : "", "parse-names" : false, "suffix" : "" }, { "dropping-particle" : "", "family" : "Christensen", "given" : "Glenn A.", "non-dropping-particle" : "", "parse-names" : false, "suffix" : "" } ], "id" : "ITEM-1", "issued" : { "date-parts" : [ [ "2016" ] ] }, "page" : "375", "publisher" : "United States Department of Agriculture", "publisher-place" : "Portland, USA", "title" : "National report on sustainable forests\u20142015: Conservation of biological diversity", "type" : "chapter" }, "uris" : [ "http://www.mendeley.com/documents/?uuid=f36db6ac-c898-4da1-a94d-40704718859c" ] } ], "mendeley" : { "formattedCitation" : "(M. D. Nelson et al., 2016)", "manualFormatting" : "(Nelson, Flather et al., 2016)", "plainTextFormattedCitation" : "(M. D. Nelson et al., 2016)", "previouslyFormattedCitation" : "(M. D. Nelson et al., 2016)" }, "properties" : { "noteIndex" : 0 }, "schema" : "https://github.com/citation-style-language/schema/raw/master/csl-citation.json" }</w:instrText>
      </w:r>
      <w:r w:rsidRPr="008608AA">
        <w:rPr>
          <w:lang w:val="en-US"/>
        </w:rPr>
        <w:fldChar w:fldCharType="separate"/>
      </w:r>
      <w:r w:rsidR="007D4553" w:rsidRPr="008608AA">
        <w:rPr>
          <w:noProof/>
          <w:lang w:val="en-US"/>
        </w:rPr>
        <w:t xml:space="preserve">(Nelson </w:t>
      </w:r>
      <w:r w:rsidRPr="008608AA">
        <w:rPr>
          <w:noProof/>
          <w:lang w:val="en-US"/>
        </w:rPr>
        <w:t>et al., 2016)</w:t>
      </w:r>
      <w:r w:rsidRPr="008608AA">
        <w:rPr>
          <w:lang w:val="en-US"/>
        </w:rPr>
        <w:fldChar w:fldCharType="end"/>
      </w:r>
      <w:r w:rsidRPr="008608AA">
        <w:rPr>
          <w:lang w:val="en-US"/>
        </w:rPr>
        <w:t xml:space="preserve">. In addition, 32–34% of vascular plants and select invertebrates are possibly extinct or at risk of extinction </w:t>
      </w:r>
      <w:r w:rsidRPr="008608AA">
        <w:rPr>
          <w:lang w:val="en-US"/>
        </w:rPr>
        <w:fldChar w:fldCharType="begin" w:fldLock="1"/>
      </w:r>
      <w:r w:rsidRPr="008608AA">
        <w:rPr>
          <w:lang w:val="en-US"/>
        </w:rPr>
        <w:instrText>ADDIN CSL_CITATION { "citationItems" : [ { "id" : "ITEM-1", "itemData" : { "DOI" : "10.2737/PNW-GTR-931", "author" : [ { "dropping-particle" : "", "family" : "Nelson", "given" : "M.D.", "non-dropping-particle" : "", "parse-names" : false, "suffix" : "" }, { "dropping-particle" : "", "family" : "Flather", "given" : "C.H.", "non-dropping-particle" : "", "parse-names" : false, "suffix" : "" }, { "dropping-particle" : "", "family" : "Riitters", "given" : "K.H.", "non-dropping-particle" : "", "parse-names" : false, "suffix" : "" }, { "dropping-particle" : "", "family" : "Sieg", "given" : "C.", "non-dropping-particle" : "", "parse-names" : false, "suffix" : "" }, { "dropping-particle" : "", "family" : "Garner", "given" : "J.D.", "non-dropping-particle" : "", "parse-names" : false, "suffix" : "" } ], "container-title" : "Pushing Boundaries: New Directions in Inventory Techniques and Applications: Forest Inventory and Analysis (FIA) Symposium 2015", "editor" : [ { "dropping-particle" : "", "family" : "Stanton", "given" : "Sharon M.", "non-dropping-particle" : "", "parse-names" : false, "suffix" : "" }, { "dropping-particle" : "", "family" : "Christensen", "given" : "Glenn A.", "non-dropping-particle" : "", "parse-names" : false, "suffix" : "" } ], "id" : "ITEM-1", "issued" : { "date-parts" : [ [ "2016" ] ] }, "page" : "375", "publisher" : "United States Department of Agriculture", "publisher-place" : "Portland, USA", "title" : "National report on sustainable forests\u20142015: Conservation of biological diversity", "type" : "chapter" }, "uris" : [ "http://www.mendeley.com/documents/?uuid=f36db6ac-c898-4da1-a94d-40704718859c" ] } ], "mendeley" : { "formattedCitation" : "(M. D. Nelson et al., 2016)", "manualFormatting" : "(Nelson, Flather et al., 2016)", "plainTextFormattedCitation" : "(M. D. Nelson et al., 2016)", "previouslyFormattedCitation" : "(M. D. Nelson et al., 2016)" }, "properties" : { "noteIndex" : 0 }, "schema" : "https://github.com/citation-style-language/schema/raw/master/csl-citation.json" }</w:instrText>
      </w:r>
      <w:r w:rsidRPr="008608AA">
        <w:rPr>
          <w:lang w:val="en-US"/>
        </w:rPr>
        <w:fldChar w:fldCharType="separate"/>
      </w:r>
      <w:r w:rsidR="00EE77AC" w:rsidRPr="008608AA">
        <w:rPr>
          <w:noProof/>
          <w:lang w:val="en-US"/>
        </w:rPr>
        <w:t xml:space="preserve">(Nelson </w:t>
      </w:r>
      <w:r w:rsidRPr="008608AA">
        <w:rPr>
          <w:noProof/>
          <w:lang w:val="en-US"/>
        </w:rPr>
        <w:t>et al., 2016)</w:t>
      </w:r>
      <w:r w:rsidRPr="008608AA">
        <w:rPr>
          <w:lang w:val="en-US"/>
        </w:rPr>
        <w:fldChar w:fldCharType="end"/>
      </w:r>
      <w:r w:rsidRPr="008608AA">
        <w:rPr>
          <w:lang w:val="en-US"/>
        </w:rPr>
        <w:t xml:space="preserve"> (Figure 3.17).</w:t>
      </w:r>
    </w:p>
    <w:p w14:paraId="768B4C64" w14:textId="4AC4B2D7" w:rsidR="00A11ECA" w:rsidRPr="008608AA" w:rsidRDefault="00FF0580" w:rsidP="00FF0580">
      <w:r w:rsidRPr="008608AA">
        <w:rPr>
          <w:noProof/>
          <w:lang w:val="en-GB" w:eastAsia="en-GB"/>
        </w:rPr>
        <w:drawing>
          <wp:inline distT="0" distB="0" distL="0" distR="0" wp14:anchorId="59D49B0B" wp14:editId="6A2FE72E">
            <wp:extent cx="5934075" cy="8553450"/>
            <wp:effectExtent l="0" t="0" r="9525" b="0"/>
            <wp:docPr id="30321" name="Imagen 30321" descr="C:\Users\Alejandro Valderrama\Downloads\Fig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3" descr="C:\Users\Alejandro Valderrama\Downloads\Fig3.17.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34075" cy="8553450"/>
                    </a:xfrm>
                    <a:prstGeom prst="rect">
                      <a:avLst/>
                    </a:prstGeom>
                    <a:noFill/>
                    <a:ln>
                      <a:noFill/>
                    </a:ln>
                  </pic:spPr>
                </pic:pic>
              </a:graphicData>
            </a:graphic>
          </wp:inline>
        </w:drawing>
      </w:r>
    </w:p>
    <w:p w14:paraId="58FE9409" w14:textId="77777777" w:rsidR="00A11ECA" w:rsidRPr="008608AA" w:rsidRDefault="00A11ECA" w:rsidP="007D4553">
      <w:pPr>
        <w:pStyle w:val="NormalWeb"/>
        <w:spacing w:before="120" w:after="120"/>
        <w:jc w:val="left"/>
        <w:rPr>
          <w:rFonts w:ascii="Times New Roman" w:hAnsi="Times New Roman"/>
          <w:sz w:val="24"/>
          <w:szCs w:val="24"/>
          <w:lang w:val="en-US"/>
        </w:rPr>
      </w:pPr>
    </w:p>
    <w:p w14:paraId="4E2EE225" w14:textId="33B439AF" w:rsidR="004255E7" w:rsidRDefault="004255E7" w:rsidP="00843724">
      <w:pPr>
        <w:pStyle w:val="NormalWeb"/>
        <w:rPr>
          <w:lang w:val="en-US"/>
        </w:rPr>
      </w:pPr>
      <w:r w:rsidRPr="008608AA">
        <w:rPr>
          <w:lang w:val="en-US"/>
        </w:rPr>
        <w:t xml:space="preserve">North American forests sequester large amounts of carbon. In the USA, the highest carbon stock densities (&gt; 80 Mg/ha) are found in the upper Lake States, Pacific Northwest, northern New England and coastal areas of the southeastern USA </w:t>
      </w:r>
      <w:r w:rsidRPr="008608AA">
        <w:rPr>
          <w:lang w:val="en-US"/>
        </w:rPr>
        <w:fldChar w:fldCharType="begin" w:fldLock="1"/>
      </w:r>
      <w:r w:rsidRPr="008608AA">
        <w:rPr>
          <w:lang w:val="en-US"/>
        </w:rPr>
        <w:instrText>ADDIN CSL_CITATION { "citationItems" : [ { "id" : "ITEM-1", "itemData" : { "ISSN" : "0022-1201", "abstract" : "Land-use change and forestry is the major category featuring carbon sequestration in the annual US Greenhouse Gas Inventory, required by the United Nations Framework Convention on Climate Change. We describe the National Greenhouse Gas Inventory and present the sources of our data and methods and the most recent results. Forests and forest products in the United States sequestered more than \u2212790 million metric tn of CO2 equivalent in 2008, on 253 million ha of forestland. This estimate represents a net increase in carbon, including effects of growth, harvests, or other disturbances of forest ecosystems, as well as carbon stored in harvested wood products. Both area and carbon density of these forestlands have increased since 1990, the first year estimates are required. Currently, 89% of net annual sequestration is in the forest ecosystem, and the balance is net carbon addition to harvested wood products.", "author" : [ { "dropping-particle" : "", "family" : "Heath", "given" : "Linda S.", "non-dropping-particle" : "", "parse-names" : false, "suffix" : "" }, { "dropping-particle" : "", "family" : "Smith", "given" : "James E.", "non-dropping-particle" : "", "parse-names" : false, "suffix" : "" }, { "dropping-particle" : "", "family" : "Skog", "given" : "Kenneth E.", "non-dropping-particle" : "", "parse-names" : false, "suffix" : "" }, { "dropping-particle" : "", "family" : "Nowak", "given" : "David J.", "non-dropping-particle" : "", "parse-names" : false, "suffix" : "" }, { "dropping-particle" : "", "family" : "Woodall", "given" : "Christopher W.", "non-dropping-particle" : "", "parse-names" : false, "suffix" : "" } ], "container-title" : "Journal of Forestry", "id" : "ITEM-1", "issue" : "3", "issued" : { "date-parts" : [ [ "2011" ] ] }, "page" : "167-173", "title" : "Managed forest carbon estimates for the US greenhouse gas inventory, 1990-2008", "type" : "article-journal", "volume" : "109" }, "uris" : [ "http://www.mendeley.com/documents/?uuid=d1f579fe-a444-402c-9b7f-c8d1d5c29fa7" ] } ], "mendeley" : { "formattedCitation" : "(Heath, Smith, Skog, Nowak, &amp; Woodall, 2011)", "manualFormatting" : "(Heath et al., 2011)", "plainTextFormattedCitation" : "(Heath, Smith, Skog, Nowak, &amp; Woodall, 2011)", "previouslyFormattedCitation" : "(Heath, Smith, Skog, Nowak, &amp; Woodall, 2011)" }, "properties" : { "noteIndex" : 0 }, "schema" : "https://github.com/citation-style-language/schema/raw/master/csl-citation.json" }</w:instrText>
      </w:r>
      <w:r w:rsidRPr="008608AA">
        <w:rPr>
          <w:lang w:val="en-US"/>
        </w:rPr>
        <w:fldChar w:fldCharType="separate"/>
      </w:r>
      <w:r w:rsidRPr="008608AA">
        <w:rPr>
          <w:noProof/>
          <w:lang w:val="en-US"/>
        </w:rPr>
        <w:t>(Heath et al., 2011)</w:t>
      </w:r>
      <w:r w:rsidRPr="008608AA">
        <w:rPr>
          <w:lang w:val="en-US"/>
        </w:rPr>
        <w:fldChar w:fldCharType="end"/>
      </w:r>
      <w:r w:rsidRPr="008608AA">
        <w:rPr>
          <w:lang w:val="en-US"/>
        </w:rPr>
        <w:t xml:space="preserve">. Kurz et al. </w:t>
      </w:r>
      <w:r w:rsidRPr="008608AA">
        <w:rPr>
          <w:lang w:val="en-US"/>
        </w:rPr>
        <w:fldChar w:fldCharType="begin" w:fldLock="1"/>
      </w:r>
      <w:r w:rsidRPr="008608AA">
        <w:rPr>
          <w:lang w:val="en-US"/>
        </w:rPr>
        <w:instrText>ADDIN CSL_CITATION { "citationItems" : [ { "id" : "ITEM-1", "itemData" : { "author" : [ { "dropping-particle" : "", "family" : "Kurz", "given" : "W.A.", "non-dropping-particle" : "", "parse-names" : false, "suffix" : "" }, { "dropping-particle" : "", "family" : "Shaw", "given" : "C.H.", "non-dropping-particle" : "", "parse-names" : false, "suffix" : "" }, { "dropping-particle" : "", "family" : "Boisvenue", "given" : "C.", "non-dropping-particle" : "", "parse-names" : false, "suffix" : "" }, { "dropping-particle" : "", "family" : "Stinson", "given" : "G.", "non-dropping-particle" : "", "parse-names" : false, "suffix" : "" }, { "dropping-particle" : "", "family" : "Metsaranta", "given" : "J.", "non-dropping-particle" : "", "parse-names" : false, "suffix" : "" }, { "dropping-particle" : "", "family" : "Leckie", "given" : "D.", "non-dropping-particle" : "", "parse-names" : false, "suffix" : "" }, { "dropping-particle" : "", "family" : "Dyk", "given" : "A.", "non-dropping-particle" : "", "parse-names" : false, "suffix" : "" }, { "dropping-particle" : "", "family" : "Smyth", "given" : "C.", "non-dropping-particle" : "", "parse-names" : false, "suffix" : "" }, { "dropping-particle" : "", "family" : "Neilson", "given" : "E.T.", "non-dropping-particle" : "", "parse-names" : false, "suffix" : "" } ], "container-title" : "Environmental Reviews", "id" : "ITEM-1", "issue" : "4", "issued" : { "date-parts" : [ [ "2013" ] ] }, "page" : "260-292", "title" : "Carbon in Canada\u2019s boreal forest\u2014 a synthesis", "type" : "article-journal", "volume" : "21" }, "uris" : [ "http://www.mendeley.com/documents/?uuid=4c69797e-a906-4cef-b6da-5ac76e84921c" ] } ], "mendeley" : { "formattedCitation" : "(Kurz et al., 2013)", "manualFormatting" : "(2013)", "plainTextFormattedCitation" : "(Kurz et al., 2013)", "previouslyFormattedCitation" : "(Kurz et al., 2013)" }, "properties" : { "noteIndex" : 0 }, "schema" : "https://github.com/citation-style-language/schema/raw/master/csl-citation.json" }</w:instrText>
      </w:r>
      <w:r w:rsidRPr="008608AA">
        <w:rPr>
          <w:lang w:val="en-US"/>
        </w:rPr>
        <w:fldChar w:fldCharType="separate"/>
      </w:r>
      <w:r w:rsidRPr="008608AA">
        <w:rPr>
          <w:noProof/>
          <w:lang w:val="en-US"/>
        </w:rPr>
        <w:t>(2013)</w:t>
      </w:r>
      <w:r w:rsidRPr="008608AA">
        <w:rPr>
          <w:lang w:val="en-US"/>
        </w:rPr>
        <w:fldChar w:fldCharType="end"/>
      </w:r>
      <w:r w:rsidRPr="008608AA">
        <w:rPr>
          <w:lang w:val="en-US"/>
        </w:rPr>
        <w:t xml:space="preserve"> estimated carbon stock densities above 200 Mg/ha in many </w:t>
      </w:r>
      <w:r w:rsidRPr="00360ADC">
        <w:rPr>
          <w:lang w:val="en-US"/>
        </w:rPr>
        <w:t>managed</w:t>
      </w:r>
      <w:r w:rsidRPr="008608AA">
        <w:rPr>
          <w:lang w:val="en-US"/>
        </w:rPr>
        <w:t xml:space="preserve"> boreal forests of Canada. However, these values cannot be directly compared because the Canadian estimates included carbon in dead wood and soil. Temperate forests also absorb significant levels of air pollution, including particulate matter, nitrous oxides, sulfur dioxide and ozone, providing benefits to human health </w:t>
      </w:r>
      <w:r w:rsidRPr="008608AA">
        <w:rPr>
          <w:lang w:val="en-US"/>
        </w:rPr>
        <w:fldChar w:fldCharType="begin" w:fldLock="1"/>
      </w:r>
      <w:r w:rsidRPr="008608AA">
        <w:rPr>
          <w:lang w:val="en-US"/>
        </w:rPr>
        <w:instrText>ADDIN CSL_CITATION { "citationItems" : [ { "id" : "ITEM-1", "itemData" : { "DOI" : "DOI: 10.1016/j.envpol.2013.03.050", "author" : [ { "dropping-particle" : "", "family" : "Nowak", "given" : "DJ", "non-dropping-particle" : "", "parse-names" : false, "suffix" : "" }, { "dropping-particle" : "", "family" : "Hirabayashi", "given" : "S", "non-dropping-particle" : "", "parse-names" : false, "suffix" : "" }, { "dropping-particle" : "", "family" : "Bodine", "given" : "A", "non-dropping-particle" : "", "parse-names" : false, "suffix" : "" }, { "dropping-particle" : "", "family" : "Hoehn", "given" : "R.", "non-dropping-particle" : "", "parse-names" : false, "suffix" : "" } ], "container-title" : "Environmental Pollution", "id" : "ITEM-1", "issued" : { "date-parts" : [ [ "2013" ] ] }, "page" : "395-402", "title" : "Modeled PM2.5 removal by trees in ten U.S. cities and associated health effects", "type" : "article-journal", "volume" : "178" }, "uris" : [ "http://www.mendeley.com/documents/?uuid=e50840c5-d7c8-460e-8732-8a51db7eb69d" ] } ], "mendeley" : { "formattedCitation" : "(Nowak, Hirabayashi, Bodine, &amp; Hoehn, 2013)", "manualFormatting" : "(Nowak et al., 2013)", "plainTextFormattedCitation" : "(Nowak, Hirabayashi, Bodine, &amp; Hoehn, 2013)", "previouslyFormattedCitation" : "(Nowak, Hirabayashi, Bodine, &amp; Hoehn, 2013)" }, "properties" : { "noteIndex" : 0 }, "schema" : "https://github.com/citation-style-language/schema/raw/master/csl-citation.json" }</w:instrText>
      </w:r>
      <w:r w:rsidRPr="008608AA">
        <w:rPr>
          <w:lang w:val="en-US"/>
        </w:rPr>
        <w:fldChar w:fldCharType="separate"/>
      </w:r>
      <w:r w:rsidRPr="008608AA">
        <w:rPr>
          <w:noProof/>
          <w:lang w:val="en-US"/>
        </w:rPr>
        <w:t>(Nowak et al., 2013)</w:t>
      </w:r>
      <w:r w:rsidRPr="008608AA">
        <w:rPr>
          <w:lang w:val="en-US"/>
        </w:rPr>
        <w:fldChar w:fldCharType="end"/>
      </w:r>
      <w:r w:rsidRPr="008608AA">
        <w:rPr>
          <w:lang w:val="en-US"/>
        </w:rPr>
        <w:t>.</w:t>
      </w:r>
    </w:p>
    <w:p w14:paraId="2415BAC7" w14:textId="77777777" w:rsidR="00843724" w:rsidRPr="008608AA" w:rsidRDefault="00843724" w:rsidP="00843724">
      <w:pPr>
        <w:pStyle w:val="NormalWeb"/>
        <w:rPr>
          <w:i/>
          <w:iCs/>
          <w:color w:val="000000"/>
          <w:lang w:val="en-US"/>
        </w:rPr>
      </w:pPr>
    </w:p>
    <w:p w14:paraId="4C421E3D" w14:textId="5E720A2B" w:rsidR="004255E7" w:rsidRPr="008608AA" w:rsidRDefault="007D4553" w:rsidP="00A11ECA">
      <w:pPr>
        <w:widowControl w:val="0"/>
        <w:autoSpaceDE w:val="0"/>
        <w:autoSpaceDN w:val="0"/>
        <w:adjustRightInd w:val="0"/>
        <w:spacing w:after="120"/>
      </w:pPr>
      <w:r w:rsidRPr="008608AA">
        <w:rPr>
          <w:iCs/>
        </w:rPr>
        <w:t xml:space="preserve">Recent trends. </w:t>
      </w:r>
      <w:r w:rsidR="004255E7" w:rsidRPr="008608AA">
        <w:t xml:space="preserve">Moderate habitat degradation has occurred over the past 50 years, although forest cover is stable (Fig. 3.2, 3.2) </w:t>
      </w:r>
      <w:r w:rsidR="004255E7" w:rsidRPr="008608AA">
        <w:fldChar w:fldCharType="begin" w:fldLock="1"/>
      </w:r>
      <w:r w:rsidR="004255E7" w:rsidRPr="008608AA">
        <w:instrText>ADDIN CSL_CITATION { "citationItems" : [ { "id" : "ITEM-1", "itemData" : { "DOI" : "10.1126/science.1244693", "abstract" : "Quantification of global forest change has been lacking despite the recognized importance of forest ecosystem services. In this study, Earth observation satellite data were used to map global forest loss (2.3 million square kilometers) and gain (0.8 million square kilometers) from 2000 to 2012 at a spatial resolution of 30 meters. The tropics were the only climate domain to exhibit a trend, with forest loss increasing by 2101 square kilometers per year. Brazil\u2019s well-documented reduction in deforestation was offset by increasing forest loss in Indonesia, Malaysia, Paraguay, Bolivia, Zambia, Angola, and elsewhere. Intensive forestry practiced within subtropical forests resulted in the highest rates of forest change globally. Boreal forest loss due largely to fire and forestry was second to that in the tropics in absolute and proportional terms. These results depict a globally consistent and locally relevant record of forest change.", "author" : [ { "dropping-particle" : "", "family" : "Hansen", "given" : "M.C.", "non-dropping-particle" : "", "parse-names" : false, "suffix" : "" }, { "dropping-particle" : "", "family" : "Potapov", "given" : "P.V.", "non-dropping-particle" : "", "parse-names" : false, "suffix" : "" }, { "dropping-particle" : "", "family" : "Moore", "given" : "R.", "non-dropping-particle" : "", "parse-names" : false, "suffix" : "" }, { "dropping-particle" : "", "family" : "Hancher", "given" : "M.", "non-dropping-particle" : "", "parse-names" : false, "suffix" : "" }, { "dropping-particle" : "", "family" : "Turubanova", "given" : "S.A.", "non-dropping-particle" : "", "parse-names" : false, "suffix" : "" }, { "dropping-particle" : "", "family" : "Tyukavina", "given" : "A.", "non-dropping-particle" : "", "parse-names" : false, "suffix" : "" }, { "dropping-particle" : "", "family" : "Thau", "given" : "D.", "non-dropping-particle" : "", "parse-names" : false, "suffix" : "" }, { "dropping-particle" : "", "family" : "Stehman", "given" : "S.V.", "non-dropping-particle" : "", "parse-names" : false, "suffix" : "" }, { "dropping-particle" : "", "family" : "Goetz", "given" : "S.J.", "non-dropping-particle" : "", "parse-names" : false, "suffix" : "" }, { "dropping-particle" : "", "family" : "Loveland", "given" : "T.R.", "non-dropping-particle" : "", "parse-names" : false, "suffix" : "" }, { "dropping-particle" : "", "family" : "Kommareddy", "given" : "A.", "non-dropping-particle" : "", "parse-names" : false, "suffix" : "" }, { "dropping-particle" : "", "family" : "Egorov", "given" : "A.", "non-dropping-particle" : "", "parse-names" : false, "suffix" : "" }, { "dropping-particle" : "", "family" : "Chini", "given" : "L.", "non-dropping-particle" : "", "parse-names" : false, "suffix" : "" }, { "dropping-particle" : "", "family" : "Justice", "given" : "C.O.", "non-dropping-particle" : "", "parse-names" : false, "suffix" : "" }, { "dropping-particle" : "", "family" : "Townshend", "given" : "J.R.G.", "non-dropping-particle" : "", "parse-names" : false, "suffix" : "" } ], "container-title" : "Science", "id" : "ITEM-1", "issue" : "6160", "issued" : { "date-parts" : [ [ "2013" ] ] }, "page" : "850-853", "title" : "High-resolution global maps of 21st-century forest cover change", "type" : "article-journal", "volume" : "342" }, "uris" : [ "http://www.mendeley.com/documents/?uuid=74b2da76-c3a0-4c0b-9379-22f29db45f02" ] } ], "mendeley" : { "formattedCitation" : "(Hansen et al., 2013)", "plainTextFormattedCitation" : "(Hansen et al., 2013)", "previouslyFormattedCitation" : "(Hansen et al., 2013)" }, "properties" : { "noteIndex" : 0 }, "schema" : "https://github.com/citation-style-language/schema/raw/master/csl-citation.json" }</w:instrText>
      </w:r>
      <w:r w:rsidR="004255E7" w:rsidRPr="008608AA">
        <w:fldChar w:fldCharType="separate"/>
      </w:r>
      <w:r w:rsidR="004255E7" w:rsidRPr="008608AA">
        <w:rPr>
          <w:noProof/>
        </w:rPr>
        <w:t>(Hansen et al., 2013)</w:t>
      </w:r>
      <w:r w:rsidR="004255E7" w:rsidRPr="008608AA">
        <w:fldChar w:fldCharType="end"/>
      </w:r>
      <w:r w:rsidR="004255E7" w:rsidRPr="008608AA">
        <w:t xml:space="preserve">, and some sources report that the amount of forest cover has slightly increased </w:t>
      </w:r>
      <w:r w:rsidR="004255E7" w:rsidRPr="008608AA">
        <w:fldChar w:fldCharType="begin" w:fldLock="1"/>
      </w:r>
      <w:r w:rsidR="004255E7" w:rsidRPr="008608AA">
        <w:instrText>ADDIN CSL_CITATION { "citationItems" : [ { "id" : "ITEM-1", "itemData" : { "DOI" : "10.1016/j.foreco.2015.06.014", "ISBN" : "0378-1127", "ISSN" : "03781127", "PMID" : "17255001", "abstract" : "The area of land covered by forest and trees is an important indicator of environmental condition. This study presents and analyses results from the Global Forest Resources Assessment 2015 (FRA 2015) of the Food and Agriculture Organization of the United Nations. FRA 2015 was based on responses to surveys by individual countries using a common reporting framework, agreed definitions and reporting standards. Results indicated that total forest area declined by 3%, from 4128Mha in 1990 to 3999Mha in 2015. The annual rate of net forest loss halved from 7.3Mhay-1 in the 1990s to 3.3Mhay-1 between 2010 and 2015. Natural forest area declined from 3961Mha to 3721Mha between 1990 and 2015, while planted forest (including rubber plantations) increased from 168Mha to 278Mha. From 2010 to 2015, tropical forest area declined at a rate of 5.5Mhay-1 - only 58% of the rate in the 1990s - while temperate forest area expanded at a rate of 2.2Mhay-1. Boreal and sub-tropical forest areas showed little net change. Forest area expanded in Europe, North America, the Caribbean, East Asia, and Western-Central Asia, but declined in Central America, South America, South and Southeast Asia and all three regions in Africa. Analysis indicates that, between 1990 and 2015, 13 tropical countries may have either passed through their forest transitions from net forest loss to net forest expansion, or continued along the path of forest expansion that follows these transitions. Comparing FRA 2015 statistics with the findings of global and pan-tropical remote-sensing forest area surveys was challenging, due to differences in assessment periods, the definitions of forest and remote sensing methods. More investment in national and global forest monitoring is needed to provide better support for international initiatives to increase sustainable forest management and reduce forest loss, particularly in tropical countries.", "author" : [ { "dropping-particle" : "", "family" : "Keenan", "given" : "Rodney", "non-dropping-particle" : "", "parse-names" : false, "suffix" : "" }, { "dropping-particle" : "", "family" : "Reams", "given" : "Gregory", "non-dropping-particle" : "", "parse-names" : false, "suffix" : "" }, { "dropping-particle" : "", "family" : "Achard", "given" : "Frederic", "non-dropping-particle" : "", "parse-names" : false, "suffix" : "" }, { "dropping-particle" : "", "family" : "De-Freitas", "given" : "Joberto", "non-dropping-particle" : "", "parse-names" : false, "suffix" : "" }, { "dropping-particle" : "", "family" : "Grainger", "given" : "Alan", "non-dropping-particle" : "", "parse-names" : false, "suffix" : "" }, { "dropping-particle" : "", "family" : "Lindquist", "given" : "Erik", "non-dropping-particle" : "", "parse-names" : false, "suffix" : "" } ], "container-title" : "Forest Ecology and Management", "id" : "ITEM-1", "issued" : { "date-parts" : [ [ "2015" ] ] }, "page" : "9-20", "title" : "Dynamics of global forest area: results from the FAO Global Forest Resources Assessment 2015", "type" : "article-journal", "volume" : "352" }, "uris" : [ "http://www.mendeley.com/documents/?uuid=44d52952-e109-4e2a-bb7c-c40e756745d3" ] } ], "mendeley" : { "formattedCitation" : "(Keenan et al., 2015)", "plainTextFormattedCitation" : "(Keenan et al., 2015)", "previouslyFormattedCitation" : "(Keenan et al., 2015)" }, "properties" : { "noteIndex" : 0 }, "schema" : "https://github.com/citation-style-language/schema/raw/master/csl-citation.json" }</w:instrText>
      </w:r>
      <w:r w:rsidR="004255E7" w:rsidRPr="008608AA">
        <w:fldChar w:fldCharType="separate"/>
      </w:r>
      <w:r w:rsidR="004255E7" w:rsidRPr="008608AA">
        <w:rPr>
          <w:noProof/>
        </w:rPr>
        <w:t>(Keenan et al., 2015)</w:t>
      </w:r>
      <w:r w:rsidR="004255E7" w:rsidRPr="008608AA">
        <w:fldChar w:fldCharType="end"/>
      </w:r>
      <w:r w:rsidR="004255E7" w:rsidRPr="008608AA">
        <w:t xml:space="preserve">. Some 92% of the non-federal land in the USA that was in forest land use in 1982, remained as forest in 2007. Of the 12.8 million hectares of forest land that was transformed during this period, most (54%) was converted to developed lands; 22% went into pasture or rangeland, 14% changed to cropland or other another type of rural land, and about 10% went into water areas or federal ownership </w:t>
      </w:r>
      <w:r w:rsidR="004255E7" w:rsidRPr="008608AA">
        <w:fldChar w:fldCharType="begin" w:fldLock="1"/>
      </w:r>
      <w:r w:rsidR="004255E7" w:rsidRPr="008608AA">
        <w:instrText>ADDIN CSL_CITATION { "citationItems" : [ { "id" : "ITEM-1", "itemData" : { "author" : [ { "dropping-particle" : "", "family" : "USDA", "given" : "", "non-dropping-particle" : "", "parse-names" : false, "suffix" : "" } ], "id" : "ITEM-1", "issued" : { "date-parts" : [ [ "2007" ] ] }, "title" : "Land Use Status and Trends 2007", "type" : "report" }, "uris" : [ "http://www.mendeley.com/documents/?uuid=27b770f1-023d-4627-812c-8c3371f588b8" ] } ], "mendeley" : { "formattedCitation" : "(USDA, 2007)", "plainTextFormattedCitation" : "(USDA, 2007)", "previouslyFormattedCitation" : "(USDA, 2007)" }, "properties" : { "noteIndex" : 0 }, "schema" : "https://github.com/citation-style-language/schema/raw/master/csl-citation.json" }</w:instrText>
      </w:r>
      <w:r w:rsidR="004255E7" w:rsidRPr="008608AA">
        <w:fldChar w:fldCharType="separate"/>
      </w:r>
      <w:r w:rsidR="004255E7" w:rsidRPr="008608AA">
        <w:rPr>
          <w:noProof/>
        </w:rPr>
        <w:t>(USDA, 2007)</w:t>
      </w:r>
      <w:r w:rsidR="004255E7" w:rsidRPr="008608AA">
        <w:fldChar w:fldCharType="end"/>
      </w:r>
      <w:r w:rsidR="004255E7" w:rsidRPr="008608AA">
        <w:t xml:space="preserve">. </w:t>
      </w:r>
    </w:p>
    <w:p w14:paraId="1F8EE101" w14:textId="176A6D43" w:rsidR="004255E7" w:rsidRDefault="004255E7" w:rsidP="00843724">
      <w:pPr>
        <w:pStyle w:val="NormalWeb"/>
        <w:rPr>
          <w:lang w:val="en-US"/>
        </w:rPr>
      </w:pPr>
      <w:r w:rsidRPr="008608AA">
        <w:rPr>
          <w:color w:val="000000"/>
          <w:lang w:val="en-US"/>
        </w:rPr>
        <w:t xml:space="preserve">The arrival in </w:t>
      </w:r>
      <w:r w:rsidRPr="008608AA">
        <w:rPr>
          <w:lang w:val="en-US"/>
        </w:rPr>
        <w:t xml:space="preserve">recent decades of exotic pests and pathogens has caused declines in some of the most highly abundant tree species and genera in North America, including elms and hemlocks </w:t>
      </w:r>
      <w:r w:rsidRPr="008608AA">
        <w:rPr>
          <w:lang w:val="en-US"/>
        </w:rPr>
        <w:fldChar w:fldCharType="begin" w:fldLock="1"/>
      </w:r>
      <w:r w:rsidRPr="008608AA">
        <w:rPr>
          <w:lang w:val="en-US"/>
        </w:rPr>
        <w:instrText>ADDIN CSL_CITATION { "citationItems" : [ { "id" : "ITEM-1", "itemData" : { "DOI" : "10.1046/j.1365-2699.2002.00765.x", "ISBN" : "1365-2699", "ISSN" : "03050270", "abstract" : "Aim The hemlock woolly adelgid (HWA; Adelges tsugae Annand), a small, aphid-like insect native to Japan, is currently migrating northward through eastern North America and threatens to eliminate eastern hemlock [Tsuga canadensis (L.) Carriere], one of the most abundant, long-lived shade tolerant species, across its range. The major objectives of this study were: (1) to characterize the pre-HWA distribution, composition, and structure of hemlock stands; (2) to characterize the spatial patterns of damage generated by HWA across southern New England since the time of its arrival in 1985; and (3) to examine environmental and stand factors that are associated with declines in crown vigour and mortality of hemlock. Location Our study was conducted in a 4900-km study region extending from Long Island Sound northward to the Massachusetts border and including the Connecticut River Valley in Connecticut, USA. Methods Aerial photographs and extensive field study were used to map and develop GIS overlays of 1000 hemlock stands in our study region. Intensive sampling of a random selection of 114 hemlock stands across the study area was used to document patterns of hemlock infestation, vigour, and mortality in relation to stand and site characteristics. Mantel tests were utilized to assess the relative importance of environmental and stand variables in controlling the intensity of HWA infestation and damage. Results Most stands were located along ridge tops, steep hillsides and narrow valleys. Hemlock importance values ranged from 22 to 96% and stand densities varied from 300 to 1450 stems ha . Adelgid presence and adelgid-induced hemlock mortality were found in 88 and 74% of the sampled forests, respectively. Approximately 25% of stands were logged recently, ranging in intensity from partial hemlock cutting to large clearcuts. A geographical trend in reduced HWA infestation intensity and tree mortality and enhanced crown vigour of overstory and understory hemlock occurs from south to north, coincident with the temporal colonization pattern of HWA. Mantel analyses indicated that patterns of HWA infestation, hemlock mortality, and crown vigour were most strongly correlated with latitude. Mortality was also weakly related to aspect and stand size. Average mortality was highest on western aspects but exceeded 20% on most slopes. Remaining trees averaged over 50% foliar loss, with no significant difference among aspects. Main conclusions Results suggest that as HWA becom\u2026", "author" : [ { "dropping-particle" : "", "family" : "Orwig", "given" : "David A.", "non-dropping-particle" : "", "parse-names" : false, "suffix" : "" }, { "dropping-particle" : "", "family" : "Foster", "given" : "David R.", "non-dropping-particle" : "", "parse-names" : false, "suffix" : "" }, { "dropping-particle" : "", "family" : "Mausel", "given" : "David L.", "non-dropping-particle" : "", "parse-names" : false, "suffix" : "" } ], "container-title" : "Journal of Biogeography", "id" : "ITEM-1", "issue" : "10-11", "issued" : { "date-parts" : [ [ "2002" ] ] }, "page" : "1475-1487", "title" : "Landscape patterns of hemlock decline in New England due to the introduced hemlock woolly adelgid", "type" : "article-journal", "volume" : "29" }, "uris" : [ "http://www.mendeley.com/documents/?uuid=8c293202-99fc-4b59-99de-12640ca090e5" ] } ], "mendeley" : { "formattedCitation" : "(Orwig, Foster, &amp; Mausel, 2002)", "manualFormatting" : "(Orwig et al., 2002)", "plainTextFormattedCitation" : "(Orwig, Foster, &amp; Mausel, 2002)", "previouslyFormattedCitation" : "(Orwig, Foster, &amp; Mausel, 2002)" }, "properties" : { "noteIndex" : 0 }, "schema" : "https://github.com/citation-style-language/schema/raw/master/csl-citation.json" }</w:instrText>
      </w:r>
      <w:r w:rsidRPr="008608AA">
        <w:rPr>
          <w:lang w:val="en-US"/>
        </w:rPr>
        <w:fldChar w:fldCharType="separate"/>
      </w:r>
      <w:r w:rsidRPr="008608AA">
        <w:rPr>
          <w:noProof/>
          <w:lang w:val="en-US"/>
        </w:rPr>
        <w:t>(Orwig et al., 2002)</w:t>
      </w:r>
      <w:r w:rsidRPr="008608AA">
        <w:rPr>
          <w:lang w:val="en-US"/>
        </w:rPr>
        <w:fldChar w:fldCharType="end"/>
      </w:r>
      <w:r w:rsidRPr="008608AA">
        <w:rPr>
          <w:lang w:val="en-US"/>
        </w:rPr>
        <w:t xml:space="preserve"> and ash and oaks </w:t>
      </w:r>
      <w:r w:rsidRPr="008608AA">
        <w:rPr>
          <w:lang w:val="en-US"/>
        </w:rPr>
        <w:fldChar w:fldCharType="begin" w:fldLock="1"/>
      </w:r>
      <w:r w:rsidRPr="008608AA">
        <w:rPr>
          <w:lang w:val="en-US"/>
        </w:rPr>
        <w:instrText>ADDIN CSL_CITATION { "citationItems" : [ { "id" : "ITEM-1", "itemData" : { "DOI" : "10.1094/PDIS-12-10-0944", "ISBN" : "0191-2917", "ISSN" : "0191-2917", "abstract" : "Oak wilt, caused by the fungus Ceratocystis fagacearum (Bretz) J. Hunt, is an important disease of oaks (Quercus spp.) in the east- ern United States. It has been particularly destructive in the North Central states and Texas. Oak wilt is one of several significant oak diseases that threaten oak health worldwide. The significant gains made in our knowledge of the biology and epidemiology of this vascular wilt disease during the past six decades has led to devel- opment of various management strategies. Interest in oak wilt research and management has \u201cwaxed and waned\u201d since the pathogen was initially discovered in the early 1940s (61). This ambivalence, accompanied by emphasis on newly emerging oak diseases such as sudden oak death (107) and Raf- faelea-caused wilt of oaks in Japan and Korea (82,83), could have very costly consequences. Today, C. fagacearum remains a deadly pathogen, particularly of red and live oak species, and the fungus has demonstrated the capacity to impact a variety of ecosystems with disastrous results (6). The spread of the disease into new re- gions has been rather slow, but periodic and localized outbreaks frequently occur within the established range. Disease intensifica- tion is currently of particular concern in Michigan (J. O\u2019Brien, personal communication). Oak wilt has proven to be a manageable disease in the relatively few areas where consistent and long-term disease suppression programs occur. Successful disease control depends on early diagnosis of the problem followed by creative use of the available management tools under variable circumstances. These seemingly simple steps have proven challenging to imple- ment and will require continual educational efforts. The goal of this article is to illustrate the complex relationship between Quer- cus and C. fagacearum as well as to describe how these relation- ships influence our ability, or inability, to use various management tools to minimize future losses of the very important oak resource.", "author" : [ { "dropping-particle" : "", "family" : "Juzwik", "given" : "Jennifer", "non-dropping-particle" : "", "parse-names" : false, "suffix" : "" }, { "dropping-particle" : "", "family" : "Appel", "given" : "David N.", "non-dropping-particle" : "", "parse-names" : false, "suffix" : "" }, { "dropping-particle" : "", "family" : "MacDonald", "given" : "William L.", "non-dropping-particle" : "", "parse-names" : false, "suffix" : "" }, { "dropping-particle" : "", "family" : "Burks", "given" : "Susan", "non-dropping-particle" : "", "parse-names" : false, "suffix" : "" } ], "container-title" : "Plant Disease", "id" : "ITEM-1", "issue" : "8", "issued" : { "date-parts" : [ [ "2011" ] ] }, "page" : "888-900", "title" : "Challenges and successes in managing oak wilt in the United States", "type" : "article-journal", "volume" : "95" }, "uris" : [ "http://www.mendeley.com/documents/?uuid=051b84d7-682b-4f23-833e-dc81796d4c31" ] } ], "mendeley" : { "formattedCitation" : "(Juzwik, Appel, MacDonald, &amp; Burks, 2011)", "manualFormatting" : "(Juzwik et al., 2011)", "plainTextFormattedCitation" : "(Juzwik, Appel, MacDonald, &amp; Burks, 2011)", "previouslyFormattedCitation" : "(Juzwik, Appel, MacDonald, &amp; Burks, 2011)" }, "properties" : { "noteIndex" : 0 }, "schema" : "https://github.com/citation-style-language/schema/raw/master/csl-citation.json" }</w:instrText>
      </w:r>
      <w:r w:rsidRPr="008608AA">
        <w:rPr>
          <w:lang w:val="en-US"/>
        </w:rPr>
        <w:fldChar w:fldCharType="separate"/>
      </w:r>
      <w:r w:rsidRPr="008608AA">
        <w:rPr>
          <w:noProof/>
          <w:lang w:val="en-US"/>
        </w:rPr>
        <w:t>(Juzwik et al., 2011)</w:t>
      </w:r>
      <w:r w:rsidRPr="008608AA">
        <w:rPr>
          <w:lang w:val="en-US"/>
        </w:rPr>
        <w:fldChar w:fldCharType="end"/>
      </w:r>
      <w:r w:rsidRPr="008608AA">
        <w:rPr>
          <w:lang w:val="en-US"/>
        </w:rPr>
        <w:t xml:space="preserve">. Tree mortality caused by insects and diseases was reported on nearly 1.82 million hectares in the USA in 2013 </w:t>
      </w:r>
      <w:r w:rsidRPr="008608AA">
        <w:rPr>
          <w:lang w:val="en-US"/>
        </w:rPr>
        <w:fldChar w:fldCharType="begin" w:fldLock="1"/>
      </w:r>
      <w:r w:rsidRPr="008608AA">
        <w:rPr>
          <w:lang w:val="en-US"/>
        </w:rPr>
        <w:instrText>ADDIN CSL_CITATION { "citationItems" : [ { "id" : "ITEM-1", "itemData" : { "author" : [ { "dropping-particle" : "", "family" : "USDA", "given" : "", "non-dropping-particle" : "", "parse-names" : false, "suffix" : "" } ], "id" : "ITEM-1", "issued" : { "date-parts" : [ [ "2015" ] ] }, "publisher" : "US Forest service", "publisher-place" : "Washington D.C., USA", "title" : "Major Forest Insect and Disease Conditions in the United States: 2013", "type" : "report" }, "uris" : [ "http://www.mendeley.com/documents/?uuid=642bf2f7-bfa1-43a8-804d-e7ad7719682c" ] } ], "mendeley" : { "formattedCitation" : "(USDA, 2015)", "plainTextFormattedCitation" : "(USDA, 2015)", "previouslyFormattedCitation" : "(USDA, 2015)" }, "properties" : { "noteIndex" : 0 }, "schema" : "https://github.com/citation-style-language/schema/raw/master/csl-citation.json" }</w:instrText>
      </w:r>
      <w:r w:rsidRPr="008608AA">
        <w:rPr>
          <w:lang w:val="en-US"/>
        </w:rPr>
        <w:fldChar w:fldCharType="separate"/>
      </w:r>
      <w:r w:rsidRPr="008608AA">
        <w:rPr>
          <w:noProof/>
          <w:lang w:val="en-US"/>
        </w:rPr>
        <w:t>(USDA, 2015)</w:t>
      </w:r>
      <w:r w:rsidRPr="008608AA">
        <w:rPr>
          <w:lang w:val="en-US"/>
        </w:rPr>
        <w:fldChar w:fldCharType="end"/>
      </w:r>
      <w:r w:rsidRPr="008608AA">
        <w:rPr>
          <w:lang w:val="en-US"/>
        </w:rPr>
        <w:t xml:space="preserve">. Weed et al. </w:t>
      </w:r>
      <w:r w:rsidRPr="008608AA">
        <w:rPr>
          <w:lang w:val="en-US"/>
        </w:rPr>
        <w:fldChar w:fldCharType="begin" w:fldLock="1"/>
      </w:r>
      <w:r w:rsidRPr="008608AA">
        <w:rPr>
          <w:lang w:val="en-US"/>
        </w:rPr>
        <w:instrText>ADDIN CSL_CITATION { "citationItems" : [ { "id" : "ITEM-1", "itemData" : { "author" : [ { "dropping-particle" : "", "family" : "Weed", "given" : "Aaron S.", "non-dropping-particle" : "", "parse-names" : false, "suffix" : "" }, { "dropping-particle" : "", "family" : "Ayres", "given" : "Matthew P.", "non-dropping-particle" : "", "parse-names" : false, "suffix" : "" }, { "dropping-particle" : "", "family" : "Hicke", "given" : "Jeffrey A.", "non-dropping-particle" : "", "parse-names" : false, "suffix" : "" } ], "container-title" : "Ecological Monographs", "id" : "ITEM-1", "issue" : "4", "issued" : { "date-parts" : [ [ "2013" ] ] }, "page" : "441-470", "title" : "Consequences of climate change for biotic disturbances in North American forests", "type" : "article-journal", "volume" : "83" }, "uris" : [ "http://www.mendeley.com/documents/?uuid=953fa1d8-2e21-4201-99f7-c79eb07c608a" ] } ], "mendeley" : { "formattedCitation" : "(Weed, Ayres, &amp; Hicke, 2013)", "manualFormatting" : "(2013)", "plainTextFormattedCitation" : "(Weed, Ayres, &amp; Hicke, 2013)", "previouslyFormattedCitation" : "(Weed, Ayres, &amp; Hicke, 2013)" }, "properties" : { "noteIndex" : 0 }, "schema" : "https://github.com/citation-style-language/schema/raw/master/csl-citation.json" }</w:instrText>
      </w:r>
      <w:r w:rsidRPr="008608AA">
        <w:rPr>
          <w:lang w:val="en-US"/>
        </w:rPr>
        <w:fldChar w:fldCharType="separate"/>
      </w:r>
      <w:r w:rsidRPr="008608AA">
        <w:rPr>
          <w:noProof/>
          <w:lang w:val="en-US"/>
        </w:rPr>
        <w:t>(2013)</w:t>
      </w:r>
      <w:r w:rsidRPr="008608AA">
        <w:rPr>
          <w:lang w:val="en-US"/>
        </w:rPr>
        <w:fldChar w:fldCharType="end"/>
      </w:r>
      <w:r w:rsidRPr="008608AA">
        <w:rPr>
          <w:lang w:val="en-US"/>
        </w:rPr>
        <w:t xml:space="preserve"> identified 27 insects (6 non-indigenous) and 22 diseases (9 non-indigenous) that notably disturb North American forests. </w:t>
      </w:r>
      <w:r w:rsidRPr="008608AA">
        <w:rPr>
          <w:color w:val="000000"/>
          <w:lang w:val="en-US"/>
        </w:rPr>
        <w:t xml:space="preserve">In Canada, </w:t>
      </w:r>
      <w:r w:rsidRPr="008608AA">
        <w:rPr>
          <w:lang w:val="en-US"/>
        </w:rPr>
        <w:t>the mountain pine beetle has killed trees on 20 million ha in British Columbia and Alberta. European earthworms,</w:t>
      </w:r>
      <w:r w:rsidRPr="008608AA">
        <w:rPr>
          <w:color w:val="000000"/>
          <w:lang w:val="en-US"/>
        </w:rPr>
        <w:t xml:space="preserve"> arriving in plant root balls and introduced for use as fishing bait, have invaded</w:t>
      </w:r>
      <w:r w:rsidRPr="008608AA">
        <w:rPr>
          <w:lang w:val="en-US"/>
        </w:rPr>
        <w:t xml:space="preserve"> Canada and many parts of the USA</w:t>
      </w:r>
      <w:r w:rsidR="00A5177F" w:rsidRPr="008608AA">
        <w:rPr>
          <w:lang w:val="en-US"/>
        </w:rPr>
        <w:t xml:space="preserve"> and </w:t>
      </w:r>
      <w:r w:rsidRPr="008608AA">
        <w:rPr>
          <w:lang w:val="en-US"/>
        </w:rPr>
        <w:t>have caused population declines in many native u</w:t>
      </w:r>
      <w:r w:rsidRPr="008608AA">
        <w:rPr>
          <w:color w:val="000000"/>
          <w:lang w:val="en-US"/>
        </w:rPr>
        <w:t xml:space="preserve">nderstory herbaceous plant </w:t>
      </w:r>
      <w:r w:rsidRPr="00360ADC">
        <w:rPr>
          <w:lang w:val="en-US"/>
        </w:rPr>
        <w:t>species</w:t>
      </w:r>
      <w:r w:rsidRPr="008608AA">
        <w:rPr>
          <w:color w:val="000000"/>
          <w:lang w:val="en-US"/>
        </w:rPr>
        <w:t xml:space="preserve"> </w:t>
      </w:r>
      <w:r w:rsidRPr="008608AA">
        <w:rPr>
          <w:color w:val="000000"/>
          <w:lang w:val="en-US"/>
        </w:rPr>
        <w:fldChar w:fldCharType="begin" w:fldLock="1"/>
      </w:r>
      <w:r w:rsidRPr="008608AA">
        <w:rPr>
          <w:color w:val="000000"/>
          <w:lang w:val="en-US"/>
        </w:rPr>
        <w:instrText>ADDIN CSL_CITATION { "citationItems" : [ { "id" : "ITEM-1", "itemData" : { "DOI" : "10.1111/j.1523-1739.2007.00740.x", "ISBN" : "0888-8892", "ISSN" : "08888892", "PMID" : "17650250", "abstract" : "The invasion of non-native earthworms (Lumbricus spp.) into a small number of intensively studied stands of northern hardwood forest has been linked to declines in plant diversity and the local extirpation of one threatened species. It is unknown, however, whether these changes have occurred across larger regions of hardwood forests, which plant species are most vulnerable, or with which earthworm species such changes are associated most closely. To address these issues we conducted a regional survey in the Chippewa and Chequamegon national forests in Minnesota and Wisconsin (U.S.A.), respectively. We sampled earthworms, soils, and vegetation, examined deer browse in 20 mature, sugar-maple-dominated forest stands in each national forest, and analyzed the relationship between invasive earthworms and vascular plant species richness and composition. Invasion by Lumbricus was a strong indicator of reduced plant richness in both national forests. The mass of Lumbricus juveniles was significantly and negatively related to plant-species richness in both forests. In addition, Lumbricus was a significant factor affecting plant richness in a full model that included multiple variables. In the Chequamegon National Forest earthworm mass was associated with higher sedge cover and lower cover of sugar maple seedlings and several forb species. The trends were similar but not as pronounced in Chippewa, perhaps due to lower deer densities and different earthworm species composition. Our results provide regional evidence that invasion by Lumbricus species may be an important mechanism in reduced plant-species richness and changes in plant communities in mature forests dominated by sugar maples.", "author" : [ { "dropping-particle" : "", "family" : "Holdsworth", "given" : "Andrew R.", "non-dropping-particle" : "", "parse-names" : false, "suffix" : "" }, { "dropping-particle" : "", "family" : "Frelich", "given" : "Lee E.", "non-dropping-particle" : "", "parse-names" : false, "suffix" : "" }, { "dropping-particle" : "", "family" : "Reich", "given" : "Peter B.", "non-dropping-particle" : "", "parse-names" : false, "suffix" : "" } ], "container-title" : "Conservation Biology", "id" : "ITEM-1", "issue" : "4", "issued" : { "date-parts" : [ [ "2007" ] ] }, "page" : "997-1008", "title" : "Effects of earthworm invasion on plant species richness in northern hardwood forests", "type" : "article-journal", "volume" : "21" }, "uris" : [ "http://www.mendeley.com/documents/?uuid=3fbc5940-de1b-41f3-867a-831f175b68e3" ] }, { "id" : "ITEM-2", "itemData" : { "DOI" : "10.1016/j.biocon.2005.10.027", "ISBN" : "0006-3207", "ISSN" : "00063207", "abstract" : "Resurveys of plant communities provide valuable information on changes in species composition over time and clues about how species respond to environmental change. We report results from resurveys of 62 upland forest stands in northern Wisconsin and the western Upper Peninsula of Michigan first surveyed around 1950. We identify plant species that have significantly increased or decreased in frequency in 1 m2 quadrats ('winners' and 'losers') and evaluate the traits that distinguish these groups. Twenty-one winner species increased across sites (by 25-400%), while 21 loser species decreased (by 21-95%). Winners include both common, native species and five invading exotics. Many are grasses or sedges and most are abiotically pollinated or dispersed (e.g., Carex, which increased 286%). Losers are mostly rarer native forbs that rely on animals for pollination and/or dispersal. Losers appear sensitive to desiccation, anthropogenic disturbance, and/or herbivory by white-tailed deer (e.g., Streptopus roseus, which decreased 73%). Declines in loser species are heterogeneous and stochastic across sites whereas increases in winners are more uniform and deterministic. Increases in common widespread native species account for most of the community change we observe across sites. The fact that winners resist or tolerate deer herbivory while many losers are sensitive to deer suggests that deer may be a key driver of the shifts we observe in these forests. ?? 2005 Elsevier Ltd. All rights reserved.", "author" : [ { "dropping-particle" : "", "family" : "Wiegmann", "given" : "Shannon M.", "non-dropping-particle" : "", "parse-names" : false, "suffix" : "" }, { "dropping-particle" : "", "family" : "Waller", "given" : "Donald M.", "non-dropping-particle" : "", "parse-names" : false, "suffix" : "" } ], "container-title" : "Biological Conservation", "id" : "ITEM-2", "issue" : "1", "issued" : { "date-parts" : [ [ "2006" ] ] }, "page" : "109-123", "title" : "Fifty years of change in northern upland forest understories: identity and traits of \"winner\" and \"loser\" plant species", "type" : "article-journal", "volume" : "129" }, "uris" : [ "http://www.mendeley.com/documents/?uuid=aaba8352-d63e-4d6a-b569-de6a732e3c46" ] } ], "mendeley" : { "formattedCitation" : "(Holdsworth, Frelich, &amp; Reich, 2007; Wiegmann &amp; Waller, 2006)", "manualFormatting" : "(Holdsworth et al., 2007; Wiegmann &amp; Waller, 2006)", "plainTextFormattedCitation" : "(Holdsworth, Frelich, &amp; Reich, 2007; Wiegmann &amp; Waller, 2006)", "previouslyFormattedCitation" : "(Holdsworth, Frelich, &amp; Reich, 2007; Wiegmann &amp; Waller, 2006)" }, "properties" : { "noteIndex" : 0 }, "schema" : "https://github.com/citation-style-language/schema/raw/master/csl-citation.json" }</w:instrText>
      </w:r>
      <w:r w:rsidRPr="008608AA">
        <w:rPr>
          <w:color w:val="000000"/>
          <w:lang w:val="en-US"/>
        </w:rPr>
        <w:fldChar w:fldCharType="separate"/>
      </w:r>
      <w:r w:rsidRPr="008608AA">
        <w:rPr>
          <w:noProof/>
          <w:color w:val="000000"/>
          <w:lang w:val="en-US"/>
        </w:rPr>
        <w:t>(Holdsworth et al., 2007; Wiegmann &amp; Waller, 2006)</w:t>
      </w:r>
      <w:r w:rsidRPr="008608AA">
        <w:rPr>
          <w:color w:val="000000"/>
          <w:lang w:val="en-US"/>
        </w:rPr>
        <w:fldChar w:fldCharType="end"/>
      </w:r>
      <w:r w:rsidRPr="008608AA">
        <w:rPr>
          <w:color w:val="000000"/>
          <w:lang w:val="en-US"/>
        </w:rPr>
        <w:t xml:space="preserve">. The worms feed on the upper layer of the forest soil, where symbiotic fungi occur, causing fungi as well as the plant species that host them to decline and leading to changes in soil properties, nutrient cycling and ecosystem functions </w:t>
      </w:r>
      <w:r w:rsidRPr="008608AA">
        <w:rPr>
          <w:lang w:val="en-US"/>
        </w:rPr>
        <w:fldChar w:fldCharType="begin" w:fldLock="1"/>
      </w:r>
      <w:r w:rsidRPr="008608AA">
        <w:rPr>
          <w:lang w:val="en-US"/>
        </w:rPr>
        <w:instrText>ADDIN CSL_CITATION { "citationItems" : [ { "id" : "ITEM-1", "itemData" : { "DOI" : "10.1007/s10530-006-9019-3", "author" : [ { "dropping-particle" : "", "family" : "Frelich", "given" : "L.E.", "non-dropping-particle" : "", "parse-names" : false, "suffix" : "" }, { "dropping-particle" : "", "family" : "Hale", "given" : "C.M.", "non-dropping-particle" : "", "parse-names" : false, "suffix" : "" }, { "dropping-particle" : "", "family" : "Scheu", "given" : "S.", "non-dropping-particle" : "", "parse-names" : false, "suffix" : "" }, { "dropping-particle" : "", "family" : "Holdsworth", "given" : "A.R.", "non-dropping-particle" : "", "parse-names" : false, "suffix" : "" }, { "dropping-particle" : "", "family" : "Heneghan", "given" : "L.", "non-dropping-particle" : "", "parse-names" : false, "suffix" : "" }, { "dropping-particle" : "", "family" : "Bohlen", "given" : "P.J.", "non-dropping-particle" : "", "parse-names" : false, "suffix" : "" }, { "dropping-particle" : "", "family" : "Reich", "given" : "P.B.", "non-dropping-particle" : "", "parse-names" : false, "suffix" : "" } ], "container-title" : "Biological Invasions", "id" : "ITEM-1", "issue" : "2066", "issued" : { "date-parts" : [ [ "2006" ] ] }, "page" : "1235-1245", "title" : "Earthworm invasion into previously earthworm-free temperate and boreal forests", "type" : "chapter", "volume" : "8" }, "uris" : [ "http://www.mendeley.com/documents/?uuid=e55c8984-e044-49c1-b010-9a840e34a438" ] }, { "id" : "ITEM-2", "itemData" : { "DOI" : "10.1007/978-1-4020-5429-7_9", "author" : [ { "dropping-particle" : "", "family" : "Hendrix", "given" : "P.F.", "non-dropping-particle" : "", "parse-names" : false, "suffix" : "" }, { "dropping-particle" : "", "family" : "Baker", "given" : "G.H.", "non-dropping-particle" : "", "parse-names" : false, "suffix" : "" }, { "dropping-particle" : "", "family" : "Calaham", "given" : "M.A.", "non-dropping-particle" : "", "parse-names" : false, "suffix" : "" }, { "dropping-particle" : "", "family" : "Damoff", "given" : "G.A.", "non-dropping-particle" : "", "parse-names" : false, "suffix" : "" }, { "dropping-particle" : "", "family" : "Fragoso", "given" : "C.", "non-dropping-particle" : "", "parse-names" : false, "suffix" : "" }, { "dropping-particle" : "", "family" : "Gonzalez", "given" : "G.", "non-dropping-particle" : "", "parse-names" : false, "suffix" : "" }, { "dropping-particle" : "", "family" : "James", "given" : "S.W.", "non-dropping-particle" : "", "parse-names" : false, "suffix" : "" }, { "dropping-particle" : "", "family" : "Lachnicht", "given" : "S.L.", "non-dropping-particle" : "", "parse-names" : false, "suffix" : "" }, { "dropping-particle" : "", "family" : "Winsome", "given" : "T.", "non-dropping-particle" : "", "parse-names" : false, "suffix" : "" }, { "dropping-particle" : "", "family" : "Zou", "given" : "X.", "non-dropping-particle" : "", "parse-names" : false, "suffix" : "" } ], "container-title" : "Biological Invasions", "id" : "ITEM-2", "issue" : "6", "issued" : { "date-parts" : [ [ "2006" ] ] }, "page" : "1287-1300", "title" : "Invasion of exotic earthworms into ecosystems inhabited by native earthworms", "type" : "article-journal", "volume" : "8" }, "uris" : [ "http://www.mendeley.com/documents/?uuid=540dad9c-a988-4469-bb22-0dcc5bf43701" ] } ], "mendeley" : { "formattedCitation" : "(Frelich et al., 2006; Hendrix et al., 2006)", "manualFormatting" : "(Frelich et al., 2006; Hendrix et al., 2006", "plainTextFormattedCitation" : "(Frelich et al., 2006; Hendrix et al., 2006)", "previouslyFormattedCitation" : "(Frelich et al., 2006; Hendrix et al., 2006)" }, "properties" : { "noteIndex" : 0 }, "schema" : "https://github.com/citation-style-language/schema/raw/master/csl-citation.json" }</w:instrText>
      </w:r>
      <w:r w:rsidRPr="008608AA">
        <w:rPr>
          <w:lang w:val="en-US"/>
        </w:rPr>
        <w:fldChar w:fldCharType="separate"/>
      </w:r>
      <w:r w:rsidRPr="008608AA">
        <w:rPr>
          <w:noProof/>
          <w:lang w:val="en-US"/>
        </w:rPr>
        <w:t>(Frelich et al., 2006; Hendrix et al., 2006</w:t>
      </w:r>
      <w:r w:rsidRPr="008608AA">
        <w:rPr>
          <w:lang w:val="en-US"/>
        </w:rPr>
        <w:fldChar w:fldCharType="end"/>
      </w:r>
      <w:r w:rsidRPr="008608AA">
        <w:rPr>
          <w:lang w:val="en-US"/>
        </w:rPr>
        <w:t xml:space="preserve">; </w:t>
      </w:r>
      <w:r w:rsidRPr="008608AA">
        <w:rPr>
          <w:lang w:val="en-US"/>
        </w:rPr>
        <w:fldChar w:fldCharType="begin" w:fldLock="1"/>
      </w:r>
      <w:r w:rsidRPr="008608AA">
        <w:rPr>
          <w:lang w:val="en-US"/>
        </w:rPr>
        <w:instrText>ADDIN CSL_CITATION { "citationItems" : [ { "id" : "ITEM-1", "itemData" : { "DOI" : "10.1007/s10021-014-9831-z", "ISBN" : "1432-9840", "ISSN" : "14350629", "abstract" : "Invasive exotic earthworms are significantly influencing understory community composition, soil, and ecosystem processes in northern hardwood forests in North America, but their effect on the retention of nitrogen (N) has been inconclusive. We examined this in two northern hardwood forest sites in New York state, USA through a tracer study. In both spring and fall, we added tracer amounts of 15N as nitrate\u2014to simulate atmospheric deposition\u2014with the biologically less active tracer bromide (Br\u2212) to areas both with and without large populations of invasive earthworms. Total recovery of 15N was lower in earthworm-invaded plots, largely due to less retention in litter and upper soil horizons. Although the strong relationship between retention in the upper soil horizons and total 15N recovery suggests that earthworm destruction of the forest floor may be one mechanism reducing the capacity for N retention, in some cases the mineral soil in earthworm-invaded plots retained substantial N. Biotic pools, particularly litter and microbial biomass, retained significantly less 15N in earthworm-invaded plots than in their uninvaded counterparts. In plots invaded by earthworms, negative effects of earthworms on trees were revealed through root-uptake assays suggesting somewhat greater plant demand for ammonium in the spring and in lower 15N recovery in maple seedlings the year following tracer addition. Although similar patterns of Br\u2212 movement across treatments suggested that earthworms had smaller effects on hydrologic tracer movement than expected, they appear to have significant effects on the biological processes that underlie N retention.", "author" : [ { "dropping-particle" : "", "family" : "Ewing", "given" : "Holly A.", "non-dropping-particle" : "", "parse-names" : false, "suffix" : "" }, { "dropping-particle" : "", "family" : "Tuininga", "given" : "Amy R.", "non-dropping-particle" : "", "parse-names" : false, "suffix" : "" }, { "dropping-particle" : "", "family" : "Groffman", "given" : "Peter M.", "non-dropping-particle" : "", "parse-names" : false, "suffix" : "" }, { "dropping-particle" : "", "family" : "Weathers", "given" : "Kathleen C.", "non-dropping-particle" : "", "parse-names" : false, "suffix" : "" }, { "dropping-particle" : "", "family" : "Fahey", "given" : "Timothy J.", "non-dropping-particle" : "", "parse-names" : false, "suffix" : "" }, { "dropping-particle" : "", "family" : "Fisk", "given" : "Melany C.", "non-dropping-particle" : "", "parse-names" : false, "suffix" : "" }, { "dropping-particle" : "", "family" : "Bohlen", "given" : "Patrick J.", "non-dropping-particle" : "", "parse-names" : false, "suffix" : "" }, { "dropping-particle" : "", "family" : "Suarez", "given" : "Esteban", "non-dropping-particle" : "", "parse-names" : false, "suffix" : "" } ], "container-title" : "Ecosystems", "id" : "ITEM-1", "issue" : "2", "issued" : { "date-parts" : [ [ "2015" ] ] }, "page" : "328-342", "title" : "Earthworms reduce biotic 15-nitrogen retention in northern hardwood forests", "type" : "article-journal", "volume" : "18" }, "uris" : [ "http://www.mendeley.com/documents/?uuid=e60c9583-8349-4bec-9e30-299784bcc3d8" ] }, { "id" : "ITEM-2", "itemData" : { "DOI" : "10.1007/s10021-005-0066-x", "ISBN" : "1432-9840", "ISSN" : "14329840", "abstract" : "European earthworms are colonizing worm-free hardwood forests across North America. Leading edges of earthworm invasion in forests of northern Minnesota provide a rare opportunity to document changes in soil characteristics as earthworm invasions are occurring. Across leading edges of earthworm invasion in four northern hardwood stands, increasing total earthworm biomass was associated with rapid disappearance of the O horizon. Concurrently, the thickness, bulk density and total soil organic matter content of the A horizon increased, and it's percent organic matter and fine root density decreased. Different earthworm species assemblages influenced the magnitude and type of change in these soil parameters. Soil N and P availability were lower in plots with high earthworm biomass compared to plots with low worm biomass. Decreases in soil nitrogen availability associated with high earthworm biomass were reflected in decreased foliar nitrogen content for Carex pensylvanica, Acer saccharum and Asarum canadense but increased foliar N for Athyrium felixfemina. Overall, high earthworm biomass resulted in increased foliar carbon to nitrogen ratios. The effects of earthworm species assemblages on forest soil properties are related to their feeding and burrowing habits in addition to effects related to total biomass. The potential for large ecosystem consequences following exotic earthworm invasion has only recently been recognized by forest ecologists. In the face of rapid change and multiple pressures on native forest ecosystems, the impacts of earthworm invasion on forest soil structure and function must be considered", "author" : [ { "dropping-particle" : "", "family" : "Hale", "given" : "Cindy M.", "non-dropping-particle" : "", "parse-names" : false, "suffix" : "" }, { "dropping-particle" : "", "family" : "Frelich", "given" : "Lee E.", "non-dropping-particle" : "", "parse-names" : false, "suffix" : "" }, { "dropping-particle" : "", "family" : "Reich", "given" : "Peter B.", "non-dropping-particle" : "", "parse-names" : false, "suffix" : "" }, { "dropping-particle" : "", "family" : "Pastor", "given" : "John", "non-dropping-particle" : "", "parse-names" : false, "suffix" : "" } ], "container-title" : "Ecosystems", "id" : "ITEM-2", "issue" : "8", "issued" : { "date-parts" : [ [ "2005" ] ] }, "page" : "911-927", "title" : "Effects of European earthworm invasion on soil characteristics in northern hardwood forests of Minnesota, USA", "type" : "article-journal", "volume" : "8" }, "uris" : [ "http://www.mendeley.com/documents/?uuid=68ab8d50-8d3d-4021-a054-08ff3560e36f" ] }, { "id" : "ITEM-3", "itemData" : { "DOI" : "10.1007/s10021-014-9814-0", "ISBN" : "1432-9840", "ISSN" : "14350629", "abstract" : "Hardwood forests of the Great Lakes Region have evolved without earthworms since the Last Glacial Maximum, but are now being invaded by exotic earthworms introduced through agriculture, fishing, and logging. These exotic earthworms are known to increase soil mixing, affect soil carbon storage, and dramatically alter soil morphology. Here we show, using an active earthworm invasion chronosequence in a hardwood forest in northern Minnesota, that such disturbances by exotic earthworms profoundly affect inorganic nutrient cycles in soils. Soil nutrient elemental concentrations (Ca, Mg, K, and P) were normalized to biogeochemically inert Zr to quantify their losses and gains. This geochemical normalization revealed that elements were highly enriched in the A horizon of pre-invasion soils, suggesting tight biological recycling of the nutrients. In the early stage of invasion, epi-endogeic earthworm species appeared to have been responsible for further enriching the elements in the A horizon possibly by incorporating leaf organic matter (OM). The arrival of geophagous soil mixing endogeic earthworms, however, was associated with near complete losses of these enrichments, which was related to the loss of OM in soils. Our study highlights that elemental concentrations may not be sufficient to quantify biogeochemical effects of earthworms. The geochemical normalization approach, which has been widely used to study soil formation, may help when determining how invasive soil organisms affect soil elemental cycles. More generally, this approach has potential for much wider use in studies of belowground nutrient dynamics. The results support the existing ecological literature demonstrating that invasive earthworms may ultimately reduce productivity in formerly glaciated forests under climate change.", "author" : [ { "dropping-particle" : "", "family" : "Resner", "given" : "Kit", "non-dropping-particle" : "", "parse-names" : false, "suffix" : "" }, { "dropping-particle" : "", "family" : "Yoo", "given" : "Kyungsoo", "non-dropping-particle" : "", "parse-names" : false, "suffix" : "" }, { "dropping-particle" : "", "family" : "Sebestyen", "given" : "Stephen D.", "non-dropping-particle" : "", "parse-names" : false, "suffix" : "" }, { "dropping-particle" : "", "family" : "Aufdenkampe", "given" : "Anthony", "non-dropping-particle" : "", "parse-names" : false, "suffix" : "" }, { "dropping-particle" : "", "family" : "Hale", "given" : "Cindy", "non-dropping-particle" : "", "parse-names" : false, "suffix" : "" }, { "dropping-particle" : "", "family" : "Lyttle", "given" : "Amy", "non-dropping-particle" : "", "parse-names" : false, "suffix" : "" }, { "dropping-particle" : "", "family" : "Blum", "given" : "Alex", "non-dropping-particle" : "", "parse-names" : false, "suffix" : "" } ], "container-title" : "Ecosystems", "id" : "ITEM-3", "issue" : "1", "issued" : { "date-parts" : [ [ "2015" ] ] }, "page" : "89-102", "title" : "Invasive earthworms deplete key soil inorganic nutrients (Ca, Mg, K, and P) in a northern hardwood forest", "type" : "article-journal", "volume" : "18" }, "uris" : [ "http://www.mendeley.com/documents/?uuid=90f0ee56-0744-4621-af0b-18a1eb2299e5" ] } ], "mendeley" : { "formattedCitation" : "(Ewing et al., 2015; Hale, Frelich, Reich, &amp; Pastor, 2005; Resner et al., 2015)", "manualFormatting" : "Ewing et al., 2015; Hale et al., 2005; Resner et al., 2015)", "plainTextFormattedCitation" : "(Ewing et al., 2015; Hale, Frelich, Reich, &amp; Pastor, 2005; Resner et al., 2015)", "previouslyFormattedCitation" : "(Ewing et al., 2015; Hale, Frelich, Reich, &amp; Pastor, 2005; Resner et al., 2015)" }, "properties" : { "noteIndex" : 0 }, "schema" : "https://github.com/citation-style-language/schema/raw/master/csl-citation.json" }</w:instrText>
      </w:r>
      <w:r w:rsidRPr="008608AA">
        <w:rPr>
          <w:lang w:val="en-US"/>
        </w:rPr>
        <w:fldChar w:fldCharType="separate"/>
      </w:r>
      <w:r w:rsidRPr="008608AA">
        <w:rPr>
          <w:noProof/>
          <w:lang w:val="en-US"/>
        </w:rPr>
        <w:t>Ewing et al., 2015; Hale et al., 2005; Resner et al., 2015)</w:t>
      </w:r>
      <w:r w:rsidRPr="008608AA">
        <w:rPr>
          <w:lang w:val="en-US"/>
        </w:rPr>
        <w:fldChar w:fldCharType="end"/>
      </w:r>
      <w:r w:rsidRPr="008608AA">
        <w:rPr>
          <w:lang w:val="en-US"/>
        </w:rPr>
        <w:t xml:space="preserve">. </w:t>
      </w:r>
      <w:r w:rsidRPr="008608AA">
        <w:rPr>
          <w:color w:val="000000"/>
          <w:lang w:val="en-US"/>
        </w:rPr>
        <w:t>Oil extraction in the t</w:t>
      </w:r>
      <w:r w:rsidRPr="008608AA">
        <w:rPr>
          <w:lang w:val="en-US"/>
        </w:rPr>
        <w:t>ar sands of Alberta has led to forest losses of 141,000 km</w:t>
      </w:r>
      <w:r w:rsidRPr="008608AA">
        <w:rPr>
          <w:vertAlign w:val="superscript"/>
          <w:lang w:val="en-US"/>
        </w:rPr>
        <w:t xml:space="preserve">2 </w:t>
      </w:r>
      <w:r w:rsidRPr="008608AA">
        <w:rPr>
          <w:lang w:val="en-US"/>
        </w:rPr>
        <w:fldChar w:fldCharType="begin" w:fldLock="1"/>
      </w:r>
      <w:r w:rsidRPr="008608AA">
        <w:rPr>
          <w:lang w:val="en-US"/>
        </w:rPr>
        <w:instrText>ADDIN CSL_CITATION { "citationItems" : [ { "id" : "ITEM-1", "itemData" : { "DOI" : "10.1196/annals.1439.007", "ISBN" : "0077-8923 (Print)\\r0077-8923 (Linking)", "ISSN" : "00778923", "PMID" : "18566092", "abstract" : "Extraction of oil from the Alberta Oil Sands through surface mining involves the removal of the overburden and oil sand to a depth of up to 100 m and over extremely large areas. While the operation of the bitumen processing plants has serious environmental impacts on downstream habitats, this article focuses on the reclamation of areas from which the oil sands have been removed, processed, and returned. This reclamation following closure of the mines will entail the complete re-creation of landforms and ecosystems at a landscape scale, with the goal of producing suitable habitats for plants, animals, and people. Such projects will require a reasonable understanding of the geophysical and ecological processes that operate at a wide range of scales. Some information is provided on the climate, hydrology, vegetation, and land use (past and current) of the Oil Sands area, situated within the Boreal Plain ecozone, to provide a framework for discussion of issues to be addressed in, and proposed guidelines for, such large-scale reclamation. Although none of the mines has yet closed, numerous consultant reports have been produced with recommendations for various aspects of such reclamation projects (e.g., wetland hydrology, vegetation, wildlife habitat). The scientific basis of such reports is found to vary with respect to depth of understanding of the relevant processes.", "author" : [ { "dropping-particle" : "", "family" : "Johnson", "given" : "E. A.", "non-dropping-particle" : "", "parse-names" : false, "suffix" : "" }, { "dropping-particle" : "", "family" : "Miyanishi", "given" : "K.", "non-dropping-particle" : "", "parse-names" : false, "suffix" : "" } ], "container-title" : "Annals of the New York Academy of Sciences", "id" : "ITEM-1", "issue" : "1", "issued" : { "date-parts" : [ [ "2008" ] ] }, "page" : "120-145", "title" : "Creating new landscapes and ecosystems", "type" : "article-journal", "volume" : "1134" }, "uris" : [ "http://www.mendeley.com/documents/?uuid=d23ccb23-330f-478f-8388-6e88c0c6d389" ] } ], "mendeley" : { "formattedCitation" : "(E. A. Johnson &amp; Miyanishi, 2008)", "manualFormatting" : "(Johnson &amp; Miyanishi, 2008)", "plainTextFormattedCitation" : "(E. A. Johnson &amp; Miyanishi, 2008)", "previouslyFormattedCitation" : "(E. A. Johnson &amp; Miyanishi, 2008)" }, "properties" : { "noteIndex" : 0 }, "schema" : "https://github.com/citation-style-language/schema/raw/master/csl-citation.json" }</w:instrText>
      </w:r>
      <w:r w:rsidRPr="008608AA">
        <w:rPr>
          <w:lang w:val="en-US"/>
        </w:rPr>
        <w:fldChar w:fldCharType="separate"/>
      </w:r>
      <w:r w:rsidRPr="008608AA">
        <w:rPr>
          <w:noProof/>
          <w:lang w:val="en-US"/>
        </w:rPr>
        <w:t>(Johnson &amp; Miyanishi, 2008)</w:t>
      </w:r>
      <w:r w:rsidRPr="008608AA">
        <w:rPr>
          <w:lang w:val="en-US"/>
        </w:rPr>
        <w:fldChar w:fldCharType="end"/>
      </w:r>
      <w:r w:rsidRPr="008608AA">
        <w:rPr>
          <w:lang w:val="en-US"/>
        </w:rPr>
        <w:t>.</w:t>
      </w:r>
    </w:p>
    <w:p w14:paraId="68EE6FC4" w14:textId="77777777" w:rsidR="00843724" w:rsidRPr="008608AA" w:rsidRDefault="00843724" w:rsidP="00843724">
      <w:pPr>
        <w:pStyle w:val="NormalWeb"/>
        <w:rPr>
          <w:lang w:val="en-US"/>
        </w:rPr>
      </w:pPr>
    </w:p>
    <w:p w14:paraId="475AAAD8" w14:textId="1334FCC7" w:rsidR="004255E7" w:rsidRPr="008608AA" w:rsidRDefault="004255E7" w:rsidP="00A11ECA">
      <w:pPr>
        <w:widowControl w:val="0"/>
        <w:autoSpaceDE w:val="0"/>
        <w:autoSpaceDN w:val="0"/>
        <w:adjustRightInd w:val="0"/>
        <w:spacing w:after="120"/>
      </w:pPr>
      <w:r w:rsidRPr="008608AA">
        <w:t xml:space="preserve">High-latitude forests in North America have warmed rapidly since the mid-1900s </w:t>
      </w:r>
      <w:r w:rsidRPr="008608AA">
        <w:fldChar w:fldCharType="begin" w:fldLock="1"/>
      </w:r>
      <w:r w:rsidRPr="008608AA">
        <w:instrText>ADDIN CSL_CITATION { "citationItems" : [ { "id" : "ITEM-1", "itemData" : { "abstract" : "A major challenge in predicting Earth's future climate state is to understand feedbacks that alter greenhouse-gas forcing. Here we synthesize field data from arctic Alaska, showing that terrestrial changes in summer albedo contribute substantially to recent high-latitude warming trends. Pronounced terrestrial summer warming in arctic Alaska correlates with a lengthening of the snow-free season that has increased atmospheric heating locally by about 3 watts per square meter per decade (similar in magnitude to the regional heating expected over multiple decades from a doubling of atmospheric CO2). The continuation of current trends in shrub and tree expansion could further amplify this atmospheric heating by two to seven times.", "author" : [ { "dropping-particle" : "", "family" : "Chapin", "given" : "F S", "non-dropping-particle" : "", "parse-names" : false, "suffix" : "" }, { "dropping-particle" : "", "family" : "Sturm", "given" : "M", "non-dropping-particle" : "", "parse-names" : false, "suffix" : "" }, { "dropping-particle" : "", "family" : "Serreze", "given" : "M C", "non-dropping-particle" : "", "parse-names" : false, "suffix" : "" }, { "dropping-particle" : "", "family" : "McFadden", "given" : "J P", "non-dropping-particle" : "", "parse-names" : false, "suffix" : "" }, { "dropping-particle" : "", "family" : "Key", "given" : "J R", "non-dropping-particle" : "", "parse-names" : false, "suffix" : "" }, { "dropping-particle" : "", "family" : "Lloyd", "given" : "A H", "non-dropping-particle" : "", "parse-names" : false, "suffix" : "" }, { "dropping-particle" : "", "family" : "McGuire", "given" : "A D", "non-dropping-particle" : "", "parse-names" : false, "suffix" : "" }, { "dropping-particle" : "", "family" : "Rupp", "given" : "T S", "non-dropping-particle" : "", "parse-names" : false, "suffix" : "" }, { "dropping-particle" : "", "family" : "Lynch", "given" : "A H", "non-dropping-particle" : "", "parse-names" : false, "suffix" : "" }, { "dropping-particle" : "", "family" : "Schimel", "given" : "J P", "non-dropping-particle" : "", "parse-names" : false, "suffix" : "" }, { "dropping-particle" : "", "family" : "Beringer", "given" : "J", "non-dropping-particle" : "", "parse-names" : false, "suffix" : "" }, { "dropping-particle" : "", "family" : "Chapman", "given" : "W L", "non-dropping-particle" : "", "parse-names" : false, "suffix" : "" }, { "dropping-particle" : "", "family" : "Epstein", "given" : "H E", "non-dropping-particle" : "", "parse-names" : false, "suffix" : "" }, { "dropping-particle" : "", "family" : "Euskirchen", "given" : "E S", "non-dropping-particle" : "", "parse-names" : false, "suffix" : "" }, { "dropping-particle" : "", "family" : "Hinzman", "given" : "L D", "non-dropping-particle" : "", "parse-names" : false, "suffix" : "" }, { "dropping-particle" : "", "family" : "Jia", "given" : "G", "non-dropping-particle" : "", "parse-names" : false, "suffix" : "" }, { "dropping-particle" : "", "family" : "Ping", "given" : "C.- L.", "non-dropping-particle" : "", "parse-names" : false, "suffix" : "" }, { "dropping-particle" : "", "family" : "Tape", "given" : "K D", "non-dropping-particle" : "", "parse-names" : false, "suffix" : "" }, { "dropping-particle" : "", "family" : "Thompson", "given" : "C D C", "non-dropping-particle" : "", "parse-names" : false, "suffix" : "" }, { "dropping-particle" : "", "family" : "Walker", "given" : "D A", "non-dropping-particle" : "", "parse-names" : false, "suffix" : "" }, { "dropping-particle" : "", "family" : "Welker", "given" : "J M", "non-dropping-particle" : "", "parse-names" : false, "suffix" : "" } ], "container-title" : "Science", "id" : "ITEM-1", "issue" : "5748", "issued" : { "date-parts" : [ [ "2005" ] ] }, "page" : "657-660", "title" : "Role of land-surface changes in Arctic summer warming", "type" : "article-journal", "volume" : "310" }, "uris" : [ "http://www.mendeley.com/documents/?uuid=dc4c5bed-5aa0-4a06-bb99-1475eb0e89a4" ] } ], "mendeley" : { "formattedCitation" : "(F S Chapin et al., 2005)", "manualFormatting" : "(Chapin et al., 2005;", "plainTextFormattedCitation" : "(F S Chapin et al., 2005)", "previouslyFormattedCitation" : "(F S Chapin et al., 2005)" }, "properties" : { "noteIndex" : 0 }, "schema" : "https://github.com/citation-style-language/schema/raw/master/csl-citation.json" }</w:instrText>
      </w:r>
      <w:r w:rsidRPr="008608AA">
        <w:fldChar w:fldCharType="separate"/>
      </w:r>
      <w:r w:rsidRPr="008608AA">
        <w:rPr>
          <w:noProof/>
        </w:rPr>
        <w:t>(Chapin et al., 2005;</w:t>
      </w:r>
      <w:r w:rsidRPr="008608AA">
        <w:fldChar w:fldCharType="end"/>
      </w:r>
      <w:r w:rsidRPr="008608AA">
        <w:t xml:space="preserve"> </w:t>
      </w:r>
      <w:r w:rsidRPr="008608AA">
        <w:fldChar w:fldCharType="begin" w:fldLock="1"/>
      </w:r>
      <w:r w:rsidRPr="008608AA">
        <w:instrText>ADDIN CSL_CITATION { "citationItems" : [ { "id" : "ITEM-1", "itemData" : { "DOI" : "10.1016/j.foreco.2009.09.001", "ISBN" : "0378-1127", "ISSN" : "03781127", "PMID" : "510", "abstract" : "Greenhouse gas emissions have significantly altered global climate, and will continue to do so in the future. Increases in the frequency, duration, and/or severity of drought and heat stress associated with climate change could fundamentally alter the composition, structure, and biogeography of forests in many regions. Of particular concern are potential increases in tree mortality associated with climate-induced physiological stress and interactions with other climate-mediated processes such as insect outbreaks and wildfire. Despite this risk, existing projections of tree mortality are based on models that lack functionally realistic mortality mechanisms, and there has been no attempt to track observations of climate-driven tree mortality globally. Here we present the first global assessment of recent tree mortality attributed to drought and heat stress. Although episodic mortality occurs in the absence of climate change, studies compiled here suggest that at least some of the world's forested ecosystems already may be responding to climate change and raise concern that forests may become increasingly vulnerable to higher background tree mortality rates and die-off in response to future warming and drought, even in environments that are not normally considered water-limited. This further suggests risks to ecosystem services, including the loss of sequestered forest carbon and associated atmospheric feedbacks. Our review also identifies key information gaps and scientific uncertainties that currently hinder our ability to predict tree mortality in response to climate change and emphasizes the need for a globally coordinated observation system. Overall, our review reveals the potential for amplified tree mortality due to drought and heat in forests worldwide.", "author" : [ { "dropping-particle" : "", "family" : "Allen", "given" : "Craig D.", "non-dropping-particle" : "", "parse-names" : false, "suffix" : "" }, { "dropping-particle" : "", "family" : "Macalady", "given" : "Alison K.", "non-dropping-particle" : "", "parse-names" : false, "suffix" : "" }, { "dropping-particle" : "", "family" : "Chenchouni", "given" : "Haroun", "non-dropping-particle" : "", "parse-names" : false, "suffix" : "" }, { "dropping-particle" : "", "family" : "Bachelet", "given" : "Dominique", "non-dropping-particle" : "", "parse-names" : false, "suffix" : "" }, { "dropping-particle" : "", "family" : "McDowell", "given" : "Nate", "non-dropping-particle" : "", "parse-names" : false, "suffix" : "" }, { "dropping-particle" : "", "family" : "Vennetier", "given" : "Michel", "non-dropping-particle" : "", "parse-names" : false, "suffix" : "" }, { "dropping-particle" : "", "family" : "Kitzberger", "given" : "Thomas", "non-dropping-particle" : "", "parse-names" : false, "suffix" : "" }, { "dropping-particle" : "", "family" : "Rigling", "given" : "Andreas", "non-dropping-particle" : "", "parse-names" : false, "suffix" : "" }, { "dropping-particle" : "", "family" : "Breshears", "given" : "David D.", "non-dropping-particle" : "", "parse-names" : false, "suffix" : "" }, { "dropping-particle" : "", "family" : "Hogg", "given" : "E. H.", "non-dropping-particle" : "", "parse-names" : false, "suffix" : "" }, { "dropping-particle" : "", "family" : "Gonzalez", "given" : "Patrick", "non-dropping-particle" : "", "parse-names" : false, "suffix" : "" }, { "dropping-particle" : "", "family" : "Fensham", "given" : "Rod", "non-dropping-particle" : "", "parse-names" : false, "suffix" : "" }, { "dropping-particle" : "", "family" : "Zhang", "given" : "Zhen", "non-dropping-particle" : "", "parse-names" : false, "suffix" : "" }, { "dropping-particle" : "", "family" : "Castro", "given" : "Jorge", "non-dropping-particle" : "", "parse-names" : false, "suffix" : "" }, { "dropping-particle" : "", "family" : "Demidova", "given" : "Natalia", "non-dropping-particle" : "", "parse-names" : false, "suffix" : "" }, { "dropping-particle" : "", "family" : "Lim", "given" : "Jong-Hwan", "non-dropping-particle" : "", "parse-names" : false, "suffix" : "" }, { "dropping-particle" : "", "family" : "Allard", "given" : "Gillian", "non-dropping-particle" : "", "parse-names" : false, "suffix" : "" }, { "dropping-particle" : "", "family" : "Running", "given" : "Steven W.", "non-dropping-particle" : "", "parse-names" : false, "suffix" : "" }, { "dropping-particle" : "", "family" : "Semerci", "given" : "Akkin", "non-dropping-particle" : "", "parse-names" : false, "suffix" : "" }, { "dropping-particle" : "", "family" : "Cobb", "given" : "Neil", "non-dropping-particle" : "", "parse-names" : false, "suffix" : "" } ], "container-title" : "Forest Ecology and Management", "id" : "ITEM-1", "issue" : "4", "issued" : { "date-parts" : [ [ "2010" ] ] }, "page" : "660-684", "title" : "A global overview of drought and heat-induced tree mortality reveals emerging climate change risks for forests", "type" : "article-journal", "volume" : "259" }, "uris" : [ "http://www.mendeley.com/documents/?uuid=f5b30010-6eb5-48e1-b7ed-455fc00ce463" ] } ], "mendeley" : { "formattedCitation" : "(Allen et al., 2010)", "manualFormatting" : "Allen et al., 2010)", "plainTextFormattedCitation" : "(Allen et al., 2010)", "previouslyFormattedCitation" : "(Allen et al., 2010)" }, "properties" : { "noteIndex" : 0 }, "schema" : "https://github.com/citation-style-language/schema/raw/master/csl-citation.json" }</w:instrText>
      </w:r>
      <w:r w:rsidRPr="008608AA">
        <w:fldChar w:fldCharType="separate"/>
      </w:r>
      <w:r w:rsidRPr="008608AA">
        <w:rPr>
          <w:noProof/>
        </w:rPr>
        <w:t>Allen et al., 2010)</w:t>
      </w:r>
      <w:r w:rsidRPr="008608AA">
        <w:fldChar w:fldCharType="end"/>
      </w:r>
      <w:r w:rsidRPr="008608AA">
        <w:t xml:space="preserve">. From 1902 to 2002 tree ring studies evidence declining growth, with increasing rates of decline since 1942, particularly in critical boreal conifer species </w:t>
      </w:r>
      <w:r w:rsidRPr="008608AA">
        <w:fldChar w:fldCharType="begin" w:fldLock="1"/>
      </w:r>
      <w:r w:rsidRPr="008608AA">
        <w:instrText>ADDIN CSL_CITATION { "citationItems" : [ { "id" : "ITEM-1", "itemData" : { "ISBN" : "1748-9326", "abstract" : "We examined relationships between tree ring-width and climate at 232 sites around the circumpolar boreal forest to explore variability in two types of response to temperature: a browning response characterized by inverse correlations between growth and temperature, and a greening response characterized by positive correlations between growth and temperature. We used moving-window correlation analysis for eight 30-year time windows, lagged by 10 years, to characterize the climate response at each site from 1902 to 2002. Inverse growth responses to temperature were widespread, occurring in all species, all time periods, and in nearly all geographic areas. The frequency of the browning response increased after 1942, while the frequency of the greening response declined. Browning was concentrated in five species ( Picea abies , Picea glauca , Picea mariana , Picea obovata and Pinus banksiana) , and occurred more frequently in the warmer parts of species' ranges, suggesting that direct temperature stress might be a factor. In some species, dry sites were also more likely to experience browning; moisture stress might thus be an additional explanation in some cases. As inverse responses to temperature are widespread, and occur in a broad array of species, there is unlikely to be any single explanation for their occurrence.", "author" : [ { "dropping-particle" : "", "family" : "Lloyd", "given" : "Andrea H.", "non-dropping-particle" : "", "parse-names" : false, "suffix" : "" }, { "dropping-particle" : "", "family" : "Bunn", "given" : "Andrew G.", "non-dropping-particle" : "", "parse-names" : false, "suffix" : "" } ], "container-title" : "Environmental Research Letters", "id" : "ITEM-1", "issue" : "4", "issued" : { "date-parts" : [ [ "2007" ] ] }, "page" : "45013", "title" : "Responses of the circumpolar boreal forest to 20th century climate variability", "type" : "article-journal", "volume" : "2" }, "uris" : [ "http://www.mendeley.com/documents/?uuid=244f85a4-5712-4684-9f9f-a7848ac274ba" ] } ], "mendeley" : { "formattedCitation" : "(Lloyd &amp; Bunn, 2007)", "plainTextFormattedCitation" : "(Lloyd &amp; Bunn, 2007)", "previouslyFormattedCitation" : "(Lloyd &amp; Bunn, 2007)" }, "properties" : { "noteIndex" : 0 }, "schema" : "https://github.com/citation-style-language/schema/raw/master/csl-citation.json" }</w:instrText>
      </w:r>
      <w:r w:rsidRPr="008608AA">
        <w:fldChar w:fldCharType="separate"/>
      </w:r>
      <w:r w:rsidRPr="008608AA">
        <w:rPr>
          <w:noProof/>
        </w:rPr>
        <w:t>(Lloyd &amp; Bunn, 2007)</w:t>
      </w:r>
      <w:r w:rsidRPr="008608AA">
        <w:fldChar w:fldCharType="end"/>
      </w:r>
      <w:r w:rsidRPr="008608AA">
        <w:t>. The breeding rang</w:t>
      </w:r>
      <w:r w:rsidR="004B6193" w:rsidRPr="008608AA">
        <w:t>es of some mobile species (e.g.</w:t>
      </w:r>
      <w:r w:rsidRPr="008608AA">
        <w:t xml:space="preserve"> certain bird species), have been expanding northward in association with climate amelioration </w:t>
      </w:r>
      <w:r w:rsidRPr="008608AA">
        <w:fldChar w:fldCharType="begin" w:fldLock="1"/>
      </w:r>
      <w:r w:rsidRPr="008608AA">
        <w:instrText>ADDIN CSL_CITATION { "citationItems" : [ { "id" : "ITEM-1", "itemData" : { "author" : [ { "dropping-particle" : "", "family" : "USDA", "given" : "", "non-dropping-particle" : "", "parse-names" : false, "suffix" : "" } ], "id" : "ITEM-1", "issued" : { "date-parts" : [ [ "2007" ] ] }, "title" : "Land Use Status and Trends 2007", "type" : "report" }, "uris" : [ "http://www.mendeley.com/documents/?uuid=27b770f1-023d-4627-812c-8c3371f588b8" ] } ], "mendeley" : { "formattedCitation" : "(USDA, 2007)", "plainTextFormattedCitation" : "(USDA, 2007)", "previouslyFormattedCitation" : "(USDA, 2007)" }, "properties" : { "noteIndex" : 0 }, "schema" : "https://github.com/citation-style-language/schema/raw/master/csl-citation.json" }</w:instrText>
      </w:r>
      <w:r w:rsidRPr="008608AA">
        <w:fldChar w:fldCharType="separate"/>
      </w:r>
      <w:r w:rsidRPr="008608AA">
        <w:rPr>
          <w:noProof/>
        </w:rPr>
        <w:t>(USDA, 2007)</w:t>
      </w:r>
      <w:r w:rsidRPr="008608AA">
        <w:fldChar w:fldCharType="end"/>
      </w:r>
      <w:r w:rsidRPr="008608AA">
        <w:t xml:space="preserve">. Current research suggests a northward shift of boreal forests is occurring (yet data is still limited) </w:t>
      </w:r>
      <w:r w:rsidRPr="008608AA">
        <w:fldChar w:fldCharType="begin" w:fldLock="1"/>
      </w:r>
      <w:r w:rsidRPr="008608AA">
        <w:instrText>ADDIN CSL_CITATION { "citationItems" : [ { "id" : "ITEM-1", "itemData" : { "DOI" : "10.1139/er-2017-0009", "ISSN" : "1181-8700", "abstract" : "A warming global climate will elicit changes in the distribution of plant species around the planet and this will become most apparent where biomes converge. Climate exerts the strongest control over the geographic location of ecotones at the continental scale and many, including the boreal forest-temperate forest ecotone (BTE), are expected to shift to higher latitudes under climate change. Fine-scale drivers that define biome boundaries at the sub-continental scale are less well understood for many ecotones. We assembled studies addressing whether a modern distributional shift is occurring at the BTE and what biotic and abiotic factors are driving such a shift. Current research suggests a northward shift is occurring; yet, scant data are available to identify the processes involved. Abiotic and biotic factors are repeatedly identified as key drivers of change, though not all claims are evidence-supported and the interacting effects of these non-climatic factors are poorly understood.", "author" : [ { "dropping-particle" : "", "family" : "Evans", "given" : "Piers", "non-dropping-particle" : "", "parse-names" : false, "suffix" : "" }, { "dropping-particle" : "", "family" : "Brown", "given" : "Carissa D.", "non-dropping-particle" : "", "parse-names" : false, "suffix" : "" } ], "container-title" : "Environmental Reviews", "id" : "ITEM-1", "issue" : "4", "issued" : { "date-parts" : [ [ "2017" ] ] }, "page" : "423-431", "title" : "The boreal-temperate forest ecotone response to climate change", "type" : "article-journal", "volume" : "25" }, "uris" : [ "http://www.mendeley.com/documents/?uuid=cc9fdf87-1dfa-45a0-bc7f-1a3a2816ad7f" ] }, { "id" : "ITEM-2", "itemData" : { "DOI" : "10.1073/pnas.0708921105", "ISBN" : "0027-8424", "ISSN" : "0027-8424", "PMID" : "18334647", "abstract" : "Detecting latitudinal range shifts of forest trees in response to recent climate change is difficult because of slow demographic rates and limited dispersal but may be facilitated by spatially compressed climatic zones along elevation gradients in montane environments. We resurveyed forest plots established in 1964 along elevation transects in the Green Mountains (Vermont) to examine whether a shift had occurred in the location of the northern hardwood-boreal forest ecotone (NBE) from 1964 to 2004. We found a 19% increase in dominance of northern hardwoods from 70% in 1964 to 89% in 2004 in the lower half of the NBE. This shift was driven by a decrease (up to 76%) in boreal and increase (up to 16%) in northern hardwood basal area within the lower portions of the ecotone. We used aerial photographs and satellite imagery to estimate a 91- to 119-m upslope shift in the upper limits of the NBE from 1962 to 2005. The upward shift is consistent with regional climatic change during the same period; interpolating climate data to the NBE showed a 1.1 degrees C increase in annual temperature, which would predict a 208-m upslope movement of the ecotone, along with a 34% increase in precipitation. The rapid upward movement of the NBE indicates little inertia to climatically induced range shifts in montane forests; the upslope shift may have been accelerated by high turnover in canopy trees that provided opportunities for ingrowth of lower elevation species. Our results indicate that high-elevation forests may be jeopardized by climate change sooner than anticipated.", "author" : [ { "dropping-particle" : "", "family" : "Beckage", "given" : "B.", "non-dropping-particle" : "", "parse-names" : false, "suffix" : "" }, { "dropping-particle" : "", "family" : "Osborne", "given" : "B.", "non-dropping-particle" : "", "parse-names" : false, "suffix" : "" }, { "dropping-particle" : "", "family" : "Gavin", "given" : "D. G.", "non-dropping-particle" : "", "parse-names" : false, "suffix" : "" }, { "dropping-particle" : "", "family" : "Pucko", "given" : "C.", "non-dropping-particle" : "", "parse-names" : false, "suffix" : "" }, { "dropping-particle" : "", "family" : "Siccama", "given" : "T.", "non-dropping-particle" : "", "parse-names" : false, "suffix" : "" }, { "dropping-particle" : "", "family" : "Perkins", "given" : "T.", "non-dropping-particle" : "", "parse-names" : false, "suffix" : "" } ], "container-title" : "PNAS", "id" : "ITEM-2", "issued" : { "date-parts" : [ [ "2008" ] ] }, "page" : "4197-4202", "title" : "A rapid upward shift of a forest ecotone during 40 years of warming in the Green Mountains of Vermont", "type" : "article-journal", "volume" : "105" }, "uris" : [ "http://www.mendeley.com/documents/?uuid=c378415f-8cee-4c2c-ae0c-6afb617bfe57" ] } ], "mendeley" : { "formattedCitation" : "(Beckage et al., 2008; Evans &amp; Brown, 2017)", "manualFormatting" : "(Evans &amp; Brown, 2017)", "plainTextFormattedCitation" : "(Beckage et al., 2008; Evans &amp; Brown, 2017)", "previouslyFormattedCitation" : "(Beckage et al., 2008; Evans &amp; Brown, 2017)" }, "properties" : { "noteIndex" : 0 }, "schema" : "https://github.com/citation-style-language/schema/raw/master/csl-citation.json" }</w:instrText>
      </w:r>
      <w:r w:rsidRPr="008608AA">
        <w:fldChar w:fldCharType="separate"/>
      </w:r>
      <w:r w:rsidRPr="008608AA">
        <w:rPr>
          <w:noProof/>
        </w:rPr>
        <w:t>(Evans &amp; Brown, 2017)</w:t>
      </w:r>
      <w:r w:rsidRPr="008608AA">
        <w:fldChar w:fldCharType="end"/>
      </w:r>
      <w:r w:rsidRPr="008608AA">
        <w:t xml:space="preserve">, with upward altitudinal shifts of tree species in some locations </w:t>
      </w:r>
      <w:r w:rsidRPr="008608AA">
        <w:fldChar w:fldCharType="begin" w:fldLock="1"/>
      </w:r>
      <w:r w:rsidRPr="008608AA">
        <w:instrText>ADDIN CSL_CITATION { "citationItems" : [ { "id" : "ITEM-1", "itemData" : { "DOI" : "10.1139/er-2017-0009", "ISSN" : "1181-8700", "abstract" : "A warming global climate will elicit changes in the distribution of plant species around the planet and this will become most apparent where biomes converge. Climate exerts the strongest control over the geographic location of ecotones at the continental scale and many, including the boreal forest-temperate forest ecotone (BTE), are expected to shift to higher latitudes under climate change. Fine-scale drivers that define biome boundaries at the sub-continental scale are less well understood for many ecotones. We assembled studies addressing whether a modern distributional shift is occurring at the BTE and what biotic and abiotic factors are driving such a shift. Current research suggests a northward shift is occurring; yet, scant data are available to identify the processes involved. Abiotic and biotic factors are repeatedly identified as key drivers of change, though not all claims are evidence-supported and the interacting effects of these non-climatic factors are poorly understood.", "author" : [ { "dropping-particle" : "", "family" : "Evans", "given" : "Piers", "non-dropping-particle" : "", "parse-names" : false, "suffix" : "" }, { "dropping-particle" : "", "family" : "Brown", "given" : "Carissa D.", "non-dropping-particle" : "", "parse-names" : false, "suffix" : "" } ], "container-title" : "Environmental Reviews", "id" : "ITEM-1", "issue" : "4", "issued" : { "date-parts" : [ [ "2017" ] ] }, "page" : "423-431", "title" : "The boreal-temperate forest ecotone response to climate change", "type" : "article-journal", "volume" : "25" }, "uris" : [ "http://www.mendeley.com/documents/?uuid=cc9fdf87-1dfa-45a0-bc7f-1a3a2816ad7f" ] }, { "id" : "ITEM-2", "itemData" : { "DOI" : "10.1073/pnas.0708921105", "ISBN" : "0027-8424", "ISSN" : "0027-8424", "PMID" : "18334647", "abstract" : "Detecting latitudinal range shifts of forest trees in response to recent climate change is difficult because of slow demographic rates and limited dispersal but may be facilitated by spatially compressed climatic zones along elevation gradients in montane environments. We resurveyed forest plots established in 1964 along elevation transects in the Green Mountains (Vermont) to examine whether a shift had occurred in the location of the northern hardwood-boreal forest ecotone (NBE) from 1964 to 2004. We found a 19% increase in dominance of northern hardwoods from 70% in 1964 to 89% in 2004 in the lower half of the NBE. This shift was driven by a decrease (up to 76%) in boreal and increase (up to 16%) in northern hardwood basal area within the lower portions of the ecotone. We used aerial photographs and satellite imagery to estimate a 91- to 119-m upslope shift in the upper limits of the NBE from 1962 to 2005. The upward shift is consistent with regional climatic change during the same period; interpolating climate data to the NBE showed a 1.1 degrees C increase in annual temperature, which would predict a 208-m upslope movement of the ecotone, along with a 34% increase in precipitation. The rapid upward movement of the NBE indicates little inertia to climatically induced range shifts in montane forests; the upslope shift may have been accelerated by high turnover in canopy trees that provided opportunities for ingrowth of lower elevation species. Our results indicate that high-elevation forests may be jeopardized by climate change sooner than anticipated.", "author" : [ { "dropping-particle" : "", "family" : "Beckage", "given" : "B.", "non-dropping-particle" : "", "parse-names" : false, "suffix" : "" }, { "dropping-particle" : "", "family" : "Osborne", "given" : "B.", "non-dropping-particle" : "", "parse-names" : false, "suffix" : "" }, { "dropping-particle" : "", "family" : "Gavin", "given" : "D. G.", "non-dropping-particle" : "", "parse-names" : false, "suffix" : "" }, { "dropping-particle" : "", "family" : "Pucko", "given" : "C.", "non-dropping-particle" : "", "parse-names" : false, "suffix" : "" }, { "dropping-particle" : "", "family" : "Siccama", "given" : "T.", "non-dropping-particle" : "", "parse-names" : false, "suffix" : "" }, { "dropping-particle" : "", "family" : "Perkins", "given" : "T.", "non-dropping-particle" : "", "parse-names" : false, "suffix" : "" } ], "container-title" : "PNAS", "id" : "ITEM-2", "issued" : { "date-parts" : [ [ "2008" ] ] }, "page" : "4197-4202", "title" : "A rapid upward shift of a forest ecotone during 40 years of warming in the Green Mountains of Vermont", "type" : "article-journal", "volume" : "105" }, "uris" : [ "http://www.mendeley.com/documents/?uuid=c378415f-8cee-4c2c-ae0c-6afb617bfe57" ] } ], "mendeley" : { "formattedCitation" : "(Beckage et al., 2008; Evans &amp; Brown, 2017)", "manualFormatting" : "(Beckage et al., 2008)", "plainTextFormattedCitation" : "(Beckage et al., 2008; Evans &amp; Brown, 2017)", "previouslyFormattedCitation" : "(Beckage et al., 2008; Evans &amp; Brown, 2017)" }, "properties" : { "noteIndex" : 0 }, "schema" : "https://github.com/citation-style-language/schema/raw/master/csl-citation.json" }</w:instrText>
      </w:r>
      <w:r w:rsidRPr="008608AA">
        <w:fldChar w:fldCharType="separate"/>
      </w:r>
      <w:r w:rsidRPr="008608AA">
        <w:rPr>
          <w:noProof/>
        </w:rPr>
        <w:t>(Beckage et al., 2008)</w:t>
      </w:r>
      <w:r w:rsidRPr="008608AA">
        <w:fldChar w:fldCharType="end"/>
      </w:r>
      <w:r w:rsidRPr="008608AA">
        <w:t>.</w:t>
      </w:r>
    </w:p>
    <w:p w14:paraId="7C59053E" w14:textId="77DB3047" w:rsidR="00F739F2" w:rsidRPr="008608AA" w:rsidRDefault="004255E7" w:rsidP="00843724">
      <w:pPr>
        <w:pStyle w:val="NormalWeb"/>
        <w:rPr>
          <w:lang w:val="en-US"/>
        </w:rPr>
      </w:pPr>
      <w:r w:rsidRPr="008608AA">
        <w:rPr>
          <w:lang w:val="en-US"/>
        </w:rPr>
        <w:t xml:space="preserve">In the southwestern part of the biome, over the past 30-40 years, forests have come under increasing stress as a result of severe drought. This has seen an increase in tree death, stronger outbreaks of bark beetle and an increase in the area affected by wildfire </w:t>
      </w:r>
      <w:r w:rsidRPr="008608AA">
        <w:rPr>
          <w:lang w:val="en-US"/>
        </w:rPr>
        <w:fldChar w:fldCharType="begin" w:fldLock="1"/>
      </w:r>
      <w:r w:rsidRPr="008608AA">
        <w:rPr>
          <w:lang w:val="en-US"/>
        </w:rPr>
        <w:instrText>ADDIN CSL_CITATION { "citationItems" : [ { "id" : "ITEM-1", "itemData" : { "DOI" : "10.1038/nclimate1693", "author" : [ { "dropping-particle" : "", "family" : "Williams", "given" : "A. P.", "non-dropping-particle" : "", "parse-names" : false, "suffix" : "" }, { "dropping-particle" : "", "family" : "Allen", "given" : "Craig D.", "non-dropping-particle" : "", "parse-names" : false, "suffix" : "" }, { "dropping-particle" : "", "family" : "Macalady", "given" : "Alison K.", "non-dropping-particle" : "", "parse-names" : false, "suffix" : "" }, { "dropping-particle" : "", "family" : "Griffin", "given" : "Daniel", "non-dropping-particle" : "", "parse-names" : false, "suffix" : "" }, { "dropping-particle" : "", "family" : "Woodhouse", "given" : "Connie A.", "non-dropping-particle" : "", "parse-names" : false, "suffix" : "" }, { "dropping-particle" : "", "family" : "Meko", "given" : "David M.", "non-dropping-particle" : "", "parse-names" : false, "suffix" : "" }, { "dropping-particle" : "", "family" : "Swetnam", "given" : "Thomas W.", "non-dropping-particle" : "", "parse-names" : false, "suffix" : "" }, { "dropping-particle" : "", "family" : "Rauscher", "given" : "Sara A.", "non-dropping-particle" : "", "parse-names" : false, "suffix" : "" }, { "dropping-particle" : "", "family" : "Seager", "given" : "Richard", "non-dropping-particle" : "", "parse-names" : false, "suffix" : "" }, { "dropping-particle" : "", "family" : "Grissino-Mayer", "given" : "Henri D.", "non-dropping-particle" : "", "parse-names" : false, "suffix" : "" }, { "dropping-particle" : "", "family" : "Dean", "given" : "Jeffrey S.", "non-dropping-particle" : "", "parse-names" : false, "suffix" : "" }, { "dropping-particle" : "", "family" : "Cook", "given" : "Edward R.", "non-dropping-particle" : "", "parse-names" : false, "suffix" : "" }, { "dropping-particle" : "", "family" : "Gangodagamage", "given" : "Chandana", "non-dropping-particle" : "", "parse-names" : false, "suffix" : "" }, { "dropping-particle" : "", "family" : "Cai", "given" : "Michael", "non-dropping-particle" : "", "parse-names" : false, "suffix" : "" }, { "dropping-particle" : "", "family" : "McDowell", "given" : "Nate G.", "non-dropping-particle" : "", "parse-names" : false, "suffix" : "" } ], "container-title" : "Nature Climate Change", "id" : "ITEM-1", "issue" : "3", "issued" : { "date-parts" : [ [ "2013", "9", "30" ] ] }, "page" : "292-297", "title" : "Temperature as a potent driver of regional forest drought stress and tree mortality", "type" : "article-journal", "volume" : "3" }, "uris" : [ "http://www.mendeley.com/documents/?uuid=2824f774-3efb-3874-91e9-b5959081e7f5" ] } ], "mendeley" : { "formattedCitation" : "(A. P. Williams et al., 2013)", "manualFormatting" : "(Williams et al., 2013)", "plainTextFormattedCitation" : "(A. P. Williams et al., 2013)", "previouslyFormattedCitation" : "(A. P. Williams et al., 2013)" }, "properties" : { "noteIndex" : 0 }, "schema" : "https://github.com/citation-style-language/schema/raw/master/csl-citation.json" }</w:instrText>
      </w:r>
      <w:r w:rsidRPr="008608AA">
        <w:rPr>
          <w:lang w:val="en-US"/>
        </w:rPr>
        <w:fldChar w:fldCharType="separate"/>
      </w:r>
      <w:r w:rsidRPr="008608AA">
        <w:rPr>
          <w:noProof/>
          <w:lang w:val="en-US"/>
        </w:rPr>
        <w:t>(Williams et al., 2013)</w:t>
      </w:r>
      <w:r w:rsidRPr="008608AA">
        <w:rPr>
          <w:lang w:val="en-US"/>
        </w:rPr>
        <w:fldChar w:fldCharType="end"/>
      </w:r>
      <w:r w:rsidRPr="008608AA">
        <w:rPr>
          <w:lang w:val="en-US"/>
        </w:rPr>
        <w:t xml:space="preserve"> (Figure 3.18), illustrating multiple effects and predicting future changes in </w:t>
      </w:r>
      <w:r w:rsidRPr="00360ADC">
        <w:rPr>
          <w:lang w:val="en-US"/>
        </w:rPr>
        <w:t>forest</w:t>
      </w:r>
      <w:r w:rsidRPr="008608AA">
        <w:rPr>
          <w:lang w:val="en-US"/>
        </w:rPr>
        <w:t xml:space="preserve"> composition.</w:t>
      </w:r>
    </w:p>
    <w:p w14:paraId="79E5C0F9" w14:textId="72E4766D" w:rsidR="00A11ECA" w:rsidRPr="008608AA" w:rsidRDefault="00FF0580" w:rsidP="00FF0580">
      <w:r w:rsidRPr="008608AA">
        <w:rPr>
          <w:noProof/>
          <w:lang w:val="en-GB" w:eastAsia="en-GB"/>
        </w:rPr>
        <w:drawing>
          <wp:inline distT="0" distB="0" distL="0" distR="0" wp14:anchorId="0C954AD5" wp14:editId="37AE4B24">
            <wp:extent cx="5934075" cy="7258050"/>
            <wp:effectExtent l="0" t="0" r="9525" b="0"/>
            <wp:docPr id="30322" name="Imagen 30322" descr="C:\Users\Alejandro Valderrama\Downloads\Fig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5" descr="C:\Users\Alejandro Valderrama\Downloads\Fig3.18.jpg"/>
                    <pic:cNvPicPr>
                      <a:picLocks noChangeAspect="1" noChangeArrowheads="1"/>
                    </pic:cNvPicPr>
                  </pic:nvPicPr>
                  <pic:blipFill rotWithShape="1">
                    <a:blip r:embed="rId133">
                      <a:extLst>
                        <a:ext uri="{28A0092B-C50C-407E-A947-70E740481C1C}">
                          <a14:useLocalDpi xmlns:a14="http://schemas.microsoft.com/office/drawing/2010/main" val="0"/>
                        </a:ext>
                      </a:extLst>
                    </a:blip>
                    <a:srcRect b="15145"/>
                    <a:stretch/>
                  </pic:blipFill>
                  <pic:spPr bwMode="auto">
                    <a:xfrm>
                      <a:off x="0" y="0"/>
                      <a:ext cx="5934075" cy="7258050"/>
                    </a:xfrm>
                    <a:prstGeom prst="rect">
                      <a:avLst/>
                    </a:prstGeom>
                    <a:noFill/>
                    <a:ln>
                      <a:noFill/>
                    </a:ln>
                    <a:extLst>
                      <a:ext uri="{53640926-AAD7-44D8-BBD7-CCE9431645EC}">
                        <a14:shadowObscured xmlns:a14="http://schemas.microsoft.com/office/drawing/2010/main"/>
                      </a:ext>
                    </a:extLst>
                  </pic:spPr>
                </pic:pic>
              </a:graphicData>
            </a:graphic>
          </wp:inline>
        </w:drawing>
      </w:r>
    </w:p>
    <w:p w14:paraId="501090B7" w14:textId="77777777" w:rsidR="004255E7" w:rsidRPr="008608AA" w:rsidRDefault="004255E7" w:rsidP="00A11ECA">
      <w:pPr>
        <w:pStyle w:val="Heading5"/>
        <w:numPr>
          <w:ilvl w:val="0"/>
          <w:numId w:val="0"/>
        </w:numPr>
        <w:spacing w:before="240" w:after="120"/>
        <w:ind w:left="1008" w:hanging="1008"/>
        <w:rPr>
          <w:sz w:val="24"/>
          <w:szCs w:val="24"/>
        </w:rPr>
      </w:pPr>
      <w:r w:rsidRPr="008608AA">
        <w:rPr>
          <w:sz w:val="24"/>
          <w:szCs w:val="24"/>
        </w:rPr>
        <w:t xml:space="preserve">South American subregion </w:t>
      </w:r>
    </w:p>
    <w:p w14:paraId="268C8D08" w14:textId="6BFA8731" w:rsidR="004255E7" w:rsidRPr="008608AA" w:rsidRDefault="007D4553" w:rsidP="00A11ECA">
      <w:pPr>
        <w:spacing w:after="120"/>
        <w:rPr>
          <w:rStyle w:val="Strong"/>
          <w:b w:val="0"/>
          <w:color w:val="222222"/>
          <w:shd w:val="clear" w:color="auto" w:fill="FFFFFF"/>
          <w:lang w:val="en-GB" w:eastAsia="es-CO"/>
        </w:rPr>
      </w:pPr>
      <w:r w:rsidRPr="008608AA">
        <w:rPr>
          <w:iCs/>
        </w:rPr>
        <w:t xml:space="preserve">Status. </w:t>
      </w:r>
      <w:r w:rsidR="004255E7" w:rsidRPr="008608AA">
        <w:t xml:space="preserve">South American cool temperate forests are found in Chile and Argentina. Strongly isolated from the nearest closed-canopy forests on the eastern side of South America </w:t>
      </w:r>
      <w:r w:rsidR="004255E7" w:rsidRPr="008608AA">
        <w:fldChar w:fldCharType="begin" w:fldLock="1"/>
      </w:r>
      <w:r w:rsidR="004255E7" w:rsidRPr="008608AA">
        <w:instrText>ADDIN CSL_CITATION { "citationItems" : [ { "id" : "ITEM-1", "itemData" : { "DOI" : "10.1126/science.282.5392.1271", "ISBN" : "Science; html + gif; C:librarycienceArmesto_etal_1998.htm; EndNote database", "ISSN" : "00368075", "PMID" : "2160", "abstract" : "n.a.", "author" : [ { "dropping-particle" : "", "family" : "Armesto", "given" : "J. J.", "non-dropping-particle" : "", "parse-names" : false, "suffix" : "" }, { "dropping-particle" : "", "family" : "Rozzi", "given" : "R.", "non-dropping-particle" : "", "parse-names" : false, "suffix" : "" }, { "dropping-particle" : "", "family" : "Smith-Ramirez", "given" : "C.", "non-dropping-particle" : "", "parse-names" : false, "suffix" : "" }, { "dropping-particle" : "", "family" : "Arroyo", "given" : "M.T.K.", "non-dropping-particle" : "", "parse-names" : false, "suffix" : "" } ], "container-title" : "Science", "id" : "ITEM-1", "issue" : "5392", "issued" : { "date-parts" : [ [ "1998" ] ] }, "page" : "1271-1272", "title" : "Conservation targets in South American temperate forests", "type" : "article-journal", "volume" : "282" }, "uris" : [ "http://www.mendeley.com/documents/?uuid=bc1f912b-c97e-3d6d-8e37-f41c45bcef48" ] } ], "mendeley" : { "formattedCitation" : "(Armesto, Rozzi, Smith-Ramirez, &amp; Arroyo, 1998)", "manualFormatting" : "(Armesto et al., 1998)", "plainTextFormattedCitation" : "(Armesto, Rozzi, Smith-Ramirez, &amp; Arroyo, 1998)", "previouslyFormattedCitation" : "(Armesto, Rozzi, Smith-Ramirez, &amp; Arroyo, 1998)" }, "properties" : { "noteIndex" : 0 }, "schema" : "https://github.com/citation-style-language/schema/raw/master/csl-citation.json" }</w:instrText>
      </w:r>
      <w:r w:rsidR="004255E7" w:rsidRPr="008608AA">
        <w:fldChar w:fldCharType="separate"/>
      </w:r>
      <w:r w:rsidR="004255E7" w:rsidRPr="008608AA">
        <w:rPr>
          <w:noProof/>
        </w:rPr>
        <w:t>(Armesto et al., 1998)</w:t>
      </w:r>
      <w:r w:rsidR="004255E7" w:rsidRPr="008608AA">
        <w:fldChar w:fldCharType="end"/>
      </w:r>
      <w:r w:rsidR="004255E7" w:rsidRPr="008608AA">
        <w:t xml:space="preserve">, southern temperate forests are important for carbon sequestration and storage and play a pivotal role in water regulation </w:t>
      </w:r>
      <w:r w:rsidR="004255E7" w:rsidRPr="008608AA">
        <w:fldChar w:fldCharType="begin" w:fldLock="1"/>
      </w:r>
      <w:r w:rsidR="004255E7" w:rsidRPr="008608AA">
        <w:instrText>ADDIN CSL_CITATION { "citationItems" : [ { "id" : "ITEM-1", "itemData" : { "author" : [ { "dropping-particle" : "", "family" : "Armesto", "given" : "J.J.", "non-dropping-particle" : "", "parse-names" : false, "suffix" : "" } ], "container-title" : "Bulletin of the Ecological Society of America", "id" : "ITEM-1", "issue" : "4", "issued" : { "date-parts" : [ [ "2009" ] ] }, "page" : "360\u2013431", "title" : "Annual reports to council Ecological Society of America August 2009", "type" : "article-journal", "volume" : "90" }, "uris" : [ "http://www.mendeley.com/documents/?uuid=f7fd2bd9-d7f2-47ee-91ef-43b98c632a0a" ] }, { "id" : "ITEM-2", "itemData" : { "DOI" : "10.1111/j.1365-2486.2011.02494.x", "ISBN" : "1365-2486", "ISSN" : "13541013", "abstract" : "Abstract Stable isotope natural abundance measurements integrate across several biogeochemical processes in ecosystem N and C dynamics. Here we report trends in natural isotope abundance (\u03b413C and \u03b415N in plant and soil) along a climosquence of 33 Nothofagus forest stands located within Patagonia, Southern Argentina We measured 28 different abiotic variables (both climatic variables and soil properties) to characterise environmental conditions at each of the 33 sites. Foliar \u03b413C values ranged from -35.4 to -27.7, and correlated positively with foliar \u03b415N values, ranging from -3.7 to 5.2. Soil \u03b413C and \u03b415N values reflected the isotopic trends of the foliar tissues and ranged from -29.8 to -25.3, and -4.8 to 6.4, respectively, with no significant differences between Nothofagus species (N. pumilio, N.antarctica, N.betuloides). Principal component analysis and multiple regressions suggested that mainly water availability variables (mean annual precipitation), but not soil properties, explained between 42 and 79% of the variations in foliar and soil \u03b413C and \u03b415N natural abundance, which declined with increased moisture supply,. We conclude that a decline in water use efficiency at wetter sites promotes both the depletion of heavy C and N isotopes in soil and plant biomass. Soil \u03b413C values were higher than those of the plant tissues and this difference increased as annual precipitation increased. No such differences were apparent when \u03b415N values in soil and plant were compared, which indicates that climatic differences contributed more to the overall C balance than to the overall N balance in these forest ecosystems.", "author" : [ { "dropping-particle" : "", "family" : "Peri", "given" : "Pablo L.", "non-dropping-particle" : "", "parse-names" : false, "suffix" : "" }, { "dropping-particle" : "", "family" : "Ladd", "given" : "Brenton", "non-dropping-particle" : "", "parse-names" : false, "suffix" : "" }, { "dropping-particle" : "", "family" : "Pepper", "given" : "David A.", "non-dropping-particle" : "", "parse-names" : false, "suffix" : "" }, { "dropping-particle" : "", "family" : "Bonser", "given" : "Stephen P.", "non-dropping-particle" : "", "parse-names" : false, "suffix" : "" }, { "dropping-particle" : "", "family" : "Laffan", "given" : "Shawn W.", "non-dropping-particle" : "", "parse-names" : false, "suffix" : "" }, { "dropping-particle" : "", "family" : "Amelung", "given" : "Wulf", "non-dropping-particle" : "", "parse-names" : false, "suffix" : "" } ], "container-title" : "Global Change Biology", "id" : "ITEM-2", "issue" : "1", "issued" : { "date-parts" : [ [ "2012" ] ] }, "page" : "311-321", "title" : "Carbon (\u03b4 13C) and nitrogen (\u03b4 15N) stable isotope composition in plant and soil in Southern Patagonia's native forests", "type" : "article-journal", "volume" : "18" }, "uris" : [ "http://www.mendeley.com/documents/?uuid=3af03a4e-ec96-4e69-a3e3-5d5fe426cc39" ] } ], "mendeley" : { "formattedCitation" : "(Armesto, 2009; Pablo L. Peri et al., 2012)", "manualFormatting" : "(Armesto, 2009; Peri et al., 2012)", "plainTextFormattedCitation" : "(Armesto, 2009; Pablo L. Peri et al., 2012)", "previouslyFormattedCitation" : "(Armesto, 2009; Pablo L. Peri et al., 2012)" }, "properties" : { "noteIndex" : 0 }, "schema" : "https://github.com/citation-style-language/schema/raw/master/csl-citation.json" }</w:instrText>
      </w:r>
      <w:r w:rsidR="004255E7" w:rsidRPr="008608AA">
        <w:fldChar w:fldCharType="separate"/>
      </w:r>
      <w:r w:rsidR="004255E7" w:rsidRPr="008608AA">
        <w:rPr>
          <w:noProof/>
        </w:rPr>
        <w:t>(Armesto, 2009; Peri et al., 2012)</w:t>
      </w:r>
      <w:r w:rsidR="004255E7" w:rsidRPr="008608AA">
        <w:fldChar w:fldCharType="end"/>
      </w:r>
      <w:r w:rsidR="004255E7" w:rsidRPr="008608AA">
        <w:t xml:space="preserve">. In Chile, where most of southern temperate forest is found, around 78% of the original forest remains </w:t>
      </w:r>
      <w:r w:rsidR="004255E7" w:rsidRPr="008608AA">
        <w:fldChar w:fldCharType="begin" w:fldLock="1"/>
      </w:r>
      <w:r w:rsidR="004255E7" w:rsidRPr="008608AA">
        <w:instrText>ADDIN CSL_CITATION { "citationItems" : [ { "id" : "ITEM-1", "itemData" : { "ISBN" : "9561118327", "abstract" : "Esta trabajo surge gracis a la necesidad de algunas instiutciones de conservacion de contar con una herramienta alternativa para la evalucion de la representatividad vegetacional de las areas protegidas de Chile, como un elemento de apoyo a la priorizacion de nuevas areas de proteccion. El analisis de la representatividad ecologia es la principal herramienta para el establecimiento de prioridades en la planificacion de areas protegidas e impone la necesidad de una delimitacion cartografica de unidades ecologicas a una escala adecuada para cuantifcar su superficie.", "author" : [ { "dropping-particle" : "", "family" : "Luebert", "given" : "F.", "non-dropping-particle" : "", "parse-names" : false, "suffix" : "" }, { "dropping-particle" : "", "family" : "Pliscoff", "given" : "P.", "non-dropping-particle" : "", "parse-names" : false, "suffix" : "" } ], "id" : "ITEM-1", "issued" : { "date-parts" : [ [ "2006" ] ] }, "publisher" : "Editorial Universitaria", "publisher-place" : "Santiago, Chile", "title" : "Sinopsis Bioclim\u00e1tica y Vegetacional de Chile", "type" : "book" }, "uris" : [ "http://www.mendeley.com/documents/?uuid=874007f8-4fc0-45e3-bd7c-b31c09f01fd0" ] } ], "mendeley" : { "formattedCitation" : "(Luebert &amp; Pliscoff, 2006)", "manualFormatting" : "(calculated from Luebert &amp; Pliscoff, 2006)", "plainTextFormattedCitation" : "(Luebert &amp; Pliscoff, 2006)", "previouslyFormattedCitation" : "(Luebert &amp; Pliscoff, 2006)" }, "properties" : { "noteIndex" : 0 }, "schema" : "https://github.com/citation-style-language/schema/raw/master/csl-citation.json" }</w:instrText>
      </w:r>
      <w:r w:rsidR="004255E7" w:rsidRPr="008608AA">
        <w:fldChar w:fldCharType="separate"/>
      </w:r>
      <w:r w:rsidR="004255E7" w:rsidRPr="008608AA">
        <w:rPr>
          <w:noProof/>
        </w:rPr>
        <w:t>(calculated from Luebert &amp; Pliscoff, 2006)</w:t>
      </w:r>
      <w:r w:rsidR="004255E7" w:rsidRPr="008608AA">
        <w:fldChar w:fldCharType="end"/>
      </w:r>
      <w:r w:rsidR="004255E7" w:rsidRPr="008608AA">
        <w:t>, thanks to large masses of remote forests in the southern part of the country, much of which is in protected areas. Several forest-dwelling mammals, nev</w:t>
      </w:r>
      <w:r w:rsidR="00984655" w:rsidRPr="008608AA">
        <w:t>ertheless, are threatened (e.g.</w:t>
      </w:r>
      <w:r w:rsidR="004255E7" w:rsidRPr="008608AA">
        <w:t xml:space="preserve"> Darwin´s fox: </w:t>
      </w:r>
      <w:r w:rsidR="004255E7" w:rsidRPr="008608AA">
        <w:rPr>
          <w:rStyle w:val="Emphasis"/>
          <w:bCs/>
          <w:color w:val="222222"/>
          <w:shd w:val="clear" w:color="auto" w:fill="FFFFFF"/>
        </w:rPr>
        <w:t>Pseudalopex fulvipes; huemul: Hippocamelus bisulcus</w:t>
      </w:r>
      <w:r w:rsidR="004255E7" w:rsidRPr="008608AA">
        <w:rPr>
          <w:rStyle w:val="Strong"/>
          <w:b w:val="0"/>
          <w:color w:val="222222"/>
          <w:shd w:val="clear" w:color="auto" w:fill="FFFFFF"/>
        </w:rPr>
        <w:t>), but overall southern temperate forest biodiversity in a far better state than in the Mediterranean-type climate forests to its north.</w:t>
      </w:r>
    </w:p>
    <w:p w14:paraId="790B297F" w14:textId="77777777" w:rsidR="004255E7" w:rsidRPr="008608AA" w:rsidRDefault="004255E7" w:rsidP="00A11ECA">
      <w:pPr>
        <w:spacing w:after="120"/>
      </w:pPr>
      <w:r w:rsidRPr="008608AA">
        <w:t xml:space="preserve">Plant species (including trees) richness in southern temperate forests is low (Table 3.4). Tree species richness drops off dramatically with latitude, while mean latitudinal range size increases </w:t>
      </w:r>
      <w:r w:rsidRPr="008608AA">
        <w:fldChar w:fldCharType="begin" w:fldLock="1"/>
      </w:r>
      <w:r w:rsidRPr="008608AA">
        <w:instrText>ADDIN CSL_CITATION { "citationItems" : [ { "id" : "ITEM-1", "itemData" : { "DOI" : "10.1007/978-1-4612-3970-3_8", "ISBN" : "978-1-4612-8453-6", "author" : [ { "dropping-particle" : "", "family" : "Arroyo", "given" : "M. T. K.", "non-dropping-particle" : "", "parse-names" : false, "suffix" : "" }, { "dropping-particle" : "", "family" : "Riveros", "given" : "M.", "non-dropping-particle" : "", "parse-names" : false, "suffix" : "" }, { "dropping-particle" : "", "family" : "Penaloza", "given" : "A", "non-dropping-particle" : "", "parse-names" : false, "suffix" : "" }, { "dropping-particle" : "", "family" : "Cavieres", "given" : "L.", "non-dropping-particle" : "", "parse-names" : false, "suffix" : "" }, { "dropping-particle" : "", "family" : "Faggi", "given" : "A. M.", "non-dropping-particle" : "", "parse-names" : false, "suffix" : "" } ], "container-title" : "High-Latitude Rainforests and Associated Ecosystems of the West Coast of the Americas.", "editor" : [ { "dropping-particle" : "", "family" : "Lawford", "given" : "R.G.", "non-dropping-particle" : "", "parse-names" : false, "suffix" : "" }, { "dropping-particle" : "", "family" : "Fuentes", "given" : "E.", "non-dropping-particle" : "", "parse-names" : false, "suffix" : "" }, { "dropping-particle" : "", "family" : "Alaback", "given" : "P.B.", "non-dropping-particle" : "", "parse-names" : false, "suffix" : "" } ], "id" : "ITEM-1", "issued" : { "date-parts" : [ [ "1996" ] ] }, "page" : "134-172", "publisher" : "Springer", "publisher-place" : "New York, USA", "title" : "Phytogeographic relationships and regional richness patterns of the cool temperate rainforest flora of southern South America", "type" : "chapter" }, "uris" : [ "http://www.mendeley.com/documents/?uuid=da328a08-718d-399b-8aab-25439c2b6806" ] } ], "mendeley" : { "formattedCitation" : "(M. T. K. Arroyo, Riveros, Penaloza, Cavieres, &amp; Faggi, 1996)", "manualFormatting" : "(Arroyo et al., 1996)", "plainTextFormattedCitation" : "(M. T. K. Arroyo, Riveros, Penaloza, Cavieres, &amp; Faggi, 1996)", "previouslyFormattedCitation" : "(M. T. K. Arroyo, Riveros, Penaloza, Cavieres, &amp; Faggi, 1996)" }, "properties" : { "noteIndex" : 0 }, "schema" : "https://github.com/citation-style-language/schema/raw/master/csl-citation.json" }</w:instrText>
      </w:r>
      <w:r w:rsidRPr="008608AA">
        <w:fldChar w:fldCharType="separate"/>
      </w:r>
      <w:r w:rsidRPr="008608AA">
        <w:rPr>
          <w:noProof/>
        </w:rPr>
        <w:t>(Arroyo et al., 1996)</w:t>
      </w:r>
      <w:r w:rsidRPr="008608AA">
        <w:fldChar w:fldCharType="end"/>
      </w:r>
      <w:r w:rsidRPr="008608AA">
        <w:t xml:space="preserve">. However, interestingly, these forests have higher woody phylogenetic diversity relative to their species richness than South American forests from lower latitudes </w:t>
      </w:r>
      <w:r w:rsidRPr="008608AA">
        <w:fldChar w:fldCharType="begin" w:fldLock="1"/>
      </w:r>
      <w:r w:rsidRPr="008608AA">
        <w:instrText>ADDIN CSL_CITATION { "citationItems" : [ { "id" : "ITEM-1", "itemData" : { "DOI" : "10.21425/F59232082", "ISBN" : "9780980200454", "ISSN" : "1948-6596", "PMID" : "24696751", "abstract" : "Nowhere are tensions between motorists, bicyclists and buses higher than in San Francisco, the birthplace of the freeway revolts, the Transit First ordinance, and Critical Mass. In Street Fight, geographer Jason Henderson offers a fresh perspective into the battle for limited urban road space, delving into the ideologies underlying the politics of mobility. Released this spring, his first book proves a provocative read for those engaged in sustainability and urban livability debates", "author" : [ { "dropping-particle" : "", "family" : "Rezende", "given" : "Vanessa Leite", "non-dropping-particle" : "", "parse-names" : false, "suffix" : "" } ], "container-title" : "Frontiers of Biogeography", "id" : "ITEM-1", "issue" : "2", "issued" : { "date-parts" : [ [ "2017" ] ] }, "page" : "0-6", "title" : "Tree species distribution and phylogenetic diversity across southern South America", "type" : "article-journal", "volume" : "9" }, "uris" : [ "http://www.mendeley.com/documents/?uuid=861a77c7-6e53-452c-9f58-8cdd5fa36e8b" ] } ], "mendeley" : { "formattedCitation" : "(Rezende, 2017)", "plainTextFormattedCitation" : "(Rezende, 2017)", "previouslyFormattedCitation" : "(Rezende, 2017)" }, "properties" : { "noteIndex" : 0 }, "schema" : "https://github.com/citation-style-language/schema/raw/master/csl-citation.json" }</w:instrText>
      </w:r>
      <w:r w:rsidRPr="008608AA">
        <w:fldChar w:fldCharType="separate"/>
      </w:r>
      <w:r w:rsidRPr="008608AA">
        <w:rPr>
          <w:noProof/>
        </w:rPr>
        <w:t>(Rezende, 2017)</w:t>
      </w:r>
      <w:r w:rsidRPr="008608AA">
        <w:fldChar w:fldCharType="end"/>
      </w:r>
      <w:r w:rsidRPr="008608AA">
        <w:t xml:space="preserve">. Iconic organisms, including the smallest deer and one of the most long-lived tree species in the world, are important tourist attractions. Geographic isolation has fostered outstanding endemism levels across a wide array of taxa </w:t>
      </w:r>
      <w:r w:rsidRPr="008608AA">
        <w:fldChar w:fldCharType="begin" w:fldLock="1"/>
      </w:r>
      <w:r w:rsidRPr="008608AA">
        <w:instrText>ADDIN CSL_CITATION { "citationItems" : [ { "id" : "ITEM-1", "itemData" : { "DOI" : "10.1007/978-1-4612-3970-3_8", "ISBN" : "978-1-4612-8453-6", "author" : [ { "dropping-particle" : "", "family" : "Arroyo", "given" : "M. T. K.", "non-dropping-particle" : "", "parse-names" : false, "suffix" : "" }, { "dropping-particle" : "", "family" : "Riveros", "given" : "M.", "non-dropping-particle" : "", "parse-names" : false, "suffix" : "" }, { "dropping-particle" : "", "family" : "Penaloza", "given" : "A", "non-dropping-particle" : "", "parse-names" : false, "suffix" : "" }, { "dropping-particle" : "", "family" : "Cavieres", "given" : "L.", "non-dropping-particle" : "", "parse-names" : false, "suffix" : "" }, { "dropping-particle" : "", "family" : "Faggi", "given" : "A. M.", "non-dropping-particle" : "", "parse-names" : false, "suffix" : "" } ], "container-title" : "High-Latitude Rainforests and Associated Ecosystems of the West Coast of the Americas.", "editor" : [ { "dropping-particle" : "", "family" : "Lawford", "given" : "R.G.", "non-dropping-particle" : "", "parse-names" : false, "suffix" : "" }, { "dropping-particle" : "", "family" : "Fuentes", "given" : "E.", "non-dropping-particle" : "", "parse-names" : false, "suffix" : "" }, { "dropping-particle" : "", "family" : "Alaback", "given" : "P.B.", "non-dropping-particle" : "", "parse-names" : false, "suffix" : "" } ], "id" : "ITEM-1", "issued" : { "date-parts" : [ [ "1996" ] ] }, "page" : "134-172", "publisher" : "Springer", "publisher-place" : "New York, USA", "title" : "Phytogeographic relationships and regional richness patterns of the cool temperate rainforest flora of southern South America", "type" : "chapter" }, "uris" : [ "http://www.mendeley.com/documents/?uuid=da328a08-718d-399b-8aab-25439c2b6806" ] }, { "id" : "ITEM-2", "itemData" : { "ISBN" : "0946888337", "abstract" : "Over twenty-five percent of all avian species have restricted ranges (50,000 square kilometers or less), most of which are declining because of habitat loss. This book presents a concise yet highly detailed overview of 218 Endemic Bird Areas (EBA's) (defined in the book as geographic areas having two or more overlapping restricted bird ranges), which collectively house over ninety percent of these species. One of the results of this decade long project was to demonstrate that biodiversity conservation can be accomplished by focussing efforts on these relatively small geographic areas. Following introductory information chapters, the bulk of the text is taken by accounts describing each of the EBA's. The accounts have maps, photographs, charts, and text describing general characteristics, restricted-range species found therein, and threats conservation. The text closes with appendices, a list of references, and an index.", "author" : [ { "dropping-particle" : "", "family" : "Stattersfield", "given" : "A. J.", "non-dropping-particle" : "", "parse-names" : false, "suffix" : "" }, { "dropping-particle" : "", "family" : "Crosby", "given" : "M. J.", "non-dropping-particle" : "", "parse-names" : false, "suffix" : "" }, { "dropping-particle" : "", "family" : "Long", "given" : "A. J.", "non-dropping-particle" : "", "parse-names" : false, "suffix" : "" }, { "dropping-particle" : "", "family" : "Wege", "given" : "D. C.", "non-dropping-particle" : "", "parse-names" : false, "suffix" : "" } ], "id" : "ITEM-2", "issued" : { "date-parts" : [ [ "1998" ] ] }, "publisher" : "BirdLife International", "publisher-place" : "Cambridge, UK", "title" : "Endemic Bird Areas of the World: Priorities for Biodiversity Conservation", "type" : "book" }, "uris" : [ "http://www.mendeley.com/documents/?uuid=d6f65d54-f26b-31ea-b4c7-868d8c4895d9" ] }, { "id" : "ITEM-3", "itemData" : { "ISBN" : "0716-078X", "ISSN" : "0716078X", "PMID" : "199800316745", "abstract" : "The sharp climatic contrast from east-west in subtropical and temperate South America is caused to a great extent by the Andean topography. This contrast determines a continuous and arid vegetational belt that crosses diagonally the continent from SE to NW, interrupting the region of the Chilean-Argentinean southern forests from other forests of South America, the so called 'Arid Diagonal of South America'. The purpose of this paper is to study the particular history of the process of isolation of the southern forests, using the phytogeographical and paleobotanical perspectives. The comparisons of the taxa richness, at different taxonomic levels, degrees of endermism, and geographical distribution ranges of species show the particular characteristics of the southern South American forests, which were interpreted as a syndrome of long-lasting geographical isolation. Thus, the great diversity of families represented in these forests (48.9% of the vascular flora of continental Chile) contrasts with the small number of species (7.8%); high frequency of taxonomically isolated genera (monotypics, 21%); and the high percentage of endemic seed plant species (90%), all suggests that the isolation of these forests and high rates of extinctions are of great geological antiquity. The phytogeographical analysts at a generic level shows that the endemic component of these forests is also very high (32%). The high proportion of neotropical (28%) and australasian (20%) elements is marked, pointing to floristical connections with distant territories, such as Australasia and tropical South America. The phytogeographical analysis based on the Chilean fossil record dating to the Tertiary shows that approximately 60% of the tropical genera present in Chilean paleo-forests disappeared at the end of the Paleogene. This resulted from a significant northern retreat of the tropical belt of the Southern Hemisphere, which was in turn a consequence of the separation between Australia and Antarctic continents, as well as subsequent changes in the oceanic and climatic systems associated with the formation of the East Antarctic ice cap. A number of remnant tropical genera still survive in the tropical Province of Yungas. A great proportion of the present endemic element of the Chilean-Argentinean forests is registered during the Neogene, but it was during the Miocene when similar floristic assemblages analogous to some of the actual types of subtropical and temperature forests rised, \u2026", "author" : [ { "dropping-particle" : "", "family" : "Villagr\u00e1n", "given" : "C.", "non-dropping-particle" : "", "parse-names" : false, "suffix" : "" }, { "dropping-particle" : "", "family" : "Hinojosa", "given" : "L. F.", "non-dropping-particle" : "", "parse-names" : false, "suffix" : "" } ], "container-title" : "Revista Chilena de Historia Natural", "id" : "ITEM-3", "issue" : "2", "issued" : { "date-parts" : [ [ "1997" ] ] }, "page" : "241-267", "title" : "History of the forests of southern South America .2. phytogeographical analysis", "type" : "article-journal", "volume" : "70" }, "uris" : [ "http://www.mendeley.com/documents/?uuid=058407fd-61eb-3186-b48f-4ba675cd5df5" ] }, { "id" : "ITEM-4", "itemData" : { "DOI" : "10.2307/40168287", "ISBN" : "0-943610-44-3", "ISSN" : "00786594", "abstract" : "The beech (Nothofagus) forests of Patagonia (southern South Amer- ica) are isolated from other South American forests by 1100 (Andean forests of northwestern Argentina) to 1400 (lowland forests of southern Brazil) km of nonforest vegetation (including matorral, steppe, monte, espinal, pampa grassland, chaco wood- land). This isolation makes the Nothofagus forest biome an island-like biota. Its avifauna includes 46 species of 40 genera, in 2 1 families of breeding landbirds. The patterns of ecological, elevational, and latitudinal distribution of these forest-inhab- iting species of birds suggest that they have a wide habitat-niche, a pattern charac- teristic of truly insular taxa. Isolate formation has taken place in populations of a few species living on outlying islands but has led to insular speciation in three cases only, in the genera Aphrastura, Anairetes, and Sephanoides. The majority of forest species show no geographical variation on the continent. Only two cases of actual or potential continental speciation were detected, in the genera Pteroptochos and Scytalo- pus. Both are centered on the valley of the Rio Bio-Bio (central Chile), which may act as a barrier to gene flow. Several forest-dwelling allospecies are members of superspecies including one or more other allospecies that occupy forest or nonforest vegetation elsewhere in South America or in North America. Endemism is high in the Patagonian forest avifauna; about 4 1 percent of the species and allospecies, and 10 percent of the genera, are restricted in their distribution to the Nothofagus forest region. Levels of endemism were analyzed taking into account three different clas- sifications of these birds, in order to assess the effects of changes in taxonomic practice on our evaluation of endemism. Levels of endemism in Patagonian forest birds (inhabiting a habitat island) are intermediate between the lower levels found in Tas- manian forest birds (a continental island) and the high levels found in New Zealand forest birds (an oceanic island group). Endemism in Patagonian forest birds is con- centrated among the species that belong to families now distributed in South America, or to families that have been attributed to old autochthonous faunal elements (es- pecially the Furnariidae and the Rhinocryptidae). The implications of these findings are discussed in terms of the Cenozoic history of the Patagonian forest region. The cycles of glaciation and deglaciation of the Pleistocene have \u2026", "author" : [ { "dropping-particle" : "", "family" : "Vuilleumier", "given" : "Francois", "non-dropping-particle" : "", "parse-names" : false, "suffix" : "" } ], "container-title" : "Ornithological Monographs", "id" : "ITEM-4", "issued" : { "date-parts" : [ [ "1985" ] ] }, "page" : "255-304", "title" : "Forest birds of Patagonia: ecological geography, speciation, endemism, and faunal history", "type" : "article-journal", "volume" : "36" }, "uris" : [ "http://www.mendeley.com/documents/?uuid=9b745773-de19-38d6-80a2-ef8a925438a2" ] } ], "mendeley" : { "formattedCitation" : "(M. T. K. Arroyo et al., 1996; Stattersfield, Crosby, Long, &amp; Wege, 1998; Villagr\u00e1n &amp; Hinojosa, 1997; Vuilleumier, 1985)", "manualFormatting" : "(Arroyo et al., 1996; Stattersfield et al., 1998; Villagr\u00e1n &amp; Hinojosa, 1997; Vuilleumier, 1985)", "plainTextFormattedCitation" : "(M. T. K. Arroyo et al., 1996; Stattersfield, Crosby, Long, &amp; Wege, 1998; Villagr\u00e1n &amp; Hinojosa, 1997; Vuilleumier, 1985)", "previouslyFormattedCitation" : "(M. T. K. Arroyo et al., 1996; Stattersfield, Crosby, Long, &amp; Wege, 1998; Villagr\u00e1n &amp; Hinojosa, 1997; Vuilleumier, 1985)" }, "properties" : { "noteIndex" : 0 }, "schema" : "https://github.com/citation-style-language/schema/raw/master/csl-citation.json" }</w:instrText>
      </w:r>
      <w:r w:rsidRPr="008608AA">
        <w:fldChar w:fldCharType="separate"/>
      </w:r>
      <w:r w:rsidRPr="008608AA">
        <w:rPr>
          <w:noProof/>
        </w:rPr>
        <w:t>(Arroyo et al., 1996; Stattersfield et al., 1998; Villagrán &amp; Hinojosa, 1997; Vuilleumier, 1985)</w:t>
      </w:r>
      <w:r w:rsidRPr="008608AA">
        <w:fldChar w:fldCharType="end"/>
      </w:r>
      <w:r w:rsidRPr="008608AA">
        <w:t xml:space="preserve"> and include a third of woody plant genera, two woody families </w:t>
      </w:r>
      <w:r w:rsidRPr="008608AA">
        <w:fldChar w:fldCharType="begin" w:fldLock="1"/>
      </w:r>
      <w:r w:rsidRPr="008608AA">
        <w:instrText>ADDIN CSL_CITATION { "citationItems" : [ { "id" : "ITEM-1", "itemData" : { "DOI" : "10.1007/978-1-4612-3970-3_8", "ISBN" : "978-1-4612-8453-6", "author" : [ { "dropping-particle" : "", "family" : "Arroyo", "given" : "M. T. K.", "non-dropping-particle" : "", "parse-names" : false, "suffix" : "" }, { "dropping-particle" : "", "family" : "Riveros", "given" : "M.", "non-dropping-particle" : "", "parse-names" : false, "suffix" : "" }, { "dropping-particle" : "", "family" : "Penaloza", "given" : "A", "non-dropping-particle" : "", "parse-names" : false, "suffix" : "" }, { "dropping-particle" : "", "family" : "Cavieres", "given" : "L.", "non-dropping-particle" : "", "parse-names" : false, "suffix" : "" }, { "dropping-particle" : "", "family" : "Faggi", "given" : "A. M.", "non-dropping-particle" : "", "parse-names" : false, "suffix" : "" } ], "container-title" : "High-Latitude Rainforests and Associated Ecosystems of the West Coast of the Americas.", "editor" : [ { "dropping-particle" : "", "family" : "Lawford", "given" : "R.G.", "non-dropping-particle" : "", "parse-names" : false, "suffix" : "" }, { "dropping-particle" : "", "family" : "Fuentes", "given" : "E.", "non-dropping-particle" : "", "parse-names" : false, "suffix" : "" }, { "dropping-particle" : "", "family" : "Alaback", "given" : "P.B.", "non-dropping-particle" : "", "parse-names" : false, "suffix" : "" } ], "id" : "ITEM-1", "issued" : { "date-parts" : [ [ "1996" ] ] }, "page" : "134-172", "publisher" : "Springer", "publisher-place" : "New York, USA", "title" : "Phytogeographic relationships and regional richness patterns of the cool temperate rainforest flora of southern South America", "type" : "chapter" }, "uris" : [ "http://www.mendeley.com/documents/?uuid=da328a08-718d-399b-8aab-25439c2b6806" ] } ], "mendeley" : { "formattedCitation" : "(M. T. K. Arroyo et al., 1996)", "manualFormatting" : "(Arroyo et al., 1996)", "plainTextFormattedCitation" : "(M. T. K. Arroyo et al., 1996)", "previouslyFormattedCitation" : "(M. T. K. Arroyo et al., 1996)" }, "properties" : { "noteIndex" : 0 }, "schema" : "https://github.com/citation-style-language/schema/raw/master/csl-citation.json" }</w:instrText>
      </w:r>
      <w:r w:rsidRPr="008608AA">
        <w:fldChar w:fldCharType="separate"/>
      </w:r>
      <w:r w:rsidRPr="008608AA">
        <w:rPr>
          <w:noProof/>
        </w:rPr>
        <w:t>(Arroyo et al., 1996)</w:t>
      </w:r>
      <w:r w:rsidRPr="008608AA">
        <w:fldChar w:fldCharType="end"/>
      </w:r>
      <w:r w:rsidRPr="008608AA">
        <w:t xml:space="preserve">, and almost all trees </w:t>
      </w:r>
      <w:r w:rsidRPr="008608AA">
        <w:fldChar w:fldCharType="begin" w:fldLock="1"/>
      </w:r>
      <w:r w:rsidRPr="008608AA">
        <w:instrText>ADDIN CSL_CITATION { "citationItems" : [ { "id" : "ITEM-1", "itemData" : { "ISBN" : "0716-078X", "ISSN" : "0716078X", "PMID" : "199800316745", "abstract" : "The sharp climatic contrast from east-west in subtropical and temperate South America is caused to a great extent by the Andean topography. This contrast determines a continuous and arid vegetational belt that crosses diagonally the continent from SE to NW, interrupting the region of the Chilean-Argentinean southern forests from other forests of South America, the so called 'Arid Diagonal of South America'. The purpose of this paper is to study the particular history of the process of isolation of the southern forests, using the phytogeographical and paleobotanical perspectives. The comparisons of the taxa richness, at different taxonomic levels, degrees of endermism, and geographical distribution ranges of species show the particular characteristics of the southern South American forests, which were interpreted as a syndrome of long-lasting geographical isolation. Thus, the great diversity of families represented in these forests (48.9% of the vascular flora of continental Chile) contrasts with the small number of species (7.8%); high frequency of taxonomically isolated genera (monotypics, 21%); and the high percentage of endemic seed plant species (90%), all suggests that the isolation of these forests and high rates of extinctions are of great geological antiquity. The phytogeographical analysts at a generic level shows that the endemic component of these forests is also very high (32%). The high proportion of neotropical (28%) and australasian (20%) elements is marked, pointing to floristical connections with distant territories, such as Australasia and tropical South America. The phytogeographical analysis based on the Chilean fossil record dating to the Tertiary shows that approximately 60% of the tropical genera present in Chilean paleo-forests disappeared at the end of the Paleogene. This resulted from a significant northern retreat of the tropical belt of the Southern Hemisphere, which was in turn a consequence of the separation between Australia and Antarctic continents, as well as subsequent changes in the oceanic and climatic systems associated with the formation of the East Antarctic ice cap. A number of remnant tropical genera still survive in the tropical Province of Yungas. A great proportion of the present endemic element of the Chilean-Argentinean forests is registered during the Neogene, but it was during the Miocene when similar floristic assemblages analogous to some of the actual types of subtropical and temperature forests rised, \u2026", "author" : [ { "dropping-particle" : "", "family" : "Villagr\u00e1n", "given" : "C.", "non-dropping-particle" : "", "parse-names" : false, "suffix" : "" }, { "dropping-particle" : "", "family" : "Hinojosa", "given" : "L. F.", "non-dropping-particle" : "", "parse-names" : false, "suffix" : "" } ], "container-title" : "Revista Chilena de Historia Natural", "id" : "ITEM-1", "issue" : "2", "issued" : { "date-parts" : [ [ "1997" ] ] }, "page" : "241-267", "title" : "History of the forests of southern South America .2. phytogeographical analysis", "type" : "article-journal", "volume" : "70" }, "uris" : [ "http://www.mendeley.com/documents/?uuid=058407fd-61eb-3186-b48f-4ba675cd5df5" ] } ], "mendeley" : { "formattedCitation" : "(Villagr\u00e1n &amp; Hinojosa, 1997)", "plainTextFormattedCitation" : "(Villagr\u00e1n &amp; Hinojosa, 1997)", "previouslyFormattedCitation" : "(Villagr\u00e1n &amp; Hinojosa, 1997)" }, "properties" : { "noteIndex" : 0 }, "schema" : "https://github.com/citation-style-language/schema/raw/master/csl-citation.json" }</w:instrText>
      </w:r>
      <w:r w:rsidRPr="008608AA">
        <w:fldChar w:fldCharType="separate"/>
      </w:r>
      <w:r w:rsidRPr="008608AA">
        <w:rPr>
          <w:noProof/>
        </w:rPr>
        <w:t>(Villagrán &amp; Hinojosa, 1997)</w:t>
      </w:r>
      <w:r w:rsidRPr="008608AA">
        <w:fldChar w:fldCharType="end"/>
      </w:r>
      <w:r w:rsidRPr="008608AA">
        <w:t xml:space="preserve">; several endemics are shared with Mediterranean forest. Comprehensive surveys reveal large numbers of edible, medicinal, dye, basketry and ornamental plants and edible fungi in these forests used by indigenous peoples and local people </w:t>
      </w:r>
      <w:r w:rsidRPr="008608AA">
        <w:fldChar w:fldCharType="begin" w:fldLock="1"/>
      </w:r>
      <w:r w:rsidRPr="008608AA">
        <w:instrText>ADDIN CSL_CITATION { "citationItems" : [ { "id" : "ITEM-1", "itemData" : { "ISBN" : "9563101405", "author" : [ { "dropping-particle" : "", "family" : "Tac\u00f3n", "given" : "A.", "non-dropping-particle" : "", "parse-names" : false, "suffix" : "" }, { "dropping-particle" : "", "family" : "Palma", "given" : "J.", "non-dropping-particle" : "", "parse-names" : false, "suffix" : "" }, { "dropping-particle" : "", "family" : "Fern\u00e1ndez", "given" : "U.", "non-dropping-particle" : "", "parse-names" : false, "suffix" : "" }, { "dropping-particle" : "", "family" : "Ortega", "given" : "F.", "non-dropping-particle" : "", "parse-names" : false, "suffix" : "" } ], "id" : "ITEM-1", "issued" : { "date-parts" : [ [ "2006" ] ] }, "publisher" : "WWF Chile and Red de Productos Forestales No Madereros de Chile", "publisher-place" : "Valdivia, Chile", "title" : "El Mercado de los Productoss Forestales no Madereros y la Conservation de los Bosques del Sur de Chile y Argentina", "type" : "book" }, "uris" : [ "http://www.mendeley.com/documents/?uuid=de85b2b2-19d8-4b89-811c-3ea539aac2c8" ] } ], "mendeley" : { "formattedCitation" : "(Tac\u00f3n, Palma, Fern\u00e1ndez, &amp; Ortega, 2006)", "manualFormatting" : "(Tac\u00f3n et al., 2006)", "plainTextFormattedCitation" : "(Tac\u00f3n, Palma, Fern\u00e1ndez, &amp; Ortega, 2006)", "previouslyFormattedCitation" : "(Tac\u00f3n, Palma, Fern\u00e1ndez, &amp; Ortega, 2006)" }, "properties" : { "noteIndex" : 0 }, "schema" : "https://github.com/citation-style-language/schema/raw/master/csl-citation.json" }</w:instrText>
      </w:r>
      <w:r w:rsidRPr="008608AA">
        <w:fldChar w:fldCharType="separate"/>
      </w:r>
      <w:r w:rsidRPr="008608AA">
        <w:rPr>
          <w:noProof/>
        </w:rPr>
        <w:t>(Tacón et al., 2006)</w:t>
      </w:r>
      <w:r w:rsidRPr="008608AA">
        <w:fldChar w:fldCharType="end"/>
      </w:r>
      <w:r w:rsidRPr="008608AA">
        <w:t xml:space="preserve">. The important ecosystem services supplied by southern temperate forests are enhanced by an especially high level of protection in the far southern part of their distribution </w:t>
      </w:r>
      <w:r w:rsidRPr="008608AA">
        <w:fldChar w:fldCharType="begin" w:fldLock="1"/>
      </w:r>
      <w:r w:rsidRPr="008608AA">
        <w:instrText>ADDIN CSL_CITATION { "citationItems" : [ { "id" : "ITEM-1", "itemData" : { "ISBN" : "9561118327", "abstract" : "Esta trabajo surge gracis a la necesidad de algunas instiutciones de conservacion de contar con una herramienta alternativa para la evalucion de la representatividad vegetacional de las areas protegidas de Chile, como un elemento de apoyo a la priorizacion de nuevas areas de proteccion. El analisis de la representatividad ecologia es la principal herramienta para el establecimiento de prioridades en la planificacion de areas protegidas e impone la necesidad de una delimitacion cartografica de unidades ecologicas a una escala adecuada para cuantifcar su superficie.", "author" : [ { "dropping-particle" : "", "family" : "Luebert", "given" : "F.", "non-dropping-particle" : "", "parse-names" : false, "suffix" : "" }, { "dropping-particle" : "", "family" : "Pliscoff", "given" : "P.", "non-dropping-particle" : "", "parse-names" : false, "suffix" : "" } ], "id" : "ITEM-1", "issued" : { "date-parts" : [ [ "2006" ] ] }, "publisher" : "Editorial Universitaria", "publisher-place" : "Santiago, Chile", "title" : "Sinopsis Bioclim\u00e1tica y Vegetacional de Chile", "type" : "book" }, "uris" : [ "http://www.mendeley.com/documents/?uuid=874007f8-4fc0-45e3-bd7c-b31c09f01fd0" ] } ], "mendeley" : { "formattedCitation" : "(Luebert &amp; Pliscoff, 2006)", "plainTextFormattedCitation" : "(Luebert &amp; Pliscoff, 2006)", "previouslyFormattedCitation" : "(Luebert &amp; Pliscoff, 2006)" }, "properties" : { "noteIndex" : 0 }, "schema" : "https://github.com/citation-style-language/schema/raw/master/csl-citation.json" }</w:instrText>
      </w:r>
      <w:r w:rsidRPr="008608AA">
        <w:fldChar w:fldCharType="separate"/>
      </w:r>
      <w:r w:rsidRPr="008608AA">
        <w:rPr>
          <w:noProof/>
        </w:rPr>
        <w:t>(Luebert &amp; Pliscoff, 2006)</w:t>
      </w:r>
      <w:r w:rsidRPr="008608AA">
        <w:fldChar w:fldCharType="end"/>
      </w:r>
      <w:r w:rsidRPr="008608AA">
        <w:t>.</w:t>
      </w:r>
    </w:p>
    <w:p w14:paraId="3C43D2D1" w14:textId="1C8BC966" w:rsidR="004255E7" w:rsidRPr="008608AA" w:rsidRDefault="007D4553" w:rsidP="00A11ECA">
      <w:pPr>
        <w:spacing w:after="120"/>
      </w:pPr>
      <w:r w:rsidRPr="008608AA">
        <w:rPr>
          <w:iCs/>
        </w:rPr>
        <w:t xml:space="preserve">Recent trends. </w:t>
      </w:r>
      <w:r w:rsidR="004255E7" w:rsidRPr="008608AA">
        <w:t xml:space="preserve">Substantial habitat loss has occurred in the northern part of South American temperate forests over the past 40–50 years. The main losses came from deforestation for plantation forestry, farming, and raising of livestock. From the mid to late 90s until around 2013, 138,000 ha of native forest were lost in southern Chile, principally to plantation forestry (70%) </w:t>
      </w:r>
      <w:r w:rsidR="004255E7" w:rsidRPr="008608AA">
        <w:fldChar w:fldCharType="begin" w:fldLock="1"/>
      </w:r>
      <w:r w:rsidR="004255E7" w:rsidRPr="008608AA">
        <w:instrText>ADDIN CSL_CITATION { "citationItems" : [ { "id" : "ITEM-1", "itemData" : { "author" : [ { "dropping-particle" : "", "family" : "Instituto de Asuntos P\u00fablicos-Centro de An\u00e1lisis de Pol\u00edticas P\u00fablicas", "given" : "", "non-dropping-particle" : "", "parse-names" : false, "suffix" : "" } ], "id" : "ITEM-1", "issued" : { "date-parts" : [ [ "2016" ] ] }, "publisher" : "Universidad de Chile", "publisher-place" : "Santiago, Chile", "title" : "Informe Pa\u00eds: Estado del Medio Ambiente en Chile. Comparaci\u00f3n 1999 - 2015", "type" : "report" }, "uris" : [ "http://www.mendeley.com/documents/?uuid=5f3c3744-3600-492d-8c9f-451cc49c6298" ] } ], "mendeley" : { "formattedCitation" : "(Instituto de Asuntos P\u00fablicos-Centro de An\u00e1lisis de Pol\u00edticas P\u00fablicas, 2016)", "plainTextFormattedCitation" : "(Instituto de Asuntos P\u00fablicos-Centro de An\u00e1lisis de Pol\u00edticas P\u00fablicas, 2016)", "previouslyFormattedCitation" : "(Instituto de Asuntos P\u00fablicos-Centro de An\u00e1lisis de Pol\u00edticas P\u00fablicas, 2016)" }, "properties" : { "noteIndex" : 0 }, "schema" : "https://github.com/citation-style-language/schema/raw/master/csl-citation.json" }</w:instrText>
      </w:r>
      <w:r w:rsidR="004255E7" w:rsidRPr="008608AA">
        <w:fldChar w:fldCharType="separate"/>
      </w:r>
      <w:r w:rsidR="004255E7" w:rsidRPr="008608AA">
        <w:rPr>
          <w:noProof/>
        </w:rPr>
        <w:t>(Instituto de Asuntos Públicos-Centro de Análisis de Políticas Públicas, 2016)</w:t>
      </w:r>
      <w:r w:rsidR="004255E7" w:rsidRPr="008608AA">
        <w:fldChar w:fldCharType="end"/>
      </w:r>
      <w:r w:rsidR="004255E7" w:rsidRPr="008608AA">
        <w:t xml:space="preserve">. From 1985 to 2011 a total gross loss of temperate forest of 30% was reported for the Coast Range in Chile but the net woody cover loss was only 5.1% due to other shrubland and agricultural and pasture land being converted to secondary forest following natural regeneration </w:t>
      </w:r>
      <w:r w:rsidR="004255E7" w:rsidRPr="008608AA">
        <w:fldChar w:fldCharType="begin" w:fldLock="1"/>
      </w:r>
      <w:r w:rsidR="004255E7" w:rsidRPr="008608AA">
        <w:instrText>ADDIN CSL_CITATION { "citationItems" : [ { "id" : "ITEM-1", "itemData" : { "DOI" : "10.1016/j.foreco.2015.02.025", "ISBN" : "0378-1127", "ISSN" : "03781127", "abstract" : "Although several studies have reported rates of deforestation and spatial patterns of native forest fragmentation, few have focused on the role of natural forest regeneration and exotic tree plantations on landscape dynamics. The objective of this study was to analyze the dynamics of land cover change in order to test the hypothesis that exotic tree plantations have caused a major transformation of temperate forest cover in southern Chile during the last three decades. We used three Landsat satellite images taken in 1985 (TM), 1999 (ETM+), and 2011 (TM) to quantify land cover change, together with a set of landscape indicators to describe the spatial configuration of land cover. Our results showed that the major changes were dynamic conversion among forest, exotic tree plantation and shrubland. During the study period, the area covered by exotic tree plantations increased by 168% (20,896-56,010. ha), at an annual rate of 3.8%, mostly at the expense of native forest and shrubland. There was a total gross loss of native forest of 30% (54,304 ha), but a net loss of initial cover of only 5.1% (9130 ha), at an annual net deforestation rate of 0.2%. The difference between gross and net loss of native forest was mostly the result of conversion of shrubland and agricultural and pasture land to secondary forest following natural regeneration. Over the course of the study period, exotic tree plantations showed a constant increase in patch density, total edge length, nearest-neighbor distance, and largest patch index; maximum mean patch size occurred in the middle of the study period. Native forest exhibited an increase and then a decrease in patch density and total edge length, whereas mean patch size and largest patch index were lowest in the middle of the period. Overall, the observed trends indicate expansion of exotic tree plantations and increase in native forest loss and fragmentation, particularly between 1985 and 1999. Forest loss included both old-growth and secondary forests, while native forest established after secondary succession differed in diversity, structure, and functionality from old-growth and old growth/secondary forests. Since different successional stages influence the provision of ecosystem services, the changes observed in our study are likely to have consequences for humans that extend beyond immediate changes in land use patterns.", "author" : [ { "dropping-particle" : "", "family" : "Zamorano-Elgueta", "given" : "Carlos", "non-dropping-particle" : "", "parse-names" : false, "suffix" : "" }, { "dropping-particle" : "", "family" : "Rey Benayas", "given" : "Jos\u00e9 Mar\u00eda", "non-dropping-particle" : "", "parse-names" : false, "suffix" : "" }, { "dropping-particle" : "", "family" : "Cayuela", "given" : "Luis", "non-dropping-particle" : "", "parse-names" : false, "suffix" : "" }, { "dropping-particle" : "", "family" : "Hantson", "given" : "Stijn", "non-dropping-particle" : "", "parse-names" : false, "suffix" : "" }, { "dropping-particle" : "", "family" : "Armenteras", "given" : "Dolors", "non-dropping-particle" : "", "parse-names" : false, "suffix" : "" } ], "container-title" : "Forest Ecology and Management", "id" : "ITEM-1", "issued" : { "date-parts" : [ [ "2015" ] ] }, "page" : "10-20", "title" : "Native forest replacement by exotic plantations in southern Chile (1985-2011) and partial compensation by natural regeneration", "type" : "article-journal", "volume" : "345" }, "uris" : [ "http://www.mendeley.com/documents/?uuid=53e0fb7e-0c94-3c8d-8d58-da28d7e775bb" ] } ], "mendeley" : { "formattedCitation" : "(Zamorano-Elgueta, Rey Benayas, Cayuela, Hantson, &amp; Armenteras, 2015)", "manualFormatting" : "(Zamorano-Elgueta et al., 2015)", "plainTextFormattedCitation" : "(Zamorano-Elgueta, Rey Benayas, Cayuela, Hantson, &amp; Armenteras, 2015)", "previouslyFormattedCitation" : "(Zamorano-Elgueta, Rey Benayas, Cayuela, Hantson, &amp; Armenteras, 2015)" }, "properties" : { "noteIndex" : 0 }, "schema" : "https://github.com/citation-style-language/schema/raw/master/csl-citation.json" }</w:instrText>
      </w:r>
      <w:r w:rsidR="004255E7" w:rsidRPr="008608AA">
        <w:fldChar w:fldCharType="separate"/>
      </w:r>
      <w:r w:rsidR="004255E7" w:rsidRPr="008608AA">
        <w:rPr>
          <w:noProof/>
        </w:rPr>
        <w:t>(Zamorano-Elgueta et al., 2015)</w:t>
      </w:r>
      <w:r w:rsidR="004255E7" w:rsidRPr="008608AA">
        <w:fldChar w:fldCharType="end"/>
      </w:r>
      <w:r w:rsidR="004255E7" w:rsidRPr="008608AA">
        <w:t xml:space="preserve">. </w:t>
      </w:r>
    </w:p>
    <w:p w14:paraId="10FB6223" w14:textId="77777777" w:rsidR="004255E7" w:rsidRPr="008608AA" w:rsidRDefault="004255E7" w:rsidP="00A11ECA">
      <w:pPr>
        <w:spacing w:after="120"/>
      </w:pPr>
      <w:r w:rsidRPr="008608AA">
        <w:t xml:space="preserve">Twelve introduced mammalian herbivores (including three species of deer and beaver) are found in the southernmost forests, leading to altered forest regeneration and increased exotic plant richness in some forest types </w:t>
      </w:r>
      <w:r w:rsidRPr="008608AA">
        <w:fldChar w:fldCharType="begin" w:fldLock="1"/>
      </w:r>
      <w:r w:rsidRPr="008608AA">
        <w:instrText>ADDIN CSL_CITATION { "citationItems" : [ { "id" : "ITEM-1", "itemData" : { "author" : [ { "dropping-particle" : "", "family" : "V\u00e1zquez", "given" : "D.P.", "non-dropping-particle" : "", "parse-names" : false, "suffix" : "" } ], "container-title" : "Biological Invasions", "id" : "ITEM-1", "issue" : "1-2", "issued" : { "date-parts" : [ [ "2002" ] ] }, "page" : "175-191", "title" : "Multiple effects of introduced mammalian herbivores in a temperate forest", "type" : "article-journal", "volume" : "4" }, "uris" : [ "http://www.mendeley.com/documents/?uuid=2b2fed9e-cf35-4d8c-bb41-030ecca59bc9" ] } ], "mendeley" : { "formattedCitation" : "(V\u00e1zquez, 2002)", "plainTextFormattedCitation" : "(V\u00e1zquez, 2002)", "previouslyFormattedCitation" : "(V\u00e1zquez, 2002)" }, "properties" : { "noteIndex" : 0 }, "schema" : "https://github.com/citation-style-language/schema/raw/master/csl-citation.json" }</w:instrText>
      </w:r>
      <w:r w:rsidRPr="008608AA">
        <w:fldChar w:fldCharType="separate"/>
      </w:r>
      <w:r w:rsidRPr="008608AA">
        <w:rPr>
          <w:noProof/>
        </w:rPr>
        <w:t>(Vázquez, 2002)</w:t>
      </w:r>
      <w:r w:rsidRPr="008608AA">
        <w:fldChar w:fldCharType="end"/>
      </w:r>
      <w:r w:rsidRPr="008608AA">
        <w:t xml:space="preserve">. Exotic plants are known to generate significant impacts on biodiversity of understory vascular plants, epigeal beetles and birds in </w:t>
      </w:r>
      <w:r w:rsidRPr="008608AA">
        <w:rPr>
          <w:i/>
        </w:rPr>
        <w:t>Nothofagus dombeyi</w:t>
      </w:r>
      <w:r w:rsidRPr="008608AA">
        <w:t xml:space="preserve"> forest by diminishing species richness, abundance and diversity and generating modifications in assemblage composition </w:t>
      </w:r>
      <w:r w:rsidRPr="008608AA">
        <w:fldChar w:fldCharType="begin" w:fldLock="1"/>
      </w:r>
      <w:r w:rsidRPr="008608AA">
        <w:instrText>ADDIN CSL_CITATION { "citationItems" : [ { "id" : "ITEM-1", "itemData" : { "DOI" : "10.1016/j.foreco.2007.11.015", "ISBN" : "0378-1127", "ISSN" : "03781127", "PMID" : "1597", "abstract" : "Plantations of exotic conifers are a potential threat to natural ecosystems in the Argentinean Patagonia and a major cause of native forest loss in Chile. We examined species diversity and composition of three different functional groups: understory vascular plants, epigeal beetles, and birds, in paired stands of relatively undisturbed Nothofagus dombeyi forest and coniferous plantations. We also characterized the structure of each stand. Exotic plantations generated significant impacts on biodiversity, diminishing species richness, abundance and diversity, and generating modifications in assemblage composition. Replacement of N. dombeyi forests by conifer plantations led to a homogenization of habitat structure at the stand scale. The largest impact was detected on understory plants, followed by the beetle and bird assemblages, supporting the view that the least vagile assemblages are most affected by habitat replacement. The most relevant modifications caused by the plantations on the structure and composition of the studied assemblages were a reduction in evenness in plants and beetles, an increase of exotic species richness from 16 to 29% in plants and from none to one species in birds, and a loss of rare and specialist species in all three assemblages. Our findings suggest that plantations with more open canopy could favor biodiversity by increasing individual abundance and species richness of all three assemblages. \u00a9 2007 Elsevier B.V. All rights reserved.", "author" : [ { "dropping-particle" : "", "family" : "Paritsis", "given" : "Juan", "non-dropping-particle" : "", "parse-names" : false, "suffix" : "" }, { "dropping-particle" : "", "family" : "Aizen", "given" : "Marcelo A.", "non-dropping-particle" : "", "parse-names" : false, "suffix" : "" } ], "container-title" : "Forest Ecology and Management", "id" : "ITEM-1", "issue" : "5-6", "issued" : { "date-parts" : [ [ "2008" ] ] }, "page" : "1575-1583", "title" : "Effects of exotic conifer plantations on the biodiversity of understory plants, epigeal beetles and birds in &lt;i&gt;Nothofagus dombeyi&lt;/i&gt; forests", "type" : "article-journal", "volume" : "255" }, "uris" : [ "http://www.mendeley.com/documents/?uuid=daa8a7bf-6735-38d5-9b66-cd562fe39b42" ] } ], "mendeley" : { "formattedCitation" : "(Paritsis &amp; Aizen, 2008)", "manualFormatting" : "(Paritsis &amp; Aizen, 2008)", "plainTextFormattedCitation" : "(Paritsis &amp; Aizen, 2008)", "previouslyFormattedCitation" : "(Paritsis &amp; Aizen, 2008)" }, "properties" : { "noteIndex" : 0 }, "schema" : "https://github.com/citation-style-language/schema/raw/master/csl-citation.json" }</w:instrText>
      </w:r>
      <w:r w:rsidRPr="008608AA">
        <w:fldChar w:fldCharType="separate"/>
      </w:r>
      <w:r w:rsidRPr="008608AA">
        <w:rPr>
          <w:noProof/>
        </w:rPr>
        <w:t>(Paritsis &amp; Aizen, 2008)</w:t>
      </w:r>
      <w:r w:rsidRPr="008608AA">
        <w:fldChar w:fldCharType="end"/>
      </w:r>
      <w:r w:rsidRPr="008608AA">
        <w:t xml:space="preserve">. The invasive </w:t>
      </w:r>
      <w:r w:rsidRPr="008608AA">
        <w:rPr>
          <w:i/>
        </w:rPr>
        <w:t>Ulex europeaus</w:t>
      </w:r>
      <w:r w:rsidRPr="008608AA">
        <w:t xml:space="preserve"> has become a serious threat to Chilean agriculture and plantation forestry in some parts of the temperate forest zone </w:t>
      </w:r>
      <w:r w:rsidRPr="008608AA">
        <w:fldChar w:fldCharType="begin" w:fldLock="1"/>
      </w:r>
      <w:r w:rsidRPr="008608AA">
        <w:instrText>ADDIN CSL_CITATION { "citationItems" : [ { "id" : "ITEM-1", "itemData" : { "author" : [ { "dropping-particle" : "", "family" : "Norambuena", "given" : "Hern\u00e1n", "non-dropping-particle" : "", "parse-names" : false, "suffix" : "" }, { "dropping-particle" : "", "family" : "Escobar", "given" : "Sergio", "non-dropping-particle" : "", "parse-names" : false, "suffix" : "" }, { "dropping-particle" : "", "family" : "Rodriguez", "given" : "F.", "non-dropping-particle" : "", "parse-names" : false, "suffix" : "" } ], "container-title" : "Proceedings of the International Symposium on Biological Control of Weeds", "editor" : [ { "dropping-particle" : "", "family" : "Spencer", "given" : "N. R.", "non-dropping-particle" : "", "parse-names" : false, "suffix" : "" } ], "id" : "ITEM-1", "issued" : { "date-parts" : [ [ "2000" ] ] }, "page" : "955-961", "publisher" : "Montana State University", "publisher-place" : "Bozeman, Montana, USA", "title" : "The biocontrol of Gorse, &lt;i&gt;Ulex europaeus&lt;/i&gt;, in Chile: a progress report", "type" : "chapter" }, "uris" : [ "http://www.mendeley.com/documents/?uuid=6b3361a9-3612-333e-a819-a9d057f2de44" ] } ], "mendeley" : { "formattedCitation" : "(Norambuena, Escobar, &amp; Rodriguez, 2000)", "manualFormatting" : "(Norambuena et al., 2000)", "plainTextFormattedCitation" : "(Norambuena, Escobar, &amp; Rodriguez, 2000)", "previouslyFormattedCitation" : "(Norambuena, Escobar, &amp; Rodriguez, 2000)" }, "properties" : { "noteIndex" : 0 }, "schema" : "https://github.com/citation-style-language/schema/raw/master/csl-citation.json" }</w:instrText>
      </w:r>
      <w:r w:rsidRPr="008608AA">
        <w:fldChar w:fldCharType="separate"/>
      </w:r>
      <w:r w:rsidRPr="008608AA">
        <w:rPr>
          <w:noProof/>
        </w:rPr>
        <w:t>(Norambuena et al., 2000)</w:t>
      </w:r>
      <w:r w:rsidRPr="008608AA">
        <w:fldChar w:fldCharType="end"/>
      </w:r>
      <w:r w:rsidRPr="008608AA">
        <w:t>. Exotic beavers cut down trees and have altered water regulation, silting levels and landscape values (see also chapter 4). Introduced conifers have now began to seed naturally in steppe vegetation and are associated with declines in plant species richness and cover (</w:t>
      </w:r>
      <w:r w:rsidRPr="008608AA">
        <w:rPr>
          <w:noProof/>
        </w:rPr>
        <w:fldChar w:fldCharType="begin" w:fldLock="1"/>
      </w:r>
      <w:r w:rsidRPr="008608AA">
        <w:rPr>
          <w:noProof/>
        </w:rPr>
        <w:instrText>ADDIN CSL_CITATION { "citationItems" : [ { "id" : "ITEM-1", "itemData" : { "author" : [ { "dropping-particle" : "", "family" : "Taylor", "given" : "K. T.", "non-dropping-particle" : "", "parse-names" : false, "suffix" : "" }, { "dropping-particle" : "", "family" : "Maxwell", "given" : "B. D.", "non-dropping-particle" : "", "parse-names" : false, "suffix" : "" }, { "dropping-particle" : "", "family" : "Pauchard", "given" : "A.", "non-dropping-particle" : "", "parse-names" : false, "suffix" : "" }, { "dropping-particle" : "", "family" : "Nunez", "given" : "M. A.", "non-dropping-particle" : "", "parse-names" : false, "suffix" : "" }, { "dropping-particle" : "", "family" : "Rew.", "given" : "L. J.", "non-dropping-particle" : "", "parse-names" : false, "suffix" : "" } ], "container-title" : "Diversity and Distributions", "id" : "ITEM-1", "issue" : "5", "issued" : { "date-parts" : [ [ "2016" ] ] }, "page" : "578-588", "title" : "Native versus non-native invasions: similarities and differences in the biodiversity impacts of &lt;i&gt;Pinus contorta&lt;/i&gt; in introduced and native ranges", "type" : "article-journal", "volume" : "22" }, "uris" : [ "http://www.mendeley.com/documents/?uuid=180e57fc-f5d5-45ae-868f-b958db299c68" ] } ], "mendeley" : { "formattedCitation" : "(K. T. Taylor et al., 2016)", "manualFormatting" : "Taylor et al., 2016", "plainTextFormattedCitation" : "(K. T. Taylor et al., 2016)", "previouslyFormattedCitation" : "(K. T. Taylor et al., 2016)" }, "properties" : { "noteIndex" : 0 }, "schema" : "https://github.com/citation-style-language/schema/raw/master/csl-citation.json" }</w:instrText>
      </w:r>
      <w:r w:rsidRPr="008608AA">
        <w:rPr>
          <w:noProof/>
        </w:rPr>
        <w:fldChar w:fldCharType="separate"/>
      </w:r>
      <w:r w:rsidRPr="008608AA">
        <w:rPr>
          <w:noProof/>
        </w:rPr>
        <w:t>Taylor et al., 2016</w:t>
      </w:r>
      <w:r w:rsidRPr="008608AA">
        <w:rPr>
          <w:noProof/>
        </w:rPr>
        <w:fldChar w:fldCharType="end"/>
      </w:r>
      <w:r w:rsidRPr="008608AA">
        <w:rPr>
          <w:noProof/>
        </w:rPr>
        <w:t>)</w:t>
      </w:r>
      <w:r w:rsidRPr="008608AA">
        <w:t xml:space="preserve">. </w:t>
      </w:r>
    </w:p>
    <w:p w14:paraId="16F093C3" w14:textId="77777777" w:rsidR="004255E7" w:rsidRPr="008608AA" w:rsidRDefault="004255E7" w:rsidP="00A11ECA">
      <w:pPr>
        <w:spacing w:after="120"/>
      </w:pPr>
      <w:r w:rsidRPr="008608AA">
        <w:t xml:space="preserve">Fast-growing exotic plantation trees tend to consume more water than native trees and can be associated with reduced seasonal water provision </w:t>
      </w:r>
      <w:r w:rsidRPr="008608AA">
        <w:fldChar w:fldCharType="begin" w:fldLock="1"/>
      </w:r>
      <w:r w:rsidRPr="008608AA">
        <w:instrText>ADDIN CSL_CITATION { "citationItems" : [ { "id" : "ITEM-1", "itemData" : { "DOI" : "10.1016/j.foreco.2009.01.004", "ISBN" : "0378-1127", "ISSN" : "03781127", "abstract" : "This paper quantifies two important native forest ecosystem services in southern Chile: water supply and recreational fishing opportunities. We analyzed streamflow in relation to forest cover in six watersheds located in the Valdivian Coastal Range (39??50???-40??05???S), the effect of forest management on streamflow in two watersheds in the Valdivian Andes (600-650 m of elevation; 39??37???S), and fish abundance as a function of forest cover in 17 watersheds located in the Coastal Range and the Central Depression (39??50???-42??30???S). We found that the annual direct runoff coefficient (quickflow/precipitation) and total streamflow/precipitation in the dry summer season were positively correlated with native forest cover in the watershed (R2 = 0.67 and 0.76; *P = 0.045 and 0.027, respectively) during four years of observations. Conversely, a negative correlation was found between summer runoff coefficients (total streamflow/precipitation) and cover of Eucalyptus spp. and Pinus radiata plantations (R2 = 0.84; *P = 0.010). We estimated a mean increase of 14.1% in total summer streamflow for every 10% increase in native forest cover in the watershed. The analysis of streamflow changes between two paired watersheds dominated by native secondary Nothofagus stands, one thinned with 35% of basal area removal and a control, showed that the former had a 40% increase during summer (four years of observations). The best correlation between fish abundance and forest cover was found between trout abundance (%) and secondary native forest area in 1000 m ?? 60 m stream buffers (R2 = 0.65, ***P &lt; 0.0001). We estimated a 14.6% increase in trout abundance for every 10% increase of native forest cover in these buffers. Similar approaches to quantify forest ecosystem services could be used elsewhere and provide useful information for policy and decision-making regarding forest conservation and management. ?? 2009 Elsevier B.V. All rights reserved.", "author" : [ { "dropping-particle" : "", "family" : "Lara", "given" : "A.", "non-dropping-particle" : "", "parse-names" : false, "suffix" : "" }, { "dropping-particle" : "", "family" : "Little", "given" : "C.", "non-dropping-particle" : "", "parse-names" : false, "suffix" : "" }, { "dropping-particle" : "", "family" : "Urrutia", "given" : "R.", "non-dropping-particle" : "", "parse-names" : false, "suffix" : "" }, { "dropping-particle" : "", "family" : "McPhee", "given" : "J.", "non-dropping-particle" : "", "parse-names" : false, "suffix" : "" }, { "dropping-particle" : "", "family" : "\u00c1lvarez-Garret\u00f3n", "given" : "C.", "non-dropping-particle" : "", "parse-names" : false, "suffix" : "" }, { "dropping-particle" : "", "family" : "Oyarz\u00fan", "given" : "C.", "non-dropping-particle" : "", "parse-names" : false, "suffix" : "" }, { "dropping-particle" : "", "family" : "Soto", "given" : "D.", "non-dropping-particle" : "", "parse-names" : false, "suffix" : "" }, { "dropping-particle" : "", "family" : "Donoso", "given" : "P.", "non-dropping-particle" : "", "parse-names" : false, "suffix" : "" }, { "dropping-particle" : "", "family" : "Nahuelhual", "given" : "L.", "non-dropping-particle" : "", "parse-names" : false, "suffix" : "" }, { "dropping-particle" : "", "family" : "Pino", "given" : "M.", "non-dropping-particle" : "", "parse-names" : false, "suffix" : "" }, { "dropping-particle" : "", "family" : "Arismendi", "given" : "I.", "non-dropping-particle" : "", "parse-names" : false, "suffix" : "" } ], "container-title" : "Forest Ecology and Management", "id" : "ITEM-1", "issue" : "4", "issued" : { "date-parts" : [ [ "2009" ] ] }, "page" : "415-424", "title" : "Assessment of ecosystem services as an opportunity for the conservation and management of native forests in Chile", "type" : "article-journal", "volume" : "258" }, "uris" : [ "http://www.mendeley.com/documents/?uuid=3b08d309-3497-4aa7-aabc-9cf4c20271a6" ] } ], "mendeley" : { "formattedCitation" : "(Lara et al., 2009)", "plainTextFormattedCitation" : "(Lara et al., 2009)", "previouslyFormattedCitation" : "(Lara et al., 2009)" }, "properties" : { "noteIndex" : 0 }, "schema" : "https://github.com/citation-style-language/schema/raw/master/csl-citation.json" }</w:instrText>
      </w:r>
      <w:r w:rsidRPr="008608AA">
        <w:fldChar w:fldCharType="separate"/>
      </w:r>
      <w:r w:rsidRPr="008608AA">
        <w:rPr>
          <w:noProof/>
        </w:rPr>
        <w:t>(Lara et al., 2009)</w:t>
      </w:r>
      <w:r w:rsidRPr="008608AA">
        <w:fldChar w:fldCharType="end"/>
      </w:r>
      <w:r w:rsidRPr="008608AA">
        <w:t xml:space="preserve">. Nevertheless, there have been some recent positive signs of native forest recuperation. Between 1983 to 2007, in a part of the Araucania in Chile, the dominant land cover transitioned from agriculture to native vegetation, with largest increases occurring around residential areas found close to closed stands of native forest </w:t>
      </w:r>
      <w:r w:rsidRPr="008608AA">
        <w:fldChar w:fldCharType="begin" w:fldLock="1"/>
      </w:r>
      <w:r w:rsidRPr="008608AA">
        <w:instrText>ADDIN CSL_CITATION { "citationItems" : [ { "id" : "ITEM-1", "itemData" : { "author" : [ { "dropping-particle" : "", "family" : "Petitpas", "given" : "R.", "non-dropping-particle" : "", "parse-names" : false, "suffix" : "" }, { "dropping-particle" : "", "family" : "Ibarra", "given" : "J.T.", "non-dropping-particle" : "", "parse-names" : false, "suffix" : "" }, { "dropping-particle" : "", "family" : "Miranda", "given" : "M.", "non-dropping-particle" : "", "parse-names" : false, "suffix" : "" }, { "dropping-particle" : "", "family" : "Bonacic", "given" : "C.", "non-dropping-particle" : "", "parse-names" : false, "suffix" : "" } ], "container-title" : "Ciencia e Investigaci\u00f3n Agraria", "id" : "ITEM-1", "issue" : "3", "issued" : { "date-parts" : [ [ "2016" ] ] }, "page" : "384-395", "title" : "Spatial patterns over a 24-year period show an increase in native vegetation cover and decreased fragmentation in Andean temperate landscapes, Chile", "type" : "article-journal", "volume" : "43" }, "uris" : [ "http://www.mendeley.com/documents/?uuid=24cc4930-cf91-439e-b10b-0a50ef794ee4" ] } ], "mendeley" : { "formattedCitation" : "(Petitpas, Ibarra, Miranda, &amp; Bonacic, 2016)", "manualFormatting" : "(Petitpas et al., 2016)", "plainTextFormattedCitation" : "(Petitpas, Ibarra, Miranda, &amp; Bonacic, 2016)", "previouslyFormattedCitation" : "(Petitpas, Ibarra, Miranda, &amp; Bonacic, 2016)" }, "properties" : { "noteIndex" : 0 }, "schema" : "https://github.com/citation-style-language/schema/raw/master/csl-citation.json" }</w:instrText>
      </w:r>
      <w:r w:rsidRPr="008608AA">
        <w:fldChar w:fldCharType="separate"/>
      </w:r>
      <w:r w:rsidRPr="008608AA">
        <w:rPr>
          <w:noProof/>
        </w:rPr>
        <w:t>(Petitpas et al., 2016)</w:t>
      </w:r>
      <w:r w:rsidRPr="008608AA">
        <w:fldChar w:fldCharType="end"/>
      </w:r>
      <w:r w:rsidRPr="008608AA">
        <w:t xml:space="preserve">. These positive changes are attributed to the growth of tourism and a growing cultural preference for “natural” spaces. </w:t>
      </w:r>
    </w:p>
    <w:p w14:paraId="2661586A" w14:textId="5E573CA2" w:rsidR="004255E7" w:rsidRPr="008608AA" w:rsidRDefault="004255E7" w:rsidP="00A11ECA">
      <w:pPr>
        <w:spacing w:after="120"/>
      </w:pPr>
      <w:r w:rsidRPr="008608AA">
        <w:t xml:space="preserve">On a longer timescale, in northwestern Patagonia in Argentina, during the last century, forests (mainly </w:t>
      </w:r>
      <w:r w:rsidRPr="008608AA">
        <w:rPr>
          <w:i/>
        </w:rPr>
        <w:t>Nothofagus</w:t>
      </w:r>
      <w:r w:rsidRPr="008608AA">
        <w:t xml:space="preserve">) expanded to cover almost 50% of the historically burned land, and more than 60% of the shrublands </w:t>
      </w:r>
      <w:r w:rsidRPr="008608AA">
        <w:fldChar w:fldCharType="begin" w:fldLock="1"/>
      </w:r>
      <w:r w:rsidRPr="008608AA">
        <w:instrText>ADDIN CSL_CITATION { "citationItems" : [ { "id" : "ITEM-1", "itemData" : { "DOI" : "10.1007/s11258-011-9972-5", "ISBN" : "1385-0237", "ISSN" : "13850237", "abstract" : "Land use history reconstructions in temperate regions of the Northern Hemisphere indicate that periods of deforestation are often followed by natural afforestation, so that the long-term outcome at the landscape level will be a balance of retractions and advances of plant communities associated with varying local land uses. During the last decades of the XIX century, large forest areas were cleared in Northwestern Patagonia to open farmland. In this article, we compared historical land use/land cover maps with land cover maps derived from Landsat images to analyze the factors that may have influenced the dynamics of land cover change of the forest-steppe ecotone during the last 100 years. Our results indicate that Patagonian forests underwent a rapid initial recovery after the extensive fires of last century, replacing mainly shrublands. More than 50% of the old burns are currently covered by forests, and modern fires affect areas characterized by fire-prone vegetation. Whereas natural afforestation is an ongoing process positively associated with moisture, the rate of forest losses has increased during the last three decades, concentrating on xeric aspects and the vicinity of roads. We conclude that the outcome of the dynamics between fire-intolerant forests and fire-prone plant communities will largely depend on human-related activities, modeled by structural features of the landscape (i.e., topography, dominant winds), and processes triggered by past land uses.", "author" : [ { "dropping-particle" : "", "family" : "Gowda", "given" : "Juan H.", "non-dropping-particle" : "", "parse-names" : false, "suffix" : "" }, { "dropping-particle" : "", "family" : "Kitzberger", "given" : "T.", "non-dropping-particle" : "", "parse-names" : false, "suffix" : "" }, { "dropping-particle" : "", "family" : "Premoli", "given" : "A. C.", "non-dropping-particle" : "", "parse-names" : false, "suffix" : "" } ], "container-title" : "Plant Ecology", "id" : "ITEM-1", "issue" : "2", "issued" : { "date-parts" : [ [ "2012" ] ] }, "page" : "259-272", "title" : "Landscape responses to a century of land use along the northern Patagonian forest-steppe transition", "type" : "article-journal", "volume" : "213" }, "uris" : [ "http://www.mendeley.com/documents/?uuid=6c8435b7-96fe-4d1a-963b-93b09ba44b84" ] } ], "mendeley" : { "formattedCitation" : "(Gowda, Kitzberger, &amp; Premoli, 2012)", "manualFormatting" : "(Gowda et al., 2012)", "plainTextFormattedCitation" : "(Gowda, Kitzberger, &amp; Premoli, 2012)", "previouslyFormattedCitation" : "(Gowda, Kitzberger, &amp; Premoli, 2012)" }, "properties" : { "noteIndex" : 0 }, "schema" : "https://github.com/citation-style-language/schema/raw/master/csl-citation.json" }</w:instrText>
      </w:r>
      <w:r w:rsidRPr="008608AA">
        <w:fldChar w:fldCharType="separate"/>
      </w:r>
      <w:r w:rsidRPr="008608AA">
        <w:rPr>
          <w:noProof/>
        </w:rPr>
        <w:t>(Gowda et al., 2012)</w:t>
      </w:r>
      <w:r w:rsidRPr="008608AA">
        <w:fldChar w:fldCharType="end"/>
      </w:r>
      <w:r w:rsidRPr="008608AA">
        <w:t xml:space="preserve">. The estimated carbon stock recovery time for severely burned </w:t>
      </w:r>
      <w:r w:rsidRPr="008608AA">
        <w:rPr>
          <w:i/>
        </w:rPr>
        <w:t>Nothofagus</w:t>
      </w:r>
      <w:r w:rsidRPr="008608AA">
        <w:t xml:space="preserve"> forests in Patagonia is 150</w:t>
      </w:r>
      <w:r w:rsidRPr="008608AA">
        <w:softHyphen/>
        <w:t xml:space="preserve">–180 years </w:t>
      </w:r>
      <w:r w:rsidRPr="008608AA">
        <w:fldChar w:fldCharType="begin" w:fldLock="1"/>
      </w:r>
      <w:r w:rsidRPr="008608AA">
        <w:instrText>ADDIN CSL_CITATION { "citationItems" : [ { "id" : "ITEM-1", "itemData" : { "author" : [ { "dropping-particle" : "", "family" : "Bertolin", "given" : "M.L.", "non-dropping-particle" : "", "parse-names" : false, "suffix" : "" }, { "dropping-particle" : "", "family" : "Urretavizcaya", "given" : "M.F.", "non-dropping-particle" : "", "parse-names" : false, "suffix" : "" }, { "dropping-particle" : "", "family" : "Defosse", "given" : "G. E.", "non-dropping-particle" : "", "parse-names" : false, "suffix" : "" } ], "container-title" : "Fire Ecology", "id" : "ITEM-1", "issue" : "1", "issued" : { "date-parts" : [ [ "2015" ] ] }, "page" : "32-54", "title" : "Fire emissions and carbon uptake in severely burned lenga beech (&lt;i&gt;Nothofagus pumilio&lt;/i&gt;) forests of Patagonia, Argentina", "type" : "article-journal", "volume" : "11" }, "uris" : [ "http://www.mendeley.com/documents/?uuid=20c8d328-5326-4688-9755-93478aa48c6b" ] } ], "mendeley" : { "formattedCitation" : "(Bertolin, Urretavizcaya, &amp; Defosse, 2015)", "manualFormatting" : "(Bertolin et al., 2015)", "plainTextFormattedCitation" : "(Bertolin, Urretavizcaya, &amp; Defosse, 2015)", "previouslyFormattedCitation" : "(Bertolin, Urretavizcaya, &amp; Defosse, 2015)" }, "properties" : { "noteIndex" : 0 }, "schema" : "https://github.com/citation-style-language/schema/raw/master/csl-citation.json" }</w:instrText>
      </w:r>
      <w:r w:rsidRPr="008608AA">
        <w:fldChar w:fldCharType="separate"/>
      </w:r>
      <w:r w:rsidRPr="008608AA">
        <w:rPr>
          <w:noProof/>
        </w:rPr>
        <w:t>(Bertolin et al., 2015)</w:t>
      </w:r>
      <w:r w:rsidRPr="008608AA">
        <w:fldChar w:fldCharType="end"/>
      </w:r>
      <w:r w:rsidRPr="008608AA">
        <w:t xml:space="preserve"> indicating a severe ecosystem service loss due to burning. However, regrowth is far from homogeneous in time and space: net forest expansion took place mainly from 1914 to 1973, probably favored by a wetter climatic period, and has shown a marginal retraction since then. Although forest gains remained high during the last 30 years, substantial areas of forests in this area were converted to grasslands and shrublands as a result of recent fires associated with extremely dry springs </w:t>
      </w:r>
      <w:r w:rsidRPr="008608AA">
        <w:fldChar w:fldCharType="begin" w:fldLock="1"/>
      </w:r>
      <w:r w:rsidRPr="008608AA">
        <w:instrText>ADDIN CSL_CITATION { "citationItems" : [ { "id" : "ITEM-1", "itemData" : { "DOI" : "10.1007/s11258-011-9972-5", "ISBN" : "1385-0237", "ISSN" : "13850237", "abstract" : "Land use history reconstructions in temperate regions of the Northern Hemisphere indicate that periods of deforestation are often followed by natural afforestation, so that the long-term outcome at the landscape level will be a balance of retractions and advances of plant communities associated with varying local land uses. During the last decades of the XIX century, large forest areas were cleared in Northwestern Patagonia to open farmland. In this article, we compared historical land use/land cover maps with land cover maps derived from Landsat images to analyze the factors that may have influenced the dynamics of land cover change of the forest-steppe ecotone during the last 100 years. Our results indicate that Patagonian forests underwent a rapid initial recovery after the extensive fires of last century, replacing mainly shrublands. More than 50% of the old burns are currently covered by forests, and modern fires affect areas characterized by fire-prone vegetation. Whereas natural afforestation is an ongoing process positively associated with moisture, the rate of forest losses has increased during the last three decades, concentrating on xeric aspects and the vicinity of roads. We conclude that the outcome of the dynamics between fire-intolerant forests and fire-prone plant communities will largely depend on human-related activities, modeled by structural features of the landscape (i.e., topography, dominant winds), and processes triggered by past land uses.", "author" : [ { "dropping-particle" : "", "family" : "Gowda", "given" : "Juan H.", "non-dropping-particle" : "", "parse-names" : false, "suffix" : "" }, { "dropping-particle" : "", "family" : "Kitzberger", "given" : "T.", "non-dropping-particle" : "", "parse-names" : false, "suffix" : "" }, { "dropping-particle" : "", "family" : "Premoli", "given" : "A. C.", "non-dropping-particle" : "", "parse-names" : false, "suffix" : "" } ], "container-title" : "Plant Ecology", "id" : "ITEM-1", "issue" : "2", "issued" : { "date-parts" : [ [ "2012" ] ] }, "page" : "259-272", "title" : "Landscape responses to a century of land use along the northern Patagonian forest-steppe transition", "type" : "article-journal", "volume" : "213" }, "uris" : [ "http://www.mendeley.com/documents/?uuid=6c8435b7-96fe-4d1a-963b-93b09ba44b84" ] } ], "mendeley" : { "formattedCitation" : "(Gowda et al., 2012)", "manualFormatting" : "(Gowda et al., 2012)", "plainTextFormattedCitation" : "(Gowda et al., 2012)", "previouslyFormattedCitation" : "(Gowda et al., 2012)" }, "properties" : { "noteIndex" : 0 }, "schema" : "https://github.com/citation-style-language/schema/raw/master/csl-citation.json" }</w:instrText>
      </w:r>
      <w:r w:rsidRPr="008608AA">
        <w:fldChar w:fldCharType="separate"/>
      </w:r>
      <w:r w:rsidRPr="008608AA">
        <w:rPr>
          <w:noProof/>
        </w:rPr>
        <w:t>(Gowda et al., 2012)</w:t>
      </w:r>
      <w:r w:rsidRPr="008608AA">
        <w:fldChar w:fldCharType="end"/>
      </w:r>
      <w:r w:rsidRPr="008608AA">
        <w:t xml:space="preserve">. A major drought in 1998–1999 coincident with a very hot summer led to extensive dieback in a </w:t>
      </w:r>
      <w:r w:rsidRPr="008608AA">
        <w:rPr>
          <w:i/>
        </w:rPr>
        <w:t>Nothofagus</w:t>
      </w:r>
      <w:r w:rsidRPr="008608AA">
        <w:t xml:space="preserve"> species </w:t>
      </w:r>
      <w:r w:rsidRPr="008608AA">
        <w:fldChar w:fldCharType="begin" w:fldLock="1"/>
      </w:r>
      <w:r w:rsidRPr="008608AA">
        <w:instrText>ADDIN CSL_CITATION { "citationItems" : [ { "id" : "ITEM-1", "itemData" : { "DOI" : "10.1111/j.1365-2745.2004.00941.x", "ISBN" : "0022-0477", "ISSN" : "00220477", "abstract" : "1. Although climatic variability is a strong driving force for forest\\ndynamics, drought-induced mortality has generally received much less\\nattention than other types of disturbance. 2. In 1998-99 northern\\nPatagonia was affected by one of the most severe droughts of the\\n20th century, coinciding with a strong La Nina event, and this caused\\nhigh mortality of Nothofagus dombeyi (coihue), the dominant tree\\nspecies in Nahuel Huapi National Park. 3. Factors involved in determining\\nthis mortality of N. dombeyi were examined at both patch and tree\\nlevel. Radial growth characteristics of killed trees and survivors\\nwere compared by dendrochronological analyses. Relationships between\\ngrowth and climate were investigated using response function analysis.\\n4. At the tree scale, individuals with variable growth were more\\nprone to die from drought than trees with more regular growth. Juveniles\\nwhose growth patterns showed sensitivity to climate were particularly\\nlikely to die. However, among both killed trees and survivors, older\\ntrees were less sensitive to climate. 5. Mean growth rate was a good\\npredictor of mortality in adult trees, showing that trees with slower\\ngrowth rate were more susceptible to drought. Susceptible trees may\\nhave been negatively affected by the drought that affected northern\\nPatagonia in 1956-57. 6. These results underscore the importance\\nof considering drought-induced tree mortality as a non-random mechanism\\ninfluenced by site, previous stress/disturbance history, ontogeny,\\nvigour, climatic sensitivity and physiology. Spatial patterns of\\nextensive full and partial crown dieback, which are evident in many\\ntemperate forests worldwide, may reflect the superposition of these\\npredisposing factors on strong/repeated interannual fluctuations\\nof climate.", "author" : [ { "dropping-particle" : "", "family" : "Suarez", "given" : "Maria Laura", "non-dropping-particle" : "", "parse-names" : false, "suffix" : "" }, { "dropping-particle" : "", "family" : "Ghermandi", "given" : "Luciana", "non-dropping-particle" : "", "parse-names" : false, "suffix" : "" }, { "dropping-particle" : "", "family" : "Kitzberger", "given" : "Thomas", "non-dropping-particle" : "", "parse-names" : false, "suffix" : "" } ], "container-title" : "Journal of Ecology", "id" : "ITEM-1", "issue" : "6", "issued" : { "date-parts" : [ [ "2004", "12" ] ] }, "page" : "954-966", "title" : "Factors predisposing episodic drought-induced tree mortality in &lt;i&gt;Nothofagus&lt;/i&gt; - site, climatic sensitivity and growth trends", "type" : "article-journal", "volume" : "92" }, "uris" : [ "http://www.mendeley.com/documents/?uuid=0533a516-d709-3e10-b91f-36bff7aecefa" ] } ], "mendeley" : { "formattedCitation" : "(Suarez, Ghermandi, &amp; Kitzberger, 2004)", "manualFormatting" : "(Suarez et. al., 2004)", "plainTextFormattedCitation" : "(Suarez, Ghermandi, &amp; Kitzberger, 2004)", "previouslyFormattedCitation" : "(Suarez, Ghermandi, &amp; Kitzberger, 2004)" }, "properties" : { "noteIndex" : 0 }, "schema" : "https://github.com/citation-style-language/schema/raw/master/csl-citation.json" }</w:instrText>
      </w:r>
      <w:r w:rsidRPr="008608AA">
        <w:fldChar w:fldCharType="separate"/>
      </w:r>
      <w:r w:rsidR="00134E5B" w:rsidRPr="008608AA">
        <w:rPr>
          <w:noProof/>
        </w:rPr>
        <w:t>(Suarez et</w:t>
      </w:r>
      <w:r w:rsidRPr="008608AA">
        <w:rPr>
          <w:noProof/>
        </w:rPr>
        <w:t xml:space="preserve"> al., 2004)</w:t>
      </w:r>
      <w:r w:rsidRPr="008608AA">
        <w:fldChar w:fldCharType="end"/>
      </w:r>
      <w:r w:rsidRPr="008608AA">
        <w:t xml:space="preserve">. In another dominant </w:t>
      </w:r>
      <w:r w:rsidRPr="008608AA">
        <w:rPr>
          <w:i/>
        </w:rPr>
        <w:t xml:space="preserve">Nothofagus </w:t>
      </w:r>
      <w:r w:rsidRPr="008608AA">
        <w:t xml:space="preserve">species, several periodic droughts have triggered forest decline as of the 1940s </w:t>
      </w:r>
      <w:r w:rsidRPr="008608AA">
        <w:fldChar w:fldCharType="begin" w:fldLock="1"/>
      </w:r>
      <w:r w:rsidRPr="008608AA">
        <w:instrText>ADDIN CSL_CITATION { "citationItems" : [ { "id" : "ITEM-1", "itemData" : { "DOI" : "10.1002/ecs2.1390", "ISSN" : "21508925", "abstract" : "Understanding the influence of climatic variations on forest decline is a major challenge for scientists investigating global changes. Although reductions in tree growth have previously been associated with forest decline, comprehensive efforts to understand these relationships are rare. Based on ring-width variations, we determine the influence of climatic fluctuations on the onset and temporal evolution of Nothofagus pumilio forest decline in the Patagonian Andes. Basal area increment (BAI) data from 294 Nothofagus trees at 11 stands in a 500-km latitudinal transect along the forest\u2013steppe ecotone were used to identify the dominant patterns of regional growth. Three Regional dominant patterns, showing common variations in BAI, were derived. Two BAI patterns show high rates of growth from early to mid-20th century, followed by sustained negative trends over the last 3\u20136 decades, whereas the third pattern is characterized by a positive trend since the 1960s. Tipping points in growth trends of the first two patterns are associated with two extreme dry\u2013warm climate events in spring\u2013summer of 1942\u20131943/1943\u20131944/1944\u20131945 and 1978\u20131979. Both severe droughts were preceded by up to 10 yr of wet periods that promoted above-average tree growth. We concluded that severe droughts occurring after wet periods trigger the decline of large, dominant N. pumilio trees with high rates of growth. The coincidence between major changes in regional growth with two of the most severe droughts in the instrumental records shows that climatic variations over northern Patagonia synchronize the beginning of forest decline at a regional scale. As these dry\u2013mesic N. pumilio sites will face more severe droughts in the 21st century, as suggested by future climate scenarios, the areas affected by forest decline would increase substantially.", "author" : [ { "dropping-particle" : "", "family" : "Rodr\u00edguez-Cat\u00f3n", "given" : "Milagros", "non-dropping-particle" : "", "parse-names" : false, "suffix" : "" }, { "dropping-particle" : "", "family" : "Villalba", "given" : "Ricardo", "non-dropping-particle" : "", "parse-names" : false, "suffix" : "" }, { "dropping-particle" : "", "family" : "Morales", "given" : "Mariano", "non-dropping-particle" : "", "parse-names" : false, "suffix" : "" }, { "dropping-particle" : "", "family" : "Srur", "given" : "Ana", "non-dropping-particle" : "", "parse-names" : false, "suffix" : "" } ], "container-title" : "Ecosphere", "id" : "ITEM-1", "issue" : "7", "issued" : { "date-parts" : [ [ "2016", "7", "1" ] ] }, "page" : "e01390", "title" : "Influence of droughts on &lt;i&gt;Nothofagus pumilio&lt;/i&gt; forest decline across northern Patagonia, Argentina", "type" : "article-journal", "volume" : "7" }, "uris" : [ "http://www.mendeley.com/documents/?uuid=2e256d87-f8f7-324f-a2e1-bf20456fd946" ] } ], "mendeley" : { "formattedCitation" : "(Rodr\u00edguez-Cat\u00f3n, Villalba, Morales, &amp; Srur, 2016)", "manualFormatting" : "(Rodr\u00edguez-Cat\u00f3n et al., 2016)", "plainTextFormattedCitation" : "(Rodr\u00edguez-Cat\u00f3n, Villalba, Morales, &amp; Srur, 2016)", "previouslyFormattedCitation" : "(Rodr\u00edguez-Cat\u00f3n, Villalba, Morales, &amp; Srur, 2016)" }, "properties" : { "noteIndex" : 0 }, "schema" : "https://github.com/citation-style-language/schema/raw/master/csl-citation.json" }</w:instrText>
      </w:r>
      <w:r w:rsidRPr="008608AA">
        <w:fldChar w:fldCharType="separate"/>
      </w:r>
      <w:r w:rsidRPr="008608AA">
        <w:rPr>
          <w:noProof/>
        </w:rPr>
        <w:t>(Rodríguez-Catón et al., 2016)</w:t>
      </w:r>
      <w:r w:rsidRPr="008608AA">
        <w:fldChar w:fldCharType="end"/>
      </w:r>
      <w:r w:rsidRPr="008608AA">
        <w:t xml:space="preserve">. </w:t>
      </w:r>
    </w:p>
    <w:p w14:paraId="7F89934D" w14:textId="77777777" w:rsidR="004255E7" w:rsidRPr="008608AA" w:rsidRDefault="004255E7" w:rsidP="00A11ECA">
      <w:pPr>
        <w:spacing w:after="120"/>
      </w:pPr>
      <w:r w:rsidRPr="008608AA">
        <w:t xml:space="preserve">Over the past 20-30 years, the biodiversity of southern temperate forests has become widely recognized for its ecotourism and tourism values. For example, the recent scientific finding of outstanding bryophyte diversity in the southern temperate forests, which led to the concepts of “miniature forests” and “tourism with a hand lens” </w:t>
      </w:r>
      <w:r w:rsidRPr="008608AA">
        <w:fldChar w:fldCharType="begin" w:fldLock="1"/>
      </w:r>
      <w:r w:rsidRPr="008608AA">
        <w:instrText>ADDIN CSL_CITATION { "citationItems" : [ { "id" : "ITEM-1", "itemData" : { "DOI" : "10.1890/070020", "ISBN" : "1540-9309", "ISSN" : "15409295", "abstract" : "Taxonomic groups and ecoregions shape the \u201clenses\u201d through which biodiversity is assessed and conserved. A historical bias toward vertebrates and vascular plants in the northern hemisphere underpins how global patterns of biodiversity in terrestrial ecosystems are perceived. Here, we focus on the hitherto overlooked non-vascular flora (liverworts and mosses) in the remote sub-Antarctic Magellanic ecoregion of southwestern South America. We report that: (1) this ecoregion hosts outstanding non-vascular floristic richness, with &gt; 5% of the world's bryophytes on &lt; 0.01 % of the Earth's land surface; (2) species richness patterns for vascular and non-vascular plants are inverted across 25 degrees of latitude in Chile; and (3) while vascular plants are 20 times more abundant than non-vascular plants globally and in tropical South America, non-vascular plants are dominant in the sub-Antarctic Magellanic ecoregion and Antarctic Peninsula. These findings have been translated into policy and conservation decisions...", "author" : [ { "dropping-particle" : "", "family" : "Rozzi", "given" : "Ricardo", "non-dropping-particle" : "", "parse-names" : false, "suffix" : "" }, { "dropping-particle" : "", "family" : "Armesto", "given" : "Juan J.", "non-dropping-particle" : "", "parse-names" : false, "suffix" : "" }, { "dropping-particle" : "", "family" : "Goffinet", "given" : "Bernard", "non-dropping-particle" : "", "parse-names" : false, "suffix" : "" }, { "dropping-particle" : "", "family" : "Buck", "given" : "William", "non-dropping-particle" : "", "parse-names" : false, "suffix" : "" }, { "dropping-particle" : "", "family" : "Massardo", "given" : "Francisca", "non-dropping-particle" : "", "parse-names" : false, "suffix" : "" }, { "dropping-particle" : "", "family" : "Silander", "given" : "John", "non-dropping-particle" : "", "parse-names" : false, "suffix" : "" }, { "dropping-particle" : "", "family" : "Arroyo", "given" : "Mary T.K.", "non-dropping-particle" : "", "parse-names" : false, "suffix" : "" }, { "dropping-particle" : "", "family" : "Russell", "given" : "Shaun", "non-dropping-particle" : "", "parse-names" : false, "suffix" : "" }, { "dropping-particle" : "", "family" : "Anderson", "given" : "Christopher B.", "non-dropping-particle" : "", "parse-names" : false, "suffix" : "" }, { "dropping-particle" : "", "family" : "Cavieres", "given" : "Lohengrin A.", "non-dropping-particle" : "", "parse-names" : false, "suffix" : "" }, { "dropping-particle" : "", "family" : "Callicott", "given" : "J. Baird", "non-dropping-particle" : "", "parse-names" : false, "suffix" : "" } ], "container-title" : "Frontiers in Ecology and the Environment", "id" : "ITEM-1", "issue" : "3", "issued" : { "date-parts" : [ [ "2008" ] ] }, "page" : "131-137", "title" : "Changing lenses to assess biodiversity: patterns of species richness in sub-Antarctic plants and implications for global conservation", "type" : "article-journal", "volume" : "6" }, "uris" : [ "http://www.mendeley.com/documents/?uuid=b6605799-92c7-3735-9094-8a3b576cc5c6" ] } ], "mendeley" : { "formattedCitation" : "(Rozzi et al., 2008)", "plainTextFormattedCitation" : "(Rozzi et al., 2008)", "previouslyFormattedCitation" : "(Rozzi et al., 2008)" }, "properties" : { "noteIndex" : 0 }, "schema" : "https://github.com/citation-style-language/schema/raw/master/csl-citation.json" }</w:instrText>
      </w:r>
      <w:r w:rsidRPr="008608AA">
        <w:fldChar w:fldCharType="separate"/>
      </w:r>
      <w:r w:rsidRPr="008608AA">
        <w:rPr>
          <w:noProof/>
        </w:rPr>
        <w:t>(Rozzi et al., 2008)</w:t>
      </w:r>
      <w:r w:rsidRPr="008608AA">
        <w:fldChar w:fldCharType="end"/>
      </w:r>
      <w:r w:rsidRPr="008608AA">
        <w:t xml:space="preserve"> in the Cape Horn Biosphere Reserve on the southern tip of the continent, has seen a substantial increases in visitors, favoring local human well-being in an area where climate precludes agriculture and plantation forestry.</w:t>
      </w:r>
    </w:p>
    <w:p w14:paraId="7E82FA61" w14:textId="77777777" w:rsidR="0063629E" w:rsidRPr="008608AA" w:rsidRDefault="0063629E" w:rsidP="00A11ECA">
      <w:pPr>
        <w:spacing w:after="120"/>
      </w:pPr>
    </w:p>
    <w:p w14:paraId="5BE4E509" w14:textId="26378C69" w:rsidR="004255E7" w:rsidRPr="008608AA" w:rsidRDefault="004255E7" w:rsidP="0063629E">
      <w:pPr>
        <w:pStyle w:val="Heading4"/>
        <w:rPr>
          <w:lang w:val="en-US"/>
        </w:rPr>
      </w:pPr>
      <w:bookmarkStart w:id="1119" w:name="_Toc502927360"/>
      <w:bookmarkStart w:id="1120" w:name="_Toc517393314"/>
      <w:bookmarkStart w:id="1121" w:name="_Toc517719055"/>
      <w:bookmarkStart w:id="1122" w:name="_Toc517797012"/>
      <w:r w:rsidRPr="008608AA">
        <w:t>Mediterranean</w:t>
      </w:r>
      <w:r w:rsidRPr="008608AA">
        <w:rPr>
          <w:lang w:val="en-US"/>
        </w:rPr>
        <w:t xml:space="preserve"> forests, woodlands and scrub</w:t>
      </w:r>
      <w:bookmarkEnd w:id="1119"/>
      <w:bookmarkEnd w:id="1120"/>
      <w:bookmarkEnd w:id="1121"/>
      <w:bookmarkEnd w:id="1122"/>
      <w:r w:rsidRPr="008608AA">
        <w:rPr>
          <w:lang w:val="en-US"/>
        </w:rPr>
        <w:t xml:space="preserve"> </w:t>
      </w:r>
    </w:p>
    <w:p w14:paraId="7733720B" w14:textId="77777777" w:rsidR="004255E7" w:rsidRPr="008608AA" w:rsidRDefault="004255E7" w:rsidP="0063629E">
      <w:pPr>
        <w:pStyle w:val="Heading5"/>
        <w:numPr>
          <w:ilvl w:val="0"/>
          <w:numId w:val="0"/>
        </w:numPr>
        <w:ind w:left="1008" w:hanging="1008"/>
        <w:rPr>
          <w:sz w:val="24"/>
          <w:szCs w:val="24"/>
        </w:rPr>
      </w:pPr>
      <w:r w:rsidRPr="008608AA">
        <w:rPr>
          <w:sz w:val="24"/>
          <w:szCs w:val="24"/>
        </w:rPr>
        <w:t xml:space="preserve">North American subregion </w:t>
      </w:r>
    </w:p>
    <w:p w14:paraId="0BAAFFCB" w14:textId="03543F35" w:rsidR="004255E7" w:rsidRPr="008608AA" w:rsidRDefault="007D4553" w:rsidP="0063629E">
      <w:pPr>
        <w:spacing w:after="120"/>
      </w:pPr>
      <w:r w:rsidRPr="008608AA">
        <w:rPr>
          <w:iCs/>
        </w:rPr>
        <w:t xml:space="preserve">Status. </w:t>
      </w:r>
      <w:r w:rsidR="004255E7" w:rsidRPr="008608AA">
        <w:t xml:space="preserve">The Mediterranean climate zone in North America encompasses the California Floristic Province, including southwestern Oregon, California west of the Sierra Nevada and a portion of northwestern Baja California, Mexico </w:t>
      </w:r>
      <w:r w:rsidR="004255E7" w:rsidRPr="008608AA">
        <w:fldChar w:fldCharType="begin" w:fldLock="1"/>
      </w:r>
      <w:r w:rsidR="004255E7" w:rsidRPr="008608AA">
        <w:instrText>ADDIN CSL_CITATION { "citationItems" : [ { "id" : "ITEM-1", "itemData" : { "ISBN" : "ISBN-13: 978-0520253124", "edition" : "2", "editor" : [ { "dropping-particle" : "", "family" : "Baldwin", "given" : "B.G.", "non-dropping-particle" : "", "parse-names" : false, "suffix" : "" }, { "dropping-particle" : "", "family" : "Goldman", "given" : "D.H.", "non-dropping-particle" : "", "parse-names" : false, "suffix" : "" }, { "dropping-particle" : "", "family" : "Keil", "given" : "D.J.", "non-dropping-particle" : "", "parse-names" : false, "suffix" : "" }, { "dropping-particle" : "", "family" : "Patterson", "given" : "R.", "non-dropping-particle" : "", "parse-names" : false, "suffix" : "" }, { "dropping-particle" : "", "family" : "Rosatti", "given" : "T.J.", "non-dropping-particle" : "", "parse-names" : false, "suffix" : "" }, { "dropping-particle" : "", "family" : "Wilken", "given" : "D.H.", "non-dropping-particle" : "", "parse-names" : false, "suffix" : "" } ], "id" : "ITEM-1", "issued" : { "date-parts" : [ [ "2012" ] ] }, "publisher" : "University California Press", "publisher-place" : "Berkeley, USA", "title" : "The Jepson Manual: Vascular Plants of California", "type" : "book" }, "uris" : [ "http://www.mendeley.com/documents/?uuid=ae942e2e-83b0-432d-a92f-6df435feeeb7" ] } ], "mendeley" : { "formattedCitation" : "(B.G. Baldwin et al., 2012)", "manualFormatting" : "(Baldwin et al., 2012", "plainTextFormattedCitation" : "(B.G. Baldwin et al., 2012)", "previouslyFormattedCitation" : "(B.G. Baldwin et al., 2012)" }, "properties" : { "noteIndex" : 0 }, "schema" : "https://github.com/citation-style-language/schema/raw/master/csl-citation.json" }</w:instrText>
      </w:r>
      <w:r w:rsidR="004255E7" w:rsidRPr="008608AA">
        <w:fldChar w:fldCharType="separate"/>
      </w:r>
      <w:r w:rsidR="004255E7" w:rsidRPr="008608AA">
        <w:rPr>
          <w:noProof/>
        </w:rPr>
        <w:t>(Baldwin et al., 2012</w:t>
      </w:r>
      <w:r w:rsidR="004255E7" w:rsidRPr="008608AA">
        <w:fldChar w:fldCharType="end"/>
      </w:r>
      <w:r w:rsidR="004255E7" w:rsidRPr="008608AA">
        <w:fldChar w:fldCharType="begin" w:fldLock="1"/>
      </w:r>
      <w:r w:rsidR="004255E7" w:rsidRPr="008608AA">
        <w:instrText>ADDIN CSL_CITATION { "citationItems" : [ { "id" : "ITEM-1", "itemData" : { "author" : [ { "dropping-particle" : "", "family" : "Ackerly", "given" : "D.", "non-dropping-particle" : "", "parse-names" : false, "suffix" : "" }, { "dropping-particle" : "", "family" : "Stock", "given" : "W.D.", "non-dropping-particle" : "", "parse-names" : false, "suffix" : "" }, { "dropping-particle" : "", "family" : "Slingsby", "given" : "J.", "non-dropping-particle" : "", "parse-names" : false, "suffix" : "" } ], "chapter-number" : "16", "container-title" : "Fynbos: Ecology, Evolution, and Conservation of a Megadiverse Region", "editor" : [ { "dropping-particle" : "", "family" : "Allsopp", "given" : "N.", "non-dropping-particle" : "", "parse-names" : false, "suffix" : "" }, { "dropping-particle" : "", "family" : "Colville", "given" : "J.F.", "non-dropping-particle" : "", "parse-names" : false, "suffix" : "" }, { "dropping-particle" : "", "family" : "Verboom", "given" : "G.A.", "non-dropping-particle" : "", "parse-names" : false, "suffix" : "" } ], "id" : "ITEM-1", "issued" : { "date-parts" : [ [ "2014" ] ] }, "page" : "361-375", "publisher" : "Oxford University Press", "publisher-place" : "Oxford, UK", "title" : "Geography, climate, and biodiversity: the history and future of Mediterranean-type ecosystems", "type" : "chapter" }, "uris" : [ "http://www.mendeley.com/documents/?uuid=7127b85f-97b6-44ac-be4b-a10833d52cd4" ] } ], "mendeley" : { "formattedCitation" : "(Ackerly, Stock, &amp; Slingsby, 2014)", "manualFormatting" : "; see Ackerly et al., 2014", "plainTextFormattedCitation" : "(Ackerly, Stock, &amp; Slingsby, 2014)", "previouslyFormattedCitation" : "(Ackerly, Stock, &amp; Slingsby, 2014)" }, "properties" : { "noteIndex" : 0 }, "schema" : "https://github.com/citation-style-language/schema/raw/master/csl-citation.json" }</w:instrText>
      </w:r>
      <w:r w:rsidR="004255E7" w:rsidRPr="008608AA">
        <w:fldChar w:fldCharType="separate"/>
      </w:r>
      <w:r w:rsidR="004255E7" w:rsidRPr="008608AA">
        <w:rPr>
          <w:noProof/>
        </w:rPr>
        <w:t>; see Ackerly et al., 2014</w:t>
      </w:r>
      <w:r w:rsidR="004255E7" w:rsidRPr="008608AA">
        <w:fldChar w:fldCharType="end"/>
      </w:r>
      <w:r w:rsidR="004255E7" w:rsidRPr="008608AA">
        <w:t xml:space="preserve">, for a stricter definition and mapping of Mediterranean-climate regions based on current climate). The broader Mediterranean forests, woodland and scrub area has a very rich and endemic flora (Table 3.4) </w:t>
      </w:r>
      <w:r w:rsidR="004255E7" w:rsidRPr="008608AA">
        <w:fldChar w:fldCharType="begin" w:fldLock="1"/>
      </w:r>
      <w:r w:rsidR="004255E7" w:rsidRPr="008608AA">
        <w:instrText>ADDIN CSL_CITATION { "citationItems" : [ { "id" : "ITEM-1", "itemData" : { "DOI" : "10.3120/madr-63-02-3-206.1", "ISSN" : "0024-9637", "abstract" : "The California Floristic Province (CFP) is an area of high biodiversity and endemism corresponding roughly to the portion of western North America having a Mediterranean-type climate. High levels of diversity and endemism in the CFP are attributed to the unique geo-climatic setting of the region. In recent years, much has been learned about the origins of plant diversity in western North America. This work, however, has been hindered by a focus on political rather than biotic regions, such that much more is known about diversity and endemism in the state of California than the natural biotic region represented by the CFP. Here we present a preliminary list of native land plants (vascular plants and bryophytes) found in the CFP, as well as an analysis of diversity and endemism patterns at the level of both species and minimum rank taxa (MRT; species and MADRON\u02dc O, Vol. 63, No. 2, pp. 3\u2013206, 2016 infraspecific taxa). A total of 6,927 MRT are native to the CFP, including 6,143 vascular plants and 784 bryophytes. Of these, 2,612 vascular plants are endemic to the CFP (42%) compared to 37 endemic bryophytes (5%). Finally, 2,506 native CFP vascular plant MRT (41% of the CFP flora) and 454 CFP bryophyte MRT (58% of the CFP flora) are found outside California in the Oregon and Baja California parts of the CFP. This high degree of sharing across political boundaries among both vascular plants and bryophytes highlights the cohesiveness of the CFP, and the need to focus more research effort on biotic regions.", "author" : [ { "dropping-particle" : "", "family" : "Burge", "given" : "Dylan O.", "non-dropping-particle" : "", "parse-names" : false, "suffix" : "" }, { "dropping-particle" : "", "family" : "Thorne", "given" : "James H.", "non-dropping-particle" : "", "parse-names" : false, "suffix" : "" }, { "dropping-particle" : "", "family" : "Harrison", "given" : "Susan P.", "non-dropping-particle" : "", "parse-names" : false, "suffix" : "" }, { "dropping-particle" : "", "family" : "O'Brien", "given" : "Bart C.", "non-dropping-particle" : "", "parse-names" : false, "suffix" : "" }, { "dropping-particle" : "", "family" : "Rebman", "given" : "Jon P.", "non-dropping-particle" : "", "parse-names" : false, "suffix" : "" }, { "dropping-particle" : "", "family" : "Shevock", "given" : "James R.", "non-dropping-particle" : "", "parse-names" : false, "suffix" : "" }, { "dropping-particle" : "", "family" : "Alverson", "given" : "Edward R.", "non-dropping-particle" : "", "parse-names" : false, "suffix" : "" }, { "dropping-particle" : "", "family" : "Hardison", "given" : "Linda K.", "non-dropping-particle" : "", "parse-names" : false, "suffix" : "" }, { "dropping-particle" : "", "family" : "Rodr\u00cdguez", "given" : "Jos\u00e9 Delgadillo", "non-dropping-particle" : "", "parse-names" : false, "suffix" : "" }, { "dropping-particle" : "", "family" : "Junak", "given" : "Steven A.", "non-dropping-particle" : "", "parse-names" : false, "suffix" : "" }, { "dropping-particle" : "", "family" : "Oberbauer", "given" : "Thomas A.", "non-dropping-particle" : "", "parse-names" : false, "suffix" : "" }, { "dropping-particle" : "", "family" : "Riemann", "given" : "Hugo", "non-dropping-particle" : "", "parse-names" : false, "suffix" : "" }, { "dropping-particle" : "", "family" : "Vanderplank", "given" : "Sula E.", "non-dropping-particle" : "", "parse-names" : false, "suffix" : "" }, { "dropping-particle" : "", "family" : "Barry", "given" : "Teri", "non-dropping-particle" : "", "parse-names" : false, "suffix" : "" } ], "container-title" : "Madro\u00f1o", "id" : "ITEM-1", "issue" : "2", "issued" : { "date-parts" : [ [ "2016" ] ] }, "page" : "3-206", "title" : "Plant diversity and endemism in the California Floristic Province", "type" : "article-journal", "volume" : "63" }, "uris" : [ "http://www.mendeley.com/documents/?uuid=82223576-f0e6-4dd2-9534-6c95159d6cd3" ] } ], "mendeley" : { "formattedCitation" : "(Burge et al., 2016)", "plainTextFormattedCitation" : "(Burge et al., 2016)", "previouslyFormattedCitation" : "(Burge et al., 2016)" }, "properties" : { "noteIndex" : 0 }, "schema" : "https://github.com/citation-style-language/schema/raw/master/csl-citation.json" }</w:instrText>
      </w:r>
      <w:r w:rsidR="004255E7" w:rsidRPr="008608AA">
        <w:fldChar w:fldCharType="separate"/>
      </w:r>
      <w:r w:rsidR="004255E7" w:rsidRPr="008608AA">
        <w:rPr>
          <w:noProof/>
        </w:rPr>
        <w:t>(Burge et al., 2016)</w:t>
      </w:r>
      <w:r w:rsidR="004255E7" w:rsidRPr="008608AA">
        <w:fldChar w:fldCharType="end"/>
      </w:r>
      <w:r w:rsidR="004255E7" w:rsidRPr="008608AA">
        <w:t xml:space="preserve">, with many evolutionary lineages represented </w:t>
      </w:r>
      <w:r w:rsidR="004255E7" w:rsidRPr="008608AA">
        <w:fldChar w:fldCharType="begin" w:fldLock="1"/>
      </w:r>
      <w:r w:rsidR="004255E7" w:rsidRPr="008608AA">
        <w:instrText>ADDIN CSL_CITATION { "citationItems" : [ { "id" : "ITEM-1", "itemData" : { "DOI" : "10.1146/annurev-ecolsys-110512-135847", "ISSN" : "1543-592X", "abstract" : "Recent biogeographic and evolutionary studies have led to improved understanding of the origins of exceptionally high plant diversity in the California Floristic Province (CA-FP). Spatial analyses of Californian plant diversity and endemism reinforce the importance of geographically isolated areas of high topographic and edaphic complexity as floristic hot spots, in which the relative influence of factors promoting evolutionary divergence and buffering of lineages against extinction has gained increased attention. Molecular phylogenetic studies spanning the flora indicate that immediate sources of CA-FP lineages bearing endemic species diversity have been mostly within North America?especially within the west and southwest?even for groups of north temperate affinity, and that most diversification of extant lineages in the CA-FP has occurred since the mid-Miocene, with the transition toward summer-drying. Process-focused studies continue to implicate environmental heterogeneity at local or broad geographic scales in evolutionary divergence within the CA-FP, often associated with reproductive or life-history shifts or sometimes hybridization.\\nRecent biogeographic and evolutionary studies have led to improved understanding of the origins of exceptionally high plant diversity in the California Floristic Province (CA-FP). Spatial analyses of Californian plant diversity and endemism reinforce the importance of geographically isolated areas of high topographic and edaphic complexity as floristic hot spots, in which the relative influence of factors promoting evolutionary divergence and buffering of lineages against extinction has gained increased attention. Molecular phylogenetic studies spanning the flora indicate that immediate sources of CA-FP lineages bearing endemic species diversity have been mostly within North America?especially within the west and southwest?even for groups of north temperate affinity, and that most diversification of extant lineages in the CA-FP has occurred since the mid-Miocene, with the transition toward summer-drying. Process-focused studies continue to implicate environmental heterogeneity at local or broad geographic scales in evolutionary divergence within the CA-FP, often associated with reproductive or life-history shifts or sometimes hybridization.", "author" : [ { "dropping-particle" : "", "family" : "Baldwin", "given" : "Bruce G.", "non-dropping-particle" : "", "parse-names" : false, "suffix" : "" } ], "container-title" : "Annual Review of Ecology, Evolution, and Systematics", "id" : "ITEM-1", "issue" : "1", "issued" : { "date-parts" : [ [ "2014" ] ] }, "page" : "347-369", "title" : "Origins of plant diversity in the California Floristic Province", "type" : "article-journal", "volume" : "45" }, "uris" : [ "http://www.mendeley.com/documents/?uuid=08a19218-d298-3178-9fd8-9d7f8799366f" ] } ], "mendeley" : { "formattedCitation" : "(Bruce G. Baldwin, 2014)", "manualFormatting" : "( Baldwin, 2014)", "plainTextFormattedCitation" : "(Bruce G. Baldwin, 2014)", "previouslyFormattedCitation" : "(Baldwin, 2014)" }, "properties" : { "noteIndex" : 0 }, "schema" : "https://github.com/citation-style-language/schema/raw/master/csl-citation.json" }</w:instrText>
      </w:r>
      <w:r w:rsidR="004255E7" w:rsidRPr="008608AA">
        <w:fldChar w:fldCharType="separate"/>
      </w:r>
      <w:r w:rsidR="004255E7" w:rsidRPr="008608AA">
        <w:rPr>
          <w:noProof/>
        </w:rPr>
        <w:t>( Baldwin, 2014)</w:t>
      </w:r>
      <w:r w:rsidR="004255E7" w:rsidRPr="008608AA">
        <w:fldChar w:fldCharType="end"/>
      </w:r>
      <w:r w:rsidR="004255E7" w:rsidRPr="008608AA">
        <w:t xml:space="preserve">. High levels of plant endemism are found in ephemeral vernal pools </w:t>
      </w:r>
      <w:r w:rsidR="004255E7" w:rsidRPr="008608AA">
        <w:fldChar w:fldCharType="begin" w:fldLock="1"/>
      </w:r>
      <w:r w:rsidR="004255E7" w:rsidRPr="008608AA">
        <w:instrText>ADDIN CSL_CITATION { "citationItems" : [ { "id" : "ITEM-1", "itemData" : { "author" : [ { "dropping-particle" : "", "family" : "Keeley", "given" : "J.E.", "non-dropping-particle" : "", "parse-names" : false, "suffix" : "" }, { "dropping-particle" : "", "family" : "Zedler", "given" : "P.H.", "non-dropping-particle" : "", "parse-names" : false, "suffix" : "" } ], "container-title" : "Ecology, Conservation, and Management of Vernal Pool Ecosystems", "editor" : [ { "dropping-particle" : "", "family" : "Witham", "given" : "C.W.", "non-dropping-particle" : "", "parse-names" : false, "suffix" : "" } ], "id" : "ITEM-1", "issued" : { "date-parts" : [ [ "1998" ] ] }, "page" : "1-14", "publisher" : "California Native Plant Society", "publisher-place" : "Sacramento, USA", "title" : "Characterization and global distribution of vernal pools", "type" : "chapter" }, "uris" : [ "http://www.mendeley.com/documents/?uuid=86cfe2f5-f332-4085-b7d9-2ae19a0e053f" ] } ], "mendeley" : { "formattedCitation" : "(Keeley &amp; Zedler, 1998)", "manualFormatting" : "(Keeley &amp; Zedler, 1998)", "plainTextFormattedCitation" : "(Keeley &amp; Zedler, 1998)", "previouslyFormattedCitation" : "(Keeley &amp; Zedler, 1998)" }, "properties" : { "noteIndex" : 0 }, "schema" : "https://github.com/citation-style-language/schema/raw/master/csl-citation.json" }</w:instrText>
      </w:r>
      <w:r w:rsidR="004255E7" w:rsidRPr="008608AA">
        <w:fldChar w:fldCharType="separate"/>
      </w:r>
      <w:r w:rsidR="004255E7" w:rsidRPr="008608AA">
        <w:rPr>
          <w:noProof/>
        </w:rPr>
        <w:t>(Keeley &amp; Zedler, 1998)</w:t>
      </w:r>
      <w:r w:rsidR="004255E7" w:rsidRPr="008608AA">
        <w:fldChar w:fldCharType="end"/>
      </w:r>
      <w:r w:rsidR="004255E7" w:rsidRPr="008608AA">
        <w:t xml:space="preserve"> and on serpentine soils </w:t>
      </w:r>
      <w:r w:rsidR="004255E7" w:rsidRPr="008608AA">
        <w:fldChar w:fldCharType="begin" w:fldLock="1"/>
      </w:r>
      <w:r w:rsidR="004255E7" w:rsidRPr="008608AA">
        <w:instrText>ADDIN CSL_CITATION { "citationItems" : [ { "id" : "ITEM-1", "itemData" : { "DOI" : "10.3732/ajb.1300349", "ISSN" : "00029122", "PMID" : "24509800", "abstract" : "Serpentine soils are a model system for the study of plant adaptation, speciation, and species interactions. Serpentine soil is an edaphically stressful, low productivity soil type that hosts stunted vegetation and a spectacular level of plant endemism. One of the fi rst papers on serpentine plant endemism was by Arthur Kruckeberg, titled \u201cIntraspecifi c variability in the response of certain native plant species to serpentine soil.\u201d Published in the American Journal of Botany in 1951, it has been cited over 100 times. Here, I review the context and content of the paper, as well as its impact. On the basis of the results of reciprocal transplant experi- ments in the greenhouse, Kruckeberg made three important conclusions on the nature of serpentine plant endemism: (1) Plants are locally adapted to serpentine soils, forming distinct soil ecotypes; (2) soil ecotypes are the fi rst stage in the evolutionary progres- sion toward serpentine endemism; and (3) serpentine endemics are restricted from more fertile nonserpentine soils by competition. Kruckeberg\u2019s paper inspired a substantial amount of research, especially in the three areas reviewed here: local adaptation and plant traits, speciation, and the interaction of climate and soil in plant endemism. In documenting soil ecotypes, Kruckeberg identi- fi ed serpentine soils as a potent selective factor in plant evolution and helped establish serpentine soils as a model system in evolu- tion and ecology.", "author" : [ { "dropping-particle" : "", "family" : "Anacker", "given" : "Brian L.", "non-dropping-particle" : "", "parse-names" : false, "suffix" : "" } ], "container-title" : "American Journal of Botany", "id" : "ITEM-1", "issue" : "2", "issued" : { "date-parts" : [ [ "2014" ] ] }, "page" : "219-224", "title" : "The nature of serpentine endemism", "type" : "article-journal", "volume" : "101" }, "uris" : [ "http://www.mendeley.com/documents/?uuid=9c9e73c5-ce59-421d-bca5-0cda06b6e511" ] } ], "mendeley" : { "formattedCitation" : "(Anacker, 2014)", "plainTextFormattedCitation" : "(Anacker, 2014)", "previouslyFormattedCitation" : "(Anacker, 2014)" }, "properties" : { "noteIndex" : 0 }, "schema" : "https://github.com/citation-style-language/schema/raw/master/csl-citation.json" }</w:instrText>
      </w:r>
      <w:r w:rsidR="004255E7" w:rsidRPr="008608AA">
        <w:fldChar w:fldCharType="separate"/>
      </w:r>
      <w:r w:rsidR="004255E7" w:rsidRPr="008608AA">
        <w:rPr>
          <w:noProof/>
        </w:rPr>
        <w:t>(Anacker, 2014)</w:t>
      </w:r>
      <w:r w:rsidR="004255E7" w:rsidRPr="008608AA">
        <w:fldChar w:fldCharType="end"/>
      </w:r>
      <w:r w:rsidR="004255E7" w:rsidRPr="008608AA">
        <w:t xml:space="preserve">. California has more than 300 endangered and threatened species listed by the USA government, the largest for any USA state, and more than 100 others are listed by the state </w:t>
      </w:r>
      <w:r w:rsidR="004255E7" w:rsidRPr="008608AA">
        <w:fldChar w:fldCharType="begin" w:fldLock="1"/>
      </w:r>
      <w:r w:rsidR="004255E7" w:rsidRPr="008608AA">
        <w:instrText>ADDIN CSL_CITATION { "citationItems" : [ { "id" : "ITEM-1", "itemData" : { "author" : [ { "dropping-particle" : "", "family" : "California Natural Resources Agency", "given" : "", "non-dropping-particle" : "", "parse-names" : false, "suffix" : "" } ], "id" : "ITEM-1", "issued" : { "date-parts" : [ [ "2015" ] ] }, "number-of-pages" : "2015-2017", "title" : "California Department of Fish and Wildlife", "type" : "report" }, "uris" : [ "http://www.mendeley.com/documents/?uuid=44653cdc-08ed-3ba5-b737-0604a6d70161" ] } ], "mendeley" : { "formattedCitation" : "(California Natural Resources Agency, 2015)", "plainTextFormattedCitation" : "(California Natural Resources Agency, 2015)", "previouslyFormattedCitation" : "(California Natural Resources Agency, 2015)" }, "properties" : { "noteIndex" : 0 }, "schema" : "https://github.com/citation-style-language/schema/raw/master/csl-citation.json" }</w:instrText>
      </w:r>
      <w:r w:rsidR="004255E7" w:rsidRPr="008608AA">
        <w:fldChar w:fldCharType="separate"/>
      </w:r>
      <w:r w:rsidR="004255E7" w:rsidRPr="008608AA">
        <w:rPr>
          <w:noProof/>
        </w:rPr>
        <w:t>(California Natural Resources Agency, 2015)</w:t>
      </w:r>
      <w:r w:rsidR="004255E7" w:rsidRPr="008608AA">
        <w:fldChar w:fldCharType="end"/>
      </w:r>
      <w:r w:rsidR="004255E7" w:rsidRPr="008608AA">
        <w:t xml:space="preserve">. Hobbs &amp; Mooney </w:t>
      </w:r>
      <w:r w:rsidR="004255E7" w:rsidRPr="008608AA">
        <w:fldChar w:fldCharType="begin" w:fldLock="1"/>
      </w:r>
      <w:r w:rsidR="004255E7" w:rsidRPr="008608AA">
        <w:instrText>ADDIN CSL_CITATION { "citationItems" : [ { "id" : "ITEM-1", "itemData" : { "URL" : "http://www.dfg.ca.gov/wildlife/nongame/t_e_spp/", "author" : [ { "dropping-particle" : "", "family" : "Hobbs", "given" : "R. J.", "non-dropping-particle" : "", "parse-names" : false, "suffix" : "" }, { "dropping-particle" : "", "family" : "Mooney", "given" : "H. A.", "non-dropping-particle" : "", "parse-names" : false, "suffix" : "" } ], "container-title" : "CA DFG", "id" : "ITEM-1", "issued" : { "date-parts" : [ [ "1998" ] ] }, "title" : "1998 report", "type" : "webpage" }, "uris" : [ "http://www.mendeley.com/documents/?uuid=0ebe5a38-a691-4155-ba96-36e903fffe81" ] } ], "mendeley" : { "formattedCitation" : "(Hobbs &amp; Mooney, 1998)", "manualFormatting" : "(1998)", "plainTextFormattedCitation" : "(Hobbs &amp; Mooney, 1998)", "previouslyFormattedCitation" : "(Hobbs &amp; Mooney, 1998)" }, "properties" : { "noteIndex" : 0 }, "schema" : "https://github.com/citation-style-language/schema/raw/master/csl-citation.json" }</w:instrText>
      </w:r>
      <w:r w:rsidR="004255E7" w:rsidRPr="008608AA">
        <w:fldChar w:fldCharType="separate"/>
      </w:r>
      <w:r w:rsidR="004255E7" w:rsidRPr="008608AA">
        <w:rPr>
          <w:noProof/>
        </w:rPr>
        <w:t>(1998)</w:t>
      </w:r>
      <w:r w:rsidR="004255E7" w:rsidRPr="008608AA">
        <w:fldChar w:fldCharType="end"/>
      </w:r>
      <w:r w:rsidR="004255E7" w:rsidRPr="008608AA">
        <w:t xml:space="preserve"> report 49 extinct taxa for seven groups of organisms (including some subspecies) (34 for plants) along with numerous cases of local population extinctions. According to the most recent account, 17 taxa (13 species and four subspecific taxa) of Californian vascular plants are globally extinct </w:t>
      </w:r>
      <w:r w:rsidR="004255E7" w:rsidRPr="008608AA">
        <w:fldChar w:fldCharType="begin" w:fldLock="1"/>
      </w:r>
      <w:r w:rsidR="004255E7" w:rsidRPr="008608AA">
        <w:instrText>ADDIN CSL_CITATION { "citationItems" : [ { "id" : "ITEM-1", "itemData" : { "DOI" : "10.1111/ddi.12665", "author" : [ { "dropping-particle" : "", "family" : "Rejm\u00e1nek", "given" : "M.", "non-dropping-particle" : "", "parse-names" : false, "suffix" : "" } ], "container-title" : "Diversity and Distributions", "id" : "ITEM-1", "issue" : "1", "issued" : { "date-parts" : [ [ "2017" ] ] }, "page" : "129-136", "title" : "Vascular plant extinctions in California: a critical assessment", "type" : "article-journal", "volume" : "24" }, "uris" : [ "http://www.mendeley.com/documents/?uuid=144cf2be-5fda-4f23-a141-bee3238f6b5c", "http://www.mendeley.com/documents/?uuid=bf9c879b-8d7a-4358-a1c7-a354a8c64cc8" ] } ], "mendeley" : { "formattedCitation" : "(M. Rejm\u00e1nek, 2017)", "manualFormatting" : "(Rejm\u00e1nek, 2017)", "plainTextFormattedCitation" : "(M. Rejm\u00e1nek, 2017)", "previouslyFormattedCitation" : "(Rejm\u00e1nek, 2017)" }, "properties" : { "noteIndex" : 0 }, "schema" : "https://github.com/citation-style-language/schema/raw/master/csl-citation.json" }</w:instrText>
      </w:r>
      <w:r w:rsidR="004255E7" w:rsidRPr="008608AA">
        <w:fldChar w:fldCharType="separate"/>
      </w:r>
      <w:r w:rsidR="004255E7" w:rsidRPr="008608AA">
        <w:rPr>
          <w:noProof/>
        </w:rPr>
        <w:t>(Rejmánek, 2017)</w:t>
      </w:r>
      <w:r w:rsidR="004255E7" w:rsidRPr="008608AA">
        <w:fldChar w:fldCharType="end"/>
      </w:r>
      <w:r w:rsidR="004255E7" w:rsidRPr="008608AA">
        <w:t xml:space="preserve"> with 15 additional species extinct in California but found elsewhere (together 0.53% of the Californian flora); extinctions are associated with small range sizes and lowland habitats. </w:t>
      </w:r>
    </w:p>
    <w:p w14:paraId="3A23C286" w14:textId="77777777" w:rsidR="004255E7" w:rsidRPr="008608AA" w:rsidRDefault="004255E7" w:rsidP="0063629E">
      <w:pPr>
        <w:widowControl w:val="0"/>
        <w:autoSpaceDE w:val="0"/>
        <w:autoSpaceDN w:val="0"/>
        <w:adjustRightInd w:val="0"/>
        <w:spacing w:after="120"/>
      </w:pPr>
      <w:r w:rsidRPr="008608AA">
        <w:t xml:space="preserve">North American Mediterranean forests, woodland and scrub houses 991 species of alien plants and 109 species of alien vertebrates (including 26 mammals) </w:t>
      </w:r>
      <w:r w:rsidRPr="008608AA">
        <w:fldChar w:fldCharType="begin" w:fldLock="1"/>
      </w:r>
      <w:r w:rsidRPr="008608AA">
        <w:instrText>ADDIN CSL_CITATION { "citationItems" : [ { "id" : "ITEM-1", "itemData" : { "author" : [ { "dropping-particle" : "", "family" : "Zavaleta", "given" : "E.", "non-dropping-particle" : "", "parse-names" : false, "suffix" : "" }, { "dropping-particle" : "", "family" : "Tershy", "given" : "B.", "non-dropping-particle" : "", "parse-names" : false, "suffix" : "" }, { "dropping-particle" : "", "family" : "Harrison", "given" : "S.", "non-dropping-particle" : "", "parse-names" : false, "suffix" : "" }, { "dropping-particle" : "", "family" : "Borker", "given" : "A.", "non-dropping-particle" : "", "parse-names" : false, "suffix" : "" }, { "dropping-particle" : "", "family" : "Sinervo", "given" : "B.", "non-dropping-particle" : "", "parse-names" : false, "suffix" : "" }, { "dropping-particle" : "", "family" : "Cornelisse", "given" : "T.", "non-dropping-particle" : "", "parse-names" : false, "suffix" : "" }, { "dropping-particle" : "", "family" : "Li", "given" : "C.", "non-dropping-particle" : "", "parse-names" : false, "suffix" : "" }, { "dropping-particle" : "", "family" : "Spatz", "given" : "D.", "non-dropping-particle" : "", "parse-names" : false, "suffix" : "" }, { "dropping-particle" : "", "family" : "Croll", "given" : "D.", "non-dropping-particle" : "", "parse-names" : false, "suffix" : "" } ], "container-title" : "Ecosystems of California", "editor" : [ { "dropping-particle" : "", "family" : "H. Mooney and E. Zavaleta", "given" : "", "non-dropping-particle" : "", "parse-names" : false, "suffix" : "" } ], "id" : "ITEM-1", "issued" : { "date-parts" : [ [ "2016" ] ] }, "page" : "187-212", "publisher" : "University of California Press", "publisher-place" : "Oakland, USA", "title" : "Biodiversity", "type" : "chapter" }, "uris" : [ "http://www.mendeley.com/documents/?uuid=b035c40b-dd26-3052-9e49-e5b1190cc86a" ] } ], "mendeley" : { "formattedCitation" : "(Zavaleta et al., 2016)", "plainTextFormattedCitation" : "(Zavaleta et al., 2016)", "previouslyFormattedCitation" : "(Zavaleta et al., 2016)" }, "properties" : { "noteIndex" : 0 }, "schema" : "https://github.com/citation-style-language/schema/raw/master/csl-citation.json" }</w:instrText>
      </w:r>
      <w:r w:rsidRPr="008608AA">
        <w:fldChar w:fldCharType="separate"/>
      </w:r>
      <w:r w:rsidRPr="008608AA">
        <w:rPr>
          <w:noProof/>
        </w:rPr>
        <w:t>(Zavaleta et al., 2016)</w:t>
      </w:r>
      <w:r w:rsidRPr="008608AA">
        <w:fldChar w:fldCharType="end"/>
      </w:r>
      <w:r w:rsidRPr="008608AA">
        <w:t xml:space="preserve">. Some 183 plant species are currently listed as invasive plants capable of damaging the environment and economy by the California Department of Food and Agriculture </w:t>
      </w:r>
      <w:r w:rsidRPr="008608AA">
        <w:fldChar w:fldCharType="begin" w:fldLock="1"/>
      </w:r>
      <w:r w:rsidRPr="008608AA">
        <w:instrText>ADDIN CSL_CITATION { "citationItems" : [ { "id" : "ITEM-1", "itemData" : { "author" : [ { "dropping-particle" : "", "family" : "California Natural Resources Agency", "given" : "", "non-dropping-particle" : "", "parse-names" : false, "suffix" : "" } ], "id" : "ITEM-1", "issued" : { "date-parts" : [ [ "2015" ] ] }, "number-of-pages" : "2015-2017", "title" : "California Department of Fish and Wildlife", "type" : "report" }, "uris" : [ "http://www.mendeley.com/documents/?uuid=44653cdc-08ed-3ba5-b737-0604a6d70161" ] } ], "mendeley" : { "formattedCitation" : "(California Natural Resources Agency, 2015)", "plainTextFormattedCitation" : "(California Natural Resources Agency, 2015)", "previouslyFormattedCitation" : "(California Natural Resources Agency, 2015)" }, "properties" : { "noteIndex" : 0 }, "schema" : "https://github.com/citation-style-language/schema/raw/master/csl-citation.json" }</w:instrText>
      </w:r>
      <w:r w:rsidRPr="008608AA">
        <w:fldChar w:fldCharType="separate"/>
      </w:r>
      <w:r w:rsidRPr="008608AA">
        <w:rPr>
          <w:noProof/>
        </w:rPr>
        <w:t>(California Natural Resources Agency, 2015)</w:t>
      </w:r>
      <w:r w:rsidRPr="008608AA">
        <w:fldChar w:fldCharType="end"/>
      </w:r>
      <w:r w:rsidRPr="008608AA">
        <w:t xml:space="preserve">. Coastal sage is very heavily invaded </w:t>
      </w:r>
      <w:r w:rsidRPr="008608AA">
        <w:fldChar w:fldCharType="begin" w:fldLock="1"/>
      </w:r>
      <w:r w:rsidRPr="008608AA">
        <w:instrText>ADDIN CSL_CITATION { "citationItems" : [ { "id" : "ITEM-1", "itemData" : { "author" : [ { "dropping-particle" : "", "family" : "Cleland", "given" : "E.E.", "non-dropping-particle" : "", "parse-names" : false, "suffix" : "" }, { "dropping-particle" : "", "family" : "Funk", "given" : "J.", "non-dropping-particle" : "", "parse-names" : false, "suffix" : "" }, { "dropping-particle" : "", "family" : "Allen.", "given" : "E.B.", "non-dropping-particle" : "", "parse-names" : false, "suffix" : "" } ], "container-title" : "Ecosystems of California", "editor" : [ { "dropping-particle" : "", "family" : "Zavaleta", "given" : "E.", "non-dropping-particle" : "", "parse-names" : false, "suffix" : "" }, { "dropping-particle" : "", "family" : "Mooney", "given" : "H.", "non-dropping-particle" : "", "parse-names" : false, "suffix" : "" } ], "id" : "ITEM-1", "issued" : { "date-parts" : [ [ "2016" ] ] }, "page" : "429-448", "publisher" : "University of California Press", "publisher-place" : "Oakland, USA", "title" : "Coastal sage scrub", "type" : "chapter" }, "uris" : [ "http://www.mendeley.com/documents/?uuid=84a40d93-96dc-4cec-94a2-6da543c88b38" ] } ], "mendeley" : { "formattedCitation" : "(Cleland, Funk, &amp; Allen., 2016)", "manualFormatting" : "(Cleland et al., 2016)", "plainTextFormattedCitation" : "(Cleland, Funk, &amp; Allen., 2016)", "previouslyFormattedCitation" : "(Cleland, Funk, &amp; Allen., 2016)" }, "properties" : { "noteIndex" : 0 }, "schema" : "https://github.com/citation-style-language/schema/raw/master/csl-citation.json" }</w:instrText>
      </w:r>
      <w:r w:rsidRPr="008608AA">
        <w:fldChar w:fldCharType="separate"/>
      </w:r>
      <w:r w:rsidRPr="008608AA">
        <w:rPr>
          <w:noProof/>
        </w:rPr>
        <w:t>(Cleland et al., 2016)</w:t>
      </w:r>
      <w:r w:rsidRPr="008608AA">
        <w:fldChar w:fldCharType="end"/>
      </w:r>
      <w:r w:rsidRPr="008608AA">
        <w:t xml:space="preserve">. Brooms and gorse invade woodlands and shrublands and can displace native vegetation when not controlled </w:t>
      </w:r>
      <w:r w:rsidRPr="008608AA">
        <w:fldChar w:fldCharType="begin" w:fldLock="1"/>
      </w:r>
      <w:r w:rsidRPr="008608AA">
        <w:instrText>ADDIN CSL_CITATION { "citationItems" : [ { "id" : "ITEM-1", "itemData" : { "URL" : "http://cal-ipc.org/", "author" : [ { "dropping-particle" : "", "family" : "California Invasive Plant Council", "given" : "", "non-dropping-particle" : "", "parse-names" : false, "suffix" : "" } ], "id" : "ITEM-1", "issued" : { "date-parts" : [ [ "2017" ] ] }, "title" : "California Invasive Plant Council", "type" : "webpage" }, "uris" : [ "http://www.mendeley.com/documents/?uuid=884c21c8-a391-48b3-825e-47a2e03e603d" ] } ], "mendeley" : { "formattedCitation" : "(California Invasive Plant Council, 2017)", "plainTextFormattedCitation" : "(California Invasive Plant Council, 2017)", "previouslyFormattedCitation" : "(California Invasive Plant Council, 2017)" }, "properties" : { "noteIndex" : 0 }, "schema" : "https://github.com/citation-style-language/schema/raw/master/csl-citation.json" }</w:instrText>
      </w:r>
      <w:r w:rsidRPr="008608AA">
        <w:fldChar w:fldCharType="separate"/>
      </w:r>
      <w:r w:rsidRPr="008608AA">
        <w:rPr>
          <w:noProof/>
        </w:rPr>
        <w:t>(California Invasive Plant Council, 2017)</w:t>
      </w:r>
      <w:r w:rsidRPr="008608AA">
        <w:fldChar w:fldCharType="end"/>
      </w:r>
      <w:r w:rsidRPr="008608AA">
        <w:t xml:space="preserve">. </w:t>
      </w:r>
    </w:p>
    <w:p w14:paraId="08EA55DE" w14:textId="5B49D14B" w:rsidR="004255E7" w:rsidRDefault="004255E7" w:rsidP="00843724">
      <w:pPr>
        <w:pStyle w:val="NormalWeb"/>
        <w:rPr>
          <w:lang w:val="en-US"/>
        </w:rPr>
      </w:pPr>
      <w:r w:rsidRPr="008608AA">
        <w:rPr>
          <w:lang w:val="en-US"/>
        </w:rPr>
        <w:t xml:space="preserve">Forests in the Sierra Nevada play a critical role in water supply. Most urban and agricultural water originates in these mountains, and 30% of </w:t>
      </w:r>
      <w:r w:rsidRPr="00360ADC">
        <w:rPr>
          <w:lang w:val="en-US"/>
        </w:rPr>
        <w:t>California’s</w:t>
      </w:r>
      <w:r w:rsidRPr="008608AA">
        <w:rPr>
          <w:lang w:val="en-US"/>
        </w:rPr>
        <w:t xml:space="preserve"> water is stored for a part of the year in the snowpack. Healthy forests reduce flood risks and lead to more predictable water flows. </w:t>
      </w:r>
    </w:p>
    <w:p w14:paraId="39EEFF71" w14:textId="77777777" w:rsidR="00843724" w:rsidRPr="008608AA" w:rsidRDefault="00843724" w:rsidP="00843724">
      <w:pPr>
        <w:pStyle w:val="NormalWeb"/>
        <w:rPr>
          <w:lang w:val="en-US"/>
        </w:rPr>
      </w:pPr>
    </w:p>
    <w:p w14:paraId="20ECC831" w14:textId="3DD1BE2B" w:rsidR="004255E7" w:rsidRPr="008608AA" w:rsidRDefault="007D4553" w:rsidP="0063629E">
      <w:pPr>
        <w:spacing w:after="120"/>
      </w:pPr>
      <w:r w:rsidRPr="008608AA">
        <w:rPr>
          <w:iCs/>
        </w:rPr>
        <w:t xml:space="preserve">Recent trends. </w:t>
      </w:r>
      <w:r w:rsidR="004255E7" w:rsidRPr="008608AA">
        <w:rPr>
          <w:shd w:val="clear" w:color="auto" w:fill="FFFFFF"/>
        </w:rPr>
        <w:t xml:space="preserve">In the past 50 years, urbanization, exurban development, and agriculture have caused considerable conversion of natural habitat </w:t>
      </w:r>
      <w:r w:rsidR="004255E7" w:rsidRPr="008608AA">
        <w:rPr>
          <w:shd w:val="clear" w:color="auto" w:fill="FFFFFF"/>
        </w:rPr>
        <w:fldChar w:fldCharType="begin" w:fldLock="1"/>
      </w:r>
      <w:r w:rsidR="004255E7" w:rsidRPr="008608AA">
        <w:rPr>
          <w:shd w:val="clear" w:color="auto" w:fill="FFFFFF"/>
        </w:rPr>
        <w:instrText>ADDIN CSL_CITATION { "citationItems" : [ { "id" : "ITEM-1", "itemData" : { "DOI" : "10.1016/j.jhydrol.2004.12.010", "ISBN" : "0022-1694", "ISSN" : "00221694", "PMID" : "230436200003", "abstract" : "Paired catchment studies have been widely used as a means of determining the magnitude of water yield changes resulting from changes in vegetation. This review focuses on the use of paired catchment studies for determining the changes in water yield at various time scales resulting from permanent changes in vegetation. The review considers long term annual changes, adjustment time scales, the seasonal pattern of flows and changes in both annual and seasonal flow duration curves. The paired catchment studies reported in the literature have been divided into four broad categories: afforestation experiments, deforestation experiments, regrowth experiments and forest conversion experiments. Comparisons between paired catchment results and a mean annual water balance model are presented and show good agreement between the two methodologies. The results highlight the potential underestimation of water yield changes if regrowth experiments are used to predict the likely impact of permanent alterations to a catchment's vegetation. An analysis of annual water yield changes from afforestation, deforestation and regrowth experiments demonstrates that the time taken to reach a new equilibrium under permanent land use change varies considerably. Deforestation experiments reach a new equilibrium more quickly than afforestation experiments. The review of papers reporting seasonal changes in water yield highlights the proportionally larger impact on low flows. Flow duration curve comparison provides a potential means of gaining a greater understanding of the impact of vegetation on the distribution of daily flows. ?? 2005 Elsevier B.V. All rights reserved.", "author" : [ { "dropping-particle" : "", "family" : "Brown", "given" : "Alice E.", "non-dropping-particle" : "", "parse-names" : false, "suffix" : "" }, { "dropping-particle" : "", "family" : "Zhang", "given" : "Lu", "non-dropping-particle" : "", "parse-names" : false, "suffix" : "" }, { "dropping-particle" : "", "family" : "McMahon", "given" : "Thomas A.", "non-dropping-particle" : "", "parse-names" : false, "suffix" : "" }, { "dropping-particle" : "", "family" : "Western", "given" : "Andrew W.", "non-dropping-particle" : "", "parse-names" : false, "suffix" : "" }, { "dropping-particle" : "", "family" : "Vertessy", "given" : "Robert A.", "non-dropping-particle" : "", "parse-names" : false, "suffix" : "" } ], "container-title" : "Journal of Hydrology", "id" : "ITEM-1", "issue" : "1-4", "issued" : { "date-parts" : [ [ "2005" ] ] }, "page" : "28-61", "title" : "A review of paired catchment studies for determining changes in water yield resulting from alterations in vegetation", "type" : "article-journal", "volume" : "310" }, "uris" : [ "http://www.mendeley.com/documents/?uuid=d654a894-ebcd-35f9-b5df-8da857b17294" ] }, { "id" : "ITEM-2", "itemData" : { "DOI" : "10.1088/1748-9326/11/5/054018", "ISSN" : "1748-9326", "abstract" : "Water shortages in California are a growing concern amidst ongoing drought, earlier spring snowmelt, projected future climate warming, and currently mandated water use restrictions. Increases in population and land use in coming decades will place additional pressure on already limited available water supplies. We used a state-and-transition simulation model to project future changes in developed (municipal and industrial) and agricultural land use to estimate associated water use demand from 2012 to 2062. Under current efficiency rates, total water use was projected to increase 1.8 billion cubic meters (+4.1%) driven primarily by urbanization and shifts to more water intensive crops. Only if currently mandated 25% reductions in municipal water use are continuously implemented would water demand in 2062 balance to water use levels in 2012. This is the first modeling effort of its kind to examine regional land-use related water demand incorporating historical trends of both developed and agricultural land uses.", "author" : [ { "dropping-particle" : "", "family" : "Wilson", "given" : "Tamara S.", "non-dropping-particle" : "", "parse-names" : false, "suffix" : "" }, { "dropping-particle" : "", "family" : "Sleeter", "given" : "Benjamin M.", "non-dropping-particle" : "", "parse-names" : false, "suffix" : "" }, { "dropping-particle" : "", "family" : "Cameron", "given" : "D. Richard", "non-dropping-particle" : "", "parse-names" : false, "suffix" : "" } ], "container-title" : "Environmental Research Letters", "id" : "ITEM-2", "issue" : "5", "issued" : { "date-parts" : [ [ "2016" ] ] }, "page" : "1-12", "title" : "Future land-use related water demand in California", "type" : "article-journal", "volume" : "11" }, "uris" : [ "http://www.mendeley.com/documents/?uuid=b4f273b0-ec5c-32a3-97c4-d1e4e9023cb2" ] } ], "mendeley" : { "formattedCitation" : "(A. E. Brown et al., 2005; T. S. Wilson, Sleeter, &amp; Cameron, 2016)", "manualFormatting" : "(Brown et al., 2005; Wilson et al., 2016)", "plainTextFormattedCitation" : "(A. E. Brown et al., 2005; T. S. Wilson, Sleeter, &amp; Cameron, 2016)", "previouslyFormattedCitation" : "(A. E. Brown et al., 2005; T. S. Wilson, Sleeter, &amp; Cameron, 2016)" }, "properties" : { "noteIndex" : 0 }, "schema" : "https://github.com/citation-style-language/schema/raw/master/csl-citation.json" }</w:instrText>
      </w:r>
      <w:r w:rsidR="004255E7" w:rsidRPr="008608AA">
        <w:rPr>
          <w:shd w:val="clear" w:color="auto" w:fill="FFFFFF"/>
        </w:rPr>
        <w:fldChar w:fldCharType="separate"/>
      </w:r>
      <w:r w:rsidR="004255E7" w:rsidRPr="008608AA">
        <w:rPr>
          <w:noProof/>
          <w:shd w:val="clear" w:color="auto" w:fill="FFFFFF"/>
        </w:rPr>
        <w:t>(Brown et al., 2005; Wilson et al., 2016)</w:t>
      </w:r>
      <w:r w:rsidR="004255E7" w:rsidRPr="008608AA">
        <w:rPr>
          <w:shd w:val="clear" w:color="auto" w:fill="FFFFFF"/>
        </w:rPr>
        <w:fldChar w:fldCharType="end"/>
      </w:r>
      <w:r w:rsidR="004255E7" w:rsidRPr="008608AA">
        <w:t xml:space="preserve">; for example, a fourfold increase in vineyard acreage between 1976 and 2010 removed much oak woodland in coastal counties </w:t>
      </w:r>
      <w:r w:rsidR="004255E7" w:rsidRPr="008608AA">
        <w:fldChar w:fldCharType="begin" w:fldLock="1"/>
      </w:r>
      <w:r w:rsidR="004255E7" w:rsidRPr="008608AA">
        <w:instrText>ADDIN CSL_CITATION { "citationItems" : [ { "id" : "ITEM-1", "itemData" : { "author" : [ { "dropping-particle" : "", "family" : "Davis", "given" : "Frank W.", "non-dropping-particle" : "", "parse-names" : false, "suffix" : "" }, { "dropping-particle" : "", "family" : "Baldocchi", "given" : "Dennis D.", "non-dropping-particle" : "", "parse-names" : false, "suffix" : "" }, { "dropping-particle" : "", "family" : "Tyler", "given" : "C.M.", "non-dropping-particle" : "", "parse-names" : false, "suffix" : "" } ], "container-title" : "Ecosystems of California", "editor" : [ { "dropping-particle" : "", "family" : "Mooney", "given" : "H.", "non-dropping-particle" : "", "parse-names" : false, "suffix" : "" }, { "dropping-particle" : "", "family" : "Zavaleta", "given" : "E.", "non-dropping-particle" : "", "parse-names" : false, "suffix" : "" } ], "id" : "ITEM-1", "issued" : { "date-parts" : [ [ "2016" ] ] }, "page" : "509-529", "publisher" : "University of California Press", "publisher-place" : "Oakland, USA", "title" : "Oak woodlands", "type" : "chapter" }, "uris" : [ "http://www.mendeley.com/documents/?uuid=7e7db0d5-fe33-396a-8b9b-cc68edd16bb2" ] } ], "mendeley" : { "formattedCitation" : "(Davis, Baldocchi, &amp; Tyler, 2016)", "manualFormatting" : "(Davis et al., 2016)", "plainTextFormattedCitation" : "(Davis, Baldocchi, &amp; Tyler, 2016)", "previouslyFormattedCitation" : "(Davis, Baldocchi, &amp; Tyler, 2016)" }, "properties" : { "noteIndex" : 0 }, "schema" : "https://github.com/citation-style-language/schema/raw/master/csl-citation.json" }</w:instrText>
      </w:r>
      <w:r w:rsidR="004255E7" w:rsidRPr="008608AA">
        <w:fldChar w:fldCharType="separate"/>
      </w:r>
      <w:r w:rsidR="004255E7" w:rsidRPr="008608AA">
        <w:rPr>
          <w:noProof/>
        </w:rPr>
        <w:t>(Davis et al., 2016)</w:t>
      </w:r>
      <w:r w:rsidR="004255E7" w:rsidRPr="008608AA">
        <w:fldChar w:fldCharType="end"/>
      </w:r>
      <w:r w:rsidR="004255E7" w:rsidRPr="008608AA">
        <w:t xml:space="preserve">. Vegetation fragmentation — possibly exacerbated by changing climate in some cases – and the secondary effects of urbanization such as predation by urban cats on birds have reduced butterfly richness, bird abundances, genetic connectivity and species diversity in some taxa and produced declines in plant species richness in different vegetation types </w:t>
      </w:r>
      <w:r w:rsidR="004255E7" w:rsidRPr="008608AA">
        <w:fldChar w:fldCharType="begin" w:fldLock="1"/>
      </w:r>
      <w:r w:rsidR="004255E7" w:rsidRPr="008608AA">
        <w:instrText>ADDIN CSL_CITATION { "citationItems" : [ { "id" : "ITEM-1", "itemData" : { "DOI" : "10.1098/rspb.2016.0957", "ISBN" : "0962-8452", "ISSN" : "0962-8452", "PMID" : "27581877", "abstract" : "The extinction vortex is a theoretical model describing the process by which extinction risk is elevated in small, isolated populations owing to interactions between environmental, demographic, and genetic factors. However, empirical demonstrations of these interactions have been elusive. We modelled the dynamics of a small mountain lion population isolated by anthropogenic barriers in greater Los Angeles, California, to evaluate the influence of demographic, genetic, and landscape factors on extinction probability. The population exhibited strong survival and reproduction, and the model predicted stable median population growth and a 15% probability of extinction over 50 years in the absence of inbreeding depression. However, our model also predicted the population will lose 40-57% of its heterozygosity in 50 years. When we reduced demographic parameters proportional to reductions documented in another wild population of mountain lions that experienced inbreeding depression, extinction probability rose to 99.7%. Simulating greater landscape connectivity by increasing immigration to greater than or equal to one migrant per generation appears sufficient to largely maintain genetic diversity and reduce extinction probability. We provide empirical support for the central tenet of the extinction vortex as interactions between genetics and demography greatly increased extinction probability relative to the risk from demographic and environmental stochasticity alone. Our modelling approach realistically integrates demographic and genetic data to provide a comprehensive assessment of factors threatening small populations.", "author" : [ { "dropping-particle" : "", "family" : "Benson", "given" : "John F.", "non-dropping-particle" : "", "parse-names" : false, "suffix" : "" }, { "dropping-particle" : "", "family" : "Mahoney", "given" : "Peter J.", "non-dropping-particle" : "", "parse-names" : false, "suffix" : "" }, { "dropping-particle" : "", "family" : "Sikich", "given" : "Jeff A.", "non-dropping-particle" : "", "parse-names" : false, "suffix" : "" }, { "dropping-particle" : "", "family" : "Serieys", "given" : "Laurel E. K.", "non-dropping-particle" : "", "parse-names" : false, "suffix" : "" }, { "dropping-particle" : "", "family" : "Pollinger", "given" : "John P.", "non-dropping-particle" : "", "parse-names" : false, "suffix" : "" }, { "dropping-particle" : "", "family" : "Ernest", "given" : "Holly B.", "non-dropping-particle" : "", "parse-names" : false, "suffix" : "" }, { "dropping-particle" : "", "family" : "Riley", "given" : "Seth P.", "non-dropping-particle" : "", "parse-names" : false, "suffix" : "" } ], "container-title" : "Proceedings of the Royal Society B: Biological Sciences", "id" : "ITEM-1", "issue" : "1837", "issued" : { "date-parts" : [ [ "2016" ] ] }, "page" : "20160957", "title" : "Interactions between demography, genetics, and landscape connectivity increase extinction probability for a small population of large carnivores in a major metropolitan area", "type" : "article-journal", "volume" : "283" }, "uris" : [ "http://www.mendeley.com/documents/?uuid=1f7952a4-f09e-4c51-82bf-150b5547582a" ] }, { "id" : "ITEM-2", "itemData" : { "DOI" : "10.1111/cobi.12241", "ISBN" : "1523-1739", "ISSN" : "15231739", "PMID" : "24527888", "abstract" : "Butterfly populations are naturally patchy and undergo extinctions and recolonizations. Analyses based on more than 2 decades of data on California's Central Valley butterfly fauna show a net loss in species richness through time. We analyzed 22 years of phenological and faunistic data for butterflies to investigate patterns of species richness over time. We then used 18-22 years of data on changes in regional land use and 37 years of seasonal climate data to develop an explanatory model. The model related the effects of changes in land-use patterns, from working landscapes (farm and ranchland) to urban and suburban landscapes, and of a changing climate on butterfly species richness. Additionally, we investigated local trends in land use and climate. A decline in the area of farmland and ranchland, an increase in minimum temperatures during the summer and maximum temperatures in the fall negatively affected net species richness, whereas increased minimum temperatures in the spring and greater precipitation in the previous summer positively affected species richness. According to the model, there was a threshold between 30% and 40% working-landscape area below which further loss of working-landscape area had a proportionally greater effect on butterfly richness. Some of the isolated effects of a warming climate acted in opposition to affect butterfly richness. Three of the 4 climate variables that most affected richness showed systematic trends (spring and summer mean minimum and fall mean maximum temperatures). Higher spring minimum temperatures were associated with greater species richness, whereas higher summer temperatures in the previous year and lower rainfall were linked to lower richness. Patterns of land use contributed to declines in species richness (although the pattern was not linear), but the net effect of a changing climate on butterfly richness was more difficult to discern. Contribuci\u00f3n de la Expansi\u00f3n Urbana y un Clima Cambiante a la Declinaci\u00f3n de la Fauna de Mariposas.", "author" : [ { "dropping-particle" : "", "family" : "Casner", "given" : "Kayce L.", "non-dropping-particle" : "", "parse-names" : false, "suffix" : "" }, { "dropping-particle" : "", "family" : "Forister", "given" : "Matthew L.", "non-dropping-particle" : "", "parse-names" : false, "suffix" : "" }, { "dropping-particle" : "", "family" : "O'Brien", "given" : "Joshua M.", "non-dropping-particle" : "", "parse-names" : false, "suffix" : "" }, { "dropping-particle" : "", "family" : "Thorne", "given" : "James", "non-dropping-particle" : "", "parse-names" : false, "suffix" : "" }, { "dropping-particle" : "", "family" : "Waetjen", "given" : "David", "non-dropping-particle" : "", "parse-names" : false, "suffix" : "" }, { "dropping-particle" : "", "family" : "Shapiro", "given" : "Arthur M.", "non-dropping-particle" : "", "parse-names" : false, "suffix" : "" } ], "container-title" : "Conservation Biology", "id" : "ITEM-2", "issue" : "3", "issued" : { "date-parts" : [ [ "2014" ] ] }, "page" : "773-782", "title" : "Contribution of urban expansion and a changing climate to decline of a butterfly fauna", "type" : "article-journal", "volume" : "28" }, "uris" : [ "http://www.mendeley.com/documents/?uuid=e3b07a0c-c0f6-415c-a331-33ac5dbd9b60" ] }, { "id" : "ITEM-3", "itemData" : { "DOI" : "10.1007/s00267-012-9866-x", "ISBN" : "0364-152X", "ISSN" : "0364152X", "PMID" : "22569705", "abstract" : "Cat predation of birds in residential landscapes is ephemeral, unpredictable, and spatially dispersed, and thus requires many person-hours to observe. We sought to identify whether specific behaviors, traits, or feeding ecologies of birds contribute to their probability of cat-caused mortality around residences across temperate North America. In addressing this question, we evaluated citizen science data with respect to peer-reviewed species accounts (Birds of North America, BNA). Using information on cat predation from the BNA, we found that species that glean their prey from the ground or breed in nest boxes were three times more likely to be depredated by cats, while birds that hawk were over two times less likely to become cat prey than would be predicted by random chance. Data from citizen science sources also showed that birds using nest boxes had increased susceptibility to cat predation, as did those that use feeders and that glean from foliage. We caution that observations of predation by citizen science volunteers may be biased towards detection at feeders. Future research should focus on developing volunteer survey techniques for improving estimates of bird mortality rates and sources.", "author" : [ { "dropping-particle" : "", "family" : "Cooper", "given" : "Caren Beth", "non-dropping-particle" : "", "parse-names" : false, "suffix" : "" }, { "dropping-particle" : "", "family" : "Loyd", "given" : "Kerrie Anne Therese", "non-dropping-particle" : "", "parse-names" : false, "suffix" : "" }, { "dropping-particle" : "", "family" : "Murante", "given" : "Tessa", "non-dropping-particle" : "", "parse-names" : false, "suffix" : "" }, { "dropping-particle" : "", "family" : "Savoca", "given" : "Matthew", "non-dropping-particle" : "", "parse-names" : false, "suffix" : "" }, { "dropping-particle" : "", "family" : "Dickinson", "given" : "Janis", "non-dropping-particle" : "", "parse-names" : false, "suffix" : "" } ], "container-title" : "Environmental Management", "id" : "ITEM-3", "issue" : "1", "issued" : { "date-parts" : [ [ "2012" ] ] }, "page" : "11-20", "title" : "Natural history traits associated with detecting mortality within residential bird communities: can citizen science provide insights?", "type" : "article-journal", "volume" : "50" }, "uris" : [ "http://www.mendeley.com/documents/?uuid=b7b979b6-0c3b-4dd9-8846-004f6e5052c8" ] }, { "id" : "ITEM-4", "itemData" : { "DOI" : "10.1007/s11252-015-0513-1", "ISBN" : "1083-8155", "ISSN" : "15731642", "abstract" : "Habitat fragmentation plays a major role in species extinction around the globe. Previous research has determined that species richness in fragments is affected by a number of characteristics. These include fragment age, size, and isolation, edge effects, vegetation coverage, habitat heterogeneity, and matrix content. Although most studies focused on one or a few of these characteristics, multiple characteristics work together to affect species richness, showing that the effects of habitat fragmentation are complex. The goal of our study was to partition the complex effects of habitat fragmentation by determining the direct, indirect, and cumulative effects of multiple habitat fragment characteristics on rodent species richness. In 2013, we determined rodent species richness in 25 habitat fragments within Thousand Oaks, California. In addition, we measured the following characteristics for each fragment: fragment age, area, isolation, shrub coverage, habitat heterogeneity, perimeter/area ratio, and percent non-urban buffer. Path Analysis was used to test the hypothesized model which described the direct, indirect, and cumulative effect of each habitat fragment characteristic on rodent species richness. Overall, the path model explained 67 {%} of the variation in rodent species richness among habitat fragments. Habitat heterogeneity had the greatest direct and total effect on rodent species richness. Fragment size had the next greatest total effect on rodent species richness but this was nearly entirely indirect through its influence on habitat heterogeneity, suggesting that large fragments containing the greatest diversity of habitats will support the most species. Our study shows that large habitat fragments support the greatest habitat diversity, which provides the highest lik</w:instrText>
      </w:r>
      <w:r w:rsidR="004255E7" w:rsidRPr="008608AA">
        <w:rPr>
          <w:lang w:val="fr-CA"/>
        </w:rPr>
        <w:instrText>elihood of conserving rodent species richness in an urban landscape.", "author" : [ { "dropping-particle" : "", "family" : "Johnson", "given" : "Alex M.", "non-dropping-particle" : "", "parse-names" : false, "suffix" : "" }, { "dropping-particle" : "", "family" : "Karels", "given" : "Tim J.", "non-dropping-particle" : "", "parse-names" : false, "suffix" : "" } ], "container-title" : "Urban Ecosystems", "id" : "ITEM-4", "issue" : "2", "issued" : { "date-parts" : [ [ "2016" ] ] }, "page" : "547-560", "title" : "Partitioning the effects of habitat fragmentation on rodent species richness in an urban landscape", "type" : "article-journal", "volume" : "19" }, "uris" : [ "http://www.mendeley.com/documents/?uuid=92f06276-b75f-4434-8871-3e04444cd9ca" ] } ], "mendeley" : { "formattedCitation" : "(J. F. Benson et al., 2016; Casner et al., 2014; Cooper, Loyd, Murante, Savoca, &amp; Dickinson, 2012; A. M. Johnson &amp; Karels, 2016)", "manualFormatting" : "(Benson et al., 2016; Casner et al., 2014; Cooper et al., 2012; Johnson &amp; Karels, 2016)", "plainTextFormattedCitation" : "(J. F. Benson et al., 2016; Casner et al., 2014; Cooper, Loyd, Murante, Savoca, &amp; Dickinson, 2012; A. M. Johnson &amp; Karels, 2016)", "previouslyFormattedCitation" : "(J. F. Benson et al., 2016; Casner et al., 2014; Cooper, Loyd, Murante, Savoca, &amp; Dickinson, 2012; A. M. Johnson &amp; Karels, 2016)" }, "properties" : { "noteIndex" : 0 }, "schema" : "https://github.com/citation-style-language/schema/raw/master/csl-citation.json" }</w:instrText>
      </w:r>
      <w:r w:rsidR="004255E7" w:rsidRPr="008608AA">
        <w:fldChar w:fldCharType="separate"/>
      </w:r>
      <w:r w:rsidR="004255E7" w:rsidRPr="008608AA">
        <w:rPr>
          <w:noProof/>
          <w:lang w:val="fr-CA"/>
        </w:rPr>
        <w:t>(Benson et al., 2016; Casner et al., 2014; Cooper et al., 2012; Johnson &amp; Karels, 2016)</w:t>
      </w:r>
      <w:r w:rsidR="004255E7" w:rsidRPr="008608AA">
        <w:fldChar w:fldCharType="end"/>
      </w:r>
      <w:r w:rsidR="004255E7" w:rsidRPr="008608AA">
        <w:rPr>
          <w:lang w:val="fr-CA"/>
        </w:rPr>
        <w:t xml:space="preserve">. </w:t>
      </w:r>
      <w:r w:rsidR="004255E7" w:rsidRPr="008608AA">
        <w:t xml:space="preserve">Nevertheless, urban and semi-urban areas can house considerable plant diversity </w:t>
      </w:r>
      <w:r w:rsidR="004255E7" w:rsidRPr="008608AA">
        <w:rPr>
          <w:noProof/>
        </w:rPr>
        <w:fldChar w:fldCharType="begin" w:fldLock="1"/>
      </w:r>
      <w:r w:rsidR="004255E7" w:rsidRPr="008608AA">
        <w:rPr>
          <w:noProof/>
        </w:rPr>
        <w:instrText>ADDIN CSL_CITATION { "citationItems" : [ { "id" : "ITEM-1", "itemData" : { "DOI" : "10.1016/j.biocon.2005.05.017", "ISBN" : "0006-3207", "ISSN" : "00063207", "abstract" : "Biotic homogenization, driven by native species losses and invasive species gains was investigated for the flora of California. Data from a variety of available databases were aggregated at the county level to examine patterns in county population density and growth in relation to floristic change. Based on population, California was divided into three zones: high (n = 9; 257-1320 people/km2), medium (n = 25; 28-177 people/km2), and low (n = 24; 1-24 people/km2) density counties. Examining patterns of rare plant occurrences among these counties revealed that high and medium density counties contained, on average, as many or more rare and endemic species than low density counties. The largest pool of these species, 48 percent of the 962 highly threatened taxa in California, is restricted to high and medium density counties. Thus, urban and urbanizing counties play a strategic role in maintaining a part of California's flora that is both globally significant and threatened with extinction. Examining species losses and noxious weed additions across high density counties, reveals a consistent pattern of low similarity among species that have been extirpated from high density counties and a high similarity among noxious weeds that these counties now share. The consequence is that California's urban county floras appear to be homogenizing. Examining homogenization using the entire flora for urban counties demonstrates that less similar counties become more similar. The effect of loss of rare species could outweigh the gain in exotics, under an assumption of strong extinction. Finally, a strong negative relationship between population density and the proportion of county land in public ownership suggests that high and medium density counties are in a poor position to protect rare plant populations on a localized basis. ?? 2005 Elsevier Ltd. All rights reserved.", "author" : [ { "dropping-particle" : "", "family" : "Schwartz", "given" : "Mark W.", "non-dropping-particle" : "", "parse-names" : false, "suffix" : "" }, { "dropping-particle" : "", "family" : "Thorne", "given" : "James H.", "non-dropping-particle" : "", "parse-names" : false, "suffix" : "" }, { "dropping-particle" : "", "family" : "Viers", "given" : "Joshua H.", "non-dropping-particle" : "", "parse-names" : false, "suffix" : "" } ], "container-title" : "Biological Conservation", "id" : "ITEM-1", "issue" : "3", "issued" : { "date-parts" : [ [ "2006" ] ] }, "page" : "282-291", "title" : "Biotic homogenization of the California flora in urban and urbanizing regions", "type" : "article-journal", "volume" : "127" }, "uris" : [ "http://www.mendeley.com/documents/?uuid=5775460f-9ddf-3ad9-af1c-d6eb329b9892" ] } ], "mendeley" : { "formattedCitation" : "(Schwartz, Thorne, &amp; Viers, 2006)", "manualFormatting" : "(Schwartz et al., 2006)", "plainTextFormattedCitation" : "(Schwartz, Thorne, &amp; Viers, 2006)", "previouslyFormattedCitation" : "(Schwartz, Thorne, &amp; Viers, 2006)" }, "properties" : { "noteIndex" : 0 }, "schema" : "https://github.com/citation-style-language/schema/raw/master/csl-citation.json" }</w:instrText>
      </w:r>
      <w:r w:rsidR="004255E7" w:rsidRPr="008608AA">
        <w:rPr>
          <w:noProof/>
        </w:rPr>
        <w:fldChar w:fldCharType="separate"/>
      </w:r>
      <w:r w:rsidR="004255E7" w:rsidRPr="008608AA">
        <w:rPr>
          <w:noProof/>
        </w:rPr>
        <w:t>(Schwartz et al., 2006)</w:t>
      </w:r>
      <w:r w:rsidR="004255E7" w:rsidRPr="008608AA">
        <w:rPr>
          <w:noProof/>
        </w:rPr>
        <w:fldChar w:fldCharType="end"/>
      </w:r>
      <w:r w:rsidR="004255E7" w:rsidRPr="008608AA">
        <w:t xml:space="preserve"> and support high levels of bee diversity </w:t>
      </w:r>
      <w:r w:rsidR="004255E7" w:rsidRPr="008608AA">
        <w:fldChar w:fldCharType="begin" w:fldLock="1"/>
      </w:r>
      <w:r w:rsidR="004255E7" w:rsidRPr="008608AA">
        <w:instrText>ADDIN CSL_CITATION { "citationItems" : [ { "id" : "ITEM-1", "itemData" : { "DOI" : "10.3733/ca.v063n03p113", "ISBN" : "0008-0845", "ISSN" : "00080845", "abstract" : "Evidence is mounting that pollinators of crop and wildland plants are declining worldwide. Our research group at UC Berkeley and UC Davis conducted a 3-year survey of bee pollinators in seven cities from Northern California to Southern California. Results indicate that many types of urban residential gardens provide floral and nesting resources for the reproduction and survival of bees, especially a diversity of native bees. Habitat gardening for bees, using targeted ornamental plants, can predictably increase bee diversity and abundance, and provide clear pollination benefits.", "author" : [ { "dropping-particle" : "", "family" : "Frankie", "given" : "Gordon W.", "non-dropping-particle" : "", "parse-names" : false, "suffix" : "" }, { "dropping-particle" : "", "family" : "Thorp", "given" : "Robbin W.", "non-dropping-particle" : "", "parse-names" : false, "suffix" : "" }, { "dropping-particle" : "", "family" : "Hernandez", "given" : "Jennifer", "non-dropping-particle" : "", "parse-names" : false, "suffix" : "" }, { "dropping-particle" : "", "family" : "Rizzardi", "given" : "Mark", "non-dropping-particle" : "", "parse-names" : false, "suffix" : "" }, { "dropping-particle" : "", "family" : "Ertter", "given" : "Barbara", "non-dropping-particle" : "", "parse-names" : false, "suffix" : "" }, { "dropping-particle" : "", "family" : "Pawelek", "given" : "Jaime C.", "non-dropping-particle" : "", "parse-names" : false, "suffix" : "" }, { "dropping-particle" : "", "family" : "Witt", "given" : "Sara L.", "non-dropping-particle" : "", "parse-names" : false, "suffix" : "" }, { "dropping-particle" : "", "family" : "Schindler", "given" : "Mary", "non-dropping-particle" : "", "parse-names" : false, "suffix" : "" }, { "dropping-particle" : "", "family" : "Coville", "given" : "Rollin", "non-dropping-particle" : "", "parse-names" : false, "suffix" : "" }, { "dropping-particle" : "", "family" : "Wojcik", "given" : "Victoria A.", "non-dropping-particle" : "", "parse-names" : false, "suffix" : "" } ], "container-title" : "California Agriculture", "id" : "ITEM-1", "issue" : "3", "issued" : { "date-parts" : [ [ "2009" ] ] }, "page" : "113-120", "title" : "Native bees are a rich natural resource in urban California gardens", "type" : "article-journal", "volume" : "63" }, "uris" : [ "http://www.mendeley.com/documents/?uuid=53cb18ca-35d8-42f7-bd58-22cb47c69c99" ] } ], "mendeley" : { "formattedCitation" : "(Gordon W. Frankie et al., 2009)", "manualFormatting" : "(Frankie et al., 2009)", "plainTextFormattedCitation" : "(Gordon W. Frankie et al., 2009)", "previouslyFormattedCitation" : "(Frankie et al., 2009)" }, "properties" : { "noteIndex" : 0 }, "schema" : "https://github.com/citation-style-language/schema/raw/master/csl-citation.json" }</w:instrText>
      </w:r>
      <w:r w:rsidR="004255E7" w:rsidRPr="008608AA">
        <w:fldChar w:fldCharType="separate"/>
      </w:r>
      <w:r w:rsidR="004255E7" w:rsidRPr="008608AA">
        <w:rPr>
          <w:noProof/>
        </w:rPr>
        <w:t>(Frankie et al., 2009)</w:t>
      </w:r>
      <w:r w:rsidR="004255E7" w:rsidRPr="008608AA">
        <w:fldChar w:fldCharType="end"/>
      </w:r>
      <w:r w:rsidR="004255E7" w:rsidRPr="008608AA">
        <w:t xml:space="preserve"> </w:t>
      </w:r>
      <w:r w:rsidR="004255E7" w:rsidRPr="008608AA">
        <w:fldChar w:fldCharType="begin"/>
      </w:r>
      <w:r w:rsidR="004255E7" w:rsidRPr="008608AA">
        <w:instrText xml:space="preserve"> ADDIN EN.CITE </w:instrText>
      </w:r>
      <w:r w:rsidR="004255E7" w:rsidRPr="008608AA">
        <w:fldChar w:fldCharType="begin"/>
      </w:r>
      <w:r w:rsidR="004255E7" w:rsidRPr="008608AA">
        <w:instrText xml:space="preserve"> ADDIN EN.CITE.DATA </w:instrText>
      </w:r>
      <w:r w:rsidR="004255E7" w:rsidRPr="008608AA">
        <w:fldChar w:fldCharType="end"/>
      </w:r>
      <w:r w:rsidR="004255E7" w:rsidRPr="008608AA">
        <w:fldChar w:fldCharType="end"/>
      </w:r>
      <w:r w:rsidR="004255E7" w:rsidRPr="008608AA">
        <w:t xml:space="preserve">and thus could turn out to be very relevant for conservation. </w:t>
      </w:r>
    </w:p>
    <w:p w14:paraId="36C8CF86" w14:textId="6AE55546" w:rsidR="004255E7" w:rsidRPr="008608AA" w:rsidRDefault="004255E7" w:rsidP="00843724">
      <w:pPr>
        <w:pStyle w:val="NormalWeb"/>
        <w:rPr>
          <w:rFonts w:eastAsia="Times New Roman"/>
          <w:color w:val="231F20"/>
          <w:lang w:val="en-US"/>
        </w:rPr>
      </w:pPr>
      <w:r w:rsidRPr="008608AA">
        <w:rPr>
          <w:color w:val="000000"/>
          <w:lang w:val="en-US"/>
        </w:rPr>
        <w:t xml:space="preserve">Mediterranean forests, woodland and scrub has experienced </w:t>
      </w:r>
      <w:r w:rsidRPr="008608AA">
        <w:rPr>
          <w:lang w:val="en-US"/>
        </w:rPr>
        <w:t xml:space="preserve">warming </w:t>
      </w:r>
      <w:r w:rsidRPr="008608AA">
        <w:rPr>
          <w:lang w:val="en-US"/>
        </w:rPr>
        <w:fldChar w:fldCharType="begin" w:fldLock="1"/>
      </w:r>
      <w:r w:rsidRPr="008608AA">
        <w:rPr>
          <w:lang w:val="en-US"/>
        </w:rPr>
        <w:instrText>ADDIN CSL_CITATION { "citationItems" : [ { "id" : "ITEM-1", "itemData" : { "DOI" : "10.1073/pnas.1422385112", "ISBN" : "0027-8424, 1091-6490", "ISSN" : "0027-8424", "PMID" : "25733875", "abstract" : "California is currently in the midst of a record-setting drought. The drought began in 2012 and now includes the lowest calendar-year and 12-mo precipitation, the highest annual temperature, and the most extreme drought indicators on record. The extremely warm and dry conditions have led to acute water shortages, groundwater overdraft, critically low streamflow, and enhanced wildfire risk. Analyzing historical climate observations from California, we find that precipitation deficits in California were more than twice as likely to yield drought years if they occurred when conditions were warm. We find that although there has not been a substantial change in the probability of either negative or moderately negative precipitation anomalies in recent decades, the occurrence of drought years has been greater in the past two decades than in the preceding century. In addition, the probability that precipitation deficits co-occur with warm conditions and the probability that precipitation deficits produce drought have both increased. Climate model experiments with and without anthropogenic forcings reveal that human activities have increased the probability that dry precipitation years are also warm. Further, a large ensemble of climate model realizations reveals that additional global warming over the next few decades is very likely to create \u223c100% probability that any annual-scale dry period is also extremely warm. We therefore conclude that anthropogenic warming is increasing the probability of co-occurring warm\u2013dry conditions like those that have created the acute human and ecosystem impacts associated with the \u201cexceptional\u201d 2012\u20132014 drought in California.", "author" : [ { "dropping-particle" : "", "family" : "Diffenbaugh", "given" : "Noah S", "non-dropping-particle" : "", "parse-names" : false, "suffix" : "" }, { "dropping-particle" : "", "family" : "Swain", "given" : "Daniel L", "non-dropping-particle" : "", "parse-names" : false, "suffix" : "" }, { "dropping-particle" : "", "family" : "Touma", "given" : "Danielle", "non-dropping-particle" : "", "parse-names" : false, "suffix" : "" } ], "container-title" : "PNAS", "id" : "ITEM-1", "issue" : "13", "issued" : { "date-parts" : [ [ "2015" ] ] }, "page" : "3931-3936", "title" : "Anthropogenic warming has increased drought risk in California", "type" : "article-journal", "volume" : "112" }, "uris" : [ "http://www.mendeley.com/documents/?uuid=95c2d466-6437-3109-96e9-b41057894c6f" ] } ], "mendeley" : { "formattedCitation" : "(Diffenbaugh, Swain, &amp; Touma, 2015)", "manualFormatting" : "(Diffenbaugh et al., 2015)", "plainTextFormattedCitation" : "(Diffenbaugh, Swain, &amp; Touma, 2015)", "previouslyFormattedCitation" : "(Diffenbaugh, Swain, &amp; Touma, 2015)" }, "properties" : { "noteIndex" : 0 }, "schema" : "https://github.com/citation-style-language/schema/raw/master/csl-citation.json" }</w:instrText>
      </w:r>
      <w:r w:rsidRPr="008608AA">
        <w:rPr>
          <w:lang w:val="en-US"/>
        </w:rPr>
        <w:fldChar w:fldCharType="separate"/>
      </w:r>
      <w:r w:rsidRPr="008608AA">
        <w:rPr>
          <w:noProof/>
          <w:lang w:val="en-US"/>
        </w:rPr>
        <w:t>(Diffenbaugh et al., 2015)</w:t>
      </w:r>
      <w:r w:rsidRPr="008608AA">
        <w:rPr>
          <w:lang w:val="en-US"/>
        </w:rPr>
        <w:fldChar w:fldCharType="end"/>
      </w:r>
      <w:r w:rsidRPr="008608AA">
        <w:rPr>
          <w:lang w:val="en-US"/>
        </w:rPr>
        <w:t>.</w:t>
      </w:r>
      <w:r w:rsidRPr="008608AA">
        <w:rPr>
          <w:color w:val="000000"/>
          <w:lang w:val="en-US"/>
        </w:rPr>
        <w:t xml:space="preserve"> Upward elevational range shifts, consistent with </w:t>
      </w:r>
      <w:r w:rsidRPr="00360ADC">
        <w:rPr>
          <w:lang w:val="en-US"/>
        </w:rPr>
        <w:t>warming</w:t>
      </w:r>
      <w:r w:rsidRPr="008608AA">
        <w:rPr>
          <w:color w:val="000000"/>
          <w:lang w:val="en-US"/>
        </w:rPr>
        <w:t xml:space="preserve">, have been reported in </w:t>
      </w:r>
      <w:r w:rsidRPr="008608AA">
        <w:rPr>
          <w:lang w:val="en-US"/>
        </w:rPr>
        <w:t xml:space="preserve">small mammals </w:t>
      </w:r>
      <w:r w:rsidRPr="008608AA">
        <w:rPr>
          <w:lang w:val="en-US"/>
        </w:rPr>
        <w:fldChar w:fldCharType="begin" w:fldLock="1"/>
      </w:r>
      <w:r w:rsidRPr="008608AA">
        <w:rPr>
          <w:lang w:val="en-US"/>
        </w:rPr>
        <w:instrText>ADDIN CSL_CITATION { "citationItems" : [ { "id" : "ITEM-1", "itemData" : { "DOI" : "10.1126/science.1163428", "ISBN" : "0036-8075", "ISSN" : "1095-9203", "PMID" : "18845755", "abstract" : "We provide a century-scale view of small-mammal responses to global warming, without confounding effects of land-use change, by repeating Grinnell's early-20th century survey across a 3000-meter-elevation gradient that spans Yosemite National Park, California, USA. Using occupancy modeling to control for variation in detectability, we show substantial ( approximately 500 meters on average) upward changes in elevational limits for half of 28 species monitored, consistent with the observed approximately 3 degrees C increase in minimum temperatures. Formerly low-elevation species expanded their ranges and high-elevation species contracted theirs, leading to changed community composition at mid- and high elevations. Elevational replacement among congeners changed because species' responses were idiosyncratic. Though some high-elevation species are threatened, protection of elevation gradients allows other species to respond via migration.", "author" : [ { "dropping-particle" : "", "family" : "Moritz", "given" : "Craig", "non-dropping-particle" : "", "parse-names" : false, "suffix" : "" }, { "dropping-particle" : "", "family" : "Patton", "given" : "James L", "non-dropping-particle" : "", "parse-names" : false, "suffix" : "" }, { "dropping-particle" : "", "family" : "Conroy", "given" : "Chris J", "non-dropping-particle" : "", "parse-names" : false, "suffix" : "" }, { "dropping-particle" : "", "family" : "Parra", "given" : "Juan L", "non-dropping-particle" : "", "parse-names" : false, "suffix" : "" }, { "dropping-particle" : "", "family" : "White", "given" : "Gary C", "non-dropping-particle" : "", "parse-names" : false, "suffix" : "" }, { "dropping-particle" : "", "family" : "Beissinger", "given" : "Steven R", "non-dropping-particle" : "", "parse-names" : false, "suffix" : "" } ], "container-title" : "Science", "id" : "ITEM-1", "issue" : "5899", "issued" : { "date-parts" : [ [ "2008" ] ] }, "page" : "261-264", "title" : "Impact of a century of climate change on small-mammal communities in Yosemite National Park, USA.", "type" : "article-journal", "volume" : "322" }, "uris" : [ "http://www.mendeley.com/documents/?uuid=e884fa83-a5f8-3ada-a7f0-339a381d7255" ] } ], "mendeley" : { "formattedCitation" : "(Moritz et al., 2008)", "plainTextFormattedCitation" : "(Moritz et al., 2008)", "previouslyFormattedCitation" : "(Moritz et al., 2008)" }, "properties" : { "noteIndex" : 0 }, "schema" : "https://github.com/citation-style-language/schema/raw/master/csl-citation.json" }</w:instrText>
      </w:r>
      <w:r w:rsidRPr="008608AA">
        <w:rPr>
          <w:lang w:val="en-US"/>
        </w:rPr>
        <w:fldChar w:fldCharType="separate"/>
      </w:r>
      <w:r w:rsidRPr="008608AA">
        <w:rPr>
          <w:noProof/>
          <w:lang w:val="en-US"/>
        </w:rPr>
        <w:t>(Moritz et al., 2008)</w:t>
      </w:r>
      <w:r w:rsidRPr="008608AA">
        <w:rPr>
          <w:lang w:val="en-US"/>
        </w:rPr>
        <w:fldChar w:fldCharType="end"/>
      </w:r>
      <w:r w:rsidRPr="008608AA">
        <w:rPr>
          <w:lang w:val="en-US"/>
        </w:rPr>
        <w:t xml:space="preserve">, birds </w:t>
      </w:r>
      <w:r w:rsidRPr="008608AA">
        <w:rPr>
          <w:lang w:val="en-US"/>
        </w:rPr>
        <w:fldChar w:fldCharType="begin" w:fldLock="1"/>
      </w:r>
      <w:r w:rsidRPr="008608AA">
        <w:rPr>
          <w:lang w:val="en-US"/>
        </w:rPr>
        <w:instrText>ADDIN CSL_CITATION { "citationItems" : [ { "id" : "ITEM-1", "itemData" : { "DOI" : "10.1073/pnas.0901562106", "ISBN" : "0901562106", "ISSN" : "0027-8424", "PMID" : "19805037", "abstract" : "10.1073/pnas.0901562106 In the face of environmental change, species can evolve new physiological tolerances to cope with altered climatic conditions or move spatially to maintain existing physiological associations with particular climates that define each species' climatic niche. When environmental change occurs over short temporal and large spatial scales, vagile species are expected to move geographically by tracking their climatic niches through time. Here, we test for evidence of niche tracking in bird species of the Sierra Nevada mountains of California, focusing on 53 species resurveyed nearly a century apart at 82 sites on four elevational transects. Changes in climate and bird distributions resulted in focal species shifting their average climatological range over time. By comparing the directions of these shifts relative to the centroids of species' range-wide climatic niches, we found that 48 species (90.6%) tracked their climatic niche. Analysis of niche sensitivity on an independent set of occurrence data significantly predicted the temperature and precipitation gradients tracked by species. Furthermore, in 50 species (94.3%), site-specific occupancy models showed that the position of each site relative to the climatic niche centroid explained colonization and extinction probabilities better than a null model with constant probabilities. Combined, our results indicate that the factors limiting a bird species' range in the Sierra Nevada in the early 20th century also tended to drive changes in distribution over time, suggesting that climatic models derived from niche theory might be used successfully to forecast where and how to conserve species in the face of climate change.", "author" : [ { "dropping-particle" : "", "family" : "Tingley", "given" : "Morgan W.", "non-dropping-particle" : "", "parse-names" : false, "suffix" : "" }, { "dropping-particle" : "", "family" : "Monahan", "given" : "William B.", "non-dropping-particle" : "", "parse-names" : false, "suffix" : "" }, { "dropping-particle" : "", "family" : "Beissinger", "given" : "Steven R.", "non-dropping-particle" : "", "parse-names" : false, "suffix" : "" }, { "dropping-particle" : "", "family" : "Moritz", "given" : "Craig", "non-dropping-particle" : "", "parse-names" : false, "suffix" : "" } ], "container-title" : "PNAS", "id" : "ITEM-1", "issue" : "Supplement 2", "issued" : { "date-parts" : [ [ "2009" ] ] }, "page" : "19637-19643", "title" : "Birds track their Grinnellian niche through a century of climate change", "type" : "article-journal", "volume" : "106" }, "uris" : [ "http://www.mendeley.com/documents/?uuid=83058f10-2c84-35e9-97d2-f3c4d55f97ba" ] } ], "mendeley" : { "formattedCitation" : "(Tingley, Monahan, Beissinger, &amp; Moritz, 2009)", "manualFormatting" : "(Tingley et al., 2009)", "plainTextFormattedCitation" : "(Tingley, Monahan, Beissinger, &amp; Moritz, 2009)", "previouslyFormattedCitation" : "(Tingley, Monahan, Beissinger, &amp; Moritz, 2009)" }, "properties" : { "noteIndex" : 0 }, "schema" : "https://github.com/citation-style-language/schema/raw/master/csl-citation.json" }</w:instrText>
      </w:r>
      <w:r w:rsidRPr="008608AA">
        <w:rPr>
          <w:lang w:val="en-US"/>
        </w:rPr>
        <w:fldChar w:fldCharType="separate"/>
      </w:r>
      <w:r w:rsidRPr="008608AA">
        <w:rPr>
          <w:noProof/>
          <w:lang w:val="en-US"/>
        </w:rPr>
        <w:t>(Tingley et al., 2009)</w:t>
      </w:r>
      <w:r w:rsidRPr="008608AA">
        <w:rPr>
          <w:lang w:val="en-US"/>
        </w:rPr>
        <w:fldChar w:fldCharType="end"/>
      </w:r>
      <w:r w:rsidRPr="008608AA">
        <w:rPr>
          <w:lang w:val="en-US"/>
        </w:rPr>
        <w:t xml:space="preserve"> and plants </w:t>
      </w:r>
      <w:r w:rsidRPr="008608AA">
        <w:rPr>
          <w:lang w:val="en-US"/>
        </w:rPr>
        <w:fldChar w:fldCharType="begin" w:fldLock="1"/>
      </w:r>
      <w:r w:rsidRPr="008608AA">
        <w:rPr>
          <w:lang w:val="en-US"/>
        </w:rPr>
        <w:instrText>ADDIN CSL_CITATION { "citationItems" : [ { "id" : "ITEM-1", "itemData" : { "DOI" : "10.1111/geb.12423", "ISBN" : "1466822X", "ISSN" : "14668238", "abstract" : "ABSTRACT Aim The differential responses of plant species to climate change are of great interest and grave concern for scientists and conservationists. One underexploited resource for better understanding these changes are the records held by herbaria. Using these records to assess the responses of different groups of species across the entire flora of California, we sought to quantify the magnitude of species elevational shifts, to measure differences in shifts among functional groups and between native and introduced species, and to evaluate whether these shifts were related Location California. Methods To characterize these shifts in California, we used 681,609 georeferenced herbarium records to estimate mean shifts in elevational and cli- matic space of 4426 plant taxa.We developed and employed a statistical method to robustly analyse the data represented in these records. Results We found that 15% of all taxa in California have ranges that have shifted upward over the past century. There are significant differences between range shifts of taxa with different naturalization statuses: 12% of endemic taxa show significant upward range shifts, while a greater proportion (27%) of introduced taxa have shifted upward.We found significant differences between the proportion of signifi- cant range shifts across taxa with different seed sizes, but did not find evidence for differences in shift based on life-form (annual versus perennial, herbaceous versus woody). Main conclusions Our analyses suggest that introduced species have dispropor- tionately expanded their ranges upward in elevation over the past century when compared with native species.While these shifts in introduced species may not be exclusively driven by climate, they highlight the importance of considering the interacting factors of climate-driven range shifts and invasion to understand how floras are responding in the face of anthropogenic change. Keywords", "author" : [ { "dropping-particle" : "", "family" : "Wolf", "given" : "Adam", "non-dropping-particle" : "", "parse-names" : false, "suffix" : "" }, { "dropping-particle" : "", "family" : "Zimmerman", "given" : "Naupaka B.", "non-dropping-particle" : "", "parse-names" : false, "suffix" : "" }, { "dropping-particle" : "", "family" : "Anderegg", "given" : "William R.L.", "non-dropping-particle" : "", "parse-names" : false, "suffix" : "" }, { "dropping-particle" : "", "family" : "Busby", "given" : "Posy E.", "non-dropping-particle" : "", "parse-names" : false, "suffix" : "" }, { "dropping-particle" : "", "family" : "Christensen", "given" : "Jon", "non-dropping-particle" : "", "parse-names" : false, "suffix" : "" } ], "container-title" : "Global Ecology and Biogeography", "id" : "ITEM-1", "issue" : "4", "issued" : { "date-parts" : [ [ "2016" ] ] }, "page" : "418-429", "title" : "Altitudinal shifts of the native and introduced flora of California in the context of 20th-century warming", "type" : "article-journal", "volume" : "25" }, "uris" : [ "http://www.mendeley.com/documents/?uuid=e872d82d-bb45-3e11-a5bb-6a20772e5cf9" ] } ], "mendeley" : { "formattedCitation" : "(Wolf, Zimmerman, Anderegg, Busby, &amp; Christensen, 2016)", "manualFormatting" : "(Wolf et al., 2016)", "plainTextFormattedCitation" : "(Wolf, Zimmerman, Anderegg, Busby, &amp; Christensen, 2016)", "previouslyFormattedCitation" : "(Wolf, Zimmerman, Anderegg, Busby, &amp; Christensen, 2016)" }, "properties" : { "noteIndex" : 0 }, "schema" : "https://github.com/citation-style-language/schema/raw/master/csl-citation.json" }</w:instrText>
      </w:r>
      <w:r w:rsidRPr="008608AA">
        <w:rPr>
          <w:lang w:val="en-US"/>
        </w:rPr>
        <w:fldChar w:fldCharType="separate"/>
      </w:r>
      <w:r w:rsidRPr="008608AA">
        <w:rPr>
          <w:noProof/>
          <w:lang w:val="en-US"/>
        </w:rPr>
        <w:t>(Wolf et al., 2016)</w:t>
      </w:r>
      <w:r w:rsidRPr="008608AA">
        <w:rPr>
          <w:lang w:val="en-US"/>
        </w:rPr>
        <w:fldChar w:fldCharType="end"/>
      </w:r>
      <w:r w:rsidRPr="008608AA">
        <w:rPr>
          <w:lang w:val="en-US"/>
        </w:rPr>
        <w:t xml:space="preserve">, as well as earlier butterfly </w:t>
      </w:r>
      <w:r w:rsidRPr="008608AA">
        <w:rPr>
          <w:shd w:val="clear" w:color="auto" w:fill="FFFFFF"/>
          <w:lang w:val="en-US"/>
        </w:rPr>
        <w:t xml:space="preserve">appearance </w:t>
      </w:r>
      <w:r w:rsidRPr="008608AA">
        <w:rPr>
          <w:shd w:val="clear" w:color="auto" w:fill="FFFFFF"/>
          <w:lang w:val="en-US"/>
        </w:rPr>
        <w:fldChar w:fldCharType="begin" w:fldLock="1"/>
      </w:r>
      <w:r w:rsidRPr="008608AA">
        <w:rPr>
          <w:shd w:val="clear" w:color="auto" w:fill="FFFFFF"/>
          <w:lang w:val="en-US"/>
        </w:rPr>
        <w:instrText>ADDIN CSL_CITATION { "citationItems" : [ { "id" : "ITEM-1", "itemData" : { "DOI" : "10.1046/j.1365-2486.2003.00643.x", "ISBN" : "1354-1013", "ISSN" : "13541013", "abstract" : "Many studies, largely from cool-temperate latitudes, have investigated the relationship between the timing of biological events and changes in climatic conditions during the past few decades. Relatively little is known about the response of plants and animals at lower latitudes. Here we show that the average first spring flight of 23 butterfly species in the Central Valley of California has advanced to an earlier date over the past 31 years. Among the species that have appeared significantly earlier, the average shift is 24 days. Climatic conditions (largely winter temperature and precipitation) are found to explain a large part of the variation in changing date of first flight. These results suggest a strong ecological influence of changing climatic conditions on a suite of animals from a mid-latitude, Mediterranean climate.", "author" : [ { "dropping-particle" : "", "family" : "Forister", "given" : "Matthew L.", "non-dropping-particle" : "", "parse-names" : false, "suffix" : "" }, { "dropping-particle" : "", "family" : "Shapiro", "given" : "Arthur M.", "non-dropping-particle" : "", "parse-names" : false, "suffix" : "" } ], "container-title" : "Global Change Biology", "id" : "ITEM-1", "issue" : "7", "issued" : { "date-parts" : [ [ "2003" ] ] }, "page" : "1130-1135", "title" : "Climatic trends and advancing spring flight of butterflies in lowland California", "type" : "article-journal", "volume" : "9" }, "uris" : [ "http://www.mendeley.com/documents/?uuid=6348eccf-b31a-44d4-94fb-52b36fdae4cf" ] } ], "mendeley" : { "formattedCitation" : "(Forister &amp; Shapiro, 2003)", "manualFormatting" : "(Forister &amp; Shapiro, 2003)", "plainTextFormattedCitation" : "(Forister &amp; Shapiro, 2003)", "previouslyFormattedCitation" : "(Forister &amp; Shapiro, 2003)" }, "properties" : { "noteIndex" : 0 }, "schema" : "https://github.com/citation-style-language/schema/raw/master/csl-citation.json" }</w:instrText>
      </w:r>
      <w:r w:rsidRPr="008608AA">
        <w:rPr>
          <w:shd w:val="clear" w:color="auto" w:fill="FFFFFF"/>
          <w:lang w:val="en-US"/>
        </w:rPr>
        <w:fldChar w:fldCharType="separate"/>
      </w:r>
      <w:r w:rsidRPr="008608AA">
        <w:rPr>
          <w:noProof/>
          <w:shd w:val="clear" w:color="auto" w:fill="FFFFFF"/>
          <w:lang w:val="en-US"/>
        </w:rPr>
        <w:t>(Forister &amp; Shapiro, 2003)</w:t>
      </w:r>
      <w:r w:rsidRPr="008608AA">
        <w:rPr>
          <w:shd w:val="clear" w:color="auto" w:fill="FFFFFF"/>
          <w:lang w:val="en-US"/>
        </w:rPr>
        <w:fldChar w:fldCharType="end"/>
      </w:r>
      <w:r w:rsidRPr="008608AA">
        <w:rPr>
          <w:shd w:val="clear" w:color="auto" w:fill="FFFFFF"/>
          <w:lang w:val="en-US"/>
        </w:rPr>
        <w:t xml:space="preserve"> </w:t>
      </w:r>
      <w:r w:rsidRPr="008608AA">
        <w:rPr>
          <w:shd w:val="clear" w:color="auto" w:fill="FFFFFF"/>
          <w:lang w:val="en-US"/>
        </w:rPr>
        <w:fldChar w:fldCharType="begin"/>
      </w:r>
      <w:r w:rsidRPr="008608AA">
        <w:rPr>
          <w:shd w:val="clear" w:color="auto" w:fill="FFFFFF"/>
          <w:lang w:val="en-US"/>
        </w:rPr>
        <w:instrText xml:space="preserve"> ADDIN EN.CITE &lt;EndNote&gt;&lt;Cite&gt;&lt;Author&gt;Forister&lt;/Author&gt;&lt;Year&gt;2003&lt;/Year&gt;&lt;IDText&gt;Climatic trends and advancing spring flight of butterflies in lowland California&lt;/IDText&gt;&lt;DisplayText&gt;(Forister and Shapiro 2003)&lt;/DisplayText&gt;&lt;record&gt;&lt;dates&gt;&lt;pub-dates&gt;&lt;date&gt;Jul&lt;/date&gt;&lt;/pub-dates&gt;&lt;year&gt;2003&lt;/year&gt;&lt;/dates&gt;&lt;urls&gt;&lt;related-urls&gt;&lt;url&gt;&amp;lt;Go to ISI&amp;gt;://WOS:000183796800013&lt;/url&gt;&lt;/related-urls&gt;&lt;/urls&gt;&lt;isbn&gt;1354-1013&lt;/isbn&gt;&lt;titles&gt;&lt;title&gt;Climatic trends and advancing spring flight of butterflies in lowland California&lt;/title&gt;&lt;secondary-title&gt;Global Change Biology&lt;/secondary-title&gt;&lt;/titles&gt;&lt;pages&gt;1130-1135&lt;/pages&gt;&lt;number&gt;7&lt;/number&gt;&lt;contributors&gt;&lt;authors&gt;&lt;author&gt;Forister, M. L.&lt;/author&gt;&lt;author&gt;Shapiro, A. M.&lt;/author&gt;&lt;/authors&gt;&lt;/contributors&gt;&lt;added-date format="utc"&gt;1489942150&lt;/added-date&gt;&lt;ref-type name="Journal Article"&gt;17&lt;/ref-type&gt;&lt;rec-number&gt;2158&lt;/rec-number&gt;&lt;last-updated-date format="utc"&gt;1489942150&lt;/last-updated-date&gt;&lt;accession-num&gt;WOS:000183796800013&lt;/accession-num&gt;&lt;electronic-resource-num&gt;10.1046/j.1365-2486.2003.00643.x&lt;/electronic-resource-num&gt;&lt;volume&gt;9&lt;/volume&gt;&lt;/record&gt;&lt;/Cite&gt;&lt;/EndNote&gt;</w:instrText>
      </w:r>
      <w:r w:rsidRPr="008608AA">
        <w:rPr>
          <w:shd w:val="clear" w:color="auto" w:fill="FFFFFF"/>
          <w:lang w:val="en-US"/>
        </w:rPr>
        <w:fldChar w:fldCharType="end"/>
      </w:r>
      <w:r w:rsidRPr="008608AA">
        <w:rPr>
          <w:shd w:val="clear" w:color="auto" w:fill="FFFFFF"/>
          <w:lang w:val="en-US"/>
        </w:rPr>
        <w:t>and arrival of migratory birds</w:t>
      </w:r>
      <w:r w:rsidRPr="008608AA">
        <w:rPr>
          <w:color w:val="000000"/>
          <w:lang w:val="en-US"/>
        </w:rPr>
        <w:t xml:space="preserve">. </w:t>
      </w:r>
      <w:r w:rsidRPr="008608AA">
        <w:rPr>
          <w:lang w:val="en-US"/>
        </w:rPr>
        <w:t xml:space="preserve">Downward elevational shifts have also been reported in birds </w:t>
      </w:r>
      <w:r w:rsidRPr="008608AA">
        <w:rPr>
          <w:lang w:val="en-US"/>
        </w:rPr>
        <w:fldChar w:fldCharType="begin" w:fldLock="1"/>
      </w:r>
      <w:r w:rsidRPr="008608AA">
        <w:rPr>
          <w:lang w:val="en-US"/>
        </w:rPr>
        <w:instrText>ADDIN CSL_CITATION { "citationItems" : [ { "id" : "ITEM-1", "itemData" : { "DOI" : "10.1073/pnas.0901562106", "ISBN" : "0901562106", "ISSN" : "0027-8424", "PMID" : "19805037", "abstract" : "10.1073/pnas.0901562106 In the face of environmental change, species can evolve new physiological tolerances to cope with altered climatic conditions or move spatially to maintain existing physiological associations with particular climates that define each species' climatic niche. When environmental change occurs over short temporal and large spatial scales, vagile species are expected to move geographically by tracking their climatic niches through time. Here, we test for evidence of niche tracking in bird species of the Sierra Nevada mountains of California, focusing on 53 species resurveyed nearly a century apart at 82 sites on four elevational transects. Changes in climate and bird distributions resulted in focal species shifting their average climatological range over time. By comparing the directions of these shifts relative to the centroids of species' range-wide climatic niches, we found that 48 species (90.6%) tracked their climatic niche. Analysis of niche sensitivity on an independent set of occurrence data significantly predicted the temperature and precipitation gradients tracked by species. Furthermore, in 50 species (94.3%), site-specific occupancy models showed that the position of each site relative to the climatic niche centroid explained colonization and extinction probabilities better than a null model with constant probabilities. Combined, our results indicate that the factors limiting a bird species' range in the Sierra Nevada in the early 20th century also tended to drive changes in distribution over time, suggesting that climatic models derived from niche theory might be used successfully to forecast where and how to conserve species in the face of climate change.", "author" : [ { "dropping-particle" : "", "family" : "Tingley", "given" : "Morgan W.", "non-dropping-particle" : "", "parse-names" : false, "suffix" : "" }, { "dropping-particle" : "", "family" : "Monahan", "given" : "William B.", "non-dropping-particle" : "", "parse-names" : false, "suffix" : "" }, { "dropping-particle" : "", "family" : "Beissinger", "given" : "Steven R.", "non-dropping-particle" : "", "parse-names" : false, "suffix" : "" }, { "dropping-particle" : "", "family" : "Moritz", "given" : "Craig", "non-dropping-particle" : "", "parse-names" : false, "suffix" : "" } ], "container-title" : "PNAS", "id" : "ITEM-1", "issue" : "Supplement 2", "issued" : { "date-parts" : [ [ "2009" ] ] }, "page" : "19637-19643", "title" : "Birds track their Grinnellian niche through a century of climate change", "type" : "article-journal", "volume" : "106" }, "uris" : [ "http://www.mendeley.com/documents/?uuid=83058f10-2c84-35e9-97d2-f3c4d55f97ba" ] } ], "mendeley" : { "formattedCitation" : "(Tingley et al., 2009)", "manualFormatting" : "(Tingley et al.,  2009)", "plainTextFormattedCitation" : "(Tingley et al., 2009)", "previouslyFormattedCitation" : "(Tingley et al., 2009)" }, "properties" : { "noteIndex" : 0 }, "schema" : "https://github.com/citation-style-language/schema/raw/master/csl-citation.json" }</w:instrText>
      </w:r>
      <w:r w:rsidRPr="008608AA">
        <w:rPr>
          <w:lang w:val="en-US"/>
        </w:rPr>
        <w:fldChar w:fldCharType="separate"/>
      </w:r>
      <w:r w:rsidRPr="008608AA">
        <w:rPr>
          <w:noProof/>
          <w:lang w:val="en-US"/>
        </w:rPr>
        <w:t>(Tingley et al., 2009)</w:t>
      </w:r>
      <w:r w:rsidRPr="008608AA">
        <w:rPr>
          <w:lang w:val="en-US"/>
        </w:rPr>
        <w:fldChar w:fldCharType="end"/>
      </w:r>
      <w:r w:rsidRPr="008608AA">
        <w:rPr>
          <w:lang w:val="en-US"/>
        </w:rPr>
        <w:t xml:space="preserve"> and plants </w:t>
      </w:r>
      <w:r w:rsidRPr="008608AA">
        <w:rPr>
          <w:lang w:val="en-US"/>
        </w:rPr>
        <w:fldChar w:fldCharType="begin" w:fldLock="1"/>
      </w:r>
      <w:r w:rsidRPr="008608AA">
        <w:rPr>
          <w:lang w:val="en-US"/>
        </w:rPr>
        <w:instrText>ADDIN CSL_CITATION { "citationItems" : [ { "id" : "ITEM-1", "itemData" : { "DOI" : "10.1126/science.1199040", "ISBN" : "0612040100", "ISSN" : "1095-9203", "PMID" : "21252344", "abstract" : "Uphill shifts of species\u2019 distributions in response to historical warming are well documented, which leads to widespread expectations of continued uphill shifts under future warming. Conversely, downhill shifts are often considered anomalous and unrelated to climate change. By comparing the altitudinal distributions of 64 plant species between the 1930s and the present day within California, we show that climate changes have resulted in a significant downward shift in species\u2019 optimum elevations. This downhill shift is counter to what would be expected given 20th-century warming but is readily explained by species\u2019 niche tracking of regional changes in climatic water balance rather than temperature. Similar downhill shifts can be expected to occur where future climate change scenarios project increases in water availability that outpace evaporative demand.", "author" : [ { "dropping-particle" : "", "family" : "Crimmins", "given" : "Shawn M", "non-dropping-particle" : "", "parse-names" : false, "suffix" : "" }, { "dropping-particle" : "", "family" : "Dobrowski", "given" : "Solomon Z", "non-dropping-particle" : "", "parse-names" : false, "suffix" : "" }, { "dropping-particle" : "", "family" : "Greenberg", "given" : "Jonathan A", "non-dropping-particle" : "", "parse-names" : false, "suffix" : "" }, { "dropping-particle" : "", "family" : "Abatzoglou", "given" : "John T.", "non-dropping-particle" : "", "parse-names" : false, "suffix" : "" }, { "dropping-particle" : "", "family" : "Mynsberge", "given" : "Alison R", "non-dropping-particle" : "", "parse-names" : false, "suffix" : "" } ], "container-title" : "Science", "id" : "ITEM-1", "issue" : "6015", "issued" : { "date-parts" : [ [ "2011" ] ] }, "page" : "324-327", "title" : "Changes in climatic water balance drive downhill shifts in plant species\u2019 optimum elevations", "type" : "article-journal", "volume" : "331" }, "uris" : [ "http://www.mendeley.com/documents/?uuid=968f9976-b2b2-444f-beb3-9216032c2cb6" ] } ], "mendeley" : { "formattedCitation" : "(Crimmins, Dobrowski, Greenberg, Abatzoglou, &amp; Mynsberge, 2011)", "manualFormatting" : "(Crimmins et al., 2011)", "plainTextFormattedCitation" : "(Crimmins, Dobrowski, Greenberg, Abatzoglou, &amp; Mynsberge, 2011)", "previouslyFormattedCitation" : "(Crimmins, Dobrowski, Greenberg, Abatzoglou, &amp; Mynsberge, 2011)" }, "properties" : { "noteIndex" : 0 }, "schema" : "https://github.com/citation-style-language/schema/raw/master/csl-citation.json" }</w:instrText>
      </w:r>
      <w:r w:rsidRPr="008608AA">
        <w:rPr>
          <w:lang w:val="en-US"/>
        </w:rPr>
        <w:fldChar w:fldCharType="separate"/>
      </w:r>
      <w:r w:rsidRPr="008608AA">
        <w:rPr>
          <w:noProof/>
          <w:lang w:val="en-US"/>
        </w:rPr>
        <w:t>(Crimmins et al., 2011)</w:t>
      </w:r>
      <w:r w:rsidRPr="008608AA">
        <w:rPr>
          <w:lang w:val="en-US"/>
        </w:rPr>
        <w:fldChar w:fldCharType="end"/>
      </w:r>
      <w:r w:rsidRPr="008608AA">
        <w:rPr>
          <w:color w:val="000000"/>
          <w:lang w:val="en-US"/>
        </w:rPr>
        <w:t xml:space="preserve">. For plants, there is disagreement both about the trends and inferred link to climate </w:t>
      </w:r>
      <w:r w:rsidRPr="008608AA">
        <w:rPr>
          <w:lang w:val="en-US"/>
        </w:rPr>
        <w:fldChar w:fldCharType="begin" w:fldLock="1"/>
      </w:r>
      <w:r w:rsidRPr="008608AA">
        <w:rPr>
          <w:lang w:val="en-US"/>
        </w:rPr>
        <w:instrText>ADDIN CSL_CITATION { "citationItems" : [ { "id" : "ITEM-1", "itemData" : { "DOI" : "10.1126/science.1203791", "ISSN" : "1095-9203", "PMID" : "21998370", "abstract" : "Crimmins et al. (Reports, 21 January 2011, p. 324) reported that plant species moved downhill between 1935 and 2005. They compared plot data for two time periods, ignoring that the modern plots were farther north than the historical plots. I contend that there is no support for a general downhill shift after correcting for this geographic bias.", "author" : [ { "dropping-particle" : "", "family" : "Stephenson", "given" : "Nathan L.", "non-dropping-particle" : "", "parse-names" : false, "suffix" : "" }, { "dropping-particle" : "", "family" : "Das", "given" : "Adrian J.", "non-dropping-particle" : "", "parse-names" : false, "suffix" : "" } ], "container-title" : "Science", "id" : "ITEM-1", "issue" : "6053", "issued" : { "date-parts" : [ [ "2011" ] ] }, "title" : "Comment on \"Changes in climatic water balance drive downhill shifts in plant species' optimum elevations\"", "type" : "article-journal", "volume" : "334" }, "uris" : [ "http://www.mendeley.com/documents/?uuid=f4f55ae3-8bac-4563-91d6-5ba04364a452" ] } ], "mendeley" : { "formattedCitation" : "(Stephenson &amp; Das, 2011)", "manualFormatting" : "(Stephenson &amp; Das, 2011)", "plainTextFormattedCitation" : "(Stephenson &amp; Das, 2011)", "previouslyFormattedCitation" : "(Stephenson &amp; Das, 2011)" }, "properties" : { "noteIndex" : 0 }, "schema" : "https://github.com/citation-style-language/schema/raw/master/csl-citation.json" }</w:instrText>
      </w:r>
      <w:r w:rsidRPr="008608AA">
        <w:rPr>
          <w:lang w:val="en-US"/>
        </w:rPr>
        <w:fldChar w:fldCharType="separate"/>
      </w:r>
      <w:r w:rsidRPr="008608AA">
        <w:rPr>
          <w:noProof/>
          <w:lang w:val="en-US"/>
        </w:rPr>
        <w:t>(Stephenson &amp; Das, 2011)</w:t>
      </w:r>
      <w:r w:rsidRPr="008608AA">
        <w:rPr>
          <w:lang w:val="en-US"/>
        </w:rPr>
        <w:fldChar w:fldCharType="end"/>
      </w:r>
      <w:r w:rsidRPr="008608AA">
        <w:rPr>
          <w:lang w:val="en-US"/>
        </w:rPr>
        <w:t>.</w:t>
      </w:r>
      <w:r w:rsidRPr="008608AA">
        <w:rPr>
          <w:color w:val="000000"/>
          <w:lang w:val="en-US"/>
        </w:rPr>
        <w:t xml:space="preserve"> Since the 1920s, tree densities increased and size class distributions have changed in forests across California</w:t>
      </w:r>
      <w:r w:rsidRPr="008608AA">
        <w:rPr>
          <w:lang w:val="en-US"/>
        </w:rPr>
        <w:t xml:space="preserve"> </w:t>
      </w:r>
      <w:r w:rsidRPr="008608AA">
        <w:rPr>
          <w:lang w:val="en-US"/>
        </w:rPr>
        <w:fldChar w:fldCharType="begin" w:fldLock="1"/>
      </w:r>
      <w:r w:rsidRPr="008608AA">
        <w:rPr>
          <w:lang w:val="en-US"/>
        </w:rPr>
        <w:instrText>ADDIN CSL_CITATION { "citationItems" : [ { "id" : "ITEM-1", "itemData" : { "DOI" : "10.1111/avsc.12079", "ISBN" : "1402-2001", "ISSN" : "1654109X", "abstract" : "Questions:Has tree density changed consistently across vegetation types? Do changes in component species correspond with changes across vegetation types? Do patterns of changes suggest potential drivers of change? Location:Northern two-thirds of the Sierra Nevada, CA, USA, ca. 45 000 km 2 . Methods:Using two data sets that cover the span of elevations and land jurisdictions in the study area, we classified 4321 historical plots and 1000 modern plots into nine broad groups of vegetation types that are widely used by land managers and researchers in the region. We compared tree density and composition between historical and modern plots across and within these nine types. Results:In the modern data set, tree density was significantly higher in eight of nine vegetation types. Total density was significantly higher in modern plots for all west slope types, especially for montane hardwood, where modern forests are 128% denser, and mixed conifer forests, which are 69% denser. Relative density of component species was also very different between data sets in these forests, and suggests a shift in dominance toward shade-tolerant conifers and evergreen oaks. Fire suppression is likely a driving factor in these types but density was also significantly higher in high-elevation types such as sub-alpine forest (+20%), where neither fire suppression nor logging have had major impacts on structure. East slope forest types (eastsideP. jeffreyiforest and pi~ non-juniper woodland) were very similar in both modern and historical data sets, with no significant differences in density or composition. Conclusion:West slope forest types, especially montane hardwood and mixed conifer forest, appear the most altered types of the mountain range. These types are more productive but have also been subject to greater disturbance than high-elevation and east slope forest types. Climate change may also be driving changes across the study area. Species such asQuercus chrysolepisandCalocedrus decurrens, which have each increased markedly in abundance, appear well positioned to dominate in the near future, especially under continued fire suppression and a warmer climate.", "author" : [ { "dropping-particle" : "", "family" : "Dolanc", "given" : "Christopher R.", "non-dropping-particle" : "", "parse-names" : false, "suffix" : "" }, { "dropping-particle" : "", "family" : "Safford", "given" : "Hugh D.", "non-dropping-particle" : "", "parse-names" : false, "suffix" : "" }, { "dropping-particle" : "", "family" : "Dobrowski", "given" : "Solomon Z.", "non-dropping-particle" : "", "parse-names" : false, "suffix" : "" }, { "dropping-particle" : "", "family" : "Thorne", "given" : "James H.", "non-dropping-particle" : "", "parse-names" : false, "suffix" : "" } ], "container-title" : "Applied Vegetation Science", "id" : "ITEM-1", "issue" : "3", "issued" : { "date-parts" : [ [ "2014" ] ] }, "page" : "442-455", "title" : "Twentieth century shifts in abundance and composition of vegetation types of the Sierra Nevada, CA, US", "type" : "article-journal", "volume" : "17" }, "uris" : [ "http://www.mendeley.com/documents/?uuid=229fd291-30ac-3962-8617-24bd87ee0b24" ] }, { "id" : "ITEM-2", "itemData" : { "DOI" : "10.1890/ES14-00103.1", "ISBN" : "2150-8925", "ISSN" : "2150-8925", "abstract" : "Understanding the dynamics of forest structure aids inference regarding future forests and their distributions around the world. Over the last few decades, several papers have addressed changing forest structure in the Sierra Nevada, CA, USA, but these studies were limited in scope. We carried out a broad comparison of forest density and composition in the 1930s versus the 2000s for the west slope of the central and northern Sierra Nevada, using the two most extensive data sets available. Forests in this region have endured a long, complex history of human disturbance, and are now experiencing climatic shifts. We subdivided the landscape into elevation and latitude zones and compared historical and modern tree densities within each zone. We compared densities in historical plots to burned and unburned modern plots, as well as densities of individual tree species in historical vs. modern plots for their entire elevational distribution. Density of small trees (10.2-30.4 cm dbh) was significantly higher in the modern data set for all elevations and all latitudes, ranging from 20 to 148% higher. However, density of large trees (&gt;= 61.0 cm) was lower in the modern data set for most elevations and latitudes, ranging from 41% to 60% lower in most zones. Density difference of mid-sized trees (30.5-60.9 cm) was mixed, but was generally higher in modern plots. The pattern of more small trees but fewer large trees held for most individual species as well, but with notable exceptions. Our comparison of burned and unburned plots strongly implicates fire suppression as a driver of increased density of small trees in low-to mid-elevation forests. However, modern high-elevation (&gt;2500 m) forests, where fire suppression impacts should be minimal, were also significantly denser than historical plots. Changing climatic conditions may be driving increased densities of small trees in high elevations, as well as decreased densities of large trees across the region.", "author" : [ { "dropping-particle" : "", "family" : "Dolanc", "given" : "Christopher R.", "non-dropping-particle" : "", "parse-names" : false, "suffix" : "" }, { "dropping-particle" : "", "family" : "Safford", "given" : "Hugh D.", "non-dropping-particle" : "", "parse-names" : false, "suffix" : "" }, { "dropping-particle" : "", "family" : "Thorne", "given" : "James H.", "non-dropping-particle" : "", "parse-names" : false, "suffix" : "" }, { "dropping-particle" : "", "family" : "Dobrowski", "given" : "Solomon Z.", "non-dropping-particle" : "", "parse-names" : false, "suffix" : "" } ], "container-title" : "Ecosphere", "id" : "ITEM-2", "issue" : "8", "issued" : { "date-parts" : [ [ "2014" ] ] }, "page" : "art101", "title" : "Changing forest structure across the landscape of the Sierra Nevada, CA, USA, since the 1930s", "type" : "article-journal", "volume" : "5" }, "uris" : [ "http://www.mendeley.com/documents/?uuid=3e13641f-5f6c-45f9-bf9c-f02ab21d9681" ] } ], "mendeley" : { "formattedCitation" : "(Dolanc, Safford, Dobrowski, &amp; Thorne, 2014; Dolanc, Safford, Thorne, &amp; Dobrowski, 2014)", "manualFormatting" : "(Dolanc, Stafford, Dobrowski et al., 2014; Dolanc, Stafford, Thorne et al., 2014", "plainTextFormattedCitation" : "(Dolanc, Safford, Dobrowski, &amp; Thorne, 2014; Dolanc, Safford, Thorne, &amp; Dobrowski, 2014)", "previouslyFormattedCitation" : "(Dolanc, Safford, Dobrowski, &amp; Thorne, 2014; Dolanc, Safford, Thorne, &amp; Dobrowski, 2014)" }, "properties" : { "noteIndex" : 0 }, "schema" : "https://github.com/citation-style-language/schema/raw/master/csl-citation.json" }</w:instrText>
      </w:r>
      <w:r w:rsidRPr="008608AA">
        <w:rPr>
          <w:lang w:val="en-US"/>
        </w:rPr>
        <w:fldChar w:fldCharType="separate"/>
      </w:r>
      <w:r w:rsidRPr="008608AA">
        <w:rPr>
          <w:noProof/>
          <w:lang w:val="en-US"/>
        </w:rPr>
        <w:t xml:space="preserve">(Dolanc, </w:t>
      </w:r>
      <w:r w:rsidR="008251FD" w:rsidRPr="008608AA">
        <w:rPr>
          <w:noProof/>
          <w:lang w:val="en-US"/>
        </w:rPr>
        <w:t xml:space="preserve">et al., 2014; Dolanc </w:t>
      </w:r>
      <w:r w:rsidRPr="008608AA">
        <w:rPr>
          <w:noProof/>
          <w:lang w:val="en-US"/>
        </w:rPr>
        <w:t>et al., 2014</w:t>
      </w:r>
      <w:r w:rsidRPr="008608AA">
        <w:rPr>
          <w:lang w:val="en-US"/>
        </w:rPr>
        <w:fldChar w:fldCharType="end"/>
      </w:r>
      <w:r w:rsidRPr="008608AA">
        <w:rPr>
          <w:lang w:val="en-US"/>
        </w:rPr>
        <w:t>;</w:t>
      </w:r>
      <w:r w:rsidRPr="008608AA">
        <w:rPr>
          <w:rFonts w:eastAsia="Times New Roman"/>
          <w:color w:val="231F20"/>
          <w:lang w:val="en-US"/>
        </w:rPr>
        <w:t xml:space="preserve"> </w:t>
      </w:r>
      <w:r w:rsidRPr="008608AA">
        <w:rPr>
          <w:lang w:val="en-US"/>
        </w:rPr>
        <w:fldChar w:fldCharType="begin" w:fldLock="1"/>
      </w:r>
      <w:r w:rsidRPr="008608AA">
        <w:rPr>
          <w:lang w:val="en-US"/>
        </w:rPr>
        <w:instrText>ADDIN CSL_CITATION { "citationItems" : [ { "id" : "ITEM-1", "itemData" : { "DOI" : "10.1073/pnas.1410186112", "ISBN" : "0027-8424, 1091-6490", "ISSN" : "0027-8424", "PMID" : "25605888", "abstract" : "We document changes in forest structure between historical (1930s) and contemporary (2000s) surveys of California vegetation through comparisons of tree abundance and size across the state and within several ecoregions. Across California, tree density in forested regions increased by 30% between the two time periods, whereas forest biomass in the same regions declined, as indicated by a 19% reduction in basal area. These changes reflect a demographic shift in forest structure: larger trees (&gt;61 cm diameter at breast height) have declined, whereas smaller trees (&lt;30 cm) have increased. Large tree declines were found in all surveyed regions of California, whereas small tree increases were found in every region except the south and central coast. Large tree declines were more severe in areas experiencing greater increases in climatic water deficit since the 1930s, based on a hydrologic model of water balance for historical climates through the 20th century. Forest composition in California in the last century has also shifted toward increased dominance by oaks relative to pines, a pattern consistent with warming and increased water stress, and also with paleohistoric shifts in vegetation in California over the last 150,000 y.", "author" : [ { "dropping-particle" : "", "family" : "McIntyre", "given" : "Patrick J.", "non-dropping-particle" : "", "parse-names" : false, "suffix" : "" }, { "dropping-particle" : "", "family" : "Thorne", "given" : "James H.", "non-dropping-particle" : "", "parse-names" : false, "suffix" : "" }, { "dropping-particle" : "", "family" : "Dolanc", "given" : "Christopher R.", "non-dropping-particle" : "", "parse-names" : false, "suffix" : "" }, { "dropping-particle" : "", "family" : "Flint", "given" : "Alan L.", "non-dropping-particle" : "", "parse-names" : false, "suffix" : "" }, { "dropping-particle" : "", "family" : "Flint", "given" : "Lorraine E.", "non-dropping-particle" : "", "parse-names" : false, "suffix" : "" }, { "dropping-particle" : "", "family" : "Kelly", "given" : "Maggi", "non-dropping-particle" : "", "parse-names" : false, "suffix" : "" }, { "dropping-particle" : "", "family" : "Ackerly", "given" : "D. D.", "non-dropping-particle" : "", "parse-names" : false, "suffix" : "" } ], "container-title" : "PNAS", "id" : "ITEM-1", "issue" : "5", "issued" : { "date-parts" : [ [ "2015" ] ] }, "page" : "1458-1463", "title" : "Twentieth-century shifts in forest structure in California: Denser forests, smaller trees, and increased dominance of oaks", "type" : "article-journal", "volume" : "112" }, "uris" : [ "http://www.mendeley.com/documents/?uuid=a47f9a2b-2896-46b8-88cc-edf7bddd9ada" ] } ], "mendeley" : { "formattedCitation" : "(P. J. McIntyre et al., 2015)", "manualFormatting" : "(McIntyre et al., 2015)", "plainTextFormattedCitation" : "(P. J. McIntyre et al., 2015)", "previouslyFormattedCitation" : "(P. J. McIntyre et al., 2015)" }, "properties" : { "noteIndex" : 0 }, "schema" : "https://github.com/citation-style-language/schema/raw/master/csl-citation.json" }</w:instrText>
      </w:r>
      <w:r w:rsidRPr="008608AA">
        <w:rPr>
          <w:lang w:val="en-US"/>
        </w:rPr>
        <w:fldChar w:fldCharType="separate"/>
      </w:r>
      <w:r w:rsidRPr="008608AA">
        <w:rPr>
          <w:noProof/>
          <w:lang w:val="en-US"/>
        </w:rPr>
        <w:t>(McIntyre et al., 2015)</w:t>
      </w:r>
      <w:r w:rsidRPr="008608AA">
        <w:rPr>
          <w:lang w:val="en-US"/>
        </w:rPr>
        <w:fldChar w:fldCharType="end"/>
      </w:r>
      <w:r w:rsidRPr="008608AA">
        <w:rPr>
          <w:rFonts w:eastAsia="Times New Roman"/>
          <w:color w:val="231F20"/>
          <w:lang w:val="en-US"/>
        </w:rPr>
        <w:t xml:space="preserve">, in </w:t>
      </w:r>
      <w:r w:rsidRPr="008608AA">
        <w:rPr>
          <w:color w:val="000000"/>
          <w:lang w:val="en-US"/>
        </w:rPr>
        <w:t xml:space="preserve">part due to changing fire regimes (see below). Reductions in the density of large trees are correlated with increased severity of summer water </w:t>
      </w:r>
      <w:r w:rsidRPr="008608AA">
        <w:rPr>
          <w:rFonts w:eastAsia="Times New Roman"/>
          <w:color w:val="231F20"/>
          <w:lang w:val="en-US"/>
        </w:rPr>
        <w:t xml:space="preserve">deficits </w:t>
      </w:r>
      <w:r w:rsidRPr="008608AA">
        <w:rPr>
          <w:lang w:val="en-US"/>
        </w:rPr>
        <w:fldChar w:fldCharType="begin" w:fldLock="1"/>
      </w:r>
      <w:r w:rsidRPr="008608AA">
        <w:rPr>
          <w:lang w:val="en-US"/>
        </w:rPr>
        <w:instrText>ADDIN CSL_CITATION { "citationItems" : [ { "id" : "ITEM-1", "itemData" : { "DOI" : "10.1073/pnas.1410186112", "ISBN" : "0027-8424, 1091-6490", "ISSN" : "0027-8424", "PMID" : "25605888", "abstract" : "We document changes in forest structure between historical (1930s) and contemporary (2000s) surveys of California vegetation through comparisons of tree abundance and size across the state and within several ecoregions. Across California, tree density in forested regions increased by 30% between the two time periods, whereas forest biomass in the same regions declined, as indicated by a 19% reduction in basal area. These changes reflect a demographic shift in forest structure: larger trees (&gt;61 cm diameter at breast height) have declined, whereas smaller trees (&lt;30 cm) have increased. Large tree declines were found in all surveyed regions of California, whereas small tree increases were found in every region except the south and central coast. Large tree declines were more severe in areas experiencing greater increases in climatic water deficit since the 1930s, based on a hydrologic model of water balance for historical climates through the 20th century. Forest composition in California in the last century has also shifted toward increased dominance by oaks relative to pines, a pattern consistent with warming and increased water stress, and also with paleohistoric shifts in vegetation in California over the last 150,000 y.", "author" : [ { "dropping-particle" : "", "family" : "McIntyre", "given" : "Patrick J.", "non-dropping-particle" : "", "parse-names" : false, "suffix" : "" }, { "dropping-particle" : "", "family" : "Thorne", "given" : "James H.", "non-dropping-particle" : "", "parse-names" : false, "suffix" : "" }, { "dropping-particle" : "", "family" : "Dolanc", "given" : "Christopher R.", "non-dropping-particle" : "", "parse-names" : false, "suffix" : "" }, { "dropping-particle" : "", "family" : "Flint", "given" : "Alan L.", "non-dropping-particle" : "", "parse-names" : false, "suffix" : "" }, { "dropping-particle" : "", "family" : "Flint", "given" : "Lorraine E.", "non-dropping-particle" : "", "parse-names" : false, "suffix" : "" }, { "dropping-particle" : "", "family" : "Kelly", "given" : "Maggi", "non-dropping-particle" : "", "parse-names" : false, "suffix" : "" }, { "dropping-particle" : "", "family" : "Ackerly", "given" : "D. D.", "non-dropping-particle" : "", "parse-names" : false, "suffix" : "" } ], "container-title" : "PNAS", "id" : "ITEM-1", "issue" : "5", "issued" : { "date-parts" : [ [ "2015" ] ] }, "page" : "1458-1463", "title" : "Twentieth-century shifts in forest structure in California: Denser forests, smaller trees, and increased dominance of oaks", "type" : "article-journal", "volume" : "112" }, "uris" : [ "http://www.mendeley.com/documents/?uuid=a47f9a2b-2896-46b8-88cc-edf7bddd9ada" ] } ], "mendeley" : { "formattedCitation" : "(P. J. McIntyre et al., 2015)", "manualFormatting" : "(McIntyre et al., 2015)", "plainTextFormattedCitation" : "(P. J. McIntyre et al., 2015)", "previouslyFormattedCitation" : "(P. J. McIntyre et al., 2015)" }, "properties" : { "noteIndex" : 0 }, "schema" : "https://github.com/citation-style-language/schema/raw/master/csl-citation.json" }</w:instrText>
      </w:r>
      <w:r w:rsidRPr="008608AA">
        <w:rPr>
          <w:lang w:val="en-US"/>
        </w:rPr>
        <w:fldChar w:fldCharType="separate"/>
      </w:r>
      <w:r w:rsidRPr="008608AA">
        <w:rPr>
          <w:noProof/>
          <w:lang w:val="en-US"/>
        </w:rPr>
        <w:t>(McIntyre et al., 2015)</w:t>
      </w:r>
      <w:r w:rsidRPr="008608AA">
        <w:rPr>
          <w:lang w:val="en-US"/>
        </w:rPr>
        <w:fldChar w:fldCharType="end"/>
      </w:r>
      <w:r w:rsidRPr="008608AA">
        <w:rPr>
          <w:lang w:val="en-US"/>
        </w:rPr>
        <w:t>.</w:t>
      </w:r>
      <w:r w:rsidRPr="008608AA">
        <w:rPr>
          <w:rFonts w:eastAsia="Times New Roman"/>
          <w:color w:val="231F20"/>
          <w:lang w:val="en-US"/>
        </w:rPr>
        <w:t xml:space="preserve"> </w:t>
      </w:r>
    </w:p>
    <w:p w14:paraId="50CE2BB5" w14:textId="37EB0B8F" w:rsidR="004255E7" w:rsidRDefault="004255E7" w:rsidP="00843724">
      <w:pPr>
        <w:pStyle w:val="NormalWeb"/>
        <w:rPr>
          <w:lang w:val="en-US"/>
        </w:rPr>
      </w:pPr>
      <w:r w:rsidRPr="008608AA">
        <w:rPr>
          <w:lang w:val="en-US"/>
        </w:rPr>
        <w:t xml:space="preserve">California experienced a severe drought from 2012 to 2016, and even before it ended some calculations estimated that it exceeded in duration and intensity those observed for at least a century and possibly more than 1,000 years </w:t>
      </w:r>
      <w:r w:rsidRPr="008608AA">
        <w:rPr>
          <w:lang w:val="en-US"/>
        </w:rPr>
        <w:fldChar w:fldCharType="begin" w:fldLock="1"/>
      </w:r>
      <w:r w:rsidRPr="008608AA">
        <w:rPr>
          <w:lang w:val="en-US"/>
        </w:rPr>
        <w:instrText>ADDIN CSL_CITATION { "citationItems" : [ { "id" : "ITEM-1", "itemData" : { "DOI" : "10.1002/2014GL062433", "ISBN" : "1944-8007", "ISSN" : "19448007", "abstract" : "For the past three years (2012\u20132014), California has experienced the most severe drought conditions in its last century. But how unusual is this event? Here we use two paleoclimate reconstructions of drought and precipitation for Central and Southern California to place this current event in the context of the last millennium. We demonstrate that while 3 year periods of persistent below-average soil moisture are not uncommon, the current event is the most severe drought in the last 1200 years, with single year (2014) and accumulated moisture deficits worse than any previous continuous span of dry years. Tree ring chronologies extended through the 2014 growing season reveal that precipitation during the drought has been anomalously low but not outside the range of natural variability. The current California drought is exceptionally severe in the context of at least the last millennium and is driven by reduced though not unprecedented precipitation and record high temperatures.", "author" : [ { "dropping-particle" : "", "family" : "Griffin", "given" : "Daniel", "non-dropping-particle" : "", "parse-names" : false, "suffix" : "" }, { "dropping-particle" : "", "family" : "Anchukaitis", "given" : "Kevin J.", "non-dropping-particle" : "", "parse-names" : false, "suffix" : "" } ], "container-title" : "Geophysical Research Letters", "id" : "ITEM-1", "issue" : "24", "issued" : { "date-parts" : [ [ "2014" ] ] }, "page" : "9017-9023", "title" : "How unusual is the 2012-2014 California drought?", "type" : "article-journal", "volume" : "41" }, "uris" : [ "http://www.mendeley.com/documents/?uuid=a0ccde09-710a-4681-8b32-e57132506a98" ] } ], "mendeley" : { "formattedCitation" : "(Griffin &amp; Anchukaitis, 2014)", "manualFormatting" : "(Griffin &amp; Anchukaitis, 2014)", "plainTextFormattedCitation" : "(Griffin &amp; Anchukaitis, 2014)", "previouslyFormattedCitation" : "(Griffin &amp; Anchukaitis, 2014)" }, "properties" : { "noteIndex" : 0 }, "schema" : "https://github.com/citation-style-language/schema/raw/master/csl-citation.json" }</w:instrText>
      </w:r>
      <w:r w:rsidRPr="008608AA">
        <w:rPr>
          <w:lang w:val="en-US"/>
        </w:rPr>
        <w:fldChar w:fldCharType="separate"/>
      </w:r>
      <w:r w:rsidRPr="008608AA">
        <w:rPr>
          <w:noProof/>
          <w:lang w:val="en-US"/>
        </w:rPr>
        <w:t xml:space="preserve">(Griffin &amp; </w:t>
      </w:r>
      <w:r w:rsidRPr="00360ADC">
        <w:rPr>
          <w:lang w:val="en-US"/>
        </w:rPr>
        <w:t>Anchukaitis</w:t>
      </w:r>
      <w:r w:rsidRPr="008608AA">
        <w:rPr>
          <w:noProof/>
          <w:lang w:val="en-US"/>
        </w:rPr>
        <w:t>, 2014)</w:t>
      </w:r>
      <w:r w:rsidRPr="008608AA">
        <w:rPr>
          <w:lang w:val="en-US"/>
        </w:rPr>
        <w:fldChar w:fldCharType="end"/>
      </w:r>
      <w:r w:rsidRPr="008608AA">
        <w:rPr>
          <w:lang w:val="en-US"/>
        </w:rPr>
        <w:t xml:space="preserve">. By one estimate, the intensity of the drought was increased by up to 27% due to increased temperatures on top of low rainfall </w:t>
      </w:r>
      <w:r w:rsidRPr="008608AA">
        <w:rPr>
          <w:lang w:val="en-US"/>
        </w:rPr>
        <w:fldChar w:fldCharType="begin" w:fldLock="1"/>
      </w:r>
      <w:r w:rsidRPr="008608AA">
        <w:rPr>
          <w:lang w:val="en-US"/>
        </w:rPr>
        <w:instrText>ADDIN CSL_CITATION { "citationItems" : [ { "id" : "ITEM-1", "itemData" : { "author" : [ { "dropping-particle" : "", "family" : "Williams", "given" : "A. P.", "non-dropping-particle" : "", "parse-names" : false, "suffix" : "" }, { "dropping-particle" : "", "family" : "Seager", "given" : "R.", "non-dropping-particle" : "", "parse-names" : false, "suffix" : "" }, { "dropping-particle" : "", "family" : "Abatzoglou", "given" : "J. T.", "non-dropping-particle" : "", "parse-names" : false, "suffix" : "" }, { "dropping-particle" : "", "family" : "Cook", "given" : "B. I.", "non-dropping-particle" : "", "parse-names" : false, "suffix" : "" }, { "dropping-particle" : "", "family" : "Smerdon", "given" : "J. E.", "non-dropping-particle" : "", "parse-names" : false, "suffix" : "" }, { "dropping-particle" : "", "family" : "Cook", "given" : "E. R.", "non-dropping-particle" : "", "parse-names" : false, "suffix" : "" } ], "container-title" : "Geophysical Research Letters", "id" : "ITEM-1", "issue" : "16", "issued" : { "date-parts" : [ [ "2015" ] ] }, "page" : "6819-6828", "title" : "Contribution of anthropogenic warming to California drought during 2012\u20132014", "type" : "article-journal", "volume" : "42" }, "uris" : [ "http://www.mendeley.com/documents/?uuid=29ccd4fb-005c-4564-a686-3dac3b4444cd" ] } ], "mendeley" : { "formattedCitation" : "(A. P. Williams et al., 2015)", "manualFormatting" : "(Williams et al., 2015)", "plainTextFormattedCitation" : "(A. P. Williams et al., 2015)", "previouslyFormattedCitation" : "(A. P. Williams et al., 2015)" }, "properties" : { "noteIndex" : 0 }, "schema" : "https://github.com/citation-style-language/schema/raw/master/csl-citation.json" }</w:instrText>
      </w:r>
      <w:r w:rsidRPr="008608AA">
        <w:rPr>
          <w:lang w:val="en-US"/>
        </w:rPr>
        <w:fldChar w:fldCharType="separate"/>
      </w:r>
      <w:r w:rsidRPr="008608AA">
        <w:rPr>
          <w:noProof/>
          <w:lang w:val="en-US"/>
        </w:rPr>
        <w:t>(Williams et al., 2015)</w:t>
      </w:r>
      <w:r w:rsidRPr="008608AA">
        <w:rPr>
          <w:lang w:val="en-US"/>
        </w:rPr>
        <w:fldChar w:fldCharType="end"/>
      </w:r>
      <w:r w:rsidRPr="008608AA">
        <w:rPr>
          <w:lang w:val="en-US"/>
        </w:rPr>
        <w:t xml:space="preserve">. Widespread tree mortality has been observed, especially in Sierra Nevada conifer forests, with estimates exceeding 100 million dead trees spread over more than 3 million ha of forest </w:t>
      </w:r>
      <w:r w:rsidRPr="008608AA">
        <w:rPr>
          <w:lang w:val="en-US"/>
        </w:rPr>
        <w:fldChar w:fldCharType="begin" w:fldLock="1"/>
      </w:r>
      <w:r w:rsidRPr="008608AA">
        <w:rPr>
          <w:lang w:val="en-US"/>
        </w:rPr>
        <w:instrText>ADDIN CSL_CITATION { "citationItems" : [ { "id" : "ITEM-1", "itemData" : { "author" : [ { "dropping-particle" : "", "family" : "US Forest Service", "given" : "", "non-dropping-particle" : "", "parse-names" : false, "suffix" : "" } ], "id" : "ITEM-1", "issued" : { "date-parts" : [ [ "2016" ] ] }, "title" : "New Aerial Survey Identifies More Than 100 Million Dead Trees in California", "type" : "report" }, "uris" : [ "http://www.mendeley.com/documents/?uuid=364314a3-a27e-48d7-821a-4ca31034515e" ] } ], "mendeley" : { "formattedCitation" : "(US Forest Service, 2016)", "plainTextFormattedCitation" : "(US Forest Service, 2016)", "previouslyFormattedCitation" : "(US Forest Service, 2016)" }, "properties" : { "noteIndex" : 0 }, "schema" : "https://github.com/citation-style-language/schema/raw/master/csl-citation.json" }</w:instrText>
      </w:r>
      <w:r w:rsidRPr="008608AA">
        <w:rPr>
          <w:lang w:val="en-US"/>
        </w:rPr>
        <w:fldChar w:fldCharType="separate"/>
      </w:r>
      <w:r w:rsidRPr="008608AA">
        <w:rPr>
          <w:noProof/>
          <w:lang w:val="en-US"/>
        </w:rPr>
        <w:t>(US Forest Service, 2016)</w:t>
      </w:r>
      <w:r w:rsidRPr="008608AA">
        <w:rPr>
          <w:lang w:val="en-US"/>
        </w:rPr>
        <w:fldChar w:fldCharType="end"/>
      </w:r>
      <w:r w:rsidRPr="008608AA">
        <w:rPr>
          <w:lang w:val="en-US"/>
        </w:rPr>
        <w:t xml:space="preserve">. </w:t>
      </w:r>
    </w:p>
    <w:p w14:paraId="4F274E35" w14:textId="77777777" w:rsidR="00843724" w:rsidRPr="008608AA" w:rsidRDefault="00843724" w:rsidP="00843724">
      <w:pPr>
        <w:pStyle w:val="NormalWeb"/>
        <w:rPr>
          <w:rFonts w:eastAsia="Times New Roman"/>
          <w:color w:val="231F20"/>
          <w:lang w:val="en-US"/>
        </w:rPr>
      </w:pPr>
    </w:p>
    <w:p w14:paraId="106FAB67" w14:textId="052154BC" w:rsidR="004255E7" w:rsidRDefault="004255E7" w:rsidP="00843724">
      <w:pPr>
        <w:pStyle w:val="NormalWeb"/>
        <w:rPr>
          <w:lang w:val="en-US"/>
        </w:rPr>
      </w:pPr>
      <w:r w:rsidRPr="008608AA">
        <w:rPr>
          <w:lang w:val="en-US"/>
        </w:rPr>
        <w:t xml:space="preserve">Several recent invasions of pathogens and disease have impacted biodiversity. Virulent pathogens affecting amphibians have been detected in a high proportion of wetlands </w:t>
      </w:r>
      <w:r w:rsidRPr="008608AA">
        <w:rPr>
          <w:noProof/>
          <w:lang w:val="en-US"/>
        </w:rPr>
        <w:fldChar w:fldCharType="begin" w:fldLock="1"/>
      </w:r>
      <w:r w:rsidRPr="008608AA">
        <w:rPr>
          <w:noProof/>
          <w:lang w:val="en-US"/>
        </w:rPr>
        <w:instrText>ADDIN CSL_CITATION { "citationItems" : [ { "id" : "ITEM-1", "itemData" : { "DOI" : "10.1007/s10393-012-0778-2", "ISBN" : "1039301207", "ISSN" : "16129202", "PMID" : "22766887", "abstract" : "The chytrid fungus Batrachochytrium dendrobatidis, ranaviruses, and trematodes (Ribeiroia ondatrae and echinostomes) are highly virulent pathogens known to infect amphibians, yet the extent to which they co-occur within amphibian communities remains poorly understood. Using field surveillance of 85 wetlands in the East Bay region of California, USA, we found that 68% of wetlands had \u22652 pathogens and 36% had \u22653 pathogens. Wetlands with high pathogen species richness also tended to cluster spatially. Our results underscore the need for greater integration of multiple pathogens and their interactions into amphibian disease research and conservation efforts.", "author" : [ { "dropping-particle" : "", "family" : "Hoverman", "given" : "Jason T.", "non-dropping-particle" : "", "parse-names" : false, "suffix" : "" }, { "dropping-particle" : "", "family" : "Mihaljevic", "given" : "Joseph R.", "non-dropping-particle" : "", "parse-names" : false, "suffix" : "" }, { "dropping-particle" : "", "family" : "Richgels", "given" : "Katherine L.D.", "non-dropping-particle" : "", "parse-names" : false, "suffix" : "" }, { "dropping-particle" : "", "family" : "Kerby", "given" : "Jacob L.", "non-dropping-particle" : "", "parse-names" : false, "suffix" : "" }, { "dropping-particle" : "", "family" : "Johnson", "given" : "Pieter T.J.", "non-dropping-particle" : "", "parse-names" : false, "suffix" : "" } ], "container-title" : "EcoHealth", "id" : "ITEM-1", "issue" : "3", "issued" : { "date-parts" : [ [ "2012" ] ] }, "page" : "288-292", "title" : "Widespread co-occurrence of virulent pathogens within California amphibian communities", "type" : "article-journal", "volume" : "9" }, "uris" : [ "http://www.mendeley.com/documents/?uuid=36cd08d1-a1d1-3071-a1b2-9d9d8d3af2ee" ] } ], "mendeley" : { "formattedCitation" : "(Hoverman, Mihaljevic, Richgels, Kerby, &amp; Johnson, 2012)", "manualFormatting" : "(Hoverman et al., 2012)", "plainTextFormattedCitation" : "(Hoverman, Mihaljevic, Richgels, Kerby, &amp; Johnson, 2012)", "previouslyFormattedCitation" : "(Hoverman, Mihaljevic, Richgels, Kerby, &amp; Johnson, 2012)" }, "properties" : { "noteIndex" : 0 }, "schema" : "https://github.com/citation-style-language/schema/raw/master/csl-citation.json" }</w:instrText>
      </w:r>
      <w:r w:rsidRPr="008608AA">
        <w:rPr>
          <w:noProof/>
          <w:lang w:val="en-US"/>
        </w:rPr>
        <w:fldChar w:fldCharType="separate"/>
      </w:r>
      <w:r w:rsidRPr="008608AA">
        <w:rPr>
          <w:noProof/>
          <w:lang w:val="en-US"/>
        </w:rPr>
        <w:t>(Hoverman et al., 2012)</w:t>
      </w:r>
      <w:r w:rsidRPr="008608AA">
        <w:rPr>
          <w:noProof/>
          <w:lang w:val="en-US"/>
        </w:rPr>
        <w:fldChar w:fldCharType="end"/>
      </w:r>
      <w:r w:rsidRPr="008608AA">
        <w:rPr>
          <w:lang w:val="en-US"/>
        </w:rPr>
        <w:t xml:space="preserve">; chytrid fungus has been attributed to amphibian declines in northern California, especially in high elevation populations of mountain yellow-legged frog </w:t>
      </w:r>
      <w:r w:rsidRPr="00843724">
        <w:rPr>
          <w:noProof/>
          <w:lang w:val="en-US"/>
        </w:rPr>
        <w:fldChar w:fldCharType="begin" w:fldLock="1"/>
      </w:r>
      <w:r w:rsidRPr="008608AA">
        <w:rPr>
          <w:noProof/>
          <w:lang w:val="en-US"/>
        </w:rPr>
        <w:instrText>ADDIN CSL_CITATION { "citationItems" : [ { "id" : "ITEM-1", "itemData" : { "DOI" : "10.1038/ismej.2014.241", "ISBN" : "1751-7370", "ISSN" : "1751-7362", "PMID" : "25514536", "abstract" : "The fungal pathogen Batrachochytrium dendrobatidis (Bd) has caused declines and extinctions in amphibians worldwide, and there is increasing evidence that some strains of this pathogen are more virulent than others. While a number of putative virulence factors have been identified, few studies link these factors to specific epizootic events. We documented a dramatic decline in juvenile frogs in a Bd-infected population of Cascades frogs (Rana cascadae) in the mountains of northern California and used a laboratory experiment to show that Bd isolated in the midst of this decline induced higher mortality than Bd isolated from a more stable population of the same species of frog. This highly virulent Bd isolate was more toxic to immune cells and attained higher density in liquid culture than comparable isolates. Genomic analyses revealed that this isolate is nested within the global panzootic lineage and exhibited unusual genomic patterns, including increased copy numbers of many chromosomal segments. This study integrates data from multiple sources to suggest specific phenotypic and genomic characteristics of the pathogen that may be linked to disease-related declines.", "author" : [ { "dropping-particle" : "", "family" : "Piovia-Scott", "given" : "Jonah", "non-dropping-particle" : "", "parse-names" : false, "suffix" : "" }, { "dropping-particle" : "", "family" : "Pope", "given" : "Karen", "non-dropping-particle" : "", "parse-names" : false, "suffix" : "" }, { "dropping-particle" : "", "family" : "Worth", "given" : "S. Joy", "non-dropping-particle" : "", "parse-names" : false, "suffix" : "" }, { "dropping-particle" : "", "family" : "Rosenblum", "given" : "Erica Bree", "non-dropping-particle" : "", "parse-names" : false, "suffix" : "" }, { "dropping-particle" : "", "family" : "Poorten", "given" : "Thomas", "non-dropping-particle" : "", "parse-names" : false, "suffix" : "" }, { "dropping-particle" : "", "family" : "Refsnider", "given" : "Jeanine", "non-dropping-particle" : "", "parse-names" : false, "suffix" : "" }, { "dropping-particle" : "", "family" : "Rollins-Smith", "given" : "Louise A.", "non-dropping-particle" : "", "parse-names" : false, "suffix" : "" }, { "dropping-particle" : "", "family" : "Reinert", "given" : "Laura K.", "non-dropping-particle" : "", "parse-names" : false, "suffix" : "" }, { "dropping-particle" : "", "family" : "Wells", "given" : "Heather L.", "non-dropping-particle" : "", "parse-names" : false, "suffix" : "" }, { "dropping-particle" : "", "family" : "Rejmanek", "given" : "Dan", "non-dropping-particle" : "", "parse-names" : false, "suffix" : "" }, { "dropping-particle" : "", "family" : "Lawler", "given" : "Sharon", "non-dropping-particle" : "", "parse-names" : false, "suffix" : "" }, { "dropping-particle" : "", "family" : "Foley", "given" : "Janet", "non-dropping-particle" : "", "parse-names" : false, "suffix" : "" } ], "container-title" : "The ISME Journal", "id" : "ITEM-1", "issue" : "7", "issued" : { "date-parts" : [ [ "2015" ] ] }, "page" : "1570-1578", "title" : "Correlates of virulence in a frog-killing fungal pathogen: evidence from a California amphibian decline", "type" : "article-journal", "volume" : "9" }, "uris" : [ "http://www.mendeley.com/documents/?uuid=0e7143f3-85db-392c-98ec-471f8893158c" ] } ], "mendeley" : { "formattedCitation" : "(Piovia-Scott et al., 2015)", "manualFormatting" : "(Piovia-Scott et al., 2015", "plainTextFormattedCitation" : "(Piovia-Scott et al., 2015)", "previouslyFormattedCitation" : "(Piovia-Scott et al., 2015)" }, "properties" : { "noteIndex" : 0 }, "schema" : "https://github.com/citation-style-language/schema/raw/master/csl-citation.json" }</w:instrText>
      </w:r>
      <w:r w:rsidRPr="00843724">
        <w:rPr>
          <w:noProof/>
          <w:lang w:val="en-US"/>
        </w:rPr>
        <w:fldChar w:fldCharType="separate"/>
      </w:r>
      <w:r w:rsidRPr="008608AA">
        <w:rPr>
          <w:noProof/>
          <w:lang w:val="en-US"/>
        </w:rPr>
        <w:t xml:space="preserve">(Piovia-Scott et al., </w:t>
      </w:r>
      <w:r w:rsidRPr="00360ADC">
        <w:rPr>
          <w:lang w:val="en-US"/>
        </w:rPr>
        <w:t>2015</w:t>
      </w:r>
      <w:r w:rsidRPr="00843724">
        <w:fldChar w:fldCharType="end"/>
      </w:r>
      <w:r w:rsidRPr="008608AA">
        <w:rPr>
          <w:noProof/>
          <w:lang w:val="en-US"/>
        </w:rPr>
        <w:t xml:space="preserve">; </w:t>
      </w:r>
      <w:r w:rsidRPr="008608AA">
        <w:rPr>
          <w:noProof/>
          <w:lang w:val="en-US"/>
        </w:rPr>
        <w:fldChar w:fldCharType="begin" w:fldLock="1"/>
      </w:r>
      <w:r w:rsidRPr="008608AA">
        <w:rPr>
          <w:noProof/>
          <w:lang w:val="en-US"/>
        </w:rPr>
        <w:instrText>ADDIN CSL_CITATION { "citationItems" : [ { "id" : "ITEM-1", "itemData" : { "author" : [ { "dropping-particle" : "", "family" : "Briggs", "given" : "C. J.", "non-dropping-particle" : "", "parse-names" : false, "suffix" : "" }, { "dropping-particle" : "", "family" : "Vredenburg", "given" : "V. T.", "non-dropping-particle" : "", "parse-names" : false, "suffix" : "" }, { "dropping-particle" : "", "family" : "Knapp", "given" : "R. A.", "non-dropping-particle" : "", "parse-names" : false, "suffix" : "" }, { "dropping-particle" : "", "family" : "Rachowicz", "given" : "L. J.", "non-dropping-particle" : "", "parse-names" : false, "suffix" : "" } ], "container-title" : "Ecology", "id" : "ITEM-1", "issued" : { "date-parts" : [ [ "2005" ] ] }, "page" : "3149-3159", "title" : "Investigating the population\u2010level effects of Chytridiomycosis: An emerging infectious disease of amphibieans", "type" : "article-journal", "volume" : "86" }, "uris" : [ "http://www.mendeley.com/documents/?uuid=44b273ba-a920-4026-8070-ed2a68896727" ] } ], "mendeley" : { "formattedCitation" : "(Briggs, Vredenburg, Knapp, &amp; Rachowicz, 2005)", "manualFormatting" : "Briggs et al., 2005)", "plainTextFormattedCitation" : "(Briggs, Vredenburg, Knapp, &amp; Rachowicz, 2005)", "previouslyFormattedCitation" : "(Briggs, Vredenburg, Knapp, &amp; Rachowicz, 2005)" }, "properties" : { "noteIndex" : 0 }, "schema" : "https://github.com/citation-style-language/schema/raw/master/csl-citation.json" }</w:instrText>
      </w:r>
      <w:r w:rsidRPr="008608AA">
        <w:rPr>
          <w:noProof/>
          <w:lang w:val="en-US"/>
        </w:rPr>
        <w:fldChar w:fldCharType="separate"/>
      </w:r>
      <w:r w:rsidRPr="008608AA">
        <w:rPr>
          <w:noProof/>
          <w:lang w:val="en-US"/>
        </w:rPr>
        <w:t>Briggs et al., 2005)</w:t>
      </w:r>
      <w:r w:rsidRPr="008608AA">
        <w:rPr>
          <w:noProof/>
          <w:lang w:val="en-US"/>
        </w:rPr>
        <w:fldChar w:fldCharType="end"/>
      </w:r>
      <w:r w:rsidRPr="008608AA">
        <w:rPr>
          <w:noProof/>
          <w:lang w:val="en-US"/>
        </w:rPr>
        <w:t xml:space="preserve">. </w:t>
      </w:r>
      <w:r w:rsidRPr="008608AA">
        <w:rPr>
          <w:lang w:val="en-US"/>
        </w:rPr>
        <w:t>Sudden oak death (</w:t>
      </w:r>
      <w:r w:rsidRPr="008608AA">
        <w:rPr>
          <w:i/>
          <w:lang w:val="en-US"/>
        </w:rPr>
        <w:t>Phytophthora ramorum</w:t>
      </w:r>
      <w:r w:rsidRPr="008608AA">
        <w:rPr>
          <w:lang w:val="en-US"/>
        </w:rPr>
        <w:t xml:space="preserve">) arrived in the mid-1990s on horticultural trade plants and has caused extensive oak mortality in moist-climate, coastal woodlands </w:t>
      </w:r>
      <w:r w:rsidRPr="008608AA">
        <w:rPr>
          <w:lang w:val="en-US"/>
        </w:rPr>
        <w:fldChar w:fldCharType="begin" w:fldLock="1"/>
      </w:r>
      <w:r w:rsidRPr="008608AA">
        <w:rPr>
          <w:lang w:val="en-US"/>
        </w:rPr>
        <w:instrText>ADDIN CSL_CITATION { "citationItems" : [ { "id" : "ITEM-1", "itemData" : { "author" : [ { "dropping-particle" : "", "family" : "Zavaleta", "given" : "E.", "non-dropping-particle" : "", "parse-names" : false, "suffix" : "" }, { "dropping-particle" : "", "family" : "Tershy", "given" : "B.", "non-dropping-particle" : "", "parse-names" : false, "suffix" : "" }, { "dropping-particle" : "", "family" : "Harrison", "given" : "S.", "non-dropping-particle" : "", "parse-names" : false, "suffix" : "" }, { "dropping-particle" : "", "family" : "Borker", "given" : "A.", "non-dropping-particle" : "", "parse-names" : false, "suffix" : "" }, { "dropping-particle" : "", "family" : "Sinervo", "given" : "B.", "non-dropping-particle" : "", "parse-names" : false, "suffix" : "" }, { "dropping-particle" : "", "family" : "Cornelisse", "given" : "T.", "non-dropping-particle" : "", "parse-names" : false, "suffix" : "" }, { "dropping-particle" : "", "family" : "Li", "given" : "C.", "non-dropping-particle" : "", "parse-names" : false, "suffix" : "" }, { "dropping-particle" : "", "family" : "Spatz", "given" : "D.", "non-dropping-particle" : "", "parse-names" : false, "suffix" : "" }, { "dropping-particle" : "", "family" : "Croll", "given" : "D.", "non-dropping-particle" : "", "parse-names" : false, "suffix" : "" } ], "container-title" : "Ecosystems of California", "editor" : [ { "dropping-particle" : "", "family" : "H. Mooney and E. Zavaleta", "given" : "", "non-dropping-particle" : "", "parse-names" : false, "suffix" : "" } ], "id" : "ITEM-1", "issued" : { "date-parts" : [ [ "2016" ] ] }, "page" : "187-212", "publisher" : "University of California Press", "publisher-place" : "Oakland, USA", "title" : "Biodiversity", "type" : "chapter" }, "uris" : [ "http://www.mendeley.com/documents/?uuid=b035c40b-dd26-3052-9e49-e5b1190cc86a" ] } ], "mendeley" : { "formattedCitation" : "(Zavaleta et al., 2016)", "manualFormatting" : "(Zavaleta et al., 2016)", "plainTextFormattedCitation" : "(Zavaleta et al., 2016)", "previouslyFormattedCitation" : "(Zavaleta et al., 2016)" }, "properties" : { "noteIndex" : 0 }, "schema" : "https://github.com/citation-style-language/schema/raw/master/csl-citation.json" }</w:instrText>
      </w:r>
      <w:r w:rsidRPr="008608AA">
        <w:rPr>
          <w:lang w:val="en-US"/>
        </w:rPr>
        <w:fldChar w:fldCharType="separate"/>
      </w:r>
      <w:r w:rsidRPr="008608AA">
        <w:rPr>
          <w:noProof/>
          <w:lang w:val="en-US"/>
        </w:rPr>
        <w:t>(Zavaleta et al., 2016)</w:t>
      </w:r>
      <w:r w:rsidRPr="008608AA">
        <w:rPr>
          <w:lang w:val="en-US"/>
        </w:rPr>
        <w:fldChar w:fldCharType="end"/>
      </w:r>
      <w:r w:rsidRPr="008608AA">
        <w:rPr>
          <w:lang w:val="en-US"/>
        </w:rPr>
        <w:t xml:space="preserve">. </w:t>
      </w:r>
    </w:p>
    <w:p w14:paraId="6ABC6FC2" w14:textId="77777777" w:rsidR="00843724" w:rsidRPr="008608AA" w:rsidRDefault="00843724" w:rsidP="00843724">
      <w:pPr>
        <w:pStyle w:val="NormalWeb"/>
        <w:rPr>
          <w:lang w:val="en-US"/>
        </w:rPr>
      </w:pPr>
    </w:p>
    <w:p w14:paraId="270F506F" w14:textId="77777777" w:rsidR="004255E7" w:rsidRPr="008608AA" w:rsidRDefault="004255E7" w:rsidP="00843724">
      <w:pPr>
        <w:pStyle w:val="NormalWeb"/>
        <w:rPr>
          <w:color w:val="000000"/>
          <w:lang w:val="en-US"/>
        </w:rPr>
      </w:pPr>
      <w:r w:rsidRPr="008608AA">
        <w:rPr>
          <w:color w:val="000000"/>
          <w:lang w:val="en-US"/>
        </w:rPr>
        <w:t xml:space="preserve">In Sierra Nevada pine forests, fire suppression led to marked increases in overall forest density, especially in </w:t>
      </w:r>
      <w:r w:rsidRPr="008608AA">
        <w:rPr>
          <w:lang w:val="en-US"/>
        </w:rPr>
        <w:t xml:space="preserve">small trees </w:t>
      </w:r>
      <w:r w:rsidRPr="008608AA">
        <w:rPr>
          <w:lang w:val="en-US"/>
        </w:rPr>
        <w:fldChar w:fldCharType="begin" w:fldLock="1"/>
      </w:r>
      <w:r w:rsidRPr="008608AA">
        <w:rPr>
          <w:lang w:val="en-US"/>
        </w:rPr>
        <w:instrText>ADDIN CSL_CITATION { "citationItems" : [ { "id" : "ITEM-1", "itemData" : { "DOI" : "10.1073/pnas.1410186112", "ISBN" : "0027-8424, 1091-6490", "ISSN" : "0027-8424", "PMID" : "25605888", "abstract" : "We document changes in forest structure between historical (1930s) and contemporary (2000s) surveys of California vegetation through comparisons of tree abundance and size across the state and within several ecoregions. Across California, tree density in forested regions increased by 30% between the two time periods, whereas forest biomass in the same regions declined, as indicated by a 19% reduction in basal area. These changes reflect a demographic shift in forest structure: larger trees (&gt;61 cm diameter at breast height) have declined, whereas smaller trees (&lt;30 cm) have increased. Large tree declines were found in all surveyed regions of California, whereas small tree increases were found in every region except the south and central coast. Large tree declines were more severe in areas experiencing greater increases in climatic water deficit since the 1930s, based on a hydrologic model of water balance for historical climates through the 20th century. Forest composition in California in the last century has also shifted toward increased dominance by oaks relative to pines, a pattern consistent with warming and increased water stress, and also with paleohistoric shifts in vegetation in California over the last 150,000 y.", "author" : [ { "dropping-particle" : "", "family" : "McIntyre", "given" : "Patrick J.", "non-dropping-particle" : "", "parse-names" : false, "suffix" : "" }, { "dropping-particle" : "", "family" : "Thorne", "given" : "James H.", "non-dropping-particle" : "", "parse-names" : false, "suffix" : "" }, { "dropping-particle" : "", "family" : "Dolanc", "given" : "Christopher R.", "non-dropping-particle" : "", "parse-names" : false, "suffix" : "" }, { "dropping-particle" : "", "family" : "Flint", "given" : "Alan L.", "non-dropping-particle" : "", "parse-names" : false, "suffix" : "" }, { "dropping-particle" : "", "family" : "Flint", "given" : "Lorraine E.", "non-dropping-particle" : "", "parse-names" : false, "suffix" : "" }, { "dropping-particle" : "", "family" : "Kelly", "given" : "Maggi", "non-dropping-particle" : "", "parse-names" : false, "suffix" : "" }, { "dropping-particle" : "", "family" : "Ackerly", "given" : "D. D.", "non-dropping-particle" : "", "parse-names" : false, "suffix" : "" } ], "container-title" : "PNAS", "id" : "ITEM-1", "issue" : "5", "issued" : { "date-parts" : [ [ "2015" ] ] }, "page" : "1458-1463", "title" : "Twentieth-century shifts in forest structure in California: Denser forests, smaller trees, and increased dominance of oaks", "type" : "article-journal", "volume" : "112" }, "uris" : [ "http://www.mendeley.com/documents/?uuid=a47f9a2b-2896-46b8-88cc-edf7bddd9ada" ] } ], "mendeley" : { "formattedCitation" : "(P. J. McIntyre et al., 2015)", "manualFormatting" : "(McIntyre et al., 2015)", "plainTextFormattedCitation" : "(P. J. McIntyre et al., 2015)", "previouslyFormattedCitation" : "(P. J. McIntyre et al., 2015)" }, "properties" : { "noteIndex" : 0 }, "schema" : "https://github.com/citation-style-language/schema/raw/master/csl-citation.json" }</w:instrText>
      </w:r>
      <w:r w:rsidRPr="008608AA">
        <w:rPr>
          <w:lang w:val="en-US"/>
        </w:rPr>
        <w:fldChar w:fldCharType="separate"/>
      </w:r>
      <w:r w:rsidRPr="008608AA">
        <w:rPr>
          <w:noProof/>
          <w:lang w:val="en-US"/>
        </w:rPr>
        <w:t>(McIntyre et al., 2015)</w:t>
      </w:r>
      <w:r w:rsidRPr="008608AA">
        <w:rPr>
          <w:lang w:val="en-US"/>
        </w:rPr>
        <w:fldChar w:fldCharType="end"/>
      </w:r>
      <w:r w:rsidRPr="008608AA">
        <w:rPr>
          <w:lang w:val="en-US"/>
        </w:rPr>
        <w:t xml:space="preserve">. </w:t>
      </w:r>
      <w:r w:rsidRPr="008608AA">
        <w:rPr>
          <w:color w:val="000000"/>
          <w:lang w:val="en-US"/>
        </w:rPr>
        <w:t xml:space="preserve">Dense forests contribute to catastrophic wildfires that exceed the range of historical fire variability, such as the 104,000 ha Rim Fire in 2013, the largest fire on record in the Sierra </w:t>
      </w:r>
      <w:r w:rsidRPr="008608AA">
        <w:rPr>
          <w:lang w:val="en-US"/>
        </w:rPr>
        <w:t xml:space="preserve">Nevada </w:t>
      </w:r>
      <w:r w:rsidRPr="008608AA">
        <w:rPr>
          <w:lang w:val="en-US"/>
        </w:rPr>
        <w:fldChar w:fldCharType="begin" w:fldLock="1"/>
      </w:r>
      <w:r w:rsidRPr="008608AA">
        <w:rPr>
          <w:lang w:val="en-US"/>
        </w:rPr>
        <w:instrText>ADDIN CSL_CITATION { "citationItems" : [ { "id" : "ITEM-1", "itemData" : { "DOI" : "10.1016/j.foreco.2015.09.001", "author" : [ { "dropping-particle" : "", "family" : "Kane", "given" : "Van R.", "non-dropping-particle" : "", "parse-names" : false, "suffix" : "" }, { "dropping-particle" : "", "family" : "Cansler", "given" : "C. Alina", "non-dropping-particle" : "", "parse-names" : false, "suffix" : "" }, { "dropping-particle" : "", "family" : "Povak", "given" : "Nicholas A.", "non-dropping-particle" : "", "parse-names" : false, "suffix" : "" }, { "dropping-particle" : "", "family" : "Kane", "given" : "Jonathan T.", "non-dropping-particle" : "", "parse-names" : false, "suffix" : "" }, { "dropping-particle" : "", "family" : "McGaughey", "given" : "Robert J.", "non-dropping-particle" : "", "parse-names" : false, "suffix" : "" }, { "dropping-particle" : "", "family" : "Lutz", "given" : "James A.", "non-dropping-particle" : "", "parse-names" : false, "suffix" : "" }, { "dropping-particle" : "", "family" : "Churchill", "given" : "Derek J.", "non-dropping-particle" : "", "parse-names" : false, "suffix" : "" }, { "dropping-particle" : "", "family" : "North", "given" : "Malcolm P.", "non-dropping-particle" : "", "parse-names" : false, "suffix" : "" } ], "container-title" : "Forest Ecology and Management", "id" : "ITEM-1", "issued" : { "date-parts" : [ [ "2015" ] ] }, "page" : "62-79", "title" : "Mixed severity fire effects within the Rim fire: relative importance of local climate, fire weather, topography, and forest structure", "type" : "article-journal", "volume" : "358" }, "uris" : [ "http://www.mendeley.com/documents/?uuid=f0e0652c-5955-4f16-b734-1e1f0b48a578" ] } ], "mendeley" : { "formattedCitation" : "(Kane et al., 2015)", "plainTextFormattedCitation" : "(Kane et al., 2015)", "previouslyFormattedCitation" : "(Kane et al., 2015)" }, "properties" : { "noteIndex" : 0 }, "schema" : "https://github.com/citation-style-language/schema/raw/master/csl-citation.json" }</w:instrText>
      </w:r>
      <w:r w:rsidRPr="008608AA">
        <w:rPr>
          <w:lang w:val="en-US"/>
        </w:rPr>
        <w:fldChar w:fldCharType="separate"/>
      </w:r>
      <w:r w:rsidRPr="008608AA">
        <w:rPr>
          <w:noProof/>
          <w:lang w:val="en-US"/>
        </w:rPr>
        <w:t>(Kane et al., 2015)</w:t>
      </w:r>
      <w:r w:rsidRPr="008608AA">
        <w:rPr>
          <w:lang w:val="en-US"/>
        </w:rPr>
        <w:fldChar w:fldCharType="end"/>
      </w:r>
      <w:r w:rsidRPr="008608AA">
        <w:rPr>
          <w:color w:val="000000"/>
          <w:lang w:val="en-US"/>
        </w:rPr>
        <w:t xml:space="preserve">. At mid- to high </w:t>
      </w:r>
      <w:r w:rsidRPr="00360ADC">
        <w:rPr>
          <w:lang w:val="en-US"/>
        </w:rPr>
        <w:t>elevations</w:t>
      </w:r>
      <w:r w:rsidRPr="008608AA">
        <w:rPr>
          <w:color w:val="000000"/>
          <w:lang w:val="en-US"/>
        </w:rPr>
        <w:t xml:space="preserve">, larger areas are being burned, likely due to past fire suppression, changing fire management policies, and warmer and drier climatic conditions. The length of the fire season increased by over two months from 1970 to 2003, associated with warming </w:t>
      </w:r>
      <w:r w:rsidRPr="008608AA">
        <w:rPr>
          <w:lang w:val="en-US"/>
        </w:rPr>
        <w:t xml:space="preserve">trends </w:t>
      </w:r>
      <w:r w:rsidRPr="008608AA">
        <w:rPr>
          <w:lang w:val="en-US"/>
        </w:rPr>
        <w:fldChar w:fldCharType="begin" w:fldLock="1"/>
      </w:r>
      <w:r w:rsidRPr="008608AA">
        <w:rPr>
          <w:lang w:val="en-US"/>
        </w:rPr>
        <w:instrText>ADDIN CSL_CITATION { "citationItems" : [ { "id" : "ITEM-1", "itemData" : { "DOI" : "10.1126/science.1128834", "ISBN" : "0036-8075", "ISSN" : "1095-9203", "PMID" : "16825536", "abstract" : "Western United States forest wildfire activity is widely thought to have increased in recent decades, yet neither the extent of recent changes nor the degree to which climate may be driving regional changes in wildfire has been systematically documented. Much of the public and scientific discussion of changes in western United States wildfire has focused instead on the effects of 19th- and 20th-century land-use history. We compiled a comprehensive database of large wildfires in western United States forests since 1970 and compared it with hydroclimatic and land-surface data. Here, we show that large wildfire activity increased suddenly and markedly in the mid-1980s, with higher large-wildfire frequency, longer wildfire durations, and longer wildfire seasons. The greatest increases occurred in mid-elevation, Northern Rockies forests, where land-use histories have relatively little effect on fire risks and are strongly associated with increased spring and summer temperatures and an earlier spring snowmelt.", "author" : [ { "dropping-particle" : "", "family" : "Westerling", "given" : "A. L.", "non-dropping-particle" : "", "parse-names" : false, "suffix" : "" }, { "dropping-particle" : "", "family" : "Hidalgo", "given" : "H. G.", "non-dropping-particle" : "", "parse-names" : false, "suffix" : "" }, { "dropping-particle" : "", "family" : "Cayan", "given" : "D. R.", "non-dropping-particle" : "", "parse-names" : false, "suffix" : "" }, { "dropping-particle" : "", "family" : "Swetnam", "given" : "Thomas W.", "non-dropping-particle" : "", "parse-names" : false, "suffix" : "" } ], "container-title" : "Science", "id" : "ITEM-1", "issue" : "5789", "issued" : { "date-parts" : [ [ "2006" ] ] }, "page" : "940-943", "title" : "Warming and earlier spring increase western U.S. forest wildfire activity", "type" : "article-journal", "volume" : "313" }, "uris" : [ "http://www.mendeley.com/documents/?uuid=51f3f303-b72b-4c5a-baf3-3820a8cefb32" ] } ], "mendeley" : { "formattedCitation" : "(Westerling, Hidalgo, Cayan, &amp; Swetnam, 2006)", "manualFormatting" : "(Westerling et al., 2006)", "plainTextFormattedCitation" : "(Westerling, Hidalgo, Cayan, &amp; Swetnam, 2006)", "previouslyFormattedCitation" : "(Westerling, Hidalgo, Cayan, &amp; Swetnam, 2006)" }, "properties" : { "noteIndex" : 0 }, "schema" : "https://github.com/citation-style-language/schema/raw/master/csl-citation.json" }</w:instrText>
      </w:r>
      <w:r w:rsidRPr="008608AA">
        <w:rPr>
          <w:lang w:val="en-US"/>
        </w:rPr>
        <w:fldChar w:fldCharType="separate"/>
      </w:r>
      <w:r w:rsidRPr="008608AA">
        <w:rPr>
          <w:noProof/>
          <w:lang w:val="en-US"/>
        </w:rPr>
        <w:t>(Westerling et al., 2006)</w:t>
      </w:r>
      <w:r w:rsidRPr="008608AA">
        <w:rPr>
          <w:lang w:val="en-US"/>
        </w:rPr>
        <w:fldChar w:fldCharType="end"/>
      </w:r>
      <w:r w:rsidRPr="008608AA">
        <w:rPr>
          <w:lang w:val="en-US"/>
        </w:rPr>
        <w:t>. M</w:t>
      </w:r>
      <w:r w:rsidRPr="008608AA">
        <w:rPr>
          <w:color w:val="000000"/>
          <w:lang w:val="en-US"/>
        </w:rPr>
        <w:t xml:space="preserve">ore frequent fire has led to much type conversion of shrubland to grassland </w:t>
      </w:r>
      <w:r w:rsidRPr="008608AA">
        <w:rPr>
          <w:lang w:val="en-US"/>
        </w:rPr>
        <w:fldChar w:fldCharType="begin" w:fldLock="1"/>
      </w:r>
      <w:r w:rsidRPr="008608AA">
        <w:rPr>
          <w:lang w:val="en-US"/>
        </w:rPr>
        <w:instrText>ADDIN CSL_CITATION { "citationItems" : [ { "id" : "ITEM-1", "itemData" : { "author" : [ { "dropping-particle" : "", "family" : "Zedler", "given" : "P. H.", "non-dropping-particle" : "", "parse-names" : false, "suffix" : "" } ], "container-title" : "Brushfires in California: Ecology and Resource Management", "editor" : [ { "dropping-particle" : "", "family" : "Keeley", "given" : "J.E.", "non-dropping-particle" : "", "parse-names" : false, "suffix" : "" }, { "dropping-particle" : "", "family" : "Scott", "given" : "T.", "non-dropping-particle" : "", "parse-names" : false, "suffix" : "" } ], "id" : "ITEM-1", "issued" : { "date-parts" : [ [ "1995" ] ] }, "page" : "101-112", "publisher" : "International Association of Wildland Fire", "publisher-place" : "Fairfield, USA", "title" : "Fire frequency in southern California shrublands: biological effects and management options", "type" : "chapter" }, "uris" : [ "http://www.mendeley.com/documents/?uuid=d09855f2-6710-4510-98fd-0c8b9a6f16f4" ] } ], "mendeley" : { "formattedCitation" : "(P. H. Zedler, 1995)", "manualFormatting" : "(Zedler, 1995;", "plainTextFormattedCitation" : "(P. H. Zedler, 1995)", "previouslyFormattedCitation" : "(P. H. Zedler, 1995)" }, "properties" : { "noteIndex" : 0 }, "schema" : "https://github.com/citation-style-language/schema/raw/master/csl-citation.json" }</w:instrText>
      </w:r>
      <w:r w:rsidRPr="008608AA">
        <w:rPr>
          <w:lang w:val="en-US"/>
        </w:rPr>
        <w:fldChar w:fldCharType="separate"/>
      </w:r>
      <w:r w:rsidRPr="008608AA">
        <w:rPr>
          <w:noProof/>
          <w:lang w:val="en-US"/>
        </w:rPr>
        <w:t>(Zedler, 1995;</w:t>
      </w:r>
      <w:r w:rsidRPr="008608AA">
        <w:rPr>
          <w:lang w:val="en-US"/>
        </w:rPr>
        <w:fldChar w:fldCharType="end"/>
      </w:r>
      <w:r w:rsidRPr="008608AA">
        <w:rPr>
          <w:lang w:val="en-US"/>
        </w:rPr>
        <w:t xml:space="preserve"> </w:t>
      </w:r>
      <w:r w:rsidRPr="008608AA">
        <w:rPr>
          <w:lang w:val="en-US"/>
        </w:rPr>
        <w:fldChar w:fldCharType="begin" w:fldLock="1"/>
      </w:r>
      <w:r w:rsidRPr="008608AA">
        <w:rPr>
          <w:lang w:val="en-US"/>
        </w:rPr>
        <w:instrText>ADDIN CSL_CITATION { "citationItems" : [ { "id" : "ITEM-1", "itemData" : { "DOI" : "10.1016/B978-0-12-802749-3.00007-4", "author" : [ { "dropping-particle" : "", "family" : "Halsey", "given" : "RW", "non-dropping-particle" : "", "parse-names" : false, "suffix" : "" }, { "dropping-particle" : "", "family" : "Syphard", "given" : "AD", "non-dropping-particle" : "", "parse-names" : false, "suffix" : "" } ], "container-title" : "The Ecological Importance of Mixed-Severity Fires: Nature\u2019s Phoenix", "editor" : [ { "dropping-particle" : "", "family" : "DellaSala", "given" : "D.A.", "non-dropping-particle" : "", "parse-names" : false, "suffix" : "" }, { "dropping-particle" : "", "family" : "Hanson", "given" : "C.T.", "non-dropping-particle" : "", "parse-names" : false, "suffix" : "" } ], "id" : "ITEM-1", "issued" : { "date-parts" : [ [ "2016" ] ] }, "page" : "177-209.", "publisher" : "Elsevier", "publisher-place" : "New York, USA", "title" : "High-severity fire in chaparral: cognitive dissonance in the shrublands", "type" : "chapter" }, "uris" : [ "http://www.mendeley.com/documents/?uuid=6058cc9b-83ec-4598-a420-9404e018f6e0" ] } ], "mendeley" : { "formattedCitation" : "(Halsey &amp; Syphard, 2016)", "manualFormatting" : "Halsey &amp; Syphard, 2016)", "plainTextFormattedCitation" : "(Halsey &amp; Syphard, 2016)", "previouslyFormattedCitation" : "(Halsey &amp; Syphard, 2016)" }, "properties" : { "noteIndex" : 0 }, "schema" : "https://github.com/citation-style-language/schema/raw/master/csl-citation.json" }</w:instrText>
      </w:r>
      <w:r w:rsidRPr="008608AA">
        <w:rPr>
          <w:lang w:val="en-US"/>
        </w:rPr>
        <w:fldChar w:fldCharType="separate"/>
      </w:r>
      <w:r w:rsidRPr="008608AA">
        <w:rPr>
          <w:noProof/>
          <w:lang w:val="en-US"/>
        </w:rPr>
        <w:t>Halsey &amp; Syphard, 2016)</w:t>
      </w:r>
      <w:r w:rsidRPr="008608AA">
        <w:rPr>
          <w:lang w:val="en-US"/>
        </w:rPr>
        <w:fldChar w:fldCharType="end"/>
      </w:r>
      <w:r w:rsidRPr="008608AA">
        <w:rPr>
          <w:color w:val="000000"/>
          <w:lang w:val="en-US"/>
        </w:rPr>
        <w:t>.</w:t>
      </w:r>
    </w:p>
    <w:p w14:paraId="3C12597C" w14:textId="24D09E36" w:rsidR="0063629E" w:rsidRPr="008608AA" w:rsidRDefault="00FF0580" w:rsidP="00FF0580">
      <w:r w:rsidRPr="008608AA">
        <w:rPr>
          <w:noProof/>
          <w:lang w:val="en-GB" w:eastAsia="en-GB"/>
        </w:rPr>
        <w:drawing>
          <wp:inline distT="0" distB="0" distL="0" distR="0" wp14:anchorId="60C4C838" wp14:editId="5DEB3EAF">
            <wp:extent cx="5934075" cy="8553450"/>
            <wp:effectExtent l="0" t="0" r="9525" b="0"/>
            <wp:docPr id="30323" name="Imagen 30323" descr="C:\Users\Alejandro Valderrama\Downloads\Fig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7" descr="C:\Users\Alejandro Valderrama\Downloads\Fig3.19.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34075" cy="8553450"/>
                    </a:xfrm>
                    <a:prstGeom prst="rect">
                      <a:avLst/>
                    </a:prstGeom>
                    <a:noFill/>
                    <a:ln>
                      <a:noFill/>
                    </a:ln>
                  </pic:spPr>
                </pic:pic>
              </a:graphicData>
            </a:graphic>
          </wp:inline>
        </w:drawing>
      </w:r>
    </w:p>
    <w:p w14:paraId="4B7FEBAE" w14:textId="77777777" w:rsidR="004255E7" w:rsidRPr="008608AA" w:rsidRDefault="004255E7" w:rsidP="0063629E">
      <w:pPr>
        <w:pStyle w:val="Heading5"/>
        <w:numPr>
          <w:ilvl w:val="0"/>
          <w:numId w:val="0"/>
        </w:numPr>
        <w:spacing w:before="240" w:after="120"/>
        <w:ind w:left="1008" w:hanging="1008"/>
        <w:rPr>
          <w:sz w:val="24"/>
          <w:szCs w:val="24"/>
        </w:rPr>
      </w:pPr>
      <w:r w:rsidRPr="008608AA">
        <w:rPr>
          <w:sz w:val="24"/>
          <w:szCs w:val="24"/>
        </w:rPr>
        <w:t xml:space="preserve">South American subregion </w:t>
      </w:r>
    </w:p>
    <w:p w14:paraId="058140F7" w14:textId="727AE591" w:rsidR="004255E7" w:rsidRPr="008608AA" w:rsidRDefault="004255E7" w:rsidP="0063629E">
      <w:pPr>
        <w:widowControl w:val="0"/>
        <w:autoSpaceDE w:val="0"/>
        <w:autoSpaceDN w:val="0"/>
        <w:adjustRightInd w:val="0"/>
        <w:spacing w:after="120"/>
        <w:rPr>
          <w:shd w:val="clear" w:color="auto" w:fill="FFFFFF"/>
        </w:rPr>
      </w:pPr>
      <w:r w:rsidRPr="008608AA">
        <w:t>Status</w:t>
      </w:r>
      <w:r w:rsidR="007D4553" w:rsidRPr="008608AA">
        <w:t xml:space="preserve">. </w:t>
      </w:r>
      <w:r w:rsidRPr="008608AA">
        <w:t xml:space="preserve">Part of a Biodiversity Hotspot </w:t>
      </w:r>
      <w:r w:rsidRPr="008608AA">
        <w:fldChar w:fldCharType="begin" w:fldLock="1"/>
      </w:r>
      <w:r w:rsidRPr="008608AA">
        <w:instrText>ADDIN CSL_CITATION { "citationItems" : [ { "id" : "ITEM-1", "itemData" : { "DOI" : "10.1038/35002501", "ISBN" : "0028-0836", "ISSN" : "00280836", "PMID" : "10706275", "abstract" : "Conservationists are far from able to assist all species under threat, if only for lack of funding. This places a premium on priorities: how can we support the most species at the least cost? One way is to identify 'biodiversity hotspots' where exceptional concentrations of endemic species are undergoing exceptional loss of habitat. As many as 44% of all species of vascular plants and 35% of all species in four vertebrate groups are confined to 25 hotspots comprising only 1.4% of the land surface of the Earth. This opens the way for a 'silver bullet' strategy on the part of conservation planners, focusing on these hotspots in proportion to their share of the world's species at risk.", "author" : [ { "dropping-particle" : "", "family" : "Myers", "given" : "Norman", "non-dropping-particle" : "", "parse-names" : false, "suffix" : "" }, { "dropping-particle" : "", "family" : "Mittermeier", "given" : "Russell A.", "non-dropping-particle" : "", "parse-names" : false, "suffix" : "" }, { "dropping-particle" : "", "family" : "Mittermeier", "given" : "Cristina G.", "non-dropping-particle" : "", "parse-names" : false, "suffix" : "" }, { "dropping-particle" : "", "family" : "Fonseca", "given" : "Gustavo A. B.", "non-dropping-particle" : "da", "parse-names" : false, "suffix" : "" }, { "dropping-particle" : "", "family" : "Kent", "given" : "Jennifer", "non-dropping-particle" : "", "parse-names" : false, "suffix" : "" } ], "container-title" : "Nature", "id" : "ITEM-1", "issue" : "6772", "issued" : { "date-parts" : [ [ "2000" ] ] }, "page" : "853-858", "title" : "Biodiversity hotspots for conservation priorities", "type" : "article-journal", "volume" : "403" }, "uris" : [ "http://www.mendeley.com/documents/?uuid=85b61de5-e331-3fd2-898a-4f64cdd49a3f" ] } ], "mendeley" : { "formattedCitation" : "(Myers et al., 2000)", "manualFormatting" : "(Myers et al., 2000)", "plainTextFormattedCitation" : "(Myers et al., 2000)", "previouslyFormattedCitation" : "(Norman Myers et al., 2000)" }, "properties" : { "noteIndex" : 0 }, "schema" : "https://github.com/citation-style-language/schema/raw/master/csl-citation.json" }</w:instrText>
      </w:r>
      <w:r w:rsidRPr="008608AA">
        <w:fldChar w:fldCharType="separate"/>
      </w:r>
      <w:r w:rsidRPr="008608AA">
        <w:rPr>
          <w:noProof/>
        </w:rPr>
        <w:t>(Myers et al., 2000)</w:t>
      </w:r>
      <w:r w:rsidRPr="008608AA">
        <w:fldChar w:fldCharType="end"/>
      </w:r>
      <w:r w:rsidRPr="008608AA">
        <w:t xml:space="preserve">, South American Mediterranean forests, woodland and scrub found in central Chile, under a broad definition, is characterized by high endemism, richness and phylogenetic diversity </w:t>
      </w:r>
      <w:r w:rsidRPr="008608AA">
        <w:fldChar w:fldCharType="begin" w:fldLock="1"/>
      </w:r>
      <w:r w:rsidRPr="008608AA">
        <w:instrText>ADDIN CSL_CITATION { "citationItems" : [ { "id" : "ITEM-1", "itemData" : { "DOI" : "10.4067/S0716-078X2002000400012", "ISBN" : "0716-078X", "ISSN" : "0716078X", "PMID" : "451", "abstract" : "Santuario de la Naturaleza Yerba Loca (SN Yerba Loca), Metropolitan Region (MR), 33\u00ba S, Chile is analyzed for its conservation value and efficiency in protecting native vascular plants in a regional context. The reserve\u2019s flora of 500 species and subtaxa was evaluated for species richness, endemism, range size and marginally distributed taxa, using species-area analysis, and tendencies in the floras of the MR (1.434 species and subtaxa) and MR-Fifth regions (1,841 species and subtaxa) to set the regional pattern. The reserve (0.7 % of MR land area and 0.3 % MR-Fifth land area) contains 34 % of the MR and 27% of the MR-Fifth floras, and around 16-17 % of the mediterranean-climate area (regions IV-VIII) flora of central Chile. Veech\u2019s Relative Richness Index (RRI) revealed that SN Yerba Loca houses exaggerated richness in relation to its land area (28 % more species than expected from the regional model). However, endemism rates (35 % Continental Chile endemics, 22 % Mediterranean endemics, 3% MR-Vth endemics) are statistically lower than in the MR (44 %, 29 %, 9 %) and the MR-Vth (48 %, 31 %, 11 %) floras, and SN Yerba Loca houses proportionately fewer MR endemics (2 %) than the MR (6 %). Compared with the regional floras, the reserve contains statistically fewer marginally distributed species, and range size (median = five administrative regions) is significantly larger. The reserve\u2019s outstanding species richness compensates for its low endemism rates bringing the absolute number of endemics to 92 % of the regional expectation. Corresponding values for marginally distributed species are 81 % (northern limits), 63% (southern limits) and for median and shorter range taxa, 100 %. It is concluded that SN Yerba Loca is a highly efficient reserve from the point of view of vascular plant conservation, and represents an excellent conservation choice. SN Yerba Loca and MN El Morado (a second state protected area in the MR), conservatively, house 39 % of the native vascular plant flora of the MR (30 % of that of the MR-Fifth) on 0.9 % of MR land area. Our study emphasizes that relatively small land areas in central Chile can house significant amounts of biodiversity, and that moreover, the RM and RM-Fifth are areas of high species richness within the central Chilean biodiversity hotspot. The outstanding conservation value of SN Yerba Loca calls for a management plan designed to assure the integrity of the reserve under increasing pressures from the Metropolitan R\u2026", "author" : [ { "dropping-particle" : "", "family" : "Arroyo", "given" : "M.T.K.", "non-dropping-particle" : "", "parse-names" : false, "suffix" : "" }, { "dropping-particle" : "", "family" : "Marticorena", "given" : "Clodomiro", "non-dropping-particle" : "", "parse-names" : false, "suffix" : "" }, { "dropping-particle" : "", "family" : "Matthei", "given" : "Oscar", "non-dropping-particle" : "", "parse-names" : false, "suffix" : "" }, { "dropping-particle" : "", "family" : "Mu\u00f1oz", "given" : "M\u00e9lica", "non-dropping-particle" : "", "parse-names" : false, "suffix" : "" }, { "dropping-particle" : "", "family" : "Pliscoff", "given" : "Patricio", "non-dropping-particle" : "", "parse-names" : false, "suffix" : "" } ], "container-title" : "Revista Chilena de Historia Natural", "id" : "ITEM-1", "issue" : "4", "issued" : { "date-parts" : [ [ "2002" ] ] }, "page" : "767-792", "title" : "Analysis of the contribution and efficiency of the Santuario de la Naturaleza Yerba Loca, 33\u00b0 S in protecting the regional vascular plant flora (Metropolitan and Fifth regions of Chile)", "type" : "article-journal", "volume" : "75" }, "uris" : [ "http://www.mendeley.com/documents/?uuid=02b21507-2029-3b2d-9fea-315044217398" ] }, { "id" : "ITEM-2", "itemData" : { "DOI" : "10.1146/annurev-ecolsys-121415-032330", "ISSN" : "1543-592X", "abstract" : "Mediterranean-type ecosystems (MTEs) possess the highest levels of plant species richness in the world outside of the wet tropics. Sclerophyll vegetation similar to today\u2019s mediterranean-type shrublands was already present on oligotrophic soils in the wet and humid climate of the Cretaceous, with fire-adapted Paleogene lineages in southwestern Australia and the Cape Region. The novel MTC seasonality present since the mid-Miocene has allowed colonization of MTEs from a regional species pool with associated diversification. Fire persistence has been a primary driving factor for speciation in four of the five regions. Understanding the regional patterns of plant species diversity among the MTEs involves complex interactions of geologic and climatic histories for each region as well as ecological factors that have promoted diversification in the Neogene and Quaternary. A critical element of species richness for many MTE lineages has been their ability to speciate and persist at fine spatial scales, with low r...", "author" : [ { "dropping-particle" : "", "family" : "Rundel", "given" : "Philip W.", "non-dropping-particle" : "", "parse-names" : false, "suffix" : "" }, { "dropping-particle" : "", "family" : "Arroyo", "given" : "Mary T. K.", "non-dropping-particle" : "", "parse-names" : false, "suffix" : "" }, { "dropping-particle" : "", "family" : "Cowling", "given" : "Richard M.", "non-dropping-particle" : "", "parse-names" : false, "suffix" : "" }, { "dropping-particle" : "", "family" : "Keeley", "given" : "Jon E.", "non-dropping-particle" : "", "parse-names" : false, "suffix" : "" }, { "dropping-particle" : "", "family" : "Lamont", "given" : "Byron B.", "non-dropping-particle" : "", "parse-names" : false, "suffix" : "" }, { "dropping-particle" : "", "family" : "Vargas", "given" : "Pablo", "non-dropping-particle" : "", "parse-names" : false, "suffix" : "" } ], "container-title" : "Annual Review of Ecology, Evolution, and Systematics", "id" : "ITEM-2", "issued" : { "date-parts" : [ [ "2016" ] ] }, "page" : "383-407", "title" : "Mediterranean biomes: evolution of their vegetation, floras and climate", "type" : "article-journal", "volume" : "47" }, "uris" : [ "http://www.mendeley.com/documents/?uuid=4243df15-7c36-341f-bf5f-c9c4ffeb0caf" ] }, { "id" : "ITEM-3", "itemData" : { "DOI" : "10.1016/j.ympev.2017.04.021", "ISSN" : "10959513", "PMID" : "28450227", "abstract" : "Current geographic patterns of biodiversity are a consequence of the evolutionary history of the lineages that comprise them. This study was aimed at exploring how evolutionary features of the vascular flora of Chile are distributed across the landscape. Using a phylogeny at the genus level for 87% of the Chilean vascular flora, and a geographic database of sample localities, we calculated phylogenetic diversity (PD), phylogenetic endemism (PE), relative PD (RPD), and relative PE (RPE). Categorical Analyses of Neo- and Paleo-Endemism (CANAPE) were also performed, using a spatial randomization to assess statistical significance. A cluster analysis using range-weighted phylogenetic turnover was used to compare among grid cells, and with known Chilean bioclimates. PD patterns were concordant with known centers of high taxon richness and the Chilean biodiversity hotspot. In addition, several other interesting areas of concentration of evolutionary history were revealed as potential conservation targets. The south of the country shows areas of significantly high RPD and a concentration of paleo-endemism, and the north shows areas of significantly low PD and RPD, and a concentration of neo-endemism. Range-weighted phylogenetic turnover shows high congruence with the main macrobioclimates of Chile. Even though the study was done at the genus level, the outcome provides an accurate outline of phylogenetic patterns that can be filled in as more fine-scaled information becomes available.", "author" : [ { "dropping-particle" : "", "family" : "Scherson", "given" : "Rosa A.", "non-dropping-particle" : "", "parse-names" : false, "suffix" : "" }, { "dropping-particle" : "", "family" : "Thornhill", "given" : "Andrew H.", "non-dropping-particle" : "", "parse-names" : false, "suffix" : "" }, { "dropping-particle" : "", "family" : "Urbina-Casanova", "given" : "Rafael", "non-dropping-particle" : "", "parse-names" : false, "</w:instrText>
      </w:r>
      <w:r w:rsidRPr="008608AA">
        <w:rPr>
          <w:lang w:val="fr-CA"/>
        </w:rPr>
        <w:instrText>suffix" : "" }, { "dropping-particle" : "", "family" : "Freyman", "given" : "William A.", "non-dropping-particle" : "", "parse-names" : false, "suffix" : "" }, { "dropping-particle" : "", "family" : "Pliscoff", "given" : "Patricio A.", "non-dropping-particle" : "", "parse-names" : false, "suffix" : "" }, { "dropping-particle" : "", "family" : "Mishler", "given" : "Brent D.", "non-dropping-particle" : "", "parse-names" : false, "suffix" : "" } ], "container-title" : "Molecular Phylogenetics and Evolution", "id" : "ITEM-3", "issued" : { "date-parts" : [ [ "2017" ] ] }, "page" : "88-95", "title" : "Spatial phylogenetics of the vascular flora of Chile", "type" : "article-journal", "volume" : "112" }, "uris" : [ "http://www.mendeley.com/documents/?uuid=fa145105-6eae-366f-a495-16b93a5b6458" ] } ], "mendeley" : { "formattedCitation" : "(M.T.K. Arroyo, Marticorena, Matthei, Mu\u00f1oz, &amp; Pliscoff, 2002; Philip W. Rundel et al., 2016; Scherson et al., 2017)", "manualFormatting" : "(Arroyo et al., 2002; Rundel et al., 2016; Scherson et al., 2017)", "plainTextFormattedCitation" : "(M.T.K. Arroyo, Marticorena, Matthei, Mu\u00f1oz, &amp; Pliscoff, 2002; Philip W. Rundel et al., 2016; Scherson et al., 2017)", "previouslyFormattedCitation" : "(M.T.K. Arroyo, Marticorena, Matthei, Mu\u00f1oz, &amp; Pliscoff, 2002; Philip W. Rundel et al., 2016; Scherson et al., 2017)" }, "properties" : { "noteIndex" : 0 }, "schema" : "https://github.com/citation-style-language/schema/raw/master/csl-citation.json" }</w:instrText>
      </w:r>
      <w:r w:rsidRPr="008608AA">
        <w:fldChar w:fldCharType="separate"/>
      </w:r>
      <w:r w:rsidRPr="008608AA">
        <w:rPr>
          <w:noProof/>
          <w:lang w:val="fr-CA"/>
        </w:rPr>
        <w:t>(Arroyo et al., 2002; Rundel et al., 2016; Scherson et al., 2017)</w:t>
      </w:r>
      <w:r w:rsidRPr="008608AA">
        <w:fldChar w:fldCharType="end"/>
      </w:r>
      <w:r w:rsidRPr="008608AA">
        <w:rPr>
          <w:lang w:val="fr-CA"/>
        </w:rPr>
        <w:t xml:space="preserve"> (Table 3.4). </w:t>
      </w:r>
      <w:r w:rsidRPr="008608AA">
        <w:t xml:space="preserve">Around 50% of Mediterranean forests, woodland and scrub has been transformed </w:t>
      </w:r>
      <w:r w:rsidRPr="008608AA">
        <w:fldChar w:fldCharType="begin" w:fldLock="1"/>
      </w:r>
      <w:r w:rsidRPr="008608AA">
        <w:instrText>ADDIN CSL_CITATION { "citationItems" : [ { "id" : "ITEM-1", "itemData" : { "ISBN" : "9561118327", "abstract" : "Esta trabajo surge gracis a la necesidad de algunas instiutciones de conservacion de contar con una herramienta alternativa para la evalucion de la representatividad vegetacional de las areas protegidas de Chile, como un elemento de apoyo a la priorizacion de nuevas areas de proteccion. El analisis de la representatividad ecologia es la principal herramienta para el establecimiento de prioridades en la planificacion de areas protegidas e impone la necesidad de una delimitacion cartografica de unidades ecologicas a una escala adecuada para cuantifcar su superficie.", "author" : [ { "dropping-particle" : "", "family" : "Luebert", "given" : "F.", "non-dropping-particle" : "", "parse-names" : false, "suffix" : "" }, { "dropping-particle" : "", "family" : "Pliscoff", "given" : "P.", "non-dropping-particle" : "", "parse-names" : false, "suffix" : "" } ], "id" : "ITEM-1", "issued" : { "date-parts" : [ [ "2006" ] ] }, "publisher" : "Editorial Universitaria", "publisher-place" : "Santiago, Chile", "title" : "Sinopsis Bioclim\u00e1tica y Vegetacional de Chile", "type" : "book" }, "uris" : [ "http://www.mendeley.com/documents/?uuid=874007f8-4fc0-45e3-bd7c-b31c09f01fd0" ] } ], "mendeley" : { "formattedCitation" : "(Luebert &amp; Pliscoff, 2006)", "plainTextFormattedCitation" : "(Luebert &amp; Pliscoff, 2006)", "previouslyFormattedCitation" : "(Luebert &amp; Pliscoff, 2006)" }, "properties" : { "noteIndex" : 0 }, "schema" : "https://github.com/citation-style-language/schema/raw/master/csl-citation.json" }</w:instrText>
      </w:r>
      <w:r w:rsidRPr="008608AA">
        <w:fldChar w:fldCharType="separate"/>
      </w:r>
      <w:r w:rsidRPr="008608AA">
        <w:rPr>
          <w:noProof/>
        </w:rPr>
        <w:t>(Luebert &amp; Pliscoff, 2006)</w:t>
      </w:r>
      <w:r w:rsidRPr="008608AA">
        <w:fldChar w:fldCharType="end"/>
      </w:r>
      <w:r w:rsidRPr="008608AA">
        <w:t xml:space="preserve"> </w:t>
      </w:r>
      <w:r w:rsidRPr="008608AA">
        <w:rPr>
          <w:shd w:val="clear" w:color="auto" w:fill="FFFFFF"/>
        </w:rPr>
        <w:t xml:space="preserve">– this percentage is considerably higher under a narrower definition of the biome (Figure 3.19). </w:t>
      </w:r>
      <w:r w:rsidRPr="008608AA">
        <w:t xml:space="preserve">Many native species are threatened </w:t>
      </w:r>
      <w:r w:rsidRPr="008608AA">
        <w:fldChar w:fldCharType="begin" w:fldLock="1"/>
      </w:r>
      <w:r w:rsidRPr="008608AA">
        <w:instrText>ADDIN CSL_CITATION { "citationItems" : [ { "id" : "ITEM-1", "itemData" : { "author" : [ { "dropping-particle" : "", "family" : "Ministerio del Medio Ambiente", "given" : "", "non-dropping-particle" : "", "parse-names" : false, "suffix" : "" } ], "id" : "ITEM-1", "issued" : { "date-parts" : [ [ "2017" ] ] }, "title" : "No Title", "type" : "webpage" }, "uris" : [ "http://www.mendeley.com/documents/?uuid=541bff42-90f3-4428-a05c-578bcbf4d25e", "http://www.mendeley.com/documents/?uuid=3d4ca9f2-82b1-4759-a5bc-edf30a1a7fe5" ] } ], "mendeley" : { "formattedCitation" : "(Ministerio del Medio Ambiente, 2017)", "plainTextFormattedCitation" : "(Ministerio del Medio Ambiente, 2017)", "previouslyFormattedCitation" : "(Ministerio del Medio Ambiente, 2017)" }, "properties" : { "noteIndex" : 0 }, "schema" : "https://github.com/citation-style-language/schema/raw/master/csl-citation.json" }</w:instrText>
      </w:r>
      <w:r w:rsidRPr="008608AA">
        <w:fldChar w:fldCharType="separate"/>
      </w:r>
      <w:r w:rsidRPr="008608AA">
        <w:rPr>
          <w:noProof/>
        </w:rPr>
        <w:t>(Ministerio del Medio Ambiente, 2017)</w:t>
      </w:r>
      <w:r w:rsidRPr="008608AA">
        <w:fldChar w:fldCharType="end"/>
      </w:r>
      <w:r w:rsidRPr="008608AA">
        <w:t xml:space="preserve">, although only a small fraction (ca. 3.5%) of all Chilean species have been analyzed </w:t>
      </w:r>
      <w:r w:rsidRPr="008608AA">
        <w:fldChar w:fldCharType="begin" w:fldLock="1"/>
      </w:r>
      <w:r w:rsidRPr="008608AA">
        <w:instrText>ADDIN CSL_CITATION { "citationItems" : [ { "id" : "ITEM-1", "itemData" : { "DOI" : "10.1787/9789264252615-en", "ISBN" : "9789264252608", "author" : [ { "dropping-particle" : "", "family" : "OECD/ECLAC", "given" : "", "non-dropping-particle" : "", "parse-names" : false, "suffix" : "" } ], "collection-title" : "OECD Environmental Performance Reviews", "id" : "ITEM-1", "issued" : { "date-parts" : [ [ "2016", "7", "21" ] ] }, "publisher" : "OECD Publishing", "publisher-place" : "Paris, France", "title" : "OECD Environmental Performance Reviews: Chile 2016", "type" : "report" }, "uris" : [ "http://www.mendeley.com/documents/?uuid=e0803dee-abac-38d1-8ee5-32eb7a8edd78" ] } ], "mendeley" : { "formattedCitation" : "(OECD/ECLAC, 2016)", "plainTextFormattedCitation" : "(OECD/ECLAC, 2016)", "previouslyFormattedCitation" : "(OECD/ECLAC, 2016)" }, "properties" : { "noteIndex" : 0 }, "schema" : "https://github.com/citation-style-language/schema/raw/master/csl-citation.json" }</w:instrText>
      </w:r>
      <w:r w:rsidRPr="008608AA">
        <w:fldChar w:fldCharType="separate"/>
      </w:r>
      <w:r w:rsidRPr="008608AA">
        <w:rPr>
          <w:noProof/>
        </w:rPr>
        <w:t>(OECD/ECLAC, 2016)</w:t>
      </w:r>
      <w:r w:rsidRPr="008608AA">
        <w:fldChar w:fldCharType="end"/>
      </w:r>
      <w:r w:rsidRPr="008608AA">
        <w:t xml:space="preserve">. Alien species including close to 600 plant species </w:t>
      </w:r>
      <w:r w:rsidRPr="008608AA">
        <w:fldChar w:fldCharType="begin" w:fldLock="1"/>
      </w:r>
      <w:r w:rsidRPr="008608AA">
        <w:instrText>ADDIN CSL_CITATION { "citationItems" : [ { "id" : "ITEM-1", "itemData" : { "DOI" : "10.1080/17550874.2014.984003", "ISBN" : "1755-0874", "ISSN" : "17551668", "abstract" : "Background: Economic activities are substantial factors in alien plant establishment and invasions. Climate also plays an important role in the distribution of alien species. Aims: We evaluate the relationship between alien species density and both climatic and socio-economic factors at the scale of provinces located in a latitudinal-bioclimatic gradient in Chile. Methods: We used generalised linear models with backward selection to evaluate the relative importance of each parameter (human population, gross domestic product, length of traffic routes, crop cover, abandoned crop cover, artificial plantations, protected areas, annual rainfall and temperature) on species density. We compared the average species density among climate types. Results: Alien density was higher for provinces located in the most populated areas with Mediterranean and temperate oceanic climates (south-central Chile) and decreased for less populated provinces in the north and the southernmost parts (desert and sub-Antarctic wetlands). uman population, length of traffic routes and annual rainfall significantly explained the variation in alien species density in Chile. Conclusions: Although human population still increases, the results can be used especially in high priority conservation areas where traffic routes and human settlements can be objectively reduced or managed, to reduce the potential increase in the number of alien species.", "author" : [ { "dropping-particle" : "", "family" : "Fuentes", "given" : "Nicol", "non-dropping-particle" : "", "parse-names" : false, "suffix" : "" }, { "dropping-particle" : "", "family" : "Salda\u00f1a", "given" : "Alfredo", "non-dropping-particle" : "", "parse-names" : false, "suffix" : "" }, { "dropping-particle" : "", "family" : "K\u00fchn", "given" : "Ingolf", "non-dropping-particle" : "", "parse-names" : false, "suffix" : "" }, { "dropping-particle" : "", "family" : "Klotz", "given" : "Stefan", "non-dropping-particle" : "", "parse-names" : false, "suffix" : "" } ], "container-title" : "Plant Ecology and Diversity", "id" : "ITEM-1", "issue" : "3", "issued" : { "date-parts" : [ [ "2015" ] ] }, "page" : "371-377", "title" : "Climatic and socio-economic factors determine the level of invasion by alien plants in Chile", "type" : "article-journal", "volume" : "8" }, "uris" : [ "http://www.mendeley.com/documents/?uuid=fb99f621-1a1f-4153-abb5-cb5824a8c4ee" ] }, { "id" : "ITEM-2", "itemData" : { "DOI" : "10.1111/j.1365-2699.2007.01799.x", "ISBN" : "0305-0270", "ISSN" : "03050270", "abstract" : "Aim: Taxonomic comparisons of alien floras across climatically similar regions have been proposed as a powerful approach for increasing our understanding of plant invasions across scales. However, detailed comparisons between the alien biotas of climatically similar regions are scarce. This study aims to compare the taxonomic patterns of alien species richness in mediterranean-type climate areas of central Chile and California, in order to better understand how climatically similar regions converge or diverge in terms of their alien flora. Location: Central Chile and California, United States. Methods: We compared the alien floras of the state of California in the United States and central Chile, considering within-region variation and taxonomic composition up to the species level. To test for within-region variation, administrative units and counties were grouped within seven latitudinal bands for each region. We tested for differences in the relative contributions of the various origins of the naturalized species to each region. We used a family naturalization index to establish which families had relatively higher numbers of naturalized species in each region. We evaluated the similarity, using cluster analyses with Jaccard's similarity index, of alien taxa between regions and latitudinal bands using presence-absence matrices at the species, genus and family levels. We used principal components analysis to determine the presence of a compositional gradient including all latitudinal bands. Results: We recorded 1212 alien plant species in California and 593 in central Chile, of which 491 are shared between the two regions. These figures include 25 species that are native to California and 37 that are native to Chile. A comparison between the alien floras of central Chile and California reveals three major trends: (1) higher naturalized species diversity for California than for Chile, at all taxonomic levels; (2) differences in the proportion of species according to origin, with America, Africa, Asia and Australia providing a larger number of species in California than in Chile; (3) segregation between regions in terms of taxonomic composition of their alien flora, and a rather weak differentiation within regions; and (4) a trend towards higher similarity between the alien floras of latitudinal bands associated with higher levels of human disturbances. Main conclusions: The alien floras of central Chile and California are significantly different, but th\u2026", "author" : [ { "dropping-particle" : "", "family" : "Jim\u00e9nez", "given" : "Alejandra", "non-dropping-particle" : "", "parse-names" : false, "suffix" : "" }, { "dropping-particle" : "", "family" : "Pauchard", "given" : "An\u00edbal", "non-dropping-particle" : "", "parse-names" : false, "suffix" : "" }, { "dropping-particle" : "", "family" : "Cavieres", "giv</w:instrText>
      </w:r>
      <w:r w:rsidRPr="008608AA">
        <w:rPr>
          <w:lang w:val="es-ES"/>
        </w:rPr>
        <w:instrText>en" : "Lohengrin A.", "non-dropping-particle" : "", "parse-names" : false, "suffix" : "" }, { "dropping-particle" : "", "family" : "Marticorena", "given" : "Alicia", "non-dropping-particle" : "", "parse-names" : false, "suffix" : "" }, { "dropping-particle" : "", "family" : "Bustamante", "given" : "Ramiro O.", "non-dropping-particle" : "", "parse-names" : false, "suffix" : "" } ], "container-title" : "Journal of Biogeography", "id" : "ITEM-2", "issue" : "4", "issued" : { "date-parts" : [ [ "2008" ] ] }, "page" : "614-624", "title" : "Do climatically similar regions contain similar alien floras? A comparison between the mediterranean areas of central Chile and California", "type" : "article-journal", "volume" : "35" }, "uris" : [ "http://www.mendeley.com/documents/?uuid=c0637464-f166-466f-b8c4-abdcde017804" ] } ], "mendeley" : { "formattedCitation" : "(Fuentes, Salda\u00f1a, K\u00fchn, &amp; Klotz, 2015; A. Jim\u00e9nez, Pauchard, Cavieres, Marticorena, &amp; Bustamante, 2008)", "manualFormatting" : "(Fuentes et al., 2015; Jim\u00e9nez et al., 2008)", "plainTextFormattedCitation" : "(Fuentes, Salda\u00f1a, K\u00fchn, &amp; Klotz, 2015; A. Jim\u00e9nez, Pauchard, Cavieres, Marticorena, &amp; Bustamante, 2008)", "previouslyFormattedCitation" : "(Fuentes, Salda\u00f1a, K\u00fchn, &amp; Klotz, 2015; A. Jim\u00e9nez, Pauchard, Cavieres, Marticorena, &amp; Bustamante, 2008)" }, "properties" : { "noteIndex" : 0 }, "schema" : "https://github.com/citation-style-language/schema/raw/master/csl-citation.json" }</w:instrText>
      </w:r>
      <w:r w:rsidRPr="008608AA">
        <w:fldChar w:fldCharType="separate"/>
      </w:r>
      <w:r w:rsidRPr="008608AA">
        <w:rPr>
          <w:noProof/>
          <w:lang w:val="es-ES"/>
        </w:rPr>
        <w:t>(Fuentes et al., 2015; Jiménez et al., 2008)</w:t>
      </w:r>
      <w:r w:rsidRPr="008608AA">
        <w:fldChar w:fldCharType="end"/>
      </w:r>
      <w:r w:rsidRPr="008608AA">
        <w:rPr>
          <w:lang w:val="es-ES"/>
        </w:rPr>
        <w:t xml:space="preserve">, &gt;100 insect species </w:t>
      </w:r>
      <w:r w:rsidRPr="008608AA">
        <w:fldChar w:fldCharType="begin" w:fldLock="1"/>
      </w:r>
      <w:r w:rsidRPr="008608AA">
        <w:rPr>
          <w:lang w:val="es-ES"/>
        </w:rPr>
        <w:instrText>ADDIN CSL_CITATION { "citationItems" : [ { "id" : "ITEM-1", "itemData" : { "author" : [ { "dropping-particle" : "", "family" : "Ministerio del Medio Ambiente", "given" : "", "non-dropping-particle" : "", "parse-names" : false, "suffix" : "" } ], "id" : "ITEM-1", "issued" : { "date-parts" : [ [ "2017" ] ] }, "title" : "No Title", "type" : "webpage" }, "uris" : [ "http://www.mendeley.com/documents/?uuid=3d4ca9f2-82b1-4759-a5bc-edf30a1a7fe5", "http://www.mendeley.com/documents/?uuid=541bff42-90f3-4428-a05c-578bcbf4d25e" ] } ], "mendeley" : { "formattedCitation" : "(Ministerio del Medio Ambiente, 2017)", "plainTextFormattedCitation" : "(Ministerio del Medio Ambiente, 2017)", "previouslyFormattedCitation" : "(Ministerio del Medio Ambiente, 2017)" }, "properties" : { "noteIndex" : 0 }, "schema" : "https://github.com/citation-style-language/schema/raw/master/csl-citation.json" }</w:instrText>
      </w:r>
      <w:r w:rsidRPr="008608AA">
        <w:fldChar w:fldCharType="separate"/>
      </w:r>
      <w:r w:rsidRPr="008608AA">
        <w:rPr>
          <w:noProof/>
          <w:lang w:val="es-ES"/>
        </w:rPr>
        <w:t>(Ministerio del Medio Ambiente, 2017)</w:t>
      </w:r>
      <w:r w:rsidRPr="008608AA">
        <w:fldChar w:fldCharType="end"/>
      </w:r>
      <w:r w:rsidRPr="008608AA">
        <w:rPr>
          <w:lang w:val="es-ES"/>
        </w:rPr>
        <w:t xml:space="preserve">, and 30 vertebrate species </w:t>
      </w:r>
      <w:r w:rsidRPr="008608AA">
        <w:fldChar w:fldCharType="begin" w:fldLock="1"/>
      </w:r>
      <w:r w:rsidRPr="008608AA">
        <w:rPr>
          <w:lang w:val="es-ES"/>
        </w:rPr>
        <w:instrText>ADDIN CSL_CITATION { "citationItems" : [ { "id" : "ITEM-1", "itemData" : { "DOI" : "10.4067/s0716-078x2005000100010", "ISBN" : "0716-078X", "ISSN" : "0716078X", "abstract" : "We provide an overview of the current status of vertebrate invasive species throughout Chile, updating information on terrestrial exotics and reporting for the first time the situation of exotic freshwater fishes. In addition, we document the legislation and programs that the Chilean government has implemented to limit the entry of exotics to the country or minimize their impact on native wild flora and fauna and on natural ecosystems. We document what is known about the introduction of 26 exotic fish species to continental waters of the country, discussing the distribution and putative effects of those 11 species that may be considered invasive. From a previous list of 24 terrestrial vertebrate invaders, we withdraw the Argentine tortoise (Chelonoidis chilensis), reindeer (Rangifer tarandus) and mouflon (Ovis ammon) because there are no data on their subsistence in the wild. On the other hand, we add three new species: red-eared freshwater turtle (Trachemys scripta), monk parakeet (Myiopsitta monachus), and red-crested cardinal (Paroaria coronata), thus keeping the total number of terrestrial invaders unchanged at 24 species. The chief agency in charge of existing laws and regulations regarding the import of exotic freshwater species is the National Fisheries Service (SERNAPESCA, in Spanish), a dependency of the Ministry of Economy. The main agency in charge of enforcing existing laws and regulations regarding the import of exotic terrestrial species to Chile is the Agriculture and Livestock Service (SAG, in Spanish), a dependency of the Ministry of Agriculture. Currently, SAG is not only controlling major border passes, seaports and airports, but also is funding studies to monitor and control already existing invaders. In addition, the Chilean Forest Service (CONAF, in Spanish) is also concerned about invasive species, but only if they enter national parks and reserves within the National System of Protected Wildlife Areas (SNASPE, in Spanish).", "author" : [ { "dropping-particle" : "", "family" : "Iriarte", "given" : "J. Agust\u00edn", "non-dropping-particle" : "", "parse-names" : false, "suffix" : "" }, { "dropping-particle" : "", "family" : "Lobos", "given" : "Gabriel A.", "non-dropping-particle" : "", "parse-names" : false, "suffix" : "" }, { "dropping-particle" : "", "family" : "Jaksic", "given" : "Fabi\u00e1n M.", "non-dropping-particle" : "", "parse-names" : false, "suffix" : "" } ], "container-title" : "Revista Chilena de Historia Natural", "id" : "ITEM-1", "issue" : "1", "issued" : { "date-parts" : [ [ "2005" ] ] }, "page" : "143-154", "title" : "Invasive vertebrate species in Chile and their control and monitoring by governmental agencies", "type" : "article-journal", "volume" : "78" }, "uris" : [ "http://www.mendeley.com/documents/?uuid=5070e422-5829-4678-8d00-cb6aff71e162" ] }, { "id" : "ITEM-2", "itemData" : { "DOI" : "10.1023/A:1008825802448", "ISBN" : "0960-3115", "ISSN" : "09603115", "abstract" : "The South American country of Chile has been subjected to relatively few invasions in historic times. In comparison to the ca 610 vertebrate species found in continental Chile, only 24 species (3.9%) have invaded the country. Except for two bird and two or three mammal species that expanded their range and crossed the Andean Ranges from Argentina, the remaining 20 species were all introduced, or aided, by humans. Of the 24 invader species that currently occur in Chile, 11 (46%) were first introduced in central Chile, two (8%) in the northern part of the country, nine (38%) in the southern part, and two (8%) in Juan Fern\u00e1ndez Archipelago. For ten (42%) of those species there is no inf</w:instrText>
      </w:r>
      <w:r w:rsidRPr="008608AA">
        <w:instrText>ormation about their effects on the native flora, vegetation, or fauna. For eight species (33%), the information regarding the effects of the invaders is anecdotal. For six species (25%), there is adequate quantitative documentation available on their effects. Of a total of seven convincingly repo rted cases, two involve positive effects (increase in the prey base for native predators) and five have negative effects, of which three are on native vegetation and the remaining two on native fauna.", "author" : [ { "dropping-particle" : "", "family" : "Jaksic", "given" : "Fabian M.", "non-dropping-particle" : "", "parse-names" : false, "suffix" : "" } ], "container-title" : "Biodiversity and Conservation", "id" : "ITEM-2", "issue" : "11", "issued" : { "date-parts" : [ [ "1998" ] ] }, "page" : "1427-1445", "title" : "Vertebrate invaders and their ecological impacts in Chile", "type" : "article-journal", "volume" : "7" }, "uris" : [ "http://www.mendeley.com/documents/?uuid=9da3c4cf-d041-4fbf-9aca-5087d5844fef" ] } ], "mendeley" : { "formattedCitation" : "(Iriarte, Lobos, &amp; Jaksic, 2005; Fabian M. Jaksic, 1998)", "manualFormatting" : "(Iriarte et al., 2005; Jaksic, 1998)", "plainTextFormattedCitation" : "(Iriarte, Lobos, &amp; Jaksic, 2005; Fabian M. Jaksic, 1998)", "previouslyFormattedCitation" : "(Iriarte, Lobos, &amp; Jaksic, 2005; Fabian M. Jaksic, 1998)" }, "properties" : { "noteIndex" : 0 }, "schema" : "https://github.com/citation-style-language/schema/raw/master/csl-citation.json" }</w:instrText>
      </w:r>
      <w:r w:rsidRPr="008608AA">
        <w:fldChar w:fldCharType="separate"/>
      </w:r>
      <w:r w:rsidRPr="008608AA">
        <w:rPr>
          <w:noProof/>
        </w:rPr>
        <w:t>(Iriarte et al., 2005; Jaksic, 1998)</w:t>
      </w:r>
      <w:r w:rsidRPr="008608AA">
        <w:fldChar w:fldCharType="end"/>
      </w:r>
      <w:r w:rsidRPr="008608AA">
        <w:t xml:space="preserve"> – several of which are considered harmful by stakeholders </w:t>
      </w:r>
      <w:r w:rsidRPr="008608AA">
        <w:fldChar w:fldCharType="begin" w:fldLock="1"/>
      </w:r>
      <w:r w:rsidRPr="008608AA">
        <w:instrText>ADDIN CSL_CITATION { "citationItems" : [ { "id" : "ITEM-1", "itemData" : { "author" : [ { "dropping-particle" : "", "family" : "Comit\u00e9 Operativo para la Prevenci\u00f3n el Control y la Erradicaci\u00f3n de las Especies Ex\u00f3ticas Invasoras (COCEI)", "given" : "", "non-dropping-particle" : "", "parse-names" : false, "suffix" : "" } ], "id" : "ITEM-1", "issued" : { "date-parts" : [ [ "2014" ] ] }, "number-of-pages" : "25", "publisher" : "Ministerio del Medio Ambiente (MMA)", "publisher-place" : "Santiago, Chile", "title" : "Estrategia Nacional Integrada para la Prevenci\u00f3n, el Control y/o Erradicaci\u00f3n de las Especies Ex\u00f3ticas Invasoras", "type" : "report" }, "uris" : [ "http://www.mendeley.com/documents/?uuid=2a4efc38-bba0-3db5-ab2c-47e996145ed8" ] } ], "mendeley" : { "formattedCitation" : "(Comit\u00e9 Operativo para la Prevenci\u00f3n el Control y la Erradicaci\u00f3n de las Especies Ex\u00f3ticas Invasoras (COCEI), 2014)", "plainTextFormattedCitation" : "(Comit\u00e9 Operativo para la Prevenci\u00f3n el Control y la Erradicaci\u00f3n de las Especies Ex\u00f3ticas Invasoras (COCEI), 2014)", "previouslyFormattedCitation" : "(Comit\u00e9 Operativo para la Prevenci\u00f3n el Control y la Erradicaci\u00f3n de las Especies Ex\u00f3ticas Invasoras (COCEI), 2014)" }, "properties" : { "noteIndex" : 0 }, "schema" : "https://github.com/citation-style-language/schema/raw/master/csl-citation.json" }</w:instrText>
      </w:r>
      <w:r w:rsidRPr="008608AA">
        <w:fldChar w:fldCharType="separate"/>
      </w:r>
      <w:r w:rsidR="00B057C7" w:rsidRPr="008608AA">
        <w:rPr>
          <w:noProof/>
        </w:rPr>
        <w:t xml:space="preserve"> (COCEI</w:t>
      </w:r>
      <w:r w:rsidRPr="008608AA">
        <w:rPr>
          <w:noProof/>
        </w:rPr>
        <w:t>, 2014)</w:t>
      </w:r>
      <w:r w:rsidRPr="008608AA">
        <w:fldChar w:fldCharType="end"/>
      </w:r>
      <w:r w:rsidRPr="008608AA">
        <w:t xml:space="preserve"> – are abundant in disturbed areas, urban areas, and semi-natural grasslands </w:t>
      </w:r>
      <w:r w:rsidRPr="008608AA">
        <w:fldChar w:fldCharType="begin" w:fldLock="1"/>
      </w:r>
      <w:r w:rsidRPr="008608AA">
        <w:instrText>ADDIN CSL_CITATION { "citationItems" : [ { "id" : "ITEM-1", "itemData" : { "ISBN" : "155963782", "author" : [ { "dropping-particle" : "", "family" : "Arroyo", "given" : "Mary T. Kalin", "non-dropping-particle" : "", "parse-names" : false, "suffix" : "" }, { "dropping-particle" : "", "family" : "Maricorena", "given" : "Clodomiro", "non-dropping-particle" : "", "parse-names" : false, "suffix" : "" }, { "dropping-particle" : "", "family" : "Matthei", "given" : "Oscar", "non-dropping-particle" : "", "parse-names" : false, "suffix" : "" }, { "dropping-particle" : "", "family" : "Cavieres", "given" : "Lohengrin", "non-dropping-particle" : "", "parse-names" : false, "suffix" : "" } ], "container-title" : "Invasive species in a changing world", "editor" : [ { "dropping-particle" : "", "family" : "H. A. Mooney &amp; R. Hobbs", "given" : "", "non-dropping-particle" : "", "parse-names" : false, "suffix" : "" } ], "id" : "ITEM-1", "issued" : { "date-parts" : [ [ "2000" ] ] }, "page" : "385-421", "publisher" : "Island Press", "publisher-place" : "New York, USA", "title" : "Plant invasions in Chile: present patterns and future predictions", "type" : "chapter" }, "uris" : [ "http://www.mendeley.com/documents/?uuid=b697cf68-43af-387e-9abb-78719c4aa63c" ] }, { "id" : "ITEM-2", "itemData" : { "DOI" : "10.1007/978-3-319-24744-1_13", "ISBN" : "9783319247441", "abstract" : "The Mediterranean ecosystem of Chile comprises the most populated region of the country as well as the most important passageways for international trade. This has caused the rate of introductions of exotic insects to be the highest of the country. As a consequence, it has been observed an increasing number of exotic insects currently being established in three different situations: natural forests, com- mercial forest plantations and urban trees. In natural forests, the most serious threat is the invasion of Cinara cupressi , caus- ing severe damage on the endangered native Cupressaceae, Austrocedrus chilensis. Apart from this case, records of exotic insects attacking native trees are scarce. On the other hand, forest plantations of exotic species, mainly Pinus radiata and Eucalyptus spp ., have been affected for several insect invasions in the last years. These new invasions represent a challenge for the Chilean forest industry, making necessary the adoption of new silvicultural techniques and sanitary protocols for exporting wood products. Besides commercial plantations, insect invasions are also taking place in urban areas: poplars, elms and other ornamental trees have under- gone the introduction of several exotic insects. The effect of this pests has been perceived as a major threat for the environmental quality of cities, and public opin- ion is increasingly demanding actions from the government to minimize their effects. Considering the increasing rate of detection of exotic insects in Chile, it becomes clear that invasive insects represent a current threat for Chilean forests and immedi- ate actions are needed from the government, private companies and society to mini- mize their negative consequences.", "author" : [ { "dropping-particle" : "", "family" : "Estay", "given" : "Sergio A.", "non-dropping-particle" : "", "parse-names" : false, "suffix" : "" } ], "container-title" : "Insects and Diseases of Mediterranean Forest Systems", "editor" : [ { "dropping-particle" : "", "family" : "Paine", "given" : "T. D.", "non-dropping-particle" : "", "parse-names" : false, "suffix" : "" }, { "dropping-particle" : "", "family" : "Lieutier", "given" : "F.", "non-dropping-particle" : "", "parse-names" : false, "suffix" : "" } ], "id" : "ITEM-2", "issued" : { "date-parts" : [ [ "2016" ] ] }, "page" : "379-396", "publisher" : "Springer", "publisher-place" : "New York, USA", "title" : "Invasive insects in the mediterranean forests of Chile", "type" : "chapter" }, "uris" : [ "http://www.mendeley.com/documents/?uuid=f3f2c410-af61-38cd-bd3c-50ad0c3af6e8" ] }, { "id" : "ITEM-3", "itemData" : { "DOI" : "10.4067/S0716-078X2011000300001", "ISBN" : "0716-078X", "ISSN" : "0716-078X", "abstract" : "Setting fi res is an old practice of land management in the Mediterranean region of central Chile. Fire in the region is currently of predominantly human origin and previously published material suggests that the scheduling of these activities is associated with the spread of naturalized exotic species. Research into the effects of fi re on both native and exotic Mediterranean vegetation in central Chile has increased notably over recent years. The objective of our review is to highlight new knowledge in this area of research from the last 30 years and to contribute to systematization and an explicit conceptual model which takes into account the effect of a fi re regimen on the spread of exotic plants and the mechanisms involved. We begin with analyses of the fi re regimen which is currently observed in one Region of central Chile and a subsequent exploration of the literature to identify the attributes mainly of the germination of seeds which are sensitive to fi re and which apply to the exotic species that are abundantly naturalized in central Chile. According to the studies consulted, diverse mechanisms have been described which involve the effect of fi re on the spread of exotic plants in central Chile. Life-history traits, tolerance, facilitation, and positive feedback between exotic plants and fi re frequency have been mechanisms reported in the literature. Finally, we propose a conceptual model which represents dispersal assisted by humans of exotic species and the spread of species naturalized by the effect of fi re regimens, which helps explain the composition and structure of the matorral of central Chile in an early successional state.", "author" : [ { "dropping-particle" : "", "family" : "Contreras", "given" : "T.E.", "non-dropping-particle" : "", "parse-names" : false, "suffix" : "" }, { "dropping-particle" : "", "family" : "Figueroa", "given" : "J.A.", "non-dropping-particle" : "", "parse-names" : false, "suffix" : "" }, { "dropping-particle" : "", "family" : "Abarca", "given" : "L.", "non-dropping-particle" : "", "parse-names" : false, "suffix" : "" }, { "dropping-particle" : "", "family" : "Castro", "given" : "S.A.", "non-dropping-particle" : "", "parse-names" : false, "suffix" : "" } ], "container-title" : "Revista Chilena de Historia Natural", "id" : "ITEM-3", "issue" : "3", "issued" : { "date-parts" : [ [ "2011" ] ] }, "page" : "307-323", "title" : "Fire regimen and spread of plants naturalized in central Chile.", "type" : "article-journal", "volume" : "84" }, "uris" : [ "http://www.mendeley.com/documents/?uuid=032ade5c-6c54-37a3-9eee-b0bb273fab06" ] }, { "id" : "ITEM-4", "itemData" : { "author" : [ { "dropping-particle" : "", "family" : "G\u00e4rtner", "given" : "E.", "non-dropping-particle" : "", "parse-names" : false, "suffix" : "" }, { "dropping-particle" : "", "family" : "Rojas", "given" : "G.", "non-dropping-particle" : "", "parse-names" : false, "suffix" : "" }, { "dropping-particle" : "", "family" : "Castro", "given" : "S. A.", "non-dropping-particle" : "", "parse-names" : false, "suffix" : "" } ], "container-title" : "Gayana Bot\u00e1nica", "id" : "ITEM-4", "issue" : "2", "issued" : { "date-parts" : [ [ "2015" ] ] }, "page" : "192-202", "title" : "Compositional patterns of ruderal herbs in Santiago, Chile", "type" : "article-journal", "volume" : "72" }, "uris" : [ "http://www.mendeley.com/documents/?uuid=5d9da5b6-ef58-4325-8ddd-24400c4c1d20" ] }, { "id" : "ITEM-5", "itemData" : { "DOI" : "10.1023/A:1008825802448", "ISBN" : "0960-3115", "ISSN" : "09603115", "abstract" : "The South American country of Chile has been subjected to relatively few invasions in historic times. In comparison to the ca 610 vertebrate species found in continental Chile, only 24 species (3.9%) have invaded the country. Except for two bird and two or three mammal species that expanded their range and crossed the Andean Ranges from Argentina, the remaining 20 species were all introduced, or aided, by humans. Of the 24 invader species that currently occur in Chile, 11 (46%) were first introduced in central Chile, two (8%) in the northern part of the country, nine (38%) in the southern part, and two (8%) in Juan Fern\u00e1ndez Archipelago. For ten (42%) of those species there is no information about their effects on the native flora, vegetation, or fauna. For eight species (33%), the information regarding the effects of the invaders is anecdotal. For six species (25%), there is adequate quantitative documentation available on their effects. Of a total of seven convincingly repo rted cases, two involve positive effects (increase in the prey base for native predators) and five have negative effects, of which three are on native vegetation and the remaining two on native fauna.", "author" : [ { "dropping-particle" : "", "family" : "Jaksic", "given" : "Fabian M.", "non-dropping-particle" : "", "parse-names" : false, "suffix" : "" } ], "container-title" : "Biodiversity and Conservation", "id" : "ITEM-5", "issue" : "11", "issued" : { "date-parts" : [ [ "1998" ] ] }, "page" : "1427-1445", "title" : "Vertebrate invaders and their ecological impacts in Chile", "type" : "article-journal", "volume" : "7" }, "uris" : [ "http://www.mendeley.com/documents/?uuid=9da3c4cf-d041-4fbf-9aca-5087d5844fef" ] }, { "id" : "ITEM-6", "itemData" : { "DOI" : "10.1007/s10530-014-0805-z", "ISBN" : "13873547 (ISSN)", "ISSN" : "15731464", "abstract" : "In central Chile, many exotic species associated with cereal culture and livestock activities were introduced during Spanish colonization. Nowadays, Chilean semi-natural grasslands are a mixture of native species and exotics that mainly originated in the Mediterranean Basin. The establishment and persistence of exotics (i.e. naturalization) can be due to abiotic (climate and soil properties) and biotic (interaction between plants) factors. We assess the importance of these environmental factors as filters that have promoted/limited the successful naturalization of Spanish species in Chile. Fifteen sites distributed throughout a wide range of Mediterranean climatic conditions, with similar geomorphology and land-use, were selected in both Chile and Spain. At each site we recorded a broad set of soil and climate variables as well as plant species richness during two consecutive years. In Chile, species were classified as natives or exotics whereas in Spain species were classified as colonizers (species that have been naturalized in Chile) or exclusives (only present in Spain). Species richness was higher in Spain (229 species) than in Chile (152), the latter with a high proportion (almost 50 %) of exotics. Different environmental factors affected species richness in each Mediterranean region. In Spain, species classified as colonizers were weakly related to a combination of soil and climate properties, while in Chile the number of exotic species was highly related with climate conditions (especially water availability). Lack of association between native and exotic species richness indicated that biotic filters (i.e. species competition) are less important than abiotic ones in transcontinental naturalization in Chile.", "author" : [ { "dropping-particle" : "", "family" : "Mart\u00edn-For\u00e9s", "given" : "Irene", "non-dropping-particle" : "", "parse-names" : false, "suffix" : "" }, { "dropping-particle" : "", "family" : "S\u00e1nchez-Jard\u00f3n", "given" : "Laura", "non-dropping-particle" : "", "parse-names" : false, "suffix" : "" }, { "dropping-particle" : "", "family" : "Acosta-Gallo", "given" : "Bel\u00e9n", "non-dropping-particle" : "", "parse-names" : false, "suffix" : "" }, { "dropping-particle" : "", "family" : "Pozo", "given" : "Alejandro", "non-dropping-particle" : "del", "parse-names" : false, "suffix" : "" }, { "dropping-particle" : "", "family" : "Castro", "given" : "Isabel", "non-dropping-particle" : "", "parse-names" : false, "suffix" : "" }, { "dropping-particle" : "", "family" : "Miguel", "given" : "Jos\u00e9 M.", "non-dropping-particle" : "de", "parse-names" : false, "suffix" : "" }, { "dropping-particle" : "", "family" : "Ovalle", "given" : "Carlos", "non-dropping-particle" : "", "parse-names" : false, "suffix" : "" }, { "dropping-particle" : "", "family" : "Casado", "given" : "Miguel A.", "non-dropping-particle" : "", "parse-names" : false, "suffix" : "" } ], "container-title" : "Biological Invasions", "id" : "ITEM-6", "issue" : "5", "issued" : { "date-parts" : [ [ "2015" ] ] }, "page" : "1425-1438", "title" : "From Spain to Chile: environmental filters and success of herbaceous species in Mediterranean-climate regions", "type" : "article-journal", "volume" : "17" }, "uris" : [ "http://www.mendeley.com/documents/?uuid=029c5466-c8de-4e01-9b6c-838dd830c262" ] }, { "id" : "ITEM-7", "itemData" : { "DOI" : "10.1016/j.actao.2011.01.002", "ISBN" : "1146609X", "ISSN" : "1146609X", "abstract" : "Floristic changes in the Mediterranean region of central Chile brought about by human impact appear to be shared with other climatic regions, although there is a notable absence of empirical studies and available quantitative evidence for the central Chile region. This study examines the cover, richness and composition of native and exotic plant species in a representative area of central Chile. Through floristic characterization of 33 sites sampled using 40 \u00d7 40 m plots distributed along transect on which the two farthest sites were separated by 50. km, the floristic richness and cover patterns, as well as the general land use characteristics were evaluated (native matorral, espinal, abandoned farming field, forest plantations, periurban sites, road sites, river bank, and burnt site). We recorded 327 species of plants; 213 species were native and 114 were exotic. The average number of species was heterogeneous in all sites, showing a greater relative native frequency in those sites with a lower level of anthropic intervention. Except for the matorral, the cover of exotic species was greater than that of native species. No relation was found between richness and cover in relation to the different types of land use. The relationship between cover of native and exotic was negative, although for richness did not show relationship. Results show that the exotic species are limited by resources, although they have not completely displaced the native species. The native and exotic floras respond to different spatial distribution patterns, so their presence makes it possible to establish two facts rarely quantified in central Chile: first, that the exotic flora replaces (but does not necessarily displace) the native flora, and second, that at the same time, because of its greater geographic ubiquity and the abundance levels that it achieves, it contributes to the taxonomic and physiognomic homogenization of central Chile. \u00a9 2011 Elsevier Masson SAS.", "author" : [ { "dropping-particle" : "", "family" : "Figueroa", "given" : "Javier A.", "non-dropping-particle" : "", "parse-names" : false, "suffix" : "" }, { "dropping-particle" : "", "family" : "Teillier", "given" : "Sebasti\u00e1n", "non-dropping-particle" : "", "parse-names" : false, "suffix" : "" }, { "dropping-particle" : "", "family" : "Castro", "given" : "Sergio A.", "non-dropping-particle" : "", "parse-names" : false, "suffix" : "" } ], "container-title" : "Acta Oecologica", "id" : "ITEM-7", "issu</w:instrText>
      </w:r>
      <w:r w:rsidRPr="00CE0821">
        <w:rPr>
          <w:lang w:val="es-CO"/>
        </w:rPr>
        <w:instrText>e" : "2", "issued" : { "date-parts" : [ [ "2011" ] ] }, "page" : "103-109", "title" : "Diversity patterns and composition of native and exotic floras in central Chile", "type" : "article-journal", "volume" : "37" }, "uris" : [ "http://www.mendeley.com/documents/?uuid=5c0f3ab6-4da2-428d-be28-e108c99aa14b" ] } ], "mendeley" : { "formattedCitation" : "(Mary T. Kalin Arroyo, Maricorena, Matthei, &amp; Cavieres, 2000; Contreras, Figueroa, Abarca, &amp; Castro, 2011; Estay, 2016; Figueroa, Teillier, &amp; Castro, 2011; G\u00e4rtner, Rojas, &amp; Castro, 2015; Fabian M. Jaksic, 1998; Mart\u00edn-For\u00e9s et al., 2015)", "manualFormatting" : "(Arroyo et al., 2000; Contreras et al., 2011; Estay, 2016; Figueroa et al., 2011; G\u00e4rtner et al., 2015; Jaksic, 1998; Mart\u00edn-For\u00e9s et al., 2015)", "plainTextFormattedCitation" : "(Mary T. Kalin Arroyo, Maricorena, Matthei, &amp; Cavieres, 2000; Contreras, Figueroa, Abarca, &amp; Castro, 2011; Estay, 2016; Figueroa, Teillier, &amp; Castro, 2011; G\u00e4rtner, Rojas, &amp; Castro, 2015; Fabian M. Jaksic, 1998; Mart\u00edn-For\u00e9s et al., 2015)", "previouslyFormattedCitation" : "(Mary T. Kalin Arroyo, Maricorena, Matthei, &amp; Cavieres, 2000; Contreras, Figueroa, Abarca, &amp; Castro, 2011; Estay, 2016; Figueroa, Teillier, &amp; Castro, 2011; G\u00e4rtner, Rojas, &amp; Castro, 2015; Fabian M. Jaksic, 1998; Mart\u00edn-For\u00e9s et al., 2015)" }, "properties" : { "noteIndex" : 0 }, "schema" : "https://github.com/citation-style-language/schema/raw/master/csl-citation.json" }</w:instrText>
      </w:r>
      <w:r w:rsidRPr="008608AA">
        <w:fldChar w:fldCharType="separate"/>
      </w:r>
      <w:r w:rsidRPr="00CE0821">
        <w:rPr>
          <w:noProof/>
          <w:lang w:val="es-CO"/>
        </w:rPr>
        <w:t>(Arroyo et al., 2000; Contreras et al., 2011; Estay, 2016; Figueroa et al., 2011; Gärtner et al., 2015; Jaksic, 1998; Martín-Forés et al., 2015)</w:t>
      </w:r>
      <w:r w:rsidRPr="008608AA">
        <w:fldChar w:fldCharType="end"/>
      </w:r>
      <w:r w:rsidRPr="00CE0821">
        <w:rPr>
          <w:lang w:val="es-CO"/>
        </w:rPr>
        <w:t xml:space="preserve">. </w:t>
      </w:r>
      <w:r w:rsidRPr="008608AA">
        <w:t xml:space="preserve">Plant-animal interactions for pollination and seed dispersal are especially well developed and critical for vegetation regrowth and restoration. Other biodiversity-NCP links include the provision of medicinal plants </w:t>
      </w:r>
      <w:r w:rsidRPr="008608AA">
        <w:fldChar w:fldCharType="begin" w:fldLock="1"/>
      </w:r>
      <w:r w:rsidRPr="008608AA">
        <w:instrText>ADDIN CSL_CITATION { "citationItems" : [ { "id" : "ITEM-1", "itemData" : { "DOI" : "10.1007/978-1-4899-1778-2_7", "author" : [ { "dropping-particle" : "", "family" : "Niemeyer", "given" : "Hermann M.", "non-dropping-particle" : "", "parse-names" : false, "suffix" : "" } ], "container-title" : "Recent Advances in Phytochemistry. Phytochemistry of Medicinal Plants, Vol. 29", "editor" : [ { "dropping-particle" : "", "family" : "Arnason", "given" : "J. T.", "non-dropping-particle" : "", "parse-names" : false, "suffix" : "" }, { "dropping-particle" : "", "family" : "Matta", "given" : "R.", "non-dropping-particle" : "", "parse-names" : false, "suffix" : "" }, { "dropping-particle" : "", "family" : "Romeo", "given" : "J. T.", "non-dropping-particle" : "", "parse-names" : false, "suffix" : "" } ], "id" : "ITEM-1", "issued" : { "date-parts" : [ [ "1995" ] ] }, "page" : "137-159", "publisher" : "Plenum Press", "publisher-place" : "New York, USA", "title" : "Biologically active compounds from Chilean medicinal plants", "type" : "chapter" }, "uris" : [ "http://www.mendeley.com/documents/?uuid=6944fe93-9e68-3d2d-a604-5ffd46146ec1" ] } ], "mendeley" : { "formattedCitation" : "(Niemeyer, 1995)", "plainTextFormattedCitation" : "(Niemeyer, 1995)", "previouslyFormattedCitation" : "(Niemeyer, 1995)" }, "properties" : { "noteIndex" : 0 }, "schema" : "https://github.com/citation-style-language/schema/raw/master/csl-citation.json" }</w:instrText>
      </w:r>
      <w:r w:rsidRPr="008608AA">
        <w:fldChar w:fldCharType="separate"/>
      </w:r>
      <w:r w:rsidRPr="008608AA">
        <w:rPr>
          <w:noProof/>
        </w:rPr>
        <w:t>(Niemeyer, 1995)</w:t>
      </w:r>
      <w:r w:rsidRPr="008608AA">
        <w:fldChar w:fldCharType="end"/>
      </w:r>
      <w:r w:rsidRPr="008608AA">
        <w:t xml:space="preserve">, </w:t>
      </w:r>
      <w:r w:rsidRPr="008608AA">
        <w:rPr>
          <w:shd w:val="clear" w:color="auto" w:fill="FFFFFF"/>
        </w:rPr>
        <w:t xml:space="preserve">nectar and pollen sources for honey making </w:t>
      </w:r>
      <w:r w:rsidRPr="008608AA">
        <w:rPr>
          <w:shd w:val="clear" w:color="auto" w:fill="FFFFFF"/>
        </w:rPr>
        <w:fldChar w:fldCharType="begin" w:fldLock="1"/>
      </w:r>
      <w:r w:rsidRPr="008608AA">
        <w:rPr>
          <w:shd w:val="clear" w:color="auto" w:fill="FFFFFF"/>
        </w:rPr>
        <w:instrText>ADDIN CSL_CITATION { "citationItems" : [ { "id" : "ITEM-1", "itemData" : { "DOI" : "10.5772/52807", "ISBN" : "9789537619343", "ISSN" : "9789533070865", "author" : [ { "dropping-particle" : "", "family" : "Bridi", "given" : "Raquel", "non-dropping-particle" : "", "parse-names" : false, "suffix" : "" }, { "dropping-particle" : "", "family" : "Montenegro", "given" : "Gloria", "non-dropping-particle" : "", "parse-names" : false, "suffix" : "" } ], "container-title" : "Honey Analysis", "editor" : [ { "dropping-particle" : "", "family" : "Toledo", "given" : "V.A.A.", "non-dropping-particle" : "", "parse-names" : false, "suffix" : "" } ], "id" : "ITEM-1", "issued" : { "date-parts" : [ [ "2017" ] ] }, "page" : "63-78", "publisher" : "InTech, Open Access", "title" : "The value of chilean honey: Floral origin related to their antioxidant and antibacterial activities", "type" : "chapter" }, "uris" : [ "http://www.mendeley.com/documents/?uuid=e983389c-e72c-3ccd-9262-a90c80c1d7d2" ] } ], "mendeley" : { "formattedCitation" : "(Bridi &amp; Montenegro, 2017)", "plainTextFormattedCitation" : "(Bridi &amp; Montenegro, 2017)", "previouslyFormattedCitation" : "(Bridi &amp; Montenegro, 2017)" }, "properties" : { "noteIndex" : 0 }, "schema" : "https://github.com/citation-style-language/schema/raw/master/csl-citation.json" }</w:instrText>
      </w:r>
      <w:r w:rsidRPr="008608AA">
        <w:rPr>
          <w:shd w:val="clear" w:color="auto" w:fill="FFFFFF"/>
        </w:rPr>
        <w:fldChar w:fldCharType="separate"/>
      </w:r>
      <w:r w:rsidRPr="008608AA">
        <w:rPr>
          <w:noProof/>
          <w:shd w:val="clear" w:color="auto" w:fill="FFFFFF"/>
        </w:rPr>
        <w:t>(Bridi &amp; Montenegro, 2017)</w:t>
      </w:r>
      <w:r w:rsidRPr="008608AA">
        <w:rPr>
          <w:shd w:val="clear" w:color="auto" w:fill="FFFFFF"/>
        </w:rPr>
        <w:fldChar w:fldCharType="end"/>
      </w:r>
      <w:r w:rsidRPr="008608AA">
        <w:rPr>
          <w:shd w:val="clear" w:color="auto" w:fill="FFFFFF"/>
        </w:rPr>
        <w:t xml:space="preserve">, runoff control on steep slopes </w:t>
      </w:r>
      <w:r w:rsidRPr="008608AA">
        <w:rPr>
          <w:shd w:val="clear" w:color="auto" w:fill="FFFFFF"/>
        </w:rPr>
        <w:fldChar w:fldCharType="begin" w:fldLock="1"/>
      </w:r>
      <w:r w:rsidRPr="008608AA">
        <w:rPr>
          <w:shd w:val="clear" w:color="auto" w:fill="FFFFFF"/>
        </w:rPr>
        <w:instrText>ADDIN CSL_CITATION { "citationItems" : [ { "id" : "ITEM-1", "itemData" : { "abstract" : "SUMMARY In Tutuv\u00e9n river basin, central Chile, instantaneous runoff coefficient (C), defined as the rate between runoff and rainfall, and its influence on different vegetation cover considering previous soil moisture were studied. Coefficients were calculated for intervals of 1, 2 and 4 hours in three different vegetation covers and three different moistures soil conditions, defined by the Curve Number method. 30 storms were used for the period 1982-1997. Results showed that the highest runoff coefficient values were obtained for one hour, with high moisture in soil and thin cover vegetation. On the other hand, the lowest runoff coefficient values were observed in sites of high cover vegetation and dry soils. It is concluded that rainfall intensity is the main factor influencing runoff coefficient values. Good estimates of C were obtained through a regression analysis between daily rainfall amount and C, with a R 2 ranging from 0.84 to 0.97.", "author" : [ { "dropping-particle" : "", "family" : "Pizarro", "given" : "Roberto", "non-dropping-particle" : "", "parse-names" : false, "suffix" : "" }, { "dropping-particle" : "", "family" : "Tapia", "given" : "Marcela", "non-dropping-particle" : "", "parse-names" : false, "suffix" : "" }, { "dropping-particle" : "", "family" : "Arellano", "given" : "Leonardo", "non-dropping-particle" : "", "parse-names" : false, "suffix" : "" }, { "dropping-particle" : "", "family" : "D\u00edaz", "given" : "Cristi\u00e1n", "non-dropping-particle" : "", "parse-names" : false, "suffix" : "" }, { "dropping-particle" : "", "family" : "Daza", "given" : "C\u00e9sar", "non-dropping-particle" : "", "parse-names" : false, "suffix" : "" } ], "container-title" : "Bosque", "id" : "ITEM-1", "issue" : "2", "issued" : { "date-parts" : [ [ "2006" ] ] }, "page" : "83-91", "title" : "Coeficientes de escorrent\u00eda instant\u00e1neos para la cuenca del r\u00edo Tutuv\u00e9n, VII Regi\u00f3n del Maule, Chile", "type" : "article-journal", "volume" : "27" }, "uris" : [ "http://www.mendeley.com/documents/?uuid=6938b5e9-d8e6-361a-b032-4d2f91e89388" ] } ], "mendeley" : { "formattedCitation" : "(Pizarro, Tapia, Arellano, D\u00edaz, &amp; Daza, 2006)", "manualFormatting" : "(Pizarro et al., 2006)", "plainTextFormattedCitation" : "(Pizarro, Tapia, Arellano, D\u00edaz, &amp; Daza, 2006)", "previouslyFormattedCitation" : "(Pizarro, Tapia, Arellano, D\u00edaz, &amp; Daza, 2006)" }, "properties" : { "noteIndex" : 0 }, "schema" : "https://github.com/citation-style-language/schema/raw/master/csl-citation.json" }</w:instrText>
      </w:r>
      <w:r w:rsidRPr="008608AA">
        <w:rPr>
          <w:shd w:val="clear" w:color="auto" w:fill="FFFFFF"/>
        </w:rPr>
        <w:fldChar w:fldCharType="separate"/>
      </w:r>
      <w:r w:rsidRPr="008608AA">
        <w:rPr>
          <w:noProof/>
          <w:shd w:val="clear" w:color="auto" w:fill="FFFFFF"/>
        </w:rPr>
        <w:t xml:space="preserve">(Pizarro </w:t>
      </w:r>
      <w:r w:rsidR="00A5177F" w:rsidRPr="008608AA">
        <w:rPr>
          <w:noProof/>
          <w:shd w:val="clear" w:color="auto" w:fill="FFFFFF"/>
        </w:rPr>
        <w:t xml:space="preserve">Tapia </w:t>
      </w:r>
      <w:r w:rsidRPr="008608AA">
        <w:rPr>
          <w:noProof/>
          <w:shd w:val="clear" w:color="auto" w:fill="FFFFFF"/>
        </w:rPr>
        <w:t>et al., 2006)</w:t>
      </w:r>
      <w:r w:rsidRPr="008608AA">
        <w:rPr>
          <w:shd w:val="clear" w:color="auto" w:fill="FFFFFF"/>
        </w:rPr>
        <w:fldChar w:fldCharType="end"/>
      </w:r>
      <w:r w:rsidRPr="008608AA">
        <w:rPr>
          <w:shd w:val="clear" w:color="auto" w:fill="FFFFFF"/>
        </w:rPr>
        <w:t xml:space="preserve"> and the aesthetic value of the rural-natural landscape mosaic. </w:t>
      </w:r>
    </w:p>
    <w:p w14:paraId="4AA5F389" w14:textId="149584E1" w:rsidR="004255E7" w:rsidRPr="008608AA" w:rsidRDefault="007D4553" w:rsidP="0063629E">
      <w:pPr>
        <w:widowControl w:val="0"/>
        <w:autoSpaceDE w:val="0"/>
        <w:autoSpaceDN w:val="0"/>
        <w:adjustRightInd w:val="0"/>
        <w:spacing w:after="120"/>
        <w:rPr>
          <w:lang w:val="es-CO"/>
        </w:rPr>
      </w:pPr>
      <w:r w:rsidRPr="008608AA">
        <w:t xml:space="preserve">Recent trends. </w:t>
      </w:r>
      <w:r w:rsidR="004255E7" w:rsidRPr="008608AA">
        <w:t xml:space="preserve">One study suggests Mediterranean forests have recently increased but this is acknowledged as likely due to the inclusion of exotic forests (Figure 3.19) </w:t>
      </w:r>
      <w:r w:rsidR="004255E7" w:rsidRPr="008608AA">
        <w:fldChar w:fldCharType="begin" w:fldLock="1"/>
      </w:r>
      <w:r w:rsidR="004255E7" w:rsidRPr="008608AA">
        <w:instrText>ADDIN CSL_CITATION { "citationItems" : [ { "id" : "ITEM-1", "itemData" : { "DOI" : "10.1016/j.gloplacha.2015.02.009", "ISBN" : "09218181", "ISSN" : "09218181", "PMID" : "3666", "abstract" : "Land use and land cover change (LUCC) affects regional climate through modifications in the water balance and energy budget. These impacts are frequently expressed by: changes in the amount and frequency of precipitation and alteration of surface temperatures. In South America, most of the studies of the effects of LUCC on the local and regional climate have focused on the Amazon region (54 studies), whereas LUCC within non-Amazonian regions have been largely undermined regardless their potential importance in regulating the regional climate (19 studies). We estimated that 3.6millionkm2 of the original natural vegetation cover in non-Amazonian South America were converted into other types of land use, which is about 4 times greater than the historical Amazon deforestation. Moreover, there is evidence showing that LUCC within such fairly neglected ecosystems cause significant reductions in precipitation and increases in surface temperatures, with occasional impacts affecting neighboring or remote areas. We explore the implications of these findings in the context of water security, climatic extremes and future research priorities.", "author" : [ { "dropping-particle" : "", "family" : "Salazar", "given" : "Alvaro", "non-dropping-particle" : "", "parse-names" : false, "suffix" : "" }, { "dropping-particle" : "", "family" : "Baldi", "given" : "German", "non-dropping-particle" : "", "parse-names" : false, "suffix" : "" }, { "dropping-particle" : "", "family" : "Hirota", "given" : "Marina", "non-dropping-particle" : "", "parse-names" : false, "suffix" : "" }, { "dropping-particle" : "", "family" : "Syktus", "given" : "Jozef", "non-dropping-particle" : "", "parse-names" : false, "suffix" : "" }, { "dropping-particle" : "", "family" : "McAlpine", "given" : "Clive", "non-dropping-particle" : "", "parse-names" : false, "suffix" : "" } ], "container-title" : "Global and Planetary Change", "id" : "ITEM-1", "issued" : { "date-parts" : [ [ "2015" ] ] }, "page" : "103-119", "title" : "Land use and land cover change impacts on the regional climate of non-Amazonian South America: A review", "type" : "article-journal", "volume" : "128" }, "uris" : [ "http://www.mendeley.com/documents/?uuid=64b216cc-a67a-4618-aa4c-51e46195a20a" ] } ], "mendeley" : { "formattedCitation" : "(Salazar et al., 2015)", "manualFormatting" : "(Salazar et al., 2015)", "plainTextFormattedCitation" : "(Salazar et al., 2015)", "previouslyFormattedCitation" : "(Salazar et al., 2015)" }, "properties" : { "noteIndex" : 0 }, "schema" : "https://github.com/citation-style-language/schema/raw/master/csl-citation.json" }</w:instrText>
      </w:r>
      <w:r w:rsidR="004255E7" w:rsidRPr="008608AA">
        <w:fldChar w:fldCharType="separate"/>
      </w:r>
      <w:r w:rsidR="004255E7" w:rsidRPr="008608AA">
        <w:rPr>
          <w:noProof/>
        </w:rPr>
        <w:t>(Salazar et al., 2015)</w:t>
      </w:r>
      <w:r w:rsidR="004255E7" w:rsidRPr="008608AA">
        <w:fldChar w:fldCharType="end"/>
      </w:r>
      <w:r w:rsidR="004255E7" w:rsidRPr="008608AA">
        <w:t>. National data</w:t>
      </w:r>
      <w:r w:rsidR="004255E7" w:rsidRPr="008608AA">
        <w:rPr>
          <w:i/>
        </w:rPr>
        <w:t xml:space="preserve"> </w:t>
      </w:r>
      <w:r w:rsidR="004255E7" w:rsidRPr="008608AA">
        <w:t xml:space="preserve">for approximately between the last decade of the past century and the first of this century for Mediterranean-climate forest (V-VIII Regions) come up with a net loss of 99,451 ha, mainly distributed among conversion to exotic plantation forestry (24%), agriculture (11%), scrub and open vegetation (59%), and urban areas (2%) </w:t>
      </w:r>
      <w:r w:rsidR="004255E7" w:rsidRPr="008608AA">
        <w:fldChar w:fldCharType="begin" w:fldLock="1"/>
      </w:r>
      <w:r w:rsidR="004255E7" w:rsidRPr="008608AA">
        <w:instrText>ADDIN CSL_CITATION { "citationItems" : [ { "id" : "ITEM-1", "itemData" : { "author" : [ { "dropping-particle" : "", "family" : "Instituto de Asuntos P\u00fablicos-Centro de An\u00e1lisis de Pol\u00edticas P\u00fablicas", "given" : "", "non-dropping-particle" : "", "parse-names" : false, "suffix" : "" } ], "id" : "ITEM-1", "issued" : { "date-parts" : [ [ "2016" ] ] }, "publisher" : "Universidad de Chile", "publisher-place" : "Santiago, Chile", "title" : "Informe Pa\u00eds: Estado del Medio Ambiente en Chile. Comparaci\u00f3n 1999 - 2015", "type" : "report" }, "uris" : [ "http://www.mendeley.com/documents/?uuid=5f3c3744-3600-492d-8c9f-451cc49c6298" ] } ], "mendeley" : { "formattedCitation" : "(Instituto de Asuntos P\u00fablicos-Centro de An\u00e1lisis de Pol\u00edticas P\u00fablicas, 2016)", "plainTextFormattedCitation" : "(Instituto de Asuntos P\u00fablicos-Centro de An\u00e1lisis de Pol\u00edticas P\u00fablicas, 2016)", "previouslyFormattedCitation" : "(Instituto de Asuntos P\u00fablicos-Centro de An\u00e1lisis de Pol\u00edticas P\u00fablicas, 2016)" }, "properties" : { "noteIndex" : 0 }, "schema" : "https://github.com/citation-style-language/schema/raw/master/csl-citation.json" }</w:instrText>
      </w:r>
      <w:r w:rsidR="004255E7" w:rsidRPr="008608AA">
        <w:fldChar w:fldCharType="separate"/>
      </w:r>
      <w:r w:rsidR="004255E7" w:rsidRPr="008608AA">
        <w:rPr>
          <w:noProof/>
        </w:rPr>
        <w:t>(Instituto de Asuntos Públicos-Centro de Análisis de Políticas Públicas, 2016)</w:t>
      </w:r>
      <w:r w:rsidR="004255E7" w:rsidRPr="008608AA">
        <w:fldChar w:fldCharType="end"/>
      </w:r>
      <w:r w:rsidR="004255E7" w:rsidRPr="008608AA">
        <w:t xml:space="preserve">. Exotic plantation forestry accounted for most of the forest loss in the southern part of the biome. Although some passive renovation has been occurring, previously forested areas tend to remain as scrub </w:t>
      </w:r>
      <w:r w:rsidR="004255E7" w:rsidRPr="008608AA">
        <w:fldChar w:fldCharType="begin" w:fldLock="1"/>
      </w:r>
      <w:r w:rsidR="004255E7" w:rsidRPr="008608AA">
        <w:instrText>ADDIN CSL_CITATION { "citationItems" : [ { "id" : "ITEM-1", "itemData" : { "DOI" : "10.1016/j.apgeog.2009.12.003", "ISBN" : "0143-6228", "ISSN" : "01436228", "abstract" : "Land cover and its configuration in the landscape are crucial components in the provision of biodiversity and ecosystem services. In Mediterranean regions, natural landscapes mostly covered by evergreen vegetation have been to a large extent transformed into cultural landscapes since long time ago. We investigated land cover changes in Central Chile using multi-temporal satellite imagery taken in 1975, 1985, 1999 and 2008. The major trends in this highly dynamic landscape were reduction of dryland forest and conversion of shrubland to intensive land uses such as farmland. The average net annual deforestation rate was -1.7%, and shrubland reduction occurred at an annual rate of -0.7%; agriculture, urban areas and timber plantations increased at annual rates of 1.1%, 2.7% and 3.2%, respectively, during the 1975-2008 period. Total forest and shrubland loss rates were partly offset by passive revegetation. However, most of the areas that were passively revegetated remained as shrubland and did not turn into forests due to a low capacity of forest recovery. This resulted in a progressive loss and degradation of dryland forest over the entire region. Overall, the documented land cover changes increase provisioning services such as crops, cattle, and timber that are characteristic of cultural landscapes in the area but may cause an irreversible loss of biodiversity and a depletion of other ecological services provided by forests and shrubland. The implications for conservation of this area and the need for territorial planning and adapted land-use strategies are discussed. \u00a9 2009 Elsevier Ltd.", "author" : [ { "dropping-particle" : "", "family" : "Schulz", "given" : "Jennifer J.", "non-dropping-particle" : "", "parse-names" : false, "suffix" : "" }, { "dropping-particle" : "", "family" : "Cayuela", "given" : "Luis", "non-dropping-particle" : "", "parse-names" : false, "suffix" : "" }, { "dropping-particle" : "", "family" : "Echeverria", "given" : "Cristian", "non-dropping-particle" : "", "parse-names" : false, "suffix" : "" }, { "dropping-particle" : "", "family" : "Salas", "given" : "Javier", "non-dropping-particle" : "", "parse-names" : false, "suffix" : "" }, { "dropping-particle" : "", "family" : "Rey Benayas", "given" : "Jos\u00e9 Mar\u00eda", "non-dropping-particle" : "", "parse-names" : false, "suffix" : "" } ], "container-title" : "Applied Geography", "id" : "ITEM-1", "issue" : "3", "issued" : { "date-parts" : [ [ "2010" ] ] }, "page" : "436-447", "title" : "Monitoring land cover change of the dryland forest landscape of Central Chile (1975-2008)", "type" : "article-journal", "volume" : "30" }, "uris" : [ "http://www.mendeley.com/documents/?uuid=dc87e7d5-e7cf-3ba2-93a2-615ac76e2a5d" ] }, { "id" : "ITEM-2", "itemData" : { "author" : [ { "dropping-particle" : "", "family" : "Hern\u00e1ndez", "given" : "A.", "non-dropping-particle" : "", "parse-names" : false, "suffix" : "" }, { "dropping-particle" : "", "family" : "Miranda", "given" : "M. D.", "non-dropping-particle" : "", "parse-names" : false, "suffix" : "" }, { "dropping-particle" : "", "family" : "Arellano", "given" : "E. C.", "non-dropping-particle" : "", "parse-names" : false, "suffix" : "" }, { "dropping-particle" : "", "family" : "Dobbs", "given" : "C.", "non-dropping-particle" : "", "parse-names" : false, "suffix" : "" } ], "container-title" : "Journal of Arid Environments", "id" : "ITEM-2", "issued" : { "date-parts" : [ [ "2016" ] ] }, "page" : "74-81", "title" : "Landscape trajectories and their effect on fragmentation for a Mediterranean semi-arid ecosystem in Central Chile", "type" : "article-journal", "volume" : "127" }, "uris" : [ "http://www.mendeley.com/documents/?uuid=e5979960-45a6-44d1-ba39-e0bbcfa14d7a" ] } ], "mendeley" : { "formattedCitation" : "(A. Hern\u00e1ndez, Miranda, Arellano, &amp; Dobbs, 2016; J. J. Schulz, Cayuela, Echeverria, Salas, &amp; Rey Benayas, 2010)", "manualFormatting" : "(Schulz et al., 2010, see also Hern\u00e1ndez et al., 2016)", "plainTextFormattedCitation" : "(A. Hern\u00e1ndez, Miranda, Arellano, &amp; Dobbs, 2016; J. J. Schulz, Cayuela, Echeverria, Salas, &amp; Rey Benayas, 2010)", "previouslyFormattedCitation" : "(A. Hern\u00e1ndez, Miranda, Arellano, &amp; Dobbs, 2016; J. J. Schulz, Cayuela, Echeverria, Salas, &amp; Rey Benayas, 2010)" }, "properties" : { "noteIndex" : 0 }, "schema" : "https://github.com/citation-style-language/schema/raw/master/csl-citation.json" }</w:instrText>
      </w:r>
      <w:r w:rsidR="004255E7" w:rsidRPr="008608AA">
        <w:fldChar w:fldCharType="separate"/>
      </w:r>
      <w:r w:rsidR="004255E7" w:rsidRPr="008608AA">
        <w:rPr>
          <w:noProof/>
        </w:rPr>
        <w:t>(Schulz et al., 2010, see also Hernández et al., 2016)</w:t>
      </w:r>
      <w:r w:rsidR="004255E7" w:rsidRPr="008608AA">
        <w:fldChar w:fldCharType="end"/>
      </w:r>
      <w:r w:rsidR="004255E7" w:rsidRPr="008608AA">
        <w:t xml:space="preserve">. Plantation forests have been shown to have a negative effect on annual stream flow in the biome </w:t>
      </w:r>
      <w:r w:rsidR="004255E7" w:rsidRPr="008608AA">
        <w:fldChar w:fldCharType="begin" w:fldLock="1"/>
      </w:r>
      <w:r w:rsidR="004255E7" w:rsidRPr="008608AA">
        <w:instrText>ADDIN CSL_CITATION { "citationItems" : [ { "id" : "ITEM-1", "itemData" : { "DOI" : "10.1016/j.jhydrol.2013.09.031", "ISBN" : "0022-1694", "ISSN" : "00221694", "abstract" : "Chile has developed an important economy based on some 2.6 million hectares of planted forests which have been questioned because of their impact on water resources. This report analyses the water response associated with forest plantation expansion and changes in tree species composition in six large river basins (from 94 to 1545km2) of pluvial regime located between 37??30' and 39??S in central-southern Chile, an area characterized by a Mediterranean climate. Long term discharge and precipitation records were obtained from national data bases and land uses for different time periods were generated using satellite images and digital maps. Annual water reductions were detected in three river basins where net increases in forested area affected more than the 16% of total catchment area. In the same basins and between the same periods reductions of summer runoff were also noticed although these decreases should be carefully considered as summer runoff also decreased in basins where no significant land use changes occurred. The analysis of the daily flow duration curves indicates that the highest effects occur for Q50% (daily discharge exceeded 50% of time) while Q80%, Q85% and Q90% are much less affected. Although forest plantation expansion and changes in tree species composition have the potential to reduce streamflow, since Q80% and Q90% are used to define permanent and continuous Water Rights according to the Chilean Water Code, it is possible that already existing permanent and continuous water rights could be only marginally affected by the increase of the planted area. The results presented in this document can be used to support discussions related to the development of water allocation regulations among competing economic water users. ?? 2013 Elsevier B.V.", "author" : [ { "dropping-particle" : "", "family" : "Iroum\u00e9", "given" : "Andr\u00e9s", "non-dropping-particle" : "", "parse-names" : false, "suffix" : "" }, { "dropping-particle" : "", "family" : "Palacios", "given" : "Hardin", "non-dropping-particle" : "", "parse-names" : false, "suffix" : "" } ], "container-title" : "Journal of Hydrology", "id" : "ITEM-1", "issued" : { "date-parts" : [ [ "2013" ] ] }, "page" : "113-125", "title" : "Afforestation and changes in forest composition affect runoff in large river basins with pluvial regime and Mediterranean climate, Chile", "type" : "article-journal", "volume" : "505" }, "uris" : [ "http://www.mendeley.com/documents/?uuid=2925e895-29f8-400e-b4ac-740778da722d" ] } ], "mendeley" : { "formattedCitation" : "(Iroum\u00e9 &amp; Palacios, 2013)", "plainTextFormattedCitation" : "(Iroum\u00e9 &amp; Palacios, 2013)", "previouslyFormattedCitation" : "(Iroum\u00e9 &amp; Palacios, 2013)" }, "properties" : { "noteIndex" : 0 }, "schema" : "https://github.com/citation-style-language/schema/raw/master/csl-citation.json" }</w:instrText>
      </w:r>
      <w:r w:rsidR="004255E7" w:rsidRPr="008608AA">
        <w:fldChar w:fldCharType="separate"/>
      </w:r>
      <w:r w:rsidR="004255E7" w:rsidRPr="008608AA">
        <w:rPr>
          <w:noProof/>
        </w:rPr>
        <w:t>(Iroumé &amp; Palacios, 2013)</w:t>
      </w:r>
      <w:r w:rsidR="004255E7" w:rsidRPr="008608AA">
        <w:fldChar w:fldCharType="end"/>
      </w:r>
      <w:r w:rsidR="004255E7" w:rsidRPr="008608AA">
        <w:t xml:space="preserve"> </w:t>
      </w:r>
      <w:r w:rsidR="004255E7" w:rsidRPr="008608AA">
        <w:rPr>
          <w:rFonts w:eastAsiaTheme="majorEastAsia"/>
          <w:shd w:val="clear" w:color="auto" w:fill="FFFFFF"/>
        </w:rPr>
        <w:t xml:space="preserve">and loss and </w:t>
      </w:r>
      <w:r w:rsidR="004255E7" w:rsidRPr="008608AA">
        <w:rPr>
          <w:rFonts w:eastAsiaTheme="majorEastAsia"/>
        </w:rPr>
        <w:t xml:space="preserve">fragmentation of native forests have negatively affected many plant and animal species </w:t>
      </w:r>
      <w:r w:rsidR="004255E7" w:rsidRPr="008608AA">
        <w:rPr>
          <w:rFonts w:eastAsiaTheme="majorEastAsia"/>
        </w:rPr>
        <w:fldChar w:fldCharType="begin" w:fldLock="1"/>
      </w:r>
      <w:r w:rsidR="004255E7" w:rsidRPr="008608AA">
        <w:rPr>
          <w:rFonts w:eastAsiaTheme="majorEastAsia"/>
        </w:rPr>
        <w:instrText>ADDIN CSL_CITATION { "citationItems" : [ { "id" : "ITEM-1", "itemData" : { "ISBN" : "0167-6369", "abstract" : "Monitoring the impacts of land-use practices is of particular importance with regard to biodiversity hotspots in developing countries. Here, conserving the high level of unique biodiversity is challenged by limited possibilities for data collection on site. Especially for such scenarios, assisting biodiversity assessments by remote sensing has proven useful. Remote sensing techniques can be applied to interpolate between biodiversity assessments taken in situ. Through this approach, estimates of biodiversity for entire landscapes can be produced, relating land-use intensity to biodiversity conditions. Such maps are a valuable basis for developing biodiversity conservation plans. Several approaches have been published so far to interpolate local biodiversity assessments in remote sensing data. In the following, a new approach is proposed. Instead of inferring biodiversity using environmental variables or the variability of spectral values, a hypothesis-based approach is applied. Empirical knowledge about biodiversity in relation to land-use is formalized and applied as ascription rules for image data. The method is exemplified for a large study site (over 67,000 km2) in central Chile, where forest industry heavily impacts plant diversity. The proposed approach yields a coefficient of correlation of 0.73 and produces a convincing estimate of regional biodiversity. The framework is broad enough to be applied to other study sites.", "author" : [ { "dropping-particle" : "", "family" : "Braun", "given" : "A. C.", "non-dropping-particle" : "", "parse-names" : false, "suffix" : "" }, { "dropping-particle" : "", "family" : "Koch", "given" : "B.", "non-dropping-particle" : "", "parse-names" : false, "suffix" : "" } ], "container-title" : "Environmental Monitoring and Assessment", "id" : "ITEM-1", "issue" : "10", "issued" : { "date-parts" : [ [ "2016" ] ] }, "page" : "564", "title" : "Estimating impacts of plantation forestry on plant biodiversity in southern Chile - a spatially explicit modelling approach", "type" : "article", "volume" : "188" }, "uris" : [ "http://www.mendeley.com/documents/?uuid=33d63859-dde2-3eed-ae18-37d8a7ab17d4" ] }, { "id" : "ITEM-2", "itemData" : { "DOI" : "10.1023/A:1008856912888", "ISBN" : "0960-3115", "ISSN" : "09603115", "PMID" : "17513870", "abstract" : "We describe the current state of the ruil (Nothofagus alessandrii) forest, a rare and endemic temperate forest in central Chile. Because of a long history of land-use, the ruil forest has suffered intense deforestation and fragmentation. By 1991, there remained 352.2 ha of forest in 183 fragments, most of them small and regular and a few large and irregular. From 1981 to 1991 the forest disappeared at a rate of 8.15% per year, to our knowledge, the highest value reported in forest fragmentation. Fragments are surrounded by a matrix of Pinus radiata plantations. Only 42 ha of forest (12% of the total area) are protected in a public reserve. An analysis of the composition of the forest shows that 13.8% of the total species are introduced. Pinus radiata is the only tree that has invaded this forest successfully. The 45.4% of native tree species are shade-tolerant and dependent on biotic pollinators and dispersers. These species should be the targets for future conservation efforts as they are particularly sensitive to fragmentation. We conclude that the current situation of the ruil forest is critical, and it will disappear in the next decade unless we conduct an active strategy of conservation, including integrated efforts both inside and outside protected areas and between landowners and public agencies.", "author" : [ { "dropping-particle" : "", "family" : "Bustamante", "given" : "Ramiro O.", "non-dropping-particle" : "", "parse-names" : false, "suffix" : "" }, { "dropping-particle" : "", "family" : "Castor", "given" : "Carmen", "non-dropping-particle" : "", "parse-names" : false, "suffix" : "" } ], "container-title" : "Biodiversity and Conservation", "id" : "ITEM-2", "issue" : "12", "issued" : { "date-parts" : [ [ "1998" ] ] }, "page" : "1607-1626", "title" : "The decline of an endangered temperate ecosystem: the ruil (&lt;i&gt;Nothofagus alessandrii&lt;/i&gt;) forest in central Chile", "type" : "article-journal", "volume" : "7" }, "uris" : [ "http://www.mendeley.com/documents/?uuid=e713d8bc-2ac9-4c1d-8481-d5173565fa21" ] }, { "id" : "ITEM-3", "itemData" : { "DOI" : "10.1080/0028825X.2015.1064974", "ISBN" : "0028-825X", "ISSN" : "11758643", "abstract" : "The evergreen tree Gomortega keule (Mol.) Baillon belongs to the monotypic family Gomortegaceae and produces edible fruits. This endangered species occurs along a 200 km stretch of the coastal ranges in central Chile, fragmented in small populations at 24 localities with difficult access. Within the geographic area the present work describes a population not reported previously. Most of the 73 individuals found showed several shoots or thin trunks re-growing from damaged trees under the canopy of a forestry plantation. Only three individuals had shoots with a diameter at breast height over 10 cm. The height of the trees was less than 10 m. In more than 80% of cases, cut or burnt remains of a central trunk indicated that the original trees were damaged. These observations, and the absence of flowers, fruits and seedlings, show that the entire population is the result of vegetative regeneration. Threats posed to the species by forestry activities and fire are discussed. \u00a9 2015 The Royal Society of New Zealand.", "author" : [ { "dropping-particle" : "", "family" : "Mu\u00f1oz-Concha", "given" : "D.", "non-dropping-particle" : "", "parse-names" : false, "suffix" : "" }, { "dropping-particle" : "", "family" : "Far\u00edas", "given" : "C.", "non-dropping-particle" : "", "parse-names" : false, "suffix" : "" }, { "dropping-particle" : "", "family" : "M\u00e9ndez", "given" : "J.", "non-dropping-particle" : "", "parse-names" : false, "suffix" : "" } ], "container-title" : "New Zealand Journal of Botany", "id" : "ITEM-3", "issue" : "4", "issued" : { "date-parts" : [ [ "2015" ] ] }, "page" : "224-230", "title" : "Notes on a new population of the endangered Chilean tree &lt;i&gt;Gomortega keule&lt;/i&gt;", "type" : "article-journal", "volume" : "53" }, "uris" : [ "http://www.mendeley.com/documents/?uuid=5dbc3b26-d114-39b0-9cef-9fba4fe30cea" ] }, { "id" : "ITEM-4", "itemData" : { "DOI" : "10.1515/mamm.2005.027", "ISBN" : "0025-1461", "ISSN" : "0025-1461", "abstract" : "The Maulino forest, located at the coastal range of south central Chile, has been severely disrupted by intense human activities. Currently, landscape is dominated by large extensions of plantations of Monterrey pine, where remnants of native forest are immersed. Here, we assess consequences of Maulino forest fragmentation and habitat replacement upon small mammal fauna. We describe habitat characteristics, small mammal's composition and abundance in native forests (fragmented and continuous), but also in Pinus plantation. Population and body condition were compared among habitats, along with movement among native and Pinus forests. Higher species richness was found in continuous forest comprising Abrothrix longipilis, A. olivaceus, Oligoryzomys longicaudatus, Irenomys tarsalis, Geoxus valdivianus, Rattus rattus, Octodon bridgesi, Thylamys elegans, and Dromiciops gliroides. Higher abundance was observed in fragmented forest and Pinus plantations, where A. longipilis, A. olivaceus, O. longicaudatus, and T. elegans accounted for 80% of total captures. Population structure and body size were not affected negatively by fragmentation and habitat replacement, although habitat characteristics differed among surveyed habitats. Fragmentation of Maulino forests seems to have a significant impact on overall small mammal's richness, threatening the persistence of rare taxa of small mammals. Conservation and management practices are discussed to favor protection of this highly endangered habitat.", "author" : [ { "dropping-particle" : "", "family" : "Saavedra", "given" : "B\u00e1rbara", "non-dropping-particle" : "", "parse-names" : false, "suffix" : "" }, { "dropping-particle" : "", "family" : "Simonetti", "given" : "J. A.", "non-dropping-particle" : "", "parse-names" : false, "suffix" : "" } ], "container-title" : "Mammalia", "id" : "ITEM-4", "issue" : "3-4", "issued" : { "date-parts" : [ [ "2005" ] ] }, "page" : "337-348", "title" : "Small mammals of Maulino forest remnants, a vanishing ecosystem of south-central Chile", "type" : "article-journal", "volume" : "69" }, "uris" : [ "http://www.mendeley.com/documents/?uuid=6b74d914-2996-3071-ad36-33d1288a2905" ] }, { "id" : "ITEM-5", "itemData" : { "DOI" : "10.1371/journal.pone.0066957", "ISBN" : "1932-6203 (Electronic)\\r1932-6203 (Linking)", "ISSN" : "19326203", "PMID" : "23776705", "abstract" : "Darwin's frogs (Rhinoderma darwinii and R. rufum) are two species of mouth-brooding frogs from Chile and Argentina. Here, we present evidence on the extent of declines, current distribution and conservation status of Rhinoderma spp.; including information on abundance, habitat and threats to extant Darwin's frog populations. All known archived Rhinoderma specimens were examined in museums in North America, Europe and South America. Extensive surveys were carried out throughout the historical ranges of R. rufum and R. darwinii from 2008 to 2012. Literature review and location data of 2,244 archived specimens were used to develop historical distribution maps for Rhinoderma spp. Based on records of sightings, optimal linear estimation was used to estimate whether R. rufum can be considered extinct. No extant R. rufum was found and our modelling inferred that this species became extinct in 1982 (95% CI, 1980-2000). Rhinoderma darwinii was found in 36 sites. All populations were within native forest and abundance was highest in Chilo\u00e9 Island, when compared with Coast, Andes and South populations. Estimated population size and density (five populations) averaged 33.2 frogs/population (range, 10.2-56.3) and 14.9 frogs/100 m(2) (range, 5.3-74.1), respectively. Our results provide further evidence that R. rufum is extinct and indicate that R. darwinii has declined to a much greater degree than previously recognised. Although this species can still be found across a large part of its historical range, remaining populations are small and severely fragmented. Conservation efforts for R. darwinii should be stepped up and the species re-classified as Endangered.", "author" : [ { "dropping-particle" : "", "family" : "Soto-Azat", "given" : "Claudio", "non-dropping-particle" : "", "parse-names" : false, "suffix" : "" }, { "dropping-particle" : "", "family" : "Valenzuela-S\u00e1nchez", "given" : "Andr\u00e9s", "non-dropping-particle" : "", "parse-names" : false, "suffix" : "" }, { "dropping-particle" : "", "family" : "Collen", "given" : "Ben", "non-dropping-particle" : "", "parse-names" : false, "suffix" : "" }, { "dropping-particle" : "", "family" : "Rowcliffe", "given" : "J. Marcus", "non-dropping-particle" : "", "parse-names" : false, "suffix" : "" }, { "dropping-particle" : "", "family" : "Veloso", "given" : "Alberto", "non-dropping-particle" : "", "parse-names" : false, "suffix" : "" }, { "dropping-particle" : "", "family" : "Cunningham", "given" : "Andrew A.", "non-dropping-particle" : "", "parse-names" : false, "suffix" : "" } ], "container-title" : "PLoS ONE", "id" : "ITEM-5", "issue" : "6", "issued" : { "date-parts" : [ [ "2013" ] ] }, "page" : "e66957", "title" : "The population decline and extinction of Darwin's frogs", "type" : "article-journal", "volume" : "8" }, "uris" : [ "http://www.mendeley.com/documents/?uuid=a4ed7503-4dc6-3029-9f49-e673cef66af7" ] }, { "id" : "ITEM-6", "itemData" : { "DOI" : "10.1017/S0030605304000742", "ISBN" : "0030-6053", "ISSN" : "0030-6053", "PMID" : "375", "abstract" : "Depending on the mosaic of habitats that is created, forest fragmentation can reduce the abundance and diversity of forest birds. Temperate deciduous forests in South America are rapidly being replaced by pine plantations, causing changes in habitats for both breeding and migrant birds. We examined differences in avian species richness and abundance in three areas: a reserve with continuous tracts of native forest, forest fragments and pine plantations. Four species were negatively affected by fragmentation, with their abundance declining from continuous forest to pine plantations. Fourteen species were not affected by fragmentation and eight had significantly increased abundance in pine plantations compared to continuous forest. Overall abundance in pooled and ground&amp;sol;understorey birds was higher in forest fragments and pine plantations compared to continuous forest. The abundance of granivorous species was higher in the pine plantations than in the forest reserve, but the abundance of insectivorous species was higher in the forest reserve and in forest fragments than in pine plantations. Thus, forest fragmentation affects birds differentially according to their feeding ecology.", "author" : [ { "dropping-particle" : "", "family" : "Vergara", "given" : "Pablo M.", "non-dropping-particle" : "", "parse-names" : false, "suffix" : "" }, { "dropping-particle" : "", "family" : "Simonetti", "given" : "Javier A.", "non-dropping-particle" : "", "parse-names" : false, "suffix" : "" } ], "container-title" : "Oryx", "id" : "ITEM-6", "issue" : "4", "issued" : { "date-parts" : [ [ "2004" ] ] }, "page" : "383-388", "title" : "Avian responses to fragmentation of the Maulino forest in central Chile", "type" : "article-journal", "volume" : "38" }, "uris" : [ "http://www.mendeley.com/documents/?uuid=a25f8dde-50c3-308d-b3c8-961e4d8a2415" ] }, { "id" : "ITEM-7", "itemData" : { "DOI" : "10.1007/s11284-013-1037-x", "ISBN" : "0912-3814", "ISSN" : "09123814", "abstract" : "The abundance of woodland birds in fragmented forest landscapes may depend on the properties of patch networks. Understanding the consequences of deforestation on woodland birds, therefore, necessarily requires determining which changes in landscape structure make a major contribution to the degradation and subdivision of patch networks. In this study, we addressed how accelerated deforestation in central Chile has modified the landscape structure and function for thorn-tailed rayaditos\u2014a woodland specialist bird. Using a graphical approach based on the habitat use and movement patterns of rayaditos, we quantified the reduction of the internal connectivity of components (i.e., connected patch networks) in the last two decades and determined the main mechanisms responsible for this connectivity loss. Forest cover decreased 61.7 % between 1989 and 2009. The component size, the fraction of components with \u20211 occupied patches and the number of patches per component experienced a large decline during the study period. Over time, most forest cover (ca. 80 %) was contained in only two components. The connectivity of components decreased steeply by 90 %. Only the loss of large patches made a highly significant contribution to explaining changes in connectivity, while the removal of stepping stones was marginally significant. The conversion of forest both to shrubland and to peri-urban areas were the only landuse variables explaining connectivity change with effects that changed over time. Conservation measures to ensure persistence of rayaditos populations in central Chile should be focused on the retention of key elements for connectivity.", "author" : [ { "dropping-particle" : "", "family" : "Vergara", "given" : "Pablo M.", "non-dropping-particle" : "", "parse-names" : false, "suffix" : "" }, { "dropping-particle" : "", "family" : "P\u00e9rez-Hern\u00e1ndez", "given" : "Christian G.", "non-dropping-particle" : "", "parse-names" : false, "suffix" : "" }, { "dropping-particle" : "", "family" : "Hahn", "given" : "Ingo J.", "non-dropping-particle" : "", "parse-names" : false, "suffix" : "" }, { "dropping-particle" : "", "family" : "Soto", "given" : "Gerardo E.", "non-dropping-particle" : "", "parse-names" : false, "suffix" : "" } ], "container-title" : "Ecological Research", "id" : "ITEM-7", "issue" :</w:instrText>
      </w:r>
      <w:r w:rsidR="004255E7" w:rsidRPr="00CE0821">
        <w:rPr>
          <w:rFonts w:eastAsiaTheme="majorEastAsia"/>
          <w:lang w:val="es-CO"/>
        </w:rPr>
        <w:instrText xml:space="preserve"> "3", "issued" : { "date-parts" : [ [ "2013" ] ] }, "page" : "481-492", "title" : "Deforestation in central Chile causes a rapid decline in landscape connectivity for a forest specialist bird species", "type" : "article-journal", "volume" : "28" }, "uris" : [ "http://www.mendeley.com/documents/?uuid=e7266e3f-1cb9-3949-b5d6-eca40666a554" ] } ], "mendeley" : { "formattedCitation" : "(Braun &amp; Koch, 2016; Bustamante &amp; Castor, 1998; Mu\u00f1oz-Concha, Far\u00edas, &amp; M\u00e9ndez, 2015; Saavedra &amp; Simonetti, 2005; Soto-Azat et al., 2013; Vergara, P\u00e9rez-Hern\u00e1ndez, Hahn, &amp; Soto, 2013; Vergara &amp; Simonetti, 2004)", "manualFormatting" : "(Braun &amp; Koch, 2016; Bustamante &amp; Castor, 1998; Mu\u00f1oz-Concha et al., 2015; Saavedra &amp; Simonetti, 2005; Soto-Azat et al., 2013; Vergara et al., 2013; Vergara &amp; Simonetti, 2004)", "plainTextFormattedCitation" : "(Braun &amp; Koch, 2016; Bustamante &amp; Castor, 1998; Mu\u00f1oz-Concha, Far\u00edas, &amp; M\u00e9ndez, 2015; Saavedra &amp; Simonetti, 2005; Soto-Azat et al., 2013; Vergara, P\u00e9rez-Hern\u00e1ndez, Hahn, &amp; Soto, 2013; Vergara &amp; Simonetti, 2004)", "previouslyFormattedCitation" : "(Braun &amp; Koch, 2016; Bustamante &amp; Castor, 1998; Mu\u00f1oz-Concha, Far\u00edas, &amp; M\u00e9ndez, 2015; Saavedra &amp; Simonetti, 2005; Soto-Azat et al., 2013; Vergara, P\u00e9rez-Hern\u00e1ndez, Hahn, &amp; Soto, 2013; Vergara &amp; Simonetti, 2004)" }, "properties" : { "noteIndex" : 0 }, "schema" : "https://github.com/citation-style-language/schema/raw/master/csl-citation.json" }</w:instrText>
      </w:r>
      <w:r w:rsidR="004255E7" w:rsidRPr="008608AA">
        <w:rPr>
          <w:rFonts w:eastAsiaTheme="majorEastAsia"/>
        </w:rPr>
        <w:fldChar w:fldCharType="separate"/>
      </w:r>
      <w:r w:rsidR="004255E7" w:rsidRPr="00CE0821">
        <w:rPr>
          <w:rFonts w:eastAsiaTheme="majorEastAsia"/>
          <w:noProof/>
          <w:lang w:val="es-CO"/>
        </w:rPr>
        <w:t>(Braun &amp; Koch, 2016; Bustamante &amp; Castor, 1998; Muñoz-Concha et al., 2015; Saavedra &amp; Simonetti, 2005; Soto-Azat et al., 2013; Vergara et al., 2013; Vergara &amp; Simonetti, 2004)</w:t>
      </w:r>
      <w:r w:rsidR="004255E7" w:rsidRPr="008608AA">
        <w:rPr>
          <w:rFonts w:eastAsiaTheme="majorEastAsia"/>
        </w:rPr>
        <w:fldChar w:fldCharType="end"/>
      </w:r>
      <w:r w:rsidR="004255E7" w:rsidRPr="00CE0821">
        <w:rPr>
          <w:lang w:val="es-CO"/>
        </w:rPr>
        <w:t xml:space="preserve"> </w:t>
      </w:r>
      <w:r w:rsidR="004255E7" w:rsidRPr="00CE0821">
        <w:rPr>
          <w:rFonts w:eastAsiaTheme="majorEastAsia"/>
          <w:lang w:val="es-CO"/>
        </w:rPr>
        <w:t xml:space="preserve">and pollination services to native plants </w:t>
      </w:r>
      <w:r w:rsidR="004255E7" w:rsidRPr="008608AA">
        <w:rPr>
          <w:rFonts w:eastAsiaTheme="majorEastAsia"/>
        </w:rPr>
        <w:fldChar w:fldCharType="begin" w:fldLock="1"/>
      </w:r>
      <w:r w:rsidR="004255E7" w:rsidRPr="00CE0821">
        <w:rPr>
          <w:rFonts w:eastAsiaTheme="majorEastAsia"/>
          <w:lang w:val="es-CO"/>
        </w:rPr>
        <w:instrText>ADDIN CSL_CITATION { "citationItems" : [ { "id" : "ITEM-1", "itemData" : { "DOI" : "10.1007/s10531-004-6683-4", "ISBN" : "0960-3115", "ISSN" : "09603115", "abstract" : "We studied the pollination and reproductive success in continuous and fragmented populations of Lapageria rosea, a self-compatible plant endemic to temperate forests of Chile. Pollinator abundance, visitation rates, flower abundance, nectar volume and concentration, pollen germination and fruit and seed production, were compared between continuous forest of 145 ha and four forest fragments of 6, 3, 3, and 1 ha respectively, surrounded by mature pine plantations of Pinus radiata. Flower abundance was lower in three out of four forest fragments relative to continuous forest. Nectar volume and sugar concentration did not differ between flowers in the two habitats. Pollinators of L. rosea, the hummingbird Sephanoides sephaniodes and bumblebee Bombus dahlbomii were less abundant and visited flowers of L. rosea at lower rates in fragments than in continuous forest. In addition, in vitro rates of pollen germination were lower for flowers in forest fragments. The number of seeds per fruit was also lower in forest fragments. We suggest that fragmentation affects the reproductive success of L. rosea, low</w:instrText>
      </w:r>
      <w:r w:rsidR="004255E7" w:rsidRPr="008608AA">
        <w:rPr>
          <w:rFonts w:eastAsiaTheme="majorEastAsia"/>
          <w:lang w:val="es-CO"/>
        </w:rPr>
        <w:instrText>ering the total numbers of seeds produced and possibly compromising long term persistence of fragmented populations.", "author" : [ { "dropping-particle" : "", "family" : "Valdivia", "given" : "Carlos E.", "non-dropping-particle" : "", "parse-names" : false, "suffix" : "" }, { "dropping-particle" : "", "family" : "Simonetti", "given" : "Javier A.", "non-dropping-particle" : "", "parse-names" : false, "suffix" : "" }, { "dropping-particle" : "", "family" : "Henr\u00edquez", "given" : "Carolina A.", "non-dropping-particle" : "", "parse-names" : false, "suffix" : "" } ], "container-title" : "Biodiversity and Conservation", "id" : "ITEM-1", "issue" : "5", "issued" : { "date-parts" : [ [ "2006" ] ] }, "page" : "1845-1856", "title" : "Depressed pollination of &lt;i&gt;Lapageria rosea&lt;/i&gt; Ruiz et Pav. (Philesiaceae) in the fragmented temperate rainforest of southern South America", "type" : "article-journal", "volume" : "15" }, "uris" : [ "http://www.mendeley.com/documents/?uuid=58159f5e-b437-3e43-8f68-af1571e68809" ] } ], "mendeley" : { "formattedCitation" : "(Valdivia, Simonetti, &amp; Henr\u00edquez, 2006)", "manualFormatting" : "(Valdivia et al., 2006)", "plainTextFormattedCitation" : "(Valdivia, Simonetti, &amp; Henr\u00edquez, 2006)", "previouslyFormattedCitation" : "(Valdivia, Simonetti, &amp; Henr\u00edquez, 2006)" }, "properties" : { "noteIndex" : 0 }, "schema" : "https://github.com/citation-style-language/schema/raw/master/csl-citation.json" }</w:instrText>
      </w:r>
      <w:r w:rsidR="004255E7" w:rsidRPr="008608AA">
        <w:rPr>
          <w:rFonts w:eastAsiaTheme="majorEastAsia"/>
        </w:rPr>
        <w:fldChar w:fldCharType="separate"/>
      </w:r>
      <w:r w:rsidR="004255E7" w:rsidRPr="008608AA">
        <w:rPr>
          <w:rFonts w:eastAsiaTheme="majorEastAsia"/>
          <w:noProof/>
          <w:lang w:val="es-CO"/>
        </w:rPr>
        <w:t>(Valdivia et al., 2006)</w:t>
      </w:r>
      <w:r w:rsidR="004255E7" w:rsidRPr="008608AA">
        <w:rPr>
          <w:rFonts w:eastAsiaTheme="majorEastAsia"/>
        </w:rPr>
        <w:fldChar w:fldCharType="end"/>
      </w:r>
      <w:r w:rsidR="004255E7" w:rsidRPr="008608AA">
        <w:rPr>
          <w:rFonts w:eastAsiaTheme="majorEastAsia"/>
          <w:lang w:val="es-CO"/>
        </w:rPr>
        <w:t xml:space="preserve">. </w:t>
      </w:r>
    </w:p>
    <w:p w14:paraId="5B7CA443" w14:textId="74F7B12E" w:rsidR="001C5394" w:rsidRPr="008608AA" w:rsidRDefault="004255E7" w:rsidP="0063629E">
      <w:pPr>
        <w:widowControl w:val="0"/>
        <w:autoSpaceDE w:val="0"/>
        <w:autoSpaceDN w:val="0"/>
        <w:adjustRightInd w:val="0"/>
        <w:spacing w:after="120"/>
      </w:pPr>
      <w:r w:rsidRPr="008608AA">
        <w:rPr>
          <w:rFonts w:eastAsiaTheme="majorEastAsia"/>
        </w:rPr>
        <w:t xml:space="preserve">Among the new insect invaders </w:t>
      </w:r>
      <w:r w:rsidRPr="008608AA">
        <w:rPr>
          <w:rFonts w:eastAsiaTheme="majorEastAsia"/>
        </w:rPr>
        <w:fldChar w:fldCharType="begin" w:fldLock="1"/>
      </w:r>
      <w:r w:rsidRPr="008608AA">
        <w:rPr>
          <w:rFonts w:eastAsiaTheme="majorEastAsia"/>
        </w:rPr>
        <w:instrText>ADDIN CSL_CITATION { "citationItems" : [ { "id" : "ITEM-1", "itemData" : { "DOI" : "10.4067/S0718-16202010000300013", "ISBN" : "0304-5609", "ISSN" : "0718-1620", "abstract" : "A. Grez, T. Zaviezo, G. Gonzalez, and S. Rothmann. 2010. Harmonia axyridis in Chile: a new threat. Cien. Inv. Agr. 37(3): 145-149. In this work, we document the presence of Harmonia axyridis in Chile, an invasive coccinellid species that has had negative effects in other regions of the world, such as: impacts on non-target arthropods, invasions of houses and fruit damage. This species has been found in the last three years in the Metropolitan and Valparaiso regions, in crops, pine plantations and inside houses. We warn about the consequences of the introduction of this species to Chile and claim to take actions to avoid its spread in the country.", "author" : [ { "dropping-particle" : "", "family" : "Grez", "given" : "Audrey", "non-dropping-particle" : "", "parse-names" : false, "suffix" : "" }, { "dropping-particle" : "", "family" : "Zaviezo", "given" : "T.", "non-dropping-particle" : "", "parse-names" : false, "suffix" : "" }, { "dropping-particle" : "", "family" : "Gonzalez", "given" : "G.", "non-dropping-particle" : "", "parse-names" : false, "suffix" : "" }, { "dropping-particle" : "", "family" : "Rothman", "given" : "S.", "non-dropping-particle" : "", "parse-names" : false, "suffix" : "" } ], "container-title" : "Ciencia e Investigacion Agraria", "id" : "ITEM-1", "issue" : "3", "issued" : { "date-parts" : [ [ "2010" ] ] }, "page" : "145-149", "title" : "&lt;i&gt;Harmonia axyridis&lt;/i&gt; in Chile: a new threat", "type" : "article-journal", "volume" : "37" }, "uris" : [ "http://www.mendeley.com/documents/?uuid=9689c22a-ae62-362e-865a-2fec4504fe76" ] }, { "id" : "ITEM-2", "itemData" : { "DOI" : "10.4067/S0717-92002011000300012", "author" : [ { "dropping-particle" : "", "family" : "Ide", "given" : "S. M.", "non-dropping-particle" : "", "parse-names" : false, "suffix" : "" }, { "dropping-particle" : "", "family" : "Ruiz", "given" : "C. G.", "non-dropping-particle" : "", "parse-names" : false, "suffix" : "" }, { "dropping-particle" : "", "family" : "Sandoval", "given" : "A. C.", "non-dropping-particle" : "", "parse-names" : false, "suffix" : "" }, { "dropping-particle" : "", "family" : "Valenzuela", "given" : "J. E.", "non-dropping-particle" : "", "parse-names" : false, "suffix" : "" } ], "container-title" : "Bosque", "id" : "ITEM-2", "issue" : "3", "issued" : { "date-parts" : [ [ "2011" ] ] }, "page" : "309-313", "title" : "Detecci\u00f3n de &lt;i&gt;Thaumastocoris peregrinus&lt;/i&gt; (Hemiptera: Thaumastocoridae) asociado a &lt;i&gt;Eucalyptus spp.&lt;/i&gt; en Chile", "type" : "article-journal", "volume" : "32" }, "uris" : [ "http://www.mendeley.com/documents/?uuid=62a40c01-e41b-3e23-9e94-040fdce8ef9f" ] }, { "id" : "ITEM-3", "itemData" : { "DOI" : "10.1046/j.1442-9993.2001.01131.x", "ISBN" : "1442-9985", "ISSN" : "1442-9985", "abstract" : "Chile has more than 330 000 ha of eucalypt plantations, predominantly in the eighth to the tenth region (approximately 34 to 41 degreesS). Eucalyptus globulus ssp. globulus is the principal eucalypt planted, but Eucalyptus nitens, Eucalyptus camaldulensis, Eucalyptus delegatensis and Eucalyptus viminalis are also grown. There are four main insect pests that have been detected attacking these eucalypts in Chile: the defoliator Gonipterus scutellatus, the bark borers Phoracantha semipunctata and Phoracantha recurva and the native wood borer Chilecomadia valdiviana. More recently, Thyrinteina arnobia and Ctenarytaina eucalypti have been detected. Gonipterus scutellatus and P. recurva have been discovered in Chile within the last 2 years and it is hoped they may still be eliminated using a combination of biological control and chemical control of local populations. Phoracantha recurva and P. semipunctata are not considered a problem because attack only occurs in areas of water deficit, away from current eucalypt plantations. Chilecomadia valdiviana can damage plantations of E. nitens but rarely attacks other eucalypts. Chilecomadia valdiviana may cause future problems through further host shifts. Thyrinteina arnobia has only been detected during quarantine surveillance in the port of Valparaiso. Ctenarytaina eucalypti, recently detected in August 1999, had an initial limited distribution in the first region. However, since then, this insect has expanded its distribution south up to the tenth region. None of the insects recorded on eucalypts in Chile to date currently presents a threat to the eucalypt industry. It is also essential that additional resources are made available for their continued monitoring and control, particularly given that the 44% of plantations are held by small to medium property owners that would otherwise be unable to control a serious outbreak because of economic restrictions.", "author" : [ { "dropping-particle" : "", "family" : "Lanfranco", "given" : "D.", "non-dropping-particle" : "", "parse-names" : false, "suffix" : "" }, { "dropping-particle" : "", "family" : "Dungey", "given" : "H. S.", "non-dropping-particle" : "", "parse-names" : false, "suffix" : "" } ], "container-title" : "Austral Ecology", "id" : "ITEM-3", "issue" : "5", "issued" : { "date-parts" : [ [ "2001" ] ] }, "page" : "477-481", "title" : "Insect damage in &lt;i&gt;Eucalyptus&lt;/i&gt;: a review of plantations in Chile", "type" : "article-journal", "volume" : "26" }, "uris" : [ "http://www.mendeley.com/documents/?uuid=10a80719-0e83-4900-a875-5d5a17662d61" ] }, { "id" : "ITEM-4", "itemData" : { "DOI" : "10.3896/IBRA.1.50.1.02", "ISBN" : "0021-8839", "ISSN" : "0021-8839", "abstract" : "In the present work, we update floral associations and geographical distribution for four species of Bombus present in Chile, two native (B. dahlbomii and B. funebris) and two introduced species (B. terrestris and B. ruderatus). We also examine possible associations among native or introduced bees with native or introduced plant species. We found a significant non-random plant association among non-native bumble bee species and non-native plant species. Because of the distributional overlap between B. dahlbomii with the two non-native bee species, it is likely that B. dahlbomii interacts with these non-native bees", "author" : [ { "dropping-particle" : "", "family" : "Montalva", "given" : "Jos\u00e9", "non-dropping-particle" : "", "parse-names" : false, "suffix" : "" }, { "dropping-particle" : "", "family" : "Dudley", "given" : "Leah", "non-dropping-particle" : "", "parse-names" : false, "suffix" : "" }, { "dropping-particle" : "", "family" : "Arroyo", "given" : "Mary Kalin", "non-dropping-particle" : "", "parse-names" : false, "suffix" : "" }, { "dropping-particle" : "", "family" : "Retamales", "given" : "Hern\u00e1n", "non-dropping-particle" : "", "parse-names" : false, "suffix" : "" }, { "dropping-particle" : "", "family" : "Abrahamovich", "given" : "Alberto H", "non-dropping-particle" : "", "parse-names" : false, "suffix" : "" } ], "container-title" : "Journal of Apicultural Research", "id" : "ITEM-4", "issue" : "1", "issued" : { "date-parts" : [ [ "2011" ] ] }, "page" : "11-21", "title" : "Geographic distribution and associated flora of native and introduced bumble bees (&lt;i&gt;Bombus&lt;/i&gt; spp.) in Chile", "type" : "article-journal", "volume" : "50" }, "uris" : [ "http://www.mendeley.com/documents/?uuid=31bfc98d-200f-3d09-8559-6bae22e803d3" ] } ], "mendeley" : { "formattedCitation" : "(Grez, Zaviezo, Gonzalez, &amp; Rothman, 2010; Ide, Ruiz, Sandoval, &amp; Valenzuela, 2011; Lanfranco &amp; Dungey, 2001; Jos\u00e9 Montalva, Dudley, Arroyo, Retamales, &amp; Abrahamovich, 2011)", "manualFormatting" : "(Grez et al., 2010; Ide et al., 2011; Lanfranco &amp; Dungey, 2001; Montalva et al., 2011)", "plainTextFormattedCitation" : "(Grez, Zaviezo, Gonzalez, &amp; Rothman, 2010; Ide, Ruiz, Sandoval, &amp; Valenzuela, 2011; Lanfranco &amp; Dungey, 2001; Jos\u00e9 Montalva, Dudley, Arroyo, Retamales, &amp; Abrahamovich, 2011)", "previouslyFormattedCitation" : "(Grez, Zaviezo, Gonzalez, &amp; Rothman, 2010; Ide, Ruiz, Sandoval, &amp; Valenzuela, 2011; Lanfranco &amp; Dungey, 2001; Jos\u00e9 Montalva, Dudley, Arroyo, Retamales, &amp; Abrahamovich, 2011)"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(Grez et al., 2010; Ide et al., 2011; Lanfranco &amp; Dungey, 2001; Montalva et al., 2011)</w:t>
      </w:r>
      <w:r w:rsidRPr="008608AA">
        <w:rPr>
          <w:rFonts w:eastAsiaTheme="majorEastAsia"/>
        </w:rPr>
        <w:fldChar w:fldCharType="end"/>
      </w:r>
      <w:r w:rsidRPr="008608AA">
        <w:rPr>
          <w:rFonts w:eastAsiaTheme="majorEastAsia"/>
        </w:rPr>
        <w:t xml:space="preserve"> and introduced fungal diseases </w:t>
      </w:r>
      <w:r w:rsidRPr="008608AA">
        <w:rPr>
          <w:rFonts w:eastAsiaTheme="majorEastAsia"/>
        </w:rPr>
        <w:fldChar w:fldCharType="begin" w:fldLock="1"/>
      </w:r>
      <w:r w:rsidRPr="008608AA">
        <w:rPr>
          <w:rFonts w:eastAsiaTheme="majorEastAsia"/>
        </w:rPr>
        <w:instrText>ADDIN CSL_CITATION { "citationItems" : [ { "id" : "ITEM-1", "itemData" : { "DOI" : "10.1111/j.1365-3059.2008.01893.x", "ISBN" : "1365-3059", "ISSN" : "00320862", "abstract" : "During the course of the past three years, a new disease of Pinus radiata, referred to as 'Dano Foliar del Pino' (DFP) has appeared in the Arauco province of Chile and subsequently spread to other areas. The disease is typified by needle infections, exudation of resin at the bases of the needle brachyblasts and, in younger trees, necrotic lesions in the cambium, which eventually girdle the branches. The disease causes the death of young seedlings and mature trees can also succumb after a few years of successive infection, probably hastened by opportunistic fungi such as Diplodia pinea. Isolations on selective medium for Phytophthora spp. led to the consistent isolation of a Phytophthora sp. from needle tissue. DNA sequence comparisons for the ITS rDNA and cox II gene regions, and morphological observation showed that this oomycete represents a previously undescribed species for which the name Phytophthora pinifolia sp. nov. is provided. This new species is characterized by unbranched sporangiophores, and non-papillate, sub-globose to ovoid sporangia that are occasionally free from the sporangiophore with medium length pedicels. Despite using a number of oospore inducing techniques, oogonia/antheridia were not observed in isolates of P. pinifolia. Pathogenicity trials with P. pinifolia showed that it is pathogenic to P. radiata and causes rapid death of the succulent apical parts of young plants. Phytophthora pinifolia is the first Phytophthora known to be associated with needles and shoots of a Pinus sp. and its aerial habit is well matched with the occurrence and symptoms of DFP in Chile.", "author" : [ { "dropping-particle" : "", "family" : "Dur\u00e1n", "given" : "A.", "non-dropping-particle" : "", "parse-names" : false, "suffix" : "" }, { "dropping-particle" : "", "family" : "Gryzenhout", "given" : "M.", "non-dropping-particle" : "", "parse-names" : false, "suffix" : "" }, { "dropping-particle" : "", "family" : "Slippers", "given" : "B.", "non-dropping-particle" : "", "parse-names" : false, "suffix" : "" }, { "dropping-particle" : "", "family" : "Ahumada", "given" : "R.", "non-dropping-particle" : "", "parse-names" : false, "suffix" : "" }, { "dropping-particle" : "", "family" : "Rotella", "given" : "A.", "non-dropping-particle" : "", "parse-names" : false, "suffix" : "" }, { "dropping-particle" : "", "family" : "Flores", "given" : "F.", "non-dropping-particle" : "", "parse-names" : false, "suffix" : "" }, { "dropping-particle" : "", "family" : "Wingfield", "given" : "B. D.", "non-dropping-particle" : "", "parse-names" : false, "suffix" : "" }, { "dropping-particle" : "", "family" : "Wingfield", "given" : "M. J.", "non-dropping-particle" : "", "parse-names" : false, "suffix" : "" } ], "container-title" : "Plant Pathology", "id" : "ITEM-1", "issue" : "4", "issued" : { "date-parts" : [ [ "2008" ] ] }, "page" : "715-727", "title" : "&lt;i&gt;Phytophthora pinifolia&lt;/i&gt; sp. nov. associated with a serious needle disease of Pinus radiata in Chile", "type" : "article-journal", "volume" : "57" }, "uris" : [ "http://www.mendeley.com/documents/?uuid=5970d150-5f86-3042-93de-dfda5fa6dc94" ] }, { "id" : "ITEM-2", "itemData" : { "DOI" : "10.2989/SF.2009.71.2.3.818", "ISBN" : "2070-2620", "ISSN" : "2070-2620", "abstract" : "The Botryosphaeriaceae cause endophytic infections of leaves and bark of various trees, including Eucalyptus, and they apparently persist in this state for extended periods of time. Under conditions of stress, these fungi cause many different disease symptoms on Eucalyptus, of which stem and branch cankers and die-back are the most prominent. Given their cryptic, endophytic nature, the Botryosphaeriaceae are easily overlooked when moving seeds and plants around the world. It is, therefore, not surprising to see a growing number of examples of introductions of Botryosphaeriaceae into new environments. In the past, three species were commonly reported from Eucalyptus, namely Botryosphaeria dothidea, Neofusicoccum ribis (reported as B. ribis) and Lasiodiplodia theobromae. It is now known that B. dothidea and N. ribis are generally rare on Eucalyptus, and that Aplosporella yalgorensis, B. mamane, N. parvum, N. eucalyptorum, N. eucalypticola, N. australe, N. macroclavatum, N. andinum, N. mangiferum, Dichomera eucalypti, Dichomera versiformis, Fusicoccum ramosum, Pseudofusicoccum stromaticum, P. adansoniae, P. ardesiarum, P. kimberleyense, Lasiodiplodia crassispora, L. gonubiensis, L. pseudotheobromae and L. rubropurpurea also infect this host. Interestingly, different species dominate on Eucalyptus in different regions of the world, irrespective of whether other species occur in that environment or not. As examples, in parts of eastern Australia, N. eucalyptorum and N. eucalypticola dominate, although N. australe is common on Acacia spp. in this area, while in Western Australia N. australe dominates. In South Africa and Chile N. parvum, N. eucalyptorum and N. eucalypticola are common, despite the presence of N. ribis and N. australe on related hosts such as Syzygium. In Venezuela, there are five other species not common on Eucalyptus elsewhere, but L. theobromae dominates. In Colombia, B. dothidea and N. ribis, and in Uganda and Ethiopia, L. theobromae and N. parvum, are most common. These fascinating patterns of distribution are explored, while their pathogenicity and potential influence on Eucalyptus plantations and surrounding native plant communities are considered.", "author" : [ { "dropping-particle" : "", "family" : "Slippers", "given" : "B.", "non-dropping-particle" : "", "parse-names" : false, "suffix" : "" }, { "dropping-particle" : "", "family" : "Burgess", "given" : "T.", "non-dropping-particle" : "", "parse-names" : false, "suffix" : "" }, { "dropping-particle" : "", "family" : "Pavlic", "given" : "D.", "non-dropping-particle" : "", "parse-names" : false, "suffix" : "" }, { "dropping-particle" : "", "family" : "Ahumada", "given" : "R.", "non-dropping-particle" : "", "parse-names" : false, "suffix" : "" }, { "dropping-particle" : "", "family" : "Maleme", "given" : "H.", "non-dropping-particle" : "", "parse-names" : false, "suffix" : "" }, { "dropping-particle" : "", "family" : "Mohali", "given" : "S.", "non-dropping-particle" : "", "parse-names" : false, "suffix" : "" }, { "dropping-particle" : "", "family" : "Rodas", "given" : "C.", "non-dropping-particle" : "", "parse-names" : false, "suffix" : "" }, { "dropping-particle" : "", "family" : "Wingfield", "given" : "M.J.", "non-dropping-particle" : "", "parse-names" : false, "suffix" : "" } ], "container-title" : "Southern Forests: a Journal of Forest Science", "id" : "ITEM-2", "issue" : "2", "issued" : { "date-parts" : [ [ "2009" ] ] }, "page" : "101-110", "title" : "A diverse assemblage of Botryosphaeriaceae infect &lt;i&gt;Eucalyptus&lt;/i&gt; in native and non-native environments", "type" : "article-journal", "volume" : "71" }, "uris" : [ "http://www.mendeley.com/documents/?uuid=853340f8-1042-3605-b2af-323010125cae" ] } ], "mendeley" : { "formattedCitation" : "(Dur\u00e1n et al., 2008; Slippers et al., 2009)", "plainTextFormattedCitation" : "(Dur\u00e1n et al., 2008; Slippers et al., 2009)", "previouslyFormattedCitation" : "(Dur\u00e1n et al., 2008; Slippers et al., 2009)"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(Durán et al., 2008; Slippers et al., 2009)</w:t>
      </w:r>
      <w:r w:rsidRPr="008608AA">
        <w:rPr>
          <w:rFonts w:eastAsiaTheme="majorEastAsia"/>
        </w:rPr>
        <w:fldChar w:fldCharType="end"/>
      </w:r>
      <w:r w:rsidRPr="008608AA">
        <w:rPr>
          <w:rFonts w:eastAsiaTheme="majorEastAsia"/>
        </w:rPr>
        <w:t xml:space="preserve">, </w:t>
      </w:r>
      <w:r w:rsidRPr="008608AA">
        <w:t xml:space="preserve">some are spreading at remarkable rates </w:t>
      </w:r>
      <w:r w:rsidRPr="008608AA">
        <w:fldChar w:fldCharType="begin" w:fldLock="1"/>
      </w:r>
      <w:r w:rsidRPr="008608AA">
        <w:instrText>ADDIN CSL_CITATION { "citationItems" : [ { "id" : "ITEM-1", "itemData" : { "DOI" : "10.1111/ddi.12455", "ISBN" : "1366-9516", "ISSN" : "14724642", "PMID" : "20163302677", "abstract" : "Aim: Biological invasions are one of the major threats to biodiversity. Usually highly disturbed anthropogenic habitats favour invasion by alien species such as the coccinellid Harmonia axyridis. The spread and impact of this species has been documented in Europe and North America, but no information exists for South America. The aims of this study were to: (1) document the process of invasion of H. axyridis in Chile, (2) compare the abundance of H. axyridis in different habitats with varying degrees of disturbance and (3) assess change in the coccinellid assemblages in alfalfa fields over the 6 years following invasion. Location: Chile. Methods: The spread of H. axyridis was estimated using information from citizen scientists alongside records from the National Pest Surveillance System. The abundance of H. axyridis in different habitat types and of all coccinellids in alfalfa fields was assessed using yellow sticky traps. In alfalfa, the variations in species richness, Shannon and Simpson diversity and equitability indices through time were compared. Results: Harmonia axyridis has rapidly increased in distribution: there have been 1875 records along 2863 km up to 2015 following the first observation in 2008 from Central Chile. The records span from sea level to 3200 m a.s.l. in the Andes. It has spread at an average rate of 184.8 km per year, preferentially colonizing disturbed habitats, but also invading native habitats. In alfalfa, it is particularly abundant and has become the dominant species, with a concomitant decrease in species richness and diversity of co-occurring species. Main conclusion: Citizen science, alongside professional surveillance, has provided an effective method for studying invasion by H. axyridis, which is now well established and distributed across Chile. The rate of spread has been dramatic and the associated changes to the coccinellid community could disrupt the functioning, and ultimately resilience, of invaded ecosystems.", "author" : [ { "dropping-particle" : "", "family" : "Grez", "given" : "Audrey", "non-dropping-particle" : "", "parse-names" : false, "suffix" : "" }, { "dropping-particle" : "", "family" : "Zaviezo", "given" : "Tania", "non-dropping-particle" : "", "parse-names" : false, "suffix" : "" }, { "dropping-particle" : "", "family" : "Roy", "given" : "Helen E.", "non-dropping-particle" : "", "parse-names" : false, "suffix" : "" }, { "dropping-particle" : "", "family" : "Brown", "given" : "Peter M.J.", "non-dropping-particle" : "", "parse-names" : false, "suffix" : "" }, { "dropping-particle" : "", "family" : "Bizama", "given" : "Gustavo", "non-dropping-particle" : "", "parse-names" : false, "suffix" : "" } ], "container-title" : "Diversity and Distributions", "id" : "ITEM-1", "issue" : "9", "issued" : { "date-parts" : [ [ "2016" ] ] }, "page" : "982-994", "title" : "Rapid spread of &lt;i&gt;Harmonia axyridis&lt;/i&gt; in Chile and its effects on local coccinellid biodiversity", "type" : "article-journal", "volume" : "22" }, "uris" : [ "http://www.mendeley.com/documents/?uuid=38c9c2ed-3ce6-4dbc-b86f-2460d48a8bb0" ] }, { "id" : "ITEM-2", "itemData" : { "DOI" : "10.1111/1365-2656.12185", "ISBN" : "0021-8790", "ISSN" : "13652656", "PMID" : "24256429", "abstract" : "The Palaearctic Bombus ruderatus (in 1982/1983) and Bombus terrestris (1998) have both been introduced into South America (Chile) for pollination purposes. We here report on the results of sampling campaigns in 2004, and 2010-2012 showing that both species have established and massively expanded their range. Bombus terrestris, in particular, has spread by some 200 km year(-1) and had reached the Atlantic coast in Argentina by the end of 2011. Both species, and especially B. terrestris, are infected by protozoan parasites that seem to spread along with the imported hosts and spillover to native species. Genetic analyses by polymorphic microsatellite loci suggest that the host population of B. terrestris is genetically diverse, as expected from a large invading founder population, and structured through isolation by distance. Genetically, the populations of the trypanosomatid parasite, Crithidia bombi, sampled in 2004 are less diverse, and distinct from the ones sampled later. Current C. bombi populations are highly heterozygous and also structured through isolation by distance correlating with the genetic distances of B. terrestris, suggesting the latter's expansion to be a main structuring factor for the parasite. Remarkably, wherever B. terrestris spreads, the native Bombus dahlbomii disappears although the reasons remain unclear. Our ecological and genetic data suggest a major invasion event that is currently unfolding in southern South America with disastrous consequences for the native bumblebee species.", "author" : [ { "dropping-particle" : "", "family" : "Schmid-Hempel", "given" : "Regula", "non-dropping-particle" : "", "parse-names" : false, "suffix" : "" }, { "dropping-particle" : "", "family" : "Eckhardt", "given" : "Michael", "non-dropping-particle" : "", "parse-names" : false, "suffix" : "" }, { "dropping-particle" : "", "family" : "Goulson", "given" : "David", "non-dropping-particle" : "", "parse-names" : false, "suffix" : "" }, { "dropping-particle" : "", "family" : "Heinzmann", "given" : "Daniel", "non-dropping-particle" : "", "parse-names" : false, "suffix" : "" }, { "dropping-particle" : "", "family" : "Lange", "given" : "Carlos", "non-dropping-particle" : "", "parse-names" : false, "suffix" : "" }, { "dropping-particle" : "", "family" : "Plischuk", "given" : "Santiago", "non-dropping-particle" : "", "parse-names" : false, "suffix" : "" }, { "dropping-particle" : "", "family" : "Escudero", "given" : "Luisa R.", "non-dropping-particle" : "", "parse-names" : false, "suffix" : "" }, { "dropping-particle" : "", "family" : "Salath\u00e9", "given" : "Rahel", "non-dropping-particle" : "", "parse-names" : false, "suffix" : "" }, { "dropping-particle" : "", "family" : "Scriven", "given" : "Jessica J.", "non-dropping-particle" : "", "parse-names" : false, "suffix" : "" }, { "dropping-particle" : "", "family" : "Schmid-Hempel", "given" : "Paul", "non-dropping-particle" : "", "parse-names" : false, "suffix" : "" } ], "container-title" : "Journal of Animal Ecology", "id" : "ITEM-2", "issue" : "4", "issued" : { "date-parts" : [ [ "2014" ] ] }, "page" : "823-837", "title" : "The invasion of southern South America by imported bumblebees and associated parasites", "type" : "article-journal", "volume" : "83" }, "uris" : [ "http://www.mendeley.com/documents/?uuid=80948bd3-d9c1-31f4-a56a-094478e5a680" ] } ], "mendeley" : { "formattedCitation" : "(Grez, Zaviezo, Roy, Brown, &amp; Bizama, 2016; Schmid-Hempel et al., 2014)", "manualFormatting" : "(e.g., Schmid-Hempel et al., 2014, Grez et al., 2016)", "plainTextFormattedCitation" : "(Grez, Zaviezo, Roy, Brown, &amp; Bizama, 2016; Schmid-Hempel et al., 2014)", "previouslyFormattedCitation" : "(Grez, Zaviezo, Roy, Brown, &amp; Bizama, 2016; Schmid-Hempel et al., 2014)" }, "properties" : { "noteIndex" : 0 }, "schema" : "https://github.com/citation-style-language/schema/raw/master/csl-citation.json" }</w:instrText>
      </w:r>
      <w:r w:rsidRPr="008608AA">
        <w:fldChar w:fldCharType="separate"/>
      </w:r>
      <w:r w:rsidR="00B057C7" w:rsidRPr="008608AA">
        <w:rPr>
          <w:noProof/>
        </w:rPr>
        <w:t>(e.g.</w:t>
      </w:r>
      <w:r w:rsidRPr="008608AA">
        <w:rPr>
          <w:noProof/>
        </w:rPr>
        <w:t xml:space="preserve"> Schmid-Hempel et al., 2014, Grez et al., 2016)</w:t>
      </w:r>
      <w:r w:rsidRPr="008608AA">
        <w:fldChar w:fldCharType="end"/>
      </w:r>
      <w:r w:rsidRPr="008608AA">
        <w:t xml:space="preserve">. </w:t>
      </w:r>
      <w:r w:rsidRPr="008608AA">
        <w:rPr>
          <w:rFonts w:eastAsiaTheme="majorEastAsia"/>
          <w:i/>
        </w:rPr>
        <w:t>Bombus</w:t>
      </w:r>
      <w:r w:rsidRPr="008608AA">
        <w:rPr>
          <w:rFonts w:eastAsiaTheme="majorEastAsia"/>
        </w:rPr>
        <w:t xml:space="preserve"> </w:t>
      </w:r>
      <w:r w:rsidRPr="008608AA">
        <w:rPr>
          <w:rFonts w:eastAsiaTheme="majorEastAsia"/>
          <w:i/>
        </w:rPr>
        <w:t>terrestris</w:t>
      </w:r>
      <w:r w:rsidRPr="008608AA">
        <w:t>,</w:t>
      </w:r>
      <w:r w:rsidRPr="008608AA">
        <w:rPr>
          <w:rFonts w:eastAsiaTheme="majorEastAsia"/>
        </w:rPr>
        <w:t xml:space="preserve"> introduced in the 1990s for crop pollination, moved rapidly </w:t>
      </w:r>
      <w:r w:rsidRPr="008608AA">
        <w:t xml:space="preserve">into </w:t>
      </w:r>
      <w:r w:rsidRPr="008608AA">
        <w:rPr>
          <w:rFonts w:eastAsiaTheme="majorEastAsia"/>
        </w:rPr>
        <w:t xml:space="preserve">Argentina and is now displacing native bumblebees there </w:t>
      </w:r>
      <w:r w:rsidRPr="008608AA">
        <w:rPr>
          <w:rFonts w:eastAsiaTheme="majorEastAsia"/>
        </w:rPr>
        <w:fldChar w:fldCharType="begin" w:fldLock="1"/>
      </w:r>
      <w:r w:rsidRPr="008608AA">
        <w:rPr>
          <w:rFonts w:eastAsiaTheme="majorEastAsia"/>
        </w:rPr>
        <w:instrText>ADDIN CSL_CITATION { "citationItems" : [ { "id" : "ITEM-1", "itemData" : { "DOI" : "10.15560/11.3.1620", "ISSN" : "1809127X", "abstract" : "Bombus terrestris Linnaeus is an invasive bumblebee in Argentina. Since its first record in March 2006, B. terrestris has rapidly become the most wide- spread species in the southern Argentina\u2019s Patagonia. The explosion of B. terrestris populations has been asso- ciated with the rapid decline of the unique native species B. dahlbomii, Gu\u00e9rin-M\u00e9neville. However, B. terrestris had never been yet reported farther south than the 50\u00b0 parallel. We report for the first time the presence of B. terrestris at the southern end of continental Patagonia and discuss its meaning with regards on potential con- sequences for B. dahlbomii populations.", "author" : [ { "dropping-particle" : "", "family" : "Geslin", "given" : "Beno\u00eet", "non-dropping-particle" : "", "parse-names" : false, "suffix" : "" }, { "dropping-particle" : "", "family" : "Morales", "given" : "Carolina L.", "non-dropping-particle" : "", "parse-names" : false, "suffix" : "" } ], "container-title" : "Check List", "id" : "ITEM-1", "issue" : "3", "issued" : { "date-parts" : [ [ "2015" ] ] }, "page" : "1620", "title" : "New records reveal rapid geographic expansion of &lt;i&gt;Bombus terrestris&lt;/i&gt; Linnaeus, 1758 (Hymenoptera: Apidae), an invasive species in Argentina", "type" : "article-journal", "volume" : "11" }, "uris" : [ "http://www.mendeley.com/documents/?uuid=39fd3306-2c38-305c-b70f-ddfe82205d3e" ] } ], "mendeley" : { "formattedCitation" : "(Geslin &amp; Morales, 2015)", "plainTextFormattedCitation" : "(Geslin &amp; Morales, 2015)", "previouslyFormattedCitation" : "(Geslin &amp; Morales, 2015)"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(Geslin &amp; Morales, 2015)</w:t>
      </w:r>
      <w:r w:rsidRPr="008608AA">
        <w:rPr>
          <w:rFonts w:eastAsiaTheme="majorEastAsia"/>
        </w:rPr>
        <w:fldChar w:fldCharType="end"/>
      </w:r>
      <w:r w:rsidRPr="008608AA">
        <w:rPr>
          <w:rFonts w:eastAsiaTheme="majorEastAsia"/>
        </w:rPr>
        <w:t xml:space="preserve">. Many native plant species in Mediterranean forests, woodland and scrub are visited by </w:t>
      </w:r>
      <w:r w:rsidRPr="008608AA">
        <w:rPr>
          <w:rFonts w:eastAsiaTheme="majorEastAsia"/>
          <w:i/>
        </w:rPr>
        <w:t xml:space="preserve">B. terrestris </w:t>
      </w:r>
      <w:r w:rsidRPr="008608AA">
        <w:rPr>
          <w:rFonts w:eastAsiaTheme="majorEastAsia"/>
          <w:i/>
        </w:rPr>
        <w:fldChar w:fldCharType="begin" w:fldLock="1"/>
      </w:r>
      <w:r w:rsidRPr="008608AA">
        <w:rPr>
          <w:rFonts w:eastAsiaTheme="majorEastAsia"/>
          <w:i/>
        </w:rPr>
        <w:instrText>ADDIN CSL_CITATION { "citationItems" : [ { "id" : "ITEM-1", "itemData" : { "DOI" : "10.3896/IBRA.1.50.1.02", "ISBN" : "0021-8839", "ISSN" : "0021-8839", "abstract" : "In the present work, we update floral associations and geographical distribution for four species of Bombus present in Chile, two native (B. dahlbomii and B. funebris) and two introduced species (B. terrestris and B. ruderatus). We also examine possible associations among native or introduced bees with native or introduced plant species. We found a significant non-random plant association among non-native bumble bee species and non-native plant species. Because of the distributional overlap between B. dahlbomii with the two non-native bee species, it is likely that B. dahlbomii interacts with these non-native bees", "author" : [ { "dropping-particle" : "", "family" : "Montalva", "given" : "Jos\u00e9", "non-dropping-particle" : "", "parse-names" : false, "suffix" : "" }, { "dropping-particle" : "", "family" : "Dudley", "given" : "Leah", "non-dropping-particle" : "", "parse-names" : false, "suffix" : "" }, { "dropping-particle" : "", "family" : "Arroyo", "given" : "Mary Kalin", "non-dropping-particle" : "", "parse-names" : false, "suffix" : "" }, { "dropping-particle" : "", "family" : "Retamales", "given" : "Hern\u00e1n", "non-dropping-particle" : "", "parse-names" : false, "suffix" : "" }, { "dropping-particle" : "", "family" : "Abrahamovich", "given" : "Alberto H", "non-dropping-particle" : "", "parse-names" : false, "suffix" : "" } ], "container-title" : "Journal of Apicultural Research", "id" : "ITEM-1", "issue" : "1", "issued" : { "date-parts" : [ [ "2011" ] ] }, "page" : "11-21", "title" : "Geographic distribution and associated flora of native and introduced bumble bees (&lt;i&gt;Bombus&lt;/i&gt; spp.) in Chile", "type" : "article-journal", "volume" : "50" }, "uris" : [ "http://www.mendeley.com/documents/?uuid=31bfc98d-200f-3d09-8559-6bae22e803d3" ] } ], "mendeley" : { "formattedCitation" : "(Jos\u00e9 Montalva et al., 2011)", "manualFormatting" : "(Montalva et al., 2011)", "plainTextFormattedCitation" : "(Jos\u00e9 Montalva et al., 2011)", "previouslyFormattedCitation" : "(Jos\u00e9 Montalva et al., 2011)" }, "properties" : { "noteIndex" : 0 }, "schema" : "https://github.com/citation-style-language/schema/raw/master/csl-citation.json" }</w:instrText>
      </w:r>
      <w:r w:rsidRPr="008608AA">
        <w:rPr>
          <w:rFonts w:eastAsiaTheme="majorEastAsia"/>
          <w:i/>
        </w:rPr>
        <w:fldChar w:fldCharType="separate"/>
      </w:r>
      <w:r w:rsidRPr="008608AA">
        <w:rPr>
          <w:rFonts w:eastAsiaTheme="majorEastAsia"/>
          <w:noProof/>
        </w:rPr>
        <w:t>(Montalva et al., 2011)</w:t>
      </w:r>
      <w:r w:rsidRPr="008608AA">
        <w:rPr>
          <w:rFonts w:eastAsiaTheme="majorEastAsia"/>
          <w:i/>
        </w:rPr>
        <w:fldChar w:fldCharType="end"/>
      </w:r>
      <w:r w:rsidRPr="008608AA">
        <w:rPr>
          <w:rFonts w:eastAsiaTheme="majorEastAsia"/>
        </w:rPr>
        <w:t xml:space="preserve">, but the impacts of </w:t>
      </w:r>
      <w:r w:rsidRPr="008608AA">
        <w:rPr>
          <w:rFonts w:eastAsiaTheme="majorEastAsia"/>
          <w:i/>
        </w:rPr>
        <w:t>B. terrestris</w:t>
      </w:r>
      <w:r w:rsidRPr="008608AA">
        <w:rPr>
          <w:rFonts w:eastAsiaTheme="majorEastAsia"/>
        </w:rPr>
        <w:t xml:space="preserve"> on the wider bee fauna of central Chile </w:t>
      </w:r>
      <w:r w:rsidRPr="008608AA">
        <w:t>(</w:t>
      </w:r>
      <w:r w:rsidRPr="008608AA">
        <w:rPr>
          <w:rFonts w:eastAsiaTheme="majorEastAsia"/>
        </w:rPr>
        <w:t xml:space="preserve">Table 3.4), likely to assist crop pollination, are unknown. The escaped introduced frog </w:t>
      </w:r>
      <w:r w:rsidRPr="008608AA">
        <w:rPr>
          <w:i/>
        </w:rPr>
        <w:t>Xenopus laevis</w:t>
      </w:r>
      <w:r w:rsidRPr="008608AA">
        <w:t xml:space="preserve"> has now been found to harbor amphibian pathogens, posing a potential threat to the biome´s highly endemic amphibians </w:t>
      </w:r>
      <w:r w:rsidRPr="008608AA">
        <w:fldChar w:fldCharType="begin" w:fldLock="1"/>
      </w:r>
      <w:r w:rsidRPr="008608AA">
        <w:instrText>ADDIN CSL_CITATION { "citationItems" : [ { "id" : "ITEM-1", "itemData" : { "DOI" : "10.1007/s10393-016-1186-9", "ISSN" : "16129210", "abstract" : "\u00a9 2016, International Association for Ecology and Health.Amphibians face an extinction crisis with no precedence. Two emerging infectious diseases, ranaviral disease caused by viruses within the genus Ranavirus and chytridiomycosis due to Batrachochytrium dendrobatidis (Bd), have been linked with amphibian mass mortalities and population declines in many regions of the globe. The African clawed frog (Xenopus laevis) has been indicated as a vector for the spread of these pathogens. Since the 1970s, this species has been invasive in central Chile. We collected X. laevis and dead native amphibians in Chile between 2011 and 2013. We conducted post-mortem examinations and molecular tests for Ranavirus and Bd. Eight of 187 individuals (4.3 %) tested positive for Ranavirus: seven X. laevis and a giant Chilean frog (Calyptocephallela gayi). All positive cases were from the original area of X. laevis invasion. Bd was found to be more prevalent (14.4 %) and widespread than Ranavirus, and all X. laevis Bd-positive animals presented low to moderate levels of infection. Sequencing of a partial Ranavirus gene revealed 100 % sequence identity with Frog Virus 3. This is the first report of Ranavirus in Chile, and these preliminary results are consistent with a role for X. laevis as an infection reservoir for both Ranavirus and Bd.", "author" : [ { "dropping-particle" : "", "family" : "Soto-Azat", "given" : "Claudio", "non-dropping-particle" : "", "parse-names" : false, "suffix" : "" }, { "dropping-particle" : "", "family" : "Pe\u00f1afiel-Ricaurte", "given" : "Alexandra", "non-dropping-particle" : "", "parse-names" : false, "suffix" : "" }, { "dropping-particle" : "", "family" : "Price", "given" : "Stephen J.", "non-dropping-particle" : "", "parse-names" : false, "suffix" : "" }, { "dropping-particle" : "", "family" : "Sallaberry-Pincheira", "given" : "Nicole", "non-dropping-particle" : "", "parse-names" : false, "suffix" : "" }, { "dropping-particle" : "", "family" : "Garc\u00eda", "given" : "Mar\u00eda P\u00eda", "non-dropping-particle" : "", "parse-names" : false, "suffix" : "" }, { "dropping-particle" : "", "family" : "Alvarado-Rybak", "given" : "Mario", "non-dropping-particle" : "", "parse-names" : false, "suffix" : "" }, { "dropping-particle" : "", "family" : "Cunningham", "given" : "Andrew A.", "non-dropping-particle" : "", "parse-names" : false, "suffix" : "" } ], "container-title" : "EcoHealth", "id" : "ITEM-1", "issue" : "4", "issued" : { "date-parts" : [ [ "2016" ] ] }, "page" : "775-783", "title" : "&lt;i&gt;Xenopus laevis&lt;/i&gt; and emerging amphibian pathogens in Chile", "type" : "article-journal", "volume" : "13" }, "uris" : [ "http://www.mendeley.com/documents/?uuid=70eb68a3-c6ca-3e93-afe8-d7fb980f1ddb" ] } ], "mendeley" : { "formattedCitation" : "(Soto-Azat et al., 2016)", "manualFormatting" : "(Soto-Azat et al., 2016)", "plainTextFormattedCitation" : "(Soto-Azat et al., 2016)", "previouslyFormattedCitation" : "(Soto-Azat et al., 2016)" }, "properties" : { "noteIndex" : 0 }, "schema" : "https://github.com/citation-style-language/schema/raw/master/csl-citation.json" }</w:instrText>
      </w:r>
      <w:r w:rsidRPr="008608AA">
        <w:fldChar w:fldCharType="separate"/>
      </w:r>
      <w:r w:rsidRPr="008608AA">
        <w:rPr>
          <w:noProof/>
        </w:rPr>
        <w:t>(Soto-Azat et al., 2016)</w:t>
      </w:r>
      <w:r w:rsidRPr="008608AA">
        <w:fldChar w:fldCharType="end"/>
      </w:r>
      <w:r w:rsidRPr="008608AA">
        <w:t xml:space="preserve"> and showing that single invasi</w:t>
      </w:r>
      <w:r w:rsidR="001C5394" w:rsidRPr="008608AA">
        <w:t>ons can have secondary effects.</w:t>
      </w:r>
    </w:p>
    <w:p w14:paraId="3A0A0160" w14:textId="40D9CDBE" w:rsidR="0063629E" w:rsidRPr="008608AA" w:rsidRDefault="004255E7" w:rsidP="00FF0580">
      <w:pPr>
        <w:widowControl w:val="0"/>
        <w:autoSpaceDE w:val="0"/>
        <w:autoSpaceDN w:val="0"/>
        <w:adjustRightInd w:val="0"/>
        <w:spacing w:after="120"/>
      </w:pPr>
      <w:r w:rsidRPr="008608AA">
        <w:t xml:space="preserve">Between 1994 and 2015, fire affected close to 128,000 ha of closed Mediterranean forest as well as huge areas of exotic plantation forests </w:t>
      </w:r>
      <w:r w:rsidRPr="008608AA">
        <w:fldChar w:fldCharType="begin" w:fldLock="1"/>
      </w:r>
      <w:r w:rsidRPr="008608AA">
        <w:instrText>ADDIN CSL_CITATION { "citationItems" : [ { "id" : "ITEM-1", "itemData" : { "author" : [ { "dropping-particle" : "", "family" : "Instituto de Asuntos P\u00fablicos-Centro de An\u00e1lisis de Pol\u00edticas P\u00fablicas", "given" : "", "non-dropping-particle" : "", "parse-names" : false, "suffix" : "" } ], "id" : "ITEM-1", "issued" : { "date-parts" : [ [ "2016" ] ] }, "publisher" : "Universidad de Chile", "publisher-place" : "Santiago, Chile", "title" : "Informe Pa\u00eds: Estado del Medio Ambiente en Chile. Comparaci\u00f3n 1999 - 2015", "type" : "report" }, "uris" : [ "http://www.mendeley.com/documents/?uuid=5f3c3744-3600-492d-8c9f-451cc49c6298" ] } ], "mendeley" : { "formattedCitation" : "(Instituto de Asuntos P\u00fablicos-Centro de An\u00e1lisis de Pol\u00edticas P\u00fablicas, 2016)", "manualFormatting" : "(based on Instituto de Asuntos P\u00fablicos-Centro de An\u00e1lisis de Pol\u00edticas P\u00fablicas, 2016)", "plainTextFormattedCitation" : "(Instituto de Asuntos P\u00fablicos-Centro de An\u00e1lisis de Pol\u00edticas P\u00fablicas, 2016)", "previouslyFormattedCitation" : "(Instituto de Asuntos P\u00fablicos-Centro de An\u00e1lisis de Pol\u00edticas P\u00fablicas, 2016)" }, "properties" : { "noteIndex" : 0 }, "schema" : "https://github.com/citation-style-language/schema/raw/master/csl-citation.json" }</w:instrText>
      </w:r>
      <w:r w:rsidRPr="008608AA">
        <w:fldChar w:fldCharType="separate"/>
      </w:r>
      <w:r w:rsidRPr="008608AA">
        <w:rPr>
          <w:noProof/>
        </w:rPr>
        <w:t>(based on Instituto de Asuntos Públicos-Centro de Análisis de Políticas Públicas, 2016)</w:t>
      </w:r>
      <w:r w:rsidRPr="008608AA">
        <w:fldChar w:fldCharType="end"/>
      </w:r>
      <w:r w:rsidRPr="008608AA">
        <w:t xml:space="preserve">. A recent megadrought ushered in a notable increase in fire frequency and extent in Chile (with most fires in the Mediterranean area) (Figure 3.20), culminating in the massive forest fires of the austral summer of 2016 which affected 518,000 ha, including 105,000 ha of native forest and 284,000 ha of exotic forest plantations </w:t>
      </w:r>
      <w:r w:rsidRPr="008608AA">
        <w:fldChar w:fldCharType="begin" w:fldLock="1"/>
      </w:r>
      <w:r w:rsidRPr="008608AA">
        <w:instrText>ADDIN CSL_CITATION { "citationItems" : [ { "id" : "ITEM-1", "itemData" : { "author" : [ { "dropping-particle" : "", "family" : "Corporaci\u00f3n Nacional Forestal (CONAF)", "given" : "", "non-dropping-particle" : "", "parse-names" : false, "suffix" : "" } ], "id" : "ITEM-1", "issued" : { "date-parts" : [ [ "2017" ] ] }, "number-of-pages" : "56", "publisher-place" : "Santiago, Chile", "title" : "An\u00e1lisis de la Afectaci\u00f3n y Severidad de los Incendios Forestales ocurridos en Enero y Febrero de 2017 sobre los Usos de Suelo y los Ecosistemas Naturales presentes entre las Regiones de Coquimbo y Los R\u00edos de Chile", "type" : "report" }, "uris" : [ "http://www.mendeley.com/documents/?uuid=601cdd84-ae97-3aa2-b84a-2ff041df775e" ] } ], "mendeley" : { "formattedCitation" : "(Corporaci\u00f3n Nacional Forestal (CONAF), 2017)", "plainTextFormattedCitation" : "(Corporaci\u00f3n Nacional Forestal (CONAF), 2017)", "previouslyFormattedCitation" : "(Corporaci\u00f3n Nacional Forestal (CONAF), 2017)" }, "properties" : { "noteIndex" : 0 }, "schema" : "https://github.com/citation-style-language/schema/raw/master/csl-citation.json" }</w:instrText>
      </w:r>
      <w:r w:rsidRPr="008608AA">
        <w:fldChar w:fldCharType="separate"/>
      </w:r>
      <w:r w:rsidR="00B057C7" w:rsidRPr="008608AA">
        <w:rPr>
          <w:noProof/>
        </w:rPr>
        <w:t>(CONAF</w:t>
      </w:r>
      <w:r w:rsidRPr="008608AA">
        <w:rPr>
          <w:noProof/>
        </w:rPr>
        <w:t>, 2017)</w:t>
      </w:r>
      <w:r w:rsidRPr="008608AA">
        <w:fldChar w:fldCharType="end"/>
      </w:r>
      <w:r w:rsidRPr="008608AA">
        <w:t xml:space="preserve">, mostly in the Mediterranean zone. Although there is still some discussion on the issue, it is generally agreed that unlike North American Mediterranean forests, woodland and scrub, South American Mediterranean forests, woodland and scrub was cut off from natural lightning strike fires as of the Miocene and consequently is not strongly adapted to fire </w:t>
      </w:r>
      <w:r w:rsidRPr="008608AA">
        <w:fldChar w:fldCharType="begin" w:fldLock="1"/>
      </w:r>
      <w:r w:rsidRPr="008608AA">
        <w:instrText>ADDIN CSL_CITATION { "citationItems" : [ { "id" : "ITEM-1", "itemData" : { "DOI" : "10.1146/annurev-ecolsys-121415-032330", "ISSN" : "1543-592X", "abstract" : "Mediterranean-type ecosystems (MTEs) possess the highest levels of plant species richness in the world outside of the wet tropics. Sclerophyll vegetation similar to today\u2019s mediterranean-type shrublands was already present on oligotrophic soils in the wet and humid climate of the Cretaceous, with fire-adapted Paleogene lineages in southwestern Australia and the Cape Region. The novel MTC seasonality present since the mid-Miocene has allowed colonization of MTEs from a regional species pool with associated diversification. Fire persistence has been a primary driving factor for speciation in four of the five regions. Understanding the regional patterns of plant species diversity among the MTEs involves complex interactions of geologic and climatic histories for each region as well as ecological factors that have promoted diversification in the Neogene and Quaternary. A critical element of species richness for many MTE lineages has been their ability to speciate and persist at fine spatial scales, with low r...", "author" : [ { "dropping-particle" : "", "family" : "Rundel", "given" : "Philip W.", "non-dropping-particle" : "", "parse-names" : false, "suffix" : "" }, { "dropping-particle" : "", "family" : "Arroyo", "given" : "Mary T. K.", "non-dropping-particle" : "", "parse-names" : false, "suffix" : "" }, { "dropping-particle" : "", "family" : "Cowling", "given" : "Richard M.", "non-dropping-particle" : "", "parse-names" : false, "suffix" : "" }, { "dropping-particle" : "", "family" : "Keeley", "given" : "Jon E.", "non-dropping-particle" : "", "parse-names" : false, "suffix" : "" }, { "dropping-particle" : "", "family" : "Lamont", "given" : "Byron B.", "non-dropping-particle" : "", "parse-names" : false, "suffix" : "" }, { "dropping-particle" : "", "family" : "Vargas", "given" : "Pablo", "non-dropping-particle" : "", "parse-names" : false, "suffix" : "" } ], "container-title" : "Annual Review of Ecology, Evolution, and Systematics", "id" : "ITEM-1", "issued" : { "date-parts" : [ [ "2016" ] ] }, "page" : "383-407", "title" : "Mediterranean biomes: evolution of their vegetation, floras and climate", "type" : "article-journal", "volume" : "47" }, "uris" : [ "http://www.mendeley.com/documents/?uuid=4243df15-7c36-341f-bf5f-c9c4ffeb0caf" ] } ], "mendeley" : { "formattedCitation" : "(Philip W. Rundel et al., 2016)", "manualFormatting" : "(Rundel et al., 2016)", "plainTextFormattedCitation" : "(Philip W. Rundel et al., 2016)", "previouslyFormattedCitation" : "(Philip W. Rundel et al., 2016)" }, "properties" : { "noteIndex" : 0 }, "schema" : "https://github.com/citation-style-language/schema/raw/master/csl-citation.json" }</w:instrText>
      </w:r>
      <w:r w:rsidRPr="008608AA">
        <w:fldChar w:fldCharType="separate"/>
      </w:r>
      <w:r w:rsidRPr="008608AA">
        <w:rPr>
          <w:noProof/>
        </w:rPr>
        <w:t>(Rundel et al., 2016)</w:t>
      </w:r>
      <w:r w:rsidRPr="008608AA">
        <w:fldChar w:fldCharType="end"/>
      </w:r>
      <w:r w:rsidRPr="008608AA">
        <w:t xml:space="preserve">. Although many native woody species can resprout after fire, recovery of Mediterranean forest may require 25–30 years and often is never complete </w:t>
      </w:r>
      <w:r w:rsidRPr="008608AA">
        <w:fldChar w:fldCharType="begin" w:fldLock="1"/>
      </w:r>
      <w:r w:rsidRPr="008608AA">
        <w:instrText>ADDIN CSL_CITATION { "citationItems" : [ { "id" : "ITEM-1", "itemData" : { "author" : [ { "dropping-particle" : "", "family" : "Montenegro", "given" : "Gloria", "non-dropping-particle" : "", "parse-names" : false, "suffix" : "" }, { "dropping-particle" : "", "family" : "G\u00f3mez", "given" : "Miguel", "non-dropping-particle" : "", "parse-names" : false, "suffix" : "" }, { "dropping-particle" : "", "family" : "D\u00edaz", "given" : "Francisca", "non-dropping-particle" : "", "parse-names" : false, "suffix" : "" }, { "dropping-particle" : "", "family" : "Ginocchio", "given" : "Rossana", "non-dropping-particle" : "", "parse-names" : false, "suffix" : "" } ], "container-title" : "Fire and Climatic Change in Temperate Ecosystems of the Western Americas", "editor" : [ { "dropping-particle" : "", "family" : "Veblen", "given" : "T. T.", "non-dropping-particle" : "", "parse-names" : false, "suffix" : "" }, { "dropping-particle" : "", "family" : "Baker", "given" : "W. L.", "non-dropping-particle" : "", "parse-names" : false, "suffix" : "" }, { "dropping-particle" : "", "family" : "Montenegro", "given" : "G.", "non-dropping-particle" : "", "parse-names" : false, "suffix" : "" }, { "dropping-particle" : "", "family" : "Swetnam", "given" : "T. W.", "non-dropping-particle" : "", "parse-names" : false, "suffix" : "" } ], "id" : "ITEM-1", "issued" : { "date-parts" : [ [ "2003" ] ] }, "page" : "381-409", "publisher" : "Springer", "publisher-place" : "New York", "title" : "Regeneration potencial of Chilean matorral after fire", "type" : "chapter" }, "uris" : [ "http://www.mendeley.com/documents/?uuid=3be83a47-6a55-37d0-b960-fe40751f3a7f" ] } ], "mendeley" : { "formattedCitation" : "(Montenegro, G\u00f3mez, D\u00edaz, &amp; Ginocchio, 2003)", "manualFormatting" : "(Montenegro et al., 2003)", "plainTextFormattedCitation" : "(Montenegro, G\u00f3mez, D\u00edaz, &amp; Ginocchio, 2003)", "previouslyFormattedCitation" : "(Montenegro, G\u00f3mez, D\u00edaz, &amp; Ginocchio, 2003)" }, "properties" : { "noteIndex" : 0 }, "schema" : "https://github.com/citation-style-language/schema/raw/master/csl-citation.json" }</w:instrText>
      </w:r>
      <w:r w:rsidRPr="008608AA">
        <w:fldChar w:fldCharType="separate"/>
      </w:r>
      <w:r w:rsidRPr="008608AA">
        <w:rPr>
          <w:noProof/>
        </w:rPr>
        <w:t>(Montenegro et al., 2003)</w:t>
      </w:r>
      <w:r w:rsidRPr="008608AA">
        <w:fldChar w:fldCharType="end"/>
      </w:r>
      <w:r w:rsidRPr="008608AA">
        <w:t xml:space="preserve">, indicating limited resilience. Fire additionally provokes the entrance of invasive species </w:t>
      </w:r>
      <w:r w:rsidRPr="008608AA">
        <w:fldChar w:fldCharType="begin" w:fldLock="1"/>
      </w:r>
      <w:r w:rsidRPr="008608AA">
        <w:instrText>ADDIN CSL_CITATION { "citationItems" : [ { "id" : "ITEM-1", "itemData" : { "DOI" : "10.1071/WF07074", "ISBN" : "1049-8001", "ISSN" : "10498001", "abstract" : "Central Chile differs from other areas with Mediterranean-type climate by the scarcity of natural wildfires. The Chilean matorral is highly invaded by alien plant species from other Mediterranean zones of theworld,where natural, recurrent wildfires have been one of their ecological features at least since the Pliocene. This suggests that anthropogenic fires in Chile might favour alien plant recruitment, increasing the invasive process.We assessed the effect of litter burning on the emergence of alien and native species from the soil seedbank of a matorral of central Chile. Soil sampleswere taken from three types of microhabitats: (i) closed matorral; (ii) beneath the canopy of shrubs and trees from an open matorral; (iii) grassland. Each sample was split in two subsamples. One subsample was exposed to fire by burning the litter taken from its corresponding microhabitat, and the other subsample was left unburned and used as a control. Fire intensity, determined by the fuel type, affected more markedly the native seedbank survival than the alien one.The low-intensity fire produced by grassland litter did not significantly affect the emergence of native herbs but increased alien species richness. The high-intensity and the very high-intensity fires produced by litter burning from beneath the canopy of the closed and the open matorral, respectively, negatively affected the seedling emergence of both native and alien species, but did so in a more pronounced manner to native species. Therefore, anthropogenic fires in central Chile may promote the invasion of alien plants with favourable traits (i.e. heat-shock resistance of seeds) that are not present in the native flora.", "author" : [ { "dropping-particle" : "", "family" : "G\u00f3mez-Gonz\u00e1lez", "given" : "Susana", "non-dropping-particle" : "", "parse-names" : false, "suffix" : "" }, { "dropping-particle" : "", "family" : "Cavieres", "given" : "Lohengrin A.", "non-dropping-particle" : "", "parse-names" : false, "suffix" : "" } ], "container-title" : "International Journal of Wildland Fire", "id" : "ITEM-1", "issue" : "2", "issued" : { "date-parts" : [ [ "2009" ] ] }, "page" : "213-221", "title" : "Litter burning does not equally affect seedling emergence of native and alien species of the Mediterranean-type Chilean matorral", "type" : "article-journal", "volume" : "18" }, "uris" : [ "http://www.mendeley.com/documents/?uuid=fc950577-106d-4c6f-b05f-54aca5ff9e0e" ] }, { "id" : "ITEM-2", "itemData" : { "DOI" : "10.1111/j.1472-4642.2010.00728.x", "ISBN" : "1366-9516", "ISSN" : "13669516", "abstract" : "Abstract Aim? We tested the hypothesis that anthropogenic fires favour the successful establishment of alien annual species to the detriment of natives in the Chilean coastal matorral. Location? Valpara\u00c3\u00adso Region, central Chile. Methods? We sampled seed rain, seedbank emergence and establishment of species in four paired burned and unburned areas and compared (using GLMM) fire resistance and propagule arrival of alien and native species. To assess the relative importance of seed dispersal and seedbank survival in explaining plant establishment after fire, we compared seed rain and seedbank structure with post-fire vegetation using ordination analyses. Results? Fire did not change the proportion of alien species in the coastal matorral. However, fire increased the number of annual species (natives and aliens) of which 87% were aliens. Fire reduced the alien seedbank and not the native seedbank, but alien species remained dominant in burned soil samples (66% of the total species richness). Seed rain was higher for alien annuals than for native annuals or perennials, thus contributing to their establishment after fire. Nevertheless, seed rain was less important than seedbank survival in explaining plant establishment in burned areas. Main conclusions? Anthropogenic fires favoured alien and native annuals. Thus, fire did not increase the alien/native ratio but increased the richness of alien species. The successful establishment of alien annuals was attributable to their ability to maintain rich seedbanks in burned areas and to the greater propagule arrival compared to native species. The native seedbank also survived fire, indicating that the herbaceous community has become highly resilient after centuries of human disturbances. Our results demonstrate that fire is a relevant factor for the maintenance of alien-dominated grasslands in the matorral and highlight the importance of considering the interactive effect of seed rain and seedbank survival to understand plant invasion patterns in fire-prone ecosystems.", "author" : [ { "dropping-particle" : "", "family" : "G\u00f3mez-Gonz\u00e1lez", "given" : "Susana", "non-dropping-particle" : "", "parse-names" : false, "suffix" : "" }, { "dropping-particle" : "", "family" : "Torres-D\u00edaz", "given" : "Cristian", "non-dropping-particle" : "", "parse-names" : false, "suffix" : "" }, { "dropping-particle" : "", "family" : "Valencia", "given" : "Graciela", "non-dropping-particle" : "", "parse-names" : false, "suffix" : "" }, { "dropping-particle" : "", "family" : "Torres-Morales", "given" : "Patricio", "non-dropping-particle" : "", "parse-names" : false, "suffix" : "" }, { "dropping-particle" : "", "family" : "Cavieres", "given" : "Lohengrin A.", "non-dropping-particle" : "", "parse-names" : false, "suffix" : "" }, { "dropping-particle" : "", "family" : "Pausas", "given" : "Juli G.", "non-dropping-particle" : "", "parse-names" : false, "suffix" : "" } ], "container-title" : "Diversity and Distributions", "id" : "ITEM-2", "issue" : "1", "issued" : { "date-parts" : [ [ "2011" ] ] }, "page" : "58-67", "title" : "Anthropogenic fires increase alien and native annual species in the Chilean coastal matorral", "type" : "article-journal", "volume" : "17" }, "uris" : [ "http://www.mendeley.com/documents/?uuid=8f1b9cd3-f003-4a33-b0b9-5560d68f91fc" ] }, { "id" : "ITEM-3", "itemData" : { "DOI" : "10.1007/s10530-007-9151-8", "ISBN" : "1387-3547", "ISSN" : "13873547", "abstract" : "Invasive species can increase fire frequency and intensity, generating favorable conditions for their self-perpetuation. Mediterranean south-central Chile may be especially prone to the effects of invasive species on fire regimes because it is less adapted to fire and it contains a highly endemic flora. Teline monspessulana (L.) K. Koch (syn. Cytisus monspessulanus L.; Genista monspessulana (L.) L.A.S. Johnson) is an introduced shrub that forms monotypic stands or is present as an understory species in native forests as well as in forestry plantations. Dense T. monspessulana stands are completely destroyed by fire, generating the conditions for it seeds to germinate and establish an abundant regeneration, with up to 900 plants/m(2). We report key evidence on abundance and biomass in adult stands, and patterns of seed bank and regeneration after fire in stands of T. monspessulana around the city of Concepcion, Chile. We estimated living biomass in pure stands and underneath Eucalyptus plantations. In burned areas, we assessed T. monspessulana seed bank and studied regeneration patterns. We found that T. monspessulana densities reaches 52,778 plants/ha and 8.92 ton/ha in pure stands and 34,223 plants/ha and 2.31 ton/ha underneath Eucalyptus plantations. T. monspessulana generates small caliper fuel and acts as a ladder-fuel. Large soil seed banks allow for abundant regeneration after fire, with mean densities of 877,111 plants/ha, but an overall mortality of 37.2% in the first year after the fire. The high values of regeneration compared to final densities in adult stands suggest that density-dependent mortality. Our results indicate that T. monspessulana regeneration is not only favored by fires, but also that the species creates favorable conditions for intense and continuous fires, both under pure conditions, but also associated to exotic tree plantations. To understand the implications of positive feedbacks between invaders and fire, we recommend focusing in the mechanisms by which they increases fuel accumulation and fuel flammability, and how higher fire frequency and intensity favors invasive species recruitment over native species. Comprehension of this dynamics will allow for better management and control of these invasions which have major ecological, economical and social implications.", "author" : [ { "dropping-particle" : "", "family" : "Pauchard", "given" : "An\u00edbal", "non-dropping-particle" : "", "parse-names" : false, "suffix" : "" }, { "dropping-particle" : "", "family" : "Garc\u00eda", "given" : "Rafael A.", "non-dropping-particle" : "", "parse-names" : false, "suffix" : "" }, { "dropping-particle" : "", "family" : "Pe\u00f1a", "given" : "Eduardo", "non-dropping-particle" : "", "parse-names" : false, "suffix" : "" }, { "dropping-particle" : "", "family" : "Gonz\u00e1lez", "given" : "Cristian", "non-dropping-particle" : "", "parse-names" : false, "suffix" : "" }, { "dropping-particle" : "", "family" : "Cavieres", "given" : "Lohengrin A.", "non-dropping-particle" : "", "parse-names" : false, "suffix" : "" }, { "dropping-particle" : "", "family" : "Bustamante", "given" : "Ramiro O.", "non-dropping-particle" : "", "parse-names" : false, "suffix" : "" } ], "container-title" : "Biological Invasions", "id" : "ITEM-3", "issue" : "4", "issued" : { "date-parts" : [ [ "2008" ] ] }, "page" : "547-553", "title" : "Positive feedbacks between plant invasions and fire regimes: &lt;i&gt;Teline monspessulana&lt;/i&gt; (L.) K. Koch (Fabaceae) in central Chile", "type" : "article-journal", "volume" : "10" }, "uris" : [ "http://www.mendeley.com/documents/?uuid=4132b091-b868-3e7d-9518-f8c76347b36f" ] }, { "id" : "ITEM-4", "itemData" : { "DOI" : "10.4067/S0716-078X2011000300001", "ISBN" : "0716-078X", "ISSN" : "0716-078X", "abstract" : "Setting fi res is an old practice of land management in the Mediterranean region of central Chile. Fire in the region is currently of predominantly human origin and previously published material suggests that the scheduling of these activities is associated with the spread of naturalized exotic species. Research into the effects of fi re on both native and exotic Mediterranean vegetation in central Chile has increased notably over recent years. The objective of our review is to highlight new knowledge in this area of research from the last 30 years and to contribute to systematization and an explicit conceptual model which takes into account the effect of a fi re regimen on the spread of exotic plants and the mechanisms involved. We begin with analyses of the fi re regimen which is currently observed in one Region of central Chile and a subsequent exploration of the literature to identify the attributes mainly of the germination of seeds which are sensitive to fi re and which apply to the exotic species that are abundantly naturalized in central Chile. According to the studies consulted, diverse mechanisms have been described which involve the effect of fi re on the spread of exotic plants in central Chile. Life-history traits, tolerance, facilitation, and positive feedback between exotic plants and fi re frequency have been mechanisms reported in the literature. Finally, we propose a conceptual model which represents dispersal assisted by humans of exotic species and the spread of species naturalized by the effect of fi re regimens, which helps explain the composition and structure of the matorral of central Chile in an early successional state.", "author" : [ { "dropping-particle" : "", "family" : "Contreras", "given" : "T.E.", "non-dropping-particle" : "", "parse-names" : false, "suffix" : "" }, { "dropping-particle" : "", "family" : "Figueroa", "given" : "J.A.", "non-dropping-particle" : "", "parse-names"</w:instrText>
      </w:r>
      <w:r w:rsidRPr="008608AA">
        <w:rPr>
          <w:lang w:val="es-CO"/>
        </w:rPr>
        <w:instrText xml:space="preserve"> : false, "suffix" : "" }, { "dropping-particle" : "", "family" : "Abarca", "given" : "L.", "non-dropping-particle" : "", "parse-names" : false, "suffix" : "" }, { "dropping-particle" : "", "family" : "Castro", "given" : "S.A.", "non-dropping-particle" : "", "parse-names" : false, "suffix" : "" } ], "container-title" : "Revista Chilena de Historia Natural", "id" : "ITEM-4", "issue" : "3", "issued" : { "date-parts" : [ [ "2011" ] ] }, "page" : "307-323", "title" : "Fire regimen and spread of plants naturalized in central Chile.", "type" : "article-journal", "volume" : "84" }, "uris" : [ "http://www.mendeley.com/documents/?uuid=032ade5c-6c54-37a3-9eee-b0bb273fab06" ] } ], "mendeley" : { "formattedCitation" : "(Contreras et al., 2011; G\u00f3mez-Gonz\u00e1lez et al., 2011; G\u00f3mez-Gonz\u00e1lez &amp; Cavieres, 2009; An\u00edbal Pauchard et al., 2008)", "manualFormatting" : "(Contreras et al., 2011; G\u00f3mez-Gonz\u00e1lez et al., 2011; G\u00f3mez-Gonz\u00e1lez &amp; Cavieres, 2009; Pauchard et al., 2008)", "plainTextFormattedCitation" : "(Contreras et al., 2011; G\u00f3mez-Gonz\u00e1lez et al., 2011; G\u00f3mez-Gonz\u00e1lez &amp; Cavieres, 2009; An\u00edbal Pauchard et al., 2008)", "previouslyFormattedCitation" : "(Contreras et al., 2011; G\u00f3mez-Gonz\u00e1lez et al., 2011; G\u00f3mez-Gonz\u00e1lez &amp; Cavieres, 2009; An\u00edbal Pauchard et al., 2008)" }, "properties" : { "noteIndex" : 0 }, "schema" : "https://github.com/citation-style-language/schema/raw/master/csl-citation.json" }</w:instrText>
      </w:r>
      <w:r w:rsidRPr="008608AA">
        <w:fldChar w:fldCharType="separate"/>
      </w:r>
      <w:r w:rsidRPr="008608AA">
        <w:rPr>
          <w:noProof/>
          <w:lang w:val="es-CO"/>
        </w:rPr>
        <w:t>(Contreras et al., 2011; Gómez-González et al., 2011; Gómez-González &amp; Cavieres, 2009; Pauchard et al., 2008)</w:t>
      </w:r>
      <w:r w:rsidRPr="008608AA">
        <w:fldChar w:fldCharType="end"/>
      </w:r>
      <w:r w:rsidRPr="008608AA">
        <w:rPr>
          <w:lang w:val="es-CO"/>
        </w:rPr>
        <w:t xml:space="preserve"> further altering species composition and NCP delivery. </w:t>
      </w:r>
      <w:r w:rsidRPr="008608AA">
        <w:rPr>
          <w:color w:val="222222"/>
          <w:shd w:val="clear" w:color="auto" w:fill="FFFFFF"/>
        </w:rPr>
        <w:t>Warmer and drier conditions in central Chile also saw a significant decrease in growth rates of </w:t>
      </w:r>
      <w:r w:rsidRPr="008608AA">
        <w:rPr>
          <w:i/>
          <w:iCs/>
          <w:color w:val="222222"/>
          <w:shd w:val="clear" w:color="auto" w:fill="FFFFFF"/>
        </w:rPr>
        <w:t>Nothofagus macrocarpa</w:t>
      </w:r>
      <w:r w:rsidRPr="008608AA">
        <w:rPr>
          <w:color w:val="222222"/>
          <w:shd w:val="clear" w:color="auto" w:fill="FFFFFF"/>
        </w:rPr>
        <w:t xml:space="preserve"> as of the 1980s </w:t>
      </w:r>
      <w:r w:rsidRPr="008608AA">
        <w:rPr>
          <w:rStyle w:val="Emphasis"/>
          <w:i w:val="0"/>
          <w:iCs w:val="0"/>
        </w:rPr>
        <w:fldChar w:fldCharType="begin" w:fldLock="1"/>
      </w:r>
      <w:r w:rsidRPr="008608AA">
        <w:rPr>
          <w:rStyle w:val="Emphasis"/>
          <w:i w:val="0"/>
        </w:rPr>
        <w:instrText>ADDIN CSL_CITATION { "citationItems" : [ { "id" : "ITEM-1", "itemData" : { "DOI" : "https://doi.org/10.1016/j.foreco.2017.11.006", "author" : [ { "dropping-particle" : "", "family" : "Venegas-Gonz\u00e1lez", "given" : "A.", "non-dropping-particle" : "", "parse-names" : false, "suffix" : "" }, { "dropping-particle" : "", "family" : "Ju\u00f1ent", "given" : "F.R", "non-dropping-particle" : "", "parse-names" : false, "suffix" : "" }, { "dropping-particle" : "", "family" : "Guti\u00e9rrez", "given" : "A.G.", "non-dropping-particle" : "", "parse-names" : false, "suffix" : "" }, { "dropping-particle" : "", "family" : "Tomazello Filho", "given" : "M.", "non-dropping-particle" : "", "parse-names" : false, "suffix" : "" } ], "container-title" : "Forest Ecology and Management", "id" : "ITEM-1", "issued" : { "date-parts" : [ [ "2018" ] ] }, "page" : "94-104", "title" : "Recent radial growth decline in response to increased drought conditions in the northernmost &lt;i&gt;Nothofagus&lt;/i&gt; populations from South America", "type" : "article-journal", "volume" : "409" }, "uris" : [ "http://www.mendeley.com/documents/?uuid=6632f9bb-fde3-4716-88b7-fcff46356d14" ] } ], "mendeley" : { "formattedCitation" : "(Venegas-Gonz\u00e1lez, Ju\u00f1ent, Guti\u00e9rrez, &amp; Tomazello Filho, 2018)", "manualFormatting" : "(Venegas-Gonz\u00e1lez et al., 2018)", "plainTextFormattedCitation" : "(Venegas-Gonz\u00e1lez, Ju\u00f1ent, Guti\u00e9rrez, &amp; Tomazello Filho, 2018)", "previouslyFormattedCitation" : "(Venegas-Gonz\u00e1lez, Ju\u00f1ent, Guti\u00e9rrez, &amp; Tomazello Filho, 2018)" }, "properties" : { "noteIndex" : 0 }, "schema" : "https://github.com/citation-style-language/schema/raw/master/csl-citation.json" }</w:instrText>
      </w:r>
      <w:r w:rsidRPr="008608AA">
        <w:rPr>
          <w:rStyle w:val="Emphasis"/>
          <w:i w:val="0"/>
          <w:iCs w:val="0"/>
        </w:rPr>
        <w:fldChar w:fldCharType="separate"/>
      </w:r>
      <w:r w:rsidRPr="008608AA">
        <w:rPr>
          <w:rStyle w:val="Emphasis"/>
          <w:i w:val="0"/>
          <w:noProof/>
        </w:rPr>
        <w:t>(Venegas-González et al., 2018)</w:t>
      </w:r>
      <w:r w:rsidRPr="008608AA">
        <w:rPr>
          <w:rStyle w:val="Emphasis"/>
          <w:i w:val="0"/>
          <w:iCs w:val="0"/>
        </w:rPr>
        <w:fldChar w:fldCharType="end"/>
      </w:r>
      <w:r w:rsidRPr="008608AA">
        <w:rPr>
          <w:rStyle w:val="Emphasis"/>
          <w:i w:val="0"/>
        </w:rPr>
        <w:t>.</w:t>
      </w:r>
    </w:p>
    <w:p w14:paraId="2CE389AE" w14:textId="77777777" w:rsidR="0063629E" w:rsidRPr="008608AA" w:rsidRDefault="0063629E" w:rsidP="007D4553">
      <w:pPr>
        <w:spacing w:before="120" w:after="120"/>
      </w:pPr>
    </w:p>
    <w:p w14:paraId="6EDA9FA6" w14:textId="6CA7C2A0" w:rsidR="0063629E" w:rsidRPr="008608AA" w:rsidRDefault="00FF0580" w:rsidP="0063629E">
      <w:pPr>
        <w:spacing w:before="120" w:after="120"/>
        <w:jc w:val="center"/>
      </w:pPr>
      <w:r w:rsidRPr="008608AA">
        <w:rPr>
          <w:noProof/>
          <w:lang w:val="en-GB" w:eastAsia="en-GB"/>
        </w:rPr>
        <w:drawing>
          <wp:inline distT="0" distB="0" distL="0" distR="0" wp14:anchorId="5B06F80A" wp14:editId="5D19C650">
            <wp:extent cx="5934075" cy="3943350"/>
            <wp:effectExtent l="0" t="0" r="9525" b="0"/>
            <wp:docPr id="30324" name="Imagen 30324" descr="C:\Users\Alejandro Valderrama\Downloads\Fig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9" descr="C:\Users\Alejandro Valderrama\Downloads\Fig3.20.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b="53898"/>
                    <a:stretch/>
                  </pic:blipFill>
                  <pic:spPr bwMode="auto">
                    <a:xfrm>
                      <a:off x="0" y="0"/>
                      <a:ext cx="5934075" cy="3943350"/>
                    </a:xfrm>
                    <a:prstGeom prst="rect">
                      <a:avLst/>
                    </a:prstGeom>
                    <a:noFill/>
                    <a:ln>
                      <a:noFill/>
                    </a:ln>
                    <a:extLst>
                      <a:ext uri="{53640926-AAD7-44D8-BBD7-CCE9431645EC}">
                        <a14:shadowObscured xmlns:a14="http://schemas.microsoft.com/office/drawing/2010/main"/>
                      </a:ext>
                    </a:extLst>
                  </pic:spPr>
                </pic:pic>
              </a:graphicData>
            </a:graphic>
          </wp:inline>
        </w:drawing>
      </w:r>
    </w:p>
    <w:p w14:paraId="1BA4F8AA" w14:textId="542B872F" w:rsidR="004255E7" w:rsidRPr="008608AA" w:rsidRDefault="004255E7" w:rsidP="0063629E">
      <w:pPr>
        <w:spacing w:before="120" w:after="120"/>
      </w:pPr>
      <w:r w:rsidRPr="008608AA">
        <w:t xml:space="preserve">Urban expansion in central Chile, often recent, has also contributed to local habitat and species losses </w:t>
      </w:r>
      <w:r w:rsidRPr="008608AA">
        <w:fldChar w:fldCharType="begin" w:fldLock="1"/>
      </w:r>
      <w:r w:rsidRPr="008608AA">
        <w:instrText>ADDIN CSL_CITATION { "citationItems" : [ { "id" : "ITEM-1", "itemData" : { "DOI" : "10.1016/j.biocon.2005.05.015", "ISBN" : "0006-3207", "ISSN" : "00063207", "PMID" : "284", "abstract" : "Urbanization is increasingly homogenizing the biota of less developed countries. Even though urban sprawl is a worldwide problem, most studies on the effects of urbanization, and the conceptual models have focused on developed countries. South America has not escaped urbanization, and here we discuss the potential impacts of urban sprawl with respect to three ecosystems in the metropolitan area of Concepci\u00f3n, Chile. We consider this area a good model and fairly representative of other cities in developing countries which are also experiencing rapid and uncontrolled growth. We found that the impacts of urban sprawl on biodiversity in the metropolitan area of Concepci\u00f3n differ little from cities in other parts of the world: native ecosystems are replaced by pavements and buildings and what is left of the natural soil is covered with green areas dominated by non-native ornamental species. Wetlands and other peri-urban ecosystems are rapidly being destroyed, fragmented or invaded by non-native species. We found that from a study area of 32,000 ha, there was a net loss to urbanization of 1734 ha of wetlands (23% of the original) and 1417 ha (9%) of agricultural, forest and shrub land cover types between 1975 and 2000. From the total area urbanized (3151 ha), 55% corresponded to wetlands and 45% to agricultural, forest and shrub lands cover types. We see the lack of environmental awareness as a major cause of the increasing deterioration of biodiversity in urban areas of developing countries. More research is needed to fully understand the effects of urban sprawl on the biodiversity of developing countries to include these ecosystems in global conservation strategies. \u00a9 2005 Elsevier Ltd. All rights reserved.", "author" : [ { "dropping-particle" : "", "family" : "Pauchard", "given" : "An\u00edbal", "non-dropping-particle" : "", "parse-names" : false, "suffix" : "" }, { "dropping-particle" : "", "family" : "Aguayo", "given" : "Mauricio", "non-dropping-particle" : "", "parse-names" : false, "suffix" : "" }, { "dropping-particle" : "", "family" : "Pe\u00f1a", "given" : "Eduardo", "non-dropping-particle" : "", "parse-names" : false, "suffix" : "" }, { "dropping-particle" : "", "family" : "Urrutia", "given" : "Roberto", "non-dropping-particle" : "", "parse-names" : false, "suffix" : "" } ], "container-title" : "Biological Conservation", "id" : "ITEM-1", "issue" : "3", "issued" : { "date-parts" : [ [ "2006" ] ] }, "page" : "272-281", "title" : "Multiple effects of urbanization on the biodiversity of developing countries: the case of a fast-growing metropolitan area (Concepci\u00f3n, Chile)", "type" : "article-journal", "volume" : "127" }, "uris" : [ "http://www.mendeley.com/documents/?uuid=aa71ff2a-a793-3f5a-9908-00b21a4805bc" ] }, { "id" : "ITEM-2", "itemData" : { "ISBN" : "0716-078X", "ISSN" : "0716-078X", "abstract" : "San Carlos de Apoquindo, a piedemont area to the east of Santiago city, is a site with 30 years of data on vertebrates. Using LANDSAT satellite imagery for the years 1975, 1989 and 2003, we studied the spatio-temporal trajectory of land use and its putative effects on vegetation, small mammals and raptors. On the basis of a landscape-level analysis, we interpreted long-term trends in the abundance of small mammals and in the diet of raptors. Satellite imagery reveals an accelerated expansion of the urban area in detriment of agricultural land and native scrubland. Native mammal species of small and medium size do not display large variation of abundance during the 30 years study period, but larger-sized native mammals show reduced population numbers. The European rabbit (Oryctolagus cuniculus) currently is among the most abundant mammal species in the area, and seems to be favored by the temporal transition from dense to sparse scrubland. In the diets of Chilean Eagle (Geranoaetus melanoleucus) and of native Harris' Hawk (Parabuteo unicinctus) there is a marked decrease of the native rodent prey Octodon degus and a concomitant increase of the exotic prey Oryctotagus cuniculus. In addition, there is a decreasing trend in richness and abundance of raptors throughout the study period, which is associated to both urban expansion and scrubland fragmentation and reduction. We propose that urban encroachment, together with areal reduction and fragmentation of native scrubland, has resulted in a decrease of the Octodon degus population, and in its subsequent decrease in the diet of both native eagles and hawks, which in turn has determined increased predation on exotic rabbits.", "author" : [ { "dropping-particle" : "", "family" : "Pavez", "given" : "Eduardo F.", "non-dropping-particle" : "", "parse-names" : false, "suffix" : "" }, { "dropping-particle" : "", "family" : "Lobos", "given" : "Gabriel A.", "non-dropping-particle" : "", "parse-names" : false, "suffix" : "" }, { "dropping-particle" : "", "family" : "Jaksic", "given" : "Fabian M.", "non-dropping-particle" : "", "parse-names" : false, "suffix" : "" } ], "container-title" : "Revista Chilena de Historia Natural", "id" : "ITEM-2", "issue" : "1", "issued" : { "date-parts" : [ [ "2010" ] ] }, "page" : "99-111", "title" : "Long-term changes in landscape and in small mammal and raptor assemblages in central Chile", "type" : "article-journal", "volume" : "83" }, "uris" : [ "http://www.mendeley.com/documents/?uuid=10ec11d1-5147-3983-a054-8d5088da6134" ] }, { "id" : "ITEM-3", "itemData" : { "ISSN" : "0716-078X", "author" : [ { "dropping-particle" : "", "family" : "Simonetti", "given" : "Javier A.", "non-dropping-particle" : "", "parse-names" : false, "suffix" : "" }, { "dropping-particle" : "", "family" : "Lazo", "given" : "Waldo", "non-dropping-particle" : "", "parse-names" : false, "suffix" : "" } ], "container-title" : "Revista Chilena De Historia Natural", "id" : "ITEM-3", "issue" : "3", "issued" : { "date-parts" : [ [ "1994" ] ] }, "page" : "351-352", "title" : "&lt;i&gt;Lepiota locaniensis&lt;/i&gt;: an extinct Chilean fungus", "type" : "article-journal", "volume" : "67" }, "uris" : [ "http://www.mendeley.com/documents/?uuid=5646af39-b4e5-3272-81e0-b58e9372399f" ] } ], "mendeley" : { "formattedCitation" : "(An\u00edbal Pauchard, Aguayo, Pe\u00f1a, &amp; Urrutia, 2006; Pavez, Lobos, &amp; Jaksic, 2010; Simonetti &amp; Lazo, 1994)", "manualFormatting" : "(Pauchard et al., 2006; Pavez et al., 2010; Simonetti &amp; Lazo, 1994)", "plainTextFormattedCitation" : "(An\u00edbal Pauchard, Aguayo, Pe\u00f1a, &amp; Urrutia, 2006; Pavez, Lobos, &amp; Jaksic, 2010; Simonetti &amp; Lazo, 1994)", "previouslyFormattedCitation" : "(An\u00edbal Pauchard, Aguayo, Pe\u00f1a, &amp; Urrutia, 2006; Pavez, Lobos, &amp; Jaksic, 2010; Simonetti &amp; Lazo, 1994)" }, "properties" : { "noteIndex" : 0 }, "schema" : "https://github.com/citation-style-language/schema/raw/master/csl-citation.json" }</w:instrText>
      </w:r>
      <w:r w:rsidRPr="008608AA">
        <w:fldChar w:fldCharType="separate"/>
      </w:r>
      <w:r w:rsidRPr="008608AA">
        <w:rPr>
          <w:noProof/>
        </w:rPr>
        <w:t>(Pauchard et al., 2006; Pavez et al., 2010; Simonetti &amp; Lazo, 1994)</w:t>
      </w:r>
      <w:r w:rsidRPr="008608AA">
        <w:fldChar w:fldCharType="end"/>
      </w:r>
      <w:r w:rsidRPr="008608AA">
        <w:t xml:space="preserve">. However, urban spaces clearly can play an important role in maintaining biodiversity, as seen by the 42 native bee species in a semi-natural botanical garden in Santiago </w:t>
      </w:r>
      <w:r w:rsidRPr="008608AA">
        <w:fldChar w:fldCharType="begin" w:fldLock="1"/>
      </w:r>
      <w:r w:rsidRPr="008608AA">
        <w:instrText>ADDIN CSL_CITATION { "citationItems" : [ { "id" : "ITEM-1", "itemData" : { "author" : [ { "dropping-particle" : "", "family" : "Montalva", "given" : "Jos\u00e9", "non-dropping-particle" : "", "parse-names" : false, "suffix" : "" }, { "dropping-particle" : "", "family" : "Castro", "given" : "Benjamin", "non-dropping-particle" : "", "parse-names" : false, "suffix" : "" }, { "dropping-particle" : "", "family" : "Allendes", "given" : "Juan Luis", "non-dropping-particle" : "", "parse-names" : false, "suffix" : "" } ], "container-title" : "Revista del Jard\u00edn Bot\u00e1nico Chagual", "id" : "ITEM-1", "issued" : { "date-parts" : [ [ "2010" ] ] }, "page" : "13-23", "title" : "Las abejas (Hymenoptera: Apoidea) del Jard\u00edn Bot\u00e1nico Chagual. Estudio de caso de abejas nativas en zonas urbanas de Santiago de Chile.", "type" : "article-journal", "volume" : "No. 8" }, "uris" : [ "http://www.mendeley.com/documents/?uuid=951d1e0a-4408-327b-9cc7-fd559cd22b57" ] } ], "mendeley" : { "formattedCitation" : "(Jos\u00e9 Montalva, Castro, &amp; Allendes, 2010)", "manualFormatting" : "(Montalva et al., 2010)", "plainTextFormattedCitation" : "(Jos\u00e9 Montalva, Castro, &amp; Allendes, 2010)", "previouslyFormattedCitation" : "(Jos\u00e9 Montalva, Castro, &amp; Allendes, 2010)" }, "properties" : { "noteIndex" : 0 }, "schema" : "https://github.com/citation-style-language/schema/raw/master/csl-citation.json" }</w:instrText>
      </w:r>
      <w:r w:rsidRPr="008608AA">
        <w:fldChar w:fldCharType="separate"/>
      </w:r>
      <w:r w:rsidRPr="008608AA">
        <w:rPr>
          <w:noProof/>
        </w:rPr>
        <w:t>(Montalva et al., 2010)</w:t>
      </w:r>
      <w:r w:rsidRPr="008608AA">
        <w:fldChar w:fldCharType="end"/>
      </w:r>
      <w:r w:rsidRPr="008608AA">
        <w:t xml:space="preserve">. </w:t>
      </w:r>
    </w:p>
    <w:p w14:paraId="6F3C2876" w14:textId="77777777" w:rsidR="0063629E" w:rsidRPr="008608AA" w:rsidRDefault="0063629E" w:rsidP="0063629E">
      <w:pPr>
        <w:spacing w:before="120" w:after="120"/>
      </w:pPr>
    </w:p>
    <w:p w14:paraId="22E45E43" w14:textId="71E9374B" w:rsidR="004255E7" w:rsidRPr="008608AA" w:rsidRDefault="004255E7" w:rsidP="0063629E">
      <w:pPr>
        <w:pStyle w:val="Heading4"/>
        <w:rPr>
          <w:lang w:val="en-US"/>
        </w:rPr>
      </w:pPr>
      <w:bookmarkStart w:id="1123" w:name="_Toc502927361"/>
      <w:bookmarkStart w:id="1124" w:name="_Toc517393315"/>
      <w:bookmarkStart w:id="1125" w:name="_Toc517719056"/>
      <w:bookmarkStart w:id="1126" w:name="_Toc517797013"/>
      <w:r w:rsidRPr="008608AA">
        <w:rPr>
          <w:lang w:val="en-US"/>
        </w:rPr>
        <w:t>Tundra and high mountain habitats</w:t>
      </w:r>
      <w:bookmarkEnd w:id="1123"/>
      <w:bookmarkEnd w:id="1124"/>
      <w:bookmarkEnd w:id="1125"/>
      <w:bookmarkEnd w:id="1126"/>
    </w:p>
    <w:p w14:paraId="2E00F546" w14:textId="77777777" w:rsidR="004255E7" w:rsidRPr="008608AA" w:rsidRDefault="004255E7" w:rsidP="0063629E">
      <w:pPr>
        <w:pStyle w:val="Heading5"/>
        <w:numPr>
          <w:ilvl w:val="0"/>
          <w:numId w:val="0"/>
        </w:numPr>
        <w:ind w:left="1008" w:hanging="1008"/>
        <w:rPr>
          <w:sz w:val="24"/>
          <w:szCs w:val="24"/>
        </w:rPr>
      </w:pPr>
      <w:r w:rsidRPr="008608AA">
        <w:rPr>
          <w:sz w:val="24"/>
          <w:szCs w:val="24"/>
        </w:rPr>
        <w:t xml:space="preserve">North American subregion </w:t>
      </w:r>
    </w:p>
    <w:p w14:paraId="75CE5C76" w14:textId="578712AD" w:rsidR="004255E7" w:rsidRPr="008608AA" w:rsidRDefault="007D4553" w:rsidP="0063629E">
      <w:pPr>
        <w:widowControl w:val="0"/>
        <w:autoSpaceDE w:val="0"/>
        <w:autoSpaceDN w:val="0"/>
        <w:adjustRightInd w:val="0"/>
        <w:spacing w:after="120"/>
      </w:pPr>
      <w:r w:rsidRPr="008608AA">
        <w:rPr>
          <w:iCs/>
        </w:rPr>
        <w:t xml:space="preserve">Status. </w:t>
      </w:r>
      <w:r w:rsidR="00F10808" w:rsidRPr="008608AA">
        <w:t xml:space="preserve">Species richness beyond latitudinal treeline in North American arctic tundra is low in relation to its vast area (Table 3.4), and decreases with increasing latitude </w:t>
      </w:r>
      <w:r w:rsidR="00F10808" w:rsidRPr="008608AA">
        <w:fldChar w:fldCharType="begin" w:fldLock="1"/>
      </w:r>
      <w:r w:rsidR="00F10808" w:rsidRPr="008608AA">
        <w:instrText>ADDIN CSL_CITATION { "citationItems" : [ { "id" : "ITEM-1", "itemData" : { "ISBN" : "9789935431226", "abstract" : "Foreword by the Chief Scientist Until recently, most Arctic biodiversity was relatively unaffected by negative impacts from human activities. Only over-exploitation of certain animal populations posed serious threats, such as the extermination of Steller\u2019s sea cow, the great auk, the Eskimo curlew and a number of whale populations in recent centuries, in addition to the contribution that humans may have made to the extermination of terrestrial mega-fauna in prehistoric times. Human impacts, however, have increased in modern times with increasing human populations in much of the Arctic, modern means of rapid transport, modern hunting and fishing technology, increasing exploration and exploitation of mineral resources, impacts from contaminants and, most importantly, with climate change, which is more pronounced in the Arctic than elsewhere on the globe. There is no inherited capacity in human nature to safeguard the Earth\u2019s biological assets \u2013 moral and intellectual strength are needed to achieve conservation and wise use of living resources through cultural and personal ethics and practices. Sustainability is a prerequisite for such balance, but it does not come without restraint and concerted efforts by all stakeholders, supported by mutual social pressure, legislation and law enforcement. The Arctic is changing rapidly with shorter winters, rapidly melting sea ice, retreating glaciers and expanding sub-Arctic vegetation from the south. If greenhouse gas emissions are not reduced, Arctic biodiversity will be forever changed, and much may disappear completely. On 18 May 2011, 50 prominent thinkers, among them 15 Nobel Prize winners, issued The Stockholm Memorandum, which among other things states that: Science indicates that we are transgressing planetary boundaries that have kept civilization safe for the past 10,000 years. Evidence is growing that human pressures are starting to overwhelm the Earth\u2019s buffering capacity. Humans are now the most significant driver of global change, propelling the planet into a new geological epoch, the Anthropocene. We can no longer exclude the possibility that our collective actions will trigger tipping points, risking abrupt and irreversible consequences for human communities and ecological systems. We cannot continue on our current path. The time for procrastination is over. We cannot afford the luxury of denial. We must respond rationally, equipped with scientific evidence. Among the many current and projected stres\u2026", "editor" : [ { "dropping-particle" : "", "family" : "Meltofte", "given" : "H.", "non-dropping-particle" : "", "parse-names" : false, "suffix" : "" } ], "id" : "ITEM-1", "issued" : { "date-parts" : [ [ "2013" ] ] }, "publisher" : "Conservation of Arctic Flora and Fauna", "publisher-place" : "Akureyri, Iceland", "title" : "Arctic Biodiversity Assessment. Status and Trends in Arctic Biodiversity", "type" : "book" }, "uris" : [ "http://www.mendeley.com/documents/?uuid=99b8a3dd-b860-450e-87a7-0f45265f8da9" ] }, { "id" : "ITEM-2", "itemData" : { "ISBN" : "978-3-642-78968-7", "author" : [ { "dropping-particle" : "", "family" : "Walker", "given" : "M. D.", "non-dropping-particle" : "", "parse-names" : false, "suffix" : "" } ], "container-title" : "Arctic and Alpine Biodiversity: Patterns, Causes and Ecosystem Consequences", "editor" : [ { "dropping-particle" : "", "family" : "Chapin III", "given" : "F.S.", "non-dropping-particle" : "", "parse-names" : false, "suffix" : "" }, { "dropping-particle" : "", "family" : "K\u00f6rner", "given" : "C.", "non-dropping-particle" : "", "parse-names" : false, "suffix" : "" } ], "id" : "ITEM-2", "issued" : { "date-parts" : [ [ "1995" ] ] }, "page" : "3-20", "publisher" : "Springer", "publisher-place" : "Berlin, Germany", "title" : "Patterns and causes of Arctic plant community diversity", "type" : "chapter" }, "uris" : [ "http://www.mendeley.com/documents/?uuid=7b6bd633-7533-490a-87c9-2f4275e567be" ] } ], "mendeley" : { "formattedCitation" : "(Walker 1995, Meltofte 2013)", "manualFormatting" : "(Meltofte, 2013; Walker, 1995)", "plainTextFormattedCitation" : "(Walker 1995, Meltofte 2013)", "previouslyFormattedCitation" : "(Walker 1995, Meltofte 2013)" }, "properties" : { "noteIndex" : 0 }, "schema" : "https://github.com/citation-style-language/schema/raw/master/csl-citation.json" }</w:instrText>
      </w:r>
      <w:r w:rsidR="00F10808" w:rsidRPr="008608AA">
        <w:fldChar w:fldCharType="separate"/>
      </w:r>
      <w:r w:rsidR="00F10808" w:rsidRPr="008608AA">
        <w:rPr>
          <w:noProof/>
        </w:rPr>
        <w:t>(Meltofte, 2013; Walker, 1995)</w:t>
      </w:r>
      <w:r w:rsidR="00F10808" w:rsidRPr="008608AA">
        <w:fldChar w:fldCharType="end"/>
      </w:r>
      <w:r w:rsidR="00F10808" w:rsidRPr="008608AA">
        <w:t xml:space="preserve">. </w:t>
      </w:r>
      <w:r w:rsidR="004255E7" w:rsidRPr="008608AA">
        <w:t xml:space="preserve">Endemism is rare because many tundra-adapted taxa are distributed across both North American </w:t>
      </w:r>
      <w:r w:rsidR="007F2AAD" w:rsidRPr="008608AA">
        <w:t>A</w:t>
      </w:r>
      <w:r w:rsidR="00702CDB" w:rsidRPr="008608AA">
        <w:t xml:space="preserve">rctic tundra (including Greenland) </w:t>
      </w:r>
      <w:r w:rsidR="004255E7" w:rsidRPr="008608AA">
        <w:t xml:space="preserve">and the Eurasian arctic tundra. For example, 80% of vascular plant species in the Arctic are common to both regions, so just 1.1% of North American </w:t>
      </w:r>
      <w:r w:rsidR="007F2AAD" w:rsidRPr="008608AA">
        <w:t>A</w:t>
      </w:r>
      <w:r w:rsidR="00702CDB" w:rsidRPr="008608AA">
        <w:t xml:space="preserve">rctic tundra </w:t>
      </w:r>
      <w:r w:rsidR="004255E7" w:rsidRPr="008608AA">
        <w:t xml:space="preserve">vascular plant species are endemic </w:t>
      </w:r>
      <w:r w:rsidR="004255E7" w:rsidRPr="008608AA">
        <w:fldChar w:fldCharType="begin" w:fldLock="1"/>
      </w:r>
      <w:r w:rsidR="004255E7" w:rsidRPr="008608AA">
        <w:instrText>ADDIN CSL_CITATION { "citationItems" : [ { "id" : "ITEM-1", "itemData" : { "DOI" : "10.1579/0044-7447-33.7.404", "ISBN" : "0044-7447", "ISSN" : "0044-7447", "PMID" : "15573569", "abstract" : "The individual of a species is the basic unit which responds to climate and UV-B changes, and it responds over a wide range of time scales. The diversity of animal, plant and microbial species appears to be low in the Arctic, and decreases from the boreal forests to the polar deserts of the extreme North but primitive species are particularly abundant. This latitudinal decline is associated with an increase in super-dominant species that occupy a wide range of habitats. Climate warming is expected to reduce the abundance and restrict the ranges of such species and to affect species at their northern range boundaries more than in the South: some Arctic animal and plant specialists could face extinction. Species most likely to expand into tundra are boreal species that currently exist as outlier populations in the Arctic. Many plant species have characteristics that allow them to survive short snow-free growing seasons, low solar angles, permafrost and low soil temperatures, low nutrient availability and physical disturbance. Many of these characteristics are likely to limit species' responses to climate warming, but mainly because of poor competitive ability compared with potential immigrant species. Terrestrial Arctic animals possess many adaptations that enable them to persist under a wide range of temperatures in the Arctic. Many escape unfavorable weather and resource shortage by winter dormancy or by migration. The biotic environment of Arctic animal species is relatively simple with few enemies, competitors, diseases, parasites and available food resources. Terrestrial Arctic animals are likely to be most vulnerable to warmer and drier summers, climatic changes that interfere with migration routes and staging areas, altered snow conditions and freeze-thaw cycles in winter, climate-induced disruption of the seasonal timing of reproduction and development, and influx of new competitors, predators, parasites and diseases. Arctic microorganisms are also well adapted to the Arctic's climate: some can metabolize at temperatures down to -39 degrees C. Cyanobacteria and algae have a wide range of adaptive strategies that allow them to avoid, or at least minimize UV injury. Microorganisms can tolerate most environmental conditions and they have short generation times which can facilitate rapid adaptation to new environments. In contrast, Arctic plant and animal species are very likely to change their distributions rather than evolve significantly in respons\u2026", "author" : [ { "dropping-particle" : "V", "family" : "Callaghan", "given" : "Terry", "non-dropping-particle" : "", "parse-names" : false, "suffix" : "" }, { "dropping-particle" : "", "family" : "Bj\u00f6rn", "given" : "Lars Olof", "non-dropping-particle" : "", "parse-names" : false, "suffix" : "" }, { "dropping-particle" : "", "family" : "Chernov", "given" : "Yuri", "non-dropping-particle" : "", "parse-names" : false, "suffix" : "" }, { "dropping-particle" : "", "family" : "Chapin", "given" : "Terry", "non-dropping-particle" : "", "parse-names" : false, "suffix" : "" }, { "dropping-particle" : "", "family" : "Christensen", "given" : "Torben R", "non-dropping-particle" : "", "parse-names" : false, "suffix" : "" }, { "dropping-particle" : "", "family" : "Huntley", "given" : "Brian", "non-dropping-particle" : "", "parse-names" : false, "suffix" : "" }, { "dropping-particle" : "", "family" : "Ims", "given" : "Rolf a", "non-dropping-particle" : "", "parse-names" : false, "suffix" : "" }, { "dropping-particle" : "", "family" : "Johansson", "given" : "Margareta", "non-dropping-particle" : "", "parse-names" : false, "suffix" : "" }, { "dropping-particle" : "", "family" : "Jolly", "given" : "Dyanna", "non-dropping-particle" : "", "parse-names" : false, "suffix" : "" }, { "dropping-particle" : "", "family" : "Jonasson", "given" : "Sven", "non-dropping-particle" : "", "parse-names" : false, "suffix" : "" }, { "dropping-particle" : "", "family" : "Matveyeva", "given" : "Nadya", "non-dropping-particle" : "", "parse-names" : false, "suffix" : "" }, { "dropping-particle" : "", "family" : "Panikov", "given" : "Nicolai", "non-dropping-particle" : "", "parse-names" : false, "suffix" : "" }, { "dropping-particle" : "", "family" : "Oechel", "given" : "Walter", "non-dropping-particle" : "", "parse-names" : false, "suffix" : "" }, { "dropping-particle" : "", "family" : "Shaver", "given" : "Gus", "non-dropping-particle" : "", "parse-names" : false, "suffix" : "" }, { "dropping-particle" : "", "family" : "Elster", "given" : "Josef", "non-dropping-particle" : "", "parse-names" : false, "suffix" : "" }, { "dropping-particle" : "", "family" : "Henttonen", "given" : "Heikki", "non-dropping-particle" : "", "parse-names" : false, "suffix" : "" }, { "dropping-particle" : "", "family" : "Laine", "given" : "Kari", "non-dropping-particle" : "", "parse-names" : false, "suffix" : "" }, { "dropping-particle" : "", "family" : "Taulavuori", "given" : "Kari", "non-dropping-particle" : "", "parse-names" : false, "suffix" : "" }, { "dropping-particle" : "", "family" : "Taulavuori", "given" : "Erja", "non-dropping-particle" : "", "parse-names" : false, "suffix" : "" }, { "dropping-particle" : "", "family" : "Z\u00f6ckler", "given" : "Christoph", "non-dropping-particle" : "", "parse-names" : false, "suffix" : "" } ], "container-title" : "Ambio", "id" : "ITEM-1", "issue" : "7", "issued" : { "date-parts" : [ [ "2004" ] ] }, "page" : "404-417", "title" : "Biodiversity, distributions and adaptations of Arctic species in the context of environmental change", "type" : "article-journal", "volume" : "33" }, "uris" : [ "http://www.mendeley.com/documents/?uuid=298859aa-66d2-41ca-aed6-2a96e0a44877" ] }, { "id" : "ITEM-2", "itemData" : { "author" : [ { "dropping-particle" : "", "family" : "Elven", "given" : "R.", "non-dropping-particle" : "", "parse-names" : false, "suffix" : "" }, { "dropping-particle" : "", "family" : "Murray", "given" : "D. F.", "non-dropping-particle" : "", "parse-names" : false, "suffix" : "" }, { "dropping-particle" : "", "family" : "Razzhivin", "given" : "V.Y.", "non-dropping-particle" : "", "parse-names" : false, "suffix" : "" }, { "dropping-particle" : "", "family" : "Yurtsev", "given" : "B.A.", "non-dropping-particle" : "", "parse-names" : false, "suffix" : "" } ], "id" : "ITEM-2", "issued" : { "date-parts" : [ [ "2011" ] ] }, "title" : "Annotated checklist of the panarctic flora (PAF): vascular plants", "type" : "article" }, "uris" : [ "http://www.mendeley.com/documents/?uuid=ca2f2cbb-6973-4a06-a771-0627f7e1cf63" ] } ], "mendeley" : { "formattedCitation" : "(Callaghan et al., 2004; Elven, Murray, Razzhivin, &amp; Yurtsev, 2011)", "manualFormatting" : "(Callaghan et al., 2004; Elven at al., 2011)", "plainTextFormattedCitation" : "(Callaghan et al., 2004; Elven, Murray, Razzhivin, &amp; Yurtsev, 2011)", "previouslyFormattedCitation" : "(Callaghan et al., 2004; Elven, Murray, Razzhivin, &amp; Yurtsev, 2011)" }, "properties" : { "noteIndex" : 0 }, "schema" : "https://github.com/citation-style-language/schema/raw/master/csl-citation.json" }</w:instrText>
      </w:r>
      <w:r w:rsidR="004255E7" w:rsidRPr="008608AA">
        <w:fldChar w:fldCharType="separate"/>
      </w:r>
      <w:r w:rsidR="004255E7" w:rsidRPr="008608AA">
        <w:rPr>
          <w:noProof/>
        </w:rPr>
        <w:t>(Callaghan et al., 2004; Elven at al., 2011)</w:t>
      </w:r>
      <w:r w:rsidR="004255E7" w:rsidRPr="008608AA">
        <w:fldChar w:fldCharType="end"/>
      </w:r>
      <w:r w:rsidR="004255E7" w:rsidRPr="008608AA">
        <w:t xml:space="preserve">. </w:t>
      </w:r>
      <w:r w:rsidR="00594F64" w:rsidRPr="008608AA">
        <w:t>The extent and biodiversity of the North American ar</w:t>
      </w:r>
      <w:r w:rsidR="00702CDB" w:rsidRPr="008608AA">
        <w:t>c</w:t>
      </w:r>
      <w:r w:rsidR="00594F64" w:rsidRPr="008608AA">
        <w:t xml:space="preserve">tic tundra remain largely unchanged compared to pre-European settlement, with localized reductions in extent associated with natural resource extraction and permanently settled villages and cities </w:t>
      </w:r>
      <w:r w:rsidR="00594F64" w:rsidRPr="008608AA">
        <w:fldChar w:fldCharType="begin" w:fldLock="1"/>
      </w:r>
      <w:r w:rsidR="00594F64" w:rsidRPr="008608AA">
        <w:instrText>ADDIN CSL_CITATION { "citationItems" : [ { "id" : "ITEM-1", "itemData" : { "DOI" : "10.1111/gcb.12500", "PMID" : "24339207", "abstract" : "Many areas of the Arctic are simultaneously affected by rapid climate change and rapid industrial development. These areas are likely to increase in number and size as sea ice melts and abundant Arctic natural resources become more accessible. Documenting the changes that have already occurred is essential to inform management approaches to minimize the impacts of future activities. Here, we determine the cumulative geoecological effects of 62 years (1949\u20132011) of infrastructure- and climate-related changes in the Prudhoe Bay Oilfield, the oldest and most extensive industrial complex in the Arctic, and an area with extensive ice-rich permafrost that is extraordinarily sensitive to climate change. We demonstrate that thermokarst has recently affected broad areas of the entire region, and that a sudden increase in the area affected began shortly after 1990 corresponding to a rapid rise in regional summer air temperatures and related permafrost temperatures. We also present a conceptual model that describes how infrastructure-related factors, including road dust and roadside flooding are contributing to more extensive thermokarst in areas adjacent to roads and gravel pads. We mapped the historical infrastructure changes for the Alaska North Slope oilfields for 10 dates from the initial oil discovery in 1968\u20132011. By 2010, over 34% of the intensively mapped area was affected by oil development. In addition, between 1990 and 2001, coincident with strong atmospheric warming during the 1990s, 19% of the remaining natural landscapes (excluding areas covered by infrastructure, lakes and river floodplains) exhibited expansion of thermokarst features resulting in more abundant small ponds, greater microrelief, more active lakeshore erosion and increased landscape and habitat heterogeneity. This transition to a new geoecological regime will have impacts to wildlife habitat, local residents and industry.", "author" : [ { "dropping-particle" : "", "family" : "Raynolds", "given" : "Martha K.", "non-dropping-particle" : "", "parse-names" : false, "suffix" : "" }, { "dropping-particle" : "", "family" : "Walker", "given" : "Donald A.", "non-dropping-particle" : "", "parse-names" : false, "suffix" : "" }, { "dropping-particle" : "", "family" : "Ambrosius", "given" : "Kenneth J.", "non-dropping-particle" : "", "parse-names" : false, "suffix" : "" }, { "dropping-particle" : "", "family" : "Brown", "given" : "Jerry", "non-dropping-particle" : "", "parse-names" : false, "suffix" : "" }, { "dropping-particle" : "", "family" : "Everett", "given" : "Kaye R.", "non-dropping-particle" : "", "parse-names" : false, "suffix" : "" }, { "dropping-particle" : "", "family" : "Kanevskiy", "given" : "Mikhail", "non-dropping-particle" : "", "parse-names" : false, "suffix" : "" }, { "dropping-particle" : "", "family" : "Kofinas", "given" : "Gary P.", "non-dropping-particle" : "", "parse-names" : false, "suffix" : "" }, { "dropping-particle" : "", "family" : "Romanovsky", "given" : "Vladimir E.", "non-dropping-particle" : "", "parse-names" : false, "suffix" : "" }, { "dropping-particle" : "", "family" : "Shur", "given" : "Yuri", "non-dropping-particle" : "", "parse-names" : false, "suffix" : "" }, { "dropping-particle" : "", "family" : "Webber", "given" : "Patrick J.", "non-dropping-particle" : "", "parse-names" : false, "suffix" : "" } ], "container-title" : "Global Change Biology", "id" : "ITEM-1", "issue" : "4", "issued" : { "date-parts" : [ [ "2014" ] ] }, "page" : "1211-1224", "title" : "Cumulative geoecological effects of 62 years of infrastructure and climate change in ice-rich permafrost landscapes, Prudhoe Bay Oilfield, Alaska", "type" : "article-journal", "volume" : "20" }, "uris" : [ "http://www.mendeley.com/documents/?uuid=71a098ad-b62e-4642-b2a1-886cc3212156" ] }, { "id" : "ITEM-2", "itemData" : { "author" : [ { "dropping-particle" : "", "family" : "Young", "given" : "O. R.", "non-dropping-particle" : "", "parse-names" : false, "suffix" : "" }, { "dropping-particle" : "", "family" : "Chapin III", "given" : "F. S", "non-dropping-particle" : "", "parse-names" : false, "suffix" : "" } ], "container-title" : "Arctic and Alpine Biodiversity: Patterns, Causes and Ecosystem Consequences", "editor" : [ { "dropping-particle" : "", "family" : "Chapin III", "given" : "F.S.", "non-dropping-particle" : "", "parse-names" : false, "suffix" : "" }, { "dropping-particle" : "", "family" : "K\u00f6rner", "given" : "C.", "non-dropping-particle" : "", "parse-names" : false, "suffix" : "" } ], "id" : "ITEM-2", "issued" : { "date-parts" : [ [ "1995" ] ] }, "page" : "183-196", "publisher" : "Springer", "publisher-place" : "Berlin, Germany", "title" : "Anthropogenic impacts on biodiversity in the Arctic", "type" : "chapter" }, "uris" : [ "http://www.mendeley.com/documents/?uuid=a9bd9a11-d552-30c3-96ea-0eac4ad900f9" ] } ], "mendeley" : { "formattedCitation" : "(Young and Chapin III 1995, Raynolds et al. 2014)", "manualFormatting" : "(Raynolds et al., 2014; Young &amp; Chapin III, 1995)", "plainTextFormattedCitation" : "(Young and Chapin III 1995, Raynolds et al. 2014)", "previouslyFormattedCitation" : "(Young and Chapin III 1995, Raynolds et al. 2014)" }, "properties" : { "noteIndex" : 0 }, "schema" : "https://github.com/citation-style-language/schema/raw/master/csl-citation.json" }</w:instrText>
      </w:r>
      <w:r w:rsidR="00594F64" w:rsidRPr="008608AA">
        <w:fldChar w:fldCharType="separate"/>
      </w:r>
      <w:r w:rsidR="00594F64" w:rsidRPr="008608AA">
        <w:rPr>
          <w:noProof/>
        </w:rPr>
        <w:t>(Raynolds et al., 2014; Young &amp; Chapin III, 1995)</w:t>
      </w:r>
      <w:r w:rsidR="00594F64" w:rsidRPr="008608AA">
        <w:fldChar w:fldCharType="end"/>
      </w:r>
      <w:r w:rsidR="00594F64" w:rsidRPr="008608AA">
        <w:t>.</w:t>
      </w:r>
      <w:r w:rsidR="004255E7" w:rsidRPr="008608AA">
        <w:t xml:space="preserve"> Non-native species in arctic tundra are uncommon and usually associated with human activity </w:t>
      </w:r>
      <w:r w:rsidR="004255E7" w:rsidRPr="008608AA">
        <w:fldChar w:fldCharType="begin" w:fldLock="1"/>
      </w:r>
      <w:r w:rsidR="004255E7" w:rsidRPr="008608AA">
        <w:instrText>ADDIN CSL_CITATION { "citationItems" : [ { "id" : "ITEM-1", "itemData" : { "DOI" : "10.14430/arctic4560", "ISSN" : "19231245", "abstract" : "Interacting forces of climate change and increased human activity in the Arctic are driving rapid changes in ecosystem structure, function, and biodiversity. One such change is the northern range expansion of tree species. We present the first account of the boreal tree species trembling aspen (Populus tremuloides, Salicaceae) growing beyond the latitudinal treeline in the northern foothills of the Brooks Range, Alaska. The four trembling aspen stands described in this paper are located on abandoned gravel roads or pads created for construction purposes. We hypothesize that gravel pads create islands of substrate suitable for tree growth within the Arctic by providing greater rooting depth, well-drained microsites, an extended growing season, and acid-buffering capacity. Further, traffic along the south-to-north oriented Dalton Highway from the boreal forest in Interior Alaska to the Arctic may aid seed dispersal across the topographic barrier of the Brooks Range. Therefore, increased development in the Arctic will likely accelerate the establishment of trees as climate becomes more favorable for tree growth. Tree colonization associated with infrastructure development would contrast sharply with prior conceptual models of gradual treeline advance following disturbance.", "author" : [ { "dropping-particle" : "", "family" : "Ackerman", "given" : "Daniel", "non-dropping-particle" : "", "parse-names" : false, "suffix" : "" }, { "dropping-particle" : "", "family" : "Breen", "given" : "Amy", "non-dropping-particle" : "", "parse-names" : false, "suffix" : "" } ], "container-title" : "Arctic", "id" : "ITEM-1", "issue" : "2", "issued" : { "date-parts" : [ [ "2016" ] ] }, "page" : "130-136", "title" : "Infrastructure development accelerates range expansion of trembling aspen (&lt;i&gt;Populus tremuloides&lt;/i&gt;, Salicaceae) into the Arctic", "type" : "article-journal", "volume" : "69" }, "uris" : [ "http://www.mendeley.com/documents/?uuid=73f256eb-0ca7-32b7-9886-609c07643bf5" ] }, { "id" : "ITEM-2", "itemData" : { "ISBN" : "0004-0843", "ISSN" : "00040843", "abstract" : "A white spruce seedling, Picea glauca (Moench) Voss, was found at the northern edge of the Brooks Range in Alaska, more than 50 km north of the latitudinal tree line. The seedling, 19 cm tall and about nine years old, was growing at the side of the Dalton Highway to Prudhoe Bay. It most likely sprouted from a seed transported across the Brooks Range on a vehicle and has survived on the well-drained gravel road berm, where site conditions are more favorable for germination and survival than in the surrounding tundra. This spruce has survived for about a decade under current climatic conditions. Even with a warming climate, natural seed dispersal is severely hampered by the rugged topographic barrier of the Brooks Range. Considering the amount of vehicle traffic on the Dalton Highway, however, it is likely that more pioneering spruce seedlings will turn up along this corridor. Once over the Brooks Range, a spruce population can potentially develop and expand.", "author" : [ { "dropping-particle" : "", "family" : "Elsner", "given" : "Wendy K.", "non-dropping-particle" : "", "parse-names" : false, "suffix" : "" }, { "dropping-particle" : "", "family" : "Jorgenson", "given" : "Janet C.", "non-dropping-particle" : "", "parse-names" : false, "suffix" : "" } ], "container-title" : "Arctic", "id" : "ITEM-2", "issue" : "3", "issued" : { "date-parts" : [ [ "2009" ] ] }, "page" : "342-344", "title" : "White spruce seedling (&lt;i&gt;Picea glauca&lt;/i&gt;) discovered north of the Brooks Range along Alaska's Dalton Highway", "type" : "article-journal", "volume" : "62" }, "uris" : [ "http://www.mendeley.com/documents/?uuid=93d09802-4322-46ed-a611-9e819bc01b83" ] }, { "id" : "ITEM-3", "itemData" : { "DOI" : "10.1016/S0006-3207(98)00095-0", "ISBN" : "0006-3207", "ISSN" : "00063207", "abstract" : "A large number of studies have involved the revegetation of arctic sites disturbed by anthropogenic processes, especially in Iceland, Alaska, Canada and Russia. Often the immediate aim has been the establishment of plant cover to provide insulation and to stop erosional processes. The restoration of the former plant assemblages is a long-term goal, but will generally depend on natural processes. Surrogate non-native species, particularly graminoids, have been introduced to hasten the establishment of plant cover. At some sites these species have persisted and spread with little likelihood that the original plant assemblages will re-establish in the immediate future. In contrast to gravel, sandy and saline soils, rates of revegetation in wetlands have been comparatively high reflecting, in part, the use of clonal propagation techniques in addition to seed applications. Overall there has been considerable success at revegetating sites disturbed by human influences in a region where seed production is often unpredictable, and seedling establishment infrequent, but whether former plant assemblages ultimately will re-establish remains uncertain.", "author" : [ { "dropping-particle" : "", "family" : "Forbes", "given" : "B. C.", "non-dropping-particle" : "", "parse-names" : false, "suffix" : "" }, { "dropping-particle" : "", "family" : "Jefferies", "given" : "R. L.", "non-dropping-particle" : "", "parse-names" : false, "suffix" : "" } ], "container-title" : "Biological Conservation", "id" : "ITEM-3", "issue" : "1", "issued" : { "date-parts" : [ [ "1999" ] ] }, "page" : "15-24", "title" : "Revegetation of disturbed arctic sites: constraints and applications", "type" : "article-journal", "volume" : "88" }, "uris" : [ "http://www.mendeley.com/documents/?uuid=c5f3d08c-57d2-4071-a26d-58755389b4ff" ] } ], "mendeley" : { "formattedCitation" : "(Ackerman &amp; Breen, 2016; Elsner &amp; Jorgenson, 2009; Forbes &amp; Jefferies, 1999)", "manualFormatting" : "(Ackerman &amp; Breen, 2016; Elsner &amp; Jorgenson, 2009; Forbes &amp; Jefferies, 1999)", "plainTextFormattedCitation" : "(Ackerman &amp; Breen, 2016; Elsner &amp; Jorgenson, 2009; Forbes &amp; Jefferies, 1999)", "previouslyFormattedCitation" : "(Ackerman &amp; Breen, 2016; Elsner &amp; Jorgenson, 2009; Forbes &amp; Jefferies, 1999)" }, "properties" : { "noteIndex" : 0 }, "schema" : "https://github.com/citation-style-language/schema/raw/master/csl-citation.json" }</w:instrText>
      </w:r>
      <w:r w:rsidR="004255E7" w:rsidRPr="008608AA">
        <w:fldChar w:fldCharType="separate"/>
      </w:r>
      <w:r w:rsidR="004255E7" w:rsidRPr="008608AA">
        <w:rPr>
          <w:noProof/>
        </w:rPr>
        <w:t>(Ackerman &amp; Breen, 2016; Elsner &amp; Jorgenson, 2009; Forbes &amp; Jefferies, 1999)</w:t>
      </w:r>
      <w:r w:rsidR="004255E7" w:rsidRPr="008608AA">
        <w:fldChar w:fldCharType="end"/>
      </w:r>
      <w:r w:rsidR="004255E7" w:rsidRPr="008608AA">
        <w:t xml:space="preserve">. Carbon storage in North American </w:t>
      </w:r>
      <w:r w:rsidR="007F2AAD" w:rsidRPr="008608AA">
        <w:t>A</w:t>
      </w:r>
      <w:r w:rsidR="00702CDB" w:rsidRPr="008608AA">
        <w:t xml:space="preserve">rctic tundra </w:t>
      </w:r>
      <w:r w:rsidR="004255E7" w:rsidRPr="008608AA">
        <w:t xml:space="preserve">soils is high relative to other biomes, due to low rates of organic matter decomposition. Hugelius et al. </w:t>
      </w:r>
      <w:r w:rsidR="004255E7" w:rsidRPr="008608AA">
        <w:fldChar w:fldCharType="begin" w:fldLock="1"/>
      </w:r>
      <w:r w:rsidR="004255E7" w:rsidRPr="008608AA">
        <w:instrText>ADDIN CSL_CITATION { "citationItems" : [ { "id" : "ITEM-1", "itemData" : { "DOI" : "10.5194/essd-5-3-2013", "ISBN" : "1866-3516", "ISSN" : "18663508", "abstract" : "High-latitude terrestrial ecosystems are key components in the global carbon (C) cycle. Estimates of global soil organic carbon (SOC), however, do not include updated estimates of SOC storage in permafrost- affected soils or representation of the unique pedogenic processes that affect these soils. The Northern Circum- polar Soil Carbon Database (NCSCD)was developed to quantify the SOC stocks in the circumpolar permafrost region (18.7\u00d7106 km2). The NCSCD is a polygon-based digital database compiled from harmonized regional soil classification maps in which data on soil order coverage have been linked to pedon data (n = 1778) from the northern permafrost regions to calculate SOC content and mass. In addition, new gridded datasets at dif- ferent spatial resolutions have been generated to facilitate research applications using the NCSCD (standard raster formats for use in geographic information systems and Network Common Data Form files common for applications in numerical models). This paper describes the compilation of the NCSCD spatial framework, the soil sampling and soil analytical procedures used to derive SOC content in pedons from North America and Eurasia and the formatting of the digital files that are available online. The potential applications and limita- tions of the NCSCD in spatial analyses are also discussed.", "author" : [ { "dropping-particle" : "", "family" : "Hugelius", "given" : "G.", "non-dropping-particle" : "", "parse-names" : false, "suffix" : "" }, { "dropping-particle" : "", "family" : "Tarnocai", "given" : "C.", "non-dropping-particle" : "", "parse-names" : false, "suffix" : "" }, { "dropping-particle" : "", "family" : "Broll", "given" : "G.", "non-dropping-particle" : "", "parse-names" : false, "suffix" : "" }, { "dropping-particle" : "", "family" : "Canadell", "given" : "J. G.", "non-dropping-particle" : "", "parse-names" : false, "suffix" : "" }, { "dropping-particle" : "", "family" : "Kuhry", "given" : "P.", "non-dropping-particle" : "", "parse-names" : false, "suffix" : "" }, { "dropping-particle" : "", "family" : "Swanson", "given" : "D. K.", "non-dropping-particle" : "", "parse-names" : false, "suffix" : "" } ], "container-title" : "Earth System Science Data", "id" : "ITEM-1", "issue" : "1", "issued" : { "date-parts" : [ [ "2013" ] ] }, "page" : "3-13", "title" : "The northern circumpolar soil carbon database: Spatially distributed datasets of soil coverage and soil carbon storage in the northern permafrost regions", "type" : "article-journal", "volume" : "5" }, "uris" : [ "http://www.mendeley.com/documents/?uuid=5b5e90d8-de15-40c9-a84e-03674eb1d049" ] } ], "mendeley" : { "formattedCitation" : "(Hugelius et al., 2013)", "manualFormatting" : "(2013)", "plainTextFormattedCitation" : "(Hugelius et al., 2013)", "previouslyFormattedCitation" : "(Hugelius et al., 2013)" }, "properties" : { "noteIndex" : 0 }, "schema" : "https://github.com/citation-style-language/schema/raw/master/csl-citation.json" }</w:instrText>
      </w:r>
      <w:r w:rsidR="004255E7" w:rsidRPr="008608AA">
        <w:fldChar w:fldCharType="separate"/>
      </w:r>
      <w:r w:rsidR="004255E7" w:rsidRPr="008608AA">
        <w:rPr>
          <w:noProof/>
        </w:rPr>
        <w:t>(2013)</w:t>
      </w:r>
      <w:r w:rsidR="004255E7" w:rsidRPr="008608AA">
        <w:fldChar w:fldCharType="end"/>
      </w:r>
      <w:r w:rsidR="004255E7" w:rsidRPr="008608AA">
        <w:t xml:space="preserve"> estimate 25–100 kg C/m</w:t>
      </w:r>
      <w:r w:rsidR="004255E7" w:rsidRPr="008608AA">
        <w:rPr>
          <w:vertAlign w:val="superscript"/>
        </w:rPr>
        <w:t>2</w:t>
      </w:r>
      <w:r w:rsidR="004255E7" w:rsidRPr="008608AA">
        <w:t xml:space="preserve"> across most of North American </w:t>
      </w:r>
      <w:r w:rsidR="007F2AAD" w:rsidRPr="008608AA">
        <w:t>A</w:t>
      </w:r>
      <w:r w:rsidR="00702CDB" w:rsidRPr="008608AA">
        <w:t>rctic tundra</w:t>
      </w:r>
      <w:r w:rsidR="004255E7" w:rsidRPr="008608AA">
        <w:t xml:space="preserve">. At local scales, stocks of carbon and soil nutrients vary widely based on vegetation community type </w:t>
      </w:r>
      <w:r w:rsidR="004255E7" w:rsidRPr="008608AA">
        <w:fldChar w:fldCharType="begin" w:fldLock="1"/>
      </w:r>
      <w:r w:rsidR="004255E7" w:rsidRPr="008608AA">
        <w:instrText>ADDIN CSL_CITATION { "citationItems" : [ { "id" : "ITEM-1", "itemData" : { "DOI" : "10.1093/acprof:osobl/9780199860401.003.0005", "ISBN" : "9780190267889", "abstract" : "\u00a9 Oxford University Press 2014. All rights reserved. This chapter focuses on the overall structure and major functions of contrasting tundras near Toolik Lake. It describes and compares key physical, chemical, and biological controls over the distribution and function of these ecosystems. It discusses timescales and trajectories of system-level change in response to changes in the controls. It considers how current and anticipated changes in climate affect the dynamics of soils and soil biota in arctic tundra ecosystems. It also predicts how the expected changes in global and arctic climates may alter the landscape and terrestrial ecosystems near Toolik Lake, and suggests priorities for future research.", "author" : [ { "dropping-particle" : "", "family" : "Shaver", "given" : "Gaius R.", "non-dropping-particle" : "", "parse-names" : false, "suffix" : "" }, { "dropping-particle" : "", "family" : "Laundre", "given" : "James A.", "non-dropping-particle" : "", "parse-names" : false, "suffix" : "" }, { "dropping-particle" : "", "family" : "Syndonia Bret-Harte", "given" : "M.", "non-dropping-particle" : "", "parse-names" : false, "suffix" : "" }, { "dropping-particle" : "", "family" : "Stuart Chapin", "given" : "F.", "non-dropping-particle" : "", "parse-names" : false, "suffix" : "" }, { "dropping-particle" : "", "family" : "Mercado-D\u00edaz", "given" : "Joel A.", "non-dropping-particle" : "", "parse-names" : false, "suffix" : "" }, { "dropping-particle" : "", "family" : "Giblin", "given" : "Anne E.", "non-dropping-particle" : "", "parse-names" : false, "suffix" : "" }, { "dropping-particle" : "", "family" : "Gough", "given" : "Laura", "non-dropping-particle" : "", "parse-names" : false, "suffix" : "" }, { "dropping-particle" : "", "family" : "Gould", "given" : "William A.", "non-dropping-particle" : "", "parse-names" : false, "suffix" : "" }, { "dropping-particle" : "", "family" : "Hobbie", "given" : "Sarah E.", "non-dropping-particle" : "", "parse-names" : false, "suffix" : "" }, { "dropping-particle" : "", "family" : "Kling", "given" : "George W.", "non-dropping-particle" : "", "parse-names" : false, "suffix" : "" }, { "dropping-particle" : "", "family" : "Mack", "given" : "Michelle C.", "non-dropping-particle" : "", "parse-names" : false, "suffix" : "" }, { "dropping-particle" : "", "family" : "Moore", "given" : "John C.", "non-dropping-particle" : "", "parse-names" : false, "suffix" : "" }, { "dropping-particle" : "", "family" : "Nadelhoffer", "given" : "Knute J.", "non-dropping-particle" : "", "parse-names" : false, "suffix" : "" }, { "dropping-particle" : "", "family" : "Rastetter", "given" : "Edward B.", "non-dropping-particle" : "", "parse-names" : false, "suffix" : "" }, { "dropping-particle" : "", "family" : "Schimel", "given" : "Joshua P.", "non-dropping-particle" : "", "parse-names" : false, "suffix" : "" } ], "container-title" : "Alaska's Changing Arctic: Ecological Consequences for Tundra, Streams, and Lakes", "editor" : [ { "dropping-particle" : "", "family" : "Hobbie", "given" : "J.E.", "non-dropping-particle" : "", "parse-names" : false, "suffix" : "" }, { "dropping-particle" : "", "family" : "Kling", "given" : "G.W.", "non-dropping-particle" : "", "parse-names" : false, "suffix" : "" } ], "id" : "ITEM-1", "issued" : { "date-parts" : [ [ "2014" ] ] }, "publisher" : "Oxford University Press", "publisher-place" : "New York, USA", "title" : "Terrestrial ecosystems at Toolik Lake, Alaska", "type" : "chapter" }, "uris" : [ "http://www.mendeley.com/documents/?uuid=3fdae915-8bae-32ef-b403-63e5d5debe37" ] } ], "mendeley" : { "formattedCitation" : "(G. R. Shaver et al., 2014)", "manualFormatting" : "(Shaver et al., 2014)", "plainTextFormattedCitation" : "(G. R. Shaver et al., 2014)", "previouslyFormattedCitation" : "(G. R. Shaver et al., 2014)" }, "properties" : { "noteIndex" : 0 }, "schema" : "https://github.com/citation-style-language/schema/raw/master/csl-citation.json" }</w:instrText>
      </w:r>
      <w:r w:rsidR="004255E7" w:rsidRPr="008608AA">
        <w:fldChar w:fldCharType="separate"/>
      </w:r>
      <w:r w:rsidR="004255E7" w:rsidRPr="008608AA">
        <w:rPr>
          <w:noProof/>
        </w:rPr>
        <w:t>(Shaver et al., 2014)</w:t>
      </w:r>
      <w:r w:rsidR="004255E7" w:rsidRPr="008608AA">
        <w:fldChar w:fldCharType="end"/>
      </w:r>
      <w:r w:rsidR="004255E7" w:rsidRPr="008608AA">
        <w:t xml:space="preserve">. Across all community types, soil nitrogen is dominated by non-mineral forms, so primary productivity in North American </w:t>
      </w:r>
      <w:r w:rsidR="007F2AAD" w:rsidRPr="008608AA">
        <w:t>A</w:t>
      </w:r>
      <w:r w:rsidR="00702CDB" w:rsidRPr="008608AA">
        <w:t xml:space="preserve">rctic tundra </w:t>
      </w:r>
      <w:r w:rsidR="004255E7" w:rsidRPr="008608AA">
        <w:t xml:space="preserve">is often limited by rates of nitrogen mineralization </w:t>
      </w:r>
      <w:r w:rsidR="004255E7" w:rsidRPr="008608AA">
        <w:fldChar w:fldCharType="begin" w:fldLock="1"/>
      </w:r>
      <w:r w:rsidR="004255E7" w:rsidRPr="008608AA">
        <w:instrText>ADDIN CSL_CITATION { "citationItems" : [ { "id" : "ITEM-1", "itemData" : { "DOI" : "10.2307/1940405", "ISBN" : "0012-9658", "ISSN" : "00129658", "PMID" : "11520967", "abstract" : "In undisturbed arctic tussock and wet meadow tundras we increased air temperature with a plastic greenhouse, increased nutrient availability by NPK fertilization, and decreased light intensity with shade cloth to determine the factors limiting growth of tundra plants. After 2 yr of these manipulations we measured growth of each major vascular species and one moss species. Each species showed a different pattern of growth response to alteration of light, air temperature, and nutrient regimes, indicating that no single factor limits growth of all species in these communities. Growth of canopy species (Betula nana, Ledum palustre, Carex bigelowii, and Eriophorum vaginatum) was reduced by experimental shading more than was growth of understory species (e.g., Vaccinium vitisidaea and Rubus chamaemorus). Species typical of nutrient-rich sites (Betula nana, Rubus chamaemorus, and Polygonum bistorta) generally responded more to nutrient addition than did species typical of nutrient-poor sites (e.g., Empetrum nigrum), although there were species characteristic of fertile sites (Salix pulchra) and infertile sites (Ledum palustre) which did not show this pattern of nutrient response. Species that grow in warm hollows between tussocks showed less growth in response to increased air temperature than did canopy species. We suggest that lack of a single common factor limiting growth of all species in tussock and wet meadow tundras implies that (1) each species is individualistically distributed, as described by the continuum model of community organization, (2) as a result of competition and/or distinct evolutionary histories, the growth of each species is limited by a different combination of environmental factors, and (3) production by individual species varies greatly from year to year, but production by the whole vegetation is more stable, because years that are favorable for growth of some species cause a compensatory decrease in growth of other species.", "author" : [ { "dropping-particle" : "", "family" : "Chapin", "given" : "F Stuart", "non-dropping-particle" : "", "parse-names" : false, "suffix" : "" }, { "dropping-particle" : "", "family" : "Shaver", "given" : "Gaius R", "non-dropping-particle" : "", "parse-names" : false, "suffix" : "" } ], "container-title" : "Ecology", "id" : "ITEM-1", "issue" : "2", "issued" : { "date-parts" : [ [ "1985" ] ] }, "page" : "564-576", "title" : "Individualistic growth response of tundra plant species to environmental manipulations in the field", "type" : "article-journal", "volume" : "66" }, "uris" : [ "http://www.mendeley.com/documents/?uuid=616c9026-be52-4648-925a-2c3af6d87fe9" ] }, { "id" : "ITEM-2", "itemData" : { "DOI" : "10.1093/acprof:osobl/9780199860401.003.0005", "ISBN" : "9780190267889", "abstract" : "\u00a9 Oxford University Press 2014. All rights reserved. This chapter focuses on the overall structure and major functions of contrasting tundras near Toolik Lake. It describes and compares key physical, chemical, and biological controls over the distribution and function of these ecosystems. It discusses timescales and trajectories of system-level change in response to changes in the controls. It considers how current and anticipated changes in climate affect the dynamics of soils and soil biota in arctic tundra ecosystems. It also predicts how the expected changes in global and arctic climates may alter the landscape and terrestrial ecosystems near Toolik Lake, and suggests priorities for future research.", "author" : [ { "dropping-particle" : "", "family" : "Shaver", "given" : "Gaius R.", "non-dropping-particle" : "", "parse-names" : false, "suffix" : "" }, { "dropping-particle" : "", "family" : "Laundre", "given" : "James A.", "non-dropping-particle" : "", "parse-names" : false, "suffix" : "" }, { "dropping-particle" : "", "family" : "Syndonia Bret-Harte", "given" : "M.", "non-dropping-particle" : "", "parse-names" : false, "suffix" : "" }, { "dropping-particle" : "", "family" : "Stuart Chapin", "given" : "F.", "non-dropping-particle" : "", "parse-names" : false, "suffix" : "" }, { "dropping-particle" : "", "family" : "Mercado-D\u00edaz", "given" : "Joel A.", "non-dropping-particle" : "", "parse-names" : false, "suffix" : "" }, { "dropping-particle" : "", "family" : "Giblin", "given" : "Anne E.", "non-dropping-particle" : "", "parse-names" : false, "suffix" : "" }, { "dropping-particle" : "", "family" : "Gough", "given" : "Laura", "non-dropping-particle" : "", "parse-names" : false, "suffix" : "" }, { "dropping-particle" : "", "family" : "Gould", "given" : "William A.", "non-dropping-particle" : "", "parse-names" : false, "suffix" : "" }, { "dropping-particle" : "", "family" : "Hobbie", "given" : "Sarah E.", "non-dropping-particle" : "", "parse-names" : false, "suffix" : "" }, { "dropping-particle" : "", "family" : "Kling", "given" : "George W.", "non-dropping-particle" : "", "parse-names" : false, "suffix" : "" }, { "dropping-particle" : "", "family" : "Mack", "given" : "Michelle C.", "non-dropping-particle" : "", "parse-names" : false, "suffix" : "" }, { "dropping-particle" : "", "family" : "Moore", "given" : "John C.", "non-dropping-particle" : "", "parse-names" : false, "suffix" : "" }, { "dropping-particle" : "", "family" : "Nadelhoffer", "given" : "Knute J.", "non-dropping-particle" : "", "parse-names" : false, "suffix" : "" }, { "dropping-particle" : "", "family" : "Rastetter", "given" : "Edward B.", "non-dropping-particle" : "", "parse-names" : false, "suffix" : "" }, { "dropping-particle" : "", "family" : "Schimel", "given" : "Joshua P.", "non-dropping-particle" : "", "parse-names" : false, "suffix" : "" } ], "container-title" : "Alaska's Changing Arctic: Ecological Consequences for Tundra, Streams, and Lakes", "editor" : [ { "dropping-particle" : "", "family" : "Hobbie", "given" : "J.E.", "non-dropping-particle" : "", "parse-names" : false, "suffix" : "" }, { "dropping-particle" : "", "family" : "Kling", "given" : "G.W.", "non-dropping-particle" : "", "parse-names" : false, "suffix" : "" } ], "id" : "ITEM-2", "issued" : { "date-parts" : [ [ "2014" ] ] }, "publisher" : "Oxford University Press", "publisher-place" : "New York, USA", "title" : "Terrestrial ecosystems at Toolik Lake, Alaska", "type" : "chapter" }, "uris" : [ "http://www.mendeley.com/documents/?uuid=3fdae915-8bae-32ef-b403-63e5d5debe37" ] } ], "mendeley" : { "formattedCitation" : "(F Stuart Chapin &amp; Shaver, 1985; G. R. Shaver et al., 2014)", "manualFormatting" : "(Chapin &amp; Shaver, 1985; Shaver et al., 2014;", "plainTextFormattedCitation" : "(F Stuart Chapin &amp; Shaver, 1985; G. R. Shaver et al., 2014)", "previouslyFormattedCitation" : "(F Stuart Chapin &amp; Shaver, 1985; G. R. Shaver et al., 2014)" }, "properties" : { "noteIndex" : 0 }, "schema" : "https://github.com/citation-style-language/schema/raw/master/csl-citation.json" }</w:instrText>
      </w:r>
      <w:r w:rsidR="004255E7" w:rsidRPr="008608AA">
        <w:fldChar w:fldCharType="separate"/>
      </w:r>
      <w:r w:rsidR="004255E7" w:rsidRPr="008608AA">
        <w:rPr>
          <w:noProof/>
        </w:rPr>
        <w:t>(Chapin &amp; Shaver, 1985; Shaver et al., 2014;</w:t>
      </w:r>
      <w:r w:rsidR="004255E7" w:rsidRPr="008608AA">
        <w:fldChar w:fldCharType="end"/>
      </w:r>
      <w:r w:rsidR="004255E7" w:rsidRPr="008608AA">
        <w:t xml:space="preserve"> </w:t>
      </w:r>
      <w:r w:rsidR="004255E7" w:rsidRPr="008608AA">
        <w:fldChar w:fldCharType="begin" w:fldLock="1"/>
      </w:r>
      <w:r w:rsidR="004255E7" w:rsidRPr="008608AA">
        <w:instrText>ADDIN CSL_CITATION { "citationItems" : [ { "id" : "ITEM-1", "itemData" : { "DOI" : "DOI: 10.2307/1939337", "author" : [ { "dropping-particle" : "", "family" : "Chapin", "given" : "F. S.", "non-dropping-particle" : "", "parse-names" : false, "suffix" : "" }, { "dropping-particle" : "", "family" : "Shaver", "given" : "G. R.", "non-dropping-particle" : "", "parse-names" : false, "suffix" : "" }, { "dropping-particle" : "", "family" : "Giblin", "given" : "A. E.", "non-dropping-particle" : "", "parse-names" : false, "suffix" : "" }, { "dropping-particle" : "", "family" : "Nadelhoffer", "given" : "K. J.", "non-dropping-particle" : "", "parse-names" : false, "suffix" : "" }, { "dropping-particle" : "", "family" : "Laundre", "given" : "J. A.", "non-dropping-particle" : "", "parse-names" : false, "suffix" : "" } ], "container-title" : "Ecology", "id" : "ITEM-1", "issue" : "3", "issued" : { "date-parts" : [ [ "1995" ] ] }, "page" : "694-711", "title" : "Responses of arctic tundra to experimental and observed changes in climate", "type" : "article-journal", "volume" : "76" }, "uris" : [ "http://www.mendeley.com/documents/?uuid=4796961f-bb83-4656-a973-bc7a3552e93f" ] } ], "mendeley" : { "formattedCitation" : "(F. S. Chapin, Shaver, Giblin, Nadelhoffer, &amp; Laundre, 1995)", "manualFormatting" : "Chapin et al., 1995)", "plainTextFormattedCitation" : "(F. S. Chapin, Shaver, Giblin, Nadelhoffer, &amp; Laundre, 1995)", "previouslyFormattedCitation" : "(F. S. Chapin, Shaver, Giblin, Nadelhoffer, &amp; Laundre, 1995)" }, "properties" : { "noteIndex" : 0 }, "schema" : "https://github.com/citation-style-language/schema/raw/master/csl-citation.json" }</w:instrText>
      </w:r>
      <w:r w:rsidR="004255E7" w:rsidRPr="008608AA">
        <w:fldChar w:fldCharType="separate"/>
      </w:r>
      <w:r w:rsidR="004255E7" w:rsidRPr="008608AA">
        <w:rPr>
          <w:noProof/>
        </w:rPr>
        <w:t>Chapin et al., 1995)</w:t>
      </w:r>
      <w:r w:rsidR="004255E7" w:rsidRPr="008608AA">
        <w:fldChar w:fldCharType="end"/>
      </w:r>
      <w:r w:rsidR="004255E7" w:rsidRPr="008608AA">
        <w:t>.</w:t>
      </w:r>
    </w:p>
    <w:p w14:paraId="08BE1980" w14:textId="4C12D97E" w:rsidR="004255E7" w:rsidRPr="008608AA" w:rsidRDefault="004255E7" w:rsidP="0063629E">
      <w:pPr>
        <w:spacing w:after="120"/>
      </w:pPr>
      <w:r w:rsidRPr="008608AA">
        <w:t xml:space="preserve">Globally, North American </w:t>
      </w:r>
      <w:r w:rsidR="007F2AAD" w:rsidRPr="008608AA">
        <w:t>A</w:t>
      </w:r>
      <w:r w:rsidR="00702CDB" w:rsidRPr="008608AA">
        <w:t xml:space="preserve">rctic tundra </w:t>
      </w:r>
      <w:r w:rsidRPr="008608AA">
        <w:t xml:space="preserve">stores carbon in soils frozen year-round called permafrost </w:t>
      </w:r>
      <w:r w:rsidRPr="008608AA">
        <w:fldChar w:fldCharType="begin" w:fldLock="1"/>
      </w:r>
      <w:r w:rsidRPr="008608AA">
        <w:instrText>ADDIN CSL_CITATION { "citationItems" : [ { "id" : "ITEM-1", "itemData" : { "DOI" : "10.2307/1551852", "ISBN" : "0004-0851", "ISSN" : "00040851", "abstract" : "JSTOR is a not-for-profit service that helps scholars, researchers, and students discover, use, and build upon a wide range of content in a trusted digital archive. We use information technology and tools to increase productivity and facilitate new forms of scholarship. For more information about JSTOR, please contact support@jstor.org. Abstract Tundra soil carbon stores ranged from a low of 16 kg C m-3 for a northern foothills ridge top site to a high of 94 kg C m-3 for a Barrow coastal plain tundra. Relatively low carbon stores were found in riparian shrubland, barren mountain slope, and alpine slope soils (3, 4 and 10 kg C m-3, respectively). Coastal plain and foothills tundra soils averaged 62 and 44 kg C m-3, respectively. Active layer to permafrost partitioning of carbon stores varied, but when the carbon stores of the permafrost (to 1 m) were considered along with those of the active layer, carbon store estimates for the tundra are nearly doubled. Cryoturbation played a key role in the distribution of soil carbon stocks. Carbon stores over the pattern cycle of three coastal plain polygon types were found to be similar (59-60 kg C m-3). However, the carbon stores of coastal plain thaw lake basin soils ranged widely from 16 to 64 kg C m-3. In the foothills, carbon stores increased from ridge top to down-slope positions, and increased or stayed nearly constant from midslope to watertrack positions. On the average, the largest carbon stores were in the Cf, Oa, and Bg/Oa soil genetic horizons with average stores to 1 m of 15, 13, and 13 kg C m-2, respectively. Carbon stores for the Kuparuk River drainage were calculated for the pedon (1 m) and for the active layer only, the results were 2.5 and 1.4 times higher, respectively, than if generalized tundra carbon stores from the literature were used in the calculation. The results of this study indicate that the Arctic terrestrial carbon pool size esti-mates that have been used recently could be low by a factor of 2 or more if the lower soil horizon stores are ignored.", "author" : [ { "dropping-particle" : "", "family" : "Michaelson", "given" : "G J", "non-dropping-particle" : "", "parse-names" : false, "suffix" : "" }, { "dropping-particle" : "", "family" : "Ping", "given" : "C L", "non-dropping-particle" : "", "parse-names" : false, "suffix" : "" }, { "dropping-particle" : "", "family" : "Kimble", "given" : "J M", "non-dropping-particle" : "", "parse-names" : false, "suffix" : "" } ], "container-title" : "Arctic and Alpine Research", "id" : "ITEM-1", "issue" : "4", "issued" : { "date-parts" : [ [ "1996" ] ] }, "page" : "414-424", "title" : "Carbon storage and distribution in tundra soils of Arctic Alaska, U.S.A.", "type" : "article-journal", "volume" : "28" }, "uris" : [ "http://www.mendeley.com/documents/?uuid=205827c8-e473-48f1-b5fa-9a248c4c3d4b" ] } ], "mendeley" : { "formattedCitation" : "(Michaelson, Ping, &amp; Kimble, 1996)", "manualFormatting" : "(Michaelson et al., 1996)", "plainTextFormattedCitation" : "(Michaelson, Ping, &amp; Kimble, 1996)", "previouslyFormattedCitation" : "(Michaelson, Ping, &amp; Kimble, 1996)" }, "properties" : { "noteIndex" : 0 }, "schema" : "https://github.com/citation-style-language/schema/raw/master/csl-citation.json" }</w:instrText>
      </w:r>
      <w:r w:rsidRPr="008608AA">
        <w:fldChar w:fldCharType="separate"/>
      </w:r>
      <w:r w:rsidRPr="008608AA">
        <w:rPr>
          <w:noProof/>
        </w:rPr>
        <w:t>(Michaelson et al., 1996)</w:t>
      </w:r>
      <w:r w:rsidRPr="008608AA">
        <w:fldChar w:fldCharType="end"/>
      </w:r>
      <w:r w:rsidRPr="008608AA">
        <w:t xml:space="preserve">. Biodiversity alters this ecosystem service through plant traits </w:t>
      </w:r>
      <w:r w:rsidRPr="008608AA">
        <w:fldChar w:fldCharType="begin" w:fldLock="1"/>
      </w:r>
      <w:r w:rsidRPr="008608AA">
        <w:instrText>ADDIN CSL_CITATION { "citationItems" : [ { "id" : "ITEM-1", "itemData" : { "DOI" : "10.1038/35012241", "ISBN" : "0028-0836", "ISSN" : "0028-0836", "PMID" : "10821284", "abstract" : "Human alteration of the global environment has triggered the sixth major extinction event in the history of life and caused widespread changes in the global distribution of organisms. These changes in biodiversity alter ecosystem processes and change the resilience of ecosystems to environmental change. This has profound consequences for services that humans derive from ecosystems. The large ecological and societal consequences of changing biodiversity should be minimized to preserve options for future solutions to global environmental problems.", "author" : [ { "dropping-particle" : "", "family" : "Chapin", "given" : "F. S.", "non-dropping-particle" : "", "parse-names" : false, "suffix" : "" }, { "dropping-particle" : "", "family" : "Zavaleta", "given" : "E. S.", "non-dropping-particle" : "", "parse-names" : false, "suffix" : "" }, { "dropping-particle" : "", "family" : "Eviner", "given" : "V. T.", "non-dropping-particle" : "", "parse-names" : false, "suffix" : "" }, { "dropping-particle" : "", "family" : "Naylor", "given" : "R. L.", "non-dropping-particle" : "", "parse-names" : false, "suffix" : "" }, { "dropping-particle" : "", "family" : "Vitousek", "given" : "P. M.", "non-dropping-particle" : "", "parse-names" : false, "suffix" : "" }, { "dropping-particle" : "", "family" : "Reynolds", "given" : "H. L.", "non-dropping-particle" : "", "parse-names" : false, "suffix" : "" }, { "dropping-particle" : "", "family" : "Hooper", "given" : "D. U.", "non-dropping-particle" : "", "parse-names" : false, "suffix" : "" }, { "dropping-particle" : "", "family" : "Lavorel", "given" : "S.", "non-dropping-particle" : "", "parse-names" : false, "suffix" : "" }, { "dropping-particle" : "", "family" : "Sala", "given" : "O. E.", "non-dropping-particle" : "", "parse-names" : false, "suffix" : "" }, { "dropping-particle" : "", "family" : "Hobbie", "given" : "S. E.", "non-dropping-particle" : "", "parse-names" : false, "suffix" : "" }, { "dropping-particle" : "", "family" : "Mack", "given" : "M. C.", "non-dropping-particle" : "", "parse-names" : false, "suffix" : "" }, { "dropping-particle" : "", "family" : "D\u00edaz", "given" : "S.", "non-dropping-particle" : "", "parse-names" : false, "suffix" : "" } ], "container-title" : "Nature", "id" : "ITEM-1", "issue" : "6783", "issued" : { "date-parts" : [ [ "2000" ] ] }, "page" : "234-42", "title" : "Consequences of changing biodiversity", "type" : "article-journal", "volume" : "405" }, "uris" : [ "http://www.mendeley.com/documents/?uuid=1ad3f46f-f6d9-4dea-834c-9e48ea99ceae" ] } ], "mendeley" : { "formattedCitation" : "(F. S. Chapin et al., 2000)", "manualFormatting" : "(Chapin et al., 2000)", "plainTextFormattedCitation" : "(F. S. Chapin et al., 2000)", "previouslyFormattedCitation" : "(F. S. Chapin et al., 2000)" }, "properties" : { "noteIndex" : 0 }, "schema" : "https://github.com/citation-style-language/schema/raw/master/csl-citation.json" }</w:instrText>
      </w:r>
      <w:r w:rsidRPr="008608AA">
        <w:fldChar w:fldCharType="separate"/>
      </w:r>
      <w:r w:rsidRPr="008608AA">
        <w:rPr>
          <w:noProof/>
        </w:rPr>
        <w:t>(Chapin et al., 2000)</w:t>
      </w:r>
      <w:r w:rsidRPr="008608AA">
        <w:fldChar w:fldCharType="end"/>
      </w:r>
      <w:r w:rsidRPr="008608AA">
        <w:t xml:space="preserve">. For example, plants with extensive mat growth forms, like </w:t>
      </w:r>
      <w:r w:rsidRPr="008608AA">
        <w:rPr>
          <w:i/>
        </w:rPr>
        <w:t>Sphagnum</w:t>
      </w:r>
      <w:r w:rsidRPr="008608AA">
        <w:t xml:space="preserve"> spp., insulate permafrost soils from direct sunlight </w:t>
      </w:r>
      <w:r w:rsidRPr="008608AA">
        <w:fldChar w:fldCharType="begin" w:fldLock="1"/>
      </w:r>
      <w:r w:rsidRPr="008608AA">
        <w:instrText>ADDIN CSL_CITATION { "citationItems" : [ { "id" : "ITEM-1", "itemData" : { "DOI" : "DOI: 10.1097/SS.0b013e3181c4a7f8", "author" : [ { "dropping-particle" : "", "family" : "O'Donnell, J. A., Romanovsky, V. E., Harden, J. W., &amp; McGuire", "given" : "A. D.", "non-dropping-particle" : "", "parse-names" : false, "suffix" : "" } ], "container-title" : "Soil Science", "id" : "ITEM-1", "issue" : "12", "issued" : { "date-parts" : [ [ "2009" ] ] }, "page" : "646-651.", "title" : "The effect of moisture content on the thermal conductivity of moss and organic soil horizons from black spruce ecosystems in interior Alaska.", "type" : "article-journal", "volume" : "174" }, "uris" : [ "http://www.mendeley.com/documents/?uuid=cd694f9a-ff0c-4bf6-8c64-4fb5bc702143" ] } ], "mendeley" : { "formattedCitation" : "(O\u2019Donnell, J. A., Romanovsky, V. E., Harden, J. W., &amp; McGuire, 2009)", "manualFormatting" : "(O\u2019Donnell et al., 2009)", "plainTextFormattedCitation" : "(O\u2019Donnell, J. A., Romanovsky, V. E., Harden, J. W., &amp; McGuire, 2009)", "previouslyFormattedCitation" : "(O\u2019Donnell, J. A., Romanovsky, V. E., Harden, J. W., &amp; McGuire, 2009)" }, "properties" : { "noteIndex" : 0 }, "schema" : "https://github.com/citation-style-language/schema/raw/master/csl-citation.json" }</w:instrText>
      </w:r>
      <w:r w:rsidRPr="008608AA">
        <w:fldChar w:fldCharType="separate"/>
      </w:r>
      <w:r w:rsidRPr="008608AA">
        <w:rPr>
          <w:noProof/>
        </w:rPr>
        <w:t>(O’Donnell et al., 2009)</w:t>
      </w:r>
      <w:r w:rsidRPr="008608AA">
        <w:fldChar w:fldCharType="end"/>
      </w:r>
      <w:r w:rsidRPr="008608AA">
        <w:t xml:space="preserve">. Permafrost stores 1,330–1,580 picograms of organic carbon, nearly half of the global organic carbon pool </w:t>
      </w:r>
      <w:r w:rsidRPr="008608AA">
        <w:fldChar w:fldCharType="begin" w:fldLock="1"/>
      </w:r>
      <w:r w:rsidRPr="008608AA">
        <w:instrText>ADDIN CSL_CITATION { "citationItems" : [ { "id" : "ITEM-1", "itemData" : { "DOI" : "10.1038/nature14338", "ISBN" : "0028-0836", "ISSN" : "0028-0836", "PMID" : "25855454", "abstract" : "Large quantities of organic carbon are stored in frozen soils (permafrost) within Arctic and sub-Arctic regions. A warming climate can induce environmental changes that accelerate the microbial breakdown of organic carbon and the release of the greenhouse gases carbon dioxide and methane. This feedback can accelerate climate change, but the magnitude and timing of greenhouse gas emission from these regions and their impact on climate change remain uncertain. Here we find that current evidence suggests a gradual and prolonged release of greenhouse gas emissions in a warming climate and present a research strategy with which to target poorly understood aspects of permafrost carbon dynamics", "author" : [ { "dropping-particle" : "", "family" : "Schuur", "given" : "E. A. G.", "non-dropping-particle" : "", "parse-names" : false, "suffix" : "" }, { "dropping-particle" : "", "family" : "McGuire", "given" : "A. D.", "non-dropping-particle" : "", "parse-names" : false, "suffix" : "" }, { "dropping-particle" : "", "family" : "Sch\u00e4del", "given" : "C.", "non-dropping-particle" : "", "parse-names" : false, "suffix" : "" }, { "dropping-particle" : "", "family" : "Grosse", "given" : "G.", "non-dropping-particle" : "", "parse-names" : false, "suffix" : "" }, { "dropping-particle" : "", "family" : "Harden", "given" : "J. W.", "non-dropping-particle" : "", "parse-names" : false, "suffix" : "" }, { "dropping-particle" : "", "family" : "Hayes", "given" : "D. J.", "non-dropping-particle" : "", "parse-names" : false, "suffix" : "" }, { "dropping-particle" : "", "family" : "Hugelius", "given" : "G.", "non-dropping-particle" : "", "parse-names" : false, "suffix" : "" }, { "dropping-particle" : "", "family" : "Koven", "given" : "C. D.", "non-dropping-particle" : "", "parse-names" : false, "suffix" : "" }, { "dropping-particle" : "", "family" : "Kuhry", "given" : "P.", "non-dropping-particle" : "", "parse-names" : false, "suffix" : "" }, { "dropping-particle" : "", "family" : "Lawrence", "given" : "D. M.", "non-dropping-particle" : "", "parse-names" : false, "suffix" : "" }, { "dropping-particle" : "", "family" : "Natali", "given" : "S. M.", "non-dropping-particle" : "", "parse-names" : false, "suffix" : "" }, { "dropping-particle" : "", "family" : "Olefeldt", "given" : "D.", "non-dropping-particle" : "", "parse-names" : false, "suffix" : "" }, { "dropping-particle" : "", "family" : "Romanovsky", "given" : "V. E.", "non-dropping-particle" : "", "parse-names" : false, "suffix" : "" }, { "dropping-particle" : "", "family" : "Schaefer", "given" : "K.", "non-dropping-particle" : "", "parse-names" : false, "suffix" : "" }, { "dropping-particle" : "", "family" : "Turetsky", "given" : "M. R.", "non-dropping-particle" : "", "parse-names" : false, "suffix" : "" }, { "dropping-particle" : "", "family" : "Treat", "given" : "C. C.", "non-dropping-particle" : "", "parse-names" : false, "suffix" : "" }, { "dropping-particle" : "", "family" : "Vonk", "given" : "J. E.", "non-dropping-particle" : "", "parse-names" : false, "suffix" : "" } ], "container-title" : "Nature", "id" : "ITEM-1", "issue" : "January 2016", "issued" : { "date-parts" : [ [ "2015" ] ] }, "page" : "171-179", "title" : "Climate change and the permafrost carbon feedback", "type" : "article-journal", "volume" : "520" }, "uris" : [ "http://www.mendeley.com/documents/?uuid=818fd61e-48f7-426c-bf2d-29fe6e7894b1" ] } ], "mendeley" : { "formattedCitation" : "(E. A. G. Schuur et al., 2015)", "manualFormatting" : "(Schuur et al., 2015)", "plainTextFormattedCitation" : "(E. A. G. Schuur et al., 2015)", "previouslyFormattedCitation" : "(E. A. G. Schuur et al., 2015)" }, "properties" : { "noteIndex" : 0 }, "schema" : "https://github.com/citation-style-language/schema/raw/master/csl-citation.json" }</w:instrText>
      </w:r>
      <w:r w:rsidRPr="008608AA">
        <w:fldChar w:fldCharType="separate"/>
      </w:r>
      <w:r w:rsidRPr="008608AA">
        <w:rPr>
          <w:noProof/>
        </w:rPr>
        <w:t>(Schuur et al., 2015)</w:t>
      </w:r>
      <w:r w:rsidRPr="008608AA">
        <w:fldChar w:fldCharType="end"/>
      </w:r>
      <w:r w:rsidRPr="008608AA">
        <w:t xml:space="preserve">. Locally, North American </w:t>
      </w:r>
      <w:r w:rsidR="007F2AAD" w:rsidRPr="008608AA">
        <w:t>A</w:t>
      </w:r>
      <w:r w:rsidR="00702CDB" w:rsidRPr="008608AA">
        <w:t xml:space="preserve">rctic tundra </w:t>
      </w:r>
      <w:r w:rsidRPr="008608AA">
        <w:t>benefits subsistence hunters, providing game species including caribou (</w:t>
      </w:r>
      <w:r w:rsidRPr="008608AA">
        <w:rPr>
          <w:i/>
        </w:rPr>
        <w:t>Rangifer tarandus</w:t>
      </w:r>
      <w:r w:rsidRPr="008608AA">
        <w:t>) and ptarmigan (</w:t>
      </w:r>
      <w:r w:rsidRPr="008608AA">
        <w:rPr>
          <w:i/>
        </w:rPr>
        <w:t>Lagopus</w:t>
      </w:r>
      <w:r w:rsidRPr="008608AA">
        <w:t xml:space="preserve"> spp.) (</w:t>
      </w:r>
      <w:r w:rsidRPr="008608AA">
        <w:fldChar w:fldCharType="begin" w:fldLock="1"/>
      </w:r>
      <w:r w:rsidRPr="008608AA">
        <w:instrText>ADDIN CSL_CITATION { "citationItems" : [ { "id" : "ITEM-1", "itemData" : { "URL" : "http://www.adfg.alaska.gov/index.cfm?adfg=hunting.main", "accessed" : { "date-parts" : [ [ "2016", "1", "1" ] ] }, "author" : [ { "dropping-particle" : "", "family" : "Alaska Department of Fish and Game (ADF&amp;G)", "given" : "", "non-dropping-particle" : "", "parse-names" : false, "suffix" : "" } ], "id" : "ITEM-1", "issued" : { "date-parts" : [ [ "2016" ] ] }, "title" : "Hunting, Trapping, and Shooting", "type" : "webpage" }, "uris" : [ "http://www.mendeley.com/documents/?uuid=27ed2241-8709-4080-a512-d1810a0f0f04" ] } ], "mendeley" : { "formattedCitation" : "(Alaska Department of Fish and Game (ADF&amp;G), 2016)", "manualFormatting" : "Alaska Department of Fish and Game (DF&amp;G), 2016)", "plainTextFormattedCitation" : "(Alaska Department of Fish and Game (ADF&amp;G), 2016)", "previouslyFormattedCitation" : "(Alaska Department of Fish and Game (ADF&amp;G), 2016)" }, "properties" : { "noteIndex" : 0 }, "schema" : "https://github.com/citation-style-language/schema/raw/master/csl-citation.json" }</w:instrText>
      </w:r>
      <w:r w:rsidRPr="008608AA">
        <w:fldChar w:fldCharType="separate"/>
      </w:r>
      <w:r w:rsidRPr="008608AA">
        <w:rPr>
          <w:noProof/>
        </w:rPr>
        <w:t>Alaska De</w:t>
      </w:r>
      <w:r w:rsidR="00B04BFA" w:rsidRPr="008608AA">
        <w:rPr>
          <w:noProof/>
        </w:rPr>
        <w:t>partment of Fish and Game</w:t>
      </w:r>
      <w:r w:rsidRPr="008608AA">
        <w:rPr>
          <w:noProof/>
        </w:rPr>
        <w:t>, 2016)</w:t>
      </w:r>
      <w:r w:rsidRPr="008608AA">
        <w:fldChar w:fldCharType="end"/>
      </w:r>
      <w:r w:rsidRPr="008608AA">
        <w:t xml:space="preserve">. </w:t>
      </w:r>
    </w:p>
    <w:p w14:paraId="7FE4F613" w14:textId="7BD5E33F" w:rsidR="004255E7" w:rsidRPr="008608AA" w:rsidRDefault="00594F64" w:rsidP="0063629E">
      <w:pPr>
        <w:spacing w:after="120"/>
      </w:pPr>
      <w:r w:rsidRPr="008608AA">
        <w:t xml:space="preserve">Western North American alpine ecoregions contain diverse ecosystems and over 1,400 plant species </w:t>
      </w:r>
      <w:r w:rsidRPr="008608AA">
        <w:fldChar w:fldCharType="begin" w:fldLock="1"/>
      </w:r>
      <w:r w:rsidRPr="008608AA">
        <w:instrText>ADDIN CSL_CITATION { "citationItems" : [ { "id" : "ITEM-1", "itemData" : { "DOI" : "10.1080/14888386.2015.1117989", "author" : [ { "dropping-particle" : "", "family" : "Malanson", "given" : "G. P.", "non-dropping-particle" : "", "parse-names" : false, "suffix" : "" }, { "dropping-particle" : "", "family" : "Zimmerman", "given" : "D. L.", "non-dropping-particle" : "", "parse-names" : false, "suffix" : "" }, { "dropping-particle" : "", "family" : "Fagre", "given" : "D. B.", "non-dropping-particle" : "", "parse-names" : false, "suffix" : "" } ], "container-title" : "Biodiversity", "id" : "ITEM-1", "issue" : "4", "issued" : { "date-parts" : [ [ "2015" ] ] }, "page" : "237-246", "title" : "Floristic similarity, diversity and endemism as indicators of refugia characteristics and needs in the West", "type" : "article-journal", "volume" : "16" }, "uris" : [ "http://www.mendeley.com/documents/?uuid=b45901e1-9193-4701-987b-ba2673cd1577" ] } ], "mendeley" : { "formattedCitation" : "(Malanson et al. 2015b)", "manualFormatting" : "(Malanson, Zimmerman &amp; Fagre, 2015)", "plainTextFormattedCitation" : "(Malanson et al. 2015b)", "previouslyFormattedCitation" : "(Malanson et al. 2015b)" }, "properties" : { "noteIndex" : 0 }, "schema" : "https://github.com/citation-style-language/schema/raw/master/csl-citation.json" }</w:instrText>
      </w:r>
      <w:r w:rsidRPr="008608AA">
        <w:fldChar w:fldCharType="separate"/>
      </w:r>
      <w:r w:rsidR="00B057C7" w:rsidRPr="008608AA">
        <w:rPr>
          <w:noProof/>
        </w:rPr>
        <w:t>(Malanson et al.</w:t>
      </w:r>
      <w:r w:rsidRPr="008608AA">
        <w:rPr>
          <w:noProof/>
        </w:rPr>
        <w:t>, 2015)</w:t>
      </w:r>
      <w:r w:rsidRPr="008608AA">
        <w:fldChar w:fldCharType="end"/>
      </w:r>
      <w:r w:rsidRPr="008608AA">
        <w:t xml:space="preserve">. Similarity among plant communities throughout mountain ranges of western North America is driven primarily by geographic distance, but also by hydroclimatic variables </w:t>
      </w:r>
      <w:r w:rsidRPr="008608AA">
        <w:fldChar w:fldCharType="begin" w:fldLock="1"/>
      </w:r>
      <w:r w:rsidRPr="008608AA">
        <w:instrText>ADDIN CSL_CITATION { "citationItems" : [ { "id" : "ITEM-1", "itemData" : { "DOI" : "10.1007/s00035-014-0144-9", "author" : [ { "dropping-particle" : "", "family" : "Malanson", "given" : "G. P.", "non-dropping-particle" : "", "parse-names" : false, "suffix" : "" }, { "dropping-particle" : "", "family" : "Cheney", "given" : "A. B.", "non-dropping-particle" : "", "parse-names" : false, "suffix" : "" }, { "dropping-particle" : "", "family" : "Kinney", "given" : "M.", "non-dropping-particle" : "", "parse-names" : false, "suffix" : "" } ], "container-title" : "Alpine Botany", "id" : "ITEM-1", "issue" : "1", "issued" : { "date-parts" : [ [ "2015" ] ] }, "page" : "21-29", "title" : "Climatic and geographic relations of alpine tundra floras in western North America", "type" : "article-journal", "volume" : "125" }, "uris" : [ "http://www.mendeley.com/documents/?uuid=54271d9d-e6ba-4d1f-a915-2b7599bbbe49" ] } ], "mendeley" : { "formattedCitation" : "(Malanson et al. 2015a)", "manualFormatting" : "(Malanson, Cheney &amp; Kinney, 2015)", "plainTextFormattedCitation" : "(Malanson et al. 2015a)", "previouslyFormattedCitation" : "(Malanson et al. 2015a)" }, "properties" : { "noteIndex" : 0 }, "schema" : "https://github.com/citation-style-language/schema/raw/master/csl-citation.json" }</w:instrText>
      </w:r>
      <w:r w:rsidRPr="008608AA">
        <w:fldChar w:fldCharType="separate"/>
      </w:r>
      <w:r w:rsidR="00B057C7" w:rsidRPr="008608AA">
        <w:rPr>
          <w:noProof/>
        </w:rPr>
        <w:t>(Malanson et al.</w:t>
      </w:r>
      <w:r w:rsidRPr="008608AA">
        <w:rPr>
          <w:noProof/>
        </w:rPr>
        <w:t>, 2015)</w:t>
      </w:r>
      <w:r w:rsidRPr="008608AA">
        <w:fldChar w:fldCharType="end"/>
      </w:r>
      <w:r w:rsidRPr="008608AA">
        <w:t xml:space="preserve">. Endemism is common in western North America (45% of plant species), while exotic species are rare </w:t>
      </w:r>
      <w:r w:rsidRPr="008608AA">
        <w:fldChar w:fldCharType="begin" w:fldLock="1"/>
      </w:r>
      <w:r w:rsidRPr="008608AA">
        <w:instrText>ADDIN CSL_CITATION { "citationItems" : [ { "id" : "ITEM-1", "itemData" : { "DOI" : "10.1080/14888386.2015.1117989", "author" : [ { "dropping-particle" : "", "family" : "Malanson", "given" : "G. P.", "non-dropping-particle" : "", "parse-names" : false, "suffix" : "" }, { "dropping-particle" : "", "family" : "Zimmerman", "given" : "D. L.", "non-dropping-particle" : "", "parse-names" : false, "suffix" : "" }, { "dropping-particle" : "", "family" : "Fagre", "given" : "D. B.", "non-dropping-particle" : "", "parse-names" : false, "suffix" : "" } ], "container-title" : "Biodiversity", "id" : "ITEM-1", "issue" : "4", "issued" : { "date-parts" : [ [ "2015" ] ] }, "page" : "237-246", "title" : "Floristic similarity, diversity and endemism as indicators of refugia characteristics and needs in the West", "type" : "article-journal", "volume" : "16" }, "uris" : [ "http://www.mendeley.com/documents/?uuid=b45901e1-9193-4701-987b-ba2673cd1577" ] } ], "mendeley" : { "formattedCitation" : "(Malanson et al. 2015b)", "manualFormatting" : "(Malanson, Zimmerman &amp; Fagre, 2015)", "plainTextFormattedCitation" : "(Malanson et al. 2015b)", "previouslyFormattedCitation" : "(Malanson et al. 2015b)" }, "properties" : { "noteIndex" : 0 }, "schema" : "https://github.com/citation-style-language/schema/raw/master/csl-citation.json" }</w:instrText>
      </w:r>
      <w:r w:rsidRPr="008608AA">
        <w:fldChar w:fldCharType="separate"/>
      </w:r>
      <w:r w:rsidR="00B057C7" w:rsidRPr="008608AA">
        <w:rPr>
          <w:noProof/>
        </w:rPr>
        <w:t>(Malanson et al.</w:t>
      </w:r>
      <w:r w:rsidRPr="008608AA">
        <w:rPr>
          <w:noProof/>
        </w:rPr>
        <w:t>, 2015)</w:t>
      </w:r>
      <w:r w:rsidRPr="008608AA">
        <w:fldChar w:fldCharType="end"/>
      </w:r>
      <w:r w:rsidRPr="008608AA">
        <w:t xml:space="preserve">. </w:t>
      </w:r>
      <w:r w:rsidR="004255E7" w:rsidRPr="008608AA">
        <w:t>Native biodiversity of the western North America high altitude areas remains largely intact since European colonization. The eastern North America alpine ecoregion (Appalachian Mountains) is understudied and lacks a comprehensive record of biodiversity.</w:t>
      </w:r>
    </w:p>
    <w:p w14:paraId="0DC1280C" w14:textId="6A86A04F" w:rsidR="004255E7" w:rsidRPr="008608AA" w:rsidRDefault="007F2AAD" w:rsidP="0063629E">
      <w:pPr>
        <w:widowControl w:val="0"/>
        <w:autoSpaceDE w:val="0"/>
        <w:autoSpaceDN w:val="0"/>
        <w:adjustRightInd w:val="0"/>
        <w:spacing w:after="120"/>
        <w:rPr>
          <w:lang w:val="de-DE"/>
        </w:rPr>
      </w:pPr>
      <w:r w:rsidRPr="008608AA">
        <w:rPr>
          <w:iCs/>
        </w:rPr>
        <w:t xml:space="preserve">Recent trends. </w:t>
      </w:r>
      <w:r w:rsidR="004255E7" w:rsidRPr="008608AA">
        <w:t xml:space="preserve">Species richness has not changed significantly in North American </w:t>
      </w:r>
      <w:r w:rsidRPr="008608AA">
        <w:t>A</w:t>
      </w:r>
      <w:r w:rsidR="00702CDB" w:rsidRPr="008608AA">
        <w:t>rctic tundra</w:t>
      </w:r>
      <w:r w:rsidR="004255E7" w:rsidRPr="008608AA">
        <w:t>. Some boreal plant species, including trembling aspen (</w:t>
      </w:r>
      <w:r w:rsidR="004255E7" w:rsidRPr="008608AA">
        <w:rPr>
          <w:i/>
        </w:rPr>
        <w:t>Populus tremuloides</w:t>
      </w:r>
      <w:r w:rsidR="004255E7" w:rsidRPr="008608AA">
        <w:t>) and white spruce (</w:t>
      </w:r>
      <w:r w:rsidR="004255E7" w:rsidRPr="008608AA">
        <w:rPr>
          <w:i/>
        </w:rPr>
        <w:t>Picea glauca</w:t>
      </w:r>
      <w:r w:rsidR="004255E7" w:rsidRPr="008608AA">
        <w:t xml:space="preserve">), have expanded locally into North American </w:t>
      </w:r>
      <w:r w:rsidRPr="008608AA">
        <w:t>A</w:t>
      </w:r>
      <w:r w:rsidR="00702CDB" w:rsidRPr="008608AA">
        <w:t xml:space="preserve">rctic tundra </w:t>
      </w:r>
      <w:r w:rsidR="004255E7" w:rsidRPr="008608AA">
        <w:t xml:space="preserve">due to infrastructure development </w:t>
      </w:r>
      <w:r w:rsidR="004255E7" w:rsidRPr="008608AA">
        <w:fldChar w:fldCharType="begin" w:fldLock="1"/>
      </w:r>
      <w:r w:rsidR="004255E7" w:rsidRPr="008608AA">
        <w:instrText>ADDIN CSL_CITATION { "citationItems" : [ { "id" : "ITEM-1", "itemData" : { "DOI" : "10.14430/arctic4560", "ISSN" : "19231245", "abstract" : "Interacting forces of climate change and increased human activity in the Arctic are driving rapid changes in ecosystem structure, function, and biodiversity. One such change is the northern range expansion of tree species. We present the first account of the boreal tree species trembling aspen (Populus tremuloides, Salicaceae) growing beyond the latitudinal treeline in the northern foothills of the Brooks Range, Alaska. The four trembling aspen stands described in this paper are located on abandoned gravel roads or pads created for construction purposes. We hypothesize that gravel pads create islands of substrate suitable for tree growth within the Arctic by providing greater rooting depth, well-drained microsites, an extended growing season, and acid-buffering capacity. Further, traffic along the south-to-north oriented Dalton Highway from the boreal forest in Interior Alaska to the Arctic may aid seed dispersal across the topographic barrier of the Brooks Range. Therefore, increased development in the Arctic will likely accelerate the establishment of trees as climate becomes more favorable for tree growth. Tree colonization associated with infrastructure development would contrast sharply with prior conceptual models of gradual treeline advance following disturbance.", "author" : [ { "dropping-particle" : "", "family" : "Ackerman", "given" : "Daniel", "non-dropping-particle" : "", "parse-names" : false, "suffix" : "" }, { "dropping-particle" : "", "family" : "Breen", "given" : "Amy", "non-dropping-particle" : "", "parse-names" : false, "suffix" : "" } ], "container-title" : "Arctic", "id" : "ITEM-1", "issue" : "2", "issued" : { "date-parts" : [ [ "2016" ] ] }, "page" : "130-136", "title" : "Infrastructure development accelerates range expansion of trembling aspen (&lt;i&gt;Populus tremuloides&lt;/i&gt;, Salicaceae) into the Arctic", "type" : "article-journal", "volume" : "69" }, "uris" : [ "http://www.mendeley.com/documents/?uuid=73f256eb-0ca7-32b7-9886-609c07643bf5" ] }, { "id" : "ITEM-2", "itemData" : { "ISBN" : "0004-0843", "ISSN" : "00040843", "abstract" : "A white spruce seedling, Picea glauca (Moench) Voss, was found at the northern edge of the Brooks Range in Alaska, more than 50 km north of the latitudinal tree line. The seedling, 19 cm tall and about nine years old, was growing at the side of the Dalton Highway to Prudhoe Bay. It most likely sprouted from a seed transported across the Brooks Range on a vehicle and has survived on the well-drained gravel road berm, where site conditions are more favorable for germination and survival than in the surrounding tundra. This spruce has survived for about a decade under current climatic conditions. Even with a warming climate, natural seed dispersal is severely hampered by the rugged topographic barrier of the Brooks Range. Considering the amount of vehicle traffic on the Dalton Highway, however, it is likely that more pioneering spruce seedlings will turn up along this corridor. Once over the Brooks Range, a spruce population can potentially develop and expand.", "author" : [ { "dropping-particle" : "", "family" : "Elsner", "given" : "Wendy K.", "non-dropping-particle" : "", "parse-names" : false, "suffix" : "" }, { "dropping-particle" : "", "family" : "Jorgenson", "given" : "Janet C.", "non-dropping-particle" : "", "parse-names" : false, "suffix" : "" } ], "container-title" : "Arctic", "id" : "ITEM-2", "issue" : "3", "issued" : { "date-parts" : [ [ "2009" ] ] }, "page" : "342-344", "title" : "White spruce seedling (&lt;i&gt;Picea glauca&lt;/i&gt;) discovered north of the Brooks Range along Alaska's Dalton Highway", "type" : "article-journal", "volume" : "62" }, "uris" : [ "http://www.mendeley.com/documents/?uuid=93d09802-4322-46ed-a611-9e819bc01b83" ] } ], "mendeley" : { "formattedCitation" : "(Ackerman &amp; Breen, 2016; Elsner &amp; Jorgenson, 2009)", "manualFormatting" : "(Ackerman &amp; Breen, 2016; Elsner &amp; Jorgenson, 2009)", "plainTextFormattedCitation" : "(Ackerman &amp; Breen, 2016; Elsner &amp; Jorgenson, 2009)", "previouslyFormattedCitation" : "(Ackerman &amp; Breen, 2016; Elsner &amp; Jorgenson, 2009)" }, "properties" : { "noteIndex" : 0 }, "schema" : "https://github.com/citation-style-language/schema/raw/master/csl-citation.json" }</w:instrText>
      </w:r>
      <w:r w:rsidR="004255E7" w:rsidRPr="008608AA">
        <w:fldChar w:fldCharType="separate"/>
      </w:r>
      <w:r w:rsidR="004255E7" w:rsidRPr="008608AA">
        <w:rPr>
          <w:noProof/>
        </w:rPr>
        <w:t>(Ackerman &amp; Breen, 2016; Elsner &amp; Jorgenson, 2009)</w:t>
      </w:r>
      <w:r w:rsidR="004255E7" w:rsidRPr="008608AA">
        <w:fldChar w:fldCharType="end"/>
      </w:r>
      <w:r w:rsidR="004255E7" w:rsidRPr="008608AA">
        <w:t>. The only reported extinction is the Eskimo curlew (</w:t>
      </w:r>
      <w:r w:rsidR="004255E7" w:rsidRPr="008608AA">
        <w:rPr>
          <w:i/>
        </w:rPr>
        <w:t>Numenius borealis</w:t>
      </w:r>
      <w:r w:rsidR="004255E7" w:rsidRPr="008608AA">
        <w:t xml:space="preserve">), an over-exploited migratory shorebird </w:t>
      </w:r>
      <w:r w:rsidR="004255E7" w:rsidRPr="008608AA">
        <w:fldChar w:fldCharType="begin" w:fldLock="1"/>
      </w:r>
      <w:r w:rsidR="004255E7" w:rsidRPr="008608AA">
        <w:instrText>ADDIN CSL_CITATION { "citationItems" : [ { "id" : "ITEM-1", "itemData" : { "abstract" : "The United States conserves imperiled species with the Endangered Species Act (ESA). No studies have evaluated the ESA's coverage of species on the International Union for Conservation of Nature (IUCN) Red List, which is an accepted standard for imperiled species classification. We assessed the ESA's coverage of IUCN-listed birds, mammals, amphibians, gastropods, crustaceans, and insects, and studied the listing histories of three bird species and Pacific salmonids in more detail. We found that 40.3% of IUCN-listed U.S. birds are not listed by the ESA, and most other groups are underrecognized by &gt;80%. Species with higher IUCN threat levels are more frequently recognized by the ESA. Our avian case studies highlight differences in the objectives, constraints, and listing protocols of the two institutions, and the salmonids example shows an alternative situation where agencies were effective in evaluating and listing multiple (related) species. Vague definitions of endangered and threatened, an inadequate ESA budget, and the existence of the warranted but precluded category likely contribute to the classification gap we observed. \u00a9 2011 Wiley Periodicals, Inc.", "author" : [ { "dropping-particle" : "", "family" : "Harris", "given" : "J.B.C.", "non-dropping-particle" : "", "parse-names" : false, "suffix" : "" }, { "dropping-particle" : "", "family" : "Reid", "given" : "J. Leighton", "non-dropping-particle" : "", "parse-names" : false, "suffix" : "" }, { "dropping-particle" : "", "family" : "Scheffers", "given" : "B.R.", "non-dropping-particle" : "", "parse-names" : false, "suffix" : "" }, { "dropping-particle" : "", "family" : "Wanger", "given" : "T.C.", "non-dropping-particle" : "", "parse-names" : false, "suffix" : "" }, { "dropping-particle" : "", "family" : "Sodhi", "given" : "N.S.", "non-dropping-particle" : "", "parse-names" : false, "suffix" : "" }, { "dropping-particle" : "", "family" : "Fordham", "given" : "D.A.", "non-dropping-particle" : "", "parse-names" : false, "suffix" : "" }, { "dropping-particle" : "", "family" : "Brook", "given" : "B.W.", "non-dropping-particle" : "", "parse-names" : false, "suffix" : "" } ], "container-title" : "Conservation Letters", "id" : "ITEM-1", "issue" : "1", "issued" : { "date-parts" : [ [ "2012" ] ] }, "page" : "64-72", "title" : "Conserving imperiled species: a comparison of the IUCN Red List and U.S. Endangered Species Act", "type" : "article-journal", "volume" : "5" }, "uris" : [ "http://www.mendeley.com/documents/?uuid=c061ec83-b156-4e1b-baeb-f8952bf4c11f" ] } ], "mendeley" : { "formattedCitation" : "(Harris et al., 2012)", "plainTextFormattedCitation" : "(Harris et al., 2012)", "previouslyFormattedCitation" : "(Harris et al., 2012)" }, "properties" : { "noteIndex" : 0 }, "schema" : "https://github.com/citation-style-language/schema/raw/master/csl-citation.json" }</w:instrText>
      </w:r>
      <w:r w:rsidR="004255E7" w:rsidRPr="008608AA">
        <w:fldChar w:fldCharType="separate"/>
      </w:r>
      <w:r w:rsidR="004255E7" w:rsidRPr="008608AA">
        <w:rPr>
          <w:noProof/>
        </w:rPr>
        <w:t>(Harris et al., 2012)</w:t>
      </w:r>
      <w:r w:rsidR="004255E7" w:rsidRPr="008608AA">
        <w:fldChar w:fldCharType="end"/>
      </w:r>
      <w:r w:rsidR="004255E7" w:rsidRPr="008608AA">
        <w:t xml:space="preserve">. It is very well established that woody deciduous shrubs native to North American </w:t>
      </w:r>
      <w:r w:rsidRPr="008608AA">
        <w:t>A</w:t>
      </w:r>
      <w:r w:rsidR="00702CDB" w:rsidRPr="008608AA">
        <w:t xml:space="preserve">rctic tundra </w:t>
      </w:r>
      <w:r w:rsidR="004255E7" w:rsidRPr="008608AA">
        <w:t xml:space="preserve">have become increasingly dominant due to warming </w:t>
      </w:r>
      <w:r w:rsidR="004255E7" w:rsidRPr="008608AA">
        <w:fldChar w:fldCharType="begin" w:fldLock="1"/>
      </w:r>
      <w:r w:rsidR="004255E7" w:rsidRPr="008608AA">
        <w:instrText>ADDIN CSL_CITATION { "citationItems" : [ { "id" : "ITEM-1", "itemData" : { "DOI" : "10.1657/AAAR0015-063", "ISSN" : "1523-0430", "author" : [ { "dropping-particle" : "", "family" : "Moffat", "given" : "Nina D.", "non-dropping-particle" : "", "parse-names" : false, "suffix" : "" }, { "dropping-particle" : "", "family" : "Lantz", "given" : "Trevor C.", "non-dropping-particle" : "", "parse-names" : false, "suffix" : "" }, { "dropping-particle" : "", "family" : "Fraser", "given" : "Robert H.", "non-dropping-particle" : "", "parse-names" : false, "suffix" : "" }, { "dropping-particle" : "", "family" : "Olthof", "given" : "Ian", "non-dropping-particle" : "", "parse-names" : false, "suffix" : "" } ], "container-title" : "Arctic, Antarctic, and Alpine Research", "id" : "ITEM-1", "issue" : "3", "issued" : { "date-parts" : [ [ "2016" ] ] }, "page" : "581-597", "title" : "Recent vegetation change (1980\u20132013) in the tundra ccosystems of the Tuktoyaktuk Coastlands, NWT, Canada", "type" : "article-journal", "volume" : "48" }, "uris" : [ "http://www.mendeley.com/documents/?uuid=22556e22-4f95-3dec-861a-2c7521904614" ] }, { "id" : "ITEM-2", "itemData" : { "DOI" : "10.1088/1748-9326/9/7/075006", "ISBN" : "1748-9326", "ISSN" : "1748-9326", "abstract" : "Thaw of ice-rich permafrost soils on sloping terrain can trigger erosional disturbance events that displace large volumes of soil and sediment, kill and damage plants, and initiate secondary succession. We examined how retrogressive thaw slumps (RTS), a common form of thermoerosional disturbance in arctic tundra, affected the local loss and re-accumulation of carbon (C) and nitrogen (N) pools in organic and surface mineral soil horizons of 18 slumps within six spatially independent sites in arctic Alaska. RTS displaced 3 kg C and 0.2 kg N per m2 from the soil organic horizon but did not alter pools of C and N in the top 15 cm of the mineral horizon. Surface soil C pools re-accumulated rapidly (32 \u00b1 10 g C m\u22122 yr\u22121) through the first 60 years of succession, reaching levels similar to undisturbed tundra 40\u201364 years after disturbance. Average N re-accumulation rates (2.2 \u00b1 1.1 g N m\u22122 yr\u22121) were much higher than expected from atmospheric deposition and biological N fixation. Finally, plant community dominance shifted from graminoids to tall deciduous shrubs, which are likely to promote higher primary productivity, biomass accumulation, and rates of nutrient cycling.", "author" : [ { "dropping-particle" : "", "family" : "Pizano", "given" : "Camila", "non-dropping-particle" : "", "parse-names" : false, "suffix" : "" }, { "dropping-particle" : "", "family" : "Bar\u00f3n", "given" : "Andr\u00e9s F.", "non-dropping-particle" : "", "parse-names" : false, "suffix" : "" }, { "dropping-particle" : "", "family" : "Schuur", "given" : "Edward A. G.", "non-dropping-particle" : "", "parse-names" : false, "suffix" : "" }, { "dropping-particle" : "", "family" : "Crummer", "given" : "Kathryn G.", "non-dropping-particle" : "", "parse-names" : false, "suffix" : "" }, { "dropping-particle" : "", "family" : "Mack", "given" : "Michelle C.", "non-dropping-particle" : "", "parse-names" : false, "suffix" : "" } ], "container-title" : "Environmental Research Letters", "id" : "ITEM-2", "issue" : "7", "issued" : { "date-parts" : [ [ "2014" ] ] }, "page" : "075006", "title" : "Effects of thermo-erosional disturbance on surface soil carbon and nitrogen dynamics in upland arctic tundra", "type" : "article-journal", "volume" : "9" }, "uris" : [ "http://www.mendeley.com/documents/?uuid=ce84cb62-a628-372b-8dbf-60f6e157735e" ] }, { "id" : "ITEM-3", "itemData" : { "DOI" : "10.1002/ece3.1341", "ISSN" : "20457758", "PMID" : "25628866", "abstract" : "Recent increases in deciduous shrub cover are a primary focus of terrestrial Arctic research. This study examined the historic spatial patterns of shrub expansion on the North Slope of Alaska to determine the potential for a phase transition from tundra to shrubland. We examined the historic variability of landscape-scale tall shrub expansion patterns on nine sites within river valleys in the Brooks Range and North Slope uplands (BRNS) between the 1950s and circa 2010 by calculating percent cover (PCTCOV), patch density (PADENS), patch size variability (CVSIZE), mean nearest neighbor distance (MEDIST) and the multi-scale information fractal dimension (d I ) to assess spatial homogeneity for shrub cover. We also devised conceptual models for trends in these metrics before, during, and after a phase transition, and compared these to our results. By developing a regression equation between PCTCOV and d I and using universal critical d I values, we derived the PCTCOV required for a phase transition to occur. All nine sites exhibited increases in PCTCOV. Five of the nine sites exhibited an increase in PADENS, seven exhibited an increase in CVSIZE, and five exhibited a decrease in MEDIST. The d I values for each site exceeded the requirements necessary for a phase transition. Although fine-scale heterogeneity is still present, landscape-scale patterns suggest our study areas are either currently in a state of phase transition from tundra to shrubland or are progressing towards spatial homogeneity for shrubland. Our results indicate that the shrub tundra in the river valleys of the north slope of Alaska has reached a tipping point. If climate trends observed in recent decades continue, the shrub tundra will continue towards homogeneity with regard to the cover of tall shrubs.", "author" : [ { "dropping-particle" : "", "family" : "Naito", "given" : "Adam T.", "non-dropping-particle" : "", "parse-names" : false, "suffix" : "" }, { "dropping-particle" : "", "family" : "Cairns", "given" : "David M.", "non-dropping-particle" : "", "parse-names" : false, "suffix" : "" } ], "container-title" : "Ecology and Evolution", "id" : "ITEM-3", "issue" : "1", "issued" : { "date-parts" : [ [ "2015" ] ] }, "page" : "87-101", "title" : "Patterns of shrub expansion in Alaskan arctic river corridors suggest phase transition", "type" : "article-journal", "volume" : "5" }, "uris" : [ "http://www.mendeley.com/documents/?uuid=8feba79b-1278-36f7-977d-2cf7caf6b804" ] }, { "id" : "ITEM-4", "itemData" : { "DOI" : "10.1038/35079180", "ISBN" : "0028-0836", "ISSN" : "0028-0836", "PMID" : "11385559", "abstract" : "The warming of the Alaskan Arctic during the past 150 years has accelerated over the last three decades and is expected to increase vegetation productivity in tundra if shrubs become more abundant; indeed, this transition may already be under way according to local plot studies and remote sensing. Here we present evidence for a widespread increase in shrub abundance over more than 320 km of Arctic landscape during the past 50 years, based on a comparison of historic and modern aerial photographs. This expansion will alter the partitioning of energy in summer and the trapping and distribution of snow in winter, as well as increasing the amount of carbon stored in a region that is believed to be a net source of carbon dioxide.", "author" : [ { "dropping-particle" : "", "family" : "Sturm", "given" : "M.", "non-dropping-particle" : "", "parse-names" : false, "suffix" : "" }, { "dropping-particle" : "", "family" : "Racine", "given" : "C.", "non-dropping-particle" : "", "parse-names" : false, "suffix" : "" }, { "dropping-particle" : "", "family" : "Tape", "given" : "K.", "non-dropping-particle" : "", "parse-names" : false, "suffix" : "" } ], "container-title" : "Nature", "id" : "ITEM-4", "issue" : "6837", "issued" : { "date-parts" : [ [ "2001" ] ] }, "page" : "546-547", "title" : "Climate change: increasing shrub abundance in the Arctic", "type" : "article-journal", "volume" : "411" }, "uris" : [ "http://www.mendeley.com/documents/?uuid=ad812416-e798-311a-b2a3-f0f5c7f31f21" ] }, { "id" : "ITEM-5", "itemData" : { "DOI" : "10.1111/j.1365-2486.2006.01128.x", "ISBN" : "1354-1013", "ISSN" : "13541013", "PMID" : "20353460", "abstract" : "One expected response to climate warming in the Arctic is an increase in the abundance and extent of shrubs in tundra areas. Repeat photography shows that there has been an increase in shrub cover over the past 50 years in northern Alaska. Using 202 pairs of old and new oblique aerial photographs, we have found that across this region spanning 620 km east to west and 350 km north to south, alder, willow, and dwarf birch have been increasing, with the change most easily detected on hill slopes and valley bottoms. Plot and remote sensing studies from the same region using the normalized difference vegetation index are consistent with the photographic results and indicate that the smaller shrubs between valleys are also increasing. In Canada, Scandinavia, and parts of Russia, there is both plot and remote sensing evidence for shrub expansion. Combined with the Alaskan results, the evidence suggests that a pan-Arctic vegetation transition is underway. If continued, this transition will alter the fundamental architecture and function of this ecosystem with important ramifications for the climate, the biota, and humans.", "author" : [ { "dropping-particle" : "", "family" : "Tape", "given" : "Ken", "non-dropping-particle" : "", "parse-names" : false, "suffix" : "" }, { "dropping-particle" : "", "family" : "Sturm", "given" : "Matthew", "non-dropping-particle" : "", "parse-names" : false, "suffix" : "" }, { "dropping-particle" : "", "family" : "Racine", "given" : "Charles", "non-dropping-particle" : "", "parse-names" : false, "suffix" : "" } ], "container-title" : "Global Change Biology", "id" : "ITEM-5", "issue" : "4", "issued" : { "date-parts" : [ [ "2006" ] ] }, "page" : "686-702", "title" : "The evidence for shrub expansion in Northern Alaska and the Pan-Arctic", "type" : "article-journal", "volume" : "12" }, "uris" : [ "http://www.mendeley.com/documents/?uuid=b847f127-7499-30e3-9d2f-1616d07e4bbf" ] }, { "id" : "ITEM-6", "itemData" : { "DOI" : "10.1088/1748-9326/7/3/035501", "ISBN" : "1748-9326", "ISSN" : "1748-9326", "abstract" : "In order to characterize shrub response near the treeline in Eastern Nunavik (Quebec), a region under extensive warming since the 1990s, we compared two series (1964 and 2003) of vertical aerial photos from the vicinity of Kangiqsualujjuaq. Our study revealed a widespread increase in erect woody vegetation cover. During the 40 years spanning the two photo series, erect shrub and tree cover increased markedly on more than half of the land surface available for new colonization or infilling. Within the 7.2 km2 analysed, areas with dense shrub and tree cover (&gt; 90%) increased from 34% to 44% whereas areas with low cover (&lt; 10%) shrank from 45% to 29%. This increase in cover of trees and shrubs occurred throughout the landscape regardless of altitude, slope angle and exposure, although to varying extents. The main shrub species involved in this increase was Betula glandulosa Michx. (dwarf birch), which was present in 98% and dominant in 85% of the 345 plots. In addition, numerous seedlings and saplings of Larix laricina (Du Roi) K Koch (eastern larch) were found above the treeline (25% of the plots), suggesting that the altitudinal treeline might shift upslope in the near future. Sites that remained devoid of erect woody vegetation in 2003 were either characterized by the absence of a suitable seedbed or by harsh local microclimatic conditions (wind exposure or excessive drainage). Our results indicate dramatic increases in shrub and tree cover at a Low Arctic site in Eastern Nunavik, contributing to a growing number of observations of woody vegetation change from various areas around the North.", "author" : [ { "dropping-particle" : "", "family" : "Tremblay", "given" : "Beno\u00eet", "non-dropping-particle" : "", "parse-names" : false, "suffix" : "" }, { "dropping-particle" : "", "family" : "L\u00e9vesque", "given" : "Esther", "non-dropping-particle" : "", "parse-names" : false, "suffix" : "" }, { "dropping-particle" : "", "family" : "Boudreau", "given" : "St\u00e9phane", "non-dropping-particle" : "", "parse-names" : f</w:instrText>
      </w:r>
      <w:r w:rsidR="004255E7" w:rsidRPr="008608AA">
        <w:rPr>
          <w:lang w:val="fr-CA"/>
        </w:rPr>
        <w:instrText>alse, "suffix" : "" } ], "container-title" : "Environmental Research Letters", "id" : "ITEM-6", "issue" : "3", "issued" : { "date-parts" : [ [ "2012" ] ] }, "page" : "035501", "title" : "Recent expansion of erect shrubs in the Low Arctic: evidence from Eastern Nunavik", "type" : "article-journal", "volume" : "7" }, "uris" : [ "http://www.mendeley.com/documents/?uuid=fcde1c58-7e40-35e6-a40e-1c5c4b31d40f" ] } ], "mendeley" : { "formattedCitation" : "(Moffat, Lantz, Fraser, &amp; Olthof, 2016; Naito &amp; Cairns, 2015; Pizano, Bar\u00f3n, Schuur, Crummer, &amp; Mack, 2014; Sturm, Racine, &amp; Tape, 2001; Tape, Sturm, &amp; Racine, 2006; Tremblay, L\u00e9vesque, &amp; Boudreau, 2012)", "manualFormatting" : "(Fraser et al., 2014; Moffat et al., 2016; Myers-Smith et al., 2011, 2015; Naito &amp; Cairns, 2015; Pizano et al., 2014; Sturm et al., 2001; Tape et al., 2006; Tremblay et al., 2012", "plainTextFormattedCitation" : "(Moffat, Lantz, Fraser, &amp; Olthof, 2016; Naito &amp; Cairns, 2015; Pizano, Bar\u00f3n, Schuur, Crummer, &amp; Mack, 2014; Sturm, Racine, &amp; Tape, 2001; Tape, Sturm, &amp; Racine, 2006; Tremblay, L\u00e9vesque, &amp; Boudreau, 2012)", "previouslyFormattedCitation" : "(Moffat, Lantz, Fraser, &amp; Olthof, 2016; Naito &amp; Cairns, 2015; Pizano, Bar\u00f3n, Schuur, Crummer, &amp; Mack, 2014; Sturm, Racine, &amp; Tape, 2001; Tape, Sturm, &amp; Racine, 2006; Tremblay, L\u00e9vesque, &amp; Boudreau, 2012)" }, "properties" : { "noteIndex" : 0 }, "schema" : "https://github.com/citation-style-language/schema/raw/master/csl-citation.json" }</w:instrText>
      </w:r>
      <w:r w:rsidR="004255E7" w:rsidRPr="008608AA">
        <w:fldChar w:fldCharType="separate"/>
      </w:r>
      <w:r w:rsidR="004255E7" w:rsidRPr="008608AA">
        <w:rPr>
          <w:noProof/>
          <w:lang w:val="fr-CA"/>
        </w:rPr>
        <w:t>(Fraser et al., 2014; Moffat et al., 2016; Myers-Smith et al., 2011, 2015; Naito &amp; Cairns, 2015; Pizano et al., 2014; Sturm et al., 2001; Tape et al., 2006; Tremblay et al., 2012</w:t>
      </w:r>
      <w:r w:rsidR="004255E7" w:rsidRPr="008608AA">
        <w:fldChar w:fldCharType="end"/>
      </w:r>
      <w:r w:rsidR="004255E7" w:rsidRPr="008608AA">
        <w:fldChar w:fldCharType="begin" w:fldLock="1"/>
      </w:r>
      <w:r w:rsidR="004255E7" w:rsidRPr="008608AA">
        <w:rPr>
          <w:lang w:val="fr-CA"/>
        </w:rPr>
        <w:instrText>ADDIN CSL_CITATION { "citationItems" : [ { "id" : "ITEM-1", "itemData" : { "author" : [ { "dropping-particle" : "", "family" : "Myers-Smith", "given" : "I. H.", "non-dropping-particle" : "", "parse-names" : false, "suffix" : "" }, { "dropping-particle" : "", "family" : "Forbes", "given" : "B. C.", "non-dropping-particle" : "", "parse-names" : false, "suffix" : "" }, { "dropping-particle" : "", "family" : "Wilmking", "given" : "M.", "non-dropping-particle" : "", "parse-names" : false, "suffix" : "" }, { "dropping-particle" : "", "family" : "Hallinger", "given" : "M.", "non-dropping-particle" : "", "parse-names" : false, "suffix" : "" }, { "dropping-particle" : "", "family" : "Lantz", "given" : "T.", "non-dropping-particle" : "", "parse-names" : false, "suffix" : "" }, { "dropping-particle" : "", "family" : "Blok", "given" : "D.", "non-dropping-particle" : "", "parse-names" : false, "suffix" : "" }, { "dropping-particle" : "", "family" : "Tape", "given" : "K.D.", "non-dropping-particle" : "", "parse-names" : false, "suffix" : "" }, { "dropping-particle" : "", "family" : "Macias-Fauria", "given" : "M.", "non-dropping-particle" : "", "parse-names" : false, "suffix" : "" }, { "dropping-particle" : "", "family" : "Sass-Klaassen", "given" : "U.", "non-dropping-particle" : "", "parse-names" : false, "suffix</w:instrText>
      </w:r>
      <w:r w:rsidR="004255E7" w:rsidRPr="008608AA">
        <w:instrText>" : "" }, { "dropping-particle" : "", "family" : "L\u00e9vesque", "given" : "E.", "non-dropping-particle" : "", "parse-names" : false, "suffix" : "" }, { "dropping-particle" : "", "family" : "Boudreau", "given" : "S.", "non-dropping-particle" : "", "parse-names" : false, "suffix" : "" }, { "dropping-particle" : "", "family" : "Ropars", "given" : "P.", "non-dropping-particle" : "", "parse-names" : false, "suffix" : "" }, { "dropping-particle" : "", "family" : "Hermanutz", "given" : "L.", "non-dropping-particle" : "", "parse-names" : false, "suffix" : "" }, { "dropping-particle" : "", "family" : "Trant", "given" : "A.", "non-dropping-particle" : "", "parse-names" : false, "suffix" : "" }, { "dropping-particle" : "", "family" : "Siegwart Collier", "given" : "L.", "non-dropping-particle" : "", "parse-names" : false, "suffix" : "" }, { "dropping-particle" : "", "family" : "Weijers", "given" : "S.", "non-dropping-particle" : "", "parse-names" : false, "suffix" : "" }, { "dropping-particle" : "", "family" : "Rozema", "given" : "J.", "non-dropping-particle" : "", "parse-names" : false, "suffix" : "" }, { "dropping-particle" : "", "family" : "Rayback", "given" : "S.A.", "non-dropping-particle" : "", "parse-names" : false, "suffix" : "" }, { "dropping-particle" : "", "family" : "Martin Schmidt", "given" : "N.", "non-dropping-particle" : "", "parse-names" : false, "suffix" : "" }, { "dropping-particle" : "", "family" : "Schaepman-Strub", "given" : "G.", "non-dropping-particle" : "", "parse-names" : false, "suffix" : "" }, { "dropping-particle" : "", "family" : "Wipf", "given" : "S.", "non-dropping-particle" : "", "parse-names" : false, "suffix" : "" }, { "dropping-particle" : "", "family" : "Rixen", "given" : "C.", "non-dropping-particle" : "", "parse-names" : false, "suffix" : "" }, { "dropping-particle" : "", "family" : "M\u00e9nard", "given" : "C.B.", "non-dropping-particle" : "", "parse-names" : false, "suffix" : "" }, { "dropping-particle" : "", "family" : "Venn", "given" : "S.", "non-dropping-particle" : "", "parse-names" : false, "suffix" : "" }, { "dropping-particle" : "", "family" : "Goetz", "given" : "S.", "non-dropping-particle" : "", "parse-names" : false, "suffix" : "" }, { "dropping-particle" : "", "family" : "Andreu-Hayles", "given" : "L.", "non-dropping-particle" : "", "parse-names" : false, "suffix" : "" }, { "dropping-particle" : "", "family" : "Elmendorf", "given" : "S.", "non-dropping-particle" : "", "parse-names" : false, "suffix" : "" }, { "dropping-particle" : "", "family" : "Ravolainen", "given" : "V.", "non-dropping-particle" : "", "parse-names" : false, "suffix" : "" }, { "dropping-particle" : "", "family" : "Welker", "given" : "J.", "non-dropping-particle" : "", "parse-names" : false, "suffix" : "" }, { "dropping-particle" : "", "family" : "Grogan", "given" : "P.", "non-dropping-particle" : "", "parse-names" : false, "suffix" : "" }, { "dropping-particle" : "", "family" : "Epstein", "given" : "H.E.", "non-dropping-particle" : "", "parse-names" : false, "suffix" : "" }, { "dropping-particle" : "", "family" : "Hik", "given" : "D.S.", "non-dropping-particle" : "", "parse-names" : false, "suffix" : "" } ], "container-title" : "Environmental Research Letters", "id" : "ITEM-1", "issue" : "4", "issued" : { "date-parts" : [ [ "2011" ] ] }, "page" : "045509", "title" : "Shrub expansion in tundra ecosystems: dynamics, impacts and research priorities", "type" : "article-journal", "volume" : "6" }, "uris" : [ "http://www.mendeley.com/documents/?uuid=173d85ee-81a8-4419-82fb-165ef344061d" ] }, { "id" : "ITEM-2", "itemData" : { "author" : [ { "dropping-particle" : "", "family" : "Myers-Smith", "given" : "I. H.", "non-dropping-particle" : "", "parse-names" : false, "suffix" : "" }, { "dropping-particle" : "", "family" : "Elmendorf", "given" : "S. C.", "non-dropping-particle" : "", "parse-names" : false, "suffix" : "" }, { "dropping-particle" : "", "family" : "Beck", "given" : "P. S.", "non-dropping-particle" : "", "parse-names" : false, "suffix" : "" }, { "dropping-particle" : "", "family" : "Wilmking", "given" : "M.", "non-dropping-particle" : "", "parse-names" : false, "suffix" : "" }, { "dropping-particle" : "", "family" : "Hallinger", "given" : "M.", "non-dropping-particle" : "", "parse-names" : false, "suffix" : "" }, { "dropping-particle" : "", "family" : "Blok", "given" : "D.", "non-dropping-particle" : "", "parse-names" : false, "suffix" : "" }, { "dropping-particle" : "", "family" : "Speed", "given" : "J. D.", "non-dropping-particle" : "", "parse-names" : false, "suffix" : "" } ], "container-title" : "Nature Climate Change", "id" : "ITEM-2", "issue" : "9", "issued" : { "date-parts" : [ [ "2015" ] ] }, "page" : "887-891", "title" : "Climate sensitivity of shrub growth across the tundra biome", "type" : "article-journal", "volume" : "5" }, "uris" : [ "http://www.mendeley.com/documents/?uuid=f17a797e-b135-4539-92c8-efc00d1156d0" ] }, { "id" : "ITEM-3", "itemData" : { "author" : [ { "dropping-particle" : "", "family" : "Fraser", "given" : "R. H.", "non-dropping-particle" : "", "parse-names" : false, "suffix" : "" }, { "dropping-particle" : "", "family" : "Lantz", "given" : "T. C.", "non-dropping-particle" : "", "parse-names" : false, "suffix" : "" }, { "dropping-particle" : "", "family" : "Olthof", "given" : "I.", "non-dropping-particle" : "", "parse-names" : false, "suffix" : "" }, { "dropping-particle" : "V.", "family" : "Kokelj", "given" : "S.", "non-dropping-particle" : "", "parse-names" : false, "suffix" : "" }, { "dropping-particle" : "", "family" : "Sims", "given" : "R. A.", "non-dropping-particle" : "", "parse-names" : false, "suffix" : "" } ], "container-title" : "Ecosystems", "id" : "ITEM-3", "issue" : "7", "issued" : { "date-parts" : [ [ "2014" ] ] }, "page" : "1151-1168", "title" : "Warming-induced shrub expansion and lichen decline in the Western Canadian Arctic", "type" : "article-journal", "volume" : "17" }, "uris" : [ "http://www.mendeley.com/documents/?uuid=de1b9290-825d-4f4a-aea2-85956193ea1b" ] } ], "mendeley" : { "formattedCitation" : "(R. H. Fraser, Lantz, Olthof, Kokelj, &amp; Sims, 2014; Myers-Smith et al., 2011, 2015)", "manualFormatting" : ")", "plainTextFormattedCitation" : "(R. H. Fraser, Lantz, Olthof, Kokelj, &amp; Sims, 2014; Myers-Smith et al., 2011, 2015)", "previouslyFormattedCitation" : "(R. H. Fraser, Lantz, Olthof, Kokelj, &amp; Sims, 2014; Myers-Smith et al., 2011, 2015)" }, "properties" : { "noteIndex" : 0 }, "schema" : "https://github.com/citation-style-language/schema/raw/master/csl-citation.json" }</w:instrText>
      </w:r>
      <w:r w:rsidR="004255E7" w:rsidRPr="008608AA">
        <w:fldChar w:fldCharType="separate"/>
      </w:r>
      <w:r w:rsidR="004255E7" w:rsidRPr="008608AA">
        <w:rPr>
          <w:noProof/>
        </w:rPr>
        <w:t>)</w:t>
      </w:r>
      <w:r w:rsidR="004255E7" w:rsidRPr="008608AA">
        <w:fldChar w:fldCharType="end"/>
      </w:r>
      <w:r w:rsidR="004255E7" w:rsidRPr="008608AA">
        <w:t xml:space="preserve">. While the overall area of North American </w:t>
      </w:r>
      <w:r w:rsidRPr="008608AA">
        <w:t>A</w:t>
      </w:r>
      <w:r w:rsidR="00702CDB" w:rsidRPr="008608AA">
        <w:t xml:space="preserve">rctic tundra </w:t>
      </w:r>
      <w:r w:rsidR="004255E7" w:rsidRPr="008608AA">
        <w:t xml:space="preserve">has not changed significantly, habitat has been degraded biome-wide due to high-latitude concentration of atmospheric pollutants </w:t>
      </w:r>
      <w:r w:rsidR="004255E7" w:rsidRPr="008608AA">
        <w:fldChar w:fldCharType="begin" w:fldLock="1"/>
      </w:r>
      <w:r w:rsidR="004255E7" w:rsidRPr="008608AA">
        <w:instrText>ADDIN CSL_CITATION { "citationItems" : [ { "id" : "ITEM-1", "itemData" : { "DOI" : "10.1016/j.scitotenv.2009.10.044", "ISBN" : "0048-9697", "ISSN" : "00489697", "PMID" : "20004462", "abstract" : "Continuous and comparable atmospheric monitoring programs to study the transport and occurrence of persistent organic pollutants (POPs) in the atmosphere of remote regions is essential to better understand the global movement of these chemicals and to evaluate the effectiveness of international control measures. Key results from four main Arctic research stations, Alert (Canada), Pallas (Finland), Storhofdi (Iceland) and Zeppelin (Svalbard/Norway), where long-term monitoring have been carried out since the early 1990s, are summarized. We have also included a discussion of main results from various Arctic satellite stations in Canada, Russia, US (Alaska) and Greenland which have been operational for shorter time periods. Using the Digital Filtration temporal trend development technique, it was found that while some POPs showed more or less consistent declines during the 1990s, this reduction is less apparent in recent years at some sites. In contrast, polybrominated diphenyl ethers (PBDEs) were still found to be increasing by 2005 at Alert with doubling times of 3.5. years in the case of deca-BDE. Levels and patterns of most POPs in Arctic air are also showing spatial variability, which is typically explained by differences in proximity to suspected key source regions and long-range atmospheric transport potentials. Furthermore, increase in worldwide usage of certain pesticides, e.g. chlorothalonil and quintozene, which are contaminated with hexachlorobenzene (HCB), may result in an increase in Arctic air concentration of HCB. The results combined also indicate that both temporal and spatial patterns of POPs in Arctic air may be affected by various processes driven by climate change, such as reduced ice cover, increasing seawater temperatures and an increase in biomass burning in boreal regions as exemplified by the data from the Zeppelin and Alert stations. Further research and continued air monitoring are needed to better understand these processes and its future impact on the Arctic environment. ?? 2009.", "author" : [ { "dropping-particle" : "", "family" : "Hung", "given" : "Hayley", "non-dropping-particle" : "", "parse-names" : false, "suffix" : "" }, { "dropping-particle" : "", "family" : "Kallenborn", "given" : "Roland", "non-dropping-particle" : "", "parse-names" : false, "suffix" : "" }, { "dropping-particle" : "", "family" : "Breivik", "given" : "Knut", "non-dropping-particle" : "", "parse-names" : false, "suffix" : "" }, { "dropping-particle" : "", "family" : "Su", "given" : "Yushan", "non-dropping-particle" : "", "parse-names" : false, "suffix" : "" }, { "dropping-particle" : "", "family" : "Brorstr\u00f6m-Lund\u00e9n", "given" : "Eva", "non-dropping-particle" : "", "parse-names" : false, "suffix" : "" }, { "dropping-particle" : "", "family" : "Olafsdottir", "given" : "Kristin", "non-dropping-particle" : "", "parse-names" : false, "suffix" : "" }, { "dropping-particle" : "", "family" : "Thorlacius", "given" : "Johanna M.", "non-dropping-particle" : "", "parse-names" : false, "suffix" : "" }, { "dropping-particle" : "", "family" : "Lepp\u00e4nen", "given" : "Sirkka", "non-dropping-particle" : "", "parse-names" : false, "suffix" : "" }, { "dropping-particle" : "", "family" : "Bossi", "given" : "Rossana", "non-dropping-particle" : "", "parse-names" : false, "suffix" : "" }, { "dropping-particle" : "", "family" : "Skov", "given" : "Henrik", "non-dropping-particle" : "", "parse-names" : false, "suffix" : "" }, { "dropping-particle" : "", "family" : "Man\u00f8", "given" : "Stein", "non-dropping-particle" : "", "parse-names" : false, "suffix" : "" }, { "dropping-particle" : "", "family" : "Patton", "given" : "Gregory W.", "non-dropping-particle" : "", "parse-names" : false, "suffix" : "" }, { "dropping-particle" : "", "family" : "Stern", "given" : "Gary", "non-dropping-particle" : "", "parse-names" : false, "suffix" : "" }, { "dropping-particle" : "", "family" : "Sverko", "given" : "Ed", "non-dropping-particle" : "", "parse-names" : false, "suffix" : "" }, { "dropping-particle" : "", "family" : "Fellin", "given" : "Phil", "non-dropping-particle" : "", "parse-names" : false, "suffix" : "" } ], "container-title" : "Science of the Total Environment", "id" : "ITEM-1", "issue" : "15", "issued" : { "date-parts" : [ [ "2010" ] ] }, "page" : "2854-2873", "title" : "Atmospheric monitoring of organic pollutants in the Arctic under the Arctic Monitoring and Assessment Programme (AMAP): 1993-2006", "type" : "article-journal", "volume" : "408" }, "uris" : [ "http://www.mendeley.com/documents/?uuid=d69e1314-06cd-4b04-b671-d1814fa9052c" ] }, { "id" : "ITEM-2", "itemData" : { "DOI" : "10.1039/b509373b", "ISBN" : "1464-0325", "ISSN" : "1464-0325", "PMID" : "16307068", "abstract" : "Adopting recently developed clean laboratory techniques, antimony (Sb) and scandium (Sc) deposition were measured in a 63.72 m-long ice core (1842-1996) and a 5 m deep snow pit (1994-2004) collected on Devon Island, Canadian High Arctic. Antimony concentrations ranged from 0.07 to 108 pg g(-1) with a median of 0.98 pg g(-1)(N= 510). Scandium, used as a conservative reference element, revealed that dust inputs were effectively constant during the last 160 years. The atmospheric Sb signal preserved in the ice core reflects contamination from industrialisation, the economic boom which followed WWII, as well as the comparatively recent introduction of flue gas filter technologies and emission reduction efforts. Natural contributions to the total Sb inventory are negligible, meaning that anthropogenic emissions have dominated atmospheric Sb deposition throughout the entire period. The seasonal resolution of the snow pit showed that aerosols deposited during the Arctic winter, when air masses are derived mainly from Eurasia, show the greatest Sb concentrations. Deposition during summer, when air masses come mainly from North America, is still enriched in Sb, but less so. Snow and ice provide unambiguous evidence that enrichments of Sb in Arctic air have increased 50% during the past three decades, with two-thirds being deposited during winter. Most Sb is produced in Asia, primarily from Sb sulfides such as stibnite (Sb2S3), but also as a by-product of lead and copper smelting. In addition there is a growing worldwide use of Sb in automobile brake pads, plastics and flame retardants. In contrast to Pb which has gone into decline during the same interval because of the gradual elimination of gasoline lead additives, the enrichments of Sb have been increasing and today clearly exceed those of Pb. Given that the toxicity of Sb is comparable to that of Pb, Sb has now replaced Pb in the rank of potentially toxic trace metals in the Arctic atmosphere.", "author" : [ { "dropping-particle" : "", "family" : "Krachler", "given" : "Michael", "non-dropping-particle" : "", "parse-names" : false, "suffix" : "" }, { "dropping-particle" : "", "family" : "Zheng", "given" : "James", "non-dropping-particle" : "", "parse-names" : false, "suffix" : "" }, { "dropping-particle" : "", "family" : "Koerner", "given" : "Roy", "non-dropping-particle" : "", "parse-names" : false, "suffix" : "" }, { "dropping-particle" : "", "family" : "Zdanowicz", "given" : "Christian", "non-dropping-particle" : "", "parse-names" : false, "suffix" : "" }, { "dropping-particle" : "", "family" : "Fisher", "given" : "David", "non-dropping-particle" : "", "parse-names" : false, "suffix" : "" }, { "dropping-particle" : "", "family" : "Shotyk", "given" : "William", "non-dropping-particle" : "", "parse-names" : false, "suffix" : "" } ], "container-title" : "Journal of Environmental Management", "id" : "ITEM-2", "issue" : "12", "issued" : { "date-parts" : [ [ "2005" ] ] }, "page" : "1169-1176", "title" : "Increasing atmospheric antimony contamination in the northern hemisphere: snow and ice evidence from Devon Island, Arctic Canada", "type" : "article-journal", "volume" : "7" }, "uris" : [ "http://www.mendeley.com/documents/?uuid=4824b683-3c47-4a34-87ff-ba842ea103fa" ] }, { "id" : "ITEM-3", "itemData" : { "DOI" : "10.1111/j.1600-0889.2006.00238.x", "ISBN" : "0280-6509", "ISSN" : "02806509", "abstract" : "ABSTRACT Trend analyses were performed on several indicators of Arctic haze using data from sites located in the North American, Norwegian, Finnish and Russian Arctic for the spring months of March and April. Concentrations of nonseasalt (nss) SO4 = in the Canadian, Norwegian and Finnish Arctic were found to have decreased by 30-70% from the early 1990s to present. The magnitude of the decrease depended on location. The trend in nss SO4 = at Barrow, Alaska from 1997 to present, is unclear. Measurements at Barrow of light scattering by aerosols show a decrease of about 50% between the early 1980s and the mid-1990s for both March and April. Restricting the analysis to the more recent period of 1997 to present indicates an increase in scattering of about 50% during March. Aerosol NO3- measured at Alert, Canada has increased by about 50% between the early 1990s and 2003. Nss K+ and light absorption, indicators of forest fires, have a seasonal maximum during the winter and spring and minimum during the summer and fall at both Alert and Barrow. Based on these data, the impact of summertime forest fire emissions on low-altitude surface sites within the Arctic is relatively small compared to winter/spring emissions. Key uncertainties about the impact of long range transport of pollution to the Arctic remain including the certainty of the recent detected trends; sources, transport and trends of soot; and radiative effects due to complex interactions between aerosols, clouds and radiation in the Arctic.", "author" : [ { "dropping-particle" : "", "family" : "Quinn", "given" : "Patricia K.", "non-dropping-particle" : "", "parse-names" : false, "suffix" : "" }, { "dropping-particle" : "", "family" : "Shaw", "given" : "G.", "non-dropping-particle" : "", "parse-names" : false, "suffix" : "" }, { "dropping-particle" : "", "family" : "Andrews", "given" : "E.", "non-dropping-particle" : "", "parse-names" : false, "suffix" : "" }, { "dropping-particle" : "", "family" : "Dutton", "given" : "E. G.", "non-dropping-particle" : "", "parse-names" : false, "suffix" : "" }, { "dropping-particle" : "", "family" : "Ruoho-Airola", "given" : "T.", "non-dropping-particle" : "", "parse-names" : false, "suffix" : "" }, { "dropping-particle" : "", "family" : "Gong", "given" : "S. L.", "non-dropping-particle" : "", "parse-names" : false, "suffix" : "" } ], "container-title" : "Tellus, Series B: Chemical and Physical Meteorology", "id" : "ITEM-3", "issue" : "1", "issued" : { "date-parts" : [ [ "2007" ] ] }, "page" : "99-114", "title" : "Arctic haze: current trends and knowledge gaps", "type" : "article-journal", "volume" : "59" }, "uris" : [ "http://www.mendeley.com/documents/?uuid=888e701c-39db-3784-bb2f-802d3a35e6e3" ] } ], "mendeley" : { "formattedCitation" : "(Hung et al., 2010; Krachler et al., 2005; Quinn et al., 2007)", "plainTextFormattedCitation" : "(Hung et al., 2010; Krachler et al., 2005; Quinn et al., 2007)", "previouslyFormattedCitation" : "(Hung et al., 2010; Krachler et al., 2005; Quinn et al., 2007)" }, "properties" : { "noteIndex" : 0 }, "schema" : "https://github.com/citation-style-language/schema/raw/master/csl-citation.json" }</w:instrText>
      </w:r>
      <w:r w:rsidR="004255E7" w:rsidRPr="008608AA">
        <w:fldChar w:fldCharType="separate"/>
      </w:r>
      <w:r w:rsidR="004255E7" w:rsidRPr="008608AA">
        <w:rPr>
          <w:noProof/>
        </w:rPr>
        <w:t>(Hung et al., 2010; Krachler et al., 2005; Quinn et al., 2007)</w:t>
      </w:r>
      <w:r w:rsidR="004255E7" w:rsidRPr="008608AA">
        <w:fldChar w:fldCharType="end"/>
      </w:r>
      <w:r w:rsidR="004255E7" w:rsidRPr="008608AA">
        <w:t xml:space="preserve"> and regionally due to road construction </w:t>
      </w:r>
      <w:r w:rsidR="004255E7" w:rsidRPr="008608AA">
        <w:fldChar w:fldCharType="begin" w:fldLock="1"/>
      </w:r>
      <w:r w:rsidR="004255E7" w:rsidRPr="008608AA">
        <w:instrText>ADDIN CSL_CITATION { "citationItems" : [ { "id" : "ITEM-1", "itemData" : { "DOI" : "10.1111/gcb.12500", "PMID" : "24339207", "abstract" : "Many areas of the Arctic are simultaneously affected by rapid climate change and rapid industrial development. These areas are likely to increase in number and size as sea ice melts and abundant Arctic natural resources become more accessible. Documenting the changes that have already occurred is essential to inform management approaches to minimize the impacts of future activities. Here, we determine the cumulative geoecological effects of 62 years (1949\u20132011) of infrastructure- and climate-related changes in the Prudhoe Bay Oilfield, the oldest and most extensive industrial complex in the Arctic, and an area with extensive ice-rich permafrost that is extraordinarily sensitive to climate change. We demonstrate that thermokarst has recently affected broad areas of the entire region, and that a sudden increase in the area affected began shortly after 1990 corresponding to a rapid rise in regional summer air temperatures and related permafrost temperatures. We also present a conceptual model that describes how infrastructure-related factors, including road dust and roadside flooding are contributing to more extensive thermokarst in areas adjacent to roads and gravel pads. We mapped the historical infrastructure changes for the Alaska North Slope oilfields for 10 dates from the initial oil discovery in 1968\u20132011. By 2010, over 34% of the intensively mapped area was affected by oil development. In addition, between 1990 and 2001, coincident with strong atmospheric warming during the 1990s, 19% of the remaining natural landscapes (excluding areas covered by infrastructure, lakes and river floodplains) exhibited expansion of thermokarst features resulting in more abundant small ponds, greater microrelief, more active lakeshore erosion and increased landscape and habitat heterogeneity. This transition to a new geoecological regime will have impacts to wildlife habitat, local residents and industry.", "author" : [ { "dropping-particle" : "", "family" : "Raynolds", "given" : "Martha K.", "non-dropping-particle" : "", "parse-names" : false, "suffix" : "" }, { "dropping-particle" : "", "family" : "Walker", "given" : "Donald A.", "non-dropping-particle" : "", "parse-names" : false, "suffix" : "" }, { "dropping-particle" : "", "family" : "Ambrosius", "given" : "Kenneth J.", "non-dropping-particle" : "", "parse-names" : false, "suffix" : "" }, { "dropping-particle" : "", "family" : "Brown", "given" : "Jerry", "non-dropping-particle" : "", "parse-names" : false, "suffix" : "" }, { "dropping-particle" : "", "family" : "Everett", "given" : "Kaye R.", "non-dropping-particle" : "", "parse-names" : false, "suffix" : "" }, { "dropping-particle" : "", "family" : "Kanevskiy", "given" : "Mikhail", "non-dropping-particle" : "", "parse-names" : false, "suffix" : "" }, { "dropping-particle" : "", "family" : "Kofinas", "given" : "Gary P.", "non-dropping-particle" : "", "parse-names" : false, "suffix" : "" }, { "dropping-particle" : "", "family" : "Romanovsky", "given" : "Vladimir E.", "non-dropping-particle" : "", "parse-names" : false, "suffix" : "" }, { "dropping-particle" : "", "family" : "Shur", "given" : "Yuri", "non-dropping-particle" : "", "parse-names" : false, "suffix" : "" }, { "dropping-particle" : "", "family" : "Webber", "given" : "Patrick J.", "non-dropping-particle" : "", "parse-names" : false, "suffix" : "" } ], "container-title" : "Global Change Biology", "id" : "ITEM-1", "issue" : "4", "issued" : { "date-parts" : [ [ "2014" ] ] }, "page" : "1211-1224", "title" : "Cumulative geoecological effects of 62 years of infrastructure and climate change in ice-rich permafrost landscapes, Prudhoe Bay Oilfield, Alaska", "type" : "article-journal", "volume" : "20" }, "uris" : [ "http://www.mendeley.com/documents/?uuid=71a098ad-b62e-4642-b2a1-886cc3212156" ] }, { "id" : "ITEM-2", "itemData" : { "DOI" : "10.1890/1051-0761(1997)007[0218:EORDOS]2.0.CO;2", "ISBN" : "1051-0761", "ISSN" : "10510761", "abstract" : "Tundra adjacent to the gravel Dalton Highway in northern Alaska was ex- amined for effects of 15 yr of chronic road and road dust disturbance. Road effects at a nonacidic site (soil pH \ue024 5.0) and an acidic site (soil pH \ue02c 5.0) were compared to examine differential susceptibility. Overall, effects on vegetation were more pronounced in acidic tundra. Initial substrate pH appears to control the degree of response to disturbance by road and calcareous road dust. Soil at the acidic site is normally pH 4.0, whereas in the disturbed area next to the road soil pH was as high as 7.3 \ue036 0.07 (at 2 m from the road edge). Soils next to the road had lower nutrient levels, altered organic horizon depth, higher bulk density, and lower moisture. Effects on snowpack include both increased drifting in the lee of the road and earlier meltout near the road due to dust-induced change in albedo. Permafrost thaw was deeper next to the road at both sites, and potentially could affect road structure detrimentally. Vegetation biomass of most taxa was reduced near the road at both sites. Total aboveground biomass of nonacidic tundra ranged from 330.0 \ue036 34.72 g/m2 1 SE) at 2 m from the road to 690.7 \ue036 94.52 g/m2 biomass of acidic tundra ranged from 150.5 \ue036 16.60 g/m2 \ue036 168.98 g/m2 (mean \ue036 at 100 m away from the road. Total at 5 m from the road to 743.1 at 100 m from the road. Species richness in acidic tundra next to the road was less than half of that at 100 m away from the road. Community composition was altered most noticeably in acidic tundra. The moss Tomentypnum nitens, dominant in nonacidic arctic tussock tundra, was nearly equally abundant at all distances from the road at the nonacidic tundra site, whereas Sphagnum mosses, dominant in acidic low arctic tussock tundra, were virtually eliminated near the road at the acidic tundra site. Salix lanata was more abundant next to the road at the nonacidic site. Ordinations indicate that variation in vegetation cover is explained by distance from the road. Knowledge of differential effects of road construction and use, including the long-term effects of hydrological alterations and dust mobilization on local corridors, is key information for planning development in areas of arctic tundra. Planned placement of roads in the future should consider the impact of such changes to sensitive (acidic) tundra areas in the Arctic.", "author" : [ { "dropping-particle" : "", "family" : "Auerbach", "given" : "N. A.", "non-dropping-particle" : "", "parse-names" : false, "suffix" : "" }, { "dropping-particle" : "", "family" : "Walker", "given" : "M. D.", "non-dropping-particle" : "", "parse-names" : false, "suffix" : "" }, { "dropping-particle" : "", "family" : "Walker", "given" : "D. A.", "non-dropping-particle" : "", "parse-names" : false, "suffix" : "" } ], "container-title" : "Ecological Applications", "id" : "ITEM-2", "issue" : "1", "issued" : { "date-parts" : [ [ "1997" ] ] }, "page" : "218-235", "title" : "Effects of roadside disturbance on substrate and vegetation properties in arctic tundra", "type" : "article-journal", "volume" : "7" }, "uris" : [ "http://www.mendeley.com/documents/?uuid=073d24a3-b4a3-39d9-9dde-9c66ac8d3944" ] }, { "id" : "ITEM-3", "itemData" : { "author" : [ { "dropping-particle" : "", "family" : "Hinkel", "given" : "K. M.", "non-dropping-particle" : "", "parse-names" : false, "suffix" : "" }, { "dropping-particle" : "", "family" : "Eisner", "given" : "W. R.", "non-dropping-particle" : "", "parse-names" : false, "suffix" : "" }, { "dropping-particle" : "", "family" : "Kim", "given" : "C. J.", "non-dropping-particle" : "", "parse-names" : false, "suffix" : "" } ], "container-title" : "Geomorphology", "id" : "ITEM-3", "issued" : { "date-parts" : [ [ "2017" ] ] }, "page" : "360-367", "title" : "Detection of tundra trail damage near Barrow, Alaska using remote imagery", "type" : "article-journal", "volume" : "293" }, "uris" : [ "http://www.mendeley.com/documents/?uuid=30f07dd8-14c2-41ba-80dd-a40403b7ae7e" ] }, { "id" : "ITEM-4", "itemData" : { "DOI" : "10.2307/1551414", "ISBN" : "0004-0851", "ISSN" : "00040851", "abstract" : "The physical and chemical characteristics and ecological consequences of road dust in arctic regions are reviewed with emphasis on recent information gathered along the Dalton Highway and the Prudhoe Bay Spine Road in northern Alaska. The primary observed ecological effects of dust are (1) early snowmelt in roadside areas due to lower albedos, resulting in a snow-free band of vegetation within 30 to 100 m of the road in early spring, which is used by waterfowl and numerous other species of wildlife; (2) a decrease in Sphagnum and other acidophilous mosses near the road; (3) an increase in many minerotrophic mosses; (4) a decrease in soil lichens, particularly species of Cladina, Peltigera, and Stereocaulon; (5) elimination of corticolous lichens near the road in areas of particularly high dust fall; (6) a general opening of the ground cover near the road and a consequent colonization of these barren surfaces by many taxa that are common on mineral-rich soils; (6) few effects on vascular plant abundance except in areas of very high dust, where ericaceous taxa and conifers are affected; (7) increased depth of thaw within 10 m of the road, possibly due to decreased plant cover and earlier initiation of thaw; and (8) contribution to thermokarst in roadside areas. Enhanced dust control measures should be considered, particularly where the road passes through scenic lichen woodlands, acidophilous tundra, annd in calm valleys where dust commonly is a traffic safety hazard. CR - Copyright &amp;#169; 1987 The Regents of the Uni</w:instrText>
      </w:r>
      <w:r w:rsidR="004255E7" w:rsidRPr="008608AA">
        <w:rPr>
          <w:lang w:val="de-DE"/>
        </w:rPr>
        <w:instrText>versity of Colorado, a body corporate, contracting on behalf of the University of Colorado at Boulder for the benefit of INSTAAR", "author" : [ { "dropping-particle" : "", "family" : "Walker", "given" : "D.A.", "non-dropping-particle" : "", "parse-names" : false, "suffix" : "" }, { "dropping-particle" : "", "family" : "Everett", "given" : "K.R.", "non-dropping-particle" : "", "parse-names" : false, "suffix" : "" } ], "container-title" : "Arctic and Alpine Research", "id" : "ITEM-4", "issue" : "4", "issued" : { "date-parts" : [ [ "1987" ] ] }, "page" : "479-489", "title" : "Road dust and its environmental impact on Alaskan taiga and tundra", "type" : "article-journal", "volume" : "19" }, "uris" : [ "http://www.mendeley.com/documents/?uuid=7b85087b-1bce-3406-a81e-c03ef5d5a618" ] } ], "mendeley" : { "formattedCitation" : "(Auerbach, Walker, &amp; Walker, 1997; Hinkel, Eisner, &amp; Kim, 2017; Raynolds et al., 2014; D. A. Walker &amp; Everett, 1987)", "manualFormatting" : "(Auerbach et al., 1997; Hinkel et al, 2017; Raynolds et al., 2014; Walker &amp; Everett, 1987)", "plainTextFormattedCitation" : "(Auerbach, Walker, &amp; Walker, 1997; Hinkel, Eisner, &amp; Kim, 2017; Raynolds et al., 2014; D. A. Walker &amp; Everett, 1987)", "previouslyFormattedCitation" : "(Auerbach, Walker, &amp; Walker, 1997; Hinkel, Eisner, &amp; Kim, 2017; Raynolds et al., 2014; D. A. Walker &amp; Everett, 1987)" }, "properties" : { "noteIndex" : 0 }, "schema" : "https://github.com/citation-style-language/schema/raw/master/csl-citation.json" }</w:instrText>
      </w:r>
      <w:r w:rsidR="004255E7" w:rsidRPr="008608AA">
        <w:fldChar w:fldCharType="separate"/>
      </w:r>
      <w:r w:rsidR="004255E7" w:rsidRPr="008608AA">
        <w:rPr>
          <w:noProof/>
          <w:lang w:val="de-DE"/>
        </w:rPr>
        <w:t>(Auerbach et al., 1997; Hinkel et al</w:t>
      </w:r>
      <w:r w:rsidR="00134E5B" w:rsidRPr="008608AA">
        <w:rPr>
          <w:noProof/>
          <w:lang w:val="de-DE"/>
        </w:rPr>
        <w:t>.</w:t>
      </w:r>
      <w:r w:rsidR="004255E7" w:rsidRPr="008608AA">
        <w:rPr>
          <w:noProof/>
          <w:lang w:val="de-DE"/>
        </w:rPr>
        <w:t>, 2017; Raynolds et al., 2014; Walker &amp; Everett, 1987)</w:t>
      </w:r>
      <w:r w:rsidR="004255E7" w:rsidRPr="008608AA">
        <w:fldChar w:fldCharType="end"/>
      </w:r>
      <w:r w:rsidR="004255E7" w:rsidRPr="008608AA">
        <w:rPr>
          <w:lang w:val="de-DE"/>
        </w:rPr>
        <w:t>.</w:t>
      </w:r>
    </w:p>
    <w:p w14:paraId="462A12A0" w14:textId="7190A21E" w:rsidR="004255E7" w:rsidRPr="008608AA" w:rsidRDefault="004255E7" w:rsidP="0063629E">
      <w:pPr>
        <w:widowControl w:val="0"/>
        <w:autoSpaceDE w:val="0"/>
        <w:autoSpaceDN w:val="0"/>
        <w:adjustRightInd w:val="0"/>
        <w:spacing w:after="120"/>
        <w:rPr>
          <w:lang w:val="fr-CA"/>
        </w:rPr>
      </w:pPr>
      <w:r w:rsidRPr="008608AA">
        <w:t xml:space="preserve">Above-ground standing biomass has increased at low latitudes in the Arctic </w:t>
      </w:r>
      <w:r w:rsidRPr="008608AA">
        <w:fldChar w:fldCharType="begin" w:fldLock="1"/>
      </w:r>
      <w:r w:rsidRPr="008608AA">
        <w:instrText>ADDIN CSL_CITATION { "citationItems" : [ { "id" : "ITEM-1", "itemData" : { "author" : [ { "dropping-particle" : "", "family" : "Epstein", "given" : "H. E.", "non-dropping-particle" : "", "parse-names" : false, "suffix" : "" }, { "dropping-particle" : "", "family" : "Raynolds", "given" : "M. K.", "non-dropping-particle" : "", "parse-names" : false, "suffix" : "" }, { "dropping-particle" : "", "family" : "Walker", "given" : "D. A.", "non-dropping-particle" : "", "parse-names" : false, "suffix" : "" }, { "dropping-particle" : "", "family" : "Bhatt", "given" : "U. S.", "non-dropping-particle" : "", "parse-names" : false, "suffix" : "" }, { "dropping-particle" : "", "family" : "Tucker", "given" : "C. J.", "non-dropping-particle" : "", "parse-names" : false, "suffix" : "" }, { "dropping-particle" : "", "family" : "Pinzon", "given" : "J. E.", "non-dropping-particle" : "", "parse-names" : false, "suffix" : "" } ], "container-title" : "Environmental Research Letters", "id" : "ITEM-1", "issue" : "1", "issued" : { "date-parts" : [ [ "2012" ] ] }, "page" : "015506", "title" : "Dynamics of aboveground phytomass of the circumpolar Arctic tundra during the past three decades", "type" : "article-journal", "volume" : "7" }, "uris" : [ "http://www.mendeley.com/documents/?uuid=ddf011b0-434e-466d-a8a6-94e388daf75a" ] } ], "mendeley" : { "formattedCitation" : "(Epstein et al., 2012)", "plainTextFormattedCitation" : "(Epstein et al., 2012)", "previouslyFormattedCitation" : "(Epstein et al., 2012)" }, "properties" : { "noteIndex" : 0 }, "schema" : "https://github.com/citation-style-language/schema/raw/master/csl-citation.json" }</w:instrText>
      </w:r>
      <w:r w:rsidRPr="008608AA">
        <w:fldChar w:fldCharType="separate"/>
      </w:r>
      <w:r w:rsidRPr="008608AA">
        <w:rPr>
          <w:noProof/>
        </w:rPr>
        <w:t>(Epstein et al., 2012)</w:t>
      </w:r>
      <w:r w:rsidRPr="008608AA">
        <w:fldChar w:fldCharType="end"/>
      </w:r>
      <w:r w:rsidRPr="008608AA">
        <w:t xml:space="preserve">, and vegetation cover has increased in mid- to high-latitudes, possibly due to increased maritime climate moderation linked with sea ice decline </w:t>
      </w:r>
      <w:r w:rsidRPr="008608AA">
        <w:fldChar w:fldCharType="begin" w:fldLock="1"/>
      </w:r>
      <w:r w:rsidRPr="008608AA">
        <w:instrText>ADDIN CSL_CITATION { "citationItems" : [ { "id" : "ITEM-1", "itemData" : { "DOI" : "https://doi.org/10.1175/2010EI315.1", "author" : [ { "dropping-particle" : "", "family" : "Bhatt", "given" : "U. S.", "non-dropping-particle" : "", "parse-names" : false, "suffix" : "" }, { "dropping-particle" : "", "family" : "Walker", "given" : "D. A.", "non-dropping-particle" : "", "parse-names" : false, "suffix" : "" }, { "dropping-particle" : "", "family" : "Raynolds", "given" : "M. K.", "non-dropping-particle" : "", "parse-names" : false, "suffix" : "" }, { "dropping-particle" : "", "family" : "Comiso", "given" : "J. C.", "non-dropping-particle" : "", "parse-names" : false, "suffix" : "" }, { "dropping-particle" : "", "family" : "Epstein", "given" : "H. E.", "non-dropping-particle" : "", "parse-names" : false, "suffix" : "" }, { "dropping-particle" : "", "family" : "Jia", "given" : "G.", "non-dropping-particle" : "", "parse-names" : false, "suffix" : "" }, { "dropping-particle" : "", "family" : "Gens", "given" : "R.", "non-dropping-particle" : "", "parse-names" : false, "suffix" : "" }, { "dropping-particle" : "", "family" : "Pinzon", "given" : "J. E.", "non-dropping-particle" : "", "parse-names" : false, "suffix" : "" }, { "dropping-particle" : "", "family" : "Tucker", "given" : "C. J.", "non-dropping-particle" : "", "parse-names" : false, "suffix" : "" }, { "dropping-particle" : "", "family" : "Tweedie", "given" : "Craig E.", "non-dropping-particle" : "", "parse-names" : false, "suffix" : "" }, { "dropping-particle" : "", "family" : "Webber", "given" : "Patrick J.", "non-dropping-particle" : "", "parse-names" : false, "suffix" : "" } ], "container-title" : "Earth Interactions", "id" : "ITEM-1", "issue" : "8", "issued" : { "date-parts" : [ [ "2010" ] ] }, "page" : "1-20", "title" : "Circumpolar Arctic tundra vegetation change is linked to sea ice decline", "type" : "article-journal", "volume" : "14" }, "uris" : [ "http://www.mendeley.com/documents/?uuid=1b59f9c4-4946-4e78-930a-0e1623f5f548" ] } ], "mendeley" : { "formattedCitation" : "(Bhatt et al., 2010)", "plainTextFormattedCitation" : "(Bhatt et al., 2010)", "previouslyFormattedCitation" : "(Bhatt et al., 2010)" }, "properties" : { "noteIndex" : 0 }, "schema" : "https://github.com/citation-style-language/schema/raw/master/csl-citation.json" }</w:instrText>
      </w:r>
      <w:r w:rsidRPr="008608AA">
        <w:fldChar w:fldCharType="separate"/>
      </w:r>
      <w:r w:rsidRPr="008608AA">
        <w:rPr>
          <w:noProof/>
        </w:rPr>
        <w:t>(Bhatt et al., 2010)</w:t>
      </w:r>
      <w:r w:rsidRPr="008608AA">
        <w:fldChar w:fldCharType="end"/>
      </w:r>
      <w:r w:rsidRPr="008608AA">
        <w:t xml:space="preserve">. Despite elevated productivity, overall carbon storage across North American </w:t>
      </w:r>
      <w:r w:rsidR="007F2AAD" w:rsidRPr="008608AA">
        <w:t>A</w:t>
      </w:r>
      <w:r w:rsidR="00AD36E8" w:rsidRPr="008608AA">
        <w:t xml:space="preserve">rctic tundra </w:t>
      </w:r>
      <w:r w:rsidRPr="008608AA">
        <w:t xml:space="preserve">has decreased since 1970 due to warming-induced carbon losses from soil </w:t>
      </w:r>
      <w:r w:rsidRPr="008608AA">
        <w:fldChar w:fldCharType="begin" w:fldLock="1"/>
      </w:r>
      <w:r w:rsidRPr="008608AA">
        <w:instrText>ADDIN CSL_CITATION { "citationItems" : [ { "id" : "ITEM-1", "itemData" : { "DOI" : "10.1088/1748-9326/9/4/045005", "ISBN" : "1748-9326", "ISSN" : "17489326", "abstract" : "Permafrost thaw and the subsequent mobilization of carbon (C) stored in previously frozen soil organic matter (SOM) have the potential to be a strong positive feedback to climate. As the northern permafrost region experiences as much as a doubling of the rate of warming as the rest of the Earth, the vast amount of C in permafrost soils is vulnerable to thaw, decomposition and release as atmospheric greenhouse gases. Diagnostic and predictive estimates of high-latitude terrestrial C fluxes vary widely among different models depending on how dynamics in permafrost, and the seasonally thawed \u2018active layer\u2019 above it, are represented. Here, we employ a process-based model simulation experiment to assess the net effect of active layer dynamics on this \u2018permafrost carbon feedback\u2019 in recent decades, from 1970 to 2006, over the circumpolar domain of continuous and discontinuous permafrost. Over this time period, the model estimates a mean increase of 6.8 cm in active layer thickness across the domain, which exposes a total of 11.6 Pg C of thawed SOM to decomposition. According to our simulation experiment, mobilization of this previously frozen C results in an estimated cumulative net source of 3.7 Pg C to the atmosphere since 1970 directly tied to active layer dynamics. Enhanced decomposition from the newly exposed SOM accounts for the release of both CO2 (4.0 Pg C) and CH4 (0.03 Pg C), but is partially compensated by CO2 uptake (0.3 Pg C) associated with enhanced net primary production of vegetation. This estimated net C transfer to the atmosphere from permafrost thaw represents a significant factor in the overall ecosystem carbon budget of the Pan-Arctic, and a non-trivial additional contribution on top of the combined fossil fuel emissions from the eight Arctic nations over this time period", "author" : [ { "dropping-particle" : "", "family" : "Hayes", "given" : "Daniel J.", "non-dropping-particle" : "", "parse-names" : false, "suffix" : "" }, { "dropping-particle" : "", "family" : "Kicklighter", "given" : "David W.", "non-dropping-particle" : "", "parse-names" : false, "suffix" : "" }, { "dropping-particle" : "", "family" : "McGuire", "given" : "A. David", "non-dropping-particle" : "", "parse-names" : false, "suffix" : "" }, { "dropping-particle" : "", "family" : "Chen", "given" : "Min", "non-dropping-particle" : "", "parse-names" : false, "suffix" : "" }, { "dropping-particle" : "", "family" : "Zhuang", "given" : "Qianlai", "non-dropping-particle" : "", "parse-names" : false, "suffix" : "" }, { "dropping-particle" : "", "family" : "Yuan", "given" : "Fengming", "non-dropping-particle" : "", "parse-names" : false, "suffix" : "" }, { "dropping-particle" : "", "family" : "Melillo", "given" : "Jerry M.", "non-dropping-particle" : "", "parse-names" : false, "suffix" : "" }, { "dropping-particle" : "", "family" : "Wullschleger", "given" : "Stan D.", "non-dropping-particle" : "", "parse-names" : false, "suffix" : "" } ], "container-title" : "Environmental Research Letters", "id" : "ITEM-1", "issue" : "4", "issued" : { "date-parts" : [ [ "2014" ] ] }, "page" : "045005", "title" : "The impacts of recent permafrost thaw on land-atmosphere greenhouse gas exchange", "type" : "article-journal", "volume" : "9" }, "uris" : [ "http://www.mendeley.com/documents/?uuid=9e1eb834-b454-40af-bb11-963b2bc9eed3" ] }, { "id" : "ITEM-2", "itemData" : { "DOI" : "10.1007/s10584-005-5352-2", "ISBN" : "0165-0009", "ISSN" : "01650009", "PMID" : "9828809", "abstract" : "The Arctic climate is changing. Permafrost is warming, hydrological processes are changing and biological and social systems are also evolving in response to these changing conditions. Knowing how the structure and function of arctic terrestrial ecosystems are responding to recent and persistent climate change is paramount to understanding the future state of the Earth system and how humans will need to adapt. Our holistic review presents a broad array of evidence that illustrates con- vincingly; the Arctic is undergoing a system-wide response to an altered climatic state. New extreme and seasonal surface climatic conditions are being experienced, a range of biophysical states and pro- cesses influenced by the threshold and phase change of freezing point are being altered, hydrological and biogeochemical cycles are shifting, and more regularly human sub-systems are being affected. Importantly, the patterns, magnitude and mechanisms of change have sometimes been unpredictable or difficult to isolate due to compounding factors. In almost every discipline represented, we show how the biocomplexity of the Arctic system has highlighted and challenged a paucity of integrated scientific knowledge, the lack of sustained observational and experimental time series, and the techni- cal and logistic constraints of researching the Arctic environment. This study supports ongoing efforts to strengthen the interdisciplinarity of arctic system science and improve the coupling of large scale experimental manipulation with sustained time series observations by incorporating and integrating novel technologies, remote sensing and modeling.", "author" : [ { "dropping-particle" : "", "family" : "Hinzman", "given" : "Larry D.", "non-dropping-particle" : "", "parse-names" : false, "suffix" : "" }, { "dropping-particle" : "", "family" : "Bettez", "given" : "Neil D.", "non-dropping-particle" : "", "parse-names" : false, "suffix" : "" }, { "dropping-particle" : "", "family" : "Bolton", "given" : "W. Robert", "non-dropping-particle" : "", "parse-names" : false, "suffix" : "" }, { "dropping-particle" : "", "family" : "Chapin", "given" : "F. Stuart", "non-dropping-particle" : "", "parse-names" : false, "suffix" : "" }, { "dropping-particle" : "", "family" : "Dyurgerov", "given" : "Mark B.", "non-dropping-particle" : "", "parse-names" : false, "suffix" : "" }, { "dropping-particle" : "", "family" : "Fastie", "given" : "Chris L.", "non-dropping-particle" : "", "parse-names" : false, "suffix" : "" }, { "dropping-particle" : "", "family" : "Griffith", "given" : "Brad", "non-dropping-particle" : "", "parse-names" : false, "suffix" : "" }, { "dropping-particle" : "", "family" : "Hollister", "given" : "Robert D.", "non-dropping-particle" : "", "parse-names" : false, "suffix" : "" }, { "dropping-particle" : "", "family" : "Hope", "given" : "Allen", "non-dropping-particle" : "", "parse-names" : false, "suffix" : "" }, { "dropping-particle" : "", "family" : "Huntington", "given" : "Henry P.", "non-dropping-particle" : "", "parse-names" : false, "suffix" : "" }, { "dropping-particle" : "", "family" : "Jensen", "given" : "Anne M.", "non-dropping-particle" : "", "parse-names" : false, "suffix" : "" }, { "dropping-particle" : "", "family" : "Jia", "given" : "Gensuo J.", "non-dropping-particle" : "", "parse-names" : false, "suffix" : "" }, { "dropping-particle" : "", "family" : "Jorgenson", "given" : "Torre", "non-dropping-particle" : "", "parse-names" : false, "suffix" : "" }, { "dropping-particle" : "", "family" : "Kane", "given" : "Douglas L.", "non-dropping-particle" : "", "parse-names" : false, "suffix" : "" }, { "dropping-particle" : "", "family" : "Klein", "given" : "David R.", "non-dropping-particle" : "", "parse-names" : false, "suffix" : "" }, { "dropping-particle" : "", "family" : "Kofinas", "given" : "Gary", "non-dropping-particle" : "", "parse-names" : false, "suffix" : "" }, { "dropping-particle" : "", "family" : "Lynch", "given" : "Amanda H.", "non-dropping-particle" : "", "parse-names" : false, "suffix" : "" }, { "dropping-particle" : "", "family" : "Lloyd", "given" : "Andrea H.", "non-dropping-particle" : "", "parse-names" : false, "suffix" : "" }, { "dropping-particle" : "", "family" : "McGuire", "given" : "A. David", "non-dropping-particle" : "", "parse-names" : false, "suffix" : "" }, { "dropping-particle" : "", "family" : "Nelson", "given" : "Frederick E.", "non-dropping-particle" : "", "parse-names" : false, "suffix" : "" }, { "dropping-particle" : "", "family" : "Oechel", "given" : "Walter C.", "non-dropping-particle" : "", "parse-names" : false, "suffix" : "" }, { "dropping-particle" : "", "family" : "Osterkamp", "given" : "Thomas E.", "non-dropping-particle" : "", "parse-names" : false, "suffix" : "" }, { "dropping-particle" : "", "family" : "Racine", "given" : "Charles H.", "non-dropping-particle" : "", "parse-names" : false, "suffix" : "" }, { "dropping-particle" : "", "family" : "Romanovsky", "given" : "Vladimir E.", "non-dropping-particle" : "", "parse-names" : false, "suffix" : "" }, { "dropping-particle" : "", "family" : "Stone", "given" : "Robert S.", "non-dropping-particle" : "", "parse-names" : false, "suffix" : "" }, { "dropping-particle" : "", "family" : "Stow", "given" : "Douglas A.", "non-dropping-particle" : "", "parse-names" : false, "suffix" : "" }, { "dropping-particle" : "", "family" : "Sturm", "given" : "Matthew", "non-dropping-particle" : "", "parse-names" : false, "suffix" : "" }, { "dropping-particle" : "", "family" : "Tweedie", "given" : "Craig E.", "non-dropping-particle" : "", "parse-names" : false, "suffix" : "" }, { "dropping-particle" : "", "family" : "Vourlitis", "given" : "George L.", "non-dropping-particle" : "", "parse-names" : false, "suffix" : "" }, { "dropping-particle" : "", "family" : "Walker", "given" : "Marilyn D.", "non-dropping-particle" : "", "parse-names" : false, "suffix" : "" }, { "dropping-particle" : "", "family" : "Walker", "given" : "Donald A.", "non-dropping-particle" : "", "parse-names" : false, "suffix" : "" }, { "dropping-particle" : "", "family" : "Webber", "given" : "Patrick J.", "non-dropping-particle" : "", "parse-names" : false, "suffix" : "" }, { "dropping-particle" : "", "family" : "Welker", "given" : "Jeffrey M.", "non-dropping-particle" : "", "parse-names" : false, "suffix" : "" }, { "dropping-particle" : "", "family" : "Winker", "given" : "Kevin S.", "non-dropping-particle" : "", "parse-names" : false, "suffix" : "" }, { "dropping-particle" : "", "family" : "Yoshikawa", "given" : "Kenji", "non-dropping-particle" : "", "parse-names" : false, "suffix" : "" } ], "container-title" : "Climatic Change", "id" : "ITEM-2", "issue" : "3", "issued" : { "date-parts" : [ [ "2005" ] ] }, "page" : "251-298", "title" : "Evidence and implications of recent climate change in northern Alaska and other Arctic regions", "type" : "article-journal", "volume" : "72" }, "uris" : [ "http://www.mendeley.com/documents/?uuid=19f00442-5560-39d7-a346-ef6e760d6105" ] }, { "id" : "ITEM-3", "itemData" : { "DOI" : "10.1038/35023137", "ISBN" : "0028-0836", "ISSN" : "00280836", "PMID" : "10984048", "abstract" : "Long-term sequestration of carbon in Alaskan Arctic tundra ecosystems was reversed by warming and drying of the climate in the early 1980s, resulting in substantial losses of terrestrial carbon. But recent measurements suggest that continued warming and drying has resulted in diminished CO2 efflux, and in some cases, summer CO2 sink activity. Here we compile summer CO2 flux data for two Arctic ecosystems from 1960 to the end of 1998. The results show that a return to summer sink activity has come during the warmest and driest period observed over the past four decades, and indicates a previously undemonstrated capacity for ecosystems to metabolically adjust to long-term (decadal or longer) changes in climate. The mechanisms involved are likely to include changes in nutrient cycling, physiological acclimation, and population and community reorganization. Nevertheless, despite the observed acclimation, the Arctic ecosystems studied are still annual net sources of CO2 to the atmosphere of at least 40 g C m(-2) yr(-1), due to winter release of CO2, implying that further climate change may still exacerbate CO2 emissions from Arctic ecosystems.", "author" : [ { "dropping-particle" : "", "family" : "Oechel", "given" : "Walter C.", "non-dropping-particle" : "", "parse-names" : false, "suffix" : "" }, { "dropping-particle" : "", "family" : "Vourlitis", "given" : "George L.", "non-dropping-particle" : "", "parse-names" : false, "suffix" : "" }, { "dropping-particle" : "", "family" : "Hastings", "given" : "Steven J.", "non-dropping-particle" : "", "parse-names" : false, "suffix" : "" }, { "dropping-particle" : "", "family" : "Zuluete", "given" : "Rommel C.", "non-dropping-particle" : "", "parse-names" : false, "suffix" : "" }, { "dropping-particle" : "", "family" : "Hinzman", "given" : "Larry", "non-dropping-particle" : "", "parse-names" : false, "suffix" : "" }, { "dropping-particle" : "", "family" : "Kane", "given" : "Douglas", "non-dropping-particle" : "", "parse-names" : false, "suffix" : "" } ], "container-title" : "Nature", "id" : "ITEM-3", "issue" : "6799", "issued" : { "date-parts" : [ [ "2000" ] ] }, "page" : "978-981", "title" : "Acclimation of ecosystem CO2 exchange in the Alaskan Arctic in response to decadal climate warming", "type" : "article-journal", "volume" : "406" }, "uris" : [ "http://www.mendeley.com/documents/?uuid=9b5c1b8f-c27d-3918-8cd8-b3d0b6e03f1a" ] }, { "id" : "ITEM-4", "itemData" : { "DOI" : "10.1038/nature08031", "ISBN" : "0028-0836", "ISSN" : "0028-0836", "PMID" : "19478781", "abstract" : "Permafrost soils in boreal and Arctic ecosystems store almost twice as much carbon 1,2 as is currently present in the atmosphere 3 . Permafrost thaw and the microbial decomposition of previously frozen organic carbon is considered one of the most likely positive climate feedbacks from terrestrial ecosystems to the atmosphere in a warmer world 1,2,4\u20137 . The rate of carbon release from permafrost soils is highly uncertain, but it is crucial for predicting the strength and timing of this carbon-cycle feedback effect, and thus how important permafrost thaw will be for climate change this century and beyond 1,2,4\u20137 . Sustained transfers of carbon to the atmosphere that could cause a significant positive feedback to climate change must come from old carbon, which forms the bulk of the perma-frost carbon pool that accumulated over thousands of years 8\u201311 . Here we measure net ecosystem carbon exchange and the radio-carbon age of ecosystem respiration in a tundra landscape under-going permafrost thaw 12 to determine the influence of old carbon loss on ecosystem carbon balance. We find that areas that thawed over the past 15 years had 40 per cent more annual losses of old carbon than minimally thawed areas, but had overall net eco-system carbon uptake as increased plant growth offset these losses. In contrast, areas that thawed decades earlier lost even more old carbon, a 78 per cent increase over minimally thawed areas; this old carbon loss contributed to overall net ecosystem carbon release despite increased plant growth. Our data document signifi-cant losses of soil carbon with permafrost thaw that, over decadal timescales, overwhelms increased plant carbon uptake 13\u201315 at rates that could make permafrost a large biospheric carbon source in a warmer world. We measured ecosystem carbon (C) dynamics at a tundra site in Alaska where permafrost thaw has been documented since 1990, and was occurring in the area before that time, probably owing to regional climate change 12 . The Eight Mile Lake watershed is located in the northern foothills of the Alaska Range (Supplementary Information and Supplementary Fig. 1). Permafrost temperature has been monitored annually on a gentle north-facing slope in a 30-m-deep borehole that was installed in 1985 before the permafrost started to thaw 12 . Although permafrost thaw can sometimes result in water ponding, depending on local topography 16,17 , this landscape consists largely of relatively well-drained uplands (Supplementa\u2026", "author" : [ { "dropping-particle" : "", "family" : "Schuur", "given" : "Edward A. G.", "non-dropping-particle" : "", "parse-names" : false, "suffix" : "" }, { "dropping-particle" : "", "family" : "Vogel", "given" : "Jason G.", "non-dropping-particle" : "", "parse-names" : false, "suffix" : "" }, { "dropping-particle" : "", "family" : "Crummer", "given" : "Kathryn G.", "non-droppi</w:instrText>
      </w:r>
      <w:r w:rsidRPr="00A3137A">
        <w:rPr>
          <w:lang w:val="fr-FR"/>
        </w:rPr>
        <w:instrText>ng-particle" : "", "parse-names" : false, "suffix" : "" }, { "dropping-particle" : "", "family" : "Lee", "given" : "Hanna", "non-dropping-particle" : "", "parse-names" : false, "suffix" : "" }, { "dropping-particle" : "", "family" : "Sickman", "given" : "James O.", "non-dropping-particle" : "", "parse-names" : false, "suffix" : "" }, { "dropping-particle" : "", "family" : "Osterkamp", "given" : "T. E.", "non-dropping-particle" : "", "parse-names" : false, "suffix" : "" } ], "container-title" : "Nature", "id" : "ITEM-4", "issue" : "7246", "issued" : { "date-parts" : [ [ "2009" ] ] }, "page" : "556-559", "title" : "The effect of permafrost thaw on old carbon release and net carbon exchange from tundra", "type" : "article-journal", "volume" : "459" }, "uris" : [ "http://www.mendeley.com/documents/?uuid=33015876-4bdf-36e6-8824-8bef5ea202c0" ] } ], "mendeley" : { "formattedCitation" : "(Hayes et al., 2014; Hinzman et al., 2005; Oechel et al., 2000; Edward A. G. Schuur et al., 2009)", "manualFormatting" : "(Hayes et al., 2014; Hinzman et al., 2005; Oechel et al., 2000; Schuur et al., 2009)", "plainTextFormattedCitation" : "(Hayes et al., 2014; Hinzman et al., 2005; Oechel et al., 2000; Edward A. G. Schuur et al., 2009)", "previouslyFormattedCitation" : "(Hayes et al., 2014; Hinzman et al., 2005; Oechel et al., 2000; Edward A. G. Schuur et al., 2009)" }, "properties" : { "noteIndex" : 0 }, "schema" : "https://github.com/citation-style-language/schema/raw/master/csl-citation.json" }</w:instrText>
      </w:r>
      <w:r w:rsidRPr="008608AA">
        <w:fldChar w:fldCharType="separate"/>
      </w:r>
      <w:r w:rsidRPr="00A3137A">
        <w:rPr>
          <w:noProof/>
          <w:lang w:val="fr-FR"/>
        </w:rPr>
        <w:t>(Hayes et al., 2014; Hinzman et al., 2005; Oechel et al., 2000; Schuur et al., 2009)</w:t>
      </w:r>
      <w:r w:rsidRPr="008608AA">
        <w:fldChar w:fldCharType="end"/>
      </w:r>
      <w:r w:rsidRPr="00A3137A">
        <w:rPr>
          <w:lang w:val="fr-FR"/>
        </w:rPr>
        <w:t xml:space="preserve">. </w:t>
      </w:r>
      <w:r w:rsidRPr="008608AA">
        <w:t xml:space="preserve">Recent trends in water balance are uncertain, though there has been a general acceleration of the hydrologic cycle across North American </w:t>
      </w:r>
      <w:r w:rsidR="007F2AAD" w:rsidRPr="008608AA">
        <w:t>A</w:t>
      </w:r>
      <w:r w:rsidR="00AD36E8" w:rsidRPr="008608AA">
        <w:t xml:space="preserve">rctic tundra </w:t>
      </w:r>
      <w:r w:rsidRPr="008608AA">
        <w:t xml:space="preserve">due to changes in precipitation, evapotranspiration, and drainage conditions </w:t>
      </w:r>
      <w:r w:rsidRPr="008608AA">
        <w:fldChar w:fldCharType="begin" w:fldLock="1"/>
      </w:r>
      <w:r w:rsidRPr="008608AA">
        <w:instrText xml:space="preserve">ADDIN CSL_CITATION { "citationItems" : [ { "id" : "ITEM-1", "itemData" : { "author" : [ { "dropping-particle" : "", "family" : "Andresen", "given" : "C. G.", "non-dropping-particle" : "", "parse-names" : false, "suffix" : "" }, { "dropping-particle" : "", "family" : "Lougheed", "given" : "V. L.", "non-dropping-particle" : "", "parse-names" : false, "suffix" : "" } ], "container-title" : "Journal of Geophysical Research: Biogeosciences", "id" : "ITEM-1", "issue" : "3", "issued" : { "date-parts" : [ [ "2015" ] ] }, "page" : "466-479", "title" : "Disappearing Arctic tundra ponds: fine-scale analysis of surface hydrology in drained thaw lake basins over a 65 year period (1948\u20132013)", "type" : "article-journal", "volume" : "120" }, "uris" : [ "http://www.mendeley.com/documents/?uuid=4bfe71cf-4144-3984-9d00-05f55a5378b3" ] }, { "id" : "ITEM-2", "itemData" : { "DOI" : "10.1002/2015JG003131", "ISBN" : "2169-8953", "ISSN" : "21698961", "abstract" : "\u00a9 2016. The Authors.Terrestrial hydrology is central to the Arctic system and its freshwater circulation. Water transport and water constituents vary, however, across a very diverse geography. In this paper, which is a component of the Arctic Freshwater Synthesis, we review the central freshwater processes in the terrestrial Arctic drainage and how they function and change across seven hydrophysiographical regions (Arctic tundra, boreal plains, shield, mountains, grasslands, glaciers/ice caps, and wetlands). We also highlight links between terrestrial hydrology and other components of the Arctic freshwater system. In terms of key processes, snow cover extent and duration is generally decreasing on a pan-Arctic scale, but snow depth is likely to increase in the Arctic tundra. Evapotranspiration will likely increase overall, but as it is coupled to shifts in landscape characteristics, regional changes are uncertain and may vary over time. Streamflow will generally increase with increasing precipitation, but high and low flows may decrease in some regions. Continued permafrost thaw will trigger hydrological change in multiple ways, particularly through increasing connectivity between groundwater and surface water and changing water storage in lakes and soils, which will influence exchange of moisture with the atmosphere. Other effects of hydrological change include increased risks to infrastructure and water resource planning, ecosystem shifts, and growing flows of water, nutrients, sediment, and carbon to the ocean. Coordinated efforts in monitoring, modeling, and processing studies at various scales are required to improve the understanding of change, in particular at the interfaces between hydrology, atmosphere, ecology, resources, and oceans.", "author" : [ { "dropping-particle" : "", "family" : "Bring", "given" : "A.", "non-dropping-particle" : "", "parse-names" : false, "suffix" : "" }, { "dropping-particle" : "", "family" : "Fedorova", "given" : "I.", "non-dropping-particle" : "", "parse-names" : false, "suffix" : "" }, { "dropping-particle" : "", "family" : "Dibike", "given" : "Y.", "non-dropping-particle" : "", "parse-names" : false, "suffix" : "" }, { "dropping-particle" : "", "family" : "Hinzman", "given" : "L.", "non-dropping-particle" : "", "parse-names" : false, "suffix" : "" }, { "dropping-particle" : "", "family" : "Mard", "given" : "J.", "non-dropping-particle" : "", "parse-names" : false, "suffix" : "" }, { "dropping-particle" : "", "family" : "Mernild", "given" : "S. H.", "non-dropping-particle" : "", "parse-names" : false, "suffix" : "" }, { "dropping-particle" : "", "family" : "Prowse", "given" : "T.", "non-dropping-particle" : "", "parse-names" : false, "suffix" : "" }, { "dropping-particle" : "", "family" : "Semenova", "given" : "O.", "non-dropping-particle" : "", "parse-names" : false, "suffix" : "" }, { "dropping-particle" : "", "family" : "Stuefer", "given" : "S. L.", "non-dropping-particle" : "", "parse-names" : false, "suffix" : "" }, { "dropping-particle" : "", "family" : "Woo", "given" : "M-K.", "non-dropping-particle" : "", "parse-names" : false, "suffix" : "" } ], "container-title" : "Journal of Geophysical Research G: Biogeosciences", "id" : "ITEM-2", "issue" : "3", "issued" : { "date-parts" : [ [ "2016" ] ] }, "page" : "621-649", "title" : "Arctic terrestrial hydrology: A synthesis of processes, regional effects, and research challenges", "type" : "article", "volume" : "121" }, "uris" : [ "http://www.mendeley.com/documents/?uuid=327a3a6b-f882-4171-beaa-b2320f5e3a30" ] }, { "id" : "ITEM-3", "itemData" : { "author" : [ { "dropping-particle" : "", "family" : "Cherry", "given" : "J.E.", "non-dropping-particle" : "", "parse-names" : false, "suffix" : "" }, { "dropping-particle" : "", "family" : "D\u00e9ry", "given" : "S.J.", "non-dropping-particle" : "", "parse-names" : false, "suffix" : "" }, { "dropping-particle" : "", "family" : "Cheng", "given" : "Y.", "non-dropping-particle" : "", "parse-names" : false, "suffix" : "" }, { "dropping-particle" : "", "family" : "Stieglitz", "given" : "M.", "non-dropping-particle" : "", "parse-names" : false, "suffix" : "" }, { "dropping-particle" : "", "family" : "Jacobs", "given" : "A.S.", "non-dropping-particle" : "", "parse-names" : false, "suffix" : "" }, { "dropping-particle" : "", "family" : "Pan", "given" : "F.", "non-dropping-particle" : "", "parse-names" : false, "suffix" : "" } ], "container-title" : "Alaska's Changing Arctic: Ecological Consequences for Tundra, Streams, and Lakes", "editor" : [ { "dropping-particle" : "", "family" : "Hobbie", "given" : "John E.", "non-dropping-particle" : "", "parse-names" : false, "suffix" : "" }, { "dropping-particle" : "", "family" : "Kling", "given" : "George W.", "non-dropping-particle" : "", "parse-names" : false, "suffix" : "" } ], "id" : "ITEM-3", "issued" : { "date-parts" : [ [ "2014" ] ] }, "page" : "21-60", "publisher" : "Oxford University Press", "publisher-place" : "New York, USA", "title" : "Climate and hydrometeorology of the Toolik Lake Region and the Kuparuk River Basin: Past, present, and future", "type" : "chapter" }, "uris" : [ "http://www.mendeley.com/documents/?uuid=bb0a7920-8c6f-3363-9867-296faba178bb" ] }, { "id" : "ITEM-4", "itemData" : { "DOI" : "10.1007/s10584-005-5352-2", "ISBN" : "0165-0009", "ISSN" : "01650009", "PMID" : "9828809", "abstract" : "The Arctic climate is changing. Permafrost is warming, hydrological processes are changing and biological and social systems are also evolving in response to these changing conditions. Knowing how the structure and function of arctic terrestrial ecosystems are responding to recent and persistent climate change is paramount to understanding the future state of the Earth system and how humans will need to adapt. Our holistic review presents a broad array of evidence that illustrates con- vincingly; the Arctic is undergoing a system-wide response to an altered climatic state. New extreme and seasonal surface climatic conditions are being experienced, a range of biophysical states and pro- cesses influenced by the threshold and phase change of freezing point are being altered, hydrological and biogeochemical cycles are shifting, and more regularly human sub-systems are being affected. Importantly, the patterns, magnitude and mechanisms of change have sometimes been unpredictable or difficult to isolate due to compounding factors. In almost every discipline represented, we show how the biocomplexity of the Arctic system has highlighted and challenged a paucity of integrated scientific knowledge, the lack of sustained observational and experimental time series, and the techni- cal and logistic constraints of researching the Arctic environment. This study supports ongoing efforts to strengthen the interdisciplinarity of arctic system science and improve the coupling of large scale experimental manipulation with sustained time series observations by incorporating and integrating novel technologies, remote sensing and modeling.", "author" : [ { "dropping-particle" : "", "family" : "Hinzman", "given" : "Larry D.", "non-dropping-particle" : "", "parse-names" : false, "suffix" : "" }, { "dropping-particle" : "", "family" : "Bettez", "given" : "Neil D.", "non-dropping-particle" : "", "parse-names" : false, "suffix" : "" }, { "dropping-particle" : "", "family" : "Bolton", "given" : "W. Robert", "non-dropping-particle" : "", "parse-names" : false, "suffix" : "" }, { "dropping-particle" : "", "family" : "Chapin", "given" : "F. Stuart", "non-dropping-particle" : "", "parse-names" : false, "suffix" : "" }, { "dropping-particle" : "", "family" : "Dyurgerov", "given" : "Mark B.", "non-dropping-particle" : "", "parse-names" : false, "suffix" : "" }, { "dropping-particle" : "", "family" : "Fastie", "given" : "Chris L.", "non-dropping-particle" : "", "parse-names" : false, "suffix" : "" }, { "dropping-particle" : "", "family" : "Griffith", "given" : "Brad", "non-dropping-particle" : "", "parse-names" : false, "suffix" : "" }, { "dropping-particle" : "", "family" : "Hollister", "given" : "Robert D.", "non-dropping-particle" : "", "parse-names" : false, "suffix" : "" }, { "dropping-particle" : "", "family" : "Hope", "given" : "Allen", "non-dropping-particle" : "", "parse-names" : false, "suffix" : "" }, { "dropping-particle" : "", "family" : "Huntington", "given" : "Henry P.", "non-dropping-particle" : "", "parse-names" : false, "suffix" : "" }, { "dropping-particle" : "", "family" : "Jensen", "given" : "Anne M.", "non-dropping-particle" : "", "parse-names" : false, "suffix" : "" }, { "dropping-particle" : "", "family" : "Jia", "given" : "Gensuo J.", "non-dropping-particle" : "", "parse-names" : false, "suffix" : "" }, { "dropping-particle" : "", "family" : "Jorgenson", "given" : "Torre", "non-dropping-particle" : "", "parse-names" : false, "suffix" : "" }, { "dropping-particle" : "", "family" : "Kane", "given" : "Douglas L.", "non-dropping-particle" : "", "parse-names" : false, "suffix" : "" }, { "dropping-particle" : "", "family" : "Klein", "given" : "David R.", "non-dropping-particle" : "", "parse-names" : false, "suffix" : "" }, { "dropping-particle" : "", "family" : "Kofinas", "given" : "Gary", "non-dropping-particle" : "", "parse-names" : false, "suffix" : "" }, { "dropping-particle" : "", "family" : "Lynch", "given" : "Amanda H.", "non-dropping-particle" : "", "parse-names" : false, "suffix" : "" }, { "dropping-particle" : "", "family" : "Lloyd", "given" : "Andrea H.", "non-dropping-particle" : "", "parse-names" : false, "suffix" : "" }, { "dropping-particle" : "", "family" : "McGuire", "given" : "A. David", "non-dropping-particle" : "", "parse-names" : false, "suffix" : "" }, { "dropping-particle" : "", "family" : "Nelson", "given" : "Frederick E.", "non-dropping-particle" : "", "parse-names" : false, "suffix" : "" }, { "dropping-particle" : "", "family" : "Oechel", "given" : "Walter C.", "non-dropping-particle" : "", "parse-names" : false, "suffix" : "" }, { "dropping-particle" : "", "family" : "Osterkamp", "given" : "Thomas E.", "non-dropping-particle" : "", "parse-names" : false, "suffix" : "" }, { "dropping-particle" : "", "family" : "Racine", "given" : "Charles H.", "non-dropping-particle" : "", "parse-names" : false, "suffix" : "" }, { "dropping-particle" : "", "family" : "Romanovsky", "given" : "Vladimir E.", "non-dropping-particle" : "", "parse-names" : false, "suffix" : "" }, { "dropping-particle" : "", "family" : "Stone", "given" : "Robert S.", "non-dropping-particle" : "", "parse-names" : false, "suffix" : "" }, { "dropping-particle" : "", "family" : "Stow", "given" : "Douglas A.", "non-dropping-particle" : "", "parse-names" : false, "suffix" : "" }, { "dropping-particle" : "", "family" : "Sturm", "given" : "Matthew", "non-dropping-particle" : "", "parse-names" : false, "suffix" : "" }, { "dropping-particle" : "", "family" : "Tweedie", "given" : "Craig E.", "non-dropping-particle" : "", "parse-names" : false, "suffix" : "" }, { "dropping-particle" : "", "family" : "Vourlitis", "given" : "George L.", "non-dropping-particle" : "", "parse-names" : false, "suffix" : "" }, { "dropping-particle" : "", "family" : "Walker", "given" : "Marilyn D.", "non-dropping-particle" : "", "parse-names" : false, "suffix" : "" }, { "dropping-particle" : "", "family" : "Walker", "given" : "Donald A.", "non-dropping-particle" : "", "parse-names" : false, "suffix" : "" }, { "dropping-particle" : "", "family" : "Webber", "given" : "Patrick J.", "non-dropping-particle" : "", "parse-names" : false, "suffix" : "" }, { "dropping-particle" : "", "family" : "Welker", "given" : "Jeffrey M.", "non-dropping-particle" : "", "parse-names" : false, "suffix" : "" }, { "dropping-particle" : "", "family" : "Winker", "given" : "Kevin S.", "non-dropping-particle" : "", "parse-names" : false, "suffix" : "" }, { "dropping-particle" : "", "family" : "Yoshikawa", "given" : "Kenji", "non-dropping-particle" : "", "parse-names" : false, "suffix" : "" } ], "container-title" : "Climatic Change", "id" : "ITEM-4", "issue" : "3", "issued" : { "date-parts" : [ [ "2005" ] ] }, "page" : "251-298", "title" : "Evidence and implications of recent climate change in northern Alaska and other Arctic regions", "type" : "article-journal", "volume" : "72" }, "uris" : [ "http://www.mendeley.com/documents/?uuid=19f00442-5560-39d7-a346-ef6e760d6105" ] }, { "id" : "ITEM-5", "itemData" : { "DOI" : "10.1038/ngeo2674", "ISBN" : "1752-0894", "ISSN" : "17520908", "abstract" : "Ice wedges are common features of the subsurface in permafrost regions. They develop by repeated frost cracking and ice vein growth over hundreds to thousands of years. Ice-wedge formation causes the archetypal polygonal patterns seen in tundra across the Arctic landscape. Here we use field and remote sensing observations to document polygon succession due to ice-wedge degradation and trough development in ten Arctic localities over sub-decadal timescales. Initial thaw drains polygon centres and forms disconnected troughs that hold isolated ponds. Continued ice-wedge melting leads to increased trough connectivity and an overall draining of the landscape. We find that melting at the tops of ice wedges over recent decades and subsequent decimetre-scale ground subsidence is a widespread Arctic phenomenon. Although permafrost temperatures have been increasing gradually, we find that ice-wedge degradation is occurring on sub-decadal timescales. Our hydrological model simulations show that advanced ice-wedge degradation can significantly alter the water balance of lowland tundra by reducing inundation and increasing runoff, in particular due to changes in snow distribution as troughs form. We predict that ice-wedge degradation and the hydrological changes associated with the resulting differential ground subsidence will expand and amplify in rapidly warming permafrost regions.", "author" : [ { "dropping-particle" : "", "family" : "Liljedahl", "given" : "Anna K.", "non-dropping-particle" : "", "parse-names" : false, "suffix" : "" }, { "dropping-particle" : "", "family" : "Boike", "given" : "Julia", "non-dropping-particle" : "", "parse-names" : false, "suffix" : "" }, { "dropping-particle" : "", "family" : "Daanen", "given" : "Ronald P.", "non-dropping-particle" : "", "parse-names" : false, "suffix" : "" }, { "dropping-particle" : "", "family" : "Fedorov", "given" : "Alexander N.", "non-dropping-particle" : "", "parse-names" : false, "suffix" : "" }, { "dropping-particle" : "V.", "family" : "Frost", "given" : "Gerald", "non-dropping-particle" : "", "parse-names" : false, "suffix" : "" }, { "dropping-particle" : "", "family" : "Grosse", "given" : "Guido", "non-dropping-particle" : "", "parse-names" : false, "suffix" : "" }, { "dropping-particle" : "", "family" : "Hinzman", "given" : "Larry D.", "non-dropping-particle" : "", "parse-names" : false, "suffix" : "" }, { "dropping-particle" : "", "family" : "Iijma", "given" : "Yoshihiro", "non-dropping-particle" : "", "parse-names" : false, "suffix" : "" }, { "dropping-particle" : "", "family" : "Jorgenson", "given" : "Janet C.", "non-dropping-particle" : "", "parse-names" : false, "suffix" : "" }, { "dropping-particle" : "", "family" : "Matveyeva", "given" : "Nadya", "non-dropping-particle" : "", "parse-names" : false, "suffix" : "" }, { "dropping-particle" : "", "family" : "Necsoiu", "given" : "Marius", "non-dropping-particle" : "", "parse-names" : false, "suffix" : "" }, { "dropping-particle" : "", "family" : "Raynolds", "given" : "Martha K.", "non-dropping-particle" : "", "parse-names" : false, "suffix" : "" }, { "dropping-particle" : "", "family" : "Romanovsky", "given" : "Vladimir E.", "non-dropping-particle" : "", "parse-names" : false, "suffix" : "" }, { "dropping-particle" : "", "family" : "Schulla", "given" : "J\u00f6rg", "non-dropping-particle" : "", "parse-names" : false, "suffix" : "" }, { "dropping-particle" : "", "family" : "Tape", "given" : "Ken D.", "non-dropping-particle" : "", "parse-names" : false, "suffix" : "" }, { "dropping-particle" : "", "family" : "Walker", "given" : "Donald A.", "non-dropping-particle" : "", "parse-names" : false, "suffix" : "" }, { "dropping-particle" : "", "family" : "Wilson", "given" : "Cathy J.", "non-dropping-particle" : "", "parse-names" : false, "suffix" : "" }, { "dropping-particle" : "", "family" : "Yabuki", "given" : "Hironori", "non-dropping-particle" : "", "parse-names" : false, "suffix" : "" }, { "dropping-particle" : "", "family" : "Zona", "given" : "Donatella", "non-dropping-particle" : "", "parse-names" : false, "suffix" : "" } ], "container-title" : "Nature Geoscience", "id" : "ITEM-5", "issue" : "4", "issued" : { "date-parts" : [ [ "2016" ] ] }, "page" : "312-318", "title" : "Pan-Arctic ice-wedge degradation in warming permafrost and its influence on tundra hydrology", "type" : "article-journal", "volume" : "9" }, "uris" : [ "http://www.mendeley.com/documents/?uuid=622380c7-dc7f-4355-836e-242164fee638" ] }, { "id" : "ITEM-6", "itemData" : { "DOI" : "10.1038/35023137", "ISBN" : "0028-0836", "ISSN" : "00280836", "PMID" : "10984048", "abstract" : "Long-term sequestration of carbon in Alaskan Arctic tundra ecosystems was reversed by warming and drying of the climate in the early 1980s, resulting in substantial losses of terrestrial carbon. But recent measurements suggest that continued warming and drying has resulted in diminished CO2 efflux, and in some cases, summer CO2 sink activity. Here we compile summer CO2 flux data for two Arctic ecosystems from 1960 to the end of 1998. The results show that a return to summer sink activity has come during the warmest and driest period observed over the past four decades, and indicates a previously undemonstrated capacity for ecosystems to metabolically adjust to long-term (decadal or longer) changes in climate. The mechanisms involved are likely to include changes in nutrient cycling, physiological acclimation, and population and community reorganization. Nevertheless, despite the observed acclimation, the Arctic ecosystems studied are still annual net sources of CO2 to the atmosphere of at least 40 g C m(-2) yr(-1), due to winter release of CO2, implying that further climate change may still exacerbate CO2 emissions from Arctic ecosystems.", "author" : [ { "dropping-particle" : "", "family" : "Oechel", "given" : "Walter C.", "non-dropping-particle" : "", "parse-names" : false, "suffix" : "" }, { "dropping-particle" : "", "family" : "Vourlitis", "given" : "George L.", "non-dropping-particle" : "", "parse-names" : false, "suffix" : "" }, { "dropping-particle" : "", "family" : "Hastings", "given" : "Steven J.", "non-dropping-particle" : "", "parse-names" : false, "suffix" : "" }, { "dropping-particle" : "", "family" : "Zuluete", "given" : "Rommel C.", "non-dropping-particle" : "", "parse-names" : false, "suffix" : "" }, { "dropping-particle" : "", "family" : "Hinzman", "given" : "Larry", "non-dropping-particle" : "", "parse-names" : false, "suffix" : "" }, { "dropping-particle" : "", "family" : "Kane", "given" : "Douglas", "non-dropping-particle" : "", "parse-names" : false, "suffix" : "" } ], "container-title" : "Nature", "id" : "ITEM-6", "issue" : "6799", "issued" : { "date-parts" : [ [ "2000" ] ] }, "page" : "978-981", "title" : "Acclimation of ecosystem CO2 exchange in the Alaskan Arctic in response to decadal climate warming", "type" : "article-journal", "volume" : "406" }, "uris" : [ "http://www.mendeley.com/documents/?uuid=9b5c1b8f-c27d-3918-8cd8-b3d0b6e03f1a" ] }, { "id" : "ITEM-7", "itemData" : { "DOI" : "10.1175/2010JCLI3421.1", "ISBN" : "0894-8755", "ISSN" : "08948755", "abstract" : "Hydrologic cycle intensification is an expected manifestation of a warming climate. Although positive trends in several global average quantities have been reported, no previous studies have documented broad intensification across elements of the Arctic freshwater cycle (FWC). In this study, the authors examine the character and quantitative significance of changes in annual precipitation, evapotranspiration, and river discharge across the terrestrial pan-Arctic over the past several decades from observations and a suite of coupled general circulation models (GCMs). Trends in freshwater flux and storage derived from observations across the Arctic Ocean and surrounding seas are also described. With few exceptions, precipitation, evapotranspiration, and river discharge fluxes from observations and the GCMs exhibit positive trends. Significant positive trends above the 90{%} confidence level, however, are not present for all of the observations. Greater confidence in the GCM trends arises through lower in- terannual variability relative to trend magnitude. Put another way, intrinsic variability in the observations tends to limit confidence in trend robustness. Ocean fluxes are less certain, primarily because of the lack of long-term observations. Where available, salinity and volume flux data suggest some decrease in saltwater inflow to the Barents Sea (i.e., a decrease in freshwater outflow) in recent decades. A decline in freshwater storage across the central Arctic Ocean and suggestions that large-scale circulation plays a dominant role in freshwater trends raise questions as to whether Arctic Ocean freshwater flows are intensifying. Although oceanic fluxes of freshwater are highly variable and consistent trends are difficult to verify, the other com- ponents of the ArcticFWCdo show consistent positive trends over recent decades. The broad-scale increases provide evidence that the ArcticFWCis experiencing intensification. Efforts that aim to develop an adequate observation system are needed to reduce uncertainties and to detect and document ongoing changes in all system components for further evidence of Arctic FWC intensification.", "author" : [ { "dropping-particle" : "", "family" : "Rawlins", "given" : "Michael A.", "non-dropping-particle" : "", "parse-names" : false, "suffix" : "" }, { "dropping-particle" : "", "family" : "Steele", "given" : "Michael", "non-dropping-particle" : "", "parse-names" : false, "suffix" : "" }, { "dropping-particle" : "", "family" : "Holland", "given" : "Marika M.", "non-dropping-particle" : "", "parse-names" : false, "suffix" : "" }, { "dropping-particle" : "", "family" : "Adam", "given" : "Jennifer C.", "non-dropping-particle" : "", "parse-names" : false, "suffix" : "" }, { "dropping-particle" : "", "family" : "Cherry", "given" : "Jessica E.", "non-dropping-particle" : "", "parse-names" : false, "suffix" : "" }, { "dropping-particle" : "", "family" : "Francis", "given" : "Jennifer A.", "non-dropping-particle" : "", "parse-names" : false, "suffix" : "" }, { "dropping-particle" : "", "family" : "Groisman", "given" : "Pavel Y.A.", "non-dropping-particle" : "", "parse-names" : false, "suffix" : "" }, { "dropping-particle" : "", "family" : "Hinzman", "given" : "Larry D.", "non-dropping-particle" : "", "parse-names" : false, "suffix" : "" }, { "dropping-particle" : "", "family" : "Huntington", "given" : "Thomas G.", "non-dropping-particle" : "", "parse-names" : false, "suffix" : "" }, { "dropping-particle" : "", "family" : "Kane", "given" : "Douglas L.", "non-dropping-particle" : "", "parse-names" : false, "suffix" : "" }, { "dropping-particle" : "", "family" : "Kimball", "given" : "John S.", "non-dropping-particle" : "", "parse-names" : false, "suffix" : "" }, { "dropping-particle" : "", "family" : "Kwok", "given" : "Ron", "non-dropping-particle" : "", "parse-names" : false, "suffix" : "" }, { "dropping-particle" : "", "family" : "Lammers", "given" : "Richard B.", "non-dropping-particle" : "", "parse-names" : false, "suffix" : "" }, { "dropping-particle" : "", "family" : "Lee", "given" : "Craig M.", "non-dropping-particle" : "", "parse-names" : false, "suffix" : "" }, { "dropping-particle" : "", "family" : "Lettenmaier", "given" : "Dennis P.", "non-dropping-particle" : "", "parse-names" : false, "suffix" : "" }, { "dropping-particle" : "", "family" : "Mcdonald", "given" : "Kyle C.", "non-dropping-particle" : "", "parse-names" : false, "suffix" : "" }, { "dropping-particle" : "", "family" : "Podest", "given" : "Erika", "non-dropping-particle" : "", "parse-names" : false, "suffix" : "" }, { "dropping-particle" : "", "family" : "Pundsack", "given" : "Jonathan W.", "non-dropping-particle" : "", "parse-names" : false, "suffix" : "" }, { "dropping-particle" : "", "family" : "Rudels", "given" : "Bert", "non-dropping-particle" : "", "parse-names" : false, "suffix" : "" }, { "dropping-particle" : "", "family" : "Serreze", "given" : "Mark C.", "non-dropping-particle" : "", "parse-names" : false, "suffix" : "" }, { "dropping-particle" : "", "family" : "Shiklomanov", "given" : "Alexander", "non-dropping-particle" : "", "parse-names" : false, "suffix" : "" }, { "dropping-particle" : "", "family" : "Skagseth", "given" : "\u00d8ystein", "non-dropping-particle" : "", "parse-names" : false, "suffix" : "" }, { "dropping-particle" : "", "family" : "Troy", "given" : "Tara J.", "non-dropping-particle" : "", "parse-names" : false, "suffix" : "" }, { "dropping-particle" : "", "family" : "V\u00f6r\u00f6smarty", "given" : "Charles J.", "non-dropping-particle" : "", "parse-names" : false, "suffix" : "" }, { "dropping-particle" : "", "family" : "Wensnahan", "given" : "Mark", "non-dropping-particle" : "", "parse-names" : false, "suffix" : "" }, { "dropping-particle" : "", "family" : "Wood", "given" : "Eric F.", "non-dropping-particle" : "", "parse-names" : false, "suffix" : "" }, { "dropping-particle" : "", "family" : "Woodgate", "given" : "Rebecca", "non-dropping-particle" : "", "parse-names" : false, "suffix" : "" }, { "dropping-particle" : "", "family" : "Yang", "given" : "Daqing", "non-dropping-particle" : "", "parse-names" : false, "suffix" : "" }, { "dropping-particle" : "", "family" : "Zhang", "given" : "Ke", "non-dropping-particle" : "", "parse-names" : false, "suffix" : "" }, { "dropping-particle" : "", "family" : "Zhang", "given" : "Tingjun", "non-dropping-particle" : "", "parse-names" : false, "suffix" : "" } ], "container-title" : "Journal of Climate", "id" : "ITEM-7", "issue" : "21", "issued" : { "date-parts" : [ [ "2010" ] ] }, "page" : "5715-5737", "title" : "Analysis of the Arctic system for freshwater cycle intensification: observations and expectations", "type" : "article-journal", "volume" : "23" }, "uris" : [ "http://www.mendeley.com/documents/?uuid=f427faae-f72f-32b9-8520-fc8ee905ab7d" ] }, { "id" : "ITEM-8", "itemData" : { "DOI" : "10.1002/2015JG003132", "ISSN" : "21698961", "abstract" : "Atmospheric humidity, clouds, precipitation, and evapotranspiration are essential components of the Arctic climate system. During recent decades, specific humidity and precipitation have generally increased in the Arctic, but changes in evapotranspiration are poorly known. Trends in clouds vary depending on the region and season. Climate model experiments suggest that increases in precipitation are related to global warming. In turn, feedbacks associated with the increase in atmospheric moisture and decrease in sea ice and snow cover have contributed to the Arctic amplification of global warming. Climate models have captured the overall wetting trend but have limited success in reproducing regional details. For the rest of the 21st century, climate models project strong warming and increasing precipitation, but different models yield different results for changes in cloud cover. The model differences are largest in months of minimum sea ice cover. Evapotranspiration is projected to increase in winter but in summer to decrease over the oceans and increase over land. Increasing net precipitation increases river discharge to the Arctic Ocean. Over sea ice in summer, projected increase in rain and decrease in snowfall decrease the surface albedo and, hence, further amplify snow/ice surface melt. With reducing sea ice, wind forcing on the Arctic Ocean increases with impacts on ocean currents and freshwater transport out of the Arctic. Improvements in observations, process understanding, and modeling capabilities are needed to better quantify the atmospheric role in the Arctic water cycle and its changes.", "author" : [ { "dropping-particle" : "", "family" : "Vihma", "given" : "Timo", "non-dropping-particle" : "", "parse-names" : false, "suffix" : "" }, { "dropping-particle" : "", "family" : "Screen", "given" : "James", "non-dropping-particle" : "", "parse-names" : false, "suffix" : "" }, { "dropping-particle" : "", "family" : "Tjernstr\u00f6m", "given" : "Michael", "non-dropping-particle" : "", "parse-names" : false, "suffix" : "" }, { "dropping-particle" : "", "family" : "Newton", "given" : "Brandi", "non-dropping-particle" : "", "parse-names" : false, "suffix" : "" }, { "dropping-particle" : "", "family" : "Zhang", "given" : "Xiangdong", "non-dropping-particle" : "", "parse-names" : false, "suffix" : "" }, { "dropping-particle" : "", "family" : "Popova", "given" : "Valeria", "non-dropping-particle" : "", "parse-names" : false, "suffix" : "" }, { "dropping-particle" : "", "family" : "Deser", "given" : "Clara", "non-dropping-particle" : "", "parse-names" : false, "suffix" : "" }, { "dropping-particle" : "", "family" : "Holland", "given" : "Marika", "non-dropping-particle" : "", "parse-names" : false, "suffix" : "" }, { "dropping-particle" : "", "family" : "Prowse", "given" : "Terry", "non-dropping-particle" : "", "parse-names" : false, "suffix" : "" } ], "container-title" : "Journal of Geophysical Research: Biogeosciences", "id" : "ITEM-8", "issue" : "3", "issued" : { "date-parts" : [ [ "2016" ] ] }, "page" : "586-620", "title" : "The atmospheric role in the Arctic water cycle: A review on processes, past and future changes, and their impacts", "type" : "article-journal", "volume" : "121" }, "uris" : [ "http://www.mendeley.com/documents/?uuid=2e7674b0-9098-3ab3-af6b-c2c305ac0ea3" ] }, { "id" : "ITEM-9", "itemData" : { "DOI" : "10.2166/nh.2014.004", "ISSN" : "0029-1277", "abstract" : "Paper to be ordered", "author" : [ { "dropping-particle" : "", "family" : "Young", "given" : "Kathy L.", "non-dropping-particle" : "", "parse-names" : false, "suffix" : "" }, { "dropping-particle" : "", "family" : "Lafreni\u00e8re", "given" : "Melissa J.", "non-dropping-particle" : "", "parse-names" : false, "suffix" : "" }, { "dropping-particle" : "", "family" : "Lamoureux", "given" : "Scott F.", "non-dropping-particle" : "", "parse-names" : false, "suffix" : "" }, { "dropping-particle" : "", "family" : "Abnizova", "given" : "A.", "non-dropping-particle" : "", "parse-names" : false, "suffix" : "" }, { "dropping-particle" : "", "family" : "Miller", "given" : "Elizabeth A.", "non-dropping-particle" : "", "parse-names" : false, "suffix" : "" } ], "container-title" : "Hydrology Research", "id" : "ITEM-9", "issue" : "4", "issued" : { "date-parts" : [ [ "2015" ] ] }, "page" : "533-550", "title" : "Recent multi-year </w:instrText>
      </w:r>
      <w:r w:rsidRPr="008608AA">
        <w:rPr>
          <w:lang w:val="fr-CA"/>
        </w:rPr>
        <w:instrText>streamflow regimes and water budgets of hillslope catchments in the Canadian High Arctic: evaluation and comparison to other small Arctic watershed studies", "type" : "article-journal", "volume" : "46" }, "uris" : [ "http://www.mendeley.com/documents/?uuid=0e0398fa-d503-3f9f-be76-e479ca08ab27" ] } ], "mendeley" : { "formattedCitation" : "(Andresen &amp; Lougheed, 2015; Bring et al., 2016; Cherry et al., 2014; Hinzman et al., 2005; Liljedahl et al., 2016; Oechel et al., 2000; Rawlins et al., 2010; Vihma et al., 2016; K. L. Young, Lafreni\u00e8re, Lamoureux, Abnizova, &amp; Miller, 2015)", "manualFormatting" : "(Andresen &amp; Lougheed, 2015; Bring et al., 2016; Cherry et al., 2014; Hinzman et al., 2005; Liljedahl et al., 2016; Oechel et al., 2000; Rawlins et al., 2010; Vihma et al., 2016; Young et al., 2015)", "plainTextFormattedCitation" : "(Andresen &amp; Lougheed, 2015; Bring et al., 2016; Cherry et al., 2014; Hinzman et al., 2005; Liljedahl et al., 2016; Oechel et al., 2000; Rawlins et al., 2010; Vihma et al., 2016; K. L. Young, Lafreni\u00e8re, Lamoureux, Abnizova, &amp; Miller, 2015)", "previouslyFormattedCitation" : "(Andresen &amp; Lougheed, 2015; Bring et al., 2016; Cherry et al., 2014; Hinzman et al., 2005; Liljedahl et al., 2016; Oechel et al., 2000; Rawlins et al., 2010; Vihma et al., 2016; K. L. Young, Lafreni\u00e8re, Lamoureux, Abnizova, &amp; Miller, 2015)" }, "properties" : { "noteIndex" : 0 }, "schema" : "https://github.com/citation-style-language/schema/raw/master/csl-citation.json" }</w:instrText>
      </w:r>
      <w:r w:rsidRPr="008608AA">
        <w:fldChar w:fldCharType="separate"/>
      </w:r>
      <w:r w:rsidRPr="008608AA">
        <w:rPr>
          <w:noProof/>
          <w:lang w:val="fr-CA"/>
        </w:rPr>
        <w:t>(Andresen &amp; Lougheed, 2015; Bring et al., 2016; Cherry et al., 2014; Hinzman et al., 2005; Liljedahl et al., 2016; Oechel et al., 2000; Rawlins et al., 2010; Vihma et al., 2016; Young et al., 2015)</w:t>
      </w:r>
      <w:r w:rsidRPr="008608AA">
        <w:fldChar w:fldCharType="end"/>
      </w:r>
      <w:r w:rsidRPr="008608AA">
        <w:rPr>
          <w:lang w:val="fr-CA"/>
        </w:rPr>
        <w:t>.</w:t>
      </w:r>
    </w:p>
    <w:p w14:paraId="57195BCA" w14:textId="52F79A48" w:rsidR="004255E7" w:rsidRPr="008608AA" w:rsidRDefault="004255E7" w:rsidP="0063629E">
      <w:pPr>
        <w:spacing w:after="120"/>
      </w:pPr>
      <w:r w:rsidRPr="008608AA">
        <w:t xml:space="preserve">Greater variability in the timing and magnitude of precipitation events in North American </w:t>
      </w:r>
      <w:r w:rsidR="00176FC5" w:rsidRPr="008608AA">
        <w:t>A</w:t>
      </w:r>
      <w:r w:rsidR="00702CDB" w:rsidRPr="008608AA">
        <w:t xml:space="preserve">rctic tundra </w:t>
      </w:r>
      <w:r w:rsidRPr="008608AA">
        <w:t xml:space="preserve">has decreased accessibility and yield for subsistence hunters </w:t>
      </w:r>
      <w:r w:rsidRPr="008608AA">
        <w:fldChar w:fldCharType="begin" w:fldLock="1"/>
      </w:r>
      <w:r w:rsidRPr="008608AA">
        <w:instrText>ADDIN CSL_CITATION { "citationItems" : [ { "id" : "ITEM-1", "itemData" : { "DOI" : "18", "ISBN" : "1708-3087", "ISSN" : "17083087", "abstract" : "Human adaptation remains an insufficiently studied part of the subject of climate change. This paper examines the questions of adaptation and change in terms of social-ecological resilience using lessons from a place-specific case study. The Inuvialuit people of the small community of Sachs Harbour in Canada's western Arctic have been tracking climate change throughout the 1990s. We analyze the adaptive capacity of this community to deal with climate change. Short-term responses to changes in land-based activities, which are identified as coping mechanisms, are one component of this adaptive capacity. The second component is related to cultural and ecological adaptations of the Inuvialuit for life in a highly variable and uncertain environment; these represent long-term adaptive strategies. These two types of strategies are, in fact, on a continuum in space and time. This study suggests new ways in which theory and practice can be combined by showing how societies may adapt to climate change at multiple scales. Switching species and adjusting the \u201cwhere, when, and how\u201d of hunting are examples of shorter-term responses. On the other hand, adaptations such as flexibility in seasonal hunting patterns, traditional knowledge that allows the community to diversity hunting activities, networks for sharing food and other resources, and intercommunity trade are longer-term, culturally ingrained mechanisms. Individuals, households, and the community as a whole also provide feedback on their responses to change. Newly developing co-management institutions create additional linkages for feedback across different levels, enhancing the capacity for learning and self-organization of the local inhabitants and making it possible for them to transmit community concerns to regional, national, and international levels.", "author" : [ { "dropping-particle" : "", "family" : "Berkes", "given" : "Fikret", "non-dropping-particle" : "", "parse-names" : false, "suffix" : "" }, { "dropping-particle" : "", "family" : "Jolly", "given" : "Dyanna", "non-dropping-particle" : "", "parse-names" : false, "suffix" : "" } ], "container-title" : "Ecology and Society", "id" : "ITEM-1", "issue" : "2", "issued" : { "date-parts" : [ [ "2002" ] ] }, "page" : "18", "title" : "Adapting to climate change: Social-ecological resilience in a Canadian western arctic community", "type" : "article-journal", "volume" : "5" }, "uris" : [ "http://www.mendeley.com/documents/?uuid=ac5a92a9-7298-4ab8-bb39-5e02a161ea8f" ] }, { "id" : "ITEM-2", "itemData" : { "author" : [ { "dropping-particle" : "", "family" : "Rennert", "given" : "K. J.", "non-dropping-particle" : "", "parse-names" : false, "suffix" : "" }, { "dropping-particle" : "", "family" : "Roe", "given" : "G.", "non-dropping-particle" : "", "parse-names" : false, "suffix" : "" }, { "dropping-particle" : "", "family" : "Putkonen", "given" : "J.", "non-dropping-particle" : "", "parse-names" : false, "suffix" : "" }, { "dropping-particle" : "", "family" : "Bitz", "given" : "C. M.", "non-dropping-particle" : "", "parse-names" : false, "suffix" : "" } ], "container-title" : "Journal of Climate", "id" : "ITEM-2", "issue" : "9", "issued" : { "date-parts" : [ [ "2009" ] ] }, "page" : "2302-2315", "title" : "Soil thermal and ecological impacts of rain on snow events in the circumpolar Arctic", "type" : "article-journal", "volume" : "22" }, "uris" : [ "http://www.mendeley.com/documents/?uuid=2066fbcd-509d-4c5c-85ca-94bb6beb4257" ] } ], "mendeley" : { "formattedCitation" : "(Berkes &amp; Jolly, 2002; Rennert, Roe, Putkonen, &amp; Bitz, 2009)", "manualFormatting" : "(Berkes &amp; Jolly, 2002; Rennert et al., 2009)", "plainTextFormattedCitation" : "(Berkes &amp; Jolly, 2002; Rennert, Roe, Putkonen, &amp; Bitz, 2009)", "previouslyFormattedCitation" : "(Berkes &amp; Jolly, 2002; Rennert, Roe, Putkonen, &amp; Bitz, 2009)" }, "properties" : { "noteIndex" : 0 }, "schema" : "https://github.com/citation-style-language/schema/raw/master/csl-citation.json" }</w:instrText>
      </w:r>
      <w:r w:rsidRPr="008608AA">
        <w:fldChar w:fldCharType="separate"/>
      </w:r>
      <w:r w:rsidRPr="008608AA">
        <w:rPr>
          <w:noProof/>
        </w:rPr>
        <w:t>(Berkes &amp; Jolly, 2002; Rennert et al., 2009)</w:t>
      </w:r>
      <w:r w:rsidRPr="008608AA">
        <w:fldChar w:fldCharType="end"/>
      </w:r>
      <w:r w:rsidRPr="008608AA">
        <w:t xml:space="preserve">. Further, atmospheric deposition of pollutants in North American </w:t>
      </w:r>
      <w:r w:rsidR="00176FC5" w:rsidRPr="008608AA">
        <w:t>A</w:t>
      </w:r>
      <w:r w:rsidR="00702CDB" w:rsidRPr="008608AA">
        <w:t xml:space="preserve">rctic tundra </w:t>
      </w:r>
      <w:r w:rsidRPr="008608AA">
        <w:t xml:space="preserve">has threatened the health of local communities through the bioaccumulation of toxins in organisms used for food </w:t>
      </w:r>
      <w:r w:rsidRPr="008608AA">
        <w:fldChar w:fldCharType="begin" w:fldLock="1"/>
      </w:r>
      <w:r w:rsidRPr="008608AA">
        <w:instrText>ADDIN CSL_CITATION { "citationItems" : [ { "id" : "ITEM-1", "itemData" : { "DOI" : "10.1021/es0011", "ISBN" : "0013-936X (Print)\\r0013-936X (Linking)", "ISSN" : "0013-936X", "PMID" : "11347605", "abstract" : "While biomagnification of persistent organic pollutants (POPs) in aquatic food chains is well documented, there have been few investigations of the trophodynamics of POPs in Arctic terrestrial food chains. This study presents field- collected concentration data and corresponding fugacities of various hydrophobic organic chemicals (ranging in octanol- water partition coefficients or OW from approximately Cetraria 103.8 to 109) in two lichen species ( lupus ground caribou ( nivalis ), willow leaves ( K Cladina Salix and ), barren- ), and wolves ( glauca ) from Canada\u2019s Central and Western Arctic region. Rangifer tarandus rangiferinaCanis The results show that, in contrast to aquatic food chains, persistent substances including ?-hexachlorocyclohexane and 1,2,4,5-tetrachlorobenzene with a K OW &lt;105 can substantially biomagnify in lichen-caribou-wolf food chains in Canada\u2019s Central and Western Arctic. Strong positive correlations between the biomagnification factor and the octanol-air partition coefficients ( K OA)of nonmetabolizable compounds were observed in wolves. In caribou, the biomagnification factors dropped slightly with increasing K OA. K OA proved to be a better indicator of biomagnification than K OW. Current management policies that consider only chemicals with K OW values &gt;105 as bioaccumulative substances fail to identify substances that have the potential to biomagnify in Arctic terrestrial food chains despite a low K OW because of a high K OA.", "author" : [ { "dropping-particle" : "", "family" : "Kelly", "given" : "B.C.", "non-dropping-particle" : "", "parse-names" : false, "suffix" : "" }, { "dropping-particle" : "", "family" : "Gobas", "given" : "F.A.P.C", "non-dropping-particle" : "", "parse-names" : false, "suffix" : "" } ], "container-title" : "Environmental Science &amp; Technology", "id" : "ITEM-1", "issue" : "2", "issued" : { "date-parts" : [ [ "2001" ] ] }, "page" : "325-334", "title" : "Bioaccumulation of persistent organic pollutants in lichen-caribou-wolf food chanins of Canada's central and western Arctic", "type" : "article-journal", "volume" : "35" }, "uris" : [ "http://www.mendeley.com/documents/?uuid=22661638-1fa9-4a39-9b80-b6b00df408fc" ] } ], "mendeley" : { "formattedCitation" : "(B. C. Kelly &amp; Gobas, 2001)", "manualFormatting" : "(Kelly &amp; Gobas, 2001)", "plainTextFormattedCitation" : "(B. C. Kelly &amp; Gobas, 2001)", "previouslyFormattedCitation" : "(B. C. Kelly &amp; Gobas, 2001)" }, "properties" : { "noteIndex" : 0 }, "schema" : "https://github.com/citation-style-language/schema/raw/master/csl-citation.json" }</w:instrText>
      </w:r>
      <w:r w:rsidRPr="008608AA">
        <w:fldChar w:fldCharType="separate"/>
      </w:r>
      <w:r w:rsidRPr="008608AA">
        <w:rPr>
          <w:noProof/>
        </w:rPr>
        <w:t>(Kelly &amp; Gobas, 2001)</w:t>
      </w:r>
      <w:r w:rsidRPr="008608AA">
        <w:fldChar w:fldCharType="end"/>
      </w:r>
      <w:r w:rsidRPr="008608AA">
        <w:t xml:space="preserve">. To improve community resilience to these changes, Chapin et al., </w:t>
      </w:r>
      <w:r w:rsidRPr="008608AA">
        <w:fldChar w:fldCharType="begin" w:fldLock="1"/>
      </w:r>
      <w:r w:rsidRPr="008608AA">
        <w:instrText>ADDIN CSL_CITATION { "citationItems" : [ { "id" : "ITEM-1", "itemData" : { "DOI" : "10.1579/0044-7447(2006)35[198:braatm]2.0.co;2", "ISBN" : "0044-7447", "ISSN" : "0044-7447", "PMID" : "16944645", "abstract" : "Unprecedented global changes caused by human actions challenge society's ability to sustain the desirable features of our planet. This requires proactive management of change to foster both resilience (sustaining those attributes that are important to society in the face of change) and adaptation (developing new socioecological configurations that function effectively under new conditions). The Arctic may be one of the last remaining opportunities to plan for change in a spatially extensive region where many of the ancestral ecological and social processes and feedbacks are still intact. If the feasibility of this strategy can be demonstrated in the Arctic, our improved understanding of the dynamics of change can be applied to regions with greater human modification. Conditions may now be ideal to implement policies to manage Arctic change because recent studies provide the essential scientific understanding, appropriate international institutions are in place, and Arctic nations have the wealth to institute necessary changes, if they choose to do so.", "author" : [ { "dropping-particle" : "", "family" : "Chapin", "given" : "F Stuart", "non-dropping-particle" : "", "parse-names" : false, "suffix" : "" }, { "dropping-particle" : "", "family" : "Hoel", "given" : "Michael", "non-dropping-particle" : "", "parse-names" : false, "suffix" : "" }, { "dropping-particle" : "", "family" : "Carpenter", "given" : "Steven R", "non-dropping-particle" : "", "parse-names" : false, "suffix" : "" }, { "dropping-particle" : "", "family" : "Lubchenco", "given" : "Jane", "non-dropping-particle" : "", "parse-names" : false, "suffix" : "" }, { "dropping-particle" : "", "family" : "Walker", "given" : "Brian", "non-dropping-particle" : "", "parse-names" : false, "suffix" : "" }, { "dropping-particle" : "V", "family" : "Callaghan", "given" : "Terry", "non-dropping-particle" : "", "parse-names" : false, "suffix" : "" }, { "dropping-particle" : "", "family" : "Folke", "given" : "Carl", "non-dropping-particle" : "", "parse-names" : false, "suffix" : "" }, { "dropping-particle" : "", "family" : "Levin", "given" : "Simon A.", "non-dropping-particle" : "", "parse-names" : false, "suffix" : "" }, { "dropping-particle" : "", "family" : "M\u00e4ler", "given" : "Karl G\u00f6ran", "non-dropping-particle" : "", "parse-names" : false, "suffix" : "" }, { "dropping-particle" : "", "family" : "Nilsson", "given" : "Christer", "non-dropping-particle" : "", "parse-names" : false, "suffix" : "" }, { "dropping-particle" : "", "family" : "Barrett", "given" : "Scott", "non-dropping-particle" : "", "parse-names" : false, "suffix" : "" }, { "dropping-particle" : "", "family" : "Berkes", "given" : "Fikret", "non-dropping-particle" : "", "parse-names" : false, "suffix" : "" }, { "dropping-particle" : "", "family" : "Cr\u00e9pin", "given" : "Anne-Sophie", "non-dropping-particle" : "", "parse-names" : false, "suffix" : "" }, { "dropping-particle" : "", "family" : "Danell", "given" : "Kjell", "non-dropping-particle" : "", "parse-names" : false, "suffix" : "" }, { "dropping-particle" : "", "family" : "Rosswall", "given" : "Thomas", "non-dropping-particle" : "", "parse-names" : false, "suffix" : "" }, { "dropping-particle" : "", "family" : "Starrett", "given" : "David", "non-dropping-particle" : "", "parse-names" : false, "suffix" : "" }, { "dropping-particle" : "", "family" : "Xepapadeas", "given" : "Anastasios", "non-dropping-particle" : "", "parse-names" : false, "suffix" : "" }, { "dropping-particle" : "", "family" : "Zimov", "given" : "Sergey A.", "non-dropping-particle" : "", "parse-names" : false, "suffix" : "" } ], "container-title" : "Ambio", "id" : "ITEM-1", "issue" : "4", "issued" : { "date-parts" : [ [ "2006" ] ] }, "page" : "198-202", "title" : "Building resilience and adaptation to manage Arctic change", "type" : "article-journal", "volume" : "35" }, "uris" : [ "http://www.mendeley.com/documents/?uuid=9dd40cbc-934c-4224-b4b0-633f9270e84d" ] } ], "mendeley" : { "formattedCitation" : "(F Stuart Chapin et al., 2006)", "manualFormatting" : "(2006)", "plainTextFormattedCitation" : "(F Stuart Chapin et al., 2006)", "previouslyFormattedCitation" : "(F Stuart Chapin et al., 2006)" }, "properties" : { "noteIndex" : 0 }, "schema" : "https://github.com/citation-style-language/schema/raw/master/csl-citation.json" }</w:instrText>
      </w:r>
      <w:r w:rsidRPr="008608AA">
        <w:fldChar w:fldCharType="separate"/>
      </w:r>
      <w:r w:rsidRPr="008608AA">
        <w:rPr>
          <w:noProof/>
        </w:rPr>
        <w:t>(2006)</w:t>
      </w:r>
      <w:r w:rsidRPr="008608AA">
        <w:fldChar w:fldCharType="end"/>
      </w:r>
      <w:r w:rsidRPr="008608AA">
        <w:t xml:space="preserve"> suggest diversifying the economies of indigenous communities by reinvesting tax revenue from natural resource extraction into local education and infrastructure.</w:t>
      </w:r>
    </w:p>
    <w:p w14:paraId="02E34228" w14:textId="77777777" w:rsidR="004255E7" w:rsidRPr="008608AA" w:rsidRDefault="004255E7" w:rsidP="0063629E">
      <w:pPr>
        <w:spacing w:after="120"/>
      </w:pPr>
      <w:r w:rsidRPr="008608AA">
        <w:t xml:space="preserve">The extent of alpine habitat in western North America has decreased due to warming-induced treeline advance, though rates of advance are spatially variable </w:t>
      </w:r>
      <w:r w:rsidRPr="008608AA">
        <w:fldChar w:fldCharType="begin" w:fldLock="1"/>
      </w:r>
      <w:r w:rsidRPr="008608AA">
        <w:instrText>ADDIN CSL_CITATION { "citationItems" : [ { "id" : "ITEM-1", "itemData" : { "author" : [ { "dropping-particle" : "", "family" : "Harsch", "given" : "M.A.", "non-dropping-particle" : "", "parse-names" : false, "suffix" : "" }, { "dropping-particle" : "", "family" : "Hulme", "given" : "P.E.", "non-dropping-particle" : "", "parse-names" : false, "suffix" : "" }, { "dropping-particle" : "", "family" : "McGlone", "given" : "M.S.", "non-dropping-particle" : "", "parse-names" : false, "suffix" : "" }, { "dropping-particle" : "", "family" : "Duncan", "given" : "R.P.", "non-dropping-particle" : "", "parse-names" : false, "suffix" : "" } ], "container-title" : "Ecology letters", "id" : "ITEM-1", "issue" : "10", "issued" : { "date-parts" : [ [ "2009" ] ] }, "page" : "1040-1049", "title" : "Are treelines advancing? A global meta\u2010analysis of treeline response to climate warming", "type" : "article-journal", "volume" : "12" }, "uris" : [ "http://www.mendeley.com/documents/?uuid=94170f11-1f7e-4504-8e62-a356fa4eb8b3" ] }, { "id" : "ITEM-2", "itemData" : { "author" : [ { "dropping-particle" : "", "family" : "Elliott", "given" : "G. P.", "non-dropping-particle" : "", "parse-names" : false, "suffix" : "" } ], "container-title" : "Global Ecology and Biogeography", "id" : "ITEM-2", "issue" : "1", "issued" : { "date-parts" : [ [ "2011" ] ] }, "page" : "46-57", "title" : "Influences of 20th-century warming at the upper tree line contingent on local-scale interactions: evidence from a latitudinal gradient in the Rocky Mountains, USA", "type" : "article-journal", "volume" : "20" }, "uris" : [ "http://www.mendeley.com/documents/?uuid=8c06e859-0404-4aee-9b2b-0cb789909935" ] } ], "mendeley" : { "formattedCitation" : "(Elliott, 2011; Harsch, Hulme, McGlone, &amp; Duncan, 2009)", "manualFormatting" : "(Elliott, 2011; Harsch et al., 2009)", "plainTextFormattedCitation" : "(Elliott, 2011; Harsch, Hulme, McGlone, &amp; Duncan, 2009)", "previouslyFormattedCitation" : "(Elliott, 2011; Harsch, Hulme, McGlone, &amp; Duncan, 2009)" }, "properties" : { "noteIndex" : 0 }, "schema" : "https://github.com/citation-style-language/schema/raw/master/csl-citation.json" }</w:instrText>
      </w:r>
      <w:r w:rsidRPr="008608AA">
        <w:fldChar w:fldCharType="separate"/>
      </w:r>
      <w:r w:rsidRPr="008608AA">
        <w:rPr>
          <w:noProof/>
        </w:rPr>
        <w:t>(Elliott, 2011; Harsch et al., 2009)</w:t>
      </w:r>
      <w:r w:rsidRPr="008608AA">
        <w:fldChar w:fldCharType="end"/>
      </w:r>
      <w:r w:rsidRPr="008608AA">
        <w:t xml:space="preserve">. Some degradation from logging, pasturing, and recreation is evident, but these disturbances have been minor compared to in alpine zones on other continents </w:t>
      </w:r>
      <w:r w:rsidRPr="008608AA">
        <w:fldChar w:fldCharType="begin" w:fldLock="1"/>
      </w:r>
      <w:r w:rsidRPr="008608AA">
        <w:instrText>ADDIN CSL_CITATION { "citationItems" : [ { "id" : "ITEM-1", "itemData" : { "editor" : [ { "dropping-particle" : "", "family" : "Bowman", "given" : "W. D.", "non-dropping-particle" : "", "parse-names" : false, "suffix" : "" }, { "dropping-particle" : "", "family" : "Seastedt", "given" : "T. R.", "non-dropping-particle" : "", "parse-names" : false, "suffix" : "" } ], "id" : "ITEM-1", "issued" : { "date-parts" : [ [ "2001" ] ] }, "number-of-pages" : "337", "publisher" : "Oxford University Press", "publisher-place" : "New York, USA", "title" : "Structure and Function of an Alpine Ecosystem: Niwot Ridge, Colorado", "type" : "book" }, "uris" : [ "http://www.mendeley.com/documents/?uuid=a0be1313-4a08-4b0f-b7e7-fb33b3927239" ] } ], "mendeley" : { "formattedCitation" : "(Bowman &amp; Seastedt, 2001)", "manualFormatting" : "(Bowman &amp; Seastedt, 2001)", "plainTextFormattedCitation" : "(Bowman &amp; Seastedt, 2001)", "previouslyFormattedCitation" : "(Bowman &amp; Seastedt, 2001)" }, "properties" : { "noteIndex" : 0 }, "schema" : "https://github.com/citation-style-language/schema/raw/master/csl-citation.json" }</w:instrText>
      </w:r>
      <w:r w:rsidRPr="008608AA">
        <w:fldChar w:fldCharType="separate"/>
      </w:r>
      <w:r w:rsidRPr="008608AA">
        <w:rPr>
          <w:noProof/>
        </w:rPr>
        <w:t>(Bowman &amp; Seastedt, 2001)</w:t>
      </w:r>
      <w:r w:rsidRPr="008608AA">
        <w:fldChar w:fldCharType="end"/>
      </w:r>
      <w:r w:rsidRPr="008608AA">
        <w:t xml:space="preserve">. Recent changes include increased shrub cover and diminished species richness, likely in response to a combination of climatic change, and high levels of nitrogen deposition from anthropogenic pollution </w:t>
      </w:r>
      <w:r w:rsidRPr="008608AA">
        <w:fldChar w:fldCharType="begin" w:fldLock="1"/>
      </w:r>
      <w:r w:rsidRPr="008608AA">
        <w:instrText>ADDIN CSL_CITATION { "citationItems" : [ { "id" : "ITEM-1", "itemData" : { "DOI" : "10.1038/nclimate1465", "ISBN" : "1758-678X", "ISSN" : "1758-678X", "abstract" : "Temperature is increasing at unprecedented rates across most of the tundra biome. Remote-sensing data indicate that contemporary climate warming has already resulted in increased productivity over much of the Arctic, but plot-based evidence for vegetation transformation is not widespread. We analysed change in tundra vegetation surveyed between 1980 and{\u2026}", "author" : [ { "dropping-particle" : "", "family" : "Elmendorf", "given" : "Sarah C", "non-dropping-particle" : "", "parse-names" : false, "suffix" : "" }, { "dropping-particle" : "", "family" : "Henry", "given" : "Gregory H R", "non-dropping-particle" : "", "parse-names" : false, "suffix" : "" }, { "dropping-particle" : "", "family" : "Hollister", "given" : "Robert D", "non-dropping-particle" : "", "parse-names" : false, "suffix" : "" }, { "dropping-particle" : "", "family" : "Bj\u00f6rk", "given" : "Robert G", "non-dropping-particle" : "", "parse-names" : false, "suffix" : "" }, { "dropping-particle" : "", "family" : "Boulanger-Lapointe", "given" : "No\u00e9mie", "non-dropping-particle" : "", "parse-names" : false, "suffix" : "" }, { "dropping-particle" : "", "family" : "Cooper", "given" : "Elisabeth J", "non-dropping-particle" : "", "parse-names" : false, "suffix" : "" }, { "dropping-particle" : "", "family" : "Cornelissen", "given" : "Johannes H C", "non-dropping-particle" : "", "parse-names" : false, "suffix" : "" }, { "dropping-particle" : "", "family" : "Day", "given" : "Thomas A", "non-dropping-particle" : "", "parse-names" : false, "suffix" : "" }, { "dropping-particle" : "", "family" : "Dorrepaal", "given" : "Ellen", "non-dropping-particle" : "", "parse-names" : false, "suffix" : "" }, { "dropping-particle" : "", "family" : "Elumeeva", "given" : "Tatiana G", "non-dropping-particle" : "", "parse-names" : false, "suffix" : "" }, { "dropping-particle" : "", "family" : "Gill", "given" : "Mike", "non-dropping-particle" : "", "parse-names" : false, "suffix" : "" }, { "dropping-particle" : "", "family" : "Gould", "given" : "William A", "non-dropping-particle" : "", "parse-names" : false, "suffix" : "" }, { "dropping-particle" : "", "family" : "Harte", "given" : "John", "non-dropping-particle" : "", "parse-names" : false, "suffix" : "" }, { "dropping-particle" : "", "family" : "Hik", "given" : "David S", "non-dropping-particle" : "", "parse-names" : false, "suffix" : "" }, { "dropping-particle" : "", "family" : "Hofgaard", "given" : "Annika", "non-dropping-particle" : "", "parse-names" : false, "suffix" : "" }, { "dropping-particle" : "", "family" : "Johnson", "given" : "David R", "non-dropping-particle" : "", "parse-names" : false, "suffix" : "" }, { "dropping-particle" : "", "family" : "Johnstone", "given" : "Jill F", "non-dropping-particle" : "", "parse-names" : false, "suffix" : "" }, { "dropping-particle" : "", "family" : "J\u00f3nsd\u00f3ttir", "given" : "Ingibj\u00f6rg Svala", "non-dropping-particle" : "", "parse-names" : false, "suffix" : "" }, { "dropping-particle" : "", "family" : "Jorgenson", "given" : "Janet C", "non-dropping-particle" : "", "parse-names" : false, "suffix" : "" }, { "dropping-particle" : "", "family" : "Klanderud", "given" : "Kari", "non-dropping-particle" : "", "parse-names" : false, "suffix" : "" }, { "dropping-particle" : "", "family" : "Klein", "given" : "Julia A", "non-dropping-particle" : "", "parse-names" : false, "suffix" : "" }, { "dropping-particle" : "", "family" : "Koh", "given" : "Saewan", "non-dropping-particle" : "", "parse-names" : false, "suffix" : "" }, { "dropping-particle" : "", "family" : "Kudo", "given" : "Gaku", "non-dropping-particle" : "", "parse-names" : false, "suffix" : "" }, { "dropping-particle" : "", "family" : "Lara", "given" : "Mark", "non-dropping-particle" : "", "parse-names" : false, "suffix" : "" }, { "dropping-particle" : "", "family" : "L\u00e9vesque", "given" : "Esther", "non-dropping-particle" : "", "parse-names" : false, "suffix" : "" }, { "dropping-particle" : "", "family" : "Magn\u00fasson", "given" : "Borgthor", "non-dropping-particle" : "", "parse-names" : false, "suffix" : "" }, { "dropping-particle" : "", "family" : "May", "given" : "Jeremy L", "non-dropping-particle" : "", "parse-names" : false, "suffix" : "" }, { "dropping-particle" : "", "family" : "Mercado-D\u00edaz", "given" : "Joel A", "non-dropping-particle" : "", "parse-names" : false, "suffix" : "" }, { "dropping-particle" : "", "family" : "Michelsen", "given" : "Anders", "non-dropping-particle" : "", "parse-names" : false, "suffix" : "" }, { "dropping-particle" : "", "family" : "Molau", "given" : "Ulf", "non-dropping-particle" : "", "parse-names" : false, "suffix" : "" }, { "dropping-particle" : "", "family" : "Myers-Smith", "given" : "Isla H", "non-dropping-particle" : "", "parse-names" : false, "suffix" : "" }, { "dropping-particle" : "", "family" : "Oberbauer", "given" : "Steven F", "non-dropping-particle" : "", "parse-names" : false, "suffix" : "" }, { "dropping-particle" : "", "family" : "Onipchenko", "given" : "Vladimir G", "non-dropping-particle" : "", "parse-names" : false, "suffix" : "" }, { "dropping-particle" : "", "family" : "Rixen", "given" : "Christian", "non-dropping-particle" : "", "parse-names" : false, "suffix" : "" }, { "dropping-particle" : "", "family" : "Schmidt", "given" : "Niels Martin", "non-dropping-particle" : "", "parse-names" : false, "suffix" : "" }, { "dropping-particle" : "", "family" : "Shaver", "given" : "Gaius R", "non-dropping-particle" : "", "parse-names" : false, "suffix" : "" }, { "dropping-particle" : "", "family" : "Spasojevic", "given" : "Marko J", "non-dropping-particle" : "", "parse-names" : false, "suffix" : "" }, { "dropping-particle" : "", "family" : "\u00de\u00f3rhallsd\u00f3ttir", "given" : "\u00de\u00f3ra Ellen", "non-dropping-particle" : "", "parse-names" : false, "suffix" : "" }, { "dropping-particle" : "", "family" : "Tolvanen", "given" : "Anne", "non-dropping-particle" : "", "parse-names" : false, "suffix" : "" }, { "dropping-particle" : "", "family" : "Troxler", "given" : "Tiffany", "non-dropping-particle" : "", "parse-names" : false, "suffix" : "" }, { "dropping-particle" : "", "family" : "Tweedie", "given" : "Craig E", "non-dropping-particle" : "", "parse-names" : false, "suffix" : "" }, { "dropping-particle" : "", "family" : "Villareal", "given" : "Sandra", "non-d</w:instrText>
      </w:r>
      <w:r w:rsidRPr="008608AA">
        <w:rPr>
          <w:lang w:val="fr-CA"/>
        </w:rPr>
        <w:instrText>ropping-particle" : "", "parse-names" : false, "suffix" : "" }, { "dropping-particle" : "", "family" : "Wahren", "given" : "Carl-Henrik", "non-dropping-particle" : "", "parse-names" : false, "suffix" : "" }, { "dropping-particle" : "", "family" : "Walker", "given" : "Xanthe", "non-dropping-particle" : "", "parse-names" : false, "suffix" : "" }, { "dropping-particle" : "", "family" : "Webber", "given" : "Patrick J", "non-dropping-particle" : "", "parse-names" : false, "suffix" : "" }, { "dropping-particle" : "", "family" : "Welker", "given" : "Jeffrey M", "non-dropping-particle" : "", "parse-names" : false, "suffix" : "" }, { "dropping-particle" : "", "family" : "Wipf", "given" : "Sonja", "non-dropping-particle" : "", "parse-names" : false, "suffix" : "" } ], "container-title" : "Nature Climate Change", "id" : "ITEM-1", "issued" : { "date-parts" : [ [ "2012" ] ] }, "page" : "453-457", "title" : "Plot-scale evidence of tundra vegetation change and links to recent summer warming", "type" : "article-journal", "volume" : "2" }, "uris" : [ "http://www.mendeley.com/documents/?uuid=aa651111-1657-3cb3-a269-04eb89d2c51f" ] } ], "mendeley" : { "formattedCitation" : "(Elmendorf et al., 2012)", "manualFormatting" : "(Elmendorf et al., 2012", "plainTextFormattedCitation" : "(Elmendorf et al., 2012)", "previouslyFormattedCitation" : "(Elmendorf et al., 2012)" }, "properties" : { "noteIndex" : 0 }, "schema" : "https://github.com/citation-style-language/schema/raw/master/csl-citation.json" }</w:instrText>
      </w:r>
      <w:r w:rsidRPr="008608AA">
        <w:fldChar w:fldCharType="separate"/>
      </w:r>
      <w:r w:rsidRPr="008608AA">
        <w:rPr>
          <w:noProof/>
          <w:lang w:val="fr-CA"/>
        </w:rPr>
        <w:t>(Elmendorf et al., 2012</w:t>
      </w:r>
      <w:r w:rsidRPr="008608AA">
        <w:fldChar w:fldCharType="end"/>
      </w:r>
      <w:r w:rsidRPr="008608AA">
        <w:rPr>
          <w:lang w:val="fr-CA"/>
        </w:rPr>
        <w:t xml:space="preserve">; </w:t>
      </w:r>
      <w:r w:rsidRPr="008608AA">
        <w:fldChar w:fldCharType="begin" w:fldLock="1"/>
      </w:r>
      <w:r w:rsidRPr="008608AA">
        <w:rPr>
          <w:lang w:val="fr-CA"/>
        </w:rPr>
        <w:instrText>ADDIN CSL_CITATION { "citationItems" : [ { "id" : "ITEM-1", "itemData" : { "author" : [ { "dropping-particle" : "", "family" : "Sproull", "given" : "G. J.", "non-dropping-particle" : "", "parse-names" : false, "suffix" : "" }, { "dropping-particle" : "", "family" : "Quigley", "given" : "M. F.", "non-dropping-particle" : "", "parse-names" : false, "suffix" : "" }, { "dropping-particle" : "", "family" : "Sher", "given" : "A.", "non-dropping-particle" : "", "parse-names" : false, "suffix" : "" }, { "dropping-particle" : "", "family" : "Gonz\u00e1lez", "given" : "E.", "non-dropping-particle" : "", "parse-names" : false, "suffix" : "" } ], "container-title" : "Journal of Vegetation Science", "id" : "ITEM-1", "issue" : "3", "issued" : { "date-parts" : [ [ "2015" ] ] }, "page" : "552-563", "title" : "Long-term changes in composition, diversity and distribution patterns in four herbaceous plant communities along an elevational gradient", "type" : "article-journal", "volume" : "26" }, "uris" : [ "http://www.mendeley.com/documents/?uuid=ddbfb660-f84b-4433-95a7-acb9525beea2" ] }, { "id" : "ITEM-2", "itemData" : { "author" : [ { "dropping-particle" : "", "family" : "Formica", "given" : "A.", "non-dropping-particle" : "", "parse-names" : false, "suffix" : "" }, { "dropping-particle" : "", "family" : "Farrer", "given" : "E. C.", "non-dropping-particle" : "", "parse-names" : false, "suffix" : "" }, { "dropping-particle" : "", "family" : "Ashton", "given" : "I. W.", "non-dropping-particle" : "", "parse-names" : false, "suffix" : "" }, { "dropping-particle" : "", "family" : "Suding", "given" : "K. N.", "non-dropping-particle" : "", "parse-names" : false, "suffix" : "" } ], "container-title" : "Arctic, Antarctic, and Alpine Research", "id" : "ITEM-2", "issue" : "3", "issued" : { "date-parts" : [ [ "2014" ] ] }, "page" : "616-631", "title" : "Shrub expansion over the past 62 years in Rocky Mountain alpine tundra: possible causes and consequences", "type" : "article-journal", "volume" : "46" }, "uris" : [ "http://www.mendeley.com/documents/?uuid=03e40234-9832-4338-980a-65c91b757198" ] } ], "mendeley" : { "formattedCitation" : "(Formica, Farrer, Ashton, &amp; Suding, 2014; Sproull, Quigley, Sher, &amp; Gonz\u00e1lez, 2015)", "manualFormatting" : "Formica et al., 2014; Sproull et al., 2015)", "plainTextFormattedCitation" : "(Formica, Farrer, Ashton, &amp; Suding, 2014; Sproull, Quigley, Sher, &amp; Gonz\u00e1lez, 2015)", "previouslyFormattedCitation" : "(Formica, Farrer, Ashton, &amp; Suding, 2014; Sproull, Quigley, Sher, &amp; Gonz\u00e1lez, 2015)" }, "properties" : { "noteIndex" : 0 }, "schema" : "https://github.com/citation-style-language/schema/raw/master/csl-citation.json" }</w:instrText>
      </w:r>
      <w:r w:rsidRPr="008608AA">
        <w:fldChar w:fldCharType="separate"/>
      </w:r>
      <w:r w:rsidRPr="008608AA">
        <w:rPr>
          <w:noProof/>
          <w:lang w:val="fr-CA"/>
        </w:rPr>
        <w:t>Formica et al., 2014; Sproull et al., 2015)</w:t>
      </w:r>
      <w:r w:rsidRPr="008608AA">
        <w:fldChar w:fldCharType="end"/>
      </w:r>
      <w:r w:rsidRPr="008608AA">
        <w:rPr>
          <w:lang w:val="fr-CA"/>
        </w:rPr>
        <w:t xml:space="preserve">. The most notable change among alpine fauna populations is the rapid decline of the American pika, a small alpine mammal experiencing an upslope range contraction in response to climate warming </w:t>
      </w:r>
      <w:r w:rsidRPr="008608AA">
        <w:fldChar w:fldCharType="begin" w:fldLock="1"/>
      </w:r>
      <w:r w:rsidRPr="008608AA">
        <w:rPr>
          <w:lang w:val="fr-CA"/>
        </w:rPr>
        <w:instrText>ADDIN CSL_CITATION { "citationItems" : [ { "id" : "ITEM-1", "itemData" : { "author" : [ { "dropping-particle" : "", "family" : "Stewart", "given" : "J. A.", "non-dropping-particle" : "", "parse-names" : false, "suffix" : "" }, { "dropping-particle" : "", "family" : "Perrine", "given" : "J. D.", "non-dropping-particle" : "", "parse-names" : false, "suffix" : "" }, { "dropping-particle" : "", "family" : "Nichols", "given" : "L. B.", "non-dropping-particle" : "", "parse-names" : false, "suffix" : "" }, { "dropping-particle" : "", "family" : "Thorne", "given" : "J. H.", "non-dropping-particle" : "", "parse-names" : false, "suffix" : "" }, { "dropping-particle" : "", "family" : "Millar", "given" : "C. I.", "non-dropping-particle" : "", "parse-names" : false, "suffix" : "" }, { "dropping-particle" : "", "family" : "Goehring", "given" : "K. E.", "non-dropping-particle" : "", "parse-names" : false, "suffix" : "" }, { "dropping-particle" : "", "family" : "Wright", "given" : "D. H.", "non-dropping-particle" : "", "parse-names" : false, "suffix" : "" } ], "container-title" : "Journal of Biogeography", "id" : "ITEM-1", "issue" : "5", "issued" : { "date-parts" : [ [ "2015" ] ] }, "page" : "880-890", "title" : "Revisiting the past to foretell the future: summer temperature and habitat area predict p</w:instrText>
      </w:r>
      <w:r w:rsidRPr="008608AA">
        <w:instrText>ika extirpations in California", "type" : "article-journal", "volume" : "42" }, "uris" : [ "http://www.mendeley.com/documents/?uuid=722f090b-cf33-40fa-8ab3-40ffbe8b7355" ] }, { "id" : "ITEM-2", "itemData" : { "author" : [ { "dropping-particle" : "", "family" : "Beever", "given" : "E. A.", "non-dropping-particle" : "", "parse-names" : false, "suffix" : "" }, { "dropping-particle" : "", "family" : "Perrine", "given" : "J. D.", "non-dropping-particle" : "", "parse-names" : false, "suffix" : "" }, { "dropping-particle" : "", "family" : "Rickman", "given" : "T.", "non-dropping-particle" : "", "parse-names" : false, "suffix" : "" }, { "dropping-particle" : "", "family" : "Flores", "given" : "M.", "non-dropping-particle" : "", "parse-names" : false, "suffix" : "" }, { "dropping-particle" : "", "family" : "Clark", "given" : "J. P.", "non-dropping-particle" : "", "parse-names" : false, "suffix" : "" }, { "dropping-particle" : "", "family" : "Waters, C.", "given" : ".", "non-dropping-particle" : "", "parse-names" : false, "suffix" : "" }, { "dropping-particle" : "", "family" : "Goehring", "given" : "K. E.", "non-dropping-particle" : "", "parse-names" : false, "suffix" : "" } ], "container-title" : "Journal of Mammalogy", "id" : "ITEM-2", "issue" : "6", "issued" : { "date-parts" : [ [ "2016" ] ] }, "page" : "1495-1511", "title" : "Pika (&lt;i&gt;Ochotona princeps&lt;/i&gt;) losses from two isolated regions reflect temperature and water balance, but reflect habitat area in a mainland region", "type" : "article-journal", "volume" : "97" }, "uris" : [ "http://www.mendeley.com/documents/?uuid=8b64dd83-096e-4b51-85d9-5567cf9984ab" ] }, { "id" : "ITEM-3", "itemData" : { "author" : [ { "dropping-particle" : "", "family" : "Beever", "given" : "E. A.", "non-dropping-particle" : "", "parse-names" : false, "suffix" : "" }, { "dropping-particle" : "", "family" : "Ray", "given" : "C.", "non-dropping-particle" : "", "parse-names" : false, "suffix" : "" }, { "dropping-particle" : "", "family" : "Wilkening", "given" : "J. L.", "non-dropping-particle" : "", "parse-names" : false, "suffix" : "" }, { "dropping-particle" : "", "family" : "Brussard", "given" : "P. F.", "non-dropping-particle" : "", "parse-names" : false, "suffix" : "" }, { "dropping-particle" : "", "family" : "Mote", "given" : "P. W.", "non-dropping-particle" : "", "parse-names" : false, "suffix" : "" } ], "container-title" : "Global Change Biology", "id" : "ITEM-3", "issue" : "6", "issued" : { "date-parts" : [ [ "2011" ] ] }, "page" : "2054-2070", "title" : "Contemporary climate change alters the pace and drivers of extinction", "type" : "article-journal", "volume" : "17" }, "uris" : [ "http://www.mendeley.com/documents/?uuid=128b09ea-befa-400c-89da-4532e71c9849" ] } ], "mendeley" : { "formattedCitation" : "(Beever et al., 2016; Beever, Ray, Wilkening, Brussard, &amp; Mote, 2011; Stewart et al., 2015)", "manualFormatting" : "(Beever et al., 2011, 2016; Stewart et al., 2015)", "plainTextFormattedCitation" : "(Beever et al., 2016; Beever, Ray, Wilkening, Brussard, &amp; Mote, 2011; Stewart et al., 2015)", "previouslyFormattedCitation" : "(Beever et al., 2016; Beever, Ray, Wilkening, Brussard, &amp; Mote, 2011; Stewart et al., 2015)" }, "properties" : { "noteIndex" : 0 }, "schema" : "https://github.com/citation-style-language/schema/raw/master/csl-citation.json" }</w:instrText>
      </w:r>
      <w:r w:rsidRPr="008608AA">
        <w:fldChar w:fldCharType="separate"/>
      </w:r>
      <w:r w:rsidRPr="008608AA">
        <w:rPr>
          <w:noProof/>
        </w:rPr>
        <w:t>(Beever et al., 2011, 2016; Stewart et al., 2015)</w:t>
      </w:r>
      <w:r w:rsidRPr="008608AA">
        <w:fldChar w:fldCharType="end"/>
      </w:r>
      <w:r w:rsidRPr="008608AA">
        <w:t>.</w:t>
      </w:r>
    </w:p>
    <w:p w14:paraId="636DAFFA" w14:textId="77777777" w:rsidR="004255E7" w:rsidRPr="008608AA" w:rsidRDefault="004255E7" w:rsidP="0063629E">
      <w:pPr>
        <w:pStyle w:val="Heading5"/>
        <w:numPr>
          <w:ilvl w:val="0"/>
          <w:numId w:val="0"/>
        </w:numPr>
        <w:ind w:left="1008" w:hanging="1008"/>
        <w:rPr>
          <w:sz w:val="24"/>
          <w:szCs w:val="24"/>
        </w:rPr>
      </w:pPr>
      <w:r w:rsidRPr="008608AA">
        <w:rPr>
          <w:sz w:val="24"/>
          <w:szCs w:val="24"/>
        </w:rPr>
        <w:t xml:space="preserve">South American subregion </w:t>
      </w:r>
    </w:p>
    <w:p w14:paraId="0204F38D" w14:textId="3A56B1AD" w:rsidR="004255E7" w:rsidRPr="008608AA" w:rsidRDefault="00176FC5" w:rsidP="0063629E">
      <w:pPr>
        <w:widowControl w:val="0"/>
        <w:autoSpaceDE w:val="0"/>
        <w:autoSpaceDN w:val="0"/>
        <w:adjustRightInd w:val="0"/>
        <w:spacing w:after="120"/>
      </w:pPr>
      <w:r w:rsidRPr="008608AA">
        <w:t xml:space="preserve">Status. </w:t>
      </w:r>
      <w:r w:rsidR="004255E7" w:rsidRPr="008608AA">
        <w:t xml:space="preserve">South American high elevation habitats occur principally along the entire length of the Andes </w:t>
      </w:r>
      <w:r w:rsidR="004255E7" w:rsidRPr="008608AA">
        <w:fldChar w:fldCharType="begin" w:fldLock="1"/>
      </w:r>
      <w:r w:rsidR="004255E7" w:rsidRPr="008608AA">
        <w:instrText>ADDIN CSL_CITATION { "citationItems" : [ { "id" : "ITEM-1", "itemData" : { "DOI" : "10.1016/B978-0-12-384719-5.00428-7", "ISBN" : "978-0-12-384720-1", "ISSN" : "1526-4564", "PMID" : "23609146", "abstract" : "High-elevation habitats of the South American Andes extend from 11\u00b0 N to 56\u00b0 S. These geologically young habitats bear a rich vascular flora, which can be accompanied by abundant mosses, lichens, and hepatics in p\u00e1ramo. The vascular flora contains many, and often monotypic endemic genera. Highest species richness is found in p\u00e1ramo, followed by puna and southern Andean steppe. The high elevation flora has been assembled from numerous sources, and has involved long-distance dispersal, and upward and north\u2013south migration of clades. P\u00e1ramo, puna, and southern Andean steppe are overviewed. Some critical needs for future biodiversity research are outlined.", "author" : [ { "dropping-particle" : "", "family" : "Arroyo", "given" : "Mary T.K.", "non-dropping-particle" : "", "parse-names" : false, "suffix" : "" }, { "dropping-particle" : "", "family" : "Cavieres", "given" : "Lohengrin A", "non-dropping-particle" : "", "parse-names" : false, "suffix" : "" } ], "container-title" : "Encyclopedia of Biodiversity", "editor" : [ { "dropping-particle" : "", "family" : "Levin", "given" : "S.", "non-dropping-particle" : "", "parse-names" : false, "suffix" : "" } ], "id" : "ITEM-1", "issued" : { "date-parts" : [ [ "2013" ] ] }, "page" : "96-110", "publisher" : "Elsevier Science and Technology", "publisher-place" : "New Jersey, USA", "title" : "High-elevation Andean ecosystems", "type" : "chapter" }, "uris" : [ "http://www.mendeley.com/documents/?uuid=1f72d92f-4a15-3d27-a959-5f4c2fe98cdb" ] } ], "mendeley" : { "formattedCitation" : "(Mary T.K. Arroyo &amp; Cavieres, 2013)", "manualFormatting" : "(Arroyo &amp; Cavieres, 2013)", "plainTextFormattedCitation" : "(Mary T.K. Arroyo &amp; Cavieres, 2013)", "previouslyFormattedCitation" : "(Mary T.K. Arroyo &amp; Cavieres, 2013)" }, "properties" : { "noteIndex" : 0 }, "schema" : "https://github.com/citation-style-language/schema/raw/master/csl-citation.json" }</w:instrText>
      </w:r>
      <w:r w:rsidR="004255E7" w:rsidRPr="008608AA">
        <w:fldChar w:fldCharType="separate"/>
      </w:r>
      <w:r w:rsidR="004255E7" w:rsidRPr="008608AA">
        <w:rPr>
          <w:noProof/>
        </w:rPr>
        <w:t>(Arroyo &amp; Cavieres, 2013)</w:t>
      </w:r>
      <w:r w:rsidR="004255E7" w:rsidRPr="008608AA">
        <w:fldChar w:fldCharType="end"/>
      </w:r>
      <w:r w:rsidR="004255E7" w:rsidRPr="008608AA">
        <w:t xml:space="preserve">. These habitats, found under a variety of climatic conditions, are remarkably rich in plant species (Table 3.4.) and evolutionary lineages </w:t>
      </w:r>
      <w:r w:rsidR="004255E7" w:rsidRPr="008608AA">
        <w:fldChar w:fldCharType="begin" w:fldLock="1"/>
      </w:r>
      <w:r w:rsidR="004255E7" w:rsidRPr="008608AA">
        <w:instrText>ADDIN CSL_CITATION { "citationItems" : [ { "id" : "ITEM-1", "itemData" : { "DOI" : "10.1007/s12229-010-9061-9", "ISBN" : "0006-8101", "ISSN" : "00068101", "abstract" : "Biogeography of the tropical alpine flora of South and Central America, the p+\u00edramo flora, has been studied by dividing genera into tropical, temperate, and cosmopolitan chorological flora elements. Published molecular phylogenies of p+\u00edramo genera are reviewed to summarize knowledge about evolutionary history of the p+\u00edramo flora and to assess congruence between chorological and phylogenetic approaches. Molecular phylogenies suggest that both the tropical and temperate regions have been important source areas for evolution of the p+\u00edramo flora. Conclusions derived from chorological patterns regarding origin of genera in p+\u00edramo are mostly supported by phylogenetic data. Nevertheless, in Chuquiraga, Halenia, Huperzia, and Perezia the chorological scenario is rejected, and in Chusquea-Neurolepis, Elaphoglossum, Gunnera, Halenia, Jamesonia-Eriosorus, and Lasiocephalus independent colonization events from one or several source areas are suggested. Tropical and temperate genera contributed equally to modern species richness of the p+\u00edramo flora. Among temperate genera, the northern hemisphere genera gave rise to more species in p+\u00edramo than did genera from the southern hemisphere. So far, no unequivocal evidence has been provided for migration of p+\u00edramo genera to the temperate zones. -\u00ae 2010 The New York Botanical Garden", "author" : [ { "dropping-particle" : "", "family" : "Sklen\u00e1\u0159", "given" : "Petr", "non-dropping-particle" : "", "parse-names" : false, "suffix" : "" }, { "dropping-particle" : "", "family" : "Du\u0161kov\u00e1", "given" : "Eva", "non-dropping-particle" : "", "parse-names" : false, "suffix" : "" }, { "dropping-particle" : "", "family" : "Balslev", "given" : "Henrik", "non-dropping-particle" : "", "parse-names" : false, "suffix" : "" } ], "container-title" : "The Botanical Review", "id" : "ITEM-1", "issue" : "2", "issued" : { "date-parts" : [ [ "2011" ] ] }, "page" : "71-108", "title" : "Tropical and temperate: evolutionary history of p\u00e1ramo flora", "type" : "article", "volume" : "77" }, "uris" : [ "http://www.mendeley.com/documents/?uuid=5a4c4811-be59-3aad-8ff9-8486158996ea" ] } ], "mendeley" : { "formattedCitation" : "(Sklen\u00e1\u0159, Du\u0161kov\u00e1, &amp; Balslev, 2011)", "manualFormatting" : "(Sklen\u00e1\u0159 et al., 2011)", "plainTextFormattedCitation" : "(Sklen\u00e1\u0159, Du\u0161kov\u00e1, &amp; Balslev, 2011)", "previouslyFormattedCitation" : "(Sklen\u00e1\u0159, Du\u0161kov\u00e1, &amp; Balslev, 2011)" }, "properties" : { "noteIndex" : 0 }, "schema" : "https://github.com/citation-style-language/schema/raw/master/csl-citation.json" }</w:instrText>
      </w:r>
      <w:r w:rsidR="004255E7" w:rsidRPr="008608AA">
        <w:fldChar w:fldCharType="separate"/>
      </w:r>
      <w:r w:rsidR="004255E7" w:rsidRPr="008608AA">
        <w:rPr>
          <w:noProof/>
        </w:rPr>
        <w:t>(Sklenář et al., 2011)</w:t>
      </w:r>
      <w:r w:rsidR="004255E7" w:rsidRPr="008608AA">
        <w:fldChar w:fldCharType="end"/>
      </w:r>
      <w:r w:rsidR="004255E7" w:rsidRPr="008608AA">
        <w:t xml:space="preserve"> and support the richest tropical alpine flora in the world </w:t>
      </w:r>
      <w:r w:rsidR="004255E7" w:rsidRPr="008608AA">
        <w:fldChar w:fldCharType="begin" w:fldLock="1"/>
      </w:r>
      <w:r w:rsidR="004255E7" w:rsidRPr="008608AA">
        <w:instrText>ADDIN CSL_CITATION { "citationItems" : [ { "id" : "ITEM-1", "itemData" : { "DOI" : "10.1111/jbi.12212", "ISBN" : "1365-2699", "ISSN" : "03050270", "abstract" : "ABSTRACT Aim We analysed the effects of alpine area, geographical distance between mountains and isolation due to topography on mountain plant species rich- ness, regional species turnover and patterns of species distribution. Location Equatorial mountains of East Africa, South America and New Gui- nea. Methods We collated lists of alpine species and estimated the extent of alpine area for seven mountains in each geographical region to construct species\u2013area curves. We tested the observed frequency distribution of species among moun- tains against the expected distribution (assuming random dispersal) by means of a log-likelihood test. We compared species turnover among mountains using species accumulation curves. We expressed floristic similarity between moun- tain pairs as chi-square distance between observed and expected numbers of shared species and tested its correlation with geographical distance using the Mantel test. Results Samples of East African, South American and New Guinean alpine floras contained 371, 489 and 279 species, respectively. Andean genera tended to be more species rich than genera in the other regions. Species richness of the mountains correlated with log-transformed area except in East Africa. Spe- cies distributions among mountains significantly deviated from random in all regions. Species turnover was lowest among East African sites and highest among South American sites, and the slopes of the cumulative species\u2013area relationship were significantly different. Floristic similarity between mountains significantly declined with log(distance) in all regions, and the slope of the relationship was steepest in South America. Main conclusions The flora of the Andean p? aramo is confirmed to be the most species rich of the tropical alpine regions. P? aramo genera tend to be richer in species than afroalpine and tropicalpine Asian genera. There is higher species turnover in the Andes and the floras of individual mountains are there- fore quite distinct. In contrast, the floras of the East African mountains are more uniform and possess a relatively large number of widespread species.", "author" : [ { "dropping-particle" : "", "family" : "Sklen\u00e1\u0159", "given" : "Petr", "non-dropping-particle" : "", "parse-names" : false, "suffix" : "" }, { "dropping-particle" : "", "family" : "Hedberg", "given" : "Inga", "non-dropping-particle" : "", "parse-names" : false, "suffix" : "" }, { "dropping-particle" : "", "family" : "Cleef", "given" : "Antoine M.", "non-dropping-particle" : "", "parse-names" : false, "suffix" : "" } ], "container-title" : "Journal of Biogeography", "id" : "ITEM-1", "issue" : "2", "issued" : { "date-parts" : [ [ "2014" ] ] }, "page" : "287-297", "title" : "Island biogeography of tropical alpine floras", "type" : "article-journal", "volume" : "41" }, "uris" : [ "http://www.mendeley.com/documents/?uuid=587c67eb-2dfb-3223-8063-fa3ea28c19fe" ] } ], "mendeley" : { "formattedCitation" : "(Sklen\u00e1\u0159, Hedberg, &amp; Cleef, 2014)", "manualFormatting" : "(Sklen\u00e1\u0159 et al., 2014)", "plainTextFormattedCitation" : "(Sklen\u00e1\u0159, Hedberg, &amp; Cleef, 2014)", "previouslyFormattedCitation" : "(Sklen\u00e1\u0159, Hedberg, &amp; Cleef, 2014)" }, "properties" : { "noteIndex" : 0 }, "schema" : "https://github.com/citation-style-language/schema/raw/master/csl-citation.json" }</w:instrText>
      </w:r>
      <w:r w:rsidR="004255E7" w:rsidRPr="008608AA">
        <w:fldChar w:fldCharType="separate"/>
      </w:r>
      <w:r w:rsidR="004255E7" w:rsidRPr="008608AA">
        <w:rPr>
          <w:noProof/>
        </w:rPr>
        <w:t>(Sklenář et al., 2014)</w:t>
      </w:r>
      <w:r w:rsidR="004255E7" w:rsidRPr="008608AA">
        <w:fldChar w:fldCharType="end"/>
      </w:r>
      <w:r w:rsidR="004255E7" w:rsidRPr="008608AA">
        <w:t xml:space="preserve">. High-elevation habitats support many species of large mammals </w:t>
      </w:r>
      <w:r w:rsidR="004255E7" w:rsidRPr="008608AA">
        <w:fldChar w:fldCharType="begin" w:fldLock="1"/>
      </w:r>
      <w:r w:rsidR="004255E7" w:rsidRPr="008608AA">
        <w:instrText>ADDIN CSL_CITATION { "citationItems" : [ { "id" : "ITEM-1", "itemData" : { "DOI" : "10.1023/A:1023625125032", "ISBN" : "0960-3115", "ISSN" : "09603115", "abstract" : "The tropicaltemperate interface of the southern Neotropics harbours an interdigitating array of biomes (Puna, Monte, Chaco, Yungas). This topographic and climatically complex region needs urgent conservation efforts, as it is being transformed by human activities at an accelerating pace. We analyse georeferenced field records of mammal species in northwestern Argentina (provinces: Catamarca, Jujuy, Salta, Tucuman) in order to define biodiversity hotspots on the basis of 0.5 0.5 grid cells within northwestern Argentina according to total richness of mammal species, richness of megaspecies (species above 10 kg), and endemic species (species restricted to Argentina or neighbouring countries with shared biomes). The mammal fauna of northwestern Argentina is fairly well known (176 species). The biomes differ considerably in species richness (Puna low, Yungas high) and species composition. We found no significant difference between endemic and non-endemic species regarding cell occupancy or body size. Cell occupancy was not correlated to body size. Across grids, species richness, number of megaspecies as well as richness of endemics are all correlated to sampling effort. More than 50% of the species in the region are restricted to one or two biomes. Overall, the species turn-over between biomes in northwestern Argentina is high. Using a simple algorithm we identified 10 grid cells which covered 90% of the total number of recorded species, and contrast them with the protected areas. While the Puna and Yungas biomes are rather well protected, the arid and semiarid Monte and Chaco are in need of urgent attention in biodiversity conservation.", "author" : [ { "dropping-particle" : "", "family" : "Ojeda", "given" : "R. A.", "non-dropping-particle" : "", "parse-names" : false, "suffix" : "" }, { "dropping-particle" : "", "family" : "Stadler", "given" : "J.", "non-dropping-particle" : "", "parse-names" : false, "suffix" : "" }, { "dropping-particle" : "", "family" : "Brandl", "given" : "R.", "non-dropping-particle" : "", "parse-names" : false, "suffix" : "" } ], "container-title" : "Biodiversity and Conservation", "id" : "ITEM-1", "issue" : "7", "issued" : { "date-parts" : [ [ "2003" ] ] }, "page" : "1431-1444", "title" : "Diversity of mammals in the tropical-temperate Neotropics: hotspots on a regional scale", "type" : "article-journal", "volume" : "12" }, "uris" : [ "http://www.mendeley.com/documents/?uuid=e75c0621-73f6-373e-83f1-0bcddc190e14" ] } ], "mendeley" : { "formattedCitation" : "(Ojeda et al., 2003)", "manualFormatting" : "(Ojeda et al., 2003)", "plainTextFormattedCitation" : "(Ojeda et al., 2003)", "previouslyFormattedCitation" : "(Ojeda et al., 2003)" }, "properties" : { "noteIndex" : 0 }, "schema" : "https://github.com/citation-style-language/schema/raw/master/csl-citation.json" }</w:instrText>
      </w:r>
      <w:r w:rsidR="004255E7" w:rsidRPr="008608AA">
        <w:fldChar w:fldCharType="separate"/>
      </w:r>
      <w:r w:rsidR="004255E7" w:rsidRPr="008608AA">
        <w:rPr>
          <w:noProof/>
        </w:rPr>
        <w:t>(Ojeda et al., 2003)</w:t>
      </w:r>
      <w:r w:rsidR="004255E7" w:rsidRPr="008608AA">
        <w:fldChar w:fldCharType="end"/>
      </w:r>
      <w:r w:rsidR="004255E7" w:rsidRPr="008608AA">
        <w:t xml:space="preserve">, lizards </w:t>
      </w:r>
      <w:r w:rsidR="004255E7" w:rsidRPr="008608AA">
        <w:fldChar w:fldCharType="begin" w:fldLock="1"/>
      </w:r>
      <w:r w:rsidR="004255E7" w:rsidRPr="008608AA">
        <w:instrText>ADDIN CSL_CITATION { "citationItems" : [ { "id" : "ITEM-1", "itemData" : { "DOI" : "10.1186/s12862-015-0435-9", "ISBN" : "1286201504359", "ISSN" : "1471-2148", "PMID" : "26245280", "abstract" : "BACKGROUND:Adaptive radiation theory posits that ecological opportunity promotes rapid proliferation of phylogenetic and ecological diversity. Given that adaptive radiation proceeds via occupation of available niche space in newly accessed ecological zones, theory predicts that: (i) evolutionary diversification follows an 'early-burst' process, i.e., it accelerates early in the history of a clade (when available niche space facilitates speciation), and subsequently slows down as niche space becomes saturated by new species; and (ii) phylogenetic branching is accompanied by diversification of ecologically relevant phenotypic traits among newly evolving species. Here, we employ macroevolutionary phylogenetic model-selection analyses to address these two predictions about evolutionary diversification using one of the most exceptionally species-rich and ecologically diverse lineages of living vertebrates, the South American lizard genus Liolaemus.RESULTS:Our phylogenetic analyses lend support to a density-dependent lineage diversification model. However, the lineage through-time diversification curve does not provide strong support for an early burst. In contrast, the evolution of phenotypic (body size) relative disparity is high, significantly different from a Brownian model during approximately the last 5 million years of Liolaemus evolution. Model-fitting analyses also reject the 'early-burst' model of phenotypic evolution, and instead favour stabilizing selection (Ornstein-Uhlenbeck, with three peaks identified) as the best model for body size diversification. Finally, diversification rates tend to increase with smaller body size.CONCLUSIONS:Liolaemus have diversified under a density-dependent process with slightly pronounced apparent episodic pulses of lineage accumulation, which are compatible with the expected episodic ecological opportunity created by gradual uplifts of the Andes over the last ~25My. We argue that ecological opportunity can be strong and a crucial driver of adaptive radiations in continents, but may emerge less frequently (compared to islands) when major events (e.g., climatic, geographic) significantly modify environments. In contrast, body size diversification conforms to an Ornstein-Uhlenbeck model with multiple trait optima. Despite this asymmetric diversification between both lineages and phenotype, links are expected to exist between the two processes, as shown by our trait-dependent analyses of diversification. We finally sug\u2026", "author" : [ { "dropping-particle" : "", "family" : "Pincheira-Donoso", "given" : "Daniel", "non-dropping-particle" : "", "parse-names" : false, "suffix" : "" }, { "dropping-particle" : "", "family" : "Harvey", "given" : "Lilly P.", "non-dropping-particle" : "", "parse-names" : false, "suffix" : "" }, { "dropping-particle" : "", "family" : "Ruta", "given" : "Marcello", "non-dropping-particle" : "", "parse-names" : false, "suffix" : "" } ], "container-title" : "BMC Evolutionary Biology", "id" : "ITEM-1", "issue" : "1", "issued" : { "date-parts" : [ [ "2015" ] ] }, "page" : "153", "title" : "What defines an adaptive radiation? Macroevolutionary diversification dynamics of an exceptionally species-rich continental lizard radiation", "type" : "article-journal", "volume" : "15" }, "uris" : [ "http://www.mendeley.com/documents/?uuid=7a4d99ad-73d1-3e8e-9f73-3b2ef0c229d3" ] } ], "mendeley" : { "formattedCitation" : "(Pincheira-Donoso, Harvey, &amp; Ruta, 2015)", "manualFormatting" : "(Pincheira-Donoso et al., 2015)", "plainTextFormattedCitation" : "(Pincheira-Donoso, Harvey, &amp; Ruta, 2015)", "previouslyFormattedCitation" : "(Pincheira-Donoso, Harvey, &amp; Ruta, 2015)" }, "properties" : { "noteIndex" : 0 }, "schema" : "https://github.com/citation-style-language/schema/raw/master/csl-citation.json" }</w:instrText>
      </w:r>
      <w:r w:rsidR="004255E7" w:rsidRPr="008608AA">
        <w:fldChar w:fldCharType="separate"/>
      </w:r>
      <w:r w:rsidR="004255E7" w:rsidRPr="008608AA">
        <w:rPr>
          <w:noProof/>
        </w:rPr>
        <w:t>(Pincheira-Donoso et al., 2015)</w:t>
      </w:r>
      <w:r w:rsidR="004255E7" w:rsidRPr="008608AA">
        <w:fldChar w:fldCharType="end"/>
      </w:r>
      <w:r w:rsidR="004255E7" w:rsidRPr="008608AA">
        <w:t xml:space="preserve">, birds </w:t>
      </w:r>
      <w:r w:rsidR="004255E7" w:rsidRPr="008608AA">
        <w:fldChar w:fldCharType="begin" w:fldLock="1"/>
      </w:r>
      <w:r w:rsidR="004255E7" w:rsidRPr="008608AA">
        <w:instrText>ADDIN CSL_CITATION { "citationItems" : [ { "id" : "ITEM-1", "itemData" : { "ISSN" : "1809127X", "abstract" : "We present a list of 92 bird species from Finca Estrella de Agua - P\u00e1ramo de Frontino section (3,100 - 3,400 m) in Salento municipality, Quind\u00edo Department, Central Andes of Colombia. The list was made by a combination of visual and aural records and mist net captures during 2005, and complemented by opportunistic records during three consecutive years. Notably, our list includes three Colombian endemics and semi-endemics: Eriocnemis derbyi (DeLattre and Bourcier, 1846), Eriocnemis mosquera (DeLattre and Bourcier, 1846) and Myioborus ornatus (Boissonneau, 1840). Three threatened species were detected: Andigena hypoglauca (Gould, 1833), Bolborhynchus ferrugineifrons (Lawrence, 1880), and Buthraupis wetmorei (Moore, 1934). Records led to altitudinal range extensions of four species: Pipreola riefferii (Boissonneau, 1840), Glaucidium jardinii (Bonaparte, 1855), Margarornis squamiger (d'Orbigny and Lafresnaye, 1838), and Pachyramphus versicolor (Hartlaub, 1843). We highlight the importance of this area for conservation plans. Bolborhynchus ferrugeneifrons (Lawrence, 1880) Amazona mercenaria (Tschudi, 1844)", "author" : [ { "dropping-particle" : "", "family" : "Arbel\u00e1ez-Cort\u00e9s", "given" : "Enrique", "non-dropping-particle" : "", "parse-names" : false, "suffix" : "" }, { "dropping-particle" : "", "family" : "Mar\u00edn-G\u00f3mez", "given" : "Oscar H.", "non-dropping-particle" : "", "parse-names" : false, "suffix" : "" }, { "dropping-particle" : "", "family" : "Baena-Tovar", "given" : "Oscar", "non-dropping-particle" : "", "parse-names" : false, "suffix" : "" }, { "dropping-particle" : "", "family" : "Ospina-Gonz\u00e1lez", "given" : "Juan C.", "non-dropping-particle" : "", "parse-names" : false, "suffix" : "" } ], "container-title" : "Check List", "id" : "ITEM-1", "issue" : "1", "issued" : { "date-parts" : [ [ "2011" ] ] }, "page" : "064-070", "title" : "Aves, Finca Estrella de Agua - P\u00e1ramo de Frontino, municipality of Salento, Quind\u00edo, Colombia", "type" : "article-journal", "volume" : "7" }, "uris" : [ "http://www.mendeley.com/documents/?uuid=8f6c8271-2d84-481b-b2ae-8ea2f8ca8052" ] }, { "id" : "ITEM-2", "itemData" : { "ISBN" : "0949-3026", "PMID" : "20023191693", "abstract" : "Polylepis forests were once regarde as a rare and special kind of vegetation of ravines, rocky slopes, and block fields in the high parts of the Andres. There is now increasing evidence that this very localized occurrence is caused by human activity, that chronic overgrazing and pasture management by burning has restricted the woody vegetation to particular habitats, and that these forests were once widespread and contiguous with lower elevation cloudforests. The human-induced vegetation changes were modest in the aird parts of the puna zone and some Polylepis patches persist remarkably well, probably because of active management by local communities. Comparison of current and modeled potential distribution of birds suggest and average reduction in species richness of 26% in the humid parts of the puna zone and 17% in montane basins of central Peru. The biologically most valuable areas are found close to ancient cultural centers in the Andes, possibly reflecting the fact that local climate is favorable for agriculture as well as for rare (relict) species of animals and plants. Because of this link, initiatives to minimize global extinction of animals and plants must include support for sustainable land use in these places, in addition to traditional conservation by formal reserving of wilderness areas with few people. New land management initiatives must provide realistic alternatives to extensive pastoralism based on regular burning, and must support reforestation by native trees.", "author" : [ { "dropping-particle" : "", "family" : "Fjelds\u00e5", "given" : "Jon", "non-dropping-particle" : "", "parse-names" : false, "suffix" : "" } ], "container-title" : "Ecotropica", "id" : "ITEM-2", "issue" : "2", "issued" : { "date-parts" : [ [ "2002" ] ] }, "page" : "111-123", "title" : "&lt;i&gt;Polylepis&lt;/i&gt; forests - vestiges of a vanishing ecosystem in the Andes", "type" : "article-journal", "volume" : "8" }, "uris" : [ "http://www.mendeley.com/documents/?uuid=b210f370-f86a-40eb-a0cf-5d07b26c09fd" ] }, { "id" : "ITEM-3", "itemData" : { "DOI" : "10.1093/icb/icj009", "ISBN" : "1540-7063 (Print)\\n1540-7063 (Linking)", "ISSN" : "1540-7063", "PMID" : "21672724", "abstract" : "Synopsis The process of diversification since the late Tertiary was studied by linking together well-resolved phylogenies and species distributions for tanagers (Aves, Thraupini). Species richness patterns reveal very high densities of range-restricted species in the Andes, and to a lesser extent in the Atlantic forests of south-eastern Brazil, and moderate densities of widespread species in the tropical lowlands. Contemporary climate explains well the variation in species richness for the 25% most widespread species; for the remaining 75% of species with more restricted distributions, variation can only be explained well from topography and landscape complexity. Phylogenetically old species are mainly found along the Andes and along the Rio coast of Brazil. Most other areas outside the Andes probably had very moderate rates of later diversification. In contrast, the humid tropical Andes region was a centre of intensive speciation throughout the evolutionary history of the group, and species richness patterns here seem largely to be driven by the rate of speciation, with further diversification from the highlands into adjacent lowlands. The diversification process in montane areas may be related to high persistence of lineages in specific areas, something that may be related to how climatic changes are moderated by local topography.", "author" : [ { "dropping-particle" : "", "family" : "Fjelds\u00e5", "given" : "J.", "non-dropping-particle" : "", "parse-names" : false, "suffix" : "" }, { "dropping-particle" : "", "family" : "Rahbek", "given" : "C.", "non-dropping-particle" : "", "parse-names" : false, "suffix" : "" } ], "container-title" : "Integrative and Comparative Biology", "id" : "ITEM-3", "issue" : "1", "issued" : { "date-parts" : [ [ "2006" ] ] }, "page" : "72-81", "title" : "Diversification of tanagers, a species rich bird group, from lowlands to montane regions of South America", "type" : "article-journal", "volume" : "46" }, "uris" : [ "http://www.mendeley.com/documents/?uuid=cd07d4b2-ea79-46f3-a74e-059f225a8a79" ] } ], "mendeley" : { "formattedCitation" : "(Arbel\u00e1ez-Cort\u00e9s, Mar\u00edn-G\u00f3mez, Baena-Tovar, &amp; Ospina-Gonz\u00e1lez, 2011; J. Fjelds\u00e5 &amp; Rahbek, 2006; Jon Fjelds\u00e5, 2002)", "manualFormatting" : "(Arbel\u00e1ez-Cort\u00e9s et al., 2011; Fjelds\u00e5 &amp; Rahbek, 2006; Fjelds\u00e5, 2002)", "plainTextFormattedCitation" : "(Arbel\u00e1ez-Cort\u00e9s, Mar\u00edn-G\u00f3mez, Baena-Tovar, &amp; Ospina-Gonz\u00e1lez, 2011; J. Fjelds\u00e5 &amp; Rahbek, 2006; Jon Fjelds\u00e5, 2002)", "previouslyFormattedCitation" : "(Arbel\u00e1ez-Cort\u00e9s, Mar\u00edn-G\u00f3mez, Baena-Tovar, &amp; Ospina-Gonz\u00e1lez, 2011; J. Fjelds\u00e5 &amp; Rahbek, 2006; Jon Fjelds\u00e5, 2002)" }, "properties" : { "noteIndex" : 0 }, "schema" : "https://github.com/citation-style-language/schema/raw/master/csl-citation.json" }</w:instrText>
      </w:r>
      <w:r w:rsidR="004255E7" w:rsidRPr="008608AA">
        <w:fldChar w:fldCharType="separate"/>
      </w:r>
      <w:r w:rsidR="004255E7" w:rsidRPr="008608AA">
        <w:rPr>
          <w:noProof/>
        </w:rPr>
        <w:t>(Arbeláez-Cortés et al., 2011; Fjeldså &amp; Rahbek, 2006; Fjeldså, 2002)</w:t>
      </w:r>
      <w:r w:rsidR="004255E7" w:rsidRPr="008608AA">
        <w:fldChar w:fldCharType="end"/>
      </w:r>
      <w:r w:rsidR="004255E7" w:rsidRPr="008608AA">
        <w:t xml:space="preserve"> and pollinating insects </w:t>
      </w:r>
      <w:r w:rsidR="004255E7" w:rsidRPr="008608AA">
        <w:fldChar w:fldCharType="begin" w:fldLock="1"/>
      </w:r>
      <w:r w:rsidR="004255E7" w:rsidRPr="008608AA">
        <w:instrText>ADDIN CSL_CITATION { "citationItems" : [ { "id" : "ITEM-1", "itemData" : { "DOI" : "10.2307/2442833", "ISBN" : "0002-9122", "ISSN" : "00029122", "abstract" : "JSTOR is a not-for-profit service that helps scholars, researchers, and students discover, use, and build upon a wide range of content in a trusted digital archive. We use information technology and tools to increase productivity and facilitate new forms of scholarship. For more information about JSTOR, please contact support@jstor.org. This content downloaded from 129.81.226.78 on Mon, 11 Jan 2016 03:51:18 UTC All use subject to JSTOR Terms and Conditions", "author" : [ { "dropping-particle" : "", "family" : "Arroyo", "given" : "Mary T Kalin", "non-dropping-particle" : "", "parse-names" : false, "suffix" : "" }, { "dropping-particle" : "", "family" : "Primack", "given" : "Richard", "non-dropping-particle" : "", "parse-names" : false, "suffix" : "" }, { "dropping-particle" : "", "family" : "Armesto", "given" : "Juan", "non-dropping-particle" : "", "parse-names" : false, "suffix" : "" } ], "container-title" : "American Journal of Botany", "id" : "ITEM-1", "issue" : "1", "issued" : { "date-parts" : [ [ "1982" ] ] }, "page" : "82-97", "title" : "Community studies in pollination ecology in the high temperate Andes of central Chile. I. Pollination mechanisms and altitudinal variation", "type" : "article-journal", "volume" : "69" }, "uris" : [ "http://www.mendeley.com/documents/?uuid=d59e1e10-5c24-3a3c-9735-e331f0d4597e" ] } ], "mendeley" : { "formattedCitation" : "(Mary T Kalin Arroyo, Primack, &amp; Armesto, 1982)", "manualFormatting" : "(Arroyo et al., 1982)", "plainTextFormattedCitation" : "(Mary T Kalin Arroyo, Primack, &amp; Armesto, 1982)", "previouslyFormattedCitation" : "(Mary T Kalin Arroyo, Primack, &amp; Armesto, 1982)" }, "properties" : { "noteIndex" : 0 }, "schema" : "https://github.com/citation-style-language/schema/raw/master/csl-citation.json" }</w:instrText>
      </w:r>
      <w:r w:rsidR="004255E7" w:rsidRPr="008608AA">
        <w:fldChar w:fldCharType="separate"/>
      </w:r>
      <w:r w:rsidR="004255E7" w:rsidRPr="008608AA">
        <w:rPr>
          <w:noProof/>
        </w:rPr>
        <w:t>(Arroyo et al., 1982)</w:t>
      </w:r>
      <w:r w:rsidR="004255E7" w:rsidRPr="008608AA">
        <w:fldChar w:fldCharType="end"/>
      </w:r>
      <w:r w:rsidR="004255E7" w:rsidRPr="008608AA">
        <w:t xml:space="preserve">. Puna lakes supports 58 species of native fishes </w:t>
      </w:r>
      <w:r w:rsidR="004255E7" w:rsidRPr="008608AA">
        <w:fldChar w:fldCharType="begin" w:fldLock="1"/>
      </w:r>
      <w:r w:rsidR="004255E7" w:rsidRPr="008608AA">
        <w:instrText>ADDIN CSL_CITATION { "citationItems" : [ { "id" : "ITEM-1", "itemData" : { "DOI" : "10.1080/14634980701351395", "ISBN" : "1463-4988", "ISSN" : "14634988", "abstract" : "Fisheries of the Altiplano, dating from 1500 to 2000 BC, are active in the Andean inter-montane plateau that extends from Ancash, Peru, to Antofagasta, Chile, at altitudes above 3600 m. The ancient and remote nature of these systems has merited the inclusion of many areas as National Parks and RAMSAR sites. Among 58 native fish species, 45 belong to the killifish complex Orestias and the rest to the catfish complex Trichomycterus. The main fishery resources consist of \"ispi\", Orestias ispi, with 32 175 (64.5%) metric tons and \"karachi\", Orestias of the group agassii, with 455 metric tons (0.9%). The introduced fishes \"silversides\", Odontesthes bonariensis, and \"trouts\", Oncorhynchus mykiss, contribute 16 900 metric tons (33.9%) and 324 metric tons (0.7%) respectively. Hydro-acoustic evaluations show a permanent diminution of the endemic Orestias. Lake species such as O. pentlandii \"boga\" and O. cuvieri \"humanto\" were important for their biogeographic relationships and were highly endemic. Native fishes are nowadays threatened by the salmonids, Oncorhynchus mykiss, Salvelinus namaycush, Salvelinus fontinalis and Salmo trutta, introduced since 1939. Later the silverside Odontesthes bonariensis was introduced during 1955-1956", "author" : [ { "dropping-particle" : "", "family" : "Vila", "given" : "Irma", "non-dropping-particle" : "", "parse-names" : false, "suffix" : "" }, { "dropping-particle" : "", "family" : "Pardo", "given" : "Rodrigo", "non-dropping-particle" : "", "parse-names" : false, "suffix" : "" }, { "dropping-particle" : "", "family" : "Scott", "given" : "Sergio", "non-dropping-particle" : "", "parse-names" : false, "suffix" : "" } ], "container-title" : "Aquatic Ecosystem Health &amp; Management", "id" : "ITEM-1", "issue" : "2", "issued" : { "date-parts" : [ [ "2007" ] ] }, "page" : "201-211", "title" : "Freshwater fishes of the Altiplano", "type" : "article-journal", "volume" : "10" }, "uris" : [ "http://www.mendeley.com/documents/?uuid=1987d7c7-2a08-335f-b3d5-58c67b78ff64" ] } ], "mendeley" : { "formattedCitation" : "(Vila, Pardo, &amp; Scott, 2007)", "manualFormatting" : "(Vila et al., 2007)", "plainTextFormattedCitation" : "(Vila, Pardo, &amp; Scott, 2007)", "previouslyFormattedCitation" : "(Vila, Pardo, &amp; Scott, 2007)" }, "properties" : { "noteIndex" : 0 }, "schema" : "https://github.com/citation-style-language/schema/raw/master/csl-citation.json" }</w:instrText>
      </w:r>
      <w:r w:rsidR="004255E7" w:rsidRPr="008608AA">
        <w:fldChar w:fldCharType="separate"/>
      </w:r>
      <w:r w:rsidR="004255E7" w:rsidRPr="008608AA">
        <w:rPr>
          <w:noProof/>
        </w:rPr>
        <w:t>(Vila et al., 2007)</w:t>
      </w:r>
      <w:r w:rsidR="004255E7" w:rsidRPr="008608AA">
        <w:fldChar w:fldCharType="end"/>
      </w:r>
      <w:r w:rsidR="004255E7" w:rsidRPr="008608AA">
        <w:t xml:space="preserve">, diverse waterfowl </w:t>
      </w:r>
      <w:r w:rsidR="004255E7" w:rsidRPr="008608AA">
        <w:fldChar w:fldCharType="begin" w:fldLock="1"/>
      </w:r>
      <w:r w:rsidR="004255E7" w:rsidRPr="008608AA">
        <w:instrText>ADDIN CSL_CITATION { "citationItems" : [ { "id" : "ITEM-1", "itemData" : { "DOI" : "10.1007/BF02393729", "ISSN" : "0364152X", "abstract" : "A method for the identification, mapping and evaluation of integrated environmental units is described. This method is applied to the assessment and zoning of a biosphere reserve, in order to establish guidelines for the distribution of conservation and management actions. The method, based on the definition of units according to observable features, enables the diagnosis of qualities of interest for planning and management, with results that can be reproduced by different operators, if certain initial criteria are accepted. Using these criteria, initial descriptive maps can be transformed into prescriptive maps which provide the basis for management decisions. The nature and distribution of the units present in the area is shown. The allocation of land-use activities obtained using the criteria indicated above provides the basis for economic assessment of development plans. A series of conservation and development actions are proposed for the reserve.", "author" : [ { "dropping-particle" : "", "family" : "Cendrero", "given" : "Antonio", "non-dropping-particle" : "", "parse-names" : false, "suffix" : "" }, { "dropping-particle" : "de", "family" : "Ter\u00e1n", "given" : "D\u00edaz", "non-dropping-particle" : "", "parse-names" : false, "suffix" : "" }, { "dropping-particle" : "", "family" : "Ram\u00f3n", "given" : "Jos\u00e9", "non-dropping-particle" : "", "parse-names" : false, "suffix" : "" }, { "dropping-particle" : "", "family" : "Gonz\u00e1lez", "given" : "Daniel", "non-dropping-particle" : "", "parse-names" : false, "suffix" : "" }, { "dropping-particle" : "", "family" : "Mascitti", "given" : "Virginia", "non-dropping-particle" : "", "parse-names" : false, "suffix" : "" }, { "dropping-particle" : "", "family" : "Rotondaro", "given" : "Rodolfo", "non-dropping-particle" : "", "parse-names" : false, "suffix" : "" }, { "dropping-particle" : "", "family" : "Tecchi", "given" : "Rodolfo", "non-dropping-particle" : "", "parse-names" : false, "suffix" : "" } ], "container-title" : "Environmental Management", "id" : "ITEM-1", "issue" : "5", "issued" : { "date-parts" : [ [ "1993" ] ] }, "page" : "683-703", "title" : "Environmental diagnosis for planning and management in the high Andean region: The biosphere reserve of Pozuelos, Argentina", "type" : "article-journal", "volume" : "17" }, "uris" : [ "http://www.mendeley.com/documents/?uuid=e957b9e3-9e8b-3a5b-82fb-efe148fc59de" ] } ], "mendeley" : { "formattedCitation" : "(Cendrero et al., 1993)", "plainTextFormattedCitation" : "(Cendrero et al., 1993)", "previouslyFormattedCitation" : "(Cendrero et al., 1993)" }, "properties" : { "noteIndex" : 0 }, "schema" : "https://github.com/citation-style-language/schema/raw/master/csl-citation.json" }</w:instrText>
      </w:r>
      <w:r w:rsidR="004255E7" w:rsidRPr="008608AA">
        <w:fldChar w:fldCharType="separate"/>
      </w:r>
      <w:r w:rsidR="004255E7" w:rsidRPr="008608AA">
        <w:rPr>
          <w:noProof/>
        </w:rPr>
        <w:t>(Cendrero et al., 1993)</w:t>
      </w:r>
      <w:r w:rsidR="004255E7" w:rsidRPr="008608AA">
        <w:fldChar w:fldCharType="end"/>
      </w:r>
      <w:r w:rsidR="004255E7" w:rsidRPr="008608AA">
        <w:t xml:space="preserve">, and rich assemblages of gastropods </w:t>
      </w:r>
      <w:r w:rsidR="004255E7" w:rsidRPr="008608AA">
        <w:fldChar w:fldCharType="begin" w:fldLock="1"/>
      </w:r>
      <w:r w:rsidR="004255E7" w:rsidRPr="008608AA">
        <w:instrText>ADDIN CSL_CITATION { "citationItems" : [ { "id" : "ITEM-1", "itemData" : { "DOI" : "10.1002/ece3.280", "ISBN" : "2045-7758", "ISSN" : "20457758", "PMID" : "22957159", "abstract" : "Lake Titicaca, situated in the Altiplano high plateau, is the only ancient lake in South America. This 2- to 3-My-old (where My is million years) water body has had a complex history that included at least five major hydrological phases during the Pleistocene. It is generally assumed that these physical events helped shape the evolutionary history of the lake's biota. Herein, we study an endemic species assemblage in Lake Titicaca, composed of members of the microgastropod genus Heleobia, to determine whether the lake has functioned as a reservoir of relic species or the site of local diversification, to evaluate congruence of the regional paleohydrology and the evolutionary history of this assemblage, and to assess whether the geographic distributions of endemic lineages are hierarchical. Our phylogenetic analyses indicate that the Titicaca/Altiplano Heleobia fauna (together with few extralimital taxa) forms a species flock. A molecular clock analysis suggests that the most recent common ancestor (MRCAs) of the Altiplano taxa evolved 0.53 (0.28-0.80) My ago and the MRCAs of the Altiplano taxa and their extralimital sister group 0.92 (0.46-1.52) My ago. The endemic species of Lake Titicaca are younger than the lake itself, implying primarily intralacustrine speciation. Moreover, the timing of evolutionary branching events and the ages of two precursors of Lake Titicaca, lakes Cabana and Ballivi\u00e1n, is congruent. Although Lake Titicaca appears to have been the principal site of speciation for the regional Heleobia fauna, the contemporary spatial patterns of endemism have been masked by immigration and/or emigration events of local riverine taxa, which we attribute to the unstable hydrographic history of the Altiplano. Thus, a hierarchical distribution of endemism is not evident, but instead there is a single genetic break between two regional clades. We also discuss our findings in relation to studies of other regional biota and suggest that salinity tolerance was the most likely limiting factor in the evolution of Altiplano species flocks.", "author" : [ { "dropping-particle" : "", "family" : "Kroll", "given" : "Oliver", "non-dropping-particle" : "", "parse-names" : false, "suffix" : "" }, { "dropping-particle" : "", "family" : "Hershler", "given" : "Robert", "non-dropping-particle" : "", "parse-names" : false, "suffix" : "" }, { "dropping-particle" : "", "family" : "Albrecht", "given" : "Christian", "non-dropping-particle" : "", "parse-names" : false, "suffix" : "" }, { "dropping-particle" : "", "family" : "Terrazas", "given" : "Edmundo M.", "non-dropping-particle" : "", "parse-names" : false, "suffix" : "" }, { "dropping-particle" : "", "family" : "Apaza", "given" : "Roberto", "non-dropping-particle" : "", "parse-names" : false, "suffix" : "" }, { "dropping-particle" : "", "family" : "Fuentealba", "given" : "Carmen", "non-dropping-particle" : "", "parse-names" : false, "suffix" : "" }, { "dropping-particle" : "", "family" : "Wolff", "given" : "Christian", "non-dropping-particle" : "", "parse-names" : false, "suffix" : "" }, { "dropping-particle" : "", "family" : "Wilke", "given" : "Thomas", "non-dropping-particle" : "", "parse-names" : false, "suffix" : "" } ], "container-title" : "Ecology and Evolution", "id" : "ITEM-1", "issue" : "7", "issued" : { "date-parts" : [ [ "2012" ] ] }, "page" : "1517-1530", "title" : "The endemic gastropod fauna of Lake Titicaca: correlation between molecular evolution and hydrographic history", "type" : "article-journal", "volume" : "2" }, "uris" : [ "http://www.mendeley.com/documents/?uuid=3e8d4fb7-e56d-40a6-abdb-61cc88c87ea4" ] } ], "mendeley" : { "formattedCitation" : "(Kroll et al., 2012)", "plainTextFormattedCitation" : "(Kroll et al., 2012)", "previouslyFormattedCitation" : "(Kroll et al., 2012)" }, "properties" : { "noteIndex" : 0 }, "schema" : "https://github.com/citation-style-language/schema/raw/master/csl-citation.json" }</w:instrText>
      </w:r>
      <w:r w:rsidR="004255E7" w:rsidRPr="008608AA">
        <w:fldChar w:fldCharType="separate"/>
      </w:r>
      <w:r w:rsidR="004255E7" w:rsidRPr="008608AA">
        <w:rPr>
          <w:noProof/>
        </w:rPr>
        <w:t>(Kroll et al., 2012)</w:t>
      </w:r>
      <w:r w:rsidR="004255E7" w:rsidRPr="008608AA">
        <w:fldChar w:fldCharType="end"/>
      </w:r>
      <w:r w:rsidR="004255E7" w:rsidRPr="008608AA">
        <w:t xml:space="preserve">, while hot springs and periglacial soils fascinating assemblages of microorganisms </w:t>
      </w:r>
      <w:r w:rsidR="004255E7" w:rsidRPr="008608AA">
        <w:fldChar w:fldCharType="begin" w:fldLock="1"/>
      </w:r>
      <w:r w:rsidR="004255E7" w:rsidRPr="008608AA">
        <w:instrText>ADDIN CSL_CITATION { "citationItems" : [ { "id" : "ITEM-1", "itemData" : { "DOI" : "10.1128/AEM.01469-08", "ISBN" : "0099-2240", "ISSN" : "00992240", "PMID" : "19074608", "abstract" : "Fumarolic activity supports the growth of mat-like photoautotrophic communities near the summit (at 6,051 m) of Socompa Volcano in the arid core of the Andes mountains. These communities are isolated within a barren, high-elevation landscape where sparse vascular plants extend to only 4,600 m. Here, we combine biogeochemical and molecular-phylogenetic approaches to characterize the bacterial and eucaryotic assemblages associated with fumarolic and nonfumarolic grounds on Socompa. Small-subunit rRNA genes were PCR amplified, cloned, and sequenced from two fumarolic soil samples and two reference soil samples, including the volcanic debris that covers most of the mountain. The nonfumarolic, dry, volcanic soil was similar in nutrient status to the most extreme Antarctic Dry Valley or Atacama Desert soils, hosted relatively limited microbial communities dominated by Actinobacteria and Fungi, and contained no photoautotrophs. In contrast, modest fumarolic inputs were associated with elevated soil moisture and nutrient levels, the presence of chlorophyll a, and (13)C-rich soil organic carbon. Moreover, this soil hosted diverse photoautotroph-dominated assemblages that contained novel lineages and exhibited structure and composition comparable to those of a wetland near the base of Socompa (3,661-m elevation). Fumarole-associated eucaryotes were particularly diverse, with an abundance of green algal lineages and a novel clade of microarthropods. Our data suggest that volcanic degassing of water and (13)C-rich CO(2) sustains fumarole-associated primary producers, leading to a complex microbial ecosystem within this otherwise barren landscape. Finally, we found that human activities have likely impacted the fumarolic soils and that fumarole-supported photoautotrophic communities may be exceptionally sensitive to anthropogenic disturbance.", "author" : [ { "dropping-particle" : "", "family" : "Costello", "given" : "Elizabeth K.", "non-dropping-particle" : "", "parse-names" : false, "suffix" : "" }, { "dropping-particle" : "", "family" : "Halloy", "given" : "Stephan R.P.", "non-dropping-particle" : "", "parse-names" : false, "suffix" : "" }, { "dropping-particle" : "", "family" : "Reed", "given" : "Sasha C.", "non-dropping-particle" : "", "parse-names" : false, "suffix" : "" }, { "dropping-particle" : "", "family" : "Sowell", "given" : "Preston", "non-dropping-particle" : "", "parse-names" : false, "suffix" : "" }, { "dropping-particle" : "", "family" : "Schmidt", "given" : "Steven K.", "non-dropping-particle" : "", "parse-names" : false, "suffix" : "" } ], "container-title" : "Applied and Environmental Microbiology", "id" : "ITEM-1", "issue" : "3", "issued" : { "date-parts" : [ [ "2009" ] ] }, "page" : "735-747", "title" : "Fumarole-supported islands of biodiversity within a hyperarid, high-elevation landscape on Socompa volcano, Puna de Atacama, Andes", "type" : "article-journal", "volume" : "75" }, "uris" : [ "http://www.mendeley.com/documents/?uuid=84ac0956-abbc-4d61-823e-373d9ebe44e8" ] }, { "id" : "ITEM-2", "itemData" : { "DOI" : "10.1007/s00792-009-0268-9", "ISBN" : "1431-0651", "ISSN" : "14334909", "PMID" : "19597697", "abstract" : "High-elevation periglacial soils are among the most extreme soil systems on Earth and may be good analogs for the polar regions of Mars where oligotrophic mineral soils abut with polar ice caps. Here we report on preliminary studies carried out during an expedition to an area where recent glacial retreat has exposed porous mineral soils to extreme, daily freeze-thaw cycles and high UV fluxes. We used in situ methods to show that inorganic nitrogen (NO(3) (-) and NH(4) (+)) was being actively cycled even during a period when diurnal soil temperatures (5 cm depth) ranged from -12 to 27 degrees C and when sub-zero, soil cooling rates reached 1.8 degrees C h(-1) (the most rapid soil cooling rates recorded to date). Furthermore, phylogenetic analyses of microbial phylotypes present at our highest sites (5410 m above sea level) showed the presence of nitrifying bacteria of the genus Nitrospira and newly discovered nitrite-oxidizing Betaproteobacteria. These soils were overwhelmingly dominated (&gt;70% of phylotypes) by photosynthetic bacteria that were related to novel cyanobacteria previously found almost exclusively in other plant-free, high-elevation soils. We also demonstrated that soils from our highest sites had higher potential for mineralizing glutamate and higher microbial biomass than lower elevation soils that had been more recently covered by ice. Overall, our findings indicate that a diverse and robustly functioning microbial ecosystem is present in these previously unstudied high-elevation soils.", "author" : [ { "dropping-particle" : "", "family" : "Schmidt", "given" : "S. K.", "non-dropping-particle" : "", "parse-names" : false, "suffix" : "" }, { "dropping-particle" : "", "family" : "Nemergut", "given" : "D. R.", "non-dropping-particle" : "", "parse-names" : false, "suffix" : "" }, { "dropping-particle" : "", "family" : "Miller", "given" : "A. E.", "non-dropping-particle" : "", "parse-names" : false, "suffix" : "" }, { "dropping-particle" : "", "family" : "Freeman", "given" : "K. R.", "non-dropping-particle" : "", "parse-names" : false, "suffix" : "" }, { "dropping-particle" : "", "family" : "King", "given" : "A. J.", "non-dropping-particle" : "", "parse-names" : false, "suffix" : "" }, { "dropping-particle" : "", "family" : "Seimon", "given" : "A.", "non-dropping-particle" : "", "parse-names" : false, "suffix" : "" } ], "container-title" : "Extremophiles: Microbial Life under Extreme Conditions", "id" : "ITEM-2", "issue" : "5", "issued" : { "date-parts" : [ [ "2009" ] ] }, "page" : "807-816", "title" : "Microbial activity and diversity during extreme freeze-thaw cycles in periglacial soils, 5400 m elevation, Cordillera Vilcanota, Per\u00fa", "type" : "article-journal", "volume" : "13" }, "uris" : [ "http://www.mendeley.com/documents/?uuid=4729ea82-6938-312a-a85b-4fa41a9ee19a" ] } ], "mendeley" : { "formattedCitation" : "(E. K. Costello, Halloy, Reed, Sowell, &amp; Schmidt, 2009; Schmidt et al., 2009)", "manualFormatting" : "(Costello et al., 2009; Schmidt et al., 2009)", "plainTextFormattedCitation" : "(E. K. Costello, Halloy, Reed, Sowell, &amp; Schmidt, 2009; Schmidt et al., 2009)", "previouslyFormattedCitation" : "(E. K. Costello, Halloy, Reed, Sowell, &amp; Schmidt, 2009; Schmidt et al., 2009)" }, "properties" : { "noteIndex" : 0 }, "schema" : "https://github.com/citation-style-language/schema/raw/master/csl-citation.json" }</w:instrText>
      </w:r>
      <w:r w:rsidR="004255E7" w:rsidRPr="008608AA">
        <w:fldChar w:fldCharType="separate"/>
      </w:r>
      <w:r w:rsidR="004255E7" w:rsidRPr="008608AA">
        <w:rPr>
          <w:noProof/>
        </w:rPr>
        <w:t>(Costello et al., 2009; Schmidt et al., 2009)</w:t>
      </w:r>
      <w:r w:rsidR="004255E7" w:rsidRPr="008608AA">
        <w:fldChar w:fldCharType="end"/>
      </w:r>
      <w:r w:rsidR="004255E7" w:rsidRPr="008608AA">
        <w:t>.</w:t>
      </w:r>
    </w:p>
    <w:p w14:paraId="130017A8" w14:textId="77777777" w:rsidR="001C5394" w:rsidRPr="008608AA" w:rsidRDefault="004255E7" w:rsidP="0063629E">
      <w:pPr>
        <w:widowControl w:val="0"/>
        <w:autoSpaceDE w:val="0"/>
        <w:autoSpaceDN w:val="0"/>
        <w:adjustRightInd w:val="0"/>
        <w:spacing w:after="120"/>
        <w:rPr>
          <w:b/>
          <w:color w:val="000000" w:themeColor="text1"/>
        </w:rPr>
      </w:pPr>
      <w:r w:rsidRPr="008608AA">
        <w:t xml:space="preserve">Species-level endemism and turnover in the high tropical Andes can be very high </w:t>
      </w:r>
      <w:r w:rsidRPr="008608AA">
        <w:fldChar w:fldCharType="begin" w:fldLock="1"/>
      </w:r>
      <w:r w:rsidRPr="008608AA">
        <w:instrText>ADDIN CSL_CITATION { "citationItems" : [ { "id" : "ITEM-1", "itemData" : { "DOI" : "10.1016/j.flora.2013.11.006", "ISSN" : "03672530", "abstract" : "P\u00e1ramo is the neotropical high elevation ecosystem in the northern Andes and Central America consisting of multiple dissected open areas above 3000. m a.s.l. Complex evolutionary processes that occurred within these ecosystems gave rise to a unique tropical Andean flora. Previous phytogeographical classifications for Colombian p\u00e1ramos have been based on subjective assessments of species distributions. However, a detailed floristic analysis highlighting affinities between p\u00e1ramo regions in Colombia has not yet been proposed. The aim of this study is to provide an analytical scenario for the patterns of regional plant diversity in a hierarchical framework based on the biogeographical history of the p\u00e1ramos, based on 30 localities of the Colombian p\u00e1ramos. Parsimony analysis of endemicity (PAE) and Jaccard similarity indices were applied to a presence/absence data matrix of p\u00e1ramo angiosperm species. Altitudinal distribution of species was used to determine the percentage of the p\u00e1ramo flora endemic to this ecosystem. Genera are shared among p\u00e1ramos, whereas species composition is highly endemic. 86% of the p\u00e1ramo angiosperm plant species is endemic to this ecosystem. The Colombian P\u00e1ramo areas can be grouped using PAE into five biogeographical units, based on angiosperm species composition. These are: (1) P\u00e1ramos de la Cordillera Oriental; (2) P\u00e1ramos de la Cordillera Central and Macizo Colombiano; (3) P\u00e1ramos de Antioquia; (4) P\u00e1ramos del Norte; (5) P\u00e1ramos de la Cordillera Occidental. \u00a9 2014 Elsevier GmbH.", "author" : [ { "dropping-particle" : "", "family" : "Londo\u00f1o", "given" : "Camilo", "non-dropping-particle" : "", "parse-names" : false, "suffix" : "" }, { "dropping-particle" : "", "family" : "Cleef", "given" : "Antoine", "non-dropping-particle" : "", "parse-names" : false, "suffix" : "" }, { "dropping-particle" : "", "family" : "Madri\u00f1\u00e1n", "given" : "Santiago", "non-dropping-particle" : "", "parse-names" : false, "suffix" : "" } ], "container-title" : "Flora: Morphology, Distribution, Functional Ecology of Plants", "id" : "ITEM-1", "issue" : "2", "issued" : { "date-parts" : [ [ "2014" ] ] }, "page" : "81-87", "title" : "Angiosperm flora and biogeography of the p\u00e1ramo region of Colombia, Northern Andes", "type" : "article-journal", "volume" : "209" }, "uris" : [ "http://www.mendeley.com/documents/?uuid=2bcbbae9-ec74-45b6-9668-66c58a3449c9" ] }, { "id" : "ITEM-2", "itemData" : { "DOI" : "10.1111/jbi.12212", "ISBN" : "1365-2699", "ISSN" : "03050270", "abstract" : "ABSTRACT Aim We analysed the effects of alpine area, geographical distance between mountains and isolation due to topography on mountain plant species rich- ness, regional species turnover and patterns of species distribution. Location Equatorial mountains of East Africa, South America and New Gui- nea. Methods We collated lists of alpine species and estimated the extent of alpine area for seven mountains in each geographical region to construct species\u2013area curves. We tested the observed frequency distribution of species among moun- tains against the expected distribution (assuming random dispersal) by means of a log-likelihood test. We compared species turnover among mountains using species accumulation curves. We expressed floristic similarity between moun- tain pairs as chi-square distance between observed and expected numbers of shared species and tested its correlation with geographical distance using the Mantel test. Results Samples of East African, South American and New Guinean alpine floras contained 371, 489 and 279 species, respectively. Andean genera tended to be more species rich than genera in the other regions. Species richness of the mountains correlated with log-transformed area except in East Africa. Spe- cies distributions among mountains significantly deviated from random in all regions. Species turnover was lowest among East African sites and highest among South American sites, and the slopes of the cumulative species\u2013area relationship were significantly different. Floristic similarity between mountains significantly declined with log(distance) in all regions, and the slope of the relationship was steepest in South America. Main conclusions The flora of the Andean p? aramo is confirmed to be the most species rich of the tropical alpine regions. P? aramo genera tend to be richer in species than afroalpine and tropicalpine Asian genera. There is higher species turnover in the Andes and the floras of individual mountains are there- fore quite distinct. In contrast, the floras of the East African mountains are more uniform and possess a relatively large number of widespread species.", "author" : [ { "dropping-particle" : "", "family" : "Sklen\u00e1\u0159", "given" : "Petr", "non-dropping-particle" : "", "parse-names" : false, "suffix" : "" }, { "dropping-particle" : "", "family" : "Hedberg", "given" : "Inga", "non-dropping-particle" : "", "parse-names" : false, "suffix" : "" }, { "dropping-particle" : "", "family" : "Cleef", "given" : "Antoine M.", "non-dropping-particle" : "", "parse-names" : false, "suffix" : "" } ], "container-title" : "Journal of Biogeography", "id" : "ITEM-2", "issue" : "2", "issued" : { "date-parts" : [ [ "2014" ] ] }, "page" : "287-297", "title" : "Island biogeography of tropical alpine floras", "type" : "article-journal", "volume" : "41" }, "uris" : [ "http://www.mendeley.com/documents/?uuid=587c67eb-2dfb-3223-8063-fa3ea28c19fe" ] } ], "mendeley" : { "formattedCitation" : "(Londo\u00f1o, Cleef, &amp; Madri\u00f1\u00e1n, 2014; Sklen\u00e1\u0159 et al., 2014)", "manualFormatting" : "(Londo\u00f1o et al., 2014; Sklen\u00e1\u0159 et al., 2014)", "plainTextFormattedCitation" : "(Londo\u00f1o, Cleef, &amp; Madri\u00f1\u00e1n, 2014; Sklen\u00e1\u0159 et al., 2014)", "previouslyFormattedCitation" : "(Londo\u00f1o, Cleef, &amp; Madri\u00f1\u00e1n, 2014; Sklen\u00e1\u0159 et al., 2014)" }, "properties" : { "noteIndex" : 0 }, "schema" : "https://github.com/citation-style-language/schema/raw/master/csl-citation.json" }</w:instrText>
      </w:r>
      <w:r w:rsidRPr="008608AA">
        <w:fldChar w:fldCharType="separate"/>
      </w:r>
      <w:r w:rsidRPr="008608AA">
        <w:rPr>
          <w:noProof/>
        </w:rPr>
        <w:t>(Londoño et al., 2014; Sklenář et al., 2014)</w:t>
      </w:r>
      <w:r w:rsidRPr="008608AA">
        <w:fldChar w:fldCharType="end"/>
      </w:r>
      <w:r w:rsidRPr="008608AA">
        <w:t xml:space="preserve">. Mountain-top vegetation is richer in plant genera and species in páramo compared to puna </w:t>
      </w:r>
      <w:r w:rsidRPr="008608AA">
        <w:fldChar w:fldCharType="begin" w:fldLock="1"/>
      </w:r>
      <w:r w:rsidRPr="008608AA">
        <w:instrText>ADDIN CSL_CITATION { "citationItems" : [ { "id" : "ITEM-1", "itemData" : { "DOI" : "10.1111/ecog.02567", "ISBN" : "6503251521", "ISSN" : "16000587", "abstract" : "See, stats, and: https://www.researchgate.net/publication/309885978 Latitudinal community across Article DOI: 10.1111/ecog.02567 CITATIONS 3 READS 766 24 , including: Some : Vertical . View project Vulnerability : an' ecological niche Francisco Consorcio 52 SEE Natalia Universidad (UNL) 4 SEE William . Gosling University 80 , 147 SEE All . The .", "author" : [ { "dropping-particle" : "", "family" : "Cuesta", "given" : "Francisco", "non-dropping-particle" : "", "parse-names" : false, "suffix" : "" }, { "dropping-particle" : "", "family" : "Muriel", "given" : "Priscilla", "non-dropping-particle" : "", "parse-names" : false, "suffix" : "" }, { "dropping-particle" : "", "family" : "Llamb\u00ed", "given" : "Luis Daniel", "non-dropping-particle" : "", "parse-names" : false, "suffix" : "" }, { "dropping-particle" : "", "family" : "Halloy", "given" : "Stephan", "non-dropping-particle" : "", "parse-names" : false, "suffix" : "" }, { "dropping-particle" : "", "family" : "Aguirre", "given" : "Nikolay", "non-dropping-particle" : "", "parse-names" : false, "suffix" : "" }, { "dropping-particle" : "", "family" : "Beck", "given" : "Stephan", "non-dropping-particle" : "", "parse-names" : false, "suffix" : "" }, { "dropping-particle" : "", "family" : "Carilla", "given" : "Julieta", "non-dropping-particle" : "", "parse-names" : false, "suffix" : "" }, { "dropping-particle" : "", "family" : "Meneses", "given" : "Rosa Isela", "non-dropping-particle" : "", "parse-names" : false, "suffix" : "" }, { "dropping-particle" : "", "family" : "Cuello", "given" : "Soledad", "non-dropping-particle" : "", "parse-names" : false, "suffix" : "" }, { "dropping-particle" : "", "family" : "Grau", "given" : "Alfredo", "non-dropping-particle" : "", "parse-names" : false, "suffix" : "" }, { "dropping-particle" : "", "family" : "G\u00e1mez", "given" : "Luis E.", "non-dropping-particle" : "", "parse-names" : false, "suffix" : "" }, { "dropping-particle" : "", "family" : "Iraz\u00e1bal", "given" : "Javier", "non-dropping-particle" : "", "parse-names" : false, "suffix" : "" }, { "dropping-particle" : "", "family" : "J\u00e1come", "given" : "Jorge", "non-dropping-particle" : "", "parse-names" : false, "suffix" : "" }, { "dropping-particle" : "", "family" : "Jaramillo", "given" : "Ricardo", "non-dropping-particle" : "", "parse-names" : false, "suffix" : "" }, { "dropping-particle" : "", "family" : "Ram\u00edrez", "given" : "Lirey", "non-dropping-particle" : "", "parse-names" : false, "suffix" : "" }, { "dropping-particle" : "", "family" : "Samaniego", "given" : "Natalia", "non-dropping-particle" : "", "parse-names" : false, "suffix" : "" }, { "dropping-particle" : "", "family" : "Su\u00e1rez-Duque", "given" : "David", "non-dropping-particle" : "", "parse-names" : false, "suffix" : "" }, { "dropping-particle" : "", "family" : "Thompson", "given" : "Natali", "non-dropping-particle" : "", "parse-names" : false, "suffix" : "" }, { "dropping-particle" : "", "family" : "Tupayachi", "given" : "Alfredo", "non-dropping-particle" : "", "parse-names" : false, "suffix" : "" }, { "dropping-particle" : "", "family" : "Vi\u00f1as", "given" : "Paul", "non-dropping-particle" : "", "parse-names" : false, "suffix" : "" }, { "dropping-particle" : "", "family" : "Yager", "given" : "Karina", "non-dropping-particle" : "", "parse-names" : false, "suffix" : "" }, { "dropping-particle" : "", "family" : "Becerra", "given" : "Mar\u00eda T.", "non-dropping-particle" : "", "parse-names" : false, "suffix" : "" }, { "dropping-particle" : "", "family" : "Pauli", "given" : "Harald", "non-dropping-particle" : "", "parse-names" : false, "suffix" : "" }, { "dropping-particle" : "", "family" : "Gosling", "given" : "William D.", "non-dropping-particle" : "", "parse-names" : false, "suffix" : "" } ], "container-title" : "Ecography", "id" : "ITEM-1", "issue" : "12", "issued" : { "date-parts" : [ [ "2017", "2" ] ] }, "page" : "1381-1394", "publisher" : "Blackwell Publishing Ltd", "title" : "Latitudinal and altitudinal patterns of plant community diversity on mountain summits across the tropical Andes", "type" : "article-journal", "volume" : "40" }, "uris" : [ "http://www.mendeley.com/documents/?uuid=9e104e10-fb41-31a8-9a48-77e66fe7c0b0" ] } ], "mendeley" : { "formattedCitation" : "(Cuesta et al., 2017)", "plainTextFormattedCitation" : "(Cuesta et al., 2017)", "previouslyFormattedCitation" : "(Cuesta et al., 2017)" }, "properties" : { "noteIndex" : 0 }, "schema" : "https://github.com/citation-style-language/schema/raw/master/csl-citation.json" }</w:instrText>
      </w:r>
      <w:r w:rsidRPr="008608AA">
        <w:fldChar w:fldCharType="separate"/>
      </w:r>
      <w:r w:rsidRPr="008608AA">
        <w:rPr>
          <w:noProof/>
        </w:rPr>
        <w:t>(Cuesta et al., 2017)</w:t>
      </w:r>
      <w:r w:rsidRPr="008608AA">
        <w:fldChar w:fldCharType="end"/>
      </w:r>
      <w:r w:rsidRPr="008608AA">
        <w:t xml:space="preserve"> but the puna and southern Andean steppe house more endemic genera than páramo </w:t>
      </w:r>
      <w:r w:rsidRPr="008608AA">
        <w:fldChar w:fldCharType="begin" w:fldLock="1"/>
      </w:r>
      <w:r w:rsidRPr="008608AA">
        <w:instrText>ADDIN CSL_CITATION { "citationItems" : [ { "id" : "ITEM-1", "itemData" : { "DOI" : "10.1016/B978-0-12-384719-5.00428-7", "ISBN" : "978-0-12-384720-1", "ISSN" : "1526-4564", "PMID" : "23609146", "abstract" : "High-elevation habitats of the South American Andes extend from 11\u00b0 N to 56\u00b0 S. These geologically young habitats bear a rich vascular flora, which can be accompanied by abundant mosses, lichens, and hepatics in p\u00e1ramo. The vascular flora contains many, and often monotypic endemic genera. Highest species richness is found in p\u00e1ramo, followed by puna and southern Andean steppe. The high elevation flora has been assembled from numerous sources, and has involved long-distance dispersal, and upward and north\u2013south migration of clades. P\u00e1ramo, puna, and southern Andean steppe are overviewed. Some critical needs for future biodiversity research are outlined.", "author" : [ { "dropping-particle" : "", "family" : "Arroyo", "given" : "Mary T.K.", "non-dropping-particle" : "", "parse-names" : false, "suffix" : "" }, { "dropping-particle" : "", "family" : "Cavieres", "given" : "Lohengrin A", "non-dropping-particle" : "", "parse-names" : false, "suffix" : "" } ], "container-title" : "Encyclopedia of Biodiversity", "editor" : [ { "dropping-particle" : "", "family" : "Levin", "given" : "S.", "non-dropping-particle" : "", "parse-names" : false, "suffix" : "" } ], "id" : "ITEM-1", "issued" : { "date-parts" : [ [ "2013" ] ] }, "page" : "96-110", "publisher" : "Elsevier Science and Technology", "publisher-place" : "New Jersey, USA", "title" : "High-elevation Andean ecosystems", "type" : "chapter" }, "uris" : [ "http://www.mendeley.com/documents/?uuid=1f72d92f-4a15-3d27-a959-5f4c2fe98cdb" ] } ], "mendeley" : { "formattedCitation" : "(Mary T.K. Arroyo &amp; Cavieres, 2013)", "manualFormatting" : "(Arroyo &amp; Cavieres, 2013)", "plainTextFormattedCitation" : "(Mary T.K. Arroyo &amp; Cavieres, 2013)", "previouslyFormattedCitation" : "(Mary T.K. Arroyo &amp; Cavieres, 2013)" }, "properties" : { "noteIndex" : 0 }, "schema" : "https://github.com/citation-style-language/schema/raw/master/csl-citation.json" }</w:instrText>
      </w:r>
      <w:r w:rsidRPr="008608AA">
        <w:fldChar w:fldCharType="separate"/>
      </w:r>
      <w:r w:rsidRPr="008608AA">
        <w:rPr>
          <w:noProof/>
        </w:rPr>
        <w:t>(Arroyo &amp; Cavieres, 2013)</w:t>
      </w:r>
      <w:r w:rsidRPr="008608AA">
        <w:fldChar w:fldCharType="end"/>
      </w:r>
      <w:r w:rsidRPr="008608AA">
        <w:t xml:space="preserve">. Páramo and puna have long been under human influence (Box 3.6), but more intensely so as of colonial times </w:t>
      </w:r>
      <w:r w:rsidRPr="008608AA">
        <w:fldChar w:fldCharType="begin" w:fldLock="1"/>
      </w:r>
      <w:r w:rsidRPr="008608AA">
        <w:instrText>ADDIN CSL_CITATION { "citationItems" : [ { "id" : "ITEM-1", "itemData" : { "DOI" : "10.1007/s10531-015-0954-0", "ISBN" : "0960-3115", "ISSN" : "15729710", "abstract" : "Conserving pa \u00b4ramo diversity and ecosystem services in the northern Andes is urgent, and understanding factors that control vegetation changes is therefore crucial. Although anthropogenic activities have been common in the Andean highlands for cen- turies, the role of human influence in shaping pa \u00b4ramo vegetation remains unclear. To assess the relative importance of human disturbance associated with cattle farming and cultivation for plant species diversity and composition, we analyzed variables driven by both natural and human impact in the Santurba \u00b4npa \u00b4ramo, Colombia. Canonical corre- spondence analysis (CCA) showed that the main gradient in plant species composition is related to the gradient of human impact. Partial CCA showed that the pure effect of the variables driven by human impact on floristic composition is twice the size of the pure effect of the variables driven by natural impact. Forward selection procedure indicated that the impact of human disturbance on floristic composition is determined by the level of accessibility. Vegetation patterns are driven by a complex set of elevation-related envi- ronmental factors, and human disturbance plays a primary role. Strict protection should be granted to remote and upper sites of the pa \u00b4ramo. Restriction of fire and agriculture along steep slopes may counteract negative effects of human disturbance on plant species diversity.", "author" : [ { "dropping-particle" : "", "family" : "V\u00e1squez", "given" : "Diana L.A.", "non-dropping-particle" : "", "parse-names" : false, "suffix" : "" }, { "dropping-particle" : "", "family" : "Balslev", "given" : "Henrik", "non-dropping-particle" : "", "parse-names" : false, "suffix" : "" }, { "dropping-particle" : "", "family" : "Sklen\u00e1\u0159", "given" : "Petr", "non-dropping-particle" : "", "parse-names" : false, "suffix" : "" } ], "container-title" : "Biodiversity and Conservation", "id" : "ITEM-1", "issue" : "11", "issued" : { "date-parts" : [ [ "2015" ] ] }, "page" : "2673-2683", "title" : "Human impact on tropical-alpine plant diversity in the northern Andes", "type" : "article-journal", "volume" : "24" }, "uris" : [ "http://www.mendeley.com/documents/?uuid=3117bed4-d79a-3aa3-985f-9cfd8bdb2e0b" ] } ], "mendeley" : { "formattedCitation" : "(V\u00e1squez, Balslev, &amp; Sklen\u00e1\u0159, 2015)", "manualFormatting" : "(V\u00e1squez, et al., 2015)", "plainTextFormattedCitation" : "(V\u00e1squez, Balslev, &amp; Sklen\u00e1\u0159, 2015)", "previouslyFormattedCitation" : "(V\u00e1squez, Balslev, &amp; Sklen\u00e1\u0159, 2015)" }, "properties" : { "noteIndex" : 0 }, "schema" : "https://github.com/citation-style-language/schema/raw/master/csl-citation.json" }</w:instrText>
      </w:r>
      <w:r w:rsidRPr="008608AA">
        <w:fldChar w:fldCharType="separate"/>
      </w:r>
      <w:r w:rsidRPr="008608AA">
        <w:rPr>
          <w:noProof/>
        </w:rPr>
        <w:t>(Vásquez, et al., 2015)</w:t>
      </w:r>
      <w:r w:rsidRPr="008608AA">
        <w:fldChar w:fldCharType="end"/>
      </w:r>
      <w:r w:rsidRPr="008608AA">
        <w:t xml:space="preserve">. In the high southern Andes, human influence has never been very great. Today it is principally via low-intensity transhumance summer grazing, skiing, and mining. Some Andean threatened species rely heavily or partially on páramo, among them the Andean condor </w:t>
      </w:r>
      <w:r w:rsidRPr="008608AA">
        <w:rPr>
          <w:shd w:val="clear" w:color="auto" w:fill="FFFFFF"/>
        </w:rPr>
        <w:t>(</w:t>
      </w:r>
      <w:r w:rsidRPr="008608AA">
        <w:rPr>
          <w:rStyle w:val="Emphasis"/>
        </w:rPr>
        <w:t>Vultur gryphus</w:t>
      </w:r>
      <w:r w:rsidRPr="008608AA">
        <w:rPr>
          <w:shd w:val="clear" w:color="auto" w:fill="FFFFFF"/>
        </w:rPr>
        <w:t>), the mountain tapir (</w:t>
      </w:r>
      <w:r w:rsidRPr="008608AA">
        <w:rPr>
          <w:rStyle w:val="Emphasis"/>
        </w:rPr>
        <w:t>Tapirus pinchaque</w:t>
      </w:r>
      <w:r w:rsidRPr="008608AA">
        <w:rPr>
          <w:shd w:val="clear" w:color="auto" w:fill="FFFFFF"/>
        </w:rPr>
        <w:t>), the Andean bear (</w:t>
      </w:r>
      <w:r w:rsidRPr="008608AA">
        <w:rPr>
          <w:rStyle w:val="Emphasis"/>
        </w:rPr>
        <w:t>Tremarctos ornatus</w:t>
      </w:r>
      <w:r w:rsidRPr="008608AA">
        <w:rPr>
          <w:shd w:val="clear" w:color="auto" w:fill="FFFFFF"/>
        </w:rPr>
        <w:t>), and several deer species (</w:t>
      </w:r>
      <w:r w:rsidRPr="008608AA">
        <w:rPr>
          <w:rStyle w:val="Emphasis"/>
        </w:rPr>
        <w:t>Pudu mephistophiles, Mazama rufina, M. americana and Odocoileus virginianus</w:t>
      </w:r>
      <w:r w:rsidRPr="008608AA">
        <w:rPr>
          <w:shd w:val="clear" w:color="auto" w:fill="FFFFFF"/>
        </w:rPr>
        <w:t xml:space="preserve">) </w:t>
      </w:r>
      <w:r w:rsidRPr="008608AA">
        <w:fldChar w:fldCharType="begin" w:fldLock="1"/>
      </w:r>
      <w:r w:rsidRPr="008608AA">
        <w:instrText>ADDIN CSL_CITATION { "citationItems" : [ { "id" : "ITEM-1", "itemData" : { "author" : [ { "dropping-particle" : "", "family" : "Mu\u00f1oz", "given" : "Y.", "non-dropping-particle" : "", "parse-names" : false, "suffix" : "" }, { "dropping-particle" : "", "family" : "Cadena", "given" : "A.", "non-dropping-particle" : "", "parse-names" : false, "suffix" : "" }, { "dropping-particle" : "", "family" : "Rangel-Ch.", "given" : "J. O.", "non-dropping-particle" : "", "parse-names" : false, "suffix" : "" } ], "container-title" : "Colombia Diversidad Bi\u00f3tica III", "editor" : [ { "dropping-particle" : "", "family" : "Rangel Ch.", "given" : "J. Orlando", "non-dropping-particle" : "", "parse-names" : false, "suffix" : "" } ], "id" : "ITEM-1", "issued" : { "date-parts" : [ [ "2000" ] ] }, "page" : "599-611", "publisher" : "Universidad Nacional de Colombia", "publisher-place" : "Santaf\u00e9 de Bogot\u00e1, D.C., Colombia", "title" : "Mam\u00edferos", "type" : "chapter" }, "uris" : [ "http://www.mendeley.com/documents/?uuid=46f57ccb-94c4-4583-99d5-d248ec9ca2c6" ] } ], "mendeley" : { "formattedCitation" : "(Y. Mu\u00f1oz, Cadena, &amp; Rangel-Ch., 2000)", "manualFormatting" : "(Mu\u00f1oz et al., 2000)", "plainTextFormattedCitation" : "(Y. Mu\u00f1oz, Cadena, &amp; Rangel-Ch., 2000)", "previouslyFormattedCitation" : "(Y. Mu\u00f1oz, Cadena, &amp; Rangel-Ch., 2000)" }, "properties" : { "noteIndex" : 0 }, "schema" : "https://github.com/citation-style-language/schema/raw/master/csl-citation.json" }</w:instrText>
      </w:r>
      <w:r w:rsidRPr="008608AA">
        <w:fldChar w:fldCharType="separate"/>
      </w:r>
      <w:r w:rsidRPr="008608AA">
        <w:rPr>
          <w:noProof/>
        </w:rPr>
        <w:t>(Muñoz et al., 2000)</w:t>
      </w:r>
      <w:r w:rsidRPr="008608AA">
        <w:fldChar w:fldCharType="end"/>
      </w:r>
      <w:r w:rsidRPr="008608AA">
        <w:t xml:space="preserve">. </w:t>
      </w:r>
      <w:r w:rsidRPr="008608AA">
        <w:rPr>
          <w:shd w:val="clear" w:color="auto" w:fill="FFFFFF"/>
        </w:rPr>
        <w:t>In general,</w:t>
      </w:r>
      <w:r w:rsidRPr="008608AA">
        <w:rPr>
          <w:b/>
          <w:shd w:val="clear" w:color="auto" w:fill="FFFFFF"/>
        </w:rPr>
        <w:t xml:space="preserve"> </w:t>
      </w:r>
      <w:r w:rsidRPr="008608AA">
        <w:t xml:space="preserve">South American high elevation habitats have garnered few alien plant species </w:t>
      </w:r>
      <w:r w:rsidRPr="008608AA">
        <w:rPr>
          <w:color w:val="000000" w:themeColor="text1"/>
        </w:rPr>
        <w:fldChar w:fldCharType="begin" w:fldLock="1"/>
      </w:r>
      <w:r w:rsidRPr="008608AA">
        <w:rPr>
          <w:color w:val="000000" w:themeColor="text1"/>
        </w:rPr>
        <w:instrText>ADDIN CSL_CITATION { "citationItems" : [ { "id" : "ITEM-1", "itemData" : { "ISBN" : "9780893274276", "abstract" : "The p\u00e1ramos of Costa Rica and Panama are located in the Cordillera de Talamanca, the backbone of eastern Costa Rica and adjacent western Panama. About 60 km\u00b2 of p\u00e1ramo occur in the massive Cerro Chirrip\u00f3 region (Cleef &amp; Chaverri, 1992), with a scattered few others toward the border with Panama. There the p\u00e1rramo is found between 3300 and 3819 m elevation and is dominated by the dwarf bamboo Chusquea subtessellata, which may form a ground cover of up to 60% (Kappelle, 1990). The p\u00e1ramo-like vegetation along the Panamerican Highway, in the region known as Cerro de La Muerte, at about 3100 m, is manmade (fire-induced), with numerous characteristic p\u00e1ramo plants found in exposed boggy sites, locally called \"paramillo,\" \"ci\u00e9nagas,\" or \"turberas.\" The peaks of Volc\u00e1n Iraz\u00fa (3432 m) and Volc\u00e1n Turrialba (3339 m) are p\u00e1ramo-like in appearance but are not true p\u00e1ramos. Hunter (1959) estimated that about 1000 ha (ca. 10 km\u00b2, or 0.02% of the total land area, of Costa Rica was p\u00e1ramo. In Panama, the very summit of Volc\u00e1n Bar\u00fa (also known as Cerro Chiriqu\u00ed), at 3475 m, has p\u00e1ramo-like vegetation, although it is now impossible to say what the original vegetation was like since the top has been bulldozed for communication towers. True undisturbed p\u00e1ramo does seem to occur in Panama near the border with Costa Rica in areas such as Cerro Echandi (3160 m) and Cerro F\u00e1brega (3335 m) (fide G. Davidse collection labels). Costa Rican and Panamanian national parks that include p\u00e1ramo are Chirrip\u00f3 (in Costa Rica) and Volc\u00e1n Bar\u00fa (in Panama), both units of the larger Parque Internacional de la Amistad shared by the two countries", "author" : [ { "dropping-particle" : "", "family" : "Luteyn", "given" : "James L.", "non-dropping-particle" : "", "parse-names" : false, "suffix" : "" } ], "id" : "ITEM-1", "issued" : { "date-parts" : [ [ "1999" ] ] }, "number-of-pages" : "278", "publisher" : "The New York Botanical Garden Press", "publisher-place" : "New York, USA", "title" : "P\u00e1ramos: A Checklist of Plant Diversity, Geographical Distribution, and Botanical Literature", "type" : "book" }, "uris" : [ "http://www.mendeley.com/documents/?uuid=9a7b5061-d436-3c00-9197-d36f3e05b004" ] }, { "id" : "ITEM-2", "itemData" : { "DOI" : "10.1007/s00035-016-0172-8", "ISSN" : "1664221X", "abstract" : "Recent years have seen a surge of interest in understanding patterns and processes of plant invasions into mountains. Here, we synthesise current knowledge about the spread of non-native plants along elevation gradients, emphasising the current status and impacts that these species have in alpine ecosystems. Globally, invasions along elevation gradients are influenced by propagule availability, environmental constraints on population growth, evolutionary change and biotic interactions. The highest elevations are so far relatively free from non-native plants. Nonetheless, in total nearly 200 non-native plant species have been recorded from alpine environments around the world. However, we identified only three species as specifically cold-adapted, with the overwhelming majority having their centres of distribution under warmer environments, and few have substantial impacts on native communities. A combination of low propagule availability and low invasibility likely explain why alpine environments host few non-native plants relative to lowland ecosystems. However, experiences in some areas demonstrate that alpine ecosystems are not inherently resistant to invasions. Furthermore, they will face increasing pressure from the introduction of pre-adapted species, climate change, and the range expansion of native species, which are already causing concern in some areas. Nonetheless, because they are still relatively free from non-native plants, preventative action could be an effective way to limit future impacts of invasions in alpine environments.", "author" : [ { "dropping-particle" : "", "family" : "Alexander", "given" : "Jake M.", "non-dropping-particle" : "", "parse-names" : false, "suffix" : "" }, { "dropping-particle" : "", "family" : "Lembrechts", "given" : "Jonas J.", "non-dropping-particle" : "", "parse-names" : false, "suffix" : "" }, { "dropping-particle" : "", "family" : "Cavieres", "given" : "Lohengrin A.", "non-dropping-particle" : "", "parse-names" : false, "suffix" : "" }, { "dropping-particle" : "", "family" : "Daehler", "given" : "Curtis", "non-dropping-particle" : "", "parse-names" : false, "suffix" : "" }, { "dropping-particle" : "", "family" : "Haider", "given" : "Sylvia", "non-dropping-particle" : "", "parse-names" : false, "suffix" : "" }, { "dropping-particle" : "", "family" : "Kueffer", "given" : "Christoph", "non-dropping-particle" : "", "parse-names" : false, "suffix" : "" }, { "dropping-particle" : "", "family" : "Liu", "given" : "Gang", "non-dropping-particle" : "", "parse-names" : false, "suffix" : "" }, { "dropping-particle" : "", "family" : "McDougall", "given" : "Keith", "non-dropping-particle" : "", "parse-names" : false, "suffix" : "" }, { "dropping-particle" : "", "family" : "Milbau", "given" : "Ann", "non-dropping-particle" : "", "parse-names" : false, "suffix" : "" }, { "dropping-particle" : "", "family" : "Pauchard", "given" : "An\u00edbal", "non-dropping-particle" : "", "parse-names" : false, "suffix" : "" }, { "dropping-particle" : "", "family" : "Rew", "given" : "Lisa J.", "non-dropping-particle" : "", "parse-names" : false, "suffix" : "" }, { "dropping-particle" : "", "family" : "Seipel", "given" : "Tim", "non-dropping-particle" : "", "parse-names" : false, "suffix" : "" } ], "container-title" : "Alpine Botany", "id" : "ITEM-2", "issue" : "2", "issued" : { "date-parts" : [ [ "2016" ] ] }, "page" : "89-103", "publisher" : "Springer International Publishing", "title" : "Plant invasions into mountains and alpine ecosystems: current status and future challenges", "type" : "article-journal", "volume" : "126" }, "uris" : [ "http://www.mendeley.com/documents/?uuid=8ef244e9-7ec0-3ec9-bb78-f280b72a5dcc" ] }, { "id" : "ITEM-3", "itemData" : { "DOI" : "10.1659/MRD-JOURNAL-D-13-00054.1", "ISBN" : "0276-4741", "ISSN" : "0276-4741", "abstract" : "Although mountain regions are thought to be at lower risk of plant invasions, the diversity and cover of non-native plants is increasing in many alpine ecosystems, including the Andes. We reviewed vegetation surveys in Aconcagua Provincial Park in the dry Andes of Argentina to determine what non-native plants occur in the park and if their distribution is associated with tourism use. This high-altitude park is a popular tourism destination for hikers, with nearly all access by foot and pack animals (mules and horses) that are used for transport. Non-native plant diversity was low (21 species in the region, 16 species in the park) compared to some other mountain regions but included common mountain species from Europe, most of which can be dispersed by tourists and commercial operators on clothing and by pack animal dung. Nearly all non-native plants were restricted to lower altitudes, with no non-natives found above 3420 masl. Most non-native plants were restricted to sites disturbed by tourism use, particularly areas trampled by hikers and pack animals, except for 2 common non-native species, Taraxacum officinale and Convolvulus arvensis, which were also found in undisturbed vegetation. The relatively low cover and diversity of non-native plants at higher-altitude sites may reflect one or a combination of the following: climatic barriers, less human disturbance, and a lag in the dispersal of non-native species from lower altitudes within the park. This study highlights that even protected mountain areas with limited prior human use and nearly no road access can be invaded by non-native plants because of their popularity as mountaineer destinations. Management actions that could help minimize the further spread of non-native plants include limiting the introduction of non-native seeds on vehicles, clothing, and equipment and in dung; reducing trampling damage by restricting visitor use to designated trails; and restoring damaged sites.", "author" : [ { "dropping-particle" : "", "family" : "Barros", "given" : "Agustina", "non-dropping-particle" : "", "parse-names" : false, "suffix" : "" }, { "dropping-particle" : "", "family" : "Pickering", "given" : "Catherine Marina", "non-dropping-particle" : "", "parse-names" : false, "suffix" : "" } ], "container-title" : "Mountain Research and Development", "id" : "ITEM-3", "issue" : "1", "issued" : { "date-parts" : [ [ "2014" ] ] }, "page" : "13-26", "title" : "Non-native plant invasion in relation to tourism use of Aconcagua Park, Argentina, the highest protected area in the Southern Hemisphere", "type" : "article-journal", "volume" : "34" }, "uris" : [ "http://www.mendeley.com/documents/?uuid=5e719df5-7de5-4cb5-ad5c-ebd092a0219b" ] }, { "id" : "ITEM-4", "itemData" : { "DOI" : "10.1111/btp.12191", "ISBN" : "0006-3606", "ISSN" : "17447429", "abstract" : "Tropical alpine peatlands are important carbon reservoirs and are a critical component of local hydrological cycles. In high elevation peatlands slow decomposition rates result from a nutrient-poor substrate resistant to decay. The responses of p\u00e1ramo peatland ecosystems to increased nutrient additions and physical disturbance due to agricultural activities are unknown. Here, we conducted a two-year fertilization and physical disturbance experiment in a Sphagnum-dominated peatland in the Central Andes of Colombia. We hypothesized that fertilization and physical disturbance will diminish the ability of the peat to store organic matter by increasing decomposition and that vascular plants will displace Sphagnum as the dominant plant group. We simulated cattle activity by adding manure as a fertilizer and physical disturbance as a proxy for cattle trampling. Species composition varied in proportion to the intensity of disturbance. Sphagnum cover was reduced under any disturbance treatment. Non-native grasses usually found in cattle pastures invaded treatments with fertilizer additions or physical disturbance. Overall aboveground plant biomass doubled in fertilized treatments, suggesting that plant biomass production was nutrient limited. Decomposition rates tripled in disturbed treatments as compared to controls. This reduces the ability of the peatland to store organic matter. Andean peatlands are prized ecological assets; however, our results show that the El Morro p\u00e1ramo peatland experienced increased decomposition rates over short time periods after small-scale disturbances. This created profound consequences for the ecological services offered by these peatlands.", "author" : [ { "dropping-particle" : "", "family" : "Urbina", "given" : "Jenny C.", "non-dropping-particle" : "", "parse-names" : false, "suffix" : "" }, { "dropping-particle" : "", "family" : "Benavides", "given" : "Juan C.", "non-dropping-particle" : "", "parse-names" : false, "suffix" : "" } ], "container-title" : "Biotropica", "id" : "ITEM-4", "issue" : "2", "issued" : { "date-parts" : [ [ "2015" ] ] }, "page" : "143-151", "title" : "Simulated small scale disturbances increase decomposition rates and facilitates invasive species encroachment in a high elevation tropical Andean peatland", "type" : "article-journal", "volume" : "47" }, "uris" : [ "http://www.mendeley.com/documents/?uuid=9fdd9acb-dd7d-357f-9434-34478a772981" ] } ], "mendeley" : { "formattedCitation" : "(Alexander et al., 2016; Barros &amp; Pickering, 2014; Luteyn, 1999; Urbina &amp; Benavides, 2015)", "manualFormatting" : "(Alexander et al., 2016; Barros &amp; Pickering, 2014; Luteyn, 1999; Urbina &amp; Benavides, 2015)", "plainTextFormattedCitation" : "(Alexander et al., 2016; Barros &amp; Pickering, 2014; Luteyn, 1999; Urbina &amp; Benavides, 2015)", "previouslyFormattedCitation" : "(Alexander et al., 2016; Barros &amp; Pickering, 2014; Luteyn, 1999; Urbina &amp; Benavides, 2015)"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(Alexander et al., 2016; Barros &amp; Pickering, 2014; Luteyn, 1999; Urbina &amp; Benavides, 2015)</w:t>
      </w:r>
      <w:r w:rsidRPr="008608AA">
        <w:rPr>
          <w:color w:val="000000" w:themeColor="text1"/>
        </w:rPr>
        <w:fldChar w:fldCharType="end"/>
      </w:r>
      <w:r w:rsidRPr="008608AA">
        <w:rPr>
          <w:color w:val="000000" w:themeColor="text1"/>
        </w:rPr>
        <w:t xml:space="preserve"> </w:t>
      </w:r>
      <w:r w:rsidRPr="008608AA">
        <w:t>and these are mostly confined to disturbed areas</w:t>
      </w:r>
      <w:r w:rsidRPr="008608AA">
        <w:rPr>
          <w:color w:val="000000" w:themeColor="text1"/>
        </w:rPr>
        <w:t xml:space="preserve">. A few serious recent invasions have now been recorded for páramo, as for example </w:t>
      </w:r>
      <w:r w:rsidRPr="008608AA">
        <w:rPr>
          <w:i/>
          <w:color w:val="000000" w:themeColor="text1"/>
        </w:rPr>
        <w:t>Ulex europaeus</w:t>
      </w:r>
      <w:r w:rsidRPr="008608AA">
        <w:rPr>
          <w:color w:val="000000" w:themeColor="text1"/>
        </w:rPr>
        <w:t xml:space="preserve"> in Colombian páramos (see Table 3.2) and more can be expected in the future given trends in alteration (Box 3.6).</w:t>
      </w:r>
      <w:r w:rsidRPr="008608AA">
        <w:rPr>
          <w:b/>
          <w:color w:val="000000" w:themeColor="text1"/>
        </w:rPr>
        <w:t xml:space="preserve"> </w:t>
      </w:r>
    </w:p>
    <w:p w14:paraId="05983AB0" w14:textId="77777777" w:rsidR="004255E7" w:rsidRPr="008608AA" w:rsidRDefault="004255E7" w:rsidP="0063629E">
      <w:pPr>
        <w:widowControl w:val="0"/>
        <w:autoSpaceDE w:val="0"/>
        <w:autoSpaceDN w:val="0"/>
        <w:adjustRightInd w:val="0"/>
        <w:spacing w:after="120"/>
      </w:pPr>
      <w:r w:rsidRPr="008608AA">
        <w:t xml:space="preserve">Páramo and wet puna are notable for rapid water absorption but slow water release </w:t>
      </w:r>
      <w:r w:rsidRPr="008608AA">
        <w:fldChar w:fldCharType="begin" w:fldLock="1"/>
      </w:r>
      <w:r w:rsidRPr="008608AA">
        <w:instrText>ADDIN CSL_CITATION { "citationItems" : [ { "id" : "ITEM-1", "itemData" : { "author" : [ { "dropping-particle" : "", "family" : "Buytaert", "given" : "W.", "non-dropping-particle" : "", "parse-names" : false, "suffix" : "" }, { "dropping-particle" : "", "family" : "Wyseure", "given" : "G.", "non-dropping-particle" : "", "parse-names" : false, "suffix" : "" }, { "dropping-particle" : "", "family" : "Bievre", "given" : "B.", "non-dropping-particle" : "De", "parse-names" : false, "suffix" : "" }, { "dropping-particle" : "", "family" : "Deckers", "given" : "J.", "non-dropping-particle" : "", "parse-names" : false, "suffix" : "" } ], "container-title" : "Hydrological Processes", "id" : "ITEM-1", "issued" : { "date-parts" : [ [ "2005" ] ] }, "page" : "3985-3997", "title" : "The effect of land-use changes on the hydrological behaviour of Histic Andosoles in south Ecuador", "type" : "article-journal", "volume" : "19" }, "uris" : [ "http://www.mendeley.com/documents/?uuid=6ed63259-d50a-46b2-a54c-97e14f96b072" ] } ], "mendeley" : { "formattedCitation" : "(W. Buytaert, Wyseure, De Bievre, &amp; Deckers, 2005)", "manualFormatting" : "(Buytaert et al., 2005)", "plainTextFormattedCitation" : "(W. Buytaert, Wyseure, De Bievre, &amp; Deckers, 2005)", "previouslyFormattedCitation" : "(W. Buytaert, Wyseure, De Bievre, &amp; Deckers, 2005)" }, "properties" : { "noteIndex" : 0 }, "schema" : "https://github.com/citation-style-language/schema/raw/master/csl-citation.json" }</w:instrText>
      </w:r>
      <w:r w:rsidRPr="008608AA">
        <w:fldChar w:fldCharType="separate"/>
      </w:r>
      <w:r w:rsidRPr="008608AA">
        <w:rPr>
          <w:noProof/>
        </w:rPr>
        <w:t>(Buytaert et al., 2005)</w:t>
      </w:r>
      <w:r w:rsidRPr="008608AA">
        <w:fldChar w:fldCharType="end"/>
      </w:r>
      <w:r w:rsidRPr="008608AA">
        <w:t xml:space="preserve">, which is important for the support of agriculture and the delivery of water to lowland areas. For example, 60% of water in Colombia derives from páramo </w:t>
      </w:r>
      <w:r w:rsidRPr="008608AA">
        <w:fldChar w:fldCharType="begin" w:fldLock="1"/>
      </w:r>
      <w:r w:rsidRPr="008608AA">
        <w:instrText>ADDIN CSL_CITATION { "citationItems" : [ { "id" : "ITEM-1", "itemData" : { "author" : [ { "dropping-particle" : "", "family" : "Cadena-Vargas", "given" : "C.E.", "non-dropping-particle" : "", "parse-names" : false, "suffix" : "" }, { "dropping-particle" : "", "family" : "Sarmiento", "given" : "C.E.", "non-dropping-particle" : "", "parse-names" : false, "suffix" : "" } ], "container-title" : "Biodiversidad 2015. Estado y Tendencias de la Biodiversidad Continental de Colombia", "editor" : [ { "dropping-particle" : "", "family" : "G\u00f3mez", "given" : "M.F.", "non-dropping-particle" : "", "parse-names" : false, "suffix" : "" }, { "dropping-particle" : "", "family" : "Moreno", "given" : "L.A.", "non-dropping-particle" : "", "parse-names" : false, "suffix" : "" }, { "dropping-particle" : "", "family" : "Andrade", "given" : "G.I.", "non-dropping-particle" : "", "parse-names" : false, "suffix" : "" }, { "dropping-particle" : "", "family" : "Rueda", "given" : "C.", "non-dropping-particle" : "", "parse-names" : false, "suffix" : "" } ], "id" : "ITEM-1", "issued" : { "date-parts" : [ [ "2016" ] ] }, "publisher" : "Instituto Alexander von Humboldt", "publisher-place" : "Bogot\u00e1, D.C., Colombia", "title" : "Cambios en las coberturas paramunas. Las Amenazas de los p\u00e1ramos de Colombia", "type" : "chapter" }, "uris" : [ "http://www.mendeley.com/documents/?uuid=18f775b9-9297-489b-8ef6-edfcf1131249" ] } ], "mendeley" : { "formattedCitation" : "(Cadena-Vargas &amp; Sarmiento, 2016)", "manualFormatting" : "(Cadena-Vargas &amp; Sarmiento, 2016)", "plainTextFormattedCitation" : "(Cadena-Vargas &amp; Sarmiento, 2016)", "previouslyFormattedCitation" : "(Cadena-Vargas &amp; Sarmiento, 2016)" }, "properties" : { "noteIndex" : 0 }, "schema" : "https://github.com/citation-style-language/schema/raw/master/csl-citation.json" }</w:instrText>
      </w:r>
      <w:r w:rsidRPr="008608AA">
        <w:fldChar w:fldCharType="separate"/>
      </w:r>
      <w:r w:rsidRPr="008608AA">
        <w:rPr>
          <w:noProof/>
        </w:rPr>
        <w:t>(Cadena-Vargas &amp; Sarmiento, 2016)</w:t>
      </w:r>
      <w:r w:rsidRPr="008608AA">
        <w:fldChar w:fldCharType="end"/>
      </w:r>
      <w:r w:rsidRPr="008608AA">
        <w:t xml:space="preserve">. Carbon storage is páramo is important </w:t>
      </w:r>
      <w:r w:rsidRPr="008608AA">
        <w:fldChar w:fldCharType="begin" w:fldLock="1"/>
      </w:r>
      <w:r w:rsidRPr="008608AA">
        <w:instrText>ADDIN CSL_CITATION { "citationItems" : [ { "id" : "ITEM-1", "itemData" : { "ISBN" : "9789586602167", "author" : [ { "dropping-particle" : "", "family" : "Forero Ulloa", "given" : "Fabio Emilio", "non-dropping-particle" : "", "parse-names" : false, "suffix" : "" }, { "dropping-particle" : "", "family" : "Cely R., Germ\u00e1n", "given" : "Eduardo", "non-dropping-particle" : "", "parse-names" : false, "suffix" : "" }, { "dropping-particle" : "", "family" : "Palacios Pacheco", "given" : "Laura Sof\u00eda", "non-dropping-particle" : "", "parse-names" : false, "suffix" : "" } ], "id" : "ITEM-1", "issued" : { "date-parts" : [ [ "2015" ] ] }, "number-of-pages" : "146", "publisher" : "Universidad Pedag\u00f3gica y Tecnol\u00f3gica de Colombia (UPTC)", "publisher-place" : "Tunja, Colombia", "title" : "Din\u00e1mica del P\u00e1ramo como Espacio para la Captura de Carbono", "type" : "book" }, "uris" : [ "http://www.mendeley.com/documents/?uuid=553d04a1-09a4-30df-9996-bd78afcd45b4" ] } ], "mendeley" : { "formattedCitation" : "(Forero Ulloa, Cely R., Germ\u00e1n, &amp; Palacios Pacheco, 2015)", "manualFormatting" : "(Forero et al., 2015)", "plainTextFormattedCitation" : "(Forero Ulloa, Cely R., Germ\u00e1n, &amp; Palacios Pacheco, 2015)", "previouslyFormattedCitation" : "(Forero Ulloa, Cely R., Germ\u00e1n, &amp; Palacios Pacheco, 2015)" }, "properties" : { "noteIndex" : 0 }, "schema" : "https://github.com/citation-style-language/schema/raw/master/csl-citation.json" }</w:instrText>
      </w:r>
      <w:r w:rsidRPr="008608AA">
        <w:fldChar w:fldCharType="separate"/>
      </w:r>
      <w:r w:rsidRPr="008608AA">
        <w:rPr>
          <w:noProof/>
        </w:rPr>
        <w:t>(Forero et al., 2015)</w:t>
      </w:r>
      <w:r w:rsidRPr="008608AA">
        <w:fldChar w:fldCharType="end"/>
      </w:r>
      <w:r w:rsidRPr="008608AA">
        <w:t xml:space="preserve">. In particular, it is very high in páramo peatlands </w:t>
      </w:r>
      <w:r w:rsidRPr="008608AA">
        <w:fldChar w:fldCharType="begin" w:fldLock="1"/>
      </w:r>
      <w:r w:rsidRPr="008608AA">
        <w:instrText>ADDIN CSL_CITATION { "citationItems" : [ { "id" : "ITEM-1", "itemData" : { "abstract" : "_______________________________________________________________________________________ SUMMARY (1) The high-altitude (4,500+ m) Andean mountain range of north-western Bolivia contains many peatlands. Despite heavy grazing pressure and potential damage from climate change, little is known about these peatlands. Our objective was to quantify carbon pools, basal ages and long-term peat accumulation rates in peatlands in two areas of the arid puna ecoregion of Bolivia: near the village of Manasaya in the Sajama National Park (Cordillera Occidentale), and in the Tuni Condoriri National Park (Cordillera Real). (2) We cored to 5 m depth in the Manasaya peatland, whose age at 5 m was ca. 3,675 yr. BP with a LARCA of 47 g m -2 yr -1 . However, probing indicated that the maximum depth was 7\u201310 m with a total estimated (by extrapolation) carbon stock of 1,040 Mg ha -1 . The Tuni peat body was 5.5 m thick and initiated ca. 2,560 cal. yr. BP. The peatland carbon stock was 572 Mg ha -1 with a long-term rate of carbon accumulation (LARCA) of 37 g m -2 yr -1 . (3) Despite the dry environment of the Bolivian puna, the region contains numerous peatlands with high carbon stocks and rapid carbon accumulation rates. These peatlands are heavily used for llama and alpaca grazing.", "author" : [ { "dropping-particle" : "", "family" : "Hribljan", "given" : "J. A.", "non-dropping-particle" : "", "parse-names" : false, "suffix" : "" }, { "dropping-particle" : "", "family" : "Cooper", "given" : "D. J.", "non-dropping-particle" : "", "parse-names" : false, "suffix" : "" }, { "dropping-particle" : "", "family" : "Sueltenfuss", "given" : "J.", "non-dropping-particle" : "", "parse-names" : false, "suffix" : "" }, { "dropping-particle" : "", "family" : "Wolf", "given" : "E. C.", "non-dropping-particle" : "", "parse-names" : false, "suffix" : "" }, { "dropping-particle" : "", "family" : "Heckman", "given" : "K. A.", "non-dropping-particle" : "", "parse-names" : false, "suffix" : "" }, { "dropping-particle" : "", "family" : "Lilleskov", "given" : "E. A.", "non-dropping-particle" : "", "parse-names" : false, "suffix" : "" }, { "dropping-particle" : "", "family" : "Chimner", "given" : "R. A.", "non-dropping-particle" : "", "parse-names" : false, "suffix" : "" } ], "container-title" : "Mires and Peat", "id" : "ITEM-1", "issue" : "12", "issued" : { "date-parts" : [ [ "2015" ] ] }, "page" : "1-14", "title" : "Carbon storage and long-term rate of accumulation in high-altitude Andean peatlands of Bolivia", "type" : "article-journal", "volume" : "15" }, "uris" : [ "http://www.mendeley.com/documents/?uuid=826d859e-421c-4b94-b4fd-18c129aa8c3e" ] }, { "id" : "ITEM-2", "itemData" : { "DOI" : "10.1007/s11273-016-9482-2", "ISSN" : "15729834", "abstract" : "The p\u00e1ramo is a high altitude tropical Andean ecosystem that contains peatlands with thick horizons of carbon (C) dense soils. Soil C data are sparse for most of the p\u00e1ramo, especially in peatlands, which limits our ability to provide accurate regional and country wide estimates of C storage. Therefore, the objective of our research was to quantify belowground C stocks and accumulation rates in p\u00e1ramo peatland soils in two regions of northeastern Ecuador. Peatland soil cores were collected from Antisana Ecological Reserve and Cayambe-Coca National Park. We measured soil C densities and 14C dates to estimate soil accumulation rates. The mean peatland soil depth across both regions was 3.8 m and contained an estimated mean C storage of 1282 Mg ha\u22121. Peatlands older than 3000 cal. year BP had a mean long-term C accumulation rate of 26 g m\u22122 year\u22121, with peatlands younger than 500 cal. year BP displaying mean recent rates of C accumulation of 134 g m\u22122 year\u22121. These peatlands also receive large inputs of mineral material, predominantly from volcanic deposition, that has created many interbedded non-peat mineral soil horizons that contained 48 % of the soil C. Because of large C stocks in Ecuadorian mountain peatlands and the potential disturbance from land use and climate change, additional studies are need to provide essential baseline assessments and estimates of C storage in the Andes.", "author" : [ { "dropping-particle" : "", "family" : "Hribljan", "given" : "John A.", "non-dropping-particle" : "", "parse-names" : false, "suffix" : "" }, { "dropping-particle" : "", "family" : "Su\u00e1rez", "given" : "Esteban", "non-dropping-particle" : "", "parse-names" : false, "suffix" : "" }, { "dropping-particle" : "", "family" : "Heckman", "given" : "Katherine A.", "non-dropping-particle" : "", "parse-names" : false, "suffix" : "" }, { "dropping-particle" : "", "family" : "Lilleskov", "given" : "Erik A.", "non-dropping-particle" : "", "parse-names" : false, "suffix" : "" }, { "dropping-particle" : "", "family" : "Chimner", "given" : "Rodney A.", "non-dropping-particle" : "", "parse-names" : false, "suffix" : "" } ], "container-title" : "Wetlands Ecology and Management", "id" : "ITEM-2", "issue" : "2", "issued" : { "date-parts" : [ [ "2016", "4", "9" ] ] }, "page" : "113-127", "publisher" : "Springer Netherlands", "title" : "Peatland carbon stocks and accumulation rates in the Ecuadorian p\u00e1ramo", "type" : "article-journal", "volume" : "24" }, "uris" : [ "http://www.mendeley.com/documents/?uuid=39f8197e-b251-3bb1-b3d6-3cd1dbb6cfa9" ] } ], "mendeley" : { "formattedCitation" : "(J. A. Hribljan et al., 2015; John A. Hribljan, Su\u00e1rez, Heckman, Lilleskov, &amp; Chimner, 2016)", "manualFormatting" : "(Hribljan et al., 2015; 2016)", "plainTextFormattedCitation" : "(J. A. Hribljan et al., 2015; John A. Hribljan, Su\u00e1rez, Heckman, Lilleskov, &amp; Chimner, 2016)", "previouslyFormattedCitation" : "(J. A. Hribljan et al., 2015; John A. Hribljan, Su\u00e1rez, Heckman, Lilleskov, &amp; Chimner, 2016)" }, "properties" : { "noteIndex" : 0 }, "schema" : "https://github.com/citation-style-language/schema/raw/master/csl-citation.json" }</w:instrText>
      </w:r>
      <w:r w:rsidRPr="008608AA">
        <w:fldChar w:fldCharType="separate"/>
      </w:r>
      <w:r w:rsidRPr="008608AA">
        <w:rPr>
          <w:noProof/>
        </w:rPr>
        <w:t>(Hribljan et al., 2015; 2016)</w:t>
      </w:r>
      <w:r w:rsidRPr="008608AA">
        <w:fldChar w:fldCharType="end"/>
      </w:r>
      <w:r w:rsidRPr="008608AA">
        <w:t xml:space="preserve">. Soils under older pine plantations in páramo have lower carbon content and retain less water compared with natural grasslands </w:t>
      </w:r>
      <w:r w:rsidRPr="008608AA">
        <w:fldChar w:fldCharType="begin" w:fldLock="1"/>
      </w:r>
      <w:r w:rsidRPr="008608AA">
        <w:instrText>ADDIN CSL_CITATION { "citationItems" : [ { "id" : "ITEM-1", "itemData" : { "DOI" : "10.1111/j.1365-2486.2005.01011.x", "ISBN" : "1354-1013", "ISSN" : "13541013", "PMID" : "25246403", "abstract" : "Carbon sequestration programs, including afforestation and reforestation, are gaining attention globally and will alter many ecosystem processes, including water yield. Some previous analyses have addressed deforestation and water yield, while the effects of afforestation on water yield have been considered for some regions. However, to our knowledge no systematic global analysis of the effects of afforestation on water yield has been undertaken. To assess and predict these effects globally, we analyzed 26 catchment data sets with 504 observations, including annual runoff and low flow. We examined changes in the context of several variables, including original vegetation type, plantation species, plantation age, and mean annual precipitation (MAP). All of these variables should be useful for understanding and modeling the effects of afforestation on water yield. We found that annual runoff was reduced on average by 44% (\ufffd3%) and 31% (\ufffd2%) when grasslands and shrublands were afforested, respectively. Eucalypts had a larger impact than other tree species in afforested grasslands (P=0.002), reducing runoff (90) by 75% (\ufffd10%), compared with a 40% (\ufffd3%) average decrease with pines. Runoff losses increased significantly with plantation age for at least 20 years after planting, whether expressed as absolute changes (mm) or as a proportion of predicted runoff (%) (P&lt;0.001). For grasslands, absolute reductions in annual runoff were greatest at wetter sites, but proportional reductions were significantly larger in drier sites (P&lt;0.01 and P&lt;0.001, respectively). Afforestation effects on low flow were similar to those on total annual flow, but proportional reductions were even larger for low flow (P&lt;0.001). These results clearly demonstrate that reductions in runoff can be expected following afforestation of grasslands and shrublands and may be most severe in drier regions. Our results suggest that, in a region where natural runoff is less than 10% of MAP, afforestation should result in a complete loss of runoff; where natural runoff is 30% of precipitation, it will likely be cut by half or more when trees are planted. The possibility that afforestation could cause or intensify water shortages in many locations is a tradeoff that should be explicitly addressed in carbon sequestration programs.", "author" : [ { "dropping-particle" : "", "family" : "Farley", "given" : "Kathleen A.", "non-dropping-particle" : "", "parse-names" : false, "suffix" : "" }, { "dropping-particle" : "", "family" : "Jobb\u00e1gy", "given" : "Esteban G.", "non-dropping-particle" : "", "parse-names" : false, "suffix" : "" }, { "dropping-particle" : "", "family" : "Jackson", "given" : "Robert B.", "non-dropping-particle" : "", "parse-names" : false, "suffix" : "" } ], "container-title" : "Global change biology", "id" : "ITEM-1", "issue" : "10", "issued" : { "date-parts" : [ [ "2005" ] ] }, "page" : "1565-1576", "title" : "Effects of afforestation on water yield: a global synthesis with implications for policy", "type" : "article-journal", "volume" : "11" }, "uris" : [ "http://www.mendeley.com/documents/?uuid=6a3076f4-b3c2-307a-ade1-ea96ed50800e" ] }, { "id" : "ITEM-2", "itemData" : { "DOI" : "10.1111/j.1755-263X.2012.00267.x", "ISBN" : "1755263X", "ISSN" : "1755263X", "PMID" : "85412222", "abstract" : "Ecuadorian paramo grasslands have become the focus of Payment for Ecosystem Services programs that have promoted land-use changes such as afforestation and reduction of burning, grazing of cattle or sheep, and agricultural ex- pansion. However, limited information exists on the relationships between land use in paramos and the production of ecosystem services, including the di- rection and magnitude of changes in carbon storage. In an evaluation of eight sites representing incentivized land uses, we found significant differences in both soil carbon and aboveground carbon. The results support previous findings on the effects of pine plantations and suggest that limiting burning may be effective at enhancing carbon storage. They also indicate that, in highly pro- ductive grasslands such as the paramo, both belowground and aboveground C storage can be high, even when compared to some types of afforestation, providing support for greater attention to the role of grassland conservation in climate mitigation strategies.", "author" : [ { "dropping-particle" : "", "family" : "Farley", "given" : "Kathleen A.", "non-dropping-particle" : "", "parse-names" : false, "suffix" : "" }, { "dropping-particle" : "", "family" : "Bremer", "given" : "Leah L.", "non-dropping-particle" : "", "parse-names" : false, "suffix" : "" }, { "dropping-particle" : "", "family" : "Harden", "given" : "Carol P.", "non-dropping-particle" : "", "parse-names" : false, "suffix" : "" }, { "dropping-particle" : "", "family" : "Hartsig", "given" : "James", "non-dropping-particle" : "", "parse-names" : false, "suffix" : "" } ], "container-title" : "Conservation Letters", "id" : "ITEM-2", "issue" : "1", "issued" : { "date-parts" : [ [ "2013" ] ] }, "page" : "21-27", "title" : "Changes in carbon storage under alternative land uses in biodiverse Andean grasslands: implications for payment for ecosystem services", "type" : "article-journal", "volume" : "6" }, "uris" : [ "http://www.mendeley.com/documents/?uuid=90aa497a-b46f-4596-a2fc-0782708c9a1e" ] }, { "id" : "ITEM-3", "itemData" : { "DOI" : "10.1007/s10021-004-0047-5", "ISBN" : "1002100400475", "ISSN" : "1432-9840", "PMID" : "262901600002", "abstract" : "Tree plantations in the high elevations of the tropics constitute\\na growing land use, but their effect on ecosystem processes and services\\nis not well known. We examined changes in soil organic carbon (C)\\nand water retention in a chronosequence of Pinus radiata stands planted\\nin paramo grasslands in Cotopaxi province, Ecuador. Water retention\\nat 10, 33, and 1,500?kPa declined with stand age, with soils in the\\noldest pine stands retaining 39%, 55%, and 63% less water than grassland\\nsoils at the three pressures tested. Soil organic C in the 0?10-cm\\ndepth also declined with stand age, from 5.0?kg m-2 in grasslands\\nto 3.5?kg m-2 in 20?25-year-old pine stands (P -2 (P = 0.047). There\\nwere no significant differences among age classes in the AC and C\\nhorizons (P = 0.15 and P = 0.34, respectively), where little or no\\nweathering of the primary material has occurred. Inputs of C may\\nbe affected by the significantly higher carbon?nitrogen (C:N) ratio\\nof the litter under older pine stands (P = 0.005), whereas outputs\\nare influenced by substrate quality as well as soil environmental\\nfactors. Soil ratios at the 0?10?cm depth were significantly higher\\nin grasslands and young pine stands (P P = 0.60) when the soils were\\nincubated under uniform temperature and moisture conditions. In paramo\\necosystems, where high soil moisture plays an important role in retarding\\ndecomposition and driving high C storage, the loss of water retention\\nafter afforestation may be the dominant factor in C loss. These results\\nsuggest that soil C buildup and water retention respond rapidly to\\nchanges in biota and need to be assessed with regard to implications\\nfor C sequestration and watershed management.", "author" : [ { "dropping-particle" : "", "family" : "Farley", "given" : "Kathleen A", "non-dropping-particle" : "", "parse-names" : false, "suffix" : "" }, { "dropping-particle" : "", "family" : "Kelly", "given" : "Eugene F", "non-dropping-particle" : "", "parse-names" : false, "suffix" : "" }, { "dropping-particle" : "", "family" : "Hofstede", "given" : "Robert G M", "non-dropping-particle" : "", "parse-names" : false, "suffix" : "" } ], "container-title" : "Ecosystems", "id" : "ITEM-3", "issue" : "7", "issued" : { "date-parts" : [ [ "2004" ] ] }, "page" : "729-739", "title" : "Soil organic carbon and water retention after conversion of grasslands to pine plantations in the Ecuadorian Andes", "type" : "article-journal", "volume" : "7" }, "uris" : [ "http://www.mendeley.com/documents/?uuid=2e770940-035a-4534-ad14-ce99b4f32b7e" ] } ], "mendeley" : { "formattedCitation" : "(Farley, Bremer, Harden, &amp; Hartsig, 2013; Farley et al., 2005; Farley, Kelly, &amp; Hofstede, 2004)", "manualFormatting" : "(Farley et al., 2004, 2005, 2013)", "plainTextFormattedCitation" : "(Farley, Bremer, Harden, &amp; Hartsig, 2013; Farley et al., 2005; Farley, Kelly, &amp; Hofstede, 2004)", "previouslyFormattedCitation" : "(Farley, Bremer, Harden, &amp; Hartsig, 2013; Farley et al., 2005; Farley, Kelly, &amp; Hofstede, 2004)" }, "properties" : { "noteIndex" : 0 }, "schema" : "https://github.com/citation-style-language/schema/raw/master/csl-citation.json" }</w:instrText>
      </w:r>
      <w:r w:rsidRPr="008608AA">
        <w:fldChar w:fldCharType="separate"/>
      </w:r>
      <w:r w:rsidRPr="008608AA">
        <w:rPr>
          <w:noProof/>
        </w:rPr>
        <w:t>(Farley et al., 2004, 2005, 2013)</w:t>
      </w:r>
      <w:r w:rsidRPr="008608AA">
        <w:fldChar w:fldCharType="end"/>
      </w:r>
      <w:r w:rsidRPr="008608AA">
        <w:t xml:space="preserve"> and the loss of water retention after afforestation may be the dominant factor in carbon loss </w:t>
      </w:r>
      <w:r w:rsidRPr="008608AA">
        <w:fldChar w:fldCharType="begin" w:fldLock="1"/>
      </w:r>
      <w:r w:rsidRPr="008608AA">
        <w:instrText>ADDIN CSL_CITATION { "citationItems" : [ { "id" : "ITEM-1", "itemData" : { "DOI" : "10.1007/s10021-004-0047-5", "ISBN" : "1002100400475", "ISSN" : "1432-9840", "PMID" : "262901600002", "abstract" : "Tree plantations in the high elevations of the tropics constitute\\na growing land use, but their effect on ecosystem processes and services\\nis not well known. We examined changes in soil organic carbon (C)\\nand water retention in a chronosequence of Pinus radiata stands planted\\nin paramo grasslands in Cotopaxi province, Ecuador. Water retention\\nat 10, 33, and 1,500?kPa declined with stand age, with soils in the\\noldest pine stands retaining 39%, 55%, and 63% less water than grassland\\nsoils at the three pressures tested. Soil organic C in the 0?10-cm\\ndepth also declined with stand age, from 5.0?kg m-2 in grasslands\\nto 3.5?kg m-2 in 20?25-year-old pine stands (P -2 (P = 0.047). There\\nwere no significant differences among age classes in the AC and C\\nhorizons (P = 0.15 and P = 0.34, respectively), where little or no\\nweathering of the primary material has occurred. Inputs of C may\\nbe affected by the significantly higher carbon?nitrogen (C:N) ratio\\nof the litter under older pine stands (P = 0.005), whereas outputs\\nare influenced by substrate quality as well as soil environmental\\nfactors. Soil ratios at the 0?10?cm depth were significantly higher\\nin grasslands and young pine stands (P P = 0.60) when the soils were\\nincubated under uniform temperature and moisture conditions. In paramo\\necosystems, where high soil moisture plays an important role in retarding\\ndecomposition and driving high C storage, the loss of water retention\\nafter afforestation may be the dominant factor in C loss. These results\\nsuggest that soil C buildup and water retention respond rapidly to\\nchanges in biota and need to be assessed with regard to implications\\nfor C sequestration and watershed management.", "author" : [ { "dropping-particle" : "", "family" : "Farley", "given" : "Kathleen A", "non-dropping-particle" : "", "parse-names" : false, "suffix" : "" }, { "dropping-particle" : "", "family" : "Kelly", "given" : "Eugene F", "non-dropping-particle" : "", "parse-names" : false, "suffix" : "" }, { "dropping-particle" : "", "family" : "Hofstede", "given" : "Robert G M", "non-dropping-particle" : "", "parse-names" : false, "suffix" : "" } ], "container-title" : "Ecosystems", "id" : "ITEM-1", "issue" : "7", "issued" : { "date-parts" : [ [ "2004" ] ] }, "page" : "729-739", "title" : "Soil organic carbon and water retention after conversion of grasslands to pine plantations in the Ecuadorian Andes", "type" : "article-journal", "volume" : "7" }, "uris" : [ "http://www.mendeley.com/documents/?uuid=2e770940-035a-4534-ad14-ce99b4f32b7e" ] } ], "mendeley" : { "formattedCitation" : "(Farley et al., 2004)", "plainTextFormattedCitation" : "(Farley et al., 2004)", "previouslyFormattedCitation" : "(Farley et al., 2004)" }, "properties" : { "noteIndex" : 0 }, "schema" : "https://github.com/citation-style-language/schema/raw/master/csl-citation.json" }</w:instrText>
      </w:r>
      <w:r w:rsidRPr="008608AA">
        <w:fldChar w:fldCharType="separate"/>
      </w:r>
      <w:r w:rsidRPr="008608AA">
        <w:rPr>
          <w:noProof/>
        </w:rPr>
        <w:t>(Farley et al., 2004)</w:t>
      </w:r>
      <w:r w:rsidRPr="008608AA">
        <w:fldChar w:fldCharType="end"/>
      </w:r>
      <w:r w:rsidRPr="008608AA">
        <w:t xml:space="preserve">. </w:t>
      </w:r>
    </w:p>
    <w:p w14:paraId="281B878A" w14:textId="718B0243" w:rsidR="0063629E" w:rsidRDefault="00176FC5" w:rsidP="0063629E">
      <w:pPr>
        <w:widowControl w:val="0"/>
        <w:autoSpaceDE w:val="0"/>
        <w:autoSpaceDN w:val="0"/>
        <w:adjustRightInd w:val="0"/>
        <w:spacing w:after="120"/>
      </w:pPr>
      <w:r w:rsidRPr="008608AA">
        <w:t xml:space="preserve">Recent trends. </w:t>
      </w:r>
      <w:r w:rsidR="004255E7" w:rsidRPr="008608AA">
        <w:t>Páramo and puna have seen an increasing trend for afforestation with fast-growing exotic trees and intensive agriculture. Both afforestation and cultivation have been found to increase streamﬂow variability and decrease catchment regulation capacity and water yield.</w:t>
      </w:r>
      <w:r w:rsidR="004255E7" w:rsidRPr="008608AA">
        <w:fldChar w:fldCharType="begin" w:fldLock="1"/>
      </w:r>
      <w:r w:rsidR="004255E7" w:rsidRPr="008608AA">
        <w:instrText>ADDIN CSL_CITATION { "citationItems" : [ { "id" : "ITEM-1", "itemData" : { "DOI" : "10.1002/2016WR018596", "ISBN" : "6176273099", "ISSN" : "19447973", "PMID" : "1000287943", "abstract" : "Quantifying the impact of land use and cover (LUC) change on catchment hydrological response is essential for land-use planning and management. Yet hydrologists are often not able to present consistent and reliable evidence to support such decision-making. The issue tends to be twofold: a scarcity of relevant observations, and the difficulty of regionalizing any existing observations. This study explores the potential of a paired catchment monitoring network to provide statistically robust, regionalized predictions of LUC change impact in an environment of high hydrological variability. We test the importance of LUC variables to explain hydrological responses and to improve regionalized predictions using 24 catchments distributed along the Tropical Andes. For this, we calculate first 50 physical catchment properties, and then select a subset based on correlation analysis. The reduced set is subsequently used to regionalize a selection of hydrological indices using multiple linear regression. Contrary to earlier studies, we find that incorporating LUC variables in the regional model structures increases significantly regression performance and predictive capacity for 66% of the indices. For the runoff ratio, baseflow index, and slope of the flow duration curve, the mean absolute error reduces by 53% and the variance of the residuals by 79%, on average. We attribute the explanatory capacity of LUC in the regional model to the pairwise monitoring setup, which increases the contrast of the land-use signal in the data set. As such, it may be a useful strategy to optimize data collection to support watershed management practices and improve decision-making in data-scarce regions.", "author" : [ { "dropping-particle" : "", "family" : "Ochoa-Tocachi", "given" : "Boris F.", "non-dropping-particle" : "", "parse-names" : false, "suffix" : "" }, { "dropping-particle" : "", "family" : "Buytaert", "given" : "Wouter", "non-dropping-particle" : "", "parse-names" : false, "suffix" : "" }, { "dropping-particle" : "", "family" : "Bi\u00e8vre", "given" : "Bert", "non-dropping-particle" : "De", "parse-names" : false, "suffix" : "" } ], "container-title" : "Water Resources Research", "id" : "ITEM-1", "issue" : "9", "issued" : { "date-parts" : [ [ "2016" ] ] }, "page" : "6710-6729", "title" : "Regionalization of land-use impacts on streamflow using a network of paired catchments", "type" : "article-journal", "volume" : "52" }, "uris" : [ "http://www.mendeley.com/documents/?uuid=21412806-a5e4-36c3-8ad2-269613160e25" ] } ], "mendeley" : { "formattedCitation" : "(Ochoa-Tocachi et al., 2016)", "manualFormatting" : "(Ochoa-Tocachi et al., 2016)", "plainTextFormattedCitation" : "(Ochoa-Tocachi et al., 2016)", "previouslyFormattedCitation" : "(Ochoa-Tocachi et al., 2016)" }, "properties" : { "noteIndex" : 0 }, "schema" : "https://github.com/citation-style-language/schema/raw/master/csl-citation.json" }</w:instrText>
      </w:r>
      <w:r w:rsidR="004255E7" w:rsidRPr="008608AA">
        <w:fldChar w:fldCharType="separate"/>
      </w:r>
      <w:r w:rsidR="004255E7" w:rsidRPr="008608AA">
        <w:rPr>
          <w:noProof/>
        </w:rPr>
        <w:t>(Ochoa-Tocachi et al., 2016)</w:t>
      </w:r>
      <w:r w:rsidR="004255E7" w:rsidRPr="008608AA">
        <w:fldChar w:fldCharType="end"/>
      </w:r>
      <w:r w:rsidR="004255E7" w:rsidRPr="008608AA">
        <w:t xml:space="preserve">. Moreover, shifts to agriculture lead to a loss of microbial functional diversity in páramo, which is reflected in lower metabolic activity. Fishing, based on native species, is a longstanding tradition in some large high Andean lakes. However, the introduction of trout (and silversides) together with more invasive fishing techniques has seen a decline in endemic native fish </w:t>
      </w:r>
      <w:r w:rsidR="004255E7" w:rsidRPr="008608AA">
        <w:fldChar w:fldCharType="begin" w:fldLock="1"/>
      </w:r>
      <w:r w:rsidR="004255E7" w:rsidRPr="008608AA">
        <w:instrText>ADDIN CSL_CITATION { "citationItems" : [ { "id" : "ITEM-1", "itemData" : { "DOI" : "10.1080/14634980701351395", "ISBN" : "1463-4988", "ISSN" : "14634988", "abstract" : "Fisheries of the Altiplano, dating from 1500 to 2000 BC, are active in the Andean inter-montane plateau that extends from Ancash, Peru, to Antofagasta, Chile, at altitudes above 3600 m. The ancient and remote nature of these systems has merited the inclusion of many areas as National Parks and RAMSAR sites. Among 58 native fish species, 45 belong to the killifish complex Orestias and the rest to the catfish complex Trichomycterus. The main fishery resources consist of \"ispi\", Orestias ispi, with 32 175 (64.5%) metric tons and \"karachi\", Orestias of the group agassii, with 455 metric tons (0.9%). The introduced fishes \"silversides\", Odontesthes bonariensis, and \"trouts\", Oncorhynchus mykiss, contribute 16 900 metric tons (33.9%) and 324 metric tons (0.7%) respectively. Hydro-acoustic evaluations show a permanent diminution of the endemic Orestias. Lake species such as O. pentlandii \"boga\" and O. cuvieri \"humanto\" were important for their biogeographic relationships and were highly endemic. Native fishes are nowadays threatened by the salmonids, Oncorhynchus mykiss, Salvelinus namaycush, Salvelinus fontinalis and Salmo trutta, introduced since 1939. Later the silverside Odontesthes bonariensis was introduced during 1955-1956", "author" : [ { "dropping-particle" : "", "family" : "Vila", "given" : "Irma", "non-dropping-particle" : "", "parse-names" : false, "suffix" : "" }, { "dropping-particle" : "", "family" : "Pardo", "given" : "Rodrigo", "non-dropping-particle" : "", "parse-names" : false, "suffix" : "" }, { "dropping-particle" : "", "family" : "Scott", "given" : "Sergio", "non-dropping-particle" : "", "parse-names" : false, "suffix" : "" } ], "container-title" : "Aquatic Ecosystem Health &amp; Management", "id" : "ITEM-1", "issue" : "2", "issued" : { "date-parts" : [ [ "2007" ] ] }, "page" : "201-211", "title" : "Freshwater fishes of the Altiplano", "type" : "article-journal", "volume" : "10" }, "uris" : [ "http://www.mendeley.com/documents/?uuid=1987d7c7-2a08-335f-b3d5-58c67b78ff64" ] } ], "mendeley" : { "formattedCitation" : "(Vila et al., 2007)", "manualFormatting" : "(Vila et al., 2007)", "plainTextFormattedCitation" : "(Vila et al., 2007)", "previouslyFormattedCitation" : "(Vila et al., 2007)" }, "properties" : { "noteIndex" : 0 }, "schema" : "https://github.com/citation-style-language/schema/raw/master/csl-citation.json" }</w:instrText>
      </w:r>
      <w:r w:rsidR="004255E7" w:rsidRPr="008608AA">
        <w:fldChar w:fldCharType="separate"/>
      </w:r>
      <w:r w:rsidR="004255E7" w:rsidRPr="008608AA">
        <w:rPr>
          <w:noProof/>
        </w:rPr>
        <w:t>(Vila et al., 2007)</w:t>
      </w:r>
      <w:r w:rsidR="004255E7" w:rsidRPr="008608AA">
        <w:fldChar w:fldCharType="end"/>
      </w:r>
      <w:r w:rsidR="004255E7" w:rsidRPr="008608AA">
        <w:t xml:space="preserve">. </w:t>
      </w:r>
    </w:p>
    <w:p w14:paraId="7CE2B0E8" w14:textId="372EF758" w:rsidR="00843724" w:rsidRDefault="00843724" w:rsidP="0063629E">
      <w:pPr>
        <w:widowControl w:val="0"/>
        <w:autoSpaceDE w:val="0"/>
        <w:autoSpaceDN w:val="0"/>
        <w:adjustRightInd w:val="0"/>
        <w:spacing w:after="120"/>
      </w:pPr>
    </w:p>
    <w:p w14:paraId="1FD3BCF1" w14:textId="4E9761DE" w:rsidR="00843724" w:rsidRDefault="00843724" w:rsidP="0063629E">
      <w:pPr>
        <w:widowControl w:val="0"/>
        <w:autoSpaceDE w:val="0"/>
        <w:autoSpaceDN w:val="0"/>
        <w:adjustRightInd w:val="0"/>
        <w:spacing w:after="120"/>
      </w:pPr>
    </w:p>
    <w:p w14:paraId="20925BCA" w14:textId="55C8ECAD" w:rsidR="00843724" w:rsidRDefault="00843724" w:rsidP="0063629E">
      <w:pPr>
        <w:widowControl w:val="0"/>
        <w:autoSpaceDE w:val="0"/>
        <w:autoSpaceDN w:val="0"/>
        <w:adjustRightInd w:val="0"/>
        <w:spacing w:after="120"/>
      </w:pPr>
    </w:p>
    <w:p w14:paraId="182C9A84" w14:textId="336F944E" w:rsidR="00843724" w:rsidRDefault="00843724" w:rsidP="0063629E">
      <w:pPr>
        <w:widowControl w:val="0"/>
        <w:autoSpaceDE w:val="0"/>
        <w:autoSpaceDN w:val="0"/>
        <w:adjustRightInd w:val="0"/>
        <w:spacing w:after="120"/>
      </w:pPr>
    </w:p>
    <w:p w14:paraId="5A993167" w14:textId="4BEC6259" w:rsidR="00843724" w:rsidRDefault="00843724" w:rsidP="0063629E">
      <w:pPr>
        <w:widowControl w:val="0"/>
        <w:autoSpaceDE w:val="0"/>
        <w:autoSpaceDN w:val="0"/>
        <w:adjustRightInd w:val="0"/>
        <w:spacing w:after="120"/>
      </w:pPr>
    </w:p>
    <w:p w14:paraId="4685C1EE" w14:textId="77777777" w:rsidR="00286530" w:rsidRPr="008608AA" w:rsidRDefault="00286530" w:rsidP="0063629E">
      <w:pPr>
        <w:widowControl w:val="0"/>
        <w:autoSpaceDE w:val="0"/>
        <w:autoSpaceDN w:val="0"/>
        <w:adjustRightInd w:val="0"/>
        <w:spacing w:after="120"/>
      </w:pPr>
    </w:p>
    <w:p w14:paraId="733D132F" w14:textId="07703AD8" w:rsidR="00F600EB" w:rsidRPr="008608AA" w:rsidRDefault="0063629E" w:rsidP="0063629E">
      <w:pPr>
        <w:pStyle w:val="Caption"/>
        <w:rPr>
          <w:b w:val="0"/>
          <w:sz w:val="20"/>
        </w:rPr>
      </w:pPr>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3</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6</w:t>
      </w:r>
      <w:r w:rsidR="000E562E">
        <w:rPr>
          <w:noProof/>
        </w:rPr>
        <w:fldChar w:fldCharType="end"/>
      </w:r>
      <w:r w:rsidRPr="008608AA">
        <w:t xml:space="preserve">. </w:t>
      </w:r>
      <w:r w:rsidR="00F600EB" w:rsidRPr="008608AA">
        <w:t>The role of páramo and puna for human well-being</w:t>
      </w:r>
      <w:r w:rsidR="00702CDB" w:rsidRPr="008608AA">
        <w:t>.</w:t>
      </w:r>
    </w:p>
    <w:tbl>
      <w:tblPr>
        <w:tblStyle w:val="TableGrid"/>
        <w:tblW w:w="5000" w:type="pct"/>
        <w:tblLook w:val="04A0" w:firstRow="1" w:lastRow="0" w:firstColumn="1" w:lastColumn="0" w:noHBand="0" w:noVBand="1"/>
      </w:tblPr>
      <w:tblGrid>
        <w:gridCol w:w="9487"/>
      </w:tblGrid>
      <w:tr w:rsidR="001C5394" w:rsidRPr="00843724" w14:paraId="7E691F04" w14:textId="77777777" w:rsidTr="00F600EB">
        <w:tc>
          <w:tcPr>
            <w:tcW w:w="5000" w:type="pct"/>
          </w:tcPr>
          <w:p w14:paraId="6BB4D09E" w14:textId="77777777" w:rsidR="003E0780" w:rsidRPr="00843724" w:rsidRDefault="001C5394" w:rsidP="0063629E">
            <w:pPr>
              <w:widowControl w:val="0"/>
              <w:autoSpaceDE w:val="0"/>
              <w:autoSpaceDN w:val="0"/>
              <w:adjustRightInd w:val="0"/>
              <w:spacing w:before="120" w:after="120"/>
              <w:rPr>
                <w:szCs w:val="22"/>
              </w:rPr>
            </w:pPr>
            <w:r w:rsidRPr="00843724">
              <w:rPr>
                <w:szCs w:val="22"/>
              </w:rPr>
              <w:t xml:space="preserve">Humans were living at 4,480 m.a.s.l some 11,500 years ago in the puna of Peru </w:t>
            </w:r>
            <w:r w:rsidRPr="00843724">
              <w:rPr>
                <w:szCs w:val="22"/>
              </w:rPr>
              <w:fldChar w:fldCharType="begin" w:fldLock="1"/>
            </w:r>
            <w:r w:rsidRPr="00843724">
              <w:rPr>
                <w:szCs w:val="22"/>
              </w:rPr>
              <w:instrText>ADDIN CSL_CITATION { "citationItems" : [ { "id" : "ITEM-1", "itemData" : { "DOI" : "10.1126/science.1258260", "ISBN" : "0036-8075", "ISSN" : "0036-8075", "PMID" : "25342802", "abstract" : "Study of human adaptation to extreme environments is important for understanding our cultural and genetic capacity for survival. The Pucuncho Basin in the southern Peruvian Andes contains the highest-altitude Pleistocene archaeological sites yet identified in the world, about 900 meters above confidently dated contemporary sites. The Pucuncho workshop site [4355 meters above sea level (masl)] includes two fishtail projectile points, which date to about 12.8 to 11.5 thousand years ago (ka). Cuncaicha rock shelter (4480 masl) has a robust, well-preserved, and well-dated occupation sequence spanning the past 12.4 thousand years (ky), with 21 dates older than 11.5 ka. Our results demonstrate that despite cold temperatures and low-oxygen conditions, hunter-gatherers colonized extreme high-altitude Andean environments in the Terminal Pleistocene, within about 2 ky of the initial entry of humans to South America.", "author" : [ { "dropping-particle" : "", "family" : "Rademaker", "given" : "Kurt", "non-dropping-particle" : "", "parse-names" : false, "suffix" : "" }, { "dropping-particle" : "", "family" : "Hodgins", "given" : "Gregory", "non-dropping-particle" : "", "parse-names" : false, "suffix" : "" }, { "dropping-particle" : "", "family" : "Moore", "given" : "Katherine", "non-dropping-particle" : "", "parse-names" : false, "suffix" : "" }, { "dropping-particle" : "", "family" : "Zarrillo", "given" : "Sonia", "non-dropping-particle" : "", "parse-names" : false, "suffix" : "" }, { "dropping-particle" : "", "family" : "Miller", "given" : "Christopher", "non-dropping-particle" : "", "parse-names" : false, "suffix" : "" }, { "dropping-particle" : "", "family" : "Bromley", "given" : "Gordon R. M.", "non-dropping-particle" : "", "parse-names" : false, "suffix" : "" }, { "dropping-particle" : "", "family" : "Leach", "given" : "Peter", "non-dropping-particle" : "", "parse-names" : false, "suffix" : "" }, { "dropping-particle" : "", "family" : "Reid", "given" : "David A.", "non-dropping-particle" : "", "parse-names" : false, "suffix" : "" }, { "dropping-particle" : "", "family" : "\u00c1lvarez", "given" : "Willy Y\u00e9pez", "non-dropping-particle" : "", "parse-names" : false, "suffix" : "" }, { "dropping-particle" : "", "family" : "Sandweiss", "given" : "Daniel H.", "non-dropping-particle" : "", "parse-names" : false, "suffix" : "" } ], "container-title" : "Science", "id" : "ITEM-1", "issue" : "6208", "issued" : { "date-parts" : [ [ "2014" ] ] }, "page" : "466-469", "title" : "Paleoindian settlement of the high-altitude Peruvian Andes", "type" : "article-journal", "volume" : "346" }, "uris" : [ "http://www.mendeley.com/documents/?uuid=14871296-dcc2-36e6-baa1-0e7331e0f1fd" ] } ], "mendeley" : { "formattedCitation" : "(Rademaker et al., 2014)", "plainTextFormattedCitation" : "(Rademaker et al., 2014)", "previouslyFormattedCitation" : "(Rademaker et al., 2014)" }, "properties" : { "noteIndex" : 0 }, "schema" : "https://github.com/citation-style-language/schema/raw/master/csl-citation.json" }</w:instrText>
            </w:r>
            <w:r w:rsidRPr="00843724">
              <w:rPr>
                <w:szCs w:val="22"/>
              </w:rPr>
              <w:fldChar w:fldCharType="separate"/>
            </w:r>
            <w:r w:rsidRPr="00843724">
              <w:rPr>
                <w:noProof/>
                <w:szCs w:val="22"/>
              </w:rPr>
              <w:t>(Rademaker et al., 2014)</w:t>
            </w:r>
            <w:r w:rsidRPr="00843724">
              <w:rPr>
                <w:szCs w:val="22"/>
              </w:rPr>
              <w:fldChar w:fldCharType="end"/>
            </w:r>
            <w:r w:rsidRPr="00843724">
              <w:rPr>
                <w:szCs w:val="22"/>
              </w:rPr>
              <w:t xml:space="preserve"> and at 3,000–3,600 m.a.s.l some 13,000 calibrated </w:t>
            </w:r>
            <w:r w:rsidRPr="00843724">
              <w:rPr>
                <w:iCs/>
                <w:szCs w:val="22"/>
              </w:rPr>
              <w:t>years</w:t>
            </w:r>
            <w:r w:rsidRPr="00843724">
              <w:rPr>
                <w:szCs w:val="22"/>
              </w:rPr>
              <w:t xml:space="preserve"> before the present on the Chilean altiplano </w:t>
            </w:r>
            <w:r w:rsidRPr="00843724">
              <w:rPr>
                <w:szCs w:val="22"/>
              </w:rPr>
              <w:fldChar w:fldCharType="begin" w:fldLock="1"/>
            </w:r>
            <w:r w:rsidRPr="00843724">
              <w:rPr>
                <w:szCs w:val="22"/>
              </w:rPr>
              <w:instrText>ADDIN CSL_CITATION { "citationItems" : [ { "id" : "ITEM-1", "itemData" : { "DOI" : "10.1126/science.1076449", "ISBN" : "1095-9203 (Electronic)\\r0036-8075 (Linking)", "ISSN" : "00368075", "PMID" : "12399589", "abstract" : "Widespread evidence for human occupation of the Atacama Desert, 20 degrees to 25 degrees S in northern Chile, has been found from 13,000 calibrated 14C years before the present (cal yr B.P.) to 9500 cal yr B.P., and again after 4500 cal yr B.P. Initial human occupation coincided with a change from very dry environments to humid environments. More than 39 open early Archaic campsites at elevations above 3600 meters show that hunters lived around late glacial/early Holocene paleolakes on the Altiplano. Cessation of the use of the sites between 9500 and 4500 cal yr B.P. is associated with drying of the lakes. The mid-Holocene collapse of human occupation is also recorded in cave deposits. One cave contained Pleistocene fauna associated with human artifacts. Faunal diversity was highest during the humid early Holocene.", "author" : [ { "dropping-particle" : "", "family" : "N\u00fa\u00f1ez", "given" : "L.", "non-dropping-particle" : "", "parse-names" : false, "suffix" : "" }, { "dropping-particle" : "", "family" : "Grosjean", "given" : "M.", "non-dropping-particle" : "", "parse-names" : false, "suffix" : "" }, { "dropping-particle" : "", "family" : "Cartajena", "given" : "I.", "non-dropping-particle" : "", "parse-names" : false, "suffix" : "" } ], "container-title" : "Science", "id" : "ITEM-1", "issue" : "5594", "issued" : { "date-parts" : [ [ "2002" ] ] }, "page" : "821-824", "title" : "Human occupations and climate change in the Puna de Atacama, Chile", "type" : "article-journal", "volume" : "298" }, "uris" : [ "http://www.mendeley.com/documents/?uuid=5f8dcce6-54a1-38c3-90ef-47b00c364092" ] } ], "mendeley" : { "formattedCitation" : "(N\u00fa\u00f1ez, Grosjean, &amp; Cartajena, 2002)", "manualFormatting" : "(N\u00fa\u00f1ez et al., 2002)", "plainTextFormattedCitation" : "(N\u00fa\u00f1ez, Grosjean, &amp; Cartajena, 2002)", "previouslyFormattedCitation" : "(N\u00fa\u00f1ez, Grosjean, &amp; Cartajena, 2002)" }, "properties" : { "noteIndex" : 0 }, "schema" : "https://github.com/citation-style-language/schema/raw/master/csl-citation.json" }</w:instrText>
            </w:r>
            <w:r w:rsidRPr="00843724">
              <w:rPr>
                <w:szCs w:val="22"/>
              </w:rPr>
              <w:fldChar w:fldCharType="separate"/>
            </w:r>
            <w:r w:rsidRPr="00843724">
              <w:rPr>
                <w:noProof/>
                <w:szCs w:val="22"/>
              </w:rPr>
              <w:t>(Núñez et al., 2002)</w:t>
            </w:r>
            <w:r w:rsidRPr="00843724">
              <w:rPr>
                <w:szCs w:val="22"/>
              </w:rPr>
              <w:fldChar w:fldCharType="end"/>
            </w:r>
            <w:r w:rsidRPr="00843724">
              <w:rPr>
                <w:szCs w:val="22"/>
              </w:rPr>
              <w:t xml:space="preserve">. High altitude indigenous peoples of the páramo and puna have accumulated a wealth of ILK on high Andean biodiversity, especially useful plants </w:t>
            </w:r>
            <w:r w:rsidRPr="00843724">
              <w:rPr>
                <w:szCs w:val="22"/>
              </w:rPr>
              <w:fldChar w:fldCharType="begin" w:fldLock="1"/>
            </w:r>
            <w:r w:rsidRPr="00843724">
              <w:rPr>
                <w:szCs w:val="22"/>
              </w:rPr>
              <w:instrText>ADDIN CSL_CITATION { "citationItems" : [ { "id" : "ITEM-1", "itemData" : { "DOI" : "10.1007/BF02859312", "ISBN" : "00130001", "ISSN" : "00130001", "PMID" : "127", "abstract" : "The perception of the surrounding environment and use of the flora by the inhabitants of Toconce, a Pre-Altiplanic community in the Andes of northern Chile, were investigated. Six ecological units, which are given the local names of Pampa, Tolar, Medano, Pajonal, Hoyada, and Paniso, are recognized by the people of Toconce on the basis of their different dominant plants, geomorphology and microclimate. These units are in turn integrated into 3 units of landscape utilization: Cerro, Campo and Chacra. The latter is an artificial unit, corresponding to the man-made terraces located on the steep slopes of the Andean canyons. The Campo is a pastoral area, mainly for llamas. The Cerro, situated at higher elevation, has ritual as well as economic importance. This altitudinal sector is the place for the gathering of llareta, the most valuable vegetal fuel in Toconce. Seven categories of plant use are defined: forage, medicinal, food, fuel, crafts, ritual and construction. The inhabitants of Toconce have maximized the use of the plant resources in each altitudinal level. This long-lasting cultural pattern is being gradually modified due to the influence of industrial development and growth of the neighboring urban centers.", "author" : [ { "dropping-particle" : "", "family" : "Aldunate", "given" : "Carlos", "non-dropping-particle" : "", "parse-names" : false, "suffix" : "" }, { "dropping-particle" : "", "family" : "Villagr\u00e1n", "given" : "Carolina", "non-dropping-particle" : "", "parse-names" : false, "suffix" : "" }, { "dropping-particle" : "", "family" : "Armesto", "given" : "Juan J.", "non-dropping-particle" : "", "parse-names" : false, "suffix" : "" }, { "dropping-particle" : "", "family" : "Castro", "given" : "Victoria", "non-dropping-particle" : "", "parse-names" : false, "suffix" : "" } ], "container-title" : "Economic Botany", "id" : "ITEM-1", "issue" : "1", "issued" : { "date-parts" : [ [ "1983" ] ] }, "page" : "120-135", "title" : "Ethnobotany of pre-altiplanic community in the Andes of northern Chile", "type" : "article-journal", "volume" : "37" }, "uris" : [ "http://www.mendeley.com/documents/?uuid=3ba55ee7-759b-4148-b1c3-8ca02bf4c401" ] }, { "id" : "ITEM-2", "itemData" : { "DOI" : "10.1186/1746-4269-9-83", "author" : [ { "dropping-particle" : "", "family" : "Brandt", "given" : "Regine", "non-dropping-particle" : "", "parse-names" : false, "suffix" : "" }, { "dropping-particle" : "", "family" : "Mathez-Stiefel", "given" : "Sarah-Lan", "non-dropping-particle" : "", "parse-names" : false, "suffix" : "" }, { "dropping-particle" : "", "family" : "Lachmuth", "given" : "Susanne", "non-dropping-particle" : "", "parse-names" : false, "suffix" : "" }, { "dropping-particle" : "", "family" : "Hensen", "given" : "Isabell", "non-dropping-particle" : "", "parse-names" : false, "suffix" : "" }, { "dropping-particle" : "", "family" : "Rist", "given" : "Stephan", "non-dropping-particle" : "", "parse-names" : false, "suffix" : "" } ], "container-title" : "Journal of Ethnobiology and Ethnomedicine", "id" : "ITEM-2", "issued" : { "date-parts" : [ [ "2013" ] ] }, "page" : "83", "title" : "Knowledge and valuation of Andean agroforestry species: the role of sex, age, and migration among members of a rural community in Bolivia", "type" : "article-journal", "volume" : "9" }, "uris" : [ "http://www.mendeley.com/documents/?uuid=a580c364-518e-48f9-8b83-c633ab1c2077" ] }, { "id" : "ITEM-3", "itemData" : { "author" : [ { "dropping-particle" : "", "family" : "Califano", "given" : "L.M.", "non-dropping-particle" : "", "parse-names" : false, "suffix" : "" }, { "dropping-particle" : "", "family" : "Echaz\u00fa", "given" : "F.", "non-dropping-particle" : "", "parse-names" : false, "suffix" : "" } ], "container-title" : "Bolet\u00edn de la Sociedad Argentina de Bot\u00e1nica", "id" : "ITEM-3", "issued" : { "date-parts" : [ [ "2013" ] ] }, "page" : "365-375", "title" : "Etnobota\u0301nica en comunidades pastoriles. Conocimiento tradicional sobre especies t\u00f3xicas para el ganado en la cuenca del R\u00edo Iruya", "type" : "article-journal", "volume" : "48" }, "uris" : [ "http://www.mendeley.com/documents/?uuid=f157a958-51e3-43fe-8a92-1d37d758bd96" ] }, { "id" : "ITEM-4", "itemData" : { "author" : [ { "dropping-particle" : "", "family" : "Huamantupa", "given" : "I.", "non-dropping-particle" : "", "parse-names" : false, "suffix" : "" }, { "dropping-particle" : "", "family" : "Cuba", "given" : "M.", "non-dropping-particle" : "", "parse-names" : false, "suffix" : "" }, { "dropping-particle" : "", "family" : "Urrunaga", "given" : "R.", "non-dropping-particle" : "", "parse-names" : false, "suffix" : "" }, { "dropping-particle" : "", "family" : "Paz", "given" : "E.", "non-dropping-particle" : "", "parse-names" : false, "suffix" : "" }, { "dropping-particle" : "", "family" : "Ananya", "given" : "N.", "non-dropping-particle" : "", "parse-names" : false, "suffix" : "" }, { "dropping-particle" : "", "family" : "Callalli", "given" : "M.", "non-dropping-particle" : "", "parse-names" : false, "suffix" : "" }, { "dropping-particle" : "", "family" : "Pallquil", "given" : "N.", "non-dropping-particle" : "", "parse-names" : false, "suffix" : "" }, { "dropping-particle" : "", "family" : "Coasaca", "given" : "H.", "non-dropping-particle" : "", "parse-names" : false, "suffix" : "" } ], "container-title" : "Revista Peruana de Biologia", "id" : "ITEM-4", "issue" : "3", "issued" : { "date-parts" : [ [ "2011" ] ] }, "page" : "283-291", "title" : "Richness, use and origin of expended medicinal plants in the markets of the Cusco City", "type" : "article-journal", "volume" : "18" }, "uris" : [ "http://www.mendeley.com/documents/?uuid=e2fb40bd-5508-4da0-b8d1-c04c58375106" ] }, { "id" : "ITEM-5", "itemData" : { "DOI" : "10.1016/j.jep.2012.10.066", "author" : [ { "dropping-particle" : "", "family" : "Monigatti", "given" : "M.", "non-dropping-particle" : "", "parse-names" : false, "suffix" : "" }, { "dropping-particle" : "", "family" : "Bussmann", "given" : "R. W.", "non-dropping-particle" : "", "parse-names" : false, "suffix" : "" }, { "dropping-particle" : "", "family" : "Weckerle", "given" : "C. S.", "non-dropping-particle" : "", "parse-names" : false, "suffix" : "" } ], "container-title" : "Journal of Ethnopharmacology", "id" : "ITEM-5", "issue" : "2", "issued" : { "date-parts" : [ [ "2013" ] ] }, "page" : "450-464", "title" : "Medicinal plant use in two Andean communities located at different altitudes in the Bolivar Province, Peru", "type" : "article-journal", "volume" : "145" }, "uris" : [ "http://www.mendeley.com/documents/?uuid=20117e44-92cd-41e5-81fc-618b9d8278b8" ] }, { "id" : "ITEM-6", "itemData" : { "author" : [ { "dropping-particle" : "", "family" : "Pauro", "given" : "JJR", "non-dropping-particle" : "", "parse-names" : false, "suffix" : "" }, { "dropping-particle" : "", "family" : "Gonz\u00e1les", "given" : "MF", "non-dropping-particle" : "", "parse-names" : false, "suffix" : "" }, { "dropping-particle" : "", "family" : "Gamarra C", "given" : "BM", "non-dropping-particle" : "", "parse-names" : false, "suffix" : "" }, { "dropping-particle" : "", "family" : "Pauro R", "given" : "JR", "non-dropping-particle" : "", "parse-names" : false, "suffix" : "" }, { "dropping-particle" : "", "family" : "Mamani M", "given" : "F", "non-dropping-particle" : "", "parse-names" : false, "suffix" : "" }, { "dropping-particle" : "", "family" : "Huerta", "given" : "RB", "non-dropping-particle" : "", "parse-names" : false, "suffix" : "" } ], "container-title" : "Ecolog\u00eda Aplicada", "id" : "ITEM-6", "issue" : "1", "issued" : { "date-parts" : [ [ "2011" ] ] }, "page" : "41-49", "title" : "Plantas alimenticias, medicinales y biocidas de la comuna de Mu\u00f1ani y Suatia, provincia de Lampa (Puno-Per\u00fa)", "type" : "article-journal", "volume" : "10" }, "uris" : [ "http://www.mendeley.com/documents/?uuid=4b580e89-d46e-4c15-ada4-3a1a58a41ccc" ] }, { "id" : "ITEM-7", "itemData" : { "author" : [ { "dropping-particle" : "", "family" : "Ramos", "given" : "R. S.", "non-dropping-particle" : "", "parse-names" : false, "suffix" : "" }, { "dropping-particle" : "", "family" : "Hilgert", "given" : "N. I.", "non-dropping-particle" : "", "parse-names" : false, "suffix" : "" }, { "dropping-particle" : "", "family" : "Lambare", "given" : "D. A.", "non-dropping-particle" : "", "parse-names" : false, "suffix" : "" } ], "container-title" : "Boletin de la Sociedad Argentina de Bot\u00e1nica", "id" : "ITEM-7", "issue" : "3-4", "issued" : { "date-parts" : [ [ "2013" ] ] }, "page" : "607-621", "title" : "Traditional agriculture and the richness of maize (&lt;i&gt;Zea mays&lt;/i&gt;). A case study in Caspala, Jujuy province, Agentina", "type" : "article-journal", "volume" : "48" }, "uris" : [ "http://www.mendeley.com/documents/?uuid=58d230ba-4895-4a49-9e78-2ff3e6b5ed17" ] }, { "id" : "ITEM-8", "itemData" : { "author" : [ { "dropping-particle" : "", "family" : "Thomas", "given" : "E.", "non-dropping-particle" : "", "parse-names" : false, "suffix" : "" }, { "dropping-particle" : "", "family" : "Vandebroek", "given" : "I.", "non-dropping-particle" : "", "parse-names" : false, "suffix" : "" }, { "dropping-particle" : "", "family" : "Goetghebeur", "given" : "P.", "non-dropping-particle" : "", "parse-names" : false, "suffix" : "" }, { "dropping-particle" : "", "family" : "Sanca", "given" : "C.", "non-dropping-particle" : "", "parse-names" : false, "suffix" : "" }, { "dropping-particle" : "", "family" : "Arr\u00e1zola", "given" : "S.", "non-dropping-particle" : "", "parse-names" : false, "suffix" : "" }, { "dropping-particle" : "", "family" : "Damme", "given" : "Patrick", "non-dropping-particle" : "Van", "parse-names" : false, "suffix" : "" } ], "container-title" : "Human Ecology", "id" : "ITEM-8", "issue" : "6", "issued" : { "date-parts" : [ [ "2008" ] ] }, "page" : "861-879", "title" : "The relationship between plant use and plant diversity in the Bolivian Andes, with special reference to medicinal plant use", "type" : "article-journal", "volume" : "36" }, "uris" : [ "http://www.mendeley.com/documents/?uuid=c394bbfa-da86-44e0-9a21-ef820ec11687" ] } ], "mendeley" : { "formattedCitation" : "(Aldunate, Villagr\u00e1n, Armesto, &amp; Castro, 1983; Brandt, Mathez-Stiefel, Lachmuth, Hensen, &amp; Rist, 2013; Califano &amp; Echaz\u00fa, 2013; Huamantupa et al., 2011; Monigatti, Bussmann, &amp; Weckerle, 2013; Pauro et al., 2011; R. S. Ramos, Hilgert, &amp; Lambare, 2013; Thomas et al., 2008)", "manualFormatting" : "(Aldunate et al., 1983; Brandt et al., 2013; Califano &amp; Echaz\u00fa, 2013; Huamantupa et al., 2011; Monigatti et al., 2013; Pauro et al., 2011; Ramos et al., 2013; Thomas et al., 2008, Villagr\u00e1n et al., 2003)", "plainTextFormattedCitation" : "(Aldunate, Villagr\u00e1n, Armesto, &amp; Castro, 1983; Brandt, Mathez-Stiefel, Lachmuth, Hensen, &amp; Rist, 2013; Califano &amp; Echaz\u00fa, 2013; Huamantupa et al., 2011; Monigatti, Bussmann, &amp; Weckerle, 2013; Pauro et al., 2011; R. S. Ramos, Hilgert, &amp; Lambare, 2013; Thomas et al., 2008)", "previouslyFormattedCitation" : "(Aldunate, Villagr\u00e1n, Armesto, &amp; Castro, 1983; Brandt, Mathez-Stiefel, Lachmuth, Hensen, &amp; Rist, 2013; Califano &amp; Echaz\u00fa, 2013; Huamantupa et al., 2011; Monigatti, Bussmann, &amp; Weckerle, 2013; Pauro et al., 2011; R. S. Ramos, Hilgert, &amp; Lambare, 2013; Thomas et al., 2008)" }, "properties" : { "noteIndex" : 0 }, "schema" : "https://github.com/citation-style-language/schema/raw/master/csl-citation.json" }</w:instrText>
            </w:r>
            <w:r w:rsidRPr="00843724">
              <w:rPr>
                <w:szCs w:val="22"/>
              </w:rPr>
              <w:fldChar w:fldCharType="separate"/>
            </w:r>
            <w:r w:rsidRPr="00843724">
              <w:rPr>
                <w:noProof/>
                <w:szCs w:val="22"/>
              </w:rPr>
              <w:t>(Aldunate et al., 1983; Brandt et al., 2013; Califano &amp; Echazú, 2013; Huamantupa et al., 2011; Monigatti et al., 2013; Pauro et al., 2011; Ramos et al., 2013; Thomas et al., 2008, Villagrán et al., 2003)</w:t>
            </w:r>
            <w:r w:rsidRPr="00843724">
              <w:rPr>
                <w:szCs w:val="22"/>
              </w:rPr>
              <w:fldChar w:fldCharType="end"/>
            </w:r>
            <w:r w:rsidRPr="00843724">
              <w:rPr>
                <w:szCs w:val="22"/>
              </w:rPr>
              <w:t xml:space="preserve"> and have developed resilience to climatic extremes by managing alternative crop varieties Local inhabitants have developed their own taxonomic systems reflecting thousands of years of interchange between different linguistic groups </w:t>
            </w:r>
            <w:r w:rsidRPr="00843724">
              <w:rPr>
                <w:szCs w:val="22"/>
              </w:rPr>
              <w:fldChar w:fldCharType="begin" w:fldLock="1"/>
            </w:r>
            <w:r w:rsidRPr="00843724">
              <w:rPr>
                <w:szCs w:val="22"/>
              </w:rPr>
              <w:instrText>ADDIN CSL_CITATION { "citationItems" : [ { "id" : "ITEM-1", "itemData" : { "DOI" : "10.1007/BF02859312", "ISBN" : "00130001", "ISSN" : "00130001", "PMID" : "127", "abstract" : "The perception of the surrounding environment and use of the flora by the inhabitants of Toconce, a Pre-Altiplanic community in the Andes of northern Chile, were investigated. Six ecological units, which are given the local names of Pampa, Tolar, Medano, Pajonal, Hoyada, and Paniso, are recognized by the people of Toconce on the basis of their different dominant plants, geomorphology and microclimate. These units are in turn integrated into 3 units of landscape utilization: Cerro, Campo and Chacra. The latter is an artificial unit, corresponding to the man-made terraces located on the steep slopes of the Andean canyons. The Campo is a pastoral area, mainly for llamas. The Cerro, situated at higher elevation, has ritual as well as economic importance. This altitudinal sector is the place for the gathering of llareta, the most valuable vegetal fuel in Toconce. Seven categories of plant use are defined: forage, medicinal, food, fuel, crafts, ritual and construction. The inhabitants of Toconce have maximized the use of the plant resources in each altitudinal level. This long-lasting cultural pattern is being gradually modified due to the influence of industrial development and growth of the neighboring urban centers.", "author" : [ { "dropping-particle" : "", "family" : "Aldunate", "given" : "Carlos", "non-dropping-particle" : "", "parse-names" : false, "suffix" : "" }, { "dropping-particle" : "", "family" : "Villagr\u00e1n", "given" : "Carolina", "non-dropping-particle" : "", "parse-names" : false, "suffix" : "" }, { "dropping-particle" : "", "family" : "Armesto", "given" : "Juan J.", "non-dropping-particle" : "", "parse-names" : false, "suffix" : "" }, { "dropping-particle" : "", "family" : "Castro", "given" : "Victoria", "non-dropping-particle" : "", "parse-names" : false, "suffix" : "" } ], "container-title" : "Economic Botany", "id" : "ITEM-1", "issue" : "1", "issued" : { "date-parts" : [ [ "1983" ] ] }, "page" : "120-135", "title" : "Ethnobotany of pre-altiplanic community in the Andes of northern Chile", "type" : "article-journal", "volume" : "37" }, "uris" : [ "http://www.mendeley.com/documents/?uuid=3ba55ee7-759b-4148-b1c3-8ca02bf4c401" ] }, { "id" : "ITEM-2", "itemData" : { "author" : [ { "dropping-particle" : "", "family" : "Villagr\u00e1n", "given" : "C.", "non-dropping-particle" : "", "parse-names" : false, "suffix" : "" }, { "dropping-particle" : "", "family" : "Romo", "given" : "M.", "non-dropping-particle" : "", "parse-names" : false, "suffix" : "" }, { "dropping-particle" : "", "family" : "Castro", "given" : "V.", "non-dropping-particle" : "", "parse-names" : false, "suffix" : "" } ], "container-title" : "Chungar\u00e1", "id" : "ITEM-2", "issue" : "1", "issued" : { "date-parts" : [ [ "2003" ] ] }, "page" : "73-124", "title" : "Etnobot\u00e1nica del sur de los Andes de la primera Regi\u00f3n de Chile: un enlace entre las culturas altipl\u00e1nicas y las de quebradas altas del Loa superior", "type" : "article-journal", "volume" : "35" }, "uris" : [ "http://www.mendeley.com/documents/?uuid=04be8b8f-d10b-4eb9-902a-919d2ab86328" ] }, { "id" : "ITEM-3", "itemData" : { "ISBN" : "956-11-1697-9", "author" : [ { "dropping-particle" : "", "family" : "Villagr\u00e1n", "given" : "C.", "non-dropping-particle" : "", "parse-names" : false, "suffix" : "" }, { "dropping-particle" : "", "family" : "Castro", "given" : "V.", "non-dropping-particle" : "", "parse-names" : false, "suffix" : "" } ], "id" : "ITEM-3", "issued" : { "date-parts" : [ [ "2003" ] ] }, "number-of-pages" : "367", "publisher" : "Editorial Universitaria", "publisher-place" : "Santiago. Chile", "title" : "Ciencia Ind\u00edgena de los Andes del Norte de Chile", "type" : "book" }, "uris" : [ "http://www.mendeley.com/documents/?uuid=32740a59-a16f-49bd-b64d-d2cba601c63b" ] } ], "mendeley" : { "formattedCitation" : "(Aldunate et al., 1983; Villagr\u00e1n &amp; Castro, 2003; Villagr\u00e1n, Romo, &amp; Castro, 2003)", "manualFormatting" : "(Aldunate et al., 1983; Villagr\u00e1n &amp; Castro, 2003)", "plainTextFormattedCitation" : "(Aldunate et al., 1983; Villagr\u00e1n &amp; Castro, 2003; Villagr\u00e1n, Romo, &amp; Castro, 2003)", "previouslyFormattedCitation" : "(Aldunate et al., 1983; Villagr\u00e1n &amp; Castro, 2003; Villagr\u00e1n, Romo, &amp; Castro, 2003)" }, "properties" : { "noteIndex" : 0 }, "schema" : "https://github.com/citation-style-language/schema/raw/master/csl-citation.json" }</w:instrText>
            </w:r>
            <w:r w:rsidRPr="00843724">
              <w:rPr>
                <w:szCs w:val="22"/>
              </w:rPr>
              <w:fldChar w:fldCharType="separate"/>
            </w:r>
            <w:r w:rsidRPr="00843724">
              <w:rPr>
                <w:noProof/>
                <w:szCs w:val="22"/>
              </w:rPr>
              <w:t>(Aldunate et al., 1983; Villagrán &amp; Castro, 2003)</w:t>
            </w:r>
            <w:r w:rsidRPr="00843724">
              <w:rPr>
                <w:szCs w:val="22"/>
              </w:rPr>
              <w:fldChar w:fldCharType="end"/>
            </w:r>
            <w:r w:rsidRPr="00843724">
              <w:rPr>
                <w:szCs w:val="22"/>
              </w:rPr>
              <w:t>.</w:t>
            </w:r>
            <w:r w:rsidRPr="00843724">
              <w:rPr>
                <w:rFonts w:eastAsiaTheme="minorHAnsi"/>
                <w:szCs w:val="22"/>
              </w:rPr>
              <w:t xml:space="preserve"> </w:t>
            </w:r>
            <w:r w:rsidRPr="00843724">
              <w:rPr>
                <w:szCs w:val="22"/>
              </w:rPr>
              <w:t xml:space="preserve">High Andean bogs in the arid puna are key habitats for native camelids which sustain the livelihoods of high altitude peoples </w:t>
            </w:r>
            <w:r w:rsidRPr="00843724">
              <w:rPr>
                <w:szCs w:val="22"/>
              </w:rPr>
              <w:fldChar w:fldCharType="begin" w:fldLock="1"/>
            </w:r>
            <w:r w:rsidRPr="00843724">
              <w:rPr>
                <w:szCs w:val="22"/>
              </w:rPr>
              <w:instrText>ADDIN CSL_CITATION { "citationItems" : [ { "id" : "ITEM-1", "itemData" : { "DOI" : "10.1016/j.jaridenv.2008.07.012", "ISBN" : "0140-1963", "ISSN" : "01401963", "PMID" : "6088", "abstract" : "Isoleg theory predicts that coexistence between two competing species can occur when the subordinate, generalist species uses alternative patches of resources as the density of the dominant specialist species increases. These models provide a framework to determine if a native species is subordinate to an introduced one, thus requires conservation considerations. We investigated habitat interactions between a wild neotropical camelid and domestic exotic ungulates in the Andean Puna semi-desert of South America. The Puna or Altiplano is an arid environment located in high altitudes, with cold and dry weather, and two main types of habitats, steppes and swamp areas. There was a high overlap of diets between species. Vicu\u00f1as were generalists in the use of habitat, but invested foraging effort in swamp habitats, while livestock were taken to swamp habitats by local people. Vicu\u00f1as and livestock were spatially segregated. Vicu\u00f1as used the preferred habitat less than expected from their foraging preference. We concluded that vicu\u00f1as and livestock coexist because vicu\u00f1as occupy sub-optimal habitats whilst livestock concentrate in the richest ones. Vicu\u00f1as can deal with poor habitats because they have several adaptations to live in deserts. \u00a9 2008 Elsevier Ltd. All rights reserved.", "author" : [ { "dropping-particle" : "", "family" : "Borgnia", "given" : "M.", "non-dropping-particle" : "", "parse-names" : false, "suffix" : "" }, { "dropping-particle" : "", "family" : "Vila", "given" : "B. L.", "non-dropping-particle" : "", "parse-names" : false, "suffix" : "" }, { "dropping-particle" : "", "family" : "Cassini", "given" : "M. H.", "non-dropping-particle" : "", "parse-names" : false, "suffix" : "" } ], "container-title" : "Journal of Arid Environments", "id" : "ITEM-1", "issue" : "12", "issued" : { "date-parts" : [ [ "2008" ] ] }, "page" : "2150-2158", "title" : "Interaction between wild camelids and livestock in an Andean semi-desert", "type" : "article-journal", "volume" : "72" }, "uris" : [ "http://www.mendeley.com/documents/?uuid=9de15f5f-292f-4d23-9aaf-ed546fb68f68" ] }, { "id" : "ITEM-2", "itemData" : { "DOI" : "10.4067/S0717-65382016000100004", "ISSN" : "0717-652X", "abstract" : "We described and compared the diets of two sympatric Andean camelids, during the humid season (austral summer) in a site of Northern Chile, in presence of domestic livestock. Results indicate that: (1) grasses and shrubs are the main component in the diet of both camelids, (2) shrubs were more consumed by V. vicugna; (3) V. vicugna and L. guanicoe used the same trophic resources but in different proportions; (4) in mountain environments, wetlands exploitation by wild camelids seems restricted by domestic cattle, which would cause the displacement of Vicu\u00f1as and Guanacos to suboptimal habitat for feeding.", "author" : [ { "dropping-particle" : "", "family" : "Tirado", "given" : "C.", "non-dropping-particle" : "", "parse-names" : false, "suffix" : "" }, { "dropping-particle" : "", "family" : "Cort\u00e9s", "given" : "A", "non-dropping-particle" : "", "parse-names" : false, "suffix" : "" }, { "dropping-particle" : "", "family" : "Carretero", "given" : "M. A.", "non-dropping-particle" : "", "parse-names" : false, "suffix" : "" }, { "dropping-particle" : "", "family" : "Bozinovic", "given" : "F.", "non-dropping-particle" : "", "parse-names" : false, "suffix" : "" } ], "container-title" : "Gayana", "id" : "ITEM-2", "issue" : "1", "issued" : { "date-parts" : [ [ "2016" ] ] }, "page" : "29-39", "title" : "Does the presence of livestock alter the trophic behaviour of sympatric populations of wild camelids &lt;i&gt;Vicugna vicugna&lt;/i&gt; Molina 1782 and &lt;i&gt;Lama guanicoe&lt;/i&gt; M\u00fcller 1976 (Artiodactyla: Camelidae)? Evidence from central Andes", "type" : "article-journal", "volume" : "80" }, "uris" : [ "http://www.mendeley.com/documents/?uuid=1a6e33a6-3b6e-36f3-9b46-6aed1b423ba9" ] } ], "mendeley" : { "formattedCitation" : "(Borgnia, Vila, &amp; Cassini, 2008; Tirado, Cort\u00e9s, Carretero, &amp; Bozinovic, 2016)", "manualFormatting" : "(Borgnia et al., 2008; Tirado et al., 2016)", "plainTextFormattedCitation" : "(Borgnia, Vila, &amp; Cassini, 2008; Tirado, Cort\u00e9s, Carretero, &amp; Bozinovic, 2016)", "previouslyFormattedCitation" : "(Borgnia, Vila, &amp; Cassini, 2008; Tirado, Cort\u00e9s, Carretero, &amp; Bozinovic, 2016)" }, "properties" : { "noteIndex" : 0 }, "schema" : "https://github.com/citation-style-language/schema/raw/master/csl-citation.json" }</w:instrText>
            </w:r>
            <w:r w:rsidRPr="00843724">
              <w:rPr>
                <w:szCs w:val="22"/>
              </w:rPr>
              <w:fldChar w:fldCharType="separate"/>
            </w:r>
            <w:r w:rsidRPr="00843724">
              <w:rPr>
                <w:noProof/>
                <w:szCs w:val="22"/>
              </w:rPr>
              <w:t>(Borgnia et al., 2008; Tirado et al., 2016)</w:t>
            </w:r>
            <w:r w:rsidRPr="00843724">
              <w:rPr>
                <w:szCs w:val="22"/>
              </w:rPr>
              <w:fldChar w:fldCharType="end"/>
            </w:r>
            <w:r w:rsidRPr="00843724">
              <w:rPr>
                <w:szCs w:val="22"/>
              </w:rPr>
              <w:t xml:space="preserve">. </w:t>
            </w:r>
            <w:r w:rsidRPr="00843724">
              <w:rPr>
                <w:rFonts w:eastAsiaTheme="minorHAnsi"/>
                <w:szCs w:val="22"/>
              </w:rPr>
              <w:t>The integrity of the páramo and puna thus is critical to conserving ILK and for the livelihoods of local inhabitants. Páramo and wet puna play critical roles in supplying water supply to lowland Andean areas.</w:t>
            </w:r>
            <w:r w:rsidRPr="00843724">
              <w:rPr>
                <w:szCs w:val="22"/>
              </w:rPr>
              <w:t xml:space="preserve"> </w:t>
            </w:r>
            <w:r w:rsidRPr="00843724">
              <w:rPr>
                <w:rFonts w:eastAsiaTheme="minorHAnsi"/>
                <w:szCs w:val="22"/>
              </w:rPr>
              <w:t xml:space="preserve">Water availability is threatened on two counts. First, severe glacier dieback has occurred over the past decades (Figure 3.21). Second, páramo and puna are increasingly being converted to other land use types involving higher water-demanding trees </w:t>
            </w:r>
            <w:r w:rsidRPr="00843724">
              <w:rPr>
                <w:szCs w:val="22"/>
              </w:rPr>
              <w:fldChar w:fldCharType="begin" w:fldLock="1"/>
            </w:r>
            <w:r w:rsidRPr="00843724">
              <w:rPr>
                <w:szCs w:val="22"/>
              </w:rPr>
              <w:instrText>ADDIN CSL_CITATION { "citationItems" : [ { "id" : "ITEM-1", "itemData" : { "DOI" : "10.1659/0276-4741(2002)022[0159:IOPPOS]2.0.CO;2", "abstract" : "Abstract A comparative study on the impact of pine plantations on soil and vegetation development was conducted in the Ecuadorian Andes (3000\u20134000 m). Pine plantations of different ages under different types of management were compared with extensively grazed p\u00e1ramo grassland (the most common former land use) and natural forest (the formerly dominant vegetation in much of the life zone). No general impact of plantations was found, although some tendencies were identified that show that soils under pine plantations are drier and less organic. Moreover, the vegetation under pine plantations was similar to p\u00e1ramo grassland, though some examples of regeneration of Andean woody species were observed, as well as examples of plantations where understory was completely lacking. We concluded that the impact of pine plantations cannot be generalized but should be evaluated case by case while care is taken in implementing plantations until more knowledge is obtained about the effects on the ecosystem as a whole, esp...", "author" : [ { "dropping-particle" : "", "family" : "Hofstede", "given" : "Robert G. M.", "non-dropping-particle" : "", "parse-names" : false, "suffix" : "" }, { "dropping-particle" : "", "family" : "Groenendijk", "given" : "Jeroen P.", "non-dropping-particle" : "", "parse-names" : false, "suffix" : "" }, { "dropping-particle" : "", "family" : "Coppus", "given" : "Ruben", "non-dropping-particle" : "", "parse-names" : false, "suffix" : "" }, { "dropping-particle" : "", "family" : "Fehse", "given" : "Jan C.", "non-dropping-particle" : "", "parse-names" : false, "suffix" : "" }, { "dropping-particle" : "", "family" : "Sevink", "given" : "Jan", "non-dropping-particle" : "", "parse-names" : false, "suffix" : "" } ], "container-title" : "Mountain Research and Development", "id" : "ITEM-1", "issue" : "2", "issued" : { "date-parts" : [ [ "2002", "1", "20" ] ] }, "page" : "159-167", "title" : "Impact of pine plantations on soils and vegetation in the Ecuadorian high Andes", "type" : "article-journal", "volume" : "22" }, "uris" : [ "http://www.mendeley.com/documents/?uuid=9d0b6c23-e855-3413-af58-8169da104c13" ] } ], "mendeley" : { "formattedCitation" : "(R. G. M. Hofstede, Groenendijk, Coppus, Fehse, &amp; Sevink, 2002)", "manualFormatting" : "(c.f., Hofstede et al., 2002)", "plainTextFormattedCitation" : "(R. G. M. Hofstede, Groenendijk, Coppus, Fehse, &amp; Sevink, 2002)", "previouslyFormattedCitation" : "(R. G. M. Hofstede, Groenendijk, Coppus, Fehse, &amp; Sevink, 2002)" }, "properties" : { "noteIndex" : 0 }, "schema" : "https://github.com/citation-style-language/schema/raw/master/csl-citation.json" }</w:instrText>
            </w:r>
            <w:r w:rsidRPr="00843724">
              <w:rPr>
                <w:szCs w:val="22"/>
              </w:rPr>
              <w:fldChar w:fldCharType="separate"/>
            </w:r>
            <w:r w:rsidRPr="00843724">
              <w:rPr>
                <w:noProof/>
                <w:szCs w:val="22"/>
              </w:rPr>
              <w:t>(c.f., Hofstede et al., 2002)</w:t>
            </w:r>
            <w:r w:rsidRPr="00843724">
              <w:rPr>
                <w:szCs w:val="22"/>
              </w:rPr>
              <w:fldChar w:fldCharType="end"/>
            </w:r>
            <w:r w:rsidRPr="00843724">
              <w:rPr>
                <w:rFonts w:eastAsiaTheme="minorHAnsi"/>
                <w:szCs w:val="22"/>
              </w:rPr>
              <w:t xml:space="preserve"> and crops. Around 16% of Colombian páramos have been now been transformed </w:t>
            </w:r>
            <w:r w:rsidRPr="00843724">
              <w:rPr>
                <w:szCs w:val="22"/>
              </w:rPr>
              <w:fldChar w:fldCharType="begin" w:fldLock="1"/>
            </w:r>
            <w:r w:rsidRPr="00843724">
              <w:rPr>
                <w:szCs w:val="22"/>
              </w:rPr>
              <w:instrText>ADDIN CSL_CITATION { "citationItems" : [ { "id" : "ITEM-1", "itemData" : { "DOI" : "10.1017/CBO9781107415324.004", "ISBN" : "9788578110796", "ISSN" : "1098-6596", "PMID" : "25246403", "abstract" : "applicability for this approach.", "editor" : [ { "dropping-particle" : "", "family" : "Bello", "given" : "J.C.", "non-dropping-particle" : "", "parse-names" : false, "suffix" : "" }, { "dropping-particle" : "", "family" : "B\u00e1ez", "given" : "M.", "non-dropping-particle" : "", "parse-names" : false, "suffix" : "" }, { "dropping-particle" : "", "family" : "Gomez", "given" : "M.F.", "non-dropping-particle" : "", "parse-names" : false, "suffix" : "" }, { "dropping-particle" : "", "family" : "Orrego", "given" : "O.", "non-dropping-particle" : "", "parse-names" : false, "suffix" : "" }, { "dropping-particle" : "", "family" : "N\u00e4gele", "given" : "L.", "non-dropping-particle" : "", "parse-names" : false, "suffix" : "" } ], "id" : "ITEM-1", "issued" : { "date-parts" : [ [ "2014" ] ] }, "number-of-pages" : "59", "publisher" : "Instituto Alexander von Humboldt", "publisher-place" : "Bogot\u00e1, D.C., Colombia", "title" : "Biodiversidad 2014. Estado y Tendencias de la Biodiversidad Continental de Colombia", "type" : "book" }, "uris" : [ "http://www.mendeley.com/documents/?uuid=01aff06b-6e2f-3713-b8db-10176d17582a" ] } ], "mendeley" : { "formattedCitation" : "(J. C. Bello, B\u00e1ez, Gomez, Orrego, &amp; N\u00e4gele, 2014)", "manualFormatting" : "(Bello et al., 2014)", "plainTextFormattedCitation" : "(J. C. Bello, B\u00e1ez, Gomez, Orrego, &amp; N\u00e4gele, 2014)", "previouslyFormattedCitation" : "(J. C. Bello, B\u00e1ez, Gomez, Orrego, &amp; N\u00e4gele, 2014)" }, "properties" : { "noteIndex" : 0 }, "schema" : "https://github.com/citation-style-language/schema/raw/master/csl-citation.json" }</w:instrText>
            </w:r>
            <w:r w:rsidRPr="00843724">
              <w:rPr>
                <w:szCs w:val="22"/>
              </w:rPr>
              <w:fldChar w:fldCharType="separate"/>
            </w:r>
            <w:r w:rsidRPr="00843724">
              <w:rPr>
                <w:noProof/>
                <w:szCs w:val="22"/>
              </w:rPr>
              <w:t>(Bello et al., 2014)</w:t>
            </w:r>
            <w:r w:rsidRPr="00843724">
              <w:rPr>
                <w:szCs w:val="22"/>
              </w:rPr>
              <w:fldChar w:fldCharType="end"/>
            </w:r>
            <w:r w:rsidRPr="00843724">
              <w:rPr>
                <w:szCs w:val="22"/>
              </w:rPr>
              <w:t xml:space="preserve"> mainly due to cropping and pastures. Peruvian Jalca grasslands were transformed at the rate of 1.5% per year over a 20 year period starting 1987 due mostly to more intensive agriculture and afforestation </w:t>
            </w:r>
            <w:r w:rsidRPr="00843724">
              <w:rPr>
                <w:szCs w:val="22"/>
              </w:rPr>
              <w:fldChar w:fldCharType="begin" w:fldLock="1"/>
            </w:r>
            <w:r w:rsidRPr="00843724">
              <w:rPr>
                <w:szCs w:val="22"/>
              </w:rPr>
              <w:instrText>ADDIN CSL_CITATION { "citationItems" : [ { "id" : "ITEM-1", "itemData" : { "DOI" : "10.1016/J.LANDURBPLAN.2012.12.003", "author" : [ { "dropping-particle" : "", "family" : "Tovar", "given" : "Carolina", "non-dropping-particle" : "", "parse-names" : false, "suffix" : "" }, { "dropping-particle" : "", "family" : "Seijmonsbergen", "given" : "Arie C.", "non-dropping-particle" : "", "parse-names" : false, "suffix" : "" }, { "dropping-particle" : "", "family" : "Duivenvoorden", "given" : "Joost F.", "non-dropping-particle" : "", "parse-names" : false, "suffix" : "" } ], "container-title" : "Landscape and Urban Planning", "id" : "ITEM-1", "issued" : { "date-parts" : [ [ "2013", "4", "1" ] ] }, "page" : "40-49", "publisher" : "Elsevier", "title" : "Monitoring land use and land cover change in mountain regions: An example in the Jalca grasslands of the Peruvian Andes", "type" : "article-journal", "volume" : "112" }, "uris" : [ "http://www.mendeley.com/documents/?uuid=e631a571-4aa9-35af-bbe9-20f6e02e4037" ] } ], "mendeley" : { "formattedCitation" : "(Tovar, Seijmonsbergen, &amp; Duivenvoorden, 2013)", "manualFormatting" : "(Tovar et al., 2013)", "plainTextFormattedCitation" : "(Tovar, Seijmonsbergen, &amp; Duivenvoorden, 2013)", "previouslyFormattedCitation" : "(Tovar, Seijmonsbergen, &amp; Duivenvoorden, 2013)" }, "properties" : { "noteIndex" : 0 }, "schema" : "https://github.com/citation-style-language/schema/raw/master/csl-citation.json" }</w:instrText>
            </w:r>
            <w:r w:rsidRPr="00843724">
              <w:rPr>
                <w:szCs w:val="22"/>
              </w:rPr>
              <w:fldChar w:fldCharType="separate"/>
            </w:r>
            <w:r w:rsidRPr="00843724">
              <w:rPr>
                <w:noProof/>
                <w:szCs w:val="22"/>
              </w:rPr>
              <w:t>(Tovar et al., 2013)</w:t>
            </w:r>
            <w:r w:rsidRPr="00843724">
              <w:rPr>
                <w:szCs w:val="22"/>
              </w:rPr>
              <w:fldChar w:fldCharType="end"/>
            </w:r>
            <w:r w:rsidRPr="00843724">
              <w:rPr>
                <w:szCs w:val="22"/>
              </w:rPr>
              <w:t>. Rapid glaciar melt also portends landslides on unconsolided deglaciated substrates following heavy rains</w:t>
            </w:r>
            <w:r w:rsidR="00702CDB" w:rsidRPr="00843724">
              <w:rPr>
                <w:szCs w:val="22"/>
              </w:rPr>
              <w:t>.</w:t>
            </w:r>
            <w:r w:rsidR="003E0780" w:rsidRPr="00843724">
              <w:rPr>
                <w:szCs w:val="22"/>
              </w:rPr>
              <w:t xml:space="preserve">  </w:t>
            </w:r>
          </w:p>
          <w:p w14:paraId="1EF37F58" w14:textId="1A660B31" w:rsidR="001C5394" w:rsidRPr="00843724" w:rsidRDefault="00FF0580" w:rsidP="00FF0580">
            <w:pPr>
              <w:widowControl w:val="0"/>
              <w:autoSpaceDE w:val="0"/>
              <w:autoSpaceDN w:val="0"/>
              <w:adjustRightInd w:val="0"/>
              <w:spacing w:before="120" w:after="120"/>
              <w:jc w:val="center"/>
              <w:rPr>
                <w:rFonts w:asciiTheme="majorHAnsi" w:eastAsia="Calibri" w:hAnsiTheme="majorHAnsi" w:cs="Calibri"/>
                <w:b/>
                <w:i/>
                <w:iCs/>
                <w:szCs w:val="22"/>
              </w:rPr>
            </w:pPr>
            <w:r w:rsidRPr="00843724">
              <w:rPr>
                <w:noProof/>
                <w:szCs w:val="22"/>
                <w:lang w:val="en-GB" w:eastAsia="en-GB"/>
              </w:rPr>
              <w:drawing>
                <wp:inline distT="0" distB="0" distL="0" distR="0" wp14:anchorId="1CFC23B7" wp14:editId="6B084385">
                  <wp:extent cx="5448300" cy="4367645"/>
                  <wp:effectExtent l="0" t="0" r="0" b="0"/>
                  <wp:docPr id="30325" name="Imagen 30325" descr="C:\Users\Alejandro Valderrama\Downloads\Fig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1" descr="C:\Users\Alejandro Valderrama\Downloads\Fig3.21.jpg"/>
                          <pic:cNvPicPr>
                            <a:picLocks noChangeAspect="1" noChangeArrowheads="1"/>
                          </pic:cNvPicPr>
                        </pic:nvPicPr>
                        <pic:blipFill rotWithShape="1">
                          <a:blip r:embed="rId136">
                            <a:extLst>
                              <a:ext uri="{28A0092B-C50C-407E-A947-70E740481C1C}">
                                <a14:useLocalDpi xmlns:a14="http://schemas.microsoft.com/office/drawing/2010/main" val="0"/>
                              </a:ext>
                            </a:extLst>
                          </a:blip>
                          <a:srcRect r="2890" b="45991"/>
                          <a:stretch/>
                        </pic:blipFill>
                        <pic:spPr bwMode="auto">
                          <a:xfrm>
                            <a:off x="0" y="0"/>
                            <a:ext cx="5448300" cy="436764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1D7EAAB" w14:textId="77777777" w:rsidR="001C5394" w:rsidRPr="008608AA" w:rsidRDefault="001C5394" w:rsidP="0032208B">
      <w:pPr>
        <w:widowControl w:val="0"/>
        <w:autoSpaceDE w:val="0"/>
        <w:autoSpaceDN w:val="0"/>
        <w:adjustRightInd w:val="0"/>
      </w:pPr>
    </w:p>
    <w:p w14:paraId="600597C1" w14:textId="53EE7D35" w:rsidR="004255E7" w:rsidRPr="008608AA" w:rsidRDefault="004255E7" w:rsidP="0063629E">
      <w:pPr>
        <w:widowControl w:val="0"/>
        <w:autoSpaceDE w:val="0"/>
        <w:autoSpaceDN w:val="0"/>
        <w:adjustRightInd w:val="0"/>
        <w:spacing w:before="120"/>
      </w:pPr>
      <w:r w:rsidRPr="008608AA">
        <w:t xml:space="preserve">High elevation areas have warmed in the southern </w:t>
      </w:r>
      <w:r w:rsidRPr="008608AA">
        <w:fldChar w:fldCharType="begin" w:fldLock="1"/>
      </w:r>
      <w:r w:rsidRPr="008608AA">
        <w:instrText>ADDIN CSL_CITATION { "citationItems" : [ { "id" : "ITEM-1", "itemData" : { "DOI" : "10.1029/2008JD010519", "ISBN" : "0148-0227", "ISSN" : "01480227", "abstract" : "While it is widely accepted that the global mean atmospheric temperature has increased in recent decades, the spatial distribution of global warming has been complex. In this study we comprehensively characterize the spatial pattern, including vertical structure, of temperature trends along the subtropical west coast of South America (continental Chile) for the period 1979\u20132006 and examine their consistency with expectations based on the CMIP-3 ensemble of coupled ocean-atmosphere simulations for the late 20th century. In central and northern Chile (17\u00b0\u201337\u00b0S) the most notable feature is a strong contrast between surface cooling at coastal stations (-0.2\u00b0C/decade) and warming in the Andes (+0.25\u00b0C/decade), only 100\u2013200 km further inland. Coastal radiosonde data imply that the coast-Andes variation is largely due to strong vertical stratification of temperature trends in the atmosphere west of the Andes. The coastal cooling appears to form part of a larger-scale, La Nina-like pattern and may extend below the ocean mixed layer to depths of at least 500 m. Over continental Chile the CMIP-3 GCM ensemble predicts temperature trends similar to those observed in the Andes. The cooling along the Chilean coast is not reproduced by the models, but the mean SST warming is weaker there than any other part of the world except the Southern Ocean. It is proposed that the intensification of the South Pacific Anticyclone during recent decades, which is also a simulated consequence of global warming, is likely to play a major role in maintaining cooler temperatures off the coast of Chile.", "author" : [ { "dropping-particle" : "", "family" : "Falvey", "given" : "Mark", "non-dropping-particle" : "", "parse-names" : false, "suffix" : "" }, { "dropping-particle" : "", "family" : "Garreaud", "given" : "Ren\u00e9 D.", "non-dropping-particle" : "", "parse-names" : false, "suffix" : "" } ], "container-title" : "Journal of Geophysical Research: Atmospheres", "id" : "ITEM-1", "issue" : "D4", "issued" : { "date-parts" : [ [ "2009" ] ] }, "title" : "Regional cooling in a warming world: recent temperature trends in the southeast Pacific and along the west coast of subtropical South America (1979-2006)", "type" : "article-journal", "volume" : "114" }, "uris" : [ "http://www.mendeley.com/documents/?uuid=c890e523-ca41-322c-ad0f-49eeb99ffb3f" ] } ], "mendeley" : { "formattedCitation" : "(Falvey &amp; Garreaud, 2009)", "plainTextFormattedCitation" : "(Falvey &amp; Garreaud, 2009)", "previouslyFormattedCitation" : "(Falvey &amp; Garreaud, 2009)" }, "properties" : { "noteIndex" : 0 }, "schema" : "https://github.com/citation-style-language/schema/raw/master/csl-citation.json" }</w:instrText>
      </w:r>
      <w:r w:rsidRPr="008608AA">
        <w:fldChar w:fldCharType="separate"/>
      </w:r>
      <w:r w:rsidRPr="008608AA">
        <w:rPr>
          <w:noProof/>
        </w:rPr>
        <w:t>(Falvey &amp; Garreaud, 2009)</w:t>
      </w:r>
      <w:r w:rsidRPr="008608AA">
        <w:fldChar w:fldCharType="end"/>
      </w:r>
      <w:r w:rsidRPr="008608AA">
        <w:t xml:space="preserve"> and northern </w:t>
      </w:r>
      <w:r w:rsidRPr="008608AA">
        <w:fldChar w:fldCharType="begin" w:fldLock="1"/>
      </w:r>
      <w:r w:rsidRPr="008608AA">
        <w:instrText>ADDIN CSL_CITATION { "citationItems" : [ { "id" : "ITEM-1", "itemData" : { "ISBN" : "9789978993293", "author" : [ { "dropping-particle" : "", "family" : "Hofstede", "given" : "Rober", "non-dropping-particle" : "", "parse-names" : false, "suffix" : "" }, { "dropping-particle" : "", "family" : "Calles", "given" : "Juan", "non-dropping-particle" : "", "parse-names" : false, "suffix" : "" }, { "dropping-particle" : "", "family" : "L\u00f3pez", "given" : "V\u00edctor", "non-dropping-particle" : "", "parse-names" : false, "suffix" : "" }, { "dropping-particle" : "", "family" : "Polanco", "given" : "Roc\u00edo", "non-dropping-particle" : "", "parse-names" : false, "suffix" : "" }, { "dropping-particle" : "", "family" : "Torres", "given" : "Fidel", "non-dropping-particle" : "", "parse-names" : false, "suffix" : "" }, { "dropping-particle" : "", "family" : "Ulloa", "given" : "Janett", "non-dropping-particle" : "", "parse-names" : false, "suffix" : "" }, { "dropping-particle" : "", "family" : "V\u00e1squez", "given" : "Adriana", "non-dropping-particle" : "", "parse-names" : false, "suffix" : "" }, { "dropping-particle" : "", "family" : "Cerra", "given" : "Marcos", "non-dropping-particle" : "", "parse-names" : false, "suffix" : "" } ], "id" : "ITEM-1", "issued" : { "date-parts" : [ [ "2014" ] ] }, "publisher" : "UICN", "publisher-place" : "Quito, Ecuador", "title" : "Los P\u00e1ramos Andinos \u00bfQu\u00e9 Sabemos? Estado de Conocimiento sobre el Impacto del Cambio Clim\u00e1tico en el Ecosistema P\u00e1ramo", "type" : "book" }, "uris" : [ "http://www.mendeley.com/documents/?uuid=1c702434-1f72-3c1a-a709-b0d69b0dded3" ] } ], "mendeley" : { "formattedCitation" : "(R. Hofstede et al., 2014)", "manualFormatting" : "(Hofstede et al., 2014)", "plainTextFormattedCitation" : "(R. Hofstede et al., 2014)", "previouslyFormattedCitation" : "(R. Hofstede et al., 2014)" }, "properties" : { "noteIndex" : 0 }, "schema" : "https://github.com/citation-style-language/schema/raw/master/csl-citation.json" }</w:instrText>
      </w:r>
      <w:r w:rsidRPr="008608AA">
        <w:fldChar w:fldCharType="separate"/>
      </w:r>
      <w:r w:rsidRPr="008608AA">
        <w:rPr>
          <w:noProof/>
        </w:rPr>
        <w:t>(Hofstede et al., 2014)</w:t>
      </w:r>
      <w:r w:rsidRPr="008608AA">
        <w:fldChar w:fldCharType="end"/>
      </w:r>
      <w:r w:rsidRPr="008608AA">
        <w:t xml:space="preserve"> Andes. Whether and the degree to which anthropogenic warming has affected tree growth and the position of the treeline along the Andes are still somewhat unclear. Anthropogenic warming seems to have affected tree growth and increased recruitment above treeline in some places, but not in others </w:t>
      </w:r>
      <w:r w:rsidRPr="008608AA">
        <w:fldChar w:fldCharType="begin" w:fldLock="1"/>
      </w:r>
      <w:r w:rsidRPr="008608AA">
        <w:instrText>ADDIN CSL_CITATION { "citationItems" : [ { "id" : "ITEM-1", "itemData" : { "DOI" : "10.1371/journal.pone.0074496", "ISBN" : "1932-6203", "ISSN" : "1932-6203", "PMID" : "24040260", "abstract" : "Rapid 21st-century climate change may lead to large population decreases and extinction in tropical montane cloud forest species in the Andes. While prior research has focused on species migrations per se, ecotones may respond to different environmental factors than species. Even if species can migrate in response to climate change, if ecotones do not they can function as hard barriers to species migrations, making ecotone migrations central to understanding species persistence under scenarios of climate change. We examined a 42-year span of aerial photographs and high resolution satellite imagery to calculate migration rates of timberline--the grassland-forest ecotone-inside and outside of protected areas in the high Peruvian Andes. We found that timberline in protected areas was more likely to migrate upward in elevation than in areas with frequent cattle grazing and fire. However, rates in both protected (0.24 m yr(-1)) and unprotected (0.05 m yr(-1)) areas are only 0.5-2.3% of the rates needed to stay in equilibrium with projected climate by 2100. These ecotone migration rates are 12.5 to 110 times slower than the observed species migration rates within the same forest, suggesting a barrier to migration for mid- and high-elevation species. We anticipate that the ecotone will be a hard barrier to migration under future climate change, leading to drastic population and biodiversity losses in the region unless intensive management steps are taken.", "author" : [ { "dropping-particle" : "", "family" : "Lutz", "given" : "David A.", "non-dropping-particle" : "", "parse-names" : false, "suffix" : "" }, { "dropping-particle" : "", "family" : "Powell", "given" : "Rebecca L", "non-dropping-particle" : "", "parse-names" : false, "suffix" : "" }, { "dropping-particle" : "", "family" : "Silman", "given" : "Miles R.", "non-dropping-particle" : "", "parse-names" : false, "suffix" : "" } ], "container-title" : "PLoS ONE", "id" : "ITEM-1", "issue" : "9", "issued" : { "date-parts" : [ [ "2013" ] ] }, "page" : "e74496", "title" : "Four decades of Andean timberline migration and implications for biodiversity loss with climate change", "type" : "article-journal", "volume" : "8" }, "uris" : [ "http://www.mendeley.com/documents/?uuid=5fab3e0f-f276-418a-8adc-553ed2c40495" ] }, { "id" : "ITEM-2", "itemData" : { "DOI" : "10.1023/a:1005366317996", "ISBN" : "0165-0009", "ISSN" : "01650009", "abstract" : "Anewset of tree-ring records fromthe Andes of northern Patagonia, Argentina (41 S)was used to evaluate recent (i.e., last 250 years) regional trends in tree growth at upper treeline. Fifteen tree-ring chronologies from 1200 to 1750 m elevation were developed for Nothofagus pumilio,the dominant subalpine species. Samples were collected along three elevational transects located along the steep west-to-east precipitation gradient from the main Cordillera (mean annual precipitation ? 4000 mm) to an eastern outlier of the Andes (mean annual precipitation ? 2000 mm). Ring- width variation in higher elevation tree-ring records from the main Cordillera is mainly related to changes in temperature and precipitation during spring and summer.However, the response to climatic variation is also influenced by local site factors of elevation and exposure. Based on the relationships between Nothofagus growth and climate, we reconstructed changes in snow cover duration in late spring and variations in mean annual temperature since A.D. 1750. Abrupt interannual changes in the mean annual temperature reconstruction are associated with strong to very strong El Ni\u02dc no- Southern Oscillation events. At upper treeline, tree growth since 1977 has been anomalously high. A sharp rise in global average tropospheric temperatures has been recorded since the mid-1970s in response to an enhanced tropical hydrologic cycle due to an increase in temperature of the tropical Pacific. Temperatures in northern Patagonia have been anomalously high throughout the 1980s, which is consistent with positive temperature anomalies in the tropical Pacific and along the western ? coast of the Americas at ca. 40 S latitude. Our 250-year temperature reconstruction indicates that although the persistently high temperatures of the 1980s are uncommon during this period, they are not unprecedented. Tropical climatic episodes similar to that observed during the 1980s may have occurred in the recent past under pre-industrial carbon dioxide levels. 1.", "author" : [ { "dropping-particle" : "", "family" : "Villalba", "given" : "R.", "non-dropping-particle" : "", "parse-names" : false, "suffix" : "" }, { "dropping-particle" : "", "family" : "Boninsegna", "given" : "J. A.", "non-dropping-particle" : "", "parse-names" : false, "suffix" : "" }, { "dropping-particle" : "", "family" : "Veblen", "given" : "T. T.", "non-dropping-particle" : "", "parse-names" : false, "suffix" : "" } ], "container-title" : "Climatic Change", "id" : "ITEM-2", "issue" : "3-4", "issued" : { "date-parts" : [ [ "1997" ] ] }, "page" : "425-454", "title" : "Recent trends in tree-ring records from high elevation sites in the Andes of northern Patagonia", "type" : "article-journal", "volume" : "36" }, "uris" : [ "http://www.mendeley.com/documents/?uuid=02b85217-c77a-4647-9ceb-e7915db9571b" ] }, { "id" : "ITEM-3", "itemData" : { "DOI" : "10.4067/S0716-078X2002000200008", "ISBN" : "0716-078X", "ISSN" : "0716078X", "PMID" : "445", "abstract" : "Nothofagus pumilio (Poepp. et Endl. Krasser) is a deciduous species that dominates the upper tree line of the Chilean and Argentinean Andes between 35\u00ba 36 and 55\u00ba 31 S. In this study we describe the development of 21 tree-ring width chronologies of N. pumilio across its southernmost range of distribution (51-55\u00ba S) in Chile, and analyze the relationship between N. pumilio tree-growth and climate. Ten of the tree-ring chronologies in our study, show an increasing trend and/or above average tree-ring growth since ca. 1960 to 1996, which coincides with the increase in temperatures shown by instrumental records from southern Patagonia. Another dominant pattern in tree-growth is a remarkable ca. 7-year cycle present in three of the study sites from Isla Navarino, the southernmost of our study areas (ca. 55 S). These two dominant tree-growth patterns, represent the main modes of variation of the N. pumilio tree-ring records in the southern Chilean Patagonia, accounting for 14 and 28 % of its total variance, respectively. Based on the positive correlation between tree growth and temperature in several of the study sites analyzed in this work, we developed a reconstruction of the Punta Arenas minimum annual temperatures from the seven tree-ring records with the highest correlation with temperature, covering the 1829-1996 period. The reconstruction shows that during most of the 19th century, minimum annual temperatures remained below-average and increased to values fluctuating around the mean during the 1900- 1960 period, followed by a clear trend with above-average values after 1963.", "author" : [ { "dropping-particle" : "", "family" : "Aravena", "given" : "Juan C.", "non-dropping-particle" : "", "parse-names" : false, "suffix" : "" }, { "dropping-particle" : "", "family" : "Lara", "given" : "Antonio", "non-dropping-particle" : "", "parse-names" : false, "suffix" : "" }, { "dropping-particle" : "", "family" : "Wolodarsky-Franke", "given" : "Alexia", "non-dropping-particle" : "", "parse-names" : false, "suffix" : "" }, { "dropping-particle" : "", "family" : "Villalba", "given" : "Ricardo", "non-dropping-particle" : "", "parse-names" : false, "suffix" : "" }, { "dropping-particle" : "", "family" : "Cuq", "given" : "Emilio", "non-dropping-particle" : "", "parse-names" : false, "suffix" : "" } ], "container-title" : "Revista Chilena de Historia Natural", "id" : "ITEM-3", "issue" : "2", "issued" : { "date-parts" : [ [ "2002" ] ] }, "page" : "361-376", "title" : "Tree-ring growth patterns and temperature reconstruction from &lt;i&gt;Nothofagus pumilio&lt;/i&gt; (Fagaceae) forests at the upper tree line of southern Chilean Patagonia", "type" : "article-journal", "volume" : "75" }, "uris" : [ "http://www.mendeley.com/documents/?uuid=1c6f8063-bb34-483a-aed9-a3203dbb947d" ] }, { "id" : "ITEM-4", "itemData" : { "DOI" : "10.1890/03-0092", "ISBN" : "0012-9658", "ISSN" : "00129658", "PMID" : "530", "abstract" : "Tree radial growth and seedling establishment of Nothofagus pumilio at alpine treeline near 40 S latitude in Chile and Argentina show time- and site-dependent relationships to interannual-and decadal-scale climate variation. Six treelines were sampled at two spatial scales corresponding to regional and local climates. A shift in climate from cool\u2013wet to warm\u2013dry conditions facilitated comparison of climate\u2013vegetation relationships during two distinct periods: 1957\u20131976 and 1977\u20131996. For each treeline, tree radial growth and seedling establishment were correlated against monthly and seasonal temperature, pre- cipitation, moisture availability, and two indices of El Nino\u2013Southern Oscillation (ENSO): southern oscillation index (SOI) and sea surface temperature (SST). Four key aspects of climatic influences on N. pumilio radial growth and seedling establishment were as follows. (1) The relationship between krummholz radial growth and temperature variation was non- linear. (2) Moisture availability was the dominant climatic factor influencing seedling establishment, although temperature\u2013precipitation interactions resulted in variability among study areas. (3) Climate conditions that facilitated Nothofagus pumilio seedling establishment were distinct, and often opposite, from those that enhanced radial growth. (4) The relationships of radial growth and seedling demography with climate and ENSO differed among study areas and have been unstable over the past 40 years. Observed spatial and temporal instabilities in vegetation\u2013climate relationships demonstrate the complexity of treeline dynamics in northern Patagonia under a changing climate. We conclude that a directional increase in temperature, as predicted by current global climate scenarios, will not necessarily result in an upslope expansion of the N. pumilio forests growing at altitudinal treeline in northern Patagonia.", "author" : [ { "dropping-particle" : "", "family" : "Daniels", "given" : "Lori D.", "non-dropping-particle" : "", "parse-names" : false, "suffix" : "" }, { "dropping-particle" : "", "family" : "Veblen", "given" : "Thomas T.", "non-dropping-particle" : "", "parse-names" : false, "suffix" : "" } ], "container-title" : "Ecology", "id" : "ITEM-4", "issue" : "5", "issued" : { "date-parts" : [ [ "2004" ] ] }, "page" : "1284-1296", "title" : "Spatiotemporal influences of climate on altitudinal treeline in northern Patagonia", "type" : "article-journal", "volume" : "85" }, "uris" : [ "http://www.mendeley.com/documents/?uuid=d20d1ee7-535e-42e5-a164-3e6d02a541da" ] }, { "id" : "ITEM-5", "itemData" : { "DOI" : "10.1111/j.1365-2745.2012.01955.x", "ISBN" : "1365-2745", "ISSN" : "00220477", "abstract" : "1. Altitudinal tree line ecotones (ATE) are among themost sensitive plant formations facing global warming as the altitudinal decrease in temperature is considered the driver controlling the upper ele- vation limit of tree lines world-wide. In this study, we attempted to answer the following questions: (i) how have the conditions during the last 2\u20133 centuries affectedATE tree growth (physiology) and recruitment (demography)? and (ii) how strong is synchrony between these two processes at the ATEs? 2. We used spatial sampling grids at different ATEs in two ecosystems on two subcontinents: Nothofagus pumilio in the Andes of Chilean Patagonia (46? SL) and Pinus albicaulis in the Rockies of Western Montana, USA (46? NL). Basal increment cores were extracted from trees to estimate the growth and recruitment date.Anannual detrended basal area increment was estimated for each tree andwasmodelled against elevation and time. 3. Tree growth improved over multiple centuries at all tree lines. Recently (c. 50 years), however, improvements are disappearing or reversing. The uppermost tree line trees showed moderate declines in Montana and incipient declines in Patagonia. The declines are most dramatic slightly below current tree line (c. 200 m). Tree recruitment patterns showed that tree lines have been mov- ing uphill in both regions until at least 40\u201370 years ago. These movements occurred primarily through abrupt pulses upward with infilling occurring concurrently (Patagonia) or at some time thereafter (Montana). 4. Synchrony between growth and recruitment occurred in the 18th and 19th centuries in both regions. This synchrony was negative in Patagonia and positive inMontana, with varying lag peri- ods. During the 20th century, these patterns of synchrony were lost at all sites. This loss of syn- chrony suggests that we could be entering a global period in which temperature is no longer the dominant driver of key features of tree lines. 5. Synthesis. Our study shows that at two structurally different tree lines, recent and initial declines in growth and losses of long-term synchrony are occurring in the latter part of the 20th century. These findings are opposite to simplistic expectations of global warming effects on tree line dynam- ics and call for amodel reformulation that uncouples drivers of growth and recruitment.", "author" : [ { "dropping-particle" : "", "family" : "Fajardo", "given" : "Alex", "non-dropping-particle" : "", "parse-names" : false, "suffix" : "" }, { "dropping-particle" : "", "family" : "McIntire", "given" : "Eliot J. B.", "non-dropping-particle" : "", "parse-names" : false, "suffix" : "" } ], "container-title" : "Journal of Ecology", "id" : "ITEM-5", "issue" : "3", "issued" : { "date-parts" : [ [ "2012" ] ] }, "page" : "782-794", "title" : "Reversal of multicentury tree growth improvements and loss of synchrony at mountain tree lines point to changes in key drivers", "type" : "article-journal", "volume" : "100" }, "uris" : [ "http://www.mendeley.com/documents/?uuid=f44c079a-00c4-43a0-bd13-55980cdd1f97" ] }, { "id" : "ITEM-6", "itemData" : { "DOI" : "10.1016/j.foreco.2013.05.041", "ISBN" : "0378-1127", "ISSN" : "03781127", "abstract" : "Montane plant species around the globe are predicted to shift their distributions upslope in response to increasing temperatures associated with climate change. In the tropical Andes, which are one of the most diverse and threatened of all biodiversity hotspots, many plant and animal species have already started to shift their distributions to higher elevations in response to warming. However, a variety of biotic and abiotic factors may stabilize Andean timberlines and halt further upslope migrations into the high elevation grasslands (referred to as \"puna\" in southern Peru) above the forest. One possibility is that small forest patches that occur above-timberline throughout the Andes may facilitate forest expansion into newly suitable areas in the puna, yet little is known about the ecology or function of these patches. In this study, we examined seedling recruitment patterns, seed dispersal, and microclimate at the timberline, in and around above-timberline forest patches, and in the puna. The above-timberline forest patches had similar patterns of seed dispersal as the timberline but overal &lt;1% of captured seeds were dispersed 10. m into the puna. At both the patch edges and the forest timberline, seedling abundances were lower in the puna relative to the adjacent forest and forest-puna ecotone. This reduction may be a result of reduced seed dispersal across the forest-puna ecotone and/or decreased germination of dispersed seeds due to the harsh microclimatic conditions occurring in the puna (daily temperature fluctuations are greatly elevated in the puna relative to the forest and frost events are more frequent and severe). While increasing temperatures associated with climate change may ameliorate some of the severe climatic conditions occurring in the puna, it will not directly affect other potential recruitment limitations such as reduced seed dispersal, high levels of UV radiation, and anthropogenic activities (cattle grazing and fires) in the puna. With the reduction of anthropogenic activities, above-timberline forest patches may serve as nucleating foci for future forest expansion into the puna. However, our results indicate that any upslope migration of the timberline into the puna will likely occur at a rate that is slower than what is required to keep pace with warming because recruitment is restricted to a narrow strip along the forest-puna borders. Slowed forest expansion into the puna could act as a barrier to the upslope migration of A\u2026", "author" : [ { "dropping-particle" : "", "family" : "Rehm", "given" : "Evan M.", "non-dropping-particle" : "", "parse-names" : false, "suffix" : "" }, { "dropping-particle" : "", "famil</w:instrText>
      </w:r>
      <w:r w:rsidRPr="00CE0821">
        <w:rPr>
          <w:lang w:val="es-CO"/>
        </w:rPr>
        <w:instrText>y" : "Feeley", "given" : "Kenneth J.", "non-dropping-particle" : "", "parse-names" : false, "suffix" : "" } ], "container-title" : "Forest Ecology and Management", "id" : "ITEM-6", "issued" : { "date-parts" : [ [ "2013" ] ] }, "page" : "204-211", "title" : "Forest patches and the upward migration of timberline in the southern Peruvian Andes", "type" : "article-journal", "volume" : "305" }, "uris" : [ "http://www.mendeley.com/documents/?uuid=5bd15bb6-e784-3620-9d4b-24b0f865def5" ] } ], "mendeley" : { "formattedCitation" : "(Aravena, Lara, Wolodarsky-Franke, Villalba, &amp; Cuq, 2002; L. D. Daniels &amp; Veblen, 2004; Fajardo &amp; McIntire, 2012; Lutz, Powell, &amp; Silman, 2013; Rehm &amp; Feeley, 2013; Villalba, Boninsegna, &amp; Veblen, 1997)", "manualFormatting" : "(Aravena et al., 2002; Daniels &amp; Veblen, 2004; Fajardo &amp; McIntire, 2012; Lutz et al., 2013; Rehm &amp; Feeley, 2013; Villalba et al., 1997)", "plainTextFormattedCitation" : "(Aravena, Lara, Wolodarsky-Franke, Villalba, &amp; Cuq, 2002; L. D. Daniels &amp; Veblen, 2004; Fajardo &amp; McIntire, 2012; Lutz, Powell, &amp; Silman, 2013; Rehm &amp; Feeley, 2013; Villalba, Boninsegna, &amp; Veblen, 1997)", "previouslyFormattedCitation" : "(Aravena, Lara, Wolodarsky-Franke, Villalba, &amp; Cuq, 2002; L. D. Daniels &amp; Veblen, 2004; Fajardo &amp; McIntire, 2012; Lutz, Powell, &amp; Silman, 2013; Rehm &amp; Feeley, 2013; Villalba, Boninsegna, &amp; Veblen, 1997)" }, "properties" : { "noteIndex" : 0 }, "schema" : "https://github.com/citation-style-language/schema/raw/master/csl-citation.json" }</w:instrText>
      </w:r>
      <w:r w:rsidRPr="008608AA">
        <w:fldChar w:fldCharType="separate"/>
      </w:r>
      <w:r w:rsidRPr="00CE0821">
        <w:rPr>
          <w:noProof/>
          <w:lang w:val="es-CO"/>
        </w:rPr>
        <w:t>(Aravena et al., 2002; Daniels &amp; Veblen, 2004; Fajardo &amp; McIntire, 2012; Lutz et al., 2013; Rehm &amp; Feeley, 2013; Villalba et al., 1997)</w:t>
      </w:r>
      <w:r w:rsidRPr="008608AA">
        <w:fldChar w:fldCharType="end"/>
      </w:r>
      <w:r w:rsidRPr="00CE0821">
        <w:rPr>
          <w:lang w:val="es-CO"/>
        </w:rPr>
        <w:t xml:space="preserve">. </w:t>
      </w:r>
      <w:r w:rsidRPr="008608AA">
        <w:t xml:space="preserve">Some tree species have been moving upward below treeline </w:t>
      </w:r>
      <w:r w:rsidRPr="008608AA">
        <w:fldChar w:fldCharType="begin" w:fldLock="1"/>
      </w:r>
      <w:r w:rsidRPr="008608AA">
        <w:instrText>ADDIN CSL_CITATION { "citationItems" : [ { "id" : "ITEM-1", "itemData" : { "DOI" : "10.1111/j.1365-2699.2010.02444.x", "ISBN" : "0305-0270", "ISSN" : "03050270", "abstract" : "Aim Climate change causes shifts in species distributions, or 'migrations'. Despite the centrality of species distributions to biodiversity conservation, the demonstrated large migration of tropical plant species in response to climate change in the past, and the expected sensitivity of species distributions to modern climate change, no study has tested for modern species migrations in tropical plants. Here we conduct a first test of the hypothesis that increasing temperatures are causing tropical trees to migrate to cooler areas. Location Tropical Andes biodiversity hotspot, south-eastern Peru, South America. Methods We use data from repeated (2003/04-2007/08) censuses of 14 1-ha forest inventory plots spanning an elevational gradient from 950 to 3400 m in Manu National Park in south-eastern Peru, to characterize changes in the elevational distributions of 38 Andean tree genera. We also analyse changes in the genus-level composition of the inventory plots through time. Results We show that most tropical Andean tree genera shifted their mean distributions upslope over the study period and that the mean rate of migration is approximately 2.5-3.5 vertical metres upslope per year. Consistent with upward migrations we also find increasing abundances of tree genera previously distributed at lower elevations in the majority of study plots. Main conclusions These findings are in accord with the a priori hypothesis of upward shifts in species ranges due to elevated temperatures, and are potentially the first documented evidence of present-day climate-driven migrations in a tropical plant community. The observed mean rate of change is less than predicted from the temperature increases for the region, possibly due to the influence of changes in moisture or non-climatic factors such as substrate, species interactions, lags in tree community response and/or dispersal limitations. Whatever the cause(s), continued slower-than-expected migration of tropical Andean trees would indicate a limited ability to respond to increased temperatures, which may lead to increased extinction risks with further climate change.", "author" : [ { "dropping-particle" : "", "family" : "Feeley", "given" : "Kenneth J.", "non-dropping-particle" : "", "parse-names" : false, "suffix" : "" }, { "dropping-particle" : "", "family" : "Silman", "given" : "Miles R.", "non-dropping-particle" : "", "parse-names" : false, "suffix" : "" }, { "dropping-particle" : "", "family" : "Bush", "given" : "Mark B.", "non-dropping-particle" : "", "parse-names" : false, "suffix" : "" }, { "dropping-particle" : "", "family" : "Farfan", "given" : "William", "non-dropping-particle" : "", "parse-names" : false, "suffix" : "" }, { "dropping-particle" : "", "family" : "Cabrera", "given" : "Karina Garcia", "non-dropping-particle" : "", "parse-names" : false, "suffix" : "" }, { "dropping-particle" : "", "family" : "Malhi", "given" : "Yadvinder", "non-dropping-particle" : "", "parse-names" : false, "suffix" : "" }, { "dropping-particle" : "", "family" : "Meir", "given" : "Patrick", "non-dropping-particle" : "", "parse-names" : false, "suffix" : "" }, { "dropping-particle" : "", "family" : "Revilla", "given" : "Norma Salinas", "non-dropping-particle" : "", "parse-names" : false, "suffix" : "" }, { "dropping-particle" : "", "family" : "Quisiyupanqui", "given" : "Mireya Natividad Raurau", "non-dropping-particle" : "", "parse-names" : false, "suffix" : "" }, { "dropping-particle" : "", "family" : "Saatchi", "given" : "Sassan", "non-dropping-particle" : "", "parse-names" : false, "suffix" : "" } ], "container-title" : "Journal of Biogeography", "id" : "ITEM-1", "issue" : "4", "issued" : { "date-parts" : [ [ "2011" ] ] }, "page" : "783-791", "title" : "Upslope migration of Andean trees", "type" : "article-journal", "volume" : "38" }, "uris" : [ "http://www.mendeley.com/documents/?uuid=e3e8d825-075a-3116-a57f-7792a5e8d4be" ] } ], "mendeley" : { "formattedCitation" : "(Feeley et al., 2011)", "plainTextFormattedCitation" : "(Feeley et al., 2011)", "previouslyFormattedCitation" : "(Feeley et al., 2011)" }, "properties" : { "noteIndex" : 0 }, "schema" : "https://github.com/citation-style-language/schema/raw/master/csl-citation.json" }</w:instrText>
      </w:r>
      <w:r w:rsidRPr="008608AA">
        <w:fldChar w:fldCharType="separate"/>
      </w:r>
      <w:r w:rsidRPr="008608AA">
        <w:rPr>
          <w:noProof/>
        </w:rPr>
        <w:t>(Feeley et al., 2011)</w:t>
      </w:r>
      <w:r w:rsidRPr="008608AA">
        <w:fldChar w:fldCharType="end"/>
      </w:r>
      <w:r w:rsidRPr="008608AA">
        <w:t xml:space="preserve">. Lack of or very slow upward movement of the treeline might reflect recruitment difficulties in high altitude grasslands </w:t>
      </w:r>
      <w:r w:rsidRPr="008608AA">
        <w:fldChar w:fldCharType="begin" w:fldLock="1"/>
      </w:r>
      <w:r w:rsidRPr="008608AA">
        <w:instrText>ADDIN CSL_CITATION { "citationItems" : [ { "id" : "ITEM-1", "itemData" : { "DOI" : "10.1016/j.foreco.2013.05.041", "ISBN" : "0378-1127", "ISSN" : "03781127", "abstract" : "Montane plant species around the globe are predicted to shift their distributions upslope in response to increasing temperatures associated with climate change. In the tropical Andes, which are one of the most diverse and threatened of all biodiversity hotspots, many plant and animal species have already started to shift their distributions to higher elevations in response to warming. However, a variety of biotic and abiotic factors may stabilize Andean timberlines and halt further upslope migrations into the high elevation grasslands (referred to as \"puna\" in southern Peru) above the forest. One possibility is that small forest patches that occur above-timberline throughout the Andes may facilitate forest expansion into newly suitable areas in the puna, yet little is known about the ecology or function of these patches. In this study, we examined seedling recruitment patterns, seed dispersal, and microclimate at the timberline, in and around above-timberline forest patches, and in the puna. The above-timberline forest patches had similar patterns of seed dispersal as the timberline but overal &lt;1% of captured seeds were dispersed 10. m into the puna. At both the patch edges and the forest timberline, seedling abundances were lower in the puna relative to the adjacent forest and forest-puna ecotone. This reduction may be a result of reduced seed dispersal across the forest-puna ecotone and/or decreased germination of dispersed seeds due to the harsh microclimatic conditions occurring in the puna (daily temperature fluctuations are greatly elevated in the puna relative to the forest and frost events are more frequent and severe). While increasing temperatures associated with climate change may ameliorate some of the severe climatic conditions occurring in the puna, it will not directly affect other potential recruitment limitations such as reduced seed dispersal, high levels of UV radiation, and anthropogenic activities (cattle grazing and fires) in the puna. With the reduction of anthropogenic activities, above-timberline forest patches may serve as nucleating foci for future forest expansion into the puna. However, our results indicate that any upslope migration of the timberline into the puna will likely occur at a rate that is slower than what is required to keep pace with warming because recruitment is restricted to a narrow strip along the forest-puna borders. Slowed forest expansion into the puna could act as a barrier to the upslope migration of A\u2026", "author" : [ { "dropping-particle" : "", "family" : "Rehm", "given" : "Evan M.", "non-dropping-particle" : "", "parse-names" : false, "suffix" : "" }, { "dropping-particle" : "", "family" : "Feeley", "given" : "Kenneth J.", "non-dropping-particle" : "", "parse-names" : false, "suffix" : "" } ], "container-title" : "Forest Ecology and Management", "id" : "ITEM-1", "issued" : { "date-parts" : [ [ "2013" ] ] }, "page" : "204-211", "title" : "Forest patches and the upward migration of timberline in the southern Peruvian Andes", "type" : "article-journal", "volume" : "305" }, "uris" : [ "http://www.mendeley.com/documents/?uuid=5bd15bb6-e784-3620-9d4b-24b0f865def5" ] }, { "id" : "ITEM-2", "itemData" : { "DOI" : "10.1007/s00442-016-3619-0", "ISSN" : "00298549", "PMID" : "27071667", "abstract" : "The elevations at which tropical treelines occur are believed to represent the point where low mean temperatures limit the growth of upright woody trees. Consequently, tropical treelines are predicted to shift to higher elevations with global warming. However, tree- lines throughout the tropics have remained stationary despite increasing global mean temperatures. The goal of the study reported here was to build a more comprehen- sive understanding of the effects of mean temperature, low-temperature extremes, shading, and their interactions on seedling survival at tropical treelines. We conducted a seedling transplant study using three dominant canopy- forming treeline species in the southern tropical Andes. We found species-specific differences and contrasting responses in seedling survival to changes in mean tem- perature. The most abundant naturally occurring species at the seedling stage outside the treeline, Weinmannia faga- roides, showed a negative relationship between the sur- vival of transplanted seedlings and mean temperature, the opposite of a priori expectations. Conversely, Clethra cune- ata showed increased survival at higher mean temperatures, but survival also increased with higher absolute low tem- peratures and the presence of shade. Finally, the survival of Gynoxys nitida seedlings was insensitive to temperature but increased under shade. These findings show that mul- tiple factors can determine the upper distributional limit of species forming the current tropical treeline. As such, predictions of future local and regional tropical treeline shifts may need to consider several factors beyond changes in mean temperature. If the treeline remains stationary and cloud forests are unable to expand into higher eleva- tions, there may be severe species loss in this biodiversity hotspot.", "author" : [ { "dropping-particle" : "", "family" : "Rehm", "given" : "Evan M.", "non-dropping-particle" : "", "parse-names" : false, "suffix" : "" }, { "dropping-particle" : "", "family" : "Feeley", "given" : "Kenneth J.", "non-dropping-particle" : "", "parse-names" : false, "suffix" : "" } ], "container-title" : "Oecologia", "id" : "ITEM-2", "issue" : "4", "issued" : { "date-parts" : [ [ "2016", "8", "12" ] ] }, "page" : "1233-1242", "publisher" : "Springer Berlin Heidelberg", "title" : "Seedling transplants reveal species-specific responses of high-elevation tropical treeline trees to climate change", "type" : "article-journal", "volume" : "181" }, "uris" : [ "http://www.mendeley.com/documents/?uuid=d5e132f8-b821-30ab-baf3-d4d5c62eed21" ] }, { "id" : "ITEM-3", "itemData" : { "DOI" : "10.1111/ecog.01050", "ISBN" : "1600-0587", "ISSN" : "16000587", "abstract" : "The upper elevational range edges of most tropical cloud forest tree species and hence the \u2018treeline\u2019 are thought to be deter- mined primarily by temperatures. For this reason, the treeline ecotone between cloud forests and the overlying grasslands is generally predicted to shift upslope as species migrate to higher elevations in response to global warming. Here, we propose that other factors are preventing tropical trees from shifting or expanding their ranges to include high elevation areas currently under grassland, resulting in stationary treelines despite rising mean temperatures. The inability of cloud forest species to invade the grasslands, a phenomenon which we refer to as the \u2018grass ceiling\u2019 effect, poses a major threat to tropical biodiversity as it will greatly increase risk of extinctions and biotic attrition in diverse tropical cloud forests. In this review, we discuss some of the natural factors, as well as anthropogenic influences, that may prevent cloud forest tree species from expanding their ranges to higher elevations. In the absence of human disturbances, tropical treelines have historically shifted up- and down-slope with changes in temperature. Over time, increased human activity has limited forests to lower elevations (i.e. has depressed treelines), and often broken the equilibrium between species range limits and climate. Yet even in areas where anthropogenic influences are halted, cloud forests have not expanded to higher elevations. Despite the critical importance of understanding the distributional responses of tropical species to climate change, few studies have addressed the factors that influence treeline location and dynamics, severely hindering our ability to predict the fate of these diverse and important ecosystems.", "author" : [ { "dropping-particle" : "", "family" : "Rehm", "given" : "Evan M.", "non-dropping-particle" : "", "parse-names" : false, "suffix" : "" }, { "dropping-particle" : "", "family" : "Feeley", "given" : "Kenneth J.", "non-dropping-particle" : "", "parse-names" : false, "suffix" : "" } ], "container-title" : "Ecography", "id" : "ITEM-3", "issue" : "12", "issued" : { "date-parts" : [ [ "2015" ] ] }, "page" : "1167-1175", "title" : "The inability of tropical cloud forest species to invade grasslands above treeline during climate change: Potential explanations and consequences", "type" : "article-journal", "volume" : "38" }, "uris" : [ "http://www.mendeley.com/documents/?uuid=4c196d02-1bb3-398d-86d4-afad5847e6f3" ] } ], "mendeley" : { "formattedCitation" : "(Rehm &amp; Feeley, 2013, 2015, 2016)", "plainTextFormattedCitation" : "(Rehm &amp; Feeley, 2013, 2015, 2016)", "previouslyFormattedCitation" : "(Rehm &amp; Feeley, 2013, 2015, 2016)" }, "properties" : { "noteIndex" : 0 }, "schema" : "https://github.com/citation-style-language/schema/raw/master/csl-citation.json" }</w:instrText>
      </w:r>
      <w:r w:rsidRPr="008608AA">
        <w:fldChar w:fldCharType="separate"/>
      </w:r>
      <w:r w:rsidRPr="008608AA">
        <w:rPr>
          <w:noProof/>
        </w:rPr>
        <w:t>(Rehm &amp; Feeley, 2013, 2015, 2016)</w:t>
      </w:r>
      <w:r w:rsidRPr="008608AA">
        <w:fldChar w:fldCharType="end"/>
      </w:r>
      <w:r w:rsidRPr="008608AA">
        <w:t xml:space="preserve"> or under reduced precipitation in some parts of the Andes. Historical comparisons suggest upward movement in some plant and beetle species in the northern Andes </w:t>
      </w:r>
      <w:r w:rsidRPr="008608AA">
        <w:fldChar w:fldCharType="begin" w:fldLock="1"/>
      </w:r>
      <w:r w:rsidRPr="008608AA">
        <w:instrText>ADDIN CSL_CITATION { "citationItems" : [ { "id" : "ITEM-1", "itemData" : { "DOI" : "10.1111/icad.12173", "ISSN" : "17524598", "abstract" : "In order to assess the impact of global warming on the biodiversity of the tropical high Andean p\u00e1ramo ecosystem, we compared historical and recent surveys of ground beetle communities along elevational gradients of the Pichincha volcano (Northern Ecuador). The studied datasets date to 1880, 1985/86 and 2013/15. From 1880 to 1985, the bottom range of at least one stenotopic and wingless high-altitude species, Dyscolus diopsis, has shifted approximately 300 m upward, with the resulting area reduction of more than 90% from &gt;12 km2 to &lt;1 km2, which highlights the probability of future local extinctions on the Pichincha as well as on other mountains of Ecuador. Over a shorter period of time, the comparison of the 1985/86 and 2013/14 datasets indicates that the lower limit of the superp\u00e1ramo ground beetle community has shifted upwards from circa 4300 m to circa 4400 m. Different individual responses are recorded among the species. Some of them did not experience any significant change, whereas the upper limit of one of the grassland generalists has shifted upwards at least 400 m in 28 years. These results suggest that the response to global warming varies from one species to the other, depending on their degree of specialisation and tolerance. They call for the implementation of a monitoring programme that would use carabid assemblages as an indicator of the impact of climate change on the p\u00e1ramo ecosystem, in combination with other proxies. \u00a9 2016 The Royal Entomological Society.", "author" : [ { "dropping-particle" : "", "family" : "Moret", "given" : "Pierre", "non-dropping-particle" : "", "parse-names" : false, "suffix" : "" }, { "dropping-particle" : "", "family" : "Ar\u00e1uz", "given" : "Mar\u00eda de los \u00c1ngeles", "non-dropping-particle" : "", "parse-names" : false, "suffix" : "" }, { "dropping-particle" : "", "family" : "Gobbi", "given" : "Mauro", "non-dropping-particle" : "", "parse-names" : false, "suffix" : "" }, { "dropping-particle" : "", "family" : "Barrag\u00e1n", "given" : "\u00c1lvaro", "non-dropping-particle" : "", "parse-names" : false, "suffix" : "" } ], "container-title" : "Insect Conservation and Diversity", "id" : "ITEM-1", "issue" : "4", "issued" : { "date-parts" : [ [ "2016" ] ] }, "page" : "342-350", "title" : "Climate warming effects in the tropical Andes: first evidence for upslope shifts of Carabidae (Coleoptera) in Ecuador", "type" : "article-journal", "volume" : "9" }, "uris" : [ "http://www.mendeley.com/documents/?uuid=be60b992-c5f3-3342-834d-724b499bb63c" ] }, { "id" : "ITEM-2", "itemData" : { "DOI" : "10.1073/pnas.1509938112", "ISBN" : "1091-6490", "ISSN" : "0027-8424", "PMID" : "26371298", "abstract" : "Global climate change is driving species poleward and upward in high-latitude regions, but the extent to which the biodiverse tropics are similarly affected is poorly known due to a scarcity of historical records. In 1802, Alexander von Humboldt ascended the Chimborazo volcano in Ecuador. He recorded the distribution of plant species and vegetation zones along its slopes and in surrounding parts of the Andes. We revisited Chimborazo in 2012, precisely 210 y after Humboldt's expedition. We documented upward shifts in the distribution of vegetation zones as well as increases in maximum elevation limits of individual plant taxa of &gt;500 m on average. These range shifts are consistent with increased temperatures and glacier retreat on Chimborazo since Humboldt's study. Our findings provide evidence that global warming is strongly reshaping tropical plant distributions, consistent with Humboldt's proposal that climate is the primary control on the altitudinal distribution of vegetation.", "author" : [ { "dropping-particle" : "", "family" : "Morueta-Holme", "given" : "Naia", "non-dropping-particle" : "", "parse-names" : false, "suffix" : "" }, { "dropping-particle" : "", "family" : "Engemann", "given" : "Kristine", "non-dropping-particle" : "", "parse-names" : false, "suffix" : "" }, { "dropping-particle" : "", "family" : "Sandoval-Acu\u00f1a", "given" : "Pablo", "non-dropping-particle" : "", "parse-names" : false, "suffix" : "" }, { "dropping-particle" : "", "family" : "Jonas", "given" : "Jeremy D", "non-dropping-particle" : "", "parse-names" : false, "suffix" : "" }, { "dropping-particle" : "", "family" : "Segnitz", "given" : "R Max", "non-dropping-particle" : "", "parse-names" : false, "suffix" : "" }, { "dropping-particle" : "", "family" : "Svenning", "given" : "Jens-Christian", "non-dropping-particle" : "", "parse-names" : false, "suffix" : "" } ], "container-title" : "PNAS", "id" : "ITEM-2", "issue" : "41", "issued" : { "date-parts" : [ [ "2015" ] ] }, "page" : "12741-12745", "title" : "Strong upslope shifts in Chimborazo's vegetation over two centuries since Humboldt", "type" : "article-journal", "volume" : "112" }, "uris" : [ "http://www.mendeley.com/documents/?uuid=a29ef2e3-c13e-369c-bf06-218b9e69532a" ] }, { "id" : "ITEM-3", "itemData" : { "DOI" : "10.1073/pnas.1522531113", "ISSN" : "0027-8424", "author" : [ { "dropping-particle" : "", "family" : "Sklen\u00e1\u0159", "given" : "Petr", "non-dropping-particle" : "", "parse-names" : false, "suffix" : "" } ], "container-title" : "PNAS", "id" : "ITEM-3", "issue" : "4", "issued" : { "date-parts" : [ [ "2016" ] ] }, "page" : "E407-E408", "title" : "Advance of plant species on slopes of the Chimborazo volcano (Ecuador) calculated based on unreliable data", "type" : "article-journal", "volume" : "113" }, "uris" : [ "http://www.mendeley.com/documents/?uuid=ffd7b698-482e-3fb5-a72f-31947473bcf1" ] } ], "mendeley" : { "formattedCitation" : "(Moret, Ar\u00e1uz, Gobbi, &amp; Barrag\u00e1n, 2016; Morueta-Holme et al., 2015; Sklen\u00e1\u0159, 2016)", "manualFormatting" : "(Moret et al., 2016; Morueta-Holme et al., 2015; but see Sklen\u00e1\u0159, 2016)", "plainTextFormattedCitation" : "(Moret, Ar\u00e1uz, Gobbi, &amp; Barrag\u00e1n, 2016; Morueta-Holme et al., 2015; Sklen\u00e1\u0159, 2016)", "previouslyFormattedCitation" : "(Moret, Ar\u00e1uz, Gobbi, &amp; Barrag\u00e1n, 2016; Morueta-Holme et al., 2015; Sklen\u00e1\u0159, 2016)" }, "properties" : { "noteIndex" : 0 }, "schema" : "https://github.com/citation-style-language/schema/raw/master/csl-citation.json" }</w:instrText>
      </w:r>
      <w:r w:rsidRPr="008608AA">
        <w:fldChar w:fldCharType="separate"/>
      </w:r>
      <w:r w:rsidRPr="008608AA">
        <w:rPr>
          <w:noProof/>
        </w:rPr>
        <w:t>(Moret et al., 2016; Morueta-Holme et al., 2015; but see Sklenář, 2016)</w:t>
      </w:r>
      <w:r w:rsidRPr="008608AA">
        <w:fldChar w:fldCharType="end"/>
      </w:r>
      <w:r w:rsidRPr="008608AA">
        <w:t xml:space="preserve">. In the longer term, contractions of total area occupied can be expected in high elevation species under warming given that land area decreases with increasing elevation throughout much of the Andes. Warmer soil conditions in the páramo are expected to cause faster organic carbon turnover thereby decreasing below-ground organic carbon storage </w:t>
      </w:r>
      <w:r w:rsidRPr="008608AA">
        <w:fldChar w:fldCharType="begin" w:fldLock="1"/>
      </w:r>
      <w:r w:rsidRPr="008608AA">
        <w:instrText>ADDIN CSL_CITATION { "citationItems" : [ { "id" : "ITEM-1", "itemData" : { "DOI" : "10.1111/j.1466-8238.2010.00585.x", "ISBN" : "1466-8238", "ISSN" : "1466822X", "abstract" : "ABSTRACT Aim Humid tropical alpine environments are crucial ecosystems that sustain biodiversity, biological processes, carbon storage and surface water provision. They are identified as one of the terrestrial ecosystems most vulnerable to global environmental change. Despite their vulnerability, and the importance for regional biodiversity conservation and socio-economic development, they are among the least studied and described ecosystems in the world. This paper reviews the state of knowledge about tropical alpine environments, and provides an integrated assessment of the potential threats of global climate change on the major ecosystem processes. Location Humid tropical alpine regions occur between the upper forest line and the perennial snow border in the upper regions of the Andes, the Afroalpine belt and Indonesia and Papua New Guinea. Results and main conclusions Climate change will displace ecosystem boundaries and strongly reduce the total area of tropical alpine regions. Displacement and increased isolation of the remaining patches will induce species extinction and biodiversity loss. Drier and warmer soil conditions will cause a faster organic carbon turnover, decreasing the below-ground organic carbon storage. Since most of the organic carbon is currently stored in the soils, it is unlikely that an increase in above-ground biomass will be able to offset soil carbon loss at an ecosystem level. Therefore a net release of carbon to the atmosphere is expected. Changes in precipitation patterns, increased evapotranspiration and alterations of the soil properties will have a major impact on water supply. Many regions are in danger of a significantly reduced or less reliable stream flow. The magnitude and even the trend of most of these effects depend strongly on local climatic, hydrological and ecological conditions. The extreme spatial gradients in these conditions put the sustainability of ecosystem management at risk.", "author" : [ { "dropping-particle" : "", "family" : "Buytaert", "given" : "Wouter", "non-dropping-particle" : "", "parse-names" : false, "suffix" : "" }, { "dropping-particle" : "", "family" : "Cuesta-Camacho", "given" : "Francisco", "non-dropping-particle" : "", "parse-names" : false, "suffix" : "" }, { "dropping-particle" : "", "family" : "Tob\u00f3n", "given" : "Conrado", "non-dropping-particle" : "", "parse-names" : false, "suffix" : "" } ], "container-title" : "Global Ecology and Biogeography", "id" : "ITEM-1", "issued" : { "date-parts" : [ [ "2011", "1", "1" ] ] }, "page" : "19-33", "title" : "Potential impacts of climate change on the environmental services of humid tropical alpine regions", "type" : "article-journal", "volume" : "20" }, "uris" : [ "http://www.mendeley.com/documents/?uuid=cfc8214c-eb30-3183-9c8a-c9bc29d451b2" ] } ], "mendeley" : { "formattedCitation" : "(Wouter Buytaert, Cuesta-Camacho, &amp; Tob\u00f3n, 2011)", "manualFormatting" : "(Buytaert et al., 2011)", "plainTextFormattedCitation" : "(Wouter Buytaert, Cuesta-Camacho, &amp; Tob\u00f3n, 2011)", "previouslyFormattedCitation" : "(Wouter Buytaert, Cuesta-Camacho, &amp; Tob\u00f3n, 2011)" }, "properties" : { "noteIndex" : 0 }, "schema" : "https://github.com/citation-style-language/schema/raw/master/csl-citation.json" }</w:instrText>
      </w:r>
      <w:r w:rsidRPr="008608AA">
        <w:fldChar w:fldCharType="separate"/>
      </w:r>
      <w:r w:rsidRPr="008608AA">
        <w:rPr>
          <w:noProof/>
        </w:rPr>
        <w:t>(Buytaert et al., 2011)</w:t>
      </w:r>
      <w:r w:rsidRPr="008608AA">
        <w:fldChar w:fldCharType="end"/>
      </w:r>
      <w:r w:rsidRPr="008608AA">
        <w:t xml:space="preserve">. </w:t>
      </w:r>
    </w:p>
    <w:p w14:paraId="7F464549" w14:textId="77777777" w:rsidR="005143C5" w:rsidRPr="008608AA" w:rsidRDefault="005143C5" w:rsidP="0063629E">
      <w:pPr>
        <w:widowControl w:val="0"/>
        <w:autoSpaceDE w:val="0"/>
        <w:autoSpaceDN w:val="0"/>
        <w:adjustRightInd w:val="0"/>
        <w:spacing w:before="120"/>
      </w:pPr>
    </w:p>
    <w:p w14:paraId="519B9EDB" w14:textId="7567A16D" w:rsidR="004255E7" w:rsidRPr="008608AA" w:rsidRDefault="004255E7" w:rsidP="0063629E">
      <w:pPr>
        <w:pStyle w:val="Heading4"/>
        <w:rPr>
          <w:lang w:val="en-US"/>
        </w:rPr>
      </w:pPr>
      <w:bookmarkStart w:id="1127" w:name="_Toc502927362"/>
      <w:bookmarkStart w:id="1128" w:name="_Toc517393316"/>
      <w:bookmarkStart w:id="1129" w:name="_Toc517719057"/>
      <w:bookmarkStart w:id="1130" w:name="_Toc517797014"/>
      <w:r w:rsidRPr="008608AA">
        <w:rPr>
          <w:lang w:val="en-US"/>
        </w:rPr>
        <w:t xml:space="preserve">Tropical </w:t>
      </w:r>
      <w:r w:rsidRPr="008608AA">
        <w:t>savannas</w:t>
      </w:r>
      <w:r w:rsidRPr="008608AA">
        <w:rPr>
          <w:lang w:val="en-US"/>
        </w:rPr>
        <w:t xml:space="preserve"> and grasslands</w:t>
      </w:r>
      <w:bookmarkEnd w:id="1127"/>
      <w:bookmarkEnd w:id="1128"/>
      <w:bookmarkEnd w:id="1129"/>
      <w:bookmarkEnd w:id="1130"/>
    </w:p>
    <w:p w14:paraId="5A2A05EF" w14:textId="77777777" w:rsidR="004255E7" w:rsidRPr="008608AA" w:rsidRDefault="004255E7" w:rsidP="0063629E">
      <w:pPr>
        <w:pStyle w:val="Heading5"/>
        <w:numPr>
          <w:ilvl w:val="0"/>
          <w:numId w:val="0"/>
        </w:numPr>
        <w:ind w:left="1008" w:hanging="1008"/>
      </w:pPr>
      <w:r w:rsidRPr="008608AA">
        <w:t xml:space="preserve">South American subregion </w:t>
      </w:r>
    </w:p>
    <w:p w14:paraId="19327B84" w14:textId="400851B6" w:rsidR="004255E7" w:rsidRPr="008608AA" w:rsidRDefault="00176FC5" w:rsidP="00581F86">
      <w:r w:rsidRPr="008608AA">
        <w:t>Status.</w:t>
      </w:r>
      <w:r w:rsidR="004255E7" w:rsidRPr="008608AA">
        <w:rPr>
          <w:i/>
        </w:rPr>
        <w:t xml:space="preserve"> </w:t>
      </w:r>
      <w:r w:rsidR="004255E7" w:rsidRPr="008608AA">
        <w:t>In South America, this biome occurs mainly in Brazil, Paraguay, Argentina, Venezuela, Colombia, and Bolivia. The largest extents are the Cerrado, originally covering around 2 million km</w:t>
      </w:r>
      <w:r w:rsidR="004255E7" w:rsidRPr="008608AA">
        <w:rPr>
          <w:vertAlign w:val="superscript"/>
        </w:rPr>
        <w:t>2</w:t>
      </w:r>
      <w:r w:rsidR="004255E7" w:rsidRPr="008608AA">
        <w:t xml:space="preserve">, and the Dry Chaco, originally over ¾ of a million square kilometers </w:t>
      </w:r>
      <w:r w:rsidR="004255E7" w:rsidRPr="008608AA">
        <w:fldChar w:fldCharType="begin" w:fldLock="1"/>
      </w:r>
      <w:r w:rsidR="004255E7" w:rsidRPr="008608AA">
        <w:instrText>ADDIN CSL_CITATION { "citationItems" : [ { "id" : "ITEM-1", "itemData" : { "DOI" : "10.1016/j.gloplacha.2015.02.009", "ISBN" : "09218181", "ISSN" : "09218181", "PMID" : "3666", "abstract" : "Land use and land cover change (LUCC) affects regional climate through modifications in the water balance and energy budget. These impacts are frequently expressed by: changes in the amount and frequency of precipitation and alteration of surface temperatures. In South America, most of the studies of the effects of LUCC on the local and regional climate have focused on the Amazon region (54 studies), whereas LUCC within non-Amazonian regions have been largely undermined regardless their potential importance in regulating the regional climate (19 studies). We estimated that 3.6millionkm2 of the original natural vegetation cover in non-Amazonian South America were converted into other types of land use, which is about 4 times greater than the historical Amazon deforestation. Moreover, there is evidence showing that LUCC within such fairly neglected ecosystems cause significant reductions in precipitation and increases in surface temperatures, with occasional impacts affecting neighboring or remote areas. We explore the implications of these findings in the context of water security, climatic extremes and future research priorities.", "author" : [ { "dropping-particle" : "", "family" : "Salazar", "given" : "Alvaro", "non-dropping-particle" : "", "parse-names" : false, "suffix" : "" }, { "dropping-particle" : "", "family" : "Baldi", "given" : "German", "non-dropping-particle" : "", "parse-names" : false, "suffix" : "" }, { "dropping-particle" : "", "family" : "Hirota", "given" : "Marina", "non-dropping-particle" : "", "parse-names" : false, "suffix" : "" }, { "dropping-particle" : "", "family" : "Syktus", "given" : "Jozef", "non-dropping-particle" : "", "parse-names" : false, "suffix" : "" }, { "dropping-particle" : "", "family" : "McAlpine", "given" : "Clive", "non-dropping-particle" : "", "parse-names" : false, "suffix" : "" } ], "container-title" : "Global and Planetary Change", "id" : "ITEM-1", "issued" : { "date-parts" : [ [ "2015" ] ] }, "page" : "103-119", "title" : "Land use and land cover change impacts on the regional climate of non-Amazonian South America: A review", "type" : "article-journal", "volume" : "128" }, "uris" : [ "http://www.mendeley.com/documents/?uuid=64b216cc-a67a-4618-aa4c-51e46195a20a" ] } ], "mendeley" : { "formattedCitation" : "(Salazar et al., 2015)", "manualFormatting" : "(Salazar et al., 2015)", "plainTextFormattedCitation" : "(Salazar et al., 2015)", "previouslyFormattedCitation" : "(Salazar et al., 2015)" }, "properties" : { "noteIndex" : 0 }, "schema" : "https://github.com/citation-style-language/schema/raw/master/csl-citation.json" }</w:instrText>
      </w:r>
      <w:r w:rsidR="004255E7" w:rsidRPr="008608AA">
        <w:fldChar w:fldCharType="separate"/>
      </w:r>
      <w:r w:rsidR="004255E7" w:rsidRPr="008608AA">
        <w:rPr>
          <w:noProof/>
        </w:rPr>
        <w:t>(Salazar et al., 2015)</w:t>
      </w:r>
      <w:r w:rsidR="004255E7" w:rsidRPr="008608AA">
        <w:fldChar w:fldCharType="end"/>
      </w:r>
      <w:r w:rsidR="004255E7" w:rsidRPr="008608AA">
        <w:t xml:space="preserve">. </w:t>
      </w:r>
    </w:p>
    <w:p w14:paraId="40B93AB0" w14:textId="2F1C2330" w:rsidR="004255E7" w:rsidRPr="008608AA" w:rsidRDefault="004255E7" w:rsidP="00581F86">
      <w:r w:rsidRPr="008608AA">
        <w:t xml:space="preserve">Comprising a mosaic of tall savanna woodlands, gallery forests and treeless grasslands, </w:t>
      </w:r>
      <w:r w:rsidR="00A01A41" w:rsidRPr="008608AA">
        <w:t>Cerrado</w:t>
      </w:r>
      <w:r w:rsidRPr="008608AA">
        <w:t xml:space="preserve"> is a recognized Biodiversity Hotspot </w:t>
      </w:r>
      <w:r w:rsidRPr="008608AA">
        <w:fldChar w:fldCharType="begin" w:fldLock="1"/>
      </w:r>
      <w:r w:rsidRPr="008608AA">
        <w:instrText>ADDIN CSL_CITATION { "citationItems" : [ { "id" : "ITEM-1", "itemData" : { "DOI" : "10.1038/35002501", "ISBN" : "0028-0836", "ISSN" : "00280836", "PMID" : "10706275", "abstract" : "Conservationists are far from able to assist all species under threat, if only for lack of funding. This places a premium on priorities: how can we support the most species at the least cost? One way is to identify 'biodiversity hotspots' where exceptional concentrations of endemic species are undergoing exceptional loss of habitat. As many as 44% of all species of vascular plants and 35% of all species in four vertebrate groups are confined to 25 hotspots comprising only 1.4% of the land surface of the Earth. This opens the way for a 'silver bullet' strategy on the part of conservation planners, focusing on these hotspots in proportion to their share of the world's species at risk.", "author" : [ { "dropping-particle" : "", "family" : "Myers", "given" : "Norman", "non-dropping-particle" : "", "parse-names" : false, "suffix" : "" }, { "dropping-particle" : "", "family" : "Mittermeier", "given" : "Russell A.", "non-dropping-particle" : "", "parse-names" : false, "suffix" : "" }, { "dropping-particle" : "", "family" : "Mittermeier", "given" : "Cristina G.", "non-dropping-particle" : "", "parse-names" : false, "suffix" : "" }, { "dropping-particle" : "", "family" : "Fonseca", "given" : "Gustavo A. B.", "non-dropping-particle" : "da", "parse-names" : false, "suffix" : "" }, { "dropping-particle" : "", "family" : "Kent", "given" : "Jennifer", "non-dropping-particle" : "", "parse-names" : false, "suffix" : "" } ], "container-title" : "Nature", "id" : "ITEM-1", "issue" : "6772", "issued" : { "date-parts" : [ [ "2000" ] ] }, "page" : "853-858", "title" : "Biodiversity hotspots for conservation priorities", "type" : "article-journal", "volume" : "403" }, "uris" : [ "http://www.mendeley.com/documents/?uuid=85b61de5-e331-3fd2-898a-4f64cdd49a3f" ] } ], "mendeley" : { "formattedCitation" : "(Myers et al., 2000)", "manualFormatting" : "(Myers et al., 2000)", "plainTextFormattedCitation" : "(Myers et al., 2000)", "previouslyFormattedCitation" : "(Norman Myers et al., 2000)" }, "properties" : { "noteIndex" : 0 }, "schema" : "https://github.com/citation-style-language/schema/raw/master/csl-citation.json" }</w:instrText>
      </w:r>
      <w:r w:rsidRPr="008608AA">
        <w:fldChar w:fldCharType="separate"/>
      </w:r>
      <w:r w:rsidRPr="008608AA">
        <w:rPr>
          <w:noProof/>
        </w:rPr>
        <w:t>(Myers et al., 2000)</w:t>
      </w:r>
      <w:r w:rsidRPr="008608AA">
        <w:fldChar w:fldCharType="end"/>
      </w:r>
      <w:r w:rsidRPr="008608AA">
        <w:t xml:space="preserve">. It is characterized by high plant and bird species richness and endemism (Table 3.4). Birds use many habitats, especially forested areas </w:t>
      </w:r>
      <w:r w:rsidRPr="008608AA">
        <w:fldChar w:fldCharType="begin" w:fldLock="1"/>
      </w:r>
      <w:r w:rsidRPr="008608AA">
        <w:instrText>ADDIN CSL_CITATION { "citationItems" : [ { "id" : "ITEM-1", "itemData" : { "DOI" : "10.1017/CBO9781107415324.004", "ISBN" : "9788578110796", "ISSN" : "1098-6596", "PMID" : "25246403", "author" : [ { "dropping-particle" : "", "family" : "Carmignotto", "given" : "Ana Paula", "non-dropping-particle" : "", "parse-names" : false, "suffix" : "" }, { "dropping-particle" : "", "family" : "Vivo", "given" : "Mario", "non-dropping-particle" : "De", "parse-names" : false, "suffix" : "" }, { "dropping-particle" : "", "family" : "Langguth", "given" : "A.", "non-dropping-particle" : "", "parse-names" : false, "suffix" : "" } ], "container-title" : "Bones, Clones and Biomes. The History and Geography of Recent Neotropical Mammals", "editor" : [ { "dropping-particle" : "", "family" : "Patterson", "given" : "B.D.", "non-dropping-particle" : "", "parse-names" : false, "suffix" : "" }, { "dropping-particle" : "", "family" : "Costa", "given" : "L.P.", "non-dropping-particle" : "", "parse-names" : false, "suffix" : "" } ], "id" : "ITEM-1", "issued" : { "date-parts" : [ [ "2012" ] ] }, "page" : "307-350", "publisher" : "University of Chicago Press", "publisher-place" : "Chicago, USA.", "title" : "Mammals of the Cerrado and Caatinga: distribution patterns of the tropical open biomes of central South America", "type" : "chapter" }, "uris" : [ "http://www.mendeley.com/documents/?uuid=0578ad61-add3-4adf-87ce-8a56f7cebc2d" ] } ], "mendeley" : { "formattedCitation" : "(Carmignotto, De Vivo, &amp; Langguth, 2012)", "manualFormatting" : "(Carmignotto et al., 2012)", "plainTextFormattedCitation" : "(Carmignotto, De Vivo, &amp; Langguth, 2012)", "previouslyFormattedCitation" : "(Carmignotto, De Vivo, &amp; Langguth, 2012)" }, "properties" : { "noteIndex" : 0 }, "schema" : "https://github.com/citation-style-language/schema/raw/master/csl-citation.json" }</w:instrText>
      </w:r>
      <w:r w:rsidRPr="008608AA">
        <w:fldChar w:fldCharType="separate"/>
      </w:r>
      <w:r w:rsidRPr="008608AA">
        <w:rPr>
          <w:noProof/>
        </w:rPr>
        <w:t>(Carmignotto et al., 2012)</w:t>
      </w:r>
      <w:r w:rsidRPr="008608AA">
        <w:fldChar w:fldCharType="end"/>
      </w:r>
      <w:r w:rsidRPr="008608AA">
        <w:t xml:space="preserve">, lizards prefer open interfluvial habitats </w:t>
      </w:r>
      <w:r w:rsidRPr="008608AA">
        <w:fldChar w:fldCharType="begin" w:fldLock="1"/>
      </w:r>
      <w:r w:rsidRPr="008608AA">
        <w:instrText>ADDIN CSL_CITATION { "citationItems" : [ { "id" : "ITEM-1", "itemData" : { "DOI" : "10.1111/j.1442-9993.2008.01887.x", "author" : [ { "dropping-particle" : "", "family" : "Nogueira", "given" : "C.", "non-dropping-particle" : "", "parse-names" : false, "suffix" : "" }, { "dropping-particle" : "", "family" : "Colli", "given" : "G. R.", "non-dropping-particle" : "", "parse-names" : false, "suffix" : "" }, { "dropping-particle" : "", "family" : "Martins", "given" : "M.", "non-dropping-particle" : "", "parse-names" : false, "suffix" : "" } ], "container-title" : "Austral Ecology", "id" : "ITEM-1", "issue" : "1", "issued" : { "date-parts" : [ [ "2009" ] ] }, "page" : "83-96", "title" : "Local richness and distribution of the lizard fauna in natural habitat mosaics of the Brazilian Cerrado", "type" : "article-journal", "volume" : "34" }, "uris" : [ "http://www.mendeley.com/documents/?uuid=d0bcf76e-a443-4988-aec5-a0a52bdf2c2a" ] } ], "mendeley" : { "formattedCitation" : "(Nogueira, Colli, &amp; Martins, 2009)", "manualFormatting" : "(Nogueira et al., 2009)", "plainTextFormattedCitation" : "(Nogueira, Colli, &amp; Martins, 2009)", "previouslyFormattedCitation" : "(Nogueira, Colli, &amp; Martins, 2009)" }, "properties" : { "noteIndex" : 0 }, "schema" : "https://github.com/citation-style-language/schema/raw/master/csl-citation.json" }</w:instrText>
      </w:r>
      <w:r w:rsidRPr="008608AA">
        <w:fldChar w:fldCharType="separate"/>
      </w:r>
      <w:r w:rsidRPr="008608AA">
        <w:rPr>
          <w:noProof/>
        </w:rPr>
        <w:t>(Nogueira et al., 2009)</w:t>
      </w:r>
      <w:r w:rsidRPr="008608AA">
        <w:fldChar w:fldCharType="end"/>
      </w:r>
      <w:r w:rsidRPr="008608AA">
        <w:t xml:space="preserve">, while large mammals use a wide range of habitats </w:t>
      </w:r>
      <w:r w:rsidRPr="008608AA">
        <w:fldChar w:fldCharType="begin" w:fldLock="1"/>
      </w:r>
      <w:r w:rsidRPr="008608AA">
        <w:instrText>ADDIN CSL_CITATION { "citationItems" : [ { "id" : "ITEM-1", "itemData" : { "author" : [ { "dropping-particle" : "", "family" : "Lyra-Jorge", "given" : "M. C.", "non-dropping-particle" : "", "parse-names" : false, "suffix" : "" }, { "dropping-particle" : "", "family" : "Ciocheti", "given" : "G.", "non-dropping-particle" : "", "parse-names" : false, "suffix" : "" }, { "dropping-particle" : "", "family" : "Pivello", "given" : "V. R.", "non-dropping-particle" : "", "parse-names" : false, "suffix" : "" } ], "container-title" : "Biodiversity and Conservation", "id" : "ITEM-1", "issue" : "7", "issued" : { "date-parts" : [ [ "2008" ] ] }, "page" : "1573-1580", "title" : "Carnivore mammals in a fragmented landscape in northeast of Sao Paulo State, Brazil", "type" : "article-journal", "volume" : "17" }, "uris" : [ "http://www.mendeley.com/documents/?uuid=6f08daa6-9055-41cc-9a16-dbf5a6cc9ec8" ] } ], "mendeley" : { "formattedCitation" : "(Lyra-Jorge, Ciocheti, &amp; Pivello, 2008)", "manualFormatting" : "(Lyra-Jorge et al., 2008)", "plainTextFormattedCitation" : "(Lyra-Jorge, Ciocheti, &amp; Pivello, 2008)", "previouslyFormattedCitation" : "(Lyra-Jorge, Ciocheti, &amp; Pivello, 2008)" }, "properties" : { "noteIndex" : 0 }, "schema" : "https://github.com/citation-style-language/schema/raw/master/csl-citation.json" }</w:instrText>
      </w:r>
      <w:r w:rsidRPr="008608AA">
        <w:fldChar w:fldCharType="separate"/>
      </w:r>
      <w:r w:rsidRPr="008608AA">
        <w:rPr>
          <w:noProof/>
        </w:rPr>
        <w:t>(Lyra-Jorge et al., 2008)</w:t>
      </w:r>
      <w:r w:rsidRPr="008608AA">
        <w:fldChar w:fldCharType="end"/>
      </w:r>
      <w:r w:rsidRPr="008608AA">
        <w:t xml:space="preserve">, including converted land </w:t>
      </w:r>
      <w:r w:rsidRPr="008608AA">
        <w:fldChar w:fldCharType="begin" w:fldLock="1"/>
      </w:r>
      <w:r w:rsidRPr="008608AA">
        <w:instrText>ADDIN CSL_CITATION { "citationItems" : [ { "id" : "ITEM-1", "itemData" : { "DOI" : "10.1080/00222930903477768", "ISBN" : "0022-2933", "ISSN" : "00222933", "author" : [ { "dropping-particle" : "", "family" : "C\u00e1ceres", "given" : "Nilton C.", "non-dropping-particle" : "", "parse-names" : false, "suffix" : "" }, { "dropping-particle" : "", "family" : "N\u00e1poli", "given" : "Rodrigo P.", "non-dropping-particle" : "", "parse-names" : false, "suffix" : "" }, { "dropping-particle" : "", "family" : "Casella", "given" : "Janaina", "non-dropping-particle" : "", "parse-names" : false, "suffix" : "" }, { "dropping-particle" : "", "family" : "Hannibal", "given" : "Wellington", "non-dropping-particle" : "", "parse-names" : false, "suffix" : "" } ], "container-title" : "Journal of Natural History", "id" : "ITEM-1", "issue" : "7-8", "issued" : { "date-parts" : [ [ "2010" ] ] }, "page" : "491-512", "title" : "Mammals in a fragmented savannah landscape in south-western Brazil", "type" : "article-journal", "volume" : "44" }, "uris" : [ "http://www.mendeley.com/documents/?uuid=054a340b-dcc4-4324-9cfd-b5950d4ca06f" ] } ], "mendeley" : { "formattedCitation" : "(C\u00e1ceres, N\u00e1poli, Casella, &amp; Hannibal, 2010)", "manualFormatting" : "(C\u00e1rceres et al., 2010)", "plainTextFormattedCitation" : "(C\u00e1ceres, N\u00e1poli, Casella, &amp; Hannibal, 2010)", "previouslyFormattedCitation" : "(C\u00e1ceres, N\u00e1poli, Casella, &amp; Hannibal, 2010)" }, "properties" : { "noteIndex" : 0 }, "schema" : "https://github.com/citation-style-language/schema/raw/master/csl-citation.json" }</w:instrText>
      </w:r>
      <w:r w:rsidRPr="008608AA">
        <w:fldChar w:fldCharType="separate"/>
      </w:r>
      <w:r w:rsidRPr="008608AA">
        <w:rPr>
          <w:noProof/>
        </w:rPr>
        <w:t>(Cárceres et al., 2010)</w:t>
      </w:r>
      <w:r w:rsidRPr="008608AA">
        <w:fldChar w:fldCharType="end"/>
      </w:r>
      <w:r w:rsidRPr="008608AA">
        <w:t xml:space="preserve">. Over half of </w:t>
      </w:r>
      <w:r w:rsidR="00A01A41" w:rsidRPr="008608AA">
        <w:t>Cerrado</w:t>
      </w:r>
      <w:r w:rsidRPr="008608AA">
        <w:t xml:space="preserve"> mammals and birds consume fruits with about one-third of </w:t>
      </w:r>
      <w:r w:rsidR="00A01A41" w:rsidRPr="008608AA">
        <w:t>Cerrado</w:t>
      </w:r>
      <w:r w:rsidRPr="008608AA">
        <w:t xml:space="preserve"> plants depending on birds and mammals for fruit and seed dispersal </w:t>
      </w:r>
      <w:r w:rsidRPr="008608AA">
        <w:fldChar w:fldCharType="begin" w:fldLock="1"/>
      </w:r>
      <w:r w:rsidRPr="008608AA">
        <w:instrText>ADDIN CSL_CITATION { "citationItems" : [ { "id" : "ITEM-1", "itemData" : { "DOI" : "10.1590/0102-33062016abb0192", "ISBN" : "0102-3306", "ISSN" : "0102-3306", "abstract" : "Th e investigation of the phylogeny of a group of organisms has the potential to identify ecological and evolutionary processes that have been occurring within a community. Seed dispersal is a key process in the life cycle of vegetation and refl ects diff erent reproductive strategies of plants to a set of ecological and evolutionary factors. Knowing the dispersal syndromes and fruits types of a plant community may help elucidate plant-animal interactions and colonization strategies of plants. We investigated dispersal syndromes and fruit types in Cerrado formations as a parameter for understanding the evolution of angiosperm reproductive strategies in this mega-diverse tropical biome. To do this we identifi ed and mapped the distribution of diff erent parameters associated with seed dispersal on a phylogeny of Cerrado angiosperms genera and tested the presence of phylogenetic signal. Th e results showed that there were strong relationships between fruit types, seed dispersal strategies and vegetation life forms and that these traits were closely related to angiosperms phylogeny and, together, contribute to the evolution of plants in the forest, savanna and grassland formations of the Cerrado biome.", "author" : [ { "dropping-particle" : "", "family" : "Kuhlmann", "given" : "Marcelo", "non-dropping-particle" : "", "parse-names" : false, "suffix" : "" }, { "dropping-particle" : "", "family" : "Ribeiro", "given" : "Jos\u00e9 Felipe", "non-dropping-particle" : "", "parse-names" : false, "suffix" : "" } ], "container-title" : "Acta Botanica Brasilica", "id" : "ITEM-1", "issue" : "3", "issued" : { "date-parts" : [ [ "2016" ] ] }, "page" : "495-507", "title" : "Fruits and frugivores of the Brazilian Cerrado: ecological and phylogenetic considerations", "type" : "article-journal", "volume" : "30" }, "uris" : [ "http://www.mendeley.com/documents/?uuid=8295f3e9-e710-47a0-a230-6ae43059166f" ] } ], "mendeley" : { "formattedCitation" : "(Kuhlmann &amp; Ribeiro, 2016)", "plainTextFormattedCitation" : "(Kuhlmann &amp; Ribeiro, 2016)", "previouslyFormattedCitation" : "(Kuhlmann &amp; Ribeiro, 2016)" }, "properties" : { "noteIndex" : 0 }, "schema" : "https://github.com/citation-style-language/schema/raw/master/csl-citation.json" }</w:instrText>
      </w:r>
      <w:r w:rsidRPr="008608AA">
        <w:fldChar w:fldCharType="separate"/>
      </w:r>
      <w:r w:rsidRPr="008608AA">
        <w:rPr>
          <w:noProof/>
        </w:rPr>
        <w:t>(Kuhlmann &amp; Ribeiro, 2016)</w:t>
      </w:r>
      <w:r w:rsidRPr="008608AA">
        <w:fldChar w:fldCharType="end"/>
      </w:r>
      <w:r w:rsidRPr="008608AA">
        <w:t xml:space="preserve">. Mammals and birds thus are fundamental for natural </w:t>
      </w:r>
      <w:r w:rsidR="00A01A41" w:rsidRPr="008608AA">
        <w:t>Cerrado</w:t>
      </w:r>
      <w:r w:rsidRPr="008608AA">
        <w:t xml:space="preserve"> regeneration. </w:t>
      </w:r>
    </w:p>
    <w:p w14:paraId="1D0D5392" w14:textId="161692BA" w:rsidR="004255E7" w:rsidRPr="008608AA" w:rsidRDefault="004255E7" w:rsidP="00581F86">
      <w:pPr>
        <w:widowControl w:val="0"/>
        <w:autoSpaceDE w:val="0"/>
        <w:autoSpaceDN w:val="0"/>
        <w:adjustRightInd w:val="0"/>
        <w:spacing w:before="120"/>
      </w:pPr>
      <w:r w:rsidRPr="008608AA">
        <w:t xml:space="preserve">Some 52% of all South American </w:t>
      </w:r>
      <w:r w:rsidR="00A01A41" w:rsidRPr="008608AA">
        <w:t>Cerrado</w:t>
      </w:r>
      <w:r w:rsidRPr="008608AA">
        <w:t xml:space="preserve"> has been converted </w:t>
      </w:r>
      <w:r w:rsidRPr="008608AA">
        <w:fldChar w:fldCharType="begin" w:fldLock="1"/>
      </w:r>
      <w:r w:rsidRPr="008608AA">
        <w:instrText>ADDIN CSL_CITATION { "citationItems" : [ { "id" : "ITEM-1", "itemData" : { "DOI" : "10.1016/j.gloplacha.2015.02.009", "ISBN" : "09218181", "ISSN" : "09218181", "PMID" : "3666", "abstract" : "Land use and land cover change (LUCC) affects regional climate through modifications in the water balance and energy budget. These impacts are frequently expressed by: changes in the amount and frequency of precipitation and alteration of surface temperatures. In South America, most of the studies of the effects of LUCC on the local and regional climate have focused on the Amazon region (54 studies), whereas LUCC within non-Amazonian regions have been largely undermined regardless their potential importance in regulating the regional climate (19 studies). We estimated that 3.6millionkm2 of the original natural vegetation cover in non-Amazonian South America were converted into other types of land use, which is about 4 times greater than the historical Amazon deforestation. Moreover, there is evidence showing that LUCC within such fairly neglected ecosystems cause significant reductions in precipitation and increases in surface temperatures, with occasional impacts affecting neighboring or remote areas. We explore the implications of these findings in the context of water security, climatic extremes and future research priorities.", "author" : [ { "dropping-particle" : "", "family" : "Salazar", "given" : "Alvaro", "non-dropping-particle" : "", "parse-names" : false, "suffix" : "" }, { "dropping-particle" : "", "family" : "Baldi", "given" : "German", "non-dropping-particle" : "", "parse-names" : false, "suffix" : "" }, { "dropping-particle" : "", "family" : "Hirota", "given" : "Marina", "non-dropping-particle" : "", "parse-names" : false, "suffix" : "" }, { "dropping-particle" : "", "family" : "Syktus", "given" : "Jozef", "non-dropping-particle" : "", "parse-names" : false, "suffix" : "" }, { "dropping-particle" : "", "family" : "McAlpine", "given" : "Clive", "non-dropping-particle" : "", "parse-names" : false, "suffix" : "" } ], "container-title" : "Global and Planetary Change", "id" : "ITEM-1", "issued" : { "date-parts" : [ [ "2015" ] ] }, "page" : "103-119", "title" : "Land use and land cover change impacts on the regional climate of non-Amazonian South America: A review", "type" : "article-journal", "volume" : "128" }, "uris" : [ "http://www.mendeley.com/documents/?uuid=64b216cc-a67a-4618-aa4c-51e46195a20a" ] } ], "mendeley" : { "formattedCitation" : "(Salazar et al., 2015)", "manualFormatting" : "(Salazar et al., 2015)", "plainTextFormattedCitation" : "(Salazar et al., 2015)", "previouslyFormattedCitation" : "(Salazar et al., 2015)" }, "properties" : { "noteIndex" : 0 }, "schema" : "https://github.com/citation-style-language/schema/raw/master/csl-citation.json" }</w:instrText>
      </w:r>
      <w:r w:rsidRPr="008608AA">
        <w:fldChar w:fldCharType="separate"/>
      </w:r>
      <w:r w:rsidRPr="008608AA">
        <w:rPr>
          <w:noProof/>
        </w:rPr>
        <w:t>(Salazar et al., 2015)</w:t>
      </w:r>
      <w:r w:rsidRPr="008608AA">
        <w:fldChar w:fldCharType="end"/>
      </w:r>
      <w:r w:rsidRPr="008608AA">
        <w:t xml:space="preserve"> (Figure 3.19). According to </w:t>
      </w:r>
      <w:r w:rsidRPr="008608AA">
        <w:fldChar w:fldCharType="begin" w:fldLock="1"/>
      </w:r>
      <w:r w:rsidRPr="008608AA">
        <w:instrText>ADDIN CSL_CITATION { "citationItems" : [ { "id" : "ITEM-1", "itemData" : { "DOI" : "10.1016/j.apgeog.2015.01.017", "ISBN" : "01436228", "ISSN" : "01436228", "abstract" : "The main objective of our study was to provide consistent information on land cover changes between the years 1990 and 2010 for the Cerrado and Caatinga Brazilian seasonal biomes. These areas have been overlooked in terms of land cover change assessment if compared with efforts in monitoring the Amazon rain forest. For each of the target years (1990, 2000 and 2010) land cover information was obtained through an object-based classification approach for 243 sample units (10km\u00d710km size), using (E)TM Landsat images systematically located at each full degree confluence of latitude and longitude. The images were automatically pre-processed, segmented and labelled according to the following legend: Tree Cover (TC), Tree Cover Mosaic (TCM), Other Wooded Land (OWL), Other Land Cover (OLC) and Water (W). Our results indicate the Cerrado and Caatinga biomes lost (gross loss) respectively 265,595km2 and 89,656km2 of natural vegetation (TC+OWL) between 1990 and 2010. In the same period, these areas also experienced gain of TC and OWL. By 2010, the percentage of natural vegetation cover remaining in the Cerrado was 47% and in the Caatinga 63%. The annual (net) rate of natural vegetation cover loss in the Cerrado slowed down from-0.79%yr-1 to-0.44%yr-1 from the 1990s to the 2000s, while in the Caatinga for the same periods the rate increased from-0.19%yr-1 to-0.44%yr-1. In summary, these Brazilian biomes experienced both loss and gains of Tree Cover and Other Wooded Land; however a continued net loss of natural vegetation was observed for both biomes between 1990 and 2010. The average annual rate of change in this period was higher in the Cerrado (-0.6%yr-1) than in the Caatinga (-0.3%yr-1).", "author" : [ { "dropping-particle" : "", "family" : "Beuchle", "given" : "Rene", "non-dropping-particle" : "", "parse-names" : false, "suffix" : "" }, { "dropping-particle" : "", "family" : "Grecchi", "given" : "Rosana Cristina", "non-dropping-particle" : "", "parse-names" : false, "suffix" : "" }, { "dropping-particle" : "", "family" : "Shimabukuro", "given" : "Yosio Edemir", "non-dropping-particle" : "", "parse-names" : false, "suffix" : "" }, { "dropping-particle" : "", "family" : "Seliger", "given" : "Roman", "non-dropping-particle" : "", "parse-names" : false, "suffix" : "" }, { "dropping-particle" : "", "family" : "Eva", "given" : "Hugh Douglas", "non-dropping-particle" : "", "parse-names" : false, "suffix" : "" }, { "dropping-particle" : "", "family" : "Sano", "given" : "Edson", "non-dropping-particle" : "", "parse-names" : false, "suffix" : "" }, { "dropping-particle" : "", "family" : "Achard", "given" : "Frederic", "non-dropping-particle" : "", "parse-names" : false, "suffix" : "" } ], "container-title" : "Applied Geography", "id" : "ITEM-1", "issued" : { "date-parts" : [ [ "2015" ] ] }, "page" : "116-127", "title" : "Land cover changes in the Brazilian Cerrado and Caatinga biomes from 1990 to 2010 based on a systematic remote sensing sampling approach", "type" : "article-journal", "volume" : "58" }, "uris" : [ "http://www.mendeley.com/documents/?uuid=18f7acde-7731-4715-8ab5-ec0b139d25ca" ] } ], "mendeley" : { "formattedCitation" : "(Beuchle et al., 2015)", "manualFormatting" : "(Beuchle et al., 2015)", "plainTextFormattedCitation" : "(Beuchle et al., 2015)", "previouslyFormattedCitation" : "(Beuchle et al., 2015)" }, "properties" : { "noteIndex" : 0 }, "schema" : "https://github.com/citation-style-language/schema/raw/master/csl-citation.json" }</w:instrText>
      </w:r>
      <w:r w:rsidRPr="008608AA">
        <w:fldChar w:fldCharType="separate"/>
      </w:r>
      <w:r w:rsidRPr="008608AA">
        <w:rPr>
          <w:noProof/>
        </w:rPr>
        <w:t>(Beuchle et al., 2015)</w:t>
      </w:r>
      <w:r w:rsidRPr="008608AA">
        <w:fldChar w:fldCharType="end"/>
      </w:r>
      <w:r w:rsidRPr="008608AA">
        <w:t xml:space="preserve">, 47% of Brazilian </w:t>
      </w:r>
      <w:r w:rsidR="00A01A41" w:rsidRPr="008608AA">
        <w:t>Cerrado</w:t>
      </w:r>
      <w:r w:rsidRPr="008608AA">
        <w:t xml:space="preserve"> has been transformed. Remaining </w:t>
      </w:r>
      <w:r w:rsidR="00A01A41" w:rsidRPr="008608AA">
        <w:t>Cerrado</w:t>
      </w:r>
      <w:r w:rsidRPr="008608AA">
        <w:t xml:space="preserve"> is highly fragmented with the landscape dominated by crops and pastures </w:t>
      </w:r>
      <w:r w:rsidRPr="008608AA">
        <w:fldChar w:fldCharType="begin" w:fldLock="1"/>
      </w:r>
      <w:r w:rsidRPr="008608AA">
        <w:instrText>ADDIN CSL_CITATION { "citationItems" : [ { "id" : "ITEM-1", "itemData" : { "author" : [ { "dropping-particle" : "", "family" : "Carvalho", "given" : "F. M.", "non-dropping-particle" : "", "parse-names" : false, "suffix" : "" }, { "dropping-particle" : "", "family" : "Marco", "given" : "P.", "non-dropping-particle" : "De", "parse-names" : false, "suffix" : "" }, { "dropping-particle" : "", "family" : "Ferreira", "given" : "L. G.", "non-dropping-particle" : "", "parse-names" : false, "suffix" : "" } ], "container-title" : "Biological Conservation", "id" : "ITEM-1", "issue" : "7", "issued" : { "date-parts" : [ [ "2009" ] ] }, "page" : "1392-1403", "title" : "The Cerrado into-pieces: Habitat fragmentation as a function of landscape use in the savannas of central Brazil", "type" : "article-journal", "volume" : "142" }, "uris" : [ "http://www.mendeley.com/documents/?uuid=f09d58f5-27ca-4780-8ff0-4b62b737d8fb" ] } ], "mendeley" : { "formattedCitation" : "(Carvalho, De Marco, &amp; Ferreira, 2009)", "manualFormatting" : "(Carvalho et al., 2009)", "plainTextFormattedCitation" : "(Carvalho, De Marco, &amp; Ferreira, 2009)", "previouslyFormattedCitation" : "(Carvalho, De Marco, &amp; Ferreira, 2009)" }, "properties" : { "noteIndex" : 0 }, "schema" : "https://github.com/citation-style-language/schema/raw/master/csl-citation.json" }</w:instrText>
      </w:r>
      <w:r w:rsidRPr="008608AA">
        <w:fldChar w:fldCharType="separate"/>
      </w:r>
      <w:r w:rsidRPr="008608AA">
        <w:rPr>
          <w:noProof/>
        </w:rPr>
        <w:t>(Carvalho et al., 2009)</w:t>
      </w:r>
      <w:r w:rsidRPr="008608AA">
        <w:fldChar w:fldCharType="end"/>
      </w:r>
      <w:r w:rsidRPr="008608AA">
        <w:t xml:space="preserve">. </w:t>
      </w:r>
      <w:r w:rsidR="00E61364" w:rsidRPr="008608AA">
        <w:t xml:space="preserve">Fragmentation reduces species richness and alters the composition of small mammals land </w:t>
      </w:r>
      <w:r w:rsidR="00E61364" w:rsidRPr="008608AA">
        <w:fldChar w:fldCharType="begin" w:fldLock="1"/>
      </w:r>
      <w:r w:rsidR="00E61364" w:rsidRPr="008608AA">
        <w:instrText>ADDIN CSL_CITATION { "citationItems" : [ { "id" : "ITEM-1", "itemData" : { "DOI" : "10.1080/00222930903477768", "ISBN" : "0022-2933", "ISSN" : "00222933", "author" : [ { "dropping-particle" : "", "family" : "C\u00e1ceres", "given" : "Nilton C.", "non-dropping-particle" : "", "parse-names" : false, "suffix" : "" }, { "dropping-particle" : "", "family" : "N\u00e1poli", "given" : "Rodrigo P.", "non-dropping-particle" : "", "parse-names" : false, "suffix" : "" }, { "dropping-particle" : "", "family" : "Casella", "given" : "Janaina", "non-dropping-particle" : "", "parse-names" : false, "suffix" : "" }, { "dropping-particle" : "", "family" : "Hannibal", "given" : "Wellington", "non-dropping-particle" : "", "parse-names" : false, "suffix" : "" } ], "container-title" : "Journal of Natural History", "id" : "ITEM-1", "issue" : "7-8", "issued" : { "date-parts" : [ [ "2010" ] ] }, "page" : "491-512", "title" : "Mammals in a fragmented savannah landscape in south-western Brazil", "type" : "article-journal", "volume" : "44" }, "uris" : [ "http://www.mendeley.com/documents/?uuid=054a340b-dcc4-4324-9cfd-b5950d4ca06f" ] } ], "mendeley" : { "formattedCitation" : "(C\u00e1ceres et al. 2010)", "manualFormatting" : "(C\u00e1ceres et al., 2010)", "plainTextFormattedCitation" : "(C\u00e1ceres et al. 2010)", "previouslyFormattedCitation" : "(C\u00e1ceres et al. 2010)" }, "properties" : { "noteIndex" : 0 }, "schema" : "https://github.com/citation-style-language/schema/raw/master/csl-citation.json" }</w:instrText>
      </w:r>
      <w:r w:rsidR="00E61364" w:rsidRPr="008608AA">
        <w:fldChar w:fldCharType="separate"/>
      </w:r>
      <w:r w:rsidR="00E61364" w:rsidRPr="008608AA">
        <w:rPr>
          <w:noProof/>
        </w:rPr>
        <w:t>(Cáceres et al., 2010)</w:t>
      </w:r>
      <w:r w:rsidR="00E61364" w:rsidRPr="008608AA">
        <w:fldChar w:fldCharType="end"/>
      </w:r>
      <w:r w:rsidR="00E61364" w:rsidRPr="008608AA">
        <w:t xml:space="preserve">, and birds </w:t>
      </w:r>
      <w:r w:rsidR="00E61364" w:rsidRPr="008608AA">
        <w:fldChar w:fldCharType="begin" w:fldLock="1"/>
      </w:r>
      <w:r w:rsidR="00E61364" w:rsidRPr="008608AA">
        <w:instrText>ADDIN CSL_CITATION { "citationItems" : [ { "id" : "ITEM-1", "itemData" : { "DOI" : "10.1017/S0959270901001034", "author" : [ { "dropping-particle" : "", "family" : "Marini", "given" : "M. \u00c2.", "non-dropping-particle" : "", "parse-names" : false, "suffix" : "" } ], "container-title" : "Bird Conservation International", "id" : "ITEM-1", "issue" : "1", "issued" : { "date-parts" : [ [ "2001" ] ] }, "page" : "13-25", "title" : "Effects of forest fragmentation on birds of the cerrado region, Brazil", "type" : "article-journal", "volume" : "11" }, "uris" : [ "http://www.mendeley.com/documents/?uuid=8e515fbb-ee41-4eba-b5ae-903db5fce0e1" ] } ], "mendeley" : { "formattedCitation" : "(Marini 2001)", "manualFormatting" : "(Marini, 2001)", "plainTextFormattedCitation" : "(Marini 2001)", "previouslyFormattedCitation" : "(Marini 2001)" }, "properties" : { "noteIndex" : 0 }, "schema" : "https://github.com/citation-style-language/schema/raw/master/csl-citation.json" }</w:instrText>
      </w:r>
      <w:r w:rsidR="00E61364" w:rsidRPr="008608AA">
        <w:fldChar w:fldCharType="separate"/>
      </w:r>
      <w:r w:rsidR="00E61364" w:rsidRPr="008608AA">
        <w:rPr>
          <w:noProof/>
        </w:rPr>
        <w:t>(Marini, 2001)</w:t>
      </w:r>
      <w:r w:rsidR="00E61364" w:rsidRPr="008608AA">
        <w:fldChar w:fldCharType="end"/>
      </w:r>
      <w:r w:rsidR="00E61364" w:rsidRPr="008608AA">
        <w:t xml:space="preserve">. </w:t>
      </w:r>
      <w:r w:rsidRPr="008608AA">
        <w:t xml:space="preserve">However, large mammals, which tend to use the entire the landscape, appear less susceptible </w:t>
      </w:r>
      <w:r w:rsidRPr="008608AA">
        <w:fldChar w:fldCharType="begin" w:fldLock="1"/>
      </w:r>
      <w:r w:rsidRPr="008608AA">
        <w:instrText>ADDIN CSL_CITATION { "citationItems" : [ { "id" : "ITEM-1", "itemData" : { "DOI" : "10.1080/00222930903477768", "ISBN" : "0022-2933", "ISSN" : "00222933", "author" : [ { "dropping-particle" : "", "family" : "C\u00e1ceres", "given" : "Nilton C.", "non-dropping-particle" : "", "parse-names" : false, "suffix" : "" }, { "dropping-particle" : "", "family" : "N\u00e1poli", "given" : "Rodrigo P.", "non-dropping-particle" : "", "parse-names" : false, "suffix" : "" }, { "dropping-particle" : "", "family" : "Casella", "given" : "Janaina", "non-dropping-particle" : "", "parse-names" : false, "suffix" : "" }, { "dropping-particle" : "", "family" : "Hannibal", "given" : "Wellington", "non-dropping-particle" : "", "parse-names" : false, "suffix" : "" } ], "container-title" : "Journal of Natural History", "id" : "ITEM-1", "issue" : "7-8", "issued" : { "date-parts" : [ [ "2010" ] ] }, "page" : "491-512", "title" : "Mammals in a fragmented savannah landscape in south-western Brazil", "type" : "article-journal", "volume" : "44" }, "uris" : [ "http://www.mendeley.com/documents/?uuid=054a340b-dcc4-4324-9cfd-b5950d4ca06f" ] }, { "id" : "ITEM-2", "itemData" : { "author" : [ { "dropping-particle" : "", "family" : "Vynne", "given" : "C.", "non-dropping-particle" : "", "parse-names" : false, "suffix" : "" }, { "dropping-particle" : "", "family" : "Booth", "given" : "R. K.", "non-dropping-particle" : "", "parse-names" : false, "suffix" : "" }, { "dropping-particle" : "", "family" : "Wasser", "given" : "S. K.", "non-dropping-particle" : "", "parse-names" : false, "suffix" : "" } ], "container-title" : "Journal of Mammalogy", "id" : "ITEM-2", "issue" : "4", "issued" : { "date-parts" : [ [ "2014" ] ] }, "page" : "696-706", "title" : "Physiological implications of landscape use by free-ranging maned wolves (&lt;i&gt;Chrysocyon brachyurus&lt;/i&gt;) in Brazil", "type" : "article-journal", "volume" : "95" }, "uris" : [ "http://www.mendeley.com/documents/?uuid=c31a783e-71eb-4298-aa8c-92f487fe140b" ] } ], "mendeley" : { "formattedCitation" : "(C\u00e1ceres, N\u00e1poli, Casella, &amp; Hannibal, 2010; Vynne, Booth, &amp; Wasser, 2014)", "manualFormatting" : "(C\u00e1ceres et al., 2010; Vynne et al., 2014)", "plainTextFormattedCitation" : "(C\u00e1ceres, N\u00e1poli, Casella, &amp; Hannibal, 2010; Vynne, Booth, &amp; Wasser, 2014)", "previouslyFormattedCitation" : "(C\u00e1ceres et al., 2010; Vynne, Booth, &amp; Wasser, 2014)" }, "properties" : { "noteIndex" : 0 }, "schema" : "https://github.com/citation-style-language/schema/raw/master/csl-citation.json" }</w:instrText>
      </w:r>
      <w:r w:rsidRPr="008608AA">
        <w:fldChar w:fldCharType="separate"/>
      </w:r>
      <w:r w:rsidRPr="008608AA">
        <w:rPr>
          <w:noProof/>
        </w:rPr>
        <w:t>(Cáceres et al., 2010; Vynne et al., 2014)</w:t>
      </w:r>
      <w:r w:rsidRPr="008608AA">
        <w:fldChar w:fldCharType="end"/>
      </w:r>
      <w:r w:rsidRPr="008608AA">
        <w:t xml:space="preserve">. Shrubby pastures in </w:t>
      </w:r>
      <w:r w:rsidR="00A01A41" w:rsidRPr="008608AA">
        <w:t>Cerrado</w:t>
      </w:r>
      <w:r w:rsidRPr="008608AA">
        <w:t xml:space="preserve"> hold far more bird species than cleared ones and obligate natural grassland bird species do not adapt well to pastures </w:t>
      </w:r>
      <w:r w:rsidRPr="008608AA">
        <w:fldChar w:fldCharType="begin" w:fldLock="1"/>
      </w:r>
      <w:r w:rsidRPr="008608AA">
        <w:instrText>ADDIN CSL_CITATION { "citationItems" : [ { "id" : "ITEM-1", "itemData" : { "author" : [ { "dropping-particle" : "", "family" : "Tubelis", "given" : "D. P.", "non-dropping-particle" : "", "parse-names" : false, "suffix" : "" }, { "dropping-particle" : "", "family" : "Cavalcanti", "given" : "R. B.", "non-dropping-particle" : "", "parse-names" : false, "suffix" : "" } ], "container-title" : "Bird Conservation International", "id" : "ITEM-1", "issue" : "4", "issued" : { "date-parts" : [ [ "2000" ] ] }, "page" : "331-350", "title" : "A comparison of bird communities in natural and disturbed non-wetland open habitats in the Cerrado's central region, Brazil", "type" : "article-journal", "volume" : "10" }, "uris" : [ "http://www.mendeley.com/documents/?uuid=9411a22e-a3ec-453c-afcc-fe7905f9eb78" ] } ], "mendeley" : { "formattedCitation" : "(Tubelis &amp; Cavalcanti, 2000)", "manualFormatting" : "(Tubelis &amp; Cavalcanti, 2000)", "plainTextFormattedCitation" : "(Tubelis &amp; Cavalcanti, 2000)", "previouslyFormattedCitation" : "(Tubelis &amp; Cavalcanti, 2000)" }, "properties" : { "noteIndex" : 0 }, "schema" : "https://github.com/citation-style-language/schema/raw/master/csl-citation.json" }</w:instrText>
      </w:r>
      <w:r w:rsidRPr="008608AA">
        <w:fldChar w:fldCharType="separate"/>
      </w:r>
      <w:r w:rsidRPr="008608AA">
        <w:rPr>
          <w:noProof/>
        </w:rPr>
        <w:t>(Tubelis &amp; Cavalcanti, 2000)</w:t>
      </w:r>
      <w:r w:rsidRPr="008608AA">
        <w:fldChar w:fldCharType="end"/>
      </w:r>
      <w:r w:rsidRPr="008608AA">
        <w:t xml:space="preserve">. Butterfly richness and beta diversity are lower in disturbed riparian </w:t>
      </w:r>
      <w:r w:rsidR="00A01A41" w:rsidRPr="008608AA">
        <w:t>Cerrado</w:t>
      </w:r>
      <w:r w:rsidRPr="008608AA">
        <w:t xml:space="preserve"> forest </w:t>
      </w:r>
      <w:r w:rsidRPr="008608AA">
        <w:fldChar w:fldCharType="begin" w:fldLock="1"/>
      </w:r>
      <w:r w:rsidRPr="008608AA">
        <w:instrText>ADDIN CSL_CITATION { "citationItems" : [ { "id" : "ITEM-1", "itemData" : { "DOI" : "10.1016/j.rbe.2016.10.004", "ISBN" : "1365-3113", "ISSN" : "18069665", "PMID" : "25906243", "abstract" : "Preserved riparian vegetation usually has greater environmental complexity than the riparian vegetation modified by human actions. These systems may have a greater availability and diversity of food resources for the species. Our objective was to evaluate the effect of changes on the structure of the riparian forest on species richness, beta diversity and composition of butterfly species in the Cerrado of Mato Grosso. We tested the hypotheses that: (i) higher species richness and (ii) beta diversity would be recorded in more preserved environments; and (iii) species composition would be more homogeneous in disturbed habitats. For hypothesis testing, the riparian vegetation of eight streams were sampled in four periods of the year in a fixed transect of 100 m along the shores. The richness of butterfly species is lower in disturbed than in preserved areas. However, species richness is not affected by habitat integrity. Beta diversity differed among sites, such that preserved sites have greater beta diversity, showing greater variation in species composition. In addition, beta diversity was positively affected by environmental heterogeneity. A total of 23 of the 84 species sampled occurred only in the changed environment, 42 were exclusive to preserved sites and 19 occurred in both environments. The environmental change caused by riparian forest removal drastically affects the butterfly community. Therefore, riparian vegetation is extremely important for butterfly preservation in the Cerrado and may be a true biodiversity oasis, especially during the dry periods, when the biome undergoes water stress and resource supply is more limited.", "author" : [ { "dropping-particle" : "", "family" : "Cabette", "given" : "Helena S.R.", "non-dropping-particle" : "", "parse-names" : false, "suffix" : "" }, { "dropping-particle" : "", "family" : "Souza", "given" : "Jaqueline R.", "non-dropping-particle" : "", "parse-names" : false, "suffix" : "" }, { "dropping-particle" : "", "family" : "Shimano", "given" : "Yulie", "non-dropping-particle" : "", "parse-names" : false, "suffix" : "" }, { "dropping-particle" : "", "family" : "Juen", "given" : "Leandro", "non-dropping-particle" : "", "parse-names" : false, "suffix" : "" } ], "container-title" : "Revista Brasileira de Entomologia", "id" : "ITEM-1", "issue" : "1", "issued" : { "date-parts" : [ [ "2017" ] ] }, "page" : "43-50", "title" : "Effects of changes in the riparian forest on the butterfly community (Insecta: Lepidoptera) in Cerrado areas", "type" : "article-journal", "volume" : "61" }, "uris" : [ "http://www.mendeley.com/documents/?uuid=54bf94d3-461b-4522-936d-a7a886814687" ] } ], "mendeley" : { "formattedCitation" : "(Cabette, Souza, Shimano, &amp; Juen, 2017)", "manualFormatting" : "(Cabette et al., 2017)", "plainTextFormattedCitation" : "(Cabette, Souza, Shimano, &amp; Juen, 2017)", "previouslyFormattedCitation" : "(Cabette, Souza, Shimano, &amp; Juen, 2017)" }, "properties" : { "noteIndex" : 0 }, "schema" : "https://github.com/citation-style-language/schema/raw/master/csl-citation.json" }</w:instrText>
      </w:r>
      <w:r w:rsidRPr="008608AA">
        <w:fldChar w:fldCharType="separate"/>
      </w:r>
      <w:r w:rsidRPr="008608AA">
        <w:rPr>
          <w:noProof/>
        </w:rPr>
        <w:t>(Cabette et al., 2017)</w:t>
      </w:r>
      <w:r w:rsidRPr="008608AA">
        <w:fldChar w:fldCharType="end"/>
      </w:r>
      <w:r w:rsidRPr="008608AA">
        <w:t xml:space="preserve">. Additional threats to </w:t>
      </w:r>
      <w:r w:rsidR="00A01A41" w:rsidRPr="008608AA">
        <w:t>Cerrado</w:t>
      </w:r>
      <w:r w:rsidRPr="008608AA">
        <w:t xml:space="preserve"> biodiversity are fire suppression </w:t>
      </w:r>
      <w:r w:rsidRPr="008608AA">
        <w:fldChar w:fldCharType="begin" w:fldLock="1"/>
      </w:r>
      <w:r w:rsidRPr="008608AA">
        <w:instrText>ADDIN CSL_CITATION { "citationItems" : [ { "id" : "ITEM-1", "itemData" : { "DOI" : "10.1111/1365-2664.12559", "ISSN" : "00218901", "author" : [ { "dropping-particle" : "", "family" : "Durigan", "given" : "Giselda", "non-dropping-particle" : "", "parse-names" : false, "suffix" : "" }, { "dropping-particle" : "", "family" : "Ratter", "given" : "James A.", "non-dropping-particle" : "", "parse-names" : false, "suffix" : "" } ], "container-title" : "Journal of Applied Ecology", "editor" : [ { "dropping-particle" : "", "family" : "James", "given" : "Jeremy", "non-dropping-particle" : "", "parse-names" : false, "suffix" : "" } ], "id" : "ITEM-1", "issue" : "1", "issued" : { "date-parts" : [ [ "2016", "2", "1" ] ] }, "page" : "11-15", "title" : "The need for a consistent fire policy for Cerrado conservation", "type" : "article-journal", "volume" : "53" }, "uris" : [ "http://www.mendeley.com/documents/?uuid=e2012813-66b7-38f6-b3ea-0e2708d6f805" ] } ], "mendeley" : { "formattedCitation" : "(Durigan &amp; Ratter, 2016)", "plainTextFormattedCitation" : "(Durigan &amp; Ratter, 2016)", "previouslyFormattedCitation" : "(Durigan &amp; Ratter, 2016)" }, "properties" : { "noteIndex" : 0 }, "schema" : "https://github.com/citation-style-language/schema/raw/master/csl-citation.json" }</w:instrText>
      </w:r>
      <w:r w:rsidRPr="008608AA">
        <w:fldChar w:fldCharType="separate"/>
      </w:r>
      <w:r w:rsidRPr="008608AA">
        <w:rPr>
          <w:noProof/>
        </w:rPr>
        <w:t>(Durigan &amp; Ratter, 2016)</w:t>
      </w:r>
      <w:r w:rsidRPr="008608AA">
        <w:fldChar w:fldCharType="end"/>
      </w:r>
      <w:r w:rsidRPr="008608AA">
        <w:t xml:space="preserve"> and woody encroachment </w:t>
      </w:r>
      <w:r w:rsidRPr="008608AA">
        <w:fldChar w:fldCharType="begin" w:fldLock="1"/>
      </w:r>
      <w:r w:rsidRPr="008608AA">
        <w:instrText>ADDIN CSL_CITATION { "citationItems" : [ { "id" : "ITEM-1", "itemData" : { "DOI" : "10.1111/gcb.13409", "ISBN" : "0000000206938", "ISSN" : "13652486", "PMID" : "27371937", "abstract" : "Tropical savannas are a globally extensive biome prone to rapid vegetation change in response to changing environmental conditions. Via a meta-analysis, we quantified savanna woody vegetation change spanning the last century. We found a global trend of woody encroachment that was established prior the 1980s. However, there is critical regional variation in the magnitude of encroachment. Woody cover is increasing most rapidly in the remaining uncleared savannas of South America, most likely due to fire suppression and land fragmentation. In contrast, Australia has experienced low rates of encroachment. When accounting for land-use, African savannas have a mean rate annual woody cover increase two and a half times that of Australian savannas. In Africa, encroachment occurs across multiple land uses and is accelerating over time. In Africa and Australia, rising atmospheric CO2, changing land management and rainfall are likely causes. We argue that the functional traits of each woody flora, specifically the N-fixing ability and architecture of woody plants, are critical to predicting encroachment over the next century and that African savannas are at high risk of widespread vegetation change. This article is protected by copyright. All rights reserved.", "author" : [ { "dropping-particle" : "", "family" : "Stevens", "given" : "Nicola", "non-dropping-particle" : "", "parse-names" : false, "suffix" : "" }, { "dropping-particle" : "", "family" : "Lehmann", "given" : "Caroline E.R.", "non-dropping-particle" : "", "parse-names" : false, "suffix" : "" }, { "dropping-particle" : "", "family" : "Murphy", "given" : "Brett P.", "non-dropping-particle" : "", "parse-names" : false, "suffix" : "" }, { "dropping-particle" : "", "family" : "Durigan", "given" : "Giselda", "non-dropping-particle" : "", "parse-names" : false, "suffix" : "" } ], "container-title" : "Global Change Biology", "id" : "ITEM-1", "issue" : "1", "issued" : { "date-parts" : [ [ "2017" ] ] }, "page" : "235-244", "title" : "Savanna woody encroachment is widespread across three continents", "type" : "article-journal", "volume" : "23" }, "uris" : [ "http://www.mendeley.com/documents/?uuid=a4d5e932-e7f6-4154-8cb9-50568ba72ebb" ] } ], "mendeley" : { "formattedCitation" : "(Stevens, Lehmann, Murphy, &amp; Durigan, 2017)", "manualFormatting" : "(Stevens et al., 2017)", "plainTextFormattedCitation" : "(Stevens, Lehmann, Murphy, &amp; Durigan, 2017)", "previouslyFormattedCitation" : "(Stevens, Lehmann, Murphy, &amp; Durigan, 2017)" }, "properties" : { "noteIndex" : 0 }, "schema" : "https://github.com/citation-style-language/schema/raw/master/csl-citation.json" }</w:instrText>
      </w:r>
      <w:r w:rsidRPr="008608AA">
        <w:fldChar w:fldCharType="separate"/>
      </w:r>
      <w:r w:rsidRPr="008608AA">
        <w:rPr>
          <w:noProof/>
        </w:rPr>
        <w:t>(Stevens et al., 2017)</w:t>
      </w:r>
      <w:r w:rsidRPr="008608AA">
        <w:fldChar w:fldCharType="end"/>
      </w:r>
      <w:r w:rsidRPr="008608AA">
        <w:t xml:space="preserve">. Cerrado is resilient to fire, expressed in rapid post-fire recuperation and fire aids in maintaining the mosaic structure of </w:t>
      </w:r>
      <w:r w:rsidR="00A01A41" w:rsidRPr="008608AA">
        <w:t>Cerrado</w:t>
      </w:r>
      <w:r w:rsidRPr="008608AA">
        <w:t xml:space="preserve">. Replacement of grassy savannas with forests is also considered a threat </w:t>
      </w:r>
      <w:r w:rsidRPr="008608AA">
        <w:fldChar w:fldCharType="begin" w:fldLock="1"/>
      </w:r>
      <w:r w:rsidRPr="008608AA">
        <w:instrText>ADDIN CSL_CITATION { "citationItems" : [ { "id" : "ITEM-1", "itemData" : { "DOI" : "10.1093/biosci/biv118", "ISSN" : "15253244", "abstract" : "Misperceptions about the world\u2019s grassy biomes contribute to their alarming rates of loss due to conversion for agriculture and tree plantations, as well as to forest encroachment. To illustrate the causes and consequences of these misperceptions, we show that the World Resources Institute and the International Union for Conservation of Nature misidentified 9 million square kilometers of ancient grassy biomes as providing \u201copportunities\u201d for forest restoration. Establishment of forests in these grasslands, savannas, and open-canopy woodlands would devastate biodiversity and ecosystem services. Such undesired outcomes are avoidable if the distinct ecologies and conservation needs of forest and grassy biomes become better integrated into science and policy. To start with, scientists should create maps that accurately depict grassy biomes at global and landscape scales. It is also crucial that international environmental agreements (e.g., the United Nations Framework Convention on Climate Change) formally recognize grassy biomes and their environmental values.", "author" : [ { "dropping-particle" : "", "family" : "Veldman", "given" : "Joseph W.", "non-dropping-particle" : "", "parse-names" : false, "suffix" : "" }, { "dropping-particle" : "", "family" : "Overbeck", "given" : "Gerhard E.", "non-dropping-particle" : "", "parse-names" : false, "suffix" : "" }, { "dropping-particle" : "", "family" : "Negreiros", "given" : "Daniel", "non-dropping-particle" : "", "parse-names" : false, "suffix" : "" }, { "dropping-particle" : "", "family" : "Mahy", "given" : "Gregory", "non-dropping-particle" : "", "parse-names" : false, "suffix" : "" }, { "dropping-particle" : "", "family" : "Stradic", "given" : "Soizig", "non-dropping-particle" : "Le", "parse-names" : false, "suffix" : "" }, { "dropping-particle" : "", "family" : "Fernandes", "given" : "G. Wilson", "non-dropping-particle" : "", "parse-names" : false, "suffix" : "" }, { "dropping-particle" : "", "family" : "Durigan", "given" : "Giselda", "non-dropping-particle" : "", "parse-names" : false, "suffix" : "" }, { "dropping-particle" : "", "family" : "Buisson", "given" : "Elise", "non-dropping-particle" : "", "parse-names" : false, "suffix" : "" }, { "dropping-particle" : "", "family" : "Putz", "given" : "Francis E.", "non-dropping-particle" : "", "parse-names" : false, "suffix" : "" }, { "dropping-particle" : "", "family" : "Bond", "given" : "William J.", "non-dropping-particle" : "", "parse-names" : false, "suffix" : "" } ], "container-title" : "BioScience", "id" : "ITEM-1", "issue" : "10", "issued" : { "date-parts" : [ [ "2015" ] ] }, "page" : "1011-1018", "title" : "Where tree planting and forest expansion are bad for biodiversity and ecosystem services", "type" : "article-journal", "volume" : "65" }, "uris" : [ "http://www.mendeley.com/documents/?uuid=4ed26fbf-b90b-4396-96ab-8b1aeda35dfc" ] } ], "mendeley" : { "formattedCitation" : "(Veldman et al., 2015)", "plainTextFormattedCitation" : "(Veldman et al., 2015)", "previouslyFormattedCitation" : "(Veldman et al., 2015)" }, "properties" : { "noteIndex" : 0 }, "schema" : "https://github.com/citation-style-language/schema/raw/master/csl-citation.json" }</w:instrText>
      </w:r>
      <w:r w:rsidRPr="008608AA">
        <w:fldChar w:fldCharType="separate"/>
      </w:r>
      <w:r w:rsidRPr="008608AA">
        <w:rPr>
          <w:noProof/>
        </w:rPr>
        <w:t>(Veldman et al., 2015)</w:t>
      </w:r>
      <w:r w:rsidRPr="008608AA">
        <w:fldChar w:fldCharType="end"/>
      </w:r>
      <w:r w:rsidRPr="008608AA">
        <w:t xml:space="preserve"> because dense tree cover severely limits the richness and productivity of light-demanding herbaceous plants while reducing habitat for animals adapted to open environments. Several African grasses which were introduced into Brazil for cattle grazing are now highly invasive in the </w:t>
      </w:r>
      <w:r w:rsidR="00A01A41" w:rsidRPr="008608AA">
        <w:t>Cerrado</w:t>
      </w:r>
      <w:r w:rsidRPr="008608AA">
        <w:t xml:space="preserve"> leading to reductions in native plant species </w:t>
      </w:r>
      <w:r w:rsidRPr="008608AA">
        <w:fldChar w:fldCharType="begin" w:fldLock="1"/>
      </w:r>
      <w:r w:rsidRPr="008608AA">
        <w:instrText>ADDIN CSL_CITATION { "citationItems" : [ { "id" : "ITEM-1", "itemData" : { "author" : [ { "dropping-particle" : "", "family" : "Almeida-Neto", "given" : "M.", "non-dropping-particle" : "", "parse-names" : false, "suffix" : "" }, { "dropping-particle" : "", "family" : "Prado", "given" : "P. I.", "non-dropping-particle" : "", "parse-names" : false, "suffix" : "" }, { "dropping-particle" : "", "family" : "Kubota", "given" : "U.", "non-dropping-particle" : "", "parse-names" : false, "suffix" : "" }, { "dropping-particle" : "", "family" : "Bariani", "given" : "J. M.", "non-dropping-particle" : "", "parse-names" : false, "suffix" : "" }, { "dropping-particle" : "", "family" : "Aguirre", "given" : "G. H.", "non-dropping-particle" : "", "parse-names" : false, "suffix" : "" }, { "dropping-particle" : "", "family" : "Lewinsohn", "given" : "T. M.", "non-dropping-particle" : "", "parse-names" : false, "suffix" : "" } ], "container-title" : "Plant Ecology", "id" : "ITEM-1", "issued" : { "date-parts" : [ [ "2010" ] ] }, "page" : "109-122", "title" : "Invasive grasses and native Asteraceae in the Brazilian Cerrado", "type" : "article-journal", "volume" : "209" }, "uris" : [ "http://www.mendeley.com/documents/?uuid=bac34931-29d2-4a2f-b4f1-72101d969e9d" ] } ], "mendeley" : { "formattedCitation" : "(Almeida-Neto et al., 2010)", "plainTextFormattedCitation" : "(Almeida-Neto et al., 2010)", "previouslyFormattedCitation" : "(Almeida-Neto et al., 2010)" }, "properties" : { "noteIndex" : 0 }, "schema" : "https://github.com/citation-style-language/schema/raw/master/csl-citation.json" }</w:instrText>
      </w:r>
      <w:r w:rsidRPr="008608AA">
        <w:fldChar w:fldCharType="separate"/>
      </w:r>
      <w:r w:rsidRPr="008608AA">
        <w:rPr>
          <w:noProof/>
        </w:rPr>
        <w:t>(Almeida-Neto et al., 2010)</w:t>
      </w:r>
      <w:r w:rsidRPr="008608AA">
        <w:fldChar w:fldCharType="end"/>
      </w:r>
      <w:r w:rsidRPr="008608AA">
        <w:t xml:space="preserve">. In the </w:t>
      </w:r>
      <w:r w:rsidR="00B469A6" w:rsidRPr="008608AA">
        <w:t>phosphorus</w:t>
      </w:r>
      <w:r w:rsidRPr="008608AA">
        <w:t xml:space="preserve">-poor </w:t>
      </w:r>
      <w:r w:rsidR="00A01A41" w:rsidRPr="008608AA">
        <w:t>Cerrado</w:t>
      </w:r>
      <w:r w:rsidRPr="008608AA">
        <w:t xml:space="preserve">, the addition of </w:t>
      </w:r>
      <w:r w:rsidR="00B469A6" w:rsidRPr="008608AA">
        <w:t xml:space="preserve">phosphorus </w:t>
      </w:r>
      <w:r w:rsidRPr="008608AA">
        <w:t xml:space="preserve">tends to increase the biomass of alien C4 grasses </w:t>
      </w:r>
      <w:r w:rsidRPr="008608AA">
        <w:fldChar w:fldCharType="begin" w:fldLock="1"/>
      </w:r>
      <w:r w:rsidRPr="008608AA">
        <w:instrText>ADDIN CSL_CITATION { "citationItems" : [ { "id" : "ITEM-1", "itemData" : { "DOI" : "10.1007/s11104-015-2725-9", "ISBN" : "0032-079X", "ISSN" : "15735036", "abstract" : "The diverse flora of the Brazilian Cerrado is threatened by agricultural expansion, nutrient enrichment and invasion of alien plants. We performed a fertilization experiment to investigate the nature of nutrient limitation in Cerrado vegetation, and evaluate whether native and alien invasive species are limited by the same or different nutrients.", "author" : [ { "dropping-particle" : "", "family" : "Lannes", "given" : "Luciola S.", "non-dropping-particle" : "", "parse-names" : false, "suffix" : "" }, { "dropping-particle" : "", "family" : "Bustamante", "given" : "Mercedes M. C.", "non-dropping-particle" : "", "parse-names" : false, "suffix" : "" }, { "dropping-particle" : "", "family" : "Edwards", "given" : "Peter J.", "non-dropping-particle" : "", "parse-names" : false, "suffix" : "" }, { "dropping-particle" : "", "family" : "Olde Venterink", "given" : "Harry", "non-dropping-particle" : "", "parse-names" : false, "suffix" : "" } ], "container-title" : "Plant and Soil", "id" : "ITEM-1", "issue" : "1-2", "issued" : { "date-parts" : [ [ "2016" ] ] }, "page" : "231-243", "title" : "Native and alien herbaceous plants in the Brazilian Cerrado are (co-) limited by different nutrients", "type" : "article-journal", "volume" : "400" }, "uris" : [ "http://www.mendeley.com/documents/?uuid=7e686600-579f-4c22-9ccd-de5a28521b5d" ] } ], "mendeley" : { "formattedCitation" : "(Lannes, Bustamante, Edwards, &amp; Olde Venterink, 2016)", "manualFormatting" : "(Lannes et al., 2016)", "plainTextFormattedCitation" : "(Lannes, Bustamante, Edwards, &amp; Olde Venterink, 2016)", "previouslyFormattedCitation" : "(Lannes, Bustamante, Edwards, &amp; Olde Venterink, 2016)" }, "properties" : { "noteIndex" : 0 }, "schema" : "https://github.com/citation-style-language/schema/raw/master/csl-citation.json" }</w:instrText>
      </w:r>
      <w:r w:rsidRPr="008608AA">
        <w:fldChar w:fldCharType="separate"/>
      </w:r>
      <w:r w:rsidRPr="008608AA">
        <w:rPr>
          <w:noProof/>
        </w:rPr>
        <w:t>(Lannes et al., 2016)</w:t>
      </w:r>
      <w:r w:rsidRPr="008608AA">
        <w:fldChar w:fldCharType="end"/>
      </w:r>
      <w:r w:rsidRPr="008608AA">
        <w:t xml:space="preserve">. </w:t>
      </w:r>
    </w:p>
    <w:p w14:paraId="234BD584" w14:textId="785DC350" w:rsidR="004255E7" w:rsidRPr="008608AA" w:rsidRDefault="00B04BFA" w:rsidP="00581F86">
      <w:pPr>
        <w:spacing w:before="120" w:after="120"/>
      </w:pPr>
      <w:r w:rsidRPr="008608AA">
        <w:t>Some 34% of d</w:t>
      </w:r>
      <w:r w:rsidR="004255E7" w:rsidRPr="008608AA">
        <w:t xml:space="preserve">ry Chaco habitat has been converted (Figure 3.19) </w:t>
      </w:r>
      <w:r w:rsidR="004255E7" w:rsidRPr="008608AA">
        <w:fldChar w:fldCharType="begin" w:fldLock="1"/>
      </w:r>
      <w:r w:rsidR="004255E7" w:rsidRPr="008608AA">
        <w:instrText>ADDIN CSL_CITATION { "citationItems" : [ { "id" : "ITEM-1", "itemData" : { "DOI" : "10.1016/j.gloplacha.2015.02.009", "ISBN" : "09218181", "ISSN" : "09218181", "PMID" : "3666", "abstract" : "Land use and land cover change (LUCC) affects regional climate through modifications in the water balance and energy budget. These impacts are frequently expressed by: changes in the amount and frequency of precipitation and alteration of surface temperatures. In South America, most of the studies of the effects of LUCC on the local and regional climate have focused on the Amazon region (54 studies), whereas LUCC within non-Amazonian regions have been largely undermined regardless their potential importance in regulating the regional climate (19 studies). We estimated that 3.6millionkm2 of the original natural vegetation cover in non-Amazonian South America were converted into other types of land use, which is about 4 times greater than the historical Amazon deforestation. Moreover, there is evidence showing that LUCC within such fairly neglected ecosystems cause significant reductions in precipitation and increases in surface temperatures, with occasional impacts affecting neighboring or remote areas. We explore the implications of these findings in the context of water security, climatic extremes and future research priorities.", "author" : [ { "dropping-particle" : "", "family" : "Salazar", "given" : "Alvaro", "non-dropping-particle" : "", "parse-names" : false, "suffix" : "" }, { "dropping-particle" : "", "family" : "Baldi", "given" : "German", "non-dropping-particle" : "", "parse-names" : false, "suffix" : "" }, { "dropping-particle" : "", "family" : "Hirota", "given" : "Marina", "non-dropping-particle" : "", "parse-names" : false, "suffix" : "" }, { "dropping-particle" : "", "family" : "Syktus", "given" : "Jozef", "non-dropping-particle" : "", "parse-names" : false, "suffix" : "" }, { "dropping-particle" : "", "family" : "McAlpine", "given" : "Clive", "non-dropping-particle" : "", "parse-names" : false, "suffix" : "" } ], "container-title" : "Global and Planetary Change", "id" : "ITEM-1", "issued" : { "date-parts" : [ [ "2015" ] ] }, "page" : "103-119", "title" : "Land use and land cover change impacts on the regional climate of non-Amazonian South America: A review", "type" : "article-journal", "volume" : "128" }, "uris" : [ "http://www.mendeley.com/documents/?uuid=64b216cc-a67a-4618-aa4c-51e46195a20a" ] } ], "mendeley" : { "formattedCitation" : "(Salazar et al., 2015)", "plainTextFormattedCitation" : "(Salazar et al., 2015)", "previouslyFormattedCitation" : "(Salazar et al., 2015)" }, "properties" : { "noteIndex" : 0 }, "schema" : "https://github.com/citation-style-language/schema/raw/master/csl-citation.json" }</w:instrText>
      </w:r>
      <w:r w:rsidR="004255E7" w:rsidRPr="008608AA">
        <w:fldChar w:fldCharType="separate"/>
      </w:r>
      <w:r w:rsidR="004255E7" w:rsidRPr="008608AA">
        <w:rPr>
          <w:noProof/>
        </w:rPr>
        <w:t>(Salazar et al., 2015)</w:t>
      </w:r>
      <w:r w:rsidR="004255E7" w:rsidRPr="008608AA">
        <w:fldChar w:fldCharType="end"/>
      </w:r>
      <w:r w:rsidR="004255E7" w:rsidRPr="008608AA">
        <w:t>. The Gran Chaco has a long history of colonization and land use change, beginning with subsistence hunting by native pe</w:t>
      </w:r>
      <w:r w:rsidRPr="008608AA">
        <w:t>ople. Over the past 200 years, d</w:t>
      </w:r>
      <w:r w:rsidR="004255E7" w:rsidRPr="008608AA">
        <w:t xml:space="preserve">ry Chaco has experienced drastic land use changes as a result of intensive agriculture, livestock production and logging </w:t>
      </w:r>
      <w:r w:rsidR="004255E7" w:rsidRPr="008608AA">
        <w:fldChar w:fldCharType="begin" w:fldLock="1"/>
      </w:r>
      <w:r w:rsidR="004255E7" w:rsidRPr="008608AA">
        <w:instrText>ADDIN CSL_CITATION { "citationItems" : [ { "id" : "ITEM-1", "itemData" : { "DOI" : "doi: 10.1111/j.1529-8817.2003.00774.x", "ISBN" : "1354-1013", "ISSN" : "1354-1013", "abstract" : "A digital land cover map of South America has been produced using remotely sensed satellite data acquired between 1995 and the year 2000. The mapping scale is defined by the 1 km spatial resolution of the map grid-cell. In order to realize the product, different sources of satellite data were used, each source providing either a particular parameter of land cover characteristic required by the legend, or mapping a particular land cover class. The map legend is designed both to fit requirements for regional climate modelling and for studies on land cover change. The legend is also compatible with a wider, global, land cover mapping exercise, which seeks to characterize the world\u2019s land surface for the year 2000. As a first step, the humid forest domain has been validated using a sample of high-resolution satellite images. The map demonstrates both the major incursions of agriculture into the remaining forest domains and the extensive areas of agriculture, which now dominate South America\u2019s grasslands.", "author" : [ { "dropping-particle" : "", "family" : "Eva", "given" : "H D", "non-dropping-particle" : "", "parse-names" : false, "suffix" : "" }, { "dropping-particle" : "", "family" : "Belward", "given" : "A S", "non-dropping-particle" : "", "parse-names" : false, "suffix" : "" }, { "dropping-particle" : "", "family" : "Miranda", "given" : "E E", "non-dropping-particle" : "De", "parse-names" : false, "suffix" : "" }, { "dropping-particle" : "", "family" : "Bella", "given" : "C M", "non-dropping-particle" : "Di", "parse-names" : false, "suffix" : "" }, { "dropping-particle" : "", "family" : "Gond", "given" : "V", "non-dropping-particle" : "", "parse-names" : false, "suffix" : "" }, { "dropping-particle" : "", "family" : "Huber", "given" : "O", "non-dropping-particle" : "", "parse-names" : false, "suffix" : "" }, { "dropping-particle" : "", "family" : "Jones", "given" : "S", "non-dropping-particle" : "", "parse-names" : false, "suffix" : "" }, { "dropping-particle" : "", "family" : "Sgrenzaroli", "given" : "M", "non-dropping-particle" : "", "parse-names" : false, "suffix" : "" }, { "dropping-particle" : "", "family" : "Fritz", "given" : "S", "non-dropping-particle" : "", "parse-names" : false, "suffix" : "" } ], "container-title" : "Global Change Biology", "id" : "ITEM-1", "issue" : "5", "issued" : { "date-parts" : [ [ "2004" ] ] }, "page" : "731-744", "title" : "A land cover map of South America", "type" : "article-journal", "volume" : "10" }, "uris" : [ "http://www.mendeley.com/documents/?uuid=035e209e-0d1f-4dda-8c36-efad29321baa" ] }, { "id" : "ITEM-2", "itemData" : { "DOI" : "10.1111/j.1654-109X.2012.01218.x", "ISBN" : "1402-2001", "ISSN" : "14022001", "PMID" : "19292794", "abstract" : "Aims (1) to compare two series of precipitation data from different periods (19301950 and 19502000) in three sectors of the southern dry Chaco in the arid and semi-arid sub-regions; (2) construct maps showing the distribution of land-cover units for 1979, 1999, 2004 and 2010 for the same three sectors; and (3) assess the changes in land-cover units occurred between 1979 and 2010 in the three sectors. Location Southern extreme of the dry Chaco in NE and NW Cordoba Province, central Argentina. Methods We compared annual and growth period (NovemberMarch) precipitation among the three sectors and between two series of data corresponding to different periods (19301950 and 19502000) using repeated measures ANOVA, with the station as the subject variable, period as the within-factor and sector as the between factor. Using three Landsat MSS (1979) and nine Landsat TM (1999, 2004 and 2010) images we mapped the distribution of eight land-cover units for the whole study area. For each sector (NE, NW and W), we performed a change detection analysis between 1979 and 2010. Results The classification of Landsat MSS and TM images resulted in reliable land-cover maps (overall accuracy 80%). Our results showed that vegetation cover in the area is highly disturbed and that the present status of vegetation cover differs among the three sectors. In the more humid sector, the land-cover changes have been dominated by replacement of closed forests by crops, while in the driest portion of the study area forest loss was not related to agriculture. Additionally, we found that significant increases in precipitation have occurred in all three sectors, but the increase was highest in the humid sector. Conclusions The differences observed among the three sectors suggest that precipitation may have effectively played a dominant role in the process of forest conversion to agriculture.", "author" : [ { "dropping-particle" : "", "family" : "Hoyos", "given" : "L. E.", "non-dropping-particle" : "", "parse-names" : false, "suffix" : "" }, { "dropping-particle" : "", "family" : "Cingolani", "given" : "A. M.", "non-dropping-particle" : "", "parse-names" : false, "suffix" : "" }, { "dropping-particle" : "", "family" : "Zak", "given" : "M. R.", "non-dropping-particle" : "", "parse-names" : false, "suffix" : "" }, { "dropping-particle" : "V.", "family" : "Vaieretti", "given" : "M.", "non-dropping-particle" : "", "parse-names" : false, "suffix" : "" }, { "dropping-particle" : "", "family" : "Gorla", "given" : "D. E.", "non-dropping-particle" : "", "parse-names" : false, "suffix" : "" }, { "dropping-particle" : "", "family" : "Cabido", "given" : "M. R.", "non-dropping-particle" : "", "parse-names" : false, "suffix" : "" } ], "container-title" : "Applied Vegetation Science", "id" : "ITEM-2", "issue" : "2", "issued" : { "date-parts" : [ [ "2013" ] ] }, "page" : "260-271", "title" : "Deforestation and precipitation patterns in the arid Chaco forests of central Argentina", "type" : "article-journal", "volume" : "16" }, "uris" : [ "http://www.mendeley.com/documents/?uuid=9597a12b-8874-421d-80d7-692d880ebe2b" ] } ], "mendeley" : { "formattedCitation" : "(Eva et al., 2004; Hoyos et al., 2013)", "plainTextFormattedCitation" : "(Eva et al., 2004; Hoyos et al., 2013)", "previouslyFormattedCitation" : "(Eva et al., 2004; Hoyos et al., 2013)" }, "properties" : { "noteIndex" : 0 }, "schema" : "https://github.com/citation-style-language/schema/raw/master/csl-citation.json" }</w:instrText>
      </w:r>
      <w:r w:rsidR="004255E7" w:rsidRPr="008608AA">
        <w:fldChar w:fldCharType="separate"/>
      </w:r>
      <w:r w:rsidR="004255E7" w:rsidRPr="008608AA">
        <w:rPr>
          <w:noProof/>
        </w:rPr>
        <w:t>(Eva et al., 2004; Hoyos et al., 2013)</w:t>
      </w:r>
      <w:r w:rsidR="004255E7" w:rsidRPr="008608AA">
        <w:fldChar w:fldCharType="end"/>
      </w:r>
      <w:r w:rsidR="004255E7" w:rsidRPr="008608AA">
        <w:t xml:space="preserve">. Moreover, deforestation and the introduction of domestic cattle have led to the elimination of fire-climax grasslands and altered forest composition and structure </w:t>
      </w:r>
      <w:r w:rsidR="004255E7" w:rsidRPr="008608AA">
        <w:fldChar w:fldCharType="begin" w:fldLock="1"/>
      </w:r>
      <w:r w:rsidR="004255E7" w:rsidRPr="008608AA">
        <w:instrText>ADDIN CSL_CITATION { "citationItems" : [ { "id" : "ITEM-1", "itemData" : { "author" : [ { "dropping-particle" : "", "family" : "Bucher", "given" : "EH", "non-dropping-particle" : "", "parse-names" : false, "suffix" : "" } ], "container-title" : "Ecology of Tropical Savannas", "editor" : [ { "dropping-particle" : "", "family" : "Huntley", "given" : "B.I.", "non-dropping-particle" : "", "parse-names" : false, "suffix" : "" }, { "dropping-particle" : "", "family" : "Walker", "given" : "B.H.", "non-dropping-particle" : "", "parse-names" : false, "suffix" : "" } ], "id" : "ITEM-1", "issued" : { "date-parts" : [ [ "1982" ] ] }, "page" : "48-79", "publisher" : "Springer-Verlag", "publisher-place" : "Berlin, Germany", "title" : "Chaco and Caatinga - South American arid savannas, woodlands and thickets", "type" : "chapter" }, "uris" : [ "http://www.mendeley.com/documents/?uuid=1df59c15-8959-426a-94d3-752ad7184ee6" ] }, { "id" : "ITEM-2", "itemData" : { "DOI" : "10.1016/j.foreco.2009.02.024", "ISBN" : "0378-1127", "ISSN" : "03781127", "abstract" : "The sustained increase in the global food demand has favoured the recent expansion of industrial agriculture into neotropical dry forest ecosystems, with resulting changes in their extent and spatial configuration. Based on Landsat satellite images, we analyzed changes in forest cover and landscape configuration over an area of 600 by 100 km located in NW Argentina (Tucum??n and Salta provinces) in four periods between 1972 and 2007. The study area, one of the most active deforestation frontiers of South American dry forest, was divided into six relatively homogeneous sectors in terms of land property structure and biophysical characteristics. During the study period 1.4 millions hectares of dry forest were cleared. Deforestation started in the 1970s as a result of technological changes and increasing rainfall; continued (with spatial and temporal fluctuations) during the 1980s and 1990s in association to the sustained global demand of soybean, and was accelerated (to ca. 100,000 ha year-1) between 2001 and 2007 following the global increase in commodity prices, and the national peso devaluation. We described the landscape structure using eight landscape indices, summarized as one synthesis value: the Euclidian distance across the seven dimensions from a theoretical non-fragmented situation. In areas with soil limitations deforestation resulted in relatively stable, highly fragmented landscapes. In contrast, the sites with regional coarser-scale limitations (rainfall), deforestation produced a less fragmented landscape where agriculture concentrates in sites with high rainfall. Sites with no limitations for agriculture tend to a largely deforested landscape with few small and poorly connected forest patches. The land properties size seems to influence some indices of fragmentation, but the synthetic index of fragmentation suggests an overall convergence of fragmentation patterns towards a similar configuration across different biophysical and land tenure conditions. ?? 2009 Elsevier B.V. All rights reserved.", "author" : [ { "dropping-particle" : "", "family" : "Gasparri", "given" : "N. Ignacio", "non-dropping-particle" : "", "parse-names" : false, "suffix" : "" }, { "dropping-particle" : "", "family" : "Grau", "given" : "H. Ricardo", "non-dropping-particle" : "", "parse-names" : false, "suffix" : "" } ], "container-title" : "Forest Ecology and Management", "id" : "ITEM-2", "issue" : "6", "issued" : { "date-parts" : [ [ "2009" ] ] }, "page" : "913-921", "title" : "Deforestation and fragmentation of Chaco dry forest in NW Argentina (1972-2007)", "type" : "article-journal", "volume" : "258" }, "uris" : [ "http://www.mendeley.com/documents/?uuid=1a2cf0a8-68c7-319e-baf3-20d5d2e6eb1a" ] } ], "mendeley" : { "formattedCitation" : "(E. Bucher, 1982; Gasparri &amp; Grau, 2009)", "manualFormatting" : "(Bucher, 1982; Gasparri &amp; Grau, 2009)", "plainTextFormattedCitation" : "(E. Bucher, 1982; Gasparri &amp; Grau, 2009)", "previouslyFormattedCitation" : "(E. Bucher, 1982; Gasparri &amp; Grau, 2009)" }, "properties" : { "noteIndex" : 0 }, "schema" : "https://github.com/citation-style-language/schema/raw/master/csl-citation.json" }</w:instrText>
      </w:r>
      <w:r w:rsidR="004255E7" w:rsidRPr="008608AA">
        <w:fldChar w:fldCharType="separate"/>
      </w:r>
      <w:r w:rsidR="004255E7" w:rsidRPr="008608AA">
        <w:rPr>
          <w:noProof/>
        </w:rPr>
        <w:t>(Bucher, 1982; Gasparri &amp; Grau, 2009)</w:t>
      </w:r>
      <w:r w:rsidR="004255E7" w:rsidRPr="008608AA">
        <w:fldChar w:fldCharType="end"/>
      </w:r>
      <w:r w:rsidR="004255E7" w:rsidRPr="008608AA">
        <w:t xml:space="preserve">. Chaco conversion has had negative effects on biodiversity. Almost 50% of the largest frugivorous mammals and 80% of the largest herbivores in the Argentine Chaco are threatened and exhibit declining populations; this is expected to change vegetation composition since more than half of Chacoan woody plant species display endozoochory as their seed dispersal mechanism </w:t>
      </w:r>
      <w:r w:rsidR="004255E7" w:rsidRPr="008608AA">
        <w:fldChar w:fldCharType="begin" w:fldLock="1"/>
      </w:r>
      <w:r w:rsidR="004255E7" w:rsidRPr="008608AA">
        <w:instrText>ADDIN CSL_CITATION { "citationItems" : [ { "id" : "ITEM-1", "itemData" : { "author" : [ { "dropping-particle" : "", "family" : "Periago", "given" : "M. E.", "non-dropping-particle" : "", "parse-names" : false, "suffix" : "" }, { "dropping-particle" : "", "family" : "Chillo", "given" : "V.", "non-dropping-particle" : "", "parse-names" : false, "suffix" : "" }, { "dropping-particle" : "", "family" : "Ojeda", "given" : "R. A.", "non-dropping-particle" : "", "parse-names" : false, "suffix" : "" } ], "container-title" : "Mammal Review", "id" : "ITEM-1", "issue" : "1", "issued" : { "date-parts" : [ [ "2015" ] ] }, "page" : "41-53", "title" : "Loss of mammalian species from the South American Gran Chaco: empty savanna syndrome?", "type" : "article-journal", "volume" : "45" }, "uris" : [ "http://www.mendeley.com/documents/?uuid=77ad9b2b-aee5-41eb-854c-957495d65b20" ] } ], "mendeley" : { "formattedCitation" : "(Periago, Chillo, &amp; Ojeda, 2015)", "manualFormatting" : "(Periago et al., 2015)", "plainTextFormattedCitation" : "(Periago, Chillo, &amp; Ojeda, 2015)", "previouslyFormattedCitation" : "(Periago, Chillo, &amp; Ojeda, 2015)" }, "properties" : { "noteIndex" : 0 }, "schema" : "https://github.com/citation-style-language/schema/raw/master/csl-citation.json" }</w:instrText>
      </w:r>
      <w:r w:rsidR="004255E7" w:rsidRPr="008608AA">
        <w:fldChar w:fldCharType="separate"/>
      </w:r>
      <w:r w:rsidR="004255E7" w:rsidRPr="008608AA">
        <w:rPr>
          <w:noProof/>
        </w:rPr>
        <w:t>(Periago et al., 2015)</w:t>
      </w:r>
      <w:r w:rsidR="004255E7" w:rsidRPr="008608AA">
        <w:fldChar w:fldCharType="end"/>
      </w:r>
      <w:r w:rsidR="004255E7" w:rsidRPr="008608AA">
        <w:t>.</w:t>
      </w:r>
    </w:p>
    <w:p w14:paraId="2F4AFBC0" w14:textId="1D8C8C71" w:rsidR="00A93FE1" w:rsidRPr="008608AA" w:rsidRDefault="00176FC5" w:rsidP="00581F86">
      <w:pPr>
        <w:widowControl w:val="0"/>
        <w:autoSpaceDE w:val="0"/>
        <w:autoSpaceDN w:val="0"/>
        <w:adjustRightInd w:val="0"/>
        <w:spacing w:before="120" w:after="120"/>
      </w:pPr>
      <w:r w:rsidRPr="008608AA">
        <w:t xml:space="preserve">Recent trends. </w:t>
      </w:r>
      <w:r w:rsidR="004255E7" w:rsidRPr="008608AA">
        <w:t xml:space="preserve">The South American tropical and subtropical savannas and grasslands assessed here are strongly imperiled. As of around the 1970s, pasture development for cattle grazing and extensive and mechanized agriculture intensified, leading to the transformation of </w:t>
      </w:r>
      <w:r w:rsidR="00A01A41" w:rsidRPr="008608AA">
        <w:t>Cerrado</w:t>
      </w:r>
      <w:r w:rsidR="004255E7" w:rsidRPr="008608AA">
        <w:t xml:space="preserve"> into a vast commercial production landscape with concomitant charcoal production for the steel industry. Brazilian </w:t>
      </w:r>
      <w:r w:rsidR="00A01A41" w:rsidRPr="008608AA">
        <w:t>Cerrado</w:t>
      </w:r>
      <w:r w:rsidR="004255E7" w:rsidRPr="008608AA">
        <w:t xml:space="preserve"> suffered a gross loss of around 266,000 km</w:t>
      </w:r>
      <w:r w:rsidR="004255E7" w:rsidRPr="008608AA">
        <w:rPr>
          <w:vertAlign w:val="superscript"/>
        </w:rPr>
        <w:t>2</w:t>
      </w:r>
      <w:r w:rsidR="004255E7" w:rsidRPr="008608AA">
        <w:t xml:space="preserve"> of natural vegetation between 1990 and 2010, but with a significant amount of regrowth also occurring </w:t>
      </w:r>
      <w:r w:rsidR="004255E7" w:rsidRPr="008608AA">
        <w:fldChar w:fldCharType="begin" w:fldLock="1"/>
      </w:r>
      <w:r w:rsidR="004255E7" w:rsidRPr="008608AA">
        <w:instrText>ADDIN CSL_CITATION { "citationItems" : [ { "id" : "ITEM-1", "itemData" : { "DOI" : "10.1016/j.apgeog.2015.01.017", "ISBN" : "01436228", "ISSN" : "01436228", "abstract" : "The main objective of our study was to provide consistent information on land cover changes between the years 1990 and 2010 for the Cerrado and Caatinga Brazilian seasonal biomes. These areas have been overlooked in terms of land cover change assessment if compared with efforts in monitoring the Amazon rain forest. For each of the target years (1990, 2000 and 2010) land cover information was obtained through an object-based classification approach for 243 sample units (10km\u00d710km size), using (E)TM Landsat images systematically located at each full degree confluence of latitude and longitude. The images were automatically pre-processed, segmented and labelled according to the following legend: Tree Cover (TC), Tree Cover Mosaic (TCM), Other Wooded Land (OWL), Other Land Cover (OLC) and Water (W). Our results indicate the Cerrado and Caatinga biomes lost (gross loss) respectively 265,595km2 and 89,656km2 of natural vegetation (TC+OWL) between 1990 and 2010. In the same period, these areas also experienced gain of TC and OWL. By 2010, the percentage of natural vegetation cover remaining in the Cerrado was 47% and in the Caatinga 63%. The annual (net) rate of natural vegetation cover loss in the Cerrado slowed down from-0.79%yr-1 to-0.44%yr-1 from the 1990s to the 2000s, while in the Caatinga for the same periods the rate increased from-0.19%yr-1 to-0.44%yr-1. In summary, these Brazilian biomes experienced both loss and gains of Tree Cover and Other Wooded Land; however a continued net loss of natural vegetation was observed for both biomes between 1990 and 2010. The average annual rate of change in this period was higher in the Cerrado (-0.6%yr-1) than in the Caatinga (-0.3%yr-1).", "author" : [ { "dropping-particle" : "", "family" : "Beuchle", "given" : "Rene", "non-dropping-particle" : "", "parse-names" : false, "suffix" : "" }, { "dropping-particle" : "", "family" : "Grecchi", "given" : "Rosana Cristina", "non-dropping-particle" : "", "parse-names" : false, "suffix" : "" }, { "dropping-particle" : "", "family" : "Shimabukuro", "given" : "Yosio Edemir", "non-dropping-particle" : "", "parse-names" : false, "suffix" : "" }, { "dropping-particle" : "", "family" : "Seliger", "given" : "Roman", "non-dropping-particle" : "", "parse-names" : false, "suffix" : "" }, { "dropping-particle" : "", "family" : "Eva", "given" : "Hugh Douglas", "non-dropping-particle" : "", "parse-names" : false, "suffix" : "" }, { "dropping-particle" : "", "family" : "Sano", "given" : "Edson", "non-dropping-particle" : "", "parse-names" : false, "suffix" : "" }, { "dropping-particle" : "", "family" : "Achard", "given" : "Frederic", "non-dropping-particle" : "", "parse-names" : false, "suffix" : "" } ], "container-title" : "Applied Geography", "id" : "ITEM-1", "issued" : { "date-parts" : [ [ "2015" ] ] }, "page" : "116-127", "title" : "Land cover changes in the Brazilian Cerrado and Caatinga biomes from 1990 to 2010 based on a systematic remote sensing sampling approach", "type" : "article-journal", "volume" : "58" }, "uris" : [ "http://www.mendeley.com/documents/?uuid=18f7acde-7731-4715-8ab5-ec0b139d25ca" ] } ], "mendeley" : { "formattedCitation" : "(Beuchle et al., 2015)", "manualFormatting" : "(Beuchle et al., 2015)", "plainTextFormattedCitation" : "(Beuchle et al., 2015)", "previouslyFormattedCitation" : "(Beuchle et al., 2015)" }, "properties" : { "noteIndex" : 0 }, "schema" : "https://github.com/citation-style-language/schema/raw/master/csl-citation.json" }</w:instrText>
      </w:r>
      <w:r w:rsidR="004255E7" w:rsidRPr="008608AA">
        <w:fldChar w:fldCharType="separate"/>
      </w:r>
      <w:r w:rsidR="004255E7" w:rsidRPr="008608AA">
        <w:rPr>
          <w:noProof/>
        </w:rPr>
        <w:t>(Beuchle et al., 2015)</w:t>
      </w:r>
      <w:r w:rsidR="004255E7" w:rsidRPr="008608AA">
        <w:fldChar w:fldCharType="end"/>
      </w:r>
      <w:r w:rsidR="004255E7" w:rsidRPr="008608AA">
        <w:t xml:space="preserve">. Although the annual net rate of loss (total loss adjusted for regrowth) slowed in the last decade of the past century, overall conversion occurred an average annual net rate of –0.6% between 1990 and 2010 </w:t>
      </w:r>
      <w:r w:rsidR="004255E7" w:rsidRPr="008608AA">
        <w:fldChar w:fldCharType="begin" w:fldLock="1"/>
      </w:r>
      <w:r w:rsidR="004255E7" w:rsidRPr="008608AA">
        <w:instrText>ADDIN CSL_CITATION { "citationItems" : [ { "id" : "ITEM-1", "itemData" : { "DOI" : "10.1016/j.apgeog.2015.01.017", "ISBN" : "01436228", "ISSN" : "01436228", "abstract" : "The main objective of our study was to provide consistent information on land cover changes between the years 1990 and 2010 for the Cerrado and Caatinga Brazilian seasonal biomes. These areas have been overlooked in terms of land cover change assessment if compared with efforts in monitoring the Amazon rain forest. For each of the target years (1990, 2000 and 2010) land cover information was obtained through an object-based classification approach for 243 sample units (10km\u00d710km size), using (E)TM Landsat images systematically located at each full degree confluence of latitude and longitude. The images were automatically pre-processed, segmented and labelled according to the following legend: Tree Cover (TC), Tree Cover Mosaic (TCM), Other Wooded Land (OWL), Other Land Cover (OLC) and Water (W). Our results indicate the Cerrado and Caatinga biomes lost (gross loss) respectively 265,595km2 and 89,656km2 of natural vegetation (TC+OWL) between 1990 and 2010. In the same period, these areas also experienced gain of TC and OWL. By 2010, the percentage of natural vegetation cover remaining in the Cerrado was 47% and in the Caatinga 63%. The annual (net) rate of natural vegetation cover loss in the Cerrado slowed down from-0.79%yr-1 to-0.44%yr-1 from the 1990s to the 2000s, while in the Caatinga for the same periods the rate increased from-0.19%yr-1 to-0.44%yr-1. In summary, these Brazilian biomes experienced both loss and gains of Tree Cover and Other Wooded Land; however a continued net loss of natural vegetation was observed for both biomes between 1990 and 2010. The average annual rate of change in this period was higher in the Cerrado (-0.6%yr-1) than in the Caatinga (-0.3%yr-1).", "author" : [ { "dropping-particle" : "", "family" : "Beuchle", "given" : "Rene", "non-dropping-particle" : "", "parse-names" : false, "suffix" : "" }, { "dropping-particle" : "", "family" : "Grecchi", "given" : "Rosana Cristina", "non-dropping-particle" : "", "parse-names" : false, "suffix" : "" }, { "dropping-particle" : "", "family" : "Shimabukuro", "given" : "Yosio Edemir", "non-dropping-particle" : "", "parse-names" : false, "suffix" : "" }, { "dropping-particle" : "", "family" : "Seliger", "given" : "Roman", "non-dropping-particle" : "", "parse-names" : false, "suffix" : "" }, { "dropping-particle" : "", "family" : "Eva", "given" : "Hugh Douglas", "non-dropping-particle" : "", "parse-names" : false, "suffix" : "" }, { "dropping-particle" : "", "family" : "Sano", "given" : "Edson", "non-dropping-particle" : "", "parse-names" : false, "suffix" : "" }, { "dropping-particle" : "", "family" : "Achard", "given" : "Frederic", "non-dropping-particle" : "", "parse-names" : false, "suffix" : "" } ], "container-title" : "Applied Geography", "id" : "ITEM-1", "issued" : { "date-parts" : [ [ "2015" ] ] }, "page" : "116-127", "title" : "Land cover changes in the Brazilian Cerrado and Caatinga biomes from 1990 to 2010 based on a systematic remote sensing sampling approach", "type" : "article-journal", "volume" : "58" }, "uris" : [ "http://www.mendeley.com/documents/?uuid=18f7acde-7731-4715-8ab5-ec0b139d25ca" ] } ], "mendeley" : { "formattedCitation" : "(Beuchle et al., 2015)", "manualFormatting" : "(Beuchle et al., 2015)", "plainTextFormattedCitation" : "(Beuchle et al., 2015)", "previouslyFormattedCitation" : "(Beuchle et al., 2015)" }, "properties" : { "noteIndex" : 0 }, "schema" : "https://github.com/citation-style-language/schema/raw/master/csl-citation.json" }</w:instrText>
      </w:r>
      <w:r w:rsidR="004255E7" w:rsidRPr="008608AA">
        <w:fldChar w:fldCharType="separate"/>
      </w:r>
      <w:r w:rsidR="004255E7" w:rsidRPr="008608AA">
        <w:rPr>
          <w:noProof/>
        </w:rPr>
        <w:t>(Beuchle et al., 2015)</w:t>
      </w:r>
      <w:r w:rsidR="004255E7" w:rsidRPr="008608AA">
        <w:fldChar w:fldCharType="end"/>
      </w:r>
      <w:r w:rsidR="004255E7" w:rsidRPr="008608AA">
        <w:t xml:space="preserve">. Between 2003 and 2013, the northeast agricultural frontier in Brazil more than doubled from 1.2 to 2.5 million ha, with 74% of new croplands sourced from intact </w:t>
      </w:r>
      <w:r w:rsidR="00A01A41" w:rsidRPr="008608AA">
        <w:t>Cerrado</w:t>
      </w:r>
      <w:r w:rsidR="004255E7" w:rsidRPr="008608AA">
        <w:t xml:space="preserve"> </w:t>
      </w:r>
      <w:r w:rsidR="004255E7" w:rsidRPr="008608AA">
        <w:fldChar w:fldCharType="begin" w:fldLock="1"/>
      </w:r>
      <w:r w:rsidR="004255E7" w:rsidRPr="008608AA">
        <w:instrText>ADDIN CSL_CITATION { "citationItems" : [ { "id" : "ITEM-1", "itemData" : { "DOI" : "10.1111/gcb.13298", "author" : [ { "dropping-particle" : "", "family" : "Spera", "given" : "Stephanie A.", "non-dropping-particle" : "", "parse-names" : false, "suffix" : "" }, { "dropping-particle" : "", "family" : "Galford", "given" : "Gillian L", "non-dropping-particle" : "", "parse-names" : false, "suffix" : "" }, { "dropping-particle" : "", "family" : "Coe", "given" : "Michael T.", "non-dropping-particle" : "", "parse-names" : false, "suffix" : "" } ], "container-title" : "Global Change Biology", "id" : "ITEM-1", "issue" : "10", "issued" : { "date-parts" : [ [ "2016" ] ] }, "page" : "3405-3413", "title" : "Land-use change affects water recycling in Brazil\u2019 s last agricultural frontier", "type" : "article-journal", "volume" : "22" }, "uris" : [ "http://www.mendeley.com/documents/?uuid=1c7e4e04-7f28-4c34-bb28-3f55a0f8e1b5" ] } ], "mendeley" : { "formattedCitation" : "(Spera, Galford, &amp; Coe, 2016)", "manualFormatting" : "(Spera et al., 2016)", "plainTextFormattedCitation" : "(Spera, Galford, &amp; Coe, 2016)", "previouslyFormattedCitation" : "(Spera, Galford, &amp; Coe, 2016)" }, "properties" : { "noteIndex" : 0 }, "schema" : "https://github.com/citation-style-language/schema/raw/master/csl-citation.json" }</w:instrText>
      </w:r>
      <w:r w:rsidR="004255E7" w:rsidRPr="008608AA">
        <w:fldChar w:fldCharType="separate"/>
      </w:r>
      <w:r w:rsidR="004255E7" w:rsidRPr="008608AA">
        <w:rPr>
          <w:noProof/>
        </w:rPr>
        <w:t>(Spera et al., 2016)</w:t>
      </w:r>
      <w:r w:rsidR="004255E7" w:rsidRPr="008608AA">
        <w:fldChar w:fldCharType="end"/>
      </w:r>
      <w:r w:rsidR="004255E7" w:rsidRPr="008608AA">
        <w:t xml:space="preserve">. </w:t>
      </w:r>
      <w:r w:rsidR="001E6D7A" w:rsidRPr="008608AA">
        <w:t xml:space="preserve">Shifts from </w:t>
      </w:r>
      <w:r w:rsidR="00A01A41" w:rsidRPr="008608AA">
        <w:t>Cerrado</w:t>
      </w:r>
      <w:r w:rsidR="001E6D7A" w:rsidRPr="008608AA">
        <w:t xml:space="preserve"> to cultivation have resulted in huge soil losses under erosive storms (12.4 t/ha/yr for bare soil compared to 0.1 t/ha/yr for </w:t>
      </w:r>
      <w:r w:rsidR="00A01A41" w:rsidRPr="008608AA">
        <w:t>Cerrado</w:t>
      </w:r>
      <w:r w:rsidR="001E6D7A" w:rsidRPr="008608AA">
        <w:t xml:space="preserve">) </w:t>
      </w:r>
      <w:r w:rsidR="001E6D7A" w:rsidRPr="008608AA">
        <w:fldChar w:fldCharType="begin" w:fldLock="1"/>
      </w:r>
      <w:r w:rsidR="001E6D7A" w:rsidRPr="008608AA">
        <w:instrText>ADDIN CSL_CITATION { "citationItems" : [ { "id" : "ITEM-1", "itemData" : { "DOI" : "10.1002/esp.3738", "author" : [ { "dropping-particle" : "", "family" : "Oliveira", "given" : "P. T. S.", "non-dropping-particle" : "", "parse-names" : false, "suffix" : "" }, { "dropping-particle" : "", "family" : "Nearing", "given" : "M. A.", "non-dropping-particle" : "", "parse-names" : false, "suffix" : "" }, { "dropping-particle" : "", "family" : "Wendland", "given" : "E.", "non-dropping-particle" : "", "parse-names" : false, "suffix" : "" } ], "container-title" : "Earth Surface Processes and Landforms", "id" : "ITEM-1", "issue" : "11", "issued" : { "date-parts" : [ [ "2015" ] ] }, "page" : "1524-1532", "title" : "Orders of magnitude increase in soil erosion associated with land use change from native to cultivated vegetation in a Brazilian savannah environment", "type" : "article-journal", "volume" : "40" }, "uris" : [ "http://www.mendeley.com/documents/?uuid=ae60fd8c-e094-44c2-ba4f-2faeebafdafd" ] } ], "mendeley" : { "formattedCitation" : "(Oliveira et al., 2015)", "manualFormatting" : "(Oliveira, Nearing &amp; Wendland, 2015)", "plainTextFormattedCitation" : "(Oliveira et al., 2015)", "previouslyFormattedCitation" : "(Oliveira et al., 2015)" }, "properties" : { "noteIndex" : 0 }, "schema" : "https://github.com/citation-style-language/schema/raw/master/csl-citation.json" }</w:instrText>
      </w:r>
      <w:r w:rsidR="001E6D7A" w:rsidRPr="008608AA">
        <w:fldChar w:fldCharType="separate"/>
      </w:r>
      <w:r w:rsidR="00441544" w:rsidRPr="008608AA">
        <w:rPr>
          <w:noProof/>
        </w:rPr>
        <w:t>(Oliveira et al.</w:t>
      </w:r>
      <w:r w:rsidR="001E6D7A" w:rsidRPr="008608AA">
        <w:rPr>
          <w:noProof/>
        </w:rPr>
        <w:t>, 2015)</w:t>
      </w:r>
      <w:r w:rsidR="001E6D7A" w:rsidRPr="008608AA">
        <w:fldChar w:fldCharType="end"/>
      </w:r>
      <w:r w:rsidR="001E6D7A" w:rsidRPr="008608AA">
        <w:t>.</w:t>
      </w:r>
      <w:r w:rsidR="004255E7" w:rsidRPr="008608AA">
        <w:t xml:space="preserve">The Paraná river basin suffered a 66% decrease in forest cover between 1977 and 2008, with a 3.5% annual rate of forest loss </w:t>
      </w:r>
      <w:r w:rsidR="004255E7" w:rsidRPr="008608AA">
        <w:fldChar w:fldCharType="begin" w:fldLock="1"/>
      </w:r>
      <w:r w:rsidR="004255E7" w:rsidRPr="008608AA">
        <w:instrText>ADDIN CSL_CITATION { "citationItems" : [ { "id" : "ITEM-1", "itemData" : { "DOI" : "10.1111/btp.12010", "ISBN" : "1744-7429", "ISSN" : "00063606", "abstract" : "Tropical dry forests are the most threatened forest type in the world yet a paucity of research about them stymies development of appropriate conservation actions. The Paran\u00e3 River Basin has the most significant dry forest formations in the Cerrado biome of central Brazil and is threatened by intense land conversion to pastures and agriculture. We examined changes in Paran\u00e3 River Basin deforestation rates and fragmentation across three time intervals that covered 31 yr using Landsat imagery. Our results indicated a 66.3 percent decrease in forest extent between 1977 and 2008, with an annual rate of forest cover change of 3.5 percent. Landscape metrics further indicated severe forest loss and fragmentation, resulting in an increase in the number of fragments and reduction in patch sizes. Forest fragments in flatlands have virtually disappeared and the only significant forest remnants are mostly found over limestone outcrops in the eastern part of the basin. If current patterns persist, we project that these forests will likely disappear within 25 yr. These patterns may be reversed with creation of protected areas and involvement of local people to preserve small fragments that can be managed for restoration. \u00a9 2012 The Author(s) Journal compilation \u00a9 2012 by The Association for Tropical Biology and Conservation.", "author" : [ { "dropping-particle" : "", "family" : "Bianchi", "given" : "Carlos A.", "non-dropping-particle" : "", "parse-names" : false, "suffix" : "" }, { "dropping-particle" : "", "family" : "Haig", "given" : "Susan M.", "non-dropping-particle" : "", "parse-names" : false, "suffix" : "" } ], "container-title" : "Biotropica", "id" : "ITEM-1", "issue" : "3", "issued" : { "date-parts" : [ [ "2013", "5", "1" ] ] }, "page" : "395-400", "title" : "Deforestation trends of tropical dry forests in Central Brazil", "type" : "article-journal", "volume" : "45" }, "uris" : [ "http://www.mendeley.com/documents/?uuid=3397211f-57f7-356d-a57d-aa18853d8cef" ] } ], "mendeley" : { "formattedCitation" : "(Bianchi &amp; Haig, 2013)", "plainTextFormattedCitation" : "(Bianchi &amp; Haig, 2013)", "previouslyFormattedCitation" : "(Bianchi &amp; Haig, 2013)" }, "properties" : { "noteIndex" : 0 }, "schema" : "https://github.com/citation-style-language/schema/raw/master/csl-citation.json" }</w:instrText>
      </w:r>
      <w:r w:rsidR="004255E7" w:rsidRPr="008608AA">
        <w:fldChar w:fldCharType="separate"/>
      </w:r>
      <w:r w:rsidR="004255E7" w:rsidRPr="008608AA">
        <w:rPr>
          <w:noProof/>
        </w:rPr>
        <w:t>(Bianchi &amp; Haig, 2013)</w:t>
      </w:r>
      <w:r w:rsidR="004255E7" w:rsidRPr="008608AA">
        <w:fldChar w:fldCharType="end"/>
      </w:r>
      <w:r w:rsidR="004255E7" w:rsidRPr="008608AA">
        <w:t xml:space="preserve">. A recent review </w:t>
      </w:r>
      <w:r w:rsidR="004255E7" w:rsidRPr="008608AA">
        <w:fldChar w:fldCharType="begin" w:fldLock="1"/>
      </w:r>
      <w:r w:rsidR="004255E7" w:rsidRPr="008608AA">
        <w:instrText>ADDIN CSL_CITATION { "citationItems" : [ { "id" : "ITEM-1", "itemData" : { "author" : [ { "dropping-particle" : "", "family" : "Hunke", "given" : "P.", "non-dropping-particle" : "", "parse-names" : false, "suffix" : "" }, { "dropping-particle" : "", "family" : "Mueller", "given" : "E.N.", "non-dropping-particle" : "", "parse-names" : false, "suffix" : "" }, { "dropping-particle" : "", "family" : "Schr\u00f6der", "given" : "B.", "non-dropping-particle" : "", "parse-names" : false, "suffix" : "" }, { "dropping-particle" : "", "family" : "Zeilhofer", "given" : "P.", "non-dropping-particle" : "", "parse-names" : false, "suffix" : "" } ], "container-title" : "Ecohydrology", "id" : "ITEM-1", "issue" : "6", "issued" : { "date-parts" : [ [ "2015" ] ] }, "page" : "1154-1180", "title" : "The Brazilian Cerrado: assessment of water and soil degradation in catchments under intensive agriculture use", "type" : "article-journal", "volume" : "8" }, "uris" : [ "http://www.mendeley.com/documents/?uuid=1418aea7-cb70-4b99-818c-eda59799cf1f" ] } ], "mendeley" : { "formattedCitation" : "(Hunke, Mueller, Schr\u00f6der, &amp; Zeilhofer, 2015)", "manualFormatting" : "(Hunke et al., 2015)", "plainTextFormattedCitation" : "(Hunke, Mueller, Schr\u00f6der, &amp; Zeilhofer, 2015)", "previouslyFormattedCitation" : "(Hunke, Mueller, Schr\u00f6der, &amp; Zeilhofer, 2015)" }, "properties" : { "noteIndex" : 0 }, "schema" : "https://github.com/citation-style-language/schema/raw/master/csl-citation.json" }</w:instrText>
      </w:r>
      <w:r w:rsidR="004255E7" w:rsidRPr="008608AA">
        <w:fldChar w:fldCharType="separate"/>
      </w:r>
      <w:r w:rsidR="004255E7" w:rsidRPr="008608AA">
        <w:rPr>
          <w:noProof/>
        </w:rPr>
        <w:t>(Hunke et al., 2015)</w:t>
      </w:r>
      <w:r w:rsidR="004255E7" w:rsidRPr="008608AA">
        <w:fldChar w:fldCharType="end"/>
      </w:r>
      <w:r w:rsidR="004255E7" w:rsidRPr="008608AA">
        <w:t xml:space="preserve"> concluded that while conversion of </w:t>
      </w:r>
      <w:r w:rsidR="00A01A41" w:rsidRPr="008608AA">
        <w:t>Cerrado</w:t>
      </w:r>
      <w:r w:rsidR="004255E7" w:rsidRPr="008608AA">
        <w:t xml:space="preserve"> did not alter total soil nitrogen, nitrogen enrichment in agricultural catchments has increased, indicating fertilizer impacts and potential susceptibility to eutrophication; moreover, pesticides are consistently found throughout the entire aquatic system. </w:t>
      </w:r>
      <w:r w:rsidR="00A93FE1" w:rsidRPr="008608AA">
        <w:t xml:space="preserve">Part of the loss of woody cover in the </w:t>
      </w:r>
      <w:r w:rsidR="00A01A41" w:rsidRPr="008608AA">
        <w:t>Cerrado</w:t>
      </w:r>
      <w:r w:rsidR="00A93FE1" w:rsidRPr="008608AA">
        <w:t xml:space="preserve"> is due to charcoal production </w:t>
      </w:r>
      <w:r w:rsidR="00A93FE1" w:rsidRPr="008608AA">
        <w:fldChar w:fldCharType="begin" w:fldLock="1"/>
      </w:r>
      <w:r w:rsidR="00A93FE1" w:rsidRPr="008608AA">
        <w:instrText>ADDIN CSL_CITATION { "citationItems" : [ { "id" : "ITEM-1", "itemData" : { "DOI" : "10.1006/anbo.1997.0469", "ISBN" : "0305-7364", "ISSN" : "03057364", "PMID" : "22786785", "abstract" : "The Brazilian cerrado (savanna) biome covers 2 million km# representing 23 % of the area of the country. It is an ancient biome with rich biodiversity, estimated at 160 000 species of plants, fungi and animals. There are about 800 species of trees and large shrubs in the savanna vegetation and several times that number of ground species (herbs and subshrubs). When the flora of gallery forests, mesophytic forests and other habitats occurring in the biome are included, the total number of vascular plant species is estimated to reach about 10 000. During the last 25 years modern agriculture has been developed in the cerrado to produce soya, maize, rice, etc and enormous numbers of cattle are raised in planted pastures. Charcoal production for the Brazilian steel industry also causes great destruction of the cerrado. By 1994 an estimated 695 000 km# of cerrado (representing 35 % of its area) had been converted to ' anthropic landscape '. This compares to the destruction of about 400 000 km# of Brazilian Amazonian forest representing 12 or 13 % of the area of this biome. Conservation initiatives are now desperately needed. Only 1n5% of the cerrado biome is preserved as Federal Reserves and this area needs to be at least tripled. Surveys of the vascular flora aimed at discovering biogeographic patterns are now in progress with the objective of choosing representative areas and biodiversity ' hot spots ' for conservation. # 1997 Annals of Botany Company", "author" : [ { "dropping-particle" : "", "family" : "Ratter", "given" : "J.", "non-dropping-particle" : "", "parse-names" : false, "suffix" : "" }, { "dropping-particle" : "", "family" : "Ribeiro", "given" : "J. F.", "non-dropping-particle" : "", "parse-names" : false, "suffix" : "" }, { "dropping-particle" : "", "family" : "Bridgewater", "given" : "S.", "non-dropping-particle" : "", "parse-names" : false, "suffix" : "" } ], "container-title" : "Annals of Botany", "id" : "ITEM-1", "issue" : "3", "issued" : { "date-parts" : [ [ "1997" ] ] }, "page" : "223-230", "title" : "The Brazilian cerrado vegetation and threats to its biodiversity", "type" : "article-journal", "volume" : "80" }, "uris" : [ "http://www.mendeley.com/documents/?uuid=f9641129-c412-3811-8bf6-a4d4abca4bf8" ] } ], "mendeley" : { "formattedCitation" : "(Ratter et al. 1997)", "manualFormatting" : "(Ratter et al., 1997)", "plainTextFormattedCitation" : "(Ratter et al. 1997)", "previouslyFormattedCitation" : "(Ratter et al. 1997)" }, "properties" : { "noteIndex" : 0 }, "schema" : "https://github.com/citation-style-language/schema/raw/master/csl-citation.json" }</w:instrText>
      </w:r>
      <w:r w:rsidR="00A93FE1" w:rsidRPr="008608AA">
        <w:fldChar w:fldCharType="separate"/>
      </w:r>
      <w:r w:rsidR="00A93FE1" w:rsidRPr="008608AA">
        <w:rPr>
          <w:noProof/>
        </w:rPr>
        <w:t>(Ratter et al., 1997)</w:t>
      </w:r>
      <w:r w:rsidR="00A93FE1" w:rsidRPr="008608AA">
        <w:fldChar w:fldCharType="end"/>
      </w:r>
      <w:r w:rsidR="00A93FE1" w:rsidRPr="008608AA">
        <w:t xml:space="preserve">. </w:t>
      </w:r>
      <w:r w:rsidR="004255E7" w:rsidRPr="008608AA">
        <w:t xml:space="preserve">For example, 34.5% of around 5.5 milion tons of charcoal produced in the Brazil in 2005 still came from native </w:t>
      </w:r>
      <w:r w:rsidR="00A01A41" w:rsidRPr="008608AA">
        <w:t>Cerrado</w:t>
      </w:r>
      <w:r w:rsidR="004255E7" w:rsidRPr="008608AA">
        <w:t xml:space="preserve"> species in spite of efforts to transition to planted forests </w:t>
      </w:r>
      <w:r w:rsidR="004255E7" w:rsidRPr="008608AA">
        <w:fldChar w:fldCharType="begin" w:fldLock="1"/>
      </w:r>
      <w:r w:rsidR="004255E7" w:rsidRPr="008608AA">
        <w:instrText>ADDIN CSL_CITATION { "citationItems" : [ { "id" : "ITEM-1", "itemData" : { "author" : [ { "dropping-particle" : "", "family" : "Duboc", "given" : "E.", "non-dropping-particle" : "", "parse-names" : false, "suffix" : "" }, { "dropping-particle" : "", "family" : "Costa", "given" : "C.J.", "non-dropping-particle" : "", "parse-names" : false, "suffix" : "" }, { "dropping-particle" : "", "family" : "Veloso", "given" : "R.F.", "non-dropping-particle" : "", "parse-names" : false, "suffix" : "" }, { "dropping-particle" : "", "family" : "Oliveira", "given" : "L.S.", "non-dropping-particle" : "", "parse-names" : false, "suffix" : "" }, { "dropping-particle" : "", "family" : "Paludo", "given" : "A.", "non-dropping-particle" : "", "parse-names" : false, "suffix" : "" } ], "container-title" : "Documentos - Embrapa Cerrados No. 197", "id" : "ITEM-1", "issued" : { "date-parts" : [ [ "2007" ] ] }, "number-of-pages" : "pp.37", "title" : "Panorama Atual da Produ\u00e7\u00e3o de Carv\u00e3o Vegetal no Brasil e no Cerrado.", "type" : "report" }, "uris" : [ "http://www.mendeley.com/documents/?uuid=344735c3-9a99-4259-ba6a-fa3d99177f23" ] } ], "mendeley" : { "formattedCitation" : "(Duboc, Costa, Veloso, Oliveira, &amp; Paludo, 2007)", "manualFormatting" : "(Duboc et al., 2007)", "plainTextFormattedCitation" : "(Duboc, Costa, Veloso, Oliveira, &amp; Paludo, 2007)", "previouslyFormattedCitation" : "(Duboc, Costa, Veloso, Oliveira, &amp; Paludo, 2007)" }, "properties" : { "noteIndex" : 0 }, "schema" : "https://github.com/citation-style-language/schema/raw/master/csl-citation.json" }</w:instrText>
      </w:r>
      <w:r w:rsidR="004255E7" w:rsidRPr="008608AA">
        <w:fldChar w:fldCharType="separate"/>
      </w:r>
      <w:r w:rsidR="004255E7" w:rsidRPr="008608AA">
        <w:rPr>
          <w:noProof/>
        </w:rPr>
        <w:t>(Duboc et al., 2007)</w:t>
      </w:r>
      <w:r w:rsidR="004255E7" w:rsidRPr="008608AA">
        <w:fldChar w:fldCharType="end"/>
      </w:r>
      <w:r w:rsidR="004255E7" w:rsidRPr="008608AA">
        <w:t>.</w:t>
      </w:r>
    </w:p>
    <w:p w14:paraId="6AA8C393" w14:textId="4C763C52" w:rsidR="004255E7" w:rsidRPr="008608AA" w:rsidRDefault="004255E7" w:rsidP="00581F86">
      <w:pPr>
        <w:widowControl w:val="0"/>
        <w:autoSpaceDE w:val="0"/>
        <w:autoSpaceDN w:val="0"/>
        <w:adjustRightInd w:val="0"/>
        <w:spacing w:before="120" w:after="120"/>
      </w:pPr>
      <w:r w:rsidRPr="008608AA">
        <w:rPr>
          <w:iCs/>
        </w:rPr>
        <w:t xml:space="preserve">Like </w:t>
      </w:r>
      <w:r w:rsidR="00A01A41" w:rsidRPr="008608AA">
        <w:rPr>
          <w:iCs/>
        </w:rPr>
        <w:t>Cerrado</w:t>
      </w:r>
      <w:r w:rsidRPr="008608AA">
        <w:rPr>
          <w:iCs/>
        </w:rPr>
        <w:t xml:space="preserve">, the Chaco has recently undergone extensive transformation (c.f., Figure 3.19). </w:t>
      </w:r>
      <w:r w:rsidRPr="008608AA">
        <w:t xml:space="preserve">Rapid loss of chacoan dry forest has been documented in Bolivia, Paraguay and Argentina </w:t>
      </w:r>
      <w:r w:rsidRPr="008608AA">
        <w:fldChar w:fldCharType="begin" w:fldLock="1"/>
      </w:r>
      <w:r w:rsidRPr="008608AA">
        <w:instrText>ADDIN CSL_CITATION { "citationItems" : [ { "id" : "ITEM-1", "itemData" : { "DOI" : "10.1016/j.foreco.2009.02.024", "ISBN" : "0378-1127", "ISSN" : "03781127", "abstract" : "The sustained increase in the global food demand has favoured the recent expansion of industrial agriculture into neotropical dry forest ecosystems, with resulting changes in their extent and spatial configuration. Based on Landsat satellite images, we analyzed changes in forest cover and landscape configuration over an area of 600 by 100 km located in NW Argentina (Tucum??n and Salta provinces) in four periods between 1972 and 2007. The study area, one of the most active deforestation frontiers of South American dry forest, was divided into six relatively homogeneous sectors in terms of land property structure and biophysical characteristics. During the study period 1.4 millions hectares of dry forest were cleared. Deforestation started in the 1970s as a result of technological changes and increasing rainfall; continued (with spatial and temporal fluctuations) during the 1980s and 1990s in association to the sustained global demand of soybean, and was accelerated (to ca. 100,000 ha year-1) between 2001 and 2007 following the global increase in commodity prices, and the national peso devaluation. We described the landscape structure using eight landscape indices, summarized as one synthesis value: the Euclidian distance across the seven dimensions from a theoretical non-fragmented situation. In areas with soil limitations deforestation resulted in relatively stable, highly fragmented landscapes. In contrast, the sites with regional coarser-scale limitations (rainfall), deforestation produced a less fragmented landscape where agriculture concentrates in sites with high rainfall. Sites with no limitations for agriculture tend to a largely deforested landscape with few small and poorly connected forest patches. The land properties size seems to influence some indices of fragmentation, but the synthetic index of fragmentation suggests an overall convergence of fragmentation patterns towards a similar configuration across different biophysical and land tenure conditions. ?? 2009 Elsevier B.V. All rights reserved.", "author" : [ { "dropping-particle" : "", "family" : "Gasparri", "given" : "N. Ignacio", "non-dropping-particle" : "", "parse-names" : false, "suffix" : "" }, { "dropping-particle" : "", "family" : "Grau", "given" : "H. Ricardo", "non-dropping-particle" : "", "parse-names" : false, "suffix" : "" } ], "container-title" : "Forest Ecology and Management", "id" : "ITEM-1", "issue" : "6", "issued" : { "date-parts" : [ [ "2009" ] ] }, "page" : "913-921", "title" : "Deforestation and fragmentation of Chaco dry forest in NW Argentina (1972-2007)", "type" : "article-journal", "volume" : "258" }, "uris" : [ "http://www.mendeley.com/documents/?uuid=1a2cf0a8-68c7-319e-baf3-20d5d2e6eb1a" ] }, { "id" : "ITEM-2", "itemData" : { "author" : [ { "dropping-particle" : "", "family" : "Grau", "given" : "H.R.", "non-dropping-particle" : "", "parse-names" : false, "suffix" : "" }, { "dropping-particle" : "", "family" : "Gasparri", "given" : "N.I.", "non-dropping-particle" : "", "parse-names" : false, "suffix" : "" }, { "dropping-particle" : "", "family" : "Aide", "given" : "T.M.", "non-dropping-particle" : "", "parse-names" : false, "suffix" : "" } ], "container-title" : "Environmental Conservation", "id" : "ITEM-2", "issue" : "2", "issued" : { "date-parts" : [ [ "2005" ] ] }, "page" : "140\u2013148", "title" : "Agriculture expansion and deforestation in seasonally dry forests of north-west Argentina", "type" : "article-journal", "volume" : "32" }, "uris" : [ "http://www.mendeley.com/documents/?uuid=72bec916-cc44-40a8-9f05-d14cc9fcef9c" ] }, { "id" : "ITEM-3", "itemData" : { "DOI" : "10.1016/j.biocon.2004.03.034", "ISBN" : "0006-3207", "ISSN" : "00063207", "PMID" : "274", "abstract" : "While much information is available about tropical and temperate ecosystems, there is a remarkably little information as to land cover and land use changes in the subtropical biomes of the world. Here, we quantify changes in the spatial patterns of land cover types at the southern edge of the seasonally dry, subtropical Chaco forest of South America during the second half of the 20th century using a vegetation map printed in 1969 and a Landsat TM based digital map produced 30 years later. Results show a massive contraction of forest; ca. 1.2 million ha of original lowland and mountain subtropical dry forests and woodlands, 85% of the total, have been cleared in only 30 years. This loss of Chaco forests of 2.2% year-1 is consistent with or even exceeds, global trends. Forest vegetation now persists as fragments where there was formerly continuous cover. Most of undisturbed Chaco forest has now been converted to pasture or is undergoing secondary succession. Today, these new vegetation types, resulting mainly from agricultural expansion, have increased 10-fold in cover and now represent the commonest land cover types. The increased intensity of agricultural usage, possibly triggered by an increase in annual rainfall during the last decades, has been accompanied by changes in agricultural practices and a relative decline in the rural population. ?? 2004 Elsevier Ltd. All rights reserved.", "author" : [ { "dropping-particle" : "", "family" : "Zak", "given" : "Marcelo R.", "non-dropping-particle" : "", "parse-names" : false, "suffix" : "" }, { "dropping-particle" : "", "family" : "Cabido", "given" : "Marcelo", "non-dropping-particle" : "", "parse-names" : false, "suffix" : "" }, { "dropping-particle" : "", "family" : "Hodgson", "given" : "John G.", "non-dropping-particle" : "", "parse-names" : false, "suffix" : "" } ], "container-title" : "Biological Conservation", "id" : "ITEM-3", "issue" : "4", "issued" : { "date-parts" : [ [ "2004" ] ] }, "page" : "589-598", "title" : "Do subtropical seasonal forests in the Gran Chaco, Argentina, have a future?", "type" : "article-journal", "volume" : "120" }, "uris" : [ "http://www.mendeley.com/documents/?uuid=e7da4fa2-fcc2-3f77-88e2-4dba1c803f95" ] } ], "mendeley" : { "formattedCitation" : "(Gasparri &amp; Grau, 2009; Grau, Gasparri, &amp; Aide, 2005; Zak, Cabido, &amp; Hodgson, 2004)", "manualFormatting" : "(Gasparri &amp; Grau, 2009; Grau et al., 2005; Zak et al., 2004)", "plainTextFormattedCitation" : "(Gasparri &amp; Grau, 2009; Grau, Gasparri, &amp; Aide, 2005; Zak, Cabido, &amp; Hodgson, 2004)", "previouslyFormattedCitation" : "(Gasparri &amp; Grau, 2009; Grau, Gasparri, &amp; Aide, 2005; Zak, Cabido, &amp; Hodgson, 2004)" }, "properties" : { "noteIndex" : 0 }, "schema" : "https://github.com/citation-style-language/schema/raw/master/csl-citation.json" }</w:instrText>
      </w:r>
      <w:r w:rsidRPr="008608AA">
        <w:fldChar w:fldCharType="separate"/>
      </w:r>
      <w:r w:rsidRPr="008608AA">
        <w:rPr>
          <w:noProof/>
        </w:rPr>
        <w:t>(Gasparri &amp; Grau, 2009; Grau et al., 2005; Zak et al., 2004)</w:t>
      </w:r>
      <w:r w:rsidRPr="008608AA">
        <w:fldChar w:fldCharType="end"/>
      </w:r>
      <w:r w:rsidRPr="008608AA">
        <w:t xml:space="preserve">, mostly due to agriculture (mainly, soybean). For the Cordoba area in Argentina, </w:t>
      </w:r>
      <w:r w:rsidRPr="008608AA">
        <w:fldChar w:fldCharType="begin" w:fldLock="1"/>
      </w:r>
      <w:r w:rsidRPr="008608AA">
        <w:instrText>ADDIN CSL_CITATION { "citationItems" : [ { "id" : "ITEM-1", "itemData" : { "DOI" : "10.1016/j.biocon.2004.03.034", "ISBN" : "0006-3207", "ISSN" : "00063207", "PMID" : "274", "abstract" : "While much information is available about tropical and temperate ecosystems, there is a remarkably little information as to land cover and land use changes in the subtropical biomes of the world. Here, we quantify changes in the spatial patterns of land cover types at the southern edge of the seasonally dry, subtropical Chaco forest of South America during the second half of the 20th century using a vegetation map printed in 1969 and a Landsat TM based digital map produced 30 years later. Results show a massive contraction of forest; ca. 1.2 million ha of original lowland and mountain subtropical dry forests and woodlands, 85% of the total, have been cleared in only 30 years. This loss of Chaco forests of 2.2% year-1 is consistent with or even exceeds, global trends. Forest vegetation now persists as fragments where there was formerly continuous cover. Most of undisturbed Chaco forest has now been converted to pasture or is undergoing secondary succession. Today, these new vegetation types, resulting mainly from agricultural expansion, have increased 10-fold in cover and now represent the commonest land cover types. The increased intensity of agricultural usage, possibly triggered by an increase in annual rainfall during the last decades, has been accompanied by changes in agricultural practices and a relative decline in the rural population. ?? 2004 Elsevier Ltd. All rights reserved.", "author" : [ { "dropping-particle" : "", "family" : "Zak", "given" : "Marcelo R.", "non-dropping-particle" : "", "parse-names" : false, "suffix" : "" }, { "dropping-particle" : "", "family" : "Cabido", "given" : "Marcelo", "non-dropping-particle" : "", "parse-names" : false, "suffix" : "" }, { "dropping-particle" : "", "family" : "Hodgson", "given" : "John G.", "non-dropping-particle" : "", "parse-names" : false, "suffix" : "" } ], "container-title" : "Biological Conservation", "id" : "ITEM-1", "issue" : "4", "issued" : { "date-parts" : [ [ "2004" ] ] }, "page" : "589-598", "title" : "Do subtropical seasonal forests in the Gran Chaco, Argentina, have a future?", "type" : "article-journal", "volume" : "120" }, "uris" : [ "http://www.mendeley.com/documents/?uuid=e7da4fa2-fcc2-3f77-88e2-4dba1c803f95" ] } ], "mendeley" : { "formattedCitation" : "(Zak et al., 2004)", "manualFormatting" : "Zak et al. (2004)", "plainTextFormattedCitation" : "(Zak et al., 2004)", "previouslyFormattedCitation" : "(Zak et al., 2004)" }, "properties" : { "noteIndex" : 0 }, "schema" : "https://github.com/citation-style-language/schema/raw/master/csl-citation.json" }</w:instrText>
      </w:r>
      <w:r w:rsidRPr="008608AA">
        <w:fldChar w:fldCharType="separate"/>
      </w:r>
      <w:r w:rsidRPr="008608AA">
        <w:rPr>
          <w:noProof/>
        </w:rPr>
        <w:t>Zak et al. (2004)</w:t>
      </w:r>
      <w:r w:rsidRPr="008608AA">
        <w:fldChar w:fldCharType="end"/>
      </w:r>
      <w:r w:rsidRPr="008608AA">
        <w:rPr>
          <w:noProof/>
        </w:rPr>
        <w:t xml:space="preserve"> </w:t>
      </w:r>
      <w:r w:rsidRPr="008608AA">
        <w:t>estimated clearing of 1.2 million ha between 1969 and 1999. For N</w:t>
      </w:r>
      <w:r w:rsidR="00B04BFA" w:rsidRPr="008608AA">
        <w:t xml:space="preserve">orth </w:t>
      </w:r>
      <w:r w:rsidRPr="008608AA">
        <w:t>W</w:t>
      </w:r>
      <w:r w:rsidR="00B04BFA" w:rsidRPr="008608AA">
        <w:t>est</w:t>
      </w:r>
      <w:r w:rsidRPr="008608AA">
        <w:t xml:space="preserve"> Argentina between 1972 and 2007, another 1.4 million ha were removed </w:t>
      </w:r>
      <w:r w:rsidRPr="008608AA">
        <w:fldChar w:fldCharType="begin" w:fldLock="1"/>
      </w:r>
      <w:r w:rsidRPr="008608AA">
        <w:instrText>ADDIN CSL_CITATION { "citationItems" : [ { "id" : "ITEM-1", "itemData" : { "DOI" : "10.1016/j.foreco.2009.02.024", "ISBN" : "0378-1127", "ISSN" : "03781127", "abstract" : "The sustained increase in the global food demand has favoured the recent expansion of industrial agriculture into neotropical dry forest ecosystems, with resulting changes in their extent and spatial configuration. Based on Landsat satellite images, we analyzed changes in forest cover and landscape configuration over an area of 600 by 100 km located in NW Argentina (Tucum??n and Salta provinces) in four periods between 1972 and 2007. The study area, one of the most active deforestation frontiers of South American dry forest, was divided into six relatively homogeneous sectors in terms of land property structure and biophysical characteristics. During the study period 1.4 millions hectares of dry forest were cleared. Deforestation started in the 1970s as a result of technological changes and increasing rainfall; continued (with spatial and temporal fluctuations) during the 1980s and 1990s in association to the sustained global demand of soybean, and was accelerated (to ca. 100,000 ha year-1) between 2001 and 2007 following the global increase in commodity prices, and the national peso devaluation. We described the landscape structure using eight landscape indices, summarized as one synthesis value: the Euclidian distance across the seven dimensions from a theoretical non-fragmented situation. In areas with soil limitations deforestation resulted in relatively stable, highly fragmented landscapes. In contrast, the sites with regional coarser-scale limitations (rainfall), deforestation produced a less fragmented landscape where agriculture concentrates in sites with high rainfall. Sites with no limitations for agriculture tend to a largely deforested landscape with few small and poorly connected forest patches. The land properties size seems to influence some indices of fragmentation, but the synthetic index of fragmentation suggests an overall convergence of fragmentation patterns towards a similar configuration across different biophysical and land tenure conditions. ?? 2009 Elsevier B.V. All rights reserved.", "author" : [ { "dropping-particle" : "", "family" : "Gasparri", "given" : "N. Ignacio", "non-dropping-particle" : "", "parse-names" : false, "suffix" : "" }, { "dropping-particle" : "", "family" : "Grau", "given" : "H. Ricardo", "non-dropping-particle" : "", "parse-names" : false, "suffix" : "" } ], "container-title" : "Forest Ecology and Management", "id" : "ITEM-1", "issue" : "6", "issued" : { "date-parts" : [ [ "2009" ] ] }, "page" : "913-921", "title" : "Deforestation and fragmentation of Chaco dry forest in NW Argentina (1972-2007)", "type" : "article-journal", "volume" : "258" }, "uris" : [ "http://www.mendeley.com/documents/?uuid=1a2cf0a8-68c7-319e-baf3-20d5d2e6eb1a" ] } ], "mendeley" : { "formattedCitation" : "(Gasparri &amp; Grau, 2009)", "plainTextFormattedCitation" : "(Gasparri &amp; Grau, 2009)", "previouslyFormattedCitation" : "(Gasparri &amp; Grau, 2009)" }, "properties" : { "noteIndex" : 0 }, "schema" : "https://github.com/citation-style-language/schema/raw/master/csl-citation.json" }</w:instrText>
      </w:r>
      <w:r w:rsidRPr="008608AA">
        <w:fldChar w:fldCharType="separate"/>
      </w:r>
      <w:r w:rsidRPr="008608AA">
        <w:rPr>
          <w:noProof/>
        </w:rPr>
        <w:t>(Gasparri &amp; Grau, 2009)</w:t>
      </w:r>
      <w:r w:rsidRPr="008608AA">
        <w:fldChar w:fldCharType="end"/>
      </w:r>
      <w:r w:rsidRPr="008608AA">
        <w:t xml:space="preserve">. </w:t>
      </w:r>
      <w:r w:rsidRPr="008608AA">
        <w:rPr>
          <w:iCs/>
        </w:rPr>
        <w:t xml:space="preserve">According to </w:t>
      </w:r>
      <w:r w:rsidRPr="008608AA">
        <w:rPr>
          <w:iCs/>
        </w:rPr>
        <w:fldChar w:fldCharType="begin" w:fldLock="1"/>
      </w:r>
      <w:r w:rsidRPr="008608AA">
        <w:rPr>
          <w:iCs/>
        </w:rPr>
        <w:instrText>ADDIN CSL_CITATION { "citationItems" : [ { "id" : "ITEM-1", "itemData" : { "DOI" : "10.1016/j.gloenvcha.2017.05.001", "ISSN" : "09593780", "abstract" : "South America's tropical dry forests and savannas are under increasing pressure from agricultural expansion. Cattle ranching and soybean production both drive these forest losses, but their relative importance remains unclear. Also unclear is how soybean expansion elsewhere affects deforestation via pushing cattle ranching to deforestation frontiers. To assess these questions, we focused on the Chaco, a 110 million ha ecoregion extending into Argentina, Bolivia, and Paraguay, with about 8 million ha of deforestation in 2000\u20132012. We used panel regressions at the district level to quantify the role of soybean expansion in driving these forest losses using a wide range of environmental and socio-economic control variables. Our models suggest that soybean production was a direct driver of deforestation in the Argentine Chaco only (0.08 ha new soybean area per ha forest lost), whereas cattle ranching was significantly associated with deforestation in all three countries (0.02 additional cattle per hectare forest loss). However, our models also suggested Argentine soybean cultivation may indirectly be linked to deforestation in the Bolivian and Paraguayan Chaco. We furthermore found substantial time-delayed effects in the relationship of soybean expansion in Argentina and Paraguay (i.e., soybean expansion in one year resulted in deforestation several years later) and deforestation in the Chaco, further suggesting that possible displacement effects within and between Chaco countries may at least partly drive forest loss. Altogether, our study showed that deforestation in the Chaco appears to be mainly driven by the globally surging demand for soybean, although regionally other proximate drivers are sometimes important. Steering agricultural production in the Chaco and other tropical dry forests onto sustainable pathways will thus require policies that consider these scale effects and that account for the regional variation in deforestation drivers within and across countries.", "author" : [ { "dropping-particle" : "", "family" : "Fehlenberg", "given" : "Verena", "non-dropping-particle" : "", "parse-names" : false, "suffix" : "" }, { "dropping-particle" : "", "family" : "Baumann", "given" : "Matthias", "non-dropping-particle" : "", "parse-names" : false, "suffix" : "" }, { "dropping-particle" : "", "family" : "Gasparri", "given" : "Nestor Ignacio", "non-dropping-particle" : "", "parse-names" : false, "suffix" : "" }, { "dropping-particle" : "", "family" : "Piquer-Rodriguez", "given" : "Maria", "non-dropping-particle" : "", "parse-names" : false, "suffix" : "" }, { "dropping-particle" : "", "family" : "Gavier-Pizarro", "given" : "Gregorio", "non-dropping-particle" : "", "parse-names" : false, "suffix" : "" }, { "dropping-particle" : "", "family" : "Kuemmerle", "given" : "Tobias", "non-dropping-particle" : "", "parse-names" : false, "suffix" : "" } ], "container-title" : "Global Environmental Change", "id" : "ITEM-1", "issue" : "April", "issued" : { "date-parts" : [ [ "2017" ] ] }, "page" : "24-34", "publisher" : "Elsevier Ltd", "title" : "The role of soybean production as an underlying driver of deforestation in the South American Chaco", "type" : "article-journal", "volume" : "45" }, "uris" : [ "http://www.mendeley.com/documents/?uuid=880bbddb-3488-42ff-b2f5-f6c8a7f51533" ] } ], "mendeley" : { "formattedCitation" : "(Fehlenberg et al., 2017)", "manualFormatting" : "Fehlenberg et al. (2017)", "plainTextFormattedCitation" : "(Fehlenberg et al., 2017)", "previouslyFormattedCitation" : "(Fehlenberg et al., 2017)" }, "properties" : { "noteIndex" : 0 }, "schema" : "https://github.com/citation-style-language/schema/raw/master/csl-citation.json" }</w:instrText>
      </w:r>
      <w:r w:rsidRPr="008608AA">
        <w:rPr>
          <w:iCs/>
        </w:rPr>
        <w:fldChar w:fldCharType="separate"/>
      </w:r>
      <w:r w:rsidRPr="008608AA">
        <w:rPr>
          <w:iCs/>
          <w:noProof/>
        </w:rPr>
        <w:t>Fehlenberg et al. (2017)</w:t>
      </w:r>
      <w:r w:rsidRPr="008608AA">
        <w:rPr>
          <w:iCs/>
        </w:rPr>
        <w:fldChar w:fldCharType="end"/>
      </w:r>
      <w:r w:rsidRPr="008608AA">
        <w:t xml:space="preserve">, </w:t>
      </w:r>
      <w:r w:rsidRPr="008608AA">
        <w:rPr>
          <w:iCs/>
        </w:rPr>
        <w:t>s</w:t>
      </w:r>
      <w:r w:rsidRPr="008608AA">
        <w:t>ome 7.8 million ha out o</w:t>
      </w:r>
      <w:r w:rsidR="00B04BFA" w:rsidRPr="008608AA">
        <w:t>f a total of 110 million ha of d</w:t>
      </w:r>
      <w:r w:rsidRPr="008608AA">
        <w:t xml:space="preserve">ry Chaco in all countries was converted between 2000-2012, </w:t>
      </w:r>
      <w:r w:rsidR="00AD36E8" w:rsidRPr="008608AA">
        <w:t>(</w:t>
      </w:r>
      <w:r w:rsidRPr="008608AA">
        <w:t xml:space="preserve">principally to support soybean production and cattle ranching). </w:t>
      </w:r>
    </w:p>
    <w:p w14:paraId="6763BB89" w14:textId="77777777" w:rsidR="004255E7" w:rsidRPr="008608AA" w:rsidRDefault="004255E7" w:rsidP="00581F86">
      <w:pPr>
        <w:spacing w:before="120"/>
      </w:pPr>
      <w:r w:rsidRPr="008608AA">
        <w:t xml:space="preserve">Conversion of vegetation has facilitated the spread of invasive species, like </w:t>
      </w:r>
      <w:r w:rsidRPr="008608AA">
        <w:rPr>
          <w:i/>
        </w:rPr>
        <w:t>Pyracantha angustifolia</w:t>
      </w:r>
      <w:r w:rsidRPr="008608AA">
        <w:t xml:space="preserve"> (Rosaceae), which is now widely spread in the Chaco Serrano of Argentina </w:t>
      </w:r>
      <w:r w:rsidRPr="008608AA">
        <w:fldChar w:fldCharType="begin" w:fldLock="1"/>
      </w:r>
      <w:r w:rsidRPr="008608AA">
        <w:instrText>ADDIN CSL_CITATION { "citationItems" : [ { "id" : "ITEM-1", "itemData" : { "author" : [ { "dropping-particle" : "", "family" : "Tecco", "given" : "P. A.", "non-dropping-particle" : "", "parse-names" : false, "suffix" : "" }, { "dropping-particle" : "", "family" : "Gurvich", "given" : "D. E.", "non-dropping-particle" : "", "parse-names" : false, "suffix" : "" }, { "dropping-particle" : "", "family" : "D\u00edaz", "given" : "S.", "non-dropping-particle" : "", "parse-names" : false, "suffix" : "" }, { "dropping-particle" : "", "family" : "P\u00e9rez-Harguindeguy", "given" : "N.", "non-dropping-particle" : "", "parse-names" : false, "suffix" : "" }, { "dropping-particle" : "", "family" : "Cabido", "given" : "M.", "non-dropping-particle" : "", "parse-names" : false, "suffix" : "" } ], "container-title" : "Austral Ecology", "id" : "ITEM-1", "issue" : "3", "issued" : { "date-parts" : [ [ "2006" ] ] }, "page" : "293-300", "title" : "Positive interaction between invasive plants: the influence of &lt;i&gt;Pyracantha angustifolia&lt;/i&gt; on the recruitment of native and exotic woody species", "type" : "article-journal", "volume" : "31" }, "uris" : [ "http://www.mendeley.com/documents/?uuid=ebd0170c-422f-488c-b256-d67e322f2763" ] } ], "mendeley" : { "formattedCitation" : "(Tecco, Gurvich, D\u00edaz, P\u00e9rez-Harguindeguy, &amp; Cabido, 2006)", "manualFormatting" : "(Tecco et al., 2006)", "plainTextFormattedCitation" : "(Tecco, Gurvich, D\u00edaz, P\u00e9rez-Harguindeguy, &amp; Cabido, 2006)", "previouslyFormattedCitation" : "(Tecco, Gurvich, D\u00edaz, P\u00e9rez-Harguindeguy, &amp; Cabido, 2006)" }, "properties" : { "noteIndex" : 0 }, "schema" : "https://github.com/citation-style-language/schema/raw/master/csl-citation.json" }</w:instrText>
      </w:r>
      <w:r w:rsidRPr="008608AA">
        <w:fldChar w:fldCharType="separate"/>
      </w:r>
      <w:r w:rsidRPr="008608AA">
        <w:rPr>
          <w:noProof/>
        </w:rPr>
        <w:t>(Tecco et al., 2006)</w:t>
      </w:r>
      <w:r w:rsidRPr="008608AA">
        <w:fldChar w:fldCharType="end"/>
      </w:r>
      <w:r w:rsidRPr="008608AA">
        <w:t xml:space="preserve">. According to these authors, this species can potentially enhance the recruitment of forest species. However, a considerable number of other exotic woody species, and especially </w:t>
      </w:r>
      <w:r w:rsidRPr="008608AA">
        <w:rPr>
          <w:i/>
        </w:rPr>
        <w:t>Ligustrum</w:t>
      </w:r>
      <w:r w:rsidRPr="008608AA">
        <w:t xml:space="preserve">, are also favored by the presence of this exotic shrub </w:t>
      </w:r>
      <w:r w:rsidRPr="008608AA">
        <w:fldChar w:fldCharType="begin" w:fldLock="1"/>
      </w:r>
      <w:r w:rsidRPr="008608AA">
        <w:instrText>ADDIN CSL_CITATION { "citationItems" : [ { "id" : "ITEM-1", "itemData" : { "author" : [ { "dropping-particle" : "", "family" : "Tecco", "given" : "P. A.", "non-dropping-particle" : "", "parse-names" : false, "suffix" : "" }, { "dropping-particle" : "", "family" : "Gurvich", "given" : "D. E.", "non-dropping-particle" : "", "parse-names" : false, "suffix" : "" }, { "dropping-particle" : "", "family" : "D\u00edaz", "given" : "S.", "non-dropping-particle" : "", "parse-names" : false, "suffix" : "" }, { "dropping-particle" : "", "family" : "P\u00e9rez-Harguindeguy", "given" : "N.", "non-dropping-particle" : "", "parse-names" : false, "suffix" : "" }, { "dropping-particle" : "", "family" : "Cabido", "given" : "M.", "non-dropping-particle" : "", "parse-names" : false, "suffix" : "" } ], "container-title" : "Austral Ecology", "id" : "ITEM-1", "issue" : "3", "issued" : { "date-parts" : [ [ "2006" ] ] }, "page" : "293-300", "title" : "Positive interaction between invasive plants: the influence of &lt;i&gt;Pyracantha angustifolia&lt;/i&gt; on the recruitment of native and exotic woody species", "type" : "article-journal", "volume" : "31" }, "uris" : [ "http://www.mendeley.com/documents/?uuid=ebd0170c-422f-488c-b256-d67e322f2763" ] } ], "mendeley" : { "formattedCitation" : "(Tecco et al., 2006)", "plainTextFormattedCitation" : "(Tecco et al., 2006)", "previouslyFormattedCitation" : "(Tecco et al., 2006)" }, "properties" : { "noteIndex" : 0 }, "schema" : "https://github.com/citation-style-language/schema/raw/master/csl-citation.json" }</w:instrText>
      </w:r>
      <w:r w:rsidRPr="008608AA">
        <w:fldChar w:fldCharType="separate"/>
      </w:r>
      <w:r w:rsidRPr="008608AA">
        <w:rPr>
          <w:noProof/>
        </w:rPr>
        <w:t>(Tecco et al., 2006)</w:t>
      </w:r>
      <w:r w:rsidRPr="008608AA">
        <w:fldChar w:fldCharType="end"/>
      </w:r>
      <w:r w:rsidRPr="008608AA">
        <w:t>.</w:t>
      </w:r>
    </w:p>
    <w:p w14:paraId="7E1D458D" w14:textId="77777777" w:rsidR="00581F86" w:rsidRPr="008608AA" w:rsidRDefault="00581F86" w:rsidP="00581F86">
      <w:pPr>
        <w:spacing w:before="120"/>
      </w:pPr>
    </w:p>
    <w:p w14:paraId="781E6E80" w14:textId="72529CFC" w:rsidR="004255E7" w:rsidRPr="008608AA" w:rsidRDefault="004255E7" w:rsidP="00581F86">
      <w:pPr>
        <w:pStyle w:val="Heading4"/>
        <w:rPr>
          <w:lang w:val="en-US"/>
        </w:rPr>
      </w:pPr>
      <w:bookmarkStart w:id="1131" w:name="_Toc502927363"/>
      <w:bookmarkStart w:id="1132" w:name="_Toc517393317"/>
      <w:bookmarkStart w:id="1133" w:name="_Toc517719058"/>
      <w:bookmarkStart w:id="1134" w:name="_Toc517797015"/>
      <w:r w:rsidRPr="008608AA">
        <w:t>Temperate</w:t>
      </w:r>
      <w:r w:rsidRPr="008608AA">
        <w:rPr>
          <w:lang w:val="en-US"/>
        </w:rPr>
        <w:t xml:space="preserve"> grasslands</w:t>
      </w:r>
      <w:bookmarkEnd w:id="1131"/>
      <w:bookmarkEnd w:id="1132"/>
      <w:bookmarkEnd w:id="1133"/>
      <w:bookmarkEnd w:id="1134"/>
    </w:p>
    <w:p w14:paraId="42822EBE" w14:textId="77777777" w:rsidR="004255E7" w:rsidRPr="008608AA" w:rsidRDefault="004255E7" w:rsidP="00581F86">
      <w:pPr>
        <w:pStyle w:val="Heading5"/>
        <w:numPr>
          <w:ilvl w:val="0"/>
          <w:numId w:val="0"/>
        </w:numPr>
        <w:ind w:left="1008" w:hanging="1008"/>
        <w:jc w:val="left"/>
        <w:rPr>
          <w:sz w:val="24"/>
          <w:szCs w:val="24"/>
        </w:rPr>
      </w:pPr>
      <w:r w:rsidRPr="008608AA">
        <w:rPr>
          <w:sz w:val="24"/>
          <w:szCs w:val="24"/>
        </w:rPr>
        <w:t xml:space="preserve">North American subregion </w:t>
      </w:r>
    </w:p>
    <w:p w14:paraId="17480DCF" w14:textId="19BCD8E7" w:rsidR="004255E7" w:rsidRPr="008608AA" w:rsidRDefault="004255E7" w:rsidP="00843724">
      <w:pPr>
        <w:pStyle w:val="NormalWeb"/>
        <w:rPr>
          <w:color w:val="222222"/>
          <w:lang w:val="en-US"/>
        </w:rPr>
      </w:pPr>
      <w:r w:rsidRPr="008608AA">
        <w:rPr>
          <w:iCs/>
          <w:color w:val="000000"/>
          <w:lang w:val="en-US"/>
        </w:rPr>
        <w:t>Status</w:t>
      </w:r>
      <w:r w:rsidR="00176FC5" w:rsidRPr="008608AA">
        <w:rPr>
          <w:iCs/>
          <w:color w:val="000000"/>
          <w:lang w:val="en-US"/>
        </w:rPr>
        <w:t xml:space="preserve">. </w:t>
      </w:r>
      <w:r w:rsidRPr="008608AA">
        <w:rPr>
          <w:color w:val="000000"/>
          <w:lang w:val="en-US"/>
        </w:rPr>
        <w:t xml:space="preserve">Grasslands were once widespread in midwestern North America, occurring in a mosaic of tallgrass prairie and </w:t>
      </w:r>
      <w:r w:rsidRPr="008608AA">
        <w:rPr>
          <w:lang w:val="en-US"/>
        </w:rPr>
        <w:t xml:space="preserve">savanna </w:t>
      </w:r>
      <w:r w:rsidRPr="008608AA">
        <w:rPr>
          <w:lang w:val="en-US"/>
        </w:rPr>
        <w:fldChar w:fldCharType="begin" w:fldLock="1"/>
      </w:r>
      <w:r w:rsidRPr="008608AA">
        <w:rPr>
          <w:lang w:val="en-US"/>
        </w:rPr>
        <w:instrText>ADDIN CSL_CITATION { "citationItems" : [ { "id" : "ITEM-1", "itemData" : { "ISBN" : "1111111111", "ISSN" : "0885-8608", "abstract" : "Community definitions, a map of the real or potential extent of presettlement oak savanna, and location and description of high-quality savanna remnants are presented for each state. In 1985, 113 sites totaling more than 2,607 hectares of relatively high-quality oak savanna were located in the Midwest, approximately 0.02 percent of the presettlement extent of the community", "author" : [ { "dropping-particle" : "", "family" : "Nuzzo", "given" : "Victoria A", "non-dropping-particle" : "", "parse-names" : false, "suffix" : "" } ], "container-title" : "Natural Areas Journal", "id" : "ITEM-1", "issue" : "2", "issued" : { "date-parts" : [ [ "1986" ] ] }, "page" : "6-36", "title" : "Extent and status of midwest oak savanna: Presettlement and 1985", "type" : "article-journal", "volume" : "6" }, "uris" : [ "http://www.mendeley.com/documents/?uuid=98ae8abd-f10d-34de-8015-4965c0435036" ] } ], "mendeley" : { "formattedCitation" : "(Nuzzo, 1986)", "plainTextFormattedCitation" : "(Nuzzo, 1986)", "previouslyFormattedCitation" : "(Nuzzo, 1986)" }, "properties" : { "noteIndex" : 0 }, "schema" : "https://github.com/citation-style-language/schema/raw/master/csl-citation.json" }</w:instrText>
      </w:r>
      <w:r w:rsidRPr="008608AA">
        <w:rPr>
          <w:lang w:val="en-US"/>
        </w:rPr>
        <w:fldChar w:fldCharType="separate"/>
      </w:r>
      <w:r w:rsidRPr="008608AA">
        <w:rPr>
          <w:noProof/>
          <w:lang w:val="en-US"/>
        </w:rPr>
        <w:t>(Nuzzo, 1986)</w:t>
      </w:r>
      <w:r w:rsidRPr="008608AA">
        <w:rPr>
          <w:lang w:val="en-US"/>
        </w:rPr>
        <w:fldChar w:fldCharType="end"/>
      </w:r>
      <w:r w:rsidRPr="008608AA">
        <w:rPr>
          <w:lang w:val="en-US"/>
        </w:rPr>
        <w:t xml:space="preserve">. </w:t>
      </w:r>
      <w:r w:rsidRPr="008608AA">
        <w:rPr>
          <w:color w:val="000000"/>
          <w:lang w:val="en-US"/>
        </w:rPr>
        <w:t xml:space="preserve">Prior to European settlement, the central prairie of North America is thought to have ranged from southern Alberta, Saskatchewan and Manitoba south to mid-Texas, and from the foothills of the Rocky Mountains eastward into Indiana, Kentucky and Ohio and southwestern Ontario, covering about 2.4 million </w:t>
      </w:r>
      <w:r w:rsidRPr="008608AA">
        <w:rPr>
          <w:lang w:val="en-US"/>
        </w:rPr>
        <w:t>km</w:t>
      </w:r>
      <w:r w:rsidRPr="008608AA">
        <w:rPr>
          <w:vertAlign w:val="superscript"/>
          <w:lang w:val="en-US"/>
        </w:rPr>
        <w:t>2</w:t>
      </w:r>
      <w:r w:rsidRPr="008608AA">
        <w:rPr>
          <w:lang w:val="en-US"/>
        </w:rPr>
        <w:t xml:space="preserve"> </w:t>
      </w:r>
      <w:r w:rsidRPr="008608AA">
        <w:rPr>
          <w:lang w:val="en-US"/>
        </w:rPr>
        <w:fldChar w:fldCharType="begin" w:fldLock="1"/>
      </w:r>
      <w:r w:rsidRPr="008608AA">
        <w:rPr>
          <w:lang w:val="en-US"/>
        </w:rPr>
        <w:instrText>ADDIN CSL_CITATION { "citationItems" : [ { "id" : "ITEM-1", "itemData" : { "author" : [ { "dropping-particle" : "", "family" : "USDA", "given" : "", "non-dropping-particle" : "", "parse-names" : false, "suffix" : "" }, { "dropping-particle" : "", "family" : "USDOI", "given" : "", "non-dropping-particle" : "", "parse-names" : false, "suffix" : "" } ], "id" : "ITEM-1", "issued" : { "date-parts" : [ [ "2012" ] ] }, "title" : "LANDFIRE: Vegetation Departure 1.3.0", "type" : "article" }, "uris" : [ "http://www.mendeley.com/documents/?uuid=5876d12e-4f27-38e0-a5e9-2930ef3d7b39" ] }, { "id" : "ITEM-2", "itemData" : { "URL" : "http://maps.tnc.org/gis_data.html", "abstract" : "Global Ecoregions, Major Habitat Types, Biogeographical Realms and The Nature Conservancy Terrestrial Assessment Units as of December 14, 2009", "accessed" : { "date-parts" : [ [ "2016", "5", "1" ] ] }, "author" : [ { "dropping-particle" : "", "family" : "The Nature Conservancy", "given" : "", "non-dropping-particle" : "", "parse-names" : false, "suffix" : "" } ], "id" : "ITEM-2", "issued" : { "date-parts" : [ [ "2009" ] ] }, "title" : "TNC Terrestrial Ecoregions", "type" : "webpage" }, "uris" : [ "http://www.mendeley.com/documents/?uuid=f5b1d740-9cb1-3521-ba4f-9fdf2028efdb" ] } ], "mendeley" : { "formattedCitation" : "(The Nature Conservancy, 2009; USDA &amp; USDOI, 2012)", "plainTextFormattedCitation" : "(The Nature Conservancy, 2009; USDA &amp; USDOI, 2012)", "previouslyFormattedCitation" : "(The Nature Conservancy, 2009; USDA &amp; USDOI, 2012)" }, "properties" : { "noteIndex" : 0 }, "schema" : "https://github.com/citation-style-language/schema/raw/master/csl-citation.json" }</w:instrText>
      </w:r>
      <w:r w:rsidRPr="008608AA">
        <w:rPr>
          <w:lang w:val="en-US"/>
        </w:rPr>
        <w:fldChar w:fldCharType="separate"/>
      </w:r>
      <w:r w:rsidRPr="008608AA">
        <w:rPr>
          <w:noProof/>
          <w:lang w:val="en-US"/>
        </w:rPr>
        <w:t>(The Nature Conservancy, 2009; USDA &amp; USDOI, 2012)</w:t>
      </w:r>
      <w:r w:rsidRPr="008608AA">
        <w:rPr>
          <w:lang w:val="en-US"/>
        </w:rPr>
        <w:fldChar w:fldCharType="end"/>
      </w:r>
      <w:r w:rsidRPr="008608AA">
        <w:rPr>
          <w:lang w:val="en-US"/>
        </w:rPr>
        <w:t xml:space="preserve">. </w:t>
      </w:r>
      <w:r w:rsidRPr="008608AA">
        <w:rPr>
          <w:color w:val="000000"/>
          <w:lang w:val="en-US"/>
        </w:rPr>
        <w:t xml:space="preserve">Diverse grasslands are major reservoirs for belowground carbon storage and prevention of soil loss due to erosion. Grasslands also </w:t>
      </w:r>
      <w:r w:rsidRPr="00360ADC">
        <w:rPr>
          <w:lang w:val="en-US"/>
        </w:rPr>
        <w:t>serve</w:t>
      </w:r>
      <w:r w:rsidRPr="008608AA">
        <w:rPr>
          <w:color w:val="000000"/>
          <w:lang w:val="en-US"/>
        </w:rPr>
        <w:t xml:space="preserve"> as buffers increasing ecosystem nutrient uptake reducing runoff of agricultural waste and fertilizer into water bodies. Declines have been greatest in the mixed-and tall-grass prairie, with </w:t>
      </w:r>
      <w:r w:rsidR="00017975" w:rsidRPr="008608AA">
        <w:rPr>
          <w:color w:val="000000"/>
          <w:lang w:val="en-US"/>
        </w:rPr>
        <w:t xml:space="preserve">estimates of </w:t>
      </w:r>
      <w:r w:rsidRPr="008608AA">
        <w:rPr>
          <w:color w:val="000000"/>
          <w:lang w:val="en-US"/>
        </w:rPr>
        <w:t>less than</w:t>
      </w:r>
      <w:r w:rsidR="00644C0C" w:rsidRPr="008608AA">
        <w:rPr>
          <w:color w:val="000000"/>
          <w:lang w:val="en-US"/>
        </w:rPr>
        <w:t xml:space="preserve"> 5%</w:t>
      </w:r>
      <w:r w:rsidRPr="008608AA">
        <w:rPr>
          <w:color w:val="000000"/>
          <w:lang w:val="en-US"/>
        </w:rPr>
        <w:t xml:space="preserve"> </w:t>
      </w:r>
      <w:r w:rsidR="00644C0C" w:rsidRPr="008608AA">
        <w:rPr>
          <w:color w:val="000000"/>
          <w:lang w:val="en-US"/>
        </w:rPr>
        <w:t>(Sampson and Knopf</w:t>
      </w:r>
      <w:r w:rsidR="00F67EC2" w:rsidRPr="008608AA">
        <w:rPr>
          <w:color w:val="000000"/>
          <w:lang w:val="en-US"/>
        </w:rPr>
        <w:t>,</w:t>
      </w:r>
      <w:r w:rsidR="00644C0C" w:rsidRPr="008608AA">
        <w:rPr>
          <w:color w:val="000000"/>
          <w:lang w:val="en-US"/>
        </w:rPr>
        <w:t xml:space="preserve"> 1994) to </w:t>
      </w:r>
      <w:r w:rsidRPr="008608AA">
        <w:rPr>
          <w:color w:val="000000"/>
          <w:lang w:val="en-US"/>
        </w:rPr>
        <w:t xml:space="preserve">0.5% </w:t>
      </w:r>
      <w:r w:rsidRPr="008608AA">
        <w:rPr>
          <w:lang w:val="en-US"/>
        </w:rPr>
        <w:fldChar w:fldCharType="begin" w:fldLock="1"/>
      </w:r>
      <w:r w:rsidRPr="008608AA">
        <w:rPr>
          <w:lang w:val="en-US"/>
        </w:rPr>
        <w:instrText>ADDIN CSL_CITATION { "citationItems" : [ { "id" : "ITEM-1", "itemData" : { "URL" : "http://maps.tnc.org/gis_data.html", "abstract" : "Global Ecoregions, Major Habitat Types, Biogeographical Realms and The Nature Conservancy Terrestrial Assessment Units as of December 14, 2009", "accessed" : { "date-parts" : [ [ "2016", "5", "1" ] ] }, "author" : [ { "dropping-particle" : "", "family" : "The Nature Conservancy", "given" : "", "non-dropping-particle" : "", "parse-names" : false, "suffix" : "" } ], "id" : "ITEM-1", "issued" : { "date-parts" : [ [ "2009" ] ] }, "title" : "TNC Terrestrial Ecoregions", "type" : "webpage" }, "uris" : [ "http://www.mendeley.com/documents/?uuid=f5b1d740-9cb1-3521-ba4f-9fdf2028efdb" ] }, { "id" : "ITEM-2", "itemData" : { "author" : [ { "dropping-particle" : "", "family" : "USDA", "given" : "", "non-dropping-particle" : "", "parse-names" : false, "suffix" : "" }, { "dropping-particle" : "", "family" : "USDOI", "given" : "", "non-dropping-particle" : "", "parse-names" : false, "suffix" : "" } ], "id" : "ITEM-2", "issued" : { "date-parts" : [ [ "2012" ] ] }, "title" : "LANDFIRE: Vegetation Departure 1.3.0", "type" : "article" }, "uris" : [ "http://www.mendeley.com/documents/?uuid=5876d12e-4f27-38e0-a5e9-2930ef3d7b39" ] } ], "mendeley" : { "formattedCitation" : "(The Nature Conservancy, 2009; USDA &amp; USDOI, 2012)", "plainTextFormattedCitation" : "(The Nature Conservancy, 2009; USDA &amp; USDOI, 2012)", "previouslyFormattedCitation" : "(The Nature Conservancy, 2009; USDA &amp; USDOI, 2012)" }, "properties" : { "noteIndex" : 0 }, "schema" : "https://github.com/citation-style-language/schema/raw/master/csl-citation.json" }</w:instrText>
      </w:r>
      <w:r w:rsidRPr="008608AA">
        <w:rPr>
          <w:lang w:val="en-US"/>
        </w:rPr>
        <w:fldChar w:fldCharType="separate"/>
      </w:r>
      <w:r w:rsidRPr="008608AA">
        <w:rPr>
          <w:noProof/>
          <w:lang w:val="en-US"/>
        </w:rPr>
        <w:t>(The Nature Conservancy, 2009; USDA &amp; USDOI, 2012)</w:t>
      </w:r>
      <w:r w:rsidRPr="008608AA">
        <w:rPr>
          <w:lang w:val="en-US"/>
        </w:rPr>
        <w:fldChar w:fldCharType="end"/>
      </w:r>
      <w:r w:rsidR="00644C0C" w:rsidRPr="008608AA">
        <w:rPr>
          <w:lang w:val="en-US"/>
        </w:rPr>
        <w:t xml:space="preserve"> </w:t>
      </w:r>
      <w:r w:rsidR="00644C0C" w:rsidRPr="008608AA">
        <w:rPr>
          <w:color w:val="000000"/>
          <w:lang w:val="en-US"/>
        </w:rPr>
        <w:t xml:space="preserve">of the pre-European settlement tall-grass prairie </w:t>
      </w:r>
      <w:r w:rsidR="00644C0C" w:rsidRPr="008608AA">
        <w:rPr>
          <w:lang w:val="en-US"/>
        </w:rPr>
        <w:t>remaining</w:t>
      </w:r>
      <w:r w:rsidRPr="008608AA">
        <w:rPr>
          <w:lang w:val="en-US"/>
        </w:rPr>
        <w:t xml:space="preserve">. </w:t>
      </w:r>
      <w:r w:rsidRPr="008608AA">
        <w:rPr>
          <w:color w:val="222222"/>
          <w:lang w:val="en-US"/>
        </w:rPr>
        <w:t xml:space="preserve">Currently, </w:t>
      </w:r>
      <w:r w:rsidRPr="008608AA">
        <w:rPr>
          <w:bCs/>
          <w:color w:val="222222"/>
          <w:lang w:val="en-US"/>
        </w:rPr>
        <w:t>approximately 50% of the Great Plains</w:t>
      </w:r>
      <w:r w:rsidRPr="008608AA">
        <w:rPr>
          <w:color w:val="222222"/>
          <w:lang w:val="en-US"/>
        </w:rPr>
        <w:t xml:space="preserve"> - about 148 million hectares in total - remains </w:t>
      </w:r>
      <w:r w:rsidR="00644C0C" w:rsidRPr="008608AA">
        <w:rPr>
          <w:color w:val="222222"/>
          <w:lang w:val="en-US"/>
        </w:rPr>
        <w:t xml:space="preserve">in grassland (i.e., not in annual crops or developed land) </w:t>
      </w:r>
      <w:r w:rsidRPr="008608AA">
        <w:rPr>
          <w:color w:val="222222"/>
          <w:lang w:val="en-US"/>
        </w:rPr>
        <w:fldChar w:fldCharType="begin" w:fldLock="1"/>
      </w:r>
      <w:r w:rsidRPr="008608AA">
        <w:rPr>
          <w:color w:val="222222"/>
          <w:lang w:val="en-US"/>
        </w:rPr>
        <w:instrText>ADDIN CSL_CITATION { "citationItems" : [ { "id" : "ITEM-1", "itemData" : { "author" : [ { "dropping-particle" : "", "family" : "World Wildlife Fund (WWF)", "given" : "", "non-dropping-particle" : "", "parse-names" : false, "suffix" : "" } ], "id" : "ITEM-1", "issued" : { "date-parts" : [ [ "2017" ] ] }, "publisher-place" : "Bozeman, USA", "title" : "2017 Plowprint Report", "type" : "report" }, "uris" : [ "http://www.mendeley.com/documents/?uuid=04e2f1c7-db37-42a4-aa22-231385017074" ] } ], "mendeley" : { "formattedCitation" : "(World Wildlife Fund (WWF), 2017a)", "manualFormatting" : "(World Wildlife Fund (WWF), 2017a)", "plainTextFormattedCitation" : "(World Wildlife Fund (WWF), 2017a)", "previouslyFormattedCitation" : "(World Wildlife Fund (WWF), 2017a)" }, "properties" : { "noteIndex" : 0 }, "schema" : "https://github.com/citation-style-language/schema/raw/master/csl-citation.json" }</w:instrText>
      </w:r>
      <w:r w:rsidRPr="008608AA">
        <w:rPr>
          <w:color w:val="222222"/>
          <w:lang w:val="en-US"/>
        </w:rPr>
        <w:fldChar w:fldCharType="separate"/>
      </w:r>
      <w:r w:rsidR="00F67EC2" w:rsidRPr="008608AA">
        <w:rPr>
          <w:noProof/>
          <w:color w:val="222222"/>
          <w:lang w:val="en-US"/>
        </w:rPr>
        <w:t xml:space="preserve"> (WWF</w:t>
      </w:r>
      <w:r w:rsidRPr="008608AA">
        <w:rPr>
          <w:noProof/>
          <w:color w:val="222222"/>
          <w:lang w:val="en-US"/>
        </w:rPr>
        <w:t>, 2017a)</w:t>
      </w:r>
      <w:r w:rsidRPr="008608AA">
        <w:rPr>
          <w:color w:val="222222"/>
          <w:lang w:val="en-US"/>
        </w:rPr>
        <w:fldChar w:fldCharType="end"/>
      </w:r>
      <w:r w:rsidRPr="008608AA">
        <w:rPr>
          <w:color w:val="222222"/>
          <w:lang w:val="en-US"/>
        </w:rPr>
        <w:t>.</w:t>
      </w:r>
    </w:p>
    <w:p w14:paraId="42468F6C" w14:textId="51863235" w:rsidR="004255E7" w:rsidRDefault="004255E7" w:rsidP="00843724">
      <w:pPr>
        <w:pStyle w:val="NormalWeb"/>
        <w:rPr>
          <w:rFonts w:eastAsia="Times New Roman"/>
          <w:lang w:val="en-US"/>
        </w:rPr>
      </w:pPr>
      <w:r w:rsidRPr="008608AA">
        <w:rPr>
          <w:lang w:val="en-US"/>
        </w:rPr>
        <w:t xml:space="preserve">Grassland vegetation structure is strongly influenced by fire frequency, driven by topographic barriers to the spread of fire (rivers, lakes, and bluffs), with oak savannas and prairies occurring on sites exposed to frequent </w:t>
      </w:r>
      <w:r w:rsidRPr="008608AA">
        <w:rPr>
          <w:rFonts w:eastAsia="Times New Roman"/>
          <w:lang w:val="en-US"/>
        </w:rPr>
        <w:t xml:space="preserve">fire </w:t>
      </w:r>
      <w:r w:rsidRPr="008608AA">
        <w:rPr>
          <w:rFonts w:eastAsia="Times New Roman"/>
          <w:lang w:val="en-US"/>
        </w:rPr>
        <w:fldChar w:fldCharType="begin" w:fldLock="1"/>
      </w:r>
      <w:r w:rsidRPr="008608AA">
        <w:rPr>
          <w:rFonts w:eastAsia="Times New Roman"/>
          <w:lang w:val="en-US"/>
        </w:rPr>
        <w:instrText>ADDIN CSL_CITATION { "citationItems" : [ { "id" : "ITEM-1", "itemData" : { "DOI" : "10.1007/sl", "abstract" : "Disturbances and environmental heterogeneity are two factors thought to influence plant species diversity, but their effects are still poorly understood in many ecosystems. We surveyed understory vegetation and measured tree canopy cover on permanent plots spanning an experimental fire frequency gradient to test fire frequency and tree canopy effects on plant species richness and community heterogeneity within a mosaic of grassland, oak savanna, oak woodland, and forest communities. Species richness was assessed for all vascular plant species and for three plant functional groups: grasses, forbs, and woody plants. Understory species richness and community heterogeneity were maximized at biennial fire frequencies, consistent with predictions of the intermediate disturbance hypothesis. However, overstory tree species richness was highest in unburned units and declined with increasing fire frequency. Maximum species richness was observed in unburned units for woody species, with biennial fires for forbs, and with near-annual fires for grasses. Savannas and woodlands with intermediate and spatially variable tree canopy cover had greater species richness and community heterogeneity than old-field grasslands or closed-canopy forests. Functional group species richness was positively correlated with functional group cover. Our results suggest that annual to biennial fire frequencies prevent shrubs and trees from competitively excluding grasses and prairie forbs, while spatially variable shading from overstory trees reduces grass dominance and provides a wider range of habitat conditions. Hence, high species richness in savannas is due to both high sample point species richness and high community heterogeneity among sample points, which are maintained by intermediate fire frequencies and variable tree canopy cover.", "author" : [ { "dropping-particle" : "", "family" : "Peterson", "given" : "David W.", "non-dropping-particle" : "", "parse-names" : false, "suffix" : "" }, { "dropping-particle" : "", "family" : "Reich", "given" : "Peter B.", "non-dropping-particle" : "", "parse-names" : false, "suffix" : "" } ], "container-title" : "Plant Ecology", "id" : "ITEM-1", "issue" : "1", "issued" : { "date-parts" : [ [ "2008" ] ] }, "page" : "5-16", "title" : "Fire frequency and tree canopy structure influence plant species diversity in a forest-grassland ecotone", "type" : "article-journal", "volume" : "194" }, "uris" : [ "http://www.mendeley.com/documents/?uuid=b7c8b7e6-01af-395b-b76c-35fd3e1422cd" ] } ], "mendeley" : { "formattedCitation" : "(Peterson &amp; Reich, 2008)", "manualFormatting" : "(Peterson &amp; Reich, 2008)", "plainTextFormattedCitation" : "(Peterson &amp; Reich, 2008)", "previouslyFormattedCitation" : "(Peterson &amp; Reich, 2008)" }, "properties" : { "noteIndex" : 0 }, "schema" : "https://github.com/citation-style-language/schema/raw/master/csl-citation.json" }</w:instrText>
      </w:r>
      <w:r w:rsidRPr="008608AA">
        <w:rPr>
          <w:rFonts w:eastAsia="Times New Roman"/>
          <w:lang w:val="en-US"/>
        </w:rPr>
        <w:fldChar w:fldCharType="separate"/>
      </w:r>
      <w:r w:rsidRPr="008608AA">
        <w:rPr>
          <w:rFonts w:eastAsia="Times New Roman"/>
          <w:noProof/>
          <w:lang w:val="en-US"/>
        </w:rPr>
        <w:t>(Peterson &amp; Reich, 2008)</w:t>
      </w:r>
      <w:r w:rsidRPr="008608AA">
        <w:rPr>
          <w:rFonts w:eastAsia="Times New Roman"/>
          <w:lang w:val="en-US"/>
        </w:rPr>
        <w:fldChar w:fldCharType="end"/>
      </w:r>
      <w:r w:rsidRPr="008608AA">
        <w:rPr>
          <w:lang w:val="en-US"/>
        </w:rPr>
        <w:t xml:space="preserve">. Prior to modern settlement, fires annually burned large areas of the tallgrass prairie biome of North </w:t>
      </w:r>
      <w:r w:rsidRPr="008608AA">
        <w:rPr>
          <w:rFonts w:eastAsia="Times New Roman"/>
          <w:lang w:val="en-US"/>
        </w:rPr>
        <w:t xml:space="preserve">America </w:t>
      </w:r>
      <w:r w:rsidRPr="008608AA">
        <w:rPr>
          <w:rFonts w:eastAsia="Times New Roman"/>
          <w:lang w:val="en-US"/>
        </w:rPr>
        <w:fldChar w:fldCharType="begin" w:fldLock="1"/>
      </w:r>
      <w:r w:rsidRPr="008608AA">
        <w:rPr>
          <w:rFonts w:eastAsia="Times New Roman"/>
          <w:lang w:val="en-US"/>
        </w:rPr>
        <w:instrText>ADDIN CSL_CITATION { "citationItems" : [ { "id" : "ITEM-1", "itemData" : { "ISSN" : "0096-3844", "abstract" : "JSTOR is a not-for-profit service that helps scholars, researchers, and students discover, use, and build upon a wide range of content in a trusted digital archive. We use information technology and tools to increase productivity and facilitate new forms of scholarship. For more information about JSTOR, please contact support@jstor.org.", "author" : [ { "dropping-particle" : "", "family" : "Gleason", "given" : "H.A.", "non-dropping-particle" : "", "parse-names" : false, "suffix" : "" } ], "container-title" : "Torreya", "id" : "ITEM-1", "issue" : "8", "issued" : { "date-parts" : [ [ "1913" ] ] }, "page" : "173-181", "title" : "The relation of forest distribution and prairie fires in the Middle West", "type" : "article-journal", "volume" : "13" }, "uris" : [ "http://www.mendeley.com/documents/?uuid=d02470bb-d550-3f50-a22b-da2900edd27e" ] } ], "mendeley" : { "formattedCitation" : "(Gleason, 1913)", "plainTextFormattedCitation" : "(Gleason, 1913)", "previouslyFormattedCitation" : "(Gleason, 1913)" }, "properties" : { "noteIndex" : 0 }, "schema" : "https://github.com/citation-style-language/schema/raw/master/csl-citation.json" }</w:instrText>
      </w:r>
      <w:r w:rsidRPr="008608AA">
        <w:rPr>
          <w:rFonts w:eastAsia="Times New Roman"/>
          <w:lang w:val="en-US"/>
        </w:rPr>
        <w:fldChar w:fldCharType="separate"/>
      </w:r>
      <w:r w:rsidRPr="008608AA">
        <w:rPr>
          <w:rFonts w:eastAsia="Times New Roman"/>
          <w:noProof/>
          <w:lang w:val="en-US"/>
        </w:rPr>
        <w:t>(Gleason, 1913)</w:t>
      </w:r>
      <w:r w:rsidRPr="008608AA">
        <w:rPr>
          <w:rFonts w:eastAsia="Times New Roman"/>
          <w:lang w:val="en-US"/>
        </w:rPr>
        <w:fldChar w:fldCharType="end"/>
      </w:r>
      <w:r w:rsidRPr="008608AA">
        <w:rPr>
          <w:lang w:val="en-US"/>
        </w:rPr>
        <w:t xml:space="preserve">. Most prairie and savanna ecosystems were plowed under for agricultural uses </w:t>
      </w:r>
      <w:r w:rsidRPr="00360ADC">
        <w:rPr>
          <w:lang w:val="en-US"/>
        </w:rPr>
        <w:t>or</w:t>
      </w:r>
      <w:r w:rsidRPr="008608AA">
        <w:rPr>
          <w:lang w:val="en-US"/>
        </w:rPr>
        <w:t xml:space="preserve"> succeeded to forest following reductions in fire frequency. Prairie and savanna ecosystems are now exceedingly rare and mostly restricted to sites with infertile sandy soils that were unattractive for agricultural uses or where succession to woodland was slow following reductions in fire </w:t>
      </w:r>
      <w:r w:rsidRPr="008608AA">
        <w:rPr>
          <w:rFonts w:eastAsia="Times New Roman"/>
          <w:lang w:val="en-US"/>
        </w:rPr>
        <w:t xml:space="preserve">frequency </w:t>
      </w:r>
      <w:r w:rsidRPr="008608AA">
        <w:rPr>
          <w:rFonts w:eastAsia="Times New Roman"/>
          <w:lang w:val="en-US"/>
        </w:rPr>
        <w:fldChar w:fldCharType="begin" w:fldLock="1"/>
      </w:r>
      <w:r w:rsidRPr="008608AA">
        <w:rPr>
          <w:rFonts w:eastAsia="Times New Roman"/>
          <w:lang w:val="en-US"/>
        </w:rPr>
        <w:instrText>ADDIN CSL_CITATION { "citationItems" : [ { "id" : "ITEM-1", "itemData" : { "ISBN" : "1111111111", "ISSN" : "0885-8608", "abstract" : "Community definitions, a map of the real or potential extent of presettlement oak savanna, and location and description of high-quality savanna remnants are presented for each state. In 1985, 113 sites totaling more than 2,607 hectares of relatively high-quality oak savanna were located in the Midwest, approximately 0.02 percent of the presettlement extent of the community", "author" : [ { "dropping-particle" : "", "family" : "Nuzzo", "given" : "Victoria A", "non-dropping-particle" : "", "parse-names" : false, "suffix" : "" } ], "container-title" : "Natural Areas Journal", "id" : "ITEM-1", "issue" : "2", "issued" : { "date-parts" : [ [ "1986" ] ] }, "page" : "6-36", "title" : "Extent and status of midwest oak savanna: Presettlement and 1985", "type" : "article-journal", "volume" : "6" }, "uris" : [ "http://www.mendeley.com/documents/?uuid=98ae8abd-f10d-34de-8015-4965c0435036" ] }, { "id" : "ITEM-2", "itemData" : { "DOI" : "10.1890/1051-0761(2001)011[0914:PFIOSF]2.0.CO;2", "ISBN" : "10510761", "ISSN" : "10510761", "abstract" : "Although it is well known that fire can exert strong control on stand structure, composition, and dynamics in savannas and woodlands, the relationship between fire fre- quency and stand structure has been characterized in few of the world\u2019s savanna and woodland ecosystems. To address this issue in temperate oak-dominated ecosystems, we studied the effects of fire frequency on stand structure and dynamics in oak savanna and woodland stands that had been burned 0\u201326 times in 32 yr, in the Anoka Sand Plain region of Minnesota (USA). Seedling densities declined with increasing fire frequency, but differentially, for northern pin oak (Quercus ellipsoidalis), black cherry (Prunus serotina), serviceberry (Amelanchier sp.), and red maple (Acer rubrum). Bur oak (Q. macrocarpa) seedling density was not sensitive to fire frequency. Frequent burning (at least three fires per decade) prevented development of a sapling layer and canopy ingrowth. Low-frequency burning (fewer than two fires per decade) produced stands with dense sapling thickets. Reductions in overstory density and basal area from 1984 to 1995 were observed for all stands burned two or more times during that period. Basal area declined by 4\u20137% per year, and density declined by 6\u20138% per year in stands burned four or more times. Mortality rates in burned stands were higher for northern pin oak (50%) than for bur oak (8%). Northern pin oak mortality was highest for small trees (? 20 cm dbh) and lowest for mature trees (30\u201340 cm dbh); mortality increased with fire frequency. Bur oak mortality declined with increasing fire frequency. Attempts to preserve and maintain savannas as a viable ecosystem type in this region will require a long-term commitment to restoration-based management, with prescribed fire as a central tool. Burn frequency treatments with four or more fires per decade produce similar reductions in stem density and stand basal area but may lead to unsustainable oak tree populations. Within this general range, fire frequencies at a decadal scale should be chosen to address other management objectives, including suppressing shrubs and pro- moting increased cover of grasses and other herbaceous species. Fire management with a long-term view may also require periodic respites to allow for new cohorts of mature oak trees.", "author" : [ { "dropping-particle" : "", "family" : "Peterson", "given" : "David W.", "non-dropping-particle" : "", "parse-names" : false, "suffix" : "" }, { "dropping-particle" : "", "family" : "Reich", "given" : "Peter B.", "non-dropping-particle" : "", "parse-names" : false, "suffix" : "" } ], "container-title" : "Ecological Applications", "id" : "ITEM-2", "issue" : "3", "issued" : { "date-parts" : [ [ "2001" ] ] }, "page" : "914-927", "title" : "Prescribed fire in oak savanna: fire frequency effects on stand structure and dynamics", "type" : "article-journal", "volume" : "11" }, "uris" : [ "http://www.mendeley.com/documents/?uuid=ce8ed86f-3917-33ba-9a08-3453d26ecb12" ] }, { "id" : "ITEM-3", "itemData" : { "DOI" : "https://doi.org/10.1017/CBO9780511574627", "ISBN" : "9780511574627", "author" : [ { "dropping-particle" : "", "family" : "Will-Wolf", "given" : "S.", "non-dropping-particle" : "", "parse-names" : false, "suffix" : "" }, { "dropping-particle" : "", "family" : "Stearns", "given" : "F.", "non-dropping-particle" : "", "parse-names" : false, "suffix" : "" } ], "container-title" : "Savannas, Barrens, and Rock Outcrop Plant Communities of North America", "editor" : [ { "dropping-particle" : "", "family" : "Anderson", "given" : "R. C.", "non-dropping-particle" : "", "parse-names" : false, "suffix" : "" }, { "dropping-particle" : "", "family" : "Fralish", "given" : "J. S.", "non-dropping-particle" : "", "parse-names" : false, "suffix" : "" }, { "dropping-particle" : "", "family" : "Baskin", "given" : "J. M.", "non-dropping-particle" : "", "parse-names" : false, "suffix" : "" } ], "id" : "ITEM-3", "issued" : { "date-parts" : [ [ "1999" ] ] }, "page" : "135\u2013154", "publisher" : "Cambridge University Press", "publisher-place" : "Cambridge, UK", "title" : "Dry soil oak savanna in the Great Lakes region", "type" : "chapter" }, "uris" : [ "http://www.mendeley.com/documents/?uuid=22e4fc71-0095-31be-bacd-015f0bd7316e" ] } ], "mendeley" : { "formattedCitation" : "(Nuzzo, 1986; Peterson &amp; Reich, 2001; Will-Wolf &amp; Stearns, 1999)", "manualFormatting" : "(Nuzzo, 1986; Peterson &amp; Reich, 2001; Will-Wolf &amp; Stearns, 1999)", "plainTextFormattedCitation" : "(Nuzzo, 1986; Peterson &amp; Reich, 2001; Will-Wolf &amp; Stearns, 1999)", "previouslyFormattedCitation" : "(Nuzzo, 1986; Peterson &amp; Reich, 2001; Will-Wolf &amp; Stearns, 1999)" }, "properties" : { "noteIndex" : 0 }, "schema" : "https://github.com/citation-style-language/schema/raw/master/csl-citation.json" }</w:instrText>
      </w:r>
      <w:r w:rsidRPr="008608AA">
        <w:rPr>
          <w:rFonts w:eastAsia="Times New Roman"/>
          <w:lang w:val="en-US"/>
        </w:rPr>
        <w:fldChar w:fldCharType="separate"/>
      </w:r>
      <w:r w:rsidRPr="008608AA">
        <w:rPr>
          <w:rFonts w:eastAsia="Times New Roman"/>
          <w:noProof/>
          <w:lang w:val="en-US"/>
        </w:rPr>
        <w:t>(Nuzzo, 1986; Peterson &amp; Reich, 2001; Will-Wolf &amp; Stearns, 1999)</w:t>
      </w:r>
      <w:r w:rsidRPr="008608AA">
        <w:rPr>
          <w:rFonts w:eastAsia="Times New Roman"/>
          <w:lang w:val="en-US"/>
        </w:rPr>
        <w:fldChar w:fldCharType="end"/>
      </w:r>
      <w:r w:rsidRPr="008608AA">
        <w:rPr>
          <w:rFonts w:eastAsia="Times New Roman"/>
          <w:lang w:val="en-US"/>
        </w:rPr>
        <w:t>.</w:t>
      </w:r>
    </w:p>
    <w:p w14:paraId="2440F193" w14:textId="77777777" w:rsidR="00843724" w:rsidRPr="008608AA" w:rsidRDefault="00843724" w:rsidP="00843724">
      <w:pPr>
        <w:pStyle w:val="NormalWeb"/>
        <w:rPr>
          <w:lang w:val="en-US"/>
        </w:rPr>
      </w:pPr>
    </w:p>
    <w:p w14:paraId="27F8F82E" w14:textId="06D6EC18" w:rsidR="004255E7" w:rsidRDefault="004255E7" w:rsidP="00843724">
      <w:pPr>
        <w:pStyle w:val="NormalWeb"/>
        <w:rPr>
          <w:lang w:val="en-US"/>
        </w:rPr>
      </w:pPr>
      <w:r w:rsidRPr="008608AA">
        <w:rPr>
          <w:lang w:val="en-US"/>
        </w:rPr>
        <w:t xml:space="preserve">Fire suppression and agricultural land uses are important causes of habitat and biodiversity loss. For example, after conversion of all but 0.1% of tallgrass prairie in the USA state of Iowa, recent surveys found only 55% (491) of the original plant species formally known to be present there </w:t>
      </w:r>
      <w:r w:rsidRPr="008608AA">
        <w:rPr>
          <w:lang w:val="en-US"/>
        </w:rPr>
        <w:fldChar w:fldCharType="begin" w:fldLock="1"/>
      </w:r>
      <w:r w:rsidRPr="008608AA">
        <w:rPr>
          <w:lang w:val="en-US"/>
        </w:rPr>
        <w:instrText>ADDIN CSL_CITATION { "citationItems" : [ { "id" : "ITEM-1", "itemData" : { "ISBN" : "0896-8381", "ISSN" : "0896-8381", "abstract" : "Iowa's prairie has to be assessed in the context of the pre- and post-agriculturally dominated ecosystem in which it now exists. This requires an understanding of prairies and of society's perspective of prairies. Therefore, the attitudes of people through time have to be considered; (1) those who were involved in the demise of the prairie, (2) those who helped saved the pieces of the prairie and (3) those who may be called upon to recover the prairie ecosystem. of Iowa prairie to agriculture was rapid and extensive. Most of the Iowa prairie was settled and much of it converted to agriculture Prairie preservation was recommended in the Twenty-Five Year Conservation Plan 14 years after it was first suggested by Hayden in 1919. A committee chaired by Shimek proposed a 5000 acre preserve in NW Iowa as a part of a continental plan to conserve the North American prairie. During the 1940s, Hayden emerged as a leader of a major effort of the Iowa Academy of Science to identify and preserve prairies. These preservation efforts culminated in the dedication of Iowa's first prairie preserve in 1947. Hayden's information also was valuable in subsequent preservation of prairies by conservation organizations and governmental agencies. In the past two decades, interest in locating and protecting prairie remnants has increased. Remaining prairie is best represented in western Iowa's Loess Hills and in the northwestern pan of the state. Many prairie remnants have survived because they were used as hay fields. In spite of increased efforts to preserve prairie, remnants are still being degraded or lost to agriculture and urban sprawl. Within the past decade there has been increased recognition of the importance of ecosystem recovery. Iowa's roadsides are now acknowledged as a valuable natural resource for establishment and restoration of prairie. This recognition has led to the development of a program of integrated roadside vegetation management chat utilizes native prairie as a means of controlling weeds, reducing soil erosion, improving aesthetics and reducing costs. The 580,000 acres of primary and secondary roadsides in the state have the potential of becoming a statewide network of prairie corridors. Furthermore, three large-scale prairie recovery projects are in various stages of development (1) Walnut Creek National Wildlife Refuge by the U. S. Fish and Wildlife Service, (2) Waterman Creek Project by the Iowa Department of Natural Resources and (3) the Loess Hills\u2026", "author" : [ { "dropping-particle" : "", "family" : "Smith", "given" : "Daryl D.", "non-dropping-particle" : "", "parse-names" : false, "suffix" : "" } ], "container-title" : "The Journal of the Iowa Academy of Science", "id" : "ITEM-1", "issue" : "3", "issued" : { "date-parts" : [ [ "1998" ] ] }, "page" : "94-108", "title" : "Iowa Prairie: Original extent and loss, preservation and recovery attempts", "type" : "article-journal", "volume" : "105" }, "uris" : [ "http://www.mendeley.com/documents/?uuid=3c6ce9dd-be3a-4fe7-b075-d8678dbf2e38" ] }, { "id" : "ITEM-2", "itemData" : { "DOI" : "10.1111/j.1523-1739.2005.00250.x", "ISBN" : "0888-8892", "ISSN" : "08888892", "PMID" : "3700", "abstract" : "Species-area relationships and island biogeography theory are commonly used to predict how species richness will decline with fragmentation. There arc, a variety of largely untested assumptions in these approaches, including the assumptions that populations are distributed uniformly before fragmentation, and that local extinctions are due to effects of small population sizes. If populations arc, not distributed uniformly, then populations can be abundant locally but rare globally This would cause extinction rates to be smaller than predicted. We tested extinction theory by developing estimates of the number of plant species that should be present in small tallgrass prairie fragments and then testing the uniformity assumption by partitioning species richness into alpha (within site) and beta (among site) components in Iowa prairies. Many more native prairie plant species were present in surveys of prairie fragments (491) than was predicted based on theory (27-207). A large proportion (75%) of the total species richness was beta richness. We suggest that the high proportion of richness wets responsible for the shallow species-area slopes and The lower than expected number of species losses and that a better understanding of what determines beta diversity will. improve predictions of fragmentation effects on richness of plants. We also suggest that plants in prairie remnants may be best conserved by protecting different prairie types rather than by protecting a few large areas containing a single prairie type.", "author" : [ { "dropping-particle" : "", "family" : "Wilsey", "given" : "Brian J.", "non-dropping-particle" : "", "parse-names" : false, "suffix" : "" }, { "dropping-particle" : "", "family" : "Martin", "given" : "Leanne M.", "non-dropping-particle" : "", "parse-names" : false, "suffix" : "" }, { "dropping-particle" : "", "family" : "Polley", "given" : "H. Wayne", "non-dropping-particle" : "", "parse-names" : false, "suffix" : "" } ], "container-title" : "Conservation Biology", "id" : "ITEM-2", "issue" : "6", "issued" : { "date-parts" : [ [ "2005" ] ] }, "page" : "1835-1841", "title" : "Predicting plant extinction based on species-area curves in prairie fragments with high beta richness", "type" : "article-journal", "volume" : "19" }, "uris" : [ "http://www.mendeley.com/documents/?uuid=b3e3acb6-0605-4e31-8292-e5528b0ba973" ] } ], "mendeley" : { "formattedCitation" : "(D. D. Smith, 1998; Wilsey, Martin, &amp; Polley, 2005)", "manualFormatting" : "(Smith, 1998; Wilsey et al., 2005)", "plainTextFormattedCitation" : "(D. D. Smith, 1998; Wilsey, Martin, &amp; Polley, 2005)", "previouslyFormattedCitation" : "(D. D. Smith, 1998; Wilsey, Martin, &amp; Polley, 2005)" }, "properties" : { "noteIndex" : 0 }, "schema" : "https://github.com/citation-style-language/schema/raw/master/csl-citation.json" }</w:instrText>
      </w:r>
      <w:r w:rsidRPr="008608AA">
        <w:rPr>
          <w:lang w:val="en-US"/>
        </w:rPr>
        <w:fldChar w:fldCharType="separate"/>
      </w:r>
      <w:r w:rsidRPr="008608AA">
        <w:rPr>
          <w:noProof/>
          <w:lang w:val="en-US"/>
        </w:rPr>
        <w:t>(Smith, 1998; Wilsey et al., 2005)</w:t>
      </w:r>
      <w:r w:rsidRPr="008608AA">
        <w:rPr>
          <w:lang w:val="en-US"/>
        </w:rPr>
        <w:fldChar w:fldCharType="end"/>
      </w:r>
      <w:r w:rsidRPr="008608AA">
        <w:rPr>
          <w:lang w:val="en-US"/>
        </w:rPr>
        <w:t xml:space="preserve">. Fire suppression, exacerbated by fragmentation has caused a decline in small seeded and short stature species, as well as legumes, many of which are fire-dependent or require open </w:t>
      </w:r>
      <w:r w:rsidRPr="008608AA">
        <w:rPr>
          <w:rFonts w:eastAsia="Times New Roman"/>
          <w:lang w:val="en-US"/>
        </w:rPr>
        <w:t xml:space="preserve">areas </w:t>
      </w:r>
      <w:r w:rsidRPr="008608AA">
        <w:rPr>
          <w:rFonts w:eastAsia="Times New Roman"/>
          <w:lang w:val="en-US"/>
        </w:rPr>
        <w:fldChar w:fldCharType="begin" w:fldLock="1"/>
      </w:r>
      <w:r w:rsidRPr="008608AA">
        <w:rPr>
          <w:rFonts w:eastAsia="Times New Roman"/>
          <w:lang w:val="en-US"/>
        </w:rPr>
        <w:instrText>ADDIN CSL_CITATION { "citationItems" : [ { "id" : "ITEM-1", "itemData" : { "DOI" : "10.1126/science.273.5281.1555", "ISBN" : "0036-8075", "ISSN" : "0036-8075", "PMID" : "3339", "abstract" : "Recensuses of 54 Wisconsin prairie remnants showed that 8 to 60 percent of the original plant species were lost from individual remnants over a 32- to 52-year period. The pattern of species loss was consistent with the proposed effects of fire suppression caused by landscape fragmentation. Short, small-seeded, or nitrogen-fixing plants showed the heaviest losses, as did species growing in the wettest, most productive environments. The interruption of landscape-scale processes (such as wildfire) by fragmentation is an often overlooked mechanism that may be eroding biodiversity in many habitats around the world.", "author" : [ { "dropping-particle" : "", "family" : "Leach", "given" : "M. K.", "non-dropping-particle" : "", "parse-names" : false, "suffix" : "" }, { "dropping-particle" : "", "family" : "Givnish", "given" : "T. J.", "non-dropping-particle" : "", "parse-names" : false, "suffix" : "" } ], "container-title" : "Science", "id" : "ITEM-1", "issue" : "5281", "issued" : { "date-parts" : [ [ "1996" ] ] }, "page" : "1555-1558", "title" : "Ecological determinants of species loss in remnant prairies", "type" : "article-journal", "volume" : "273" }, "uris" : [ "http://www.mendeley.com/documents/?uuid=47d1202a-a4a0-3b0c-98d9-cc62cee2371b" ] } ], "mendeley" : { "formattedCitation" : "(Leach &amp; Givnish, 1996)", "manualFormatting" : "(Leach &amp; Givnish, 1996)", "plainTextFormattedCitation" : "(Leach &amp; Givnish, 1996)", "previouslyFormattedCitation" : "(Leach &amp; Givnish, 1996)" }, "properties" : { "noteIndex" : 0 }, "schema" : "https://github.com/citation-style-language/schema/raw/master/csl-citation.json" }</w:instrText>
      </w:r>
      <w:r w:rsidRPr="008608AA">
        <w:rPr>
          <w:rFonts w:eastAsia="Times New Roman"/>
          <w:lang w:val="en-US"/>
        </w:rPr>
        <w:fldChar w:fldCharType="separate"/>
      </w:r>
      <w:r w:rsidRPr="008608AA">
        <w:rPr>
          <w:rFonts w:eastAsia="Times New Roman"/>
          <w:noProof/>
          <w:lang w:val="en-US"/>
        </w:rPr>
        <w:t>(Leach &amp; Givnish, 1996)</w:t>
      </w:r>
      <w:r w:rsidRPr="008608AA">
        <w:rPr>
          <w:rFonts w:eastAsia="Times New Roman"/>
          <w:lang w:val="en-US"/>
        </w:rPr>
        <w:fldChar w:fldCharType="end"/>
      </w:r>
      <w:r w:rsidRPr="008608AA">
        <w:rPr>
          <w:lang w:val="en-US"/>
        </w:rPr>
        <w:t xml:space="preserve">. In experimentally restored prairie/savanna systems, plant species richness and phylogenetic diversity are significantly higher in frequently burned grasslands than in unburned forests on the same soil </w:t>
      </w:r>
      <w:r w:rsidRPr="008608AA">
        <w:rPr>
          <w:rFonts w:eastAsia="Times New Roman"/>
          <w:lang w:val="en-US"/>
        </w:rPr>
        <w:t xml:space="preserve">conditions </w:t>
      </w:r>
      <w:r w:rsidRPr="008608AA">
        <w:rPr>
          <w:rFonts w:eastAsia="Times New Roman"/>
          <w:lang w:val="en-US"/>
        </w:rPr>
        <w:fldChar w:fldCharType="begin" w:fldLock="1"/>
      </w:r>
      <w:r w:rsidRPr="008608AA">
        <w:rPr>
          <w:rFonts w:eastAsia="Times New Roman"/>
          <w:lang w:val="en-US"/>
        </w:rPr>
        <w:instrText>ADDIN CSL_CITATION { "citationItems" : [ { "id" : "ITEM-1", "itemData" : { "DOI" : "10.1890/11-0502.1", "ISBN" : "0012-9658", "ISSN" : "00129658", "abstract" : "Fire is a major force driving the evolution of plants and the structure and function of ecosystems globally. It thus likely operates as an important environmental filter that selects for species that have evolved to tolerate and depend on fire. Across a 40-year experimental fire gradient from frequently burned open savanna to unburned dense woodland in Minnesota, USA, we examined the relationships among community assembly, evolutionary history, and functional trait composition. Close relatives had similar abundance patterns across the fire gradient, providing evidence for phylogenetic conservatism in fire adaptation and highlighting the importance of shared ancestry in predicting species responses to fire. Phylogenetic beta diversity was greatest between the most extreme fire treatments across the gradient, indicating that species in the most contrasting fire regimes were most distantly related. Fire strongly influenced diversity, co-occurrence patterns, and leaf trait means and variances within communities. The most frequently burned communities had the highest species richness, exhibited the most resource-conservative leaf traits, and spanned the greatest number of phylogenetic lineages but harbored more close relatives within those lineages than other communities. In contrast, unburned communities had the lowest species diversity, the most acquisitive leaf traits, and the fewest phylogenetic lineages, but close relatives co- occurred less frequently. The largest difference in abundance between treatments occurred within the Rosales, Asteraceae, Vitaceae, and the Poaceae; woody Rosales were strongly selected for in unburned communities, while composites and grasses of the Poaceae were strongly selected for under frequent burning. A major climatic perturbation of consecutive hot, dry summers in the late 1980s prompted a significant shift in the functional and phylogenetic composition of communities. Greater than expected turnover in species composition occurred following the drought years, and then again during the subsequent five-year rebound period. Just after the drought year, turnover was greatest among recently diverged taxa, whereas during the rebound period turnover was greater among taxa that diverged deep in the phylogeny. The drought years also caused a short-term shift in functional traits, including declines in specific leaf area and leaf nitrogen content and an increase in leaf length. These results indicate that the phylogenetic and funct\u2026", "author" : [ { "dropping-particle" : "", "family" : "Cavender-Bares", "given" : "Jeannine", "non-dropping-particle" : "", "parse-names" : false, "suffix" : "" }, { "dropping-particle" : "", "family" : "Reich", "given" : "Peter B.", "non-dropping-particle" : "", "parse-names" : false, "suffix" : "" } ], "container-title" : "Ecology", "id" : "ITEM-1", "issue" : "Special Issue", "issued" : { "date-parts" : [ [ "2012" ] ] }, "page" : "52-69", "title" : "Shocks to the system: community assembly of the oak savanna in a 40-year fire frequency experiment", "type" : "article-journal", "volume" : "93" }, "uris" : [ "http://www.mendeley.com/documents/?uuid=3aaef1de-b107-3b72-ac2c-accc8c63e2c1" ] }, { "id" : "ITEM-2", "itemData" : { "DOI" : "10.1007/sl", "abstract" : "Disturbances and environmental heterogeneity are two factors thought to influence plant species diversity, but their effects are still poorly understood in many ecosystems. We surveyed understory vegetation and measured tree canopy cover on permanent plots spanning an experimental fire frequency gradient to test fire frequency and tree canopy effects on plant species richness and community heterogeneity within a mosaic of grassland, oak savanna, oak woodland, and forest communities. Species richness was assessed for all vascular plant species and for three plant functional groups: grasses, forbs, and woody plants. Understory species richness and community heterogeneity were maximized at biennial fire frequencies, consistent with predictions of the intermediate disturbance hypothesis. However, overstory tree species richness was highest in unburned units and declined with increasing fire frequency. Maximum species richness was observed in unburned units for woody species, with biennial fires for forbs, and with near-annual fires for grasses. Savannas and woodlands with intermediate and spatially variable tree canopy cover had greater species richness and community heterogeneity than old-field grasslands or closed-canopy forests. Functional group species richness was positively correlated with functional group cover. Our results suggest that annual to biennial fire frequencies prevent shrubs and trees from competitively excluding grasses and prairie forbs, while spatially variable shading from overstory trees reduces grass dominance and provides a wider range of habitat conditions. Hence, high species richness in savannas is due to both high sample point species richness and high community heterogeneity among sample points, which are maintained by intermediate fire frequencies and variable tree canopy cover.", "author" : [ { "dropping-particle" : "", "family" : "Peterson", "given" : "David W.", "non-dropping-particle" : "", "parse-names" : false, "suffix" : "" }, { "dropping-particle" : "", "family" : "Reich", "given" : "Peter B.", "non-dropping-particle" : "", "parse-names" : false, "suffix" : "" } ], "container-title" : "Plant Ecology", "id" : "ITEM-2", "issue" : "1", "issued" : { "date-parts" : [ [ "2008" ] ] }, "page" : "5-16", "title" : "Fire frequency and tree canopy structure influence plant species diversity in a forest-grassland ecotone", "type" : "article-journal", "volume" : "194" }, "uris" : [ "http://www.mendeley.com/documents/?uuid=b7c8b7e6-01af-395b-b76c-35fd3e1422cd" ] } ], "mendeley" : { "formattedCitation" : "(Cavender-Bares &amp; Reich, 2012; Peterson &amp; Reich, 2008)", "manualFormatting" : "(Cavender-Bares &amp; Reich, 2012; Peterson &amp; Reich, 2008)", "plainTextFormattedCitation" : "(Cavender-Bares &amp; Reich, 2012; Peterson &amp; Reich, 2008)", "previouslyFormattedCitation" : "(Cavender-Bares &amp; Reich, 2012; Peterson &amp; Reich, 2008)" }, "properties" : { "noteIndex" : 0 }, "schema" : "https://github.com/citation-style-language/schema/raw/master/csl-citation.json" }</w:instrText>
      </w:r>
      <w:r w:rsidRPr="008608AA">
        <w:rPr>
          <w:rFonts w:eastAsia="Times New Roman"/>
          <w:lang w:val="en-US"/>
        </w:rPr>
        <w:fldChar w:fldCharType="separate"/>
      </w:r>
      <w:r w:rsidRPr="008608AA">
        <w:rPr>
          <w:rFonts w:eastAsia="Times New Roman"/>
          <w:noProof/>
          <w:lang w:val="en-US"/>
        </w:rPr>
        <w:t>(</w:t>
      </w:r>
      <w:r w:rsidRPr="00360ADC">
        <w:rPr>
          <w:lang w:val="en-US"/>
        </w:rPr>
        <w:t>Cavender</w:t>
      </w:r>
      <w:r w:rsidRPr="008608AA">
        <w:rPr>
          <w:rFonts w:eastAsia="Times New Roman"/>
          <w:noProof/>
          <w:lang w:val="en-US"/>
        </w:rPr>
        <w:t>-Bares &amp; Reich, 2012; Peterson &amp; Reich, 2008)</w:t>
      </w:r>
      <w:r w:rsidRPr="008608AA">
        <w:rPr>
          <w:rFonts w:eastAsia="Times New Roman"/>
          <w:lang w:val="en-US"/>
        </w:rPr>
        <w:fldChar w:fldCharType="end"/>
      </w:r>
      <w:r w:rsidRPr="008608AA">
        <w:rPr>
          <w:lang w:val="en-US"/>
        </w:rPr>
        <w:t xml:space="preserve">. Efforts to restore biodiversity and ecosystem services often fall short of the levels observed in remnant grasslands and other </w:t>
      </w:r>
      <w:r w:rsidRPr="008608AA">
        <w:rPr>
          <w:rFonts w:eastAsia="Times New Roman"/>
          <w:lang w:val="en-US"/>
        </w:rPr>
        <w:t xml:space="preserve">ecosystems </w:t>
      </w:r>
      <w:r w:rsidRPr="008608AA">
        <w:rPr>
          <w:rFonts w:eastAsia="Times New Roman"/>
          <w:lang w:val="en-US"/>
        </w:rPr>
        <w:fldChar w:fldCharType="begin" w:fldLock="1"/>
      </w:r>
      <w:r w:rsidRPr="008608AA">
        <w:rPr>
          <w:rFonts w:eastAsia="Times New Roman"/>
          <w:lang w:val="en-US"/>
        </w:rPr>
        <w:instrText>ADDIN CSL_CITATION { "citationItems" : [ { "id" : "ITEM-1", "itemData" : { "DOI" : "10.1111/j.1365-2664.2005.01019.x", "ISBN" : "0021-8901", "ISSN" : "00218901", "PMID" : "3364", "abstract" : "Summary 1. We do not know which aspects of community structure and ecosystem processes are restorable for most ecosystems, yet this information is crucial for achieving successful restoration. 2. We quantified three success criteria for 8\u201310-year-old grassland plantings in large- scale tallgrass prairie restoration (reconstruction) sites relative to three nearby prairie remnant sites. The restoration sites included management of native ungulates and fire, important regulators of diversity and patchiness in intact grasslands. These have not been incorporated simultaneously into previous studies of restoration success. 3. We used the additive partitioning model of diversity, where \u03b1 is neighbourhood (quadrat) scale diversity, \u03b2 is accumulation of species diversity across neighbourhoods, and \u03b3 is total diversity. We decomposed \u03b1 into richness and evenness to determine if both were equally restored. 4. The proportion of exotic biomass was similar between the restoration and remnant sites, but the proportion of exotic species and above-ground net primary productivity remained between two and four times higher in the restoration sites. 5. Alpha diversity (Simpson\u2019s 1/D) and richness (S) values were exceptionally high in remnant sites, and approximately twice those of the restoration sites. Alpha evenness was similar between the restoration and remnant sites. 6. Distance per se between quadrats was not related to diversity after accumulated quadrat area was taken into account. Therefore, we may be able to use the additive partitioning model of diversity in areas that differ in size, at least at the scale of this study. 7. Contrary to our original predictions, the proportion of \u03b2 diversity (1 \u2212 D) was approximately twice as high in the restoration sites than in remnant sites, possibly because patches of individual species were larger in the restoration. 8. Synthesis and applications . We have shown that current restoration methods are unable to restore plant diversity in tallgrass prairie. Grassland restoration will be improved if the number of species that co-exist can be increased. New, local-scale restoration techniques are needed to replicate the high levels of diversity observed in tallgrass prairie remnant sites.", "author" : [ { "dropping-particle" : "", "family" : "Martin", "given" : "Leanne M.", "non-dropping-particle" : "", "parse-names" : false, "suffix" : "" }, { "dropping-particle" : "", "family" : "Moloney", "given" : "Kirk A.", "non-dropping-particle" : "", "parse-names" : false, "suffix" : "" }, { "dropping-particle" : "", "family" : "Wilsey", "given" : "Brian J.", "non-dropping-particle" : "", "parse-names" : false, "suffix" : "" } ], "container-title" : "Journal of Applied Ecology", "id" : "ITEM-1", "issue" : "2", "issued" : { "date-parts" : [ [ "2005" ] ] }, "page" : "327-336", "title" : "An assessment of grassland restoration success using species diversity components", "type" : "article-journal", "volume" : "42" }, "uris" : [ "http://www.mendeley.com/documents/?uuid=d9cff0a2-7e66-380d-a147-add7028946ce" ] }, { "id" : "ITEM-2", "itemData" : { "DOI" : "10.1126/science.1172460", "ISBN" : "0036-8075", "ISSN" : "1095-9203", "PMID" : "19644076", "abstract" : "Ecological restoration is widely used to reverse the environmental degradation caused by human activities. However, the effectiveness of restoration actions in increasing provision of both biodiversity and ecosystem services has not been evaluated systematically. A meta-analysis of 89 restoration assessments in a wide range of ecosystem types across the globe indicates that ecological restoration increased provision of biodiversity and ecosystem services by 44 and 25%, respectively. However, values of both remained lower in restored versus intact reference ecosystems. Increases in biodiversity and ecosystem service measures after restoration were positively correlated. Results indicate that restoration actions focused on enhancing biodiversity should support increased provision of ecosystem services, particularly in tropical terrestrial biomes.", "author" : [ { "dropping-particle" : "", "family" : "Benayas", "given" : "Rey Jos\u00e9 M.", "non-dropping-particle" : "", "parse-names" : false, "suffix" : "" }, { "dropping-particle" : "", "family" : "Newton", "given" : "Adrian C.", "non-dropping-particle" : "", "parse-names" : false, "suffix" : "" }, { "dropping-particle" : "", "family" : "Diaz", "given" : "Anita", "non-dropping-particle" : "", "parse-names" : false, "suffix" : "" }, { "dropping-particle" : "", "family" : "Bullock", "given" : "James M.", "non-dropping-particle" : "", "parse-names" : false, "suffix" : "" } ], "container-title" : "Science", "id" : "ITEM-2", "issue" : "5944", "issued" : { "date-parts" : [ [ "2009" ] ] }, "page" : "1121-1124", "title" : "Enhancement of biodiversity and ecosystem services by ecological restoration: a meta-analysis", "type" : "article-journal", "volume" : "325" }, "uris" : [ "http://www.mendeley.com/documents/?uuid=d21b05f2-804a-4d9a-9aa7-4f97f430f235" ] } ], "mendeley" : { "formattedCitation" : "(Benayas, Newton, Diaz, &amp; Bullock, 2009; L. M. Martin, Moloney, &amp; Wilsey, 2005)", "manualFormatting" : "(Benayas et al., 2009; Martin et al., 2005)", "plainTextFormattedCitation" : "(Benayas, Newton, Diaz, &amp; Bullock, 2009; L. M. Martin, Moloney, &amp; Wilsey, 2005)", "previouslyFormattedCitation" : "(Benayas, Newton, Diaz, &amp; Bullock, 2009; L. M. Martin, Moloney, &amp; Wilsey, 2005)" }, "properties" : { "noteIndex" : 0 }, "schema" : "https://github.com/citation-style-language/schema/raw/master/csl-citation.json" }</w:instrText>
      </w:r>
      <w:r w:rsidRPr="008608AA">
        <w:rPr>
          <w:rFonts w:eastAsia="Times New Roman"/>
          <w:lang w:val="en-US"/>
        </w:rPr>
        <w:fldChar w:fldCharType="separate"/>
      </w:r>
      <w:r w:rsidRPr="008608AA">
        <w:rPr>
          <w:rFonts w:eastAsia="Times New Roman"/>
          <w:noProof/>
          <w:lang w:val="en-US"/>
        </w:rPr>
        <w:t>(Benayas et al., 2009; Martin et al., 2005)</w:t>
      </w:r>
      <w:r w:rsidRPr="008608AA">
        <w:rPr>
          <w:rFonts w:eastAsia="Times New Roman"/>
          <w:lang w:val="en-US"/>
        </w:rPr>
        <w:fldChar w:fldCharType="end"/>
      </w:r>
      <w:r w:rsidRPr="008608AA">
        <w:rPr>
          <w:lang w:val="en-US"/>
        </w:rPr>
        <w:t xml:space="preserve">. </w:t>
      </w:r>
    </w:p>
    <w:p w14:paraId="7E2C17A0" w14:textId="77777777" w:rsidR="00843724" w:rsidRPr="008608AA" w:rsidRDefault="00843724" w:rsidP="00843724">
      <w:pPr>
        <w:pStyle w:val="NormalWeb"/>
        <w:rPr>
          <w:lang w:val="en-US"/>
        </w:rPr>
      </w:pPr>
    </w:p>
    <w:p w14:paraId="1555BD4D" w14:textId="239879F3" w:rsidR="004255E7" w:rsidRDefault="004255E7" w:rsidP="00843724">
      <w:pPr>
        <w:pStyle w:val="NormalWeb"/>
        <w:rPr>
          <w:color w:val="000000"/>
          <w:lang w:val="en-US"/>
        </w:rPr>
      </w:pPr>
      <w:r w:rsidRPr="008608AA">
        <w:rPr>
          <w:color w:val="000000"/>
          <w:lang w:val="en-US"/>
        </w:rPr>
        <w:t xml:space="preserve">Bison were formerly dominant herbivores and a keystone species throughout the Great Plains </w:t>
      </w:r>
      <w:r w:rsidRPr="008608AA">
        <w:rPr>
          <w:lang w:val="en-US"/>
        </w:rPr>
        <w:fldChar w:fldCharType="begin" w:fldLock="1"/>
      </w:r>
      <w:r w:rsidRPr="008608AA">
        <w:rPr>
          <w:lang w:val="en-US"/>
        </w:rPr>
        <w:instrText>ADDIN CSL_CITATION { "citationItems" : [ { "id" : "ITEM-1", "itemData" : { "author" : [ { "dropping-particle" : "", "family" : "Knapp", "given" : "Alan K.", "non-dropping-particle" : "", "parse-names" : false, "suffix" : "" }, { "dropping-particle" : "", "family" : "Blair", "given" : "John M.", "non-dropping-particle" : "", "parse-names" : false, "suffix" : "" }, { "dropping-particle" : "", "family" : "Briggs", "given" : "John M.", "non-dropping-particle" : "", "parse-names" : false, "suffix" : "" }, { "dropping-particle" : "", "family" : "Collins", "given" : "Scott L.", "non-dropping-particle" : "", "parse-names" : false, "suffix" : "" }, { "dropping-particle" : "", "family" : "Hartnett", "given" : "David C.", "non-dropping-particle" : "", "parse-names" : false, "suffix" : "" }, { "dropping-particle" : "", "family" : "Johnson", "given" : "Loretta C.", "non-dropping-particle" : "", "parse-names" : false, "suffix" : "" }, { "dropping-particle" : "", "family" : "Towne", "given" : "E. Gene", "non-dropping-particle" : "", "parse-names" : false, "suffix" : "" } ], "container-title" : "Bioscience", "id" : "ITEM-1", "issue" : "1", "issued" : { "date-parts" : [ [ "1999" ] ] }, "page" : "39-50", "title" : "The keystone role of bison in North American tallgrass prairie: bison increase habitat heterogeneity and alter a broad array of plant, community, and ecosystem processes", "type" : "article-journal", "volume" : "49" }, "uris" : [ "http://www.mendeley.com/documents/?uuid=a99ca554-adc3-4855-9ea3-3406843cdd71" ] } ], "mendeley" : { "formattedCitation" : "(A. K. Knapp et al., 1999)", "manualFormatting" : "(Knapp et al., 1999)", "plainTextFormattedCitation" : "(A. K. Knapp et al., 1999)", "previouslyFormattedCitation" : "(A. K. Knapp et al., 1999)" }, "properties" : { "noteIndex" : 0 }, "schema" : "https://github.com/citation-style-language/schema/raw/master/csl-citation.json" }</w:instrText>
      </w:r>
      <w:r w:rsidRPr="008608AA">
        <w:rPr>
          <w:lang w:val="en-US"/>
        </w:rPr>
        <w:fldChar w:fldCharType="separate"/>
      </w:r>
      <w:r w:rsidRPr="008608AA">
        <w:rPr>
          <w:noProof/>
          <w:lang w:val="en-US"/>
        </w:rPr>
        <w:t>(Knapp et al., 1999)</w:t>
      </w:r>
      <w:r w:rsidRPr="008608AA">
        <w:rPr>
          <w:lang w:val="en-US"/>
        </w:rPr>
        <w:fldChar w:fldCharType="end"/>
      </w:r>
      <w:r w:rsidRPr="008608AA">
        <w:rPr>
          <w:lang w:val="en-US"/>
        </w:rPr>
        <w:t xml:space="preserve">. </w:t>
      </w:r>
      <w:r w:rsidRPr="008608AA">
        <w:rPr>
          <w:color w:val="000000"/>
          <w:lang w:val="en-US"/>
        </w:rPr>
        <w:t xml:space="preserve">During the mid-1800s bison were reduced from tens of millions to only a few thousand individuals, subsequently recovering to more than 100,000 individuals. Bison grazing maintains grassland plant diversity by suppressing dominant warm-season grasses that would otherwise out-compete many rare wildflowers </w:t>
      </w:r>
      <w:r w:rsidRPr="008608AA">
        <w:rPr>
          <w:color w:val="000000"/>
          <w:lang w:val="en-US"/>
        </w:rPr>
        <w:fldChar w:fldCharType="begin" w:fldLock="1"/>
      </w:r>
      <w:r w:rsidRPr="008608AA">
        <w:rPr>
          <w:color w:val="000000"/>
          <w:lang w:val="en-US"/>
        </w:rPr>
        <w:instrText>ADDIN CSL_CITATION { "citationItems" : [ { "id" : "ITEM-1", "itemData" : { "DOI" : "10.1126/science.282.5389.682", "ISBN" : "0036-8075", "ISSN" : "0036-8075", "PMID" : "9784121", "abstract" : "The Human Genome Project has successfully completed all the major goals in its current 5-year plan, covering the period 1993-98. A new plan, for 1998-2003, is presented, in which human DNA sequencing will be the major emphasis. An ambitious schedule has been set to complete the full sequence by the end of 2003, 2 years ahead of previous projections. In the course of completing the sequence, a \"working draft\" of the human sequence will be produced by the end of 2001. The plan also includes goals for sequencing technology development; for studying human genome sequence variation; for developing technology for functional genomics; for completing the sequence of Caenorhabditis elegans and Drosophila melanogaster and starting the mouse genome; for studying the ethical, legal, and social implications of genome research; for bioinformatics and computational studies; and for training of genome scientists.", "author" : [ { "dropping-particle" : "", "family" : "Collins", "given" : "F. S.", "non-dropping-particle" : "", "parse-names" : false, "suffix" : "" } ], "container-title" : "Science", "id" : "ITEM-1", "issue" : "5389", "issued" : { "date-parts" : [ [ "1998" ] ] }, "page" : "682-689", "title" : "New goals for the U.S. Human Genome Project: 1998-2003", "type" : "article-journal", "volume" : "282" }, "uris" : [ "http://www.mendeley.com/documents/?uuid=f157b233-577d-437c-bfb4-9984bf025866" ] } ], "mendeley" : { "formattedCitation" : "(Collins, 1998)", "plainTextFormattedCitation" : "(Collins, 1998)", "previouslyFormattedCitation" : "(Collins, 1998)" }, "properties" : { "noteIndex" : 0 }, "schema" : "https://github.com/citation-style-language/schema/raw/master/csl-citation.json" }</w:instrText>
      </w:r>
      <w:r w:rsidRPr="008608AA">
        <w:rPr>
          <w:color w:val="000000"/>
          <w:lang w:val="en-US"/>
        </w:rPr>
        <w:fldChar w:fldCharType="separate"/>
      </w:r>
      <w:r w:rsidRPr="008608AA">
        <w:rPr>
          <w:noProof/>
          <w:color w:val="000000"/>
          <w:lang w:val="en-US"/>
        </w:rPr>
        <w:t>(Collins, 1998)</w:t>
      </w:r>
      <w:r w:rsidRPr="008608AA">
        <w:rPr>
          <w:color w:val="000000"/>
          <w:lang w:val="en-US"/>
        </w:rPr>
        <w:fldChar w:fldCharType="end"/>
      </w:r>
      <w:r w:rsidRPr="008608AA">
        <w:rPr>
          <w:color w:val="000000"/>
          <w:lang w:val="en-US"/>
        </w:rPr>
        <w:t xml:space="preserve">. Many populations of other animals dependent on prairie systems, including mammals and birds, have declined or are now absent from large portions of their historical range. </w:t>
      </w:r>
    </w:p>
    <w:p w14:paraId="2B8B3645" w14:textId="77777777" w:rsidR="00843724" w:rsidRPr="008608AA" w:rsidRDefault="00843724" w:rsidP="00843724">
      <w:pPr>
        <w:pStyle w:val="NormalWeb"/>
        <w:rPr>
          <w:color w:val="000000"/>
          <w:lang w:val="en-US"/>
        </w:rPr>
      </w:pPr>
    </w:p>
    <w:p w14:paraId="154BFC7B" w14:textId="37F79CC6" w:rsidR="004255E7" w:rsidRDefault="004255E7" w:rsidP="00581F86">
      <w:pPr>
        <w:widowControl w:val="0"/>
        <w:autoSpaceDE w:val="0"/>
        <w:autoSpaceDN w:val="0"/>
        <w:adjustRightInd w:val="0"/>
        <w:spacing w:after="120"/>
        <w:rPr>
          <w:noProof/>
        </w:rPr>
      </w:pPr>
      <w:r w:rsidRPr="008608AA">
        <w:rPr>
          <w:iCs/>
        </w:rPr>
        <w:t>Re</w:t>
      </w:r>
      <w:r w:rsidR="00176FC5" w:rsidRPr="008608AA">
        <w:rPr>
          <w:iCs/>
        </w:rPr>
        <w:t xml:space="preserve">cent trends. </w:t>
      </w:r>
      <w:r w:rsidRPr="008608AA">
        <w:t xml:space="preserve">In the Great Plains region, 21.4 million ha of grassland have been converted to cropland since 2009. This loss represents almost 13% of the 170 million ha that remained intact </w:t>
      </w:r>
      <w:r w:rsidR="00644C0C" w:rsidRPr="008608AA">
        <w:t xml:space="preserve">(i.e., not in annual crops) </w:t>
      </w:r>
      <w:r w:rsidRPr="008608AA">
        <w:t xml:space="preserve">in 2009. The average annual rate of loss of grasslands was 2% between 2009 and 2015. </w:t>
      </w:r>
      <w:r w:rsidR="00644C0C" w:rsidRPr="008608AA">
        <w:t>In 2016, o</w:t>
      </w:r>
      <w:r w:rsidRPr="008608AA">
        <w:t xml:space="preserve">nly 148 million ha </w:t>
      </w:r>
      <w:r w:rsidR="00644C0C" w:rsidRPr="008608AA">
        <w:t xml:space="preserve">of grassland </w:t>
      </w:r>
      <w:r w:rsidRPr="008608AA">
        <w:t>remain</w:t>
      </w:r>
      <w:r w:rsidR="00644C0C" w:rsidRPr="008608AA">
        <w:t>ed</w:t>
      </w:r>
      <w:r w:rsidRPr="008608AA">
        <w:t xml:space="preserve"> intact in the Great Plains </w:t>
      </w:r>
      <w:r w:rsidRPr="008608AA">
        <w:rPr>
          <w:noProof/>
        </w:rPr>
        <w:fldChar w:fldCharType="begin" w:fldLock="1"/>
      </w:r>
      <w:r w:rsidRPr="008608AA">
        <w:rPr>
          <w:noProof/>
        </w:rPr>
        <w:instrText>ADDIN CSL_CITATION { "citationItems" : [ { "id" : "ITEM-1", "itemData" : { "author" : [ { "dropping-particle" : "", "family" : "World Wildlife Fund (WWF)", "given" : "", "non-dropping-particle" : "", "parse-names" : false, "suffix" : "" } ], "id" : "ITEM-1", "issued" : { "date-parts" : [ [ "2016" ] ] }, "title" : "Plowprint Report", "type" : "report" }, "uris" : [ "http://www.mendeley.com/documents/?uuid=988dccd1-e387-4a25-af41-c9752412cc55" ] }, { "id" : "ITEM-2", "itemData" : { "author" : [ { "dropping-particle" : "", "family" : "Northern Great Plains Program", "given" : "WWF", "non-dropping-particle" : "", "parse-names" : false, "suffix" : "" } ], "id" : "ITEM-2", "issued" : { "date-parts" : [ [ "2016" ] ] }, "title" : "Grasslands", "type" : "report" }, "uris" : [ "http://www.mendeley.com/documents/?uuid=45106605-a34c-4ce4-862a-72018243d271" ] } ], "mendeley" : { "formattedCitation" : "(Northern Great Plains Program, 2016; World Wildlife Fund (WWF), 2016)", "plainTextFormattedCitation" : "(Northern Great Plains Program, 2016; World Wildlife Fund (WWF), 2016)", "previouslyFormattedCitation" : "(Northern Great Plains Program, 2016; World Wildlife Fund (WWF), 2016)" }, "properties" : { "noteIndex" : 0 }, "schema" : "https://github.com/citation-style-language/schema/raw/master/csl-citation.json" }</w:instrText>
      </w:r>
      <w:r w:rsidRPr="008608AA">
        <w:rPr>
          <w:noProof/>
        </w:rPr>
        <w:fldChar w:fldCharType="separate"/>
      </w:r>
      <w:r w:rsidRPr="008608AA">
        <w:rPr>
          <w:noProof/>
        </w:rPr>
        <w:t xml:space="preserve">(Northern Great Plains Program, 2016; </w:t>
      </w:r>
      <w:r w:rsidR="00F67EC2" w:rsidRPr="008608AA">
        <w:rPr>
          <w:noProof/>
        </w:rPr>
        <w:t>WWF</w:t>
      </w:r>
      <w:r w:rsidRPr="008608AA">
        <w:rPr>
          <w:noProof/>
        </w:rPr>
        <w:t>, 2016)</w:t>
      </w:r>
      <w:r w:rsidRPr="008608AA">
        <w:rPr>
          <w:noProof/>
        </w:rPr>
        <w:fldChar w:fldCharType="end"/>
      </w:r>
      <w:r w:rsidRPr="008608AA">
        <w:rPr>
          <w:noProof/>
        </w:rPr>
        <w:t xml:space="preserve">. </w:t>
      </w:r>
      <w:r w:rsidRPr="008608AA">
        <w:rPr>
          <w:color w:val="222222"/>
        </w:rPr>
        <w:t xml:space="preserve">A report based on data from the USA and Canadian governments, indicates that more than 21 million ha of land in the Great Plains have been converted to cropland since 2009. From 2014 to 2015 alone, approximately 1.5 million ha were lost. </w:t>
      </w:r>
      <w:r w:rsidRPr="008608AA">
        <w:t xml:space="preserve">Endemic grassland bird species have shown steeper declines than any other group of North American bird species </w:t>
      </w:r>
      <w:r w:rsidRPr="008608AA">
        <w:fldChar w:fldCharType="begin" w:fldLock="1"/>
      </w:r>
      <w:r w:rsidRPr="008608AA">
        <w:instrText>ADDIN CSL_CITATION { "citationItems" : [ { "id" : "ITEM-1", "itemData" : { "author" : [ { "dropping-particle" : "", "family" : "USGS", "given" : "", "non-dropping-particle" : "", "parse-names" : false, "suffix" : "" } ], "id" : "ITEM-1", "issued" : { "date-parts" : [ [ "2003" ] ] }, "publisher" : "USGS Forest and Rangeland Ecosystem, Science Center, Snake River Field Station", "publisher-place" : "Washington D.C., USA", "title" : "PRAIRIEMAP, A GIS Database for Prairie Grassland Management in Western North America", "type" : "book" }, "uris" : [ "http://www.mendeley.com/documents/?uuid=ee27be0a-e833-3f73-b5d7-daa4b7ee1f20" ] } ], "mendeley" : { "formattedCitation" : "(USGS, 2003)", "plainTextFormattedCitation" : "(USGS, 2003)", "previouslyFormattedCitation" : "(USGS, 2003)" }, "properties" : { "noteIndex" : 0 }, "schema" : "https://github.com/citation-style-language/schema/raw/master/csl-citation.json" }</w:instrText>
      </w:r>
      <w:r w:rsidRPr="008608AA">
        <w:fldChar w:fldCharType="separate"/>
      </w:r>
      <w:r w:rsidRPr="008608AA">
        <w:rPr>
          <w:noProof/>
        </w:rPr>
        <w:t>(USGS, 2003)</w:t>
      </w:r>
      <w:r w:rsidRPr="008608AA">
        <w:fldChar w:fldCharType="end"/>
      </w:r>
      <w:r w:rsidRPr="008608AA">
        <w:t>. Since the 1960s, populations of four key species have declined by as much as 80% with annual declines as follows: McCown’s Longspur (</w:t>
      </w:r>
      <w:r w:rsidRPr="008608AA">
        <w:rPr>
          <w:i/>
          <w:iCs/>
        </w:rPr>
        <w:t>Rhynchophanes mccownii</w:t>
      </w:r>
      <w:r w:rsidRPr="008608AA">
        <w:t>), 6.2% decline per year; the chestnut-collared longspur (</w:t>
      </w:r>
      <w:r w:rsidRPr="008608AA">
        <w:rPr>
          <w:i/>
          <w:iCs/>
        </w:rPr>
        <w:t>Calcarius ornatus</w:t>
      </w:r>
      <w:r w:rsidRPr="008608AA">
        <w:t>), 4.4% decline per year; lark bunting (</w:t>
      </w:r>
      <w:r w:rsidRPr="008608AA">
        <w:rPr>
          <w:i/>
          <w:iCs/>
        </w:rPr>
        <w:t>Calamospiza melanocorys</w:t>
      </w:r>
      <w:r w:rsidRPr="008608AA">
        <w:t>) 4.1% decline per year and Sprague’s pipit (</w:t>
      </w:r>
      <w:r w:rsidRPr="008608AA">
        <w:rPr>
          <w:i/>
        </w:rPr>
        <w:t>Anthus spragueii</w:t>
      </w:r>
      <w:r w:rsidRPr="008608AA">
        <w:t xml:space="preserve">), 3.5% decline per year. The decline of these grassland species has been attributed directly to the loss of intact grasslands throughout the Great Plains region </w:t>
      </w:r>
      <w:r w:rsidRPr="008608AA">
        <w:rPr>
          <w:noProof/>
        </w:rPr>
        <w:fldChar w:fldCharType="begin" w:fldLock="1"/>
      </w:r>
      <w:r w:rsidRPr="008608AA">
        <w:rPr>
          <w:noProof/>
        </w:rPr>
        <w:instrText>ADDIN CSL_CITATION { "citationItems" : [ { "id" : "ITEM-1", "itemData" : { "author" : [ { "dropping-particle" : "", "family" : "World Wildlife Fund (WWF)", "given" : "", "non-dropping-particle" : "", "parse-names" : false, "suffix" : "" } ], "id" : "ITEM-1", "issued" : { "date-parts" : [ [ "2016" ] ] }, "title" : "Plowprint Report", "type" : "report" }, "uris" : [ "http://www.mendeley.com/documents/?uuid=988dccd1-e387-4a25-af41-c9752412cc55" ] }, { "id" : "ITEM-2", "itemData" : { "author" : [ { "dropping-particle" : "", "family" : "Northern Great Plains Program", "given" : "WWF", "non-dropping-particle" : "", "parse-names" : false, "suffix" : "" } ], "id" : "ITEM-2", "issued" : { "date-parts" : [ [ "2016" ] ] }, "title" : "Grasslands", "type" : "report" }, "uris" : [ "http://www.mendeley.com/documents/?uuid=45106605-a34c-4ce4-862a-72018243d271" ] } ], "mendeley" : { "formattedCitation" : "(Northern Great Plains Program, 2016; World Wildlife Fund (WWF), 2016)", "plainTextFormattedCitation" : "(Northern Great Plains Program, 2016; World Wildlife Fund (WWF), 2016)", "previouslyFormattedCitation" : "(Northern Great Plains Program, 2016; World Wildlife Fund (WWF), 2016)" }, "properties" : { "noteIndex" : 0 }, "schema" : "https://github.com/citation-style-language/schema/raw/master/csl-citation.json" }</w:instrText>
      </w:r>
      <w:r w:rsidRPr="008608AA">
        <w:rPr>
          <w:noProof/>
        </w:rPr>
        <w:fldChar w:fldCharType="separate"/>
      </w:r>
      <w:r w:rsidRPr="008608AA">
        <w:rPr>
          <w:noProof/>
        </w:rPr>
        <w:t xml:space="preserve">(Northern Great Plains Program, 2016; </w:t>
      </w:r>
      <w:r w:rsidR="00F67EC2" w:rsidRPr="008608AA">
        <w:rPr>
          <w:noProof/>
        </w:rPr>
        <w:t>WWF</w:t>
      </w:r>
      <w:r w:rsidRPr="008608AA">
        <w:rPr>
          <w:noProof/>
        </w:rPr>
        <w:t>, 2016)</w:t>
      </w:r>
      <w:r w:rsidRPr="008608AA">
        <w:rPr>
          <w:noProof/>
        </w:rPr>
        <w:fldChar w:fldCharType="end"/>
      </w:r>
      <w:r w:rsidRPr="008608AA">
        <w:rPr>
          <w:noProof/>
        </w:rPr>
        <w:t xml:space="preserve">. </w:t>
      </w:r>
      <w:r w:rsidRPr="008608AA">
        <w:t xml:space="preserve">Loss of prairie plant diversity </w:t>
      </w:r>
      <w:r w:rsidRPr="008608AA">
        <w:fldChar w:fldCharType="begin" w:fldLock="1"/>
      </w:r>
      <w:r w:rsidRPr="008608AA">
        <w:instrText>ADDIN CSL_CITATION { "citationItems" : [ { "id" : "ITEM-1", "itemData" : { "DOI" : "10.1126/science.273.5281.1555", "ISBN" : "0036-8075", "ISSN" : "0036-8075", "PMID" : "3339", "abstract" : "Recensuses of 54 Wisconsin prairie remnants showed that 8 to 60 percent of the original plant species were lost from individual remnants over a 32- to 52-year period. The pattern of species loss was consistent with the proposed effects of fire suppression caused by landscape fragmentation. Short, small-seeded, or nitrogen-fixing plants showed the heaviest losses, as did species growing in the wettest, most productive environments. The interruption of landscape-scale processes (such as wildfire) by fragmentation is an often overlooked mechanism that may be eroding biodiversity in many habitats around the world.", "author" : [ { "dropping-particle" : "", "family" : "Leach", "given" : "M. K.", "non-dropping-particle" : "", "parse-names" : false, "suffix" : "" }, { "dropping-particle" : "", "family" : "Givnish", "given" : "T. J.", "non-dropping-particle" : "", "parse-names" : false, "suffix" : "" } ], "container-title" : "Science", "id" : "ITEM-1", "issue" : "5281", "issued" : { "date-parts" : [ [ "1996" ] ] }, "page" : "1555-1558", "title" : "Ecological determinants of species loss in remnant prairies", "type" : "article-journal", "volume" : "273" }, "uris" : [ "http://www.mendeley.com/documents/?uuid=47d1202a-a4a0-3b0c-98d9-cc62cee2371b" ] }, { "id" : "ITEM-2", "itemData" : { "DOI" : "10.1111/j.1523-1739.2005.00250.x", "ISBN" : "0888-8892", "ISSN" : "08888892", "PMID" : "3700", "abstract" : "Species-area relationships and island biogeography theory are commonly used to predict how species richness will decline with fragmentation. There arc, a variety of largely untested assumptions in these approaches, including the assumptions that populations are distributed uniformly before fragmentation, and that local extinctions are due to effects of small population sizes. If populations arc, not distributed uniformly, then populations can be abundant locally but rare globally This would cause extinction rates to be smaller than predicted. We tested extinction theory by developing estimates of the number of plant species that should be present in small tallgrass prairie fragments and then testing the uniformity assumption by partitioning species richness into alpha (within site) and beta (among site) components in Iowa prairies. Many more native prairie plant species were present in surveys of prairie fragments (491) than was predicted based on theory (27-207). A large proportion (75%) of the total species richness was beta richness. We suggest that the high proportion of richness wets responsible for the shallow species-area slopes and The lower than expected number of species losses and that a better understanding of what determines beta diversity will. improve predictions of fragmentation effects on richness of plants. We also suggest that plants in prairie remnants may be best conserved by protecting different prairie types rather than by protecting a few large areas containing a single prairie type.", "author" : [ { "dropping-particle" : "", "family" : "Wilsey", "given" : "Brian J.", "non-dropping-particle" : "", "parse-names" : false, "suffix" : "" }, { "dropping-particle" : "", "family" : "Martin", "given" : "Leanne M.", "non-dropping-particle" : "", "parse-names" : false, "suffix" : "" }, { "dropping-particle" : "", "family" : "Polley", "given" : "H. Wayne", "non-dropping-particle" : "", "parse-names" : false, "suffix" : "" } ], "container-title" : "Conservation Biology", "id" : "ITEM-2", "issue" : "6", "issued" : { "date-parts" : [ [ "2005" ] ] }, "page" : "1835-1841", "title" : "Predicting plant extinction based on species-area curves in prairie fragments with high beta richness", "type" : "article-journal", "volume" : "19" }, "uris" : [ "http://www.mendeley.com/documents/?uuid=b3e3acb6-0605-4e31-8292-e5528b0ba973" ] } ], "mendeley" : { "formattedCitation" : "(Leach &amp; Givnish, 1996; Wilsey et al., 2005)", "plainTextFormattedCitation" : "(Leach &amp; Givnish, 1996; Wilsey et al., 2005)", "previouslyFormattedCitation" : "(Leach &amp; Givnish, 1996; Wilsey et al., 2005)" }, "properties" : { "noteIndex" : 0 }, "schema" : "https://github.com/citation-style-language/schema/raw/master/csl-citation.json" }</w:instrText>
      </w:r>
      <w:r w:rsidRPr="008608AA">
        <w:fldChar w:fldCharType="separate"/>
      </w:r>
      <w:r w:rsidRPr="008608AA">
        <w:rPr>
          <w:noProof/>
        </w:rPr>
        <w:t>(Leach &amp; Givnish, 1996; Wilsey et al., 2005)</w:t>
      </w:r>
      <w:r w:rsidRPr="008608AA">
        <w:fldChar w:fldCharType="end"/>
      </w:r>
      <w:r w:rsidRPr="008608AA">
        <w:t xml:space="preserve"> causes loss at higher trophic levels, including numerous insects and other organisms above- and belowground </w:t>
      </w:r>
      <w:r w:rsidRPr="008608AA">
        <w:fldChar w:fldCharType="begin" w:fldLock="1"/>
      </w:r>
      <w:r w:rsidRPr="008608AA">
        <w:instrText>ADDIN CSL_CITATION { "citationItems" : [ { "id" : "ITEM-1", "itemData" : { "author" : [ { "dropping-particle" : "", "family" : "Lind", "given" : "E.M.", "non-dropping-particle" : "", "parse-names" : false, "suffix" : "" }, { "dropping-particle" : "", "family" : "Vincent", "given" : "J.B.", "non-dropping-particle" : "", "parse-names" : false, "suffix" : "" }, { "dropping-particle" : "", "family" : "Weiblen", "given" : "G.D.", "non-dropping-particle" : "", "parse-names" : false, "suffix" : "" }, { "dropping-particle" : "", "family" : "Cavender-Bares", "given" : "J.M.", "non-dropping-particle" : "", "parse-names" : false, "suffix" : "" }, { "dropping-particle" : "", "family" : "Borer", "given" : "E.T.", "non-dropping-particle" : "", "parse-names" : false, "suffix" : "" } ], "container-title" : "Ecology", "id" : "ITEM-1", "issue" : "4", "issued" : { "date-parts" : [ [ "2015" ] ] }, "page" : "998\u20131009", "title" : "Trophic phylogenetics: evolutionary influences on body size, feeding, and species associations in grassland arthropods", "type" : "article-journal", "volume" : "96" }, "uris" : [ "http://www.mendeley.com/documents/?uuid=6cc2a1ca-3877-4232-bf40-3b8d5e29ffe0" ] }, { "id" : "ITEM-2", "itemData" : { "DOI" : "doi: 10.1086/286204.", "author" : [ { "dropping-particle" : "", "family" : "Siemann", "given" : "E.", "non-dropping-particle" : "", "parse-names" : false, "suffix" : "" }, { "dropping-particle" : "", "family" : "Tilman", "given" : "D.", "non-dropping-particle" : "", "parse-names" : false, "suffix" : "" }, { "dropping-particle" : "", "family" : "Haarstad", "given" : "J.", "non-dropping-particle" : "", "parse-names" : false, "suffix" : "" }, { "dropping-particle" : "", "family" : "Ritchie", "given" : "M.", "non-dropping-particle" : "", "parse-names" : false, "suffix" : "" } ], "container-title" : "The American Naturalist", "id" : "ITEM-2", "issue" : "2", "issued" : { "date-parts" : [ [ "1998" ] ] }, "page" : "738-750", "title" : "Experimental tests of the dependence of arthropod diversity on plant diversity", "type" : "article-journal", "volume" : "152" }, "uris" : [ "http://www.mendeley.com/documents/?uuid=29492ffe-6966-45fb-825c-85d25658a0f3" ] }, { "id" : "ITEM-3", "itemData" : { "author" : [ { "dropping-particle" : "", "family" : "Knops", "given" : "Johannes M.H.", "non-dropping-particle" : "", "parse-names" : false, "suffix" : "" }, { "dropping-particle" : "", "family" : "Tilman", "given" : "David", "non-dropping-particle" : "", "parse-names" : false, "suffix" : "" }, { "dropping-particle" : "", "family" : "Haddad", "given" : "Nick M.", "non-dropping-particle" : "", "parse-names" : false, "suffix" : "" }, { "dropping-particle" : "", "family" : "Naeem", "given" : "Shahid", "non-dropping-particle" : "", "parse-names" : false, "suffix" : "" }, { "dropping-particle" : "", "family" : "Mitchell", "given" : "Charles E.", "non-dropping-particle" : "", "parse-names" : false, "suffix" : "" }, { "dropping-particle" : "", "family" : "Haarstad", "given" : "John", "non-dropping-particle" : "", "parse-names" : false, "suffix" : "" }, { "dropping-particle" : "", "family" : "Ritchie", "given" : "Mark E.", "non-dropping-particle" : "", "parse-names" : false, "suffix" : "" }, { "dropping-particle" : "", "family" : "Howe", "given" : "Katherine M.", "non-dropping-particle" : "", "parse-names" : false, "suffix" : "" }, { "dropping-particle" : "", "family" : "Reich", "given" : "Peter B.", "non-dropping-particle" : "", "parse-names" : false, "suffix" : "" }, { "dropping-particle" : "", "family" : "Siemann", "given" : "Evan", "non-dropping-particle" : "", "parse-names" : false, "suffix" : "" }, { "dropping-particle" : "", "family" : "Groth", "given" : "James", "non-dropping-particle" : "", "parse-names" : false, "suffix" : "" } ], "container-title" : "Ecology Letters", "id" : "ITEM-3", "issue" : "5", "issued" : { "date-parts" : [ [ "1999" ] ] }, "page" : "286-293", "title" : "Effects of plant species richness on invasion dynamics, disease outbreaks, insect abundances and diversity", "type" : "article-journal", "volume" : "2" }, "uris" : [ "http://www.mendeley.com/documents/?uuid=cc74af7e-db62-4224-9963-afae4700a0f8" ] }, { "id" : "ITEM-4", "itemData" : { "DOI" : "10.1038/nature09492", "author" : [ { "dropping-particle" : "", "family" : "Scherber", "given" : "C.", "non-dropping-particle" : "", "parse-names" : false, "suffix" : "" }, { "dropping-particle" : "", "family" : "Eisenhauer", "given" : "N.", "non-dropping-particle" : "", "parse-names" : false, "suffix" : "" }, { "dropping-particle" : "", "family" : "Weisser", "given" : "W.W.", "non-dropping-particle" : "", "parse-names" : false, "suffix" : "" }, { "dropping-particle" : "", "family" : "Schmid", "given" : "B.", "non-dropping-particle" : "", "parse-names" : false, "suffix" : "" }, { "dropping-particle" : "", "family" : "Voigt", "given" : "W.", "non-dropping-particle" : "", "parse-names" : false, "suffix" : "" }, { "dropping-particle" : "", "family" : "Fischer", "given" : "M.", "non-dropping-particle" : "", "parse-names" : false, "suffix" : "" }, { "dropping-particle" : "", "family" : "Schulze", "given" : "E.-D.", "non-dropping-particle" : "", "parse-names" : false, "suffix" : "" }, { "dropping-particle" : "", "family" : "Roscher", "given" : "C.", "non-dropping-particle" : "", "parse-names" : false, "suffix" : "" }, { "dropping-particle" : "", "family" : "Weigelt", "given" : "A.", "non-dropping-particle" : "", "parse-names" : false, "suffix" : "" }, { "dropping-particle" : "", "family" : "Allan", "given" : "E.", "non-dropping-particle" : "", "parse-names" : false, "suffix" : "" }, { "dropping-particle" : "", "family" : "Bessler", "given" : "H.", "non-dropping-particle" : "", "parse-names" : false, "suffix" : "" }, { "dropping-particle" : "", "family" : "Bonkowski", "given" : "M.", "non-dropping-particle" : "", "parse-names" : false, "suffix" : "" }, { "dropping-particle" : "", "family" : "Buchmann", "given" : "N.", "non-dropping-particle" : "", "parse-names" : false, "suffix" : "" }, { "dropping-particle" : "", "family" : "Buscot", "given" : "F.", "non-dropping-particle" : "", "parse-names" : false, "suffix" : "" }, { "dropping-particle" : "", "family" : "Clement", "given" : "L.W.", "non-dropping-particle" : "", "parse-names" : false, "suffix" : "" }, { "dropping-particle" : "", "family" : "Ebeling", "given" : "A.", "non-dropping-particle" : "", "parse-names" : false, "suffix" : "" }, { "dropping-particle" : "", "family" : "Engels", "given" : "C.", "non-dropping-particle" : "", "parse-names" : false, "suffix" : "" }, { "dropping-particle" : "", "family" : "Halle", "given" : "S.", "non-dropping-particle" : "", "parse-names" : false, "suffix" : "" }, { "dropping-particle" : "", "family" : "Kertscher", "given" : "I.", "non-dropping-particle" : "", "parse-names" : false, "suffix" : "" }, { "dropping-particle" : "", "family" : "Klein", "given" : "A.-M.", "non-dropping-particle" : "", "parse-names" : false, "suffix" : "" }, { "dropping-particle" : "", "family" : "Koller", "given" : "R.", "non-dropping-particle" : "", "parse-names" : false, "suffix" : "" }, { "dropping-particle" : "", "family" : "K\u00f6nig", "given" : "S.", "non-dropping-particle" : "", "parse-names" : false, "suffix" : "" }, { "dropping-particle" : "", "family" : "Kowalski", "given" : "E.", "non-dropping-particle" : "", "parse-names" : false, "suffix" : "" }, { "dropping-particle" : "", "family" : "Kummer", "given" : "V.", "non-dropping-particle" : "", "parse-names" : false, "suffix" : "" }, { "dropping-particle" : "", "family" : "Kuu", "given" : "A.", "non-dropping-particle" : "", "parse-names" : false, "suffix" : "" }, { "dropping-particle" : "", "family" : "Lange", "given" : "M.", "non-dropping-particle" : "", "parse-names" : false, "suffix" : "" }, { "dropping-particle" : "", "family" : "Lauterbach", "given" : "D.", "non-dropping-particle" : "", "parse-names" : false, "suffix" : "" }, { "dropping-particle" : "", "family" : "Middelhoff", "given" : "C.", "non-dropping-particle" : "", "parse-names" : false, "suffix" : "" }, { "dropping-particle" : "", "family" : "Migunova", "given" : "V.D.", "non-dropping-particle" : "", "parse-names" : false, "suffix" : "" }, { "dropping-particle" : "", "family" : "Milcu", "given" : "A.", "non-dropping-particle" : "", "parse-names" : false, "suffix" : "" }, { "dropping-particle" : "", "family" : "Muller", "given" : "R.", "non-dropping-particle" : "", "parse-names" : false, "suffix" : "" }, { "dropping-particle" : "", "family" : "Partsch", "given" : "S.", "non-dropping-particle" : "", "parse-names" : false, "suffix" : "" }, { "dropping-particle" : "", "family" : "Petermann", "given" : "J.S.", "non-dropping-particle" : "", "parse-names" : false, "suffix" : "" }, { "dropping-particle" : "", "family" : "Renker", "given" : "C.", "non-dropping-particle" : "", "parse-names" : false, "suffix" : "" }, { "dropping-particle" : "", "family" : "Rottstock", "given" : "T.", "non-dropping-particle" : "", "parse-names" : false, "suffix" : "" }, { "dropping-particle" : "", "family" : "Sabais", "given" : "A.", "non-dropping-particle" : "", "parse-names" : false, "suffix" : "" }, { "dropping-particle" : "", "family" : "Scheu", "given" : "S.", "non-dropping-particle" : "", "parse-names" : false, "suffix" : "" }, { "dropping-particle" : "", "family" : "Schumacher", "given" : "J</w:instrText>
      </w:r>
      <w:r w:rsidRPr="008608AA">
        <w:rPr>
          <w:lang w:val="de-DE"/>
        </w:rPr>
        <w:instrText>.", "non-dropping-particle" : "", "parse-names" : false, "suffix" : "" }, { "dropping-particle" : "", "family" : "Temperton", "given" : "V.M.", "non-dropping-particle" : "", "parse-names" : false, "suffix" : "" }, { "dropping-particle" : "", "family" : "Tscharntke", "given" : "T.", "non-dropping-particle" : "", "parse-names" : false, "suffix" : "" } ], "container-title" : "Nature", "id" : "ITEM-4", "issued" : { "date-parts" : [ [ "2010" ] ] }, "page" : "553-556", "title" : "Bottom-up effects of plant diversity on multitrophic interactions in a biodiversity experiment", "type" : "article-journal", "volume" : "468" }, "uris" : [ "http://www.mendeley.com/documents/?uuid=124ab155-2ef4-4c7d-a3ae-6454269ccf92" ] } ], "mendeley" : { "formattedCitation" : "(Knops et al., 1999; Lind, Vincent, Weiblen, Cavender-Bares, &amp; Borer, 2015; Scherber et al., 2010; Siemann, Tilman, Haarstad, &amp; Ritchie, 1998)", "manualFormatting" : "(Knops et al., 1999; Lind et al., 2015; Scherber et al., 2010; Siemann et al., 1998)", "plainTextFormattedCitation" : "(Knops et al., 1999; Lind, Vincent, Weiblen, Cavender-Bares, &amp; Borer, 2015; Scherber et al., 2010; Siemann, Tilman, Haarstad, &amp; Ritchie, 1998)", "previouslyFormattedCitation" : "(Knops et al., 1999; Lind, Vincent, Weiblen, Cavender-Bares, &amp; Borer, 2015; Scherber et al., 2010; Siemann, Tilman, Haarstad, &amp; Ritchie, 1998)" }, "properties" : { "noteIndex" : 0 }, "schema" : "https://github.com/citation-style-language/schema/raw/master/csl-citation.json" }</w:instrText>
      </w:r>
      <w:r w:rsidRPr="008608AA">
        <w:fldChar w:fldCharType="separate"/>
      </w:r>
      <w:r w:rsidRPr="008608AA">
        <w:rPr>
          <w:noProof/>
          <w:lang w:val="de-DE"/>
        </w:rPr>
        <w:t>(Knops et al., 1999; Lind et al., 2015; Scherber et al., 2010; Siemann et al., 1998)</w:t>
      </w:r>
      <w:r w:rsidRPr="008608AA">
        <w:fldChar w:fldCharType="end"/>
      </w:r>
      <w:r w:rsidRPr="008608AA">
        <w:rPr>
          <w:lang w:val="de-DE"/>
        </w:rPr>
        <w:t xml:space="preserve">. </w:t>
      </w:r>
      <w:r w:rsidRPr="008608AA">
        <w:t>Bees, important for pollination services, have declined; the rusty-patched Bumble Bee (</w:t>
      </w:r>
      <w:r w:rsidRPr="008608AA">
        <w:rPr>
          <w:i/>
        </w:rPr>
        <w:t>Bombus affinis</w:t>
      </w:r>
      <w:r w:rsidRPr="008608AA">
        <w:t>) which was declared an endangered species under the USA Endangered Species Act in 2017, once extended from the Dakotas and Nebraska, east across the Midwest and south to the Carolinas. Its population declined by 87% between 2011 and 2016. Other species that were once common in the Great Plains such as the western bumble bee (</w:t>
      </w:r>
      <w:r w:rsidRPr="008608AA">
        <w:rPr>
          <w:i/>
        </w:rPr>
        <w:t>Bombus occidentalis</w:t>
      </w:r>
      <w:r w:rsidRPr="008608AA">
        <w:t>) and the American bumble bee (</w:t>
      </w:r>
      <w:r w:rsidRPr="008608AA">
        <w:rPr>
          <w:i/>
        </w:rPr>
        <w:t>Bombus pensylvanicus</w:t>
      </w:r>
      <w:r w:rsidRPr="008608AA">
        <w:t xml:space="preserve">) are also declining severely </w:t>
      </w:r>
      <w:r w:rsidRPr="008608AA">
        <w:rPr>
          <w:noProof/>
        </w:rPr>
        <w:fldChar w:fldCharType="begin" w:fldLock="1"/>
      </w:r>
      <w:r w:rsidRPr="008608AA">
        <w:rPr>
          <w:noProof/>
        </w:rPr>
        <w:instrText>ADDIN CSL_CITATION { "citationItems" : [ { "id" : "ITEM-1", "itemData" : { "author" : [ { "dropping-particle" : "", "family" : "World Wildlife Fund (WWF)", "given" : "", "non-dropping-particle" : "", "parse-names" : false, "suffix" : "" } ], "id" : "ITEM-1", "issued" : { "date-parts" : [ [ "2016" ] ] }, "title" : "Plowprint Report", "type" : "report" }, "uris" : [ "http://www.mendeley.com/documents/?uuid=988dccd1-e387-4a25-af41-c9752412cc55" ] }, { "id" : "ITEM-2", "itemData" : { "author" : [ { "dropping-particle" : "", "family" : "Northern Great Plains Program", "given" : "WWF", "non-dropping-particle" : "", "parse-names" : false, "suffix" : "" } ], "id" : "ITEM-2", "issued" : { "date-parts" : [ [ "2016" ] ] }, "title" : "Grasslands", "type" : "report" }, "uris" : [ "http://www.mendeley.com/documents/?uuid=45106605-a34c-4ce4-862a-72018243d271" ] } ], "mendeley" : { "formattedCitation" : "(Northern Great Plains Program, 2016; World Wildlife Fund (WWF), 2016)", "plainTextFormattedCitation" : "(Northern Great Plains Program, 2016; World Wildlife Fund (WWF), 2016)", "previouslyFormattedCitation" : "(Northern Great Plains Program, 2016; World Wildlife Fund (WWF), 2016)" }, "properties" : { "noteIndex" : 0 }, "schema" : "https://github.com/citation-style-language/schema/raw/master/csl-citation.json" }</w:instrText>
      </w:r>
      <w:r w:rsidRPr="008608AA">
        <w:rPr>
          <w:noProof/>
        </w:rPr>
        <w:fldChar w:fldCharType="separate"/>
      </w:r>
      <w:r w:rsidRPr="008608AA">
        <w:rPr>
          <w:noProof/>
        </w:rPr>
        <w:t>(Northern Great Plains Prog</w:t>
      </w:r>
      <w:r w:rsidR="00F67EC2" w:rsidRPr="008608AA">
        <w:rPr>
          <w:noProof/>
        </w:rPr>
        <w:t>ram, 2016;WWF</w:t>
      </w:r>
      <w:r w:rsidRPr="008608AA">
        <w:rPr>
          <w:noProof/>
        </w:rPr>
        <w:t>, 2016)</w:t>
      </w:r>
      <w:r w:rsidRPr="008608AA">
        <w:rPr>
          <w:noProof/>
        </w:rPr>
        <w:fldChar w:fldCharType="end"/>
      </w:r>
      <w:r w:rsidRPr="008608AA">
        <w:rPr>
          <w:noProof/>
        </w:rPr>
        <w:t>.</w:t>
      </w:r>
    </w:p>
    <w:p w14:paraId="31461ED0" w14:textId="77777777" w:rsidR="00843724" w:rsidRPr="008608AA" w:rsidRDefault="00843724" w:rsidP="00581F86">
      <w:pPr>
        <w:widowControl w:val="0"/>
        <w:autoSpaceDE w:val="0"/>
        <w:autoSpaceDN w:val="0"/>
        <w:adjustRightInd w:val="0"/>
        <w:spacing w:after="120"/>
        <w:rPr>
          <w:noProof/>
        </w:rPr>
      </w:pPr>
    </w:p>
    <w:p w14:paraId="1F21B56E" w14:textId="77777777" w:rsidR="004255E7" w:rsidRPr="008608AA" w:rsidRDefault="004255E7" w:rsidP="00581F86">
      <w:pPr>
        <w:pStyle w:val="Heading5"/>
        <w:numPr>
          <w:ilvl w:val="0"/>
          <w:numId w:val="0"/>
        </w:numPr>
        <w:ind w:left="1008" w:hanging="1008"/>
        <w:rPr>
          <w:sz w:val="24"/>
          <w:szCs w:val="24"/>
        </w:rPr>
      </w:pPr>
      <w:r w:rsidRPr="008608AA">
        <w:rPr>
          <w:sz w:val="24"/>
          <w:szCs w:val="24"/>
        </w:rPr>
        <w:t xml:space="preserve">South American subregion </w:t>
      </w:r>
    </w:p>
    <w:p w14:paraId="6B3A0005" w14:textId="5A52F94F" w:rsidR="004255E7" w:rsidRPr="008608AA" w:rsidRDefault="00176FC5" w:rsidP="00581F86">
      <w:pPr>
        <w:widowControl w:val="0"/>
        <w:autoSpaceDE w:val="0"/>
        <w:autoSpaceDN w:val="0"/>
        <w:adjustRightInd w:val="0"/>
        <w:spacing w:after="120"/>
        <w:rPr>
          <w:rFonts w:eastAsia="Calibri"/>
        </w:rPr>
      </w:pPr>
      <w:r w:rsidRPr="008608AA">
        <w:rPr>
          <w:iCs/>
        </w:rPr>
        <w:t xml:space="preserve">Status. </w:t>
      </w:r>
      <w:r w:rsidR="004255E7" w:rsidRPr="008608AA">
        <w:rPr>
          <w:iCs/>
        </w:rPr>
        <w:t>This biome, as defined in the assessment, includes the</w:t>
      </w:r>
      <w:r w:rsidR="003E0D07" w:rsidRPr="008608AA">
        <w:rPr>
          <w:iCs/>
        </w:rPr>
        <w:t xml:space="preserve"> Rí</w:t>
      </w:r>
      <w:r w:rsidR="004255E7" w:rsidRPr="008608AA">
        <w:rPr>
          <w:iCs/>
        </w:rPr>
        <w:t>o</w:t>
      </w:r>
      <w:r w:rsidR="00F0314B" w:rsidRPr="008608AA">
        <w:rPr>
          <w:iCs/>
        </w:rPr>
        <w:t xml:space="preserve"> de l</w:t>
      </w:r>
      <w:r w:rsidR="004255E7" w:rsidRPr="008608AA">
        <w:rPr>
          <w:iCs/>
        </w:rPr>
        <w:t>a Plata grasslands, Patagonian steppe and semi-desertic Monte vegetation, and thus includes many different vegetation types. Here, in our detailed</w:t>
      </w:r>
      <w:r w:rsidR="003E0D07" w:rsidRPr="008608AA">
        <w:rPr>
          <w:iCs/>
        </w:rPr>
        <w:t xml:space="preserve"> analysis, we focus on the Rí</w:t>
      </w:r>
      <w:r w:rsidR="00F0314B" w:rsidRPr="008608AA">
        <w:rPr>
          <w:iCs/>
        </w:rPr>
        <w:t>o de l</w:t>
      </w:r>
      <w:r w:rsidR="004255E7" w:rsidRPr="008608AA">
        <w:rPr>
          <w:iCs/>
        </w:rPr>
        <w:t xml:space="preserve">a Plata grasslands, found principally in Argentina and Uruguay and extending into southern Brazil. These grasslands sustained grazing as of the 1600s. Fully 70% of the grasslands, formerly occupying an estimated ¾ of million square km, have been </w:t>
      </w:r>
      <w:r w:rsidR="004255E7" w:rsidRPr="008608AA">
        <w:t xml:space="preserve">replaced </w:t>
      </w:r>
      <w:r w:rsidR="004255E7" w:rsidRPr="008608AA">
        <w:fldChar w:fldCharType="begin" w:fldLock="1"/>
      </w:r>
      <w:r w:rsidR="004255E7" w:rsidRPr="008608AA">
        <w:instrText>ADDIN CSL_CITATION { "citationItems" : [ { "id" : "ITEM-1", "itemData" : { "DOI" : "10.1016/j.gloplacha.2015.02.009", "ISBN" : "09218181", "ISSN" : "09218181", "PMID" : "3666", "abstract" : "Land use and land cover change (LUCC) affects regional climate through modifications in the water balance and energy budget. These impacts are frequently expressed by: changes in the amount and frequency of precipitation and alteration of surface temperatures. In South America, most of the studies of the effects of LUCC on the local and regional climate have focused on the Amazon region (54 studies), whereas LUCC within non-Amazonian regions have been largely undermined regardless their potential importance in regulating the regional climate (19 studies). We estimated that 3.6millionkm2 of the original natural vegetation cover in non-Amazonian South America were converted into other types of land use, which is about 4 times greater than the historical Amazon deforestation. Moreover, there is evidence showing that LUCC within such fairly neglected ecosystems cause significant reductions in precipitation and increases in surface temperatures, with occasional impacts affecting neighboring or remote areas. We explore the implications of these findings in the context of water security, climatic extremes and future research priorities.", "author" : [ { "dropping-particle" : "", "family" : "Salazar", "given" : "Alvaro", "non-dropping-particle" : "", "parse-names" : false, "suffix" : "" }, { "dropping-particle" : "", "family" : "Baldi", "given" : "German", "non-dropping-particle" : "", "parse-names" : false, "suffix" : "" }, { "dropping-particle" : "", "family" : "Hirota", "given" : "Marina", "non-dropping-particle" : "", "parse-names" : false, "suffix" : "" }, { "dropping-particle" : "", "family" : "Syktus", "given" : "Jozef", "non-dropping-particle" : "", "parse-names" : false, "suffix" : "" }, { "dropping-particle" : "", "family" : "McAlpine", "given" : "Clive", "non-dropping-particle" : "", "parse-names" : false, "suffix" : "" } ], "container-title" : "Global and Planetary Change", "id" : "ITEM-1", "issued" : { "date-parts" : [ [ "2015" ] ] }, "page" : "103-119", "title" : "Land use and land cover change impacts on the regional climate of non-Amazonian South America: A review", "type" : "article-journal", "volume" : "128" }, "uris" : [ "http://www.mendeley.com/documents/?uuid=64b216cc-a67a-4618-aa4c-51e46195a20a" ] } ], "mendeley" : { "formattedCitation" : "(Salazar et al., 2015)", "manualFormatting" : "(Salazar et al., 2015)", "plainTextFormattedCitation" : "(Salazar et al., 2015)", "previouslyFormattedCitation" : "(Salazar et al., 2015)" }, "properties" : { "noteIndex" : 0 }, "schema" : "https://github.com/citation-style-language/schema/raw/master/csl-citation.json" }</w:instrText>
      </w:r>
      <w:r w:rsidR="004255E7" w:rsidRPr="008608AA">
        <w:fldChar w:fldCharType="separate"/>
      </w:r>
      <w:r w:rsidR="004255E7" w:rsidRPr="008608AA">
        <w:rPr>
          <w:noProof/>
        </w:rPr>
        <w:t>(Salazar et al., 2015)</w:t>
      </w:r>
      <w:r w:rsidR="004255E7" w:rsidRPr="008608AA">
        <w:fldChar w:fldCharType="end"/>
      </w:r>
      <w:r w:rsidR="004255E7" w:rsidRPr="008608AA">
        <w:t xml:space="preserve"> by crops, pastures or afforestations. In Argentina, about one in every three plant species growing in natural or semi-natural pampas is non-native. Although there are still very few natural parks protecting </w:t>
      </w:r>
      <w:r w:rsidR="00B469A6" w:rsidRPr="008608AA">
        <w:t>the</w:t>
      </w:r>
      <w:r w:rsidR="004255E7" w:rsidRPr="008608AA">
        <w:t xml:space="preserve"> </w:t>
      </w:r>
      <w:r w:rsidR="003E0D07" w:rsidRPr="008608AA">
        <w:rPr>
          <w:iCs/>
        </w:rPr>
        <w:t>Rí</w:t>
      </w:r>
      <w:r w:rsidR="004255E7" w:rsidRPr="008608AA">
        <w:rPr>
          <w:iCs/>
        </w:rPr>
        <w:t xml:space="preserve">o </w:t>
      </w:r>
      <w:r w:rsidR="00F0314B" w:rsidRPr="008608AA">
        <w:rPr>
          <w:iCs/>
        </w:rPr>
        <w:t>de l</w:t>
      </w:r>
      <w:r w:rsidR="004255E7" w:rsidRPr="008608AA">
        <w:rPr>
          <w:iCs/>
        </w:rPr>
        <w:t>a Plata grasslands</w:t>
      </w:r>
      <w:r w:rsidR="004255E7" w:rsidRPr="008608AA">
        <w:t>, some recent efforts on grassland conservation have been notorious (</w:t>
      </w:r>
      <w:r w:rsidR="00847F60" w:rsidRPr="008608AA">
        <w:t>e.g.</w:t>
      </w:r>
      <w:r w:rsidR="004255E7" w:rsidRPr="008608AA">
        <w:t xml:space="preserve"> Sistema Nacional de Áreas Protegidas-Uruguay, Alianza del Pastizal).</w:t>
      </w:r>
    </w:p>
    <w:p w14:paraId="2B1FAF76" w14:textId="4393D41E" w:rsidR="004255E7" w:rsidRPr="008608AA" w:rsidRDefault="00176FC5" w:rsidP="00581F86">
      <w:pPr>
        <w:widowControl w:val="0"/>
        <w:autoSpaceDE w:val="0"/>
        <w:autoSpaceDN w:val="0"/>
        <w:adjustRightInd w:val="0"/>
        <w:spacing w:after="120"/>
      </w:pPr>
      <w:r w:rsidRPr="008608AA">
        <w:rPr>
          <w:iCs/>
        </w:rPr>
        <w:t xml:space="preserve">Recent trends. </w:t>
      </w:r>
      <w:r w:rsidR="004255E7" w:rsidRPr="008608AA">
        <w:rPr>
          <w:iCs/>
        </w:rPr>
        <w:t>Profound changes, affecting key ecosystem functions and ultimately human well-being, have occurred in South American temperate grasslands. L</w:t>
      </w:r>
      <w:r w:rsidR="004255E7" w:rsidRPr="008608AA">
        <w:t xml:space="preserve">ivestock grazing for over 400 years has reduced soil organic carbon stocks by an estimated 22% (a reduction of 1.5 picograms of carbon for the whole region) and net primary production by 24% </w:t>
      </w:r>
      <w:r w:rsidR="004255E7" w:rsidRPr="008608AA">
        <w:fldChar w:fldCharType="begin" w:fldLock="1"/>
      </w:r>
      <w:r w:rsidR="004255E7" w:rsidRPr="008608AA">
        <w:instrText>ADDIN CSL_CITATION { "citationItems" : [ { "id" : "ITEM-1", "itemData" : { "DOI" : "10.1111/j.1365-2486.2006.01173.x", "ISBN" : "1354-1013", "ISSN" : "13541013", "PMID" : "21194316", "abstract" : "Empirical evidence based on grazing exclusion at the scale of years to decades shows that grazing modifies carbon (C) and nitrogen (N) cycling. However, long-term effects at the scale of centuries are less known, yet highly relevant to understand local and global impacts of grazing. Additionally, most studies have focused on the isolated response of C and N, with little understanding of their interactions. Using CENTURY, a process-based biogeochemical model, we analyzed the impacts of 370 years of livestock grazing (i.e. long term, from early European colonization to present) in 11 sites across the Rio de la Plata grasslands and compared them with those resulting from two decades of grazing (i.e. mid-term, typical exclosure experiment). In the long term, livestock grazing primarily altered the N cycle through faster N returns to the soil via urine and dung, which were offset by uninterrupted N outputs by volatilization and leaching. As a result, soil organic N decreased by -880 kg ha(-1) or -19%. Higher N outputs (mainly as NH3) opened the N cycle, potentially decreasing N2O and NOx emissions and increasing N depositions over the region. These greater outputs of N constrained C accumulation in soils, reducing soil organic C by -21 200 kg ha(-1) (-22%, a reduction of -1.5 Pg of C for the whole region) and net primary production by -2192 kg ha(-1) yr(-1) (-24%). Mid-term simulations showed that the effects of livestock introduction in a decadal time scale were substantially different both in magnitude and direction from long-term responses. Long-term results were not substantially affected when atmospheric CO2 content, species composition and fire regime were changed within plausible ranges, but highlighted fire-grazing interactions as a major constraint of long-term C and N dynamics in these grasslands.", "author" : [ { "dropping-particle" : "", "family" : "Pi\u00f1eiro", "given" : "Gervasio", "non-dropping-particle" : "", "parse-names" : false, "suffix" : "" }, { "dropping-particle" : "", "family" : "Paruelo", "given" : "Jos\u00e9 Maria", "non-dropping-particle" : "", "parse-names" : false, "suffix" : "" }, { "dropping-particle" : "", "family" : "Oesterheld", "given" : "Martin", "non-dropping-particle" : "", "parse-names" : false, "suffix" : "" } ], "container-title" : "Global Change Biology", "id" : "ITEM-1", "issue" : "7", "issued" : { "date-parts" : [ [ "2006" ] ] }, "page" : "1267-1284", "title" : "Potential long-term impacts of livestock introduction on carbon and nitrogen cycling in grasslands of southern South America", "type" : "article-journal", "volume" : "12" }, "uris" : [ "http://www.mendeley.com/documents/?uuid=abb0d8cc-4533-394b-86a9-7dcf50776959" ] } ], "mendeley" : { "formattedCitation" : "(Pi\u00f1eiro, Paruelo, &amp; Oesterheld, 2006)", "manualFormatting" : "(Pi\u00f1eiro et al., 2006)", "plainTextFormattedCitation" : "(Pi\u00f1eiro, Paruelo, &amp; Oesterheld, 2006)", "previouslyFormattedCitation" : "(Pi\u00f1eiro, Paruelo, &amp; Oesterheld, 2006)" }, "properties" : { "noteIndex" : 0 }, "schema" : "https://github.com/citation-style-language/schema/raw/master/csl-citation.json" }</w:instrText>
      </w:r>
      <w:r w:rsidR="004255E7" w:rsidRPr="008608AA">
        <w:fldChar w:fldCharType="separate"/>
      </w:r>
      <w:r w:rsidR="004255E7" w:rsidRPr="008608AA">
        <w:rPr>
          <w:noProof/>
        </w:rPr>
        <w:t>(Piñeiro et al., 2006)</w:t>
      </w:r>
      <w:r w:rsidR="004255E7" w:rsidRPr="008608AA">
        <w:fldChar w:fldCharType="end"/>
      </w:r>
      <w:r w:rsidR="004255E7" w:rsidRPr="008608AA">
        <w:t xml:space="preserve">. Cropping reduced soil organic carbon stocks by 20 to 30% in a few decades </w:t>
      </w:r>
      <w:r w:rsidR="004255E7" w:rsidRPr="008608AA">
        <w:fldChar w:fldCharType="begin" w:fldLock="1"/>
      </w:r>
      <w:r w:rsidR="004255E7" w:rsidRPr="008608AA">
        <w:instrText>ADDIN CSL_CITATION { "citationItems" : [ { "id" : "ITEM-1", "itemData" : { "DOI" : "10.1079/SUM200165", "ISBN" : "0266-0032", "ISSN" : "0266-0032", "abstract" : "The Century model was used for estimating soil carbon levels under grassland at the regional scale in the Pampean Region of Argentina. Predicted values were compared with observed soil carbon contents obtained from soil surveys and the differences considered to be the results of cropping on soil organic matter. The Pampean Region was divided into five major sub-regions and carbon in the top 20 cm of each estimated by Century using aggregated soil and climatic data. In four of the sub-regions small differences between predicted and observed carbon contents were obtained which suggested little land use effect on soils. In the Rolling Pampa, a northern portion of the Pampean Region, observed carbon content was about half of Century prediction. In this sub-region, the main agricultural area of the country, cropping intensity, rainfall and temperature are higher than in the rest of the Pampas. A degradation index constructed by a multiplicative approach, taking into account percentage of surface cropped, rainfall and temperature was 2-5 times higher in the Rolling Pampa than in the other pampean sub-region. The difference between predicted C and observed C in the Rolling Pampa was attributed to carbon losses by cropping in a warm and wet climate.", "author" : [ { "dropping-particle" : "", "family" : "Alvarez", "given" : "R.", "non-dropping-particle" : "", "parse-names" : false, "suffix" : "" } ], "container-title" : "Soil Use and Management", "id" : "ITEM-1", "issue" : "2", "issued" : { "date-parts" : [ [ "2001" ] ] }, "page" : "62-66", "title" : "Estimation of carbon losses by cultivation from soils of the Argentine Pampa using the Century Model", "type" : "article-journal", "volume" : "17" }, "uris" : [ "http://www.mendeley.com/documents/?uuid=eb9a15eb-848e-3e1a-9358-7e605b135a1f" ] }, { "id" : "ITEM-2", "itemData" : { "DOI" : "10.1081/CSS-200059082", "ISBN" : "0010-3624", "ISSN" : "0010-3624", "abstract" : "Abstract: Using published data from a soil survey, a carbon (C) inventory of Pampean soils was performed. As a mean, carbon storage in the 0-20 cm soil layer is 40tC/ha for the region, decreasing to about half in the 20-50 cm depth. In the 0-50 cm stratum stored, carbon is 3.3 10(9) t corresponding to a surveyed area of 57 Mha. By multiple-regression analysis, an explanatory model of carbon content at different depths could be adjusted that accounts for 92% of variability of carbon levels in nondegraded soils. Climate, texture, and depth were the independent variables included in the model. When comparing carbon stored in the 0-20 cm layer of degraded soils belonging to the Rolling Pampa, an area subjected to cultivation since the nineteenth century, predicted carbon by the model averaged 60tC/ha, and observed carbon content rounded 40tC/ha. So this area lost around one-third of the stored carbon in the upper soil layer by cropping. A similar estimation of carbon losses may be performed by other methodologies. Regression appeared to be a suitable toot for predicting soil degradation and carbon sequestration potential.", "author" : [ { "dropping-particle" : "", "family" : "Alvarez", "given" : "R", "non-dropping-particle" : "", "parse-names" : false, "suffix" : "" } ], "container-title" : "Communications in Soil Science and Plant Analysis", "id" : "ITEM-2", "issue" : "11-12", "issued" : { "date-parts" : [ [ "2005" ] ] }, "page" : "1583-1589", "title" : "Carbon stocks in pampean soils: a simple regression model for estimation of carbon storage under nondegraded scenarios", "type" : "article-journal", "volume" : "36" }, "uris" : [ "http://www.mendeley.com/documents/?uuid=c2f21c8d-36e6-3a86-a21f-33e30c561d29" ] } ], "mendeley" : { "formattedCitation" : "(Alvarez, 2001, 2005)", "manualFormatting" : "(Alvarez, 2001, 2005)", "plainTextFormattedCitation" : "(Alvarez, 2001, 2005)", "previouslyFormattedCitation" : "(Alvarez, 2001, 2005)" }, "properties" : { "noteIndex" : 0 }, "schema" : "https://github.com/citation-style-language/schema/raw/master/csl-citation.json" }</w:instrText>
      </w:r>
      <w:r w:rsidR="004255E7" w:rsidRPr="008608AA">
        <w:fldChar w:fldCharType="separate"/>
      </w:r>
      <w:r w:rsidR="004255E7" w:rsidRPr="008608AA">
        <w:rPr>
          <w:noProof/>
        </w:rPr>
        <w:t>(Alvarez, 2001, 2005)</w:t>
      </w:r>
      <w:r w:rsidR="004255E7" w:rsidRPr="008608AA">
        <w:fldChar w:fldCharType="end"/>
      </w:r>
      <w:r w:rsidR="004255E7" w:rsidRPr="008608AA">
        <w:t xml:space="preserve">. Soil nutrients have been also depleted in croplands (near 30% of soil nitrogen and 80% of soil </w:t>
      </w:r>
      <w:r w:rsidR="00B469A6" w:rsidRPr="008608AA">
        <w:t>phosphorus</w:t>
      </w:r>
      <w:r w:rsidR="004255E7" w:rsidRPr="008608AA">
        <w:t xml:space="preserve">) and rangelands (19% of soil nitrogen. Nutrient losses have triggered large increases in fertilizer use with beneficial effects for food production, but detrimental effects on air and water pollution </w:t>
      </w:r>
      <w:r w:rsidR="004255E7" w:rsidRPr="008608AA">
        <w:fldChar w:fldCharType="begin" w:fldLock="1"/>
      </w:r>
      <w:r w:rsidR="004255E7" w:rsidRPr="008608AA">
        <w:instrText>ADDIN CSL_CITATION { "citationItems" : [ { "id" : "ITEM-1", "itemData" : { "DOI" : "10.1016/j.agee.2009.08.001", "ISBN" : "0167-8809", "ISSN" : "01678809", "PMID" : "20093314912", "abstract" : "Understanding nitrogen (N) exchange between cultivated ecosystems and groundwater becomes crucial in the Rolling Pampas where high and variable water table levels are accompanied by increasing N-fertilization rates. Field monitoring of crops, soils and groundwater was combined with modeling to evaluate bidirectional flows (from terrestrial ecosystems to aquifers and vice versa) of water and N throughout a 10-year period (1998-2007) of highly variable precipitation (760-1506 mm year-1) and water table depths (6.5 to &lt;1 m). Piezometers at three topographic positions (upland: UP, mid slope: MS, and toe slope: TS; 1740 and 510 m apart) were used to monitor water table depth and phreatic (&lt;14 m), intermediate (35 m) and bottom of the aquifer (45 m) water chemistry. Crop production and soil water and nitrate content were monitored in two agricultural plots (wheat/soybean-corn rotation) where MS and TS piezometers were located. Nitrate concentration in phreatic groundwater was relatively stable and low at UP and MS (&lt;10 mg l-1) but increased sharply at TS (&gt;45 mg l-1) during periods of high water table levels (&lt;3 m deep). Groundwater chloride concentrations increased with depth in piezometers at UP and MS, but showed the opposite trend at TS during periods of high water table levels, suggesting evaporative discharge at this position. The lateral hydraulic gradient (moving energy) between MS and TS ranged from -0.1 to 0.4% and was negatively correlated with water table depth at TS (R2 = 0.23, p &lt; 0.001, n = 79) indicating that groundwater flow towards TS increased as the water table level rose. A capillary transport model (UPFLOW) suggested that at TS groundwater supplied an important amount of water and solutes to crops with corn obtaining approximately half of its water needs (228-413 mm) and one fourth of its N requirement (38-76 kg ha-1) from groundwater. Water and N supply from groundwater may have explained the higher biomass and grain yield in the lower positions of each plot with regard to the rest of the area. Our results suggest that the Rolling Pampas landscapes can switch from a typical recharge behavior to a recharge-discharge one following extended rainy periods that rise water table levels and hydraulic gradients, favoring water and solute transport towards the lower positions of the landscape and local concentration of solutes by groundwater consumption, simultaneously affecting groundwater quality. \u00a9 2009 Elsevier B.V. All rights reserved.", "author" : [ { "dropping-particle" : "", "family" : "Portela", "given" : "Silvina I.", "non-dropping-particle" : "", "parse-names" : false, "suffix" : "" }, { "dropping-particle" : "", "family" : "Andriulo", "given" : "Adri\u00e1n E.", "non-dropping-particle" : "", "parse-names" : false, "suffix" : "" }, { "dropping-particle" : "", "family" : "Jobb\u00e1gy", "given" : "Esteban G.", "non-dropping-particle" : "", "parse-names" : false, "suffix" : "" }, { "dropping-particle" : "", "family" : "Sasal", "given" : "Mar\u00eda C.", "non-dropping-particle" : "", "parse-names" : false, "suffix" : "" } ], "container-title" : "Agriculture, Ecosystems and Environment", "id" : "ITEM-1", "issue" : "3-4", "issued" : { "date-parts" : [ [ "2009" ] ] }, "page" : "277-286", "title" : "Water and nitrate exchange between cultivated ecosystems and groundwater in the Rolling Pampas", "type" : "article-journal", "volume" : "134" }, "uris" : [ "http://www.mendeley.com/documents/?uuid=eb2b0e23-b4a7-3210-a902-d3b655dfd5c4" ] }, { "id" : "ITEM-2", "itemData" : { "DOI" : "10.1007/s11104-006-9134-z", "ISBN" : "1110400691", "ISSN" : "0032079X", "PMID" : "20073000807", "abstract" : "Nitrogen (N) export from soils to streams and groundwater under the intensifying cropping schemes of the Pampas is modest compared to intensively cultivated basins of Europe and North America; however, a slow N enrichment of water resources has been suggested. We (1) analyzed the fate of fertilizer N and (2) evaluated the contribution of fertilizer and soil organic matter (SOM) to N leaching under the typical cropping conditions of the Pampas. Fertilizer N was applied as N-15-labeled ammonium sulfate to corn (in a corn/soybean rotation) sown under zero tillage in filled-in lysimeters containing two soils of different texture representative of the Pampean region (52 and 78 kg N ha(-1), added to the silt loam and sandy loam soil, respectively). Total fertilizer recovery at corn harvest averaged 84 and 64% for the silt loam and sandy loam lysimeters, respectively. Most fertilizer N was removed with plant biomass (39%) or remained immobilized in the soil (29 and 15%, for the silt loam and sandy loam soil, respectively) whereas its loss through drainage was negligible (&lt; 0.01%). We presume that the unaccounted fertilizer N losses were related to volatilization and denitrification. Throughout the corn growing season, subsequent fallow and soybean crop, which took place during an exceptionally dry period, the fertilizer N immobilized in the organic pool remained stable, and N leaching was scarce (7.5 kg N ha(-1)), similar at both soils, and had a low contribution of fertilizer N (0-3.5%), implying that &gt; 96% of the leached N was derived from SOM mineralization. The inherent high SOM of Pampean soils and the favorable climatic conditions are likely to propitiate year-round production of nitrate, favoring its participation in crop nutrition and leaching. The presence of N-15 in drainage water, however, suggests that fertilizer N leaching could become significant in situations with higher fertilization rates or more rainy seasons.", "author" : [ { "dropping-particle" : "", "family" : "Portela", "given" : "Silvina I.", "non-dropping-particle" : "", "parse-names" : false, "suffix" : "" }, { "dropping-particle" : "", "family" : "Andriulo", "given" : "Adri\u00e1n E.", "non-dropping-particle" : "", "parse-names" : false, "suffix" : "" }, { "dropping-particle" : "", "family" : "Sasal", "given" : "Mar\u00eda C.", "non-dropping-particle" : "", "parse-names" : false, "suffix" : "" }, { "dropping-particle" : "", "family" : "Mary", "given" : "Bruno", "non-dropping-particle" : "", "parse-names" : false, "suffix" : "" }, { "dropping-particle" : "", "family" : "Jobb\u00e1gy", "given" : "Esteban G.", "non-dropping-particle" : "", "parse-names" : false, "suffix" : "" } ], "container-title" : "Plant and Soil", "id" : "ITEM-2", "issue" : "1-2", "issued" : { "date-parts" : [ [ "2006" ] ] }, "page" : "265-277", "title" : "Fertilizer vs. organic matter contributions to nitrogen leaching in cropping systems of the Pampas: 15N application in field lysimeters", "type" : "article-journal", "volume" : "289" }, "uris" : [ "http://www.mendeley.com/documents/?uuid=1e9bc6fb-890f-31a8-abf1-56a43923dfd6" ] } ], "mendeley" : { "formattedCitation" : "(Portela, Andriulo, Jobb\u00e1gy, &amp; Sasal, 2009; Portela, Andriulo, Sasal, Mary, &amp; Jobb\u00e1gy, 2006)", "manualFormatting" : "(Portela et al., 2006, 2009)", "plainTextFormattedCitation" : "(Portela, Andriulo, Jobb\u00e1gy, &amp; Sasal, 2009; Portela, Andriulo, Sasal, Mary, &amp; Jobb\u00e1gy, 2006)", "previouslyFormattedCitation" : "(Portela, Andriulo, Jobb\u00e1gy, &amp; Sasal, 2009; Portela, Andriulo, Sasal, Mary, &amp; Jobb\u00e1gy, 2006)" }, "properties" : { "noteIndex" : 0 }, "schema" : "https://github.com/citation-style-language/schema/raw/master/csl-citation.json" }</w:instrText>
      </w:r>
      <w:r w:rsidR="004255E7" w:rsidRPr="008608AA">
        <w:fldChar w:fldCharType="separate"/>
      </w:r>
      <w:r w:rsidR="004255E7" w:rsidRPr="008608AA">
        <w:rPr>
          <w:noProof/>
        </w:rPr>
        <w:t>(Portela et al., 2006, 2009)</w:t>
      </w:r>
      <w:r w:rsidR="004255E7" w:rsidRPr="008608AA">
        <w:fldChar w:fldCharType="end"/>
      </w:r>
      <w:r w:rsidR="004255E7" w:rsidRPr="008608AA">
        <w:t xml:space="preserve">. Crop rotation with pasture in the past helped maintain elevated soil organic matter stocks and replenish nutrient losses </w:t>
      </w:r>
      <w:r w:rsidR="004255E7" w:rsidRPr="008608AA">
        <w:fldChar w:fldCharType="begin" w:fldLock="1"/>
      </w:r>
      <w:r w:rsidR="004255E7" w:rsidRPr="008608AA">
        <w:instrText>ADDIN CSL_CITATION { "citationItems" : [ { "id" : "ITEM-1", "itemData" : { "author" : [ { "dropping-particle" : "", "family" : "Mor\u00f3n", "given" : "Alejandro", "non-dropping-particle" : "", "parse-names" : false, "suffix" : "" }, { "dropping-particle" : "", "family" : "Sawchik", "given" : "Jorge", "non-dropping-particle" : "", "parse-names" : false, "suffix" : "" } ], "container-title" : "17th World Congress of Soil Science Symposium n\u00b0 32", "id" : "ITEM-1", "issued" : { "date-parts" : [ [ "2003" ] ] }, "page" : "1327", "publisher" : "Serie T\u00e9cnica 134. INIA La Estanzuela", "title" : "Soil quality indicators in a long-term crop-pasture rotation experiment in Uruguay", "type" : "paper-conference" }, "uris" : [ "http://www.mendeley.com/documents/?uuid=008629f6-a034-31af-9846-31c32289b6ea" ] } ], "mendeley" : { "formattedCitation" : "(Mor\u00f3n &amp; Sawchik, 2003)", "manualFormatting" : "(Mor\u00f3n &amp; Sawchik, 2003)", "plainTextFormattedCitation" : "(Mor\u00f3n &amp; Sawchik, 2003)", "previouslyFormattedCitation" : "(Mor\u00f3n &amp; Sawchik, 2003)" }, "properties" : { "noteIndex" : 0 }, "schema" : "https://github.com/citation-style-language/schema/raw/master/csl-citation.json" }</w:instrText>
      </w:r>
      <w:r w:rsidR="004255E7" w:rsidRPr="008608AA">
        <w:fldChar w:fldCharType="separate"/>
      </w:r>
      <w:r w:rsidR="004255E7" w:rsidRPr="008608AA">
        <w:rPr>
          <w:noProof/>
        </w:rPr>
        <w:t>(Morón &amp; Sawchik, 2003)</w:t>
      </w:r>
      <w:r w:rsidR="004255E7" w:rsidRPr="008608AA">
        <w:fldChar w:fldCharType="end"/>
      </w:r>
      <w:r w:rsidR="004255E7" w:rsidRPr="008608AA">
        <w:t xml:space="preserve">. However, crop rotation was abandoned over the last 15 years due to soybean expansion </w:t>
      </w:r>
      <w:r w:rsidR="004255E7" w:rsidRPr="008608AA">
        <w:fldChar w:fldCharType="begin" w:fldLock="1"/>
      </w:r>
      <w:r w:rsidR="004255E7" w:rsidRPr="008608AA">
        <w:instrText>ADDIN CSL_CITATION { "citationItems" : [ { "id" : "ITEM-1", "itemData" : { "DOI" : "10.1016/j.still.2003.12.002", "ISBN" : "0167-1987", "ISSN" : "01671987", "PMID" : "5", "abstract" : "Crop-pasture rotations (CPR) are unusual around the world but have been the predominant cropping system in Uruguay since the 1960s. Uruguay has a temperate sub-humid climate, 80% of its landscape (16Mha) is climax grasslands C 3 and C4 species. Beef, wool, and dairy are the main commodities. Crops occupy a portion of the remaining 20% land area, primarily on Argiudolls and Vertisols, rotated with seeded grass and legume pastures. Continuous cropping (CC) with conventional tillage (CT) has proven unsustainable due to decreased soil productivity. Seeded pasture periods increased soil productivity. CPR adoption created less variable inter-annual economic results, but soil degradation remained a major concern during the crop cycle using CT. Farmers and technicians became interested in no-till (NT) to reduce erosion and production cost. Currently, approximately 52% of crop producing farms and 25% of dairy farms have adopted NT. This paper synthesizes research results (mainly from long-term experiments) contrasting CC versus CPR with CT (1960-1990) and NT (from 1990). Soil erosion was reduced more than six times with NT in CC, and almost three times in CPR compared with CC using CT; but combining the use of CPR and NT resulted in the same low erosion rate as under natural pasture. The transition from CT to NT is not always easy. The time between herbicide application to pasture and planting of the first crop of the rotation crop cycle with NT is a critical transition factor to optimize N and water availability, and soil tilth. Chiseling or paraplowing can alleviate plow-pans inherited by NT from previous CT; but higher soil strength at the soil surface under NT contributes to better forage utilization under grazing. Soil organic carbon (SOC) content in CC decreased with CT, and was maintained with NT only if grain was harvested. In CC systems with harvested forage, SOC decreased even with NT. CPR with NT maintained or increased the original SOC content. The paper concludes with a discussion on the relative sustainability of CC versus CPR with NT. Both are sustainable from the soil quality and productivity standpoints. But compared with CC, CPR is a more economically and climatically buffered system, due to higher diversity. Also, CPR systems are more environmentally sustainable since fuel and agrochemicals usage is reduced approximately 50%. \u00a9 2003 Elsevier B.V. All rights reserved.", "author" : [ { "dropping-particle" : "", "family" : "Garc\u00eda-Pr\u00e9chac", "given" : "Fernando", "non-dropping-particle" : "", "parse-names" : false, "suffix" : "" }, { "dropping-particle" : "", "family" : "Ernst", "given" : "Oswaldo", "non-dropping-particle" : "", "parse-names" : false, "suffix" : "" }, { "dropping-particle" : "", "family" : "Siri-Prieto", "given" : "Guillermo", "non-dropping-particle" : "", "parse-names" : false, "suffix" : "" }, { "dropping-particle" : "", "family" : "Terra", "given" : "Jos\u00e9 A.", "non-dropping-particle" : "", "parse-names" : false, "suffix" : "" } ], "container-title" : "Soil and Tillage Research", "id" : "ITEM-1", "issue" : "1", "issued" : { "date-parts" : [ [ "2004" ] ] }, "page" : "1-13", "title" : "Integrating no-till into crop-pasture rotations in Uruguay", "type" : "article-journal", "volume" : "77" }, "uris" : [ "http://www.mendeley.com/documents/?uuid=3caaf927-f2f4-3576-bbb5-ddfed02663a4" ] } ], "mendeley" : { "formattedCitation" : "(Garc\u00eda-Pr\u00e9chac, Ernst, Siri-Prieto, &amp; Terra, 2004)", "manualFormatting" : "(Garc\u00eda-Pr\u00e9chac et al., 2004)", "plainTextFormattedCitation" : "(Garc\u00eda-Pr\u00e9chac, Ernst, Siri-Prieto, &amp; Terra, 2004)", "previouslyFormattedCitation" : "(Garc\u00eda-Pr\u00e9chac, Ernst, Siri-Prieto, &amp; Terra, 2004)" }, "properties" : { "noteIndex" : 0 }, "schema" : "https://github.com/citation-style-language/schema/raw/master/csl-citation.json" }</w:instrText>
      </w:r>
      <w:r w:rsidR="004255E7" w:rsidRPr="008608AA">
        <w:fldChar w:fldCharType="separate"/>
      </w:r>
      <w:r w:rsidR="004255E7" w:rsidRPr="008608AA">
        <w:rPr>
          <w:noProof/>
        </w:rPr>
        <w:t>(García-Préchac et al., 2004)</w:t>
      </w:r>
      <w:r w:rsidR="004255E7" w:rsidRPr="008608AA">
        <w:fldChar w:fldCharType="end"/>
      </w:r>
      <w:r w:rsidR="004255E7" w:rsidRPr="008608AA">
        <w:t>. Nevertheless, more recently, new regulations for soil conservation have been successfully established in some countries of the region (</w:t>
      </w:r>
      <w:r w:rsidR="00847F60" w:rsidRPr="008608AA">
        <w:t>e.g.</w:t>
      </w:r>
      <w:r w:rsidR="004255E7" w:rsidRPr="008608AA">
        <w:t xml:space="preserve"> Uruguay), with elevated adoption by farmers. Several parts of the region are experiencing decreases in light interception, and potentially their net primary production, with cascading effects on trophic networks. For example, large and consistent negative trends in net primary production have been observed in some parts of Uruguay and Argentina, associated with land use and climate change </w:t>
      </w:r>
      <w:r w:rsidR="004255E7" w:rsidRPr="008608AA">
        <w:fldChar w:fldCharType="begin" w:fldLock="1"/>
      </w:r>
      <w:r w:rsidR="004255E7" w:rsidRPr="008608AA">
        <w:instrText>ADDIN CSL_CITATION { "citationItems" : [ { "id" : "ITEM-1", "itemData" : { "DOI" : "10.1080/01431160310001619526", "ISBN" : "01431161", "ISSN" : "01431161", "abstract" : "Estimates of carbon uptake at the continental scale become urgently needed as the role of countries as net sinks or sources of carbon gains political and economic importance. Despite uncertainties related to radiation use efficiency, the amount of photosynthetically active radiation (PAR) intercepted by the canopy is a reliable estimator of primary production. Theoretical and empirical data support the relationship between the Normalized Difference Vegetation Index (NDVI) derived from the Advanced Very High Resolution Radiometer sensor on National Oceanic &amp;amp; Atmospheric Administration satellites and the fraction of PAR intercepted by green canopies. It is shown, for the period 1981\u00e2\u20ac\u201c2000, that there is an overall increase in the radiation intercepted by the canopy over South America by 1.3%, with rainforests making the largest absolute contribution (45%), followed by savannas (23%). Under conditions of minimal agricultural use, disturbance and anthropogenic N deposition, humid temperate forests showed the highest proportional increase in NDVI during the last two decades (4.9%). Deserts showed a net reduction in NDVI relative to the 1981\u00e2\u20ac\u201c1985 average (-4.4%). The expansion of agriculture over the last two decades was associated with NDVI reductions over subtropical forests. NDVI trends in South American region highlight a biome-dependent imprint of major global change noticeable in only two decades.", "author" : [ { "dropping-particle" : "", "family" : "Paruelo", "given" : "J.M.", "non-dropping-particle" : "", "parse-names" : false, "suffix" : "" }, { "dropping-particle" : "", "family" : "Garbulsky", "given" : "M.F.", "non-dropping-particle" : "", "parse-names" : false, "suffix" : "" }, { "dropping-particle" : "", "family" : "Guerschman", "given" : "J.P", "non-dropping-particle" : "", "parse-names" : false, "suffix" : "" }, { "dropping-particle" : "", "family" : "Jobb\u00e1gy", "given" : "E.G.", "non-dropping-particle" : "", "parse-names" : false, "suffix" : "" } ], "container-title" : "International Journal of Remote Sensing", "id" : "ITEM-1", "issue" : "14", "issued" : { "date-parts" : [ [ "2004" ] ] }, "page" : "2793-2806", "title" : "Two decades of normalized difference vegetation index changes in South America: identifying the imprint of global change", "type" : "article-journal", "volume" : "25" }, "uris" : [ "http://www.mendeley.com/documents/?uuid=92f5359e-7c59-498a-a058-e808be4fda9d" ] } ], "mendeley" : { "formattedCitation" : "(Paruelo et al., 2004)", "manualFormatting" : "(Paruelo et al., 2004)", "plainTextFormattedCitation" : "(Paruelo et al., 2004)", "previouslyFormattedCitation" : "(Paruelo et al., 2004)" }, "properties" : { "noteIndex" : 0 }, "schema" : "https://github.com/citation-style-language/schema/raw/master/csl-citation.json" }</w:instrText>
      </w:r>
      <w:r w:rsidR="004255E7" w:rsidRPr="008608AA">
        <w:fldChar w:fldCharType="separate"/>
      </w:r>
      <w:r w:rsidR="004255E7" w:rsidRPr="008608AA">
        <w:rPr>
          <w:noProof/>
        </w:rPr>
        <w:t>(Paruelo et al., 2004)</w:t>
      </w:r>
      <w:r w:rsidR="004255E7" w:rsidRPr="008608AA">
        <w:fldChar w:fldCharType="end"/>
      </w:r>
      <w:r w:rsidR="004255E7" w:rsidRPr="008608AA">
        <w:t xml:space="preserve">. </w:t>
      </w:r>
    </w:p>
    <w:p w14:paraId="799B0E37" w14:textId="67851F70" w:rsidR="004255E7" w:rsidRPr="008608AA" w:rsidRDefault="004255E7" w:rsidP="00581F86">
      <w:pPr>
        <w:widowControl w:val="0"/>
        <w:autoSpaceDE w:val="0"/>
        <w:autoSpaceDN w:val="0"/>
        <w:adjustRightInd w:val="0"/>
        <w:spacing w:after="120"/>
      </w:pPr>
      <w:r w:rsidRPr="008608AA">
        <w:rPr>
          <w:iCs/>
          <w:shd w:val="clear" w:color="auto" w:fill="FFFFFF"/>
        </w:rPr>
        <w:t>Southern temperate grasslands have been strongly invaded by plants and animals.</w:t>
      </w:r>
      <w:r w:rsidRPr="008608AA">
        <w:rPr>
          <w:i/>
          <w:iCs/>
          <w:shd w:val="clear" w:color="auto" w:fill="FFFFFF"/>
        </w:rPr>
        <w:t xml:space="preserve"> </w:t>
      </w:r>
      <w:r w:rsidRPr="008608AA">
        <w:rPr>
          <w:iCs/>
          <w:shd w:val="clear" w:color="auto" w:fill="FFFFFF"/>
        </w:rPr>
        <w:t>The grass,</w:t>
      </w:r>
      <w:r w:rsidRPr="008608AA">
        <w:rPr>
          <w:i/>
          <w:iCs/>
          <w:shd w:val="clear" w:color="auto" w:fill="FFFFFF"/>
        </w:rPr>
        <w:t xml:space="preserve"> Eragrostis plana</w:t>
      </w:r>
      <w:r w:rsidRPr="008608AA">
        <w:rPr>
          <w:shd w:val="clear" w:color="auto" w:fill="FFFFFF"/>
        </w:rPr>
        <w:t xml:space="preserve"> was accidentally introduced into southern Brazil from Africa in the late 1950s </w:t>
      </w:r>
      <w:r w:rsidRPr="008608AA">
        <w:rPr>
          <w:shd w:val="clear" w:color="auto" w:fill="FFFFFF"/>
        </w:rPr>
        <w:fldChar w:fldCharType="begin" w:fldLock="1"/>
      </w:r>
      <w:r w:rsidRPr="008608AA">
        <w:rPr>
          <w:shd w:val="clear" w:color="auto" w:fill="FFFFFF"/>
        </w:rPr>
        <w:instrText>ADDIN CSL_CITATION { "citationItems" : [ { "id" : "ITEM-1", "itemData" : { "DOI" : "10.1111/1365-2664.12848", "ISBN" : "4955139574", "ISSN" : "13652664", "abstract" : "1.Invasive species spread on natural ecosystems is one of the most important causes of biodiversity loss. To disentangle the invasive plant impact on communities it is essential to combine experimental and observation approaches, which enable the correct interpretations of results and lead to the right decisions for management. 2.We examined the invasion of southern Brazil's grasslands by Eragrostis plana, which is currently the most problematic invasive species in the region. By means of an experiment on invaded communities complemented by observation of non-invaded communities, we assessed E. plana impact on vegetation, evaluated community response to its removal and discussed the effectiveness of removal methods. Fifty permanent 1 x 1 m plots were located on natural grassland that was partially invaded by E. plana. Removal was done annually from 2012 to 2015 and consisted of five treatments (n = 10): (i) clipping above-ground biomass on one occasion; (ii) clipping above-ground biomass periodically; (iii) herbicide and (iv) hand-pulling, plus (v) control treatment with no-removal. Additionally, 10 plots located in an adjacent non-invaded area were monitored. 3.All removal treatments reduced E. plana cover across years, but were not enough to eradicate it. Our results revealed not only differences between invaded and non-invaded communities, but also an effect of E. plana removal on resident species richness and total cover. 4.At the local scale, we demonstrated the impact of E. plana invasion on grassland vegetation, suggesting a reduction of resident species richness and total cover. Invasive species removal changed communities differently from invaded ones, but not resembling non-invaded references, suggesting that community recovery may need more time for reestablishment or that some restoration strategies are required. 5.Synthesis and applications. This study demonstrated the impact on vegetation of the most important invasive species in southern Brazil's natural grasslands. We highlighted the advantages of combining observations of non-invaded communities and experimental studies on invaded communities, with and without invasive removal, to help infer causal relationships in ecological invasion research.", "author" : [ { "dropping-particle" : "", "family" : "Guido", "given" : "Anaclara", "non-dropping-particle" : "", "parse-names" : false, "suffix" : "" }, { "dropping-particle" : "", "family" : "Pillar", "given" : "Val\u00e9rio D.", "non-dropping-particle" : "", "parse-names" : false, "suffix" : "" } ], "container-title" : "Journal of Applied Ecology", "editor" : [ { "dropping-particle" : "", "family" : "Souza", "given" : "Lara", "non-dropping-particle" : "", "parse-names" : false, "suffix" : "" } ], "id" : "ITEM-1", "issue" : "4", "issued" : { "date-parts" : [ [ "2017", "8", "1" ] ] }, "page" : "1230-1237", "title" : "Invasive plant removal: assessing community impact and recovery from invasion", "type" : "article-journal", "volume" : "54" }, "uris" : [ "http://www.mendeley.com/documents/?uuid=1348e28a-1bef-35c4-8039-f82f30a0aa9b" ] } ], "mendeley" : { "formattedCitation" : "(Guido &amp; Pillar, 2017)", "plainTextFormattedCitation" : "(Guido &amp; Pillar, 2017)", "previouslyFormattedCitation" : "(Guido &amp; Pillar, 2017)" }, "properties" : { "noteIndex" : 0 }, "schema" : "https://github.com/citation-style-language/schema/raw/master/csl-citation.json" }</w:instrText>
      </w:r>
      <w:r w:rsidRPr="008608AA">
        <w:rPr>
          <w:shd w:val="clear" w:color="auto" w:fill="FFFFFF"/>
        </w:rPr>
        <w:fldChar w:fldCharType="separate"/>
      </w:r>
      <w:r w:rsidRPr="008608AA">
        <w:rPr>
          <w:noProof/>
          <w:shd w:val="clear" w:color="auto" w:fill="FFFFFF"/>
        </w:rPr>
        <w:t>(Guido &amp; Pillar, 2017)</w:t>
      </w:r>
      <w:r w:rsidRPr="008608AA">
        <w:rPr>
          <w:shd w:val="clear" w:color="auto" w:fill="FFFFFF"/>
        </w:rPr>
        <w:fldChar w:fldCharType="end"/>
      </w:r>
      <w:r w:rsidRPr="008608AA">
        <w:rPr>
          <w:shd w:val="clear" w:color="auto" w:fill="FFFFFF"/>
        </w:rPr>
        <w:t>.</w:t>
      </w:r>
      <w:r w:rsidRPr="008608AA">
        <w:rPr>
          <w:i/>
          <w:iCs/>
          <w:shd w:val="clear" w:color="auto" w:fill="FFFFFF"/>
        </w:rPr>
        <w:t xml:space="preserve"> </w:t>
      </w:r>
      <w:r w:rsidRPr="008608AA">
        <w:rPr>
          <w:iCs/>
          <w:shd w:val="clear" w:color="auto" w:fill="FFFFFF"/>
        </w:rPr>
        <w:t xml:space="preserve">Later planted as a potentially promising forage grass, it </w:t>
      </w:r>
      <w:r w:rsidRPr="008608AA">
        <w:rPr>
          <w:shd w:val="clear" w:color="auto" w:fill="FFFFFF"/>
        </w:rPr>
        <w:t>has now invaded over 1 million ha of grasslands (</w:t>
      </w:r>
      <w:r w:rsidRPr="008608AA">
        <w:fldChar w:fldCharType="begin" w:fldLock="1"/>
      </w:r>
      <w:r w:rsidRPr="008608AA">
        <w:instrText>ADDIN CSL_CITATION { "citationItems" : [ { "id" : "ITEM-1", "itemData" : { "DOI" : "10.1590/S1516-35982014001100001", "ISSN" : "18069290", "author" : [ { "dropping-particle" : "de", "family" : "Medeiros", "given" : "Renato Borges", "non-dropping-particle" : "", "parse-names" : false, "suffix" : "" }, { "dropping-particle" : "", "family" : "Focht", "given" : "Telmo", "non-dropping-particle" : "", "parse-names" : false, "suffix" : "" }, { "dropping-particle" : "", "family" : "Menegon", "given" : "Leandro Luiz", "non-dropping-particle" : "", "parse-names" : false, "suffix" : "" }, { "dropping-particle" : "", "family" : "Freitas", "given" : "M\u00e1rio Ruschel", "non-dropping-particle" : "", "parse-names" : false, "suffix" : "" } ], "container-title" : "Revista Brasileira de Zootecnia", "id" : "ITEM-1", "issue" : "11", "issued" : { "date-parts" : [ [ "2014" ] ] }, "page" : "561-567", "title" : "Seed longevity of &lt;i&gt;Eragrostis plana&lt;/i&gt; Nees buried in natural grassland soil", "type" : "article-journal", "volume" : "43" }, "uris" : [ "http://www.mendeley.com/documents/?uuid=ea230559-734b-4589-a829-d32cd1df3ecb" ] } ], "mendeley" : { "formattedCitation" : "(Medeiros, Focht, Menegon, &amp; Freitas, 2014)", "manualFormatting" : "Medeiros et al., 2014)", "plainTextFormattedCitation" : "(Medeiros, Focht, Menegon, &amp; Freitas, 2014)", "previouslyFormattedCitation" : "(Medeiros, Focht, Menegon, &amp; Freitas, 2014)" }, "properties" : { "noteIndex" : 0 }, "schema" : "https://github.com/citation-style-language/schema/raw/master/csl-citation.json" }</w:instrText>
      </w:r>
      <w:r w:rsidRPr="008608AA">
        <w:fldChar w:fldCharType="separate"/>
      </w:r>
      <w:r w:rsidRPr="008608AA">
        <w:rPr>
          <w:noProof/>
        </w:rPr>
        <w:t>Medeiros et al., 2014)</w:t>
      </w:r>
      <w:r w:rsidRPr="008608AA">
        <w:fldChar w:fldCharType="end"/>
      </w:r>
      <w:r w:rsidRPr="008608AA">
        <w:t>.</w:t>
      </w:r>
      <w:r w:rsidRPr="008608AA">
        <w:rPr>
          <w:shd w:val="clear" w:color="auto" w:fill="FFFFFF"/>
        </w:rPr>
        <w:t xml:space="preserve"> </w:t>
      </w:r>
      <w:r w:rsidRPr="008608AA">
        <w:rPr>
          <w:i/>
          <w:shd w:val="clear" w:color="auto" w:fill="FFFFFF"/>
        </w:rPr>
        <w:t>Eragrostis plana</w:t>
      </w:r>
      <w:r w:rsidRPr="008608AA">
        <w:rPr>
          <w:shd w:val="clear" w:color="auto" w:fill="FFFFFF"/>
        </w:rPr>
        <w:t xml:space="preserve"> </w:t>
      </w:r>
      <w:r w:rsidRPr="008608AA">
        <w:t xml:space="preserve">turned out to have low digestibility for cattle and causes economic losses by outcompeting more palatable native grasses. This is a very good example of how things can go wrong. Meanwhile, </w:t>
      </w:r>
      <w:r w:rsidRPr="008608AA">
        <w:rPr>
          <w:i/>
        </w:rPr>
        <w:t xml:space="preserve">Braquiaria </w:t>
      </w:r>
      <w:r w:rsidRPr="008608AA">
        <w:t xml:space="preserve">grasses (see also </w:t>
      </w:r>
      <w:r w:rsidRPr="008608AA">
        <w:rPr>
          <w:i/>
          <w:iCs/>
        </w:rPr>
        <w:t>Urochloa</w:t>
      </w:r>
      <w:r w:rsidRPr="008608AA">
        <w:t xml:space="preserve"> spp.) are becoming adjusted to the local climate and could become a serious and widespread invasion problem in the future. The same grasses affect Uruguayan grasslands </w:t>
      </w:r>
      <w:r w:rsidRPr="008608AA">
        <w:rPr>
          <w:rFonts w:eastAsia="Calibri"/>
        </w:rPr>
        <w:fldChar w:fldCharType="begin" w:fldLock="1"/>
      </w:r>
      <w:r w:rsidRPr="008608AA">
        <w:rPr>
          <w:rFonts w:eastAsia="Calibri"/>
        </w:rPr>
        <w:instrText>ADDIN CSL_CITATION { "citationItems" : [ { "id" : "ITEM-1", "itemData" : { "author" : [ { "dropping-particle" : "", "family" : "Aber", "given" : "A.", "non-dropping-particle" : "", "parse-names" : false, "suffix" : "" }, { "dropping-particle" : "", "family" : "Ferrari", "given" : "G.", "non-dropping-particle" : "", "parse-names" : false, "suffix" : "" } ], "id" : "ITEM-1", "issued" : { "date-parts" : [ [ "2010" ] ] }, "publisher" : "Comit\u00e9 Nacional de Especies Ex\u00f3ticas Invasoras, Direcci\u00f3n Nacional de Medio Ambiente and UNESCO.", "publisher-place" : "Montevideo, Uruguay", "title" : "Lineamientos para la Gesti\u00f3n Nacional de Especies Ex\u00f3ticas Invasoras", "type" : "report" }, "uris" : [ "http://www.mendeley.com/documents/?uuid=4508d617-a703-427f-8307-acee69548465" ] } ], "mendeley" : { "formattedCitation" : "(Aber &amp; Ferrari, 2010)", "manualFormatting" : "(Aber &amp; Ferrari, 2010)", "plainTextFormattedCitation" : "(Aber &amp; Ferrari, 2010)", "previouslyFormattedCitation" : "(Aber &amp; Ferrari, 2010)" }, "properties" : { "noteIndex" : 0 }, "schema" : "https://github.com/citation-style-language/schema/raw/master/csl-citation.json" }</w:instrText>
      </w:r>
      <w:r w:rsidRPr="008608AA">
        <w:rPr>
          <w:rFonts w:eastAsia="Calibri"/>
        </w:rPr>
        <w:fldChar w:fldCharType="separate"/>
      </w:r>
      <w:r w:rsidRPr="008608AA">
        <w:rPr>
          <w:rFonts w:eastAsia="Calibri"/>
          <w:noProof/>
        </w:rPr>
        <w:t>(Aber &amp; Ferrari, 2010)</w:t>
      </w:r>
      <w:r w:rsidRPr="008608AA">
        <w:rPr>
          <w:rFonts w:eastAsia="Calibri"/>
        </w:rPr>
        <w:fldChar w:fldCharType="end"/>
      </w:r>
      <w:r w:rsidRPr="008608AA">
        <w:t>, so, without action, these invasions can be expected to expand in the coming years, encroaching on natural grassland areas. Exotic trees (</w:t>
      </w:r>
      <w:r w:rsidR="00847F60" w:rsidRPr="008608AA">
        <w:t>e.g.</w:t>
      </w:r>
      <w:r w:rsidRPr="008608AA">
        <w:t xml:space="preserve"> </w:t>
      </w:r>
      <w:r w:rsidRPr="008608AA">
        <w:rPr>
          <w:i/>
          <w:iCs/>
        </w:rPr>
        <w:t>Gleditsia</w:t>
      </w:r>
      <w:r w:rsidRPr="008608AA">
        <w:t xml:space="preserve">, </w:t>
      </w:r>
      <w:r w:rsidRPr="008608AA">
        <w:rPr>
          <w:i/>
          <w:iCs/>
        </w:rPr>
        <w:t>Thriacanthos</w:t>
      </w:r>
      <w:r w:rsidRPr="008608AA">
        <w:t xml:space="preserve"> </w:t>
      </w:r>
      <w:r w:rsidRPr="008608AA">
        <w:rPr>
          <w:i/>
          <w:iCs/>
        </w:rPr>
        <w:t>pines</w:t>
      </w:r>
      <w:r w:rsidRPr="008608AA">
        <w:t>) are also invading large areas of the region, altering grasslands physiognomy and displacing the local flora and fauna. Woody invasive species such as brooms (</w:t>
      </w:r>
      <w:r w:rsidRPr="008608AA">
        <w:rPr>
          <w:i/>
          <w:iCs/>
        </w:rPr>
        <w:t>Spartium junceum</w:t>
      </w:r>
      <w:r w:rsidRPr="008608AA">
        <w:t xml:space="preserve">, </w:t>
      </w:r>
      <w:r w:rsidRPr="008608AA">
        <w:rPr>
          <w:i/>
          <w:iCs/>
        </w:rPr>
        <w:t>Genista monspes</w:t>
      </w:r>
      <w:r w:rsidRPr="008608AA">
        <w:rPr>
          <w:i/>
        </w:rPr>
        <w:t xml:space="preserve">sulana </w:t>
      </w:r>
      <w:r w:rsidRPr="008608AA">
        <w:t xml:space="preserve">and </w:t>
      </w:r>
      <w:r w:rsidRPr="008608AA">
        <w:rPr>
          <w:i/>
          <w:iCs/>
        </w:rPr>
        <w:t>Ulex europaeus</w:t>
      </w:r>
      <w:r w:rsidRPr="008608AA">
        <w:t>), spiny rosaceous shrubs (</w:t>
      </w:r>
      <w:r w:rsidRPr="008608AA">
        <w:rPr>
          <w:i/>
          <w:iCs/>
        </w:rPr>
        <w:t>Rosa</w:t>
      </w:r>
      <w:r w:rsidRPr="008608AA">
        <w:t xml:space="preserve"> spp. and </w:t>
      </w:r>
      <w:r w:rsidRPr="008608AA">
        <w:rPr>
          <w:i/>
          <w:iCs/>
        </w:rPr>
        <w:t>Rubus</w:t>
      </w:r>
      <w:r w:rsidRPr="008608AA">
        <w:t xml:space="preserve"> spp.) and pines (</w:t>
      </w:r>
      <w:r w:rsidRPr="008608AA">
        <w:rPr>
          <w:i/>
          <w:iCs/>
        </w:rPr>
        <w:t>Pinus halepensis</w:t>
      </w:r>
      <w:r w:rsidRPr="008608AA">
        <w:t xml:space="preserve">, </w:t>
      </w:r>
      <w:r w:rsidRPr="008608AA">
        <w:rPr>
          <w:i/>
          <w:iCs/>
        </w:rPr>
        <w:t>P. radiata</w:t>
      </w:r>
      <w:r w:rsidRPr="008608AA">
        <w:t xml:space="preserve">) fit particularly well in a highly altered landscape matrix. Net forest cover in temperate grasslands increased from 2000 to 2012 (Figure 3.19), but this increase is attributed mainly to exotic tree plantations </w:t>
      </w:r>
      <w:r w:rsidRPr="008608AA">
        <w:fldChar w:fldCharType="begin" w:fldLock="1"/>
      </w:r>
      <w:r w:rsidRPr="008608AA">
        <w:instrText>ADDIN CSL_CITATION { "citationItems" : [ { "id" : "ITEM-1", "itemData" : { "DOI" : "10.1016/j.gloplacha.2015.02.009", "ISBN" : "09218181", "ISSN" : "09218181", "PMID" : "3666", "abstract" : "Land use and land cover change (LUCC) affects regional climate through modifications in the water balance and energy budget. These impacts are frequently expressed by: changes in the amount and frequency of precipitation and alteration of surface temperatures. In South America, most of the studies of the effects of LUCC on the local and regional climate have focused on the Amazon region (54 studies), whereas LUCC within non-Amazonian regions have been largely undermined regardless their potential importance in regulating the regional climate (19 studies). We estimated that 3.6millionkm2 of the original natural vegetation cover in non-Amazonian South America were converted into other types of land use, which is about 4 times greater than the historical Amazon deforestation. Moreover, there is evidence showing that LUCC within such fairly neglected ecosystems cause significant reductions in precipitation and increases in surface temperatures, with occasional impacts affecting neighboring or remote areas. We explore the implications of these findings in the context of water security, climatic extremes and future research priorities.", "author" : [ { "dropping-particle" : "", "family" : "Salazar", "given" : "Alvaro", "non-dropping-particle" : "", "parse-names" : false, "suffix" : "" }, { "dropping-particle" : "", "family" : "Baldi", "given" : "German", "non-dropping-particle" : "", "parse-names" : false, "suffix" : "" }, { "dropping-particle" : "", "family" : "Hirota", "given" : "Marina", "non-dropping-particle" : "", "parse-names" : false, "suffix" : "" }, { "dropping-particle" : "", "family" : "Syktus", "given" : "Jozef", "non-dropping-particle" : "", "parse-names" : false, "suffix" : "" }, { "dropping-particle" : "", "family" : "McAlpine", "given" : "Clive", "non-dropping-particle" : "", "parse-names" : false, "suffix" : "" } ], "container-title" : "Global and Planetary Change", "id" : "ITEM-1", "issued" : { "date-parts" : [ [ "2015" ] ] }, "page" : "103-119", "title" : "Land use and land cover change impacts on the regional climate of non-Amazonian South America: A review", "type" : "article-journal", "volume" : "128" }, "uris" : [ "http://www.mendeley.com/documents/?uuid=64b216cc-a67a-4618-aa4c-51e46195a20a" ] } ], "mendeley" : { "formattedCitation" : "(Salazar et al., 2015)", "manualFormatting" : "(Salazar et al., 2015)", "plainTextFormattedCitation" : "(Salazar et al., 2015)", "previouslyFormattedCitation" : "(Salazar et al., 2015)" }, "properties" : { "noteIndex" : 0 }, "schema" : "https://github.com/citation-style-language/schema/raw/master/csl-citation.json" }</w:instrText>
      </w:r>
      <w:r w:rsidRPr="008608AA">
        <w:fldChar w:fldCharType="separate"/>
      </w:r>
      <w:r w:rsidRPr="008608AA">
        <w:rPr>
          <w:noProof/>
        </w:rPr>
        <w:t>(Salazar et al., 2015)</w:t>
      </w:r>
      <w:r w:rsidRPr="008608AA">
        <w:fldChar w:fldCharType="end"/>
      </w:r>
      <w:r w:rsidRPr="008608AA">
        <w:t xml:space="preserve">. </w:t>
      </w:r>
    </w:p>
    <w:p w14:paraId="4C7D57B4" w14:textId="77777777" w:rsidR="004255E7" w:rsidRPr="008608AA" w:rsidRDefault="004255E7" w:rsidP="00581F86">
      <w:pPr>
        <w:spacing w:after="120"/>
      </w:pPr>
      <w:r w:rsidRPr="008608AA">
        <w:t>Invasive vertebrates include wild boar (</w:t>
      </w:r>
      <w:r w:rsidRPr="008608AA">
        <w:rPr>
          <w:i/>
          <w:iCs/>
        </w:rPr>
        <w:t>Sus scrofa</w:t>
      </w:r>
      <w:r w:rsidRPr="008608AA">
        <w:t>). This species threatens key conservation habitats, affects agriculture and acts as a reservoir for diseases affecting pig farming, chital (</w:t>
      </w:r>
      <w:r w:rsidRPr="008608AA">
        <w:rPr>
          <w:i/>
          <w:iCs/>
        </w:rPr>
        <w:t>Axis axis</w:t>
      </w:r>
      <w:r w:rsidRPr="008608AA">
        <w:t>), and feral horses. European carp (</w:t>
      </w:r>
      <w:r w:rsidRPr="008608AA">
        <w:rPr>
          <w:i/>
          <w:iCs/>
        </w:rPr>
        <w:t>Cyprinus carpio</w:t>
      </w:r>
      <w:r w:rsidRPr="008608AA">
        <w:t>) has colonized most freshwater habitats, while common starlings (</w:t>
      </w:r>
      <w:r w:rsidRPr="008608AA">
        <w:rPr>
          <w:i/>
          <w:iCs/>
        </w:rPr>
        <w:t>Sturnus vulgaris</w:t>
      </w:r>
      <w:r w:rsidRPr="008608AA">
        <w:t>) and the red-bellied tree squirrel (</w:t>
      </w:r>
      <w:r w:rsidRPr="008608AA">
        <w:rPr>
          <w:i/>
          <w:iCs/>
        </w:rPr>
        <w:t>Callosciurus erythraeus</w:t>
      </w:r>
      <w:r w:rsidRPr="008608AA">
        <w:t>) are currently undergoing range expansion. Pet trade, forestry and aquaculture are emerging as new vectors of species introduction and expansion (see also Chapter 4). Other invasive animals include European pigeons, deer, and bullfrogs.</w:t>
      </w:r>
    </w:p>
    <w:p w14:paraId="665D69E7" w14:textId="77777777" w:rsidR="00581F86" w:rsidRPr="008608AA" w:rsidRDefault="00581F86" w:rsidP="00581F86">
      <w:pPr>
        <w:spacing w:after="120"/>
      </w:pPr>
    </w:p>
    <w:p w14:paraId="7F9A7AD0" w14:textId="71D4E44E" w:rsidR="004255E7" w:rsidRPr="008608AA" w:rsidRDefault="004255E7" w:rsidP="00581F86">
      <w:pPr>
        <w:pStyle w:val="Heading4"/>
        <w:rPr>
          <w:lang w:val="en-US"/>
        </w:rPr>
      </w:pPr>
      <w:bookmarkStart w:id="1135" w:name="_Toc502927364"/>
      <w:bookmarkStart w:id="1136" w:name="_Toc517393318"/>
      <w:bookmarkStart w:id="1137" w:name="_Toc517719059"/>
      <w:bookmarkStart w:id="1138" w:name="_Toc517797016"/>
      <w:r w:rsidRPr="008608AA">
        <w:t>Drylands</w:t>
      </w:r>
      <w:r w:rsidRPr="008608AA">
        <w:rPr>
          <w:lang w:val="en-US"/>
        </w:rPr>
        <w:t xml:space="preserve"> and deserts</w:t>
      </w:r>
      <w:bookmarkEnd w:id="1135"/>
      <w:bookmarkEnd w:id="1136"/>
      <w:bookmarkEnd w:id="1137"/>
      <w:bookmarkEnd w:id="1138"/>
      <w:r w:rsidRPr="008608AA">
        <w:rPr>
          <w:lang w:val="en-US"/>
        </w:rPr>
        <w:t xml:space="preserve"> </w:t>
      </w:r>
    </w:p>
    <w:p w14:paraId="64668960" w14:textId="77777777" w:rsidR="004255E7" w:rsidRPr="008608AA" w:rsidRDefault="004255E7" w:rsidP="00581F86">
      <w:pPr>
        <w:pStyle w:val="Heading5"/>
        <w:numPr>
          <w:ilvl w:val="0"/>
          <w:numId w:val="0"/>
        </w:numPr>
        <w:ind w:left="1008" w:hanging="1008"/>
      </w:pPr>
      <w:r w:rsidRPr="008608AA">
        <w:t xml:space="preserve">North American and Mesoamerican subregions </w:t>
      </w:r>
    </w:p>
    <w:p w14:paraId="4CB125FB" w14:textId="77777777" w:rsidR="004255E7" w:rsidRPr="008608AA" w:rsidRDefault="004255E7" w:rsidP="00581F86">
      <w:pPr>
        <w:pStyle w:val="ListParagraph"/>
        <w:ind w:left="0"/>
        <w:rPr>
          <w:sz w:val="24"/>
          <w:szCs w:val="24"/>
          <w:lang w:val="en-US"/>
        </w:rPr>
      </w:pPr>
      <w:r w:rsidRPr="008608AA">
        <w:rPr>
          <w:sz w:val="24"/>
          <w:szCs w:val="24"/>
          <w:lang w:val="en-US"/>
        </w:rPr>
        <w:t xml:space="preserve">Drylands are ranked as one of the most important biomes for the biodiversity of species and endemics both globally and in the Americas </w:t>
      </w:r>
      <w:r w:rsidRPr="008608AA">
        <w:rPr>
          <w:sz w:val="24"/>
          <w:szCs w:val="24"/>
          <w:lang w:val="en-US"/>
        </w:rPr>
        <w:fldChar w:fldCharType="begin" w:fldLock="1"/>
      </w:r>
      <w:r w:rsidRPr="008608AA">
        <w:rPr>
          <w:sz w:val="24"/>
          <w:szCs w:val="24"/>
          <w:lang w:val="en-US"/>
        </w:rPr>
        <w:instrText>ADDIN CSL_CITATION { "citationItems" : [ { "id" : "ITEM-1", "itemData" : { "abstract" : "The world\u2019s deserts, which cover about a third of the land surface and occur in every continent including Antarctica, are areas with severe shortage of moisture. One consequence has been a wide range of unusual and spectacular landforms, sculpted by wind, occasional but strong rainfalls and ancient riverine systems. As a result of the aridity, the landforms and the processes that led to their formation remain clearly visible, uncovered by extensive vegetation. The fauna and flora of deserts often shows unusual, often extreme, adaptations to their arid habitats. The purpose of this study is to advise State Parties to the World Heritage Committee on nonpolar deserts as potential World Heritage Sites of Outstanding Universal Value with a focus on geomorphological aspects. It also discusses some of the issues relating to the integrity and management of these areas and the need to conserve them. This study is produced as part of IUCN\u2019s role as advisory body to the UNESCO World Heritage Convention on natural heritage.", "author" : [ { "dropping-particle" : "", "family" : "Goudie", "given" : "A", "non-dropping-particle" : "", "parse-names" : false, "suffix" : "" }, { "dropping-particle" : "", "family" : "Seely", "given" : "M", "non-dropping-particle" : "", "parse-names" : false, "suffix" : "" } ], "id" : "ITEM-1", "issued" : { "date-parts" : [ [ "2011" ] ] }, "number-of-pages" : "44", "publisher" : "International Union for Conservation of Nature (IUCN)", "publisher-place" : "Gland, Switzerland", "title" : "World Heritage Desert Landscapes: Potential Priorities for the Recognition of Desert Landscapes and Geomorphological Sites on the World Heritage List", "type" : "book" }, "uris" : [ "http://www.mendeley.com/documents/?uuid=674c871f-8e96-37a7-9e54-8a0ebc8e91e5" ] }, { "id" : "ITEM-2", "itemData" : { "DOI" : "10.1126/science.1239268", "ISBN" : "0036-8075", "ISSN" : "0036-8075", "PMID" : "24233709", "abstract" : "Increasing the collective contribution of protected areas toward preventing species extinctions requires the strategic allocation of management efforts.", "author" : [ { "dropping-particle" : "", "family" : "Saout", "given" : "Soizic", "non-dropping-particle" : "Le", "parse-names" : false, "suffix" : "" }, { "dropping-particle" : "", "family" : "Hoffmann", "given" : "M.", "non-dropping-particle" : "", "parse-names" : false, "suffix" : "" }, { "dropping-particle" : "", "family" : "Shi", "given" : "Yichuan", "non-dropping-particle" : "", "parse-names" : false, "suffix" : "" }, { "dropping-particle" : "", "family" : "Hughes", "given" : "Adrian", "non-dropping-particle" : "", "parse-names" : false, "suffix" : "" }, { "dropping-particle" : "", "family" : "Bernard", "given" : "Cyril", "non-dropping-particle" : "", "parse-names" : false, "suffix" : "" }, { "dropping-particle" : "", "family" : "Brooks", "given" : "T. M.", "non-dropping-particle" : "", "parse-names" : false, "suffix" : "" }, { "dropping-particle" : "", "family" : "Bertzky", "given" : "B.", "non-dropping-particle" : "", "parse-names" : false, "suffix" : "" }, { "dropping-particle" : "", "family" : "Butchart", "given" : "Stuart H. M.", "non-dropping-particle" : "", "parse-names" : false, "suffix" : "" }, { "dropping-particle" : "", "family" : "Stuart", "given" : "Simon N.", "non-dropping-particle" : "", "parse-names" : false, "suffix" : "" }, { "dropping-particle" : "", "family" : "Badman", "given" : "Tim", "non-dropping-particle" : "", "parse-names" : false, "suffix" : "" }, { "dropping-particle" : "", "family" : "Rodrigues", "given" : "A. S. L.", "non-dropping-particle" : "", "parse-names" : false, "suffix" : "" } ], "container-title" : "Science", "id" : "ITEM-2", "issue" : "6160", "issued" : { "date-parts" : [ [ "2013" ] ] }, "page" : "803-805", "title" : "Protected areas and effective biodiversity conservation", "type" : "article-journal", "volume" : "342" }, "uris" : [ "http://www.mendeley.com/documents/?uuid=3597d114-6434-4dfd-bc32-a824612b58fb" ] }, { "id" : "ITEM-3", "itemData" : { "author" : [ { "dropping-particle" : "", "family" : "Millennium Ecosystem Assessment", "given" : "", "non-dropping-particle" : "", "parse-names" : false, "suffix" : "" } ], "id" : "ITEM-3", "issued" : { "date-parts" : [ [ "2005" ] ] }, "publisher" : "Island Press", "publisher-place" : "Washington, D.C., USA", "title" : "Ecosystems and Human Well-being", "type" : "book" }, "uris" : [ "http://www.mendeley.com/documents/?uuid=aea6871b-4455-425f-ab75-b7f6750c8162" ] } ], "mendeley" : { "formattedCitation" : "(Goudie &amp; Seely, 2011; Le Saout et al., 2013; Millennium Ecosystem Assessment, 2005)", "plainTextFormattedCitation" : "(Goudie &amp; Seely, 2011; Le Saout et al., 2013; Millennium Ecosystem Assessment, 2005)", "previouslyFormattedCitation" : "(Goudie &amp; Seely, 2011; Le Saout et al., 2013; Millennium Ecosystem Assessment, 2005)" }, "properties" : { "noteIndex" : 0 }, "schema" : "https://github.com/citation-style-language/schema/raw/master/csl-citation.json" }</w:instrText>
      </w:r>
      <w:r w:rsidRPr="008608AA">
        <w:rPr>
          <w:sz w:val="24"/>
          <w:szCs w:val="24"/>
          <w:lang w:val="en-US"/>
        </w:rPr>
        <w:fldChar w:fldCharType="separate"/>
      </w:r>
      <w:r w:rsidRPr="008608AA">
        <w:rPr>
          <w:noProof/>
          <w:sz w:val="24"/>
          <w:szCs w:val="24"/>
          <w:lang w:val="en-US"/>
        </w:rPr>
        <w:t>(Goudie &amp; Seely, 2011; Le Saout et al., 2013; Millennium Ecosystem Assessment, 2005)</w:t>
      </w:r>
      <w:r w:rsidRPr="008608AA">
        <w:rPr>
          <w:sz w:val="24"/>
          <w:szCs w:val="24"/>
          <w:lang w:val="en-US"/>
        </w:rPr>
        <w:fldChar w:fldCharType="end"/>
      </w:r>
      <w:r w:rsidRPr="008608AA">
        <w:rPr>
          <w:sz w:val="24"/>
          <w:szCs w:val="24"/>
          <w:lang w:val="en-US"/>
        </w:rPr>
        <w:t xml:space="preserve">. Much of the rich biodiversity and endemism (Table 3.4) found in these regions in the Americas and elsewhere is likely due to the high climate variability, which can drive speciation. High levels of endemism occur both at the species (Table 3.4) and generic levels. For example, </w:t>
      </w:r>
      <w:r w:rsidRPr="008608AA">
        <w:rPr>
          <w:sz w:val="24"/>
          <w:szCs w:val="24"/>
        </w:rPr>
        <w:t xml:space="preserve">44% of seed plant genera in Mexican drylands under a broad definition are endemic </w:t>
      </w:r>
      <w:r w:rsidRPr="008608AA">
        <w:rPr>
          <w:sz w:val="24"/>
          <w:szCs w:val="24"/>
          <w:lang w:val="en-US"/>
        </w:rPr>
        <w:fldChar w:fldCharType="begin" w:fldLock="1"/>
      </w:r>
      <w:r w:rsidRPr="008608AA">
        <w:rPr>
          <w:sz w:val="24"/>
          <w:szCs w:val="24"/>
          <w:lang w:val="en-US"/>
        </w:rPr>
        <w:instrText>ADDIN CSL_CITATION { "citationItems" : [ { "id" : "ITEM-1", "itemData" : { "ISBN" : "978-607-7607-03-8", "abstract" : "Challenger, A., Sober\u00f3n, J. 2008. Los ecosistemas terrestres. En: Sarukh\u00e1n, J. (coord.). Capitalnatural de M\u00e9xico, vol. I: Conocimiento actual de la biodiversidad, pp. 87-108, Comisi\u00f3n Nacionalpara el Conocimiento y Uso de la Biodiversidad, M\u00e9xico. Chapela, F. 2005. ...", "author" : [ { "dropping-particle" : "", "family" : "Challenger", "given" : "A.", "non-dropping-particle" : "", "parse-names" : false, "suffix" : "" }, { "dropping-particle" : "", "family" : "Sober\u00f3n", "given" : "J.", "non-dropping-particle" : "", "parse-names" : false, "suffix" : "" } ], "container-title" : "Capital Natural de M\u00e9xico, Vol. I: Conocimiento Actual de la Biodiversidad", "editor" : [ { "dropping-particle" : "", "family" : "Sarukh\u00e1n", "given" : "Jos\u00e9", "non-dropping-particle" : "", "parse-names" : false, "suffix" : "" } ], "id" : "ITEM-1", "issued" : { "date-parts" : [ [ "2008" ] ] }, "page" : "87-108", "publisher" : "CONABIO", "publisher-place" : "Sarukh\u00e1n, Jos\u00e9", "title" : "Los ecosistemas terrestres", "type" : "chapter" }, "uris" : [ "http://www.mendeley.com/documents/?uuid=3ee86e12-ed09-3522-b56e-692774865ec3" ] } ], "mendeley" : { "formattedCitation" : "(Challenger &amp; Sober\u00f3n, 2008)", "manualFormatting" : "(Challenger &amp; Sober\u00f3n, 2008)", "plainTextFormattedCitation" : "(Challenger &amp; Sober\u00f3n, 2008)", "previouslyFormattedCitation" : "(Challenger &amp; Sober\u00f3n, 2008)" }, "properties" : { "noteIndex" : 0 }, "schema" : "https://github.com/citation-style-language/schema/raw/master/csl-citation.json" }</w:instrText>
      </w:r>
      <w:r w:rsidRPr="008608AA">
        <w:rPr>
          <w:sz w:val="24"/>
          <w:szCs w:val="24"/>
          <w:lang w:val="en-US"/>
        </w:rPr>
        <w:fldChar w:fldCharType="separate"/>
      </w:r>
      <w:r w:rsidRPr="008608AA">
        <w:rPr>
          <w:noProof/>
          <w:sz w:val="24"/>
          <w:szCs w:val="24"/>
          <w:lang w:val="en-US"/>
        </w:rPr>
        <w:t>(Challenger &amp; Soberón, 2008)</w:t>
      </w:r>
      <w:r w:rsidRPr="008608AA">
        <w:rPr>
          <w:sz w:val="24"/>
          <w:szCs w:val="24"/>
          <w:lang w:val="en-US"/>
        </w:rPr>
        <w:fldChar w:fldCharType="end"/>
      </w:r>
      <w:r w:rsidRPr="008608AA">
        <w:rPr>
          <w:sz w:val="24"/>
          <w:szCs w:val="24"/>
          <w:lang w:val="en-US"/>
        </w:rPr>
        <w:t>.</w:t>
      </w:r>
      <w:r w:rsidRPr="008608AA">
        <w:rPr>
          <w:sz w:val="24"/>
          <w:szCs w:val="24"/>
        </w:rPr>
        <w:t xml:space="preserve"> </w:t>
      </w:r>
      <w:r w:rsidRPr="008608AA">
        <w:rPr>
          <w:sz w:val="24"/>
          <w:szCs w:val="24"/>
          <w:lang w:val="en-US"/>
        </w:rPr>
        <w:t xml:space="preserve">Animal biodiversity in North American can closely rival that found in tropical regions: Arizona alone contains 203 snake species </w:t>
      </w:r>
      <w:r w:rsidRPr="008608AA">
        <w:rPr>
          <w:sz w:val="24"/>
          <w:szCs w:val="24"/>
          <w:lang w:val="en-US"/>
        </w:rPr>
        <w:fldChar w:fldCharType="begin" w:fldLock="1"/>
      </w:r>
      <w:r w:rsidRPr="008608AA">
        <w:rPr>
          <w:sz w:val="24"/>
          <w:szCs w:val="24"/>
          <w:lang w:val="en-US"/>
        </w:rPr>
        <w:instrText>ADDIN CSL_CITATION { "citationItems" : [ { "id" : "ITEM-1", "itemData" : { "URL" : "http://www.southwesternherp.com/snakes", "author" : [ { "dropping-particle" : "", "family" : "Southwestern Center for Herpetological Research", "given" : "", "non-dropping-particle" : "", "parse-names" : false, "suffix" : "" } ], "id" : "ITEM-1", "issued" : { "date-parts" : [ [ "0" ] ] }, "title" : "Snakes of the American Southwest", "type" : "webpage" }, "uris" : [ "http://www.mendeley.com/documents/?uuid=e93d331f-6f2d-448c-865c-b4307b12fdf6", "http://www.mendeley.com/documents/?uuid=c0670c54-c333-41f1-81c4-b3eec50d253a" ] } ], "mendeley" : { "formattedCitation" : "(Southwestern Center for Herpetological Research, n.d.)", "manualFormatting" : "(Southwestern Center for Herpetological Research, n.d.)", "plainTextFormattedCitation" : "(Southwestern Center for Herpetological Research, n.d.)", "previouslyFormattedCitation" : "(Southwestern Center for Herpetological Research, n.d.)" }, "properties" : { "noteIndex" : 0 }, "schema" : "https://github.com/citation-style-language/schema/raw/master/csl-citation.json" }</w:instrText>
      </w:r>
      <w:r w:rsidRPr="008608AA">
        <w:rPr>
          <w:sz w:val="24"/>
          <w:szCs w:val="24"/>
          <w:lang w:val="en-US"/>
        </w:rPr>
        <w:fldChar w:fldCharType="separate"/>
      </w:r>
      <w:r w:rsidRPr="008608AA">
        <w:rPr>
          <w:noProof/>
          <w:sz w:val="24"/>
          <w:szCs w:val="24"/>
          <w:lang w:val="en-US"/>
        </w:rPr>
        <w:t>(Southwestern Center for Herpetological Research, n.d.)</w:t>
      </w:r>
      <w:r w:rsidRPr="008608AA">
        <w:rPr>
          <w:sz w:val="24"/>
          <w:szCs w:val="24"/>
          <w:lang w:val="en-US"/>
        </w:rPr>
        <w:fldChar w:fldCharType="end"/>
      </w:r>
      <w:r w:rsidRPr="008608AA">
        <w:rPr>
          <w:sz w:val="24"/>
          <w:szCs w:val="24"/>
          <w:lang w:val="en-US"/>
        </w:rPr>
        <w:t xml:space="preserve">, almost two-thirds of the number found in the entire Amazon Basin. </w:t>
      </w:r>
      <w:r w:rsidR="0053268D" w:rsidRPr="008608AA">
        <w:rPr>
          <w:sz w:val="24"/>
          <w:szCs w:val="24"/>
          <w:lang w:val="en-US"/>
        </w:rPr>
        <w:t xml:space="preserve">Unfortunately, many of these species have small home ranges, placing them at a high risk of extinction </w:t>
      </w:r>
      <w:r w:rsidR="0053268D" w:rsidRPr="008608AA">
        <w:rPr>
          <w:sz w:val="24"/>
          <w:szCs w:val="24"/>
          <w:lang w:val="en-US"/>
        </w:rPr>
        <w:fldChar w:fldCharType="begin" w:fldLock="1"/>
      </w:r>
      <w:r w:rsidR="0053268D" w:rsidRPr="008608AA">
        <w:rPr>
          <w:sz w:val="24"/>
          <w:szCs w:val="24"/>
          <w:lang w:val="en-US"/>
        </w:rPr>
        <w:instrText>ADDIN CSL_CITATION { "citationItems" : [ { "id" : "ITEM-1", "itemData" : { "DOI" : "10.1086/284889", "author" : [ { "dropping-particle" : "", "family" : "Pimm", "given" : "S.L.", "non-dropping-particle" : "", "parse-names" : false, "suffix" : "" }, { "dropping-particle" : "", "family" : "Jones", "given" : "H.L.", "non-dropping-particle" : "", "parse-names" : false, "suffix" : "" }, { "dropping-particle" : "", "family" : "Diamond", "given" : "J.", "non-dropping-particle" : "", "parse-names" : false, "suffix" : "" } ], "container-title" : "The American Naturalist", "id" : "ITEM-1", "issue" : "6", "issued" : { "date-parts" : [ [ "1988" ] ] }, "page" : "757-785", "title" : "On the risk of extinction", "type" : "article-journal", "volume" : "132" }, "uris" : [ "http://www.mendeley.com/documents/?uuid=0a5b64d0-5620-4521-85d3-306bdb97fc85" ] } ], "mendeley" : { "formattedCitation" : "(Pimm et al. 1988)", "manualFormatting" : "(Pimm et al., 1988)", "plainTextFormattedCitation" : "(Pimm et al. 1988)", "previouslyFormattedCitation" : "(Pimm et al. 1988)" }, "properties" : { "noteIndex" : 0 }, "schema" : "https://github.com/citation-style-language/schema/raw/master/csl-citation.json" }</w:instrText>
      </w:r>
      <w:r w:rsidR="0053268D" w:rsidRPr="008608AA">
        <w:rPr>
          <w:sz w:val="24"/>
          <w:szCs w:val="24"/>
          <w:lang w:val="en-US"/>
        </w:rPr>
        <w:fldChar w:fldCharType="separate"/>
      </w:r>
      <w:r w:rsidR="0053268D" w:rsidRPr="008608AA">
        <w:rPr>
          <w:noProof/>
          <w:sz w:val="24"/>
          <w:szCs w:val="24"/>
          <w:lang w:val="en-US"/>
        </w:rPr>
        <w:t>(Pimm et al., 1988)</w:t>
      </w:r>
      <w:r w:rsidR="0053268D" w:rsidRPr="008608AA">
        <w:rPr>
          <w:sz w:val="24"/>
          <w:szCs w:val="24"/>
          <w:lang w:val="en-US"/>
        </w:rPr>
        <w:fldChar w:fldCharType="end"/>
      </w:r>
      <w:r w:rsidR="0053268D" w:rsidRPr="008608AA">
        <w:rPr>
          <w:sz w:val="24"/>
          <w:szCs w:val="24"/>
          <w:lang w:val="en-US"/>
        </w:rPr>
        <w:t xml:space="preserve">. Biodiversity of lichens and mosses in dryland biological soil crusts, critical to soil stability and fertility, often exceeds vascular plants </w:t>
      </w:r>
      <w:r w:rsidR="0053268D" w:rsidRPr="008608AA">
        <w:rPr>
          <w:sz w:val="24"/>
          <w:szCs w:val="24"/>
          <w:lang w:val="en-US"/>
        </w:rPr>
        <w:fldChar w:fldCharType="begin" w:fldLock="1"/>
      </w:r>
      <w:r w:rsidR="0053268D" w:rsidRPr="008608AA">
        <w:rPr>
          <w:sz w:val="24"/>
          <w:szCs w:val="24"/>
          <w:lang w:val="en-US"/>
        </w:rPr>
        <w:instrText>ADDIN CSL_CITATION { "citationItems" : [ { "id" : "ITEM-1", "itemData" : { "ISBN" : "978-3-319-30212-6", "author" : [ { "dropping-particle" : "", "family" : "Belnap", "given" : "Jayne", "non-dropping-particle" : "", "parse-names" : false, "suffix" : "" }, { "dropping-particle" : "", "family" : "Weber", "given" : "Bettina", "non-dropping-particle" : "", "parse-names" : false, "suffix" : "" }, { "dropping-particle" : "", "family" : "B\u00fcdel", "given" : "Burkhard", "non-dropping-particle" : "", "parse-names" : false, "suffix" : "" } ], "container-title" : "Biological Soil Crusts: An Organizing Principle in Drylands", "editor" : [ { "dropping-particle" : "", "family" : "Weber, B, B\u00fcdel, B, Belnap", "given" : "J", "non-dropping-particle" : "", "parse-names" : false, "suffix" : "" } ], "id" : "ITEM-1", "issued" : { "date-parts" : [ [ "2016" ] ] }, "page" : "3-13", "publisher" : "Springer International Publishing", "publisher-place" : "Switzerland", "title" : "Biological soil crusts as an organizing principle in drylands", "type" : "chapter" }, "uris" : [ "http://www.mendeley.com/documents/?uuid=f62ffd72-ee49-3f0c-959c-5302cfadf3f6" ] } ], "mendeley" : { "formattedCitation" : "(Belnap et al. 2016)", "manualFormatting" : "(Belnap et al., 2016)", "plainTextFormattedCitation" : "(Belnap et al. 2016)", "previouslyFormattedCitation" : "(Belnap et al. 2016)" }, "properties" : { "noteIndex" : 0 }, "schema" : "https://github.com/citation-style-language/schema/raw/master/csl-citation.json" }</w:instrText>
      </w:r>
      <w:r w:rsidR="0053268D" w:rsidRPr="008608AA">
        <w:rPr>
          <w:sz w:val="24"/>
          <w:szCs w:val="24"/>
          <w:lang w:val="en-US"/>
        </w:rPr>
        <w:fldChar w:fldCharType="separate"/>
      </w:r>
      <w:r w:rsidR="0053268D" w:rsidRPr="008608AA">
        <w:rPr>
          <w:noProof/>
          <w:sz w:val="24"/>
          <w:szCs w:val="24"/>
          <w:lang w:val="en-US"/>
        </w:rPr>
        <w:t>(Belnap et al., 2016)</w:t>
      </w:r>
      <w:r w:rsidR="0053268D" w:rsidRPr="008608AA">
        <w:rPr>
          <w:sz w:val="24"/>
          <w:szCs w:val="24"/>
          <w:lang w:val="en-US"/>
        </w:rPr>
        <w:fldChar w:fldCharType="end"/>
      </w:r>
      <w:r w:rsidR="0053268D" w:rsidRPr="008608AA">
        <w:rPr>
          <w:sz w:val="24"/>
          <w:szCs w:val="24"/>
          <w:lang w:val="en-US"/>
        </w:rPr>
        <w:t>.</w:t>
      </w:r>
    </w:p>
    <w:p w14:paraId="17D2B6F4" w14:textId="3B3CE705" w:rsidR="00843724" w:rsidRDefault="004255E7" w:rsidP="00843724">
      <w:pPr>
        <w:widowControl w:val="0"/>
        <w:autoSpaceDE w:val="0"/>
        <w:autoSpaceDN w:val="0"/>
        <w:adjustRightInd w:val="0"/>
      </w:pPr>
      <w:r w:rsidRPr="008608AA">
        <w:t xml:space="preserve">Current habitat fragmentation, number of globally threatened animal species, and altered fire cycles in these drylands are rated moderate to very high </w:t>
      </w:r>
      <w:r w:rsidRPr="008608AA">
        <w:fldChar w:fldCharType="begin" w:fldLock="1"/>
      </w:r>
      <w:r w:rsidRPr="008608AA">
        <w:instrText>ADDIN CSL_CITATION { "citationItems" : [ { "id" : "ITEM-1", "itemData" : { "ISBN" : "9780520262560", "abstract" : "The Atlas of Global Conservation is a premier resource for everyone concerned about the natural world. Top scientists at The Nature Conservancy have joined forces to create this guide to the state of the planet today. With over 80 full-color maps and other graphics contextualized with clear, informative discussion, this book offers an unprecedented view of trends across the world's terrestrial, marine, and freshwater environments. Interspersed throughout, essays by noted international authorities point the way forward in confronting some of our greatest conservation challenges.--Publisher information. A new view of our home / Mark Tercek -- Conservation connections / Paul R. Ehrlich -- Introduction : Why Ecoregions? / Taylor Ricketts ; Terrestrial ecoregions, realms, and biomes ; Freshwater ecoregions and basins ; Marine ecoregions, provinces, and realms ; The stories that maps tell / Jon Christensen -- Habitats : Forests and woodlands: giving trees ; Grasslands: where the buffalo roamed ; Deserts and aridlands: hardy life under harsh conditions ; Rivers and wetlands: the planet's lifeblood ; Lakes: fragile pools of life ; Caves and karst: troves of subterranean species ; Hope in Habitats / Steven J. McCormick ; Coasts and shelves: the sea's sunlit margins ; Coral reefs: crown jewels of the ocean ; Mangrove forests: bridging land and sea ; Seagrass beds: marine meadows ; Salt marshes: living filters along our coasts ; High seas and deep oceans: Earth's uncharted \"inner space\" -- Species : Plants: a vital variety ; Freshwater fish: a diverse cast ; Amphibians: fragile markers of the planet's health ; Reptiles : prehistoric survivors ; Migrations / Martin Wikelski, David S. Wilcove ; Birds: everyday, everywhere wildlife ; Mammals: shared destiny with our closest kin ; Endemic species: in the narrowest niches ; Evolutionary distinction: branches on the tree of life ; Promoting livelihoods, saving nature / Greg Mock -- A world of change : Human population: outnumbering nature ; Consuming nature: running out of planet? ; Climate change: the planetary emergency ; Ultimate agents of global change / Joel E. Cohen ; Habitat loss on land: going, going ... ; Coastal development: reshaping the seashore ; Bottom trawling and dredging: scouring the seafloor ; Landscape fragmentation: going to pieces ; Thwarted fish runs: up against a wall -- Global contamination of the biosphere / John Peterson Myers ; Freshwater pollution: clear but hazardous ; Nitrogen pollution: t\u2026", "author" : [ { "dropping-particle" : "", "family" : "Hoekstra", "given" : "Jonathan M.", "non-dropping-particle" : "", "parse-names" : false, "suffix" : "" }, { "dropping-particle" : "", "family" : "Molnar", "given" : "Jennifer L.", "non-dropping-particle" : "", "parse-names" : false, "suffix" : "" }, { "dropping-particle" : "", "family" : "Jennings", "given" : "M.", "non-dropping-particle" : "", "parse-names" : false, "suffix" : "" }, { "dropping-particle" : "", "family" : "Revenga", "given" : "C.", "non-dropping-particle" : "", "parse-names" : false, "suffix" : "" }, { "dropping-particle" : "", "family" : "Spalding", "given" : "M. D.", "non-dropping-particle" : "", "parse-names" : false, "suffix" : "" }, { "dropping-particle" : "", "family" : "Boucher", "given" : "Timothy M.", "non-dropping-particle" : "", "parse-names" : false, "suffix" : "" }, { "dropping-particle" : "", "family" : "Robertson", "given" : "J.C.", "non-dropping-particle" : "", "parse-names" : false, "suffix" : "" }, { "dropping-particle" : "", "family" : "Heibel", "given" : "T.J.", "non-dropping-particle" : "", "parse-names" : false, "suffix" : "" }, { "dropping-particle" : "", "family" : "Elllison", "given" : "K.", "non-dropping-particle" : "", "parse-names" : false, "suffix" : "" } ], "editor" : [ { "dropping-particle" : "", "family" : "Molnar", "given" : "J. L.", "non-dropping-particle" : "", "parse-names" : false, "suffix" : "" } ], "id" : "ITEM-1", "issued" : { "date-parts" : [ [ "2010" ] ] }, "number-of-pages" : "234", "publisher" : "University of California Press", "publisher-place" : "Berkeley, USA", "title" : "The Atlas of Global Conservation: Changes, Challenges, and Opportunities to Make a Difference", "type" : "book" }, "uris" : [ "http://www.mendeley.com/documents/?uuid=3064c0e0-e47e-327b-b571-a0541bf35019" ] } ], "mendeley" : { "formattedCitation" : "(Hoekstra et al., 2010)", "plainTextFormattedCitation" : "(Hoekstra et al., 2010)", "previouslyFormattedCitation" : "(Hoekstra et al., 2010)" }, "properties" : { "noteIndex" : 0 }, "schema" : "https://github.com/citation-style-language/schema/raw/master/csl-citation.json" }</w:instrText>
      </w:r>
      <w:r w:rsidRPr="008608AA">
        <w:fldChar w:fldCharType="separate"/>
      </w:r>
      <w:r w:rsidRPr="008608AA">
        <w:rPr>
          <w:noProof/>
        </w:rPr>
        <w:t>(Hoekstra et al., 2010)</w:t>
      </w:r>
      <w:r w:rsidRPr="008608AA">
        <w:fldChar w:fldCharType="end"/>
      </w:r>
      <w:r w:rsidRPr="008608AA">
        <w:t xml:space="preserve">. In Mexican drylands, fragmentation is greatest in coastal deserts </w:t>
      </w:r>
      <w:r w:rsidRPr="008608AA">
        <w:rPr>
          <w:b/>
        </w:rPr>
        <w:fldChar w:fldCharType="begin" w:fldLock="1"/>
      </w:r>
      <w:r w:rsidRPr="008608AA">
        <w:rPr>
          <w:b/>
        </w:rPr>
        <w:instrText>ADDIN CSL_CITATION { "citationItems" : [ { "id" : "ITEM-1", "itemData" : { "ISSN" : "2007-4492", "abstract" : "En este trabajo se presentan las tendencias generales de los ecosistemas \u00e1ridos y semi\u00e1ridos del norte del pa\u00eds con relaci\u00f3n a su conocimiento bot\u00e1nico, p\u00e9rdida de h\u00e1bitat natural y fragmentaci\u00f3n, utilizando para ello los inventarios bot\u00e1nicos obtenidos para un periodo de 171 a\u00f1os relacion\u00e1ndolos espacialmente con las clases de uso de suelo y vegetaci\u00f3n definidas por INEGI. En otra escala de an\u00e1lisis, se presenta el cambio de uso del suelo para los matorrales de la Regi\u00f3n del Cabo de Baja California Sur, mediante un an\u00e1lisis sobre las \u00e1reas degradadas obtenidas para el periodo 1993-2001. Se presenta la magnitud de los cambios de uso de suelo debido al incremento de asentamientos humanos, la conversi\u00f3n agropecuaria y el incremento de las v\u00edas de comunicaci\u00f3n rurales; asimismo se discuten las consecuencias ecol\u00f3gicas de la p\u00e9rdida de cobertura vegetal en la biodiversidad y en los procesos ecosist\u00e9micos asociados a estos desiertos costero", "author" : [ { "dropping-particle" : "", "family" : "Arriaga", "given" : "Laura", "non-dropping-particle" : "", "parse-names" : false, "suffix" : "" } ], "container-title" : "Investigaci\u00f3n ambiental: Ciencia y Pol\u00edtica P\u00fablica", "id" : "ITEM-1", "issue" : "1", "issued" : { "date-parts" : [ [ "2009" ] ] }, "page" : "6-16", "title" : "Implicaciones del cambio de uso de suelo en la biodiversidad de los matorrales xer\u00f3filos: un enfoque multiescalar", "type" : "article-journal", "volume" : "1" }, "uris" : [ "http://www.mendeley.com/documents/?uuid=c509108a-e96a-3541-8829-f252718458e1" ] } ], "mendeley" : { "formattedCitation" : "(Arriaga, 2009)", "plainTextFormattedCitation" : "(Arriaga, 2009)", "previouslyFormattedCitation" : "(Arriaga, 2009)" }, "properties" : { "noteIndex" : 0 }, "schema" : "https://github.com/citation-style-language/schema/raw/master/csl-citation.json" }</w:instrText>
      </w:r>
      <w:r w:rsidRPr="008608AA">
        <w:rPr>
          <w:b/>
        </w:rPr>
        <w:fldChar w:fldCharType="separate"/>
      </w:r>
      <w:r w:rsidRPr="008608AA">
        <w:rPr>
          <w:noProof/>
        </w:rPr>
        <w:t>(Arriaga, 2009)</w:t>
      </w:r>
      <w:r w:rsidRPr="008608AA">
        <w:rPr>
          <w:b/>
        </w:rPr>
        <w:fldChar w:fldCharType="end"/>
      </w:r>
      <w:r w:rsidRPr="008608AA">
        <w:t>. One fragmentation index indicates that the largest mean parcel size of intact habitat in North America is only about 4% of the total extent of the dryland ecoregion (Figure 3.22). Nearly all drylands in North America and Mexico have been grazed by livestock relatively heavily at some point since European settlement; it is thus difficult to know how current ecosystems differ from those present before then. Estimates of departure of current vegetation conditions in the dryland biome relative to undisturbed dryland conditions based on the vegetation departure index are high in many areas of the biome, frequently more extreme than in agricultural or urban environments (Figure 3.22).</w:t>
      </w:r>
    </w:p>
    <w:p w14:paraId="2A778688" w14:textId="77777777" w:rsidR="00843724" w:rsidRDefault="00843724" w:rsidP="00843724">
      <w:pPr>
        <w:widowControl w:val="0"/>
        <w:autoSpaceDE w:val="0"/>
        <w:autoSpaceDN w:val="0"/>
        <w:adjustRightInd w:val="0"/>
      </w:pPr>
    </w:p>
    <w:p w14:paraId="4497E09C" w14:textId="2DF7D5D2" w:rsidR="00581F86" w:rsidRPr="008608AA" w:rsidRDefault="00FF0580" w:rsidP="00843724">
      <w:pPr>
        <w:widowControl w:val="0"/>
        <w:autoSpaceDE w:val="0"/>
        <w:autoSpaceDN w:val="0"/>
        <w:adjustRightInd w:val="0"/>
      </w:pPr>
      <w:r w:rsidRPr="008608AA">
        <w:rPr>
          <w:noProof/>
          <w:lang w:val="en-GB" w:eastAsia="en-GB"/>
        </w:rPr>
        <w:drawing>
          <wp:inline distT="0" distB="0" distL="0" distR="0" wp14:anchorId="163DF358" wp14:editId="579E6BAE">
            <wp:extent cx="5686425" cy="4253409"/>
            <wp:effectExtent l="0" t="0" r="0" b="0"/>
            <wp:docPr id="30326" name="Imagen 30326" descr="C:\Users\Alejandro Valderrama\Downloads\Fig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3" descr="C:\Users\Alejandro Valderrama\Downloads\Fig3.22.jpg"/>
                    <pic:cNvPicPr>
                      <a:picLocks noChangeAspect="1" noChangeArrowheads="1"/>
                    </pic:cNvPicPr>
                  </pic:nvPicPr>
                  <pic:blipFill rotWithShape="1">
                    <a:blip r:embed="rId137">
                      <a:extLst>
                        <a:ext uri="{28A0092B-C50C-407E-A947-70E740481C1C}">
                          <a14:useLocalDpi xmlns:a14="http://schemas.microsoft.com/office/drawing/2010/main" val="0"/>
                        </a:ext>
                      </a:extLst>
                    </a:blip>
                    <a:srcRect b="48107"/>
                    <a:stretch/>
                  </pic:blipFill>
                  <pic:spPr bwMode="auto">
                    <a:xfrm>
                      <a:off x="0" y="0"/>
                      <a:ext cx="5689791" cy="4255927"/>
                    </a:xfrm>
                    <a:prstGeom prst="rect">
                      <a:avLst/>
                    </a:prstGeom>
                    <a:noFill/>
                    <a:ln>
                      <a:noFill/>
                    </a:ln>
                    <a:extLst>
                      <a:ext uri="{53640926-AAD7-44D8-BBD7-CCE9431645EC}">
                        <a14:shadowObscured xmlns:a14="http://schemas.microsoft.com/office/drawing/2010/main"/>
                      </a:ext>
                    </a:extLst>
                  </pic:spPr>
                </pic:pic>
              </a:graphicData>
            </a:graphic>
          </wp:inline>
        </w:drawing>
      </w:r>
    </w:p>
    <w:p w14:paraId="492AB190" w14:textId="77777777" w:rsidR="00F600EB" w:rsidRPr="008608AA" w:rsidRDefault="004255E7" w:rsidP="00CA48E9">
      <w:pPr>
        <w:widowControl w:val="0"/>
        <w:autoSpaceDE w:val="0"/>
        <w:autoSpaceDN w:val="0"/>
        <w:adjustRightInd w:val="0"/>
        <w:rPr>
          <w:lang w:val="es-CO"/>
        </w:rPr>
      </w:pPr>
      <w:r w:rsidRPr="008608AA">
        <w:rPr>
          <w:lang w:val="es-CO"/>
        </w:rPr>
        <w:t xml:space="preserve"> </w:t>
      </w:r>
    </w:p>
    <w:p w14:paraId="33A9F7D5" w14:textId="7FC2C04F" w:rsidR="00F600EB" w:rsidRPr="008608AA" w:rsidRDefault="00581F86" w:rsidP="00581F86">
      <w:pPr>
        <w:pStyle w:val="Caption"/>
        <w:rPr>
          <w:sz w:val="20"/>
          <w:lang w:val="es-CO"/>
        </w:rPr>
      </w:pPr>
      <w:r w:rsidRPr="008608AA">
        <w:rPr>
          <w:lang w:val="es-CO"/>
        </w:rPr>
        <w:t xml:space="preserve">Box </w:t>
      </w:r>
      <w:r w:rsidR="00BD08BA" w:rsidRPr="008608AA">
        <w:rPr>
          <w:lang w:val="es-CO"/>
        </w:rPr>
        <w:fldChar w:fldCharType="begin"/>
      </w:r>
      <w:r w:rsidR="00BD08BA" w:rsidRPr="008608AA">
        <w:rPr>
          <w:lang w:val="es-CO"/>
        </w:rPr>
        <w:instrText xml:space="preserve"> STYLEREF 1 \s </w:instrText>
      </w:r>
      <w:r w:rsidR="00BD08BA" w:rsidRPr="008608AA">
        <w:rPr>
          <w:lang w:val="es-CO"/>
        </w:rPr>
        <w:fldChar w:fldCharType="separate"/>
      </w:r>
      <w:r w:rsidR="00402074">
        <w:rPr>
          <w:noProof/>
          <w:lang w:val="es-CO"/>
        </w:rPr>
        <w:t>3</w:t>
      </w:r>
      <w:r w:rsidR="00BD08BA" w:rsidRPr="008608AA">
        <w:rPr>
          <w:lang w:val="es-CO"/>
        </w:rPr>
        <w:fldChar w:fldCharType="end"/>
      </w:r>
      <w:r w:rsidR="00BD08BA" w:rsidRPr="008608AA">
        <w:rPr>
          <w:lang w:val="es-CO"/>
        </w:rPr>
        <w:t>.</w:t>
      </w:r>
      <w:r w:rsidR="00BD08BA" w:rsidRPr="008608AA">
        <w:rPr>
          <w:lang w:val="es-CO"/>
        </w:rPr>
        <w:fldChar w:fldCharType="begin"/>
      </w:r>
      <w:r w:rsidR="00BD08BA" w:rsidRPr="008608AA">
        <w:rPr>
          <w:lang w:val="es-CO"/>
        </w:rPr>
        <w:instrText xml:space="preserve"> SEQ Box \* ARABIC \s 1 </w:instrText>
      </w:r>
      <w:r w:rsidR="00BD08BA" w:rsidRPr="008608AA">
        <w:rPr>
          <w:lang w:val="es-CO"/>
        </w:rPr>
        <w:fldChar w:fldCharType="separate"/>
      </w:r>
      <w:r w:rsidR="00402074">
        <w:rPr>
          <w:noProof/>
          <w:lang w:val="es-CO"/>
        </w:rPr>
        <w:t>7</w:t>
      </w:r>
      <w:r w:rsidR="00BD08BA" w:rsidRPr="008608AA">
        <w:rPr>
          <w:lang w:val="es-CO"/>
        </w:rPr>
        <w:fldChar w:fldCharType="end"/>
      </w:r>
      <w:r w:rsidRPr="008608AA">
        <w:rPr>
          <w:lang w:val="es-CO"/>
        </w:rPr>
        <w:t xml:space="preserve">. </w:t>
      </w:r>
      <w:r w:rsidR="00F600EB" w:rsidRPr="008608AA">
        <w:rPr>
          <w:b w:val="0"/>
          <w:bCs w:val="0"/>
          <w:sz w:val="20"/>
          <w:lang w:val="es-CO"/>
        </w:rPr>
        <w:t xml:space="preserve">. </w:t>
      </w:r>
      <w:r w:rsidR="00F600EB" w:rsidRPr="008608AA">
        <w:rPr>
          <w:lang w:val="es-CO"/>
        </w:rPr>
        <w:t>The Cuatro Ciénegas Basin in Coahuila, Mexico</w:t>
      </w:r>
      <w:r w:rsidR="00CA48E9" w:rsidRPr="008608AA">
        <w:rPr>
          <w:lang w:val="es-CO"/>
        </w:rPr>
        <w:t>.</w:t>
      </w:r>
    </w:p>
    <w:tbl>
      <w:tblPr>
        <w:tblStyle w:val="TableGrid"/>
        <w:tblW w:w="5000" w:type="pct"/>
        <w:tblLook w:val="04A0" w:firstRow="1" w:lastRow="0" w:firstColumn="1" w:lastColumn="0" w:noHBand="0" w:noVBand="1"/>
      </w:tblPr>
      <w:tblGrid>
        <w:gridCol w:w="9487"/>
      </w:tblGrid>
      <w:tr w:rsidR="001C5394" w:rsidRPr="00843724" w14:paraId="203C6922" w14:textId="77777777" w:rsidTr="00F600EB">
        <w:tc>
          <w:tcPr>
            <w:tcW w:w="5000" w:type="pct"/>
          </w:tcPr>
          <w:p w14:paraId="5410B6AA" w14:textId="32FBE6CB" w:rsidR="001C5394" w:rsidRPr="00843724" w:rsidRDefault="0050590F" w:rsidP="00581F86">
            <w:pPr>
              <w:widowControl w:val="0"/>
              <w:autoSpaceDE w:val="0"/>
              <w:autoSpaceDN w:val="0"/>
              <w:adjustRightInd w:val="0"/>
              <w:spacing w:before="120" w:after="120"/>
              <w:rPr>
                <w:rFonts w:asciiTheme="majorHAnsi" w:eastAsia="Calibri" w:hAnsiTheme="majorHAnsi" w:cs="Calibri"/>
                <w:b/>
                <w:i/>
                <w:iCs/>
                <w:szCs w:val="22"/>
              </w:rPr>
            </w:pPr>
            <w:r w:rsidRPr="00843724">
              <w:rPr>
                <w:szCs w:val="22"/>
              </w:rPr>
              <w:t xml:space="preserve">This ultra-low nutrient oasis in the Chihuahuan desert is extremely diverse, hosting at least 99 micro-endemic species and an equally wide array of microbial mats and stromatolites with ancestral marine lineages </w:t>
            </w:r>
            <w:r w:rsidRPr="00843724">
              <w:rPr>
                <w:szCs w:val="22"/>
              </w:rPr>
              <w:fldChar w:fldCharType="begin" w:fldLock="1"/>
            </w:r>
            <w:r w:rsidRPr="00843724">
              <w:rPr>
                <w:szCs w:val="22"/>
              </w:rPr>
              <w:instrText>ADDIN CSL_CITATION { "citationItems" : [ { "id" : "ITEM-1", "itemData" : { "URL" : "https//www.conabio.gob.mx", "id" : "ITEM-1", "issued" : { "date-parts" : [ [ "0" ] ] }, "title" : "CONABIO database", "type" : "webpage" }, "uris" : [ "http://www.mendeley.com/documents/?uuid=93362e51-7b1f-4a16-b4bc-db8a97120839" ] } ], "mendeley" : { "formattedCitation" : "(\u201cCONABIO database,\u201d n.d.)", "manualFormatting" : "(CONABIO database, n.d.)", "plainTextFormattedCitation" : "(\u201cCONABIO database,\u201d n.d.)", "previouslyFormattedCitation" : "(\u201cCONABIO database,\u201d n.d.)" }, "properties" : { "noteIndex" : 0 }, "schema" : "https://github.com/citation-style-language/schema/raw/master/csl-citation.json" }</w:instrText>
            </w:r>
            <w:r w:rsidRPr="00843724">
              <w:rPr>
                <w:szCs w:val="22"/>
              </w:rPr>
              <w:fldChar w:fldCharType="separate"/>
            </w:r>
            <w:r w:rsidRPr="00843724">
              <w:rPr>
                <w:noProof/>
                <w:szCs w:val="22"/>
              </w:rPr>
              <w:t>(CONABIO database, n.d.)</w:t>
            </w:r>
            <w:r w:rsidRPr="00843724">
              <w:rPr>
                <w:szCs w:val="22"/>
              </w:rPr>
              <w:fldChar w:fldCharType="end"/>
            </w:r>
            <w:r w:rsidRPr="00843724">
              <w:rPr>
                <w:szCs w:val="22"/>
              </w:rPr>
              <w:t xml:space="preserve">. The water’s extremely low phosphorus content is characteristic of ancient ocean chemistry, earning it the nickname “Precambrian Park” </w:t>
            </w:r>
            <w:r w:rsidRPr="00843724">
              <w:rPr>
                <w:szCs w:val="22"/>
              </w:rPr>
              <w:fldChar w:fldCharType="begin" w:fldLock="1"/>
            </w:r>
            <w:r w:rsidRPr="00843724">
              <w:rPr>
                <w:szCs w:val="22"/>
              </w:rPr>
              <w:instrText>ADDIN CSL_CITATION { "citationItems" : [ { "id" : "ITEM-1", "itemData" : { "author" : [ { "dropping-particle" : "", "family" : "Redfield", "given" : "Alfred C.", "non-dropping-particle" : "", "parse-names" : false, "suffix" : "" } ], "container-title" : "James Johnstone Memorial Volume", "id" : "ITEM-1", "issued" : { "date-parts" : [ [ "1934" ] ] }, "page" : "176-192", "publisher" : "University Press of Liverpool", "publisher-place" : "Liverpool, UK", "title" : "On the proportions of organic derivatives in sea water and their relation to the composition of plankton", "type" : "chapter" }, "uris" : [ "http://www.mendeley.com/documents/?uuid=b9c11201-bab6-4f3a-bacc-cc6b5cc08731" ] }, { "id" : "ITEM-2", "itemData" : { "DOI" : "10.1089/ast.2011.0675", "ISBN" : "1531-1074", "ISSN" : "1531-1074", "PMID" : "22920514", "abstract" : "The Cuatro Ci\u00e9negas Basin (CCB) is a rare oasis in the Chihuahuan Desert in the state of Coahuila, Mexico. It has a biological endemism similar to that of the Galapagos Islands, and its spring-fed ecosystems have very low nutrient content (nitrogen or phosphorous) and are dominated by diverse microbialites. Thus, it has proven to be a distinctive opportunity for the field of astrobiology, as the CCB can be seen as a proxy for an earlier time in Earth's history, in particular the late Precambrian, the biological frontier when prokaryotic life yielded at least partial dominance to eukaryotes and multicellular life. It is a kind of ecological time machine that provides abundant opportunities for collaborative investigations by geochemists, geologists, ecologists, and population biologists in the study of the evolutionary processes that structured Earth-based life, especially in the microbial realm. The CCB is an object of investigation for the identification of biosignatures of past and present biota that can be used in our search for extraterrestrial life. In this review, we summarize CCB research efforts that began with microbial ecology and population biology projects and have since been expanded into broader efforts that involve biogeochemistry, comparative genomics, and assessments of biosignatures. We also propose that, in the future, the CCB is sanctioned as a \"Precambrian Park\" for astrobiology.", "author" : [ { "dropping-particle" : "", "family" : "Souza", "given" : "Valeria", "non-dropping-particle" : "", "parse-names" : false, "suffix" : "" }, { "dropping-particle" : "", "family" : "Siefert", "given" : "Janet L.", "non-dropping-particle" : "", "parse-names" : false, "suffix" : "" }, { "dropping-particle" : "", "family" : "Escalante", "given" : "Ana E.", "non-dropping-particle" : "", "parse-names" : false, "suffix" : "" }, { "dropping-particle" : "", "family" : "Elser", "given" : "James J.", "non-dropping-particle" : "", "parse-names" : false, "suffix" : "" }, { "dropping-particle" : "", "family" : "Eguiarte", "given" : "Luis E.", "non-dropping-particle" : "", "parse-names" : false, "suffix" : "" } ], "container-title" : "Astrobiology", "id" : "ITEM-2", "issue" : "7", "issued" : { "date-parts" : [ [ "2012" ] ] }, "page" : "641-647", "title" : "The Cuatro Ci\u00e9negas Basin in Coahuila, Mexico: an astrobiological Precambrian park", "type" : "article-journal", "volume" : "12" }, "uris" : [ "http://www.mendeley.com/documents/?uuid=cd978d6b-ec89-4526-b0f6-cfd7a578ed59" ] } ], "mendeley" : { "formattedCitation" : "(Redfield, 1934; Souza, Siefert, Escalante, Elser, &amp; Eguiarte, 2012)", "manualFormatting" : "(Redfield, 1934; Souza et al., 2012)", "plainTextFormattedCitation" : "(Redfield, 1934; Souza, Siefert, Escalante, Elser, &amp; Eguiarte, 2012)", "previouslyFormattedCitation" : "(Redfield, 1934; Souza, Siefert, Escalante, Elser, &amp; Eguiarte, 2012)" }, "properties" : { "noteIndex" : 0 }, "schema" : "https://github.com/citation-style-language/schema/raw/master/csl-citation.json" }</w:instrText>
            </w:r>
            <w:r w:rsidRPr="00843724">
              <w:rPr>
                <w:szCs w:val="22"/>
              </w:rPr>
              <w:fldChar w:fldCharType="separate"/>
            </w:r>
            <w:r w:rsidRPr="00843724">
              <w:rPr>
                <w:noProof/>
                <w:szCs w:val="22"/>
              </w:rPr>
              <w:t>(Redfield, 1934; Souza et al., 2012)</w:t>
            </w:r>
            <w:r w:rsidRPr="00843724">
              <w:rPr>
                <w:szCs w:val="22"/>
              </w:rPr>
              <w:fldChar w:fldCharType="end"/>
            </w:r>
            <w:r w:rsidRPr="00843724">
              <w:rPr>
                <w:b/>
                <w:szCs w:val="22"/>
              </w:rPr>
              <w:t>.</w:t>
            </w:r>
            <w:r w:rsidRPr="00843724">
              <w:rPr>
                <w:szCs w:val="22"/>
              </w:rPr>
              <w:t xml:space="preserve"> It exceeds diversity of other aquatic pools within desert systems globally by several orders of magnitude in the case of microbes and manyfold for other groups, such as spiders. Viral diversity is higher here than any other site in the world, reflecting the diversity of their bacterial and eukaryotic prey. The level of macrofauna endemism is equal to that of the </w:t>
            </w:r>
            <w:r w:rsidR="00CA48E9" w:rsidRPr="00843724">
              <w:rPr>
                <w:szCs w:val="22"/>
              </w:rPr>
              <w:t xml:space="preserve">Galápagos </w:t>
            </w:r>
            <w:r w:rsidRPr="00843724">
              <w:rPr>
                <w:szCs w:val="22"/>
              </w:rPr>
              <w:t xml:space="preserve">and is higher than anywhere in North or Mesoamerica </w:t>
            </w:r>
            <w:r w:rsidRPr="00843724">
              <w:rPr>
                <w:szCs w:val="22"/>
              </w:rPr>
              <w:fldChar w:fldCharType="begin" w:fldLock="1"/>
            </w:r>
            <w:r w:rsidRPr="00843724">
              <w:rPr>
                <w:szCs w:val="22"/>
              </w:rPr>
              <w:instrText>ADDIN CSL_CITATION { "citationItems" : [ { "id" : "ITEM-1", "itemData" : { "editor" : [ { "dropping-particle" : "", "family" : "Stein", "given" : "B.A.", "non-dropping-particle" : "", "parse-names" : false, "suffix" : "" }, { "dropping-particle" : "", "family" : "Kutner", "given" : "L.S.", "non-dropping-particle" : "", "parse-names" : false, "suffix" : "" }, { "dropping-particle" : "", "family" : "Adams", "given" : "J.S.", "non-dropping-particle" : "", "parse-names" : false, "suffix" : "" } ], "id" : "ITEM-1", "issued" : { "date-parts" : [ [ "2000" ] ] }, "publisher" : "Oxford University Press", "publisher-place" : "New York, USA", "title" : "Precious Heritage: The Status of Biodiversity in the United States", "type" : "book" }, "uris" : [ "http://www.mendeley.com/documents/?uuid=d137cb22-3e35-4312-ae75-5ea7aa2362ed" ] } ], "mendeley" : { "formattedCitation" : "(Stein, Kutner, &amp; Adams, 2000)", "manualFormatting" : "(Stein et al., 2000)", "plainTextFormattedCitation" : "(Stein, Kutner, &amp; Adams, 2000)", "previouslyFormattedCitation" : "(Stein, Kutner, &amp; Adams, 2000)" }, "properties" : { "noteIndex" : 0 }, "schema" : "https://github.com/citation-style-language/schema/raw/master/csl-citation.json" }</w:instrText>
            </w:r>
            <w:r w:rsidRPr="00843724">
              <w:rPr>
                <w:szCs w:val="22"/>
              </w:rPr>
              <w:fldChar w:fldCharType="separate"/>
            </w:r>
            <w:r w:rsidRPr="00843724">
              <w:rPr>
                <w:noProof/>
                <w:szCs w:val="22"/>
              </w:rPr>
              <w:t>(Stein et al., 2000)</w:t>
            </w:r>
            <w:r w:rsidRPr="00843724">
              <w:rPr>
                <w:szCs w:val="22"/>
              </w:rPr>
              <w:fldChar w:fldCharType="end"/>
            </w:r>
            <w:r w:rsidRPr="00843724">
              <w:rPr>
                <w:b/>
                <w:szCs w:val="22"/>
              </w:rPr>
              <w:t>.</w:t>
            </w:r>
            <w:r w:rsidRPr="00843724">
              <w:rPr>
                <w:szCs w:val="22"/>
              </w:rPr>
              <w:t xml:space="preserve"> Many species are new to science and still in the process of being described. The unusual geological history of this area explains its biodiversity: a large portion of the ancient Tethys Sea became entrapped by the regional uplift of the Sierra Madre Oriental and Occidental, isolating ancient seawater communities and leaving them to evolve independently </w:t>
            </w:r>
            <w:r w:rsidRPr="00843724">
              <w:rPr>
                <w:szCs w:val="22"/>
              </w:rPr>
              <w:fldChar w:fldCharType="begin" w:fldLock="1"/>
            </w:r>
            <w:r w:rsidRPr="00843724">
              <w:rPr>
                <w:szCs w:val="22"/>
              </w:rPr>
              <w:instrText>ADDIN CSL_CITATION { "citationItems" : [ { "id" : "ITEM-1", "itemData" : { "DOI" : "10.1073/pnas.0601434103", "ISBN" : "0027-8424 (Print)", "ISSN" : "0027-8424", "PMID" : "16618921", "abstract" : "The Cuatro Cienegas basin in the Chihuahuan desert is a system of springs, streams, and pools. These ecosystems support &gt;70 endemic species and abundant living stromatolites and other microbial communities, representing a desert oasis of high biodiversity. Here, we combine data from molecular microbiology and geology to document the microbial biodiversity of this unique environment. Ten water samples from locations within the Cuatro Cienegas basin and two neighboring valleys as well as three samples of wet sediments were analyzed. The phylogeny of prokaryotic populations in the samples was determined by characterizing cultured organisms and by PCR amplification and sequencing of 16S rRNA genes from total community DNA. The composition of microbial communities was also assessed by determining profiles of terminal restriction site polymorphisms of 16S rRNA genes in total community DNA. There were 250 different phylotypes among the 350 cultivated strains. Ninety-eight partial 16S rRNA gene sequences were obtained and classified. The clones represented 38 unique phylotypes from ten major lineages of Bacteria and one of Archaea. Unexpectedly, 50% of the phylotypes were most closely related to marine taxa, even though these environments have not been in contact with the ocean for tens of millions of years. Furthermore, terminal restriction site polymorphism profiles and geological data suggest that the aquatic ecosystems of Cuatro Cienegas are hydrologically interconnected with adjacent valleys recently targeted for agricultural intensification. The findings underscore the conservation value of desert aquatic ecosystems and the urgent need for study and preservation of freshwater microbial communities.", "author" : [ { "dropping-particle" : "", "family" : "Souza", "given" : "Valeria", "non-dropping-particle" : "", "parse-names" : false, "suffix" : "" }, { "dropping-particle" : "", "family" : "Espinosa-Asuar", "given" : "Laura", "non-dropping-particle" : "", "parse-names" : false, "suffix" : "" }, { "dropping-particle" : "", "family" : "Escalante", "given" : "Ana E.", "non-dropping-particle" : "", "parse-names" : false, "suffix" : "" }, { "dropping-particle" : "", "family" : "Eguiarte", "given" : "Luis E.", "non-dropping-particle" : "", "parse-names" : false, "suffix" : "" }, { "dropping-particle" : "", "family" : "Farmer", "given" : "Jack", "non-dropping-particle" : "", "parse-names" : false, "suffix" : "" }, { "dropping-particle" : "", "family" : "Forney", "given" : "Larry", "non-dropping-particle" : "", "parse-names" : false, "suffix" : "" }, { "dropping-particle" : "", "family" : "Lloret", "given" : "Lourdes", "non-dropping-particle" : "", "parse-names" : false, "suffix" : "" }, { "dropping-particle" : "", "family" : "Rodr\u00edguez-Mart\u00ednez", "given" : "Juan M.", "non-dropping-particle" : "", "parse-names" : false, "suffix" : "" }, { "dropping-particle" : "", "family" : "Sober\u00f3n", "given" : "Xavier", "non-dropping-particle" : "", "parse-names" : false, "suffix" : "" }, { "dropping-particle" : "", "family" : "Dirzo", "given" : "Rodolfo", "non-dropping-particle" : "", "parse-names" : false, "suffix" : "" }, { "dropping-particle" : "", "family" : "Elser", "given" : "James J.", "non-dropping-particle" : "", "parse-names" : false, "suffix" : "" } ], "container-title" : "PNAS", "id" : "ITEM-1", "issue" : "17", "issued" : { "date-parts" : [ [ "2006" ] ] }, "page" : "6565-6570", "title" : "An endangered oasis of aquatic microbial biodiversity in the Chihuahuan desert", "type" : "article-journal", "volume" : "103" }, "uris" : [ "http://www.mendeley.com/documents/?uuid=43e48c5c-a4a9-4c79-9962-6a0277009746" ] }, { "id" : "ITEM-2", "itemData" : { "author" : [ { "dropping-particle" : "", "family" : "Ferrusqu\u00eda-Villafranca", "given" : "I.", "non-dropping-particle" : "", "parse-names" : false, "suffix" : "" }, { "dropping-particle" : "", "family" : "Gonz\u00e1lez-Guzm\u00e1n", "given" : "L. I.", "non-dropping-particle" : "", "parse-names" : false, "suffix" : "" }, { "dropping-particle" : "", "family" : "Cartron", "given" : "J. E.", "non-dropping-particle" : "", "parse-names" : false, "suffix" : "" } ], "container-title" : "Biodiversity, Ecosystems, and Conservation in Northern Mexico", "editor" : [ { "dropping-particle" : "", "family" : "Cartron", "given" : "J.E.", "non-dropping-particle" : "", "parse-names" : false, "suffix" : "" }, { "dropping-particle" : "", "family" : "Ceballos", "given" : "G.", "non-dropping-particle" : "", "parse-names" : false, "suffix" : "" }, { "dropping-particle" : "", "family" : "Felger", "given" : "R.S.", "non-dropping-particle" : "", "parse-names" : false, "suffix" : "" } ], "id" : "ITEM-2", "issued" : { "date-parts" : [ [ "2005" ] ] }, "page" : "11-38", "publisher" : "Oxford University Press", "publisher-place" : "New York, USA", "title" : "Northern Mexico\u2019s landscape, part I: the physical setting and constraints on modeling biotic evolution", "type" : "chapter" }, "uris" : [ "http://www.mendeley.com/documents/?uuid=d27f3333-336d-41e0-aace-5c90ff3b22e1" ] }, { "id" : "ITEM-3", "itemData" : { "DOI" : "10.1038/nrmicro1917", "ISBN" : "1740-1534 (Electronic)", "ISSN" : "1740-1526", "PMID" : "18521074", "abstract" : "There is increasing evidence for the existence of unique ecosystems that are dominated by locally adapted microbiota which harbour distinct lineages and biological capabilities, much like the macrobiota of Darwin's Galapagos Islands. As a primary example of such a system, we highlight key discoveries from the Cuatro Ci\u00e9negas basin in Mexico. We argue that high microbial endemism requires a combination of geographical isolation, long-term continuity and mechanisms for reducing the intensity of horizontal gene transfer (HGT). We also propose that strong phosphorus limitation has an important role in microbial diversification by reducing the intensity of HGT.", "author" : [ { "dropping-particle" : "", "family" : "Souza", "given" : "Valeria", "non-dropping-particle" : "", "parse-names" : false, "suffix" : "" }, { "dropping-particle" : "", "family" : "Eguiarte", "given" : "Luis E.", "non-dropping-particle" : "", "parse-names" : false, "suffix" : "" }, { "dropping-particle" : "", "family" : "Siefert", "given" : "Janet", "non-dropping-particle" : "", "parse-names" : false, "suffix" : "" }, { "dropping-particle" : "", "family" : "Elser", "given" : "James J.", "non-dropping-particle" : "", "parse-names" : false, "suffix" : "" } ], "container-title" : "Nature Reviews Microbiology", "id" : "ITEM-3", "issue" : "7", "issued" : { "date-parts" : [ [ "2008" ] ] }, "page" : "559-564", "title" : "Microbial endemism: does phosphorus limitation enhance speciation?", "type" : "article-journal", "volume" : "6" }, "uris" : [ "http://www.mendeley.com/documents/?uuid=3895e7a8-cc69-4b2b-b0dd-fb1f2a5581fb" ] }, { "id" : "ITEM-4", "itemData" : { "DOI" : "10.1089/ast.2011.0675", "ISBN" : "1531-1074", "ISSN" : "1531-1074", "PMID" : "22920514", "abstract" : "The Cuatro Ci\u00e9negas Basin (CCB) is a rare oasis in the Chihuahuan Desert in the state of Coahuila, Mexico. It has a biological endemism similar to that of the Galapagos Islands, and its spring-fed ecosystems have very low nutrient content (nitrogen or phosphorous) and are dominated by diverse microbialites. Thus, it has proven to be a distinctive opportunity for the field of astrobiology, as the CCB can be seen as a proxy for an earlier time in Earth's history, in particular the late Precambrian, the biological frontier when prokaryotic life yielded at least partial dominance to eukaryotes and multicellular life. It is a kind of ecological time machine that provides abundant opportunities for collaborative investigations by geochemists, geologists, ecologists, and population biologists in the study of the evolutionary processes that structured Earth-based life, especially in the microbial realm. The CCB is an object of investigation for the identification of biosignatures of past and present biota that can be used in our search for extraterrestrial life. In this review, we summarize CCB research efforts that began with microbial ecology and population biology projects and have since been expanded into broader efforts that involve biogeochemistry, comparative genomics, and assessments of biosignatures. We also propose that, in the future, the CCB is sanctioned as a \"Precambrian Park\" for astrobiology.", "author" : [ { "dropping-particle" : "", "family" : "Souza", "given" : "Valeria", "non-dropping-particle" : "", "parse-names" : false, "suffix" : "" }, { "dropping-particle" : "", "family" : "Siefert", "given" : "Janet L.", "non-dropping-particle" : "", "parse-names" : false, "suffix" : "" }, { "dropping-particle" : "", "family" : "Escalante", "given" : "Ana E.", "non-dropping-particle" : "", "parse-names" : false, "suffix" : "" }, { "dropping-particle" : "", "family" : "Elser", "given" : "James J.", "non-dropping-particle" : "", "parse-names" : false, "suffix" : "" }, { "dropping-particle" : "", "family" : "Eguiarte", "given" : "Luis E.", "non-dropping-particle" : "", "parse-names" : false, "suffix" : "" } ], "container-title" : "Astrobiology", "id" : "ITEM-4", "issue" : "7", "issued" : { "date-parts" : [ [ "2012" ] ] }, "page" : "641-647", "title" : "The Cuatro Ci\u00e9negas Basin in Coahuila, Mexico: an astrobiological Precambrian park", "type" : "article-journal", "volume" : "12" }, "uris" : [ "http://www.mendeley.com/documents/?uuid=cd978d6b-ec89-4526-b0f6-cfd7a578ed59" ] } ], "mendeley" : { "formattedCitation" : "(Ferrusqu\u00eda-Villafranca, Gonz\u00e1lez-Guzm\u00e1n, &amp; Cartron, 2005; Souza et al., 2006; Souza, Eguiarte, Siefert, &amp; Elser, 2008; Souza et al., 2012)", "manualFormatting" : "(Ferrusqu\u00eda-Villafranca et al., 2005; Souza et al., 2006, 2008, 2012)", "plainTextFormattedCitation" : "(Ferrusqu\u00eda-Villafranca, Gonz\u00e1lez-Guzm\u00e1n, &amp; Cartron, 2005; Souza et al., 2006; Souza, Eguiarte, Siefert, &amp; Elser, 2008; Souza et al., 2012)", "previouslyFormattedCitation" : "(Ferrusqu\u00eda-Villafranca, Gonz\u00e1lez-Guzm\u00e1n, &amp; Cartron, 2005; Souza et al., 2006; Souza, Eguiarte, Siefert, &amp; Elser, 2008; Souza et al., 2012)" }, "properties" : { "noteIndex" : 0 }, "schema" : "https://github.com/citation-style-language/schema/raw/master/csl-citation.json" }</w:instrText>
            </w:r>
            <w:r w:rsidRPr="00843724">
              <w:rPr>
                <w:szCs w:val="22"/>
              </w:rPr>
              <w:fldChar w:fldCharType="separate"/>
            </w:r>
            <w:r w:rsidRPr="00843724">
              <w:rPr>
                <w:noProof/>
                <w:szCs w:val="22"/>
              </w:rPr>
              <w:t>(Ferrusquía-Villafranca et al., 2005; Souza et al., 2006, 2008, 2012)</w:t>
            </w:r>
            <w:r w:rsidRPr="00843724">
              <w:rPr>
                <w:szCs w:val="22"/>
              </w:rPr>
              <w:fldChar w:fldCharType="end"/>
            </w:r>
            <w:r w:rsidRPr="00843724">
              <w:rPr>
                <w:b/>
                <w:szCs w:val="22"/>
              </w:rPr>
              <w:t>.</w:t>
            </w:r>
            <w:r w:rsidRPr="00843724">
              <w:rPr>
                <w:szCs w:val="22"/>
              </w:rPr>
              <w:t xml:space="preserve"> Due to intensive agriculture, 90% of Churince, the most widely studied part of the basin, has disappeared since 2006, with most of the loss occurring in 2017; the remaining 10% is unique since most of the species are microendemic to the basin and their unique site. The whole Cuatro Ciénegas Basin is threatened by the intensified use of the deep aquifer for agriculture, causing water to be drained at a very rapid pace.</w:t>
            </w:r>
          </w:p>
        </w:tc>
      </w:tr>
    </w:tbl>
    <w:p w14:paraId="5639F55B" w14:textId="77777777" w:rsidR="004255E7" w:rsidRPr="008608AA" w:rsidRDefault="0050590F" w:rsidP="00581F86">
      <w:pPr>
        <w:spacing w:before="120" w:after="120"/>
        <w:rPr>
          <w:i/>
          <w:iCs/>
        </w:rPr>
      </w:pPr>
      <w:r w:rsidRPr="008608AA">
        <w:t>D</w:t>
      </w:r>
      <w:r w:rsidR="004255E7" w:rsidRPr="008608AA">
        <w:t xml:space="preserve">ryland regions contain significant numbers of species that occupy habitats that have always had a very restricted range and thus are at high risk to disturbance. Reptile declines are associated with habitat loss. Individual desert tortoises occasionally move long distances between populations </w:t>
      </w:r>
      <w:r w:rsidR="004255E7" w:rsidRPr="008608AA">
        <w:fldChar w:fldCharType="begin" w:fldLock="1"/>
      </w:r>
      <w:r w:rsidR="004255E7" w:rsidRPr="008608AA">
        <w:instrText>ADDIN CSL_CITATION { "citationItems" : [ { "id" : "ITEM-1", "itemData" : { "author" : [ { "dropping-particle" : "", "family" : "Edwards", "given" : "T.", "non-dropping-particle" : "", "parse-names" : false, "suffix" : "" }, { "dropping-particle" : "", "family" : "Schwalbe", "given" : "C.R.", "non-dropping-particle" : "", "parse-names" : false, "suffix" : "" }, { "dropping-particle" : "", "family" : "Swann", "given" : "D.E.", "non-dropping-particle" : "", "parse-names" : false, "suffix" : "" }, { "dropping-particle" : "", "family" : "Goldberg", "given" : "C.S.", "non-dropping-particle" : "", "parse-names" : false, "suffix" : "" } ], "container-title" : "Conservation Genetics", "id" : "ITEM-1", "issue" : "4", "issued" : { "date-parts" : [ [ "2004" ] ] }, "page" : "485-499", "title" : "Implications of anthropogenic landscape change on inter-population movements of the desert tortoise (Gopherus agassizii).", "type" : "article-journal", "volume" : "5" }, "uris" : [ "http://www.mendeley.com/documents/?uuid=e26b51b9-63c3-42c0-bdfa-42b7618e66b1" ] } ], "mendeley" : { "formattedCitation" : "(Edwards, Schwalbe, Swann, &amp; Goldberg, 2004)", "manualFormatting" : "(Edwards et al., 2004)", "plainTextFormattedCitation" : "(Edwards, Schwalbe, Swann, &amp; Goldberg, 2004)", "previouslyFormattedCitation" : "(Edwards, Schwalbe, Swann, &amp; Goldberg, 2004)" }, "properties" : { "noteIndex" : 0 }, "schema" : "https://github.com/citation-style-language/schema/raw/master/csl-citation.json" }</w:instrText>
      </w:r>
      <w:r w:rsidR="004255E7" w:rsidRPr="008608AA">
        <w:fldChar w:fldCharType="separate"/>
      </w:r>
      <w:r w:rsidR="004255E7" w:rsidRPr="008608AA">
        <w:rPr>
          <w:noProof/>
        </w:rPr>
        <w:t>(Edwards et al., 2004)</w:t>
      </w:r>
      <w:r w:rsidR="004255E7" w:rsidRPr="008608AA">
        <w:fldChar w:fldCharType="end"/>
      </w:r>
      <w:r w:rsidR="004255E7" w:rsidRPr="008608AA">
        <w:t>, but movement is increasingly difficult for tortoises due to habitat fragmentation. The main cause of a decline in the bunchgrass lizard (</w:t>
      </w:r>
      <w:r w:rsidR="004255E7" w:rsidRPr="008608AA">
        <w:rPr>
          <w:i/>
          <w:iCs/>
        </w:rPr>
        <w:t>Sceloporus scalaris</w:t>
      </w:r>
      <w:r w:rsidR="004255E7" w:rsidRPr="008608AA">
        <w:t xml:space="preserve">) in the Chiricahua Mountains in southeastern Arizona, USA, has been attributed to the loss of native bunchgrasses due to cattle grazing </w:t>
      </w:r>
      <w:r w:rsidR="004255E7" w:rsidRPr="008608AA">
        <w:fldChar w:fldCharType="begin" w:fldLock="1"/>
      </w:r>
      <w:r w:rsidR="004255E7" w:rsidRPr="008608AA">
        <w:instrText>ADDIN CSL_CITATION { "citationItems" : [ { "id" : "ITEM-1", "itemData" : { "author" : [ { "dropping-particle" : "", "family" : "Ballinger", "given" : "R.E.", "non-dropping-particle" : "", "parse-names" : false, "suffix" : "" }, { "dropping-particle" : "", "family" : "Congdon", "given" : "J.D.", "non-dropping-particle" : "", "parse-names" : false, "suffix" : "" } ], "container-title" : "Bulletin of the Maryland Herpetological Society", "id" : "ITEM-1", "issued" : { "date-parts" : [ [ "1996" ] ] }, "page" : "67-69", "title" : "Status of the bunch grass lizard, &lt;i&gt;Sceloporus scalaris&lt;/i&gt;, in the Chiricahua mountains of southeastern Arizona", "type" : "article-journal", "volume" : "32" }, "uris" : [ "http://www.mendeley.com/documents/?uuid=032b4d69-0f71-474d-a028-f84b61e31f31" ] } ], "mendeley" : { "formattedCitation" : "(Ballinger &amp; Congdon, 1996)", "manualFormatting" : "(Ballinger &amp; Congdon, 1996)", "plainTextFormattedCitation" : "(Ballinger &amp; Congdon, 1996)", "previouslyFormattedCitation" : "(Ballinger &amp; Congdon, 1996)" }, "properties" : { "noteIndex" : 0 }, "schema" : "https://github.com/citation-style-language/schema/raw/master/csl-citation.json" }</w:instrText>
      </w:r>
      <w:r w:rsidR="004255E7" w:rsidRPr="008608AA">
        <w:fldChar w:fldCharType="separate"/>
      </w:r>
      <w:r w:rsidR="004255E7" w:rsidRPr="008608AA">
        <w:rPr>
          <w:noProof/>
        </w:rPr>
        <w:t>(Ballinger &amp; Congdon, 1996)</w:t>
      </w:r>
      <w:r w:rsidR="004255E7" w:rsidRPr="008608AA">
        <w:fldChar w:fldCharType="end"/>
      </w:r>
      <w:r w:rsidR="004255E7" w:rsidRPr="008608AA">
        <w:t>. This lizard requires bunchgrasses for cover and protection from predators and harsh winter conditions.</w:t>
      </w:r>
    </w:p>
    <w:p w14:paraId="088694AE" w14:textId="07FF5121" w:rsidR="004255E7" w:rsidRPr="008608AA" w:rsidRDefault="004255E7" w:rsidP="00581F86">
      <w:pPr>
        <w:spacing w:after="120"/>
      </w:pPr>
      <w:r w:rsidRPr="008608AA">
        <w:rPr>
          <w:iCs/>
        </w:rPr>
        <w:t>Recent trends</w:t>
      </w:r>
      <w:r w:rsidR="00176FC5" w:rsidRPr="008608AA">
        <w:rPr>
          <w:iCs/>
        </w:rPr>
        <w:t xml:space="preserve">. </w:t>
      </w:r>
      <w:r w:rsidRPr="008608AA">
        <w:t xml:space="preserve">Habitat loss between 2000 and 2009 is estimated at 15–60% in North America </w:t>
      </w:r>
      <w:r w:rsidRPr="008608AA">
        <w:fldChar w:fldCharType="begin" w:fldLock="1"/>
      </w:r>
      <w:r w:rsidRPr="008608AA">
        <w:instrText>ADDIN CSL_CITATION { "citationItems" : [ { "id" : "ITEM-1", "itemData" : { "ISBN" : "978-607-7607-08-3", "author" : [ { "dropping-particle" : "", "family" : "Challenger", "given" : "A.", "non-dropping-particle" : "", "parse-names" : false, "suffix" : "" }, { "dropping-particle" : "", "family" : "Dirzo", "given" : "R.", "non-dropping-particle" : "", "parse-names" : false, "suffix" : "" } ], "container-title" : "Capital Natural de M\u00e9xico, Vol. II: Estado de Conservaci\u00f3n y Tendencias de Cambio", "editor" : [ { "dropping-particle" : "", "family" : "Sarukh\u00e1n", "given" : "Jos\u00e9", "non-dropping-particle" : "", "parse-names" : false, "suffix" : "" } ], "id" : "ITEM-1", "issued" : { "date-parts" : [ [ "2009" ] ] }, "page" : "37-73", "publisher" : "CONABIO", "publisher-place" : "Mexico City, Mexico", "title" : "Factores de cambio y estado de la biodiversidad", "type" : "chapter" }, "uris" : [ "http://www.mendeley.com/documents/?uuid=3ab2f8e7-1213-4f59-9e4e-6e5929508ba9", "http://www.mendeley.com/documents/?uuid=e52aac8b-7d8d-4c8d-abff-2c97ec51462d" ] }, { "id" : "ITEM-2", "itemData" : { "ISBN" : "9780520262560", "abstract" : "The Atlas of Global Conservation is a premier resource for everyone concerned about the natural world. Top scientists at The Nature Conservancy have joined forces to create this guide to the state of the planet today. With over 80 full-color maps and other graphics contextualized with clear, informative discussion, this book offers an unprecedented view of trends across the world's terrestrial, marine, and freshwater environments. Interspersed throughout, essays by noted international authorities point the way forward in confronting some of our greatest conservation challenges.--Publisher information. A new view of our home / Mark Tercek -- Conservation connections / Paul R. Ehrlich -- Introduction : Why Ecoregions? / Taylor Ricketts ; Terrestrial ecoregions, realms, and biomes ; Freshwater ecoregions and basins ; Marine ecoregions, provinces, and realms ; The stories that maps tell / Jon Christensen -- Habitats : Forests and woodlands: giving trees ; Grasslands: where the buffalo roamed ; Deserts and aridlands: hardy life under harsh conditions ; Rivers and wetlands: the planet's lifeblood ; Lakes: fragile pools of life ; Caves and karst: troves of subterranean species ; Hope in Habitats / Steven J. McCormick ; Coasts and shelves: the sea's sunlit margins ; Coral reefs: crown jewels of the ocean ; Mangrove forests: bridging land and sea ; Seagrass beds: marine meadows ; Salt marshes: living filters along our coasts ; High seas and deep oceans: Earth's uncharted \"inner space\" -- Species : Plants: a vital variety ; Freshwater fish: a diverse cast ; Amphibians: fragile markers of the planet's health ; Reptiles : prehistoric survivors ; Migrations / Martin Wikelski, David S. Wilcove ; Birds: everyday, everywhere wildlife ; Mammals: shared destiny with our closest kin ; Endemic species: in the narrowest niches ; Evolutionary distinction: branches on the tree of life ; Promoting livelihoods, saving nature / Greg Mock -- A world of change : Human population: outnumbering nature ; Consuming nature: running out of planet? ; Climate change: the planetary emergency ; Ultimate agents of global change / Joel E. Cohen ; Habitat loss on land: going, going ... ; Coastal development: reshaping the seashore ; Bottom trawling and dredging: scouring the seafloor ; Landscape fragmentation: going to pieces ; Thwarted fish runs: up against a wall -- Global contamination of the biosphere / John Peterson Myers ; Freshwater pollution: clear but hazardous ; Nitrogen pollution: t\u2026", "author" : [ { "dropping-particle" : "", "family" : "Hoekstra", "given" : "Jonathan M.", "non-dropping-particle" : "", "parse-names" : false, "suffix" : "" }, { "dropping-particle" : "", "family" : "Molnar", "given" : "Jennifer L.", "non-dropping-particle" : "", "parse-names" : false, "suffix" : "" }, { "dropping-particle" : "", "family" : "Jennings", "given" : "M.", "non-dropping-particle" : "", "parse-names" : false, "suffix" : "" }, { "dropping-particle" : "", "family" : "Revenga", "given" : "C.", "non-dropping-particle" : "", "parse-names" : false, "suffix" : "" }, { "dropping-particle" : "", "family" : "Spalding", "given" : "M. D.", "non-dropping-particle" : "", "parse-names" : false, "suffix" : "" }, { "dropping-particle" : "", "family" : "Boucher", "given" : "Timothy M.", "non-dropping-particle" : "", "parse-names" : false, "suffix" : "" }, { "dropping-particle" : "", "family" : "Robertson", "given" : "J.C.", "non-dropping-particle" : "", "parse-names" : false, "suffix" : "" }, { "dropping-particle" : "", "family" : "Heibel", "given" : "T.J.", "non-dropping-particle" : "", "parse-names" : false, "suffix" : "" }, { "dropping-particle" : "", "family" : "Elllison", "given" : "K.", "non-dropping-particle" : "", "parse-names" : false, "suffix" : "" } ], "editor" : [ { "dropping-particle" : "", "family" : "Molnar", "given" : "J. L.", "non-dropping-particle" : "", "parse-names" : false, "suffix" : "" } ], "id" : "ITEM-2", "issued" : { "date-parts" : [ [ "2010" ] ] }, "number-of-pages" : "234", "publisher" : "University of California Press", "publisher-place" : "Berkeley, USA", "title" : "The Atlas of Global Conservation: Changes, Challenges, and Opportunities to Make a Difference", "type" : "book" }, "uris" : [ "http://www.mendeley.com/documents/?uuid=3064c0e0-e47e-327b-b571-a0541bf35019" ] } ], "mendeley" : { "formattedCitation" : "(Challenger &amp; Dirzo, 2009; Hoekstra et al., 2010)", "plainTextFormattedCitation" : "(Challenger &amp; Dirzo, 2009; Hoekstra et al., 2010)", "previouslyFormattedCitation" : "(Challenger &amp; Dirzo, 2009; Hoekstra et al., 2010)" }, "properties" : { "noteIndex" : 0 }, "schema" : "https://github.com/citation-style-language/schema/raw/master/csl-citation.json" }</w:instrText>
      </w:r>
      <w:r w:rsidRPr="008608AA">
        <w:fldChar w:fldCharType="separate"/>
      </w:r>
      <w:r w:rsidRPr="008608AA">
        <w:rPr>
          <w:noProof/>
        </w:rPr>
        <w:t>(Challenger &amp; Dirzo, 2009; Hoekstra et al., 2010)</w:t>
      </w:r>
      <w:r w:rsidRPr="008608AA">
        <w:fldChar w:fldCharType="end"/>
      </w:r>
      <w:r w:rsidRPr="008608AA">
        <w:t xml:space="preserve">. Biodiversity, soil health, and most associated ecosystem functions have declined over the past 50 years across these regions </w:t>
      </w:r>
      <w:r w:rsidRPr="008608AA">
        <w:fldChar w:fldCharType="begin" w:fldLock="1"/>
      </w:r>
      <w:r w:rsidRPr="008608AA">
        <w:instrText xml:space="preserve">ADDIN CSL_CITATION { "citationItems" : [ { "id" : "ITEM-1", "itemData" : { "author" : [ { "dropping-particle" : "", "family" : "Sarukh\u00e1n", "given" : "Jos\u00e9", "non-dropping-particle" : "", "parse-names" : false, "suffix" : "" }, { "dropping-particle" : "", "family" : "Urquiza-Haas", "given" : "Tania", "non-dropping-particle" : "", "parse-names" : false, "suffix" : "" }, { "dropping-particle" : "", "family" : "Koleff", "given" : "Patricia", "non-dropping-particle" : "", "parse-names" : false, "suffix" : "" }, { "dropping-particle" : "", "family" : "Carabias", "given" : "Julia", "non-dropping-particle" : "", "parse-names" : false, "suffix" : "" }, { "dropping-particle" : "", "family" : "Dirzo", "given" : "Rodolfo", "non-dropping-particle" : "", "parse-names" : false, "suffix" : "" }, { "dropping-particle" : "", "family" : "Ezcurra", "given" : "Exequiel", "non-dropping-particle" : "", "parse-names" : false, "suffix" : "" }, { "dropping-particle" : "", "family" : "Cerdeira-Estrada", "given" : "Sergio", "non-dropping-particle" : "", "parse-names" : false, "suffix" : "" }, { "dropping-particle" : "", "family" : "Sober\u00f3n.", "given" : "Jorge", "non-dropping-particle" : "", "parse-names" : false, "suffix" : "" } ], "container-title" : "BioScience", "id" : "ITEM-1", "issue" : "2", "issued" : { "date-parts" : [ [ "2015" ] ] }, "page" : "164-173", "title" : "Strategic actions to value, conserve, and restore the natural capital of megadiversity countries: the case of Mexico", "type" : "article-journal", "volume" : "65" }, "uris" : [ "http://www.mendeley.com/documents/?uuid=f13049d1-aa6b-4bdd-9bda-f7992bf8cfc2" ] }, { "id" : "ITEM-2", "itemData" : { "abstract" : "The world\u2019s deserts, which cover about a third of the land surface and occur in every continent including Antarctica, are areas with severe shortage of moisture. One consequence has been a wide range of unusual and spectacular landforms, sculpted by wind, occasional but strong rainfalls and ancient riverine systems. As a result of the aridity, the landforms and the processes that led to their formation remain clearly visible, uncovered by extensive vegetation. The fauna and flora of deserts often shows unusual, often extreme, adaptations to their arid habitats. The purpose of this study is to advise State Parties to the World Heritage Committee on nonpolar deserts as potential World Heritage Sites of Outstanding Universal Value with a focus on geomorphological aspects. It also discusses some of the issues relating to the integrity and management of these areas and the need to conserve them. This study is produced as part of IUCN\u2019s role as advisory body to the UNESCO World Heritage Convention on natural heritage.", "author" : [ { "dropping-particle" : "", "family" : "Goudie", "given" : "A", "non-dropping-particle" : "", "parse-names" : false, "suffix" : "" }, { "dropping-particle" : "", "family" : "Seely", "given" : "M", "non-dropping-particle" : "", "parse-names" : false, "suffix" : "" } ], "id" : "ITEM-2", "issued" : { "date-parts" : [ [ "2011" ] ] }, "number-of-pages" : "44", "publisher" : "International Union for Conservation of Nature (IUCN)", "publisher-place" : "Gland, Switzerland", "title" : "World Heritage Desert Landscapes: Potential Priorities for the Recognition of Desert Landscapes and Geomorphological Sites on the World Heritage List", "type" : "book" }, "uris" : [ "http://www.mendeley.com/documents/?uuid=674c871f-8e96-37a7-9e54-8a0ebc8e91e5" ] }, { "id" : "ITEM-3", "itemData" : { "DOI" : "10.1038/nature06111", "ISBN" : "0028-0836", "ISSN" : "14764687", "PMID" : "17851524", "abstract" : "Humans and climate affect ecosystems and their services, which may involve continuous and discontinuous transitions from one stable state to another. Discontinuous transitions are abrupt, irreversible and among the most catastrophic changes of ecosystems identified. For terrestrial ecosystems, it has been hypothesized that vegetation patchiness could be used as a signature of imminent transitions. Here, we analyse how vegetation patchiness changes in arid ecosystems with different grazing pressures, using both field data and a modelling approach. In the modelling approach, we extrapolated our analysis to even higher grazing pressures to investigate the vegetation patchiness when desertification is imminent. In three arid Mediterranean ecosystems in Spain, Greece and Morocco, we found that the patch-size distribution of the vegetation follows a power law. Using a stochastic cellular automaton model, we show that local positive interactions among plants can explain such power-law distributions. Furthermore, with increasing grazing pressure, the field data revealed consistent deviations from power laws. Increased grazing pressure leads to similar deviations in the model. When grazing was further increased in the model, we found that these deviations always and only occurred close to transition to desert, independent of the type of transition, and regardless of the vegetation cover. Therefore, we propose that patch-size distributions may be a warning signal for the onset of desertification.", "author" : [ { "dropping-particle" : "", "family" : "K\u00e9fi", "given" : "Sonia", "non-dropping-particle" : "", "parse-names" : false, "suffix" : "" }, { "dropping-particle" : "", "family" : "Rietkerk", "given" : "Max", "non-dropping-particle" : "", "parse-names" : false, "suffix" : "" }, { "dropping-particle" : "", "family" : "Alados", "given" : "Concepci\u00f3n L.", "non-dropping-particle" : "", "parse-names" : false, "suffix" : "" }, { "dropping-particle" : "", "family" : "Pueyo", "given" : </w:instrText>
      </w:r>
      <w:r w:rsidRPr="008608AA">
        <w:rPr>
          <w:lang w:val="fr-CA"/>
        </w:rPr>
        <w:instrText>"Yolanda", "non-dropping-particle" : "", "parse-names" : false, "suffix" : "" }, { "dropping-particle" : "", "family" : "Papanastasis", "given" : "Vasilios P.", "non-dropping-particle" : "", "parse-names" : false, "suffix" : "" }, { "dropping-particle" : "", "family" : "ElAich", "given" : "Ahmed", "non-dropping-particle" : "", "parse-names" : false, "suffix" : "" }, { "dropping-particle" : "", "family" : "Ruiter", "given" : "Peter C.", "non-dropping-particle" : "De", "parse-names" : false, "suffix" : "" } ], "container-title" : "Nature", "id" : "ITEM-3", "issue" : "7159", "issued" : { "date-parts" : [ [ "2007" ] ] }, "page" : "213-217", "title" : "Spatial vegetation patterns and imminent desertification in Mediterranean arid ecosystems", "type" : "article-journal", "volume" : "449" }, "uris" : [ "http://www.mendeley.com/documents/?uuid=67914dee-acdc-4d6f-b6f8-a92a0d03494e" ] } ], "mendeley" : { "formattedCitation" : "(Goudie &amp; Seely, 2011; K\u00e9fi et al., 2007; Sarukh\u00e1n et al., 2015)", "manualFormatting" : "(e.g., http://www.biodiversitymapping.org; Goudie &amp; Seely, 2011; K\u00e9fi et al., 2007; Sarukh\u00e1n et al., 2015)", "plainTextFormattedCitation" : "(Goudie &amp; Seely, 2011; K\u00e9fi et al., 2007; Sarukh\u00e1n et al., 2015)", "previouslyFormattedCitation" : "(Goudie &amp; Seely, 2011; K\u00e9fi et al., 2007; Sarukh\u00e1n et al., 2015)" }, "properties" : { "noteIndex" : 0 }, "schema" : "https://github.com/citation-style-language/schema/raw/master/csl-citation.json" }</w:instrText>
      </w:r>
      <w:r w:rsidRPr="008608AA">
        <w:fldChar w:fldCharType="separate"/>
      </w:r>
      <w:r w:rsidR="006B7FFC" w:rsidRPr="008608AA">
        <w:rPr>
          <w:noProof/>
          <w:lang w:val="fr-CA"/>
        </w:rPr>
        <w:t>(e.g.</w:t>
      </w:r>
      <w:r w:rsidRPr="008608AA">
        <w:rPr>
          <w:noProof/>
          <w:lang w:val="fr-CA"/>
        </w:rPr>
        <w:t xml:space="preserve"> http://www.biodiversitymapping.org; Goudie &amp; Seely, 2011; Kéfi et al., 2007; Sarukhán et al., 2015)</w:t>
      </w:r>
      <w:r w:rsidRPr="008608AA">
        <w:fldChar w:fldCharType="end"/>
      </w:r>
      <w:r w:rsidRPr="008608AA">
        <w:rPr>
          <w:lang w:val="fr-CA"/>
        </w:rPr>
        <w:t xml:space="preserve">. </w:t>
      </w:r>
      <w:r w:rsidRPr="008608AA">
        <w:t>Biodiversity loss can be severe, as in the case of the highly specialized dune sagebrush lizard (</w:t>
      </w:r>
      <w:r w:rsidRPr="008608AA">
        <w:rPr>
          <w:i/>
        </w:rPr>
        <w:t>Sceloporus arenicolus</w:t>
      </w:r>
      <w:r w:rsidRPr="008608AA">
        <w:t>) of sandy depressions of dunes semi-stabilized by Shinnery oak (</w:t>
      </w:r>
      <w:r w:rsidRPr="008608AA">
        <w:rPr>
          <w:i/>
        </w:rPr>
        <w:t>Quercus havardii</w:t>
      </w:r>
      <w:r w:rsidRPr="008608AA">
        <w:t xml:space="preserve">) </w:t>
      </w:r>
      <w:r w:rsidRPr="008608AA">
        <w:fldChar w:fldCharType="begin" w:fldLock="1"/>
      </w:r>
      <w:r w:rsidRPr="008608AA">
        <w:instrText>ADDIN CSL_CITATION { "citationItems" : [ { "id" : "ITEM-1", "itemData" : { "author" : [ { "dropping-particle" : "", "family" : "Ryberg", "given" : "W.A.", "non-dropping-particle" : "", "parse-names" : false, "suffix" : "" }, { "dropping-particle" : "", "family" : "Hill", "given" : "M.T.", "non-dropping-particle" : "", "parse-names" : false, "suffix" : "" }, { "dropping-particle" : "", "family" : "Painter", "given" : "C.W.", "non-dropping-particle" : "", "parse-names" : false, "suffix" : "" }, { "dropping-particle" : "", "family" : "Fitzgerald", "given" : "L.A.", "non-dropping-particle" : "", "parse-names" : false, "suffix" : "" } ], "container-title" : "Conservation Biology", "id" : "ITEM-1", "issue" : "3", "issued" : { "date-parts" : [ [ "2014" ] ] }, "page" : "888\u2013898", "title" : "Linking irreplaceable landforms in a self-organizing landscape to sensitivity of population vital rates for an ecological specialist", "type" : "article-journal", "volume" : "29" }, "uris" : [ "http://www.mendeley.com/documents/?uuid=3321e733-86ba-48fd-a79c-05ccf3bb14ba" ] } ], "mendeley" : { "formattedCitation" : "(Ryberg, Hill, Painter, &amp; Fitzgerald, 2014)", "manualFormatting" : "(Ryberg et al", "plainTextFormattedCitation" : "(Ryberg, Hill, Painter, &amp; Fitzgerald, 2014)", "previouslyFormattedCitation" : "(Ryberg, Hill, Painter, &amp; Fitzgerald, 2014)" }, "properties" : { "noteIndex" : 0 }, "schema" : "https://github.com/citation-style-language/schema/raw/master/csl-citation.json" }</w:instrText>
      </w:r>
      <w:r w:rsidRPr="008608AA">
        <w:fldChar w:fldCharType="separate"/>
      </w:r>
      <w:r w:rsidRPr="008608AA">
        <w:rPr>
          <w:noProof/>
        </w:rPr>
        <w:t>(Ryberg et al</w:t>
      </w:r>
      <w:r w:rsidRPr="008608AA">
        <w:fldChar w:fldCharType="end"/>
      </w:r>
      <w:r w:rsidRPr="008608AA">
        <w:t>., 2014). These dunes are currently experiencing a large amount of energy exploration and development, resulting in their mobilization and thus severe loss of lizards and their habitat. A 13-year study of the twin-spotted rattlesnake (</w:t>
      </w:r>
      <w:r w:rsidRPr="008608AA">
        <w:rPr>
          <w:i/>
          <w:iCs/>
        </w:rPr>
        <w:t>Crotalus pricei</w:t>
      </w:r>
      <w:r w:rsidRPr="008608AA">
        <w:t xml:space="preserve">) found that the age class structure has been skewed toward younger snakes, probably due to illegal collection of snakes for the pet trade </w:t>
      </w:r>
      <w:r w:rsidRPr="008608AA">
        <w:fldChar w:fldCharType="begin" w:fldLock="1"/>
      </w:r>
      <w:r w:rsidRPr="008608AA">
        <w:instrText>ADDIN CSL_CITATION { "citationItems" : [ { "id" : "ITEM-1", "itemData" : { "author" : [ { "dropping-particle" : "", "family" : "Prival", "given" : "D. B.", "non-dropping-particle" : "", "parse-names" : false, "suffix" : "" }, { "dropping-particle" : "", "family" : "Schroff", "given" : "M. J.", "non-dropping-particle" : "", "parse-names" : false, "suffix" : "" } ], "container-title" : "Herpetological Monographs", "id" : "ITEM-1", "issue" : "1", "issued" : { "date-parts" : [ [ "2012" ] ] }, "page" : "1-18", "title" : "A 13-year study of a northern population of twin-spotted rattlesnakes (&lt;i&gt;Crotalus pricei&lt;/i&gt;): growth, reproduction, survival, and conservation", "type" : "article-journal", "volume" : "26" }, "uris" : [ "http://www.mendeley.com/documents/?uuid=176f1000-3601-4f46-9e25-fe870dc19323" ] } ], "mendeley" : { "formattedCitation" : "(Prival &amp; Schroff, 2012)", "plainTextFormattedCitation" : "(Prival &amp; Schroff, 2012)", "previouslyFormattedCitation" : "(Prival &amp; Schroff, 2012)" }, "properties" : { "noteIndex" : 0 }, "schema" : "https://github.com/citation-style-language/schema/raw/master/csl-citation.json" }</w:instrText>
      </w:r>
      <w:r w:rsidRPr="008608AA">
        <w:fldChar w:fldCharType="separate"/>
      </w:r>
      <w:r w:rsidRPr="008608AA">
        <w:rPr>
          <w:noProof/>
        </w:rPr>
        <w:t>(Prival &amp; Schroff, 2012)</w:t>
      </w:r>
      <w:r w:rsidRPr="008608AA">
        <w:fldChar w:fldCharType="end"/>
      </w:r>
      <w:r w:rsidRPr="008608AA">
        <w:t xml:space="preserve">. Unique ecosystems like the </w:t>
      </w:r>
      <w:r w:rsidRPr="008608AA">
        <w:rPr>
          <w:bCs/>
        </w:rPr>
        <w:t>Cuatro Ciénegas Basin in Coahuila, Mexico (Box 3.7) have experienced recent losses of microbial biodiversity found nowhere else on Earth.</w:t>
      </w:r>
    </w:p>
    <w:p w14:paraId="3614D422" w14:textId="7AAFD94B" w:rsidR="00581F86" w:rsidRPr="008608AA" w:rsidRDefault="004255E7" w:rsidP="005143C5">
      <w:pPr>
        <w:spacing w:after="120"/>
      </w:pPr>
      <w:r w:rsidRPr="008608AA">
        <w:t>Loss of sagebrush habitat in the western USA has also impacted biodiversity, including the sage-grouse. This bird was once widespread and common, inhabiting, at the time of European settlement, what was a relatively uninterrupted vast (~46,521 km</w:t>
      </w:r>
      <w:r w:rsidRPr="008608AA">
        <w:rPr>
          <w:vertAlign w:val="superscript"/>
        </w:rPr>
        <w:t>2</w:t>
      </w:r>
      <w:r w:rsidRPr="008608AA">
        <w:t>) sea of sagebrush (</w:t>
      </w:r>
      <w:r w:rsidRPr="008608AA">
        <w:rPr>
          <w:i/>
        </w:rPr>
        <w:t>Artemisia tridentata tridentata</w:t>
      </w:r>
      <w:r w:rsidRPr="008608AA">
        <w:t>) (http://sagemap.wr.usgs.gov). Due to agricultural cropping, fire, grazing, and energy extraction, this bird now occupies about 1/10 of its original range (~4,787 km</w:t>
      </w:r>
      <w:r w:rsidRPr="008608AA">
        <w:rPr>
          <w:vertAlign w:val="superscript"/>
        </w:rPr>
        <w:t>2</w:t>
      </w:r>
      <w:r w:rsidRPr="008608AA">
        <w:t xml:space="preserve">) and is believed to be in peril of extinction. Rehabilitation of the sagebrush habitat has proven very difficult especially with the invasion of exotic annual Mediterranean grass </w:t>
      </w:r>
      <w:r w:rsidRPr="008608AA">
        <w:rPr>
          <w:i/>
        </w:rPr>
        <w:t>Bromus</w:t>
      </w:r>
      <w:r w:rsidRPr="008608AA">
        <w:t xml:space="preserve"> </w:t>
      </w:r>
      <w:r w:rsidRPr="008608AA">
        <w:fldChar w:fldCharType="begin" w:fldLock="1"/>
      </w:r>
      <w:r w:rsidRPr="008608AA">
        <w:instrText>ADDIN CSL_CITATION { "citationItems" : [ { "id" : "ITEM-1", "itemData" : { "DOI" : "10.1007/978-3-319-24930-8_1", "ISBN" : "978-3-319-24930-8; 978-3-319-24928-5", "ISSN" : "0172-6161", "abstract" : "The spread and impacts of exotic species are unambiguous, global threats\\nto many ecosystems. A prominent example is the suite of annual grasses\\nin the Bromus genus (Bromus hereafter) that originate from Europe and\\nEurasia but have invaded or are invading large areas of the Western USA.\\nThis book brings a diverse, multidisciplinary group of authors together\\nto synthesize current knowledge, research needs, and management\\nimplications for Bromus. Exotic plant invasions are multifaceted\\nproblems, and understanding and managing them requires the biological,\\necological, sociological, and economic perspectives that are integrated\\nin this book. Knowing how well information from one geographic or\\nenvironmental setting can transfer to another is a key need for broadly\\ndistributed Bromus species especially given ongoing climate change.\\nThus, the chapters in the book compare and contrast invasibility of\\ndifferent ecoregions and invasiveness of different Bromus species. A\\nuniversal theme is managing for ecosystems that are resilient to\\ndisturbance and resistant to invasion which will be essential for\\nadaptation to the human-caused problem of Bromus in the Western USA.", "author" : [ { "dropping-particle" : "", "family" : "Germino", "given" : "Matthew J.", "non-dropping-particle" : "", "parse-names" : false, "suffix" : "" }, { "dropping-particle" : "", "family" : "Chambers", "given" : "Jeanne C.", "non-dropping-particle" : "", "parse-names" : false, "suffix" : "" }, { "dropping-particle" : "", "family" : "Brown", "given" : "Cynthia S.", "non-dropping-particle" : "", "parse-names" : false, "suffix" : "" } ], "container-title" : "Exotic Brome-Grasses in Arid and Semiarid Ecosystems of the Western US: Causes, Consequences, and Management Implications.", "editor" : [ { "dropping-particle" : "", "family" : "Germino", "given" : "Matthew J.", "non-dropping-particle" : "", "parse-names" : false, "suffix" : "" }, { "dropping-particle" : "", "family" : "Chambers", "given" : "Jeanne C.", "non-dropping-particle" : "", "parse-names" : false, "suffix" : "" }, { "dropping-particle" : "", "family" : "Brown", "given" : "Cynthia S.", "non-dropping-particle" : "", "parse-names" : false, "suffix" : "" } ], "id" : "ITEM-1", "issued" : { "date-parts" : [ [ "2016" ] ] }, "page" : "1-7", "publisher" : "Springer", "publisher-place" : "New York, USA", "title" : "Introduction: Exotic annual &lt;i&gt;Bromus&lt;/i&gt; in the Western USA", "type" : "chapter" }, "uris" : [ "http://www.mendeley.com/documents/?uuid=e45bc904-e12e-4d5b-95c6-d7b86e55adfd" ] } ], "mendeley" : { "formattedCitation" : "(Germino, Chambers, &amp; Brown, 2016)", "manualFormatting" : "(Germino et al., 2016)", "plainTextFormattedCitation" : "(Germino, Chambers, &amp; Brown, 2016)", "previouslyFormattedCitation" : "(Germino, Chambers, &amp; Brown, 2016)" }, "properties" : { "noteIndex" : 0 }, "schema" : "https://github.com/citation-style-language/schema/raw/master/csl-citation.json" }</w:instrText>
      </w:r>
      <w:r w:rsidRPr="008608AA">
        <w:fldChar w:fldCharType="separate"/>
      </w:r>
      <w:r w:rsidRPr="008608AA">
        <w:rPr>
          <w:noProof/>
        </w:rPr>
        <w:t>(Germino et al., 2016)</w:t>
      </w:r>
      <w:r w:rsidRPr="008608AA">
        <w:fldChar w:fldCharType="end"/>
      </w:r>
      <w:r w:rsidRPr="008608AA">
        <w:t xml:space="preserve"> which accelerates fire cycles, leading to further loss of sagebrush on a large scale </w:t>
      </w:r>
      <w:r w:rsidRPr="008608AA">
        <w:fldChar w:fldCharType="begin" w:fldLock="1"/>
      </w:r>
      <w:r w:rsidRPr="008608AA">
        <w:instrText>ADDIN CSL_CITATION { "citationItems" : [ { "id" : "ITEM-1", "itemData" : { "DOI" : "10.1007/978-3-319-24930-8_1", "ISBN" : "978-3-319-24930-8; 978-3-319-24928-5", "ISSN" : "0172-6161", "abstract" : "The spread and impacts of exotic species are unambiguous, global threats\\nto many ecosystems. A prominent example is the suite of annual grasses\\nin the Bromus genus (Bromus hereafter) that originate from Europe and\\nEurasia but have invaded or are invading large areas of the Western USA.\\nThis book brings a diverse, multidisciplinary group of authors together\\nto synthesize current knowledge, research needs, and management\\nimplications for Bromus. Exotic plant invasions are multifaceted\\nproblems, and understanding and managing them requires the biological,\\necological, sociological, and economic perspectives that are integrated\\nin this book. Knowing how well information from one geographic or\\nenvironmental setting can transfer to another is a key need for broadly\\ndistributed Bromus species especially given ongoing climate change.\\nThus, the chapters in the book compare and contrast invasibility of\\ndifferent ecoregions and invasiveness of different Bromus species. A\\nuniversal theme is managing for ecosystems that are resilient to\\ndisturbance and resistant to invasion which will be essential for\\nadaptation to the human-caused problem of Bromus in the Western USA.", "author" : [ { "dropping-particle" : "", "family" : "Germino", "given" : "Matthew J.", "non-dropping-particle" : "", "parse-names" : false, "suffix" : "" }, { "dropping-particle" : "", "family" : "Chambers", "given" : "Jeanne C.", "non-dropping-particle" : "", "parse-names" : false, "suffix" : "" }, { "dropping-particle" : "", "family" : "Brown", "given" : "Cynthia S.", "non-dropping-particle" : "", "parse-names" : false, "suffix" : "" } ], "container-title" : "Exotic Brome-Grasses in Arid and Semiarid Ecosystems of the Western US: Causes, Consequences, and Management Implications.", "editor" : [ { "dropping-particle" : "", "family" : "Germino", "given" : "Matthew J.", "non-dropping-particle" : "", "parse-names" : false, "suffix" : "" }, { "dropping-particle" : "", "family" : "Chambers", "given" : "Jeanne C.", "non-dropping-particle" : "", "parse-names" : false, "suffix" : "" }, { "dropping-particle" : "", "family" : "Brown", "given" : "Cynthia S.", "non-dropping-particle" : "", "parse-names" : false, "suffix" : "" } ], "id" : "ITEM-1", "issued" : { "date-parts" : [ [ "2016" ] ] }, "page" : "1-7", "publisher" : "Springer", "publisher-place" : "New York, USA", "title" : "Introduction: Exotic annual &lt;i&gt;Bromus&lt;/i&gt; in the Western USA", "type" : "chapter" }, "uris" : [ "http://www.mendeley.com/documents/?uuid=e45bc904-e12e-4d5b-95c6-d7b86e55adfd" ] } ], "mendeley" : { "formattedCitation" : "(Germino et al., 2016)", "manualFormatting" : "(Germino et al., 2016)", "plainTextFormattedCitation" : "(Germino et al., 2016)", "previouslyFormattedCitation" : "(Germino et al., 2016)" }, "properties" : { "noteIndex" : 0 }, "schema" : "https://github.com/citation-style-language/schema/raw/master/csl-citation.json" }</w:instrText>
      </w:r>
      <w:r w:rsidRPr="008608AA">
        <w:fldChar w:fldCharType="separate"/>
      </w:r>
      <w:r w:rsidRPr="008608AA">
        <w:rPr>
          <w:noProof/>
        </w:rPr>
        <w:t>(Germino et al., 2016)</w:t>
      </w:r>
      <w:r w:rsidRPr="008608AA">
        <w:fldChar w:fldCharType="end"/>
      </w:r>
      <w:r w:rsidR="005143C5" w:rsidRPr="008608AA">
        <w:t xml:space="preserve">. </w:t>
      </w:r>
    </w:p>
    <w:p w14:paraId="3545B090" w14:textId="1D035A1A" w:rsidR="00581F86" w:rsidRPr="008608AA" w:rsidRDefault="00FF0580" w:rsidP="00581F86">
      <w:pPr>
        <w:autoSpaceDE w:val="0"/>
        <w:autoSpaceDN w:val="0"/>
        <w:adjustRightInd w:val="0"/>
        <w:spacing w:before="240" w:after="120"/>
        <w:jc w:val="center"/>
      </w:pPr>
      <w:r w:rsidRPr="008608AA">
        <w:rPr>
          <w:noProof/>
          <w:lang w:val="en-GB" w:eastAsia="en-GB"/>
        </w:rPr>
        <w:drawing>
          <wp:inline distT="0" distB="0" distL="0" distR="0" wp14:anchorId="2ABA0C9A" wp14:editId="4FC3BB6C">
            <wp:extent cx="5934075" cy="4133850"/>
            <wp:effectExtent l="0" t="0" r="9525" b="0"/>
            <wp:docPr id="30327" name="Imagen 30327" descr="C:\Users\Alejandro Valderrama\Downloads\Fig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5" descr="C:\Users\Alejandro Valderrama\Downloads\Fig3.23.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b="51670"/>
                    <a:stretch/>
                  </pic:blipFill>
                  <pic:spPr bwMode="auto">
                    <a:xfrm>
                      <a:off x="0" y="0"/>
                      <a:ext cx="5934075" cy="4133850"/>
                    </a:xfrm>
                    <a:prstGeom prst="rect">
                      <a:avLst/>
                    </a:prstGeom>
                    <a:noFill/>
                    <a:ln>
                      <a:noFill/>
                    </a:ln>
                    <a:extLst>
                      <a:ext uri="{53640926-AAD7-44D8-BBD7-CCE9431645EC}">
                        <a14:shadowObscured xmlns:a14="http://schemas.microsoft.com/office/drawing/2010/main"/>
                      </a:ext>
                    </a:extLst>
                  </pic:spPr>
                </pic:pic>
              </a:graphicData>
            </a:graphic>
          </wp:inline>
        </w:drawing>
      </w:r>
    </w:p>
    <w:p w14:paraId="796FD3F8" w14:textId="4D9355D5" w:rsidR="004255E7" w:rsidRPr="008608AA" w:rsidRDefault="004255E7" w:rsidP="00581F86">
      <w:pPr>
        <w:autoSpaceDE w:val="0"/>
        <w:autoSpaceDN w:val="0"/>
        <w:adjustRightInd w:val="0"/>
        <w:spacing w:before="240" w:after="120"/>
      </w:pPr>
      <w:r w:rsidRPr="008608AA">
        <w:t xml:space="preserve">Exotic plants have increased in North American drylands due to several causes, but especially increased fire and soil surface disturbances; this invasion negatively impacts plant and animal communities </w:t>
      </w:r>
      <w:r w:rsidRPr="008608AA">
        <w:fldChar w:fldCharType="begin" w:fldLock="1"/>
      </w:r>
      <w:r w:rsidRPr="008608AA">
        <w:instrText>ADDIN CSL_CITATION { "citationItems" : [ { "id" : "ITEM-1", "itemData" : { "author" : [ { "dropping-particle" : "", "family" : "Brooks", "given" : "ML", "non-dropping-particle" : "", "parse-names" : false, "suffix" : "" } ], "container-title" : "The Mojave Desert: Ecosystem Processes and Sustainability", "editor" : [ { "dropping-particle" : "", "family" : "Webb", "given" : "RH", "non-dropping-particle" : "", "parse-names" : false, "suffix" : "" }, { "dropping-particle" : "", "family" : "Fenstermaker", "given" : "LF", "non-dropping-particle" : "", "parse-names" : false, "suffix" : "" }, { "dropping-particle" : "", "family" : "Heaton", "given" : "JF", "non-dropping-particle" : "", "parse-names" : false, "suffix" : "" }, { "dropping-particle" : "", "family" : "Hughson", "given" : "DL", "non-dropping-particle" : "", "parse-names" : false, "suffix" : "" }, { "dropping-particle" : "", "family" : "McDonald", "given" : "EV", "non-dropping-particle" : "", "parse-names" : false, "suffix" : "" }, { "dropping-particle" : "", "family" : "Miller", "given" : "DM", "non-dropping-particle" : "", "parse-names" : false, "suffix" : "" } ], "id" : "ITEM-1", "issued" : { "date-parts" : [ [ "2009" ] ] }, "page" : "101-124", "publisher" : "University of Nevada Press", "publisher-place" : "Reno, USA", "title" : "Spatial and temporal distribution of nonnative plants in upland areas of the Mojave Desert", "type" : "chapter" }, "uris" : [ "http://www.mendeley.com/documents/?uuid=87ec2bd1-d7ba-43ec-bbdd-0ce1aea0e41c" ] } ], "mendeley" : { "formattedCitation" : "(M. Brooks, 2009)", "manualFormatting" : "(Brooks, 2009)", "plainTextFormattedCitation" : "(M. Brooks, 2009)", "previouslyFormattedCitation" : "(M. Brooks, 2009)" }, "properties" : { "noteIndex" : 0 }, "schema" : "https://github.com/citation-style-language/schema/raw/master/csl-citation.json" }</w:instrText>
      </w:r>
      <w:r w:rsidRPr="008608AA">
        <w:fldChar w:fldCharType="separate"/>
      </w:r>
      <w:r w:rsidRPr="008608AA">
        <w:rPr>
          <w:noProof/>
        </w:rPr>
        <w:t>(Brooks, 2009)</w:t>
      </w:r>
      <w:r w:rsidRPr="008608AA">
        <w:fldChar w:fldCharType="end"/>
      </w:r>
      <w:r w:rsidRPr="008608AA">
        <w:t xml:space="preserve">. Fire frequency and area burned increased in the Californian portions of the </w:t>
      </w:r>
      <w:r w:rsidR="00AD36E8" w:rsidRPr="008608AA">
        <w:t xml:space="preserve">Mojave </w:t>
      </w:r>
      <w:r w:rsidRPr="008608AA">
        <w:t xml:space="preserve">and Sonoran deserts between 1970 and 2010 (Figure 3.23). Exotic grasses, which burn easier than other vegetation types, were an important explanatory variable for large fires in the </w:t>
      </w:r>
      <w:r w:rsidR="00AD36E8" w:rsidRPr="008608AA">
        <w:t>Mojave</w:t>
      </w:r>
      <w:r w:rsidRPr="008608AA">
        <w:t xml:space="preserve">, but the amount of native perennial vegetation was more important in the Sonora </w:t>
      </w:r>
      <w:r w:rsidRPr="008608AA">
        <w:fldChar w:fldCharType="begin" w:fldLock="1"/>
      </w:r>
      <w:r w:rsidRPr="008608AA">
        <w:instrText>ADDIN CSL_CITATION { "citationItems" : [ { "id" : "ITEM-1", "itemData" : { "DOI" : "10.1016/j.jaridenv.2017.03.017", "author" : [ { "dropping-particle" : "", "family" : "Syphard", "given" : "Alexandra D.", "non-dropping-particle" : "", "parse-names" : false, "suffix" : "" }, { "dropping-particle" : "", "family" : "Keeley", "given" : "Jon E.", "non-dropping-particle" : "", "parse-names" : false, "suffix" : "" }, { "dropping-particle" : "", "family" : "Abatzoglou", "given" : "John T.", "non-dropping-particle" : "", "parse-names" : false, "suffix" : "" } ], "container-title" : "Journal of Arid Environments", "id" : "ITEM-1", "issued" : { "date-parts" : [ [ "2017", "9" ] ] }, "page" : "110-122", "title" : "Trends and drivers of fire activity vary across California aridland ecosystems", "type" : "article-journal", "volume" : "144" }, "uris" : [ "http://www.mendeley.com/documents/?uuid=0e2220d6-cce6-34ec-8e3c-0f030173543a" ] } ], "mendeley" : { "formattedCitation" : "(Syphard et al., 2017)", "plainTextFormattedCitation" : "(Syphard et al., 2017)", "previouslyFormattedCitation" : "(Syphard et al., 2017)" }, "properties" : { "noteIndex" : 0 }, "schema" : "https://github.com/citation-style-language/schema/raw/master/csl-citation.json" }</w:instrText>
      </w:r>
      <w:r w:rsidRPr="008608AA">
        <w:fldChar w:fldCharType="separate"/>
      </w:r>
      <w:r w:rsidRPr="008608AA">
        <w:rPr>
          <w:noProof/>
        </w:rPr>
        <w:t>(Syphard et al., 2017)</w:t>
      </w:r>
      <w:r w:rsidRPr="008608AA">
        <w:fldChar w:fldCharType="end"/>
      </w:r>
      <w:r w:rsidRPr="008608AA">
        <w:t xml:space="preserve">.  </w:t>
      </w:r>
    </w:p>
    <w:p w14:paraId="5223C47C" w14:textId="77777777" w:rsidR="004255E7" w:rsidRPr="008608AA" w:rsidRDefault="004255E7" w:rsidP="00581F86">
      <w:pPr>
        <w:spacing w:after="120"/>
        <w:rPr>
          <w:lang w:val="fr-CA"/>
        </w:rPr>
      </w:pPr>
      <w:r w:rsidRPr="008608AA">
        <w:t xml:space="preserve">In the Sonoran desert, biological soil crusts have shown a dramatic decline in cover over the past 50 years, as they are highly vulnerable to fire and the disturbance of soil surfaces </w:t>
      </w:r>
      <w:r w:rsidRPr="008608AA">
        <w:fldChar w:fldCharType="begin" w:fldLock="1"/>
      </w:r>
      <w:r w:rsidRPr="008608AA">
        <w:instrText>ADDIN CSL_CITATION { "citationItems" : [ { "id" : "ITEM-1", "itemData" : { "author" : [ { "dropping-particle" : "", "family" : "Belnap", "given" : "J.", "non-dropping-particle" : "", "parse-names" : false, "suffix" : "" }, { "dropping-particle" : "", "family" : "Eldridge", "given" : "D.", "non-dropping-particle" : "", "parse-names" : false, "suffix" : "" } ], "container-title" : "Biological Soil Crusts: Structure, Function, and Management", "editor" : [ { "dropping-particle" : "", "family" : "Belnap", "given" : "J.", "non-dropping-particle" : "", "parse-names" : false, "suffix" : "" }, { "dropping-particle" : "", "family" : "Lange", "given" : "O. L.", "non-dropping-particle" : "", "parse-names" : false, "suffix" : "" } ], "id" : "ITEM-1", "issued" : { "date-parts" : [ [ "2003" ] ] }, "page" : "363-383", "publisher" : "Springer-Verlag", "publisher-place" : "Berlin, Germany", "title" : "Disturbance and recovery of biological soil crusts", "type" : "chapter" }, "uris" : [ "http://www.mendeley.com/documents/?uuid=5a100f69-effd-4b5a-bc26-b2ebb4f9f2b0" ] } ], "mendeley" : { "formattedCitation" : "(J. Belnap &amp; Eldridge, 2003)", "manualFormatting" : "(Belnap &amp; Eldridge, 2003)", "plainTextFormattedCitation" : "(J. Belnap &amp; Eldridge, 2003)", "previouslyFormattedCitation" : "(J. Belnap &amp; Eldridge, 2003)" }, "properties" : { "noteIndex" : 0 }, "schema" : "https://github.com/citation-style-language/schema/raw/master/csl-citation.json" }</w:instrText>
      </w:r>
      <w:r w:rsidRPr="008608AA">
        <w:fldChar w:fldCharType="separate"/>
      </w:r>
      <w:r w:rsidRPr="008608AA">
        <w:rPr>
          <w:noProof/>
        </w:rPr>
        <w:t>(Belnap &amp; Eldridge, 2003)</w:t>
      </w:r>
      <w:r w:rsidRPr="008608AA">
        <w:fldChar w:fldCharType="end"/>
      </w:r>
      <w:r w:rsidRPr="008608AA">
        <w:t xml:space="preserve">. The loss of native plants, animals, and biological soil crusts has led to increased soil erosion via wind and water erosion; decreased soil albedo over large regions; and had a strong negative impact on water, carbon, and nutrient cycles </w:t>
      </w:r>
      <w:r w:rsidRPr="008608AA">
        <w:fldChar w:fldCharType="begin" w:fldLock="1"/>
      </w:r>
      <w:r w:rsidRPr="008608AA">
        <w:instrText xml:space="preserve">ADDIN CSL_CITATION { "citationItems" : [ { "id" : "ITEM-1", "itemData" : { "DOI" : "10.1126/science.aaa1668", "ISBN" : "1223326500", "ISSN" : "1095-9203", "PMID" : "25999504", "abstract" : "The growth rate of atmospheric carbon dioxide (CO2) concentrations since industrialization is characterized by large interannual variability, mostly resulting from variability in CO2 uptake by terrestrial ecosystems (typically termed carbon sink). However, the contributions of regional ecosystems to that variability are not well known. Using an ensemble of ecosystem and land-surface models and an empirical observation-based product of global gross primary production, we show that the mean sink, trend, and interannual variability in CO2 uptake by terrestrial ecosystems are dominated by distinct biogeographic regions. Whereas the mean sink is dominated by highly productive lands (mainly tropical forests), the trend and interannual variability of the sink are dominated by semi-arid ecosystems whose carbon balance is strongly associated with circulation-driven variations in both precipitation and temperature.", "author" : [ { "dropping-particle" : "", "family" : "Ahlstr\u00f6m", "given" : "Anders", "non-dropping-particle" : "", "parse-names" : false, "suffix" : "" }, { "dropping-particle" : "", "family" : "Raupach", "given" : "Michael R", "non-dropping-particle" : "", "parse-names" : false, "suffix" : "" }, { "dropping-particle" : "", "family" : "Schurgers", "given" : "Guy", "non-dropping-particle" : "", "parse-names" : false, "suffix" : "" }, { "dropping-particle" : "", "family" : "Smith", "given" : "Benjamin", "non-dropping-particle" : "", "parse-names" : false, "suffix" : "" }, { "dropping-particle" : "", "family" : "Arneth", "given" : "Almut", "non-dropping-particle" : "", "parse-names" : false, "suffix" : "" }, { "dropping-particle" : "", "family" : "Jung", "given" : "Martin", "non-dropping-particle" : "", "parse-names" : false, "suffix" : "" }, { "dropping-particle" : "", "family" : "Reichstein", "given" : "Markus", "non-dropping-particle" : "", "parse-names" : false, "suffix" : "" }, { "dropping-particle" : "", "family" : "Canadell", "given" : "Josep G", "non-dropping-particle" : "", "parse-names" : false, "suffix" : "" }, { "dropping-particle" : "", "family" : "Friedlingstein", "given" : "Pierre", "non-dropping-particle" : "", "parse-names" : false, "suffix" : "" }, { "dropping-particle" : "", "family" : "Jain", "given" : "Atul K", "non-dropping-particle" : "", "parse-names" : false, "suffix" : "" }, { "dropping-particle" : "", "family" : "Kato", "given" : "Etsushi", "non-dropping-particle" : "", "parse-names" : false, "suffix" : "" }, { "dropping-particle" : "", "family" : "Poulter", "given" : "Benjamin", "non-dropping-particle" : "", "parse-names" : false, "suffix" : "" }, { "dropping-particle" : "", "family" : "Sitch", "given" : "Stephen", "non-dropping-particle" : "", "parse-names" : false, "suffix" : "" }, { "dropping-particle" : "", "family" : "Stocker", "given" : "Benjamin D", "non-dropping-particle" : "", "parse-names" : false, "suffix" : "" }, { "dropping-particle" : "", "family" : "Viovy", "given" : "Nicolas", "non-dropping-particle" : "", "parse-names" : false, "suffix" : "" }, { "dropping-particle" : "", "family" : "Wang", "given" : "Ying Ping", "non-dropping-particle" : "", "parse-names" : false, "suffix" : "" }, { "dropping-particle" : "", "family" : "Wiltshire", "given" : "Andy", "non-dropping-particle" : "", "parse-names" : false, "suffix" : "" }, { "dropping-particle" : "", "family" : "Zaehle", "given" : "S\u00f6nke", "non-dropping-particle" : "", "parse-names" : false, "suffix" : "" }, { "dropping-particle" : "", "family" : "Zeng", "given" : "Ning", "non-dropping-particle" : "", "parse-names" : false, "suffix" : "" } ], "container-title" : "Science", "id" : "ITEM-1", "issued" : { "date-parts" : [ [ "2015" ] ] }, "page" : "895-899", "title" : "The dominant role of semi-arid ecosystems in the trend and variability of the land CO2 sink", "type" : "article-journal", "volume" : "348" }, "uris" : [ "http://www.mendeley.com/documents/?uuid=03ba6a50-ce12-4591-8489-00d81a5d2b2e" ] }, { "id" : "ITEM-2", "itemData" : { "DOI" : "10.1890/090050", "author" : [ { "dropping-particle" : "", "family" : "Fields", "given" : "J. P.", "non-dropping-particle" : "", "parse-names" : false, "suffix" : "" }, { "dropping-particle" : "", "family" : "Belnap", "given" : "J.", "non-dropping-particle" : "", "parse-names" : false, "suffix" : "" }, { "dropping-particle" : "", "family" : "Breshears", "given" : "D.D.", "non-dropping-particle" : "", "parse-names" : false, "suffix" : "" }, { "dropping-particle" : "", "family" : "Neff", "given" : "J.C", "non-dropping-particle" : "", "parse-names" : false, "suffix" : "" }, { "dropping-particle" : "", "family" : "Okin", "given" : "G.S.", "non-dropping-particle" : "", "parse-names" : false, "suffix" : "" }, { "dropping-particle" : "", "family" : "Whicker", "given" : "J.J.", "non-dropping-particle" : "", "parse-names" : false, "suffix" : "" }, { "dropping-particle" : "", "family" : "Painter", "given" : "T.H.", "non-dropping-particle" : "", "parse-names" : false, "suffix" : "" }, { "dropping-particle" : "", "family" : "Ravi", "given" : "S.", "non-dropping-particle" : "", "parse-names" : false, "suffix" : "" }, { "dropping-particle" : "", "family" : "Reheis", "given" : "M.C.", "non-dropping-particle" : "", "parse-names" : false, "suffix" : "" }, { "dropping-particle" : "", "family" : "Reynolds", "given" : "R.L.", "non-dropping-particle" : "", "parse-names" : false, "suffix" : "" } ], "container-title" : "Frontiers in Ecology and the Environment", "id" : "ITEM-2", "issue" : "8", "issued" : { "date-parts" : [ [ "2009" ] ] }, "page" : "423-430", "title" : "The ecology of dust", "type" : "article-journal", "volume" : "8" }, "uris" : [ "http://www.mendeley.com/documents/?uuid=5e3c6a3d-a6d7-3d8b-aed5-2b60e4038f8d" ] }, { "id" : "ITEM-3", "itemData" : { "ISBN" : "9780520262560", "abstract" : "The Atlas of Global Conservation is a premier resource for everyone concerned about the natural world. Top scientists at The Nature Conservancy have joined forces to create this guide to the state of the planet today. With over 80 full-color maps and other graphics contextualized with clear, informative discussion, this book offers an unprecedented view of trends across the world's terrestrial, marine, and freshwater environments. Interspersed throughout, essays by noted international authorities point the way forward in confronting some of our greatest conservation challenges.--Publisher information. A new view of our home / Mark Tercek -- Conservation connections / Paul R. Ehrlich -- Introduction : Why Ecoregions? / Taylor Ricketts ; Terrestrial ecoregions, realms, and biomes ; Freshwater ecoregions and basins ; Marine ecoregions, provinces, and realms ; The stories that maps tell / Jon Christensen -- Habitats : Forests and woodlands: giving trees ; Grasslands: where the buffalo roamed ; Deserts and aridlands: hardy life under harsh conditions ; Rivers and wetlands: the planet's lifeblood ; Lakes: fragile pools of life ; Caves and karst: troves of subterranean species ; Hope in Habitats / Steven J. McCormick ; Coasts and shelves: the sea's sunlit margins ; Coral reefs: crown jewels of the ocean ; Mangrove forests: bridging land and sea ; Seagrass beds: marine meadows ; Salt marshes: living filters along our coasts ; High seas and deep oceans: Earth's uncharted \"inner space\" -- Species : Plants: a vital variety ; Freshwater fish: a diverse cast ; Amphibians: fragile markers of the planet's health ; Reptiles : prehistoric survivors ; Migrations / Martin Wikelski, David S. Wilcove ; Birds: everyday, everywhere wildlife ; Mammals: shared destiny with our closest kin ; Endemic species: in the narrowest niches ; Evolutionary distinction: branches on the tree of life ; Promoting livelihoods, saving nature / Greg Mock -- A world of change : Human population: outnumbering nature ; Consuming nature: running out of planet? ; Climate change: the planetary emergency ; Ultimate agents of global change / Joel E. Cohen ; Habitat loss on land: going, going ... ; Coastal development: reshaping the seashore ; Bottom trawling and dredging: scouring the seafloor ; Landscape fragmentation: going to pieces ; Thwarted fish runs: up against a wall -- Global contamination of the biosphere / John Peterson Myers ; Freshwater pollution: clear but hazardous ; Nitrogen pollution: t\u2026", "author" : [ { "dropping-particle" : "", "family" : "Hoekstra", "given" : "Jonathan M.", "non-dropping-particle" : "", "parse-names" : false, "suffix" : "" }, { "dropping-particle" : "", "family" : "Molnar", "given" : "Jennifer L.", "non-dropping-particle" : "", "parse-names" : false, "suffix" : "" }, { "dropping-particle" : "", "family" : "Jennings", "given" : "M.", "non-dropping-particle" : "", "parse-names" : false, "suffix" : "" }, { "dropping-particle" : "", "family" : "Revenga", "given" : "C.", "non-dropping-particle" : "", "parse-names" : false, "suffix" : "" }, { "dropping-particle" : "", "family" : "Spalding", "given" : "M. D.", "non-dropping-particle" : "", "parse-names" : false, "suffix" : "" }, { "dropping-particle" : "", "family" : "Boucher", "given" : "Timothy M.", "non-dropping-particle" : "", "parse-names" : false, "suffix" : "" }, { "dropping-particle" : "", "family" : "Robertson", "given" : "J.C.", "non-dropping-particle" : "", "parse-names" : false, "suffix" : "" }, { "dropping-particle" : "", "family" : "Heibel", "given" : "T.J.", "non-dropping-particle" : "", "parse-names" : false, "suffix" : "" }, { "dropping-particle" : "", "family" : "Elllison", "given" : "K.", "non-dropping-particle" : "", "parse-names" : false, "suffix" : "" } ], "editor" : [ { "dropping-particle" : "", "family" : "Molnar", "given" : "J. L.", "non-dropping-particle" : "", "parse-names" : false, "suffix" : "" } ], "id" : "ITEM-3", "issued" : { "date-parts" : [ [ "2010" ] ] }, "number-of-pages" : "234", "publisher" : "University of California Press", "publisher-place" : "Berkeley, USA", "title" : "The Atlas of Global Conservation: Changes, Challenges, and Opportunities to Make a Difference", "type" : "book" }, "uris" : [ "http://www.mendeley.com/documents/?uuid=3064c0e0-e47e-327b-b571-a0541bf35019" ] }, { "id" : "ITEM-4", "itemData" : { "DOI" : "10.1073/pnas.0913139107", "ISBN" : "0027-8424", "ISSN" : "1091-6490", "PMID" : "20855581", "abstract" : "The waters of the Colorado River serve 27 million people in seven states and two countries but are overallocated by more than 10% of the river's historical mean. Climate models project runoff losses of 7-20% from the basin in this century due to human-induced climate change. Recent work has shown however that by the late 1800s, decades prior to allocation of the river's runoff in the 1920s, a fivefold increase in dust loading from anthropogenically disturbed soils in the southwest United States was already decreasing snow albedo and shortening the duration of snow cover by several weeks. The degree to which this increase in radiative forcing by dust in snow has affected timing and magnitude of runoff from the Upper Colorado River Basin (UCRB) is unknown. Here we use the Variable Infiltration Capacity model with postdisturbance and predisturbance impacts of dust on albedo to estimate the impact on runoff from the UCRB across 1916-2003. We find that peak runoff at Lees Ferry, Arizona has occurred on average 3 wk earlier under heavier dust loading and that increases in evapotranspiration from earlier exposure of vegetation and soils decreases annual runoff by more than 1.0 billion cubic meters or \u223c5% of the annual average. The potential to reduce dust loading through surface stabilization in the deserts and restore more persistent snow cover, slow runoff, and increase water resources in the UCRB may represent an important mitigation opportunity to reduce system management tensions and regional impacts of climate change.", "author" : [ { "dropping-particle" : "", "family" : "Painter", "given" : "Thomas H.", "non-dropping-particle" : "", "parse-names" : false, "suffix" : "" }, { "dropping-particle" : "", "family" : "Deems", "given" : "Jeffrey S.", "non-dropping-particle" : "", "parse-names" : false, "suffix" : "" }, { "dropping-particle" : "", "family" : "Belnap", "given" : "Jayne", </w:instrText>
      </w:r>
      <w:r w:rsidRPr="008608AA">
        <w:rPr>
          <w:lang w:val="fr-CA"/>
        </w:rPr>
        <w:instrText>"non-dropping-particle" : "", "parse-names" : false, "suffix" : "" }, { "dropping-particle" : "", "family" : "Hamlet", "given" : "Alan F.", "non-dropping-particle" : "", "parse-names" : false, "suffix" : "" }, { "dropping-particle" : "", "family" : "Landry", "given" : "Christopher C.", "non-dropping-particle" : "", "parse-names" : false, "suffix" : "" }, { "dropping-particle" : "", "family" : "Udall", "given" : "Bradley", "non-dropping-particle" : "", "parse-names" : false, "suffix" : "" } ], "container-title" : "PNAS", "id" : "ITEM-4", "issue" : "40", "issued" : { "date-parts" : [ [ "2010" ] ] }, "page" : "17125-17130", "title" : "Response of Colorado River runoff to dust radiative forcing in snow", "type" : "article-journal", "volume" : "107" }, "uris" : [ "http://www.mendeley.com/documents/?uuid=3b91eecc-c2f2-3ff5-ae06-5c681a437c45" ] } ], "mendeley" : { "formattedCitation" : "(Ahlstr\u00f6m et al., 2015; Fields et al., 2009; Hoekstra et al., 2010; Painter et al., 2010)", "manualFormatting" : "(Ahlstr\u00f6m et al., 2015; Fields et al., 2009; Hoekstra et al., 2010; Painter et al., 2010;", "plainTextFormattedCitation" : "(Ahlstr\u00f6m et al., 2015; Fields et al., 2009; Hoekstra et al., 2010; Painter et al., 2010)", "previouslyFormattedCitation" : "(Ahlstr\u00f6m et al., 2015; Fields et al., 2009; Hoekstra et al., 2010; Painter et al., 2010)" }, "properties" : { "noteIndex" : 0 }, "schema" : "https://github.com/citation-style-language/schema/raw/master/csl-citation.json" }</w:instrText>
      </w:r>
      <w:r w:rsidRPr="008608AA">
        <w:fldChar w:fldCharType="separate"/>
      </w:r>
      <w:r w:rsidRPr="008608AA">
        <w:rPr>
          <w:noProof/>
          <w:lang w:val="fr-CA"/>
        </w:rPr>
        <w:t>(Ahlström et al., 2015; Fields et al., 2009; Hoekstra et al., 2010; Painter et al., 2010;</w:t>
      </w:r>
      <w:r w:rsidRPr="008608AA">
        <w:fldChar w:fldCharType="end"/>
      </w:r>
      <w:r w:rsidRPr="008608AA">
        <w:rPr>
          <w:lang w:val="fr-CA"/>
        </w:rPr>
        <w:t xml:space="preserve"> </w:t>
      </w:r>
      <w:r w:rsidRPr="008608AA">
        <w:fldChar w:fldCharType="begin" w:fldLock="1"/>
      </w:r>
      <w:r w:rsidRPr="008608AA">
        <w:rPr>
          <w:lang w:val="fr-CA"/>
        </w:rPr>
        <w:instrText>ADDIN CSL_CITATION { "citationItems" : [ { "id" : "ITEM-1", "itemData" : { "author" : [ { "dropping-particle" : "", "family" : "Neff", "given" : "JC", "non-dropping-particle" : "", "parse-names" : false, "suffix" : "" }, { "dropping-particle" : "", "family" : "Reynolds", "given" : "R", "non-dropping-particle" : "", "parse-names" : false, "suffix" : "" }, { "dropping-particle" : "", "family" : "Belnap", "given" : "J", "non-dropping-particle" : "", "parse-names" : false, "suffix" : "" }, { "dropping-particle" : "", "family" : "Lamothe", "given" : "P", "non-dropping-particle" : "", "parse-names" : false, "suffix" : "" } ], "container-title" : "Ecological Applications", "id" : "ITEM-1", "issued" : { "date-parts" : [ [ "2005" ] ] }, "page" : "87-95", "title" : "Multi-decadal impacts of grazing on soil physical and biogeochemical properties in southeast Utah", "type" : "article-journal", "volume" : "15" }, "uris" : [ "http://www.mendeley.com/documents/?uuid=b8a9c07a-55ef-4d21-81c0-9b292bfd9ee3" ] } ], "mendeley" : { "formattedCitation" : "(Neff, Reynolds, Belnap, &amp; Lamothe, 2005)", "manualFormatting" : "Neff et al., 2005)", "plainTextFormattedCitation" : "(Neff, Reynolds, Belnap, &amp; Lamothe, 2005)", "previouslyFormattedCitation" : "(Neff, Reynolds, Belnap, &amp; Lamothe, 2005)" }, "properties" : { "noteIndex" : 0 }, "schema" : "https://github.com/citation-style-language/schema/raw/master/csl-citation.json" }</w:instrText>
      </w:r>
      <w:r w:rsidRPr="008608AA">
        <w:fldChar w:fldCharType="separate"/>
      </w:r>
      <w:r w:rsidRPr="008608AA">
        <w:rPr>
          <w:noProof/>
          <w:lang w:val="fr-CA"/>
        </w:rPr>
        <w:t>Neff et al., 2005)</w:t>
      </w:r>
      <w:r w:rsidRPr="008608AA">
        <w:fldChar w:fldCharType="end"/>
      </w:r>
      <w:r w:rsidRPr="008608AA">
        <w:rPr>
          <w:lang w:val="fr-CA"/>
        </w:rPr>
        <w:t xml:space="preserve">. </w:t>
      </w:r>
    </w:p>
    <w:p w14:paraId="41359865" w14:textId="77777777" w:rsidR="004255E7" w:rsidRPr="008608AA" w:rsidRDefault="004255E7" w:rsidP="00581F86">
      <w:pPr>
        <w:pStyle w:val="Heading5"/>
        <w:numPr>
          <w:ilvl w:val="0"/>
          <w:numId w:val="0"/>
        </w:numPr>
        <w:ind w:left="1008" w:hanging="1008"/>
        <w:rPr>
          <w:sz w:val="24"/>
          <w:szCs w:val="24"/>
        </w:rPr>
      </w:pPr>
      <w:r w:rsidRPr="008608AA">
        <w:rPr>
          <w:sz w:val="24"/>
          <w:szCs w:val="24"/>
        </w:rPr>
        <w:t xml:space="preserve">South American subregion </w:t>
      </w:r>
    </w:p>
    <w:p w14:paraId="4024423E" w14:textId="587EA7AF" w:rsidR="004255E7" w:rsidRPr="008608AA" w:rsidRDefault="00176FC5" w:rsidP="00581F86">
      <w:pPr>
        <w:spacing w:after="120"/>
      </w:pPr>
      <w:r w:rsidRPr="008608AA">
        <w:t xml:space="preserve">Status. </w:t>
      </w:r>
      <w:r w:rsidR="004255E7" w:rsidRPr="008608AA">
        <w:t>Notwithstanding increasing intensive agriculture and urban encroachment, large parts of</w:t>
      </w:r>
      <w:r w:rsidR="004255E7" w:rsidRPr="008608AA">
        <w:rPr>
          <w:i/>
        </w:rPr>
        <w:t xml:space="preserve"> </w:t>
      </w:r>
      <w:r w:rsidR="004255E7" w:rsidRPr="008608AA">
        <w:t xml:space="preserve">the Atacama and Sechura deserts in western South America remain fairly intact </w:t>
      </w:r>
      <w:r w:rsidR="004255E7" w:rsidRPr="008608AA">
        <w:fldChar w:fldCharType="begin" w:fldLock="1"/>
      </w:r>
      <w:r w:rsidR="004255E7" w:rsidRPr="008608AA">
        <w:instrText>ADDIN CSL_CITATION { "citationItems" : [ { "id" : "ITEM-1", "itemData" : { "ISBN" : "9561118327", "abstract" : "Esta trabajo surge gracis a la necesidad de algunas instiutciones de conservacion de contar con una herramienta alternativa para la evalucion de la representatividad vegetacional de las areas protegidas de Chile, como un elemento de apoyo a la priorizacion de nuevas areas de proteccion. El analisis de la representatividad ecologia es la principal herramienta para el establecimiento de prioridades en la planificacion de areas protegidas e impone la necesidad de una delimitacion cartografica de unidades ecologicas a una escala adecuada para cuantifcar su superficie.", "author" : [ { "dropping-particle" : "", "family" : "Luebert", "given" : "F.", "non-dropping-particle" : "", "parse-names" : false, "suffix" : "" }, { "dropping-particle" : "", "family" : "Pliscoff", "given" : "P.", "non-dropping-particle" : "", "parse-names" : false, "suffix" : "" } ], "id" : "ITEM-1", "issued" : { "date-parts" : [ [ "2006" ] ] }, "publisher" : "Editorial Universitaria", "publisher-place" : "Santiago, Chile", "title" : "Sinopsis Bioclim\u00e1tica y Vegetacional de Chile", "type" : "book" }, "uris" : [ "http://www.mendeley.com/documents/?uuid=874007f8-4fc0-45e3-bd7c-b31c09f01fd0" ] } ], "mendeley" : { "formattedCitation" : "(Luebert &amp; Pliscoff, 2006)", "plainTextFormattedCitation" : "(Luebert &amp; Pliscoff, 2006)", "previouslyFormattedCitation" : "(Luebert &amp; Pliscoff, 2006)" }, "properties" : { "noteIndex" : 0 }, "schema" : "https://github.com/citation-style-language/schema/raw/master/csl-citation.json" }</w:instrText>
      </w:r>
      <w:r w:rsidR="004255E7" w:rsidRPr="008608AA">
        <w:fldChar w:fldCharType="separate"/>
      </w:r>
      <w:r w:rsidR="004255E7" w:rsidRPr="008608AA">
        <w:rPr>
          <w:noProof/>
        </w:rPr>
        <w:t>(Luebert &amp; Pliscoff, 2006)</w:t>
      </w:r>
      <w:r w:rsidR="004255E7" w:rsidRPr="008608AA">
        <w:fldChar w:fldCharType="end"/>
      </w:r>
      <w:r w:rsidR="004255E7" w:rsidRPr="008608AA">
        <w:t xml:space="preserve">. The western deserts, although in large part seemingly barren, are an area of unexpected richness, especially in plants and microorganisms. Plant species-richness and endemism are especially high in the narrow coastal loma vegetation band </w:t>
      </w:r>
      <w:r w:rsidR="004255E7" w:rsidRPr="008608AA">
        <w:fldChar w:fldCharType="begin" w:fldLock="1"/>
      </w:r>
      <w:r w:rsidR="004255E7" w:rsidRPr="008608AA">
        <w:instrText>ADDIN CSL_CITATION { "citationItems" : [ { "id" : "ITEM-1", "itemData" : { "abstract" : "Se presenta un cat\u00e1logo floristico de las lomas costeras del Per\u00fa que consiste de una Gnetophyta (gimnospenna); 14 familias, 68 generos y 145 especies de Liliopsida (monocotiledoneas); y 68 familias, 316 generos y 701 especies de Magnoliopsida. (dicotiledoneas), haciendo un total de 83 familias, 385 generos y 847 especies. El cat\u00e1logo constituye un consolidado de la flora lomal; cuyas fluentes de registros incluyen muchos a\u00f1os de recoleccion de muestras en el campo, asi como consultas en herbarios de Per\u00fa. Estados Unidos y Europa. Los registros estan respaldados por colecciones de herbario, de las cuales, la mayor\u00eda son accesibles via bases de datos y asociadas con imagenes de herbario digitalizadas. Se presenta tambien una breve descripcion de las Lomas peruanas, una revision hist\u00f3rica de los esfuerzos de recolecci\u00f3n, y una discusion de los factores que influyen en la din\u00e1mica lomal. Mi mismo se proporcionan mapas de localidades y una lista de formaciones de lomas con coordenadas aproximadas.", "author" : [ { "dropping-particle" : "", "family" : "Dillon", "given" : "Michael O.", "non-dropping-particle" : "", "parse-names" : false, "suffix" : "" }, { "dropping-particle" : "", "family" : "Leiva Gonz\u00e1lez", "given" : "Segundo", "non-dropping-particle" : "", "parse-names" : false, "suffix" : "" }, { "dropping-particle" : "", "family" : "Zapata Cruz", "given" : "Mario", "non-dropping-particle" : "", "parse-names" : false, "suffix" : "" }, { "dropping-particle" : "", "family" : "Lezama Asencio", "given" : "Pedro", "non-dropping-particle" : "", "parse-names" : false, "suffix" : "" }, { "dropping-particle" : "", "family" : "Quipuscoa Silvestre", "given" : "Victor", "non-dropping-particle" : "", "parse-names" : false, "suffix" : "" } ], "container-title" : "Arnaldoa", "id" : "ITEM-1", "issue" : "1", "issued" : { "date-parts" : [ [ "2011" ] ] }, "page" : "7-32", "title" : "Floristic checklist of the Peruvian lomas formations", "type" : "article-journal", "volume" : "18" }, "uris" : [ "http://www.mendeley.com/documents/?uuid=c770361d-bd7c-4973-b826-a883dbd86bc4" ] }, { "id" : "ITEM-2", "itemData" : { "DOI" : "10.5642/aliso.19911301.02", "ISSN" : "0065-6275", "abstract" : "The Atacama and Peruvian Deserts form a continuous belt for more than 3500 km along the western escarpment of the Andes from northern Peru to northernmost Chile. These arid environments are due to a climatic regime dominated by the cool, north-flowing Humboldt (Peruvian) Current. Atmospheric conditions influenced by a stable, subtropical anticyclone results in a mild, uniform coastal climate nearly devoid of rain, but with the regular formation of thick stratus clouds below 1000 m during the winter months. Where coastal topography is low and flat, the clouds dissipate inward over broad areas with little biological impact. However, where isolated mountains or steep coastal slopes intercept the clouds, a fog-zone develops. This moisture allows the development of plant communities termed lomas formations. These floristic assemblages function as islands separated by hyperarid habitat devoid of plan life. Since growth is dependent upon upon available moisture, an understanding of climatic patterns is essential in efforts to interpret present-day distributions. Topography and substrate combine to influence patterns of moisture availability. The ecological requirements and tolerances of the individual species ultimately determines community composition. Species endemism exceeds 40% and suggests that the lomas formations have evolved in isolation from their nearest geographic neighbors in the Andes. While the arid environment is continuous, there appears to be a significant barrier to dispersal between 18\u00ba and 22\u00ba latitude in extreme northern Chile. Less than 7% of total flora, estimated at nearly 1000 species, occur on both sides of this region. Viable hypotheses concerning the age and origins of these desert floras will require continued study of the ecology and biogeography of their component species.", "author" : [ { "dropping-particle" : "", "family" : "Rundel", "given" : "Phillip W.", "non-dropping-particle" : "", "parse-names" : false, "suffix" : "" }, { "dropping-particle" : "", "family" : "Dillon", "given" : "Michael O.", "non-dropping-particle" : "", "parse-names" : false, "suffix" : "" }, { "dropping-particle" : "", "family" : "Palma", "given" : "B.", "non-dropping-particle" : "", "parse-names" : false, "suffix" : "" }, { "dropping-particle" : "", "family" : "Mooney", "given" : "H.A.", "non-dropping-particle" : "", "parse-names" : false, "suffix" : "" }, { "dropping-particle" : "", "family" : "Gulmon", "given" : "S. L.", "non-dropping-particle" : "", "parse-names" : false, "suffix" : "" }, { "dropping-particle" : "", "family" : "Ehleringer", "given" : "J. R.", "non-dropping-particle" : "", "parse-names" : false, "suffix" : "" } ], "container-title" : "Aliso", "id" : "ITEM-2", "issue" : "1", "issued" : { "date-parts" : [ [ "1991" ] ] }, "page" : "1-49", "title" : "The phytogeography and ecology of the coastal Atacama and Peruvian deserts", "type" : "article-journal", "volume" : "13" }, "uris" : [ "http://www.mendeley.com/documents/?uuid=85245b81-2c8f-4568-aab7-4fa4a362731b" ] }, { "id" : "ITEM-3", "itemData" : { "abstract" : "The areas with maximum biodiversity in the II Region of Antofagasta was determined using taxonomic richness (species, genus and family) and endemisms criteria. The areas with higher regional biodiversity were located in the coastal zone, followed in importance by the pre-puna and puna formations in the northern part of this Region. In comparison with Central Chile, Coastal Desert of Taltal, the plant formation with the greatest biodiversity in the region of Antofagasta, posesses ca. 70% of the species expected by its area. Also the coastal plant formation showed the greatest number of endemic species to Chile. The Esteparian Desert of the Coastal Range (60,5% of endemic species) surpasses the endemism value for the Chilean flora (ca., 50%), while the plant formation from the Coastal Desert of Taltal and Tocopilla are close to the national value. The adventitious species predominate in the coastal formation and around the Salar de Atacama, coinciding with the areas where the agro-pastoral activity is concentrated in the Region. Over two third of the regional flora could be included in the Chilean System of Natural Protected Areas (SNASPE). Nevertheless, the two principal units of the SNASPE are located in the alpine zone, while for the plant formation of the Coastal Desert of Taltal only 4.5% of its total area is legaly protected. This situation could change if the 300 km(2) National Reserve of Paposo are incorporated is the SNASPE.The Esteparian Desert of the Coastal Range is only marginally represented in the regional SNASPE.", "author" : [ { "dropping-particle" : "", "family" : "Squeo", "given" : "F. A.", "non-dropping-particle" : "", "parse-names" : false, "suffix" : "" }, { "dropping-particle" : "", "family" : "Cavieres", "given" : "L. A.", "non-dropping-particle" : "", "parse-names" : false, "suffix" : "" }, { "dropping-particle" : "", "family" : "Arancio", "given" : "G.", "non-dropping-particle" : "", "parse-names" : false, "suffix" : "" }, { "dropping-particle" : "", "family" : "Novoa", "given" : "J. E.", "non-dropping-particle" : "", "parse-names" : false, "suffix" : "" }, { "dropping-particle" : "", "family" : "Matthei", "given" : "O.", "non-dropping-particle" : "", "parse-names" : false, "suffix" : "" }, { "dropping-particle" : "", "family" : "Marticorena", "given" : "C.", "non-dropping-particle" : "", "parse-names" : false, "suffix" : "" }, { "dropping-particle" : "", "family" : "R</w:instrText>
      </w:r>
      <w:r w:rsidR="004255E7" w:rsidRPr="008608AA">
        <w:rPr>
          <w:lang w:val="fr-CA"/>
        </w:rPr>
        <w:instrText>odriguez", "given" : "R.", "non-dropping-particle" : "", "parse-names" : false, "suffix" : "" }, { "dropping-particle" : "", "family" : "Arroyo", "given" : "M. T. K.", "non-dropping-particle" : "", "parse-names" : false, "suffix" : "" }, { "dropping-particle" : "", "family" : "Munoz", "given" : "M.", "non-dropping-particle" : "", "parse-names" : false, "suffix" : "" } ], "container-title" : "Revista Chilena de Historia Natural", "id" : "ITEM-3", "issue" : "4", "issued" : { "date-parts" : [ [ "1998" ] ] }, "page" : "571-591", "title" : "Biodiversity of vascular flora in the Antofagasta Region, Chile", "type" : "article-journal", "volume" : "71" }, "uris" : [ "http://www.mendeley.com/documents/?uuid=c08a48b2-7805-381c-aca2-c3181473c9a1" ] } ], "mendeley" : { "formattedCitation" : "(Dillon, Leiva Gonz\u00e1lez, Zapata Cruz, Lezama Asencio, &amp; Quipuscoa Silvestre, 2011; Phillip W. Rundel et al., 1991; Squeo et al., 1998)", "manualFormatting" : "(Dillon et al., 2011; Rundel et al., 1991; Squeo et al., 1998)", "plainTextFormattedCitation" : "(Dillon, Leiva Gonz\u00e1lez, Zapata Cruz, Lezama Asencio, &amp; Quipuscoa Silvestre, 2011; Phillip W. Rundel et al., 1991; Squeo et al., 1998)", "previouslyFormattedCitation" : "(Dillon, Leiva Gonz\u00e1lez, Zapata Cruz, Lezama Asencio, &amp; Quipuscoa Silvestre, 2011; Phillip W. Rundel et al., 1991; Squeo et al., 1998)" }, "properties" : { "noteIndex" : 0 }, "schema" : "https://github.com/citation-style-language/schema/raw/master/csl-citation.json" }</w:instrText>
      </w:r>
      <w:r w:rsidR="004255E7" w:rsidRPr="008608AA">
        <w:fldChar w:fldCharType="separate"/>
      </w:r>
      <w:r w:rsidR="004255E7" w:rsidRPr="008608AA">
        <w:rPr>
          <w:noProof/>
          <w:lang w:val="fr-CA"/>
        </w:rPr>
        <w:t>(Dillon et al., 2011; Rundel et al., 1991; Squeo et al., 1998)</w:t>
      </w:r>
      <w:r w:rsidR="004255E7" w:rsidRPr="008608AA">
        <w:fldChar w:fldCharType="end"/>
      </w:r>
      <w:r w:rsidR="004255E7" w:rsidRPr="008608AA">
        <w:rPr>
          <w:lang w:val="fr-CA"/>
        </w:rPr>
        <w:t xml:space="preserve"> (Table 3.4). </w:t>
      </w:r>
      <w:r w:rsidR="004255E7" w:rsidRPr="008608AA">
        <w:t xml:space="preserve">Cactaceae are important and highly threatened </w:t>
      </w:r>
      <w:r w:rsidR="004255E7" w:rsidRPr="008608AA">
        <w:fldChar w:fldCharType="begin" w:fldLock="1"/>
      </w:r>
      <w:r w:rsidR="004255E7" w:rsidRPr="008608AA">
        <w:instrText>ADDIN CSL_CITATION { "citationItems" : [ { "id" : "ITEM-1", "itemData" : { "DOI" : "10.1038/nplants.2015.142", "ISBN" : "2055-026X 2055-0278", "ISSN" : "2055-026X", "PMID" : "27251394", "abstract" : "A high proportion of plant species is predicted to be threatened with extinction in the near future. However, the threat status of only a small number has been evaluated compared with key animal groups, rendering the magnitude and nature of the risks plants face unclear. Here we report the results of a global species assessment for the largest plant taxon evaluated to date under the International Union for Conservation of Nature (IUCN) Red List Categories and Criteria, the iconic Cactaceae (cacti). We show that cacti are among the most threatened taxonomic groups assessed to date, with 31% of the 1,478 evaluated species threatened, demonstrating the high anthropogenic pressures on biodiversity in arid lands. The distribution of threatened species and the predominant threatening processes and drivers are different to those described for other taxa. The most significant threat processes comprise land conversion to agriculture and aquaculture, collection as biological resources, and residential and commercial development. The dominant drivers of extinction risk are the unscrupulous collection of live plants and seeds for horticultural trade and private ornamental collections, smallholder livestock ranching and smallholder annual agriculture. Our findings demonstrate that global species assessments are readily achievable for major groups of plants with relatively moderate resources, and highlight different conservation priorities and actions to those derived from species assessments of key animal groups.", "author" : [ { "dropping-particle" : "", "family" : "Goettsch", "given" : "B\u00e1rbara", "non-dropping-particle" : "", "parse-names" : false, "suffix" : "" }, { "dropping-particle" : "", "family" : "Hilton-Taylor", "given" : "Craig", "non-dropping-particle" : "", "parse-names" : false, "suffix" : "" }, { "dropping-particle" : "", "family" : "Cruz-Pi\u00f1\u00f3n", "given" : "Gabriela", "non-dropping-particle" : "", "parse-names" : false, "suffix" : "" }, { "dropping-particle" : "", "family" : "Duffy", "given" : "James P.", "non-dropping-particle" : "", "parse-names" : false, "suffix" : "" }, { "dropping-particle" : "", "family" : "Frances", "given" : "Anne", "non-dropping-particle" : "", "parse-names" : false, "suffix" : "" }, { "dropping-particle" : "", "family" : "Hern\u00e1ndez", "given" : "H\u00e9ctor M.", "non-dropping-particle" : "", "parse-names" : false, "suffix" : "" }, { "dropping-particle" : "", "family" : "Inger", "given" : "Richard", "non-dropping-particle" : "", "parse-names" : false, "suffix" : "" }, { "dropping-particle" : "", "family" : "Pollock", "given" : "Caroline", "non-dropping-particle" : "", "parse-names" : false, "suffix" : "" }, { "dropping-particle" : "", "family" : "Schipper", "given" : "Jan", "non-dropping-particle" : "", "parse-names" : false, "suffix" : "" }, { "dropping-particle" : "", "family" : "Superina", "given" : "Mariella", "non-dropping-particle" : "", "parse-names" : false, "suffix" : "" }, { "dropping-particle" : "", "family" : "Taylor", "given" : "Nigel P.", "non-dropping-particle" : "", "parse-names" : false, "suffix" : "" }, { "dropping-particle" : "", "family" : "Tognelli", "given" : "Marcelo", "non-dropping-particle" : "", "parse-names" : false, "suffix" : "" }, { "dropping-particle" : "", "family" : "Abba", "given" : "Agust\u00edn M.", "non-dropping-particle" : "", "parse-names" : false, "suffix" : "" }, { "dropping-particle" : "", "family" : "Arias", "given" : "Salvador", "non-dropping-particle" : "", "parse-names" : false, "suffix" : "" }, { "dropping-particle" : "", "family" : "Arreola-Nava", "given" : "Hilda J.", "non-dropping-particle" : "", "parse-names" : false, "suffix" : "" }, { "dropping-particle" : "", "family" : "Baker", "given" : "Marc A.", "non-dropping-particle" : "", "parse-names" : false, "suffix" : "" }, { "dropping-particle" : "", "family" : "B\u00e1rcenas", "given" : "Rolando T.", "non-dropping-particle" : "", "parse-names" : false, "suffix" : "" }, { "dropping-particle" : "", "family" : "Barrios", "given" : "Duniel", "non-dropping-particle" : "", "parse-names" : false, "suffix" : "" }, { "dropping-particle" : "", "family" : "Braun", "given" : "Pierre", "non-dropping-particle" : "", "parse-names" : false, "suffix" : "" }, { "dropping-particle" : "", "family" : "Butterworth", "given" : "Charles A.", "non-dropping-particle" : "", "parse-names" : false, "suffix" : "" }, { "dropping-particle" : "", "family" : "B\u00farquez", "given" : "Alberto", "non-dropping-particle" : "", "parse-names" : false, "suffix" : "" }, { "dropping-particle" : "", "family" : "Caceres", "given" : "F\u00e1tima", "non-dropping-particle" : "", "parse-names" : false, "suffix" : "" }, { "dropping-particle" : "", "family" : "Chazaro-Basa\u00f1ez", "given" : "Miguel", "non-dropping-particle" : "", "parse-names" : false, "suffix" : "" }, { "dropping-particle" : "", "family" : "Corral-D\u00edaz", "given" : "Rafael", "non-dropping-particle" : "", "parse-names" : false, "suffix" : "" }, { "dropping-particle" : "", "family" : "Valle Perea", "given" : "Mario", "non-dropping-particle" : "del", "parse-names" : false, "suffix" : "" }, { "dropping-particle" : "", "family" : "Demaio", "given" : "Pablo H.", "non-dropping-particle" : "", "parse-names" : false, "suffix" : "" }, { "dropping-particle" : "", "family" : "Duarte de Barros", "given" : "Williams A.", "non-dropping-particle" : "", "parse-names" : false, "suffix" : "" }, { "dropping-particle" : "", "family" : "Dur\u00e1n", "given" : "Rafael", "non-dropping-particle" : "", "parse-names" : false, "suffix" : "" }, { "dropping-particle" : "", "family" : "Fa\u00fandez Yancas", "given" : "Luis", "non-dropping-particle" : "", "parse-names" : false, "suffix" : "" }, { "dropping-particle" : "", "family" : "Felger", "given" : "Richard S.", "non-dropping-particle" : "", "parse-names" : false, "suffix" : "" }, { "dropping-particle" : "", "family" : "Fitz-Maurice", "given" : "Betty", "non-dropping-particle" : "", "parse-names" : false, "suffix" : "" }, { "dropping-particle" : "", "family" : "Fitz-Maurice", "given" : "Walter A.", "non-dropping-particle" : "", "parse-names" : false, "suffix" : "" }, { "dropping-particle" : "", "family" : "Gann", "given" : "George", "non-dropping-particle" : "", "parse-names" : false, "suffix" : "" }, { "dropping-particle" : "", "family" : "G\u00f3mez-Hinostrosa", "given" : "Carlos", "non-dropping-particle" : "", "parse-names" : false, "suffix" : "" }, { "dropping-particle" : "", "family" : "Gonzales-Torres", "given" : "Luis R.", "non-dropping-particle" : "", "parse-names" : false, "suffix" : "" }, { "dropping-particle" : "", "family" : "Griffith", "given" : "M. Patrick", "non-dropping-particle" : "", "parse-names" : false, "suffix" : "" }, { "dropping-particle" : "", "family" : "Guerrero", "given" : "Pablo C.", "non-dropping-particle" : "", "parse-names" : false, "suffix" : "" }, { "dropping-particle" : "", "family" : "Hammel", "given" : "Barry", "non-dropping-particle" : "", "parse-names" : false, "suffix" : "" }, { "dropping-particle" : "", "family" : "Heil", "given" : "Kenneth D.", "non-dropping-particle" : "", "parse-names" : false, "suffix" : "" }, { "dropping-particle" : "", "family" : "Guadalupe Hern\u00e1ndez-Oria", "given" : "Jos\u00e9", "non-dropping-particle" : "", "parse-names" : false, "suffix" : "" }, { "dropping-particle" : "", "family" : "Hoffmann", "given" : "Michael", "non-dropping-particle" : "", "parse-names" : false, "suffix" : "" }, { "dropping-particle" : "", "family" : "Ishihara", "given" : "Mario Ishiki", "non-dropping-particle" : "", "parse-names" : false, "suffix" : "" }, { "dropping-particle" : "", "family" : "Kiesling", "given" : "Roberto", "non-dropping-particle" : "", "parse-names" : false, "suffix" : "" }, { "dropping-particle" : "", "family" : "Larocca", "given" : "Jo\u00e3o", "non-dropping-particle" : "", "parse-names" : false, "suffix" : "" }, { "dropping-particle" : "", "family" : "Luis Le\u00f3n-de la Luz", "given" : "Jos\u00e9", "non-dropping-particle" : "", "parse-names" : false, "suffix" : "" }, { "dropping-particle" : "", "family" : "Loaiza S.", "given" : "Christian R.", "non-dropping-particle" : "", "parse-names" : false, "suffix" : "" }, { "dropping-particle" : "", "family" : "Lowry", "given" : "Martin", "non-dropping-particle" : "", "parse-names" : false, "suffix" : "" }, { "dropping-particle" : "", "family" : "Machado", "given" : "Marlon C.", "non-dropping-particle" : "", "parse-names" : false, "suffix" : "" }, { "dropping-particle" : "", "family" : "Majure", "given" : "Lucas C.", "non-dropping-particle" : "", "parse-names" : false, "suffix" : "" }, { "dropping-particle" : "", "family" : "Mart\u00ednez \u00c1valos", "given" : "Jos\u00e9 Guadalupe", "non-dropping-particle" : "", "parse-names" : false, "suffix" : "" }, { "dropping-particle" : "", "family" : "Martorell", "given" : "Carlos", "non-dropping-particle" : "", "parse-names" : false, "suffix" : "" }, { "dropping-particle" : "", "family" : "Maschinski", "given" : "Joyce", "non-dropping-particle" : "", "parse-names" : false, "suffix" : "" }, { "dropping-particle" : "", "family" : "M\u00e9ndez", "given" : "Eduardo", "non-dropping-particle" : "", "parse-names" : false, "suffix" : "" }, { "dropping-particle" : "", "family" : "Mittermeier", "given" : "Russell A.", "non-dropping-particle" : "", "parse-names" : false, "suffix" : "" }, { "dropping-particle" : "", "family" : "Nassar", "given" : "Jafet M.", "non-dropping-particle" : "", "parse-names" : false, "suffix" : "" }, { "dropping-particle" : "", "family" : "Negr\u00f3n-Ortiz", "given" : "Vivian", "non-dropping-particle" : "", "parse-names" : false, "suffix" : "" }, { "dropping-particle" : "", "family" : "Oakley", "given" : "Luis J.", "non-dropping-particle" : "", "parse-names" : false, "suffix" : "" }, { "dropping-particle" : "", "family" : "Ortega-Baes", "given" : "Pablo", "non-dropping-particle" : "", "parse-names" : false, "suffix" : "" }, { "dropping-particle" : "", "family" : "Ferreira", "given" : "Ana Beatriz Pin", "non-dropping-particle" : "", "parse-names" : false, "suffix" : "" }, { "dropping-particle" : "", "family" : "Pinkava", "given" : "Donald J.", "non-dropping-particle" : "", "parse-names" : false, "suffix" : "" }, { "dropping-particle" : "", "family" : "Porter", "given" : "J. Mark", "non-dropping-particle" : "", "parse-names" : false, "suffix" : "" }, { "dropping-particle" : "", "family" : "Puente-Martinez", "given" : "Raul", "non-dropping-particle" : "", "parse-names" : false, "suffix" : "" }, { "dropping-particle" : "", "family" : "Roque Gamarra", "given" : "Jos\u00e9", "non-dropping-particle" : "", "parse-names" : false, "suffix" : "" }, { "dropping-particle" : "", "family" : "Saldivia P\u00e9rez", "given" : "Patricio", "non-dropping-particle" : "", "parse-names" : false, "suffix" : "" }, { "dropping-particle" : "", "family" : "S\u00e1nchez Mart\u00ednez", "given" : "Emiliano", "non-dropping-particle" : "", "parse-names" : false, "suffix" : "" }, { "dropping-particle" : "", "family" : "Smith", "given" : "Martin", "non-dropping-particle" : "", "parse-names" : false, "suffix" : "" }, { "dropping-particle" : "", "family" : "Sotomayor M. del C.", "given" : "J. Manuel", "non-dropping-particle" : "", "parse-names" : false, "suffix" : "" }, { "dropping-particle" : "", "family" : "Stuart", "given" : "Simon N.", "non-dropping-particle" : "", "parse-names" : false, "suffix" : "" }, { "dropping-particle" : "", "family" : "Tapia Mu\u00f1oz", "given" : "Jos\u00e9 Luis", "non-dropping-particle" : "", "parse-names" : false, "suffix" : "" }, { "dropping-particle" : "", "family" : "Terrazas", "given" : "Teresa", "non-dropping-particle" : "", "parse-names" : false, "suffix" : "" }, { "dropping-particle" : "", "family" : "Terry", "given" : "Martin", "non-dropping-particle" : "", "parse-names" : false, "suffix" : "" }, { "dropping-particle" : "", "family" : "Trevisson", "given" : "Marcelo", "non-dropping-particle" : "", "parse-names" : false, "suffix" : "" }, { "dropping-particle" : "", "family" : "Valverde", "given" : "Teresa", "non-dropping-particle" : "", "parse-names" : false, "suffix" : "" }, { "dropping-particle" : "", "family" : "Devender", "given" : "Thomas R.", "non-dropping-particle" : "Van", "parse-names" : false, "suffix" : "" }, { "dropping-particle" : "", "family" : "V\u00e9liz-P\u00e9rez", "given" : "Mario Esteban", "non-dropping-particle" : "", "parse-names" : false, "suffix" : "" }, { "dropping-particle" : "", "family" : "Walter", "given" : "Helmut E.", "non-dropping-particle" : "", "parse-names" : false, "suffix" : "" }, { "dropping-particle" : "", "family" : "Wyatt", "given" : "Sarah A.", "non-dropping-particle" : "", "parse-names" : false, "suffix" : "" }, { "dropping-particle" : "", "family" : "Zappi", "given" : "Daniela", "non-dropping-particle" : "", "parse-names" : false, "suffix" : "" }, { "dropping-particle" : "", "family" : "Alejandro Zavala-Hurtado", "given" : "J.", "non-dropping-particle" : "", "parse-names" : false, "suffix" : "" }, { "dropping-particle" : "", "family" : "Gaston", "given" : "Kevin J.", "non-dropping-particle" : "", "parse-names" : false, "suffix" : "" } ], "container-title" : "Nature Plants", "id" : "ITEM-1", "issue" : "10", "issued" : { "date-parts" : [ [ "2015" ] ] }, "page" : "15142", "title" : "High proportion of cactus species threatened with extinction", "type" : "article-journal", "volume" : "1" }, "uris" : [ "http://www.mendeley.com/documents/?uuid=901448ee-6c93-4f88-b673-1fb023bf1478" ] }, { "id" : "ITEM-2", "itemData" : { "DOI" : "10.1016/j.jaridenv.2011.04.036", "ISBN" : "0140-1963", "ISSN" : "01401963", "abstract" : "In this study we describe the biogeographic patterns of the endemic cacti from the Atacama Desert to the Mediterranean area of Chile. Our goals were: (1) to identify areas of high endemism, (2) to test Rapoport's rule, (3) to test the geometric constraints hypothesis, (4) to explore temperature and precipitation as explanatory variables of species richness. We used a list of 72 species of cacti, ranging from 18\u00b0 to 36\u00b0 S and from 0 to 4500 m.a.s.l. A Bayesian analysis of Endemicity (BAE) was used to evaluate hierarchical relationships of endemism between different latitudinal bands. Rapoport's rule was evaluated by examining the relationships between latitudinal/altitudinal mid-point, latitudinal/altitudinal range extent and species richness. The geometric constraints hypothesis was tested by examining the existence of mid-domain effect. The BAE indicated two areas of endemism: (1) the northern area between 18\u00b0 S and 26\u00b0 S, and (2) the southern area between 27\u00b0 S and 36\u00b0 S. The shape of the latitudinal gradient is non-linear, supporting the geometric constraints hypothesis. Altitudinal patterns, however, support Rapoport's rule; a peak of endemism was found at low altitudes. The explanatory variables were elevation, minimum temperature of the coldest month, mean temperature of wettest quarter and annual precipitation. \u00a9 2011 Elsevier Ltd.", "author" : [ { "dropping-particle" : "", "family" : "Guerrero", "given" : "P.C.", "non-dropping-particle" : "", "parse-names" : false, "suffix" : "" }, { "dropping-particle" : "", "family" : "Dur\u00e1n", "given" : "A.P.", "non-dropping-particle" : "", "parse-names" : false, "suffix" : "" }, { "dropping-particle" : "", "family" : "Walter", "given" : "H.E.", "non-dropping-particle" : "", "parse-names" : false, "suffix" : "" } ], "container-title" : "Journal of Arid Environments", "id" : "ITEM-2", "issue" : "11", "issued" : { "date-parts" : [ [ "2011" ] ] }, "page" : "991-997", "title" : "Latitudinal and altitudinal patterns of the endemic cacti from the Atacama desert to Mediterranean Chile", "type" : "article-journal", "volume" : "75" }, "uris" : [ "http://www.mendeley.com/documents/?uuid=8c1fec52-82dd-4e54-86a0-1262af07c761" ] }, { "id" : "ITEM-3", "itemData" : { "DOI" : "10.1007/s10531-014-0664-z", "ISBN" : "1053101406", "ISSN" : "15729710", "abstract" : "Many of Chile\u2019s iconic cactus species are threatened by human activities and global change. In order to safeguard them from extinction, both in situ and ex situ conservation actions are urgently needed. In this paper, an overview is given of the in situ and ex situ conservation status of the mainly Chilean cactus genera Copiapoa, Eriosyce and Eulychnia, including a worldwide survey of living ex situ collections of the species of these genera. From our results, we can conclude that although the threats to Chile\u2019s remarkable biodiversity are now recognized as an environmental problem, and efforts are underway to protect the threatened endemic flora, many of the most threatened species are currently not protected in situ. Although a higher percentage of living accessions of Copiapoa, Eriosyce and Eulychnia in ex situ collections are of known wild origin compared to results of previous studies on other plant groups, the number of available accessions is insufficient to adequately preserve the genetic diversity of the threatened species. Prospects to upscale both in situ and ex situ conservation of the studied genera are discussed.", "author" : [ { "dropping-particle" : "", "family" : "Larridon", "given" : "Isabel", "non-dropping-particle" : "", "parse-names" : false, "suffix" : "" }, { "dropping-particle" : "", "family" : "Shaw", "given" : "Kirsty", "non-dropping-particle" : "", "parse-names" : false, "suffix" : "" }, { "dropping-particle" : "", "family" : "Cisternas", "given" : "Mauricio A.", "non-dropping-particle" : "", "parse-names" : false, "suffix" : "" }, { "dropping-particle" : "", "family" : "Paizanni Guill\u00e9n", "given" : "Anna", "non-dropping-particle" : "", "parse-names" : false, "suffix" : "" }, { "dropping-particle" : "", "family" : "Sharrock", "given" : "Suzanne", "non-dropping-particle" : "", "parse-names" : false, "suffix" : "" }, { "dropping-particle" : "", "family" : "Oldfield", "given" : "Sara", "non-dropping-particle" : "", "parse-names" : false, "suffix" : "" }, { "dropping-particle" : "", "family" : "Goetghebeur", "given" : "Paul", "non-dropping-particle" : "", "parse-names" : false, "suffix" : "" }, { "dropping-particle" : "", "family" : "Samain", "given" : "Marie St\u00e9phanie", "non-dropping-particle" : "", "parse-names" : false, "suffix" : "" } ], "container-title" : "Biodiversity and Conservation", "id" : "ITEM-3", "issue" : "5", "issued" : { "date-parts" : [ [ "2014" ] ] }, "page" : "1249-1287", "title" : "Is there a future for the Cactaceae genera &lt;i&gt;Copiapoa&lt;/i&gt;, &lt;i&gt;Eriosyce&lt;/i&gt; and &lt;i&gt;Eulychnia&lt;/i&gt;? A status report of a prickly situation", "type" : "article-journal", "volume" : "23" }, "uris" : [ "http://www.mendeley.com/documents/?uuid=645fa284-2ab1-415f-bb31-103c29d128dd" ] }, { "id" : "ITEM-4", "itemData" : { "DOI" : "10.1007/s10531-004-1461-x", "ISSN" : "0960-3115", "abstract" : "The purpose of this paper was to analyze the diversity patterns of Cactaceae at a global scale, to identify those countries where conservation actions should be performed. In order to do this, the species richness and the number of endemic species for 34 American countries were determined. With these data, the relationship between the total number of species or the number of endemic species and the area of the countries were analyzed. In addition, a complementarity analysis was conducted to determine the most important countries for cactus conservation. Results showed that Mexico had the highest number of total and endemic species followed by Argentina, Bolivia, Brazil, and Peru, among others. There was a significant positive relationship between both, the total and endemic species, and the area of the countries. Despite this fact, the cactus diversity in Mexico, Argentina, Peru, Bolivia, Chile, and Costa Rica was higher than expected according to their area. Further, these countries also presented the highest proportions of endemic species. The complementarity analysis indicated that 24 countries are necessary to preserve all cactus species. However, 94% of all species could be preserved with only 10 countries. Considering the diversity patterns and the complementarity analysis, three important groups for cactus conservation were identified: (1) Mexico, Argentina, Peru, Bolivia, Chile, and Costa Rica, (2) Paraguay and Cuba, and (3) Brazil and USA. Conservation efforts should be focused on these countries in order to preserve cac</w:instrText>
      </w:r>
      <w:r w:rsidR="004255E7" w:rsidRPr="008608AA">
        <w:rPr>
          <w:lang w:val="es-CO"/>
        </w:rPr>
        <w:instrText>tus diversity.", "author" : [ { "dropping-particle" : "", "family" : "Ortega-Baes", "given" : "Pablo", "non-dropping-particle" : "", "parse-names" : false, "suffix" : "" }, { "dropping-particle" : "", "family" : "God\u00ednez-Alvarez", "given" : "H\u00e9ctor", "non-dropping-particle" : "", "parse-names" : false, "suffix" : "" } ], "container-title" : "Biodiversity and Conservation", "id" : "ITEM-4", "issue" : "3", "issued" : { "date-parts" : [ [ "2006" ] ] }, "page" : "817-827", "title" : "Global diversity and conservation priorities in the Cactaceae", "type" : "article-journal", "volume" : "15" }, "uris" : [ "http://www.mendeley.com/documents/?uuid=18366ab6-51e2-3e59-94d5-112e394dd7ed" ] } ], "mendeley" : { "formattedCitation" : "(B\u00e1rbara Goettsch et al., 2015; Guerrero, Dur\u00e1n, &amp; Walter, 2011; Larridon et al., 2014; Ortega-Baes &amp; God\u00ednez-Alvarez, 2006)", "manualFormatting" : "(Goettsch et al., 2015; Guerrero et al., 2011; Larridon et al., 2014; Ortega-Baes &amp; God\u00ednez-Alvarez, 2006)", "plainTextFormattedCitation" : "(B\u00e1rbara Goettsch et al., 2015; Guerrero, Dur\u00e1n, &amp; Walter, 2011; Larridon et al., 2014; Ortega-Baes &amp; God\u00ednez-Alvarez, 2006)", "previouslyFormattedCitation" : "(B\u00e1rbara Goettsch et al., 2015; Guerrero, Dur\u00e1n, &amp; Walter, 2011; Larridon et al., 2014; Ortega-Baes &amp; God\u00ednez-Alvarez, 2006)" }, "properties" : { "noteIndex" : 0 }, "schema" : "https://github.com/citation-style-language/schema/raw/master/csl-citation.json" }</w:instrText>
      </w:r>
      <w:r w:rsidR="004255E7" w:rsidRPr="008608AA">
        <w:fldChar w:fldCharType="separate"/>
      </w:r>
      <w:r w:rsidR="004255E7" w:rsidRPr="008608AA">
        <w:rPr>
          <w:noProof/>
          <w:lang w:val="es-CO"/>
        </w:rPr>
        <w:t>(Goettsch et al., 2015; Guerrero et al., 2011; Larridon et al., 2014; Ortega-Baes &amp; Godínez-Alvarez, 2006)</w:t>
      </w:r>
      <w:r w:rsidR="004255E7" w:rsidRPr="008608AA">
        <w:fldChar w:fldCharType="end"/>
      </w:r>
      <w:r w:rsidR="004255E7" w:rsidRPr="008608AA">
        <w:rPr>
          <w:lang w:val="es-CO"/>
        </w:rPr>
        <w:t xml:space="preserve">. </w:t>
      </w:r>
      <w:r w:rsidR="004255E7" w:rsidRPr="008608AA">
        <w:t xml:space="preserve">Saline lakes and barren areas of the Atacama contain fascinating assemblages of Archaea, bacteria, and cyanobacteria </w:t>
      </w:r>
      <w:r w:rsidR="004255E7" w:rsidRPr="008608AA">
        <w:fldChar w:fldCharType="begin" w:fldLock="1"/>
      </w:r>
      <w:r w:rsidR="004255E7" w:rsidRPr="008608AA">
        <w:instrText xml:space="preserve">ADDIN CSL_CITATION { "citationItems" : [ { "id" : "ITEM-1", "itemData" : { "DOI" : "10.1111/1462-2920.13259", "ISBN" : "1462-2912", "ISSN" : "14622920", "PMID" : "26914534", "abstract" : "Halite endoliths in the Atacama Desert represent one of the most extreme ecosystems on Earth. Cultivation-independent methods were used to examine the functional adaptations of the microbial consortia inhabiting halite nodules. The community was dominated by haloarchaea and functional analysis attributed most of the autotrophic CO2 fixation to one unique cyanobacterium. The assembled 1.1 Mbp genome of a novel nanohaloarchaeon, Candidatus Nanopetramus SG9, revealed a photoheterotrophic life style and a low median isoelectric point (pI) for all predicted proteins, suggesting a 'salt-in' strategy for osmotic balance. Predicted proteins of the algae identified in the community also had pI distributions similar to 'salt-in' strategists. The Nanopetramus genome contained a unique CRISPR/Cas system with a spacer that matched a partial viral genome from the metagenome. A combination of reference-independent methods identified over 30 complete or near complete viral or proviral genomes with diverse genome structure, genome size, gene content and hosts. Putative hosts included Halobacteriaceae, Nanohaloarchaea and Cyanobacteria. Despite the dependence of the halite community on deliquescence for liquid water availability, this study exposed an ecosystem spanning three phylogenetic domains, containing a large diversity of viruses and predominance of a 'salt-in' strategy to balance the high osmotic pressure of the environment.", "author" : [ { "dropping-particle" : "", "family" : "Crits-Christoph", "given" : "Alexander", "non-dropping-particle" : "", "parse-names" : false, "suffix" : "" }, { "dropping-particle" : "", "family" : "Gelsinger", "given" : "Diego R.", "non-dropping-particle" : "", "parse-names" : false, "suffix" : "" }, { "dropping-particle" : "", "family" : "Ma", "given" : "Bing", "non-dropping-particle" : "", "parse-names" : false, "suffix" : "" }, { "dropping-particle" : "", "family" : "Wierzchos", "given" : "Jacek", "non-dropping-particle" : "", "parse-names" : false, "suffix" : "" }, { "dropping-particle" : "", "family" : "Ravel", "given" : "Jacques", "non-dropping-particle" : "", "parse-names" : false, "suffix" : "" }, { "dropping-particle" : "", "family" : "Davila", "given" : "Alfonso", "non-dropping-particle" : "", "parse-names" : false, "suffix" : "" }, { "dropping-particle" : "", "family" : "Casero", "given" : "M. Cristina", "non-dropping-particle" : "", "parse-names" : false, "suffix" : "" }, { "dropping-particle" : "", "family" : "DiRuggiero", "given" : "Jocelyne", "non-dropping-particle" : "", "parse-names" : false, "suffix" : "" } ], "container-title" : "Environmental Microbiology", "id" : "ITEM-1", "issue" : "6", "issued" : { "date-parts" : [ [ "2016" ] ] }, "page" : "2064-2077", "title" : "Functional interactions of archaea, bacteria and viruses in a hypersaline endolithic community", "type" : "article-journal", "volume" : "18" }, "uris" : [ "http://www.mendeley.com/documents/?uuid=dfb21c66-7f86-477e-b1fb-27c6e026db38" ] }, { "id" : "ITEM-2", "itemData" : { "DOI" : "10.3389/fmicb.2016.01284", "ISBN" : "1664-302X", "ISSN" : "1664302X", "PMID" : "27597845", "abstract" : "We combined nucleic acid-based molecular methods, biogeochemical measurements, and physicochemical characteristics to investigate microbial sedimentary ecosystems of Laguna Tebenquiche, Atacama Desert, Chile. Molecular diversity, and biogeochemistry of hypersaline microbial mats, rhizome-associated concretions, and an endoevaporite were compared with: The V4 hypervariable region of the 16S rRNA gene was amplified by pyrosequencing to analyze the total microbial diversity (i.e., bacteria and archaea) in bulk samples, and in addition, in detail on a millimeter scale in one microbial mat and in one evaporite. Archaea were more abundant than bacteria. Euryarchaeota was one of the most abundant phyla in all samples, and particularly dominant (97% of total diversity) in the most lithified ecosystem, the evaporite. Most of the euryarchaeal OTUs could be assigned to the class Halobacteria or anaerobic and methanogenic archaea. Planctomycetes potentially also play a key role in mats and rhizome-associated concretions, notably the aerobic organoheterotroph members of the class Phycisphaerae. In addition to cyanobacteria, members of Chromatiales and possibly the candidate family Chlorotrichaceae contributed to photosynthetic carbon fixation. Other abundant uncultured taxa such as the candidate division MSBL1, the uncultured MBGB, and the phylum Acetothermia potentially play an important metabolic role in these ecosystems. Lithifying microbial mats contained calcium carbonate precipitates, whereas endoevoporites consisted of gypsum, and halite. Biogeochemical measurements revealed that based on depth profiles of O2 and sulfide, metabolic activities were much higher in the non-lithifying mat (peaking in the least lithified systems) than in lithifying mats with the lowest activity in endoevaporites. This trend in decreasing microbial activity reflects the increase in salinity, which may play an important role in the biodiversity.", "author" : [ { "dropping-particle" : "", "family" : "Fernandez", "given" : "Ana B.", "non-dropping-particle" : "", "parse-names" : false, "suffix" : "" }, { "dropping-particle" : "", "family" : "Rasuk", "given" : "Maria C.", "non-dropping-particle" : "", "parse-names" : false, "suffix" : "" }, { "dropping-particle" : "", "family" : "Visscher", "given" : "Pieter T.", "non-dropping-particle" : "", "parse-names" : false, "suffix" : "" }, { "dropping-particle" : "", "family" : "Contreras", "given" : "Manuel", "non-dropping-particle" : "", "parse-names" : false, "suffix" : "" }, { "dropping-particle" : "", "family" : "Novoa", "given" : "Fernando", "non-dropping-particle" : "", "parse-names" : false, "suffix" : "" }, { "dropping-particle" : "", "family" : "Poire", "given" : "Daniel G.", "non-dropping-particle" : "", "parse-names" : false, "suffix" : "" }, { "dropping-particle" : "", "family" : "Patterson", "given" : "Molly M.", "non-dropping-particle" : "", "parse-names" : false, "suffix" : "" }, { "dropping-particle" : "", "family" : "Ventosa", "given" : "Antonio", "non-dropping-particle" : "", "parse-names" : false, "suffix" : "" }, { "dropping-particle" : "", "family" : "Farias", "given" : "Maria E.", "non-dropping-particle" : "", "parse-names" : false, "suffix" : "" } ], "container-title" : "Frontiers in Microbiology", "id" : "ITEM-2", "issued" : { "date-parts" : [ [ "2016" ] ] }, "page" : "1284", "title" : "Microbial diversity in sediment ecosystems (evaporites domes, microbial mats, and crusts) of hypersaline Laguna Tebenquiche, Salar de Atacama, Chile", "type" : "article-journal", "volume" : "7" }, "uris" : [ "http://www.mendeley.com/documents/?uuid=b2108291-c794-4724-a457-659cc0dae47b" ] }, { "id" : "ITEM-3", "itemData" : { "DOI" : "10.1016/j.soilbio.2006.09.020", "ISSN" : "00380717", "abstract" : "Surface and subsurface soil samples from the most arid region within the Atacama Desert, Chile, were analyzed for total organic carbon (TOC), phospholipid fatty acids (PLFA) and culturable bacteria. TOC content was determined to range between 560 and 765 ??g/g. PLFA analysis indicated 2.0??106-1.0??107 cell equivalents/g. Culturing of soil extracts on R2A and TSA media yielded 1.6??103-4.6??103 CFU/g, and 200-300 CFU/g heat shock survivors. Twenty isolated strains were identified based on analysis of 16S rRNA gene sequences, and divided into eight phylogenetic groups, including Rhodopseudomonas, Sphingomonas sp., Mesorhizobium sp., Asticcacaulis sp., Bradyrhizobium sp., Bacillus subtilis, Bacillus pumilus, and Burkholderia sp. ?? 2006 Elsevier Ltd. All rights reserved.", "author" : [ { "dropping-particle" : "", "family" : "Lester", "given" : "Elizabeth D.", "non-dropping-particle" : "", "parse-names" : false, "suffix" : "" }, { "dropping-particle" : "", "family" : "Satomi", "given" : "Masataka", "non-dropping-particle" : "", "parse-names" : false, "suffix" : "" }, { "dropping-particle" : "", "family" : "Ponce", "given" : "Adrian", "non-dropping-particle" : "", "parse-names" : false, "suffix" : "" } ], "container-title" : "Soil Biology and Biochemistry", "id" : "ITEM-3", "issue" : "2", "issued" : { "date-parts" : [ [ "2007" ] ] }, "page" : "704-708", "title" : "Microflora of extreme arid Atacama Desert soils", "type" : "article-journal", "volume" : "39" }, "uris" : [ "http://www.mendeley.com/documents/?uuid=5e39031d-4d14-44bb-8af4-7e2c3f3945a2" ] }, { "id" : "ITEM-4", "itemData" : { "DOI" : "10.1126/science.1089143", "ISBN" : "1095-9203 (Electronic)", "ISSN" : "0036-8075", "PMID" : "14605363", "abstract" : "The Viking missions showed the martian soil to be lifeless and depleted in organic material and indicated the presence of one or more reactive oxidants. Here we report the presence of Mars-like soils in the extreme arid region of the Atacama Desert. Samples from this region had organic species only at trace levels and extremely low levels of culturable bacteria. Two samples from the extreme arid region were tested for DNA and none was recovered. Incubation experiments, patterned after the Viking labeled-release experiment but with separate biological and nonbiological isomers, show active decomposition of organic species in these soils by nonbiological processes.", "author" : [ { "dropping-particle" : "", "family" : "Navarro-Gonzalez", "given" : "R.", "non-dropping-particle" : "", "parse-names" : false, "suffix" : "" } ], "container-title" : "Science", "id" : "ITEM-4", "issue" : "5647", "issued" : { "date-parts" : [ [ "2003" ] ] }, "page" : "1018-1021", "title" : "Mars-like soils in the Atacama Desert, Chile, and the dry limit of microbial life", "type" : "article-journal", "volume" : "302" }, "uris" : [ "http://www.mendeley.com/documents/?uuid=75ad5f09-9a24-3728-92fe-3d4080b6c568" ] }, { "id" : "ITEM-5", "itemData" : { "DOI" : "10.1089/ast.2006.6.415", "ISBN" : "1531-1074 (Print)", "ISSN" : "1531-1074", "PMID" : "16805697", "abstract" : "In the driest parts of the Atacama Desert there are no visible life forms on soil or rock surfaces. The soil in this region contains only minute traces of bacteria distributed in patches, and conditions are too dry for cyanobacteria that live under translucent stones. Here we show that halite evaporite rocks from the driest part of the Atacama Desert are colonized by cyanobacteria. This colonization takes place just a few millimeters beneath the rock surface, occupying spaces among salt crystals. Our work reveals that these communities are composed of extremely resistant Chroococcidiopsis morphospecies of cyanobacteria and associated heterotrophic bacteria. This newly discovered endolithic environment is an extremely dry and, at the same time, saline microbial habitat. Photosynthetic microorganisms within dry evaporite rocks could be an important and previously unrecognized target for the search for life within our Solar System.", "author" : [ { "dropping-particle" : "", "family" : "Wierzchos", "given" : "Jacek", "non-dropping-particle" : "", "parse-names" : false, "suffix" : "" </w:instrText>
      </w:r>
      <w:r w:rsidR="004255E7" w:rsidRPr="00CE0821">
        <w:rPr>
          <w:lang w:val="es-CO"/>
        </w:rPr>
        <w:instrText>}, { "dropping-particle" : "", "family" : "Ascaso", "given" : "Carmen", "non-dropping-particle" : "", "parse-names" : false, "suffix" : "" }, { "dropping-particle" : "", "family" : "McKay", "given" : "Christopher P.", "non-dropping-particle" : "", "parse-names" : false, "suffix" : "" } ], "container-title" : "Astrobiology", "id" : "ITEM-5", "issue" : "3", "issued" : { "date-parts" : [ [ "2006" ] ] }, "page" : "415-422", "title" : "Endolithic cyanobacteria in halite rocks from the hyperarid core of the Atacama Desert", "type" : "article-journal", "volume" : "6" }, "uris" : [ "http://www.mendeley.com/documents/?uuid=d1ebd5bd-0556-3587-a40a-113afbd6bae0" ] } ], "mendeley" : { "formattedCitation" : "(Crits-Christoph et al., 2016; Fernandez et al., 2016; Lester, Satomi, &amp; Ponce, 2007; Navarro-Gonzalez, 2003; Wierzchos, Ascaso, &amp; McKay, 2006)", "manualFormatting" : "(Crits-Christoph et al., 2016; Fernandez et al., 2016; Lester et al., 2007; Navarro-Gonz\u00e1lez et al., 2003; Wierzchos et al., 2006)", "plainTextFormattedCitation" : "(Crits-Christoph et al., 2016; Fernandez et al., 2016; Lester, Satomi, &amp; Ponce, 2007; Navarro-Gonzalez, 2003; Wierzchos, Ascaso, &amp; McKay, 2006)", "previouslyFormattedCitation" : "(Crits-Christoph et al., 2016; Fernandez et al., 2016; Lester, Satomi, &amp; Ponce, 2007; Navarro-Gonzalez, 2003; Wierzchos, Ascaso, &amp; McKay, 2006)" }, "properties" : { "noteIndex" : 0 }, "schema" : "https://github.com/citation-style-language/schema/raw/master/csl-citation.json" }</w:instrText>
      </w:r>
      <w:r w:rsidR="004255E7" w:rsidRPr="008608AA">
        <w:fldChar w:fldCharType="separate"/>
      </w:r>
      <w:r w:rsidR="004255E7" w:rsidRPr="00CE0821">
        <w:rPr>
          <w:noProof/>
          <w:lang w:val="es-CO"/>
        </w:rPr>
        <w:t>(Crits-Christoph et al., 2016; Fernandez et al., 2016; Lester et al., 2007; Navarro-González et al., 2003; Wierzchos et al., 2006)</w:t>
      </w:r>
      <w:r w:rsidR="004255E7" w:rsidRPr="008608AA">
        <w:fldChar w:fldCharType="end"/>
      </w:r>
      <w:r w:rsidR="004255E7" w:rsidRPr="00CE0821">
        <w:rPr>
          <w:lang w:val="es-CO"/>
        </w:rPr>
        <w:t xml:space="preserve">. </w:t>
      </w:r>
      <w:r w:rsidR="004255E7" w:rsidRPr="008608AA">
        <w:t xml:space="preserve">Western deserts are subject to flash floods, and thus vegetation integrity plays a critical role in containing water erosion. </w:t>
      </w:r>
      <w:r w:rsidR="004255E7" w:rsidRPr="008608AA">
        <w:rPr>
          <w:color w:val="000000" w:themeColor="text1"/>
        </w:rPr>
        <w:t xml:space="preserve">Western coastal desert loma vegetation in particular, is highly susceptible to invasion when disturbed </w:t>
      </w:r>
      <w:r w:rsidR="004255E7" w:rsidRPr="008608AA">
        <w:rPr>
          <w:color w:val="000000" w:themeColor="text1"/>
        </w:rPr>
        <w:fldChar w:fldCharType="begin" w:fldLock="1"/>
      </w:r>
      <w:r w:rsidR="004255E7" w:rsidRPr="008608AA">
        <w:rPr>
          <w:color w:val="000000" w:themeColor="text1"/>
        </w:rPr>
        <w:instrText>ADDIN CSL_CITATION { "citationItems" : [ { "id" : "ITEM-1", "itemData" : { "ISSN" : "2027-3851", "abstract" : "Por su diversidad de especies y por los servicios ecosist\u00e9micos que brindan, los humedales son ecosistemas importantes en el planeta. El estudio de la composici\u00f3n flor\u00edstica de estos ambientes nos permite conocer su riqueza y apreciar los cambios naturales y los causados por la presi\u00f3n antr\u00f3pica sobre estos ecosistemas. El objetivo del presente trabajo fue realizar un compendio de la flora que albergan seis humedales de la costa del departamento de Lima (los humedales de Puerto Viejo, los pantanos de Villa, los humedales de Ventanilla, los humedales de Santa Rosa, la laguna El Para\u00edso y las albuferas de Medio Mundo) a partir de fuentes bibliogr\u00e1ficas y colectas actuales. Asimismo, se hizo un an\u00e1lisis hist\u00f3rico para tres de estas localidades (los pantanos de Villa, la laguna El Para\u00edso y las albuferas de Medio Mundo) comparando los principales cambios en la composici\u00f3n flor\u00edsticas en los \u00faltimos 10 a\u00f1os. Se reportan un total de 123 especies como compendio para estos seis humedales. Del total de especies, nueve son introducidas, 54 son invasoras y 16 invasoras potenciales. Cincuenta y dos especies tienen reportadas al menos un uso. Pantanos de Villa es la localidad que present\u00f3 un mayor n\u00famero de plantas en los inventarios (71 reportes) con un 46% de plantas \u00fatiles. Estos resultados demuestran la importancia de estos humedales como foco de diversidad flor\u00edstica y de recursos naturales en el desierto de Lima. Los principales cambios en las localidades donde se hicieron an\u00e1lisis hist\u00f3ricos fueron el aumento o la disminuci\u00f3n de especies invasoras e invasoras potenciales, as\u00ed como de la p\u00e9rdida de especies acu\u00e1ticas. Esto nos indica que los principales esfuerzos de conservaci\u00f3n deben estar ligados a la protecci\u00f3n de los cuerpos de agua y al control de las especies ex\u00f3ticas en estos ecosistemas.", "author" : [ { "dropping-particle" : "", "family" : "Aponte", "given" : "H\u00e9ctor", "non-dropping-particle" : "", "parse-names" : false, "suffix" : "" }, { "dropping-particle" : "", "family" : "Cano", "given" : "Asunci\u00f3n", "non-dropping-particle" : "", "parse-names" : false, "suffix" : "" } ], "container-title" : "Revista Latinoamericana de Conservaci\u00f3n", "id" : "ITEM-1", "issue" : "2", "issued" : { "date-parts" : [ [ "2013" ] ] }, "page" : "15-27", "title" : "Estudio flor\u00edstico comparativo de seis humedales de la costa de Lima (Per\u00fa): actualizaci\u00f3n y nuevos retos para su conservaci\u00f3n", "type" : "article-journal", "volume" : "3" }, "uris" : [ "http://www.mendeley.com/documents/?uuid=f303a0e0-07de-462d-89aa-122d3ce7c043" ] } ], "mendeley" : { "formattedCitation" : "(Aponte &amp; Cano, 2013)", "plainTextFormattedCitation" : "(Aponte &amp; Cano, 2013)", "previouslyFormattedCitation" : "(Aponte &amp; Cano, 2013)" }, "properties" : { "noteIndex" : 0 }, "schema" : "https://github.com/citation-style-language/schema/raw/master/csl-citation.json" }</w:instrText>
      </w:r>
      <w:r w:rsidR="004255E7" w:rsidRPr="008608AA">
        <w:rPr>
          <w:color w:val="000000" w:themeColor="text1"/>
        </w:rPr>
        <w:fldChar w:fldCharType="separate"/>
      </w:r>
      <w:r w:rsidR="004255E7" w:rsidRPr="008608AA">
        <w:rPr>
          <w:noProof/>
          <w:color w:val="000000" w:themeColor="text1"/>
        </w:rPr>
        <w:t>(Aponte &amp; Cano, 2013)</w:t>
      </w:r>
      <w:r w:rsidR="004255E7" w:rsidRPr="008608AA">
        <w:rPr>
          <w:color w:val="000000" w:themeColor="text1"/>
        </w:rPr>
        <w:fldChar w:fldCharType="end"/>
      </w:r>
      <w:r w:rsidR="004255E7" w:rsidRPr="008608AA">
        <w:rPr>
          <w:color w:val="000000" w:themeColor="text1"/>
        </w:rPr>
        <w:t xml:space="preserve">. While some areas of the western deserts are under threat, a growing appreciation of the rich so-called “flowering desert” in Chile as a tourist resource has greatly heightened public awareness of the value of biodiversity. </w:t>
      </w:r>
    </w:p>
    <w:p w14:paraId="4A0E1F69" w14:textId="4C7BD19F" w:rsidR="004255E7" w:rsidRPr="008608AA" w:rsidRDefault="004255E7" w:rsidP="00581F86">
      <w:pPr>
        <w:spacing w:after="120"/>
      </w:pPr>
      <w:r w:rsidRPr="008608AA">
        <w:t xml:space="preserve">Caatinga vegetation in eastern Brazil, part of this biome, is also rich (Table 3.4). Caatinga is poorly known in comparison to Brazilian </w:t>
      </w:r>
      <w:r w:rsidR="00A01A41" w:rsidRPr="008608AA">
        <w:t>Cerrado</w:t>
      </w:r>
      <w:r w:rsidRPr="008608AA">
        <w:t xml:space="preserve"> and tropical rainforest. The caatinga woody matrix is estimated to comprise around 63% of the original cover </w:t>
      </w:r>
      <w:r w:rsidRPr="008608AA">
        <w:fldChar w:fldCharType="begin" w:fldLock="1"/>
      </w:r>
      <w:r w:rsidRPr="008608AA">
        <w:instrText>ADDIN CSL_CITATION { "citationItems" : [ { "id" : "ITEM-1", "itemData" : { "DOI" : "10.1016/j.apgeog.2015.01.017", "ISBN" : "01436228", "ISSN" : "01436228", "abstract" : "The main objective of our study was to provide consistent information on land cover changes between the years 1990 and 2010 for the Cerrado and Caatinga Brazilian seasonal biomes. These areas have been overlooked in terms of land cover change assessment if compared with efforts in monitoring the Amazon rain forest. For each of the target years (1990, 2000 and 2010) land cover information was obtained through an object-based classification approach for 243 sample units (10km\u00d710km size), using (E)TM Landsat images systematically located at each full degree confluence of latitude and longitude. The images were automatically pre-processed, segmented and labelled according to the following legend: Tree Cover (TC), Tree Cover Mosaic (TCM), Other Wooded Land (OWL), Other Land Cover (OLC) and Water (W). Our results indicate the Cerrado and Caatinga biomes lost (gross loss) respectively 265,595km2 and 89,656km2 of natural vegetation (TC+OWL) between 1990 and 2010. In the same period, these areas also experienced gain of TC and OWL. By 2010, the percentage of natural vegetation cover remaining in the Cerrado was 47% and in the Caatinga 63%. The annual (net) rate of natural vegetation cover loss in the Cerrado slowed down from-0.79%yr-1 to-0.44%yr-1 from the 1990s to the 2000s, while in the Caatinga for the same periods the rate increased from-0.19%yr-1 to-0.44%yr-1. In summary, these Brazilian biomes experienced both loss and gains of Tree Cover and Other Wooded Land; however a continued net loss of natural vegetation was observed for both biomes between 1990 and 2010. The average annual rate of change in this period was higher in the Cerrado (-0.6%yr-1) than in the Caatinga (-0.3%yr-1).", "author" : [ { "dropping-particle" : "", "family" : "Beuchle", "given" : "Rene", "non-dropping-particle" : "", "parse-names" : false, "suffix" : "" }, { "dropping-particle" : "", "family" : "Grecchi", "given" : "Rosana Cristina", "non-dropping-particle" : "", "parse-names" : false, "suffix" : "" }, { "dropping-particle" : "", "family" : "Shimabukuro", "given" : "Yosio Edemir", "non-dropping-particle" : "", "parse-names" : false, "suffix" : "" }, { "dropping-particle" : "", "family" : "Seliger", "given" : "Roman", "non-dropping-particle" : "", "parse-names" : false, "suffix" : "" }, { "dropping-particle" : "", "family" : "Eva", "given" : "Hugh Douglas", "non-dropping-particle" : "", "parse-names" : false, "suffix" : "" }, { "dropping-particle" : "", "family" : "Sano", "given" : "Edson", "non-dropping-particle" : "", "parse-names" : false, "suffix" : "" }, { "dropping-particle" : "", "family" : "Achard", "given" : "Frederic", "non-dropping-particle" : "", "parse-names" : false, "suffix" : "" } ], "container-title" : "Applied Geography", "id" : "ITEM-1", "issued" : { "date-parts" : [ [ "2015" ] ] }, "page" : "116-127", "title" : "Land cover changes in the Brazilian Cerrado and Caatinga biomes from 1990 to 2010 based on a systematic remote sensing sampling approach", "type" : "article-journal", "volume" : "58" }, "uris" : [ "http://www.mendeley.com/documents/?uuid=18f7acde-7731-4715-8ab5-ec0b139d25ca" ] }, { "id" : "ITEM-2", "itemData" : { "DOI" : "10.1016/j.jaridenv.2016.10.004", "ISBN" : "0140-1963", "ISSN" : "1095922X", "abstract" : "Tropical dry forests are increasingly threatened by land degradation. For the Caatinga seasonally dry forests in Northeast Brazil, recent studies revealed both woody vegetation loss and (re-)gain. A conclusive analysis of land cover and landscape diversity changes is still lacking. To fill this gap, we surveyed pattern-process relationships for the Caatinga phytogeographical domain on different spatial levels for the years 2001\u20132012 from MODIS land cover data. By a landscape pattern analysis, a set of five landscape metrics was calculated using FRAGSTATS. The spatio-temporal results revealed a general decrease of fragmentation and diversity. The savanna class which comprises also Caatinga dry forests covered large parts of the landscape and gained considerably, whereas other vegetation classes decreased. The distribution of the low vegetated shrublands and grasslands implied degradation risks, in particular at the S\u00e3o Fransisco River valley. Large-scaled agriculture was found in the proximity to water reservoirs in the lowlands, which led to local increases of the landscape's diversity. We quantified both gains and losses of woody vegetation with a notable net gain of 6.7% of the study area. Main changes may be attributed to socio-economic shifts from local to large-scaled agriculture and water infrastructural activities. Overall, our study shows that a multi-temporal, global dataset along with a landscape pattern analysis provides valuable contributions to landscape research and for detecting land cover and landscape diversity changes.", "author" : [ { "dropping-particle" : "", "family" : "Schulz", "given" : "Christian", "non-dropping-particle" : "", "parse-names" : false, "suffix" : "" }, { "dropping-particle" : "", "family" : "Koch", "given" : "Robert", "non-dropping-particle" : "", "parse-names" : false, "suffix" : "" }, { "dropping-particle" : "", "family" : "Cierjacks", "given" : "Arne", "non-dropping-particle" : "", "parse-names" : false, "suffix" : "" }, { "dropping-particle" : "", "family" : "Kleinschmit", "given" : "Birgit", "non-dropping-particle" : "", "parse-names" : false, "suffix" : "" } ], "container-title" : "Journal of Arid Environments", "id" : "ITEM-2", "issued" : { "date-parts" : [ [ "2017" ] ] }, "page" : "54-74", "title" : "Land change and loss of landscape diversity at the Caatinga phytogeographical domain \u2013 Analysis of pattern-process relationships with MODIS land cover products (2001\u20132012)", "type" : "article-journal", "volume" : "136" }, "uris" : [ "http://www.mendeley.com/documents/?uuid=c4eeff87-0405-337c-afd6-a06d65ee6ac9" ] } ], "mendeley" : { "formattedCitation" : "(Beuchle et al., 2015; C. Schulz, Koch, Cierjacks, &amp; Kleinschmit, 2017)", "manualFormatting" : "(Beuchle et al., 2015, but see Schulz et al., 2017)", "plainTextFormattedCitation" : "(Beuchle et al., 2015; C. Schulz, Koch, Cierjacks, &amp; Kleinschmit, 2017)", "previouslyFormattedCitation" : "(Beuchle et al., 2015; C. Schulz, Koch, Cierjacks, &amp; Kleinschmit, 2017)" }, "properties" : { "noteIndex" : 0 }, "schema" : "https://github.com/citation-style-language/schema/raw/master/csl-citation.json" }</w:instrText>
      </w:r>
      <w:r w:rsidRPr="008608AA">
        <w:fldChar w:fldCharType="separate"/>
      </w:r>
      <w:r w:rsidRPr="008608AA">
        <w:rPr>
          <w:noProof/>
        </w:rPr>
        <w:t>(Beuchle et al., 2015, but see Schulz et al., 2017)</w:t>
      </w:r>
      <w:r w:rsidRPr="008608AA">
        <w:fldChar w:fldCharType="end"/>
      </w:r>
      <w:r w:rsidRPr="008608AA">
        <w:t xml:space="preserve"> and thus is better conserved than </w:t>
      </w:r>
      <w:r w:rsidR="00A01A41" w:rsidRPr="008608AA">
        <w:t>Cerrado</w:t>
      </w:r>
      <w:r w:rsidRPr="008608AA">
        <w:t xml:space="preserve">. Ten mammals are strictly endemic to caatinga and 11 more are endemic to the caatinga and </w:t>
      </w:r>
      <w:r w:rsidR="00A01A41" w:rsidRPr="008608AA">
        <w:t>Cerrado</w:t>
      </w:r>
      <w:r w:rsidRPr="008608AA">
        <w:t xml:space="preserve"> </w:t>
      </w:r>
      <w:r w:rsidRPr="008608AA">
        <w:fldChar w:fldCharType="begin" w:fldLock="1"/>
      </w:r>
      <w:r w:rsidRPr="008608AA">
        <w:instrText>ADDIN CSL_CITATION { "citationItems" : [ { "id" : "ITEM-1", "itemData" : { "DOI" : "10.3897/zookeys.644.10827", "ISSN" : "13132970", "PMID" : "28144187", "abstract" : "We undertook a comprehensive, critical review of literature concerning the distribution, conservation status, and taxonomy of species of mammals endemic to the Cerrado and the Caatinga, the two largest biomes of the South American Dry-Diagonal. We present species accounts and lists of species, which we built with criteria that, in our opinion, yielded results with increased scientific rigor relative to previously published lists \u2013 e.g., excluding nominal taxa whose statuses as species have been claimed only on the basis of unpublished data, incomplete taxonomic work, or weak evidence. For various taxa, we provided arguments regarding species distributions, conservation and taxonomic statuses previously lacking in the literature. Two major findings are worth highlighting. First, we unveil the existence of a group of species endemic to both the Cerrado and the Caatinga (i.e., present in both biomes and absent in all other biomes). From the biogeographic point of view, this group, herein referred to as Caatinga-Cerrado endemics, deserves attention as a unit \u2013 just as in case of the Caatinga-only and the Cerrado-only endemics. We present preliminary hypotheses on the origin of these three endemic faunas (Cerrado-only, Caatinga-only, and Caatinga-Cerrado endemics). Secondly, we discovered that a substantial portion of the endemic mammalian faunas of the Caatinga and the Cerrado faces risks of extinction that are unrecognized in the highly influential Red List of Threatened Species published by the International Union for Conservation of Nature (IUCN). \u201cData deficient\u201d is a category that misrepresents the real risks of extinction of these species considering that (a) some of these species are known only from a handful of specimens collected in a single or a few localities long ago; (b) the Cerrado and the Caatinga have been sufficiently sampled to guarantee collection of additional specimens of these species if they were abundant; (c) natural habitats of the Cerrado and the Caatinga have been substantially altered or lost in recent decades. Failures either in the design of the IUCN criteria or in their application to assign categories of extinction risks represent an additional important threat to these endemic faunas because their real risks of extinctions become hidden. It is imperative to correct this situation, particularly considering that these species are associated to habitats that are experiencing fast transformation into areas for agriculture, at an\u2026", "author" : [ { "dropping-particle" : "", "family" : "Guti\u00e9rrez", "given" : "Eli\u00e9cer E.", "non-dropping-particle" : "", "parse-names" : false, "suffix" : "" }, { "dropping-particle" : "", "family" : "Marinho-Filho", "given" : "Jader", "non-dropping-particle" : "", "parse-names" : false, "suffix" : "" } ], "container-title" : "ZooKeys", "id" : "ITEM-1", "issue" : "644", "issued" : { "date-parts" : [ [ "2017" ] ] }, "page" : "105-157", "title" : "The mammalian faunas endemic to the Cerrado and the Caatinga", "type" : "article-journal" }, "uris" : [ "http://www.mendeley.com/documents/?uuid=11d990de-8ddc-301d-91f9-36fd2d4a22ee" ] } ], "mendeley" : { "formattedCitation" : "(E. E. Guti\u00e9rrez &amp; Marinho-Filho, 2017)", "manualFormatting" : "(Guti\u00e9rrez &amp; Marinho-Filho, 2017)", "plainTextFormattedCitation" : "(E. E. Guti\u00e9rrez &amp; Marinho-Filho, 2017)", "previouslyFormattedCitation" : "(E. E. Guti\u00e9rrez &amp; Marinho-Filho, 2017)" }, "properties" : { "noteIndex" : 0 }, "schema" : "https://github.com/citation-style-language/schema/raw/master/csl-citation.json" }</w:instrText>
      </w:r>
      <w:r w:rsidRPr="008608AA">
        <w:fldChar w:fldCharType="separate"/>
      </w:r>
      <w:r w:rsidRPr="008608AA">
        <w:rPr>
          <w:noProof/>
        </w:rPr>
        <w:t>(Gutiérrez &amp; Marinho-Filho, 2017)</w:t>
      </w:r>
      <w:r w:rsidRPr="008608AA">
        <w:fldChar w:fldCharType="end"/>
      </w:r>
      <w:r w:rsidRPr="008608AA">
        <w:t>. While most alien plant species in w</w:t>
      </w:r>
      <w:r w:rsidRPr="008608AA">
        <w:rPr>
          <w:color w:val="000000" w:themeColor="text1"/>
        </w:rPr>
        <w:t xml:space="preserve">estern drylands were accidentally introduced, the Caatinga is home to many intentionally introduced tropical forage grass species </w:t>
      </w:r>
      <w:r w:rsidRPr="008608AA">
        <w:rPr>
          <w:color w:val="000000" w:themeColor="text1"/>
        </w:rPr>
        <w:fldChar w:fldCharType="begin" w:fldLock="1"/>
      </w:r>
      <w:r w:rsidRPr="008608AA">
        <w:rPr>
          <w:color w:val="000000" w:themeColor="text1"/>
        </w:rPr>
        <w:instrText>ADDIN CSL_CITATION { "citationItems" : [ { "id" : "ITEM-1", "itemData" : { "author" : [ { "dropping-particle" : "", "family" : "Almeida", "given" : "W. R.", "non-dropping-particle" : "", "parse-names" : false, "suffix" : "" }, { "dropping-particle" : "V.", "family" : "Lopes", "given" : "A.", "non-dropping-particle" : "", "parse-names" : false, "suffix" : "" }, { "dropping-particle" : "", "family" : "Tabarelli", "given" : "M.", "non-dropping-particle" : "", "parse-names" : false, "suffix" : "" }, { "dropping-particle" : "", "family" : "Leal", "given" : "I. R.", "non-dropping-particle" : "", "parse-names" : false, "suffix" : "" } ], "container-title" : "Biological Invasions", "id" : "ITEM-1", "issued" : { "date-parts" : [ [ "2015" ] ] }, "page" : "51-56", "title" : "The alien flora of Brazilian Caatinga: deliberate introductions expand the contingent of potential invaders", "type" : "article-journal", "volume" : "17" }, "uris" : [ "http://www.mendeley.com/documents/?uuid=c0984ec7-e1fb-42ef-957c-01b17da33fa1" ] } ], "mendeley" : { "formattedCitation" : "(Almeida, Lopes, Tabarelli, &amp; Leal, 2015)", "manualFormatting" : "(Almeida et al., 2015)", "plainTextFormattedCitation" : "(Almeida, Lopes, Tabarelli, &amp; Leal, 2015)", "previouslyFormattedCitation" : "(Almeida, Lopes, Tabarelli, &amp; Leal, 2015)"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(Almeida et al., 2015)</w:t>
      </w:r>
      <w:r w:rsidRPr="008608AA">
        <w:rPr>
          <w:color w:val="000000" w:themeColor="text1"/>
        </w:rPr>
        <w:fldChar w:fldCharType="end"/>
      </w:r>
      <w:r w:rsidRPr="008608AA">
        <w:t>.</w:t>
      </w:r>
      <w:r w:rsidRPr="008608AA">
        <w:rPr>
          <w:color w:val="000000" w:themeColor="text1"/>
        </w:rPr>
        <w:t xml:space="preserve"> </w:t>
      </w:r>
    </w:p>
    <w:p w14:paraId="1AD7E5A6" w14:textId="2D131577" w:rsidR="004255E7" w:rsidRPr="008608AA" w:rsidRDefault="00520F22" w:rsidP="00581F86">
      <w:pPr>
        <w:spacing w:after="120"/>
        <w:rPr>
          <w:shd w:val="clear" w:color="auto" w:fill="FFFFFF"/>
        </w:rPr>
      </w:pPr>
      <w:r w:rsidRPr="008608AA">
        <w:rPr>
          <w:color w:val="000000" w:themeColor="text1"/>
        </w:rPr>
        <w:t xml:space="preserve">Recent trends. </w:t>
      </w:r>
      <w:r w:rsidR="004255E7" w:rsidRPr="008608AA">
        <w:rPr>
          <w:color w:val="000000" w:themeColor="text1"/>
        </w:rPr>
        <w:t xml:space="preserve">Urban encroachment into the western loma vegetation has affected a highly endemic, range-restricted rodent to the point of likely global extinction of </w:t>
      </w:r>
      <w:r w:rsidR="004255E7" w:rsidRPr="008608AA">
        <w:rPr>
          <w:color w:val="000000" w:themeColor="text1"/>
        </w:rPr>
        <w:fldChar w:fldCharType="begin" w:fldLock="1"/>
      </w:r>
      <w:r w:rsidR="004255E7" w:rsidRPr="008608AA">
        <w:rPr>
          <w:color w:val="000000" w:themeColor="text1"/>
        </w:rPr>
        <w:instrText>ADDIN CSL_CITATION { "citationItems" : [ { "id" : "ITEM-1", "itemData" : { "abstract" : "En la costa y vertiente occidental ocurren los principales endemismos de mam\u00edferos peruanos. As\u00ed mismo, a lo largo de la costa central, sobresale el \u00fanico mam\u00edfero end\u00e9mico del departamento de Lima, el rat\u00f3n arrozalero de Z\u00fa\u00f1iga, Melanomys zunigae (Sanborn, 1949), registrado en las lomas de Atocongo y el cerro San Jer\u00f3nimo por Enrique Z\u00fa\u00f1iga en 1942. Desde entonces se han realizado espor\u00e1dicas evaluaciones, no necesariamente dirigidas a su b\u00fasqueda, aunque sin ning\u00fan registro. Nuestro estudio tuvo como objetivo la b\u00fasqueda de evidencias de la presencia de M. zunigae en las lomas de Lima, basados en un trampeo no exhaustivo y posteriormente en un an\u00e1lisis de regurgitos de la lechuza de los arenales (Athene cunicularia). Desafortunadamente no registramos ning\u00fan individuo de M. zunigae; sin embargo, encontramos evidencias que el impacto de la expansi\u00f3n urbana estar\u00eda afectando los ensamblajes de mam\u00edferos peque\u00f1os en las lomas de Lima. Varios factores pudieron haber determinado la desaparici\u00f3n de M. zunigae. Entre estas se incluyen la destrucci\u00f3n del h\u00e1bitat, invasi\u00f3n de especies ex\u00f3ticas y el aislamiento de las lomas", "author" : [ { "dropping-particle" : "", "family" : "Mena", "given" : "Jos\u00e9 Luis", "non-dropping-particle" : "", "parse-names" : false, "suffix" : "" }, { "dropping-particle" : "", "family" : "Williams", "given" : "Martha", "non-dropping-particle" : "", "parse-names" : false, "suffix" : "" }, { "dropping-particle" : "", "family" : "Gazzolo", "given" : "Carla", "non-dropping-particle" : "", "parse-names" : false, "suffix" : "" }, { "dropping-particle" : "", "family" : "Montero", "given" : "F.", "non-dropping-particle" : "", "parse-names" : false, "suffix" : "" } ], "container-title" : "Revista Peruana de Biolog\u00eda", "id" : "ITEM-1", "issue" : "2", "issued" : { "date-parts" : [ [ "2007" ] ] }, "page" : "201-207", "title" : "Estado de conservaci\u00f3n de &lt;i&gt;Melanomys zunigae&lt;/i&gt; (Sanborn 1949) y de los mam\u00edferos peque\u00f1os en las Lomas de Lima", "type" : "article-journal", "volume" : "14" }, "uris" : [ "http://www.mendeley.com/documents/?uuid=2ea39244-cbb2-49eb-b5c2-196ddae1aed6" ] } ], "mendeley" : { "formattedCitation" : "(Mena, Williams, Gazzolo, &amp; Montero, 2007)", "manualFormatting" : "(Mena et al., 2007)", "plainTextFormattedCitation" : "(Mena, Williams, Gazzolo, &amp; Montero, 2007)", "previouslyFormattedCitation" : "(Mena, Williams, Gazzolo, &amp; Montero, 2007)" }, "properties" : { "noteIndex" : 0 }, "schema" : "https://github.com/citation-style-language/schema/raw/master/csl-citation.json" }</w:instrText>
      </w:r>
      <w:r w:rsidR="004255E7" w:rsidRPr="008608AA">
        <w:rPr>
          <w:color w:val="000000" w:themeColor="text1"/>
        </w:rPr>
        <w:fldChar w:fldCharType="separate"/>
      </w:r>
      <w:r w:rsidR="004255E7" w:rsidRPr="008608AA">
        <w:rPr>
          <w:noProof/>
          <w:color w:val="000000" w:themeColor="text1"/>
        </w:rPr>
        <w:t>(Mena et al., 2007)</w:t>
      </w:r>
      <w:r w:rsidR="004255E7" w:rsidRPr="008608AA">
        <w:rPr>
          <w:color w:val="000000" w:themeColor="text1"/>
        </w:rPr>
        <w:fldChar w:fldCharType="end"/>
      </w:r>
      <w:r w:rsidR="004255E7" w:rsidRPr="008608AA">
        <w:rPr>
          <w:color w:val="000000" w:themeColor="text1"/>
        </w:rPr>
        <w:t xml:space="preserve"> warning that other local endemics in loma could be at risk with coastal development</w:t>
      </w:r>
      <w:r w:rsidR="004255E7" w:rsidRPr="008608AA">
        <w:t xml:space="preserve">. </w:t>
      </w:r>
      <w:r w:rsidR="004255E7" w:rsidRPr="008608AA">
        <w:rPr>
          <w:color w:val="000000" w:themeColor="text1"/>
        </w:rPr>
        <w:t xml:space="preserve">A recent wave of private coastal development in Chile has greatly reduced the habitat of a globally threatened plant species </w:t>
      </w:r>
      <w:r w:rsidR="004255E7" w:rsidRPr="008608AA">
        <w:rPr>
          <w:color w:val="000000" w:themeColor="text1"/>
        </w:rPr>
        <w:fldChar w:fldCharType="begin" w:fldLock="1"/>
      </w:r>
      <w:r w:rsidR="004255E7" w:rsidRPr="008608AA">
        <w:rPr>
          <w:color w:val="000000" w:themeColor="text1"/>
        </w:rPr>
        <w:instrText>ADDIN CSL_CITATION { "citationItems" : [ { "id" : "ITEM-1", "itemData" : { "DOI" : "10.1080/17550874.2011.583286", "ISSN" : "17550874", "abstract" : "Background: Myrcianthes coquimbensis is an endangered shrub endemic to Chile. No published account is known about its biology, ecology or threats to its continued existence. Aims: To document the current state of knowledge of M. coquimbensis regarding its geographic distribution, and population and reproductive parameters, and to evaluate threats in its distribution range. Methods: Historical records and recent survey data of 110 localities were used to characterise its known distribution. Plots were established in seven localities to determine the proportion of flowering individuals, recruitment and estimate population size and structure. Finally, levels of post-dispersal seed predation were determined in one locality. Results: The current distribution of M. coquimbensis extends along 82.8 km of the Chilean coast, where the species is mainly threatened by habitat loss. Only 13% of the individuals flowered during 2010, and 66% of these plants lost their entire flower crop due to desiccation. Few seeds (7.5%) were lost to post-dispersal seed predation. The populations are composed mainly of adult plants (70% of the individuals), and little to no recruitment was observed. Conclusions: M. coquimbensis populations are threatened by habitat loss and are not naturally recruiting through sexual reproduction. This exemplifies a case where studies on the ecology of a species are urgently needed to be able to design effective conservation and management plans.", "author" : [ { "dropping-particle" : "", "family" : "Garc\u00eda-Guzman", "given" : "Patricio", "non-dropping-particle" : "", "parse-names" : false, "suffix" : "" }, { "dropping-particle" : "", "family" : "Loayza", "given" : "Andrea P.", "non-dropping-particle" : "", "parse-names" : false, "suffix" : "" }, { "dropping-particle" : "", "family" : "Carvajal", "given" : "Danny E.", "non-dropping-particle" : "", "parse-names" : false, "suffix" : "" }, { "dropping-particle" : "", "family" : "Letelier", "given" : "Luis", "non-dropping-particle" : "", "parse-names" : false, "suffix" : "" }, { "dropping-particle" : "", "family" : "Squeo", "given" : "Francisco A.", "non-dropping-particle" : "", "parse-names" : false, "suffix" : "" } ], "container-title" : "Plant Ecology and Diversity", "id" : "ITEM-1", "issue" : "2", "issued" : { "date-parts" : [ [ "2012" ] ] }, "page" : "197-204", "title" : "The ecology, distribution and conservation status of &lt;i&gt;Myrcianthes coquimbensis&lt;/i&gt; : a globally endangered endemic shrub of the Chilean Coastal Desert", "type" : "article-journal", "volume" : "5" }, "uris" : [ "http://www.mendeley.com/documents/?uuid=5af7f347-ad61-41f4-b1d7-46e9436904e0" ] } ], "mendeley" : { "formattedCitation" : "(Garc\u00eda-Guzman, Loayza, Carvajal, Letelier, &amp; Squeo, 2012)", "manualFormatting" : "(Garc\u00eda-Guzman et al., 2012)", "plainTextFormattedCitation" : "(Garc\u00eda-Guzman, Loayza, Carvajal, Letelier, &amp; Squeo, 2012)", "previouslyFormattedCitation" : "(Garc\u00eda-Guzman, Loayza, Carvajal, Letelier, &amp; Squeo, 2012)" }, "properties" : { "noteIndex" : 0 }, "schema" : "https://github.com/citation-style-language/schema/raw/master/csl-citation.json" }</w:instrText>
      </w:r>
      <w:r w:rsidR="004255E7" w:rsidRPr="008608AA">
        <w:rPr>
          <w:color w:val="000000" w:themeColor="text1"/>
        </w:rPr>
        <w:fldChar w:fldCharType="separate"/>
      </w:r>
      <w:r w:rsidR="004255E7" w:rsidRPr="008608AA">
        <w:rPr>
          <w:noProof/>
          <w:color w:val="000000" w:themeColor="text1"/>
        </w:rPr>
        <w:t>(García-Guzman et al., 2012)</w:t>
      </w:r>
      <w:r w:rsidR="004255E7" w:rsidRPr="008608AA">
        <w:rPr>
          <w:color w:val="000000" w:themeColor="text1"/>
        </w:rPr>
        <w:fldChar w:fldCharType="end"/>
      </w:r>
      <w:r w:rsidR="004255E7" w:rsidRPr="008608AA">
        <w:rPr>
          <w:color w:val="000000" w:themeColor="text1"/>
        </w:rPr>
        <w:t xml:space="preserve"> and other species are likely affected. The production and the illegal extraction of Cactaceae continues </w:t>
      </w:r>
      <w:r w:rsidR="004255E7" w:rsidRPr="008608AA">
        <w:rPr>
          <w:color w:val="000000" w:themeColor="text1"/>
        </w:rPr>
        <w:fldChar w:fldCharType="begin" w:fldLock="1"/>
      </w:r>
      <w:r w:rsidR="004255E7" w:rsidRPr="008608AA">
        <w:rPr>
          <w:color w:val="000000" w:themeColor="text1"/>
        </w:rPr>
        <w:instrText>ADDIN CSL_CITATION { "citationItems" : [ { "id" : "ITEM-1", "itemData" : { "ISBN" : "0016-5301", "ISSN" : "00165301 (ISSN)", "abstract" : "Charcoal production from woody shrubs is one of the main threats to native vegetation in arid zones. The aim of this investigation was to estimate the production of charcoal produced in Huasco province, southern of Atacama Region, and to identify the main species used in this process. Twenty one points of sale of native charcoal were detected in the study area. In each point, samples of the commercialized charcoal were collected and subsequently compared with reference samples. Twenty eight sellers, charcoal producers, and key informants were interviewed to estimate the volume of annual production. Four places of production were identified in the study area, three of them between Vallenar and El Transito, and one of them in Incahuasi-Tres Cruces. For 2007, a total production of 281 tons of charcoal was estimated in Huasco province, which is equivalent to an annual extraction of shrubs between 573 y 1,112 hectares. The main native shrubs used for the production of charcoal are Fabiana imbricate (Solanaceae), Balsamocarpon brevifolium (Fabaceae) and Adesmia hystrix (Fabaceae).", "author" : [ { "dropping-particle" : "", "family" : "Estevez", "given" : "R A", "non-dropping-particle" : "", "parse-names" : false, "suffix" : "" }, { "dropping-particle" : "", "family" : "Squeo", "given" : "F A", "non-dropping-particle" : "", "parse-names" : false, "suffix" : "" }, { "dropping-particle" : "", "family" : "Arancio", "given" : "G", "non-dropping-particle" : "", "parse-names" : false, "suffix" : "" }, { "dropping-particle" : "", "family" : "Erazo", "given" : "M B", "non-dropping-particle" : "", "parse-names" : false, "suffix" : "" } ], "container-title" : "Gayana Bot\u00e1nica", "id" : "ITEM-1", "issue" : "2", "issued" : { "date-parts" : [ [ "2010" ] ] }, "page" : "213-222", "title" : "Production of charcoal from native shrubs in the Atacama Region, Chile", "type" : "article-journal", "volume" : "67" }, "uris" : [ "http://www.mendeley.com/documents/?uuid=b23f0b74-7e26-42df-9555-3b339ee2271e" ] }, { "id" : "ITEM-2", "itemData" : { "DOI" : "10.3732/ajb.1500168", "ISBN" : "0002-9122", "ISSN" : "00029122", "PMID" : "26373974", "abstract" : "PREMISE OF THE STUDY: Species of the endemic Chilean cactus genus Copiapoa have cylindrical or (sub)globose stems that are solitary or form (large) clusters and typically yellow flowers. Many species are threatened with extinction. Despite being icons of the Atacama Desert and well loved by cactus enthusiasts, the evolution and diversity of Copiapoa has not yet been studied using a molecular approach.\\n\\nMETHODS: Sequence data of three plastid DNA markers (rpl32-trnL, trnH-psbA, ycf1) of 39 Copiapoa taxa were analyzed using maximum likelihood and Bayesian inference approaches. Species distributions were modeled based on geo-referenced localities and climatic data. Evolution of character states of four characters (root morphology, stem branching, stem shape, and stem diameter) as well as ancestral areas were reconstructed using a Bayesian and maximum likelihood framework, respectively.\\n\\nKEY RESULTS: Clades of species are revealed. Though 32 morphologically defined species can be recognized, genetic diversity between some species and infraspecific taxa is too low to delimit their boundaries using plastid DNA markers. Recovered relationships are often supported by morphological and biogeographical patterns. The origin of Copiapoa likely lies between southern Peru and the extreme north of Chile. The Copiap\u00f3 Valley limited colonization between two biogeographical areas.\\n\\nCONCLUSIONS: Copiapoa is here defined to include 32 species and five heterotypic subspecies. Thirty species are classified into four sections and two subsections, while two species remain unplaced. A better understanding of evolution and diversity of Copiapoa will allow allocating conservation resources to the most threatened lineages and focusing conservation action on real biodiversity.", "author" : [ { "dropping-particle" : "", "family" : "Larridon", "given" : "Isabel", "non-dropping-particle" : "", "parse-names" : false, "suffix" : "" }, { "dropping-particle" : "", "family" : "Walter", "given" : "Helmut E.", "non-dropping-particle" : "", "parse-names" : false, "suffix" : "" }, { "dropping-particle" : "", "family" : "Guerrero", "given" : "Pablo C.", "non-dropping-particle" : "", "parse-names" : false, "suffix" : "" }, { "dropping-particle" : "", "family" : "Duarte", "given" : "Mil\u00e9n", "non-dropping-particle" : "", "parse-names" : false, "suffix" : "" }, { "dropping-particle" : "", "family" : "Cisternas", "given" : "Mauricio A.", "non-dropping-particle" : "", "parse-names" : false, "suffix" : "" }, { "dropping-particle" : "", "family" : "Hern\u00e1ndez", "given" : "Carol Pe\u00f1a", "non-dropping-particle" : "", "parse-names" : false, "suffix" : "" }, { "dropping-particle" : "", "family" : "Bauters", "given" : "Kenneth", "non-dropping-particle" : "", "parse-names" : false, "suffix" : "" }, { "dropping-particle" : "", "family" : "Asselman", "given" : "Pieter", "non-dropping-particle" : "", "parse-names" : false, "suffix" : "" }, { "dropping-particle" : "", "family" : "Goetghebeur", "given" : "Paul", "non-dropping-particle" : "", "parse-names" : false, "suffix" : "" }, { "dropping-particle" : "", "family" : "Samain", "given" : "Marie St\u00e9phanie", "non-dropping-particle" : "", "parse-names" : false, "suffix" : "" } ], "container-title" : "American Journal of Botany", "id" : "ITEM-2", "issue" : "9", "issued" : { "date-parts" : [ [ "2015" ] ] }, "page" : "1506-1520", "title" : "An integrative approach to understanding the evolution and diversity of &lt;i&gt;Copiapoa&lt;/i&gt; (Cactaceae), a threatened endemic Chilean genus from the Atacama desert", "type" : "article-journal", "volume" : "102" }, "uris" : [ "http://www.mendeley.com/documents/?uuid=df04898d-8ff9-4b9d-a4e3-9b89f2ade4ec" ] } ], "mendeley" : { "formattedCitation" : "(Estevez, Squeo, Arancio, &amp; Erazo, 2010; Larridon et al., 2015)", "manualFormatting" : "(Estevez et al., 2010; Larridon et al., 2015)", "plainTextFormattedCitation" : "(Estevez, Squeo, Arancio, &amp; Erazo, 2010; Larridon et al., 2015)", "previouslyFormattedCitation" : "(Estevez, Squeo, Arancio, &amp; Erazo, 2010; Larridon et al., 2015)" }, "properties" : { "noteIndex" : 0 }, "schema" : "https://github.com/citation-style-language/schema/raw/master/csl-citation.json" }</w:instrText>
      </w:r>
      <w:r w:rsidR="004255E7" w:rsidRPr="008608AA">
        <w:rPr>
          <w:color w:val="000000" w:themeColor="text1"/>
        </w:rPr>
        <w:fldChar w:fldCharType="separate"/>
      </w:r>
      <w:r w:rsidR="004255E7" w:rsidRPr="008608AA">
        <w:rPr>
          <w:noProof/>
          <w:color w:val="000000" w:themeColor="text1"/>
        </w:rPr>
        <w:t>(Estevez et al., 2010; Larridon et al., 2015)</w:t>
      </w:r>
      <w:r w:rsidR="004255E7" w:rsidRPr="008608AA">
        <w:rPr>
          <w:color w:val="000000" w:themeColor="text1"/>
        </w:rPr>
        <w:fldChar w:fldCharType="end"/>
      </w:r>
      <w:r w:rsidR="004255E7" w:rsidRPr="008608AA">
        <w:t>.</w:t>
      </w:r>
      <w:r w:rsidR="004255E7" w:rsidRPr="008608AA">
        <w:rPr>
          <w:color w:val="000000" w:themeColor="text1"/>
        </w:rPr>
        <w:t xml:space="preserve"> Extensive vegetation dieback, accompanied by declining guanaco populations, has been reported repeatedly over the last 20 years in the arid-most part of the western coastal desert </w:t>
      </w:r>
      <w:r w:rsidR="004255E7" w:rsidRPr="008608AA">
        <w:rPr>
          <w:color w:val="000000" w:themeColor="text1"/>
        </w:rPr>
        <w:fldChar w:fldCharType="begin" w:fldLock="1"/>
      </w:r>
      <w:r w:rsidR="004255E7" w:rsidRPr="008608AA">
        <w:rPr>
          <w:color w:val="000000" w:themeColor="text1"/>
        </w:rPr>
        <w:instrText>ADDIN CSL_CITATION { "citationItems" : [ { "id" : "ITEM-1", "itemData" : { "DOI" : "10.3112/erdkunde.2011.02.05", "ISBN" : "0014-0015", "ISSN" : "00140015", "abstract" : "Along the hyper-arid Chilean coastal desert between 30\u00b0S and 18\u00b0S the Loma vegetation undergoes a gradual transition from open shrubland to small isolated areas of a scarce plant cover. Floristic and physiognomic features allow a differentiation of five Loma formations, each of them characterized by a distinctive spectrum of plant communities. However, particularly in the northern section of the investigation area, numerous indications point to a strong vegetation decline including a deterioration of plant cover, reduction of the vitality of various taxa, probably also a local loss of some perennial species, and even a dieback of specific populations. These signs of a retrogression, which coincide with a regional disappearance of Guanaco herds in the coastal area between 20\u00b0S and 23\u00b030\u2019S, became apparent in the second half of the past century and were most likely provoked by recent climate change in the arid coastal region. Especially the decrease of rainfall frequency might have negative implications for the regeneration and preservation of plants. In addition, a strong reduction of cloudiness in the northernmost section affects plant growth due to further limitations in the water disposability. A projected sustained decline of rainfall is expected to continue endangering the surprisingly high floristic diversity of the highly sensitive ecosystem complexes in the coastal desert.", "author" : [ { "dropping-particle" : "", "family" : "Schulz", "given" : "Natalie", "non-dropping-particle" : "", "parse-names" : false, "suffix" : "" }, { "dropping-particle" : "", "family" : "Aceituno", "given" : "Patricio", "non-dropping-particle" : "", "parse-names" : false, "suffix" : "" }, { "dropping-particle" : "", "family" : "Richter", "given" : "Michael", "non-dropping-particle" : "", "parse-names" : false, "suffix" : "" } ], "container-title" : "Erdkunde", "id" : "ITEM-1", "issue" : "2", "issued" : { "date-parts" : [ [ "2011" ] ] }, "page" : "169-187", "title" : "Phytogeographic divisions, climate change and plant dieback along the coastal desert of northern Chile", "type" : "article-journal", "volume" : "65" }, "uris" : [ "http://www.mendeley.com/documents/?uuid=6d364180-9444-3800-a3f4-708413904ea7" ] } ], "mendeley" : { "formattedCitation" : "(N. Schulz, Aceituno, &amp; Richter, 2011)", "manualFormatting" : "(Schulz et al., 2011 and references therein)", "plainTextFormattedCitation" : "(N. Schulz, Aceituno, &amp; Richter, 2011)", "previouslyFormattedCitation" : "(N. Schulz, Aceituno, &amp; Richter, 2011)" }, "properties" : { "noteIndex" : 0 }, "schema" : "https://github.com/citation-style-language/schema/raw/master/csl-citation.json" }</w:instrText>
      </w:r>
      <w:r w:rsidR="004255E7" w:rsidRPr="008608AA">
        <w:rPr>
          <w:color w:val="000000" w:themeColor="text1"/>
        </w:rPr>
        <w:fldChar w:fldCharType="separate"/>
      </w:r>
      <w:r w:rsidR="004255E7" w:rsidRPr="008608AA">
        <w:rPr>
          <w:noProof/>
          <w:color w:val="000000" w:themeColor="text1"/>
        </w:rPr>
        <w:t xml:space="preserve">(Schulz et al., 2011 </w:t>
      </w:r>
      <w:r w:rsidR="004255E7" w:rsidRPr="008608AA">
        <w:rPr>
          <w:noProof/>
        </w:rPr>
        <w:t>and references therein</w:t>
      </w:r>
      <w:r w:rsidR="004255E7" w:rsidRPr="008608AA">
        <w:rPr>
          <w:noProof/>
          <w:color w:val="000000" w:themeColor="text1"/>
        </w:rPr>
        <w:t>)</w:t>
      </w:r>
      <w:r w:rsidR="004255E7" w:rsidRPr="008608AA">
        <w:rPr>
          <w:color w:val="000000" w:themeColor="text1"/>
        </w:rPr>
        <w:fldChar w:fldCharType="end"/>
      </w:r>
      <w:r w:rsidR="004255E7" w:rsidRPr="008608AA">
        <w:rPr>
          <w:color w:val="000000" w:themeColor="text1"/>
        </w:rPr>
        <w:t xml:space="preserve">. This trend coincides with a tendency for reduced precipitation, extended drought periods and reduced coastal cloud, notwithstanding typical El Niño variation. On the transition to Mediterranean shrublands, continuous monitoring has revealed </w:t>
      </w:r>
      <w:r w:rsidR="004255E7" w:rsidRPr="008608AA">
        <w:t>El Niño Southern Oscillation</w:t>
      </w:r>
      <w:r w:rsidR="004255E7" w:rsidRPr="008608AA">
        <w:rPr>
          <w:color w:val="000000" w:themeColor="text1"/>
        </w:rPr>
        <w:t xml:space="preserve">-related fluctuations in the abundances in small mammals </w:t>
      </w:r>
      <w:r w:rsidR="004255E7" w:rsidRPr="008608AA">
        <w:rPr>
          <w:shd w:val="clear" w:color="auto" w:fill="FFFFFF"/>
        </w:rPr>
        <w:fldChar w:fldCharType="begin" w:fldLock="1"/>
      </w:r>
      <w:r w:rsidR="004255E7" w:rsidRPr="008608AA">
        <w:rPr>
          <w:shd w:val="clear" w:color="auto" w:fill="FFFFFF"/>
        </w:rPr>
        <w:instrText>ADDIN CSL_CITATION { "citationItems" : [ { "id" : "ITEM-1", "itemData" : { "ISSN" : "1095922X", "abstract" : "The Editors regret an unfortunate error in Fig. 3 in this editorial. The graphs illustrating rainfall for Fray Jorge and Ovalle were shifted by 4 months such that the \u201cFebruary\u201d rain in the original figure should be May. Please find the revised Fig. 3 below. The Editors would like to apologise for any inconvenience caused.", "author" : [ { "dropping-particle" : "", "family" : "Armas", "given" : "Cristina", "non-dropping-particle" : "", "parse-names" : false, "suffix" : "" }, { "dropping-particle" : "", "family" : "Guti\u00e9rrez", "given" : "Julio R.", "non-dropping-particle" : "", "parse-names" : false, "suffix" : "" }, { "dropping-particle" : "", "family" : "Kelt", "given" : "Douglas A.", "non-dropping-particle" : "", "parse-names" : false, "suffix" : "" }, { "dropping-particle" : "", "family" : "Meserve", "given" : "Peter L.", "non-dropping-particle" : "", "parse-names" : false, "suffix" : "" } ], "container-title" : "Journal of Arid Environments", "id" : "ITEM-1", "issued" : { "date-parts" : [ [ "2016" ] ] }, "page" : "1-88", "publisher" : "Academic Press", "title" : "Twenty-five years of research in the north-central Chilean semiarid zone: The Fray Jorge Long-Term Socio-Ecological Research (LTSER) site and Norte Chico", "type" : "article-journal", "volume" : "126" }, "uris" : [ "http://www.mendeley.com/documents/?uuid=8fff2da5-de93-369a-b791-6e476682a5b7" ] }, { "id" : "ITEM-2", "itemData" : { "DOI" : "10.1644/10-MAMM-S-267.1", "ISBN" : "0022237215451542", "ISSN" : "0022-2372", "abstract" : "Since 1989 we have monitored small mammal populations at a semiarid site in north-central Chile with a largescale livetrapping grid complex. Selective exclusions of vertebrate predators or putative small mammal competitors, or both, have yielded relatively small or mostly transitory effects, or both, on small mammal population dynamics and plant community composition. During the study period 5 El Nin\u02dco\u2013high rainfall episodes have occurred lasting 1\u20133 years. Resident or core small mammals such as Abrothrix olivaceus, Phyllotis darwini, and Octodon degus experience dramatic fluctuations during and following rainfall pulses. Temporary resident or opportunistic species such as Oligoryzomys longicaudatus and A. longipilis disappear from the thorn scrub for varying periods of time. All species persist in more mesic nearby habitats near dry stream courses (aguadas). Since a 3-year high rainfall event in 2000\u20132002 mean annual rainfall has increased in this region, mainly due to a lack of prolonged droughts. Under these conditions, and building on a qualitative model proposed by Noy-Meir, long-lived species might become more abundant. Changes in the small mammal assemblage are consistent with these predictions; O. degus, a caviomorph rodent with a long life span, now comprises a more constant proportion of the small mammal biomass in the thorn scrub, and we have documented reduced variation in species diversity. Increased rainfall, a predicted consequence of global climate change in this region, might be leading to changes in small mammal assemblage structure and composition and ultimately will result in a more stable, less oscillatory assemblage in the thorn scrub. Additionally, invasive groups such as introduced lagomorphs and ephemeral plants might become more abundant in this community. The long-term consequences of changes in rainfall patterns due to El Nin\u02dco Southern Oscillations (ENSOs), with important teleconnections to global-scale phenomena, will lead to diverse changes at the community level here.", "author" : [ { "dropping-particle" : "", "family" : "Meserve", "given" : "Peter L.", "non-dropping-particle" : "", "parse-names" : false, "suffix" : "" }, { "dropping-particle" : "", "family" : "Kelt", "given" : "Douglas A.", "non-dropping-particle" : "", "parse-names" : false, "suffix" : "" }, { "dropping-particle" : "", "family" : "Previtali", "given" : "M. Andrea", "non-dropping-particle" : "", "parse-names" : false, "suffix" : "" }, { "dropping-particle" : "", "family" : "Milstead", "given" : "W. Bryan", "non-dropping-particle" : "", "parse-names" : false, "suffix" : "" }, { "dropping-particle" : "", "family" : "Guti\u00e9rrez", "given" : "Julio R.", "non-dropping-particle" : "", "parse-names" : false, "suffix" : "" } ], "container-title" : "Journal of Mammalogy", "id" : "ITEM-2", "issue" : "6", "issued" : { "date-parts" : [ [ "2011" ] ] }, "page" : "1223-1235", "title" : "Global climate change and small mammal populations in north-central Chile", "type" : "article-journal", "volume" : "92" }, "uris" : [ "http://www.mendeley.com/documents/?uuid=0e75c1aa-eb01-4854-bec6-9c3ae720589e" ] } ], "mendeley" : { "formattedCitation" : "(Armas, Guti\u00e9rrez, Kelt, &amp; Meserve, 2016; Meserve, Kelt, Previtali, Milstead, &amp; Guti\u00e9rrez, 2011)", "manualFormatting" : "(Armas et al., 2016; Meserve et al., 2011)", "plainTextFormattedCitation" : "(Armas, Guti\u00e9rrez, Kelt, &amp; Meserve, 2016; Meserve, Kelt, Previtali, Milstead, &amp; Guti\u00e9rrez, 2011)", "previouslyFormattedCitation" : "(Armas, Guti\u00e9rrez, Kelt, &amp; Meserve, 2016; Meserve, Kelt, Previtali, Milstead, &amp; Guti\u00e9rrez, 2011)" }, "properties" : { "noteIndex" : 0 }, "schema" : "https://github.com/citation-style-language/schema/raw/master/csl-citation.json" }</w:instrText>
      </w:r>
      <w:r w:rsidR="004255E7" w:rsidRPr="008608AA">
        <w:rPr>
          <w:shd w:val="clear" w:color="auto" w:fill="FFFFFF"/>
        </w:rPr>
        <w:fldChar w:fldCharType="separate"/>
      </w:r>
      <w:r w:rsidR="004255E7" w:rsidRPr="008608AA">
        <w:rPr>
          <w:noProof/>
          <w:shd w:val="clear" w:color="auto" w:fill="FFFFFF"/>
        </w:rPr>
        <w:t>(Armas et al., 2016; Meserve et al., 2011)</w:t>
      </w:r>
      <w:r w:rsidR="004255E7" w:rsidRPr="008608AA">
        <w:rPr>
          <w:shd w:val="clear" w:color="auto" w:fill="FFFFFF"/>
        </w:rPr>
        <w:fldChar w:fldCharType="end"/>
      </w:r>
      <w:r w:rsidR="004255E7" w:rsidRPr="008608AA">
        <w:rPr>
          <w:shd w:val="clear" w:color="auto" w:fill="FFFFFF"/>
        </w:rPr>
        <w:t xml:space="preserve"> </w:t>
      </w:r>
      <w:r w:rsidR="004255E7" w:rsidRPr="008608AA">
        <w:rPr>
          <w:color w:val="000000" w:themeColor="text1"/>
        </w:rPr>
        <w:t xml:space="preserve">and alien plant species, but with significant recovery of native plants in </w:t>
      </w:r>
      <w:r w:rsidR="00310EF4" w:rsidRPr="008608AA">
        <w:rPr>
          <w:color w:val="000000" w:themeColor="text1"/>
        </w:rPr>
        <w:t xml:space="preserve">wetter years </w:t>
      </w:r>
      <w:r w:rsidR="00310EF4" w:rsidRPr="008608AA">
        <w:fldChar w:fldCharType="begin" w:fldLock="1"/>
      </w:r>
      <w:r w:rsidR="00310EF4" w:rsidRPr="008608AA">
        <w:instrText>ADDIN CSL_CITATION { "citationItems" : [ { "id" : "ITEM-1", "itemData" : { "DOI" : "10.1111/j.1461-0248.2011.01693.x", "ISBN" : "1461-0248", "ISSN" : "1461023X", "PMID" : "21988736", "abstract" : "Ecology Letters (2011) 14: 1227\u20131235AbstractExtreme climatic events represent disturbances that change the availability of resources. We studied their effects on annual plant assemblages in a semi-arid ecosystem in north-central Chile. We analysed 130 years of precipitation data using generalised extreme-value distribution to determine extreme events, and multivariate techniques to analyse 20 years of plant cover data of 34 native and 11 exotic species. Extreme drought resets the dynamics of the system and renders it susceptible to invasion. On the other hand, by favouring native annuals, moderately wet events change species composition and allow the community to be resilient to extreme drought. The probability of extreme drought has doubled over the last 50 years. Therefore, investigations on the interaction of climate change and biological invasions are relevant to determine the potential for future effects on the dynamics of semi-arid annual plant communities.", "author" : [ { "dropping-particle" : "", "family" : "Jim\u00e9nez", "given" : "Milagros A.", "non-dropping-particle" : "", "parse-names" : false, "suffix" : "" }, { "dropping-particle" : "", "family" : "Jaksic", "given" : "Fabian M.", "non-dropping-particle" : "", "parse-names" : false, "suffix" : "" }, { "dropping-particle" : "", "family" : "Armesto", "given" : "Juan J.", "non-dropping-particle" : "", "parse-names" : false, "suffix" : "" }, { "dropping-particle" : "", "family" : "Gaxiola", "given" : "Aurora", "non-dropping-particle" : "", "parse-names" : false, "suffix" : "" }, { "dropping-particle" : "", "family" : "Meserve", "given" : "Peter L.", "non-dropping-particle" : "", "parse-names" : false, "suffix" : "" }, { "dropping-particle" : "", "family" : "Kelt", "given" : "Douglas A.", "non-dropping-particle" : "", "parse-names" : false, "suffix" : "" }, { "dropping-particle" : "", "family" : "Guti\u00e9rrez", "given" : "Julio R.", "non-dropping-particle" : "", "parse-names" : false, "suffix" : "" } ], "container-title" : "Ecology Letters", "id" : "ITEM-1", "issue" : "12", "issued" : { "date-parts" : [ [ "2011" ] ] }, "page" : "1227-1235", "title" : "Extreme climatic events change the dynamics and invasibility of semi-arid annual plant communities", "type" : "article-journal", "volume" : "14" }, "uris" : [ "http://www.mendeley.com/documents/?uuid=e64f7f55-eab5-41d6-9748-d464afd47da5" ] } ], "mendeley" : { "formattedCitation" : "(Jim\u00e9nez et al. 2011)", "plainTextFormattedCitation" : "(Jim\u00e9nez et al. 2011)", "previouslyFormattedCitation" : "(Jim\u00e9nez et al. 2011)" }, "properties" : { "noteIndex" : 0 }, "schema" : "https://github.com/citation-style-language/schema/raw/master/csl-citation.json" }</w:instrText>
      </w:r>
      <w:r w:rsidR="00310EF4" w:rsidRPr="008608AA">
        <w:fldChar w:fldCharType="separate"/>
      </w:r>
      <w:r w:rsidR="00310EF4" w:rsidRPr="008608AA">
        <w:rPr>
          <w:noProof/>
        </w:rPr>
        <w:t>(Jiménez et al. 2011)</w:t>
      </w:r>
      <w:r w:rsidR="00310EF4" w:rsidRPr="008608AA">
        <w:fldChar w:fldCharType="end"/>
      </w:r>
      <w:r w:rsidR="00310EF4" w:rsidRPr="008608AA">
        <w:t>,</w:t>
      </w:r>
      <w:r w:rsidR="00310EF4" w:rsidRPr="008608AA">
        <w:rPr>
          <w:color w:val="000000" w:themeColor="text1"/>
        </w:rPr>
        <w:t xml:space="preserve"> indicating high resilience at least in less arid areas.</w:t>
      </w:r>
      <w:r w:rsidR="004255E7" w:rsidRPr="008608AA">
        <w:rPr>
          <w:color w:val="000000" w:themeColor="text1"/>
        </w:rPr>
        <w:t xml:space="preserve"> A noticeable shift </w:t>
      </w:r>
      <w:r w:rsidR="004255E7" w:rsidRPr="008608AA">
        <w:t xml:space="preserve">in small mammals followed the last major El Niño Southern Oscillation event in 2000-2002 with their numbers becoming less fluctuating. This appears to have been caused by a shift in rainfall periodicity from strong interannual fluctuations, to a more equitable pattern with more consistent annual rainfall. These trends may be indicative of ongoing climate change in the Chilean semiarid region </w:t>
      </w:r>
      <w:r w:rsidR="004255E7" w:rsidRPr="008608AA">
        <w:rPr>
          <w:noProof/>
        </w:rPr>
        <w:fldChar w:fldCharType="begin" w:fldLock="1"/>
      </w:r>
      <w:r w:rsidR="004255E7" w:rsidRPr="008608AA">
        <w:rPr>
          <w:noProof/>
        </w:rPr>
        <w:instrText>ADDIN CSL_CITATION { "citationItems" : [ { "id" : "ITEM-1", "itemData" : { "ISSN" : "1095922X", "abstract" : "The Editors regret an unfortunate error in Fig. 3 in this editorial. The graphs illustrating rainfall for Fray Jorge and Ovalle were shifted by 4 months such that the \u201cFebruary\u201d rain in the original figure should be May. Please find the revised Fig. 3 below. The Editors would like to apologise for any inconvenience caused.", "author" : [ { "dropping-particle" : "", "family" : "Armas", "given" : "Cristina", "non-dropping-particle" : "", "parse-names" : false, "suffix" : "" }, { "dropping-particle" : "", "family" : "Guti\u00e9rrez", "given" : "Julio R.", "non-dropping-particle" : "", "parse-names" : false, "suffix" : "" }, { "dropping-particle" : "", "family" : "Kelt", "given" : "Douglas A.", "non-dropping-particle" : "", "parse-names" : false, "suffix" : "" }, { "dropping-particle" : "", "family" : "Meserve", "given" : "Peter L.", "non-dropping-particle" : "", "parse-names" : false, "suffix" : "" } ], "container-title" : "Journal of Arid Environments", "id" : "ITEM-1", "issued" : { "date-parts" : [ [ "2016" ] ] }, "page" : "1-88", "publisher" : "Academic Press", "title" : "Twenty-five years of research in the north-central Chilean semiarid zone: The Fray Jorge Long-Term Socio-Ecological Research (LTSER) site and Norte Chico", "type" : "article-journal", "volume" : "126" }, "uris" : [ "http://www.mendeley.com/documents/?uuid=8fff2da5-de93-369a-b791-6e476682a5b7" ] } ], "mendeley" : { "formattedCitation" : "(Armas et al., 2016)", "plainTextFormattedCitation" : "(Armas et al., 2016)", "previouslyFormattedCitation" : "(Armas et al., 2016)" }, "properties" : { "noteIndex" : 0 }, "schema" : "https://github.com/citation-style-language/schema/raw/master/csl-citation.json" }</w:instrText>
      </w:r>
      <w:r w:rsidR="004255E7" w:rsidRPr="008608AA">
        <w:rPr>
          <w:noProof/>
        </w:rPr>
        <w:fldChar w:fldCharType="separate"/>
      </w:r>
      <w:r w:rsidR="004255E7" w:rsidRPr="008608AA">
        <w:rPr>
          <w:noProof/>
        </w:rPr>
        <w:t>(Armas et al., 2016)</w:t>
      </w:r>
      <w:r w:rsidR="004255E7" w:rsidRPr="008608AA">
        <w:rPr>
          <w:noProof/>
        </w:rPr>
        <w:fldChar w:fldCharType="end"/>
      </w:r>
      <w:r w:rsidR="004255E7" w:rsidRPr="008608AA">
        <w:rPr>
          <w:noProof/>
        </w:rPr>
        <w:t>.</w:t>
      </w:r>
    </w:p>
    <w:p w14:paraId="6791D75C" w14:textId="07E968DF" w:rsidR="004255E7" w:rsidRPr="008608AA" w:rsidRDefault="004255E7" w:rsidP="00581F86">
      <w:pPr>
        <w:spacing w:after="120"/>
      </w:pPr>
      <w:r w:rsidRPr="008608AA">
        <w:rPr>
          <w:color w:val="000000" w:themeColor="text1"/>
        </w:rPr>
        <w:t xml:space="preserve">Biome-scale studies agree that the Caatinga has seen recent large-scale vegetation turnover and cover changes. However, both increases and decreases in woodland and woody vegetation have been reported. While studies based on Moderate Resolution Imaging Spectroradiometer data tend to find a net gain of woody vegetation, those based on Landsat data find a net decrease </w:t>
      </w:r>
      <w:r w:rsidRPr="008608AA">
        <w:rPr>
          <w:color w:val="000000" w:themeColor="text1"/>
        </w:rPr>
        <w:fldChar w:fldCharType="begin" w:fldLock="1"/>
      </w:r>
      <w:r w:rsidRPr="008608AA">
        <w:rPr>
          <w:color w:val="000000" w:themeColor="text1"/>
        </w:rPr>
        <w:instrText>ADDIN CSL_CITATION { "citationItems" : [ { "id" : "ITEM-1", "itemData" : { "DOI" : "10.1016/j.jaridenv.2016.10.004", "ISBN" : "0140-1963", "ISSN" : "1095922X", "abstract" : "Tropical dry forests are increasingly threatened by land degradation. For the Caatinga seasonally dry forests in Northeast Brazil, recent studies revealed both woody vegetation loss and (re-)gain. A conclusive analysis of land cover and landscape diversity changes is still lacking. To fill this gap, we surveyed pattern-process relationships for the Caatinga phytogeographical domain on different spatial levels for the years 2001\u20132012 from MODIS land cover data. By a landscape pattern analysis, a set of five landscape metrics was calculated using FRAGSTATS. The spatio-temporal results revealed a general decrease of fragmentation and diversity. The savanna class which comprises also Caatinga dry forests covered large parts of the landscape and gained considerably, whereas other vegetation classes decreased. The distribution of the low vegetated shrublands and grasslands implied degradation risks, in particular at the S\u00e3o Fransisco River valley. Large-scaled agriculture was found in the proximity to water reservoirs in the lowlands, which led to local increases of the landscape's diversity. We quantified both gains and losses of woody vegetation with a notable net gain of 6.7% of the study area. Main changes may be attributed to socio-economic shifts from local to large-scaled agriculture and water infrastructural activities. Overall, our study shows that a multi-temporal, global dataset along with a landscape pattern analysis provides valuable contributions to landscape research and for detecting land cover and landscape diversity changes.", "author" : [ { "dropping-particle" : "", "family" : "Schulz", "given" : "Christian", "non-dropping-particle" : "", "parse-names" : false, "suffix" : "" }, { "dropping-particle" : "", "family" : "Koch", "given" : "Robert", "non-dropping-particle" : "", "parse-names" : false, "suffix" : "" }, { "dropping-particle" : "", "family" : "Cierjacks", "given" : "Arne", "non-dropping-particle" : "", "parse-names" : false, "suffix" : "" }, { "dropping-particle" : "", "family" : "Kleinschmit", "given" : "Birgit", "non-dropping-particle" : "", "parse-names" : false, "suffix" : "" } ], "container-title" : "Journal of Arid Environments", "id" : "ITEM-1", "issued" : { "date-parts" : [ [ "2017" ] ] }, "page" : "54-74", "title" : "Land change and loss of landscape diversity at the Caatinga phytogeographical domain \u2013 Analysis of pattern-process relationships with MODIS land cover products (2001\u20132012)", "type" : "article-journal", "volume" : "136" }, "uris" : [ "http://www.mendeley.com/documents/?uuid=c4eeff87-0405-337c-afd6-a06d65ee6ac9" ] } ], "mendeley" : { "formattedCitation" : "(C. Schulz et al., 2017)", "manualFormatting" : "(discussed in Schulz et al., 2017)", "plainTextFormattedCitation" : "(C. Schulz et al., 2017)", "previouslyFormattedCitation" : "(C. Schulz et al., 2017)"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(discussed in Schulz et al., 2017)</w:t>
      </w:r>
      <w:r w:rsidRPr="008608AA">
        <w:rPr>
          <w:color w:val="000000" w:themeColor="text1"/>
        </w:rPr>
        <w:fldChar w:fldCharType="end"/>
      </w:r>
      <w:r w:rsidRPr="008608AA">
        <w:t>.</w:t>
      </w:r>
      <w:r w:rsidRPr="008608AA">
        <w:rPr>
          <w:color w:val="000000" w:themeColor="text1"/>
        </w:rPr>
        <w:t xml:space="preserve"> </w:t>
      </w:r>
      <w:r w:rsidRPr="008608AA">
        <w:t xml:space="preserve">The impacts on caatinga species and populations of this highly dynamic scenario, to which a fertilization effect of </w:t>
      </w:r>
      <w:r w:rsidR="00E03ED4" w:rsidRPr="008608AA">
        <w:t>carbon dioxide</w:t>
      </w:r>
      <w:r w:rsidRPr="008608AA">
        <w:t xml:space="preserve"> might be relevant </w:t>
      </w:r>
      <w:r w:rsidRPr="008608AA">
        <w:fldChar w:fldCharType="begin" w:fldLock="1"/>
      </w:r>
      <w:r w:rsidRPr="008608AA">
        <w:instrText>ADDIN CSL_CITATION { "citationItems" : [ { "id" : "ITEM-1", "itemData" : { "DOI" : "10.1002/grl.50563", "ISBN" : "00948276", "ISSN" : "00948276", "abstract" : "Satellite observations reveal a greening of the globe over recent decades. The role in this greening of the \u201cCO2 fertilization\u201d effect\u2014the enhancement of photosynthesis due to rising CO2 levels\u2014is yet to be established. The direct CO2 effect on vegetation should be most clearly expressed in warm, arid environments where water is the dominant limit to vegetation growth. Using gas exchange theory, we predict that the 14% increase in atmospheric CO2 (1982\u20132010) led to a 5 to 10% increase in green foliage cover in warm, arid environments. Satellite observations, analyzed to remove the effect of variations in precipitation, show that cover across these environments has increased by 11%. Our results confirm that the anticipated CO2 fertilization effect is occurring alongside ongoing anthropogenic perturbations to the carbon cycle and that the fertilization effect is now a significant land surface process.", "author" : [ { "dropping-particle" : "", "family" : "Donohue", "given" : "Randall J.", "non-dropping-particle" : "", "parse-names" : false, "suffix" : "" }, { "dropping-particle" : "", "family" : "Roderick", "given" : "Michael L.", "non-dropping-particle" : "", "parse-names" : false, "suffix" : "" }, { "dropping-particle" : "", "family" : "McVicar", "given" : "Tim R.", "non-dropping-particle" : "", "parse-names" : false, "suffix" : "" }, { "dropping-particle" : "", "family" : "Farquhar", "given" : "Graham D.", "non-dropping-particle" : "", "parse-names" : false, "suffix" : "" } ], "container-title" : "Geophysical Research Letters", "id" : "ITEM-1", "issue" : "12", "issued" : { "date-parts" : [ [ "2013" ] ] }, "page" : "3031-3035", "title" : "Impact of CO2 fertilization on maximum foliage cover across the globe's warm, arid environments", "type" : "article-journal", "volume" : "40" }, "uris" : [ "http://www.mendeley.com/documents/?uuid=fadbdd44-c662-4c54-9d37-5d817b923ec9" ] } ], "mendeley" : { "formattedCitation" : "(Donohue, Roderick, McVicar, &amp; Farquhar, 2013)", "manualFormatting" : "(Donohue et al., 2013)", "plainTextFormattedCitation" : "(Donohue, Roderick, McVicar, &amp; Farquhar, 2013)", "previouslyFormattedCitation" : "(Donohue, Roderick, McVicar, &amp; Farquhar, 2013)" }, "properties" : { "noteIndex" : 0 }, "schema" : "https://github.com/citation-style-language/schema/raw/master/csl-citation.json" }</w:instrText>
      </w:r>
      <w:r w:rsidRPr="008608AA">
        <w:fldChar w:fldCharType="separate"/>
      </w:r>
      <w:r w:rsidRPr="008608AA">
        <w:rPr>
          <w:noProof/>
        </w:rPr>
        <w:t>(Donohue et al., 2013)</w:t>
      </w:r>
      <w:r w:rsidRPr="008608AA">
        <w:fldChar w:fldCharType="end"/>
      </w:r>
      <w:r w:rsidRPr="008608AA">
        <w:t>, are largely unknown. In addition to many introduced forage grasses, a</w:t>
      </w:r>
      <w:r w:rsidRPr="008608AA">
        <w:rPr>
          <w:color w:val="000000" w:themeColor="text1"/>
        </w:rPr>
        <w:t xml:space="preserve"> serious ongoing invasion in caatinga concerns </w:t>
      </w:r>
      <w:r w:rsidRPr="008608AA">
        <w:rPr>
          <w:i/>
          <w:color w:val="000000" w:themeColor="text1"/>
        </w:rPr>
        <w:t>Prosopis juliflora</w:t>
      </w:r>
      <w:r w:rsidRPr="008608AA">
        <w:rPr>
          <w:color w:val="000000" w:themeColor="text1"/>
        </w:rPr>
        <w:t xml:space="preserve"> which forms monospecific stands that outcompete native woody species and now covers over one million hectares </w:t>
      </w:r>
      <w:r w:rsidRPr="008608AA">
        <w:rPr>
          <w:color w:val="000000" w:themeColor="text1"/>
        </w:rPr>
        <w:fldChar w:fldCharType="begin" w:fldLock="1"/>
      </w:r>
      <w:r w:rsidRPr="008608AA">
        <w:rPr>
          <w:color w:val="000000" w:themeColor="text1"/>
        </w:rPr>
        <w:instrText>ADDIN CSL_CITATION { "citationItems" : [ { "id" : "ITEM-1", "itemData" : { "DOI" : "10.5902/1980509819615", "ISSN" : "1980-5098", "abstract" : "The objective of this study was to evaluate the efficiency of different\\nmethods to control Prosopis juliflora, invasive alien species in the\\nsemiarid region of northeastern Brazil. The experimental design was\\ncompletely randomized in triple factorial scheme 2x2x8 (two populations\\nof the species, two growth stages - regenerating and adult individuals\\nand eight control treatments), with 10 repetitions. The treatments were:\\ncontrol, girdling of the stem, girdling and brushing of used lubricating\\noil; girdling and application of 2,4-D + picloram, clear cutting, clear\\ncutting followed by burning of the stump; clear cutting and brushing of\\nused lubricating oil; and clear cutting and application of 2,4-D +\\npicloram. In total 320 individuals were monitored, among these, 160\\nregenerates and 160 adults individuals. The variables evaluated were:\\npercentage of control, number of shoots, diameter and length of shoots.\\nAccording to the results among the treatments, those who were more\\neffective in controlling Prosopis juliflora were clear cutting followed\\nby burning of the stump and application of 2,4-D + picloram in cut and\\ngirdled plants. The brushing lubricating oil on the basis of girdled\\nplants also showed a promising strategy to control invasive.", "author" : [ { "dropping-particle" : "", "family" : "Gon\u00e7alves", "given" : "Gerl\u00e2ndio Suassuna", "non-dropping-particle" : "", "parse-names" : false, "suffix" : "" }, { "dropping-particle" : "de", "family" : "Andrade", "given" : "Leonaldo Alves", "non-dropping-particle" : "", "parse-names" : false, "suffix" : "" }, { "dropping-particle" : "", "family" : "Xavier", "given" : "Klerton Rodrigues Forte", "non-dropping-particle" : "", "parse-names" : false, "suffix" : "" }, { "dropping-particle" : "da", "family" : "Silva", "given" : "Jos\u00e9 Ferreira", "non-dropping-particle" : "", "parse-names" : false, "suffix" : "" } ], "container-title" : "Ci\u00eancia Florestal", "id" : "ITEM-1", "issue" : "3", "issued" : { "date-parts" : [ [ "2015" ] ] }, "page" : "645-653", "title" : "Control methods for &lt;i&gt;Prosopis juliflora&lt;/i&gt; (Sw.) D.C. (Fabaceae) in invaded areas in the semiarid region of Brazil", "type" : "article-journal", "volume" : "25" }, "uris" : [ "http://www.mendeley.com/documents/?uuid=069c287f-a89a-437f-b0fd-b1378b1b9b5f" ] } ], "mendeley" : { "formattedCitation" : "(G. S. Gon\u00e7alves, Andrade, Xavier, &amp; Silva, 2015)", "manualFormatting" : "(Gon\u00e7alves et al., 2015)", "plainTextFormattedCitation" : "(G. S. Gon\u00e7alves, Andrade, Xavier, &amp; Silva, 2015)", "previouslyFormattedCitation" : "(G. S. Gon\u00e7alves, Andrade, Xavier, &amp; Silva, 2015)"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(Gonçalves et al., 2015)</w:t>
      </w:r>
      <w:r w:rsidRPr="008608AA">
        <w:rPr>
          <w:color w:val="000000" w:themeColor="text1"/>
        </w:rPr>
        <w:fldChar w:fldCharType="end"/>
      </w:r>
      <w:r w:rsidRPr="008608AA">
        <w:t>.</w:t>
      </w:r>
      <w:r w:rsidRPr="008608AA">
        <w:rPr>
          <w:color w:val="000000" w:themeColor="text1"/>
        </w:rPr>
        <w:t xml:space="preserve"> </w:t>
      </w:r>
      <w:r w:rsidRPr="008608AA">
        <w:t xml:space="preserve">As in the western deserts, selective biomass removal for fuel continues in the Caatinga, even though many households now possess gas stoves </w:t>
      </w:r>
      <w:r w:rsidRPr="008608AA">
        <w:fldChar w:fldCharType="begin" w:fldLock="1"/>
      </w:r>
      <w:r w:rsidRPr="008608AA">
        <w:instrText>ADDIN CSL_CITATION { "citationItems" : [ { "id" : "ITEM-1", "itemData" : { "DOI" : "10.1007/s00267-015-0510-4", "ISBN" : "0364-152X", "ISSN" : "14321009", "abstract" : "Little is known about what possible effects on wood resources might be\\ncaused by non-timber forest products (NTFPs). Here, we assessed the\\npatterns of fuelwood consumption related to an NTFP (Caryocar coriaceum)\\noil extraction and how this non-domestic activity can indirectly\\nincrease the use pressure on fuelwood species in a protected area,\\nsemiarid of Brazil. We conducted semi-structured interviews, in situ\\ninventories, phytosociological surveys, and analyses of wood quality to\\nidentify the set of woody plants used in oil production. Householders\\nuse large volumes of dry wood and a set of woody species, which are\\nhighly exploited. Additionally, many preferred species have low fuel\\npotential and suffer much use pressure. The best fuelwood species are\\nunderused, what requires management strategies to improve their\\npotential as a source of energy. As a result, we suggest some\\nconservation and management actions of fuelwood resources related to the\\nuse of NTFPs.", "author" : [ { "dropping-particle" : "", "family" : "Cavalcanti", "given" : "Maria Clara B.T.", "non-dropping-particle" : "", "parse-names" : false, "suffix" : "" }, { "dropping-particle" : "", "family" : "Ramos", "given" : "Marcelo Alves", "non-dropping-particle" : "", "parse-names" : false, "suffix" : "" }, { "dropping-particle" : "", "family" : "Ara\u00fajo", "given" : "Elcida L.", "non-dropping-particle" : "", "parse-names" : false, "suffix" : "" }, { "dropping-particle" : "", "family" : "Albuquerque", "given" : "Ulysses P.", "non-dropping-particle" : "", "parse-names" : false, "suffix" : "" } ], "container-title" : "Environmental Management", "id" : "ITEM-1", "issue" : "2", "issued" : { "date-parts" : [ [ "2015" ] ] }, "page" : "389-401", "title" : "Implications from the use of non-timber forest products on the consumption of wood as a fuel source in human-dominated semiarid landscapes", "type" : "article-journal", "volume" : "56" }, "uris" : [ "http://www.mendeley.com/documents/?uuid=9c26432f-2c01-408a-a8e5-19477326c57b" ] }, { "id" : "ITEM-2", "itemData" : { "DOI" : "10.1016/j.biombioe.2012.01.003", "ISBN" : "09619534", "ISSN" : "09619534", "abstract" : "One of the main methods of extracting vegetation from the Caatinga is the cutting of wood for firewood. However, despite its social importance and its capacity for having environmental impacts, there are no studies that evaluate the dynamics of the collection of this resource in relation to temporal factors in the semi-arid regions of Brazil. Thus, the main purpose of this study was to show that the seasonality of the savanna climate might influence local patterns of collecting firewood. Between December 2008 and February 2010, interviews and eleven in situ inventories were performed in the residences of two rural communities in the municipality of Soledad in the state of Para\u00edba (Northeast Brazil). During the in situ inventories, all stocks were measured (m3), and species diversity was recorded. A total of 22 species were cataloged, but the pressure of collection was not distributed across all plants; there was a small group of species that were collected throughout the year, and these were found more frequently and with greater abundance in the residences. Although species richness was not influenced by seasonality, the volume of wood varied significantly between the dry and rainy seasons. More collections are performed in the dry season, and the local vegetation suffers greater extraction pressure from this use. The results obtained reinforce the need for studies that examine the potential for regrowth, plant productivity after selective cutting and the resting time necessary before performing a new cutting cycle, as this is the only way to better understand the implications regarding the use of firewood and its effects on local conservation. \u00a9 2012 Elsevier Ltd.", "author" : [ { "dropping-particle" : "", "family" : "Ramos", "given" : "Marcelo Alves", "non-dropping-particle" : "", "parse-names" : false, "suffix" : "" }, { "dropping-particle" : "de", "family" : "Albuquerque", "given" : "Ulysses Paulino", "non-dropping-particle" : "", "parse-names" : false, "suffix" : "" } ], "container-title" : "Biomass and Bioenergy", "id" : "ITEM-2", "issued" : { "date-parts" : [ [ "2012" ] ] }, "page" : "147-158", "title" : "The domestic use of firewood in rural communities of the Caatinga: how seasonality interferes with patterns of firewood collection", "type" : "article-journal", "volume" : "39" }, "uris" : [ "http://www.mendeley.com/documents/?uuid=643e506b-24e9-37ed-8d1e-b6531a1c3adc" ] } ], "mendeley" : { "formattedCitation" : "(Cavalcanti, Ramos, Ara\u00fajo, &amp; Albuquerque, 2015; M. A. Ramos &amp; Albuquerque, 2012)", "manualFormatting" : "(Cavalcanti et al., 2015; Ramos &amp; Albuquerque, 2012)", "plainTextFormattedCitation" : "(Cavalcanti, Ramos, Ara\u00fajo, &amp; Albuquerque, 2015; M. A. Ramos &amp; Albuquerque, 2012)", "previouslyFormattedCitation" : "(Cavalcanti, Ramos, Ara\u00fajo, &amp; Albuquerque, 2015; M. A. Ramos &amp; Albuquerque, 2012)" }, "properties" : { "noteIndex" : 0 }, "schema" : "https://github.com/citation-style-language/schema/raw/master/csl-citation.json" }</w:instrText>
      </w:r>
      <w:r w:rsidRPr="008608AA">
        <w:fldChar w:fldCharType="separate"/>
      </w:r>
      <w:r w:rsidRPr="008608AA">
        <w:rPr>
          <w:noProof/>
        </w:rPr>
        <w:t>(Cavalcanti et al., 2015; Ramos &amp; Albuquerque, 2012)</w:t>
      </w:r>
      <w:r w:rsidRPr="008608AA">
        <w:fldChar w:fldCharType="end"/>
      </w:r>
      <w:r w:rsidRPr="008608AA">
        <w:t>.</w:t>
      </w:r>
    </w:p>
    <w:p w14:paraId="7BAAC3DA" w14:textId="77777777" w:rsidR="00581F86" w:rsidRPr="008608AA" w:rsidRDefault="00581F86" w:rsidP="00581F86">
      <w:pPr>
        <w:spacing w:after="120"/>
      </w:pPr>
    </w:p>
    <w:p w14:paraId="60FFDE41" w14:textId="61287B94" w:rsidR="004255E7" w:rsidRPr="008608AA" w:rsidRDefault="004255E7" w:rsidP="00581F86">
      <w:pPr>
        <w:pStyle w:val="Heading4"/>
        <w:rPr>
          <w:lang w:val="en-US"/>
        </w:rPr>
      </w:pPr>
      <w:bookmarkStart w:id="1139" w:name="_Toc502927365"/>
      <w:bookmarkStart w:id="1140" w:name="_Toc517393319"/>
      <w:bookmarkStart w:id="1141" w:name="_Toc517719060"/>
      <w:bookmarkStart w:id="1142" w:name="_Toc517797017"/>
      <w:r w:rsidRPr="008608AA">
        <w:rPr>
          <w:lang w:val="en-US"/>
        </w:rPr>
        <w:t xml:space="preserve">Wetlands: </w:t>
      </w:r>
      <w:r w:rsidRPr="008608AA">
        <w:t>peatlands</w:t>
      </w:r>
      <w:r w:rsidRPr="008608AA">
        <w:rPr>
          <w:lang w:val="en-US"/>
        </w:rPr>
        <w:t>, mires, bogs</w:t>
      </w:r>
      <w:bookmarkEnd w:id="1139"/>
      <w:bookmarkEnd w:id="1140"/>
      <w:bookmarkEnd w:id="1141"/>
      <w:bookmarkEnd w:id="1142"/>
    </w:p>
    <w:p w14:paraId="52FE4ACA" w14:textId="77777777" w:rsidR="004255E7" w:rsidRPr="008608AA" w:rsidRDefault="004255E7" w:rsidP="00581F86">
      <w:pPr>
        <w:pStyle w:val="Heading5"/>
        <w:numPr>
          <w:ilvl w:val="0"/>
          <w:numId w:val="0"/>
        </w:numPr>
        <w:ind w:left="1008" w:hanging="1008"/>
      </w:pPr>
      <w:r w:rsidRPr="008608AA">
        <w:t xml:space="preserve">North American subregion </w:t>
      </w:r>
    </w:p>
    <w:p w14:paraId="008805CC" w14:textId="600E5F4F" w:rsidR="004255E7" w:rsidRPr="008608AA" w:rsidRDefault="00520F22" w:rsidP="00843724">
      <w:pPr>
        <w:pStyle w:val="NormalWeb"/>
        <w:rPr>
          <w:lang w:val="en-US"/>
        </w:rPr>
      </w:pPr>
      <w:r w:rsidRPr="008608AA">
        <w:rPr>
          <w:iCs/>
          <w:lang w:val="en-US"/>
        </w:rPr>
        <w:t xml:space="preserve">Status. </w:t>
      </w:r>
      <w:r w:rsidR="004255E7" w:rsidRPr="008608AA">
        <w:rPr>
          <w:lang w:val="en-US"/>
        </w:rPr>
        <w:t xml:space="preserve">North America houses approximately 240 millions of hectares of wetlands comprising 12.6% of the total land area. Some of the largest North American wetland landscapes are the peatlands of the Hudson Bay Lowlands, the peatlands of the Mackenzie River Watershed </w:t>
      </w:r>
      <w:r w:rsidR="004255E7" w:rsidRPr="008608AA">
        <w:rPr>
          <w:lang w:val="en-US"/>
        </w:rPr>
        <w:fldChar w:fldCharType="begin" w:fldLock="1"/>
      </w:r>
      <w:r w:rsidR="004255E7" w:rsidRPr="008608AA">
        <w:rPr>
          <w:lang w:val="en-US"/>
        </w:rPr>
        <w:instrText>ADDIN CSL_CITATION { "citationItems" : [ { "id" : "ITEM-1", "itemData" : { "DOI" : "10.1007/978-94-007-6173-5_105-2", "author" : [ { "dropping-particle" : "", "family" : "Vitt", "given" : "D.H.", "non-dropping-particle" : "", "parse-names" : false, "suffix" : "" } ], "container-title" : "The Wetland Book, II. Distribution, Description, and Conservation.", "editor" : [ { "dropping-particle" : "", "family" : "Finalyson", "given" : "C.M.", "non-dropping-particle" : "", "parse-names" : false, "suffix" : "" }, { "dropping-particle" : "", "family" : "Milton", "given" : "R.", "non-dropping-particle" : "", "parse-names" : false, "suffix" : "" }, { "dropping-particle" : "", "family" : "Prentice", "given" : "C.", "non-dropping-particle" : "", "parse-names" : false, "suffix" : "" }, { "dropping-particle" : "", "family" : "Davidson", "given" : "N.C.", "non-dropping-particle" : "", "parse-names" : false, "suffix" : "" } ], "id" : "ITEM-1", "issued" : { "date-parts" : [ [ "2016" ] ] }, "page" : "1-6", "publisher" : "Springer", "publisher-place" : "Dordrecht, Netherlands", "title" : "Peatlands of continental North America", "type" : "chapter" }, "uris" : [ "http://www.mendeley.com/documents/?uuid=f0915d7e-0cc9-359b-ad26-8029785ae8ae" ] } ], "mendeley" : { "formattedCitation" : "(Vitt, 2016)", "plainTextFormattedCitation" : "(Vitt, 2016)", "previouslyFormattedCitation" : "(Vitt, 2016)" }, "properties" : { "noteIndex" : 0 }, "schema" : "https://github.com/citation-style-language/schema/raw/master/csl-citation.json" }</w:instrText>
      </w:r>
      <w:r w:rsidR="004255E7" w:rsidRPr="008608AA">
        <w:rPr>
          <w:lang w:val="en-US"/>
        </w:rPr>
        <w:fldChar w:fldCharType="separate"/>
      </w:r>
      <w:r w:rsidR="004255E7" w:rsidRPr="008608AA">
        <w:rPr>
          <w:noProof/>
          <w:lang w:val="en-US"/>
        </w:rPr>
        <w:t>(Vitt, 2016)</w:t>
      </w:r>
      <w:r w:rsidR="004255E7" w:rsidRPr="008608AA">
        <w:rPr>
          <w:lang w:val="en-US"/>
        </w:rPr>
        <w:fldChar w:fldCharType="end"/>
      </w:r>
      <w:r w:rsidR="004255E7" w:rsidRPr="008608AA">
        <w:rPr>
          <w:lang w:val="en-US"/>
        </w:rPr>
        <w:t xml:space="preserve">, the Prairie Pothole region of the glaciated midcontinent of Canada and the USA, covering 7.7 million ha, and The Everglades and Great Cypress Swamp, covering 1 million hectares located on the southern part of the Florida </w:t>
      </w:r>
      <w:r w:rsidR="004255E7" w:rsidRPr="00360ADC">
        <w:rPr>
          <w:lang w:val="en-US"/>
        </w:rPr>
        <w:t>peninsula</w:t>
      </w:r>
      <w:r w:rsidR="004255E7" w:rsidRPr="008608AA">
        <w:rPr>
          <w:lang w:val="en-US"/>
        </w:rPr>
        <w:t>. The boreal peatlands of Canada (110 million h</w:t>
      </w:r>
      <w:r w:rsidR="006B7FFC" w:rsidRPr="008608AA">
        <w:rPr>
          <w:lang w:val="en-US"/>
        </w:rPr>
        <w:t>ecares</w:t>
      </w:r>
      <w:r w:rsidR="004255E7" w:rsidRPr="008608AA">
        <w:rPr>
          <w:lang w:val="en-US"/>
        </w:rPr>
        <w:t xml:space="preserve">), store an estimated one-third of the world’s global carbon and 10% of the world’s soil nitrogen </w:t>
      </w:r>
      <w:r w:rsidR="004255E7" w:rsidRPr="008608AA">
        <w:rPr>
          <w:lang w:val="en-US"/>
        </w:rPr>
        <w:fldChar w:fldCharType="begin" w:fldLock="1"/>
      </w:r>
      <w:r w:rsidR="004255E7" w:rsidRPr="008608AA">
        <w:rPr>
          <w:lang w:val="en-US"/>
        </w:rPr>
        <w:instrText>ADDIN CSL_CITATION { "citationItems" : [ { "id" : "ITEM-1", "itemData" : { "DOI" : "10.1007/978-94-007-6173-5_105-2", "author" : [ { "dropping-particle" : "", "family" : "Vitt", "given" : "D.H.", "non-dropping-particle" : "", "parse-names" : false, "suffix" : "" } ], "container-title" : "The Wetland Book, II. Distribution, Description, and Conservation.", "editor" : [ { "dropping-particle" : "", "family" : "Finalyson", "given" : "C.M.", "non-dropping-particle" : "", "parse-names" : false, "suffix" : "" }, { "dropping-particle" : "", "family" : "Milton", "given" : "R.", "non-dropping-particle" : "", "parse-names" : false, "suffix" : "" }, { "dropping-particle" : "", "family" : "Prentice", "given" : "C.", "non-dropping-particle" : "", "parse-names" : false, "suffix" : "" }, { "dropping-particle" : "", "family" : "Davidson", "given" : "N.C.", "non-dropping-particle" : "", "parse-names" : false, "suffix" : "" } ], "id" : "ITEM-1", "issued" : { "date-parts" : [ [ "2016" ] ] }, "page" : "1-6", "publisher" : "Springer", "publisher-place" : "Dordrecht, Netherlands", "title" : "Peatlands of continental North America", "type" : "chapter" }, "uris" : [ "http://www.mendeley.com/documents/?uuid=f0915d7e-0cc9-359b-ad26-8029785ae8ae" ] } ], "mendeley" : { "formattedCitation" : "(Vitt, 2016)", "plainTextFormattedCitation" : "(Vitt, 2016)", "previouslyFormattedCitation" : "(Vitt, 2016)" }, "properties" : { "noteIndex" : 0 }, "schema" : "https://github.com/citation-style-language/schema/raw/master/csl-citation.json" }</w:instrText>
      </w:r>
      <w:r w:rsidR="004255E7" w:rsidRPr="008608AA">
        <w:rPr>
          <w:lang w:val="en-US"/>
        </w:rPr>
        <w:fldChar w:fldCharType="separate"/>
      </w:r>
      <w:r w:rsidR="004255E7" w:rsidRPr="008608AA">
        <w:rPr>
          <w:noProof/>
          <w:lang w:val="en-US"/>
        </w:rPr>
        <w:t>(Vitt, 2016)</w:t>
      </w:r>
      <w:r w:rsidR="004255E7" w:rsidRPr="008608AA">
        <w:rPr>
          <w:lang w:val="en-US"/>
        </w:rPr>
        <w:fldChar w:fldCharType="end"/>
      </w:r>
      <w:r w:rsidR="004255E7" w:rsidRPr="008608AA">
        <w:rPr>
          <w:lang w:val="en-US"/>
        </w:rPr>
        <w:t xml:space="preserve">. The cold anaerobic conditions of boreal peatlands favor the accretion of undecomposed mosses, sedges, and other plants, together, resulting in deep organic deposits of 2m or more. Canadian peatlands support exceptional bryophyte diversity, with a recorded 294 species of mosses and related species (about one-third of the world’s moss species) </w:t>
      </w:r>
      <w:r w:rsidR="004255E7" w:rsidRPr="008608AA">
        <w:rPr>
          <w:lang w:val="en-US"/>
        </w:rPr>
        <w:fldChar w:fldCharType="begin" w:fldLock="1"/>
      </w:r>
      <w:r w:rsidR="004255E7" w:rsidRPr="008608AA">
        <w:rPr>
          <w:lang w:val="en-US"/>
        </w:rPr>
        <w:instrText>ADDIN CSL_CITATION { "citationItems" : [ { "id" : "ITEM-1", "itemData" : { "DOI" : "10.1007/s00027-006-0856-z", "ISBN" : "10151621 (ISSN)", "ISSN" : "10151621", "PMID" : "4", "abstract" : "The species diversity data of seven globally important wetlands (Canadian peatlands, Florida Everglades, Pantanal, Okavango Delta, Sundarban, Tonle Sap, and Kakadu National Park) were compared. The available data for most groups of lower plants and animals are insufficient for a comparative analysis. Data on vertebrates and higher plants are more complete and show high species diversity. The large habitat diversity allows the coexistence of amphibious species with many immigrants from connected deepwater and terrestrial habitats. Several of these immigrant species find an important permanent refuge in the wetlands; some use the wetlands as periodic habitats. All wetlands are important habitats for long-distance migratory bird species. The species composition reflects the biogeography of the respective regions, e.g. the high diversity of large ungulates characteristic for Africa is also found in the Okavango Delta in Botswana, and the high fish species diversity typical for South America is also reflected in the Pantanal in Brazil. The number of endemic species in most wetlands is low, except in the Everglades. The low numbers are explained to some extent by the dramatically changing paleo-climatic conditions that increased extinction rates, but also by the connection with large river systems that act as migratory and transport routes for species from large catchment areas and hinder the genetic isolation of wetland populations. The high number of endemic species in the Everglades is explained in part by its isolation on a peninsula. The relatively low nutrient status of most wetlands does not negatively affect species diversity and often leads to high animal densities. Large populations of endangered or rare species in all wetlands contribute to the great value of these areas for biodiversity protection. All wetlands are subjected to an increasing degree to human pressure through, e.g. water abstraction, changes in the natural flood regime, land reclamation, pollution, over-utilization of natural resources, and poaching. High habitat diversity and a pronounced natural disturbance regime make some of the wetlands vulnerable to invasion by exotic species, as shown for the Everglades. All studied wetlands are at least in part protected by national and international conventions. This provides perspectives for long-term protection only to a limited extent because of major environmental changes in their surroundings. Further strong efforts are required to mat\u2026", "author" : [ { "dropping-particle" : "", "family" : "Junk", "given" : "Wolfgang J.", "non-dropping-particle" : "", "parse-names" : false, "suffix" : "" }, { "dropping-particle" : "", "family" : "Brown", "given" : "Mark", "non-dropping-particle" : "", "parse-names" : false, "suffix" : "" }, { "dropping-particle" : "", "family" : "Campbell", "given" : "Ian C.", "non-dropping-particle" : "", "parse-names" : false, "suffix" : "" }, { "dropping-particle" : "", "family" : "Finlayson", "given" : "Max", "non-dropping-particle" : "", "parse-names" : false, "suffix" : "" }, { "dropping-particle" : "", "family" : "Gopal", "given" : "Brij", "non-dropping-particle" : "", "parse-names" : false, "suffix" : "" }, { "dropping-particle" : "", "family" : "Ramberg", "given" : "Lars", "non-dropping-particle" : "", "parse-names" : false, "suffix" : "" }, { "dropping-particle" : "", "family" : "Warner", "given" : "Barry G.", "non-dropping-particle" : "", "parse-names" : false, "suffix" : "" } ], "container-title" : "Aquatic Sciences", "id" : "ITEM-1", "issue" : "3", "issued" : { "date-parts" : [ [ "2006" ] ] }, "page" : "400-414", "title" : "The comparative biodiversity of seven globally important wetlands: a synthesis", "type" : "article-journal", "volume" : "68" }, "uris" : [ "http://www.mendeley.com/documents/?uuid=680c3c50-f81c-4f54-b487-a9e840bbbab9" ] } ], "mendeley" : { "formattedCitation" : "(Wolfgang J. Junk et al., 2006)", "manualFormatting" : "(Junk et al., 2006)", "plainTextFormattedCitation" : "(Wolfgang J. Junk et al., 2006)", "previouslyFormattedCitation" : "(Wolfgang J. Junk et al., 2006)" }, "properties" : { "noteIndex" : 0 }, "schema" : "https://github.com/citation-style-language/schema/raw/master/csl-citation.json" }</w:instrText>
      </w:r>
      <w:r w:rsidR="004255E7" w:rsidRPr="008608AA">
        <w:rPr>
          <w:lang w:val="en-US"/>
        </w:rPr>
        <w:fldChar w:fldCharType="separate"/>
      </w:r>
      <w:r w:rsidR="004255E7" w:rsidRPr="008608AA">
        <w:rPr>
          <w:noProof/>
          <w:lang w:val="en-US"/>
        </w:rPr>
        <w:t>(Junk et al., 2006)</w:t>
      </w:r>
      <w:r w:rsidR="004255E7" w:rsidRPr="008608AA">
        <w:rPr>
          <w:lang w:val="en-US"/>
        </w:rPr>
        <w:fldChar w:fldCharType="end"/>
      </w:r>
      <w:r w:rsidR="004255E7" w:rsidRPr="008608AA">
        <w:rPr>
          <w:lang w:val="en-US"/>
        </w:rPr>
        <w:t xml:space="preserve">. The Prairie Potholes and the Everglades have outstanding biodiversity (Table 3.4). The Prairie Potholes provide critical breeding and migratory habitat for North America’s waterfowl. The Everglades serve as a wintering area for 249 migratory bird species, as well as 100 resident species and critical habitat for species of global conservation concern. </w:t>
      </w:r>
    </w:p>
    <w:p w14:paraId="7D53117D" w14:textId="77777777" w:rsidR="004255E7" w:rsidRPr="008608AA" w:rsidRDefault="004255E7" w:rsidP="00843724">
      <w:pPr>
        <w:pStyle w:val="NormalWeb"/>
        <w:rPr>
          <w:lang w:val="en-US"/>
        </w:rPr>
      </w:pPr>
      <w:r w:rsidRPr="008608AA">
        <w:rPr>
          <w:lang w:val="en-US"/>
        </w:rPr>
        <w:t xml:space="preserve">From the 1800s to the 1980s Canada sustained losses of about 20 million hectares of wetland habitat. The conterminous USA sustained wetland </w:t>
      </w:r>
      <w:r w:rsidRPr="00360ADC">
        <w:rPr>
          <w:lang w:val="en-US"/>
        </w:rPr>
        <w:t>losses</w:t>
      </w:r>
      <w:r w:rsidRPr="008608AA">
        <w:rPr>
          <w:lang w:val="en-US"/>
        </w:rPr>
        <w:t xml:space="preserve"> of 53% (117 million hectares) from the 1780s to 1980s; Alaska lost less than 1% </w:t>
      </w:r>
      <w:r w:rsidRPr="008608AA">
        <w:rPr>
          <w:lang w:val="en-US"/>
        </w:rPr>
        <w:fldChar w:fldCharType="begin" w:fldLock="1"/>
      </w:r>
      <w:r w:rsidRPr="008608AA">
        <w:rPr>
          <w:lang w:val="en-US"/>
        </w:rPr>
        <w:instrText>ADDIN CSL_CITATION { "citationItems" : [ { "id" : "ITEM-1", "itemData" : { "author" : [ { "dropping-particle" : "", "family" : "Dahl", "given" : "T.E.", "non-dropping-particle" : "", "parse-names" : false, "suffix" : "" } ], "id" : "ITEM-1", "issued" : { "date-parts" : [ [ "1990" ] ] }, "number-of-pages" : "21", "publisher" : "Department of the Interior, Fish and Wildlife Service", "publisher-place" : "Washington, D.C., USA", "title" : "Wetland Losses in the United States 1780's to 1980's", "type" : "report" }, "uris" : [ "http://www.mendeley.com/documents/?uuid=100ba506-6af3-4d33-aad1-63d9619b5c16" ] } ], "mendeley" : { "formattedCitation" : "(Dahl, 1990)", "plainTextFormattedCitation" : "(Dahl, 1990)", "previouslyFormattedCitation" : "(Dahl, 1990)" }, "properties" : { "noteIndex" : 0 }, "schema" : "https://github.com/citation-style-language/schema/raw/master/csl-citation.json" }</w:instrText>
      </w:r>
      <w:r w:rsidRPr="008608AA">
        <w:rPr>
          <w:lang w:val="en-US"/>
        </w:rPr>
        <w:fldChar w:fldCharType="separate"/>
      </w:r>
      <w:r w:rsidRPr="008608AA">
        <w:rPr>
          <w:noProof/>
          <w:lang w:val="en-US"/>
        </w:rPr>
        <w:t>(Dahl, 1990)</w:t>
      </w:r>
      <w:r w:rsidRPr="008608AA">
        <w:rPr>
          <w:lang w:val="en-US"/>
        </w:rPr>
        <w:fldChar w:fldCharType="end"/>
      </w:r>
      <w:r w:rsidRPr="008608AA">
        <w:rPr>
          <w:lang w:val="en-US"/>
        </w:rPr>
        <w:t xml:space="preserve">. Despite these losses and much regional variation, wetlands still cover 12% of North America (240 million ha) </w:t>
      </w:r>
      <w:r w:rsidRPr="008608AA">
        <w:rPr>
          <w:lang w:val="en-US"/>
        </w:rPr>
        <w:fldChar w:fldCharType="begin" w:fldLock="1"/>
      </w:r>
      <w:r w:rsidRPr="008608AA">
        <w:rPr>
          <w:lang w:val="en-US"/>
        </w:rPr>
        <w:instrText>ADDIN CSL_CITATION { "citationItems" : [ { "id" : "ITEM-1", "itemData" : { "author" : [ { "dropping-particle" : "", "family" : "Federal Provincial and Territorial Governments of Canada", "given" : "", "non-dropping-particle" : "", "parse-names" : false, "suffix" : "" } ], "id" : "ITEM-1", "issued" : { "date-parts" : [ [ "2010" ] ] }, "publisher" : "Canadian Councils of Resource Ministers", "publisher-place" : "Ottawa, Canada", "title" : "Canadian Biodiversity: Ecosystem Status and Trends 2010", "type" : "book" }, "uris" : [ "http://www.mendeley.com/documents/?uuid=8c93c3c3-cf8e-4a25-9454-4f8aa05085b1" ] }, { "id" : "ITEM-2", "itemData" : { "author" : [ { "dropping-particle" : "", "family" : "Dahl", "given" : "T.E.", "non-dropping-particle" : "", "parse-names" : false, "suffix" : "" } ], "id" : "ITEM-2", "issued" : { "date-parts" : [ [ "1990" ] ] }, "number-of-pages" : "21", "publisher" : "Department of the Interior, Fish and Wildlife Service", "publisher-place" : "Washington, D.C., USA", "title" : "Wetland Losses in the United States 1780's to 1980's", "type" : "report" }, "uris" : [ "http://www.mendeley.com/documents/?uuid=100ba506-6af3-4d33-aad1-63d9619b5c16" ] }, { "id" : "ITEM-3", "itemData" : { "ISSN" : "&lt;null&gt;", "abstract" : "This study examined recent trends in wetland extent and habitat type throughout the conterminous United States between 2004 and 2009. Wetland trends were measured by the examination of remotely sensed imagery for 5,042 randomly selected sample plots. This imagery in combination with field verification provided a scientific basis for analysis of the extent of wetlands and changes that had occurred over the four and half year time span in this study.", "author" : [ { "dropping-particle" : "", "family" : "Dahl", "given" : "T E", "non-dropping-particle" : "", "parse-names" : false, "suffix" : "" } ], "id" : "ITEM-3", "issue" : "November", "issued" : { "date-parts" : [ [ "2011" ] ] }, "number-of-pages" : "107", "publisher" : "U.S. Department of the Interior; Fish and Wildlife Service", "publisher-place" : "Washington D.C., USA", "title" : "Status and Trends of Wetlands in the Conterminous United States 2004 to 2009", "type" : "report" }, "uris" : [ "http://www.mendeley.com/documents/?uuid=c0589632-eb4c-4acf-9ab0-f1cba8d4175f" ] } ], "mendeley" : { "formattedCitation" : "(Dahl, 1990, 2011; Federal Provincial and Territorial Governments of Canada, 2010)", "plainTextFormattedCitation" : "(Dahl, 1990, 2011; Federal Provincial and Territorial Governments of Canada, 2010)", "previouslyFormattedCitation" : "(Dahl, 1990, 2011; Federal Provincial and Territorial Governments of Canada, 2010)" }, "properties" : { "noteIndex" : 0 }, "schema" : "https://github.com/citation-style-language/schema/raw/master/csl-citation.json" }</w:instrText>
      </w:r>
      <w:r w:rsidRPr="008608AA">
        <w:rPr>
          <w:lang w:val="en-US"/>
        </w:rPr>
        <w:fldChar w:fldCharType="separate"/>
      </w:r>
      <w:r w:rsidRPr="008608AA">
        <w:rPr>
          <w:noProof/>
          <w:lang w:val="en-US"/>
        </w:rPr>
        <w:t>(Dahl, 1990, 2011; Federal Provincial and Territorial Governments of Canada, 2010)</w:t>
      </w:r>
      <w:r w:rsidRPr="008608AA">
        <w:rPr>
          <w:lang w:val="en-US"/>
        </w:rPr>
        <w:fldChar w:fldCharType="end"/>
      </w:r>
      <w:r w:rsidRPr="008608AA">
        <w:rPr>
          <w:lang w:val="en-US"/>
        </w:rPr>
        <w:t>.</w:t>
      </w:r>
    </w:p>
    <w:p w14:paraId="76D2D2F5" w14:textId="0B1E75F9" w:rsidR="004255E7" w:rsidRPr="008608AA" w:rsidRDefault="00500BF1" w:rsidP="00581F86">
      <w:pPr>
        <w:widowControl w:val="0"/>
        <w:autoSpaceDE w:val="0"/>
        <w:autoSpaceDN w:val="0"/>
        <w:adjustRightInd w:val="0"/>
        <w:spacing w:after="120"/>
      </w:pPr>
      <w:r w:rsidRPr="008608AA">
        <w:t>Recent trends</w:t>
      </w:r>
      <w:r w:rsidR="00520F22" w:rsidRPr="008608AA">
        <w:t xml:space="preserve">. </w:t>
      </w:r>
      <w:r w:rsidR="004255E7" w:rsidRPr="008608AA">
        <w:t>Losses to drainage for agriculture</w:t>
      </w:r>
      <w:r w:rsidRPr="008608AA">
        <w:t xml:space="preserve"> over the past 40–60 years has been the most important cause of wetland loss; </w:t>
      </w:r>
      <w:r w:rsidR="004255E7" w:rsidRPr="008608AA">
        <w:t xml:space="preserve">conversion for development </w:t>
      </w:r>
      <w:r w:rsidRPr="008608AA">
        <w:t xml:space="preserve">has also been </w:t>
      </w:r>
      <w:r w:rsidR="004255E7" w:rsidRPr="008608AA">
        <w:t xml:space="preserve">locally significant near urban centers. An estimated 350,000 ha of wetland habitat in Canada was lost over the past 40–60 years, to drainage for agriculture in the prairie pothole region </w:t>
      </w:r>
      <w:r w:rsidR="004255E7" w:rsidRPr="008608AA">
        <w:fldChar w:fldCharType="begin" w:fldLock="1"/>
      </w:r>
      <w:r w:rsidR="004255E7" w:rsidRPr="008608AA">
        <w:instrText>ADDIN CSL_CITATION { "citationItems" : [ { "id" : "ITEM-1", "itemData" : { "author" : [ { "dropping-particle" : "", "family" : "Government of Canada", "given" : "", "non-dropping-particle" : "", "parse-names" : false, "suffix" : "" } ], "id" : "ITEM-1", "issued" : { "date-parts" : [ [ "2009" ] ] }, "number-of-pages" : "192", "title" : "Canada's Fourth National Report to the United Nations Convention on Biological Diversity", "type" : "report" }, "uris" : [ "http://www.mendeley.com/documents/?uuid=ce1b5aa3-019d-471f-b8a7-b044c1f58ed9" ] } ], "mendeley" : { "formattedCitation" : "(Government of Canada, 2009)", "plainTextFormattedCitation" : "(Government of Canada, 2009)", "previouslyFormattedCitation" : "(Government of Canada, 2009)" }, "properties" : { "noteIndex" : 0 }, "schema" : "https://github.com/citation-style-language/schema/raw/master/csl-citation.json" }</w:instrText>
      </w:r>
      <w:r w:rsidR="004255E7" w:rsidRPr="008608AA">
        <w:fldChar w:fldCharType="separate"/>
      </w:r>
      <w:r w:rsidR="004255E7" w:rsidRPr="008608AA">
        <w:rPr>
          <w:noProof/>
        </w:rPr>
        <w:t>(Government of Canada, 2009)</w:t>
      </w:r>
      <w:r w:rsidR="004255E7" w:rsidRPr="008608AA">
        <w:fldChar w:fldCharType="end"/>
      </w:r>
      <w:r w:rsidR="004255E7" w:rsidRPr="008608AA">
        <w:t xml:space="preserve">. Wetland losses in Greenland are presumed to have been negligible. Compared to historic rates of wetland conversion, loss rates in both the USA and Canada have likely been lower in recent years because federal policies create disincentives for filling and draining wetlands (i.e., US Clean Water Act of 1972), Canada’s Federal Policy on Wetland Conservation of 1991 </w:t>
      </w:r>
      <w:r w:rsidR="004255E7" w:rsidRPr="008608AA">
        <w:fldChar w:fldCharType="begin" w:fldLock="1"/>
      </w:r>
      <w:r w:rsidR="004255E7" w:rsidRPr="008608AA">
        <w:instrText>ADDIN CSL_CITATION { "citationItems" : [ { "id" : "ITEM-1", "itemData" : { "ISBN" : "066218940X", "abstract" : "In 1986 and early 1987 Environment Canada developed a national statement and fact sheet on wetland issues in Canada summarizing management problems and identifying the major obstacles to wetland conservation. The Department subsequently sponsored a non-government organizations Workshop on Wetland Conservation Policy in February 1987. This workshop developed a series of recommendations directed to all governments in Canada concerning the need for wetland policy. These recommendations were sent to all Environment and Natural Resource Ministers across the country. The Federal-Provincial Committee on Land Use (FPCLU) in 1987 identified \"wetlands management\" as a significant land use issue. A Wetlands Subcommittee of the FPCLU was convened in June 1987, and produced a report entitled \"A Framework for Wetlands Policy in Canada\". This report was endorsed by the full committee and members agreed to encourage use of this framework, as appropriate, in their own jurisdictions. Also in early 1987, the Federal Interdepartmental Committee on Land identified the need to develop a wetlands policy statement to supplement the \"wise land use\" provisions of the Federal Policy on Land Use. The Federal Water Policy adopted in 1987 also identified wetlands conservation as a significant water resource issue. For over 10 years Canada has been a signator nation to the Ramsar Convention, an international treaty focusing on conservation of wetlands of international importance. A major obligation under the Convention is implementation of principles, proposed in 1987 by Canada, for the wise use of wetlands. The Convention notes the \"wise use\" of wetlands is defined as their \"sustainable utilization for the benefit of humankind in a way compatible with the maintenance of the natural properties of the ecosystem\". Further, it calls for the establishment of wetland conservation policies in each nation to improve institutional and organizational arrangements, to address legislative needs, to increase knowledge and awareness of wetland values, to monitor the status of wetlands, to identify program priorities and to develop action plans for specific sites. Canada is a major supporter of this Convention, having hosted the Third Conference of the Contracting Parties at Regina in 1987 and, more recently, providing the Vice-Chairperson to the Convention's Standing Committee. Thirty wetlands of international importance have been designated to date in Canada out of about 450 such sites worldwide\u2026", "author" : [ { "dropping-particle" : "", "family" : "Government of Canada", "given" : "", "non-dropping-particle" : "", "parse-names" : false, "suffix" : "" } ], "id" : "ITEM-1", "issued" : { "date-parts" : [ [ "1991" ] ] }, "number-of-pages" : "15", "publisher-place" : "Ottawa, Canada", "title" : "The Federal Policy on Wetland Conservation", "type" : "report" }, "uris" : [ "http://www.mendeley.com/documents/?uuid=daf3b6a9-1cc1-4f25-bb2e-31ef252ef47d" ] } ], "mendeley" : { "formattedCitation" : "(Government of Canada, 1991)", "plainTextFormattedCitation" : "(Government of Canada, 1991)", "previouslyFormattedCitation" : "(Government of Canada, 1991)" }, "properties" : { "noteIndex" : 0 }, "schema" : "https://github.com/citation-style-language/schema/raw/master/csl-citation.json" }</w:instrText>
      </w:r>
      <w:r w:rsidR="004255E7" w:rsidRPr="008608AA">
        <w:fldChar w:fldCharType="separate"/>
      </w:r>
      <w:r w:rsidR="004255E7" w:rsidRPr="008608AA">
        <w:rPr>
          <w:noProof/>
        </w:rPr>
        <w:t>(Government of Canada, 1991)</w:t>
      </w:r>
      <w:r w:rsidR="004255E7" w:rsidRPr="008608AA">
        <w:fldChar w:fldCharType="end"/>
      </w:r>
      <w:r w:rsidR="004255E7" w:rsidRPr="008608AA">
        <w:t xml:space="preserve">. Unfortunately, policies that allow compensatory restoration to offset conversions have not been effective at preventing losses of forested wetlands, which are costly and difficult to restore </w:t>
      </w:r>
      <w:r w:rsidR="004255E7" w:rsidRPr="008608AA">
        <w:fldChar w:fldCharType="begin" w:fldLock="1"/>
      </w:r>
      <w:r w:rsidR="004255E7" w:rsidRPr="008608AA">
        <w:instrText>ADDIN CSL_CITATION { "citationItems" : [ { "id" : "ITEM-1", "itemData" : { "ISSN" : "&lt;null&gt;", "abstract" : "This study examined recent trends in wetland extent and habitat type throughout the conterminous United States between 2004 and 2009. Wetland trends were measured by the examination of remotely sensed imagery for 5,042 randomly selected sample plots. This imagery in combination with field verification provided a scientific basis for analysis of the extent of wetlands and changes that had occurred over the four and half year time span in this study.", "author" : [ { "dropping-particle" : "", "family" : "Dahl", "given" : "T E", "non-dropping-particle" : "", "parse-names" : false, "suffix" : "" } ], "id" : "ITEM-1", "issue" : "November", "issued" : { "date-parts" : [ [ "2011" ] ] }, "number-of-pages" : "107", "publisher" : "U.S. Department of the Interior; Fish and Wildlife Service", "publisher-place" : "Washington D.C., USA", "title" : "Status and Trends of Wetlands in the Conterminous United States 2004 to 2009", "type" : "report" }, "uris" : [ "http://www.mendeley.com/documents/?uuid=c0589632-eb4c-4acf-9ab0-f1cba8d4175f" ] } ], "mendeley" : { "formattedCitation" : "(Dahl, 2011)", "plainTextFormattedCitation" : "(Dahl, 2011)", "previouslyFormattedCitation" : "(Dahl, 2011)" }, "properties" : { "noteIndex" : 0 }, "schema" : "https://github.com/citation-style-language/schema/raw/master/csl-citation.json" }</w:instrText>
      </w:r>
      <w:r w:rsidR="004255E7" w:rsidRPr="008608AA">
        <w:fldChar w:fldCharType="separate"/>
      </w:r>
      <w:r w:rsidR="004255E7" w:rsidRPr="008608AA">
        <w:rPr>
          <w:noProof/>
        </w:rPr>
        <w:t>(Dahl, 2011)</w:t>
      </w:r>
      <w:r w:rsidR="004255E7" w:rsidRPr="008608AA">
        <w:fldChar w:fldCharType="end"/>
      </w:r>
      <w:r w:rsidR="004255E7" w:rsidRPr="008608AA">
        <w:t>.</w:t>
      </w:r>
    </w:p>
    <w:p w14:paraId="10F3F1A0" w14:textId="4ABD4E45" w:rsidR="004255E7" w:rsidRDefault="004255E7" w:rsidP="00843724">
      <w:pPr>
        <w:pStyle w:val="NormalWeb"/>
        <w:rPr>
          <w:lang w:val="en-US"/>
        </w:rPr>
      </w:pPr>
      <w:r w:rsidRPr="008608AA">
        <w:rPr>
          <w:lang w:val="en-US"/>
        </w:rPr>
        <w:t xml:space="preserve">Many North American wetlands have undergone extensive eutrophication. The associated changes of eutrophication include changes in the composition of aquatic life and recreational uses, in the effectiveness of wetlands as effective filters that protect downstream and </w:t>
      </w:r>
      <w:r w:rsidRPr="00360ADC">
        <w:rPr>
          <w:lang w:val="en-US"/>
        </w:rPr>
        <w:t>groundwater</w:t>
      </w:r>
      <w:r w:rsidRPr="008608AA">
        <w:rPr>
          <w:lang w:val="en-US"/>
        </w:rPr>
        <w:t xml:space="preserve"> resources, and in accumulation rates of bulk sediments </w:t>
      </w:r>
      <w:r w:rsidRPr="008608AA">
        <w:rPr>
          <w:noProof/>
          <w:lang w:val="en-US"/>
        </w:rPr>
        <w:fldChar w:fldCharType="begin" w:fldLock="1"/>
      </w:r>
      <w:r w:rsidRPr="008608AA">
        <w:rPr>
          <w:noProof/>
          <w:lang w:val="en-US"/>
        </w:rPr>
        <w:instrText>ADDIN CSL_CITATION { "citationItems" : [ { "id" : "ITEM-1", "itemData" : { "author" : [ { "dropping-particle" : "", "family" : "Brenner", "given" : "Mark", "non-dropping-particle" : "", "parse-names" : false, "suffix" : "" }, { "dropping-particle" : "", "family" : "Schelske", "given" : "Claire L.", "non-dropping-particle" : "", "parse-names" : false, "suffix" : "" }, { "dropping-particle" : "", "family" : "Keenan", "given" : "Lawrence W.", "non-dropping-particle" : "", "parse-names" : false, "suffix" : "" } ], "container-title" : "Journal of Paleolimnology", "id" : "ITEM-1", "issue" : "3", "issued" : { "date-parts" : [ [ "2001" ] ] }, "page" : "241\u2013257", "title" : "Historical rates of sediment and nutrient accumulation in marshes of the Upper St. Johns River Basin, Florida", "type" : "article-journal", "volume" : "26" }, "uris" : [ "http://www.mendeley.com/documents/?uuid=f33b62bc-68f4-4d87-b6be-3185c722419d" ] } ], "mendeley" : { "formattedCitation" : "(Brenner, Schelske, &amp; Keenan, 2001)", "manualFormatting" : "(Brenner et al., 2001", "plainTextFormattedCitation" : "(Brenner, Schelske, &amp; Keenan, 2001)", "previouslyFormattedCitation" : "(Brenner, Schelske, &amp; Keenan, 2001)" }, "properties" : { "noteIndex" : 0 }, "schema" : "https://github.com/citation-style-language/schema/raw/master/csl-citation.json" }</w:instrText>
      </w:r>
      <w:r w:rsidRPr="008608AA">
        <w:rPr>
          <w:noProof/>
          <w:lang w:val="en-US"/>
        </w:rPr>
        <w:fldChar w:fldCharType="separate"/>
      </w:r>
      <w:r w:rsidRPr="008608AA">
        <w:rPr>
          <w:noProof/>
          <w:lang w:val="en-US"/>
        </w:rPr>
        <w:t>(Brenner et al., 2001</w:t>
      </w:r>
      <w:r w:rsidRPr="008608AA">
        <w:rPr>
          <w:noProof/>
          <w:lang w:val="en-US"/>
        </w:rPr>
        <w:fldChar w:fldCharType="end"/>
      </w:r>
      <w:r w:rsidRPr="008608AA">
        <w:rPr>
          <w:noProof/>
          <w:lang w:val="en-US"/>
        </w:rPr>
        <w:t>)</w:t>
      </w:r>
      <w:r w:rsidRPr="008608AA">
        <w:rPr>
          <w:lang w:val="en-US"/>
        </w:rPr>
        <w:t xml:space="preserve">. </w:t>
      </w:r>
    </w:p>
    <w:p w14:paraId="5B7095BD" w14:textId="77777777" w:rsidR="00843724" w:rsidRPr="008608AA" w:rsidRDefault="00843724" w:rsidP="00843724">
      <w:pPr>
        <w:pStyle w:val="NormalWeb"/>
        <w:rPr>
          <w:lang w:val="en-US"/>
        </w:rPr>
      </w:pPr>
    </w:p>
    <w:p w14:paraId="79893AE6" w14:textId="6EDFA11A" w:rsidR="004255E7" w:rsidRDefault="004255E7" w:rsidP="00843724">
      <w:pPr>
        <w:pStyle w:val="NormalWeb"/>
        <w:rPr>
          <w:lang w:val="en-US"/>
        </w:rPr>
      </w:pPr>
      <w:r w:rsidRPr="008608AA">
        <w:rPr>
          <w:lang w:val="en-US"/>
        </w:rPr>
        <w:t xml:space="preserve">Wetland alteration has favored the expansion of invasive species and displacement of native species. Some serious wetland invaders in North America </w:t>
      </w:r>
      <w:r w:rsidRPr="00360ADC">
        <w:rPr>
          <w:lang w:val="en-US"/>
        </w:rPr>
        <w:t>include</w:t>
      </w:r>
      <w:r w:rsidRPr="008608AA">
        <w:rPr>
          <w:lang w:val="en-US"/>
        </w:rPr>
        <w:t xml:space="preserve"> common reed (</w:t>
      </w:r>
      <w:r w:rsidRPr="008608AA">
        <w:rPr>
          <w:i/>
          <w:lang w:val="en-US"/>
        </w:rPr>
        <w:t>Phragmites australis</w:t>
      </w:r>
      <w:r w:rsidRPr="008608AA">
        <w:rPr>
          <w:lang w:val="en-US"/>
        </w:rPr>
        <w:t>) in freshwater and brackish wetlands, cordgrass (</w:t>
      </w:r>
      <w:r w:rsidRPr="008608AA">
        <w:rPr>
          <w:i/>
          <w:iCs/>
          <w:lang w:val="en-US"/>
        </w:rPr>
        <w:t>Spartina alterniflora</w:t>
      </w:r>
      <w:r w:rsidRPr="008608AA">
        <w:rPr>
          <w:lang w:val="en-US"/>
        </w:rPr>
        <w:t>) in West Coast salt marshes and hybrid cattail (</w:t>
      </w:r>
      <w:r w:rsidRPr="008608AA">
        <w:rPr>
          <w:i/>
          <w:iCs/>
          <w:lang w:val="en-US"/>
        </w:rPr>
        <w:t xml:space="preserve">Typha </w:t>
      </w:r>
      <w:r w:rsidRPr="008608AA">
        <w:rPr>
          <w:lang w:val="en-US"/>
        </w:rPr>
        <w:t xml:space="preserve">x </w:t>
      </w:r>
      <w:r w:rsidRPr="008608AA">
        <w:rPr>
          <w:i/>
          <w:iCs/>
          <w:lang w:val="en-US"/>
        </w:rPr>
        <w:t>glauca</w:t>
      </w:r>
      <w:r w:rsidRPr="008608AA">
        <w:rPr>
          <w:lang w:val="en-US"/>
        </w:rPr>
        <w:t>), reed canary grass (</w:t>
      </w:r>
      <w:r w:rsidRPr="008608AA">
        <w:rPr>
          <w:i/>
          <w:iCs/>
          <w:lang w:val="en-US"/>
        </w:rPr>
        <w:t>Phalaris arundinacea</w:t>
      </w:r>
      <w:r w:rsidRPr="008608AA">
        <w:rPr>
          <w:lang w:val="en-US"/>
        </w:rPr>
        <w:t>) and purple loosestrife (</w:t>
      </w:r>
      <w:r w:rsidRPr="008608AA">
        <w:rPr>
          <w:i/>
          <w:iCs/>
          <w:lang w:val="en-US"/>
        </w:rPr>
        <w:t>Lythrum salicaria</w:t>
      </w:r>
      <w:r w:rsidRPr="008608AA">
        <w:rPr>
          <w:lang w:val="en-US"/>
        </w:rPr>
        <w:t>) in freshwater marshes. These invaders diminish wetland services in many ways including lost critical habitat for endangered species (</w:t>
      </w:r>
      <w:r w:rsidR="00847F60" w:rsidRPr="008608AA">
        <w:rPr>
          <w:lang w:val="en-US"/>
        </w:rPr>
        <w:t>e.g.</w:t>
      </w:r>
      <w:r w:rsidRPr="008608AA">
        <w:rPr>
          <w:lang w:val="en-US"/>
        </w:rPr>
        <w:t xml:space="preserve"> </w:t>
      </w:r>
      <w:r w:rsidRPr="008608AA">
        <w:rPr>
          <w:i/>
          <w:iCs/>
          <w:lang w:val="en-US"/>
        </w:rPr>
        <w:t>Phragmites</w:t>
      </w:r>
      <w:r w:rsidRPr="008608AA">
        <w:rPr>
          <w:lang w:val="en-US"/>
        </w:rPr>
        <w:t>, central Platte River) and reduced wetland bird nesting (</w:t>
      </w:r>
      <w:r w:rsidRPr="008608AA">
        <w:rPr>
          <w:i/>
          <w:iCs/>
          <w:lang w:val="en-US"/>
        </w:rPr>
        <w:t>Typha</w:t>
      </w:r>
      <w:r w:rsidRPr="008608AA">
        <w:rPr>
          <w:lang w:val="en-US"/>
        </w:rPr>
        <w:t xml:space="preserve">, Great Lakes). Although a lot of attention and much funding have been devoted to managing and controlling these species, their spread is generally irreversible. Proximity to urban areas, as in the Everglades, has been associated with the escape and establishment of a large number of ornamental plants and pet animal species, </w:t>
      </w:r>
      <w:r w:rsidR="00664284" w:rsidRPr="008608AA">
        <w:rPr>
          <w:lang w:val="en-US"/>
        </w:rPr>
        <w:t xml:space="preserve">including </w:t>
      </w:r>
      <w:r w:rsidRPr="008608AA">
        <w:rPr>
          <w:lang w:val="en-US"/>
        </w:rPr>
        <w:t xml:space="preserve">221 plants, 32 fish, 30 amphibians and reptiles, and 10 mammals in the Everglades </w:t>
      </w:r>
      <w:r w:rsidRPr="008608AA">
        <w:rPr>
          <w:lang w:val="en-US"/>
        </w:rPr>
        <w:fldChar w:fldCharType="begin" w:fldLock="1"/>
      </w:r>
      <w:r w:rsidRPr="008608AA">
        <w:rPr>
          <w:lang w:val="en-US"/>
        </w:rPr>
        <w:instrText>ADDIN CSL_CITATION { "citationItems" : [ { "id" : "ITEM-1", "itemData" : { "DOI" : "10.1007/s00027-006-0854-1", "ISBN" : "1015-1621", "ISSN" : "10151621", "abstract" : "The Everglades, a complex wetland mosaic bounded by human development at the southern tip of the Florida Peninsula, is home to a wide array of species, including 68 threatened or endangered animal species. Species richness within Everglades National Park, at the southern extreme of the Greater Everglades ecosystem, is 1033 plant taxa, 60 reptile taxa, 76 mammal taxa, 432 fish taxa, 349 bird taxa and 38 amphibian taxa. This paper briefly introduces the flora and fauna of the Greater Everglades, focusing on species of special conservation concern and those non-native species that are altering native ecology. While there is conservation utility in cataloging biodiversity, we argue that counts of species alone are inadequate descriptors of ecosystem condition because they fail to effectively indicate emergent ecosystem properties (resilience, productivity). We develop an approach to calculating biodiversity based on systems theory that can be applied across trophic levels to provide a condition benchmark that accounts for food web interactions. The Everglades, for which detailed flow data between ecosystem components have been compiled as part of ongoing modeling efforts (DeAngelis et al., 1998), is among the few ecosystems globally for which this technique is currently feasible. Flow data are coupled with exogenous forcing energies (in emergy units - Odum, 1996) to compute transformity values (Odum, 1988) for biotic and abiotic components of an Everglades graminoid marsh community. We calculate across-trophic level biodiversity using the Shannon information equation applied to ecosystem emergy flows. Results suggest that the graminoid marsh is operating at 42% of theoretical maximum ecosystem flow diversity. By comparing observed flows with theoretical maximum flows, we provide a measure of component conservation value; we observe strong overlap between species with lower than expected emergy-based importance and those known to be currently threatened or endangered. A significant positive association between this conservation value and transformity in the marsh suggests systematic uppertrophic level biodiversity degradation.", "author" : [ { "dropping-particle" : "", "family" : "Brown", "given" : "Mark T.", "non-dropping-particle" : "", "parse-names" : false, "suffix" : "" }, { "dropping-particle" : "", "family" : "Cohen", "given" : "Matthew J.", "non-dropping-particle" : "", "parse-names" : false, "suffix" : "" }, { "dropping-particle" : "", "family" : "Bardi", "given" : "Eliana", "non-dropping-particle" : "", "parse-names" : false, "suffix" : "" }, { "dropping-particle" : "", "family" : "Ingwersen", "given" : "Wesley W.", "non-dropping-particle" : "", "parse-names" : false, "suffix" : "" } ], "container-title" : "Aquatic Sciences", "id" : "ITEM-1", "issued" : { "date-parts" : [ [ "2006" ] ] }, "page" : "254-277", "title" : "Species diversity in the Florida Everglades, USA: A systems approach to calculating biodiversity", "type" : "article-journal", "volume" : "68" }, "uris" : [ "http://www.mendeley.com/documents/?uuid=bbc73721-a36d-439c-be7f-3c4fae2e9b0f" ] } ], "mendeley" : { "formattedCitation" : "(M. T. Brown, Cohen, Bardi, &amp; Ingwersen, 2006)", "manualFormatting" : "(Brown et al., 2006)", "plainTextFormattedCitation" : "(M. T. Brown, Cohen, Bardi, &amp; Ingwersen, 2006)", "previouslyFormattedCitation" : "(M. T. Brown, Cohen, Bardi, &amp; Ingwersen, 2006)" }, "properties" : { "noteIndex" : 0 }, "schema" : "https://github.com/citation-style-language/schema/raw/master/csl-citation.json" }</w:instrText>
      </w:r>
      <w:r w:rsidRPr="008608AA">
        <w:rPr>
          <w:lang w:val="en-US"/>
        </w:rPr>
        <w:fldChar w:fldCharType="separate"/>
      </w:r>
      <w:r w:rsidRPr="008608AA">
        <w:rPr>
          <w:noProof/>
          <w:lang w:val="en-US"/>
        </w:rPr>
        <w:t>(Brown et al., 2006)</w:t>
      </w:r>
      <w:r w:rsidRPr="008608AA">
        <w:rPr>
          <w:lang w:val="en-US"/>
        </w:rPr>
        <w:fldChar w:fldCharType="end"/>
      </w:r>
      <w:r w:rsidRPr="008608AA">
        <w:rPr>
          <w:lang w:val="en-US"/>
        </w:rPr>
        <w:t xml:space="preserve">. </w:t>
      </w:r>
    </w:p>
    <w:p w14:paraId="14345C48" w14:textId="77777777" w:rsidR="00843724" w:rsidRPr="008608AA" w:rsidRDefault="00843724" w:rsidP="00843724">
      <w:pPr>
        <w:pStyle w:val="NormalWeb"/>
        <w:rPr>
          <w:lang w:val="en-US"/>
        </w:rPr>
      </w:pPr>
    </w:p>
    <w:p w14:paraId="20A5771A" w14:textId="500F1B98" w:rsidR="004255E7" w:rsidRPr="008608AA" w:rsidRDefault="004255E7" w:rsidP="00843724">
      <w:pPr>
        <w:pStyle w:val="NormalWeb"/>
        <w:rPr>
          <w:lang w:val="en-US"/>
        </w:rPr>
      </w:pPr>
      <w:r w:rsidRPr="008608AA">
        <w:rPr>
          <w:lang w:val="en-US"/>
        </w:rPr>
        <w:t>Many wetlands in urban areas that have been modified by filling or dredging experience high pulses of stormwater from watersheds with diminished infiltration, and receive t</w:t>
      </w:r>
      <w:r w:rsidR="006B7FFC" w:rsidRPr="008608AA">
        <w:rPr>
          <w:lang w:val="en-US"/>
        </w:rPr>
        <w:t>oxins from transportation (e.g.</w:t>
      </w:r>
      <w:r w:rsidRPr="008608AA">
        <w:rPr>
          <w:lang w:val="en-US"/>
        </w:rPr>
        <w:t xml:space="preserve"> chloride from road de-icing salts) and industrial </w:t>
      </w:r>
      <w:r w:rsidRPr="00843724">
        <w:rPr>
          <w:lang w:val="en-US"/>
        </w:rPr>
        <w:t>run</w:t>
      </w:r>
      <w:r w:rsidRPr="008608AA">
        <w:rPr>
          <w:lang w:val="en-US"/>
        </w:rPr>
        <w:t xml:space="preserve">-off </w:t>
      </w:r>
      <w:r w:rsidRPr="008608AA">
        <w:rPr>
          <w:lang w:val="en-US"/>
        </w:rPr>
        <w:fldChar w:fldCharType="begin" w:fldLock="1"/>
      </w:r>
      <w:r w:rsidRPr="008608AA">
        <w:rPr>
          <w:lang w:val="en-US"/>
        </w:rPr>
        <w:instrText>ADDIN CSL_CITATION { "citationItems" : [ { "id" : "ITEM-1", "itemData" : { "DOI" : "10.1017/S0376892902000085", "ISBN" : "03768929 (ISSN)", "ISSN" : "0376-8929", "PMID" : "291", "abstract" : "This review examines the status of temperate-zone freshwater wetlands and makes projections of how changes over the 2025 time horizon might affect their biodiversity. The six geographic regions addressed are temperate areas of North America, South America, northern Europe, northern Mediterranean, temperate Russia, Mongolia, north-east China, Korea and Japan, and southern Australia and New Zealand. Information from the recent technical literature, general accounts in books, and some first-hand experience provided the basis for describing major wetland types, their status and major threats. Loss of biodiversity is a consequence both of a reduction in area and deterioration in condition. The information base for either change is highly variable geographically. Many countries lack accurate inventories, and for those with inventories, classifications differ, thus making comparisons difficult. Factors responsible for losses and degradation include diversions and damming of river flows, disconnecting floodplain wetlands from flood flows, eutrophication, contamination, grazing, harvests of plants and animals, global warming, invasions of exotics, and the practices of filling, dyking and draining. In humid regions, drainage of depressions and flats has eliminated large areas of wetlands. In arid regions, irrigated agriculture directly competes with wetlands for water. Eutrophication is widespread, which, together with effects of invasive species, reduces biotic complexity. In northern Europe and the northern Mediterranean, losses have been ongoing for hundreds of years, while losses in North America accelerated during the 1950s through to the 1970s. In contrast, areas such as China appear to be on the cusp of expanding drainage projects and building impoundments that will eliminate and degrade freshwater wetlands. Generalizations and trends gleaned from this paper should be considered only as a starting point for developing world-scale data sets. One trend is that the more industrialized countries are likely to conserve their already impacted, remaining wetlands, while nations with less industrialization are now experiencing accelerated losses, and may continue to do so for the next several decades. Another observation is that countries with both protection and restoration programmes do not necessarily enjoy a net increase in area and improvement in condition. Consequently, both reductions in the rates of wetland loss and increases in the rates of restoration ar\u2026", "author" : [ { "dropping-particle" : "", "family" : "Brinson", "given" : "Mark M.", "non-dropping-particle" : "", "parse-names" : false, "suffix" : "" }, { "dropping-particle" : "", "family" : "Malvarez", "given" : "Ana In\u00e9s", "non-dropping-particle" : "", "parse-names" : false, "suffix" : "" } ], "container-title" : "Environmental Conservation", "id" : "ITEM-1", "issue" : "02", "issued" : { "date-parts" : [ [ "2002" ] ] }, "page" : "115-133", "title" : "Temperate freshwater wetlands: types, status, and threats", "type" : "article-journal", "volume" : "29" }, "uris" : [ "http://www.mendeley.com/documents/?uuid=cf7d9c4f-934b-48bb-b255-0ef1f41038da" ] }, { "id" : "ITEM-2", "itemData" : { "DOI" : "10.1016/j.envpol.2005.07.013", "ISBN" : "0269-7491", "ISSN" : "02697491", "PMID" : "16159689", "abstract" : "Vast networks of roads cover the earth and have numerous environmental effects including pollution. A major component of road runoff in northern countries is salt (mostly NaCl) used as a winter de-icing agent, but few studies of effects of road salts on aquatic organisms exist. Amphibians require aquatic habitats and chemical pollution is implicated as a major factor in global population declines. We exposed wood frog tadpoles to NaCl. Tests revealed 96-h LC50 values of 2636 and 5109 mg/l and tadpoles experienced reduced activity, weight, and displayed physical abnormalities. A 90 d chronic experiment revealed significantly lower survivorship, decreased time to metamorphosis, reduced weight and activity, and increased physical abnormalities with increasing salt concentration (0.00, 0.39, 77.50, 1030.00 mg/l). Road salts had toxic effects on larvae at environmentally realistic concentrations with potentially far-ranging ecological impacts. More studies on the effects of road salts are warranted. ?? 2005 Elsevier Ltd. All rights reserved.", "author" : [ { "dropping-particle" : "", "family" : "Sanzo", "given" : "Domenico", "non-dropping-particle" : "", "parse-names" : false, "suffix" : "" }, { "dropping-particle" : "", "family" : "Hecnar", "given" : "Stephen J.", "non-dropping-particle" : "", "parse-names" : false, "suffix" : "" } ], "container-title" : "Environmental Pollution", "id" : "ITEM-2", "issue" : "2", "issued" : { "date-parts" : [ [ "2006" ] ] }, "page" : "247-256", "title" : "Effects of road de-icing salt (NaCl) on larval wood frogs (&lt;i&gt;Rana sylvatica&lt;/i&gt;)", "type" : "article-journal", "volume" : "140" }, "uris" : [ "http://www.mendeley.com/documents/?uuid=807c2754-6f34-358a-96cd-e4b9a0f445bb" ] } ], "mendeley" : { "formattedCitation" : "(Brinson &amp; Malvarez, 2002; Sanzo &amp; Hecnar, 2006)", "manualFormatting" : "(Brinson &amp; Malv\u00e1rez, 2002; Sanzo &amp; Hecnar, 2006;", "plainTextFormattedCitation" : "(Brinson &amp; Malvarez, 2002; Sanzo &amp; Hecnar, 2006)", "previouslyFormattedCitation" : "(Brinson &amp; Malvarez, 2002; Sanzo &amp; Hecnar, 2006)" }, "properties" : { "noteIndex" : 0 }, "schema" : "https://github.com/citation-style-language/schema/raw/master/csl-citation.json" }</w:instrText>
      </w:r>
      <w:r w:rsidRPr="008608AA">
        <w:rPr>
          <w:lang w:val="en-US"/>
        </w:rPr>
        <w:fldChar w:fldCharType="separate"/>
      </w:r>
      <w:r w:rsidRPr="008608AA">
        <w:rPr>
          <w:noProof/>
          <w:lang w:val="en-US"/>
        </w:rPr>
        <w:t>(Brinson &amp; Malvárez, 2002; Sanzo &amp; Hecnar, 2006;</w:t>
      </w:r>
      <w:r w:rsidRPr="008608AA">
        <w:rPr>
          <w:lang w:val="en-US"/>
        </w:rPr>
        <w:fldChar w:fldCharType="end"/>
      </w:r>
      <w:r w:rsidRPr="008608AA">
        <w:rPr>
          <w:lang w:val="en-US"/>
        </w:rPr>
        <w:t xml:space="preserve"> </w:t>
      </w:r>
      <w:r w:rsidRPr="008608AA">
        <w:rPr>
          <w:lang w:val="en-US"/>
        </w:rPr>
        <w:fldChar w:fldCharType="begin" w:fldLock="1"/>
      </w:r>
      <w:r w:rsidRPr="008608AA">
        <w:rPr>
          <w:lang w:val="en-US"/>
        </w:rPr>
        <w:instrText>ADDIN CSL_CITATION { "citationItems" : [ { "id" : "ITEM-1", "itemData" : { "author" : [ { "dropping-particle" : "", "family" : "Federal Provincial and Territorial Governments of Canada", "given" : "", "non-dropping-particle" : "", "parse-names" : false, "suffix" : "" } ], "id" : "ITEM-1", "issued" : { "date-parts" : [ [ "2010" ] ] }, "publisher" : "Canadian Councils of Resource Ministers", "publisher-place" : "Ottawa, Canada", "title" : "Canadian Biodiversity: Ecosystem Status and Trends 2010", "type" : "book" }, "uris" : [ "http://www.mendeley.com/documents/?uuid=8c93c3c3-cf8e-4a25-9454-4f8aa05085b1" ] } ], "mendeley" : { "formattedCitation" : "(Federal Provincial and Territorial Governments of Canada, 2010)", "manualFormatting" : "Federal Provincial Territorial Governments of Canada, 2010)", "plainTextFormattedCitation" : "(Federal Provincial and Territorial Governments of Canada, 2010)", "previouslyFormattedCitation" : "(Federal Provincial and Territorial Governments of Canada, 2010)" }, "properties" : { "noteIndex" : 0 }, "schema" : "https://github.com/citation-style-language/schema/raw/master/csl-citation.json" }</w:instrText>
      </w:r>
      <w:r w:rsidRPr="008608AA">
        <w:rPr>
          <w:lang w:val="en-US"/>
        </w:rPr>
        <w:fldChar w:fldCharType="separate"/>
      </w:r>
      <w:r w:rsidRPr="008608AA">
        <w:rPr>
          <w:noProof/>
          <w:lang w:val="en-US"/>
        </w:rPr>
        <w:t>Federal Provincial Territorial Governments of Canada, 2010)</w:t>
      </w:r>
      <w:r w:rsidRPr="008608AA">
        <w:rPr>
          <w:lang w:val="en-US"/>
        </w:rPr>
        <w:fldChar w:fldCharType="end"/>
      </w:r>
      <w:r w:rsidRPr="008608AA">
        <w:rPr>
          <w:lang w:val="en-US"/>
        </w:rPr>
        <w:t xml:space="preserve">. Simultaneously the combination of alterations from urban development and agriculture has caused radical changes to the water quality and water flow in places like the Everglades. </w:t>
      </w:r>
    </w:p>
    <w:p w14:paraId="06D6E981" w14:textId="77777777" w:rsidR="004255E7" w:rsidRPr="008608AA" w:rsidRDefault="004255E7" w:rsidP="00581F86">
      <w:pPr>
        <w:pStyle w:val="Heading5"/>
        <w:numPr>
          <w:ilvl w:val="0"/>
          <w:numId w:val="0"/>
        </w:numPr>
        <w:ind w:left="1008" w:hanging="1008"/>
        <w:rPr>
          <w:sz w:val="24"/>
          <w:szCs w:val="24"/>
        </w:rPr>
      </w:pPr>
      <w:r w:rsidRPr="008608AA">
        <w:rPr>
          <w:sz w:val="24"/>
          <w:szCs w:val="24"/>
        </w:rPr>
        <w:t xml:space="preserve">Mesoamerican subregion </w:t>
      </w:r>
    </w:p>
    <w:p w14:paraId="7DC8B128" w14:textId="1E559116" w:rsidR="004255E7" w:rsidRPr="008608AA" w:rsidRDefault="004255E7" w:rsidP="00581F86">
      <w:pPr>
        <w:spacing w:after="100" w:afterAutospacing="1"/>
      </w:pPr>
      <w:r w:rsidRPr="008608AA">
        <w:rPr>
          <w:iCs/>
        </w:rPr>
        <w:t>S</w:t>
      </w:r>
      <w:r w:rsidR="00520F22" w:rsidRPr="008608AA">
        <w:rPr>
          <w:iCs/>
        </w:rPr>
        <w:t xml:space="preserve">tatus. </w:t>
      </w:r>
      <w:r w:rsidRPr="008608AA">
        <w:t xml:space="preserve">The Mesoamerican subregion possesses an outstandingly diverse contingent of large tropical wetland areas with abundant bird, fish and large mammals (Table 3.4), among them the Centla Swamplands Biosphere Reserve south of the Gulf of Mexico, the Los Guatusos wetland area on the southern coast of Lake Nicaragua, and Palo Verde National Park and the Northeast Caribbean Wetland (Tortuguero) in Costa Rica </w:t>
      </w:r>
      <w:r w:rsidRPr="008608AA">
        <w:fldChar w:fldCharType="begin" w:fldLock="1"/>
      </w:r>
      <w:r w:rsidRPr="008608AA">
        <w:instrText>ADDIN CSL_CITATION { "citationItems" : [ { "id" : "ITEM-1", "itemData" : { "editor" : [ { "dropping-particle" : "", "family" : "Hern\u00e1ndez", "given" : "G.", "non-dropping-particle" : "", "parse-names" : false, "suffix" : "" } ], "id" : "ITEM-1", "issued" : { "date-parts" : [ [ "1999" ] ] }, "number-of-pages" : "47", "publisher" : "Uni\u00f3n Mundial para la Naturaleza (UICN)/ ORMA", "publisher-place" : "San Jos\u00e9, Costa Rica", "title" : "Mesoamerican Wetlands. Ramsar sites in Central America and Mexico", "type" : "book" }, "uris" : [ "http://www.mendeley.com/documents/?uuid=ee784054-b029-418c-92ed-121f02521587" ] } ], "mendeley" : { "formattedCitation" : "(G. Hern\u00e1ndez, 1999)", "manualFormatting" : "(Hern\u00e1ndez, 1999)", "plainTextFormattedCitation" : "(G. Hern\u00e1ndez, 1999)", "previouslyFormattedCitation" : "(G. Hern\u00e1ndez, 1999)" }, "properties" : { "noteIndex" : 0 }, "schema" : "https://github.com/citation-style-language/schema/raw/master/csl-citation.json" }</w:instrText>
      </w:r>
      <w:r w:rsidRPr="008608AA">
        <w:fldChar w:fldCharType="separate"/>
      </w:r>
      <w:r w:rsidRPr="008608AA">
        <w:rPr>
          <w:noProof/>
        </w:rPr>
        <w:t>(Hernández, 1999)</w:t>
      </w:r>
      <w:r w:rsidRPr="008608AA">
        <w:fldChar w:fldCharType="end"/>
      </w:r>
      <w:r w:rsidRPr="008608AA">
        <w:t>, all together summing to 141,470 km</w:t>
      </w:r>
      <w:r w:rsidRPr="008608AA">
        <w:rPr>
          <w:vertAlign w:val="superscript"/>
        </w:rPr>
        <w:t>2</w:t>
      </w:r>
      <w:r w:rsidRPr="008608AA">
        <w:t>. The Centla Swamplands, located at sea level, constitute one of the world´s largest swamp areas. They are the home of gallery vegetation, mangroves, aquatic plants, manatees, jaguars, crocodiles, turtles and many fishes and birds. The Guatusos Wildlife Refuge, with many fish species, is inhabited by indigenous and mestizo peoples. Like wetlands in general, it is a very important area for migratory birds, in the dry season in Nicaragua. Palo Verde National Park includes deltas, estuaries, flood plains, swamp forests and seasonally flooded grasslands. Counts of more than 50,000 waterfowl have been made in the wetlands of Palo Verde National Park, including the endangered Jabiru stork (</w:t>
      </w:r>
      <w:r w:rsidRPr="008608AA">
        <w:rPr>
          <w:i/>
          <w:iCs/>
        </w:rPr>
        <w:t>Jabiru mycteria</w:t>
      </w:r>
      <w:r w:rsidRPr="008608AA">
        <w:t xml:space="preserve">) </w:t>
      </w:r>
      <w:r w:rsidRPr="008608AA">
        <w:rPr>
          <w:i/>
        </w:rPr>
        <w:fldChar w:fldCharType="begin" w:fldLock="1"/>
      </w:r>
      <w:r w:rsidRPr="008608AA">
        <w:rPr>
          <w:i/>
        </w:rPr>
        <w:instrText>ADDIN CSL_CITATION { "citationItems" : [ { "id" : "ITEM-1", "itemData" : { "DOI" : "10.1890/06-1658.1", "ISBN" : "1051-0761", "abstract" : "Wetlands are more threatened than any other ecosystem type, with losses exceeding 50% of their original extent worldwide. Despite the small portion of the Earth's surface that they comprise, wetlands contribute significantly to global ecosystem services. In this study, we tested the hypothesis that the location and rate of change in wetland amount in the Tempisque Basin of northwest Costa Rica is predictable from landscape setting. Our results demonstrate that a strong potential exists for developing predictive models of wetland conversion based on an understanding of wetland location and surrounding trends of land use. We found that topography was the single most important predictor of wetland conversion in this area, entraining other conversion processes, and that spatial patterns of wetland loss could consistently be predicted from landscape-level variables. Areas with highest probabilities of conversion were found in the most accessible, non-protected regions of the landscape. While Palo Verde National Park made a substantial contribution to wetland conservation, our results highlight the dependence of lower-lying protected areas on upland processes, adding a little-addressed dimension of complexity to the dialogue about protected area management. Conservation strategies aimed at reducing wetland loss in tropical habitats will benefit from careful analysis of the dominant land use system(s) at a relatively broad scale, and the subsequent development of management and policy res ponses that take into account dynamic opportunities and constraints in the landscape.", "author" : [ { "dropping-particle" : "", "family" : "Daniels", "given" : "A E", "non-dropping-particle" : "", "parse-names" : false, "suffix" : "" }, { "dropping-particle" : "", "family" : "Cumming", "given" : "G S", "non-dropping-particle" : "", "parse-names" : false, "suffix" : "" } ], "container-title" : "Ecological Applications", "id" : "ITEM-1", "issue" : "1", "issued" : { "date-parts" : [ [ "2008" ] ] }, "note" : "Daniels, Amy E. Cumming, Graeme S.", "page" : "49-63", "title" : "Conversion or conservation? Understanding wetland change in northwest Costa Rica", "type" : "article-journal", "volume" : "18" }, "uris" : [ "http://www.mendeley.com/documents/?uuid=3f310cac-4480-4664-a993-06c8f2038b0e" ] } ], "mendeley" : { "formattedCitation" : "(A. E. Daniels &amp; Cumming, 2008)", "manualFormatting" : "(Daniels &amp; Cumming, 2008)", "plainTextFormattedCitation" : "(A. E. Daniels &amp; Cumming, 2008)", "previouslyFormattedCitation" : "(A. E. Daniels &amp; Cumming, 2008)" }, "properties" : { "noteIndex" : 0 }, "schema" : "https://github.com/citation-style-language/schema/raw/master/csl-citation.json" }</w:instrText>
      </w:r>
      <w:r w:rsidRPr="008608AA">
        <w:rPr>
          <w:i/>
        </w:rPr>
        <w:fldChar w:fldCharType="separate"/>
      </w:r>
      <w:r w:rsidRPr="008608AA">
        <w:rPr>
          <w:noProof/>
        </w:rPr>
        <w:t>(Daniels &amp; Cumming, 2008)</w:t>
      </w:r>
      <w:r w:rsidRPr="008608AA">
        <w:rPr>
          <w:i/>
        </w:rPr>
        <w:fldChar w:fldCharType="end"/>
      </w:r>
      <w:r w:rsidRPr="008608AA">
        <w:t xml:space="preserve">. Tortuguero is dominated by herbaceous swamps and wooded palm-dominated floodplains that run parallel to the coast. It is an important site for nesting green turtles and several threatened species. In general palm-dominated wetlands in Costa Rica and Nicaragua constitute 16-22% of all wetlands </w:t>
      </w:r>
      <w:r w:rsidRPr="008608AA">
        <w:fldChar w:fldCharType="begin" w:fldLock="1"/>
      </w:r>
      <w:r w:rsidRPr="008608AA">
        <w:instrText>ADDIN CSL_CITATION { "citationItems" : [ { "id" : "ITEM-1", "itemData" : { "author" : [ { "dropping-particle" : "", "family" : "Serrano-Sandi", "given" : "J.", "non-dropping-particle" : "", "parse-names" : false, "suffix" : "" }, { "dropping-particle" : "", "family" : "F. Bonilla-Murillo", "given" : "", "non-dropping-particle" : "", "parse-names" : false, "suffix" : "" }, { "dropping-particle" : "", "family" : "Sasa", "given" : "M.", "non-dropping-particle" : "", "parse-names" : false, "suffix" : "" } ], "container-title" : "Revista de Biologia Tropical", "id" : "ITEM-1", "issue" : "Suppl. 1", "issued" : { "date-parts" : [ [ "2013" ] ] }, "page" : "25-33", "title" : "Distribution, surface and protected area of palm-swamps in Costa Rica and Nicaragua", "type" : "article-journal", "volume" : "61" }, "uris" : [ "http://www.mendeley.com/documents/?uuid=cc05150c-a06c-4c6a-9773-a7d00d43339f" ] } ], "mendeley" : { "formattedCitation" : "(Serrano-Sandi, F. Bonilla-Murillo, &amp; Sasa, 2013)", "manualFormatting" : "(Serrano-Sandi et al., 2013)", "plainTextFormattedCitation" : "(Serrano-Sandi, F. Bonilla-Murillo, &amp; Sasa, 2013)", "previouslyFormattedCitation" : "(Serrano-Sandi, F. Bonilla-Murillo, &amp; Sasa, 2013)" }, "properties" : { "noteIndex" : 0 }, "schema" : "https://github.com/citation-style-language/schema/raw/master/csl-citation.json" }</w:instrText>
      </w:r>
      <w:r w:rsidRPr="008608AA">
        <w:fldChar w:fldCharType="separate"/>
      </w:r>
      <w:r w:rsidRPr="008608AA">
        <w:rPr>
          <w:noProof/>
        </w:rPr>
        <w:t>(Serrano-Sandi et al., 2013)</w:t>
      </w:r>
      <w:r w:rsidRPr="008608AA">
        <w:fldChar w:fldCharType="end"/>
      </w:r>
      <w:r w:rsidRPr="008608AA">
        <w:t xml:space="preserve">; this type of wetland tends to be relatively poor in birds </w:t>
      </w:r>
      <w:r w:rsidRPr="008608AA">
        <w:fldChar w:fldCharType="begin" w:fldLock="1"/>
      </w:r>
      <w:r w:rsidRPr="008608AA">
        <w:instrText>ADDIN CSL_CITATION { "citationItems" : [ { "id" : "ITEM-1", "itemData" : { "author" : [ { "dropping-particle" : "", "family" : "Beneyto", "given" : "D.", "non-dropping-particle" : "", "parse-names" : false, "suffix" : "" }, { "dropping-particle" : "", "family" : "Monros", "given" : "J.S.", "non-dropping-particle" : "", "parse-names" : false, "suffix" : "" }, { "dropping-particle" : "", "family" : "Piculo", "given" : "R.", "non-dropping-particle" : "", "parse-names" : false, "suffix" : "" } ], "container-title" : "Revista de Biologia Tropical", "id" : "ITEM-1", "issue" : "supl. 1", "issued" : { "date-parts" : [ [ "2013" ] ] }, "page" : "131-142", "title" : "The Raffia-swamps as sources or sinks of avifauna: a first approach to the problem", "type" : "article-journal", "volume" : "61" }, "uris" : [ "http://www.mendeley.com/documents/?uuid=e0017838-dd41-4157-b04e-f77f7d6ccc84" ] } ], "mendeley" : { "formattedCitation" : "(Beneyto, Monros, &amp; Piculo, 2013)", "manualFormatting" : "(Beneyto et al., 2013)", "plainTextFormattedCitation" : "(Beneyto, Monros, &amp; Piculo, 2013)", "previouslyFormattedCitation" : "(Beneyto, Monros, &amp; Piculo, 2013)" }, "properties" : { "noteIndex" : 0 }, "schema" : "https://github.com/citation-style-language/schema/raw/master/csl-citation.json" }</w:instrText>
      </w:r>
      <w:r w:rsidRPr="008608AA">
        <w:fldChar w:fldCharType="separate"/>
      </w:r>
      <w:r w:rsidRPr="008608AA">
        <w:rPr>
          <w:noProof/>
        </w:rPr>
        <w:t>(Beneyto et al., 2013)</w:t>
      </w:r>
      <w:r w:rsidRPr="008608AA">
        <w:fldChar w:fldCharType="end"/>
      </w:r>
      <w:r w:rsidRPr="008608AA">
        <w:t xml:space="preserve"> as well as reptiles and amphibians </w:t>
      </w:r>
      <w:r w:rsidRPr="008608AA">
        <w:fldChar w:fldCharType="begin" w:fldLock="1"/>
      </w:r>
      <w:r w:rsidRPr="008608AA">
        <w:instrText>ADDIN CSL_CITATION { "citationItems" : [ { "id" : "ITEM-1", "itemData" : { "author" : [ { "dropping-particle" : "", "family" : "Bonilla-Murillo", "given" : "Fabi\u00e1n", "non-dropping-particle" : "", "parse-names" : false, "suffix" : "" }, { "dropping-particle" : "", "family" : "Beneyto", "given" : "Davinia", "non-dropping-particle" : "", "parse-names" : false, "suffix" : "" }, { "dropping-particle" : "", "family" : "Sasa", "given" : "Mahmood", "non-dropping-particle" : "", "parse-names" : false, "suffix" : "" } ], "container-title" : "Revista de Biologia Tropical", "id" : "ITEM-1", "issue" : "Suppl. 1", "issued" : { "date-parts" : [ [ "2013" ] ] }, "page" : "143-161", "title" : "Amphibians and reptiles in the swamps dominated by the palm &lt;i&gt;Raphia taedigera&lt;/i&gt; (Arecaceae) in northeastern Costa Rica", "type" : "article-journal", "volume" : "61" }, "uris" : [ "http://www.mendeley.com/documents/?uuid=65cb70b5-8cb3-445a-84e7-c1f6152e5531" ] } ], "mendeley" : { "formattedCitation" : "(Bonilla-Murillo, Beneyto, &amp; Sasa, 2013)", "manualFormatting" : "(Bonilla-Murillo et al., 2013)", "plainTextFormattedCitation" : "(Bonilla-Murillo, Beneyto, &amp; Sasa, 2013)", "previouslyFormattedCitation" : "(Bonilla-Murillo, Beneyto, &amp; Sasa, 2013)" }, "properties" : { "noteIndex" : 0 }, "schema" : "https://github.com/citation-style-language/schema/raw/master/csl-citation.json" }</w:instrText>
      </w:r>
      <w:r w:rsidRPr="008608AA">
        <w:fldChar w:fldCharType="separate"/>
      </w:r>
      <w:r w:rsidRPr="008608AA">
        <w:rPr>
          <w:noProof/>
        </w:rPr>
        <w:t>(Bonilla-Murillo et al., 2013)</w:t>
      </w:r>
      <w:r w:rsidRPr="008608AA">
        <w:fldChar w:fldCharType="end"/>
      </w:r>
      <w:r w:rsidRPr="008608AA">
        <w:t xml:space="preserve">. An estimated 35% of Mexican wetlands have been transformed or suffered some level of deterioration </w:t>
      </w:r>
      <w:r w:rsidRPr="008608AA">
        <w:fldChar w:fldCharType="begin" w:fldLock="1"/>
      </w:r>
      <w:r w:rsidRPr="008608AA">
        <w:instrText>ADDIN CSL_CITATION { "citationItems" : [ { "id" : "ITEM-1", "itemData" : { "editor" : [ { "dropping-particle" : "", "family" : "Hern\u00e1ndez", "given" : "G.", "non-dropping-particle" : "", "parse-names" : false, "suffix" : "" } ], "id" : "ITEM-1", "issued" : { "date-parts" : [ [ "1999" ] ] }, "number-of-pages" : "47", "publisher" : "Uni\u00f3n Mundial para la Naturaleza (UICN)/ ORMA", "publisher-place" : "San Jos\u00e9, Costa Rica", "title" : "Mesoamerican Wetlands. Ramsar sites in Central America and Mexico", "type" : "book" }, "uris" : [ "http://www.mendeley.com/documents/?uuid=ee784054-b029-418c-92ed-121f02521587" ] } ], "mendeley" : { "formattedCitation" : "(G. Hern\u00e1ndez, 1999)", "manualFormatting" : "(Hern\u00e1ndez, 1999)", "plainTextFormattedCitation" : "(G. Hern\u00e1ndez, 1999)", "previouslyFormattedCitation" : "(G. Hern\u00e1ndez, 1999)" }, "properties" : { "noteIndex" : 0 }, "schema" : "https://github.com/citation-style-language/schema/raw/master/csl-citation.json" }</w:instrText>
      </w:r>
      <w:r w:rsidRPr="008608AA">
        <w:fldChar w:fldCharType="separate"/>
      </w:r>
      <w:r w:rsidRPr="008608AA">
        <w:rPr>
          <w:noProof/>
        </w:rPr>
        <w:t>(Hernández, 1999)</w:t>
      </w:r>
      <w:r w:rsidRPr="008608AA">
        <w:fldChar w:fldCharType="end"/>
      </w:r>
      <w:r w:rsidRPr="008608AA">
        <w:t>.</w:t>
      </w:r>
    </w:p>
    <w:p w14:paraId="17414DAF" w14:textId="6407E5E7" w:rsidR="004255E7" w:rsidRPr="008608AA" w:rsidRDefault="00520F22" w:rsidP="00581F86">
      <w:r w:rsidRPr="008608AA">
        <w:rPr>
          <w:iCs/>
        </w:rPr>
        <w:t xml:space="preserve">Recent trends. </w:t>
      </w:r>
      <w:r w:rsidR="004255E7" w:rsidRPr="008608AA">
        <w:t>Contamination from heavy metals h</w:t>
      </w:r>
      <w:r w:rsidR="008867C3" w:rsidRPr="008608AA">
        <w:t>as been reported in the Centla s</w:t>
      </w:r>
      <w:r w:rsidR="004255E7" w:rsidRPr="008608AA">
        <w:t xml:space="preserve">wamplands </w:t>
      </w:r>
      <w:r w:rsidR="004255E7" w:rsidRPr="008608AA">
        <w:rPr>
          <w:shd w:val="clear" w:color="auto" w:fill="F8F8F8"/>
        </w:rPr>
        <w:fldChar w:fldCharType="begin" w:fldLock="1"/>
      </w:r>
      <w:r w:rsidR="004255E7" w:rsidRPr="008608AA">
        <w:rPr>
          <w:shd w:val="clear" w:color="auto" w:fill="F8F8F8"/>
        </w:rPr>
        <w:instrText>ADDIN CSL_CITATION { "citationItems" : [ { "id" : "ITEM-1", "itemData" : { "author" : [ { "dropping-particle" : "", "family" : "Perez-Cruz", "given" : "Y. G.", "non-dropping-particle" : "", "parse-names" : false, "suffix" : "" }, { "dropping-particle" : "", "family" : "Rangel-Ruiz", "given" : "L. J.", "non-dropping-particle" : "", "parse-names" : false, "suffix" : "" }, { "dropping-particle" : "", "family" : "Gamboa-Aguilar", "given" : "J.", "non-dropping-particle" : "", "parse-names" : false, "suffix" : "" } ], "container-title" : "Hidrobiologica", "id" : "ITEM-1", "issue" : "1", "issued" : { "date-parts" : [ [ "2013" ] ] }, "page" : "1-8", "title" : "Metals in clams and sediments in the marshes of Centla Biosphere Reserve, Tabasco, Mexico", "type" : "article-journal", "volume" : "23" }, "uris" : [ "http://www.mendeley.com/documents/?uuid=f22501fb-e3ee-436d-b5be-362d54d7a7d4" ] } ], "mendeley" : { "formattedCitation" : "(Perez-Cruz, Rangel-Ruiz, &amp; Gamboa-Aguilar, 2013)", "manualFormatting" : "(Perez-Cruz et al., 2013)", "plainTextFormattedCitation" : "(Perez-Cruz, Rangel-Ruiz, &amp; Gamboa-Aguilar, 2013)", "previouslyFormattedCitation" : "(Perez-Cruz, Rangel-Ruiz, &amp; Gamboa-Aguilar, 2013)" }, "properties" : { "noteIndex" : 0 }, "schema" : "https://github.com/citation-style-language/schema/raw/master/csl-citation.json" }</w:instrText>
      </w:r>
      <w:r w:rsidR="004255E7" w:rsidRPr="008608AA">
        <w:rPr>
          <w:shd w:val="clear" w:color="auto" w:fill="F8F8F8"/>
        </w:rPr>
        <w:fldChar w:fldCharType="separate"/>
      </w:r>
      <w:r w:rsidR="004255E7" w:rsidRPr="008608AA">
        <w:rPr>
          <w:noProof/>
          <w:shd w:val="clear" w:color="auto" w:fill="F8F8F8"/>
        </w:rPr>
        <w:t>(</w:t>
      </w:r>
      <w:r w:rsidR="00664284" w:rsidRPr="008608AA">
        <w:rPr>
          <w:noProof/>
          <w:shd w:val="clear" w:color="auto" w:fill="F8F8F8"/>
        </w:rPr>
        <w:t>Pérez</w:t>
      </w:r>
      <w:r w:rsidR="004255E7" w:rsidRPr="008608AA">
        <w:rPr>
          <w:noProof/>
          <w:shd w:val="clear" w:color="auto" w:fill="F8F8F8"/>
        </w:rPr>
        <w:t>-Cruz et al., 2013)</w:t>
      </w:r>
      <w:r w:rsidR="004255E7" w:rsidRPr="008608AA">
        <w:rPr>
          <w:shd w:val="clear" w:color="auto" w:fill="F8F8F8"/>
        </w:rPr>
        <w:fldChar w:fldCharType="end"/>
      </w:r>
      <w:r w:rsidR="004255E7" w:rsidRPr="008608AA">
        <w:t xml:space="preserve">, while pesticides related to agriculture have been reported in the Palo Verde </w:t>
      </w:r>
      <w:r w:rsidR="004255E7" w:rsidRPr="008608AA">
        <w:rPr>
          <w:color w:val="333333"/>
          <w:shd w:val="clear" w:color="auto" w:fill="F8F8F8"/>
        </w:rPr>
        <w:t xml:space="preserve">Wetlands </w:t>
      </w:r>
      <w:r w:rsidR="004255E7" w:rsidRPr="008608AA">
        <w:rPr>
          <w:shd w:val="clear" w:color="auto" w:fill="F8F8F8"/>
        </w:rPr>
        <w:fldChar w:fldCharType="begin" w:fldLock="1"/>
      </w:r>
      <w:r w:rsidR="004255E7" w:rsidRPr="008608AA">
        <w:rPr>
          <w:shd w:val="clear" w:color="auto" w:fill="F8F8F8"/>
        </w:rPr>
        <w:instrText>ADDIN CSL_CITATION { "citationItems" : [ { "id" : "ITEM-1", "itemData" : { "author" : [ { "dropping-particle" : "", "family" : "Mena-Torres", "given" : "F.", "non-dropping-particle" : "", "parse-names" : false, "suffix" : "" }, { "dropping-particle" : "", "family" : "Fern\u00e1ndez-San Juan", "given" : "M.", "non-dropping-particle" : "", "parse-names" : false, "suffix" : "" }, { "dropping-particle" : "", "family" : "Campos", "given" : "B.", "non-dropping-particle" : "", "parse-names" : false, "suffix" : "" }, { "dropping-particle" : "", "family" : "S\u00e1nchez-Avila", "given" : "J.", "non-dropping-particle" : "", "parse-names" : false, "suffix" : "" }, { "dropping-particle" : "", "family" : "Far\u00eda", "given" : "M.", "non-dropping-particle" : "", "parse-names" : false, "suffix" : "" }, { "dropping-particle" : "V.", "family" : "Pinnock-Branford", "given" : "M.", "non-dropping-particle" : "", "parse-names" : false, "suffix" : "" }, { "dropping-particle" : "", "family" : "la Cruz-Malavassi", "given" : "E. M.", "non-dropping-particle" : "de", "parse-names" : false, "suffix" : "" }, { "dropping-particle" : "", "family" : "Lacorte", "given" : "S.", "non-dropping-particle" : "", "parse-names" : false, "suffix" : "" }, { "dropping-particle" : "", "family" : "Soares", "given" : "A. M.V.M.", "non-dropping-particle" : "", "parse-names" : false, "suffix" : "" }, { "dropping-particle" : "", "family" : "Barata.", "given" : "C.", "non-dropping-particle" : "", "parse-names" : false, "suffix" : "" } ], "container-title" : "Journal of Environmental Biology", "id" : "ITEM-1", "issue" : "1", "issued" : { "date-parts" : [ [ "2014" ] ] }, "page" : "19-27.", "title" : "Pesticide residue analyses and biomarker responses of native Costa Rican fish of the Poeciliidae and Cichlidae families to assess environmental impacts of pesticides in Palo Verde National Park", "type" : "article-journal", "volume" : "35" }, "uris" : [ "http://www.mendeley.com/documents/?uuid=656bef07-6c17-4933-a797-6ba77919d776" ] } ], "mendeley" : { "formattedCitation" : "(Mena-Torres et al., 2014)", "manualFormatting" : "(Mena-Torres et al., 2014)", "plainTextFormattedCitation" : "(Mena-Torres et al., 2014)", "previouslyFormattedCitation" : "(Mena-Torres et al., 2014)" }, "properties" : { "noteIndex" : 0 }, "schema" : "https://github.com/citation-style-language/schema/raw/master/csl-citation.json" }</w:instrText>
      </w:r>
      <w:r w:rsidR="004255E7" w:rsidRPr="008608AA">
        <w:rPr>
          <w:shd w:val="clear" w:color="auto" w:fill="F8F8F8"/>
        </w:rPr>
        <w:fldChar w:fldCharType="separate"/>
      </w:r>
      <w:r w:rsidR="004255E7" w:rsidRPr="008608AA">
        <w:rPr>
          <w:noProof/>
          <w:shd w:val="clear" w:color="auto" w:fill="F8F8F8"/>
        </w:rPr>
        <w:t>(Mena-Torres et al., 2014)</w:t>
      </w:r>
      <w:r w:rsidR="004255E7" w:rsidRPr="008608AA">
        <w:rPr>
          <w:shd w:val="clear" w:color="auto" w:fill="F8F8F8"/>
        </w:rPr>
        <w:fldChar w:fldCharType="end"/>
      </w:r>
      <w:r w:rsidR="004255E7" w:rsidRPr="008608AA">
        <w:rPr>
          <w:shd w:val="clear" w:color="auto" w:fill="F8F8F8"/>
        </w:rPr>
        <w:t xml:space="preserve">. </w:t>
      </w:r>
      <w:r w:rsidR="004255E7" w:rsidRPr="008608AA">
        <w:t xml:space="preserve">Tabasco, where the Centla wetlands are located, is an area where petroleum extraction is currently occurring and is a threat to the reserve. The effect of these contaminants on aquatic biodiversity, however, is still unclear as baseline studies are only beginning. At the same time, the probability of wetland conversion increases as areas of wetlands are found closer to already converted land </w:t>
      </w:r>
      <w:r w:rsidR="004255E7" w:rsidRPr="008608AA">
        <w:fldChar w:fldCharType="begin" w:fldLock="1"/>
      </w:r>
      <w:r w:rsidR="004255E7" w:rsidRPr="008608AA">
        <w:instrText>ADDIN CSL_CITATION { "citationItems" : [ { "id" : "ITEM-1", "itemData" : { "DOI" : "10.1890/06-1658.1", "ISBN" : "1051-0761", "abstract" : "Wetlands are more threatened than any other ecosystem type, with losses exceeding 50% of their original extent worldwide. Despite the small portion of the Earth's surface that they comprise, wetlands contribute significantly to global ecosystem services. In this study, we tested the hypothesis that the location and rate of change in wetland amount in the Tempisque Basin of northwest Costa Rica is predictable from landscape setting. Our results demonstrate that a strong potential exists for developing predictive models of wetland conversion based on an understanding of wetland location and surrounding trends of land use. We found that topography was the single most important predictor of wetland conversion in this area, entraining other conversion processes, and that spatial patterns of wetland loss could consistently be predicted from landscape-level variables. Areas with highest probabilities of conversion were found in the most accessible, non-protected regions of the landscape. While Palo Verde National Park made a substantial contribution to wetland conservation, our results highlight the dependence of lower-lying protected areas on upland processes, adding a little-addressed dimension of complexity to the dialogue about protected area management. Conservation strategies aimed at reducing wetland loss in tropical habitats will benefit from careful analysis of the dominant land use system(s) at a relatively broad scale, and the subsequent development of management and policy res ponses that take into account dynamic opportunities and constraints in the landscape.", "author" : [ { "dropping-particle" : "", "family" : "Daniels", "given" : "A E", "non-dropping-particle" : "", "parse-names" : false, "suffix" : "" }, { "dropping-particle" : "", "family" : "Cumming", "given" : "G S", "non-dropping-particle" : "", "parse-names" : false, "suffix" : "" } ], "container-title" : "Ecological Applications", "id" : "ITEM-1", "issue" : "1", "issued" : { "date-parts" : [ [ "2008" ] ] }, "note" : "Daniels, Amy E. Cumming, Graeme S.", "page" : "49-63", "title" : "Conversion or conservation? Understanding wetland change in northwest Costa Rica", "type" : "article-journal", "volume" : "18" }, "uris" : [ "http://www.mendeley.com/documents/?uuid=3f310cac-4480-4664-a993-06c8f2038b0e" ] } ], "mendeley" : { "formattedCitation" : "(A. E. Daniels &amp; Cumming, 2008)", "manualFormatting" : "(Daniels &amp; Cumming, 2008)", "plainTextFormattedCitation" : "(A. E. Daniels &amp; Cumming, 2008)", "previouslyFormattedCitation" : "(A. E. Daniels &amp; Cumming, 2008)" }, "properties" : { "noteIndex" : 0 }, "schema" : "https://github.com/citation-style-language/schema/raw/master/csl-citation.json" }</w:instrText>
      </w:r>
      <w:r w:rsidR="004255E7" w:rsidRPr="008608AA">
        <w:fldChar w:fldCharType="separate"/>
      </w:r>
      <w:r w:rsidR="004255E7" w:rsidRPr="008608AA">
        <w:rPr>
          <w:noProof/>
        </w:rPr>
        <w:t>(Daniels &amp; Cumming, 2008)</w:t>
      </w:r>
      <w:r w:rsidR="004255E7" w:rsidRPr="008608AA">
        <w:fldChar w:fldCharType="end"/>
      </w:r>
      <w:r w:rsidR="004255E7" w:rsidRPr="008608AA">
        <w:t xml:space="preserve">. Nevertheless, Landsat maps of </w:t>
      </w:r>
      <w:r w:rsidR="00664284" w:rsidRPr="008608AA">
        <w:t xml:space="preserve">Normalized Difference Vegetation Index </w:t>
      </w:r>
      <w:r w:rsidR="004255E7" w:rsidRPr="008608AA">
        <w:t xml:space="preserve">suggest that the Palo Verde wetland has witnessed an overall increase in vegetation greenness and cover since 1986, matching the abandonment of cattle ranching and the known degradation of the wetland by cattail invasion </w:t>
      </w:r>
      <w:r w:rsidR="004255E7" w:rsidRPr="008608AA">
        <w:rPr>
          <w:shd w:val="clear" w:color="auto" w:fill="F8F8F8"/>
        </w:rPr>
        <w:fldChar w:fldCharType="begin" w:fldLock="1"/>
      </w:r>
      <w:r w:rsidR="004255E7" w:rsidRPr="008608AA">
        <w:rPr>
          <w:shd w:val="clear" w:color="auto" w:fill="F8F8F8"/>
        </w:rPr>
        <w:instrText>ADDIN CSL_CITATION { "citationItems" : [ { "id" : "ITEM-1", "itemData" : { "author" : [ { "dropping-particle" : "", "family" : "Alonso", "given" : "A.", "non-dropping-particle" : "", "parse-names" : false, "suffix" : "" }, { "dropping-particle" : "", "family" : "Munoz-Carpena", "given" : "R.", "non-dropping-particle" : "", "parse-names" : false, "suffix" : "" }, { "dropping-particle" : "", "family" : "Kennedy", "given" : "R. E.", "non-dropping-particle" : "", "parse-names" : false, "suffix" : "" }, { "dropping-particle" : "", "family" : "Murcia.", "given" : "C.", "non-dropping-particle" : "", "parse-names" : false, "suffix" : "" } ], "container-title" : "Transactions of the ASABE", "id" : "ITEM-1", "issued" : { "date-parts" : [ [ "2016" ] ] }, "page" : "1333-1344", "title" : "Wetland landscape spatio-temporal degradation dynamics using the new Google Earth engine cloud-based platform: Opportunities for non-specialists in remote sensing", "type" : "article-journal", "volume" : "59" }, "uris" : [ "http://www.mendeley.com/documents/?uuid=a5d049ed-86b2-4bc3-85c3-21cbdab4895f" ] } ], "mendeley" : { "formattedCitation" : "(Alonso, Munoz-Carpena, Kennedy, &amp; Murcia., 2016)", "manualFormatting" : "(Alonso et al., 2016)", "plainTextFormattedCitation" : "(Alonso, Munoz-Carpena, Kennedy, &amp; Murcia., 2016)", "previouslyFormattedCitation" : "(Alonso, Munoz-Carpena, Kennedy, &amp; Murcia., 2016)" }, "properties" : { "noteIndex" : 0 }, "schema" : "https://github.com/citation-style-language/schema/raw/master/csl-citation.json" }</w:instrText>
      </w:r>
      <w:r w:rsidR="004255E7" w:rsidRPr="008608AA">
        <w:rPr>
          <w:shd w:val="clear" w:color="auto" w:fill="F8F8F8"/>
        </w:rPr>
        <w:fldChar w:fldCharType="separate"/>
      </w:r>
      <w:r w:rsidR="004255E7" w:rsidRPr="008608AA">
        <w:rPr>
          <w:noProof/>
          <w:shd w:val="clear" w:color="auto" w:fill="F8F8F8"/>
        </w:rPr>
        <w:t>(Alonso et al., 2016)</w:t>
      </w:r>
      <w:r w:rsidR="004255E7" w:rsidRPr="008608AA">
        <w:rPr>
          <w:shd w:val="clear" w:color="auto" w:fill="F8F8F8"/>
        </w:rPr>
        <w:fldChar w:fldCharType="end"/>
      </w:r>
      <w:r w:rsidR="004255E7" w:rsidRPr="008608AA">
        <w:t xml:space="preserve">. This study shows that large degraded tropical Mesoamerican wetlands have the capacity to recuperate when external pressures are removed. The Tortuguero wetland is threatened by subsistence, sports fishing, poaching, the illegal collection of turtle eggs </w:t>
      </w:r>
      <w:r w:rsidR="004255E7" w:rsidRPr="008608AA">
        <w:fldChar w:fldCharType="begin" w:fldLock="1"/>
      </w:r>
      <w:r w:rsidR="004255E7" w:rsidRPr="008608AA">
        <w:instrText>ADDIN CSL_CITATION { "citationItems" : [ { "id" : "ITEM-1", "itemData" : { "editor" : [ { "dropping-particle" : "", "family" : "Hern\u00e1ndez", "given" : "G.", "non-dropping-particle" : "", "parse-names" : false, "suffix" : "" } ], "id" : "ITEM-1", "issued" : { "date-parts" : [ [ "1999" ] ] }, "number-of-pages" : "47", "publisher" : "Uni\u00f3n Mundial para la Naturaleza (UICN)/ ORMA", "publisher-place" : "San Jos\u00e9, Costa Rica", "title" : "Mesoamerican Wetlands. Ramsar sites in Central America and Mexico", "type" : "book" }, "uris" : [ "http://www.mendeley.com/documents/?uuid=ee784054-b029-418c-92ed-121f02521587" ] } ], "mendeley" : { "formattedCitation" : "(G. Hern\u00e1ndez, 1999)", "manualFormatting" : "(Hern\u00e1ndez, 1999)", "plainTextFormattedCitation" : "(G. Hern\u00e1ndez, 1999)", "previouslyFormattedCitation" : "(G. Hern\u00e1ndez, 1999)" }, "properties" : { "noteIndex" : 0 }, "schema" : "https://github.com/citation-style-language/schema/raw/master/csl-citation.json" }</w:instrText>
      </w:r>
      <w:r w:rsidR="004255E7" w:rsidRPr="008608AA">
        <w:fldChar w:fldCharType="separate"/>
      </w:r>
      <w:r w:rsidR="004255E7" w:rsidRPr="008608AA">
        <w:rPr>
          <w:noProof/>
        </w:rPr>
        <w:t>(Hernández, 1999)</w:t>
      </w:r>
      <w:r w:rsidR="004255E7" w:rsidRPr="008608AA">
        <w:fldChar w:fldCharType="end"/>
      </w:r>
      <w:r w:rsidR="00664284" w:rsidRPr="008608AA">
        <w:t xml:space="preserve"> </w:t>
      </w:r>
      <w:r w:rsidR="004255E7" w:rsidRPr="008608AA">
        <w:t xml:space="preserve">and pesticides from banana plantations and packing plants </w:t>
      </w:r>
      <w:r w:rsidR="004255E7" w:rsidRPr="008608AA">
        <w:rPr>
          <w:shd w:val="clear" w:color="auto" w:fill="F8F8F8"/>
        </w:rPr>
        <w:fldChar w:fldCharType="begin" w:fldLock="1"/>
      </w:r>
      <w:r w:rsidR="004255E7" w:rsidRPr="008608AA">
        <w:rPr>
          <w:shd w:val="clear" w:color="auto" w:fill="F8F8F8"/>
        </w:rPr>
        <w:instrText>ADDIN CSL_CITATION { "citationItems" : [ { "id" : "ITEM-1", "itemData" : { "DOI" : "10.1002/etc.5620190802", "abstract" : "A study of pesticide residues in surface waters and sediments was undertaken in the Suerte River Basin, Costa Rica, that drains into the Tortuguero conservation area. Samples were collected in streams, packing plants, and the Suerte River. The most frequently measured compounds in surface water samples were the fungicides thiabendazole, propiconazole, and imazalil; the nematicides terbufos and cadusafos; and the insecticide chlorpyrifos. At the conservation area, propiconazole was detected in 43% of the samples at concentrations ranging from 0.05 to 1.0 \u03bcg/L. In 25% of the samples collected at this site, a nematicide (cadusafos, carbofuran, or ethoprophos) was detected (0.06\u20136.2 \u03bcg/L). According to this study, most of the insecticide-nematicides analyzed pose a risk for acute or chronic toxicity to aquatic organisms based on the exposure levels and toxicity values from the literature. Ametryn, imazalil, and thiabendazole also exceeded the calculated chronic risk ratio. The most frequently detected compounds in sediments were thiabendazole, chlorpyrifos, imazalil, and propiconazole. The occurrence was higher in the packing plants and streams. Pesticides in waters and sediments of Tortuguero conservation area could pose a threat to this wetland and an additional stress to the endangered species that inhabit this area. More information is needed regarding the distribution and stability of pesticides in the lagoon system as well as of the effects of mixtures of low levels of pesticides and their degradation products on representative species of the Tortuguero ecosystem. Meanwhile, all measures to reduce the emissions of pesticides from the banana plantations and the packing plants should be taken.", "author" : [ { "dropping-particle" : "", "family" : "Castillo", "given" : "L. E.", "non-dropping-particle" : "", "parse-names" : false, "suffix" : "" }, { "dropping-particle" : "", "family" : "Ruepert", "given" : "C.", "non-dropping-particle" : "", "parse-names" : false, "suffix" : "" }, { "dropping-particle" : "", "family" : "Solis", "given" : "E.", "non-dropping-particle" : "", "parse-names" : false, "suffix" : "" } ], "container-title" : "Environmental Toxicology and Chemistry", "id" : "ITEM-1", "issued" : { "date-parts" : [ [ "2000" ] ] }, "page" : "1942-1950", "title" : "Pesticide residues in the aquatic environment of banana plantation areas in the north Atlantic zone of Costa Rica", "type" : "article-journal", "volume" : "19" }, "uris" : [ "http://www.mendeley.com/documents/?uuid=1688bff4-1861-4d6c-8059-bbbbbc548247" ] } ], "mendeley" : { "formattedCitation" : "(Castillo, Ruepert, &amp; Solis, 2000)", "manualFormatting" : "(Castillo et al., 2000)", "plainTextFormattedCitation" : "(Castillo, Ruepert, &amp; Solis, 2000)", "previouslyFormattedCitation" : "(Castillo, Ruepert, &amp; Solis, 2000)" }, "properties" : { "noteIndex" : 0 }, "schema" : "https://github.com/citation-style-language/schema/raw/master/csl-citation.json" }</w:instrText>
      </w:r>
      <w:r w:rsidR="004255E7" w:rsidRPr="008608AA">
        <w:rPr>
          <w:shd w:val="clear" w:color="auto" w:fill="F8F8F8"/>
        </w:rPr>
        <w:fldChar w:fldCharType="separate"/>
      </w:r>
      <w:r w:rsidR="004255E7" w:rsidRPr="008608AA">
        <w:rPr>
          <w:noProof/>
          <w:shd w:val="clear" w:color="auto" w:fill="F8F8F8"/>
        </w:rPr>
        <w:t>(Castillo et al., 2000)</w:t>
      </w:r>
      <w:r w:rsidR="004255E7" w:rsidRPr="008608AA">
        <w:rPr>
          <w:shd w:val="clear" w:color="auto" w:fill="F8F8F8"/>
        </w:rPr>
        <w:fldChar w:fldCharType="end"/>
      </w:r>
      <w:r w:rsidR="004255E7" w:rsidRPr="008608AA">
        <w:t xml:space="preserve">. All these changes impact on human well-being. For example, total shrimp catch in El Salvador and Panamanian wetlands has dropped by 50% in the past decade or so </w:t>
      </w:r>
      <w:r w:rsidR="004255E7" w:rsidRPr="008608AA">
        <w:fldChar w:fldCharType="begin" w:fldLock="1"/>
      </w:r>
      <w:r w:rsidR="004255E7" w:rsidRPr="008608AA">
        <w:instrText>ADDIN CSL_CITATION { "citationItems" : [ { "id" : "ITEM-1", "itemData" : { "editor" : [ { "dropping-particle" : "", "family" : "Hern\u00e1ndez", "given" : "G.", "non-dropping-particle" : "", "parse-names" : false, "suffix" : "" } ], "id" : "ITEM-1", "issued" : { "date-parts" : [ [ "1999" ] ] }, "number-of-pages" : "47", "publisher" : "Uni\u00f3n Mundial para la Naturaleza (UICN)/ ORMA", "publisher-place" : "San Jos\u00e9, Costa Rica", "title" : "Mesoamerican Wetlands. Ramsar sites in Central America and Mexico", "type" : "book" }, "uris" : [ "http://www.mendeley.com/documents/?uuid=ee784054-b029-418c-92ed-121f02521587" ] } ], "mendeley" : { "formattedCitation" : "(G. Hern\u00e1ndez, 1999)", "manualFormatting" : "(Hern\u00e1ndez, 1999)", "plainTextFormattedCitation" : "(G. Hern\u00e1ndez, 1999)", "previouslyFormattedCitation" : "(G. Hern\u00e1ndez, 1999)" }, "properties" : { "noteIndex" : 0 }, "schema" : "https://github.com/citation-style-language/schema/raw/master/csl-citation.json" }</w:instrText>
      </w:r>
      <w:r w:rsidR="004255E7" w:rsidRPr="008608AA">
        <w:fldChar w:fldCharType="separate"/>
      </w:r>
      <w:r w:rsidR="004255E7" w:rsidRPr="008608AA">
        <w:rPr>
          <w:noProof/>
        </w:rPr>
        <w:t>(Hernández, 1999)</w:t>
      </w:r>
      <w:r w:rsidR="004255E7" w:rsidRPr="008608AA">
        <w:fldChar w:fldCharType="end"/>
      </w:r>
      <w:r w:rsidR="004255E7" w:rsidRPr="008608AA">
        <w:t>.</w:t>
      </w:r>
    </w:p>
    <w:p w14:paraId="3F4DF9AE" w14:textId="77777777" w:rsidR="004255E7" w:rsidRPr="008608AA" w:rsidRDefault="004255E7" w:rsidP="00581F86">
      <w:pPr>
        <w:pStyle w:val="Heading5"/>
        <w:numPr>
          <w:ilvl w:val="0"/>
          <w:numId w:val="0"/>
        </w:numPr>
        <w:rPr>
          <w:sz w:val="24"/>
          <w:szCs w:val="24"/>
        </w:rPr>
      </w:pPr>
      <w:r w:rsidRPr="008608AA">
        <w:rPr>
          <w:sz w:val="24"/>
          <w:szCs w:val="24"/>
        </w:rPr>
        <w:t xml:space="preserve">South American subregion </w:t>
      </w:r>
    </w:p>
    <w:p w14:paraId="2D707083" w14:textId="6CBCE151" w:rsidR="004255E7" w:rsidRPr="008608AA" w:rsidRDefault="004255E7" w:rsidP="00581F86">
      <w:pPr>
        <w:widowControl w:val="0"/>
        <w:autoSpaceDE w:val="0"/>
        <w:autoSpaceDN w:val="0"/>
        <w:adjustRightInd w:val="0"/>
        <w:spacing w:after="120"/>
      </w:pPr>
      <w:r w:rsidRPr="008608AA">
        <w:t>Status</w:t>
      </w:r>
      <w:r w:rsidR="00520F22" w:rsidRPr="008608AA">
        <w:t xml:space="preserve">. </w:t>
      </w:r>
      <w:r w:rsidRPr="008608AA">
        <w:t xml:space="preserve">South American wetlands are hugely diverse, spread over the entire continent, and found from sea level to above 5000 m altitude. The three largest wetland areas (Amazon river basin, Pantanal, Magellanic peatlands) in accordance with their sizes </w:t>
      </w:r>
      <w:r w:rsidRPr="008608AA">
        <w:fldChar w:fldCharType="begin" w:fldLock="1"/>
      </w:r>
      <w:r w:rsidRPr="008608AA">
        <w:instrText>ADDIN CSL_CITATION { "citationItems" : [ { "id" : "ITEM-1", "itemData" : { "DOI" : "10.1525/bio.2009.59.1.8", "ISBN" : "0006-3568", "ISSN" : "1525-3244", "abstract" : "Wetlands perform many essential ecosystem services\u2014carbon storage, flood control, maintenance of biodiversity, fish production, and aquifer recharge, among others\u2014services that have increasingly important global consequences. Like biodiversity hotspots and frontier forests, the world\u2019s largest wetlands are now mapped and described by an international team of scientists, highlighting their conservation importance at the global scale. We explore current understanding of some ecosystem services wetlands provide. We selected four of these wetlands (the largest peatland, West Siberian Lowland; the largest floodplain, Amazon River Basin; the least-known wetland, Congo River Basin; and the most heavily developed wetland, Mississippi River Basin), and we illustrate their diversity, emphasizing values and lessons for thinking big in terms of conservation goals. Recognizing the global significance of these wetlands is an important first step toward forging global conservation solutions. Each of the world\u2019s largest wetlands requires a basinwide sustainable management strategy built on new institutional frameworks\u2014at international, national, and regional levels\u2014to ensure provision of their vital services.", "author" : [ { "dropping-particle" : "", "family" : "Keddy", "given" : "Paul A.", "non-dropping-particle" : "", "parse-names" : false, "suffix" : "" }, { "dropping-particle" : "", "family" : "Fraser", "given" : "Lauchlan H.", "non-dropping-particle" : "", "parse-names" : false, "suffix" : "" }, { "dropping-particle" : "", "family" : "Solomeshch", "given" : "Ayzik I.", "non-dropping-particle" : "", "parse-names" : false, "suffix" : "" }, { "dropping-particle" : "", "family" : "Junk", "given" : "Wolfgang J.", "non-dropping-particle" : "", "parse-names" : false, "suffix" : "" }, { "dropping-particle" : "", "family" : "Campbell", "given" : "Daniel R.", "non-dropping-particle" : "", "parse-names" : false, "suffix" : "" }, { "dropping-particle" : "", "family" : "Arroyo", "given" : "Mary T. K.", "non-dropping-particle" : "", "parse-names" : false, "suffix" : "" }, { "dropping-particle" : "", "family" : "Alho", "given" : "Cleber J. R.", "non-dropping-particle" : "", "parse-names" : false, "suffix" : "" } ], "container-title" : "BioScience", "id" : "ITEM-1", "issue" : "1", "issued" : { "date-parts" : [ [ "2009" ] ] }, "page" : "39-51", "title" : "Wet and wonderful: the world's largest wetlands are conservation priorities", "type" : "article-journal", "volume" : "59" }, "uris" : [ "http://www.mendeley.com/documents/?uuid=66304459-637c-4041-84e6-1e635ea1a8ac" ] } ], "mendeley" : { "formattedCitation" : "(Keddy et al., 2009)", "plainTextFormattedCitation" : "(Keddy et al., 2009)", "previouslyFormattedCitation" : "(Keddy et al., 2009)" }, "properties" : { "noteIndex" : 0 }, "schema" : "https://github.com/citation-style-language/schema/raw/master/csl-citation.json" }</w:instrText>
      </w:r>
      <w:r w:rsidRPr="008608AA">
        <w:fldChar w:fldCharType="separate"/>
      </w:r>
      <w:r w:rsidRPr="008608AA">
        <w:rPr>
          <w:noProof/>
        </w:rPr>
        <w:t>(Keddy et al., 2009)</w:t>
      </w:r>
      <w:r w:rsidRPr="008608AA">
        <w:fldChar w:fldCharType="end"/>
      </w:r>
      <w:r w:rsidRPr="008608AA">
        <w:t xml:space="preserve">, comprise around 11% of South America. Other large wetlands are the Orinoco delta with large peatlands and the internal Venezuelan and Colombian deltas, which are pantanal-like areas. Total wetland extent is difficult to pin down, given lack of consensus over what constitutes a wetland and the fact that some wetlands tend to be overlooked. A case in point are the Veredas of Brazil, spread over the entire savanna biome and perhaps comprising as much 5% of that biome. Many wetland types are rich in bird species </w:t>
      </w:r>
      <w:r w:rsidRPr="008608AA">
        <w:fldChar w:fldCharType="begin" w:fldLock="1"/>
      </w:r>
      <w:r w:rsidRPr="008608AA">
        <w:instrText>ADDIN CSL_CITATION { "citationItems" : [ { "id" : "ITEM-1", "itemData" : { "DOI" : "10.2307/1522249", "ISBN" : "1524-4695", "ISSN" : "07386028", "abstract" : "We measured waterbird richness and abundance, and characterized wetland features (attitude, size, and presence of submergent vegetation) of 50 altiplano wetlands, during summer and winter 1998. We estimated 36,700 individuals of 24 avian species during the summer census. James' Flamingo (Phoenicoparrus jamusi and Andean Flamingo (P. andinus) were the most abundant species, followed by Horned Coot (Fulica cornuta), Chilean Flamingo (Phoenicopterus chilensis), and Crested Duck (Anas specularioides). These species comprised 78% of total individuals. In winter, we counted 7,121 individuals of 16 species, and the three flamingo species were the most abundant. In summer, we found Chilean and Andean Flamingos primarily in intermediate-altitude wetlands (3,500-4,000 m a.s.l.), whereas James' Flamingos and other waterbirds were above 4,000 m. In winter. the three flamingo species moved to lower-altitude wetlands (below 3,500 m).Water bird abundance was positively correlated with wetland size in wetlands with aquatic vegetation, with waterbird richness in wetlands without macrophytes. During summer, total abundance and richness were significantly higher in wetlands with macrophytes, where Chilean Flamingo and ten other waterbird species (e.g.. duck, grebes, gulls, and coots] were more common. James' Flamingo was the only species more abundant in hypersaline wetlands. In summer, foils wetlands (Grande, La Alumbrera: Vilama, and Pozuelos) contained 68% of the total individuals, with more than 3,000 waterbirds each. In winter, wetlands Pozuelos and Guayatayoc included 50% of waterbirds counted, with more than 5,000 birds each. Thirty four percent of the wetlands surveyed are within protected areas, but only in Laguna de los Pozuelos Natural Monument is it actually implemented. In 42% of the wetlands of the detected land uses that could represent threats to these environments. Here we propose some criteria to detect and prioritize relevant sites for conservation of altiplano waterbirds: a) large aggregations of individuals, either seasonal or permanent, b) vulnerable and/or endemic species and presence of nesting sites, c) ecological uniqueness, d) proximity to other complementary wetlands, e) high heterogeneity between and within sites. The complementary use of these environments by waterbird, both seasonally and spatially, suggests considering conservation action from a landscape perspective.", "author" : [ { "dropping-particle" : "", "family" : "Caziani", "given" : "Sandra M.", "non-dropping-particle" : "", "parse-names" : false, "suffix" : "" }, { "dropping-particle" : "", "family" : "Derlindati", "given" : "Enrique J.", "non-dropping-particle" : "", "parse-names" : false, "suffix" : "" }, { "dropping-particle" : "", "family" : "T\u00e1lamo", "given" : "Andr\u00e9s", "non-dropping-particle" : "", "parse-names" : false, "suffix" : "" }, { "dropping-particle" : "", "family" : "Sureda", "given" : "Ana L.", "non-dropping-particle" : "", "parse-names" : false, "suffix" : "" }, { "dropping-particle" : "", "family" : "Trucco", "given" : "Carlos E.", "non-dropping-particle" : "", "parse-names" : false, "suffix" : "" }, { "dropping-particle" : "", "family" : "Nicolossi", "given" : "Guillermo", "non-dropping-particle" : "", "parse-names" : false, "suffix" : "" } ], "container-title" : "Waterbirds", "id" : "ITEM-1", "issued" : { "date-parts" : [ [ "2001" ] ] }, "page" : "103-117", "title" : "Waterbird richness in Altiplano wetlands of northwestern Argentina", "type" : "article-journal", "volume" : "24" }, "uris" : [ "http://www.mendeley.com/documents/?uuid=10b54fc3-7b5b-4c6b-9859-3470ce9c5a43" ] }, { "id" : "ITEM-2", "itemData" : { "DOI" : "10.1675/1524-4695(2002)025[0358:POADAH]2.0.CO;2", "ISSN" : "1524-4695", "abstract" : "Chilean Flamingo ( Phoenicopterus chilensis ), Andean Flamingo ( Phoenicoparrus andinu s) and James\u2019 Flamingo ( Phoenicoparrus jamesi ) occur in the high Andes water bodies of Argentina, Bolivia, Chile and Per\u00fa. The objectives of this study were to analyze seasonal variations in flamingo abundance and movements related to climat- ic conditions, and to identify the physical characteristics of water bodies determining the seasonal distribution and abundance. Flamingo numbers reached a peak in summer and diminished in winter. Within the high Andes region, the Andean Flamingo was mainly found in the Dry and Dry-cold climatic sub-regions during summer. This species moved into the Dry sub-region in winter. In summer, James\u2019 Flamingo primarily occurred in water bodies of the Dry- cold sub-region. During winter, some individuals remained in the Dry-cold sub-region, and others moved to the Wet, Dry and Desert sub-regions. In summer, Chilean Flamingo occurred principally in the Dry sub-region. In winter, few remained in the Dry sub-region, and most birds moved to the Wet sub-region. These seasonal changes in flamingo numbers within the high Andes show that in winter, these birds move from sub-regions with extreme climatic con- ditions (Desert and Dry-cold sub-regions) to those with more suitable conditions (Wet and Dry sub-regions). The seasonal fluctuation in abundance might be explained by intra- and inter-regional movements in response to ad- verse climatic conditions. The relationships between water body physical characteristics and flamingo species show that the Chilean Flamingo mainly used lakes, both in summer and winter. James\u2019 Flamingo usually used saline playa- lakes at high altitudes in summer and winter. Andean Flamingo selected salt-flats during summer and lakes in win- ter. It is suggested that Chilean and James\u2019 Flamingos are habitat-specialists and the Andean Flamingo is a habitat- generalist", "author" : [ { "dropping-particle" : "", "family" : "Mascitti", "given" : "Virginia", "non-dropping-particle" : "", "parse-names" : false, "suffix" : "" }, { "dropping-particle" : "", "family" : "Bonaventura", "given" : "S.M.", "non-dropping-particle" : "", "parse-names" : false, "suffix" : "" } ], "container-title" : "Waterbirds", "id" : "ITEM-2", "issued" : { "date-parts" : [ [ "2002" ] ] }, "page" : "358-365", "title" : "Patterns of abundance, distribution and habitat use of flamingos in the high Andes, South America", "type" : "article-journal", "volume" : "25" }, "uris" : [ "http://www.mendeley.com/documents/?uuid=27b9778e-30ad-3974-ad08-6530f2bf2c5e" ] }, { "id" : "ITEM-3", "itemData" : { "ISBN" : "0570-7358", "ISSN" : "05707358", "abstract" : "Aims: Bogs (locally named \"bofedales\") constitute a key habitat for conserving birds associated with the wet meadows and ponds on the huge expanses of dry bunch-grass steppes (\"puna\") of the Andes. Despite this, the factors shaping bird numbers and species richness in this habitat have not been studied. This paper examines the bird communities in a set of bogs distributed in two Peruvian localities during the wet (February) and dry (September) season. It evaluates the effects of bog size and some habitat features (grazing intensity, presence of small watercourses, vegetation cover, etc.) on abundance and species richness of bird communities. Location: Two Peruvian localities above 4,000 in (humid mountains near Cusco, and and uplands near Arequipa). Methods: Given that bogs tended to be long and narrow (mean width: 59 in, range 10 - 200 in), birds were counted along three parallel, simultaneous transects covering the full area of bogs. Independent variables evaluated were the size (ha), altitude (in above sea level), slope (0-90 degrees), presence/absence of small permanent watercourses and cover (%) of water, meadows and cushion-like Yareta shrubs in each study bog. Grazing intensity was estimated by counting the number of faecal pellet groups (of alpacas and other livestock) inside a one-metre-wide band transect. Results: Results support the view that bogs operate as local \"hotspots\" for birds, as they maintain species associated with different habitats, such as rivers and lakes (Anas flavirostris, Anas specularoides. etc). wet meadows (Vanellus resplendens, Chloephaga melanoptera, Cinclodes fuscus, Lessonia oreas, etc.) or bunch-grass steppes (Metriopelia aymara, Thinocorus orbignyianus, etc.). Bird species richness and numbers were positively correlated with bog size and, after controlling for this effect, species richness increased in those and upland bogs crossed by small watercourses during the dry period. This supports the key role of water availability on the bird communities of these steppes. No effect of grazing intensity and other habitat features were recorded. Conclusions: From a conservation perspective, bog size and the presence of permanent watercourses seem to be two focal criteria for prioritizing relevant bogs for protection and can also be used as key guidelines for evaluating the pervasive effects of the reduction and alteration of bogs by public works (roads), agricultural encroachment or draining.", "author" : [ { "dropping-particle" : "", "family" : "Teller\u00eda", "given" : "Jos\u00e9 Luis", "non-dropping-particle" : "", "parse-names" : false, "suffix" : "" }, { "dropping-particle" : "", "family" : "Venero", "given" : "Jos\u00e9 Luis", "non-dropping-particle" : "", "parse-names" : false, "suffix" : "" }, { "dropping-particle" : "", "family" : "Santos", "given" : "Tom\u00e1s", "non-dropping-particle" : "", "parse-names" : false, "suffix" : "" } ], "container-title" : "Ardeola", "id" : "ITEM-3", "issue" : "2", "issued" : { "date-parts" : [ [ "2006" ] ] }, "page" : "271-283", "title" : "Conserving birdlife of Peruvian highland bogs: effects of patch-size and habitat quality on species richness and bird numbers", "type" : "article-journal", "volume" : "53" }, "uris" : [ "http://www.mendeley.com/documents/?uuid=22e75383-a9b3-3b52-8222-348d70302dc4" ] }, { "id" : "ITEM-4", "itemData" : { "ISSN" : "10754377", "abstract" : "The Andean Flamingo (Phoenicoparrus andinus), one of three flamingo species in southern South America makes complementary and alternative use of high Andean wetlands in Argentina, Bolivia, Chile and Peru, and lowland wetlands in Argentina over its life cycle. Previous studies have focused on its behavior in Andean sites, but there are no such studies in lowland sites. Therefore, we analyzed the activity patterns, courtship displays, and individual abundance of this flamingo species at two contrasting wetland sites, Laguna de Vilama, located at 4500 m a.s.l. in northwestern Argentina and used in summer during the breeding season, and Laguna Melincu\ufffd\ufffd, a lowland wetland located at 84 m a.s.l. in the plains of central east Argentina and used in winter during the non-breeding season. There were marked differences in flamingo abundance and activity patterns between sites and years. In Laguna de Vilama, flamingos were feeding most of the time (95%), whereas at Laguna Melincu\ufffd\ufffd, flamingos showed a broader range of behaviors, with only a 60% of time spent feeding. We did not record marching displays at Laguna de Vilama, whereas at Laguna Melincu\ufffd\ufffd we recorded marching events in each of the three study years, being more frequent and lasting longer in the year with higher flamingo abundance. The differences in behaviors at these sites are associated with resource quality and availability and with timing of the reproductive cycle, with lowland wetlands providing critical habitats for courtship displays that influence reproductive success of this species breeding colonies in high Andean wetlands. \ufffd\ufffd 2014 The Neotropical Ornithological Society.", "author" : [ { "dropping-particle" : "", "family" : "Derlindati", "given" : "Enrique J.", "non-dropping-particle" : "", "parse-names" : false, "suffix" : "" }, { "dropping-particle" : "", "family" : "Romano", "given" : "Marcelo C.", "non-dropping-particle" : "", "parse-names" : false, "suffix" : "" }, { "dropping-particle" : "", "family" : "Cruz", "given" : "Nancy N.", "non-dropping-particle" : "", "parse-names" : false, "suffix" : "" }, { "dropping-particle" : "", "family" : "Baris\u00f3n", "given" : "Caterina", "non-dropping-partic</w:instrText>
      </w:r>
      <w:r w:rsidRPr="008608AA">
        <w:rPr>
          <w:lang w:val="fr-CA"/>
        </w:rPr>
        <w:instrText>le" : "", "parse-names" : false, "suffix" : "" }, { "dropping-particle" : "", "family" : "Arengo", "given" : "Felicity", "non-dropping-particle" : "", "parse-names" : false, "suffix" : "" }, { "dropping-particle" : "", "family" : "Barberis", "given" : "Ignacio M.", "non-dropping-particle" : "", "parse-names" : false, "suffix" : "" } ], "container-title" : "Ornitolog\u00eda Neotropical", "id" : "ITEM-4", "issue" : "3", "issued" : { "date-parts" : [ [ "2014" ] ] }, "page" : "317-331", "title" : "Seasonal activity patterns and abundance of Andean flamingo (&lt;i&gt;Phoenicoparrus andinus&lt;/i&gt;) at two contrasting wetlands in Argentina", "type" : "article-journal", "volume" : "25" }, "uris" : [ "http://www.mendeley.com/documents/?uuid=9e58dd8a-7c37-328c-9df3-970a370aecdd" ] } ], "mendeley" : { "formattedCitation" : "(Caziani et al., 2001; Derlindati et al., 2014; Mascitti &amp; Bonaventura, 2002; Teller\u00eda, Venero, &amp; Santos, 2006)", "manualFormatting" : "(Caziani et al., 2001; Derlindati et al., 2014; Mascitti &amp; Bonaventura, 2002; Teller\u00eda et al., 2006)", "plainTextFormattedCitation" : "(Caziani et al., 2001; Derlindati et al., 2014; Mascitti &amp; Bonaventura, 2002; Teller\u00eda, Venero, &amp; Santos, 2006)", "previouslyFormattedCitation" : "(Caziani et al., 2001; Derlindati et al., 2014; Mascitti &amp; Bonaventura, 2002; Teller\u00eda, Venero, &amp; Santos, 2006)" }, "properties" : { "noteIndex" : 0 }, "schema" : "https://github.com/citation-style-language/schema/raw/master/csl-citation.json" }</w:instrText>
      </w:r>
      <w:r w:rsidRPr="008608AA">
        <w:fldChar w:fldCharType="separate"/>
      </w:r>
      <w:r w:rsidRPr="008608AA">
        <w:rPr>
          <w:noProof/>
          <w:lang w:val="fr-CA"/>
        </w:rPr>
        <w:t>(Caziani et al., 2001; Derlindati et al., 2014; Mascitti &amp; Bonaventura, 2002; Tellería et al., 2006)</w:t>
      </w:r>
      <w:r w:rsidRPr="008608AA">
        <w:fldChar w:fldCharType="end"/>
      </w:r>
      <w:r w:rsidRPr="008608AA">
        <w:rPr>
          <w:lang w:val="fr-CA"/>
        </w:rPr>
        <w:t xml:space="preserve"> (Table 3.4) and have important aesthetic value. </w:t>
      </w:r>
      <w:r w:rsidRPr="008608AA">
        <w:t xml:space="preserve">Amazonian flooded forested wetlands and the Pantanal are especially rich in plants, birds, fishes, reptiles, and amphibians (Table 3.4). Some wetlands are rich in planktonic assemblages </w:t>
      </w:r>
      <w:r w:rsidRPr="008608AA">
        <w:fldChar w:fldCharType="begin" w:fldLock="1"/>
      </w:r>
      <w:r w:rsidRPr="008608AA">
        <w:instrText>ADDIN CSL_CITATION { "citationItems" : [ { "id" : "ITEM-1", "itemData" : { "DOI" : "10.1007/s10750-016-2686-x", "ISSN" : "0018-8158", "author" : [ { "dropping-particle" : "", "family" : "K\u00fcppers", "given" : "G. C.", "non-dropping-particle" : "", "parse-names" : false, "suffix" : "" }, { "dropping-particle" : "", "family" : "Gonz\u00e1lez Garraza", "given" : "G. C.", "non-dropping-particle" : "", "parse-names" : false, "suffix" : "" }, { "dropping-particle" : "V.", "family" : "Quiroga", "given" : "M.", "non-dropping-particle" : "", "parse-names" : false, "suffix" : "" }, { "dropping-particle" : "", "family" : "Lombardo", "given" : "R.", "non-dropping-particle" : "", "parse-names" : false, "suffix" : "" }, { "dropping-particle" : "", "family" : "Marinone", "given" : "M. C.", "non-dropping-particle" : "", "parse-names" : false, "suffix" : "" }, { "dropping-particle" : "", "family" : "Vinocur", "given" : "A.", "non-dropping-particle" : "", "parse-names" : false, "suffix" : "" }, { "dropping-particle" : "", "family" : "Mataloni", "given" : "G.", "non-dropping-particle" : "", "parse-names" : false, "suffix" : "" } ], "container-title" : "Hydrobiologia", "id" : "ITEM-1", "issue" : "1", "issued" : { "date-parts" : [ [ "2016", "6", "16" ] ] }, "page" : "117-134", "publisher" : "Springer International Publishing", "title" : "Drivers of highly diverse planktonic ciliate assemblages in peat bog pools from Tierra del Fuego (Argentina)", "type" : "article-journal", "volume" : "773" }, "uris" : [ "http://www.mendeley.com/documents/?uuid=944bb9cb-d9b0-3f28-9aec-57a5daae14f3" ] }, { "id" : "ITEM-2", "itemData" : { "author" : [ { "dropping-particle" : "", "family" : "Mu\u00f1oz-Pedreros", "given" : "A.", "non-dropping-particle" : "", "parse-names" : false, "suffix" : "" }, { "dropping-particle" : "", "family" : "los Rios-Escalante", "given" : "P.", "non-dropping-particle" : "de", "parse-names" : false, "suffix" : "" }, { "dropping-particle" : "", "family" : "M\u00f6ller", "given" : "P.", "non-dropping-particle" : "", "parse-names" : false, "suffix" : "" } ], "container-title" : "Crustaceana", "id" : "ITEM-2", "issued" : { "date-parts" : [ [ "2015" ] ] }, "page" : "1235-1244", "title" : "Zooplankton of the highland bogs of Putana, a desert wetland of the high puna, northern Chile", "type" : "article-journal", "volume" : "88" }, "uris" : [ "http://www.mendeley.com/documents/?uuid=f6c8791f-8bd5-4eca-8134-36817e59aefe" ] } ], "mendeley" : { "formattedCitation" : "(K\u00fcppers et al., 2016; Mu\u00f1oz-Pedreros, de los Rios-Escalante, &amp; M\u00f6ller, 2015)", "manualFormatting" : "(K\u00fcppers et al., 2016; Mu\u00f1oz-Pedreros et al., 2015)", "plainTextFormattedCitation" : "(K\u00fcppers et al., 2016; Mu\u00f1oz-Pedreros, de los Rios-Escalante, &amp; M\u00f6ller, 2015)", "previouslyFormattedCitation" : "(K\u00fcppers et al., 2016; Mu\u00f1oz-Pedreros, de los Rios-Escalante, &amp; M\u00f6ller, 2015)" }, "properties" : { "noteIndex" : 0 }, "schema" : "https://github.com/citation-style-language/schema/raw/master/csl-citation.json" }</w:instrText>
      </w:r>
      <w:r w:rsidRPr="008608AA">
        <w:fldChar w:fldCharType="separate"/>
      </w:r>
      <w:r w:rsidRPr="008608AA">
        <w:rPr>
          <w:noProof/>
        </w:rPr>
        <w:t>(Küppers et al., 2016; Muñoz-Pedreros et al., 2015)</w:t>
      </w:r>
      <w:r w:rsidRPr="008608AA">
        <w:fldChar w:fldCharType="end"/>
      </w:r>
      <w:r w:rsidRPr="008608AA">
        <w:t xml:space="preserve">. In general, South American wetlands play a vital role in water regulation for surrounding forests and agricultural lands. For example, certain types of subantarctic peat bogs and mires, given the high water-holding capacity of </w:t>
      </w:r>
      <w:r w:rsidRPr="008608AA">
        <w:rPr>
          <w:i/>
        </w:rPr>
        <w:t>Sphagnum</w:t>
      </w:r>
      <w:r w:rsidRPr="008608AA">
        <w:t xml:space="preserve"> species and of accumulated peat, discharge water slowly and have an important buffering effect on surrounding forest ecosystems </w:t>
      </w:r>
      <w:r w:rsidRPr="008608AA">
        <w:fldChar w:fldCharType="begin" w:fldLock="1"/>
      </w:r>
      <w:r w:rsidRPr="008608AA">
        <w:instrText>ADDIN CSL_CITATION { "citationItems" : [ { "id" : "ITEM-1", "itemData" : { "ISBN" : "978-987-24710-4-0", "abstract" : "Las turberas son ecosistemas con amplia distribuci\u00f3n global que constituyen m\u00e1s del 50% de los humedales del mundo. Son muy frecuentes en medias y altas latitudes del Hemisferio Norte, en concordancia con lugares poblados desde la prehistoria y por ello est\u00e1n incorporadas en estas regiones a la cultura popular, en similar medida que el bosque y las pasturas. No ocurre lo mismo en el Hemisferio Sur, donde se localizan generalmente lejos de los asentamientos humanos. En Argentina, la mayor\u00eda de la poblaci\u00f3n desconoce qu\u00e9 es una turbera, y m\u00e1s a\u00fan sus funciones ambientales. Son relevantes en la composici\u00f3n del paisaje del extremo m\u00e1s austral de Sudam\u00e9rica, sin embargo, la poblaci\u00f3n local, inmigrante desde otras latitudes, no evidencia una adecuada valoraci\u00f3n de las turberas. El sistema educativo menciona a la turba como combustible, siendo raras la menciones como ecosistemas y humedales relevantes en la regulaci\u00f3n del cambio clim\u00e1tico, o sobre los servicios ambientales que prestan. El objeto de esta publicaci\u00f3n es proporcionar informaci\u00f3n, generalmente de escasa disponibilidad en idioma espa\u00f1ol, sobre las funciones que cumplen las turberas en relaci\u00f3n a la mitigaci\u00f3n y a la adaptaci\u00f3n al cambio clim\u00e1tico. No obstante, cabe hacer una breve menci\u00f3n del amplio espectro de sus prestaciones. M\u00e1s all\u00e1 de los valores que resultan del uso de turberas para actividades productivas, propios de la extracci\u00f3n de la turba y sus aplicaciones o de pr\u00e1cticas agr\u00edcola-ganaderas, la Tabla 1 detalla las funciones y valores de turberas pr\u00edstinas que normalmente se pierden al ser \u00e9stas intervenidas.", "author" : [ { "dropping-particle" : "", "family" : "Iturraspe", "given" : "Rodolfo", "non-dropping-particle" : "", "parse-names" : false, "suffix" : "" } ], "id" : "ITEM-1", "issued" : { "date-parts" : [ [ "2010" ] ] }, "number-of-pages" : "26", "publisher" : "Fundaci\u00f3n Humedales / Wetlands International", "publisher-place" : "Buenos Aires, Argentina", "title" : "Las turberas de Tierra del Fuego y el Cambio Clim\u00e1tico Global", "type" : "book" }, "uris" : [ "http://www.mendeley.com/documents/?uuid=12895d58-d004-3400-ad3f-6427617f98c7" ] } ], "mendeley" : { "formattedCitation" : "(Iturraspe, 2010)", "plainTextFormattedCitation" : "(Iturraspe, 2010)", "previouslyFormattedCitation" : "(Iturraspe, 2010)" }, "properties" : { "noteIndex" : 0 }, "schema" : "https://github.com/citation-style-language/schema/raw/master/csl-citation.json" }</w:instrText>
      </w:r>
      <w:r w:rsidRPr="008608AA">
        <w:fldChar w:fldCharType="separate"/>
      </w:r>
      <w:r w:rsidRPr="008608AA">
        <w:rPr>
          <w:noProof/>
        </w:rPr>
        <w:t>(Iturraspe, 2010)</w:t>
      </w:r>
      <w:r w:rsidRPr="008608AA">
        <w:fldChar w:fldCharType="end"/>
      </w:r>
      <w:r w:rsidRPr="008608AA">
        <w:t xml:space="preserve">. Southern South American peatlands, including Amazonian and (and probably Orinocan peatlands), are important carbon sinks </w:t>
      </w:r>
      <w:r w:rsidRPr="008608AA">
        <w:fldChar w:fldCharType="begin" w:fldLock="1"/>
      </w:r>
      <w:r w:rsidRPr="008608AA">
        <w:instrText>ADDIN CSL_CITATION { "citationItems" : [ { "id" : "ITEM-1", "itemData" : { "DOI" : "10.1111/j.1365-2486.2009.01920.x", "ISBN" : "1365-2486", "ISSN" : "13541013", "abstract" : "In tropical lowlands, peatlands are commonly reported from Southeast Asia, and especially Indonesian tropical peatlands are known as considerable C sinks and sources. In contrast, Amazonia has been clearly understudied in this context. In this study, based on field observations from 17 wetland sites in Peruvian lowland Amazonia, we report 0-5.9 m thick peat deposits from 16 sites. Only one of the studied sites did not contain any kind of peat deposit (considering pure peat and clayey peat). Historic yearly peat and C accumulation rates, based on radiocarbon dating of peat samples from five sites, varied from 0.94 +/- 0.99 to 4.88 +/- 1.65 mm, and from 26 +/- 3 to 195 +/- 70 g C m(-2), respectively. The long-term apparent peat and C accumulation rates varied from 1.69 +/- 0.03 to 2.56 +/- 0.12 mm yr(-1), and from 39 +/- 10 to 85 +/- 30 g C m(-2) yr(-1), respectively. These accumulation rates are comparable to those determined in the Indonesian tropical peatlands. Under altered conditions, Indonesian peatlands can release globally relevant amounts of C to the atmosphere. Considering the estimated total area of Amazonian peatlands (150 000 km(2)) close to that of the Indonesian ones (200 728 km(2)) as well as several factors threatening the Amazonian peatlands, we suggest that the total C stocks and fluxes associated with Amazonian peatlands may be of global significance. \u71b1\u5e2f\u6e7f\u5730\u3067\u306f\u3001\u6ce5\u70ad\u306f\u6771\u5357\u30a2\u30b8\u30a2\u3067\u3088\u304f\u5831\u544a\u3055\u308c\u3066\u304a\u308a\u3001\u7279\u306b\u30a4\u30f3\u30c9\u30cd\u30b7\u30a2\u3067\u306f\u71b1\u5e2f\u6ce5\u70ad\u306f\u76f8\u5f53\u5927\u304d\u306a\u70ad\u7d20\u30b7\u30f3\u30af\u3084\u30bd\u30fc\u30b9\u3068\u3057\u3066\u77e5\u3089\u308c\u3066\u3044\u308b\u3002\u5bfe\u7167\u7684\u306b\u3001\u30a2\u30de\u30be\u30f3\u306f\u3053\u306e\u6587\u8108\u3067\u660e\u3089\u304b\u306b\u4ee3\u5f79\u3092\u3064\u3068\u3081\u3066\u304d\u305f\u3002\u3053\u306e\u7814\u7a76\u3067\u306f\u3001\u30a2\u30de\u30be\u30f3\u306ePeruvian\u4f4e\u5730\u306b\u304a\u3051\u308b17\u306e\u6e7f\u5730\u306e\u91ce\u5916\u89b3\u5bdf\u306b\u57fa\u3065\u3044\u3066\u300116\u30b5\u30a4\u30c8\u30670-5.9m\u306e\u539a\u3055\u306e\u6ce5\u70ad\u304c\u5806\u7a4d\u3057\u3066\u3044\u308b\u3053\u3068\u3092\u5831\u544a\u3059\u308b\u3002\u7814\u7a76\u30b5\u30a4\u30c8\u306e\u3072\u3068\u3064\u3060\u3051\u306f\u6ce5\u70ad\u5806\u7a4d\u3092\u8a8d\u3081\u3089\u308c\u306a\u304b\u3063\u305f\u30025\u30b5\u30a4\u30c8\u306e\u6ce5\u70ad\u8a66\u6599\u306e\u653e\u5c04\u7dda\u540c\u4f4d\u4f53\u70ad\u7d20\u306e\u5e74\u4ee3\u6e2c\u5b9a\u306b\u57fa\u3065\u304f\u3068\u3001\u9577\u6642\u9593\u3092\u304b\u3051\u3066\u306e\u6ce5\u70ad\u3084\u70ad\u7d20\u84c4\u7a4d\u7387\u306f0.94+/-0.99\u304b\u30894.88+/-1.65mm\u3067\u5909\u5316\u3057\u3001\u305d\u308c\u306f26+/-3\u304b\u3089195+/-70gC/m2\u306b\u305d\u308c\u305e\u308c\u5bfe\u5fdc\u3059\u308b\u3002\u3053\u308c\u3089\u306e\u5806\u7a4d\u901f\u5ea6\u306f\u30a4\u30f3\u30c9\u30cd\u30b7\u30a2\u306e\u71b1\u5e2f\u6ce5\u70ad\u5730\u3067\u6c7a\u5b9a\u3055\u308c\u305f\u3082\u306e\u3068\u6bd4\u8f03\u3059\u308b\u3053\u3068\u304c\u3067\u304d\u308b\u3002\u30a4\u30f3\u30c9\u30cd\u30b7\u30a2\u6ce5\u70ad\u5730\u306f\u4e16\u754c\u7684\u306b\u3082\u554f\u984c\u8996\u3055\u308c\u308b\u91cf\u306e\u70ad\u7d20\u3092\u5927\u6c17\u306b\u653e\u51fa\u3057\u3066\u3044\u308b\u3002\u30a4\u30f3\u30c9\u30cd\u30b7\u30a2\u6ce5\u70ad\u5730\u3068\u8fd1\u3044\u5024\u3092\u3082\u3064\u30a2\u30de\u30be\u30f3\u6ce5\u70ad\u5730\u306e\u63a8\u5b9a\u7dcf\u9762\u7a4d\u3092\u8003\u616e\u3059\u308b\u3068\u3001\u30a2\u30de\u30be\u30f3\u6ce5\u70ad\u5730\u306b\u95a2\u9023\u3057\u305f\u5168\u70ad\u7d20\u84c4\u7a4d\u91cf\u3084\u30d5\u30e9\u30c3\u30af\u30b9\u306f\u4e16\u754c\u7684\u306b\u3068\u3066\u3082\u5927\u304d\u3044\u3068\u601d\u308f\u308c\u308b\u3002", "author" : [ { "dropping-particle" : "", "family" : "L\u00e4hteenoja", "given" : "Outi", "non-dropping-particle" : "", "parse-names" : false, "suffix" : "" }, { "dropping-particle" : "", "family" : "Ruokolainen", "given" : "Kalle", "non-dropping-particle" : "", "parse-names" : false, "suffix" : "" }, { "dropping-particle" : "", "family" : "Schulman", "given" : "Leif", "non-dropping-particle" : "", "parse-names" : false, "suffix" : "" }, { "dropping-particle" : "", "family" : "Oinonen", "given" : "Markku", "non-dropping-particle" : "", "parse-names" : false, "suffix" : "" } ], "container-title" : "Global Change Biology", "id" : "ITEM-1", "issue" : "9", "issued" : { "date-parts" : [ [ "2009" ] ] }, "page" : "2311-2320", "title" : "Amazonian peatlands: an ignored C sink and potential source", "type" : "article-journal", "volume" : "15" }, "uris" : [ "http://www.mendeley.com/documents/?uuid=660403ca-1f93-4d62-b3e8-8974cae3a26b" ] }, { "id" : "ITEM-2", "itemData" : { "DOI" : "10.1016/j.quascirev.2013.02.023", "ISSN" : "02773791", "abstract" : "Patagonian peatland ecosystems have received very little attention in the scientific literature despite their widespread distribution in the regional landscape and the anthropogenic pressure they experience from the peat extraction industry. The functioning of these southern peatlands is strikingly similar to that of northern peatlands, but they have developed under very different climate boundary conditions. Therefore, studying these ecosystems provides a unique opportunity to test ideas and hypotheses about the sensitivity of carbon-rich peat accumulating ecosystems to climate change, in addition to filling significant data and knowledge gaps. Here we provide a synthesis of detailed peat accumulation records for southern Patagonia using a combination of new peat-core analysis (from 4 sites) and a data review from previously published studies (from 19 sites). We also present the modern climate space (temperature, precipitation, and seasonality ranges) of Patagonian peatlands on the basis of modern peatland distribution and gridded climate data to discuss climate controls of Patagonian peatlands at the present and in the past by inference. Results indicated that Patagonian peatlands occupy a distinct climatological niche that corresponds to an end-member of the northern peatland climate domain, with a mild mean annual temperature (from 3 to 9 \u00b0C) and very weak temperature seasonality. We also found that Patagonian peatlands have been efficient land carbon sinks since their initiation, with a mean soil carbon density of 168 kg C m-2 \u00b1 10%. The total carbon pool for these ecosystems was estimated at 7.6 GtC. Modeled peat addition rates to the catotelm in Patagonian peatlands were significantly higher than what has been reported for northern peatlands, but decay coefficients were similar between these two high-latitude regions. These results support the idea that long, mild growing seasons promote peat formation in southern Patagonia. At the regional scale however, the lack of correlation between climatic parameters and peat accumulation indices suggests that autogenic controlling factors might be at play. Overall, southern peatlands provide a unique opportunity for studying peatland-carbon-climate linkages under a new set of climatic conditions. \u00a9 2013 Elsevier Ltd.", "author" : [ { "dropping-particle" : "", "family" : "Loisel", "given" : "Julie", "non-dropping-particle" : "", "parse-names" : false, "suffix" : "" }, { "dropping-particle" : "", "family" : "Yu", "given" : "Zicheng", "non-dropping-particle" : "", "parse-names" : false, "suffix" : "" } ], "container-title" : "Quaternary Science Reviews", "id" : "ITEM-2", "issued" : { "date-parts" : [ [ "2013" ] ] }, "page" : "125-141", "title" : "Holocene peatland carbon dynamics in Patagonia", "type" : "article-journal", "volume" : "69" }, "uris" : [ "http://www.mendeley.com/documents/?uuid=68f0e897-f7a9-42ea-bd17-e975583e476e" ] } ], "mendeley" : { "formattedCitation" : "(L\u00e4hteenoja, Ruokolainen, Schulman, &amp; Oinonen, 2009; Loisel &amp; Yu, 2013)", "manualFormatting" : "(L\u00e4hteenoja et al., 2009; Loisel &amp; Yu, 2013)", "plainTextFormattedCitation" : "(L\u00e4hteenoja, Ruokolainen, Schulman, &amp; Oinonen, 2009; Loisel &amp; Yu, 2013)", "previouslyFormattedCitation" : "(L\u00e4hteenoja, Ruokolainen, Schulman, &amp; Oinonen, 2009; Loisel &amp; Yu, 2013)" }, "properties" : { "noteIndex" : 0 }, "schema" : "https://github.com/citation-style-language/schema/raw/master/csl-citation.json" }</w:instrText>
      </w:r>
      <w:r w:rsidRPr="008608AA">
        <w:fldChar w:fldCharType="separate"/>
      </w:r>
      <w:r w:rsidRPr="008608AA">
        <w:rPr>
          <w:noProof/>
        </w:rPr>
        <w:t>(Lähteenoja et al., 2009; Loisel &amp; Yu, 2013)</w:t>
      </w:r>
      <w:r w:rsidRPr="008608AA">
        <w:fldChar w:fldCharType="end"/>
      </w:r>
      <w:r w:rsidRPr="008608AA">
        <w:t>. In contrast, tropical ﬂoodplain lake ecosystems with a large amount of organic matter are considered important sources of carbon from the water to the atmosphere (</w:t>
      </w:r>
      <w:r w:rsidR="00E03ED4" w:rsidRPr="008608AA">
        <w:t>carbon dioxide</w:t>
      </w:r>
      <w:r w:rsidRPr="008608AA">
        <w:t xml:space="preserve"> evasion) </w:t>
      </w:r>
      <w:r w:rsidRPr="008608AA">
        <w:fldChar w:fldCharType="begin" w:fldLock="1"/>
      </w:r>
      <w:r w:rsidRPr="008608AA">
        <w:instrText>ADDIN CSL_CITATION { "citationItems" : [ { "id" : "ITEM-1", "itemData" : { "author" : [ { "dropping-particle" : "", "family" : "Raymond", "given" : "P. A.", "non-dropping-particle" : "", "parse-names" : false, "suffix" : "" }, { "dropping-particle" : "", "family" : "Hartmann", "given" : "J.", "non-dropping-particle" : "", "parse-names" : false, "suffix" : "" }, { "dropping-particle" : "", "family" : "Lauerwald", "given" : "R.", "non-dropping-particle" : "", "parse-names" : false, "suffix" : "" }, { "dropping-particle" : "", "family" : "Sobek", "given" : "S.", "non-dropping-particle" : "", "parse-names" : false, "suffix" : "" }, { "dropping-particle" : "", "family" : "McDonald", "given" : "C.", "non-dropping-particle" : "", "parse-names" : false, "suffix" : "" }, { "dropping-particle" : "", "family" : "Hoover", "given" : "M.", "non-dropping-particle" : "", "parse-names" : false, "suffix" : "" }, { "dropping-particle" : "", "family" : "Butman", "given" : "D.", "non-dropping-particle" : "", "parse-names" : false, "suffix" : "" }, { "dropping-particle" : "", "family" : "Striegl", "given" : "R.", "non-dropping-particle" : "", "parse-names" : false, "suffix" : "" }, { "dropping-particle" : "", "family" : "Mayorga", "given" : "E.", "non-dropping-particle" : "", "parse-names" : false, "suffix" : "" }, { "dropping-particle" : "", "family" : "Humborg", "given" : "C.", "non-dropping-particle" : "", "parse-names" : false, "suffix" : "" }, { "dropping-particle" : "", "family" : "Kortelainen", "given" : "P.", "non-dropping-particle" : "", "parse-names" : false, "suffix" : "" }, { "dropping-particle" : "", "family" : "Durr", "given" : "H.", "non-dropping-particle" : "", "parse-names" : false, "suffix" : "" }, { "dropping-particle" : "", "family" : "Meybeck", "given" : "M.", "non-dropping-particle" : "", "parse-names" : false, "suffix" : "" }, { "dropping-particle" : "", "family" : "Ciais", "given" : "P.", "non-dropping-particle" : "", "parse-names" : false, "suffix" : "" }, { "dropping-particle" : "", "family" : "Guth", "given" : "P.", "non-dropping-particle" : "", "parse-names" : false, "suffix" : "" } ], "container-title" : "Nature", "id" : "ITEM-1", "issue" : "7476", "issued" : { "date-parts" : [ [ "2013" ] ] }, "page" : "355-359", "title" : "Global carbon dioxide emissions from inland waters", "type" : "article-journal", "volume" : "503" }, "uris" : [ "http://www.mendeley.com/documents/?uuid=d95a6641-53a2-4487-861b-abca5bf91ff8" ] } ], "mendeley" : { "formattedCitation" : "(Raymond et al., 2013)", "plainTextFormattedCitation" : "(Raymond et al., 2013)", "previouslyFormattedCitation" : "(Raymond et al., 2013)" }, "properties" : { "noteIndex" : 0 }, "schema" : "https://github.com/citation-style-language/schema/raw/master/csl-citation.json" }</w:instrText>
      </w:r>
      <w:r w:rsidRPr="008608AA">
        <w:fldChar w:fldCharType="separate"/>
      </w:r>
      <w:r w:rsidRPr="008608AA">
        <w:rPr>
          <w:noProof/>
        </w:rPr>
        <w:t>(Raymond et al., 2013)</w:t>
      </w:r>
      <w:r w:rsidRPr="008608AA">
        <w:fldChar w:fldCharType="end"/>
      </w:r>
      <w:r w:rsidRPr="008608AA">
        <w:t xml:space="preserve">, although abundant macrophytes can counteract this effect locally </w:t>
      </w:r>
      <w:r w:rsidRPr="008608AA">
        <w:fldChar w:fldCharType="begin" w:fldLock="1"/>
      </w:r>
      <w:r w:rsidRPr="008608AA">
        <w:instrText>ADDIN CSL_CITATION { "citationItems" : [ { "id" : "ITEM-1", "itemData" : { "author" : [ { "dropping-particle" : "", "family" : "Peixoto", "given" : "R. B.", "non-dropping-particle" : "", "parse-names" : false, "suffix" : "" }, { "dropping-particle" : "", "family" : "Marotta", "given" : "H.", "non-dropping-particle" : "", "parse-names" : false, "suffix" : "" }, { "dropping-particle" : "", "family" : "Bastviken", "given" : "D.", "non-dropping-particle" : "", "parse-names" : false, "suffix" : "" }, { "dropping-particle" : "", "family" : "Enrich-Prast", "given" : "A.", "non-dropping-particle" : "", "parse-names" : false, "suffix" : "" } ], "container-title" : "Ecosystems", "id" : "ITEM-1", "issue" : "4", "issued" : { "date-parts" : [ [ "2016" ] ] }, "page" : "724-736", "title" : "Floating aquatic macrophytes can substantially offset open water CO2 emissions from tropical floodplain lake ecosystems", "type" : "article-journal", "volume" : "19" }, "uris" : [ "http://www.mendeley.com/documents/?uuid=4a1ef0fd-d37f-4b15-b592-3fdcdef28b95" ] } ], "mendeley" : { "formattedCitation" : "(Peixoto, Marotta, Bastviken, &amp; Enrich-Prast, 2016)", "manualFormatting" : "(Peixoto et al., 2016)", "plainTextFormattedCitation" : "(Peixoto, Marotta, Bastviken, &amp; Enrich-Prast, 2016)", "previouslyFormattedCitation" : "(Peixoto, Marotta, Bastviken, &amp; Enrich-Prast, 2016)" }, "properties" : { "noteIndex" : 0 }, "schema" : "https://github.com/citation-style-language/schema/raw/master/csl-citation.json" }</w:instrText>
      </w:r>
      <w:r w:rsidRPr="008608AA">
        <w:fldChar w:fldCharType="separate"/>
      </w:r>
      <w:r w:rsidRPr="008608AA">
        <w:rPr>
          <w:noProof/>
        </w:rPr>
        <w:t>(Peixoto et al., 2016)</w:t>
      </w:r>
      <w:r w:rsidRPr="008608AA">
        <w:fldChar w:fldCharType="end"/>
      </w:r>
      <w:r w:rsidRPr="008608AA">
        <w:t xml:space="preserve">, indicating an important biodiversity link. High Andean bogs in the arid puna are important for the grazing of native camelid and other domestic animals which sustains the livelihoods of high altitude peoples </w:t>
      </w:r>
      <w:r w:rsidRPr="008608AA">
        <w:fldChar w:fldCharType="begin" w:fldLock="1"/>
      </w:r>
      <w:r w:rsidRPr="008608AA">
        <w:instrText>ADDIN CSL_CITATION { "citationItems" : [ { "id" : "ITEM-1", "itemData" : { "DOI" : "10.1016/j.jaridenv.2008.07.012", "ISBN" : "0140-1963", "ISSN" : "01401963", "PMID" : "6088", "abstract" : "Isoleg theory predicts that coexistence between two competing species can occur when the subordinate, generalist species uses alternative patches of resources as the density of the dominant specialist species increases. These models provide a framework to determine if a native species is subordinate to an introduced one, thus requires conservation considerations. We investigated habitat interactions between a wild neotropical camelid and domestic exotic ungulates in the Andean Puna semi-desert of South America. The Puna or Altiplano is an arid environment located in high altitudes, with cold and dry weather, and two main types of habitats, steppes and swamp areas. There was a high overlap of diets between species. Vicu\u00f1as were generalists in the use of habitat, but invested foraging effort in swamp habitats, while livestock were taken to swamp habitats by local people. Vicu\u00f1as and livestock were spatially segregated. Vicu\u00f1as used the preferred habitat less than expected from their foraging preference. We concluded that vicu\u00f1as and livestock coexist because vicu\u00f1as occupy sub-optimal habitats whilst livestock concentrate in the richest ones. Vicu\u00f1as can deal with poor habitats because they have several adaptations to live in deserts. \u00a9 2008 Elsevier Ltd. All rights reserved.", "author" : [ { "dropping-particle" : "", "family" : "Borgnia", "given" : "M.", "non-dropping-particle" : "", "parse-names" : false, "suffix" : "" }, { "dropping-particle" : "", "family" : "Vila", "given" : "B. L.", "non-dropping-particle" : "", "parse-names" : false, "suffix" : "" }, { "dropping-particle" : "", "family" : "Cassini", "given" : "M. H.", "non-dropping-particle" : "", "parse-names" : false, "suffix" : "" } ], "container-title" : "Journal of Arid Environments", "id" : "ITEM-1", "issue" : "12", "issued" : { "date-parts" : [ [ "2008" ] ] }, "page" : "2150-2158", "title" : "Interaction between wild camelids and livestock in an Andean semi-desert", "type" : "article-journal", "volume" : "72" }, "uris" : [ "http://www.mendeley.com/documents/?uuid=9de15f5f-292f-4d23-9aaf-ed546fb68f68" ] }, { "id" : "ITEM-2", "itemData" : { "DOI" : "10.4067/S0717-65382016000100004", "ISSN" : "0717-652X", "abstract" : "We described and compared the diets of two sympatric Andean camelids, during the humid season (austral summer) in a site of Northern Chile, in presence of domestic livestock. Results indicate that: (1) grasses and shrubs are the main component in the diet of both camelids, (2) shrubs were more consumed by V. vicugna; (3) V. vicugna and L. guanicoe used the same trophic resources but in different proportions; (4) in mountain environments, wetlands exploitation by wild camelids seems restricted by domestic cattle, which would cause the displacement of Vicu\u00f1as and Guanacos to suboptimal habitat for feeding.", "author" : [ { "dropping-particle" : "", "family" : "Tirado", "given" : "C.", "non-dropping-particle" : "", "parse-names" : false, "suffix" : "" }, { "dropping-particle" : "", "family" : "Cort\u00e9s", "given" : "A", "non-dropping-particle" : "", "parse-names" : false, "suffix" : "" }, { "dropping-particle" : "", "family" : "Carretero", "given" : "M. A.", "non-dropping-particle" : "", "parse-names" : false, "suffix" : "" }, { "dropping-particle" : "", "family" : "Bozinovic", "given" : "F.", "non-dropping-particle" : "", "parse-names" : false, "suffix" : "" } ], "container-title" : "Gayana", "id" : "ITEM-2", "issue" : "1", "issued" : { "date-parts" : [ [ "2016" ] ] }, "page" : "29-39", "title" : "Does the presence of livestock alter the trophic behaviour of sympatric populations of wild camelids &lt;i&gt;Vicugna vicugna&lt;/i&gt; Molina 1782 and &lt;i&gt;Lama guanicoe&lt;/i&gt; M\u00fcller 1976 (Artiodactyla: Camelidae)? Evidence from central Andes", "type" : "article-journal", "volume" : "80" }, "uris" : [ "http://www.mendeley.com/documents/?uuid=1a6e33a6-3b6e-36f3-9b46-6aed1b423ba9" ] } ], "mendeley" : { "formattedCitation" : "(Borgnia et al., 2008; Tirado et al., 2016)", "manualFormatting" : "(Borgnia et al., 2008; Tirado et al., 2016)", "plainTextFormattedCitation" : "(Borgnia et al., 2008; Tirado et al., 2016)", "previouslyFormattedCitation" : "(Borgnia et al., 2008; Tirado et al., 2016)" }, "properties" : { "noteIndex" : 0 }, "schema" : "https://github.com/citation-style-language/schema/raw/master/csl-citation.json" }</w:instrText>
      </w:r>
      <w:r w:rsidRPr="008608AA">
        <w:fldChar w:fldCharType="separate"/>
      </w:r>
      <w:r w:rsidRPr="008608AA">
        <w:rPr>
          <w:noProof/>
        </w:rPr>
        <w:t>(Borgnia et al., 2008; Tirado et al., 2016)</w:t>
      </w:r>
      <w:r w:rsidRPr="008608AA">
        <w:fldChar w:fldCharType="end"/>
      </w:r>
      <w:r w:rsidRPr="008608AA">
        <w:t xml:space="preserve"> (see also Box 3.6).</w:t>
      </w:r>
    </w:p>
    <w:p w14:paraId="4D99256F" w14:textId="5490335A" w:rsidR="004255E7" w:rsidRPr="008608AA" w:rsidRDefault="00520F22" w:rsidP="00581F86">
      <w:pPr>
        <w:spacing w:after="120"/>
      </w:pPr>
      <w:r w:rsidRPr="008608AA">
        <w:t xml:space="preserve">Recent trends. </w:t>
      </w:r>
      <w:r w:rsidR="004255E7" w:rsidRPr="008608AA">
        <w:t>Many South American wetlands have been severely degraded over the past 30–40 years.</w:t>
      </w:r>
      <w:r w:rsidR="004255E7" w:rsidRPr="008608AA">
        <w:rPr>
          <w:i/>
        </w:rPr>
        <w:t xml:space="preserve"> </w:t>
      </w:r>
      <w:r w:rsidR="004255E7" w:rsidRPr="008608AA">
        <w:t xml:space="preserve">High Andean bogs and associated salt lakes in arid areas of the Andes are now used extensively as a water source for mining </w:t>
      </w:r>
      <w:r w:rsidR="004255E7" w:rsidRPr="008608AA">
        <w:fldChar w:fldCharType="begin" w:fldLock="1"/>
      </w:r>
      <w:r w:rsidR="004255E7" w:rsidRPr="008608AA">
        <w:instrText>ADDIN CSL_CITATION { "citationItems" : [ { "id" : "ITEM-1", "itemData" : { "DOI" : "10.3390/su8020128", "ISSN" : "20711050", "abstract" : "\u00a9 2016 by the authors. Chile contains some of the driest areas in the world, yet human activities in these areas require large volumes of water, the result is regions experiencing high water scarcity leading to environmental degradation, conflicts and reduced industrial productivity. The aim of this paper was to quantify the water scarcity in the central and northern regions by calculating the water scarcity index-the ratio of annual water demand to availability. A focus of the paper was to determine the impact of the main industries in each region and investigate the benefit of implementing water reduction strategies within these industries. The water resources of each investigated region were found to be greatly overexploited and particularly so in the region of Antofagasta. The mining industry was found to be the greatest water consuming sector in this region and further analysis demonstrated that the degree of water scarcity could be greatly reduced by the implementation of water reduction strategies. The agricultural sector dominated water demand in all other regions and it was found that upgrading irrigation efficiency alongside reducing consumption in mining improved the situation in all regions. Nevertheless, given the scale of water scarcity, further investigation is necessary to obtain more recent and accurate data and analyze alternative strategies.", "author" : [ { "dropping-particle" : "", "family" : "Aitken", "given" : "Douglas", "non-dropping-particle" : "", "parse-names" : false, "suffix" : "" }, { "dropping-particle" : "", "family" : "Rivera", "given" : "Diego", "non-dropping-particle" : "", "parse-names" : false, "suffix" : "" }, { "dropping-particle" : "", "family" : "Godoy-Fa\u00fandez", "given" : "Alex", "non-dropping-particle" : "", "parse-names" : false, "suffix" : "" }, { "dropping-particle" : "", "family" : "Holzapfel", "given" : "Eduardo", "non-dropping-particle" : "", "parse-names" : false, "suffix" : "" } ], "container-title" : "Sustainability", "id" : "ITEM-1", "issue" : "2", "issued" : { "date-parts" : [ [ "2016" ] ] }, "page" : "18 pp,", "title" : "Water scarcity and the impact of the mining and agricultural sectors in Chile", "type" : "article-journal", "volume" : "8" }, "uris" : [ "http://www.mendeley.com/documents/?uuid=63515e54-0c95-4620-ac3d-d0391da9803e" ] } ], "mendeley" : { "formattedCitation" : "(Aitken, Rivera, Godoy-Fa\u00fandez, &amp; Holzapfel, 2016)", "manualFormatting" : "(Aitken et al., 2016)", "plainTextFormattedCitation" : "(Aitken, Rivera, Godoy-Fa\u00fandez, &amp; Holzapfel, 2016)", "previouslyFormattedCitation" : "(Aitken, Rivera, Godoy-Fa\u00fandez, &amp; Holzapfel, 2016)" }, "properties" : { "noteIndex" : 0 }, "schema" : "https://github.com/citation-style-language/schema/raw/master/csl-citation.json" }</w:instrText>
      </w:r>
      <w:r w:rsidR="004255E7" w:rsidRPr="008608AA">
        <w:fldChar w:fldCharType="separate"/>
      </w:r>
      <w:r w:rsidR="004255E7" w:rsidRPr="008608AA">
        <w:rPr>
          <w:noProof/>
        </w:rPr>
        <w:t>(Aitken et al., 2016)</w:t>
      </w:r>
      <w:r w:rsidR="004255E7" w:rsidRPr="008608AA">
        <w:fldChar w:fldCharType="end"/>
      </w:r>
      <w:r w:rsidR="004255E7" w:rsidRPr="008608AA">
        <w:t xml:space="preserve">, although this source is now being replaced by imported seawater from adjacent coastal areas in some cases. Roads built over these fragile ecosystems </w:t>
      </w:r>
      <w:r w:rsidR="00664284" w:rsidRPr="008608AA">
        <w:t xml:space="preserve">are </w:t>
      </w:r>
      <w:r w:rsidR="004255E7" w:rsidRPr="008608AA">
        <w:t xml:space="preserve">an additional problem </w:t>
      </w:r>
      <w:r w:rsidR="004255E7" w:rsidRPr="008608AA">
        <w:fldChar w:fldCharType="begin" w:fldLock="1"/>
      </w:r>
      <w:r w:rsidR="004255E7" w:rsidRPr="008608AA">
        <w:instrText>ADDIN CSL_CITATION { "citationItems" : [ { "id" : "ITEM-1", "itemData" : { "ISSN" : "1819-754X", "abstract" : "\u00a9 2015 International Mire Conservation Group and International Peat Society.Peatlands represent one of the most important water resources in the Puna grassland ecoregion, but this fact is not yet widely recognised. Puna peatlands also provide key environmental services such as increasing the regional biodiversity of the Andean Altiplano plateau and contributing to the wellbeing of high-altitude human populations by providing grazing land and cooking fuel. We conducted a study in the Peruvian Puna ecoregion to describe the current condition of peatlands in terms of their vegetation, physical and chemical characteristics and disturbance status. Our results suggest that peat thickness, organic matter and degree of humification are good indicators for identifying peatlands in the Puna ecoregion. In general, the peatland sites that we sampled were dominated by mixtures of cushion and acaulescent rosette forming plants such as Distichia muscoides Nees &amp; Meyen and Plantago tubulosa Decne. These Distichia and Plantago peatland sites were characterised by a mean surface water pH of 6.3, corrected electrical conductivity K corr. in the range 300\u20131814 \u03bcS cm-1 and presented the following mean exchangeable cation values: Ca2+ 48 mg L-1, Mg2+ 9.6 mg L-1, Na+ 8.2 mg L-1 and K+ 2.1 mg L-1. The most common causes of disturbance we encountered were grazing, peat extraction and roads. Disturbance was most severe in mining sites, where peatlands are especially vulnerable because they are not under legal protection.", "author" : [ { "dropping-particle" : "", "family" : "Salvador", "given" : "F", "non-dropping-particle" : "", "parse-names" : false, "suffix" : "" }, { "dropping-particle" : "", "family" : "Monerris", "given" : "J", "non-dropping-particle" : "", "parse-names" : false, "suffix" : "" }, { "dropping-particle" : "", "family" : "Rochefort", "given" : "L", "non-dropping-particle" : "", "parse-names" : false, "suffix" : "" } ], "container-title" : "Mires and Peat", "id" : "ITEM-1", "issue" : "4", "issued" : { "date-parts" : [ [ "2014" ] ] }, "page" : "1-17", "title" : "Peatlands of the Peruvian Puna ecoregion: types, characteristics and disturbance", "type" : "article-journal", "volume" : "15" }, "uris" : [ "http://www.mendeley.com/documents/?uuid=b9c11fd1-ab53-32ef-9598-5a8131c97474" ] } ], "mendeley" : { "formattedCitation" : "(Salvador, Monerris, &amp; Rochefort, 2014)", "manualFormatting" : "(Salvador et al., 2014)", "plainTextFormattedCitation" : "(Salvador, Monerris, &amp; Rochefort, 2014)", "previouslyFormattedCitation" : "(Salvador, Monerris, &amp; Rochefort, 2014)" }, "properties" : { "noteIndex" : 0 }, "schema" : "https://github.com/citation-style-language/schema/raw/master/csl-citation.json" }</w:instrText>
      </w:r>
      <w:r w:rsidR="004255E7" w:rsidRPr="008608AA">
        <w:fldChar w:fldCharType="separate"/>
      </w:r>
      <w:r w:rsidR="004255E7" w:rsidRPr="008608AA">
        <w:rPr>
          <w:noProof/>
        </w:rPr>
        <w:t>(Salvador et al., 2014)</w:t>
      </w:r>
      <w:r w:rsidR="004255E7" w:rsidRPr="008608AA">
        <w:fldChar w:fldCharType="end"/>
      </w:r>
      <w:r w:rsidR="004255E7" w:rsidRPr="008608AA">
        <w:t xml:space="preserve">. Water levels in the bog complex in the arid Andes are critical for bird species maintenance </w:t>
      </w:r>
      <w:r w:rsidR="004255E7" w:rsidRPr="008608AA">
        <w:fldChar w:fldCharType="begin" w:fldLock="1"/>
      </w:r>
      <w:r w:rsidR="004255E7" w:rsidRPr="008608AA">
        <w:instrText>ADDIN CSL_CITATION { "citationItems" : [ { "id" : "ITEM-1", "itemData" : { "ISBN" : "0570-7358", "ISSN" : "05707358", "abstract" : "Aims: Bogs (locally named \"bofedales\") constitute a key habitat for conserving birds associated with the wet meadows and ponds on the huge expanses of dry bunch-grass steppes (\"puna\") of the Andes. Despite this, the factors shaping bird numbers and species richness in this habitat have not been studied. This paper examines the bird communities in a set of bogs distributed in two Peruvian localities during the wet (February) and dry (September) season. It evaluates the effects of bog size and some habitat features (grazing intensity, presence of small watercourses, vegetation cover, etc.) on abundance and species richness of bird communities. Location: Two Peruvian localities above 4,000 in (humid mountains near Cusco, and and uplands near Arequipa). Methods: Given that bogs tended to be long and narrow (mean width: 59 in, range 10 - 200 in), birds were counted along three parallel, simultaneous transects covering the full area of bogs. Independent variables evaluated were the size (ha), altitude (in above sea level), slope (0-90 degrees), presence/absence of small permanent watercourses and cover (%) of water, meadows and cushion-like Yareta shrubs in each study bog. Grazing intensity was estimated by counting the number of faecal pellet groups (of alpacas and other livestock) inside a one-metre-wide band transect. Results: Results support the view that bogs operate as local \"hotspots\" for birds, as they maintain species associated with different habitats, such as rivers and lakes (Anas flavirostris, Anas specularoides. etc). wet meadows (Vanellus resplendens, Chloephaga melanoptera, Cinclodes fuscus, Lessonia oreas, etc.) or bunch-grass steppes (Metriopelia aymara, Thinocorus orbignyianus, etc.). Bird species richness and numbers were positively correlated with bog size and, after controlling for this effect, species richness increased in those and upland bogs crossed by small watercourses during the dry period. This supports the key role of water availability on the bird communities of these steppes. No effect of grazing intensity and other habitat features were recorded. Conclusions: From a conservation perspective, bog size and the presence of permanent watercourses seem to be two focal criteria for prioritizing relevant bogs for protection and can also be used as key guidelines for evaluating the pervasive effects of the reduction and alteration of bogs by public works (roads), agricultural encroachment or draining.", "author" : [ { "dropping-particle" : "", "family" : "Teller\u00eda", "given" : "Jos\u00e9 Luis", "non-dropping-particle" : "", "parse-names" : false, "suffix" : "" }, { "dropping-particle" : "", "family" : "Venero", "given" : "Jos\u00e9 Luis", "non-dropping-particle" : "", "parse-names" : false, "suffix" : "" }, { "dropping-particle" : "", "family" : "Santos", "given" : "Tom\u00e1s", "non-dropping-particle" : "", "parse-names" : false, "suffix" : "" } ], "container-title" : "Ardeola", "id" : "ITEM-1", "issue" : "2", "issued" : { "date-parts" : [ [ "2006" ] ] }, "page" : "271-283", "title" : "Conserving birdlife of Peruvian highland bogs: effects of patch-size and habitat quality on species richness and bird numbers", "type" : "article-journal", "volume" : "53" }, "uris" : [ "http://www.mendeley.com/documents/?uuid=22e75383-a9b3-3b52-8222-348d70302dc4" ] } ], "mendeley" : { "formattedCitation" : "(Teller\u00eda et al., 2006)", "manualFormatting" : "(Teller\u00eda et al., 2006)", "plainTextFormattedCitation" : "(Teller\u00eda et al., 2006)", "previouslyFormattedCitation" : "(Teller\u00eda et al., 2006)" }, "properties" : { "noteIndex" : 0 }, "schema" : "https://github.com/citation-style-language/schema/raw/master/csl-citation.json" }</w:instrText>
      </w:r>
      <w:r w:rsidR="004255E7" w:rsidRPr="008608AA">
        <w:fldChar w:fldCharType="separate"/>
      </w:r>
      <w:r w:rsidR="004255E7" w:rsidRPr="008608AA">
        <w:rPr>
          <w:noProof/>
        </w:rPr>
        <w:t>(Tellería et al., 2006)</w:t>
      </w:r>
      <w:r w:rsidR="004255E7" w:rsidRPr="008608AA">
        <w:fldChar w:fldCharType="end"/>
      </w:r>
      <w:r w:rsidR="004255E7" w:rsidRPr="008608AA">
        <w:t xml:space="preserve">. Water withdrawal also alters a key habitat for grazing animals. In the vast Pantanal, largely as a result of large-scale cattle ranching and cropping, between 1976 and 2008 loss of floodplain vegetation increased over 20-fold </w:t>
      </w:r>
      <w:r w:rsidR="004255E7" w:rsidRPr="008608AA">
        <w:fldChar w:fldCharType="begin" w:fldLock="1"/>
      </w:r>
      <w:r w:rsidR="004255E7" w:rsidRPr="008608AA">
        <w:instrText>ADDIN CSL_CITATION { "citationItems" : [ { "id" : "ITEM-1", "itemData" : { "author" : [ { "dropping-particle" : "", "family" : "Silva", "given" : "J.S.V.", "non-dropping-particle" : "", "parse-names" : false, "suffix" : "" }, { "dropping-particle" : "", "family" : "Abdon", "given" : "M.", "non-dropping-particle" : "", "parse-names" : false, "suffix" : "" }, { "dropping-particle" : "", "family" : "Silva", "given" : "S.M.A.", "non-dropping-particle" : "", "parse-names" : false, "suffix" : "" }, { "dropping-particle" : "", "family" : "Moraes", "given" : "J.A.", "non-dropping-particle" : "", "parse-names" : false, "suffix" : "" } ], "container-title" : "Geografia (Rio Claro)", "id" : "ITEM-1", "issue" : "Especial", "issued" : { "date-parts" : [ [ "2011" ] ] }, "page" : "35-55", "title" : "Evolution of deforestation in the Brazilian pantanal and surroundings in the timeframe 1976-2008", "type" : "article-journal", "volume" : "36" }, "uris" : [ "http://www.mendeley.com/documents/?uuid=988a666e-1238-3b7c-b6e9-4aef485903e6" ] } ], "mendeley" : { "formattedCitation" : "(J. S. V. Silva, Abdon, Silva, &amp; Moraes, 2011)", "manualFormatting" : "(Silva et al., 2011)", "plainTextFormattedCitation" : "(J. S. V. Silva, Abdon, Silva, &amp; Moraes, 2011)", "previouslyFormattedCitation" : "(J. S. V. Silva, Abdon, Silva, &amp; Moraes, 2011)" }, "properties" : { "noteIndex" : 0 }, "schema" : "https://github.com/citation-style-language/schema/raw/master/csl-citation.json" }</w:instrText>
      </w:r>
      <w:r w:rsidR="004255E7" w:rsidRPr="008608AA">
        <w:fldChar w:fldCharType="separate"/>
      </w:r>
      <w:r w:rsidR="004255E7" w:rsidRPr="008608AA">
        <w:rPr>
          <w:noProof/>
        </w:rPr>
        <w:t>(Silva et al., 2011)</w:t>
      </w:r>
      <w:r w:rsidR="004255E7" w:rsidRPr="008608AA">
        <w:fldChar w:fldCharType="end"/>
      </w:r>
      <w:r w:rsidR="004255E7" w:rsidRPr="008608AA">
        <w:t xml:space="preserve"> </w:t>
      </w:r>
      <w:r w:rsidR="00664284" w:rsidRPr="008608AA">
        <w:t>with some 12% lost. Loss of pantanal has lead to</w:t>
      </w:r>
      <w:r w:rsidR="004255E7" w:rsidRPr="008608AA">
        <w:t xml:space="preserve"> negative consequences for large animal species </w:t>
      </w:r>
      <w:r w:rsidR="004255E7" w:rsidRPr="008608AA">
        <w:fldChar w:fldCharType="begin" w:fldLock="1"/>
      </w:r>
      <w:r w:rsidR="004255E7" w:rsidRPr="008608AA">
        <w:instrText>ADDIN CSL_CITATION { "citationItems" : [ { "id" : "ITEM-1", "itemData" : { "DOI" : "10.1515/mammalia-2014-0094", "ISSN" : "18641547", "abstract" : "In the neotropics, white-lipped peccaries ( Tayassu pecari ) are important indicators of intact natu- ral landscapes and the status of medium- to large-sized mammals dependent on forest habitats. Recognizing the species \u2019 value as an environmental indicator of landscape and forest conditions in the southern Pantanal, we evalu- ated the impacts of deforestation and fragmentation on forest mammals by analyzing T. pecari home ranges in a pristine area with intact natural vegetation cover, and a relatively disturbed area where deforestation and conver- sion to exotic grass pasture is becoming prevalent. In the relatively disturbed region, the home range area was 51% larger than it was in the pristine area, and there were two centers of activity separated by a large unused deforested patch. In the pristine region, there was only one activity center without large unused patches. We relate the differ- ences in the disturbed area to fragmentation of the origi- nal T. pecari home range and loss of forest fruit sources. We discuss the implications of ongoing forest fragmenta- tion and predicted climate change for T. pecari and other forest frugivores in the naturally patchy and highly sea- sonal environment of the Pantanal. Keywords:", "author" : [ { "dropping-particle" : "", "family" : "Keuroghlian", "given" : "Alexine", "non-dropping-particle" : "", "parse-names" : false, "suffix" : "" }, { "dropping-particle" : "", "family" : "Andrade Santos", "given" : "Maria do Carmo", "non-dropping-particle" : "", "parse-names" : false, "suffix" : "" }, { "dropping-particle" : "", "family" : "Eaton", "given" : "Donald P.", "non-dropping-particle" : "", "parse-names" : false, "suffix" : "" } ], "container-title" : "Mammalia", "id" : "ITEM-1", "issue" : "4", "issued" : { "date-parts" : [ [ "2015" ] ] }, "page" : "491-497", "title" : "The effects of deforestation on white-lipped peccary (&lt;i&gt;Tayassu pecari&lt;/i&gt;) home range in the southern Pantanal", "type" : "article-journal", "volume" : "79" }, "uris" : [ "http://www.mendeley.com/documents/?uuid=a59c1c33-ae7b-4889-a48d-0d0ab195f524" ] } ], "mendeley" : { "formattedCitation" : "(Keuroghlian, Andrade Santos, &amp; Eaton, 2015)", "manualFormatting" : "(Keuroghlian et al., 2015)", "plainTextFormattedCitation" : "(Keuroghlian, Andrade Santos, &amp; Eaton, 2015)", "previouslyFormattedCitation" : "(Keuroghlian, Andrade Santos, &amp; Eaton, 2015)" }, "properties" : { "noteIndex" : 0 }, "schema" : "https://github.com/citation-style-language/schema/raw/master/csl-citation.json" }</w:instrText>
      </w:r>
      <w:r w:rsidR="004255E7" w:rsidRPr="008608AA">
        <w:fldChar w:fldCharType="separate"/>
      </w:r>
      <w:r w:rsidR="004255E7" w:rsidRPr="008608AA">
        <w:rPr>
          <w:noProof/>
        </w:rPr>
        <w:t>(Keuroghlian et al., 2015)</w:t>
      </w:r>
      <w:r w:rsidR="004255E7" w:rsidRPr="008608AA">
        <w:fldChar w:fldCharType="end"/>
      </w:r>
      <w:r w:rsidR="004255E7" w:rsidRPr="008608AA">
        <w:t xml:space="preserve">. Nevertheless, absolute loss of pantanal is much lower than for </w:t>
      </w:r>
      <w:r w:rsidR="00A01A41" w:rsidRPr="008608AA">
        <w:t>Cerrado</w:t>
      </w:r>
      <w:r w:rsidR="008867C3" w:rsidRPr="008608AA">
        <w:t>. In the l</w:t>
      </w:r>
      <w:r w:rsidR="004255E7" w:rsidRPr="008608AA">
        <w:t xml:space="preserve">ower Paraná delta in Argentina, between 1999 and 2013 one-third of the freshwater marshes (163,000 ha) were replaced by cattle pastures (70%) and forestry (18%) </w:t>
      </w:r>
      <w:r w:rsidR="004255E7" w:rsidRPr="008608AA">
        <w:fldChar w:fldCharType="begin" w:fldLock="1"/>
      </w:r>
      <w:r w:rsidR="004255E7" w:rsidRPr="008608AA">
        <w:instrText>ADDIN CSL_CITATION { "citationItems" : [ { "id" : "ITEM-1", "itemData" : { "DOI" : ". doi: 10.1016/j.scitotenv.2016.04.200", "author" : [ { "dropping-particle" : "V.", "family" : "Sica", "given" : "Y.", "non-dropping-particle" : "", "parse-names" : false, "suffix" : "" }, { "dropping-particle" : "", "family" : "Quintana", "given" : "R. D.", "non-dropping-particle" : "", "parse-names" : false, "suffix" : "" }, { "dropping-particle" : "", "family" : "Radeloff", "given" : "V. C.", "non-dropping-particle" : "", "parse-names" : false, "suffix" : "" }, { "dropping-particle" : "", "family" : "G. I. Gavier-Pizarro", "given" : "", "non-dropping-particle" : "", "parse-names" : false, "suffix" : "" } ], "container-title" : "Science of the Total Environment", "id" : "ITEM-1", "issued" : { "date-parts" : [ [ "2016" ] ] }, "page" : "967-978", "title" : "Wetland loss due to land use change in the Lower Parana River Delta, Argentina", "type" : "article-journal", "volume" : "568" }, "uris" : [ "http://www.mendeley.com/documents/?uuid=68b519e3-2515-4520-9cd4-2e27b521bd99" ] } ], "mendeley" : { "formattedCitation" : "(Sica, Quintana, Radeloff, &amp; G. I. Gavier-Pizarro, 2016)", "manualFormatting" : "(Sica et al., 2016)", "plainTextFormattedCitation" : "(Sica, Quintana, Radeloff, &amp; G. I. Gavier-Pizarro, 2016)", "previouslyFormattedCitation" : "(Sica, Quintana, Radeloff, &amp; G. I. Gavier-Pizarro, 2016)" }, "properties" : { "noteIndex" : 0 }, "schema" : "https://github.com/citation-style-language/schema/raw/master/csl-citation.json" }</w:instrText>
      </w:r>
      <w:r w:rsidR="004255E7" w:rsidRPr="008608AA">
        <w:fldChar w:fldCharType="separate"/>
      </w:r>
      <w:r w:rsidR="004255E7" w:rsidRPr="008608AA">
        <w:rPr>
          <w:noProof/>
        </w:rPr>
        <w:t>(Sica et al., 2016)</w:t>
      </w:r>
      <w:r w:rsidR="004255E7" w:rsidRPr="008608AA">
        <w:fldChar w:fldCharType="end"/>
      </w:r>
      <w:r w:rsidR="004255E7" w:rsidRPr="008608AA">
        <w:t xml:space="preserve"> over a period of no more than 14 years. As of the 1970s, intensive commercial fisheries devel</w:t>
      </w:r>
      <w:r w:rsidR="008867C3" w:rsidRPr="008608AA">
        <w:t>oped across the Amazon and the l</w:t>
      </w:r>
      <w:r w:rsidR="004255E7" w:rsidRPr="008608AA">
        <w:t xml:space="preserve">ower Paraná delta. Overexploitation of frugivorous fish species has depressed the quantity, quality, and diversity of seeds dispersed by fishes which could lead to overall reduced plant diversity in these habitats </w:t>
      </w:r>
      <w:r w:rsidR="004255E7" w:rsidRPr="008608AA">
        <w:fldChar w:fldCharType="begin" w:fldLock="1"/>
      </w:r>
      <w:r w:rsidR="004255E7" w:rsidRPr="008608AA">
        <w:instrText>ADDIN CSL_CITATION { "citationItems" : [ { "id" : "ITEM-1", "itemData" : { "author" : [ { "dropping-particle" : "", "family" : "Correa", "given" : "S. B.", "non-dropping-particle" : "", "parse-names" : false, "suffix" : "" }, { "dropping-particle" : "", "family" : "Araujo", "given" : "J. K.", "non-dropping-particle" : "", "parse-names" : false, "suffix" : "" }, { "dropping-particle" : "", "family" : "Penha", "given" : "J. M. F.", "non-dropping-particle" : "", "parse-names" : false, "suffix" : "" }, { "dropping-particle" : "", "family" : "Nunes da Cunha", "given" : "C.", "non-dropping-particle" : "", "parse-names" : false, "suffix" : "" }, { "dropping-particle" : "", "family" : "Stevenson", "given" : "P. R.", "non-dropping-particle" : "", "parse-names" : false, "suffix" : "" }, { "dropping-particle" : "", "family" : "Anderson", "given" : "J.P.", "non-dropping-particle" : "", "parse-names" : false, "suffix" : "" } ], "container-title" : "Biological Conservation", "id" : "ITEM-1", "issued" : { "date-parts" : [ [ "2015" ] ] }, "page" : "159-167", "title" : "Overfishing disrupts an ancient mutualism between frugivorous fishes and plants in Neotropical wetlands", "type" : "article-journal", "volume" : "191" }, "uris" : [ "http://www.mendeley.com/documents/?uuid=c80484fa-3c5e-4700-80b1-1da2f03b44d3" ] } ], "mendeley" : { "formattedCitation" : "(S. B. Correa et al., 2015)", "manualFormatting" : "(Correa et al., 2015)", "plainTextFormattedCitation" : "(S. B. Correa et al., 2015)", "previouslyFormattedCitation" : "(S. B. Correa et al., 2015)" }, "properties" : { "noteIndex" : 0 }, "schema" : "https://github.com/citation-style-language/schema/raw/master/csl-citation.json" }</w:instrText>
      </w:r>
      <w:r w:rsidR="004255E7" w:rsidRPr="008608AA">
        <w:fldChar w:fldCharType="separate"/>
      </w:r>
      <w:r w:rsidR="004255E7" w:rsidRPr="008608AA">
        <w:rPr>
          <w:noProof/>
        </w:rPr>
        <w:t>(Correa et al., 2015)</w:t>
      </w:r>
      <w:r w:rsidR="004255E7" w:rsidRPr="008608AA">
        <w:fldChar w:fldCharType="end"/>
      </w:r>
      <w:r w:rsidR="004255E7" w:rsidRPr="008608AA">
        <w:t xml:space="preserve">. Long-term studies (1969–1987) in the extra-tropical Mar Chiquita in Argentina reveal that flamenco breeding is very susceptible to lake water levels, especially excessive flooding </w:t>
      </w:r>
      <w:r w:rsidR="004255E7" w:rsidRPr="008608AA">
        <w:fldChar w:fldCharType="begin" w:fldLock="1"/>
      </w:r>
      <w:r w:rsidR="004255E7" w:rsidRPr="008608AA">
        <w:instrText>ADDIN CSL_CITATION { "citationItems" : [ { "id" : "ITEM-1", "itemData" : { "DOI" : "10.2307/1522155", "ISSN" : "15244695, 19385390", "abstract" : "Chilean Flamingo (Phoenicopterus chilensis) breeding colonies in Mar Chiquita, Argentina, (among the largest saline lakes in the world) were monitored by annual aerial surveys from 1969 to 1999 (26 years). During this period, the lake underwent a 9-m increase in water level, while salinity decreased from 275 g/L to 29 g/L. Breeding was recorded in 9 years. Nesting ceased when mudflats were flooded (1977) and was detected again in 1992 when the lake receded from peak levels. The highest number of juveniles produced in a single year (1987) was 42,800, with an estimated adult population of about 100,000 individuals. A total of 159,508 juveniles was produced throughout the study period. Breeding by the Chilean Flamingo appears constrained by availability of suitable habitat (islands with extensive mudflats), as well as availability of fresh water and nutrients from the incoming rivers. At present. Mar Chiquita is among the most important nesting areas for the Chilean Flamingo. Unfortunately, the lake is threatened by irrigation projects that will divert water from its main tributary, which may produce a negative effect on flamingo populations. /// Las colonias de nidificaci&amp;#xf3;n del flamenco austral, (Phoenicopterus chilensis) en Mar Chiquita, Argentina (uno de los lagos salados m&amp;#xe1;s grandes del mundo) fueron monitoreadas mediante censos a&amp;#xe9;reos anuales desde 1969 a 1999 (26 a&amp;#xf1;os). Durante este per&amp;#xed;odo, el nivel de agua en el lago aument&amp;#xf3; 9 m mientras que la salinidad disminuy&amp;#xf3; de 275 g/l a 29 g/l. Se registraron eventos de reproducci&amp;#xf3;n en 9 de los a&amp;#xf1;os. La nidificaci&amp;#xf3;n ces&amp;#xf3; cuando se inundaron los bajos de lodo en 1977 y se reanud&amp;#xf3; en 1992 cuando bajaron de su auge los niveles de agua. El mayor n&amp;#xfa;mero de juveniles producidos en un a&amp;#xf1;o fue estimado en 42.800 en 1987, con una poblaci&amp;#xf3;n adulta de 100.000. En total, 159.508 juveniles fueron producidos a lo largo del per&amp;#xed;odo de estudio. La reproducci&amp;#xf3;n del flamenco austral aparenta estar limitada por la disponibilidad de h&amp;#xe1;bitat adecuado (islas rodeadas de bajos extensivos) y por la disponibilidad de agua dulce y nutrientes provenientes de r&amp;#xed;os que fluyen hacia la laguna. Actualmente, Mar Chiquita es una de las &amp;#xe1;reas de nidificaci&amp;#xf3;n m&amp;#xe1;s importantes para el flamenco austral. Desafortunadamente, el lago est&amp;#xe1; amenazado por proyectos de irrigaci&amp;#xf3;n que desviar&amp;#xe1;n agua de su tributario principal, lo \u2026", "author" : [ { "dropping-particle" : "", "family" : "Bucher", "given" : "Enrique H.", "non-dropping-particle" : "", "parse-names" : false, "suffix" : "" }, { "dropping-particle" : "", "family" : "Echevarria", "given" : "Ada L.", "non-dropping-particle" : "", "parse-names" : false, "suffix" : "" }, { "dropping-particle" : "", "family" : "Juri", "given" : "Maria D.", "non-dropping-particle" : "", "parse-names" : false, "suffix" : "" }, { "dropping-particle" : "", "family" : "Chani", "given" : "Jose M.", "non-dropping-particle" : "", "parse-names" : false, "suffix" : "" } ], "container-title" : "Waterbirds: The International Journal of Waterbird Biology", "id" : "ITEM-1", "issued" : { "date-parts" : [ [ "2000" ] ] }, "page" : "114-118", "publisher" : "Waterbird Society", "title" : "Long-term survey of Chilean flamingo breeding colonies on Mar Chiquita lake, C\u00f3rdoba, Argentina.", "type" : "article-journal", "volume" : "23" }, "uris" : [ "http://www.mendeley.com/documents/?uuid=61451bbd-f7c8-3497-a4dc-389a9a93fc01" ] } ], "mendeley" : { "formattedCitation" : "(E. H. Bucher, Echevarria, Juri, &amp; Chani, 2000)", "manualFormatting" : "(Bucher et al., 2000)", "plainTextFormattedCitation" : "(E. H. Bucher, Echevarria, Juri, &amp; Chani, 2000)", "previouslyFormattedCitation" : "(E. H. Bucher, Echevarria, Juri, &amp; Chani, 2000)" }, "properties" : { "noteIndex" : 0 }, "schema" : "https://github.com/citation-style-language/schema/raw/master/csl-citation.json" }</w:instrText>
      </w:r>
      <w:r w:rsidR="004255E7" w:rsidRPr="008608AA">
        <w:fldChar w:fldCharType="separate"/>
      </w:r>
      <w:r w:rsidR="004255E7" w:rsidRPr="008608AA">
        <w:rPr>
          <w:noProof/>
        </w:rPr>
        <w:t>(Bucher et al., 2000)</w:t>
      </w:r>
      <w:r w:rsidR="004255E7" w:rsidRPr="008608AA">
        <w:fldChar w:fldCharType="end"/>
      </w:r>
      <w:r w:rsidR="004255E7" w:rsidRPr="008608AA">
        <w:t xml:space="preserve">, making this kind of wetland vulnerable to surrounding land use changes affecting upstream flow. While commercial peat extraction is still limited in Magellanic peat bogs, abandoned peatlands show a significant invasive plant species component </w:t>
      </w:r>
      <w:r w:rsidR="004255E7" w:rsidRPr="008608AA">
        <w:fldChar w:fldCharType="begin" w:fldLock="1"/>
      </w:r>
      <w:r w:rsidR="004255E7" w:rsidRPr="008608AA">
        <w:instrText>ADDIN CSL_CITATION { "citationItems" : [ { "id" : "ITEM-1", "itemData" : { "DOI" : "10.4067/S0718-686X2012000200003", "ISSN" : "0718-686X", "abstract" : "Las turberas de Sphagnum de la regi\u00f3n de Magallanes se caracterizan por contribuir a mantener la biodiversidad y el ciclo h\u00eddrico de los ecosistemas subant\u00e1rticos, adem\u00e1s de aportar al almacenamiento mundial de carbono, a trav\u00e9s de la producci\u00f3n y acumulaci\u00f3n lenta de materia org\u00e1nica en forma de turba. Estos humedales se han convertido en un recurso econ\u00f3mico a trav\u00e9s de la extracci\u00f3n minera de turba durante los \u00faltimos 30 a\u00f1os, generando impactos sobre el paisaje, la hidrolog\u00eda y la flora de estos ecosistemas. Para evaluar los efectos de dicha explotaci\u00f3n sobre la vegetaci\u00f3n, se estudi\u00f3 una turbera de Sphagnum explotada hace 20 a\u00f1os, en el sector de R\u00edo Rubens, Provincia de \u00daltima Esperanza, Magallanes, Chile. Con este objetivo se establecieron 42 parcelas de 1 m2 a fin de determinar diferencias en la composici\u00f3n y cobertura de especies. En total se identificaron 24 taxa, 8 de \u00e9stas fueron no nativas, exclusivas de la zona intervenida, todas clasificadas como invasoras, mientras que no hubo especies ex\u00f3ticas en la zona no intervenida. Se encontraron diferencias significativas en la composici\u00f3n flor\u00edstica de las \u00e1reas intervenidas respecto de las no explotadas. Finalmente, la modificaci\u00f3n mec\u00e1nica como producto de la extracci\u00f3n de turba y la construcci\u00f3n de canales de drenaje, favorece el arribo de especies ex\u00f3ticas de ambientes m\u00e1s secos tales como: Rumex acetosella, Holcus lanatus, Carex canescens y Hieracium pilosella. Magellanic Sphagnum peatlands are characterized by their ability to maintain biodiversity and water cycle of subantarctic ecosystems, together with its contribution to the global carbon storage through the slow production and accumulation of peat. Through industrial peat extraction, these wetlands have become an economic resource for the past 30 years, generating impacts on the landscape, hydrology and flora of these ecosystems. To evaluate the effects of peat extraction on peatland vegetation, we studied a Sphagnum peatland exploited 20 years ago in the locality of R\u00edo Rubens, Province of \u00daltima Esperanza, Magallanes, Chile. 42 plots of 1 m2 were studied in order to determine differences in species composition and plant coverage. In total 24 taxa were identified, 8 of these were alien to the study area, all classified as invasive. Significant differences where found in floristic composition between the exploited and non exploitedares. The mechanical modification of the area, as a result of peat extraction and construction of drainage\u2026", "author" : [ { "dropping-particle" : "", "family" : "Dom\u00ednguez", "given" : "E.", "non-dropping-particle" : "", "parse-names" : false, "suffix" : "" }, { "dropping-particle" : "", "family" : "Bahamonde", "given" : "N.", "non-dropping-particle" : "", "parse-names" : false, "suffix" : "" }, { "dropping-particle" : "", "family" : "Mu\u00f1oz-Escobar", "given" : "C.", "non-dropping-particle" : "", "parse-names" : false, "suffix" : "" } ], "container-title" : "Anales del Instituto de la Patagonia", "id" : "ITEM-1", "issue" : "2", "issued" : { "date-parts" : [ [ "2012" ] ] }, "page" : "37-45", "title" : "Efectos de la extracci\u00f3n de turba sobre la composici\u00f3n y estructura de una turbera de Sphagnum explotada y abandonada hace 20 a\u00f1os, Chile", "type" : "article-journal", "volume" : "40" }, "uris" : [ "http://www.mendeley.com/documents/?uuid=3caccc03-de38-3b95-9f59-75e48a154d8e" ] } ], "mendeley" : { "formattedCitation" : "(Dom\u00ednguez, Bahamonde, &amp; Mu\u00f1oz-Escobar, 2012)", "manualFormatting" : "(Dom\u00ednguez et al., 2012)", "plainTextFormattedCitation" : "(Dom\u00ednguez, Bahamonde, &amp; Mu\u00f1oz-Escobar, 2012)", "previouslyFormattedCitation" : "(Dom\u00ednguez, Bahamonde, &amp; Mu\u00f1oz-Escobar, 2012)" }, "properties" : { "noteIndex" : 0 }, "schema" : "https://github.com/citation-style-language/schema/raw/master/csl-citation.json" }</w:instrText>
      </w:r>
      <w:r w:rsidR="004255E7" w:rsidRPr="008608AA">
        <w:fldChar w:fldCharType="separate"/>
      </w:r>
      <w:r w:rsidR="004255E7" w:rsidRPr="008608AA">
        <w:rPr>
          <w:noProof/>
        </w:rPr>
        <w:t>(Domínguez et al., 2012)</w:t>
      </w:r>
      <w:r w:rsidR="004255E7" w:rsidRPr="008608AA">
        <w:fldChar w:fldCharType="end"/>
      </w:r>
      <w:r w:rsidR="004255E7" w:rsidRPr="008608AA">
        <w:t xml:space="preserve">. The integrity of southern peat bogs is further threatened by introduced beaver, which increased in number from 54,000 to 110,000 between 1999 and 2015 </w:t>
      </w:r>
      <w:r w:rsidR="004255E7" w:rsidRPr="008608AA">
        <w:fldChar w:fldCharType="begin" w:fldLock="1"/>
      </w:r>
      <w:r w:rsidR="004255E7" w:rsidRPr="008608AA">
        <w:instrText>ADDIN CSL_CITATION { "citationItems" : [ { "id" : "ITEM-1", "itemData" : { "author" : [ { "dropping-particle" : "", "family" : "Instituto de Asuntos P\u00fablicos-Centro de An\u00e1lisis de Pol\u00edticas P\u00fablicas", "given" : "", "non-dropping-particle" : "", "parse-names" : false, "suffix" : "" } ], "id" : "ITEM-1", "issued" : { "date-parts" : [ [ "2016" ] ] }, "publisher" : "Universidad de Chile", "publisher-place" : "Santiago, Chile", "title" : "Informe Pa\u00eds: Estado del Medio Ambiente en Chile. Comparaci\u00f3n 1999 - 2015", "type" : "report" }, "uris" : [ "http://www.mendeley.com/documents/?uuid=5f3c3744-3600-492d-8c9f-451cc49c6298" ] } ], "mendeley" : { "formattedCitation" : "(Instituto de Asuntos P\u00fablicos-Centro de An\u00e1lisis de Pol\u00edticas P\u00fablicas, 2016)", "plainTextFormattedCitation" : "(Instituto de Asuntos P\u00fablicos-Centro de An\u00e1lisis de Pol\u00edticas P\u00fablicas, 2016)", "previouslyFormattedCitation" : "(Instituto de Asuntos P\u00fablicos-Centro de An\u00e1lisis de Pol\u00edticas P\u00fablicas, 2016)" }, "properties" : { "noteIndex" : 0 }, "schema" : "https://github.com/citation-style-language/schema/raw/master/csl-citation.json" }</w:instrText>
      </w:r>
      <w:r w:rsidR="004255E7" w:rsidRPr="008608AA">
        <w:fldChar w:fldCharType="separate"/>
      </w:r>
      <w:r w:rsidR="004255E7" w:rsidRPr="008608AA">
        <w:rPr>
          <w:noProof/>
        </w:rPr>
        <w:t>(Instituto de Asuntos Públicos-Centro de Análisis de Políticas Públicas, 2016)</w:t>
      </w:r>
      <w:r w:rsidR="004255E7" w:rsidRPr="008608AA">
        <w:fldChar w:fldCharType="end"/>
      </w:r>
      <w:r w:rsidR="004255E7" w:rsidRPr="008608AA">
        <w:t>.</w:t>
      </w:r>
    </w:p>
    <w:p w14:paraId="5958563A" w14:textId="6A9E6294" w:rsidR="006831BC" w:rsidRPr="008608AA" w:rsidRDefault="006831BC" w:rsidP="00581F86">
      <w:pPr>
        <w:pStyle w:val="Heading4"/>
        <w:numPr>
          <w:ilvl w:val="0"/>
          <w:numId w:val="0"/>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120" w:line="240" w:lineRule="auto"/>
        <w:rPr>
          <w:b w:val="0"/>
          <w:color w:val="auto"/>
          <w:szCs w:val="24"/>
          <w:lang w:val="en-US" w:eastAsia="en-US"/>
        </w:rPr>
      </w:pPr>
      <w:bookmarkStart w:id="1143" w:name="_Toc502927366"/>
      <w:r w:rsidRPr="008608AA">
        <w:rPr>
          <w:b w:val="0"/>
          <w:color w:val="auto"/>
          <w:szCs w:val="24"/>
          <w:lang w:val="en-US" w:eastAsia="en-US"/>
        </w:rPr>
        <w:br w:type="page"/>
      </w:r>
    </w:p>
    <w:p w14:paraId="2CF0C1A5" w14:textId="7A178095" w:rsidR="00581F86" w:rsidRPr="008608AA" w:rsidRDefault="004255E7" w:rsidP="0050590F">
      <w:pPr>
        <w:pStyle w:val="Heading4"/>
        <w:rPr>
          <w:rFonts w:eastAsia="Times"/>
        </w:rPr>
      </w:pPr>
      <w:bookmarkStart w:id="1144" w:name="_Toc517393320"/>
      <w:bookmarkStart w:id="1145" w:name="_Toc517719061"/>
      <w:bookmarkStart w:id="1146" w:name="_Toc517797018"/>
      <w:r w:rsidRPr="008608AA">
        <w:t>Summary biodiversity data for terrestrial biomes and overall trends for terrestrial biomes and other units of analysis</w:t>
      </w:r>
      <w:bookmarkEnd w:id="1143"/>
      <w:bookmarkEnd w:id="1144"/>
      <w:bookmarkEnd w:id="1145"/>
      <w:bookmarkEnd w:id="1146"/>
      <w:r w:rsidRPr="008608AA">
        <w:rPr>
          <w:rFonts w:eastAsia="Times"/>
        </w:rPr>
        <w:t xml:space="preserve"> </w:t>
      </w:r>
    </w:p>
    <w:p w14:paraId="68D736F2" w14:textId="7DEC536D" w:rsidR="0050590F" w:rsidRPr="008608AA" w:rsidRDefault="00870677" w:rsidP="006831BC">
      <w:pPr>
        <w:pStyle w:val="Caption"/>
        <w:rPr>
          <w:szCs w:val="20"/>
          <w:lang w:val="en-US"/>
        </w:rPr>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3</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4</w:t>
      </w:r>
      <w:r w:rsidR="000E562E">
        <w:rPr>
          <w:noProof/>
        </w:rPr>
        <w:fldChar w:fldCharType="end"/>
      </w:r>
      <w:r w:rsidRPr="008608AA">
        <w:t>.</w:t>
      </w:r>
      <w:r w:rsidR="004255E7" w:rsidRPr="008608AA">
        <w:rPr>
          <w:szCs w:val="20"/>
          <w:lang w:val="en-US"/>
        </w:rPr>
        <w:t>Illustrative biodiversity data for principal terrestrial biomes in subregions of the Americas. The first number in parentheses gives richness; % value is endemism level where available.</w:t>
      </w:r>
    </w:p>
    <w:tbl>
      <w:tblPr>
        <w:tblStyle w:val="Tabladecuadrcula4-nfasis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87"/>
      </w:tblGrid>
      <w:tr w:rsidR="006831BC" w:rsidRPr="00843724" w14:paraId="19D2558D" w14:textId="77777777" w:rsidTr="006831BC">
        <w:trPr>
          <w:cnfStyle w:val="100000000000" w:firstRow="1" w:lastRow="0" w:firstColumn="0" w:lastColumn="0" w:oddVBand="0" w:evenVBand="0" w:oddHBand="0"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vAlign w:val="center"/>
          </w:tcPr>
          <w:p w14:paraId="170E474F" w14:textId="77777777" w:rsidR="00D90B1D" w:rsidRPr="00843724" w:rsidRDefault="00D90B1D" w:rsidP="007D620C">
            <w:pPr>
              <w:spacing w:after="40"/>
              <w:jc w:val="both"/>
              <w:rPr>
                <w:rFonts w:ascii="Times" w:hAnsi="Times" w:cs="Times New Roman"/>
                <w:szCs w:val="22"/>
              </w:rPr>
            </w:pPr>
            <w:r w:rsidRPr="00843724">
              <w:rPr>
                <w:rFonts w:ascii="Times" w:hAnsi="Times"/>
                <w:szCs w:val="22"/>
              </w:rPr>
              <w:t>North American subregion</w:t>
            </w:r>
          </w:p>
        </w:tc>
      </w:tr>
      <w:tr w:rsidR="006831BC" w:rsidRPr="00843724" w14:paraId="79CEB7A8"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3528D060" w14:textId="77777777" w:rsidR="00D90B1D" w:rsidRPr="00843724" w:rsidRDefault="00D90B1D" w:rsidP="007D620C">
            <w:pPr>
              <w:spacing w:after="40"/>
              <w:jc w:val="both"/>
              <w:rPr>
                <w:rFonts w:ascii="Times New Roman" w:hAnsi="Times New Roman" w:cs="Times New Roman"/>
                <w:b w:val="0"/>
                <w:i/>
                <w:szCs w:val="22"/>
              </w:rPr>
            </w:pPr>
            <w:r w:rsidRPr="00843724">
              <w:rPr>
                <w:rFonts w:ascii="Times New Roman" w:hAnsi="Times New Roman" w:cs="Times New Roman"/>
                <w:b w:val="0"/>
                <w:i/>
                <w:szCs w:val="22"/>
              </w:rPr>
              <w:t>Temperate and boreal forests and woodlands</w:t>
            </w:r>
          </w:p>
        </w:tc>
      </w:tr>
      <w:tr w:rsidR="006831BC" w:rsidRPr="00843724" w14:paraId="6A95285B"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0A689E7F"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szCs w:val="22"/>
              </w:rPr>
              <w:t xml:space="preserve">USA forests: plants (9,195), mammals (234), birds (452), reptiles (218), amphibians (201), freshwater fishes (60), invertebrates (739), trees (~1,000)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"author" : [ { "dropping-particle" : "", "family" : "U.S. Forestry Service", "given" : "", "non-dropping-particle" : "", "parse-names" : false, "suffix" : "" } ], "id" : "ITEM-1", "issued" : { "date-parts" : [ [ "2015" ] ] }, "publisher" : "United States Department of Agriculture", "title" : "National Report on Sustainable Forests", "type" : "report" }, "uris" : [ "http://www.mendeley.com/documents/?uuid=a8731317-6af7-4784-bfb6-d52e8d164f7f" ] } ], "mendeley" : { "formattedCitation" : "(U.S. Forestry Service, 2015)", "plainTextFormattedCitation" : "(U.S. Forestry Service, 2015)", "previouslyFormattedCitation" : "(U.S. Forestry Service, 2015)"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(U.S. Forestry Service, 2015)</w:t>
            </w:r>
            <w:r w:rsidRPr="00843724">
              <w:rPr>
                <w:szCs w:val="22"/>
              </w:rPr>
              <w:fldChar w:fldCharType="end"/>
            </w:r>
            <w:r w:rsidRPr="00843724">
              <w:rPr>
                <w:rFonts w:ascii="Times New Roman" w:hAnsi="Times New Roman" w:cs="Times New Roman"/>
                <w:szCs w:val="22"/>
              </w:rPr>
              <w:t>.</w:t>
            </w:r>
          </w:p>
        </w:tc>
      </w:tr>
      <w:tr w:rsidR="006831BC" w:rsidRPr="00843724" w14:paraId="08A1144F"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773A0A11"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eastAsia="Times New Roman" w:hAnsi="Times New Roman" w:cs="Times New Roman"/>
                <w:b w:val="0"/>
                <w:i/>
                <w:szCs w:val="22"/>
                <w:lang w:eastAsia="pt-BR"/>
              </w:rPr>
              <w:t xml:space="preserve">Mediterranean forests, woodlands and scrub </w:t>
            </w:r>
          </w:p>
        </w:tc>
      </w:tr>
      <w:tr w:rsidR="006831BC" w:rsidRPr="00843724" w14:paraId="334981F4" w14:textId="77777777" w:rsidTr="006831BC">
        <w:trPr>
          <w:trHeight w:val="50"/>
        </w:trPr>
        <w:tc>
          <w:tcPr>
            <w:cnfStyle w:val="001000000000" w:firstRow="0" w:lastRow="0" w:firstColumn="1" w:lastColumn="0" w:oddVBand="0" w:evenVBand="0" w:oddHBand="0" w:evenHBand="0" w:firstRowFirstColumn="0" w:firstRowLastColumn="0" w:lastRowFirstColumn="0" w:lastRowLastColumn="0"/>
            <w:tcW w:w="5000" w:type="pct"/>
          </w:tcPr>
          <w:p w14:paraId="2694BDFE"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szCs w:val="22"/>
              </w:rPr>
              <w:t xml:space="preserve">California Floristic Province: plants (5,006; 37%)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"10.3120/madr-63-02-3-206.1", "ISSN" : "0024-9637", "abstract" : "The California Floristic Province (CFP) is an area of high biodiversity and endemism corresponding roughly to the portion of western North America having a Mediterranean-type climate. High levels of diversity and endemism in the CFP are attributed to the unique geo-climatic setting of the region. In recent years, much has been learned about the origins of plant diversity in western North America. This work, however, has been hindered by a focus on political rather than biotic regions, such that much more is known about diversity and endemism in the state of California than the natural biotic region represented by the CFP. Here we present a preliminary list of native land plants (vascular plants and bryophytes) found in the CFP, as well as an analysis of diversity and endemism patterns at the level of both species and minimum rank taxa (MRT; species and MADRON\u02dc O, Vol. 63, No. 2, pp. 3\u2013206, 2016 infraspecific taxa). A total of 6,927 MRT are native to the CFP, including 6,143 vascular plants and 784 bryophytes. Of these, 2,612 vascular plants are endemic to the CFP (42%) compared to 37 endemic bryophytes (5%). Finally, 2,506 native CFP vascular plant MRT (41% of the CFP flora) and 454 CFP bryophyte MRT (58% of the CFP flora) are found outside California in the Oregon and Baja California parts of the CFP. This high degree of sharing across political boundaries among both vascular plants and bryophytes highlights the cohesiveness of the CFP, and the need to focus more research effort on biotic regions.", "author" : [ { "dropping-particle" : "", "family" : "Burge", "given" : "Dylan O.", "non-dropping-particle" : "", "parse-names" : false, "suffix" : "" }, { "dropping-particle" : "", "family" : "Thorne", "given" : "James H.", "non-dropping-particle" : "", "parse-names" : false, "suffix" : "" }, { "dropping-particle" : "", "family" : "Harrison", "given" : "Susan P.", "non-dropping-particle" : "", "parse-names" : false, "suffix" : "" }, { "dropping-particle" : "", "family" : "O'Brien", "given" : "Bart C.", "non-dropping-particle" : "", "parse-names" : false, "suffix" : "" }, { "dropping-particle" : "", "family" : "Rebman", "given" : "Jon P.", "non-dropping-particle" : "", "parse-names" : false, "suffix" : "" }, { "dropping-particle" : "", "family" : "Shevock", "given" : "James R.", "non-dropping-particle" : "", "parse-names" : false, "suffix" : "" }, { "dropping-particle" : "", "family" : "Alverson", "given" : "Edward R.", "non-dropping-particle" : "", "parse-names" : false, "suffix" : "" }, { "dropping-particle" : "", "family" : "Hardison", "given" : "Linda K.", "non-dropping-particle" : "", "parse-names" : false, "suffix" : "" }, { "dropping-particle" : "", "family" : "Rodr\u00cdguez", "given" : "Jos\u00e9 Delgadillo", "non-dropping-particle" : "", "parse-names" : false, "suffix" : "" }, { "dropping-particle" : "", "family" : "Junak", "given" : "Steven A.", "non-dropping-particle" : "", "parse-names" : false, "suffix" : "" }, { "dropping-particle" : "", "family" : "Oberbauer", "given" : "Thomas A.", "non-dropping-particle" : "", "parse-names" : false, "suffix" : "" }, { "dropping-particle" : "", "family" : "Riemann", "given" : "Hugo", "non-dropping-particle" : "", "parse-names" : false, "suffix" : "" }, { "dropping-particle" : "", "family" : "Vanderplank", "given" : "Sula E.", "non-dropping-particle" : "", "parse-names" : false, "suffix" : "" }, { "dropping-particle" : "", "family" : "Barry", "given" : "Teri", "non-dropping-particle" : "", "parse-names" : false, "suffix" : "" } ], "container-title" : "Madro\u00f1o", "id" : "ITEM-1", "issue" : "2", "issued" : { "date-parts" : [ [ "2016" ] ] }, "page" : "3-206", "title" : "Plant diversity and endemism in the California Floristic Province", "type" : "article-journal", "volume" : "63" }, "uris" : [ "http://www.mendeley.com/documents/?uuid=82223576-f0e6-4dd2-9534-6c95159d6cd3" ] } ], "mendeley" : { "formattedCitation" : "(Burge et al., 2016)", "manualFormatting" : "(Burge et al., 2016)", "plainTextFormattedCitation" : "(Burge et al., 2016)", "previouslyFormattedCitation" : "(Burge et al., 2016)"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(Burge et al., 2016)</w:t>
            </w:r>
            <w:r w:rsidRPr="00843724">
              <w:rPr>
                <w:szCs w:val="22"/>
              </w:rPr>
              <w:fldChar w:fldCharType="end"/>
            </w:r>
            <w:r w:rsidRPr="00843724">
              <w:rPr>
                <w:rFonts w:ascii="Times New Roman" w:hAnsi="Times New Roman" w:cs="Times New Roman"/>
                <w:b w:val="0"/>
                <w:szCs w:val="22"/>
              </w:rPr>
              <w:t>; California: mammals (201), birds (653; 1%), reptiles (101;15%), amphibians (70; 46%)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"author" : [ { "dropping-particle" : "", "family" : "Zavaleta", "given" : "E.", "non-dropping-particle" : "", "parse-names" : false, "suffix" : "" }, { "dropping-particle" : "", "family" : "Tershy", "given" : "B.", "non-dropping-particle" : "", "parse-names" : false, "suffix" : "" }, { "dropping-particle" : "", "family" : "Harrison", "given" : "S.", "non-dropping-particle" : "", "parse-names" : false, "suffix" : "" }, { "dropping-particle" : "", "family" : "Borker", "given" : "A.", "non-dropping-particle" : "", "parse-names" : false, "suffix" : "" }, { "dropping-particle" : "", "family" : "Sinervo", "given" : "B.", "non-dropping-particle" : "", "parse-names" : false, "suffix" : "" }, { "dropping-particle" : "", "family" : "Cornelisse", "given" : "T.", "non-dropping-particle" : "", "parse-names" : false, "suffix" : "" }, { "dropping-particle" : "", "family" : "Li", "given" : "C.", "non-dropping-particle" : "", "parse-names" : false, "suffix" : "" }, { "dropping-particle" : "", "family" : "Spatz", "given" : "D.", "non-dropping-particle" : "", "parse-names" : false, "suffix" : "" }, { "dropping-particle" : "", "family" : "Croll", "given" : "D.", "non-dropping-particle" : "", "parse-names" : false, "suffix" : "" } ], "container-title" : "Ecosystems of California", "editor" : [ { "dropping-particle" : "", "family" : "H. Mooney and E. Zavaleta", "given" : "", "non-dropping-particle" : "", "parse-names" : false, "suffix" : "" } ], "id" : "ITEM-1", "issued" : { "date-parts" : [ [ "2016" ] ] }, "page" : "187-212", "publisher" : "University of California Press", "publisher-place" : "Oakland, USA", "title" : "Biodiversity", "type" : "chapter" }, "uris" : [ "http://www.mendeley.com/documents/?uuid=b035c40b-dd26-3052-9e49-e5b1190cc86a" ] } ], "mendeley" : { "formattedCitation" : "(Zavaleta et al., 2016)", "manualFormatting" : "Zavaleta et al., 2016)", "plainTextFormattedCitation" : "(Zavaleta et al., 2016)", "previouslyFormattedCitation" : "(Zavaleta et al., 2016)"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Zavaleta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xml:space="preserve"> 2016)</w:t>
            </w:r>
            <w:r w:rsidRPr="00843724">
              <w:rPr>
                <w:szCs w:val="22"/>
              </w:rPr>
              <w:fldChar w:fldCharType="end"/>
            </w:r>
            <w:r w:rsidRPr="00843724">
              <w:rPr>
                <w:rFonts w:ascii="Times New Roman" w:hAnsi="Times New Roman" w:cs="Times New Roman"/>
                <w:b w:val="0"/>
                <w:szCs w:val="22"/>
              </w:rPr>
              <w:t xml:space="preserve">, bees (1,600)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"ISBN" : "978-1-59714-294-6", "abstract" : "California is home to over sixteen hundred species of undomesticated bees--most of them native--that populate and pollinate our gardens, fields, and urban green spaces. In this absorbing guidebook, some of the state's preeminent bee and botany experts introduce us to this diverse population. California Bees and Blooms holds a magnifying glass up to the twenty-two most common genera (and six species of cuckoo bees), describing each one's distinctive behaviors, social structures, flight season, preferred flowers, and enemies. Enhancing these descriptions are photographs of bees so finely detailed they capture pollen scattered across gauzy wings and iridescent exoskeletons. Drawing from years of research at the UC Berkeley Urban Bee Lab, California Bees and Blooms presents an authoritative look at these creatures, emphasizing their vital relationship with flowers. In addition to opening our eyes to the beautiful array of wild bees in our midst, this book provides information on fifty-three bee-friendly plants and how to grow them. Just a few square feet of poppies, sage, and phacelia are enough to sustain a healthy population of wild bees, transforming an urban or suburban garden into a world that hums and buzzes with life.", "author" : [ { "dropping-particle" : "", "family" : "Frankie", "given" : "Gordon W.", "non-dropping-particle" : "", "parse-names" : false, "suffix" : "" }, { "dropping-particle" : "", "family" : "Thorp", "given" : "Robbin W.", "non-dropping-particle" : "", "parse-names" : false, "suffix" : "" }, { "dropping-particle" : "", "family" : "Coville", "given" : "Rollin E.", "non-dropping-particle" : "", "parse-names" : false, "suffix" : "" }, { "dropping-particle" : "", "family" : "Ertter", "given" : "Barbara", "non-dropping-particle" : "", "parse-names" : false, "suffix" : "" } ], "id" : "ITEM-1", "issued" : { "date-parts" : [ [ "2014" ] ] }, "number-of-pages" : "296", "publisher" : "Heyday", "publisher-place" : "Berkeley, USA", "title" : "California Bees and Blooms: A Guide for Gardeners and Naturalists", "type" : "book" }, "uris" : [ "http://www.mendeley.com/documents/?uuid=86f4f95e-c857-3a35-8c04-03ebbb560404" ] } ], "mendeley" : { "formattedCitation" : "(Gordon W. Frankie, Thorp, Coville, &amp; Ertter, 2014)", "manualFormatting" : "(Frankie et al., 2014)", "plainTextFormattedCitation" : "(Gordon W. Frankie, Thorp, Coville, &amp; Ertter, 2014)", "previouslyFormattedCitation" : "(Gordon W. Frankie, Thorp, Coville, &amp; Ertter, 2014)"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(Frankie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2014)</w:t>
            </w:r>
            <w:r w:rsidRPr="00843724">
              <w:rPr>
                <w:szCs w:val="22"/>
              </w:rPr>
              <w:fldChar w:fldCharType="end"/>
            </w:r>
            <w:r w:rsidRPr="00843724">
              <w:rPr>
                <w:rFonts w:ascii="Times New Roman" w:hAnsi="Times New Roman" w:cs="Times New Roman"/>
                <w:szCs w:val="22"/>
              </w:rPr>
              <w:t>.</w:t>
            </w:r>
          </w:p>
        </w:tc>
      </w:tr>
      <w:tr w:rsidR="006831BC" w:rsidRPr="00843724" w14:paraId="1ADBBEAF"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260B4ED3"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 xml:space="preserve">Tundra and high mountain habitats </w:t>
            </w:r>
          </w:p>
        </w:tc>
      </w:tr>
      <w:tr w:rsidR="006831BC" w:rsidRPr="00843724" w14:paraId="55D56CDF"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7B2F04BB" w14:textId="332ED69E" w:rsidR="00D90B1D" w:rsidRPr="00843724" w:rsidRDefault="00D90B1D" w:rsidP="00132006">
            <w:pPr>
              <w:spacing w:after="40"/>
              <w:jc w:val="both"/>
              <w:rPr>
                <w:rFonts w:ascii="Times New Roman" w:eastAsiaTheme="majorEastAsia" w:hAnsi="Times New Roman" w:cs="Times New Roman"/>
                <w:b w:val="0"/>
                <w:bCs w:val="0"/>
                <w:i/>
                <w:iCs/>
                <w:szCs w:val="22"/>
              </w:rPr>
            </w:pPr>
            <w:r w:rsidRPr="00843724">
              <w:rPr>
                <w:rFonts w:ascii="Times New Roman" w:hAnsi="Times New Roman" w:cs="Times New Roman"/>
                <w:b w:val="0"/>
                <w:szCs w:val="22"/>
              </w:rPr>
              <w:t xml:space="preserve">North American tundra: vascular plants (1,486)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"author" : [ { "dropping-particle" : "", "family" : "Elven", "given" : "R.", "non-dropping-particle" : "", "parse-names" : false, "suffix" : "" }, { "dropping-particle" : "", "family" : "Murray", "given" : "D. F.", "non-dropping-particle" : "", "parse-names" : false, "suffix" : "" }, { "dropping-particle" : "", "family" : "Razzhivin", "given" : "V.Y.", "non-dropping-particle" : "", "parse-names" : false, "suffix" : "" }, { "dropping-particle" : "", "family" : "Yurtsev", "given" : "B.A.", "non-dropping-particle" : "", "parse-names" : false, "suffix" : "" } ], "id" : "ITEM-1", "issued" : { "date-parts" : [ [ "2011" ] ] }, "title" : "Annotated checklist of the panarctic flora (PAF): vascular plants", "type" : "article" }, "uris" : [ "http://www.mendeley.com/documents/?uuid=ca2f2cbb-6973-4a06-a771-0627f7e1cf63" ] } ], "mendeley" : { "formattedCitation" : "(Elven et al. 2011)", "manualFormatting" : "(Elven et al., 2011)", "plainTextFormattedCitation" : "(Elven et al. 2011)", "previouslyFormattedCitation" : "(Elven et al. 2011)"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(Elven et al., 2011)</w:t>
            </w:r>
            <w:r w:rsidRPr="00843724">
              <w:rPr>
                <w:szCs w:val="22"/>
              </w:rPr>
              <w:fldChar w:fldCharType="end"/>
            </w:r>
            <w:r w:rsidRPr="00843724">
              <w:rPr>
                <w:rFonts w:ascii="Times New Roman" w:hAnsi="Times New Roman" w:cs="Times New Roman"/>
                <w:b w:val="0"/>
                <w:szCs w:val="22"/>
              </w:rPr>
              <w:t xml:space="preserve">, mammals (41), birds (152), amphibians (1), insects (1,567), spiders (200), springtails (174), mites (368), white worms (73)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"ISBN" : "9789935431226", "abstract" : "Foreword by the Chief Scientist Until recently, most Arctic biodiversity was relatively unaffected by negative impacts from human activities. Only over-exploitation of certain animal populations posed serious threats, such as the extermination of Steller\u2019s sea cow, the great auk, the Eskimo curlew and a number of whale populations in recent centuries, in addition to the contribution that humans may have made to the extermination of terrestrial mega-fauna in prehistoric times. Human impacts, however, have increased in modern times with increasing human populations in much of the Arctic, modern means of rapid transport, modern hunting and fishing technology, increasing exploration and exploitation of mineral resources, impacts from contaminants and, most importantly, with climate change, which is more pronounced in the Arctic than elsewhere on the globe. There is no inherited capacity in human nature to safeguard the Earth\u2019s biological assets \u2013 moral and intellectual strength are needed to achieve conservation and wise use of living resources through cultural and personal ethics and practices. Sustainability is a prerequisite for such balance, but it does not come without restraint and concerted efforts by all stakeholders, supported by mutual social pressure, legislation and law enforcement. The Arctic is changing rapidly with shorter winters, rapidly melting sea ice, retreating glaciers and expanding sub-Arctic vegetation from the south. If greenhouse gas emissions are not reduced, Arctic biodiversity will be forever changed, and much may disappear completely. On 18 May 2011, 50 prominent thinkers, among them 15 Nobel Prize winners, issued The Stockholm Memorandum, which among other things states that: Science indicates that we are transgressing planetary boundaries that have kept civilization safe for the past 10,000 years. Evidence is growing that human pressures are starting to overwhelm the Earth\u2019s buffering capacity. Humans are now the most significant driver of global change, propelling the planet into a new geological epoch, the Anthropocene. We can no longer exclude the possibility that our collective actions will trigger tipping points, risking abrupt and irreversible consequences for human communities and ecological systems. We cannot continue on our current path. The time for procrastination is over. We cannot afford the luxury of denial. We must respond rationally, equipped with scientific evidence. Among the many current and projected stres\u2026", "editor" : [ { "dropping-particle" : "", "family" : "Meltofte", "given" : "H.", "non-dropping-particle" : "", "parse-names" : false, "suffix" : "" } ], "id" : "ITEM-1", "issued" : { "date-parts" : [ [ "2013" ] ] }, "publisher" : "Conservation of Arctic Flora and Fauna", "publisher-place" : "Akureyri, Iceland", "title" : "Arctic Biodiversity Assessment. Status and Trends in Arctic Biodiversity", "type" : "book" }, "uris" : [ "http://www.mendeley.com/documents/?uuid=99b8a3dd-b860-450e-87a7-0f45265f8da9" ] } ], "mendeley" : { "formattedCitation" : "(Meltofte 2013)", "plainTextFormattedCitation" : "(Meltofte 2013)", "previouslyFormattedCitation" : "(Meltofte 2013)"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(Meltofte, 2013)</w:t>
            </w:r>
            <w:r w:rsidRPr="00843724">
              <w:rPr>
                <w:szCs w:val="22"/>
              </w:rPr>
              <w:fldChar w:fldCharType="end"/>
            </w:r>
            <w:r w:rsidRPr="00843724">
              <w:rPr>
                <w:rFonts w:ascii="Times New Roman" w:hAnsi="Times New Roman" w:cs="Times New Roman"/>
                <w:b w:val="0"/>
                <w:szCs w:val="22"/>
              </w:rPr>
              <w:t>; Western North American alpine: plants (&gt; 1,400)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"10.1080/14888386.2015.1117989", "author" : [ { "dropping-particle" : "", "family" : "Malanson", "given" : "G. P.", "non-dropping-particle" : "", "parse-names" : false, "suffix" : "" }, { "dropping-particle" : "", "family" : "Zimmerman", "given" : "D. L.", "non-dropping-particle" : "", "parse-names" : false, "suffix" : "" }, { "dropping-particle" : "", "family" : "Fagre", "given" : "D. B.", "non-dropping-particle" : "", "parse-names" : false, "suffix" : "" } ], "container-title" : "Biodiversity", "id" : "ITEM-1", "issue" : "4", "issued" : { "date-parts" : [ [ "2015" ] ] }, "page" : "237-246", "title" : "Floristic similarity, diversity and endemism as indicators of refugia characteristics and needs in the West", "type" : "article-journal", "volume" : "16" }, "uris" : [ "http://www.mendeley.com/documents/?uuid=b45901e1-9193-4701-987b-ba2673cd1577" ] } ], "mendeley" : { "formattedCitation" : "(Malanson et al. 2015b)", "manualFormatting" : "Malanson, Zimmerman &amp; Fagre, 2015)", "plainTextFormattedCitation" : "(Malanson et al. 2015b)", "previouslyFormattedCitation" : "(Malanson et al. 2015b)"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Malanson</w:t>
            </w:r>
            <w:r w:rsidR="00132006" w:rsidRPr="00843724">
              <w:rPr>
                <w:rFonts w:ascii="Times New Roman" w:hAnsi="Times New Roman" w:cs="Times New Roman"/>
                <w:b w:val="0"/>
                <w:noProof/>
                <w:szCs w:val="22"/>
              </w:rPr>
              <w:t xml:space="preserve"> </w:t>
            </w:r>
            <w:r w:rsidR="00132006"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2015)</w:t>
            </w:r>
            <w:r w:rsidRPr="00843724">
              <w:rPr>
                <w:szCs w:val="22"/>
              </w:rPr>
              <w:fldChar w:fldCharType="end"/>
            </w:r>
            <w:r w:rsidRPr="00843724">
              <w:rPr>
                <w:rFonts w:ascii="Times New Roman" w:hAnsi="Times New Roman" w:cs="Times New Roman"/>
                <w:b w:val="0"/>
                <w:szCs w:val="22"/>
              </w:rPr>
              <w:t>.</w:t>
            </w:r>
          </w:p>
        </w:tc>
      </w:tr>
      <w:tr w:rsidR="006831BC" w:rsidRPr="00843724" w14:paraId="6610D272"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77BE996D"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Temperate grasslands</w:t>
            </w:r>
          </w:p>
        </w:tc>
      </w:tr>
      <w:tr w:rsidR="006831BC" w:rsidRPr="00843724" w14:paraId="270A921C"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2E665654" w14:textId="77777777" w:rsidR="00D90B1D" w:rsidRPr="00843724" w:rsidRDefault="00D90B1D" w:rsidP="007D620C">
            <w:pPr>
              <w:spacing w:after="40"/>
              <w:jc w:val="both"/>
              <w:rPr>
                <w:rFonts w:ascii="Times New Roman" w:eastAsia="Times New Roman" w:hAnsi="Times New Roman" w:cs="Times New Roman"/>
                <w:b w:val="0"/>
                <w:bCs w:val="0"/>
                <w:i/>
                <w:iCs/>
                <w:szCs w:val="22"/>
                <w:u w:val="single"/>
              </w:rPr>
            </w:pPr>
            <w:r w:rsidRPr="00843724">
              <w:rPr>
                <w:rFonts w:ascii="Times New Roman" w:hAnsi="Times New Roman" w:cs="Times New Roman"/>
                <w:b w:val="0"/>
                <w:szCs w:val="22"/>
              </w:rPr>
              <w:t xml:space="preserve">Midwestern grasslands: plants (897)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"10.1111/j.1523-1739.2005.00250.x", "ISBN" : "0888-8892", "ISSN" : "08888892", "PMID" : "3700", "abstract" : "Species-area relationships and island biogeography theory are commonly used to predict how species richness will decline with fragmentation. There arc, a variety of largely untested assumptions in these approaches, including the assumptions that populations are distributed uniformly before fragmentation, and that local extinctions are due to effects of small population sizes. If populations arc, not distributed uniformly, then populations can be abundant locally but rare globally This would cause extinction rates to be smaller than predicted. We tested extinction theory by developing estimates of the number of plant species that should be present in small tallgrass prairie fragments and then testing the uniformity assumption by partitioning species richness into alpha (within site) and beta (among site) components in Iowa prairies. Many more native prairie plant species were present in surveys of prairie fragments (491) than was predicted based on theory (27-207). A large proportion (75%) of the total species richness was beta richness. We suggest that the high proportion of richness wets responsible for the shallow species-area slopes and The lower than expected number of species losses and that a better understanding of what determines beta diversity will. improve predictions of fragmentation effects on richness of plants. We also suggest that plants in prairie remnants may be best conserved by protecting different prairie types rather than by protecting a few large areas containing a single prairie type.", "author" : [ { "dropping-particle" : "", "family" : "Wilsey", "given" : "Brian J.", "non-dropping-particle" : "", "parse-names" : false, "suffix" : "" }, { "dropping-particle" : "", "family" : "Martin", "given" : "Leanne M.", "non-dropping-particle" : "", "parse-names" : false, "suffix" : "" }, { "dropping-particle" : "", "family" : "Polley", "given" : "H. Wayne", "non-dropping-particle" : "", "parse-names" : false, "suffix" : "" } ], "container-title" : "Conservation Biology", "id" : "ITEM-1", "issue" : "6", "issued" : { "date-parts" : [ [ "2005" ] ] }, "page" : "1835-1841", "title" : "Predicting plant extinction based on species-area curves in prairie fragments with high beta richness", "type" : "article-journal", "volume" : "19" }, "uris" : [ "http://www.mendeley.com/documents/?uuid=b3e3acb6-0605-4e31-8292-e5528b0ba973" ] } ], "mendeley" : { "formattedCitation" : "(Wilsey et al., 2005)", "manualFormatting" : "(Wilsey et al., 2005)", "plainTextFormattedCitation" : "(Wilsey et al., 2005)", "previouslyFormattedCitation" : "(Wilsey et al., 2005)"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(Wilsey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xml:space="preserve"> 2005)</w:t>
            </w:r>
            <w:r w:rsidRPr="00843724">
              <w:rPr>
                <w:szCs w:val="22"/>
              </w:rPr>
              <w:fldChar w:fldCharType="end"/>
            </w:r>
            <w:r w:rsidRPr="00843724">
              <w:rPr>
                <w:rFonts w:ascii="Times New Roman" w:hAnsi="Times New Roman" w:cs="Times New Roman"/>
                <w:b w:val="0"/>
                <w:szCs w:val="22"/>
              </w:rPr>
              <w:t>.</w:t>
            </w:r>
          </w:p>
        </w:tc>
      </w:tr>
      <w:tr w:rsidR="006831BC" w:rsidRPr="00843724" w14:paraId="5723B08B"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5B93FB7C"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Drylands and deserts</w:t>
            </w:r>
          </w:p>
        </w:tc>
      </w:tr>
      <w:tr w:rsidR="006831BC" w:rsidRPr="00843724" w14:paraId="0A3619E2"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0F389EF0"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szCs w:val="22"/>
              </w:rPr>
              <w:t xml:space="preserve">Mojave Desert of southern California: plants (5,000)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"URL" : "http://plants.usda.gov", "author" : [ { "dropping-particle" : "", "family" : "USDA", "given" : "", "non-dropping-particle" : "", "parse-names" : false, "suffix" : "" } ], "id" : "ITEM-1", "issued" : { "date-parts" : [ [ "0" ] ] }, "title" : "Plant Database", "type" : "webpage" }, "uris" : [ "http://www.mendeley.com/documents/?uuid=42066606-992d-4601-8107-7bcfd27abe41", "http://www.mendeley.com/documents/?uuid=5f9f35c7-2ff2-4c04-a92b-fd219ea0d86d" ] } ], "mendeley" : { "formattedCitation" : "(USDA, n.d.)", "manualFormatting" : "(USDA n.d)", "plainTextFormattedCitation" : "(USDA, n.d.)", "previouslyFormattedCitation" : "(USDA, n.d.)"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(USDA n.d)</w:t>
            </w:r>
            <w:r w:rsidRPr="00843724">
              <w:rPr>
                <w:szCs w:val="22"/>
              </w:rPr>
              <w:fldChar w:fldCharType="end"/>
            </w:r>
            <w:r w:rsidRPr="00843724">
              <w:rPr>
                <w:rFonts w:ascii="Times New Roman" w:hAnsi="Times New Roman" w:cs="Times New Roman"/>
                <w:b w:val="0"/>
                <w:szCs w:val="22"/>
              </w:rPr>
              <w:t>.</w:t>
            </w:r>
          </w:p>
        </w:tc>
      </w:tr>
      <w:tr w:rsidR="006831BC" w:rsidRPr="00843724" w14:paraId="014004E8"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588BAB85"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 xml:space="preserve">Wetlands, peatlands and mires </w:t>
            </w:r>
          </w:p>
        </w:tc>
      </w:tr>
      <w:tr w:rsidR="006831BC" w:rsidRPr="00843724" w14:paraId="40B3C9E0"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1008E7DD"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szCs w:val="22"/>
              </w:rPr>
              <w:t xml:space="preserve">Canadian peatlands: mosses and related species (294)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"10.1007/s00027-006-0856-z", "ISBN" : "10151621 (ISSN)", "ISSN" : "10151621", "PMID" : "4", "abstract" : "The species diversity data of seven globally important wetlands (Canadian peatlands, Florida Everglades, Pantanal, Okavango Delta, Sundarban, Tonle Sap, and Kakadu National Park) were compared. The available data for most groups of lower plants and animals are insufficient for a comparative analysis. Data on vertebrates and higher plants are more complete and show high species diversity. The large habitat diversity allows the coexistence of amphibious species with many immigrants from connected deepwater and terrestrial habitats. Several of these immigrant species find an important permanent refuge in the wetlands; some use the wetlands as periodic habitats. All wetlands are important habitats for long-distance migratory bird species. The species composition reflects the biogeography of the respective regions, e.g. the high diversity of large ungulates characteristic for Africa is also found in the Okavango Delta in Botswana, and the high fish species diversity typical for South America is also reflected in the Pantanal in Brazil. The number of endemic species in most wetlands is low, except in the Everglades. The low numbers are explained to some extent by the dramatically changing paleo-climatic conditions that increased extinction rates, but also by the connection with large river systems that act as migratory and transport routes for species from large catchment areas and hinder the genetic isolation of wetland populations. The high number of endemic species in the Everglades is explained in part by its isolation on a peninsula. The relatively low nutrient status of most wetlands does not negatively affect species diversity and often leads to high animal densities. Large populations of endangered or rare species in all wetlands contribute to the great value of these areas for biodiversity protection. All wetlands are subjected to an increasing degree to human pressure through, e.g. water abstraction, changes in the natural flood regime, land reclamation, pollution, over-utilization of natural resources, and poaching. High habitat diversity and a pronounced natural disturbance regime make some of the wetlands vulnerable to invasion by exotic species, as shown for the Everglades. All studied wetlands are at least in part protected by national and international conventions. This provides perspectives for long-term protection only to a limited extent because of major environmental changes in their surroundings. Further strong efforts are required to mat\u2026", "author" : [ { "dropping-particle" : "", "family" : "Junk", "given" : "Wolfgang J.", "non-dropping-particle" : "", "parse-names" : false, "suffix" : "" }, { "dropping-particle" : "", "family" : "Brown", "given" : "Mark", "non-dropping-particle" : "", "parse-names" : false, "suffix" : "" }, { "dropping-particle" : "", "family" : "Campbell", "given" : "Ian C.", "non-dropping-particle" : "", "parse-names" : false, "suffix" : "" }, { "dropping-particle" : "", "family" : "Finlayson", "given" : "Max", "non-dropping-particle" : "", "parse-names" : false, "suffix" : "" }, { "dropping-particle" : "", "family" : "Gopal", "given" : "Brij", "non-dropping-particle" : "", "parse-names" : false, "suffix" : "" }, { "dropping-particle" : "", "family" : "Ramberg", "given" : "Lars", "non-dropping-particle" : "", "parse-names" : false, "suffix" : "" }, { "dropping-particle" : "", "family" : "Warner", "given" : "Barry G.", "non-dropping-particle" : "", "parse-names" : false, "suffix" : "" } ], "container-title" : "Aquatic Sciences", "id" : "ITEM-1", "issue" : "3", "issued" : { "date-parts" : [ [ "2006" ] ] }, "page" : "400-414", "title" : "The comparative biodiversity of seven globally important wetlands: a synthesis", "type" : "article-journal", "volume" : "68" }, "uris" : [ "http://www.mendeley.com/documents/?uuid=680c3c50-f81c-4f54-b487-a9e840bbbab9" ] } ], "mendeley" : { "formattedCitation" : "(Wolfgang J. Junk et al., 2006)", "manualFormatting" : "(Junk et al., 2006)", "plainTextFormattedCitation" : "(Wolfgang J. Junk et al., 2006)", "previouslyFormattedCitation" : "(Wolfgang J. Junk et al., 2006)"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(Junk et al., 2006)</w:t>
            </w:r>
            <w:r w:rsidRPr="00843724">
              <w:rPr>
                <w:szCs w:val="22"/>
              </w:rPr>
              <w:fldChar w:fldCharType="end"/>
            </w:r>
            <w:r w:rsidRPr="00843724">
              <w:rPr>
                <w:rFonts w:ascii="Times New Roman" w:hAnsi="Times New Roman" w:cs="Times New Roman"/>
                <w:b w:val="0"/>
                <w:szCs w:val="22"/>
              </w:rPr>
              <w:t xml:space="preserve">; Everglades: plants (1,033), birds (349, 249 migratory), fishes (432), reptiles (60), mammals (76), amphibians (38)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"10.1007/s00027-006-0854-1", "ISBN" : "1015-1621", "ISSN" : "10151621", "abstract" : "The Everglades, a complex wetland mosaic bounded by human development at the southern tip of the Florida Peninsula, is home to a wide array of species, including 68 threatened or endangered animal species. Species richness within Everglades National Park, at the southern extreme of the Greater Everglades ecosystem, is 1033 plant taxa, 60 reptile taxa, 76 mammal taxa, 432 fish taxa, 349 bird taxa and 38 amphibian taxa. This paper briefly introduces the flora and fauna of the Greater Everglades, focusing on species of special conservation concern and those non-native species that are altering native ecology. While there is conservation utility in cataloging biodiversity, we argue that counts of species alone are inadequate descriptors of ecosystem condition because they fail to effectively indicate emergent ecosystem properties (resilience, productivity). We develop an approach to calculating biodiversity based on systems theory that can be applied across trophic levels to provide a condition benchmark that accounts for food web interactions. The Everglades, for which detailed flow data between ecosystem components have been compiled as part of ongoing modeling efforts (DeAngelis et al., 1998), is among the few ecosystems globally for which this technique is currently feasible. Flow data are coupled with exogenous forcing energies (in emergy units - Odum, 1996) to compute transformity values (Odum, 1988) for biotic and abiotic components of an Everglades graminoid marsh community. We calculate across-trophic level biodiversity using the Shannon information equation applied to ecosystem emergy flows. Results suggest that the graminoid marsh is operating at 42% of theoretical maximum ecosystem flow diversity. By comparing observed flows with theoretical maximum flows, we provide a measure of component conservation value; we observe strong overlap between species with lower than expected emergy-based importance and those known to be currently threatened or endangered. A significant positive association between this conservation value and transformity in the marsh suggests systematic uppertrophic level biodiversity degradation.", "author" : [ { "dropping-particle" : "", "family" : "Brown", "given" : "Mark T.", "non-dropping-particle" : "", "parse-names" : false, "suffix" : "" }, { "dropping-particle" : "", "family" : "Cohen", "given" : "Matthew J.", "non-dropping-particle" : "", "parse-names" : false, "suffix" : "" }, { "dropping-particle" : "", "family" : "Bardi", "given" : "Eliana", "non-dropping-particle" : "", "parse-names" : false, "suffix" : "" }, { "dropping-particle" : "", "family" : "Ingwersen", "given" : "Wesley W.", "non-dropping-particle" : "", "parse-names" : false, "suffix" : "" } ], "container-title" : "Aquatic Sciences", "id" : "ITEM-1", "issued" : { "date-parts" : [ [ "2006" ] ] }, "page" : "254-277", "title" : "Species diversity in the Florida Everglades, USA: A systems approach to calculating biodiversity", "type" : "article-journal", "volume" : "68" }, "uris" : [ "http://www.mendeley.com/documents/?uuid=bbc73721-a36d-439c-be7f-3c4fae2e9b0f" ] } ], "mendeley" : { "formattedCitation" : "(M. T. Brown et al., 2006)", "manualFormatting" : "(Brown et al., 2006)", "plainTextFormattedCitation" : "(M. T. Brown et al., 2006)", "previouslyFormattedCitation" : "(M. T. Brown et al., 2006)"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(Brown et al., 2006)</w:t>
            </w:r>
            <w:r w:rsidRPr="00843724">
              <w:rPr>
                <w:szCs w:val="22"/>
              </w:rPr>
              <w:fldChar w:fldCharType="end"/>
            </w:r>
            <w:r w:rsidRPr="00843724">
              <w:rPr>
                <w:rFonts w:ascii="Times New Roman" w:hAnsi="Times New Roman" w:cs="Times New Roman"/>
                <w:b w:val="0"/>
                <w:szCs w:val="22"/>
              </w:rPr>
              <w:t>, macroinvertebrates: 290</w:t>
            </w:r>
            <w:r w:rsidRPr="00843724">
              <w:rPr>
                <w:rFonts w:ascii="Times New Roman" w:hAnsi="Times New Roman" w:cs="Times New Roman"/>
                <w:b w:val="0"/>
                <w:szCs w:val="22"/>
              </w:rPr>
              <w:softHyphen/>
              <w:t>–400</w:t>
            </w:r>
            <w:r w:rsidRPr="00843724">
              <w:rPr>
                <w:rFonts w:ascii="Times New Roman" w:hAnsi="Times New Roman" w:cs="Times New Roman"/>
                <w:szCs w:val="22"/>
              </w:rPr>
              <w:t xml:space="preserve"> </w:t>
            </w:r>
            <w:r w:rsidRPr="00843724">
              <w:rPr>
                <w:szCs w:val="22"/>
              </w:rPr>
              <w:fldChar w:fldCharType="begin" w:fldLock="1"/>
            </w:r>
            <w:r w:rsidRPr="00843724">
              <w:rPr>
                <w:rFonts w:ascii="Times New Roman" w:hAnsi="Times New Roman" w:cs="Times New Roman"/>
                <w:szCs w:val="22"/>
              </w:rPr>
              <w:instrText>ADDIN CSL_CITATION { "citationItems" : [ { "id" : "ITEM-1", "itemData" : { "DOI" : "10.1007/978-3-319-24978-0_10", "ISBN" : "978-3-319-24976-6", "author" : [ { "dropping-particle" : "", "family" : "Trexler", "given" : "T.C.", "non-dropping-particle" : "", "parse-names" : false, "suffix" : "" }, { "dropping-particle" : "", "family" : "Loftus", "given" : "W.F.", "non-dropping-particle" : "", "parse-names" : false, "suffix" : "" } ], "container-title" : "Invertebrates of Freshwater Wetlands", "editor" : [ { "dropping-particle" : "", "family" : "Batzer", "given" : "D.", "non-dropping-particle" : "", "parse-names" : false, "suffix" : "" }, { "dropping-particle" : "", "family" : "Boix", "given" : "D.", "non-dropping-particle" : "", "parse-names" : false, "suffix" : "" } ], "id" : "ITEM-1", "issued" : { "date-parts" : [ [ "2016" ] ] }, "page" : "321-356", "publisher" : "Springer", "publisher-place" : "Cham, Switzerlan", "title" : "Invertebrates of the Florida Everglades", "type" : "chapter" }, "uris" : [ "http://www.mendeley.com/documents/?uuid=646703b8-fdfd-4b56-ac4e-7dbb2eadab05", "http://www.mendeley.com/documents/?uuid=f96ec324-5f6a-461a-989d-1980b0957fb4" ] } ], "mendeley" : { "formattedCitation" : "(Trexler &amp; Loftus, 2016)", "plainTextFormattedCitation" : "(Trexler &amp; Loftus, 2016)", "previouslyFormattedCitation" : "(Trexler &amp; Loftus, 2016)"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(Trexler &amp; Loftus, 2016)</w:t>
            </w:r>
            <w:r w:rsidRPr="00843724">
              <w:rPr>
                <w:szCs w:val="22"/>
              </w:rPr>
              <w:fldChar w:fldCharType="end"/>
            </w:r>
            <w:r w:rsidRPr="00843724">
              <w:rPr>
                <w:rFonts w:ascii="Times New Roman" w:hAnsi="Times New Roman" w:cs="Times New Roman"/>
                <w:b w:val="0"/>
                <w:szCs w:val="22"/>
              </w:rPr>
              <w:t>.</w:t>
            </w:r>
          </w:p>
        </w:tc>
      </w:tr>
      <w:tr w:rsidR="006831BC" w:rsidRPr="00843724" w14:paraId="5DA85808"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4C546B61" w14:textId="77777777" w:rsidR="00D90B1D" w:rsidRPr="00843724" w:rsidRDefault="00D90B1D" w:rsidP="007D620C">
            <w:pPr>
              <w:spacing w:after="40"/>
              <w:jc w:val="both"/>
              <w:rPr>
                <w:rFonts w:ascii="Times New Roman" w:hAnsi="Times New Roman" w:cs="Times New Roman"/>
                <w:b w:val="0"/>
                <w:szCs w:val="22"/>
              </w:rPr>
            </w:pPr>
          </w:p>
        </w:tc>
      </w:tr>
      <w:tr w:rsidR="006831BC" w:rsidRPr="00843724" w14:paraId="7F3C648A" w14:textId="77777777" w:rsidTr="006831BC">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1E46050C" w14:textId="77777777" w:rsidR="00D90B1D" w:rsidRPr="00843724" w:rsidRDefault="00D90B1D" w:rsidP="007D620C">
            <w:pPr>
              <w:spacing w:after="40"/>
              <w:jc w:val="both"/>
              <w:rPr>
                <w:rFonts w:ascii="Times New Roman" w:hAnsi="Times New Roman" w:cs="Times New Roman"/>
                <w:szCs w:val="22"/>
              </w:rPr>
            </w:pPr>
            <w:r w:rsidRPr="00843724">
              <w:rPr>
                <w:rFonts w:ascii="Times New Roman" w:hAnsi="Times New Roman" w:cs="Times New Roman"/>
                <w:szCs w:val="22"/>
              </w:rPr>
              <w:t>Mesoamerican subregion</w:t>
            </w:r>
          </w:p>
        </w:tc>
      </w:tr>
      <w:tr w:rsidR="006831BC" w:rsidRPr="00843724" w14:paraId="0BDECC38"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4AE9F167" w14:textId="77777777" w:rsidR="00D90B1D" w:rsidRPr="00843724" w:rsidRDefault="00D90B1D" w:rsidP="007D620C">
            <w:pPr>
              <w:spacing w:after="40"/>
              <w:jc w:val="both"/>
              <w:rPr>
                <w:rFonts w:ascii="Times New Roman" w:hAnsi="Times New Roman" w:cs="Times New Roman"/>
                <w:b w:val="0"/>
                <w:i/>
                <w:szCs w:val="22"/>
              </w:rPr>
            </w:pPr>
            <w:r w:rsidRPr="00843724">
              <w:rPr>
                <w:rFonts w:ascii="Times New Roman" w:hAnsi="Times New Roman" w:cs="Times New Roman"/>
                <w:b w:val="0"/>
                <w:i/>
                <w:szCs w:val="22"/>
              </w:rPr>
              <w:t>Tropical and subtropical moist forests</w:t>
            </w:r>
          </w:p>
        </w:tc>
      </w:tr>
      <w:tr w:rsidR="006831BC" w:rsidRPr="00843724" w14:paraId="185C1359"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7D4D44FA" w14:textId="77777777" w:rsidR="00D90B1D" w:rsidRPr="00843724" w:rsidRDefault="00D90B1D" w:rsidP="007D620C">
            <w:pPr>
              <w:spacing w:after="40"/>
              <w:jc w:val="both"/>
              <w:rPr>
                <w:rFonts w:ascii="Times New Roman" w:hAnsi="Times New Roman" w:cs="Times New Roman"/>
                <w:szCs w:val="22"/>
              </w:rPr>
            </w:pPr>
            <w:r w:rsidRPr="00843724">
              <w:rPr>
                <w:rFonts w:ascii="Times New Roman" w:hAnsi="Times New Roman" w:cs="Times New Roman"/>
                <w:b w:val="0"/>
                <w:szCs w:val="22"/>
              </w:rPr>
              <w:t xml:space="preserve">Mexico lowland tropical broadleaf forest: seed plants (~5,000)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"ISBN" : "978-607-7607-03-8", "abstract" : "Challenger, A., Sober\u00f3n, J. 2008. Los ecosistemas terrestres. En: Sarukh\u00e1n, J. (coord.). Capitalnatural de M\u00e9xico, vol. I: Conocimiento actual de la biodiversidad, pp. 87-108, Comisi\u00f3n Nacionalpara el Conocimiento y Uso de la Biodiversidad, M\u00e9xico. Chapela, F. 2005. ...", "author" : [ { "dropping-particle" : "", "family" : "Challenger", "given" : "A.", "non-dropping-particle" : "", "parse-names" : false, "suffix" : "" }, { "dropping-particle" : "", "family" : "Sober\u00f3n", "given" : "J.", "non-dropping-particle" : "", "parse-names" : false, "suffix" : "" } ], "container-title" : "Capital Natural de M\u00e9xico, Vol. I: Conocimiento Actual de la Biodiversidad", "editor" : [ { "dropping-particle" : "", "family" : "Sarukh\u00e1n", "given" : "Jos\u00e9", "non-dropping-particle" : "", "parse-names" : false, "suffix" : "" } ], "id" : "ITEM-1", "issued" : { "date-parts" : [ [ "2008" ] ] }, "page" : "87-108", "publisher" : "CONABIO", "publisher-place" : "Sarukh\u00e1n, Jos\u00e9", "title" : "Los ecosistemas terrestres", "type" : "chapter" }, "uris" : [ "http://www.mendeley.com/documents/?uuid=3ee86e12-ed09-3522-b56e-692774865ec3" ] } ], "mendeley" : { "formattedCitation" : "(Challenger &amp; Sober\u00f3n, 2008)", "manualFormatting" : "(Challenger &amp; Sober\u00f3n, 2008)", "plainTextFormattedCitation" : "(Challenger &amp; Sober\u00f3n, 2008)", "previouslyFormattedCitation" : "(Challenger &amp; Sober\u00f3n, 2008)"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(Challenger &amp; Soberón, 2008)</w:t>
            </w:r>
            <w:r w:rsidRPr="00843724">
              <w:rPr>
                <w:szCs w:val="22"/>
              </w:rPr>
              <w:fldChar w:fldCharType="end"/>
            </w:r>
            <w:r w:rsidRPr="00843724">
              <w:rPr>
                <w:rFonts w:ascii="Times New Roman" w:hAnsi="Times New Roman" w:cs="Times New Roman"/>
                <w:b w:val="0"/>
                <w:szCs w:val="22"/>
              </w:rPr>
              <w:t xml:space="preserve">; Mexican montane mesophyll forest: seed plants (~3000)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"ISBN" : "978-607-7607-03-8", "abstract" : "Challenger, A., Sober\u00f3n, J. 2008. Los ecosistemas terrestres. En: Sarukh\u00e1n, J. (coord.). Capitalnatural de M\u00e9xico, vol. I: Conocimiento actual de la biodiversidad, pp. 87-108, Comisi\u00f3n Nacionalpara el Conocimiento y Uso de la Biodiversidad, M\u00e9xico. Chapela, F. 2005. ...", "author" : [ { "dropping-particle" : "", "family" : "Challenger", "given" : "A.", "non-dropping-particle" : "", "parse-names" : false, "suffix" : "" }, { "dropping-particle" : "", "family" : "Sober\u00f3n", "given" : "J.", "non-dropping-particle" : "", "parse-names" : false, "suffix" : "" } ], "container-title" : "Capital Natural de M\u00e9xico, Vol. I: Conocimiento Actual de la Biodiversidad", "editor" : [ { "dropping-particle" : "", "family" : "Sarukh\u00e1n", "given" : "Jos\u00e9", "non-dropping-particle" : "", "parse-names" : false, "suffix" : "" } ], "id" : "ITEM-1", "issued" : { "date-parts" : [ [ "2008" ] ] }, "page" : "87-108", "publisher" : "CONABIO", "publisher-place" : "Sarukh\u00e1n, Jos\u00e9", "title" : "Los ecosistemas terrestres", "type" : "chapter" }, "uris" : [ "http://www.mendeley.com/documents/?uuid=3ee86e12-ed09-3522-b56e-692774865ec3" ] } ], "mendeley" : { "formattedCitation" : "(Challenger &amp; Sober\u00f3n, 2008)", "manualFormatting" : "(Challenger &amp; Sober\u00f3n, 2008)", "plainTextFormattedCitation" : "(Challenger &amp; Sober\u00f3n, 2008)", "previouslyFormattedCitation" : "(Challenger &amp; Sober\u00f3n, 2008)"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(Challenger &amp; Soberón, 2008)</w:t>
            </w:r>
            <w:r w:rsidRPr="00843724">
              <w:rPr>
                <w:szCs w:val="22"/>
              </w:rPr>
              <w:fldChar w:fldCharType="end"/>
            </w:r>
            <w:r w:rsidRPr="00843724">
              <w:rPr>
                <w:rFonts w:ascii="Times New Roman" w:hAnsi="Times New Roman" w:cs="Times New Roman"/>
                <w:b w:val="0"/>
                <w:szCs w:val="22"/>
              </w:rPr>
              <w:t xml:space="preserve">; Mexican coniferous forest: pines (54), oaks (160) </w:t>
            </w:r>
            <w:r w:rsidRPr="00843724">
              <w:rPr>
                <w:szCs w:val="22"/>
              </w:rPr>
              <w:fldChar w:fldCharType="begin" w:fldLock="1"/>
            </w:r>
            <w:r w:rsidRPr="00843724">
              <w:rPr>
                <w:rFonts w:ascii="Times New Roman" w:hAnsi="Times New Roman" w:cs="Times New Roman"/>
                <w:b w:val="0"/>
                <w:szCs w:val="22"/>
                <w:lang w:val="en-GB"/>
              </w:rPr>
              <w:instrText>ADDIN CSL_CITATION { "citationItems" : [ { "id" : "ITEM-1", "itemData" : { "URL" : "http://www.biodiversidad.gob.mx/especies/gran_familia/plantas/pinos/pinos.html and http://www.biodiversidad.gob.mx/especies/gran_familia/plantas/magnoliayMarg/Encinos/encinos.html", "author" : [ { "dropping-particle" : "", "family" : "CONABIO", "given" : "", "non-dropping-particle" : "", "parse-names" : false, "suffix" : "" } ], "id" : "ITEM-1", "issued" : { "date-parts" : [ [ "0" ] ] }, "title" : "Biodiversidad Mexicana", "type" : "webpage" }, "uris" : [ "http://www.mendeley.com/documents/?uuid=f9054344-9792-49ba-a5d0-3644e44bd5dd" ] } ], "mendeley" : { "formattedCitation" : "(CONABIO, n.d.)", "plainTextFormattedCitation" : "(CONABIO, n.d.)", "previouslyFormattedCitation" : "(CONABIO, n.d.)"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en-GB"/>
              </w:rPr>
              <w:t>(CONABIO, 2014)</w:t>
            </w:r>
            <w:r w:rsidRPr="00843724">
              <w:rPr>
                <w:szCs w:val="22"/>
              </w:rPr>
              <w:fldChar w:fldCharType="end"/>
            </w:r>
            <w:r w:rsidRPr="00843724">
              <w:rPr>
                <w:rFonts w:ascii="Times New Roman" w:hAnsi="Times New Roman" w:cs="Times New Roman"/>
                <w:b w:val="0"/>
                <w:szCs w:val="22"/>
              </w:rPr>
              <w:t>; Eastern Panama broadleaf forest: mammals (~165)</w:t>
            </w:r>
            <w:r w:rsidRPr="00843724">
              <w:rPr>
                <w:szCs w:val="22"/>
              </w:rPr>
              <w:t xml:space="preserve">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"ISBN" : "0003-0090", "ISSN" : "00030090", "abstract" : "Information about the magnitude and geographic distribution of mammalian diversity in Neotropical lowland rainforests is important for evaluating research and conservation priorities in Central and South America. Although relevant inventory data are rapidly accumulating in the literature, real site-to-site diversity differences are hard to identify because many confounding factors can affect the size and composition of faunal lists. Herein we assess the available information about Neotropical rainforest mammal diversity and suggest guidelines for future work by reviewing inventory methods, documenting and discussing faunal lists from ten localities, and summarizing geographic range data to predict diversity patterns that can be tested by field and museum research. All inventory methods are biased because each is suitable for collecting or observing only a fraction of the morphologically and behaviorally diverse mammalian fauna that inhabits Neotropical rainforests. Hence, many methods must be used in combination to census whole communities. Although no combination of methods can be guaranteed to produce complete inventories, the omission or nonintensive application of any of several essential methods probably guarantees incomplete results. We recommend nine methods that, used intensively and in combination, should maximize the efficiency of future inventory fieldwork. Ten rainforest mammal inventories selected as exemplars illustrate several common problems: sampling effort is highly variable from study to study, species accumulation curves are not asymptotic for any fauna, essential field methods were omitted in every case, and some localities were partially defaunated by hunters prior to inventory. Meaningful diversity comparisons are therefore impossible without a major investment in additional fieldwork at each site. Geographic range data provide an essential alternative source of diversity estimates. Comparisons of inventory results with geographic expectations (diversity predictions based on range data) suggest that all existing inventories are incomplete, that the degree of incompleteness is inversely correlated with inventory duration, and that special methods are required to add elusive species to faunal lists. The range data at hand also suggest several geographic patterns that should be tested with carefully focussed fieldwork. (1) Mammalian diversity in Amazonia is probably greatest in the western subregion (between the Rio Negro and the Rio\u2026", "author" : [ { "dropping-particle" : "", "family" : "Voss", "given" : "Robert S.", "non-dropping-particle" : "", "parse-names" : false, "suffix" : "" }, { "dropping-particle" : "", "family" : "Emmons", "given" : "Louise H.", "non-dropping-particle" : "", "parse-names" : false, "suffix" : "" } ], "container-title" : "Bulletin of the American Museum of Natural History", "id" : "ITEM-1", "issued" : { "date-parts" : [ [ "1996" ] ] }, "page" : "3-115", "title" : "Mammalian diversity in neotropical lowland rainforests: a preliminary assessment", "type" : "article-journal", "volume" : "230" }, "uris" : [ "http://www.mendeley.com/documents/?uuid=9e3026e2-b77f-314a-b326-6be5f4d1e043" ] } ], "mendeley" : { "formattedCitation" : "(Voss &amp; Emmons, 1996)", "manualFormatting" : "(Voss &amp; Emmons, 1996)", "plainTextFormattedCitation" : "(Voss &amp; Emmons, 1996)", "previouslyFormattedCitation" : "(Voss &amp; Emmons, 1996)"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(Voss &amp; Emmons, 1996)</w:t>
            </w:r>
            <w:r w:rsidRPr="00843724">
              <w:rPr>
                <w:szCs w:val="22"/>
              </w:rPr>
              <w:fldChar w:fldCharType="end"/>
            </w:r>
            <w:r w:rsidRPr="00843724">
              <w:rPr>
                <w:rFonts w:ascii="Times New Roman" w:hAnsi="Times New Roman" w:cs="Times New Roman"/>
                <w:b w:val="0"/>
                <w:szCs w:val="22"/>
              </w:rPr>
              <w:t xml:space="preserve">; Southern Mexico: mammals (~125)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"ISBN" : "0003-0090", "ISSN" : "00030090", "abstract" : "Information about the magnitude and geographic distribution of mammalian diversity in Neotropical lowland rainforests is important for evaluating research and conservation priorities in Central and South America. Although relevant inventory data are rapidly accumulating in the literature, real site-to-site diversity differences are hard to identify because many confounding factors can affect the size and composition of faunal lists. Herein we assess the available information about Neotropical rainforest mammal diversity and suggest guidelines for future work by reviewing inventory methods, documenting and discussing faunal lists from ten localities, and summarizing geographic range data to predict diversity patterns that can be tested by field and museum research. All inventory methods are biased because each is suitable for collecting or observing only a fraction of the morphologically and behaviorally diverse mammalian fauna that inhabits Neotropical rainforests. Hence, many methods must be used in combination to census whole communities. Although no combination of methods can be guaranteed to produce complete inventories, the omission or nonintensive application of any of several essential methods probably guarantees incomplete results. We recommend nine methods that, used intensively and in combination, should maximize the efficiency of future inventory fieldwork. Ten rainforest mammal inventories selected as exemplars illustrate several common problems: sampling effort is highly variable from study to study, species accumulation curves are not asymptotic for any fauna, essential field methods were omitted in every case, and some localities were partially defaunated by hunters prior to inventory. Meaningful diversity comparisons are therefore impossible without a major investment in additional fieldwork at each site. Geographic range data provide an essential alternative source of diversity estimates. Comparisons of inventory results with geographic expectations (diversity predictions based on range data) suggest that all existing inventories are incomplete, that the degree of incompleteness is inversely correlated with inventory duration, and that special methods are required to add elusive species to faunal lists. The range data at hand also suggest several geographic patterns that should be tested with carefully focussed fieldwork. (1) Mammalian diversity in Amazonia is probably greatest in the western subregion (between the Rio Negro and the Rio\u2026", "author" : [ { "dropping-particle" : "", "family" : "Voss", "given" : "Robert S.", "non-dropping-particle" : "", "parse-names" : false, "suffix" : "" }, { "dropping-particle" : "", "family" : "Emmons", "given" : "Louise H.", "non-dropping-particle" : "", "parse-names" : false, "suffix" : "" } ], "container-title" : "Bulletin of the American Museum of Natural History", "id" : "ITEM-1", "issued" : { "date-parts" : [ [ "1996" ] ] }, "page" : "3-115", "title" : "Mammalian diversity in neotropical lowland rainforests: a preliminary assessment", "type" : "article-journal", "volume" : "230" }, "uris" : [ "http://www.mendeley.com/documents/?uuid=9e3026e2-b77f-314a-b326-6be5f4d1e043" ] } ], "mendeley" : { "formattedCitation" : "(Voss &amp; Emmons, 1996)", "manualFormatting" : "(Voss &amp; Emmons, 1996)", "plainTextFormattedCitation" : "(Voss &amp; Emmons, 1996)", "previouslyFormattedCitation" : "(Voss &amp; Emmons, 1996)"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(Voss &amp; Emmons, 1996)</w:t>
            </w:r>
            <w:r w:rsidRPr="00843724">
              <w:rPr>
                <w:szCs w:val="22"/>
              </w:rPr>
              <w:fldChar w:fldCharType="end"/>
            </w:r>
            <w:r w:rsidRPr="00843724">
              <w:rPr>
                <w:rFonts w:ascii="Times New Roman" w:hAnsi="Times New Roman" w:cs="Times New Roman"/>
                <w:b w:val="0"/>
                <w:szCs w:val="22"/>
              </w:rPr>
              <w:t>.</w:t>
            </w:r>
          </w:p>
        </w:tc>
      </w:tr>
      <w:tr w:rsidR="006831BC" w:rsidRPr="00843724" w14:paraId="1A87ED02"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1F5EFFCC"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Tropical and subtropical dry forests</w:t>
            </w:r>
          </w:p>
        </w:tc>
      </w:tr>
      <w:tr w:rsidR="006831BC" w:rsidRPr="00843724" w14:paraId="61655032"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6B9C2C88" w14:textId="77777777" w:rsidR="00D90B1D" w:rsidRPr="00843724" w:rsidRDefault="00D90B1D" w:rsidP="007D620C">
            <w:pPr>
              <w:widowControl w:val="0"/>
              <w:autoSpaceDE w:val="0"/>
              <w:autoSpaceDN w:val="0"/>
              <w:adjustRightInd w:val="0"/>
              <w:spacing w:after="40"/>
              <w:jc w:val="both"/>
              <w:rPr>
                <w:rFonts w:ascii="Times New Roman" w:hAnsi="Times New Roman" w:cs="Times New Roman"/>
                <w:szCs w:val="22"/>
              </w:rPr>
            </w:pPr>
            <w:r w:rsidRPr="00843724">
              <w:rPr>
                <w:rFonts w:ascii="Times New Roman" w:hAnsi="Times New Roman" w:cs="Times New Roman"/>
                <w:b w:val="0"/>
                <w:szCs w:val="22"/>
              </w:rPr>
              <w:t>Costa Rica: plants (~4,500), vertebrates (~1,100), arthropods (~150,000), fungi (~20,000)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"10.1111/j.1095-8312.1987.tb00307.x", "ISBN" : "0024-4066", "ISSN" : "10958312", "abstract" : "Biol. J. Linn. Soc.", "author" : [ { "dropping-particle" : "", "family" : "Janzen", "given" : "Daniel H.", "non-dropping-particle" : "", "parse-names" : false, "suffix" : "" } ], "container-title" : "Biological Journal of the Linnean Society", "id" : "ITEM-1", "issue" : "4", "issued" : { "date-parts" : [ [ "1987" ] ] }, "page" : "343-356", "title" : "Insect diversity of a Costa Rican dry forest: why keep it, and how?", "type" : "article-journal", "volume" : "30" }, "uris" : [ "http://www.mendeley.com/documents/?uuid=edfb0c42-7347-3f57-800a-82fa02c578b3" ] }, { "id" : "ITEM-2", "itemData" : { "DOI" : "10.7208/chicago/9780226121642.003.0010", "author" : [ { "dropping-particle" : "", "family" : "Janzen", "given" : "D.H.", "non-dropping-particle" : "", "parse-names" : false, "suffix" : "" }, { "dropping-particle" : "", "family" : "Hallwachs", "given" : "W.", "non-dropping-particle" : "", "parse-names" : false, "suffix" : "" } ], "container-title" : "Costa Rican Ecosystems", "editor" : [ { "dropping-particle" : "", "family" : "Kappelle", "given" : "M.", "non-dropping-particle" : "", "parse-names" : false, "suffix" : "" } ], "id" : "ITEM-2", "issued" : { "date-parts" : [ [ "2016" ] ] }, "page" : "290- 341", "publisher" : "University Of Chicago Press", "publisher-place" : "Chicago, USA.", "title" : "Biodiversity conservation history and future in Costa Rica: The case of \u00c1rea de Conservaci\u00f3n Guanacaste (ACG)", "type" : "chapter" }, "uris" : [ "http://www.mendeley.com/documents/?uuid=bcfa13e9-7468-457e-8fe9-51947729f07f" ] } ], "mendeley" : { "formattedCitation" : "(D.H. Janzen &amp; Hallwachs, 2016; Daniel H. Janzen, 1987)", "manualFormatting" : "Janzen, 1987;  Janzen &amp; Hallwachs, 2016)", "plainTextFormattedCitation" : "(D.H. Janzen &amp; Hallwachs, 2016; Daniel H. Janzen, 1987)", "previouslyFormattedCitation" : "(D.H. Janzen &amp; Hallwachs, 2016; Daniel H. Janzen, 1987)"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Janzen, 1987; Janzen &amp; Hallwachs, 2016)</w:t>
            </w:r>
            <w:r w:rsidRPr="00843724">
              <w:rPr>
                <w:szCs w:val="22"/>
              </w:rPr>
              <w:fldChar w:fldCharType="end"/>
            </w:r>
            <w:r w:rsidRPr="00843724">
              <w:rPr>
                <w:rFonts w:ascii="Times New Roman" w:hAnsi="Times New Roman" w:cs="Times New Roman"/>
                <w:b w:val="0"/>
                <w:szCs w:val="22"/>
              </w:rPr>
              <w:t xml:space="preserve">; Mexico: seed plants (~6,000; 40%)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"ISBN" : "978-607-7607-03-8", "abstract" : "Challenger, A., Sober\u00f3n, J. 2008. Los ecosistemas terrestres. En: Sarukh\u00e1n, J. (coord.). Capitalnatural de M\u00e9xico, vol. I: Conocimiento actual de la biodiversidad, pp. 87-108, Comisi\u00f3n Nacionalpara el Conocimiento y Uso de la Biodiversidad, M\u00e9xico. Chapela, F. 2005. ...", "author" : [ { "dropping-particle" : "", "family" : "Challenger", "given" : "A.", "non-dropping-particle" : "", "parse-names" : false, "suffix" : "" }, { "dropping-particle" : "", "family" : "Sober\u00f3n", "given" : "J.", "non-dropping-particle" : "", "parse-names" : false, "suffix" : "" } ], "container-title" : "Capital Natural de M\u00e9xico, Vol. I: Conocimiento Actual de la Biodiversidad", "editor" : [ { "dropping-particle" : "", "family" : "Sarukh\u00e1n", "given" : "Jos\u00e9", "non-dropping-particle" : "", "parse-names" : false, "suffix" : "" } ], "id" : "ITEM-1", "issued" : { "date-parts" : [ [ "2008" ] ] }, "page" : "87-108", "publisher" : "CONABIO", "publisher-place" : "Sarukh\u00e1n, Jos\u00e9", "title" : "Los ecosistemas terrestres", "type" : "chapter" }, "uris" : [ "http://www.mendeley.com/documents/?uuid=3ee86e12-ed09-3522-b56e-692774865ec3" ] } ], "mendeley" : { "formattedCitation" : "(Challenger &amp; Sober\u00f3n, 2008)", "plainTextFormattedCitation" : "(Challenger &amp; Sober\u00f3n, 2008)", "previouslyFormattedCitation" : "(Challenger &amp; Sober\u00f3n, 2008)"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(Challenger &amp; Soberón, 2008)</w:t>
            </w:r>
            <w:r w:rsidRPr="00843724">
              <w:rPr>
                <w:szCs w:val="22"/>
              </w:rPr>
              <w:fldChar w:fldCharType="end"/>
            </w:r>
            <w:r w:rsidRPr="00843724">
              <w:rPr>
                <w:rFonts w:ascii="Times New Roman" w:hAnsi="Times New Roman" w:cs="Times New Roman"/>
                <w:b w:val="0"/>
                <w:szCs w:val="22"/>
              </w:rPr>
              <w:t>, trees (1,072)</w:t>
            </w:r>
            <w:r w:rsidRPr="00843724">
              <w:rPr>
                <w:rFonts w:ascii="Times New Roman" w:hAnsi="Times New Roman" w:cs="Times New Roman"/>
                <w:szCs w:val="22"/>
              </w:rPr>
              <w:t xml:space="preserve">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"10.1126/science.aaf5080", "ISBN" : "3586", "ISSN" : "0036-8075", "PMID" : "27708031", "abstract" : "Seasonally dry tropical forests are distributed across Latin America and the Caribbean and are highly threatened, with less than 10% of their original extent remaining in many countries. Using 835 inventories covering 4660 species of woody plants, we show marked floristic turnover among inventories and regions, which may be higher than in other neotropical biomes, such as savanna. Such high floristic turnover indicates that numerous conservation areas across many countries will be needed to protect the full diversity of tropical dry forests. Our results provide a scientific framework within which national decision-makers can contextualize the floristic significance of their dry forest at a regional and continental scale.", "author" : [ { "dropping-particle" : "", "family" : "Banda-R", "given" : "K.", "non-dropping-particle" : "", "parse-names" : false, "suffix" : "" }, { "dropping-particle" : "", "family" : "Delgado-Salinas", "given" : "A.", "non-dropping-particle" : "", "parse-names" : false, "suffix" : "" }, { "dropping-particle" : "", "family" : "Dexter", "given" : "K. G.", "non-dropping-particle" : "", "parse-names" : false, "suffix" : "" }, { "dropping-particle" : "", "family" : "Linares-Palomino", "given" : "R.", "non-dropping-particle" : "", "parse-names" : false, "suffix" : "" }, { "dropping-particle" : "", "family" : "Oliveira-Filho", "given" : "A.", "non-dropping-particle" : "", "parse-names" : false, "suffix" : "" }, { "dropping-particle" : "", "family" : "Prado", "given" : "D.", "non-dropping-particle" : "", "parse-names" : false, "suffix" : "" }, { "dropping-particle" : "", "family" : "Pullan", "given" : "M.", "non-dropping-particle" : "", "parse-names" : false, "suffix" : "" }, { "dropping-particle" : "", "family" : "Quintana", "given" : "C.", "non-dropping-particle" : "", "parse-names" : false, "suffix" : "" }, { "dropping-particle" : "", "family" : "Riina", "given" : "R.", "non-dropping-particle" : "", "parse-names" : false, "suffix" : "" }, { "dropping-particle" : "", "family" : "Rodriguez M.", "given" : "G. M.", "non-dropping-particle" : "", "parse-names" : false, "suffix" : "" }, { "dropping-particle" : "", "family" : "Weintritt", "given" : "J.", "non-dropping-particle" : "", "parse-names" : false, "suffix" : "" }, { "dropping-particle" : "", "family" : "Acevedo-Rodriguez", "given" : "P.", "non-dropping-particle" : "", "parse-names" : false, "suffix" : "" }, { "dropping-particle" : "", "family" : "Adarve", "given" : "J.", "non-dropping-particle" : "", "parse-names" : false, "suffix" : "" }, { "dropping-particle" : "", "family" : "Alvarez", "given" : "E.", "non-dropping-particle" : "", "parse-names" : false, "suffix" : "" }, { "dropping-particle" : "", "family" : "Aranguren B.", "given" : "A.", "non-dropping-particle" : "", "parse-names" : false, "suffix" : "" }, { "dropping-particle" : "", "family" : "Arteaga", "given" : "J. C.", "non-dropping-particle" : "", "parse-names" : false, "suffix" : "" }, { "dropping-particle" : "", "family" : "Aymard", "given" : "G.", "non-dropping-particle" : "", "parse-names" : false, "suffix" : "" }, { "dropping-particle" : "", "family" : "Castano", "given" : "A.", "non-dropping-particle" : "", "parse-names" : false, "suffix" : "" }, { "dropping-particle" : "", "family" : "Ceballos-Mago", "given" : "N.", "non-dropping-particle" : "", "parse-names" : false, "suffix" : "" }, { "dropping-particle" : "", "family" : "Cogollo", "given" : "A.", "non-dropping-particle" : "", "parse-names" : false, "suffix" : "" }, { "dropping-particle" : "", "family" : "Cuadros", "given" : "H.", "non-dropping-particle" : "", "parse-names" : false, "suffix" : "" }, { "dropping-particle" : "", "family" : "Delgado", "given" : "F.", "non-dropping-particle" : "", "parse-names" : false, "suffix" : "" }, { "dropping-particle" : "", "family" : "Devia", "given" : "W.", "non-dropping-particle" : "", "parse-names" : false, "suffix" : "" }, { "dropping-particle" : "", "family" : "Duenas", "given" : "H.", "non-dropping-particle" : "", "parse-names" : false, "suffix" : "" }, { "dropping-particle" : "", "family" : "Fajardo", "given" : "L.", "non-dropping-particle" : "", "parse-names" : false, "suffix" : "" }, { "dropping-particle" : "", "family" : "Fernandez", "given" : "A.", "non-dropping-particle" : "", "parse-names" : false, "suffix" : "" }, { "dropping-particle" : "", "family" : "Fernandez", "given" : "M. A.", "non-dropping-particle" : "", "parse-names" : false, "suffix" : "" }, { "dropping-particle" : "", "family" : "Franklin", "given" : "J.", "non-dropping-particle" : "", "parse-names" : false, "suffix" : "" }, { "dropping-particle" : "", "family" : "Freid", "given" : "E. H.", "non-dropping-particle" : "", "parse-names" : false, "suffix" : "" }, { "dropping-particle" : "", "family" : "Galetti", "given" : "L. A.", "non-dropping-particle" : "", "parse-names" : false, "suffix" : "" }, { "dropping-particle" : "", "family" : "Gonto", "given" : "R.", "non-dropping-particle" : "", "parse-names" : false, "suffix" : "" }, { "dropping-particle" : "", "family" : "Gonzalez-M.", "given" : "R.", "non-dropping-particle" : "", "parse-names" : false, "suffix" : "" }, { "dropping-particle" : "", "family" : "Graveson", "given" : "R.", "non-dropping-particle" : "", "parse-names" : false, "suffix" : "" }, { "dropping-particle" : "", "family" : "Helmer", "given" : "E. H.", "non-dropping-particle" : "", "parse-names" : false, "suffix" : "" }, { "dropping-particle" : "", "family" : "Idarraga", "given" : "A.", "non-dropping-particle" : "", "parse-names" : false, "suffix" : "" }, { "dropping-particle" : "", "family" : "Lopez", "given" : "R.", "non-dropping-particle" : "", "parse-names" : false, "suffix" : "" }, { "dropping-particle" : "", "family" : "Marcano-Vega", "given" : "H.", "non-dropping-particle" : "", "parse-names" : false, "suffix" : "" }, { "dropping-particle" : "", "family" : "Martinez", "given" : "O. G.", "non-dropping-particle" : "", "parse-names" : false, "suffix" : "" }, { "dropping-particle" : "", "family" : "Maturo", "given" : "H. M.", "non-dropping-particle" : "", "parse-names" : false, "suffix" : "" }, { "dropping-particle" : "", "family" : "McDonald", "given" : "M.", "non-dropping-particle" : "", "parse-names" : false, "suffix" : "" }, { "dropping-particle" : "", "family" : "McLaren", "given" : "K.", "non-dropping-particle" : "", "parse-names" : false, "suffix" : "" }, { "dropping-particle" : "", "family" : "Melo", "given" : "O.", "non-dropping-particle" : "", "parse-names" : false, "suffix" : "" }, { "dropping-particle" : "", "family" : "Mijares", "given" : "F.", "non-dropping-particle" : "", "parse-names" : false, "suffix" : "" }, { "dropping-particle" : "", "family" : "Mogni", "given" : "V.", "non-dropping-particle" : "", "parse-names" : false, "suffix" : "" }, { "dropping-particle" : "", "family" : "Molina", "given" : "D.", "non-dropping-particle" : "", "parse-names" : false, "suffix" : "" }, { "dropping-particle" : "", "family" : "Moreno", "given" : "N. d. P.", "non-dropping-particle" : "", "parse-names" : false, "suffix" : "" }, { "dropping-particle" : "", "family" : "Nassar", "given" : "J. M.", "non-dropping-particle" : "", "parse-names" : false, "suffix" : "" }, { "dropping-particle" : "", "family" : "Neves", "given" : "D. M.", "non-dropping-particle" : "", "parse-names" : false, "suffix" : "" }, { "dropping-particle" : "", "family" : "Oakley", "given" : "L. J.", "non-dropping-particle" : "", "parse-names" : false, "suffix" : "" }, { "dropping-particle" : "", "family" : "Oatham", "given" : "M.", "non-dropping-particle" : "", "parse-names" : false, "suffix" : "" }, { "dropping-particle" : "", "family" : "Olvera-Luna", "given" : "A. R.", "non-dropping-particle" : "", "parse-names" : false, "suffix" : "" }, { "dropping-particle" : "", "family" : "Pezzini", "given" : "F. F.", "non-dropping-particle" : "", "parse-names" : false, "suffix" : "" }, { "dropping-particle" : "", "family" : "Dominguez", "given" : "O. J. R.", "non-dropping-particle" : "", "parse-names" : false, "suffix" : "" }, { "dropping-particle" : "", "family" : "Rios", "given" : "M. E.", "non-dropping-particle" : "", "parse-names" : false, "suffix" : "" }, { "dropping-particle" : "", "family" : "Rivera", "given" : "O.", "non-dropping-particle" : "", "parse-names" : false, "suffix" : "" }, { "dropping-particle" : "", "family" : "Rodriguez", "given" : "N.", "non-dropping-particle" : "", "parse-names" : false, "suffix" : "" }, { "dropping-particle" : "", "family" : "Rojas", "given" : "A.", "non-dropping-particle" : "", "parse-names" : false, "suffix" : "" }, { "dropping-particle" : "", "family" : "Sarkinen", "given" : "T.", "non-dropping-particle" : "", "parse-names" : false, "suffix" : "" }, { "dropping-particle" : "", "family" : "Sanchez", "given" : "R.", "non-dropping-particle" : "", "parse-names" : false, "suffix" : "" }, { "dropping-particle" : "", "family" : "Smith", "given" : "M.", "non-dropping-particle" : "", "parse-names" : false, "suffix" : "" }, { "dropping-particle" : "", "family" : "Vargas", "given" : "C.", "non-dropping-particle" : "", "parse-names" : false, "suffix" : "" }, { "dropping-particle" : "", "family" : "Villanueva", "given" : "B.", "non-dropping-particle" : "", "parse-names" : false, "suffix" : "" }, { "dropping-particle" : "", "family" : "Pennington", "given" : "R. T.", "non-dropping-particle" : "", "parse-names" : false, "suffix" : "" } ], "container-title" : "Science", "id" : "ITEM-1", "issue" : "6306", "issued" : { "date-parts" : [ [ "2016" ] ] }, "page" : "1383-1387", "title" : "Plant diversity patterns in neotropical dry forests and their conservation implications", "type" : "article-journal", "volume" : "353" }, "uris" : [ "http://www.mendeley.com/documents/?uuid=a649f79c-6777-405c-8a4d-9c9f5ef5dbb7" ] } ], "mendeley" : { "formattedCitation" : "(Banda-R et al., 2016)", "plainTextFormattedCitation" : "(Banda-R et al., 2016)", "previouslyFormattedCitation" : "(Banda-R et al., 2016)"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(Banda-R</w:t>
            </w:r>
            <w:r w:rsidRPr="00843724">
              <w:rPr>
                <w:rFonts w:ascii="Times New Roman" w:hAnsi="Times New Roman" w:cs="Times New Roman"/>
                <w:b w:val="0"/>
                <w:i/>
                <w:noProof/>
                <w:szCs w:val="22"/>
              </w:rPr>
              <w:t xml:space="preserve"> et al.,</w:t>
            </w:r>
            <w:r w:rsidRPr="00843724">
              <w:rPr>
                <w:rFonts w:ascii="Times New Roman" w:hAnsi="Times New Roman" w:cs="Times New Roman"/>
                <w:b w:val="0"/>
                <w:noProof/>
                <w:szCs w:val="22"/>
              </w:rPr>
              <w:t xml:space="preserve"> 2016)</w:t>
            </w:r>
            <w:r w:rsidRPr="00843724">
              <w:rPr>
                <w:szCs w:val="22"/>
              </w:rPr>
              <w:fldChar w:fldCharType="end"/>
            </w:r>
            <w:r w:rsidRPr="00843724">
              <w:rPr>
                <w:rFonts w:ascii="Times New Roman" w:hAnsi="Times New Roman" w:cs="Times New Roman"/>
                <w:b w:val="0"/>
                <w:szCs w:val="22"/>
              </w:rPr>
              <w:t xml:space="preserve">; Central America (northern South America included): trees (808)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"10.1126/science.aaf5080", "ISBN" : "3586", "ISSN" : "0036-8075", "PMID" : "27708031", "abstract" : "Seasonally dry tropical forests are distributed across Latin America and the Caribbean and are highly threatened, with less than 10% of their original extent remaining in many countries. Using 835 inventories covering 4660 species of woody plants, we show marked floristic turnover among inventories and regions, which may be higher than in other neotropical biomes, such as savanna. Such high floristic turnover indicates that numerous conservation areas across many countries will be needed to protect the full diversity of tropical dry forests. Our results provide a scientific framework within which national decision-makers can contextualize the floristic significance of their dry forest at a regional and continental scale.", "author" : [ { "dropping-particle" : "", "family" : "Banda-R", "given" : "K.", "non-dropping-particle" : "", "parse-names" : false, "suffix" : "" }, { "dropping-particle" : "", "family" : "Delgado-Salinas", "given" : "A.", "non-dropping-particle" : "", "parse-names" : false, "suffix" : "" }, { "dropping-particle" : "", "family" : "Dexter", "given" : "K. G.", "non-dropping-particle" : "", "parse-names" : false, "suffix" : "" }, { "dropping-particle" : "", "family" : "Linares-Palomino", "given" : "R.", "non-dropping-particle" : "", "parse-names" : false, "suffix" : "" }, { "dropping-particle" : "", "family" : "Oliveira-Filho", "given" : "A.", "non-dropping-particle" : "", "parse-names" : false, "suffix" : "" }, { "dropping-particle" : "", "family" : "Prado", "given" : "D.", "non-dropping-particle" : "", "parse-names" : false, "suffix" : "" }, { "dropping-particle" : "", "family" : "Pullan", "given" : "M.", "non-dropping-particle" : "", "parse-names" : false, "suffix" : "" }, { "dropping-particle" : "", "family" : "Quintana", "given" : "C.", "non-dropping-particle" : "", "parse-names" : false, "suffix" : "" }, { "dropping-particle" : "", "family" : "Riina", "given" : "R.", "non-dropping-particle" : "", "parse-names" : false, "suffix" : "" }, { "dropping-particle" : "", "family" : "Rodriguez M.", "given" : "G. M.", "non-dropping-particle" : "", "parse-names" : false, "suffix" : "" }, { "dropping-particle" : "", "family" : "Weintritt", "given" : "J.", "non-dropping-particle" : "", "parse-names" : false, "suffix" : "" }, { "dropping-particle" : "", "family" : "Acevedo-Rodriguez", "given" : "P.", "non-dropping-particle" : "", "parse-names" : false, "suffix" : "" }, { "dropping-particle" : "", "family" : "Adarve", "given" : "J.", "non-dropping-particle" : "", "parse-names" : false, "suffix" : "" }, { "dropping-particle" : "", "family" : "Alvarez", "given" : "E.", "non-dropping-particle" : "", "parse-names" : false, "suffix" : "" }, { "dropping-particle" : "", "family" : "Aranguren B.", "given" : "A.", "non-dropping-particle" : "", "parse-names" : false, "suffix" : "" }, { "dropping-particle" : "", "family" : "Arteaga", "given" : "J. C.", "non-dropping-particle" : "", "parse-names" : false, "suffix" : "" }, { "dropping-particle" : "", "family" : "Aymard", "given" : "G.", "non-dropping-particle" : "", "parse-names" : false, "suffix" : "" }, { "dropping-particle" : "", "family" : "Castano", "given" : "A.", "non-dropping-particle" : "", "parse-names" : false, "suffix" : "" }, { "dropping-particle" : "", "family" : "Ceballos-Mago", "given" : "N.", "non-dropping-particle" : "", "parse-names" : false, "suffix" : "" }, { "dropping-particle" : "", "family" : "Cogollo", "given" : "A.", "non-dropping-particle" : "", "parse-names" : false, "suffix" : "" }, { "dropping-particle" : "", "family" : "Cuadros", "given" : "H.", "non-dropping-particle" : "", "parse-names" : false, "suffix" : "" }, { "dropping-particle" : "", "family" : "Delgado", "given" : "F.", "non-dropping-particle" : "", "parse-names" : false, "suffix" : "" }, { "dropping-particle" : "", "family" : "Devia", "given" : "W.", "non-dropping-particle" : "", "parse-names" : false, "suffix" : "" }, { "dropping-particle" : "", "family" : "Duenas", "given" : "H.", "non-dropping-particle" : "", "parse-names" : false, "suffix" : "" }, { "dropping-particle" : "", "family" : "Fajardo", "given" : "L.", "non-dropping-particle" : "", "parse-names" : false, "suffix" : "" }, { "dropping-particle" : "", "family" : "Fernandez", "given" : "A.", "non-dropping-particle" : "", "parse-names" : false, "suffix" : "" }, { "dropping-particle" : "", "family" : "Fernandez", "given" : "M. A.", "non-dropping-particle" : "", "parse-names" : false, "suffix" : "" }, { "dropping-particle" : "", "family" : "Franklin", "given" : "J.", "non-dropping-particle" : "", "parse-names" : false, "suffix" : "" }, { "dropping-particle" : "", "family" : "Freid", "given" : "E. H.", "non-dropping-particle" : "", "parse-names" : false, "suffix" : "" }, { "dropping-particle" : "", "family" : "Galetti", "given" : "L. A.", "non-dropping-particle" : "", "parse-names" : false, "suffix" : "" }, { "dropping-particle" : "", "family" : "Gonto", "given" : "R.", "non-dropping-particle" : "", "parse-names" : false, "suffix" : "" }, { "dropping-particle" : "", "family" : "Gonzalez-M.", "given" : "R.", "non-dropping-particle" : "", "parse-names" : false, "suffix" : "" }, { "dropping-particle" : "", "family" : "Graveson", "given" : "R.", "non-dropping-particle" : "", "parse-names" : false, "suffix" : "" }, { "dropping-particle" : "", "family" : "Helmer", "given" : "E. H.", "non-dropping-particle" : "", "parse-names" : false, "suffix" : "" }, { "dropping-particle" : "", "family" : "Idarraga", "given" : "A.", "non-dropping-particle" : "", "parse-names" : false, "suffix" : "" }, { "dropping-particle" : "", "family" : "Lopez", "given" : "R.", "non-dropping-particle" : "", "parse-names" : false, "suffix" : "" }, { "dropping-particle" : "", "family" : "Marcano-Vega", "given" : "H.", "non-dropping-particle" : "", "parse-names" : false, "suffix" : "" }, { "dropping-particle" : "", "family" : "Martinez", "given" : "O. G.", "non-dropping-particle" : "", "parse-names" : false, "suffix" : "" }, { "dropping-particle" : "", "family" : "Maturo", "given" : "H. M.", "non-dropping-particle" : "", "parse-names" : false, "suffix" : "" }, { "dropping-particle" : "", "family" : "McDonald", "given" : "M.", "non-dropping-particle" : "", "parse-names" : false, "suffix" : "" }, { "dropping-particle" : "", "family" : "McLaren", "given" : "K.", "non-dropping-particle" : "", "parse-names" : false, "suffix" : "" }, { "dropping-particle" : "", "family" : "Melo", "given" : "O.", "non-dropping-particle" : "", "parse-names" : false, "suffix" : "" }, { "dropping-particle" : "", "family" : "Mijares", "given" : "F.", "non-dropping-particle" : "", "parse-names" : false, "suffix" : "" }, { "dropping-particle" : "", "family" : "Mogni", "given" : "V.", "non-dropping-particle" : "", "parse-names" : false, "suffix" : "" }, { "dropping-particle" : "", "family" : "Molina", "given" : "D.", "non-dropping-particle" : "", "parse-names" : false, "suffix" : "" }, { "dropping-particle" : "", "family" : "Moreno", "given" : "N. d. P.", "non-dropping-particle" : "", "parse-names" : false, "suffix" : "" }, { "dropping-particle" : "", "family" : "Nassar", "given" : "J. M.", "non-dropping-particle" : "", "parse-names" : false, "suffix" : "" }, { "dropping-particle" : "", "family" : "Neves", "given" : "D. M.", "non-dropping-particle" : "", "parse-names" : false, "suffix" : "" }, { "dropping-particle" : "", "family" : "Oakley", "given" : "L. J.", "non-dropping-particle" : "", "parse-names" : false, "suffix" : "" }, { "dropping-particle" : "", "family" : "Oatham", "given" : "M.", "non-dropping-particle" : "", "parse-names" : false, "suffix" : "" }, { "dropping-particle" : "", "family" : "Olvera-Luna", "given" : "A. R.", "non-dropping-particle" : "", "parse-names" : false, "suffix" : "" }, { "dropping-particle" : "", "family" : "Pezzini", "given" : "F. F.", "non-dropping-particle" : "", "parse-names" : false, "suffix" : "" }, { "dropping-particle" : "", "family" : "Dominguez", "given" : "O. J. R.", "non-dropping-particle" : "", "parse-names" : false, "suffix" : "" }, { "dropping-particle" : "", "family" : "Rios", "given" : "M. E.", "non-dropping-particle" : "", "parse-names" : false, "suffix" : "" }, { "dropping-particle" : "", "family" : "Rivera", "given" : "O.", "non-dropping-particle" : "", "parse-names" : false, "suffix" : "" }, { "dropping-particle" : "", "family" : "Rodriguez", "given" : "N.", "non-dropping-particle" : "", "parse-names" : false, "suffix" : "" }, { "dropping-particle" : "", "family" : "Rojas", "given" : "A.", "non-dropping-particle" : "", "parse-names" : false, "suffix" : "" }, { "dropping-particle" : "", "family" : "Sarkinen", "given" : "T.", "non-dropping-particle" : "", "parse-names" : false, "suffix" : "" }, { "dropping-particle" : "", "family" : "Sanchez", "given" : "R.", "non-dropping-particle" : "", "parse-names" : false, "suffix" : "" }, { "dropping-particle" : "", "family" : "Smith", "given" : "M.", "non-dropping-particle" : "", "parse-names" : false, "suffix" : "" }, { "dropping-particle" : "", "family" : "Vargas", "given" : "C.", "non-dropping-particle" : "", "parse-names" : false, "suffix" : "" }, { "dropping-particle" : "", "family" : "Villanueva", "given" : "B.", "non-dropping-particle" : "", "parse-names" : false, "suffix" : "" }, { "dropping-particle" : "", "family" : "Pennington", "given" : "R. T.", "non-dropping-particle" : "", "parse-names" : false, "suffix" : "" } ], "container-title" : "Science", "id" : "ITEM-1", "issue" : "6306", "issued" : { "date-parts" : [ [ "2016" ] ] }, "page" : "1383-1387", "title" : "Plant diversity patterns in neotropical dry forests and their conservation implications", "type" : "article-journal", "volume" : "353" }, "uris" : [ "http://www.mendeley.com/documents/?uuid=a649f79c-6777-405c-8a4d-9c9f5ef5dbb7" ] } ], "mendeley" : { "formattedCitation" : "(Banda-R et al., 2016)", "plainTextFormattedCitation" : "(Banda-R et al., 2016)", "previouslyFormattedCitation" : "(Banda-R et al., 2016)"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(Banda-R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xml:space="preserve"> 2016)</w:t>
            </w:r>
            <w:r w:rsidRPr="00843724">
              <w:rPr>
                <w:szCs w:val="22"/>
              </w:rPr>
              <w:fldChar w:fldCharType="end"/>
            </w:r>
            <w:r w:rsidRPr="00843724">
              <w:rPr>
                <w:rFonts w:ascii="Times New Roman" w:hAnsi="Times New Roman" w:cs="Times New Roman"/>
                <w:b w:val="0"/>
                <w:szCs w:val="22"/>
              </w:rPr>
              <w:t xml:space="preserve">. </w:t>
            </w:r>
          </w:p>
        </w:tc>
      </w:tr>
      <w:tr w:rsidR="006831BC" w:rsidRPr="00843724" w14:paraId="6CAF2DED"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06C2727F"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Drylands and deserts</w:t>
            </w:r>
          </w:p>
        </w:tc>
      </w:tr>
      <w:tr w:rsidR="006831BC" w:rsidRPr="00843724" w14:paraId="6BC8E814"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1781DB5B" w14:textId="5D4FB043" w:rsidR="00D90B1D" w:rsidRPr="00843724" w:rsidRDefault="00D90B1D" w:rsidP="00132006">
            <w:pPr>
              <w:spacing w:after="40"/>
              <w:jc w:val="both"/>
              <w:rPr>
                <w:rFonts w:ascii="Times New Roman" w:eastAsiaTheme="majorEastAsia" w:hAnsi="Times New Roman" w:cs="Times New Roman"/>
                <w:b w:val="0"/>
                <w:bCs w:val="0"/>
                <w:i/>
                <w:iCs/>
                <w:szCs w:val="22"/>
              </w:rPr>
            </w:pPr>
            <w:r w:rsidRPr="00843724">
              <w:rPr>
                <w:rFonts w:ascii="Times New Roman" w:hAnsi="Times New Roman" w:cs="Times New Roman"/>
                <w:b w:val="0"/>
                <w:szCs w:val="22"/>
              </w:rPr>
              <w:t xml:space="preserve">Mexico: seed plants (~6,000)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"ISBN" : "978-607-7607-03-8", "abstract" : "Challenger, A., Sober\u00f3n, J. 2008. Los ecosistemas terrestres. En: Sarukh\u00e1n, J. (coord.). Capitalnatural de M\u00e9xico, vol. I: Conocimiento actual de la biodiversidad, pp. 87-108, Comisi\u00f3n Nacionalpara el Conocimiento y Uso de la Biodiversidad, M\u00e9xico. Chapela, F. 2005. ...", "author" : [ { "dropping-particle" : "", "family" : "Challenger", "given" : "A.", "non-dropping-particle" : "", "parse-names" : false, "suffix" : "" }, { "dropping-particle" : "", "family" : "Sober\u00f3n", "given" : "J.", "non-dropping-particle" : "", "parse-names" : false, "suffix" : "" } ], "container-title" : "Capital Natural de M\u00e9xico, Vol. I: Conocimiento Actual de la Biodiversidad", "editor" : [ { "dropping-particle" : "", "family" : "Sarukh\u00e1n", "given" : "Jos\u00e9", "non-dropping-particle" : "", "parse-names" : false, "suffix" : "" } ], "id" : "ITEM-1", "issued" : { "date-parts" : [ [ "2008" ] ] }, "page" : "87-108", "publisher" : "CONABIO", "publisher-place" : "Sarukh\u00e1n, Jos\u00e9", "title" : "Los ecosistemas terrestres", "type" : "chapter" }, "uris" : [ "http://www.mendeley.com/documents/?uuid=3ee86e12-ed09-3522-b56e-692774865ec3" ] } ], "mendeley" : { "formattedCitation" : "(Challenger and Sober\u00f3n 2008)", "plainTextFormattedCitation" : "(Challenger and Sober\u00f3n 2008)", "previouslyFormattedCitation" : "(Challenger and Sober\u00f3n 2008)"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(Challenger and Soberón 2008)</w:t>
            </w:r>
            <w:r w:rsidRPr="00843724">
              <w:rPr>
                <w:szCs w:val="22"/>
              </w:rPr>
              <w:fldChar w:fldCharType="end"/>
            </w:r>
            <w:r w:rsidRPr="00843724">
              <w:rPr>
                <w:rFonts w:ascii="Times New Roman" w:hAnsi="Times New Roman" w:cs="Times New Roman"/>
                <w:b w:val="0"/>
                <w:szCs w:val="22"/>
              </w:rPr>
              <w:t xml:space="preserve">, endemic plants (3,600)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"ISBN" : "9783642177767", "author" : [ { "dropping-particle" : "", "family" : "Arredondo Moreno", "given" : "T.", "non-dropping-particle" : "", "parse-names" : false, "suffix" : "" }, { "dropping-particle" : "", "family" : "Huber-Sannwald", "given" : "E.", "non-dropping-particle" : "", "parse-names" : false, "suffix" : "" } ], "container-title" : "Coping with Global Environmental Change, Disasters and Security", "editor" : [ { "dropping-particle" : "", "family" : "Brauch", "given" : "H.G.", "non-dropping-particle" : "", "parse-names" : false, "suffix" : "" }, { "dropping-particle" : "", "family" : "Oswald Spring", "given" : "U.", "non-dropping-particle" : "", "parse-names" : false, "suffix" : "" }, { "dropping-particle" : "", "family" : "Mesjasz", "given" : "C.", "non-dropping-particle" : "", "parse-names" : false, "suffix" : "" }, { "dropping-particle" : "", "family" : "Grin", "given" : "J.", "non-dropping-particle" : "", "parse-names" : false, "suffix" : "" }, { "dropping-particle" : "", "family" : "Kameri-Mboute", "given" : "P.", "non-dropping-particle" : "", "parse-names" : false, "suffix" : "" }, { "dropping-particle" : "", "family" : "Chourou", "given" : "B.", "non-dropping-particle" : "", "parse-names" : false, "suffix" : "" }, { "dropping-particle" : "", "family" : "Dunay", "given" : "P.", "non-dropping-particle" : "", "parse-names" : false, "suffix" : "" }, { "dropping-particle" : "", "family" : "Birkmann", "given" : "J.", "non-dropping-particle" : "", "parse-names" : false, "suffix" : "" } ], "id" : "ITEM-1", "issued" : { "date-parts" : [ [ "2011" ] ] }, "page" : "875-891", "publisher" : "Springer-Verlag", "publisher-place" : "Berlin, Heidelberg", "title" : "Impacts of drought on agriculture in Northern Mexico", "type" : "chapter" }, "uris" : [ "http://www.mendeley.com/documents/?uuid=ea49fec5-1a23-34b5-b0ac-852e5e7c78e8" ] } ], "mendeley" : { "formattedCitation" : "(Arredondo Moreno and Huber-Sannwald 2011)", "plainTextFormattedCitation" : "(Arredondo Moreno and Huber-Sannwald 2011)", "previouslyFormattedCitation" : "(Arredondo Moreno and Huber-Sannwald 2011)"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(Arredondo Moreno</w:t>
            </w:r>
            <w:r w:rsidR="00132006" w:rsidRPr="00843724">
              <w:rPr>
                <w:rFonts w:ascii="Times New Roman" w:hAnsi="Times New Roman" w:cs="Times New Roman"/>
                <w:b w:val="0"/>
                <w:noProof/>
                <w:szCs w:val="22"/>
              </w:rPr>
              <w:t xml:space="preserve"> &amp;</w:t>
            </w:r>
            <w:r w:rsidRPr="00843724">
              <w:rPr>
                <w:rFonts w:ascii="Times New Roman" w:hAnsi="Times New Roman" w:cs="Times New Roman"/>
                <w:b w:val="0"/>
                <w:noProof/>
                <w:szCs w:val="22"/>
              </w:rPr>
              <w:t xml:space="preserve"> Huber-Sannwald</w:t>
            </w:r>
            <w:r w:rsidR="00132006" w:rsidRPr="00843724">
              <w:rPr>
                <w:rFonts w:ascii="Times New Roman" w:hAnsi="Times New Roman" w:cs="Times New Roman"/>
                <w:b w:val="0"/>
                <w:noProof/>
                <w:szCs w:val="22"/>
              </w:rPr>
              <w:t>,</w:t>
            </w:r>
            <w:r w:rsidRPr="00843724">
              <w:rPr>
                <w:rFonts w:ascii="Times New Roman" w:hAnsi="Times New Roman" w:cs="Times New Roman"/>
                <w:b w:val="0"/>
                <w:noProof/>
                <w:szCs w:val="22"/>
              </w:rPr>
              <w:t xml:space="preserve"> 2011)</w:t>
            </w:r>
            <w:r w:rsidRPr="00843724">
              <w:rPr>
                <w:szCs w:val="22"/>
              </w:rPr>
              <w:fldChar w:fldCharType="end"/>
            </w:r>
            <w:r w:rsidRPr="00843724">
              <w:rPr>
                <w:rFonts w:ascii="Times New Roman" w:hAnsi="Times New Roman" w:cs="Times New Roman"/>
                <w:b w:val="0"/>
                <w:szCs w:val="22"/>
              </w:rPr>
              <w:t xml:space="preserve">, cacti (550 spp.; 78%)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"10.1016/j.jaridenv.2005.08.008", "ISSN" : "01401963", "abstract" : "We sampled the cactus species in 23 localities along a longitudinal transect in the southeastern segment of the Chihuahuan Desert. Using Wilson and Shmida's formula we calculated beta diversity values among contiguous and non-contiguous sites. As a complement, Jaccard's index of similarity was also calculated among all sites. A total of 61 species were found along the transect, although most tended to be infrequent, and only 27 surpassed the mean value of the frequencies (mean f=28.3%). In most cases, relatively high to moderate \u03b2 diversity values were obtained. The average value for all the site combinations was \u03b2=0.52 (S.D.=\u00b10.17, range=0.12-0.93). The highest similarity value was ISJ=0.79, corresponding to two non-contiguous localities. The high diversity of cactus species in the study area may be explained, in part, by a relatively high to moderate level of turnover among the different species assemblages. However, \u03b2 diversity is mainly a product of the intermittent pattern of spatial distribution of the cactus species in this region, rather than a real species turnover. \u00a9 2005 Elsevier Ltd. All rights reserved.", "author" : [ { "dropping-particle" : "", "family" : "Goettsch", "given" : "B.", "non-dropping-particle" : "", "parse-names" : false, "suffix" : "" }, { "dropping-particle" : "", "family" : "Hern\u00e1ndez", "given" : "H. M.", "non-dropping-particle" : "", "parse-names" : false, "suffix" : "" } ], "container-title" : "Journal of Arid Environments", "id" : "ITEM-1", "issue" : "4", "issued" : { "date-parts" : [ [ "2006" ] ] }, "page" : "513-528", "title" : "Beta diversity and similarity among cactus assemblages in the Chihuahuan Desert", "type" : "article-journal", "volume" : "65" }, "uris" : [ "http://www.mendeley.com/documents/?uuid=dcded2a5-43f8-4c3d-8b15-16fd7e1ce923" ] } ], "mendeley" : { "formattedCitation" : "(Goettsch and Hern\u00e1ndez 2006)", "manualFormatting" : "(Goettsch &amp; Hern\u00e1ndez, 2006)", "plainTextFormattedCitation" : "(Goettsch and Hern\u00e1ndez 2006)", "previouslyFormattedCitation" : "(Goettsch and Hern\u00e1ndez 2006)"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(Goettsch &amp; Hernández, 2006)</w:t>
            </w:r>
            <w:r w:rsidRPr="00843724">
              <w:rPr>
                <w:szCs w:val="22"/>
              </w:rPr>
              <w:fldChar w:fldCharType="end"/>
            </w:r>
            <w:r w:rsidRPr="00843724">
              <w:rPr>
                <w:rFonts w:ascii="Times New Roman" w:hAnsi="Times New Roman" w:cs="Times New Roman"/>
                <w:b w:val="0"/>
                <w:szCs w:val="22"/>
              </w:rPr>
              <w:t>.</w:t>
            </w:r>
          </w:p>
        </w:tc>
      </w:tr>
      <w:tr w:rsidR="006831BC" w:rsidRPr="00843724" w14:paraId="5B97FAB9"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157C460C"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 xml:space="preserve">Wetlands – peatlands, mires, bogs </w:t>
            </w:r>
          </w:p>
        </w:tc>
      </w:tr>
      <w:tr w:rsidR="006831BC" w:rsidRPr="00843724" w14:paraId="22AE6D18"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707A662B" w14:textId="77777777" w:rsidR="00D90B1D" w:rsidRPr="00843724" w:rsidRDefault="00D90B1D" w:rsidP="007D620C">
            <w:pPr>
              <w:spacing w:after="40"/>
              <w:jc w:val="both"/>
              <w:rPr>
                <w:rFonts w:ascii="Times New Roman" w:hAnsi="Times New Roman" w:cs="Times New Roman"/>
                <w:b w:val="0"/>
                <w:szCs w:val="22"/>
              </w:rPr>
            </w:pPr>
            <w:r w:rsidRPr="00843724">
              <w:rPr>
                <w:rFonts w:ascii="Times New Roman" w:hAnsi="Times New Roman" w:cs="Times New Roman"/>
                <w:b w:val="0"/>
                <w:szCs w:val="22"/>
              </w:rPr>
              <w:t>Mexico, Centla Swampland: birds (213)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"author" : [ { "dropping-particle" : "", "family" : "Santiago-Alarcon", "given" : "D.", "non-dropping-particle" : "", "parse-names" : false, "suffix" : "" }, { "dropping-particle" : "", "family" : "Arriaga-Weiss", "given" : "S. L.", "non-dropping-particle" : "", "parse-names" : false, "suffix" : "" }, { "dropping-particle" : "", "family" : "Escobar", "given" : "O.", "non-dropping-particle" : "", "parse-names" : false, "suffix" : "" } ], "container-title" : "Ornitologia Neotropical", "id" : "ITEM-1", "issued" : { "date-parts" : [ [ "2011" ] ] }, "page" : "229-246", "title" : "Bird community composition of Centla Marshes Biosphere Reserve, Tabasco, Mexico", "type" : "article-journal", "volume" : "22" }, "uris" : [ "http://www.mendeley.com/documents/?uuid=2f4123eb-f05d-4d1c-b64b-19118f2d061d" ] } ], "mendeley" : { "formattedCitation" : "(Santiago-Alarcon, Arriaga-Weiss, &amp; Escobar, 2011)", "manualFormatting" : "Santiago-Alarcon et al., 2011)", "plainTextFormattedCitation" : "(Santiago-Alarcon, Arriaga-Weiss, &amp; Escobar, 2011)", "previouslyFormattedCitation" : "(Santiago-Alarcon, Arriaga-Weiss, &amp; Escobar, 2011)"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Santiago-Alarcon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2011)</w:t>
            </w:r>
            <w:r w:rsidRPr="00843724">
              <w:rPr>
                <w:szCs w:val="22"/>
              </w:rPr>
              <w:fldChar w:fldCharType="end"/>
            </w:r>
            <w:r w:rsidRPr="00843724">
              <w:rPr>
                <w:rFonts w:ascii="Times New Roman" w:hAnsi="Times New Roman" w:cs="Times New Roman"/>
                <w:b w:val="0"/>
                <w:szCs w:val="22"/>
              </w:rPr>
              <w:t xml:space="preserve">, fishes (44)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"10.3750/AIP2011.41.3.11", "ISSN" : "01371592", "abstract" : "Background. Thirty species were previously recorded for unstructured habitats (unvegetated soft substrates: USS) in Pantanos de Centla. However, a lack of information on the tropical ichthyofauna of the structured habi- tats such as marginal vegetation (MV), submerged macrophytes (SM) and coarse woody debris (CWD) empha- sizes the importance of the aim of this paper that is the updating the records of the species distributed in these habitats, as they have been frequently reported as high biodiversity sites that are currently threatened by anthro- pogenic activities. Materials and methods. Sampling was carried out in 30 shallow sites, each with unstructured habitats and the three structured habitats, in Pantanos de Centla, a Ramsar wetland, over a period of three years. Fish were col- lected with a dip net, a drop net and a Renfro beam net. Results. A total of 6506 fish of 37 genera and 44 species were collected. Eleven species are new records for Pantanos de Centla, and the scientific name of 11 species was updated. The Poeciliidae and Cichlidae families are dominant with 10 and 13 species, respectively. Nine species of the genus Cichlasoma sensu lato were placed in six genera. Three species are new records for the Usumacinta Province. Ctenogobius claytoni, Gobionellus oceanicus, and Rhamdia quelen proved to be synonyms. Of all species, 84% were collected from USS, however, the number of species distributed in USS, MV, and SM was similar (CCj 0.4736-0.5813). Conclusion. Most of the species that were added to the previously recorded species list of Pantanos de Centla, inhabit structured habitats. This confirms the importance of including these habitats in surveys aimed at generating checklists, and of analysing the distribution of fish species in shallow tropical ecosystems", "author" : [ { "dropping-particle" : "", "family" : "Macossay-Cortez", "given" : "Alberto", "non-dropping-particle" : "", "parse-names" : false, "suffix" : "" }, { "dropping-particle" : "", "family" : "S\u00e1nchez", "given" : "Alberto J.", "non-dropping-particle" : "", "parse-names" : false, "suffix" : "" }, { "dropping-particle" : "", "family" : "Florido", "given" : "Rosa", "non-dropping-particle" : "", "parse-names" : false, "suffix" : "" }, { "dropping-particle" : "", "family" : "Huidobro", "given" : "Leticia", "non-dropping-particle" : "", "parse-names" : false, "suffix" : "" }, { "dropping-particle" : "", "family" : "Montalvo-Urgel", "given" : "Hugo", "non-dropping-particle" : "", "parse-names" : false, "suffix" : "" } ], "container-title" : "Acta Ichthyologica et Piscatoria", "id" : "ITEM-1", "issue" : "3", "issued" : { "date-parts" : [ [ "2011" ] ] }, "page" : "229-245", "title" : "Historical and environmental distribution of ichthyofauna in the tropical wetland of Pantanos de Centla, southern Gulf of Mexico", "type" : "article-journal", "volume" : "41" }, "uris" : [ "http://www.mendeley.com/documents/?uuid=be128ff1-b022-4ae7-84e1-ce691b9f4c7e" ] } ], "mendeley" : { "formattedCitation" : "(Macossay-Cortez, S\u00e1nchez, Florido, Huidobro, &amp; Montalvo-Urgel, 2011)", "manualFormatting" : "(Macossay-Cortez et al., 2011)", "plainTextFormattedCitation" : "(Macossay-Cortez, S\u00e1nchez, Florido, Huidobro, &amp; Montalvo-Urgel, 2011)", "previouslyFormattedCitation" : "(Macossay-Cortez, S\u00e1nchez, Florido, Huidobro, &amp; Montalvo-Urgel, 2011)"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(Macossay-Cortez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2011)</w:t>
            </w:r>
            <w:r w:rsidRPr="00843724">
              <w:rPr>
                <w:szCs w:val="22"/>
              </w:rPr>
              <w:fldChar w:fldCharType="end"/>
            </w:r>
            <w:r w:rsidRPr="00843724">
              <w:rPr>
                <w:rFonts w:ascii="Times New Roman" w:hAnsi="Times New Roman" w:cs="Times New Roman"/>
                <w:b w:val="0"/>
                <w:szCs w:val="22"/>
              </w:rPr>
              <w:t xml:space="preserve">; Nicaragua, Guatusos Wildlife Refuge: mammals (32), birds (&gt;300), reptiles (10)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"editor" : [ { "dropping-particle" : "", "family" : "Hern\u00e1ndez", "given" : "G.", "non-dropping-particle" : "", "parse-names" : false, "suffix" : "" } ], "id" : "ITEM-1", "issued" : { "date-parts" : [ [ "1999" ] ] }, "number-of-pages" : "47", "publisher" : "Uni\u00f3n Mundial para la Naturaleza (UICN)/ ORMA", "publisher-place" : "San Jos\u00e9, Costa Rica", "title" : "Mesoamerican Wetlands. Ramsar sites in Central America and Mexico", "type" : "book" }, "uris" : [ "http://www.mendeley.com/documents/?uuid=ee784054-b029-418c-92ed-121f02521587" ] } ], "mendeley" : { "formattedCitation" : "(G. Hern\u00e1ndez, 1999)", "manualFormatting" : "(Hern\u00e1ndez, 1999)", "plainTextFormattedCitation" : "(G. Hern\u00e1ndez, 1999)", "previouslyFormattedCitation" : "(G. Hern\u00e1ndez, 1999)"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(Hernández, 1999)</w:t>
            </w:r>
            <w:r w:rsidRPr="00843724">
              <w:rPr>
                <w:szCs w:val="22"/>
              </w:rPr>
              <w:fldChar w:fldCharType="end"/>
            </w:r>
            <w:r w:rsidRPr="00843724">
              <w:rPr>
                <w:rFonts w:ascii="Times New Roman" w:hAnsi="Times New Roman" w:cs="Times New Roman"/>
                <w:b w:val="0"/>
                <w:szCs w:val="22"/>
              </w:rPr>
              <w:t>.</w:t>
            </w:r>
          </w:p>
        </w:tc>
      </w:tr>
      <w:tr w:rsidR="006831BC" w:rsidRPr="00843724" w14:paraId="31E227BF"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189BF3BC" w14:textId="77777777" w:rsidR="00D90B1D" w:rsidRPr="00843724" w:rsidRDefault="00D90B1D" w:rsidP="007D620C">
            <w:pPr>
              <w:spacing w:after="40"/>
              <w:jc w:val="both"/>
              <w:rPr>
                <w:rFonts w:ascii="Times New Roman" w:hAnsi="Times New Roman" w:cs="Times New Roman"/>
                <w:b w:val="0"/>
                <w:szCs w:val="22"/>
                <w:u w:val="single"/>
              </w:rPr>
            </w:pPr>
          </w:p>
        </w:tc>
      </w:tr>
      <w:tr w:rsidR="006831BC" w:rsidRPr="00843724" w14:paraId="5C528CE9" w14:textId="77777777" w:rsidTr="006831BC">
        <w:trPr>
          <w:trHeight w:val="389"/>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vAlign w:val="center"/>
          </w:tcPr>
          <w:p w14:paraId="4C1BA9EB" w14:textId="77777777" w:rsidR="00D90B1D" w:rsidRPr="00843724" w:rsidRDefault="00D90B1D" w:rsidP="007D620C">
            <w:pPr>
              <w:spacing w:after="40"/>
              <w:jc w:val="both"/>
              <w:rPr>
                <w:rFonts w:ascii="Times New Roman" w:hAnsi="Times New Roman" w:cs="Times New Roman"/>
                <w:szCs w:val="22"/>
              </w:rPr>
            </w:pPr>
            <w:r w:rsidRPr="00843724">
              <w:rPr>
                <w:rFonts w:ascii="Times New Roman" w:hAnsi="Times New Roman" w:cs="Times New Roman"/>
                <w:szCs w:val="22"/>
              </w:rPr>
              <w:t>Caribbean subregion</w:t>
            </w:r>
          </w:p>
        </w:tc>
      </w:tr>
      <w:tr w:rsidR="006831BC" w:rsidRPr="00843724" w14:paraId="797A9024"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65F4C01A"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Tropical and subtropical moist forests</w:t>
            </w:r>
          </w:p>
        </w:tc>
      </w:tr>
      <w:tr w:rsidR="006831BC" w:rsidRPr="00843724" w14:paraId="775573A9"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6DF8A817"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szCs w:val="22"/>
              </w:rPr>
              <w:t>Caribbean Islands (all terrestrial ecosystems): plants (11,000; 72%), mammals (69</w:t>
            </w:r>
            <w:r w:rsidRPr="00843724">
              <w:rPr>
                <w:rFonts w:ascii="Times New Roman" w:hAnsi="Times New Roman" w:cs="Times New Roman"/>
                <w:b w:val="0"/>
                <w:szCs w:val="22"/>
              </w:rPr>
              <w:softHyphen/>
              <w:t xml:space="preserve">; 74%), birds (564; 26%), reptiles (520; 95%), amphibians (189; 100%), freshwater fishes (167; 39%)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"author" : [ { "dropping-particle" : "", "family" : "Wege", "given" : "D.C.", "non-dropping-particle" : "", "parse-names" : false, "suffix" : "" }, { "dropping-particle" : "", "family" : "Ryan", "given" : "D.", "non-dropping-particle" : "", "parse-names" : false, "suffix" : "" }, { "dropping-particle" : "", "family" : "Varty", "given" : "N.", "non-dropping-particle" : "", "parse-names" : false, "suffix" : "" }, { "dropping-particle" : "", "family" : "Anadon-Irizarry", "given" : "V.", "non-dropping-particle" : "", "parse-names" : false, "suffix" : "" }, { "dropping-particle" : "", "family" : "Perez-Leroux", "given" : "A.", "non-dropping-particle" : "", "parse-names" : false, "suffix" : "" } ], "id" : "ITEM-1", "issued" : { "date-parts" : [ [ "2010" ] ] }, "page" : "153", "publisher" : "Critical Ecosystem Partnership Fund", "publisher-place" : "Washington, DC., USA", "title" : "Ecosystem Profile: The Caribbean Islands Biodiversity Hotspot", "type" : "article" }, "uris" : [ "http://www.mendeley.com/documents/?uuid=ba6b1340-467a-4f8a-a747-2ccd375363a2" ] } ], "mendeley" : { "formattedCitation" : "(Wege, Ryan, Varty, Anadon-Irizarry, &amp; Perez-Leroux, 2010)", "manualFormatting" : "(Wege et al., 2010)", "plainTextFormattedCitation" : "(Wege, Ryan, Varty, Anadon-Irizarry, &amp; Perez-Leroux, 2010)", "previouslyFormattedCitation" : "(Wege, Ryan, Varty, Anadon-Irizarry, &amp; Perez-Leroux, 2010)"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(Wege</w:t>
            </w:r>
            <w:r w:rsidRPr="00843724">
              <w:rPr>
                <w:rFonts w:ascii="Times New Roman" w:hAnsi="Times New Roman" w:cs="Times New Roman"/>
                <w:b w:val="0"/>
                <w:i/>
                <w:noProof/>
                <w:szCs w:val="22"/>
              </w:rPr>
              <w:t xml:space="preserve"> et al.</w:t>
            </w:r>
            <w:r w:rsidRPr="00843724">
              <w:rPr>
                <w:rFonts w:ascii="Times New Roman" w:hAnsi="Times New Roman" w:cs="Times New Roman"/>
                <w:b w:val="0"/>
                <w:noProof/>
                <w:szCs w:val="22"/>
              </w:rPr>
              <w:t>, 2010)</w:t>
            </w:r>
            <w:r w:rsidRPr="00843724">
              <w:rPr>
                <w:szCs w:val="22"/>
              </w:rPr>
              <w:fldChar w:fldCharType="end"/>
            </w:r>
            <w:r w:rsidRPr="00843724">
              <w:rPr>
                <w:rFonts w:ascii="Times New Roman" w:hAnsi="Times New Roman" w:cs="Times New Roman"/>
                <w:b w:val="0"/>
                <w:szCs w:val="22"/>
              </w:rPr>
              <w:t>.</w:t>
            </w:r>
          </w:p>
        </w:tc>
      </w:tr>
      <w:tr w:rsidR="006831BC" w:rsidRPr="00843724" w14:paraId="3DD32C28"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24431D99"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Tropical and subtropical dry forests</w:t>
            </w:r>
          </w:p>
        </w:tc>
      </w:tr>
      <w:tr w:rsidR="006831BC" w:rsidRPr="00843724" w14:paraId="02923A98" w14:textId="77777777" w:rsidTr="006831BC">
        <w:trPr>
          <w:trHeight w:val="50"/>
        </w:trPr>
        <w:tc>
          <w:tcPr>
            <w:cnfStyle w:val="001000000000" w:firstRow="0" w:lastRow="0" w:firstColumn="1" w:lastColumn="0" w:oddVBand="0" w:evenVBand="0" w:oddHBand="0" w:evenHBand="0" w:firstRowFirstColumn="0" w:firstRowLastColumn="0" w:lastRowFirstColumn="0" w:lastRowLastColumn="0"/>
            <w:tcW w:w="5000" w:type="pct"/>
          </w:tcPr>
          <w:p w14:paraId="6951CF7F"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szCs w:val="22"/>
              </w:rPr>
              <w:t>Woody plants (611)</w:t>
            </w:r>
            <w:r w:rsidRPr="00843724">
              <w:rPr>
                <w:rFonts w:ascii="Times New Roman" w:hAnsi="Times New Roman" w:cs="Times New Roman"/>
                <w:szCs w:val="22"/>
              </w:rPr>
              <w:t xml:space="preserve">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"10.1126/science.aaf5080", "ISBN" : "3586", "ISSN" : "0036-8075", "PMID" : "27708031", "abstract" : "Seasonally dry tropical forests are distributed across Latin America and the Caribbean and are highly threatened, with less than 10% of their original extent remaining in many countries. Using 835 inventories covering 4660 species of woody plants, we show marked floristic turnover among inventories and regions, which may be higher than in other neotropical biomes, such as savanna. Such high floristic turnover indicates that numerous conservation areas across many countries will be needed to protect the full diversity of tropical dry forests. Our results provide a scientific framework within which national decision-makers can contextualize the floristic significance of their dry forest at a regional and continental scale.", "author" : [ { "dropping-particle" : "", "family" : "Banda-R", "given" : "K.", "non-dropping-particle" : "", "parse-names" : false, "suffix" : "" }, { "dropping-particle" : "", "family" : "Delgado-Salinas", "given" : "A.", "non-dropping-particle" : "", "parse-names" : false, "suffix" : "" }, { "dropping-particle" : "", "family" : "Dexter", "given" : "K. G.", "non-dropping-particle" : "", "parse-names" : false, "suffix" : "" }, { "dropping-particle" : "", "family" : "Linares-Palomino", "given" : "R.", "non-dropping-particle" : "", "parse-names" : false, "suffix" : "" }, { "dropping-particle" : "", "family" : "Oliveira-Filho", "given" : "A.", "non-dropping-particle" : "", "parse-names" : false, "suffix" : "" }, { "dropping-particle" : "", "family" : "Prado", "given" : "D.", "non-dropping-particle" : "", "parse-names" : false, "suffix" : "" }, { "dropping-particle" : "", "family" : "Pullan", "given" : "M.", "non-dropping-particle" : "", "parse-names" : false, "suffix" : "" }, { "dropping-particle" : "", "family" : "Quintana", "given" : "C.", "non-dropping-particle" : "", "parse-names" : false, "suffix" : "" }, { "dropping-particle" : "", "family" : "Riina", "given" : "R.", "non-dropping-particle" : "", "parse-names" : false, "suffix" : "" }, { "dropping-particle" : "", "family" : "Rodriguez M.", "given" : "G. M.", "non-dropping-particle" : "", "parse-names" : false, "suffix" : "" }, { "dropping-particle" : "", "family" : "Weintritt", "given" : "J.", "non-dropping-particle" : "", "parse-names" : false, "suffix" : "" }, { "dropping-particle" : "", "family" : "Acevedo-Rodriguez", "given" : "P.", "non-dropping-particle" : "", "parse-names" : false, "suffix" : "" }, { "dropping-particle" : "", "family" : "Adarve", "given" : "J.", "non-dropping-particle" : "", "parse-names" : false, "suffix" : "" }, { "dropping-particle" : "", "family" : "Alvarez", "given" : "E.", "non-dropping-particle" : "", "parse-names" : false, "suffix" : "" }, { "dropping-particle" : "", "family" : "Aranguren B.", "given" : "A.", "non-dropping-particle" : "", "parse-names" : false, "suffix" : "" }, { "dropping-particle" : "", "family" : "Arteaga", "given" : "J. C.", "non-dropping-particle" : "", "parse-names" : false, "suffix" : "" }, { "dropping-particle" : "", "family" : "Aymard", "given" : "G.", "non-dropping-particle" : "", "parse-names" : false, "suffix" : "" }, { "dropping-particle" : "", "family" : "Castano", "given" : "A.", "non-dropping-particle" : "", "parse-names" : false, "suffix" : "" }, { "dropping-particle" : "", "family" : "Ceballos-Mago", "given" : "N.", "non-dropping-particle" : "", "parse-names" : false, "suffix" : "" }, { "dropping-particle" : "", "family" : "Cogollo", "given" : "A.", "non-dropping-particle" : "", "parse-names" : false, "suffix" : "" }, { "dropping-particle" : "", "family" : "Cuadros", "given" : "H.", "non-dropping-particle" : "", "parse-names" : false, "suffix" : "" }, { "dropping-particle" : "", "family" : "Delgado", "given" : "F.", "non-dropping-particle" : "", "parse-names" : false, "suffix" : "" }, { "dropping-particle" : "", "family" : "Devia", "given" : "W.", "non-dropping-particle" : "", "parse-names" : false, "suffix" : "" }, { "dropping-particle" : "", "family" : "Duenas", "given" : "H.", "non-dropping-particle" : "", "parse-names" : false, "suffix" : "" }, { "dropping-particle" : "", "family" : "Fajardo", "given" : "L.", "non-dropping-particle" : "", "parse-names" : false, "suffix" : "" }, { "dropping-particle" : "", "family" : "Fernandez", "given" : "A.", "non-dropping-particle" : "", "parse-names" : false, "suffix" : "" }, { "dropping-particle" : "", "family" : "Fernandez", "given" : "M. A.", "non-dropping-particle" : "", "parse-names" : false, "suffix" : "" }, { "dropping-particle" : "", "family" : "Franklin", "given" : "J.", "non-dropping-particle" : "", "parse-names" : false, "suffix" : "" }, { "dropping-particle" : "", "family" : "Freid", "given" : "E. H.", "non-dropping-particle" : "", "parse-names" : false, "suffix" : "" }, { "dropping-particle" : "", "family" : "Galetti", "given" : "L. A.", "non-dropping-particle" : "", "parse-names" : false, "suffix" : "" }, { "dropping-particle" : "", "family" : "Gonto", "given" : "R.", "non-dropping-particle" : "", "parse-names" : false, "suffix" : "" }, { "dropping-particle" : "", "family" : "Gonzalez-M.", "given" : "R.", "non-dropping-particle" : "", "parse-names" : false, "suffix" : "" }, { "dropping-particle" : "", "family" : "Graveson", "given" : "R.", "non-dropping-particle" : "", "parse-names" : false, "suffix" : "" }, { "dropping-particle" : "", "family" : "Helmer", "given" : "E. H.", "non-dropping-particle" : "", "parse-names" : false, "suffix" : "" }, { "dropping-particle" : "", "family" : "Idarraga", "given" : "A.", "non-dropping-particle" : "", "parse-names" : false, "suffix" : "" }, { "dropping-particle" : "", "family" : "Lopez", "given" : "R.", "non-dropping-particle" : "", "parse-names" : false, "suffix" : "" }, { "dropping-particle" : "", "family" : "Marcano-Vega", "given" : "H.", "non-dropping-particle" : "", "parse-names" : false, "suffix" : "" }, { "dropping-particle" : "", "family" : "Martinez", "given" : "O. G.", "non-dropping-particle" : "", "parse-names" : false, "suffix" : "" }, { "dropping-particle" : "", "family" : "Maturo", "given" : "H. M.", "non-dropping-particle" : "", "parse-names" : false, "suffix" : "" }, { "dropping-particle" : "", "family" : "McDonald", "given" : "M.", "non-dropping-particle" : "", "parse-names" : false, "suffix" : "" }, { "dropping-particle" : "", "family" : "McLaren", "given" : "K.", "non-dropping-particle" : "", "parse-names" : false, "suffix" : "" }, { "dropping-particle" : "", "family" : "Melo", "given" : "O.", "non-dropping-particle" : "", "parse-names" : false, "suffix" : "" }, { "dropping-particle" : "", "family" : "Mijares", "given" : "F.", "non-dropping-particle" : "", "parse-names" : false, "suffix" : "" }, { "dropping-particle" : "", "family" : "Mogni", "given" : "V.", "non-dropping-particle" : "", "parse-names" : false, "suffix" : "" }, { "dropping-particle" : "", "family" : "Molina", "given" : "D.", "non-dropping-particle" : "", "parse-names" : false, "suffix" : "" }, { "dropping-particle" : "", "family" : "Moreno", "given" : "N. d. P.", "non-dropping-particle" : "", "parse-names" : false, "suffix" : "" }, { "dropping-particle" : "", "family" : "Nassar", "given" : "J. M.", "non-dropping-particle" : "", "parse-names" : false, "suffix" : "" }, { "dropping-particle" : "", "family" : "Neves", "given" : "D. M.", "non-dropping-particle" : "", "parse-names" : false, "suffix" : "" }, { "dropping-particle" : "", "family" : "Oakley", "given" : "L. J.", "non-dropping-particle" : "", "parse-names" : false, "suffix" : "" }, { "dropping-particle" : "", "family" : "Oatham", "given" : "M.", "non-dropping-particle" : "", "parse-names" : false, "suffix" : "" }, { "dropping-particle" : "", "family" : "Olvera-Luna", "given" : "A. R.", "non-dropping-particle" : "", "parse-names" : false, "suffix" : "" }, { "dropping-particle" : "", "family" : "Pezzini", "given" : "F. F.", "non-dropping-particle" : "", "parse-names" : false, "suffix" : "" }, { "dropping-particle" : "", "family" : "Dominguez", "given" : "O. J. R.", "non-dropping-particle" : "", "parse-names" : false, "suffix" : "" }, { "dropping-particle" : "", "family" : "Rios", "given" : "M. E.", "non-dropping-particle" : "", "parse-names" : false, "suffix" : "" }, { "dropping-particle" : "", "family" : "Rivera", "given" : "O.", "non-dropping-particle" : "", "parse-names" : false, "suffix" : "" }, { "dropping-particle" : "", "family" : "Rodriguez", "given" : "N.", "non-dropping-particle" : "", "parse-names" : false, "suffix" : "" }, { "dropping-particle" : "", "family" : "Rojas", "given" : "A.", "non-dropping-particle" : "", "parse-names" : false, "suffix" : "" }, { "dropping-particle" : "", "family" : "Sarkinen", "given" : "T.", "non-dropping-particle" : "", "parse-names" : false, "suffix" : "" }, { "dropping-particle" : "", "family" : "Sanchez", "given" : "R.", "non-dropping-particle" : "", "parse-names" : false, "suffix" : "" }, { "dropping-particle" : "", "family" : "Smith", "given" : "M.", "non-dropping-particle" : "", "parse-names" : false, "suffix" : "" }, { "dropping-particle" : "", "family" : "Vargas", "given" : "C.", "non-dropping-particle" : "", "parse-names" : false, "suffix" : "" }, { "dropping-particle" : "", "family" : "Villanueva", "given" : "B.", "non-dropping-particle" : "", "parse-names" : false, "suffix" : "" }, { "dropping-particle" : "", "family" : "Pennington", "given" : "R. T.", "non-dropping-particle" : "", "parse-names" : false, "suffix" : "" } ], "container-title" : "Science", "id" : "ITEM-1", "issue" : "6306", "issued" : { "date-parts" : [ [ "2016" ] ] }, "page" : "1383-1387", "title" : "Plant diversity patterns in neotropical dry forests and their conservation implications", "type" : "article-journal", "volume" : "353" }, "uris" : [ "http://www.mendeley.com/documents/?uuid=a649f79c-6777-405c-8a4d-9c9f5ef5dbb7" ] } ], "mendeley" : { "formattedCitation" : "(Banda-R et al., 2016)", "plainTextFormattedCitation" : "(Banda-R et al., 2016)", "previouslyFormattedCitation" : "(Banda-R et al., 2016)"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(Banda-R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xml:space="preserve"> 2016)</w:t>
            </w:r>
            <w:r w:rsidRPr="00843724">
              <w:rPr>
                <w:szCs w:val="22"/>
              </w:rPr>
              <w:fldChar w:fldCharType="end"/>
            </w:r>
            <w:r w:rsidRPr="00843724">
              <w:rPr>
                <w:rFonts w:ascii="Times New Roman" w:hAnsi="Times New Roman" w:cs="Times New Roman"/>
                <w:b w:val="0"/>
                <w:szCs w:val="22"/>
              </w:rPr>
              <w:t>.</w:t>
            </w:r>
          </w:p>
        </w:tc>
      </w:tr>
      <w:tr w:rsidR="006831BC" w:rsidRPr="00843724" w14:paraId="7A9D3C46" w14:textId="77777777" w:rsidTr="006831BC">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3EDE8B92" w14:textId="77777777" w:rsidR="00D90B1D" w:rsidRPr="00843724" w:rsidRDefault="00D90B1D" w:rsidP="007D620C">
            <w:pPr>
              <w:spacing w:after="40"/>
              <w:jc w:val="both"/>
              <w:rPr>
                <w:rFonts w:ascii="Times New Roman" w:hAnsi="Times New Roman" w:cs="Times New Roman"/>
                <w:b w:val="0"/>
                <w:szCs w:val="22"/>
              </w:rPr>
            </w:pPr>
          </w:p>
        </w:tc>
      </w:tr>
      <w:tr w:rsidR="006831BC" w:rsidRPr="00843724" w14:paraId="0F20D069" w14:textId="77777777" w:rsidTr="006831BC">
        <w:trPr>
          <w:trHeight w:val="204"/>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vAlign w:val="center"/>
          </w:tcPr>
          <w:p w14:paraId="7D1E5145" w14:textId="77777777" w:rsidR="00D90B1D" w:rsidRPr="00843724" w:rsidRDefault="00D90B1D" w:rsidP="007D620C">
            <w:pPr>
              <w:spacing w:after="40"/>
              <w:jc w:val="both"/>
              <w:rPr>
                <w:rFonts w:ascii="Times New Roman" w:hAnsi="Times New Roman" w:cs="Times New Roman"/>
                <w:szCs w:val="22"/>
              </w:rPr>
            </w:pPr>
            <w:r w:rsidRPr="00843724">
              <w:rPr>
                <w:rFonts w:ascii="Times New Roman" w:hAnsi="Times New Roman" w:cs="Times New Roman"/>
                <w:szCs w:val="22"/>
              </w:rPr>
              <w:t>South American subregion</w:t>
            </w:r>
          </w:p>
        </w:tc>
      </w:tr>
      <w:tr w:rsidR="006831BC" w:rsidRPr="00843724" w14:paraId="78827A34"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78E807DC"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Tropical and subtropical moist forests</w:t>
            </w:r>
          </w:p>
        </w:tc>
      </w:tr>
      <w:tr w:rsidR="006831BC" w:rsidRPr="00843724" w14:paraId="0140E817"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409723B0" w14:textId="77777777" w:rsidR="00D90B1D" w:rsidRPr="00843724" w:rsidRDefault="00D90B1D" w:rsidP="007D620C">
            <w:pPr>
              <w:widowControl w:val="0"/>
              <w:autoSpaceDE w:val="0"/>
              <w:autoSpaceDN w:val="0"/>
              <w:adjustRightInd w:val="0"/>
              <w:spacing w:after="40"/>
              <w:jc w:val="both"/>
              <w:rPr>
                <w:rFonts w:ascii="Times New Roman" w:hAnsi="Times New Roman" w:cs="Times New Roman"/>
                <w:b w:val="0"/>
                <w:szCs w:val="22"/>
                <w:lang w:val="de-DE"/>
              </w:rPr>
            </w:pPr>
            <w:r w:rsidRPr="00843724">
              <w:rPr>
                <w:rFonts w:ascii="Times New Roman" w:hAnsi="Times New Roman" w:cs="Times New Roman"/>
                <w:b w:val="0"/>
                <w:szCs w:val="22"/>
              </w:rPr>
              <w:t xml:space="preserve">Amazonia: plant species (14,003), trees (6,727)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"10.1073/pnas.1706756114", "ISSN" : "0027-8424", "PMID" : "28923966", "abstract" : "Recent debates on the number of plant species in the vast lowland rain forests of the Amazon have been based largely on model estimates, neglecting published checklists based on verified voucher data. Here we collate taxonomically verified checklists to present a list of seed plant species from lowland Amazon rain forests. Our list comprises 14,003 species, of which 6,727 are trees. These figures are similar to estimates derived from nonparametric ecological models, but they contrast strongly with predictions of much higher tree diversity derived from parametric models. Based on the known proportion of tree species in neotropical lowland rain forest communities as measured in complete plot censuses, and on overall estimates of seed plant diversity in Brazil and in the neotropics in general, it is more likely that tree diversity in the Amazon is closer to the lower estimates derived from nonparametric models. Much remains unknown about Amazonian plant diversity, but this taxonomically verified dataset provides a valid starting point for macroecological and evolutionary studies aimed at understanding the origin, evolution, and ecology of the exceptional biodiversity of Amazonian forests.", "author" : [ { "dropping-particle" : "", "family" : "Cardoso", "given" : "Domingos", "non-dropping-particle" : "", "parse-names" : false, "suffix" : "" }, { "dropping-particle" : "", "family" : "S\u00e4rkinen", "given" : "Tiina", "non-dropping-particle" : "", "parse-names" : false, "suffix" : "" }, { "dropping-particle" : "", "family" : "Alexander", "given" : "Sara", "non-dropping-particle" : "", "parse-names" : false, "suffix" : "" }, { "dropping-particle" : "", "family" : "Amorim", "given" : "Andr\u00e9 M", "non-dropping-particle" : "", "parse-names" : false, "suffix" : "" }, { "dropping-particle" : "", "family" : "Bittrich", "given" : "Volker", "non-dropping-particle" : "", "parse-names" : false, "suffix" : "" }, { "dropping-particle" : "", "family" : "Celis", "given" : "Marcela", "non-dropping-particle" : "", "parse-names" : false, "suffix" : "" }, { "dropping-particle" : "", "family" : "Daly", "given" : "Douglas C", "non-dropping-particle" : "", "parse-names" : false, "suffix" : "" }, { "dropping-particle" : "", "family" : "Fiaschi", "given" : "Pedro", "non-dropping-particle" : "", "parse-names" : false, "suffix" : "" }, { "dropping-particle" : "", "family" : "Funk", "given" : "Vicki A", "non-dropping-particle" : "", "parse-names" : false, "suffix" : "" }, { "dropping-particle" : "", "family" : "Giacomin", "given" : "Leandro L", "non-dropping-particle" : "", "parse-names" : false, "suffix" : "" }, { "dropping-particle" : "", "family" : "Goldenberg", "given" : "Renato", "non-dropping-particle" : "", "parse-names" : false, "suffix" : "" }, { "dropping-particle" : "", "family" : "Heiden", "given" : "Gustavo", "non-dropping-particle" : "", "parse-names" : false, "suffix" : "" }, { "dropping-particle" : "", "family" : "Iganci", "given" : "Jo\u00e3o", "non-dropping-particle" : "", "parse-names" : false, "suffix" : "" }, { "dropping-particle" : "", "family" : "Kelloff", "given" : "Carol L", "non-dropping-particle" : "", "parse-names" : false, "suffix" : "" }, { "dropping-particle" : "", "family" : "Knapp", "given" : "Sandra", "non-dropping-particle" : "", "parse-names" : false, "suffix" : "" }, { "dropping-particle" : "", "family" : "Cavalcante de Lima", "given" : "Haroldo", "non-dropping-particle" : "", "parse-names" : false, "suffix" : "" }, { "dropping-particle" : "", "family" : "Machado", "given" : "Anderson F P", "non-dropping-particle" : "", "parse-names" : false, "suffix" : "" }, { "dropping-particle" : "", "family" : "Santos", "given" : "Rubens Manoel", "non-dropping-particle" : "dos", "parse-names" : false, "suffix" : "" }, { "dropping-particle" : "", "family" : "Mello-Silva", "given" : "Renato", "non-dropping-particle" : "", "parse-names" : false, "suffix" : "" }, { "dropping-particle" : "", "family" : "Michelangeli", "given" : "Fabi\u00e1n A", "non-dropping-particle" : "", "parse-names" : false, "suffix" : "" }, { "dropping-particle" : "", "family" : "Mitchell", "given" : "John", "non-dropping-particle" : "", "parse-names" : false, "suffix" : "" }, { "dropping-particle" : "", "family" : "Moonlight", "given" : "Peter", "non-dropping-particle" : "", "parse-names" : false, "suffix" : "" }, { "dropping-particle" : "", "family" : "Moraes", "given" : "Pedro Lu\u00eds Rodrigues", "non-dropping-particle" : "de", "parse-names" : false, "suffix" : "" }, { "dropping-particle" : "", "family" : "Mori", "given" : "Scott A", "non-dropping-particle" : "", "parse-names" : false, "suffix" : "" }, { "dropping-particle" : "", "family" : "Nunes", "given" : "Teonildes Sacramento", "non-dropping-particle" : "", "parse-names" : false, "suffix" : "" }, { "dropping-particle" : "", "family" : "Pennington", "given" : "Terry D", "non-dropping-particle" : "", "parse-names" : false, "suffix" : "" }, { "dropping-particle" : "", "family" : "Pirani", "given" : "Jos\u00e9 Rubens", "non-dropping-particle" : "", "parse-names" : false, "suffix" : "" }, { "dropping-particle" : "", "family" : "Prance", "given" : "Ghillean T", "non-dropping-particle" : "", "parse-names" : false, "suffix" : "" }, { "dropping-particle" : "", "family" : "Queiroz", "given" : "Luciano Paganucci", "non-dropping-particle" : "de", "parse-names" : false, "suffix" : "" }, { "dropping-particle" : "", "family" : "Rapini", "given" : "Alessandro", "non-dropping-particle" : "", "parse-names" : false, "suffix" : "" }, { "dropping-particle" : "", "family" : "Riina", "given" : "Ricarda", "non-dropping-particle" : "", "parse-names" : false, "suffix" : "" }, { "dropping-particle" : "", "family" : "Rincon", "given" : "Carlos Alberto Vargas", "non-dropping-particle" : "", "parse-names" : false, "suffix" : "" }, { "dropping-particle" : "", "family" : "Roque", "given" : "N\u00e1dia", "non-dropping-particle" : "", "parse-names" : false, "suffix" : "" }, { "dropping-particle" : "", "family" : "Shimizu", "given" : "Gustavo", "non-dropping-particle" : "", "parse-names" : false, "suffix" : "" }, { "dropping-particle" : "", "family" : "Sobral", "given" : "Marcos", "non-dropping-particle" : "", "parse-names" : false, "suffix" : "" }, { "dropping-particle" : "", "family" : "Stehmann", "given" : "Jo\u00e3o Renato", "non-dropping-particle" : "", "parse-names" : false, "suffix" : "" }, { "dropping-particle" : "", "family" : "Stevens", "given" : "Warren D", "non-dropping-particle" : "", "parse-names" : false, "suffix" : "" }, { "dropping-particle" : "", "family" : "Taylor", "given" : "Charlotte M", "non-dropping-particle" : "", "parse-names" : false, "suffix" : "" }, { "dropping-particle" : "", "family" : "Trov\u00f3", "given" : "Marcelo", "non-dropping-particle" : "", "parse-names" : false, "suffix" : "" }, { "dropping-particle" : "", "family" : "Berg", "given" : "C\u00e1ssio", "non-dropping-particle" : "van den", "parse-names" : false, "suffix" : "" }, { "dropping-particle" : "", "family" : "Werff", "given" : "Henk", "non-dropping-particle" : "van der", "parse-names" : false, "suffix" : "" }, { "dropping-particle" : "", "family" : "Viana", "given" : "Pedro Lage", "non-dropping-particle" : "", "parse-names" : false, "suffix" : "" }, { "dropping-particle" : "", "family" : "Zartman", "given" : "Charles E", "non-dropping-particle" : "", "parse-names" : false, "suffix" : "" }, { "dropping-particle" : "", "family" : "Forzza", "given" : "Rafaela C.", "non-dropping-particle" : "", "parse-names" : false, "suffix" : "" } ], "container-title" : "PNAS", "id" : "ITEM-1", "issue" : "40", "issued" : { "date-parts" : [ [ "2017", "9", "18" ] ] }, "page" : "10695-10700", "publisher" : "National Academy of Sciences", "title" : "Amazon plant diversity revealed by a taxonomically verified species list", "type" : "article-journal", "volume" : "114" }, "uris" : [ "http://www.mendeley.com/documents/?uuid=81d8995c-e14c-3756-ada5-50698ed4bc11" ] } ], "mendeley" : { "formattedCitation" : "(Cardoso et al., 2017)", "manualFormatting" : "(Cardoso et al., 2017)", "plainTextFormattedCitation" : "(Cardoso et al., 2017)", "previouslyFormattedCitation" : "(Cardoso et al., 2017)"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(Cardoso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2017)</w:t>
            </w:r>
            <w:r w:rsidRPr="00843724">
              <w:rPr>
                <w:szCs w:val="22"/>
              </w:rPr>
              <w:fldChar w:fldCharType="end"/>
            </w:r>
            <w:r w:rsidRPr="00843724">
              <w:rPr>
                <w:rFonts w:ascii="Times New Roman" w:hAnsi="Times New Roman" w:cs="Times New Roman"/>
                <w:b w:val="0"/>
                <w:szCs w:val="22"/>
              </w:rPr>
              <w:t xml:space="preserve">, trees (11,676)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"10.1038/srep29549", "ISSN" : "2045-2322", "PMID" : "27406027", "abstract" : "Amazonia is the most biodiverse rainforest on Earth, and the debate over how many tree species grow there remains contentious. Here we provide a checklist of all tree species collected to date, and describe spatial and temporal trends in data accumulation. We report 530,025 unique collections of trees in Amazonia, dating between 1707 and 2015, for a total of 11,676 species in 1225 genera and 140 families. These figures support recent estimates of 16,000 total Amazonian tree species based on ecological plot data from the Amazonian Tree Diversity Network. Botanical collection in Amazonia is characterized by three major peaks, centred around 1840, 1920, and 1980, which are associated with flora projects and the establishment of inventory plots. Most collections were made in the 20th century. The number of collections has increased exponentially, but shows a slowdown in the last two decades. We find that a species\u2019 range size is a better predictor of the number of times it has been collected than the species\u2019 estimated basin-wide population size. Finding, describing, and documenting the distribution of the remaining species will require coordinated efforts at under-collected sites", "author" : [ { "dropping-particle" : "", "family" : "Steege", "given" : "Hans", "non-dropping-particle" : "ter", "parse-names" : false, "suffix" : "" }, { "dropping-particle" : "", "family" : "Vaessen", "given" : "Rens W.", "non-dropping-particle" : "", "parse-names" : false, "suffix" : "" }, { "dropping-particle" : "", "family" : "C\u00e1rdenas-L\u00f3pez", "given" : "Dairon", "non-dropping-particle" : "", "parse-names" : false, "suffix" : "" }, { "dropping-particle" : "", "family" : "Sabatier", "given" : "Daniel", "non-dropping-particle" : "", "parse-names" : false, "suffix" : "" }, { "dropping-particle" : "", "family" : "Antonelli", "given" : "Alexandre", "non-dropping-particle" : "", "parse-names" : false, "suffix" : "" }, { "dropping-particle" : "", "family" : "Oliveira", "given" : "Sylvia Mota", "non-dropping-particle" : "de", "parse-names" : false, "suffix" : "" }, { "dropping-particle" : "", "family" : "Pitman", "given" : "Nigel C. A.", "non-dropping-particle" : "", "parse-names" : false, "suffix" : "" }, { "dropping-particle" : "", "family" : "J\u00f8rgensen", "given" : "Peter M\u00f8ller", "non-dropping-particle" : "", "parse-names" : false, "suffix" : "" }, { "dropping-particle" : "", "family" : "Salom\u00e3o", "given" : "Rafael P.", "non-dropping-particle" : "", "parse-names" : false, "suffix" : "" } ], "container-title" : "Scientific Reports", "id" : "ITEM-1", "issue" : "1", "issued" : { "date-parts" : [ [ "2016" ] ] }, "page" : "29549", "title" : "The discovery of the Amazonian tree flora with an updated checklist of all known tree taxa", "type" : "article-journal", "volume" : "6" }, "uris" : [ "http://www.mendeley.com/documents/?uuid=157ab2f8-d6e4-4797-900c-6ff79f292235" ] } ], "mendeley" : { "formattedCitation" : "(Hans ter Steege et al., 2016)", "manualFormatting" : "(ter Steege et al., 2016)", "plainTextFormattedCitation" : "(Hans ter Steege et al., 2016)", "previouslyFormattedCitation" : "(Hans ter Steege et al., 2016)"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(ter Steege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2016)</w:t>
            </w:r>
            <w:r w:rsidRPr="00843724">
              <w:rPr>
                <w:szCs w:val="22"/>
              </w:rPr>
              <w:fldChar w:fldCharType="end"/>
            </w:r>
            <w:r w:rsidRPr="00843724">
              <w:rPr>
                <w:rFonts w:ascii="Times New Roman" w:hAnsi="Times New Roman" w:cs="Times New Roman"/>
                <w:szCs w:val="22"/>
              </w:rPr>
              <w:t>,</w:t>
            </w:r>
            <w:r w:rsidRPr="00843724">
              <w:rPr>
                <w:rFonts w:ascii="Times New Roman" w:hAnsi="Times New Roman" w:cs="Times New Roman"/>
                <w:b w:val="0"/>
                <w:szCs w:val="22"/>
              </w:rPr>
              <w:t xml:space="preserve"> birds (1,300)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"author" : [ { "dropping-particle" : "", "family" : "Marini", "given" : "M. A.", "non-dropping-particle" : "", "parse-names" : false, "suffix" : "" }, { "dropping-particle" : "", "family" : "Garc\u00eda", "given" : "F.I.", "non-dropping-particle" : "", "parse-names" : false, "suffix" : "" } ], "container-title" : "Conservation Biology", "id" : "ITEM-1", "issue" : "3", "issued" : { "date-parts" : [ [ "2005" ] ] }, "page" : "665-671", "title" : "Bird conservation in Brazil", "type" : "article-journal", "volume" : "19" }, "uris" : [ "http://www.mendeley.com/documents/?uuid=bdf5e187-5b3d-4c37-be2f-d63b4df055cb" ] } ], "mendeley" : { "formattedCitation" : "(M. A. Marini &amp; Garc\u00eda, 2005)", "manualFormatting" : "(Marini &amp; Garcia, 2005)", "plainTextFormattedCitation" : "(M. A. Marini &amp; Garc\u00eda, 2005)", "previouslyFormattedCitation" : "(M. A. Marini &amp; Garc\u00eda, 2005)"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(Marini &amp; Garcia, 2005)</w:t>
            </w:r>
            <w:r w:rsidRPr="00843724">
              <w:rPr>
                <w:szCs w:val="22"/>
              </w:rPr>
              <w:fldChar w:fldCharType="end"/>
            </w:r>
            <w:r w:rsidRPr="00843724">
              <w:rPr>
                <w:rFonts w:ascii="Times New Roman" w:hAnsi="Times New Roman" w:cs="Times New Roman"/>
                <w:b w:val="0"/>
                <w:szCs w:val="22"/>
              </w:rPr>
              <w:t xml:space="preserve">, reptiles (378), amphibians (428), fishes (&gt;3,000)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"ISBN" : "978-2-940529-37-7", "editor" : [ { "dropping-particle" : "", "family" : "Charity", "given" : "S.", "non-dropping-particle" : "", "parse-names" : false, "suffix" : "" }, { "dropping-particle" : "", "family" : "Dudley", "given" : "N.", "non-dropping-particle" : "", "parse-names" : false, "suffix" : "" }, { "dropping-particle" : "", "family" : "Oliveira", "given" : "D.", "non-dropping-particle" : "", "parse-names" : false, "suffix" : "" }, { "dropping-particle" : "", "family" : "Stolton", "given" : "S.", "non-dropping-particle" : "", "parse-names" : false, "suffix" : "" } ], "id" : "ITEM-1", "issued" : { "date-parts" : [ [ "2016" ] ] }, "publisher" : "WWF Living Amazon Initiative", "publisher-place" : "Bras\u00edlia, Brazil and Quito, Ecuador", "title" : "Living Amazon Report 2016: A Regional Approach to Conservation in the Amazon", "type" : "book" }, "uris" : [ "http://www.mendeley.com/documents/?uuid=cc024ac3-df91-4454-a6b1-2df30626b009" ] } ], "mendeley" : { "formattedCitation" : "(Charity et al., 2016)", "manualFormatting" : "(Charity et al., 2016)", "plainTextFormattedCitation" : "(Charity et al., 2016)", "previouslyFormattedCitation" : "(Charity et al., 2016)"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(Charity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2016)</w:t>
            </w:r>
            <w:r w:rsidRPr="00843724">
              <w:rPr>
                <w:szCs w:val="22"/>
              </w:rPr>
              <w:fldChar w:fldCharType="end"/>
            </w:r>
            <w:r w:rsidRPr="00843724">
              <w:rPr>
                <w:rFonts w:ascii="Times New Roman" w:hAnsi="Times New Roman" w:cs="Times New Roman"/>
                <w:b w:val="0"/>
                <w:szCs w:val="22"/>
              </w:rPr>
              <w:t xml:space="preserve">; Amazonian lowland forest: mammals (434)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"10.1126/science.255.5047.976", "ISBN" : "0036-8075", "ISSN" : "0036-8075", "PMID" : "17793161", "abstract" : "Data were compiled on the distribution of mammal taxa (883 species, 242 genera, 45 families, and 10 orders) among South America{\\textquoteright}s six major macrohabitats: lowland Amazon forest, western montane forests, Atlantic rain forest, upland semideciduous forest, southern mesophytic forest, and drylands. The drylands are the richest area in numbers of species supported and are more diverse than the other habitats, including the lowland Amazon rain forest, when endemics are considered. An analysis of number of endemic and nonendemic taxa versus size of area found a simple positive linear relationship: the drylands, almost twice as extensive as the Amazon lowlands, support more endemic taxa. Conservation plans that emphasize the wet tropics and fail to consider the drylands as special repositories of mammal diversity will be unable to preserve a significant number of novel taxa.", "author" : [ { "dropping-particle" : "", "family" : "Mares", "given" : "Michael", "non-dropping-particle" : "", "parse-names" : false, "suffix" : "" } ], "container-title" : "Science", "id" : "ITEM-1", "issue" : "5047", "issued" : { "date-parts" : [ [ "1992" ] ] }, "page" : "976-979", "title" : "Neotropical mammals and the myth of Amazonian biodiversity", "type" : "article-journal", "volume" : "255" }, "uris" : [ "http://www.mendeley.com/documents/?uuid=77783b38-4b15-35bb-b3c0-408febdb4921" ] } ], "mendeley" : { "formattedCitation" : "(Mares, 1992)", "manualFormatting" : "(Mares, 1992)", "plainTextFormattedCitation" : "(Mares, 1992)", "previouslyFormattedCitation" : "(Mares, 1992)"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(Mares, 1992)</w:t>
            </w:r>
            <w:r w:rsidRPr="00843724">
              <w:rPr>
                <w:szCs w:val="22"/>
              </w:rPr>
              <w:fldChar w:fldCharType="end"/>
            </w:r>
            <w:r w:rsidRPr="00843724">
              <w:rPr>
                <w:rFonts w:ascii="Times New Roman" w:hAnsi="Times New Roman" w:cs="Times New Roman"/>
                <w:b w:val="0"/>
                <w:szCs w:val="22"/>
              </w:rPr>
              <w:t xml:space="preserve">; Atlantic Coastal forest: plants (~20,000), mammals (263), reptiles (306), amphibians (475)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"author" : [ { "dropping-particle" : "", "family" : "Mittermeier", "given" : "R A", "non-dropping-particle" : "", "parse-names" : false, "suffix" : "" }, { "dropping-particle" : "", "family" : "Gil", "given" : "P R", "non-dropping-particle" : "", "parse-names" : false, "suffix" : "" }, { "dropping-particle" : "", "family" : "Hoffmann", "given" : "M", "non-dropping-particle" : "", "parse-names" : false, "suffix" : "" }, { "dropping-particle" : "", "family" : "Pilgrim", "given" : "J", "non-dropping-particle" : "", "parse-names" : false, "suffix" : "" }, { "dropping-particle" : "", "family" : "Brooks", "given" : "T", "non-dropping-particle" : "", "parse-names" : false, "suffix" : "" }, { "dropping-particle" : "", "family" : "Mittermeier", "given" : "C G", "non-dropping-particle" : "", "parse-names" : false, "suffix" : "" }, { "dropping-particle" : "", "family" : "Lamoreux", "given" : "J", "non-dropping-particle" : "", "parse-names" : false, "suffix" : "" }, { "dropping-particle" : "", "family" : "Fonseca", "given" : "G A", "non-dropping-particle" : "", "parse-names" : false, "suffix" : "" } ], "container-title" : "CEMEX Books on Nature Series", "id" : "ITEM-1", "issued" : { "date-parts" : [ [ "2005" ] ] }, "publisher-place" : "Mexico City", "title" : "Hotspots Revisited: Earth\u2019s Biologically Richest and Most Endangered Terrestrial Ecoregions", "type" : "book" }, "uris" : [ "http://www.mendeley.com/documents/?uuid=d1d76359-dd2a-41bb-b945-ec9449256dca" ] } ], "mendeley" : { "formattedCitation" : "(Mittermeier et al., 2005)", "manualFormatting" : "(Mittermeier et al., 2005)", "plainTextFormattedCitation" : "(Mittermeier et al., 2005)", "previouslyFormattedCitation" : "(Mittermeier et al., 2005)"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(Mittermeier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2005)</w:t>
            </w:r>
            <w:r w:rsidRPr="00843724">
              <w:rPr>
                <w:szCs w:val="22"/>
              </w:rPr>
              <w:fldChar w:fldCharType="end"/>
            </w:r>
            <w:r w:rsidRPr="00843724">
              <w:rPr>
                <w:rFonts w:ascii="Times New Roman" w:hAnsi="Times New Roman" w:cs="Times New Roman"/>
                <w:b w:val="0"/>
                <w:szCs w:val="22"/>
              </w:rPr>
              <w:t xml:space="preserve">, birds (1,020)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"author" : [ { "dropping-particle" : "", "family" : "Marini", "given" : "M. A.", "non-dropping-particle" : "", "parse-names" : false, "suffix" : "" }, { "dropping-particle" : "", "family" : "Garc\u00eda", "given" : "F.I.", "non-dropping-particle" : "", "parse-names" : false, "suffix" : "" } ], "container-title" : "Conservation Biology", "id" : "ITEM-1", "issue" : "3", "issued" : { "date-parts" : [ [ "2005" ] ] }, "page" : "665-671", "title" : "Bird conservation in Brazil", "type" : "article-journal", "volume" : "19" }, "uris" : [ "http://www.mendeley.com/documents/?uuid=bdf5e187-5b3d-4c37-be2f-d63b4df055cb" ] } ], "mendeley" : { "formattedCitation" : "(M. A. Marini &amp; Garc\u00eda, 2005)", "manualFormatting" : "(Marini &amp; Garcia, 2005)", "plainTextFormattedCitation" : "(M. A. Marini &amp; Garc\u00eda, 2005)", "previouslyFormattedCitation" : "(M. A. Marini &amp; Garc\u00eda, 2005)"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(Marini &amp; Garcia, 2005)</w:t>
            </w:r>
            <w:r w:rsidRPr="00843724">
              <w:rPr>
                <w:szCs w:val="22"/>
              </w:rPr>
              <w:fldChar w:fldCharType="end"/>
            </w:r>
            <w:r w:rsidRPr="00843724">
              <w:rPr>
                <w:rFonts w:ascii="Times New Roman" w:hAnsi="Times New Roman" w:cs="Times New Roman"/>
                <w:b w:val="0"/>
                <w:szCs w:val="22"/>
              </w:rPr>
              <w:t xml:space="preserve">; Andean Montane forest: trees (3,750)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"10.1371/journal.pone.0131388", "ISBN" : "1932-6203", "ISSN" : "19326203", "PMID" : "26177097", "abstract" : "There are widespread concerns that anthropogenic climate change will become a major cause of global biodiversity loss. However, the potential impact of climate change on the extinction risk of species remains poorly understood, particularly in comparison to other current threats. The objective of this research was to examine the relative impact of climate change on extinction risk of upper montane tree species in the tropical Andes, an area of high biodiversity value that is particularly vulnerable to climate change impacts. The extinction risk of 129 tree species endemic to the region was evaluated according to the IUCN Red List criteria, both with and without the potential impacts of climate change. Evaluations were supported by development of species distribution models, using three methods (generalized additive models, recursive partitioning, and support vector machines), all of which produced similarly high AUC values when averaged across all species evaluated (0.82, 0.86, and 0.88, respectively). Inclusion of climate change increased the risk of extinction of 18-20% of the tree species evaluated, depending on the climate scenario. The relative impact of climate change was further illustrated by calculating the Red List Index, an indicator that shows changes in the overall extinction risk of sets of species over time. A 15% decline in the Red List Index was obtained when climate change was included in this evaluation. While these results suggest that climate change represents a significant threat to tree species in the tropical Andes, they contradict previous suggestions that climate change will become the most important cause of biodiversity loss in coming decades. Conservation strategies should therefore focus on addressing the multiple threatening processes currently affecting biodiversity, rather than focusing primarily on potential climate change impacts.", "author" : [ { "dropping-particle" : "", "family" : "Tejedor Garavito", "given" : "N.", "non-dropping-particle" : "", "parse-names" : false, "suffix" : "" }, { "dropping-particle" : "", "family" : "Newton", "given" : "Adrian C.", "non-dropping-particle" : "", "parse-names" : false, "suffix" : "" }, { "dropping-particle" : "", "family" : "Golicher", "given" : "Duncan", "non-dropping-particle" : "", "parse-names" : false, "suffix" : "" }, { "dropping-particle" : "", "family" : "Oldfield", "given" : "Sara", "non-dropping-particle" : "", "parse-names" : false, "suffix" : "" } ], "container-title" : "PLoS ONE", "id" : "ITEM-1", "issue" : "7", "issued" : { "date-parts" : [ [ "2015" ] ] }, "page" : "e0131388", "title" : "The relative impact of climate change on the extinction risk of tree species in the montane tropical Andes", "type" : "article-journal", "volume" : "10" }, "uris" : [ "http://www.mendeley.com/documents/?uuid=7cb47ff8-40f9-31f5-8381-29bcc075bb0b" ] } ], "mendeley" : { "formattedCitation" : "(Tejedor Garavito, Newton, Golicher, &amp; Oldfield, 2015)", "manualFormatting" : "(Tejedor Garavito et al., 2015)", "plainTextFormattedCitation" : "(Tejedor Garavito, Newton, Golicher, &amp; Oldfield, 2015)", "previouslyFormattedCitation" : "(Tejedor Garavito, Newton, Golicher, &amp; Oldfield, 2015)"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(Tejedor Garavito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xml:space="preserve"> 2015)</w:t>
            </w:r>
            <w:r w:rsidRPr="00843724">
              <w:rPr>
                <w:szCs w:val="22"/>
              </w:rPr>
              <w:fldChar w:fldCharType="end"/>
            </w:r>
            <w:r w:rsidRPr="00843724">
              <w:rPr>
                <w:rFonts w:ascii="Times New Roman" w:hAnsi="Times New Roman" w:cs="Times New Roman"/>
                <w:b w:val="0"/>
                <w:szCs w:val="22"/>
              </w:rPr>
              <w:t xml:space="preserve">, birds (many of a total of 1,160 species in all neotropical wet montane forests)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"10.1017/S0376892900039400", "ISBN" : "0376-8929", "abstract" : "Bird communities are sensitive indicators of habitat type and condition. Therefore careful ornithological surveys can provide quick, practical assessments of the ecological characteristics and conservation status of many terrestrial communities in the tropical Americas. This volume provides the data essential to the success of such surveys. It compiles, for the first time, information on the ecological and geographical distributions of all 4,037 bird species of the Neotropics, from Mexico south to Tierra del Fuego, including many migrant species. Using this extensive database, the authors analyze priorities for conservation in the Neotropics, showing how bird communities can help determine which Neotropical regions and habitats are in most urgent need of protection. In almost three hundred pages of tables (also available on disk), the authors provide detailed information on each species' geographic range, habitat use, elevational limits, foraging levels, relative abundance, and sensitivity to human disturbance. With the data in this book, for example, one can pinpoint all bird species living in any Neotropical country at a specific elevation in a particular vegetation type. Much of this previously unpublished information was amassed by Theodore A. Parker III before his untimely death. Careful analysis of this information suggests surprising and controversial conclusions. For instance, bird communities indicate that the current focus for conservation action in the Amazonian lowlands is misplaced: these forests are still relatively intact. Instead, biological communities that are narrowly restricted to the lower slopes of the Andes, to the tropical deciduous forests, and to the once-extensive grasslands and scrubs of central Brazil - communities still largely ignored by conservationists - are the ones facing most immediate risks from current development pressures. This unparalleled wealth of finely detailed ecological informatio</w:instrText>
            </w:r>
            <w:r w:rsidRPr="00843724">
              <w:rPr>
                <w:rFonts w:ascii="Times New Roman" w:hAnsi="Times New Roman" w:cs="Times New Roman"/>
                <w:b w:val="0"/>
                <w:szCs w:val="22"/>
                <w:lang w:val="de-DE"/>
              </w:rPr>
              <w:instrText>n on Neotropical bird communities will prove invaluable to all Neotropical wildlife managers, conservation biologists, and serious birders.", "author" : [ { "dropping-particle" : "", "family" : "Stotz", "given" : "D F", "non-dropping-particle" : "", "parse-names" : false, "suffix" : "" }, { "dropping-particle" : "", "family" : "Fitzpatrick", "given" : "J W", "non-dropping-particle" : "", "parse-names" : false, "suffix" : "" }, { "dropping-particle" : "", "family" : "Parker III", "given" : "T", "non-dropping-particle" : "", "parse-names" : false, "suffix" : "" }, { "dropping-particle" : "", "family" : "Moskovits", "given" : "D K", "non-dropping-particle" : "", "parse-names" : false, "suffix" : "" } ], "id" : "ITEM-1", "issued" : { "date-parts" : [ [ "1996" ] ] }, "number-of-pages" : "502", "publisher" : "The University of Chicago Press", "publisher-place" : "Chicago, USA", "title" : "Neotropical Birds: Ecology and Conservation", "type" : "book" }, "uris" : [ "http://www.mendeley.com/documents/?uuid=9d8a430a-58da-357f-82b8-f9bd54770440" ] } ], "mendeley" : { "formattedCitation" : "(Stotz, Fitzpatrick, Parker III, &amp; Moskovits, 1996)", "manualFormatting" : "(Stotz et al., 1996)", "plainTextFormattedCitation" : "(Stotz, Fitzpatrick, Parker III, &amp; Moskovits, 1996)", "previouslyFormattedCitation" : "(Stotz, Fitzpatrick, Parker III, &amp; Moskovits, 1996)"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de-DE"/>
              </w:rPr>
              <w:t xml:space="preserve">(Stotz </w:t>
            </w:r>
            <w:r w:rsidRPr="00843724">
              <w:rPr>
                <w:rFonts w:ascii="Times New Roman" w:hAnsi="Times New Roman" w:cs="Times New Roman"/>
                <w:b w:val="0"/>
                <w:i/>
                <w:noProof/>
                <w:szCs w:val="22"/>
                <w:lang w:val="de-DE"/>
              </w:rPr>
              <w:t>et al.</w:t>
            </w:r>
            <w:r w:rsidRPr="00843724">
              <w:rPr>
                <w:rFonts w:ascii="Times New Roman" w:hAnsi="Times New Roman" w:cs="Times New Roman"/>
                <w:b w:val="0"/>
                <w:noProof/>
                <w:szCs w:val="22"/>
                <w:lang w:val="de-DE"/>
              </w:rPr>
              <w:t>, 1996)</w:t>
            </w:r>
            <w:r w:rsidRPr="00843724">
              <w:rPr>
                <w:szCs w:val="22"/>
              </w:rPr>
              <w:fldChar w:fldCharType="end"/>
            </w:r>
            <w:r w:rsidRPr="00843724">
              <w:rPr>
                <w:rFonts w:ascii="Times New Roman" w:hAnsi="Times New Roman" w:cs="Times New Roman"/>
                <w:b w:val="0"/>
                <w:szCs w:val="22"/>
                <w:lang w:val="de-DE"/>
              </w:rPr>
              <w:t xml:space="preserve">, mammals (332) </w:t>
            </w:r>
            <w:r w:rsidRPr="00843724">
              <w:rPr>
                <w:szCs w:val="22"/>
              </w:rPr>
              <w:fldChar w:fldCharType="begin" w:fldLock="1"/>
            </w:r>
            <w:r w:rsidRPr="00843724">
              <w:rPr>
                <w:rFonts w:ascii="Times New Roman" w:hAnsi="Times New Roman" w:cs="Times New Roman"/>
                <w:b w:val="0"/>
                <w:szCs w:val="22"/>
                <w:lang w:val="de-DE"/>
              </w:rPr>
              <w:instrText>ADDIN CSL_CITATION { "citationItems" : [ { "id" : "ITEM-1", "itemData" : { "DOI" : "10.1126/science.255.5047.976", "ISBN" : "0036-8075", "ISSN" : "0036-8075", "PMID" : "17793161", "abstract" : "Data were compiled on the distribution of mammal taxa (883 species, 242 genera, 45 families, and 10 orders) among South America{\\textquoteright}s six major macrohabitats: lowland Amazon forest, western montane forests, Atlantic rain forest, upland semideciduous forest, southern mesophytic forest, and drylands. The drylands are the richest area in numbers of species supported and are more diverse than the other habitats, including the lowland Amazon rain forest, when endemics are considered. An analysis of number of endemic and nonendemic taxa versus size of area found a simple positive linear relationship: the drylands, almost twice as extensive as the Amazon lowlands, support more endemic taxa. Conservation plans that emphasize the wet tropics and fail to consider the drylands as special repositories of mammal diversity will be unable to preserve a significant number of novel taxa.", "author" : [ { "dropping-particle" : "", "family" : "Mares", "given" : "Michael", "non-dropping-particle" : "", "parse-names" : false, "suffix" : "" } ], "container-title" : "Science", "id" : "ITEM-1", "issue" : "5047", "issued" : { "date-parts" : [ [ "1992" ] ] }, "page" : "976-979", "title" : "Neotropical mammals and the myth of Amazonian biodiversity", "type" : "article-journal", "volume" : "255" }, "uris" : [ "http://www.mendeley.com/documents/?uuid=77783b38-4b15-35bb-b3c0-408febdb4921" ] } ], "mendeley" : { "formattedCitation" : "(Mares, 1992)", "manualFormatting" : "(Mares, 1992)", "plainTextFormattedCitation" : "(Mares, 1992)", "previouslyFormattedCitation" : "(Mares, 1992)"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de-DE"/>
              </w:rPr>
              <w:t>(Mares, 1992)</w:t>
            </w:r>
            <w:r w:rsidRPr="00843724">
              <w:rPr>
                <w:szCs w:val="22"/>
              </w:rPr>
              <w:fldChar w:fldCharType="end"/>
            </w:r>
            <w:r w:rsidRPr="00843724">
              <w:rPr>
                <w:rFonts w:ascii="Times New Roman" w:hAnsi="Times New Roman" w:cs="Times New Roman"/>
                <w:b w:val="0"/>
                <w:szCs w:val="22"/>
                <w:lang w:val="de-DE"/>
              </w:rPr>
              <w:t xml:space="preserve">; Las Yungas, Bolivia: plants (6,073) </w:t>
            </w:r>
            <w:r w:rsidRPr="00843724">
              <w:rPr>
                <w:szCs w:val="22"/>
              </w:rPr>
              <w:fldChar w:fldCharType="begin" w:fldLock="1"/>
            </w:r>
            <w:r w:rsidRPr="00843724">
              <w:rPr>
                <w:rFonts w:ascii="Times New Roman" w:hAnsi="Times New Roman" w:cs="Times New Roman"/>
                <w:b w:val="0"/>
                <w:szCs w:val="22"/>
                <w:lang w:val="de-DE"/>
              </w:rPr>
              <w:instrText>ADDIN CSL_CITATION { "citationItems" : [ { "id" : "ITEM-1", "itemData" : { "author" : [ { "dropping-particle" : "", "family" : "J\u00f8rgensen", "given" : "P.M.", "non-dropping-particle" : "", "parse-names" : false, "suffix" : "" }, { "dropping-particle" : "", "family" : "Nee", "given" : "M.H.", "non-dropping-particle" : "", "parse-names" : false, "suffix" : "" }, { "dropping-particle" : "", "family" : "Beck", "given" : "S.G.", "non-dropping-particle" : "", "parse-names" : false, "suffix" : "" } ], "container-title" : "Monographs in Systematic Botany from the Missouri Botanical Garden", "edition" : "4", "id" : "ITEM-1", "issued" : { "date-parts" : [ [ "2015" ] ] }, "publisher" : "Missouri Botanical Garden Press", "publisher-place" : "Missouri,USA", "title" : "Cat\u00e1logo de plantas vasculares de Bolivia", "type" : "chapter", "volume" : "127" }, "uris" : [ "http://www.mendeley.com/documents/?uuid=05ed8178-d0b8-4151-96b3-7fce52d272db" ] } ], "mendeley" : { "formattedCitation" : "(J\u00f8rgensen, Nee, &amp; Beck, 2015)", "manualFormatting" : "(J\u00f8rgensen et al., 2015)", "plainTextFormattedCitation" : "(J\u00f8rgensen, Nee, &amp; Beck, 2015)", "previouslyFormattedCitation" : "(J\u00f8rgensen, Nee, &amp; Beck, 2015)"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de-DE"/>
              </w:rPr>
              <w:t xml:space="preserve">(Jørgensen </w:t>
            </w:r>
            <w:r w:rsidRPr="00843724">
              <w:rPr>
                <w:rFonts w:ascii="Times New Roman" w:hAnsi="Times New Roman" w:cs="Times New Roman"/>
                <w:b w:val="0"/>
                <w:i/>
                <w:noProof/>
                <w:szCs w:val="22"/>
                <w:lang w:val="de-DE"/>
              </w:rPr>
              <w:t>et al</w:t>
            </w:r>
            <w:r w:rsidRPr="00843724">
              <w:rPr>
                <w:rFonts w:ascii="Times New Roman" w:hAnsi="Times New Roman" w:cs="Times New Roman"/>
                <w:b w:val="0"/>
                <w:noProof/>
                <w:szCs w:val="22"/>
                <w:lang w:val="de-DE"/>
              </w:rPr>
              <w:t>., 2015)</w:t>
            </w:r>
            <w:r w:rsidRPr="00843724">
              <w:rPr>
                <w:szCs w:val="22"/>
              </w:rPr>
              <w:fldChar w:fldCharType="end"/>
            </w:r>
            <w:r w:rsidRPr="00843724">
              <w:rPr>
                <w:rFonts w:ascii="Times New Roman" w:hAnsi="Times New Roman" w:cs="Times New Roman"/>
                <w:b w:val="0"/>
                <w:szCs w:val="22"/>
                <w:lang w:val="de-DE"/>
              </w:rPr>
              <w:t>.</w:t>
            </w:r>
          </w:p>
        </w:tc>
      </w:tr>
      <w:tr w:rsidR="006831BC" w:rsidRPr="00843724" w14:paraId="532588CE"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321462F8"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Tropical and subtropical dry forests</w:t>
            </w:r>
          </w:p>
        </w:tc>
      </w:tr>
      <w:tr w:rsidR="006831BC" w:rsidRPr="00843724" w14:paraId="6C709778" w14:textId="77777777" w:rsidTr="006831BC">
        <w:trPr>
          <w:trHeight w:val="50"/>
        </w:trPr>
        <w:tc>
          <w:tcPr>
            <w:cnfStyle w:val="001000000000" w:firstRow="0" w:lastRow="0" w:firstColumn="1" w:lastColumn="0" w:oddVBand="0" w:evenVBand="0" w:oddHBand="0" w:evenHBand="0" w:firstRowFirstColumn="0" w:firstRowLastColumn="0" w:lastRowFirstColumn="0" w:lastRowLastColumn="0"/>
            <w:tcW w:w="5000" w:type="pct"/>
          </w:tcPr>
          <w:p w14:paraId="61FE1B77" w14:textId="77777777" w:rsidR="00D90B1D" w:rsidRPr="00843724" w:rsidRDefault="00D90B1D" w:rsidP="007D620C">
            <w:pPr>
              <w:widowControl w:val="0"/>
              <w:autoSpaceDE w:val="0"/>
              <w:autoSpaceDN w:val="0"/>
              <w:adjustRightInd w:val="0"/>
              <w:spacing w:after="40"/>
              <w:jc w:val="both"/>
              <w:rPr>
                <w:rFonts w:ascii="Times New Roman" w:hAnsi="Times New Roman" w:cs="Times New Roman"/>
                <w:noProof/>
                <w:szCs w:val="22"/>
                <w:lang w:val="en-GB"/>
              </w:rPr>
            </w:pPr>
            <w:r w:rsidRPr="00843724">
              <w:rPr>
                <w:rFonts w:ascii="Times New Roman" w:hAnsi="Times New Roman" w:cs="Times New Roman"/>
                <w:b w:val="0"/>
                <w:szCs w:val="22"/>
              </w:rPr>
              <w:t xml:space="preserve">Northern South America and Central America: tree species (808)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"10.1126/science.aaf5080", "ISBN" : "3586", "ISSN" : "0036-8075", "PMID" : "27708031", "abstract" : "Seasonally dry tropical forests are distributed across Latin America and the Caribbean and are highly threatened, with less than 10% of their original extent remaining in many countries. Using 835 inventories covering 4660 species of woody plants, we show marked floristic turnover among inventories and regions, which may be higher than in other neotropical biomes, such as savanna. Such high floristic turnover indicates that numerous conservation areas across many countries will be needed to protect the full diversity of tropical dry forests. Our results provide a scientific framework within which national decision-makers can contextualize the floristic significance of their dry forest at a regional and continental scale.", "author" : [ { "dropping-particle" : "", "family" : "Banda-R", "given" : "K.", "non-dropping-particle" : "", "parse-names" : false, "suffix" : "" }, { "dropping-particle" : "", "family" : "Delgado-Salinas", "given" : "A.", "non-dropping-particle" : "", "parse-names" : false, "suffix" : "" }, { "dropping-particle" : "", "family" : "Dexter", "given" : "K. G.", "non-dropping-particle" : "", "parse-names" : false, "suffix" : "" }, { "dropping-particle" : "", "family" : "Linares-Palomino", "given" : "R.", "non-dropping-particle" : "", "parse-names" : false, "suffix" : "" }, { "dropping-particle" : "", "family" : "Oliveira-Filho", "given" : "A.", "non-dropping-particle" : "", "parse-names" : false, "suffix" : "" }, { "dropping-particle" : "", "family" : "Prado", "given" : "D.", "non-dropping-particle" : "", "parse-names" : false, "suffix" : "" }, { "dropping-particle" : "", "family" : "Pullan", "given" : "M.", "non-dropping-particle" : "", "parse-names" : false, "suffix" : "" }, { "dropping-particle" : "", "family" : "Quintana", "given" : "C.", "non-dropping-particle" : "", "parse-names" : false, "suffix" : "" }, { "dropping-particle" : "", "family" : "Riina", "given" : "R.", "non-dropping-particle" : "", "parse-names" : false, "suffix" : "" }, { "dropping-particle" : "", "family" : "Rodriguez M.", "given" : "G. M.", "non-dropping-particle" : "", "parse-names" : false, "suffix" : "" }, { "dropping-particle" : "", "family" : "Weintritt", "given" : "J.", "non-dropping-particle" : "", "parse-names" : false, "suffix" : "" }, { "dropping-particle" : "", "family" : "Acevedo-Rodriguez", "given" : "P.", "non-dropping-particle" : "", "parse-names" : false, "suffix" : "" }, { "dropping-particle" : "", "family" : "Adarve", "given" : "J.", "non-dropping-particle" : "", "parse-names" : false, "suffix" : "" }, { "dropping-particle" : "", "family" : "Alvarez", "given" : "E.", "non-dropping-particle" : "", "parse-names" : false, "suffix" : "" }, { "dropping-particle" : "", "family" : "Aranguren B.", "given" : "A.", "non-dropping-particle" : "", "parse-names" : false, "suffix" : "" }, { "dropping-particle" : "", "family" : "Arteaga", "given" : "J. C.", "non-dropping-particle" : "", "parse-names" : false, "suffix" : "" }, { "dropping-particle" : "", "family" : "Aymard", "given" : "G.", "non-dropping-particle" : "", "parse-names" : false, "suffix" : "" }, { "dropping-particle" : "", "family" : "Castano", "given" : "A.", "non-dropping-particle" : "", "parse-names" : false, "suffix" : "" }, { "dropping-particle" : "", "family" : "Ceballos-Mago", "given" : "N.", "non-dropping-particle" : "", "parse-names" : false, "suffix" : "" }, { "dropping-particle" : "", "family" : "Cogollo", "given" : "A.", "non-dropping-particle" : "", "parse-names" : false, "suffix" : "" }, { "dropping-particle" : "", "family" : "Cuadros", "given" : "H.", "non-dropping-particle" : "", "parse-names" : false, "suffix" : "" }, { "dropping-particle" : "", "family" : "Delgado", "given" : "F.", "non-dropping-particle" : "", "parse-names" : false, "suffix" : "" }, { "dropping-particle" : "", "family" : "Devia", "given" : "W.", "non-dropping-particle" : "", "parse-names" : false, "suffix" : "" }, { "dropping-particle" : "", "family" : "Duenas", "given" : "H.", "non-dropping-particle" : "", "parse-names" : false, "suffix" : "" }, { "dropping-particle" : "", "family" : "Fajardo", "given" : "L.", "non-dropping-particle" : "", "parse-names" : false, "suffix" : "" }, { "dropping-particle" : "", "family" : "Fernandez", "given" : "A.", "non-dropping-particle" : "", "parse-names" : false, "suffix" : "" }, { "dropping-particle" : "", "family" : "Fernandez", "given" : "M. A.", "non-dropping-particle" : "", "parse-names" : false, "suffix" : "" }, { "dropping-particle" : "", "family" : "Franklin", "given" : "J.", "non-dropping-particle" : "", "parse-names" : false, "suffix" : "" }, { "dropping-particle" : "", "family" : "Freid", "given" : "E. H.", "non-dropping-particle" : "", "parse-names" : false, "suffix" : "" }, { "dropping-particle" : "", "family" : "Galetti", "given" : "L. A.", "non-dropping-particle" : "", "parse-names" : false, "suffix" : "" }, { "dropping-particle" : "", "family" : "Gonto", "given" : "R.", "non-dropping-particle" : "", "parse-names" : false, "suffix" : "" }, { "dropping-particle" : "", "family" : "Gonzalez-M.", "given" : "R.", "non-dropping-particle" : "", "parse-names" : false, "suffix" : "" }, { "dropping-particle" : "", "family" : "Graveson", "given" : "R.", "non-dropping-particle" : "", "parse-names" : false, "suffix" : "" }, { "dropping-particle" : "", "family" : "Helmer", "given" : "E. H.", "non-dropping-particle" : "", "parse-names" : false, "suffix" : "" }, { "dropping-particle" : "", "family" : "Idarraga", "given" : "A.", "non-dropping-particle" : "", "parse-names" : false, "suffix" : "" }, { "dropping-particle" : "", "family" : "Lopez", "given" : "R.", "non-dropping-particle" : "", "parse-names" : false, "suffix" : "" }, { "dropping-particle" : "", "family" : "Marcano-Vega", "given" : "H.", "non-dropping-particle" : "", "parse-names" : false, "suffix" : "" }, { "dropping-particle" : "", "family" : "Martinez", "given" : "O. G.", "non-dropping-particle" : "", "parse-names" : false, "suffix" : "" }, { "dropping-particle" : "", "family" : "Maturo", "given" : "H. M.", "non-dropping-particle" : "", "parse-names" : false, "suffix" : "" }, { "dropping-particle" : "", "family" : "McDonald", "given" : "M.", "non-dropping-particle" : "", "parse-names" : false, "suffix" : "" }, { "dropping-particle" : "", "family" : "McLaren", "given" : "K.", "non-dropping-particle" : "", "parse-names" : false, "suffix" : "" }, { "dropping-particle" : "", "family" : "Melo", "given" : "O.", "non-dropping-particle" : "", "parse-names" : false, "suffix" : "" }, { "dropping-particle" : "", "family" : "Mijares", "given" : "F.", "non-dropping-particle" : "", "parse-names" : false, "suffix" : "" }, { "dropping-particle" : "", "family" : "Mogni", "given" : "V.", "non-dropping-particle" : "", "parse-names" : false, "suffix" : "" }, { "dropping-particle" : "", "family" : "Molina", "given" : "D.", "non-dropping-particle" : "", "parse-names" : false, "suffix" : "" }, { "dropping-particle" : "", "family" : "Moreno", "given" : "N. d. P.", "non-dropping-particle" : "", "parse-names" : false, "suffix" : "" }, { "dropping-particle" : "", "family" : "Nassar", "given" : "J. M.", "non-dropping-particle" : "", "parse-names" : false, "suffix" : "" }, { "dropping-particle" : "", "family" : "Neves", "given" : "D. M.", "non-dropping-particle" : "", "parse-names" : false, "suffix" : "" }, { "dropping-particle" : "", "family" : "Oakley", "given" : "L. J.", "non-dropping-particle" : "", "parse-names" : false, "suffix" : "" }, { "dropping-particle" : "", "family" : "Oatham", "given" : "M.", "non-dropping-particle" : "", "parse-names" : false, "suffix" : "" }, { "dropping-particle" : "", "family" : "Olvera-Luna", "given" : "A. R.", "non-dropping-particle" : "", "parse-names" : false, "suffix" : "" }, { "dropping-particle" : "", "family" : "Pezzini", "given" : "F. F.", "non-dropping-particle" : "", "parse-names" : false, "suffix" : "" }, { "dropping-particle" : "", "family" : "Dominguez", "given" : "O. J. R.", "non-dropping-particle" : "", "parse-names" : false, "suffix" : "" }, { "dropping-particle" : "", "family" : "Rios", "given" : "M. E.", "non-dropping-particle" : "", "parse-names" : false, "suffix" : "" }, { "dropping-particle" : "", "family" : "Rivera", "given" : "O.", "non-dropping-particle" : "", "parse-names" : false, "suffix" : "" }, { "dropping-particle" : "", "family" : "Rodriguez", "given" : "N.", "non-dropping-particle" : "", "parse-names" : false, "suffix" : "" }, { "dropping-particle" : "", "family" : "Rojas", "given" : "A.", "non-dropping-particle" : "", "parse-names" : false, "suffix" : "" }, { "dropping-particle" : "", "family" : "Sarkinen", "given" : "T.", "non-dropping-particle" : "", "parse-names" : false, "suffix" : "" }, { "dropping-particle" : "", "family" : "Sanchez", "given" : "R.", "non-dropping-particle" : "", "parse-names" : false, "suffix" : "" }, { "dropping-particle" : "", "family" : "Smith", "given" : "M.", "non-dropping-particle" : "", "parse-names" : false, "suffix" : "" }, { "dropping-particle" : "", "family" : "Vargas", "given" : "C.", "non-dropping-particle" : "", "parse-names" : false, "suffix" : "" }, { "dropping-particle" : "", "family" : "Villanueva", "given" : "B.", "non-dropping-particle" : "", "parse-names" : false, "suffix" : "" }, { "dropping-particle" : "", "family" : "Pennington", "given" : "R. T.", "non-dropping-particle" : "", "parse-names" : false, "suffix" : "" } ], "container-title" : "Science", "id" : "ITEM-1", "issue" : "6306", "issued" : { "date-parts" : [ [ "2016" ] ] }, "page" : "1383-1387", "title" : "Plant diversity patterns in neotropical dry forests and their conservation implications", "type" : "article-journal", "volume" : "353" }, "uris" : [ "http://www.mendeley.com/documents/?uuid=a649f79c-6777-405c-8a4d-9c9f5ef5dbb7" ] } ], "mendeley" : { "formattedCitation" : "(Banda-R et al., 2016)", "plainTextFormattedCitation" : "(Banda-R et al., 2016)", "previouslyFormattedCitation" : "(Banda-R et al., 2016)"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(Banda-R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2016)</w:t>
            </w:r>
            <w:r w:rsidRPr="00843724">
              <w:rPr>
                <w:szCs w:val="22"/>
              </w:rPr>
              <w:fldChar w:fldCharType="end"/>
            </w:r>
            <w:r w:rsidRPr="00843724">
              <w:rPr>
                <w:rFonts w:ascii="Times New Roman" w:hAnsi="Times New Roman" w:cs="Times New Roman"/>
                <w:b w:val="0"/>
                <w:szCs w:val="22"/>
              </w:rPr>
              <w:t xml:space="preserve">; Northern interandean Valleys: trees (418)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"10.1126/science.aaf5080", "ISBN" : "3586", "ISSN" : "0036-8075", "PMID" : "27708031", "abstract" : "Seasonally dry tropical forests are distributed across Latin America and the Caribbean and are highly threatened, with less than 10% of their original extent remaining in many countries. Using 835 inventories covering 4660 species of woody plants, we show marked floristic turnover among inventories and regions, which may be higher than in other neotropical biomes, such as savanna. Such high floristic turnover indicates that numerous conservation areas across many countries will be needed to protect the full diversity of tropical dry forests. Our results provide a scientific framework within which national decision-makers can contextualize the floristic significance of their dry forest at a regional and continental scale.", "author" : [ { "dropping-particle" : "", "family" : "Banda-R", "given" : "K.", "non-dropping-particle" : "", "parse-names" : false, "suffix" : "" }, { "dropping-particle" : "", "family" : "Delgado-Salinas", "given" : "A.", "non-dropping-particle" : "", "parse-names" : false, "suffix" : "" }, { "dropping-particle" : "", "family" : "Dexter", "given" : "K. G.", "non-dropping-particle" : "", "parse-names" : false, "suffix" : "" }, { "dropping-particle" : "", "family" : "Linares-Palomino", "given" : "R.", "non-dropping-particle" : "", "parse-names" : false, "suffix" : "" }, { "dropping-particle" : "", "family" : "Oliveira-Filho", "given" : "A.", "non-dropping-particle" : "", "parse-names" : false, "suffix" : "" }, { "dropping-particle" : "", "family" : "Prado", "given" : "D.", "non-dropping-particle" : "", "parse-names" : false, "suffix" : "" }, { "dropping-particle" : "", "family" : "Pullan", "given" : "M.", "non-dropping-particle" : "", "parse-names" : false, "suffix" : "" }, { "dropping-particle" : "", "family" : "Quintana", "given" : "C.", "non-dropping-particle" : "", "parse-names" : false, "suffix" : "" }, { "dropping-particle" : "", "family" : "Riina", "given" : "R.", "non-dropping-particle" : "", "parse-names" : false, "suffix" : "" }, { "dropping-particle" : "", "family" : "Rodriguez M.", "given" : "G. M.", "non-dropping-particle" : "", "parse-names" : false, "suffix" : "" }, { "dropping-particle" : "", "family" : "Weintritt", "given" : "J.", "non-dropping-particle" : "", "parse-names" : false, "suffix" : "" }, { "dropping-particle" : "", "family" : "Acevedo-Rodriguez", "given" : "P.", "non-dropping-particle" : "", "parse-names" : false, "suffix" : "" }, { "dropping-particle" : "", "family" : "Adarve", "given" : "J.", "non-dropping-particle" : "", "parse-names" : false, "suffix" : "" }, { "dropping-particle" : "", "family" : "Alvarez", "given" : "E.", "non-dropping-particle" : "", "parse-names" : false, "suffix" : "" }, { "dropping-particle" : "", "family" : "Aranguren B.", "given" : "A.", "non-dropping-particle" : "", "parse-names" : false, "suffix" : "" }, { "dropping-particle" : "", "family" : "Arteaga", "given" : "J. C.", "non-dropping-particle" : "", "parse-names" : false, "suffix" : "" }, { "dropping-particle" : "", "family" : "Aymard", "given" : "G.", "non-dropping-particle" : "", "parse-names" : false, "suffix" : "" }, { "dropping-particle" : "", "family" : "Castano", "given" : "A.", "non-dropping-particle" : "", "parse-names" : false, "suffix" : "" }, { "dropping-particle" : "", "family" : "Ceballos-Mago", "given" : "N.", "non-dropping-particle" : "", "parse-names" : false, "suffix" : "" }, { "dropping-particle" : "", "family" : "Cogollo", "given" : "A.", "non-dropping-particle" : "", "parse-names" : false, "suffix" : "" }, { "dropping-particle" : "", "family" : "Cuadros", "given" : "H.", "non-dropping-particle" : "", "parse-names" : false, "suffix" : "" }, { "dropping-particle" : "", "family" : "Delgado", "given" : "F.", "non-dropping-particle" : "", "parse-names" : false, "suffix" : "" }, { "dropping-particle" : "", "family" : "Devia", "given" : "W.", "non-dropping-particle" : "", "parse-names" : false, "suffix" : "" }, { "dropping-particle" : "", "family" : "Duenas", "given" : "H.", "non-dropping-particle" : "", "parse-names" : false, "suffix" : "" }, { "dropping-particle" : "", "family" : "Fajardo", "given" : "L.", "non-dropping-particle" : "", "parse-names" : false, "suffix" : "" }, { "dropping-particle" : "", "family" : "Fernandez", "given" : "A.", "non-dropping-particle" : "", "parse-names" : false, "suffix" : "" }, { "dropping-particle" : "", "family" : "Fernandez", "given" : "M. A.", "non-dropping-particle" : "", "parse-names" : false, "suffix" : "" }, { "dropping-particle" : "", "family" : "Franklin", "given" : "J.", "non-dropping-particle" : "", "parse-names" : false, "suffix" : "" }, { "dropping-particle" : "", "family" : "Freid", "given" : "E. H.", "non-dropping-particle" : "", "parse-names" : false, "suffix" : "" }, { "dropping-particle" : "", "family" : "Galetti", "given" : "L. A.", "non-dropping-particle" : "", "parse-names" : false, "suffix" : "" }, { "dropping-particle" : "", "family" : "Gonto", "given" : "R.", "non-dropping-particle" : "", "parse-names" : false, "suffix" : "" }, { "dropping-particle" : "", "family" : "Gonzalez-M.", "given" : "R.", "non-dropping-particle" : "", "parse-names" : false, "suffix" : "" }, { "dropping-particle" : "", "family" : "Graveson", "given" : "R.", "non-dropping-particle" : "", "parse-names" : false, "suffix" : "" }, { "dropping-particle" : "", "family" : "Helmer", "given" : "E. H.", "non-dropping-particle" : "", "parse-names" : false, "suffix" : "" }, { "dropping-particle" : "", "family" : "Idarraga", "given" : "A.", "non-dropping-particle" : "", "parse-names" : false, "suffix" : "" }, { "dropping-particle" : "", "family" : "Lopez", "given" : "R.", "non-dropping-particle" : "", "parse-names" : false, "suffix" : "" }, { "dropping-particle" : "", "family" : "Marcano-Vega", "given" : "H.", "non-dropping-particle" : "", "parse-names" : false, "suffix" : "" }, { "dropping-particle" : "", "family" : "Martinez", "given" : "O. G.", "non-dropping-particle" : "", "parse-names" : false, "suffix" : "" }, { "dropping-particle" : "", "family" : "Maturo", "given" : "H. M.", "non-dropping-particle" : "", "parse-names" : false, "suffix" : "" }, { "dropping-particle" : "", "family" : "McDonald", "given" : "M.", "non-dropping-particle" : "", "parse-names" : false, "suffix" : "" }, { "dropping-particle" : "", "family" : "McLaren", "given" : "K.", "non-dropping-particle" : "", "parse-names" : false, "suffix" : "" }, { "dropping-particle" : "", "family" : "Melo", "given" : "O.", "non-dropping-particle" : "", "parse-names" : false, "suffix" : "" }, { "dropping-particle" : "", "family" : "Mijares", "given" : "F.", "non-dropping-particle" : "", "parse-names" : false, "suffix" : "" }, { "dropping-particle" : "", "family" : "Mogni", "given" : "V.", "non-dropping-particle" : "", "parse-names" : false, "suffix" : "" }, { "dropping-particle" : "", "family" : "Molina", "given" : "D.", "non-dropping-particle" : "", "parse-names" : false, "suffix" : "" }, { "dropping-particle" : "", "family" : "Moreno", "given" : "N. d. P.", "non-dropping-particle" : "", "parse-names" : false, "suffix" : "" }, { "dropping-particle" : "", "family" : "Nassar", "given" : "J. M.", "non-dropping-particle" : "", "parse-names" : false, "suffix" : "" }, { "dropping-particle" : "", "family" : "Neves", "given" : "D. M.", "non-dropping-particle" : "", "parse-names" : false, "suffix" : "" }, { "dropping-particle" : "", "family" : "Oakley", "given" : "L. J.", "non-dropping-particle" : "", "parse-names" : false, "suffix" : "" }, { "dropping-particle" : "", "family" : "Oatham", "given" : "M.", "non-dropping-particle" : "", "parse-names" : false, "suffix" : "" }, { "dropping-particle" : "", "family" : "Olvera-Luna", "given" : "A. R.", "non-dropping-particle" : "", "parse-names" : false, "suffix" : "" }, { "dropping-particle" : "", "family" : "Pezzini", "given" : "F. F.", "non-dropping-particle" : "", "parse-names" : false, "suffix" : "" }, { "dropping-particle" : "", "family" : "Dominguez", "given" : "O. J. R.", "non-dropping-particle" : "", "parse-names" : false, "suffix" : "" }, { "dropping-particle" : "", "family" : "Rios", "given" : "M. E.", "non-dropping-particle" : "", "parse-names" : false, "suffix" : "" }, { "dropping-particle" : "", "family" : "Rivera", "given" : "O.", "non-dropping-particle" : "", "parse-names" : false, "suffix" : "" }, { "dropping-particle" : "", "family" : "Rodriguez", "given" : "N.", "non-dropping-particle" : "", "parse-names" : false, "suffix" : "" }, { "dropping-particle" : "", "family" : "Rojas", "given" : "A.", "non-dropping-particle" : "", "parse-names" : false, "suffix" : "" }, { "dropping-particle" : "", "family" : "Sarkinen", "given" : "T.", "non-dropping-particle" : "", "parse-names" : false, "suffix" : "" }, { "dropping-particle" : "", "family" : "Sanchez", "given" : "R.", "non-dropping-particle" : "", "parse-names" : false, "suffix" : "" }, { "dropping-particle" : "", "family" : "Smith", "given" : "M.", "non-dropping-particle" : "", "parse-names" : false, "suffix" : "" }, { "dropping-particle" : "", "family" : "Vargas", "given" : "C.", "non-dropping-particle" : "", "parse-names" : false, "suffix" : "" }, { "dropping-particle" : "", "family" : "Villanueva", "given" : "B.", "non-dropping-particle" : "", "parse-names" : false, "suffix" : "" }, { "dropping-particle" : "", "family" : "Pennington", "given" : "R. T.", "non-dropping-particle" : "", "parse-names" : false, "suffix" : "" } ], "container-title" : "Science", "id" : "ITEM-1", "issue" : "6306", "issued" : { "date-parts" : [ [ "2016" ] ] }, "page" : "1383-1387", "title" : "Plant diversity patterns in neotropical dry forests and their conservation implications", "type" : "article-journal", "volume" : "353" }, "uris" : [ "http://www.mendeley.com/documents/?uuid=a649f79c-6777-405c-8a4d-9c9f5ef5dbb7" ] } ], "mendeley" : { "formattedCitation" : "(Banda-R et al., 2016)", "plainTextFormattedCitation" : "(Banda-R et al., 2016)", "previouslyFormattedCitation" : "(Banda-R et al., 2016)"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(Banda-R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2016)</w:t>
            </w:r>
            <w:r w:rsidRPr="00843724">
              <w:rPr>
                <w:szCs w:val="22"/>
              </w:rPr>
              <w:fldChar w:fldCharType="end"/>
            </w:r>
            <w:r w:rsidRPr="00843724">
              <w:rPr>
                <w:rFonts w:ascii="Times New Roman" w:hAnsi="Times New Roman" w:cs="Times New Roman"/>
                <w:b w:val="0"/>
                <w:szCs w:val="22"/>
              </w:rPr>
              <w:t>;</w:t>
            </w:r>
            <w:r w:rsidRPr="00843724">
              <w:rPr>
                <w:rFonts w:ascii="Times New Roman" w:hAnsi="Times New Roman" w:cs="Times New Roman"/>
                <w:b w:val="0"/>
                <w:bCs w:val="0"/>
                <w:szCs w:val="22"/>
              </w:rPr>
              <w:t xml:space="preserve"> Colombian dry forest: plants (2,569)</w:t>
            </w:r>
            <w:r w:rsidRPr="00843724">
              <w:rPr>
                <w:rFonts w:ascii="Times New Roman" w:hAnsi="Times New Roman" w:cs="Times New Roman"/>
                <w:b w:val="0"/>
                <w:szCs w:val="22"/>
              </w:rPr>
              <w:t xml:space="preserve">, birds (230), mammals (60) </w:t>
            </w:r>
            <w:r w:rsidRPr="00843724">
              <w:rPr>
                <w:noProof/>
                <w:szCs w:val="22"/>
              </w:rPr>
              <w:fldChar w:fldCharType="begin" w:fldLock="1"/>
            </w:r>
            <w:r w:rsidRPr="00843724">
              <w:rPr>
                <w:rFonts w:ascii="Times New Roman" w:hAnsi="Times New Roman" w:cs="Times New Roman"/>
                <w:b w:val="0"/>
                <w:noProof/>
                <w:szCs w:val="22"/>
                <w:lang w:val="en-GB"/>
              </w:rPr>
              <w:instrText>ADDIN CSL_CITATION { "citationItems" : [ { "id" : "ITEM-1", "itemData" : { "ISBN" : "978-958-8889-84-9", "editor" : [ { "dropping-particle" : "", "family" : "G\u00f3mez", "given" : "M. F.", "non-dropping-particle" : "", "parse-names" : false, "suffix" : "" }, { "dropping-particle" : "", "family" : "Moreno", "given" : "L. A.", "non-dropping-particle" : "", "parse-names" : false, "suffix" : "" }, { "dropping-particle" : "", "family" : "Andrade", "given" : "G. G.", "non-dropping-particle" : "", "parse-names" : false, "suffix" : "" }, { "dropping-particle" : "", "family" : "Rueda", "given" : "C.", "non-dropping-particle" : "", "parse-names" : false, "suffix" : "" } ], "id" : "ITEM-1", "issued" : { "date-parts" : [ [ "2016" ] ] }, "publisher" : "Instituto Alexander von Humboldt", "publisher-place" : "Bogot\u00e1, D.C., Colombia", "title" : "Biodiversidad 2015. Estado y Tendencias de la Biodiversidad Continental de Colombia", "type" : "book" }, "uris" : [ "http://www.mendeley.com/documents/?uuid=53c34a4e-b5e6-4409-b012-cdf6ef9fb4fe" ] } ], "mendeley" : { "formattedCitation" : "(G\u00f3mez et al., 2016)", "manualFormatting" : "(G\u00f3mez et al., 2016)", "plainTextFormattedCitation" : "(G\u00f3mez et al., 2016)", "previouslyFormattedCitation" : "(G\u00f3mez et al., 2016)" }, "properties" : { "noteIndex" : 0 }, "schema" : "https://github.com/citation-style-language/schema/raw/master/csl-citation.json" }</w:instrText>
            </w:r>
            <w:r w:rsidRPr="00843724">
              <w:rPr>
                <w:noProof/>
                <w:szCs w:val="22"/>
              </w:rPr>
              <w:fldChar w:fldCharType="separate"/>
            </w:r>
            <w:r w:rsidRPr="00843724">
              <w:rPr>
                <w:rFonts w:ascii="Times New Roman" w:hAnsi="Times New Roman" w:cs="Times New Roman"/>
                <w:b w:val="0"/>
                <w:noProof/>
                <w:szCs w:val="22"/>
                <w:lang w:val="en-GB"/>
              </w:rPr>
              <w:t xml:space="preserve">(Gómez </w:t>
            </w:r>
            <w:r w:rsidRPr="00843724">
              <w:rPr>
                <w:rFonts w:ascii="Times New Roman" w:hAnsi="Times New Roman" w:cs="Times New Roman"/>
                <w:b w:val="0"/>
                <w:i/>
                <w:noProof/>
                <w:szCs w:val="22"/>
                <w:lang w:val="en-GB"/>
              </w:rPr>
              <w:t>et al.</w:t>
            </w:r>
            <w:r w:rsidRPr="00843724">
              <w:rPr>
                <w:rFonts w:ascii="Times New Roman" w:hAnsi="Times New Roman" w:cs="Times New Roman"/>
                <w:b w:val="0"/>
                <w:noProof/>
                <w:szCs w:val="22"/>
                <w:lang w:val="en-GB"/>
              </w:rPr>
              <w:t>, 2016)</w:t>
            </w:r>
            <w:r w:rsidRPr="00843724">
              <w:rPr>
                <w:noProof/>
                <w:szCs w:val="22"/>
              </w:rPr>
              <w:fldChar w:fldCharType="end"/>
            </w:r>
            <w:r w:rsidRPr="00843724">
              <w:rPr>
                <w:rFonts w:ascii="Times New Roman" w:hAnsi="Times New Roman" w:cs="Times New Roman"/>
                <w:b w:val="0"/>
                <w:noProof/>
                <w:szCs w:val="22"/>
                <w:lang w:val="en-GB"/>
              </w:rPr>
              <w:t>.</w:t>
            </w:r>
          </w:p>
        </w:tc>
      </w:tr>
      <w:tr w:rsidR="006831BC" w:rsidRPr="00843724" w14:paraId="77E70C03" w14:textId="77777777" w:rsidTr="006831BC">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366FBE5F"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Temperate and boreal forests and woodlands</w:t>
            </w:r>
          </w:p>
        </w:tc>
      </w:tr>
      <w:tr w:rsidR="006831BC" w:rsidRPr="008B3BCD" w14:paraId="1B681560"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75C4D68F" w14:textId="77777777" w:rsidR="00D90B1D" w:rsidRPr="00843724" w:rsidRDefault="00D90B1D" w:rsidP="007D620C">
            <w:pPr>
              <w:spacing w:after="40"/>
              <w:jc w:val="both"/>
              <w:rPr>
                <w:rFonts w:ascii="Times New Roman" w:eastAsiaTheme="majorEastAsia" w:hAnsi="Times New Roman" w:cs="Times New Roman"/>
                <w:b w:val="0"/>
                <w:bCs w:val="0"/>
                <w:i/>
                <w:iCs/>
                <w:szCs w:val="22"/>
                <w:lang w:val="es-CO"/>
              </w:rPr>
            </w:pPr>
            <w:r w:rsidRPr="00843724">
              <w:rPr>
                <w:rFonts w:ascii="Times New Roman" w:hAnsi="Times New Roman" w:cs="Times New Roman"/>
                <w:b w:val="0"/>
                <w:szCs w:val="22"/>
              </w:rPr>
              <w:t xml:space="preserve">Temperate rainforests: plants (443–500)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"ISBN" : "0716-078X", "ISSN" : "0716078X", "PMID" : "199800316745", "abstract" : "The sharp climatic contrast from east-west in subtropical and temperate South America is caused to a great extent by the Andean topography. This contrast determines a continuous and arid vegetational belt that crosses diagonally the continent from SE to NW, interrupting the region of the Chilean-Argentinean southern forests from other forests of South America, the so called 'Arid Diagonal of South America'. The purpose of this paper is to study the particular history of the process of isolation of the southern forests, using the phytogeographical and paleobotanical perspectives. The comparisons of the taxa richness, at different taxonomic levels, degrees of endermism, and geographical distribution ranges of species show the particular characteristics of the southern South American forests, which were interpreted as a syndrome of long-lasting geographical isolation. Thus, the great diversity of families represented in these forests (48.9% of the vascular flora of continental Chile) contrasts with the small number of species (7.8%); high frequency of taxonomically isolated genera (monotypics, 21%); and the high percentage of endemic seed plant species (90%), all suggests that the isolation of these forests and high rates of extinctions are of great geological antiquity. The phytogeographical analysts at a generic level shows that the endemic component of these forests is also very high (32%). The high proportion of neotropical (28%) and australasian (20%) elements is marked, pointing to floristical connections with distant territories, such as Australasia and tropical South America. The phytogeographical analysis based on the Chilean fossil record dating to the Tertiary shows that approximately 60% of the tropical genera present in Chilean paleo-forests disappeared at the end of the Paleogene. This resulted from a significant northern retreat of the tropical belt of the Southern Hemisphere, which was in turn a consequence of the separation between Australia and Antarctic continents, as well as subsequent changes in the oceanic and climatic systems associated with the formation of the East Antarctic ice cap. A number of remnant tropical genera still survive in the tropical Province of Yungas. A great proportion of the present endemic element of the Chilean-Argentinean forests is registered during the Neogene, but it was during the Miocene when similar floristic assemblages analogous to some of the actual types of subtropical and temperature forests rised, \u2026", "author" : [ { "dropping-particle" : "", "family" : "Villagr\u00e1n", "given" : "C.", "non-dropping-particle" : "", "parse-names" : false, "suffix" : "" }, { "dropping-particle" : "", "family" : "Hinojosa", "given" : "L. F.", "non-dropping-particle" : "", "parse-names" : false, "suffix" : "" } ], "container-title" : "Revista Chilena de Historia Natural", "id" : "ITEM-1", "issue" : "2", "issued" : { "date-parts" : [ [ "1997" ] ] }, "page" : "241-267", "title" : "History of the forests of southern South America .2. phytogeographical analysis", "type" : "article-journal", "volume" : "70" }, "uris" : [ "http://www.mendeley.com/documents/?uuid=058407fd-61eb-3186-b48f-4ba675cd5df5" ] }, { "id" : "ITEM-2", "itemData" : { "ISBN" : "978-1-4612-8453-6", "author" : [ { "dropping-particle" : "", "family" : "Arroyo", "given" : "M. T. K.", "non-dropping-particle" : "", "parse-names" : false, "suffix" : "" }, { "dropping-particle" : "", "family" : "Riveros", "given" : "M.", "non-dropping-particle" : "", "parse-names" : false, "suffix" : "" }, { "dropping-particle" : "", "family" : "Penaloza", "given" : "A", "non-dropping-particle" : "", "parse-names" : false, "suffix" : "" }, { "dropping-particle" : "", "family" : "Cavieres", "given" : "L.", "non-dropping-particle" : "", "parse-names" : false, "suffix" : "" }, { "dropping-particle" : "", "family" : "Faggi", "given" : "A. M.",</w:instrText>
            </w:r>
            <w:r w:rsidRPr="00843724">
              <w:rPr>
                <w:rFonts w:ascii="Times New Roman" w:hAnsi="Times New Roman" w:cs="Times New Roman"/>
                <w:b w:val="0"/>
                <w:szCs w:val="22"/>
                <w:lang w:val="fr-FR"/>
              </w:rPr>
              <w:instrText xml:space="preserve"> "non-dropping-particle" : "", "parse-names" : false, "suffix" : "" } ], "container-title" : "High-Latitude Rainforests and Associated Ecosystems of the West Coast of the Americas.", "editor" : [ { "dropping-particle" : "", "family" : "Lawford", "given" : "R.G.", "non-dropping-particle" : "", "parse-names" : false, "suffix" : "" }, { "dropping-particle" : "", "family" : "Fuentes", "given" : "E.", "non-dropping-particle" : "", "parse-names" : false, "suffix" : "" }, { "dropping-particle" : "", "family" : "Alaback", "given" : "P.B.", "non-dropping-particle" : "", "parse-names" : false, "suffix" : "" } ], "id" : "ITEM-2", "issued" : { "date-parts" : [ [ "1996" ] ] }, "page" : "134-172", "publisher" : "Springer", "publisher-place" : "New York, USA", "title" : "Phytogeographic relationships and regional richness patterns of the cool temperate rainforest flora of southern South America", "type" : "chapter" }, "uris" : [ "http://www.mendeley.com/documents/?uuid=da328a08-718d-399b-8aab-25439c2b6806" ] } ], "mendeley" : { "formattedCitation" : "(Arroyo et al. 1996, Villagr\u00e1n and Hinojosa 1997)", "manualFormatting" : "( Arroyo et al., 1996; Villagr\u00e1n &amp; Hinojosa, 1997)", "plainTextFormattedCitation" : "(Arroyo et al. 1996, Villagr\u00e1n and Hinojosa 1997)", "previouslyFormattedCitation" : "(Arroyo et al. 1996, Villagr\u00e1n and Hinojosa 1997)"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fr-FR"/>
              </w:rPr>
              <w:t>( Arroyo</w:t>
            </w:r>
            <w:r w:rsidRPr="00843724">
              <w:rPr>
                <w:rFonts w:ascii="Times New Roman" w:hAnsi="Times New Roman" w:cs="Times New Roman"/>
                <w:b w:val="0"/>
                <w:i/>
                <w:noProof/>
                <w:szCs w:val="22"/>
                <w:lang w:val="fr-FR"/>
              </w:rPr>
              <w:t xml:space="preserve"> et al.</w:t>
            </w:r>
            <w:r w:rsidRPr="00843724">
              <w:rPr>
                <w:rFonts w:ascii="Times New Roman" w:hAnsi="Times New Roman" w:cs="Times New Roman"/>
                <w:b w:val="0"/>
                <w:noProof/>
                <w:szCs w:val="22"/>
                <w:lang w:val="fr-FR"/>
              </w:rPr>
              <w:t>, 1996; Villagrán &amp; Hinojosa, 1997)</w:t>
            </w:r>
            <w:r w:rsidRPr="00843724">
              <w:rPr>
                <w:szCs w:val="22"/>
              </w:rPr>
              <w:fldChar w:fldCharType="end"/>
            </w:r>
            <w:r w:rsidRPr="00843724">
              <w:rPr>
                <w:rFonts w:ascii="Times New Roman" w:hAnsi="Times New Roman" w:cs="Times New Roman"/>
                <w:b w:val="0"/>
                <w:szCs w:val="22"/>
                <w:lang w:val="fr-FR"/>
              </w:rPr>
              <w:t xml:space="preserve">, mammals (58), birds (60) </w:t>
            </w:r>
            <w:r w:rsidRPr="00843724">
              <w:rPr>
                <w:szCs w:val="22"/>
              </w:rPr>
              <w:fldChar w:fldCharType="begin" w:fldLock="1"/>
            </w:r>
            <w:r w:rsidRPr="00843724">
              <w:rPr>
                <w:rFonts w:ascii="Times New Roman" w:hAnsi="Times New Roman" w:cs="Times New Roman"/>
                <w:b w:val="0"/>
                <w:szCs w:val="22"/>
                <w:lang w:val="fr-FR"/>
              </w:rPr>
              <w:instrText>ADDIN CSL_CITATION { "citationItems" : [ { "id" : "ITEM-1", "itemData" : { "ISBN" : "956-11-1284-1", "author" : [ { "dropping-particle" : "", "family" : "Armesto", "given" : "J. J.", "non-dropping-particle" : "", "parse-names" : false, "suffix" : "" }, { "dropping-particle" : "", "family" : "Villagr\u00e1n", "given" : "C.", "non-dropping-particle" : "", "parse-names" : false, "suffix" : "" }, { "dropping-particle" : "", "family" : "Arroyo", "given" : "M.K.", "non-dropping-particle" : "", "parse-names" : false, "suffix" : "" } ], "id" : "ITEM-1", "issued" : { "date-parts" : [ [ "1996" ] ] }, "number-of-pages" : "477", "publisher" : "Editorial Universitaria", "publisher-place" : "Santiago, Chile", "title" : "Ecolog\u00eda de los Bosques Nativos de Chile", "type" : "book" }, "uris" : [ "http://www.mendeley.com/documents/?uuid=a1ae44a2-a11a-328f-91c9-490a7a5d9227" ] } ], "mendeley" : { "formattedCitation" : "(Armesto et al. 1996)", "manualFormatting" : "(Armesto et al., 1996)", "plainTextFormattedCitation" : "(Armesto et al. 1996)", "previouslyFormattedCitation" : "(Armesto et al. 1996)"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fr-FR"/>
              </w:rPr>
              <w:t xml:space="preserve">(Armesto </w:t>
            </w:r>
            <w:r w:rsidRPr="00843724">
              <w:rPr>
                <w:rFonts w:ascii="Times New Roman" w:hAnsi="Times New Roman" w:cs="Times New Roman"/>
                <w:b w:val="0"/>
                <w:i/>
                <w:noProof/>
                <w:szCs w:val="22"/>
                <w:lang w:val="fr-FR"/>
              </w:rPr>
              <w:t>et al.</w:t>
            </w:r>
            <w:r w:rsidRPr="00843724">
              <w:rPr>
                <w:rFonts w:ascii="Times New Roman" w:hAnsi="Times New Roman" w:cs="Times New Roman"/>
                <w:b w:val="0"/>
                <w:noProof/>
                <w:szCs w:val="22"/>
                <w:lang w:val="fr-FR"/>
              </w:rPr>
              <w:t>, 1996)</w:t>
            </w:r>
            <w:r w:rsidRPr="00843724">
              <w:rPr>
                <w:szCs w:val="22"/>
              </w:rPr>
              <w:fldChar w:fldCharType="end"/>
            </w:r>
            <w:r w:rsidRPr="00843724">
              <w:rPr>
                <w:rFonts w:ascii="Times New Roman" w:hAnsi="Times New Roman" w:cs="Times New Roman"/>
                <w:b w:val="0"/>
                <w:szCs w:val="22"/>
                <w:lang w:val="fr-FR"/>
              </w:rPr>
              <w:t xml:space="preserve">; Magellanic rainforest–tundra zone: bryophytes (450), liverworts (368) </w:t>
            </w:r>
            <w:r w:rsidRPr="00843724">
              <w:rPr>
                <w:szCs w:val="22"/>
              </w:rPr>
              <w:fldChar w:fldCharType="begin" w:fldLock="1"/>
            </w:r>
            <w:r w:rsidRPr="00843724">
              <w:rPr>
                <w:rFonts w:ascii="Times New Roman" w:hAnsi="Times New Roman" w:cs="Times New Roman"/>
                <w:b w:val="0"/>
                <w:szCs w:val="22"/>
                <w:lang w:val="fr-FR"/>
              </w:rPr>
              <w:instrText>ADDIN CSL_CITATION { "citationItems" : [ { "id" : "ITEM-1", "itemData" : { "DOI" : "10.1890</w:instrText>
            </w:r>
            <w:r w:rsidRPr="00843724">
              <w:rPr>
                <w:rFonts w:ascii="Times New Roman" w:hAnsi="Times New Roman" w:cs="Times New Roman"/>
                <w:b w:val="0"/>
                <w:szCs w:val="22"/>
              </w:rPr>
              <w:instrText>/070020", "ISBN" : "1540-9309", "ISSN" : "15409295", "abstract" : "Taxonomic groups and ecoregions shape the \u201clenses\u201d through which biodiversity is assessed and conserved. A historical bias toward vertebrates and vascular plants in the northern hemisphere underpins how global patterns of biodiversity in terrestrial ecosystems are perceived. Here, we focus on the hitherto overlooked non-vascular flora (liverworts and mosses) in the remote sub-Antarctic Magellanic ecoregion of southwestern South America. We report that: (1) this ecoregion hosts outstanding non-vascular floristic richness, with &gt; 5% of the world's bryophytes on &lt; 0.01 % of the Earth's land surface; (2) species richness patterns for vascular and non-vascular plants are inverted across 25 degrees of latitude in Chile; and (3) while vascular plants are 20 times more abundant than non-vascular plants globally and in tropical South America, non-vascular plants are dominant in the sub-Antarctic Magellanic ecoregion and Antarctic Peninsula. These findings have been translated into policy and conservation decisions...", "author" : [ { "dropping-particle" : "", "family" : "Rozzi", "given" : "Ricardo", "non-dropping-particle" : "", "parse-names" : false, "suffix" : "" }, { "dropping-particle" : "", "family" : "Armesto", "given" : "Juan J.", "non-dropping-particle" : "", "parse-names" : false, "suffix" : "" }, { "dropping-particle" : "", "family" : "Goffinet", "given" : "Bernard", "non-dropping-particle" : "", "parse-names" : false, "suffix" : "" }, { "dropping-particle" : "", "family" : "Buck", "given" : "William", "non-dropping-particle" : "", "parse-names" : false, "suffix" : "" }, { "dropping-particle" : "", "family" : "Massardo", "given" : "Francisca", "non-dropping-particle" : "", "parse-names" : false, "suffix" : "" }, { "dropping-particle" : "", "family" : "Silander", "given" : "John", "non-dropping-particle" : "", "parse-names" : false, "suffix" : "" }, { "dropping-particle"</w:instrText>
            </w:r>
            <w:r w:rsidRPr="00843724">
              <w:rPr>
                <w:rFonts w:ascii="Times New Roman" w:hAnsi="Times New Roman" w:cs="Times New Roman"/>
                <w:b w:val="0"/>
                <w:szCs w:val="22"/>
                <w:lang w:val="es-CO"/>
              </w:rPr>
              <w:instrText xml:space="preserve"> : "", "family" : "Arroyo", "given" : "Mary T.K.", "non-dropping-particle" : "", "parse-names" : false, "suffix" : "" }, { "dropping-particle" : "", "family" : "Russell", "given" : "Shaun", "non-dropping-particle" : "", "parse-names" : false, "suffix" : "" }, { "dropping-particle" : "", "family" : "Anderson", "given" : "Christopher B.", "non-dropping-particle" : "", "parse-names" : false, "suffix" : "" }, { "dropping-particle" : "", "family" : "Cavieres", "given" : "Lohengrin A.", "non-dropping-particle" : "", "parse-names" : false, "suffix" : "" }, { "dropping-particle" : "", "family" : "Callicott", "given" : "J. Baird", "non-dropping-particle" : "", "parse-names" : false, "suffix" : "" } ], "container-title" : "Frontiers in Ecology and the Environment", "id" : "ITEM-1", "issue" : "3", "issued" : { "date-parts" : [ [ "2008" ] ] }, "page" : "131-137", "title" : "Changing lenses to assess biodiversity: patterns of species richness in sub-Antarctic plants and implications for global conservation", "type" : "article-journal", "volume" : "6" }, "uris" : [ "http://www.mendeley.com/documents/?uuid=b6605799-92c7-3735-9094-8a3b576cc5c6" ] } ], "mendeley" : { "formattedCitation" : "(Rozzi et al. 2008)", "manualFormatting" : "(Rozzi et al., 2008)", "plainTextFormattedCitation" : "(Rozzi et al. 2008)", "previouslyFormattedCitation" : "(Rozzi et al. 2008)"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es-ES"/>
              </w:rPr>
              <w:t xml:space="preserve">(Rozzi </w:t>
            </w:r>
            <w:r w:rsidRPr="00843724">
              <w:rPr>
                <w:rFonts w:ascii="Times New Roman" w:hAnsi="Times New Roman" w:cs="Times New Roman"/>
                <w:b w:val="0"/>
                <w:i/>
                <w:noProof/>
                <w:szCs w:val="22"/>
                <w:lang w:val="es-ES"/>
              </w:rPr>
              <w:t>et al.</w:t>
            </w:r>
            <w:r w:rsidRPr="00843724">
              <w:rPr>
                <w:rFonts w:ascii="Times New Roman" w:hAnsi="Times New Roman" w:cs="Times New Roman"/>
                <w:b w:val="0"/>
                <w:noProof/>
                <w:szCs w:val="22"/>
                <w:lang w:val="es-ES"/>
              </w:rPr>
              <w:t>, 2008)</w:t>
            </w:r>
            <w:r w:rsidRPr="00843724">
              <w:rPr>
                <w:szCs w:val="22"/>
              </w:rPr>
              <w:fldChar w:fldCharType="end"/>
            </w:r>
            <w:r w:rsidRPr="00843724">
              <w:rPr>
                <w:rFonts w:ascii="Times New Roman" w:hAnsi="Times New Roman" w:cs="Times New Roman"/>
                <w:b w:val="0"/>
                <w:szCs w:val="22"/>
                <w:lang w:val="es-ES"/>
              </w:rPr>
              <w:t xml:space="preserve">; Tierra del Fuego and Patagonia: myxomycetes (67) </w:t>
            </w:r>
            <w:r w:rsidRPr="00843724">
              <w:rPr>
                <w:szCs w:val="22"/>
              </w:rPr>
              <w:fldChar w:fldCharType="begin" w:fldLock="1"/>
            </w:r>
            <w:r w:rsidRPr="00843724">
              <w:rPr>
                <w:rFonts w:ascii="Times New Roman" w:hAnsi="Times New Roman" w:cs="Times New Roman"/>
                <w:b w:val="0"/>
                <w:szCs w:val="22"/>
                <w:lang w:val="es-ES"/>
              </w:rPr>
              <w:instrText>ADDIN CSL_CITATION { "citationItems" : [ { "id" : "ITEM-1", "itemData" : { "DOI" : "10.1127/0029-5035/2010/0090-0045", "ISSN" : "00295035", "author" : [ { "dropping-particle" : "", "family" : "Wrigley de Basanta", "given" : "Diana", "non-dropping-particle" : "", "parse-names" : false, "suffix" : "" }, { "dropping-particle" : "", "family" : "Lado", "given" : "Carlos", "non-dropping-particle" : "", "parse-names" : false, "suffix" : "" }, { "dropping-particle" : "", "family" : "Estrada-Torres", "given" : "Arturo", "non-dropping-particle" : "", "parse-names" : false, "suffix" : "" }, { "dropping-particle" : "", "family" : "Stephenson", "given" : "Steven L.", "non-dropping-particle" : "", "parse-names" : false, "suffix" : "" } ], "container-title" : "Nova Hedwigia", "id" : "ITEM-1", "issue" : "1-2", "issued" : { "date-parts" : [ [ "2010" ] ] }, "page" : "45-79", "title" : "Biodiversity of myxomycetes in subantarctic forests of Patagonia and Tierra del Fuego, Argentina", "type" : "article-journal", "volume" : "90" }, "uris" : [ "http://www.mendeley.com/documents/?uuid=1e9ad8b4-f2a7-3040-b9a1-f485e0b9a9e1" ] } ], "mendeley" : { "formattedCitation" : "(Wrigley de Basanta et al. 2010)", "manualFormatting" : "(Wrigley et al., 2010)", "plainTextFormattedCitation" : "(Wrigley de Basanta et al. 2010)", "previouslyFormattedCitation" : "(Wrigley de Basanta et al. 2010)"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es-ES"/>
              </w:rPr>
              <w:t xml:space="preserve">(Wrigley </w:t>
            </w:r>
            <w:r w:rsidRPr="00843724">
              <w:rPr>
                <w:rFonts w:ascii="Times New Roman" w:hAnsi="Times New Roman" w:cs="Times New Roman"/>
                <w:b w:val="0"/>
                <w:i/>
                <w:noProof/>
                <w:szCs w:val="22"/>
                <w:lang w:val="es-ES"/>
              </w:rPr>
              <w:t>et al.</w:t>
            </w:r>
            <w:r w:rsidRPr="00843724">
              <w:rPr>
                <w:rFonts w:ascii="Times New Roman" w:hAnsi="Times New Roman" w:cs="Times New Roman"/>
                <w:b w:val="0"/>
                <w:noProof/>
                <w:szCs w:val="22"/>
                <w:lang w:val="es-ES"/>
              </w:rPr>
              <w:t>, 2010)</w:t>
            </w:r>
            <w:r w:rsidRPr="00843724">
              <w:rPr>
                <w:szCs w:val="22"/>
              </w:rPr>
              <w:fldChar w:fldCharType="end"/>
            </w:r>
            <w:r w:rsidRPr="00843724">
              <w:rPr>
                <w:rFonts w:ascii="Times New Roman" w:hAnsi="Times New Roman" w:cs="Times New Roman"/>
                <w:b w:val="0"/>
                <w:szCs w:val="22"/>
                <w:lang w:val="es-ES"/>
              </w:rPr>
              <w:t>.</w:t>
            </w:r>
          </w:p>
        </w:tc>
      </w:tr>
      <w:tr w:rsidR="006831BC" w:rsidRPr="00843724" w14:paraId="03B6239C"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0308CD3C" w14:textId="77777777" w:rsidR="00D90B1D" w:rsidRPr="00843724" w:rsidRDefault="00D90B1D" w:rsidP="007D620C">
            <w:pPr>
              <w:spacing w:after="40"/>
              <w:jc w:val="both"/>
              <w:rPr>
                <w:rFonts w:ascii="Times New Roman" w:eastAsia="Times New Roman" w:hAnsi="Times New Roman" w:cs="Times New Roman"/>
                <w:b w:val="0"/>
                <w:bCs w:val="0"/>
                <w:i/>
                <w:iCs/>
                <w:szCs w:val="22"/>
                <w:u w:val="single"/>
                <w:lang w:eastAsia="pt-BR"/>
              </w:rPr>
            </w:pPr>
            <w:r w:rsidRPr="00843724">
              <w:rPr>
                <w:rFonts w:ascii="Times New Roman" w:eastAsia="Times New Roman" w:hAnsi="Times New Roman" w:cs="Times New Roman"/>
                <w:b w:val="0"/>
                <w:i/>
                <w:szCs w:val="22"/>
                <w:lang w:eastAsia="pt-BR"/>
              </w:rPr>
              <w:t>Mediterranean forests, woodlands and scrub</w:t>
            </w:r>
          </w:p>
        </w:tc>
      </w:tr>
      <w:tr w:rsidR="006831BC" w:rsidRPr="00843724" w14:paraId="4ED0B28F"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7D80BC9C" w14:textId="77777777" w:rsidR="00D90B1D" w:rsidRPr="00843724" w:rsidRDefault="00D90B1D" w:rsidP="007D620C">
            <w:pPr>
              <w:spacing w:after="40"/>
              <w:jc w:val="both"/>
              <w:rPr>
                <w:rFonts w:ascii="Times New Roman" w:eastAsia="Times New Roman" w:hAnsi="Times New Roman" w:cs="Times New Roman"/>
                <w:b w:val="0"/>
                <w:bCs w:val="0"/>
                <w:i/>
                <w:iCs/>
                <w:szCs w:val="22"/>
                <w:u w:val="single"/>
                <w:lang w:eastAsia="pt-BR"/>
              </w:rPr>
            </w:pPr>
            <w:r w:rsidRPr="00843724">
              <w:rPr>
                <w:rFonts w:ascii="Times New Roman" w:hAnsi="Times New Roman" w:cs="Times New Roman"/>
                <w:b w:val="0"/>
                <w:szCs w:val="22"/>
              </w:rPr>
              <w:t xml:space="preserve">Central Chile: vascular plants (2,900; 30%)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"10.4067/S0716-078X2002000400012", "ISBN" : "0716-078X", "ISSN" : "0716078X", "PMID" : "451", "abstract" : "Santuario de la Naturaleza Yerba Loca (SN Yerba Loca), Metropolitan Region (MR), 33\u00ba S, Chile is analyzed for its conservation value and efficiency in protecting native vascular plants in a regional context. The reserve\u2019s flora of 500 species and subtaxa was evaluated for species richness, endemism, range size and marginally distributed taxa, using species-area analysis, and tendencies in the floras of the MR (1.434 species and subtaxa) and MR-Fifth regions (1,841 species and subtaxa) to set the regional pattern. The reserve (0.7 % of MR land area and 0.3 % MR-Fifth land area) contains 34 % of the MR and 27% of the MR-Fifth floras, and around 16-17 % of the mediterranean-climate area (regions IV-VIII) flora of central Chile. Veech\u2019s Relative Richness Index (RRI) revealed that SN Yerba Loca houses exaggerated richness in relation to its land area (28 % more species than expected from the regional model). However, endemism rates (35 % Continental Chile endemics, 22 % Mediterranean endemics, 3% MR-Vth endemics) are statistically lower than in the MR (44 %, 29 %, 9 %) and the MR-Vth (48 %, 31 %, 11 %) floras, and SN Yerba Loca houses proportionately fewer MR endemics (2 %) than the MR (6 %). Compared with the regional floras, the reserve contains statistically fewer marginally distributed species, and range size (median = five administrative regions) is significantly larger. The reserve\u2019s outstanding species richness compensates for its low endemism rates bringing the absolute number of endemics to 92 % of the regional expectation. Corresponding values for marginally distributed species are 81 % (northern limits), 63% (southern limits) and for median and shorter range taxa, 100 %. It is concluded that SN Yerba Loca is a highly efficient reserve from the point of view of vascular plant conservation, and represents an excellent conservation choice. SN Yerba Loca and MN El Morado (a second state protected area in the MR), conservatively, house 39 % of the native vascular plant flora of the MR (30 % of that of the MR-Fifth) on 0.9 % of MR land area. Our study emphasizes that relatively small land areas in central Chile can house significant amounts of biodiversity, and that moreover, the RM and RM-Fifth are areas of high species richness within the central Chilean biodiversity hotspot. The outstanding conservation value of SN Yerba Loca calls for a management plan designed to assure the integrity of the reserve under increasing pressures from the Metropolitan R\u2026", "author" : [ { "dropping-particle" : "", "family" : "Arroyo", "given" : "M.T.K.", "non-dropping-particle" : "", "parse-names" : false, "suffix" : "" }, { "dropping-particle" : "", "family" : "Marticorena", "given" : "Clodomiro", "non-dropping-particle" : "", "parse-names" : false, "suffix" : "" }, { "dropping-particle" : "", "family" : "Matthei", "given" : "Oscar", "non-dropping-particle" : "", "parse-names" : false, "suffix" : "" }, { "dropping-particle" : "", "family" : "Mu\u00f1oz", "given" : "M\u00e9lica", "non-dropping-particle" : "", "parse-names" : false, "suffix" : "" }, { "dropping-particle" : "", "family" : "Pliscoff", "given" : "Patricio", "non-dropping-particle" : "", "parse-names" : false, "suffix" : "" } ], "container-title" : "Revista Chilena de Historia Natural", "id" : "ITEM-1", "issue" : "4", "issued" : { "date-parts" : [ [ "2002" ] ] }, "page" : "767-792", "title" : "Analysis of the contribution and efficiency of the Santuario de la Naturaleza Yerba Loca, 33\u00b0 S in protecting the regional vascular plant flora (Metropolitan and Fifth regions of Chile)", "type" : "article-journal", "volume" : "75" }, "uris" : [ "http://www.mendeley.com/documents/?uuid=02b21507-2029-3b2d-9fea-315044217398" ] } ], "mendeley" : { "formattedCitation" : "(M.T.K. Arroyo et al., 2002)", "manualFormatting" : "(Arroyo et al., 2002)", "plainTextFormattedCitation" : "(M.T.K. Arroyo et al., 2002)", "previouslyFormattedCitation" : "(M.T.K. Arroyo et al., 2002)"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(Arroyo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2002)</w:t>
            </w:r>
            <w:r w:rsidRPr="00843724">
              <w:rPr>
                <w:szCs w:val="22"/>
              </w:rPr>
              <w:fldChar w:fldCharType="end"/>
            </w:r>
            <w:r w:rsidRPr="00843724">
              <w:rPr>
                <w:rFonts w:ascii="Times New Roman" w:hAnsi="Times New Roman" w:cs="Times New Roman"/>
                <w:b w:val="0"/>
                <w:szCs w:val="22"/>
              </w:rPr>
              <w:t xml:space="preserve">, mammals (37), birds (200), reptiles (38), amphibians (12)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"ISBN" : "0716-078X", "ISSN" : "0716-078X", "abstract" : "Species diversity, endemism and degree of threat of the terrestrial vertebrates of mediterranean Chile is reviewed. Mediterranean ecosystems cover 16% of the territory but harbour over 50% of Chile's vertebrate species, 50% of Chilean endemics and, 50% of the endangered species. These attributes render the mediterranean region of Chile a \"hot-spot\" in terms of vertebrate taxa. Habitat destruction is a major threat to species survival. Few protected areas, generally of small size, are available to protect vertebrate fauna. Taxonomic coverage of theses parks is incomplete and some are smaller than required to sustain valuable populations of mammals. The use of the semi-natural matrix sourroundings park sourrounding park is needed to achieve the conservation of this significant biota.", "author" : [ { "dropping-particle" : "", "family" : "Simonetti", "given" : "Javier A.", "non-dropping-particle" : "", "parse-names" : false, "suffix" : "" } ], "container-title" : "Revista Chilena de Historia Natural", "id" : "ITEM-1", "issue" : "4", "issued" : { "date-parts" : [ [ "1999" ] ] }, "page" : "493-500", "title" : "Diversity and conservation of terrestrial vertebrates in mediterranean Chile", "type" : "article-journal", "volume" : "72" }, "uris" : [ "http://www.mendeley.com/documents/?uuid=da50a4b5-8b36-35f9-a956-92aa69477bbf" ] } ], "mendeley" : { "formattedCitation" : "(Simonetti, 1999)", "manualFormatting" : "(Simonetti, 1999)", "plainTextFormattedCitation" : "(Simonetti, 1999)", "previouslyFormattedCitation" : "(Simonetti, 1999)"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(Simonetti, 1999)</w:t>
            </w:r>
            <w:r w:rsidRPr="00843724">
              <w:rPr>
                <w:szCs w:val="22"/>
              </w:rPr>
              <w:fldChar w:fldCharType="end"/>
            </w:r>
            <w:r w:rsidRPr="00843724">
              <w:rPr>
                <w:rFonts w:ascii="Times New Roman" w:hAnsi="Times New Roman" w:cs="Times New Roman"/>
                <w:b w:val="0"/>
                <w:noProof/>
                <w:szCs w:val="22"/>
              </w:rPr>
              <w:t xml:space="preserve">, </w:t>
            </w:r>
            <w:r w:rsidRPr="00843724">
              <w:rPr>
                <w:rFonts w:ascii="Times New Roman" w:hAnsi="Times New Roman" w:cs="Times New Roman"/>
                <w:b w:val="0"/>
                <w:szCs w:val="22"/>
              </w:rPr>
              <w:t>bees (~300)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"10.4067/S0716-078X2002000400012", "ISBN" : "0716-078X", "ISSN" : "0716078X", "PMID" : "451", "abstract" : "Santuario de la Naturaleza Yerba Loca (SN Yerba Loca), Metropolitan Region (MR), 33\u00ba S, Chile is analyzed for its conservation value and efficiency in protecting native vascular plants in a regional context. The reserve\u2019s flora of 500 species and subtaxa was evaluated for species richness, endemism, range size and marginally distributed taxa, using species-area analysis, and tendencies in the floras of the MR (1.434 species and subtaxa) and MR-Fifth regions (1,841 species and subtaxa) to set the regional pattern. The reserve (0.7 % of MR land area and 0.3 % MR-Fifth land area) contains 34 % of the MR and 27% of the MR-Fifth floras, and around 16-17 % of the mediterranean-climate area (regions IV-VIII) flora of central Chile. Veech\u2019s Relative Richness Index (RRI) revealed that SN Yerba Loca houses exaggerated richness in relation to its land area (28 % more species than expected from the regional model). However, endemism rates (35 % Continental Chile endemics, 22 % Mediterranean endemics, 3% MR-Vth endemics) are statistically lower than in the MR (44 %, 29 %, 9 %) and the MR-Vth (48 %, 31 %, 11 %) floras, and SN Yerba Loca houses proportionately fewer MR endemics (2 %) than the MR (6 %). Compared with the regional floras, the reserve contains statistically fewer marginally distributed species, and range size (median = five administrative regions) is significantly larger. The reserve\u2019s outstanding species richness compensates for its low endemism rates bringing the absolute number of endemics to 92 % of the regional expectation. Corresponding values for marginally distributed species are 81 % (northern limits), 63% (southern limits) and for median and shorter range taxa, 100 %. It is concluded that SN Yerba Loca is a highly efficient reserve from the point of view of vascular plant conservation, and represents an excellent conservation choice. SN Yerba Loca and MN El Morado (a second state protected area in the MR), conservatively, house 39 % of the native vascular plant flora of the MR (30 % of that of the MR-Fifth) on 0.9 % of MR land area. Our study emphasizes that relatively small land areas in central Chile can house significant amounts of biodiversity, and that moreover, the RM and RM-Fifth are areas of high species richness within the central Chilean biodiversity hotspot. The outstanding conservation value of SN Yerba Loca calls for a management plan designed to assure the integrity of the reserve under increasing pressures from the Metropolitan R\u2026", "author" : [ { "dropping-particle" : "", "family" : "Arroyo", "given" : "M.T.K.", "non-dropping-particle" : "", "parse-names" : false, "suffix" : "" }, { "dropping-particle" : "", "family" : "Marticorena", "given" : "Clodomiro", "non-dropping-particle" : "", "parse-names" : false, "suffix" : "" }, { "dropping-particle" : "", "family" : "Matthei", "given" : "Oscar", "non-dropping-particle" : "", "parse-names" : false, "suffix" : "" }, { "dropping-particle" : "", "family" : "Mu\u00f1oz", "given" : "M\u00e9lica", "non-dropping-particle" : "", "parse-names" : false, "suffix" : "" }, { "dropping-particle" : "", "family" : "Pliscoff", "given" : "Patricio", "non-dropping-particle" : "", "parse-names" : false, "suffix" : "" } ], "container-title" : "Revista Chilena de Historia Natural", "id" : "ITEM-1", "issue" : "4", "issued" : { "date-parts" : [ [ "2002" ] ] }, "page" : "767-792", "title" : "Analysis of the contribution and efficiency of the Santuario de la Naturaleza Yerba Loca, 33\u00b0 S in protecting the regional vascular plant flora (Metropolitan and Fifth regions of Chile)", "type" : "article-journal", "volume" : "75" }, "uris" : [ "http://www.mendeley.com/documents/?uuid=02b21507-2029-3b2d-9fea-315044217398" ] }, { "id" : "ITEM-2", "itemData" : { "author" : [ { "dropping-particle" : "", "family" : "Montalva", "given" : "J.", "non-dropping-particle" : "", "parse-names" : false, "suffix" : "" }, { "dropping-particle" : "", "family" : "Ruz", "given" : "L.", "non-dropping-particle" : "", "parse-names" : false, "suffix" : "" } ], "container-title" : "Revista Chilena de Entomolog\u00eda", "id" : "ITEM-2", "issued" : { "date-parts" : [ [ "2010" ] ] }, "page" : "13-23.", "title" : "Actualizaci\u00f3n a la lista sistem\u00e1tica de las abejas chilenas", "type" : "article-journal", "volume" : "8" }, "uris" : [ "http://www.mendeley.com/documents/?uuid=32f01724-6c84-3717-84b2-4434615da8af" ] }, { "id" : "ITEM-3", "itemData" : { "ISBN" : "0716-078X", "ISSN" : "0716-078X", "abstract" : "Species diversity, endemism and degree of threat of the terrestrial vertebrates of mediterranean Chile is reviewed. Mediterranean ecosystems cover 16% of the territory but harbour over 50% of Chile's vertebrate species, 50% of Chilean endemics and, 50% of the endangered species. These attributes render the mediterranean region of Chile a \"hot-spot\" in terms of vertebrate taxa. Habitat destruction is a major threat to species survival. Few protected areas, generally of small size, are available to protect vertebrate fauna. Taxonomic coverage of theses parks is incomplete and some are smaller than required to sustain valuable populations of mammals. The use of the semi-natural matrix sourroundings park sourrounding park is needed to achieve the conservation of this significant biota.", "author" : [ { "dropping-particle" : "", "family" : "Simonetti", "given" : "Javier A.", "non-dropping-particle" : "", "parse-names" : false, "suffix" : "" } ], "container-title" : "Revista Chilena de Historia Natural", "id" : "ITEM-3", "issue" : "4", "issued" : { "date-parts" : [ [ "1999" ] ] }, "page" : "493-500", "title" : "Diversity and conservation of terrestrial vertebrates in mediterranean Chile", "type" : "article-journal", "volume" : "72" }, "uris" : [ "http://www.mendeley.com/documents/?uuid=da50a4b5-8b36-35f9-a956-92aa69477bbf" ] } ], "mendeley" : { "formattedCitation" : "(M.T.K. Arroyo et al., 2002; J. Montalva &amp; Ruz, 2010; Simonetti, 1999)", "manualFormatting" : "Montalva &amp; Ruz, 2010). ", "plainTextFormattedCitation" : "(M.T.K. Arroyo et al., 2002; J. Montalva &amp; Ruz, 2010; Simonetti, 1999)", "previouslyFormattedCitation" : "(M.T.K. Arroyo et al., 2002; J. Montalva &amp; Ruz, 2010; Simonetti, 1999)"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Montalva &amp; Ruz, 2010). </w:t>
            </w:r>
            <w:r w:rsidRPr="00843724">
              <w:rPr>
                <w:szCs w:val="22"/>
              </w:rPr>
              <w:fldChar w:fldCharType="end"/>
            </w:r>
          </w:p>
        </w:tc>
      </w:tr>
      <w:tr w:rsidR="006831BC" w:rsidRPr="00843724" w14:paraId="518E171F"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375EF948"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eastAsia="Times New Roman" w:hAnsi="Times New Roman" w:cs="Times New Roman"/>
                <w:b w:val="0"/>
                <w:i/>
                <w:szCs w:val="22"/>
                <w:lang w:eastAsia="pt-BR"/>
              </w:rPr>
              <w:t>Tundra and high mountain habitats</w:t>
            </w:r>
          </w:p>
        </w:tc>
      </w:tr>
      <w:tr w:rsidR="006831BC" w:rsidRPr="00843724" w14:paraId="233B18D3"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5319E38A"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szCs w:val="22"/>
                <w:lang w:val="es-ES"/>
              </w:rPr>
              <w:t xml:space="preserve">Whole biome: plants (6,700) </w:t>
            </w:r>
            <w:r w:rsidRPr="00843724">
              <w:rPr>
                <w:szCs w:val="22"/>
              </w:rPr>
              <w:fldChar w:fldCharType="begin" w:fldLock="1"/>
            </w:r>
            <w:r w:rsidRPr="00843724">
              <w:rPr>
                <w:rFonts w:ascii="Times New Roman" w:hAnsi="Times New Roman" w:cs="Times New Roman"/>
                <w:b w:val="0"/>
                <w:szCs w:val="22"/>
                <w:lang w:val="es-ES"/>
              </w:rPr>
              <w:instrText>ADDIN CSL_CITATION { "citationItems" : [ { "id" : "ITEM-1", "itemData" : { "DOI" : "10.1016/B978-0-12-384719-5.00428-7", "ISBN" : "978-0-12-384720-1", "ISSN" : "1526-4564", "PMID" : "23609146", "abstract" : "High-elevation habitats of the South American Andes extend from 11\u00b0 N to 56\u00b0 S. These geologically young habitats bear a rich vascular flora, which can be accompanied by abundant mosses, lichens, and hepatics in p\u00e1ramo. The vascular flora contains many, and often monotypic endemic genera. Highest species richness is found in p\u00e1ramo, followed by puna and southern Andean steppe. The high elevation flora has been assembled from numerous sources, and has involved long-distance dispersal, and upward and north\u2013south migration of clades. P\u00e1ramo, puna, and southern Andean steppe are overviewed. Some critical needs for future biodiversity research are outlined.", "author" : [ { "dropping-particle" : "", "family" : "Arroyo", "given" : "Mary T.K.", "non-dropping-particle" : "", "parse-names" : false, "suffix" : "" }, { "dropping-particle" : "", "family" : "Cavieres", "given" : "Lohengrin A", "non-dropping-particle" : "", "parse-names" : false, "suffix" : "" } ], "container-title" : "Encyclopedia of Biodiversity", "editor" : [ { "dropping-particle" : "", "family" : "Levin", "given" : "S.", "non-dropping-particle" : "", "parse-names" : false, "suffix" : "" } ], "id" : "ITEM-1", "issued" : { "date-parts" : [ [ "2013" ] ] }, "page" : "96-110", "publisher" : "Elsevier Science and Technology", "publisher-place" : "New Jersey, USA", "title" : "High-elevation Andean ecosystems", "type" : "chapter" }, "uris" : [ "http://www.mendeley.com/documents/?uuid=1f72d92f-4a15-3d27-a959-5f4c2fe98cdb" ] } ], "mendeley" : { "formattedCitation" : "(Mary T.K. Arroyo &amp; Cavieres, 2013)", "manualFormatting" : "(Arroyo &amp; Cavieres, 2013)", "plainTextFormattedCitation" : "(Mary T.K. Arroyo &amp; Cavieres, 2013)", "previouslyFormattedCitation" : "(Mary T.K. Arroyo &amp; Cavieres, 2013)"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es-ES"/>
              </w:rPr>
              <w:t>(Arroyo &amp; Cavieres, 2013)</w:t>
            </w:r>
            <w:r w:rsidRPr="00843724">
              <w:rPr>
                <w:szCs w:val="22"/>
              </w:rPr>
              <w:fldChar w:fldCharType="end"/>
            </w:r>
            <w:r w:rsidRPr="00843724">
              <w:rPr>
                <w:rFonts w:ascii="Times New Roman" w:hAnsi="Times New Roman" w:cs="Times New Roman"/>
                <w:b w:val="0"/>
                <w:szCs w:val="22"/>
                <w:lang w:val="es-ES"/>
              </w:rPr>
              <w:t xml:space="preserve">; Páramo: vascular plants (3,600) </w:t>
            </w:r>
            <w:r w:rsidRPr="00843724">
              <w:rPr>
                <w:szCs w:val="22"/>
              </w:rPr>
              <w:fldChar w:fldCharType="begin" w:fldLock="1"/>
            </w:r>
            <w:r w:rsidRPr="00843724">
              <w:rPr>
                <w:rFonts w:ascii="Times New Roman" w:hAnsi="Times New Roman" w:cs="Times New Roman"/>
                <w:b w:val="0"/>
                <w:szCs w:val="22"/>
                <w:lang w:val="es-ES"/>
              </w:rPr>
              <w:instrText>ADDIN CSL_CITATION { "citationItems" : [ { "id" : "ITEM-1", "itemData" : { "DOI" : "10.1016/B978-0-12-384719-5.00428-7", "ISBN" : "978-0-12-384720-1", "ISSN" : "1526-4564", "PMID" : "23609146", "abstract" : "High-elevation habitats of the South American Andes extend from 11\u00b0 N to 56\u00b0 S. These geologically young habitats bear a rich vascular flora, which can be accompanied by abundant mosses, lichens, and hepatics in p\u00e1ramo. The vascular flora contains many, and often monotypic endemic genera. Highest species richness is found in p\u00e1ramo, followed by puna and southern Andean steppe. The high elevation flora has been assembled from numerous sources, and has involved long-distance dispersal, and upward and north\u2013south migration of clades. P\u00e1ramo, puna, and southern Andean steppe are overviewed. Some critical needs for future biodiversity research are outlined.", "author" : [ { "dropping-particle" : "", "family" : "Arroyo", "given" : "Mary T.K.", "non-dropping-particle" : "", "parse-names" : false, "suffix" : "" }, { "dropping-particle" : "", "family" : "Cavieres", "given" : "Lohengrin A", "non-dropping-particle" : "", "parse-names" : false, "suffix" : "" } ], "container-title" : "Encyclopedia of Biodiversity", "editor" : [ { "dropping-particle" : "", "family" : "Levin", "given" : "S.", "non-dropping-particle" : "", "parse-names" : false, "suffix" : "" } ], "id" : "ITEM-1", "issued" : { "date-parts" : [ [ "2013" ] ] }, "page" : "96-110", "publisher" : "Elsevier Science and Technology", "publisher-place" : "New Jersey, USA", "title" : "High-elevation Andean ecosystems", "type" : "chapter" }, "uris" : [ "http://www.mendeley.com/documents/?uuid=1f72d92f-4a15-3d27-a959-5f4c2fe98cdb" ] }, { "id" : "ITEM-2", "itemData" : { "ISBN" : "9780893274276", "abstract" : "The p\u00e1ramos of Costa Rica and Panama are located in the Cordillera de Talamanca, the backbone of eastern Costa Rica and adjacent western Panama. About 60 km\u00b2 of p\u00e1ramo occur in the massive Cerro Chirrip\u00f3 region (Cleef &amp; Chaverri, 1992), with a scattered few others toward the border with Panama. There the p\u00e1rramo is found between 3300 and 3819 m elevation and is dominated by the dwarf bamboo Chusquea subtessellata, which may form a ground cover of up to 60% (Kappelle, 1990). The p\u00e1ramo-like vegetation along the Panamerican Highway, in the region known as Cerro de La Muerte, at about 3100 m, is manmade (fire-induced), with numerous characteristic p\u00e1ramo plants found in exposed boggy sites, locally called \"paramillo,\" \"ci\u00e9nagas,\" or \"turberas.\" The peaks of Volc\u00e1n Iraz\u00fa (3432 m) and Volc\u00e1n Turrialba (3339 m) are p\u00e1ramo-like in appearance but are not true p\u00e1ramos. Hunter (1959) estimated that about 1000 ha (ca. 10 km\u00b2, or 0.02% of the total land area, of Costa Rica was p\u00e1ramo. In Panama, the very summit of Volc\u00e1n Bar\u00fa (also known as Cerro Chiriqu\u00ed), at 3475 m, has p\u00e1ramo-like vegetation, although it is now impossible to say what the original vegetation was like since the top has been bulldozed for communication towers. True undisturbed p\u00e1ramo does seem to occur in Panama near the border with Costa Rica in areas such as Cerro Echandi (3160 m) and Cerro F\u00e1brega (3335 m) (fide G. Davidse collection labels). Costa Rican and Panamanian national parks that include p\u00e1ramo are Chirrip\u00f3 (in Costa Rica) and Volc\u00e1n Bar\u00fa (in Panama), both units of the larger Parque Internacional de la Amistad shared by the two countries", "author" : [ { "dropping-particle" : "", "family" : "Luteyn", "given" : "James L.", "non-dropping-particle" : "", "parse-names" : false, "suffix" : "" } ], "id" : "ITEM-2", "issued" : { "date-parts" : [ [ "1999" ] ] }, "number-of-pages" : "278", "publisher" : "The New York Botanical Garden Press", "publisher-place" : "New York, USA", "title" : "P\u00e1ramos: A Checklist of Plant Diversity, Geographical Distribution, and Botanical Literature", "type" : "book" }, "uris" : [ "http://www.mendeley.com/documents/?uuid=9a7b5061-d436-3c00-9197-d36f3e05b004" ] }, { "id" : "ITEM-3", "itemData" : { "ISBN" : "9780893274849", "author" : [ { "dropping-particle" : "", "family" : "Sklen\u00e1r", "given" : "P.", "non-dropping-particle" : "", "parse-names" : false, "suffix" : "" }, { "dropping-particle" : "", "family" : "Luteyn", "given" : "J.", "non-dropping-particle" : "", "parse-names" : false, "suffix" : "" }, { "dropping-particle" : "", "family" : "Ulloa", "given" : "C.", "non-dropping-particle" : "", "parse-names" : false, "suffix" : "" }, { "dropping-particle" : "", "family" : "Jorgensen", "given" : "P.", "non-dropping-particle" : "", "parse-names" : false, "suffix" : "" }, { "dropping-particle" : "", "family" : "Dillon", "given" : "M.", "non-dropping-particle" : "", "parse-names" : false, "suffix" : "" } ], "id" : "ITEM-3", "issued" : { "date-parts" : [ [ "2005" ] ] }, "number-of-pages" : "520", "publisher" : "The New York Botanical Garden Press", "publisher-place" : "New York, USA", "title" : "Flora Gen\u00e9rica de los P\u00e1ramos: Gu\u00eda Ilustrada de las Plantas Vasculares", "type" : "book", "volume" : "92" }, "uris" : [ "http://www.mendeley.com/documents/?uuid=1860b64f-12f7-34ab-8880-3a175c7aeb88" ] }, { "id" : "ITEM-4", "itemData" : { "DOI" : "10.1080/14634980701351395", "ISBN" : "1463-4988", "ISSN" : "14634988", "abstract" : "Fisheries of the Altiplano, dating from 1500 to 2000 BC, are active in the Andean inter-montane plateau that extends from Ancash, Peru, to Antofagasta, Chile, at altitudes above 3600 m. The ancient and remote nature of these systems has merited the inclusion of many areas as National Parks and RAMSAR sites. Among 58 native fish species, 45 belong to the killifish complex Orestias and the rest to the catfish complex Trichomycterus. The main fishery resources consist of \"ispi\", Orestias ispi, with 32 175 (64.5%) metric tons and \"karachi\", Orestias of the group agassii, with 455 metric tons (0.9%). The introduced fishes \"silversides\", Odontesthes bonariensis, and \"trouts\", Oncorhynchus mykiss, contribute 16 900 metric tons (33.9%) and 324 metric tons (0.7%) respectively. Hydro-acoustic evaluations show a permanent diminution of the endemic Orestias. Lake species such as O. pentlandii \"boga\" and O. cuvieri \"humanto\" were important for their biogeographic relationships and were highly endemic. Native fishes are nowadays threatened by the salmonids, Oncorhynchus mykiss, Salvelinus namaycush, Salvelinus fontinalis and Salmo trutta, introduced since 1939. Later the silverside Odontesth</w:instrText>
            </w:r>
            <w:r w:rsidRPr="00843724">
              <w:rPr>
                <w:rFonts w:ascii="Times New Roman" w:hAnsi="Times New Roman" w:cs="Times New Roman"/>
                <w:b w:val="0"/>
                <w:szCs w:val="22"/>
                <w:lang w:val="fr-FR"/>
              </w:rPr>
              <w:instrText>es bonariensis was introduced during 1955-1956", "author" : [ { "dropping-particle" : "", "family" : "Vila", "given" : "Irma", "non-dropping-particle" : "", "parse-names" : false, "suffix" : "" }, { "dropping-particle" : "", "family" : "Pardo", "given" : "Rodrigo", "non-dropping-particle" : "", "parse-names" : false, "suffix" : "" }, { "dropping-particle" : "", "family" : "Scott", "given" : "Sergio", "non-dropping-particle" : "", "parse-names" : false, "suffix" : "" } ], "container-title" : "Aquatic Ecosystem Health &amp; Management", "id" : "ITEM-4", "issue" : "2", "issued" : { "date-parts" : [ [ "2007" ] ] }, "page" : "201-211", "title" : "Freshwater fishes of the Altiplano", "type" : "article-journal", "volume" : "10" }, "uris" : [ "http://www.mendeley.com/documents/?uuid=1987d7c7-2a08-335f-b3d5-58c67b78ff64" ] } ], "mendeley" : { "formattedCitation" : "(Mary T.K. Arroyo &amp; Cavieres, 2013; Luteyn, 1999; Sklen\u00e1r, Luteyn, Ulloa, Jorgensen, &amp; Dillon, 2005; Vila et al., 2007)", "manualFormatting" : "(Sklen\u00e1\u0159 et al., 2005)", "plainTextFormattedCitation" : "(Mary T.K. Arroyo &amp; Cavieres, 2013; Luteyn, 1999; Sklen\u00e1r, Luteyn, Ulloa, Jorgensen, &amp; Dillon, 2005; Vila et al., 2007)", "previouslyFormattedCitation" : "(Mary T.K. Arroyo &amp; Cavieres, 2013; Luteyn, 1999; Sklen\u00e1r, Luteyn, Ulloa, Jorgensen, &amp; Dillon, 2005; Vila et al., 2007)"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fr-FR"/>
              </w:rPr>
              <w:t xml:space="preserve">(Sklenář </w:t>
            </w:r>
            <w:r w:rsidRPr="00843724">
              <w:rPr>
                <w:rFonts w:ascii="Times New Roman" w:hAnsi="Times New Roman" w:cs="Times New Roman"/>
                <w:b w:val="0"/>
                <w:i/>
                <w:noProof/>
                <w:szCs w:val="22"/>
                <w:lang w:val="fr-FR"/>
              </w:rPr>
              <w:t>et al</w:t>
            </w:r>
            <w:r w:rsidRPr="00843724">
              <w:rPr>
                <w:rFonts w:ascii="Times New Roman" w:hAnsi="Times New Roman" w:cs="Times New Roman"/>
                <w:b w:val="0"/>
                <w:noProof/>
                <w:szCs w:val="22"/>
                <w:lang w:val="fr-FR"/>
              </w:rPr>
              <w:t>., 2005)</w:t>
            </w:r>
            <w:r w:rsidRPr="00843724">
              <w:rPr>
                <w:szCs w:val="22"/>
              </w:rPr>
              <w:fldChar w:fldCharType="end"/>
            </w:r>
            <w:r w:rsidRPr="00843724">
              <w:rPr>
                <w:rFonts w:ascii="Times New Roman" w:hAnsi="Times New Roman" w:cs="Times New Roman"/>
                <w:b w:val="0"/>
                <w:szCs w:val="22"/>
                <w:lang w:val="fr-FR"/>
              </w:rPr>
              <w:t xml:space="preserve">, non-vascular plants (1,300) </w:t>
            </w:r>
            <w:r w:rsidRPr="00843724">
              <w:rPr>
                <w:szCs w:val="22"/>
              </w:rPr>
              <w:fldChar w:fldCharType="begin" w:fldLock="1"/>
            </w:r>
            <w:r w:rsidRPr="00843724">
              <w:rPr>
                <w:rFonts w:ascii="Times New Roman" w:hAnsi="Times New Roman" w:cs="Times New Roman"/>
                <w:b w:val="0"/>
                <w:szCs w:val="22"/>
                <w:lang w:val="fr-FR"/>
              </w:rPr>
              <w:instrText>ADDIN CSL_CITATION { "citationItems" : [ { "id" : "ITEM-1", "itemData" : { "ISBN" : "9780893274276", "abstract" : "The p\u00e1ramos of Costa Rica and Panama are located in the Cordillera de Talamanca, the backbone of eastern Costa Rica and adjacent western Panama. About 60 km\u00b2 of p\u00e1ramo occur in the massive Cerro Chirrip\u00f3 region (Cleef &amp; Chaverri, 1992), with a scattered few others toward the border with Panama. There the p\u00e1rramo is found between 3300 and 3819 m elevation and is dominated by the dwarf bamboo Chusquea subtessellata, which may form a ground cover of up to 60% (Kappelle, 1990). The p\u00e1ramo-like vegetation along the Panamerican Highway, in the region known as Cerro de La Muerte, at about 3100 m, is manmade (fire-induced), with numerous characteristic p\u00e1ramo plants found in exposed boggy sites, locally called \"paramillo,\" \"ci\u00e9nagas,\" or \"turberas.\" The peaks of Volc\u00e1n Iraz\u00fa (3432 m) and Volc\u00e1n Turrialba (3339 m) are p\u00e1ramo-like in appearance but are not true p\u00e1ramos. Hunter (1959) estimated that about 1000 ha (ca. 10 km\u00b2, or 0.02% of the total land area, of Costa Rica was p\u00e1ramo. In Panama, the very summit of Volc\u00e1n Bar\u00fa (also known as Cerro Chiriqu\u00ed), at 3475 m, has p\u00e1ramo-like vegetation, although it is now impossible to say what the original vegetation was like since the top has been bulldozed for communication towers. True undisturbed p\u00e1ramo does seem to occur in Panama near the border with Costa Rica in areas such as Cerro Echandi (3160 m) and Cerro F\u00e1brega (3335 m) (fide G. Davidse collection labels). Costa Rican and Panamanian national parks that include p\u00e1ramo are Chirrip\u00f3 (in Costa Rica) and Volc\u00e1n Bar\u00fa (in Panama), both units of the larger Parque Internacional de la Amistad shared by the two countries", "author" : [ { "dropping-particle" : "", "family" : "Luteyn", "given" : "James L.", "non-dropping-particle" : "", "parse-names" : false, "suffix" : "" } ], "id" : "ITEM-1", "issued" : { "date-parts" : [ [ "1999" ] ] }, "number-of-pages" : "278", "publisher" : "The New York Botanical Garden Press", "publisher-place" : "New York, USA", "title" : "P\u00e1ramos: A Checklist of Plant Diversity, Geographical Distribution, and Botanical Literature", "type" : "book" }, "uris" : [ "http://www.mendeley.com/documents/?uuid=9a7b5061-d436-3c00-9197-d36f3e05b004" ] } ], "mendeley" : { "formattedCitation" : "(Luteyn, 1999)", "plainTextFormattedCitation" : "(Luteyn, 1999)", "previouslyFormattedCitation" : "(Luteyn, 1999)"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fr-FR"/>
              </w:rPr>
              <w:t>(Luteyn, 1999)</w:t>
            </w:r>
            <w:r w:rsidRPr="00843724">
              <w:rPr>
                <w:szCs w:val="22"/>
              </w:rPr>
              <w:fldChar w:fldCharType="end"/>
            </w:r>
            <w:r w:rsidRPr="00843724">
              <w:rPr>
                <w:rFonts w:ascii="Times New Roman" w:hAnsi="Times New Roman" w:cs="Times New Roman"/>
                <w:b w:val="0"/>
                <w:szCs w:val="22"/>
                <w:lang w:val="fr-FR"/>
              </w:rPr>
              <w:t xml:space="preserve">; Puna freshwater and salt lakes: fishes (60) </w:t>
            </w:r>
            <w:r w:rsidRPr="00843724">
              <w:rPr>
                <w:szCs w:val="22"/>
              </w:rPr>
              <w:fldChar w:fldCharType="begin" w:fldLock="1"/>
            </w:r>
            <w:r w:rsidRPr="00843724">
              <w:rPr>
                <w:rFonts w:ascii="Times New Roman" w:hAnsi="Times New Roman" w:cs="Times New Roman"/>
                <w:b w:val="0"/>
                <w:szCs w:val="22"/>
                <w:lang w:val="fr-FR"/>
              </w:rPr>
              <w:instrText>ADDIN CSL_CITATION { "citationItems" : [ { "id" : "ITEM-1", "itemData" : { "DOI" : "10.1080/14634980701351395", "ISBN" : "1463-4988", "ISSN" : "14634988", "abstract" : "Fisheries of the Altiplano, dating from 1500 to 2000 BC, are active in the Andean inter-montane plateau that extends from Ancash, Peru, to Antofagasta, Chile, at altitudes above 3600 m. The ancient and remote nature of these systems has merited the inclusion of many areas as National Parks and RAMSAR sites. Among 58 native fish species, 45 belong to the killifish complex Orestias and the rest to the catfish complex Trichomycterus. The main fishery resources consist of \"ispi\", Orestias ispi, with 32 175 (64.5%) metric tons and \"karachi\", Orestias of the group agassii, with 455 metric tons (0.9%). The introduced fishes \"silversides\", Odontesthes bonariensis, and \"trouts\", Oncorhynchus mykiss, contribute 16 900 metric tons (33.9%) and 324 metric tons (0.7%) respectively. Hydro-acoustic evaluations show a permanent diminution of the endemic Orestias. Lake species such as O. pentlandii \"boga\" and O. cuvieri \"humanto\" were important for their biogeographic relationships and were highly endemic. Native fishes are nowadays threatened by the salmonids, Oncorhynchus mykiss, Salvelinus namaycush, Salvelinus fontinalis and Salmo trutta, introduced since 1939. Later the silverside Odontesthes bonariensis was introduced during 1955-1956", "author" : [</w:instrText>
            </w:r>
            <w:r w:rsidRPr="00843724">
              <w:rPr>
                <w:rFonts w:ascii="Times New Roman" w:hAnsi="Times New Roman" w:cs="Times New Roman"/>
                <w:b w:val="0"/>
                <w:szCs w:val="22"/>
              </w:rPr>
              <w:instrText xml:space="preserve"> { "dropping-particle" : "", "family" : "Vila", "given" : "Irma", "non-dropping-particle" : "", "parse-names" : false, "suffix" : "" }, { "dropping-particle" : "", "family" : "Pardo", "given" : "Rodrigo", "non-dropping-particle" : "", "parse-names" : false, "suffix" : "" }, { "dropping-particle" : "", "family" : "Scott", "given" : "Sergio", "non-dropping-particle" : "", "parse-names" : false, "suffix" : "" } ], "container-title" : "Aquatic Ecosystem Health &amp; Management", "id" : "ITEM-1", "issue" : "2", "issued" : { "date-parts" : [ [ "2007" ] ] }, "page" : "201-211", "title" : "Freshwater fishes of the Altiplano", "type" : "article-journal", "volume" : "10" }, "uris" : [ "http://www.mendeley.com/documents/?uuid=1987d7c7-2a08-335f-b3d5-58c67b78ff64" ] } ], "mendeley" : { "formattedCitation" : "(Vila et al., 2007)", "manualFormatting" : "(Vila et al., 2007)", "plainTextFormattedCitation" : "(Vila et al., 2007)", "previouslyFormattedCitation" : "(Vila et al., 2007)"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(Vila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2007)</w:t>
            </w:r>
            <w:r w:rsidRPr="00843724">
              <w:rPr>
                <w:szCs w:val="22"/>
              </w:rPr>
              <w:fldChar w:fldCharType="end"/>
            </w:r>
            <w:r w:rsidRPr="00843724">
              <w:rPr>
                <w:rFonts w:ascii="Times New Roman" w:hAnsi="Times New Roman" w:cs="Times New Roman"/>
                <w:b w:val="0"/>
                <w:szCs w:val="22"/>
              </w:rPr>
              <w:t>.</w:t>
            </w:r>
          </w:p>
        </w:tc>
      </w:tr>
      <w:tr w:rsidR="006831BC" w:rsidRPr="00843724" w14:paraId="431047A8"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2D341B83"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eastAsia="Times New Roman" w:hAnsi="Times New Roman" w:cs="Times New Roman"/>
                <w:b w:val="0"/>
                <w:i/>
                <w:szCs w:val="22"/>
                <w:lang w:eastAsia="pt-BR"/>
              </w:rPr>
              <w:t>Tropical and subtropical savannas and grasslands</w:t>
            </w:r>
          </w:p>
        </w:tc>
      </w:tr>
      <w:tr w:rsidR="006831BC" w:rsidRPr="00843724" w14:paraId="4276E549"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6299D46B" w14:textId="755B517D" w:rsidR="00D90B1D" w:rsidRPr="00843724" w:rsidRDefault="00D90B1D" w:rsidP="007D620C">
            <w:pPr>
              <w:spacing w:after="40"/>
              <w:jc w:val="both"/>
              <w:rPr>
                <w:rFonts w:ascii="Times New Roman" w:hAnsi="Times New Roman" w:cs="Times New Roman"/>
                <w:szCs w:val="22"/>
                <w:lang w:val="en-GB"/>
              </w:rPr>
            </w:pPr>
            <w:r w:rsidRPr="00843724">
              <w:rPr>
                <w:rFonts w:ascii="Times New Roman" w:hAnsi="Times New Roman" w:cs="Times New Roman"/>
                <w:b w:val="0"/>
                <w:szCs w:val="22"/>
              </w:rPr>
              <w:t xml:space="preserve">Brazilian </w:t>
            </w:r>
            <w:r w:rsidR="00A01A41" w:rsidRPr="00843724">
              <w:rPr>
                <w:rFonts w:ascii="Times New Roman" w:hAnsi="Times New Roman" w:cs="Times New Roman"/>
                <w:b w:val="0"/>
                <w:szCs w:val="22"/>
              </w:rPr>
              <w:t>Cerrado</w:t>
            </w:r>
            <w:r w:rsidRPr="00843724">
              <w:rPr>
                <w:rFonts w:ascii="Times New Roman" w:hAnsi="Times New Roman" w:cs="Times New Roman"/>
                <w:b w:val="0"/>
                <w:szCs w:val="22"/>
              </w:rPr>
              <w:t xml:space="preserve">: plants (13,137), birds (837)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"10.1111/ddi.12380", "author" : [ { "dropping-particle" : "", "family" : "Overbeck", "given" : "G. E.", "non-dropping-particle" : "", "parse-names" : false, "suffix" : "" }, { "dropping-particle" : "", "family" : "Velez-Martin", "given" : "E.", "non-dropping-particle" : "", "parse-names" : false, "suffix" : "" }, { "dropping-particle" : "", "family" : "Scarano", "given" : "F. R.", "non-dropping-particle" : "", "parse-names" : false, "suffix" : "" }, { "dropping-particle" : "", "family" : "Lewinsohn", "given" : "T. M.", "non-dropping-particle" : "", "parse-names" : false, "suffix" : "" }, { "dropping-particle" : "", "family" : "Fonseca", "given" : "C. R.", "non-dropping-particle" : "", "parse-names" : false, "suffix" : "" }, { "dropping-particle" : "", "family" : "Meyer", "given" : "S. T.", "non-dropping-particle" : "", "parse-names" : false, "suffix" : "" }, { "dropping-particle" : "", "family" : "Muller", "given" : "S. C.", "non-dropping-particle" : "", "parse-names" : false, "suffix" : "" }, { "dropping-particle" : "", "family" : "Ceotto", "given" : "P.", "non-dropping-particle" : "", "parse-names" : false, "suffix" : "" }, { "dropping-particle" : "", "family" : "Dadalt", "given" : "L.", "non-dropping-particle" : "", "parse-names" : false, "suffix" : "" }, { "dropping-particle" : "", "family" : "Durigan", "given" : "G.", "non-dropping-particle" : "", "parse-names" : false, "suffix" : "" }, { "dropping-particle" : "", "family" : "Ganade", "given" : "G.", "non-dropping-particle" : "", "parse-names" : false, "suffix" : "" }, { "dropping-particle" : "", "family" : "Gossner", "given" : "M. M.", "non-dropping-particle" : "", "parse-names" : false, "suffix" : "" }, { "dropping-particle" : "", "family" : "Guadagnin", "given" : "D. L.", "non-dropping-particle" : "", "parse-names" : false, "suffix" : "" }, { "dropping-particle" : "", "family" : "Lorenzen", "given" : "K.", "non-dropping-particle" : "", "parse-names" : false, "suffix" : "" }, { "dropping-particle" : "", "family" : "Jacobi", "given" : "C. M.", "non-dropping-particle" : "", "parse-names" : false, "suffix" : "" }, { "dropping-particle" : "", "family" : "Weisser", "given" : "W. W.", "non-dropping-particle" : "", "parse-names" : false, "suffix" : "" }, { "dropping-particle" : "", "family" : "Pillar", "given" : "V. D.", "non-dropping-particle" : "", "parse-names" : false, "suffix" : "" } ], "container-title" : "Diversity and Distributions", "id" : "ITEM-1", "issue" : "12", "issued" : { "date-parts" : [ [ "2015" ] ] }, "page" : "1455-1460", "title" : "Conservation in Brazil needs to include non-forest ecosystems", "type" : "article-journal", "volume" : "21" }, "uris" : [ "http://www.mendeley.com/documents/?uuid=b944ed9a-f202-4264-a43c-579f71258eb6" ] } ], "mendeley" : { "formattedCitation" : "(Overbeck et al., 2015)", "manualFormatting" : "(Overbeck et al., 2015)", "plainTextFormattedCitation" : "(Overbeck et al., 2015)", "previouslyFormattedCitation" : "(Overbeck et al., 2015)"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(Overbeck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xml:space="preserve"> 2015)</w:t>
            </w:r>
            <w:r w:rsidRPr="00843724">
              <w:rPr>
                <w:szCs w:val="22"/>
              </w:rPr>
              <w:fldChar w:fldCharType="end"/>
            </w:r>
            <w:r w:rsidRPr="00843724">
              <w:rPr>
                <w:rFonts w:ascii="Times New Roman" w:hAnsi="Times New Roman" w:cs="Times New Roman"/>
                <w:b w:val="0"/>
                <w:szCs w:val="22"/>
              </w:rPr>
              <w:t xml:space="preserve">, mammals (251) (Paglia </w:t>
            </w:r>
            <w:r w:rsidRPr="00843724">
              <w:rPr>
                <w:rFonts w:ascii="Times New Roman" w:hAnsi="Times New Roman" w:cs="Times New Roman"/>
                <w:b w:val="0"/>
                <w:i/>
                <w:szCs w:val="22"/>
              </w:rPr>
              <w:t>et al</w:t>
            </w:r>
            <w:r w:rsidRPr="00843724">
              <w:rPr>
                <w:rFonts w:ascii="Times New Roman" w:hAnsi="Times New Roman" w:cs="Times New Roman"/>
                <w:b w:val="0"/>
                <w:szCs w:val="22"/>
              </w:rPr>
              <w:t xml:space="preserve">.,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"author" : [ { "dropping-particle" : "", "family" : "Paglia", "given" : "A.P.", "non-dropping-particle" : "", "parse-names" : false, "suffix" : "" }, { "dropping-particle" : "", "family" : "Fonseca", "given" : "G.A.", "non-dropping-particle" : "da", "parse-names" : false, "suffix" : "" }, { "dropping-particle" : "", "family" : "Rylands", "given" : "A.B.", "non-dropping-particle" : "", "parse-names" : false, "suffix" : "" }, { "dropping-particle" : "", "family" : "Herrmann", "given" : "G.", "non-dropping-particle" : "", "parse-names" : false, "suffix" : "" }, { "dropping-particle" : "", "family" : "Aguiar", "given" : "L.M.", "non-dropping-particle" : "", "parse-names" : false, "suffix" : "" }, { "dropping-particle" : "", "family" : "Chiarello", "given" : "A.G.", "non-dropping-particle" : "", "parse-names" : false, "suffix" : "" }, { "dropping-particle" : "", "family" : "Leite", "given" : "Y.L.", "non-dropping-particle" : "", "parse-names" : false, "suffix" : "" }, { "dropping-particle" : "", "family" : "Costa", "given" : "L.P.", "non-dropping-particle" : "", "parse-names" : false, "suffix" : "" }, { "dropping-particle" : "", "family" : "Siciliano", "given" : "S.", "non-dropping-particle" : "", "parse-names" : false, "suffix" : "" }, { "dropping-particle" : "", "family" : "Kierulff", "given" : "M.C.M.", "non-dropping-particle" : "", "parse-names" : false, "suffix" : "" }, { "dropping-particle" : "", "family" : "Mendes", "given" : "S.L.", "non-dropping-particle" : "", "parse-names" : false, "suffix" : "" }, { "dropping-particle" : "", "family" : "Tavares", "given" : "V.", "non-dropping-particle" : "", "parse-names" : false, "suffix" : "" }, { "dropping-particle" : "", "family" : "Mittermeier", "given" : "Russell A.", "non-dropping-particle" : "", "parse-names" : false, "suffix" : "" }, { "dropping-particle" : "", "family" : "Patton", "given" : "James L.", "non-dropping-particle" : "", "parse-names" : false, "suffix" : "" } ], "container-title" : "Occasional Papers in Conservation Biology N\u00b06", "edition" : "2", "id" : "ITEM-1", "issued" : { "date-parts" : [ [ "2012" ] ] }, "publisher" : "Conservation International", "publisher-place" : "Arlington, USA", "title" : "Lista Anotada dos Mam\u00edferos do Brasil/Annotated Checklist of Brazilian Mammals", "type" : "book" }, "uris" : [ "http://www.mendeley.com/documents/?uuid=f7a242b3-64f8-4dab-acd5-917d56dce208" ] } ], "mendeley" : { "formattedCitation" : "(Paglia et al., 2012)", "manualFormatting" : "2012)", "plainTextFormattedCitation" : "(Paglia et al., 2012)", "previouslyFormattedCitation" : "(Paglia et al., 2012)"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2012)</w:t>
            </w:r>
            <w:r w:rsidRPr="00843724">
              <w:rPr>
                <w:szCs w:val="22"/>
              </w:rPr>
              <w:fldChar w:fldCharType="end"/>
            </w:r>
            <w:r w:rsidRPr="00843724">
              <w:rPr>
                <w:rFonts w:ascii="Times New Roman" w:hAnsi="Times New Roman" w:cs="Times New Roman"/>
                <w:b w:val="0"/>
                <w:szCs w:val="22"/>
              </w:rPr>
              <w:t xml:space="preserve">, trees (2,916) </w:t>
            </w:r>
            <w:r w:rsidRPr="00843724">
              <w:rPr>
                <w:szCs w:val="22"/>
              </w:rPr>
              <w:fldChar w:fldCharType="begin" w:fldLock="1"/>
            </w:r>
            <w:r w:rsidRPr="00843724">
              <w:rPr>
                <w:rFonts w:ascii="Times New Roman" w:hAnsi="Times New Roman" w:cs="Times New Roman"/>
                <w:b w:val="0"/>
                <w:szCs w:val="22"/>
                <w:lang w:val="en-GB"/>
              </w:rPr>
              <w:instrText>ADDIN CSL_CITATION { "citationItems" : [ { "id" : "ITEM-1", "itemData" : { "URL" : "http://prof.icb.ufmg.br/treeatlan/treeatlanE_0_index.htm", "id" : "ITEM-1", "issued" : { "date-parts" : [ [ "0" ] ] }, "title" : "Tree flora of the Neotropical Region", "type" : "webpage" }, "uris" : [ "http://www.mendeley.com/documents/?uuid=7faa4565-f8e8-307d-a6ee-39b421ace302" ] } ], "mendeley" : { "formattedCitation" : "(\u201cTree flora of the Neotropical Region,\u201d n.d.)", "plainTextFormattedCitation" : "(\u201cTree flora of the Neotropical Region,\u201d n.d.)", "previouslyFormattedCitation" : "(\u201cTree flora of the Neotropical Region,\u201d n.d.)"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en-GB"/>
              </w:rPr>
              <w:t>(“Tree flora of the Neotropical Region,” n.d.)</w:t>
            </w:r>
            <w:r w:rsidRPr="00843724">
              <w:rPr>
                <w:szCs w:val="22"/>
              </w:rPr>
              <w:fldChar w:fldCharType="end"/>
            </w:r>
            <w:r w:rsidRPr="00843724">
              <w:rPr>
                <w:szCs w:val="22"/>
              </w:rPr>
              <w:t>.</w:t>
            </w:r>
          </w:p>
        </w:tc>
      </w:tr>
      <w:tr w:rsidR="006831BC" w:rsidRPr="00843724" w14:paraId="4E1433D9" w14:textId="77777777" w:rsidTr="006831BC">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6647083F" w14:textId="77777777" w:rsidR="00D90B1D" w:rsidRPr="00843724" w:rsidRDefault="00D90B1D" w:rsidP="007D620C">
            <w:pPr>
              <w:pStyle w:val="Normal1"/>
              <w:spacing w:after="40"/>
              <w:rPr>
                <w:rFonts w:ascii="Times New Roman" w:hAnsi="Times New Roman" w:cs="Times New Roman"/>
                <w:b w:val="0"/>
                <w:bCs w:val="0"/>
                <w:i/>
                <w:iCs/>
                <w:lang w:val="en-US"/>
              </w:rPr>
            </w:pPr>
            <w:r w:rsidRPr="00843724">
              <w:rPr>
                <w:rFonts w:ascii="Times New Roman" w:eastAsia="Times New Roman" w:hAnsi="Times New Roman" w:cs="Times New Roman"/>
                <w:b w:val="0"/>
                <w:i/>
                <w:lang w:val="en-US" w:eastAsia="pt-BR"/>
              </w:rPr>
              <w:t>Temperate grasslands</w:t>
            </w:r>
          </w:p>
        </w:tc>
      </w:tr>
      <w:tr w:rsidR="006831BC" w:rsidRPr="008B3BCD" w14:paraId="7E09E745"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7815F94D" w14:textId="18842CB2" w:rsidR="00D90B1D" w:rsidRPr="00843724" w:rsidRDefault="003E0D07" w:rsidP="00F0314B">
            <w:pPr>
              <w:spacing w:after="40"/>
              <w:jc w:val="both"/>
              <w:rPr>
                <w:rFonts w:ascii="Times New Roman" w:hAnsi="Times New Roman" w:cs="Times New Roman"/>
                <w:b w:val="0"/>
                <w:bCs w:val="0"/>
                <w:i/>
                <w:iCs/>
                <w:szCs w:val="22"/>
                <w:u w:val="single"/>
                <w:lang w:val="es-ES"/>
              </w:rPr>
            </w:pPr>
            <w:r w:rsidRPr="00843724">
              <w:rPr>
                <w:rFonts w:ascii="Times New Roman" w:hAnsi="Times New Roman" w:cs="Times New Roman"/>
                <w:b w:val="0"/>
                <w:szCs w:val="22"/>
                <w:lang w:val="es-ES"/>
              </w:rPr>
              <w:t>Rí</w:t>
            </w:r>
            <w:r w:rsidR="00D90B1D" w:rsidRPr="00843724">
              <w:rPr>
                <w:rFonts w:ascii="Times New Roman" w:hAnsi="Times New Roman" w:cs="Times New Roman"/>
                <w:b w:val="0"/>
                <w:szCs w:val="22"/>
                <w:lang w:val="es-ES"/>
              </w:rPr>
              <w:t xml:space="preserve">o </w:t>
            </w:r>
            <w:r w:rsidR="00F0314B" w:rsidRPr="00843724">
              <w:rPr>
                <w:rFonts w:ascii="Times New Roman" w:hAnsi="Times New Roman" w:cs="Times New Roman"/>
                <w:b w:val="0"/>
                <w:szCs w:val="22"/>
                <w:lang w:val="es-ES"/>
              </w:rPr>
              <w:t>de la Plata g</w:t>
            </w:r>
            <w:r w:rsidR="00D90B1D" w:rsidRPr="00843724">
              <w:rPr>
                <w:rFonts w:ascii="Times New Roman" w:hAnsi="Times New Roman" w:cs="Times New Roman"/>
                <w:b w:val="0"/>
                <w:szCs w:val="22"/>
                <w:lang w:val="es-ES"/>
              </w:rPr>
              <w:t xml:space="preserve">rasslands: grass species (550) </w:t>
            </w:r>
            <w:r w:rsidR="00D90B1D" w:rsidRPr="00843724">
              <w:rPr>
                <w:szCs w:val="22"/>
              </w:rPr>
              <w:fldChar w:fldCharType="begin" w:fldLock="1"/>
            </w:r>
            <w:r w:rsidR="00D90B1D" w:rsidRPr="00843724">
              <w:rPr>
                <w:rFonts w:ascii="Times New Roman" w:hAnsi="Times New Roman" w:cs="Times New Roman"/>
                <w:b w:val="0"/>
                <w:szCs w:val="22"/>
                <w:lang w:val="es-ES"/>
              </w:rPr>
              <w:instrText>ADDIN CSL_CITATION { "citationItems" : [ { "id" : "ITEM-1", "itemData" : { "author" : [ { "dropping-particle" : "", "family" : "Bilenca", "given" : "D.", "non-dropping-particle" : "", "parse-names" : false, "suffix" : "" }, { "dropping-particle" : "", "family" : "Mi\u00f1arro", "given" : "F.", "non-dropping-particle" : "", "parse-names" : false, "suffix" : "" } ], "id" : "ITEM-1", "issued" : { "date-parts" : [ [ "2004" ] ] }, "number-of-pages" : "353", "publisher" : "Fundaci\u00f3n Vida Silvestre", "publisher-place" : "Buenos Aires, Argentina", "title" : "Identificaci\u00f3n de \u00c1reas Valiosas de Pastizal (AVPs) en las Pampas y Campos de Argentina, Uruguay y Sur de Brazil", "type" : "book" }, "uris" : [ "http://www.mendeley.com/documents/?uuid=c8d5712e-eeee-4136-808f-a7c405424fd8" ] } ], "mendeley" : { "formattedCitation" : "(Bilenca &amp; Mi\u00f1arro, 2004)", "plainTextFormattedCitation" : "(Bilenca &amp; Mi\u00f1arro, 2004)", "previouslyFormattedCitation" : "(Bilenca &amp; Mi\u00f1arro, 2004)" }, "properties" : { "noteIndex" : 0 }, "schema" : "https://github.com/citation-style-language/schema/raw/master/csl-citation.json" }</w:instrText>
            </w:r>
            <w:r w:rsidR="00D90B1D" w:rsidRPr="00843724">
              <w:rPr>
                <w:szCs w:val="22"/>
              </w:rPr>
              <w:fldChar w:fldCharType="separate"/>
            </w:r>
            <w:r w:rsidR="00D90B1D" w:rsidRPr="00843724">
              <w:rPr>
                <w:rFonts w:ascii="Times New Roman" w:hAnsi="Times New Roman" w:cs="Times New Roman"/>
                <w:b w:val="0"/>
                <w:noProof/>
                <w:szCs w:val="22"/>
                <w:lang w:val="es-ES"/>
              </w:rPr>
              <w:t>(Bilenca &amp; Miñarro, 2004)</w:t>
            </w:r>
            <w:r w:rsidR="00D90B1D" w:rsidRPr="00843724">
              <w:rPr>
                <w:szCs w:val="22"/>
              </w:rPr>
              <w:fldChar w:fldCharType="end"/>
            </w:r>
            <w:r w:rsidR="00D90B1D" w:rsidRPr="00843724">
              <w:rPr>
                <w:rFonts w:ascii="Times New Roman" w:hAnsi="Times New Roman" w:cs="Times New Roman"/>
                <w:b w:val="0"/>
                <w:szCs w:val="22"/>
                <w:lang w:val="es-ES"/>
              </w:rPr>
              <w:t xml:space="preserve">. </w:t>
            </w:r>
          </w:p>
        </w:tc>
      </w:tr>
      <w:tr w:rsidR="006831BC" w:rsidRPr="00843724" w14:paraId="06E72D2A"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5CFA3C46"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Drylands and deserts</w:t>
            </w:r>
          </w:p>
        </w:tc>
      </w:tr>
      <w:tr w:rsidR="006831BC" w:rsidRPr="00843724" w14:paraId="6C22C89D"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6DBC4EAA" w14:textId="51FE0DEA" w:rsidR="00D90B1D" w:rsidRPr="00843724" w:rsidRDefault="00D90B1D" w:rsidP="00F35848">
            <w:pPr>
              <w:widowControl w:val="0"/>
              <w:autoSpaceDE w:val="0"/>
              <w:autoSpaceDN w:val="0"/>
              <w:adjustRightInd w:val="0"/>
              <w:spacing w:after="40"/>
              <w:jc w:val="both"/>
              <w:rPr>
                <w:rFonts w:ascii="Times New Roman" w:hAnsi="Times New Roman" w:cs="Times New Roman"/>
                <w:szCs w:val="22"/>
              </w:rPr>
            </w:pPr>
            <w:r w:rsidRPr="00843724">
              <w:rPr>
                <w:rFonts w:ascii="Times New Roman" w:hAnsi="Times New Roman" w:cs="Times New Roman"/>
                <w:b w:val="0"/>
                <w:szCs w:val="22"/>
              </w:rPr>
              <w:t>Chilean winter rainfall deserts (broadly): plants (1,893)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"author" : [ { "dropping-particle" : "", "family" : "Arroyo", "given" : "M. T. K.", "non-dropping-particle" : "", "parse-names" : false, "suffix" : "" }, { "dropping-particle" : "", "family" : "Cavieres", "given" : "L.", "non-dropping-particle" : "", "parse-names" : false, "suffix" : "" } ], "container-title" : "Noticiero de Biolog\u00eda", "id" : "ITEM-1", "issue" : "2", "issued" : { "date-parts" : [ [ "1997" ] ] }, "page" : "48-56", "title" : "The Mediterranean-type climate flora of Central Chile - What do we know and how can we assure its protection", "type" : "article-journal", "volume" : "5" }, "uris" : [ "http://www.mendeley.com/documents/?uuid=5c913339-3afd-4029-abb5-3bb87ddc3fce" ] } ], "mendeley" : { "formattedCitation" : "(M. T. K. Arroyo &amp; Cavieres, 1997)", "manualFormatting" : "Arroyo &amp; Cavieres, 1997)", "plainTextFormattedCitation" : "(M. T. K. Arroyo &amp; Cavieres, 1997)", "previouslyFormattedCitation" : "(M. T. K. Arroyo &amp; Cavieres, 1997)"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Arroyo &amp; Cavieres, 1997)</w:t>
            </w:r>
            <w:r w:rsidRPr="00843724">
              <w:rPr>
                <w:szCs w:val="22"/>
              </w:rPr>
              <w:fldChar w:fldCharType="end"/>
            </w:r>
            <w:r w:rsidRPr="00843724">
              <w:rPr>
                <w:rFonts w:ascii="Times New Roman" w:hAnsi="Times New Roman" w:cs="Times New Roman"/>
                <w:b w:val="0"/>
                <w:szCs w:val="22"/>
              </w:rPr>
              <w:t xml:space="preserve">; Pacific Coastal Lomas: plants (1,200)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"abstract" : "Se presenta un cat\u00e1logo floristico de las lomas costeras del Per\u00fa que consiste de una Gnetophyta (gimnospenna); 14 familias, 68 generos y 145 especies de Liliopsida (monocotiledoneas); y 68 familias, 316 generos y 701 especies de Magnoliopsida. (dicotiledoneas), haciendo un total de 83 familias, 385 generos y 847 especies. El cat\u00e1logo constituye un consolidado de la flora lomal; cuyas fluentes de registros incluyen muchos a\u00f1os de recoleccion de muestras en el campo, asi como consultas en herbarios de Per\u00fa. Estados Unidos y Europa. Los registros estan respaldados por colecciones de herbario, de las cuales, la mayor\u00eda son accesibles via bases de datos y asociadas con imagenes de herbario digitalizadas. Se presenta tambien una breve descripcion de las Lomas peruanas, una revision hist\u00f3rica de los esfuerzos de recolecci\u00f3n, y una discusion de los factores que influyen en la din\u00e1mica lomal. Mi mismo se proporcionan mapas de localidades y una lis</w:instrText>
            </w:r>
            <w:r w:rsidRPr="00843724">
              <w:rPr>
                <w:rFonts w:ascii="Times New Roman" w:hAnsi="Times New Roman" w:cs="Times New Roman"/>
                <w:b w:val="0"/>
                <w:szCs w:val="22"/>
                <w:lang w:val="fr-FR"/>
              </w:rPr>
              <w:instrText>ta de formaciones de lomas con coordenadas aproximadas.", "author" : [ { "dropping-particle" : "", "family" : "Dillon", "given" : "Michael O.", "non-dropping-particle" : "", "parse-names" : false, "suffix" : "" }, { "dropping-particle" : "", "family" : "Leiva Gonz\u00e1lez", "given" : "Segundo", "non-dropping-particle" : "", "parse-names" : false, "suffix" : "" }, { "dropping-particle" : "", "family" : "Zapata Cruz", "given" : "Mario", "non-dropping-particle" : "", "parse-names" : false, "suffix" : "" }, { "dropping-particle" : "", "family" : "Lezama Asencio", "given" : "Pedro", "non-dropping-particle" : "", "parse-names" : false, "suffix" : "" }, { "dropping-particle" : "", "family" : "Quipuscoa Silvestre", "given" : "Victor", "non-dropping-particle" : "", "parse-names" : false, "suffix" : "" } ], "container-title" : "Arnaldoa", "id" : "ITEM-1", "issue" : "1", "issued" : { "date-parts" : [ [ "2011" ] ] }, "page" : "7-32", "title" : "Floristic checklist of the Peruvian lomas formations", "type" : "article-journal", "volume" : "18" }, "uris" : [ "http://www.mendeley.com/documents/?uuid=c770361d-bd7c-4973-b826-a883dbd86bc4" ] } ], "mendeley" : { "formattedCitation" : "(Dillon et al., 2011)", "manualFormatting" : "(Dillon et al., 2011)", "plainTextFormattedCitation" : "(Dillon et al., 2011)", "previouslyFormattedCitation" : "(Dillon et al., 2011)"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fr-FR"/>
              </w:rPr>
              <w:t xml:space="preserve">(Dillon </w:t>
            </w:r>
            <w:r w:rsidRPr="00843724">
              <w:rPr>
                <w:rFonts w:ascii="Times New Roman" w:hAnsi="Times New Roman" w:cs="Times New Roman"/>
                <w:b w:val="0"/>
                <w:i/>
                <w:noProof/>
                <w:szCs w:val="22"/>
                <w:lang w:val="fr-FR"/>
              </w:rPr>
              <w:t>et al.</w:t>
            </w:r>
            <w:r w:rsidRPr="00843724">
              <w:rPr>
                <w:rFonts w:ascii="Times New Roman" w:hAnsi="Times New Roman" w:cs="Times New Roman"/>
                <w:b w:val="0"/>
                <w:noProof/>
                <w:szCs w:val="22"/>
                <w:lang w:val="fr-FR"/>
              </w:rPr>
              <w:t>, 2011)</w:t>
            </w:r>
            <w:r w:rsidRPr="00843724">
              <w:rPr>
                <w:szCs w:val="22"/>
              </w:rPr>
              <w:fldChar w:fldCharType="end"/>
            </w:r>
            <w:r w:rsidRPr="00843724">
              <w:rPr>
                <w:rFonts w:ascii="Times New Roman" w:hAnsi="Times New Roman" w:cs="Times New Roman"/>
                <w:b w:val="0"/>
                <w:szCs w:val="22"/>
                <w:lang w:val="fr-FR"/>
              </w:rPr>
              <w:t xml:space="preserve">; Caatinga: plants (2,400-4,230) </w:t>
            </w:r>
            <w:r w:rsidRPr="00843724">
              <w:rPr>
                <w:szCs w:val="22"/>
              </w:rPr>
              <w:fldChar w:fldCharType="begin" w:fldLock="1"/>
            </w:r>
            <w:r w:rsidRPr="00843724">
              <w:rPr>
                <w:rFonts w:ascii="Times New Roman" w:hAnsi="Times New Roman" w:cs="Times New Roman"/>
                <w:b w:val="0"/>
                <w:szCs w:val="22"/>
                <w:lang w:val="fr-FR"/>
              </w:rPr>
              <w:instrText>ADDIN CSL_CITATION { "citationItems" : [ { "id" : "ITEM-1", "itemData" : { "author" : [ { "dropping-particle" : "", "family" : "Moro", "given" : "M.F.", "non-dropping-particle" : "", "parse-names" : false, "suffix" : "" }, { "dropping-particle" : "", "family" : "Lughadha", "given" : "E.", "non-dropping-particle" : "", "parse-names" : false, "suffix" : "" }, { "dropping-particle" : "", "family" : "Filer", "given" : "D.", "non-dropping-particle" : "", "parse-names" : false, "suffix" : "" }, { "dropping-particle" : "", "family" : "Soares de Ara\u00fajo", "given" : "F.", "non-dropping-particle" : "", "parse-names" : false, "suffix" : "" }, { "dropping-particle" : "", "family" : "Martins", "given" : "F.", "non-dropping-particle" : "", "parse-names" : false, "suffix" : "" } ], "container-title" : "Phytotaxa", "id" : "ITEM-1", "issue" : "1", "issued" : { "date-parts" : [ [ "2014" ] ] }, "page" : "1-118", "title" : "A catalogue of the vascular plants of the Caatinga Phytogeographical Domain: a synthesis of floristic and phytosociological surveys", "type" : "article-journal", "volume" : "160" }, "uris" : [ "http://www.mendeley.com/documents/?uuid=ec6cfb9f-031c-4a98-9d78-2364288a432a" ] } ], "mendeley" : { "formattedCitation" : "(Moro, Lughadha, Filer, Soares de Ara\u00fajo, &amp; Martins, 2014)", "manualFormatting" : "(Moro et al., 2014)", "plainTextFormattedCitation" : "(Moro, Lughadha, Filer, Soares de Ara\u00fajo, &amp; Martins, 2014)", "previouslyFormattedCitation" : "(Moro, Lughadha, Filer, Soares de Ara\u00fajo, &amp; Martins, 2014)"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fr-FR"/>
              </w:rPr>
              <w:t>(Moro</w:t>
            </w:r>
            <w:r w:rsidRPr="00843724">
              <w:rPr>
                <w:rFonts w:ascii="Times New Roman" w:hAnsi="Times New Roman" w:cs="Times New Roman"/>
                <w:b w:val="0"/>
                <w:i/>
                <w:noProof/>
                <w:szCs w:val="22"/>
                <w:lang w:val="fr-FR"/>
              </w:rPr>
              <w:t xml:space="preserve"> et al</w:t>
            </w:r>
            <w:r w:rsidRPr="00843724">
              <w:rPr>
                <w:rFonts w:ascii="Times New Roman" w:hAnsi="Times New Roman" w:cs="Times New Roman"/>
                <w:b w:val="0"/>
                <w:noProof/>
                <w:szCs w:val="22"/>
                <w:lang w:val="fr-FR"/>
              </w:rPr>
              <w:t>., 2014)</w:t>
            </w:r>
            <w:r w:rsidRPr="00843724">
              <w:rPr>
                <w:szCs w:val="22"/>
              </w:rPr>
              <w:fldChar w:fldCharType="end"/>
            </w:r>
            <w:r w:rsidRPr="00843724">
              <w:rPr>
                <w:rFonts w:ascii="Times New Roman" w:hAnsi="Times New Roman" w:cs="Times New Roman"/>
                <w:b w:val="0"/>
                <w:szCs w:val="22"/>
                <w:lang w:val="fr-FR"/>
              </w:rPr>
              <w:t xml:space="preserve">, fishes (185), lizards (44), amphibians (8), snakes (47), turtles (4), crocodilians (3), amphibians (49) </w:t>
            </w:r>
            <w:r w:rsidRPr="00843724">
              <w:rPr>
                <w:szCs w:val="22"/>
              </w:rPr>
              <w:fldChar w:fldCharType="begin" w:fldLock="1"/>
            </w:r>
            <w:r w:rsidRPr="00843724">
              <w:rPr>
                <w:rFonts w:ascii="Times New Roman" w:hAnsi="Times New Roman" w:cs="Times New Roman"/>
                <w:b w:val="0"/>
                <w:szCs w:val="22"/>
                <w:lang w:val="fr-FR"/>
              </w:rPr>
              <w:instrText>ADDIN CSL_CITATION { "citationItems" : [ { "id" : "ITEM-1", "itemData" : { "URL" : "https://www.worldwildlife.org/ecoregions/nt1304", "author" : [ { "dropping-particle" : "", "family" : "World Wildlife Fund (WWF)", "given" : "", "non-dropping-particle" : "", "parse-names" : false, "suffix" : "" } ], "container-title" : "World Wildlife Fund", "id" : "ITEM-1", "issued" : { "date-parts" : [ [ "2017" ] ] }, "title" : "Northern South America: Northeastern Brazil", "type" : "webpage" }, "uris" : [ "http://www.mendeley.com/documents/?uuid=447cb704-df0e-304f-b12a-f4dcf425d6b0" ] } ], "mendeley" : { "formattedCitation" : "(World Wildlife Fund (WWF), 2017b)", "plainTextFormattedCitation" : "(World Wildlife Fund (WWF), 2017b)", "previouslyFormattedCitation" : "(World Wildlife Fund (WWF), 2017b)" }, "properties" : { "noteIndex" : 0 }, "schema" : "https://github.com/citation-style-language/schema/raw/master/csl-citation.json" }</w:instrText>
            </w:r>
            <w:r w:rsidRPr="00843724">
              <w:rPr>
                <w:szCs w:val="22"/>
              </w:rPr>
              <w:fldChar w:fldCharType="separate"/>
            </w:r>
            <w:r w:rsidR="00F35848" w:rsidRPr="00843724">
              <w:rPr>
                <w:rFonts w:ascii="Times New Roman" w:hAnsi="Times New Roman" w:cs="Times New Roman"/>
                <w:b w:val="0"/>
                <w:noProof/>
                <w:szCs w:val="22"/>
                <w:lang w:val="fr-FR"/>
              </w:rPr>
              <w:t xml:space="preserve"> (WWF</w:t>
            </w:r>
            <w:r w:rsidRPr="00843724">
              <w:rPr>
                <w:rFonts w:ascii="Times New Roman" w:hAnsi="Times New Roman" w:cs="Times New Roman"/>
                <w:b w:val="0"/>
                <w:noProof/>
                <w:szCs w:val="22"/>
                <w:lang w:val="fr-FR"/>
              </w:rPr>
              <w:t>, 2017b)</w:t>
            </w:r>
            <w:r w:rsidRPr="00843724">
              <w:rPr>
                <w:szCs w:val="22"/>
              </w:rPr>
              <w:fldChar w:fldCharType="end"/>
            </w:r>
            <w:r w:rsidRPr="00843724">
              <w:rPr>
                <w:rFonts w:ascii="Times New Roman" w:hAnsi="Times New Roman" w:cs="Times New Roman"/>
                <w:b w:val="0"/>
                <w:szCs w:val="22"/>
                <w:lang w:val="fr-FR"/>
              </w:rPr>
              <w:t xml:space="preserve">, birds (519) </w:t>
            </w:r>
            <w:r w:rsidRPr="00843724">
              <w:rPr>
                <w:szCs w:val="22"/>
              </w:rPr>
              <w:fldChar w:fldCharType="begin" w:fldLock="1"/>
            </w:r>
            <w:r w:rsidRPr="00843724">
              <w:rPr>
                <w:rFonts w:ascii="Times New Roman" w:hAnsi="Times New Roman" w:cs="Times New Roman"/>
                <w:b w:val="0"/>
                <w:szCs w:val="22"/>
                <w:lang w:val="fr-FR"/>
              </w:rPr>
              <w:instrText>ADDIN CSL_CITATION { "citationItems" : [ { "id" : "ITEM-1", "itemData" : { "author" : [ { "dropping-particle" : "", "family" : "Silva", "given" : "J. M. C.", "non-dropping-particle" : "", "parse-names" : false, "suffix" : "" }, { "dropping-particle" : "", "family" : "Souza", "given" : "M. A.", "non-dropping-particle" : "", "parse-names" : false, "suffix" : "" }, { "dropping-particle" : "", "family" : "Bieber", "</w:instrText>
            </w:r>
            <w:r w:rsidRPr="00843724">
              <w:rPr>
                <w:rFonts w:ascii="Times New Roman" w:hAnsi="Times New Roman" w:cs="Times New Roman"/>
                <w:b w:val="0"/>
                <w:szCs w:val="22"/>
              </w:rPr>
              <w:instrText>given" : "A.</w:instrText>
            </w:r>
            <w:r w:rsidRPr="00843724">
              <w:rPr>
                <w:rFonts w:ascii="Times New Roman" w:hAnsi="Times New Roman" w:cs="Times New Roman"/>
                <w:b w:val="0"/>
                <w:szCs w:val="22"/>
                <w:lang w:val="es-ES"/>
              </w:rPr>
              <w:instrText xml:space="preserve"> G. D.", "non-dropping-particle" : "", "parse-names" : false, "suffix" : "" }, { "dropping-particle" : "", "family" : "Carlos", "given" : "C. J.", "non-dropping-particle" : "", "parse-names" : false, "suffix" : "" } ], "container-title" : "Ecologia e Conserva\u00e7\u00e3o da Caatinga", "editor" : [ { "dropping-particle" : "", "family" : "Leal", "given" : "I. R.", "non-dropping-particle" : "", "parse-names" : false, "suffix" : "" }, { "dropping-particle" : "", "family" : "Tabarelli", "given" : "M.", "non-dropping-particle" : "", "parse-names" : false, "suffix" : "" }, { "dropping-particle" : "", "family" : "Silva", "given" : "J. M. C.", "non-dropping-particle" : "", "parse-names" : false, "suffix" : "" } ], "id" : "ITEM-1", "issued" : { "date-parts" : [ [ "2003" ] ] }, "page" : "237-273", "publisher" : "Editora Universitaria, Universidade Federal de Pemambuco", "publisher-place" : "Racife, Brazil", "title" : "Aves da Caatinga: status, uso do habitat e sensitividade", "type" : "chapter" }, "uris" : [ "http://www.mendeley.com/documents/?uuid=ea437c0f-7ca0-3cdc-8bfc-315e32e3a220" ] } ], "mendeley" : { "formattedCitation" : "(J. M. C. Silva, Souza, Bieber, &amp; Carlos, 2003)", "manualFormatting" : "(Silva et al., 2003)", "plainTextFormattedCitation" : "(J. M. C. Silva, Souza, Bieber, &amp; Carlos, 2003)", "previouslyFormattedCitation" : "(J. M. C. Silva, Souza, Bieber, &amp; Carlos, 2003)"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(Silva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2003)</w:t>
            </w:r>
            <w:r w:rsidRPr="00843724">
              <w:rPr>
                <w:szCs w:val="22"/>
              </w:rPr>
              <w:fldChar w:fldCharType="end"/>
            </w:r>
            <w:r w:rsidRPr="00843724">
              <w:rPr>
                <w:rFonts w:ascii="Times New Roman" w:hAnsi="Times New Roman" w:cs="Times New Roman"/>
                <w:b w:val="0"/>
                <w:szCs w:val="22"/>
              </w:rPr>
              <w:t xml:space="preserve">, mammals (148)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"author" : [ { "dropping-particle" : "", "family" : "Oliveira", "given" : "Jo\u00e3o Alves", "non-dropping-particle" : "", "parse-names" : false, "suffix" : "" } ], "container-title" : "Biodiversidade da Caatinga: \u00c1reas e A\u00e7\u00f5es Priorit\u00e1rias para a Conserva\u00e7\u00e3o", "editor" : [ { "dropping-particle" : "", "family" : "Silva", "given" : "J.M.C. da.", "non-dropping-particle" : "", "parse-names" : false, "suffix" : "" }, { "dropping-particle" : "", "family" : "Tabarelli", "given" : "M.", "non-dropping-particle" : "", "parse-names" : false, "suffix" : "" }, { "dropping-particle" : "", "family" : "Fonseca", "given" : "T.M.", "non-dropping-particle" : "", "parse-names" : false, "suffix" : "" }, { "dropping-particle" : "", "family" : "Lins", "given" : "L.V.", "non-dropping-particle" : "", "parse-names" : false, "suffix" : "" } ], "id" : "ITEM-1", "issued" : { "date-parts" : [ [ "2003" ] ] }, "page" : "263-282", "publisher" : "Minist\u00e9rio do Meio Ambiente/Universidade Federal de Pernambuco", "publisher-place" : "Brasilia D.F., Brazil", "title" : "Diversidade de mam\u00edferos e o estabelecimento de \u00e1reas priorit\u00e1rias para a conserva\u00e7\u00e3o do bioma Caatinga", "type" : "chapter" }, "uris" : [ "http://www.mendeley.com/documents/?uuid=40bfe20d-aaa5-347b-8dec-edc035a7549a" ] } ], "mendeley" : { "formattedCitation" : "(J. A. Oliveira, 2003)", "manualFormatting" : "(Oliveira, 2003)", "plainTextFormattedCitation" : "(J. A. Oliveira, 2003)", "previouslyFormattedCitation" : "(J. A. Oliveira, 2003)"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(Oliveira, 2003)</w:t>
            </w:r>
            <w:r w:rsidRPr="00843724">
              <w:rPr>
                <w:szCs w:val="22"/>
              </w:rPr>
              <w:fldChar w:fldCharType="end"/>
            </w:r>
            <w:r w:rsidRPr="00843724">
              <w:rPr>
                <w:rFonts w:ascii="Times New Roman" w:hAnsi="Times New Roman" w:cs="Times New Roman"/>
                <w:b w:val="0"/>
                <w:szCs w:val="22"/>
              </w:rPr>
              <w:t xml:space="preserve">. </w:t>
            </w:r>
          </w:p>
        </w:tc>
      </w:tr>
      <w:tr w:rsidR="006831BC" w:rsidRPr="00843724" w14:paraId="304AC9AF"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0D772ECB" w14:textId="77777777" w:rsidR="00D90B1D" w:rsidRPr="00843724" w:rsidRDefault="00D90B1D" w:rsidP="007D620C">
            <w:pPr>
              <w:spacing w:after="40"/>
              <w:jc w:val="both"/>
              <w:rPr>
                <w:rFonts w:ascii="Times New Roman" w:hAnsi="Times New Roman" w:cs="Times New Roman"/>
                <w:b w:val="0"/>
                <w:bCs w:val="0"/>
                <w:i/>
                <w:iCs/>
                <w:szCs w:val="22"/>
                <w:u w:val="single"/>
              </w:rPr>
            </w:pPr>
            <w:r w:rsidRPr="00843724">
              <w:rPr>
                <w:rFonts w:ascii="Times New Roman" w:hAnsi="Times New Roman" w:cs="Times New Roman"/>
                <w:b w:val="0"/>
                <w:i/>
                <w:szCs w:val="22"/>
              </w:rPr>
              <w:t>Wetlands: peatlands, mires, bogs</w:t>
            </w:r>
          </w:p>
        </w:tc>
      </w:tr>
      <w:tr w:rsidR="006831BC" w:rsidRPr="008B3BCD" w14:paraId="5C2C5877" w14:textId="77777777" w:rsidTr="006831BC">
        <w:tc>
          <w:tcPr>
            <w:cnfStyle w:val="001000000000" w:firstRow="0" w:lastRow="0" w:firstColumn="1" w:lastColumn="0" w:oddVBand="0" w:evenVBand="0" w:oddHBand="0" w:evenHBand="0" w:firstRowFirstColumn="0" w:firstRowLastColumn="0" w:lastRowFirstColumn="0" w:lastRowLastColumn="0"/>
            <w:tcW w:w="5000" w:type="pct"/>
          </w:tcPr>
          <w:p w14:paraId="4028114C" w14:textId="08788D97" w:rsidR="00D90B1D" w:rsidRPr="00843724" w:rsidRDefault="00D90B1D" w:rsidP="00F35848">
            <w:pPr>
              <w:spacing w:after="40"/>
              <w:jc w:val="both"/>
              <w:rPr>
                <w:rFonts w:ascii="Times New Roman" w:hAnsi="Times New Roman" w:cs="Times New Roman"/>
                <w:b w:val="0"/>
                <w:szCs w:val="22"/>
                <w:lang w:val="es-CO"/>
              </w:rPr>
            </w:pPr>
            <w:r w:rsidRPr="00843724">
              <w:rPr>
                <w:rFonts w:ascii="Times New Roman" w:hAnsi="Times New Roman" w:cs="Times New Roman"/>
                <w:b w:val="0"/>
                <w:szCs w:val="22"/>
              </w:rPr>
              <w:t xml:space="preserve">Amazonian wetlands: plants (&gt;1,390), endemic trees (68)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"10.1002/aqc.2386", "ISBN" : "10527613", "ISSN" : "10527613", "abstract" : "1. Although 20% of Brazilian territory is covered by wetlands, wetland inventories are still incomplete. In 1993, Brazil signed the Ramsar Convention but a coherent national policy for the sustainable management and protection of wetlands has yet to be established. 2. Major gaps in the definition of a specific wetland policy are twofold: (1) the lack of standardized criteria by which wetlands are defined and delineated that reflects the specific ecological conditions of the country and (2) the lack of a national classification of wetlands that takes into account specific hydrological conditions and respective plant communities. 3. In recent years, efforts have been made at a regional level to improve public awareness of the ecology of Brazilian wetlands, their benefits to society, and the major threats endangering them. Studies have shown that wetlands play a crucial role in the regional hydrological cycle and provide multiple benefits for local populations. Furthermore, Brazilian wetlands contribute significantly to South American biodiversity. Therefore, wetland conservation and sustainable management should be given high legislative priority. 4. This article provides a synthesis of the current body of knowledge on the distribution, hydrology, and vegetation cover of Brazilian wetlands. Their definition, delineation, and classification at the national level are proposed in order to establish a scientific basis for discussions on a nationalwetland policy thatmandates the sustainablemanagement of Brazil\u2019s extremely diverse and complex wetlands. This goal is particularly urgent in the face of the continuing and dramatic deterioration of wetlands resulting from large-scale agro-industrial expansion, and hydroelectric projects as well as the projected impact of global climate change on hydrological cycles.", "author" : [ { "dropping-particle" : "", "family" : "Junk", "given" : "W.J.", "non-dropping-particle" : "", "parse-names" : false, "suffix" : "" }, { "dropping-particle" : "", "family" : "Piedade", "given" : "M.T.F.", "non-dropping-particle" : "", "parse-names" : false, "suffix" : "" }, { "dropping-particle" : "", "family" : "Lourival", "given" : "R.", "non-dropping-particle" : "", "parse-names" : false, "suffix" : "" }, { "dropping-particle" : "", "family" : "Wittmann", "given" : "F.", "non-dropping-particle" : "", "parse-names" : false, "suffix" : "" }, { "dropping-particle" : "", "family" : "Kandus", "given" : "P.", "non-dropping-particle" : "", "parse-names" : false, "suffix" : "" }, { "dropping-particle" : "", "family" : "Lacerda", "given" : "L. D.", "non-dropping-particle" : "", "parse-names" : false, "suffix" : "" }, { "dropping-particle" : "", "family" : "Bozelli", "given" : "R. L.", "non-dropping-particle" : "", "parse-names" : false, "suffix" : "" }, { "dropping-particle" : "", "family" : "Esteves", "given" : "F. A.", "non-dropping-particle" : "", "parse-names" : false, "suffix" : "" }, { "dropping-particle" : "", "family" : "Nunes da Cunha", "given" : "C.", "non-dropping-particle" : "", "parse-names" : false, "suffix" : "" }, { "dropping-particle" : "", "family" : "Maltchik", "given" : "L.", "non-dropping-particle" : "", "parse-names" : false, "suffix" : "" }, { "dropping-particle" : "", "family" : "Sch\u00f6ngart", "given" : "J.", "non-dropping-particle" : "", "parse-names" : false, "suffix" : "" }, { "dropping-particle" : "", "family" : "Schaeffer-Novelli", "given" : "Y.", "non-dropping-particle" : "", "parse-names" : false, "suffix" : "" }, { "dropping-particle" : "", "family" : "Agostinho", "given" : "A. A.", "non-dropping-particle" : "", "parse-names" : false, "suffix" : "" } ], "container-title" : "Aquatic Conservation: Marine and Freshwater Ecosystems", "id" : "ITEM-1", "issue" : "1", "issued" : { "date-parts" : [ [ "2014" ] ] }, "page" : "5-22", "title" : "Brazilian wetlands: their definition, delineation, and classification for research, sustainable management, and protection", "type" : "article-journal", "volume" : "24" }, "uris" : [ "http://www.mendeley.com/documents/?uuid=1da19411-318a-4a51-ae52-84294dae71e0" ] } ], "mendeley" : { "formattedCitation" : "(Junk et al. 2014)", "manualFormatting" : "(Junk et al., 2014)", "plainTextFormattedCitation" : "(Junk et al. 2014)", "previouslyFormattedCitation" : "(Junk et al. 2014)"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rPr>
              <w:t xml:space="preserve">(Junk </w:t>
            </w:r>
            <w:r w:rsidRPr="00843724">
              <w:rPr>
                <w:rFonts w:ascii="Times New Roman" w:hAnsi="Times New Roman" w:cs="Times New Roman"/>
                <w:b w:val="0"/>
                <w:i/>
                <w:noProof/>
                <w:szCs w:val="22"/>
              </w:rPr>
              <w:t>et al</w:t>
            </w:r>
            <w:r w:rsidRPr="00843724">
              <w:rPr>
                <w:rFonts w:ascii="Times New Roman" w:hAnsi="Times New Roman" w:cs="Times New Roman"/>
                <w:b w:val="0"/>
                <w:noProof/>
                <w:szCs w:val="22"/>
              </w:rPr>
              <w:t>., 2014)</w:t>
            </w:r>
            <w:r w:rsidRPr="00843724">
              <w:rPr>
                <w:szCs w:val="22"/>
              </w:rPr>
              <w:fldChar w:fldCharType="end"/>
            </w:r>
            <w:r w:rsidRPr="00843724">
              <w:rPr>
                <w:rFonts w:ascii="Times New Roman" w:hAnsi="Times New Roman" w:cs="Times New Roman"/>
                <w:b w:val="0"/>
                <w:szCs w:val="22"/>
              </w:rPr>
              <w:t xml:space="preserve">; Brazilian Pantanal: plants (1,863), aquatic and terrestrial mammals (170), bats (46-floodplain), birds (655 floodplain and uplands), herpetofauna (135 Plains), fishes (263) </w:t>
            </w:r>
            <w:r w:rsidRPr="00843724">
              <w:rPr>
                <w:szCs w:val="22"/>
              </w:rPr>
              <w:fldChar w:fldCharType="begin" w:fldLock="1"/>
            </w:r>
            <w:r w:rsidRPr="00843724">
              <w:rPr>
                <w:rFonts w:ascii="Times New Roman" w:hAnsi="Times New Roman" w:cs="Times New Roman"/>
                <w:b w:val="0"/>
                <w:szCs w:val="22"/>
              </w:rPr>
              <w:instrText>ADDIN CSL_CITATION { "citationItems" : [ { "id" : "ITEM-1", "itemData" : { "DOI" : "10.1590/S1519-69842011000200005", "abstract" : "This is a review of current studies in diversity of the flora and main vegetation types in the Brazilian Pantanal. The flora of this wetland, nearly 2,000 species, constitutes a pool of elements of wide distribution and from more or less adjacent phytogeographic provinces, such as Cerrado, dry seasonal forests, Chaco, Amazonia and Atlantic Forest. The most numerous group includes wide-distribution species, mainly herbs, while the second contingent comes from the Cerrado. Endemic plants are rare, numbering only seven. The vegetation of the sedimentary floodplain is a mosaic of aquatics, floodable grasslands, riparian forests, savannas (cerrados), cerrado woodlands, dry forests, and a large area of mono-dominant savannas, and pioneer woodlands. The main vegetation types are briefly described with their characteristic species, and their estimated areas are given according to the latest mapping.", "author" : [ { "dropping-particle" : "", "family" : "Pott", "given" : "A.", "non-dropping-particle" : "", "parse-names" : false, "suffix" : "" }, { "dropping-particle" : "", "family" : "Oliveira", "given" : "A.K.M.", "non-dropping-particle" : "", "parse-names" : false, "suffix" : "" }, { "dropping-particle" : "", "family" : "Damasceno-Junior", "given" : "G.A.", "non-dropping-particle" : "", "parse-names" : false, "suffix" : "" }, { "dropping-particle" : "", "family" : "Silva", "given" : "J.S.V.", "non-dropping-particle" : "", "parse-names" : false, "suffix" : "" } ], "container-title" : "Brazilian Journal of Biology", "id" : "ITEM-1", "issue" : "1", "issued" : { "date-parts" : [ [ "2011", "4" ] ] }, "page" : "265-273", "publisher" : "Instituto Internacional de Ecologia", "title" : "Plant diversity of the Pantanal wetland", "type" : "article-journal", "volume" : "71" }, "uris" : [ "http://www.mendeley.com/documents/?uuid=1cb2243e-449e-32dd-8383-7c7e60d2b0ad" ] }, { "id" : "ITEM-2", "itemData" : { "DOI" : "10.1590/S1519-69842011000200001", "ISBN" : "15196984 (ISSN)", "ISSN" : "1678-4375", "PMID" : "21537595", "abstract" : "no abstract", "author" : [ { "dropping-particle" : "", "family" : "Alho", "given" : "C. J. R", "non-dropping-particle" : "", "parse-names" : false, "suffix" : "" } ], "container-title" : "Brazilian Journal of Biology", "id" : "ITEM-2", "issue" : "1 Suppl 1", "issued" : { "date-parts" : [ [ "2011" ] ] }, "page" : "229-232", "title" : "Biodiversity of the Pantanal: its magnitude, human occupation, environmental threats and challenges for conservation", "type" : "article-journal", "volume" : "71" }, "uris" : [ "http://www.mendeley.com/documents/?uuid=c6bc2bd7-93d2-379c-b0ef-fc75e2be1915" ] }, { "id" : "ITEM-3", "itemData" : { "DOI" : "10.1590/S1519-69842011000200010", "ISBN" : "1519-6984", "ISSN" : "1519-6984", "PMID" : "21537604", "abstract" : "We studied the bat fauna of the Pantanal floodplain and its surrounding plateaus in Mato Grosso do Sul, Brazil, based on the scientific collection at Universidade Anhanguera - Uniderp and on the Projeto Morcegos do Pantanal data bank at UFMS, comprising 9,037 captures of 56 species recorded from 1994 to 2007. The Pantanal surveys were carried out in the Nhecol\u00e2ndia, Aquidauana, Miranda, and Paraguai sub-regions; the uplands surveys took place in the Maracaju, Bodoquena, and Urucum formations. Bat specimens were mist-netted over 376 nights in 35 sites, predominantly near fruiting trees, bat shelters, and forest patches. In the floodplain 46 species were recorded (n = 6,292 individuals), and 44 species were found in the uplands (n = 2,745 individuals). Six families were recorded: Phyllostomidae (30 species), Molossidae (12 species), Verpertilionidae (nine species) Noctilionidae (two species), Emballorunidae (two species) and Mormoopidae (one species). The bat fauna was predominantly composed of insectivore (32) and frugivore (15) species. The frugivorous Artibeus planirostris (n = 3,101 individuals) was the commonest species in floodplain and uplands. Other common species were Myotis nigricans (n = 762), Molossus molossus (n = 692), Noctilio albiventris (n = 681), Platyrrhinus lineatus (n = 633), Sturnira lilium (n = 461), Carollia perspicillata (n = 451), Glossophaga soricina (n = 436), Artibeus lituratus (n = 320), and Desmodus rotundus (n = 281). In the floodplain there were three insectivores among the most common species, contrasting with the uplands dominated by the frugivores. The diversity for the 35 sites assembled (H' = 2.5) is comparable to that recorded for tropical forests. The bat fauna presented here represents 34% of the Brazilian bat species, and 62% of species reported for the Upper Paraguay River Basin. Additionally, five species are reported for the first time in Mato Grosso do Sul.", "author" : [ { "dropping-particle" : "", "family" : "Alho", "given" : "C.J.R.", "non-dropping-particle" : "", "parse-names" : false, "suffix" : "" }, { "dropping-particle" : "", "family" : "Fischer", "given" : "E.", "non-dropping-particle" : "", "parse-names" : false, "suffix" : "" }, { "dropping-particle" : "", "family" : "Oliveira-Pissini", "given" : "L.F.", "non-dropping-particle" : "", "parse-names" : false, "suffix" : "" }, { "dropping-particle" : "", "family" : "Santos", "given" : "C.F.", "non-dropping-particle" : "", "parse-names" : false, "suffix" : "" } ], "container-title" : "Brazilian Journal of Biology", "id" : "ITEM-3", "issue" : "1 suppl 1", "issued" : { "date-parts" : [ [ "2011" ] ] }, "page" : "311-320", "title" : "Bat-species richness in the Pantanal floodplain and its surrounding uplands", "type" : "article-journal", "volume" : "71" }, "uris" : [ "http://www.mendeley.com/documents/?uuid=5b7d4e29-53d8-459b-a4c1-64fe15d77add" ] }, { "id" : "ITEM-4", "itemData" : { "DOI" : "10.1590/S1519-69842011000200009", "ISBN" : "1519-6984", "ISSN" : "1678-4375", "PMID" : "21537603", "abstract" : "Different works have registered the number of mammal species within the natural habitats of the Pantanal based on currently known records, with species richness ranging from 89 to 152 of annotated occurrences. Our present list sums 174 species. However, at least three factors have to be emphasised to deal with recorded numbers: 1) to establish the ecotone limit between the floodplain (which is the Pantanal) and its neighbouring domain like the Cerrado, besides the existence of maps recently produced; 2) the lack of intensive surveys, especially on small mammals, rodents and marsupials; and 3) the constant taxonomic revision on bats, rodents and marsupials. Some species are very abundant--for example the capybara Hydrochoerus hydrochaeris and the crab-eating fox Cerdocyon thous, and some are rare, and others are still intrinsically rare--for example, the bush dog Speothos venaticus. Abundance of species is assumed to reflect ecological resources of the habitat. Local diversity and number of individuals of wild rodents and marsupials also rely on the offering of ecological resources and behavioural specialisation to microhabitat components. A large number of species interact with the type of the vegetation of the habitat, by means of habitat selection through active patterns of ecological behaviour, resulting on dependency on arboreal and forested habitats of the Pantanal. In addition, mammals respond to seasonal shrinking-and-expansion of habitats due to flooding regime of the Pantanal. The highest number of species is observed during the dry season, when there is a considerable expansion of terrestrial habitats, mainly seasonally flooded grassland. Major threats to mammal species are the loss and alteration of habitats due to human intervention, mainly deforestation, unsustaina</w:instrText>
            </w:r>
            <w:r w:rsidRPr="00843724">
              <w:rPr>
                <w:rFonts w:ascii="Times New Roman" w:hAnsi="Times New Roman" w:cs="Times New Roman"/>
                <w:b w:val="0"/>
                <w:szCs w:val="22"/>
                <w:lang w:val="es-CO"/>
              </w:rPr>
              <w:instrText>ble agricultural and cattle-ranching practices, which convert the natural vegetation into pastures. The Pantanal still harbours about a dozen of species officially listened as in danger.", "author" : [ { "dropping-particle" : "", "family" : "Alho", "given" : "C.J.R.", "non-dropping-particle" : "", "parse-names" : false, "suffix" : "" }, { "dropping-particle" : "", "family" : "Camargo", "given" : "G.", "non-dropping-particle" : "", "parse-names" : false, "suffix" : "" }, { "dropping-particle" : "", "family" : "Fischer", "given" : "E.", "non-dropping-particle" : "", "parse-names" : false, "suffix" : "" } ], "container-title" : "Brazilian Journal of Biology", "id" : "ITEM-4", "issue" : "1 Suppl 1", "issued" : { "date-parts" : [ [ "2011" ] ] }, "page" : "297-310", "title" : "Terrestrial and aquatic mammals of the Pantanal", "type" : "article-journal", "volume" : "71" }, "uris" : [ "http://www.mendeley.com/documents/?uuid=87f7d78d-2f1e-407c-a7b3-298b3e3aa651" ] } ], "mendeley" : { "formattedCitation" : "(Alho 2011, Alho et al. 2011a, 2011b, Pott et al. 2011)", "manualFormatting" : "(Alho, 2011; Alho, Carmargo &amp; Fischer 2011; Alho, Fischer et al., 2011; Pott et al., 2011)", "plainTextFormattedCitation" : "(Alho 2011, Alho et al. 2011a, 2011b, Pott et al. 2011)", "previouslyFormattedCitation" : "(Alho 2011, Alho et al. 2011a, 2011b, Pott et al. 2011)" }, "properties" : { "noteIndex" : 0 }, "schema" : "https://github.com/citation-style-language/schema/raw/master/csl-citation.json" }</w:instrText>
            </w:r>
            <w:r w:rsidRPr="00843724">
              <w:rPr>
                <w:szCs w:val="22"/>
              </w:rPr>
              <w:fldChar w:fldCharType="separate"/>
            </w:r>
            <w:r w:rsidRPr="00843724">
              <w:rPr>
                <w:rFonts w:ascii="Times New Roman" w:hAnsi="Times New Roman" w:cs="Times New Roman"/>
                <w:b w:val="0"/>
                <w:noProof/>
                <w:szCs w:val="22"/>
                <w:lang w:val="es-CO"/>
              </w:rPr>
              <w:t>(Alho, 2011; Alho,</w:t>
            </w:r>
            <w:r w:rsidR="00132006" w:rsidRPr="00843724">
              <w:rPr>
                <w:rFonts w:ascii="Times New Roman" w:hAnsi="Times New Roman" w:cs="Times New Roman"/>
                <w:b w:val="0"/>
                <w:noProof/>
                <w:szCs w:val="22"/>
                <w:lang w:val="es-CO"/>
              </w:rPr>
              <w:t xml:space="preserve"> </w:t>
            </w:r>
            <w:r w:rsidR="00132006" w:rsidRPr="00843724">
              <w:rPr>
                <w:rFonts w:ascii="Times New Roman" w:hAnsi="Times New Roman" w:cs="Times New Roman"/>
                <w:b w:val="0"/>
                <w:i/>
                <w:noProof/>
                <w:szCs w:val="22"/>
                <w:lang w:val="es-CO"/>
              </w:rPr>
              <w:t>et al.</w:t>
            </w:r>
            <w:r w:rsidR="00F35848" w:rsidRPr="00843724">
              <w:rPr>
                <w:rFonts w:ascii="Times New Roman" w:hAnsi="Times New Roman" w:cs="Times New Roman"/>
                <w:b w:val="0"/>
                <w:noProof/>
                <w:szCs w:val="22"/>
                <w:lang w:val="es-CO"/>
              </w:rPr>
              <w:t>, 2011</w:t>
            </w:r>
            <w:r w:rsidR="006A0DE1" w:rsidRPr="00843724">
              <w:rPr>
                <w:rFonts w:ascii="Times New Roman" w:hAnsi="Times New Roman" w:cs="Times New Roman"/>
                <w:b w:val="0"/>
                <w:noProof/>
                <w:szCs w:val="22"/>
                <w:lang w:val="es-CO"/>
              </w:rPr>
              <w:t>a</w:t>
            </w:r>
            <w:r w:rsidR="00F35848" w:rsidRPr="00843724">
              <w:rPr>
                <w:rFonts w:ascii="Times New Roman" w:hAnsi="Times New Roman" w:cs="Times New Roman"/>
                <w:b w:val="0"/>
                <w:noProof/>
                <w:szCs w:val="22"/>
                <w:lang w:val="es-CO"/>
              </w:rPr>
              <w:t xml:space="preserve">; Alho </w:t>
            </w:r>
            <w:r w:rsidRPr="00843724">
              <w:rPr>
                <w:rFonts w:ascii="Times New Roman" w:hAnsi="Times New Roman" w:cs="Times New Roman"/>
                <w:b w:val="0"/>
                <w:i/>
                <w:noProof/>
                <w:szCs w:val="22"/>
                <w:lang w:val="es-CO"/>
              </w:rPr>
              <w:t>et al.,</w:t>
            </w:r>
            <w:r w:rsidRPr="00843724">
              <w:rPr>
                <w:rFonts w:ascii="Times New Roman" w:hAnsi="Times New Roman" w:cs="Times New Roman"/>
                <w:b w:val="0"/>
                <w:noProof/>
                <w:szCs w:val="22"/>
                <w:lang w:val="es-CO"/>
              </w:rPr>
              <w:t xml:space="preserve"> 2011</w:t>
            </w:r>
            <w:r w:rsidR="006A0DE1" w:rsidRPr="00843724">
              <w:rPr>
                <w:rFonts w:ascii="Times New Roman" w:hAnsi="Times New Roman" w:cs="Times New Roman"/>
                <w:b w:val="0"/>
                <w:noProof/>
                <w:szCs w:val="22"/>
                <w:lang w:val="es-CO"/>
              </w:rPr>
              <w:t>b</w:t>
            </w:r>
            <w:r w:rsidRPr="00843724">
              <w:rPr>
                <w:rFonts w:ascii="Times New Roman" w:hAnsi="Times New Roman" w:cs="Times New Roman"/>
                <w:b w:val="0"/>
                <w:noProof/>
                <w:szCs w:val="22"/>
                <w:lang w:val="es-CO"/>
              </w:rPr>
              <w:t xml:space="preserve">; Pott </w:t>
            </w:r>
            <w:r w:rsidRPr="00843724">
              <w:rPr>
                <w:rFonts w:ascii="Times New Roman" w:hAnsi="Times New Roman" w:cs="Times New Roman"/>
                <w:b w:val="0"/>
                <w:i/>
                <w:noProof/>
                <w:szCs w:val="22"/>
                <w:lang w:val="es-CO"/>
              </w:rPr>
              <w:t>et al</w:t>
            </w:r>
            <w:r w:rsidRPr="00843724">
              <w:rPr>
                <w:rFonts w:ascii="Times New Roman" w:hAnsi="Times New Roman" w:cs="Times New Roman"/>
                <w:b w:val="0"/>
                <w:noProof/>
                <w:szCs w:val="22"/>
                <w:lang w:val="es-CO"/>
              </w:rPr>
              <w:t>., 2011)</w:t>
            </w:r>
            <w:r w:rsidRPr="00843724">
              <w:rPr>
                <w:szCs w:val="22"/>
              </w:rPr>
              <w:fldChar w:fldCharType="end"/>
            </w:r>
            <w:r w:rsidRPr="00843724">
              <w:rPr>
                <w:szCs w:val="22"/>
                <w:lang w:val="es-CO"/>
              </w:rPr>
              <w:t>.</w:t>
            </w:r>
          </w:p>
        </w:tc>
      </w:tr>
      <w:tr w:rsidR="006831BC" w:rsidRPr="008B3BCD" w14:paraId="4814C268" w14:textId="77777777" w:rsidTr="00683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FBFBF" w:themeFill="background1" w:themeFillShade="BF"/>
          </w:tcPr>
          <w:p w14:paraId="2C4AAE7D" w14:textId="77777777" w:rsidR="00D90B1D" w:rsidRPr="00843724" w:rsidRDefault="00D90B1D" w:rsidP="007D620C">
            <w:pPr>
              <w:spacing w:after="40"/>
              <w:jc w:val="both"/>
              <w:rPr>
                <w:rFonts w:ascii="Times New Roman" w:hAnsi="Times New Roman" w:cs="Times New Roman"/>
                <w:b w:val="0"/>
                <w:szCs w:val="22"/>
                <w:lang w:val="es-CO"/>
              </w:rPr>
            </w:pPr>
          </w:p>
        </w:tc>
      </w:tr>
    </w:tbl>
    <w:p w14:paraId="392B8A20" w14:textId="77777777" w:rsidR="00D90B1D" w:rsidRPr="008608AA" w:rsidRDefault="00D90B1D" w:rsidP="0032208B">
      <w:pPr>
        <w:rPr>
          <w:b/>
          <w:lang w:val="es-CO"/>
        </w:rPr>
      </w:pPr>
    </w:p>
    <w:p w14:paraId="7812008D" w14:textId="77777777" w:rsidR="00D90B1D" w:rsidRPr="008608AA" w:rsidRDefault="00D90B1D" w:rsidP="0032208B">
      <w:pPr>
        <w:rPr>
          <w:b/>
          <w:lang w:val="es-CO"/>
        </w:rPr>
      </w:pPr>
    </w:p>
    <w:p w14:paraId="303CF5E4" w14:textId="77777777" w:rsidR="00DA1971" w:rsidRPr="008608AA" w:rsidRDefault="00DA1971" w:rsidP="0032208B">
      <w:pPr>
        <w:rPr>
          <w:b/>
          <w:lang w:val="es-CO"/>
        </w:rPr>
      </w:pPr>
      <w:r w:rsidRPr="008608AA">
        <w:rPr>
          <w:b/>
          <w:lang w:val="es-CO"/>
        </w:rPr>
        <w:br w:type="page"/>
      </w:r>
    </w:p>
    <w:p w14:paraId="4D0EC7BF" w14:textId="0354EB66" w:rsidR="004255E7" w:rsidRPr="008608AA" w:rsidRDefault="00FF0580" w:rsidP="00DA1971">
      <w:pPr>
        <w:jc w:val="center"/>
        <w:rPr>
          <w:b/>
        </w:rPr>
      </w:pPr>
      <w:r w:rsidRPr="008608AA">
        <w:rPr>
          <w:b/>
          <w:noProof/>
          <w:lang w:val="en-GB" w:eastAsia="en-GB"/>
        </w:rPr>
        <w:drawing>
          <wp:inline distT="0" distB="0" distL="0" distR="0" wp14:anchorId="7521B38C" wp14:editId="7862849E">
            <wp:extent cx="5934075" cy="8553450"/>
            <wp:effectExtent l="0" t="0" r="9525" b="0"/>
            <wp:docPr id="30328" name="Imagen 30328" descr="C:\Users\Alejandro Valderrama\Downloads\Fig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7" descr="C:\Users\Alejandro Valderrama\Downloads\Fig3.24.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4075" cy="8553450"/>
                    </a:xfrm>
                    <a:prstGeom prst="rect">
                      <a:avLst/>
                    </a:prstGeom>
                    <a:noFill/>
                    <a:ln>
                      <a:noFill/>
                    </a:ln>
                  </pic:spPr>
                </pic:pic>
              </a:graphicData>
            </a:graphic>
          </wp:inline>
        </w:drawing>
      </w:r>
    </w:p>
    <w:p w14:paraId="4A546E96" w14:textId="77777777" w:rsidR="00DA1971" w:rsidRPr="008608AA" w:rsidRDefault="00DA1971" w:rsidP="00DA1971">
      <w:pPr>
        <w:jc w:val="center"/>
        <w:rPr>
          <w:b/>
        </w:rPr>
      </w:pPr>
    </w:p>
    <w:p w14:paraId="773F0163" w14:textId="43606CE2" w:rsidR="00DA1971" w:rsidRPr="008608AA" w:rsidRDefault="00FF0580" w:rsidP="00DA1971">
      <w:pPr>
        <w:jc w:val="center"/>
        <w:rPr>
          <w:b/>
        </w:rPr>
      </w:pPr>
      <w:r w:rsidRPr="008608AA">
        <w:rPr>
          <w:b/>
          <w:noProof/>
          <w:lang w:val="en-GB" w:eastAsia="en-GB"/>
        </w:rPr>
        <w:drawing>
          <wp:inline distT="0" distB="0" distL="0" distR="0" wp14:anchorId="4530D953" wp14:editId="2DD98F75">
            <wp:extent cx="5667375" cy="7003831"/>
            <wp:effectExtent l="0" t="0" r="0" b="6985"/>
            <wp:docPr id="30329" name="Imagen 30329" descr="C:\Users\Alejandro Valderrama\Downloads\Fig3.25-V2_p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9" descr="C:\Users\Alejandro Valderrama\Downloads\Fig3.25-V2_pag2.jpg"/>
                    <pic:cNvPicPr>
                      <a:picLocks noChangeAspect="1" noChangeArrowheads="1"/>
                    </pic:cNvPicPr>
                  </pic:nvPicPr>
                  <pic:blipFill rotWithShape="1">
                    <a:blip r:embed="rId140">
                      <a:extLst>
                        <a:ext uri="{28A0092B-C50C-407E-A947-70E740481C1C}">
                          <a14:useLocalDpi xmlns:a14="http://schemas.microsoft.com/office/drawing/2010/main" val="0"/>
                        </a:ext>
                      </a:extLst>
                    </a:blip>
                    <a:srcRect l="3956" r="6804" b="14792"/>
                    <a:stretch/>
                  </pic:blipFill>
                  <pic:spPr bwMode="auto">
                    <a:xfrm>
                      <a:off x="0" y="0"/>
                      <a:ext cx="5667375" cy="7003831"/>
                    </a:xfrm>
                    <a:prstGeom prst="rect">
                      <a:avLst/>
                    </a:prstGeom>
                    <a:noFill/>
                    <a:ln>
                      <a:noFill/>
                    </a:ln>
                    <a:extLst>
                      <a:ext uri="{53640926-AAD7-44D8-BBD7-CCE9431645EC}">
                        <a14:shadowObscured xmlns:a14="http://schemas.microsoft.com/office/drawing/2010/main"/>
                      </a:ext>
                    </a:extLst>
                  </pic:spPr>
                </pic:pic>
              </a:graphicData>
            </a:graphic>
          </wp:inline>
        </w:drawing>
      </w:r>
    </w:p>
    <w:p w14:paraId="103CA651" w14:textId="77777777" w:rsidR="00DA1971" w:rsidRPr="008608AA" w:rsidRDefault="00DA1971" w:rsidP="00DA1971">
      <w:pPr>
        <w:jc w:val="center"/>
        <w:rPr>
          <w:b/>
        </w:rPr>
      </w:pPr>
    </w:p>
    <w:p w14:paraId="4B11BB29" w14:textId="5214C4C5" w:rsidR="004255E7" w:rsidRDefault="004255E7" w:rsidP="00DA1971">
      <w:pPr>
        <w:pStyle w:val="Heading3"/>
        <w:rPr>
          <w:lang w:val="en-US"/>
        </w:rPr>
      </w:pPr>
      <w:bookmarkStart w:id="1147" w:name="_Toc502927367"/>
      <w:bookmarkStart w:id="1148" w:name="_Toc502951177"/>
      <w:bookmarkStart w:id="1149" w:name="_Toc502953620"/>
      <w:bookmarkStart w:id="1150" w:name="_Toc502954913"/>
      <w:bookmarkStart w:id="1151" w:name="_Toc502957720"/>
      <w:bookmarkStart w:id="1152" w:name="_Toc502957919"/>
      <w:bookmarkStart w:id="1153" w:name="_Toc502958073"/>
      <w:bookmarkStart w:id="1154" w:name="_Toc503293121"/>
      <w:bookmarkStart w:id="1155" w:name="_Toc503293719"/>
      <w:bookmarkStart w:id="1156" w:name="_Toc503293981"/>
      <w:bookmarkStart w:id="1157" w:name="_Toc503863373"/>
      <w:bookmarkStart w:id="1158" w:name="_Toc503863601"/>
      <w:bookmarkStart w:id="1159" w:name="_Toc517393321"/>
      <w:bookmarkStart w:id="1160" w:name="_Toc517719062"/>
      <w:bookmarkStart w:id="1161" w:name="_Toc517797019"/>
      <w:r w:rsidRPr="008608AA">
        <w:rPr>
          <w:lang w:val="en-US"/>
        </w:rPr>
        <w:t>Marine and ocean systems</w:t>
      </w:r>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p>
    <w:p w14:paraId="01CD89BE" w14:textId="77777777" w:rsidR="00843724" w:rsidRPr="00843724" w:rsidRDefault="00843724" w:rsidP="00843724">
      <w:pPr>
        <w:rPr>
          <w:lang w:eastAsia="es-CO"/>
        </w:rPr>
      </w:pPr>
    </w:p>
    <w:p w14:paraId="0245E665" w14:textId="3E52320E" w:rsidR="004255E7" w:rsidRPr="008608AA" w:rsidRDefault="00520F22" w:rsidP="00DA1971">
      <w:pPr>
        <w:spacing w:after="120"/>
      </w:pPr>
      <w:r w:rsidRPr="008608AA">
        <w:t>Status.</w:t>
      </w:r>
      <w:r w:rsidR="004255E7" w:rsidRPr="008608AA">
        <w:rPr>
          <w:i/>
        </w:rPr>
        <w:t xml:space="preserve"> </w:t>
      </w:r>
      <w:r w:rsidR="004255E7" w:rsidRPr="008608AA">
        <w:t>Considerable numbers of marine mammals are threatened in each of the four subregions (Table 3.5).</w:t>
      </w:r>
      <w:r w:rsidR="004255E7" w:rsidRPr="008608AA">
        <w:rPr>
          <w:color w:val="FF0000"/>
        </w:rPr>
        <w:t xml:space="preserve"> </w:t>
      </w:r>
      <w:r w:rsidR="004255E7" w:rsidRPr="008608AA">
        <w:t>Extinctions in the Americas include Steller’s sea cow (</w:t>
      </w:r>
      <w:r w:rsidR="004255E7" w:rsidRPr="008608AA">
        <w:rPr>
          <w:i/>
          <w:iCs/>
        </w:rPr>
        <w:t>Hydrodamalis gigas</w:t>
      </w:r>
      <w:r w:rsidR="004255E7" w:rsidRPr="008608AA">
        <w:t>) native to the Bering Sea; the Caribbean monk seal (</w:t>
      </w:r>
      <w:r w:rsidR="004255E7" w:rsidRPr="008608AA">
        <w:rPr>
          <w:i/>
          <w:iCs/>
        </w:rPr>
        <w:t>Neomonachus tropicalis</w:t>
      </w:r>
      <w:r w:rsidR="004255E7" w:rsidRPr="008608AA">
        <w:t>) native to the Caribbean Sea, Gulf of Mexico and West Atlantic Ocean; and the sea mink (</w:t>
      </w:r>
      <w:r w:rsidR="004255E7" w:rsidRPr="008608AA">
        <w:rPr>
          <w:i/>
          <w:iCs/>
        </w:rPr>
        <w:t>Neovison macrodon</w:t>
      </w:r>
      <w:r w:rsidR="004255E7" w:rsidRPr="008608AA">
        <w:t xml:space="preserve">), native to coastal eastern North America </w:t>
      </w:r>
      <w:r w:rsidR="004255E7" w:rsidRPr="008608AA">
        <w:fldChar w:fldCharType="begin" w:fldLock="1"/>
      </w:r>
      <w:r w:rsidR="004255E7" w:rsidRPr="008608AA">
        <w:instrText>ADDIN CSL_CITATION { "citationItems" : [ { "id" : "ITEM-1", "itemData" : { "URL" : "www.marinemammalscience.org", "accessed" : { "date-parts" : [ [ "2017", "1", "14" ] ] }, "author" : [ { "dropping-particle" : "", "family" : "Committee on Taxonomy (COT)", "given" : "", "non-dropping-particle" : "", "parse-names" : false, "suffix" : "" } ], "id" : "ITEM-1", "issued" : { "date-parts" : [ [ "2016" ] ] }, "title" : "List of marine mammal species and subspecies", "type" : "webpage" }, "uris" : [ "http://www.mendeley.com/documents/?uuid=b35145ad-2552-3062-9b44-5ce9de89083e" ] } ], "mendeley" : { "formattedCitation" : "(Committee on Taxonomy (COT), 2016)", "manualFormatting" : "(Committee on Taxonomy, 2016)", "plainTextFormattedCitation" : "(Committee on Taxonomy (COT), 2016)", "previouslyFormattedCitation" : "(Committee on Taxonomy (COT), 2016)" }, "properties" : { "noteIndex" : 0 }, "schema" : "https://github.com/citation-style-language/schema/raw/master/csl-citation.json" }</w:instrText>
      </w:r>
      <w:r w:rsidR="004255E7" w:rsidRPr="008608AA">
        <w:fldChar w:fldCharType="separate"/>
      </w:r>
      <w:r w:rsidR="004255E7" w:rsidRPr="008608AA">
        <w:rPr>
          <w:noProof/>
        </w:rPr>
        <w:t>(Committee on Taxonomy, 2016)</w:t>
      </w:r>
      <w:r w:rsidR="004255E7" w:rsidRPr="008608AA">
        <w:fldChar w:fldCharType="end"/>
      </w:r>
      <w:r w:rsidR="004255E7" w:rsidRPr="008608AA">
        <w:t xml:space="preserve">. </w:t>
      </w:r>
    </w:p>
    <w:p w14:paraId="0E613A26" w14:textId="0DD4368A" w:rsidR="00FF0580" w:rsidRPr="008608AA" w:rsidRDefault="00FF0580" w:rsidP="00DA1971">
      <w:pPr>
        <w:spacing w:after="120"/>
      </w:pPr>
    </w:p>
    <w:p w14:paraId="213D14E4" w14:textId="77777777" w:rsidR="005143C5" w:rsidRPr="008608AA" w:rsidRDefault="005143C5" w:rsidP="00DA1971">
      <w:pPr>
        <w:spacing w:after="120"/>
      </w:pPr>
    </w:p>
    <w:p w14:paraId="4EA463A4" w14:textId="75EFBB32" w:rsidR="004255E7" w:rsidRPr="008608AA" w:rsidRDefault="00DA1971" w:rsidP="00DA1971">
      <w:pPr>
        <w:pStyle w:val="Caption"/>
        <w:rPr>
          <w:b w:val="0"/>
          <w:sz w:val="20"/>
          <w:szCs w:val="20"/>
        </w:rPr>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3</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5</w:t>
      </w:r>
      <w:r w:rsidR="000E562E">
        <w:rPr>
          <w:noProof/>
        </w:rPr>
        <w:fldChar w:fldCharType="end"/>
      </w:r>
      <w:r w:rsidR="004255E7" w:rsidRPr="008608AA">
        <w:rPr>
          <w:b w:val="0"/>
          <w:sz w:val="20"/>
          <w:szCs w:val="20"/>
        </w:rPr>
        <w:t xml:space="preserve">. </w:t>
      </w:r>
      <w:r w:rsidR="004255E7" w:rsidRPr="008608AA">
        <w:t>The number of marine mammal species found across the Americas, grouped by current IUCN Red List status and by subregion. DD = data deficient, LC = least concern, NT = near threatened, V = vulnerable, E = endangered, CE = critically endangered. Note three extinct species captured in these counts: Caribbean monk seal (</w:t>
      </w:r>
      <w:r w:rsidR="004255E7" w:rsidRPr="008608AA">
        <w:rPr>
          <w:i/>
        </w:rPr>
        <w:t>Neomonachus tropicalis</w:t>
      </w:r>
      <w:r w:rsidR="004255E7" w:rsidRPr="008608AA">
        <w:t>), Steller’s sea cow (</w:t>
      </w:r>
      <w:r w:rsidR="004255E7" w:rsidRPr="008608AA">
        <w:rPr>
          <w:i/>
        </w:rPr>
        <w:t>Hydrodamalis gigas</w:t>
      </w:r>
      <w:r w:rsidR="004255E7" w:rsidRPr="008608AA">
        <w:t>), and the sea mink (</w:t>
      </w:r>
      <w:r w:rsidR="004255E7" w:rsidRPr="008608AA">
        <w:rPr>
          <w:i/>
        </w:rPr>
        <w:t>Neovison macrodon</w:t>
      </w:r>
      <w:r w:rsidR="004255E7" w:rsidRPr="008608AA">
        <w:t xml:space="preserve">). From IUCN Red List </w:t>
      </w:r>
      <w:r w:rsidR="004255E7" w:rsidRPr="008608AA">
        <w:fldChar w:fldCharType="begin" w:fldLock="1"/>
      </w:r>
      <w:r w:rsidR="004255E7" w:rsidRPr="008608AA">
        <w:instrText>ADDIN CSL_CITATION { "citationItems" : [ { "id" : "ITEM-1", "itemData" : { "URL" : "www.iucnredlist.org", "accessed" : { "date-parts" : [ [ "2017", "1", "1" ] ] }, "author" : [ { "dropping-particle" : "", "family" : "IUCN", "given" : "", "non-dropping-particle" : "", "parse-names" : false, "suffix" : "" } ], "id" : "ITEM-1", "issued" : { "date-parts" : [ [ "2017" ] ] }, "title" : "The IUCN Red List of Threatened Species. Version 2016-3", "type" : "webpage" }, "uris" : [ "http://www.mendeley.com/documents/?uuid=9e1b2abd-bf56-415b-9f06-ca49e284658d" ] } ], "mendeley" : { "formattedCitation" : "(IUCN, 2017)", "plainTextFormattedCitation" : "(IUCN, 2017)", "previouslyFormattedCitation" : "(IUCN, 2017)" }, "properties" : { "noteIndex" : 0 }, "schema" : "https://github.com/citation-style-language/schema/raw/master/csl-citation.json" }</w:instrText>
      </w:r>
      <w:r w:rsidR="004255E7" w:rsidRPr="008608AA">
        <w:fldChar w:fldCharType="separate"/>
      </w:r>
      <w:r w:rsidR="006A0DE1" w:rsidRPr="008608AA">
        <w:t>IUCN (</w:t>
      </w:r>
      <w:r w:rsidR="004255E7" w:rsidRPr="008608AA">
        <w:t>2017)</w:t>
      </w:r>
      <w:r w:rsidR="004255E7" w:rsidRPr="008608AA">
        <w:fldChar w:fldCharType="end"/>
      </w:r>
      <w:r w:rsidR="004255E7" w:rsidRPr="008608AA">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1497"/>
        <w:gridCol w:w="1512"/>
        <w:gridCol w:w="1115"/>
        <w:gridCol w:w="1414"/>
        <w:gridCol w:w="1511"/>
      </w:tblGrid>
      <w:tr w:rsidR="004255E7" w:rsidRPr="00843724" w14:paraId="047B2830" w14:textId="77777777" w:rsidTr="00DA1971">
        <w:trPr>
          <w:trHeight w:val="280"/>
        </w:trPr>
        <w:tc>
          <w:tcPr>
            <w:tcW w:w="1283" w:type="pct"/>
            <w:shd w:val="clear" w:color="auto" w:fill="BFBFBF" w:themeFill="background1" w:themeFillShade="BF"/>
            <w:noWrap/>
            <w:vAlign w:val="bottom"/>
            <w:hideMark/>
          </w:tcPr>
          <w:p w14:paraId="138F7834" w14:textId="77777777" w:rsidR="004255E7" w:rsidRPr="00843724" w:rsidRDefault="004255E7" w:rsidP="003647EB">
            <w:pPr>
              <w:rPr>
                <w:b/>
                <w:bCs/>
                <w:szCs w:val="22"/>
              </w:rPr>
            </w:pPr>
            <w:r w:rsidRPr="00843724">
              <w:rPr>
                <w:b/>
                <w:bCs/>
                <w:szCs w:val="22"/>
              </w:rPr>
              <w:t>IUCN Status</w:t>
            </w:r>
          </w:p>
        </w:tc>
        <w:tc>
          <w:tcPr>
            <w:tcW w:w="619" w:type="pct"/>
            <w:shd w:val="clear" w:color="auto" w:fill="BFBFBF" w:themeFill="background1" w:themeFillShade="BF"/>
            <w:noWrap/>
            <w:vAlign w:val="bottom"/>
            <w:hideMark/>
          </w:tcPr>
          <w:p w14:paraId="02032368" w14:textId="77777777" w:rsidR="004255E7" w:rsidRPr="00843724" w:rsidRDefault="004255E7" w:rsidP="003647EB">
            <w:pPr>
              <w:rPr>
                <w:b/>
                <w:bCs/>
                <w:szCs w:val="22"/>
              </w:rPr>
            </w:pPr>
            <w:r w:rsidRPr="00843724">
              <w:rPr>
                <w:b/>
                <w:bCs/>
                <w:szCs w:val="22"/>
              </w:rPr>
              <w:t>Americas total</w:t>
            </w:r>
          </w:p>
        </w:tc>
        <w:tc>
          <w:tcPr>
            <w:tcW w:w="801" w:type="pct"/>
            <w:shd w:val="clear" w:color="auto" w:fill="BFBFBF" w:themeFill="background1" w:themeFillShade="BF"/>
            <w:noWrap/>
            <w:vAlign w:val="bottom"/>
            <w:hideMark/>
          </w:tcPr>
          <w:p w14:paraId="4D720F51" w14:textId="77777777" w:rsidR="004255E7" w:rsidRPr="00843724" w:rsidRDefault="004255E7" w:rsidP="003647EB">
            <w:pPr>
              <w:rPr>
                <w:b/>
                <w:bCs/>
                <w:szCs w:val="22"/>
              </w:rPr>
            </w:pPr>
            <w:r w:rsidRPr="00843724">
              <w:rPr>
                <w:b/>
                <w:bCs/>
                <w:szCs w:val="22"/>
              </w:rPr>
              <w:t>North America</w:t>
            </w:r>
          </w:p>
        </w:tc>
        <w:tc>
          <w:tcPr>
            <w:tcW w:w="719" w:type="pct"/>
            <w:shd w:val="clear" w:color="auto" w:fill="BFBFBF" w:themeFill="background1" w:themeFillShade="BF"/>
            <w:noWrap/>
            <w:vAlign w:val="bottom"/>
            <w:hideMark/>
          </w:tcPr>
          <w:p w14:paraId="2BC27BA8" w14:textId="77777777" w:rsidR="004255E7" w:rsidRPr="00843724" w:rsidRDefault="004255E7" w:rsidP="003647EB">
            <w:pPr>
              <w:rPr>
                <w:b/>
                <w:bCs/>
                <w:szCs w:val="22"/>
              </w:rPr>
            </w:pPr>
            <w:r w:rsidRPr="00843724">
              <w:rPr>
                <w:b/>
                <w:bCs/>
                <w:szCs w:val="22"/>
              </w:rPr>
              <w:t>Caribbean</w:t>
            </w:r>
          </w:p>
        </w:tc>
        <w:tc>
          <w:tcPr>
            <w:tcW w:w="779" w:type="pct"/>
            <w:shd w:val="clear" w:color="auto" w:fill="BFBFBF" w:themeFill="background1" w:themeFillShade="BF"/>
            <w:noWrap/>
            <w:vAlign w:val="bottom"/>
            <w:hideMark/>
          </w:tcPr>
          <w:p w14:paraId="5F0EB5B8" w14:textId="77777777" w:rsidR="004255E7" w:rsidRPr="00843724" w:rsidRDefault="004255E7" w:rsidP="003647EB">
            <w:pPr>
              <w:rPr>
                <w:b/>
                <w:bCs/>
                <w:szCs w:val="22"/>
              </w:rPr>
            </w:pPr>
            <w:r w:rsidRPr="00843724">
              <w:rPr>
                <w:b/>
                <w:bCs/>
                <w:szCs w:val="22"/>
              </w:rPr>
              <w:t>Mesoamerica</w:t>
            </w:r>
          </w:p>
        </w:tc>
        <w:tc>
          <w:tcPr>
            <w:tcW w:w="799" w:type="pct"/>
            <w:shd w:val="clear" w:color="auto" w:fill="BFBFBF" w:themeFill="background1" w:themeFillShade="BF"/>
            <w:noWrap/>
            <w:vAlign w:val="bottom"/>
            <w:hideMark/>
          </w:tcPr>
          <w:p w14:paraId="525E3DF1" w14:textId="77777777" w:rsidR="004255E7" w:rsidRPr="00843724" w:rsidRDefault="004255E7" w:rsidP="003647EB">
            <w:pPr>
              <w:rPr>
                <w:b/>
                <w:bCs/>
                <w:szCs w:val="22"/>
              </w:rPr>
            </w:pPr>
            <w:r w:rsidRPr="00843724">
              <w:rPr>
                <w:b/>
                <w:bCs/>
                <w:szCs w:val="22"/>
              </w:rPr>
              <w:t>South America</w:t>
            </w:r>
          </w:p>
        </w:tc>
      </w:tr>
      <w:tr w:rsidR="004255E7" w:rsidRPr="00843724" w14:paraId="6B66F19C" w14:textId="77777777" w:rsidTr="00426810">
        <w:trPr>
          <w:trHeight w:val="280"/>
        </w:trPr>
        <w:tc>
          <w:tcPr>
            <w:tcW w:w="1283" w:type="pct"/>
            <w:shd w:val="clear" w:color="auto" w:fill="auto"/>
            <w:noWrap/>
            <w:vAlign w:val="bottom"/>
            <w:hideMark/>
          </w:tcPr>
          <w:p w14:paraId="03C1608E" w14:textId="15D7F6EF" w:rsidR="004255E7" w:rsidRPr="00843724" w:rsidRDefault="002D2C47" w:rsidP="003647EB">
            <w:pPr>
              <w:rPr>
                <w:szCs w:val="22"/>
              </w:rPr>
            </w:pPr>
            <w:r w:rsidRPr="00843724">
              <w:rPr>
                <w:szCs w:val="22"/>
              </w:rPr>
              <w:t>Data d</w:t>
            </w:r>
            <w:r w:rsidR="004255E7" w:rsidRPr="00843724">
              <w:rPr>
                <w:szCs w:val="22"/>
              </w:rPr>
              <w:t>eficient (DD)</w:t>
            </w:r>
          </w:p>
        </w:tc>
        <w:tc>
          <w:tcPr>
            <w:tcW w:w="619" w:type="pct"/>
            <w:shd w:val="clear" w:color="auto" w:fill="auto"/>
            <w:noWrap/>
            <w:vAlign w:val="bottom"/>
            <w:hideMark/>
          </w:tcPr>
          <w:p w14:paraId="2CA1D405" w14:textId="77777777" w:rsidR="004255E7" w:rsidRPr="00843724" w:rsidRDefault="004255E7" w:rsidP="003647EB">
            <w:pPr>
              <w:rPr>
                <w:szCs w:val="22"/>
              </w:rPr>
            </w:pPr>
            <w:r w:rsidRPr="00843724">
              <w:rPr>
                <w:szCs w:val="22"/>
              </w:rPr>
              <w:t>43</w:t>
            </w:r>
          </w:p>
        </w:tc>
        <w:tc>
          <w:tcPr>
            <w:tcW w:w="801" w:type="pct"/>
            <w:shd w:val="clear" w:color="auto" w:fill="auto"/>
            <w:noWrap/>
            <w:vAlign w:val="bottom"/>
            <w:hideMark/>
          </w:tcPr>
          <w:p w14:paraId="574F92A4" w14:textId="77777777" w:rsidR="004255E7" w:rsidRPr="00843724" w:rsidRDefault="004255E7" w:rsidP="003647EB">
            <w:pPr>
              <w:rPr>
                <w:szCs w:val="22"/>
              </w:rPr>
            </w:pPr>
            <w:r w:rsidRPr="00843724">
              <w:rPr>
                <w:szCs w:val="22"/>
              </w:rPr>
              <w:t>21</w:t>
            </w:r>
          </w:p>
        </w:tc>
        <w:tc>
          <w:tcPr>
            <w:tcW w:w="719" w:type="pct"/>
            <w:shd w:val="clear" w:color="auto" w:fill="auto"/>
            <w:noWrap/>
            <w:vAlign w:val="bottom"/>
            <w:hideMark/>
          </w:tcPr>
          <w:p w14:paraId="22B97AB7" w14:textId="77777777" w:rsidR="004255E7" w:rsidRPr="00843724" w:rsidRDefault="004255E7" w:rsidP="003647EB">
            <w:pPr>
              <w:rPr>
                <w:szCs w:val="22"/>
              </w:rPr>
            </w:pPr>
            <w:r w:rsidRPr="00843724">
              <w:rPr>
                <w:szCs w:val="22"/>
              </w:rPr>
              <w:t>13</w:t>
            </w:r>
          </w:p>
        </w:tc>
        <w:tc>
          <w:tcPr>
            <w:tcW w:w="779" w:type="pct"/>
            <w:shd w:val="clear" w:color="auto" w:fill="auto"/>
            <w:noWrap/>
            <w:vAlign w:val="bottom"/>
            <w:hideMark/>
          </w:tcPr>
          <w:p w14:paraId="40A58FDA" w14:textId="77777777" w:rsidR="004255E7" w:rsidRPr="00843724" w:rsidRDefault="004255E7" w:rsidP="003647EB">
            <w:pPr>
              <w:rPr>
                <w:szCs w:val="22"/>
              </w:rPr>
            </w:pPr>
            <w:r w:rsidRPr="00843724">
              <w:rPr>
                <w:szCs w:val="22"/>
              </w:rPr>
              <w:t>18</w:t>
            </w:r>
          </w:p>
        </w:tc>
        <w:tc>
          <w:tcPr>
            <w:tcW w:w="799" w:type="pct"/>
            <w:shd w:val="clear" w:color="auto" w:fill="auto"/>
            <w:noWrap/>
            <w:vAlign w:val="bottom"/>
            <w:hideMark/>
          </w:tcPr>
          <w:p w14:paraId="2A8C8214" w14:textId="77777777" w:rsidR="004255E7" w:rsidRPr="00843724" w:rsidRDefault="004255E7" w:rsidP="003647EB">
            <w:pPr>
              <w:rPr>
                <w:szCs w:val="22"/>
              </w:rPr>
            </w:pPr>
            <w:r w:rsidRPr="00843724">
              <w:rPr>
                <w:szCs w:val="22"/>
              </w:rPr>
              <w:t>36</w:t>
            </w:r>
          </w:p>
        </w:tc>
      </w:tr>
      <w:tr w:rsidR="004255E7" w:rsidRPr="00843724" w14:paraId="176A0662" w14:textId="77777777" w:rsidTr="00426810">
        <w:trPr>
          <w:trHeight w:val="280"/>
        </w:trPr>
        <w:tc>
          <w:tcPr>
            <w:tcW w:w="1283" w:type="pct"/>
            <w:shd w:val="clear" w:color="auto" w:fill="auto"/>
            <w:noWrap/>
            <w:vAlign w:val="bottom"/>
            <w:hideMark/>
          </w:tcPr>
          <w:p w14:paraId="674FDE49" w14:textId="59B2DA2C" w:rsidR="004255E7" w:rsidRPr="00843724" w:rsidRDefault="002D2C47" w:rsidP="003647EB">
            <w:pPr>
              <w:rPr>
                <w:szCs w:val="22"/>
              </w:rPr>
            </w:pPr>
            <w:r w:rsidRPr="00843724">
              <w:rPr>
                <w:szCs w:val="22"/>
              </w:rPr>
              <w:t>Least c</w:t>
            </w:r>
            <w:r w:rsidR="004255E7" w:rsidRPr="00843724">
              <w:rPr>
                <w:szCs w:val="22"/>
              </w:rPr>
              <w:t>oncern (LC)</w:t>
            </w:r>
          </w:p>
        </w:tc>
        <w:tc>
          <w:tcPr>
            <w:tcW w:w="619" w:type="pct"/>
            <w:shd w:val="clear" w:color="auto" w:fill="auto"/>
            <w:noWrap/>
            <w:vAlign w:val="bottom"/>
            <w:hideMark/>
          </w:tcPr>
          <w:p w14:paraId="7E0F9705" w14:textId="77777777" w:rsidR="004255E7" w:rsidRPr="00843724" w:rsidRDefault="004255E7" w:rsidP="003647EB">
            <w:pPr>
              <w:rPr>
                <w:szCs w:val="22"/>
              </w:rPr>
            </w:pPr>
            <w:r w:rsidRPr="00843724">
              <w:rPr>
                <w:szCs w:val="22"/>
              </w:rPr>
              <w:t>35</w:t>
            </w:r>
          </w:p>
        </w:tc>
        <w:tc>
          <w:tcPr>
            <w:tcW w:w="801" w:type="pct"/>
            <w:shd w:val="clear" w:color="auto" w:fill="auto"/>
            <w:noWrap/>
            <w:vAlign w:val="bottom"/>
            <w:hideMark/>
          </w:tcPr>
          <w:p w14:paraId="3721885D" w14:textId="77777777" w:rsidR="004255E7" w:rsidRPr="00843724" w:rsidRDefault="004255E7" w:rsidP="003647EB">
            <w:pPr>
              <w:rPr>
                <w:szCs w:val="22"/>
              </w:rPr>
            </w:pPr>
            <w:r w:rsidRPr="00843724">
              <w:rPr>
                <w:szCs w:val="22"/>
              </w:rPr>
              <w:t>27</w:t>
            </w:r>
          </w:p>
        </w:tc>
        <w:tc>
          <w:tcPr>
            <w:tcW w:w="719" w:type="pct"/>
            <w:shd w:val="clear" w:color="auto" w:fill="auto"/>
            <w:noWrap/>
            <w:vAlign w:val="bottom"/>
            <w:hideMark/>
          </w:tcPr>
          <w:p w14:paraId="1C7920D8" w14:textId="77777777" w:rsidR="004255E7" w:rsidRPr="00843724" w:rsidRDefault="004255E7" w:rsidP="003647EB">
            <w:pPr>
              <w:rPr>
                <w:szCs w:val="22"/>
              </w:rPr>
            </w:pPr>
            <w:r w:rsidRPr="00843724">
              <w:rPr>
                <w:szCs w:val="22"/>
              </w:rPr>
              <w:t>10</w:t>
            </w:r>
          </w:p>
        </w:tc>
        <w:tc>
          <w:tcPr>
            <w:tcW w:w="779" w:type="pct"/>
            <w:shd w:val="clear" w:color="auto" w:fill="auto"/>
            <w:noWrap/>
            <w:vAlign w:val="bottom"/>
            <w:hideMark/>
          </w:tcPr>
          <w:p w14:paraId="6DEDB5C3" w14:textId="77777777" w:rsidR="004255E7" w:rsidRPr="00843724" w:rsidRDefault="004255E7" w:rsidP="003647EB">
            <w:pPr>
              <w:rPr>
                <w:szCs w:val="22"/>
              </w:rPr>
            </w:pPr>
            <w:r w:rsidRPr="00843724">
              <w:rPr>
                <w:szCs w:val="22"/>
              </w:rPr>
              <w:t>10</w:t>
            </w:r>
          </w:p>
        </w:tc>
        <w:tc>
          <w:tcPr>
            <w:tcW w:w="799" w:type="pct"/>
            <w:shd w:val="clear" w:color="auto" w:fill="auto"/>
            <w:noWrap/>
            <w:vAlign w:val="bottom"/>
            <w:hideMark/>
          </w:tcPr>
          <w:p w14:paraId="5362FBFD" w14:textId="77777777" w:rsidR="004255E7" w:rsidRPr="00843724" w:rsidRDefault="004255E7" w:rsidP="003647EB">
            <w:pPr>
              <w:rPr>
                <w:szCs w:val="22"/>
              </w:rPr>
            </w:pPr>
            <w:r w:rsidRPr="00843724">
              <w:rPr>
                <w:szCs w:val="22"/>
              </w:rPr>
              <w:t>18</w:t>
            </w:r>
          </w:p>
        </w:tc>
      </w:tr>
      <w:tr w:rsidR="004255E7" w:rsidRPr="00843724" w14:paraId="69955102" w14:textId="77777777" w:rsidTr="00426810">
        <w:trPr>
          <w:trHeight w:val="280"/>
        </w:trPr>
        <w:tc>
          <w:tcPr>
            <w:tcW w:w="1283" w:type="pct"/>
            <w:shd w:val="clear" w:color="auto" w:fill="auto"/>
            <w:noWrap/>
            <w:vAlign w:val="bottom"/>
            <w:hideMark/>
          </w:tcPr>
          <w:p w14:paraId="59839F8A" w14:textId="17C87CB7" w:rsidR="004255E7" w:rsidRPr="00843724" w:rsidRDefault="002D2C47" w:rsidP="003647EB">
            <w:pPr>
              <w:rPr>
                <w:szCs w:val="22"/>
              </w:rPr>
            </w:pPr>
            <w:r w:rsidRPr="00843724">
              <w:rPr>
                <w:szCs w:val="22"/>
              </w:rPr>
              <w:t>Near t</w:t>
            </w:r>
            <w:r w:rsidR="004255E7" w:rsidRPr="00843724">
              <w:rPr>
                <w:szCs w:val="22"/>
              </w:rPr>
              <w:t>hreatened (NT)</w:t>
            </w:r>
          </w:p>
        </w:tc>
        <w:tc>
          <w:tcPr>
            <w:tcW w:w="619" w:type="pct"/>
            <w:shd w:val="clear" w:color="auto" w:fill="auto"/>
            <w:noWrap/>
            <w:vAlign w:val="bottom"/>
            <w:hideMark/>
          </w:tcPr>
          <w:p w14:paraId="298C44FB" w14:textId="77777777" w:rsidR="004255E7" w:rsidRPr="00843724" w:rsidRDefault="004255E7" w:rsidP="003647EB">
            <w:pPr>
              <w:rPr>
                <w:szCs w:val="22"/>
              </w:rPr>
            </w:pPr>
            <w:r w:rsidRPr="00843724">
              <w:rPr>
                <w:szCs w:val="22"/>
              </w:rPr>
              <w:t>4</w:t>
            </w:r>
          </w:p>
        </w:tc>
        <w:tc>
          <w:tcPr>
            <w:tcW w:w="801" w:type="pct"/>
            <w:shd w:val="clear" w:color="auto" w:fill="auto"/>
            <w:noWrap/>
            <w:vAlign w:val="bottom"/>
            <w:hideMark/>
          </w:tcPr>
          <w:p w14:paraId="053F0E7B" w14:textId="77777777" w:rsidR="004255E7" w:rsidRPr="00843724" w:rsidRDefault="004255E7" w:rsidP="003647EB">
            <w:pPr>
              <w:rPr>
                <w:szCs w:val="22"/>
              </w:rPr>
            </w:pPr>
            <w:r w:rsidRPr="00843724">
              <w:rPr>
                <w:szCs w:val="22"/>
              </w:rPr>
              <w:t>3</w:t>
            </w:r>
          </w:p>
        </w:tc>
        <w:tc>
          <w:tcPr>
            <w:tcW w:w="719" w:type="pct"/>
            <w:shd w:val="clear" w:color="auto" w:fill="auto"/>
            <w:noWrap/>
            <w:vAlign w:val="bottom"/>
            <w:hideMark/>
          </w:tcPr>
          <w:p w14:paraId="5F1B2820" w14:textId="77777777" w:rsidR="004255E7" w:rsidRPr="00843724" w:rsidRDefault="004255E7" w:rsidP="003647EB">
            <w:pPr>
              <w:rPr>
                <w:szCs w:val="22"/>
              </w:rPr>
            </w:pPr>
            <w:r w:rsidRPr="00843724">
              <w:rPr>
                <w:szCs w:val="22"/>
              </w:rPr>
              <w:t>0</w:t>
            </w:r>
          </w:p>
        </w:tc>
        <w:tc>
          <w:tcPr>
            <w:tcW w:w="779" w:type="pct"/>
            <w:shd w:val="clear" w:color="auto" w:fill="auto"/>
            <w:noWrap/>
            <w:vAlign w:val="bottom"/>
            <w:hideMark/>
          </w:tcPr>
          <w:p w14:paraId="2FDF2A3E" w14:textId="77777777" w:rsidR="004255E7" w:rsidRPr="00843724" w:rsidRDefault="004255E7" w:rsidP="003647EB">
            <w:pPr>
              <w:rPr>
                <w:szCs w:val="22"/>
              </w:rPr>
            </w:pPr>
            <w:r w:rsidRPr="00843724">
              <w:rPr>
                <w:szCs w:val="22"/>
              </w:rPr>
              <w:t>0</w:t>
            </w:r>
          </w:p>
        </w:tc>
        <w:tc>
          <w:tcPr>
            <w:tcW w:w="799" w:type="pct"/>
            <w:shd w:val="clear" w:color="auto" w:fill="auto"/>
            <w:noWrap/>
            <w:vAlign w:val="bottom"/>
            <w:hideMark/>
          </w:tcPr>
          <w:p w14:paraId="1F646577" w14:textId="77777777" w:rsidR="004255E7" w:rsidRPr="00843724" w:rsidRDefault="004255E7" w:rsidP="003647EB">
            <w:pPr>
              <w:rPr>
                <w:szCs w:val="22"/>
              </w:rPr>
            </w:pPr>
            <w:r w:rsidRPr="00843724">
              <w:rPr>
                <w:szCs w:val="22"/>
              </w:rPr>
              <w:t>1</w:t>
            </w:r>
          </w:p>
        </w:tc>
      </w:tr>
      <w:tr w:rsidR="004255E7" w:rsidRPr="00843724" w14:paraId="1AD9E749" w14:textId="77777777" w:rsidTr="00426810">
        <w:trPr>
          <w:trHeight w:val="280"/>
        </w:trPr>
        <w:tc>
          <w:tcPr>
            <w:tcW w:w="1283" w:type="pct"/>
            <w:shd w:val="clear" w:color="auto" w:fill="auto"/>
            <w:noWrap/>
            <w:vAlign w:val="bottom"/>
            <w:hideMark/>
          </w:tcPr>
          <w:p w14:paraId="20519E35" w14:textId="77777777" w:rsidR="004255E7" w:rsidRPr="00843724" w:rsidRDefault="004255E7" w:rsidP="003647EB">
            <w:pPr>
              <w:rPr>
                <w:szCs w:val="22"/>
              </w:rPr>
            </w:pPr>
            <w:r w:rsidRPr="00843724">
              <w:rPr>
                <w:szCs w:val="22"/>
              </w:rPr>
              <w:t>Vulnerable (V)</w:t>
            </w:r>
          </w:p>
        </w:tc>
        <w:tc>
          <w:tcPr>
            <w:tcW w:w="619" w:type="pct"/>
            <w:shd w:val="clear" w:color="auto" w:fill="auto"/>
            <w:noWrap/>
            <w:vAlign w:val="bottom"/>
            <w:hideMark/>
          </w:tcPr>
          <w:p w14:paraId="762F20FB" w14:textId="77777777" w:rsidR="004255E7" w:rsidRPr="00843724" w:rsidRDefault="004255E7" w:rsidP="003647EB">
            <w:pPr>
              <w:rPr>
                <w:szCs w:val="22"/>
              </w:rPr>
            </w:pPr>
            <w:r w:rsidRPr="00843724">
              <w:rPr>
                <w:szCs w:val="22"/>
              </w:rPr>
              <w:t>7</w:t>
            </w:r>
          </w:p>
        </w:tc>
        <w:tc>
          <w:tcPr>
            <w:tcW w:w="801" w:type="pct"/>
            <w:shd w:val="clear" w:color="auto" w:fill="auto"/>
            <w:noWrap/>
            <w:vAlign w:val="bottom"/>
            <w:hideMark/>
          </w:tcPr>
          <w:p w14:paraId="09113333" w14:textId="77777777" w:rsidR="004255E7" w:rsidRPr="00843724" w:rsidRDefault="004255E7" w:rsidP="003647EB">
            <w:pPr>
              <w:rPr>
                <w:szCs w:val="22"/>
              </w:rPr>
            </w:pPr>
            <w:r w:rsidRPr="00843724">
              <w:rPr>
                <w:szCs w:val="22"/>
              </w:rPr>
              <w:t>6</w:t>
            </w:r>
          </w:p>
        </w:tc>
        <w:tc>
          <w:tcPr>
            <w:tcW w:w="719" w:type="pct"/>
            <w:shd w:val="clear" w:color="auto" w:fill="auto"/>
            <w:noWrap/>
            <w:vAlign w:val="bottom"/>
            <w:hideMark/>
          </w:tcPr>
          <w:p w14:paraId="73E5E24C" w14:textId="77777777" w:rsidR="004255E7" w:rsidRPr="00843724" w:rsidRDefault="004255E7" w:rsidP="003647EB">
            <w:pPr>
              <w:rPr>
                <w:szCs w:val="22"/>
              </w:rPr>
            </w:pPr>
            <w:r w:rsidRPr="00843724">
              <w:rPr>
                <w:szCs w:val="22"/>
              </w:rPr>
              <w:t>2</w:t>
            </w:r>
          </w:p>
        </w:tc>
        <w:tc>
          <w:tcPr>
            <w:tcW w:w="779" w:type="pct"/>
            <w:shd w:val="clear" w:color="auto" w:fill="auto"/>
            <w:noWrap/>
            <w:vAlign w:val="bottom"/>
            <w:hideMark/>
          </w:tcPr>
          <w:p w14:paraId="55277558" w14:textId="77777777" w:rsidR="004255E7" w:rsidRPr="00843724" w:rsidRDefault="004255E7" w:rsidP="003647EB">
            <w:pPr>
              <w:rPr>
                <w:szCs w:val="22"/>
              </w:rPr>
            </w:pPr>
            <w:r w:rsidRPr="00843724">
              <w:rPr>
                <w:szCs w:val="22"/>
              </w:rPr>
              <w:t>2</w:t>
            </w:r>
          </w:p>
        </w:tc>
        <w:tc>
          <w:tcPr>
            <w:tcW w:w="799" w:type="pct"/>
            <w:shd w:val="clear" w:color="auto" w:fill="auto"/>
            <w:noWrap/>
            <w:vAlign w:val="bottom"/>
            <w:hideMark/>
          </w:tcPr>
          <w:p w14:paraId="65CD94FF" w14:textId="77777777" w:rsidR="004255E7" w:rsidRPr="00843724" w:rsidRDefault="004255E7" w:rsidP="003647EB">
            <w:pPr>
              <w:rPr>
                <w:szCs w:val="22"/>
              </w:rPr>
            </w:pPr>
            <w:r w:rsidRPr="00843724">
              <w:rPr>
                <w:szCs w:val="22"/>
              </w:rPr>
              <w:t>3</w:t>
            </w:r>
          </w:p>
        </w:tc>
      </w:tr>
      <w:tr w:rsidR="004255E7" w:rsidRPr="00843724" w14:paraId="25C1ACFC" w14:textId="77777777" w:rsidTr="00426810">
        <w:trPr>
          <w:trHeight w:val="280"/>
        </w:trPr>
        <w:tc>
          <w:tcPr>
            <w:tcW w:w="1283" w:type="pct"/>
            <w:shd w:val="clear" w:color="auto" w:fill="auto"/>
            <w:noWrap/>
            <w:vAlign w:val="bottom"/>
            <w:hideMark/>
          </w:tcPr>
          <w:p w14:paraId="348A9D88" w14:textId="77777777" w:rsidR="004255E7" w:rsidRPr="00843724" w:rsidRDefault="004255E7" w:rsidP="003647EB">
            <w:pPr>
              <w:rPr>
                <w:szCs w:val="22"/>
              </w:rPr>
            </w:pPr>
            <w:r w:rsidRPr="00843724">
              <w:rPr>
                <w:szCs w:val="22"/>
              </w:rPr>
              <w:t>Endangered (E)</w:t>
            </w:r>
          </w:p>
        </w:tc>
        <w:tc>
          <w:tcPr>
            <w:tcW w:w="619" w:type="pct"/>
            <w:shd w:val="clear" w:color="auto" w:fill="auto"/>
            <w:noWrap/>
            <w:vAlign w:val="bottom"/>
            <w:hideMark/>
          </w:tcPr>
          <w:p w14:paraId="44CA4538" w14:textId="77777777" w:rsidR="004255E7" w:rsidRPr="00843724" w:rsidRDefault="004255E7" w:rsidP="003647EB">
            <w:pPr>
              <w:rPr>
                <w:szCs w:val="22"/>
              </w:rPr>
            </w:pPr>
            <w:r w:rsidRPr="00843724">
              <w:rPr>
                <w:szCs w:val="22"/>
              </w:rPr>
              <w:t>10</w:t>
            </w:r>
          </w:p>
        </w:tc>
        <w:tc>
          <w:tcPr>
            <w:tcW w:w="801" w:type="pct"/>
            <w:shd w:val="clear" w:color="auto" w:fill="auto"/>
            <w:noWrap/>
            <w:vAlign w:val="bottom"/>
            <w:hideMark/>
          </w:tcPr>
          <w:p w14:paraId="1ECE54E1" w14:textId="77777777" w:rsidR="004255E7" w:rsidRPr="00843724" w:rsidRDefault="004255E7" w:rsidP="003647EB">
            <w:pPr>
              <w:rPr>
                <w:szCs w:val="22"/>
              </w:rPr>
            </w:pPr>
            <w:r w:rsidRPr="00843724">
              <w:rPr>
                <w:szCs w:val="22"/>
              </w:rPr>
              <w:t>7</w:t>
            </w:r>
          </w:p>
        </w:tc>
        <w:tc>
          <w:tcPr>
            <w:tcW w:w="719" w:type="pct"/>
            <w:shd w:val="clear" w:color="auto" w:fill="auto"/>
            <w:noWrap/>
            <w:vAlign w:val="bottom"/>
            <w:hideMark/>
          </w:tcPr>
          <w:p w14:paraId="6C9B05EA" w14:textId="77777777" w:rsidR="004255E7" w:rsidRPr="00843724" w:rsidRDefault="004255E7" w:rsidP="003647EB">
            <w:pPr>
              <w:rPr>
                <w:szCs w:val="22"/>
              </w:rPr>
            </w:pPr>
            <w:r w:rsidRPr="00843724">
              <w:rPr>
                <w:szCs w:val="22"/>
              </w:rPr>
              <w:t>3</w:t>
            </w:r>
          </w:p>
        </w:tc>
        <w:tc>
          <w:tcPr>
            <w:tcW w:w="779" w:type="pct"/>
            <w:shd w:val="clear" w:color="auto" w:fill="auto"/>
            <w:noWrap/>
            <w:vAlign w:val="bottom"/>
            <w:hideMark/>
          </w:tcPr>
          <w:p w14:paraId="123EDB78" w14:textId="77777777" w:rsidR="004255E7" w:rsidRPr="00843724" w:rsidRDefault="004255E7" w:rsidP="003647EB">
            <w:pPr>
              <w:rPr>
                <w:szCs w:val="22"/>
              </w:rPr>
            </w:pPr>
            <w:r w:rsidRPr="00843724">
              <w:rPr>
                <w:szCs w:val="22"/>
              </w:rPr>
              <w:t>3</w:t>
            </w:r>
          </w:p>
        </w:tc>
        <w:tc>
          <w:tcPr>
            <w:tcW w:w="799" w:type="pct"/>
            <w:shd w:val="clear" w:color="auto" w:fill="auto"/>
            <w:noWrap/>
            <w:vAlign w:val="bottom"/>
            <w:hideMark/>
          </w:tcPr>
          <w:p w14:paraId="10764F02" w14:textId="77777777" w:rsidR="004255E7" w:rsidRPr="00843724" w:rsidRDefault="004255E7" w:rsidP="003647EB">
            <w:pPr>
              <w:rPr>
                <w:szCs w:val="22"/>
              </w:rPr>
            </w:pPr>
            <w:r w:rsidRPr="00843724">
              <w:rPr>
                <w:szCs w:val="22"/>
              </w:rPr>
              <w:t>6</w:t>
            </w:r>
          </w:p>
        </w:tc>
      </w:tr>
      <w:tr w:rsidR="004255E7" w:rsidRPr="00843724" w14:paraId="429E9626" w14:textId="77777777" w:rsidTr="00426810">
        <w:trPr>
          <w:trHeight w:val="280"/>
        </w:trPr>
        <w:tc>
          <w:tcPr>
            <w:tcW w:w="1283" w:type="pct"/>
            <w:shd w:val="clear" w:color="auto" w:fill="auto"/>
            <w:noWrap/>
            <w:vAlign w:val="bottom"/>
            <w:hideMark/>
          </w:tcPr>
          <w:p w14:paraId="12160E4D" w14:textId="2ECE450C" w:rsidR="004255E7" w:rsidRPr="00843724" w:rsidRDefault="002D2C47" w:rsidP="003647EB">
            <w:pPr>
              <w:rPr>
                <w:szCs w:val="22"/>
              </w:rPr>
            </w:pPr>
            <w:r w:rsidRPr="00843724">
              <w:rPr>
                <w:szCs w:val="22"/>
              </w:rPr>
              <w:t>Critically e</w:t>
            </w:r>
            <w:r w:rsidR="004255E7" w:rsidRPr="00843724">
              <w:rPr>
                <w:szCs w:val="22"/>
              </w:rPr>
              <w:t>ndangered (CE)</w:t>
            </w:r>
          </w:p>
        </w:tc>
        <w:tc>
          <w:tcPr>
            <w:tcW w:w="619" w:type="pct"/>
            <w:shd w:val="clear" w:color="auto" w:fill="auto"/>
            <w:noWrap/>
            <w:vAlign w:val="bottom"/>
            <w:hideMark/>
          </w:tcPr>
          <w:p w14:paraId="732F4FC6" w14:textId="77777777" w:rsidR="004255E7" w:rsidRPr="00843724" w:rsidRDefault="004255E7" w:rsidP="003647EB">
            <w:pPr>
              <w:rPr>
                <w:szCs w:val="22"/>
              </w:rPr>
            </w:pPr>
            <w:r w:rsidRPr="00843724">
              <w:rPr>
                <w:szCs w:val="22"/>
              </w:rPr>
              <w:t>1</w:t>
            </w:r>
          </w:p>
        </w:tc>
        <w:tc>
          <w:tcPr>
            <w:tcW w:w="801" w:type="pct"/>
            <w:shd w:val="clear" w:color="auto" w:fill="auto"/>
            <w:noWrap/>
            <w:vAlign w:val="bottom"/>
            <w:hideMark/>
          </w:tcPr>
          <w:p w14:paraId="79145AC8" w14:textId="77777777" w:rsidR="004255E7" w:rsidRPr="00843724" w:rsidRDefault="004255E7" w:rsidP="003647EB">
            <w:pPr>
              <w:rPr>
                <w:szCs w:val="22"/>
              </w:rPr>
            </w:pPr>
            <w:r w:rsidRPr="00843724">
              <w:rPr>
                <w:szCs w:val="22"/>
              </w:rPr>
              <w:t>0</w:t>
            </w:r>
          </w:p>
        </w:tc>
        <w:tc>
          <w:tcPr>
            <w:tcW w:w="719" w:type="pct"/>
            <w:shd w:val="clear" w:color="auto" w:fill="auto"/>
            <w:noWrap/>
            <w:vAlign w:val="bottom"/>
            <w:hideMark/>
          </w:tcPr>
          <w:p w14:paraId="1CEBB49A" w14:textId="77777777" w:rsidR="004255E7" w:rsidRPr="00843724" w:rsidRDefault="004255E7" w:rsidP="003647EB">
            <w:pPr>
              <w:rPr>
                <w:szCs w:val="22"/>
              </w:rPr>
            </w:pPr>
            <w:r w:rsidRPr="00843724">
              <w:rPr>
                <w:szCs w:val="22"/>
              </w:rPr>
              <w:t>0</w:t>
            </w:r>
          </w:p>
        </w:tc>
        <w:tc>
          <w:tcPr>
            <w:tcW w:w="779" w:type="pct"/>
            <w:shd w:val="clear" w:color="auto" w:fill="auto"/>
            <w:noWrap/>
            <w:vAlign w:val="bottom"/>
            <w:hideMark/>
          </w:tcPr>
          <w:p w14:paraId="197C3ADC" w14:textId="77777777" w:rsidR="004255E7" w:rsidRPr="00843724" w:rsidRDefault="004255E7" w:rsidP="003647EB">
            <w:pPr>
              <w:rPr>
                <w:szCs w:val="22"/>
              </w:rPr>
            </w:pPr>
            <w:r w:rsidRPr="00843724">
              <w:rPr>
                <w:szCs w:val="22"/>
              </w:rPr>
              <w:t>1</w:t>
            </w:r>
          </w:p>
        </w:tc>
        <w:tc>
          <w:tcPr>
            <w:tcW w:w="799" w:type="pct"/>
            <w:shd w:val="clear" w:color="auto" w:fill="auto"/>
            <w:noWrap/>
            <w:vAlign w:val="bottom"/>
            <w:hideMark/>
          </w:tcPr>
          <w:p w14:paraId="4DEAC544" w14:textId="77777777" w:rsidR="004255E7" w:rsidRPr="00843724" w:rsidRDefault="004255E7" w:rsidP="003647EB">
            <w:pPr>
              <w:rPr>
                <w:szCs w:val="22"/>
              </w:rPr>
            </w:pPr>
            <w:r w:rsidRPr="00843724">
              <w:rPr>
                <w:szCs w:val="22"/>
              </w:rPr>
              <w:t>0</w:t>
            </w:r>
          </w:p>
        </w:tc>
      </w:tr>
      <w:tr w:rsidR="004255E7" w:rsidRPr="00843724" w14:paraId="2F0A3259" w14:textId="77777777" w:rsidTr="00426810">
        <w:trPr>
          <w:trHeight w:val="280"/>
        </w:trPr>
        <w:tc>
          <w:tcPr>
            <w:tcW w:w="1283" w:type="pct"/>
            <w:shd w:val="clear" w:color="auto" w:fill="auto"/>
            <w:noWrap/>
            <w:vAlign w:val="bottom"/>
            <w:hideMark/>
          </w:tcPr>
          <w:p w14:paraId="58F2FE7A" w14:textId="77777777" w:rsidR="004255E7" w:rsidRPr="00843724" w:rsidRDefault="004255E7" w:rsidP="003647EB">
            <w:pPr>
              <w:rPr>
                <w:szCs w:val="22"/>
              </w:rPr>
            </w:pPr>
            <w:r w:rsidRPr="00843724">
              <w:rPr>
                <w:szCs w:val="22"/>
              </w:rPr>
              <w:t>Extinct</w:t>
            </w:r>
          </w:p>
        </w:tc>
        <w:tc>
          <w:tcPr>
            <w:tcW w:w="619" w:type="pct"/>
            <w:shd w:val="clear" w:color="auto" w:fill="auto"/>
            <w:noWrap/>
            <w:vAlign w:val="bottom"/>
            <w:hideMark/>
          </w:tcPr>
          <w:p w14:paraId="7D1983E1" w14:textId="77777777" w:rsidR="004255E7" w:rsidRPr="00843724" w:rsidRDefault="004255E7" w:rsidP="003647EB">
            <w:pPr>
              <w:rPr>
                <w:szCs w:val="22"/>
              </w:rPr>
            </w:pPr>
            <w:r w:rsidRPr="00843724">
              <w:rPr>
                <w:szCs w:val="22"/>
              </w:rPr>
              <w:t>3</w:t>
            </w:r>
          </w:p>
        </w:tc>
        <w:tc>
          <w:tcPr>
            <w:tcW w:w="801" w:type="pct"/>
            <w:shd w:val="clear" w:color="auto" w:fill="auto"/>
            <w:noWrap/>
            <w:vAlign w:val="bottom"/>
            <w:hideMark/>
          </w:tcPr>
          <w:p w14:paraId="56E54EB7" w14:textId="77777777" w:rsidR="004255E7" w:rsidRPr="00843724" w:rsidRDefault="004255E7" w:rsidP="003647EB">
            <w:pPr>
              <w:rPr>
                <w:szCs w:val="22"/>
              </w:rPr>
            </w:pPr>
            <w:r w:rsidRPr="00843724">
              <w:rPr>
                <w:szCs w:val="22"/>
              </w:rPr>
              <w:t>2</w:t>
            </w:r>
          </w:p>
        </w:tc>
        <w:tc>
          <w:tcPr>
            <w:tcW w:w="719" w:type="pct"/>
            <w:shd w:val="clear" w:color="auto" w:fill="auto"/>
            <w:noWrap/>
            <w:vAlign w:val="bottom"/>
            <w:hideMark/>
          </w:tcPr>
          <w:p w14:paraId="3609A59D" w14:textId="77777777" w:rsidR="004255E7" w:rsidRPr="00843724" w:rsidRDefault="004255E7" w:rsidP="003647EB">
            <w:pPr>
              <w:rPr>
                <w:szCs w:val="22"/>
              </w:rPr>
            </w:pPr>
            <w:r w:rsidRPr="00843724">
              <w:rPr>
                <w:szCs w:val="22"/>
              </w:rPr>
              <w:t>1</w:t>
            </w:r>
          </w:p>
        </w:tc>
        <w:tc>
          <w:tcPr>
            <w:tcW w:w="779" w:type="pct"/>
            <w:shd w:val="clear" w:color="auto" w:fill="auto"/>
            <w:noWrap/>
            <w:vAlign w:val="bottom"/>
            <w:hideMark/>
          </w:tcPr>
          <w:p w14:paraId="2B23376D" w14:textId="77777777" w:rsidR="004255E7" w:rsidRPr="00843724" w:rsidRDefault="004255E7" w:rsidP="003647EB">
            <w:pPr>
              <w:rPr>
                <w:szCs w:val="22"/>
              </w:rPr>
            </w:pPr>
            <w:r w:rsidRPr="00843724">
              <w:rPr>
                <w:szCs w:val="22"/>
              </w:rPr>
              <w:t>0</w:t>
            </w:r>
          </w:p>
        </w:tc>
        <w:tc>
          <w:tcPr>
            <w:tcW w:w="799" w:type="pct"/>
            <w:shd w:val="clear" w:color="auto" w:fill="auto"/>
            <w:noWrap/>
            <w:vAlign w:val="bottom"/>
            <w:hideMark/>
          </w:tcPr>
          <w:p w14:paraId="01121DB4" w14:textId="77777777" w:rsidR="004255E7" w:rsidRPr="00843724" w:rsidRDefault="004255E7" w:rsidP="003647EB">
            <w:pPr>
              <w:rPr>
                <w:szCs w:val="22"/>
              </w:rPr>
            </w:pPr>
            <w:r w:rsidRPr="00843724">
              <w:rPr>
                <w:szCs w:val="22"/>
              </w:rPr>
              <w:t>0</w:t>
            </w:r>
          </w:p>
        </w:tc>
      </w:tr>
    </w:tbl>
    <w:p w14:paraId="06CC119F" w14:textId="4815B229" w:rsidR="00ED2CA3" w:rsidRPr="008608AA" w:rsidRDefault="004255E7" w:rsidP="00DA1971">
      <w:pPr>
        <w:spacing w:before="240"/>
      </w:pPr>
      <w:r w:rsidRPr="008608AA">
        <w:t xml:space="preserve">Across subregions, trends in mammal populations are mixed </w:t>
      </w:r>
      <w:r w:rsidRPr="008608AA">
        <w:fldChar w:fldCharType="begin" w:fldLock="1"/>
      </w:r>
      <w:r w:rsidRPr="008608AA">
        <w:instrText>ADDIN CSL_CITATION { "citationItems" : [ { "id" : "ITEM-1", "itemData" : { "URL" : "www.iucnredlist.org", "accessed" : { "date-parts" : [ [ "2017", "1", "1" ] ] }, "author" : [ { "dropping-particle" : "", "family" : "IUCN", "given" : "", "non-dropping-particle" : "", "parse-names" : false, "suffix" : "" } ], "id" : "ITEM-1", "issued" : { "date-parts" : [ [ "2017" ] ] }, "title" : "The IUCN Red List of Threatened Species. Version 2016-3", "type" : "webpage" }, "uris" : [ "http://www.mendeley.com/documents/?uuid=9e1b2abd-bf56-415b-9f06-ca49e284658d" ] } ], "mendeley" : { "formattedCitation" : "(IUCN, 2017)", "plainTextFormattedCitation" : "(IUCN, 2017)", "previouslyFormattedCitation" : "(IUCN, 2017)" }, "properties" : { "noteIndex" : 0 }, "schema" : "https://github.com/citation-style-language/schema/raw/master/csl-citation.json" }</w:instrText>
      </w:r>
      <w:r w:rsidRPr="008608AA">
        <w:fldChar w:fldCharType="separate"/>
      </w:r>
      <w:r w:rsidRPr="008608AA">
        <w:rPr>
          <w:noProof/>
        </w:rPr>
        <w:t>(IUCN, 2017)</w:t>
      </w:r>
      <w:r w:rsidRPr="008608AA">
        <w:fldChar w:fldCharType="end"/>
      </w:r>
      <w:r w:rsidRPr="008608AA">
        <w:t xml:space="preserve"> (Figure 3.26). For example, although some sea otter populations are stabilizing or increasing, abundances remain below carrying capacity </w:t>
      </w:r>
      <w:r w:rsidRPr="008608AA">
        <w:fldChar w:fldCharType="begin" w:fldLock="1"/>
      </w:r>
      <w:r w:rsidRPr="008608AA">
        <w:instrText>ADDIN CSL_CITATION { "citationItems" : [ { "id" : "ITEM-1", "itemData" : { "URL" : "http://dx.doi.org/10.2305/IUCN.UK.2015-2.RLTS.T7750A21939518.en.", "author" : [ { "dropping-particle" : "", "family" : "Doroff", "given" : "A.", "non-dropping-particle" : "", "parse-names" : false, "suffix" : "" }, { "dropping-particle" : "", "family" : "Burdin", "given" : "A.", "non-dropping-particle" : "", "parse-names" : false, "suffix" : "" } ], "id" : "ITEM-1", "issued" : { "date-parts" : [ [ "2015" ] ] }, "title" : "&lt;i&gt;Enhydra lutris&lt;/i&gt;. The IUCN Red List of Threatened Species 2015: e.T7750A21939518", "type" : "webpage" }, "uris" : [ "http://www.mendeley.com/documents/?uuid=f078021c-a933-4223-b0d4-3420d9f3a406" ] } ], "mendeley" : { "formattedCitation" : "(Doroff &amp; Burdin, 2015)", "plainTextFormattedCitation" : "(Doroff &amp; Burdin, 2015)", "previouslyFormattedCitation" : "(Doroff &amp; Burdin, 2015)" }, "properties" : { "noteIndex" : 0 }, "schema" : "https://github.com/citation-style-language/schema/raw/master/csl-citation.json" }</w:instrText>
      </w:r>
      <w:r w:rsidRPr="008608AA">
        <w:fldChar w:fldCharType="separate"/>
      </w:r>
      <w:r w:rsidRPr="008608AA">
        <w:rPr>
          <w:noProof/>
        </w:rPr>
        <w:t>(Doroff &amp; Burdin, 2015)</w:t>
      </w:r>
      <w:r w:rsidRPr="008608AA">
        <w:fldChar w:fldCharType="end"/>
      </w:r>
      <w:r w:rsidRPr="008608AA">
        <w:t xml:space="preserve">. Both extant manatee species are considered vulnerable with decreasing populations. Because suitable sea ice habitat in the Arctic is degrading and/or disappearing rapidly with climate change, the polar bear is considered vulnerable; however the trends across the 11 populations of polar bear are mixed (4 increasing, 2 stable, 5 decreasing), and trends across eight other subpopulations are unknown </w:t>
      </w:r>
      <w:r w:rsidRPr="008608AA">
        <w:fldChar w:fldCharType="begin" w:fldLock="1"/>
      </w:r>
      <w:r w:rsidRPr="008608AA">
        <w:instrText>ADDIN CSL_CITATION { "citationItems" : [ { "id" : "ITEM-1", "itemData" : { "author" : [ { "dropping-particle" : "", "family" : "Wiig", "given" : "\u00d8.", "non-dropping-particle" : "", "parse-names" : false, "suffix" : "" }, { "dropping-particle" : "", "family" : "Amstrup", "given" : "S.", "non-dropping-particle" : "", "parse-names" : false, "suffix" : "" }, { "dropping-particle" : "", "family" : "Atwood", "given" : "T.", "non-dropping-particle" : "", "parse-names" : false, "suffix" : "" }, { "dropping-particle" : "", "family" : "Laidre", "given" : "K", "non-dropping-particle" : "", "parse-names" : false, "suffix" : "" }, { "dropping-particle" : "", "family" : "Lunn", "given" : "N.", "non-dropping-particle" : "", "parse-names" : false, "suffix" : "" }, { "dropping-particle" : "", "family" : "Obbard", "given" : "M", "non-dropping-particle" : "", "parse-names" : false, "suffix" : "" }, { "dropping-particle" : "", "family" : "Regehr", "given" : "E", "non-dropping-particle" : "", "parse-names" : false, "suffix" : "" }, { "dropping-particle" : "", "family" : "Thiemann", "given" : "G.", "non-dropping-particle" : "", "parse-names" : false, "suffix" : "" } ], "container-title" : "The IUCN Red List of Threatened Species 2015:", "id" : "ITEM-1", "issued" : { "date-parts" : [ [ "2015" ] ] }, "title" : "Ursus maritimus", "type" : "report" }, "uris" : [ "http://www.mendeley.com/documents/?uuid=9d30fdce-97ed-35c1-8c9f-c2b48d2596c3" ] }, { "id" : "ITEM-2", "itemData" : { "URL" : "http://pbsg.npolar.no/en/status/status-table.html", "author" : [ { "dropping-particle" : "", "family" : "IUCN", "given" : "", "non-dropping-particle" : "", "parse-names" : false, "suffix" : "" }, { "dropping-particle" : "", "family" : "SSC PBSG", "given" : "", "non-dropping-particle" : "", "parse-names" : false, "suffix" : "" } ], "id" : "ITEM-2", "issued" : { "date-parts" : [ [ "2017" ] ] }, "title" : "Summary of polar bear population status per 2017", "type" : "webpage" }, "uris" : [ "http://www.mendeley.com/documents/?uuid=3cf63465-c962-4ade-8357-61bbdeda38ce" ] } ], "mendeley" : { "formattedCitation" : "(IUCN &amp; SSC PBSG, 2017; Wiig et al., 2015)", "manualFormatting" : "(IUCN &amp; SSC PBSG, 2017; Wiig et al., 2015)", "plainTextFormattedCitation" : "(IUCN &amp; SSC PBSG, 2017; Wiig et al., 2015)", "previouslyFormattedCitation" : "(IUCN &amp; SSC PBSG, 2017; Wiig et al., 2015)" }, "properties" : { "noteIndex" : 0 }, "schema" : "https://github.com/citation-style-language/schema/raw/master/csl-citation.json" }</w:instrText>
      </w:r>
      <w:r w:rsidRPr="008608AA">
        <w:fldChar w:fldCharType="separate"/>
      </w:r>
      <w:r w:rsidRPr="008608AA">
        <w:rPr>
          <w:noProof/>
        </w:rPr>
        <w:t>(IUCN &amp; SSC PBSG, 2017; Wiig et al., 2015)</w:t>
      </w:r>
      <w:r w:rsidRPr="008608AA">
        <w:fldChar w:fldCharType="end"/>
      </w:r>
      <w:r w:rsidRPr="008608AA">
        <w:t xml:space="preserve">. Very little is known about population trends of most beaked whales and most dolphin species. Half of the turtle subpopulations that forage and/or nest in the Americas are endangered or critically endangered </w:t>
      </w:r>
      <w:r w:rsidRPr="008608AA">
        <w:fldChar w:fldCharType="begin" w:fldLock="1"/>
      </w:r>
      <w:r w:rsidRPr="008608AA">
        <w:instrText>ADDIN CSL_CITATION { "citationItems" : [ { "id" : "ITEM-1", "itemData" : { "URL" : "www.iucnredlist.org", "accessed" : { "date-parts" : [ [ "2017", "1", "1" ] ] }, "author" : [ { "dropping-particle" : "", "family" : "IUCN", "given" : "", "non-dropping-particle" : "", "parse-names" : false, "suffix" : "" } ], "id" : "ITEM-1", "issued" : { "date-parts" : [ [ "2017" ] ] }, "title" : "The IUCN Red List of Threatened Species. Version 2016-3", "type" : "webpage" }, "uris" : [ "http://www.mendeley.com/documents/?uuid=9e1b2abd-bf56-415b-9f06-ca49e284658d" ] } ], "mendeley" : { "formattedCitation" : "(IUCN, 2017)", "plainTextFormattedCitation" : "(IUCN, 2017)", "previouslyFormattedCitation" : "(IUCN, 2017)" }, "properties" : { "noteIndex" : 0 }, "schema" : "https://github.com/citation-style-language/schema/raw/master/csl-citation.json" }</w:instrText>
      </w:r>
      <w:r w:rsidRPr="008608AA">
        <w:fldChar w:fldCharType="separate"/>
      </w:r>
      <w:r w:rsidRPr="008608AA">
        <w:rPr>
          <w:noProof/>
        </w:rPr>
        <w:t>(IUCN, 2017)</w:t>
      </w:r>
      <w:r w:rsidRPr="008608AA">
        <w:fldChar w:fldCharType="end"/>
      </w:r>
      <w:r w:rsidRPr="008608AA">
        <w:t>.</w:t>
      </w:r>
    </w:p>
    <w:p w14:paraId="03609A0D" w14:textId="2F3E9813" w:rsidR="00DA1971" w:rsidRPr="008608AA" w:rsidRDefault="00FF0580" w:rsidP="00DA1971">
      <w:pPr>
        <w:spacing w:before="240"/>
        <w:jc w:val="center"/>
      </w:pPr>
      <w:r w:rsidRPr="008608AA">
        <w:rPr>
          <w:noProof/>
          <w:lang w:val="en-GB" w:eastAsia="en-GB"/>
        </w:rPr>
        <w:drawing>
          <wp:inline distT="0" distB="0" distL="0" distR="0" wp14:anchorId="58F3CF5D" wp14:editId="76F7771C">
            <wp:extent cx="5934075" cy="5219700"/>
            <wp:effectExtent l="0" t="0" r="9525" b="0"/>
            <wp:docPr id="30330" name="Imagen 30330" descr="C:\Users\Alejandro Valderrama\Downloads\Fig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2" descr="C:\Users\Alejandro Valderrama\Downloads\Fig3.26.jpg"/>
                    <pic:cNvPicPr>
                      <a:picLocks noChangeAspect="1" noChangeArrowheads="1"/>
                    </pic:cNvPicPr>
                  </pic:nvPicPr>
                  <pic:blipFill rotWithShape="1">
                    <a:blip r:embed="rId141">
                      <a:extLst>
                        <a:ext uri="{28A0092B-C50C-407E-A947-70E740481C1C}">
                          <a14:useLocalDpi xmlns:a14="http://schemas.microsoft.com/office/drawing/2010/main" val="0"/>
                        </a:ext>
                      </a:extLst>
                    </a:blip>
                    <a:srcRect b="38975"/>
                    <a:stretch/>
                  </pic:blipFill>
                  <pic:spPr bwMode="auto">
                    <a:xfrm>
                      <a:off x="0" y="0"/>
                      <a:ext cx="5934075" cy="5219700"/>
                    </a:xfrm>
                    <a:prstGeom prst="rect">
                      <a:avLst/>
                    </a:prstGeom>
                    <a:noFill/>
                    <a:ln>
                      <a:noFill/>
                    </a:ln>
                    <a:extLst>
                      <a:ext uri="{53640926-AAD7-44D8-BBD7-CCE9431645EC}">
                        <a14:shadowObscured xmlns:a14="http://schemas.microsoft.com/office/drawing/2010/main"/>
                      </a:ext>
                    </a:extLst>
                  </pic:spPr>
                </pic:pic>
              </a:graphicData>
            </a:graphic>
          </wp:inline>
        </w:drawing>
      </w:r>
    </w:p>
    <w:p w14:paraId="0AFC831D" w14:textId="5AF21E1F" w:rsidR="004255E7" w:rsidRPr="008608AA" w:rsidRDefault="004255E7" w:rsidP="00DA1971">
      <w:pPr>
        <w:spacing w:before="120" w:after="120"/>
      </w:pPr>
      <w:r w:rsidRPr="008608AA">
        <w:t>Recent trends</w:t>
      </w:r>
      <w:r w:rsidR="00520F22" w:rsidRPr="008608AA">
        <w:t xml:space="preserve">. </w:t>
      </w:r>
      <w:r w:rsidRPr="008608AA">
        <w:t>In North America, protection under the US Endangered Species Act, the US Marine Mammal Protection Act, and the International Whaling Commission has led to increasing populations of s</w:t>
      </w:r>
      <w:r w:rsidR="00F35848" w:rsidRPr="008608AA">
        <w:t>ome marine mammals (e.g.</w:t>
      </w:r>
      <w:r w:rsidRPr="008608AA">
        <w:t xml:space="preserve"> gray whales) and sea turtle species in USA waters, but habitat destruction and human activities continue to place other species in jeopardy. For example, the western North Atlantic right whale and Hawaiian monk seal continue to decline </w:t>
      </w:r>
      <w:r w:rsidRPr="008608AA">
        <w:fldChar w:fldCharType="begin" w:fldLock="1"/>
      </w:r>
      <w:r w:rsidRPr="008608AA">
        <w:instrText>ADDIN CSL_CITATION { "citationItems" : [ { "id" : "ITEM-1", "itemData" : { "author" : [ { "dropping-particle" : "", "family" : "Hourigan", "given" : "T.F.", "non-dropping-particle" : "", "parse-names" : false, "suffix" : "" } ], "container-title" : "Trends and Future Challenges for U.S. National Ocean and Coastal Policy", "editor" : [ { "dropping-particle" : "", "family" : "Cicin-Sain", "given" : "Biliana", "non-dropping-particle" : "", "parse-names" : false, "suffix" : "" }, { "dropping-particle" : "", "family" : "Knecht", "given" : "Robert W.", "non-dropping-particle" : "", "parse-names" : false, "suffix" : "" }, { "dropping-particle" : "", "family" : "Foster", "given" : "Nancy", "non-dropping-particle" : "", "parse-names" : false, "suffix" : "" } ], "id" : "ITEM-1", "issued" : { "date-parts" : [ [ "1999" ] ] }, "publisher" : "Proceedings of a Workshop", "publisher-place" : "Washington D.C., USA", "title" : "Conserving ocean biodiversity: trends and challenges", "type" : "chapter" }, "uris" : [ "http://www.mendeley.com/documents/?uuid=ae89b42b-46fd-48f1-9b44-e6bfa5a70502" ] } ], "mendeley" : { "formattedCitation" : "(Hourigan, 1999)", "plainTextFormattedCitation" : "(Hourigan, 1999)", "previouslyFormattedCitation" : "(Hourigan, 1999)" }, "properties" : { "noteIndex" : 0 }, "schema" : "https://github.com/citation-style-language/schema/raw/master/csl-citation.json" }</w:instrText>
      </w:r>
      <w:r w:rsidRPr="008608AA">
        <w:fldChar w:fldCharType="separate"/>
      </w:r>
      <w:r w:rsidRPr="008608AA">
        <w:rPr>
          <w:noProof/>
        </w:rPr>
        <w:t>(Hourigan, 1999)</w:t>
      </w:r>
      <w:r w:rsidRPr="008608AA">
        <w:fldChar w:fldCharType="end"/>
      </w:r>
      <w:r w:rsidRPr="008608AA">
        <w:t>. Similarly, marine mammal populations in Canada are increasing, including grey seals in the Scotian Shelf and Gulf of St. Lawrence, harp seals in the Gulf of Maine and Scotian Shelf, western Arctic bowhead whales in the Beaufort Sea, Stellar sea lions, sea otters, and the Pacific harbour seal. Resident killer whale (</w:t>
      </w:r>
      <w:r w:rsidRPr="008608AA">
        <w:rPr>
          <w:i/>
          <w:iCs/>
        </w:rPr>
        <w:t>Orcinus orca</w:t>
      </w:r>
      <w:r w:rsidRPr="008608AA">
        <w:t xml:space="preserve">) populations off the coast of Vancouver Island have shown variable patterns since 2001, with the threatened northern population showing slight signs of recovery but the endangered southern population showing little recovery and listed as “endangered” in the USA “at risk” in Canada </w:t>
      </w:r>
      <w:r w:rsidRPr="008608AA">
        <w:fldChar w:fldCharType="begin" w:fldLock="1"/>
      </w:r>
      <w:r w:rsidRPr="008608AA">
        <w:instrText>ADDIN CSL_CITATION { "citationItems" : [ { "id" : "ITEM-1", "itemData" : { "author" : [ { "dropping-particle" : "", "family" : "Fisheries and Oceans Canada", "given" : "", "non-dropping-particle" : "", "parse-names" : false, "suffix" : "" } ], "id" : "ITEM-1", "issued" : { "date-parts" : [ [ "2017" ] ] }, "page" : "33", "publisher" : "Fisheries and Oceans Canada", "publisher-place" : "Ottawa, Canada", "title" : "Action plan for the Northern and Southern resident Killer Whale (&lt;i&gt;Orcinus orca&lt;/i&gt;) in Canada. Species at Risk Action Plan Series", "type" : "article" }, "uris" : [ "http://www.mendeley.com/documents/?uuid=c84d69cc-ef3f-4b5d-8ede-97b53f971842" ] } ], "mendeley" : { "formattedCitation" : "(Fisheries and Oceans Canada, 2017)", "plainTextFormattedCitation" : "(Fisheries and Oceans Canada, 2017)", "previouslyFormattedCitation" : "(Fisheries and Oceans Canada, 2017)" }, "properties" : { "noteIndex" : 0 }, "schema" : "https://github.com/citation-style-language/schema/raw/master/csl-citation.json" }</w:instrText>
      </w:r>
      <w:r w:rsidRPr="008608AA">
        <w:fldChar w:fldCharType="separate"/>
      </w:r>
      <w:r w:rsidRPr="008608AA">
        <w:rPr>
          <w:noProof/>
        </w:rPr>
        <w:t>(Fisheries and Oceans Canada, 2017)</w:t>
      </w:r>
      <w:r w:rsidRPr="008608AA">
        <w:fldChar w:fldCharType="end"/>
      </w:r>
      <w:r w:rsidRPr="008608AA">
        <w:t xml:space="preserve">. </w:t>
      </w:r>
    </w:p>
    <w:p w14:paraId="143EB107" w14:textId="02B4732A" w:rsidR="004255E7" w:rsidRPr="008608AA" w:rsidRDefault="004255E7" w:rsidP="00DA1971">
      <w:pPr>
        <w:spacing w:after="120"/>
      </w:pPr>
      <w:r w:rsidRPr="008608AA">
        <w:t>Across the Americas, despite bycatch reduction efforts, particularly in North America, some large whales are still endangered (</w:t>
      </w:r>
      <w:r w:rsidR="00847F60" w:rsidRPr="008608AA">
        <w:t>e.g.</w:t>
      </w:r>
      <w:r w:rsidRPr="008608AA">
        <w:t xml:space="preserve"> North Atlantic blue whale, </w:t>
      </w:r>
      <w:r w:rsidRPr="008608AA">
        <w:rPr>
          <w:i/>
          <w:iCs/>
        </w:rPr>
        <w:t>Balaenoptera musculus</w:t>
      </w:r>
      <w:r w:rsidRPr="008608AA">
        <w:t xml:space="preserve">) as are cetacean populations with low abundances </w:t>
      </w:r>
      <w:r w:rsidRPr="008608AA">
        <w:fldChar w:fldCharType="begin" w:fldLock="1"/>
      </w:r>
      <w:r w:rsidRPr="008608AA">
        <w:instrText>ADDIN CSL_CITATION { "citationItems" : [ { "id" : "ITEM-1", "itemData" : { "DOI" : "10.1644/07-MAMM-S-315R1.1", "ISBN" : "0022-2372", "ISSN" : "0022-2372", "PMID" : "19843128", "abstract" : "Direct fisheries interactions pose a serious threat to the conservation of many populations and some species of marine mammals. The most acute problem is bycatch, unintended mortality in fishing gear, although this can transition into unregulated harvest under some circumstances. A growing issue in some fisheries is depredation, in which marine mammals remove captured fish from nets or lines. Depredation reduces the value of catch and may lead to a greater risk of entanglement and the potential for retaliatory measures taken by fishermen. The conservation threat caused by direct fisheries interactions is most dire for small populations of cetaceans and dugongs. Immediate action is needed to assess the magnitude of bycatch, particularly in many areas of Africa and Asia where little work has been conducted. New and innovative solutions to this problem are required that take account of the socioeconomic conditions experienced by fishermen and allow for efficient transfer of mitigation technology to fisheries of the developing world.", "author" : [ { "dropping-particle" : "", "family" : "Read", "given" : "Andrew J.", "non-dropping-particle" : "", "parse-names" : false, "suffix" : "" } ], "container-title" : "Journal of Mammalogy", "id" : "ITEM-1", "issue" : "3", "issued" : { "date-parts" : [ [ "2008" ] ] }, "page" : "541-548", "title" : "The looming crisis: interactions between marine mammals and fisheries", "type" : "article-journal", "volume" : "89" }, "uris" : [ "http://www.mendeley.com/documents/?uuid=5c41716d-2161-365e-ac92-7b2deba77875" ] } ], "mendeley" : { "formattedCitation" : "(Read, 2008)", "plainTextFormattedCitation" : "(Read, 2008)", "previouslyFormattedCitation" : "(Read, 2008)" }, "properties" : { "noteIndex" : 0 }, "schema" : "https://github.com/citation-style-language/schema/raw/master/csl-citation.json" }</w:instrText>
      </w:r>
      <w:r w:rsidRPr="008608AA">
        <w:fldChar w:fldCharType="separate"/>
      </w:r>
      <w:r w:rsidRPr="008608AA">
        <w:rPr>
          <w:noProof/>
        </w:rPr>
        <w:t>(Read, 2008)</w:t>
      </w:r>
      <w:r w:rsidRPr="008608AA">
        <w:fldChar w:fldCharType="end"/>
      </w:r>
      <w:r w:rsidRPr="008608AA">
        <w:t>. Some populations are small in number from previous anthropogenic impacts,</w:t>
      </w:r>
      <w:r w:rsidRPr="008608AA" w:rsidDel="008F2C26">
        <w:t xml:space="preserve"> </w:t>
      </w:r>
      <w:r w:rsidRPr="008608AA">
        <w:t>such as false killer whales (</w:t>
      </w:r>
      <w:r w:rsidRPr="008608AA">
        <w:rPr>
          <w:i/>
          <w:iCs/>
        </w:rPr>
        <w:t>Pseudorca crassidens</w:t>
      </w:r>
      <w:r w:rsidRPr="008608AA">
        <w:t>). Sirenians (</w:t>
      </w:r>
      <w:r w:rsidR="00847F60" w:rsidRPr="008608AA">
        <w:t>e.g.</w:t>
      </w:r>
      <w:r w:rsidRPr="008608AA">
        <w:t xml:space="preserve"> manatee, </w:t>
      </w:r>
      <w:r w:rsidRPr="008608AA">
        <w:rPr>
          <w:i/>
          <w:iCs/>
        </w:rPr>
        <w:t>Trichechus manatus</w:t>
      </w:r>
      <w:r w:rsidRPr="008608AA">
        <w:t xml:space="preserve">) and large whales are particularly vulnerable to fisheries </w:t>
      </w:r>
      <w:r w:rsidRPr="008608AA">
        <w:rPr>
          <w:rFonts w:eastAsiaTheme="majorEastAsia"/>
        </w:rPr>
        <w:t>bycatch and other types of removals because of</w:t>
      </w:r>
      <w:r w:rsidRPr="008608AA">
        <w:t xml:space="preserve"> inherent life history traits (</w:t>
      </w:r>
      <w:r w:rsidR="00847F60" w:rsidRPr="008608AA">
        <w:t>e.g.</w:t>
      </w:r>
      <w:r w:rsidRPr="008608AA">
        <w:t xml:space="preserve"> slow maturation) that limit their potential population growth rate </w:t>
      </w:r>
      <w:r w:rsidRPr="008608AA">
        <w:fldChar w:fldCharType="begin" w:fldLock="1"/>
      </w:r>
      <w:r w:rsidRPr="008608AA">
        <w:instrText>ADDIN CSL_CITATION { "citationItems" : [ { "id" : "ITEM-1", "itemData" : { "author" : [ { "dropping-particle" : "", "family" : "Eberhardt", "given" : "L.L.", "non-dropping-particle" : "", "parse-names" : false, "suffix" : "" }, { "dropping-particle" : "", "family" : "O\u2019Shea", "given" : "T..J.", "non-dropping-particle" : "", "parse-names" : false, "suffix" : "" } ], "container-title" : "Population Biology of the Florida Manatee", "editor" : [ { "dropping-particle" : "", "family" : "O\u2019Shea", "given" : "T.J.", "non-dropping-particle" : "", "parse-names" : false, "suffix" : "" }, { "dropping-particle" : "", "family" : "Ackerman", "given" : "B.B.", "non-dropping-particle" : "", "parse-names" : false, "suffix" : "" }, { "dropping-particle" : "", "family" : "Percival", "given" : "H.F.", "non-dropping-particle" : "", "parse-names" : false, "suffix" : "" } ], "id" : "ITEM-1", "issued" : { "date-parts" : [ [ "1995" ] ] }, "page" : "269-273", "publisher" : "National Biological Service, Information and Technology Report", "publisher-place" : "Washington D.C., USA", "title" : "Integration of manatee life history data and population modeling", "type" : "chapter" }, "uris" : [ "http://www.mendeley.com/documents/?uuid=bd88acf2-f273-3b38-9c35-77ceaec2ac5c" ] } ], "mendeley" : { "formattedCitation" : "(Eberhardt &amp; O\u2019Shea, 1995)", "manualFormatting" : "(Eberhardt &amp; O\u2019Shea, 1995)", "plainTextFormattedCitation" : "(Eberhardt &amp; O\u2019Shea, 1995)", "previouslyFormattedCitation" : "(Eberhardt &amp; O\u2019Shea, 1995)" }, "properties" : { "noteIndex" : 0 }, "schema" : "https://github.com/citation-style-language/schema/raw/master/csl-citation.json" }</w:instrText>
      </w:r>
      <w:r w:rsidRPr="008608AA">
        <w:fldChar w:fldCharType="separate"/>
      </w:r>
      <w:r w:rsidRPr="008608AA">
        <w:rPr>
          <w:noProof/>
        </w:rPr>
        <w:t>(Eberhardt &amp; O’Shea, 1995)</w:t>
      </w:r>
      <w:r w:rsidRPr="008608AA">
        <w:fldChar w:fldCharType="end"/>
      </w:r>
      <w:r w:rsidRPr="008608AA">
        <w:t xml:space="preserve">. In Mesoamerica, the Caribbean and South America there is generally a lack of consistent, robust fisheries bycatch reduction management and/or enforcement, and fisheries bycatch remains a primary anthropogenic threat </w:t>
      </w:r>
      <w:r w:rsidRPr="008608AA">
        <w:fldChar w:fldCharType="begin" w:fldLock="1"/>
      </w:r>
      <w:r w:rsidRPr="008608AA">
        <w:instrText>ADDIN CSL_CITATION { "citationItems" : [ { "id" : "ITEM-1", "itemData" : { "editor" : [ { "dropping-particle" : "", "family" : "Hucke-Gaete", "given" : "R.", "non-dropping-particle" : "", "parse-names" : false, "suffix" : "" }, { "dropping-particle" : "", "family" : "Crespo", "given" : "E.A", "non-dropping-particle" : "", "parse-names" : false, "suffix" : "" }, { "dropping-particle" : "", "family" : "Schlatter", "given" : "Roberto P", "non-dropping-particle" : "", "parse-names" : false, "suffix" : "" } ], "id" : "ITEM-1", "issued" : { "date-parts" : [ [ "2004" ] ] }, "number-of-pages" : "35", "publisher" : "UNEP/CMS Secretariat", "publisher-place" : "Bonn, Germany", "title" : "Aquatic Mammals in Latin America: Proceedings of a Workshop on Identifying High-Priority Conservation Needs and Actions", "type" : "report" }, "uris" : [ "http://www.mendeley.com/documents/?uuid=c425b8bc-de77-388b-b0d8-b94dc9b28640" ] }, { "id" : "ITEM-2", "itemData" : { "DOI" : "10.1644/07-MAMM-S-315R1.1", "ISBN" : "0022-2372", "ISSN" : "0022-2372", "PMID" : "19843128", "abstract" : "Direct fisheries interactions pose a serious threat to the conservation of many populations and some species of marine mammals. The most acute problem is bycatch, unintended mortality in fishing gear, although this can transition into unregulated harvest under some circumstances. A growing issue in some fisheries is depredation, in which marine mammals remove captured fish from nets or lines. Depredation reduces the value of catch and may lead to a greater risk of entanglement and the potential for retaliatory measures taken by fishermen. The conservation threat caused by direct fisheries interactions is most dire for small populations of cetaceans and dugongs. Immediate action is needed to assess the magnitude of bycatch, particularly in many areas of Africa and Asia where little work has been conducted. New and innovative solutions to this problem are required that take account of the socioeconomic conditions experienced by fishermen and allow for efficient transfer of mitigation technology to fisheries of the developing world.", "author" : [ { "dropping-particle" : "", "family" : "Read", "given" : "Andrew J.", "non-dropping-particle" : "", "parse-names" : false, "suffix" : "" } ], "container-title" : "Journal of Mammalogy", "id" : "ITEM-2", "issue" : "3", "issued" : { "date-parts" : [ [ "2008" ] ] }, "page" : "541-548", "title" : "The looming crisis: interactions between marine mammals and fisheries", "type" : "article-journal", "volume" : "89" }, "uris" : [ "http://www.mendeley.com/documents/?uuid=5c41716d-2161-365e-ac92-7b2deba77875" ] } ], "mendeley" : { "formattedCitation" : "(Hucke-Gaete, Crespo, &amp; Schlatter, 2004; Read, 2008)", "manualFormatting" : "(Hucke-Gaete &amp; Schlatte (eds), 2004; Read, 2008)", "plainTextFormattedCitation" : "(Hucke-Gaete, Crespo, &amp; Schlatter, 2004; Read, 2008)", "previouslyFormattedCitation" : "(Hucke-Gaete, Crespo, &amp; Schlatter, 2004; Read, 2008)" }, "properties" : { "noteIndex" : 0 }, "schema" : "https://github.com/citation-style-language/schema/raw/master/csl-citation.json" }</w:instrText>
      </w:r>
      <w:r w:rsidRPr="008608AA">
        <w:fldChar w:fldCharType="separate"/>
      </w:r>
      <w:r w:rsidR="004C699C" w:rsidRPr="008608AA">
        <w:rPr>
          <w:noProof/>
        </w:rPr>
        <w:t>(Hucke-Gaete &amp; Schlatte</w:t>
      </w:r>
      <w:r w:rsidRPr="008608AA">
        <w:rPr>
          <w:noProof/>
        </w:rPr>
        <w:t>, 2004; Read, 2008)</w:t>
      </w:r>
      <w:r w:rsidRPr="008608AA">
        <w:fldChar w:fldCharType="end"/>
      </w:r>
      <w:r w:rsidRPr="008608AA">
        <w:t xml:space="preserve">. The vaquita, a small porpoise endemic to a small range in the northern Gulf of California, is an example of a small, critically endangered population subject to high bycatch rates; as such, this species is predicted to go extinct by 2022 or sooner </w:t>
      </w:r>
      <w:r w:rsidRPr="008608AA">
        <w:fldChar w:fldCharType="begin" w:fldLock="1"/>
      </w:r>
      <w:r w:rsidRPr="008608AA">
        <w:instrText>ADDIN CSL_CITATION { "citationItems" : [ { "id" : "ITEM-1", "itemData" : { "DOI" : "10.1111/conl.12331", "ISSN" : "1755263X", "abstract" : "The number of Mexico\u2019s endemic porpoise, the vaquita (Phocoena sinus), is collapsing primarily due to bycatch in illegal gillnets set for totoaba (Totoaba macdonaldi), an endangered fish whose swim bladders are exported to China. Previous research estimated that vaquitas declined from about 567 to 245 indi- viduals between 1997 and 2008. Acousticmonitoring between 2011 and 2015 showed a decline of 34%/year. Here, we combine visual line transect and pas- sive acoustic data collected simultaneously in a robust spatial analysis to esti- mate that only 59 (95% Bayesian Credible Interval [CRI] 22\u2013145) vaquita re- mained as of autumn 2015, a decrease since 1997 of 92% (95% CRI 80\u201397%). Risk analysis suggests that if the current, temporary gillnet ban is maintained and effectively enforced, vaquitas could recover to 2008 population levels by 2050. Otherwise, the species is likely to be extinct within a decade.", "author" : [ { "dropping-particle" : "", "family" : "Taylor", "given" : "Barbara L.", "non-dropping-particle" : "", "parse-names" : false, "suffix" : "" }, { "dropping-particle" : "", "family" : "Rojas-Bracho", "given" : "Lorenzo", "non-dropping-particle" : "", "parse-names" : false, "suffix" : "" }, { "dropping-particle" : "", "family" : "Moore", "given" : "Jeffrey", "non-dropping-particle" : "", "parse-names" : false, "suffix" : "" }, { "dropping-particle" : "", "family" : "Jaramillo-Legorreta", "given" : "Armando", "non-dropping-particle" : "", "parse-names" : false, "suffix" : "" }, { "dropping-particle" : "", "family" : "Hoef", "given" : "Jay M.", "non-dropping-particle" : "Ver", "parse-names" : false, "suffix" : "" }, { "dropping-particle" : "", "family" : "Cardenas-Hinojosa", "given" : "Gustavo", "non-dropping-particle" : "", "parse-names" : false, "suffix" : "" }, { "dropping-particle" : "", "family" : "Nieto-Garcia", "given" : "Edwyna", "non-dropping-particle" : "", "parse-names" : false, "suffix" : "" }, { "dropping-particle" : "", "family" : "Barlow", "given" : "Jay", "non-dropping-particle" : "", "parse-names" : false, "suffix" : "" }, { "dropping-particle" : "", "family" : "Gerrodette", "given" : "Tim", "non-dropping-particle" : "", "parse-names" : false, "suffix" : "" }, { "dropping-particle" : "", "family" : "Tregenza", "given" : "Nicholas", "non-dropping-particle" : "", "parse-names" : false, "suffix" : "" }, { "dropping-particle" : "", "family" : "Thomas", "given" : "Len", "non-dropping-particle" : "", "parse-names" : false, "suffix" : "" }, { "dropping-particle" : "", "family" : "Hammond", "given" : "Philip S.", "non-dropping-particle" : "", "parse-names" : false, "suffix" : "" } ], "container-title" : "Conservation Letters", "id" : "ITEM-1", "issue" : "5", "issued" : { "date-parts" : [ [ "2017" ] ] }, "page" : "588-595", "title" : "Extinction is imminent for Mexico's endemic porpoise unless fishery bycatch is eliminated", "type" : "article-journal", "volume" : "10" }, "uris" : [ "http://www.mendeley.com/documents/?uuid=34370040-6daf-31f0-a32e-5e4197e716c3" ] } ], "mendeley" : { "formattedCitation" : "(B. L. Taylor et al., 2017)", "manualFormatting" : "(Taylor et al., 2017)", "plainTextFormattedCitation" : "(B. L. Taylor et al., 2017)", "previouslyFormattedCitation" : "(B. L. Taylor et al., 2017)" }, "properties" : { "noteIndex" : 0 }, "schema" : "https://github.com/citation-style-language/schema/raw/master/csl-citation.json" }</w:instrText>
      </w:r>
      <w:r w:rsidRPr="008608AA">
        <w:fldChar w:fldCharType="separate"/>
      </w:r>
      <w:r w:rsidRPr="008608AA">
        <w:rPr>
          <w:noProof/>
        </w:rPr>
        <w:t>(Taylor et al., 2017)</w:t>
      </w:r>
      <w:r w:rsidRPr="008608AA">
        <w:fldChar w:fldCharType="end"/>
      </w:r>
      <w:r w:rsidRPr="008608AA">
        <w:t>.</w:t>
      </w:r>
    </w:p>
    <w:p w14:paraId="441A0394" w14:textId="77777777" w:rsidR="004255E7" w:rsidRPr="008608AA" w:rsidRDefault="004255E7" w:rsidP="00DA1971">
      <w:pPr>
        <w:spacing w:after="120"/>
      </w:pPr>
      <w:r w:rsidRPr="008608AA">
        <w:t xml:space="preserve">Around 338 marine time series of change in the Americas have been collected. These studies are distributed inequitably and are geographically sparse, with only eight in South America </w:t>
      </w:r>
      <w:r w:rsidRPr="008608AA">
        <w:fldChar w:fldCharType="begin" w:fldLock="1"/>
      </w:r>
      <w:r w:rsidRPr="008608AA">
        <w:instrText>ADDIN CSL_CITATION { "citationItems" : [ { "id" : "ITEM-1", "itemData" : { "author" : [ { "dropping-particle" : "", "family" : "Dunic", "given" : "J.C.", "non-dropping-particle" : "", "parse-names" : false, "suffix" : "" } ], "id" : "ITEM-1", "issued" : { "date-parts" : [ [ "2016" ] ] }, "publisher" : "Masters Dissertation, 415, University of Massachusetts Boston", "title" : "Contextualizing Local Biodiversity Change in the Face of Human Impacts.", "type" : "thesis" }, "uris" : [ "http://www.mendeley.com/documents/?uuid=20bd42e6-0e61-3e4c-b393-4c1a2e26789c" ] }, { "id" : "ITEM-2", "itemData" : { "DOI" : "10.1126/science.1248484", "ISBN" : "1095-9203 (Electronic)\\r0036-8075 (Linking)", "ISSN" : "0036-8075", "PMID" : "24744374", "abstract" : "Abstract The extent to which biodiversity change in local assemblages contributes to global biodiversity loss is poorly understood. We analyzed 100 time series from biomes across Earth to ask how diversity within assemblages is changing through time. We quantified ...\\n", "author" : [ { "dropping-particle" : "", "family" : "Dornelas", "given" : "Maria", "non-dropping-particle" : "", "parse-names" : false, "suffix" : "" }, { "dropping-particle" : "", "family" : "Gotelli", "given" : "Nicholas J.", "non-dropping-particle" : "", "parse-names" : false, "suffix" : "" }, { "dropping-particle" : "", "family" : "McGill", "given" : "Brian", "non-dropping-particle" : "", "parse-names" : false, "suffix" : "" }, { "dropping-particle" : "", "family" : "Shimadzu", "given" : "Hideyasu", "non-dropping-particle" : "", "parse-names" : false, "suffix" : "" }, { "dropping-particle" : "", "family" : "Moyes", "given" : "Faye", "non-dropping-particle" : "", "parse-names" : false, "suffix" : "" }, { "dropping-particle" : "", "family" : "Sievers", "given" : "Caya", "non-dropping-particle" : "", "parse-names" : false, "suffix" : "" }, { "dropping-particle" : "", "family" : "Magurran", "given" : "Anne E.", "non-dropping-particle" : "", "parse-names" : false, "suffix" : "" } ], "container-title" : "Science", "id" : "ITEM-2", "issue" : "6181", "issued" : { "date-parts" : [ [ "2014" ] ] }, "page" : "296-299", "title" : "Assemblage time series reveal biodiversity change but not systematic loss", "type" : "article-journal", "volume" : "344" }, "uris" : [ "http://www.mendeley.com/documents/?uuid=f08b3248-83c8-39ba-b2ae-f39fbbf2b0d6" ] }, { "id" : "ITEM-3", "itemData" : { "DOI" : "10.1016/j.cub.2015.05.030", "ISBN" : "0960-9822", "ISSN" : "09609822", "PMID" : "26166784", "abstract" : "The modern biodiversity crisis reflects global extinctions and local introductions. Human activities have dramatically altered rates and scales of processes that regulate biodiversity at local scales [1-7]. Reconciling the threat of global biodiversity loss [2, 4, 6-9] with recent evidence of stability at fine spatial scales [10,11] is a major challenge and requires a nuanced approach to biodiversity change that integrates ecological understanding. With a new dataset of 471 diversity time series spanning from 1962 to 2015 from marine coastal ecosystems, we tested (1) whether biodiversity changed at local scales in recent decades, and (2) whether we can ignore ecological context (e.g., proximate human impacts, trophic level, spatial scale) and still make informative inferences regarding local change. We detected a predominant signal of increasing species richness in coastal systems since 1962 in our dataset, though net species loss was associated with localized effects of anthropogenic impacts. Our geographically extensive dataset is unlikely to be a random sample of marine coastal habitats; impacted sites (3% of our time series) were underrepresented relative to their global presence. These local-scale patterns do not contradict the prospect of accelerating global extinctions [2,4,6-9] but are consistent with local species loss in areas with direct human impacts and increases in diversity due to invasions and range expansions in lower impact areas. Attempts to detect and understand local biodiversity trends are incomplete without information on local human activities and ecological context.", "author" : [ { "dropping-particle" : "", "family" : "Elahi", "given" : "Robin", "non-dropping-particle" : "", "parse-names" : false, "suffix" : "" }, { "dropping-particle" : "", "family" : "O'Connor", "given" : "Mary I.", "non-dropping-particle" : "", "parse-names" : false, "suffix" : "" }, { "dropping-particle" : "", "family" : "Byrnes", "given" : "Jarrett E K", "non-dropping-particle" : "", "parse-names" : false, "suffix" : "" }, { "dropping-particle" : "", "family" : "Dunic", "given" : "Jillian", "non-dropping-particle" : "", "parse-names" : false, "suffix" : "" }, { "dropping-particle" : "", "family" : "Eriksson", "given" : "Britas Klemens", "non-dropping-particle" : "", "parse-names" : false, "suffix" : "" }, { "dropping-particle" : "", "family" : "Hensel", "given" : "Marc J S", "non-dropping-particle" : "", "parse-names" : false, "suffix" : "" }, { "dropping-particle" : "", "family" : "Kearns", "given" : "Patrick J.", "non-dropping-particle" : "", "parse-names" : false, "suffix" : "" } ], "container-title" : "Current Biology", "id" : "ITEM-3", "issue" : "14", "issued" : { "date-parts" : [ [ "2015" ] ] }, "page" : "1938-1943", "title" : "Recent trends in local-scale marine biodiversity reflect community structure and human impacts", "type" : "article-journal", "volume" : "25" }, "uris" : [ "http://www.mendeley.com/documents/?uuid=13cf0b9b-950c-4a26-b071-8aa4b54063d3" ] } ], "mendeley" : { "formattedCitation" : "(Dornelas et al., 2014; Dunic, 2016; Elahi et al., 2015)", "plainTextFormattedCitation" : "(Dornelas et al., 2014; Dunic, 2016; Elahi et al., 2015)", "previouslyFormattedCitation" : "(Dornelas et al., 2014; Dunic, 2016; Elahi et al., 2015)" }, "properties" : { "noteIndex" : 0 }, "schema" : "https://github.com/citation-style-language/schema/raw/master/csl-citation.json" }</w:instrText>
      </w:r>
      <w:r w:rsidRPr="008608AA">
        <w:fldChar w:fldCharType="separate"/>
      </w:r>
      <w:r w:rsidRPr="008608AA">
        <w:rPr>
          <w:noProof/>
        </w:rPr>
        <w:t>(Dornelas et al., 2014; Dunic, 2016; Elahi et al., 2015)</w:t>
      </w:r>
      <w:r w:rsidRPr="008608AA">
        <w:fldChar w:fldCharType="end"/>
      </w:r>
      <w:r w:rsidRPr="008608AA">
        <w:t xml:space="preserve">. Further, most time series are less than 10 years, precluding a comprehensive picture of how marine biodiversity has changed in the Americas over the past 40-50 years. The only ecoregion </w:t>
      </w:r>
      <w:r w:rsidRPr="008608AA">
        <w:fldChar w:fldCharType="begin" w:fldLock="1"/>
      </w:r>
      <w:r w:rsidRPr="008608AA">
        <w:instrText>ADDIN CSL_CITATION { "citationItems" : [ { "id" : "ITEM-1", "itemData" : { "DOI" : "10.1111/j.1755-263X.2008.00030.x", "ISBN" : "1755-263X", "ISSN" : "1755263X", "abstract" : "Marine conservation lags behind terrestrial in the establishment of protected areas. This was recognized by the Convention on Biological Diversity, whose members, in 2004, agreed to establish \u201ccomprehensive, effectively managed, and ecologically representative\u201d systems of marine protected areas (MPAs) by 2012. Halfway toward this target date, we look at the coverage of the world\u2019s 5045 MPAs from a biogeographic perspective. Only 4.09% of continental shelf areas are incorporated within MPAs, although coverage rises to 12.1% in a narrow coastal belt. Approximately half of allmarine ecoregions have less than 1% MPA coverage across the shelf, but this is highly variable, and (8%) of ecoregions have &gt;30% protection. Protection is greatest in the tropical realms, while temperate realms remain poorly represented. Given that thatmany sites lack effective management, even these low estimates of coverage are an opti- mistic measure of the extent of effective marine conservation.", "author" : [ { "dropping-particle" : "", "family" : "Spalding", "given" : "Mark D.", "non-dropping-particle" : "", "parse-names" : false, "suffix" : "" }, { "dropping-particle" : "", "family" : "Fish", "given" : "Lucy", "non-dropping-particle" : "", "parse-names" : false, "suffix" : "" }, { "dropping-particle" : "", "family" : "Wood", "given" : "Louisa J.", "non-dropping-particle" : "", "parse-names" : false, "suffix" : "" } ], "container-title" : "Conservation Letters", "id" : "ITEM-1", "issue" : "5", "issued" : { "date-parts" : [ [ "2008" ] ] }, "page" : "217-226", "title" : "Toward representative protection of the world's coasts and oceans-progress, gaps, and opportunities", "type" : "article-journal", "volume" : "1" }, "uris" : [ "http://www.mendeley.com/documents/?uuid=d6bad72f-f2a2-36c1-8f73-3c21c2cf5396" ] } ], "mendeley" : { "formattedCitation" : "(Spalding, Fish, &amp; Wood, 2008)", "manualFormatting" : "(Spalding et al., 2008)", "plainTextFormattedCitation" : "(Spalding, Fish, &amp; Wood, 2008)", "previouslyFormattedCitation" : "(Spalding, Fish, &amp; Wood, 2008)" }, "properties" : { "noteIndex" : 0 }, "schema" : "https://github.com/citation-style-language/schema/raw/master/csl-citation.json" }</w:instrText>
      </w:r>
      <w:r w:rsidRPr="008608AA">
        <w:fldChar w:fldCharType="separate"/>
      </w:r>
      <w:r w:rsidRPr="008608AA">
        <w:rPr>
          <w:noProof/>
        </w:rPr>
        <w:t>(Spalding et al., 2008)</w:t>
      </w:r>
      <w:r w:rsidRPr="008608AA">
        <w:fldChar w:fldCharType="end"/>
      </w:r>
      <w:r w:rsidRPr="008608AA">
        <w:t xml:space="preserve"> of the Americas with a sufficient sample size – the Southern California Bight, with 154 different available time series – shows a trend toward a general increase in local species diversity. Multiple studies show many marine species moving poleward, on average often in relation to shifts in ocean temperature </w:t>
      </w:r>
      <w:r w:rsidRPr="008608AA">
        <w:fldChar w:fldCharType="begin" w:fldLock="1"/>
      </w:r>
      <w:r w:rsidRPr="008608AA">
        <w:instrText>ADDIN CSL_CITATION { "citationItems" : [ { "id" : "ITEM-1", "itemData" : { "DOI" : "10.1038/nature12156", "ISBN" : "1476-4687 (Electronic)\\r0028-0836 (Linking)", "ISSN" : "0028-0836", "PMID" : "23676754", "abstract" : "Marine fishes and invertebrates respond to ocean warming through distribution shifts, generally to higher latitudes and deeper waters. Consequently, fisheries should be affected by 'tropicalization' of catch (increasing dominance of warm-water species). However, a signature of such climate-change effects on global fisheries catch has so far not been detected. Here we report such an index, the mean temperature of the catch (MTC), that is calculated from the average inferred temperature preference of exploited species weighted by their annual catch. Our results show that, after accounting for the effects of fishing and large-scale oceanographic variability, global MTC increased at a rate of 0.19 degrees Celsius per decade between 1970 and 2006, and non-tropical MTC increased at a rate of 0.23 degrees Celsius per decade. In tropical areas, MTC increased initially because of the reduction in the proportion of subtropical species catches, but subsequently stabilized as scope for further tropicalization of communities became limited. Changes in MTC in 52 large marine ecosystems, covering the majority of the world's coastal and shelf areas, are significantly and positively related to regional changes in sea surface temperature. This study shows that ocean warming has already affected global fisheries in the past four decades, highlighting the immediate need to develop adaptation plans to minimize the effect of such warming on the economy and food security of coastal communities, particularly in tropical regions.", "author" : [ { "dropping-particle" : "", "family" : "Cheung", "given" : "William W", "non-dropping-particle" : "", "parse-names" : false, "suffix" : "" }, { "dropping-particle" : "", "family" : "Watson", "given" : "Reg", "non-dropping-particle" : "", "parse-names" : false, "suffix" : "" }, { "dropping-particle" : "", "family" : "Pauly", "given" : "Daniel", "non-dropping-particle" : "", "parse-names" : false, "suffix" : "" } ], "container-title" : "Nature", "id" : "ITEM-1", "issue" : "7449", "issued" : { "date-parts" : [ [ "2013" ] ] }, "page" : "365-368", "title" : "Signature of ocean warming in global fisheries catch", "type" : "article-journal", "volume" : "497" }, "uris" : [ "http://www.mendeley.com/documents/?uuid=b921e370-de35-4921-b529-e35ea73a6007" ] }, { "id" : "ITEM-2", "itemData" : { "DOI" : "10.1126/science.1239352", "ISBN" : "0036-8075", "ISSN" : "0036-8075, 1095-9203", "PMID" : "24031017", "abstract" : "Organisms are expected to adapt or move in response to climate change, but observed distribution shifts span a wide range of directions and rates. Explanations often emphasize biological distinctions among species, but general mechanisms have been elusive. We tested an alternative hypothesis: that differences in climate velocity\u2014the rate and direction that climate shifts across the landscape\u2014can explain observed species shifts. We compiled a database of coastal surveys around North America from 1968 to 2011, sampling 128 million individuals across 360 marine taxa. Climate velocity explained the magnitude and direction of shifts in latitude and depth much more effectively than did species characteristics. Our results demonstrate that marine species shift at different rates and directions because they closely track the complex mosaic of local climate velocities.\\nLocal Speeding\\nEarly responses of species to climate change seemed to predict a general poleward response (or upward in mountains and downward in the ocean). Pinsky et al. (p. 1239) test an alternative hypothesis that relates more to the nature of climate change than to changes in temperature. Using nearly 50 years of coastal survey data on &gt;350 marine taxa, they found that climate velocity was a much better predictor of patterns of change than individual species' characteristics or life histories. The findings suggest that responses to climate change largely track changes in local conditions.", "author" : [ { "dropping-particle" : "", "family" : "Pinsky", "given" : "Malin L.", "non-dropping-particle" : "", "parse-names" : false, "suffix" : "" }, { "dropping-particle" : "", "family" : "Worm", "given" : "Boris", "non-dropping-particle" : "", "parse-names" : false, "suffix" : "" }, { "dropping-particle" : "", "family" : "Fogarty", "given" : "Michael J.", "non-dropping-particle" : "", "parse-names" : false, "suffix" : "" }, { "dropping-particle" : "", "family" : "Sarmiento", "given" : "Jorge L.", "non-dropping-particle" : "", "parse-names" : false, "suffix" : "" }, { "dropping-particle" : "", "family" : "Levin", "given" : "Simon A.", "non-dropping-particle" : "", "parse-names" : false, "suffix" : "" } ], "container-title" : "Science", "id" : "ITEM-2", "issue" : "6151", "issued" : { "date-parts" : [ [ "2013" ] ] }, "page" : "1239-1242", "title" : "Marine taxa track local climate velocities", "type" : "article-journal", "volume" : "341" }, "uris" : [ "http://www.mendeley.com/documents/?uuid=c422956c-7ba6-3278-a43e-c4c342652978" ] }, { "id" : "ITEM-3", "itemData" : { "DOI" : "Doi 10.1038/Nclimate1958", "ISBN" : "1758-678X", "ISSN" : "1758-678X", "abstract" : "Past meta-analyses of the response of marine organisms to climate change have examined a limited range of locations(1,2), taxonomic groups(2-4) and/or biological responses(5,6). This has precluded a robust overview of the effect of climate change in the global ocean. Here, we synthesized all available studies of the consistency of marine ecological observations with expectations under climate change. This yielded a meta-database of 1,735 marine biological responses for which either regional or global climate change was considered as a driver. Included were instances of marine taxa responding as expected, in a manner inconsistent with expectations, and taxa demonstrating no response. From this database, 81-83% of all observations for distribution, phenology, community composition, abundance, demography and calcification across taxa and ocean basins were consistent with the expected impacts of climate change. Of the species responding to climate change, rates of distribution shifts were, on average, consistent with those required to track ocean surface temperature changes. Conversely, we did not find a relationship between regional shifts in spring phenology and the seasonality of temperature. Rates of observed shifts in species' distributions and phenology are comparable to, or greater, than those for terrestrial systems.", "author" : [ { "dropping-particle" : "", "family" : "Poloczanska", "given" : "Elvira S.", "non-dropping-particle" : "", "parse-names" : false, "suffix" : "" }, { "dropping-particle" : "", "family" : "Brown", "given" : "C. J.", "non-dropping-particle" : "", "parse-names" : false, "suffix" : "" }, { "dropping-particle" : "", "family" : "Sydeman", "given" : "William J.", "non-dropping-particle" : "", "parse-names" : false, "suffix" : "" }, { "dropping-particle" : "", "family" : "Kiessling", "given" : "Wolfgang", "non-dropping-particle" : "", "parse-names" : false, "suffix" : "" }, { "dropping-particle" : "", "family" : "Schoeman", "given" : "David S.", "non-dropping-particle" : "", "parse-names" : false, "suffix" : "" }, { "dropping-particle" : "", "family" : "Moore", "given" : "Pippa J.", "non-dropping-particle" : "", "parse-names" : false, "suffix" : "" }, { "dropping-particle" : "", "family" : "Brander", "given" : "Keith", "non-dropping-particle" : "", "parse-names" : false, "suffix" : "" }, { "dropping-particle" : "", "family" : "Bruno", "given" : "J. F.", "non-dropping-particle" : "", "parse-names" : false, "suffix" : "" }, { "dropping-particle" : "", "family" : "Buckley", "given" : "Lauren B.", "non-dropping-particle" : "", "parse-names" : false, "suffix" : "" }, { "dropping-particle" : "", "family" : "Burrows", "given" : "Michael T.", "non-dropping-particle" : "", "parse-names" : false, "suffix" : "" }, { "dropping-particle" : "", "family" : "Duarte", "given" : "Carlos M.", "non-dropping-particle" : "", "parse-names" : false, "suffix" : "" }, { "dropping-particle" : "", "family" : "Halpern", "given" : "Benjamin S.", "non-dropping-particle" : "", "parse-names" : false, "suffix" : "" }, { "dropping-particle" : "", "family" : "Holding", "given" : "J.", "non-dropping-particle" : "", "parse-names" : false, "suffix" : "" }, { "dropping-particle" : "", "family" : "Kappel", "given" : "C .V.", "non-dropping-particle" : "", "parse-names" : false, "suffix" : "" }, { "dropping-particle" : "", "family" : "O'Connor", "given" : "M. I.", "non-dropping-particle" : "", "parse-names" : false, "suffix" : "" }, { "dropping-particle" : "", "family" : "Pandolfi", "given" : "John M.", "non-dropping-particle" : "", "parse-names" : false, "suffix" : "" }, { "dropping-particle" : "", "family" : "Parmesan", "given" : "C.", "non-dropping-particle" : "", "parse-names" : false, "suffix" : "" }, { "dropping-particle" : "", "family" : "Schwing", "given" : "F. B.", "non-dropping-particle" : "", "parse-names" : false, "suffix" : "" }, { "dropping-particle" : "", "family" : "Thompson", "given" : "Richard C.", "non-dropping-particle" : "", "parse-names" : false, "suffix" : "" }, { "dropping-particle" : "", "family" : "Richardson", "given" : "Anthony J.", "non-dropping-particle" : "", "parse-names" : false, "suffix" : "" } ], "container-title" : "Nature Climate Change", "id" : "ITEM-3", "issue" : "10", "issued" : { "date-parts" : [ [ "2013" ] ] }, "page" : "919-925", "title" : "Global imprint of climate change on marine life", "type" : "article-journal", "volume" : "3" }, "uris" : [ "http://www.mendeley.com/documents/?uuid=e61fef33-c030-3c59-aff8-5233c7cb2c3f" ] }, { "id" : "ITEM-4", "itemData" : { "DOI" : "10.1111/j.1466-8238.2009.00519.x", "ISBN" : "1466-822x", "ISSN" : "1466822X", "abstract" : "Aim Shifts in species ranges are a predicted and realized effect of global climate change; however, few studies have addressed the rates and consequence of such shifts, particularly in marine systems. Given ecological similarities between shifting and introduced species, we examined how our understanding of range shifts may be informed by the more established study of non-native species introductions. Location Marine systems world-wide. Methods Database and citation searches were used to identify 129 marine species experiencing range shifts and to determine spread rates and impacts on recipient communities. Analyses of spread rates were based on studies for which post-establishment spread was reported in linear distance. The sizes of the effects of community impacts of shifting species were compared with those of functionally similar introduced species having ecologically similar impacts. Results Our review and meta-analyses revealed that: (1) 75% of the range shifts found through the database search were in the poleward direction, consistent with climate change scenarios, (2) spread rates of range shifts were lower than those of introductions, (3) shifting species spread over an order of magnitude faster in marine than in terrestrial systems, and (4) directions of community effects were largely negative and magnitudes were often similar for shifters and introduced species; however, this comparison was limited by few data for range-shifting species. Main conclusions Although marine range shifts are likely to proceed more slowly than marine introductions, the community-level effects could be as great, and in the same direction, as those of introduced species. Because it is well-established that introduced species are a primary threat to global biodiversity, it follows that, just like introductions, range shifts have the potential to seriously affect biological systems. In addition, given that ranges shift faster in marine than terrestrial environments, marine communities might be affected faster than terres-trial ones as species shift with climate change. Regardless of habitat, consideration of range shifts in the context of invasion biology can improve our understanding of what to expect from climate change-driven shifts as well as provide tools for formal assessment of risks to community structure and function. Keywords Climate change, exotic species, introduced species, invasion, invasion impacts, invasive, marine systems, non-indigenous species, rang\u2026", "author" : [ { "dropping-particle" : "", "family" : "Sorte", "given" : "Cascade J. B.", "non-dropping-particle" : "", "parse-names" : false, "suffix" : "</w:instrText>
      </w:r>
      <w:r w:rsidRPr="00A3137A">
        <w:rPr>
          <w:lang w:val="fr-FR"/>
        </w:rPr>
        <w:instrText>" }, { "dropping-particle" : "", "family" : "Williams", "given" : "Susan L.", "non-dropping-particle" : "", "parse-names" : false, "suffix" : "" }, { "dropping-particle" : "", "family" : "Carlton", "given" : "James T.", "non-dropping-particle" : "", "parse-names" : false, "suffix" : "" } ], "container-title" : "Global Ecology and Biogeography", "id" : "ITEM-4", "issue" : "3", "issued" : { "date-parts" : [ [ "2010" ] ] }, "page" : "303-316", "title" : "Marine range shifts and species introductions: comparative spread rates and community impacts", "type" : "article-journal", "volume" : "19" }, "uris" : [ "http://www.mendeley.com/documents/?uuid=79d069a1-5e7e-3b77-899b-bef3db495154" ] } ], "mendeley" : { "formattedCitation" : "(Cheung, Watson, &amp; Pauly, 2013; Pinsky, Worm, Fogarty, Sarmiento, &amp; Levin, 2013; Poloczanska et al., 2013; C. J. B. Sorte, Williams, &amp; Carlton, 2010)", "manualFormatting" : "(Cheung et al., 2013; Pinsky et al., 2013; Poloczanska et al., 2013; Sorte et al., 2010)", "plainTextFormattedCitation" : "(Cheung, Watson, &amp; Pauly, 2013; Pinsky, Worm, Fogarty, Sarmiento, &amp; Levin, 2013; Poloczanska et al., 2013; C. J. B. Sorte, Williams, &amp; Carlton, 2010)", "previouslyFormattedCitation" : "(Cheung, Watson, &amp; Pauly, 2013; Pinsky, Worm, Fogarty, Sarmiento, &amp; Levin, 2013; Poloczanska et al., 2013; C. J. B. Sorte, Williams, &amp; Carlton, 2010)" }, "properties" : { "noteIndex" : 0 }, "schema" : "https://github.com/citation-style-language/schema/raw/master/csl-citation.json" }</w:instrText>
      </w:r>
      <w:r w:rsidRPr="008608AA">
        <w:fldChar w:fldCharType="separate"/>
      </w:r>
      <w:r w:rsidRPr="00A3137A">
        <w:rPr>
          <w:noProof/>
          <w:lang w:val="fr-FR"/>
        </w:rPr>
        <w:t>(Cheung et al., 2013; Pinsky et al., 2013; Poloczanska et al., 2013; Sorte et al., 2010)</w:t>
      </w:r>
      <w:r w:rsidRPr="008608AA">
        <w:fldChar w:fldCharType="end"/>
      </w:r>
      <w:r w:rsidRPr="00A3137A">
        <w:rPr>
          <w:lang w:val="fr-FR"/>
        </w:rPr>
        <w:t xml:space="preserve">. </w:t>
      </w:r>
      <w:r w:rsidRPr="008608AA">
        <w:t xml:space="preserve">Given high coastal diversity at low latitudes, this suggests that diversity in the future should increase outside of the tropics. Areas with extremely high cumulative human impacts </w:t>
      </w:r>
      <w:r w:rsidRPr="008608AA">
        <w:fldChar w:fldCharType="begin" w:fldLock="1"/>
      </w:r>
      <w:r w:rsidRPr="008608AA">
        <w:instrText>ADDIN CSL_CITATION { "citationItems" : [ { "id" : "ITEM-1", "itemData" : { "author" : [ { "dropping-particle" : "", "family" : "Halpern", "given" : "B.S.", "non-dropping-particle" : "", "parse-names" : false, "suffix" : "" }, { "dropping-particle" : "", "family" : "Walbridge", "given" : "Shaun", "non-dropping-particle" : "", "parse-names" : false, "suffix" : "" }, { "dropping-particle" : "", "family" : "Selkoe", "given" : "Kimberly A.", "non-dropping-particle" : "", "parse-names" : false, "suffix" : "" }, { "dropping-particle" : "V.", "family" : "Kappel", "given" : "Carrie", "non-dropping-particle" : "", "parse-names" : false, "suffix" : "" }, { "dropping-particle" : "", "family" : "Micheli", "given" : "Fiorenza", "non-dropping-particle" : "", "parse-names" : false, "suffix" : "" }, { "dropping-particle" : "", "family" : "D'Agrosa", "given" : "Caterina", "non-dropping-particle" : "", "parse-names" : false, "suffix" : "" }, { "dropping-particle" : "", "family" : "Bruno", "given" : "John F.", "non-dropping-particle" : "", "parse-names" : false, "suffix" : "" }, { "dropping-particle" : "", "family" : "Casey", "given" : "Kenneth S.", "non-dropping-particle" : "", "parse-names" : false, "suffix" : "" }, { "dropping-particle" : "", "family" : "Ebert", "given" : "Colin", "non-dropping-particle" : "", "parse-names" : false, "suffix" : "" }, { "dropping-particle" : "", "family" : "Fox", "given" : "Helen E.", "non-dropping-particle" : "", "parse-names" : false, "suffix" : "" }, { "dropping-particle" : "", "family" : "Fujita", "given" : "Rod", "non-dropping-particle" : "", "parse-names" : false, "suffix" : "" }, { "dropping-particle" : "", "family" : "Heinemann", "given" : "Dennis", "non-dropping-particle" : "", "parse-names" : false, "suffix" : "" }, { "dropping-particle" : "", "family" : "Lenihan", "given" : "Hunter S.", "non-dropping-particle" : "", "parse-names" : false, "suffix" : "" }, { "dropping-particle" : "", "family" : "Madin", "given" : "Elizabeth M.P.", "non-dropping-particle" : "", "parse-names" : false, "suffix" : "" }, { "dropping-particle" : "", "family" : "Perry", "given" : "Matthew T.", "non-dropping-particle" : "", "parse-names" : false, "suffix" : "" }, { "dropping-particle" : "", "family" : "Selig", "given" : "Elizabeth R.", "non-dropping-particle" : "", "parse-names" : false, "suffix" : "" }, { "dropping-particle" : "", "family" : "Spaldin", "given" : "Mark", "non-dropping-particle" : "", "parse-names" : false, "suffix" : "" }, { "dropping-particle" : "", "family" : "Steneck", "given" : "Robert", "non-dropping-particle" : "", "parse-names" : false, "suffix" : "" }, { "dropping-particle" : "", "family" : "Watson", "given" : "Reg", "non-dropping-particle" : "", "parse-names" : false, "suffix" : "" } ], "container-title" : "Science", "id" : "ITEM-1", "issue" : "5865", "issued" : { "date-parts" : [ [ "2008" ] ] }, "page" : "948\u2013952", "title" : "A global map of human impact on marine ecosystems", "type" : "article-journal", "volume" : "319" }, "uris" : [ "http://www.mendeley.com/documents/?uuid=054e6941-d6e7-4950-9c9c-7a1ab72598aa" ] } ], "mendeley" : { "formattedCitation" : "(Halpern et al., 2008)", "plainTextFormattedCitation" : "(Halpern et al., 2008)", "previouslyFormattedCitation" : "(Halpern et al., 2008)" }, "properties" : { "noteIndex" : 0 }, "schema" : "https://github.com/citation-style-language/schema/raw/master/csl-citation.json" }</w:instrText>
      </w:r>
      <w:r w:rsidRPr="008608AA">
        <w:fldChar w:fldCharType="separate"/>
      </w:r>
      <w:r w:rsidRPr="008608AA">
        <w:rPr>
          <w:noProof/>
        </w:rPr>
        <w:t>(Halpern et al., 2008)</w:t>
      </w:r>
      <w:r w:rsidRPr="008608AA">
        <w:fldChar w:fldCharType="end"/>
      </w:r>
      <w:r w:rsidRPr="008608AA">
        <w:t xml:space="preserve"> have tended to show losses in diversity over time </w:t>
      </w:r>
      <w:r w:rsidRPr="008608AA">
        <w:fldChar w:fldCharType="begin" w:fldLock="1"/>
      </w:r>
      <w:r w:rsidRPr="008608AA">
        <w:instrText>ADDIN CSL_CITATION { "citationItems" : [ { "id" : "ITEM-1", "itemData" : { "DOI" : "10.1016/j.cub.2015.05.030", "ISBN" : "0960-9822", "ISSN" : "09609822", "PMID" : "26166784", "abstract" : "The modern biodiversity crisis reflects global extinctions and local introductions. Human activities have dramatically altered rates and scales of processes that regulate biodiversity at local scales [1-7]. Reconciling the threat of global biodiversity loss [2, 4, 6-9] with recent evidence of stability at fine spatial scales [10,11] is a major challenge and requires a nuanced approach to biodiversity change that integrates ecological understanding. With a new dataset of 471 diversity time series spanning from 1962 to 2015 from marine coastal ecosystems, we tested (1) whether biodiversity changed at local scales in recent decades, and (2) whether we can ignore ecological context (e.g., proximate human impacts, trophic level, spatial scale) and still make informative inferences regarding local change. We detected a predominant signal of increasing species richness in coastal systems since 1962 in our dataset, though net species loss was associated with localized effects of anthropogenic impacts. Our geographically extensive dataset is unlikely to be a random sample of marine coastal habitats; impacted sites (3% of our time series) were underrepresented relative to their global presence. These local-scale patterns do not contradict the prospect of accelerating global extinctions [2,4,6-9] but are consistent with local species loss in areas with direct human impacts and increases in diversity due to invasions and range expansions in lower impact areas. Attempts to detect and understand local biodiversity trends are incomplete without information on local human activities and ecological context.", "author" : [ { "dropping-particle" : "", "family" : "Elahi", "given" : "Robin", "non-dropping-particle" : "", "parse-names" : false, "suffix" : "" }, { "dropping-particle" : "", "family" : "O'Connor", "given" : "Mary I.", "non-dropping-particle" : "", "parse-names" : false, "suffix" : "" }, { "dropping-particle" : "", "family" : "Byrnes", "given" : "Jarrett E K", "non-dropping-particle" : "", "parse-names" : false, "suffix" : "" }, { "dropping-particle" : "", "family" : "Dunic", "given" : "Jillian", "non-dropping-particle" : "", "parse-names" : false, "suffix" : "" }, { "dropping-particle" : "", "family" : "Eriksson", "given" : "Britas Klemens", "non-dropping-particle" : "", "parse-names" : false, "suffix" : "" }, { "dropping-particle" : "", "family" : "Hensel", "given" : "Marc J S", "non-dropping-particle" : "", "parse-names" : false, "suffix" : "" }, { "dropping-particle" : "", "family" : "Kearns", "given" : "Patrick J.", "non-dropping-particle" : "", "parse-names" : false, "suffix" : "" } ], "container-title" : "Current Biology", "id" : "ITEM-1", "issue" : "14", "issued" : { "date-parts" : [ [ "2015" ] ] }, "page" : "1938-1943", "title" : "Recent trends in local-scale marine biodiversity reflect community structure and human impacts", "type" : "article-journal", "volume" : "25" }, "uris" : [ "http://www.mendeley.com/documents/?uuid=13cf0b9b-950c-4a26-b071-8aa4b54063d3" ] } ], "mendeley" : { "formattedCitation" : "(Elahi et al., 2015)", "plainTextFormattedCitation" : "(Elahi et al., 2015)", "previouslyFormattedCitation" : "(Elahi et al., 2015)" }, "properties" : { "noteIndex" : 0 }, "schema" : "https://github.com/citation-style-language/schema/raw/master/csl-citation.json" }</w:instrText>
      </w:r>
      <w:r w:rsidRPr="008608AA">
        <w:fldChar w:fldCharType="separate"/>
      </w:r>
      <w:r w:rsidRPr="008608AA">
        <w:rPr>
          <w:noProof/>
        </w:rPr>
        <w:t>(Elahi et al., 2015)</w:t>
      </w:r>
      <w:r w:rsidRPr="008608AA">
        <w:fldChar w:fldCharType="end"/>
      </w:r>
      <w:r w:rsidRPr="008608AA">
        <w:t xml:space="preserve">. </w:t>
      </w:r>
    </w:p>
    <w:p w14:paraId="35081AC9" w14:textId="445F975B" w:rsidR="004255E7" w:rsidRPr="008608AA" w:rsidRDefault="004255E7" w:rsidP="00DA1971">
      <w:pPr>
        <w:spacing w:after="120"/>
      </w:pPr>
      <w:r w:rsidRPr="008608AA">
        <w:t>Fisheries species (fish and inverte</w:t>
      </w:r>
      <w:r w:rsidR="00520F22" w:rsidRPr="008608AA">
        <w:t>brates).</w:t>
      </w:r>
      <w:r w:rsidRPr="008608AA">
        <w:t xml:space="preserve"> Commercial fisheries occur in all oceans surrounding the Americas. Nearly all marine animal phyla as well as seaweeds are harvested in commercial fisheries, but fished taxa and recorded landings data are heavily biased towards fishes—both ray-finned fishes and cartilaginous fishes, and invertebrate animals, especially crustaceans such as lobsters, crabs, and shrimps; molluscs such as clams, abalones and squids; and echinoderms such as sea cucumber and sea urchins. Major fishing countries in terms of total landings include Peru, the USA, Chile, Mexico, Canada, Argentina, and Brazil.</w:t>
      </w:r>
    </w:p>
    <w:p w14:paraId="5C6AEB26" w14:textId="00DF82DF" w:rsidR="00AE1F1F" w:rsidRPr="008608AA" w:rsidRDefault="004255E7" w:rsidP="00DA1971">
      <w:pPr>
        <w:spacing w:after="120"/>
      </w:pPr>
      <w:r w:rsidRPr="008608AA">
        <w:t xml:space="preserve">While extinction risk is generally very low for marine fishes, recovery of marine populations may take several decades to recover even when fishing intensity is relaxed </w:t>
      </w:r>
      <w:r w:rsidRPr="008608AA">
        <w:fldChar w:fldCharType="begin" w:fldLock="1"/>
      </w:r>
      <w:r w:rsidRPr="008608AA">
        <w:instrText>ADDIN CSL_CITATION { "citationItems" : [ { "id" : "ITEM-1", "itemData" : { "DOI" : "10.1126/science.1230441", "ISBN" : "0036-8075", "ISSN" : "0036-8075", "PMID" : "23599493", "abstract" : "Recovery of overexploited marine populations has been slow, and most remain below target biomass levels. A key question is whether this is due to insufficient reductions in harvest rates or the erosion of population resilience. Using a global meta-analysis of overfished stocks, we find that resilience of those stocks subjected to moderate levels of overfishing is enhanced, not compromised, offering the possibility of swift recovery. However, prolonged intense overexploitation, especially for collapsed stocks, not only delays rebuilding but also substantially increases the uncertainty in recovery times, despite predictable influences of fishing and life history. Timely and decisive reductions in harvest rates could mitigate this uncertainty. Instead, current harvest and low biomass levels render recovery improbable for the majority of the world's depleted stocks.", "author" : [ { "dropping-particle" : "", "family" : "Neubauer", "given" : "Philipp", "non-dropping-particle" : "", "parse-names" : false, "suffix" : "" }, { "dropping-particle" : "", "family" : "Jensen", "given" : "Olaf P", "non-dropping-particle" : "", "parse-names" : false, "suffix" : "" }, { "dropping-particle" : "", "family" : "Hutchings", "given" : "Jeffrey A", "non-dropping-particle" : "", "parse-names" : false, "suffix" : "" }, { "dropping-particle" : "", "family" : "Baum", "given" : "Julia K", "non-dropping-particle" : "", "parse-names" : false, "suffix" : "" } ], "container-title" : "Science", "id" : "ITEM-1", "issue" : "6130", "issued" : { "date-parts" : [ [ "2013" ] ] }, "page" : "347-349", "title" : "Resilience and recovery of overexploited marine populations", "type" : "article-journal", "volume" : "340" }, "uris" : [ "http://www.mendeley.com/documents/?uuid=cfd42397-36c9-3e36-aedd-a19f12a261f0" ] } ], "mendeley" : { "formattedCitation" : "(Neubauer, Jensen, Hutchings, &amp; Baum, 2013)", "manualFormatting" : "(Neubauer et al., 2013)", "plainTextFormattedCitation" : "(Neubauer, Jensen, Hutchings, &amp; Baum, 2013)", "previouslyFormattedCitation" : "(Neubauer, Jensen, Hutchings, &amp; Baum, 2013)" }, "properties" : { "noteIndex" : 0 }, "schema" : "https://github.com/citation-style-language/schema/raw/master/csl-citation.json" }</w:instrText>
      </w:r>
      <w:r w:rsidRPr="008608AA">
        <w:fldChar w:fldCharType="separate"/>
      </w:r>
      <w:r w:rsidRPr="008608AA">
        <w:rPr>
          <w:noProof/>
        </w:rPr>
        <w:t>(Neubauer et al., 2013)</w:t>
      </w:r>
      <w:r w:rsidRPr="008608AA">
        <w:fldChar w:fldCharType="end"/>
      </w:r>
      <w:r w:rsidRPr="008608AA">
        <w:t xml:space="preserve">. In the Northeast Pacific and Northwest Atlantic, important fished species in most taxonomic groups are fully exploited (Figure 3.27), i.e., they are fished at levels near maximum sustainable yield, with annual, sustainable catches near optimal levels </w:t>
      </w:r>
      <w:r w:rsidRPr="008608AA">
        <w:fldChar w:fldCharType="begin" w:fldLock="1"/>
      </w:r>
      <w:r w:rsidRPr="008608AA">
        <w:instrText>ADDIN CSL_CITATION { "citationItems" : [ { "id" : "ITEM-1", "itemData" : { "DOI" : "10.1073/pnas.1520420113", "ISBN" : "1091-6490 (Electronic)\\n0027-8424 (Linking)", "ISSN" : "0027-8424", "PMID" : "18056803", "abstract" : "Data from 4,713 fisheries worldwide, representing 78% of global reported fish catch, are analyzed to estimate the status, trends, and benefits of alternative approaches to recovering depleted fisheries. For each fishery, we estimate current biological status and forecast the impacts of contrasting management regimes on catch, profit, and biomass of fish in the sea. We estimate unique recovery targets and trajectories for each fishery, calculate the year-by-year effects of alternative recovery approaches, and model how alternative institutional reforms affect recovery outcomes. Current status is highly heterogeneous\u2014the median fishery is in poor health (overfished, with further overfishing occurring), although 32% of fisheries are in good biological, although not necessarily economic, condition. Our business-as-usual scenario projects further divergence and continued collapse for many of the world\u2019s fisheries. Applying sound management reforms to global fisheries in our dataset could generate annual increases exceeding 16 million metric tons (MMT) in catch, $53 billion in profit, and 619 MMT in biomass relative to business as usual. We also find that, with appropriate reforms, recovery can happen quickly, with the median fishery taking under 10 y to reach recovery targets. Our results show that commonsense reforms to fishery management would dramatically improve overall fish abundance while increasing food security and profits.", "author" : [ { "dropping-particle" : "", "family" : "Costello", "given" : "Christopher", "non-dropping-particle" : "", "parse-names" : false, "suffix" : "" }, { "dropping-particle" : "", "family" : "Ovando", "given" : "Daniel", "non-dropping-particle" : "", "parse-names" : false, "suffix" : "" }, { "dropping-particle" : "", "family" : "Clavelle", "given" : "Tyler", "non-dropping-particle" : "", "parse-names" : false, "suffix" : "" }, { "dropping-particle" : "", "family" : "Strauss", "given" : "C. Kent", "non-dropping-particle" : "", "parse-names" : false, "suffix" : "" }, { "dropping-particle" : "", "family" : "Hilborn", "given" : "Ray", "non-dropping-particle" : "", "parse-names" : false, "suffix" : "" }, { "dropping-particle" : "", "family" : "Melnychuk", "given" : "Michael C.", "non-dropping-particle" : "", "parse-names" : false, "suffix" : "" }, { "dropping-particle" : "", "family" : "Branch", "given" : "Trevor A.", "non-dropping-particle" : "", "parse-names" : false, "suffix" : "" }, { "dropping-particle" : "", "family" : "Gaines", "given" : "Steven D.", "non-dropping-particle" : "", "parse-names" : false, "suffix" : "" }, { "dropping-particle" : "", "family" : "Szuwalski", "given" : "Cody S.", "non-dropping-particle" : "", "parse-names" : false, "suffix" : "" }, { "dropping-particle" : "", "family" : "Cabral", "given" : "Reniel B.", "non-dropping-particle" : "", "parse-names" : false, "suffix" : "" }, { "dropping-particle" : "", "family" : "Rader", "given" : "Douglas N.", "non-dropping-particle" : "", "parse-names" : false, "suffix" : "" }, { "dropping-particle" : "", "family" : "Leland", "given" : "Amanda", "non-dropping-particle" : "", "parse-names" : false, "suffix" : "" } ], "container-title" : "PNAS", "id" : "ITEM-1", "issue" : "18", "issued" : { "date-parts" : [ [ "2016" ] ] }, "page" : "5125-5129", "title" : "Global fishery prospects under contrasting management regimes", "type" : "article-journal", "volume" : "113" }, "uris" : [ "http://www.mendeley.com/documents/?uuid=ead91f22-d644-4bb2-b36f-0cf1ac702902" ] }, { "id" : "ITEM-2", "itemData" : { "DOI" : "10.1126/science.1173146", "ISBN" : "0036-8075", "ISSN" : "0036-8075", "PMID" : "19644114", "abstract" : "After a long history of overexploitation, increasing efforts to restore marine ecosystems and rebuild fisheries are under way. Here, we analyze current trends from a fisheries and conservation perspective. In 5 of 10 well-studied ecosystems, the average exploitation rate has recently declined and is now at or below the rate predicted to achieve maximum sustainable yield for seven systems. Yet 63% of assessed fish stocks worldwide still require rebuilding, and even lower exploitation rates are needed to reverse the collapse of vulnerable species. Combined fisheries and conservation objectives can be achieved by merging diverse management actions, including catch restrictions, gear modification, and closed areas, depending on local context. Impacts of international fleets and the lack of alternatives to fishing complicate prospects for rebuilding fisheries in many poorer regions, highlighting the need for a global perspective on rebuilding marine resources.", "author" : [ { "dropping-particle" : "", "family" : "Worm", "given" : "B.", "non-dropping-particle" : "", "parse-names" : false, "suffix" : "" }, { "dropping-particle" : "", "family" : "Hilborn", "given" : "R.", "non-dropping-particle" : "", "parse-names" : false, "suffix" : "" }, { "dropping-particle" : "", "family" : "Baum", "given" : "J. K.", "non-dropping-particle" : "", "parse-names" : false, "suffix" : "" }, { "dropping-particle" : "", "family" : "Branch", "given" : "T. A.", "non-dropping-particle" : "", "parse-names" : false, "suffix" : "" }, { "dropping-particle" : "", "family" : "Collie", "given" : "Jeremy S.", "non-dropping-particle" : "", "parse-names" : false, "suffix" : "" }, { "dropping-particle" : "", "family" : "Costello", "given" : "C.", "non-dropping-particle" : "", "parse-names" : false, "suffix" : "" }, { "dropping-particle" : "", "family" : "Fogarty", "given" : "Michael J.", "non-dropping-particle" : "", "parse-names" : false, "suffix" : "" }, { "dropping-particle" : "", "family" : "Fulton", "given" : "E. A.", "non-dropping-particle" : "", "parse-names" : false, "suffix" : "" }, { "dropping-particle" : "", "family" : "Hutchings", "given" : "J. A.", "non-dropping-particle" : "", "parse-names" : false, "suffix" : "" }, { "dropping-particle" : "", "family" : "Jennings", "given" : "S.", "non-dropping-particle" : "", "parse-names" : false, "suffix" : "" }, { "dropping-particle" : "", "family" : "Jensen", "given" : "Olaf P.", "non-dropping-particle" : "", "parse-names" : false, "suffix" : "" }, { "dropping-particle" : "", "family" : "Lotze", "given" : "H. K.", "non-dropping-particle" : "", "parse-names" : false, "suffix" : "" }, { "dropping-particle" : "", "family" : "Mace", "given" : "Pamela M.", "non-dropping-particle" : "", "parse-names" : false, "suffix" : "" }, { "dropping-particle" : "", "family" : "McClanahan", "given" : "T. R.", "non-dropping-particle" : "", "parse-names" : false, "suffix" : "" }, { "dropping-particle" : "", "family" : "Minto", "given" : "C\u00f3il\u00edn", "non-dropping-particle" : "", "parse-names" : false, "suffix" : "" }, { "dropping-particle" : "", "family" : "Palumbi", "given" : "Stephen R.", "non-dropping-particle" : "", "parse-names" : false, "suffix" : "" }, { "dropping-particle" : "", "family" : "Parma", "given" : "Ana M.", "non-dropping-particle" : "", "parse-names" : false, "suffix" : "" }, { "dropping-particle" : "", "family" : "Ricard", "given" : "Daniel", "non-dropping-particle" : "", "parse-names" : false, "suffix" : "" }, { "dropping-particle" : "", "family" : "Rosenberg", "given" : "A. A.", "non-dropping-particle" : "", "parse-names" : false, "suffix" : "" }, { "dropping-particle" : "", "family" : "Watson", "given" : "Reg", "non-dropping-particle" : "", "parse-names" : false, "suffix" : "" }, { "dropping-particle" : "", "family" : "Zeller", "given" : "Dirk", "non-dropping-particle" : "", "parse-names" : false, "suffix" : "" } ], "container-title" : "Science", "id" : "ITEM-2", "issue" : "5940", "issued" : { "date-parts" : [ [ "2009" ] ] }, "page" : "578-585", "title" : "Rebuilding global fisheries", "type" : "article-journal", "volume" : "325" }, "uris" : [ "http://www.mendeley.com/documents/?uuid=c1dfcc6d-2f91-3f79-96a3-ecc79822d558" ] } ], "mendeley" : { "formattedCitation" : "(C. Costello et al., 2016; Worm et al., 2009)", "manualFormatting" : "(Costello et al., 2016; Worm et al., 2009)", "plainTextFormattedCitation" : "(C. Costello et al., 2016; Worm et al., 2009)", "previouslyFormattedCitation" : "(C. Costello et al., 2016; Worm et al., 2009)" }, "properties" : { "noteIndex" : 0 }, "schema" : "https://github.com/citation-style-language/schema/raw/master/csl-citation.json" }</w:instrText>
      </w:r>
      <w:r w:rsidRPr="008608AA">
        <w:fldChar w:fldCharType="separate"/>
      </w:r>
      <w:r w:rsidRPr="008608AA">
        <w:rPr>
          <w:noProof/>
        </w:rPr>
        <w:t>(Costello et al., 2016; Worm et al., 2009)</w:t>
      </w:r>
      <w:r w:rsidRPr="008608AA">
        <w:fldChar w:fldCharType="end"/>
      </w:r>
      <w:r w:rsidRPr="008608AA">
        <w:t xml:space="preserve">. These evaluations are largely based on quantitative stock assessments, which yield relatively low uncertainty in estimates of exploitation status. Stock assessments are, however, typically conducted for species with large volumes of fishery landings or species with high ex-vessel prices so they are not representative of all marine taxa. </w:t>
      </w:r>
    </w:p>
    <w:p w14:paraId="24DFBD21" w14:textId="77777777" w:rsidR="00A002FB" w:rsidRPr="008608AA" w:rsidRDefault="00A002FB" w:rsidP="00520F22">
      <w:pPr>
        <w:spacing w:after="120"/>
      </w:pPr>
    </w:p>
    <w:p w14:paraId="1791977C" w14:textId="7D440BC2" w:rsidR="00A002FB" w:rsidRPr="008608AA" w:rsidRDefault="005143C5" w:rsidP="00DA1971">
      <w:pPr>
        <w:spacing w:after="120"/>
        <w:jc w:val="center"/>
      </w:pPr>
      <w:r w:rsidRPr="008608AA">
        <w:rPr>
          <w:noProof/>
          <w:lang w:val="en-GB" w:eastAsia="en-GB"/>
        </w:rPr>
        <w:drawing>
          <wp:inline distT="0" distB="0" distL="0" distR="0" wp14:anchorId="527AAFE2" wp14:editId="5E6651F4">
            <wp:extent cx="5819775" cy="3762375"/>
            <wp:effectExtent l="0" t="0" r="9525" b="9525"/>
            <wp:docPr id="14" name="Imagen 14" descr="C:\Users\laura.valderrama.ANTCO\Downloads\AM_Fig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valderrama.ANTCO\Downloads\AM_Fig3.27.jpg"/>
                    <pic:cNvPicPr>
                      <a:picLocks noChangeAspect="1" noChangeArrowheads="1"/>
                    </pic:cNvPicPr>
                  </pic:nvPicPr>
                  <pic:blipFill rotWithShape="1">
                    <a:blip r:embed="rId142">
                      <a:extLst>
                        <a:ext uri="{28A0092B-C50C-407E-A947-70E740481C1C}">
                          <a14:useLocalDpi xmlns:a14="http://schemas.microsoft.com/office/drawing/2010/main" val="0"/>
                        </a:ext>
                      </a:extLst>
                    </a:blip>
                    <a:srcRect r="1926" b="56013"/>
                    <a:stretch/>
                  </pic:blipFill>
                  <pic:spPr bwMode="auto">
                    <a:xfrm>
                      <a:off x="0" y="0"/>
                      <a:ext cx="5819775" cy="3762375"/>
                    </a:xfrm>
                    <a:prstGeom prst="rect">
                      <a:avLst/>
                    </a:prstGeom>
                    <a:noFill/>
                    <a:ln>
                      <a:noFill/>
                    </a:ln>
                    <a:extLst>
                      <a:ext uri="{53640926-AAD7-44D8-BBD7-CCE9431645EC}">
                        <a14:shadowObscured xmlns:a14="http://schemas.microsoft.com/office/drawing/2010/main"/>
                      </a:ext>
                    </a:extLst>
                  </pic:spPr>
                </pic:pic>
              </a:graphicData>
            </a:graphic>
          </wp:inline>
        </w:drawing>
      </w:r>
    </w:p>
    <w:p w14:paraId="305A0437" w14:textId="1C6DB81A" w:rsidR="004255E7" w:rsidRPr="008608AA" w:rsidRDefault="004255E7" w:rsidP="00DA1971">
      <w:pPr>
        <w:spacing w:before="120" w:after="120"/>
      </w:pPr>
      <w:r w:rsidRPr="008608AA">
        <w:t xml:space="preserve">Fewer species from northern latitudes are considered to be either over-exploited or under-exploited (Figure 3.27). A small proportion of Atlantic demersal fish species is overfished while a small proportion is underfished on both coasts of North America (Figure 3.27). Moving towards the tropics, in the east-central Pacific most coastal and pelagic fish species are fully exploited, most crustaceans are fully-to-overexploited, and molluscs are underexploited. With the exception of pelagic fish species, however, many of these categorizations are highly uncertain </w:t>
      </w:r>
      <w:r w:rsidRPr="008608AA">
        <w:fldChar w:fldCharType="begin" w:fldLock="1"/>
      </w:r>
      <w:r w:rsidRPr="008608AA">
        <w:instrText>ADDIN CSL_CITATION { "citationItems" : [ { "id" : "ITEM-1", "itemData" : { "abstract" : "Fisheries and aquaculture remain important sources of food, nutrition, income and livelihoods for hundreds of millions of people around the world. World per capita fish supply reached a new record high of 20 kg in 2014, thanks to vigorous growth in aquaculture, which now provides half of all fish for human consumption, and to a slight improvement in the state of certain fish stocks due to improved fisheries management. Moreover, fish continues to be one of the most-traded food commodities worldwide with more than half of fish exports by value originating in developing countries. Recent reports by high-level experts, international organizations, industry and civil society representatives all highlight the tremendous potential of the oceans and inland waters now, and even more so in the future, to contribute significantly to food security and adequate nutrition for a global population expected to reach 9.7 billion by 2050. It is in this context and with this high expectation that the 2016 edition of The State of World Fisheries and Aquaculture is being launched. Several recent major international developments will further strengthen its key function as a provider of informed, balanced and comprehensive analysis of global fisheries and aquaculture data and related issues. First, the Second International Conference on Nutrition (ICN2), held in Rome in November 2014, adopted the Rome Declaration and the Framework for Action, whereby world leaders renewed their commitments to establish and implement policies aimed at eradicating malnutrition and transforming food systems to make nutritious diets available to all. The conference confirmed the importance of fish and seafood as a source of nutrition and health for many coastal communities that depend on their proteins and essential micronutrients, in particular for women of child-bearing age and young children. It stressed the unique window of opportunity that fisheries and aquaculture can provide for ICN2 follow-up towards achieving healthy diets. With this greater awareness of the sector\u2019s important role in nutrition comes greater responsibility for how resources are managed in order to ensure nutritious and healthy diets for all the world\u2019s citizens. Second, on 25 September 2015, Member States of the United Nations adopted the 2030 Agenda for Sustainable Development and the Sustainable Development Goals (SDGs), a set of 17 aspirational objectives with 169 targets expected to guide actions of governments, inte\u2026", "author" : [ { "dropping-particle" : "", "family" : "FAO", "given" : "", "non-dropping-particle" : "", "parse-names" : false, "suffix" : "" } ], "container-title" : "Food and Agriculture Organization of the United Nations", "id" : "ITEM-1", "issued" : { "date-parts" : [ [ "2016" ] ] }, "publisher-place" : "Rome, Italy", "title" : "The State of World Fisheries and Aquaculture 2016: Contributing to Food Security and Nutrition for All", "type" : "report" }, "uris" : [ "http://www.mendeley.com/documents/?uuid=6801e6c8-43ee-4139-aeee-abe3c691a2d1" ] } ], "mendeley" : { "formattedCitation" : "(FAO, 2016)", "plainTextFormattedCitation" : "(FAO, 2016)", "previouslyFormattedCitation" : "(FAO, 2016)" }, "properties" : { "noteIndex" : 0 }, "schema" : "https://github.com/citation-style-language/schema/raw/master/csl-citation.json" }</w:instrText>
      </w:r>
      <w:r w:rsidRPr="008608AA">
        <w:fldChar w:fldCharType="separate"/>
      </w:r>
      <w:r w:rsidRPr="008608AA">
        <w:rPr>
          <w:noProof/>
        </w:rPr>
        <w:t>(FAO, 2016)</w:t>
      </w:r>
      <w:r w:rsidRPr="008608AA">
        <w:fldChar w:fldCharType="end"/>
      </w:r>
      <w:r w:rsidRPr="008608AA">
        <w:t xml:space="preserve">. In the west-central Atlantic, a higher proportion of coastal fish are overexploited, fewer crustaceans are overexploited, and more molluscs appear to be overexploited compared to fisheries in the Pacific Ocean although the latter estimates are highly uncertain. Moving further south, we find that most important demersal fish species are overexploited on both coasts. Most pelagic fish tend to be exploited in the southeastern Pacific while all are exploited in the southwestern Atlantic. On the eastern coast of North America, many of the offshore fisheries exceed target levels and are not considered sustainable, especially those of elasmobranchs </w:t>
      </w:r>
      <w:r w:rsidRPr="008608AA">
        <w:fldChar w:fldCharType="begin" w:fldLock="1"/>
      </w:r>
      <w:r w:rsidRPr="008608AA">
        <w:instrText>ADDIN CSL_CITATION { "citationItems" : [ { "id" : "ITEM-1", "itemData" : { "author" : [ { "dropping-particle" : "", "family" : "Minist\u00e9rio do Meio Ambiente (MMA)", "given" : "", "non-dropping-particle" : "", "parse-names" : false, "suffix" : "" } ], "id" : "ITEM-1", "issued" : { "date-parts" : [ [ "2006" ] ] }, "number-of-pages" : "279", "publisher" : "Relat\u00f3rio Executivo", "publisher-place" : "Bras\u00edlia, Brazil", "title" : "Programa REVIZEE. Avalia\u00e7\u00e3o do Potencial Sustent\u00e1vel de Recursos Vivos na Zona Econ\u00f4mica Exclusiva", "type" : "book" }, "uris" : [ "http://www.mendeley.com/documents/?uuid=459d4db9-6cdd-45fd-8ad3-dd07a9a21f3c" ] }, { "id" : "ITEM-2", "itemData" : { "author" : [ { "dropping-particle" : "", "family" : "Brick Peres", "given" : "M.", "non-dropping-particle" : "", "parse-names" : false, "suffix" : "" }, { "dropping-particle" : "", "family" : "Barreto", "given" : "R.", "non-dropping-particle" : "", "parse-names" : false, "suffix" : "" }, { "dropping-particle" : "", "family" : "Lessa", "given" : "R.", "non-dropping-particle" : "", "parse-names" : false, "suffix" : "" }, { "dropping-particle" : "", "family" : "Vooren", "given" : "C.", "non-dropping-particle" : "", "parse-names" : false, "suffix" : "" }, { "dropping-particle" : "", "family" : "Charvet", "given" : "P.", "non-dropping-particle" : "", "parse-names" : false, "suffix" : "" }, { "dropping-particle" : "", "family" : "Rosa", "given" : "R.", "non-dropping-particle" : "", "parse-names" : false, "suffix" : "" } ], "container-title" : "6th World Fisheries Congress, Sustainable Fisheries in a Changing World", "id" : "ITEM-2", "issued" : { "date-parts" : [ [ "2012" ] ] }, "publisher-place" : "Edinburgh, Scotland", "title" : "Heavy fishing puts Brazilian sharks and rays in great trouble", "type" : "paper-conference" }, "uris" : [ "http://www.mendeley.com/documents/?uuid=4e5b89f5-aeb2-47a1-851c-b62e91a9d40f" ] } ], "mendeley" : { "formattedCitation" : "(Brick Peres et al., 2012; Minist\u00e9rio do Meio Ambiente (MMA), 2006)", "plainTextFormattedCitation" : "(Brick Peres et al., 2012; Minist\u00e9rio do Meio Ambiente (MMA), 2006)", "previouslyFormattedCitation" : "(Brick Peres et al., 2012; Minist\u00e9rio do Meio Ambiente (MMA), 2006)" }, "properties" : { "noteIndex" : 0 }, "schema" : "https://github.com/citation-style-language/schema/raw/master/csl-citation.json" }</w:instrText>
      </w:r>
      <w:r w:rsidRPr="008608AA">
        <w:fldChar w:fldCharType="separate"/>
      </w:r>
      <w:r w:rsidRPr="008608AA">
        <w:rPr>
          <w:noProof/>
        </w:rPr>
        <w:t>(Brick Peres et al., 2012; M</w:t>
      </w:r>
      <w:r w:rsidR="008E3CC7" w:rsidRPr="008608AA">
        <w:rPr>
          <w:noProof/>
        </w:rPr>
        <w:t>inistério do Meio Ambiente</w:t>
      </w:r>
      <w:r w:rsidRPr="008608AA">
        <w:rPr>
          <w:noProof/>
        </w:rPr>
        <w:t>, 2006)</w:t>
      </w:r>
      <w:r w:rsidRPr="008608AA">
        <w:fldChar w:fldCharType="end"/>
      </w:r>
      <w:r w:rsidRPr="008608AA">
        <w:t>. Molluscs are underfished in the southeastern Pacific (though estimates are highly uncertain), while crustaceans and molluscs are fully exploited or overexploited in the southwestern Atlantic. The exploitation status of many species is unknown across several taxonomic groups, in particular, elasmobranchs (sharks, skates and rays) and coastal fishes.</w:t>
      </w:r>
    </w:p>
    <w:p w14:paraId="0860921E" w14:textId="77777777" w:rsidR="004255E7" w:rsidRPr="008608AA" w:rsidRDefault="004255E7" w:rsidP="00DA1971">
      <w:pPr>
        <w:widowControl w:val="0"/>
        <w:autoSpaceDE w:val="0"/>
        <w:autoSpaceDN w:val="0"/>
        <w:adjustRightInd w:val="0"/>
        <w:spacing w:before="120" w:after="120"/>
      </w:pPr>
      <w:r w:rsidRPr="008608AA">
        <w:t xml:space="preserve">Despite the collapse of certain fisheries, considerable efforts have been undertaken to manage fisheries in North America. Compilations of quantitative stock assessments </w:t>
      </w:r>
      <w:r w:rsidRPr="008608AA">
        <w:fldChar w:fldCharType="begin" w:fldLock="1"/>
      </w:r>
      <w:r w:rsidRPr="008608AA">
        <w:instrText>ADDIN CSL_CITATION { "citationItems" : [ { "id" : "ITEM-1", "itemData" : { "DOI" : "10.1073/pnas.1520420113", "ISBN" : "1091-6490 (Electronic)\\n0027-8424 (Linking)", "ISSN" : "0027-8424", "PMID" : "18056803", "abstract" : "Data from 4,713 fisheries worldwide, representing 78% of global reported fish catch, are analyzed to estimate the status, trends, and benefits of alternative approaches to recovering depleted fisheries. For each fishery, we estimate current biological status and forecast the impacts of contrasting management regimes on catch, profit, and biomass of fish in the sea. We estimate unique recovery targets and trajectories for each fishery, calculate the year-by-year effects of alternative recovery approaches, and model how alternative institutional reforms affect recovery outcomes. Current status is highly heterogeneous\u2014the median fishery is in poor health (overfished, with further overfishing occurring), although 32% of fisheries are in good biological, although not necessarily economic, condition. Our business-as-usual scenario projects further divergence and continued collapse for many of the world\u2019s fisheries. Applying sound management reforms to global fisheries in our dataset could generate annual increases exceeding 16 million metric tons (MMT) in catch, $53 billion in profit, and 619 MMT in biomass relative to business as usual. We also find that, with appropriate reforms, recovery can happen quickly, with the median fishery taking under 10 y to reach recovery targets. Our results show that commonsense reforms to fishery management would dramatically improve overall fish abundance while increasing food security and profits.", "author" : [ { "dropping-particle" : "", "family" : "Costello", "given" : "Christopher", "non-dropping-particle" : "", "parse-names" : false, "suffix" : "" }, { "dropping-particle" : "", "family" : "Ovando", "given" : "Daniel", "non-dropping-particle" : "", "parse-names" : false, "suffix" : "" }, { "dropping-particle" : "", "family" : "Clavelle", "given" : "Tyler", "non-dropping-particle" : "", "parse-names" : false, "suffix" : "" }, { "dropping-particle" : "", "family" : "Strauss", "given" : "C. Kent", "non-dropping-particle" : "", "parse-names" : false, "suffix" : "" }, { "dropping-particle" : "", "family" : "Hilborn", "given" : "Ray", "non-dropping-particle" : "", "parse-names" : false, "suffix" : "" }, { "dropping-particle" : "", "family" : "Melnychuk", "given" : "Michael C.", "non-dropping-particle" : "", "parse-names" : false, "suffix" : "" }, { "dropping-particle" : "", "family" : "Branch", "given" : "Trevor A.", "non-dropping-particle" : "", "parse-names" : false, "suffix" : "" }, { "dropping-particle" : "", "family" : "Gaines", "given" : "Steven D.", "non-dropping-particle" : "", "parse-names" : false, "suffix" : "" }, { "dropping-particle" : "", "family" : "Szuwalski", "given" : "Cody S.", "non-dropping-particle" : "", "parse-names" : false, "suffix" : "" }, { "dropping-particle" : "", "family" : "Cabral", "given" : "Reniel B.", "non-dropping-particle" : "", "parse-names" : false, "suffix" : "" }, { "dropping-particle" : "", "family" : "Rader", "given" : "Douglas N.", "non-dropping-particle" : "", "parse-names" : false, "suffix" : "" }, { "dropping-particle" : "", "family" : "Leland", "given" : "Amanda", "non-dropping-particle" : "", "parse-names" : false, "suffix" : "" } ], "container-title" : "PNAS", "id" : "ITEM-1", "issue" : "18", "issued" : { "date-parts" : [ [ "2016" ] ] }, "page" : "5125-5129", "title" : "Global fishery prospects under contrasting management regimes", "type" : "article-journal", "volume" : "113" }, "uris" : [ "http://www.mendeley.com/documents/?uuid=ead91f22-d644-4bb2-b36f-0cf1ac702902" ] }, { "id" : "ITEM-2", "itemData" : { "DOI" : "10.1126/science.1173146", "ISBN" : "0036-8075", "ISSN" : "0036-8075", "PMID" : "19644114", "abstract" : "After a long history of overexploitation, increasing efforts to restore marine ecosystems and rebuild fisheries are under way. Here, we analyze current trends from a fisheries and conservation perspective. In 5 of 10 well-studied ecosystems, the average exploitation rate has recently declined and is now at or below the rate predicted to achieve maximum sustainable yield for seven systems. Yet 63% of assessed fish stocks worldwide still require rebuilding, and even lower exploitation rates are needed to reverse the collapse of vulnerable species. Combined fisheries and conservation objectives can be achieved by merging diverse management actions, including catch restrictions, gear modification, and closed areas, depending on local context. Impacts of international fleets and the lack of alternatives to fishing complicate prospects for rebuilding fisheries in many poorer regions, highlighting the need for a global perspective on rebuilding marine resources.", "author" : [ { "dropping-particle" : "", "family" : "Worm", "given" : "B.", "non-dropping-particle" : "", "parse-names" : false, "suffix" : "" }, { "dropping-particle" : "", "family" : "Hilborn", "given" : "R.", "non-dropping-particle" : "", "parse-names" : false, "suffix" : "" }, { "dropping-particle" : "", "family" : "Baum", "given" : "J. K.", "non-dropping-particle" : "", "parse-names" : false, "suffix" : "" }, { "dropping-particle" : "", "family" : "Branch", "given" : "T. A.", "non-dropping-particle" : "", "parse-names" : false, "suffix" : "" }, { "dropping-particle" : "", "family" : "Collie", "given" : "Jeremy S.", "non-dropping-particle" : "", "parse-names" : false, "suffix" : "" }, { "dropping-particle" : "", "family" : "Costello", "given" : "C.", "non-dropping-particle" : "", "parse-names" : false, "suffix" : "" }, { "dropping-particle" : "", "family" : "Fogarty", "given" : "Michael J.", "non-dropping-particle" : "", "parse-names" : false, "suffix" : "" }, { "dropping-particle" : "", "family" : "Fulton", "given" : "E. A.", "non-dropping-particle" : "", "parse-names" : false, "suffix" : "" }, { "dropping-particle" : "", "family" : "Hutchings", "given" : "J. A.", "non-dropping-particle" : "", "parse-names" : false, "suffix" : "" }, { "dropping-particle" : "", "family" : "Jennings", "given" : "S.", "non-dropping-particle" : "", "parse-names" : false, "suffix" : "" }, { "dropping-particle" : "", "family" : "Jensen", "given" : "Olaf P.", "non-dropping-particle" : "", "parse-names" : false, "suffix" : "" }, { "dropping-particle" : "", "family" : "Lotze", "given" : "H. K.", "non-dropping-particle" : "", "parse-names" : false, "suffix" : "" }, { "dropping-particle" : "", "family" : "Mace", "given" : "Pamela M.", "non-dropping-particle" : "", "parse-names" : false, "suffix" : "" }, { "dropping-particle" : "", "family" : "McClanahan", "given" : "T. R.", "non-dropping-particle" : "", "parse-names" : false, "suffix" : "" }, { "dropping-particle" : "", "family" : "Minto", "given" : "C\u00f3il\u00edn", "non-dropping-particle" : "", "parse-names" : false, "suffix" : "" }, { "dropping-particle" : "", "family" : "Palumbi", "given" : "Stephen R.", "non-dropping-particle" : "", "parse-names" : false, "suffix" : "" }, { "dropping-particle" : "", "family" : "Parma", "given" : "Ana M.", "non-dropping-particle" : "", "parse-names" : false, "suffix" : "" }, { "dropping-particle" : "", "family" : "Ricard", "given" : "Daniel", "non-dropping-particle" : "", "parse-names" : false, "suffix" : "" }, { "dropping-particle" : "", "family" : "Rosenberg", "given" : "A. A.", "non-dropping-particle" : "", "parse-names" : false, "suffix" : "" }, { "dropping-particle" : "", "family" : "Watson", "given" : "Reg", "non-dropping-particle" : "", "parse-names" : false, "suffix" : "" }, { "dropping-particle" : "", "family" : "Zeller", "given" : "Dirk", "non-dropping-particle" : "", "parse-names" : false, "suffix" : "" } ], "container-title" : "Science", "id" : "ITEM-2", "issue" : "5940", "issued" : { "date-parts" : [ [ "2009" ] ] }, "page" : "578-585", "title" : "Rebuilding global fisheries", "type" : "article-journal", "volume" : "325" }, "uris" : [ "http://www.mendeley.com/documents/?uuid=c1dfcc6d-2f91-3f79-96a3-ecc79822d558" ] } ], "mendeley" : { "formattedCitation" : "(C. Costello et al., 2016; Worm et al., 2009)", "manualFormatting" : "(Costello et al., 2016; Worm et al., 2009)", "plainTextFormattedCitation" : "(C. Costello et al., 2016; Worm et al., 2009)", "previouslyFormattedCitation" : "(C. Costello et al., 2016; Worm et al., 2009)" }, "properties" : { "noteIndex" : 0 }, "schema" : "https://github.com/citation-style-language/schema/raw/master/csl-citation.json" }</w:instrText>
      </w:r>
      <w:r w:rsidRPr="008608AA">
        <w:fldChar w:fldCharType="separate"/>
      </w:r>
      <w:r w:rsidRPr="008608AA">
        <w:rPr>
          <w:noProof/>
        </w:rPr>
        <w:t>(Costello et al., 2016; Worm et al., 2009)</w:t>
      </w:r>
      <w:r w:rsidRPr="008608AA">
        <w:fldChar w:fldCharType="end"/>
      </w:r>
      <w:r w:rsidRPr="008608AA">
        <w:t xml:space="preserve"> show that over-fished populations usually recover after fishing pressure is reduced. In the USA, management actions have resulted in a number of successes, including Alaska groundfish, king and Spanish mackerel, striped bass, and ocean quahogs </w:t>
      </w:r>
      <w:r w:rsidRPr="008608AA">
        <w:fldChar w:fldCharType="begin" w:fldLock="1"/>
      </w:r>
      <w:r w:rsidRPr="008608AA">
        <w:instrText>ADDIN CSL_CITATION { "citationItems" : [ { "id" : "ITEM-1", "itemData" : { "author" : [ { "dropping-particle" : "", "family" : "Hourigan", "given" : "T.F.", "non-dropping-particle" : "", "parse-names" : false, "suffix" : "" } ], "container-title" : "Trends and Future Challenges for U.S. National Ocean and Coastal Policy", "editor" : [ { "dropping-particle" : "", "family" : "Cicin-Sain", "given" : "Biliana", "non-dropping-particle" : "", "parse-names" : false, "suffix" : "" }, { "dropping-particle" : "", "family" : "Knecht", "given" : "Robert W.", "non-dropping-particle" : "", "parse-names" : false, "suffix" : "" }, { "dropping-particle" : "", "family" : "Foster", "given" : "Nancy", "non-dropping-particle" : "", "parse-names" : false, "suffix" : "" } ], "id" : "ITEM-1", "issued" : { "date-parts" : [ [ "1999" ] ] }, "publisher" : "Proceedings of a Workshop", "publisher-place" : "Washington D.C., USA", "title" : "Conserving ocean biodiversity: trends and challenges", "type" : "chapter" }, "uris" : [ "http://www.mendeley.com/documents/?uuid=ae89b42b-46fd-48f1-9b44-e6bfa5a70502" ] } ], "mendeley" : { "formattedCitation" : "(Hourigan, 1999)", "plainTextFormattedCitation" : "(Hourigan, 1999)", "previouslyFormattedCitation" : "(Hourigan, 1999)" }, "properties" : { "noteIndex" : 0 }, "schema" : "https://github.com/citation-style-language/schema/raw/master/csl-citation.json" }</w:instrText>
      </w:r>
      <w:r w:rsidRPr="008608AA">
        <w:fldChar w:fldCharType="separate"/>
      </w:r>
      <w:r w:rsidRPr="008608AA">
        <w:rPr>
          <w:noProof/>
        </w:rPr>
        <w:t>(Hourigan, 1999)</w:t>
      </w:r>
      <w:r w:rsidRPr="008608AA">
        <w:fldChar w:fldCharType="end"/>
      </w:r>
      <w:r w:rsidRPr="008608AA">
        <w:t xml:space="preserve">. Only a small percentage of USA fisheries are now considered overfished. However, fisheries impact nontarget species through bycatch and seafloor damage by trawls </w:t>
      </w:r>
      <w:r w:rsidRPr="008608AA">
        <w:fldChar w:fldCharType="begin" w:fldLock="1"/>
      </w:r>
      <w:r w:rsidRPr="008608AA">
        <w:instrText>ADDIN CSL_CITATION { "citationItems" : [ { "id" : "ITEM-1", "itemData" : { "DOI" : "10.1046/j.1523-1739.1998.0120061180.x", "ISBN" : "1523-1739", "ISSN" : "08888892", "PMID" : "4556226", "abstract" : "Bottom trawling and use of other mobile fishing gear have effects on the seabed that resemble forest clearcutting, a terrestrial disturbance recognized as a major threat to biological diversity and economic sustainability. Structures in marine benthic communities are generally much smaller than those in forests, but structural complexity is no less important to their biodiversity. Use of mobile fishing gear crushes, buries, and exposes marine animals and structures on and in the substratum, sharply reducing structural diversity. Its severity is roughly comparable to other natural and anthropogenic marine disturbances. It also alters biogeochemical cycles, perhaps even globally. Recovery after disturbance is often slow because recruitment is patchy and growth to maturity takes years, decades, or more for some structure-forming species. Trawling and dredging are especially problematic where the return interval\u2014the time from one dredging or trawling event to the next\u2014is shorter than the time it takes for the ecosystem to recover; extensive areas can be trawled 100\u2013700% per year or more. The effects of mobile fishing gear on biodiversity are most severe where natural disturbance is least prevalent, particularly on the outer continental shelf and slope, where storm-wave damage is negligible and biological processes, including growth, tend to be slow. Recent advances in fishing technology (e.g., rockhopper gear, global positioning systems, fish finders) have all but eliminated what were de facto refuges from trawling. The frequency of trawling (in percentage of the continental shelf trawled per year) is orders of magnitude higher than other severe seabed disturbances, annually covering an area equivalent to perhaps half of the world\u2019s continental shelf, or 150 times the land area that is clearcut yearly. Mobile fishing gear can have large and long-lasting effects on benthic communities, including young stages of commercially important fishes, although some species benefit when structural complexity is reduced. These findings are crucial for implementation of \u201cEssential Fish Habitat\u201d provisions of the U.S. Magnuson-Stevens Fishery Conservation and Management Act which aim to protect nursery and feeding habitat for commercial fishes. Using a precautionary approach to management, modifying fishing methods, and creating refuges free of mobile fishing gear are ways to reduce effects on biological diversity and commercial fish habitat.", "author" : [ { "dropping-particle" : "", "family" : "Watling", "given" : "Les", "non-dropping-particle" : "", "parse-names" : false, "suffix" : "" }, { "dropping-particle" : "", "family" : "Norse", "given" : "Elliott A.", "non-dropping-particle" : "", "parse-names" : false, "suffix" : "" } ], "container-title" : "Conservation Biology", "id" : "ITEM-1", "issue" : "6", "issued" : { "date-parts" : [ [ "1998" ] ] }, "page" : "1180-1197", "title" : "Disturbance of the seabed by mobile fishing gear: a comparison to forest clearcutting", "type" : "article-journal", "volume" : "12" }, "uris" : [ "http://www.mendeley.com/documents/?uuid=22960bc4-473a-4a40-96ea-6cdc8f90175d" ] } ], "mendeley" : { "formattedCitation" : "(Watling &amp; Norse, 1998)", "plainTextFormattedCitation" : "(Watling &amp; Norse, 1998)", "previouslyFormattedCitation" : "(Watling &amp; Norse, 1998)" }, "properties" : { "noteIndex" : 0 }, "schema" : "https://github.com/citation-style-language/schema/raw/master/csl-citation.json" }</w:instrText>
      </w:r>
      <w:r w:rsidRPr="008608AA">
        <w:fldChar w:fldCharType="separate"/>
      </w:r>
      <w:r w:rsidRPr="008608AA">
        <w:rPr>
          <w:noProof/>
        </w:rPr>
        <w:t>(Watling &amp; Norse, 1998)</w:t>
      </w:r>
      <w:r w:rsidRPr="008608AA">
        <w:fldChar w:fldCharType="end"/>
      </w:r>
      <w:r w:rsidRPr="008608AA">
        <w:t xml:space="preserve">. In Canada, an expert panel </w:t>
      </w:r>
      <w:r w:rsidRPr="008608AA">
        <w:fldChar w:fldCharType="begin" w:fldLock="1"/>
      </w:r>
      <w:r w:rsidRPr="008608AA">
        <w:instrText>ADDIN CSL_CITATION { "citationItems" : [ { "id" : "ITEM-1", "itemData" : { "author" : [ { "dropping-particle" : "", "family" : "Hutchings", "given" : "J.A.", "non-dropping-particle" : "", "parse-names" : false, "suffix" : "" }, { "dropping-particle" : "", "family" : "C\u00f4t\u00e9", "given" : "I.M.", "non-dropping-particle" : "", "parse-names" : false, "suffix" : "" }, { "dropping-particle" : "", "family" : "Dodson", "given" : "J.J.", "non-dropping-particle" : "", "parse-names" : false, "suffix" : "" }, { "dropping-particle" : "", "family" : "Fleming", "given" : "I.A.", "non-dropping-particle" : "", "parse-names" : false, "suffix" : "" }, { "dropping-particle" : "", "family" : "Jennings", "given" : "S.", "non-dropping-particle" : "", "parse-names" : false, "suffix" : "" }, { "dropping-particle" : "", "family" : "Mantua", "given" : "N.J.", "non-dropping-particle" : "", "parse-names" : false, "suffix" : "" }, { "dropping-particle" : "", "family" : "Peterman", "given" : "R.M.", "non-dropping-particle" : "", "parse-names" : false, "suffix" : "" }, { "dropping-particle" : "", "family" : "Riddell", "given" : "B.E.", "non-dropping-particle" : "", "parse-names" : false, "suffix" : "" }, { "dropping-particle" : "", "family" : "Weaver", "given" : "A.J.", "non-dropping-particle" : "", "parse-names" : false, "suffix" : "" }, { "dropping-particle" : "", "family" : "VanderZwaag", "given" : "D.L.", "non-dropping-particle" : "", "parse-names" : false, "suffix" : "" } ], "id" : "ITEM-1", "issued" : { "date-parts" : [ [ "2012" ] ] }, "number-of-pages" : "316", "publisher" : "Royal Society of Canada", "publisher-place" : "Ottawa, Canada", "title" : "Sustaining Canada\u2019s Marine Biodiversity: Responding to the Challenges Posed by Climate Change, Fisheries, and Aquaculture", "type" : "report" }, "uris" : [ "http://www.mendeley.com/documents/?uuid=0989715f-786f-43e4-a9b3-cd3dd4bd2618" ] } ], "mendeley" : { "formattedCitation" : "(Hutchings et al., 2012)", "plainTextFormattedCitation" : "(Hutchings et al., 2012)", "previouslyFormattedCitation" : "(Hutchings et al., 2012)" }, "properties" : { "noteIndex" : 0 }, "schema" : "https://github.com/citation-style-language/schema/raw/master/csl-citation.json" }</w:instrText>
      </w:r>
      <w:r w:rsidRPr="008608AA">
        <w:fldChar w:fldCharType="separate"/>
      </w:r>
      <w:r w:rsidRPr="008608AA">
        <w:rPr>
          <w:noProof/>
        </w:rPr>
        <w:t>(Hutchings et al., 2012)</w:t>
      </w:r>
      <w:r w:rsidRPr="008608AA">
        <w:fldChar w:fldCharType="end"/>
      </w:r>
      <w:r w:rsidRPr="008608AA">
        <w:t xml:space="preserve"> concluded that marine fishes in Canada declined by an average of 52% from 1970 to the mid 1990s and then remained stable; most stocks, including some populations of groundfish, such as Atlantic and Pacific cod, lingcod and rockfish species, pelagic fish such as herring and capelin, and anadromous fish such as coho, Chinook salmon, Atlantic salmon and Arctic char remain well below target levels.</w:t>
      </w:r>
    </w:p>
    <w:p w14:paraId="7BD23E18" w14:textId="77777777" w:rsidR="004255E7" w:rsidRPr="008608AA" w:rsidRDefault="004255E7" w:rsidP="00DA1971">
      <w:pPr>
        <w:rPr>
          <w:lang w:eastAsia="ja-JP"/>
        </w:rPr>
      </w:pPr>
      <w:r w:rsidRPr="008608AA">
        <w:t xml:space="preserve">Three of the seven global threat hotspots for neritic and epipelagic oceanic sharks in coastal waters are in the Americas (Gulf of California, southeast USA continental shelf, Patagonian shelf) </w:t>
      </w:r>
      <w:r w:rsidRPr="008608AA">
        <w:fldChar w:fldCharType="begin" w:fldLock="1"/>
      </w:r>
      <w:r w:rsidRPr="008608AA">
        <w:instrText>ADDIN CSL_CITATION { "citationItems" : [ { "id" : "ITEM-1", "itemData" : { "DOI" : "10.7554/eLife.00590", "ISSN" : "0888-8892", "abstract" : "The rapid expansion of human activities threatens ocean-wide biodiversity. Numerous marine animal populations have declined, yet it remains unclear whether these trends are symptomatic of a chronic accumulation of global marine extinction risk. We present the first systematic analysis of threat for a globally distributed lineage of 1,041 chondrichthyan fishes\u2014sharks, rays, and chimaeras. We estimate that one-quarter are threatened according to IUCN Red List criteria due to overfishing (targeted and incidental). Large-bodied, shallow-water species are at greatest risk and five out of the seven most threatened families are rays. Overall chondrichthyan extinction risk is substantially higher than for most other vertebrates, and only one-third of species are considered safe. Population depletion has occurred throughout the world\u2019s ice-free waters, but is particularly prevalent in the Indo-Pacific Biodiversity Triangle and Mediterranean Sea. Improved management of fisheries and trade is urgently needed to avoid extinctions and promote population recovery.", "author" : [ { "dropping-particle" : "", "family" : "Dulvy", "given" : "N.K.", "non-dropping-particle" : "", "parse-names" : false, "suffix" : "" }, { "dropping-particle" : "", "family" : "Fowler", "given" : "S.L.", "non-dropping-particle" : "", "parse-names" : false, "suffix" : "" }, { "dropping-particle" : "", "family" : "Musick", "given" : "J.A.", "non-dropping-particle" : "", "parse-names" : false, "suffix" : "" }, { "dropping-particle" : "", "family" : "Cavanagh", "given" : "R.D.", "non-dropping-particle" : "", "parse-names" : false, "suffix" : "" }, { "dropping-particle" : "", "family" : "Kyne", "given" : "P.M..", "non-dropping-particle" : "", "parse-names" : false, "suffix" : "" }, { "dropping-particle" : "", "family" : "Harrison", "given" : "L. R.", "non-dropping-particle" : "", "parse-names" : false, "suffix" : "" }, { "dropping-particle" : "", "family" : "Carlson", "given" : "John K", "non-dropping-particle" : "", "parse-names" : false, "suffix" : "" }, { "dropping-particle" : "", "family" : "Davidson", "given" : "Lindsay NK", "non-dropping-particle" : "", "parse-names" : false, "suffix" : "" }, { "dropping-particle" : "V", "family" : "Fordham", "given" : "Sonja", "non-dropping-particle" : "", "parse-names" : false, "suffix" : "" }, { "dropping-particle" : "", "family" : "Francis", "given" : "Malcolm P", "non-dropping-particle" : "", "parse-names" : false, "suffix" : "" }, { "dropping-particle" : "", "family" : "Pollock", "given" : "Caroline M", "non-dropping-particle" : "", "parse-names" : false, "suffix" : "" }, { "dropping-particle" : "", "family" : "Simpfendorfer", "given" : "Colin A", "non-dropping-particle" : "", "parse-names" : false, "suffix" : "" }, { "dropping-particle" : "", "family" : "Burgess", "given" : "George H", "non-dropping-particle" : "", "parse-names" : false, "suffix" : "" }, { "dropping-particle" : "", "family" : "Carpenter", "given" : "Kent E", "non-dropping-particle" : "", "parse-names" : false, "suffix" : "" }, { "dropping-particle" : "", "family" : "Compagno", "given" : "Leonard JV", "non-dropping-particle" : "", "parse-names" : false, "suffix" : "" }, { "dropping-particle" : "", "family" : "Ebert", "given" : "David A", "non-dropping-particle" : "", "parse-names" : false, "suffix" : "" }, { "dropping-particle" : "", "family" : "Gibson", "given" : "Claudine", "non-dropping-particle" : "", "parse-names" : false, "suffix" : "" }, { "dropping-particle" : "", "family" : "Heupel", "given" : "Michelle R", "non-dropping-particle" : "", "parse-names" : false, "suffix" : "" }, { "dropping-particle" : "", "family" : "Livingstone", "given" : "Suzanne R", "non-dropping-particle" : "", "parse-names" : false, "suffix" : "" }, { "dropping-particle" : "", "family" : "Sanciangco", "given" : "Jonnell C", "non-dropping-particle" : "", "parse-names" : false, "suffix" : "" }, { "dropping-particle" : "", "family" : "Stevens", "given" : "John D", "non-dropping-particle" : "", "parse-names" : false, "suffix" : "" }, { "dropping-particle" : "", "family" : "Valenti", "given" : "Sarah", "non-dropping-particle" : "", "parse-names" : false, "suffix" : "" }, { "dropping-particle" : "", "family" : "White", "given" : "William T.", "non-dropping-particle" : "", "parse-names" : false, "suffix" : "" } ], "container-title" : "eLife", "id" : "ITEM-1", "issued" : { "date-parts" : [ [ "2014" ] ] }, "page" : "e00590", "title" : "Extinction risk and conservation of the world\u2019s sharks and rays", "type" : "article-journal", "volume" : "3" }, "uris" : [ "http://www.mendeley.com/documents/?uuid=6f9f5005-a134-3094-92c8-36db39459cf8" ] } ], "mendeley" : { "formattedCitation" : "(Dulvy et al., 2014)", "plainTextFormattedCitation" : "(Dulvy et al., 2014)", "previouslyFormattedCitation" : "(Dulvy et al., 2014)" }, "properties" : { "noteIndex" : 0 }, "schema" : "https://github.com/citation-style-language/schema/raw/master/csl-citation.json" }</w:instrText>
      </w:r>
      <w:r w:rsidRPr="008608AA">
        <w:fldChar w:fldCharType="separate"/>
      </w:r>
      <w:r w:rsidRPr="008608AA">
        <w:rPr>
          <w:noProof/>
        </w:rPr>
        <w:t>(Dulvy et al., 2014)</w:t>
      </w:r>
      <w:r w:rsidRPr="008608AA">
        <w:fldChar w:fldCharType="end"/>
      </w:r>
      <w:r w:rsidRPr="008608AA">
        <w:t xml:space="preserve">. Brazil, Mexico, Argentina and the USA are in the top 10 countries reporting the highest landings of chondrichthyans between 2003 and 2011 </w:t>
      </w:r>
      <w:r w:rsidRPr="008608AA">
        <w:fldChar w:fldCharType="begin" w:fldLock="1"/>
      </w:r>
      <w:r w:rsidRPr="008608AA">
        <w:instrText>ADDIN CSL_CITATION { "citationItems" : [ { "id" : "ITEM-1", "itemData" : { "DOI" : "10.1111/faf.12119", "author" : [ { "dropping-particle" : "", "family" : "Davidson", "given" : "L. N. K.", "non-dropping-particle" : "", "parse-names" : false, "suffix" : "" }, { "dropping-particle" : "", "family" : "Krawchuk", "given" : "M. A.", "non-dropping-particle" : "", "parse-names" : false, "suffix" : "" }, { "dropping-particle" : "", "family" : "Dulvy", "given" : "N. K", "non-dropping-particle" : "", "parse-names" : false, "suffix" : "" } ], "container-title" : "Fish and Fisheries", "id" : "ITEM-1", "issue" : "2", "issued" : { "date-parts" : [ [ "2016" ] ] }, "page" : "438-458", "title" : "Why have global shark and ray landings declined: Improved management or overfishing?", "type" : "article-journal", "volume" : "17" }, "uris" : [ "http://www.mendeley.com/documents/?uuid=9312e539-6bc8-4f6c-9534-75f39b4ea7bd" ] } ], "mendeley" : { "formattedCitation" : "(L. N. K. Davidson, Krawchuk, &amp; Dulvy, 2016)", "manualFormatting" : "(Davidson et al., 2016)", "plainTextFormattedCitation" : "(L. N. K. Davidson, Krawchuk, &amp; Dulvy, 2016)", "previouslyFormattedCitation" : "(L. N. K. Davidson, Krawchuk, &amp; Dulvy, 2016)" }, "properties" : { "noteIndex" : 0 }, "schema" : "https://github.com/citation-style-language/schema/raw/master/csl-citation.json" }</w:instrText>
      </w:r>
      <w:r w:rsidRPr="008608AA">
        <w:fldChar w:fldCharType="separate"/>
      </w:r>
      <w:r w:rsidRPr="008608AA">
        <w:rPr>
          <w:noProof/>
        </w:rPr>
        <w:t>(Davidson et al., 2016)</w:t>
      </w:r>
      <w:r w:rsidRPr="008608AA">
        <w:fldChar w:fldCharType="end"/>
      </w:r>
      <w:r w:rsidRPr="008608AA">
        <w:t>. Currently, despite decades of population declines for many chondrichthyans, only 18 sharks and rays have been listed by CITES (Convention on International Trade in Endangered Species). Stock assessments for a number of chondrichthyans in the Americas report declines of 20</w:t>
      </w:r>
      <w:r w:rsidRPr="008608AA">
        <w:softHyphen/>
        <w:t xml:space="preserve">–80% from unfished conditions for multiple species </w:t>
      </w:r>
      <w:r w:rsidRPr="008608AA">
        <w:fldChar w:fldCharType="begin" w:fldLock="1"/>
      </w:r>
      <w:r w:rsidRPr="008608AA">
        <w:instrText>ADDIN CSL_CITATION { "citationItems" : [ { "id" : "ITEM-1", "itemData" : { "author" : [ { "dropping-particle" : "", "family" : "Highly Migratory Species Management Division", "given" : "", "non-dropping-particle" : "", "parse-names" : false, "suffix" : "" } ], "id" : "ITEM-1", "issued" : { "date-parts" : [ [ "2006" ] ] }, "publisher" : "National Marine Fisheries Service (NMFS)", "publisher-place" : "Silver Spring, USA", "title" : "SEDAR 11: Stock Assessment Report: Large Coastal Shark Complex, Blacktip and Sandbar Shark", "type" : "report" }, "uris" : [ "http://www.mendeley.com/documents/?uuid=600e662f-bdf0-39d1-98f7-99e1a6380f84" ] } ], "mendeley" : { "formattedCitation" : "(Highly Migratory Species Management Division, 2006)", "plainTextFormattedCitation" : "(Highly Migratory Species Management Division, 2006)", "previouslyFormattedCitation" : "(Highly Migratory Species Management Division, 2006)" }, "properties" : { "noteIndex" : 0 }, "schema" : "https://github.com/citation-style-language/schema/raw/master/csl-citation.json" }</w:instrText>
      </w:r>
      <w:r w:rsidRPr="008608AA">
        <w:fldChar w:fldCharType="separate"/>
      </w:r>
      <w:r w:rsidRPr="008608AA">
        <w:rPr>
          <w:noProof/>
        </w:rPr>
        <w:t>(Highly Migratory Species Management Division, 2006)</w:t>
      </w:r>
      <w:r w:rsidRPr="008608AA">
        <w:fldChar w:fldCharType="end"/>
      </w:r>
      <w:r w:rsidRPr="008608AA">
        <w:t xml:space="preserve">. In the eastern central Pacific, </w:t>
      </w:r>
      <w:r w:rsidRPr="008608AA">
        <w:rPr>
          <w:color w:val="222222"/>
          <w:shd w:val="clear" w:color="auto" w:fill="FFFFFF"/>
        </w:rPr>
        <w:t>chondrichthyan</w:t>
      </w:r>
      <w:r w:rsidRPr="008608AA">
        <w:t xml:space="preserve"> landings steadily increased throughout the latter half of the 20th century, peaking to ~50,000 tonnes in 2000, and declining to &lt;40,000 tons in recent years </w:t>
      </w:r>
      <w:r w:rsidRPr="008608AA">
        <w:fldChar w:fldCharType="begin" w:fldLock="1"/>
      </w:r>
      <w:r w:rsidRPr="008608AA">
        <w:instrText>ADDIN CSL_CITATION { "citationItems" : [ { "id" : "ITEM-1", "itemData" : { "author" : [ { "dropping-particle" : "", "family" : "FAO", "given" : "", "non-dropping-particle" : "", "parse-names" : false, "suffix" : "" } ], "container-title" : "Food and Agriculture Organization of the United Nations.", "id" : "ITEM-1", "issued" : { "date-parts" : [ [ "2011" ] ] }, "publisher-place" : "Rome, Italy", "title" : "The State of Forest Resources- a Regional Analysis. In State of the World\u2019s Forests", "type" : "report" }, "uris" : [ "http://www.mendeley.com/documents/?uuid=90002476-468d-4708-893f-9105a935b351" ] } ], "mendeley" : { "formattedCitation" : "(FAO, 2011)", "plainTextFormattedCitation" : "(FAO, 2011)", "previouslyFormattedCitation" : "(FAO, 2011)" }, "properties" : { "noteIndex" : 0 }, "schema" : "https://github.com/citation-style-language/schema/raw/master/csl-citation.json" }</w:instrText>
      </w:r>
      <w:r w:rsidRPr="008608AA">
        <w:fldChar w:fldCharType="separate"/>
      </w:r>
      <w:r w:rsidRPr="008608AA">
        <w:rPr>
          <w:noProof/>
        </w:rPr>
        <w:t>(FAO, 2011)</w:t>
      </w:r>
      <w:r w:rsidRPr="008608AA">
        <w:fldChar w:fldCharType="end"/>
      </w:r>
      <w:r w:rsidRPr="008608AA">
        <w:t>. Mexican catches (which represent &gt;60% of regional chondrichthyan landings) have continued to increase, and current fishing practices targeting elasmobranch aggregations on breeding</w:t>
      </w:r>
      <w:r w:rsidRPr="008608AA">
        <w:rPr>
          <w:lang w:eastAsia="ja-JP"/>
        </w:rPr>
        <w:t xml:space="preserve"> </w:t>
      </w:r>
      <w:r w:rsidRPr="008608AA">
        <w:t xml:space="preserve">and pupping grounds are posing increased threats to many species </w:t>
      </w:r>
      <w:r w:rsidRPr="008608AA">
        <w:fldChar w:fldCharType="begin" w:fldLock="1"/>
      </w:r>
      <w:r w:rsidRPr="008608AA">
        <w:instrText>ADDIN CSL_CITATION { "citationItems" : [ { "id" : "ITEM-1", "itemData" : { "ISBN" : "9780956106322", "editor" : [ { "dropping-particle" : "", "family" : "Kyne", "given" : "Peter M.", "non-dropping-particle" : "", "parse-names" : false, "suffix" : "" }, { "dropping-particle" : "", "family" : "Carlson", "given" : "John K.", "non-dropping-particle" : "", "parse-names" : false, "suffix" : "" }, { "dropping-particle" : "", "family" : "Ebert", "given" : "David A.", "non-dropping-particle" : "", "parse-names" : false, "suffix" : "" }, { "dropping-particle" : "V.", "family" : "Fordham", "given" : "Sonja", "non-dropping-particle" : "", "parse-names" : false, "suffix" : "" }, { "dropping-particle" : "", "family" : "Bizzarro", "given" : "Joseph J.", "non-dropping-particle" : "", "parse-names" : false, "suffix" : "" }, { "dropping-particle" : "", "family" : "Graham", "given" : "Rachel T.", "non-dropping-particle" : "", "parse-names" : false, "suffix" : "" }, { "dropping-particle" : "", "family" : "Kulka", "given" : "David W.", "non-dropping-particle" : "", "parse-names" : false, "suffix" : "" }, { "dropping-particle" : "", "family" : "Tewes", "given" : "Emily E.", "non-dropping-particle" : "", "parse-names" : false, "suffix" : "" }, { "dropping-particle" : "", "family" : "Harrison", "given" : "Lucy R.", "non-dropping-particle" : "", "parse-names" : false, "suffix" : "" }, { "dropping-particle" : "", "family" : "Dulvy", "given" : "Nicholas K.", "non-dropping-particle" : "", "parse-names" : false, "suffix" : "" } ], "id" : "ITEM-1", "issued" : { "date-parts" : [ [ "2012" ] ] }, "number-of-pages" : "148", "publisher" : "IUCN Species Survival Commission Shark Specialist Group", "publisher-place" : "Vancouver, Canada", "title" : "The Conservation Status of North American, Central American, and Caribbean Chondrichthyans", "type" : "book" }, "uris" : [ "http://www.mendeley.com/documents/?uuid=0427afbd-c464-3464-afc4-8d60daf85768" ] } ], "mendeley" : { "formattedCitation" : "(Kyne et al., 2012)", "plainTextFormattedCitation" : "(Kyne et al., 2012)", "previouslyFormattedCitation" : "(Kyne et al., 2012)" }, "properties" : { "noteIndex" : 0 }, "schema" : "https://github.com/citation-style-language/schema/raw/master/csl-citation.json" }</w:instrText>
      </w:r>
      <w:r w:rsidRPr="008608AA">
        <w:fldChar w:fldCharType="separate"/>
      </w:r>
      <w:r w:rsidRPr="008608AA">
        <w:rPr>
          <w:noProof/>
        </w:rPr>
        <w:t>(Kyne et al., 2012)</w:t>
      </w:r>
      <w:r w:rsidRPr="008608AA">
        <w:fldChar w:fldCharType="end"/>
      </w:r>
      <w:r w:rsidRPr="008608AA">
        <w:t xml:space="preserve">. Historic and current fishery landings data are limited, and the population status of most shark species throughout the region is poorly understood </w:t>
      </w:r>
      <w:r w:rsidRPr="008608AA">
        <w:fldChar w:fldCharType="begin" w:fldLock="1"/>
      </w:r>
      <w:r w:rsidRPr="008608AA">
        <w:instrText>ADDIN CSL_CITATION { "citationItems" : [ { "id" : "ITEM-1", "itemData" : { "ISBN" : "9780956106322", "editor" : [ { "dropping-particle" : "", "family" : "Kyne", "given" : "Peter M.", "non-dropping-particle" : "", "parse-names" : false, "suffix" : "" }, { "dropping-particle" : "", "family" : "Carlson", "given" : "John K.", "non-dropping-particle" : "", "parse-names" : false, "suffix" : "" }, { "dropping-particle" : "", "family" : "Ebert", "given" : "David A.", "non-dropping-particle" : "", "parse-names" : false, "suffix" : "" }, { "dropping-particle" : "V.", "family" : "Fordham", "given" : "Sonja", "non-dropping-particle" : "", "parse-names" : false, "suffix" : "" }, { "dropping-particle" : "", "family" : "Bizzarro", "given" : "Joseph J.", "non-dropping-particle" : "", "parse-names" : false, "suffix" : "" }, { "dropping-particle" : "", "family" : "Graham", "given" : "Rachel T.", "non-dropping-particle" : "", "parse-names" : false, "suffix" : "" }, { "dropping-particle" : "", "family" : "Kulka", "given" : "David W.", "non-dropping-particle" : "", "parse-names" : false, "suffix" : "" }, { "dropping-particle" : "", "family" : "Tewes", "given" : "Emily E.", "non-dropping-particle" : "", "parse-names" : false, "suffix" : "" }, { "dropping-particle" : "", "family" : "Harrison", "given" : "Lucy R.", "non-dropping-particle" : "", "parse-names" : false, "suffix" : "" }, { "dropping-particle" : "", "family" : "Dulvy", "given" : "Nicholas K.", "non-dropping-particle" : "", "parse-names" : false, "suffix" : "" } ], "id" : "ITEM-1", "issued" : { "date-parts" : [ [ "2012" ] ] }, "number-of-pages" : "148", "publisher" : "IUCN Species Survival Commission Shark Specialist Group", "publisher-place" : "Vancouver, Canada", "title" : "The Conservation Status of North American, Central American, and Caribbean Chondrichthyans", "type" : "book" }, "uris" : [ "http://www.mendeley.com/documents/?uuid=0427afbd-c464-3464-afc4-8d60daf85768" ] } ], "mendeley" : { "formattedCitation" : "(Kyne et al., 2012)", "plainTextFormattedCitation" : "(Kyne et al., 2012)", "previouslyFormattedCitation" : "(Kyne et al., 2012)" }, "properties" : { "noteIndex" : 0 }, "schema" : "https://github.com/citation-style-language/schema/raw/master/csl-citation.json" }</w:instrText>
      </w:r>
      <w:r w:rsidRPr="008608AA">
        <w:fldChar w:fldCharType="separate"/>
      </w:r>
      <w:r w:rsidRPr="008608AA">
        <w:rPr>
          <w:noProof/>
        </w:rPr>
        <w:t>(Kyne et al., 2012)</w:t>
      </w:r>
      <w:r w:rsidRPr="008608AA">
        <w:fldChar w:fldCharType="end"/>
      </w:r>
      <w:r w:rsidRPr="008608AA">
        <w:t xml:space="preserve">. However, fishery surveys suggest that two species of sawfish – the largetooth sawfish and the smalltooth sawfish – may have experienced local extinctions in Belize and possibly Guatemala </w:t>
      </w:r>
      <w:r w:rsidRPr="008608AA">
        <w:fldChar w:fldCharType="begin" w:fldLock="1"/>
      </w:r>
      <w:r w:rsidRPr="008608AA">
        <w:instrText>ADDIN CSL_CITATION { "citationItems" : [ { "id" : "ITEM-1", "itemData" : { "ISBN" : "9780956106322", "editor" : [ { "dropping-particle" : "", "family" : "Kyne", "given" : "Peter M.", "non-dropping-particle" : "", "parse-names" : false, "suffix" : "" }, { "dropping-particle" : "", "family" : "Carlson", "given" : "John K.", "non-dropping-particle" : "", "parse-names" : false, "suffix" : "" }, { "dropping-particle" : "", "family" : "Ebert", "given" : "David A.", "non-dropping-particle" : "", "parse-names" : false, "suffix" : "" }, { "dropping-particle" : "V.", "family" : "Fordham", "given" : "Sonja", "non-dropping-particle" : "", "parse-names" : false, "suffix" : "" }, { "dropping-particle" : "", "family" : "Bizzarro", "given" : "Joseph J.", "non-dropping-particle" : "", "parse-names" : false, "suffix" : "" }, { "dropping-particle" : "", "family" : "Graham", "given" : "Rachel T.", "non-dropping-particle" : "", "parse-names" : false, "suffix" : "" }, { "dropping-particle" : "", "family" : "Kulka", "given" : "David W.", "non-dropping-particle" : "", "parse-names" : false, "suffix" : "" }, { "dropping-particle" : "", "family" : "Tewes", "given" : "Emily E.", "non-dropping-particle" : "", "parse-names" : false, "suffix" : "" }, { "dropping-particle" : "", "family" : "Harrison", "given" : "Lucy R.", "non-dropping-particle" : "", "parse-names" : false, "suffix" : "" }, { "dropping-particle" : "", "family" : "Dulvy", "given" : "Nicholas K.", "non-dropping-particle" : "", "parse-names" : false, "suffix" : "" } ], "id" : "ITEM-1", "issued" : { "date-parts" : [ [ "2012" ] ] }, "number-of-pages" : "148", "publisher" : "IUCN Species Survival Commission Shark Specialist Group", "publisher-place" : "Vancouver, Canada", "title" : "The Conservation Status of North American, Central American, and Caribbean Chondrichthyans", "type" : "book" }, "uris" : [ "http://www.mendeley.com/documents/?uuid=0427afbd-c464-3464-afc4-8d60daf85768" ] } ], "mendeley" : { "formattedCitation" : "(Kyne et al., 2012)", "plainTextFormattedCitation" : "(Kyne et al., 2012)", "previouslyFormattedCitation" : "(Kyne et al., 2012)" }, "properties" : { "noteIndex" : 0 }, "schema" : "https://github.com/citation-style-language/schema/raw/master/csl-citation.json" }</w:instrText>
      </w:r>
      <w:r w:rsidRPr="008608AA">
        <w:fldChar w:fldCharType="separate"/>
      </w:r>
      <w:r w:rsidRPr="008608AA">
        <w:rPr>
          <w:noProof/>
        </w:rPr>
        <w:t>(Kyne et al., 2012)</w:t>
      </w:r>
      <w:r w:rsidRPr="008608AA">
        <w:fldChar w:fldCharType="end"/>
      </w:r>
      <w:r w:rsidRPr="008608AA">
        <w:t>.</w:t>
      </w:r>
    </w:p>
    <w:p w14:paraId="4BA51D92" w14:textId="77777777" w:rsidR="004255E7" w:rsidRPr="008608AA" w:rsidRDefault="004255E7" w:rsidP="00DA1971">
      <w:r w:rsidRPr="008608AA">
        <w:t>Canada has become one the world’s third-largest exporters of shark meat, and the USA has experienced the second greatest increase in chondrichthyan landings since 2003 (</w:t>
      </w:r>
      <w:r w:rsidRPr="008608AA">
        <w:fldChar w:fldCharType="begin" w:fldLock="1"/>
      </w:r>
      <w:r w:rsidRPr="008608AA">
        <w:instrText>ADDIN CSL_CITATION { "citationItems" : [ { "id" : "ITEM-1", "itemData" : { "DOI" : "10.1111/faf.12119", "author" : [ { "dropping-particle" : "", "family" : "Davidson", "given" : "L. N. K.", "non-dropping-particle" : "", "parse-names" : false, "suffix" : "" }, { "dropping-particle" : "", "family" : "Krawchuk", "given" : "M. A.", "non-dropping-particle" : "", "parse-names" : false, "suffix" : "" }, { "dropping-particle" : "", "family" : "Dulvy", "given" : "N. K", "non-dropping-particle" : "", "parse-names" : false, "suffix" : "" } ], "container-title" : "Fish and Fisheries", "id" : "ITEM-1", "issue" : "2", "issued" : { "date-parts" : [ [ "2016" ] ] }, "page" : "438-458", "title" : "Why have global shark and ray landings declined: Improved management or overfishing?", "type" : "article-journal", "volume" : "17" }, "uris" : [ "http://www.mendeley.com/documents/?uuid=9312e539-6bc8-4f6c-9534-75f39b4ea7bd" ] } ], "mendeley" : { "formattedCitation" : "(L. N. K. Davidson et al., 2016)", "manualFormatting" : "Davidson et al., 2016)", "plainTextFormattedCitation" : "(L. N. K. Davidson et al., 2016)", "previouslyFormattedCitation" : "(L. N. K. Davidson et al., 2016)" }, "properties" : { "noteIndex" : 0 }, "schema" : "https://github.com/citation-style-language/schema/raw/master/csl-citation.json" }</w:instrText>
      </w:r>
      <w:r w:rsidRPr="008608AA">
        <w:fldChar w:fldCharType="separate"/>
      </w:r>
      <w:r w:rsidRPr="008608AA">
        <w:rPr>
          <w:noProof/>
        </w:rPr>
        <w:t>Davidson et al., 2016)</w:t>
      </w:r>
      <w:r w:rsidRPr="008608AA">
        <w:fldChar w:fldCharType="end"/>
      </w:r>
      <w:r w:rsidRPr="008608AA">
        <w:t xml:space="preserve">. The FAO recently identified Brazil as having one of the largest and most rapidly expanding shark product consumer markets in the world </w:t>
      </w:r>
      <w:r w:rsidRPr="008608AA">
        <w:fldChar w:fldCharType="begin" w:fldLock="1"/>
      </w:r>
      <w:r w:rsidRPr="008608AA">
        <w:instrText>ADDIN CSL_CITATION { "citationItems" : [ { "id" : "ITEM-1", "itemData" : { "DOI" : "10.1111/cobi.12663", "ISBN" : "9788578110796", "ISSN" : "15231739", "PMID" : "25246403", "abstract" : "Predicting the binding mode of flexible polypeptides to proteins is an important task that falls outside the domain of applicability of most small molecule and protein\u2212protein docking tools. Here, we test the small molecule flexible ligand docking program Glide on a set of 19 non-\u03b1-helical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\u2264 2.0 \u00c5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 "author" : [ { "dropping-particle" : "", "family" : "Barreto", "given" : "Rodrigo", "non-dropping-particle" : "", "parse-names" : false, "suffix" : "" }, { "dropping-particle" : "", "family" : "Ferretti", "given" : "Francesco", "non-dropping-particle" : "", "parse-names" : false, "suffix" : "" }, { "dropping-particle" : "", "family" : "Flemming", "given" : "Joanna M.", "non-dropping-particle" : "", "parse-names" : false, "suffix" : "" }, { "dropping-particle" : "", "family" : "Amorim", "given" : "Alberto", "non-dropping-particle" : "", "parse-names" : false, "suffix" : "" }, { "dropping-particle" : "", "family" : "Andrade", "given" : "Humber", "non-dropping-particle" : "", "parse-names" : false, "suffix" : "" }, { "dropping-particle" : "", "family" : "Worm", "given" : "Boris", "non-dropping-particle" : "", "parse-names" : false, "suffix" : "" }, { "dropping-particle" : "", "family" : "Lessa", "given" : "Rosangela", "non-dropping-particle" : "", "parse-names" : false, "suffix" : "" } ], "container-title" : "Conservation Biology", "id" : "ITEM-1", "issue" : "4", "issued" : { "date-parts" : [ [ "2016" ] ] }, "page" : "792-804", "title" : "Trends in the exploitation of South Atlantic shark populations", "type" : "article-journal", "volume" : "30" }, "uris" : [ "http://www.mendeley.com/documents/?uuid=b86a0fe3-7c49-4ed5-8890-9f2507fbf24c" ] } ], "mendeley" : { "formattedCitation" : "(Barreto et al., 2016)", "plainTextFormattedCitation" : "(Barreto et al., 2016)", "previouslyFormattedCitation" : "(Barreto et al., 2016)" }, "properties" : { "noteIndex" : 0 }, "schema" : "https://github.com/citation-style-language/schema/raw/master/csl-citation.json" }</w:instrText>
      </w:r>
      <w:r w:rsidRPr="008608AA">
        <w:fldChar w:fldCharType="separate"/>
      </w:r>
      <w:r w:rsidRPr="008608AA">
        <w:rPr>
          <w:noProof/>
        </w:rPr>
        <w:t>(Barreto et al., 2016)</w:t>
      </w:r>
      <w:r w:rsidRPr="008608AA">
        <w:fldChar w:fldCharType="end"/>
      </w:r>
      <w:r w:rsidRPr="008608AA">
        <w:t xml:space="preserve">. Some 32% of all Brazilian chondrichthyans are endangered and two species of shark are considered regionally extinct, according to IUCN Red List criteria </w:t>
      </w:r>
      <w:r w:rsidRPr="008608AA">
        <w:fldChar w:fldCharType="begin" w:fldLock="1"/>
      </w:r>
      <w:r w:rsidRPr="008608AA">
        <w:instrText>ADDIN CSL_CITATION { "citationItems" : [ { "id" : "ITEM-1", "itemData" : { "DOI" : "10.1111/jfb.13016", "ISBN" : "1095-8649 (Electronic) 0022-1112 (Linking)", "ISSN" : "10958649", "PMID" : "27312713", "abstract" : "The freshwater and marine fish faunas of South America are the most diverse on Earth, with current species richness estimates standing above 9100 species. In addition, over the last decade at least 100 species were described every year. There are currently about 5160 freshwater fish species, and the estimate for the freshwater fish fauna alone points to a final diversity between 8000 and 9000 species. South America also has c. 4000 species of marine fishes. The mega-diverse fish faunas of South America evolved over a period of &gt;100 million years, with most lineages tracing origins to Gondwana and the adjacent Tethys Sea. This high diversity was in part maintained by escaping the mass extinctions and biotic turnovers associated with Cenozoic climate cooling, the formation of boreal and temperate zones at high latitudes and aridification in many places at equatorial latitudes. The fresh waters of the continent are divided into 13 basin complexes, large basins consolidated as a single unit plus historically connected adjacent coastal drainages, and smaller coastal basins grouped together on the basis of biogeographic criteria. Species diversity, endemism, noteworthy groups and state of knowledge of each basin complex are described. Marine habitats around South America, both coastal and oceanic, are also described in terms of fish diversity, endemism and state of knowledge. Because of extensive land use changes, hydroelectric damming, water divergence for irrigation, urbanization, sedimentation and overfishing 4-10% of all fish species in South America face some degree of extinction risk, mainly due to habitat loss and degradation. These figures suggest that the conservation status of South American freshwater fish faunas is better than in most other regions of the world, but the marine fishes are as threatened as elsewhere. Conserving the remarkable aquatic habitats and fishes of South America is a growing challenge in face of the rapid anthropogenic changes of the 21st century, and deserves attention from conservationists and policy makers.", "author" : [ { "dropping-particle" : "", "family" : "Reis", "given" : "R. E.", "non-dropping-particle" : "", "parse-names" : false, "suffix" : "" }, { "dropping-particle" : "", "family" : "Albert", "given" : "J. S.", "non-dropping-particle" : "", "parse-names" : false, "suffix" : "" }, { "dropping-particle" : "", "family" : "Dario", "given" : "F.", "non-dropping-particle" : "Di", "parse-names" : false, "suffix" : "" }, { "dropping-particle" : "", "family" : "Mincarone", "given" : "M. M.", "non-dropping-particle" : "", "parse-names" : false, "suffix" : "" }, { "dropping-particle" : "", "family" : "Petry", "given" : "P.", "non-dropping-particle" : "", "parse-names" : false, "suffix" : "" }, { "dropping-particle" : "", "family" : "Rocha", "given" : "L. A.", "non-dropping-particle" : "", "parse-names" : false, "suffix" : "" } ], "container-title" : "Journal of Fish Biology", "id" : "ITEM-1", "issue" : "1", "issued" : { "date-parts" : [ [ "2016" ] ] }, "page" : "12-47", "title" : "Fish biodiversity and conservation in South America", "type" : "paper-conference", "volume" : "89" }, "uris" : [ "http://www.mendeley.com/documents/?uuid=257af531-296d-3f35-9809-b4e930c2a126" ] } ], "mendeley" : { "formattedCitation" : "(Reis et al., 2016)", "plainTextFormattedCitation" : "(Reis et al., 2016)", "previouslyFormattedCitation" : "(Reis et al., 2016)" }, "properties" : { "noteIndex" : 0 }, "schema" : "https://github.com/citation-style-language/schema/raw/master/csl-citation.json" }</w:instrText>
      </w:r>
      <w:r w:rsidRPr="008608AA">
        <w:fldChar w:fldCharType="separate"/>
      </w:r>
      <w:r w:rsidRPr="008608AA">
        <w:rPr>
          <w:noProof/>
        </w:rPr>
        <w:t>(Reis et al., 2016)</w:t>
      </w:r>
      <w:r w:rsidRPr="008608AA">
        <w:fldChar w:fldCharType="end"/>
      </w:r>
      <w:r w:rsidRPr="008608AA">
        <w:t xml:space="preserve">. The southeastern coast of South America is also considered a hotspot of deepwater threatened chondrichthyans </w:t>
      </w:r>
      <w:r w:rsidRPr="008608AA">
        <w:fldChar w:fldCharType="begin" w:fldLock="1"/>
      </w:r>
      <w:r w:rsidRPr="008608AA">
        <w:instrText>ADDIN CSL_CITATION { "citationItems" : [ { "id" : "ITEM-1", "itemData" : { "DOI" : "10.7554/eLife.00590", "ISSN" : "0888-8892", "abstract" : "The rapid expansion of human activities threatens ocean-wide biodiversity. Numerous marine animal populations have declined, yet it remains unclear whether these trends are symptomatic of a chronic accumulation of global marine extinction risk. We present the first systematic analysis of threat for a globally distributed lineage of 1,041 chondrichthyan fishes\u2014sharks, rays, and chimaeras. We estimate that one-quarter are threatened according to IUCN Red List criteria due to overfishing (targeted and incidental). Large-bodied, shallow-water species are at greatest risk and five out of the seven most threatened families are rays. Overall chondrichthyan extinction risk is substantially higher than for most other vertebrates, and only one-third of species are considered safe. Population depletion has occurred throughout the world\u2019s ice-free waters, but is particularly prevalent in the Indo-Pacific Biodiversity Triangle and Mediterranean Sea. Improved management of fisheries and trade is urgently needed to avoid extinctions and promote population recovery.", "author" : [ { "dropping-particle" : "", "family" : "Dulvy", "given" : "N.K.", "non-dropping-particle" : "", "parse-names" : false, "suffix" : "" }, { "dropping-particle" : "", "family" : "Fowler", "given" : "S.L.", "non-dropping-particle" : "", "parse-names" : false, "suffix" : "" }, { "dropping-particle" : "", "family" : "Musick", "given" : "J.A.", "non-dropping-particle" : "", "parse-names" : false, "suffix" : "" }, { "dropping-particle" : "", "family" : "Cavanagh", "given" : "R.D.", "non-dropping-particle" : "", "parse-names" : false, "suffix" : "" }, { "dropping-particle" : "", "family" : "Kyne", "given" : "P.M..", "non-dropping-particle" : "", "parse-names" : false, "suffix" : "" }, { "dropping-particle" : "", "family" : "Harrison", "given" : "L. R.", "non-dropping-particle" : "", "parse-names" : false, "suffix" : "" }, { "dropping-particle" : "", "family" : "Carlson", "given" : "John K", "non-dropping-particle" : "", "parse-names" : false, "suffix" : "" }, { "dropping-particle" : "", "family" : "Davidson", "given" : "Lindsay NK", "non-dropping-particle" : "", "parse-names" : false, "suffix" : "" }, { "dropping-particle" : "V", "family" : "Fordham", "given" : "Sonja", "non-dropping-particle" : "", "parse-names" : false, "suffix" : "" }, { "dropping-particle" : "", "family" : "Francis", "given" : "Malcolm P", "non-dropping-particle" : "", "parse-names" : false, "suffix" : "" }, { "dropping-particle" : "", "family" : "Pollock", "given" : "Caroline M", "non-dropping-particle" : "", "parse-names" : false, "suffix" : "" }, { "dropping-particle" : "", "family" : "Simpfendorfer", "given" : "Colin A", "non-dropping-particle" : "", "parse-names" : false, "suffix" : "" }, { "dropping-particle" : "", "family" : "Burgess", "given" : "George H", "non-dropping-particle" : "", "parse-names" : false, "suffix" : "" }, { "dropping-particle" : "", "family" : "Carpenter", "given" : "Kent E", "non-dropping-particle" : "", "parse-names" : false, "suffix" : "" }, { "dropping-particle" : "", "family" : "Compagno", "given" : "Leonard JV", "non-dropping-particle" : "", "parse-names" : false, "suffix" : "" }, { "dropping-particle" : "", "family" : "Ebert", "given" : "David A", "non-dropping-particle" : "", "parse-names" : false, "suffix" : "" }, { "dropping-particle" : "", "family" : "Gibson", "given" : "Claudine", "non-dropping-particle" : "", "parse-names" : false, "suffix" : "" }, { "dropping-particle" : "", "family" : "Heupel", "given" : "Michelle R", "non-dropping-particle" : "", "parse-names" : false, "suffix" : "" }, { "dropping-particle" : "", "family" : "Livingstone", "given" : "Suzanne R", "non-dropping-particle" : "", "parse-names" : false, "suffix" : "" }, { "dropping-particle" : "", "family" : "Sanciangco", "given" : "Jonnell C", "non-dropping-particle" : "", "parse-names" : false, "suffix" : "" }, { "dropping-particle" : "", "family" : "Stevens", "given" : "John D", "non-dropping-particle" : "", "parse-names" : false, "suffix" : "" }, { "dropping-particle" : "", "family" : "Valenti", "given" : "Sarah", "non-dropping-particle" : "", "parse-names" : false, "suffix" : "" }, { "dropping-particle" : "", "family" : "White", "given" : "William T.", "non-dropping-particle" : "", "parse-names" : false, "suffix" : "" } ], "container-title" : "eLife", "id" : "ITEM-1", "issued" : { "date-parts" : [ [ "2014" ] ] }, "page" : "e00590", "title" : "Extinction risk and conservation of the world\u2019s sharks and rays", "type" : "article-journal", "volume" : "3" }, "uris" : [ "http://www.mendeley.com/documents/?uuid=6f9f5005-a134-3094-92c8-36db39459cf8" ] } ], "mendeley" : { "formattedCitation" : "(Dulvy et al., 2014)", "plainTextFormattedCitation" : "(Dulvy et al., 2014)", "previouslyFormattedCitation" : "(Dulvy et al., 2014)" }, "properties" : { "noteIndex" : 0 }, "schema" : "https://github.com/citation-style-language/schema/raw/master/csl-citation.json" }</w:instrText>
      </w:r>
      <w:r w:rsidRPr="008608AA">
        <w:fldChar w:fldCharType="separate"/>
      </w:r>
      <w:r w:rsidRPr="008608AA">
        <w:rPr>
          <w:noProof/>
        </w:rPr>
        <w:t>(Dulvy et al., 2014)</w:t>
      </w:r>
      <w:r w:rsidRPr="008608AA">
        <w:fldChar w:fldCharType="end"/>
      </w:r>
      <w:r w:rsidRPr="008608AA">
        <w:t xml:space="preserve">. Targeted shark fisheries have also expanded in Mexico and Venezuela </w:t>
      </w:r>
      <w:r w:rsidRPr="008608AA">
        <w:fldChar w:fldCharType="begin" w:fldLock="1"/>
      </w:r>
      <w:r w:rsidRPr="008608AA">
        <w:instrText>ADDIN CSL_CITATION { "citationItems" : [ { "id" : "ITEM-1", "itemData" : { "abstract" : "Elasmobranchs constitute a fishing resource that has acquired considerable importance in several regions of the Caribbean Sea. The inter-annual production trend of this resource was analyzed on the basis of the national fishery statistics. In recent years, Elasmobranch fisheries have contributed with almost 10% to the total fishery production. Between 1950 and 2008, Elasmobranch landings were characterized by an increasing trend from the beginning to the last years of the time series; with maximum volumes (~18,000 tonnes) registered in 2007 and 2008. Sharks and rays represented 72 and 28%, respectively, of the total Elasmobranch catches during the last two decades. A total of 97 Elasmobranch species have been reported for the Caribbean and Atlantic Venezuelan regions; and the presence of the species and catch composition vary according the fishing areas explored. Although production time series did not show signs of over-exploitation, information obtained from several scientific studies conducted in Venezuela reveal a decline in abundance for some shark populations. Owing to the uncertainty related with the status of Elasmo- branch populations, a preliminary management measures, a system for the collection of catch and effort data should be established in the main fishing centres of Venezuela.", "author" : [ { "dropping-particle" : "", "family" : "Tavares", "given" : "R", "non-dropping-particle" : "", "parse-names" : false, "suffix" : "" }, { "dropping-particle" : "", "family" : "Lopez", "given" : "D", "non-dropping-particle" : "", "parse-names" : false, "suffix" : "" } ], "container-title" : "Proceedings of the 62nd Gulf and Caribbean Fisheries Institute", "id" : "ITEM-1", "issued" : { "date-parts" : [ [ "2009" ] ] }, "page" : "178-183", "title" : "Fishery production trends of elasmobranchs from Venezuela: with emphasis on sharks", "type" : "article-journal", "volume" : "62" }, "uris" : [ "http://www.mendeley.com/documents/?uuid=5c6c1a94-c73a-326a-8337-f80a54ea22e3" ] } ], "mendeley" : { "formattedCitation" : "(Tavares &amp; Lopez, 2009)", "manualFormatting" : "(Tavares &amp; Lopez, 2009)", "plainTextFormattedCitation" : "(Tavares &amp; Lopez, 2009)", "previouslyFormattedCitation" : "(Tavares &amp; Lopez, 2009)" }, "properties" : { "noteIndex" : 0 }, "schema" : "https://github.com/citation-style-language/schema/raw/master/csl-citation.json" }</w:instrText>
      </w:r>
      <w:r w:rsidRPr="008608AA">
        <w:fldChar w:fldCharType="separate"/>
      </w:r>
      <w:r w:rsidRPr="008608AA">
        <w:rPr>
          <w:noProof/>
        </w:rPr>
        <w:t>(Tavares &amp; Lopez, 2009)</w:t>
      </w:r>
      <w:r w:rsidRPr="008608AA">
        <w:fldChar w:fldCharType="end"/>
      </w:r>
      <w:r w:rsidRPr="008608AA">
        <w:t xml:space="preserve">. </w:t>
      </w:r>
    </w:p>
    <w:p w14:paraId="186C57D0" w14:textId="77777777" w:rsidR="004255E7" w:rsidRPr="008608AA" w:rsidRDefault="004255E7" w:rsidP="00DA1971">
      <w:pPr>
        <w:spacing w:after="120"/>
      </w:pPr>
      <w:r w:rsidRPr="008608AA">
        <w:t xml:space="preserve">Fisheries management plans are now in place for many elasmobranchs in the northwestern Atlantic, but lacking in most other areas. Recently, Chile, Colombia, Ecuador, and Peru have developed a regional action plan for protecting and managing chondrichthyans </w:t>
      </w:r>
      <w:r w:rsidRPr="008608AA">
        <w:fldChar w:fldCharType="begin" w:fldLock="1"/>
      </w:r>
      <w:r w:rsidRPr="008608AA">
        <w:instrText>ADDIN CSL_CITATION { "citationItems" : [ { "id" : "ITEM-1", "itemData" : { "DOI" : "10.1111/faf.12119", "author" : [ { "dropping-particle" : "", "family" : "Davidson", "given" : "L. N. K.", "non-dropping-particle" : "", "parse-names" : false, "suffix" : "" }, { "dropping-particle" : "", "family" : "Krawchuk", "given" : "M. A.", "non-dropping-particle" : "", "parse-names" : false, "suffix" : "" }, { "dropping-particle" : "", "family" : "Dulvy", "given" : "N. K", "non-dropping-particle" : "", "parse-names" : false, "suffix" : "" } ], "container-title" : "Fish and Fisheries", "id" : "ITEM-1", "issue" : "2", "issued" : { "date-parts" : [ [ "2016" ] ] }, "page" : "438-458", "title" : "Why have global shark and ray landings declined: Improved management or overfishing?", "type" : "article-journal", "volume" : "17" }, "uris" : [ "http://www.mendeley.com/documents/?uuid=9312e539-6bc8-4f6c-9534-75f39b4ea7bd" ] } ], "mendeley" : { "formattedCitation" : "(L. N. K. Davidson et al., 2016)", "manualFormatting" : "(Davidson et al., 2016)", "plainTextFormattedCitation" : "(L. N. K. Davidson et al., 2016)", "previouslyFormattedCitation" : "(L. N. K. Davidson et al., 2016)" }, "properties" : { "noteIndex" : 0 }, "schema" : "https://github.com/citation-style-language/schema/raw/master/csl-citation.json" }</w:instrText>
      </w:r>
      <w:r w:rsidRPr="008608AA">
        <w:fldChar w:fldCharType="separate"/>
      </w:r>
      <w:r w:rsidRPr="008608AA">
        <w:rPr>
          <w:noProof/>
        </w:rPr>
        <w:t>(Davidson et al., 2016)</w:t>
      </w:r>
      <w:r w:rsidRPr="008608AA">
        <w:fldChar w:fldCharType="end"/>
      </w:r>
      <w:r w:rsidRPr="008608AA">
        <w:t xml:space="preserve">. Recently completed stock assessments for two shark species in the northeastern Pacific also revealed that all populations are either not overfished or are recovering from historical overfishing </w:t>
      </w:r>
      <w:r w:rsidRPr="008608AA">
        <w:fldChar w:fldCharType="begin" w:fldLock="1"/>
      </w:r>
      <w:r w:rsidRPr="008608AA">
        <w:instrText>ADDIN CSL_CITATION { "citationItems" : [ { "id" : "ITEM-1", "itemData" : { "abstract" : "A stock assessment of the blue shark (Prionace glauca) population in the North Pacific was conducted using catch and effort data from commercial longline and large mesh driftnet fisheries from the years 1971 through 2002 as well as small mesh driftnet fisheries operating primarily in the 1980s. Because reporting of shark catch has not been required in these fisheries, which target primarily tunas, a system for identifying the more reliable longline catch reports was utilized. Two different assessment models were utilized, a surplus production model, and an integrated age and spatial structured model tested with a variety of structural assumptions. The two models were found to be in general agreement. The trends in abundance in the production model and all alternate runs of the integrated model show the same pattern of decline in the 1980s followed by recovery to above the level at the start of the time series. The integrated model analyses indicated some probability (around 30%) that biomass at the end of the time series was less than BMSY (overfished) and that there was a lesser probability at that time that fishing mortality was greater than FMSY (overfishing occurring). There was an increasing trend in total effort expended by longline fisheries toward the end of the time series, and this trend may have continued thereafter. It would be prudent to assume that the population is at least close to MSY level and fishing mortality may be approaching to the MSY level in the future.", "author" : [ { "dropping-particle" : "", "family" : "Kleiber", "given" : "Pierre", "non-dropping-particle" : "", "parse-names" : false, "suffix" : "" }, { "dropping-particle" : "", "family" : "Clarke", "given" : "Shelley", "non-dropping-particle" : "", "parse-names" : false, "suffix" : "" }, { "dropping-particle" : "", "family" : "Bigelow", "given" : "Keith", "non-dropping-particle" : "", "parse-names" : false, "suffix" : "" }, { "dropping-particle" : "", "family" : "Nakano", "given" : "Hideki", "non-dropping-particle" : "", "parse-names" : false, "suffix" : "" }, { "dropping-particle" : "", "family" : "Mcallister", "given" : "Murdoch", "non-dropping-particle" : "", "parse-names" : false, "suffix" : "" }, { "dropping-particle" : "", "family" : "Takeuchi", "given" : "Yukio", "non-dropping-particle" : "", "parse-names" : false, "suffix" : "" } ], "container-title" : "U.S. Department of Commerce, NOAA Technical Memorandum NMFS-PIFSC-17", "id" : "ITEM-1", "issue" : "February", "issued" : { "date-parts" : [ [ "2009" ] ] }, "publisher-place" : "Honolulu, USA", "title" : "North Pacific Blue Shark Stock Assessment", "type" : "report" }, "uris" : [ "http://www.mendeley.com/documents/?uuid=98c54c63-5e8e-4e7d-88ee-d1f2e385ebba" ] }, { "id" : "ITEM-2", "itemData" : { "author" : [ { "dropping-particle" : "", "family" : "Tribuzio", "given" : "C.A.", "non-dropping-particle" : "", "parse-names" : false, "suffix" : "" }, { "dropping-particle" : "", "family" : "Rodgveller", "given" : "C.", "non-dropping-particle" : "", "parse-names" : false, "suffix" : "" }, { "dropping-particle" : "", "family" : "Echave", "given" : "K.B.", "non-dropping-particle" : "", "parse-names" : false, "suffix" : "" }, { "dropping-particle" : "", "family" : "Hulson", "given" : "P.J.", "non-dropping-particle" : "", "parse-names" : false, "suffix" : "" } ], "container-title" : "Stock Assessment and Fishery Evaluation Report for the Groundfish Resources of the Gulf of Alaska for 2011", "id" : "ITEM-2", "issued" : { "date-parts" : [ [ "2015" ] ] }, "page" : "1569-1642", "publisher-place" : "Anchorage, USA", "title" : "Assessment of the shark stock complex in the Gulf of Alaska", "type" : "chapter" }, "uris" : [ "http://www.mendeley.com/documents/?uuid=a49e0016-9bd7-3690-820d-3664b2a24b72" ] }, { "id" : "ITEM-3", "itemData" : { "author" : [ { "dropping-particle" : "", "family" : "Young", "given" : "C.N.", "non-dropping-particle" : "", "parse-names" : false, "suffix" : "" }, { "dropping-particle" : "", "family" : "Carlson", "given" : "J.", "non-dropping-particle" : "", "parse-names" : false, "suffix" : "" }, { "dropping-particle" : "", "family" : "Hutchinson", "given" : "M.", "non-dropping-particle" : "", "parse-names" : false, "suffix" : "" }, { "dropping-particle" : "", "family" : "Kobayashi", "given" : "D.", "non-dropping-particle" : "", "parse-names" : false, "suffix" : "" }, { "dropping-particle" : "", "family" : "McCandless", "given" : "C.", "non-dropping-particle" : "", "parse-names" : false, "suffix" : "" }, { "dropping-particle" : "", "family" : "Miller", "given" : "M.H.", "non-dropping-particle" : "", "parse-names" : false, "suffix" : "" }, { "dropping-particle" : "", "family" : "Teo", "given" : "S.", "non-dropping-particle" : "", "parse-names" : false, "suffix" : "" }, { "dropping-particle" : "", "family" : "T. Warren", "given" : "", "non-dropping-particle" : "", "parse-names" : false, "suffix" : "" } ], "id" : "ITEM-3", "issued" : { "date-parts" : [ [ "2016" ] ] }, "number-of-pages" : "199", "title" : "Status review report: common thresher shark (Alopias vulpinus) and bigeye thresher shark (Alopias superciliosus). Final Report to National Marine Fisheries Service, Office of Protected Resources", "type" : "report" }, "uris" : [ "http://www.mendeley.com/documents/?uuid=c523f971-e64f-3c1b-ac12-9bd8f5a03ae0" ] } ], "mendeley" : { "formattedCitation" : "(Kleiber et al., 2009; Tribuzio, Rodgveller, Echave, &amp; Hulson, 2015; C. N. Young et al., 2016)", "manualFormatting" : "(Kleiber et al., 2009; Tribuzio et al., 2015; Young et al., 2016)", "plainTextFormattedCitation" : "(Kleiber et al., 2009; Tribuzio, Rodgveller, Echave, &amp; Hulson, 2015; C. N. Young et al., 2016)", "previouslyFormattedCitation" : "(Kleiber et al., 2009; Tribuzio, Rodgveller, Echave, &amp; Hulson, 2015; C. N. Young et al., 2016)" }, "properties" : { "noteIndex" : 0 }, "schema" : "https://github.com/citation-style-language/schema/raw/master/csl-citation.json" }</w:instrText>
      </w:r>
      <w:r w:rsidRPr="008608AA">
        <w:fldChar w:fldCharType="separate"/>
      </w:r>
      <w:r w:rsidRPr="008608AA">
        <w:rPr>
          <w:noProof/>
        </w:rPr>
        <w:t>(Kleiber et al., 2009; Tribuzio et al., 2015; Young et al., 2016)</w:t>
      </w:r>
      <w:r w:rsidRPr="008608AA">
        <w:fldChar w:fldCharType="end"/>
      </w:r>
      <w:r w:rsidRPr="008608AA">
        <w:t>.</w:t>
      </w:r>
    </w:p>
    <w:p w14:paraId="0ACA601E" w14:textId="77777777" w:rsidR="00DA1971" w:rsidRPr="008608AA" w:rsidRDefault="00DA1971" w:rsidP="00DA1971">
      <w:pPr>
        <w:spacing w:after="120"/>
      </w:pPr>
    </w:p>
    <w:p w14:paraId="0F717E03" w14:textId="77777777" w:rsidR="004255E7" w:rsidRPr="008608AA" w:rsidRDefault="004255E7" w:rsidP="00DA1971">
      <w:pPr>
        <w:pStyle w:val="Heading4"/>
      </w:pPr>
      <w:bookmarkStart w:id="1162" w:name="_Toc502927368"/>
      <w:bookmarkStart w:id="1163" w:name="_Toc517393322"/>
      <w:bookmarkStart w:id="1164" w:name="_Toc517719063"/>
      <w:bookmarkStart w:id="1165" w:name="_Toc517797020"/>
      <w:r w:rsidRPr="008608AA">
        <w:t>Coastal habitats/Coastal and near shore marine/inshore ecosystems</w:t>
      </w:r>
      <w:bookmarkEnd w:id="1162"/>
      <w:bookmarkEnd w:id="1163"/>
      <w:bookmarkEnd w:id="1164"/>
      <w:bookmarkEnd w:id="1165"/>
    </w:p>
    <w:p w14:paraId="0FFBFC74" w14:textId="77777777" w:rsidR="004255E7" w:rsidRPr="008608AA" w:rsidRDefault="004255E7" w:rsidP="00DA1971">
      <w:pPr>
        <w:spacing w:after="120"/>
      </w:pPr>
      <w:r w:rsidRPr="008608AA">
        <w:t xml:space="preserve">Coastal marine habitats provide many ecosystem services, including food, protection against coastal erosion, recycling of pollutants, climate regulation and recreation. </w:t>
      </w:r>
    </w:p>
    <w:p w14:paraId="10D620C3" w14:textId="77777777" w:rsidR="00DA1971" w:rsidRPr="008608AA" w:rsidRDefault="00DA1971" w:rsidP="00DA1971">
      <w:pPr>
        <w:spacing w:after="120"/>
      </w:pPr>
    </w:p>
    <w:p w14:paraId="5110ACEE" w14:textId="77777777" w:rsidR="004255E7" w:rsidRPr="008608AA" w:rsidRDefault="004255E7" w:rsidP="00DA1971">
      <w:pPr>
        <w:pStyle w:val="Heading5"/>
        <w:numPr>
          <w:ilvl w:val="0"/>
          <w:numId w:val="0"/>
        </w:numPr>
        <w:spacing w:before="0" w:after="120"/>
        <w:ind w:left="1008" w:hanging="1008"/>
        <w:jc w:val="left"/>
        <w:rPr>
          <w:sz w:val="24"/>
          <w:szCs w:val="24"/>
        </w:rPr>
      </w:pPr>
      <w:r w:rsidRPr="008608AA">
        <w:rPr>
          <w:sz w:val="24"/>
          <w:szCs w:val="24"/>
        </w:rPr>
        <w:t>Salt marshes</w:t>
      </w:r>
    </w:p>
    <w:p w14:paraId="07C7088C" w14:textId="709EA09E" w:rsidR="004255E7" w:rsidRPr="008608AA" w:rsidRDefault="00520F22" w:rsidP="00843724">
      <w:pPr>
        <w:pStyle w:val="NormalWeb"/>
        <w:rPr>
          <w:lang w:val="en-US"/>
        </w:rPr>
      </w:pPr>
      <w:r w:rsidRPr="008608AA">
        <w:rPr>
          <w:lang w:val="en-US"/>
        </w:rPr>
        <w:t xml:space="preserve">Status. </w:t>
      </w:r>
      <w:r w:rsidR="004255E7" w:rsidRPr="008608AA">
        <w:rPr>
          <w:lang w:val="en-US"/>
        </w:rPr>
        <w:t xml:space="preserve">Salt marshes are intertidal ecosystems that are regularly flooded with salt or brackish water and dominated by salt-tolerant plants. They remove sediment, nutrients and other contaminants from runoff and riverine discharge </w:t>
      </w:r>
      <w:r w:rsidR="004255E7" w:rsidRPr="008608AA">
        <w:rPr>
          <w:lang w:val="en-US"/>
        </w:rPr>
        <w:fldChar w:fldCharType="begin" w:fldLock="1"/>
      </w:r>
      <w:r w:rsidR="004255E7" w:rsidRPr="008608AA">
        <w:rPr>
          <w:lang w:val="en-US"/>
        </w:rPr>
        <w:instrText>ADDIN CSL_CITATION { "citationItems" : [ { "id" : "ITEM-1", "itemData" : { "DOI" : "10.1146/annurev.marine.010908.163930", "ISBN" : "1941-1405", "ISSN" : "1941-1405", "PMID" : "21141032", "abstract" : "Salt marshes are among the most abundant, fertile, and accessible coastal habitats on earth, and they provide more ecosystem services to coastal populations than any other environment. Since the Middle Ages, humans have manipulated salt marshes at a grand scale, altering species composition, distribution, and ecosystem function. Here, we review historic and contemporary human activities in marsh ecosystems--exploitation of plant products; conversion to farmland, salt works, and urban land; introduction of non-native species; alteration of coastal hydrology; and metal and nutrient pollution. Unexpectedly, diverse types of impacts can have a similar consequence, turning salt marsh food webs upside down, dramatically increasing top down control. Of the various impacts, invasive species, runaway consumer effects, and sea level rise represent the greatest threats to salt marsh ecosystems. We conclude that the best way to protect salt marshes and the services they provide is through the integrated approach of ecosystem-based management.", "author" : [ { "dropping-particle" : "", "family" : "Gedan", "given" : "K. Bromberg", "non-dropping-particle" : "", "parse-names" : false, "suffix" : "" }, { "dropping-particle" : "", "family" : "Silliman", "given" : "B.R.", "non-dropping-particle" : "", "parse-names" : false, "suffix" : "" }, { "dropping-particle" : "", "family" : "Bertness", "given" : "M.D.", "non-dropping-particle" : "", "parse-names" : false, "suffix" : "" } ], "container-title" : "Annual Review of Marine Science", "id" : "ITEM-1", "issue" : "1", "issued" : { "date-parts" : [ [ "2009" ] ] }, "page" : "117-141", "title" : "Centuries of human-driven change in salt marsh ecosystems", "type" : "article-journal", "volume" : "1" }, "uris" : [ "http://www.mendeley.com/documents/?uuid=75c0a043-03cc-4394-aa9a-f6e893e05bf5" ] } ], "mendeley" : { "formattedCitation" : "(Gedan, Silliman, &amp; Bertness, 2009)", "manualFormatting" : "(Gedan et al., 2009)", "plainTextFormattedCitation" : "(Gedan, Silliman, &amp; Bertness, 2009)", "previouslyFormattedCitation" : "(Gedan, Silliman, &amp; Bertness, 2009)" }, "properties" : { "noteIndex" : 0 }, "schema" : "https://github.com/citation-style-language/schema/raw/master/csl-citation.json" }</w:instrText>
      </w:r>
      <w:r w:rsidR="004255E7" w:rsidRPr="008608AA">
        <w:rPr>
          <w:lang w:val="en-US"/>
        </w:rPr>
        <w:fldChar w:fldCharType="separate"/>
      </w:r>
      <w:r w:rsidR="004255E7" w:rsidRPr="008608AA">
        <w:rPr>
          <w:noProof/>
          <w:lang w:val="en-US"/>
        </w:rPr>
        <w:t>(Gedan et al., 2009)</w:t>
      </w:r>
      <w:r w:rsidR="004255E7" w:rsidRPr="008608AA">
        <w:rPr>
          <w:lang w:val="en-US"/>
        </w:rPr>
        <w:fldChar w:fldCharType="end"/>
      </w:r>
      <w:r w:rsidR="004255E7" w:rsidRPr="008608AA">
        <w:rPr>
          <w:lang w:val="en-US"/>
        </w:rPr>
        <w:t xml:space="preserve">, protecting estuarine biota. They also protect coastal communities from storm waves </w:t>
      </w:r>
      <w:r w:rsidR="004255E7" w:rsidRPr="008608AA">
        <w:rPr>
          <w:lang w:val="en-US"/>
        </w:rPr>
        <w:fldChar w:fldCharType="begin" w:fldLock="1"/>
      </w:r>
      <w:r w:rsidR="004255E7" w:rsidRPr="008608AA">
        <w:rPr>
          <w:lang w:val="en-US"/>
        </w:rPr>
        <w:instrText>ADDIN CSL_CITATION { "citationItems" : [ { "id" : "ITEM-1", "itemData" : { "DOI" : "10.1579/0044-7447(2008)37[241:TVOCWF]2.0.CO;2", "ISBN" : "0044-7447", "ISSN" : "0044-7447", "PMID" : "18686502", "abstract" : "Coastal wetlands reduce the damaging effects of hurricanes on coastal communities. A regression model using 34 major US hurricanes since 1980 with the natural log of damage per unit gross domestic product in the hurricane swath as the dependent variable and the natural logs of wind speed and wetland area in the swath as the independent variables was highly significant and explained 60% of the variation in relative damages. A loss of 1 ha of wetland in the model corresponded to an average USD 33 000 (median = USD 5000) increase in storm damage from specific storms. Using this relationship, and taking into account the annual probability of hits by hurricanes of varying intensities, we mapped the annual value of coastal wetlands by 1km \u00d7 1km pixel and by state. The annual value ranged from USD 250 to USD 51 000 ha\u22121 yr\u22121, with a mean of USD 8240 ha\u22121 yr\u22121 (median = USD 3230 ha\u22121 yr\u22121) significantly larger than previous estimates. Coastal wetlands in the US were estimated to currently provide USD 23.2 billion yr\u22121 in storm protection services. Coastal wetlands function as valuable, selfmaintaining \u201chorizontal levees\u201d for storm protection, and also provide a host of other ecosystem services that vertical levees do not. Their restoration and preservation is an extremely cost-effective strategy for society.", "author" : [ { "dropping-particle" : "", "family" : "Costanza", "given" : "Robert", "non-dropping-particle" : "", "parse-names" : false, "suffix" : "" }, { "dropping-particle" : "", "family" : "P\u00e9rez-Maqueo", "given" : "Octavio", "non-dropping-particle" : "", "parse-names" : false, "suffix" : "" }, { "dropping-particle" : "", "family" : "Martinez", "given" : "M. Luisa", "non-dropping-particle" : "", "parse-names" : false, "suffix" : "" }, { "dropping-particle" : "", "family" : "Sutton", "given" : "Paul", "non-dropping-particle" : "", "parse-names" : false, "suffix" : "" }, { "dropping-particle" : "", "family" : "Anderson", "given" : "Sharolyn J.", "non-dropping-particle" : "", "parse-names" : false, "suffix" : "" }, { "dropping-particle" : "", "family" : "Mulder", "given" : "Kenneth", "non-dropping-particle" : "", "parse-names" : false, "suffix" : "" } ], "container-title" : "Ambio", "id" : "ITEM-1", "issue" : "4", "issued" : { "date-parts" : [ [ "2008" ] ] }, "page" : "241-248", "title" : "The value of coastal wetlands for hurricane protection", "type" : "article-journal", "volume" : "37" }, "uris" : [ "http://www.mendeley.com/documents/?uuid=df250259-a929-4594-a39a-e50cbd19920d" ] } ], "mendeley" : { "formattedCitation" : "(Costanza et al., 2008)", "plainTextFormattedCitation" : "(Costanza et al., 2008)", "previouslyFormattedCitation" : "(Costanza et al., 2008)" }, "properties" : { "noteIndex" : 0 }, "schema" : "https://github.com/citation-style-language/schema/raw/master/csl-citation.json" }</w:instrText>
      </w:r>
      <w:r w:rsidR="004255E7" w:rsidRPr="008608AA">
        <w:rPr>
          <w:lang w:val="en-US"/>
        </w:rPr>
        <w:fldChar w:fldCharType="separate"/>
      </w:r>
      <w:r w:rsidR="004255E7" w:rsidRPr="008608AA">
        <w:rPr>
          <w:noProof/>
          <w:lang w:val="en-US"/>
        </w:rPr>
        <w:t>(Costanza et al., 2008)</w:t>
      </w:r>
      <w:r w:rsidR="004255E7" w:rsidRPr="008608AA">
        <w:rPr>
          <w:lang w:val="en-US"/>
        </w:rPr>
        <w:fldChar w:fldCharType="end"/>
      </w:r>
      <w:r w:rsidR="004255E7" w:rsidRPr="008608AA">
        <w:rPr>
          <w:lang w:val="en-US"/>
        </w:rPr>
        <w:t xml:space="preserve"> and are nursery areas for many commercial fish species. Many migratory shorebirds and ducks use salt marshes as stopovers during migration, and some birds winter in marshes. Wading birds, such as egrets and herons, feed in salt marshes during the summer. After European settlement, North American salt marshes were filled for urban or agricultural development or garbage dumps. Using historical maps, Bromberg </w:t>
      </w:r>
      <w:r w:rsidR="008E3CC7" w:rsidRPr="008608AA">
        <w:rPr>
          <w:lang w:val="en-US"/>
        </w:rPr>
        <w:t>&amp;</w:t>
      </w:r>
      <w:r w:rsidR="004255E7" w:rsidRPr="008608AA">
        <w:rPr>
          <w:lang w:val="en-US"/>
        </w:rPr>
        <w:t xml:space="preserve"> Bertness </w:t>
      </w:r>
      <w:r w:rsidR="004255E7" w:rsidRPr="008608AA">
        <w:rPr>
          <w:lang w:val="en-US"/>
        </w:rPr>
        <w:fldChar w:fldCharType="begin" w:fldLock="1"/>
      </w:r>
      <w:r w:rsidR="004255E7" w:rsidRPr="008608AA">
        <w:rPr>
          <w:lang w:val="en-US"/>
        </w:rPr>
        <w:instrText>ADDIN CSL_CITATION { "citationItems" : [ { "id" : "ITEM-1", "itemData" : { "DOI" : "10.1007/BF02696012", "ISBN" : "0160-8347", "ISSN" : "01608347", "abstract" : "Analyses of habitat loss are often restricted to the past 75 years by the relative youth of aerial photography and remote sensing technologies. Although photographic techniques are highly accurate, they are unable to provide measurements of habitat loss prior to the 1950s. In this study, historical maps from the late 1700s and early 1800s covering portions of Rhode Island, Massachusetts, New Hampshire, and Maine were used to approximate naturally occurring salt marsh cover in New England. Historical data was compared to current salt marsh coverage available in public geographic information system (GIS) data sets. The average loss in New England is estimated at 37% using this technique. Rhode Island has lost the largest proportion of salt marshes by state, a staggering 53% loss since 1832. Massachusetts has also experienced large losses, amounting to a 41% loss of salt marsh since 1777. The Boston area alone has lost 81% of its salt marshes. Salt marsh loss was highly correlated with urban growth. Restoration and preservation efforts have resulted in the retention of salt marsh in less populated areas of New England. Although historical maps are difficult to verify, they represent an extremely valuable and underused data repository. Using historical maps to trace land use practices is an effective way to overcome the short-term nature of many ecological studies. This technique could be applied to other habitats and other regions, wherever accurate historical maps are available. Analysis of historic conditions of habitats can help conservation managers determine appropriate goals for restoration and management.", "author" : [ { "dropping-particle" : "", "family" : "Bromberg", "given" : "Keryn D.", "non-dropping-particle" : "", "parse-names" : false, "suffix" : "" }, { "dropping-particle" : "", "family" : "Bertness", "given" : "Mark D.", "non-dropping-particle" : "", "parse-names" : false, "suffix" : "" } ], "container-title" : "Estuaries", "id" : "ITEM-1", "issue" : "6", "issued" : { "date-parts" : [ [ "2005" ] ] }, "page" : "823-832", "title" : "Reconstructing New England salt marsh losses using historical maps", "type" : "article-journal", "volume" : "28" }, "uris" : [ "http://www.mendeley.com/documents/?uuid=8b46812d-2c0d-3ddf-96f1-db3cd9b551eb" ] } ], "mendeley" : { "formattedCitation" : "(Bromberg &amp; Bertness, 2005)", "manualFormatting" : "(2005)", "plainTextFormattedCitation" : "(Bromberg &amp; Bertness, 2005)", "previouslyFormattedCitation" : "(Bromberg &amp; Bertness, 2005)" }, "properties" : { "noteIndex" : 0 }, "schema" : "https://github.com/citation-style-language/schema/raw/master/csl-citation.json" }</w:instrText>
      </w:r>
      <w:r w:rsidR="004255E7" w:rsidRPr="008608AA">
        <w:rPr>
          <w:lang w:val="en-US"/>
        </w:rPr>
        <w:fldChar w:fldCharType="separate"/>
      </w:r>
      <w:r w:rsidR="004255E7" w:rsidRPr="008608AA">
        <w:rPr>
          <w:noProof/>
          <w:lang w:val="en-US"/>
        </w:rPr>
        <w:t>(2005)</w:t>
      </w:r>
      <w:r w:rsidR="004255E7" w:rsidRPr="008608AA">
        <w:rPr>
          <w:lang w:val="en-US"/>
        </w:rPr>
        <w:fldChar w:fldCharType="end"/>
      </w:r>
      <w:r w:rsidR="004255E7" w:rsidRPr="008608AA">
        <w:rPr>
          <w:lang w:val="en-US"/>
        </w:rPr>
        <w:t xml:space="preserve"> estimated the average loss in New England at 37%. Rhode Island has lost the most, 53%, since 1832. Salt marshes are estimated to have occupied 200,000 to 400,000 ha in pre-settlement Louisiana, with an estimated 50–75 % remaining </w:t>
      </w:r>
      <w:r w:rsidR="004255E7" w:rsidRPr="008608AA">
        <w:rPr>
          <w:lang w:val="en-US"/>
        </w:rPr>
        <w:fldChar w:fldCharType="begin" w:fldLock="1"/>
      </w:r>
      <w:r w:rsidR="004255E7" w:rsidRPr="008608AA">
        <w:rPr>
          <w:lang w:val="en-US"/>
        </w:rPr>
        <w:instrText>ADDIN CSL_CITATION { "citationItems" : [ { "id" : "ITEM-1", "itemData" : { "author" : [ { "dropping-particle" : "", "family" : "Smith", "given" : "L. M.", "non-dropping-particle" : "", "parse-names" : false, "suffix" : "" } ], "id" : "ITEM-1", "issued" : { "date-parts" : [ [ "1993" ] ] }, "publisher" : "Louisiana Natural Heritage Program, Louisiana Department of Wildlife and Fisheries", "publisher-place" : "Baton Rouge, LA", "title" : "Estimated Presettlement and Current Acres of Natural Plant Communities in Louisiana", "type" : "report" }, "uris" : [ "http://www.mendeley.com/documents/?uuid=e5910a67-8309-3721-a2b2-19e57f89c5a8" ] } ], "mendeley" : { "formattedCitation" : "(L. M. Smith, 1993)", "manualFormatting" : "(Smith, 1993)", "plainTextFormattedCitation" : "(L. M. Smith, 1993)", "previouslyFormattedCitation" : "(L. M. Smith, 1993)" }, "properties" : { "noteIndex" : 0 }, "schema" : "https://github.com/citation-style-language/schema/raw/master/csl-citation.json" }</w:instrText>
      </w:r>
      <w:r w:rsidR="004255E7" w:rsidRPr="008608AA">
        <w:rPr>
          <w:lang w:val="en-US"/>
        </w:rPr>
        <w:fldChar w:fldCharType="separate"/>
      </w:r>
      <w:r w:rsidR="004255E7" w:rsidRPr="008608AA">
        <w:rPr>
          <w:noProof/>
          <w:lang w:val="en-US"/>
        </w:rPr>
        <w:t>(Smith, 1993)</w:t>
      </w:r>
      <w:r w:rsidR="004255E7" w:rsidRPr="008608AA">
        <w:rPr>
          <w:lang w:val="en-US"/>
        </w:rPr>
        <w:fldChar w:fldCharType="end"/>
      </w:r>
      <w:r w:rsidR="004255E7" w:rsidRPr="008608AA">
        <w:rPr>
          <w:lang w:val="en-US"/>
        </w:rPr>
        <w:t xml:space="preserve"> as of two decades ago. San Francisco Bay has seen a 79% reduction in its salt marshes. Salt marshes in South America have been far less drained (6%) than in North America (~50%) </w:t>
      </w:r>
      <w:r w:rsidR="004255E7" w:rsidRPr="008608AA">
        <w:rPr>
          <w:lang w:val="en-US"/>
        </w:rPr>
        <w:fldChar w:fldCharType="begin" w:fldLock="1"/>
      </w:r>
      <w:r w:rsidR="004255E7" w:rsidRPr="008608AA">
        <w:rPr>
          <w:lang w:val="en-US"/>
        </w:rPr>
        <w:instrText>ADDIN CSL_CITATION { "citationItems" : [ { "id" : "ITEM-1", "itemData" : { "DOI" : "10.1146/annurev.energy.30.050504.144248", "ISBN" : "1543-5938 978-0-8243-2330-1", "ISSN" : "1543-5938", "PMID" : "15003161", "abstract" : "Estimates of global wetland area range from 5.3 to 12.8 million km2. About half the global wetland area has been lost, but an international treaty (the 1971 Ramsar Convention) has helped 144 nations protect the most significant remaining wetlands. Because most nations lack wetland inventories, changes in the quantity and quality of the world\u2019s wetlands cannot be tracked adequately. Despite the likelihood that remaining wetlands occupy less than 9% of the earth\u2019s land area, they contribute more to annually renewable ecosystem services than their small area implies. Biodiversity support, water quality improvement, flood abatement, and carbon sequestration are key functions that are impaired when wetlands are lost or degraded. Restoration techniques are improving, although the recovery of lost biodiversity is challenged by invasive species, which thrive under disturbance and displace natives. Not all damages to wetlands are reversible, but it is not always clear how much can be retained through restoration. Hence, we recommend adaptive approaches in which alternative techniques are tested at large scales in actual restoration sites.", "author" : [ { "dropping-particle" : "", "family" : "Zedler", "given" : "Joy B.", "non-dropping-particle" : "", "parse-names" : false, "suffix" : "" }, { "dropping-particle" : "", "family" : "Kercher", "given" : "Suzanne", "non-dropping-particle" : "", "parse-names" : false, "suffix" : "" } ], "container-title" : "Annual Review of Environment and Resources", "id" : "ITEM-1", "issued" : { "date-parts" : [ [ "2005" ] ] }, "page" : "39-74", "title" : "Wetland resources: Status, trends, ecosystem services, and restorability", "type" : "article-journal", "volume" : "30" }, "uris" : [ "http://www.mendeley.com/documents/?uuid=3ad329fe-d178-4420-8c33-1566daf6d72d" ] } ], "mendeley" : { "formattedCitation" : "(J. B. Zedler &amp; Kercher, 2005)", "manualFormatting" : "(Zedler &amp; Kercher, 2005)", "plainTextFormattedCitation" : "(J. B. Zedler &amp; Kercher, 2005)", "previouslyFormattedCitation" : "(J. B. Zedler &amp; Kercher, 2005)" }, "properties" : { "noteIndex" : 0 }, "schema" : "https://github.com/citation-style-language/schema/raw/master/csl-citation.json" }</w:instrText>
      </w:r>
      <w:r w:rsidR="004255E7" w:rsidRPr="008608AA">
        <w:rPr>
          <w:lang w:val="en-US"/>
        </w:rPr>
        <w:fldChar w:fldCharType="separate"/>
      </w:r>
      <w:r w:rsidR="004255E7" w:rsidRPr="008608AA">
        <w:rPr>
          <w:noProof/>
          <w:lang w:val="en-US"/>
        </w:rPr>
        <w:t>(Zedler &amp; Kercher, 2005)</w:t>
      </w:r>
      <w:r w:rsidR="004255E7" w:rsidRPr="008608AA">
        <w:rPr>
          <w:lang w:val="en-US"/>
        </w:rPr>
        <w:fldChar w:fldCharType="end"/>
      </w:r>
      <w:r w:rsidR="004255E7" w:rsidRPr="008608AA">
        <w:rPr>
          <w:lang w:val="en-US"/>
        </w:rPr>
        <w:t xml:space="preserve">. However, these marshes are threatened by agriculture, construction of flood control measures and hydroelectric power, pollution, and large-scale fish and shrimp aquaculture. Some marshes on the Atlantic Coast of South America have extensive bare areas dominated by high densities of the crab </w:t>
      </w:r>
      <w:r w:rsidR="004255E7" w:rsidRPr="008608AA">
        <w:rPr>
          <w:i/>
          <w:lang w:val="en-US"/>
        </w:rPr>
        <w:t>Chasmagnathus granulata</w:t>
      </w:r>
      <w:r w:rsidR="004255E7" w:rsidRPr="008608AA">
        <w:rPr>
          <w:lang w:val="en-US"/>
        </w:rPr>
        <w:t xml:space="preserve"> (up to 60 individuals /m2), which consumes the marsh grass </w:t>
      </w:r>
      <w:r w:rsidR="004255E7" w:rsidRPr="008608AA">
        <w:rPr>
          <w:i/>
          <w:lang w:val="en-US"/>
        </w:rPr>
        <w:t>Spartina densiflora</w:t>
      </w:r>
      <w:r w:rsidR="004255E7" w:rsidRPr="008608AA">
        <w:rPr>
          <w:lang w:val="en-US"/>
        </w:rPr>
        <w:t xml:space="preserve">. The bare areas, often comprising half of the habitat, are due to crab herbivory. It is suspected that the high densities of </w:t>
      </w:r>
      <w:r w:rsidR="004255E7" w:rsidRPr="008608AA">
        <w:rPr>
          <w:i/>
          <w:lang w:val="en-US"/>
        </w:rPr>
        <w:t>Chasmagnathus</w:t>
      </w:r>
      <w:r w:rsidR="004255E7" w:rsidRPr="008608AA">
        <w:rPr>
          <w:lang w:val="en-US"/>
        </w:rPr>
        <w:t xml:space="preserve"> are at least in part due to the overfishing of predators </w:t>
      </w:r>
      <w:r w:rsidR="004255E7" w:rsidRPr="008608AA">
        <w:rPr>
          <w:lang w:val="en-US"/>
        </w:rPr>
        <w:fldChar w:fldCharType="begin" w:fldLock="1"/>
      </w:r>
      <w:r w:rsidR="004255E7" w:rsidRPr="008608AA">
        <w:rPr>
          <w:lang w:val="en-US"/>
        </w:rPr>
        <w:instrText>ADDIN CSL_CITATION { "citationItems" : [ { "id" : "ITEM-1", "itemData" : { "DOI" : "10.1672/07-195.1", "ISBN" : "0277-5212", "ISSN" : "0277-5212", "PMID" : "450", "abstract" : "We combined literature reviews with an analysis of regional cartography, aerial photographs, and satellite images to identify the locations of heretofore-unknown salt marshes along the Patagonian coastline of Argentina. Subsequent ground surveys confirmed the presence of the marshes. While numerous sites still require verification, our surveys confirmed the existence of 27 large coastal salt marshes, which had estimated areas of between 3 and 2400 ha distributed along \u223c225 km of coastline. We described the major patterns of landscape physiognomy and community structure at eight of these sites. We classified these marshes as either muddy or rocky marshes, and subdivided them into Spartina and Sarcocornia marshes depending on the dominant vegetation. Muddy marshes were the most common type and showed a clear regional pattern with Spartina-dominated communities in the north (\u2264 42\u00b0S) and Sarcocornia-dominated systems in the south (\u2265 42\u00b0S). Plant height and standing crop biomass tended to be lower at higher latitudes, but plant cover showed the opposite trend. Spartina marshes had a more diverse marine macro-invertebrate fauna than Sarcocornia marshes, when the two marsh types occur at similar latitudes. Although the diversity of invertebrates was relatively low along the entire latitudinal range, most marshes supported unique species assemblages. \u00a9 2009, The Society of Wetland Scientists.", "author" : [ { "dropping-particle" : "", "family" : "Bortolus", "given" : "Alejandro", "non-dropping-particle" : "", "parse-names" : false, "suffix" : "" }, { "dropping-particle" : "", "family" : "Schwindt", "given" : "Evangelina", "non-dropping-particle" : "", "parse-names" : false, "suffix" : "" }, { "dropping-particle" : "", "family" : "Bouza", "given" : "Pablo J.", "non-dropping-particle" : "", "parse-names" : false, "suffix" : "" }, { "dropping-particle" : "", "family" : "Idaszkin", "given" : "Yanina L.", "non-dropping-particle" : "", "parse-names" : false, "suffix" : "" } ], "container-title" : "Wetlands", "id" : "ITEM-1", "issue" : "2", "issued" : { "date-parts" : [ [ "2009" ] ] }, "page" : "772-780", "title" : "A characterization of Patagonian salt marshes", "type" : "article-journal", "volume" : "29" }, "uris" : [ "http://www.mendeley.com/documents/?uuid=04fad387-b5c0-45be-ba57-7c8ae37c8fb9" ] } ], "mendeley" : { "formattedCitation" : "(Bortolus, Schwindt, Bouza, &amp; Idaszkin, 2009)", "manualFormatting" : "(Bortolus et al., 2009)", "plainTextFormattedCitation" : "(Bortolus, Schwindt, Bouza, &amp; Idaszkin, 2009)", "previouslyFormattedCitation" : "(Bortolus, Schwindt, Bouza, &amp; Idaszkin, 2009)" }, "properties" : { "noteIndex" : 0 }, "schema" : "https://github.com/citation-style-language/schema/raw/master/csl-citation.json" }</w:instrText>
      </w:r>
      <w:r w:rsidR="004255E7" w:rsidRPr="008608AA">
        <w:rPr>
          <w:lang w:val="en-US"/>
        </w:rPr>
        <w:fldChar w:fldCharType="separate"/>
      </w:r>
      <w:r w:rsidR="004255E7" w:rsidRPr="008608AA">
        <w:rPr>
          <w:noProof/>
          <w:lang w:val="en-US"/>
        </w:rPr>
        <w:t>(Bortolus et al., 2009)</w:t>
      </w:r>
      <w:r w:rsidR="004255E7" w:rsidRPr="008608AA">
        <w:rPr>
          <w:lang w:val="en-US"/>
        </w:rPr>
        <w:fldChar w:fldCharType="end"/>
      </w:r>
      <w:r w:rsidR="004255E7" w:rsidRPr="008608AA">
        <w:rPr>
          <w:lang w:val="en-US"/>
        </w:rPr>
        <w:t xml:space="preserve">. In South America, invasive </w:t>
      </w:r>
      <w:r w:rsidR="004255E7" w:rsidRPr="008608AA">
        <w:rPr>
          <w:i/>
          <w:lang w:val="en-US"/>
        </w:rPr>
        <w:t>Spartina</w:t>
      </w:r>
      <w:r w:rsidR="004255E7" w:rsidRPr="008608AA">
        <w:rPr>
          <w:lang w:val="en-US"/>
        </w:rPr>
        <w:t xml:space="preserve"> species are found in coastal </w:t>
      </w:r>
      <w:r w:rsidR="004255E7" w:rsidRPr="008608AA">
        <w:rPr>
          <w:rFonts w:eastAsia="Times New Roman"/>
          <w:lang w:val="en-US"/>
        </w:rPr>
        <w:t xml:space="preserve">marshes </w:t>
      </w:r>
      <w:r w:rsidR="004255E7" w:rsidRPr="008608AA">
        <w:rPr>
          <w:rFonts w:eastAsia="Times New Roman"/>
          <w:lang w:val="en-US"/>
        </w:rPr>
        <w:fldChar w:fldCharType="begin" w:fldLock="1"/>
      </w:r>
      <w:r w:rsidR="004255E7" w:rsidRPr="008608AA">
        <w:rPr>
          <w:rFonts w:eastAsia="Times New Roman"/>
          <w:lang w:val="en-US"/>
        </w:rPr>
        <w:instrText>ADDIN CSL_CITATION { "citationItems" : [ { "id" : "ITEM-1", "itemData" : { "ISSN" : "1387-3547", "author" : [ { "dropping-particle" : "", "family" : "Orensanz", "given" : "J M", "non-dropping-particle" : "", "parse-names" : false, "suffix" : "" }, { "dropping-particle" : "", "family" : "Schwindt", "given" : "Evangelina", "non-dropping-particle" : "", "parse-names" : false, "suffix" : "" }, { "dropping-particle" : "", "family" : "Pastorino", "given" : "Guido", "non-dropping-particle" : "", "parse-names" : false, "suffix" : "" }, { "dropping-particle" : "", "family" : "Bortolus", "given" : "A", "non-dropping-particle" : "", "parse-names" : false, "suffix" : "" }, { "dropping-particle" : "", "family" : "Casas", "given" : "G", "non-dropping-particle" : "", "parse-names" : false, "suffix" : "" }, { "dropping-particle" : "", "family" : "Darrigran", "given" : "Gustavo", "non-dropping-particle" : "", "parse-names" : false, "suffix" : "" }, { "dropping-particle" : "", "family" : "El\u00edas", "given" : "R", "non-dropping-particle" : "", "parse-names" : false, "suffix" : "" }, { "dropping-particle" : "", "family" : "L\u00f3pez Gappa", "given" : "J. J.", "non-dropping-particle" : "", "parse-names" : false, "suffix" : "" }, { "dropping-particle" : "", "family" : "Obenat", "given" : "S.", "non-dropping-particle" : "", "parse-names" : false, "suffix" : "" }, { "dropping-particle" : "", "family" : "Pascual", "given" : "M.", "non-dropping-particle" : "", "parse-names" : false, "suffix" : "" }, { "dropping-particle" : "", "family" : "Penchaszadeh", "given" : "P.", "non-dropping-particle" : "", "parse-names" : false, "suffix" : "" }, { "dropping-particle" : "", "family" : "Piriz", "given" : "M.L.", "non-dropping-particle" : "", "parse-names" : false, "suffix" : "" }, { "dropping-particle" : "", "family" : "Scarabino", "given" : "F.", "non-dropping-particle" : "", "parse-names" : false, "suffix" : "" }, { "dropping-particle" : "", "family" : "Spivak", "given" : "E.D.", "non-dropping-particle" : "", "parse-names" : false, "suffix" : "" }, { "dropping-particle" : "", "family" : "Vallarino", "given" : "E. A.", "non-dropping-particle" : "", "parse-names" : false, "suffix" : "" } ], "container-title" : "Biological Invasions", "id" : "ITEM-1", "issue" : "1-2", "issued" : { "date-parts" : [ [ "2002" ] ] }, "page" : "115 - 143", "title" : "No longer the pristine confines of the world ocean: a survey of exotic marine species in the southwestern Atlantic", "type" : "article-journal", "volume" : "4" }, "uris" : [ "http://www.mendeley.com/documents/?uuid=d4b63797-c86b-4f81-8a6d-f6b3d5d23379" ] } ], "mendeley" : { "formattedCitation" : "(Orensanz et al., 2002)", "plainTextFormattedCitation" : "(Orensanz et al., 2002)", "previouslyFormattedCitation" : "(Orensanz et al., 2002)" }, "properties" : { "noteIndex" : 0 }, "schema" : "https://github.com/citation-style-language/schema/raw/master/csl-citation.json" }</w:instrText>
      </w:r>
      <w:r w:rsidR="004255E7" w:rsidRPr="008608AA">
        <w:rPr>
          <w:rFonts w:eastAsia="Times New Roman"/>
          <w:lang w:val="en-US"/>
        </w:rPr>
        <w:fldChar w:fldCharType="separate"/>
      </w:r>
      <w:r w:rsidR="004255E7" w:rsidRPr="008608AA">
        <w:rPr>
          <w:rFonts w:eastAsia="Times New Roman"/>
          <w:noProof/>
          <w:lang w:val="en-US"/>
        </w:rPr>
        <w:t>(Orensanz et al., 2002)</w:t>
      </w:r>
      <w:r w:rsidR="004255E7" w:rsidRPr="008608AA">
        <w:rPr>
          <w:rFonts w:eastAsia="Times New Roman"/>
          <w:lang w:val="en-US"/>
        </w:rPr>
        <w:fldChar w:fldCharType="end"/>
      </w:r>
      <w:r w:rsidR="004255E7" w:rsidRPr="008608AA">
        <w:rPr>
          <w:lang w:val="en-US"/>
        </w:rPr>
        <w:t xml:space="preserve">. </w:t>
      </w:r>
    </w:p>
    <w:p w14:paraId="799F8D6A" w14:textId="1BA7049B" w:rsidR="00B157DF" w:rsidRPr="008608AA" w:rsidRDefault="00520F22" w:rsidP="00DA1971">
      <w:r w:rsidRPr="008608AA">
        <w:t xml:space="preserve">Recent trends. </w:t>
      </w:r>
      <w:r w:rsidR="004255E7" w:rsidRPr="008608AA">
        <w:t xml:space="preserve">In recent years, sea level rise has begun to impact many previously healthy marshes in the Americas (such as ponding, where water remains on the marsh surface during low tide and plants get waterlogged). The actual rate of sea level rise in the future will affect which marshes can persist. Other marshes are being restored, a very expensive procedure. There are some attempts to raise their elevations </w:t>
      </w:r>
      <w:r w:rsidR="004255E7" w:rsidRPr="008608AA">
        <w:fldChar w:fldCharType="begin" w:fldLock="1"/>
      </w:r>
      <w:r w:rsidR="004255E7" w:rsidRPr="008608AA">
        <w:instrText>ADDIN CSL_CITATION { "citationItems" : [ { "id" : "ITEM-1", "itemData" : { "author" : [ { "dropping-particle" : "", "family" : "Ford", "given" : "M.A.", "non-dropping-particle" : "", "parse-names" : false, "suffix" : "" }, { "dropping-particle" : "", "family" : "Cahoon", "given" : "D.", "non-dropping-particle" : "", "parse-names" : false, "suffix" : "" }, { "dropping-particle" : "", "family" : "Lynch", "given" : "J.C.", "non-dropping-particle" : "", "parse-names" : false, "suffix" : "" } ], "container-title" : "Ecological Engineering", "id" : "ITEM-1", "issue" : "3", "issued" : { "date-parts" : [ [ "1999" ] ] }, "page" : "189-205", "title" : "Restoring marsh elevation in a rapidly subsiding salt marsh by thin layer deposition of dredged material", "type" : "article-journal", "volume" : "12" }, "uris" : [ "http://www.mendeley.com/documents/?uuid=c49fc89c-b783-43c4-a44d-554dca8ef698" ] } ], "mendeley" : { "formattedCitation" : "(M. A. Ford, Cahoon, &amp; Lynch, 1999)", "manualFormatting" : "(Ford et al., 1999)", "plainTextFormattedCitation" : "(M. A. Ford, Cahoon, &amp; Lynch, 1999)", "previouslyFormattedCitation" : "(M. A. Ford, Cahoon, &amp; Lynch, 1999)" }, "properties" : { "noteIndex" : 0 }, "schema" : "https://github.com/citation-style-language/schema/raw/master/csl-citation.json" }</w:instrText>
      </w:r>
      <w:r w:rsidR="004255E7" w:rsidRPr="008608AA">
        <w:fldChar w:fldCharType="separate"/>
      </w:r>
      <w:r w:rsidR="004255E7" w:rsidRPr="008608AA">
        <w:rPr>
          <w:noProof/>
        </w:rPr>
        <w:t>(Ford et al., 1999)</w:t>
      </w:r>
      <w:r w:rsidR="004255E7" w:rsidRPr="008608AA">
        <w:fldChar w:fldCharType="end"/>
      </w:r>
      <w:r w:rsidR="004255E7" w:rsidRPr="008608AA">
        <w:t xml:space="preserve">, yet given accelerating sea level rise, extensive areas will most likely continue to be lost. The invasive reed, </w:t>
      </w:r>
      <w:r w:rsidR="004255E7" w:rsidRPr="008608AA">
        <w:rPr>
          <w:i/>
        </w:rPr>
        <w:t>Phragmites australis</w:t>
      </w:r>
      <w:r w:rsidR="004255E7" w:rsidRPr="008608AA">
        <w:t xml:space="preserve">, which has reduced plant diversity in many brackish marshes in the eastern coast of the USA and is often removed in restoration projects, allows marshes to increase their elevation more rapidly </w:t>
      </w:r>
      <w:r w:rsidR="004255E7" w:rsidRPr="008608AA">
        <w:fldChar w:fldCharType="begin" w:fldLock="1"/>
      </w:r>
      <w:r w:rsidR="004255E7" w:rsidRPr="008608AA">
        <w:instrText>ADDIN CSL_CITATION { "citationItems" : [ { "id" : "ITEM-1", "itemData" : { "DOI" : "10.1023/a:1008444502859", "ISBN" : "0923-4861", "ISSN" : "0923-4861", "abstract" : "The explosive expansion of the common reed Phragmites australis over the last 50 years in the wetlands of the U.S. mid-Atlantic has been of concern to biologists, resource managers and the general public. The replacement of Spartina spp. communities by the invasive P. australis has been widely reported, but the ecosystem effect of this replacement is poorly understood, especially with regard to sediment accretion processes and elevation change. It is hypothesized that a more detailed understanding of individual plant species and their role in marsh accretion may provide an improved ability to predict the effect of projected sea-level rise in coastal wetlands. Two coastal salt marsh sites on the Eastern Shore of Chesapeake Bay in Maryland (USA) were studied to quantify depositional environments associated with P. australis. Short-term sediment deposition (24 hr) and storm deposition (17 d) were measured using filter paper plates, and vertical accretion and elevation change (6 mo.) were measured using a marker horizon coupled with a sedimentation erosion table (SET). Greater rates of mineral and organic sediment trapping were associated with the P. australis community in both a subsiding creek bank marsh (34 gcntdotm-2cntdotday-1 in P. australis vs. 18 gcntdotm-2cntdotday-1 in Spartina spp.) and a laterally eroding marsh (24 gcntdotm-2cntdotday-1 in P. australis vs. 15 gcntdotm-2cntdotday-1 in Spartina spp.). Litter accumulation in P. australis stands is responsible for the higher depositional pattern observed. Additionally, below ground accumulation in P. australis communities (as much as 3 mm in 6 months) appears to substantially increase substrate elevation over relatively short time periods. Thus P. australis may provide resource managers with a strategy of combating sea-level rise and current control measures fail to take this into consideration.", "author" : [ { "dropping-particle" : "", "family" : "Rooth", "given" : "J. E.", "non-dropping-particle" : "", "parse-names" : false, "suffix" : "" }, { "dropping-particle" : "", "family" : "Stevenson", "given" : "J. C.", "non-dropping-particle" : "", "parse-names" : false, "suffix" : "" } ], "container-title" : "Wetlands Ecology and Management", "id" : "ITEM-1", "issue" : "2", "issued" : { "date-parts" : [ [ "2000" ] ] }, "page" : "173-183", "title" : "Sediment deposition patterns in &lt;i&gt;Phragmites australis&lt;/i&gt; communities: implications for coastal areas threatened by rising sea-level", "type" : "article-journal", "volume" : "8" }, "uris" : [ "http://www.mendeley.com/documents/?uuid=fcbad206-590d-3128-a7b5-c60d53bd6455" ] } ], "mendeley" : { "formattedCitation" : "(Rooth &amp; Stevenson, 2000)", "manualFormatting" : "(Rooth &amp; Stevenson, 2000)", "plainTextFormattedCitation" : "(Rooth &amp; Stevenson, 2000)", "previouslyFormattedCitation" : "(Rooth &amp; Stevenson, 2000)" }, "properties" : { "noteIndex" : 0 }, "schema" : "https://github.com/citation-style-language/schema/raw/master/csl-citation.json" }</w:instrText>
      </w:r>
      <w:r w:rsidR="004255E7" w:rsidRPr="008608AA">
        <w:fldChar w:fldCharType="separate"/>
      </w:r>
      <w:r w:rsidR="004255E7" w:rsidRPr="008608AA">
        <w:rPr>
          <w:noProof/>
        </w:rPr>
        <w:t>(Rooth &amp; Stevenson, 2000)</w:t>
      </w:r>
      <w:r w:rsidR="004255E7" w:rsidRPr="008608AA">
        <w:fldChar w:fldCharType="end"/>
      </w:r>
      <w:r w:rsidR="004255E7" w:rsidRPr="008608AA">
        <w:t xml:space="preserve"> and might better enable marshes to keep up with sea level rise. </w:t>
      </w:r>
      <w:r w:rsidR="00B157DF" w:rsidRPr="008608AA">
        <w:t xml:space="preserve">While 50% of the salt marsh area in New England had been lost by the mid-1970s, recent loss rates have been lower because of awareness of their value and restoration projects </w:t>
      </w:r>
      <w:r w:rsidR="00B157DF" w:rsidRPr="008608AA">
        <w:fldChar w:fldCharType="begin" w:fldLock="1"/>
      </w:r>
      <w:r w:rsidR="00B157DF" w:rsidRPr="008608AA">
        <w:instrText>ADDIN CSL_CITATION { "citationItems" : [ { "id" : "ITEM-1", "itemData" : { "ISBN" : "978-1-405-13685-3", "author" : [ { "dropping-particle" : "", "family" : "Valiela", "given" : "I", "non-dropping-particle" : "", "parse-names" : false, "suffix" : "" } ], "id" : "ITEM-1", "issued" : { "date-parts" : [ [ "2006" ] ] }, "number-of-pages" : "378", "publisher" : "Blackwell Publishing", "publisher-place" : "Malden, USA", "title" : "Global Coastal Change", "type" : "book" }, "uris" : [ "http://www.mendeley.com/documents/?uuid=501b0bf3-193a-4ac6-9c8f-15c536a411b8" ] } ], "mendeley" : { "formattedCitation" : "(Valiela 2006)", "plainTextFormattedCitation" : "(Valiela 2006)", "previouslyFormattedCitation" : "(Valiela 2006)" }, "properties" : { "noteIndex" : 0 }, "schema" : "https://github.com/citation-style-language/schema/raw/master/csl-citation.json" }</w:instrText>
      </w:r>
      <w:r w:rsidR="00B157DF" w:rsidRPr="008608AA">
        <w:fldChar w:fldCharType="separate"/>
      </w:r>
      <w:r w:rsidR="00B157DF" w:rsidRPr="008608AA">
        <w:rPr>
          <w:noProof/>
        </w:rPr>
        <w:t>(Valiela</w:t>
      </w:r>
      <w:r w:rsidR="009E4D16" w:rsidRPr="008608AA">
        <w:rPr>
          <w:noProof/>
        </w:rPr>
        <w:t>,</w:t>
      </w:r>
      <w:r w:rsidR="00B157DF" w:rsidRPr="008608AA">
        <w:rPr>
          <w:noProof/>
        </w:rPr>
        <w:t xml:space="preserve"> 2006)</w:t>
      </w:r>
      <w:r w:rsidR="00B157DF" w:rsidRPr="008608AA">
        <w:fldChar w:fldCharType="end"/>
      </w:r>
      <w:r w:rsidR="00B157DF" w:rsidRPr="008608AA">
        <w:t xml:space="preserve">. Long-enrichment of coastal salt marshes has reduced belowground organic matter, contributing to subsidence </w:t>
      </w:r>
      <w:r w:rsidR="00B157DF" w:rsidRPr="008608AA">
        <w:fldChar w:fldCharType="begin" w:fldLock="1"/>
      </w:r>
      <w:r w:rsidR="00B157DF" w:rsidRPr="008608AA">
        <w:instrText>ADDIN CSL_CITATION { "citationItems" : [ { "id" : "ITEM-1", "itemData" : { "DOI" : "10.4319/lo.2009.54.5.1634", "abstract" : "Hydrogen (H(2)) release from photosynthetic microbial mats has contributed to the chemical evolution of Earth and could potentially be a source of renewable H(2) in the future. However, the taxonomy of H(2)-producing microorganisms (hydrogenogens) in these mats has not been previously determined. With combined biogeochemical and molecular studies of microbial mats collected from Elkhorn Slough, Monterey Bay, California, we characterized the mechanisms of H(2) production and identified a dominant hydrogenogen. Net production of H(2) was observed within the upper photosynthetic layer (0-2 mm) of the mats under dark and anoxic conditions. Pyrosequencing of rRNA gene libraries generated from this layer demonstrated the presence of 64 phyla, with Bacteriodetes, Cyanobacteria and Proteobacteria dominating the sequences. Sequencing of rRNA transcripts obtained from this layer demonstrated that Cyanobacteria dominated rRNA transcript pyrotag libraries. An OTU affiliated to Microcoleus spp. was the most abundant OTU in both rRNA gene and transcript libraries. Depriving mats of sunlight resulted in an order of magnitude decrease in subsequent nighttime H(2) production, suggesting that newly fixed carbon is critical to H(2) production. Suppression of nitrogen (N(2))-fixation in the mats did not suppress H(2) production, which indicates that co-metabolic production of H(2) during N(2)-fixation is not an important contributor to H(2) production. Concomitant production of organic acids is consistent with fermentation of recently produced photosynthate as the dominant mode of H(2) production. Analysis of rRNA % transcript:% gene ratios and H(2)-evolving bidirectional [NiFe] hydrogenase % transcript:% gene ratios indicated that Microcoelus spp. are dominant hydrogenogens in the Elkhorn Slough mats.", "author" : [ { "dropping-particle" : "", "family" : "Turner", "given" : "R. Eugene", "non-dropping-particle" : "", "parse-names" : false, "suffix" : "" }, { "dropping-particle" : "", "family" : "Howes", "given" : "Brian L.", "non-dropping-particle" : "", "parse-names" : false, "suffix" : "" }, { "dropping-particle" : "", "family" : "Teal", "given" : "John M.", "non-dropping-particle" : "", "parse-names" : false, "suffix" : "" }, { "dropping-particle" : "", "family" : "Milan", "given" : "Charles S.", "non-dropping-particle" : "", "parse-names" : false, "suffix" : "" }, { "dropping-particle" : "", "family" : "Swenson", "given" : "Erick M.", "non-dropping-particle" : "", "parse-names" : false, "suffix" : "" }, { "dropping-particle" : "", "family" : "Goehringer-Tonerb", "given" : "D.D.", "non-dropping-particle" : "", "parse-names" : false, "suffix" : "" } ], "container-title" : "Limnology and Oceanography", "id" : "ITEM-1", "issue" : "5", "issued" : { "date-parts" : [ [ "2009" ] ] }, "page" : "1634-1642", "title" : "Salt marshes and eutrophication: an unsustainable outcome", "type" : "article-journal", "volume" : "54" }, "uris" : [ "http://www.mendeley.com/documents/?uuid=2a7c5aaa-bc20-4182-9376-654b7ed18245" ] } ], "mendeley" : { "formattedCitation" : "(Turner et al. 2009)", "plainTextFormattedCitation" : "(Turner et al. 2009)", "previouslyFormattedCitation" : "(Turner et al. 2009)" }, "properties" : { "noteIndex" : 0 }, "schema" : "https://github.com/citation-style-language/schema/raw/master/csl-citation.json" }</w:instrText>
      </w:r>
      <w:r w:rsidR="00B157DF" w:rsidRPr="008608AA">
        <w:fldChar w:fldCharType="separate"/>
      </w:r>
      <w:r w:rsidR="00B157DF" w:rsidRPr="008608AA">
        <w:rPr>
          <w:noProof/>
        </w:rPr>
        <w:t>(Turner et al.</w:t>
      </w:r>
      <w:r w:rsidR="008E3CC7" w:rsidRPr="008608AA">
        <w:rPr>
          <w:noProof/>
        </w:rPr>
        <w:t>,</w:t>
      </w:r>
      <w:r w:rsidR="00B157DF" w:rsidRPr="008608AA">
        <w:rPr>
          <w:noProof/>
        </w:rPr>
        <w:t xml:space="preserve"> 2009)</w:t>
      </w:r>
      <w:r w:rsidR="00B157DF" w:rsidRPr="008608AA">
        <w:fldChar w:fldCharType="end"/>
      </w:r>
      <w:r w:rsidR="00B157DF" w:rsidRPr="008608AA">
        <w:t xml:space="preserve">. </w:t>
      </w:r>
    </w:p>
    <w:p w14:paraId="7901224D" w14:textId="77777777" w:rsidR="004255E7" w:rsidRPr="008608AA" w:rsidRDefault="004255E7" w:rsidP="00DA1971">
      <w:pPr>
        <w:pStyle w:val="Heading5"/>
        <w:numPr>
          <w:ilvl w:val="0"/>
          <w:numId w:val="0"/>
        </w:numPr>
        <w:ind w:left="1008" w:hanging="1008"/>
        <w:rPr>
          <w:sz w:val="24"/>
          <w:szCs w:val="24"/>
        </w:rPr>
      </w:pPr>
      <w:r w:rsidRPr="008608AA">
        <w:rPr>
          <w:sz w:val="24"/>
          <w:szCs w:val="24"/>
        </w:rPr>
        <w:t>Mangroves</w:t>
      </w:r>
    </w:p>
    <w:p w14:paraId="3B8DDB7C" w14:textId="309C0A6A" w:rsidR="004255E7" w:rsidRPr="008608AA" w:rsidRDefault="00520F22" w:rsidP="00DA1971">
      <w:pPr>
        <w:spacing w:after="120"/>
      </w:pPr>
      <w:r w:rsidRPr="008608AA">
        <w:t xml:space="preserve">Status. </w:t>
      </w:r>
      <w:r w:rsidR="004255E7" w:rsidRPr="008608AA">
        <w:t xml:space="preserve">In tropical and subtropical regions, intertidal mangroves perform similar ecological functions as salt marshes in temperate zones. The red mangrove, </w:t>
      </w:r>
      <w:r w:rsidR="004255E7" w:rsidRPr="008608AA">
        <w:rPr>
          <w:i/>
        </w:rPr>
        <w:t>Rhizophora</w:t>
      </w:r>
      <w:r w:rsidR="004255E7" w:rsidRPr="008608AA">
        <w:t xml:space="preserve"> spp, lives at the water’s edge with its aerial prop roots in the water, serving as the substrate for a community of attached invertebrates and shelter for fishes that swim among the roots. Caribbean mangroves are reported to host the world’s richest mangrove-associated invertebrate fauna worldwide </w:t>
      </w:r>
      <w:r w:rsidR="004255E7" w:rsidRPr="008608AA">
        <w:fldChar w:fldCharType="begin" w:fldLock="1"/>
      </w:r>
      <w:r w:rsidR="004255E7" w:rsidRPr="008608AA">
        <w:instrText>ADDIN CSL_CITATION { "citationItems" : [ { "id" : "ITEM-1", "itemData" : { "DOI" : "10.2307/2389096", "ISBN" : "00063606", "ISSN" : "00063606", "abstract" : "We review historical, current, and projected future impacts of four classes of anthropogenic disturbance-extraction,\\r\\npollution, reclamation, and changing climate-on Caribbean mangrove ecosystems (mangal). These disturbances occur, respectively, at increasing spatial and temporal scales, and require increasing recovery time. Small-scale selective ex- traction has little system-wide effect, but regeneration is slow even on single hectare clear-cuts due to rapid soil acidification. Petroleum is the primary pollutant of Caribbean mangal, and results in tree defoliation, stand death, and loss of associated sessile and mobile animal species. Hydrocarbons persist in mangrove sediments for decades, and are correlated with increasing seedling mutation rates. Chemical, industrial, and urban wastes are associated with increased heavy metal content of seedlings, stand die-back, reduced system-wide species richness, and higher incidence of Vibrio spp. (shellfish poisoning). Mangal has been reclaimed for urbanization, industrialization, and increasingly, for tourism. Overall, the region is losing mangrove forests at 1 percent per yr, although the rate is much faster on the Caribbean mainland (- 1.7% yr-1) than it is on the islands (=0.2% yr-1). The region's fisheries are declining at a similar rate, as most commercial shellfish and finfish use mangal for nurseries and/or refugia. Few Caribbean states have legislation or enforcement capabilities to protect or manage mangal, although at least 11 international treaties and conventions could be applied to conserve or sustainably use these forests. These treaties may protect riverine and basin mangal, but are likely to be moot with respect to fringing mangal, which may vanish as a consequence of global climate change. Growth enhancements of mangroves resulting from increasing atmospheric CO2 probably will not compensate for negative effects of concomitant rises in regional sea level.", "author" : [ { "dropping-particle" : "", "family" : "Ellison", "given" : "Aaron M", "non-dropping-particle" : "", "parse-names" : false, "suffix" : "" }, { "dropping-particle" : "", "family" : "Farnsworth", "given" : "Elizabeth J", "non-dropping-particle" : "", "parse-names" : false, "suffix" : "" } ], "container-title" : "Biotropica", "id" : "ITEM-1", "issue" : "4", "issued" : { "date-parts" : [ [ "1996" ] ] }, "page" : "549-565", "title" : "Anthropogenic disturbance of Caribbean mangrove ecosystems: Past impacts, present trends, and future predictions", "type" : "article-journal", "volume" : "28" }, "uris" : [ "http://www.mendeley.com/documents/?uuid=6a66c455-5846-4faa-b7a4-4f2664b265dc" ] } ], "mendeley" : { "formattedCitation" : "(Ellison &amp; Farnsworth, 1996)", "manualFormatting" : "(Ellison &amp; Farnsworth, 1996)", "plainTextFormattedCitation" : "(Ellison &amp; Farnsworth, 1996)", "previouslyFormattedCitation" : "(Ellison &amp; Farnsworth, 1996)" }, "properties" : { "noteIndex" : 0 }, "schema" : "https://github.com/citation-style-language/schema/raw/master/csl-citation.json" }</w:instrText>
      </w:r>
      <w:r w:rsidR="004255E7" w:rsidRPr="008608AA">
        <w:fldChar w:fldCharType="separate"/>
      </w:r>
      <w:r w:rsidR="004255E7" w:rsidRPr="008608AA">
        <w:rPr>
          <w:noProof/>
        </w:rPr>
        <w:t>(Ellison &amp; Farnsworth, 1996)</w:t>
      </w:r>
      <w:r w:rsidR="004255E7" w:rsidRPr="008608AA">
        <w:fldChar w:fldCharType="end"/>
      </w:r>
      <w:r w:rsidR="004255E7" w:rsidRPr="008608AA">
        <w:t xml:space="preserve">. Mangroves provide many NCP such as wood products, microclimate regulation, shoreline protection, nutrient cycling and carbon storage </w:t>
      </w:r>
      <w:r w:rsidR="004255E7" w:rsidRPr="008608AA">
        <w:fldChar w:fldCharType="begin" w:fldLock="1"/>
      </w:r>
      <w:r w:rsidR="004255E7" w:rsidRPr="008608AA">
        <w:instrText>ADDIN CSL_CITATION { "citationItems" : [ { "id" : "ITEM-1", "itemData" : { "DOI" : "10.1016/j.ecolind.2012.04.022", "ISBN" : "1470-160X", "ISSN" : "1470160X", "abstract" : "The goods and services provided by natural ecosystems contribute to human well being, both directly and indirectly. The ability to calculate the economic value of the ecosystem goods and services is increasingly recognized as a necessary condition for integrated environmental decision-making, sustainable business practice, and land-use planning at multiple geographic scales and socio-political levels. We present a comprehensive overview and summary of studies undertaken to investigate the ecosystem services of mangrove forests. We address the variety of different methods applied for different ecosystem services evaluation of mangrove forests, as well as the methods and techniques employed for data analyses, and further to discuss their potential and limitations. \u00a9 2012 Elsevier Ltd. All rights reserved.", "author" : [ { "dropping-particle" : "", "family" : "Vo", "given" : "Quoc Tuan", "non-dropping-particle" : "", "parse-names" : false, "suffix" : "" }, { "dropping-particle" : "", "family" : "Kuenzer", "given" : "C.", "non-dropping-particle" : "", "parse-names" : false, "suffix" : "" }, { "dropping-particle" : "", "family" : "Vo", "given" : "Quang Minh", "non-dropping-particle" : "", "parse-names" : false, "suffix" : "" }, { "dropping-particle" : "", "family" : "Moder", "given" : "F.", "non-dropping-particle" : "", "parse-names" : false, "suffix" : "" }, { "dropping-particle" : "", "family" : "Oppelt", "given" : "N.", "non-dropping-particle" : "", "parse-names" : false, "suffix" : "" } ], "container-title" : "Ecological Indicators", "id" : "ITEM-1", "issued" : { "date-parts" : [ [ "2012" ] ] }, "page" : "431-446", "title" : "Review of valuation methods for mangrove ecosystem services", "type" : "article-journal", "volume" : "23" }, "uris" : [ "http://www.mendeley.com/documents/?uuid=deaf095c-ffa4-4131-9571-e1657d866925" ] } ], "mendeley" : { "formattedCitation" : "(Vo, Kuenzer, Vo, Moder, &amp; Oppelt, 2012)", "manualFormatting" : "(Vo et al., 2012)", "plainTextFormattedCitation" : "(Vo, Kuenzer, Vo, Moder, &amp; Oppelt, 2012)", "previouslyFormattedCitation" : "(Vo, Kuenzer, Vo, Moder, &amp; Oppelt, 2012)" }, "properties" : { "noteIndex" : 0 }, "schema" : "https://github.com/citation-style-language/schema/raw/master/csl-citation.json" }</w:instrText>
      </w:r>
      <w:r w:rsidR="004255E7" w:rsidRPr="008608AA">
        <w:fldChar w:fldCharType="separate"/>
      </w:r>
      <w:r w:rsidR="004255E7" w:rsidRPr="008608AA">
        <w:rPr>
          <w:noProof/>
        </w:rPr>
        <w:t>(Vo et al., 2012)</w:t>
      </w:r>
      <w:r w:rsidR="004255E7" w:rsidRPr="008608AA">
        <w:fldChar w:fldCharType="end"/>
      </w:r>
      <w:r w:rsidR="004255E7" w:rsidRPr="008608AA">
        <w:t xml:space="preserve">. </w:t>
      </w:r>
    </w:p>
    <w:p w14:paraId="4C29F319" w14:textId="4D40A1D8" w:rsidR="004255E7" w:rsidRPr="008608AA" w:rsidRDefault="00520F22" w:rsidP="00DA1971">
      <w:pPr>
        <w:spacing w:after="120"/>
      </w:pPr>
      <w:r w:rsidRPr="008608AA">
        <w:t xml:space="preserve">Recent trends. </w:t>
      </w:r>
      <w:r w:rsidR="004255E7" w:rsidRPr="008608AA">
        <w:t>Recently</w:t>
      </w:r>
      <w:r w:rsidR="00895207" w:rsidRPr="008608AA">
        <w:t>,</w:t>
      </w:r>
      <w:r w:rsidR="004255E7" w:rsidRPr="008608AA">
        <w:t xml:space="preserve"> use of mangroves has increased leading to substantial loss </w:t>
      </w:r>
      <w:r w:rsidR="004255E7" w:rsidRPr="008608AA">
        <w:fldChar w:fldCharType="begin" w:fldLock="1"/>
      </w:r>
      <w:r w:rsidR="004255E7" w:rsidRPr="008608AA">
        <w:instrText>ADDIN CSL_CITATION { "citationItems" : [ { "id" : "ITEM-1", "itemData" : { "DOI" : "10.1641/0006-3568(2001)051[0807:MFOOTW]2.0.CO;2", "ISBN" : "00063568", "ISSN" : "0006-3568", "PMID" : "216464786", "abstract" : "At least 35% of the area of mangrove forests has been lost in the past two decades. Concern about the magnitude of losses has been voiced mainly in the specialized literature.", "author" : [ { "dropping-particle" : "", "family" : "Valiela", "given" : "I.", "non-dropping-particle" : "", "parse-names" : false, "suffix" : "" }, { "dropping-particle" : "", "family" : "Bowen", "given" : "J. L.", "non-dropping-particle" : "", "parse-names" : false, "suffix" : "" }, { "dropping-particle" : "", "family" : "York", "given" : "J. K.", "non-dropping-particle" : "", "parse-names" : false, "suffix" : "" } ], "container-title" : "BioScience", "id" : "ITEM-1", "issue" : "10", "issued" : { "date-parts" : [ [ "2001" ] ] }, "page" : "807", "title" : "Mangrove forests: one of the world's threatened major tropical environments", "type" : "article-journal", "volume" : "51" }, "uris" : [ "http://www.mendeley.com/documents/?uuid=bbc8a76a-92d9-3a32-a312-89bcaadef1a7" ] } ], "mendeley" : { "formattedCitation" : "(Valiela, Bowen, &amp; York, 2001)", "manualFormatting" : "(Valiela et al., 2001)", "plainTextFormattedCitation" : "(Valiela, Bowen, &amp; York, 2001)", "previouslyFormattedCitation" : "(Valiela, Bowen, &amp; York, 2001)" }, "properties" : { "noteIndex" : 0 }, "schema" : "https://github.com/citation-style-language/schema/raw/master/csl-citation.json" }</w:instrText>
      </w:r>
      <w:r w:rsidR="004255E7" w:rsidRPr="008608AA">
        <w:fldChar w:fldCharType="separate"/>
      </w:r>
      <w:r w:rsidR="004255E7" w:rsidRPr="008608AA">
        <w:rPr>
          <w:noProof/>
        </w:rPr>
        <w:t>(Valiela et al., 2001)</w:t>
      </w:r>
      <w:r w:rsidR="004255E7" w:rsidRPr="008608AA">
        <w:fldChar w:fldCharType="end"/>
      </w:r>
      <w:r w:rsidR="004255E7" w:rsidRPr="008608AA">
        <w:t xml:space="preserve">. Construction of shrimp and fishponds for aquaculture accounts for over 50% of the world’s mangrove loss. In the Americas, losses average about 2.1% per year, with annual losses up to 3.6% per year. This is likely due to exploitation, deteriorating water quality, coastal development and climate change </w:t>
      </w:r>
      <w:r w:rsidR="004255E7" w:rsidRPr="008608AA">
        <w:fldChar w:fldCharType="begin" w:fldLock="1"/>
      </w:r>
      <w:r w:rsidR="004255E7" w:rsidRPr="008608AA">
        <w:instrText>ADDIN CSL_CITATION { "citationItems" : [ { "id" : "ITEM-1", "itemData" : { "author" : [ { "dropping-particle" : "", "family" : "Gilman", "given" : "Eric L.", "non-dropping-particle" : "", "parse-names" : false, "suffix" : "" }, { "dropping-particle" : "", "family" : "Ellison", "given" : "Joanna", "non-dropping-particle" : "", "parse-names" : false, "suffix" : "" }, { "dropping-particle" : "", "family" : "Duke", "given" : "Norman C.", "non-dropping-particle" : "", "parse-names" : false, "suffix" : "" }, { "dropping-particle" : "", "family" : "Field", "given" : "Colin", "non-dropping-particle" : "", "parse-names" : false, "suffix" : "" } ], "container-title" : "Aquatic Botany", "id" : "ITEM-1", "issue" : "2", "issued" : { "date-parts" : [ [ "2008" ] ] }, "page" : "237-250", "title" : "Threats to mangroves from climate change and adaptation options", "type" : "article-journal", "volume" : "89" }, "uris" : [ "http://www.mendeley.com/documents/?uuid=d8d2bb9e-b992-4fc4-9b23-122a4b7369aa" ] } ], "mendeley" : { "formattedCitation" : "(Gilman, Ellison, Duke, &amp; Field, 2008)", "manualFormatting" : "(Gilman et al., 2008", "plainTextFormattedCitation" : "(Gilman, Ellison, Duke, &amp; Field, 2008)", "previouslyFormattedCitation" : "(Gilman, Ellison, Duke, &amp; Field, 2008)" }, "properties" : { "noteIndex" : 0 }, "schema" : "https://github.com/citation-style-language/schema/raw/master/csl-citation.json" }</w:instrText>
      </w:r>
      <w:r w:rsidR="004255E7" w:rsidRPr="008608AA">
        <w:fldChar w:fldCharType="separate"/>
      </w:r>
      <w:r w:rsidR="004255E7" w:rsidRPr="008608AA">
        <w:rPr>
          <w:noProof/>
        </w:rPr>
        <w:t>(Gilman et al., 2008</w:t>
      </w:r>
      <w:r w:rsidR="004255E7" w:rsidRPr="008608AA">
        <w:fldChar w:fldCharType="end"/>
      </w:r>
      <w:r w:rsidR="004255E7" w:rsidRPr="008608AA">
        <w:fldChar w:fldCharType="begin" w:fldLock="1"/>
      </w:r>
      <w:r w:rsidR="004255E7" w:rsidRPr="008608AA">
        <w:instrText>ADDIN CSL_CITATION { "citationItems" : [ { "id" : "ITEM-1", "itemData" : { "author" : [ { "dropping-particle" : "", "family" : "McKee", "given" : "K.L.", "non-dropping-particle" : "", "parse-names" : false, "suffix" : "" }, { "dropping-particle" : "", "family" : "Cahoon", "given" : "D.R.", "non-dropping-particle" : "", "parse-names" : false, "suffix" : "" }, { "dropping-particle" : "", "family" : "Feller", "given" : "I. C.", "non-dropping-particle" : "", "parse-names" : false, "suffix" : "" } ], "container-title" : "Global Ecology and Biogeography", "id" : "ITEM-1", "issued" : { "date-parts" : [ [ "2007" ] ] }, "page" : "545\u2013556", "title" : "Caribbean mangroves adjust to rising sea level through biotic controls on change in soil elevation", "type" : "article-journal", "volume" : "16" }, "uris" : [ "http://www.mendeley.com/documents/?uuid=86b9035d-4f28-43ae-9a12-96cf61b39de5" ] } ], "mendeley" : { "formattedCitation" : "(McKee, Cahoon, &amp; Feller, 2007)", "manualFormatting" : "; McKee et al., 2007", "plainTextFormattedCitation" : "(McKee, Cahoon, &amp; Feller, 2007)", "previouslyFormattedCitation" : "(McKee, Cahoon, &amp; Feller, 2007)" }, "properties" : { "noteIndex" : 0 }, "schema" : "https://github.com/citation-style-language/schema/raw/master/csl-citation.json" }</w:instrText>
      </w:r>
      <w:r w:rsidR="004255E7" w:rsidRPr="008608AA">
        <w:fldChar w:fldCharType="separate"/>
      </w:r>
      <w:r w:rsidR="004255E7" w:rsidRPr="008608AA">
        <w:rPr>
          <w:noProof/>
        </w:rPr>
        <w:t>; McKee et al., 2007</w:t>
      </w:r>
      <w:r w:rsidR="004255E7" w:rsidRPr="008608AA">
        <w:fldChar w:fldCharType="end"/>
      </w:r>
      <w:r w:rsidR="004255E7" w:rsidRPr="008608AA">
        <w:t xml:space="preserve">; </w:t>
      </w:r>
      <w:r w:rsidR="004255E7" w:rsidRPr="008608AA">
        <w:fldChar w:fldCharType="begin" w:fldLock="1"/>
      </w:r>
      <w:r w:rsidR="004255E7" w:rsidRPr="008608AA">
        <w:instrText>ADDIN CSL_CITATION { "citationItems" : [ { "id" : "ITEM-1", "itemData" : { "author" : [ { "dropping-particle" : "", "family" : "Polidoro", "given" : "Beth A.", "non-dropping-particle" : "", "parse-names" : false, "suffix" : "" }, { "dropping-particle" : "", "family" : "Carpenter", "given" : "Kent E.", "non-dropping-particle" : "", "parse-names" : false, "suffix" : "" }, { "dropping-particle" : "", "family" : "Collins", "given" : "Lorna", "non-dropping-particle" : "", "parse-names" : false, "suffix" : "" }, { "dropping-particle" : "", "family" : "Duke", "given" : "Norman C.", "non-dropping-particle" : "", "parse-names" : false, "suffix" : "" }, { "dropping-particle" : "", "family" : "Ellison", "given" : "Aaron M.", "non-dropping-particle" : "", "parse-names" : false, "suffix" : "" }, { "dropping-particle" : "", "family" : "Ellison", "given" : "Joanna C.", "non-dropping-particle" : "", "parse-names" : false, "suffix" : "" }, { "dropping-particle" : "", "family" : "Farnsworth", "given" : "Elizabeth J.", "non-dropping-particle" : "", "parse-names" : false, "suffix" : "" }, { "dropping-particle" : "", "family" : "Fernando", "given" : "Edwino S.", "non-dropping-particle" : "", "parse-names" : false, "suffix" : "" }, { "dropping-particle" : "", "family" : "Kathiresan", "given" : "Kandasamy", "non-dropping-particle" : "", "parse-names" : false, "suffix" : "" }, { "dropping-particle" : "", "family" : "Koedam", "given" : "Nico E.", "non-dropping-particle" : "", "parse-names" : false, "suffix" : "" }, { "dropping-particle" : "", "family" : "Livingstone", "given" : "Suzanne R.", "non-dropping-particle" : "", "parse-names" : false, "suffix" : "" }, { "dropping-particle" : "", "family" : "Miyagi", "given" : "Toyohiko", "non-dropping-particle" : "", "parse-names" : false, "suffix" : "" }, { "dropping-particle" : "", "family" : "Moore", "given" : "Gregg E.", "non-dropping-particle" : "", "parse-names" : false, "suffix" : "" }, { "dropping-particle" : "", "family" : "Vien", "given" : "Ngoc Nam", "non-dropping-particle" : "", "parse-names" : false, "suffix" : "" }, { "dropping-particle" : "", "family" : "Ong", "given" : "Jin Eong", "non-dropping-particle" : "", "parse-names" : false, "suffix" : "" }, { "dropping-particle" : "", "family" : "Primavera", "given" : "Jurgenne H.", "non-dropping-particle" : "", "parse-names" : false, "suffix" : "" }, { "dropping-particle" : "", "family" : "Salmo III", "given" : "Severino G.", "non-dropping-particle" : "", "parse-names" : false, "suffix" : "" }, { "dropping-particle" : "", "family" : "Sanciangco", "given" : "Jonnell C.", "non-dropping-particle" : "", "parse-names" : false, "suffix" : "" }, { "dropping-particle" : "", "family" : "Sukardjo", "given" : "Sukristijono", "non-dropping-particle" : "", "parse-names" : false, "suffix" : "" }, { "dropping-particle" : "", "family" : "Wang", "given" : "Yamin", "non-dropping-particle" : "", "parse-names" : false, "suffix" : "" }, { "dropping-particle" : "", "family" : "Yong", "given" : "Jean Wan Hong", "non-dropping-particle" : "", "parse-names" : false, "suffix" : "" } ], "container-title" : "PLoS ONE", "id" : "ITEM-1", "issue" : "4", "issued" : { "date-parts" : [ [ "2010" ] ] }, "page" : "e10095", "title" : "The loss of species: mangrove extinction risk and geographic areas of global concern", "type" : "article-journal", "volume" : "5" }, "uris" : [ "http://www.mendeley.com/documents/?uuid=e6afe0d4-f23c-45b0-971c-034824c9f4ce" ] } ], "mendeley" : { "formattedCitation" : "(Polidoro et al., 2010)", "manualFormatting" : "Polidoro et al., 2010)", "plainTextFormattedCitation" : "(Polidoro et al., 2010)", "previouslyFormattedCitation" : "(Polidoro et al., 2010)" }, "properties" : { "noteIndex" : 0 }, "schema" : "https://github.com/citation-style-language/schema/raw/master/csl-citation.json" }</w:instrText>
      </w:r>
      <w:r w:rsidR="004255E7" w:rsidRPr="008608AA">
        <w:fldChar w:fldCharType="separate"/>
      </w:r>
      <w:r w:rsidR="004255E7" w:rsidRPr="008608AA">
        <w:rPr>
          <w:noProof/>
        </w:rPr>
        <w:t>Polidoro et al., 2010)</w:t>
      </w:r>
      <w:r w:rsidR="004255E7" w:rsidRPr="008608AA">
        <w:fldChar w:fldCharType="end"/>
      </w:r>
      <w:r w:rsidR="004255E7" w:rsidRPr="008608AA">
        <w:t xml:space="preserve">. In the Caribbean, mangrove area has declined by about 1% annually over the last 30yrs, the second highest rate of loss globally </w:t>
      </w:r>
      <w:r w:rsidR="004255E7" w:rsidRPr="008608AA">
        <w:fldChar w:fldCharType="begin" w:fldLock="1"/>
      </w:r>
      <w:r w:rsidR="004255E7" w:rsidRPr="008608AA">
        <w:instrText>ADDIN CSL_CITATION { "citationItems" : [ { "id" : "ITEM-1", "itemData" : { "author" : [ { "dropping-particle" : "", "family" : "FAO", "given" : "", "non-dropping-particle" : "", "parse-names" : false, "suffix" : "" } ], "id" : "ITEM-1", "issued" : { "date-parts" : [ [ "2007" ] ] }, "publisher-place" : "Rome, Italy", "title" : "The State of Food and Agriculture 2007", "type" : "report" }, "uris" : [ "http://www.mendeley.com/documents/?uuid=7f49414c-7d3a-4e31-bd4a-5bdba08e3f4c" ] } ], "mendeley" : { "formattedCitation" : "(FAO, 2007)", "plainTextFormattedCitation" : "(FAO, 2007)", "previouslyFormattedCitation" : "(FAO, 2007)" }, "properties" : { "noteIndex" : 0 }, "schema" : "https://github.com/citation-style-language/schema/raw/master/csl-citation.json" }</w:instrText>
      </w:r>
      <w:r w:rsidR="004255E7" w:rsidRPr="008608AA">
        <w:fldChar w:fldCharType="separate"/>
      </w:r>
      <w:r w:rsidR="004255E7" w:rsidRPr="008608AA">
        <w:rPr>
          <w:noProof/>
        </w:rPr>
        <w:t>(FAO, 2007)</w:t>
      </w:r>
      <w:r w:rsidR="004255E7" w:rsidRPr="008608AA">
        <w:fldChar w:fldCharType="end"/>
      </w:r>
      <w:r w:rsidR="004255E7" w:rsidRPr="008608AA">
        <w:t xml:space="preserve">. In recent years, mangroves have been spreading northward in Florida, expanding their range in response to warming </w:t>
      </w:r>
      <w:r w:rsidR="004255E7" w:rsidRPr="008608AA">
        <w:fldChar w:fldCharType="begin" w:fldLock="1"/>
      </w:r>
      <w:r w:rsidR="004255E7" w:rsidRPr="008608AA">
        <w:instrText>ADDIN CSL_CITATION { "citationItems" : [ { "id" : "ITEM-1", "itemData" : { "DOI" : "10.1073/pnas.1315800111", "ISBN" : "0027-8424", "ISSN" : "0027-8424", "PMID" : "24379379", "abstract" : "Regional warming associated with climate change is linked with altered range and abundance of species and ecosystems worldwide. However, the ecological impacts of changes in the frequency of extreme events have not been as well documented, especially for coastal and marine environments. We used 28 y of satellite imagery to demonstrate that the area of mangrove forests has doubled at the northern end of their historic range on the east coast of Florida. This expansion is associated with a reduction in the frequency of \"extreme\" cold events (days colder than -4 \u00b0C), but uncorrelated with changes in mean annual temperature, mean annual precipitation, and land use. Our analyses provide evidence for a threshold response, with declining frequency of severe cold winter events allowing for poleward expansion of mangroves. Future warming may result in increases in mangrove cover beyond current latitudinal limits of mangrove forests, thereby altering the structure and function of these important coastal ecosystems.", "author" : [ { "dropping-particle" : "", "family" : "Cavanaugh", "given" : "Kyle C.", "non-dropping-particle" : "", "parse-names" : false, "suffix" : "" }, { "dropping-particle" : "", "family" : "Kellner", "given" : "James R.", "non-dropping-particle" : "", "parse-names" : false, "suffix" : "" }, { "dropping-particle" : "", "family" : "Forde", "given" : "Alexander J.", "non-dropping-particle" : "", "parse-names" : false, "suffix" : "" }, { "dropping-particle" : "", "family" : "Gruner", "given" : "Daniel S.", "non-dropping-particle" : "", "parse-names" : false, "suffix" : "" }, { "dropping-particle" : "", "family" : "Parker", "given" : "John D.", "non-dropping-particle" : "", "parse-names" : false, "suffix" : "" }, { "dropping-particle" : "", "family" : "Rodriguez", "given" : "Wilfrid", "non-dropping-particle" : "", "parse-names" : false, "suffix" : "" }, { "dropping-particle" : "", "family" : "Feller", "given" : "Ilka C.", "non-dropping-particle" : "", "parse-names" : false, "suffix" : "" } ], "container-title" : "PNAS", "id" : "ITEM-1", "issued" : { "date-parts" : [ [ "2014" ] ] }, "page" : "723-727", "title" : "Poleward expansion of mangroves is a threshold response to decreased frequency of extreme cold events", "type" : "article-journal", "volume" : "111" }, "uris" : [ "http://www.mendeley.com/documents/?uuid=91c06b9c-bc3e-4024-961d-504b72bd0802" ] } ], "mendeley" : { "formattedCitation" : "(Cavanaugh et al., 2014)", "plainTextFormattedCitation" : "(Cavanaugh et al., 2014)", "previouslyFormattedCitation" : "(Cavanaugh et al., 2014)" }, "properties" : { "noteIndex" : 0 }, "schema" : "https://github.com/citation-style-language/schema/raw/master/csl-citation.json" }</w:instrText>
      </w:r>
      <w:r w:rsidR="004255E7" w:rsidRPr="008608AA">
        <w:fldChar w:fldCharType="separate"/>
      </w:r>
      <w:r w:rsidR="004255E7" w:rsidRPr="008608AA">
        <w:rPr>
          <w:noProof/>
        </w:rPr>
        <w:t>(Cavanaugh et al., 2014)</w:t>
      </w:r>
      <w:r w:rsidR="004255E7" w:rsidRPr="008608AA">
        <w:fldChar w:fldCharType="end"/>
      </w:r>
      <w:r w:rsidR="004255E7" w:rsidRPr="008608AA">
        <w:t>. Since they are not likely to be harvested for wood or removed for aquaculture, this northward move may counterbalance some of the threats.</w:t>
      </w:r>
    </w:p>
    <w:p w14:paraId="3112C28C" w14:textId="24A4FB9C" w:rsidR="00442008" w:rsidRPr="008608AA" w:rsidRDefault="00442008" w:rsidP="00520F22">
      <w:pPr>
        <w:spacing w:after="120"/>
        <w:rPr>
          <w:b/>
        </w:rPr>
      </w:pPr>
      <w:r w:rsidRPr="008608AA">
        <w:rPr>
          <w:b/>
        </w:rPr>
        <w:t>Submerged aquatic vegetation</w:t>
      </w:r>
    </w:p>
    <w:p w14:paraId="76FEEAD9" w14:textId="192CF0EB" w:rsidR="004255E7" w:rsidRPr="008608AA" w:rsidRDefault="00520F22" w:rsidP="00DA1971">
      <w:pPr>
        <w:spacing w:after="120"/>
      </w:pPr>
      <w:r w:rsidRPr="008608AA">
        <w:t xml:space="preserve">Status. </w:t>
      </w:r>
      <w:r w:rsidR="004255E7" w:rsidRPr="008608AA">
        <w:t xml:space="preserve">Seagrasses live submerged in salt or brackish water full-time and provide habitat for animals such as scallops, and, in tropical regions, juvenile coral reef fishes. USA populations crashed in the 1930s due to disease and slowly recovered over subsequent decades. Since the 1960s, much of the Submerged aquatic vegetation disappeared in North Atlantic estuaries, particularly in Chesapeake Bay. Loss of Submerged aquatic vegetation results in a loss of food and habitat for many species </w:t>
      </w:r>
      <w:r w:rsidR="004255E7" w:rsidRPr="008608AA">
        <w:fldChar w:fldCharType="begin" w:fldLock="1"/>
      </w:r>
      <w:r w:rsidR="004255E7" w:rsidRPr="008608AA">
        <w:instrText>ADDIN CSL_CITATION { "citationItems" : [ { "id" : "ITEM-1", "itemData" : { "URL" : "http://www.fws.gov/chesapeakebay/cbsav.html", "author" : [ { "dropping-particle" : "", "family" : "US Fish and Wildlife Service", "given" : "", "non-dropping-particle" : "", "parse-names" : false, "suffix" : "" } ], "id" : "ITEM-1", "issued" : { "date-parts" : [ [ "2011" ] ] }, "title" : "Submerged Aquatic Vegetation: Where Have All the Grasses Gone?", "type" : "webpage" }, "uris" : [ "http://www.mendeley.com/documents/?uuid=ec1c3706-12fa-3fbe-9c66-be7152d2a638" ] } ], "mendeley" : { "formattedCitation" : "(US Fish and Wildlife Service, 2011)", "plainTextFormattedCitation" : "(US Fish and Wildlife Service, 2011)", "previouslyFormattedCitation" : "(US Fish and Wildlife Service, 2011)" }, "properties" : { "noteIndex" : 0 }, "schema" : "https://github.com/citation-style-language/schema/raw/master/csl-citation.json" }</w:instrText>
      </w:r>
      <w:r w:rsidR="004255E7" w:rsidRPr="008608AA">
        <w:fldChar w:fldCharType="separate"/>
      </w:r>
      <w:r w:rsidR="004255E7" w:rsidRPr="008608AA">
        <w:rPr>
          <w:noProof/>
        </w:rPr>
        <w:t>(US Fish and Wildlife Service, 2011)</w:t>
      </w:r>
      <w:r w:rsidR="004255E7" w:rsidRPr="008608AA">
        <w:fldChar w:fldCharType="end"/>
      </w:r>
      <w:r w:rsidR="004255E7" w:rsidRPr="008608AA">
        <w:t>. Of the seven native seagrass species in the Caribbean, two (</w:t>
      </w:r>
      <w:r w:rsidR="004255E7" w:rsidRPr="008608AA">
        <w:rPr>
          <w:i/>
        </w:rPr>
        <w:t>Halophila engelmannii</w:t>
      </w:r>
      <w:r w:rsidR="004255E7" w:rsidRPr="008608AA">
        <w:t xml:space="preserve"> and </w:t>
      </w:r>
      <w:r w:rsidR="004255E7" w:rsidRPr="008608AA">
        <w:rPr>
          <w:i/>
        </w:rPr>
        <w:t>H. baillonii</w:t>
      </w:r>
      <w:r w:rsidR="004255E7" w:rsidRPr="008608AA">
        <w:t xml:space="preserve">) are considered to be near threatened and vulnerable. Elevated </w:t>
      </w:r>
      <w:r w:rsidR="00895207" w:rsidRPr="008608AA">
        <w:t xml:space="preserve">nutrient levels </w:t>
      </w:r>
      <w:r w:rsidR="004255E7" w:rsidRPr="008608AA">
        <w:t xml:space="preserve">(eutrophication) is the biggest threat in the Americas and is particularly acute in developing nations with rapidly growing economies, where environmental legislation is weak. These local and regional threats exist with a backdrop of environmental change and sea level rise. </w:t>
      </w:r>
    </w:p>
    <w:p w14:paraId="2C846BD7" w14:textId="72CE89B2" w:rsidR="004255E7" w:rsidRPr="008608AA" w:rsidRDefault="004255E7" w:rsidP="00DA1971">
      <w:pPr>
        <w:spacing w:after="120"/>
      </w:pPr>
      <w:r w:rsidRPr="008608AA">
        <w:t>Recent trends</w:t>
      </w:r>
      <w:r w:rsidR="009E4D16" w:rsidRPr="008608AA">
        <w:rPr>
          <w:i/>
        </w:rPr>
        <w:t xml:space="preserve">. </w:t>
      </w:r>
      <w:r w:rsidRPr="008608AA">
        <w:t>There was considerable loss, degradation, and fragmentation of seagrasses, as 2.6 km</w:t>
      </w:r>
      <w:r w:rsidRPr="008608AA">
        <w:rPr>
          <w:vertAlign w:val="superscript"/>
        </w:rPr>
        <w:t>2</w:t>
      </w:r>
      <w:r w:rsidRPr="008608AA">
        <w:t xml:space="preserve"> in Biscayne Bay (Florida, USA) between 1938 and 2009 </w:t>
      </w:r>
      <w:r w:rsidRPr="008608AA">
        <w:fldChar w:fldCharType="begin" w:fldLock="1"/>
      </w:r>
      <w:r w:rsidRPr="008608AA">
        <w:instrText>ADDIN CSL_CITATION { "citationItems" : [ { "id" : "ITEM-1", "itemData" : { "DOI" : "10.1111/maec.12259", "ISBN" : "1439-0485", "ISSN" : "14390485", "abstract" : "Vegetated coastal seascapes exhibit dynamic spatial patterning, some of which is directly linked to human coastal activities. Human activities (e.g. coastal development) have modified freshwater flow to marine environments, resulting in significant changes to submerged aquatic vegetation (SAV) communities. Yet, very little is known about the spatially complex process of SAV habitat loss and fragmentation that affects ecosystem function. Using habitat mapping from aerial photography spanning 71 years (1938\u20132009) for Biscayne Bay (Florida, USA), we quantify both SAV habitat loss and fragmentation using a novel fragmentation index. To understand the influence of water management practices on SAV seascapes, habitat loss and fragmentation were compared between nearshore and offshore locations, as well as locations adjacent to and distant from canals that transport freshwater into the marine environment. Habitat loss and fragmentation were significantly higher along the shoreline compared with offshore seascapes. Nearshore habitats experienced a net loss of 3.31% of the total SAV mapped (2.57 km2) over the time series. While areas\\r\\nadjacent to canals had significantly higher SAV cover, they still experienced wide fluctuations in cover and fragmentation over time. All sites exhibited higher fragmentation in 2009 compared with 1938, with four sites exhibiting high fragmentation levels between the 1990s and 2000s. We demonstrate that freshwater inputs into coastal bays modify the amount of SAV and the fragmentation dynamics of SAV habitats. Spatial changes are greater close to shore and canals, indicating that these coastal developments have transformative\\r\\nimpacts on vegetated habitats, with undetermined consequences for the provisioning of ecosystem goods and services.", "author" : [ { "dropping-particle" : "", "family" : "Santos", "given" : "Rolando O.", "non-dropping-particle" : "", "parse-names" : false, "suffix" : "" }, { "dropping-particle" : "", "family" : "Lirman", "given" : "Diego", "non-dropping-particle" : "", "parse-names" : false, "suffix" : "" }, { "dropping-particle" : "", "family" : "Pittman", "given" : "Simon J.", "non-dropping-particle" : "", "parse-names" : false, "suffix" : "" } ], "container-title" : "Marine Ecology", "id" : "ITEM-1", "issue" : "1", "issued" : { "date-parts" : [ [ "2016" ] ] }, "page" : "200-214", "title" : "Long-term spatial dynamics in vegetated seascapes: fragmentation and habitat loss in a human-impacted subtropical lagoon", "type" : "article-journal", "volume" : "37" }, "uris" : [ "http://www.mendeley.com/documents/?uuid=6a858726-cdf9-3868-ac75-a0b4253d9859" ] } ], "mendeley" : { "formattedCitation" : "(Santos, Lirman, &amp; Pittman, 2016)", "manualFormatting" : "(Santos et al., 2016)", "plainTextFormattedCitation" : "(Santos, Lirman, &amp; Pittman, 2016)", "previouslyFormattedCitation" : "(Santos, Lirman, &amp; Pittman, 2016)" }, "properties" : { "noteIndex" : 0 }, "schema" : "https://github.com/citation-style-language/schema/raw/master/csl-citation.json" }</w:instrText>
      </w:r>
      <w:r w:rsidRPr="008608AA">
        <w:fldChar w:fldCharType="separate"/>
      </w:r>
      <w:r w:rsidRPr="008608AA">
        <w:rPr>
          <w:noProof/>
        </w:rPr>
        <w:t>(Santos et al., 2016)</w:t>
      </w:r>
      <w:r w:rsidRPr="008608AA">
        <w:fldChar w:fldCharType="end"/>
      </w:r>
      <w:r w:rsidRPr="008608AA">
        <w:t xml:space="preserve">. Extensive losses have been reported from Canada </w:t>
      </w:r>
      <w:r w:rsidRPr="008608AA">
        <w:fldChar w:fldCharType="begin" w:fldLock="1"/>
      </w:r>
      <w:r w:rsidRPr="008608AA">
        <w:instrText>ADDIN CSL_CITATION { "citationItems" : [ { "id" : "ITEM-1", "itemData" : { "DOI" : "10.3354/meps11674", "ISSN" : "01718630", "abstract" : "ABSTRACT: Following their first detection in Newfoundland in 2007, populations of invasive European green crabs Carcinus maenas (Linnaeus, 1758) have increased and spread throughout eelgrass Zostera marina meadows. Green crabs can reduce eelgrass biomass by damaging rhizomes and plant shoots when burrowing for shelter and digging for prey. Empirically demonstrating large spatial-scale impacts of green crabs on eelgrass and subsequent cascading effects on the ecosystem has proven difficult because of the general absence of effective baseline studies prior to an invasion of green crabs. We conducted surveys in Placentia and Bonavista bays, Newfoundland (20 sites) to compare eelgrass and associated fish communities before and after an invasion of green crabs. We analyzed eelgrass surveys from 1998 and 1999 (before green crab) and again in 2012 (after green crab) using a Before-After-Control-Impact (BACI) study design in order to isolate effects of crab-induced eelgrass loss from effects independent of green crabs. Underwater video sampling evaluated eelgrass change over time and indicated a 50% decline in eelgrass percent cover since 1998 at sites with green crabs, and eelgrass declines up to 100% at sites with highest abundances and longest established presence of green crabs. Beach seining showed a sharp decline in abundance and biomass of fish (~10-fold between sites with and without green crabs) and indicated changes in fish community structure after green crab arrival at a site. Our results suggest cascading effects on fish communities and substantial potential impacts in coastal ecosystems occur following green crab invasion.", "author" : [ { "dropping-particle" : "", "family" : "Matheson", "given" : "K.", "non-dropping-particle" : "", "parse-names" : false, "suffix" : "" }, { "dropping-particle" : "", "family" : "McKenzie", "given" : "C. H.", "non-dropping-particle" : "", "parse-names" : false, "suffix" : "" }, { "dropping-particle" : "", "family" : "Gregory", "given" : "R. S.", "non-dropping-particle" : "", "parse-names" : false, "suffix" : "" }, { "dropping-particle" : "", "family" : "Robichaud", "given" : "D. A.", "non-dropping-particle" : "", "parse-names" : false, "suffix" : "" }, { "dropping-particle" : "", "family" : "Bradbury", "given" : "I. R.", "non-dropping-particle" : "", "parse-names" : false, "suffix" : "" }, { "dropping-particle" : "", "family" : "Snelgrove", "given" : "P. V.R.", "non-dropping-particle" : "", "parse-names" : false, "suffix" : "" }, { "dropping-particle" : "", "family" : "Rose", "given" : "G. A.", "non-dropping-particle" : "", "parse-names" : false, "suffix" : "" } ], "container-title" : "Marine Ecology Progress Series", "id" : "ITEM-1", "issued" : { "date-parts" : [ [ "2016" ] ] }, "page" : "31-45", "title" : "Linking eelgrass decline and impacts on associated fish communities to European green crab &lt;i&gt;Carcinus maenas&lt;/i&gt; invasion", "type" : "article-journal", "volume" : "548" }, "uris" : [ "http://www.mendeley.com/documents/?uuid=35d901f1-d6b2-4122-933f-db9ddcec52b2" ] } ], "mendeley" : { "formattedCitation" : "(Matheson et al., 2016)", "plainTextFormattedCitation" : "(Matheson et al., 2016)", "previouslyFormattedCitation" : "(Matheson et al., 2016)" }, "properties" : { "noteIndex" : 0 }, "schema" : "https://github.com/citation-style-language/schema/raw/master/csl-citation.json" }</w:instrText>
      </w:r>
      <w:r w:rsidRPr="008608AA">
        <w:fldChar w:fldCharType="separate"/>
      </w:r>
      <w:r w:rsidRPr="008608AA">
        <w:rPr>
          <w:noProof/>
        </w:rPr>
        <w:t>(Matheson et al., 2016)</w:t>
      </w:r>
      <w:r w:rsidRPr="008608AA">
        <w:fldChar w:fldCharType="end"/>
      </w:r>
      <w:r w:rsidRPr="008608AA">
        <w:t xml:space="preserve">, and the Caribbean </w:t>
      </w:r>
      <w:r w:rsidRPr="008608AA">
        <w:fldChar w:fldCharType="begin" w:fldLock="1"/>
      </w:r>
      <w:r w:rsidRPr="008608AA">
        <w:instrText>ADDIN CSL_CITATION { "citationItems" : [ { "id" : "ITEM-1", "itemData" : { "DOI" : "10.1371/journal.pone.0090600", "ISBN" : "1932-6203", "ISSN" : "19326203", "PMID" : "24594732", "abstract" : "The CARICOMP monitoring network gathered standardized data from 52 seagrass sampling stations at 22 sites (mostly Thalassia testudinum-dominated beds in reef systems) across the Wider Caribbean twice a year over the period 1993 to 2007 (and in some cases up to 2012). Wide variations in community total biomass (285 to &gt;2000 g dry m(-2)) and annual foliar productivity of the dominant seagrass T. testudinum (&lt;200 and &gt;2000 g dry m(-2)) were found among sites. Solar-cycle related intra-annual variations in T. testudinum leaf productivity were detected at latitudes &gt; 16\u00b0N. Hurricanes had little to no long-term effects on these well-developed seagrass communities, except for 1 station, where the vegetation was lost by burial below \u223c1 m sand. At two sites (5 stations), the seagrass beds collapsed due to excessive grazing by turtles or sea-urchins (the latter in combination with human impact and storms). The low-cost methods of this regional-scale monitoring program were sufficient to detect long-term shifts in the communities, and fifteen (43%) out of 35 long-term monitoring stations (at 17 sites) showed trends in seagrass communities consistent with expected changes under environmental deterioration.", "author" : [ { "dropping-particle" : "", "family" : "Tussenbroek", "given" : "Brigitta I.", "non-dropping-particle" : "Van", "parse-names" : false, "suffix" : "" }, { "dropping-particle" : "", "family" : "Cort\u00e9s", "given" : "Jorge", "non-dropping-particle" : "", "parse-names" : false, "suffix" : "" }, { "dropping-particle" : "", "family" : "Collin", "given" : "Rachel", "non-dropping-particle" : "", "parse-names" : false, "suffix" : "" }, { "dropping-particle" : "", "family" : "Fonseca", "given" : "Ana C.", "non-dropping-particle" : "", "parse-names" : false, "suffix" : "" }, { "dropping-particle" : "", "family" : "Gayle", "given" : "Peter M.H.", "non-dropping-particle" : "", "parse-names" : false, "suffix" : "" }, { "dropping-particle" : "", "family" : "Guzm\u00e1n", "given" : "Hector M.", "non-dropping-particle" : "", "parse-names" : false, "suffix" : "" }, { "dropping-particle" : "", "family" : "J\u00e1come", "given" : "Gabriel E.", "non-dropping-particle" : "", "parse-names" : false, "suffix" : "" }, { "dropping-particle" : "", "family" : "Juman", "given" : "Rahanna", "non-dropping-particle" : "", "parse-names" : false, "suffix" : "" }, { "dropping-particle" : "", "family" : "Koltes", "given" : "Karen H.", "non-dropping-particle" : "", "parse-names" : false, "suffix" : "" }, { "dropping-particle" : "", "family" : "Oxenford", "given" : "Hazel A.", "non-dropping-particle" : "", "parse-names" : false, "suffix" : "" }, { "dropping-particle" : "", "family" : "Rodr\u00edguez-Ramirez", "given" : "Alberto", "non-dropping-particle" : "", "parse-names" : false, "suffix" : "" }, { "dropping-particle" : "", "family" : "Samper-Villarreal", "given" : "Jimena", "non-dropping-particle" : "", "parse-names" : false, "suffix" : "" }, { "dropping-particle" : "", "family" : "Smith", "given" : "Struan R.", "non-dropping-particle" : "", "parse-names" : false, "suffix" : "" }, { "dropping-particle" : "", "family" : "Tschirky", "given" : "John J.", "non-dropping-particle" : "", "parse-names" : false, "suffix" : "" }, { "dropping-particle" : "", "family" : "Weil", "given" : "Ernesto", "non-dropping-particle" : "", "parse-names" : false, "suffix" : "" } ], "container-title" : "PLoS ONE", "id" : "ITEM-1", "issue" : "3", "issued" : { "date-parts" : [ [ "2014" ] ] }, "page" : "e90600", "title" : "Caribbean-wide, long-term study of seagrass beds reveals local variations, shifts in community structure and occasional collapse", "type" : "article-journal", "volume" : "9" }, "uris" : [ "http://www.mendeley.com/documents/?uuid=2dfd685f-4ca3-3061-815c-bd4283f807f3" ] } ], "mendeley" : { "formattedCitation" : "(Van Tussenbroek et al., 2014)", "plainTextFormattedCitation" : "(Van Tussenbroek et al., 2014)", "previouslyFormattedCitation" : "(Van Tussenbroek et al., 2014)" }, "properties" : { "noteIndex" : 0 }, "schema" : "https://github.com/citation-style-language/schema/raw/master/csl-citation.json" }</w:instrText>
      </w:r>
      <w:r w:rsidRPr="008608AA">
        <w:fldChar w:fldCharType="separate"/>
      </w:r>
      <w:r w:rsidRPr="008608AA">
        <w:rPr>
          <w:noProof/>
        </w:rPr>
        <w:t>(Van Tussenbroek et al., 2014)</w:t>
      </w:r>
      <w:r w:rsidRPr="008608AA">
        <w:fldChar w:fldCharType="end"/>
      </w:r>
      <w:r w:rsidRPr="008608AA">
        <w:t xml:space="preserve">. The Caribbean Coastal Marine Productivity </w:t>
      </w:r>
      <w:r w:rsidR="00895207" w:rsidRPr="008608AA">
        <w:t xml:space="preserve">program </w:t>
      </w:r>
      <w:r w:rsidRPr="008608AA">
        <w:t xml:space="preserve">found that most study sites showed a decline in seagrass health between 1993 and 2007 </w:t>
      </w:r>
      <w:r w:rsidRPr="008608AA">
        <w:fldChar w:fldCharType="begin" w:fldLock="1"/>
      </w:r>
      <w:r w:rsidRPr="008608AA">
        <w:instrText>ADDIN CSL_CITATION { "citationItems" : [ { "id" : "ITEM-1", "itemData" : { "DOI" : "10.1371/journal.pone.0090600", "ISBN" : "1932-6203", "ISSN" : "19326203", "PMID" : "24594732", "abstract" : "The CARICOMP monitoring network gathered standardized data from 52 seagrass sampling stations at 22 sites (mostly Thalassia testudinum-dominated beds in reef systems) across the Wider Caribbean twice a year over the period 1993 to 2007 (and in some cases up to 2012). Wide variations in community total biomass (285 to &gt;2000 g dry m(-2)) and annual foliar productivity of the dominant seagrass T. testudinum (&lt;200 and &gt;2000 g dry m(-2)) were found among sites. Solar-cycle related intra-annual variations in T. testudinum leaf productivity were detected at latitudes &gt; 16\u00b0N. Hurricanes had little to no long-term effects on these well-developed seagrass communities, except for 1 station, where the vegetation was lost by burial below \u223c1 m sand. At two sites (5 stations), the seagrass beds collapsed due to excessive grazing by turtles or sea-urchins (the latter in combination with human impact and storms). The low-cost methods of this regional-scale monitoring program were sufficient to detect long-term shifts in the communities, and fifteen (43%) out of 35 long-term monitoring stations (at 17 sites) showed trends in seagrass communities consistent with expected changes under environmental deterioration.", "author" : [ { "dropping-particle" : "", "family" : "Tussenbroek", "given" : "Brigitta I.", "non-dropping-particle" : "Van", "parse-names" : false, "suffix" : "" }, { "dropping-particle" : "", "family" : "Cort\u00e9s", "given" : "Jorge", "non-dropping-particle" : "", "parse-names" : false, "suffix" : "" }, { "dropping-particle" : "", "family" : "Collin", "given" : "Rachel", "non-dropping-particle" : "", "parse-names" : false, "suffix" : "" }, { "dropping-particle" : "", "family" : "Fonseca", "given" : "Ana C.", "non-dropping-particle" : "", "parse-names" : false, "suffix" : "" }, { "dropping-particle" : "", "family" : "Gayle", "given" : "Peter M.H.", "non-dropping-particle" : "", "parse-names" : false, "suffix" : "" }, { "dropping-particle" : "", "family" : "Guzm\u00e1n", "given" : "Hector M.", "non-dropping-particle" : "", "parse-names" : false, "suffix" : "" }, { "dropping-particle" : "", "family" : "J\u00e1come", "given" : "Gabriel E.", "non-dropping-particle" : "", "parse-names" : false, "suffix" : "" }, { "dropping-particle" : "", "family" : "Juman", "given" : "Rahanna", "non-dropping-particle" : "", "parse-names" : false, "suffix" : "" }, { "dropping-particle" : "", "family" : "Koltes", "given" : "Karen H.", "non-dropping-particle" : "", "parse-names" : false, "suffix" : "" }, { "dropping-particle" : "", "family" : "Oxenford", "given" : "Hazel A.", "non-dropping-particle" : "", "parse-names" : false, "suffix" : "" }, { "dropping-particle" : "", "family" : "Rodr\u00edguez-Ramirez", "given" : "Alberto", "non-dropping-particle" : "", "parse-names" : false, "suffix" : "" }, { "dropping-particle" : "", "family" : "Samper-Villarreal", "given" : "Jimena", "non-dropping-particle" : "", "parse-names" : false, "suffix" : "" }, { "dropping-particle" : "", "family" : "Smith", "given" : "Struan R.", "non-dropping-particle" : "", "parse-names" : false, "suffix" : "" }, { "dropping-particle" : "", "family" : "Tschirky", "given" : "John J.", "non-dropping-particle" : "", "parse-names" : false, "suffix" : "" }, { "dropping-particle" : "", "family" : "Weil", "given" : "Ernesto", "non-dropping-particle" : "", "parse-names" : false, "suffix" : "" } ], "container-title" : "PLoS ONE", "id" : "ITEM-1", "issue" : "3", "issued" : { "date-parts" : [ [ "2014" ] ] }, "page" : "e90600", "title" : "Caribbean-wide, long-term study of seagrass beds reveals local variations, shifts in community structure and occasional collapse", "type" : "article-journal", "volume" : "9" }, "uris" : [ "http://www.mendeley.com/documents/?uuid=2dfd685f-4ca3-3061-815c-bd4283f807f3" ] } ], "mendeley" : { "formattedCitation" : "(Van Tussenbroek et al., 2014)", "plainTextFormattedCitation" : "(Van Tussenbroek et al., 2014)", "previouslyFormattedCitation" : "(Van Tussenbroek et al., 2014)" }, "properties" : { "noteIndex" : 0 }, "schema" : "https://github.com/citation-style-language/schema/raw/master/csl-citation.json" }</w:instrText>
      </w:r>
      <w:r w:rsidRPr="008608AA">
        <w:fldChar w:fldCharType="separate"/>
      </w:r>
      <w:r w:rsidRPr="008608AA">
        <w:rPr>
          <w:noProof/>
        </w:rPr>
        <w:t>(Van Tussenbroek et al., 2014)</w:t>
      </w:r>
      <w:r w:rsidRPr="008608AA">
        <w:fldChar w:fldCharType="end"/>
      </w:r>
      <w:r w:rsidRPr="008608AA">
        <w:t>. However, in some areas that have undergone restoration and controls on nutrients, such as Chesapeake Bay in the USA</w:t>
      </w:r>
      <w:r w:rsidR="00895207" w:rsidRPr="008608AA">
        <w:t>,</w:t>
      </w:r>
      <w:r w:rsidRPr="008608AA">
        <w:t xml:space="preserve"> there has been some recovery </w:t>
      </w:r>
      <w:r w:rsidRPr="008608AA">
        <w:fldChar w:fldCharType="begin" w:fldLock="1"/>
      </w:r>
      <w:r w:rsidRPr="008608AA">
        <w:instrText>ADDIN CSL_CITATION { "citationItems" : [ { "id" : "ITEM-1", "itemData" : { "URL" : "http://www.chesapeakebay.net/", "author" : [ { "dropping-particle" : "", "family" : "Chesapeake Bay Program", "given" : "", "non-dropping-particle" : "", "parse-names" : false, "suffix" : "" } ], "id" : "ITEM-1", "issued" : { "date-parts" : [ [ "2017" ] ] }, "title" : "Submerged Aquatic Vegetation", "type" : "webpage" }, "uris" : [ "http://www.mendeley.com/documents/?uuid=a08ed76f-ab05-4771-b414-a6e5a97f4280", "http://www.mendeley.com/documents/?uuid=4b63564f-f102-49cf-b4b7-847610db3423" ] } ], "mendeley" : { "formattedCitation" : "(Chesapeake Bay Program, 2017)", "plainTextFormattedCitation" : "(Chesapeake Bay Program, 2017)", "previouslyFormattedCitation" : "(Chesapeake Bay Program, 2017)" }, "properties" : { "noteIndex" : 0 }, "schema" : "https://github.com/citation-style-language/schema/raw/master/csl-citation.json" }</w:instrText>
      </w:r>
      <w:r w:rsidRPr="008608AA">
        <w:fldChar w:fldCharType="separate"/>
      </w:r>
      <w:r w:rsidRPr="008608AA">
        <w:rPr>
          <w:noProof/>
        </w:rPr>
        <w:t>(Chesapeake Bay Program, 2017)</w:t>
      </w:r>
      <w:r w:rsidRPr="008608AA">
        <w:fldChar w:fldCharType="end"/>
      </w:r>
      <w:r w:rsidRPr="008608AA">
        <w:t xml:space="preserve">. In cases where nutrient limitations are implemented, recovery is a very slow process, involving the replacement of fast-growing macroalgae with slower-growing plants. Simulation models predict recovery times of several years for fast-growing seagrasses to centuries for slow-growing seagrasses following nutrient reduction </w:t>
      </w:r>
      <w:r w:rsidRPr="008608AA">
        <w:fldChar w:fldCharType="begin" w:fldLock="1"/>
      </w:r>
      <w:r w:rsidRPr="008608AA">
        <w:instrText>ADDIN CSL_CITATION { "citationItems" : [ { "id" : "ITEM-1", "itemData" : { "DOI" : "https://doi.org/10.1080/00785236.1995.10422039", "author" : [ { "dropping-particle" : "", "family" : "Duarte", "given" : "C. M.", "non-dropping-particle" : "", "parse-names" : false, "suffix" : "" } ], "container-title" : "Ophelia", "id" : "ITEM-1", "issue" : "1", "issued" : { "date-parts" : [ [ "1995" ] ] }, "page" : "87-112", "title" : "Submerged aquatic vegetation in relation to different nutrient regimes", "type" : "article-journal", "volume" : "41" }, "uris" : [ "http://www.mendeley.com/documents/?uuid=c20d59ea-4ea0-47c6-a8a7-2fc7145483a3" ] } ], "mendeley" : { "formattedCitation" : "(Duarte, 1995)", "plainTextFormattedCitation" : "(Duarte, 1995)", "previouslyFormattedCitation" : "(Duarte, 1995)" }, "properties" : { "noteIndex" : 0 }, "schema" : "https://github.com/citation-style-language/schema/raw/master/csl-citation.json" }</w:instrText>
      </w:r>
      <w:r w:rsidRPr="008608AA">
        <w:fldChar w:fldCharType="separate"/>
      </w:r>
      <w:r w:rsidRPr="008608AA">
        <w:rPr>
          <w:noProof/>
        </w:rPr>
        <w:t>(Duarte, 1995)</w:t>
      </w:r>
      <w:r w:rsidRPr="008608AA">
        <w:fldChar w:fldCharType="end"/>
      </w:r>
      <w:r w:rsidRPr="008608AA">
        <w:t xml:space="preserve">. </w:t>
      </w:r>
    </w:p>
    <w:p w14:paraId="6F29D345" w14:textId="77777777" w:rsidR="004255E7" w:rsidRPr="008608AA" w:rsidRDefault="004255E7" w:rsidP="00520F22">
      <w:pPr>
        <w:spacing w:after="120"/>
      </w:pPr>
      <w:r w:rsidRPr="008608AA">
        <w:rPr>
          <w:b/>
        </w:rPr>
        <w:t>Coral reefs</w:t>
      </w:r>
      <w:r w:rsidRPr="008608AA">
        <w:t xml:space="preserve"> </w:t>
      </w:r>
    </w:p>
    <w:p w14:paraId="329AF8CD" w14:textId="29ABE4F8" w:rsidR="004255E7" w:rsidRPr="008608AA" w:rsidRDefault="004255E7" w:rsidP="00DA1971">
      <w:pPr>
        <w:spacing w:after="120"/>
      </w:pPr>
      <w:r w:rsidRPr="008608AA">
        <w:t>Status</w:t>
      </w:r>
      <w:r w:rsidR="00A65C52" w:rsidRPr="008608AA">
        <w:t xml:space="preserve">. </w:t>
      </w:r>
      <w:r w:rsidRPr="008608AA">
        <w:t xml:space="preserve">Coral reefs are one of the most productive and diverse ecosystems in the world. In addition to the many species of corals, they include populations of sponges, Echinoderms, mollusks such as giant clams, nudibranchs, and octopuses, crustaceans such as crabs, lobsters and shrimp, and a huge diversity of fishes, all of which are either directly or indirectly dependent on the foundation species, the corals. When corals degrade or disappear the rest of the community degrades or disappears. Coral reefs perform vital ecosystem services in tropical countries: they serve as protection against storms, attenuating wave intensity, their fisheries are a source of food for millions of people, and they are a source of considerable revenue from tourism. </w:t>
      </w:r>
    </w:p>
    <w:p w14:paraId="7E479853" w14:textId="0785DAB6" w:rsidR="004255E7" w:rsidRPr="008608AA" w:rsidRDefault="003019EC" w:rsidP="00DA1971">
      <w:pPr>
        <w:spacing w:after="120"/>
      </w:pPr>
      <w:r w:rsidRPr="008608AA">
        <w:rPr>
          <w:lang w:val="fr-CA"/>
        </w:rPr>
        <w:t>Recent trends</w:t>
      </w:r>
      <w:r w:rsidR="00A65C52" w:rsidRPr="008608AA">
        <w:rPr>
          <w:lang w:val="fr-CA"/>
        </w:rPr>
        <w:t xml:space="preserve">. </w:t>
      </w:r>
      <w:r w:rsidRPr="008608AA">
        <w:rPr>
          <w:i/>
        </w:rPr>
        <w:fldChar w:fldCharType="begin" w:fldLock="1"/>
      </w:r>
      <w:r w:rsidRPr="008608AA">
        <w:rPr>
          <w:i/>
          <w:lang w:val="fr-CA"/>
        </w:rPr>
        <w:instrText>ADDIN CSL_CITATION { "citationItems" : [ { "id" : "ITEM-1", "itemData" : { "DOI" : "10.1126/science.1086050", "ISBN" : "9780470114735", "ISSN" : "0036-8075", "PMID" : "12869698", "abstract" : "We report a massive region-wide decline of corals across the entire Caribbean basin, with the average hard coral cover on reefs being reduced by 80%, from about 50% to 10% cover, in three decades. Our meta-analysis shows that patterns of change in coral cover are variable across time periods but largely consistent across subregions, suggesting that local causes have operated with some degree of synchrony on a region-wide scale. Although the rate of coral loss has slowed in the past decade compared to the 1980s, significant declines are persisting. The ability of Caribbean coral reefs to cope with future local and global environmental change may be irretrievably compromised.", "author" : [ { "dropping-particle" : "", "family" : "Gardner", "given" : "Toby A.", "non-dropping-particle" : "", "parse-names" : false, "suffix" : "" }, { "dropping-particle" : "", "family" : "C\u00f4t\u00e9", "given" : "I.M.", "non-dropping-particle" : "", "parse-names" : false, "suffix" : "" }, { "dropping-particle" : "", "family" : "Gill", "given" : "J.A.", "non-dropping-particle" : "", "parse-names" : false, "suffix" : "" }, { "dropping-particle" : "", "family" : "Grant", "given" : "A.", "non-dropping-particle" : "", "parse-names" : false, "suffix" : "" }, { "dropping-particle" : "", "family" : "Watkinson", "given" : "A.R.", "non-dropping-particle" : "", "parse-names" : false, "suffix" : "" } ], "container-title" : "Science", "id" : "ITEM-1", "issue" : "5635", "issued" : { "date-parts" : [ [ "2003" ] ] }, "page" : "958-960", "title" : "Long-term region-wide declines in Caribbean corals", "type" : "article-journal", "volume" : "301" }, "uris" : [ "http://www.mendeley.com/documents/?uuid=4a8173f0-7422-40ee-ad98-ba7ef1cc592a" ] } ], "mendeley" : { "formattedCitation" : "(Gardner et al. 2003)", "manualFormatting" : "Gardner et al. (2003)", "plainTextFormattedCitation" : "(Gardner et al. 2003)", "previouslyFormattedCitation" : "(Gardner et al. 2003)" }, "properties" : { "noteIndex" : 0 }, "schema" : "https://github.com/citation-style-language/schema/raw/master/csl-citation.json" }</w:instrText>
      </w:r>
      <w:r w:rsidRPr="008608AA">
        <w:rPr>
          <w:i/>
        </w:rPr>
        <w:fldChar w:fldCharType="separate"/>
      </w:r>
      <w:r w:rsidRPr="008608AA">
        <w:rPr>
          <w:noProof/>
          <w:lang w:val="fr-CA"/>
        </w:rPr>
        <w:t xml:space="preserve">Gardner et al. </w:t>
      </w:r>
      <w:r w:rsidRPr="008608AA">
        <w:rPr>
          <w:noProof/>
        </w:rPr>
        <w:t>(2003)</w:t>
      </w:r>
      <w:r w:rsidRPr="008608AA">
        <w:rPr>
          <w:i/>
        </w:rPr>
        <w:fldChar w:fldCharType="end"/>
      </w:r>
      <w:r w:rsidRPr="008608AA">
        <w:rPr>
          <w:rStyle w:val="CommentReference"/>
          <w:rFonts w:eastAsia="Times"/>
          <w:sz w:val="24"/>
          <w:szCs w:val="24"/>
          <w:lang w:eastAsia="ja-JP"/>
        </w:rPr>
        <w:t xml:space="preserve"> </w:t>
      </w:r>
      <w:r w:rsidRPr="008608AA">
        <w:t xml:space="preserve">found that live coral cover in the Caribbean was reduced from more than 50% in the 1970s to just 10% today (Figure 3.28). </w:t>
      </w:r>
      <w:r w:rsidR="004255E7" w:rsidRPr="008608AA">
        <w:t xml:space="preserve">This decline was followed by widespread and severe coral bleaching in 2005, which was in turn followed by high coral mortality as a result of disease at many locations. Healthy corals are rare on the intensively studied reefs of the Florida reef tract, USA Virgin Islands and Jamaica </w:t>
      </w:r>
      <w:r w:rsidR="004255E7" w:rsidRPr="008608AA">
        <w:fldChar w:fldCharType="begin" w:fldLock="1"/>
      </w:r>
      <w:r w:rsidR="004255E7" w:rsidRPr="008608AA">
        <w:instrText>ADDIN CSL_CITATION { "citationItems" : [ { "id" : "ITEM-1", "itemData" : { "DOI" : "10.1126/science.1086050", "ISBN" : "9780470114735", "ISSN" : "0036-8075", "PMID" : "12869698", "abstract" : "We report a massive region-wide decline of corals across the entire Caribbean basin, with the average hard coral cover on reefs being reduced by 80%, from about 50% to 10% cover, in three decades. Our meta-analysis shows that patterns of change in coral cover are variable across time periods but largely consistent across subregions, suggesting that local causes have operated with some degree of synchrony on a region-wide scale. Although the rate of coral loss has slowed in the past decade compared to the 1980s, significant declines are persisting. The ability of Caribbean coral reefs to cope with future local and global environmental change may be irretrievably compromised.", "author" : [ { "dropping-particle" : "", "family" : "Gardner", "given" : "Toby A.", "non-dropping-particle" : "", "parse-names" : false, "suffix" : "" }, { "dropping-particle" : "", "family" : "C\u00f4t\u00e9", "given" : "I.M.", "non-dropping-particle" : "", "parse-names" : false, "suffix" : "" }, { "dropping-particle" : "", "family" : "Gill", "given" : "J.A.", "non-dropping-particle" : "", "parse-names" : false, "suffix" : "" }, { "dropping-particle" : "", "family" : "Grant", "given" : "A.", "non-dropping-particle" : "", "parse-names" : false, "suffix" : "" }, { "dropping-particle" : "", "family" : "Watkinson", "given" : "A.R.", "non-dropping-particle" : "", "parse-names" : false, "suffix" : "" } ], "container-title" : "Science", "id" : "ITEM-1", "issue" : "5635", "issued" : { "date-parts" : [ [ "2003" ] ] }, "page" : "958-960", "title" : "Long-term region-wide declines in Caribbean corals", "type" : "article-journal", "volume" : "301" }, "uris" : [ "http://www.mendeley.com/documents/?uuid=4a8173f0-7422-40ee-ad98-ba7ef1cc592a" ] } ], "mendeley" : { "formattedCitation" : "(Gardner et al., 2003)", "plainTextFormattedCitation" : "(Gardner et al., 2003)", "previouslyFormattedCitation" : "(Gardner et al., 2003)" }, "properties" : { "noteIndex" : 0 }, "schema" : "https://github.com/citation-style-language/schema/raw/master/csl-citation.json" }</w:instrText>
      </w:r>
      <w:r w:rsidR="004255E7" w:rsidRPr="008608AA">
        <w:fldChar w:fldCharType="separate"/>
      </w:r>
      <w:r w:rsidR="004255E7" w:rsidRPr="008608AA">
        <w:rPr>
          <w:noProof/>
        </w:rPr>
        <w:t>(Gardner et al., 2003)</w:t>
      </w:r>
      <w:r w:rsidR="004255E7" w:rsidRPr="008608AA">
        <w:fldChar w:fldCharType="end"/>
      </w:r>
      <w:r w:rsidR="004255E7" w:rsidRPr="008608AA">
        <w:t>. Furthermore, two of the formerly most abundant foundation species of Caribbean reefs, the elkhorn coral (</w:t>
      </w:r>
      <w:r w:rsidR="004255E7" w:rsidRPr="008608AA">
        <w:rPr>
          <w:i/>
        </w:rPr>
        <w:t>Acropora palmata</w:t>
      </w:r>
      <w:r w:rsidR="004255E7" w:rsidRPr="008608AA">
        <w:t>) and staghorn coral (</w:t>
      </w:r>
      <w:r w:rsidR="004255E7" w:rsidRPr="008608AA">
        <w:rPr>
          <w:i/>
        </w:rPr>
        <w:t>Acropora cervicornis</w:t>
      </w:r>
      <w:r w:rsidR="004255E7" w:rsidRPr="008608AA">
        <w:t>), have been added to the US Endangered Species List. The decline of herbivorous species (</w:t>
      </w:r>
      <w:r w:rsidR="00847F60" w:rsidRPr="008608AA">
        <w:t>e.g.</w:t>
      </w:r>
      <w:r w:rsidR="004255E7" w:rsidRPr="008608AA">
        <w:t xml:space="preserve"> parrotfish) in coastal marine areas has also been of consequence especially as many are vital to reef resilience </w:t>
      </w:r>
      <w:r w:rsidR="004255E7" w:rsidRPr="008608AA">
        <w:fldChar w:fldCharType="begin" w:fldLock="1"/>
      </w:r>
      <w:r w:rsidR="004255E7" w:rsidRPr="008608AA">
        <w:instrText>ADDIN CSL_CITATION { "citationItems" : [ { "id" : "ITEM-1", "itemData" : { "DOI" : "10.1126/science.1121129", "ISBN" : "0036-8075", "ISSN" : "0036-8075", "PMID" : "16400152", "abstract" : "Since the mass mortality of the urchin Diadema antillarum in 1983, parrotfishes have become the dominant grazer on Caribbean reefs. The grazing capacity of these fishes could be impaired if marine reserves achieve their long-term goal of restoring large consumers, several of which prey on parrotfishes. Here we compare the negative impacts of enhanced predation with the positive impacts of reduced fishing mortality on parrotfishes inside reserves. Because large-bodied parrotfishes escape the risk of predation from a large piscivore (the Nassau grouper), the predation effect reduced grazing by only 4 to 8%. This impact was overwhelmed by the increase in density of large parrotfishes, resulting in a net doubling of grazing. Increased grazing caused a fourfold reduction in the cover of macroalgae, which, because they are the principal competitors of corals, highlights the potential importance of reserves for coral reef resilience.", "author" : [ { "dropping-particle" : "", "family" : "Mumby", "given" : "Peter J.", "non-dropping-particle" : "", "parse-names" : false, "suffix" : "" }, { "dropping-particle" : "", "family" : "Dahlgren", "given" : "Craig P.", "non-dropping-particle" : "", "parse-names" : false, "suffix" : "" }, { "dropping-particle" : "", "family" : "Harborne", "given" : "Alastair R.", "non-dropping-particle" : "", "parse-names" : false, "suffix" : "" }, { "dropping-particle" : "V.", "family" : "Kappel", "given" : "Carrie", "non-dropping-particle" : "", "parse-names" : false, "suffix" : "" }, { "dropping-particle" : "", "family" : "Micheli", "given" : "Fiorenza", "non-dropping-particle" : "", "parse-names" : false, "suffix" : "" }, { "dropping-particle" : "", "family" : "Brumbaugh", "given" : "Daniel R.", "non-dropping-particle" : "", "parse-names" : false, "suffix" : "" }, { "dropping-particle" : "", "family" : "Holmes", "given" : "Katherine E.", "non-dropping-particle" : "", "parse-names" : false, "suffix" : "" }, { "dropping-particle" : "", "family" : "Mendes", "given" : "Judith M.", "non-dropping-particle" : "", "parse-names" : false, "suffix" : "" }, { "dropping-particle" : "", "family" : "Broad", "given" : "Kenneth", "non-dropping-particle" : "", "parse-names" : false, "suffix" : "" }, { "dropping-particle" : "", "family" : "Sanchirico", "given" : "James N.", "non-dropping-particle" : "", "parse-names" : false, "suffix" : "" }, { "dropping-particle" : "", "family" : "Buch", "given" : "Kevin", "non-dropping-particle" : "", "parse-names" : false, "suffix" : "" }, { "dropping-particle" : "", "family" : "Box", "given" : "Steve", "non-dropping-particle" : "", "parse-names" : false, "suffix" : "" }, { "dropping-particle" : "", "family" : "Stoffle", "given" : "Richard W.", "non-dropping-particle" : "", "parse-names" : false, "suffix" : "" }, { "dropping-particle" : "", "family" : "Gill", "given" : "Andrew B.", "non-dropping-particle" : "", "parse-names" : false, "suffix" : "" } ], "container-title" : "Science", "id" : "ITEM-1", "issue" : "5757", "issued" : { "date-parts" : [ [ "2006" ] ] }, "page" : "98-101", "title" : "Fishing, trophic cascades, and the process of grazing on coral reefs", "type" : "article-journal", "volume" : "311" }, "uris" : [ "http://www.mendeley.com/documents/?uuid=b742f1e4-1610-4942-aa3f-8c8f9239deaf" ] } ], "mendeley" : { "formattedCitation" : "(Mumby et al., 2006)", "plainTextFormattedCitation" : "(Mumby et al., 2006)", "previouslyFormattedCitation" : "(Mumby et al., 2006)" }, "properties" : { "noteIndex" : 0 }, "schema" : "https://github.com/citation-style-language/schema/raw/master/csl-citation.json" }</w:instrText>
      </w:r>
      <w:r w:rsidR="004255E7" w:rsidRPr="008608AA">
        <w:fldChar w:fldCharType="separate"/>
      </w:r>
      <w:r w:rsidR="004255E7" w:rsidRPr="008608AA">
        <w:rPr>
          <w:noProof/>
        </w:rPr>
        <w:t>(Mumby et al., 2006)</w:t>
      </w:r>
      <w:r w:rsidR="004255E7" w:rsidRPr="008608AA">
        <w:fldChar w:fldCharType="end"/>
      </w:r>
      <w:r w:rsidR="004255E7" w:rsidRPr="008608AA">
        <w:t>. Many reef fish continue to be exploited (</w:t>
      </w:r>
      <w:r w:rsidR="00847F60" w:rsidRPr="008608AA">
        <w:t>e.g.</w:t>
      </w:r>
      <w:r w:rsidR="004255E7" w:rsidRPr="008608AA">
        <w:t xml:space="preserve"> endangered </w:t>
      </w:r>
      <w:r w:rsidR="004255E7" w:rsidRPr="008608AA">
        <w:rPr>
          <w:i/>
        </w:rPr>
        <w:t>Nassau grouper</w:t>
      </w:r>
      <w:r w:rsidR="004255E7" w:rsidRPr="008608AA">
        <w:t xml:space="preserve">, </w:t>
      </w:r>
      <w:r w:rsidR="004255E7" w:rsidRPr="008608AA">
        <w:rPr>
          <w:i/>
        </w:rPr>
        <w:t>Epinephelus striatus</w:t>
      </w:r>
      <w:r w:rsidR="004255E7" w:rsidRPr="008608AA">
        <w:t xml:space="preserve">) </w:t>
      </w:r>
      <w:r w:rsidR="004255E7" w:rsidRPr="008608AA">
        <w:fldChar w:fldCharType="begin" w:fldLock="1"/>
      </w:r>
      <w:r w:rsidR="004255E7" w:rsidRPr="008608AA">
        <w:instrText>ADDIN CSL_CITATION { "citationItems" : [ { "id" : "ITEM-1", "itemData" : { "author" : [ { "dropping-particle" : "", "family" : "Sadovy", "given" : "Y.", "non-dropping-particle" : "", "parse-names" : false, "suffix" : "" }, { "dropping-particle" : "", "family" : "Eklund", "given" : "AM.", "non-dropping-particle" : "", "parse-names" : false, "suffix" : "" } ], "id" : "ITEM-1", "issued" : { "date-parts" : [ [ "1999" ] ] }, "number-of-pages" : "65", "publisher" : "US Department of Commerce", "publisher-place" : "Seattle, USA", "title" : "Synopsis of Biological Information on the Nassau Grouper, Epinephelus striatus (Bloch, 1792), and the Jewfish, E. itajara (Lichtenstein, 1822). NOAA Technical Report NMFS 146. Technical Report of the Fishery Bulletin. FAO Fisheries Synopsis 157.", "type" : "report" }, "uris" : [ "http://www.mendeley.com/documents/?uuid=fb7703a4-34ef-425f-b67a-680b23af708b" ] } ], "mendeley" : { "formattedCitation" : "(Sadovy &amp; Eklund, 1999)", "plainTextFormattedCitation" : "(Sadovy &amp; Eklund, 1999)", "previouslyFormattedCitation" : "(Sadovy &amp; Eklund, 1999)" }, "properties" : { "noteIndex" : 0 }, "schema" : "https://github.com/citation-style-language/schema/raw/master/csl-citation.json" }</w:instrText>
      </w:r>
      <w:r w:rsidR="004255E7" w:rsidRPr="008608AA">
        <w:fldChar w:fldCharType="separate"/>
      </w:r>
      <w:r w:rsidR="004255E7" w:rsidRPr="008608AA">
        <w:rPr>
          <w:noProof/>
        </w:rPr>
        <w:t>(Sadovy &amp; Eklund, 1999)</w:t>
      </w:r>
      <w:r w:rsidR="004255E7" w:rsidRPr="008608AA">
        <w:fldChar w:fldCharType="end"/>
      </w:r>
      <w:r w:rsidR="004255E7" w:rsidRPr="008608AA">
        <w:t xml:space="preserve">. Jackson et al. </w:t>
      </w:r>
      <w:r w:rsidR="004255E7" w:rsidRPr="008608AA">
        <w:fldChar w:fldCharType="begin" w:fldLock="1"/>
      </w:r>
      <w:r w:rsidR="004255E7" w:rsidRPr="008608AA">
        <w:instrText>ADDIN CSL_CITATION { "citationItems" : [ { "id" : "ITEM-1", "itemData" : { "abstract" : "Our results contradict much of the rhetoric about the importance of ocean warming, disease, and hurricanes on coral reefs and emphasize the criti- cal importance of historical perspective for coral reef management and conservation. The threats of climate change and ocean acidification loom increasingly ominously for the future, but local stressors including an explosion in tourism, over- fishing, and the resulting increase in macroalgae have been the major drivers of the catastrophic decline of Caribbean corals up until today.", "editor" : [ { "dropping-particle" : "", "family" : "Jackson", "given" : "J.B.C.", "non-dropping-particle" : "", "parse-names" : false, "suffix" : "" }, { "dropping-particle" : "", "family" : "Donovan", "given" : "M.K.", "non-dropping-particle" : "", "parse-names" : false, "suffix" : "" }, { "dropping-particle" : "", "family" : "Cramer", "given" : "K.L.", "non-dropping-particle" : "", "parse-names" : false, "suffix" : "" }, { "dropping-particle" : "", "family" : "Lam", "given" : "VV.", "non-dropping-particle" : "", "parse-names" : false, "suffix" : "" } ], "id" : "ITEM-1", "issued" : { "date-parts" : [ [ "2014" ] ] }, "publisher" : "Global Coral Reef Monitoring Network, IUCN", "publisher-place" : "Gland, Switzerland", "title" : "Status and Trends of Caribbean Coral Reefs: 1970-2012", "type" : "report" }, "uris" : [ "http://www.mendeley.com/documents/?uuid=8fb0bed9-d32d-4264-9b90-6bcaceb590eb" ] } ], "mendeley" : { "formattedCitation" : "(J. B. C. Jackson, Donovan, Cramer, &amp; Lam, 2014)", "manualFormatting" : "(2014)", "plainTextFormattedCitation" : "(J. B. C. Jackson, Donovan, Cramer, &amp; Lam, 2014)", "previouslyFormattedCitation" : "(J. B. C. Jackson, Donovan, Cramer, &amp; Lam, 2014)" }, "properties" : { "noteIndex" : 0 }, "schema" : "https://github.com/citation-style-language/schema/raw/master/csl-citation.json" }</w:instrText>
      </w:r>
      <w:r w:rsidR="004255E7" w:rsidRPr="008608AA">
        <w:fldChar w:fldCharType="separate"/>
      </w:r>
      <w:r w:rsidR="004255E7" w:rsidRPr="008608AA">
        <w:rPr>
          <w:noProof/>
        </w:rPr>
        <w:t>(2014)</w:t>
      </w:r>
      <w:r w:rsidR="004255E7" w:rsidRPr="008608AA">
        <w:fldChar w:fldCharType="end"/>
      </w:r>
      <w:r w:rsidR="004255E7" w:rsidRPr="008608AA">
        <w:t xml:space="preserve"> found that the average coral cover for 88 locations in the Caribbean declined from 34.8% in 1984 to 19.1% in 1998 to 16.3% at the time of the report, but there was great disparity among sites. In contrast, macroalgal cover increased from 7% to 23.6% between 1984 and 1998 and held steady but with even greater disparity among locations since 1998. Differences among locations can be attributed to local factors such as human population density, overfishing of herbivorous fishes, and invasive species. The invasion of the predatory lionfish (see Chapter 1) has been particularly devastating to populations of herbivorous fish. The massive loss of corals in the Caribbean (see Chapter 4 for drivers) has been associated with increases in large seaweeds (macroalgae), outbreaks of coral bleaching and disease, and failure of corals to recover from natural disturbances like hurricanes </w:t>
      </w:r>
      <w:r w:rsidR="004255E7" w:rsidRPr="008608AA">
        <w:fldChar w:fldCharType="begin" w:fldLock="1"/>
      </w:r>
      <w:r w:rsidR="004255E7" w:rsidRPr="008608AA">
        <w:instrText>ADDIN CSL_CITATION { "citationItems" : [ { "id" : "ITEM-1", "itemData" : { "abstract" : "Our results contradict much of the rhetoric about the importance of ocean warming, disease, and hurricanes on coral reefs and emphasize the criti- cal importance of historical perspective for coral reef management and conservation. The threats of climate change and ocean acidification loom increasingly ominously for the future, but local stressors including an explosion in tourism, over- fishing, and the resulting increase in macroalgae have been the major drivers of the catastrophic decline of Caribbean corals up until today.", "editor" : [ { "dropping-particle" : "", "family" : "Jackson", "given" : "J.B.C.", "non-dropping-particle" : "", "parse-names" : false, "suffix" : "" }, { "dropping-particle" : "", "family" : "Donovan", "given" : "M.K.", "non-dropping-particle" : "", "parse-names" : false, "suffix" : "" }, { "dropping-particle" : "", "family" : "Cramer", "given" : "K.L.", "non-dropping-particle" : "", "parse-names" : false, "suffix" : "" }, { "dropping-particle" : "", "family" : "Lam", "given" : "VV.", "non-dropping-particle" : "", "parse-names" : false, "suffix" : "" } ], "id" : "ITEM-1", "issued" : { "date-parts" : [ [ "2014" ] ] }, "publisher" : "Global Coral Reef Monitoring Network, IUCN", "publisher-place" : "Gland, Switzerland", "title" : "Status and Trends of Caribbean Coral Reefs: 1970-2012", "type" : "report" }, "uris" : [ "http://www.mendeley.com/documents/?uuid=8fb0bed9-d32d-4264-9b90-6bcaceb590eb" ] } ], "mendeley" : { "formattedCitation" : "(J. B. C. Jackson et al., 2014)", "manualFormatting" : "(Jackson et al., 2014)", "plainTextFormattedCitation" : "(J. B. C. Jackson et al., 2014)", "previouslyFormattedCitation" : "(J. B. C. Jackson et al., 2014)" }, "properties" : { "noteIndex" : 0 }, "schema" : "https://github.com/citation-style-language/schema/raw/master/csl-citation.json" }</w:instrText>
      </w:r>
      <w:r w:rsidR="004255E7" w:rsidRPr="008608AA">
        <w:fldChar w:fldCharType="separate"/>
      </w:r>
      <w:r w:rsidR="004255E7" w:rsidRPr="008608AA">
        <w:rPr>
          <w:noProof/>
        </w:rPr>
        <w:t>(Jackson et al., 2014)</w:t>
      </w:r>
      <w:r w:rsidR="004255E7" w:rsidRPr="008608AA">
        <w:fldChar w:fldCharType="end"/>
      </w:r>
      <w:r w:rsidR="004255E7" w:rsidRPr="008608AA">
        <w:t xml:space="preserve">. There are attempts to restore some </w:t>
      </w:r>
      <w:r w:rsidR="004255E7" w:rsidRPr="008608AA">
        <w:rPr>
          <w:i/>
        </w:rPr>
        <w:t>Acropora</w:t>
      </w:r>
      <w:r w:rsidR="004255E7" w:rsidRPr="008608AA">
        <w:t xml:space="preserve"> reefs in the Caribbean with more tolerant strains. </w:t>
      </w:r>
      <w:r w:rsidR="004255E7" w:rsidRPr="008608AA">
        <w:fldChar w:fldCharType="begin" w:fldLock="1"/>
      </w:r>
      <w:r w:rsidR="004255E7" w:rsidRPr="008608AA">
        <w:instrText>ADDIN CSL_CITATION { "citationItems" : [ { "id" : "ITEM-1", "itemData" : { "DOI" : "10.1073/pnas.1601529113", "ISBN" : "0027-8424", "ISSN" : "0027-8424", "PMID" : "27044106", "abstract" : "Many countries are legally obliged to embrace ecosystem-based approaches to fisheries management. Reductions in bycatch and physical habitat damage are now commonplace, but mitigating more sophisticated impacts associated with the ecological func- tions of target fisheries species are in their infancy. Here we model the impacts of a parrotfish fishery on the future state and resilience of Caribbean coral reefs, enabling us to view the tradeoff between harvest and ecosystemhealth.We find that the implementation of a simple and enforceable size restriction of &gt;30 cm provides a win:win outcome in the short term, delivering both ecological and fisheries benefits and leading to increased yield and greater coral recovery rate for a given harvest rate. However, maintaining resilient coral reefs even until 2030 requires the addition of harvest limitations (&lt;10% of virgin fishable biomass) to cope with a changing climate and induced coral disturbances, even in reefs that are relatively healthy today. Managing parrotfish is not a panacea for protecting coral reefs but can play a role in sustaining the health of reefs and high- quality habitat for reef fisheries. sustainable", "author" : [ { "dropping-particle" : "", "family" : "Bozec", "given" : "Yves-Marie", "non-dropping-particle" : "", "parse-names" : false, "suffix" : "" }, { "dropping-particle" : "", "family" : "O'Farrell", "given" : "Shay", "non-dropping-particle" : "", "parse-names" : false, "suffix" : "" }, { "dropping-particle" : "", "family" : "Bruggemann", "given" : "J. Henrich", "non-dropping-particle" : "", "parse-names" : false, "suffix" : "" }, { "dropping-particle" : "", "family" : "Luckhurst", "given" : "Brian E.", "non-dropping-particle" : "", "parse-names" : false, "suffix" : "" }, { "dropping-particle" : "", "family" : "Mumby", "given" : "Peter J.", "non-dropping-particle" : "", "parse-names" : false, "suffix" : "" } ], "container-title" : "PNAS", "id" : "ITEM-1", "issue" : "16", "issued" : { "date-parts" : [ [ "2016" ] ] }, "page" : "4536-4541", "title" : "Tradeoffs between fisheries harvest and the resilience of coral reefs", "type" : "article-journal", "volume" : "113" }, "uris" : [ "http://www.mendeley.com/documents/?uuid=5cd388a7-6187-4e82-960a-436c5c2c5d30" ] } ], "mendeley" : { "formattedCitation" : "(Bozec, O\u2019Farrell, Bruggemann, Luckhurst, &amp; Mumby, 2016)", "manualFormatting" : "Bozec et al. (2016)", "plainTextFormattedCitation" : "(Bozec, O\u2019Farrell, Bruggemann, Luckhurst, &amp; Mumby, 2016)", "previouslyFormattedCitation" : "(Bozec, O\u2019Farrell, Bruggemann, Luckhurst, &amp; Mumby, 2016)" }, "properties" : { "noteIndex" : 0 }, "schema" : "https://github.com/citation-style-language/schema/raw/master/csl-citation.json" }</w:instrText>
      </w:r>
      <w:r w:rsidR="004255E7" w:rsidRPr="008608AA">
        <w:fldChar w:fldCharType="separate"/>
      </w:r>
      <w:r w:rsidR="004255E7" w:rsidRPr="008608AA">
        <w:rPr>
          <w:noProof/>
        </w:rPr>
        <w:t>Bozec et al. (2016)</w:t>
      </w:r>
      <w:r w:rsidR="004255E7" w:rsidRPr="008608AA">
        <w:fldChar w:fldCharType="end"/>
      </w:r>
      <w:r w:rsidR="004255E7" w:rsidRPr="008608AA">
        <w:t xml:space="preserve"> concluded that reduced fishing for parrotfish and other herbivores would make reefs more resilient to warming.</w:t>
      </w:r>
    </w:p>
    <w:p w14:paraId="1BABAFC6" w14:textId="137B4017" w:rsidR="004255E7" w:rsidRPr="008608AA" w:rsidRDefault="004255E7" w:rsidP="00DA1971">
      <w:pPr>
        <w:spacing w:after="120"/>
      </w:pPr>
      <w:r w:rsidRPr="008608AA">
        <w:t xml:space="preserve">Global warming is placing Caribbean coastal ecosystems under further stress (see Chapter 4). The predicted increased severity of hurricanes and greater rainfall seasonality here are also likely to increase stress </w:t>
      </w:r>
      <w:r w:rsidRPr="008608AA">
        <w:fldChar w:fldCharType="begin" w:fldLock="1"/>
      </w:r>
      <w:r w:rsidRPr="008608AA">
        <w:instrText>ADDIN CSL_CITATION { "citationItems" : [ { "id" : "ITEM-1", "itemData" : { "author" : [ { "dropping-particle" : "", "family" : "Fish", "given" : "M.R.", "non-dropping-particle" : "", "parse-names" : false, "suffix" : "" }, { "dropping-particle" : "", "family" : "Lombana", "given" : "A.", "non-dropping-particle" : "", "parse-names" : false, "suffix" : "" }, { "dropping-particle" : "", "family" : "Drews.", "given" : "C.", "non-dropping-particle" : "", "parse-names" : false, "suffix" : "" } ], "id" : "ITEM-1", "issued" : { "date-parts" : [ [ "2009" ] ] }, "number-of-pages" : "20", "publisher" : "WWF report", "publisher-place" : "San Jose, Costa Rica", "title" : "Regional Climate Projections: Climate Change and Marine Turtles in the Wider Caribbean", "type" : "report" }, "uris" : [ "http://www.mendeley.com/documents/?uuid=cb56387f-cec0-46dd-9e1a-61a3ac2680b0" ] } ], "mendeley" : { "formattedCitation" : "(Fish, Lombana, &amp; Drews., 2009)", "manualFormatting" : "(Fish et al., 2009)", "plainTextFormattedCitation" : "(Fish, Lombana, &amp; Drews., 2009)", "previouslyFormattedCitation" : "(Fish, Lombana, &amp; Drews., 2009)" }, "properties" : { "noteIndex" : 0 }, "schema" : "https://github.com/citation-style-language/schema/raw/master/csl-citation.json" }</w:instrText>
      </w:r>
      <w:r w:rsidRPr="008608AA">
        <w:fldChar w:fldCharType="separate"/>
      </w:r>
      <w:r w:rsidRPr="008608AA">
        <w:rPr>
          <w:noProof/>
        </w:rPr>
        <w:t>(Fish et al., 2009)</w:t>
      </w:r>
      <w:r w:rsidRPr="008608AA">
        <w:fldChar w:fldCharType="end"/>
      </w:r>
      <w:r w:rsidRPr="008608AA">
        <w:t>.</w:t>
      </w:r>
      <w:r w:rsidR="005D7734" w:rsidRPr="008608AA">
        <w:t xml:space="preserve"> In Brazilian reefs of the Southwestern Atlantic Ocean, long-term sea water thermal anomaly events, equal or higher than 1ºC, were responsible for more than 30% of bleached corals in the inshore reefs from 1998 to 2005, (Leão et al.</w:t>
      </w:r>
      <w:r w:rsidR="0055671B" w:rsidRPr="008608AA">
        <w:t>,</w:t>
      </w:r>
      <w:r w:rsidR="00DA1971" w:rsidRPr="008608AA">
        <w:t xml:space="preserve"> 2010). </w:t>
      </w:r>
    </w:p>
    <w:p w14:paraId="4E625C27" w14:textId="132090B2" w:rsidR="00DA1971" w:rsidRPr="008608AA" w:rsidRDefault="002F26E2" w:rsidP="003E65F0">
      <w:bookmarkStart w:id="1166" w:name="_Toc502927369"/>
      <w:bookmarkStart w:id="1167" w:name="_Toc502951178"/>
      <w:bookmarkStart w:id="1168" w:name="_Toc502953621"/>
      <w:bookmarkStart w:id="1169" w:name="_Toc502954914"/>
      <w:bookmarkStart w:id="1170" w:name="_Toc502957721"/>
      <w:bookmarkStart w:id="1171" w:name="_Toc502957920"/>
      <w:bookmarkStart w:id="1172" w:name="_Toc502958074"/>
      <w:bookmarkStart w:id="1173" w:name="_Toc503293122"/>
      <w:bookmarkStart w:id="1174" w:name="_Toc503293720"/>
      <w:bookmarkStart w:id="1175" w:name="_Toc503293982"/>
      <w:bookmarkStart w:id="1176" w:name="_Toc503863374"/>
      <w:bookmarkStart w:id="1177" w:name="_Toc503863602"/>
      <w:r w:rsidRPr="008608AA">
        <w:rPr>
          <w:noProof/>
          <w:lang w:val="en-GB" w:eastAsia="en-GB"/>
        </w:rPr>
        <w:drawing>
          <wp:inline distT="0" distB="0" distL="0" distR="0" wp14:anchorId="6FC7FB87" wp14:editId="50BD5886">
            <wp:extent cx="5934075" cy="7353300"/>
            <wp:effectExtent l="0" t="0" r="9525" b="0"/>
            <wp:docPr id="30333" name="Imagen 30333" descr="C:\Users\Alejandro Valderrama\Downloads\Fig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6" descr="C:\Users\Alejandro Valderrama\Downloads\Fig3.28.jpg"/>
                    <pic:cNvPicPr>
                      <a:picLocks noChangeAspect="1" noChangeArrowheads="1"/>
                    </pic:cNvPicPr>
                  </pic:nvPicPr>
                  <pic:blipFill rotWithShape="1">
                    <a:blip r:embed="rId143">
                      <a:extLst>
                        <a:ext uri="{28A0092B-C50C-407E-A947-70E740481C1C}">
                          <a14:useLocalDpi xmlns:a14="http://schemas.microsoft.com/office/drawing/2010/main" val="0"/>
                        </a:ext>
                      </a:extLst>
                    </a:blip>
                    <a:srcRect b="14031"/>
                    <a:stretch/>
                  </pic:blipFill>
                  <pic:spPr bwMode="auto">
                    <a:xfrm>
                      <a:off x="0" y="0"/>
                      <a:ext cx="5934075" cy="7353300"/>
                    </a:xfrm>
                    <a:prstGeom prst="rect">
                      <a:avLst/>
                    </a:prstGeom>
                    <a:noFill/>
                    <a:ln>
                      <a:noFill/>
                    </a:ln>
                    <a:extLst>
                      <a:ext uri="{53640926-AAD7-44D8-BBD7-CCE9431645EC}">
                        <a14:shadowObscured xmlns:a14="http://schemas.microsoft.com/office/drawing/2010/main"/>
                      </a:ext>
                    </a:extLst>
                  </pic:spPr>
                </pic:pic>
              </a:graphicData>
            </a:graphic>
          </wp:inline>
        </w:drawing>
      </w:r>
    </w:p>
    <w:p w14:paraId="7A567CC2" w14:textId="77777777" w:rsidR="00DA1971" w:rsidRPr="008608AA" w:rsidRDefault="00DA1971" w:rsidP="00DA1971">
      <w:pPr>
        <w:rPr>
          <w:lang w:eastAsia="es-CO"/>
        </w:rPr>
      </w:pPr>
    </w:p>
    <w:p w14:paraId="7D7A3E3C" w14:textId="2E763550" w:rsidR="004255E7" w:rsidRPr="008608AA" w:rsidRDefault="004255E7" w:rsidP="00DA1971">
      <w:pPr>
        <w:pStyle w:val="Heading2"/>
        <w:rPr>
          <w:lang w:val="en-US"/>
        </w:rPr>
      </w:pPr>
      <w:bookmarkStart w:id="1178" w:name="_Toc517393323"/>
      <w:bookmarkStart w:id="1179" w:name="_Toc517719064"/>
      <w:bookmarkStart w:id="1180" w:name="_Toc517797021"/>
      <w:r w:rsidRPr="008608AA">
        <w:rPr>
          <w:lang w:val="en-US"/>
        </w:rPr>
        <w:t xml:space="preserve">Perils and </w:t>
      </w:r>
      <w:r w:rsidRPr="008608AA">
        <w:t>opportunities</w:t>
      </w:r>
      <w:r w:rsidRPr="008608AA">
        <w:rPr>
          <w:lang w:val="en-US"/>
        </w:rPr>
        <w:t xml:space="preserve"> for conservation</w:t>
      </w:r>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p>
    <w:p w14:paraId="55B27191" w14:textId="2C935AA9" w:rsidR="004255E7" w:rsidRDefault="004255E7" w:rsidP="00DA1971">
      <w:pPr>
        <w:pStyle w:val="Heading3"/>
        <w:rPr>
          <w:lang w:val="en-US"/>
        </w:rPr>
      </w:pPr>
      <w:bookmarkStart w:id="1181" w:name="_Toc517393324"/>
      <w:bookmarkStart w:id="1182" w:name="_Toc517719065"/>
      <w:bookmarkStart w:id="1183" w:name="_Toc517797022"/>
      <w:bookmarkStart w:id="1184" w:name="_Toc502927370"/>
      <w:bookmarkStart w:id="1185" w:name="_Toc502951179"/>
      <w:bookmarkStart w:id="1186" w:name="_Toc502953622"/>
      <w:bookmarkStart w:id="1187" w:name="_Toc502954915"/>
      <w:bookmarkStart w:id="1188" w:name="_Toc502957722"/>
      <w:bookmarkStart w:id="1189" w:name="_Toc502957921"/>
      <w:bookmarkStart w:id="1190" w:name="_Toc502958075"/>
      <w:bookmarkStart w:id="1191" w:name="_Toc503293123"/>
      <w:bookmarkStart w:id="1192" w:name="_Toc503293721"/>
      <w:bookmarkStart w:id="1193" w:name="_Toc503293983"/>
      <w:bookmarkStart w:id="1194" w:name="_Toc503863375"/>
      <w:bookmarkStart w:id="1195" w:name="_Toc503863603"/>
      <w:r w:rsidRPr="008608AA">
        <w:rPr>
          <w:lang w:val="en-US"/>
        </w:rPr>
        <w:t xml:space="preserve">Threat status and temporal </w:t>
      </w:r>
      <w:r w:rsidRPr="008608AA">
        <w:t>trends</w:t>
      </w:r>
      <w:bookmarkEnd w:id="1181"/>
      <w:bookmarkEnd w:id="1182"/>
      <w:bookmarkEnd w:id="1183"/>
      <w:r w:rsidRPr="008608AA">
        <w:rPr>
          <w:lang w:val="en-US"/>
        </w:rPr>
        <w:t xml:space="preserve"> </w:t>
      </w:r>
      <w:bookmarkEnd w:id="1184"/>
      <w:bookmarkEnd w:id="1185"/>
      <w:bookmarkEnd w:id="1186"/>
      <w:bookmarkEnd w:id="1187"/>
      <w:bookmarkEnd w:id="1188"/>
      <w:bookmarkEnd w:id="1189"/>
      <w:bookmarkEnd w:id="1190"/>
      <w:bookmarkEnd w:id="1191"/>
      <w:bookmarkEnd w:id="1192"/>
      <w:bookmarkEnd w:id="1193"/>
      <w:bookmarkEnd w:id="1194"/>
      <w:bookmarkEnd w:id="1195"/>
    </w:p>
    <w:p w14:paraId="2C09C203" w14:textId="77777777" w:rsidR="00843724" w:rsidRPr="00843724" w:rsidRDefault="00843724" w:rsidP="00843724">
      <w:pPr>
        <w:rPr>
          <w:lang w:eastAsia="es-CO"/>
        </w:rPr>
      </w:pPr>
    </w:p>
    <w:p w14:paraId="39BBA590" w14:textId="77777777" w:rsidR="004255E7" w:rsidRPr="008608AA" w:rsidRDefault="004255E7" w:rsidP="00DA1971">
      <w:pPr>
        <w:spacing w:after="120"/>
      </w:pPr>
      <w:r w:rsidRPr="008608AA">
        <w:t xml:space="preserve">Knowledge of threat status, temporal trends, and the main causes underlying extinction probability constitute useful information for policymakers for prioritizing recuperation plans and protection measures and for other stakeholders who wish to reap well-being benefits from particular species or contribute to biodiversity conservation. </w:t>
      </w:r>
    </w:p>
    <w:p w14:paraId="302894C3" w14:textId="6D6FD2D4" w:rsidR="00523ECB" w:rsidRPr="008608AA" w:rsidRDefault="004255E7" w:rsidP="00523ECB">
      <w:pPr>
        <w:widowControl w:val="0"/>
        <w:autoSpaceDE w:val="0"/>
        <w:autoSpaceDN w:val="0"/>
        <w:adjustRightInd w:val="0"/>
        <w:spacing w:after="120"/>
      </w:pPr>
      <w:r w:rsidRPr="008608AA">
        <w:t>Status</w:t>
      </w:r>
      <w:r w:rsidR="00A65C52" w:rsidRPr="008608AA">
        <w:t xml:space="preserve">. </w:t>
      </w:r>
      <w:r w:rsidRPr="008608AA">
        <w:t xml:space="preserve">Overall, 14,184 species from taxonomic groups within which &gt; 90% of species have been globally assessed by IUCN for extinction risk and synthesized </w:t>
      </w:r>
      <w:r w:rsidRPr="008608AA">
        <w:fldChar w:fldCharType="begin" w:fldLock="1"/>
      </w:r>
      <w:r w:rsidRPr="008608AA">
        <w:instrText>ADDIN CSL_CITATION { "citationItems" : [ { "id" : "ITEM-1", "itemData" : { "DOI" : "10.1038/sdata.2016.7", "abstract" : "Two processes for regional environmental assessment are currently underway: the Global Environment Outlook (GEO) and Intergovernmental Platform on Biodiversity and Ecosystem Services (IPBES). Both face constraints of data, time, capacity, and resources. To support these assessments, we disaggregate three global knowledge products according to their regions and subregions. These products are: The IUCN Red List of Threatened Species, Key Biodiversity Areas (specifically Important Bird &amp;Biodiversity Areas [IBAs], and Alliance for Zero Extinction [AZE] sites), and Protected Planet. We present fourteen Data citations: numbers of species occurring and percentages threatened; numbers of endemics and percentages threatened; downscaled Red List Indices for mammals, birds, and amphibians; numbers, mean sizes, and percentage coverages of IBAs and AZE sites; percentage coverage of land and sea by protected areas; and trends in percentages of IBAs and AZE sites wholly covered by protected areas. These data will inform the regional/subregional assessment chapters on the status of biodiversity, drivers of its decline, and institutional responses, and greatly facilitate comparability and consistency between the different regional/subregional assessments.", "author" : [ { "dropping-particle" : "", "family" : "Brooks", "given" : "T. M.", "non-dropping-particle" : "", "parse-names" : false, "suffix" : "" }, { "dropping-particle" : "", "family" : "Ak\u00e7akaya", "given" : "H. R.", "non-dropping-particle" : "", "parse-names" : false, "suffix" : "" }, { "dropping-particle" : "", "family" : "Burgess", "given" : "N.D.", "non-dropping-particle" : "", "parse-names" : false, "suffix" : "" }, { "dropping-particle" : "", "family" : "Butchart", "given" : "S.H.M.", "non-dropping-particle" : "", "parse-names" : false, "suffix" : "" }, { "dropping-particle" : "", "family" : "Hilton-Taylor", "given" : "C.", "non-dropping-particle" : "", "parse-names" : false, "suffix" : "" }, { "dropping-particle" : "", "family" : "Hoffmann", "given" : "M.", "non-dropping-particle" : "", "parse-names" : false, "suffix" : "" }, { "dropping-particle" : "", "family" : "Juffe-Bignoli", "given" : "D.", "non-dropping-particle" : "", "parse-names" : false, "suffix" : "" }, { "dropping-particle" : "", "family" : "Kingston", "given" : "N.", "non-dropping-particle" : "", "parse-names" : false, "suffix" : "" }, { "dropping-particle" : "", "family" : "MacSharry", "given" : "B.", "non-dropping-particle" : "", "parse-names" : false, "suffix" : "" }, { "dropping-particle" : "", "family" : "Parr", "given" : "M.", "non-dropping-particle" : "", "parse-names" : false, "suffix" : "" }, { "dropping-particle" : "", "family" : "Perianin", "given" : "L.", "non-dropping-particle" : "", "parse-names" : false, "suffix" : "" }, { "dropping-particle" : "", "family" : "Regan", "given" : "E. C.", "non-dropping-particle" : "", "parse-names" : false, "suffix" : "" }, { "dropping-particle" : "", "family" : "Rodrigues", "given" : "A. S. L.", "non-dropping-particle" : "", "parse-names" : false, "suffix" : "" }, { "dropping-particle" : "", "family" : "Rondinini", "given" : "C.", "non-dropping-particle" : "", "parse-names" : false, "suffix" : "" }, { "dropping-particle" : "", "family" : "Shennan-Farpon", "given" : "Y.", "non-dropping-particle" : "", "parse-names" : false, "suffix" : "" }, { "dropping-particle" : "", "family" : "Young", "given" : "B.E.", "non-dropping-particle" : "", "parse-names" : false, "suffix" : "" } ], "container-title" : "Scientific Data", "id" : "ITEM-1", "issued" : { "date-parts" : [ [ "2016" ] ] }, "title" : "Analysing biodiversity and conservation knowledge products to support regional environmental assessments", "type" : "article-journal", "volume" : "3,160007" }, "uris" : [ "http://www.mendeley.com/documents/?uuid=0c784d97-d4ba-4c9a-be8d-c973b64044cb" ] } ], "mendeley" : { "formattedCitation" : "(T. M. Brooks et al., 2016)", "manualFormatting" : "by Brooks et al. (2016)", "plainTextFormattedCitation" : "(T. M. Brooks et al., 2016)", "previouslyFormattedCitation" : "(Brooks et al., 2016)" }, "properties" : { "noteIndex" : 0 }, "schema" : "https://github.com/citation-style-language/schema/raw/master/csl-citation.json" }</w:instrText>
      </w:r>
      <w:r w:rsidRPr="008608AA">
        <w:fldChar w:fldCharType="separate"/>
      </w:r>
      <w:r w:rsidRPr="008608AA">
        <w:rPr>
          <w:noProof/>
        </w:rPr>
        <w:t>by Brooks et al. (2016)</w:t>
      </w:r>
      <w:r w:rsidRPr="008608AA">
        <w:fldChar w:fldCharType="end"/>
      </w:r>
      <w:r w:rsidRPr="008608AA">
        <w:t xml:space="preserve"> are present in the Americas. Groups assessed cover mammals, birds, chameleons, amphibians, sharks and rays, selected bony fish groups (angelfishes and butterflyfishes, tarpons and ladyfishes, parrotfishes and surgeonfishes, groupers, wrasses, tunas and billfishes, hagfishes, sturgeon, blennies, pufferfishes, seabreams, porgies, picarels), freshwater caridean shrimps, cone snails, freshwater crabs, freshwater crayfish, lobsters, reef-building corals, conifers, cacti, cycads, seagrasses, and plant species occurring in mangrove ecosystems. Conspicuously absent are the majority of flowering plants. Recognizing that available data is strongly skewed towards animals, in total, 24.5% of assessed species are documented as threatened with a high risk of extinction in the wild in the medium term future. The inclusion of data-deficient species for these groups could shift this percentage to as high as 34.7% or as low as 21.2%. The great majority of species assessed for the taxonomic groups mentioned (92.3%, 13,096 species) are endemic to the Am</w:t>
      </w:r>
      <w:r w:rsidR="00523ECB" w:rsidRPr="008608AA">
        <w:t>ericas region.</w:t>
      </w:r>
      <w:r w:rsidR="00523ECB" w:rsidRPr="008608AA">
        <w:tab/>
      </w:r>
    </w:p>
    <w:p w14:paraId="6A529449" w14:textId="27082575" w:rsidR="00523ECB" w:rsidRPr="008608AA" w:rsidRDefault="002F26E2" w:rsidP="00523ECB">
      <w:pPr>
        <w:spacing w:before="240" w:after="120"/>
        <w:jc w:val="center"/>
      </w:pPr>
      <w:r w:rsidRPr="008608AA">
        <w:rPr>
          <w:noProof/>
          <w:lang w:val="en-GB" w:eastAsia="en-GB"/>
        </w:rPr>
        <w:drawing>
          <wp:inline distT="0" distB="0" distL="0" distR="0" wp14:anchorId="74830CC0" wp14:editId="35F0A77E">
            <wp:extent cx="5934075" cy="4476750"/>
            <wp:effectExtent l="0" t="0" r="9525" b="0"/>
            <wp:docPr id="30334" name="Imagen 30334" descr="C:\Users\Alejandro Valderrama\Downloads\Fig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8" descr="C:\Users\Alejandro Valderrama\Downloads\Fig3.29.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b="47662"/>
                    <a:stretch/>
                  </pic:blipFill>
                  <pic:spPr bwMode="auto">
                    <a:xfrm>
                      <a:off x="0" y="0"/>
                      <a:ext cx="5934075" cy="4476750"/>
                    </a:xfrm>
                    <a:prstGeom prst="rect">
                      <a:avLst/>
                    </a:prstGeom>
                    <a:noFill/>
                    <a:ln>
                      <a:noFill/>
                    </a:ln>
                    <a:extLst>
                      <a:ext uri="{53640926-AAD7-44D8-BBD7-CCE9431645EC}">
                        <a14:shadowObscured xmlns:a14="http://schemas.microsoft.com/office/drawing/2010/main"/>
                      </a:ext>
                    </a:extLst>
                  </pic:spPr>
                </pic:pic>
              </a:graphicData>
            </a:graphic>
          </wp:inline>
        </w:drawing>
      </w:r>
    </w:p>
    <w:p w14:paraId="3F1E5A52" w14:textId="7D0FB385" w:rsidR="004255E7" w:rsidRPr="008608AA" w:rsidRDefault="004255E7" w:rsidP="00523ECB">
      <w:pPr>
        <w:spacing w:before="240" w:after="120"/>
      </w:pPr>
      <w:r w:rsidRPr="008608AA">
        <w:t xml:space="preserve">Notable differences in extinction risk characterize the different subregions of the Americas (Figure 3.29). Considering all species, North America shows much lower extinction risk than South America, Mesoamerica, and the Caribbean. </w:t>
      </w:r>
      <w:r w:rsidRPr="008608AA">
        <w:rPr>
          <w:bCs/>
          <w:color w:val="222222"/>
          <w:shd w:val="clear" w:color="auto" w:fill="FFFFFF"/>
        </w:rPr>
        <w:t>With the exception of South America, extinction risk </w:t>
      </w:r>
      <w:r w:rsidRPr="008608AA">
        <w:t>tends</w:t>
      </w:r>
      <w:r w:rsidRPr="008608AA">
        <w:rPr>
          <w:bCs/>
          <w:color w:val="222222"/>
          <w:shd w:val="clear" w:color="auto" w:fill="FFFFFF"/>
        </w:rPr>
        <w:t> to be higher among endemic species. Especially high extinction risks for endemics are found in the Caribbean and Mesoamerica.</w:t>
      </w:r>
    </w:p>
    <w:p w14:paraId="2FCD92A6" w14:textId="77777777" w:rsidR="00523ECB" w:rsidRPr="008608AA" w:rsidRDefault="00A65C52" w:rsidP="00523ECB">
      <w:pPr>
        <w:widowControl w:val="0"/>
        <w:autoSpaceDE w:val="0"/>
        <w:autoSpaceDN w:val="0"/>
        <w:adjustRightInd w:val="0"/>
        <w:spacing w:after="120"/>
      </w:pPr>
      <w:r w:rsidRPr="008608AA">
        <w:t xml:space="preserve">Recent trends. </w:t>
      </w:r>
      <w:r w:rsidR="004255E7" w:rsidRPr="008608AA">
        <w:t xml:space="preserve">For mammals, birds, amphibians, corals, and cycads, global assessments of extinction risk against the Red </w:t>
      </w:r>
      <w:r w:rsidR="000A575D" w:rsidRPr="008608AA">
        <w:t>List categories and c</w:t>
      </w:r>
      <w:r w:rsidR="004255E7" w:rsidRPr="008608AA">
        <w:t>riteria have been undertaken multiple times over the last th</w:t>
      </w:r>
      <w:r w:rsidR="000A575D" w:rsidRPr="008608AA">
        <w:t>ree decades to derive Red List i</w:t>
      </w:r>
      <w:r w:rsidR="004255E7" w:rsidRPr="008608AA">
        <w:t>ndices as indicators of the rate at which species groups are sliding towards extinction; these can be combined with species distribution data to produce geog</w:t>
      </w:r>
      <w:r w:rsidR="000A575D" w:rsidRPr="008608AA">
        <w:t>raphically downscaled Red List i</w:t>
      </w:r>
      <w:r w:rsidR="004255E7" w:rsidRPr="008608AA">
        <w:t xml:space="preserve">ndices </w:t>
      </w:r>
      <w:r w:rsidR="004255E7" w:rsidRPr="008608AA">
        <w:fldChar w:fldCharType="begin" w:fldLock="1"/>
      </w:r>
      <w:r w:rsidR="004255E7" w:rsidRPr="008608AA">
        <w:instrText>ADDIN CSL_CITATION { "citationItems" : [ { "id" : "ITEM-1", "itemData" : { "DOI" : "10.1371/journal.pone.0113934", "ISBN" : "1932-6203", "ISSN" : "19326203", "PMID" : "25426636", "abstract" : "The world's governments have committed to preventing the extinction of threatened species and improving their conservation status by 2020. However, biodiversity is not evenly distributed across space, and neither are the drivers of its decline, and so different regions face very different challenges. Here, we quantify the contribution of regions and countries towards recent global trends in vertebrate conservation status (as measured by the Red List Index), to guide action towards the 2020 target. We found that&gt;50% of the global deterioration in the conservation status of birds, mammals and amphibians is concentrated in &lt;1% of the surface area, 39/1098 ecoregions (4%) and eight/195 countries (4%) - Australia, China, Colombia, Ecuador, Indonesia, Malaysia, Mexico, and the United States. These countries hold a third of global diversity in these vertebrate groups, partially explaining why they concentrate most of the losses. Yet, other megadiverse countries - most notably Brazil (responsible for 10% of species but just 1% of deterioration), plus India and Madagascar - performed better in conserving their share of global vertebrate diversity. Very few countries, mostly island nations (e.g. Cook Islands, Fiji, Mauritius, Seychelles, and Tonga), have achieved net improvements. Per capita wealth does not explain these patterns, with two of the richest countries - United States and Australia - fairing conspicuously poorly. Different countries were affected by different combinations of threats. Reducing global rates of biodiversity loss will require investment in the regions and countries with the highest responsibility for the world's biodiversity, focusing on conserving those species and areas most in peril and on reducing the drivers with the highest impacts.", "author" : [ { "dropping-particle" : "", "family" : "Rodrigues", "given" : "Ana S. L.", "non-dropping-particle" : "", "parse-names" : false, "suffix" : "" }, { "dropping-particle" : "", "family" : "Brooks", "given" : "Thomas M.", "non-dropping-particle" : "", "parse-names" : false, "suffix" : "" }, { "dropping-particle" : "", "family" : "Butchart", "given" : "Stuart H. M.", "non-dropping-particle" : "", "parse-names" : false, "suffix" : "" }, { "dropping-particle" : "", "family" : "Chanson", "given" : "Janice", "non-dropping-particle" : "", "parse-names" : false, "suffix" : "" }, { "dropping-particle" : "", "family" : "Cox", "given" : "Neil", "non-dropping-particle" : "", "parse-names" : false, "suffix" : "" }, { "dropping-particle" : "", "family" : "Hoffmann", "given" : "Michael", "non-dropping-particle" : "", "parse-names" : false, "suffix" : "" }, { "dropping-particle" : "", "family" : "Stuart", "given" : "Simon N.", "non-dropping-particle" : "", "parse-names" : false, "suffix" : "" } ], "container-title" : "PLoS One", "id" : "ITEM-1", "issue" : "11", "issued" : { "date-parts" : [ [ "2014" ] ] }, "page" : "e113934", "title" : "Spatially explicit trends in the global conservation status of vertebrates", "type" : "article-journal", "volume" : "9" }, "uris" : [ "http://www.mendeley.com/documents/?uuid=766d657f-30a3-3c75-aef6-efd2d86f12b0" ] } ], "mendeley" : { "formattedCitation" : "(Rodrigues et al., 2014)", "plainTextFormattedCitation" : "(Rodrigues et al., 2014)", "previouslyFormattedCitation" : "(Rodrigues et al., 2014)" }, "properties" : { "noteIndex" : 0 }, "schema" : "https://github.com/citation-style-language/schema/raw/master/csl-citation.json" }</w:instrText>
      </w:r>
      <w:r w:rsidR="004255E7" w:rsidRPr="008608AA">
        <w:fldChar w:fldCharType="separate"/>
      </w:r>
      <w:r w:rsidR="004255E7" w:rsidRPr="008608AA">
        <w:rPr>
          <w:noProof/>
        </w:rPr>
        <w:t>(Rodrigues et al., 2014)</w:t>
      </w:r>
      <w:r w:rsidR="004255E7" w:rsidRPr="008608AA">
        <w:fldChar w:fldCharType="end"/>
      </w:r>
      <w:r w:rsidR="004255E7" w:rsidRPr="008608AA">
        <w:t xml:space="preserve">. According to this criterion, overall the extinction risk has increased over the last 23 years in the Americas, but again there are notable subregional differences (Figure 3.30). Extinction risk in the North America subregion has increased slightly, in Mesoamerica it has remained relatively steady, while in the Caribbean and South American it increased the fastest. Species in the Caribbean region are declining towards extinction the fastest of all </w:t>
      </w:r>
      <w:r w:rsidR="00EC1796" w:rsidRPr="008608AA">
        <w:t xml:space="preserve">but, of course, there are fewer overall species here </w:t>
      </w:r>
      <w:r w:rsidR="004255E7" w:rsidRPr="008608AA">
        <w:fldChar w:fldCharType="begin" w:fldLock="1"/>
      </w:r>
      <w:r w:rsidR="004255E7" w:rsidRPr="008608AA">
        <w:instrText>ADDIN CSL_CITATION { "citationItems" : [ { "id" : "ITEM-1", "itemData" : { "DOI" : "10.1038/sdata.2016.7", "abstract" : "Two processes for regional environmental assessment are currently underway: the Global Environment Outlook (GEO) and Intergovernmental Platform on Biodiversity and Ecosystem Services (IPBES). Both face constraints of data, time, capacity, and resources. To support these assessments, we disaggregate three global knowledge products according to their regions and subregions. These products are: The IUCN Red List of Threatened Species, Key Biodiversity Areas (specifically Important Bird &amp;Biodiversity Areas [IBAs], and Alliance for Zero Extinction [AZE] sites), and Protected Planet. We present fourteen Data citations: numbers of species occurring and percentages threatened; numbers of endemics and percentages threatened; downscaled Red List Indices for mammals, birds, and amphibians; numbers, mean sizes, and percentage coverages of IBAs and AZE sites; percentage coverage of land and sea by protected areas; and trends in percentages of IBAs and AZE sites wholly covered by protected areas. These data will inform the regional/subregional assessment chapters on the status of biodiversity, drivers of its decline, and institutional responses, and greatly facilitate comparability and consistency between the different regional/subregional assessments.", "author" : [ { "dropping-particle" : "", "family" : "Brooks", "given" : "T. M.", "non-dropping-particle" : "", "parse-names" : false, "suffix" : "" }, { "dropping-particle" : "", "family" : "Ak\u00e7akaya", "given" : "H. R.", "non-dropping-particle" : "", "parse-names" : false, "suffix" : "" }, { "dropping-particle" : "", "family" : "Burgess", "given" : "N.D.", "non-dropping-particle" : "", "parse-names" : false, "suffix" : "" }, { "dropping-particle" : "", "family" : "Butchart", "given" : "S.H.M.", "non-dropping-particle" : "", "parse-names" : false, "suffix" : "" }, { "dropping-particle" : "", "family" : "Hilton-Taylor", "given" : "C.", "non-dropping-particle" : "", "parse-names" : false, "suffix" : "" }, { "dropping-particle" : "", "family" : "Hoffmann", "given" : "M.", "non-dropping-particle" : "", "parse-names" : false, "suffix" : "" }, { "dropping-particle" : "", "family" : "Juffe-Bignoli", "given" : "D.", "non-dropping-particle" : "", "parse-names" : false, "suffix" : "" }, { "dropping-particle" : "", "family" : "Kingston", "given" : "N.", "non-dropping-particle" : "", "parse-names" : false, "suffix" : "" }, { "dropping-particle" : "", "family" : "MacSharry", "given" : "B.", "non-dropping-particle" : "", "parse-names" : false, "suffix" : "" }, { "dropping-particle" : "", "family" : "Parr", "given" : "M.", "non-dropping-particle" : "", "parse-names" : false, "suffix" : "" }, { "dropping-particle" : "", "family" : "Perianin", "given" : "L.", "non-dropping-particle" : "", "parse-names" : false, "suffix" : "" }, { "dropping-particle" : "", "family" : "Regan", "given" : "E. C.", "non-dropping-particle" : "", "parse-names" : false, "suffix" : "" }, { "dropping-particle" : "", "family" : "Rodrigues", "given" : "A. S. L.", "non-dropping-particle" : "", "parse-names" : false, "suffix" : "" }, { "dropping-particle" : "", "family" : "Rondinini", "given" : "C.", "non-dropping-particle" : "", "parse-names" : false, "suffix" : "" }, { "dropping-particle" : "", "family" : "Shennan-Farpon", "given" : "Y.", "non-dropping-particle" : "", "parse-names" : false, "suffix" : "" }, { "dropping-particle" : "", "family" : "Young", "given" : "B.E.", "non-dropping-particle" : "", "parse-names" : false, "suffix" : "" } ], "container-title" : "Scientific Data", "id" : "ITEM-1", "issued" : { "date-parts" : [ [ "2016" ] ] }, "title" : "Analysing biodiversity and conservation knowledge products to support regional environmental assessments", "type" : "article-journal", "volume" : "3,160007" }, "uris" : [ "http://www.mendeley.com/documents/?uuid=0c784d97-d4ba-4c9a-be8d-c973b64044cb" ] } ], "mendeley" : { "formattedCitation" : "(T. M. Brooks et al., 2016)", "plainTextFormattedCitation" : "(T. M. Brooks et al., 2016)", "previouslyFormattedCitation" : "(Brooks et al., 2016)" }, "properties" : { "noteIndex" : 0 }, "schema" : "https://github.com/citation-style-language/schema/raw/master/csl-citation.json" }</w:instrText>
      </w:r>
      <w:r w:rsidR="004255E7" w:rsidRPr="008608AA">
        <w:fldChar w:fldCharType="separate"/>
      </w:r>
      <w:r w:rsidR="0055671B" w:rsidRPr="008608AA">
        <w:rPr>
          <w:noProof/>
        </w:rPr>
        <w:t>(</w:t>
      </w:r>
      <w:r w:rsidR="004255E7" w:rsidRPr="008608AA">
        <w:rPr>
          <w:noProof/>
        </w:rPr>
        <w:t>Brooks et al., 2016)</w:t>
      </w:r>
      <w:r w:rsidR="004255E7" w:rsidRPr="008608AA">
        <w:fldChar w:fldCharType="end"/>
      </w:r>
      <w:r w:rsidR="00523ECB" w:rsidRPr="008608AA">
        <w:t>.</w:t>
      </w:r>
    </w:p>
    <w:p w14:paraId="4C4134DD" w14:textId="77777777" w:rsidR="00523ECB" w:rsidRPr="008608AA" w:rsidRDefault="00523ECB" w:rsidP="00523ECB">
      <w:pPr>
        <w:widowControl w:val="0"/>
        <w:autoSpaceDE w:val="0"/>
        <w:autoSpaceDN w:val="0"/>
        <w:adjustRightInd w:val="0"/>
        <w:spacing w:after="120"/>
      </w:pPr>
    </w:p>
    <w:p w14:paraId="7C95E02B" w14:textId="38BE6E0C" w:rsidR="00523ECB" w:rsidRPr="008608AA" w:rsidRDefault="002F26E2" w:rsidP="00523ECB">
      <w:pPr>
        <w:widowControl w:val="0"/>
        <w:autoSpaceDE w:val="0"/>
        <w:autoSpaceDN w:val="0"/>
        <w:adjustRightInd w:val="0"/>
        <w:spacing w:after="120"/>
        <w:jc w:val="center"/>
      </w:pPr>
      <w:r w:rsidRPr="008608AA">
        <w:rPr>
          <w:noProof/>
          <w:lang w:val="en-GB" w:eastAsia="en-GB"/>
        </w:rPr>
        <w:drawing>
          <wp:inline distT="0" distB="0" distL="0" distR="0" wp14:anchorId="471B60C6" wp14:editId="73C9DA41">
            <wp:extent cx="5934075" cy="4314825"/>
            <wp:effectExtent l="0" t="0" r="9525" b="9525"/>
            <wp:docPr id="30335" name="Imagen 30335" descr="C:\Users\Alejandro Valderrama\Downloads\Fig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0" descr="C:\Users\Alejandro Valderrama\Downloads\Fig3.30.jpg"/>
                    <pic:cNvPicPr>
                      <a:picLocks noChangeAspect="1" noChangeArrowheads="1"/>
                    </pic:cNvPicPr>
                  </pic:nvPicPr>
                  <pic:blipFill rotWithShape="1">
                    <a:blip r:embed="rId145">
                      <a:extLst>
                        <a:ext uri="{28A0092B-C50C-407E-A947-70E740481C1C}">
                          <a14:useLocalDpi xmlns:a14="http://schemas.microsoft.com/office/drawing/2010/main" val="0"/>
                        </a:ext>
                      </a:extLst>
                    </a:blip>
                    <a:srcRect b="49555"/>
                    <a:stretch/>
                  </pic:blipFill>
                  <pic:spPr bwMode="auto">
                    <a:xfrm>
                      <a:off x="0" y="0"/>
                      <a:ext cx="5934075" cy="4314825"/>
                    </a:xfrm>
                    <a:prstGeom prst="rect">
                      <a:avLst/>
                    </a:prstGeom>
                    <a:noFill/>
                    <a:ln>
                      <a:noFill/>
                    </a:ln>
                    <a:extLst>
                      <a:ext uri="{53640926-AAD7-44D8-BBD7-CCE9431645EC}">
                        <a14:shadowObscured xmlns:a14="http://schemas.microsoft.com/office/drawing/2010/main"/>
                      </a:ext>
                    </a:extLst>
                  </pic:spPr>
                </pic:pic>
              </a:graphicData>
            </a:graphic>
          </wp:inline>
        </w:drawing>
      </w:r>
    </w:p>
    <w:p w14:paraId="448E6717" w14:textId="5D1EA8E5" w:rsidR="00523ECB" w:rsidRPr="008608AA" w:rsidRDefault="004255E7" w:rsidP="00523ECB">
      <w:pPr>
        <w:widowControl w:val="0"/>
        <w:autoSpaceDE w:val="0"/>
        <w:autoSpaceDN w:val="0"/>
        <w:adjustRightInd w:val="0"/>
        <w:spacing w:after="120"/>
      </w:pPr>
      <w:r w:rsidRPr="008608AA">
        <w:t>The main threats in the North American subregion come under the IUCN cat</w:t>
      </w:r>
      <w:r w:rsidR="000A575D" w:rsidRPr="008608AA">
        <w:t>egory termed “Invasive &amp; other problematic s</w:t>
      </w:r>
      <w:r w:rsidRPr="008608AA">
        <w:t>pecies (whose o</w:t>
      </w:r>
      <w:r w:rsidR="000A575D" w:rsidRPr="008608AA">
        <w:t>rigins are uncertain), Genes &amp; d</w:t>
      </w:r>
      <w:r w:rsidRPr="008608AA">
        <w:t>iseases” (Figure 3.31). In the other three subregions, the m</w:t>
      </w:r>
      <w:r w:rsidR="000A575D" w:rsidRPr="008608AA">
        <w:t>ain threats are “Agriculture &amp; aquaculture” and “Biological resource u</w:t>
      </w:r>
      <w:r w:rsidRPr="008608AA">
        <w:t>se”. While it was seen earlier that there are many alien and invasive species in the Caribbean, the category of “Invasive &amp; other</w:t>
      </w:r>
      <w:r w:rsidR="000A575D" w:rsidRPr="008608AA">
        <w:t xml:space="preserve"> problematic species, Genes &amp; d</w:t>
      </w:r>
      <w:r w:rsidRPr="008608AA">
        <w:t xml:space="preserve">iseases” does not rank high as a threat, at least in the groups assessed to date. The relatively less importance still of the invasive species category in Mesoamerica and South America could relate to the fact that invasive species are less prevalent at tropical latitudes. The overall pattern for these last subregions mirrors the global threat trends </w:t>
      </w:r>
      <w:r w:rsidRPr="008608AA">
        <w:fldChar w:fldCharType="begin" w:fldLock="1"/>
      </w:r>
      <w:r w:rsidRPr="008608AA">
        <w:instrText>ADDIN CSL_CITATION { "citationItems" : [ { "id" : "ITEM-1", "itemData" : { "DOI" : "10.1038/536143a", "ISBN" : "9788578110796", "ISSN" : "0028-0836", "PMID" : "27510207", "abstract" : "Whilst agreeing with the analysis of the article, I would urge a word of caution about any putting actions to slow climate change onto the back burner. Firstly, climate change due to CO2 emissions is the ultimate \"supertanker\" impact - it takes almost forever to reverse its impact once released. Secondly, climate change is placing unprecedented ecological, and evolutionary stress on the thermal niche dimension of almost every species on the planet, with unknown and essentially unpredictable secondary impacts arising from differential ecological responses of previously inter-linked species - aka plants and pollinators. Time to knuckle down at the coal face again - but may this is not the most appropriate of metaphors! Best wishes -- David Duthie", "author" : [ { "dropping-particle" : "", "family" : "Maxwell", "given" : "Sean L", "non-dropping-particle" : "", "parse-names" : false, "suffix" : "" }, { "dropping-particle" : "", "family" : "Fuller", "given" : "Richard A", "non-dropping-particle" : "", "parse-names" : false, "suffix" : "" }, { "dropping-particle" : "", "family" : "Brooks", "given" : "Thomas M", "non-dropping-particle" : "", "parse-names" : false, "suffix" : "" }, { "dropping-particle" : "", "family" : "Watson", "given" : "James E M", "non-dropping-particle" : "", "parse-names" : false, "suffix" : "" } ], "container-title" : "Nature", "id" : "ITEM-1", "issue" : "7615", "issued" : { "date-parts" : [ [ "2016" ] ] }, "page" : "143-145", "title" : "Biodiversity: The ravages of guns, nets and bulldozers", "type" : "article-journal", "volume" : "536" }, "uris" : [ "http://www.mendeley.com/documents/?uuid=7c00021c-dfee-41a0-a45d-65c18aaecb57" ] } ], "mendeley" : { "formattedCitation" : "(Maxwell, Fuller, Brooks, &amp; Watson, 2016)", "manualFormatting" : "(Maxwell et al., 2016)", "plainTextFormattedCitation" : "(Maxwell, Fuller, Brooks, &amp; Watson, 2016)", "previouslyFormattedCitation" : "(Maxwell, Fuller, Brooks, &amp; Watson, 2016)" }, "properties" : { "noteIndex" : 0 }, "schema" : "https://github.com/citation-style-language/schema/raw/master/csl-citation.json" }</w:instrText>
      </w:r>
      <w:r w:rsidRPr="008608AA">
        <w:fldChar w:fldCharType="separate"/>
      </w:r>
      <w:r w:rsidRPr="008608AA">
        <w:rPr>
          <w:noProof/>
        </w:rPr>
        <w:t>(Maxwell et al., 2016)</w:t>
      </w:r>
      <w:r w:rsidRPr="008608AA">
        <w:fldChar w:fldCharType="end"/>
      </w:r>
      <w:r w:rsidRPr="008608AA">
        <w:t xml:space="preserve">. Again, it should be borne in mind that species assessed are strongly skewed towards animal groups. Trends could change measurably with the inclusion of the many threatened plant species in the Americas. Throughout the Americas, biological resource use may be a primary concern in the marine environment </w:t>
      </w:r>
      <w:r w:rsidRPr="008608AA">
        <w:fldChar w:fldCharType="begin" w:fldLock="1"/>
      </w:r>
      <w:r w:rsidRPr="008608AA">
        <w:instrText>ADDIN CSL_CITATION { "citationItems" : [ { "id" : "ITEM-1", "itemData" : { "DOI" : "10.1126/science.1255641", "ISBN" : "1095-9203 (Electronic)\\r0036-8075 (Linking)", "ISSN" : "0036-8075", "PMID" : "25593191", "abstract" : "Marine defaunation, or human-caused animal loss in the oceans, emerged forcefully only hundreds of years ago, whereas terrestrial defaunation has been occurring far longer. Though humans have caused few global marine extinctions, we have profoundly affected marine wildlife, altering the functioning and provisioning of services in every ocean. Current ocean trends, coupled with terrestrial defaunation lessons, suggest that marine defaunation rates will rapidly intensify as human use of the oceans industrializes. Though protected areas are a powerful tool to harness ocean productivity, especially when designed with future climate in mind, additional management strategies will be required. Overall, habitat degradation is likely to intensify as a major driver of marine wildlife loss. Proactive intervention can avert a marine defaunation disaster of the magnitude observed on land.", "author" : [ { "dropping-particle" : "", "family" : "McCauley", "given" : "Douglas J", "non-dropping-particle" : "", "parse-names" : false, "suffix" : "" }, { "dropping-particle" : "", "family" : "Pinsky", "given" : "Malin L", "non-dropping-particle" : "", "parse-names" : false, "suffix" : "" }, { "dropping-particle" : "", "family" : "Palumbi", "given" : "Stephen R", "non-dropping-particle" : "", "parse-names" : false, "suffix" : "" }, { "dropping-particle" : "", "family" : "Estes", "given" : "James A", "non-dropping-particle" : "", "parse-names" : false, "suffix" : "" }, { "dropping-particle" : "", "family" : "Joyce", "given" : "Francis H", "non-dropping-particle" : "", "parse-names" : false, "suffix" : "" }, { "dropping-particle" : "", "family" : "Warner", "given" : "Robert R", "non-dropping-particle" : "", "parse-names" : false, "suffix" : "" } ], "container-title" : "Science", "id" : "ITEM-1", "issue" : "6219", "issued" : { "date-parts" : [ [ "2015" ] ] }, "page" : "1255641 (1-7)", "publisher" : "American Association for the Advancement of Science", "title" : "Marine defaunation: Animal loss in the global ocean", "type" : "article-journal", "volume" : "347" }, "uris" : [ "http://www.mendeley.com/documents/?uuid=87008f29-dae3-4f7f-b4f6-892d9beefbd8" ] } ], "mendeley" : { "formattedCitation" : "(McCauley et al., 2015)", "plainTextFormattedCitation" : "(McCauley et al., 2015)", "previouslyFormattedCitation" : "(McCauley et al., 2015)" }, "properties" : { "noteIndex" : 0 }, "schema" : "https://github.com/citation-style-language/schema/raw/master/csl-citation.json" }</w:instrText>
      </w:r>
      <w:r w:rsidRPr="008608AA">
        <w:fldChar w:fldCharType="separate"/>
      </w:r>
      <w:r w:rsidRPr="008608AA">
        <w:rPr>
          <w:noProof/>
        </w:rPr>
        <w:t>(McCauley et al., 2015)</w:t>
      </w:r>
      <w:r w:rsidRPr="008608AA">
        <w:fldChar w:fldCharType="end"/>
      </w:r>
      <w:r w:rsidRPr="008608AA">
        <w:t>.</w:t>
      </w:r>
    </w:p>
    <w:p w14:paraId="2615BB78" w14:textId="77777777" w:rsidR="00523ECB" w:rsidRPr="008608AA" w:rsidRDefault="00523ECB" w:rsidP="00523ECB">
      <w:pPr>
        <w:widowControl w:val="0"/>
        <w:autoSpaceDE w:val="0"/>
        <w:autoSpaceDN w:val="0"/>
        <w:adjustRightInd w:val="0"/>
        <w:spacing w:after="120"/>
      </w:pPr>
    </w:p>
    <w:p w14:paraId="65F72CB6" w14:textId="643359C8" w:rsidR="00523ECB" w:rsidRPr="008608AA" w:rsidRDefault="002F26E2" w:rsidP="003E65F0">
      <w:bookmarkStart w:id="1196" w:name="_Toc502927371"/>
      <w:bookmarkStart w:id="1197" w:name="_Toc502951180"/>
      <w:bookmarkStart w:id="1198" w:name="_Toc502953623"/>
      <w:bookmarkStart w:id="1199" w:name="_Toc502954916"/>
      <w:bookmarkStart w:id="1200" w:name="_Toc502957723"/>
      <w:bookmarkStart w:id="1201" w:name="_Toc502957922"/>
      <w:bookmarkStart w:id="1202" w:name="_Toc502958076"/>
      <w:bookmarkStart w:id="1203" w:name="_Toc503293124"/>
      <w:bookmarkStart w:id="1204" w:name="_Toc503293722"/>
      <w:bookmarkStart w:id="1205" w:name="_Toc503293984"/>
      <w:bookmarkStart w:id="1206" w:name="_Toc503863376"/>
      <w:bookmarkStart w:id="1207" w:name="_Toc503863604"/>
      <w:r w:rsidRPr="008608AA">
        <w:rPr>
          <w:noProof/>
          <w:lang w:val="en-GB" w:eastAsia="en-GB"/>
        </w:rPr>
        <w:drawing>
          <wp:inline distT="0" distB="0" distL="0" distR="0" wp14:anchorId="74F38D0C" wp14:editId="5699960F">
            <wp:extent cx="5934075" cy="6715125"/>
            <wp:effectExtent l="0" t="0" r="9525" b="9525"/>
            <wp:docPr id="2080" name="Imagen 2080" descr="C:\Users\Alejandro Valderrama\Downloads\Fig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2" descr="C:\Users\Alejandro Valderrama\Downloads\Fig3.31.jpg"/>
                    <pic:cNvPicPr>
                      <a:picLocks noChangeAspect="1" noChangeArrowheads="1"/>
                    </pic:cNvPicPr>
                  </pic:nvPicPr>
                  <pic:blipFill rotWithShape="1">
                    <a:blip r:embed="rId146">
                      <a:extLst>
                        <a:ext uri="{28A0092B-C50C-407E-A947-70E740481C1C}">
                          <a14:useLocalDpi xmlns:a14="http://schemas.microsoft.com/office/drawing/2010/main" val="0"/>
                        </a:ext>
                      </a:extLst>
                    </a:blip>
                    <a:srcRect b="21492"/>
                    <a:stretch/>
                  </pic:blipFill>
                  <pic:spPr bwMode="auto">
                    <a:xfrm>
                      <a:off x="0" y="0"/>
                      <a:ext cx="5934075" cy="6715125"/>
                    </a:xfrm>
                    <a:prstGeom prst="rect">
                      <a:avLst/>
                    </a:prstGeom>
                    <a:noFill/>
                    <a:ln>
                      <a:noFill/>
                    </a:ln>
                    <a:extLst>
                      <a:ext uri="{53640926-AAD7-44D8-BBD7-CCE9431645EC}">
                        <a14:shadowObscured xmlns:a14="http://schemas.microsoft.com/office/drawing/2010/main"/>
                      </a:ext>
                    </a:extLst>
                  </pic:spPr>
                </pic:pic>
              </a:graphicData>
            </a:graphic>
          </wp:inline>
        </w:drawing>
      </w:r>
    </w:p>
    <w:p w14:paraId="0887A308" w14:textId="77777777" w:rsidR="00523ECB" w:rsidRPr="008608AA" w:rsidRDefault="00523ECB" w:rsidP="00523ECB">
      <w:pPr>
        <w:rPr>
          <w:lang w:eastAsia="es-CO"/>
        </w:rPr>
      </w:pPr>
    </w:p>
    <w:p w14:paraId="25746A76" w14:textId="379AA16A" w:rsidR="004255E7" w:rsidRDefault="004255E7" w:rsidP="00523ECB">
      <w:pPr>
        <w:pStyle w:val="Heading3"/>
        <w:rPr>
          <w:lang w:val="en-US"/>
        </w:rPr>
      </w:pPr>
      <w:bookmarkStart w:id="1208" w:name="_Toc517393325"/>
      <w:bookmarkStart w:id="1209" w:name="_Toc517719066"/>
      <w:bookmarkStart w:id="1210" w:name="_Toc517797023"/>
      <w:r w:rsidRPr="008608AA">
        <w:t>Protected</w:t>
      </w:r>
      <w:r w:rsidRPr="008608AA">
        <w:rPr>
          <w:lang w:val="en-US"/>
        </w:rPr>
        <w:t xml:space="preserve"> areas</w:t>
      </w:r>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r w:rsidRPr="008608AA">
        <w:rPr>
          <w:lang w:val="en-US"/>
        </w:rPr>
        <w:t xml:space="preserve"> </w:t>
      </w:r>
    </w:p>
    <w:p w14:paraId="422F360D" w14:textId="77777777" w:rsidR="00843724" w:rsidRPr="00843724" w:rsidRDefault="00843724" w:rsidP="00843724">
      <w:pPr>
        <w:rPr>
          <w:lang w:eastAsia="es-CO"/>
        </w:rPr>
      </w:pPr>
    </w:p>
    <w:p w14:paraId="7E24FDBD" w14:textId="3941E07C" w:rsidR="004255E7" w:rsidRPr="008608AA" w:rsidRDefault="004255E7" w:rsidP="00523ECB">
      <w:pPr>
        <w:spacing w:after="120"/>
      </w:pPr>
      <w:r w:rsidRPr="008608AA">
        <w:t xml:space="preserve">Most early protected areas in the Americas were established with the aim of protecting iconic landscapes. Heightened concern over environmental degradation and the importance of biodiversity led to changes in the motives for establishing protected areas, with an increasingly greater emphasis placed on </w:t>
      </w:r>
      <w:r w:rsidRPr="008608AA">
        <w:rPr>
          <w:i/>
        </w:rPr>
        <w:t>in situ</w:t>
      </w:r>
      <w:r w:rsidRPr="008608AA">
        <w:t xml:space="preserve"> conservation, coverage of KBA</w:t>
      </w:r>
      <w:r w:rsidR="000A575D" w:rsidRPr="008608AA">
        <w:t xml:space="preserve"> (Key Biodiversity Areas)</w:t>
      </w:r>
      <w:r w:rsidRPr="008608AA">
        <w:t>, “hotspots”, ecosystem services and indigenous rights. Simultaneously, the range of stakeholders involved in establishing protected areas expanded to include private citizens, in addition to governments. Many early protected areas established in mountainous landscapes today perform important roles in protecting key ecosystem services such as water regulation and slope stability.</w:t>
      </w:r>
    </w:p>
    <w:p w14:paraId="568619C9" w14:textId="114D4C66" w:rsidR="00523ECB" w:rsidRPr="008608AA" w:rsidRDefault="00A65C52" w:rsidP="005143C5">
      <w:pPr>
        <w:tabs>
          <w:tab w:val="left" w:pos="4253"/>
        </w:tabs>
        <w:spacing w:after="120"/>
      </w:pPr>
      <w:r w:rsidRPr="008608AA">
        <w:t>Status.</w:t>
      </w:r>
      <w:r w:rsidR="004255E7" w:rsidRPr="008608AA">
        <w:t xml:space="preserve"> Total protected area coverage for the Americas is 14%, with 18% of its terrestrial area and 9% of its marine area (within the Exclusive Economic Zone</w:t>
      </w:r>
      <w:r w:rsidR="00EC2D88" w:rsidRPr="008608AA">
        <w:t>, EEZ</w:t>
      </w:r>
      <w:r w:rsidR="004255E7" w:rsidRPr="008608AA">
        <w:t xml:space="preserve">) protected (Figure 3.32). Protected area coverage shows variation both among subregions and in relation to the relative amount of land and the marine </w:t>
      </w:r>
      <w:r w:rsidR="00EC2D88" w:rsidRPr="008608AA">
        <w:t>EEZ</w:t>
      </w:r>
      <w:r w:rsidR="004255E7" w:rsidRPr="008608AA">
        <w:t xml:space="preserve"> protected. For terrestrial habitats, South America has the highest fraction of land in protected areas, whereas for EEZ marine protection, North America has made the most advances (Figure 3.32). Chile recently announced the creation of two new large marine protected areas (around the Juan Fernández Islands and in the Cape Horn-Isla Diego Ramírez area) </w:t>
      </w:r>
      <w:r w:rsidR="004255E7" w:rsidRPr="008608AA">
        <w:fldChar w:fldCharType="begin" w:fldLock="1"/>
      </w:r>
      <w:r w:rsidR="004255E7" w:rsidRPr="008608AA">
        <w:instrText>ADDIN CSL_CITATION { "citationItems" : [ { "id" : "ITEM-1", "itemData" : { "author" : [ { "dropping-particle" : "", "family" : "Ministerio del Medio Ambiente", "given" : "", "non-dropping-particle" : "", "parse-names" : false, "suffix" : "" } ], "id" : "ITEM-1", "issued" : { "date-parts" : [ [ "2017" ] ] }, "title" : "No Title", "type" : "webpage" }, "uris" : [ "http://www.mendeley.com/documents/?uuid=3d4ca9f2-82b1-4759-a5bc-edf30a1a7fe5", "http://www.mendeley.com/documents/?uuid=541bff42-90f3-4428-a05c-578bcbf4d25e" ] } ], "mendeley" : { "formattedCitation" : "(Ministerio del Medio Ambiente, 2017)", "plainTextFormattedCitation" : "(Ministerio del Medio Ambiente, 2017)", "previouslyFormattedCitation" : "(Ministerio del Medio Ambiente, 2017)" }, "properties" : { "noteIndex" : 0 }, "schema" : "https://github.com/citation-style-language/schema/raw/master/csl-citation.json" }</w:instrText>
      </w:r>
      <w:r w:rsidR="004255E7" w:rsidRPr="008608AA">
        <w:fldChar w:fldCharType="separate"/>
      </w:r>
      <w:r w:rsidR="004255E7" w:rsidRPr="008608AA">
        <w:rPr>
          <w:noProof/>
        </w:rPr>
        <w:t>(Ministerio del Medio Ambiente, 2017)</w:t>
      </w:r>
      <w:r w:rsidR="004255E7" w:rsidRPr="008608AA">
        <w:fldChar w:fldCharType="end"/>
      </w:r>
      <w:r w:rsidR="004255E7" w:rsidRPr="008608AA">
        <w:t xml:space="preserve"> in the South American subregion. Mexico announced the creation of Parque Nacional Revillagigedo </w:t>
      </w:r>
      <w:r w:rsidR="004255E7" w:rsidRPr="008608AA">
        <w:fldChar w:fldCharType="begin" w:fldLock="1"/>
      </w:r>
      <w:r w:rsidR="004255E7" w:rsidRPr="008608AA">
        <w:instrText>ADDIN CSL_CITATION { "citationItems" : [ { "id" : "ITEM-1", "itemData" : { "URL" : "https://www.gob.mx/conanp/prensa/firma-el-presidente-enrique-pena-nieto-el-decreto-del-parque-nacional-revillagigedo-136220", "author" : [ { "dropping-particle" : "", "family" : "CONANP", "given" : "", "non-dropping-particle" : "", "parse-names" : false, "suffix" : "" } ], "id" : "ITEM-1", "issued" : { "date-parts" : [ [ "2017" ] ] }, "title" : "Firma el Presidente Enrique Pe\u00f1a Nieto el decreto del Parque Nacional Revillagigedo", "type" : "webpage" }, "uris" : [ "http://www.mendeley.com/documents/?uuid=97a5b956-a64b-474e-b06e-07cf8ba69569" ] } ], "mendeley" : { "formattedCitation" : "(CONANP, 2017)", "plainTextFormattedCitation" : "(CONANP, 2017)", "previouslyFormattedCitation" : "(CONANP, 2017)" }, "properties" : { "noteIndex" : 0 }, "schema" : "https://github.com/citation-style-language/schema/raw/master/csl-citation.json" }</w:instrText>
      </w:r>
      <w:r w:rsidR="004255E7" w:rsidRPr="008608AA">
        <w:fldChar w:fldCharType="separate"/>
      </w:r>
      <w:r w:rsidR="004255E7" w:rsidRPr="008608AA">
        <w:rPr>
          <w:noProof/>
        </w:rPr>
        <w:t>(CONANP, 2017)</w:t>
      </w:r>
      <w:r w:rsidR="004255E7" w:rsidRPr="008608AA">
        <w:fldChar w:fldCharType="end"/>
      </w:r>
      <w:r w:rsidR="004255E7" w:rsidRPr="008608AA">
        <w:t xml:space="preserve"> in the Mesoamerican subregion. The Americas, thus are responding rapidly to the challenge of marine protection. These new marine protected areas are not in</w:t>
      </w:r>
      <w:r w:rsidR="005143C5" w:rsidRPr="008608AA">
        <w:t>cluded in Figure 3.32.</w:t>
      </w:r>
    </w:p>
    <w:p w14:paraId="7198107A" w14:textId="4C0422E7" w:rsidR="00523ECB" w:rsidRPr="008608AA" w:rsidRDefault="00311941" w:rsidP="00523ECB">
      <w:pPr>
        <w:shd w:val="clear" w:color="auto" w:fill="FFFFFF"/>
        <w:spacing w:before="240"/>
        <w:jc w:val="center"/>
      </w:pPr>
      <w:r w:rsidRPr="008608AA">
        <w:rPr>
          <w:noProof/>
          <w:lang w:val="en-GB" w:eastAsia="en-GB"/>
        </w:rPr>
        <w:drawing>
          <wp:inline distT="0" distB="0" distL="0" distR="0" wp14:anchorId="3BA57984" wp14:editId="33791031">
            <wp:extent cx="5934075" cy="4648200"/>
            <wp:effectExtent l="0" t="0" r="9525" b="0"/>
            <wp:docPr id="2081" name="Imagen 2081" descr="C:\Users\Alejandro Valderrama\Downloads\Fig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4" descr="C:\Users\Alejandro Valderrama\Downloads\Fig3.32.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b="45657"/>
                    <a:stretch/>
                  </pic:blipFill>
                  <pic:spPr bwMode="auto">
                    <a:xfrm>
                      <a:off x="0" y="0"/>
                      <a:ext cx="5934075" cy="4648200"/>
                    </a:xfrm>
                    <a:prstGeom prst="rect">
                      <a:avLst/>
                    </a:prstGeom>
                    <a:noFill/>
                    <a:ln>
                      <a:noFill/>
                    </a:ln>
                    <a:extLst>
                      <a:ext uri="{53640926-AAD7-44D8-BBD7-CCE9431645EC}">
                        <a14:shadowObscured xmlns:a14="http://schemas.microsoft.com/office/drawing/2010/main"/>
                      </a:ext>
                    </a:extLst>
                  </pic:spPr>
                </pic:pic>
              </a:graphicData>
            </a:graphic>
          </wp:inline>
        </w:drawing>
      </w:r>
    </w:p>
    <w:p w14:paraId="18E04BCB" w14:textId="393823C6" w:rsidR="00462B0E" w:rsidRPr="008608AA" w:rsidRDefault="00A65C52" w:rsidP="00523ECB">
      <w:pPr>
        <w:shd w:val="clear" w:color="auto" w:fill="FFFFFF"/>
        <w:spacing w:before="240"/>
      </w:pPr>
      <w:r w:rsidRPr="008608AA">
        <w:t xml:space="preserve">Recent trends. </w:t>
      </w:r>
      <w:r w:rsidR="004255E7" w:rsidRPr="008608AA">
        <w:t>Over the past few decades, there has been an increase in the number of protected areas and the amount of land protected throughout the Americas region (see Chapter 2). In North America, the number of protected areas has almost tripled, and in the Caribbean, it has almost doubled. Protected areas came slowly to Mesoamerica, but have increased in number from 150 to more than 700 since the 1980s, and in South America, they have increased more than four-fold. In South America, over the past 10 years, an additional 683,000 km</w:t>
      </w:r>
      <w:r w:rsidR="004255E7" w:rsidRPr="008608AA">
        <w:rPr>
          <w:vertAlign w:val="superscript"/>
        </w:rPr>
        <w:t>2</w:t>
      </w:r>
      <w:r w:rsidR="004255E7" w:rsidRPr="008608AA">
        <w:t xml:space="preserve"> of new protected areas were added to the Amazon Basin by different countries, increasing the amount of the Amazon protected by 10% </w:t>
      </w:r>
      <w:r w:rsidR="004255E7" w:rsidRPr="008608AA">
        <w:fldChar w:fldCharType="begin" w:fldLock="1"/>
      </w:r>
      <w:r w:rsidR="004255E7" w:rsidRPr="008608AA">
        <w:instrText>ADDIN CSL_CITATION { "citationItems" : [ { "id" : "ITEM-1", "itemData" : { "ISBN" : "978-2-940529-37-7", "editor" : [ { "dropping-particle" : "", "family" : "Charity", "given" : "S.", "non-dropping-particle" : "", "parse-names" : false, "suffix" : "" }, { "dropping-particle" : "", "family" : "Dudley", "given" : "N.", "non-dropping-particle" : "", "parse-names" : false, "suffix" : "" }, { "dropping-particle" : "", "family" : "Oliveira", "given" : "D.", "non-dropping-particle" : "", "parse-names" : false, "suffix" : "" }, { "dropping-particle" : "", "family" : "Stolton", "given" : "S.", "non-dropping-particle" : "", "parse-names" : false, "suffix" : "" } ], "id" : "ITEM-1", "issued" : { "date-parts" : [ [ "2016" ] ] }, "publisher" : "WWF Living Amazon Initiative", "publisher-place" : "Bras\u00edlia, Brazil and Quito, Ecuador", "title" : "Living Amazon Report 2016: A Regional Approach to Conservation in the Amazon", "type" : "book" }, "uris" : [ "http://www.mendeley.com/documents/?uuid=cc024ac3-df91-4454-a6b1-2df30626b009" ] } ], "mendeley" : { "formattedCitation" : "(Charity et al., 2016)", "manualFormatting" : "(Charity et al., 2016)", "plainTextFormattedCitation" : "(Charity et al., 2016)", "previouslyFormattedCitation" : "(Charity et al., 2016)" }, "properties" : { "noteIndex" : 0 }, "schema" : "https://github.com/citation-style-language/schema/raw/master/csl-citation.json" }</w:instrText>
      </w:r>
      <w:r w:rsidR="004255E7" w:rsidRPr="008608AA">
        <w:fldChar w:fldCharType="separate"/>
      </w:r>
      <w:r w:rsidR="004255E7" w:rsidRPr="008608AA">
        <w:rPr>
          <w:noProof/>
        </w:rPr>
        <w:t>(Charity et al., 2016)</w:t>
      </w:r>
      <w:r w:rsidR="004255E7" w:rsidRPr="008608AA">
        <w:fldChar w:fldCharType="end"/>
      </w:r>
      <w:r w:rsidR="004255E7" w:rsidRPr="008608AA">
        <w:t>. According to the most recent analysis for terrestrial biomes, a large number of biomes in the Americas are better protected than the global average (Table 3.6);</w:t>
      </w:r>
      <w:r w:rsidR="004255E7" w:rsidRPr="008608AA" w:rsidDel="00263490">
        <w:t xml:space="preserve"> </w:t>
      </w:r>
      <w:r w:rsidR="004255E7" w:rsidRPr="008608AA">
        <w:t xml:space="preserve">however, despite advances, and of concern given the rapid rate of conversion in many </w:t>
      </w:r>
      <w:r w:rsidR="0032208B" w:rsidRPr="008608AA">
        <w:t>(</w:t>
      </w:r>
      <w:r w:rsidR="004255E7" w:rsidRPr="008608AA">
        <w:t>3.4</w:t>
      </w:r>
      <w:r w:rsidR="0032208B" w:rsidRPr="008608AA">
        <w:t>)</w:t>
      </w:r>
      <w:r w:rsidR="004255E7" w:rsidRPr="008608AA">
        <w:t xml:space="preserve">, some fall well below the global rate. It should be pointed out that the exact level of protection in these biomes is constantly changing because of new initiatives and depends also on how the various biomes are defined, which is far from uniform. In general, it can be seen that closed forests are better protected in relation to the global rate than non-forested areas and wet forests better than dry forests. </w:t>
      </w:r>
      <w:r w:rsidR="00462B0E" w:rsidRPr="008608AA">
        <w:br w:type="page"/>
      </w:r>
    </w:p>
    <w:p w14:paraId="74FFF04A" w14:textId="69A9C33F" w:rsidR="004255E7" w:rsidRPr="008608AA" w:rsidRDefault="00523ECB" w:rsidP="00523ECB">
      <w:pPr>
        <w:pStyle w:val="Caption"/>
        <w:rPr>
          <w:b w:val="0"/>
          <w:sz w:val="20"/>
          <w:szCs w:val="20"/>
        </w:rPr>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3</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6</w:t>
      </w:r>
      <w:r w:rsidR="000E562E">
        <w:rPr>
          <w:noProof/>
        </w:rPr>
        <w:fldChar w:fldCharType="end"/>
      </w:r>
      <w:r w:rsidR="004255E7" w:rsidRPr="008608AA">
        <w:rPr>
          <w:b w:val="0"/>
          <w:sz w:val="20"/>
          <w:szCs w:val="20"/>
        </w:rPr>
        <w:t xml:space="preserve">. </w:t>
      </w:r>
      <w:r w:rsidR="004255E7" w:rsidRPr="008608AA">
        <w:t xml:space="preserve">Percentage protection of terrestrial biomes in the Americas according to biogeographic realm. The North American realm </w:t>
      </w:r>
      <w:r w:rsidR="00D94D92" w:rsidRPr="008608AA">
        <w:t>(=</w:t>
      </w:r>
      <w:r w:rsidR="00605385" w:rsidRPr="008608AA">
        <w:t xml:space="preserve"> </w:t>
      </w:r>
      <w:r w:rsidR="00D94D92" w:rsidRPr="008608AA">
        <w:t>Nearctic</w:t>
      </w:r>
      <w:r w:rsidR="00605385" w:rsidRPr="008608AA">
        <w:t xml:space="preserve"> realm in Jenkins &amp; Joppa, 2009) </w:t>
      </w:r>
      <w:r w:rsidR="004255E7" w:rsidRPr="008608AA">
        <w:t xml:space="preserve">extends into Mexico and thus is larger than the corresponding IPBES subregion. The Neotropical realm includes South American and Caribbean subregions and part of the Mesoamerican subregion as defined by the IPBES. Biomes shown in bold enjoy a high level of protection relative to the global rate in at least one of the biogeographical realms. Based on data </w:t>
      </w:r>
      <w:r w:rsidR="004255E7" w:rsidRPr="008608AA">
        <w:fldChar w:fldCharType="begin" w:fldLock="1"/>
      </w:r>
      <w:r w:rsidR="004255E7" w:rsidRPr="008608AA">
        <w:instrText>ADDIN CSL_CITATION { "citationItems" : [ { "id" : "ITEM-1", "itemData" : { "DOI" : "10.1016/j.biocon.2009.04.016", "ISBN" : "0006-3207", "ISSN" : "00063207", "PMID" : "115", "abstract" : "Under the Convention on Biological Diversity, the world's governments set a goal of protecting 10% of all ecological regions by 2010. We evaluated progress toward that goal for the world's major terrestrial biomes, realms, and ecoregions. Total land area under any legal protection has increased from previous estimates to 12.9%, a notable achievement, although only 5.8% has strict protection for biodiversity. For biomes, protection ranges from 4% to 25%, with six of 14 biomes still below the 10% level. Geographic patterns of protection have a distinct bias, with higher rates of protection in New World realms than Old World realms. Of the world's terrestrial ecoregions, half do not meet the 2010 Target and 76% have less than 10% of their area strictly protected. Approximately 13% of ecoregions have no strict protected areas. Recent years have seen an expansion of the protected area network, with an average of 0.13% of the global land area added per year. Most of the expansion since 2003 though has been in Brazil, particularly the Amazon. Without major investments in conservation, spread across the world's ecosystems, the world will likely miss the 2010 target. ?? 2009 Elsevier Ltd. All rights reserved.", "author" : [ { "dropping-particle" : "", "family" : "Jenkins", "given" : "C. N.", "non-dropping-particle" : "", "parse-names" : false, "suffix" : "" }, { "dropping-particle" : "", "family" : "Joppa", "given" : "Lucas", "non-dropping-particle" : "", "parse-names" : false, "suffix" : "" } ], "container-title" : "Biological Conservation", "id" : "ITEM-1", "issue" : "10", "issued" : { "date-parts" : [ [ "2009" ] ] }, "page" : "2166-2174", "title" : "Expansion of the global terrestrial protected area system", "type" : "article-journal", "volume" : "142" }, "uris" : [ "http://www.mendeley.com/documents/?uuid=eb17ccea-2e8b-4251-bd1b-e637731696ea" ] } ], "mendeley" : { "formattedCitation" : "(Jenkins &amp; Joppa, 2009)", "manualFormatting" : "in Jenkins &amp; Joppa (2009)", "plainTextFormattedCitation" : "(Jenkins &amp; Joppa, 2009)", "previouslyFormattedCitation" : "(Jenkins &amp; Joppa, 2009)" }, "properties" : { "noteIndex" : 0 }, "schema" : "https://github.com/citation-style-language/schema/raw/master/csl-citation.json" }</w:instrText>
      </w:r>
      <w:r w:rsidR="004255E7" w:rsidRPr="008608AA">
        <w:fldChar w:fldCharType="separate"/>
      </w:r>
      <w:r w:rsidR="004255E7" w:rsidRPr="008608AA">
        <w:t>in Jenkins &amp; Joppa (2009)</w:t>
      </w:r>
      <w:r w:rsidR="004255E7" w:rsidRPr="008608AA">
        <w:fldChar w:fldCharType="end"/>
      </w:r>
      <w:r w:rsidR="004255E7" w:rsidRPr="008608AA">
        <w:rPr>
          <w:b w:val="0"/>
          <w:sz w:val="20"/>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6"/>
        <w:gridCol w:w="917"/>
        <w:gridCol w:w="1478"/>
        <w:gridCol w:w="1576"/>
      </w:tblGrid>
      <w:tr w:rsidR="004255E7" w:rsidRPr="00843724" w14:paraId="6C790BF5" w14:textId="77777777" w:rsidTr="00462B0E">
        <w:trPr>
          <w:trHeight w:val="483"/>
        </w:trPr>
        <w:tc>
          <w:tcPr>
            <w:tcW w:w="2809" w:type="pct"/>
            <w:shd w:val="clear" w:color="auto" w:fill="BFBFBF" w:themeFill="background1" w:themeFillShade="BF"/>
            <w:vAlign w:val="center"/>
            <w:hideMark/>
          </w:tcPr>
          <w:p w14:paraId="19B245E4" w14:textId="77777777" w:rsidR="004255E7" w:rsidRPr="00843724" w:rsidRDefault="004255E7" w:rsidP="00462B0E">
            <w:pPr>
              <w:rPr>
                <w:b/>
                <w:szCs w:val="22"/>
              </w:rPr>
            </w:pPr>
            <w:r w:rsidRPr="00843724">
              <w:rPr>
                <w:b/>
                <w:szCs w:val="22"/>
              </w:rPr>
              <w:t>Biome</w:t>
            </w:r>
          </w:p>
        </w:tc>
        <w:tc>
          <w:tcPr>
            <w:tcW w:w="516" w:type="pct"/>
            <w:shd w:val="clear" w:color="auto" w:fill="BFBFBF" w:themeFill="background1" w:themeFillShade="BF"/>
            <w:vAlign w:val="center"/>
          </w:tcPr>
          <w:p w14:paraId="672FEACE" w14:textId="77777777" w:rsidR="004255E7" w:rsidRPr="00843724" w:rsidRDefault="004255E7" w:rsidP="00A65C52">
            <w:pPr>
              <w:jc w:val="center"/>
              <w:rPr>
                <w:rFonts w:eastAsia="Arial"/>
                <w:b/>
                <w:i/>
                <w:iCs/>
                <w:szCs w:val="22"/>
              </w:rPr>
            </w:pPr>
            <w:r w:rsidRPr="00843724">
              <w:rPr>
                <w:b/>
                <w:szCs w:val="22"/>
              </w:rPr>
              <w:t>Global</w:t>
            </w:r>
          </w:p>
        </w:tc>
        <w:tc>
          <w:tcPr>
            <w:tcW w:w="811" w:type="pct"/>
            <w:shd w:val="clear" w:color="auto" w:fill="BFBFBF" w:themeFill="background1" w:themeFillShade="BF"/>
            <w:vAlign w:val="center"/>
          </w:tcPr>
          <w:p w14:paraId="344FDCC5" w14:textId="1F59B68C" w:rsidR="004255E7" w:rsidRPr="00843724" w:rsidRDefault="004255E7" w:rsidP="00A65C52">
            <w:pPr>
              <w:jc w:val="center"/>
              <w:rPr>
                <w:rFonts w:eastAsiaTheme="majorEastAsia"/>
                <w:b/>
                <w:i/>
                <w:iCs/>
                <w:szCs w:val="22"/>
              </w:rPr>
            </w:pPr>
            <w:r w:rsidRPr="00843724">
              <w:rPr>
                <w:b/>
                <w:szCs w:val="22"/>
              </w:rPr>
              <w:t>North American</w:t>
            </w:r>
          </w:p>
        </w:tc>
        <w:tc>
          <w:tcPr>
            <w:tcW w:w="863" w:type="pct"/>
            <w:shd w:val="clear" w:color="auto" w:fill="BFBFBF" w:themeFill="background1" w:themeFillShade="BF"/>
            <w:vAlign w:val="center"/>
            <w:hideMark/>
          </w:tcPr>
          <w:p w14:paraId="76D535AC" w14:textId="77777777" w:rsidR="004255E7" w:rsidRPr="00843724" w:rsidRDefault="004255E7" w:rsidP="00A65C52">
            <w:pPr>
              <w:jc w:val="center"/>
              <w:rPr>
                <w:rFonts w:eastAsia="Arial"/>
                <w:b/>
                <w:i/>
                <w:iCs/>
                <w:szCs w:val="22"/>
              </w:rPr>
            </w:pPr>
            <w:r w:rsidRPr="00843724">
              <w:rPr>
                <w:b/>
                <w:szCs w:val="22"/>
              </w:rPr>
              <w:t>Neotropical</w:t>
            </w:r>
          </w:p>
        </w:tc>
      </w:tr>
      <w:tr w:rsidR="004255E7" w:rsidRPr="00843724" w14:paraId="2504F2B4" w14:textId="77777777" w:rsidTr="00523ECB">
        <w:trPr>
          <w:trHeight w:val="307"/>
        </w:trPr>
        <w:tc>
          <w:tcPr>
            <w:tcW w:w="2809" w:type="pct"/>
            <w:shd w:val="clear" w:color="auto" w:fill="auto"/>
            <w:noWrap/>
            <w:vAlign w:val="center"/>
            <w:hideMark/>
          </w:tcPr>
          <w:p w14:paraId="7ACC953C" w14:textId="77777777" w:rsidR="004255E7" w:rsidRPr="00843724" w:rsidRDefault="004255E7" w:rsidP="00523ECB">
            <w:pPr>
              <w:rPr>
                <w:b/>
                <w:szCs w:val="22"/>
              </w:rPr>
            </w:pPr>
            <w:r w:rsidRPr="00843724">
              <w:rPr>
                <w:b/>
                <w:szCs w:val="22"/>
              </w:rPr>
              <w:t>Tropical and subtropical moist broadleaf forests</w:t>
            </w:r>
          </w:p>
        </w:tc>
        <w:tc>
          <w:tcPr>
            <w:tcW w:w="516" w:type="pct"/>
            <w:shd w:val="clear" w:color="auto" w:fill="auto"/>
            <w:vAlign w:val="center"/>
          </w:tcPr>
          <w:p w14:paraId="158619E8" w14:textId="77777777" w:rsidR="004255E7" w:rsidRPr="00843724" w:rsidRDefault="004255E7" w:rsidP="00523ECB">
            <w:pPr>
              <w:jc w:val="center"/>
              <w:rPr>
                <w:rFonts w:eastAsia="MS Gothic"/>
                <w:b/>
                <w:bCs/>
                <w:i/>
                <w:iCs/>
                <w:szCs w:val="22"/>
              </w:rPr>
            </w:pPr>
            <w:r w:rsidRPr="00843724">
              <w:rPr>
                <w:szCs w:val="22"/>
              </w:rPr>
              <w:t>21</w:t>
            </w:r>
          </w:p>
        </w:tc>
        <w:tc>
          <w:tcPr>
            <w:tcW w:w="811" w:type="pct"/>
            <w:shd w:val="clear" w:color="auto" w:fill="auto"/>
            <w:vAlign w:val="center"/>
          </w:tcPr>
          <w:p w14:paraId="549C9D8A" w14:textId="77777777" w:rsidR="004255E7" w:rsidRPr="00843724" w:rsidRDefault="004255E7" w:rsidP="00523ECB">
            <w:pPr>
              <w:jc w:val="center"/>
              <w:rPr>
                <w:rFonts w:eastAsia="Trebuchet MS"/>
                <w:i/>
                <w:szCs w:val="22"/>
              </w:rPr>
            </w:pPr>
          </w:p>
        </w:tc>
        <w:tc>
          <w:tcPr>
            <w:tcW w:w="863" w:type="pct"/>
            <w:shd w:val="clear" w:color="auto" w:fill="auto"/>
            <w:noWrap/>
            <w:vAlign w:val="center"/>
            <w:hideMark/>
          </w:tcPr>
          <w:p w14:paraId="1754A32F" w14:textId="77777777" w:rsidR="004255E7" w:rsidRPr="00843724" w:rsidRDefault="004255E7" w:rsidP="00523ECB">
            <w:pPr>
              <w:jc w:val="center"/>
              <w:rPr>
                <w:rFonts w:eastAsia="MS Gothic"/>
                <w:b/>
                <w:bCs/>
                <w:i/>
                <w:iCs/>
                <w:szCs w:val="22"/>
              </w:rPr>
            </w:pPr>
            <w:r w:rsidRPr="00843724">
              <w:rPr>
                <w:b/>
                <w:szCs w:val="22"/>
              </w:rPr>
              <w:t>32</w:t>
            </w:r>
          </w:p>
        </w:tc>
      </w:tr>
      <w:tr w:rsidR="004255E7" w:rsidRPr="00843724" w14:paraId="3AEEE62C" w14:textId="77777777" w:rsidTr="00523ECB">
        <w:trPr>
          <w:trHeight w:val="307"/>
        </w:trPr>
        <w:tc>
          <w:tcPr>
            <w:tcW w:w="2809" w:type="pct"/>
            <w:shd w:val="clear" w:color="auto" w:fill="auto"/>
            <w:noWrap/>
            <w:vAlign w:val="center"/>
            <w:hideMark/>
          </w:tcPr>
          <w:p w14:paraId="49DFB8CF" w14:textId="77777777" w:rsidR="004255E7" w:rsidRPr="00843724" w:rsidRDefault="004255E7" w:rsidP="00523ECB">
            <w:pPr>
              <w:rPr>
                <w:szCs w:val="22"/>
              </w:rPr>
            </w:pPr>
            <w:r w:rsidRPr="00843724">
              <w:rPr>
                <w:szCs w:val="22"/>
              </w:rPr>
              <w:t>Tropical and subtropical dry broadleaf forests</w:t>
            </w:r>
          </w:p>
        </w:tc>
        <w:tc>
          <w:tcPr>
            <w:tcW w:w="516" w:type="pct"/>
            <w:shd w:val="clear" w:color="auto" w:fill="auto"/>
            <w:vAlign w:val="center"/>
          </w:tcPr>
          <w:p w14:paraId="26C1B9BD" w14:textId="77777777" w:rsidR="004255E7" w:rsidRPr="00843724" w:rsidRDefault="004255E7" w:rsidP="00523ECB">
            <w:pPr>
              <w:jc w:val="center"/>
              <w:rPr>
                <w:rFonts w:eastAsia="MS Gothic"/>
                <w:b/>
                <w:bCs/>
                <w:i/>
                <w:iCs/>
                <w:szCs w:val="22"/>
              </w:rPr>
            </w:pPr>
            <w:r w:rsidRPr="00843724">
              <w:rPr>
                <w:szCs w:val="22"/>
              </w:rPr>
              <w:t>8</w:t>
            </w:r>
          </w:p>
        </w:tc>
        <w:tc>
          <w:tcPr>
            <w:tcW w:w="811" w:type="pct"/>
            <w:shd w:val="clear" w:color="auto" w:fill="auto"/>
            <w:vAlign w:val="center"/>
          </w:tcPr>
          <w:p w14:paraId="70FF47A5" w14:textId="77777777" w:rsidR="004255E7" w:rsidRPr="00843724" w:rsidRDefault="004255E7" w:rsidP="00523ECB">
            <w:pPr>
              <w:jc w:val="center"/>
              <w:rPr>
                <w:rFonts w:eastAsia="MS Gothic"/>
                <w:b/>
                <w:bCs/>
                <w:i/>
                <w:iCs/>
                <w:szCs w:val="22"/>
              </w:rPr>
            </w:pPr>
            <w:r w:rsidRPr="00843724">
              <w:rPr>
                <w:szCs w:val="22"/>
              </w:rPr>
              <w:t>0</w:t>
            </w:r>
          </w:p>
        </w:tc>
        <w:tc>
          <w:tcPr>
            <w:tcW w:w="863" w:type="pct"/>
            <w:shd w:val="clear" w:color="auto" w:fill="auto"/>
            <w:noWrap/>
            <w:vAlign w:val="center"/>
            <w:hideMark/>
          </w:tcPr>
          <w:p w14:paraId="0C6C89CB" w14:textId="77777777" w:rsidR="004255E7" w:rsidRPr="00843724" w:rsidRDefault="004255E7" w:rsidP="00523ECB">
            <w:pPr>
              <w:jc w:val="center"/>
              <w:rPr>
                <w:rFonts w:eastAsia="MS Gothic"/>
                <w:b/>
                <w:bCs/>
                <w:i/>
                <w:iCs/>
                <w:szCs w:val="22"/>
              </w:rPr>
            </w:pPr>
            <w:r w:rsidRPr="00843724">
              <w:rPr>
                <w:szCs w:val="22"/>
              </w:rPr>
              <w:t>9</w:t>
            </w:r>
          </w:p>
        </w:tc>
      </w:tr>
      <w:tr w:rsidR="004255E7" w:rsidRPr="00843724" w14:paraId="3C864F3C" w14:textId="77777777" w:rsidTr="00523ECB">
        <w:trPr>
          <w:trHeight w:val="307"/>
        </w:trPr>
        <w:tc>
          <w:tcPr>
            <w:tcW w:w="2809" w:type="pct"/>
            <w:shd w:val="clear" w:color="auto" w:fill="auto"/>
            <w:noWrap/>
            <w:vAlign w:val="center"/>
            <w:hideMark/>
          </w:tcPr>
          <w:p w14:paraId="7A00ED03" w14:textId="77777777" w:rsidR="004255E7" w:rsidRPr="00843724" w:rsidRDefault="004255E7" w:rsidP="00523ECB">
            <w:pPr>
              <w:rPr>
                <w:szCs w:val="22"/>
              </w:rPr>
            </w:pPr>
            <w:r w:rsidRPr="00843724">
              <w:rPr>
                <w:szCs w:val="22"/>
              </w:rPr>
              <w:t>Tropical and subtropical coniferous forests</w:t>
            </w:r>
          </w:p>
        </w:tc>
        <w:tc>
          <w:tcPr>
            <w:tcW w:w="516" w:type="pct"/>
            <w:shd w:val="clear" w:color="auto" w:fill="auto"/>
            <w:vAlign w:val="center"/>
          </w:tcPr>
          <w:p w14:paraId="109193CA" w14:textId="77777777" w:rsidR="004255E7" w:rsidRPr="00843724" w:rsidRDefault="004255E7" w:rsidP="00523ECB">
            <w:pPr>
              <w:jc w:val="center"/>
              <w:rPr>
                <w:rFonts w:eastAsia="MS Gothic"/>
                <w:b/>
                <w:bCs/>
                <w:i/>
                <w:iCs/>
                <w:szCs w:val="22"/>
              </w:rPr>
            </w:pPr>
            <w:r w:rsidRPr="00843724">
              <w:rPr>
                <w:szCs w:val="22"/>
              </w:rPr>
              <w:t>7</w:t>
            </w:r>
          </w:p>
        </w:tc>
        <w:tc>
          <w:tcPr>
            <w:tcW w:w="811" w:type="pct"/>
            <w:shd w:val="clear" w:color="auto" w:fill="auto"/>
            <w:vAlign w:val="center"/>
          </w:tcPr>
          <w:p w14:paraId="3BDF5E10" w14:textId="77777777" w:rsidR="004255E7" w:rsidRPr="00843724" w:rsidRDefault="004255E7" w:rsidP="00523ECB">
            <w:pPr>
              <w:jc w:val="center"/>
              <w:rPr>
                <w:rFonts w:eastAsia="MS Gothic"/>
                <w:b/>
                <w:bCs/>
                <w:i/>
                <w:iCs/>
                <w:szCs w:val="22"/>
              </w:rPr>
            </w:pPr>
            <w:r w:rsidRPr="00843724">
              <w:rPr>
                <w:szCs w:val="22"/>
              </w:rPr>
              <w:t>7</w:t>
            </w:r>
          </w:p>
        </w:tc>
        <w:tc>
          <w:tcPr>
            <w:tcW w:w="863" w:type="pct"/>
            <w:shd w:val="clear" w:color="auto" w:fill="auto"/>
            <w:noWrap/>
            <w:vAlign w:val="center"/>
            <w:hideMark/>
          </w:tcPr>
          <w:p w14:paraId="03284FB4" w14:textId="77777777" w:rsidR="004255E7" w:rsidRPr="00843724" w:rsidRDefault="004255E7" w:rsidP="00523ECB">
            <w:pPr>
              <w:jc w:val="center"/>
              <w:rPr>
                <w:rFonts w:eastAsia="MS Gothic"/>
                <w:b/>
                <w:bCs/>
                <w:i/>
                <w:iCs/>
                <w:szCs w:val="22"/>
              </w:rPr>
            </w:pPr>
            <w:r w:rsidRPr="00843724">
              <w:rPr>
                <w:szCs w:val="22"/>
              </w:rPr>
              <w:t>8</w:t>
            </w:r>
          </w:p>
        </w:tc>
      </w:tr>
      <w:tr w:rsidR="004255E7" w:rsidRPr="00843724" w14:paraId="46E3E68C" w14:textId="77777777" w:rsidTr="00523ECB">
        <w:trPr>
          <w:trHeight w:val="307"/>
        </w:trPr>
        <w:tc>
          <w:tcPr>
            <w:tcW w:w="2809" w:type="pct"/>
            <w:shd w:val="clear" w:color="auto" w:fill="auto"/>
            <w:noWrap/>
            <w:vAlign w:val="center"/>
            <w:hideMark/>
          </w:tcPr>
          <w:p w14:paraId="079A7609" w14:textId="77777777" w:rsidR="004255E7" w:rsidRPr="00843724" w:rsidRDefault="004255E7" w:rsidP="00523ECB">
            <w:pPr>
              <w:rPr>
                <w:b/>
                <w:szCs w:val="22"/>
              </w:rPr>
            </w:pPr>
            <w:r w:rsidRPr="00843724">
              <w:rPr>
                <w:b/>
                <w:szCs w:val="22"/>
              </w:rPr>
              <w:t>Temperate broadleaf and mixed forests</w:t>
            </w:r>
          </w:p>
        </w:tc>
        <w:tc>
          <w:tcPr>
            <w:tcW w:w="516" w:type="pct"/>
            <w:shd w:val="clear" w:color="auto" w:fill="auto"/>
            <w:vAlign w:val="center"/>
          </w:tcPr>
          <w:p w14:paraId="4BAEFB74" w14:textId="77777777" w:rsidR="004255E7" w:rsidRPr="00843724" w:rsidRDefault="004255E7" w:rsidP="00523ECB">
            <w:pPr>
              <w:jc w:val="center"/>
              <w:rPr>
                <w:rFonts w:eastAsia="MS Gothic"/>
                <w:b/>
                <w:bCs/>
                <w:i/>
                <w:iCs/>
                <w:szCs w:val="22"/>
              </w:rPr>
            </w:pPr>
            <w:r w:rsidRPr="00843724">
              <w:rPr>
                <w:szCs w:val="22"/>
              </w:rPr>
              <w:t>11</w:t>
            </w:r>
          </w:p>
        </w:tc>
        <w:tc>
          <w:tcPr>
            <w:tcW w:w="811" w:type="pct"/>
            <w:shd w:val="clear" w:color="auto" w:fill="auto"/>
            <w:vAlign w:val="center"/>
          </w:tcPr>
          <w:p w14:paraId="12F17639" w14:textId="77777777" w:rsidR="004255E7" w:rsidRPr="00843724" w:rsidRDefault="004255E7" w:rsidP="00523ECB">
            <w:pPr>
              <w:jc w:val="center"/>
              <w:rPr>
                <w:rFonts w:eastAsia="MS Gothic"/>
                <w:b/>
                <w:bCs/>
                <w:i/>
                <w:iCs/>
                <w:szCs w:val="22"/>
              </w:rPr>
            </w:pPr>
            <w:r w:rsidRPr="00843724">
              <w:rPr>
                <w:szCs w:val="22"/>
              </w:rPr>
              <w:t>12</w:t>
            </w:r>
          </w:p>
        </w:tc>
        <w:tc>
          <w:tcPr>
            <w:tcW w:w="863" w:type="pct"/>
            <w:shd w:val="clear" w:color="auto" w:fill="auto"/>
            <w:noWrap/>
            <w:vAlign w:val="center"/>
            <w:hideMark/>
          </w:tcPr>
          <w:p w14:paraId="54511D75" w14:textId="77777777" w:rsidR="004255E7" w:rsidRPr="00843724" w:rsidRDefault="004255E7" w:rsidP="00523ECB">
            <w:pPr>
              <w:jc w:val="center"/>
              <w:rPr>
                <w:rFonts w:eastAsia="MS Gothic"/>
                <w:b/>
                <w:bCs/>
                <w:i/>
                <w:iCs/>
                <w:szCs w:val="22"/>
              </w:rPr>
            </w:pPr>
            <w:r w:rsidRPr="00843724">
              <w:rPr>
                <w:b/>
                <w:szCs w:val="22"/>
              </w:rPr>
              <w:t>29</w:t>
            </w:r>
          </w:p>
        </w:tc>
      </w:tr>
      <w:tr w:rsidR="004255E7" w:rsidRPr="00843724" w14:paraId="1370C6F7" w14:textId="77777777" w:rsidTr="00523ECB">
        <w:trPr>
          <w:trHeight w:val="307"/>
        </w:trPr>
        <w:tc>
          <w:tcPr>
            <w:tcW w:w="2809" w:type="pct"/>
            <w:shd w:val="clear" w:color="auto" w:fill="auto"/>
            <w:noWrap/>
            <w:vAlign w:val="center"/>
            <w:hideMark/>
          </w:tcPr>
          <w:p w14:paraId="301068EB" w14:textId="77777777" w:rsidR="004255E7" w:rsidRPr="00843724" w:rsidRDefault="004255E7" w:rsidP="00523ECB">
            <w:pPr>
              <w:rPr>
                <w:b/>
                <w:szCs w:val="22"/>
              </w:rPr>
            </w:pPr>
            <w:r w:rsidRPr="00843724">
              <w:rPr>
                <w:b/>
                <w:szCs w:val="22"/>
              </w:rPr>
              <w:t>Temperate coniferous forest</w:t>
            </w:r>
          </w:p>
        </w:tc>
        <w:tc>
          <w:tcPr>
            <w:tcW w:w="516" w:type="pct"/>
            <w:shd w:val="clear" w:color="auto" w:fill="auto"/>
            <w:vAlign w:val="center"/>
          </w:tcPr>
          <w:p w14:paraId="0095D3F8" w14:textId="77777777" w:rsidR="004255E7" w:rsidRPr="00843724" w:rsidRDefault="004255E7" w:rsidP="00523ECB">
            <w:pPr>
              <w:jc w:val="center"/>
              <w:rPr>
                <w:rFonts w:eastAsia="MS Gothic"/>
                <w:b/>
                <w:bCs/>
                <w:i/>
                <w:iCs/>
                <w:szCs w:val="22"/>
              </w:rPr>
            </w:pPr>
            <w:r w:rsidRPr="00843724">
              <w:rPr>
                <w:szCs w:val="22"/>
              </w:rPr>
              <w:t>25</w:t>
            </w:r>
          </w:p>
        </w:tc>
        <w:tc>
          <w:tcPr>
            <w:tcW w:w="811" w:type="pct"/>
            <w:shd w:val="clear" w:color="auto" w:fill="auto"/>
            <w:vAlign w:val="center"/>
          </w:tcPr>
          <w:p w14:paraId="0EF18758" w14:textId="77777777" w:rsidR="004255E7" w:rsidRPr="00843724" w:rsidRDefault="004255E7" w:rsidP="00523ECB">
            <w:pPr>
              <w:jc w:val="center"/>
              <w:rPr>
                <w:rFonts w:eastAsia="MS Gothic"/>
                <w:b/>
                <w:bCs/>
                <w:i/>
                <w:iCs/>
                <w:szCs w:val="22"/>
              </w:rPr>
            </w:pPr>
            <w:r w:rsidRPr="00843724">
              <w:rPr>
                <w:b/>
                <w:szCs w:val="22"/>
              </w:rPr>
              <w:t>33</w:t>
            </w:r>
          </w:p>
        </w:tc>
        <w:tc>
          <w:tcPr>
            <w:tcW w:w="863" w:type="pct"/>
            <w:shd w:val="clear" w:color="auto" w:fill="auto"/>
            <w:noWrap/>
            <w:vAlign w:val="center"/>
            <w:hideMark/>
          </w:tcPr>
          <w:p w14:paraId="62E201ED" w14:textId="77777777" w:rsidR="004255E7" w:rsidRPr="00843724" w:rsidRDefault="004255E7" w:rsidP="00523ECB">
            <w:pPr>
              <w:jc w:val="center"/>
              <w:rPr>
                <w:rFonts w:eastAsia="Trebuchet MS"/>
                <w:i/>
                <w:szCs w:val="22"/>
              </w:rPr>
            </w:pPr>
          </w:p>
        </w:tc>
      </w:tr>
      <w:tr w:rsidR="004255E7" w:rsidRPr="00843724" w14:paraId="05EDCBFF" w14:textId="77777777" w:rsidTr="00523ECB">
        <w:trPr>
          <w:trHeight w:val="307"/>
        </w:trPr>
        <w:tc>
          <w:tcPr>
            <w:tcW w:w="2809" w:type="pct"/>
            <w:shd w:val="clear" w:color="auto" w:fill="auto"/>
            <w:noWrap/>
            <w:vAlign w:val="center"/>
            <w:hideMark/>
          </w:tcPr>
          <w:p w14:paraId="688DB610" w14:textId="77777777" w:rsidR="004255E7" w:rsidRPr="00843724" w:rsidRDefault="004255E7" w:rsidP="00523ECB">
            <w:pPr>
              <w:rPr>
                <w:szCs w:val="22"/>
              </w:rPr>
            </w:pPr>
            <w:r w:rsidRPr="00843724">
              <w:rPr>
                <w:szCs w:val="22"/>
              </w:rPr>
              <w:t>Boreal forests/taiga</w:t>
            </w:r>
          </w:p>
        </w:tc>
        <w:tc>
          <w:tcPr>
            <w:tcW w:w="516" w:type="pct"/>
            <w:shd w:val="clear" w:color="auto" w:fill="auto"/>
            <w:vAlign w:val="center"/>
          </w:tcPr>
          <w:p w14:paraId="1F8E76D4" w14:textId="77777777" w:rsidR="004255E7" w:rsidRPr="00843724" w:rsidRDefault="004255E7" w:rsidP="00523ECB">
            <w:pPr>
              <w:jc w:val="center"/>
              <w:rPr>
                <w:rFonts w:eastAsia="MS Gothic"/>
                <w:b/>
                <w:bCs/>
                <w:i/>
                <w:iCs/>
                <w:szCs w:val="22"/>
              </w:rPr>
            </w:pPr>
            <w:r w:rsidRPr="00843724">
              <w:rPr>
                <w:szCs w:val="22"/>
              </w:rPr>
              <w:t>9</w:t>
            </w:r>
          </w:p>
        </w:tc>
        <w:tc>
          <w:tcPr>
            <w:tcW w:w="811" w:type="pct"/>
            <w:shd w:val="clear" w:color="auto" w:fill="auto"/>
            <w:vAlign w:val="center"/>
          </w:tcPr>
          <w:p w14:paraId="377175E3" w14:textId="77777777" w:rsidR="004255E7" w:rsidRPr="00843724" w:rsidRDefault="004255E7" w:rsidP="00523ECB">
            <w:pPr>
              <w:jc w:val="center"/>
              <w:rPr>
                <w:rFonts w:eastAsia="MS Gothic"/>
                <w:b/>
                <w:bCs/>
                <w:i/>
                <w:iCs/>
                <w:szCs w:val="22"/>
              </w:rPr>
            </w:pPr>
            <w:r w:rsidRPr="00843724">
              <w:rPr>
                <w:szCs w:val="22"/>
              </w:rPr>
              <w:t>10</w:t>
            </w:r>
          </w:p>
        </w:tc>
        <w:tc>
          <w:tcPr>
            <w:tcW w:w="863" w:type="pct"/>
            <w:shd w:val="clear" w:color="auto" w:fill="auto"/>
            <w:noWrap/>
            <w:vAlign w:val="center"/>
            <w:hideMark/>
          </w:tcPr>
          <w:p w14:paraId="16C45B43" w14:textId="77777777" w:rsidR="004255E7" w:rsidRPr="00843724" w:rsidRDefault="004255E7" w:rsidP="00523ECB">
            <w:pPr>
              <w:jc w:val="center"/>
              <w:rPr>
                <w:rFonts w:eastAsia="Trebuchet MS"/>
                <w:i/>
                <w:szCs w:val="22"/>
              </w:rPr>
            </w:pPr>
          </w:p>
        </w:tc>
      </w:tr>
      <w:tr w:rsidR="004255E7" w:rsidRPr="00843724" w14:paraId="27952E86" w14:textId="77777777" w:rsidTr="00523ECB">
        <w:trPr>
          <w:trHeight w:val="307"/>
        </w:trPr>
        <w:tc>
          <w:tcPr>
            <w:tcW w:w="2809" w:type="pct"/>
            <w:shd w:val="clear" w:color="auto" w:fill="auto"/>
            <w:noWrap/>
            <w:vAlign w:val="center"/>
            <w:hideMark/>
          </w:tcPr>
          <w:p w14:paraId="0EB7A106" w14:textId="77777777" w:rsidR="004255E7" w:rsidRPr="00843724" w:rsidRDefault="004255E7" w:rsidP="00523ECB">
            <w:pPr>
              <w:rPr>
                <w:szCs w:val="22"/>
              </w:rPr>
            </w:pPr>
            <w:r w:rsidRPr="00843724">
              <w:rPr>
                <w:szCs w:val="22"/>
              </w:rPr>
              <w:t>Tropical and subtropical grassland, savannas and shrubland</w:t>
            </w:r>
          </w:p>
        </w:tc>
        <w:tc>
          <w:tcPr>
            <w:tcW w:w="516" w:type="pct"/>
            <w:shd w:val="clear" w:color="auto" w:fill="auto"/>
            <w:vAlign w:val="center"/>
          </w:tcPr>
          <w:p w14:paraId="35A91D2D" w14:textId="77777777" w:rsidR="004255E7" w:rsidRPr="00843724" w:rsidRDefault="004255E7" w:rsidP="00523ECB">
            <w:pPr>
              <w:jc w:val="center"/>
              <w:rPr>
                <w:rFonts w:eastAsia="MS Gothic"/>
                <w:b/>
                <w:bCs/>
                <w:i/>
                <w:iCs/>
                <w:szCs w:val="22"/>
              </w:rPr>
            </w:pPr>
            <w:r w:rsidRPr="00843724">
              <w:rPr>
                <w:szCs w:val="22"/>
              </w:rPr>
              <w:t>13</w:t>
            </w:r>
          </w:p>
        </w:tc>
        <w:tc>
          <w:tcPr>
            <w:tcW w:w="811" w:type="pct"/>
            <w:shd w:val="clear" w:color="auto" w:fill="auto"/>
            <w:vAlign w:val="center"/>
          </w:tcPr>
          <w:p w14:paraId="33D11174" w14:textId="77777777" w:rsidR="004255E7" w:rsidRPr="00843724" w:rsidRDefault="004255E7" w:rsidP="00523ECB">
            <w:pPr>
              <w:jc w:val="center"/>
              <w:rPr>
                <w:rFonts w:eastAsia="MS Gothic"/>
                <w:b/>
                <w:bCs/>
                <w:i/>
                <w:iCs/>
                <w:szCs w:val="22"/>
              </w:rPr>
            </w:pPr>
            <w:r w:rsidRPr="00843724">
              <w:rPr>
                <w:szCs w:val="22"/>
              </w:rPr>
              <w:t>8</w:t>
            </w:r>
          </w:p>
        </w:tc>
        <w:tc>
          <w:tcPr>
            <w:tcW w:w="863" w:type="pct"/>
            <w:shd w:val="clear" w:color="auto" w:fill="auto"/>
            <w:noWrap/>
            <w:vAlign w:val="center"/>
            <w:hideMark/>
          </w:tcPr>
          <w:p w14:paraId="76975B44" w14:textId="77777777" w:rsidR="004255E7" w:rsidRPr="00843724" w:rsidRDefault="004255E7" w:rsidP="00523ECB">
            <w:pPr>
              <w:jc w:val="center"/>
              <w:rPr>
                <w:rFonts w:eastAsia="MS Gothic"/>
                <w:b/>
                <w:bCs/>
                <w:i/>
                <w:iCs/>
                <w:szCs w:val="22"/>
              </w:rPr>
            </w:pPr>
            <w:r w:rsidRPr="00843724">
              <w:rPr>
                <w:szCs w:val="22"/>
              </w:rPr>
              <w:t>11</w:t>
            </w:r>
          </w:p>
        </w:tc>
      </w:tr>
      <w:tr w:rsidR="004255E7" w:rsidRPr="00843724" w14:paraId="5F1AB3DC" w14:textId="77777777" w:rsidTr="00523ECB">
        <w:trPr>
          <w:trHeight w:val="307"/>
        </w:trPr>
        <w:tc>
          <w:tcPr>
            <w:tcW w:w="2809" w:type="pct"/>
            <w:shd w:val="clear" w:color="auto" w:fill="auto"/>
            <w:noWrap/>
            <w:vAlign w:val="center"/>
            <w:hideMark/>
          </w:tcPr>
          <w:p w14:paraId="21269709" w14:textId="77777777" w:rsidR="004255E7" w:rsidRPr="00843724" w:rsidRDefault="004255E7" w:rsidP="00523ECB">
            <w:pPr>
              <w:rPr>
                <w:szCs w:val="22"/>
              </w:rPr>
            </w:pPr>
            <w:r w:rsidRPr="00843724">
              <w:rPr>
                <w:szCs w:val="22"/>
              </w:rPr>
              <w:t>Temperate grasslands and savannas</w:t>
            </w:r>
          </w:p>
        </w:tc>
        <w:tc>
          <w:tcPr>
            <w:tcW w:w="516" w:type="pct"/>
            <w:shd w:val="clear" w:color="auto" w:fill="auto"/>
            <w:vAlign w:val="center"/>
          </w:tcPr>
          <w:p w14:paraId="607CEB44" w14:textId="77777777" w:rsidR="004255E7" w:rsidRPr="00843724" w:rsidRDefault="004255E7" w:rsidP="00523ECB">
            <w:pPr>
              <w:jc w:val="center"/>
              <w:rPr>
                <w:rFonts w:eastAsia="MS Gothic"/>
                <w:b/>
                <w:bCs/>
                <w:i/>
                <w:iCs/>
                <w:szCs w:val="22"/>
              </w:rPr>
            </w:pPr>
            <w:r w:rsidRPr="00843724">
              <w:rPr>
                <w:szCs w:val="22"/>
              </w:rPr>
              <w:t>4</w:t>
            </w:r>
          </w:p>
        </w:tc>
        <w:tc>
          <w:tcPr>
            <w:tcW w:w="811" w:type="pct"/>
            <w:shd w:val="clear" w:color="auto" w:fill="auto"/>
            <w:vAlign w:val="center"/>
          </w:tcPr>
          <w:p w14:paraId="335A75FB" w14:textId="77777777" w:rsidR="004255E7" w:rsidRPr="00843724" w:rsidRDefault="004255E7" w:rsidP="00523ECB">
            <w:pPr>
              <w:jc w:val="center"/>
              <w:rPr>
                <w:rFonts w:eastAsia="MS Gothic"/>
                <w:b/>
                <w:bCs/>
                <w:i/>
                <w:iCs/>
                <w:szCs w:val="22"/>
              </w:rPr>
            </w:pPr>
            <w:r w:rsidRPr="00843724">
              <w:rPr>
                <w:szCs w:val="22"/>
              </w:rPr>
              <w:t>3</w:t>
            </w:r>
          </w:p>
        </w:tc>
        <w:tc>
          <w:tcPr>
            <w:tcW w:w="863" w:type="pct"/>
            <w:shd w:val="clear" w:color="auto" w:fill="auto"/>
            <w:noWrap/>
            <w:vAlign w:val="center"/>
            <w:hideMark/>
          </w:tcPr>
          <w:p w14:paraId="306CF5B3" w14:textId="77777777" w:rsidR="004255E7" w:rsidRPr="00843724" w:rsidRDefault="004255E7" w:rsidP="00523ECB">
            <w:pPr>
              <w:jc w:val="center"/>
              <w:rPr>
                <w:rFonts w:eastAsia="MS Gothic"/>
                <w:b/>
                <w:bCs/>
                <w:i/>
                <w:iCs/>
                <w:szCs w:val="22"/>
              </w:rPr>
            </w:pPr>
            <w:r w:rsidRPr="00843724">
              <w:rPr>
                <w:szCs w:val="22"/>
              </w:rPr>
              <w:t>2</w:t>
            </w:r>
          </w:p>
        </w:tc>
      </w:tr>
      <w:tr w:rsidR="004255E7" w:rsidRPr="00843724" w14:paraId="2B96DC0B" w14:textId="77777777" w:rsidTr="00523ECB">
        <w:trPr>
          <w:trHeight w:val="307"/>
        </w:trPr>
        <w:tc>
          <w:tcPr>
            <w:tcW w:w="2809" w:type="pct"/>
            <w:shd w:val="clear" w:color="auto" w:fill="auto"/>
            <w:noWrap/>
            <w:vAlign w:val="center"/>
            <w:hideMark/>
          </w:tcPr>
          <w:p w14:paraId="1E72E4FA" w14:textId="77777777" w:rsidR="004255E7" w:rsidRPr="00843724" w:rsidRDefault="004255E7" w:rsidP="00523ECB">
            <w:pPr>
              <w:rPr>
                <w:szCs w:val="22"/>
              </w:rPr>
            </w:pPr>
            <w:r w:rsidRPr="00843724">
              <w:rPr>
                <w:szCs w:val="22"/>
              </w:rPr>
              <w:t>Flooded grasslands and savannas</w:t>
            </w:r>
          </w:p>
        </w:tc>
        <w:tc>
          <w:tcPr>
            <w:tcW w:w="516" w:type="pct"/>
            <w:shd w:val="clear" w:color="auto" w:fill="auto"/>
            <w:vAlign w:val="center"/>
          </w:tcPr>
          <w:p w14:paraId="38C70D6F" w14:textId="77777777" w:rsidR="004255E7" w:rsidRPr="00843724" w:rsidRDefault="004255E7" w:rsidP="00523ECB">
            <w:pPr>
              <w:jc w:val="center"/>
              <w:rPr>
                <w:rFonts w:eastAsia="MS Gothic"/>
                <w:b/>
                <w:bCs/>
                <w:i/>
                <w:iCs/>
                <w:szCs w:val="22"/>
              </w:rPr>
            </w:pPr>
            <w:r w:rsidRPr="00843724">
              <w:rPr>
                <w:szCs w:val="22"/>
              </w:rPr>
              <w:t>20</w:t>
            </w:r>
          </w:p>
        </w:tc>
        <w:tc>
          <w:tcPr>
            <w:tcW w:w="811" w:type="pct"/>
            <w:shd w:val="clear" w:color="auto" w:fill="auto"/>
            <w:vAlign w:val="center"/>
          </w:tcPr>
          <w:p w14:paraId="475B2128" w14:textId="77777777" w:rsidR="004255E7" w:rsidRPr="00843724" w:rsidRDefault="004255E7" w:rsidP="00523ECB">
            <w:pPr>
              <w:jc w:val="center"/>
              <w:rPr>
                <w:rFonts w:eastAsia="Trebuchet MS"/>
                <w:i/>
                <w:szCs w:val="22"/>
              </w:rPr>
            </w:pPr>
          </w:p>
        </w:tc>
        <w:tc>
          <w:tcPr>
            <w:tcW w:w="863" w:type="pct"/>
            <w:shd w:val="clear" w:color="auto" w:fill="auto"/>
            <w:noWrap/>
            <w:vAlign w:val="center"/>
            <w:hideMark/>
          </w:tcPr>
          <w:p w14:paraId="0E13E077" w14:textId="77777777" w:rsidR="004255E7" w:rsidRPr="00843724" w:rsidRDefault="004255E7" w:rsidP="00523ECB">
            <w:pPr>
              <w:jc w:val="center"/>
              <w:rPr>
                <w:rFonts w:eastAsia="MS Gothic"/>
                <w:b/>
                <w:bCs/>
                <w:i/>
                <w:iCs/>
                <w:szCs w:val="22"/>
              </w:rPr>
            </w:pPr>
            <w:r w:rsidRPr="00843724">
              <w:rPr>
                <w:szCs w:val="22"/>
              </w:rPr>
              <w:t>15</w:t>
            </w:r>
          </w:p>
        </w:tc>
      </w:tr>
      <w:tr w:rsidR="004255E7" w:rsidRPr="00843724" w14:paraId="5F7A2562" w14:textId="77777777" w:rsidTr="00523ECB">
        <w:trPr>
          <w:trHeight w:val="119"/>
        </w:trPr>
        <w:tc>
          <w:tcPr>
            <w:tcW w:w="2809" w:type="pct"/>
            <w:shd w:val="clear" w:color="auto" w:fill="auto"/>
            <w:noWrap/>
            <w:vAlign w:val="center"/>
            <w:hideMark/>
          </w:tcPr>
          <w:p w14:paraId="55846F48" w14:textId="77777777" w:rsidR="004255E7" w:rsidRPr="00843724" w:rsidRDefault="004255E7" w:rsidP="00523ECB">
            <w:pPr>
              <w:rPr>
                <w:szCs w:val="22"/>
              </w:rPr>
            </w:pPr>
            <w:r w:rsidRPr="00843724">
              <w:rPr>
                <w:szCs w:val="22"/>
              </w:rPr>
              <w:t>Montane grasslands and shrublands</w:t>
            </w:r>
          </w:p>
        </w:tc>
        <w:tc>
          <w:tcPr>
            <w:tcW w:w="516" w:type="pct"/>
            <w:shd w:val="clear" w:color="auto" w:fill="auto"/>
            <w:vAlign w:val="center"/>
          </w:tcPr>
          <w:p w14:paraId="54ADFC77" w14:textId="77777777" w:rsidR="004255E7" w:rsidRPr="00843724" w:rsidRDefault="004255E7" w:rsidP="00523ECB">
            <w:pPr>
              <w:jc w:val="center"/>
              <w:rPr>
                <w:rFonts w:eastAsia="MS Gothic"/>
                <w:b/>
                <w:bCs/>
                <w:i/>
                <w:iCs/>
                <w:szCs w:val="22"/>
              </w:rPr>
            </w:pPr>
            <w:r w:rsidRPr="00843724">
              <w:rPr>
                <w:szCs w:val="22"/>
              </w:rPr>
              <w:t>25</w:t>
            </w:r>
          </w:p>
        </w:tc>
        <w:tc>
          <w:tcPr>
            <w:tcW w:w="811" w:type="pct"/>
            <w:shd w:val="clear" w:color="auto" w:fill="auto"/>
            <w:vAlign w:val="center"/>
          </w:tcPr>
          <w:p w14:paraId="31BB3CDE" w14:textId="77777777" w:rsidR="004255E7" w:rsidRPr="00843724" w:rsidRDefault="004255E7" w:rsidP="00523ECB">
            <w:pPr>
              <w:jc w:val="center"/>
              <w:rPr>
                <w:rFonts w:eastAsia="Trebuchet MS"/>
                <w:i/>
                <w:szCs w:val="22"/>
              </w:rPr>
            </w:pPr>
          </w:p>
        </w:tc>
        <w:tc>
          <w:tcPr>
            <w:tcW w:w="863" w:type="pct"/>
            <w:shd w:val="clear" w:color="auto" w:fill="auto"/>
            <w:noWrap/>
            <w:vAlign w:val="center"/>
            <w:hideMark/>
          </w:tcPr>
          <w:p w14:paraId="771AF01B" w14:textId="77777777" w:rsidR="004255E7" w:rsidRPr="00843724" w:rsidRDefault="004255E7" w:rsidP="00523ECB">
            <w:pPr>
              <w:jc w:val="center"/>
              <w:rPr>
                <w:rFonts w:eastAsia="MS Gothic"/>
                <w:b/>
                <w:bCs/>
                <w:i/>
                <w:iCs/>
                <w:szCs w:val="22"/>
              </w:rPr>
            </w:pPr>
            <w:r w:rsidRPr="00843724">
              <w:rPr>
                <w:szCs w:val="22"/>
              </w:rPr>
              <w:t>14</w:t>
            </w:r>
          </w:p>
        </w:tc>
      </w:tr>
      <w:tr w:rsidR="004255E7" w:rsidRPr="00843724" w14:paraId="309FA168" w14:textId="77777777" w:rsidTr="00523ECB">
        <w:trPr>
          <w:trHeight w:val="307"/>
        </w:trPr>
        <w:tc>
          <w:tcPr>
            <w:tcW w:w="2809" w:type="pct"/>
            <w:shd w:val="clear" w:color="auto" w:fill="auto"/>
            <w:noWrap/>
            <w:vAlign w:val="center"/>
            <w:hideMark/>
          </w:tcPr>
          <w:p w14:paraId="6BF8F7E4" w14:textId="77777777" w:rsidR="004255E7" w:rsidRPr="00843724" w:rsidRDefault="004255E7" w:rsidP="00523ECB">
            <w:pPr>
              <w:rPr>
                <w:b/>
                <w:szCs w:val="22"/>
              </w:rPr>
            </w:pPr>
            <w:r w:rsidRPr="00843724">
              <w:rPr>
                <w:b/>
                <w:szCs w:val="22"/>
              </w:rPr>
              <w:t>Tundra</w:t>
            </w:r>
          </w:p>
        </w:tc>
        <w:tc>
          <w:tcPr>
            <w:tcW w:w="516" w:type="pct"/>
            <w:shd w:val="clear" w:color="auto" w:fill="auto"/>
            <w:vAlign w:val="center"/>
          </w:tcPr>
          <w:p w14:paraId="494AD71F" w14:textId="77777777" w:rsidR="004255E7" w:rsidRPr="00843724" w:rsidRDefault="004255E7" w:rsidP="00523ECB">
            <w:pPr>
              <w:jc w:val="center"/>
              <w:rPr>
                <w:rFonts w:eastAsia="MS Gothic"/>
                <w:b/>
                <w:bCs/>
                <w:i/>
                <w:iCs/>
                <w:szCs w:val="22"/>
              </w:rPr>
            </w:pPr>
            <w:r w:rsidRPr="00843724">
              <w:rPr>
                <w:szCs w:val="22"/>
              </w:rPr>
              <w:t>17</w:t>
            </w:r>
          </w:p>
        </w:tc>
        <w:tc>
          <w:tcPr>
            <w:tcW w:w="811" w:type="pct"/>
            <w:shd w:val="clear" w:color="auto" w:fill="auto"/>
            <w:vAlign w:val="center"/>
          </w:tcPr>
          <w:p w14:paraId="572B8C50" w14:textId="77777777" w:rsidR="004255E7" w:rsidRPr="00843724" w:rsidRDefault="004255E7" w:rsidP="00523ECB">
            <w:pPr>
              <w:jc w:val="center"/>
              <w:rPr>
                <w:rFonts w:eastAsia="MS Gothic"/>
                <w:b/>
                <w:bCs/>
                <w:i/>
                <w:iCs/>
                <w:szCs w:val="22"/>
              </w:rPr>
            </w:pPr>
            <w:r w:rsidRPr="00843724">
              <w:rPr>
                <w:b/>
                <w:szCs w:val="22"/>
              </w:rPr>
              <w:t>22</w:t>
            </w:r>
          </w:p>
        </w:tc>
        <w:tc>
          <w:tcPr>
            <w:tcW w:w="863" w:type="pct"/>
            <w:shd w:val="clear" w:color="auto" w:fill="auto"/>
            <w:noWrap/>
            <w:vAlign w:val="center"/>
            <w:hideMark/>
          </w:tcPr>
          <w:p w14:paraId="3CB2C0EA" w14:textId="77777777" w:rsidR="004255E7" w:rsidRPr="00843724" w:rsidRDefault="004255E7" w:rsidP="00523ECB">
            <w:pPr>
              <w:jc w:val="center"/>
              <w:rPr>
                <w:rFonts w:eastAsia="Trebuchet MS"/>
                <w:i/>
                <w:szCs w:val="22"/>
              </w:rPr>
            </w:pPr>
          </w:p>
        </w:tc>
      </w:tr>
      <w:tr w:rsidR="004255E7" w:rsidRPr="00843724" w14:paraId="2713F795" w14:textId="77777777" w:rsidTr="00523ECB">
        <w:trPr>
          <w:trHeight w:val="307"/>
        </w:trPr>
        <w:tc>
          <w:tcPr>
            <w:tcW w:w="2809" w:type="pct"/>
            <w:shd w:val="clear" w:color="auto" w:fill="auto"/>
            <w:noWrap/>
            <w:vAlign w:val="center"/>
            <w:hideMark/>
          </w:tcPr>
          <w:p w14:paraId="76FFE8CC" w14:textId="77777777" w:rsidR="004255E7" w:rsidRPr="00843724" w:rsidRDefault="004255E7" w:rsidP="00523ECB">
            <w:pPr>
              <w:rPr>
                <w:b/>
                <w:szCs w:val="22"/>
              </w:rPr>
            </w:pPr>
            <w:r w:rsidRPr="00843724">
              <w:rPr>
                <w:b/>
                <w:szCs w:val="22"/>
              </w:rPr>
              <w:t>Mediterranean forests, woodland and scrub</w:t>
            </w:r>
          </w:p>
        </w:tc>
        <w:tc>
          <w:tcPr>
            <w:tcW w:w="516" w:type="pct"/>
            <w:shd w:val="clear" w:color="auto" w:fill="auto"/>
            <w:vAlign w:val="center"/>
          </w:tcPr>
          <w:p w14:paraId="5292C807" w14:textId="77777777" w:rsidR="004255E7" w:rsidRPr="00843724" w:rsidRDefault="004255E7" w:rsidP="00523ECB">
            <w:pPr>
              <w:jc w:val="center"/>
              <w:rPr>
                <w:rFonts w:eastAsia="MS Gothic"/>
                <w:b/>
                <w:bCs/>
                <w:i/>
                <w:iCs/>
                <w:szCs w:val="22"/>
              </w:rPr>
            </w:pPr>
            <w:r w:rsidRPr="00843724">
              <w:rPr>
                <w:szCs w:val="22"/>
              </w:rPr>
              <w:t>7</w:t>
            </w:r>
          </w:p>
        </w:tc>
        <w:tc>
          <w:tcPr>
            <w:tcW w:w="811" w:type="pct"/>
            <w:shd w:val="clear" w:color="auto" w:fill="auto"/>
            <w:vAlign w:val="center"/>
          </w:tcPr>
          <w:p w14:paraId="6410A05D" w14:textId="77777777" w:rsidR="004255E7" w:rsidRPr="00843724" w:rsidRDefault="004255E7" w:rsidP="00523ECB">
            <w:pPr>
              <w:jc w:val="center"/>
              <w:rPr>
                <w:rFonts w:eastAsia="MS Gothic"/>
                <w:b/>
                <w:bCs/>
                <w:i/>
                <w:iCs/>
                <w:szCs w:val="22"/>
              </w:rPr>
            </w:pPr>
            <w:r w:rsidRPr="00843724">
              <w:rPr>
                <w:b/>
                <w:szCs w:val="22"/>
              </w:rPr>
              <w:t>21</w:t>
            </w:r>
          </w:p>
        </w:tc>
        <w:tc>
          <w:tcPr>
            <w:tcW w:w="863" w:type="pct"/>
            <w:shd w:val="clear" w:color="auto" w:fill="auto"/>
            <w:noWrap/>
            <w:vAlign w:val="center"/>
            <w:hideMark/>
          </w:tcPr>
          <w:p w14:paraId="6CE4F83C" w14:textId="77777777" w:rsidR="004255E7" w:rsidRPr="00843724" w:rsidRDefault="004255E7" w:rsidP="00523ECB">
            <w:pPr>
              <w:jc w:val="center"/>
              <w:rPr>
                <w:rFonts w:eastAsia="MS Gothic"/>
                <w:b/>
                <w:bCs/>
                <w:i/>
                <w:iCs/>
                <w:szCs w:val="22"/>
              </w:rPr>
            </w:pPr>
            <w:r w:rsidRPr="00843724">
              <w:rPr>
                <w:szCs w:val="22"/>
              </w:rPr>
              <w:t>1</w:t>
            </w:r>
          </w:p>
        </w:tc>
      </w:tr>
      <w:tr w:rsidR="004255E7" w:rsidRPr="00843724" w14:paraId="738F0E5B" w14:textId="77777777" w:rsidTr="00523ECB">
        <w:trPr>
          <w:trHeight w:val="307"/>
        </w:trPr>
        <w:tc>
          <w:tcPr>
            <w:tcW w:w="2809" w:type="pct"/>
            <w:shd w:val="clear" w:color="auto" w:fill="auto"/>
            <w:noWrap/>
            <w:vAlign w:val="center"/>
            <w:hideMark/>
          </w:tcPr>
          <w:p w14:paraId="440DC441" w14:textId="77777777" w:rsidR="004255E7" w:rsidRPr="00843724" w:rsidRDefault="004255E7" w:rsidP="00523ECB">
            <w:pPr>
              <w:rPr>
                <w:b/>
                <w:szCs w:val="22"/>
              </w:rPr>
            </w:pPr>
            <w:r w:rsidRPr="00843724">
              <w:rPr>
                <w:b/>
                <w:szCs w:val="22"/>
              </w:rPr>
              <w:t>Deserts and xeric vegetation</w:t>
            </w:r>
          </w:p>
        </w:tc>
        <w:tc>
          <w:tcPr>
            <w:tcW w:w="516" w:type="pct"/>
            <w:shd w:val="clear" w:color="auto" w:fill="auto"/>
            <w:vAlign w:val="center"/>
          </w:tcPr>
          <w:p w14:paraId="5F2EC322" w14:textId="77777777" w:rsidR="004255E7" w:rsidRPr="00843724" w:rsidRDefault="004255E7" w:rsidP="00523ECB">
            <w:pPr>
              <w:jc w:val="center"/>
              <w:rPr>
                <w:rFonts w:eastAsia="MS Gothic"/>
                <w:b/>
                <w:bCs/>
                <w:i/>
                <w:iCs/>
                <w:szCs w:val="22"/>
              </w:rPr>
            </w:pPr>
            <w:r w:rsidRPr="00843724">
              <w:rPr>
                <w:szCs w:val="22"/>
              </w:rPr>
              <w:t>9</w:t>
            </w:r>
          </w:p>
        </w:tc>
        <w:tc>
          <w:tcPr>
            <w:tcW w:w="811" w:type="pct"/>
            <w:shd w:val="clear" w:color="auto" w:fill="auto"/>
            <w:vAlign w:val="center"/>
          </w:tcPr>
          <w:p w14:paraId="2000E12B" w14:textId="77777777" w:rsidR="004255E7" w:rsidRPr="00843724" w:rsidRDefault="004255E7" w:rsidP="00523ECB">
            <w:pPr>
              <w:jc w:val="center"/>
              <w:rPr>
                <w:rFonts w:eastAsia="MS Gothic"/>
                <w:b/>
                <w:bCs/>
                <w:i/>
                <w:iCs/>
                <w:szCs w:val="22"/>
              </w:rPr>
            </w:pPr>
            <w:r w:rsidRPr="00843724">
              <w:rPr>
                <w:b/>
                <w:szCs w:val="22"/>
              </w:rPr>
              <w:t>14</w:t>
            </w:r>
          </w:p>
        </w:tc>
        <w:tc>
          <w:tcPr>
            <w:tcW w:w="863" w:type="pct"/>
            <w:shd w:val="clear" w:color="auto" w:fill="auto"/>
            <w:noWrap/>
            <w:vAlign w:val="center"/>
            <w:hideMark/>
          </w:tcPr>
          <w:p w14:paraId="5CCB0516" w14:textId="77777777" w:rsidR="004255E7" w:rsidRPr="00843724" w:rsidRDefault="004255E7" w:rsidP="00523ECB">
            <w:pPr>
              <w:jc w:val="center"/>
              <w:rPr>
                <w:rFonts w:eastAsia="MS Gothic"/>
                <w:b/>
                <w:bCs/>
                <w:i/>
                <w:iCs/>
                <w:szCs w:val="22"/>
              </w:rPr>
            </w:pPr>
            <w:r w:rsidRPr="00843724">
              <w:rPr>
                <w:szCs w:val="22"/>
              </w:rPr>
              <w:t>9</w:t>
            </w:r>
          </w:p>
        </w:tc>
      </w:tr>
      <w:tr w:rsidR="004255E7" w:rsidRPr="00843724" w14:paraId="7D2EF4D1" w14:textId="77777777" w:rsidTr="00523ECB">
        <w:trPr>
          <w:trHeight w:val="307"/>
        </w:trPr>
        <w:tc>
          <w:tcPr>
            <w:tcW w:w="2809" w:type="pct"/>
            <w:shd w:val="clear" w:color="auto" w:fill="auto"/>
            <w:noWrap/>
            <w:vAlign w:val="center"/>
            <w:hideMark/>
          </w:tcPr>
          <w:p w14:paraId="5226B271" w14:textId="77777777" w:rsidR="004255E7" w:rsidRPr="00843724" w:rsidRDefault="004255E7" w:rsidP="00523ECB">
            <w:pPr>
              <w:rPr>
                <w:b/>
                <w:szCs w:val="22"/>
              </w:rPr>
            </w:pPr>
            <w:r w:rsidRPr="00843724">
              <w:rPr>
                <w:b/>
                <w:szCs w:val="22"/>
              </w:rPr>
              <w:t>Mangroves</w:t>
            </w:r>
          </w:p>
        </w:tc>
        <w:tc>
          <w:tcPr>
            <w:tcW w:w="516" w:type="pct"/>
            <w:shd w:val="clear" w:color="auto" w:fill="auto"/>
            <w:vAlign w:val="center"/>
          </w:tcPr>
          <w:p w14:paraId="31987CC8" w14:textId="77777777" w:rsidR="004255E7" w:rsidRPr="00843724" w:rsidRDefault="004255E7" w:rsidP="00523ECB">
            <w:pPr>
              <w:jc w:val="center"/>
              <w:rPr>
                <w:rFonts w:eastAsia="MS Gothic"/>
                <w:b/>
                <w:bCs/>
                <w:i/>
                <w:iCs/>
                <w:szCs w:val="22"/>
              </w:rPr>
            </w:pPr>
            <w:r w:rsidRPr="00843724">
              <w:rPr>
                <w:szCs w:val="22"/>
              </w:rPr>
              <w:t>21</w:t>
            </w:r>
          </w:p>
        </w:tc>
        <w:tc>
          <w:tcPr>
            <w:tcW w:w="811" w:type="pct"/>
            <w:shd w:val="clear" w:color="auto" w:fill="auto"/>
            <w:vAlign w:val="center"/>
          </w:tcPr>
          <w:p w14:paraId="41F7D56E" w14:textId="77777777" w:rsidR="004255E7" w:rsidRPr="00843724" w:rsidRDefault="004255E7" w:rsidP="00523ECB">
            <w:pPr>
              <w:jc w:val="center"/>
              <w:rPr>
                <w:rFonts w:eastAsia="Trebuchet MS"/>
                <w:i/>
                <w:szCs w:val="22"/>
              </w:rPr>
            </w:pPr>
          </w:p>
        </w:tc>
        <w:tc>
          <w:tcPr>
            <w:tcW w:w="863" w:type="pct"/>
            <w:shd w:val="clear" w:color="auto" w:fill="auto"/>
            <w:noWrap/>
            <w:vAlign w:val="center"/>
            <w:hideMark/>
          </w:tcPr>
          <w:p w14:paraId="5BC3AF75" w14:textId="77777777" w:rsidR="004255E7" w:rsidRPr="00843724" w:rsidRDefault="004255E7" w:rsidP="00523ECB">
            <w:pPr>
              <w:jc w:val="center"/>
              <w:rPr>
                <w:rFonts w:eastAsia="MS Gothic"/>
                <w:b/>
                <w:bCs/>
                <w:i/>
                <w:iCs/>
                <w:szCs w:val="22"/>
              </w:rPr>
            </w:pPr>
            <w:r w:rsidRPr="00843724">
              <w:rPr>
                <w:b/>
                <w:szCs w:val="22"/>
              </w:rPr>
              <w:t>37</w:t>
            </w:r>
          </w:p>
        </w:tc>
      </w:tr>
    </w:tbl>
    <w:p w14:paraId="0B9041D0" w14:textId="46F02323" w:rsidR="004255E7" w:rsidRPr="008608AA" w:rsidRDefault="004255E7" w:rsidP="00523ECB">
      <w:pPr>
        <w:spacing w:before="240" w:after="120"/>
      </w:pPr>
      <w:r w:rsidRPr="008608AA">
        <w:t>With regard to priority areas for conservation, the Americas region hosts 20% of globally identified KBA (Table 3.7). KBA include the 12,000 Important</w:t>
      </w:r>
      <w:r w:rsidR="00DB09DA" w:rsidRPr="008608AA">
        <w:t xml:space="preserve"> Bird and Biodiversity Areas</w:t>
      </w:r>
      <w:r w:rsidRPr="008608AA">
        <w:t xml:space="preserve"> </w:t>
      </w:r>
      <w:r w:rsidR="00DB09DA" w:rsidRPr="008608AA">
        <w:t>(</w:t>
      </w:r>
      <w:r w:rsidRPr="008608AA">
        <w:t>IBA</w:t>
      </w:r>
      <w:r w:rsidR="00DB09DA" w:rsidRPr="008608AA">
        <w:t>s)</w:t>
      </w:r>
      <w:r w:rsidRPr="008608AA">
        <w:t xml:space="preserve">, identified by BirdLife International </w:t>
      </w:r>
      <w:r w:rsidRPr="008608AA">
        <w:fldChar w:fldCharType="begin" w:fldLock="1"/>
      </w:r>
      <w:r w:rsidRPr="008608AA">
        <w:instrText>ADDIN CSL_CITATION { "citationItems" : [ { "id" : "ITEM-1", "itemData" : { "URL" : "http://www.birdlife.org/datazone/site/search", "author" : [ { "dropping-particle" : "", "family" : "BirdLife International", "given" : "", "non-dropping-particle" : "", "parse-names" : false, "suffix" : "" } ], "container-title" : "BirdLife International", "id" : "ITEM-1", "issued" : { "date-parts" : [ [ "2015" ] ] }, "title" : "DataZone", "type" : "webpage" }, "uris" : [ "http://www.mendeley.com/documents/?uuid=3e165d6e-374b-4fb6-a327-afb2cc2aaffc", "http://www.mendeley.com/documents/?uuid=8fe97815-c1d7-47ba-85ea-f50c2265deb6" ] } ], "mendeley" : { "formattedCitation" : "(BirdLife International, 2015)", "manualFormatting" : "(2015)", "plainTextFormattedCitation" : "(BirdLife International, 2015)", "previouslyFormattedCitation" : "(BirdLife International, 2015)" }, "properties" : { "noteIndex" : 0 }, "schema" : "https://github.com/citation-style-language/schema/raw/master/csl-citation.json" }</w:instrText>
      </w:r>
      <w:r w:rsidRPr="008608AA">
        <w:fldChar w:fldCharType="separate"/>
      </w:r>
      <w:r w:rsidRPr="008608AA">
        <w:rPr>
          <w:noProof/>
        </w:rPr>
        <w:t>(2015)</w:t>
      </w:r>
      <w:r w:rsidRPr="008608AA">
        <w:fldChar w:fldCharType="end"/>
      </w:r>
      <w:r w:rsidRPr="008608AA">
        <w:t>, plus Alliance for Zero Extinction</w:t>
      </w:r>
      <w:r w:rsidR="00DB09DA" w:rsidRPr="008608AA">
        <w:t xml:space="preserve"> (AZE)</w:t>
      </w:r>
      <w:r w:rsidRPr="008608AA">
        <w:t xml:space="preserve"> sites </w:t>
      </w:r>
      <w:r w:rsidRPr="008608AA">
        <w:fldChar w:fldCharType="begin" w:fldLock="1"/>
      </w:r>
      <w:r w:rsidRPr="008608AA">
        <w:instrText>ADDIN CSL_CITATION { "citationItems" : [ { "id" : "ITEM-1", "itemData" : { "DOI" : "10.1073/pnas.0509060102", "ISBN" : "0509060102", "ISSN" : "0027-8424", "PMID" : "16344485", "abstract" : "Slowing rates of global biodiversity loss requires preventing species extinctions. Here we pinpoint centers of imminent extinction, where highly threatened species are confined to single sites. Within five globally assessed taxa (i.e., mammals, birds, selected reptiles, amphibians, and conifers), we find 794 such species, three times the number recorded as having gone extinct since 1500. These species occur in 595 sites, concentrated in tropical forests, on islands, and in mountainous areas. Their taxonomic and geographical distribution differs significantly from that of historical extinctions, indicating an expansion of the current extinction episode beyond sensitive species and places toward the planet's most biodiverse mainland regions. Only one-third of the sites are legally protected, and most are surrounded by intense human development. These sites represent clear opportunities for urgent conservation action to prevent species loss.", "author" : [ { "dropping-particle" : "", "family" : "Ricketts", "given" : "Taylor H.", "non-dropping-particle" : "", "parse-names" : false, "suffix" : "" }, { "dropping-particle" : "", "family" : "Dinerstein", "given" : "Eric", "non-dropping-particle" : "", "parse-names" : false, "suffix" : "" }, { "dropping-particle" : "", "family" : "Boucher", "given" : "Tim", "non-dropping-particle" : "", "parse-names" : false, "suffix" : "" }, { "dropping-particle" : "", "family" : "Brooks", "given" : "Thomas M.", "non-dropping-particle" : "", "parse-names" : false, "suffix" : "" }, { "dropping-particle" : "", "family" : "Butchart", "given" : "Stuart H.M.", "non-dropping-particle" : "", "parse-names" : false, "suffix" : "" }, { "dropping-particle" : "", "family" : "Hoffmann", "given" : "Michael", "non-dropping-particle" : "", "parse-names" : false, "suffix" : "" }, { "dropping-particle" : "", "family" : "Lamoreux", "given" : "John F.", "non-dropping-particle" : "", "parse-names" : false, "suffix" : "" }, { "dropping-particle" : "", "family" : "Morrison", "given" : "John", "non-dropping-particle" : "", "parse-names" : false, "suffix" : "" }, { "dropping-particle" : "", "family" : "Parr", "given" : "Mike", "non-dropping-particle" : "", "parse-names" : false, "suffix" : "" }, { "dropping-particle" : "", "family" : "Pilgrim", "given" : "John D.", "non-dropping-particle" : "", "parse-names" : false, "suffix" : "" }, { "dropping-particle" : "", "family" : "Rodrigues", "given" : "Ana S. L.", "non-dropping-particle" : "", "parse-names" : false, "suffix" : "" }, { "dropping-particle" : "", "family" : "Sechrest", "given" : "Wes", "non-dropping-particle" : "", "parse-names" : false, "suffix" : "" }, { "dropping-particle" : "", "family" : "Wallace", "given" : "George E.", "non-dropping-particle" : "", "parse-names" : false, "suffix" : "" }, { "dropping-particle" : "", "family" : "Berlin", "given" : "Ken", "non-dropping-particle" : "", "parse-names" : false, "suffix" : "" }, { "dropping-particle" : "", "family" : "Bielby", "given" : "Jon", "non-dropping-particle" : "", "parse-names" : false, "suffix" : "" }, { "dropping-particle" : "", "family" : "Burgess", "given" : "Neil D.", "non-dropping-particle" : "", "parse-names" : false, "suffix" : "" }, { "dropping-particle" : "", "family" : "Church", "given" : "Don R.", "non-dropping-particle" : "", "parse-names" : false, "suffix" : "" }, { "dropping-particle" : "", "family" : "Cox", "given" : "Neil", "non-dropping-particle" : "", "parse-names" : false, "suffix" : "" }, { "dropping-particle" : "", "family" : "Knox", "given" : "David", "non-dropping-particle" : "", "parse-names" : false, "suffix" : "" }, { "dropping-particle" : "", "family" : "Loucks", "given" : "Colby", "non-dropping-particle" : "", "parse-names" : false, "suffix" : "" }, { "dropping-particle" : "", "family" : "Luck", "given" : "Gary W.", "non-dropping-particle" : "", "parse-names" : false, "suffix" : "" }, { "dropping-particle" : "", "family" : "Master", "given" : "Lawrence L.", "non-dropping-particle" : "", "parse-names" : false, "suffix" : "" }, { "dropping-particle" : "", "family" : "Moore", "given" : "Robin", "non-dropping-particle" : "", "parse-names" : false, "suffix" : "" }, { "dropping-particle" : "", "family" : "Naidoo", "given" : "Robin", "non-dropping-particle" : "", "parse-names" : false, "suffix" : "" }, { "dropping-particle" : "", "family" : "Ridgely", "given" : "Robert", "non-dropping-particle" : "", "parse-names" : false, "suffix" : "" }, { "dropping-particle" : "", "family" : "Schatz", "given" : "George E.", "non-dropping-particle" : "", "parse-names" : false, "suffix" : "" }, { "dropping-particle" : "", "family" : "Shire", "given" : "Gavin", "non-dropping-particle" : "", "parse-names" : false, "suffix" : "" }, { "dropping-particle" : "", "family" : "Strand", "given" : "Holly", "non-dropping-particle" : "", "parse-names" : false, "suffix" : "" }, { "dropping-particle" : "", "family" : "Wettengel", "given" : "Wes", "non-dropping-particle" : "", "parse-names" : false, "suffix" : "" }, { "dropping-particle" : "", "family" : "Wikramanayake", "given" : "Eric", "non-dropping-particle" : "", "parse-names" : false, "suffix" : "" } ], "container-title" : "PNAS", "id" : "ITEM-1", "issue" : "51", "issued" : { "date-parts" : [ [ "2005" ] ] }, "page" : "18497-18501", "title" : "Pinpointing and preventing imminent extinctions", "type" : "article-journal", "volume" : "102" }, "uris" : [ "http://www.mendeley.com/documents/?uuid=1f194ab6-7540-37f4-93a1-5f2fe14c7960", "http://www.mendeley.com/documents/?uuid=c70cad8b-fc8e-49da-8122-cd689acd7643" ] } ], "mendeley" : { "formattedCitation" : "(Taylor H. Ricketts et al., 2005)", "manualFormatting" : "(Ricketts et al., 2005)", "plainTextFormattedCitation" : "(Taylor H. Ricketts et al., 2005)", "previouslyFormattedCitation" : "(Taylor H. Ricketts et al., 2005)" }, "properties" : { "noteIndex" : 0 }, "schema" : "https://github.com/citation-style-language/schema/raw/master/csl-citation.json" }</w:instrText>
      </w:r>
      <w:r w:rsidRPr="008608AA">
        <w:fldChar w:fldCharType="separate"/>
      </w:r>
      <w:r w:rsidRPr="008608AA">
        <w:rPr>
          <w:noProof/>
        </w:rPr>
        <w:t>(Ricketts et al., 2005)</w:t>
      </w:r>
      <w:r w:rsidRPr="008608AA">
        <w:fldChar w:fldCharType="end"/>
      </w:r>
      <w:r w:rsidRPr="008608AA">
        <w:t xml:space="preserve"> and other KBA identified through hotspot profiles supported by </w:t>
      </w:r>
      <w:r w:rsidR="00AC6700" w:rsidRPr="008608AA">
        <w:t xml:space="preserve">Critical Ecosystem Partnership Fund </w:t>
      </w:r>
      <w:r w:rsidRPr="008608AA">
        <w:fldChar w:fldCharType="begin" w:fldLock="1"/>
      </w:r>
      <w:r w:rsidRPr="008608AA">
        <w:instrText>ADDIN CSL_CITATION { "citationItems" : [ { "id" : "ITEM-1", "itemData" : { "URL" : "www.keybiodiversityareas.org", "id" : "ITEM-1", "issued" : { "date-parts" : [ [ "0" ] ] }, "title" : "World Database of Key Biodiversity Areas", "type" : "webpage" }, "uris" : [ "http://www.mendeley.com/documents/?uuid=febec125-5532-4970-8886-105f027a6a92" ] } ], "mendeley" : { "formattedCitation" : "(\u201cWorld Database of Key Biodiversity Areas,\u201d n.d.)", "manualFormatting" : "(World Database of Key Biodiversity Areas, n.d.)", "plainTextFormattedCitation" : "(\u201cWorld Database of Key Biodiversity Areas,\u201d n.d.)", "previouslyFormattedCitation" : "(\u201cWorld Database of Key Biodiversity Areas,\u201d n.d.)" }, "properties" : { "noteIndex" : 0 }, "schema" : "https://github.com/citation-style-language/schema/raw/master/csl-citation.json" }</w:instrText>
      </w:r>
      <w:r w:rsidRPr="008608AA">
        <w:fldChar w:fldCharType="separate"/>
      </w:r>
      <w:r w:rsidRPr="008608AA">
        <w:rPr>
          <w:noProof/>
        </w:rPr>
        <w:t>(World Database of Key Biodiversity Areas, n.d.)</w:t>
      </w:r>
      <w:r w:rsidRPr="008608AA">
        <w:fldChar w:fldCharType="end"/>
      </w:r>
      <w:r w:rsidRPr="008608AA">
        <w:t>.</w:t>
      </w:r>
    </w:p>
    <w:p w14:paraId="383974C5" w14:textId="243D3C25" w:rsidR="00B75DF2" w:rsidRPr="008608AA" w:rsidRDefault="00523ECB" w:rsidP="00523ECB">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3</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7</w:t>
      </w:r>
      <w:r w:rsidR="000E562E">
        <w:rPr>
          <w:noProof/>
        </w:rPr>
        <w:fldChar w:fldCharType="end"/>
      </w:r>
      <w:r w:rsidRPr="008608AA">
        <w:t xml:space="preserve">. </w:t>
      </w:r>
      <w:r w:rsidR="00B75DF2" w:rsidRPr="008608AA">
        <w:t xml:space="preserve">Number and percentage of KBA by subregion in the Americas relative to the global total. </w:t>
      </w:r>
    </w:p>
    <w:tbl>
      <w:tblPr>
        <w:tblW w:w="38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420"/>
        <w:gridCol w:w="1700"/>
        <w:gridCol w:w="760"/>
      </w:tblGrid>
      <w:tr w:rsidR="00BF3889" w:rsidRPr="008608AA" w14:paraId="1B78FE12" w14:textId="77777777" w:rsidTr="00523ECB">
        <w:trPr>
          <w:trHeight w:val="315"/>
          <w:jc w:val="center"/>
        </w:trPr>
        <w:tc>
          <w:tcPr>
            <w:tcW w:w="1420" w:type="dxa"/>
            <w:shd w:val="clear" w:color="auto" w:fill="BFBFBF" w:themeFill="background1" w:themeFillShade="BF"/>
            <w:vAlign w:val="center"/>
            <w:hideMark/>
          </w:tcPr>
          <w:p w14:paraId="0F4189DA" w14:textId="77777777" w:rsidR="00BF3889" w:rsidRPr="008608AA" w:rsidRDefault="00BF3889" w:rsidP="00523ECB">
            <w:pPr>
              <w:spacing w:after="120"/>
              <w:jc w:val="center"/>
              <w:rPr>
                <w:rFonts w:asciiTheme="majorHAnsi" w:eastAsia="Calibri" w:hAnsiTheme="majorHAnsi" w:cs="Calibri"/>
                <w:b/>
                <w:i/>
                <w:iCs/>
                <w:sz w:val="20"/>
                <w:szCs w:val="20"/>
              </w:rPr>
            </w:pPr>
            <w:r w:rsidRPr="008608AA">
              <w:rPr>
                <w:b/>
                <w:sz w:val="20"/>
                <w:szCs w:val="20"/>
              </w:rPr>
              <w:t>Region</w:t>
            </w:r>
          </w:p>
        </w:tc>
        <w:tc>
          <w:tcPr>
            <w:tcW w:w="1700" w:type="dxa"/>
            <w:shd w:val="clear" w:color="auto" w:fill="BFBFBF" w:themeFill="background1" w:themeFillShade="BF"/>
            <w:vAlign w:val="center"/>
            <w:hideMark/>
          </w:tcPr>
          <w:p w14:paraId="60523354" w14:textId="77777777" w:rsidR="00BF3889" w:rsidRPr="008608AA" w:rsidRDefault="00BF3889" w:rsidP="00523ECB">
            <w:pPr>
              <w:spacing w:after="120"/>
              <w:jc w:val="center"/>
              <w:rPr>
                <w:rFonts w:asciiTheme="majorHAnsi" w:eastAsia="Calibri" w:hAnsiTheme="majorHAnsi" w:cs="Calibri"/>
                <w:b/>
                <w:i/>
                <w:iCs/>
                <w:sz w:val="20"/>
                <w:szCs w:val="20"/>
              </w:rPr>
            </w:pPr>
            <w:r w:rsidRPr="008608AA">
              <w:rPr>
                <w:b/>
                <w:sz w:val="20"/>
                <w:szCs w:val="20"/>
              </w:rPr>
              <w:t># KBA</w:t>
            </w:r>
          </w:p>
        </w:tc>
        <w:tc>
          <w:tcPr>
            <w:tcW w:w="760" w:type="dxa"/>
            <w:shd w:val="clear" w:color="auto" w:fill="BFBFBF" w:themeFill="background1" w:themeFillShade="BF"/>
            <w:vAlign w:val="center"/>
          </w:tcPr>
          <w:p w14:paraId="4C881420" w14:textId="77777777" w:rsidR="00BF3889" w:rsidRPr="008608AA" w:rsidRDefault="00BF3889" w:rsidP="00523ECB">
            <w:pPr>
              <w:spacing w:after="120"/>
              <w:jc w:val="center"/>
              <w:rPr>
                <w:rFonts w:asciiTheme="majorHAnsi" w:eastAsia="Calibri" w:hAnsiTheme="majorHAnsi" w:cs="Calibri"/>
                <w:b/>
                <w:i/>
                <w:iCs/>
                <w:sz w:val="20"/>
                <w:szCs w:val="20"/>
              </w:rPr>
            </w:pPr>
            <w:r w:rsidRPr="008608AA">
              <w:rPr>
                <w:b/>
                <w:sz w:val="20"/>
                <w:szCs w:val="20"/>
              </w:rPr>
              <w:t>%</w:t>
            </w:r>
          </w:p>
        </w:tc>
      </w:tr>
      <w:tr w:rsidR="00BF3889" w:rsidRPr="008608AA" w14:paraId="65212452" w14:textId="77777777" w:rsidTr="00523ECB">
        <w:trPr>
          <w:trHeight w:val="315"/>
          <w:jc w:val="center"/>
        </w:trPr>
        <w:tc>
          <w:tcPr>
            <w:tcW w:w="1420" w:type="dxa"/>
            <w:vAlign w:val="center"/>
            <w:hideMark/>
          </w:tcPr>
          <w:p w14:paraId="0BB7C857" w14:textId="77777777" w:rsidR="00BF3889" w:rsidRPr="008608AA" w:rsidRDefault="00BF3889" w:rsidP="00523ECB">
            <w:pPr>
              <w:spacing w:after="120"/>
              <w:rPr>
                <w:rFonts w:ascii="Arial" w:eastAsia="Arial" w:hAnsi="Arial" w:cs="Arial"/>
                <w:b/>
                <w:i/>
                <w:iCs/>
                <w:sz w:val="20"/>
                <w:szCs w:val="20"/>
              </w:rPr>
            </w:pPr>
            <w:r w:rsidRPr="008608AA">
              <w:rPr>
                <w:sz w:val="20"/>
                <w:szCs w:val="20"/>
              </w:rPr>
              <w:t>North America</w:t>
            </w:r>
          </w:p>
        </w:tc>
        <w:tc>
          <w:tcPr>
            <w:tcW w:w="1700" w:type="dxa"/>
            <w:vAlign w:val="center"/>
            <w:hideMark/>
          </w:tcPr>
          <w:p w14:paraId="248D763E" w14:textId="77777777" w:rsidR="00BF3889" w:rsidRPr="008608AA" w:rsidRDefault="00BF3889" w:rsidP="00523ECB">
            <w:pPr>
              <w:spacing w:after="120"/>
              <w:jc w:val="center"/>
              <w:rPr>
                <w:rFonts w:asciiTheme="majorHAnsi" w:eastAsia="Calibri" w:hAnsiTheme="majorHAnsi" w:cs="Calibri"/>
                <w:b/>
                <w:i/>
                <w:iCs/>
                <w:sz w:val="20"/>
                <w:szCs w:val="20"/>
              </w:rPr>
            </w:pPr>
            <w:r w:rsidRPr="008608AA">
              <w:rPr>
                <w:sz w:val="20"/>
                <w:szCs w:val="20"/>
              </w:rPr>
              <w:t>985</w:t>
            </w:r>
          </w:p>
        </w:tc>
        <w:tc>
          <w:tcPr>
            <w:tcW w:w="760" w:type="dxa"/>
            <w:vAlign w:val="center"/>
          </w:tcPr>
          <w:p w14:paraId="61FDEAAF" w14:textId="77777777" w:rsidR="00BF3889" w:rsidRPr="008608AA" w:rsidRDefault="00BF3889" w:rsidP="00523ECB">
            <w:pPr>
              <w:spacing w:after="120"/>
              <w:jc w:val="center"/>
              <w:rPr>
                <w:rFonts w:asciiTheme="majorHAnsi" w:eastAsia="Calibri" w:hAnsiTheme="majorHAnsi" w:cs="Calibri"/>
                <w:b/>
                <w:i/>
                <w:iCs/>
                <w:sz w:val="20"/>
                <w:szCs w:val="20"/>
              </w:rPr>
            </w:pPr>
            <w:r w:rsidRPr="008608AA">
              <w:rPr>
                <w:sz w:val="20"/>
                <w:szCs w:val="20"/>
              </w:rPr>
              <w:t>6.35</w:t>
            </w:r>
          </w:p>
        </w:tc>
      </w:tr>
      <w:tr w:rsidR="00BF3889" w:rsidRPr="008608AA" w14:paraId="793BDABD" w14:textId="77777777" w:rsidTr="00523ECB">
        <w:trPr>
          <w:trHeight w:val="315"/>
          <w:jc w:val="center"/>
        </w:trPr>
        <w:tc>
          <w:tcPr>
            <w:tcW w:w="1420" w:type="dxa"/>
            <w:vAlign w:val="center"/>
            <w:hideMark/>
          </w:tcPr>
          <w:p w14:paraId="437B5B72" w14:textId="77777777" w:rsidR="00BF3889" w:rsidRPr="008608AA" w:rsidRDefault="00BF3889" w:rsidP="00523ECB">
            <w:pPr>
              <w:spacing w:after="120"/>
              <w:rPr>
                <w:rFonts w:ascii="Arial" w:eastAsia="Arial" w:hAnsi="Arial" w:cs="Arial"/>
                <w:b/>
                <w:i/>
                <w:iCs/>
                <w:sz w:val="20"/>
                <w:szCs w:val="20"/>
              </w:rPr>
            </w:pPr>
            <w:r w:rsidRPr="008608AA">
              <w:rPr>
                <w:sz w:val="20"/>
                <w:szCs w:val="20"/>
              </w:rPr>
              <w:t>Caribbean</w:t>
            </w:r>
          </w:p>
        </w:tc>
        <w:tc>
          <w:tcPr>
            <w:tcW w:w="1700" w:type="dxa"/>
            <w:vAlign w:val="center"/>
            <w:hideMark/>
          </w:tcPr>
          <w:p w14:paraId="6E6FEF57" w14:textId="77777777" w:rsidR="00BF3889" w:rsidRPr="008608AA" w:rsidRDefault="00BF3889" w:rsidP="00523ECB">
            <w:pPr>
              <w:spacing w:after="120"/>
              <w:jc w:val="center"/>
              <w:rPr>
                <w:rFonts w:asciiTheme="majorHAnsi" w:eastAsia="Calibri" w:hAnsiTheme="majorHAnsi" w:cs="Calibri"/>
                <w:b/>
                <w:i/>
                <w:iCs/>
                <w:sz w:val="20"/>
                <w:szCs w:val="20"/>
              </w:rPr>
            </w:pPr>
            <w:r w:rsidRPr="008608AA">
              <w:rPr>
                <w:sz w:val="20"/>
                <w:szCs w:val="20"/>
              </w:rPr>
              <w:t>419</w:t>
            </w:r>
          </w:p>
        </w:tc>
        <w:tc>
          <w:tcPr>
            <w:tcW w:w="760" w:type="dxa"/>
            <w:vAlign w:val="center"/>
          </w:tcPr>
          <w:p w14:paraId="573DCF05" w14:textId="77777777" w:rsidR="00BF3889" w:rsidRPr="008608AA" w:rsidRDefault="00BF3889" w:rsidP="00523ECB">
            <w:pPr>
              <w:spacing w:after="120"/>
              <w:jc w:val="center"/>
              <w:rPr>
                <w:rFonts w:asciiTheme="majorHAnsi" w:eastAsia="Calibri" w:hAnsiTheme="majorHAnsi" w:cs="Calibri"/>
                <w:b/>
                <w:i/>
                <w:iCs/>
                <w:sz w:val="20"/>
                <w:szCs w:val="20"/>
              </w:rPr>
            </w:pPr>
            <w:r w:rsidRPr="008608AA">
              <w:rPr>
                <w:sz w:val="20"/>
                <w:szCs w:val="20"/>
              </w:rPr>
              <w:t>2.70</w:t>
            </w:r>
          </w:p>
        </w:tc>
      </w:tr>
      <w:tr w:rsidR="00BF3889" w:rsidRPr="008608AA" w14:paraId="0D28F903" w14:textId="77777777" w:rsidTr="00523ECB">
        <w:trPr>
          <w:trHeight w:val="315"/>
          <w:jc w:val="center"/>
        </w:trPr>
        <w:tc>
          <w:tcPr>
            <w:tcW w:w="1420" w:type="dxa"/>
            <w:vAlign w:val="center"/>
            <w:hideMark/>
          </w:tcPr>
          <w:p w14:paraId="08438265" w14:textId="77777777" w:rsidR="00BF3889" w:rsidRPr="008608AA" w:rsidRDefault="00BF3889" w:rsidP="00523ECB">
            <w:pPr>
              <w:spacing w:after="120"/>
              <w:rPr>
                <w:rFonts w:ascii="Arial" w:eastAsia="Arial" w:hAnsi="Arial" w:cs="Arial"/>
                <w:b/>
                <w:i/>
                <w:iCs/>
                <w:sz w:val="20"/>
                <w:szCs w:val="20"/>
              </w:rPr>
            </w:pPr>
            <w:r w:rsidRPr="008608AA">
              <w:rPr>
                <w:sz w:val="20"/>
                <w:szCs w:val="20"/>
              </w:rPr>
              <w:t>Mesoamerica</w:t>
            </w:r>
          </w:p>
        </w:tc>
        <w:tc>
          <w:tcPr>
            <w:tcW w:w="1700" w:type="dxa"/>
            <w:vAlign w:val="center"/>
            <w:hideMark/>
          </w:tcPr>
          <w:p w14:paraId="20EE0860" w14:textId="77777777" w:rsidR="00BF3889" w:rsidRPr="008608AA" w:rsidRDefault="00BF3889" w:rsidP="00523ECB">
            <w:pPr>
              <w:spacing w:after="120"/>
              <w:jc w:val="center"/>
              <w:rPr>
                <w:rFonts w:asciiTheme="majorHAnsi" w:eastAsia="Calibri" w:hAnsiTheme="majorHAnsi" w:cs="Calibri"/>
                <w:b/>
                <w:i/>
                <w:iCs/>
                <w:sz w:val="20"/>
                <w:szCs w:val="20"/>
              </w:rPr>
            </w:pPr>
            <w:r w:rsidRPr="008608AA">
              <w:rPr>
                <w:sz w:val="20"/>
                <w:szCs w:val="20"/>
              </w:rPr>
              <w:t>305</w:t>
            </w:r>
          </w:p>
        </w:tc>
        <w:tc>
          <w:tcPr>
            <w:tcW w:w="760" w:type="dxa"/>
            <w:vAlign w:val="center"/>
          </w:tcPr>
          <w:p w14:paraId="66C420BE" w14:textId="77777777" w:rsidR="00BF3889" w:rsidRPr="008608AA" w:rsidRDefault="00BF3889" w:rsidP="00523ECB">
            <w:pPr>
              <w:spacing w:after="120"/>
              <w:jc w:val="center"/>
              <w:rPr>
                <w:rFonts w:asciiTheme="majorHAnsi" w:eastAsia="Calibri" w:hAnsiTheme="majorHAnsi" w:cs="Calibri"/>
                <w:b/>
                <w:i/>
                <w:iCs/>
                <w:sz w:val="20"/>
                <w:szCs w:val="20"/>
              </w:rPr>
            </w:pPr>
            <w:r w:rsidRPr="008608AA">
              <w:rPr>
                <w:sz w:val="20"/>
                <w:szCs w:val="20"/>
              </w:rPr>
              <w:t>1.96</w:t>
            </w:r>
          </w:p>
        </w:tc>
      </w:tr>
      <w:tr w:rsidR="00BF3889" w:rsidRPr="008608AA" w14:paraId="7A215C40" w14:textId="77777777" w:rsidTr="00523ECB">
        <w:trPr>
          <w:trHeight w:val="315"/>
          <w:jc w:val="center"/>
        </w:trPr>
        <w:tc>
          <w:tcPr>
            <w:tcW w:w="1420" w:type="dxa"/>
            <w:vAlign w:val="center"/>
            <w:hideMark/>
          </w:tcPr>
          <w:p w14:paraId="77E58F59" w14:textId="77777777" w:rsidR="00BF3889" w:rsidRPr="008608AA" w:rsidRDefault="00BF3889" w:rsidP="00523ECB">
            <w:pPr>
              <w:spacing w:after="120"/>
              <w:rPr>
                <w:rFonts w:ascii="Arial" w:eastAsia="Arial" w:hAnsi="Arial" w:cs="Arial"/>
                <w:b/>
                <w:i/>
                <w:iCs/>
                <w:sz w:val="20"/>
                <w:szCs w:val="20"/>
              </w:rPr>
            </w:pPr>
            <w:r w:rsidRPr="008608AA">
              <w:rPr>
                <w:sz w:val="20"/>
                <w:szCs w:val="20"/>
              </w:rPr>
              <w:t>South America</w:t>
            </w:r>
          </w:p>
        </w:tc>
        <w:tc>
          <w:tcPr>
            <w:tcW w:w="1700" w:type="dxa"/>
            <w:vAlign w:val="center"/>
            <w:hideMark/>
          </w:tcPr>
          <w:p w14:paraId="3CB9506E" w14:textId="77777777" w:rsidR="00BF3889" w:rsidRPr="008608AA" w:rsidRDefault="00BF3889" w:rsidP="00523ECB">
            <w:pPr>
              <w:spacing w:after="120"/>
              <w:jc w:val="center"/>
              <w:rPr>
                <w:rFonts w:asciiTheme="majorHAnsi" w:eastAsia="Calibri" w:hAnsiTheme="majorHAnsi" w:cs="Calibri"/>
                <w:b/>
                <w:i/>
                <w:iCs/>
                <w:sz w:val="20"/>
                <w:szCs w:val="20"/>
              </w:rPr>
            </w:pPr>
            <w:r w:rsidRPr="008608AA">
              <w:rPr>
                <w:sz w:val="20"/>
                <w:szCs w:val="20"/>
              </w:rPr>
              <w:t>1,371</w:t>
            </w:r>
          </w:p>
        </w:tc>
        <w:tc>
          <w:tcPr>
            <w:tcW w:w="760" w:type="dxa"/>
            <w:vAlign w:val="center"/>
          </w:tcPr>
          <w:p w14:paraId="2C4F529F" w14:textId="77777777" w:rsidR="00BF3889" w:rsidRPr="008608AA" w:rsidRDefault="00BF3889" w:rsidP="00523ECB">
            <w:pPr>
              <w:spacing w:after="120"/>
              <w:jc w:val="center"/>
              <w:rPr>
                <w:rFonts w:asciiTheme="majorHAnsi" w:eastAsia="Calibri" w:hAnsiTheme="majorHAnsi" w:cs="Calibri"/>
                <w:b/>
                <w:i/>
                <w:iCs/>
                <w:sz w:val="20"/>
                <w:szCs w:val="20"/>
              </w:rPr>
            </w:pPr>
            <w:r w:rsidRPr="008608AA">
              <w:rPr>
                <w:sz w:val="20"/>
                <w:szCs w:val="20"/>
              </w:rPr>
              <w:t>8.83</w:t>
            </w:r>
          </w:p>
        </w:tc>
      </w:tr>
      <w:tr w:rsidR="00BF3889" w:rsidRPr="008608AA" w14:paraId="77FC2193" w14:textId="77777777" w:rsidTr="00523ECB">
        <w:trPr>
          <w:trHeight w:val="315"/>
          <w:jc w:val="center"/>
        </w:trPr>
        <w:tc>
          <w:tcPr>
            <w:tcW w:w="1420" w:type="dxa"/>
            <w:vAlign w:val="center"/>
            <w:hideMark/>
          </w:tcPr>
          <w:p w14:paraId="6CDCEFD2" w14:textId="77777777" w:rsidR="00BF3889" w:rsidRPr="008608AA" w:rsidRDefault="00BF3889" w:rsidP="00523ECB">
            <w:pPr>
              <w:spacing w:after="120"/>
              <w:rPr>
                <w:rFonts w:ascii="Arial" w:eastAsia="Arial" w:hAnsi="Arial" w:cs="Arial"/>
                <w:b/>
                <w:i/>
                <w:iCs/>
                <w:sz w:val="20"/>
                <w:szCs w:val="20"/>
              </w:rPr>
            </w:pPr>
            <w:r w:rsidRPr="008608AA">
              <w:rPr>
                <w:sz w:val="20"/>
                <w:szCs w:val="20"/>
              </w:rPr>
              <w:t>Americas</w:t>
            </w:r>
          </w:p>
        </w:tc>
        <w:tc>
          <w:tcPr>
            <w:tcW w:w="1700" w:type="dxa"/>
            <w:vAlign w:val="center"/>
            <w:hideMark/>
          </w:tcPr>
          <w:p w14:paraId="72E92CC5" w14:textId="77777777" w:rsidR="00BF3889" w:rsidRPr="008608AA" w:rsidRDefault="00BF3889" w:rsidP="00523ECB">
            <w:pPr>
              <w:spacing w:after="120"/>
              <w:jc w:val="center"/>
              <w:rPr>
                <w:rFonts w:asciiTheme="majorHAnsi" w:eastAsia="Calibri" w:hAnsiTheme="majorHAnsi" w:cs="Calibri"/>
                <w:b/>
                <w:i/>
                <w:iCs/>
                <w:sz w:val="20"/>
                <w:szCs w:val="20"/>
              </w:rPr>
            </w:pPr>
            <w:r w:rsidRPr="008608AA">
              <w:rPr>
                <w:sz w:val="20"/>
                <w:szCs w:val="20"/>
              </w:rPr>
              <w:t>3,080</w:t>
            </w:r>
          </w:p>
        </w:tc>
        <w:tc>
          <w:tcPr>
            <w:tcW w:w="760" w:type="dxa"/>
            <w:vAlign w:val="center"/>
          </w:tcPr>
          <w:p w14:paraId="7667678A" w14:textId="77777777" w:rsidR="00BF3889" w:rsidRPr="008608AA" w:rsidRDefault="00BF3889" w:rsidP="00523ECB">
            <w:pPr>
              <w:spacing w:after="120"/>
              <w:jc w:val="center"/>
              <w:rPr>
                <w:rFonts w:asciiTheme="majorHAnsi" w:eastAsia="Calibri" w:hAnsiTheme="majorHAnsi" w:cs="Calibri"/>
                <w:b/>
                <w:i/>
                <w:iCs/>
                <w:sz w:val="20"/>
                <w:szCs w:val="20"/>
              </w:rPr>
            </w:pPr>
            <w:r w:rsidRPr="008608AA">
              <w:rPr>
                <w:sz w:val="20"/>
                <w:szCs w:val="20"/>
              </w:rPr>
              <w:t>19.84</w:t>
            </w:r>
          </w:p>
        </w:tc>
      </w:tr>
      <w:tr w:rsidR="00BF3889" w:rsidRPr="008608AA" w14:paraId="33C5DC98" w14:textId="77777777" w:rsidTr="00523ECB">
        <w:trPr>
          <w:trHeight w:val="315"/>
          <w:jc w:val="center"/>
        </w:trPr>
        <w:tc>
          <w:tcPr>
            <w:tcW w:w="1420" w:type="dxa"/>
            <w:vAlign w:val="center"/>
            <w:hideMark/>
          </w:tcPr>
          <w:p w14:paraId="1EA0FBC4" w14:textId="77777777" w:rsidR="00BF3889" w:rsidRPr="008608AA" w:rsidRDefault="00BF3889" w:rsidP="00523ECB">
            <w:pPr>
              <w:spacing w:after="120"/>
              <w:rPr>
                <w:rFonts w:ascii="Arial" w:eastAsia="Arial" w:hAnsi="Arial" w:cs="Arial"/>
                <w:i/>
                <w:iCs/>
                <w:sz w:val="20"/>
                <w:szCs w:val="20"/>
              </w:rPr>
            </w:pPr>
            <w:r w:rsidRPr="008608AA">
              <w:rPr>
                <w:sz w:val="20"/>
                <w:szCs w:val="20"/>
              </w:rPr>
              <w:t>Global</w:t>
            </w:r>
          </w:p>
        </w:tc>
        <w:tc>
          <w:tcPr>
            <w:tcW w:w="1700" w:type="dxa"/>
            <w:vAlign w:val="center"/>
            <w:hideMark/>
          </w:tcPr>
          <w:p w14:paraId="20E74F51" w14:textId="77777777" w:rsidR="00BF3889" w:rsidRPr="008608AA" w:rsidRDefault="00BF3889" w:rsidP="00523ECB">
            <w:pPr>
              <w:spacing w:after="120"/>
              <w:jc w:val="center"/>
              <w:rPr>
                <w:rFonts w:asciiTheme="majorHAnsi" w:eastAsia="Calibri" w:hAnsiTheme="majorHAnsi" w:cs="Calibri"/>
                <w:i/>
                <w:iCs/>
                <w:sz w:val="20"/>
                <w:szCs w:val="20"/>
              </w:rPr>
            </w:pPr>
            <w:r w:rsidRPr="008608AA">
              <w:rPr>
                <w:sz w:val="20"/>
                <w:szCs w:val="20"/>
              </w:rPr>
              <w:t>15,524</w:t>
            </w:r>
          </w:p>
        </w:tc>
        <w:tc>
          <w:tcPr>
            <w:tcW w:w="760" w:type="dxa"/>
            <w:vAlign w:val="center"/>
          </w:tcPr>
          <w:p w14:paraId="64DAAA58" w14:textId="77777777" w:rsidR="00BF3889" w:rsidRPr="008608AA" w:rsidRDefault="00BF3889" w:rsidP="00523ECB">
            <w:pPr>
              <w:spacing w:after="120"/>
              <w:jc w:val="center"/>
              <w:rPr>
                <w:rFonts w:asciiTheme="majorHAnsi" w:eastAsia="Calibri" w:hAnsiTheme="majorHAnsi" w:cs="Calibri"/>
                <w:i/>
                <w:iCs/>
                <w:sz w:val="20"/>
                <w:szCs w:val="20"/>
              </w:rPr>
            </w:pPr>
            <w:r w:rsidRPr="008608AA">
              <w:rPr>
                <w:sz w:val="20"/>
                <w:szCs w:val="20"/>
              </w:rPr>
              <w:t>100</w:t>
            </w:r>
          </w:p>
        </w:tc>
      </w:tr>
    </w:tbl>
    <w:p w14:paraId="48AC78E7" w14:textId="23691143" w:rsidR="00B75DF2" w:rsidRPr="008608AA" w:rsidRDefault="00462B0E" w:rsidP="00A65C52">
      <w:pPr>
        <w:spacing w:after="120"/>
        <w:rPr>
          <w:sz w:val="20"/>
          <w:szCs w:val="20"/>
        </w:rPr>
      </w:pPr>
      <w:r w:rsidRPr="008608AA">
        <w:rPr>
          <w:sz w:val="20"/>
          <w:szCs w:val="20"/>
        </w:rPr>
        <w:t xml:space="preserve">Source: </w:t>
      </w:r>
      <w:r w:rsidR="00B75DF2" w:rsidRPr="008608AA">
        <w:rPr>
          <w:sz w:val="20"/>
          <w:szCs w:val="20"/>
        </w:rPr>
        <w:t>Data are from the World Database of Key Biodiversity Areas</w:t>
      </w:r>
      <w:r w:rsidR="00B75DF2" w:rsidRPr="008608AA">
        <w:rPr>
          <w:sz w:val="20"/>
          <w:szCs w:val="20"/>
          <w:vertAlign w:val="superscript"/>
        </w:rPr>
        <w:t>TM</w:t>
      </w:r>
      <w:r w:rsidR="00B75DF2" w:rsidRPr="008608AA">
        <w:rPr>
          <w:sz w:val="20"/>
          <w:szCs w:val="20"/>
        </w:rPr>
        <w:t>, searched October 22, 2017. http://www.keybiodiversityareas.org/ site/search.</w:t>
      </w:r>
    </w:p>
    <w:p w14:paraId="782EBE79" w14:textId="77777777" w:rsidR="00523ECB" w:rsidRPr="008608AA" w:rsidRDefault="00523ECB" w:rsidP="00A65C52">
      <w:pPr>
        <w:spacing w:after="120"/>
      </w:pPr>
    </w:p>
    <w:p w14:paraId="1BA70CEA" w14:textId="0A0B8941" w:rsidR="00515E87" w:rsidRPr="008608AA" w:rsidRDefault="004255E7" w:rsidP="00523ECB">
      <w:pPr>
        <w:spacing w:after="120"/>
      </w:pPr>
      <w:r w:rsidRPr="008608AA">
        <w:t xml:space="preserve">The total protected area coverage of KBA has increased significantly over the past 50 years (Figure 3.33). </w:t>
      </w:r>
      <w:r w:rsidRPr="008608AA">
        <w:rPr>
          <w:lang w:val="fr-CA"/>
        </w:rPr>
        <w:t>Brooks et al. (</w:t>
      </w:r>
      <w:r w:rsidRPr="008608AA">
        <w:fldChar w:fldCharType="begin" w:fldLock="1"/>
      </w:r>
      <w:r w:rsidRPr="008608AA">
        <w:rPr>
          <w:lang w:val="fr-CA"/>
        </w:rPr>
        <w:instrText>ADDIN CSL_CITATION { "citationItems" : [ { "id" : "ITEM-1", "itemData" : { "DOI" : "10.1038/sdata.2016.7", "abstract" : "Two processes for regional environmental assessment are currently underway: the Global Environment Outlook (GEO) and Intergovernmental Platform on Biodiversity and Ecosystem Services (IPBES). Both face constraints of data, time, capacity, and resources. To support these assessments, we disaggregate three global knowledge products according to their regions and subregions. These products are: The IUCN Red List of Threatened Species, Key Biodiversity Areas (specifically Important Bird &amp;Biodiversity Areas [IBAs], and Alliance for Zero Extinction [AZE] sites), and Protected Planet. We present fourteen Data citations: numbers of species occurring and percentages threatened; numbers of endemics and percentages threatened; downscaled Red List Indices for mammals, birds, and amphibians; numbers, mean sizes, and percentage coverages of IBAs and AZE sites; percentage coverage of land and sea by protected areas; and trends in percentages of IBAs and AZE sites wholly covered by protected areas. These data will inform the regional/subregional assessment chapters on the status of biodiversity, drivers of its decline, and institutional responses, and greatly facilitate comparability and consistency between the different regional/subregional assessments.", "author" : [ { "dropping-particle" : "", "family" : "Brooks", "given" : "T. M.", "non-dropping-particle" : "", "parse-names" : false, "suffix" : "" }, { "dropping-particle" : "", "family" : "Ak\u00e7akaya", "given" : "H. R.", "non-dropping-particle" : "", "parse-names" : false, "suffix" : "" }, { "dropping-particle" : "", "family" : "Burgess", "given" : "N.D.", "non-dropping-particle" : "", "parse-names" : false, "suffix" : "" }, { "dropping-particle" : "", "family" : "Butchart", "given" : "S.H.M.", "non-dropping-particle" : "", "parse-names" : false, "suffix" : "" }, { "dropping-particle" : "", "family" : "Hilton-Taylor", "given" : "C.", "non-dropping-particle" : "", "parse-names" : false, "suffix" : "" }, { "dropping-particle" : "", "family" : "Hoffmann", "given" : "M.", "non-dropping-particle" : "", "parse-names" : false, "suffix" : "" }, { "dropping-particle" : "", "family" : "Juffe-Bignoli", "given" : "D.", "non-dropping-particle" : "", "parse-names" : false, "suffix" : "" }, { "dropping-particle" : "", "family" : "Kingston", "given" : "N.", "non-dropping-particle" : "", "parse-names" : false, "suffix" : "" }, { "dropping-particle" : "", "family" : "MacSharry", "given" : "B.", "non-dropping-particle" : "", "parse-names" : false, "suffix" : "" }, { "dropping-particle" : "", "family" : "Parr", "given" : "M.", "non-dropping-particle" : "", "parse-names" : false, "suffix" : "" }, { "dropping-particle" : "", "family" : "Perianin", "given" : "L.", "non-dropping-particle" : "", "parse-names" : false, "suffix" : "" }, { "dropping-particle" : "", "family" : "Regan", "given" : "E. C.", "non-dropping-particle" : "", "parse-names" : false, "suffix" : "" }, { "dropping-particle" : "", "family" : "Rodrigues", "given" : "A. S. L.", "non-dropping-particle" : "", "parse-names" : false, "suffix" : "" }, { "dropping-particle" : "", "family" : "Rondinini", "given" : "C.", "non-dropping-particle" : "", "parse-names" : false, "suffix" : "" }, { "dropping-particle" : "", "family" : "Shennan-Farpon", "given" : "Y.", "non-dropping-particle" : "", "parse-names" : false, "suffix" : "" }, { "dropping-particle" : "", "family" : "Young", "given" : "B.E.", "non-dropping-particle" : "", "parse-names" : false, "suffix" : "" } ], "container-title" : "Scientific Data", "id" : "ITEM-1", "issued" : { "date-parts" : [ [ "2016" ] ] }, "title" : "Analysing biodiversity and conservation knowledge products to support regional environmental assessments", "type" : "article-journal", "volume" : "3,160007" }, "uris" : [ "http://www.mendeley.com/documents/?uuid=0c784d97-d4ba-4c9a-be8d-c973b64044cb" ] } ], "mendeley" : { "formattedCitation" : "(T. M. Brooks et al., 2016)", "manualFormatting" : "2016", "plainTextFormattedCitation" : "(T. M. Brooks et al., 2016)", "previouslyFormattedCitation" : "(T. M. Brooks et al., 2016b)" }, "properties" : { "noteIndex" : 0 }, "schema" : "https://github.com/citation-style-language/schema/raw/master/csl-citation.json" }</w:instrText>
      </w:r>
      <w:r w:rsidRPr="008608AA">
        <w:fldChar w:fldCharType="separate"/>
      </w:r>
      <w:r w:rsidRPr="008608AA">
        <w:rPr>
          <w:noProof/>
          <w:lang w:val="fr-CA"/>
        </w:rPr>
        <w:t>2016</w:t>
      </w:r>
      <w:r w:rsidRPr="008608AA">
        <w:fldChar w:fldCharType="end"/>
      </w:r>
      <w:r w:rsidRPr="008608AA">
        <w:rPr>
          <w:lang w:val="fr-CA"/>
        </w:rPr>
        <w:t xml:space="preserve">) synthesize all three datasets for the Americas region. </w:t>
      </w:r>
      <w:r w:rsidRPr="008608AA">
        <w:t xml:space="preserve">Currently (as of 2015) 17.0% of IBAs and 20.6% of </w:t>
      </w:r>
      <w:r w:rsidR="00DB09DA" w:rsidRPr="008608AA">
        <w:t>AZE</w:t>
      </w:r>
      <w:r w:rsidRPr="008608AA">
        <w:t xml:space="preserve"> sites are fully covered in the Americas as a whole. At the subregional level, for IBAs South America lags strongly behind; for </w:t>
      </w:r>
      <w:r w:rsidR="00DB09DA" w:rsidRPr="008608AA">
        <w:t>AZE</w:t>
      </w:r>
      <w:r w:rsidRPr="008608AA">
        <w:t xml:space="preserve"> sites the Caribbean takes the lead, while North America lags behind the most (Figure 3.33). </w:t>
      </w:r>
      <w:r w:rsidR="00515E87" w:rsidRPr="008608AA">
        <w:br w:type="page"/>
      </w:r>
    </w:p>
    <w:p w14:paraId="344E185A" w14:textId="46E32132" w:rsidR="00523ECB" w:rsidRPr="008608AA" w:rsidRDefault="00C37A3E" w:rsidP="00523ECB">
      <w:pPr>
        <w:spacing w:before="120" w:after="120"/>
        <w:jc w:val="center"/>
      </w:pPr>
      <w:r w:rsidRPr="008608AA">
        <w:rPr>
          <w:noProof/>
          <w:lang w:val="en-GB" w:eastAsia="en-GB"/>
        </w:rPr>
        <w:drawing>
          <wp:inline distT="0" distB="0" distL="0" distR="0" wp14:anchorId="39CE7CF2" wp14:editId="1AB90435">
            <wp:extent cx="5934075" cy="8553450"/>
            <wp:effectExtent l="0" t="0" r="9525" b="0"/>
            <wp:docPr id="2082" name="Imagen 2082" descr="C:\Users\Alejandro Valderrama\Downloads\FIg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6" descr="C:\Users\Alejandro Valderrama\Downloads\FIg3.33.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4075" cy="8553450"/>
                    </a:xfrm>
                    <a:prstGeom prst="rect">
                      <a:avLst/>
                    </a:prstGeom>
                    <a:noFill/>
                    <a:ln>
                      <a:noFill/>
                    </a:ln>
                  </pic:spPr>
                </pic:pic>
              </a:graphicData>
            </a:graphic>
          </wp:inline>
        </w:drawing>
      </w:r>
    </w:p>
    <w:p w14:paraId="3308F9DB" w14:textId="77777777" w:rsidR="00523ECB" w:rsidRPr="008608AA" w:rsidRDefault="00523ECB" w:rsidP="00A65C52">
      <w:pPr>
        <w:spacing w:before="120" w:after="120"/>
      </w:pPr>
    </w:p>
    <w:p w14:paraId="53EB1283" w14:textId="00FE4741" w:rsidR="00523ECB" w:rsidRPr="008608AA" w:rsidRDefault="004255E7" w:rsidP="00523ECB">
      <w:pPr>
        <w:spacing w:before="120" w:after="120"/>
        <w:rPr>
          <w:rFonts w:eastAsiaTheme="minorEastAsia"/>
        </w:rPr>
      </w:pPr>
      <w:r w:rsidRPr="008608AA">
        <w:t xml:space="preserve">With the increasing recognition of indigenous rights and public recognition of NCP, the establishment of indigenous and private reserves has increased notably. Indigenous reserves in South America tend to be concentrated in tropical forests where they contribute greatly to the integrity of ecosystem services, and the sustainable use of many plant and animal species used for human-well-being. Currently, indigenous reserves in Latin America and the Caribbean account for around 12% of all protected land </w:t>
      </w:r>
      <w:r w:rsidRPr="008608AA">
        <w:fldChar w:fldCharType="begin" w:fldLock="1"/>
      </w:r>
      <w:r w:rsidRPr="008608AA">
        <w:instrText>ADDIN CSL_CITATION { "citationItems" : [ { "id" : "ITEM-1", "itemData" : { "author" : [ { "dropping-particle" : "", "family" : "Nelson", "given" : "A.", "non-dropping-particle" : "", "parse-names" : false, "suffix" : "" }, { "dropping-particle" : "", "family" : "Chomitz", "given" : "K. M.", "non-dropping-particle" : "", "parse-names" : false, "suffix" : "" } ], "container-title" : "PLoS ONE", "id" : "ITEM-1", "issue" : "8", "issued" : { "date-parts" : [ [ "2011" ] ] }, "page" : "e22722", "title" : "Effectiveness of strict vs. multiple use protected areas in reducing tropical forest fires: a global analysis using matching methods", "type" : "article-journal", "volume" : "6" }, "uris" : [ "http://www.mendeley.com/documents/?uuid=15c9bf19-1a4b-449f-91d4-1e5dac6978b5" ] } ], "mendeley" : { "formattedCitation" : "(A. Nelson &amp; Chomitz, 2011)", "manualFormatting" : "(Nelson &amp; Chomitz, 2011)", "plainTextFormattedCitation" : "(A. Nelson &amp; Chomitz, 2011)", "previouslyFormattedCitation" : "(A. Nelson &amp; Chomitz, 2011)" }, "properties" : { "noteIndex" : 0 }, "schema" : "https://github.com/citation-style-language/schema/raw/master/csl-citation.json" }</w:instrText>
      </w:r>
      <w:r w:rsidRPr="008608AA">
        <w:fldChar w:fldCharType="separate"/>
      </w:r>
      <w:r w:rsidRPr="008608AA">
        <w:rPr>
          <w:noProof/>
        </w:rPr>
        <w:t>(Nelson &amp; Chomitz, 2011)</w:t>
      </w:r>
      <w:r w:rsidRPr="008608AA">
        <w:fldChar w:fldCharType="end"/>
      </w:r>
      <w:r w:rsidRPr="008608AA">
        <w:t xml:space="preserve"> (for more details on the contribution of indigenous reserves to human well-being see Chapter 2). In the Amazon, around 3000 indigenous lands (not all recognized) now cover over 2 million km</w:t>
      </w:r>
      <w:r w:rsidRPr="008608AA">
        <w:rPr>
          <w:vertAlign w:val="superscript"/>
        </w:rPr>
        <w:t>2</w:t>
      </w:r>
      <w:r w:rsidRPr="008608AA">
        <w:t xml:space="preserve"> </w:t>
      </w:r>
      <w:r w:rsidRPr="008608AA">
        <w:fldChar w:fldCharType="begin" w:fldLock="1"/>
      </w:r>
      <w:r w:rsidRPr="008608AA">
        <w:instrText>ADDIN CSL_CITATION { "citationItems" : [ { "id" : "ITEM-1", "itemData" : { "ISBN" : "978-2-940529-37-7", "editor" : [ { "dropping-particle" : "", "family" : "Charity", "given" : "S.", "non-dropping-particle" : "", "parse-names" : false, "suffix" : "" }, { "dropping-particle" : "", "family" : "Dudley", "given" : "N.", "non-dropping-particle" : "", "parse-names" : false, "suffix" : "" }, { "dropping-particle" : "", "family" : "Oliveira", "given" : "D.", "non-dropping-particle" : "", "parse-names" : false, "suffix" : "" }, { "dropping-particle" : "", "family" : "Stolton", "given" : "S.", "non-dropping-particle" : "", "parse-names" : false, "suffix" : "" } ], "id" : "ITEM-1", "issued" : { "date-parts" : [ [ "2016" ] ] }, "publisher" : "WWF Living Amazon Initiative", "publisher-place" : "Bras\u00edlia, Brazil and Quito, Ecuador", "title" : "Living Amazon Report 2016: A Regional Approach to Conservation in the Amazon", "type" : "book" }, "uris" : [ "http://www.mendeley.com/documents/?uuid=cc024ac3-df91-4454-a6b1-2df30626b009" ] } ], "mendeley" : { "formattedCitation" : "(Charity et al., 2016)", "manualFormatting" : "(Charity et al., 2016;", "plainTextFormattedCitation" : "(Charity et al., 2016)", "previouslyFormattedCitation" : "(Charity et al., 2016)" }, "properties" : { "noteIndex" : 0 }, "schema" : "https://github.com/citation-style-language/schema/raw/master/csl-citation.json" }</w:instrText>
      </w:r>
      <w:r w:rsidRPr="008608AA">
        <w:fldChar w:fldCharType="separate"/>
      </w:r>
      <w:r w:rsidRPr="008608AA">
        <w:rPr>
          <w:noProof/>
        </w:rPr>
        <w:t>(Charity et al., 2016;</w:t>
      </w:r>
      <w:r w:rsidRPr="008608AA">
        <w:fldChar w:fldCharType="end"/>
      </w:r>
      <w:r w:rsidRPr="008608AA">
        <w:t xml:space="preserve"> Figure 3.34). Both </w:t>
      </w:r>
      <w:r w:rsidRPr="008608AA">
        <w:rPr>
          <w:rFonts w:eastAsiaTheme="minorEastAsia"/>
        </w:rPr>
        <w:t xml:space="preserve">uninhabited protected areas (parks) and indigenous lands have proven to reduce deforestation and fire in South American wet tropical forest </w:t>
      </w:r>
      <w:r w:rsidRPr="008608AA">
        <w:rPr>
          <w:rFonts w:eastAsiaTheme="minorEastAsia"/>
        </w:rPr>
        <w:fldChar w:fldCharType="begin" w:fldLock="1"/>
      </w:r>
      <w:r w:rsidRPr="008608AA">
        <w:rPr>
          <w:rFonts w:eastAsiaTheme="minorEastAsia"/>
        </w:rPr>
        <w:instrText>ADDIN CSL_CITATION { "citationItems" : [ { "id" : "ITEM-1", "itemData" : { "DOI" : "http://dx.doi.org/10.1016/j.biocon.2009.02.002", "ISSN" : "0006-3207", "author" : [ { "dropping-particle" : "", "family" : "Armenteras", "given" : "Dolors", "non-dropping-particle" : "", "parse-names" : false, "suffix" : "" }, { "dropping-particle" : "", "family" : "Rodr\u00edguez", "given" : "Nelly", "non-dropping-particle" : "", "parse-names" : false, "suffix" : "" }, { "dropping-particle" : "", "family" : "Retana", "given" : "Javier", "non-dropping-particle" : "", "parse-names" : false, "suffix" : "" } ], "container-title" : "Biological Conservation", "id" : "ITEM-1", "issue" : "7", "issued" : { "date-parts" : [ [ "2009" ] ] }, "page" : "1411-1419", "title" : "Are conservation strategies effective in avoiding the deforestation of the Colombian Guyana Shield?", "type" : "article-journal", "volume" : "142" }, "uris" : [ "http://www.mendeley.com/documents/?uuid=2d263e59-f436-4d5c-a316-88208d9b7d43" ] }, { "id" : "ITEM-2", "itemData" : { "DOI" : "10.1111/j.1523-1739.2006.00351.x", "ISSN" : "1523-1739", "abstract" : "Abstract: Conservation scientists generally agree that many types of protected areas will be needed to protect tropical forests. But little is known of the comparative performance of inhabited and uninhabited reserves in slowing the most extreme form of forest disturbance: conversion to agriculture. We used satellite-based maps of land cover and fire occurrence in the Brazilian Amazon to compare the performance of large (&gt;10,000 ha) uninhabited (parks) and inhabited (indigenous lands, extractive reserves, and national forests) reserves. Reserves significantly reduced both deforestation and fire. Deforestation was 1.7 (extractive reserves) to 20 (parks) times higher along the outside versus the inside of the reserve perimeters and fire occurrence was 4 (indigenous lands) to 9 (national forests) times higher. No strong difference in the inhibition of deforestation (p= 0.11) or fire (p= 0.34) was found between parks and indigenous lands. However, uninhabited reserves tended to be located away from areas of high deforestation and burning rates. In contrast, indigenous lands were often created in response to frontier expansion, and many prevented deforestation completely despite high rates of deforestation along their boundaries. The inhibitory effect of indigenous lands on deforestation was strong after centuries of contact with the national society and was not correlated with indigenous population density. Indigenous lands occupy one-fifth of the Brazilian Amazon\u2014five times the area under protection in parks\u2014and are currently the most important barrier to Amazon deforestation. As the protected-area network expands from 36% to 41% of the Brazilian Amazon over the coming years, the greatest challenge will be successful reserve implementation in high-risk areas of frontier expansion as indigenous lands are strengthened. This success will depend on a broad base of political support.", "author" : [ { "dropping-particle" : "", "family" : "Nepstad", "given" : "D", "non-dropping-particle" : "", "parse-names" : false, "suffix" : "" }, { "dropping-particle" : "", "family" : "Schwartzman", "given" : "S", "non-dropping-particle" : "", "parse-names" : false, "suffix" : "" }, { "dropping-particle" : "", "family" : "Bamberger", "given" : "B", "non-dropping-particle" : "", "parse-names" : false, "suffix" : "" }, { "dropping-particle" : "", "family" : "SantillI", "given" : "M", "non-dropping-particle" : "", "parse-names" : false, "suffix" : "" }, { "dropping-particle" : "", "family" : "Ray", "given" : "D", "non-dropping-particle" : "", "parse-names" : false, "suffix" : "" }, { "dropping-particle" : "", "family" : "Schlesinger", "given" : "P", "non-dropping-particle" : "", "parse-names" : false, "suffix" : "" }, { "dropping-particle" : "", "family" : "Lefebvre", "given" : "P", "non-dropping-particle" : "", "parse-names" : false, "suffix" : "" }, { "dropping-particle" : "", "family" : "Alencar", "given" : "A", "non-dropping-particle" : "", "parse-names" : false, "suffix" : "" }, { "dropping-particle" : "", "family" : "Prinz", "given" : "E", "non-dropping-particle" : "", "parse-names" : false, "suffix" : "" }, { "dropping-particle" : "", "family" : "Fiske", "given" : "G", "non-dropping-particle" : "", "parse-names" : false, "suffix" : "" }, { "dropping-particle" : "", "family" : "Rolla", "given" : "A", "non-dropping-particle" : "", "parse-names" : false, "suffix" : "" } ], "container-title" : "Conservation Biology", "id" : "ITEM-2", "issue" : "1", "issued" : { "date-parts" : [ [ "2006" ] ] }, "page" : "65-73", "publisher" : "Blackwell Science Inc", "title" : "Inhibition of Amazon deforestation and fire by parks and indigenous lands", "type" : "article-journal", "volume" : "20" }, "uris" : [ "http://www.mendeley.com/documents/?uuid=c4670632-49b5-4463-b608-e91bc818143e" ] } ], "mendeley" : { "formattedCitation" : "(Dolors Armenteras, Rodr\u00edguez, &amp; Retana, 2009; D Nepstad et al., 2006)", "manualFormatting" : "(Armenteras et al., 2009; Nepstad et al., 2006; Nelson &amp; Chomitz, 2011)", "plainTextFormattedCitation" : "(Dolors Armenteras, Rodr\u00edguez, &amp; Retana, 2009; D Nepstad et al., 2006)", "previouslyFormattedCitation" : "(Dolors Armenteras, Rodr\u00edguez, &amp; Retana, 2009; D Nepstad et al., 2006)"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(Armenteras et al., 2009; Nepstad et al., 2006; Nelson &amp; Chomitz, 2011)</w:t>
      </w:r>
      <w:r w:rsidRPr="008608AA">
        <w:rPr>
          <w:rFonts w:eastAsiaTheme="minorEastAsia"/>
        </w:rPr>
        <w:fldChar w:fldCharType="end"/>
      </w:r>
      <w:r w:rsidRPr="008608AA">
        <w:rPr>
          <w:rFonts w:eastAsiaTheme="minorEastAsia"/>
        </w:rPr>
        <w:t xml:space="preserve">, and contain viable populations of most threatened tree species </w:t>
      </w:r>
      <w:r w:rsidRPr="008608AA">
        <w:rPr>
          <w:rFonts w:eastAsiaTheme="minorEastAsia"/>
        </w:rPr>
        <w:fldChar w:fldCharType="begin" w:fldLock="1"/>
      </w:r>
      <w:r w:rsidRPr="008608AA">
        <w:rPr>
          <w:rFonts w:eastAsiaTheme="minorEastAsia"/>
        </w:rPr>
        <w:instrText>ADDIN CSL_CITATION { "citationItems" : [ { "id" : "ITEM-1", "itemData" : { "ISSN" : "2375-2548", "author" : [ { "dropping-particle" : "", "family" : "Steege", "given" : "Hans", "non-dropping-particle" : "ter", "parse-names" : false, "suffix" : "" }, { "dropping-particle" : "", "family" : "Pitman", "given" : "Nigel C. A.", "non-dropping-particle" : "", "parse-names" : false, "suffix" : "" }, { "dropping-particle" : "", "family" : "Killeen", "given" : "Timothy J.", "non-dropping-particle" : "", "parse-names" : false, "suffix" : "" }, { "dropping-particle" : "", "family" : "Laurance", "given" : "William F.", "non-dropping-particle" : "", "parse-names" : false, "suffix" : "" }, { "dropping-particle" : "", "family" : "Peres", "given" : "Carlos A.", "non-dropping-particle" : "", "parse-names" : false, "suffix" : "" }, { "dropping-particle" : "", "family" : "Guevara", "given" : "Juan Ernesto", "non-dropping-particle" : "", "parse-names" : false, "suffix" : "" }, { "dropping-particle" : "", "family" : "Salom\u00e3o", "given" : "Rafael P.", "non-dropping-particle" : "", "parse-names" : false, "suffix" : "" }, { "dropping-particle" : "V.", "family" : "Castilho", "given" : "Carolina", "non-dropping-particle" : "", "parse-names" : false, "suffix" : "" }, { "dropping-particle" : "", "family" : "Amaral", "given" : "I\u00eada Le\u00e3o", "non-dropping-particle" : "", "parse-names" : false, "suffix" : "" }, { "dropping-particle" : "", "family" : "Almeida Matos", "given" : "Francisca Dion\u00edzia", "non-dropping-particle" : "de", "parse-names" : false, "suffix" : "" } ], "container-title" : "Science Advances", "id" : "ITEM-1", "issue" : "10", "issued" : { "date-parts" : [ [ "2015" ] ] }, "page" : "e1500936", "publisher" : "American Association for the Advancement of Science", "title" : "Estimating the global conservation status of more than 15,000 Amazonian tree species", "type" : "article-journal", "volume" : "1" }, "uris" : [ "http://www.mendeley.com/documents/?uuid=41f3a921-2c30-4f67-9e33-4c65b78e35eb" ] } ], "mendeley" : { "formattedCitation" : "(Hans ter Steege et al., 2015)", "manualFormatting" : "(ter Steege et al., 2015)", "plainTextFormattedCitation" : "(Hans ter Steege et al., 2015)", "previouslyFormattedCitation" : "(Hans ter Steege et al., 2015)" }, "properties" : { "noteIndex" : 0 }, "schema" : "https://github.com/citation-style-language/schema/raw/master/csl-citation.json" }</w:instrText>
      </w:r>
      <w:r w:rsidRPr="008608AA">
        <w:rPr>
          <w:rFonts w:eastAsiaTheme="minorEastAsia"/>
        </w:rPr>
        <w:fldChar w:fldCharType="separate"/>
      </w:r>
      <w:r w:rsidRPr="008608AA">
        <w:rPr>
          <w:rFonts w:eastAsiaTheme="minorEastAsia"/>
          <w:noProof/>
        </w:rPr>
        <w:t>(ter Steege et al., 2015)</w:t>
      </w:r>
      <w:r w:rsidRPr="008608AA">
        <w:rPr>
          <w:rFonts w:eastAsiaTheme="minorEastAsia"/>
        </w:rPr>
        <w:fldChar w:fldCharType="end"/>
      </w:r>
      <w:r w:rsidRPr="008608AA">
        <w:rPr>
          <w:rFonts w:eastAsiaTheme="minorEastAsia"/>
        </w:rPr>
        <w:t xml:space="preserve">. </w:t>
      </w:r>
    </w:p>
    <w:p w14:paraId="7C320341" w14:textId="6BA95A9A" w:rsidR="00523ECB" w:rsidRPr="008608AA" w:rsidRDefault="00C37A3E" w:rsidP="00523ECB">
      <w:pPr>
        <w:spacing w:before="120" w:after="120"/>
        <w:jc w:val="center"/>
      </w:pPr>
      <w:r w:rsidRPr="008608AA">
        <w:rPr>
          <w:noProof/>
          <w:lang w:val="en-GB" w:eastAsia="en-GB"/>
        </w:rPr>
        <w:drawing>
          <wp:inline distT="0" distB="0" distL="0" distR="0" wp14:anchorId="00D76CEA" wp14:editId="3550552F">
            <wp:extent cx="5934075" cy="3305175"/>
            <wp:effectExtent l="0" t="0" r="9525" b="9525"/>
            <wp:docPr id="2083" name="Imagen 2083" descr="C:\Users\Alejandro Valderrama\Downloads\Fig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1" descr="C:\Users\Alejandro Valderrama\Downloads\Fig3.34.jpg"/>
                    <pic:cNvPicPr>
                      <a:picLocks noChangeAspect="1" noChangeArrowheads="1"/>
                    </pic:cNvPicPr>
                  </pic:nvPicPr>
                  <pic:blipFill rotWithShape="1">
                    <a:blip r:embed="rId149">
                      <a:extLst>
                        <a:ext uri="{28A0092B-C50C-407E-A947-70E740481C1C}">
                          <a14:useLocalDpi xmlns:a14="http://schemas.microsoft.com/office/drawing/2010/main" val="0"/>
                        </a:ext>
                      </a:extLst>
                    </a:blip>
                    <a:srcRect b="61359"/>
                    <a:stretch/>
                  </pic:blipFill>
                  <pic:spPr bwMode="auto">
                    <a:xfrm>
                      <a:off x="0" y="0"/>
                      <a:ext cx="5934075" cy="3305175"/>
                    </a:xfrm>
                    <a:prstGeom prst="rect">
                      <a:avLst/>
                    </a:prstGeom>
                    <a:noFill/>
                    <a:ln>
                      <a:noFill/>
                    </a:ln>
                    <a:extLst>
                      <a:ext uri="{53640926-AAD7-44D8-BBD7-CCE9431645EC}">
                        <a14:shadowObscured xmlns:a14="http://schemas.microsoft.com/office/drawing/2010/main"/>
                      </a:ext>
                    </a:extLst>
                  </pic:spPr>
                </pic:pic>
              </a:graphicData>
            </a:graphic>
          </wp:inline>
        </w:drawing>
      </w:r>
    </w:p>
    <w:p w14:paraId="29ACACB3" w14:textId="41ADFAE9" w:rsidR="004255E7" w:rsidRPr="008608AA" w:rsidRDefault="004255E7" w:rsidP="00523ECB">
      <w:pPr>
        <w:spacing w:before="120" w:after="120"/>
      </w:pPr>
      <w:r w:rsidRPr="008608AA">
        <w:t xml:space="preserve">Private conservation efforts are now important in the temperate forests of southern South America </w:t>
      </w:r>
      <w:r w:rsidRPr="008608AA">
        <w:rPr>
          <w:color w:val="000000" w:themeColor="text1"/>
        </w:rPr>
        <w:fldChar w:fldCharType="begin" w:fldLock="1"/>
      </w:r>
      <w:r w:rsidRPr="008608AA">
        <w:rPr>
          <w:color w:val="000000" w:themeColor="text1"/>
        </w:rPr>
        <w:instrText>ADDIN CSL_CITATION { "citationItems" : [ { "id" : "ITEM-1", "itemData" : { "DOI" : "10.1017/S0376892911000208", "ISBN" : "0376-8929", "ISSN" : "0376-8929", "abstract" : "Because protected areas are a major means of conservation, the extent to which ecosystems are represented under different protection regimes needs to be ascertained. A gap analysis approach was used to assess the representativeness of Chile\u2019s terrestrial ecosystems in differing kinds of protected areas. Terrestrial ecosystems were described in terms of potential vegetation, employing three protection scenarios. Scenario 1 was based exclusively on the Chilean National System of Protected Wild Areas (SNASPE). Scenario 2 included all types of public protected areas, namely SNASPE, nature sanctuaries and Ministry of National Heritage lands. Scenario 3 included all items in Scenario 2, but also included private protected areas and biodiversity priority sites. There is insufficient protection of terrestrial ecosystems under the Scenario 2. In addition to the low level of ecosystem protection provided by state protected areas (only 42 of the 127 terrestrial ecosystems had &gt;10% of their area protected), 23 terrestrial ecosystems were identified as having no protection at the national level. Gaps in protection were concentrated in theNorth (both coastal and inland desertic scrub), Central (thorny scrub, thorny forests, sclerophyllous forests and deciduous coastal forests) andAustral (steppe ecosystems) regions ofChile.These gaps include ecosystems that are of global conservation importance.", "author" : [ { "dropping-particle" : "", "family" : "Pliscoff", "given" : "P.", "non-dropping-particle" : "", "parse-names" : false, "suffix" : "" }, { "dropping-particle" : "", "family" : "Fuentes-Castillo", "given" : "T.", "non-dropping-particle" : "", "parse-names" : false, "suffix" : "" } ], "container-title" : "Environmental Conservation", "id" : "ITEM-1", "issue" : "3", "issued" : { "date-parts" : [ [ "2011" ] ] }, "page" : "303-311", "title" : "Representativeness of terrestrial ecosystems in Chile's protected area system", "type" : "article-journal", "volume" : "38" }, "uris" : [ "http://www.mendeley.com/documents/?uuid=b789faa5-4b0b-372d-ae7a-8bcc327ad398" ] } ], "mendeley" : { "formattedCitation" : "(Pliscoff &amp; Fuentes-Castillo, 2011)", "manualFormatting" : "(Pliscoff &amp; Fuentes-Castillo, 2011)", "plainTextFormattedCitation" : "(Pliscoff &amp; Fuentes-Castillo, 2011)", "previouslyFormattedCitation" : "(Pliscoff &amp; Fuentes-Castillo, 2011)"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(Pliscoff &amp; Fuentes-Castillo, 2011)</w:t>
      </w:r>
      <w:r w:rsidRPr="008608AA">
        <w:rPr>
          <w:color w:val="000000" w:themeColor="text1"/>
        </w:rPr>
        <w:fldChar w:fldCharType="end"/>
      </w:r>
      <w:r w:rsidRPr="008608AA">
        <w:rPr>
          <w:color w:val="000000" w:themeColor="text1"/>
        </w:rPr>
        <w:t xml:space="preserve">, the Mediterranean forests, woodland and scrub biome in California </w:t>
      </w:r>
      <w:r w:rsidRPr="008608AA">
        <w:rPr>
          <w:color w:val="000000" w:themeColor="text1"/>
        </w:rPr>
        <w:fldChar w:fldCharType="begin" w:fldLock="1"/>
      </w:r>
      <w:r w:rsidRPr="008608AA">
        <w:rPr>
          <w:color w:val="000000" w:themeColor="text1"/>
        </w:rPr>
        <w:instrText>ADDIN CSL_CITATION { "citationItems" : [ { "id" : "ITEM-1", "itemData" : { "author" : [ { "dropping-particle" : "", "family" : "Paulich", "given" : "N.", "non-dropping-particle" : "", "parse-names" : false, "suffix" : "" } ], "container-title" : "Journal of Animal Law and Policy", "id" : "ITEM-1", "issued" : { "date-parts" : [ [ "2010" ] ] }, "page" : "106-158", "title" : "Increasing private conservation through incentive mechanisms", "type" : "article-journal", "volume" : "3" }, "uris" : [ "http://www.mendeley.com/documents/?uuid=169c7165-e0ef-4fbd-8075-83f7a4ff54e7" ] } ], "mendeley" : { "formattedCitation" : "(Paulich, 2010)", "plainTextFormattedCitation" : "(Paulich, 2010)", "previouslyFormattedCitation" : "(Paulich, 2010)"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(Paulich, 2010)</w:t>
      </w:r>
      <w:r w:rsidRPr="008608AA">
        <w:rPr>
          <w:color w:val="000000" w:themeColor="text1"/>
        </w:rPr>
        <w:fldChar w:fldCharType="end"/>
      </w:r>
      <w:r w:rsidRPr="008608AA">
        <w:rPr>
          <w:color w:val="000000" w:themeColor="text1"/>
        </w:rPr>
        <w:t xml:space="preserve">, and in Brazil in general </w:t>
      </w:r>
      <w:r w:rsidRPr="008608AA">
        <w:rPr>
          <w:color w:val="000000" w:themeColor="text1"/>
        </w:rPr>
        <w:fldChar w:fldCharType="begin" w:fldLock="1"/>
      </w:r>
      <w:r w:rsidRPr="008608AA">
        <w:rPr>
          <w:color w:val="000000" w:themeColor="text1"/>
        </w:rPr>
        <w:instrText>ADDIN CSL_CITATION { "citationItems" : [ { "id" : "ITEM-1", "itemData" : { "DOI" : "10.1016/j.jnc.2015.09.007", "ISBN" : "1617-1381", "ISSN" : "16171381", "abstract" : "Traditional strategies to stem declines in biodiversity include the establishment of public protected area networks. However, private lands are an increasingly important component of contemporary reserve networks. Despite the increasing recognition of the value of private lands for conservation little is known about these areas. Consequently, this study aimed to re-evaluate the changes in private reserves in Brazil since 2005. Brazil's private reserve system is represented by 1182 reserves, recognized under federal law and created to protect nature in perpetuity. These reserves protect 7502km2 of land and are distributed across seven terrestrial biomes. This is an overall increase of 35% in the number of reserves (n = 753) and 3265 km2 of protected land (&lt;0.05% of Brazilian terrestrial extent) since 2005. Forty-eight percent of the reserves (n = 572) are each smaller than 0.5 km2. While 749 (67%) of all private reserves (n = 1,182) are located in the Atlantic Forest biome, 38% of the overall area protected under the private reserve system is in the Pantanal biome, which has only 10 reserves. For landowners, the establishment of these reserves is a costly and bureaucratic process. Few economic incentives to establish reserves are available and comprise mostly tax breaks and funding from NGOs to assist with the establishment and management activities. The private reserve network provides valuable contributions to watershed and species conservation in Brazil, despite their limited size and challenges to create and manage these areas. Greater funding opportunities to landowners can be a catalyst for the establishment of reserves beyond the Atlantic Forest biome.", "author" : [ { "dropping-particle" : "", "family" : "Vasconcellos Pegas", "given" : "F.", "non-dropping-particle" : "de", "parse-names" : false, "suffix" : "" }, { "dropping-particle" : "", "family" : "Castley", "given" : "J. G.", "non-dropping-particle" : "", "parse-names" : false, "suffix" : "" } ], "container-title" : "Journal for Nature Conservation", "id" : "ITEM-1", "issued" : { "date-parts" : [ [ "2016" ] ] }, "page" : "14-24", "title" : "Private reserves in Brazil: Distribution patterns, logistical challenges, and conservation contributions", "type" : "article-journal", "volume" : "29" }, "uris" : [ "http://www.mendeley.com/documents/?uuid=ee20060d-b628-423d-bf26-297282367797" ] } ], "mendeley" : { "formattedCitation" : "(de Vasconcellos Pegas &amp; Castley, 2016)", "manualFormatting" : "(de Vasconcellos Pegas &amp; Castley, 2016)", "plainTextFormattedCitation" : "(de Vasconcellos Pegas &amp; Castley, 2016)", "previouslyFormattedCitation" : "(de Vasconcellos Pegas &amp; Castley, 2016)"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(de Vasconcellos Pegas &amp; Castley, 2016)</w:t>
      </w:r>
      <w:r w:rsidRPr="008608AA">
        <w:rPr>
          <w:color w:val="000000" w:themeColor="text1"/>
        </w:rPr>
        <w:fldChar w:fldCharType="end"/>
      </w:r>
      <w:r w:rsidRPr="008608AA">
        <w:rPr>
          <w:color w:val="000000" w:themeColor="text1"/>
        </w:rPr>
        <w:t>. Brazil’s private reserves are distributed across seven biomes</w:t>
      </w:r>
      <w:r w:rsidR="00EC1796" w:rsidRPr="008608AA">
        <w:rPr>
          <w:color w:val="000000" w:themeColor="text1"/>
        </w:rPr>
        <w:t xml:space="preserve"> (six terrestrial and the marine)</w:t>
      </w:r>
      <w:r w:rsidRPr="008608AA">
        <w:rPr>
          <w:color w:val="000000" w:themeColor="text1"/>
        </w:rPr>
        <w:t xml:space="preserve">; they are recognized under federal law and created to protect nature in perpetuity. Private conservation efforts in the USA have been stimulated by the fact that around two-thirds of the land in the continental USA is privately owned and three-quarters of all threatened or endangered species depend on private land for habitat, food or breeding </w:t>
      </w:r>
      <w:r w:rsidRPr="008608AA">
        <w:rPr>
          <w:color w:val="000000" w:themeColor="text1"/>
        </w:rPr>
        <w:fldChar w:fldCharType="begin" w:fldLock="1"/>
      </w:r>
      <w:r w:rsidRPr="008608AA">
        <w:rPr>
          <w:color w:val="000000" w:themeColor="text1"/>
        </w:rPr>
        <w:instrText>ADDIN CSL_CITATION { "citationItems" : [ { "id" : "ITEM-1", "itemData" : { "author" : [ { "dropping-particle" : "", "family" : "Paulich", "given" : "N.", "non-dropping-particle" : "", "parse-names" : false, "suffix" : "" } ], "container-title" : "Journal of Animal Law and Policy", "id" : "ITEM-1", "issued" : { "date-parts" : [ [ "2010" ] ] }, "page" : "106-158", "title" : "Increasing private conservation through incentive mechanisms", "type" : "article-journal", "volume" : "3" }, "uris" : [ "http://www.mendeley.com/documents/?uuid=169c7165-e0ef-4fbd-8075-83f7a4ff54e7" ] } ], "mendeley" : { "formattedCitation" : "(Paulich, 2010)", "plainTextFormattedCitation" : "(Paulich, 2010)", "previouslyFormattedCitation" : "(Paulich, 2010)"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(Paulich, 2010)</w:t>
      </w:r>
      <w:r w:rsidRPr="008608AA">
        <w:rPr>
          <w:color w:val="000000" w:themeColor="text1"/>
        </w:rPr>
        <w:fldChar w:fldCharType="end"/>
      </w:r>
      <w:r w:rsidRPr="008608AA">
        <w:rPr>
          <w:color w:val="000000" w:themeColor="text1"/>
        </w:rPr>
        <w:t>.</w:t>
      </w:r>
      <w:r w:rsidRPr="008608AA">
        <w:rPr>
          <w:color w:val="505050"/>
        </w:rPr>
        <w:t xml:space="preserve"> </w:t>
      </w:r>
      <w:r w:rsidRPr="008608AA">
        <w:rPr>
          <w:color w:val="000000" w:themeColor="text1"/>
        </w:rPr>
        <w:t>A similar situation could occur in the South American Mediterranean biome. While priva</w:t>
      </w:r>
      <w:r w:rsidRPr="008608AA">
        <w:t xml:space="preserve">te initiatives are noteworthy, they sometimes risk outcomes of the establishment of protected areas in places that are large and cheap but of less importance for biodiversity conservation </w:t>
      </w:r>
      <w:r w:rsidRPr="008608AA">
        <w:fldChar w:fldCharType="begin" w:fldLock="1"/>
      </w:r>
      <w:r w:rsidRPr="008608AA">
        <w:instrText>ADDIN CSL_CITATION { "citationItems" : [ { "id" : "ITEM-1", "itemData" : { "DOI" : "10.1038/526195e", "ISBN" : "9788578110796", "ISSN" : "0028-0836", "PMID" : "25246403", "abstract" : "The Convention on Biological Diversity's Aichi Target 11 mandates that 17% of terrestrial and 10% of marine environments be conserved in protected areas by 2020. Such simple numeric indicators act as motivators and a measure of progress. But striving to meet the stipulated coverage should not compromise the convention's broader goal of maximizing biodiversity. Area coverage is the only element of Target 11 that is on track, at least on land (D. P. Tittensor et al. Science 346, 241\u2013244; 2014). Other crucial elements are effective, equitable biodiversity management; ecological representation of a mix of ecosystems; and connectivity between sites to allow species dispersal. Some species and ecosystems may be lost if implementation of these elements is delayed much longer. Focusing on area coverage alone risks creating perverse outcomes. It encourages the proliferation of large protected areas that are under little threat, and neglects areas where protection is most needed (see go.nature.com/o5ny9j and go.nature.com/hi6qn5). If not considered in the context of other elements of Target 11, maximizing the area under protection increases the financial and political cost of meeting the same biodiversity goals. As with other global policy goals (see S. Fukuda-Parr J. Hum. Dev. Capab. 15, 118\u2013131; 2014), the abstract global target has created unintended consequences for national conservation planning. With negotiations beginning in 2016 for the next tranche of the convention's targets, new incentives are needed to emphasize the pivotal additional elements of Target 11.", "author" : [ { "dropping-particle" : "", "family" : "Barnes", "given" : "Megan", "non-dropping-particle" : "", "parse-names" : false, "suffix" : "" } ], "container-title" : "Nature", "id" : "ITEM-1", "issue" : "7572", "issued" : { "date-parts" : [ [ "2015", "10" ] ] }, "page" : "195-195", "publisher" : "Nature Publishing Group, a division of Macmillan Publishers Limited. All Rights Reserved.", "title" : "Aichi targets: Protect biodiversity, not just area", "type" : "article-journal", "volume" : "526" }, "uris" : [ "http://www.mendeley.com/documents/?uuid=7c1ef3cc-ae10-48ac-9ebc-e6e1955fb767" ] } ], "mendeley" : { "formattedCitation" : "(Barnes, 2015)", "plainTextFormattedCitation" : "(Barnes, 2015)", "previouslyFormattedCitation" : "(Barnes, 2015)" }, "properties" : { "noteIndex" : 0 }, "schema" : "https://github.com/citation-style-language/schema/raw/master/csl-citation.json" }</w:instrText>
      </w:r>
      <w:r w:rsidRPr="008608AA">
        <w:fldChar w:fldCharType="separate"/>
      </w:r>
      <w:r w:rsidRPr="008608AA">
        <w:rPr>
          <w:noProof/>
        </w:rPr>
        <w:t>(Barnes, 2015)</w:t>
      </w:r>
      <w:r w:rsidRPr="008608AA">
        <w:fldChar w:fldCharType="end"/>
      </w:r>
      <w:r w:rsidRPr="008608AA">
        <w:t xml:space="preserve">, or choices being made on purely aesthetic grounds increasing protection where it sometimes is perhaps less required. It is therefore essential to complement these measures with measures of safeguard of important sites </w:t>
      </w:r>
      <w:r w:rsidRPr="008608AA">
        <w:fldChar w:fldCharType="begin" w:fldLock="1"/>
      </w:r>
      <w:r w:rsidRPr="008608AA">
        <w:instrText>ADDIN CSL_CITATION { "citationItems" : [ { "id" : "ITEM-1", "itemData" : { "DOI" : "10.1371/journal.pone.0032529", "author" : [ { "dropping-particle" : "", "family" : "Butchart", "given" : "Stuart H. M.", "non-dropping-particle" : "", "parse-names" : false, "suffix" : "" }, { "dropping-particle" : "", "family" : "Scharlemann", "given" : "J. P. W.", "non-dropping-particle" : "", "parse-names" : false, "suffix" : "" }, { "dropping-particle" : "", "family" : "Evans", "given" : "Mike I.", "non-dropping-particle" : "", "parse-names" : false, "suffix" : "" }, { "dropping-particle" : "", "family" : "Quader", "given" : "Suhel", "non-dropping-particle" : "", "parse-names" : false, "suffix" : "" }, { "dropping-particle" : "", "family" : "Arico", "given" : "Salvatore", "non-dropping-particle" : "", "parse-names" : false, "suffix" : "" }, { "dropping-particle" : "", "family" : "Arinaitwe", "given" : "Julius", "non-dropping-particle" : "", "parse-names" : false, "suffix" : "" }, { "dropping-particle" : "", "family" : "Balman", "given" : "Mark", "non-dropping-particle" : "", "parse-names" : false, "suffix" : "" }, { "dropping-particle" : "", "family" : "Bennun", "given" : "Leon A.", "non-dropping-particle" : "", "parse-names" : false, "suffix" : "" }, { "dropping-particle" : "", "family" : "Bertzky", "given" : "Bastian", "non-dropping-particle" : "", "parse-names" : false, "suffix" : "" }, { "dropping-particle" : "", "family" : "Besancon", "given" : "Charles", "non-dropping-particle" : "", "parse-names" : false, "suffix" : "" }, { "dropping-particle" : "", "family" : "Boucher", "given" : "Timothy M.", "non-dropping-particle" : "", "parse-names" : false, "suffix" : "" }, { "dropping-particle" : "", "family" : "Brooks", "given" : "Thomas M.", "non-dropping-particle" : "", "parse-names" : false, "suffix" : "" }, { "dropping-particle" : "", "family" : "Burfield", "given" : "Ian J.", "non-dropping-particle" : "", "parse-names" : false, "suffix" : "" }, { "dropping-particle" : "", "family" : "Burgess", "given" : "Neil D.", "non-dropping-particle" : "", "parse-names" : false, "suffix" : "" }, { "dropping-particle" : "", "family" : "Chan", "given" : "Simba", "non-dropping-particle" : "", "parse-names" : false, "suffix" : "" }, { "dropping-particle" : "", "family" : "Clay", "given" : "Rob P.", "non-dropping-particle" : "", "parse-names" : false, "suffix" : "" }, { "dropping-particle" : "", "family" : "Crosby", "given" : "Mike J.", "non-dropping-particle" : "", "parse-names" : false, "suffix" : "" }, { "dropping-particle" : "", "family" : "Davidson", "given" : "Nicholas C.", "non-dropping-particle" : "", "parse-names" : false, "suffix" : "" }, { "dropping-particle" : "", "family" : "Silva", "given" : "Naamal", "non-dropping-particle" : "de", "parse-names" : false, "suffix" : "" }, { "dropping-particle" : "", "family" : "Devenish", "given" : "Christian", "non-dropping-particle" : "", "parse-names" : false, "suffix" : "" }, { "dropping-particle" : "", "family" : "Dutson", "given" : "Guy C.L.", "non-dropping-particle" : "", "parse-names" : false, "suffix" : "" }, { "dropping-particle" : "", "family" : "Fernandez", "given" : "David F. D. Z.", "non-dropping-particle" : "", "parse-names" : false, "suffix" : "" }, { "dropping-particle" : "", "family" : "Fishpool", "given" : "Lincoln D.C.", "non-dropping-particle" : "", "parse-names" : false, "suffix" : "" }, { "dropping-particle" : "", "family" : "Fitzgerald", "given" : "Claire", "non-dropping-particle" : "", "parse-names" : false, "suffix" : "" }, { "dropping-particle" : "", "family" : "Foster", "given" : "Matt", "non-dropping-particle" : "", "parse-names" : false, "suffix" : "" }, { "dropping-particle" : "", "family" : "Heath", "given" : "Melanie F.", "non-dropping-particle" : "", "parse-names" : false, "suffix" : "" }, { "dropping-particle" : "", "family" : "Hockings", "given" : "Marc", "non-dropping-particle" : "", "parse-names" : false, "suffix" : "" }, { "dropping-particle" : "", "family" : "Hoffmann", "given" : "Michael", "non-dropping-particle" : "", "parse-names" : false, "suffix" : "" }, { "dropping-particle" : "", "family" : "Knox", "given" : "David", "non-dropping-particle" : "", "parse-names" : false, "suffix" : "" }, { "dropping-particle" : "", "family" : "Larsen", "given" : "Frank W.", "non-dropping-particle" : "", "parse-names" : false, "suffix" : "" }, { "dropping-particle" : "", "family" : "Lamoreux", "given" : "John F.", "non-dropping-particle" : "", "parse-names" : false, "suffix" : "" }, { "dropping-particle" : "", "family" : "Loucks", "given" : "Colby", "non-dropping-particle" : "", "parse-names" : false, "suffix" : "" }, { "dropping-particle" : "", "family" : "May", "given" : "Ian", "non-dropping-particle" : "", "parse-names" : false, "suffix" : "" }, { "dropping-particle" : "", "family" : "Millett", "given" : "James", "non-dropping-particle" : "", "parse-names" : false, "suffix" : "" }, { "dropping-particle" : "", "family" : "Molloy", "given" : "Dominic", "non-dropping-particle" : "", "parse-names" : false, "suffix" : "" }, { "dropping-particle" : "", "family" : "Morling", "given" : "Paul", "non-dropping-particle" : "", "parse-names" : false, "suffix" : "" }, { "dropping-particle" : "", "family" : "Parr", "given" : "Mike", "non-dropping-particle" : "", "parse-names" : false, "suffix" : "" }, { "dropping-particle" : "", "family" : "Ricketts", "given" : "Taylor H.", "non-dropping-particle" : "", "parse-names" : false, "suffix" : "" }, { "dropping-particle" : "", "family" : "Seddon", "given" : "Nathalie", "non-dropping-particle" : "", "parse-names" : false, "suffix" : "" }, { "dropping-particle" : "", "family" : "Skolnik", "given" : "Benjamin", "non-dropping-particle" : "", "parse-names" : false, "suffix" : "" }, { "dropping-particle" : "", "family" : "Stuart", "given" : "Simon N.", "non-dropping-particle" : "", "parse-names" : false, "suffix" : "" }, { "dropping-particle" : "", "family" : "Upgren", "given" : "Amy", "non-dropping-particle" : "", "parse-names" : false, "suffix" : "" }, { "dropping-particle" : "", "family" : "Woodley", "given" : "Stephen", "non-dropping-particle" : "", "parse-names" : false, "suffix" : "" } ], "container-title" : "PLoS ONE", "id" : "ITEM-1", "issue" : "3", "issued" : { "date-parts" : [ [ "2016" ] ] }, "page" : "e32529", "publisher" : "Public Library of Science", "title" : "Protecting important sites for biodiversity contributes to meeting global conservation targets", "type" : "article-journal", "volume" : "7" }, "uris" : [ "http://www.mendeley.com/documents/?uuid=754e67d8-6a62-4579-a621-9accc3f6bc1f" ] } ], "mendeley" : { "formattedCitation" : "(Butchart et al., 2016)", "plainTextFormattedCitation" : "(Butchart et al., 2016)", "previouslyFormattedCitation" : "(Butchart et al., 2016)" }, "properties" : { "noteIndex" : 0 }, "schema" : "https://github.com/citation-style-language/schema/raw/master/csl-citation.json" }</w:instrText>
      </w:r>
      <w:r w:rsidRPr="008608AA">
        <w:fldChar w:fldCharType="separate"/>
      </w:r>
      <w:r w:rsidRPr="008608AA">
        <w:rPr>
          <w:noProof/>
        </w:rPr>
        <w:t>(Butchart et al., 2016)</w:t>
      </w:r>
      <w:r w:rsidRPr="008608AA">
        <w:fldChar w:fldCharType="end"/>
      </w:r>
      <w:r w:rsidRPr="008608AA">
        <w:t xml:space="preserve"> and encourage protection where it is most needed, regardless of aesthetic value. </w:t>
      </w:r>
    </w:p>
    <w:p w14:paraId="606A2365" w14:textId="35A48F53" w:rsidR="004255E7" w:rsidRPr="008608AA" w:rsidRDefault="004255E7" w:rsidP="00523ECB">
      <w:pPr>
        <w:spacing w:after="120"/>
      </w:pPr>
      <w:r w:rsidRPr="008608AA">
        <w:t xml:space="preserve">Despite the overall increase in protection and notable conservation success stories </w:t>
      </w:r>
      <w:r w:rsidRPr="008608AA">
        <w:fldChar w:fldCharType="begin" w:fldLock="1"/>
      </w:r>
      <w:r w:rsidRPr="008608AA">
        <w:instrText>ADDIN CSL_CITATION { "citationItems" : [ { "id" : "ITEM-1", "itemData" : { "ISBN" : "9786077607403", "abstract" : "En nuestro pa\u00eds y en el mundo vivimos rodeados, en los \u00faltimos tiempos, de noticias que distan mucho de ser optimistas o estimulantes. Es comprensible que lo ominoso de los acontecimientos predomine en el esp\u00edritu de mucha gente. Sin embargo, aunque M\u00e9xico ha experimentado una seria disminuci\u00f3n de su patrimo- nio natural como consecuencia de pol\u00edticas de desarrollo que han ignorado por largo tiem- po criterios ecol\u00f3gicos que garanticen la sustentabilidad, es justo decir que los casos en que ha sido posible conservar y manejar de manera sustentable ese patrimonio se han ido in- crementando notablemente, sobre todo desde fines del siglo pasado. Esto ha sido posible por una combinaci\u00f3n afortunada de factores. Primero, una tradi- ci\u00f3n de conocimiento de los recursos naturales, especialmente de la biota del pa\u00eds y de al- gunos de los ecosistemas m\u00e1s importantes de M\u00e9xico, tradici\u00f3n que se debe a la existencia \u2014en algunos casos desde hace m\u00e1s de cien a\u00f1os\u2014 de instituciones que albergaron inves- tigadores dedicados a estos estudios. Esas instituciones se multiplicaron durante la segunda mitad del siglo pasado, distribuy\u00e9ndose de manera relativamente amplia en el territorio mexicano. Como consecuencia de ello, durante el \u00faltimo cuarto del siglo XX hubo un cre- cimiento inusitado de la comunidad acad\u00e9mica dedicada a lo que podr\u00edamos llamar \u201clas ciencias de la biodiversidad\u201d, entre ellas la taxonom\u00eda, la biogeograf\u00eda y la ecolog\u00eda. La di- fusi\u00f3n de este conocimiento fue creando una conciencia ambiental en algunos sectores de la sociedad que dieron paso a la constituci\u00f3n y el fortalecimiento de diversas organizacio- nes civiles, gestoras activas de cambios locales. Por \u00faltimo, una serie de circunstancias afortunadas en la d\u00e9cada de los noventa dio paso a un desarrollo institucional, sobre todo en el \u00e1mbito federal, de estructuras, programas, opciones tecnol\u00f3gicas, marcos normativos, etc\u00e9tera, que estimularon una sensibilidad clara y definida sobre la importancia del cono- cimiento, la conservaci\u00f3n, el manejo y la restauraci\u00f3n de los recursos naturales con base en principios cient\u00edficos, y que le dieron a las cuestiones ambientales un lugar propio en las decisiones al respecto. Sin pretender minimizar la compleja realidad en que vivimos y lo mucho que a\u00fan falta por hacer, los editores de la obra hemos pensado en seleccionar, de entre una buena cantidad de acciones realizadas en las d\u00e9cadas m\u00e1s recientes, aquellas que nos han parecido ejemplos exitosos en cuanto a l\u2026", "author" : [ { "dropping-particle" : "", "family" : "Carabias", "given" : "Julia", "non-dropping-particle" : "", "parse-names" : false, "suffix" : "" }, { "dropping-particle" : "", "family" : "Sarukh\u00e1n", "given" : "Jos\u00e9", "non-dropping-particle" : "", "parse-names" : false, "suffix" : "" }, { "dropping-particle" : "", "family" : "la Maza", "given" : "Javier", "non-dropping-particle" : "De", "parse-names" : false, "suffix" : "" }, { "dropping-particle" : "", "family" : "Galindo", "given" : "Carlos", "non-dropping-particle" : "", "parse-names" : false, "suffix" : "" } ], "id" : "ITEM-1", "issued" : { "date-parts" : [ [ "2010" ] ] }, "number-of-pages" : "240", "publisher" : "M\u00e9xico, Comisi\u00f3n Nacional para el Conocimiento y Uso de la Biodiversidad", "publisher-place" : "Mexico City, Mexico", "title" : "Patrimonio Natural de M\u00e9xico. Cien Casos de \u00c9xito.", "type" : "book" }, "uris" : [ "http://www.mendeley.com/documents/?uuid=361fe455-40b8-3933-81f3-3e3a3902e405" ] } ], "mendeley" : { "formattedCitation" : "(Carabias, Sarukh\u00e1n, De la Maza, &amp; Galindo, 2010)", "manualFormatting" : "(e.g., Carabias et al., 2010)", "plainTextFormattedCitation" : "(Carabias, Sarukh\u00e1n, De la Maza, &amp; Galindo, 2010)", "previouslyFormattedCitation" : "(Carabias, Sarukh\u00e1n, De la Maza, &amp; Galindo, 2010)" }, "properties" : { "noteIndex" : 0 }, "schema" : "https://github.com/citation-style-language/schema/raw/master/csl-citation.json" }</w:instrText>
      </w:r>
      <w:r w:rsidRPr="008608AA">
        <w:fldChar w:fldCharType="separate"/>
      </w:r>
      <w:r w:rsidRPr="008608AA">
        <w:rPr>
          <w:noProof/>
        </w:rPr>
        <w:t>(</w:t>
      </w:r>
      <w:r w:rsidR="00847F60" w:rsidRPr="008608AA">
        <w:rPr>
          <w:noProof/>
        </w:rPr>
        <w:t>e.g.</w:t>
      </w:r>
      <w:r w:rsidRPr="008608AA">
        <w:rPr>
          <w:noProof/>
        </w:rPr>
        <w:t xml:space="preserve"> Carabias et al., 2010)</w:t>
      </w:r>
      <w:r w:rsidRPr="008608AA">
        <w:fldChar w:fldCharType="end"/>
      </w:r>
      <w:r w:rsidRPr="008608AA">
        <w:t xml:space="preserve">, major conservation incongruencies within many biomes still remain. </w:t>
      </w:r>
      <w:r w:rsidR="00EC1796" w:rsidRPr="008608AA">
        <w:t xml:space="preserve">Incongruencies </w:t>
      </w:r>
      <w:r w:rsidRPr="008608AA">
        <w:t xml:space="preserve">address both what and how much is conserved. With respect to what is conserved, as an example, although California has pioneered multiple species habitat conservation plans and other regional and multi-benefit approaches to enhance integrated planning of protected areas </w:t>
      </w:r>
      <w:r w:rsidRPr="008608AA">
        <w:fldChar w:fldCharType="begin" w:fldLock="1"/>
      </w:r>
      <w:r w:rsidRPr="008608AA">
        <w:instrText>ADDIN CSL_CITATION { "citationItems" : [ { "id" : "ITEM-1", "itemData" : { "author" : [ { "dropping-particle" : "", "family" : "Pincetl", "given" : "S.", "non-dropping-particle" : "", "parse-names" : false, "suffix" : "" }, { "dropping-particle" : "", "family" : "Watt", "given" : "T.", "non-dropping-particle" : "", "parse-names" : false, "suffix" : "" }, { "dropping-particle" : "", "family" : "Santos", "given" : "M.J.", "non-dropping-particle" : "", "parse-names" : false, "suffix" : "" } ], "container-title" : "Ecosystem of California", "editor" : [ { "dropping-particle" : "", "family" : "Mooney", "given" : "Harold", "non-dropping-particle" : "", "parse-names" : false, "suffix" : "" }, { "dropping-particle" : "", "family" : "Zavaleta", "given" : "E.", "non-dropping-particle" : "", "parse-names" : false, "suffix" : "" } ], "id" : "ITEM-1", "issued" : { "date-parts" : [ [ "2016" ] ] }, "page" : "899-924", "publisher" : "University of California Press", "publisher-place" : "Oakland, USA", "title" : "Land use regulation for resource conservation", "type" : "chapter" }, "uris" : [ "http://www.mendeley.com/documents/?uuid=7750e3af-9ec4-49c5-89b8-fbcbe9271121" ] } ], "mendeley" : { "formattedCitation" : "(Pincetl, Watt, &amp; Santos, 2016)", "manualFormatting" : "(Pincetl et al., 2016)", "plainTextFormattedCitation" : "(Pincetl, Watt, &amp; Santos, 2016)", "previouslyFormattedCitation" : "(Pincetl, Watt, &amp; Santos, 2016)" }, "properties" : { "noteIndex" : 0 }, "schema" : "https://github.com/citation-style-language/schema/raw/master/csl-citation.json" }</w:instrText>
      </w:r>
      <w:r w:rsidRPr="008608AA">
        <w:fldChar w:fldCharType="separate"/>
      </w:r>
      <w:r w:rsidRPr="008608AA">
        <w:rPr>
          <w:noProof/>
        </w:rPr>
        <w:t>(Pincetl et al., 2016)</w:t>
      </w:r>
      <w:r w:rsidRPr="008608AA">
        <w:fldChar w:fldCharType="end"/>
      </w:r>
      <w:r w:rsidRPr="008608AA">
        <w:t xml:space="preserve">, unprotected areas tend to harbor the highest numbers of rare plant taxa </w:t>
      </w:r>
      <w:r w:rsidRPr="008608AA">
        <w:fldChar w:fldCharType="begin" w:fldLock="1"/>
      </w:r>
      <w:r w:rsidRPr="008608AA">
        <w:instrText>ADDIN CSL_CITATION { "citationItems" : [ { "id" : "ITEM-1", "itemData" : { "author" : [ { "dropping-particle" : "", "family" : "Pavlik", "given" : "B.M.", "non-dropping-particle" : "", "parse-names" : false, "suffix" : "" }, { "dropping-particle" : "", "family" : "Skinner", "given" : "M.W.", "non-dropping-particle" : "", "parse-names" : false, "suffix" : "" } ], "container-title" : "Inventory of Rare and Endangered Vascular Plants of California", "edition" : "5", "id" : "ITEM-1", "issued" : { "date-parts" : [ [ "1994" ] ] }, "page" : "4-6", "publisher" : "California Native Plant Society", "publisher-place" : "Sacramento, California", "title" : "Ecological characteristics of California\u2019s rare plants", "type" : "chapter" }, "uris" : [ "http://www.mendeley.com/documents/?uuid=bb7ed8e6-db27-3d23-8b0f-d8c4f3376a0c" ] } ], "mendeley" : { "formattedCitation" : "(Pavlik &amp; Skinner, 1994)", "manualFormatting" : "(Pavlik &amp; Skinner, 1994)", "plainTextFormattedCitation" : "(Pavlik &amp; Skinner, 1994)", "previouslyFormattedCitation" : "(Pavlik &amp; Skinner, 1994)" }, "properties" : { "noteIndex" : 0 }, "schema" : "https://github.com/citation-style-language/schema/raw/master/csl-citation.json" }</w:instrText>
      </w:r>
      <w:r w:rsidRPr="008608AA">
        <w:fldChar w:fldCharType="separate"/>
      </w:r>
      <w:r w:rsidRPr="008608AA">
        <w:rPr>
          <w:noProof/>
        </w:rPr>
        <w:t>(Pavlik &amp; Skinner, 1994)</w:t>
      </w:r>
      <w:r w:rsidRPr="008608AA">
        <w:fldChar w:fldCharType="end"/>
      </w:r>
      <w:r w:rsidRPr="008608AA">
        <w:t xml:space="preserve">, while important areas with high levels of plant neoendemism fall outside of protected lands </w:t>
      </w:r>
      <w:r w:rsidRPr="008608AA">
        <w:fldChar w:fldCharType="begin" w:fldLock="1"/>
      </w:r>
      <w:r w:rsidRPr="008608AA">
        <w:instrText>ADDIN CSL_CITATION { "citationItems" : [ { "id" : "ITEM-1", "itemData" : { "DOI" : "10.1111/j.1472-4642.2010.00640.x", "ISBN" : "1472-4642", "ISSN" : "13669516", "abstract" : "Aim Sustaining biological diversity requires the protection of the ecological, evolutionary and landscape-level processes that generate it. Here, we identify areas of high neoendemism in a global diversity hotspot, the California flora, using range size data and molecular-based estimates of taxon age.", "author" : [ { "dropping-particle" : "", "family" : "Kraft", "given" : "Nathan J. B.", "non-dropping-particle" : "", "parse-names" : false, "suffix" : "" }, { "dropping-particle" : "", "family" : "Baldwin", "given" : "Bruce G.", "non-dropping-particle" : "", "parse-names" : false, "suffix" : "" }, { "dropping-particle" : "", "family" : "Ackerly", "given" : "D. D.", "non-dropping-particle" : "", "parse-names" : false, "suffix" : "" } ], "container-title" : "Diversity and Distributions", "id" : "ITEM-1", "issue" : "3", "issued" : { "date-parts" : [ [ "2010" ] ] }, "page" : "403-413", "title" : "Range size, taxon age and hotspots of neoendemism in the California flora", "type" : "article-journal", "volume" : "16" }, "uris" : [ "http://www.mendeley.com/documents/?uuid=d8081a74-9a42-3299-bc29-6f1eb1bab77a" ] } ], "mendeley" : { "formattedCitation" : "(Kraft, Baldwin, &amp; Ackerly, 2010)", "manualFormatting" : "(Kraft et al., 2010)", "plainTextFormattedCitation" : "(Kraft, Baldwin, &amp; Ackerly, 2010)", "previouslyFormattedCitation" : "(Kraft, Baldwin, &amp; Ackerly, 2010)" }, "properties" : { "noteIndex" : 0 }, "schema" : "https://github.com/citation-style-language/schema/raw/master/csl-citation.json" }</w:instrText>
      </w:r>
      <w:r w:rsidRPr="008608AA">
        <w:fldChar w:fldCharType="separate"/>
      </w:r>
      <w:r w:rsidRPr="008608AA">
        <w:rPr>
          <w:noProof/>
        </w:rPr>
        <w:t>(Kraft et al., 2010)</w:t>
      </w:r>
      <w:r w:rsidRPr="008608AA">
        <w:fldChar w:fldCharType="end"/>
      </w:r>
      <w:r w:rsidRPr="008608AA">
        <w:t>. How common this trend is in other biomes remains to be seen and should be a priority question.</w:t>
      </w:r>
    </w:p>
    <w:p w14:paraId="62DCC7C2" w14:textId="483C893B" w:rsidR="004255E7" w:rsidRPr="008608AA" w:rsidRDefault="004255E7" w:rsidP="00523ECB">
      <w:pPr>
        <w:widowControl w:val="0"/>
        <w:autoSpaceDE w:val="0"/>
        <w:autoSpaceDN w:val="0"/>
        <w:adjustRightInd w:val="0"/>
        <w:spacing w:after="120"/>
      </w:pPr>
      <w:r w:rsidRPr="008608AA">
        <w:t xml:space="preserve">With respect to how much is conserved, as </w:t>
      </w:r>
      <w:r w:rsidR="00AC045E" w:rsidRPr="008608AA">
        <w:t>examples, the Central American system of p</w:t>
      </w:r>
      <w:r w:rsidRPr="008608AA">
        <w:t>rotected areas currently includes 669 protected areas summing 129,640 km</w:t>
      </w:r>
      <w:r w:rsidRPr="008608AA">
        <w:rPr>
          <w:vertAlign w:val="superscript"/>
        </w:rPr>
        <w:t>2</w:t>
      </w:r>
      <w:r w:rsidRPr="008608AA">
        <w:t xml:space="preserve">, the majority of which correspond to moist tropical and subtropical forest </w:t>
      </w:r>
      <w:r w:rsidRPr="008608AA">
        <w:fldChar w:fldCharType="begin" w:fldLock="1"/>
      </w:r>
      <w:r w:rsidRPr="008608AA">
        <w:instrText>ADDIN CSL_CITATION { "citationItems" : [ { "id" : "ITEM-1", "itemData" : { "DOI" : "10.13140/RG.2.1.2898.9524", "ISBN" : "996895571X", "ISSN" : "1098-6596", "PMID" : "10048586", "abstract" : "Agriculture is widely considered the single most important threat to biodiversity conservation and the greatest driver of habitat destruction and change in Central America. Historically, agriculture has had a negative impact on biodiversity conservation primarily through the expansion of the agricultural frontier, at the expense of natural habitat. Today, the nature of the threat of agriculture to biodiversity conservation has changed. While agriculture continues to drive deforestation in the few remaining, remote areas where the agricultural frontier still exists, the main impact of agriculture is now due to the intensification of existing agricultural systems (and the concurrent increased use of pesticides, fertilizers and other inputs, the loss of hedgerows/l\u00edve fences and natural habitats within these systems and the greater pressure on the remaining natural resources) and to a lesser degree, changes in the configuration of agricultural landscapes. A wide array of social, economic and institutional factors have contributed to (and continue to drive) the expansion of the agricultural frontier, the intensification of existing agricultural systems and changes in agricultural landscapes within the region. These include demographic and social factors, poverty levels, land tenure, government policies and laws, international prices and consumption tendencies, expansion of available infrastructure, market failures, technological factors, subsidies and tariff protection, and gaps in information and extension services, among otherfactors. In particular, thegrow\u00edng population and increased demand for land and agricultural products make it likely that the pressure to increase agricultural production (either through the conversion of additional habitat to agricultural production and/or the intensification of production of already existing agricultural areas) will intensify in upcoming decades. The eventual implementation of CAFTA is also likely to strongly affect agricultural activities in the region through the establishment of new laws that force exporters to comply with local environmental regulations and the creation of new markets for some agricultural products. Agriculture can affect biodiversity in a number of ways. The most immediate way in which agriculture impacts biodiversity is through the conversion, destruction of modification of natural habitats, the fragmentation of remaining natural habitat and the concurrent loss of landscape connectivity. Howe\u2026", "author" : [ { "dropping-particle" : "", "family" : "The Nature Conservancy", "given" : "", "non-dropping-particle" : "", "parse-names" : false, "suffix" : "" } ], "id" : "ITEM-1", "issued" : { "date-parts" : [ [ "2005" ] ] }, "number-of-pages" : "162", "publisher" : "Mesoamerican &amp; Caribbean Region, Conservation Science Program", "publisher-place" : "San Jos\u00e9, Costa Rica", "title" : "Assessing Linkages between Agriculture and Biodiversity in Central America: Historical Overview and Future Perspectives", "type" : "report" }, "uris" : [ "http://www.mendeley.com/documents/?uuid=1098494d-70af-4d9b-af6d-37d988c1fd4e" ] }, { "id" : "ITEM-2", "itemData" : { "author" : [ { "dropping-particle" : "", "family" : "Programa Estado de la Nacion", "given" : "", "non-dropping-particle" : "", "parse-names" : false, "suffix" : "" } ], "id" : "ITEM-2", "issued" : { "date-parts" : [ [ "2008" ] ] }, "publisher" : "Estado de la Naci\u00f3n", "publisher-place" : "San Jos\u00e9, Costa Rica", "title" : "Estado de la Regi\u00f3n en Desarrollo Humano Sostenible: Un Informe desde Centroam\u00e9rica y para Centroam\u00e9rica", "type" : "book" }, "uris" : [ "http://www.mendeley.com/documents/?uuid=28453f1a-c58e-430c-973e-3103815bb372" ] } ], "mendeley" : { "formattedCitation" : "(Programa Estado de la Nacion, 2008; The Nature Conservancy, 2005)", "plainTextFormattedCitation" : "(Programa Estado de la Nacion, 2008; The Nature Conservancy, 2005)", "previouslyFormattedCitation" : "(Programa Estado de la Nacion, 2008; The Nature Conservancy, 2005)" }, "properties" : { "noteIndex" : 0 }, "schema" : "https://github.com/citation-style-language/schema/raw/master/csl-citation.json" }</w:instrText>
      </w:r>
      <w:r w:rsidRPr="008608AA">
        <w:fldChar w:fldCharType="separate"/>
      </w:r>
      <w:r w:rsidRPr="008608AA">
        <w:rPr>
          <w:noProof/>
        </w:rPr>
        <w:t>(Programa Estado de la Nacion, 2008; The Nature Conservancy, 2005)</w:t>
      </w:r>
      <w:r w:rsidRPr="008608AA">
        <w:fldChar w:fldCharType="end"/>
      </w:r>
      <w:r w:rsidRPr="008608AA">
        <w:t xml:space="preserve">. For Mesoamerica defined as the five southernmost states of Mexico to the Darien in eastern Panama, while 29% of tropical broad-leaved forest is protected, only 10% of coniferous forest comes under protection </w:t>
      </w:r>
      <w:r w:rsidRPr="008608AA">
        <w:fldChar w:fldCharType="begin" w:fldLock="1"/>
      </w:r>
      <w:r w:rsidRPr="008608AA">
        <w:instrText>ADDIN CSL_CITATION { "citationItems" : [ { "id" : "ITEM-1", "itemData" : { "DOI" : "10.1016/j.biocon.2010.03.026", "ISBN" : "0006-3207", "PMID" : "14593554", "abstract" : "Mesoamerica provides a unique context for biodiversity conservation in managed landscapes because of its geography, history of human intervention, and present conservation and development initiatives. The long and narrow form of the Mesoamerican landmass, and its division by a central mountain range, has served as both a bridge and a barrier. Conservation efforts in Mesoamerica are unique for the emphasis they place on regional connectivity through the Mesoamerican Biological Corridor and on biodiversity conservation in managed landscapes. The emphasis on conservation in agricultural systems has fostered innovations in payment for ecosystem services, and provides novel insights on the functional role that biodiversity plays in the provisioning of ecosystem services. The increasing rate of economic development in the region and the advent of new payment for ecosystem service schemes have provided new opportunities for forest regeneration and restoration. However, the small scale of private landholdings and the diversity of land uses featured in the region, while contributing to biodiversity conservation due to their structural and floristic complexity, present challenges for biodiversity monitoring and management. ?? 2010 Elsevier Ltd.", "author" : [ { "dropping-particle" : "", "family" : "DeClerck", "given" : "Fabrice A J", "non-dropping-particle" : "", "parse-names" : false, "suffix" : "" }, { "dropping-particle" : "", "family" : "Chazdon", "given" : "Robin", "non-dropping-particle" : "", "parse-names" : false, "suffix" : "" }, { "dropping-particle" : "", "family" : "Holl", "given" : "Karen D", "non-dropping-particle" : "", "parse-names" : false, "suffix" : "" }, { "dropping-particle" : "", "family" : "Milder", "given" : "Jeffrey C", "non-dropping-particle" : "", "parse-names" : false, "suffix" : "" }, { "dropping-particle" : "", "family" : "Finegan", "given" : "Bryan", "non-dropping-particle" : "", "parse-names" : false, "suffix" : "" }, { "dropping-particle" : "", "family" : "Martinez-Salinas", "given" : "Alejandra", "non-dropping-particle" : "", "parse-names" : false, "suffix" : "" }, { "dropping-particle" : "", "family" : "Imbach", "given" : "Pablo", "non-dropping-particle" : "", "parse-names" : false, "suffix" : "" }, { "dropping-particle" : "", "family" : "Canet", "given" : "Lindsay", "non-dropping-particle" : "", "parse-names" : false, "suffix" : "" }, { "dropping-particle" : "", "family" : "Ramos", "given" : "Zayra", "non-dropping-particle" : "", "parse-names" : false, "suffix" : "" } ], "container-title" : "Biological Conservation", "id" : "ITEM-1", "issued" : { "date-parts" : [ [ "2010" ] ] }, "page" : "2301-2313", "title" : "Biodiversity conservation in human-modified landscapes of Mesoamerica: Past, present and future", "type" : "article-journal", "volume" : "143" }, "uris" : [ "http://www.mendeley.com/documents/?uuid=3d92cc98-e130-4669-bc29-3bca5db1a641" ] } ], "mendeley" : { "formattedCitation" : "(DeClerck et al., 2010)", "plainTextFormattedCitation" : "(DeClerck et al., 2010)", "previouslyFormattedCitation" : "(DeClerck et al., 2010)" }, "properties" : { "noteIndex" : 0 }, "schema" : "https://github.com/citation-style-language/schema/raw/master/csl-citation.json" }</w:instrText>
      </w:r>
      <w:r w:rsidRPr="008608AA">
        <w:fldChar w:fldCharType="separate"/>
      </w:r>
      <w:r w:rsidRPr="008608AA">
        <w:rPr>
          <w:noProof/>
        </w:rPr>
        <w:t>(DeClerck et al., 2010)</w:t>
      </w:r>
      <w:r w:rsidRPr="008608AA">
        <w:fldChar w:fldCharType="end"/>
      </w:r>
      <w:r w:rsidRPr="008608AA">
        <w:t>.</w:t>
      </w:r>
      <w:r w:rsidRPr="008608AA">
        <w:rPr>
          <w:color w:val="222222"/>
          <w:shd w:val="clear" w:color="auto" w:fill="FFFFFF"/>
        </w:rPr>
        <w:t xml:space="preserve"> </w:t>
      </w:r>
      <w:r w:rsidRPr="008608AA">
        <w:t>For South American moist tropical and subtropical forests, less than 2% of Atlantic rainforest is protected.</w:t>
      </w:r>
    </w:p>
    <w:p w14:paraId="4AE85729" w14:textId="29E77D82" w:rsidR="004255E7" w:rsidRPr="008608AA" w:rsidRDefault="004255E7" w:rsidP="00523ECB">
      <w:pPr>
        <w:spacing w:after="120"/>
      </w:pPr>
      <w:r w:rsidRPr="008608AA">
        <w:t xml:space="preserve">Incongruencies are even more extreme in other biomes. Overall, only 0.3% of Tropical dry forest in Mesoamerica, 7% in South America and 10% in the Caribbean is protected </w:t>
      </w:r>
      <w:r w:rsidRPr="008608AA">
        <w:fldChar w:fldCharType="begin" w:fldLock="1"/>
      </w:r>
      <w:r w:rsidRPr="008608AA">
        <w:instrText>ADDIN CSL_CITATION { "citationItems" : [ { "id" : "ITEM-1", "itemData" : { "DOI" : "10.1016/j.biocon.2009.09.020", "ISBN" : "0006-3207", "ISSN" : "00063207", "PMID" : "8522144", "abstract" : "This paper shows the results of an assessment on the current extent of Neotropical dry forests based on a supervised classification of MODIS surface reflectance imagery at 500-m resolution. Our findings show that tropical dry forests extend for 519,597 km2 across North and South America. Mexico, Brazil and Bolivia harbor the largest and best-preserved dry forest fragments. Mexico contains the largest extent at 181,461 km2 (38% of the total), although it remains poorly represented under protected areas. On the other hand, Brazil and Bolivia contain the largest proportion of protected tropical dry forests and the largest extent in continuous forest fragments. We found that five single ecoregions account for more than half of the tropical dry forests in the Americas (continental and insular) and these ecoregions are: the Chiquitano dry forests, located in Bolivia and Brazil (27.5%), the Atlantic dry forests (10.2%), the Sinaloan dry forests in Mexico (9.7%), the Cuban dry forests (7.1%) and the Bajio dry forests in Mexico (7%). Chiquitano dry forests alone contain 142,941 km2 of dry forests. Of the approximately 23,000 km2 of dry forest under legal protection, 15,000 km2 are located in just two countries, Bolivia and Brazil. In fact, Bolivia protects 10,609 km2 of dry forests, where 7600 km2 are located within the Chiquitano dry forest ecoregion and protected by a single park. Low extent and high fragmentation of dry forests in countries like Guatemala, Nicaragua, Ecuador, Costa Rica and Peru means that these forests are at a higher risk from human disturbance and deforestation. \u00a9 2009 Elsevier Ltd. All rights reserved.", "author" : [ { "dropping-particle" : "", "family" : "Portillo-Quintero", "given" : "C. A.", "non-dropping-particle" : "", "parse-names" : false, "suffix" : "" }, { "dropping-particle" : "", "family" : "S\u00e1nchez-Azofeifa", "given" : "G. A.", "non-dropping-particle" : "", "parse-names" : false, "suffix" : "" } ], "container-title" : "Biological Conservation", "id" : "ITEM-1", "issue" : "1", "issued" : { "date-parts" : [ [ "2010" ] ] }, "page" : "144-155", "title" : "Extent and conservation of tropical dry forests in the Americas", "type" : "article-journal", "volume" : "143" }, "uris" : [ "http://www.mendeley.com/documents/?uuid=44430ed5-0e24-34a0-8b8f-7050b582900a" ] } ], "mendeley" : { "formattedCitation" : "(Portillo-Quintero &amp; S\u00e1nchez-Azofeifa, 2010)", "manualFormatting" : "(Portillo-Quintero &amp; S\u00e1nchez-Azofeifa, 2010)", "plainTextFormattedCitation" : "(Portillo-Quintero &amp; S\u00e1nchez-Azofeifa, 2010)", "previouslyFormattedCitation" : "(Portillo-Quintero &amp; S\u00e1nchez-Azofeifa, 2010)" }, "properties" : { "noteIndex" : 0 }, "schema" : "https://github.com/citation-style-language/schema/raw/master/csl-citation.json" }</w:instrText>
      </w:r>
      <w:r w:rsidRPr="008608AA">
        <w:fldChar w:fldCharType="separate"/>
      </w:r>
      <w:r w:rsidRPr="008608AA">
        <w:rPr>
          <w:noProof/>
        </w:rPr>
        <w:t>(Portillo-Quintero &amp; Sánchez-Azofeifa, 2010)</w:t>
      </w:r>
      <w:r w:rsidRPr="008608AA">
        <w:fldChar w:fldCharType="end"/>
      </w:r>
      <w:r w:rsidRPr="008608AA">
        <w:t xml:space="preserve">; this percentage descends to 0.2% in Mexico and 1.0% in Venezuela, but is a much higher 15% in Costa Rica </w:t>
      </w:r>
      <w:r w:rsidRPr="008608AA">
        <w:fldChar w:fldCharType="begin" w:fldLock="1"/>
      </w:r>
      <w:r w:rsidRPr="008608AA">
        <w:instrText>ADDIN CSL_CITATION { "citationItems" : [ { "id" : "ITEM-1", "itemData" : { "DOI" : "10.1016/j.biocon.2009.09.020", "ISBN" : "0006-3207", "ISSN" : "00063207", "PMID" : "8522144", "abstract" : "This paper shows the results of an assessment on the current extent of Neotropical dry forests based on a supervised classification of MODIS surface reflectance imagery at 500-m resolution. Our findings show that tropical dry forests extend for 519,597 km2 across North and South America. Mexico, Brazil and Bolivia harbor the largest and best-preserved dry forest fragments. Mexico contains the largest extent at 181,461 km2 (38% of the total), although it remains poorly represented under protected areas. On the other hand, Brazil and Bolivia contain the largest proportion of protected tropical dry forests and the largest extent in continuous forest fragments. We found that five single ecoregions account for more than half of the tropical dry forests in the Americas (continental and insular) and these ecoregions are: the Chiquitano dry forests, located in Bolivia and Brazil (27.5%), the Atlantic dry forests (10.2%), the Sinaloan dry forests in Mexico (9.7%), the Cuban dry forests (7.1%) and the Bajio dry forests in Mexico (7%). Chiquitano dry forests alone contain 142,941 km2 of dry forests. Of the approximately 23,000 km2 of dry forest under legal protection, 15,000 km2 are located in just two countries, Bolivia and Brazil. In fact, Bolivia protects 10,609 km2 of dry forests, where 7600 km2 are located within the Chiquitano dry forest ecoregion and protected by a single park. Low extent and high fragmentation of dry forests in countries like Guatemala, Nicaragua, Ecuador, Costa Rica and Peru means that these forests are at a higher risk from human disturbance and deforestation. \u00a9 2009 Elsevier Ltd. All rights reserved.", "author" : [ { "dropping-particle" : "", "family" : "Portillo-Quintero", "given" : "C. A.", "non-dropping-particle" : "", "parse-names" : false, "suffix" : "" }, { "dropping-particle" : "", "family" : "S\u00e1nchez-Azofeifa", "given" : "G. A.", "non-dropping-particle" : "", "parse-names" : false, "suffix" : "" } ], "container-title" : "Biological Conservation", "id" : "ITEM-1", "issue" : "1", "issued" : { "date-parts" : [ [ "2010" ] ] }, "page" : "144-155", "title" : "Extent and conservation of tropical dry forests in the Americas", "type" : "article-journal", "volume" : "143" }, "uris" : [ "http://www.mendeley.com/documents/?uuid=44430ed5-0e24-34a0-8b8f-7050b582900a" ] } ], "mendeley" : { "formattedCitation" : "(Portillo-Quintero &amp; S\u00e1nchez-Azofeifa, 2010)", "manualFormatting" : "(Portillo-Quintero &amp; S\u00e1nchez-Azofeifa, 2010)", "plainTextFormattedCitation" : "(Portillo-Quintero &amp; S\u00e1nchez-Azofeifa, 2010)", "previouslyFormattedCitation" : "(Portillo-Quintero &amp; S\u00e1nchez-Azofeifa, 2010)" }, "properties" : { "noteIndex" : 0 }, "schema" : "https://github.com/citation-style-language/schema/raw/master/csl-citation.json" }</w:instrText>
      </w:r>
      <w:r w:rsidRPr="008608AA">
        <w:fldChar w:fldCharType="separate"/>
      </w:r>
      <w:r w:rsidRPr="008608AA">
        <w:rPr>
          <w:noProof/>
        </w:rPr>
        <w:t>(Portillo-Quintero &amp; Sánchez-Azofeifa, 2010)</w:t>
      </w:r>
      <w:r w:rsidRPr="008608AA">
        <w:fldChar w:fldCharType="end"/>
      </w:r>
      <w:r w:rsidRPr="008608AA">
        <w:t xml:space="preserve">, indicating notable differences in individual country efforts. Protection of Chaco is about 10% </w:t>
      </w:r>
      <w:r w:rsidRPr="008608AA">
        <w:fldChar w:fldCharType="begin" w:fldLock="1"/>
      </w:r>
      <w:r w:rsidRPr="008608AA">
        <w:instrText>ADDIN CSL_CITATION { "citationItems" : [ { "id" : "ITEM-1", "itemData" : { "DOI" : "10.1016/j.gloenvcha.2017.05.001", "ISSN" : "09593780", "abstract" : "South America's tropical dry forests and savannas are under increasing pressure from agricultural expansion. Cattle ranching and soybean production both drive these forest losses, but their relative importance remains unclear. Also unclear is how soybean expansion elsewhere affects deforestation via pushing cattle ranching to deforestation frontiers. To assess these questions, we focused on the Chaco, a 110 million ha ecoregion extending into Argentina, Bolivia, and Paraguay, with about 8 million ha of deforestation in 2000\u20132012. We used panel regressions at the district level to quantify the role of soybean expansion in driving these forest losses using a wide range of environmental and socio-economic control variables. Our models suggest that soybean production was a direct driver of deforestation in the Argentine Chaco only (0.08 ha new soybean area per ha forest lost), whereas cattle ranching was significantly associated with deforestation in all three countries (0.02 additional cattle per hectare forest loss). However, our models also suggested Argentine soybean cultivation may indirectly be linked to deforestation in the Bolivian and Paraguayan Chaco. We furthermore found substantial time-delayed effects in the relationship of soybean expansion in Argentina and Paraguay (i.e., soybean expansion in one year resulted in deforestation several years later) and deforestation in the Chaco, further suggesting that possible displacement effects within and between Chaco countries may at least partly drive forest loss. Altogether, our study showed that deforestation in the Chaco appears to be mainly driven by the globally surging demand for soybean, although regionally other proximate drivers are sometimes important. Steering agricultural production in the Chaco and other tropical dry forests onto sustainable pathways will thus require policies that consider these scale effects and that account for the regional variation in deforestation drivers within and across countries.", "author" : [ { "dropping-particle" : "", "family" : "Fehlenberg", "given" : "Verena", "non-dropping-particle" : "", "parse-names" : false, "suffix" : "" }, { "dropping-particle" : "", "family" : "Baumann", "given" : "Matthias", "non-dropping-particle" : "", "parse-names" : false, "suffix" : "" }, { "dropping-particle" : "", "family" : "Gasparri", "given" : "Nestor Ignacio", "non-dropping-particle" : "", "parse-names" : false, "suffix" : "" }, { "dropping-particle" : "", "family" : "Piquer-Rodriguez", "given" : "Maria", "non-dropping-particle" : "", "parse-names" : false, "suffix" : "" }, { "dropping-particle" : "", "family" : "Gavier-Pizarro", "given" : "Gregorio", "non-dropping-particle" : "", "parse-names" : false, "suffix" : "" }, { "dropping-particle" : "", "family" : "Kuemmerle", "given" : "Tobias", "non-dropping-particle" : "", "parse-names" : false, "suffix" : "" } ], "container-title" : "Global Environmental Change", "id" : "ITEM-1", "issue" : "April", "issued" : { "date-parts" : [ [ "2017" ] ] }, "page" : "24-34", "publisher" : "Elsevier Ltd", "title" : "The role of soybean production as an underlying driver of deforestation in the South American Chaco", "type" : "article-journal", "volume" : "45" }, "uris" : [ "http://www.mendeley.com/documents/?uuid=880bbddb-3488-42ff-b2f5-f6c8a7f51533" ] } ], "mendeley" : { "formattedCitation" : "(Fehlenberg et al., 2017)", "plainTextFormattedCitation" : "(Fehlenberg et al., 2017)", "previouslyFormattedCitation" : "(Fehlenberg et al., 2017)" }, "properties" : { "noteIndex" : 0 }, "schema" : "https://github.com/citation-style-language/schema/raw/master/csl-citation.json" }</w:instrText>
      </w:r>
      <w:r w:rsidRPr="008608AA">
        <w:fldChar w:fldCharType="separate"/>
      </w:r>
      <w:r w:rsidRPr="008608AA">
        <w:rPr>
          <w:noProof/>
        </w:rPr>
        <w:t>(Fehlenberg et al., 2017)</w:t>
      </w:r>
      <w:r w:rsidRPr="008608AA">
        <w:fldChar w:fldCharType="end"/>
      </w:r>
      <w:r w:rsidRPr="008608AA">
        <w:t xml:space="preserve">, ranging from 36% in Bolivia to 6.5% in Paraguay. Although the amount of protected land tripled in the wider Mediterranean biome in South America between 1975 and 2017, less than 3% is currently protected (based on data in "http://www.mma.gob.cl") with some particular ecosystems of the biome totally lacking protection </w:t>
      </w:r>
      <w:r w:rsidRPr="008608AA">
        <w:fldChar w:fldCharType="begin" w:fldLock="1"/>
      </w:r>
      <w:r w:rsidRPr="008608AA">
        <w:instrText>ADDIN CSL_CITATION { "citationItems" : [ { "id" : "ITEM-1", "itemData" : { "DOI" : "10.1017/S0376892911000208", "ISBN" : "0376-8929", "ISSN" : "0376-8929", "abstract" : "Because protected areas are a major means of conservation, the extent to which ecosystems are represented under different protection regimes needs to be ascertained. A gap analysis approach was used to assess the representativeness of Chile\u2019s terrestrial ecosystems in differing kinds of protected areas. Terrestrial ecosystems were described in terms of potential vegetation, employing three protection scenarios. Scenario 1 was based exclusively on the Chilean National System of Protected Wild Areas (SNASPE). Scenario 2 included all types of public protected areas, namely SNASPE, nature sanctuaries and Ministry of National Heritage lands. Scenario 3 included all items in Scenario 2, but also included private protected areas and biodiversity priority sites. There is insufficient protection of terrestrial ecosystems under the Scenario 2. In addition to the low level of ecosystem protection provided by state protected areas (only 42 of the 127 terrestrial ecosystems had &gt;10% of their area protected), 23 terrestrial ecosystems were identified as having no protection at the national level. Gaps in protection were concentrated in theNorth (both coastal and inland desertic scrub), Central (thorny scrub, thorny forests, sclerophyllous forests and deciduous coastal forests) andAustral (steppe ecosystems) regions ofChile.These gaps include ecosystems that are of global conservation importance.", "author" : [ { "dropping-particle" : "", "family" : "Pliscoff", "given" : "P.", "non-dropping-particle" : "", "parse-names" : false, "suffix" : "" }, { "dropping-particle" : "", "family" : "Fuentes-Castillo", "given" : "T.", "non-dropping-particle" : "", "parse-names" : false, "suffix" : "" } ], "container-title" : "Environmental Conservation", "id" : "ITEM-1", "issue" : "3", "issued" : { "date-parts" : [ [ "2011" ] ] }, "page" : "303-311", "title" : "Representativeness of terrestrial ecosystems in Chile's protected area system", "type" : "article-journal", "volume" : "38" }, "uris" : [ "http://www.mendeley.com/documents/?uuid=b789faa5-4b0b-372d-ae7a-8bcc327ad398" ] } ], "mendeley" : { "formattedCitation" : "(Pliscoff &amp; Fuentes-Castillo, 2011)", "manualFormatting" : "(Pliscoff &amp; Fuentes Castillo, 2011)", "plainTextFormattedCitation" : "(Pliscoff &amp; Fuentes-Castillo, 2011)", "previouslyFormattedCitation" : "(Pliscoff &amp; Fuentes-Castillo, 2011)" }, "properties" : { "noteIndex" : 0 }, "schema" : "https://github.com/citation-style-language/schema/raw/master/csl-citation.json" }</w:instrText>
      </w:r>
      <w:r w:rsidRPr="008608AA">
        <w:fldChar w:fldCharType="separate"/>
      </w:r>
      <w:r w:rsidRPr="008608AA">
        <w:rPr>
          <w:noProof/>
        </w:rPr>
        <w:t>(Pliscoff &amp; Fuentes Castillo, 2011)</w:t>
      </w:r>
      <w:r w:rsidRPr="008608AA">
        <w:fldChar w:fldCharType="end"/>
      </w:r>
      <w:r w:rsidRPr="008608AA">
        <w:t xml:space="preserve">. Currently, 8.3% of the Brazilian </w:t>
      </w:r>
      <w:r w:rsidR="00A01A41" w:rsidRPr="008608AA">
        <w:t>Cerrado</w:t>
      </w:r>
      <w:r w:rsidRPr="008608AA">
        <w:t xml:space="preserve"> is considered to be under some kind of protection, with only 3.1% in strictly protected areas (Nationa</w:t>
      </w:r>
      <w:r w:rsidR="00AC045E" w:rsidRPr="008608AA">
        <w:t>l Database for Protected Areas/</w:t>
      </w:r>
      <w:r w:rsidRPr="008608AA">
        <w:t xml:space="preserve">Brazilian Ministry of the Environment - Cadastro Nacional de Unidades de Conservação - CNUC, updated February 7, 2017). South American drylands are very poorly protected </w:t>
      </w:r>
      <w:r w:rsidRPr="008608AA">
        <w:softHyphen/>
        <w:t xml:space="preserve">– 1% of land area of the Caatinga </w:t>
      </w:r>
      <w:r w:rsidRPr="008608AA">
        <w:fldChar w:fldCharType="begin" w:fldLock="1"/>
      </w:r>
      <w:r w:rsidRPr="008608AA">
        <w:instrText>ADDIN CSL_CITATION { "citationItems" : [ { "id" : "ITEM-1", "itemData" : { "DOI" : "10.1126/science.aaf5080", "ISBN" : "3586", "ISSN" : "0036-8075", "PMID" : "27708031", "abstract" : "Seasonally dry tropical forests are distributed across Latin America and the Caribbean and are highly threatened, with less than 10% of their original extent remaining in many countries. Using 835 inventories covering 4660 species of woody plants, we show marked floristic turnover among inventories and regions, which may be higher than in other neotropical biomes, such as savanna. Such high floristic turnover indicates that numerous conservation areas across many countries will be needed to protect the full diversity of tropical dry forests. Our results provide a scientific framework within which national decision-makers can contextualize the floristic significance of their dry forest at a regional and continental scale.", "author" : [ { "dropping-particle" : "", "family" : "Banda-R", "given" : "K.", "non-dropping-particle" : "", "parse-names" : false, "suffix" : "" }, { "dropping-particle" : "", "family" : "Delgado-Salinas", "given" : "A.", "non-dropping-particle" : "", "parse-names" : false, "suffix" : "" }, { "dropping-particle" : "", "family" : "Dexter", "given" : "K. G.", "non-dropping-particle" : "", "parse-names" : false, "suffix" : "" }, { "dropping-particle" : "", "family" : "Linares-Palomino", "given" : "R.", "non-dropping-particle" : "", "parse-names" : false, "suffix" : "" }, { "dropping-particle" : "", "family" : "Oliveira-Filho", "given" : "A.", "non-dropping-particle" : "", "parse-names" : false, "suffix" : "" }, { "dropping-particle" : "", "family" : "Prado", "given" : "D.", "non-dropping-particle" : "", "parse-names" : false, "suffix" : "" }, { "dropping-particle" : "", "family" : "Pullan", "given" : "M.", "non-dropping-particle" : "", "parse-names" : false, "suffix" : "" }, { "dropping-particle" : "", "family" : "Quintana", "given" : "C.", "non-dropping-particle" : "", "parse-names" : false, "suffix" : "" }, { "dropping-particle" : "", "family" : "Riina", "given" : "R.", "non-dropping-particle" : "", "parse-names" : false, "suffix" : "" }, { "dropping-particle" : "", "family" : "Rodriguez M.", "given" : "G. M.", "non-dropping-particle" : "", "parse-names" : false, "suffix" : "" }, { "dropping-particle" : "", "family" : "Weintritt", "given" : "J.", "non-dropping-particle" : "", "parse-names" : false, "suffix" : "" }, { "dropping-particle" : "", "family" : "Acevedo-Rodriguez", "given" : "P.", "non-dropping-particle" : "", "parse-names" : false, "suffix" : "" }, { "dropping-particle" : "", "family" : "Adarve", "given" : "J.", "non-dropping-particle" : "", "parse-names" : false, "suffix" : "" }, { "dropping-particle" : "", "family" : "Alvarez", "given" : "E.", "non-dropping-particle" : "", "parse-names" : false, "suffix" : "" }, { "dropping-particle" : "", "family" : "Aranguren B.", "given" : "A.", "non-dropping-particle" : "", "parse-names" : false, "suffix" : "" }, { "dropping-particle" : "", "family" : "Arteaga", "given" : "J. C.", "non-dropping-particle" : "", "parse-names" : false, "suffix" : "" }, { "dropping-particle" : "", "family" : "Aymard", "given" : "G.", "non-dropping-particle" : "", "parse-names" : false, "suffix" : "" }, { "dropping-particle" : "", "family" : "Castano", "given" : "A.", "non-dropping-particle" : "", "parse-names" : false, "suffix" : "" }, { "dropping-particle" : "", "family" : "Ceballos-Mago", "given" : "N.", "non-dropping-particle" : "", "parse-names" : false, "suffix" : "" }, { "dropping-particle" : "", "family" : "Cogollo", "given" : "A.", "non-dropping-particle" : "", "parse-names" : false, "suffix" : "" }, { "dropping-particle" : "", "family" : "Cuadros", "given" : "H.", "non-dropping-particle" : "", "parse-names" : false, "suffix" : "" }, { "dropping-particle" : "", "family" : "Delgado", "given" : "F.", "non-dropping-particle" : "", "parse-names" : false, "suffix" : "" }, { "dropping-particle" : "", "family" : "Devia", "given" : "W.", "non-dropping-particle" : "", "parse-names" : false, "suffix" : "" }, { "dropping-particle" : "", "family" : "Duenas", "given" : "H.", "non-dropping-particle" : "", "parse-names" : false, "suffix" : "" }, { "dropping-particle" : "", "family" : "Fajardo", "given" : "L.", "non-dropping-particle" : "", "parse-names" : false, "suffix" : "" }, { "dropping-particle" : "", "family" : "Fernandez", "given" : "A.", "non-dropping-particle" : "", "parse-names" : false, "suffix" : "" }, { "dropping-particle" : "", "family" : "Fernandez", "given" : "M. A.", "non-dropping-particle" : "", "parse-names" : false, "suffix" : "" }, { "dropping-particle" : "", "family" : "Franklin", "given" : "J.", "non-dropping-particle" : "", "parse-names" : false, "suffix" : "" }, { "dropping-particle" : "", "family" : "Freid", "given" : "E. H.", "non-dropping-particle" : "", "parse-names" : false, "suffix" : "" }, { "dropping-particle" : "", "family" : "Galetti", "given" : "L. A.", "non-dropping-particle" : "", "parse-names" : false, "suffix" : "" }, { "dropping-particle" : "", "family" : "Gonto", "given" : "R.", "non-dropping-particle" : "", "parse-names" : false, "suffix" : "" }, { "dropping-particle" : "", "family" : "Gonzalez-M.", "given" : "R.", "non-dropping-particle" : "", "parse-names" : false, "suffix" : "" }, { "dropping-particle" : "", "family" : "Graveson", "given" : "R.", "non-dropping-particle" : "", "parse-names" : false, "suffix" : "" }, { "dropping-particle" : "", "family" : "Helmer", "given" : "E. H.", "non-dropping-particle" : "", "parse-names" : false, "suffix" : "" }, { "dropping-particle" : "", "family" : "Idarraga", "given" : "A.", "non-dropping-particle" : "", "parse-names" : false, "suffix" : "" }, { "dropping-particle" : "", "family" : "Lopez", "given" : "R.", "non-dropping-particle" : "", "parse-names" : false, "suffix" : "" }, { "dropping-particle" : "", "family" : "Marcano-Vega", "given" : "H.", "non-dropping-particle" : "", "parse-names" : false, "suffix" : "" }, { "dropping-particle" : "", "family" : "Martinez", "given" : "O. G.", "non-dropping-particle" : "", "parse-names" : false, "suffix" : "" }, { "dropping-particle" : "", "family" : "Maturo", "given" : "H. M.", "non-dropping-particle" : "", "parse-names" : false, "suffix" : "" }, { "dropping-particle" : "", "family" : "McDonald", "given" : "M.", "non-dropping-particle" : "", "parse-names" : false, "suffix" : "" }, { "dropping-particle" : "", "family" : "McLaren", "given" : "K.", "non-dropping-particle" : "", "parse-names" : false, "suffix" : "" }, { "dropping-particle" : "", "family" : "Melo", "given" : "O.", "non-dropping-particle" : "", "parse-names" : false, "suffix" : "" }, { "dropping-particle" : "", "family" : "Mijares", "given" : "F.", "non-dropping-particle" : "", "parse-names" : false, "suffix" : "" }, { "dropping-particle" : "", "family" : "Mogni", "given" : "V.", "non-dropping-particle" : "", "parse-names" : false, "suffix" : "" }, { "dropping-particle" : "", "family" : "Molina", "given" : "D.", "non-dropping-particle" : "", "parse-names" : false, "suffix" : "" }, { "dropping-particle" : "", "family" : "Moreno", "given" : "N. d. P.", "non-dropping-particle" : "", "parse-names" : false, "suffix" : "" }, { "dropping-particle" : "", "family" : "Nassar", "given" : "J. M.", "non-dropping-particle" : "", "parse-names" : false, "suffix" : "" }, { "dropping-particle" : "", "family" : "Neves", "given" : "D. M.", "non-dropping-particle" : "", "parse-names" : false, "suffix" : "" }, { "dropping-particle" : "", "family" : "Oakley", "given" : "L. J.", "non-dropping-particle" : "", "parse-names" : false, "suffix" : "" }, { "dropping-particle" : "", "family" : "Oatham", "given" : "M.", "non-dropping-particle" : "", "parse-names" : false, "suffix" : "" }, { "dropping-particle" : "", "family" : "Olvera-Luna", "given" : "A. R.", "non-dropping-particle" : "", "parse-names" : false, "suffix" : "" }, { "dropping-particle" : "", "family" : "Pezzini", "given" : "F. F.", "non-dropping-particle" : "", "parse-names" : false, "suffix" : "" }, { "dropping-particle" : "", "family" : "Dominguez", "given" : "O. J. R.", "non-dropping-particle" : "", "parse-names" : false, "suffix" : "" }, { "dropping-particle" : "", "family" : "Rios", "given" : "M. E.", "non-dropping-particle" : "", "parse-names" : false, "suffix" : "" }, { "dropping-particle" : "", "family" : "Rivera", "given" : "O.", "non-dropping-particle" : "", "parse-names" : false, "suffix" : "" }, { "dropping-particle" : "", "family" : "Rodriguez", "given" : "N.", "non-dropping-particle" : "", "parse-names" : false, "suffix" : "" }, { "dropping-particle" : "", "family" : "Rojas", "given" : "A.", "non-dropping-particle" : "", "parse-names" : false, "suffix" : "" }, { "dropping-particle" : "", "family" : "Sarkinen", "given" : "T.", "non-dropping-particle" : "", "parse-names" : false, "suffix" : "" }, { "dropping-particle" : "", "family" : "Sanchez", "given" : "R.", "non-dropping-particle" : "", "parse-names" : false, "suffix" : "" }, { "dropping-particle" : "", "family" : "Smith", "given" : "M.", "non-dropping-particle" : "", "parse-names" : false, "suffix" : "" }, { "dropping-particle" : "", "family" : "Vargas", "given" : "C.", "non-dropping-particle" : "", "parse-names" : false, "suffix" : "" }, { "dropping-particle" : "", "family" : "Villanueva", "given" : "B.", "non-dropping-particle" : "", "parse-names" : false, "suffix" : "" }, { "dropping-particle" : "", "family" : "Pennington", "given" : "R. T.", "non-dropping-particle" : "", "parse-names" : false, "suffix" : "" } ], "container-title" : "Science", "id" : "ITEM-1", "issue" : "6306", "issued" : { "date-parts" : [ [ "2016" ] ] }, "page" : "1383-1387", "title" : "Plant diversity patterns in neotropical dry forests and their conservation implications", "type" : "article-journal", "volume" : "353" }, "uris" : [ "http://www.mendeley.com/documents/?uuid=a649f79c-6777-405c-8a4d-9c9f5ef5dbb7" ] }, { "id" : "ITEM-2", "itemData" : { "DOI" : "10.1007/s10531-012-0346-7", "ISBN" : "0960-3115", "ISSN" : "09603115", "abstract" : "The Caatinga is a semiarid biome of the northeast of Brazil with only 1 % of its territory currently conserved. The biome's biodiversity is highly threatened due to exposure to land conversion for agricultural and cattle ranch. Climate forecasts predict increases in aridity, which could pose additional threats to the biome's biodiversity. Here, we ask if the remnants of natural vegetation in Caatinga biome, where endemic terrestrial vertebrate species occur, are likely to retain more climatic suitability under climate change scenarios than other less pristine areas of the biome. In order to assess changes in climate suitability across individual species ranges, ensemble forecasting was used based on seven bioclimatic envelope models, three atmosphere\u2013ocean general circulation models, and two greenhouse emission gas scenarios for 2020, 2050, and 2080. We found that most species will gain climatic suitability in the natural vegetation remnants of the Caatinga. Such gains are even greater than the expected to occur within random sets of areas with size similar to the natural Electronic supplementary material The online version of this article (doi:10.1007/s10531-012-0346-7) contains supplementary material, which is available to authorized users. vegetation remnants. Our results suggest that natural vegetation remnants will likely play a role of climate refuges for endemic vertebrate species, so efforts should be concentrated in these regions.", "author" : [ { "dropping-particle" : "", "family" : "Oliveira", "given" : "Guilherme", "non-dropping-particle" : "de", "parse-names" : false, "suffix" : "" }, { "dropping-particle" : "", "family" : "Ara\u00fajo", "given" : "Miguel Bastos", "non-dropping-particle" : "", "parse-names" : false, "suffix" : "" }, { "dropping-particle" : "", "family" : "Rangel", "given" : "Thiago Fernado", "non-dropping-particle" : "", "parse-names" : false, "suffix" : "" }, { "dropping-particle" : "", "family" : "Alagador", "given" : "Diogo", "non-dropping-particle" : "", "parse-names" : false, "suffix" : "" }, { "dropping-particle" : "", "family" : "Diniz-Filho", "given" : "Jos\u00e9 Alexandre Felizola", "non-dropping-particle" : "", "parse-names" : false, "suffix" : "" } ], "container-title" : "Biodiversity and Conservation", "id" : "ITEM-2", "issue" : "11", "issued" : { "date-parts" : [ [ "2012" ] ] }, "page" : "2913-2926", "title" : "Conserving the Brazilian semiarid (Caatinga) biome under climate change", "type" : "article-journal", "volume" : "21" }, "uris" : [ "http://www.mendeley.com/documents/?uuid=cdf62671-a02c-4a47-af24-c6b6aa6a7453" ] } ], "mendeley" : { "formattedCitation" : "(Banda-R et al., 2016; G. de Oliveira, Ara\u00fajo, Rangel, Alagador, &amp; Diniz-Filho, 2012)", "manualFormatting" : "(Banda-R et al., 2016; de Oliveira et al., 2012)", "plainTextFormattedCitation" : "(Banda-R et al., 2016; G. de Oliveira, Ara\u00fajo, Rangel, Alagador, &amp; Diniz-Filho, 2012)", "previouslyFormattedCitation" : "(Banda-R et al., 2016; G. de Oliveira, Ara\u00fajo, Rangel, Alagador, &amp; Diniz-Filho, 2012)" }, "properties" : { "noteIndex" : 0 }, "schema" : "https://github.com/citation-style-language/schema/raw/master/csl-citation.json" }</w:instrText>
      </w:r>
      <w:r w:rsidRPr="008608AA">
        <w:fldChar w:fldCharType="separate"/>
      </w:r>
      <w:r w:rsidRPr="008608AA">
        <w:rPr>
          <w:noProof/>
        </w:rPr>
        <w:t>(Banda-R et al., 2016; de Oliveira et al., 2012)</w:t>
      </w:r>
      <w:r w:rsidRPr="008608AA">
        <w:fldChar w:fldCharType="end"/>
      </w:r>
      <w:r w:rsidRPr="008608AA">
        <w:t xml:space="preserve">, and 1–2% of Chilean western desert </w:t>
      </w:r>
      <w:r w:rsidRPr="008608AA">
        <w:rPr>
          <w:iCs/>
        </w:rPr>
        <w:fldChar w:fldCharType="begin" w:fldLock="1"/>
      </w:r>
      <w:r w:rsidRPr="008608AA">
        <w:rPr>
          <w:iCs/>
        </w:rPr>
        <w:instrText>ADDIN CSL_CITATION { "citationItems" : [ { "id" : "ITEM-1", "itemData" : { "author" : [ { "dropping-particle" : "", "family" : "Arroyo", "given" : "M. T. K.", "non-dropping-particle" : "", "parse-names" : false, "suffix" : "" }, { "dropping-particle" : "", "family" : "Cavieres", "given" : "L.", "non-dropping-particle" : "", "parse-names" : false, "suffix" : "" } ], "container-title" : "Noticiero de Biolog\u00eda", "id" : "ITEM-1", "issue" : "2", "issued" : { "date-parts" : [ [ "1997" ] ] }, "page" : "48-56", "title" : "The Mediterranean-type climate flora of Central Chile - What do we know and how can we assure its protection", "type" : "article-journal", "volume" : "5" }, "uris" : [ "http://www.mendeley.com/documents/?uuid=5c913339-3afd-4029-abb5-3bb87ddc3fce" ] }, { "id" : "ITEM-2", "itemData" : { "ISBN" : "9561118327", "abstract" : "Esta trabajo surge gracis a la necesidad de algunas instiutciones de conservacion de contar con una herramienta alternativa para la evalucion de la representatividad vegetacional de las areas protegidas de Chile, como un elemento de apoyo a la priorizacion de nuevas areas de proteccion. El analisis de la representatividad ecologia es la principal herramienta para el establecimiento de prioridades en la planificacion de areas protegidas e impone la necesidad de una delimitacion cartografica de unidades ecologicas a una escala adecuada para cuantifcar su superficie.", "author" : [ { "dropping-particle" : "", "family" : "Luebert", "given" : "F.", "non-dropping-particle" : "", "parse-names" : false, "suffix" : "" }, { "dropping-particle" : "", "family" : "Pliscoff", "given" : "P.", "non-dropping-particle" : "", "parse-names" : false, "suffix" : "" } ], "id" : "ITEM-2", "issued" : { "date-parts" : [ [ "2006" ] ] }, "publisher" : "Editorial Universitaria", "publisher-place" : "Santiago, Chile", "title" : "Sinopsis Bioclim\u00e1tica y Vegetacional de Chile", "type" : "book" }, "uris" : [ "http://www.mendeley.com/documents/?uuid=874007f8-4fc0-45e3-bd7c-b31c09f01fd0" ] } ], "mendeley" : { "formattedCitation" : "(M. T. K. Arroyo &amp; Cavieres, 1997; Luebert &amp; Pliscoff, 2006)", "manualFormatting" : "(Arroyo &amp; Cavieres, 1997; Luebert &amp; Pliscoff, 2006)", "plainTextFormattedCitation" : "(M. T. K. Arroyo &amp; Cavieres, 1997; Luebert &amp; Pliscoff, 2006)", "previouslyFormattedCitation" : "(M. T. K. Arroyo &amp; Cavieres, 1997; Luebert &amp; Pliscoff, 2006)" }, "properties" : { "noteIndex" : 0 }, "schema" : "https://github.com/citation-style-language/schema/raw/master/csl-citation.json" }</w:instrText>
      </w:r>
      <w:r w:rsidRPr="008608AA">
        <w:rPr>
          <w:iCs/>
        </w:rPr>
        <w:fldChar w:fldCharType="separate"/>
      </w:r>
      <w:r w:rsidRPr="008608AA">
        <w:rPr>
          <w:iCs/>
          <w:noProof/>
        </w:rPr>
        <w:t>(Arroyo &amp; Cavieres, 1997; Luebert &amp; Pliscoff, 2006)</w:t>
      </w:r>
      <w:r w:rsidRPr="008608AA">
        <w:rPr>
          <w:iCs/>
        </w:rPr>
        <w:fldChar w:fldCharType="end"/>
      </w:r>
      <w:r w:rsidRPr="008608AA">
        <w:t xml:space="preserve">. Likewise, in the </w:t>
      </w:r>
      <w:r w:rsidR="00EC2D88" w:rsidRPr="008608AA">
        <w:t>EEZ</w:t>
      </w:r>
      <w:r w:rsidRPr="008608AA">
        <w:t xml:space="preserve"> much variation is found for marine conservation </w:t>
      </w:r>
      <w:r w:rsidRPr="008608AA">
        <w:fldChar w:fldCharType="begin" w:fldLock="1"/>
      </w:r>
      <w:r w:rsidRPr="008608AA">
        <w:instrText>ADDIN CSL_CITATION { "citationItems" : [ { "id" : "ITEM-1", "itemData" : { "DOI" : "10.1038/nature13947", "ISBN" : "0028-0836", "ISSN" : "0028-0836", "PMID" : "25373676", "abstract" : "Originally conceived to conserve iconic landscapes and wildlife, protected areas are now expected to achieve an increasingly diverse set of conservation, social and economic objectives. The amount of land and sea designated as formally protected has markedly increased over the past century, but there is still a major shortfall in political commitments to enhance the coverage and effectiveness of protected areas. Financial support for protected areas is dwarfed by the benefits that they provide, but these returns depend on effective management. A step change involving increased recognition, funding, planning and enforcement is urgently needed if protected areas are going to fulfil their potential.", "author" : [ { "dropping-particle" : "", "family" : "Watson", "given" : "James E. M.", "non-dropping-particle" : "", "parse-names" : false, "suffix" : "" }, { "dropping-particle" : "", "family" : "Dudley", "given" : "Nigel", "non-dropping-particle" : "", "parse-names" : false, "suffix" : "" }, { "dropping-particle" : "", "family" : "Segan", "given" : "Daniel B.", "non-dropping-particle" : "", "parse-names" : false, "suffix" : "" }, { "dropping-particle" : "", "family" : "Hockings", "given" : "Marc", "non-dropping-particle" : "", "parse-names" : false, "suffix" : "" } ], "container-title" : "Nature", "id" : "ITEM-1", "issue" : "7525", "issued" : { "date-parts" : [ [ "2014" ] ] }, "page" : "67-73", "title" : "The performance and potential of protected areas", "type" : "article-journal", "volume" : "515" }, "uris" : [ "http://www.mendeley.com/documents/?uuid=37d5de8a-9d64-48fa-b8ae-0a5d23ca94c2" ] } ], "mendeley" : { "formattedCitation" : "(Watson, Dudley, Segan, &amp; Hockings, 2014)", "manualFormatting" : "(Watson et al., 2014)", "plainTextFormattedCitation" : "(Watson, Dudley, Segan, &amp; Hockings, 2014)", "previouslyFormattedCitation" : "(Watson, Dudley, Segan, &amp; Hockings, 2014)" }, "properties" : { "noteIndex" : 0 }, "schema" : "https://github.com/citation-style-language/schema/raw/master/csl-citation.json" }</w:instrText>
      </w:r>
      <w:r w:rsidRPr="008608AA">
        <w:fldChar w:fldCharType="separate"/>
      </w:r>
      <w:r w:rsidRPr="008608AA">
        <w:rPr>
          <w:noProof/>
        </w:rPr>
        <w:t>(Watson et al., 2014)</w:t>
      </w:r>
      <w:r w:rsidRPr="008608AA">
        <w:fldChar w:fldCharType="end"/>
      </w:r>
      <w:r w:rsidRPr="008608AA">
        <w:t>. All these incongruencies have many sources, but one obvious one is a lack of systematic planning among countries where a given biome is found.</w:t>
      </w:r>
    </w:p>
    <w:p w14:paraId="36004621" w14:textId="77777777" w:rsidR="00523ECB" w:rsidRPr="008608AA" w:rsidRDefault="00523ECB" w:rsidP="00523ECB">
      <w:pPr>
        <w:spacing w:after="120"/>
      </w:pPr>
    </w:p>
    <w:p w14:paraId="4E649922" w14:textId="4A271A32" w:rsidR="004255E7" w:rsidRDefault="004255E7" w:rsidP="00523ECB">
      <w:pPr>
        <w:pStyle w:val="Heading2"/>
      </w:pPr>
      <w:bookmarkStart w:id="1211" w:name="_Toc503863377"/>
      <w:bookmarkStart w:id="1212" w:name="_Toc503863605"/>
      <w:bookmarkStart w:id="1213" w:name="_Toc517393326"/>
      <w:bookmarkStart w:id="1214" w:name="_Toc517719067"/>
      <w:bookmarkStart w:id="1215" w:name="_Toc517797024"/>
      <w:r w:rsidRPr="008608AA">
        <w:t>Knowledge and data gaps</w:t>
      </w:r>
      <w:bookmarkEnd w:id="1211"/>
      <w:bookmarkEnd w:id="1212"/>
      <w:bookmarkEnd w:id="1213"/>
      <w:bookmarkEnd w:id="1214"/>
      <w:bookmarkEnd w:id="1215"/>
      <w:r w:rsidRPr="008608AA">
        <w:t xml:space="preserve"> </w:t>
      </w:r>
    </w:p>
    <w:p w14:paraId="5924BA0B" w14:textId="77777777" w:rsidR="00843724" w:rsidRPr="00843724" w:rsidRDefault="00843724" w:rsidP="00843724">
      <w:pPr>
        <w:rPr>
          <w:lang w:val="en-GB" w:eastAsia="es-CO"/>
        </w:rPr>
      </w:pPr>
    </w:p>
    <w:p w14:paraId="77BEE88A" w14:textId="24B15DDD" w:rsidR="0056219C" w:rsidRPr="008608AA" w:rsidRDefault="004255E7" w:rsidP="00523ECB">
      <w:r w:rsidRPr="008608AA">
        <w:t>Biodiversity inventories</w:t>
      </w:r>
      <w:r w:rsidR="00A65C52" w:rsidRPr="008608AA">
        <w:t xml:space="preserve">. </w:t>
      </w:r>
      <w:r w:rsidRPr="008608AA">
        <w:t xml:space="preserve">Basic inventorying of biodiversity is far from complete in the Americas. Accumulated species descriptions for vascular plants have not yet reached an asymptote (Figure 3.35a). Over the period 2004-2016, Brazil registered the largest number of new plant species names in the </w:t>
      </w:r>
      <w:r w:rsidRPr="008608AA">
        <w:rPr>
          <w:iCs/>
        </w:rPr>
        <w:t>International Plant Names Index</w:t>
      </w:r>
      <w:r w:rsidRPr="008608AA">
        <w:t xml:space="preserve"> worldwide (Figure 3.35b). Over 2,000 new species of plants and vertebrates have been described from the Amazon alone since 1999 </w:t>
      </w:r>
      <w:r w:rsidRPr="008608AA">
        <w:fldChar w:fldCharType="begin" w:fldLock="1"/>
      </w:r>
      <w:r w:rsidRPr="008608AA">
        <w:instrText>ADDIN CSL_CITATION { "citationItems" : [ { "id" : "ITEM-1", "itemData" : { "ISBN" : "978-2-940529-37-7", "editor" : [ { "dropping-particle" : "", "family" : "Charity", "given" : "S.", "non-dropping-particle" : "", "parse-names" : false, "suffix" : "" }, { "dropping-particle" : "", "family" : "Dudley", "given" : "N.", "non-dropping-particle" : "", "parse-names" : false, "suffix" : "" }, { "dropping-particle" : "", "family" : "Oliveira", "given" : "D.", "non-dropping-particle" : "", "parse-names" : false, "suffix" : "" }, { "dropping-particle" : "", "family" : "Stolton", "given" : "S.", "non-dropping-particle" : "", "parse-names" : false, "suffix" : "" } ], "id" : "ITEM-1", "issued" : { "date-parts" : [ [ "2016" ] ] }, "publisher" : "WWF Living Amazon Initiative", "publisher-place" : "Bras\u00edlia, Brazil and Quito, Ecuador", "title" : "Living Amazon Report 2016: A Regional Approach to Conservation in the Amazon", "type" : "book" }, "uris" : [ "http://www.mendeley.com/documents/?uuid=cc024ac3-df91-4454-a6b1-2df30626b009" ] } ], "mendeley" : { "formattedCitation" : "(Charity et al., 2016)", "manualFormatting" : "(Charity et al., 2016)", "plainTextFormattedCitation" : "(Charity et al., 2016)", "previouslyFormattedCitation" : "(Charity et al., 2016)" }, "properties" : { "noteIndex" : 0 }, "schema" : "https://github.com/citation-style-language/schema/raw/master/csl-citation.json" }</w:instrText>
      </w:r>
      <w:r w:rsidRPr="008608AA">
        <w:fldChar w:fldCharType="separate"/>
      </w:r>
      <w:r w:rsidRPr="008608AA">
        <w:rPr>
          <w:noProof/>
        </w:rPr>
        <w:t>(Charity et al., 2016)</w:t>
      </w:r>
      <w:r w:rsidRPr="008608AA">
        <w:fldChar w:fldCharType="end"/>
      </w:r>
      <w:r w:rsidRPr="008608AA">
        <w:t xml:space="preserve">. Even in well-known groups such as mammals, 42% of the new species described worldwide between 1993 to 2008 came from the Americas </w:t>
      </w:r>
      <w:r w:rsidRPr="008608AA">
        <w:fldChar w:fldCharType="begin" w:fldLock="1"/>
      </w:r>
      <w:r w:rsidRPr="008608AA">
        <w:instrText>ADDIN CSL_CITATION { "citationItems" : [ { "id" : "ITEM-1", "itemData" : { "author" : [ { "dropping-particle" : "", "family" : "Ceballos", "given" : "G.", "non-dropping-particle" : "", "parse-names" : false, "suffix" : "" }, { "dropping-particle" : "", "family" : "P. R. Ehrlich", "given" : "", "non-dropping-particle" : "", "parse-names" : false, "suffix" : "" } ], "container-title" : "PNAS", "id" : "ITEM-1", "issued" : { "date-parts" : [ [ "2009" ] ] }, "page" : "3841-3846", "title" : "Discoveries of new mammal species and their implications for conservation and ecosystem services", "type" : "article-journal", "volume" : "106" }, "uris" : [ "http://www.mendeley.com/documents/?uuid=a357dae7-d8dc-4ffa-b6f4-93ec05f43189" ] } ], "mendeley" : { "formattedCitation" : "(Ceballos &amp; P. R. Ehrlich, 2009)", "manualFormatting" : "(Ceballos &amp; Ehrlich 2009), ", "plainTextFormattedCitation" : "(Ceballos &amp; P. R. Ehrlich, 2009)", "previouslyFormattedCitation" : "(Ceballos &amp; P. R. Ehrlich, 2009)" }, "properties" : { "noteIndex" : 0 }, "schema" : "https://github.com/citation-style-language/schema/raw/master/csl-citation.json" }</w:instrText>
      </w:r>
      <w:r w:rsidRPr="008608AA">
        <w:fldChar w:fldCharType="separate"/>
      </w:r>
      <w:r w:rsidRPr="008608AA">
        <w:rPr>
          <w:noProof/>
        </w:rPr>
        <w:t>(Ceballos &amp; Ehrlich</w:t>
      </w:r>
      <w:r w:rsidR="003B6D6E" w:rsidRPr="008608AA">
        <w:rPr>
          <w:noProof/>
        </w:rPr>
        <w:t>,</w:t>
      </w:r>
      <w:r w:rsidRPr="008608AA">
        <w:rPr>
          <w:noProof/>
        </w:rPr>
        <w:t xml:space="preserve"> 2009),</w:t>
      </w:r>
      <w:r w:rsidRPr="008608AA" w:rsidDel="00E253C8">
        <w:rPr>
          <w:noProof/>
        </w:rPr>
        <w:t xml:space="preserve"> </w:t>
      </w:r>
      <w:r w:rsidRPr="008608AA">
        <w:fldChar w:fldCharType="end"/>
      </w:r>
      <w:r w:rsidRPr="008608AA">
        <w:t>mostly from Mesoamerica and South America. These trends are likely to be repeated for other taxonomic groups. Knowledge of invertebrates is particularly deficient including for taxonomic groups of particular importance for human well-being, such as bees. This assessment has shown that high-quality information on species richness across the entire Americas is available for a very limited number of taxonomic groups. Some estimates of biodiversity, of course, might be exaggerated if care was not taken to remove synonyms. Overall, an accurate estimate of the total biodiversity in the Americas is currently not possible, and is unlikely to become available for a long time at the current rate of progress.</w:t>
      </w:r>
      <w:r w:rsidRPr="008608AA">
        <w:rPr>
          <w:rStyle w:val="CommentReference"/>
          <w:sz w:val="24"/>
          <w:szCs w:val="24"/>
        </w:rPr>
        <w:t xml:space="preserve"> Also, systematized knowledge on the use of biodiversity is still scarce, despite major efforts made in </w:t>
      </w:r>
      <w:r w:rsidRPr="008608AA">
        <w:t>Mexico, Co</w:t>
      </w:r>
      <w:r w:rsidR="0056219C" w:rsidRPr="008608AA">
        <w:t>sta Rica, Brazil, and Colombia.</w:t>
      </w:r>
      <w:r w:rsidR="0056219C" w:rsidRPr="008608AA">
        <w:br w:type="page"/>
      </w:r>
    </w:p>
    <w:p w14:paraId="6ED3B329" w14:textId="56B996A5" w:rsidR="00523ECB" w:rsidRPr="008608AA" w:rsidRDefault="00C37A3E" w:rsidP="00523ECB">
      <w:pPr>
        <w:spacing w:before="120" w:after="120"/>
        <w:jc w:val="center"/>
      </w:pPr>
      <w:r w:rsidRPr="008608AA">
        <w:rPr>
          <w:noProof/>
          <w:lang w:val="en-GB" w:eastAsia="en-GB"/>
        </w:rPr>
        <w:drawing>
          <wp:inline distT="0" distB="0" distL="0" distR="0" wp14:anchorId="2D626A3C" wp14:editId="300014C5">
            <wp:extent cx="5934075" cy="5915025"/>
            <wp:effectExtent l="0" t="0" r="9525" b="9525"/>
            <wp:docPr id="2084" name="Imagen 2084" descr="C:\Users\Alejandro Valderrama\Downloads\Fig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3" descr="C:\Users\Alejandro Valderrama\Downloads\Fig3.35.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b="30846"/>
                    <a:stretch/>
                  </pic:blipFill>
                  <pic:spPr bwMode="auto">
                    <a:xfrm>
                      <a:off x="0" y="0"/>
                      <a:ext cx="5934075" cy="5915025"/>
                    </a:xfrm>
                    <a:prstGeom prst="rect">
                      <a:avLst/>
                    </a:prstGeom>
                    <a:noFill/>
                    <a:ln>
                      <a:noFill/>
                    </a:ln>
                    <a:extLst>
                      <a:ext uri="{53640926-AAD7-44D8-BBD7-CCE9431645EC}">
                        <a14:shadowObscured xmlns:a14="http://schemas.microsoft.com/office/drawing/2010/main"/>
                      </a:ext>
                    </a:extLst>
                  </pic:spPr>
                </pic:pic>
              </a:graphicData>
            </a:graphic>
          </wp:inline>
        </w:drawing>
      </w:r>
    </w:p>
    <w:p w14:paraId="2B8151F7" w14:textId="4A8D0CED" w:rsidR="004255E7" w:rsidRPr="008608AA" w:rsidRDefault="004255E7" w:rsidP="00523ECB">
      <w:pPr>
        <w:spacing w:before="120" w:after="120"/>
      </w:pPr>
      <w:r w:rsidRPr="008608AA">
        <w:t>Similar and probably even much larger knowledge gaps occur in the marine (and probably freshwater) realms. Based on their studies, it is predicted that only about half of marine organisms have been describe</w:t>
      </w:r>
      <w:r w:rsidR="00AC045E" w:rsidRPr="008608AA">
        <w:t>d for the Atlantic and Pacific c</w:t>
      </w:r>
      <w:r w:rsidRPr="008608AA">
        <w:t xml:space="preserve">oasts of South America </w:t>
      </w:r>
      <w:r w:rsidR="00AC045E" w:rsidRPr="008608AA">
        <w:t>(</w:t>
      </w:r>
      <w:r w:rsidRPr="008608AA">
        <w:fldChar w:fldCharType="begin" w:fldLock="1"/>
      </w:r>
      <w:r w:rsidRPr="008608AA">
        <w:instrText>ADDIN CSL_CITATION { "citationItems" : [ { "id" : "ITEM-1", "itemData" : { "author" : [ { "dropping-particle" : "", "family" : "Miloslavich", "given" : "P.", "non-dropping-particle" : "", "parse-names" : false, "suffix" : "" }, { "dropping-particle" : "", "family" : "Klein", "given" : "E.", "non-dropping-particle" : "", "parse-names" : false, "suffix" : "" }, { "dropping-particle" : "", "family" : "Diaz", "given" : "J. M.", "non-dropping-particle" : "", "parse-names" : false, "suffix" : "" }, { "dropping-particle" : "", "family" : "Hernandez", "given" : "C. E.", "non-dropping-particle" : "", "parse-names" : false, "suffix" : "" }, { "dropping-particle" : "", "family" : "Bigatti", "given" : "G.", "non-dropping-particle" : "", "parse-names" : false, "suffix" : "" }, { "dropping-particle" : "", "family" : "Campos", "given" : "L.", "non-dropping-particle" : "", "parse-names" : false, "suffix" : "" }, { "dropping-particle" : "", "family" : "Artigas", "given" : "F.", "non-dropping-particle" : "", "parse-names" : false, "suffix" : "" }, { "dropping-particle" : "", "family" : "Castillo", "given" : "J.", "non-dropping-particle" : "", "parse-names" : false, "suffix" : "" }, { "dropping-particle" : "", "family" : "Penchaszadeh", "given" : "P. E.", "non-dropping-particle" : "", "parse-names" : false, "suffix" : "" }, { "dropping-particle" : "", "family" : "Neill", "given" : "P. E.", "non-dropping-particle" : "", "parse-names" : false, "suffix" : "" }, { "dropping-particle" : "", "family" : "Carranza", "given" : "A.", "non-dropping-particle" : "", "parse-names" : false, "suffix" : "" }, { "dropping-particle" : "V.", "family" : "Retana", "given" : "M.", "non-dropping-particle" : "", "parse-names" : false, "suffix" : "" }, { "dropping-particle" : "", "family" : "Astarloa", "given" : "J. M. D.", "non-dropping-particle" : "de", "parse-names" : false, "suffix" : "" }, { "dropping-particle" : "", "family" : "Lewis", "given" : "M.", "non-dropping-particle" : "", "parse-names" : false, "suffix" : "" }, { "dropping-particle" : "", "family" : "Yorio", "given" : "P.", "non-dropping-particle" : "", "parse-names" : false, "suffix" : "" }, { "dropping-particle" : "", "family" : "Piriz", "given" : "M. L.", "non-dropping-particle" : "", "parse-names" : false, "suffix" : "" }, { "dropping-particle" : "", "family" : "Rodriguez", "given" : "D.", "non-dropping-particle" : "", "parse-names" : false, "suffix" : "" }, { "dropping-particle" : "", "family" : "Yoneshigue-Valentin", "given" : "Y.", "non-dropping-particle" : "", "parse-names" : false, "suffix" : "" }, { "dropping-particle" : "", "family" : "Gamboa", "given" : "L.", "non-dropping-particle" : "", "parse-names" : false, "suffix" : "" }, { "dropping-particle" : "", "family" : "Martin", "given" : "A.", "non-dropping-particle" : "", "parse-names" : false, "suffix" : "" } ], "container-title" : "PLoS ONE", "id" : "ITEM-1", "issue" : "1", "issued" : { "date-parts" : [ [ "2011" ] ] }, "page" : "e14631", "title" : "Marine biodiversity in the Atlantic and Pacific Coasts of South America: Knowledge and gaps", "type" : "article-journal", "volume" : "6" }, "uris" : [ "http://www.mendeley.com/documents/?uuid=246eab2d-4b4d-4a5b-84d6-71f834bbfe2d" ] } ], "mendeley" : { "formattedCitation" : "(P. Miloslavich et al., 2011)", "manualFormatting" : "Miloslavich et al. (2011)", "plainTextFormattedCitation" : "(P. Miloslavich et al., 2011)", "previouslyFormattedCitation" : "(P. Miloslavich et al., 2011)" }, "properties" : { "noteIndex" : 0 }, "schema" : "https://github.com/citation-style-language/schema/raw/master/csl-citation.json" }</w:instrText>
      </w:r>
      <w:r w:rsidRPr="008608AA">
        <w:fldChar w:fldCharType="separate"/>
      </w:r>
      <w:r w:rsidR="00AC045E" w:rsidRPr="008608AA">
        <w:rPr>
          <w:noProof/>
        </w:rPr>
        <w:t xml:space="preserve">Miloslavich et al., </w:t>
      </w:r>
      <w:r w:rsidRPr="008608AA">
        <w:rPr>
          <w:noProof/>
        </w:rPr>
        <w:t>2011)</w:t>
      </w:r>
      <w:r w:rsidRPr="008608AA">
        <w:fldChar w:fldCharType="end"/>
      </w:r>
      <w:r w:rsidRPr="008608AA">
        <w:t xml:space="preserve">; as on the land, a severe lack of taxonomic expertise in the subregion is a major handicap. </w:t>
      </w:r>
    </w:p>
    <w:p w14:paraId="431BA96A" w14:textId="6D2CACEF" w:rsidR="00523ECB" w:rsidRPr="008608AA" w:rsidRDefault="00A65C52" w:rsidP="00C37A3E">
      <w:pPr>
        <w:spacing w:after="120"/>
      </w:pPr>
      <w:r w:rsidRPr="008608AA">
        <w:t xml:space="preserve">Mobility of biodiversity data. </w:t>
      </w:r>
      <w:r w:rsidR="004255E7" w:rsidRPr="008608AA">
        <w:t>Progress in the detection of the impacts of climate change on biodiversity, conservation gaps, and areas with high concentrations of invasive species today depends heavily on georeferenced biodiversity occurrence data. Overall, 50% of georeferenced online occurrence data in the Global Biodiversity Information Facility pertains to the Americas. However, the density of georeferenced data varies widely among subregions (Figure 3.36) (and between countries within each subregion – not shown). Causes include differences in intrinsic richness among countries, a greater level of collaboration between foreign institutions and the tropical countries, differences in exploration intensity, lack of manpower to digitalize biodiversity data and some reticence still on the part of some institutions to incorporate their biodiversity data into the Global Biodiversity Information Facility. The South American subregion lags behind, but important efforts are getting underway. For example, specimens from several institutions in Argentina, thanks</w:t>
      </w:r>
      <w:r w:rsidR="00AC045E" w:rsidRPr="008608AA">
        <w:t xml:space="preserve"> to support by the Argentinian National Science C</w:t>
      </w:r>
      <w:r w:rsidR="004255E7" w:rsidRPr="008608AA">
        <w:t>ouncil, can now be found in the Global Biodiversity Information Facility. Brazil is creating the Brazilian Information System on Biodiversity and the “</w:t>
      </w:r>
      <w:r w:rsidR="004255E7" w:rsidRPr="008608AA">
        <w:rPr>
          <w:i/>
        </w:rPr>
        <w:t>Portal da Biodiversidade</w:t>
      </w:r>
      <w:r w:rsidR="004255E7" w:rsidRPr="008608AA">
        <w:t>” which are first steps to consolidate biodiversity data and make it available online. The Chilean national science council is contemplating making it compulsory for grant-holders to place biodiversity data collected with national research funds in the Global Bio</w:t>
      </w:r>
      <w:r w:rsidR="00C37A3E" w:rsidRPr="008608AA">
        <w:t>diversity Information Facility.</w:t>
      </w:r>
    </w:p>
    <w:p w14:paraId="65F34DC6" w14:textId="77777777" w:rsidR="00C37A3E" w:rsidRPr="008608AA" w:rsidRDefault="00C37A3E" w:rsidP="00C37A3E">
      <w:pPr>
        <w:spacing w:after="120"/>
      </w:pPr>
    </w:p>
    <w:p w14:paraId="10D3828E" w14:textId="03A58E67" w:rsidR="00523ECB" w:rsidRPr="008608AA" w:rsidRDefault="00C37A3E" w:rsidP="003E65F0">
      <w:pPr>
        <w:rPr>
          <w:noProof/>
          <w:lang w:eastAsia="es-CL"/>
        </w:rPr>
      </w:pPr>
      <w:r w:rsidRPr="008608AA">
        <w:rPr>
          <w:noProof/>
          <w:lang w:val="en-GB" w:eastAsia="en-GB"/>
        </w:rPr>
        <w:drawing>
          <wp:inline distT="0" distB="0" distL="0" distR="0" wp14:anchorId="688FBCC9" wp14:editId="207D0502">
            <wp:extent cx="5934075" cy="3629025"/>
            <wp:effectExtent l="0" t="0" r="9525" b="9525"/>
            <wp:docPr id="2085" name="Imagen 2085" descr="C:\Users\Alejandro Valderrama\Downloads\Fig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5" descr="C:\Users\Alejandro Valderrama\Downloads\Fig3.36.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b="57572"/>
                    <a:stretch/>
                  </pic:blipFill>
                  <pic:spPr bwMode="auto">
                    <a:xfrm>
                      <a:off x="0" y="0"/>
                      <a:ext cx="5934075" cy="3629025"/>
                    </a:xfrm>
                    <a:prstGeom prst="rect">
                      <a:avLst/>
                    </a:prstGeom>
                    <a:noFill/>
                    <a:ln>
                      <a:noFill/>
                    </a:ln>
                    <a:extLst>
                      <a:ext uri="{53640926-AAD7-44D8-BBD7-CCE9431645EC}">
                        <a14:shadowObscured xmlns:a14="http://schemas.microsoft.com/office/drawing/2010/main"/>
                      </a:ext>
                    </a:extLst>
                  </pic:spPr>
                </pic:pic>
              </a:graphicData>
            </a:graphic>
          </wp:inline>
        </w:drawing>
      </w:r>
    </w:p>
    <w:p w14:paraId="3351318E" w14:textId="1D444C5E" w:rsidR="004255E7" w:rsidRPr="008608AA" w:rsidRDefault="004255E7" w:rsidP="00523ECB">
      <w:pPr>
        <w:pStyle w:val="Caption"/>
        <w:spacing w:before="240" w:beforeAutospacing="0" w:after="120"/>
        <w:rPr>
          <w:lang w:val="en-US"/>
        </w:rPr>
      </w:pPr>
      <w:r w:rsidRPr="008608AA">
        <w:rPr>
          <w:b w:val="0"/>
          <w:bCs w:val="0"/>
          <w:noProof/>
          <w:lang w:eastAsia="en-GB"/>
        </w:rPr>
        <w:drawing>
          <wp:anchor distT="0" distB="0" distL="114300" distR="114300" simplePos="0" relativeHeight="251055104" behindDoc="0" locked="0" layoutInCell="1" allowOverlap="1" wp14:anchorId="315CF06C" wp14:editId="524A3DD1">
            <wp:simplePos x="0" y="0"/>
            <wp:positionH relativeFrom="column">
              <wp:posOffset>67945</wp:posOffset>
            </wp:positionH>
            <wp:positionV relativeFrom="paragraph">
              <wp:posOffset>-37827522</wp:posOffset>
            </wp:positionV>
            <wp:extent cx="2720975" cy="1670050"/>
            <wp:effectExtent l="0" t="0" r="3175" b="6350"/>
            <wp:wrapNone/>
            <wp:docPr id="2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5"/>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20975" cy="167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8AA">
        <w:rPr>
          <w:b w:val="0"/>
          <w:bCs w:val="0"/>
          <w:noProof/>
          <w:lang w:eastAsia="es-CL"/>
        </w:rPr>
        <w:t xml:space="preserve">Importantly, </w:t>
      </w:r>
      <w:r w:rsidRPr="008608AA">
        <w:rPr>
          <w:b w:val="0"/>
          <w:lang w:val="en-US"/>
        </w:rPr>
        <w:t>efforts are being made to build comprehensive alien species</w:t>
      </w:r>
      <w:r w:rsidR="003B6D6E" w:rsidRPr="008608AA">
        <w:rPr>
          <w:b w:val="0"/>
          <w:lang w:val="en-US"/>
        </w:rPr>
        <w:t xml:space="preserve"> databases at the country (e.g.</w:t>
      </w:r>
      <w:r w:rsidRPr="008608AA">
        <w:rPr>
          <w:b w:val="0"/>
          <w:lang w:val="en-US"/>
        </w:rPr>
        <w:t xml:space="preserve"> USA, Brazil, Mexico, Chile) and regional (e.g. Invasives Information Network) levels. Not having access to all biodiversity data, in addition to hindering research progress,</w:t>
      </w:r>
      <w:r w:rsidRPr="008608AA">
        <w:rPr>
          <w:lang w:val="en-US"/>
        </w:rPr>
        <w:t xml:space="preserve"> </w:t>
      </w:r>
      <w:r w:rsidRPr="008608AA">
        <w:rPr>
          <w:b w:val="0"/>
          <w:lang w:val="en-US"/>
        </w:rPr>
        <w:t>introduces uncertainty in the results of regional and global-scale studies that rely heavily on occurrence data and lowers the quality of environmental impact studies within countries.</w:t>
      </w:r>
    </w:p>
    <w:p w14:paraId="4CE6E8BB" w14:textId="590B48E4" w:rsidR="004255E7" w:rsidRPr="008608AA" w:rsidRDefault="00A65C52" w:rsidP="00523ECB">
      <w:pPr>
        <w:spacing w:after="120"/>
      </w:pPr>
      <w:r w:rsidRPr="008608AA">
        <w:t xml:space="preserve">Biome and ecosystem-level data. </w:t>
      </w:r>
      <w:r w:rsidR="004255E7" w:rsidRPr="008608AA">
        <w:t>With very few exceptions, we currently lack accurate knowledge of biodiversity at the biome level. Where available, the information is limited to a few groups of better-known organisms and does not necessarily coincide with the spatial delineation of the W</w:t>
      </w:r>
      <w:r w:rsidR="00AC045E" w:rsidRPr="008608AA">
        <w:t xml:space="preserve">orld </w:t>
      </w:r>
      <w:r w:rsidR="004255E7" w:rsidRPr="008608AA">
        <w:t>W</w:t>
      </w:r>
      <w:r w:rsidR="00AC045E" w:rsidRPr="008608AA">
        <w:t xml:space="preserve">ildlife </w:t>
      </w:r>
      <w:r w:rsidR="004255E7" w:rsidRPr="008608AA">
        <w:t>F</w:t>
      </w:r>
      <w:r w:rsidR="00AC045E" w:rsidRPr="008608AA">
        <w:t>und</w:t>
      </w:r>
      <w:r w:rsidR="004255E7" w:rsidRPr="008608AA">
        <w:t xml:space="preserve"> terrestrial biomes adopted by the assessment (see Chapter 1). These have been major obstacles in this assessment. Overall, studies, when present, are insufficient in number for performing biome-level meta-analyses. Thus the assessments of the units analysis in Chapter 3 are necessarily descriptive and piecemeal. Revision of the W</w:t>
      </w:r>
      <w:r w:rsidR="00AC045E" w:rsidRPr="008608AA">
        <w:t xml:space="preserve">orld </w:t>
      </w:r>
      <w:r w:rsidR="004255E7" w:rsidRPr="008608AA">
        <w:t>W</w:t>
      </w:r>
      <w:r w:rsidR="00AC045E" w:rsidRPr="008608AA">
        <w:t xml:space="preserve">ildlife </w:t>
      </w:r>
      <w:r w:rsidR="004255E7" w:rsidRPr="008608AA">
        <w:t>F</w:t>
      </w:r>
      <w:r w:rsidR="00AC045E" w:rsidRPr="008608AA">
        <w:t>und</w:t>
      </w:r>
      <w:r w:rsidR="004255E7" w:rsidRPr="008608AA">
        <w:t xml:space="preserve"> biomes based on a consensus is highly desirable now that more accurate vegetation mapping is possible and can be combined with verified species distribution data. If all countries were to adopt such a system, this would be an enormous step forward. One reason for a lack of biome-level data is that many biomes in the Americas cross country boundaries. For example, high elevation systems in South American are found in seven countries and span about 44 degrees of latitude, Mesoamerican dry tropical forest stretches over seven countries and the Amazonian basin over eight. This transnational problem is far less acute in the North American subregion composed of only three countries. Because governments are </w:t>
      </w:r>
      <w:r w:rsidR="00B94854" w:rsidRPr="008608AA">
        <w:t xml:space="preserve">usually </w:t>
      </w:r>
      <w:r w:rsidR="004255E7" w:rsidRPr="008608AA">
        <w:t xml:space="preserve">first concerned with the biodiversity of their respective countries, resources for undertaking cross-country, biome-level surveys are generally lacking, but of course, this is not the only reason. This represents a serious challenge for future regional and global IPBES assessments and undermines the efficiency of conservation measures in biomes. </w:t>
      </w:r>
    </w:p>
    <w:p w14:paraId="517B2719" w14:textId="1F3F3372" w:rsidR="004255E7" w:rsidRPr="008608AA" w:rsidRDefault="004255E7" w:rsidP="00523ECB">
      <w:pPr>
        <w:spacing w:after="120"/>
      </w:pPr>
      <w:r w:rsidRPr="008608AA">
        <w:t xml:space="preserve">Data on population sizes and genetic diversity is scarce outside the North American subregion. Likewise, long-term series data are few and far between making it difficult to detect temporal trends. Throughout the Americas, fishes and invertebrates differ in their population status, yet the exploitation status of many species is unknown across several taxonomic groups, in particular, elasmobranchs (sharks, skates and rays) and coastal fishes because of a lack of long-term series data. For terrestrial habitats, in the early 1990s, pioneering efforts in the US Long-Term Ecological Research </w:t>
      </w:r>
      <w:r w:rsidR="005E1C04" w:rsidRPr="008608AA">
        <w:t xml:space="preserve">Network </w:t>
      </w:r>
      <w:r w:rsidRPr="008608AA">
        <w:t xml:space="preserve">led to the International Long Term Ecological Research Network </w:t>
      </w:r>
      <w:r w:rsidRPr="008608AA">
        <w:fldChar w:fldCharType="begin" w:fldLock="1"/>
      </w:r>
      <w:r w:rsidRPr="008608AA">
        <w:instrText>ADDIN CSL_CITATION { "citationItems" : [ { "id" : "ITEM-1", "itemData" : { "author" : [ { "dropping-particle" : "", "family" : "Vanderbilt", "given" : "K.", "non-dropping-particle" : "", "parse-names" : false, "suffix" : "" }, { "dropping-particle" : "", "family" : "Gaiser", "given" : "E.", "non-dropping-particle" : "", "parse-names" : false, "suffix" : "" } ], "container-title" : "Ecosphere", "id" : "ITEM-1", "issue" : "2", "issued" : { "date-parts" : [ [ "2017" ] ] }, "page" : "e01697", "title" : "The International Long Term Ecological Research Network: a platform for collaboration", "type" : "article-journal", "volume" : "8" }, "uris" : [ "http://www.mendeley.com/documents/?uuid=a3bf38a8-4461-4214-b8a7-693295c2010f" ] } ], "mendeley" : { "formattedCitation" : "(Vanderbilt &amp; Gaiser, 2017)", "plainTextFormattedCitation" : "(Vanderbilt &amp; Gaiser, 2017)", "previouslyFormattedCitation" : "(Vanderbilt &amp; Gaiser, 2017)" }, "properties" : { "noteIndex" : 0 }, "schema" : "https://github.com/citation-style-language/schema/raw/master/csl-citation.json" }</w:instrText>
      </w:r>
      <w:r w:rsidRPr="008608AA">
        <w:fldChar w:fldCharType="separate"/>
      </w:r>
      <w:r w:rsidRPr="008608AA">
        <w:rPr>
          <w:noProof/>
        </w:rPr>
        <w:t>(Vanderbilt &amp; Gaiser, 2017)</w:t>
      </w:r>
      <w:r w:rsidRPr="008608AA">
        <w:fldChar w:fldCharType="end"/>
      </w:r>
      <w:r w:rsidRPr="008608AA">
        <w:t xml:space="preserve">. Although many formally accredited sites are found in the Americas, these are strongly concentrated in the </w:t>
      </w:r>
      <w:r w:rsidR="00253825" w:rsidRPr="008608AA">
        <w:t>USA</w:t>
      </w:r>
      <w:r w:rsidRPr="008608AA">
        <w:t xml:space="preserve">, Mexico, and Brazil. There are no high altitude International Long Term Ecological Research sites along the entire length of the </w:t>
      </w:r>
      <w:r w:rsidR="005E1C04" w:rsidRPr="008608AA">
        <w:t xml:space="preserve">high </w:t>
      </w:r>
      <w:r w:rsidRPr="008608AA">
        <w:t>Andes where global warming is occurring faster than in adjacent lowlands. Nevertheless, the GLORIA program (</w:t>
      </w:r>
      <w:r w:rsidRPr="008608AA">
        <w:rPr>
          <w:shd w:val="clear" w:color="auto" w:fill="FFFFFF"/>
        </w:rPr>
        <w:t>www.mountainstudies.org/climate-change)</w:t>
      </w:r>
      <w:r w:rsidRPr="008608AA">
        <w:t xml:space="preserve"> has been active in setting up monitoring sites in the northern and central Andes, to be extended now to the southern Andes. For the marine domain, two North American marine sites were recently accredited by International Long Term Ecological Research</w:t>
      </w:r>
      <w:r w:rsidR="005E1C04" w:rsidRPr="008608AA">
        <w:t xml:space="preserve"> Network</w:t>
      </w:r>
      <w:r w:rsidRPr="008608AA">
        <w:t xml:space="preserve">. </w:t>
      </w:r>
    </w:p>
    <w:p w14:paraId="7C97C9C3" w14:textId="632A52F7" w:rsidR="004255E7" w:rsidRPr="008608AA" w:rsidRDefault="004255E7" w:rsidP="00523ECB">
      <w:pPr>
        <w:spacing w:after="120"/>
      </w:pPr>
      <w:r w:rsidRPr="008608AA">
        <w:t>Biodiversity-e</w:t>
      </w:r>
      <w:r w:rsidR="00A65C52" w:rsidRPr="008608AA">
        <w:t xml:space="preserve">cosystem functions-NCP linkages. </w:t>
      </w:r>
      <w:r w:rsidRPr="008608AA">
        <w:t xml:space="preserve">Most work in this area in the Americas comes from the North American subregion and has involved plot-based studies with a strong focus on productivity. Some information exists in the agricultural, fisheries, pollination, and hydrological domains in the other subregions. Across the Americas, vascular plants comprise the only taxonomic group for which the coverage of functional trait data is abundant </w:t>
      </w:r>
      <w:r w:rsidRPr="008608AA">
        <w:fldChar w:fldCharType="begin" w:fldLock="1"/>
      </w:r>
      <w:r w:rsidRPr="008608AA">
        <w:instrText>ADDIN CSL_CITATION { "citationItems" : [ { "id" : "ITEM-1", "itemData" : { "DOI" : "10.1111/j.1365-2486.2011.02451.x", "ISBN" : "1365-2486", "ISSN" : "13652486", "PMID" : "17388899", "abstract" : "Plant traits \u2013 the morphological, anatomical, physiological, biochemical and phenological characteristics of plants and their organs \u2013 determine how primary producers respond to environmental factors, affect other trophic levels, influence ecosystem processes and services and provide a link from species richness to ecosystem functional diversity. Trait data thus represent the raw material for a wide range of research from evolutionary biology, community and functional ecology to biogeography. Here we present the global database initiative named TRY, which has united a wide range of the plant trait research community worldwide and gained an unprecedented buy-in of trait data: so far 93 trait databases have been contributed. The data repository currently contains almost three million trait entries for 69 000 out of the world\u2019s 300 000 plant species, with a focus on 52 groups of traits characterizing the vegetative and regeneration stages of the plant life cycle, including growth, dispersal, establishment and persistence. A first data analysis shows that most plant traits are approximately log-normally distributed, with widely differing ranges of variation across traits. Most trait variation is between species (interspecific), but significant intraspecific variation is also documented, up to 40% of the overall variation. Plant functional types (PFTs), as commonly used in vegetation models, capture a substantial fraction of the observed variation \u2013 but for several traits most variation occurs within PFTs, up to 75% of the overall variation. In the context of vegetation models these traits would better be represented by state variables rather than fixed parameter values. The improved availability of plant trait data in the unified global database is expected to support a paradigm shift from species to trait-based ecology, offer new opportunities for synthetic plant trait research and enable a more realistic and empirically grounded representation of terrestrial vegetation in Earth system models.", "author" : [ { "dropping-particle" : "", "family" : "Kattge", "given" : "J.", "non-dropping-particle" : "", "parse-names" : false, "suffix" : "" }, { "dropping-particle" : "", "family" : "D\u00edaz", "given" : "S.", "non-dropping-particle" : "", "parse-names" : false, "suffix" : "" }, { "dropping-particle" : "", "family" : "Lavorel", "given" : "S.", "non-dropping-particle" : "", "parse-names" : false, "suffix" : "" }, { "dropping-particle" : "", "family" : "Prentice", "given" : "I. C.", "non-dropping-particle" : "", "parse-names" : false, "suffix" : "" }, { "dropping-particle" : "", "family" : "Leadley", "given" : "P.", "non-dropping-particle" : "", "parse-names" : false, "suffix" : "" }, { "dropping-particle" : "", "family" : "B\u00f6nisch", "given" : "G.", "non-dropping-particle" : "", "parse-names" : false, "suffix" : "" }, { "dropping-particle" : "", "family" : "Garnier", "given" : "E.", "non-dropping-particle" : "", "parse-names" : false, "suffix" : "" }, { "dropping-particle" : "", "family" : "Westoby", "given" : "M.", "non-dropping-particle" : "", "parse-names" : false, "suffix" : "" }, { "dropping-particle" : "", "family" : "Reich", "given" : "P. B.", "non-dropping-particle" : "", "parse-names" : false, "suffix" : "" }, { "dropping-particle" : "", "family" : "Wright", "given" : "I. J.", "non-dropping-particle" : "", "parse-names" : false, "suffix" : "" }, { "dropping-particle" : "", "family" : "Cornelissen", "given" : "J.H.C.", "non-dropping-particle" : "", "parse-names" : false, "suffix" : "" }, { "dropping-particle" : "", "family" : "Violle", "given" : "C.", "non-dropping-particle" : "", "parse-names" : false, "suffix" : "" }, { "dropping-particle" : "", "family" : "Harrison", "given" : "S. P.", "non-dropping-particle" : "", "parse-names" : false, "suffix" : "" }, { "dropping-particle" : "", "family" : "Bodegom", "given" : "P. M.", "non-dropping-particle" : "Van", "parse-names" : false, "suffix" : "" }, { "dropping-particle" : "", "family" : "Reichstein", "given" : "M.", "non-dropping-particle" : "", "parse-names" : false, "suffix" : "" }, { "dropping-particle" : "", "family" : "Enquist", "given" : "B. J.", "non-dropping-particle" : "", "parse-names" : false, "suffix" : "" }, { "dropping-particle" : "", "family" : "Soudzilovskaia", "given" : "N. A.", "non-dropping-particle" : "", "parse-names" : false, "suffix" : "" }, { "dropping-particle" : "", "family" : "Ackerly", "given" : "D. D.", "non-dropping-particle" : "", "parse-names" : false, "suffix" : "" }, { "dropping-particle" : "", "family" : "Anand", "given" : "M.", "non-dropping-particle" : "", "parse-names" : false, "suffix" : "" }, { "dropping-particle" : "", "family" : "Atkin", "given" : "O.", "non-dropping-particle" : "", "parse-names" : false, "suffix" : "" }, { "dropping-particle" : "", "family" : "Bahn", "given" : "M.", "non-dropping-particle" : "", "parse-names" : false, "suffix" : "" }, { "dropping-particle" : "", "family" : "Baker", "given" : "T. R.", "non-dropping-particle" : "", "parse-names" : false, "suffix" : "" }, { "dropping-particle" : "", "family" : "Baldocchi", "given" : "D.", "non-dropping-particle" : "", "parse-names" : false, "suffix" : "" }, { "dropping-particle" : "", "family" : "Bekker", "given" : "R.", "non-dropping-particle" : "", "parse-names" : false, "suffix" : "" }, { "dropping-particle" : "", "family" : "Blanco", "given" : "C. C.", "non-dropping-particle" : "", "parse-names" : false, "suffix" : "" }, { "dropping-particle" : "", "family" : "Blonder", "given" : "B.", "non-dropping-particle" : "", "parse-names" : false, "suffix" : "" }, { "dropping-particle" : "", "family" : "Bond", "given" : "W. J.", "non-dropping-particle" : "", "parse-names" : false, "suffix" : "" }, { "dropping-particle" : "", "family" : "Bradstock", "given" : "R.", "non-dropping-particle" : "", "parse-names" : false, "suffix" : "" }, { "dropping-particle" : "", "family" : "Bunker", "given" : "D. E.", "non-dropping-particle" : "", "parse-names" : false, "suffix" : "" }, { "dropping-particle" : "", "family" : "Casanoves", "given" : "F.", "non-dropping-particle" : "", "parse-names" : false, "suffix" : "" }, { "dropping-particle" : "", "family" : "Cavender-Bares", "given" : "J.", "non-dropping-particle" : "", "parse-names" : false, "suffix" : "" }, { "dropping-particle" : "", "family" : "Chambers", "given" : "J. Q.", "non-dropping-particle" : "", "parse-names" : false, "suffix" : "" }, { "dropping-particle" : "", "family" : "Chapin", "given" : "F. S.", "non-dropping-particle" : "", "parse-names" : false, "suffix" : "" }, { "dropping-particle" : "", "family" : "Chave", "given" : "J.", "non-dropping-particle" : "", "parse-names" : false, "suffix" : "" }, { "dropping-particle" : "", "family" : "Coomes", "given" : "D.", "non-dropping-particle" : "", "parse-names" : false, "suffix" : "" }, { "dropping-particle" : "", "family" : "Cornwell", "given" : "W. K.", "non-dropping-particle" : "", "parse-names" : false, "suffix" : "" }, { "dropping-particle" : "", "family" : "Craine", "given" : "J. M.", "non-dropping-particle" : "", "parse-names" : false, "suffix" : "" }, { "dropping-particle" : "", "family" : "Dobrin", "given" : "B. H.", "non-dropping-particle" : "", "parse-names" : false, "suffix" : "" }, { "dropping-particle" : "", "family" : "Duarte", "given" : "L.", "non-dropping-particle" : "", "parse-names" : false, "suffix" : "" }, { "dropping-particle" : "", "family" : "Durka", "given" : "W.", "non-dropping-particle" : "", "parse-names" : false, "suffix" : "" }, { "dropping-particle" : "", "family" : "Elser", "given" : "J.", "non-dropping-particle" : "", "parse-names" : false, "suffix" : "" }, { "dropping-particle" : "", "family" : "Esser", "given" : "G.", "non-dropping-particle" : "", "parse-names" : false, "suffix" : "" }, { "dropping-particle" : "", "family" : "Estiarte", "given" : "M.", "non-dropping-particle" : "", "parse-names" : false, "suffix" : "" }, { "dropping-particle" : "", "family" : "Fagan", "given" : "W. F.", "non-dropping-particle" : "", "parse-names" : false, "suffix" : "" }, { "dropping-particle" : "", "family" : "Fang", "given" : "J.", "non-dropping-particle" : "", "parse-names" : false, "suffix" : "" }, { "dropping-particle" : "", "family" : "Fern\u00e1ndez-M\u00e9ndez", "given" : "F.", "non-dropping-particle" : "", "parse-names" : false, "suffix" : "" }, { "dropping-particle" : "", "family" : "Fidelis", "given" : "A.", "non-dropping-particle" : "", "parse-names" : false, "suffix" : "" }, { "dropping-particle" : "", "family" : "Finegan", "given" : "B.", "non-dropping-particle" : "", "parse-names" : false, "suffix" : "" }, { "dropping-particle" : "", "family" : "Flores", "given" : "O.", "non-dropping-particle" : "", "parse-names" : false, "suffix" : "" }, { "dropping-particle" : "", "family" : "Ford", "given" : "H.", "non-dropping-particle" : "", "parse-names" : false, "suffix" : "" }, { "dropping-particle" : "", "family" : "Frank", "given" : "D.", "non-dropping-particle" : "", "parse-names" : false, "suffix" : "" }, { "dropping-particle" : "", "family" : "Freschet", "given" : "G. T.", "non-dropping-particle" : "", "parse-names" : false, "suffix" : "" }, { "dropping-particle" : "", "family" : "Fyllas", "given" : "N. M.", "non-dropping-particle" : "", "parse-names" : false, "suffix" : "" }, { "dropping-particle" : "V.", "family" : "Gallagher", "given" : "R.", "non-dropping-particle" : "", "parse-names" : false, "suffix" : "" }, { "dropping-particle" : "", "family" : "Green", "given" : "W. A.", "non-dropping-particle" : "", "parse-names" : false, "suffix" : "" }, { "dropping-particle" : "", "family" : "Gutierrez", "given" : "A. G.", "non-dropping-particle" : "", "parse-names" : false, "suffix" : "" }, { "dropping-particle" : "", "family" : "Hickler", "given" : "T.", "non-dropping-particle" : "", "parse-names" : false, "suffix" : "" }, { "dropping-particle" : "", "family" : "Higgins", "given" : "S. I.", "non-dropping-particle" : "", "parse-names" : false, "suffix" : "" }, { "dropping-particle" : "", "family" : "Hodgson", "given" : "J. G.", "non-dropping-particle" : "", "parse-names" : false, "suffix" : "" }, { "dropping-particle" : "", "family" : "Jalili", "given" : "A.", "non-dropping-particle" : "", "parse-names" : false, "suffix" : "" }, { "dropping-particle" : "", "family" : "Jansen", "given" : "S.", "non-dropping-particle" : "", "parse-names" : false, "suffix" : "" }, { "dropping-particle" : "", "family" : "Joly", "given" : "C. A.", "non-dropping-particle" : "", "parse-names" : false, "suffix" : "" }, { "dropping-particle" : "", "family" : "Kerkhoff", "given" : "A. J.", "non-dropping-particle" : "", "parse-names" : false, "suffix" : "" }, { "dropping-particle" : "", "family" : "Kirkup", "given" : "D.", "non-dropping-particle" : "", "parse-names" : false, "suffix" : "" }, { "dropping-particle" : "", "family" : "Kitajima", "given" : "K.", "non-dropping-particle" : "", "parse-names" : false, "suffix" : "" }, { "dropping-particle" : "", "family" : "Kleyer", "given" : "M.", "non-dropping-particle" : "", "parse-names" : false, "suffix" : "" }, { "dropping-particle" : "", "family" : "Klotz", "given" : "S.", "non-dropping-particle" : "", "parse-names" : false, "suffix" : "" }, { "dropping-particle" : "", "family" : "Knops", "given" : "J.M.H.", "non-dropping-particle" : "", "parse-names" : false, "suffix" : "" }, { "dropping-particle" : "", "family" : "Kramer", "given" : "K.", "non-dropping-particle" : "", "parse-names" : false, "suffix" : "" }, { "dropping-particle" : "", "family" : "K\u00fchn", "given" : "I.", "non-dropping-particle" : "", "parse-names" : false, "suffix" : "" }, { "dropping-particle" : "", "family" : "Kurokawa", "given" : "H.", "non-dropping-particle" : "", "parse-names" : false, "suffix" : "" }, { "dropping-particle" : "", "family" : "Laughlin", "given" : "D.", "non-dropping-particle" : "", "parse-names" : false, "suffix" : "" }, { "dropping-particle" : "", "family" : "Lee", "given" : "T. D.", "non-dropping-particle" : "", "parse-names" : false, "suffix" : "" }, { "dropping-particle" : "", "family" : "Leishman", "given" : "M.", "non-dropping-particle" : "", "parse-names" : false, "suffix" : "" }, { "dropping-particle" : "", "family" : "Lens", "given" : "F.", "non-dropping-particle" : "", "parse-names" : false, "suffix" : "" }, { "dropping-particle" : "", "family" : "Lenz", "given" : "T.", "non-dropping-particle" : "", "parse-names" : false, "suffix" : "" }, { "dropping-particle" : "", "family" : "Lewis", "given" : "S. L.", "non-dropping-particle" : "", "parse-names" : false, "suffix" : "" }, { "dropping-particle" : "", "family" : "Lloyd", "given" : "J.", "non-dropping-particle" : "", "parse-names" : false, "suffix" : "" }, { "dropping-particle" : "", "family" : "Llusi\u00e0", "given" : "J.", "non-dropping-particle" : "", "parse-names" : false, "suffix" : "" }, { "dropping-particle" : "", "family" : "Louault", "given" : "F.", "non-dropping-particle" : "", "parse-names" : false, "suffix" : "" }, { "dropping-particle" : "", "family" : "Ma", "given" : "S.", "non-dropping-particle" : "", "parse-names" : false, "suffix" : "" }, { "dropping-particle" : "", "family" : "Mahecha", "given" : "M. D.", "non-dropping-particle" : "", "parse-names" : false, "suffix" : "" }, { "dropping-particle" : "", "family" : "Manning", "given" : "P.", "non-dropping-particle" : "", "parse-names" : false, "suffix" : "" }, { "dropping-particle" : "", "family" : "Massad", "given" : "T.", "non-dropping-particle" : "", "parse-names" : false, "suffix" : "" }, { "dropping-particle" : "", "family" : "Medlyn", "given" : "B. E.", "non-dropping-particle" : "", "parse-names" : false, "suffix" : "" }, { "dropping-particle" : "", "family" : "Messier", "given" : "J.", "non-dropping-particle" : "", "parse-names" : false, "suffix" : "" }, { "dropping-particle" : "", "family" : "Moles", "given" : "A. T.", "non-dropping-particle" : "", "parse-names" : false, "suffix" : "" }, { "dropping-particle" : "", "family" : "M\u00fcller", "given" : "S. C.", "non-dropping-particle" : "", "parse-names" : false, "suffix" : "" }, { "dropping-particle" : "", "family" : "Nadrowski", "given" : "K.", "non-dropping-particle" : "", "parse-names" : false, "suffix" : "" }, { "dropping-particle" : "", "family" : "Naeem", "given" : "S.", "non-dropping-particle" : "", "parse-names" : false, "suffix" : "" }, { "dropping-particle" : "", "family" : "Niinemets", "given" : "\u00dc", "non-dropping-particle" : "", "parse-names" : false, "suffix" : "" }, { "dropping-particle" : "", "family" : "N\u00f6llert", "given" : "S.", "non-dropping-particle" : "", "parse-names" : false, "suffix" : "" }, { "dropping-particle" : "", "family" : "N\u00fcske", "given" : "A.", "non-dropping-particle" : "", "parse-names" : false, "suffix" : "" }, { "dropping-particle" : "", "family" : "Ogaya", "given" : "R.", "non-dropping-particle" : "", "parse-names" : false, "suffix" : "" }, { "dropping-particle" : "", "family" : "Oleksyn", "given" : "J.", "non-dropping-particle" : "", "parse-names" : false, "suffix" : "" }, { "dropping-particle" : "", "family" : "Onipchenko", "given" : "V. G.", "non-dropping-particle" : "", "parse-names" : false, "suffix" : "" }, { "dropping-particle" : "", "family" : "Onoda", "given" : "Y.", "non-dropping-particle" : "", "parse-names" : false, "suffix" : "" }, { "dropping-particle" : "", "family" : "Ordo\u00f1ez", "given" : "J.", "non-dropping-particle" : "", "parse-names" : false, "suffix" : "" }, { "dropping-particle" : "", "family" : "Overbeck", "given" : "G.", "non-dropping-particle" : "", "parse-names" : false, "suffix" : "" }, { "dropping-particle" : "", "family" : "Ozinga", "given" : "W. A.", "non-dropping-particle" : "", "parse-names" : false, "suffix" : "" }, { "dropping-particle" : "", "family" : "Pati\u00f1o", "given" : "S.", "non-dropping-particle" : "", "parse-names" : false, "suffix" : "" }, { "dropping-particle" : "", "family" : "Paula", "given" : "S.", "non-dropping-particle" : "", "parse-names" : false, "suffix" : "" }, { "dropping-particle" : "", "family" : "Pausas", "given" : "J. G.", "non-dropping-particle" : "", "parse-names" : false, "suffix" : "" }, { "dropping-particle" : "", "family" : "Pe\u00f1uelas", "given" : "J.", "non-dropping-particle" : "", "parse-names" : false, "suffix" : "" }, { "dropping-particle" : "", "family" : "Phillips", "given" : "O. L.", "non-dropping-particle" : "", "parse-names" : false, "suffix" : "" }, { "dropping-particle" : "", "family" : "Pillar", "given" : "V.", "non-dropping-particle" : "", "parse-names" : false, "suffix" : "" }, { "dropping-particle" : "", "family" : "Poorter", "given" : "H.", "non-dropping-particle" : "", "parse-names" : false, "suffix" : "" }, { "dropping-particle" : "", "family" : "Poorter", "given" : "L.", "non-dropping-particle" : "", "parse-names" : false, "suffix" : "" }, { "dropping-particle" : "", "family" : "Poschlod", "given" : "P.", "non-dropping-particle" : "", "parse-names" : false, "suffix" : "" }, { "dropping-particle" : "", "family" : "Prinzing", "given" : "A.", "non-dropping-particle" : "", "parse-names" : false, "suffix" : "" }, { "dropping-particle" : "", "family" : "Proulx", "given" : "R.", "non-dropping-particle" : "", "parse-names" : false, "suffix" : "" }, { "dropping-particle" : "", "family" : "Rammig", "given" : "A.", "non-dropping-particle" : "", "parse-names" : false, "suffix" : "" }, { "dropping-particle" : "", "family" : "Reinsch", "given" : "S.", "non-dropping-particle" : "", "parse-names" : false, "suffix" : "" }, { "dropping-particle" : "", "family" : "Reu", "given" : "B.", "non-dropping-particle" : "", "parse-names" : false, "suffix" : "" }, { "dropping-particle" : "", "family" : "Sack", "given" : "L.", "non-dropping-particle" : "", "parse-names" : false, "suffix" : "" }, { "dropping-particle" : "", "family" : "Salgado-Negret", "given" : "B.", "non-dropping-particle" : "", "parse-names" : false, "suffix" : "" }, { "dropping-particle" : "", "family" : "Sardans", "given" : "J.", "non-dropping-particle" : "", "parse-names" : false, "suffix" : "" }, { "dropping-particle" : "", "family" : "Shiodera", "given" : "S.", "non-dropping-particle" : "", "parse-names" : false, "suffix" : "" }, { "dropping-particle" : "", "family" : "Shipley", "given" : "B.", "non-dropping-particle" : "", "parse-names" : false, "suffix" : "" }, { "dropping-particle" : "", "family" : "Siefert", "given" : "A.", "non-dropping-particle" : "", "parse-names" : false, "suffix" : "" }, { "dropping-particle" : "", "family" : "Sosinski", "given" : "E.", "non-dropping-particle" : "", "parse-names" : false, "suffix" : "" }, { "dropping-particle" : "", "family" : "Soussana", "given" : "J. F.", "non-dropping-particle" : "", "parse-names" : false, "suffix" : "" }, { "dropping-particle" : "", "family" : "Swaine", "given" : "E.", "non-dropping-particle" : "", "parse-names" : false, "suffix" : "" }, { "dropping-particle" : "", "family" : "Swenson", "given" : "N.", "non-dropping-particle" : "", "parse-names" : false, "suffix" : "" }, { "dropping-particle" : "", "family" : "Thompson", "given" : "K.", "non-dropping-particle" : "", "parse-names" : false, "suffix" : "" }, { "dropping-particle" : "", "family" : "Thornton", "given" : "P.", "non-dropping-particle" : "", "parse-names" : false, "suffix" : "" }, { "dropping-particle" : "", "family" : "Waldram", "given" : "M.", "non-dropping-particle" : "", "parse-names" : false, "suffix" : "" }, { "dropping-particle" : "", "family" : "Weiher", "given" : "E.", "non-dropping-particle" : "", "parse-names" : false, "suffix" : "" }, { "dropping-particle" : "", "family" : "White", "given" : "M.", "non-dropping-particle" : "", "parse-names" : false, "suffix" : "" }, { "dropping-particle" : "", "family" : "White", "given" : "S.", "non-dropping-particle" : "", "parse-names" : false, "suffix" : "" }, { "dropping-particle" : "", "family" : "Wright", "given" : "S. J.", "non-dropping-particle" : "", "parse-names" : false, "suffix" : "" }, { "dropping-particle" : "", "family" : "Yguel", "given" : "B.", "non-dropping-particle" : "", "parse-names" : false, "suffix" : "" }, { "dropping-particle" : "", "family" : "Zaehle", "given" : "S.", "non-dropping-particle" : "", "parse-names" : false, "suffix" : "" }, { "dropping-particle" : "", "family" : "Zanne", "given" : "A. E.", "non-dropping-particle" : "", "parse-names" : false, "suffix" : "" }, { "dropping-particle" : "", "family" : "Wirth", "given" : "C.", "non-dropping-particle" : "", "parse-names" : false, "suffix" : "" } ], "container-title" : "Global Change Biology", "id" : "ITEM-1", "issue" : "9", "issued" : { "date-parts" : [ [ "2011" ] ] }, "page" : "2905-2935", "title" : "TRY- a global database of plant traits", "type" : "article-journal", "volume" : "17" }, "uris" : [ "http://www.mendeley.com/documents/?uuid=2f2f3dac-2fa2-4ea4-ab72-205113d41ca9" ] } ], "mendeley" : { "formattedCitation" : "(Kattge et al., 2011)", "plainTextFormattedCitation" : "(Kattge et al., 2011)", "previouslyFormattedCitation" : "(Kattge et al., 2011)" }, "properties" : { "noteIndex" : 0 }, "schema" : "https://github.com/citation-style-language/schema/raw/master/csl-citation.json" }</w:instrText>
      </w:r>
      <w:r w:rsidRPr="008608AA">
        <w:fldChar w:fldCharType="separate"/>
      </w:r>
      <w:r w:rsidRPr="008608AA">
        <w:rPr>
          <w:noProof/>
        </w:rPr>
        <w:t>(Kattge et al., 2011)</w:t>
      </w:r>
      <w:r w:rsidRPr="008608AA">
        <w:fldChar w:fldCharType="end"/>
      </w:r>
      <w:r w:rsidRPr="008608AA">
        <w:t xml:space="preserve">, yet gaps in functional trait data are highest precisely where diversity tends to be highest: i.e., tropical latitudes </w:t>
      </w:r>
      <w:r w:rsidRPr="008608AA">
        <w:fldChar w:fldCharType="begin" w:fldLock="1"/>
      </w:r>
      <w:r w:rsidRPr="008608AA">
        <w:instrText>ADDIN CSL_CITATION { "citationItems" : [ { "id" : "ITEM-1", "itemData" : { "DOI" : "10.1038/nplants.2016.24", "ISBN" : "2055-0278", "ISSN" : "2055-0278", "PMID" : "27249357", "abstract" : "The world's ecosystems are losing biodiversity fast. A satellite mission designed to track changes in plant functional diversity around the globe could deepen our understanding of the pace and consequences of this change, and how to manage it.", "author" : [ { "dropping-particle" : "", "family" : "Jetz", "given" : "Walter", "non-dropping-particle" : "", "parse-names" : false, "suffix" : "" }, { "dropping-particle" : "", "family" : "Cavender-Bares", "given" : "Jeannine", "non-dropping-particle" : "", "parse-names" : false, "suffix" : "" }, { "dropping-particle" : "", "family" : "Pavlick", "given" : "Ryan", "non-dropping-particle" : "", "parse-names" : false, "suffix" : "" }, { "dropping-particle" : "", "family" : "Schimel", "given" : "David", "non-dropping-particle" : "", "parse-names" : false, "suffix" : "" }, { "dropping-particle" : "", "family" : "Davis", "given" : "Frank W.", "non-dropping-particle" : "", "parse-names" : false, "suffix" : "" }, { "dropping-particle" : "", "family" : "Asner", "given" : "Gregory P.", "non-dropping-particle" : "", "parse-names" : false, "suffix" : "" }, { "dropping-particle" : "", "family" : "Guralnick", "given" : "Robert", "non-dropping-particle" : "", "parse-names" : false, "suffix" : "" }, { "dropping-particle" : "", "family" : "Kattge", "given" : "Jens", "non-dropping-particle" : "", "parse-names" : false, "suffix" : "" }, { "dropping-particle" : "", "family" : "Latimer", "given" : "Andrew M.", "non-dropping-particle" : "", "parse-names" : false, "suffix" : "" }, { "dropping-particle" : "", "family" : "Moorcroft", "given" : "Paul", "non-dropping-particle" : "", "parse-names" : false, "suffix" : "" }, { "dropping-particle" : "", "family" : "Schaepman", "given" : "Michael E.", "non-dropping-particle" : "", "parse-names" : false, "suffix" : "" }, { "dropping-particle" : "", "family" : "Schildhauer", "given" : "Mark P.", "non-dropping-particle" : "", "parse-names" : false, "suffix" : "" }, { "dropping-particle" : "", "family" : "Schneider", "given" : "Fabian D.", "non-dropping-particle" : "", "parse-names" : false, "suffix" : "" }, { "dropping-particle" : "", "family" : "Schrodt", "given" : "Franziska", "non-dropping-particle" : "", "parse-names" : false, "suffix" : "" }, { "dropping-particle" : "", "family" : "Stahl", "given" : "Ulrike", "non-dropping-particle" : "", "parse-names" : false, "suffix" : "" }, { "dropping-particle" : "", "family" : "Ustin", "given" : "Susan L.", "non-dropping-particle" : "", "parse-names" : false, "suffix" : "" } ], "container-title" : "Nature Plants", "id" : "ITEM-1", "issue" : "3", "issued" : { "date-parts" : [ [ "2016" ] ] }, "page" : "16024", "title" : "Monitoring plant functional diversity from space", "type" : "article-journal", "volume" : "2" }, "uris" : [ "http://www.mendeley.com/documents/?uuid=0d0c0d54-2f02-45e6-a400-ed3eabad74f9" ] } ], "mendeley" : { "formattedCitation" : "(Walter Jetz et al., 2016)", "manualFormatting" : "(Jetz et al., 2016)", "plainTextFormattedCitation" : "(Walter Jetz et al., 2016)", "previouslyFormattedCitation" : "(Walter Jetz et al., 2016)" }, "properties" : { "noteIndex" : 0 }, "schema" : "https://github.com/citation-style-language/schema/raw/master/csl-citation.json" }</w:instrText>
      </w:r>
      <w:r w:rsidRPr="008608AA">
        <w:fldChar w:fldCharType="separate"/>
      </w:r>
      <w:r w:rsidRPr="008608AA">
        <w:rPr>
          <w:noProof/>
        </w:rPr>
        <w:t>(Jetz et al., 2016)</w:t>
      </w:r>
      <w:r w:rsidRPr="008608AA">
        <w:fldChar w:fldCharType="end"/>
      </w:r>
      <w:r w:rsidRPr="008608AA">
        <w:t xml:space="preserve">. Studies linking biodiversity and other less tangible kinds of NCP are incipient throughout. The health benefits of biodiversity and level of equity in terms of access to green areas in urban areas, for example, are fairly open fields. A major gap in our understanding, perhaps with the exception of carbon storage, are links between biodiversity and ecosystem services or NCP at large spatial scales. This requires replicated information across individual biomes/units of analysis and hence coordinated research, often in several countries. To advance in our knowledge here, also, greater collaboration between the traditional biodiversity research community and other disciplines is desirable. Two major challenges for the future in the Americas are to standardize information and to make it available in a template that is usable by decision makers. In this sense, initiatives such as the Biodiversity Indicators Partnership (https://www.bipindicators.net/), which make suites of global indicators available to support national-level reporting and/or </w:t>
      </w:r>
      <w:r w:rsidRPr="008608AA">
        <w:rPr>
          <w:iCs/>
        </w:rPr>
        <w:t>National Biodiversity Strategies and Action Plans</w:t>
      </w:r>
      <w:r w:rsidRPr="008608AA">
        <w:t xml:space="preserve"> updating and implementation, are promising. </w:t>
      </w:r>
    </w:p>
    <w:p w14:paraId="2FDC33F9" w14:textId="77777777" w:rsidR="00523ECB" w:rsidRPr="008608AA" w:rsidRDefault="00523ECB" w:rsidP="00523ECB">
      <w:pPr>
        <w:spacing w:after="120"/>
      </w:pPr>
    </w:p>
    <w:p w14:paraId="66243C51" w14:textId="5C5B7C06" w:rsidR="004255E7" w:rsidRDefault="004255E7" w:rsidP="00523ECB">
      <w:pPr>
        <w:pStyle w:val="Heading2"/>
        <w:rPr>
          <w:lang w:val="en-US"/>
        </w:rPr>
      </w:pPr>
      <w:bookmarkStart w:id="1216" w:name="_Toc502927372"/>
      <w:bookmarkStart w:id="1217" w:name="_Toc502951181"/>
      <w:bookmarkStart w:id="1218" w:name="_Toc502953624"/>
      <w:bookmarkStart w:id="1219" w:name="_Toc502954917"/>
      <w:bookmarkStart w:id="1220" w:name="_Toc502957724"/>
      <w:bookmarkStart w:id="1221" w:name="_Toc502957923"/>
      <w:bookmarkStart w:id="1222" w:name="_Toc502958077"/>
      <w:bookmarkStart w:id="1223" w:name="_Toc503293125"/>
      <w:bookmarkStart w:id="1224" w:name="_Toc503293723"/>
      <w:bookmarkStart w:id="1225" w:name="_Toc503293985"/>
      <w:bookmarkStart w:id="1226" w:name="_Toc503863378"/>
      <w:bookmarkStart w:id="1227" w:name="_Toc503863606"/>
      <w:bookmarkStart w:id="1228" w:name="_Toc517393327"/>
      <w:bookmarkStart w:id="1229" w:name="_Toc517719068"/>
      <w:bookmarkStart w:id="1230" w:name="_Toc517797025"/>
      <w:r w:rsidRPr="008608AA">
        <w:t>Concluding</w:t>
      </w:r>
      <w:r w:rsidRPr="008608AA">
        <w:rPr>
          <w:lang w:val="en-US"/>
        </w:rPr>
        <w:t xml:space="preserve"> remarks</w:t>
      </w:r>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p>
    <w:p w14:paraId="3CB1E27F" w14:textId="77777777" w:rsidR="00843724" w:rsidRPr="00843724" w:rsidRDefault="00843724" w:rsidP="00843724">
      <w:pPr>
        <w:rPr>
          <w:lang w:eastAsia="es-CO"/>
        </w:rPr>
      </w:pPr>
    </w:p>
    <w:p w14:paraId="172AE0A5" w14:textId="5A69FF69" w:rsidR="004255E7" w:rsidRPr="008608AA" w:rsidRDefault="004255E7" w:rsidP="00523ECB">
      <w:pPr>
        <w:shd w:val="clear" w:color="auto" w:fill="FFFFFF"/>
        <w:spacing w:after="120"/>
        <w:rPr>
          <w:color w:val="222222"/>
        </w:rPr>
      </w:pPr>
      <w:r w:rsidRPr="008608AA">
        <w:rPr>
          <w:color w:val="222222"/>
        </w:rPr>
        <w:t xml:space="preserve">Biodiversity is linked to ecosystem functions and is highly relevant to NCP across the ecologically diverse and species-rich Americas. All </w:t>
      </w:r>
      <w:r w:rsidR="005E1C04" w:rsidRPr="008608AA">
        <w:rPr>
          <w:color w:val="222222"/>
        </w:rPr>
        <w:t xml:space="preserve">units of analysis </w:t>
      </w:r>
      <w:r w:rsidRPr="008608AA">
        <w:rPr>
          <w:color w:val="222222"/>
        </w:rPr>
        <w:t xml:space="preserve">of the Americas </w:t>
      </w:r>
      <w:r w:rsidR="005E1C04" w:rsidRPr="008608AA">
        <w:rPr>
          <w:color w:val="222222"/>
        </w:rPr>
        <w:t xml:space="preserve">considered </w:t>
      </w:r>
      <w:r w:rsidRPr="008608AA">
        <w:rPr>
          <w:color w:val="222222"/>
        </w:rPr>
        <w:t xml:space="preserve">contribute to human well-being. However, Tropical and subtropical </w:t>
      </w:r>
      <w:r w:rsidR="00032883" w:rsidRPr="008608AA">
        <w:rPr>
          <w:color w:val="222222"/>
        </w:rPr>
        <w:t>moist</w:t>
      </w:r>
      <w:r w:rsidRPr="008608AA">
        <w:rPr>
          <w:color w:val="222222"/>
        </w:rPr>
        <w:t xml:space="preserve"> forests, Temperate and boreal forests and woodlands, Tropical and subtropical dry forests, Mediterranean forests, woodlands and scrub, and Tundra and high elevation habitats stand out as particularly critical for NCP delivery. For aquatic systems, freshwater is considered somewhat more important for NCP than marine. Except in a limited number of cases, this chapter shows that the biodiversity in the Americas´ terrestrial biomes and freshwater and marine habitats continues to undergo serious erosion. The introduction and spread of alien species can be expected to continue causing direct and indirect impacts on human well-being and biodiversity. The subregions currently undergoing most dramatic land use change, considering their spatial extent, are South America and Mesoamerica, where conversion of vegetation to support pastures, agriculture and exotic plantation forestry is widespread. These changes are leading to major losses of habitat with concomitant population and species declines. In the marine and freshwater realms, the number of threatened species is high, and many fish species are over-exploited. </w:t>
      </w:r>
    </w:p>
    <w:p w14:paraId="62F8DF06" w14:textId="77777777" w:rsidR="004255E7" w:rsidRPr="008608AA" w:rsidRDefault="004255E7" w:rsidP="00523ECB">
      <w:pPr>
        <w:shd w:val="clear" w:color="auto" w:fill="FFFFFF"/>
        <w:spacing w:after="120"/>
      </w:pPr>
      <w:r w:rsidRPr="008608AA">
        <w:rPr>
          <w:color w:val="222222"/>
        </w:rPr>
        <w:t>Climate change has begun to affect the distribution of biodiversity, but to a greater degree in North America than South America for the moment. Increased fire frequency in several biomes constitutes a growing threat. Despite significant progress in developing protective measures for the land and in the sea, they are often insufficient. The greatest challenges to policymakers and decision makers will be to: arrest or slow habitat loss; encourage more ecologically-friendly management practices to ensure long-term food- and water-security; and promote alternative biodiversity-based economic activities that are less destructive than current activities. These are not new challenges. Progress necessarily implies a conscious, collective societal effort. Many lessons can be learned from indigenous peoples who have succeeded in living in harmony on the land.</w:t>
      </w:r>
      <w:r w:rsidRPr="008608AA">
        <w:t xml:space="preserve"> </w:t>
      </w:r>
    </w:p>
    <w:p w14:paraId="4F4E0931" w14:textId="279E94C6" w:rsidR="004255E7" w:rsidRPr="008608AA" w:rsidRDefault="004255E7" w:rsidP="00423A1F">
      <w:pPr>
        <w:pStyle w:val="Heading2"/>
        <w:rPr>
          <w:lang w:val="es-CO"/>
        </w:rPr>
      </w:pPr>
      <w:r w:rsidRPr="008608AA">
        <w:rPr>
          <w:lang w:val="en-US"/>
        </w:rPr>
        <w:br w:type="page"/>
      </w:r>
      <w:bookmarkStart w:id="1231" w:name="_Toc502927373"/>
      <w:bookmarkStart w:id="1232" w:name="_Toc502951182"/>
      <w:bookmarkStart w:id="1233" w:name="_Toc502953625"/>
      <w:bookmarkStart w:id="1234" w:name="_Toc502954918"/>
      <w:bookmarkStart w:id="1235" w:name="_Toc502957725"/>
      <w:bookmarkStart w:id="1236" w:name="_Toc502957924"/>
      <w:bookmarkStart w:id="1237" w:name="_Toc502958078"/>
      <w:bookmarkStart w:id="1238" w:name="_Toc503293126"/>
      <w:bookmarkStart w:id="1239" w:name="_Toc503293724"/>
      <w:bookmarkStart w:id="1240" w:name="_Toc503293986"/>
      <w:bookmarkStart w:id="1241" w:name="_Toc503863379"/>
      <w:bookmarkStart w:id="1242" w:name="_Toc503863607"/>
      <w:bookmarkStart w:id="1243" w:name="_Toc517393328"/>
      <w:bookmarkStart w:id="1244" w:name="_Toc517719069"/>
      <w:bookmarkStart w:id="1245" w:name="_Toc517797026"/>
      <w:r w:rsidRPr="008608AA">
        <w:rPr>
          <w:lang w:val="es-CO"/>
        </w:rPr>
        <w:t>References</w:t>
      </w:r>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p>
    <w:bookmarkEnd w:id="762"/>
    <w:p w14:paraId="252CA299" w14:textId="4052A57E" w:rsidR="00945A59" w:rsidRPr="003338D7" w:rsidRDefault="00945A59" w:rsidP="000A77D6">
      <w:pPr>
        <w:ind w:left="851" w:hanging="851"/>
      </w:pPr>
    </w:p>
    <w:p w14:paraId="3C668D3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szCs w:val="22"/>
        </w:rPr>
        <w:fldChar w:fldCharType="begin" w:fldLock="1"/>
      </w:r>
      <w:r w:rsidRPr="003338D7">
        <w:rPr>
          <w:rFonts w:asciiTheme="majorHAnsi" w:hAnsiTheme="majorHAnsi"/>
          <w:szCs w:val="22"/>
          <w:lang w:val="es-CO"/>
        </w:rPr>
        <w:instrText xml:space="preserve">ADDIN Mendeley Bibliography CSL_BIBLIOGRAPHY </w:instrText>
      </w:r>
      <w:r w:rsidRPr="003338D7">
        <w:rPr>
          <w:rFonts w:asciiTheme="majorHAnsi" w:hAnsiTheme="majorHAnsi"/>
          <w:szCs w:val="22"/>
        </w:rPr>
        <w:fldChar w:fldCharType="separate"/>
      </w:r>
      <w:r w:rsidRPr="003338D7">
        <w:rPr>
          <w:rFonts w:asciiTheme="majorHAnsi" w:hAnsiTheme="majorHAnsi"/>
          <w:noProof/>
          <w:szCs w:val="22"/>
          <w:lang w:val="es-ES"/>
        </w:rPr>
        <w:t xml:space="preserve">Aber, A., &amp; Ferrari, G. (2010). </w:t>
      </w:r>
      <w:r w:rsidRPr="003338D7">
        <w:rPr>
          <w:rFonts w:asciiTheme="majorHAnsi" w:hAnsiTheme="majorHAnsi"/>
          <w:i/>
          <w:iCs/>
          <w:noProof/>
          <w:szCs w:val="22"/>
          <w:lang w:val="es-ES"/>
        </w:rPr>
        <w:t>Lineamientos para la gestión nacional de especies exóticas invasoras</w:t>
      </w:r>
      <w:r w:rsidRPr="003338D7">
        <w:rPr>
          <w:rFonts w:asciiTheme="majorHAnsi" w:hAnsiTheme="majorHAnsi"/>
          <w:noProof/>
          <w:szCs w:val="22"/>
          <w:lang w:val="es-ES"/>
        </w:rPr>
        <w:t xml:space="preserve">. Montevideo, Uruguay: Comité Nacional de Especies Exóticas Invasoras, DINAMA (Dirección Nacional de Medio Ambiente), and UNESCO. </w:t>
      </w:r>
      <w:r w:rsidRPr="003338D7">
        <w:rPr>
          <w:rFonts w:asciiTheme="majorHAnsi" w:hAnsiTheme="majorHAnsi"/>
          <w:noProof/>
          <w:szCs w:val="22"/>
        </w:rPr>
        <w:t xml:space="preserve">Retrieved from </w:t>
      </w:r>
      <w:hyperlink r:id="rId153" w:history="1">
        <w:r w:rsidRPr="003338D7">
          <w:rPr>
            <w:rStyle w:val="Hyperlink"/>
            <w:rFonts w:asciiTheme="majorHAnsi" w:hAnsiTheme="majorHAnsi"/>
            <w:noProof/>
            <w:szCs w:val="22"/>
          </w:rPr>
          <w:t>http://unesdoc.unesco.org/images/0019/001906/190691s.pdf</w:t>
        </w:r>
      </w:hyperlink>
    </w:p>
    <w:p w14:paraId="454360D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Ackerly, D., Stock, W. D., &amp; Slingsby, J. (2014). Geography, climate, and biodiversity: the history and future of Mediterranean-type ecosystems. In N. Allsopp, J. F. Colville, &amp; G. A. Verboom (Eds.), </w:t>
      </w:r>
      <w:r w:rsidRPr="003338D7">
        <w:rPr>
          <w:rFonts w:asciiTheme="majorHAnsi" w:hAnsiTheme="majorHAnsi"/>
          <w:i/>
          <w:iCs/>
          <w:noProof/>
          <w:szCs w:val="22"/>
        </w:rPr>
        <w:t>Fynbos: Ecology, Evolution, and Conservation of a Megadiverse Region</w:t>
      </w:r>
      <w:r w:rsidRPr="003338D7">
        <w:rPr>
          <w:rFonts w:asciiTheme="majorHAnsi" w:hAnsiTheme="majorHAnsi"/>
          <w:noProof/>
          <w:szCs w:val="22"/>
        </w:rPr>
        <w:t xml:space="preserve"> (pp. 361–375). Oxford, UK: Oxford University Press.</w:t>
      </w:r>
    </w:p>
    <w:p w14:paraId="44E6583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Ackerman, D., &amp; Breen, A. (2016). Infrastructure development accelerates range expansion of trembling aspen (</w:t>
      </w:r>
      <w:r w:rsidRPr="003338D7">
        <w:rPr>
          <w:rFonts w:asciiTheme="majorHAnsi" w:hAnsiTheme="majorHAnsi"/>
          <w:i/>
          <w:iCs/>
          <w:noProof/>
          <w:szCs w:val="22"/>
        </w:rPr>
        <w:t>Populus tremuloides</w:t>
      </w:r>
      <w:r w:rsidRPr="003338D7">
        <w:rPr>
          <w:rFonts w:asciiTheme="majorHAnsi" w:hAnsiTheme="majorHAnsi"/>
          <w:noProof/>
          <w:szCs w:val="22"/>
        </w:rPr>
        <w:t xml:space="preserve">, Salicaceae) into the Arctic. </w:t>
      </w:r>
      <w:r w:rsidRPr="003338D7">
        <w:rPr>
          <w:rFonts w:asciiTheme="majorHAnsi" w:hAnsiTheme="majorHAnsi"/>
          <w:i/>
          <w:iCs/>
          <w:noProof/>
          <w:szCs w:val="22"/>
        </w:rPr>
        <w:t>Arctic</w:t>
      </w:r>
      <w:r w:rsidRPr="003338D7">
        <w:rPr>
          <w:rFonts w:asciiTheme="majorHAnsi" w:hAnsiTheme="majorHAnsi"/>
          <w:noProof/>
          <w:szCs w:val="22"/>
        </w:rPr>
        <w:t xml:space="preserve">, </w:t>
      </w:r>
      <w:r w:rsidRPr="003338D7">
        <w:rPr>
          <w:rFonts w:asciiTheme="majorHAnsi" w:hAnsiTheme="majorHAnsi"/>
          <w:i/>
          <w:iCs/>
          <w:noProof/>
          <w:szCs w:val="22"/>
        </w:rPr>
        <w:t>69</w:t>
      </w:r>
      <w:r w:rsidRPr="003338D7">
        <w:rPr>
          <w:rFonts w:asciiTheme="majorHAnsi" w:hAnsiTheme="majorHAnsi"/>
          <w:noProof/>
          <w:szCs w:val="22"/>
        </w:rPr>
        <w:t xml:space="preserve">(2), 130–136. </w:t>
      </w:r>
      <w:hyperlink r:id="rId154" w:history="1">
        <w:r w:rsidRPr="003338D7">
          <w:rPr>
            <w:rStyle w:val="Hyperlink"/>
            <w:rFonts w:asciiTheme="majorHAnsi" w:hAnsiTheme="majorHAnsi"/>
            <w:noProof/>
            <w:szCs w:val="22"/>
          </w:rPr>
          <w:t>http://doi.org/10.14430/arctic4560</w:t>
        </w:r>
      </w:hyperlink>
    </w:p>
    <w:p w14:paraId="53D22BF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Adams, C. D. (1997). Regional overview: Caribbean islands. In S. D. Davis, V. H. Heywood, O. Herrera-Macbryde, J. Villa-Lobos, &amp; A. C. Hamilton (Eds.), </w:t>
      </w:r>
      <w:r w:rsidRPr="003338D7">
        <w:rPr>
          <w:rFonts w:asciiTheme="majorHAnsi" w:hAnsiTheme="majorHAnsi"/>
          <w:i/>
          <w:iCs/>
          <w:noProof/>
          <w:szCs w:val="22"/>
        </w:rPr>
        <w:t>Centres of Plant Diversity. A Guide and Strategy for their Conservation. Vol. 3. The Americas.</w:t>
      </w:r>
      <w:r w:rsidRPr="003338D7">
        <w:rPr>
          <w:rFonts w:asciiTheme="majorHAnsi" w:hAnsiTheme="majorHAnsi"/>
          <w:noProof/>
          <w:szCs w:val="22"/>
        </w:rPr>
        <w:t xml:space="preserve"> (pp. 233–258). Cambridge, UK: IUCN and WWF.</w:t>
      </w:r>
    </w:p>
    <w:p w14:paraId="40ED663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Agard, J., Kishore, R., &amp; Bayne, B. (1992). </w:t>
      </w:r>
      <w:r w:rsidRPr="003338D7">
        <w:rPr>
          <w:rFonts w:asciiTheme="majorHAnsi" w:hAnsiTheme="majorHAnsi"/>
          <w:i/>
          <w:noProof/>
          <w:szCs w:val="22"/>
        </w:rPr>
        <w:t>Perna viridis</w:t>
      </w:r>
      <w:r w:rsidRPr="003338D7">
        <w:rPr>
          <w:rFonts w:asciiTheme="majorHAnsi" w:hAnsiTheme="majorHAnsi"/>
          <w:noProof/>
          <w:szCs w:val="22"/>
        </w:rPr>
        <w:t xml:space="preserve"> (Linnaeus, 1758): first record of the Indo-Pacific green mussel (Mollusca: Bivalvia) in the Caribbean. </w:t>
      </w:r>
      <w:r w:rsidRPr="003338D7">
        <w:rPr>
          <w:rFonts w:asciiTheme="majorHAnsi" w:hAnsiTheme="majorHAnsi"/>
          <w:i/>
          <w:iCs/>
          <w:noProof/>
          <w:szCs w:val="22"/>
          <w:lang w:val="es-ES"/>
        </w:rPr>
        <w:t>Caribbean Marine Studies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w:t>
      </w:r>
      <w:r w:rsidRPr="003338D7">
        <w:rPr>
          <w:rFonts w:asciiTheme="majorHAnsi" w:hAnsiTheme="majorHAnsi"/>
          <w:noProof/>
          <w:szCs w:val="22"/>
          <w:lang w:val="es-ES"/>
        </w:rPr>
        <w:t>, 59–60.</w:t>
      </w:r>
    </w:p>
    <w:p w14:paraId="6E78253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Aguirre-Muñoz, A., &amp; Mendoza, R. (2009). Especies exóticas invasoras: impactos sobre las poblaciones de flora y fauna, los procesos ecológicos y la economía. In R. Dirzo, R. González, &amp; I. J. March (Eds.), </w:t>
      </w:r>
      <w:r w:rsidRPr="003338D7">
        <w:rPr>
          <w:rFonts w:asciiTheme="majorHAnsi" w:hAnsiTheme="majorHAnsi"/>
          <w:i/>
          <w:iCs/>
          <w:noProof/>
          <w:szCs w:val="22"/>
          <w:lang w:val="es-ES"/>
        </w:rPr>
        <w:t>Capital Natural de México, Vol 2: Estado de Conservación y Tendencias de Cambio.</w:t>
      </w:r>
      <w:r w:rsidRPr="003338D7">
        <w:rPr>
          <w:rFonts w:asciiTheme="majorHAnsi" w:hAnsiTheme="majorHAnsi"/>
          <w:noProof/>
          <w:szCs w:val="22"/>
          <w:lang w:val="es-ES"/>
        </w:rPr>
        <w:t xml:space="preserve"> </w:t>
      </w:r>
      <w:r w:rsidRPr="003338D7">
        <w:rPr>
          <w:rFonts w:asciiTheme="majorHAnsi" w:hAnsiTheme="majorHAnsi"/>
          <w:noProof/>
          <w:szCs w:val="22"/>
        </w:rPr>
        <w:t>(pp. 277–318). Mexico City, Mexico: CONABIO.</w:t>
      </w:r>
    </w:p>
    <w:p w14:paraId="1239E21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Ahlström, A., Raupach, M. R., Schurgers, G., Smith, B., Arneth, A., Jung, M., Reichstein, M., Canadell, J. G., Friedlingstein, P., Jain, A. K., Kato, E., Poulter, B., Sitch, S., Stocker, B. D., Viovy, N., Wang, Y. P., Wiltshire, A., Zaehle, S., &amp; Zeng, N. (2015). The dominant role of semi-arid ecosystems in the trend and variability of the land CO2 sink.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348</w:t>
      </w:r>
      <w:r w:rsidRPr="003338D7">
        <w:rPr>
          <w:rFonts w:asciiTheme="majorHAnsi" w:hAnsiTheme="majorHAnsi"/>
          <w:noProof/>
          <w:szCs w:val="22"/>
          <w:lang w:val="es-ES"/>
        </w:rPr>
        <w:t xml:space="preserve">(6237), 895–899. </w:t>
      </w:r>
      <w:hyperlink r:id="rId155" w:history="1">
        <w:r w:rsidRPr="003338D7">
          <w:rPr>
            <w:rStyle w:val="Hyperlink"/>
            <w:rFonts w:asciiTheme="majorHAnsi" w:hAnsiTheme="majorHAnsi"/>
            <w:noProof/>
            <w:szCs w:val="22"/>
            <w:lang w:val="es-ES"/>
          </w:rPr>
          <w:t>https://doi.org/10.1126/science.aaa1668</w:t>
        </w:r>
      </w:hyperlink>
    </w:p>
    <w:p w14:paraId="51A35E1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Aide, T. M., Zimmerman, J. K., Pascarella, J. B., Rivera, L., &amp; Marcano-Vega, H. (2000). </w:t>
      </w:r>
      <w:r w:rsidRPr="003338D7">
        <w:rPr>
          <w:rFonts w:asciiTheme="majorHAnsi" w:hAnsiTheme="majorHAnsi"/>
          <w:noProof/>
          <w:szCs w:val="22"/>
        </w:rPr>
        <w:t xml:space="preserve">Forest regeneration in a chronosequence of tropical abandoned pastures: Implications for restoration ecology. </w:t>
      </w:r>
      <w:r w:rsidRPr="003338D7">
        <w:rPr>
          <w:rFonts w:asciiTheme="majorHAnsi" w:hAnsiTheme="majorHAnsi"/>
          <w:i/>
          <w:iCs/>
          <w:noProof/>
          <w:szCs w:val="22"/>
        </w:rPr>
        <w:t>Restoration Ecology</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 xml:space="preserve">(4), 328–338. </w:t>
      </w:r>
      <w:hyperlink r:id="rId156" w:history="1">
        <w:r w:rsidRPr="003338D7">
          <w:rPr>
            <w:rStyle w:val="Hyperlink"/>
            <w:rFonts w:asciiTheme="majorHAnsi" w:hAnsiTheme="majorHAnsi"/>
            <w:noProof/>
            <w:szCs w:val="22"/>
          </w:rPr>
          <w:t>http://doi.org/10.1046/j.1526-100x.2000.80048.x</w:t>
        </w:r>
      </w:hyperlink>
    </w:p>
    <w:p w14:paraId="035DEBC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Aitken, D., Rivera, D., Godoy-Faúndez, A., &amp; Holzapfel, E. (2016). Water scarcity and the impact of the mining and agricultural sectors in Chile. </w:t>
      </w:r>
      <w:r w:rsidRPr="003338D7">
        <w:rPr>
          <w:rFonts w:asciiTheme="majorHAnsi" w:hAnsiTheme="majorHAnsi"/>
          <w:i/>
          <w:iCs/>
          <w:noProof/>
          <w:szCs w:val="22"/>
          <w:lang w:val="es-ES"/>
        </w:rPr>
        <w:t>Sustainability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w:t>
      </w:r>
      <w:r w:rsidRPr="003338D7">
        <w:rPr>
          <w:rFonts w:asciiTheme="majorHAnsi" w:hAnsiTheme="majorHAnsi"/>
          <w:noProof/>
          <w:szCs w:val="22"/>
          <w:lang w:val="es-ES"/>
        </w:rPr>
        <w:t xml:space="preserve">(2), 128. </w:t>
      </w:r>
      <w:hyperlink r:id="rId157" w:history="1">
        <w:r w:rsidRPr="003338D7">
          <w:rPr>
            <w:rStyle w:val="Hyperlink"/>
            <w:rFonts w:asciiTheme="majorHAnsi" w:hAnsiTheme="majorHAnsi"/>
            <w:noProof/>
            <w:szCs w:val="22"/>
            <w:lang w:val="es-ES"/>
          </w:rPr>
          <w:t>http://doi.org/10.3390/su8020128</w:t>
        </w:r>
      </w:hyperlink>
    </w:p>
    <w:p w14:paraId="452C07F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Aizen, M. A., Morales, C. L., Vázquez, D. P., Garibaldi, L. A., Sáez, A., &amp; Harder, L. D. (2014). </w:t>
      </w:r>
      <w:r w:rsidRPr="003338D7">
        <w:rPr>
          <w:rFonts w:asciiTheme="majorHAnsi" w:hAnsiTheme="majorHAnsi"/>
          <w:noProof/>
          <w:szCs w:val="22"/>
        </w:rPr>
        <w:t xml:space="preserve">When mutualism goes bad: density-dependent impacts of introduced bees on plant reproduction. </w:t>
      </w:r>
      <w:r w:rsidRPr="003338D7">
        <w:rPr>
          <w:rFonts w:asciiTheme="majorHAnsi" w:hAnsiTheme="majorHAnsi"/>
          <w:i/>
          <w:iCs/>
          <w:noProof/>
          <w:szCs w:val="22"/>
        </w:rPr>
        <w:t>New Phytologist</w:t>
      </w:r>
      <w:r w:rsidRPr="003338D7">
        <w:rPr>
          <w:rFonts w:asciiTheme="majorHAnsi" w:hAnsiTheme="majorHAnsi"/>
          <w:noProof/>
          <w:szCs w:val="22"/>
        </w:rPr>
        <w:t xml:space="preserve">, </w:t>
      </w:r>
      <w:r w:rsidRPr="003338D7">
        <w:rPr>
          <w:rFonts w:asciiTheme="majorHAnsi" w:hAnsiTheme="majorHAnsi"/>
          <w:i/>
          <w:iCs/>
          <w:noProof/>
          <w:szCs w:val="22"/>
        </w:rPr>
        <w:t>204</w:t>
      </w:r>
      <w:r w:rsidRPr="003338D7">
        <w:rPr>
          <w:rFonts w:asciiTheme="majorHAnsi" w:hAnsiTheme="majorHAnsi"/>
          <w:noProof/>
          <w:szCs w:val="22"/>
        </w:rPr>
        <w:t xml:space="preserve">(2), 322–328. </w:t>
      </w:r>
      <w:hyperlink r:id="rId158" w:history="1">
        <w:r w:rsidRPr="003338D7">
          <w:rPr>
            <w:rStyle w:val="Hyperlink"/>
            <w:rFonts w:asciiTheme="majorHAnsi" w:hAnsiTheme="majorHAnsi"/>
            <w:noProof/>
            <w:szCs w:val="22"/>
          </w:rPr>
          <w:t>http://doi.org/10.1111/nph.12924</w:t>
        </w:r>
      </w:hyperlink>
    </w:p>
    <w:p w14:paraId="453974A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Alaska Department of Fish and Game (ADF&amp;G). (2016). Hunting, Trapping, and Shooting. Retrieved January 1, 2016, from </w:t>
      </w:r>
      <w:hyperlink r:id="rId159" w:history="1">
        <w:r w:rsidRPr="003338D7">
          <w:rPr>
            <w:rStyle w:val="Hyperlink"/>
            <w:rFonts w:asciiTheme="majorHAnsi" w:hAnsiTheme="majorHAnsi"/>
            <w:noProof/>
            <w:szCs w:val="22"/>
          </w:rPr>
          <w:t>http://www.adfg.alaska.gov/index.cfm?adfg=hunting.main</w:t>
        </w:r>
      </w:hyperlink>
    </w:p>
    <w:p w14:paraId="483DFFA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Alayo, P. (1974). Los hemípteros acuáticos de Cuba. </w:t>
      </w:r>
      <w:r w:rsidRPr="003338D7">
        <w:rPr>
          <w:rFonts w:asciiTheme="majorHAnsi" w:hAnsiTheme="majorHAnsi"/>
          <w:i/>
          <w:iCs/>
          <w:noProof/>
          <w:szCs w:val="22"/>
          <w:lang w:val="es-ES"/>
        </w:rPr>
        <w:t>Nueva Serie Torreia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36</w:t>
      </w:r>
      <w:r w:rsidRPr="003338D7">
        <w:rPr>
          <w:rFonts w:asciiTheme="majorHAnsi" w:hAnsiTheme="majorHAnsi"/>
          <w:noProof/>
          <w:szCs w:val="22"/>
          <w:lang w:val="es-ES"/>
        </w:rPr>
        <w:t>, 9–64.</w:t>
      </w:r>
    </w:p>
    <w:p w14:paraId="0D860F6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Alayón García, G. (1999). Biodiversidad de las arañas (Arachnida: Araneae): estado del conocimiento en Cuba. </w:t>
      </w:r>
      <w:r w:rsidRPr="003338D7">
        <w:rPr>
          <w:rFonts w:asciiTheme="majorHAnsi" w:hAnsiTheme="majorHAnsi"/>
          <w:i/>
          <w:iCs/>
          <w:noProof/>
          <w:szCs w:val="22"/>
          <w:lang w:val="es-ES"/>
        </w:rPr>
        <w:t>Cocuyo</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w:t>
      </w:r>
      <w:r w:rsidRPr="003338D7">
        <w:rPr>
          <w:rFonts w:asciiTheme="majorHAnsi" w:hAnsiTheme="majorHAnsi"/>
          <w:noProof/>
          <w:szCs w:val="22"/>
          <w:lang w:val="es-ES"/>
        </w:rPr>
        <w:t>, 3–8.</w:t>
      </w:r>
    </w:p>
    <w:p w14:paraId="6B09927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Aldunate, C., Villagrán, C., Armesto, J. J., &amp; Castro, V. (1983). </w:t>
      </w:r>
      <w:r w:rsidRPr="003338D7">
        <w:rPr>
          <w:rFonts w:asciiTheme="majorHAnsi" w:hAnsiTheme="majorHAnsi"/>
          <w:noProof/>
          <w:szCs w:val="22"/>
        </w:rPr>
        <w:t xml:space="preserve">Ethnobotany of pre-altiplanic community in the Andes of northern Chile. </w:t>
      </w:r>
      <w:r w:rsidRPr="003338D7">
        <w:rPr>
          <w:rFonts w:asciiTheme="majorHAnsi" w:hAnsiTheme="majorHAnsi"/>
          <w:i/>
          <w:iCs/>
          <w:noProof/>
          <w:szCs w:val="22"/>
        </w:rPr>
        <w:t>Economic Botany</w:t>
      </w:r>
      <w:r w:rsidRPr="003338D7">
        <w:rPr>
          <w:rFonts w:asciiTheme="majorHAnsi" w:hAnsiTheme="majorHAnsi"/>
          <w:noProof/>
          <w:szCs w:val="22"/>
        </w:rPr>
        <w:t xml:space="preserve">, </w:t>
      </w:r>
      <w:r w:rsidRPr="003338D7">
        <w:rPr>
          <w:rFonts w:asciiTheme="majorHAnsi" w:hAnsiTheme="majorHAnsi"/>
          <w:i/>
          <w:iCs/>
          <w:noProof/>
          <w:szCs w:val="22"/>
        </w:rPr>
        <w:t>37</w:t>
      </w:r>
      <w:r w:rsidRPr="003338D7">
        <w:rPr>
          <w:rFonts w:asciiTheme="majorHAnsi" w:hAnsiTheme="majorHAnsi"/>
          <w:noProof/>
          <w:szCs w:val="22"/>
        </w:rPr>
        <w:t xml:space="preserve">(1), 120–135. </w:t>
      </w:r>
      <w:hyperlink r:id="rId160" w:history="1">
        <w:r w:rsidRPr="003338D7">
          <w:rPr>
            <w:rStyle w:val="Hyperlink"/>
            <w:rFonts w:asciiTheme="majorHAnsi" w:hAnsiTheme="majorHAnsi"/>
            <w:noProof/>
            <w:szCs w:val="22"/>
          </w:rPr>
          <w:t>http://doi.org/10.1007/BF02859312</w:t>
        </w:r>
      </w:hyperlink>
    </w:p>
    <w:p w14:paraId="694409C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Alexander, J. M., Lembrechts, J. J., Cavieres, L. A., Daehler, C., Haider, S., Kueffer, C., Liu, G., McDougall, K., Milbau, A., Pauchard, A., Rew, L. J., &amp; Seipel, T. (2016). Plant invasions into mountains and alpine ecosystems: current status and future challenges. </w:t>
      </w:r>
      <w:r w:rsidRPr="003338D7">
        <w:rPr>
          <w:rFonts w:asciiTheme="majorHAnsi" w:hAnsiTheme="majorHAnsi"/>
          <w:i/>
          <w:iCs/>
          <w:noProof/>
          <w:szCs w:val="22"/>
          <w:lang w:val="es-ES"/>
        </w:rPr>
        <w:t>Alpine Botany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126</w:t>
      </w:r>
      <w:r w:rsidRPr="003338D7">
        <w:rPr>
          <w:rFonts w:asciiTheme="majorHAnsi" w:hAnsiTheme="majorHAnsi"/>
          <w:noProof/>
          <w:szCs w:val="22"/>
          <w:lang w:val="es-ES"/>
        </w:rPr>
        <w:t xml:space="preserve">(2), 89–103. </w:t>
      </w:r>
      <w:hyperlink r:id="rId161" w:history="1">
        <w:r w:rsidRPr="003338D7">
          <w:rPr>
            <w:rStyle w:val="Hyperlink"/>
            <w:rFonts w:asciiTheme="majorHAnsi" w:hAnsiTheme="majorHAnsi"/>
            <w:noProof/>
            <w:szCs w:val="22"/>
            <w:lang w:val="es-ES"/>
          </w:rPr>
          <w:t>https://doi.org/10.1007/s00035-016-0172-8</w:t>
        </w:r>
      </w:hyperlink>
    </w:p>
    <w:p w14:paraId="723947B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Alho, C. J. R. (2011b). Biodiversity of the Pantanal: its magnitude, human occupation, environmental threats and challenges for conservation. </w:t>
      </w:r>
      <w:r w:rsidRPr="003338D7">
        <w:rPr>
          <w:rFonts w:asciiTheme="majorHAnsi" w:hAnsiTheme="majorHAnsi"/>
          <w:i/>
          <w:iCs/>
          <w:noProof/>
          <w:szCs w:val="22"/>
        </w:rPr>
        <w:t>Brazilian Journal of Biology</w:t>
      </w:r>
      <w:r w:rsidRPr="003338D7">
        <w:rPr>
          <w:rFonts w:asciiTheme="majorHAnsi" w:hAnsiTheme="majorHAnsi"/>
          <w:noProof/>
          <w:szCs w:val="22"/>
        </w:rPr>
        <w:t xml:space="preserve">, </w:t>
      </w:r>
      <w:r w:rsidRPr="003338D7">
        <w:rPr>
          <w:rFonts w:asciiTheme="majorHAnsi" w:hAnsiTheme="majorHAnsi"/>
          <w:i/>
          <w:iCs/>
          <w:noProof/>
          <w:szCs w:val="22"/>
        </w:rPr>
        <w:t>71</w:t>
      </w:r>
      <w:r w:rsidRPr="003338D7">
        <w:rPr>
          <w:rFonts w:asciiTheme="majorHAnsi" w:hAnsiTheme="majorHAnsi"/>
          <w:noProof/>
          <w:szCs w:val="22"/>
        </w:rPr>
        <w:t xml:space="preserve">(1 Suppl 1), 229–232. </w:t>
      </w:r>
      <w:hyperlink r:id="rId162" w:history="1">
        <w:r w:rsidRPr="003338D7">
          <w:rPr>
            <w:rStyle w:val="Hyperlink"/>
            <w:rFonts w:asciiTheme="majorHAnsi" w:hAnsiTheme="majorHAnsi"/>
            <w:noProof/>
            <w:szCs w:val="22"/>
          </w:rPr>
          <w:t>http://doi.org/10.1590/S1519-69842011000200001</w:t>
        </w:r>
      </w:hyperlink>
    </w:p>
    <w:p w14:paraId="1A80A7C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Alho, C. J. R., Camargo, G., &amp; Fischer, E. (2011a). Terrestrial and aquatic mammals of the Pantanal. </w:t>
      </w:r>
      <w:r w:rsidRPr="003338D7">
        <w:rPr>
          <w:rFonts w:asciiTheme="majorHAnsi" w:hAnsiTheme="majorHAnsi"/>
          <w:i/>
          <w:iCs/>
          <w:noProof/>
          <w:szCs w:val="22"/>
        </w:rPr>
        <w:t>Brazilian Journal of Biology</w:t>
      </w:r>
      <w:r w:rsidRPr="003338D7">
        <w:rPr>
          <w:rFonts w:asciiTheme="majorHAnsi" w:hAnsiTheme="majorHAnsi"/>
          <w:noProof/>
          <w:szCs w:val="22"/>
        </w:rPr>
        <w:t xml:space="preserve">, </w:t>
      </w:r>
      <w:r w:rsidRPr="003338D7">
        <w:rPr>
          <w:rFonts w:asciiTheme="majorHAnsi" w:hAnsiTheme="majorHAnsi"/>
          <w:i/>
          <w:iCs/>
          <w:noProof/>
          <w:szCs w:val="22"/>
        </w:rPr>
        <w:t>71</w:t>
      </w:r>
      <w:r w:rsidRPr="003338D7">
        <w:rPr>
          <w:rFonts w:asciiTheme="majorHAnsi" w:hAnsiTheme="majorHAnsi"/>
          <w:noProof/>
          <w:szCs w:val="22"/>
        </w:rPr>
        <w:t xml:space="preserve">(1 Suppl 1), 297–310. </w:t>
      </w:r>
      <w:hyperlink r:id="rId163" w:history="1">
        <w:r w:rsidRPr="003338D7">
          <w:rPr>
            <w:rStyle w:val="Hyperlink"/>
            <w:rFonts w:asciiTheme="majorHAnsi" w:hAnsiTheme="majorHAnsi"/>
            <w:noProof/>
            <w:szCs w:val="22"/>
          </w:rPr>
          <w:t>http://doi.org/10.1590/S1519-69842011000200009</w:t>
        </w:r>
      </w:hyperlink>
    </w:p>
    <w:p w14:paraId="54B01ED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Alho, C. J. R., Fischer, E., Oliveira-Pissini, L. F., &amp; Santos, C. F. (2011). Bat-species richness in the Pantanal floodplain and its surrounding uplands. </w:t>
      </w:r>
      <w:r w:rsidRPr="003338D7">
        <w:rPr>
          <w:rFonts w:asciiTheme="majorHAnsi" w:hAnsiTheme="majorHAnsi"/>
          <w:i/>
          <w:iCs/>
          <w:noProof/>
          <w:szCs w:val="22"/>
        </w:rPr>
        <w:t>Brazilian Journal of Biology</w:t>
      </w:r>
      <w:r w:rsidRPr="003338D7">
        <w:rPr>
          <w:rFonts w:asciiTheme="majorHAnsi" w:hAnsiTheme="majorHAnsi"/>
          <w:noProof/>
          <w:szCs w:val="22"/>
        </w:rPr>
        <w:t xml:space="preserve">, </w:t>
      </w:r>
      <w:r w:rsidRPr="003338D7">
        <w:rPr>
          <w:rFonts w:asciiTheme="majorHAnsi" w:hAnsiTheme="majorHAnsi"/>
          <w:i/>
          <w:iCs/>
          <w:noProof/>
          <w:szCs w:val="22"/>
        </w:rPr>
        <w:t>71</w:t>
      </w:r>
      <w:r w:rsidRPr="003338D7">
        <w:rPr>
          <w:rFonts w:asciiTheme="majorHAnsi" w:hAnsiTheme="majorHAnsi"/>
          <w:noProof/>
          <w:szCs w:val="22"/>
        </w:rPr>
        <w:t xml:space="preserve">(1 suppl 1), 311–320. </w:t>
      </w:r>
      <w:hyperlink r:id="rId164" w:history="1">
        <w:r w:rsidRPr="003338D7">
          <w:rPr>
            <w:rStyle w:val="Hyperlink"/>
            <w:rFonts w:asciiTheme="majorHAnsi" w:hAnsiTheme="majorHAnsi"/>
            <w:noProof/>
            <w:szCs w:val="22"/>
          </w:rPr>
          <w:t>http://doi.org/10.1590/S1519-69842011000200010</w:t>
        </w:r>
      </w:hyperlink>
    </w:p>
    <w:p w14:paraId="039BA00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Allen, C. D., Macalady, A. K., Chenchouni, H., Bachelet, D., McDowell, N., Vennetier, M., Kitzberger, T., Rigling, A., Breshears, D. D., Hogg, E. H., Gonzalez, P., Fensham, R., Zhang, Z., Castro, J., Demidova, N., Lim, J.-H., Allard, G., Running, S. W., Semerci, A., &amp; Cobb, N. (2010). A global overview of drought and heat-induced tree mortality reveals emerging climate change risks for forests. </w:t>
      </w:r>
      <w:r w:rsidRPr="003338D7">
        <w:rPr>
          <w:rFonts w:asciiTheme="majorHAnsi" w:hAnsiTheme="majorHAnsi"/>
          <w:i/>
          <w:iCs/>
          <w:noProof/>
          <w:szCs w:val="22"/>
          <w:lang w:val="es-ES"/>
        </w:rPr>
        <w:t>Forest Ecology and Management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259</w:t>
      </w:r>
      <w:r w:rsidRPr="003338D7">
        <w:rPr>
          <w:rFonts w:asciiTheme="majorHAnsi" w:hAnsiTheme="majorHAnsi"/>
          <w:noProof/>
          <w:szCs w:val="22"/>
          <w:lang w:val="es-ES"/>
        </w:rPr>
        <w:t xml:space="preserve">(4), 660–684. </w:t>
      </w:r>
      <w:hyperlink r:id="rId165" w:history="1">
        <w:r w:rsidRPr="003338D7">
          <w:rPr>
            <w:rStyle w:val="Hyperlink"/>
            <w:rFonts w:asciiTheme="majorHAnsi" w:hAnsiTheme="majorHAnsi"/>
            <w:noProof/>
            <w:szCs w:val="22"/>
            <w:lang w:val="es-ES"/>
          </w:rPr>
          <w:t>https://doi.org/10.1016/j.foreco.2009.09.001</w:t>
        </w:r>
      </w:hyperlink>
    </w:p>
    <w:p w14:paraId="0458084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Almeida-Neto, M., Prado, P. I., Kubota, U., Bariani, J. M., Aguirre, G. H., &amp; Lewinsohn, T. M. (2010). Invasive grasses and native Asteraceae in the Brazilian Cerrado. </w:t>
      </w:r>
      <w:r w:rsidRPr="003338D7">
        <w:rPr>
          <w:rFonts w:asciiTheme="majorHAnsi" w:hAnsiTheme="majorHAnsi"/>
          <w:i/>
          <w:iCs/>
          <w:noProof/>
          <w:szCs w:val="22"/>
        </w:rPr>
        <w:t>Plant Ecology</w:t>
      </w:r>
      <w:r w:rsidRPr="003338D7">
        <w:rPr>
          <w:rFonts w:asciiTheme="majorHAnsi" w:hAnsiTheme="majorHAnsi"/>
          <w:noProof/>
          <w:szCs w:val="22"/>
        </w:rPr>
        <w:t xml:space="preserve">, </w:t>
      </w:r>
      <w:r w:rsidRPr="003338D7">
        <w:rPr>
          <w:rFonts w:asciiTheme="majorHAnsi" w:hAnsiTheme="majorHAnsi"/>
          <w:i/>
          <w:iCs/>
          <w:noProof/>
          <w:szCs w:val="22"/>
        </w:rPr>
        <w:t>209</w:t>
      </w:r>
      <w:r w:rsidRPr="003338D7">
        <w:rPr>
          <w:rFonts w:asciiTheme="majorHAnsi" w:hAnsiTheme="majorHAnsi"/>
          <w:noProof/>
          <w:szCs w:val="22"/>
        </w:rPr>
        <w:t xml:space="preserve">(1), 109–122. </w:t>
      </w:r>
      <w:hyperlink r:id="rId166" w:history="1">
        <w:r w:rsidRPr="003338D7">
          <w:rPr>
            <w:rStyle w:val="Hyperlink"/>
            <w:rFonts w:asciiTheme="majorHAnsi" w:hAnsiTheme="majorHAnsi"/>
            <w:noProof/>
            <w:szCs w:val="22"/>
          </w:rPr>
          <w:t>http://doi.org/10.1007/s11258-010-9727-8</w:t>
        </w:r>
      </w:hyperlink>
    </w:p>
    <w:p w14:paraId="4042B22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Almeida, W. R., Lopes, A. V., Tabarelli, M., &amp; Leal, I. R. (2015). </w:t>
      </w:r>
      <w:r w:rsidRPr="003338D7">
        <w:rPr>
          <w:rFonts w:asciiTheme="majorHAnsi" w:hAnsiTheme="majorHAnsi"/>
          <w:noProof/>
          <w:szCs w:val="22"/>
        </w:rPr>
        <w:t xml:space="preserve">The alien flora of Brazilian Caatinga: deliberate introductions expand the contingent of potential invaders. </w:t>
      </w:r>
      <w:r w:rsidRPr="003338D7">
        <w:rPr>
          <w:rFonts w:asciiTheme="majorHAnsi" w:hAnsiTheme="majorHAnsi"/>
          <w:i/>
          <w:iCs/>
          <w:noProof/>
          <w:szCs w:val="22"/>
        </w:rPr>
        <w:t>Biological Invasions</w:t>
      </w:r>
      <w:r w:rsidRPr="003338D7">
        <w:rPr>
          <w:rFonts w:asciiTheme="majorHAnsi" w:hAnsiTheme="majorHAnsi"/>
          <w:noProof/>
          <w:szCs w:val="22"/>
        </w:rPr>
        <w:t xml:space="preserve">, </w:t>
      </w:r>
      <w:r w:rsidRPr="003338D7">
        <w:rPr>
          <w:rFonts w:asciiTheme="majorHAnsi" w:hAnsiTheme="majorHAnsi"/>
          <w:i/>
          <w:iCs/>
          <w:noProof/>
          <w:szCs w:val="22"/>
        </w:rPr>
        <w:t>17</w:t>
      </w:r>
      <w:r w:rsidRPr="003338D7">
        <w:rPr>
          <w:rFonts w:asciiTheme="majorHAnsi" w:hAnsiTheme="majorHAnsi"/>
          <w:noProof/>
          <w:szCs w:val="22"/>
        </w:rPr>
        <w:t xml:space="preserve">(1), 51–56. </w:t>
      </w:r>
      <w:hyperlink r:id="rId167" w:history="1">
        <w:r w:rsidRPr="003338D7">
          <w:rPr>
            <w:rStyle w:val="Hyperlink"/>
            <w:rFonts w:asciiTheme="majorHAnsi" w:hAnsiTheme="majorHAnsi"/>
            <w:noProof/>
            <w:szCs w:val="22"/>
          </w:rPr>
          <w:t>http://doi.org/10.1007/s10530-014-0738-6</w:t>
        </w:r>
      </w:hyperlink>
    </w:p>
    <w:p w14:paraId="59B8A57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Alonso, A., Muñoz-Carpena, R., Kennedy, R. E., &amp; Murcia., C. (2016). Wetland landscape spatio-temporal degradation dynamics using the new Google Earth engine cloud-based platform: Opportunities for non-specialists in remote sensing. </w:t>
      </w:r>
      <w:r w:rsidRPr="003338D7">
        <w:rPr>
          <w:rFonts w:asciiTheme="majorHAnsi" w:hAnsiTheme="majorHAnsi"/>
          <w:i/>
          <w:iCs/>
          <w:noProof/>
          <w:szCs w:val="22"/>
        </w:rPr>
        <w:t>Transactions of the ASABE</w:t>
      </w:r>
      <w:r w:rsidRPr="003338D7">
        <w:rPr>
          <w:rFonts w:asciiTheme="majorHAnsi" w:hAnsiTheme="majorHAnsi"/>
          <w:noProof/>
          <w:szCs w:val="22"/>
        </w:rPr>
        <w:t xml:space="preserve">, </w:t>
      </w:r>
      <w:r w:rsidRPr="003338D7">
        <w:rPr>
          <w:rFonts w:asciiTheme="majorHAnsi" w:hAnsiTheme="majorHAnsi"/>
          <w:i/>
          <w:iCs/>
          <w:noProof/>
          <w:szCs w:val="22"/>
        </w:rPr>
        <w:t>59</w:t>
      </w:r>
      <w:r w:rsidRPr="003338D7">
        <w:rPr>
          <w:rFonts w:asciiTheme="majorHAnsi" w:hAnsiTheme="majorHAnsi"/>
          <w:noProof/>
          <w:szCs w:val="22"/>
        </w:rPr>
        <w:t xml:space="preserve">(5), 1331–1342. </w:t>
      </w:r>
      <w:hyperlink r:id="rId168" w:history="1">
        <w:r w:rsidRPr="003338D7">
          <w:rPr>
            <w:rStyle w:val="Hyperlink"/>
            <w:rFonts w:asciiTheme="majorHAnsi" w:hAnsiTheme="majorHAnsi"/>
            <w:noProof/>
            <w:szCs w:val="22"/>
          </w:rPr>
          <w:t>http://doi.org/10.13031/trans.59.11608</w:t>
        </w:r>
      </w:hyperlink>
    </w:p>
    <w:p w14:paraId="1BB1457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Altieri, M. A. (2000). Developing sustainable agricultural systems for small farmers in Latin America. </w:t>
      </w:r>
      <w:r w:rsidRPr="003338D7">
        <w:rPr>
          <w:rFonts w:asciiTheme="majorHAnsi" w:hAnsiTheme="majorHAnsi"/>
          <w:i/>
          <w:iCs/>
          <w:noProof/>
          <w:szCs w:val="22"/>
        </w:rPr>
        <w:t>Natural Resource Forum</w:t>
      </w:r>
      <w:r w:rsidRPr="003338D7">
        <w:rPr>
          <w:rFonts w:asciiTheme="majorHAnsi" w:hAnsiTheme="majorHAnsi"/>
          <w:noProof/>
          <w:szCs w:val="22"/>
        </w:rPr>
        <w:t xml:space="preserve">, </w:t>
      </w:r>
      <w:r w:rsidRPr="003338D7">
        <w:rPr>
          <w:rFonts w:asciiTheme="majorHAnsi" w:hAnsiTheme="majorHAnsi"/>
          <w:i/>
          <w:iCs/>
          <w:noProof/>
          <w:szCs w:val="22"/>
        </w:rPr>
        <w:t>24</w:t>
      </w:r>
      <w:r w:rsidRPr="003338D7">
        <w:rPr>
          <w:rFonts w:asciiTheme="majorHAnsi" w:hAnsiTheme="majorHAnsi"/>
          <w:noProof/>
          <w:szCs w:val="22"/>
        </w:rPr>
        <w:t xml:space="preserve">(2), 97–105. </w:t>
      </w:r>
      <w:hyperlink r:id="rId169" w:history="1">
        <w:r w:rsidRPr="003338D7">
          <w:rPr>
            <w:rStyle w:val="Hyperlink"/>
            <w:rFonts w:asciiTheme="majorHAnsi" w:hAnsiTheme="majorHAnsi"/>
            <w:noProof/>
            <w:szCs w:val="22"/>
          </w:rPr>
          <w:t>http://doi.org/10.1111/j.1477-8947.2000.tb00935.x</w:t>
        </w:r>
      </w:hyperlink>
    </w:p>
    <w:p w14:paraId="7AC1A6C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Altieri, M. A. (2009). The ecological impacts of large-scale agrofuel monoculture production systems in the Americas. </w:t>
      </w:r>
      <w:r w:rsidRPr="003338D7">
        <w:rPr>
          <w:rFonts w:asciiTheme="majorHAnsi" w:hAnsiTheme="majorHAnsi"/>
          <w:i/>
          <w:iCs/>
          <w:noProof/>
          <w:szCs w:val="22"/>
        </w:rPr>
        <w:t>Bulletin of Science, Technology &amp; Society</w:t>
      </w:r>
      <w:r w:rsidRPr="003338D7">
        <w:rPr>
          <w:rFonts w:asciiTheme="majorHAnsi" w:hAnsiTheme="majorHAnsi"/>
          <w:noProof/>
          <w:szCs w:val="22"/>
        </w:rPr>
        <w:t xml:space="preserve">, </w:t>
      </w:r>
      <w:r w:rsidRPr="003338D7">
        <w:rPr>
          <w:rFonts w:asciiTheme="majorHAnsi" w:hAnsiTheme="majorHAnsi"/>
          <w:i/>
          <w:iCs/>
          <w:noProof/>
          <w:szCs w:val="22"/>
        </w:rPr>
        <w:t>29</w:t>
      </w:r>
      <w:r w:rsidRPr="003338D7">
        <w:rPr>
          <w:rFonts w:asciiTheme="majorHAnsi" w:hAnsiTheme="majorHAnsi"/>
          <w:noProof/>
          <w:szCs w:val="22"/>
        </w:rPr>
        <w:t xml:space="preserve">(3), 236–244. </w:t>
      </w:r>
      <w:hyperlink r:id="rId170" w:history="1">
        <w:r w:rsidRPr="003338D7">
          <w:rPr>
            <w:rStyle w:val="Hyperlink"/>
            <w:rFonts w:asciiTheme="majorHAnsi" w:hAnsiTheme="majorHAnsi"/>
            <w:noProof/>
            <w:szCs w:val="22"/>
          </w:rPr>
          <w:t>http://doi.org/10.1177/0270467609333728</w:t>
        </w:r>
      </w:hyperlink>
    </w:p>
    <w:p w14:paraId="722869B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Alvarez, R. (2001). Estimation of carbon losses by cultivation from soils of the Argentine Pampa using the Century Model. </w:t>
      </w:r>
      <w:r w:rsidRPr="003338D7">
        <w:rPr>
          <w:rFonts w:asciiTheme="majorHAnsi" w:hAnsiTheme="majorHAnsi"/>
          <w:i/>
          <w:iCs/>
          <w:noProof/>
          <w:szCs w:val="22"/>
        </w:rPr>
        <w:t>Soil Use and Management</w:t>
      </w:r>
      <w:r w:rsidRPr="003338D7">
        <w:rPr>
          <w:rFonts w:asciiTheme="majorHAnsi" w:hAnsiTheme="majorHAnsi"/>
          <w:noProof/>
          <w:szCs w:val="22"/>
        </w:rPr>
        <w:t xml:space="preserve">, </w:t>
      </w:r>
      <w:r w:rsidRPr="003338D7">
        <w:rPr>
          <w:rFonts w:asciiTheme="majorHAnsi" w:hAnsiTheme="majorHAnsi"/>
          <w:i/>
          <w:iCs/>
          <w:noProof/>
          <w:szCs w:val="22"/>
        </w:rPr>
        <w:t>17</w:t>
      </w:r>
      <w:r w:rsidRPr="003338D7">
        <w:rPr>
          <w:rFonts w:asciiTheme="majorHAnsi" w:hAnsiTheme="majorHAnsi"/>
          <w:noProof/>
          <w:szCs w:val="22"/>
        </w:rPr>
        <w:t xml:space="preserve">(2), 62–66. </w:t>
      </w:r>
      <w:hyperlink r:id="rId171" w:history="1">
        <w:r w:rsidRPr="003338D7">
          <w:rPr>
            <w:rStyle w:val="Hyperlink"/>
            <w:rFonts w:asciiTheme="majorHAnsi" w:hAnsiTheme="majorHAnsi"/>
            <w:noProof/>
            <w:szCs w:val="22"/>
          </w:rPr>
          <w:t>http://doi.org/10.1079/SUM200165</w:t>
        </w:r>
      </w:hyperlink>
    </w:p>
    <w:p w14:paraId="136BDB7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Alvarez, R. (2005). Carbon stocks in pampean soils: a simple regression model for estimation of carbon storage under nondegraded scenarios. </w:t>
      </w:r>
      <w:r w:rsidRPr="003338D7">
        <w:rPr>
          <w:rFonts w:asciiTheme="majorHAnsi" w:hAnsiTheme="majorHAnsi"/>
          <w:i/>
          <w:iCs/>
          <w:noProof/>
          <w:szCs w:val="22"/>
        </w:rPr>
        <w:t>Communications in Soil Science and Plant Analysis</w:t>
      </w:r>
      <w:r w:rsidRPr="003338D7">
        <w:rPr>
          <w:rFonts w:asciiTheme="majorHAnsi" w:hAnsiTheme="majorHAnsi"/>
          <w:noProof/>
          <w:szCs w:val="22"/>
        </w:rPr>
        <w:t xml:space="preserve">, </w:t>
      </w:r>
      <w:r w:rsidRPr="003338D7">
        <w:rPr>
          <w:rFonts w:asciiTheme="majorHAnsi" w:hAnsiTheme="majorHAnsi"/>
          <w:i/>
          <w:iCs/>
          <w:noProof/>
          <w:szCs w:val="22"/>
        </w:rPr>
        <w:t>36</w:t>
      </w:r>
      <w:r w:rsidRPr="003338D7">
        <w:rPr>
          <w:rFonts w:asciiTheme="majorHAnsi" w:hAnsiTheme="majorHAnsi"/>
          <w:noProof/>
          <w:szCs w:val="22"/>
        </w:rPr>
        <w:t xml:space="preserve">(11–12), 1583–1589. </w:t>
      </w:r>
      <w:hyperlink r:id="rId172" w:history="1">
        <w:r w:rsidRPr="003338D7">
          <w:rPr>
            <w:rStyle w:val="Hyperlink"/>
            <w:rFonts w:asciiTheme="majorHAnsi" w:hAnsiTheme="majorHAnsi"/>
            <w:noProof/>
            <w:szCs w:val="22"/>
          </w:rPr>
          <w:t>http://doi.org/10.1081/CSS-200059082</w:t>
        </w:r>
      </w:hyperlink>
    </w:p>
    <w:p w14:paraId="2BCEF2D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Anacker, B. L. (2014). The nature of serpentine endemism. </w:t>
      </w:r>
      <w:r w:rsidRPr="003338D7">
        <w:rPr>
          <w:rFonts w:asciiTheme="majorHAnsi" w:hAnsiTheme="majorHAnsi"/>
          <w:i/>
          <w:iCs/>
          <w:noProof/>
          <w:szCs w:val="22"/>
        </w:rPr>
        <w:t>American Journal of Botany</w:t>
      </w:r>
      <w:r w:rsidRPr="003338D7">
        <w:rPr>
          <w:rFonts w:asciiTheme="majorHAnsi" w:hAnsiTheme="majorHAnsi"/>
          <w:noProof/>
          <w:szCs w:val="22"/>
        </w:rPr>
        <w:t xml:space="preserve">, </w:t>
      </w:r>
      <w:r w:rsidRPr="003338D7">
        <w:rPr>
          <w:rFonts w:asciiTheme="majorHAnsi" w:hAnsiTheme="majorHAnsi"/>
          <w:i/>
          <w:iCs/>
          <w:noProof/>
          <w:szCs w:val="22"/>
        </w:rPr>
        <w:t>101</w:t>
      </w:r>
      <w:r w:rsidRPr="003338D7">
        <w:rPr>
          <w:rFonts w:asciiTheme="majorHAnsi" w:hAnsiTheme="majorHAnsi"/>
          <w:noProof/>
          <w:szCs w:val="22"/>
        </w:rPr>
        <w:t xml:space="preserve">(2), 219–224. </w:t>
      </w:r>
      <w:hyperlink r:id="rId173" w:history="1">
        <w:r w:rsidRPr="003338D7">
          <w:rPr>
            <w:rStyle w:val="Hyperlink"/>
            <w:rFonts w:asciiTheme="majorHAnsi" w:hAnsiTheme="majorHAnsi"/>
            <w:noProof/>
            <w:szCs w:val="22"/>
          </w:rPr>
          <w:t>http://doi.org/10.3732/ajb.1300349</w:t>
        </w:r>
      </w:hyperlink>
    </w:p>
    <w:p w14:paraId="3D470C0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Anadón-Irizarry, V., Wege, D. C., Upgren, A., Young, R., Boom, B., León, Y. M., Arias, Y., Koenig, K., Morales, A. L., Burke, W., Pérez-Leroux, A., Levy, C., Koenig, S., Gape, L., &amp; Moore, P. (2012). Sites for priority biodiversity conservation in the Caribbean Islands biodiversity hotspot. </w:t>
      </w:r>
      <w:r w:rsidRPr="003338D7">
        <w:rPr>
          <w:rFonts w:asciiTheme="majorHAnsi" w:hAnsiTheme="majorHAnsi"/>
          <w:i/>
          <w:iCs/>
          <w:noProof/>
          <w:szCs w:val="22"/>
          <w:lang w:val="es-ES"/>
        </w:rPr>
        <w:t>Journal of Threatened Taxa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w:t>
      </w:r>
      <w:r w:rsidRPr="003338D7">
        <w:rPr>
          <w:rFonts w:asciiTheme="majorHAnsi" w:hAnsiTheme="majorHAnsi"/>
          <w:noProof/>
          <w:szCs w:val="22"/>
          <w:lang w:val="es-ES"/>
        </w:rPr>
        <w:t xml:space="preserve">(8), 2806–2844. </w:t>
      </w:r>
      <w:hyperlink r:id="rId174" w:history="1">
        <w:r w:rsidRPr="003338D7">
          <w:rPr>
            <w:rStyle w:val="Hyperlink"/>
            <w:rFonts w:asciiTheme="majorHAnsi" w:hAnsiTheme="majorHAnsi"/>
            <w:noProof/>
            <w:szCs w:val="22"/>
            <w:lang w:val="es-ES"/>
          </w:rPr>
          <w:t>https://doi.org/10.11609/JoTT.o2996.2806-44</w:t>
        </w:r>
      </w:hyperlink>
    </w:p>
    <w:p w14:paraId="69A648C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Anderson-Teixeira, K. J., Snyder, P. K., Twine, T. E., Cuadra, S. V., Costa, M. H., &amp; DeLucia, E. H. (2012). Climate-regulation services of natural and agricultural ecoregions of the Americas. </w:t>
      </w:r>
      <w:r w:rsidRPr="003338D7">
        <w:rPr>
          <w:rFonts w:asciiTheme="majorHAnsi" w:hAnsiTheme="majorHAnsi"/>
          <w:i/>
          <w:iCs/>
          <w:noProof/>
          <w:szCs w:val="22"/>
        </w:rPr>
        <w:t>Nature Climate Change</w:t>
      </w:r>
      <w:r w:rsidRPr="003338D7">
        <w:rPr>
          <w:rFonts w:asciiTheme="majorHAnsi" w:hAnsiTheme="majorHAnsi"/>
          <w:noProof/>
          <w:szCs w:val="22"/>
        </w:rPr>
        <w:t xml:space="preserve">, </w:t>
      </w:r>
      <w:r w:rsidRPr="003338D7">
        <w:rPr>
          <w:rFonts w:asciiTheme="majorHAnsi" w:hAnsiTheme="majorHAnsi"/>
          <w:i/>
          <w:iCs/>
          <w:noProof/>
          <w:szCs w:val="22"/>
        </w:rPr>
        <w:t>2</w:t>
      </w:r>
      <w:r w:rsidRPr="003338D7">
        <w:rPr>
          <w:rFonts w:asciiTheme="majorHAnsi" w:hAnsiTheme="majorHAnsi"/>
          <w:noProof/>
          <w:szCs w:val="22"/>
        </w:rPr>
        <w:t xml:space="preserve">(3), 177–181. </w:t>
      </w:r>
      <w:hyperlink r:id="rId175" w:history="1">
        <w:r w:rsidRPr="003338D7">
          <w:rPr>
            <w:rStyle w:val="Hyperlink"/>
            <w:rFonts w:asciiTheme="majorHAnsi" w:hAnsiTheme="majorHAnsi"/>
            <w:noProof/>
            <w:szCs w:val="22"/>
          </w:rPr>
          <w:t>http://doi.org/10.1038/nclimate1346</w:t>
        </w:r>
      </w:hyperlink>
    </w:p>
    <w:p w14:paraId="2B42F66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Anderson, P. K., Cunningham, A. A., Patel, N. G., Morales, F. J., Epstein, P. R., &amp; Daszak, P. (2004). Emerging infectious diseases of plants: Pathogen pollution, climate change and agrotechnology drivers. </w:t>
      </w:r>
      <w:r w:rsidRPr="003338D7">
        <w:rPr>
          <w:rFonts w:asciiTheme="majorHAnsi" w:hAnsiTheme="majorHAnsi"/>
          <w:i/>
          <w:iCs/>
          <w:noProof/>
          <w:szCs w:val="22"/>
        </w:rPr>
        <w:t>Trends in Ecology and Evolution</w:t>
      </w:r>
      <w:r w:rsidRPr="003338D7">
        <w:rPr>
          <w:rFonts w:asciiTheme="majorHAnsi" w:hAnsiTheme="majorHAnsi"/>
          <w:noProof/>
          <w:szCs w:val="22"/>
        </w:rPr>
        <w:t xml:space="preserve">, </w:t>
      </w:r>
      <w:r w:rsidRPr="003338D7">
        <w:rPr>
          <w:rFonts w:asciiTheme="majorHAnsi" w:hAnsiTheme="majorHAnsi"/>
          <w:i/>
          <w:iCs/>
          <w:noProof/>
          <w:szCs w:val="22"/>
        </w:rPr>
        <w:t>19</w:t>
      </w:r>
      <w:r w:rsidRPr="003338D7">
        <w:rPr>
          <w:rFonts w:asciiTheme="majorHAnsi" w:hAnsiTheme="majorHAnsi"/>
          <w:noProof/>
          <w:szCs w:val="22"/>
        </w:rPr>
        <w:t xml:space="preserve">(10), 535–544. </w:t>
      </w:r>
      <w:hyperlink r:id="rId176" w:history="1">
        <w:r w:rsidRPr="003338D7">
          <w:rPr>
            <w:rStyle w:val="Hyperlink"/>
            <w:rFonts w:asciiTheme="majorHAnsi" w:hAnsiTheme="majorHAnsi"/>
            <w:noProof/>
            <w:szCs w:val="22"/>
          </w:rPr>
          <w:t>http://doi.org/10.1016/j.tree.2004.07.021</w:t>
        </w:r>
      </w:hyperlink>
    </w:p>
    <w:p w14:paraId="42F292E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Andréassian, V. (2004). Waters and forests: from historical controversy to scientific debate. </w:t>
      </w:r>
      <w:r w:rsidRPr="003338D7">
        <w:rPr>
          <w:rFonts w:asciiTheme="majorHAnsi" w:hAnsiTheme="majorHAnsi"/>
          <w:i/>
          <w:iCs/>
          <w:noProof/>
          <w:szCs w:val="22"/>
        </w:rPr>
        <w:t>Journal of Hydrology</w:t>
      </w:r>
      <w:r w:rsidRPr="003338D7">
        <w:rPr>
          <w:rFonts w:asciiTheme="majorHAnsi" w:hAnsiTheme="majorHAnsi"/>
          <w:noProof/>
          <w:szCs w:val="22"/>
        </w:rPr>
        <w:t xml:space="preserve">, </w:t>
      </w:r>
      <w:r w:rsidRPr="003338D7">
        <w:rPr>
          <w:rFonts w:asciiTheme="majorHAnsi" w:hAnsiTheme="majorHAnsi"/>
          <w:i/>
          <w:iCs/>
          <w:noProof/>
          <w:szCs w:val="22"/>
        </w:rPr>
        <w:t>291</w:t>
      </w:r>
      <w:r w:rsidRPr="003338D7">
        <w:rPr>
          <w:rFonts w:asciiTheme="majorHAnsi" w:hAnsiTheme="majorHAnsi"/>
          <w:noProof/>
          <w:szCs w:val="22"/>
        </w:rPr>
        <w:t xml:space="preserve">(1), 1–27. </w:t>
      </w:r>
      <w:hyperlink r:id="rId177" w:history="1">
        <w:r w:rsidRPr="003338D7">
          <w:rPr>
            <w:rStyle w:val="Hyperlink"/>
            <w:rFonts w:asciiTheme="majorHAnsi" w:hAnsiTheme="majorHAnsi"/>
            <w:noProof/>
            <w:szCs w:val="22"/>
          </w:rPr>
          <w:t>http://doi.org/10.1016/j.jhydrol.2003.12.015</w:t>
        </w:r>
      </w:hyperlink>
    </w:p>
    <w:p w14:paraId="6EFB3D9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Andresen, C. G., &amp; Lougheed, V. L. (2015). Disappearing Arctic tundra ponds: fine-scale analysis of surface hydrology in drained thaw lake basins over a 65 year period (1948–2013). </w:t>
      </w:r>
      <w:r w:rsidRPr="003338D7">
        <w:rPr>
          <w:rFonts w:asciiTheme="majorHAnsi" w:hAnsiTheme="majorHAnsi"/>
          <w:i/>
          <w:iCs/>
          <w:noProof/>
          <w:szCs w:val="22"/>
        </w:rPr>
        <w:t>Journal of Geophysical Research: Biogeosciences</w:t>
      </w:r>
      <w:r w:rsidRPr="003338D7">
        <w:rPr>
          <w:rFonts w:asciiTheme="majorHAnsi" w:hAnsiTheme="majorHAnsi"/>
          <w:noProof/>
          <w:szCs w:val="22"/>
        </w:rPr>
        <w:t xml:space="preserve">, </w:t>
      </w:r>
      <w:r w:rsidRPr="003338D7">
        <w:rPr>
          <w:rFonts w:asciiTheme="majorHAnsi" w:hAnsiTheme="majorHAnsi"/>
          <w:i/>
          <w:iCs/>
          <w:noProof/>
          <w:szCs w:val="22"/>
        </w:rPr>
        <w:t>120</w:t>
      </w:r>
      <w:r w:rsidRPr="003338D7">
        <w:rPr>
          <w:rFonts w:asciiTheme="majorHAnsi" w:hAnsiTheme="majorHAnsi"/>
          <w:noProof/>
          <w:szCs w:val="22"/>
        </w:rPr>
        <w:t xml:space="preserve">(3), 466–479. </w:t>
      </w:r>
      <w:hyperlink r:id="rId178" w:history="1">
        <w:r w:rsidRPr="003338D7">
          <w:rPr>
            <w:rStyle w:val="Hyperlink"/>
            <w:rFonts w:asciiTheme="majorHAnsi" w:hAnsiTheme="majorHAnsi"/>
            <w:noProof/>
            <w:szCs w:val="22"/>
          </w:rPr>
          <w:t>http://doi.org/10.1002/2014JG002778</w:t>
        </w:r>
      </w:hyperlink>
    </w:p>
    <w:p w14:paraId="37771CE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Antunes, A. P., Fewster, R. M., Venticinque, E. M., Peres, C. A., Levi, T., Rohe, F., &amp; Shepard, G. H. (2016). Empty forest or empty rivers? A century of commercial hunting in Amazonia. </w:t>
      </w:r>
      <w:r w:rsidRPr="003338D7">
        <w:rPr>
          <w:rFonts w:asciiTheme="majorHAnsi" w:hAnsiTheme="majorHAnsi"/>
          <w:i/>
          <w:iCs/>
          <w:noProof/>
          <w:szCs w:val="22"/>
          <w:lang w:val="es-ES"/>
        </w:rPr>
        <w:t>Science Advances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w:t>
      </w:r>
      <w:r w:rsidRPr="003338D7">
        <w:rPr>
          <w:rFonts w:asciiTheme="majorHAnsi" w:hAnsiTheme="majorHAnsi"/>
          <w:noProof/>
          <w:szCs w:val="22"/>
          <w:lang w:val="es-ES"/>
        </w:rPr>
        <w:t xml:space="preserve">(10), e1600936. </w:t>
      </w:r>
      <w:hyperlink r:id="rId179" w:history="1">
        <w:r w:rsidRPr="003338D7">
          <w:rPr>
            <w:rStyle w:val="Hyperlink"/>
            <w:rFonts w:asciiTheme="majorHAnsi" w:hAnsiTheme="majorHAnsi"/>
            <w:noProof/>
            <w:szCs w:val="22"/>
            <w:lang w:val="es-ES"/>
          </w:rPr>
          <w:t>http://doi.org/10.1126/sciadv.1600936</w:t>
        </w:r>
      </w:hyperlink>
    </w:p>
    <w:p w14:paraId="6F9DA42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Aponte, H., &amp; Cano, A. (2013). Estudio florístico comparativo de seis humedales de la costa de Lima (Perú): actualización y nuevos retos para su conservación. </w:t>
      </w:r>
      <w:r w:rsidRPr="003338D7">
        <w:rPr>
          <w:rFonts w:asciiTheme="majorHAnsi" w:hAnsiTheme="majorHAnsi"/>
          <w:i/>
          <w:iCs/>
          <w:noProof/>
          <w:szCs w:val="22"/>
          <w:lang w:val="es-ES"/>
        </w:rPr>
        <w:t>Revista Latinoamericana de Conservación</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w:t>
      </w:r>
      <w:r w:rsidRPr="003338D7">
        <w:rPr>
          <w:rFonts w:asciiTheme="majorHAnsi" w:hAnsiTheme="majorHAnsi"/>
          <w:noProof/>
          <w:szCs w:val="22"/>
          <w:lang w:val="es-ES"/>
        </w:rPr>
        <w:t>(2), 15–27.</w:t>
      </w:r>
    </w:p>
    <w:p w14:paraId="0DAFA09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Aravena, J. C., Lara, A., Wolodarsky-Franke, A., Villalba, R., &amp; Cuq, E. (2002). </w:t>
      </w:r>
      <w:r w:rsidRPr="003338D7">
        <w:rPr>
          <w:rFonts w:asciiTheme="majorHAnsi" w:hAnsiTheme="majorHAnsi"/>
          <w:noProof/>
          <w:szCs w:val="22"/>
        </w:rPr>
        <w:t xml:space="preserve">Tree-ring growth patterns and temperature reconstruction from </w:t>
      </w:r>
      <w:r w:rsidRPr="003338D7">
        <w:rPr>
          <w:rFonts w:asciiTheme="majorHAnsi" w:hAnsiTheme="majorHAnsi"/>
          <w:i/>
          <w:iCs/>
          <w:noProof/>
          <w:szCs w:val="22"/>
        </w:rPr>
        <w:t>Nothofagus pumilio</w:t>
      </w:r>
      <w:r w:rsidRPr="003338D7">
        <w:rPr>
          <w:rFonts w:asciiTheme="majorHAnsi" w:hAnsiTheme="majorHAnsi"/>
          <w:noProof/>
          <w:szCs w:val="22"/>
        </w:rPr>
        <w:t xml:space="preserve"> (Fagaceae) forests at the upper tree line of southern Chilean Patagonia. </w:t>
      </w:r>
      <w:r w:rsidRPr="003338D7">
        <w:rPr>
          <w:rFonts w:asciiTheme="majorHAnsi" w:hAnsiTheme="majorHAnsi"/>
          <w:i/>
          <w:iCs/>
          <w:noProof/>
          <w:szCs w:val="22"/>
          <w:lang w:val="es-ES"/>
        </w:rPr>
        <w:t>Revista Chilena de Historia Natural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75</w:t>
      </w:r>
      <w:r w:rsidRPr="003338D7">
        <w:rPr>
          <w:rFonts w:asciiTheme="majorHAnsi" w:hAnsiTheme="majorHAnsi"/>
          <w:noProof/>
          <w:szCs w:val="22"/>
          <w:lang w:val="es-ES"/>
        </w:rPr>
        <w:t xml:space="preserve">(2), 361–376. </w:t>
      </w:r>
      <w:hyperlink r:id="rId180" w:history="1">
        <w:r w:rsidRPr="003338D7">
          <w:rPr>
            <w:rStyle w:val="Hyperlink"/>
            <w:rFonts w:asciiTheme="majorHAnsi" w:hAnsiTheme="majorHAnsi"/>
            <w:noProof/>
            <w:szCs w:val="22"/>
            <w:lang w:val="es-ES"/>
          </w:rPr>
          <w:t>http://doi.org/10.4067/S0716-078X2002000200008</w:t>
        </w:r>
      </w:hyperlink>
    </w:p>
    <w:p w14:paraId="25B0D00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Arbeláez-Cortés, E., Marín-Gómez, O. H., Baena-Tovar, O., &amp; Ospina-González, J. C. (2011). Aves, Finca Estrella de Agua - Páramo de Frontino, municipality of Salento, Quindío, Colombia. </w:t>
      </w:r>
      <w:r w:rsidRPr="003338D7">
        <w:rPr>
          <w:rFonts w:asciiTheme="majorHAnsi" w:hAnsiTheme="majorHAnsi"/>
          <w:i/>
          <w:iCs/>
          <w:noProof/>
          <w:szCs w:val="22"/>
          <w:lang w:val="es-ES"/>
        </w:rPr>
        <w:t>Check List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w:t>
      </w:r>
      <w:r w:rsidRPr="003338D7">
        <w:rPr>
          <w:rFonts w:asciiTheme="majorHAnsi" w:hAnsiTheme="majorHAnsi"/>
          <w:noProof/>
          <w:szCs w:val="22"/>
          <w:lang w:val="es-ES"/>
        </w:rPr>
        <w:t xml:space="preserve">(1), 064–070. </w:t>
      </w:r>
      <w:hyperlink r:id="rId181" w:history="1">
        <w:r w:rsidRPr="003338D7">
          <w:rPr>
            <w:rStyle w:val="Hyperlink"/>
            <w:rFonts w:asciiTheme="majorHAnsi" w:hAnsiTheme="majorHAnsi"/>
            <w:noProof/>
            <w:szCs w:val="22"/>
            <w:lang w:val="es-ES"/>
          </w:rPr>
          <w:t>http://doi.org/10.15560/7.1.64</w:t>
        </w:r>
      </w:hyperlink>
    </w:p>
    <w:p w14:paraId="0B2A144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Arias-González, J. E., Rodríguez-Peña, O. N., Almeida-Leñero, L., Hernández Almeida, O. U., &amp; Schmitter-Soto, J. J. (2016). Cambios en la biodiversidad y sus consecuencias en el funcionamiento de los ecosistemas y sus servicios. In P. Balvanera, E. Arias-González, R. Rodríguez-Estrella, L. Almeida-Leñero, &amp; J. J. Schmitter-Soto (Eds.), </w:t>
      </w:r>
      <w:r w:rsidRPr="003338D7">
        <w:rPr>
          <w:rFonts w:asciiTheme="majorHAnsi" w:hAnsiTheme="majorHAnsi"/>
          <w:i/>
          <w:iCs/>
          <w:noProof/>
          <w:szCs w:val="22"/>
          <w:lang w:val="es-ES"/>
        </w:rPr>
        <w:t>Una Mirada al Conocimiento de los Ecosistemas de México</w:t>
      </w:r>
      <w:r w:rsidRPr="003338D7">
        <w:rPr>
          <w:rFonts w:asciiTheme="majorHAnsi" w:hAnsiTheme="majorHAnsi"/>
          <w:noProof/>
          <w:szCs w:val="22"/>
          <w:lang w:val="es-ES"/>
        </w:rPr>
        <w:t xml:space="preserve"> (pp. 191–228). Mexico City, Mexico: Universidad Nacional Autónoma de México.</w:t>
      </w:r>
    </w:p>
    <w:p w14:paraId="6857EEC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Arino, O., Ramos Perez, J. J., Kalogirou, V., Bontemps, S., Defourny, P., &amp; Van Bogaert, E. (2012). </w:t>
      </w:r>
      <w:r w:rsidRPr="003338D7">
        <w:rPr>
          <w:rFonts w:asciiTheme="majorHAnsi" w:hAnsiTheme="majorHAnsi"/>
          <w:noProof/>
          <w:szCs w:val="22"/>
        </w:rPr>
        <w:t xml:space="preserve">Global Land Cover Map for 2009 (GlobCover 2009). European Space Agency (ESA), Université catholique de Louvain (UCL), PANGAEA. </w:t>
      </w:r>
      <w:hyperlink r:id="rId182" w:history="1">
        <w:r w:rsidRPr="003338D7">
          <w:rPr>
            <w:rStyle w:val="Hyperlink"/>
            <w:rFonts w:asciiTheme="majorHAnsi" w:hAnsiTheme="majorHAnsi"/>
            <w:noProof/>
            <w:szCs w:val="22"/>
          </w:rPr>
          <w:t>http://doi.org/10.1594/PANGAEA.787668</w:t>
        </w:r>
      </w:hyperlink>
    </w:p>
    <w:p w14:paraId="1070617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Armas, C., Gutiérrez, J. R., Kelt, D. A., &amp; Meserve, P. L. (2016). </w:t>
      </w:r>
      <w:r w:rsidRPr="003338D7">
        <w:rPr>
          <w:rFonts w:asciiTheme="majorHAnsi" w:hAnsiTheme="majorHAnsi"/>
          <w:noProof/>
          <w:szCs w:val="22"/>
        </w:rPr>
        <w:t xml:space="preserve">Twenty-five years of research in the north-central Chilean semiarid zone: The Fray Jorge Long-Term Socio-Ecological Research (LTSER) site and Norte Chico. </w:t>
      </w:r>
      <w:r w:rsidRPr="003338D7">
        <w:rPr>
          <w:rFonts w:asciiTheme="majorHAnsi" w:hAnsiTheme="majorHAnsi"/>
          <w:i/>
          <w:iCs/>
          <w:noProof/>
          <w:szCs w:val="22"/>
        </w:rPr>
        <w:t>Journal of Arid Environments</w:t>
      </w:r>
      <w:r w:rsidRPr="003338D7">
        <w:rPr>
          <w:rFonts w:asciiTheme="majorHAnsi" w:hAnsiTheme="majorHAnsi"/>
          <w:noProof/>
          <w:szCs w:val="22"/>
        </w:rPr>
        <w:t xml:space="preserve">, </w:t>
      </w:r>
      <w:r w:rsidRPr="003338D7">
        <w:rPr>
          <w:rFonts w:asciiTheme="majorHAnsi" w:hAnsiTheme="majorHAnsi"/>
          <w:i/>
          <w:iCs/>
          <w:noProof/>
          <w:szCs w:val="22"/>
        </w:rPr>
        <w:t>126</w:t>
      </w:r>
      <w:r w:rsidRPr="003338D7">
        <w:rPr>
          <w:rFonts w:asciiTheme="majorHAnsi" w:hAnsiTheme="majorHAnsi"/>
          <w:noProof/>
          <w:szCs w:val="22"/>
        </w:rPr>
        <w:t xml:space="preserve">, 1–6. </w:t>
      </w:r>
      <w:hyperlink r:id="rId183" w:history="1">
        <w:r w:rsidRPr="003338D7">
          <w:rPr>
            <w:rStyle w:val="Hyperlink"/>
            <w:rFonts w:asciiTheme="majorHAnsi" w:hAnsiTheme="majorHAnsi"/>
            <w:noProof/>
            <w:szCs w:val="22"/>
          </w:rPr>
          <w:t>http://doi.org/10.1016/j.jaridenv.2015.12.008</w:t>
        </w:r>
      </w:hyperlink>
    </w:p>
    <w:p w14:paraId="425736B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Armenteras, D., Gast, F., &amp; Villareal, H. (2003). Andean forest fragmentation and the representativeness of protected natural areas in the eastern Andes, Colombia.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113</w:t>
      </w:r>
      <w:r w:rsidRPr="003338D7">
        <w:rPr>
          <w:rFonts w:asciiTheme="majorHAnsi" w:hAnsiTheme="majorHAnsi"/>
          <w:noProof/>
          <w:szCs w:val="22"/>
        </w:rPr>
        <w:t xml:space="preserve">(2), 245–256. </w:t>
      </w:r>
      <w:hyperlink r:id="rId184" w:history="1">
        <w:r w:rsidRPr="003338D7">
          <w:rPr>
            <w:rStyle w:val="Hyperlink"/>
            <w:rFonts w:asciiTheme="majorHAnsi" w:hAnsiTheme="majorHAnsi"/>
            <w:noProof/>
            <w:szCs w:val="22"/>
          </w:rPr>
          <w:t>http://doi.org/10.1016/S0006-3207(02)00359-2</w:t>
        </w:r>
      </w:hyperlink>
    </w:p>
    <w:p w14:paraId="26DBF92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Armenteras, D., Rodríguez, N., &amp; Retana, J. (2009). Are conservation strategies effective in avoiding the deforestation of the Colombian Guyana Shield? </w:t>
      </w:r>
      <w:r w:rsidRPr="003338D7">
        <w:rPr>
          <w:rFonts w:asciiTheme="majorHAnsi" w:hAnsiTheme="majorHAnsi"/>
          <w:i/>
          <w:iCs/>
          <w:noProof/>
          <w:szCs w:val="22"/>
          <w:lang w:val="es-ES"/>
        </w:rPr>
        <w:t>Biological Conservation</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142</w:t>
      </w:r>
      <w:r w:rsidRPr="003338D7">
        <w:rPr>
          <w:rFonts w:asciiTheme="majorHAnsi" w:hAnsiTheme="majorHAnsi"/>
          <w:noProof/>
          <w:szCs w:val="22"/>
          <w:lang w:val="es-ES"/>
        </w:rPr>
        <w:t xml:space="preserve">(7), 1411–1419. </w:t>
      </w:r>
      <w:hyperlink r:id="rId185" w:history="1">
        <w:r w:rsidRPr="003338D7">
          <w:rPr>
            <w:rStyle w:val="Hyperlink"/>
            <w:rFonts w:asciiTheme="majorHAnsi" w:hAnsiTheme="majorHAnsi"/>
            <w:noProof/>
            <w:szCs w:val="22"/>
            <w:lang w:val="es-ES"/>
          </w:rPr>
          <w:t>http://doi.org/10.1016/j.biocon.2009.02.002</w:t>
        </w:r>
      </w:hyperlink>
    </w:p>
    <w:p w14:paraId="5FF3319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Armenteras, D., &amp; Rodríguez Eraso, N. (2014). </w:t>
      </w:r>
      <w:r w:rsidRPr="003338D7">
        <w:rPr>
          <w:rFonts w:asciiTheme="majorHAnsi" w:hAnsiTheme="majorHAnsi"/>
          <w:noProof/>
          <w:szCs w:val="22"/>
        </w:rPr>
        <w:t xml:space="preserve">Forest deforestation dynamics and drivers in Latin America: a review since 1990. </w:t>
      </w:r>
      <w:r w:rsidRPr="003338D7">
        <w:rPr>
          <w:rFonts w:asciiTheme="majorHAnsi" w:hAnsiTheme="majorHAnsi"/>
          <w:i/>
          <w:iCs/>
          <w:noProof/>
          <w:szCs w:val="22"/>
          <w:lang w:val="es-ES"/>
        </w:rPr>
        <w:t>Colombia Forestal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17</w:t>
      </w:r>
      <w:r w:rsidRPr="003338D7">
        <w:rPr>
          <w:rFonts w:asciiTheme="majorHAnsi" w:hAnsiTheme="majorHAnsi"/>
          <w:noProof/>
          <w:szCs w:val="22"/>
          <w:lang w:val="es-ES"/>
        </w:rPr>
        <w:t xml:space="preserve">(2), 233–246. </w:t>
      </w:r>
      <w:hyperlink r:id="rId186" w:history="1">
        <w:r w:rsidRPr="003338D7">
          <w:rPr>
            <w:rStyle w:val="Hyperlink"/>
            <w:rFonts w:asciiTheme="majorHAnsi" w:hAnsiTheme="majorHAnsi"/>
            <w:noProof/>
            <w:szCs w:val="22"/>
            <w:lang w:val="es-ES"/>
          </w:rPr>
          <w:t>http://doi.org/10.14483/udistrital.jour.colomb.for.2014.2.a07</w:t>
        </w:r>
      </w:hyperlink>
    </w:p>
    <w:p w14:paraId="0FC2BD4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Armesto, J. J. (2009). </w:t>
      </w:r>
      <w:r w:rsidRPr="003338D7">
        <w:rPr>
          <w:rFonts w:asciiTheme="majorHAnsi" w:hAnsiTheme="majorHAnsi"/>
          <w:noProof/>
          <w:szCs w:val="22"/>
        </w:rPr>
        <w:t xml:space="preserve">Annual reports to council Ecological Society of America August 2009. </w:t>
      </w:r>
      <w:r w:rsidRPr="003338D7">
        <w:rPr>
          <w:rFonts w:asciiTheme="majorHAnsi" w:hAnsiTheme="majorHAnsi"/>
          <w:i/>
          <w:iCs/>
          <w:noProof/>
          <w:szCs w:val="22"/>
        </w:rPr>
        <w:t>Bulletin of the Ecological Society of America</w:t>
      </w:r>
      <w:r w:rsidRPr="003338D7">
        <w:rPr>
          <w:rFonts w:asciiTheme="majorHAnsi" w:hAnsiTheme="majorHAnsi"/>
          <w:noProof/>
          <w:szCs w:val="22"/>
        </w:rPr>
        <w:t xml:space="preserve">, </w:t>
      </w:r>
      <w:r w:rsidRPr="003338D7">
        <w:rPr>
          <w:rFonts w:asciiTheme="majorHAnsi" w:hAnsiTheme="majorHAnsi"/>
          <w:i/>
          <w:iCs/>
          <w:noProof/>
          <w:szCs w:val="22"/>
        </w:rPr>
        <w:t>90</w:t>
      </w:r>
      <w:r w:rsidRPr="003338D7">
        <w:rPr>
          <w:rFonts w:asciiTheme="majorHAnsi" w:hAnsiTheme="majorHAnsi"/>
          <w:noProof/>
          <w:szCs w:val="22"/>
        </w:rPr>
        <w:t xml:space="preserve">(4), 360–431. </w:t>
      </w:r>
      <w:hyperlink r:id="rId187" w:history="1">
        <w:r w:rsidRPr="003338D7">
          <w:rPr>
            <w:rStyle w:val="Hyperlink"/>
            <w:rFonts w:asciiTheme="majorHAnsi" w:hAnsiTheme="majorHAnsi"/>
            <w:noProof/>
            <w:szCs w:val="22"/>
          </w:rPr>
          <w:t>http://doi.org/10.1890/0012-9623-90.4.360</w:t>
        </w:r>
      </w:hyperlink>
    </w:p>
    <w:p w14:paraId="3CE35E6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Armesto, J. J., Rozzi, R., Smith-Ramirez, C., &amp; Arroyo, M. T. K. (1998). </w:t>
      </w:r>
      <w:r w:rsidRPr="003338D7">
        <w:rPr>
          <w:rFonts w:asciiTheme="majorHAnsi" w:hAnsiTheme="majorHAnsi"/>
          <w:noProof/>
          <w:szCs w:val="22"/>
        </w:rPr>
        <w:t xml:space="preserve">Conservation targets in South American temperate forests.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282</w:t>
      </w:r>
      <w:r w:rsidRPr="003338D7">
        <w:rPr>
          <w:rFonts w:asciiTheme="majorHAnsi" w:hAnsiTheme="majorHAnsi"/>
          <w:noProof/>
          <w:szCs w:val="22"/>
        </w:rPr>
        <w:t xml:space="preserve">(5392), 1271–1272. </w:t>
      </w:r>
      <w:hyperlink r:id="rId188" w:history="1">
        <w:r w:rsidRPr="003338D7">
          <w:rPr>
            <w:rStyle w:val="Hyperlink"/>
            <w:rFonts w:asciiTheme="majorHAnsi" w:hAnsiTheme="majorHAnsi"/>
            <w:noProof/>
            <w:szCs w:val="22"/>
          </w:rPr>
          <w:t>http://doi.org/10.1126/science.282.5392.1271</w:t>
        </w:r>
      </w:hyperlink>
    </w:p>
    <w:p w14:paraId="79AA401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Armesto, J. J., Villagrán, C., &amp; Arroyo, M. K. (1996). </w:t>
      </w:r>
      <w:r w:rsidRPr="003338D7">
        <w:rPr>
          <w:rFonts w:asciiTheme="majorHAnsi" w:hAnsiTheme="majorHAnsi"/>
          <w:i/>
          <w:iCs/>
          <w:noProof/>
          <w:szCs w:val="22"/>
          <w:lang w:val="es-ES"/>
        </w:rPr>
        <w:t>Ecología de los Bosques Nativos de Chile</w:t>
      </w:r>
      <w:r w:rsidRPr="003338D7">
        <w:rPr>
          <w:rFonts w:asciiTheme="majorHAnsi" w:hAnsiTheme="majorHAnsi"/>
          <w:noProof/>
          <w:szCs w:val="22"/>
          <w:lang w:val="es-ES"/>
        </w:rPr>
        <w:t>. Santiago, Chile: Editorial Universitaria.</w:t>
      </w:r>
    </w:p>
    <w:p w14:paraId="1369403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Aronson, M. F. J., La Sorte, F. A., Nilon, C. H., Katti, M., Goddard, M. A., Lepczyk, C. A., Warren, P. S., Williams, N. S. G., Cilliers, S., Clarkson, B., Dobbs, C., Dolan, R., Hedblom, M., Klotz, S., Kooijmans, J. L., Kühn, I., MacGregor-Fors, I., McDonnell, M. J., Mörtberg, U., Pyšek, P., Siebert, S., Sushinsky, J. R., Werner, P., &amp; Winter, M. (2014). A global analysis of the impacts of urbanization on bird and plant diversity reveals key anthropogenic drivers. </w:t>
      </w:r>
      <w:r w:rsidRPr="003338D7">
        <w:rPr>
          <w:rFonts w:asciiTheme="majorHAnsi" w:hAnsiTheme="majorHAnsi"/>
          <w:i/>
          <w:iCs/>
          <w:noProof/>
          <w:szCs w:val="22"/>
          <w:lang w:val="es-ES"/>
        </w:rPr>
        <w:t>Proceedings of the Royal Society B: Biological Sciences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281</w:t>
      </w:r>
      <w:r w:rsidRPr="003338D7">
        <w:rPr>
          <w:rFonts w:asciiTheme="majorHAnsi" w:hAnsiTheme="majorHAnsi"/>
          <w:noProof/>
          <w:szCs w:val="22"/>
          <w:lang w:val="es-ES"/>
        </w:rPr>
        <w:t xml:space="preserve">(1780). </w:t>
      </w:r>
      <w:hyperlink r:id="rId189" w:history="1">
        <w:r w:rsidRPr="003338D7">
          <w:rPr>
            <w:rStyle w:val="Hyperlink"/>
            <w:rFonts w:asciiTheme="majorHAnsi" w:hAnsiTheme="majorHAnsi"/>
            <w:noProof/>
            <w:szCs w:val="22"/>
            <w:lang w:val="es-ES"/>
          </w:rPr>
          <w:t>https://doi.org/10.1098/rspb.2013.3330</w:t>
        </w:r>
      </w:hyperlink>
    </w:p>
    <w:p w14:paraId="47D16F0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lang w:val="es-ES"/>
        </w:rPr>
        <w:t xml:space="preserve">Arredondo Moreno, T., &amp; Huber-Sannwald, E. (2011). </w:t>
      </w:r>
      <w:r w:rsidRPr="003338D7">
        <w:rPr>
          <w:rFonts w:asciiTheme="majorHAnsi" w:hAnsiTheme="majorHAnsi"/>
          <w:noProof/>
          <w:szCs w:val="22"/>
        </w:rPr>
        <w:t xml:space="preserve">Impacts of drought on agriculture in Northern Mexico. </w:t>
      </w:r>
      <w:r w:rsidRPr="003338D7">
        <w:rPr>
          <w:rFonts w:asciiTheme="majorHAnsi" w:hAnsiTheme="majorHAnsi"/>
          <w:noProof/>
          <w:szCs w:val="22"/>
          <w:lang w:val="de-DE"/>
        </w:rPr>
        <w:t xml:space="preserve">In H. G. Brauch, U. Oswald Spring, C. Mesjasz, J. Grin, P. Kameri-Mboute, B. Chourou, … </w:t>
      </w:r>
      <w:r w:rsidRPr="003338D7">
        <w:rPr>
          <w:rFonts w:asciiTheme="majorHAnsi" w:hAnsiTheme="majorHAnsi"/>
          <w:noProof/>
          <w:szCs w:val="22"/>
        </w:rPr>
        <w:t xml:space="preserve">J. Birkmann (Eds.), </w:t>
      </w:r>
      <w:r w:rsidRPr="003338D7">
        <w:rPr>
          <w:rFonts w:asciiTheme="majorHAnsi" w:hAnsiTheme="majorHAnsi"/>
          <w:i/>
          <w:iCs/>
          <w:noProof/>
          <w:szCs w:val="22"/>
        </w:rPr>
        <w:t>Coping with Global Environmental Change, Disasters and Security</w:t>
      </w:r>
      <w:r w:rsidRPr="003338D7">
        <w:rPr>
          <w:rFonts w:asciiTheme="majorHAnsi" w:hAnsiTheme="majorHAnsi"/>
          <w:noProof/>
          <w:szCs w:val="22"/>
        </w:rPr>
        <w:t xml:space="preserve"> (pp. 875–891). </w:t>
      </w:r>
      <w:r w:rsidRPr="003338D7">
        <w:rPr>
          <w:rFonts w:asciiTheme="majorHAnsi" w:hAnsiTheme="majorHAnsi"/>
          <w:noProof/>
          <w:szCs w:val="22"/>
          <w:lang w:val="de-DE"/>
        </w:rPr>
        <w:t xml:space="preserve">Berlin, Heidelberg: Springer-Verlag. Retrieved from </w:t>
      </w:r>
      <w:hyperlink r:id="rId190" w:history="1">
        <w:r w:rsidRPr="003338D7">
          <w:rPr>
            <w:rStyle w:val="Hyperlink"/>
            <w:rFonts w:asciiTheme="majorHAnsi" w:hAnsiTheme="majorHAnsi"/>
            <w:noProof/>
            <w:szCs w:val="22"/>
            <w:lang w:val="de-DE"/>
          </w:rPr>
          <w:t>http://link.springer.com/chapter/10.1007/978-3-642-17776-7_51</w:t>
        </w:r>
      </w:hyperlink>
    </w:p>
    <w:p w14:paraId="489DFCD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Arriaga, L. (2009). Implicaciones del cambio de uso de suelo en la biodiversidad de los matorrales xerófilos: un enfoque multiescalar. </w:t>
      </w:r>
      <w:r w:rsidRPr="003338D7">
        <w:rPr>
          <w:rFonts w:asciiTheme="majorHAnsi" w:hAnsiTheme="majorHAnsi"/>
          <w:i/>
          <w:iCs/>
          <w:noProof/>
          <w:szCs w:val="22"/>
          <w:lang w:val="es-ES"/>
        </w:rPr>
        <w:t>Investigación Ambiental: Ciencia Y Política Pública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w:t>
      </w:r>
      <w:r w:rsidRPr="003338D7">
        <w:rPr>
          <w:rFonts w:asciiTheme="majorHAnsi" w:hAnsiTheme="majorHAnsi"/>
          <w:noProof/>
          <w:szCs w:val="22"/>
          <w:lang w:val="es-ES"/>
        </w:rPr>
        <w:t>(1), 6–16.</w:t>
      </w:r>
    </w:p>
    <w:p w14:paraId="6FFAC4D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Arriaga, L., Castellanos, A. E., Moreno, E., &amp; Alarcón, J. (2004). </w:t>
      </w:r>
      <w:r w:rsidRPr="003338D7">
        <w:rPr>
          <w:rFonts w:asciiTheme="majorHAnsi" w:hAnsiTheme="majorHAnsi"/>
          <w:noProof/>
          <w:szCs w:val="22"/>
        </w:rPr>
        <w:t xml:space="preserve">Potential ecological distribution of alien invasive species and risk assessment: a case study of buffel grass in arid regions of Mexico.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18</w:t>
      </w:r>
      <w:r w:rsidRPr="003338D7">
        <w:rPr>
          <w:rFonts w:asciiTheme="majorHAnsi" w:hAnsiTheme="majorHAnsi"/>
          <w:noProof/>
          <w:szCs w:val="22"/>
        </w:rPr>
        <w:t xml:space="preserve">(6), 1504–1514. </w:t>
      </w:r>
      <w:hyperlink r:id="rId191" w:history="1">
        <w:r w:rsidRPr="003338D7">
          <w:rPr>
            <w:rStyle w:val="Hyperlink"/>
            <w:rFonts w:asciiTheme="majorHAnsi" w:hAnsiTheme="majorHAnsi"/>
            <w:noProof/>
            <w:szCs w:val="22"/>
          </w:rPr>
          <w:t>http://doi.org/10.1111/j.1523-1739.2004.00166.x</w:t>
        </w:r>
      </w:hyperlink>
    </w:p>
    <w:p w14:paraId="025F219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Arroyo, M. T. K., &amp; Cavieres, L. (1997). The Mediterranean-type climate flora of Central Chile - What do we know and how can we assure its protection. </w:t>
      </w:r>
      <w:r w:rsidRPr="003338D7">
        <w:rPr>
          <w:rFonts w:asciiTheme="majorHAnsi" w:hAnsiTheme="majorHAnsi"/>
          <w:i/>
          <w:iCs/>
          <w:noProof/>
          <w:szCs w:val="22"/>
          <w:lang w:val="es-ES"/>
        </w:rPr>
        <w:t>Noticiero de Biología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w:t>
      </w:r>
      <w:r w:rsidRPr="003338D7">
        <w:rPr>
          <w:rFonts w:asciiTheme="majorHAnsi" w:hAnsiTheme="majorHAnsi"/>
          <w:noProof/>
          <w:szCs w:val="22"/>
          <w:lang w:val="es-ES"/>
        </w:rPr>
        <w:t>(2), 48–56.</w:t>
      </w:r>
    </w:p>
    <w:p w14:paraId="16974BA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Arroyo, M. T. K., &amp; Cavieres, L. A. (2013). </w:t>
      </w:r>
      <w:r w:rsidRPr="003338D7">
        <w:rPr>
          <w:rFonts w:asciiTheme="majorHAnsi" w:hAnsiTheme="majorHAnsi"/>
          <w:noProof/>
          <w:szCs w:val="22"/>
        </w:rPr>
        <w:t xml:space="preserve">High-elevation Andean ecosystems. In S. Levin (Ed.), </w:t>
      </w:r>
      <w:r w:rsidRPr="003338D7">
        <w:rPr>
          <w:rFonts w:asciiTheme="majorHAnsi" w:hAnsiTheme="majorHAnsi"/>
          <w:i/>
          <w:iCs/>
          <w:noProof/>
          <w:szCs w:val="22"/>
        </w:rPr>
        <w:t>Encyclopedia of Biodiversity</w:t>
      </w:r>
      <w:r w:rsidRPr="003338D7">
        <w:rPr>
          <w:rFonts w:asciiTheme="majorHAnsi" w:hAnsiTheme="majorHAnsi"/>
          <w:noProof/>
          <w:szCs w:val="22"/>
        </w:rPr>
        <w:t xml:space="preserve"> (pp. 96–110). New Jersey, USA: Elsevier Science and Technology.</w:t>
      </w:r>
    </w:p>
    <w:p w14:paraId="453F3F2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Arroyo, M. T. K., Maricorena, C., Matthei, O., &amp; Cavieres, L. (2000). Plant invasions in Chile: present patterns and future predictions. In H. A. Mooney &amp; R. Hobbs (Ed.), </w:t>
      </w:r>
      <w:r w:rsidRPr="003338D7">
        <w:rPr>
          <w:rFonts w:asciiTheme="majorHAnsi" w:hAnsiTheme="majorHAnsi"/>
          <w:i/>
          <w:iCs/>
          <w:noProof/>
          <w:szCs w:val="22"/>
        </w:rPr>
        <w:t>Invasive species in a changing world</w:t>
      </w:r>
      <w:r w:rsidRPr="003338D7">
        <w:rPr>
          <w:rFonts w:asciiTheme="majorHAnsi" w:hAnsiTheme="majorHAnsi"/>
          <w:noProof/>
          <w:szCs w:val="22"/>
        </w:rPr>
        <w:t xml:space="preserve"> (pp. 385–421). New York, USA: Island Press.</w:t>
      </w:r>
    </w:p>
    <w:p w14:paraId="2666D66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Arroyo, M. T. K., Marticorena, C., Matthei, O., Muñoz, M., &amp; Pliscoff, P. (2002). Analysis of the contribution and efficiency of the Santuario de la Naturaleza Yerba Loca, 33° S in protecting the regional vascular plant flora (Metropolitan and Fifth regions of Chile). </w:t>
      </w:r>
      <w:r w:rsidRPr="003338D7">
        <w:rPr>
          <w:rFonts w:asciiTheme="majorHAnsi" w:hAnsiTheme="majorHAnsi"/>
          <w:i/>
          <w:iCs/>
          <w:noProof/>
          <w:szCs w:val="22"/>
          <w:lang w:val="es-ES"/>
        </w:rPr>
        <w:t>Revista Chilena de Historia Natural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75</w:t>
      </w:r>
      <w:r w:rsidRPr="003338D7">
        <w:rPr>
          <w:rFonts w:asciiTheme="majorHAnsi" w:hAnsiTheme="majorHAnsi"/>
          <w:noProof/>
          <w:szCs w:val="22"/>
          <w:lang w:val="es-ES"/>
        </w:rPr>
        <w:t xml:space="preserve">(4), 767–792. </w:t>
      </w:r>
      <w:hyperlink r:id="rId192" w:history="1">
        <w:r w:rsidRPr="003338D7">
          <w:rPr>
            <w:rStyle w:val="Hyperlink"/>
            <w:rFonts w:asciiTheme="majorHAnsi" w:hAnsiTheme="majorHAnsi"/>
            <w:noProof/>
            <w:szCs w:val="22"/>
            <w:lang w:val="es-ES"/>
          </w:rPr>
          <w:t>http://doi.org/10.4067/S0716-078X2002000400012</w:t>
        </w:r>
      </w:hyperlink>
    </w:p>
    <w:p w14:paraId="523CAE7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Arroyo, M. T. K., Primack, R., &amp; Armesto, J. (1982). </w:t>
      </w:r>
      <w:r w:rsidRPr="003338D7">
        <w:rPr>
          <w:rFonts w:asciiTheme="majorHAnsi" w:hAnsiTheme="majorHAnsi"/>
          <w:noProof/>
          <w:szCs w:val="22"/>
        </w:rPr>
        <w:t xml:space="preserve">Community studies in pollination ecology in the high temperate Andes of central Chile. I. Pollination mechanisms and altitudinal variation. </w:t>
      </w:r>
      <w:r w:rsidRPr="003338D7">
        <w:rPr>
          <w:rFonts w:asciiTheme="majorHAnsi" w:hAnsiTheme="majorHAnsi"/>
          <w:i/>
          <w:iCs/>
          <w:noProof/>
          <w:szCs w:val="22"/>
        </w:rPr>
        <w:t>American Journal of Botany</w:t>
      </w:r>
      <w:r w:rsidRPr="003338D7">
        <w:rPr>
          <w:rFonts w:asciiTheme="majorHAnsi" w:hAnsiTheme="majorHAnsi"/>
          <w:noProof/>
          <w:szCs w:val="22"/>
        </w:rPr>
        <w:t xml:space="preserve">, </w:t>
      </w:r>
      <w:r w:rsidRPr="003338D7">
        <w:rPr>
          <w:rFonts w:asciiTheme="majorHAnsi" w:hAnsiTheme="majorHAnsi"/>
          <w:i/>
          <w:iCs/>
          <w:noProof/>
          <w:szCs w:val="22"/>
        </w:rPr>
        <w:t>69</w:t>
      </w:r>
      <w:r w:rsidRPr="003338D7">
        <w:rPr>
          <w:rFonts w:asciiTheme="majorHAnsi" w:hAnsiTheme="majorHAnsi"/>
          <w:noProof/>
          <w:szCs w:val="22"/>
        </w:rPr>
        <w:t xml:space="preserve">(1), 82–97. </w:t>
      </w:r>
      <w:hyperlink r:id="rId193" w:history="1">
        <w:r w:rsidRPr="003338D7">
          <w:rPr>
            <w:rStyle w:val="Hyperlink"/>
            <w:rFonts w:asciiTheme="majorHAnsi" w:hAnsiTheme="majorHAnsi"/>
            <w:noProof/>
            <w:szCs w:val="22"/>
          </w:rPr>
          <w:t>http://doi.org/10.2307/2442833</w:t>
        </w:r>
      </w:hyperlink>
    </w:p>
    <w:p w14:paraId="7CFF1FF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Arroyo, M. T. K., Riveros, M., Penaloza, A., Cavieres, L., &amp; Faggi, A. M. (1996). </w:t>
      </w:r>
      <w:r w:rsidRPr="003338D7">
        <w:rPr>
          <w:rFonts w:asciiTheme="majorHAnsi" w:hAnsiTheme="majorHAnsi"/>
          <w:noProof/>
          <w:szCs w:val="22"/>
        </w:rPr>
        <w:t xml:space="preserve">Phytogeographic relationships and regional richness patterns of the cool temperate rainforest flora of southern South America. In R. G. Lawford, E. Fuentes, &amp; P. B. Alaback (Eds.), </w:t>
      </w:r>
      <w:r w:rsidRPr="003338D7">
        <w:rPr>
          <w:rFonts w:asciiTheme="majorHAnsi" w:hAnsiTheme="majorHAnsi"/>
          <w:i/>
          <w:iCs/>
          <w:noProof/>
          <w:szCs w:val="22"/>
        </w:rPr>
        <w:t>High-Latitude Rainforests and Associated Ecosystems of the West Coast of the Americas.</w:t>
      </w:r>
      <w:r w:rsidRPr="003338D7">
        <w:rPr>
          <w:rFonts w:asciiTheme="majorHAnsi" w:hAnsiTheme="majorHAnsi"/>
          <w:noProof/>
          <w:szCs w:val="22"/>
        </w:rPr>
        <w:t xml:space="preserve"> (pp. 134–172). New York, USA: Springer.</w:t>
      </w:r>
    </w:p>
    <w:p w14:paraId="627B35A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Asner, G. P., &amp; Archer, S. R. (2010). Livestock and the global carbon cycle. In H. Steinfeld, H. A. Mooney, F. Schneider, &amp; L. E. Neville (Eds.), </w:t>
      </w:r>
      <w:r w:rsidRPr="003338D7">
        <w:rPr>
          <w:rFonts w:asciiTheme="majorHAnsi" w:hAnsiTheme="majorHAnsi"/>
          <w:i/>
          <w:iCs/>
          <w:noProof/>
          <w:szCs w:val="22"/>
        </w:rPr>
        <w:t>Livestock in a Changing Landscape: Volume 1, Drivers, Consequences, and Responses</w:t>
      </w:r>
      <w:r w:rsidRPr="003338D7">
        <w:rPr>
          <w:rFonts w:asciiTheme="majorHAnsi" w:hAnsiTheme="majorHAnsi"/>
          <w:noProof/>
          <w:szCs w:val="22"/>
        </w:rPr>
        <w:t xml:space="preserve"> (pp. 69–82). Washington, DC., USA: Island Press.</w:t>
      </w:r>
    </w:p>
    <w:p w14:paraId="2BC6348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Asner, G. P., Rudel, T. K., Aide, T. M., Defries, R., &amp; Emerson, R. (2009). A contemporary assessment of change in humid tropical forests.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23</w:t>
      </w:r>
      <w:r w:rsidRPr="003338D7">
        <w:rPr>
          <w:rFonts w:asciiTheme="majorHAnsi" w:hAnsiTheme="majorHAnsi"/>
          <w:noProof/>
          <w:szCs w:val="22"/>
        </w:rPr>
        <w:t xml:space="preserve">(6), 1386–1395. </w:t>
      </w:r>
      <w:hyperlink r:id="rId194" w:history="1">
        <w:r w:rsidRPr="003338D7">
          <w:rPr>
            <w:rStyle w:val="Hyperlink"/>
            <w:rFonts w:asciiTheme="majorHAnsi" w:hAnsiTheme="majorHAnsi"/>
            <w:noProof/>
            <w:szCs w:val="22"/>
          </w:rPr>
          <w:t>http://doi.org/10.1111/j.1523-1739.2009.01333.x</w:t>
        </w:r>
      </w:hyperlink>
    </w:p>
    <w:p w14:paraId="6DDA690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Association for Temperate Agroforestry (AFTA). (2017). What is Agroforestry? Retrieved from www.aftaweb.org/about/what-is-agroforestry.html</w:t>
      </w:r>
    </w:p>
    <w:p w14:paraId="6EFCE62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Astorga, A., Fernández, M., Boschi, E. E., &amp; Lagos, N. (2003). </w:t>
      </w:r>
      <w:r w:rsidRPr="003338D7">
        <w:rPr>
          <w:rFonts w:asciiTheme="majorHAnsi" w:hAnsiTheme="majorHAnsi"/>
          <w:noProof/>
          <w:szCs w:val="22"/>
        </w:rPr>
        <w:t xml:space="preserve">Two oceans, two taxa and one mode of development: latitudinal diversity patterns of South American crabs and test for possible causal processes. </w:t>
      </w:r>
      <w:r w:rsidRPr="003338D7">
        <w:rPr>
          <w:rFonts w:asciiTheme="majorHAnsi" w:hAnsiTheme="majorHAnsi"/>
          <w:i/>
          <w:iCs/>
          <w:noProof/>
          <w:szCs w:val="22"/>
        </w:rPr>
        <w:t>Ecology Letters</w:t>
      </w:r>
      <w:r w:rsidRPr="003338D7">
        <w:rPr>
          <w:rFonts w:asciiTheme="majorHAnsi" w:hAnsiTheme="majorHAnsi"/>
          <w:noProof/>
          <w:szCs w:val="22"/>
        </w:rPr>
        <w:t xml:space="preserve">, </w:t>
      </w:r>
      <w:r w:rsidRPr="003338D7">
        <w:rPr>
          <w:rFonts w:asciiTheme="majorHAnsi" w:hAnsiTheme="majorHAnsi"/>
          <w:i/>
          <w:iCs/>
          <w:noProof/>
          <w:szCs w:val="22"/>
        </w:rPr>
        <w:t>6</w:t>
      </w:r>
      <w:r w:rsidRPr="003338D7">
        <w:rPr>
          <w:rFonts w:asciiTheme="majorHAnsi" w:hAnsiTheme="majorHAnsi"/>
          <w:noProof/>
          <w:szCs w:val="22"/>
        </w:rPr>
        <w:t xml:space="preserve">(5), 420–427. </w:t>
      </w:r>
      <w:hyperlink r:id="rId195" w:history="1">
        <w:r w:rsidRPr="003338D7">
          <w:rPr>
            <w:rStyle w:val="Hyperlink"/>
            <w:rFonts w:asciiTheme="majorHAnsi" w:hAnsiTheme="majorHAnsi"/>
            <w:noProof/>
            <w:szCs w:val="22"/>
          </w:rPr>
          <w:t>http://doi.org/10.1046/j.1461-0248.2003.00445.x</w:t>
        </w:r>
      </w:hyperlink>
    </w:p>
    <w:p w14:paraId="771706B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Ataroff, M., &amp; Rada, F. (2000). Deforestation impact on water dynamics in a Venezuelan Andean cloud forest. </w:t>
      </w:r>
      <w:r w:rsidRPr="003338D7">
        <w:rPr>
          <w:rFonts w:asciiTheme="majorHAnsi" w:hAnsiTheme="majorHAnsi"/>
          <w:i/>
          <w:iCs/>
          <w:noProof/>
          <w:szCs w:val="22"/>
        </w:rPr>
        <w:t>Ambio</w:t>
      </w:r>
      <w:r w:rsidRPr="003338D7">
        <w:rPr>
          <w:rFonts w:asciiTheme="majorHAnsi" w:hAnsiTheme="majorHAnsi"/>
          <w:noProof/>
          <w:szCs w:val="22"/>
        </w:rPr>
        <w:t xml:space="preserve">, </w:t>
      </w:r>
      <w:r w:rsidRPr="003338D7">
        <w:rPr>
          <w:rFonts w:asciiTheme="majorHAnsi" w:hAnsiTheme="majorHAnsi"/>
          <w:i/>
          <w:iCs/>
          <w:noProof/>
          <w:szCs w:val="22"/>
        </w:rPr>
        <w:t>29</w:t>
      </w:r>
      <w:r w:rsidRPr="003338D7">
        <w:rPr>
          <w:rFonts w:asciiTheme="majorHAnsi" w:hAnsiTheme="majorHAnsi"/>
          <w:noProof/>
          <w:szCs w:val="22"/>
        </w:rPr>
        <w:t xml:space="preserve">(7), 440–444. </w:t>
      </w:r>
      <w:hyperlink r:id="rId196" w:history="1">
        <w:r w:rsidRPr="003338D7">
          <w:rPr>
            <w:rStyle w:val="Hyperlink"/>
            <w:rFonts w:asciiTheme="majorHAnsi" w:hAnsiTheme="majorHAnsi"/>
            <w:noProof/>
            <w:szCs w:val="22"/>
          </w:rPr>
          <w:t>http://doi.org/10.1579/0044-7447-29.7.440</w:t>
        </w:r>
      </w:hyperlink>
    </w:p>
    <w:p w14:paraId="4969878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Auerbach, N. A., Walker, M. D., &amp; Walker, D. A. (1997). Effects of roadside disturbance on substrate and vegetation properties in arctic tundra. </w:t>
      </w:r>
      <w:r w:rsidRPr="003338D7">
        <w:rPr>
          <w:rFonts w:asciiTheme="majorHAnsi" w:hAnsiTheme="majorHAnsi"/>
          <w:i/>
          <w:iCs/>
          <w:noProof/>
          <w:szCs w:val="22"/>
        </w:rPr>
        <w:t>Ecological Applications</w:t>
      </w:r>
      <w:r w:rsidRPr="003338D7">
        <w:rPr>
          <w:rFonts w:asciiTheme="majorHAnsi" w:hAnsiTheme="majorHAnsi"/>
          <w:noProof/>
          <w:szCs w:val="22"/>
        </w:rPr>
        <w:t xml:space="preserve">, </w:t>
      </w:r>
      <w:r w:rsidRPr="003338D7">
        <w:rPr>
          <w:rFonts w:asciiTheme="majorHAnsi" w:hAnsiTheme="majorHAnsi"/>
          <w:i/>
          <w:iCs/>
          <w:noProof/>
          <w:szCs w:val="22"/>
        </w:rPr>
        <w:t>7</w:t>
      </w:r>
      <w:r w:rsidRPr="003338D7">
        <w:rPr>
          <w:rFonts w:asciiTheme="majorHAnsi" w:hAnsiTheme="majorHAnsi"/>
          <w:noProof/>
          <w:szCs w:val="22"/>
        </w:rPr>
        <w:t xml:space="preserve">(1), 218–235. </w:t>
      </w:r>
      <w:hyperlink r:id="rId197" w:history="1">
        <w:r w:rsidRPr="003338D7">
          <w:rPr>
            <w:rStyle w:val="Hyperlink"/>
            <w:rFonts w:asciiTheme="majorHAnsi" w:hAnsiTheme="majorHAnsi"/>
            <w:noProof/>
            <w:szCs w:val="22"/>
          </w:rPr>
          <w:t>http://doi.org/10.1890/1051-0761(1997)007%5B0218:EORDOS%5D2.0.CO;2</w:t>
        </w:r>
      </w:hyperlink>
    </w:p>
    <w:p w14:paraId="70801E6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Austin, A. T., Piñeiro, G., &amp; Gonzalez-Polo, M. (2006). More is less: Agricultural impacts on the N cycle in Argentina. </w:t>
      </w:r>
      <w:r w:rsidRPr="003338D7">
        <w:rPr>
          <w:rFonts w:asciiTheme="majorHAnsi" w:hAnsiTheme="majorHAnsi"/>
          <w:i/>
          <w:iCs/>
          <w:noProof/>
          <w:szCs w:val="22"/>
        </w:rPr>
        <w:t>Biogeochemistry</w:t>
      </w:r>
      <w:r w:rsidRPr="003338D7">
        <w:rPr>
          <w:rFonts w:asciiTheme="majorHAnsi" w:hAnsiTheme="majorHAnsi"/>
          <w:noProof/>
          <w:szCs w:val="22"/>
        </w:rPr>
        <w:t xml:space="preserve">, </w:t>
      </w:r>
      <w:r w:rsidRPr="003338D7">
        <w:rPr>
          <w:rFonts w:asciiTheme="majorHAnsi" w:hAnsiTheme="majorHAnsi"/>
          <w:i/>
          <w:iCs/>
          <w:noProof/>
          <w:szCs w:val="22"/>
        </w:rPr>
        <w:t>79</w:t>
      </w:r>
      <w:r w:rsidRPr="003338D7">
        <w:rPr>
          <w:rFonts w:asciiTheme="majorHAnsi" w:hAnsiTheme="majorHAnsi"/>
          <w:noProof/>
          <w:szCs w:val="22"/>
        </w:rPr>
        <w:t xml:space="preserve">, 45–60. </w:t>
      </w:r>
      <w:hyperlink r:id="rId198" w:history="1">
        <w:r w:rsidRPr="003338D7">
          <w:rPr>
            <w:rStyle w:val="Hyperlink"/>
            <w:rFonts w:asciiTheme="majorHAnsi" w:hAnsiTheme="majorHAnsi"/>
            <w:noProof/>
            <w:szCs w:val="22"/>
          </w:rPr>
          <w:t>http://doi.org/10.1007/s10533-006-9002-1</w:t>
        </w:r>
      </w:hyperlink>
    </w:p>
    <w:p w14:paraId="7E1C2F2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Bacheler, N. M., Neal, J. W., &amp; Noble, R. L. (2004). Diet overlap between native bigmouth sleepers (</w:t>
      </w:r>
      <w:r w:rsidRPr="003338D7">
        <w:rPr>
          <w:rFonts w:asciiTheme="majorHAnsi" w:hAnsiTheme="majorHAnsi"/>
          <w:i/>
          <w:iCs/>
          <w:noProof/>
          <w:szCs w:val="22"/>
        </w:rPr>
        <w:t>Gobiomorus dormitor</w:t>
      </w:r>
      <w:r w:rsidRPr="003338D7">
        <w:rPr>
          <w:rFonts w:asciiTheme="majorHAnsi" w:hAnsiTheme="majorHAnsi"/>
          <w:noProof/>
          <w:szCs w:val="22"/>
        </w:rPr>
        <w:t xml:space="preserve">) and introduced predatory fishes in a Puerto Rico reservoir. </w:t>
      </w:r>
      <w:r w:rsidRPr="003338D7">
        <w:rPr>
          <w:rFonts w:asciiTheme="majorHAnsi" w:hAnsiTheme="majorHAnsi"/>
          <w:i/>
          <w:iCs/>
          <w:noProof/>
          <w:szCs w:val="22"/>
        </w:rPr>
        <w:t>Ecology of Freshwater Fish</w:t>
      </w:r>
      <w:r w:rsidRPr="003338D7">
        <w:rPr>
          <w:rFonts w:asciiTheme="majorHAnsi" w:hAnsiTheme="majorHAnsi"/>
          <w:noProof/>
          <w:szCs w:val="22"/>
        </w:rPr>
        <w:t xml:space="preserve">, </w:t>
      </w:r>
      <w:r w:rsidRPr="003338D7">
        <w:rPr>
          <w:rFonts w:asciiTheme="majorHAnsi" w:hAnsiTheme="majorHAnsi"/>
          <w:i/>
          <w:iCs/>
          <w:noProof/>
          <w:szCs w:val="22"/>
        </w:rPr>
        <w:t>13</w:t>
      </w:r>
      <w:r w:rsidRPr="003338D7">
        <w:rPr>
          <w:rFonts w:asciiTheme="majorHAnsi" w:hAnsiTheme="majorHAnsi"/>
          <w:noProof/>
          <w:szCs w:val="22"/>
        </w:rPr>
        <w:t xml:space="preserve">(2), 111–118. </w:t>
      </w:r>
      <w:hyperlink r:id="rId199" w:history="1">
        <w:r w:rsidRPr="003338D7">
          <w:rPr>
            <w:rStyle w:val="Hyperlink"/>
            <w:rFonts w:asciiTheme="majorHAnsi" w:hAnsiTheme="majorHAnsi"/>
            <w:noProof/>
            <w:szCs w:val="22"/>
          </w:rPr>
          <w:t>http://doi.org/10.1111/j.1600-0633.2004.00040.x</w:t>
        </w:r>
      </w:hyperlink>
    </w:p>
    <w:p w14:paraId="1A492F2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Baena, M. L., &amp; Halfflter, G. (2008). </w:t>
      </w:r>
      <w:r w:rsidRPr="003338D7">
        <w:rPr>
          <w:rFonts w:asciiTheme="majorHAnsi" w:hAnsiTheme="majorHAnsi"/>
          <w:noProof/>
          <w:szCs w:val="22"/>
          <w:lang w:val="es-ES"/>
        </w:rPr>
        <w:t xml:space="preserve">Extinción de especies. In J. Sarukhán (Ed.), </w:t>
      </w:r>
      <w:r w:rsidRPr="003338D7">
        <w:rPr>
          <w:rFonts w:asciiTheme="majorHAnsi" w:hAnsiTheme="majorHAnsi"/>
          <w:i/>
          <w:iCs/>
          <w:noProof/>
          <w:szCs w:val="22"/>
          <w:lang w:val="es-ES"/>
        </w:rPr>
        <w:t>Capital Natural de México, Vol. I: Conocimiento Actual de la Biodiversidad</w:t>
      </w:r>
      <w:r w:rsidRPr="003338D7">
        <w:rPr>
          <w:rFonts w:asciiTheme="majorHAnsi" w:hAnsiTheme="majorHAnsi"/>
          <w:noProof/>
          <w:szCs w:val="22"/>
          <w:lang w:val="es-ES"/>
        </w:rPr>
        <w:t xml:space="preserve"> (pp. 263–282). Mexico City, Mexico: CONABIO.</w:t>
      </w:r>
    </w:p>
    <w:p w14:paraId="04A2B22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Baldwin, B. G. (2014). Origins of plant diversity in the California Floristic Province. </w:t>
      </w:r>
      <w:r w:rsidRPr="003338D7">
        <w:rPr>
          <w:rFonts w:asciiTheme="majorHAnsi" w:hAnsiTheme="majorHAnsi"/>
          <w:i/>
          <w:iCs/>
          <w:noProof/>
          <w:szCs w:val="22"/>
        </w:rPr>
        <w:t>Annual Review of Ecology, Evolution, and Systematics</w:t>
      </w:r>
      <w:r w:rsidRPr="003338D7">
        <w:rPr>
          <w:rFonts w:asciiTheme="majorHAnsi" w:hAnsiTheme="majorHAnsi"/>
          <w:noProof/>
          <w:szCs w:val="22"/>
        </w:rPr>
        <w:t xml:space="preserve">, </w:t>
      </w:r>
      <w:r w:rsidRPr="003338D7">
        <w:rPr>
          <w:rFonts w:asciiTheme="majorHAnsi" w:hAnsiTheme="majorHAnsi"/>
          <w:i/>
          <w:iCs/>
          <w:noProof/>
          <w:szCs w:val="22"/>
        </w:rPr>
        <w:t>45</w:t>
      </w:r>
      <w:r w:rsidRPr="003338D7">
        <w:rPr>
          <w:rFonts w:asciiTheme="majorHAnsi" w:hAnsiTheme="majorHAnsi"/>
          <w:noProof/>
          <w:szCs w:val="22"/>
        </w:rPr>
        <w:t xml:space="preserve">(1), 347–369. </w:t>
      </w:r>
      <w:hyperlink r:id="rId200" w:history="1">
        <w:r w:rsidRPr="003338D7">
          <w:rPr>
            <w:rStyle w:val="Hyperlink"/>
            <w:rFonts w:asciiTheme="majorHAnsi" w:hAnsiTheme="majorHAnsi"/>
            <w:noProof/>
            <w:szCs w:val="22"/>
          </w:rPr>
          <w:t>http://doi.org/10.1146/annurev-ecolsys-110512-135847</w:t>
        </w:r>
      </w:hyperlink>
    </w:p>
    <w:p w14:paraId="70984FF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Baldwin, B. G., Goldman, D. H., Keil, D. J., Patterson, R., Rosatti, T. J., &amp; Wilken, D. H. (Eds.). (2012). </w:t>
      </w:r>
      <w:r w:rsidRPr="003338D7">
        <w:rPr>
          <w:rFonts w:asciiTheme="majorHAnsi" w:hAnsiTheme="majorHAnsi"/>
          <w:i/>
          <w:iCs/>
          <w:noProof/>
          <w:szCs w:val="22"/>
        </w:rPr>
        <w:t>The Jepson Manual: Vascular Plants of California</w:t>
      </w:r>
      <w:r w:rsidRPr="003338D7">
        <w:rPr>
          <w:rFonts w:asciiTheme="majorHAnsi" w:hAnsiTheme="majorHAnsi"/>
          <w:noProof/>
          <w:szCs w:val="22"/>
        </w:rPr>
        <w:t xml:space="preserve"> (2nd ed.). Berkeley, USA: University California Press.</w:t>
      </w:r>
    </w:p>
    <w:p w14:paraId="1E41790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Ballinger, R. E., &amp; Congdon, J. D. (1996). Status of the bunch grass lizard, </w:t>
      </w:r>
      <w:r w:rsidRPr="003338D7">
        <w:rPr>
          <w:rFonts w:asciiTheme="majorHAnsi" w:hAnsiTheme="majorHAnsi"/>
          <w:i/>
          <w:iCs/>
          <w:noProof/>
          <w:szCs w:val="22"/>
        </w:rPr>
        <w:t>Sceloporus scalaris</w:t>
      </w:r>
      <w:r w:rsidRPr="003338D7">
        <w:rPr>
          <w:rFonts w:asciiTheme="majorHAnsi" w:hAnsiTheme="majorHAnsi"/>
          <w:noProof/>
          <w:szCs w:val="22"/>
        </w:rPr>
        <w:t xml:space="preserve">, in the Chiricahua mountains of southeastern Arizona. </w:t>
      </w:r>
      <w:r w:rsidRPr="003338D7">
        <w:rPr>
          <w:rFonts w:asciiTheme="majorHAnsi" w:hAnsiTheme="majorHAnsi"/>
          <w:i/>
          <w:iCs/>
          <w:noProof/>
          <w:szCs w:val="22"/>
        </w:rPr>
        <w:t>Bulletin of the Maryland Herpetological Society</w:t>
      </w:r>
      <w:r w:rsidRPr="003338D7">
        <w:rPr>
          <w:rFonts w:asciiTheme="majorHAnsi" w:hAnsiTheme="majorHAnsi"/>
          <w:noProof/>
          <w:szCs w:val="22"/>
        </w:rPr>
        <w:t xml:space="preserve">, </w:t>
      </w:r>
      <w:r w:rsidRPr="003338D7">
        <w:rPr>
          <w:rFonts w:asciiTheme="majorHAnsi" w:hAnsiTheme="majorHAnsi"/>
          <w:i/>
          <w:iCs/>
          <w:noProof/>
          <w:szCs w:val="22"/>
        </w:rPr>
        <w:t>32</w:t>
      </w:r>
      <w:r w:rsidRPr="003338D7">
        <w:rPr>
          <w:rFonts w:asciiTheme="majorHAnsi" w:hAnsiTheme="majorHAnsi"/>
          <w:noProof/>
          <w:szCs w:val="22"/>
        </w:rPr>
        <w:t>, 67–69.</w:t>
      </w:r>
    </w:p>
    <w:p w14:paraId="50CBB19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Balvanera, P., Pfisterer, A. B., Buchmann, N., He, J.-S., Nakashizuka, T., Raffaelli, D., &amp; Schmid, B. (2006). Quantifying the evidence for biodiversity effects on ecosystem functioning and services. </w:t>
      </w:r>
      <w:r w:rsidRPr="003338D7">
        <w:rPr>
          <w:rFonts w:asciiTheme="majorHAnsi" w:hAnsiTheme="majorHAnsi"/>
          <w:i/>
          <w:iCs/>
          <w:noProof/>
          <w:szCs w:val="22"/>
        </w:rPr>
        <w:t>Ecology Letters</w:t>
      </w:r>
      <w:r w:rsidRPr="003338D7">
        <w:rPr>
          <w:rFonts w:asciiTheme="majorHAnsi" w:hAnsiTheme="majorHAnsi"/>
          <w:noProof/>
          <w:szCs w:val="22"/>
        </w:rPr>
        <w:t xml:space="preserve">, </w:t>
      </w:r>
      <w:r w:rsidRPr="003338D7">
        <w:rPr>
          <w:rFonts w:asciiTheme="majorHAnsi" w:hAnsiTheme="majorHAnsi"/>
          <w:i/>
          <w:iCs/>
          <w:noProof/>
          <w:szCs w:val="22"/>
        </w:rPr>
        <w:t>9</w:t>
      </w:r>
      <w:r w:rsidRPr="003338D7">
        <w:rPr>
          <w:rFonts w:asciiTheme="majorHAnsi" w:hAnsiTheme="majorHAnsi"/>
          <w:noProof/>
          <w:szCs w:val="22"/>
        </w:rPr>
        <w:t xml:space="preserve">(10), 1146–1156. </w:t>
      </w:r>
      <w:hyperlink r:id="rId201" w:history="1">
        <w:r w:rsidRPr="003338D7">
          <w:rPr>
            <w:rStyle w:val="Hyperlink"/>
            <w:rFonts w:asciiTheme="majorHAnsi" w:hAnsiTheme="majorHAnsi"/>
            <w:noProof/>
            <w:szCs w:val="22"/>
          </w:rPr>
          <w:t>http://doi.org/10.1111/j.1461-0248.2006.00963.x</w:t>
        </w:r>
      </w:hyperlink>
    </w:p>
    <w:p w14:paraId="3169D23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Balvanera, P., Siddique, I., Dee, L., Paquette, A., Isbell, F., Gonzalez, A., Byrnes, J., O’Connor, M. I., Hungate, B. A., &amp; Griffin, J. N. (2014). Linking biodiversity and ecosystem services: Current uncertainties and the necessary next steps. </w:t>
      </w:r>
      <w:r w:rsidRPr="003338D7">
        <w:rPr>
          <w:rFonts w:asciiTheme="majorHAnsi" w:hAnsiTheme="majorHAnsi"/>
          <w:i/>
          <w:iCs/>
          <w:noProof/>
          <w:szCs w:val="22"/>
          <w:lang w:val="es-ES"/>
        </w:rPr>
        <w:t>BioScience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64</w:t>
      </w:r>
      <w:r w:rsidRPr="003338D7">
        <w:rPr>
          <w:rFonts w:asciiTheme="majorHAnsi" w:hAnsiTheme="majorHAnsi"/>
          <w:noProof/>
          <w:szCs w:val="22"/>
          <w:lang w:val="es-ES"/>
        </w:rPr>
        <w:t xml:space="preserve">, 49–57. </w:t>
      </w:r>
      <w:hyperlink r:id="rId202" w:history="1">
        <w:r w:rsidRPr="003338D7">
          <w:rPr>
            <w:rStyle w:val="Hyperlink"/>
            <w:rFonts w:asciiTheme="majorHAnsi" w:hAnsiTheme="majorHAnsi"/>
            <w:noProof/>
            <w:szCs w:val="22"/>
            <w:lang w:val="es-ES"/>
          </w:rPr>
          <w:t>https://doi.org/10.1093/biosci/bit003</w:t>
        </w:r>
      </w:hyperlink>
    </w:p>
    <w:p w14:paraId="43B25D5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Banda-R, K., Delgado-Salinas, A., Dexter, K. G., Linares-Palomino, R., Oliveira-Filho, A., Prado, D., Pullan, M., Quintana, C., Riina, R., Rodriguez M., G. M., Weintritt, J., Acevedo-Rodriguez, P., Adarve, J., Alvarez, E., Aranguren B., A., Arteaga, J. C., Aymard, G., Castano, A., Ceballos-Mago, N., Cogollo, A., Cuadros, H., Delgado, F., Devia, W., Duenas, H., Fajardo, L., Fernandez, A., Fernandez, M. A., Franklin, J., Freid, E. H., Galetti, L. A., Gonto, R., Gonzalez-M., R., Graveson, R., Helmer, E. H., Idarraga, A., Lopez, R., Marcano-Vega, H., Martinez, O. G., Maturo, H. M., McDonald, M., McLaren, K., Melo, O., Mijares, F., Mogni, V., Molina, D., Moreno, N. d. P., Nassar, J. M., Neves, D. M., Oakley, L. J., Oatham, M., Olvera-Luna, A. R., Pezzini, F. F., Dominguez, O. J. R., Rios, M. E., Rivera, O., Rodriguez, N., Rojas, A., Sarkinen, T., Sanchez, R., Smith, M., Vargas, C., Villanueva, B., &amp; Pennington, R. T. (2016). Plant diversity patterns in neotropical dry forests and their conservation implications.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353</w:t>
      </w:r>
      <w:r w:rsidRPr="003338D7">
        <w:rPr>
          <w:rFonts w:asciiTheme="majorHAnsi" w:hAnsiTheme="majorHAnsi"/>
          <w:noProof/>
          <w:szCs w:val="22"/>
          <w:lang w:val="es-ES"/>
        </w:rPr>
        <w:t xml:space="preserve">(6306), 1383–1387. </w:t>
      </w:r>
      <w:hyperlink r:id="rId203" w:history="1">
        <w:r w:rsidRPr="003338D7">
          <w:rPr>
            <w:rStyle w:val="Hyperlink"/>
            <w:rFonts w:asciiTheme="majorHAnsi" w:hAnsiTheme="majorHAnsi"/>
            <w:noProof/>
            <w:szCs w:val="22"/>
            <w:lang w:val="es-ES"/>
          </w:rPr>
          <w:t>https://doi.org/10.1126/science.aaf5080</w:t>
        </w:r>
      </w:hyperlink>
    </w:p>
    <w:p w14:paraId="2CB30EB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Barnes, M. (2015). Aichi targets: Protect biodiversity, not just area.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526</w:t>
      </w:r>
      <w:r w:rsidRPr="003338D7">
        <w:rPr>
          <w:rFonts w:asciiTheme="majorHAnsi" w:hAnsiTheme="majorHAnsi"/>
          <w:noProof/>
          <w:szCs w:val="22"/>
        </w:rPr>
        <w:t xml:space="preserve">(7572), 195–195. </w:t>
      </w:r>
      <w:hyperlink r:id="rId204" w:history="1">
        <w:r w:rsidRPr="003338D7">
          <w:rPr>
            <w:rStyle w:val="Hyperlink"/>
            <w:rFonts w:asciiTheme="majorHAnsi" w:hAnsiTheme="majorHAnsi"/>
            <w:noProof/>
            <w:szCs w:val="22"/>
          </w:rPr>
          <w:t>http://doi.org/10.1038/526195e</w:t>
        </w:r>
      </w:hyperlink>
    </w:p>
    <w:p w14:paraId="6C48935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Barreto, R., Ferretti, F., Flemming, J. M., Amorim, A., Andrade, H., Worm, B., &amp; Lessa, R. (2016). Trends in the exploitation of South Atlantic shark populations.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30</w:t>
      </w:r>
      <w:r w:rsidRPr="003338D7">
        <w:rPr>
          <w:rFonts w:asciiTheme="majorHAnsi" w:hAnsiTheme="majorHAnsi"/>
          <w:noProof/>
          <w:szCs w:val="22"/>
        </w:rPr>
        <w:t xml:space="preserve">(4), 792–804. </w:t>
      </w:r>
      <w:hyperlink r:id="rId205" w:history="1">
        <w:r w:rsidRPr="003338D7">
          <w:rPr>
            <w:rStyle w:val="Hyperlink"/>
            <w:rFonts w:asciiTheme="majorHAnsi" w:hAnsiTheme="majorHAnsi"/>
            <w:noProof/>
            <w:szCs w:val="22"/>
          </w:rPr>
          <w:t>http://doi.org/10.1111/cobi.12663</w:t>
        </w:r>
      </w:hyperlink>
    </w:p>
    <w:p w14:paraId="3748688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Barrett, K., &amp; Guyer, C. (2008). Differential responses of amphibians and reptiles in riparian and stream habitats to land use disturbances in western Georgia, USA.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141</w:t>
      </w:r>
      <w:r w:rsidRPr="003338D7">
        <w:rPr>
          <w:rFonts w:asciiTheme="majorHAnsi" w:hAnsiTheme="majorHAnsi"/>
          <w:noProof/>
          <w:szCs w:val="22"/>
        </w:rPr>
        <w:t xml:space="preserve">(9), 2290–2300. </w:t>
      </w:r>
      <w:hyperlink r:id="rId206" w:history="1">
        <w:r w:rsidRPr="003338D7">
          <w:rPr>
            <w:rStyle w:val="Hyperlink"/>
            <w:rFonts w:asciiTheme="majorHAnsi" w:hAnsiTheme="majorHAnsi"/>
            <w:noProof/>
            <w:szCs w:val="22"/>
          </w:rPr>
          <w:t>http://doi.org/10.1016/j.biocon.2008.06.019</w:t>
        </w:r>
      </w:hyperlink>
    </w:p>
    <w:p w14:paraId="6FDF2F0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Barrett, K., Helms, B. S., Guyer, C., &amp; Schoonover, J. E. (2010). Linking process to pattern: Causes of stream-breeding amphibian decline in urbanized watersheds.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143</w:t>
      </w:r>
      <w:r w:rsidRPr="003338D7">
        <w:rPr>
          <w:rFonts w:asciiTheme="majorHAnsi" w:hAnsiTheme="majorHAnsi"/>
          <w:noProof/>
          <w:szCs w:val="22"/>
        </w:rPr>
        <w:t xml:space="preserve">, 1998–2005. </w:t>
      </w:r>
      <w:hyperlink r:id="rId207" w:history="1">
        <w:r w:rsidRPr="003338D7">
          <w:rPr>
            <w:rStyle w:val="Hyperlink"/>
            <w:rFonts w:asciiTheme="majorHAnsi" w:hAnsiTheme="majorHAnsi"/>
            <w:noProof/>
            <w:szCs w:val="22"/>
          </w:rPr>
          <w:t>http://doi.org/10.1016/j.biocon.2010.05.001</w:t>
        </w:r>
      </w:hyperlink>
    </w:p>
    <w:p w14:paraId="601B0E0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Barros, A., &amp; Pickering, C. M. (2014). Non-native plant invasion in relation to tourism use of Aconcagua Park, Argentina, the highest protected area in the Southern Hemisphere. </w:t>
      </w:r>
      <w:r w:rsidRPr="003338D7">
        <w:rPr>
          <w:rFonts w:asciiTheme="majorHAnsi" w:hAnsiTheme="majorHAnsi"/>
          <w:i/>
          <w:iCs/>
          <w:noProof/>
          <w:szCs w:val="22"/>
        </w:rPr>
        <w:t>Mountain Research and Development</w:t>
      </w:r>
      <w:r w:rsidRPr="003338D7">
        <w:rPr>
          <w:rFonts w:asciiTheme="majorHAnsi" w:hAnsiTheme="majorHAnsi"/>
          <w:noProof/>
          <w:szCs w:val="22"/>
        </w:rPr>
        <w:t xml:space="preserve">, </w:t>
      </w:r>
      <w:r w:rsidRPr="003338D7">
        <w:rPr>
          <w:rFonts w:asciiTheme="majorHAnsi" w:hAnsiTheme="majorHAnsi"/>
          <w:i/>
          <w:iCs/>
          <w:noProof/>
          <w:szCs w:val="22"/>
        </w:rPr>
        <w:t>34</w:t>
      </w:r>
      <w:r w:rsidRPr="003338D7">
        <w:rPr>
          <w:rFonts w:asciiTheme="majorHAnsi" w:hAnsiTheme="majorHAnsi"/>
          <w:noProof/>
          <w:szCs w:val="22"/>
        </w:rPr>
        <w:t xml:space="preserve">(1), 13–26. </w:t>
      </w:r>
      <w:hyperlink r:id="rId208" w:history="1">
        <w:r w:rsidRPr="003338D7">
          <w:rPr>
            <w:rStyle w:val="Hyperlink"/>
            <w:rFonts w:asciiTheme="majorHAnsi" w:hAnsiTheme="majorHAnsi"/>
            <w:noProof/>
            <w:szCs w:val="22"/>
          </w:rPr>
          <w:t>http://doi.org/10.1659/MRD-JOURNAL-D-13-00054.1</w:t>
        </w:r>
      </w:hyperlink>
    </w:p>
    <w:p w14:paraId="08F62CA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Bartolomé, M. A. (2006). </w:t>
      </w:r>
      <w:r w:rsidRPr="003338D7">
        <w:rPr>
          <w:rFonts w:asciiTheme="majorHAnsi" w:hAnsiTheme="majorHAnsi"/>
          <w:i/>
          <w:iCs/>
          <w:noProof/>
          <w:szCs w:val="22"/>
          <w:lang w:val="es-ES"/>
        </w:rPr>
        <w:t>Procesos Interculturales. Antropología Política del Pluralismo Cultural en América Latina</w:t>
      </w:r>
      <w:r w:rsidRPr="003338D7">
        <w:rPr>
          <w:rFonts w:asciiTheme="majorHAnsi" w:hAnsiTheme="majorHAnsi"/>
          <w:noProof/>
          <w:szCs w:val="22"/>
          <w:lang w:val="es-ES"/>
        </w:rPr>
        <w:t>. México, D.F., México: Siglo XXI.</w:t>
      </w:r>
    </w:p>
    <w:p w14:paraId="671B39F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Baruch, Z., &amp; Nozawa, S. (2014). </w:t>
      </w:r>
      <w:r w:rsidRPr="003338D7">
        <w:rPr>
          <w:rFonts w:asciiTheme="majorHAnsi" w:hAnsiTheme="majorHAnsi"/>
          <w:noProof/>
          <w:szCs w:val="22"/>
        </w:rPr>
        <w:t xml:space="preserve">Abandoned coffee plantations: biodiversity conservation or path for non-native species ? Case study in a neotropical montane forest. </w:t>
      </w:r>
      <w:r w:rsidRPr="003338D7">
        <w:rPr>
          <w:rFonts w:asciiTheme="majorHAnsi" w:hAnsiTheme="majorHAnsi"/>
          <w:i/>
          <w:iCs/>
          <w:noProof/>
          <w:szCs w:val="22"/>
        </w:rPr>
        <w:t>Interciencia</w:t>
      </w:r>
      <w:r w:rsidRPr="003338D7">
        <w:rPr>
          <w:rFonts w:asciiTheme="majorHAnsi" w:hAnsiTheme="majorHAnsi"/>
          <w:noProof/>
          <w:szCs w:val="22"/>
        </w:rPr>
        <w:t xml:space="preserve">, </w:t>
      </w:r>
      <w:r w:rsidRPr="003338D7">
        <w:rPr>
          <w:rFonts w:asciiTheme="majorHAnsi" w:hAnsiTheme="majorHAnsi"/>
          <w:i/>
          <w:iCs/>
          <w:noProof/>
          <w:szCs w:val="22"/>
        </w:rPr>
        <w:t>39</w:t>
      </w:r>
      <w:r w:rsidRPr="003338D7">
        <w:rPr>
          <w:rFonts w:asciiTheme="majorHAnsi" w:hAnsiTheme="majorHAnsi"/>
          <w:noProof/>
          <w:szCs w:val="22"/>
        </w:rPr>
        <w:t xml:space="preserve">(8), 554–561. Retrieved from </w:t>
      </w:r>
      <w:hyperlink r:id="rId209" w:history="1">
        <w:r w:rsidRPr="003338D7">
          <w:rPr>
            <w:rStyle w:val="Hyperlink"/>
            <w:rFonts w:asciiTheme="majorHAnsi" w:hAnsiTheme="majorHAnsi"/>
            <w:noProof/>
            <w:szCs w:val="22"/>
          </w:rPr>
          <w:t>https://search.proquest.com/docview/1564773458?accountid=14621</w:t>
        </w:r>
      </w:hyperlink>
    </w:p>
    <w:p w14:paraId="1A8C716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Bawa, K. S., Kress, W. J., Nadkarni, N. M., Lele, S., Raven, P. H., Janzen, D. H., Lugo, A. E., Ashton, P. S., &amp; Lovejoy, T. E. (2004). Tropical ecosystems into the 21st century.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306</w:t>
      </w:r>
      <w:r w:rsidRPr="003338D7">
        <w:rPr>
          <w:rFonts w:asciiTheme="majorHAnsi" w:hAnsiTheme="majorHAnsi"/>
          <w:noProof/>
          <w:szCs w:val="22"/>
          <w:lang w:val="es-ES"/>
        </w:rPr>
        <w:t xml:space="preserve">, 227–228. </w:t>
      </w:r>
      <w:hyperlink r:id="rId210" w:history="1">
        <w:r w:rsidRPr="003338D7">
          <w:rPr>
            <w:rStyle w:val="Hyperlink"/>
            <w:rFonts w:asciiTheme="majorHAnsi" w:hAnsiTheme="majorHAnsi"/>
            <w:noProof/>
            <w:szCs w:val="22"/>
            <w:lang w:val="es-ES"/>
          </w:rPr>
          <w:t>https://doi.org/10.1126/science.306.5694.227b</w:t>
        </w:r>
      </w:hyperlink>
    </w:p>
    <w:p w14:paraId="18E77C1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Beckage, B., Osborne, B., Gavin, D. G., Pucko, C., Siccama, T., &amp; Perkins, T. (2008). A rapid upward shift of a forest ecotone during 40 years of warming in the Green Mountains of Vermont. </w:t>
      </w:r>
      <w:r w:rsidRPr="003338D7">
        <w:rPr>
          <w:rFonts w:asciiTheme="majorHAnsi" w:hAnsiTheme="majorHAnsi"/>
          <w:i/>
          <w:iCs/>
          <w:noProof/>
          <w:szCs w:val="22"/>
        </w:rPr>
        <w:t>PNAS</w:t>
      </w:r>
      <w:r w:rsidRPr="003338D7">
        <w:rPr>
          <w:rFonts w:asciiTheme="majorHAnsi" w:hAnsiTheme="majorHAnsi"/>
          <w:noProof/>
          <w:szCs w:val="22"/>
        </w:rPr>
        <w:t xml:space="preserve">, </w:t>
      </w:r>
      <w:r w:rsidRPr="003338D7">
        <w:rPr>
          <w:rFonts w:asciiTheme="majorHAnsi" w:hAnsiTheme="majorHAnsi"/>
          <w:i/>
          <w:iCs/>
          <w:noProof/>
          <w:szCs w:val="22"/>
        </w:rPr>
        <w:t>105</w:t>
      </w:r>
      <w:r w:rsidRPr="003338D7">
        <w:rPr>
          <w:rFonts w:asciiTheme="majorHAnsi" w:hAnsiTheme="majorHAnsi"/>
          <w:noProof/>
          <w:szCs w:val="22"/>
        </w:rPr>
        <w:t xml:space="preserve">, 4197–4202. </w:t>
      </w:r>
      <w:hyperlink r:id="rId211" w:history="1">
        <w:r w:rsidRPr="003338D7">
          <w:rPr>
            <w:rStyle w:val="Hyperlink"/>
            <w:rFonts w:asciiTheme="majorHAnsi" w:hAnsiTheme="majorHAnsi"/>
            <w:noProof/>
            <w:szCs w:val="22"/>
          </w:rPr>
          <w:t>http://doi.org/10.1073/pnas.0708921105</w:t>
        </w:r>
      </w:hyperlink>
    </w:p>
    <w:p w14:paraId="0390925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Beddow, J. M., Pardey, P. G., Koo, J., &amp; Wood, S. (2010). The changing landscape of global agriculture. In J. M. Alston, B. A. Babcock, &amp; P. G. Pardey (Eds.), </w:t>
      </w:r>
      <w:r w:rsidRPr="003338D7">
        <w:rPr>
          <w:rFonts w:asciiTheme="majorHAnsi" w:hAnsiTheme="majorHAnsi"/>
          <w:i/>
          <w:iCs/>
          <w:noProof/>
          <w:szCs w:val="22"/>
        </w:rPr>
        <w:t>The Shifting Patterns of Agricultural Production and Productivity Worldwide</w:t>
      </w:r>
      <w:r w:rsidRPr="003338D7">
        <w:rPr>
          <w:rFonts w:asciiTheme="majorHAnsi" w:hAnsiTheme="majorHAnsi"/>
          <w:noProof/>
          <w:szCs w:val="22"/>
        </w:rPr>
        <w:t>. Ames, USA: Iowa State University, The Midwest Agribusiness Trade Research and Information Center (MATRIC).</w:t>
      </w:r>
    </w:p>
    <w:p w14:paraId="5C4AE37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Beever, E. A., Perrine, J. D., Rickman, T., Flores, M., Clark, J. P., Waters, C., ., &amp; Goehring, K. E. (2016). Pika (Ochotona princeps) losses from two isolated regions reflect temperature and water balance, but reflect habitat area in a mainland region. </w:t>
      </w:r>
      <w:r w:rsidRPr="003338D7">
        <w:rPr>
          <w:rFonts w:asciiTheme="majorHAnsi" w:hAnsiTheme="majorHAnsi"/>
          <w:i/>
          <w:iCs/>
          <w:noProof/>
          <w:szCs w:val="22"/>
        </w:rPr>
        <w:t>Journal of Mammalogy</w:t>
      </w:r>
      <w:r w:rsidRPr="003338D7">
        <w:rPr>
          <w:rFonts w:asciiTheme="majorHAnsi" w:hAnsiTheme="majorHAnsi"/>
          <w:noProof/>
          <w:szCs w:val="22"/>
        </w:rPr>
        <w:t xml:space="preserve">, </w:t>
      </w:r>
      <w:r w:rsidRPr="003338D7">
        <w:rPr>
          <w:rFonts w:asciiTheme="majorHAnsi" w:hAnsiTheme="majorHAnsi"/>
          <w:i/>
          <w:iCs/>
          <w:noProof/>
          <w:szCs w:val="22"/>
        </w:rPr>
        <w:t>97</w:t>
      </w:r>
      <w:r w:rsidRPr="003338D7">
        <w:rPr>
          <w:rFonts w:asciiTheme="majorHAnsi" w:hAnsiTheme="majorHAnsi"/>
          <w:noProof/>
          <w:szCs w:val="22"/>
        </w:rPr>
        <w:t xml:space="preserve">(6), 1495–1511. </w:t>
      </w:r>
      <w:hyperlink r:id="rId212" w:history="1">
        <w:r w:rsidRPr="003338D7">
          <w:rPr>
            <w:rStyle w:val="Hyperlink"/>
            <w:rFonts w:asciiTheme="majorHAnsi" w:hAnsiTheme="majorHAnsi"/>
            <w:noProof/>
            <w:szCs w:val="22"/>
          </w:rPr>
          <w:t>http://doi.org/10.1093/jmammal/gyw128</w:t>
        </w:r>
      </w:hyperlink>
    </w:p>
    <w:p w14:paraId="4005B14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Beever, E. A., Ray, C., Wilkening, J. L., Brussard, P. F., &amp; Mote, P. W. (2011). Contemporary climate change alters the pace and drivers of extinction. </w:t>
      </w:r>
      <w:r w:rsidRPr="003338D7">
        <w:rPr>
          <w:rFonts w:asciiTheme="majorHAnsi" w:hAnsiTheme="majorHAnsi"/>
          <w:i/>
          <w:iCs/>
          <w:noProof/>
          <w:szCs w:val="22"/>
        </w:rPr>
        <w:t>Global Change Biology</w:t>
      </w:r>
      <w:r w:rsidRPr="003338D7">
        <w:rPr>
          <w:rFonts w:asciiTheme="majorHAnsi" w:hAnsiTheme="majorHAnsi"/>
          <w:noProof/>
          <w:szCs w:val="22"/>
        </w:rPr>
        <w:t xml:space="preserve">, </w:t>
      </w:r>
      <w:r w:rsidRPr="003338D7">
        <w:rPr>
          <w:rFonts w:asciiTheme="majorHAnsi" w:hAnsiTheme="majorHAnsi"/>
          <w:i/>
          <w:iCs/>
          <w:noProof/>
          <w:szCs w:val="22"/>
        </w:rPr>
        <w:t>17</w:t>
      </w:r>
      <w:r w:rsidRPr="003338D7">
        <w:rPr>
          <w:rFonts w:asciiTheme="majorHAnsi" w:hAnsiTheme="majorHAnsi"/>
          <w:noProof/>
          <w:szCs w:val="22"/>
        </w:rPr>
        <w:t xml:space="preserve">(6), 2054–2070. </w:t>
      </w:r>
      <w:hyperlink r:id="rId213" w:history="1">
        <w:r w:rsidRPr="003338D7">
          <w:rPr>
            <w:rStyle w:val="Hyperlink"/>
            <w:rFonts w:asciiTheme="majorHAnsi" w:hAnsiTheme="majorHAnsi"/>
            <w:noProof/>
            <w:szCs w:val="22"/>
          </w:rPr>
          <w:t>http://doi.org/10.1111/j.1365-2486.2010.02389.x</w:t>
        </w:r>
      </w:hyperlink>
    </w:p>
    <w:p w14:paraId="356F21E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Bellard, C., Cassey, P., &amp; Blackburn, T. M. (2016). Alien species as a driver of recent extinctions. </w:t>
      </w:r>
      <w:r w:rsidRPr="003338D7">
        <w:rPr>
          <w:rFonts w:asciiTheme="majorHAnsi" w:hAnsiTheme="majorHAnsi"/>
          <w:i/>
          <w:iCs/>
          <w:noProof/>
          <w:szCs w:val="22"/>
        </w:rPr>
        <w:t>Biology Letters</w:t>
      </w:r>
      <w:r w:rsidRPr="003338D7">
        <w:rPr>
          <w:rFonts w:asciiTheme="majorHAnsi" w:hAnsiTheme="majorHAnsi"/>
          <w:noProof/>
          <w:szCs w:val="22"/>
        </w:rPr>
        <w:t xml:space="preserve">, </w:t>
      </w:r>
      <w:r w:rsidRPr="003338D7">
        <w:rPr>
          <w:rFonts w:asciiTheme="majorHAnsi" w:hAnsiTheme="majorHAnsi"/>
          <w:i/>
          <w:iCs/>
          <w:noProof/>
          <w:szCs w:val="22"/>
        </w:rPr>
        <w:t>12</w:t>
      </w:r>
      <w:r w:rsidRPr="003338D7">
        <w:rPr>
          <w:rFonts w:asciiTheme="majorHAnsi" w:hAnsiTheme="majorHAnsi"/>
          <w:noProof/>
          <w:szCs w:val="22"/>
        </w:rPr>
        <w:t xml:space="preserve">(2), 20150623. </w:t>
      </w:r>
      <w:hyperlink r:id="rId214" w:history="1">
        <w:r w:rsidRPr="003338D7">
          <w:rPr>
            <w:rStyle w:val="Hyperlink"/>
            <w:rFonts w:asciiTheme="majorHAnsi" w:hAnsiTheme="majorHAnsi"/>
            <w:noProof/>
            <w:szCs w:val="22"/>
          </w:rPr>
          <w:t>http://doi.org/10.1098/rsbl.2015.0623</w:t>
        </w:r>
      </w:hyperlink>
    </w:p>
    <w:p w14:paraId="037543D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Bello, C., Galetti, M., Pizo, M. A., Magnago, L. F. S., Rocha, M. F., Lima, R. A. F., Peres, C. A., Ovaskainen, O., &amp; Jordano, P. (2015). Defaunation affects carbon storage in tropical forests. </w:t>
      </w:r>
      <w:r w:rsidRPr="003338D7">
        <w:rPr>
          <w:rFonts w:asciiTheme="majorHAnsi" w:hAnsiTheme="majorHAnsi"/>
          <w:i/>
          <w:iCs/>
          <w:noProof/>
          <w:szCs w:val="22"/>
          <w:lang w:val="es-ES"/>
        </w:rPr>
        <w:t>Science Advances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w:t>
      </w:r>
      <w:r w:rsidRPr="003338D7">
        <w:rPr>
          <w:rFonts w:asciiTheme="majorHAnsi" w:hAnsiTheme="majorHAnsi"/>
          <w:noProof/>
          <w:szCs w:val="22"/>
          <w:lang w:val="es-ES"/>
        </w:rPr>
        <w:t xml:space="preserve">(11), e1501105. </w:t>
      </w:r>
      <w:hyperlink r:id="rId215" w:history="1">
        <w:r w:rsidRPr="003338D7">
          <w:rPr>
            <w:rStyle w:val="Hyperlink"/>
            <w:rFonts w:asciiTheme="majorHAnsi" w:hAnsiTheme="majorHAnsi"/>
            <w:noProof/>
            <w:szCs w:val="22"/>
            <w:lang w:val="es-ES"/>
          </w:rPr>
          <w:t>https://doi.org/10.1126/sciadv.1501105</w:t>
        </w:r>
      </w:hyperlink>
    </w:p>
    <w:p w14:paraId="44B922B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Bello, J. C., Báez, M., Gomez, M. F., Orrego, O., &amp; Nägele, L. (Eds.). (2014). </w:t>
      </w:r>
      <w:r w:rsidRPr="003338D7">
        <w:rPr>
          <w:rFonts w:asciiTheme="majorHAnsi" w:hAnsiTheme="majorHAnsi"/>
          <w:i/>
          <w:iCs/>
          <w:noProof/>
          <w:szCs w:val="22"/>
          <w:lang w:val="es-ES"/>
        </w:rPr>
        <w:t>Biodiversidad 2014. Estado y Tendencias de la Biodiversidad Continental de Colombia</w:t>
      </w:r>
      <w:r w:rsidRPr="003338D7">
        <w:rPr>
          <w:rFonts w:asciiTheme="majorHAnsi" w:hAnsiTheme="majorHAnsi"/>
          <w:noProof/>
          <w:szCs w:val="22"/>
          <w:lang w:val="es-ES"/>
        </w:rPr>
        <w:t xml:space="preserve">. Bogotá, D.C., Colombia: Instituto Alexander von Humboldt. Retrieved from </w:t>
      </w:r>
      <w:hyperlink r:id="rId216" w:history="1">
        <w:r w:rsidRPr="003338D7">
          <w:rPr>
            <w:rStyle w:val="Hyperlink"/>
            <w:rFonts w:asciiTheme="majorHAnsi" w:hAnsiTheme="majorHAnsi"/>
            <w:noProof/>
            <w:szCs w:val="22"/>
            <w:lang w:val="es-ES"/>
          </w:rPr>
          <w:t>http://www.humboldt.org.co/es/estado-de-los-recursos-naturales/item/898-bio2015</w:t>
        </w:r>
      </w:hyperlink>
    </w:p>
    <w:p w14:paraId="0D74BCF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rPr>
        <w:t xml:space="preserve">Belnap, J., &amp; Eldridge, D. (2003). Disturbance and recovery of biological soil crusts. In J. Belnap &amp; O. L. Lange (Eds.), </w:t>
      </w:r>
      <w:r w:rsidRPr="003338D7">
        <w:rPr>
          <w:rFonts w:asciiTheme="majorHAnsi" w:hAnsiTheme="majorHAnsi"/>
          <w:i/>
          <w:iCs/>
          <w:noProof/>
          <w:szCs w:val="22"/>
        </w:rPr>
        <w:t>Biological Soil Crusts: Structure, Function, and Management</w:t>
      </w:r>
      <w:r w:rsidRPr="003338D7">
        <w:rPr>
          <w:rFonts w:asciiTheme="majorHAnsi" w:hAnsiTheme="majorHAnsi"/>
          <w:noProof/>
          <w:szCs w:val="22"/>
        </w:rPr>
        <w:t xml:space="preserve"> (pp. 363–383). </w:t>
      </w:r>
      <w:r w:rsidRPr="003338D7">
        <w:rPr>
          <w:rFonts w:asciiTheme="majorHAnsi" w:hAnsiTheme="majorHAnsi"/>
          <w:noProof/>
          <w:szCs w:val="22"/>
          <w:lang w:val="de-DE"/>
        </w:rPr>
        <w:t>Berlin, Germany: Springer-Verlag.</w:t>
      </w:r>
    </w:p>
    <w:p w14:paraId="528303D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Belnap, J., Weber, B., &amp; Büdel, B. (2016). </w:t>
      </w:r>
      <w:r w:rsidRPr="003338D7">
        <w:rPr>
          <w:rFonts w:asciiTheme="majorHAnsi" w:hAnsiTheme="majorHAnsi"/>
          <w:noProof/>
          <w:szCs w:val="22"/>
        </w:rPr>
        <w:t xml:space="preserve">Biological soil crusts as an organizing principle in drylands. In J. Weber, B, Büdel, B, Belnap (Ed.), </w:t>
      </w:r>
      <w:r w:rsidRPr="003338D7">
        <w:rPr>
          <w:rFonts w:asciiTheme="majorHAnsi" w:hAnsiTheme="majorHAnsi"/>
          <w:i/>
          <w:iCs/>
          <w:noProof/>
          <w:szCs w:val="22"/>
        </w:rPr>
        <w:t>Biological Soil Crusts: An Organizing Principle in Drylands</w:t>
      </w:r>
      <w:r w:rsidRPr="003338D7">
        <w:rPr>
          <w:rFonts w:asciiTheme="majorHAnsi" w:hAnsiTheme="majorHAnsi"/>
          <w:noProof/>
          <w:szCs w:val="22"/>
        </w:rPr>
        <w:t xml:space="preserve"> (pp. 3–13). Switzerland: Springer International Publishing. Retrieved from </w:t>
      </w:r>
      <w:hyperlink r:id="rId217" w:history="1">
        <w:r w:rsidRPr="003338D7">
          <w:rPr>
            <w:rStyle w:val="Hyperlink"/>
            <w:rFonts w:asciiTheme="majorHAnsi" w:hAnsiTheme="majorHAnsi"/>
            <w:noProof/>
            <w:szCs w:val="22"/>
          </w:rPr>
          <w:t>http://link.springer.com/10.1007/978-3-319-30214-0_1</w:t>
        </w:r>
      </w:hyperlink>
    </w:p>
    <w:p w14:paraId="0736FEF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Benayas, R. J. M., Newton, A. C., Diaz, A., &amp; Bullock, J. M. (2009). Enhancement of biodiversity and ecosystem services by ecological restoration: a meta-analysis.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325</w:t>
      </w:r>
      <w:r w:rsidRPr="003338D7">
        <w:rPr>
          <w:rFonts w:asciiTheme="majorHAnsi" w:hAnsiTheme="majorHAnsi"/>
          <w:noProof/>
          <w:szCs w:val="22"/>
          <w:lang w:val="es-ES"/>
        </w:rPr>
        <w:t xml:space="preserve">(5944), 1121–1124. </w:t>
      </w:r>
      <w:hyperlink r:id="rId218" w:history="1">
        <w:r w:rsidRPr="003338D7">
          <w:rPr>
            <w:rStyle w:val="Hyperlink"/>
            <w:rFonts w:asciiTheme="majorHAnsi" w:hAnsiTheme="majorHAnsi"/>
            <w:noProof/>
            <w:szCs w:val="22"/>
            <w:lang w:val="es-ES"/>
          </w:rPr>
          <w:t>http://doi.org/10.1126/science.1172460</w:t>
        </w:r>
      </w:hyperlink>
    </w:p>
    <w:p w14:paraId="63E0E60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Beneyto, D., Monros, J. S., &amp; Piculo, R. (2013). </w:t>
      </w:r>
      <w:r w:rsidRPr="003338D7">
        <w:rPr>
          <w:rFonts w:asciiTheme="majorHAnsi" w:hAnsiTheme="majorHAnsi"/>
          <w:noProof/>
          <w:szCs w:val="22"/>
        </w:rPr>
        <w:t xml:space="preserve">The Raffia-swamps as sources or sinks of avifauna: a first approach to the problem. </w:t>
      </w:r>
      <w:r w:rsidRPr="003338D7">
        <w:rPr>
          <w:rFonts w:asciiTheme="majorHAnsi" w:hAnsiTheme="majorHAnsi"/>
          <w:i/>
          <w:iCs/>
          <w:noProof/>
          <w:szCs w:val="22"/>
          <w:lang w:val="es-ES"/>
        </w:rPr>
        <w:t>Revista de Biologia Tropical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61</w:t>
      </w:r>
      <w:r w:rsidRPr="003338D7">
        <w:rPr>
          <w:rFonts w:asciiTheme="majorHAnsi" w:hAnsiTheme="majorHAnsi"/>
          <w:noProof/>
          <w:szCs w:val="22"/>
          <w:lang w:val="es-ES"/>
        </w:rPr>
        <w:t xml:space="preserve">(supl. 1), 131–142. </w:t>
      </w:r>
      <w:hyperlink r:id="rId219" w:history="1">
        <w:r w:rsidRPr="003338D7">
          <w:rPr>
            <w:rStyle w:val="Hyperlink"/>
            <w:rFonts w:asciiTheme="majorHAnsi" w:hAnsiTheme="majorHAnsi"/>
            <w:noProof/>
            <w:szCs w:val="22"/>
            <w:lang w:val="es-ES"/>
          </w:rPr>
          <w:t>http://doi.org/10.15517/rbt.v61i1.23184</w:t>
        </w:r>
      </w:hyperlink>
    </w:p>
    <w:p w14:paraId="45E4BA1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Beninde, J., Veith, M., &amp; Hochkirch, A. (2015). </w:t>
      </w:r>
      <w:r w:rsidRPr="003338D7">
        <w:rPr>
          <w:rFonts w:asciiTheme="majorHAnsi" w:hAnsiTheme="majorHAnsi"/>
          <w:noProof/>
          <w:szCs w:val="22"/>
        </w:rPr>
        <w:t xml:space="preserve">Biodiversity in cities needs space: a meta-analysis of factors determining intra-urban biodiversity variation. </w:t>
      </w:r>
      <w:r w:rsidRPr="003338D7">
        <w:rPr>
          <w:rFonts w:asciiTheme="majorHAnsi" w:hAnsiTheme="majorHAnsi"/>
          <w:i/>
          <w:iCs/>
          <w:noProof/>
          <w:szCs w:val="22"/>
        </w:rPr>
        <w:t>Ecology Letters</w:t>
      </w:r>
      <w:r w:rsidRPr="003338D7">
        <w:rPr>
          <w:rFonts w:asciiTheme="majorHAnsi" w:hAnsiTheme="majorHAnsi"/>
          <w:noProof/>
          <w:szCs w:val="22"/>
        </w:rPr>
        <w:t xml:space="preserve">, </w:t>
      </w:r>
      <w:r w:rsidRPr="003338D7">
        <w:rPr>
          <w:rFonts w:asciiTheme="majorHAnsi" w:hAnsiTheme="majorHAnsi"/>
          <w:i/>
          <w:iCs/>
          <w:noProof/>
          <w:szCs w:val="22"/>
        </w:rPr>
        <w:t>18</w:t>
      </w:r>
      <w:r w:rsidRPr="003338D7">
        <w:rPr>
          <w:rFonts w:asciiTheme="majorHAnsi" w:hAnsiTheme="majorHAnsi"/>
          <w:noProof/>
          <w:szCs w:val="22"/>
        </w:rPr>
        <w:t xml:space="preserve">, 581–592. </w:t>
      </w:r>
      <w:hyperlink r:id="rId220" w:history="1">
        <w:r w:rsidRPr="003338D7">
          <w:rPr>
            <w:rStyle w:val="Hyperlink"/>
            <w:rFonts w:asciiTheme="majorHAnsi" w:hAnsiTheme="majorHAnsi"/>
            <w:noProof/>
            <w:szCs w:val="22"/>
          </w:rPr>
          <w:t>http://doi.org/10.1111/ele.12427</w:t>
        </w:r>
      </w:hyperlink>
    </w:p>
    <w:p w14:paraId="72C4A6C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Bennett, E., &amp; Thorpe, A. (2008). Review of river fisheries valuation in Central and South America. In A. Neiland &amp; C. Béné (Eds.), </w:t>
      </w:r>
      <w:r w:rsidRPr="003338D7">
        <w:rPr>
          <w:rFonts w:asciiTheme="majorHAnsi" w:hAnsiTheme="majorHAnsi"/>
          <w:i/>
          <w:iCs/>
          <w:noProof/>
          <w:szCs w:val="22"/>
        </w:rPr>
        <w:t>Tropical River Fisheries Valuation: Background Papers to a Global Synthesis</w:t>
      </w:r>
      <w:r w:rsidRPr="003338D7">
        <w:rPr>
          <w:rFonts w:asciiTheme="majorHAnsi" w:hAnsiTheme="majorHAnsi"/>
          <w:noProof/>
          <w:szCs w:val="22"/>
        </w:rPr>
        <w:t xml:space="preserve"> (pp. 3–44). Penang, Malaysia: The WorldFish Center Studies and Reviews.</w:t>
      </w:r>
    </w:p>
    <w:p w14:paraId="7D3EFBA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Benson, A. J. (2012). The Exotic Zebra Mussel. U.S. Fish and Wildlife Service. Retrieved from </w:t>
      </w:r>
      <w:hyperlink r:id="rId221" w:history="1">
        <w:r w:rsidRPr="003338D7">
          <w:rPr>
            <w:rStyle w:val="Hyperlink"/>
            <w:rFonts w:asciiTheme="majorHAnsi" w:hAnsiTheme="majorHAnsi"/>
            <w:noProof/>
            <w:szCs w:val="22"/>
          </w:rPr>
          <w:t>http://www.fws.gov/midwest/endangered/clams/zebra.html</w:t>
        </w:r>
      </w:hyperlink>
      <w:r w:rsidRPr="003338D7">
        <w:rPr>
          <w:rFonts w:asciiTheme="majorHAnsi" w:hAnsiTheme="majorHAnsi"/>
          <w:noProof/>
          <w:szCs w:val="22"/>
        </w:rPr>
        <w:t>.</w:t>
      </w:r>
    </w:p>
    <w:p w14:paraId="7448398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Benson, A. J., &amp; Boydstun, C. P. (1999). </w:t>
      </w:r>
      <w:r w:rsidRPr="003338D7">
        <w:rPr>
          <w:rFonts w:asciiTheme="majorHAnsi" w:hAnsiTheme="majorHAnsi"/>
          <w:noProof/>
          <w:szCs w:val="22"/>
        </w:rPr>
        <w:t xml:space="preserve">Documenting over a century of aquatic introductions in the United States. In R. Claudi &amp; J. H. Leach (Eds.), </w:t>
      </w:r>
      <w:r w:rsidRPr="003338D7">
        <w:rPr>
          <w:rFonts w:asciiTheme="majorHAnsi" w:hAnsiTheme="majorHAnsi"/>
          <w:i/>
          <w:iCs/>
          <w:noProof/>
          <w:szCs w:val="22"/>
        </w:rPr>
        <w:t>Nonindigenous Freshwater Organisms: Vectors, Biology, and Impacts</w:t>
      </w:r>
      <w:r w:rsidRPr="003338D7">
        <w:rPr>
          <w:rFonts w:asciiTheme="majorHAnsi" w:hAnsiTheme="majorHAnsi"/>
          <w:noProof/>
          <w:szCs w:val="22"/>
        </w:rPr>
        <w:t xml:space="preserve"> (pp. 1–31). Boca Raton, USA: Lewis Publishers.</w:t>
      </w:r>
    </w:p>
    <w:p w14:paraId="11D3315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Benson, A. J., Marelli, D. C., Frischer, M. E., Danforth, J. M., &amp; Williams, J. D. (2001). Establishment of the green mussel </w:t>
      </w:r>
      <w:r w:rsidRPr="003338D7">
        <w:rPr>
          <w:rFonts w:asciiTheme="majorHAnsi" w:hAnsiTheme="majorHAnsi"/>
          <w:i/>
          <w:iCs/>
          <w:noProof/>
          <w:szCs w:val="22"/>
        </w:rPr>
        <w:t>Perna viridis</w:t>
      </w:r>
      <w:r w:rsidRPr="003338D7">
        <w:rPr>
          <w:rFonts w:asciiTheme="majorHAnsi" w:hAnsiTheme="majorHAnsi"/>
          <w:noProof/>
          <w:szCs w:val="22"/>
        </w:rPr>
        <w:t xml:space="preserve"> (Linnaeus 1758), (Mollusca: Mytilidae) on the west coast of Florida. </w:t>
      </w:r>
      <w:r w:rsidRPr="003338D7">
        <w:rPr>
          <w:rFonts w:asciiTheme="majorHAnsi" w:hAnsiTheme="majorHAnsi"/>
          <w:i/>
          <w:iCs/>
          <w:noProof/>
          <w:szCs w:val="22"/>
        </w:rPr>
        <w:t>Journal of Shellfish Research</w:t>
      </w:r>
      <w:r w:rsidRPr="003338D7">
        <w:rPr>
          <w:rFonts w:asciiTheme="majorHAnsi" w:hAnsiTheme="majorHAnsi"/>
          <w:noProof/>
          <w:szCs w:val="22"/>
        </w:rPr>
        <w:t xml:space="preserve">, </w:t>
      </w:r>
      <w:r w:rsidRPr="003338D7">
        <w:rPr>
          <w:rFonts w:asciiTheme="majorHAnsi" w:hAnsiTheme="majorHAnsi"/>
          <w:i/>
          <w:iCs/>
          <w:noProof/>
          <w:szCs w:val="22"/>
        </w:rPr>
        <w:t>20</w:t>
      </w:r>
      <w:r w:rsidRPr="003338D7">
        <w:rPr>
          <w:rFonts w:asciiTheme="majorHAnsi" w:hAnsiTheme="majorHAnsi"/>
          <w:noProof/>
          <w:szCs w:val="22"/>
        </w:rPr>
        <w:t>(1), 21–29.</w:t>
      </w:r>
    </w:p>
    <w:p w14:paraId="6E183C2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Benson, J. F., Mahoney, P. J., Sikich, J. A., Serieys, L. E. K., Pollinger, J. P., Ernest, H. B., &amp; Riley, S. P. (2016). Interactions between demography, genetics, and landscape connectivity increase extinction probability for a small population of large carnivores in a major metropolitan area. </w:t>
      </w:r>
      <w:r w:rsidRPr="003338D7">
        <w:rPr>
          <w:rFonts w:asciiTheme="majorHAnsi" w:hAnsiTheme="majorHAnsi"/>
          <w:i/>
          <w:iCs/>
          <w:noProof/>
          <w:szCs w:val="22"/>
        </w:rPr>
        <w:t>Proceedings of the Royal Society B: Biological Sciences</w:t>
      </w:r>
      <w:r w:rsidRPr="003338D7">
        <w:rPr>
          <w:rFonts w:asciiTheme="majorHAnsi" w:hAnsiTheme="majorHAnsi"/>
          <w:noProof/>
          <w:szCs w:val="22"/>
        </w:rPr>
        <w:t xml:space="preserve">, </w:t>
      </w:r>
      <w:r w:rsidRPr="003338D7">
        <w:rPr>
          <w:rFonts w:asciiTheme="majorHAnsi" w:hAnsiTheme="majorHAnsi"/>
          <w:i/>
          <w:iCs/>
          <w:noProof/>
          <w:szCs w:val="22"/>
        </w:rPr>
        <w:t>283</w:t>
      </w:r>
      <w:r w:rsidRPr="003338D7">
        <w:rPr>
          <w:rFonts w:asciiTheme="majorHAnsi" w:hAnsiTheme="majorHAnsi"/>
          <w:noProof/>
          <w:szCs w:val="22"/>
        </w:rPr>
        <w:t xml:space="preserve">(1837), 20160957. </w:t>
      </w:r>
      <w:hyperlink r:id="rId222" w:history="1">
        <w:r w:rsidRPr="003338D7">
          <w:rPr>
            <w:rStyle w:val="Hyperlink"/>
            <w:rFonts w:asciiTheme="majorHAnsi" w:hAnsiTheme="majorHAnsi"/>
            <w:noProof/>
            <w:szCs w:val="22"/>
          </w:rPr>
          <w:t>http://doi.org/10.1098/rspb.2016.0957</w:t>
        </w:r>
      </w:hyperlink>
    </w:p>
    <w:p w14:paraId="32C89FC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Berkes, F. (2008). </w:t>
      </w:r>
      <w:r w:rsidRPr="003338D7">
        <w:rPr>
          <w:rFonts w:asciiTheme="majorHAnsi" w:hAnsiTheme="majorHAnsi"/>
          <w:i/>
          <w:iCs/>
          <w:noProof/>
          <w:szCs w:val="22"/>
        </w:rPr>
        <w:t>Sacred Ecology</w:t>
      </w:r>
      <w:r w:rsidRPr="003338D7">
        <w:rPr>
          <w:rFonts w:asciiTheme="majorHAnsi" w:hAnsiTheme="majorHAnsi"/>
          <w:noProof/>
          <w:szCs w:val="22"/>
        </w:rPr>
        <w:t>. New York, USA: Routledge.</w:t>
      </w:r>
    </w:p>
    <w:p w14:paraId="55A74A3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Berkes, F., &amp; Jolly, D. (2002). Adapting to climate change: Social-ecological resilience in a Canadian western arctic community. </w:t>
      </w:r>
      <w:r w:rsidRPr="003338D7">
        <w:rPr>
          <w:rFonts w:asciiTheme="majorHAnsi" w:hAnsiTheme="majorHAnsi"/>
          <w:i/>
          <w:iCs/>
          <w:noProof/>
          <w:szCs w:val="22"/>
        </w:rPr>
        <w:t>Conservation Ecology</w:t>
      </w:r>
      <w:r w:rsidRPr="003338D7">
        <w:rPr>
          <w:rFonts w:asciiTheme="majorHAnsi" w:hAnsiTheme="majorHAnsi"/>
          <w:noProof/>
          <w:szCs w:val="22"/>
        </w:rPr>
        <w:t xml:space="preserve">, </w:t>
      </w:r>
      <w:r w:rsidRPr="003338D7">
        <w:rPr>
          <w:rFonts w:asciiTheme="majorHAnsi" w:hAnsiTheme="majorHAnsi"/>
          <w:i/>
          <w:iCs/>
          <w:noProof/>
          <w:szCs w:val="22"/>
        </w:rPr>
        <w:t>5</w:t>
      </w:r>
      <w:r w:rsidRPr="003338D7">
        <w:rPr>
          <w:rFonts w:asciiTheme="majorHAnsi" w:hAnsiTheme="majorHAnsi"/>
          <w:noProof/>
          <w:szCs w:val="22"/>
        </w:rPr>
        <w:t xml:space="preserve">(2), 18. Retrieved from </w:t>
      </w:r>
      <w:hyperlink r:id="rId223" w:history="1">
        <w:r w:rsidRPr="003338D7">
          <w:rPr>
            <w:rStyle w:val="Hyperlink"/>
            <w:rFonts w:asciiTheme="majorHAnsi" w:hAnsiTheme="majorHAnsi"/>
            <w:noProof/>
            <w:szCs w:val="22"/>
          </w:rPr>
          <w:t>http://www.consecol.org/vol5/iss2/art18/</w:t>
        </w:r>
      </w:hyperlink>
    </w:p>
    <w:p w14:paraId="0DD742E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Berthrong, S. T., Piñeiro, G., Jobbágy, E. G., &amp; Jackson, R. B. (2012). Soil C and N changes with afforestation of grasslands across gradients of precipitation and plantation age. </w:t>
      </w:r>
      <w:r w:rsidRPr="003338D7">
        <w:rPr>
          <w:rFonts w:asciiTheme="majorHAnsi" w:hAnsiTheme="majorHAnsi"/>
          <w:i/>
          <w:iCs/>
          <w:noProof/>
          <w:szCs w:val="22"/>
        </w:rPr>
        <w:t>Ecological Applications</w:t>
      </w:r>
      <w:r w:rsidRPr="003338D7">
        <w:rPr>
          <w:rFonts w:asciiTheme="majorHAnsi" w:hAnsiTheme="majorHAnsi"/>
          <w:noProof/>
          <w:szCs w:val="22"/>
        </w:rPr>
        <w:t xml:space="preserve">, </w:t>
      </w:r>
      <w:r w:rsidRPr="003338D7">
        <w:rPr>
          <w:rFonts w:asciiTheme="majorHAnsi" w:hAnsiTheme="majorHAnsi"/>
          <w:i/>
          <w:iCs/>
          <w:noProof/>
          <w:szCs w:val="22"/>
        </w:rPr>
        <w:t>22</w:t>
      </w:r>
      <w:r w:rsidRPr="003338D7">
        <w:rPr>
          <w:rFonts w:asciiTheme="majorHAnsi" w:hAnsiTheme="majorHAnsi"/>
          <w:noProof/>
          <w:szCs w:val="22"/>
        </w:rPr>
        <w:t xml:space="preserve">(1), 76–86. </w:t>
      </w:r>
      <w:hyperlink r:id="rId224" w:history="1">
        <w:r w:rsidRPr="003338D7">
          <w:rPr>
            <w:rStyle w:val="Hyperlink"/>
            <w:rFonts w:asciiTheme="majorHAnsi" w:hAnsiTheme="majorHAnsi"/>
            <w:noProof/>
            <w:szCs w:val="22"/>
          </w:rPr>
          <w:t>http://doi.org/10.1890/10-2210.1</w:t>
        </w:r>
      </w:hyperlink>
    </w:p>
    <w:p w14:paraId="162D60D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Bertolin, M. L., Urretavizcaya, M. F., &amp; Defosse, G. E. (2015). Fire emissions and carbon uptake in severely burned lenga beech (Nothofagus pumilio) forests of Patagonia, Argentina. </w:t>
      </w:r>
      <w:r w:rsidRPr="003338D7">
        <w:rPr>
          <w:rFonts w:asciiTheme="majorHAnsi" w:hAnsiTheme="majorHAnsi"/>
          <w:i/>
          <w:iCs/>
          <w:noProof/>
          <w:szCs w:val="22"/>
        </w:rPr>
        <w:t>Fire Ecology</w:t>
      </w:r>
      <w:r w:rsidRPr="003338D7">
        <w:rPr>
          <w:rFonts w:asciiTheme="majorHAnsi" w:hAnsiTheme="majorHAnsi"/>
          <w:noProof/>
          <w:szCs w:val="22"/>
        </w:rPr>
        <w:t xml:space="preserve">, </w:t>
      </w:r>
      <w:r w:rsidRPr="003338D7">
        <w:rPr>
          <w:rFonts w:asciiTheme="majorHAnsi" w:hAnsiTheme="majorHAnsi"/>
          <w:i/>
          <w:iCs/>
          <w:noProof/>
          <w:szCs w:val="22"/>
        </w:rPr>
        <w:t>11</w:t>
      </w:r>
      <w:r w:rsidRPr="003338D7">
        <w:rPr>
          <w:rFonts w:asciiTheme="majorHAnsi" w:hAnsiTheme="majorHAnsi"/>
          <w:noProof/>
          <w:szCs w:val="22"/>
        </w:rPr>
        <w:t xml:space="preserve">(1), 32–54. </w:t>
      </w:r>
      <w:hyperlink r:id="rId225" w:history="1">
        <w:r w:rsidRPr="003338D7">
          <w:rPr>
            <w:rStyle w:val="Hyperlink"/>
            <w:rFonts w:asciiTheme="majorHAnsi" w:hAnsiTheme="majorHAnsi"/>
            <w:noProof/>
            <w:szCs w:val="22"/>
          </w:rPr>
          <w:t>http://doi.org/10.4996/fireecology.1101032</w:t>
        </w:r>
      </w:hyperlink>
    </w:p>
    <w:p w14:paraId="65EA082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Beuchle, R., Grecchi, R. C., Shimabukuro, Y. E., Seliger, R., Eva, H. D., Sano, E., &amp; Achard, F. (2015). Land cover changes in the Brazilian Cerrado and Caatinga biomes from 1990 to 2010 based on a systematic remote sensing sampling approach. </w:t>
      </w:r>
      <w:r w:rsidRPr="003338D7">
        <w:rPr>
          <w:rFonts w:asciiTheme="majorHAnsi" w:hAnsiTheme="majorHAnsi"/>
          <w:i/>
          <w:iCs/>
          <w:noProof/>
          <w:szCs w:val="22"/>
        </w:rPr>
        <w:t>Applied Geography</w:t>
      </w:r>
      <w:r w:rsidRPr="003338D7">
        <w:rPr>
          <w:rFonts w:asciiTheme="majorHAnsi" w:hAnsiTheme="majorHAnsi"/>
          <w:noProof/>
          <w:szCs w:val="22"/>
        </w:rPr>
        <w:t xml:space="preserve">, </w:t>
      </w:r>
      <w:r w:rsidRPr="003338D7">
        <w:rPr>
          <w:rFonts w:asciiTheme="majorHAnsi" w:hAnsiTheme="majorHAnsi"/>
          <w:i/>
          <w:iCs/>
          <w:noProof/>
          <w:szCs w:val="22"/>
        </w:rPr>
        <w:t>58</w:t>
      </w:r>
      <w:r w:rsidRPr="003338D7">
        <w:rPr>
          <w:rFonts w:asciiTheme="majorHAnsi" w:hAnsiTheme="majorHAnsi"/>
          <w:noProof/>
          <w:szCs w:val="22"/>
        </w:rPr>
        <w:t xml:space="preserve">, 116–127. </w:t>
      </w:r>
      <w:hyperlink r:id="rId226" w:history="1">
        <w:r w:rsidRPr="003338D7">
          <w:rPr>
            <w:rStyle w:val="Hyperlink"/>
            <w:rFonts w:asciiTheme="majorHAnsi" w:hAnsiTheme="majorHAnsi"/>
            <w:noProof/>
            <w:szCs w:val="22"/>
          </w:rPr>
          <w:t>http://doi.org/10.1016/j.apgeog.2015.01.017</w:t>
        </w:r>
      </w:hyperlink>
    </w:p>
    <w:p w14:paraId="5E47A26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Bhatt, U. S., Walker, D. A., Raynolds, M. K., Comiso, J. C., Epstein, H. E., Jia, G., Gens, R., Pinzon, J. E., Tucker, C. J., Tweedie, C. E., &amp; Webber, P. J. (2010). Circumpolar Arctic tundra vegetation change is linked to sea ice decline. </w:t>
      </w:r>
      <w:r w:rsidRPr="003338D7">
        <w:rPr>
          <w:rFonts w:asciiTheme="majorHAnsi" w:hAnsiTheme="majorHAnsi"/>
          <w:i/>
          <w:iCs/>
          <w:noProof/>
          <w:szCs w:val="22"/>
          <w:lang w:val="es-ES"/>
        </w:rPr>
        <w:t>Earth Interactions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14</w:t>
      </w:r>
      <w:r w:rsidRPr="003338D7">
        <w:rPr>
          <w:rFonts w:asciiTheme="majorHAnsi" w:hAnsiTheme="majorHAnsi"/>
          <w:noProof/>
          <w:szCs w:val="22"/>
          <w:lang w:val="es-ES"/>
        </w:rPr>
        <w:t xml:space="preserve">(8), 1–20. </w:t>
      </w:r>
      <w:hyperlink r:id="rId227" w:history="1">
        <w:r w:rsidRPr="003338D7">
          <w:rPr>
            <w:rStyle w:val="Hyperlink"/>
            <w:rFonts w:asciiTheme="majorHAnsi" w:hAnsiTheme="majorHAnsi"/>
            <w:noProof/>
            <w:szCs w:val="22"/>
            <w:lang w:val="es-ES"/>
          </w:rPr>
          <w:t>https://doi.org/10.1175/2010EI315.1</w:t>
        </w:r>
      </w:hyperlink>
    </w:p>
    <w:p w14:paraId="7D2E01E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Bianchi, C. A., &amp; Haig, S. M. (2013). Deforestation trends of tropical dry forests in Central Brazil. </w:t>
      </w:r>
      <w:r w:rsidRPr="003338D7">
        <w:rPr>
          <w:rFonts w:asciiTheme="majorHAnsi" w:hAnsiTheme="majorHAnsi"/>
          <w:i/>
          <w:iCs/>
          <w:noProof/>
          <w:szCs w:val="22"/>
          <w:lang w:val="es-ES"/>
        </w:rPr>
        <w:t>Biotropica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45</w:t>
      </w:r>
      <w:r w:rsidRPr="003338D7">
        <w:rPr>
          <w:rFonts w:asciiTheme="majorHAnsi" w:hAnsiTheme="majorHAnsi"/>
          <w:noProof/>
          <w:szCs w:val="22"/>
          <w:lang w:val="es-ES"/>
        </w:rPr>
        <w:t xml:space="preserve">(3), 395–400. </w:t>
      </w:r>
      <w:hyperlink r:id="rId228" w:history="1">
        <w:r w:rsidRPr="003338D7">
          <w:rPr>
            <w:rStyle w:val="Hyperlink"/>
            <w:rFonts w:asciiTheme="majorHAnsi" w:hAnsiTheme="majorHAnsi"/>
            <w:noProof/>
            <w:szCs w:val="22"/>
            <w:lang w:val="es-ES"/>
          </w:rPr>
          <w:t>http://doi.org/10.1111/btp.12010</w:t>
        </w:r>
      </w:hyperlink>
    </w:p>
    <w:p w14:paraId="690C463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Bilenca, D., &amp; Miñarro, F. (2004). </w:t>
      </w:r>
      <w:r w:rsidRPr="003338D7">
        <w:rPr>
          <w:rFonts w:asciiTheme="majorHAnsi" w:hAnsiTheme="majorHAnsi"/>
          <w:i/>
          <w:iCs/>
          <w:noProof/>
          <w:szCs w:val="22"/>
          <w:lang w:val="es-ES"/>
        </w:rPr>
        <w:t>Identificación de Áreas Valiosas de Pastizal (AVPs) en las Pampas y Campos de Argentina, Uruguay y Sur de Brazil</w:t>
      </w:r>
      <w:r w:rsidRPr="003338D7">
        <w:rPr>
          <w:rFonts w:asciiTheme="majorHAnsi" w:hAnsiTheme="majorHAnsi"/>
          <w:noProof/>
          <w:szCs w:val="22"/>
          <w:lang w:val="es-ES"/>
        </w:rPr>
        <w:t>. Buenos Aires, Argentina: Fundación Vida Silvestre.</w:t>
      </w:r>
    </w:p>
    <w:p w14:paraId="16EDE46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BirdLife International. (2015). DataZone. Retrieved from </w:t>
      </w:r>
      <w:hyperlink r:id="rId229" w:history="1">
        <w:r w:rsidRPr="003338D7">
          <w:rPr>
            <w:rStyle w:val="Hyperlink"/>
            <w:rFonts w:asciiTheme="majorHAnsi" w:hAnsiTheme="majorHAnsi"/>
            <w:noProof/>
            <w:szCs w:val="22"/>
            <w:lang w:val="es-ES"/>
          </w:rPr>
          <w:t>http://www.birdlife.org/datazone/site/search</w:t>
        </w:r>
      </w:hyperlink>
    </w:p>
    <w:p w14:paraId="3F60F18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BirdLife International, &amp; NatureServe. </w:t>
      </w:r>
      <w:r w:rsidRPr="003338D7">
        <w:rPr>
          <w:rFonts w:asciiTheme="majorHAnsi" w:hAnsiTheme="majorHAnsi"/>
          <w:noProof/>
          <w:szCs w:val="22"/>
        </w:rPr>
        <w:t>(2012). Bird species distribution maps of the world. Version 2.0. Cambridge, UK and Arlington, USA.</w:t>
      </w:r>
    </w:p>
    <w:p w14:paraId="051EB04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Birx-Raybuck, D. A., Price, S. J., &amp; Dorcas, M. E. (2010). Pond age and riparian zone proximity influence anuran occupancy of urban retention ponds. </w:t>
      </w:r>
      <w:r w:rsidRPr="003338D7">
        <w:rPr>
          <w:rFonts w:asciiTheme="majorHAnsi" w:hAnsiTheme="majorHAnsi"/>
          <w:i/>
          <w:iCs/>
          <w:noProof/>
          <w:szCs w:val="22"/>
        </w:rPr>
        <w:t>Urban Ecosystems</w:t>
      </w:r>
      <w:r w:rsidRPr="003338D7">
        <w:rPr>
          <w:rFonts w:asciiTheme="majorHAnsi" w:hAnsiTheme="majorHAnsi"/>
          <w:noProof/>
          <w:szCs w:val="22"/>
        </w:rPr>
        <w:t xml:space="preserve">, </w:t>
      </w:r>
      <w:r w:rsidRPr="003338D7">
        <w:rPr>
          <w:rFonts w:asciiTheme="majorHAnsi" w:hAnsiTheme="majorHAnsi"/>
          <w:i/>
          <w:iCs/>
          <w:noProof/>
          <w:szCs w:val="22"/>
        </w:rPr>
        <w:t>13</w:t>
      </w:r>
      <w:r w:rsidRPr="003338D7">
        <w:rPr>
          <w:rFonts w:asciiTheme="majorHAnsi" w:hAnsiTheme="majorHAnsi"/>
          <w:noProof/>
          <w:szCs w:val="22"/>
        </w:rPr>
        <w:t xml:space="preserve">(2), 181–190. </w:t>
      </w:r>
      <w:hyperlink r:id="rId230" w:history="1">
        <w:r w:rsidRPr="003338D7">
          <w:rPr>
            <w:rStyle w:val="Hyperlink"/>
            <w:rFonts w:asciiTheme="majorHAnsi" w:hAnsiTheme="majorHAnsi"/>
            <w:noProof/>
            <w:szCs w:val="22"/>
          </w:rPr>
          <w:t>http://doi.org/10.1007/s11252-009-0116-9</w:t>
        </w:r>
      </w:hyperlink>
    </w:p>
    <w:p w14:paraId="055D13F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Blair, R. B., &amp; Launer, A. E. (1997). Butterfly diversity and human land use: Species assemblages along an urban gradient.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80</w:t>
      </w:r>
      <w:r w:rsidRPr="003338D7">
        <w:rPr>
          <w:rFonts w:asciiTheme="majorHAnsi" w:hAnsiTheme="majorHAnsi"/>
          <w:noProof/>
          <w:szCs w:val="22"/>
        </w:rPr>
        <w:t xml:space="preserve">(1), 113–125. </w:t>
      </w:r>
      <w:hyperlink r:id="rId231" w:history="1">
        <w:r w:rsidRPr="003338D7">
          <w:rPr>
            <w:rStyle w:val="Hyperlink"/>
            <w:rFonts w:asciiTheme="majorHAnsi" w:hAnsiTheme="majorHAnsi"/>
            <w:noProof/>
            <w:szCs w:val="22"/>
          </w:rPr>
          <w:t>http://doi.org/10.1016/S0006-3207(96)00056-0</w:t>
        </w:r>
      </w:hyperlink>
    </w:p>
    <w:p w14:paraId="5ED2EC5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pt-BR"/>
        </w:rPr>
      </w:pPr>
      <w:r w:rsidRPr="003338D7">
        <w:rPr>
          <w:rFonts w:asciiTheme="majorHAnsi" w:hAnsiTheme="majorHAnsi"/>
          <w:noProof/>
          <w:szCs w:val="22"/>
        </w:rPr>
        <w:t xml:space="preserve">Bogan, A. E. (2008). Global diversity of freshwater mussels (Mollusca, Bivalvia) in freshwater. </w:t>
      </w:r>
      <w:r w:rsidRPr="003338D7">
        <w:rPr>
          <w:rFonts w:asciiTheme="majorHAnsi" w:hAnsiTheme="majorHAnsi"/>
          <w:i/>
          <w:iCs/>
          <w:noProof/>
          <w:szCs w:val="22"/>
          <w:lang w:val="pt-BR"/>
        </w:rPr>
        <w:t>Hydrobiologia</w:t>
      </w:r>
      <w:r w:rsidRPr="003338D7">
        <w:rPr>
          <w:rFonts w:asciiTheme="majorHAnsi" w:hAnsiTheme="majorHAnsi"/>
          <w:noProof/>
          <w:szCs w:val="22"/>
          <w:lang w:val="pt-BR"/>
        </w:rPr>
        <w:t xml:space="preserve">, </w:t>
      </w:r>
      <w:r w:rsidRPr="003338D7">
        <w:rPr>
          <w:rFonts w:asciiTheme="majorHAnsi" w:hAnsiTheme="majorHAnsi"/>
          <w:i/>
          <w:iCs/>
          <w:noProof/>
          <w:szCs w:val="22"/>
          <w:lang w:val="pt-BR"/>
        </w:rPr>
        <w:t>595</w:t>
      </w:r>
      <w:r w:rsidRPr="003338D7">
        <w:rPr>
          <w:rFonts w:asciiTheme="majorHAnsi" w:hAnsiTheme="majorHAnsi"/>
          <w:noProof/>
          <w:szCs w:val="22"/>
          <w:lang w:val="pt-BR"/>
        </w:rPr>
        <w:t xml:space="preserve">(1), 139–147. </w:t>
      </w:r>
      <w:hyperlink r:id="rId232" w:history="1">
        <w:r w:rsidRPr="003338D7">
          <w:rPr>
            <w:rStyle w:val="Hyperlink"/>
            <w:rFonts w:asciiTheme="majorHAnsi" w:hAnsiTheme="majorHAnsi"/>
            <w:noProof/>
            <w:szCs w:val="22"/>
            <w:lang w:val="pt-BR"/>
          </w:rPr>
          <w:t>http://doi.org/10.1007/s10750-007-9011-7</w:t>
        </w:r>
      </w:hyperlink>
    </w:p>
    <w:p w14:paraId="5CC11BF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pt-BR"/>
        </w:rPr>
        <w:t xml:space="preserve">Bonilla-Murillo, F., Beneyto, D., &amp; Sasa, M. (2013). </w:t>
      </w:r>
      <w:r w:rsidRPr="003338D7">
        <w:rPr>
          <w:rFonts w:asciiTheme="majorHAnsi" w:hAnsiTheme="majorHAnsi"/>
          <w:noProof/>
          <w:szCs w:val="22"/>
        </w:rPr>
        <w:t xml:space="preserve">Amphibians and reptiles in the swamps dominated by the palm </w:t>
      </w:r>
      <w:r w:rsidRPr="003338D7">
        <w:rPr>
          <w:rFonts w:asciiTheme="majorHAnsi" w:hAnsiTheme="majorHAnsi"/>
          <w:i/>
          <w:noProof/>
          <w:szCs w:val="22"/>
        </w:rPr>
        <w:t>Raphia taedigera</w:t>
      </w:r>
      <w:r w:rsidRPr="003338D7">
        <w:rPr>
          <w:rFonts w:asciiTheme="majorHAnsi" w:hAnsiTheme="majorHAnsi"/>
          <w:noProof/>
          <w:szCs w:val="22"/>
        </w:rPr>
        <w:t xml:space="preserve"> (Arecaceae) in northeastern Costa Rica. </w:t>
      </w:r>
      <w:r w:rsidRPr="003338D7">
        <w:rPr>
          <w:rFonts w:asciiTheme="majorHAnsi" w:hAnsiTheme="majorHAnsi"/>
          <w:i/>
          <w:iCs/>
          <w:noProof/>
          <w:szCs w:val="22"/>
          <w:lang w:val="es-ES"/>
        </w:rPr>
        <w:t>Revista de Biologia Tropical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61</w:t>
      </w:r>
      <w:r w:rsidRPr="003338D7">
        <w:rPr>
          <w:rFonts w:asciiTheme="majorHAnsi" w:hAnsiTheme="majorHAnsi"/>
          <w:noProof/>
          <w:szCs w:val="22"/>
          <w:lang w:val="es-ES"/>
        </w:rPr>
        <w:t xml:space="preserve">(Suppl. 1), 143–161. </w:t>
      </w:r>
      <w:hyperlink r:id="rId233" w:history="1">
        <w:r w:rsidRPr="003338D7">
          <w:rPr>
            <w:rStyle w:val="Hyperlink"/>
            <w:rFonts w:asciiTheme="majorHAnsi" w:hAnsiTheme="majorHAnsi"/>
            <w:noProof/>
            <w:szCs w:val="22"/>
            <w:lang w:val="es-ES"/>
          </w:rPr>
          <w:t>http://doi.org/10.15517/rbt.v61i1.23185</w:t>
        </w:r>
      </w:hyperlink>
    </w:p>
    <w:p w14:paraId="7759ED0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de-DE"/>
        </w:rPr>
        <w:t xml:space="preserve">Bonoff, M. B., &amp; Janzen, D. H. (1980). </w:t>
      </w:r>
      <w:r w:rsidRPr="003338D7">
        <w:rPr>
          <w:rFonts w:asciiTheme="majorHAnsi" w:hAnsiTheme="majorHAnsi"/>
          <w:noProof/>
          <w:szCs w:val="22"/>
        </w:rPr>
        <w:t xml:space="preserve">Small terrestrial rodents in eleven habitats in Santa Rosa National Park. </w:t>
      </w:r>
      <w:r w:rsidRPr="003338D7">
        <w:rPr>
          <w:rFonts w:asciiTheme="majorHAnsi" w:hAnsiTheme="majorHAnsi"/>
          <w:noProof/>
          <w:szCs w:val="22"/>
          <w:lang w:val="es-ES"/>
        </w:rPr>
        <w:t xml:space="preserve">Costa Rica. </w:t>
      </w:r>
      <w:r w:rsidRPr="003338D7">
        <w:rPr>
          <w:rFonts w:asciiTheme="majorHAnsi" w:hAnsiTheme="majorHAnsi"/>
          <w:i/>
          <w:iCs/>
          <w:noProof/>
          <w:szCs w:val="22"/>
          <w:lang w:val="es-ES"/>
        </w:rPr>
        <w:t>Brenesia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17</w:t>
      </w:r>
      <w:r w:rsidRPr="003338D7">
        <w:rPr>
          <w:rFonts w:asciiTheme="majorHAnsi" w:hAnsiTheme="majorHAnsi"/>
          <w:noProof/>
          <w:szCs w:val="22"/>
          <w:lang w:val="es-ES"/>
        </w:rPr>
        <w:t>, 163–174.</w:t>
      </w:r>
    </w:p>
    <w:p w14:paraId="4FE7F94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Borgnia, M., Vila, B. L., &amp; Cassini, M. H. (2008). </w:t>
      </w:r>
      <w:r w:rsidRPr="003338D7">
        <w:rPr>
          <w:rFonts w:asciiTheme="majorHAnsi" w:hAnsiTheme="majorHAnsi"/>
          <w:noProof/>
          <w:szCs w:val="22"/>
        </w:rPr>
        <w:t xml:space="preserve">Interaction between wild camelids and livestock in an Andean semi-desert. </w:t>
      </w:r>
      <w:r w:rsidRPr="003338D7">
        <w:rPr>
          <w:rFonts w:asciiTheme="majorHAnsi" w:hAnsiTheme="majorHAnsi"/>
          <w:i/>
          <w:iCs/>
          <w:noProof/>
          <w:szCs w:val="22"/>
        </w:rPr>
        <w:t>Journal of Arid Environments</w:t>
      </w:r>
      <w:r w:rsidRPr="003338D7">
        <w:rPr>
          <w:rFonts w:asciiTheme="majorHAnsi" w:hAnsiTheme="majorHAnsi"/>
          <w:noProof/>
          <w:szCs w:val="22"/>
        </w:rPr>
        <w:t xml:space="preserve">, </w:t>
      </w:r>
      <w:r w:rsidRPr="003338D7">
        <w:rPr>
          <w:rFonts w:asciiTheme="majorHAnsi" w:hAnsiTheme="majorHAnsi"/>
          <w:i/>
          <w:iCs/>
          <w:noProof/>
          <w:szCs w:val="22"/>
        </w:rPr>
        <w:t>72</w:t>
      </w:r>
      <w:r w:rsidRPr="003338D7">
        <w:rPr>
          <w:rFonts w:asciiTheme="majorHAnsi" w:hAnsiTheme="majorHAnsi"/>
          <w:noProof/>
          <w:szCs w:val="22"/>
        </w:rPr>
        <w:t xml:space="preserve">(12), 2150–2158. </w:t>
      </w:r>
      <w:hyperlink r:id="rId234" w:history="1">
        <w:r w:rsidRPr="003338D7">
          <w:rPr>
            <w:rStyle w:val="Hyperlink"/>
            <w:rFonts w:asciiTheme="majorHAnsi" w:hAnsiTheme="majorHAnsi"/>
            <w:noProof/>
            <w:szCs w:val="22"/>
          </w:rPr>
          <w:t>http://doi.org/10.1016/j.jaridenv.2008.07.012</w:t>
        </w:r>
      </w:hyperlink>
    </w:p>
    <w:p w14:paraId="1152952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Bortolus, A., Schwindt, E., Bouza, P. J., &amp; Idaszkin, Y. L. (2009). A characterization of Patagonian salt marshes. </w:t>
      </w:r>
      <w:r w:rsidRPr="003338D7">
        <w:rPr>
          <w:rFonts w:asciiTheme="majorHAnsi" w:hAnsiTheme="majorHAnsi"/>
          <w:i/>
          <w:iCs/>
          <w:noProof/>
          <w:szCs w:val="22"/>
        </w:rPr>
        <w:t>Wetlands</w:t>
      </w:r>
      <w:r w:rsidRPr="003338D7">
        <w:rPr>
          <w:rFonts w:asciiTheme="majorHAnsi" w:hAnsiTheme="majorHAnsi"/>
          <w:noProof/>
          <w:szCs w:val="22"/>
        </w:rPr>
        <w:t xml:space="preserve">, </w:t>
      </w:r>
      <w:r w:rsidRPr="003338D7">
        <w:rPr>
          <w:rFonts w:asciiTheme="majorHAnsi" w:hAnsiTheme="majorHAnsi"/>
          <w:i/>
          <w:iCs/>
          <w:noProof/>
          <w:szCs w:val="22"/>
        </w:rPr>
        <w:t>29</w:t>
      </w:r>
      <w:r w:rsidRPr="003338D7">
        <w:rPr>
          <w:rFonts w:asciiTheme="majorHAnsi" w:hAnsiTheme="majorHAnsi"/>
          <w:noProof/>
          <w:szCs w:val="22"/>
        </w:rPr>
        <w:t xml:space="preserve">(2), 772–780. </w:t>
      </w:r>
      <w:hyperlink r:id="rId235" w:history="1">
        <w:r w:rsidRPr="003338D7">
          <w:rPr>
            <w:rStyle w:val="Hyperlink"/>
            <w:rFonts w:asciiTheme="majorHAnsi" w:hAnsiTheme="majorHAnsi"/>
            <w:noProof/>
            <w:szCs w:val="22"/>
          </w:rPr>
          <w:t>http://doi.org/10.1672/07-195.1</w:t>
        </w:r>
      </w:hyperlink>
    </w:p>
    <w:p w14:paraId="282FA3E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Bosch, J. M., &amp; Hewlett, J. D. (1982). A review of catchment experiments to determine the effect of vegetation changes on water yield and evapotranspiration. </w:t>
      </w:r>
      <w:r w:rsidRPr="003338D7">
        <w:rPr>
          <w:rFonts w:asciiTheme="majorHAnsi" w:hAnsiTheme="majorHAnsi"/>
          <w:i/>
          <w:iCs/>
          <w:noProof/>
          <w:szCs w:val="22"/>
        </w:rPr>
        <w:t>Journal of Hydrology</w:t>
      </w:r>
      <w:r w:rsidRPr="003338D7">
        <w:rPr>
          <w:rFonts w:asciiTheme="majorHAnsi" w:hAnsiTheme="majorHAnsi"/>
          <w:noProof/>
          <w:szCs w:val="22"/>
        </w:rPr>
        <w:t xml:space="preserve">, </w:t>
      </w:r>
      <w:r w:rsidRPr="003338D7">
        <w:rPr>
          <w:rFonts w:asciiTheme="majorHAnsi" w:hAnsiTheme="majorHAnsi"/>
          <w:i/>
          <w:iCs/>
          <w:noProof/>
          <w:szCs w:val="22"/>
        </w:rPr>
        <w:t>55</w:t>
      </w:r>
      <w:r w:rsidRPr="003338D7">
        <w:rPr>
          <w:rFonts w:asciiTheme="majorHAnsi" w:hAnsiTheme="majorHAnsi"/>
          <w:noProof/>
          <w:szCs w:val="22"/>
        </w:rPr>
        <w:t xml:space="preserve">(1–4), 3–23. </w:t>
      </w:r>
      <w:hyperlink r:id="rId236" w:history="1">
        <w:r w:rsidRPr="003338D7">
          <w:rPr>
            <w:rStyle w:val="Hyperlink"/>
            <w:rFonts w:asciiTheme="majorHAnsi" w:hAnsiTheme="majorHAnsi"/>
            <w:noProof/>
            <w:szCs w:val="22"/>
          </w:rPr>
          <w:t>http://doi.org/10.1016/0022-1694(82)90117-2</w:t>
        </w:r>
      </w:hyperlink>
    </w:p>
    <w:p w14:paraId="46B0708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Bouchenak-Khelladi, Y., Muasya, A. M., &amp; Linder, H. P. (2014). A revised evolutionary history of Poales: origins and diversification. </w:t>
      </w:r>
      <w:r w:rsidRPr="003338D7">
        <w:rPr>
          <w:rFonts w:asciiTheme="majorHAnsi" w:hAnsiTheme="majorHAnsi"/>
          <w:i/>
          <w:iCs/>
          <w:noProof/>
          <w:szCs w:val="22"/>
        </w:rPr>
        <w:t>Botanical Journal of the Linnean Society</w:t>
      </w:r>
      <w:r w:rsidRPr="003338D7">
        <w:rPr>
          <w:rFonts w:asciiTheme="majorHAnsi" w:hAnsiTheme="majorHAnsi"/>
          <w:noProof/>
          <w:szCs w:val="22"/>
        </w:rPr>
        <w:t xml:space="preserve">, </w:t>
      </w:r>
      <w:r w:rsidRPr="003338D7">
        <w:rPr>
          <w:rFonts w:asciiTheme="majorHAnsi" w:hAnsiTheme="majorHAnsi"/>
          <w:i/>
          <w:iCs/>
          <w:noProof/>
          <w:szCs w:val="22"/>
        </w:rPr>
        <w:t>175</w:t>
      </w:r>
      <w:r w:rsidRPr="003338D7">
        <w:rPr>
          <w:rFonts w:asciiTheme="majorHAnsi" w:hAnsiTheme="majorHAnsi"/>
          <w:noProof/>
          <w:szCs w:val="22"/>
        </w:rPr>
        <w:t xml:space="preserve">(1), 4–16. </w:t>
      </w:r>
      <w:hyperlink r:id="rId237" w:history="1">
        <w:r w:rsidRPr="003338D7">
          <w:rPr>
            <w:rStyle w:val="Hyperlink"/>
            <w:rFonts w:asciiTheme="majorHAnsi" w:hAnsiTheme="majorHAnsi"/>
            <w:noProof/>
            <w:szCs w:val="22"/>
          </w:rPr>
          <w:t>http://doi.org/10.1111/boj.12160</w:t>
        </w:r>
      </w:hyperlink>
    </w:p>
    <w:p w14:paraId="79D98BB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Bour, R. (2008). Global diversity of turtles (Chelonii; Reptilia) in freshwater. </w:t>
      </w:r>
      <w:r w:rsidRPr="003338D7">
        <w:rPr>
          <w:rFonts w:asciiTheme="majorHAnsi" w:hAnsiTheme="majorHAnsi"/>
          <w:i/>
          <w:iCs/>
          <w:noProof/>
          <w:szCs w:val="22"/>
        </w:rPr>
        <w:t>Hydrobiologia</w:t>
      </w:r>
      <w:r w:rsidRPr="003338D7">
        <w:rPr>
          <w:rFonts w:asciiTheme="majorHAnsi" w:hAnsiTheme="majorHAnsi"/>
          <w:noProof/>
          <w:szCs w:val="22"/>
        </w:rPr>
        <w:t xml:space="preserve">, </w:t>
      </w:r>
      <w:r w:rsidRPr="003338D7">
        <w:rPr>
          <w:rFonts w:asciiTheme="majorHAnsi" w:hAnsiTheme="majorHAnsi"/>
          <w:i/>
          <w:iCs/>
          <w:noProof/>
          <w:szCs w:val="22"/>
        </w:rPr>
        <w:t>595</w:t>
      </w:r>
      <w:r w:rsidRPr="003338D7">
        <w:rPr>
          <w:rFonts w:asciiTheme="majorHAnsi" w:hAnsiTheme="majorHAnsi"/>
          <w:noProof/>
          <w:szCs w:val="22"/>
        </w:rPr>
        <w:t xml:space="preserve">(1), 593–598. </w:t>
      </w:r>
      <w:hyperlink r:id="rId238" w:history="1">
        <w:r w:rsidRPr="003338D7">
          <w:rPr>
            <w:rStyle w:val="Hyperlink"/>
            <w:rFonts w:asciiTheme="majorHAnsi" w:hAnsiTheme="majorHAnsi"/>
            <w:noProof/>
            <w:szCs w:val="22"/>
          </w:rPr>
          <w:t>http://doi.org/10.1007/s10750-007-9244-5</w:t>
        </w:r>
      </w:hyperlink>
    </w:p>
    <w:p w14:paraId="29D1A67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Bowman, W. D., &amp; Seastedt, T. R. (Eds.). (2001). </w:t>
      </w:r>
      <w:r w:rsidRPr="003338D7">
        <w:rPr>
          <w:rFonts w:asciiTheme="majorHAnsi" w:hAnsiTheme="majorHAnsi"/>
          <w:i/>
          <w:iCs/>
          <w:noProof/>
          <w:szCs w:val="22"/>
        </w:rPr>
        <w:t>Structure and Function of an Alpine Ecosystem: Niwot Ridge, Colorado</w:t>
      </w:r>
      <w:r w:rsidRPr="003338D7">
        <w:rPr>
          <w:rFonts w:asciiTheme="majorHAnsi" w:hAnsiTheme="majorHAnsi"/>
          <w:noProof/>
          <w:szCs w:val="22"/>
        </w:rPr>
        <w:t>. New York, USA: Oxford University Press.</w:t>
      </w:r>
    </w:p>
    <w:p w14:paraId="6AEB61D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Bozec, Y.-M., O’Farrell, S., Bruggemann, J. H., Luckhurst, B. E., &amp; Mumby, P. J. (2016). Tradeoffs between fisheries harvest and the resilience of coral reefs. </w:t>
      </w:r>
      <w:r w:rsidRPr="003338D7">
        <w:rPr>
          <w:rFonts w:asciiTheme="majorHAnsi" w:hAnsiTheme="majorHAnsi"/>
          <w:i/>
          <w:iCs/>
          <w:noProof/>
          <w:szCs w:val="22"/>
        </w:rPr>
        <w:t>PNAS</w:t>
      </w:r>
      <w:r w:rsidRPr="003338D7">
        <w:rPr>
          <w:rFonts w:asciiTheme="majorHAnsi" w:hAnsiTheme="majorHAnsi"/>
          <w:noProof/>
          <w:szCs w:val="22"/>
        </w:rPr>
        <w:t xml:space="preserve">, </w:t>
      </w:r>
      <w:r w:rsidRPr="003338D7">
        <w:rPr>
          <w:rFonts w:asciiTheme="majorHAnsi" w:hAnsiTheme="majorHAnsi"/>
          <w:i/>
          <w:iCs/>
          <w:noProof/>
          <w:szCs w:val="22"/>
        </w:rPr>
        <w:t>113</w:t>
      </w:r>
      <w:r w:rsidRPr="003338D7">
        <w:rPr>
          <w:rFonts w:asciiTheme="majorHAnsi" w:hAnsiTheme="majorHAnsi"/>
          <w:noProof/>
          <w:szCs w:val="22"/>
        </w:rPr>
        <w:t xml:space="preserve">(16), 4536–4541. </w:t>
      </w:r>
      <w:hyperlink r:id="rId239" w:history="1">
        <w:r w:rsidRPr="003338D7">
          <w:rPr>
            <w:rStyle w:val="Hyperlink"/>
            <w:rFonts w:asciiTheme="majorHAnsi" w:hAnsiTheme="majorHAnsi"/>
            <w:noProof/>
            <w:szCs w:val="22"/>
          </w:rPr>
          <w:t>http://doi.org/10.1073/pnas.1601529113</w:t>
        </w:r>
      </w:hyperlink>
    </w:p>
    <w:p w14:paraId="6314792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Bradley, R. D., Ammerma, L. K., Baker, R. J., Bradley, L. C., Cook, J. A., Dowler, R. C., Jones, C., Schmidley, D. J., Stangl Jr, R., Van Den Bussche, R., &amp; Würsig, B. (2014). Revised checklist of North American mammals North of Mexico. </w:t>
      </w:r>
      <w:r w:rsidRPr="003338D7">
        <w:rPr>
          <w:rFonts w:asciiTheme="majorHAnsi" w:hAnsiTheme="majorHAnsi"/>
          <w:i/>
          <w:iCs/>
          <w:noProof/>
          <w:szCs w:val="22"/>
          <w:lang w:val="es-ES"/>
        </w:rPr>
        <w:t>Occasional Papers Museum of Texas Tech University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327</w:t>
      </w:r>
      <w:r w:rsidRPr="003338D7">
        <w:rPr>
          <w:rFonts w:asciiTheme="majorHAnsi" w:hAnsiTheme="majorHAnsi"/>
          <w:noProof/>
          <w:szCs w:val="22"/>
          <w:lang w:val="es-ES"/>
        </w:rPr>
        <w:t>, 1–27.</w:t>
      </w:r>
    </w:p>
    <w:p w14:paraId="23797CB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Bradshaw, C. J. A., Leroy, B., Bellard, C., Roiz, D., Albert, C., Fournier, A., Barbet-Massin, M., Salles, J.-M., Simard, F., &amp; Courchamp, F. (2016). Massive yet grossly underestimated global costs of invasive insects. </w:t>
      </w:r>
      <w:r w:rsidRPr="003338D7">
        <w:rPr>
          <w:rFonts w:asciiTheme="majorHAnsi" w:hAnsiTheme="majorHAnsi"/>
          <w:i/>
          <w:iCs/>
          <w:noProof/>
          <w:szCs w:val="22"/>
          <w:lang w:val="es-ES"/>
        </w:rPr>
        <w:t>Nature Communications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w:t>
      </w:r>
      <w:r w:rsidRPr="003338D7">
        <w:rPr>
          <w:rFonts w:asciiTheme="majorHAnsi" w:hAnsiTheme="majorHAnsi"/>
          <w:noProof/>
          <w:szCs w:val="22"/>
          <w:lang w:val="es-ES"/>
        </w:rPr>
        <w:t xml:space="preserve">, 12986. </w:t>
      </w:r>
      <w:hyperlink r:id="rId240" w:history="1">
        <w:r w:rsidRPr="003338D7">
          <w:rPr>
            <w:rStyle w:val="Hyperlink"/>
            <w:rFonts w:asciiTheme="majorHAnsi" w:hAnsiTheme="majorHAnsi"/>
            <w:noProof/>
            <w:szCs w:val="22"/>
            <w:lang w:val="es-ES"/>
          </w:rPr>
          <w:t>https://doi.org/10.1038/ncomms12986</w:t>
        </w:r>
      </w:hyperlink>
    </w:p>
    <w:p w14:paraId="06B1D89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Brandt, R., Mathez-Stiefel, S.-L., Lachmuth, S., Hensen, I., &amp; Rist, S. (2013). Knowledge and valuation of Andean agroforestry species: the role of sex, age, and migration among members of a rural community in Bolivia. </w:t>
      </w:r>
      <w:r w:rsidRPr="003338D7">
        <w:rPr>
          <w:rFonts w:asciiTheme="majorHAnsi" w:hAnsiTheme="majorHAnsi"/>
          <w:i/>
          <w:iCs/>
          <w:noProof/>
          <w:szCs w:val="22"/>
        </w:rPr>
        <w:t>Journal of Ethnobiology and Ethnomedicine</w:t>
      </w:r>
      <w:r w:rsidRPr="003338D7">
        <w:rPr>
          <w:rFonts w:asciiTheme="majorHAnsi" w:hAnsiTheme="majorHAnsi"/>
          <w:noProof/>
          <w:szCs w:val="22"/>
        </w:rPr>
        <w:t xml:space="preserve">, </w:t>
      </w:r>
      <w:r w:rsidRPr="003338D7">
        <w:rPr>
          <w:rFonts w:asciiTheme="majorHAnsi" w:hAnsiTheme="majorHAnsi"/>
          <w:i/>
          <w:iCs/>
          <w:noProof/>
          <w:szCs w:val="22"/>
        </w:rPr>
        <w:t>9</w:t>
      </w:r>
      <w:r w:rsidRPr="003338D7">
        <w:rPr>
          <w:rFonts w:asciiTheme="majorHAnsi" w:hAnsiTheme="majorHAnsi"/>
          <w:noProof/>
          <w:szCs w:val="22"/>
        </w:rPr>
        <w:t xml:space="preserve">, 83. </w:t>
      </w:r>
      <w:hyperlink r:id="rId241" w:history="1">
        <w:r w:rsidRPr="003338D7">
          <w:rPr>
            <w:rStyle w:val="Hyperlink"/>
            <w:rFonts w:asciiTheme="majorHAnsi" w:hAnsiTheme="majorHAnsi"/>
            <w:noProof/>
            <w:szCs w:val="22"/>
          </w:rPr>
          <w:t>http://doi.org/10.1186/1746-4269-9-83</w:t>
        </w:r>
      </w:hyperlink>
    </w:p>
    <w:p w14:paraId="6FCDD79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Brauman, K. A., Daily, G. C., Duarte, T. K., &amp; Mooney, H. A. (2007). The nature and value of ecosystem services: An overview highlighting hydrologic services. </w:t>
      </w:r>
      <w:r w:rsidRPr="003338D7">
        <w:rPr>
          <w:rFonts w:asciiTheme="majorHAnsi" w:hAnsiTheme="majorHAnsi"/>
          <w:i/>
          <w:iCs/>
          <w:noProof/>
          <w:szCs w:val="22"/>
        </w:rPr>
        <w:t>Annual Review of Environment and Resources</w:t>
      </w:r>
      <w:r w:rsidRPr="003338D7">
        <w:rPr>
          <w:rFonts w:asciiTheme="majorHAnsi" w:hAnsiTheme="majorHAnsi"/>
          <w:noProof/>
          <w:szCs w:val="22"/>
        </w:rPr>
        <w:t xml:space="preserve">, </w:t>
      </w:r>
      <w:r w:rsidRPr="003338D7">
        <w:rPr>
          <w:rFonts w:asciiTheme="majorHAnsi" w:hAnsiTheme="majorHAnsi"/>
          <w:i/>
          <w:iCs/>
          <w:noProof/>
          <w:szCs w:val="22"/>
        </w:rPr>
        <w:t>32</w:t>
      </w:r>
      <w:r w:rsidRPr="003338D7">
        <w:rPr>
          <w:rFonts w:asciiTheme="majorHAnsi" w:hAnsiTheme="majorHAnsi"/>
          <w:noProof/>
          <w:szCs w:val="22"/>
        </w:rPr>
        <w:t xml:space="preserve">(1), 67–98. </w:t>
      </w:r>
      <w:hyperlink r:id="rId242" w:history="1">
        <w:r w:rsidRPr="003338D7">
          <w:rPr>
            <w:rStyle w:val="Hyperlink"/>
            <w:rFonts w:asciiTheme="majorHAnsi" w:hAnsiTheme="majorHAnsi"/>
            <w:noProof/>
            <w:szCs w:val="22"/>
          </w:rPr>
          <w:t>http://doi.org/10.1146/annurev.energy.32.031306.102758</w:t>
        </w:r>
      </w:hyperlink>
    </w:p>
    <w:p w14:paraId="46D590E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Braun, A. C., &amp; Koch, B. (2016). </w:t>
      </w:r>
      <w:r w:rsidRPr="003338D7">
        <w:rPr>
          <w:rFonts w:asciiTheme="majorHAnsi" w:hAnsiTheme="majorHAnsi"/>
          <w:noProof/>
          <w:szCs w:val="22"/>
        </w:rPr>
        <w:t xml:space="preserve">Estimating impacts of plantation forestry on plant biodiversity in southern Chile - a spatially explicit modelling approach. </w:t>
      </w:r>
      <w:r w:rsidRPr="003338D7">
        <w:rPr>
          <w:rFonts w:asciiTheme="majorHAnsi" w:hAnsiTheme="majorHAnsi"/>
          <w:i/>
          <w:iCs/>
          <w:noProof/>
          <w:szCs w:val="22"/>
        </w:rPr>
        <w:t>Environmental Monitoring and Assessment</w:t>
      </w:r>
      <w:r w:rsidRPr="003338D7">
        <w:rPr>
          <w:rFonts w:asciiTheme="majorHAnsi" w:hAnsiTheme="majorHAnsi"/>
          <w:noProof/>
          <w:szCs w:val="22"/>
        </w:rPr>
        <w:t xml:space="preserve">, </w:t>
      </w:r>
      <w:r w:rsidRPr="003338D7">
        <w:rPr>
          <w:rFonts w:asciiTheme="majorHAnsi" w:hAnsiTheme="majorHAnsi"/>
          <w:i/>
          <w:iCs/>
          <w:noProof/>
          <w:szCs w:val="22"/>
        </w:rPr>
        <w:t>188</w:t>
      </w:r>
      <w:r w:rsidRPr="003338D7">
        <w:rPr>
          <w:rFonts w:asciiTheme="majorHAnsi" w:hAnsiTheme="majorHAnsi"/>
          <w:noProof/>
          <w:szCs w:val="22"/>
        </w:rPr>
        <w:t xml:space="preserve">(10), 564. </w:t>
      </w:r>
      <w:hyperlink r:id="rId243" w:history="1">
        <w:r w:rsidRPr="003338D7">
          <w:rPr>
            <w:rStyle w:val="Hyperlink"/>
            <w:rFonts w:asciiTheme="majorHAnsi" w:hAnsiTheme="majorHAnsi"/>
            <w:noProof/>
            <w:szCs w:val="22"/>
          </w:rPr>
          <w:t>http://doi.org/10.1007/s10661-016-5547-1</w:t>
        </w:r>
      </w:hyperlink>
    </w:p>
    <w:p w14:paraId="0A25CDB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Brenner, M., Schelske, C. L., &amp; Keenan, L. W. (2001). Historical rates of sediment and nutrient accumulation in marshes of the Upper St. Johns River Basin, Florida. </w:t>
      </w:r>
      <w:r w:rsidRPr="003338D7">
        <w:rPr>
          <w:rFonts w:asciiTheme="majorHAnsi" w:hAnsiTheme="majorHAnsi"/>
          <w:i/>
          <w:iCs/>
          <w:noProof/>
          <w:szCs w:val="22"/>
        </w:rPr>
        <w:t>Journal of Paleolimnology</w:t>
      </w:r>
      <w:r w:rsidRPr="003338D7">
        <w:rPr>
          <w:rFonts w:asciiTheme="majorHAnsi" w:hAnsiTheme="majorHAnsi"/>
          <w:noProof/>
          <w:szCs w:val="22"/>
        </w:rPr>
        <w:t xml:space="preserve">, </w:t>
      </w:r>
      <w:r w:rsidRPr="003338D7">
        <w:rPr>
          <w:rFonts w:asciiTheme="majorHAnsi" w:hAnsiTheme="majorHAnsi"/>
          <w:i/>
          <w:iCs/>
          <w:noProof/>
          <w:szCs w:val="22"/>
        </w:rPr>
        <w:t>26</w:t>
      </w:r>
      <w:r w:rsidRPr="003338D7">
        <w:rPr>
          <w:rFonts w:asciiTheme="majorHAnsi" w:hAnsiTheme="majorHAnsi"/>
          <w:noProof/>
          <w:szCs w:val="22"/>
        </w:rPr>
        <w:t xml:space="preserve">(3), 241–257. </w:t>
      </w:r>
      <w:hyperlink r:id="rId244" w:history="1">
        <w:r w:rsidRPr="003338D7">
          <w:rPr>
            <w:rStyle w:val="Hyperlink"/>
            <w:rFonts w:asciiTheme="majorHAnsi" w:hAnsiTheme="majorHAnsi"/>
            <w:noProof/>
            <w:szCs w:val="22"/>
          </w:rPr>
          <w:t>http://doi.org/10.1023/A:1017578330641</w:t>
        </w:r>
      </w:hyperlink>
    </w:p>
    <w:p w14:paraId="67516B0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Brick Peres, M., Barreto, R., Lessa, R., Vooren, C., Charvet, P., &amp; Rosa, R. (2012). Heavy fishing puts Brazilian sharks and rays in great trouble. In </w:t>
      </w:r>
      <w:r w:rsidRPr="003338D7">
        <w:rPr>
          <w:rFonts w:asciiTheme="majorHAnsi" w:hAnsiTheme="majorHAnsi"/>
          <w:i/>
          <w:iCs/>
          <w:noProof/>
          <w:szCs w:val="22"/>
        </w:rPr>
        <w:t>6th World Fisheries Congress, Sustainable Fisheries in a Changing World</w:t>
      </w:r>
      <w:r w:rsidRPr="003338D7">
        <w:rPr>
          <w:rFonts w:asciiTheme="majorHAnsi" w:hAnsiTheme="majorHAnsi"/>
          <w:noProof/>
          <w:szCs w:val="22"/>
        </w:rPr>
        <w:t>. Edinburgh, Scotland.</w:t>
      </w:r>
    </w:p>
    <w:p w14:paraId="3983AFF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Bridi, R., &amp; Montenegro, G. (2017). The value of chilean honey: Floral origin related to their antioxidant and antibacterial activities. In V. A. A. Toledo (Ed.), </w:t>
      </w:r>
      <w:r w:rsidRPr="003338D7">
        <w:rPr>
          <w:rFonts w:asciiTheme="majorHAnsi" w:hAnsiTheme="majorHAnsi"/>
          <w:i/>
          <w:iCs/>
          <w:noProof/>
          <w:szCs w:val="22"/>
        </w:rPr>
        <w:t>Honey Analysis</w:t>
      </w:r>
      <w:r w:rsidRPr="003338D7">
        <w:rPr>
          <w:rFonts w:asciiTheme="majorHAnsi" w:hAnsiTheme="majorHAnsi"/>
          <w:noProof/>
          <w:szCs w:val="22"/>
        </w:rPr>
        <w:t xml:space="preserve"> (pp. 63–78). InTech, Open Access. Retrieved from </w:t>
      </w:r>
      <w:hyperlink r:id="rId245" w:history="1">
        <w:r w:rsidRPr="003338D7">
          <w:rPr>
            <w:rStyle w:val="Hyperlink"/>
            <w:rFonts w:asciiTheme="majorHAnsi" w:hAnsiTheme="majorHAnsi"/>
            <w:noProof/>
            <w:szCs w:val="22"/>
          </w:rPr>
          <w:t>https://www.intechopen.com/books/honey-analysis/the-value-of-chilean-honey-floral-origin-related-to-their-antioxidant-and-antibacterial-activities</w:t>
        </w:r>
      </w:hyperlink>
    </w:p>
    <w:p w14:paraId="0C01F74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Briggs, C. J., Vredenburg, V. T., Knapp, R. A., &amp; Rachowicz, L. J. (2005). </w:t>
      </w:r>
      <w:r w:rsidRPr="003338D7">
        <w:rPr>
          <w:rFonts w:asciiTheme="majorHAnsi" w:hAnsiTheme="majorHAnsi"/>
          <w:noProof/>
          <w:szCs w:val="22"/>
        </w:rPr>
        <w:t>Investigating the population</w:t>
      </w:r>
      <w:r w:rsidRPr="003338D7">
        <w:rPr>
          <w:rFonts w:asciiTheme="majorHAnsi" w:hAnsiTheme="majorHAnsi" w:cs="Cambria Math"/>
          <w:noProof/>
          <w:szCs w:val="22"/>
        </w:rPr>
        <w:t>‐</w:t>
      </w:r>
      <w:r w:rsidRPr="003338D7">
        <w:rPr>
          <w:rFonts w:asciiTheme="majorHAnsi" w:hAnsiTheme="majorHAnsi"/>
          <w:noProof/>
          <w:szCs w:val="22"/>
        </w:rPr>
        <w:t xml:space="preserve">level effects of Chytridiomycosis: An emerging infectious disease of amphibieans. </w:t>
      </w:r>
      <w:r w:rsidRPr="003338D7">
        <w:rPr>
          <w:rFonts w:asciiTheme="majorHAnsi" w:hAnsiTheme="majorHAnsi"/>
          <w:i/>
          <w:iCs/>
          <w:noProof/>
          <w:szCs w:val="22"/>
        </w:rPr>
        <w:t>Ecology</w:t>
      </w:r>
      <w:r w:rsidRPr="003338D7">
        <w:rPr>
          <w:rFonts w:asciiTheme="majorHAnsi" w:hAnsiTheme="majorHAnsi"/>
          <w:noProof/>
          <w:szCs w:val="22"/>
        </w:rPr>
        <w:t xml:space="preserve">, </w:t>
      </w:r>
      <w:r w:rsidRPr="003338D7">
        <w:rPr>
          <w:rFonts w:asciiTheme="majorHAnsi" w:hAnsiTheme="majorHAnsi"/>
          <w:i/>
          <w:iCs/>
          <w:noProof/>
          <w:szCs w:val="22"/>
        </w:rPr>
        <w:t>86</w:t>
      </w:r>
      <w:r w:rsidRPr="003338D7">
        <w:rPr>
          <w:rFonts w:asciiTheme="majorHAnsi" w:hAnsiTheme="majorHAnsi"/>
          <w:noProof/>
          <w:szCs w:val="22"/>
        </w:rPr>
        <w:t xml:space="preserve">, 3149–3159. </w:t>
      </w:r>
      <w:hyperlink r:id="rId246" w:history="1">
        <w:r w:rsidRPr="003338D7">
          <w:rPr>
            <w:rStyle w:val="Hyperlink"/>
            <w:rFonts w:asciiTheme="majorHAnsi" w:hAnsiTheme="majorHAnsi"/>
            <w:noProof/>
            <w:szCs w:val="22"/>
          </w:rPr>
          <w:t>http://doi.org/10.1890/04-1428</w:t>
        </w:r>
      </w:hyperlink>
    </w:p>
    <w:p w14:paraId="4277941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Bring, A., Fedorova, I., Dibike, Y., Hinzman, L., Mard, J., Mernild, S. H., Prowse, T., Semenova, O., Stuefer, S. L., &amp; Woo, M. K. (2016). Arctic terrestrial hydrology: A synthesis of processes, regional effects, and research challenges. </w:t>
      </w:r>
      <w:r w:rsidRPr="003338D7">
        <w:rPr>
          <w:rFonts w:asciiTheme="majorHAnsi" w:hAnsiTheme="majorHAnsi"/>
          <w:i/>
          <w:iCs/>
          <w:noProof/>
          <w:szCs w:val="22"/>
          <w:lang w:val="es-ES"/>
        </w:rPr>
        <w:t>Journal of Geophysical Research</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121</w:t>
      </w:r>
      <w:r w:rsidRPr="003338D7">
        <w:rPr>
          <w:rFonts w:asciiTheme="majorHAnsi" w:hAnsiTheme="majorHAnsi"/>
          <w:noProof/>
          <w:szCs w:val="22"/>
          <w:lang w:val="es-ES"/>
        </w:rPr>
        <w:t>(3), 621–649.</w:t>
      </w:r>
    </w:p>
    <w:p w14:paraId="00790C8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Brinson, M. M., &amp; Malvarez, A. I. (2002). Temperate freshwater wetlands: types, status, and threats. </w:t>
      </w:r>
      <w:r w:rsidRPr="003338D7">
        <w:rPr>
          <w:rFonts w:asciiTheme="majorHAnsi" w:hAnsiTheme="majorHAnsi"/>
          <w:i/>
          <w:iCs/>
          <w:noProof/>
          <w:szCs w:val="22"/>
        </w:rPr>
        <w:t>Environmental Conservation</w:t>
      </w:r>
      <w:r w:rsidRPr="003338D7">
        <w:rPr>
          <w:rFonts w:asciiTheme="majorHAnsi" w:hAnsiTheme="majorHAnsi"/>
          <w:noProof/>
          <w:szCs w:val="22"/>
        </w:rPr>
        <w:t xml:space="preserve">, </w:t>
      </w:r>
      <w:r w:rsidRPr="003338D7">
        <w:rPr>
          <w:rFonts w:asciiTheme="majorHAnsi" w:hAnsiTheme="majorHAnsi"/>
          <w:i/>
          <w:iCs/>
          <w:noProof/>
          <w:szCs w:val="22"/>
        </w:rPr>
        <w:t>29</w:t>
      </w:r>
      <w:r w:rsidRPr="003338D7">
        <w:rPr>
          <w:rFonts w:asciiTheme="majorHAnsi" w:hAnsiTheme="majorHAnsi"/>
          <w:noProof/>
          <w:szCs w:val="22"/>
        </w:rPr>
        <w:t xml:space="preserve">(2), 115–133. </w:t>
      </w:r>
      <w:hyperlink r:id="rId247" w:history="1">
        <w:r w:rsidRPr="003338D7">
          <w:rPr>
            <w:rStyle w:val="Hyperlink"/>
            <w:rFonts w:asciiTheme="majorHAnsi" w:hAnsiTheme="majorHAnsi"/>
            <w:noProof/>
            <w:szCs w:val="22"/>
          </w:rPr>
          <w:t>http://doi.org/10.1017/S0376892902000085</w:t>
        </w:r>
      </w:hyperlink>
    </w:p>
    <w:p w14:paraId="3EE2462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Bromberg, K. D., &amp; Bertness, M. D. (2005). Reconstructing New England salt marsh losses using historical maps. </w:t>
      </w:r>
      <w:r w:rsidRPr="003338D7">
        <w:rPr>
          <w:rFonts w:asciiTheme="majorHAnsi" w:hAnsiTheme="majorHAnsi"/>
          <w:i/>
          <w:iCs/>
          <w:noProof/>
          <w:szCs w:val="22"/>
          <w:lang w:val="es-ES"/>
        </w:rPr>
        <w:t>Estuaries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28</w:t>
      </w:r>
      <w:r w:rsidRPr="003338D7">
        <w:rPr>
          <w:rFonts w:asciiTheme="majorHAnsi" w:hAnsiTheme="majorHAnsi"/>
          <w:noProof/>
          <w:szCs w:val="22"/>
          <w:lang w:val="es-ES"/>
        </w:rPr>
        <w:t xml:space="preserve">(6), 823–832. </w:t>
      </w:r>
      <w:hyperlink r:id="rId248" w:history="1">
        <w:r w:rsidRPr="003338D7">
          <w:rPr>
            <w:rStyle w:val="Hyperlink"/>
            <w:rFonts w:asciiTheme="majorHAnsi" w:hAnsiTheme="majorHAnsi"/>
            <w:noProof/>
            <w:szCs w:val="22"/>
            <w:lang w:val="es-ES"/>
          </w:rPr>
          <w:t>http://doi.org/10.1007/BF02696012</w:t>
        </w:r>
      </w:hyperlink>
    </w:p>
    <w:p w14:paraId="09AAE97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Brooker, R. W., Maestre, F. T., Callaway, R. M., Lortie, C. L., Cavieres, L. A., Kunstler, G., Liancourt, P., Tielbörger, K., Travis, J. M. J., Anthelme, F., Armas, C., Coll, L., Corcket, E., Delzon, S., Forey, E., Kikvidze, Z., Olofsson, J., Pugnaire, F., Quiroz, C. L., Saccone, P., Schiffers, K., Seifan, M., Touzard, B., &amp; Michalet, R. (2008). Facilitation in plant communities: the past, the present, and the future. </w:t>
      </w:r>
      <w:r w:rsidRPr="003338D7">
        <w:rPr>
          <w:rFonts w:asciiTheme="majorHAnsi" w:hAnsiTheme="majorHAnsi"/>
          <w:i/>
          <w:iCs/>
          <w:noProof/>
          <w:szCs w:val="22"/>
          <w:lang w:val="es-ES"/>
        </w:rPr>
        <w:t>Journal of Ecology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96</w:t>
      </w:r>
      <w:r w:rsidRPr="003338D7">
        <w:rPr>
          <w:rFonts w:asciiTheme="majorHAnsi" w:hAnsiTheme="majorHAnsi"/>
          <w:noProof/>
          <w:szCs w:val="22"/>
          <w:lang w:val="es-ES"/>
        </w:rPr>
        <w:t xml:space="preserve">(1), 18–34. </w:t>
      </w:r>
      <w:hyperlink r:id="rId249" w:history="1">
        <w:r w:rsidRPr="003338D7">
          <w:rPr>
            <w:rStyle w:val="Hyperlink"/>
            <w:rFonts w:asciiTheme="majorHAnsi" w:hAnsiTheme="majorHAnsi"/>
            <w:noProof/>
            <w:szCs w:val="22"/>
            <w:lang w:val="es-ES"/>
          </w:rPr>
          <w:t>https://doi.org/10.1111/j.1365-2745.2007.01295.x</w:t>
        </w:r>
      </w:hyperlink>
    </w:p>
    <w:p w14:paraId="7CCC4E1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Brooks, M. (2009). Spatial and temporal distribution of nonnative plants in upland areas of the Mojave Desert. In R. Webb, L. Fenstermaker, J. Heaton, D. Hughson, E. McDonald, &amp; D. Miller (Eds.), </w:t>
      </w:r>
      <w:r w:rsidRPr="003338D7">
        <w:rPr>
          <w:rFonts w:asciiTheme="majorHAnsi" w:hAnsiTheme="majorHAnsi"/>
          <w:i/>
          <w:iCs/>
          <w:noProof/>
          <w:szCs w:val="22"/>
        </w:rPr>
        <w:t>The Mojave Desert: Ecosystem Processes and Sustainability</w:t>
      </w:r>
      <w:r w:rsidRPr="003338D7">
        <w:rPr>
          <w:rFonts w:asciiTheme="majorHAnsi" w:hAnsiTheme="majorHAnsi"/>
          <w:noProof/>
          <w:szCs w:val="22"/>
        </w:rPr>
        <w:t xml:space="preserve"> (pp. 101–124). Reno, USA: University of Nevada Press.</w:t>
      </w:r>
    </w:p>
    <w:p w14:paraId="44DD38A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Brooks, T. M., Akçakaya, H. R., Burgess, N. D., Butchart, S. H. M., Hilton-Taylor, C., Hoffmann, M., Juffe-Bignoli, D., Kingston, N., MacSharry, B., Parr, M., Perianin, L., Regan, E. C., Rodrigues, A. S. L., Rondinini, C., Shennan-Farpon, Y., &amp; Young, B. E. (2016). Analysing biodiversity and conservation knowledge products to support regional environmental assessments. </w:t>
      </w:r>
      <w:r w:rsidRPr="003338D7">
        <w:rPr>
          <w:rFonts w:asciiTheme="majorHAnsi" w:hAnsiTheme="majorHAnsi"/>
          <w:i/>
          <w:iCs/>
          <w:noProof/>
          <w:szCs w:val="22"/>
          <w:lang w:val="es-ES"/>
        </w:rPr>
        <w:t>Scientific Data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w:t>
      </w:r>
      <w:r w:rsidRPr="003338D7">
        <w:rPr>
          <w:rFonts w:asciiTheme="majorHAnsi" w:hAnsiTheme="majorHAnsi"/>
          <w:noProof/>
          <w:szCs w:val="22"/>
          <w:lang w:val="es-ES"/>
        </w:rPr>
        <w:t xml:space="preserve">. </w:t>
      </w:r>
      <w:hyperlink r:id="rId250" w:history="1">
        <w:r w:rsidRPr="003338D7">
          <w:rPr>
            <w:rStyle w:val="Hyperlink"/>
            <w:rFonts w:asciiTheme="majorHAnsi" w:hAnsiTheme="majorHAnsi"/>
            <w:noProof/>
            <w:szCs w:val="22"/>
            <w:lang w:val="es-ES"/>
          </w:rPr>
          <w:t>https://doi.org/10.1038/sdata.2016.7</w:t>
        </w:r>
      </w:hyperlink>
    </w:p>
    <w:p w14:paraId="75D3263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Brown, A. D. (1990). Epiphytism in the montane forests of El Rey National Park in Argentina: Floristic composition and distribution pattern. </w:t>
      </w:r>
      <w:r w:rsidRPr="003338D7">
        <w:rPr>
          <w:rFonts w:asciiTheme="majorHAnsi" w:hAnsiTheme="majorHAnsi"/>
          <w:i/>
          <w:iCs/>
          <w:noProof/>
          <w:szCs w:val="22"/>
          <w:lang w:val="es-ES"/>
        </w:rPr>
        <w:t>Revista de Biología Tropical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38</w:t>
      </w:r>
      <w:r w:rsidRPr="003338D7">
        <w:rPr>
          <w:rFonts w:asciiTheme="majorHAnsi" w:hAnsiTheme="majorHAnsi"/>
          <w:noProof/>
          <w:szCs w:val="22"/>
          <w:lang w:val="es-ES"/>
        </w:rPr>
        <w:t>(2A), 155–166.</w:t>
      </w:r>
    </w:p>
    <w:p w14:paraId="406E447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Brown, A. E., Zhang, L., McMahon, T. A., Western, A. W., &amp; Vertessy, R. A. (2005). </w:t>
      </w:r>
      <w:r w:rsidRPr="003338D7">
        <w:rPr>
          <w:rFonts w:asciiTheme="majorHAnsi" w:hAnsiTheme="majorHAnsi"/>
          <w:noProof/>
          <w:szCs w:val="22"/>
        </w:rPr>
        <w:t xml:space="preserve">A review of paired catchment studies for determining changes in water yield resulting from alterations in vegetation. </w:t>
      </w:r>
      <w:r w:rsidRPr="003338D7">
        <w:rPr>
          <w:rFonts w:asciiTheme="majorHAnsi" w:hAnsiTheme="majorHAnsi"/>
          <w:i/>
          <w:iCs/>
          <w:noProof/>
          <w:szCs w:val="22"/>
        </w:rPr>
        <w:t>Journal of Hydrology</w:t>
      </w:r>
      <w:r w:rsidRPr="003338D7">
        <w:rPr>
          <w:rFonts w:asciiTheme="majorHAnsi" w:hAnsiTheme="majorHAnsi"/>
          <w:noProof/>
          <w:szCs w:val="22"/>
        </w:rPr>
        <w:t xml:space="preserve">, </w:t>
      </w:r>
      <w:r w:rsidRPr="003338D7">
        <w:rPr>
          <w:rFonts w:asciiTheme="majorHAnsi" w:hAnsiTheme="majorHAnsi"/>
          <w:i/>
          <w:iCs/>
          <w:noProof/>
          <w:szCs w:val="22"/>
        </w:rPr>
        <w:t>310</w:t>
      </w:r>
      <w:r w:rsidRPr="003338D7">
        <w:rPr>
          <w:rFonts w:asciiTheme="majorHAnsi" w:hAnsiTheme="majorHAnsi"/>
          <w:noProof/>
          <w:szCs w:val="22"/>
        </w:rPr>
        <w:t xml:space="preserve">(1–4), 28–61. </w:t>
      </w:r>
      <w:hyperlink r:id="rId251" w:history="1">
        <w:r w:rsidRPr="003338D7">
          <w:rPr>
            <w:rStyle w:val="Hyperlink"/>
            <w:rFonts w:asciiTheme="majorHAnsi" w:hAnsiTheme="majorHAnsi"/>
            <w:noProof/>
            <w:szCs w:val="22"/>
          </w:rPr>
          <w:t>http://doi.org/10.1016/j.jhydrol.2004.12.010</w:t>
        </w:r>
      </w:hyperlink>
    </w:p>
    <w:p w14:paraId="6144F7C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Brown, M. T., Cohen, M. J., Bardi, E., &amp; Ingwersen, W. W. (2006). Species diversity in the Florida Everglades, USA: A systems approach to calculating biodiversity. </w:t>
      </w:r>
      <w:r w:rsidRPr="003338D7">
        <w:rPr>
          <w:rFonts w:asciiTheme="majorHAnsi" w:hAnsiTheme="majorHAnsi"/>
          <w:i/>
          <w:iCs/>
          <w:noProof/>
          <w:szCs w:val="22"/>
        </w:rPr>
        <w:t>Aquatic Sciences</w:t>
      </w:r>
      <w:r w:rsidRPr="003338D7">
        <w:rPr>
          <w:rFonts w:asciiTheme="majorHAnsi" w:hAnsiTheme="majorHAnsi"/>
          <w:noProof/>
          <w:szCs w:val="22"/>
        </w:rPr>
        <w:t xml:space="preserve">, </w:t>
      </w:r>
      <w:r w:rsidRPr="003338D7">
        <w:rPr>
          <w:rFonts w:asciiTheme="majorHAnsi" w:hAnsiTheme="majorHAnsi"/>
          <w:i/>
          <w:iCs/>
          <w:noProof/>
          <w:szCs w:val="22"/>
        </w:rPr>
        <w:t>68</w:t>
      </w:r>
      <w:r w:rsidRPr="003338D7">
        <w:rPr>
          <w:rFonts w:asciiTheme="majorHAnsi" w:hAnsiTheme="majorHAnsi"/>
          <w:noProof/>
          <w:szCs w:val="22"/>
        </w:rPr>
        <w:t>, 254–277. http://doi.org/10.1007/s00027-006-0854-1</w:t>
      </w:r>
    </w:p>
    <w:p w14:paraId="2DE2346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Brown, S. J., &amp; Maceina, M. J. (2002). The influence of disparate levels of submersed aquatic vegetation on largemouth bass population characteristics in a Georgia reservoir. </w:t>
      </w:r>
      <w:r w:rsidRPr="003338D7">
        <w:rPr>
          <w:rFonts w:asciiTheme="majorHAnsi" w:hAnsiTheme="majorHAnsi"/>
          <w:i/>
          <w:iCs/>
          <w:noProof/>
          <w:szCs w:val="22"/>
        </w:rPr>
        <w:t>Journal of Aquatic Plant Management</w:t>
      </w:r>
      <w:r w:rsidRPr="003338D7">
        <w:rPr>
          <w:rFonts w:asciiTheme="majorHAnsi" w:hAnsiTheme="majorHAnsi"/>
          <w:noProof/>
          <w:szCs w:val="22"/>
        </w:rPr>
        <w:t xml:space="preserve">, </w:t>
      </w:r>
      <w:r w:rsidRPr="003338D7">
        <w:rPr>
          <w:rFonts w:asciiTheme="majorHAnsi" w:hAnsiTheme="majorHAnsi"/>
          <w:i/>
          <w:iCs/>
          <w:noProof/>
          <w:szCs w:val="22"/>
        </w:rPr>
        <w:t>40</w:t>
      </w:r>
      <w:r w:rsidRPr="003338D7">
        <w:rPr>
          <w:rFonts w:asciiTheme="majorHAnsi" w:hAnsiTheme="majorHAnsi"/>
          <w:noProof/>
          <w:szCs w:val="22"/>
        </w:rPr>
        <w:t>, 28–35.</w:t>
      </w:r>
    </w:p>
    <w:p w14:paraId="5A014C9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rPr>
        <w:t xml:space="preserve">Bucher, E. (1982). Chaco and Caatinga - South American arid savannas, woodlands and thickets. In B. I. Huntley &amp; B. H. Walker (Eds.), </w:t>
      </w:r>
      <w:r w:rsidRPr="003338D7">
        <w:rPr>
          <w:rFonts w:asciiTheme="majorHAnsi" w:hAnsiTheme="majorHAnsi"/>
          <w:i/>
          <w:iCs/>
          <w:noProof/>
          <w:szCs w:val="22"/>
        </w:rPr>
        <w:t>Ecology of Tropical Savannas</w:t>
      </w:r>
      <w:r w:rsidRPr="003338D7">
        <w:rPr>
          <w:rFonts w:asciiTheme="majorHAnsi" w:hAnsiTheme="majorHAnsi"/>
          <w:noProof/>
          <w:szCs w:val="22"/>
        </w:rPr>
        <w:t xml:space="preserve"> (pp. 48–79). </w:t>
      </w:r>
      <w:r w:rsidRPr="003338D7">
        <w:rPr>
          <w:rFonts w:asciiTheme="majorHAnsi" w:hAnsiTheme="majorHAnsi"/>
          <w:noProof/>
          <w:szCs w:val="22"/>
          <w:lang w:val="de-DE"/>
        </w:rPr>
        <w:t>Berlin, Germany: Springer-Verlag.</w:t>
      </w:r>
    </w:p>
    <w:p w14:paraId="7EE3989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Bucher, E. H., Echevarria, A. L., Juri, M. D., &amp; Chani, J. M. (2000). </w:t>
      </w:r>
      <w:r w:rsidRPr="003338D7">
        <w:rPr>
          <w:rFonts w:asciiTheme="majorHAnsi" w:hAnsiTheme="majorHAnsi"/>
          <w:noProof/>
          <w:szCs w:val="22"/>
        </w:rPr>
        <w:t xml:space="preserve">Long-term survey of Chilean flamingo breeding colonies on Mar Chiquita lake, Córdoba, Argentina. </w:t>
      </w:r>
      <w:r w:rsidRPr="003338D7">
        <w:rPr>
          <w:rFonts w:asciiTheme="majorHAnsi" w:hAnsiTheme="majorHAnsi"/>
          <w:i/>
          <w:iCs/>
          <w:noProof/>
          <w:szCs w:val="22"/>
        </w:rPr>
        <w:t>Waterbirds: The International Journal of Waterbird Biology</w:t>
      </w:r>
      <w:r w:rsidRPr="003338D7">
        <w:rPr>
          <w:rFonts w:asciiTheme="majorHAnsi" w:hAnsiTheme="majorHAnsi"/>
          <w:noProof/>
          <w:szCs w:val="22"/>
        </w:rPr>
        <w:t xml:space="preserve">, </w:t>
      </w:r>
      <w:r w:rsidRPr="003338D7">
        <w:rPr>
          <w:rFonts w:asciiTheme="majorHAnsi" w:hAnsiTheme="majorHAnsi"/>
          <w:i/>
          <w:iCs/>
          <w:noProof/>
          <w:szCs w:val="22"/>
        </w:rPr>
        <w:t>23</w:t>
      </w:r>
      <w:r w:rsidRPr="003338D7">
        <w:rPr>
          <w:rFonts w:asciiTheme="majorHAnsi" w:hAnsiTheme="majorHAnsi"/>
          <w:noProof/>
          <w:szCs w:val="22"/>
        </w:rPr>
        <w:t xml:space="preserve">, 114–118. </w:t>
      </w:r>
      <w:hyperlink r:id="rId252" w:history="1">
        <w:r w:rsidRPr="003338D7">
          <w:rPr>
            <w:rStyle w:val="Hyperlink"/>
            <w:rFonts w:asciiTheme="majorHAnsi" w:hAnsiTheme="majorHAnsi"/>
            <w:noProof/>
            <w:szCs w:val="22"/>
          </w:rPr>
          <w:t>http://doi.org/10.2307/1522155</w:t>
        </w:r>
      </w:hyperlink>
    </w:p>
    <w:p w14:paraId="7C61B5F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Buckley, L. B., &amp; Jetz, W. (2007). </w:t>
      </w:r>
      <w:r w:rsidRPr="003338D7">
        <w:rPr>
          <w:rFonts w:asciiTheme="majorHAnsi" w:hAnsiTheme="majorHAnsi"/>
          <w:noProof/>
          <w:szCs w:val="22"/>
        </w:rPr>
        <w:t xml:space="preserve">Environmental and historical constraints on global patterns of amphibian richness. </w:t>
      </w:r>
      <w:r w:rsidRPr="003338D7">
        <w:rPr>
          <w:rFonts w:asciiTheme="majorHAnsi" w:hAnsiTheme="majorHAnsi"/>
          <w:i/>
          <w:iCs/>
          <w:noProof/>
          <w:szCs w:val="22"/>
        </w:rPr>
        <w:t>Proceedings of the Royal Society B: Biological Sciences</w:t>
      </w:r>
      <w:r w:rsidRPr="003338D7">
        <w:rPr>
          <w:rFonts w:asciiTheme="majorHAnsi" w:hAnsiTheme="majorHAnsi"/>
          <w:noProof/>
          <w:szCs w:val="22"/>
        </w:rPr>
        <w:t xml:space="preserve">, </w:t>
      </w:r>
      <w:r w:rsidRPr="003338D7">
        <w:rPr>
          <w:rFonts w:asciiTheme="majorHAnsi" w:hAnsiTheme="majorHAnsi"/>
          <w:i/>
          <w:iCs/>
          <w:noProof/>
          <w:szCs w:val="22"/>
        </w:rPr>
        <w:t>274</w:t>
      </w:r>
      <w:r w:rsidRPr="003338D7">
        <w:rPr>
          <w:rFonts w:asciiTheme="majorHAnsi" w:hAnsiTheme="majorHAnsi"/>
          <w:noProof/>
          <w:szCs w:val="22"/>
        </w:rPr>
        <w:t xml:space="preserve">(1614), 1167–1173. </w:t>
      </w:r>
      <w:hyperlink r:id="rId253" w:history="1">
        <w:r w:rsidRPr="003338D7">
          <w:rPr>
            <w:rStyle w:val="Hyperlink"/>
            <w:rFonts w:asciiTheme="majorHAnsi" w:hAnsiTheme="majorHAnsi"/>
            <w:noProof/>
            <w:szCs w:val="22"/>
          </w:rPr>
          <w:t>http://doi.org/10.1098/rspb.2006.0436</w:t>
        </w:r>
      </w:hyperlink>
    </w:p>
    <w:p w14:paraId="4B8FA2B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Buddo, D. S. A., Steele, R. D., &amp; D’Oyen, E. R. (2003). Distribution of the invasive Indo-Pacific green mussel, </w:t>
      </w:r>
      <w:r w:rsidRPr="003338D7">
        <w:rPr>
          <w:rFonts w:asciiTheme="majorHAnsi" w:hAnsiTheme="majorHAnsi"/>
          <w:i/>
          <w:iCs/>
          <w:noProof/>
          <w:szCs w:val="22"/>
        </w:rPr>
        <w:t>Perna viridis</w:t>
      </w:r>
      <w:r w:rsidRPr="003338D7">
        <w:rPr>
          <w:rFonts w:asciiTheme="majorHAnsi" w:hAnsiTheme="majorHAnsi"/>
          <w:noProof/>
          <w:szCs w:val="22"/>
        </w:rPr>
        <w:t xml:space="preserve">, in Kingston Harbour, Jamaica. </w:t>
      </w:r>
      <w:r w:rsidRPr="003338D7">
        <w:rPr>
          <w:rFonts w:asciiTheme="majorHAnsi" w:hAnsiTheme="majorHAnsi"/>
          <w:i/>
          <w:iCs/>
          <w:noProof/>
          <w:szCs w:val="22"/>
        </w:rPr>
        <w:t>Bulletin of Marine Science</w:t>
      </w:r>
      <w:r w:rsidRPr="003338D7">
        <w:rPr>
          <w:rFonts w:asciiTheme="majorHAnsi" w:hAnsiTheme="majorHAnsi"/>
          <w:noProof/>
          <w:szCs w:val="22"/>
        </w:rPr>
        <w:t xml:space="preserve">, </w:t>
      </w:r>
      <w:r w:rsidRPr="003338D7">
        <w:rPr>
          <w:rFonts w:asciiTheme="majorHAnsi" w:hAnsiTheme="majorHAnsi"/>
          <w:i/>
          <w:iCs/>
          <w:noProof/>
          <w:szCs w:val="22"/>
        </w:rPr>
        <w:t>73</w:t>
      </w:r>
      <w:r w:rsidRPr="003338D7">
        <w:rPr>
          <w:rFonts w:asciiTheme="majorHAnsi" w:hAnsiTheme="majorHAnsi"/>
          <w:noProof/>
          <w:szCs w:val="22"/>
        </w:rPr>
        <w:t>(2), 433–441.</w:t>
      </w:r>
    </w:p>
    <w:p w14:paraId="606257C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Bullock, J. M., Pywell, R. F., &amp; Walker, K. J. (2007). Long-term enhancement of agricultural production by restoration of biodiversity. </w:t>
      </w:r>
      <w:r w:rsidRPr="003338D7">
        <w:rPr>
          <w:rFonts w:asciiTheme="majorHAnsi" w:hAnsiTheme="majorHAnsi"/>
          <w:i/>
          <w:iCs/>
          <w:noProof/>
          <w:szCs w:val="22"/>
        </w:rPr>
        <w:t>Journal of Applied Ecology</w:t>
      </w:r>
      <w:r w:rsidRPr="003338D7">
        <w:rPr>
          <w:rFonts w:asciiTheme="majorHAnsi" w:hAnsiTheme="majorHAnsi"/>
          <w:noProof/>
          <w:szCs w:val="22"/>
        </w:rPr>
        <w:t xml:space="preserve">, </w:t>
      </w:r>
      <w:r w:rsidRPr="003338D7">
        <w:rPr>
          <w:rFonts w:asciiTheme="majorHAnsi" w:hAnsiTheme="majorHAnsi"/>
          <w:i/>
          <w:iCs/>
          <w:noProof/>
          <w:szCs w:val="22"/>
        </w:rPr>
        <w:t>44</w:t>
      </w:r>
      <w:r w:rsidRPr="003338D7">
        <w:rPr>
          <w:rFonts w:asciiTheme="majorHAnsi" w:hAnsiTheme="majorHAnsi"/>
          <w:noProof/>
          <w:szCs w:val="22"/>
        </w:rPr>
        <w:t xml:space="preserve">(1), 6–12. </w:t>
      </w:r>
      <w:hyperlink r:id="rId254" w:history="1">
        <w:r w:rsidRPr="003338D7">
          <w:rPr>
            <w:rStyle w:val="Hyperlink"/>
            <w:rFonts w:asciiTheme="majorHAnsi" w:hAnsiTheme="majorHAnsi"/>
            <w:noProof/>
            <w:szCs w:val="22"/>
          </w:rPr>
          <w:t>http://doi.org/10.1111/j.1365-2664.2006.01252.x</w:t>
        </w:r>
      </w:hyperlink>
    </w:p>
    <w:p w14:paraId="37CDDBC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Burge, D. O., Thorne, J. H., Harrison, S. P., O’Brien, B. C., Rebman, J. P., Shevock, J. R., Alverson, E. R., Hardison, L. K., RodrÍguez, J. D., Junak, S. A., Oberbauer, T. A., Riemann, H., Vanderplank, S. E., &amp; Barry, T. (2016). Plant diversity and endemism in the California Floristic Province. </w:t>
      </w:r>
      <w:r w:rsidRPr="003338D7">
        <w:rPr>
          <w:rFonts w:asciiTheme="majorHAnsi" w:hAnsiTheme="majorHAnsi"/>
          <w:i/>
          <w:iCs/>
          <w:noProof/>
          <w:szCs w:val="22"/>
          <w:lang w:val="es-ES"/>
        </w:rPr>
        <w:t>Madroño</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63</w:t>
      </w:r>
      <w:r w:rsidRPr="003338D7">
        <w:rPr>
          <w:rFonts w:asciiTheme="majorHAnsi" w:hAnsiTheme="majorHAnsi"/>
          <w:noProof/>
          <w:szCs w:val="22"/>
          <w:lang w:val="es-ES"/>
        </w:rPr>
        <w:t xml:space="preserve">(2), 3–206. </w:t>
      </w:r>
      <w:hyperlink r:id="rId255" w:history="1">
        <w:r w:rsidRPr="003338D7">
          <w:rPr>
            <w:rStyle w:val="Hyperlink"/>
            <w:rFonts w:asciiTheme="majorHAnsi" w:hAnsiTheme="majorHAnsi"/>
            <w:noProof/>
            <w:szCs w:val="22"/>
            <w:lang w:val="es-ES"/>
          </w:rPr>
          <w:t>https://doi.org/10.3120/madr-63-02-3-206.1</w:t>
        </w:r>
      </w:hyperlink>
    </w:p>
    <w:p w14:paraId="6F748E5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Burkhead, N. M. (2012). Extinction rates in North American freshwater fishes, 1900–2010. </w:t>
      </w:r>
      <w:r w:rsidRPr="003338D7">
        <w:rPr>
          <w:rFonts w:asciiTheme="majorHAnsi" w:hAnsiTheme="majorHAnsi"/>
          <w:i/>
          <w:iCs/>
          <w:noProof/>
          <w:szCs w:val="22"/>
          <w:lang w:val="es-ES"/>
        </w:rPr>
        <w:t>BioScience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62</w:t>
      </w:r>
      <w:r w:rsidRPr="003338D7">
        <w:rPr>
          <w:rFonts w:asciiTheme="majorHAnsi" w:hAnsiTheme="majorHAnsi"/>
          <w:noProof/>
          <w:szCs w:val="22"/>
          <w:lang w:val="es-ES"/>
        </w:rPr>
        <w:t xml:space="preserve">, 798–808. </w:t>
      </w:r>
      <w:hyperlink r:id="rId256" w:history="1">
        <w:r w:rsidRPr="003338D7">
          <w:rPr>
            <w:rStyle w:val="Hyperlink"/>
            <w:rFonts w:asciiTheme="majorHAnsi" w:hAnsiTheme="majorHAnsi"/>
            <w:noProof/>
            <w:szCs w:val="22"/>
            <w:lang w:val="es-ES"/>
          </w:rPr>
          <w:t>http://doi.org/10.1525/bio.2012.62.9.5</w:t>
        </w:r>
      </w:hyperlink>
    </w:p>
    <w:p w14:paraId="6585C33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Burridge, L., Weis, J. S., Cabello, F., Pizarro, J., &amp; Bostick, K. (2010). </w:t>
      </w:r>
      <w:r w:rsidRPr="003338D7">
        <w:rPr>
          <w:rFonts w:asciiTheme="majorHAnsi" w:hAnsiTheme="majorHAnsi"/>
          <w:noProof/>
          <w:szCs w:val="22"/>
        </w:rPr>
        <w:t xml:space="preserve">Chemical use in salmon aquaculture: A review of current practices and possible environmental effects. </w:t>
      </w:r>
      <w:r w:rsidRPr="003338D7">
        <w:rPr>
          <w:rFonts w:asciiTheme="majorHAnsi" w:hAnsiTheme="majorHAnsi"/>
          <w:i/>
          <w:iCs/>
          <w:noProof/>
          <w:szCs w:val="22"/>
          <w:lang w:val="es-ES"/>
        </w:rPr>
        <w:t>Aquaculture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306</w:t>
      </w:r>
      <w:r w:rsidRPr="003338D7">
        <w:rPr>
          <w:rFonts w:asciiTheme="majorHAnsi" w:hAnsiTheme="majorHAnsi"/>
          <w:noProof/>
          <w:szCs w:val="22"/>
          <w:lang w:val="es-ES"/>
        </w:rPr>
        <w:t xml:space="preserve">(1–4), 7–23. </w:t>
      </w:r>
      <w:hyperlink r:id="rId257" w:history="1">
        <w:r w:rsidRPr="003338D7">
          <w:rPr>
            <w:rStyle w:val="Hyperlink"/>
            <w:rFonts w:asciiTheme="majorHAnsi" w:hAnsiTheme="majorHAnsi"/>
            <w:noProof/>
            <w:szCs w:val="22"/>
            <w:lang w:val="es-ES"/>
          </w:rPr>
          <w:t>http://doi.org/10.1016/j.aquaculture.2010.05.020</w:t>
        </w:r>
      </w:hyperlink>
    </w:p>
    <w:p w14:paraId="57A03CB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Buschmann, A. H., Riquelme, V. A., Hernández-González, M. C., Varela, D., Jiménez, J. E., Henríquez, L. A., Vergara, P. A., Guíñez, R., &amp; Filún, L. (2006). A review of the impacts of salmonid farming on marine coastal ecosystems in the southeast Pacific. </w:t>
      </w:r>
      <w:r w:rsidRPr="003338D7">
        <w:rPr>
          <w:rFonts w:asciiTheme="majorHAnsi" w:hAnsiTheme="majorHAnsi"/>
          <w:i/>
          <w:iCs/>
          <w:noProof/>
          <w:szCs w:val="22"/>
          <w:lang w:val="es-ES"/>
        </w:rPr>
        <w:t>ICES Journal of Marine 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63</w:t>
      </w:r>
      <w:r w:rsidRPr="003338D7">
        <w:rPr>
          <w:rFonts w:asciiTheme="majorHAnsi" w:hAnsiTheme="majorHAnsi"/>
          <w:noProof/>
          <w:szCs w:val="22"/>
          <w:lang w:val="es-ES"/>
        </w:rPr>
        <w:t xml:space="preserve">(7), 1338–1345. </w:t>
      </w:r>
      <w:hyperlink r:id="rId258" w:history="1">
        <w:r w:rsidRPr="003338D7">
          <w:rPr>
            <w:rStyle w:val="Hyperlink"/>
            <w:rFonts w:asciiTheme="majorHAnsi" w:hAnsiTheme="majorHAnsi"/>
            <w:noProof/>
            <w:szCs w:val="22"/>
            <w:lang w:val="es-ES"/>
          </w:rPr>
          <w:t>https://doi.org/10.1016/j.icesjms.2006.04.021</w:t>
        </w:r>
      </w:hyperlink>
    </w:p>
    <w:p w14:paraId="39457FB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Bustamante, R. O., &amp; Castor, C. (1998). </w:t>
      </w:r>
      <w:r w:rsidRPr="003338D7">
        <w:rPr>
          <w:rFonts w:asciiTheme="majorHAnsi" w:hAnsiTheme="majorHAnsi"/>
          <w:noProof/>
          <w:szCs w:val="22"/>
        </w:rPr>
        <w:t>The decline of an endangered temperate ecosystem: the ruil (</w:t>
      </w:r>
      <w:r w:rsidRPr="003338D7">
        <w:rPr>
          <w:rFonts w:asciiTheme="majorHAnsi" w:hAnsiTheme="majorHAnsi"/>
          <w:i/>
          <w:iCs/>
          <w:noProof/>
          <w:szCs w:val="22"/>
        </w:rPr>
        <w:t>Nothofagus alessandrii</w:t>
      </w:r>
      <w:r w:rsidRPr="003338D7">
        <w:rPr>
          <w:rFonts w:asciiTheme="majorHAnsi" w:hAnsiTheme="majorHAnsi"/>
          <w:noProof/>
          <w:szCs w:val="22"/>
        </w:rPr>
        <w:t xml:space="preserve">) forest in central Chile.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7</w:t>
      </w:r>
      <w:r w:rsidRPr="003338D7">
        <w:rPr>
          <w:rFonts w:asciiTheme="majorHAnsi" w:hAnsiTheme="majorHAnsi"/>
          <w:noProof/>
          <w:szCs w:val="22"/>
        </w:rPr>
        <w:t xml:space="preserve">(12), 1607–1626. </w:t>
      </w:r>
      <w:hyperlink r:id="rId259" w:history="1">
        <w:r w:rsidRPr="003338D7">
          <w:rPr>
            <w:rStyle w:val="Hyperlink"/>
            <w:rFonts w:asciiTheme="majorHAnsi" w:hAnsiTheme="majorHAnsi"/>
            <w:noProof/>
            <w:szCs w:val="22"/>
          </w:rPr>
          <w:t>http://doi.org/10.1023/A:1008856912888</w:t>
        </w:r>
      </w:hyperlink>
    </w:p>
    <w:p w14:paraId="3A40428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Butchart, S. H. M., Scharlemann, J. P. W., Evans, M. I., Quader, S., Aricò, S., Arinaitwe, J., Balman, M., Bennun, L. A., Bertzky, B., Besançon, C., Boucher, T. M., Brooks, T. M., Burfield, I. J., Burgess, N. D., Chan, S., Clay, R. P., Crosby, M. J., Davidson, N. C., de Silva, N., Devenish, C., Dutson, G. C. L., Fernández, D. F. D., Fishpool, L. D. C., Fitzgerald, C., Foster, M., Heath, M. F., Hockings, M., Hoffmann, M., Knox, D., Larsen, F. W., Lamoreux, J. F., Loucks, C., May, I., Millett, J., Molloy, D., Morling, P., Parr, M., Ricketts, T. H., Seddon, N., Skolnik, B., Stuart, S. N., Upgren, A., &amp; Woodley, S. (2012). Protecting important sites for biodiversity contributes to meeting global conservation targets.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w:t>
      </w:r>
      <w:r w:rsidRPr="003338D7">
        <w:rPr>
          <w:rFonts w:asciiTheme="majorHAnsi" w:hAnsiTheme="majorHAnsi"/>
          <w:noProof/>
          <w:szCs w:val="22"/>
          <w:lang w:val="es-ES"/>
        </w:rPr>
        <w:t xml:space="preserve">(3), e32529. </w:t>
      </w:r>
      <w:hyperlink r:id="rId260" w:history="1">
        <w:r w:rsidRPr="003338D7">
          <w:rPr>
            <w:rStyle w:val="Hyperlink"/>
            <w:rFonts w:asciiTheme="majorHAnsi" w:hAnsiTheme="majorHAnsi"/>
            <w:noProof/>
            <w:szCs w:val="22"/>
            <w:lang w:val="es-ES"/>
          </w:rPr>
          <w:t>https://doi.org/10.1371/journal.pone.0032529</w:t>
        </w:r>
      </w:hyperlink>
    </w:p>
    <w:p w14:paraId="4E45FD3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Buytaert, W., Cuesta-Camacho, F., &amp; Tobón, C. (2011). </w:t>
      </w:r>
      <w:r w:rsidRPr="003338D7">
        <w:rPr>
          <w:rFonts w:asciiTheme="majorHAnsi" w:hAnsiTheme="majorHAnsi"/>
          <w:noProof/>
          <w:szCs w:val="22"/>
        </w:rPr>
        <w:t xml:space="preserve">Potential impacts of climate change on the environmental services of humid tropical alpine regions. </w:t>
      </w:r>
      <w:r w:rsidRPr="003338D7">
        <w:rPr>
          <w:rFonts w:asciiTheme="majorHAnsi" w:hAnsiTheme="majorHAnsi"/>
          <w:i/>
          <w:iCs/>
          <w:noProof/>
          <w:szCs w:val="22"/>
        </w:rPr>
        <w:t>Global Ecology and Biogeography</w:t>
      </w:r>
      <w:r w:rsidRPr="003338D7">
        <w:rPr>
          <w:rFonts w:asciiTheme="majorHAnsi" w:hAnsiTheme="majorHAnsi"/>
          <w:noProof/>
          <w:szCs w:val="22"/>
        </w:rPr>
        <w:t xml:space="preserve">, </w:t>
      </w:r>
      <w:r w:rsidRPr="003338D7">
        <w:rPr>
          <w:rFonts w:asciiTheme="majorHAnsi" w:hAnsiTheme="majorHAnsi"/>
          <w:i/>
          <w:iCs/>
          <w:noProof/>
          <w:szCs w:val="22"/>
        </w:rPr>
        <w:t>20</w:t>
      </w:r>
      <w:r w:rsidRPr="003338D7">
        <w:rPr>
          <w:rFonts w:asciiTheme="majorHAnsi" w:hAnsiTheme="majorHAnsi"/>
          <w:noProof/>
          <w:szCs w:val="22"/>
        </w:rPr>
        <w:t xml:space="preserve">, 19–33. </w:t>
      </w:r>
      <w:hyperlink r:id="rId261" w:history="1">
        <w:r w:rsidRPr="003338D7">
          <w:rPr>
            <w:rStyle w:val="Hyperlink"/>
            <w:rFonts w:asciiTheme="majorHAnsi" w:hAnsiTheme="majorHAnsi"/>
            <w:noProof/>
            <w:szCs w:val="22"/>
          </w:rPr>
          <w:t>http://doi.org/10.1111/j.1466-8238.2010.00585.x</w:t>
        </w:r>
      </w:hyperlink>
    </w:p>
    <w:p w14:paraId="6E108A6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Buytaert, W., Wyseure, G., De Bievre, B., &amp; Deckers, J. (2005). The effect of land-use changes on the hydrological behaviour of Histic Andosols in south Ecuador. </w:t>
      </w:r>
      <w:r w:rsidRPr="003338D7">
        <w:rPr>
          <w:rFonts w:asciiTheme="majorHAnsi" w:hAnsiTheme="majorHAnsi"/>
          <w:i/>
          <w:iCs/>
          <w:noProof/>
          <w:szCs w:val="22"/>
          <w:lang w:val="es-ES"/>
        </w:rPr>
        <w:t>Hydrological Processes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19</w:t>
      </w:r>
      <w:r w:rsidRPr="003338D7">
        <w:rPr>
          <w:rFonts w:asciiTheme="majorHAnsi" w:hAnsiTheme="majorHAnsi"/>
          <w:noProof/>
          <w:szCs w:val="22"/>
          <w:lang w:val="es-ES"/>
        </w:rPr>
        <w:t xml:space="preserve">(20), 3985–3997. </w:t>
      </w:r>
      <w:hyperlink r:id="rId262" w:history="1">
        <w:r w:rsidRPr="003338D7">
          <w:rPr>
            <w:rStyle w:val="Hyperlink"/>
            <w:rFonts w:asciiTheme="majorHAnsi" w:hAnsiTheme="majorHAnsi"/>
            <w:noProof/>
            <w:szCs w:val="22"/>
            <w:lang w:val="es-ES"/>
          </w:rPr>
          <w:t>http://doi.org/10.1002/hyp.5867</w:t>
        </w:r>
      </w:hyperlink>
    </w:p>
    <w:p w14:paraId="0B99DC8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Caballero, J., &amp; Cortés, L. (2001). Percepción, uso y manejo tradicional de los recursos vegetales en México. In B. Rendón Aguilar, S. Rebollar Domínguez, J. Caballero Nieto, &amp; M. A. Martínez Alfaro (Eds.), </w:t>
      </w:r>
      <w:r w:rsidRPr="003338D7">
        <w:rPr>
          <w:rFonts w:asciiTheme="majorHAnsi" w:hAnsiTheme="majorHAnsi"/>
          <w:i/>
          <w:iCs/>
          <w:noProof/>
          <w:szCs w:val="22"/>
          <w:lang w:val="es-ES"/>
        </w:rPr>
        <w:t>Plantas, Cultura y Sociedad</w:t>
      </w:r>
      <w:r w:rsidRPr="003338D7">
        <w:rPr>
          <w:rFonts w:asciiTheme="majorHAnsi" w:hAnsiTheme="majorHAnsi"/>
          <w:noProof/>
          <w:szCs w:val="22"/>
          <w:lang w:val="es-ES"/>
        </w:rPr>
        <w:t xml:space="preserve"> (pp. 79–100). México D.F., México: Universidad Autónoma Metropolitana y Secretaría del Medio Ambiente, Recursos Naturales y Pesca.</w:t>
      </w:r>
    </w:p>
    <w:p w14:paraId="28ADAB2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pt-BR"/>
        </w:rPr>
        <w:t xml:space="preserve">Cabette, H. S. R., Souza, J. R., Shimano, Y., &amp; Juen, L. (2017). </w:t>
      </w:r>
      <w:r w:rsidRPr="003338D7">
        <w:rPr>
          <w:rFonts w:asciiTheme="majorHAnsi" w:hAnsiTheme="majorHAnsi"/>
          <w:noProof/>
          <w:szCs w:val="22"/>
        </w:rPr>
        <w:t xml:space="preserve">Effects of changes in the riparian forest on the butterfly community (Insecta: Lepidoptera) in Cerrado areas. </w:t>
      </w:r>
      <w:r w:rsidRPr="003338D7">
        <w:rPr>
          <w:rFonts w:asciiTheme="majorHAnsi" w:hAnsiTheme="majorHAnsi"/>
          <w:i/>
          <w:iCs/>
          <w:noProof/>
          <w:szCs w:val="22"/>
          <w:lang w:val="es-ES"/>
        </w:rPr>
        <w:t>Revista Brasileira de Entomologia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61</w:t>
      </w:r>
      <w:r w:rsidRPr="003338D7">
        <w:rPr>
          <w:rFonts w:asciiTheme="majorHAnsi" w:hAnsiTheme="majorHAnsi"/>
          <w:noProof/>
          <w:szCs w:val="22"/>
          <w:lang w:val="es-ES"/>
        </w:rPr>
        <w:t xml:space="preserve">(1), 43–50. </w:t>
      </w:r>
      <w:hyperlink r:id="rId263" w:history="1">
        <w:r w:rsidRPr="003338D7">
          <w:rPr>
            <w:rStyle w:val="Hyperlink"/>
            <w:rFonts w:asciiTheme="majorHAnsi" w:hAnsiTheme="majorHAnsi"/>
            <w:noProof/>
            <w:szCs w:val="22"/>
            <w:lang w:val="es-ES"/>
          </w:rPr>
          <w:t>http://doi.org/10.1016/j.rbe.2016.10.004</w:t>
        </w:r>
      </w:hyperlink>
    </w:p>
    <w:p w14:paraId="298C43B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Cáceres, N. C., Nápoli, R. P., Casella, J., &amp; Hannibal, W. (2010). </w:t>
      </w:r>
      <w:r w:rsidRPr="003338D7">
        <w:rPr>
          <w:rFonts w:asciiTheme="majorHAnsi" w:hAnsiTheme="majorHAnsi"/>
          <w:noProof/>
          <w:szCs w:val="22"/>
        </w:rPr>
        <w:t xml:space="preserve">Mammals in a fragmented savannah landscape in south-western Brazil. </w:t>
      </w:r>
      <w:r w:rsidRPr="003338D7">
        <w:rPr>
          <w:rFonts w:asciiTheme="majorHAnsi" w:hAnsiTheme="majorHAnsi"/>
          <w:i/>
          <w:iCs/>
          <w:noProof/>
          <w:szCs w:val="22"/>
        </w:rPr>
        <w:t>Journal of Natural History</w:t>
      </w:r>
      <w:r w:rsidRPr="003338D7">
        <w:rPr>
          <w:rFonts w:asciiTheme="majorHAnsi" w:hAnsiTheme="majorHAnsi"/>
          <w:noProof/>
          <w:szCs w:val="22"/>
        </w:rPr>
        <w:t xml:space="preserve">, </w:t>
      </w:r>
      <w:r w:rsidRPr="003338D7">
        <w:rPr>
          <w:rFonts w:asciiTheme="majorHAnsi" w:hAnsiTheme="majorHAnsi"/>
          <w:i/>
          <w:iCs/>
          <w:noProof/>
          <w:szCs w:val="22"/>
        </w:rPr>
        <w:t>44</w:t>
      </w:r>
      <w:r w:rsidRPr="003338D7">
        <w:rPr>
          <w:rFonts w:asciiTheme="majorHAnsi" w:hAnsiTheme="majorHAnsi"/>
          <w:noProof/>
          <w:szCs w:val="22"/>
        </w:rPr>
        <w:t xml:space="preserve">(7–8), 491–512. </w:t>
      </w:r>
      <w:hyperlink r:id="rId264" w:history="1">
        <w:r w:rsidRPr="003338D7">
          <w:rPr>
            <w:rStyle w:val="Hyperlink"/>
            <w:rFonts w:asciiTheme="majorHAnsi" w:hAnsiTheme="majorHAnsi"/>
            <w:noProof/>
            <w:szCs w:val="22"/>
          </w:rPr>
          <w:t>http://doi.org/10.1080/00222930903477768</w:t>
        </w:r>
      </w:hyperlink>
    </w:p>
    <w:p w14:paraId="050EE56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Cadena-Vargas, C. E., &amp; Sarmiento, C. E. (2016). </w:t>
      </w:r>
      <w:r w:rsidRPr="003338D7">
        <w:rPr>
          <w:rFonts w:asciiTheme="majorHAnsi" w:hAnsiTheme="majorHAnsi"/>
          <w:noProof/>
          <w:szCs w:val="22"/>
          <w:lang w:val="es-ES"/>
        </w:rPr>
        <w:t xml:space="preserve">Cambios en las coberturas paramunas. Las Amenazas de los páramos de Colombia. In M. F. Gómez, L. A. Moreno, G. I. Andrade, &amp; C. Rueda (Eds.), </w:t>
      </w:r>
      <w:r w:rsidRPr="003338D7">
        <w:rPr>
          <w:rFonts w:asciiTheme="majorHAnsi" w:hAnsiTheme="majorHAnsi"/>
          <w:i/>
          <w:iCs/>
          <w:noProof/>
          <w:szCs w:val="22"/>
          <w:lang w:val="es-ES"/>
        </w:rPr>
        <w:t>Biodiversidad 2015. Estado y Tendencias de la Biodiversidad Continental de Colombia</w:t>
      </w:r>
      <w:r w:rsidRPr="003338D7">
        <w:rPr>
          <w:rFonts w:asciiTheme="majorHAnsi" w:hAnsiTheme="majorHAnsi"/>
          <w:noProof/>
          <w:szCs w:val="22"/>
          <w:lang w:val="es-ES"/>
        </w:rPr>
        <w:t>. Bogotá, D.C., Colombia: Instituto Alexander von Humboldt.</w:t>
      </w:r>
    </w:p>
    <w:p w14:paraId="2783680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Califano, L. M., &amp; Echazú, F. (2013). Etnobotánica en comunidades pastoriles: Conocimiento tradicional sobre especies tóxicas para el ganado en la cuenca del río Iruya (Salta, Argentina). </w:t>
      </w:r>
      <w:r w:rsidRPr="003338D7">
        <w:rPr>
          <w:rFonts w:asciiTheme="majorHAnsi" w:hAnsiTheme="majorHAnsi"/>
          <w:i/>
          <w:iCs/>
          <w:noProof/>
          <w:szCs w:val="22"/>
          <w:lang w:val="es-ES"/>
        </w:rPr>
        <w:t>Boletín de La Sociedad Argentina de Botánica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48</w:t>
      </w:r>
      <w:r w:rsidRPr="003338D7">
        <w:rPr>
          <w:rFonts w:asciiTheme="majorHAnsi" w:hAnsiTheme="majorHAnsi"/>
          <w:noProof/>
          <w:szCs w:val="22"/>
          <w:lang w:val="es-ES"/>
        </w:rPr>
        <w:t>(2), 365–375.</w:t>
      </w:r>
    </w:p>
    <w:p w14:paraId="773B871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California Invasive Plant Council. </w:t>
      </w:r>
      <w:r w:rsidRPr="003338D7">
        <w:rPr>
          <w:rFonts w:asciiTheme="majorHAnsi" w:hAnsiTheme="majorHAnsi"/>
          <w:noProof/>
          <w:szCs w:val="22"/>
        </w:rPr>
        <w:t xml:space="preserve">(2017). California Invasive Plant Council. Retrieved from </w:t>
      </w:r>
      <w:hyperlink r:id="rId265" w:history="1">
        <w:r w:rsidRPr="003338D7">
          <w:rPr>
            <w:rStyle w:val="Hyperlink"/>
            <w:rFonts w:asciiTheme="majorHAnsi" w:hAnsiTheme="majorHAnsi"/>
            <w:noProof/>
            <w:szCs w:val="22"/>
          </w:rPr>
          <w:t>http://cal-ipc.org/</w:t>
        </w:r>
      </w:hyperlink>
    </w:p>
    <w:p w14:paraId="41B9C14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California Natural Resources Agency. (2015). </w:t>
      </w:r>
      <w:r w:rsidRPr="003338D7">
        <w:rPr>
          <w:rFonts w:asciiTheme="majorHAnsi" w:hAnsiTheme="majorHAnsi"/>
          <w:i/>
          <w:iCs/>
          <w:noProof/>
          <w:szCs w:val="22"/>
        </w:rPr>
        <w:t>California Department of Fish and Wildlife</w:t>
      </w:r>
      <w:r w:rsidRPr="003338D7">
        <w:rPr>
          <w:rFonts w:asciiTheme="majorHAnsi" w:hAnsiTheme="majorHAnsi"/>
          <w:noProof/>
          <w:szCs w:val="22"/>
        </w:rPr>
        <w:t xml:space="preserve">. Retrieved from </w:t>
      </w:r>
      <w:hyperlink r:id="rId266" w:history="1">
        <w:r w:rsidRPr="003338D7">
          <w:rPr>
            <w:rStyle w:val="Hyperlink"/>
            <w:rFonts w:asciiTheme="majorHAnsi" w:hAnsiTheme="majorHAnsi"/>
            <w:noProof/>
            <w:szCs w:val="22"/>
          </w:rPr>
          <w:t>https://www.wildlife.ca.gov/Conservation/Plants/Invasives</w:t>
        </w:r>
      </w:hyperlink>
    </w:p>
    <w:p w14:paraId="0E380DC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Callaghan, T. V., Björn, L. O., Chernov, Y., Chapin, T., Christensen, T. R., Huntley, B., … Zöckler, C. (2004). Biodiversity, distributions and adaptations of Arctic species in the context of environmental change. </w:t>
      </w:r>
      <w:r w:rsidRPr="003338D7">
        <w:rPr>
          <w:rFonts w:asciiTheme="majorHAnsi" w:hAnsiTheme="majorHAnsi"/>
          <w:i/>
          <w:iCs/>
          <w:noProof/>
          <w:szCs w:val="22"/>
          <w:lang w:val="es-ES"/>
        </w:rPr>
        <w:t>Ambio</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33</w:t>
      </w:r>
      <w:r w:rsidRPr="003338D7">
        <w:rPr>
          <w:rFonts w:asciiTheme="majorHAnsi" w:hAnsiTheme="majorHAnsi"/>
          <w:noProof/>
          <w:szCs w:val="22"/>
          <w:lang w:val="es-ES"/>
        </w:rPr>
        <w:t xml:space="preserve">(7), 404–417. </w:t>
      </w:r>
      <w:hyperlink r:id="rId267" w:history="1">
        <w:r w:rsidRPr="003338D7">
          <w:rPr>
            <w:rStyle w:val="Hyperlink"/>
            <w:rFonts w:asciiTheme="majorHAnsi" w:hAnsiTheme="majorHAnsi"/>
            <w:noProof/>
            <w:szCs w:val="22"/>
            <w:lang w:val="es-ES"/>
          </w:rPr>
          <w:t>http://doi.org/10.1579/0044-7447-33.7.404</w:t>
        </w:r>
      </w:hyperlink>
    </w:p>
    <w:p w14:paraId="1774FDA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Calvo-Alvarado, J., McLennan, B., Sánchez-Azofeifa, A., &amp; Garvin, T. (2009). </w:t>
      </w:r>
      <w:r w:rsidRPr="003338D7">
        <w:rPr>
          <w:rFonts w:asciiTheme="majorHAnsi" w:hAnsiTheme="majorHAnsi"/>
          <w:noProof/>
          <w:szCs w:val="22"/>
        </w:rPr>
        <w:t xml:space="preserve">Deforestation and forest restoration in Guanacaste, Costa Rica: Putting conservation policies in context. </w:t>
      </w:r>
      <w:r w:rsidRPr="003338D7">
        <w:rPr>
          <w:rFonts w:asciiTheme="majorHAnsi" w:hAnsiTheme="majorHAnsi"/>
          <w:i/>
          <w:iCs/>
          <w:noProof/>
          <w:szCs w:val="22"/>
        </w:rPr>
        <w:t>Forest Ecology and Management</w:t>
      </w:r>
      <w:r w:rsidRPr="003338D7">
        <w:rPr>
          <w:rFonts w:asciiTheme="majorHAnsi" w:hAnsiTheme="majorHAnsi"/>
          <w:noProof/>
          <w:szCs w:val="22"/>
        </w:rPr>
        <w:t xml:space="preserve">, </w:t>
      </w:r>
      <w:r w:rsidRPr="003338D7">
        <w:rPr>
          <w:rFonts w:asciiTheme="majorHAnsi" w:hAnsiTheme="majorHAnsi"/>
          <w:i/>
          <w:iCs/>
          <w:noProof/>
          <w:szCs w:val="22"/>
        </w:rPr>
        <w:t>258</w:t>
      </w:r>
      <w:r w:rsidRPr="003338D7">
        <w:rPr>
          <w:rFonts w:asciiTheme="majorHAnsi" w:hAnsiTheme="majorHAnsi"/>
          <w:noProof/>
          <w:szCs w:val="22"/>
        </w:rPr>
        <w:t xml:space="preserve">(6), 931–940. </w:t>
      </w:r>
      <w:hyperlink r:id="rId268" w:history="1">
        <w:r w:rsidRPr="003338D7">
          <w:rPr>
            <w:rStyle w:val="Hyperlink"/>
            <w:rFonts w:asciiTheme="majorHAnsi" w:hAnsiTheme="majorHAnsi"/>
            <w:noProof/>
            <w:szCs w:val="22"/>
          </w:rPr>
          <w:t>http://doi.org/10.1016/j.foreco.2008.10.035</w:t>
        </w:r>
      </w:hyperlink>
    </w:p>
    <w:p w14:paraId="7E33ED9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Calvo-Alvarado, J., Sánchez-Azofeifa, A., &amp; Portillo-Quintero, C. (2013). Neotropical seasonally dry forests. In S. Levin (Ed.), </w:t>
      </w:r>
      <w:r w:rsidRPr="003338D7">
        <w:rPr>
          <w:rFonts w:asciiTheme="majorHAnsi" w:hAnsiTheme="majorHAnsi"/>
          <w:i/>
          <w:iCs/>
          <w:noProof/>
          <w:szCs w:val="22"/>
        </w:rPr>
        <w:t>Encyclopedia of Biodiversity</w:t>
      </w:r>
      <w:r w:rsidRPr="003338D7">
        <w:rPr>
          <w:rFonts w:asciiTheme="majorHAnsi" w:hAnsiTheme="majorHAnsi"/>
          <w:noProof/>
          <w:szCs w:val="22"/>
        </w:rPr>
        <w:t xml:space="preserve"> (pp. 488–500). Amsterdam, The Netherlands: Academic Press. Retrieved from </w:t>
      </w:r>
      <w:hyperlink r:id="rId269" w:history="1">
        <w:r w:rsidRPr="003338D7">
          <w:rPr>
            <w:rStyle w:val="Hyperlink"/>
            <w:rFonts w:asciiTheme="majorHAnsi" w:hAnsiTheme="majorHAnsi"/>
            <w:noProof/>
            <w:szCs w:val="22"/>
          </w:rPr>
          <w:t>http://linkinghub.elsevier.com/retrieve/pii/B9780123847195003543</w:t>
        </w:r>
      </w:hyperlink>
    </w:p>
    <w:p w14:paraId="292FD39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Cameron, R. W. ., Blanuša, T., Taylor, J. E., Salisbury, A., Halstead, A. J., Henricot, B., &amp; Thompson, K. (2012). The domestic garden – Its contribution to urban green infrastructure. </w:t>
      </w:r>
      <w:r w:rsidRPr="003338D7">
        <w:rPr>
          <w:rFonts w:asciiTheme="majorHAnsi" w:hAnsiTheme="majorHAnsi"/>
          <w:i/>
          <w:iCs/>
          <w:noProof/>
          <w:szCs w:val="22"/>
        </w:rPr>
        <w:t>Urban Forestry &amp; Urban Greening</w:t>
      </w:r>
      <w:r w:rsidRPr="003338D7">
        <w:rPr>
          <w:rFonts w:asciiTheme="majorHAnsi" w:hAnsiTheme="majorHAnsi"/>
          <w:noProof/>
          <w:szCs w:val="22"/>
        </w:rPr>
        <w:t xml:space="preserve">, </w:t>
      </w:r>
      <w:r w:rsidRPr="003338D7">
        <w:rPr>
          <w:rFonts w:asciiTheme="majorHAnsi" w:hAnsiTheme="majorHAnsi"/>
          <w:i/>
          <w:iCs/>
          <w:noProof/>
          <w:szCs w:val="22"/>
        </w:rPr>
        <w:t>11</w:t>
      </w:r>
      <w:r w:rsidRPr="003338D7">
        <w:rPr>
          <w:rFonts w:asciiTheme="majorHAnsi" w:hAnsiTheme="majorHAnsi"/>
          <w:noProof/>
          <w:szCs w:val="22"/>
        </w:rPr>
        <w:t xml:space="preserve">(2), 129–137. </w:t>
      </w:r>
      <w:hyperlink r:id="rId270" w:history="1">
        <w:r w:rsidRPr="003338D7">
          <w:rPr>
            <w:rStyle w:val="Hyperlink"/>
            <w:rFonts w:asciiTheme="majorHAnsi" w:hAnsiTheme="majorHAnsi"/>
            <w:noProof/>
            <w:szCs w:val="22"/>
          </w:rPr>
          <w:t>http://doi.org/10.1016/j.ufug.2012.01.002</w:t>
        </w:r>
      </w:hyperlink>
    </w:p>
    <w:p w14:paraId="2AD41D3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Canfield, D. E., Glazer, A. N., &amp; Falkowski, P. G. (2010). The evolution and future of Earth’s nitrogen cycle.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330</w:t>
      </w:r>
      <w:r w:rsidRPr="003338D7">
        <w:rPr>
          <w:rFonts w:asciiTheme="majorHAnsi" w:hAnsiTheme="majorHAnsi"/>
          <w:noProof/>
          <w:szCs w:val="22"/>
          <w:lang w:val="es-ES"/>
        </w:rPr>
        <w:t xml:space="preserve">(6001), 192–196. </w:t>
      </w:r>
      <w:hyperlink r:id="rId271" w:history="1">
        <w:r w:rsidRPr="003338D7">
          <w:rPr>
            <w:rStyle w:val="Hyperlink"/>
            <w:rFonts w:asciiTheme="majorHAnsi" w:hAnsiTheme="majorHAnsi"/>
            <w:noProof/>
            <w:szCs w:val="22"/>
            <w:lang w:val="es-ES"/>
          </w:rPr>
          <w:t>http://doi.org/10.1126/science.1186120</w:t>
        </w:r>
      </w:hyperlink>
    </w:p>
    <w:p w14:paraId="2672BCE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Cano-Ortiz, A., Musarella, C. M., Piñar-Fuentes, J. C., Pinto-Gomes, C., &amp; Cano-Carmona, E. (2015). </w:t>
      </w:r>
      <w:r w:rsidRPr="003338D7">
        <w:rPr>
          <w:rFonts w:asciiTheme="majorHAnsi" w:hAnsiTheme="majorHAnsi"/>
          <w:noProof/>
          <w:szCs w:val="22"/>
        </w:rPr>
        <w:t xml:space="preserve">Forests and landscapes of Dominican Republic. </w:t>
      </w:r>
      <w:r w:rsidRPr="003338D7">
        <w:rPr>
          <w:rFonts w:asciiTheme="majorHAnsi" w:hAnsiTheme="majorHAnsi"/>
          <w:i/>
          <w:iCs/>
          <w:noProof/>
          <w:szCs w:val="22"/>
        </w:rPr>
        <w:t>British Journal of Applied Science &amp; Technology</w:t>
      </w:r>
      <w:r w:rsidRPr="003338D7">
        <w:rPr>
          <w:rFonts w:asciiTheme="majorHAnsi" w:hAnsiTheme="majorHAnsi"/>
          <w:noProof/>
          <w:szCs w:val="22"/>
        </w:rPr>
        <w:t xml:space="preserve">, </w:t>
      </w:r>
      <w:r w:rsidRPr="003338D7">
        <w:rPr>
          <w:rFonts w:asciiTheme="majorHAnsi" w:hAnsiTheme="majorHAnsi"/>
          <w:i/>
          <w:iCs/>
          <w:noProof/>
          <w:szCs w:val="22"/>
        </w:rPr>
        <w:t>9</w:t>
      </w:r>
      <w:r w:rsidRPr="003338D7">
        <w:rPr>
          <w:rFonts w:asciiTheme="majorHAnsi" w:hAnsiTheme="majorHAnsi"/>
          <w:noProof/>
          <w:szCs w:val="22"/>
        </w:rPr>
        <w:t xml:space="preserve">(3), 231–242. </w:t>
      </w:r>
      <w:hyperlink r:id="rId272" w:history="1">
        <w:r w:rsidRPr="003338D7">
          <w:rPr>
            <w:rStyle w:val="Hyperlink"/>
            <w:rFonts w:asciiTheme="majorHAnsi" w:hAnsiTheme="majorHAnsi"/>
            <w:noProof/>
            <w:szCs w:val="22"/>
          </w:rPr>
          <w:t>http://doi.org/10.9734/BJAST/2015/17507</w:t>
        </w:r>
      </w:hyperlink>
    </w:p>
    <w:p w14:paraId="1AC49FB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Carabias, J., Sarukhán, J., De la Maza, J., &amp; Galindo, C. (2010). </w:t>
      </w:r>
      <w:r w:rsidRPr="003338D7">
        <w:rPr>
          <w:rFonts w:asciiTheme="majorHAnsi" w:hAnsiTheme="majorHAnsi"/>
          <w:i/>
          <w:iCs/>
          <w:noProof/>
          <w:szCs w:val="22"/>
          <w:lang w:val="es-ES"/>
        </w:rPr>
        <w:t>Patrimonio Natural de México. Cien Casos de Éxito.</w:t>
      </w:r>
      <w:r w:rsidRPr="003338D7">
        <w:rPr>
          <w:rFonts w:asciiTheme="majorHAnsi" w:hAnsiTheme="majorHAnsi"/>
          <w:noProof/>
          <w:szCs w:val="22"/>
          <w:lang w:val="es-ES"/>
        </w:rPr>
        <w:t xml:space="preserve"> Mexico City, Mexico: México, Comisión Nacional para el Conocimiento y Uso de la Biodiversidad. </w:t>
      </w:r>
      <w:r w:rsidRPr="003338D7">
        <w:rPr>
          <w:rFonts w:asciiTheme="majorHAnsi" w:hAnsiTheme="majorHAnsi"/>
          <w:noProof/>
          <w:szCs w:val="22"/>
        </w:rPr>
        <w:t xml:space="preserve">Retrieved from </w:t>
      </w:r>
      <w:hyperlink r:id="rId273" w:history="1">
        <w:r w:rsidRPr="003338D7">
          <w:rPr>
            <w:rStyle w:val="Hyperlink"/>
            <w:rFonts w:asciiTheme="majorHAnsi" w:hAnsiTheme="majorHAnsi"/>
            <w:noProof/>
            <w:szCs w:val="22"/>
          </w:rPr>
          <w:t>http://www.biodiversidad.gob.mx/pais/cien_casos/pdf/Cien casos.pdf</w:t>
        </w:r>
      </w:hyperlink>
    </w:p>
    <w:p w14:paraId="042EF34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w:t>
      </w:r>
      <w:r w:rsidRPr="003338D7">
        <w:rPr>
          <w:rFonts w:asciiTheme="majorHAnsi" w:hAnsiTheme="majorHAnsi"/>
          <w:noProof/>
          <w:szCs w:val="22"/>
          <w:lang w:val="es-ES"/>
        </w:rPr>
        <w:t>(3), e32529. https://doi.org/10.1371/journal.pone.0032529</w:t>
      </w:r>
    </w:p>
    <w:p w14:paraId="1837206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Cardinale, B. J., Duffy, J. E., Gonzalez, A., Hooper, D. U., Perrings, C., Venail, P., Narwani, A., Mace, G. M., Tilman, D., A.Wardle, D., Kinzig, A. P., Daily, G. C., Loreau, M., Grace, J. B., Larigauderie, A., Srivastava, D. S., &amp; Naeem, S. (2012). Erratum: Corrigendum: Biodiversity loss and its impact on humanity.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489</w:t>
      </w:r>
      <w:r w:rsidRPr="003338D7">
        <w:rPr>
          <w:rFonts w:asciiTheme="majorHAnsi" w:hAnsiTheme="majorHAnsi"/>
          <w:noProof/>
          <w:szCs w:val="22"/>
          <w:lang w:val="es-ES"/>
        </w:rPr>
        <w:t xml:space="preserve">(7415), 326–326. </w:t>
      </w:r>
      <w:hyperlink r:id="rId274" w:history="1">
        <w:r w:rsidRPr="003338D7">
          <w:rPr>
            <w:rStyle w:val="Hyperlink"/>
            <w:rFonts w:asciiTheme="majorHAnsi" w:hAnsiTheme="majorHAnsi"/>
            <w:noProof/>
            <w:szCs w:val="22"/>
            <w:lang w:val="es-ES"/>
          </w:rPr>
          <w:t>https://doi.org/10.1038/nature11373</w:t>
        </w:r>
      </w:hyperlink>
    </w:p>
    <w:p w14:paraId="15E2680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Cardinale, B. J., Matulich, K. L., Hooper, D. U., Byrnes, J. E., Duffy, E., Gamfeldt, L., Balvanera, P., O’Connor, M. I., &amp; Gonzalez, A. (2011). The functional role of producer diversity in ecosystems. </w:t>
      </w:r>
      <w:r w:rsidRPr="003338D7">
        <w:rPr>
          <w:rFonts w:asciiTheme="majorHAnsi" w:hAnsiTheme="majorHAnsi"/>
          <w:i/>
          <w:iCs/>
          <w:noProof/>
          <w:szCs w:val="22"/>
          <w:lang w:val="es-ES"/>
        </w:rPr>
        <w:t>American Journal of Botany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98</w:t>
      </w:r>
      <w:r w:rsidRPr="003338D7">
        <w:rPr>
          <w:rFonts w:asciiTheme="majorHAnsi" w:hAnsiTheme="majorHAnsi"/>
          <w:noProof/>
          <w:szCs w:val="22"/>
          <w:lang w:val="es-ES"/>
        </w:rPr>
        <w:t xml:space="preserve">(3), 572–592. </w:t>
      </w:r>
      <w:hyperlink r:id="rId275" w:history="1">
        <w:r w:rsidRPr="003338D7">
          <w:rPr>
            <w:rStyle w:val="Hyperlink"/>
            <w:rFonts w:asciiTheme="majorHAnsi" w:hAnsiTheme="majorHAnsi"/>
            <w:noProof/>
            <w:szCs w:val="22"/>
            <w:lang w:val="es-ES"/>
          </w:rPr>
          <w:t>https://doi.org/10.3732/ajb.1000364</w:t>
        </w:r>
      </w:hyperlink>
    </w:p>
    <w:p w14:paraId="29BCD9B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Cardinale, B. J., Wright, J. P., Cadotte, M. W., Carroll, I. T., Hector, A., Srivastava, D. S., Loreau, M., &amp; Weis, J. J. (2007). Impacts of plant diversity on biomass production increase through time because of species complementarity.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104</w:t>
      </w:r>
      <w:r w:rsidRPr="003338D7">
        <w:rPr>
          <w:rFonts w:asciiTheme="majorHAnsi" w:hAnsiTheme="majorHAnsi"/>
          <w:noProof/>
          <w:szCs w:val="22"/>
          <w:lang w:val="es-ES"/>
        </w:rPr>
        <w:t xml:space="preserve">(46), 18123–18128. </w:t>
      </w:r>
      <w:hyperlink r:id="rId276" w:history="1">
        <w:r w:rsidRPr="003338D7">
          <w:rPr>
            <w:rStyle w:val="Hyperlink"/>
            <w:rFonts w:asciiTheme="majorHAnsi" w:hAnsiTheme="majorHAnsi"/>
            <w:noProof/>
            <w:szCs w:val="22"/>
            <w:lang w:val="es-ES"/>
          </w:rPr>
          <w:t>https://doi.org/10.1073/pnas.0709069104</w:t>
        </w:r>
      </w:hyperlink>
    </w:p>
    <w:p w14:paraId="4CF9E64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Cardoso, D., Särkinen, T., Alexander, S., Amorim, A. M., Bittrich, V., Celis, M., Daly, D. C., Fiaschi, P., Funk, V. A., Giacomin, L. L., Goldenberg, R., Heiden, G., Iganci, J., Kelloff, C. L., Knapp, S., Cavalcante de Lima, H., Machado, A. F. P., dos Santos, R. M., Mello-Silva, R., Michelangeli, F. A., Mitchell, J., Moonlight, P., de Moraes, P. L. R., Mori, S. A., Nunes, T. S., Pennington, T. D., Pirani, J. R., Prance, G. T., de Queiroz, L. P., Rapini, A., Riina, R., Rincon, C. A. V., Roque, N., Shimizu, G., Sobral, M., Stehmann, J. R., Stevens, W. D., Taylor, C. M., Trovó, M., van den Berg, C., van der Werff, H., Viana, P. L., Zartman, C. E., &amp; Forzza, R. C. (2017). Amazon plant diversity revealed by a taxonomically verified species list.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114</w:t>
      </w:r>
      <w:r w:rsidRPr="003338D7">
        <w:rPr>
          <w:rFonts w:asciiTheme="majorHAnsi" w:hAnsiTheme="majorHAnsi"/>
          <w:noProof/>
          <w:szCs w:val="22"/>
          <w:lang w:val="es-ES"/>
        </w:rPr>
        <w:t xml:space="preserve">(40), 10695–10700. </w:t>
      </w:r>
      <w:hyperlink r:id="rId277" w:history="1">
        <w:r w:rsidRPr="003338D7">
          <w:rPr>
            <w:rStyle w:val="Hyperlink"/>
            <w:rFonts w:asciiTheme="majorHAnsi" w:hAnsiTheme="majorHAnsi"/>
            <w:noProof/>
            <w:szCs w:val="22"/>
            <w:lang w:val="es-ES"/>
          </w:rPr>
          <w:t>https://doi.org/10.1073/pnas.1706756114</w:t>
        </w:r>
      </w:hyperlink>
    </w:p>
    <w:p w14:paraId="2A04EC1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Carlton, J. T., Chapman, J. W., Geller, J. B., Miller, J. A., Carlton, D. A., McCuller, M. I., Treneman, N. C., Steves, B. P., &amp; Ruiz, G. M. (2017). Tsunami-driven rafting: Transoceanic species dispersal and implications for marine biogeography.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357</w:t>
      </w:r>
      <w:r w:rsidRPr="003338D7">
        <w:rPr>
          <w:rFonts w:asciiTheme="majorHAnsi" w:hAnsiTheme="majorHAnsi"/>
          <w:noProof/>
          <w:szCs w:val="22"/>
          <w:lang w:val="es-ES"/>
        </w:rPr>
        <w:t xml:space="preserve">(6358), 1402–1406. </w:t>
      </w:r>
      <w:hyperlink r:id="rId278" w:history="1">
        <w:r w:rsidRPr="003338D7">
          <w:rPr>
            <w:rStyle w:val="Hyperlink"/>
            <w:rFonts w:asciiTheme="majorHAnsi" w:hAnsiTheme="majorHAnsi"/>
            <w:noProof/>
            <w:szCs w:val="22"/>
            <w:lang w:val="es-ES"/>
          </w:rPr>
          <w:t>https://doi.org/10.1126/science.aao1498</w:t>
        </w:r>
      </w:hyperlink>
    </w:p>
    <w:p w14:paraId="19E3141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Carmignotto, A. P., De Vivo, M., &amp; Langguth, A. (2012). </w:t>
      </w:r>
      <w:r w:rsidRPr="003338D7">
        <w:rPr>
          <w:rFonts w:asciiTheme="majorHAnsi" w:hAnsiTheme="majorHAnsi"/>
          <w:noProof/>
          <w:szCs w:val="22"/>
        </w:rPr>
        <w:t xml:space="preserve">Mammals of the Cerrado and Caatinga: distribution patterns of the tropical open biomes of central South America. In B. D. Patterson &amp; L. P. Costa (Eds.), </w:t>
      </w:r>
      <w:r w:rsidRPr="003338D7">
        <w:rPr>
          <w:rFonts w:asciiTheme="majorHAnsi" w:hAnsiTheme="majorHAnsi"/>
          <w:i/>
          <w:iCs/>
          <w:noProof/>
          <w:szCs w:val="22"/>
        </w:rPr>
        <w:t>Bones, Clones and Biomes. The History and Geography of Recent Neotropical Mammals</w:t>
      </w:r>
      <w:r w:rsidRPr="003338D7">
        <w:rPr>
          <w:rFonts w:asciiTheme="majorHAnsi" w:hAnsiTheme="majorHAnsi"/>
          <w:noProof/>
          <w:szCs w:val="22"/>
        </w:rPr>
        <w:t xml:space="preserve"> (pp. 307–350). Chicago, USA.: University of Chicago Press.</w:t>
      </w:r>
    </w:p>
    <w:p w14:paraId="3785897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Carvalho, F. M., De Marco, P., &amp; Ferreira, L. G. (2009). </w:t>
      </w:r>
      <w:r w:rsidRPr="003338D7">
        <w:rPr>
          <w:rFonts w:asciiTheme="majorHAnsi" w:hAnsiTheme="majorHAnsi"/>
          <w:noProof/>
          <w:szCs w:val="22"/>
        </w:rPr>
        <w:t xml:space="preserve">The Cerrado into-pieces: Habitat fragmentation as a function of landscape use in the savannas of central Brazil. </w:t>
      </w:r>
      <w:r w:rsidRPr="003338D7">
        <w:rPr>
          <w:rFonts w:asciiTheme="majorHAnsi" w:hAnsiTheme="majorHAnsi"/>
          <w:i/>
          <w:iCs/>
          <w:noProof/>
          <w:szCs w:val="22"/>
          <w:lang w:val="es-ES"/>
        </w:rPr>
        <w:t>Biological Conservation</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142</w:t>
      </w:r>
      <w:r w:rsidRPr="003338D7">
        <w:rPr>
          <w:rFonts w:asciiTheme="majorHAnsi" w:hAnsiTheme="majorHAnsi"/>
          <w:noProof/>
          <w:szCs w:val="22"/>
          <w:lang w:val="es-ES"/>
        </w:rPr>
        <w:t>(7), 1392–1403.</w:t>
      </w:r>
    </w:p>
    <w:p w14:paraId="18F8A54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Casas, A., Moreno-Calles, A. I., Vallejo, M., &amp; Parra, F. (2016). Importancia actual y potencial de los recursos genéticos. In A. Casas, J. Torres-Guevara, &amp; F. Parra (Eds.), </w:t>
      </w:r>
      <w:r w:rsidRPr="003338D7">
        <w:rPr>
          <w:rFonts w:asciiTheme="majorHAnsi" w:hAnsiTheme="majorHAnsi"/>
          <w:i/>
          <w:iCs/>
          <w:noProof/>
          <w:szCs w:val="22"/>
          <w:lang w:val="es-ES"/>
        </w:rPr>
        <w:t>Domesticación en el Continente Americano Vol. 1. Investigación Manejo de Biodiversidad y Evolución Dirigida por las Culturas del Nuevo Mundo</w:t>
      </w:r>
      <w:r w:rsidRPr="003338D7">
        <w:rPr>
          <w:rFonts w:asciiTheme="majorHAnsi" w:hAnsiTheme="majorHAnsi"/>
          <w:noProof/>
          <w:szCs w:val="22"/>
          <w:lang w:val="es-ES"/>
        </w:rPr>
        <w:t xml:space="preserve"> (pp. 51–74). México D.F., México and Lima, Perú: Universidad Nacional Autónoma de México/Universidad Nacional Agraria La Molina.</w:t>
      </w:r>
    </w:p>
    <w:p w14:paraId="15E8797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Casas, A., Otero-Arnaiz, A., Perez-Negron, E., &amp; Valiente-Banuet, A. (2007). </w:t>
      </w:r>
      <w:r w:rsidRPr="003338D7">
        <w:rPr>
          <w:rFonts w:asciiTheme="majorHAnsi" w:hAnsiTheme="majorHAnsi"/>
          <w:noProof/>
          <w:szCs w:val="22"/>
        </w:rPr>
        <w:t xml:space="preserve">In situ management and domestication of plants in Mesoamerica. </w:t>
      </w:r>
      <w:r w:rsidRPr="003338D7">
        <w:rPr>
          <w:rFonts w:asciiTheme="majorHAnsi" w:hAnsiTheme="majorHAnsi"/>
          <w:i/>
          <w:iCs/>
          <w:noProof/>
          <w:szCs w:val="22"/>
        </w:rPr>
        <w:t>Annals of Botany</w:t>
      </w:r>
      <w:r w:rsidRPr="003338D7">
        <w:rPr>
          <w:rFonts w:asciiTheme="majorHAnsi" w:hAnsiTheme="majorHAnsi"/>
          <w:noProof/>
          <w:szCs w:val="22"/>
        </w:rPr>
        <w:t xml:space="preserve">, </w:t>
      </w:r>
      <w:r w:rsidRPr="003338D7">
        <w:rPr>
          <w:rFonts w:asciiTheme="majorHAnsi" w:hAnsiTheme="majorHAnsi"/>
          <w:i/>
          <w:iCs/>
          <w:noProof/>
          <w:szCs w:val="22"/>
        </w:rPr>
        <w:t>100</w:t>
      </w:r>
      <w:r w:rsidRPr="003338D7">
        <w:rPr>
          <w:rFonts w:asciiTheme="majorHAnsi" w:hAnsiTheme="majorHAnsi"/>
          <w:noProof/>
          <w:szCs w:val="22"/>
        </w:rPr>
        <w:t xml:space="preserve">(5), 1101–1115. </w:t>
      </w:r>
      <w:hyperlink r:id="rId279" w:history="1">
        <w:r w:rsidRPr="003338D7">
          <w:rPr>
            <w:rStyle w:val="Hyperlink"/>
            <w:rFonts w:asciiTheme="majorHAnsi" w:hAnsiTheme="majorHAnsi"/>
            <w:noProof/>
            <w:szCs w:val="22"/>
          </w:rPr>
          <w:t>http://doi.org/10.1093/aob/mcm126</w:t>
        </w:r>
      </w:hyperlink>
    </w:p>
    <w:p w14:paraId="1288B5A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Casas, A., Parra-Rodinel, F., Rangel-Landa, S., Blancas, J., Vallejo, M., Moreno-Calles, A. I., Guillén, S., Torres-García, I., Delgado-Lemus, A., Pérez-Negrón, E., Figueredo, C. J., Cruse-Sanders, J. M., Farfán-Heredia, B., Solís, L., Aguirre-Dugua, X., Otero-Arnaiz, A., Alvarado-Sizzo, H., &amp; Camou-Guerrero, A. (2017). Manejo y domesticación de plantas en Mesoamérica. Una estrategia de investigación y estado del conocimiento sobre los recursos genéticos en México. In A. Casas, J. Torres-Guevara, &amp; F. Parra-Rondinel (Eds.), </w:t>
      </w:r>
      <w:r w:rsidRPr="003338D7">
        <w:rPr>
          <w:rFonts w:asciiTheme="majorHAnsi" w:hAnsiTheme="majorHAnsi"/>
          <w:i/>
          <w:iCs/>
          <w:noProof/>
          <w:szCs w:val="22"/>
          <w:lang w:val="es-ES"/>
        </w:rPr>
        <w:t>Domesticación en el Continente Americano Vol. 2. Investigación para el Manejo Sustentable de Recursos Genéticos en el Nuevo Mundo</w:t>
      </w:r>
      <w:r w:rsidRPr="003338D7">
        <w:rPr>
          <w:rFonts w:asciiTheme="majorHAnsi" w:hAnsiTheme="majorHAnsi"/>
          <w:noProof/>
          <w:szCs w:val="22"/>
          <w:lang w:val="es-ES"/>
        </w:rPr>
        <w:t xml:space="preserve"> (pp. 69–102). México D.F., México and Lima, Perú: Universidad Nacional Autónoma de México/Universidad Nacional Agraria La Molina/CONACYT.</w:t>
      </w:r>
    </w:p>
    <w:p w14:paraId="21AE99D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Casas, A., Parra-Rondinel, F., Torres-García, I., Rangel-Landa, S., Zarazúa, M., &amp; Torres-Guevara, J. (2017). Estudios y patrones continentales de domesticación y manejo de recursos genéticos: perspectivas. In A. Casas, J. Torres-Guevara, &amp; F. Parra-Rondinel (Eds.), </w:t>
      </w:r>
      <w:r w:rsidRPr="003338D7">
        <w:rPr>
          <w:rFonts w:asciiTheme="majorHAnsi" w:hAnsiTheme="majorHAnsi"/>
          <w:i/>
          <w:iCs/>
          <w:noProof/>
          <w:szCs w:val="22"/>
          <w:lang w:val="es-ES"/>
        </w:rPr>
        <w:t>Domesticación en el Continente Americano Vol. 2. Investigación para el Manejo Sustentable de Recursos Genéticos en el Nuevo Mundo</w:t>
      </w:r>
      <w:r w:rsidRPr="003338D7">
        <w:rPr>
          <w:rFonts w:asciiTheme="majorHAnsi" w:hAnsiTheme="majorHAnsi"/>
          <w:noProof/>
          <w:szCs w:val="22"/>
          <w:lang w:val="es-ES"/>
        </w:rPr>
        <w:t xml:space="preserve"> (pp. 537–569). México D.F., México and Lima, Perú: Universidad Nacional Autónoma de México/Universidad Nacional Agraria La Molina/CONACYT.</w:t>
      </w:r>
    </w:p>
    <w:p w14:paraId="424FDD5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Casas, A., Parra, F., Blancas, J., Rangel-Landa, S., Vallejo, M., Figueredo, C. J., &amp; Moreno-Calles, A. I. (2016). Origen de la domesticación y la agricultura: cómo y por qué. In A. Casas, J. Torres-Guevara, &amp; F. Parra (Eds.), </w:t>
      </w:r>
      <w:r w:rsidRPr="003338D7">
        <w:rPr>
          <w:rFonts w:asciiTheme="majorHAnsi" w:hAnsiTheme="majorHAnsi"/>
          <w:i/>
          <w:iCs/>
          <w:noProof/>
          <w:szCs w:val="22"/>
          <w:lang w:val="es-ES"/>
        </w:rPr>
        <w:t>Domesticación en el Continente Americano Vol. 1. Investigación Manejo de Biodiversidad y Evolución Dirigida por las Culturas del Nuevo Mundo</w:t>
      </w:r>
      <w:r w:rsidRPr="003338D7">
        <w:rPr>
          <w:rFonts w:asciiTheme="majorHAnsi" w:hAnsiTheme="majorHAnsi"/>
          <w:noProof/>
          <w:szCs w:val="22"/>
          <w:lang w:val="es-ES"/>
        </w:rPr>
        <w:t xml:space="preserve"> (pp. 189–224). México D.F., México and Lima, Perú: Universidad Nacional Autónoma de México/Universidad Nacional Agraria La Molina.</w:t>
      </w:r>
    </w:p>
    <w:p w14:paraId="0CEA1F9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Cashman, A. (2014). Water security and services in the Caribbean. </w:t>
      </w:r>
      <w:r w:rsidRPr="003338D7">
        <w:rPr>
          <w:rFonts w:asciiTheme="majorHAnsi" w:hAnsiTheme="majorHAnsi"/>
          <w:i/>
          <w:iCs/>
          <w:noProof/>
          <w:szCs w:val="22"/>
        </w:rPr>
        <w:t>Water</w:t>
      </w:r>
      <w:r w:rsidRPr="003338D7">
        <w:rPr>
          <w:rFonts w:asciiTheme="majorHAnsi" w:hAnsiTheme="majorHAnsi"/>
          <w:noProof/>
          <w:szCs w:val="22"/>
        </w:rPr>
        <w:t xml:space="preserve">, </w:t>
      </w:r>
      <w:r w:rsidRPr="003338D7">
        <w:rPr>
          <w:rFonts w:asciiTheme="majorHAnsi" w:hAnsiTheme="majorHAnsi"/>
          <w:i/>
          <w:iCs/>
          <w:noProof/>
          <w:szCs w:val="22"/>
        </w:rPr>
        <w:t>6</w:t>
      </w:r>
      <w:r w:rsidRPr="003338D7">
        <w:rPr>
          <w:rFonts w:asciiTheme="majorHAnsi" w:hAnsiTheme="majorHAnsi"/>
          <w:noProof/>
          <w:szCs w:val="22"/>
        </w:rPr>
        <w:t>(5), 1187–1203.</w:t>
      </w:r>
      <w:hyperlink r:id="rId280" w:history="1">
        <w:r w:rsidRPr="003338D7">
          <w:rPr>
            <w:rStyle w:val="Hyperlink"/>
            <w:rFonts w:asciiTheme="majorHAnsi" w:hAnsiTheme="majorHAnsi"/>
            <w:noProof/>
            <w:szCs w:val="22"/>
          </w:rPr>
          <w:t>http://doi.org/10.3390/w6051187</w:t>
        </w:r>
      </w:hyperlink>
    </w:p>
    <w:p w14:paraId="0CCB331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Casner, K. L., Forister, M. L., O’Brien, J. M., Thorne, J., Waetjen, D., &amp; Shapiro, A. M. (2014). Contribution of urban expansion and a changing climate to decline of a butterfly fauna.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28</w:t>
      </w:r>
      <w:r w:rsidRPr="003338D7">
        <w:rPr>
          <w:rFonts w:asciiTheme="majorHAnsi" w:hAnsiTheme="majorHAnsi"/>
          <w:noProof/>
          <w:szCs w:val="22"/>
        </w:rPr>
        <w:t xml:space="preserve">(3), 773–782. </w:t>
      </w:r>
      <w:hyperlink r:id="rId281" w:history="1">
        <w:r w:rsidRPr="003338D7">
          <w:rPr>
            <w:rStyle w:val="Hyperlink"/>
            <w:rFonts w:asciiTheme="majorHAnsi" w:hAnsiTheme="majorHAnsi"/>
            <w:noProof/>
            <w:szCs w:val="22"/>
          </w:rPr>
          <w:t>http://doi.org/10.1111/cobi.12241</w:t>
        </w:r>
      </w:hyperlink>
    </w:p>
    <w:p w14:paraId="6A747CA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Castello, L., McGrath, D. G., Hess, L. L., Coe, M. T., Lefebvre, P. A., Petry, P., Macedo, M. N., Renó, V. F., &amp; Arantes, C. C. (2013). The vulnerability of Amazon freshwater ecosystems. </w:t>
      </w:r>
      <w:r w:rsidRPr="003338D7">
        <w:rPr>
          <w:rFonts w:asciiTheme="majorHAnsi" w:hAnsiTheme="majorHAnsi"/>
          <w:i/>
          <w:iCs/>
          <w:noProof/>
          <w:szCs w:val="22"/>
          <w:lang w:val="es-ES"/>
        </w:rPr>
        <w:t>Conservation Letters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w:t>
      </w:r>
      <w:r w:rsidRPr="003338D7">
        <w:rPr>
          <w:rFonts w:asciiTheme="majorHAnsi" w:hAnsiTheme="majorHAnsi"/>
          <w:noProof/>
          <w:szCs w:val="22"/>
          <w:lang w:val="es-ES"/>
        </w:rPr>
        <w:t xml:space="preserve">(4), 217–229. </w:t>
      </w:r>
      <w:hyperlink r:id="rId282" w:history="1">
        <w:r w:rsidRPr="003338D7">
          <w:rPr>
            <w:rStyle w:val="Hyperlink"/>
            <w:rFonts w:asciiTheme="majorHAnsi" w:hAnsiTheme="majorHAnsi"/>
            <w:noProof/>
            <w:szCs w:val="22"/>
            <w:lang w:val="es-ES"/>
          </w:rPr>
          <w:t>https://doi.org/10.1111/conl.12008</w:t>
        </w:r>
      </w:hyperlink>
    </w:p>
    <w:p w14:paraId="11E0124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Castillo, L. E., Ruepert, C., &amp; Solis, E. (2000). Pesticide residues in the aquatic environment of banana plantation areas in the north Atlantic zone of Costa Rica. </w:t>
      </w:r>
      <w:r w:rsidRPr="003338D7">
        <w:rPr>
          <w:rFonts w:asciiTheme="majorHAnsi" w:hAnsiTheme="majorHAnsi"/>
          <w:i/>
          <w:iCs/>
          <w:noProof/>
          <w:szCs w:val="22"/>
        </w:rPr>
        <w:t>Environmental Toxicology and Chemistry</w:t>
      </w:r>
      <w:r w:rsidRPr="003338D7">
        <w:rPr>
          <w:rFonts w:asciiTheme="majorHAnsi" w:hAnsiTheme="majorHAnsi"/>
          <w:noProof/>
          <w:szCs w:val="22"/>
        </w:rPr>
        <w:t xml:space="preserve">, </w:t>
      </w:r>
      <w:r w:rsidRPr="003338D7">
        <w:rPr>
          <w:rFonts w:asciiTheme="majorHAnsi" w:hAnsiTheme="majorHAnsi"/>
          <w:i/>
          <w:iCs/>
          <w:noProof/>
          <w:szCs w:val="22"/>
        </w:rPr>
        <w:t>19</w:t>
      </w:r>
      <w:r w:rsidRPr="003338D7">
        <w:rPr>
          <w:rFonts w:asciiTheme="majorHAnsi" w:hAnsiTheme="majorHAnsi"/>
          <w:noProof/>
          <w:szCs w:val="22"/>
        </w:rPr>
        <w:t xml:space="preserve">, 1942–1950. </w:t>
      </w:r>
      <w:hyperlink r:id="rId283" w:history="1">
        <w:r w:rsidRPr="003338D7">
          <w:rPr>
            <w:rStyle w:val="Hyperlink"/>
            <w:rFonts w:asciiTheme="majorHAnsi" w:hAnsiTheme="majorHAnsi"/>
            <w:noProof/>
            <w:szCs w:val="22"/>
          </w:rPr>
          <w:t>http://doi.org/10.1002/etc.5620190802</w:t>
        </w:r>
      </w:hyperlink>
    </w:p>
    <w:p w14:paraId="5C2AEDC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rPr>
        <w:t xml:space="preserve">Cavalcanti, M. C. B. T., Ramos, M. A., Araújo, E. L., &amp; Albuquerque, U. P. (2015). Implications from the use of non-timber forest products on the consumption of wood as a fuel source in human-dominated semiarid landscapes. </w:t>
      </w:r>
      <w:r w:rsidRPr="003338D7">
        <w:rPr>
          <w:rFonts w:asciiTheme="majorHAnsi" w:hAnsiTheme="majorHAnsi"/>
          <w:i/>
          <w:iCs/>
          <w:noProof/>
          <w:szCs w:val="22"/>
          <w:lang w:val="de-DE"/>
        </w:rPr>
        <w:t>Environmental Management</w:t>
      </w:r>
      <w:r w:rsidRPr="003338D7">
        <w:rPr>
          <w:rFonts w:asciiTheme="majorHAnsi" w:hAnsiTheme="majorHAnsi"/>
          <w:noProof/>
          <w:szCs w:val="22"/>
          <w:lang w:val="de-DE"/>
        </w:rPr>
        <w:t xml:space="preserve">, </w:t>
      </w:r>
      <w:r w:rsidRPr="003338D7">
        <w:rPr>
          <w:rFonts w:asciiTheme="majorHAnsi" w:hAnsiTheme="majorHAnsi"/>
          <w:i/>
          <w:iCs/>
          <w:noProof/>
          <w:szCs w:val="22"/>
          <w:lang w:val="de-DE"/>
        </w:rPr>
        <w:t>56</w:t>
      </w:r>
      <w:r w:rsidRPr="003338D7">
        <w:rPr>
          <w:rFonts w:asciiTheme="majorHAnsi" w:hAnsiTheme="majorHAnsi"/>
          <w:noProof/>
          <w:szCs w:val="22"/>
          <w:lang w:val="de-DE"/>
        </w:rPr>
        <w:t xml:space="preserve">(2), 389–401. </w:t>
      </w:r>
      <w:hyperlink r:id="rId284" w:history="1">
        <w:r w:rsidRPr="003338D7">
          <w:rPr>
            <w:rStyle w:val="Hyperlink"/>
            <w:rFonts w:asciiTheme="majorHAnsi" w:hAnsiTheme="majorHAnsi"/>
            <w:noProof/>
            <w:szCs w:val="22"/>
            <w:lang w:val="de-DE"/>
          </w:rPr>
          <w:t>http://doi.org/10.1007/s00267-015-0510-4</w:t>
        </w:r>
      </w:hyperlink>
    </w:p>
    <w:p w14:paraId="75F2163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de-DE"/>
        </w:rPr>
        <w:t xml:space="preserve">Cavanaugh, K. C., Kellner, J. R., Forde, A. J., Gruner, D. S., Parker, J. D., Rodriguez, W., &amp; Feller, I. C. (2014). </w:t>
      </w:r>
      <w:r w:rsidRPr="003338D7">
        <w:rPr>
          <w:rFonts w:asciiTheme="majorHAnsi" w:hAnsiTheme="majorHAnsi"/>
          <w:noProof/>
          <w:szCs w:val="22"/>
        </w:rPr>
        <w:t xml:space="preserve">Poleward expansion of mangroves is a threshold response to decreased frequency of extreme cold events.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111</w:t>
      </w:r>
      <w:r w:rsidRPr="003338D7">
        <w:rPr>
          <w:rFonts w:asciiTheme="majorHAnsi" w:hAnsiTheme="majorHAnsi"/>
          <w:noProof/>
          <w:szCs w:val="22"/>
          <w:lang w:val="es-ES"/>
        </w:rPr>
        <w:t xml:space="preserve">, 723–727. </w:t>
      </w:r>
      <w:hyperlink r:id="rId285" w:history="1">
        <w:r w:rsidRPr="003338D7">
          <w:rPr>
            <w:rStyle w:val="Hyperlink"/>
            <w:rFonts w:asciiTheme="majorHAnsi" w:hAnsiTheme="majorHAnsi"/>
            <w:noProof/>
            <w:szCs w:val="22"/>
            <w:lang w:val="es-ES"/>
          </w:rPr>
          <w:t>http://doi.org/10.1073/pnas.1315800111</w:t>
        </w:r>
      </w:hyperlink>
    </w:p>
    <w:p w14:paraId="634BD52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CO"/>
        </w:rPr>
        <w:t xml:space="preserve">Cavender-Bares, J., &amp; Reich, P. B. (2012). </w:t>
      </w:r>
      <w:r w:rsidRPr="003338D7">
        <w:rPr>
          <w:rFonts w:asciiTheme="majorHAnsi" w:hAnsiTheme="majorHAnsi"/>
          <w:noProof/>
          <w:szCs w:val="22"/>
        </w:rPr>
        <w:t xml:space="preserve">Shocks to the system: community assembly of the oak savanna in a 40-year fire frequency experiment. </w:t>
      </w:r>
      <w:r w:rsidRPr="003338D7">
        <w:rPr>
          <w:rFonts w:asciiTheme="majorHAnsi" w:hAnsiTheme="majorHAnsi"/>
          <w:i/>
          <w:iCs/>
          <w:noProof/>
          <w:szCs w:val="22"/>
        </w:rPr>
        <w:t>Ecology</w:t>
      </w:r>
      <w:r w:rsidRPr="003338D7">
        <w:rPr>
          <w:rFonts w:asciiTheme="majorHAnsi" w:hAnsiTheme="majorHAnsi"/>
          <w:noProof/>
          <w:szCs w:val="22"/>
        </w:rPr>
        <w:t xml:space="preserve">, </w:t>
      </w:r>
      <w:r w:rsidRPr="003338D7">
        <w:rPr>
          <w:rFonts w:asciiTheme="majorHAnsi" w:hAnsiTheme="majorHAnsi"/>
          <w:i/>
          <w:iCs/>
          <w:noProof/>
          <w:szCs w:val="22"/>
        </w:rPr>
        <w:t>93</w:t>
      </w:r>
      <w:r w:rsidRPr="003338D7">
        <w:rPr>
          <w:rFonts w:asciiTheme="majorHAnsi" w:hAnsiTheme="majorHAnsi"/>
          <w:noProof/>
          <w:szCs w:val="22"/>
        </w:rPr>
        <w:t xml:space="preserve">(Special Issue), 52–69. </w:t>
      </w:r>
      <w:hyperlink r:id="rId286" w:history="1">
        <w:r w:rsidRPr="003338D7">
          <w:rPr>
            <w:rStyle w:val="Hyperlink"/>
            <w:rFonts w:asciiTheme="majorHAnsi" w:hAnsiTheme="majorHAnsi"/>
            <w:noProof/>
            <w:szCs w:val="22"/>
          </w:rPr>
          <w:t>http://doi.org/10.1890/11-0502.1</w:t>
        </w:r>
      </w:hyperlink>
    </w:p>
    <w:p w14:paraId="6F3E60B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Cavia, R., Cueto, G. R., &amp; Suárez, O. V. (2009). Changes in rodent communities according to the landscape structure in an urban ecosystem. </w:t>
      </w:r>
      <w:r w:rsidRPr="003338D7">
        <w:rPr>
          <w:rFonts w:asciiTheme="majorHAnsi" w:hAnsiTheme="majorHAnsi"/>
          <w:i/>
          <w:iCs/>
          <w:noProof/>
          <w:szCs w:val="22"/>
        </w:rPr>
        <w:t>Landscape and Urban Planning</w:t>
      </w:r>
      <w:r w:rsidRPr="003338D7">
        <w:rPr>
          <w:rFonts w:asciiTheme="majorHAnsi" w:hAnsiTheme="majorHAnsi"/>
          <w:noProof/>
          <w:szCs w:val="22"/>
        </w:rPr>
        <w:t xml:space="preserve">, </w:t>
      </w:r>
      <w:r w:rsidRPr="003338D7">
        <w:rPr>
          <w:rFonts w:asciiTheme="majorHAnsi" w:hAnsiTheme="majorHAnsi"/>
          <w:i/>
          <w:iCs/>
          <w:noProof/>
          <w:szCs w:val="22"/>
        </w:rPr>
        <w:t>90</w:t>
      </w:r>
      <w:r w:rsidRPr="003338D7">
        <w:rPr>
          <w:rFonts w:asciiTheme="majorHAnsi" w:hAnsiTheme="majorHAnsi"/>
          <w:noProof/>
          <w:szCs w:val="22"/>
        </w:rPr>
        <w:t xml:space="preserve">(1–2), 11–19. </w:t>
      </w:r>
      <w:hyperlink r:id="rId287" w:history="1">
        <w:r w:rsidRPr="003338D7">
          <w:rPr>
            <w:rStyle w:val="Hyperlink"/>
            <w:rFonts w:asciiTheme="majorHAnsi" w:hAnsiTheme="majorHAnsi"/>
            <w:noProof/>
            <w:szCs w:val="22"/>
          </w:rPr>
          <w:t>http://doi.org/10.1016/j.landurbplan.2008.10.017</w:t>
        </w:r>
      </w:hyperlink>
    </w:p>
    <w:p w14:paraId="4712056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Cavicchia, M., &amp; García, G. V. (2012). </w:t>
      </w:r>
      <w:r w:rsidRPr="003338D7">
        <w:rPr>
          <w:rFonts w:asciiTheme="majorHAnsi" w:hAnsiTheme="majorHAnsi"/>
          <w:noProof/>
          <w:szCs w:val="22"/>
          <w:lang w:val="es-ES"/>
        </w:rPr>
        <w:t xml:space="preserve">Riqueza y composición de especies de aves rapaces (Falconiformes y Strigiformes) de la ciudad de Buenos Aires, Argentina. </w:t>
      </w:r>
      <w:r w:rsidRPr="003338D7">
        <w:rPr>
          <w:rFonts w:asciiTheme="majorHAnsi" w:hAnsiTheme="majorHAnsi"/>
          <w:i/>
          <w:iCs/>
          <w:noProof/>
          <w:szCs w:val="22"/>
          <w:lang w:val="es-ES"/>
        </w:rPr>
        <w:t>Hornero</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27</w:t>
      </w:r>
      <w:r w:rsidRPr="003338D7">
        <w:rPr>
          <w:rFonts w:asciiTheme="majorHAnsi" w:hAnsiTheme="majorHAnsi"/>
          <w:noProof/>
          <w:szCs w:val="22"/>
          <w:lang w:val="es-ES"/>
        </w:rPr>
        <w:t>(2), 159–166.</w:t>
      </w:r>
    </w:p>
    <w:p w14:paraId="1965487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Caziani, S. M., Derlindati, E. J., Tálamo, A., Sureda, A. L., Trucco, C. E., &amp; Nicolossi, G. (2001). </w:t>
      </w:r>
      <w:r w:rsidRPr="003338D7">
        <w:rPr>
          <w:rFonts w:asciiTheme="majorHAnsi" w:hAnsiTheme="majorHAnsi"/>
          <w:noProof/>
          <w:szCs w:val="22"/>
        </w:rPr>
        <w:t xml:space="preserve">Waterbird richness in Altiplano wetlands of northwestern Argentina. </w:t>
      </w:r>
      <w:r w:rsidRPr="003338D7">
        <w:rPr>
          <w:rFonts w:asciiTheme="majorHAnsi" w:hAnsiTheme="majorHAnsi"/>
          <w:i/>
          <w:iCs/>
          <w:noProof/>
          <w:szCs w:val="22"/>
        </w:rPr>
        <w:t>Waterbirds</w:t>
      </w:r>
      <w:r w:rsidRPr="003338D7">
        <w:rPr>
          <w:rFonts w:asciiTheme="majorHAnsi" w:hAnsiTheme="majorHAnsi"/>
          <w:noProof/>
          <w:szCs w:val="22"/>
        </w:rPr>
        <w:t xml:space="preserve">, </w:t>
      </w:r>
      <w:r w:rsidRPr="003338D7">
        <w:rPr>
          <w:rFonts w:asciiTheme="majorHAnsi" w:hAnsiTheme="majorHAnsi"/>
          <w:i/>
          <w:iCs/>
          <w:noProof/>
          <w:szCs w:val="22"/>
        </w:rPr>
        <w:t>24</w:t>
      </w:r>
      <w:r w:rsidRPr="003338D7">
        <w:rPr>
          <w:rFonts w:asciiTheme="majorHAnsi" w:hAnsiTheme="majorHAnsi"/>
          <w:noProof/>
          <w:szCs w:val="22"/>
        </w:rPr>
        <w:t xml:space="preserve">, 103–117. </w:t>
      </w:r>
      <w:hyperlink r:id="rId288" w:history="1">
        <w:r w:rsidRPr="003338D7">
          <w:rPr>
            <w:rStyle w:val="Hyperlink"/>
            <w:rFonts w:asciiTheme="majorHAnsi" w:hAnsiTheme="majorHAnsi"/>
            <w:noProof/>
            <w:szCs w:val="22"/>
          </w:rPr>
          <w:t>http://doi.org/10.2307/1522249</w:t>
        </w:r>
      </w:hyperlink>
    </w:p>
    <w:p w14:paraId="5D9991C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de-DE"/>
        </w:rPr>
        <w:t xml:space="preserve">Ceballos, G., &amp; Ehrlich, P. R. (2009). </w:t>
      </w:r>
      <w:r w:rsidRPr="003338D7">
        <w:rPr>
          <w:rFonts w:asciiTheme="majorHAnsi" w:hAnsiTheme="majorHAnsi"/>
          <w:noProof/>
          <w:szCs w:val="22"/>
        </w:rPr>
        <w:t xml:space="preserve">Discoveries of new mammal species and their implications for conservation and ecosystem services.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106</w:t>
      </w:r>
      <w:r w:rsidRPr="003338D7">
        <w:rPr>
          <w:rFonts w:asciiTheme="majorHAnsi" w:hAnsiTheme="majorHAnsi"/>
          <w:noProof/>
          <w:szCs w:val="22"/>
          <w:lang w:val="es-ES"/>
        </w:rPr>
        <w:t xml:space="preserve">(10), 3841–3846. </w:t>
      </w:r>
      <w:hyperlink r:id="rId289" w:history="1">
        <w:r w:rsidRPr="003338D7">
          <w:rPr>
            <w:rStyle w:val="Hyperlink"/>
            <w:rFonts w:asciiTheme="majorHAnsi" w:hAnsiTheme="majorHAnsi"/>
            <w:noProof/>
            <w:szCs w:val="22"/>
            <w:lang w:val="es-ES"/>
          </w:rPr>
          <w:t>http://doi.org/10.1073/pnas.0812419106</w:t>
        </w:r>
      </w:hyperlink>
    </w:p>
    <w:p w14:paraId="6779B6D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Ceballos, G., Garcia-Aguayo, A., Rodriguez, P., &amp; Noguera, F. (1993). </w:t>
      </w:r>
      <w:r w:rsidRPr="003338D7">
        <w:rPr>
          <w:rFonts w:asciiTheme="majorHAnsi" w:hAnsiTheme="majorHAnsi"/>
          <w:i/>
          <w:iCs/>
          <w:noProof/>
          <w:szCs w:val="22"/>
          <w:lang w:val="es-ES"/>
        </w:rPr>
        <w:t>Plan de Manejo de la Reserva Ecológica de Chamela-Cuixmala</w:t>
      </w:r>
      <w:r w:rsidRPr="003338D7">
        <w:rPr>
          <w:rFonts w:asciiTheme="majorHAnsi" w:hAnsiTheme="majorHAnsi"/>
          <w:noProof/>
          <w:szCs w:val="22"/>
          <w:lang w:val="es-ES"/>
        </w:rPr>
        <w:t>. México City, Mexico: Fundacion Ecologia de Cuixmala.</w:t>
      </w:r>
    </w:p>
    <w:p w14:paraId="4368172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Cendrero, A., Terán, D. de, Ramón, J., González, D., Mascitti, V., Rotondaro, R., &amp; Tecchi, R. (1993). </w:t>
      </w:r>
      <w:r w:rsidRPr="003338D7">
        <w:rPr>
          <w:rFonts w:asciiTheme="majorHAnsi" w:hAnsiTheme="majorHAnsi"/>
          <w:noProof/>
          <w:szCs w:val="22"/>
        </w:rPr>
        <w:t xml:space="preserve">Environmental diagnosis for planning and management in the high Andean region: The biosphere reserve of Pozuelos, Argentina. </w:t>
      </w:r>
      <w:r w:rsidRPr="003338D7">
        <w:rPr>
          <w:rFonts w:asciiTheme="majorHAnsi" w:hAnsiTheme="majorHAnsi"/>
          <w:i/>
          <w:iCs/>
          <w:noProof/>
          <w:szCs w:val="22"/>
          <w:lang w:val="es-ES"/>
        </w:rPr>
        <w:t>Environmental Management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17</w:t>
      </w:r>
      <w:r w:rsidRPr="003338D7">
        <w:rPr>
          <w:rFonts w:asciiTheme="majorHAnsi" w:hAnsiTheme="majorHAnsi"/>
          <w:noProof/>
          <w:szCs w:val="22"/>
          <w:lang w:val="es-ES"/>
        </w:rPr>
        <w:t xml:space="preserve">(5), 683–703. </w:t>
      </w:r>
      <w:hyperlink r:id="rId290" w:history="1">
        <w:r w:rsidRPr="003338D7">
          <w:rPr>
            <w:rStyle w:val="Hyperlink"/>
            <w:rFonts w:asciiTheme="majorHAnsi" w:hAnsiTheme="majorHAnsi"/>
            <w:noProof/>
            <w:szCs w:val="22"/>
            <w:lang w:val="es-ES"/>
          </w:rPr>
          <w:t>http://doi.org/10.1007/BF02393729</w:t>
        </w:r>
      </w:hyperlink>
    </w:p>
    <w:p w14:paraId="0B4CB36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CEPAL. (2014). </w:t>
      </w:r>
      <w:r w:rsidRPr="003338D7">
        <w:rPr>
          <w:rFonts w:asciiTheme="majorHAnsi" w:hAnsiTheme="majorHAnsi"/>
          <w:i/>
          <w:iCs/>
          <w:noProof/>
          <w:szCs w:val="22"/>
          <w:lang w:val="es-ES"/>
        </w:rPr>
        <w:t>Panorama Social de America Latina (LC/G.2635-P)</w:t>
      </w:r>
      <w:r w:rsidRPr="003338D7">
        <w:rPr>
          <w:rFonts w:asciiTheme="majorHAnsi" w:hAnsiTheme="majorHAnsi"/>
          <w:noProof/>
          <w:szCs w:val="22"/>
          <w:lang w:val="es-ES"/>
        </w:rPr>
        <w:t xml:space="preserve">. </w:t>
      </w:r>
      <w:r w:rsidRPr="003338D7">
        <w:rPr>
          <w:rFonts w:asciiTheme="majorHAnsi" w:hAnsiTheme="majorHAnsi"/>
          <w:noProof/>
          <w:szCs w:val="22"/>
        </w:rPr>
        <w:t>Santiago, Chile.</w:t>
      </w:r>
    </w:p>
    <w:p w14:paraId="188AF21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Chace, J. F., &amp; Walsh, J. J. (2006). Urban effects on native avifauna: A review. </w:t>
      </w:r>
      <w:r w:rsidRPr="003338D7">
        <w:rPr>
          <w:rFonts w:asciiTheme="majorHAnsi" w:hAnsiTheme="majorHAnsi"/>
          <w:i/>
          <w:iCs/>
          <w:noProof/>
          <w:szCs w:val="22"/>
        </w:rPr>
        <w:t>Landscape and Urban Planning</w:t>
      </w:r>
      <w:r w:rsidRPr="003338D7">
        <w:rPr>
          <w:rFonts w:asciiTheme="majorHAnsi" w:hAnsiTheme="majorHAnsi"/>
          <w:noProof/>
          <w:szCs w:val="22"/>
        </w:rPr>
        <w:t xml:space="preserve">, </w:t>
      </w:r>
      <w:r w:rsidRPr="003338D7">
        <w:rPr>
          <w:rFonts w:asciiTheme="majorHAnsi" w:hAnsiTheme="majorHAnsi"/>
          <w:i/>
          <w:iCs/>
          <w:noProof/>
          <w:szCs w:val="22"/>
        </w:rPr>
        <w:t>74</w:t>
      </w:r>
      <w:r w:rsidRPr="003338D7">
        <w:rPr>
          <w:rFonts w:asciiTheme="majorHAnsi" w:hAnsiTheme="majorHAnsi"/>
          <w:noProof/>
          <w:szCs w:val="22"/>
        </w:rPr>
        <w:t xml:space="preserve">(1), 46–69. </w:t>
      </w:r>
      <w:hyperlink r:id="rId291" w:history="1">
        <w:r w:rsidRPr="003338D7">
          <w:rPr>
            <w:rStyle w:val="Hyperlink"/>
            <w:rFonts w:asciiTheme="majorHAnsi" w:hAnsiTheme="majorHAnsi"/>
            <w:noProof/>
            <w:szCs w:val="22"/>
          </w:rPr>
          <w:t>http://doi.org/10.1016/j.landurbplan.2004.08.007</w:t>
        </w:r>
      </w:hyperlink>
    </w:p>
    <w:p w14:paraId="2575883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Chacón, M., Pickersgill, S., &amp; Debouck, D. (2005). Domestication patterns in common bean (</w:t>
      </w:r>
      <w:r w:rsidRPr="003338D7">
        <w:rPr>
          <w:rFonts w:asciiTheme="majorHAnsi" w:hAnsiTheme="majorHAnsi"/>
          <w:i/>
          <w:iCs/>
          <w:noProof/>
          <w:szCs w:val="22"/>
        </w:rPr>
        <w:t>Phaseolus vulgaris</w:t>
      </w:r>
      <w:r w:rsidRPr="003338D7">
        <w:rPr>
          <w:rFonts w:asciiTheme="majorHAnsi" w:hAnsiTheme="majorHAnsi"/>
          <w:noProof/>
          <w:szCs w:val="22"/>
        </w:rPr>
        <w:t xml:space="preserve"> L.) and the origin of the Mesoamerican and Andean cultivated races. </w:t>
      </w:r>
      <w:r w:rsidRPr="003338D7">
        <w:rPr>
          <w:rFonts w:asciiTheme="majorHAnsi" w:hAnsiTheme="majorHAnsi"/>
          <w:i/>
          <w:iCs/>
          <w:noProof/>
          <w:szCs w:val="22"/>
        </w:rPr>
        <w:t>Theoretical and Applied Genetics</w:t>
      </w:r>
      <w:r w:rsidRPr="003338D7">
        <w:rPr>
          <w:rFonts w:asciiTheme="majorHAnsi" w:hAnsiTheme="majorHAnsi"/>
          <w:noProof/>
          <w:szCs w:val="22"/>
        </w:rPr>
        <w:t xml:space="preserve">, </w:t>
      </w:r>
      <w:r w:rsidRPr="003338D7">
        <w:rPr>
          <w:rFonts w:asciiTheme="majorHAnsi" w:hAnsiTheme="majorHAnsi"/>
          <w:i/>
          <w:iCs/>
          <w:noProof/>
          <w:szCs w:val="22"/>
        </w:rPr>
        <w:t>110</w:t>
      </w:r>
      <w:r w:rsidRPr="003338D7">
        <w:rPr>
          <w:rFonts w:asciiTheme="majorHAnsi" w:hAnsiTheme="majorHAnsi"/>
          <w:noProof/>
          <w:szCs w:val="22"/>
        </w:rPr>
        <w:t xml:space="preserve">(3), 432–444. </w:t>
      </w:r>
      <w:hyperlink r:id="rId292" w:history="1">
        <w:r w:rsidRPr="003338D7">
          <w:rPr>
            <w:rStyle w:val="Hyperlink"/>
            <w:rFonts w:asciiTheme="majorHAnsi" w:hAnsiTheme="majorHAnsi"/>
            <w:noProof/>
            <w:szCs w:val="22"/>
          </w:rPr>
          <w:t>http://doi.org/10.1007/s00122-004-1842-2</w:t>
        </w:r>
      </w:hyperlink>
    </w:p>
    <w:p w14:paraId="28F75A2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Challenger, A., &amp; Dirzo, R. (2009). </w:t>
      </w:r>
      <w:r w:rsidRPr="003338D7">
        <w:rPr>
          <w:rFonts w:asciiTheme="majorHAnsi" w:hAnsiTheme="majorHAnsi"/>
          <w:noProof/>
          <w:szCs w:val="22"/>
          <w:lang w:val="es-ES"/>
        </w:rPr>
        <w:t xml:space="preserve">Factores de cambio y estado de la biodiversidad. In J. Sarukhán (Ed.), </w:t>
      </w:r>
      <w:r w:rsidRPr="003338D7">
        <w:rPr>
          <w:rFonts w:asciiTheme="majorHAnsi" w:hAnsiTheme="majorHAnsi"/>
          <w:i/>
          <w:iCs/>
          <w:noProof/>
          <w:szCs w:val="22"/>
          <w:lang w:val="es-ES"/>
        </w:rPr>
        <w:t>Capital Natural de México, Vol. II: Estado de Conservación y Tendencias de Cambio</w:t>
      </w:r>
      <w:r w:rsidRPr="003338D7">
        <w:rPr>
          <w:rFonts w:asciiTheme="majorHAnsi" w:hAnsiTheme="majorHAnsi"/>
          <w:noProof/>
          <w:szCs w:val="22"/>
          <w:lang w:val="es-ES"/>
        </w:rPr>
        <w:t xml:space="preserve"> (pp. 37–73). Mexico City, Mexico: CONABIO.</w:t>
      </w:r>
    </w:p>
    <w:p w14:paraId="34498E0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Challenger, A., &amp; Soberón, J. (2008). Los ecosistemas terrestres. In J. Sarukhán (Ed.), </w:t>
      </w:r>
      <w:r w:rsidRPr="003338D7">
        <w:rPr>
          <w:rFonts w:asciiTheme="majorHAnsi" w:hAnsiTheme="majorHAnsi"/>
          <w:i/>
          <w:iCs/>
          <w:noProof/>
          <w:szCs w:val="22"/>
          <w:lang w:val="es-ES"/>
        </w:rPr>
        <w:t>Capital Natural de México, Vol. I: Conocimiento Actual de la Biodiversidad</w:t>
      </w:r>
      <w:r w:rsidRPr="003338D7">
        <w:rPr>
          <w:rFonts w:asciiTheme="majorHAnsi" w:hAnsiTheme="majorHAnsi"/>
          <w:noProof/>
          <w:szCs w:val="22"/>
          <w:lang w:val="es-ES"/>
        </w:rPr>
        <w:t xml:space="preserve"> (pp. 87–108). </w:t>
      </w:r>
      <w:r w:rsidRPr="003338D7">
        <w:rPr>
          <w:rFonts w:asciiTheme="majorHAnsi" w:hAnsiTheme="majorHAnsi"/>
          <w:noProof/>
          <w:szCs w:val="22"/>
        </w:rPr>
        <w:t>Sarukhán, José: CONABIO.</w:t>
      </w:r>
    </w:p>
    <w:p w14:paraId="04D9E3C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Chapin, F. S., Hoel, M., Carpenter, S. R., Lubchenco, J., Walker, B., Callaghan, T. V, … Zimov, S. A. (2006). Building resilience and adaptation to manage Arctic change. </w:t>
      </w:r>
      <w:r w:rsidRPr="003338D7">
        <w:rPr>
          <w:rFonts w:asciiTheme="majorHAnsi" w:hAnsiTheme="majorHAnsi"/>
          <w:i/>
          <w:iCs/>
          <w:noProof/>
          <w:szCs w:val="22"/>
          <w:lang w:val="es-ES"/>
        </w:rPr>
        <w:t>Ambio</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35</w:t>
      </w:r>
      <w:r w:rsidRPr="003338D7">
        <w:rPr>
          <w:rFonts w:asciiTheme="majorHAnsi" w:hAnsiTheme="majorHAnsi"/>
          <w:noProof/>
          <w:szCs w:val="22"/>
          <w:lang w:val="es-ES"/>
        </w:rPr>
        <w:t xml:space="preserve">(4), 198–202. </w:t>
      </w:r>
      <w:hyperlink r:id="rId293" w:history="1">
        <w:r w:rsidRPr="003338D7">
          <w:rPr>
            <w:rStyle w:val="Hyperlink"/>
            <w:rFonts w:asciiTheme="majorHAnsi" w:hAnsiTheme="majorHAnsi"/>
            <w:noProof/>
            <w:szCs w:val="22"/>
            <w:lang w:val="es-ES"/>
          </w:rPr>
          <w:t>http://doi.org/10.1579/0044-7447(2006)35%5B198:braatm%5D2.0.co;2</w:t>
        </w:r>
      </w:hyperlink>
    </w:p>
    <w:p w14:paraId="360334B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CO"/>
        </w:rPr>
        <w:t xml:space="preserve">Chapin, F. S., Matson, P. A., &amp; Vitousek, P. M. (2012). </w:t>
      </w:r>
      <w:r w:rsidRPr="003338D7">
        <w:rPr>
          <w:rFonts w:asciiTheme="majorHAnsi" w:hAnsiTheme="majorHAnsi"/>
          <w:i/>
          <w:iCs/>
          <w:noProof/>
          <w:szCs w:val="22"/>
        </w:rPr>
        <w:t>Principles of Terrestrial Ecosystem Ecology</w:t>
      </w:r>
      <w:r w:rsidRPr="003338D7">
        <w:rPr>
          <w:rFonts w:asciiTheme="majorHAnsi" w:hAnsiTheme="majorHAnsi"/>
          <w:noProof/>
          <w:szCs w:val="22"/>
        </w:rPr>
        <w:t>. New York, USA: Springer-Verlag.</w:t>
      </w:r>
    </w:p>
    <w:p w14:paraId="3409FC8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Chapin, F. S., &amp; Shaver, G. R. (1985). Individualistic growth response of tundra plant species to environmental manipulations in the field. </w:t>
      </w:r>
      <w:r w:rsidRPr="003338D7">
        <w:rPr>
          <w:rFonts w:asciiTheme="majorHAnsi" w:hAnsiTheme="majorHAnsi"/>
          <w:i/>
          <w:iCs/>
          <w:noProof/>
          <w:szCs w:val="22"/>
        </w:rPr>
        <w:t>Ecology</w:t>
      </w:r>
      <w:r w:rsidRPr="003338D7">
        <w:rPr>
          <w:rFonts w:asciiTheme="majorHAnsi" w:hAnsiTheme="majorHAnsi"/>
          <w:noProof/>
          <w:szCs w:val="22"/>
        </w:rPr>
        <w:t xml:space="preserve">, </w:t>
      </w:r>
      <w:r w:rsidRPr="003338D7">
        <w:rPr>
          <w:rFonts w:asciiTheme="majorHAnsi" w:hAnsiTheme="majorHAnsi"/>
          <w:i/>
          <w:iCs/>
          <w:noProof/>
          <w:szCs w:val="22"/>
        </w:rPr>
        <w:t>66</w:t>
      </w:r>
      <w:r w:rsidRPr="003338D7">
        <w:rPr>
          <w:rFonts w:asciiTheme="majorHAnsi" w:hAnsiTheme="majorHAnsi"/>
          <w:noProof/>
          <w:szCs w:val="22"/>
        </w:rPr>
        <w:t xml:space="preserve">(2), 564–576. </w:t>
      </w:r>
      <w:hyperlink r:id="rId294" w:history="1">
        <w:r w:rsidRPr="003338D7">
          <w:rPr>
            <w:rStyle w:val="Hyperlink"/>
            <w:rFonts w:asciiTheme="majorHAnsi" w:hAnsiTheme="majorHAnsi"/>
            <w:noProof/>
            <w:szCs w:val="22"/>
          </w:rPr>
          <w:t>http://doi.org/10.2307/1940405</w:t>
        </w:r>
      </w:hyperlink>
    </w:p>
    <w:p w14:paraId="7E2A0C7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Chapin, F. S., Shaver, G. R., Giblin, A. E., Nadelhoffer, K. J., &amp; Laundre, J. A. (1995). Responses of arctic tundra to experimental and observed changes in climate. </w:t>
      </w:r>
      <w:r w:rsidRPr="003338D7">
        <w:rPr>
          <w:rFonts w:asciiTheme="majorHAnsi" w:hAnsiTheme="majorHAnsi"/>
          <w:i/>
          <w:iCs/>
          <w:noProof/>
          <w:szCs w:val="22"/>
        </w:rPr>
        <w:t>Ecology</w:t>
      </w:r>
      <w:r w:rsidRPr="003338D7">
        <w:rPr>
          <w:rFonts w:asciiTheme="majorHAnsi" w:hAnsiTheme="majorHAnsi"/>
          <w:noProof/>
          <w:szCs w:val="22"/>
        </w:rPr>
        <w:t xml:space="preserve">, </w:t>
      </w:r>
      <w:r w:rsidRPr="003338D7">
        <w:rPr>
          <w:rFonts w:asciiTheme="majorHAnsi" w:hAnsiTheme="majorHAnsi"/>
          <w:i/>
          <w:iCs/>
          <w:noProof/>
          <w:szCs w:val="22"/>
        </w:rPr>
        <w:t>76</w:t>
      </w:r>
      <w:r w:rsidRPr="003338D7">
        <w:rPr>
          <w:rFonts w:asciiTheme="majorHAnsi" w:hAnsiTheme="majorHAnsi"/>
          <w:noProof/>
          <w:szCs w:val="22"/>
        </w:rPr>
        <w:t xml:space="preserve">(3), 694–711. </w:t>
      </w:r>
      <w:hyperlink r:id="rId295" w:history="1">
        <w:r w:rsidRPr="003338D7">
          <w:rPr>
            <w:rStyle w:val="Hyperlink"/>
            <w:rFonts w:asciiTheme="majorHAnsi" w:hAnsiTheme="majorHAnsi"/>
            <w:noProof/>
            <w:szCs w:val="22"/>
          </w:rPr>
          <w:t>http://doi.org/10.2307/1939337</w:t>
        </w:r>
      </w:hyperlink>
    </w:p>
    <w:p w14:paraId="2E2D961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Chapin, F. S., Sturm, M., Serreze, M. C., McFadden, J. P., Key, J. R., Lloyd, A. H., McGuire, A. D., Rupp, T. S., Lynch, A. H., Schimel, J. P., Beringer, J., Chapman, W. L., Epstein, H. E., Euskirchen, E. S., Hinzman, L. D., Jia, G., Ping, C.-L., Tape, K. D., Thompson, C. D. C., Walker, D. A., &amp; Welker, J. M. (2005). Role of land-surface changes in Arctic summer warming.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310</w:t>
      </w:r>
      <w:r w:rsidRPr="003338D7">
        <w:rPr>
          <w:rFonts w:asciiTheme="majorHAnsi" w:hAnsiTheme="majorHAnsi"/>
          <w:noProof/>
          <w:szCs w:val="22"/>
          <w:lang w:val="es-ES"/>
        </w:rPr>
        <w:t xml:space="preserve">(5748), 657–660. Retrieved from </w:t>
      </w:r>
      <w:hyperlink r:id="rId296" w:history="1">
        <w:r w:rsidRPr="003338D7">
          <w:rPr>
            <w:rStyle w:val="Hyperlink"/>
            <w:rFonts w:asciiTheme="majorHAnsi" w:hAnsiTheme="majorHAnsi"/>
            <w:noProof/>
            <w:szCs w:val="22"/>
            <w:lang w:val="es-ES"/>
          </w:rPr>
          <w:t>http://science.sciencemag.org/content/310/5748/657.abstract</w:t>
        </w:r>
      </w:hyperlink>
    </w:p>
    <w:p w14:paraId="25E2B37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Chapin, F. S., Zavaleta, E. S., Eviner, V. T., Naylor, R. L., Vitousek, P. M., Reynolds, H. L., Hooper, D. U., Lavorel, S., Sala, O. E., Hobbie, S. E., Mack, M. C., &amp; Díaz, S. (2000). Consequences of changing biodiversity.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405</w:t>
      </w:r>
      <w:r w:rsidRPr="003338D7">
        <w:rPr>
          <w:rFonts w:asciiTheme="majorHAnsi" w:hAnsiTheme="majorHAnsi"/>
          <w:noProof/>
          <w:szCs w:val="22"/>
          <w:lang w:val="es-ES"/>
        </w:rPr>
        <w:t xml:space="preserve">(6783), 234–242. </w:t>
      </w:r>
      <w:hyperlink r:id="rId297" w:history="1">
        <w:r w:rsidRPr="003338D7">
          <w:rPr>
            <w:rStyle w:val="Hyperlink"/>
            <w:rFonts w:asciiTheme="majorHAnsi" w:hAnsiTheme="majorHAnsi"/>
            <w:noProof/>
            <w:szCs w:val="22"/>
            <w:lang w:val="es-ES"/>
          </w:rPr>
          <w:t>https://doi.org/10.1038/35012241</w:t>
        </w:r>
      </w:hyperlink>
    </w:p>
    <w:p w14:paraId="050B92E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Charity, S., Dudley, N., Oliveira, D., &amp; Stolton, S. (Eds.). (2016). </w:t>
      </w:r>
      <w:r w:rsidRPr="003338D7">
        <w:rPr>
          <w:rFonts w:asciiTheme="majorHAnsi" w:hAnsiTheme="majorHAnsi"/>
          <w:i/>
          <w:iCs/>
          <w:noProof/>
          <w:szCs w:val="22"/>
        </w:rPr>
        <w:t>Living Amazon Report 2016: A Regional Approach to Conservation in the Amazon</w:t>
      </w:r>
      <w:r w:rsidRPr="003338D7">
        <w:rPr>
          <w:rFonts w:asciiTheme="majorHAnsi" w:hAnsiTheme="majorHAnsi"/>
          <w:noProof/>
          <w:szCs w:val="22"/>
        </w:rPr>
        <w:t>. Brasília, Brazil and Quito, Ecuador: WWF Living Amazon Initiative.</w:t>
      </w:r>
    </w:p>
    <w:p w14:paraId="28107ED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Chaudhary, A., Burivalova, Z., Koh, L. P., &amp; Hellweg, S. (2016). Impact of forest management on species richness: global meta-analysis and economic trade-offs. </w:t>
      </w:r>
      <w:r w:rsidRPr="003338D7">
        <w:rPr>
          <w:rFonts w:asciiTheme="majorHAnsi" w:hAnsiTheme="majorHAnsi"/>
          <w:i/>
          <w:iCs/>
          <w:noProof/>
          <w:szCs w:val="22"/>
        </w:rPr>
        <w:t>Scientific Reports</w:t>
      </w:r>
      <w:r w:rsidRPr="003338D7">
        <w:rPr>
          <w:rFonts w:asciiTheme="majorHAnsi" w:hAnsiTheme="majorHAnsi"/>
          <w:noProof/>
          <w:szCs w:val="22"/>
        </w:rPr>
        <w:t xml:space="preserve">, </w:t>
      </w:r>
      <w:r w:rsidRPr="003338D7">
        <w:rPr>
          <w:rFonts w:asciiTheme="majorHAnsi" w:hAnsiTheme="majorHAnsi"/>
          <w:i/>
          <w:iCs/>
          <w:noProof/>
          <w:szCs w:val="22"/>
        </w:rPr>
        <w:t>6</w:t>
      </w:r>
      <w:r w:rsidRPr="003338D7">
        <w:rPr>
          <w:rFonts w:asciiTheme="majorHAnsi" w:hAnsiTheme="majorHAnsi"/>
          <w:noProof/>
          <w:szCs w:val="22"/>
        </w:rPr>
        <w:t xml:space="preserve">(April), 23954. </w:t>
      </w:r>
      <w:hyperlink r:id="rId298" w:history="1">
        <w:r w:rsidRPr="003338D7">
          <w:rPr>
            <w:rStyle w:val="Hyperlink"/>
            <w:rFonts w:asciiTheme="majorHAnsi" w:hAnsiTheme="majorHAnsi"/>
            <w:noProof/>
            <w:szCs w:val="22"/>
          </w:rPr>
          <w:t>http://doi.org/10.1038/srep23954</w:t>
        </w:r>
      </w:hyperlink>
    </w:p>
    <w:p w14:paraId="1BDFCC4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Cherry, J. E., Déry, S. J., Cheng, Y., Stieglitz, M., Jacobs, A. S., &amp; Pan, F. (2014). Climate and hydrometeorology of the Toolik Lake Region and the Kuparuk River Basin: Past, present, and future. In J. E. Hobbie &amp; G. W. Kling (Eds.), </w:t>
      </w:r>
      <w:r w:rsidRPr="003338D7">
        <w:rPr>
          <w:rFonts w:asciiTheme="majorHAnsi" w:hAnsiTheme="majorHAnsi"/>
          <w:i/>
          <w:iCs/>
          <w:noProof/>
          <w:szCs w:val="22"/>
        </w:rPr>
        <w:t>Alaska’s Changing Arctic: Ecological Consequences for Tundra, Streams, and Lakes</w:t>
      </w:r>
      <w:r w:rsidRPr="003338D7">
        <w:rPr>
          <w:rFonts w:asciiTheme="majorHAnsi" w:hAnsiTheme="majorHAnsi"/>
          <w:noProof/>
          <w:szCs w:val="22"/>
        </w:rPr>
        <w:t xml:space="preserve"> (pp. 21–60). New York, USA: Oxford University Press.</w:t>
      </w:r>
    </w:p>
    <w:p w14:paraId="73ACEAD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Chesapeake Bay Program. (2017). Submerged Aquatic Vegetation. Retrieved from </w:t>
      </w:r>
      <w:hyperlink r:id="rId299" w:history="1">
        <w:r w:rsidRPr="003338D7">
          <w:rPr>
            <w:rStyle w:val="Hyperlink"/>
            <w:rFonts w:asciiTheme="majorHAnsi" w:hAnsiTheme="majorHAnsi"/>
            <w:noProof/>
            <w:szCs w:val="22"/>
          </w:rPr>
          <w:t>http://www.chesapeakebay.net/</w:t>
        </w:r>
      </w:hyperlink>
    </w:p>
    <w:p w14:paraId="4BBAA15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Cheung, W. W., Watson, R., &amp; Pauly, D. (2013). </w:t>
      </w:r>
      <w:r w:rsidRPr="003338D7">
        <w:rPr>
          <w:rFonts w:asciiTheme="majorHAnsi" w:hAnsiTheme="majorHAnsi"/>
          <w:noProof/>
          <w:szCs w:val="22"/>
        </w:rPr>
        <w:t xml:space="preserve">Signature of ocean warming in global fisheries catch.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497</w:t>
      </w:r>
      <w:r w:rsidRPr="003338D7">
        <w:rPr>
          <w:rFonts w:asciiTheme="majorHAnsi" w:hAnsiTheme="majorHAnsi"/>
          <w:noProof/>
          <w:szCs w:val="22"/>
        </w:rPr>
        <w:t xml:space="preserve">(7449), 365–368. </w:t>
      </w:r>
      <w:hyperlink r:id="rId300" w:history="1">
        <w:r w:rsidRPr="003338D7">
          <w:rPr>
            <w:rStyle w:val="Hyperlink"/>
            <w:rFonts w:asciiTheme="majorHAnsi" w:hAnsiTheme="majorHAnsi"/>
            <w:noProof/>
            <w:szCs w:val="22"/>
          </w:rPr>
          <w:t>http://doi.org/10.1038/nature12156</w:t>
        </w:r>
      </w:hyperlink>
    </w:p>
    <w:p w14:paraId="51CC28B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Childs, J. E., &amp; Seegar, W. S. (1986). Epidemiologic observations on infection with Toxoplasma gondii in three species of urban mammals from Baltimore, Maryland, USA. </w:t>
      </w:r>
      <w:r w:rsidRPr="003338D7">
        <w:rPr>
          <w:rFonts w:asciiTheme="majorHAnsi" w:hAnsiTheme="majorHAnsi"/>
          <w:i/>
          <w:iCs/>
          <w:noProof/>
          <w:szCs w:val="22"/>
        </w:rPr>
        <w:t>International Journal of Zoonoses</w:t>
      </w:r>
      <w:r w:rsidRPr="003338D7">
        <w:rPr>
          <w:rFonts w:asciiTheme="majorHAnsi" w:hAnsiTheme="majorHAnsi"/>
          <w:noProof/>
          <w:szCs w:val="22"/>
        </w:rPr>
        <w:t xml:space="preserve">, </w:t>
      </w:r>
      <w:r w:rsidRPr="003338D7">
        <w:rPr>
          <w:rFonts w:asciiTheme="majorHAnsi" w:hAnsiTheme="majorHAnsi"/>
          <w:i/>
          <w:iCs/>
          <w:noProof/>
          <w:szCs w:val="22"/>
        </w:rPr>
        <w:t>13</w:t>
      </w:r>
      <w:r w:rsidRPr="003338D7">
        <w:rPr>
          <w:rFonts w:asciiTheme="majorHAnsi" w:hAnsiTheme="majorHAnsi"/>
          <w:noProof/>
          <w:szCs w:val="22"/>
        </w:rPr>
        <w:t>(4), 249–261.</w:t>
      </w:r>
    </w:p>
    <w:p w14:paraId="2042274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rPr>
        <w:t xml:space="preserve">Choi, C. (2008). Tierra del Fuego: the beavers must die. </w:t>
      </w:r>
      <w:r w:rsidRPr="003338D7">
        <w:rPr>
          <w:rFonts w:asciiTheme="majorHAnsi" w:hAnsiTheme="majorHAnsi"/>
          <w:i/>
          <w:iCs/>
          <w:noProof/>
          <w:szCs w:val="22"/>
          <w:lang w:val="de-DE"/>
        </w:rPr>
        <w:t>Nature</w:t>
      </w:r>
      <w:r w:rsidRPr="003338D7">
        <w:rPr>
          <w:rFonts w:asciiTheme="majorHAnsi" w:hAnsiTheme="majorHAnsi"/>
          <w:noProof/>
          <w:szCs w:val="22"/>
          <w:lang w:val="de-DE"/>
        </w:rPr>
        <w:t xml:space="preserve">, </w:t>
      </w:r>
      <w:r w:rsidRPr="003338D7">
        <w:rPr>
          <w:rFonts w:asciiTheme="majorHAnsi" w:hAnsiTheme="majorHAnsi"/>
          <w:i/>
          <w:iCs/>
          <w:noProof/>
          <w:szCs w:val="22"/>
          <w:lang w:val="de-DE"/>
        </w:rPr>
        <w:t>453</w:t>
      </w:r>
      <w:r w:rsidRPr="003338D7">
        <w:rPr>
          <w:rFonts w:asciiTheme="majorHAnsi" w:hAnsiTheme="majorHAnsi"/>
          <w:noProof/>
          <w:szCs w:val="22"/>
          <w:lang w:val="de-DE"/>
        </w:rPr>
        <w:t xml:space="preserve">, 968. </w:t>
      </w:r>
      <w:hyperlink r:id="rId301" w:history="1">
        <w:r w:rsidRPr="003338D7">
          <w:rPr>
            <w:rStyle w:val="Hyperlink"/>
            <w:rFonts w:asciiTheme="majorHAnsi" w:hAnsiTheme="majorHAnsi"/>
            <w:noProof/>
            <w:szCs w:val="22"/>
            <w:lang w:val="de-DE"/>
          </w:rPr>
          <w:t>http://doi.org/10.1038/453968a</w:t>
        </w:r>
      </w:hyperlink>
    </w:p>
    <w:p w14:paraId="24EAB1B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Cleland, E. E., Funk, J., &amp; Allen., E. B. (2016). </w:t>
      </w:r>
      <w:r w:rsidRPr="003338D7">
        <w:rPr>
          <w:rFonts w:asciiTheme="majorHAnsi" w:hAnsiTheme="majorHAnsi"/>
          <w:noProof/>
          <w:szCs w:val="22"/>
        </w:rPr>
        <w:t xml:space="preserve">Coastal sage scrub. In E. Zavaleta &amp; H. Mooney (Eds.), </w:t>
      </w:r>
      <w:r w:rsidRPr="003338D7">
        <w:rPr>
          <w:rFonts w:asciiTheme="majorHAnsi" w:hAnsiTheme="majorHAnsi"/>
          <w:i/>
          <w:iCs/>
          <w:noProof/>
          <w:szCs w:val="22"/>
        </w:rPr>
        <w:t>Ecosystems of California</w:t>
      </w:r>
      <w:r w:rsidRPr="003338D7">
        <w:rPr>
          <w:rFonts w:asciiTheme="majorHAnsi" w:hAnsiTheme="majorHAnsi"/>
          <w:noProof/>
          <w:szCs w:val="22"/>
        </w:rPr>
        <w:t xml:space="preserve"> (pp. 429–448). Oakland, USA: University of California Press.</w:t>
      </w:r>
    </w:p>
    <w:p w14:paraId="5AB116F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Clement, C., de Cristo-Araujo, M., D’Eeckenbrugge, G. C., Alves-Pereira, A., &amp; Picanço-Rodrigues, D. (2016). 10,000 years of plant domestication: the origins of agrobiodiversity in indigenous Amazonia. </w:t>
      </w:r>
      <w:r w:rsidRPr="003338D7">
        <w:rPr>
          <w:rFonts w:asciiTheme="majorHAnsi" w:hAnsiTheme="majorHAnsi"/>
          <w:noProof/>
          <w:szCs w:val="22"/>
          <w:lang w:val="es-ES"/>
        </w:rPr>
        <w:t xml:space="preserve">In A. Casas, J. Torres-Guevara, &amp; F. Parra (Eds.), </w:t>
      </w:r>
      <w:r w:rsidRPr="003338D7">
        <w:rPr>
          <w:rFonts w:asciiTheme="majorHAnsi" w:hAnsiTheme="majorHAnsi"/>
          <w:i/>
          <w:iCs/>
          <w:noProof/>
          <w:szCs w:val="22"/>
          <w:lang w:val="es-ES"/>
        </w:rPr>
        <w:t>Domesticación en el Continente Americano Vol. 1. Investigación Manejo de Biodiversidad y Evolución Dirigida por las Culturas del Nuevo Mundo</w:t>
      </w:r>
      <w:r w:rsidRPr="003338D7">
        <w:rPr>
          <w:rFonts w:asciiTheme="majorHAnsi" w:hAnsiTheme="majorHAnsi"/>
          <w:noProof/>
          <w:szCs w:val="22"/>
          <w:lang w:val="es-ES"/>
        </w:rPr>
        <w:t xml:space="preserve"> (pp. 253–282). México D.F., México and Lima, Perú: Universidad Nacional Autónoma de México/Universidad Nacional Agraria La Molina.</w:t>
      </w:r>
    </w:p>
    <w:p w14:paraId="56CAFF3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Clement, C. R. (1999). 1492 and the loss of Amazonian crop genetic resources. II. Crop biogeography at contact. </w:t>
      </w:r>
      <w:r w:rsidRPr="003338D7">
        <w:rPr>
          <w:rFonts w:asciiTheme="majorHAnsi" w:hAnsiTheme="majorHAnsi"/>
          <w:i/>
          <w:iCs/>
          <w:noProof/>
          <w:szCs w:val="22"/>
        </w:rPr>
        <w:t>Economic Botany</w:t>
      </w:r>
      <w:r w:rsidRPr="003338D7">
        <w:rPr>
          <w:rFonts w:asciiTheme="majorHAnsi" w:hAnsiTheme="majorHAnsi"/>
          <w:noProof/>
          <w:szCs w:val="22"/>
        </w:rPr>
        <w:t xml:space="preserve">, </w:t>
      </w:r>
      <w:r w:rsidRPr="003338D7">
        <w:rPr>
          <w:rFonts w:asciiTheme="majorHAnsi" w:hAnsiTheme="majorHAnsi"/>
          <w:i/>
          <w:iCs/>
          <w:noProof/>
          <w:szCs w:val="22"/>
        </w:rPr>
        <w:t>53</w:t>
      </w:r>
      <w:r w:rsidRPr="003338D7">
        <w:rPr>
          <w:rFonts w:asciiTheme="majorHAnsi" w:hAnsiTheme="majorHAnsi"/>
          <w:noProof/>
          <w:szCs w:val="22"/>
        </w:rPr>
        <w:t xml:space="preserve">, 203–216. </w:t>
      </w:r>
      <w:hyperlink r:id="rId302" w:history="1">
        <w:r w:rsidRPr="003338D7">
          <w:rPr>
            <w:rStyle w:val="Hyperlink"/>
            <w:rFonts w:asciiTheme="majorHAnsi" w:hAnsiTheme="majorHAnsi"/>
            <w:noProof/>
            <w:szCs w:val="22"/>
          </w:rPr>
          <w:t>http://doi.org/10.1007/BF02866499</w:t>
        </w:r>
      </w:hyperlink>
    </w:p>
    <w:p w14:paraId="44AE842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Clement, C. R. (2017). Panorama de los recursos genéticos de Brasil, con énfasis en la Amazonía. In A. Casas, J. Torres-Guevara, &amp; F. Parra (Eds.), </w:t>
      </w:r>
      <w:r w:rsidRPr="003338D7">
        <w:rPr>
          <w:rFonts w:asciiTheme="majorHAnsi" w:hAnsiTheme="majorHAnsi"/>
          <w:i/>
          <w:iCs/>
          <w:noProof/>
          <w:szCs w:val="22"/>
          <w:lang w:val="es-ES"/>
        </w:rPr>
        <w:t>Domesticación en el Continente Americano Vol. 2. Investigación para el Manejo Sustentable de Recursos Genéticos en el Nuevo Mundo</w:t>
      </w:r>
      <w:r w:rsidRPr="003338D7">
        <w:rPr>
          <w:rFonts w:asciiTheme="majorHAnsi" w:hAnsiTheme="majorHAnsi"/>
          <w:noProof/>
          <w:szCs w:val="22"/>
          <w:lang w:val="es-ES"/>
        </w:rPr>
        <w:t xml:space="preserve"> (pp. 27–42). México D.F. and Lima, Peru: Universidad Nacional Autónoma de México/Universidad Nacional Agraria La Molina/CONACYT.</w:t>
      </w:r>
    </w:p>
    <w:p w14:paraId="7610A07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Clement, C. R., de Cristo-Araújo, M., D’Eeckenbrugge, G. C., Pereira, A. A., &amp; Picanço-Rodrigues, D. (2010). </w:t>
      </w:r>
      <w:r w:rsidRPr="003338D7">
        <w:rPr>
          <w:rFonts w:asciiTheme="majorHAnsi" w:hAnsiTheme="majorHAnsi"/>
          <w:noProof/>
          <w:szCs w:val="22"/>
        </w:rPr>
        <w:t xml:space="preserve">Origin and domestication of native Amazonian crops. </w:t>
      </w:r>
      <w:r w:rsidRPr="003338D7">
        <w:rPr>
          <w:rFonts w:asciiTheme="majorHAnsi" w:hAnsiTheme="majorHAnsi"/>
          <w:i/>
          <w:iCs/>
          <w:noProof/>
          <w:szCs w:val="22"/>
        </w:rPr>
        <w:t>Diversity</w:t>
      </w:r>
      <w:r w:rsidRPr="003338D7">
        <w:rPr>
          <w:rFonts w:asciiTheme="majorHAnsi" w:hAnsiTheme="majorHAnsi"/>
          <w:noProof/>
          <w:szCs w:val="22"/>
        </w:rPr>
        <w:t xml:space="preserve">, </w:t>
      </w:r>
      <w:r w:rsidRPr="003338D7">
        <w:rPr>
          <w:rFonts w:asciiTheme="majorHAnsi" w:hAnsiTheme="majorHAnsi"/>
          <w:i/>
          <w:iCs/>
          <w:noProof/>
          <w:szCs w:val="22"/>
        </w:rPr>
        <w:t>2</w:t>
      </w:r>
      <w:r w:rsidRPr="003338D7">
        <w:rPr>
          <w:rFonts w:asciiTheme="majorHAnsi" w:hAnsiTheme="majorHAnsi"/>
          <w:noProof/>
          <w:szCs w:val="22"/>
        </w:rPr>
        <w:t xml:space="preserve">(1), 72–106. </w:t>
      </w:r>
      <w:hyperlink r:id="rId303" w:history="1">
        <w:r w:rsidRPr="003338D7">
          <w:rPr>
            <w:rStyle w:val="Hyperlink"/>
            <w:rFonts w:asciiTheme="majorHAnsi" w:hAnsiTheme="majorHAnsi"/>
            <w:noProof/>
            <w:szCs w:val="22"/>
          </w:rPr>
          <w:t>http://doi.org/10.3390/d2010072</w:t>
        </w:r>
      </w:hyperlink>
    </w:p>
    <w:p w14:paraId="76E8B5F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Cohen, A., &amp; Carlton, J. (1998). Accelerating invasion rate in a highly invaded estuary.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279</w:t>
      </w:r>
      <w:r w:rsidRPr="003338D7">
        <w:rPr>
          <w:rFonts w:asciiTheme="majorHAnsi" w:hAnsiTheme="majorHAnsi"/>
          <w:noProof/>
          <w:szCs w:val="22"/>
        </w:rPr>
        <w:t xml:space="preserve">(5350), 555–558. </w:t>
      </w:r>
      <w:hyperlink r:id="rId304" w:history="1">
        <w:r w:rsidRPr="003338D7">
          <w:rPr>
            <w:rStyle w:val="Hyperlink"/>
            <w:rFonts w:asciiTheme="majorHAnsi" w:hAnsiTheme="majorHAnsi"/>
            <w:noProof/>
            <w:szCs w:val="22"/>
          </w:rPr>
          <w:t>http://doi.org/10.1126/science.279.5350.555</w:t>
        </w:r>
      </w:hyperlink>
    </w:p>
    <w:p w14:paraId="5899C28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Collins, F. S. (1998). New goals for the U.S. Human Genome Project: 1998-2003.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282</w:t>
      </w:r>
      <w:r w:rsidRPr="003338D7">
        <w:rPr>
          <w:rFonts w:asciiTheme="majorHAnsi" w:hAnsiTheme="majorHAnsi"/>
          <w:noProof/>
          <w:szCs w:val="22"/>
          <w:lang w:val="es-ES"/>
        </w:rPr>
        <w:t xml:space="preserve">(5389), 682–689. </w:t>
      </w:r>
      <w:hyperlink r:id="rId305" w:history="1">
        <w:r w:rsidRPr="003338D7">
          <w:rPr>
            <w:rStyle w:val="Hyperlink"/>
            <w:rFonts w:asciiTheme="majorHAnsi" w:hAnsiTheme="majorHAnsi"/>
            <w:noProof/>
            <w:szCs w:val="22"/>
            <w:lang w:val="es-ES"/>
          </w:rPr>
          <w:t>http://doi.org/10.1126/science.282.5389.682</w:t>
        </w:r>
      </w:hyperlink>
    </w:p>
    <w:p w14:paraId="1DC8DAB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Comité Operativo para la Prevención el Control y la Erradicación de las Especies Exóticas Invasoras (COCEI). (2014). </w:t>
      </w:r>
      <w:r w:rsidRPr="003338D7">
        <w:rPr>
          <w:rFonts w:asciiTheme="majorHAnsi" w:hAnsiTheme="majorHAnsi"/>
          <w:i/>
          <w:iCs/>
          <w:noProof/>
          <w:szCs w:val="22"/>
          <w:lang w:val="es-ES"/>
        </w:rPr>
        <w:t>Estrategia Nacional Integrada para la Prevención, el Control y/o Erradicación de las Especies Exóticas Invasoras</w:t>
      </w:r>
      <w:r w:rsidRPr="003338D7">
        <w:rPr>
          <w:rFonts w:asciiTheme="majorHAnsi" w:hAnsiTheme="majorHAnsi"/>
          <w:noProof/>
          <w:szCs w:val="22"/>
          <w:lang w:val="es-ES"/>
        </w:rPr>
        <w:t xml:space="preserve">. </w:t>
      </w:r>
      <w:r w:rsidRPr="003338D7">
        <w:rPr>
          <w:rFonts w:asciiTheme="majorHAnsi" w:hAnsiTheme="majorHAnsi"/>
          <w:noProof/>
          <w:szCs w:val="22"/>
        </w:rPr>
        <w:t>Santiago, Chile: Ministerio del Medio Ambiente (MMA).</w:t>
      </w:r>
    </w:p>
    <w:p w14:paraId="3D7B42E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Committee on Taxonomy (COT). (2016). List of marine mammal species and subspecies. Retrieved January 14, 2017, from www.marinemammalscience.org</w:t>
      </w:r>
    </w:p>
    <w:p w14:paraId="3CC22FA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Conabio. (2014). Biodiversidad Mexicana. </w:t>
      </w:r>
      <w:hyperlink r:id="rId306" w:history="1">
        <w:r w:rsidRPr="003338D7">
          <w:rPr>
            <w:rStyle w:val="Hyperlink"/>
            <w:rFonts w:asciiTheme="majorHAnsi" w:hAnsiTheme="majorHAnsi"/>
            <w:noProof/>
            <w:szCs w:val="22"/>
          </w:rPr>
          <w:t>http://doi.org/10.2307/3503924</w:t>
        </w:r>
      </w:hyperlink>
    </w:p>
    <w:p w14:paraId="00ABA33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CONABIO. (2016). Sistema de Información sobre Especies Invasoras en México. Comisión Nacional para el Conocimiento y Uso de la Biodiversidad (Available on request).</w:t>
      </w:r>
    </w:p>
    <w:p w14:paraId="53A144A1" w14:textId="3FDDB9C4"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CONABIO database. (n.d.). Retrieved from </w:t>
      </w:r>
      <w:hyperlink r:id="rId307" w:history="1">
        <w:r w:rsidRPr="003338D7">
          <w:rPr>
            <w:rStyle w:val="Hyperlink"/>
            <w:rFonts w:asciiTheme="majorHAnsi" w:hAnsiTheme="majorHAnsi"/>
            <w:noProof/>
            <w:szCs w:val="22"/>
          </w:rPr>
          <w:t>https//www.conabio.gob.mx</w:t>
        </w:r>
      </w:hyperlink>
    </w:p>
    <w:p w14:paraId="6CD2B18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CONANP. (2017). Firma el Presidente Enrique Peña Nieto el decreto del Parque Nacional Revillagigedo. </w:t>
      </w:r>
      <w:r w:rsidRPr="003338D7">
        <w:rPr>
          <w:rFonts w:asciiTheme="majorHAnsi" w:hAnsiTheme="majorHAnsi"/>
          <w:noProof/>
          <w:szCs w:val="22"/>
        </w:rPr>
        <w:t xml:space="preserve">Retrieved from </w:t>
      </w:r>
      <w:hyperlink r:id="rId308" w:history="1">
        <w:r w:rsidRPr="003338D7">
          <w:rPr>
            <w:rStyle w:val="Hyperlink"/>
            <w:rFonts w:asciiTheme="majorHAnsi" w:hAnsiTheme="majorHAnsi"/>
            <w:noProof/>
            <w:szCs w:val="22"/>
          </w:rPr>
          <w:t>https://www.gob.mx/conanp/prensa/firma-el-presidente-enrique-pena-nieto-el-decreto-del-parque-nacional-revillagigedo-136220</w:t>
        </w:r>
      </w:hyperlink>
    </w:p>
    <w:p w14:paraId="69F2441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Contreras, T. E., Figueroa, J. A., Abarca, L., &amp; Castro, S. A. (2011). </w:t>
      </w:r>
      <w:r w:rsidRPr="003338D7">
        <w:rPr>
          <w:rFonts w:asciiTheme="majorHAnsi" w:hAnsiTheme="majorHAnsi"/>
          <w:noProof/>
          <w:szCs w:val="22"/>
        </w:rPr>
        <w:t xml:space="preserve">Fire regimen and spread of plants naturalized in central Chile. </w:t>
      </w:r>
      <w:r w:rsidRPr="003338D7">
        <w:rPr>
          <w:rFonts w:asciiTheme="majorHAnsi" w:hAnsiTheme="majorHAnsi"/>
          <w:i/>
          <w:iCs/>
          <w:noProof/>
          <w:szCs w:val="22"/>
          <w:lang w:val="es-ES"/>
        </w:rPr>
        <w:t>Revista Chilena de Historia Natural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84</w:t>
      </w:r>
      <w:r w:rsidRPr="003338D7">
        <w:rPr>
          <w:rFonts w:asciiTheme="majorHAnsi" w:hAnsiTheme="majorHAnsi"/>
          <w:noProof/>
          <w:szCs w:val="22"/>
          <w:lang w:val="es-ES"/>
        </w:rPr>
        <w:t xml:space="preserve">(3), 307–323. </w:t>
      </w:r>
      <w:hyperlink r:id="rId309" w:history="1">
        <w:r w:rsidRPr="003338D7">
          <w:rPr>
            <w:rStyle w:val="Hyperlink"/>
            <w:rFonts w:asciiTheme="majorHAnsi" w:hAnsiTheme="majorHAnsi"/>
            <w:noProof/>
            <w:szCs w:val="22"/>
            <w:lang w:val="es-ES"/>
          </w:rPr>
          <w:t>http://doi.org/10.4067/S0716-078X2011000300001</w:t>
        </w:r>
      </w:hyperlink>
    </w:p>
    <w:p w14:paraId="0E2B067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Cooney, P. B., &amp; Kwak, T. J. (2010). </w:t>
      </w:r>
      <w:r w:rsidRPr="003338D7">
        <w:rPr>
          <w:rFonts w:asciiTheme="majorHAnsi" w:hAnsiTheme="majorHAnsi"/>
          <w:noProof/>
          <w:szCs w:val="22"/>
        </w:rPr>
        <w:t xml:space="preserve">Development of standard weight equations for Caribbean and Gulf of Mexico amphidromous fishes. </w:t>
      </w:r>
      <w:r w:rsidRPr="003338D7">
        <w:rPr>
          <w:rFonts w:asciiTheme="majorHAnsi" w:hAnsiTheme="majorHAnsi"/>
          <w:i/>
          <w:iCs/>
          <w:noProof/>
          <w:szCs w:val="22"/>
        </w:rPr>
        <w:t>North American Journal of Fisheries Management</w:t>
      </w:r>
      <w:r w:rsidRPr="003338D7">
        <w:rPr>
          <w:rFonts w:asciiTheme="majorHAnsi" w:hAnsiTheme="majorHAnsi"/>
          <w:noProof/>
          <w:szCs w:val="22"/>
        </w:rPr>
        <w:t xml:space="preserve">, </w:t>
      </w:r>
      <w:r w:rsidRPr="003338D7">
        <w:rPr>
          <w:rFonts w:asciiTheme="majorHAnsi" w:hAnsiTheme="majorHAnsi"/>
          <w:i/>
          <w:iCs/>
          <w:noProof/>
          <w:szCs w:val="22"/>
        </w:rPr>
        <w:t>30</w:t>
      </w:r>
      <w:r w:rsidRPr="003338D7">
        <w:rPr>
          <w:rFonts w:asciiTheme="majorHAnsi" w:hAnsiTheme="majorHAnsi"/>
          <w:noProof/>
          <w:szCs w:val="22"/>
        </w:rPr>
        <w:t xml:space="preserve">(5), 1203–1209. </w:t>
      </w:r>
      <w:hyperlink r:id="rId310" w:history="1">
        <w:r w:rsidRPr="003338D7">
          <w:rPr>
            <w:rStyle w:val="Hyperlink"/>
            <w:rFonts w:asciiTheme="majorHAnsi" w:hAnsiTheme="majorHAnsi"/>
            <w:noProof/>
            <w:szCs w:val="22"/>
          </w:rPr>
          <w:t>http://doi.org/10.1577/M10-058.1</w:t>
        </w:r>
      </w:hyperlink>
    </w:p>
    <w:p w14:paraId="23A4C4F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Cooper, C. B., Loyd, K. A. T., Murante, T., Savoca, M., &amp; Dickinson, J. (2012). Natural history traits associated with detecting mortality within residential bird communities: can citizen science provide insights? </w:t>
      </w:r>
      <w:r w:rsidRPr="003338D7">
        <w:rPr>
          <w:rFonts w:asciiTheme="majorHAnsi" w:hAnsiTheme="majorHAnsi"/>
          <w:i/>
          <w:iCs/>
          <w:noProof/>
          <w:szCs w:val="22"/>
        </w:rPr>
        <w:t>Environmental Management</w:t>
      </w:r>
      <w:r w:rsidRPr="003338D7">
        <w:rPr>
          <w:rFonts w:asciiTheme="majorHAnsi" w:hAnsiTheme="majorHAnsi"/>
          <w:noProof/>
          <w:szCs w:val="22"/>
        </w:rPr>
        <w:t xml:space="preserve">, </w:t>
      </w:r>
      <w:r w:rsidRPr="003338D7">
        <w:rPr>
          <w:rFonts w:asciiTheme="majorHAnsi" w:hAnsiTheme="majorHAnsi"/>
          <w:i/>
          <w:iCs/>
          <w:noProof/>
          <w:szCs w:val="22"/>
        </w:rPr>
        <w:t>50</w:t>
      </w:r>
      <w:r w:rsidRPr="003338D7">
        <w:rPr>
          <w:rFonts w:asciiTheme="majorHAnsi" w:hAnsiTheme="majorHAnsi"/>
          <w:noProof/>
          <w:szCs w:val="22"/>
        </w:rPr>
        <w:t xml:space="preserve">(1), 11–20. </w:t>
      </w:r>
      <w:hyperlink r:id="rId311" w:history="1">
        <w:r w:rsidRPr="003338D7">
          <w:rPr>
            <w:rStyle w:val="Hyperlink"/>
            <w:rFonts w:asciiTheme="majorHAnsi" w:hAnsiTheme="majorHAnsi"/>
            <w:noProof/>
            <w:szCs w:val="22"/>
          </w:rPr>
          <w:t>http://doi.org/10.1007/s00267-012-9866-x</w:t>
        </w:r>
      </w:hyperlink>
    </w:p>
    <w:p w14:paraId="03255CF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Cornwell, W. K., Schwilk, D. W., &amp; Ackerly, D. D. (2006). A trait-based test for habitat filtering: convex hull volume. </w:t>
      </w:r>
      <w:r w:rsidRPr="003338D7">
        <w:rPr>
          <w:rFonts w:asciiTheme="majorHAnsi" w:hAnsiTheme="majorHAnsi"/>
          <w:i/>
          <w:iCs/>
          <w:noProof/>
          <w:szCs w:val="22"/>
          <w:lang w:val="es-ES"/>
        </w:rPr>
        <w:t>Ecology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87</w:t>
      </w:r>
      <w:r w:rsidRPr="003338D7">
        <w:rPr>
          <w:rFonts w:asciiTheme="majorHAnsi" w:hAnsiTheme="majorHAnsi"/>
          <w:noProof/>
          <w:szCs w:val="22"/>
          <w:lang w:val="es-ES"/>
        </w:rPr>
        <w:t xml:space="preserve">(6), 1465–1471. </w:t>
      </w:r>
      <w:hyperlink r:id="rId312" w:history="1">
        <w:r w:rsidRPr="003338D7">
          <w:rPr>
            <w:rStyle w:val="Hyperlink"/>
            <w:rFonts w:asciiTheme="majorHAnsi" w:hAnsiTheme="majorHAnsi"/>
            <w:noProof/>
            <w:szCs w:val="22"/>
            <w:lang w:val="es-ES"/>
          </w:rPr>
          <w:t>http://doi.org/10.1890/0012-9658(2006)87%5B1465:ATTFHF%5D2.0.CO;2</w:t>
        </w:r>
      </w:hyperlink>
    </w:p>
    <w:p w14:paraId="4B6B9D9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Corporación Nacional Forestal (CONAF). (2017). </w:t>
      </w:r>
      <w:r w:rsidRPr="003338D7">
        <w:rPr>
          <w:rFonts w:asciiTheme="majorHAnsi" w:hAnsiTheme="majorHAnsi"/>
          <w:i/>
          <w:iCs/>
          <w:noProof/>
          <w:szCs w:val="22"/>
          <w:lang w:val="es-ES"/>
        </w:rPr>
        <w:t>Análisis de la Afectación y Severidad de los Incendios Forestales ocurridos en Enero y Febrero de 2017 sobre los Usos de Suelo y los Ecosistemas Naturales presentes entre las Regiones de Coquimbo y Los Ríos de Chile</w:t>
      </w:r>
      <w:r w:rsidRPr="003338D7">
        <w:rPr>
          <w:rFonts w:asciiTheme="majorHAnsi" w:hAnsiTheme="majorHAnsi"/>
          <w:noProof/>
          <w:szCs w:val="22"/>
          <w:lang w:val="es-ES"/>
        </w:rPr>
        <w:t xml:space="preserve">. </w:t>
      </w:r>
      <w:r w:rsidRPr="003338D7">
        <w:rPr>
          <w:rFonts w:asciiTheme="majorHAnsi" w:hAnsiTheme="majorHAnsi"/>
          <w:noProof/>
          <w:szCs w:val="22"/>
        </w:rPr>
        <w:t xml:space="preserve">Santiago, Chile. Retrieved from </w:t>
      </w:r>
      <w:hyperlink r:id="rId313" w:history="1">
        <w:r w:rsidRPr="003338D7">
          <w:rPr>
            <w:rStyle w:val="Hyperlink"/>
            <w:rFonts w:asciiTheme="majorHAnsi" w:hAnsiTheme="majorHAnsi"/>
            <w:noProof/>
            <w:szCs w:val="22"/>
          </w:rPr>
          <w:t>http://www.conaf.cl/tormenta_de_fuego-2017</w:t>
        </w:r>
      </w:hyperlink>
    </w:p>
    <w:p w14:paraId="7A8A408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Correa, F. (2011). Desencializando lo indígena. In G. R. Nemogá (Ed.), </w:t>
      </w:r>
      <w:r w:rsidRPr="003338D7">
        <w:rPr>
          <w:rFonts w:asciiTheme="majorHAnsi" w:hAnsiTheme="majorHAnsi"/>
          <w:i/>
          <w:iCs/>
          <w:noProof/>
          <w:szCs w:val="22"/>
          <w:lang w:val="es-ES"/>
        </w:rPr>
        <w:t>Naciones Indígenas en los Estados Contemporáneos</w:t>
      </w:r>
      <w:r w:rsidRPr="003338D7">
        <w:rPr>
          <w:rFonts w:asciiTheme="majorHAnsi" w:hAnsiTheme="majorHAnsi"/>
          <w:noProof/>
          <w:szCs w:val="22"/>
          <w:lang w:val="es-ES"/>
        </w:rPr>
        <w:t xml:space="preserve"> (pp. 83–111). Bogotá, Colombia: Universidad Nacional de Colombia.</w:t>
      </w:r>
    </w:p>
    <w:p w14:paraId="24D9E67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Correa, S. B., Araujo, J. K., Penha, J. M. F., Nunes da Cunha, C., Stevenson, P. R., &amp; Anderson, J. P. (2015). </w:t>
      </w:r>
      <w:r w:rsidRPr="003338D7">
        <w:rPr>
          <w:rFonts w:asciiTheme="majorHAnsi" w:hAnsiTheme="majorHAnsi"/>
          <w:noProof/>
          <w:szCs w:val="22"/>
        </w:rPr>
        <w:t xml:space="preserve">Overfishing disrupts an ancient mutualism between frugivorous fishes and plants in Neotropical wetlands.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191</w:t>
      </w:r>
      <w:r w:rsidRPr="003338D7">
        <w:rPr>
          <w:rFonts w:asciiTheme="majorHAnsi" w:hAnsiTheme="majorHAnsi"/>
          <w:noProof/>
          <w:szCs w:val="22"/>
        </w:rPr>
        <w:t xml:space="preserve">, 159–167. </w:t>
      </w:r>
      <w:hyperlink r:id="rId314" w:history="1">
        <w:r w:rsidRPr="003338D7">
          <w:rPr>
            <w:rStyle w:val="Hyperlink"/>
            <w:rFonts w:asciiTheme="majorHAnsi" w:hAnsiTheme="majorHAnsi"/>
            <w:noProof/>
            <w:szCs w:val="22"/>
          </w:rPr>
          <w:t>http://doi.org/10.1016/j.biocon.2015.06.019</w:t>
        </w:r>
      </w:hyperlink>
    </w:p>
    <w:p w14:paraId="566A327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Costanza, R., Pérez-Maqueo, O., Martinez, M. L., Sutton, P., Anderson, S. J., &amp; Mulder, K. (2008). The value of coastal wetlands for hurricane protection. </w:t>
      </w:r>
      <w:r w:rsidRPr="003338D7">
        <w:rPr>
          <w:rFonts w:asciiTheme="majorHAnsi" w:hAnsiTheme="majorHAnsi"/>
          <w:i/>
          <w:iCs/>
          <w:noProof/>
          <w:szCs w:val="22"/>
        </w:rPr>
        <w:t>Ambio</w:t>
      </w:r>
      <w:r w:rsidRPr="003338D7">
        <w:rPr>
          <w:rFonts w:asciiTheme="majorHAnsi" w:hAnsiTheme="majorHAnsi"/>
          <w:noProof/>
          <w:szCs w:val="22"/>
        </w:rPr>
        <w:t xml:space="preserve">, </w:t>
      </w:r>
      <w:r w:rsidRPr="003338D7">
        <w:rPr>
          <w:rFonts w:asciiTheme="majorHAnsi" w:hAnsiTheme="majorHAnsi"/>
          <w:i/>
          <w:iCs/>
          <w:noProof/>
          <w:szCs w:val="22"/>
        </w:rPr>
        <w:t>37</w:t>
      </w:r>
      <w:r w:rsidRPr="003338D7">
        <w:rPr>
          <w:rFonts w:asciiTheme="majorHAnsi" w:hAnsiTheme="majorHAnsi"/>
          <w:noProof/>
          <w:szCs w:val="22"/>
        </w:rPr>
        <w:t xml:space="preserve">(4), 241–248. </w:t>
      </w:r>
      <w:hyperlink r:id="rId315" w:history="1">
        <w:r w:rsidRPr="003338D7">
          <w:rPr>
            <w:rStyle w:val="Hyperlink"/>
            <w:rFonts w:asciiTheme="majorHAnsi" w:hAnsiTheme="majorHAnsi"/>
            <w:noProof/>
            <w:szCs w:val="22"/>
          </w:rPr>
          <w:t>http://doi.org/10.1579/0044-7447(2008)37%5B241:TVOCWF%5D2.0.CO;2</w:t>
        </w:r>
      </w:hyperlink>
    </w:p>
    <w:p w14:paraId="431F395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Costello, C., Ovando, D., Clavelle, T., Strauss, C. K., Hilborn, R., Melnychuk, M. C., Branch, T. A., Gaines, S. D., Szuwalski, C. S., Cabral, R. B., Rader, D. N., &amp; Leland, A. (2016). Global fishery prospects under contrasting management regimes.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113</w:t>
      </w:r>
      <w:r w:rsidRPr="003338D7">
        <w:rPr>
          <w:rFonts w:asciiTheme="majorHAnsi" w:hAnsiTheme="majorHAnsi"/>
          <w:noProof/>
          <w:szCs w:val="22"/>
          <w:lang w:val="es-ES"/>
        </w:rPr>
        <w:t xml:space="preserve">(18), 5125–5129. </w:t>
      </w:r>
      <w:hyperlink r:id="rId316" w:history="1">
        <w:r w:rsidRPr="003338D7">
          <w:rPr>
            <w:rStyle w:val="Hyperlink"/>
            <w:rFonts w:asciiTheme="majorHAnsi" w:hAnsiTheme="majorHAnsi"/>
            <w:noProof/>
            <w:szCs w:val="22"/>
            <w:lang w:val="es-ES"/>
          </w:rPr>
          <w:t>https://doi.org/10.1073/pnas.1520420113</w:t>
        </w:r>
      </w:hyperlink>
    </w:p>
    <w:p w14:paraId="1FE8130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Costello, E. K., Halloy, S. R. P., Reed, S. C., Sowell, P., &amp; Schmidt, S. K. (2009). Fumarole-supported islands of biodiversity within a hyperarid, high-elevation landscape on Socompa volcano, Puna de Atacama, Andes. </w:t>
      </w:r>
      <w:r w:rsidRPr="003338D7">
        <w:rPr>
          <w:rFonts w:asciiTheme="majorHAnsi" w:hAnsiTheme="majorHAnsi"/>
          <w:i/>
          <w:iCs/>
          <w:noProof/>
          <w:szCs w:val="22"/>
        </w:rPr>
        <w:t>Applied and Environmental Microbiology</w:t>
      </w:r>
      <w:r w:rsidRPr="003338D7">
        <w:rPr>
          <w:rFonts w:asciiTheme="majorHAnsi" w:hAnsiTheme="majorHAnsi"/>
          <w:noProof/>
          <w:szCs w:val="22"/>
        </w:rPr>
        <w:t xml:space="preserve">, </w:t>
      </w:r>
      <w:r w:rsidRPr="003338D7">
        <w:rPr>
          <w:rFonts w:asciiTheme="majorHAnsi" w:hAnsiTheme="majorHAnsi"/>
          <w:i/>
          <w:iCs/>
          <w:noProof/>
          <w:szCs w:val="22"/>
        </w:rPr>
        <w:t>75</w:t>
      </w:r>
      <w:r w:rsidRPr="003338D7">
        <w:rPr>
          <w:rFonts w:asciiTheme="majorHAnsi" w:hAnsiTheme="majorHAnsi"/>
          <w:noProof/>
          <w:szCs w:val="22"/>
        </w:rPr>
        <w:t xml:space="preserve">(3), 735–747. </w:t>
      </w:r>
      <w:hyperlink r:id="rId317" w:history="1">
        <w:r w:rsidRPr="003338D7">
          <w:rPr>
            <w:rStyle w:val="Hyperlink"/>
            <w:rFonts w:asciiTheme="majorHAnsi" w:hAnsiTheme="majorHAnsi"/>
            <w:noProof/>
            <w:szCs w:val="22"/>
          </w:rPr>
          <w:t>http://doi.org/10.1128/AEM.01469-08</w:t>
        </w:r>
      </w:hyperlink>
    </w:p>
    <w:p w14:paraId="252ECB8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Crandall, K. A., &amp; Buhay, J. E. (2008). Global diversity of crayfish (Astacidae, Cambaridae, and Parastacidae - Decapoda) in freshwater. </w:t>
      </w:r>
      <w:r w:rsidRPr="003338D7">
        <w:rPr>
          <w:rFonts w:asciiTheme="majorHAnsi" w:hAnsiTheme="majorHAnsi"/>
          <w:i/>
          <w:iCs/>
          <w:noProof/>
          <w:szCs w:val="22"/>
        </w:rPr>
        <w:t>Hydrobiologia</w:t>
      </w:r>
      <w:r w:rsidRPr="003338D7">
        <w:rPr>
          <w:rFonts w:asciiTheme="majorHAnsi" w:hAnsiTheme="majorHAnsi"/>
          <w:noProof/>
          <w:szCs w:val="22"/>
        </w:rPr>
        <w:t xml:space="preserve">, </w:t>
      </w:r>
      <w:r w:rsidRPr="003338D7">
        <w:rPr>
          <w:rFonts w:asciiTheme="majorHAnsi" w:hAnsiTheme="majorHAnsi"/>
          <w:i/>
          <w:iCs/>
          <w:noProof/>
          <w:szCs w:val="22"/>
        </w:rPr>
        <w:t>595</w:t>
      </w:r>
      <w:r w:rsidRPr="003338D7">
        <w:rPr>
          <w:rFonts w:asciiTheme="majorHAnsi" w:hAnsiTheme="majorHAnsi"/>
          <w:noProof/>
          <w:szCs w:val="22"/>
        </w:rPr>
        <w:t xml:space="preserve">(1), 295–301. </w:t>
      </w:r>
      <w:hyperlink r:id="rId318" w:history="1">
        <w:r w:rsidRPr="003338D7">
          <w:rPr>
            <w:rStyle w:val="Hyperlink"/>
            <w:rFonts w:asciiTheme="majorHAnsi" w:hAnsiTheme="majorHAnsi"/>
            <w:noProof/>
            <w:szCs w:val="22"/>
          </w:rPr>
          <w:t>http://doi.org/10.1007/s10750-007-9120-3</w:t>
        </w:r>
      </w:hyperlink>
    </w:p>
    <w:p w14:paraId="0F421D8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pt-BR"/>
        </w:rPr>
      </w:pPr>
      <w:r w:rsidRPr="003338D7">
        <w:rPr>
          <w:rFonts w:asciiTheme="majorHAnsi" w:hAnsiTheme="majorHAnsi"/>
          <w:noProof/>
          <w:szCs w:val="22"/>
        </w:rPr>
        <w:t xml:space="preserve">Crawford, A. J., Alonso, R., Jaramillo, C. A. A., Sucre, S., &amp; Ibáńez, R. D. (2011). DNA barcoding identifies a third invasive species of </w:t>
      </w:r>
      <w:r w:rsidRPr="003338D7">
        <w:rPr>
          <w:rFonts w:asciiTheme="majorHAnsi" w:hAnsiTheme="majorHAnsi"/>
          <w:i/>
          <w:iCs/>
          <w:noProof/>
          <w:szCs w:val="22"/>
        </w:rPr>
        <w:t>Eleutherodactylus</w:t>
      </w:r>
      <w:r w:rsidRPr="003338D7">
        <w:rPr>
          <w:rFonts w:asciiTheme="majorHAnsi" w:hAnsiTheme="majorHAnsi"/>
          <w:noProof/>
          <w:szCs w:val="22"/>
        </w:rPr>
        <w:t xml:space="preserve"> (Anura: Eleutherodactylidae) in Panama City, Panama. </w:t>
      </w:r>
      <w:r w:rsidRPr="003338D7">
        <w:rPr>
          <w:rFonts w:asciiTheme="majorHAnsi" w:hAnsiTheme="majorHAnsi"/>
          <w:i/>
          <w:iCs/>
          <w:noProof/>
          <w:szCs w:val="22"/>
          <w:lang w:val="pt-BR"/>
        </w:rPr>
        <w:t>Zootaxa</w:t>
      </w:r>
      <w:r w:rsidRPr="003338D7">
        <w:rPr>
          <w:rFonts w:asciiTheme="majorHAnsi" w:hAnsiTheme="majorHAnsi"/>
          <w:noProof/>
          <w:szCs w:val="22"/>
          <w:lang w:val="pt-BR"/>
        </w:rPr>
        <w:t xml:space="preserve">, </w:t>
      </w:r>
      <w:r w:rsidRPr="003338D7">
        <w:rPr>
          <w:rFonts w:asciiTheme="majorHAnsi" w:hAnsiTheme="majorHAnsi"/>
          <w:i/>
          <w:iCs/>
          <w:noProof/>
          <w:szCs w:val="22"/>
          <w:lang w:val="pt-BR"/>
        </w:rPr>
        <w:t>67</w:t>
      </w:r>
      <w:r w:rsidRPr="003338D7">
        <w:rPr>
          <w:rFonts w:asciiTheme="majorHAnsi" w:hAnsiTheme="majorHAnsi"/>
          <w:noProof/>
          <w:szCs w:val="22"/>
          <w:lang w:val="pt-BR"/>
        </w:rPr>
        <w:t>(2890), 65–67.</w:t>
      </w:r>
    </w:p>
    <w:p w14:paraId="7672D18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pt-BR"/>
        </w:rPr>
        <w:t xml:space="preserve">Crimmins, S. M., Dobrowski, S. Z., Greenberg, J. A., Abatzoglou, J. T., &amp; Mynsberge, A. R. (2011). </w:t>
      </w:r>
      <w:r w:rsidRPr="003338D7">
        <w:rPr>
          <w:rFonts w:asciiTheme="majorHAnsi" w:hAnsiTheme="majorHAnsi"/>
          <w:noProof/>
          <w:szCs w:val="22"/>
        </w:rPr>
        <w:t xml:space="preserve">Changes in climatic water balance drive downhill shifts in plant species’ optimum elevations.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331</w:t>
      </w:r>
      <w:r w:rsidRPr="003338D7">
        <w:rPr>
          <w:rFonts w:asciiTheme="majorHAnsi" w:hAnsiTheme="majorHAnsi"/>
          <w:noProof/>
          <w:szCs w:val="22"/>
        </w:rPr>
        <w:t xml:space="preserve">(6015), 324–327. </w:t>
      </w:r>
      <w:hyperlink r:id="rId319" w:history="1">
        <w:r w:rsidRPr="003338D7">
          <w:rPr>
            <w:rStyle w:val="Hyperlink"/>
            <w:rFonts w:asciiTheme="majorHAnsi" w:hAnsiTheme="majorHAnsi"/>
            <w:noProof/>
            <w:szCs w:val="22"/>
          </w:rPr>
          <w:t>http://doi.org/10.1126/science.1199040</w:t>
        </w:r>
      </w:hyperlink>
    </w:p>
    <w:p w14:paraId="2DDDF97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Crisp, Laffan, Linder, &amp; Monro. (2001). Endemism in the Australian flora. </w:t>
      </w:r>
      <w:r w:rsidRPr="003338D7">
        <w:rPr>
          <w:rFonts w:asciiTheme="majorHAnsi" w:hAnsiTheme="majorHAnsi"/>
          <w:i/>
          <w:iCs/>
          <w:noProof/>
          <w:szCs w:val="22"/>
        </w:rPr>
        <w:t>Journal of Biogeography</w:t>
      </w:r>
      <w:r w:rsidRPr="003338D7">
        <w:rPr>
          <w:rFonts w:asciiTheme="majorHAnsi" w:hAnsiTheme="majorHAnsi"/>
          <w:noProof/>
          <w:szCs w:val="22"/>
        </w:rPr>
        <w:t xml:space="preserve">, </w:t>
      </w:r>
      <w:r w:rsidRPr="003338D7">
        <w:rPr>
          <w:rFonts w:asciiTheme="majorHAnsi" w:hAnsiTheme="majorHAnsi"/>
          <w:i/>
          <w:iCs/>
          <w:noProof/>
          <w:szCs w:val="22"/>
        </w:rPr>
        <w:t>28</w:t>
      </w:r>
      <w:r w:rsidRPr="003338D7">
        <w:rPr>
          <w:rFonts w:asciiTheme="majorHAnsi" w:hAnsiTheme="majorHAnsi"/>
          <w:noProof/>
          <w:szCs w:val="22"/>
        </w:rPr>
        <w:t xml:space="preserve">(2), 183–198. </w:t>
      </w:r>
      <w:hyperlink r:id="rId320" w:history="1">
        <w:r w:rsidRPr="003338D7">
          <w:rPr>
            <w:rStyle w:val="Hyperlink"/>
            <w:rFonts w:asciiTheme="majorHAnsi" w:hAnsiTheme="majorHAnsi"/>
            <w:noProof/>
            <w:szCs w:val="22"/>
          </w:rPr>
          <w:t>http://doi.org/10.1046/j.1365-2699.2001.00524.x</w:t>
        </w:r>
      </w:hyperlink>
    </w:p>
    <w:p w14:paraId="37B7618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Crits-Christoph, A., Gelsinger, D. R., Ma, B., Wierzchos, J., Ravel, J., Davila, A., Casero, M. C., &amp; DiRuggiero, J. (2016). Functional interactions of archaea, bacteria and viruses in a hypersaline endolithic community. </w:t>
      </w:r>
      <w:r w:rsidRPr="003338D7">
        <w:rPr>
          <w:rFonts w:asciiTheme="majorHAnsi" w:hAnsiTheme="majorHAnsi"/>
          <w:i/>
          <w:iCs/>
          <w:noProof/>
          <w:szCs w:val="22"/>
          <w:lang w:val="es-ES"/>
        </w:rPr>
        <w:t>Environmental Microbiology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18</w:t>
      </w:r>
      <w:r w:rsidRPr="003338D7">
        <w:rPr>
          <w:rFonts w:asciiTheme="majorHAnsi" w:hAnsiTheme="majorHAnsi"/>
          <w:noProof/>
          <w:szCs w:val="22"/>
          <w:lang w:val="es-ES"/>
        </w:rPr>
        <w:t xml:space="preserve">(6), 2064–2077. </w:t>
      </w:r>
      <w:hyperlink r:id="rId321" w:history="1">
        <w:r w:rsidRPr="003338D7">
          <w:rPr>
            <w:rStyle w:val="Hyperlink"/>
            <w:rFonts w:asciiTheme="majorHAnsi" w:hAnsiTheme="majorHAnsi"/>
            <w:noProof/>
            <w:szCs w:val="22"/>
            <w:lang w:val="es-ES"/>
          </w:rPr>
          <w:t>https://doi.org/10.1111/1462-2920.13259</w:t>
        </w:r>
      </w:hyperlink>
    </w:p>
    <w:p w14:paraId="112667F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Cuesta, F., Muriel, P., Llambí, L. D., Halloy, S., Aguirre, N., Beck, S., Carilla, J., Meneses, R. I., Cuello, S., Grau, A., Gámez, L. E., Irazábal, J., Jácome, J., Jaramillo, R., Ramírez, L., Samaniego, N., Suárez-Duque, D., Thompson, N., Tupayachi, A., Viñas, P., Yager, K., Becerra, M. T., Pauli, H., &amp; Gosling, W. D. (2017). Latitudinal and altitudinal patterns of plant community diversity on mountain summits across the tropical Andes. </w:t>
      </w:r>
      <w:r w:rsidRPr="003338D7">
        <w:rPr>
          <w:rFonts w:asciiTheme="majorHAnsi" w:hAnsiTheme="majorHAnsi"/>
          <w:i/>
          <w:iCs/>
          <w:noProof/>
          <w:szCs w:val="22"/>
          <w:lang w:val="es-ES"/>
        </w:rPr>
        <w:t>Ecography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40</w:t>
      </w:r>
      <w:r w:rsidRPr="003338D7">
        <w:rPr>
          <w:rFonts w:asciiTheme="majorHAnsi" w:hAnsiTheme="majorHAnsi"/>
          <w:noProof/>
          <w:szCs w:val="22"/>
          <w:lang w:val="es-ES"/>
        </w:rPr>
        <w:t xml:space="preserve">(12), 1381–1394. </w:t>
      </w:r>
      <w:hyperlink r:id="rId322" w:history="1">
        <w:r w:rsidRPr="003338D7">
          <w:rPr>
            <w:rStyle w:val="Hyperlink"/>
            <w:rFonts w:asciiTheme="majorHAnsi" w:hAnsiTheme="majorHAnsi"/>
            <w:noProof/>
            <w:szCs w:val="22"/>
            <w:lang w:val="es-ES"/>
          </w:rPr>
          <w:t>https://doi.org/10.1111/ecog.02567</w:t>
        </w:r>
      </w:hyperlink>
    </w:p>
    <w:p w14:paraId="096E5CD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pt-BR"/>
        </w:rPr>
      </w:pPr>
      <w:r w:rsidRPr="003338D7">
        <w:rPr>
          <w:rFonts w:asciiTheme="majorHAnsi" w:hAnsiTheme="majorHAnsi"/>
          <w:noProof/>
          <w:szCs w:val="22"/>
        </w:rPr>
        <w:t xml:space="preserve">Cushman, S. A. (2006). Effects of habitat loss and fragmentation on amphibians: A review and prospectus. </w:t>
      </w:r>
      <w:r w:rsidRPr="003338D7">
        <w:rPr>
          <w:rFonts w:asciiTheme="majorHAnsi" w:hAnsiTheme="majorHAnsi"/>
          <w:i/>
          <w:iCs/>
          <w:noProof/>
          <w:szCs w:val="22"/>
          <w:lang w:val="pt-BR"/>
        </w:rPr>
        <w:t>Biological Conservation</w:t>
      </w:r>
      <w:r w:rsidRPr="003338D7">
        <w:rPr>
          <w:rFonts w:asciiTheme="majorHAnsi" w:hAnsiTheme="majorHAnsi"/>
          <w:noProof/>
          <w:szCs w:val="22"/>
          <w:lang w:val="pt-BR"/>
        </w:rPr>
        <w:t xml:space="preserve">, </w:t>
      </w:r>
      <w:r w:rsidRPr="003338D7">
        <w:rPr>
          <w:rFonts w:asciiTheme="majorHAnsi" w:hAnsiTheme="majorHAnsi"/>
          <w:i/>
          <w:iCs/>
          <w:noProof/>
          <w:szCs w:val="22"/>
          <w:lang w:val="pt-BR"/>
        </w:rPr>
        <w:t>128</w:t>
      </w:r>
      <w:r w:rsidRPr="003338D7">
        <w:rPr>
          <w:rFonts w:asciiTheme="majorHAnsi" w:hAnsiTheme="majorHAnsi"/>
          <w:noProof/>
          <w:szCs w:val="22"/>
          <w:lang w:val="pt-BR"/>
        </w:rPr>
        <w:t xml:space="preserve">(2), 231–240. </w:t>
      </w:r>
      <w:hyperlink r:id="rId323" w:history="1">
        <w:r w:rsidRPr="003338D7">
          <w:rPr>
            <w:rStyle w:val="Hyperlink"/>
            <w:rFonts w:asciiTheme="majorHAnsi" w:hAnsiTheme="majorHAnsi"/>
            <w:noProof/>
            <w:szCs w:val="22"/>
            <w:lang w:val="pt-BR"/>
          </w:rPr>
          <w:t>http://doi.org/10.1016/j.biocon.2005.09.031</w:t>
        </w:r>
      </w:hyperlink>
    </w:p>
    <w:p w14:paraId="69ECB19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pt-BR"/>
        </w:rPr>
        <w:t xml:space="preserve">da Silva, F. R., Candeira, C. P., &amp; Rossa-Feres, D. C. (2012). </w:t>
      </w:r>
      <w:r w:rsidRPr="003338D7">
        <w:rPr>
          <w:rFonts w:asciiTheme="majorHAnsi" w:hAnsiTheme="majorHAnsi"/>
          <w:noProof/>
          <w:szCs w:val="22"/>
        </w:rPr>
        <w:t xml:space="preserve">Dependence of anuran diversity on environmental descriptors in farmland ponds.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21</w:t>
      </w:r>
      <w:r w:rsidRPr="003338D7">
        <w:rPr>
          <w:rFonts w:asciiTheme="majorHAnsi" w:hAnsiTheme="majorHAnsi"/>
          <w:noProof/>
          <w:szCs w:val="22"/>
        </w:rPr>
        <w:t xml:space="preserve">(6), 1411–1424. </w:t>
      </w:r>
      <w:hyperlink r:id="rId324" w:history="1">
        <w:r w:rsidRPr="003338D7">
          <w:rPr>
            <w:rStyle w:val="Hyperlink"/>
            <w:rFonts w:asciiTheme="majorHAnsi" w:hAnsiTheme="majorHAnsi"/>
            <w:noProof/>
            <w:szCs w:val="22"/>
          </w:rPr>
          <w:t>http://doi.org/10.1007/s10531-012-0252-z</w:t>
        </w:r>
      </w:hyperlink>
    </w:p>
    <w:p w14:paraId="3865057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da Silva, F. R., Gibbs, J. P., &amp; Rossa-Feres, D. C. (2011). Breeding habitat and landscape correlates of frog diversity and abundance in a tropical agricultural landscape. </w:t>
      </w:r>
      <w:r w:rsidRPr="003338D7">
        <w:rPr>
          <w:rFonts w:asciiTheme="majorHAnsi" w:hAnsiTheme="majorHAnsi"/>
          <w:i/>
          <w:iCs/>
          <w:noProof/>
          <w:szCs w:val="22"/>
        </w:rPr>
        <w:t>Wetlands</w:t>
      </w:r>
      <w:r w:rsidRPr="003338D7">
        <w:rPr>
          <w:rFonts w:asciiTheme="majorHAnsi" w:hAnsiTheme="majorHAnsi"/>
          <w:noProof/>
          <w:szCs w:val="22"/>
        </w:rPr>
        <w:t xml:space="preserve">, </w:t>
      </w:r>
      <w:r w:rsidRPr="003338D7">
        <w:rPr>
          <w:rFonts w:asciiTheme="majorHAnsi" w:hAnsiTheme="majorHAnsi"/>
          <w:i/>
          <w:iCs/>
          <w:noProof/>
          <w:szCs w:val="22"/>
        </w:rPr>
        <w:t>31</w:t>
      </w:r>
      <w:r w:rsidRPr="003338D7">
        <w:rPr>
          <w:rFonts w:asciiTheme="majorHAnsi" w:hAnsiTheme="majorHAnsi"/>
          <w:noProof/>
          <w:szCs w:val="22"/>
        </w:rPr>
        <w:t xml:space="preserve">(6), 1079–1087. </w:t>
      </w:r>
      <w:hyperlink r:id="rId325" w:history="1">
        <w:r w:rsidRPr="003338D7">
          <w:rPr>
            <w:rStyle w:val="Hyperlink"/>
            <w:rFonts w:asciiTheme="majorHAnsi" w:hAnsiTheme="majorHAnsi"/>
            <w:noProof/>
            <w:szCs w:val="22"/>
          </w:rPr>
          <w:t>http://doi.org/10.1007/s13157-011-0217-0</w:t>
        </w:r>
      </w:hyperlink>
    </w:p>
    <w:p w14:paraId="1690188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Dahl, T. E. (1990). </w:t>
      </w:r>
      <w:r w:rsidRPr="003338D7">
        <w:rPr>
          <w:rFonts w:asciiTheme="majorHAnsi" w:hAnsiTheme="majorHAnsi"/>
          <w:i/>
          <w:iCs/>
          <w:noProof/>
          <w:szCs w:val="22"/>
        </w:rPr>
        <w:t>Wetland Losses in the United States 1780’s to 1980’s</w:t>
      </w:r>
      <w:r w:rsidRPr="003338D7">
        <w:rPr>
          <w:rFonts w:asciiTheme="majorHAnsi" w:hAnsiTheme="majorHAnsi"/>
          <w:noProof/>
          <w:szCs w:val="22"/>
        </w:rPr>
        <w:t>. Washington, D.C., USA: Department of the Interior, Fish and Wildlife Service.</w:t>
      </w:r>
    </w:p>
    <w:p w14:paraId="310A9D0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Dahl, T. E. (2011). </w:t>
      </w:r>
      <w:r w:rsidRPr="003338D7">
        <w:rPr>
          <w:rFonts w:asciiTheme="majorHAnsi" w:hAnsiTheme="majorHAnsi"/>
          <w:i/>
          <w:iCs/>
          <w:noProof/>
          <w:szCs w:val="22"/>
        </w:rPr>
        <w:t>Status and Trends of Wetlands in the Conterminous United States 2004 to 2009</w:t>
      </w:r>
      <w:r w:rsidRPr="003338D7">
        <w:rPr>
          <w:rFonts w:asciiTheme="majorHAnsi" w:hAnsiTheme="majorHAnsi"/>
          <w:noProof/>
          <w:szCs w:val="22"/>
        </w:rPr>
        <w:t>. Washington D.C., USA: U.S. Department of the Interior; Fish and Wildlife Service.</w:t>
      </w:r>
    </w:p>
    <w:p w14:paraId="7F37248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Dai, D. (2011). Racial/ethnic and socioeconomic disparities in urban green space accessibility: Where to intervene? </w:t>
      </w:r>
      <w:r w:rsidRPr="003338D7">
        <w:rPr>
          <w:rFonts w:asciiTheme="majorHAnsi" w:hAnsiTheme="majorHAnsi"/>
          <w:i/>
          <w:iCs/>
          <w:noProof/>
          <w:szCs w:val="22"/>
        </w:rPr>
        <w:t>Landscape and Urban Planning</w:t>
      </w:r>
      <w:r w:rsidRPr="003338D7">
        <w:rPr>
          <w:rFonts w:asciiTheme="majorHAnsi" w:hAnsiTheme="majorHAnsi"/>
          <w:noProof/>
          <w:szCs w:val="22"/>
        </w:rPr>
        <w:t xml:space="preserve">, </w:t>
      </w:r>
      <w:r w:rsidRPr="003338D7">
        <w:rPr>
          <w:rFonts w:asciiTheme="majorHAnsi" w:hAnsiTheme="majorHAnsi"/>
          <w:i/>
          <w:iCs/>
          <w:noProof/>
          <w:szCs w:val="22"/>
        </w:rPr>
        <w:t>102</w:t>
      </w:r>
      <w:r w:rsidRPr="003338D7">
        <w:rPr>
          <w:rFonts w:asciiTheme="majorHAnsi" w:hAnsiTheme="majorHAnsi"/>
          <w:noProof/>
          <w:szCs w:val="22"/>
        </w:rPr>
        <w:t xml:space="preserve">(4), 234–244. </w:t>
      </w:r>
      <w:hyperlink r:id="rId326" w:history="1">
        <w:r w:rsidRPr="003338D7">
          <w:rPr>
            <w:rStyle w:val="Hyperlink"/>
            <w:rFonts w:asciiTheme="majorHAnsi" w:hAnsiTheme="majorHAnsi"/>
            <w:noProof/>
            <w:szCs w:val="22"/>
          </w:rPr>
          <w:t>http://doi.org/10.1016/j.landurbplan.2011.05.002</w:t>
        </w:r>
      </w:hyperlink>
    </w:p>
    <w:p w14:paraId="0180589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Dangles, O., Carpio, C., Barragan, A. R., Zeddam, J.-L., &amp; Silvain, J.-F. (2008). Temperature as a key driver of ecological sorting among invasive pest species in the tropical Andes. </w:t>
      </w:r>
      <w:r w:rsidRPr="003338D7">
        <w:rPr>
          <w:rFonts w:asciiTheme="majorHAnsi" w:hAnsiTheme="majorHAnsi"/>
          <w:i/>
          <w:iCs/>
          <w:noProof/>
          <w:szCs w:val="22"/>
        </w:rPr>
        <w:t>Ecological Applications</w:t>
      </w:r>
      <w:r w:rsidRPr="003338D7">
        <w:rPr>
          <w:rFonts w:asciiTheme="majorHAnsi" w:hAnsiTheme="majorHAnsi"/>
          <w:noProof/>
          <w:szCs w:val="22"/>
        </w:rPr>
        <w:t xml:space="preserve">, </w:t>
      </w:r>
      <w:r w:rsidRPr="003338D7">
        <w:rPr>
          <w:rFonts w:asciiTheme="majorHAnsi" w:hAnsiTheme="majorHAnsi"/>
          <w:i/>
          <w:iCs/>
          <w:noProof/>
          <w:szCs w:val="22"/>
        </w:rPr>
        <w:t>18</w:t>
      </w:r>
      <w:r w:rsidRPr="003338D7">
        <w:rPr>
          <w:rFonts w:asciiTheme="majorHAnsi" w:hAnsiTheme="majorHAnsi"/>
          <w:noProof/>
          <w:szCs w:val="22"/>
        </w:rPr>
        <w:t xml:space="preserve">(7), 1795–1809. </w:t>
      </w:r>
      <w:hyperlink r:id="rId327" w:history="1">
        <w:r w:rsidRPr="003338D7">
          <w:rPr>
            <w:rStyle w:val="Hyperlink"/>
            <w:rFonts w:asciiTheme="majorHAnsi" w:hAnsiTheme="majorHAnsi"/>
            <w:noProof/>
            <w:szCs w:val="22"/>
          </w:rPr>
          <w:t>http://doi.org/10.1890/07-1638.1</w:t>
        </w:r>
      </w:hyperlink>
    </w:p>
    <w:p w14:paraId="33D31F6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Daniels, A. E., &amp; Cumming, G. S. (2008). Conversion or conservation? Understanding wetland change in northwest Costa Rica. </w:t>
      </w:r>
      <w:r w:rsidRPr="003338D7">
        <w:rPr>
          <w:rFonts w:asciiTheme="majorHAnsi" w:hAnsiTheme="majorHAnsi"/>
          <w:i/>
          <w:iCs/>
          <w:noProof/>
          <w:szCs w:val="22"/>
        </w:rPr>
        <w:t>Ecological Applications</w:t>
      </w:r>
      <w:r w:rsidRPr="003338D7">
        <w:rPr>
          <w:rFonts w:asciiTheme="majorHAnsi" w:hAnsiTheme="majorHAnsi"/>
          <w:noProof/>
          <w:szCs w:val="22"/>
        </w:rPr>
        <w:t xml:space="preserve">, </w:t>
      </w:r>
      <w:r w:rsidRPr="003338D7">
        <w:rPr>
          <w:rFonts w:asciiTheme="majorHAnsi" w:hAnsiTheme="majorHAnsi"/>
          <w:i/>
          <w:iCs/>
          <w:noProof/>
          <w:szCs w:val="22"/>
        </w:rPr>
        <w:t>18</w:t>
      </w:r>
      <w:r w:rsidRPr="003338D7">
        <w:rPr>
          <w:rFonts w:asciiTheme="majorHAnsi" w:hAnsiTheme="majorHAnsi"/>
          <w:noProof/>
          <w:szCs w:val="22"/>
        </w:rPr>
        <w:t xml:space="preserve">(1), 49–63. </w:t>
      </w:r>
      <w:hyperlink r:id="rId328" w:history="1">
        <w:r w:rsidRPr="003338D7">
          <w:rPr>
            <w:rStyle w:val="Hyperlink"/>
            <w:rFonts w:asciiTheme="majorHAnsi" w:hAnsiTheme="majorHAnsi"/>
            <w:noProof/>
            <w:szCs w:val="22"/>
          </w:rPr>
          <w:t>http://doi.org/10.1890/06-1658.1</w:t>
        </w:r>
      </w:hyperlink>
    </w:p>
    <w:p w14:paraId="4567782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Daniels, L. D., &amp; Veblen, T. T. (2004). Spatiotemporal influences of climate on altitudinal treeline in northern Patagonia. </w:t>
      </w:r>
      <w:r w:rsidRPr="003338D7">
        <w:rPr>
          <w:rFonts w:asciiTheme="majorHAnsi" w:hAnsiTheme="majorHAnsi"/>
          <w:i/>
          <w:iCs/>
          <w:noProof/>
          <w:szCs w:val="22"/>
        </w:rPr>
        <w:t>Ecology</w:t>
      </w:r>
      <w:r w:rsidRPr="003338D7">
        <w:rPr>
          <w:rFonts w:asciiTheme="majorHAnsi" w:hAnsiTheme="majorHAnsi"/>
          <w:noProof/>
          <w:szCs w:val="22"/>
        </w:rPr>
        <w:t xml:space="preserve">, </w:t>
      </w:r>
      <w:r w:rsidRPr="003338D7">
        <w:rPr>
          <w:rFonts w:asciiTheme="majorHAnsi" w:hAnsiTheme="majorHAnsi"/>
          <w:i/>
          <w:iCs/>
          <w:noProof/>
          <w:szCs w:val="22"/>
        </w:rPr>
        <w:t>85</w:t>
      </w:r>
      <w:r w:rsidRPr="003338D7">
        <w:rPr>
          <w:rFonts w:asciiTheme="majorHAnsi" w:hAnsiTheme="majorHAnsi"/>
          <w:noProof/>
          <w:szCs w:val="22"/>
        </w:rPr>
        <w:t xml:space="preserve">(5), 1284–1296. </w:t>
      </w:r>
      <w:hyperlink r:id="rId329" w:history="1">
        <w:r w:rsidRPr="003338D7">
          <w:rPr>
            <w:rStyle w:val="Hyperlink"/>
            <w:rFonts w:asciiTheme="majorHAnsi" w:hAnsiTheme="majorHAnsi"/>
            <w:noProof/>
            <w:szCs w:val="22"/>
          </w:rPr>
          <w:t>http://doi.org/10.1890/03-0092</w:t>
        </w:r>
      </w:hyperlink>
    </w:p>
    <w:p w14:paraId="2D7919B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Danielsen, F., Beukema, H., Burgess, N. D., Parish, F., Buhl, C. A., Donald, P. F., Murdiyarso, D., Phalan, B., Reijnders, L., Struebig, M., &amp; Fitzherbert, E. B. (2009). Biofuel plantations on forested lands: double jeopardy for biodiversity and climate. </w:t>
      </w:r>
      <w:r w:rsidRPr="003338D7">
        <w:rPr>
          <w:rFonts w:asciiTheme="majorHAnsi" w:hAnsiTheme="majorHAnsi"/>
          <w:i/>
          <w:iCs/>
          <w:noProof/>
          <w:szCs w:val="22"/>
          <w:lang w:val="es-ES"/>
        </w:rPr>
        <w:t>Conservation 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23</w:t>
      </w:r>
      <w:r w:rsidRPr="003338D7">
        <w:rPr>
          <w:rFonts w:asciiTheme="majorHAnsi" w:hAnsiTheme="majorHAnsi"/>
          <w:noProof/>
          <w:szCs w:val="22"/>
          <w:lang w:val="es-ES"/>
        </w:rPr>
        <w:t xml:space="preserve">(2), 348–358. </w:t>
      </w:r>
      <w:hyperlink r:id="rId330" w:history="1">
        <w:r w:rsidRPr="003338D7">
          <w:rPr>
            <w:rStyle w:val="Hyperlink"/>
            <w:rFonts w:asciiTheme="majorHAnsi" w:hAnsiTheme="majorHAnsi"/>
            <w:noProof/>
            <w:szCs w:val="22"/>
            <w:lang w:val="es-ES"/>
          </w:rPr>
          <w:t>https://doi.org/10.1111/j.1523-1739.2008.01096.x</w:t>
        </w:r>
      </w:hyperlink>
    </w:p>
    <w:p w14:paraId="19DC63C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Darrigran, G., Damborenea, C., Drago, E. C., Ezcurra de Drago, I., Paira, A., &amp; Archuby, F. (2012). Invasion process of </w:t>
      </w:r>
      <w:r w:rsidRPr="003338D7">
        <w:rPr>
          <w:rFonts w:asciiTheme="majorHAnsi" w:hAnsiTheme="majorHAnsi"/>
          <w:i/>
          <w:iCs/>
          <w:noProof/>
          <w:szCs w:val="22"/>
        </w:rPr>
        <w:t>Limnoperna fortunei</w:t>
      </w:r>
      <w:r w:rsidRPr="003338D7">
        <w:rPr>
          <w:rFonts w:asciiTheme="majorHAnsi" w:hAnsiTheme="majorHAnsi"/>
          <w:noProof/>
          <w:szCs w:val="22"/>
        </w:rPr>
        <w:t xml:space="preserve"> (Bivalvia: Mytilidae): the case of Uruguay River and emissaries of the Esteros del Iberá Wetland, Argentina. </w:t>
      </w:r>
      <w:r w:rsidRPr="003338D7">
        <w:rPr>
          <w:rFonts w:asciiTheme="majorHAnsi" w:hAnsiTheme="majorHAnsi"/>
          <w:i/>
          <w:iCs/>
          <w:noProof/>
          <w:szCs w:val="22"/>
          <w:lang w:val="es-ES"/>
        </w:rPr>
        <w:t>Zoología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29</w:t>
      </w:r>
      <w:r w:rsidRPr="003338D7">
        <w:rPr>
          <w:rFonts w:asciiTheme="majorHAnsi" w:hAnsiTheme="majorHAnsi"/>
          <w:noProof/>
          <w:szCs w:val="22"/>
          <w:lang w:val="es-ES"/>
        </w:rPr>
        <w:t xml:space="preserve">(6), 531–539. </w:t>
      </w:r>
      <w:hyperlink r:id="rId331" w:history="1">
        <w:r w:rsidRPr="003338D7">
          <w:rPr>
            <w:rStyle w:val="Hyperlink"/>
            <w:rFonts w:asciiTheme="majorHAnsi" w:hAnsiTheme="majorHAnsi"/>
            <w:noProof/>
            <w:szCs w:val="22"/>
            <w:lang w:val="es-ES"/>
          </w:rPr>
          <w:t>http://doi.org/10.1590/S1984-46702012000600004</w:t>
        </w:r>
      </w:hyperlink>
    </w:p>
    <w:p w14:paraId="36ECFBD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pt-BR"/>
        </w:rPr>
      </w:pPr>
      <w:r w:rsidRPr="003338D7">
        <w:rPr>
          <w:rFonts w:asciiTheme="majorHAnsi" w:hAnsiTheme="majorHAnsi"/>
          <w:noProof/>
          <w:szCs w:val="22"/>
          <w:lang w:val="es-ES"/>
        </w:rPr>
        <w:t xml:space="preserve">Darrigran, G., &amp; Ezcurra de Drago, I. (2000). </w:t>
      </w:r>
      <w:r w:rsidRPr="003338D7">
        <w:rPr>
          <w:rFonts w:asciiTheme="majorHAnsi" w:hAnsiTheme="majorHAnsi"/>
          <w:noProof/>
          <w:szCs w:val="22"/>
        </w:rPr>
        <w:t xml:space="preserve">Invasion of </w:t>
      </w:r>
      <w:r w:rsidRPr="003338D7">
        <w:rPr>
          <w:rFonts w:asciiTheme="majorHAnsi" w:hAnsiTheme="majorHAnsi"/>
          <w:i/>
          <w:noProof/>
          <w:szCs w:val="22"/>
        </w:rPr>
        <w:t>Limnoperna fortunei</w:t>
      </w:r>
      <w:r w:rsidRPr="003338D7">
        <w:rPr>
          <w:rFonts w:asciiTheme="majorHAnsi" w:hAnsiTheme="majorHAnsi"/>
          <w:noProof/>
          <w:szCs w:val="22"/>
        </w:rPr>
        <w:t xml:space="preserve"> (Dunker, 1857) (Bivalvia: Mytilidae) in America. </w:t>
      </w:r>
      <w:r w:rsidRPr="003338D7">
        <w:rPr>
          <w:rFonts w:asciiTheme="majorHAnsi" w:hAnsiTheme="majorHAnsi"/>
          <w:i/>
          <w:iCs/>
          <w:noProof/>
          <w:szCs w:val="22"/>
          <w:lang w:val="pt-BR"/>
        </w:rPr>
        <w:t>The Nautilus</w:t>
      </w:r>
      <w:r w:rsidRPr="003338D7">
        <w:rPr>
          <w:rFonts w:asciiTheme="majorHAnsi" w:hAnsiTheme="majorHAnsi"/>
          <w:noProof/>
          <w:szCs w:val="22"/>
          <w:lang w:val="pt-BR"/>
        </w:rPr>
        <w:t xml:space="preserve">, </w:t>
      </w:r>
      <w:r w:rsidRPr="003338D7">
        <w:rPr>
          <w:rFonts w:asciiTheme="majorHAnsi" w:hAnsiTheme="majorHAnsi"/>
          <w:i/>
          <w:iCs/>
          <w:noProof/>
          <w:szCs w:val="22"/>
          <w:lang w:val="pt-BR"/>
        </w:rPr>
        <w:t>114</w:t>
      </w:r>
      <w:r w:rsidRPr="003338D7">
        <w:rPr>
          <w:rFonts w:asciiTheme="majorHAnsi" w:hAnsiTheme="majorHAnsi"/>
          <w:noProof/>
          <w:szCs w:val="22"/>
          <w:lang w:val="pt-BR"/>
        </w:rPr>
        <w:t xml:space="preserve">, 69–73. </w:t>
      </w:r>
      <w:hyperlink r:id="rId332" w:history="1">
        <w:r w:rsidRPr="003338D7">
          <w:rPr>
            <w:rStyle w:val="Hyperlink"/>
            <w:rFonts w:asciiTheme="majorHAnsi" w:hAnsiTheme="majorHAnsi"/>
            <w:noProof/>
            <w:szCs w:val="22"/>
            <w:lang w:val="pt-BR"/>
          </w:rPr>
          <w:t>http://doi.org/10.1007/s10530-005-0331-0</w:t>
        </w:r>
      </w:hyperlink>
    </w:p>
    <w:p w14:paraId="3C8687E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Davidson, E. A., de Araújo, A. C., Artaxo, P., Balch, J. K., Brown, I. F., Bustamante, M. M., Coe, M. T., DeFries, R. S., Keller, M., Longo, M., Munger, J. W., Schroeder, W., Soares-Filho, B. S., Souza, C. M., &amp; Wofsy, S. C. (2012). The Amazon basin in transition.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481</w:t>
      </w:r>
      <w:r w:rsidRPr="003338D7">
        <w:rPr>
          <w:rFonts w:asciiTheme="majorHAnsi" w:hAnsiTheme="majorHAnsi"/>
          <w:noProof/>
          <w:szCs w:val="22"/>
          <w:lang w:val="es-ES"/>
        </w:rPr>
        <w:t xml:space="preserve">(7381), 321–328. </w:t>
      </w:r>
      <w:hyperlink r:id="rId333" w:history="1">
        <w:r w:rsidRPr="003338D7">
          <w:rPr>
            <w:rStyle w:val="Hyperlink"/>
            <w:rFonts w:asciiTheme="majorHAnsi" w:hAnsiTheme="majorHAnsi"/>
            <w:noProof/>
            <w:szCs w:val="22"/>
            <w:lang w:val="es-ES"/>
          </w:rPr>
          <w:t>https://doi.org/10.1038/nature10717</w:t>
        </w:r>
      </w:hyperlink>
    </w:p>
    <w:p w14:paraId="10187B1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Davidson, L. N. K., Krawchuk, M. A., &amp; Dulvy, N. K. (2016). Why have global shark and ray landings declined: Improved management or overfishing? </w:t>
      </w:r>
      <w:r w:rsidRPr="003338D7">
        <w:rPr>
          <w:rFonts w:asciiTheme="majorHAnsi" w:hAnsiTheme="majorHAnsi"/>
          <w:i/>
          <w:iCs/>
          <w:noProof/>
          <w:szCs w:val="22"/>
        </w:rPr>
        <w:t>Fish and Fisheries</w:t>
      </w:r>
      <w:r w:rsidRPr="003338D7">
        <w:rPr>
          <w:rFonts w:asciiTheme="majorHAnsi" w:hAnsiTheme="majorHAnsi"/>
          <w:noProof/>
          <w:szCs w:val="22"/>
        </w:rPr>
        <w:t xml:space="preserve">, </w:t>
      </w:r>
      <w:r w:rsidRPr="003338D7">
        <w:rPr>
          <w:rFonts w:asciiTheme="majorHAnsi" w:hAnsiTheme="majorHAnsi"/>
          <w:i/>
          <w:iCs/>
          <w:noProof/>
          <w:szCs w:val="22"/>
        </w:rPr>
        <w:t>17</w:t>
      </w:r>
      <w:r w:rsidRPr="003338D7">
        <w:rPr>
          <w:rFonts w:asciiTheme="majorHAnsi" w:hAnsiTheme="majorHAnsi"/>
          <w:noProof/>
          <w:szCs w:val="22"/>
        </w:rPr>
        <w:t xml:space="preserve">(2), 438–458. </w:t>
      </w:r>
      <w:hyperlink r:id="rId334" w:history="1">
        <w:r w:rsidRPr="003338D7">
          <w:rPr>
            <w:rStyle w:val="Hyperlink"/>
            <w:rFonts w:asciiTheme="majorHAnsi" w:hAnsiTheme="majorHAnsi"/>
            <w:noProof/>
            <w:szCs w:val="22"/>
          </w:rPr>
          <w:t>http://doi.org/10.1111/faf.12119</w:t>
        </w:r>
      </w:hyperlink>
    </w:p>
    <w:p w14:paraId="1637EB5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Davies, T. J., &amp; Buckley, L. B. (2011). Phylogenetic diversity as a window into the evolutionary and biogeographic histories of present-day richness gradients for mammals. </w:t>
      </w:r>
      <w:r w:rsidRPr="003338D7">
        <w:rPr>
          <w:rFonts w:asciiTheme="majorHAnsi" w:hAnsiTheme="majorHAnsi"/>
          <w:i/>
          <w:iCs/>
          <w:noProof/>
          <w:szCs w:val="22"/>
        </w:rPr>
        <w:t>Philosophical Transactions of the Royal Society B: Biological Sciences</w:t>
      </w:r>
      <w:r w:rsidRPr="003338D7">
        <w:rPr>
          <w:rFonts w:asciiTheme="majorHAnsi" w:hAnsiTheme="majorHAnsi"/>
          <w:noProof/>
          <w:szCs w:val="22"/>
        </w:rPr>
        <w:t xml:space="preserve">, </w:t>
      </w:r>
      <w:r w:rsidRPr="003338D7">
        <w:rPr>
          <w:rFonts w:asciiTheme="majorHAnsi" w:hAnsiTheme="majorHAnsi"/>
          <w:i/>
          <w:iCs/>
          <w:noProof/>
          <w:szCs w:val="22"/>
        </w:rPr>
        <w:t>366</w:t>
      </w:r>
      <w:r w:rsidRPr="003338D7">
        <w:rPr>
          <w:rFonts w:asciiTheme="majorHAnsi" w:hAnsiTheme="majorHAnsi"/>
          <w:noProof/>
          <w:szCs w:val="22"/>
        </w:rPr>
        <w:t xml:space="preserve">(1576), 2414–2425. </w:t>
      </w:r>
      <w:hyperlink r:id="rId335" w:history="1">
        <w:r w:rsidRPr="003338D7">
          <w:rPr>
            <w:rStyle w:val="Hyperlink"/>
            <w:rFonts w:asciiTheme="majorHAnsi" w:hAnsiTheme="majorHAnsi"/>
            <w:noProof/>
            <w:szCs w:val="22"/>
          </w:rPr>
          <w:t>http://doi.org/10.1098/rstb.2011.0058</w:t>
        </w:r>
      </w:hyperlink>
    </w:p>
    <w:p w14:paraId="7A4C405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Davis, F. W., Baldocchi, D. D., &amp; Tyler, C. M. (2016). Oak woodlands. In H. Mooney &amp; E. Zavaleta (Eds.), </w:t>
      </w:r>
      <w:r w:rsidRPr="003338D7">
        <w:rPr>
          <w:rFonts w:asciiTheme="majorHAnsi" w:hAnsiTheme="majorHAnsi"/>
          <w:i/>
          <w:iCs/>
          <w:noProof/>
          <w:szCs w:val="22"/>
        </w:rPr>
        <w:t>Ecosystems of California</w:t>
      </w:r>
      <w:r w:rsidRPr="003338D7">
        <w:rPr>
          <w:rFonts w:asciiTheme="majorHAnsi" w:hAnsiTheme="majorHAnsi"/>
          <w:noProof/>
          <w:szCs w:val="22"/>
        </w:rPr>
        <w:t xml:space="preserve"> (pp. 509–529). Oakland, USA: University of California Press.</w:t>
      </w:r>
    </w:p>
    <w:p w14:paraId="5A4D64B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De Jong, W. (1996). Swidden-fallow agroforestry in Amazonia: diversity at close distance. </w:t>
      </w:r>
      <w:r w:rsidRPr="003338D7">
        <w:rPr>
          <w:rFonts w:asciiTheme="majorHAnsi" w:hAnsiTheme="majorHAnsi"/>
          <w:i/>
          <w:iCs/>
          <w:noProof/>
          <w:szCs w:val="22"/>
          <w:lang w:val="es-ES"/>
        </w:rPr>
        <w:t>Agroforestry Systems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34</w:t>
      </w:r>
      <w:r w:rsidRPr="003338D7">
        <w:rPr>
          <w:rFonts w:asciiTheme="majorHAnsi" w:hAnsiTheme="majorHAnsi"/>
          <w:noProof/>
          <w:szCs w:val="22"/>
          <w:lang w:val="es-ES"/>
        </w:rPr>
        <w:t xml:space="preserve">, 277–290. </w:t>
      </w:r>
      <w:hyperlink r:id="rId336" w:history="1">
        <w:r w:rsidRPr="003338D7">
          <w:rPr>
            <w:rStyle w:val="Hyperlink"/>
            <w:rFonts w:asciiTheme="majorHAnsi" w:hAnsiTheme="majorHAnsi"/>
            <w:noProof/>
            <w:szCs w:val="22"/>
            <w:lang w:val="es-ES"/>
          </w:rPr>
          <w:t>http://doi.org/10.1007/BF00046928</w:t>
        </w:r>
      </w:hyperlink>
    </w:p>
    <w:p w14:paraId="661D4D9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De la Cruz, R. (2011). Conocimientos tradicionales, biodiversidad y derechos de propiedad intelectual, patentes. In G. R. Nemogá (Ed.), </w:t>
      </w:r>
      <w:r w:rsidRPr="003338D7">
        <w:rPr>
          <w:rFonts w:asciiTheme="majorHAnsi" w:hAnsiTheme="majorHAnsi"/>
          <w:i/>
          <w:iCs/>
          <w:noProof/>
          <w:szCs w:val="22"/>
          <w:lang w:val="es-ES"/>
        </w:rPr>
        <w:t>Naciones Indígenas en los Estados Contemporáneos</w:t>
      </w:r>
      <w:r w:rsidRPr="003338D7">
        <w:rPr>
          <w:rFonts w:asciiTheme="majorHAnsi" w:hAnsiTheme="majorHAnsi"/>
          <w:noProof/>
          <w:szCs w:val="22"/>
          <w:lang w:val="es-ES"/>
        </w:rPr>
        <w:t xml:space="preserve"> (pp. 211–230). Bogotá, Colombia: Universidad Nacional de Colombia.</w:t>
      </w:r>
    </w:p>
    <w:p w14:paraId="0D3691E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De la Cruz, R., Muyuy Jacanamejoy, G., Viteri Gualinga, A., Flores, G., Humpire, J. G., Mirabal DÌaz, J. G., &amp; Guimaraez, R. (2005). </w:t>
      </w:r>
      <w:r w:rsidRPr="003338D7">
        <w:rPr>
          <w:rFonts w:asciiTheme="majorHAnsi" w:hAnsiTheme="majorHAnsi"/>
          <w:i/>
          <w:iCs/>
          <w:noProof/>
          <w:szCs w:val="22"/>
          <w:lang w:val="es-ES"/>
        </w:rPr>
        <w:t>Elementos para la Protección sui generis de los Conocimientos Tradicionales Colectivos e Integrales desde la Perspectiva Indigena</w:t>
      </w:r>
      <w:r w:rsidRPr="003338D7">
        <w:rPr>
          <w:rFonts w:asciiTheme="majorHAnsi" w:hAnsiTheme="majorHAnsi"/>
          <w:noProof/>
          <w:szCs w:val="22"/>
          <w:lang w:val="es-ES"/>
        </w:rPr>
        <w:t>. Caracas, Venezuela: The Corporacion Andina de Fomento (CAF)/Comunidad Andina (CAN).</w:t>
      </w:r>
    </w:p>
    <w:p w14:paraId="0187B13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de Oliveira, G., Araújo, M. B., Rangel, T. F., Alagador, D., &amp; Diniz-Filho, J. A. F. (2012). </w:t>
      </w:r>
      <w:r w:rsidRPr="003338D7">
        <w:rPr>
          <w:rFonts w:asciiTheme="majorHAnsi" w:hAnsiTheme="majorHAnsi"/>
          <w:noProof/>
          <w:szCs w:val="22"/>
        </w:rPr>
        <w:t xml:space="preserve">Conserving the Brazilian semiarid (Caatinga) biome under climate change.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21</w:t>
      </w:r>
      <w:r w:rsidRPr="003338D7">
        <w:rPr>
          <w:rFonts w:asciiTheme="majorHAnsi" w:hAnsiTheme="majorHAnsi"/>
          <w:noProof/>
          <w:szCs w:val="22"/>
        </w:rPr>
        <w:t xml:space="preserve">(11), 2913–2926. </w:t>
      </w:r>
      <w:hyperlink r:id="rId337" w:history="1">
        <w:r w:rsidRPr="003338D7">
          <w:rPr>
            <w:rStyle w:val="Hyperlink"/>
            <w:rFonts w:asciiTheme="majorHAnsi" w:hAnsiTheme="majorHAnsi"/>
            <w:noProof/>
            <w:szCs w:val="22"/>
          </w:rPr>
          <w:t>http://doi.org/10.1007/s10531-012-0346-7</w:t>
        </w:r>
      </w:hyperlink>
    </w:p>
    <w:p w14:paraId="4DA67F9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de Vasconcellos Pegas, F., &amp; Castley, J. G. (2016). </w:t>
      </w:r>
      <w:r w:rsidRPr="003338D7">
        <w:rPr>
          <w:rFonts w:asciiTheme="majorHAnsi" w:hAnsiTheme="majorHAnsi"/>
          <w:noProof/>
          <w:szCs w:val="22"/>
        </w:rPr>
        <w:t xml:space="preserve">Private reserves in Brazil: Distribution patterns, logistical challenges, and conservation contributions. </w:t>
      </w:r>
      <w:r w:rsidRPr="003338D7">
        <w:rPr>
          <w:rFonts w:asciiTheme="majorHAnsi" w:hAnsiTheme="majorHAnsi"/>
          <w:i/>
          <w:iCs/>
          <w:noProof/>
          <w:szCs w:val="22"/>
        </w:rPr>
        <w:t>Journal for Nature Conservation</w:t>
      </w:r>
      <w:r w:rsidRPr="003338D7">
        <w:rPr>
          <w:rFonts w:asciiTheme="majorHAnsi" w:hAnsiTheme="majorHAnsi"/>
          <w:noProof/>
          <w:szCs w:val="22"/>
        </w:rPr>
        <w:t xml:space="preserve">, </w:t>
      </w:r>
      <w:r w:rsidRPr="003338D7">
        <w:rPr>
          <w:rFonts w:asciiTheme="majorHAnsi" w:hAnsiTheme="majorHAnsi"/>
          <w:i/>
          <w:iCs/>
          <w:noProof/>
          <w:szCs w:val="22"/>
        </w:rPr>
        <w:t>29</w:t>
      </w:r>
      <w:r w:rsidRPr="003338D7">
        <w:rPr>
          <w:rFonts w:asciiTheme="majorHAnsi" w:hAnsiTheme="majorHAnsi"/>
          <w:noProof/>
          <w:szCs w:val="22"/>
        </w:rPr>
        <w:t xml:space="preserve">, 14–24. </w:t>
      </w:r>
      <w:hyperlink r:id="rId338" w:history="1">
        <w:r w:rsidRPr="003338D7">
          <w:rPr>
            <w:rStyle w:val="Hyperlink"/>
            <w:rFonts w:asciiTheme="majorHAnsi" w:hAnsiTheme="majorHAnsi"/>
            <w:noProof/>
            <w:szCs w:val="22"/>
          </w:rPr>
          <w:t>http://doi.org/10.1016/j.jnc.2015.09.007</w:t>
        </w:r>
      </w:hyperlink>
    </w:p>
    <w:p w14:paraId="0778CFC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DeClerck, F. A. J., Chazdon, R., Holl, K. D., Milder, J. C., Finegan, B., Martinez-Salinas, A., Imbach, P., Canet, L., &amp; Ramos, Z. (2010). Biodiversity conservation in human-modified landscapes of Mesoamerica: Past, present and future. </w:t>
      </w:r>
      <w:r w:rsidRPr="003338D7">
        <w:rPr>
          <w:rFonts w:asciiTheme="majorHAnsi" w:hAnsiTheme="majorHAnsi"/>
          <w:i/>
          <w:iCs/>
          <w:noProof/>
          <w:szCs w:val="22"/>
          <w:lang w:val="es-ES"/>
        </w:rPr>
        <w:t>Biological Conservation</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143</w:t>
      </w:r>
      <w:r w:rsidRPr="003338D7">
        <w:rPr>
          <w:rFonts w:asciiTheme="majorHAnsi" w:hAnsiTheme="majorHAnsi"/>
          <w:noProof/>
          <w:szCs w:val="22"/>
          <w:lang w:val="es-ES"/>
        </w:rPr>
        <w:t xml:space="preserve">, 2301–2313. </w:t>
      </w:r>
      <w:hyperlink r:id="rId339" w:history="1">
        <w:r w:rsidRPr="003338D7">
          <w:rPr>
            <w:rStyle w:val="Hyperlink"/>
            <w:rFonts w:asciiTheme="majorHAnsi" w:hAnsiTheme="majorHAnsi"/>
            <w:noProof/>
            <w:szCs w:val="22"/>
            <w:lang w:val="es-ES"/>
          </w:rPr>
          <w:t>https://doi.org/10.1016/j.biocon.2010.03.026</w:t>
        </w:r>
      </w:hyperlink>
    </w:p>
    <w:p w14:paraId="40C8763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Dee, L. E., Horii, S. S., &amp; Thornhill, D. J. (2014). Conservation and management of ornamental coral reef wildlife: Successes, shortcomings, and future directions.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169</w:t>
      </w:r>
      <w:r w:rsidRPr="003338D7">
        <w:rPr>
          <w:rFonts w:asciiTheme="majorHAnsi" w:hAnsiTheme="majorHAnsi"/>
          <w:noProof/>
          <w:szCs w:val="22"/>
        </w:rPr>
        <w:t>, 225–237.</w:t>
      </w:r>
    </w:p>
    <w:p w14:paraId="656AE84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Dee, L. E., Miller, S. J., Peavey, L. E., Bradley, D., Gentry, R. R., Startz, R., Gaines, S. D., &amp; Lester, S. E. (2016). Functional diversity of catch mitigates negative effects of temperature variability on fisheries yields. </w:t>
      </w:r>
      <w:r w:rsidRPr="003338D7">
        <w:rPr>
          <w:rFonts w:asciiTheme="majorHAnsi" w:hAnsiTheme="majorHAnsi"/>
          <w:i/>
          <w:iCs/>
          <w:noProof/>
          <w:szCs w:val="22"/>
          <w:lang w:val="es-ES"/>
        </w:rPr>
        <w:t>Proceedings of the Royal Society of London B: Biological Sciences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283</w:t>
      </w:r>
      <w:r w:rsidRPr="003338D7">
        <w:rPr>
          <w:rFonts w:asciiTheme="majorHAnsi" w:hAnsiTheme="majorHAnsi"/>
          <w:noProof/>
          <w:szCs w:val="22"/>
          <w:lang w:val="es-ES"/>
        </w:rPr>
        <w:t xml:space="preserve">(1836), 20161435. </w:t>
      </w:r>
      <w:hyperlink r:id="rId340" w:history="1">
        <w:r w:rsidRPr="003338D7">
          <w:rPr>
            <w:rStyle w:val="Hyperlink"/>
            <w:rFonts w:asciiTheme="majorHAnsi" w:hAnsiTheme="majorHAnsi"/>
            <w:noProof/>
            <w:szCs w:val="22"/>
            <w:lang w:val="es-ES"/>
          </w:rPr>
          <w:t>https://doi.org/http://dx.doi.org/10.1098/rspb.2016.1435</w:t>
        </w:r>
      </w:hyperlink>
    </w:p>
    <w:p w14:paraId="515EBC2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Del Hoyo, J., Elliott, A., &amp; Sargatal, J. (Eds.). </w:t>
      </w:r>
      <w:r w:rsidRPr="003338D7">
        <w:rPr>
          <w:rFonts w:asciiTheme="majorHAnsi" w:hAnsiTheme="majorHAnsi"/>
          <w:noProof/>
          <w:szCs w:val="22"/>
        </w:rPr>
        <w:t xml:space="preserve">(1992a). </w:t>
      </w:r>
      <w:r w:rsidRPr="003338D7">
        <w:rPr>
          <w:rFonts w:asciiTheme="majorHAnsi" w:hAnsiTheme="majorHAnsi"/>
          <w:i/>
          <w:iCs/>
          <w:noProof/>
          <w:szCs w:val="22"/>
        </w:rPr>
        <w:t>Handbook of the Birds of the World, Volume 1: Ostrich to Ducks</w:t>
      </w:r>
      <w:r w:rsidRPr="003338D7">
        <w:rPr>
          <w:rFonts w:asciiTheme="majorHAnsi" w:hAnsiTheme="majorHAnsi"/>
          <w:noProof/>
          <w:szCs w:val="22"/>
        </w:rPr>
        <w:t xml:space="preserve">. </w:t>
      </w:r>
      <w:r w:rsidRPr="003338D7">
        <w:rPr>
          <w:rFonts w:asciiTheme="majorHAnsi" w:hAnsiTheme="majorHAnsi"/>
          <w:noProof/>
          <w:szCs w:val="22"/>
          <w:lang w:val="es-ES"/>
        </w:rPr>
        <w:t>Barcelona, Spain: Lynx Edicions.</w:t>
      </w:r>
    </w:p>
    <w:p w14:paraId="3A64C00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Del Hoyo, J., Elliott, A., &amp; Sargatal, J. (Eds.). </w:t>
      </w:r>
      <w:r w:rsidRPr="003338D7">
        <w:rPr>
          <w:rFonts w:asciiTheme="majorHAnsi" w:hAnsiTheme="majorHAnsi"/>
          <w:noProof/>
          <w:szCs w:val="22"/>
        </w:rPr>
        <w:t xml:space="preserve">(1992b). </w:t>
      </w:r>
      <w:r w:rsidRPr="003338D7">
        <w:rPr>
          <w:rFonts w:asciiTheme="majorHAnsi" w:hAnsiTheme="majorHAnsi"/>
          <w:i/>
          <w:iCs/>
          <w:noProof/>
          <w:szCs w:val="22"/>
        </w:rPr>
        <w:t>Handbook of the Birds of the World, Volume 3: Hoatzin to Auks</w:t>
      </w:r>
      <w:r w:rsidRPr="003338D7">
        <w:rPr>
          <w:rFonts w:asciiTheme="majorHAnsi" w:hAnsiTheme="majorHAnsi"/>
          <w:noProof/>
          <w:szCs w:val="22"/>
        </w:rPr>
        <w:t>. Barcelona, Spain: Lynx Edicions.</w:t>
      </w:r>
    </w:p>
    <w:p w14:paraId="46282F5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Delis, P. R., Mushinsky, H. R., &amp; McCoy, E. D. (1996). Decline of some west-central Florida anuran populations in response to habitat degradation.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5</w:t>
      </w:r>
      <w:r w:rsidRPr="003338D7">
        <w:rPr>
          <w:rFonts w:asciiTheme="majorHAnsi" w:hAnsiTheme="majorHAnsi"/>
          <w:noProof/>
          <w:szCs w:val="22"/>
        </w:rPr>
        <w:t xml:space="preserve">(12), 1579–1595. </w:t>
      </w:r>
      <w:hyperlink r:id="rId341" w:history="1">
        <w:r w:rsidRPr="003338D7">
          <w:rPr>
            <w:rStyle w:val="Hyperlink"/>
            <w:rFonts w:asciiTheme="majorHAnsi" w:hAnsiTheme="majorHAnsi"/>
            <w:noProof/>
            <w:szCs w:val="22"/>
          </w:rPr>
          <w:t>http://doi.org/10.1007/BF00052117</w:t>
        </w:r>
      </w:hyperlink>
    </w:p>
    <w:p w14:paraId="0EAD62D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Denslow, J. S., &amp; DeWalt, S. J. (2008). Exotic plant invasions in tropical forests: patterns and hypotheses. In W. Carson &amp; S. Schnitze (Eds.), </w:t>
      </w:r>
      <w:r w:rsidRPr="003338D7">
        <w:rPr>
          <w:rFonts w:asciiTheme="majorHAnsi" w:hAnsiTheme="majorHAnsi"/>
          <w:i/>
          <w:iCs/>
          <w:noProof/>
          <w:szCs w:val="22"/>
        </w:rPr>
        <w:t>Tropical forest community ecology</w:t>
      </w:r>
      <w:r w:rsidRPr="003338D7">
        <w:rPr>
          <w:rFonts w:asciiTheme="majorHAnsi" w:hAnsiTheme="majorHAnsi"/>
          <w:noProof/>
          <w:szCs w:val="22"/>
        </w:rPr>
        <w:t xml:space="preserve"> (pp. 409–426). Oxford, UK: Wiley-Blackwell.</w:t>
      </w:r>
    </w:p>
    <w:p w14:paraId="2CB6A9F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Derlindati, E. J., Romano, M. C., Cruz, N. N., Barisón, C., Arengo, F., &amp; Barberis, I. M. (2014). Seasonal activity patterns and abundance of Andean flamingo (</w:t>
      </w:r>
      <w:r w:rsidRPr="003338D7">
        <w:rPr>
          <w:rFonts w:asciiTheme="majorHAnsi" w:hAnsiTheme="majorHAnsi"/>
          <w:i/>
          <w:iCs/>
          <w:noProof/>
          <w:szCs w:val="22"/>
        </w:rPr>
        <w:t>Phoenicoparrus andinus</w:t>
      </w:r>
      <w:r w:rsidRPr="003338D7">
        <w:rPr>
          <w:rFonts w:asciiTheme="majorHAnsi" w:hAnsiTheme="majorHAnsi"/>
          <w:noProof/>
          <w:szCs w:val="22"/>
        </w:rPr>
        <w:t xml:space="preserve">) at two contrasting wetlands in Argentina. </w:t>
      </w:r>
      <w:r w:rsidRPr="003338D7">
        <w:rPr>
          <w:rFonts w:asciiTheme="majorHAnsi" w:hAnsiTheme="majorHAnsi"/>
          <w:i/>
          <w:iCs/>
          <w:noProof/>
          <w:szCs w:val="22"/>
          <w:lang w:val="es-ES"/>
        </w:rPr>
        <w:t>Ornitología Neotropical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25</w:t>
      </w:r>
      <w:r w:rsidRPr="003338D7">
        <w:rPr>
          <w:rFonts w:asciiTheme="majorHAnsi" w:hAnsiTheme="majorHAnsi"/>
          <w:noProof/>
          <w:szCs w:val="22"/>
          <w:lang w:val="es-ES"/>
        </w:rPr>
        <w:t>(3), 317–331.</w:t>
      </w:r>
    </w:p>
    <w:p w14:paraId="76A2BE2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Díaz-Betancourt, M., Ghermandi, L., Ladio, A., López-Moreno, I. R., Raffaele, E., &amp; Rapoport, E. H. (1999). </w:t>
      </w:r>
      <w:r w:rsidRPr="003338D7">
        <w:rPr>
          <w:rFonts w:asciiTheme="majorHAnsi" w:hAnsiTheme="majorHAnsi"/>
          <w:noProof/>
          <w:szCs w:val="22"/>
        </w:rPr>
        <w:t xml:space="preserve">Weeds as a source for human consumption. </w:t>
      </w:r>
      <w:r w:rsidRPr="003338D7">
        <w:rPr>
          <w:rFonts w:asciiTheme="majorHAnsi" w:hAnsiTheme="majorHAnsi"/>
          <w:noProof/>
          <w:szCs w:val="22"/>
          <w:lang w:val="pt-BR"/>
        </w:rPr>
        <w:t xml:space="preserve">A comparison between tropical and temperate Latin America. </w:t>
      </w:r>
      <w:r w:rsidRPr="003338D7">
        <w:rPr>
          <w:rFonts w:asciiTheme="majorHAnsi" w:hAnsiTheme="majorHAnsi"/>
          <w:i/>
          <w:iCs/>
          <w:noProof/>
          <w:szCs w:val="22"/>
          <w:lang w:val="es-ES"/>
        </w:rPr>
        <w:t>Revista de Biologia Tropical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47</w:t>
      </w:r>
      <w:r w:rsidRPr="003338D7">
        <w:rPr>
          <w:rFonts w:asciiTheme="majorHAnsi" w:hAnsiTheme="majorHAnsi"/>
          <w:noProof/>
          <w:szCs w:val="22"/>
          <w:lang w:val="es-ES"/>
        </w:rPr>
        <w:t>(3), 329–338.</w:t>
      </w:r>
    </w:p>
    <w:p w14:paraId="5C66713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Díaz, I. A., &amp; Armesto, J. J. (2003). La conservación de las aves silvestres en ambientes urbanos de Santiago. </w:t>
      </w:r>
      <w:r w:rsidRPr="003338D7">
        <w:rPr>
          <w:rFonts w:asciiTheme="majorHAnsi" w:hAnsiTheme="majorHAnsi"/>
          <w:i/>
          <w:iCs/>
          <w:noProof/>
          <w:szCs w:val="22"/>
          <w:lang w:val="es-ES"/>
        </w:rPr>
        <w:t>Revista Ambiente Y Desarrollo de CIPMA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19</w:t>
      </w:r>
      <w:r w:rsidRPr="003338D7">
        <w:rPr>
          <w:rFonts w:asciiTheme="majorHAnsi" w:hAnsiTheme="majorHAnsi"/>
          <w:noProof/>
          <w:szCs w:val="22"/>
          <w:lang w:val="es-ES"/>
        </w:rPr>
        <w:t>(2), 31–38.</w:t>
      </w:r>
    </w:p>
    <w:p w14:paraId="6112B6C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CO"/>
        </w:rPr>
        <w:t xml:space="preserve">Diaz, R. J., &amp; Rosenberg, R. (2008). </w:t>
      </w:r>
      <w:r w:rsidRPr="003338D7">
        <w:rPr>
          <w:rFonts w:asciiTheme="majorHAnsi" w:hAnsiTheme="majorHAnsi"/>
          <w:noProof/>
          <w:szCs w:val="22"/>
        </w:rPr>
        <w:t xml:space="preserve">Spreading dead zones and consequences for marine ecosystems.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321</w:t>
      </w:r>
      <w:r w:rsidRPr="003338D7">
        <w:rPr>
          <w:rFonts w:asciiTheme="majorHAnsi" w:hAnsiTheme="majorHAnsi"/>
          <w:noProof/>
          <w:szCs w:val="22"/>
        </w:rPr>
        <w:t xml:space="preserve">(5891), 926–929. </w:t>
      </w:r>
      <w:hyperlink r:id="rId342" w:history="1">
        <w:r w:rsidRPr="003338D7">
          <w:rPr>
            <w:rStyle w:val="Hyperlink"/>
            <w:rFonts w:asciiTheme="majorHAnsi" w:hAnsiTheme="majorHAnsi"/>
            <w:noProof/>
            <w:szCs w:val="22"/>
          </w:rPr>
          <w:t>http://doi.org/10.1126/science.1156401</w:t>
        </w:r>
      </w:hyperlink>
    </w:p>
    <w:p w14:paraId="25FAE20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Diffenbaugh, N. S., Swain, D. L., &amp; Touma, D. (2015). Anthropogenic warming has increased drought risk in California.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112</w:t>
      </w:r>
      <w:r w:rsidRPr="003338D7">
        <w:rPr>
          <w:rFonts w:asciiTheme="majorHAnsi" w:hAnsiTheme="majorHAnsi"/>
          <w:noProof/>
          <w:szCs w:val="22"/>
          <w:lang w:val="es-ES"/>
        </w:rPr>
        <w:t xml:space="preserve">(13), 3931–3936. </w:t>
      </w:r>
      <w:hyperlink r:id="rId343" w:history="1">
        <w:r w:rsidRPr="003338D7">
          <w:rPr>
            <w:rStyle w:val="Hyperlink"/>
            <w:rFonts w:asciiTheme="majorHAnsi" w:hAnsiTheme="majorHAnsi"/>
            <w:noProof/>
            <w:szCs w:val="22"/>
            <w:lang w:val="es-ES"/>
          </w:rPr>
          <w:t>http://doi.org/10.1073/pnas.1422385112</w:t>
        </w:r>
      </w:hyperlink>
    </w:p>
    <w:p w14:paraId="24BE42C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Dillon, M. O., Leiva González, S., Zapata Cruz, M., Lezama Asencio, P., &amp; Quipuscoa Silvestre, V. (2011). </w:t>
      </w:r>
      <w:r w:rsidRPr="003338D7">
        <w:rPr>
          <w:rFonts w:asciiTheme="majorHAnsi" w:hAnsiTheme="majorHAnsi"/>
          <w:noProof/>
          <w:szCs w:val="22"/>
        </w:rPr>
        <w:t xml:space="preserve">Floristic checklist of the Peruvian lomas formations. </w:t>
      </w:r>
      <w:r w:rsidRPr="003338D7">
        <w:rPr>
          <w:rFonts w:asciiTheme="majorHAnsi" w:hAnsiTheme="majorHAnsi"/>
          <w:i/>
          <w:iCs/>
          <w:noProof/>
          <w:szCs w:val="22"/>
        </w:rPr>
        <w:t>Arnaldoa</w:t>
      </w:r>
      <w:r w:rsidRPr="003338D7">
        <w:rPr>
          <w:rFonts w:asciiTheme="majorHAnsi" w:hAnsiTheme="majorHAnsi"/>
          <w:noProof/>
          <w:szCs w:val="22"/>
        </w:rPr>
        <w:t xml:space="preserve">, </w:t>
      </w:r>
      <w:r w:rsidRPr="003338D7">
        <w:rPr>
          <w:rFonts w:asciiTheme="majorHAnsi" w:hAnsiTheme="majorHAnsi"/>
          <w:i/>
          <w:iCs/>
          <w:noProof/>
          <w:szCs w:val="22"/>
        </w:rPr>
        <w:t>18</w:t>
      </w:r>
      <w:r w:rsidRPr="003338D7">
        <w:rPr>
          <w:rFonts w:asciiTheme="majorHAnsi" w:hAnsiTheme="majorHAnsi"/>
          <w:noProof/>
          <w:szCs w:val="22"/>
        </w:rPr>
        <w:t>(1), 7–32.</w:t>
      </w:r>
    </w:p>
    <w:p w14:paraId="32144EB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Dinerstein, E., Olson, D. M., Graham, D. J., Webster, A. L., Primm, S. A., Bookbinder, M. P., &amp; Ledec, G. (1995). </w:t>
      </w:r>
      <w:r w:rsidRPr="003338D7">
        <w:rPr>
          <w:rFonts w:asciiTheme="majorHAnsi" w:hAnsiTheme="majorHAnsi"/>
          <w:i/>
          <w:iCs/>
          <w:noProof/>
          <w:szCs w:val="22"/>
        </w:rPr>
        <w:t>A Conservation Assessment of the Terrestrial Ecoregions of Latin America and the Caribbean</w:t>
      </w:r>
      <w:r w:rsidRPr="003338D7">
        <w:rPr>
          <w:rFonts w:asciiTheme="majorHAnsi" w:hAnsiTheme="majorHAnsi"/>
          <w:noProof/>
          <w:szCs w:val="22"/>
        </w:rPr>
        <w:t xml:space="preserve">. Washington, D.C., USA: The World Bank and World Wildlife Fund. Retrieved from </w:t>
      </w:r>
      <w:hyperlink r:id="rId344" w:history="1">
        <w:r w:rsidRPr="003338D7">
          <w:rPr>
            <w:rStyle w:val="Hyperlink"/>
            <w:rFonts w:asciiTheme="majorHAnsi" w:hAnsiTheme="majorHAnsi"/>
            <w:noProof/>
            <w:szCs w:val="22"/>
          </w:rPr>
          <w:t>http://documents.worldbank.org/curated/en/1995/09/697067/conservation-assessment-terrestrial-ecoregions-latin-america-caribbean</w:t>
        </w:r>
      </w:hyperlink>
    </w:p>
    <w:p w14:paraId="501BAEF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Dirzo, R., &amp; Raven, P. (2003). Global state of biodiversity and loss. </w:t>
      </w:r>
      <w:r w:rsidRPr="003338D7">
        <w:rPr>
          <w:rFonts w:asciiTheme="majorHAnsi" w:hAnsiTheme="majorHAnsi"/>
          <w:i/>
          <w:iCs/>
          <w:noProof/>
          <w:szCs w:val="22"/>
        </w:rPr>
        <w:t>Annual Reivew of the Environment and Resources</w:t>
      </w:r>
      <w:r w:rsidRPr="003338D7">
        <w:rPr>
          <w:rFonts w:asciiTheme="majorHAnsi" w:hAnsiTheme="majorHAnsi"/>
          <w:noProof/>
          <w:szCs w:val="22"/>
        </w:rPr>
        <w:t xml:space="preserve">, </w:t>
      </w:r>
      <w:r w:rsidRPr="003338D7">
        <w:rPr>
          <w:rFonts w:asciiTheme="majorHAnsi" w:hAnsiTheme="majorHAnsi"/>
          <w:i/>
          <w:iCs/>
          <w:noProof/>
          <w:szCs w:val="22"/>
        </w:rPr>
        <w:t>28</w:t>
      </w:r>
      <w:r w:rsidRPr="003338D7">
        <w:rPr>
          <w:rFonts w:asciiTheme="majorHAnsi" w:hAnsiTheme="majorHAnsi"/>
          <w:noProof/>
          <w:szCs w:val="22"/>
        </w:rPr>
        <w:t>, 137–167.</w:t>
      </w:r>
    </w:p>
    <w:p w14:paraId="5113612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Dı́az, S., &amp; Cabido, M. (2001). Vive la différence: plant functional diversity matters to ecosystem processes. </w:t>
      </w:r>
      <w:r w:rsidRPr="003338D7">
        <w:rPr>
          <w:rFonts w:asciiTheme="majorHAnsi" w:hAnsiTheme="majorHAnsi"/>
          <w:i/>
          <w:iCs/>
          <w:noProof/>
          <w:szCs w:val="22"/>
        </w:rPr>
        <w:t>Trends in Ecology &amp; Evolution</w:t>
      </w:r>
      <w:r w:rsidRPr="003338D7">
        <w:rPr>
          <w:rFonts w:asciiTheme="majorHAnsi" w:hAnsiTheme="majorHAnsi"/>
          <w:noProof/>
          <w:szCs w:val="22"/>
        </w:rPr>
        <w:t xml:space="preserve">, </w:t>
      </w:r>
      <w:r w:rsidRPr="003338D7">
        <w:rPr>
          <w:rFonts w:asciiTheme="majorHAnsi" w:hAnsiTheme="majorHAnsi"/>
          <w:i/>
          <w:iCs/>
          <w:noProof/>
          <w:szCs w:val="22"/>
        </w:rPr>
        <w:t>16</w:t>
      </w:r>
      <w:r w:rsidRPr="003338D7">
        <w:rPr>
          <w:rFonts w:asciiTheme="majorHAnsi" w:hAnsiTheme="majorHAnsi"/>
          <w:noProof/>
          <w:szCs w:val="22"/>
        </w:rPr>
        <w:t xml:space="preserve">(11), 646–655. </w:t>
      </w:r>
      <w:hyperlink r:id="rId345" w:history="1">
        <w:r w:rsidRPr="003338D7">
          <w:rPr>
            <w:rStyle w:val="Hyperlink"/>
            <w:rFonts w:asciiTheme="majorHAnsi" w:hAnsiTheme="majorHAnsi"/>
            <w:noProof/>
            <w:szCs w:val="22"/>
          </w:rPr>
          <w:t>http://doi.org/DOI: http://dx.doi.org/10.1016/S0169-5347(01)02283-2</w:t>
        </w:r>
      </w:hyperlink>
    </w:p>
    <w:p w14:paraId="6F836DA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Dolanc, C. R., Safford, H. D., Dobrowski, S. Z., &amp; Thorne, J. H. (2014). Twentieth century shifts in abundance and composition of vegetation types of the Sierra Nevada, CA, US. </w:t>
      </w:r>
      <w:r w:rsidRPr="003338D7">
        <w:rPr>
          <w:rFonts w:asciiTheme="majorHAnsi" w:hAnsiTheme="majorHAnsi"/>
          <w:i/>
          <w:iCs/>
          <w:noProof/>
          <w:szCs w:val="22"/>
        </w:rPr>
        <w:t>Applied Vegetation Science</w:t>
      </w:r>
      <w:r w:rsidRPr="003338D7">
        <w:rPr>
          <w:rFonts w:asciiTheme="majorHAnsi" w:hAnsiTheme="majorHAnsi"/>
          <w:noProof/>
          <w:szCs w:val="22"/>
        </w:rPr>
        <w:t xml:space="preserve">, </w:t>
      </w:r>
      <w:r w:rsidRPr="003338D7">
        <w:rPr>
          <w:rFonts w:asciiTheme="majorHAnsi" w:hAnsiTheme="majorHAnsi"/>
          <w:i/>
          <w:iCs/>
          <w:noProof/>
          <w:szCs w:val="22"/>
        </w:rPr>
        <w:t>17</w:t>
      </w:r>
      <w:r w:rsidRPr="003338D7">
        <w:rPr>
          <w:rFonts w:asciiTheme="majorHAnsi" w:hAnsiTheme="majorHAnsi"/>
          <w:noProof/>
          <w:szCs w:val="22"/>
        </w:rPr>
        <w:t xml:space="preserve">(3), 442–455. </w:t>
      </w:r>
      <w:hyperlink r:id="rId346" w:history="1">
        <w:r w:rsidRPr="003338D7">
          <w:rPr>
            <w:rStyle w:val="Hyperlink"/>
            <w:rFonts w:asciiTheme="majorHAnsi" w:hAnsiTheme="majorHAnsi"/>
            <w:noProof/>
            <w:szCs w:val="22"/>
          </w:rPr>
          <w:t>http://doi.org/10.1111/avsc.12079</w:t>
        </w:r>
      </w:hyperlink>
    </w:p>
    <w:p w14:paraId="2011D6D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Dolanc, C. R., Safford, H. D., Thorne, J. H., &amp; Dobrowski, S. Z. (2014). Changing forest structure across the landscape of the Sierra Nevada, CA, USA, since the 1930s. </w:t>
      </w:r>
      <w:r w:rsidRPr="003338D7">
        <w:rPr>
          <w:rFonts w:asciiTheme="majorHAnsi" w:hAnsiTheme="majorHAnsi"/>
          <w:i/>
          <w:iCs/>
          <w:noProof/>
          <w:szCs w:val="22"/>
          <w:lang w:val="es-ES"/>
        </w:rPr>
        <w:t>Ecosphere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w:t>
      </w:r>
      <w:r w:rsidRPr="003338D7">
        <w:rPr>
          <w:rFonts w:asciiTheme="majorHAnsi" w:hAnsiTheme="majorHAnsi"/>
          <w:noProof/>
          <w:szCs w:val="22"/>
          <w:lang w:val="es-ES"/>
        </w:rPr>
        <w:t xml:space="preserve">(8), art101. </w:t>
      </w:r>
      <w:hyperlink r:id="rId347" w:history="1">
        <w:r w:rsidRPr="003338D7">
          <w:rPr>
            <w:rStyle w:val="Hyperlink"/>
            <w:rFonts w:asciiTheme="majorHAnsi" w:hAnsiTheme="majorHAnsi"/>
            <w:noProof/>
            <w:szCs w:val="22"/>
            <w:lang w:val="es-ES"/>
          </w:rPr>
          <w:t>http://doi.org/10.1890/ES14-00103.1</w:t>
        </w:r>
      </w:hyperlink>
    </w:p>
    <w:p w14:paraId="676BBAA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Domínguez, E., Bahamonde, N., &amp; Muñoz-Escobar, C. (2012). Efectos de la extracción de turba sobre la composición y estructura de una turbera de Sphagnum explotada y abandonada hace 20 años, Chile. </w:t>
      </w:r>
      <w:r w:rsidRPr="003338D7">
        <w:rPr>
          <w:rFonts w:asciiTheme="majorHAnsi" w:hAnsiTheme="majorHAnsi"/>
          <w:i/>
          <w:iCs/>
          <w:noProof/>
          <w:szCs w:val="22"/>
          <w:lang w:val="es-ES"/>
        </w:rPr>
        <w:t>Anales Del Instituto de La Patagonia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40</w:t>
      </w:r>
      <w:r w:rsidRPr="003338D7">
        <w:rPr>
          <w:rFonts w:asciiTheme="majorHAnsi" w:hAnsiTheme="majorHAnsi"/>
          <w:noProof/>
          <w:szCs w:val="22"/>
          <w:lang w:val="es-ES"/>
        </w:rPr>
        <w:t xml:space="preserve">(2), 37–45. </w:t>
      </w:r>
      <w:hyperlink r:id="rId348" w:history="1">
        <w:r w:rsidRPr="003338D7">
          <w:rPr>
            <w:rStyle w:val="Hyperlink"/>
            <w:rFonts w:asciiTheme="majorHAnsi" w:hAnsiTheme="majorHAnsi"/>
            <w:noProof/>
            <w:szCs w:val="22"/>
            <w:lang w:val="es-ES"/>
          </w:rPr>
          <w:t>http://doi.org/10.4067/S0718-686X2012000200003</w:t>
        </w:r>
      </w:hyperlink>
    </w:p>
    <w:p w14:paraId="2AE4ED5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Donohue, R. J., Roderick, M. L., McVicar, T. R., &amp; Farquhar, G. D. (2013). </w:t>
      </w:r>
      <w:r w:rsidRPr="003338D7">
        <w:rPr>
          <w:rFonts w:asciiTheme="majorHAnsi" w:hAnsiTheme="majorHAnsi"/>
          <w:noProof/>
          <w:szCs w:val="22"/>
        </w:rPr>
        <w:t xml:space="preserve">Impact of CO2 fertilization on maximum foliage cover across the globe’s warm, arid environments. </w:t>
      </w:r>
      <w:r w:rsidRPr="003338D7">
        <w:rPr>
          <w:rFonts w:asciiTheme="majorHAnsi" w:hAnsiTheme="majorHAnsi"/>
          <w:i/>
          <w:iCs/>
          <w:noProof/>
          <w:szCs w:val="22"/>
        </w:rPr>
        <w:t>Geophysical Research Letters</w:t>
      </w:r>
      <w:r w:rsidRPr="003338D7">
        <w:rPr>
          <w:rFonts w:asciiTheme="majorHAnsi" w:hAnsiTheme="majorHAnsi"/>
          <w:noProof/>
          <w:szCs w:val="22"/>
        </w:rPr>
        <w:t xml:space="preserve">, </w:t>
      </w:r>
      <w:r w:rsidRPr="003338D7">
        <w:rPr>
          <w:rFonts w:asciiTheme="majorHAnsi" w:hAnsiTheme="majorHAnsi"/>
          <w:i/>
          <w:iCs/>
          <w:noProof/>
          <w:szCs w:val="22"/>
        </w:rPr>
        <w:t>40</w:t>
      </w:r>
      <w:r w:rsidRPr="003338D7">
        <w:rPr>
          <w:rFonts w:asciiTheme="majorHAnsi" w:hAnsiTheme="majorHAnsi"/>
          <w:noProof/>
          <w:szCs w:val="22"/>
        </w:rPr>
        <w:t xml:space="preserve">(12), 3031–3035. </w:t>
      </w:r>
      <w:hyperlink r:id="rId349" w:history="1">
        <w:r w:rsidRPr="003338D7">
          <w:rPr>
            <w:rStyle w:val="Hyperlink"/>
            <w:rFonts w:asciiTheme="majorHAnsi" w:hAnsiTheme="majorHAnsi"/>
            <w:noProof/>
            <w:szCs w:val="22"/>
          </w:rPr>
          <w:t>http://doi.org/10.1002/grl.50563</w:t>
        </w:r>
      </w:hyperlink>
    </w:p>
    <w:p w14:paraId="2B7102E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fr-CA"/>
        </w:rPr>
      </w:pPr>
      <w:r w:rsidRPr="003338D7">
        <w:rPr>
          <w:rFonts w:asciiTheme="majorHAnsi" w:hAnsiTheme="majorHAnsi"/>
          <w:noProof/>
          <w:szCs w:val="22"/>
        </w:rPr>
        <w:t xml:space="preserve">Dornelas, M., Gotelli, N. J., McGill, B., Shimadzu, H., Moyes, F., Sievers, C., &amp; Magurran, A. E. (2014). Assemblage time series reveal biodiversity change but not systematic loss. </w:t>
      </w:r>
      <w:r w:rsidRPr="003338D7">
        <w:rPr>
          <w:rFonts w:asciiTheme="majorHAnsi" w:hAnsiTheme="majorHAnsi"/>
          <w:i/>
          <w:iCs/>
          <w:noProof/>
          <w:szCs w:val="22"/>
          <w:lang w:val="fr-CA"/>
        </w:rPr>
        <w:t>Science</w:t>
      </w:r>
      <w:r w:rsidRPr="003338D7">
        <w:rPr>
          <w:rFonts w:asciiTheme="majorHAnsi" w:hAnsiTheme="majorHAnsi"/>
          <w:noProof/>
          <w:szCs w:val="22"/>
          <w:lang w:val="fr-CA"/>
        </w:rPr>
        <w:t xml:space="preserve">, </w:t>
      </w:r>
      <w:r w:rsidRPr="003338D7">
        <w:rPr>
          <w:rFonts w:asciiTheme="majorHAnsi" w:hAnsiTheme="majorHAnsi"/>
          <w:i/>
          <w:iCs/>
          <w:noProof/>
          <w:szCs w:val="22"/>
          <w:lang w:val="fr-CA"/>
        </w:rPr>
        <w:t>344</w:t>
      </w:r>
      <w:r w:rsidRPr="003338D7">
        <w:rPr>
          <w:rFonts w:asciiTheme="majorHAnsi" w:hAnsiTheme="majorHAnsi"/>
          <w:noProof/>
          <w:szCs w:val="22"/>
          <w:lang w:val="fr-CA"/>
        </w:rPr>
        <w:t xml:space="preserve">(6181), 296–299. </w:t>
      </w:r>
      <w:hyperlink r:id="rId350" w:history="1">
        <w:r w:rsidRPr="003338D7">
          <w:rPr>
            <w:rStyle w:val="Hyperlink"/>
            <w:rFonts w:asciiTheme="majorHAnsi" w:hAnsiTheme="majorHAnsi"/>
            <w:noProof/>
            <w:szCs w:val="22"/>
            <w:lang w:val="fr-CA"/>
          </w:rPr>
          <w:t>http://doi.org/10.1126/science.1248484</w:t>
        </w:r>
      </w:hyperlink>
    </w:p>
    <w:p w14:paraId="298A61B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fr-CA"/>
        </w:rPr>
        <w:t xml:space="preserve">Doroff, A., &amp; Burdin, A. (2015). </w:t>
      </w:r>
      <w:r w:rsidRPr="003338D7">
        <w:rPr>
          <w:rFonts w:asciiTheme="majorHAnsi" w:hAnsiTheme="majorHAnsi"/>
          <w:i/>
          <w:iCs/>
          <w:noProof/>
          <w:szCs w:val="22"/>
          <w:lang w:val="fr-CA"/>
        </w:rPr>
        <w:t>Enhydra lutris</w:t>
      </w:r>
      <w:r w:rsidRPr="003338D7">
        <w:rPr>
          <w:rFonts w:asciiTheme="majorHAnsi" w:hAnsiTheme="majorHAnsi"/>
          <w:noProof/>
          <w:szCs w:val="22"/>
          <w:lang w:val="fr-CA"/>
        </w:rPr>
        <w:t xml:space="preserve">. </w:t>
      </w:r>
      <w:r w:rsidRPr="003338D7">
        <w:rPr>
          <w:rFonts w:asciiTheme="majorHAnsi" w:hAnsiTheme="majorHAnsi"/>
          <w:noProof/>
          <w:szCs w:val="22"/>
        </w:rPr>
        <w:t xml:space="preserve">The IUCN Red List of Threatened Species 2015: e.T7750A21939518. Retrieved from </w:t>
      </w:r>
      <w:hyperlink r:id="rId351" w:history="1">
        <w:r w:rsidRPr="003338D7">
          <w:rPr>
            <w:rStyle w:val="Hyperlink"/>
            <w:rFonts w:asciiTheme="majorHAnsi" w:hAnsiTheme="majorHAnsi"/>
            <w:noProof/>
            <w:szCs w:val="22"/>
          </w:rPr>
          <w:t>http://dx.doi.org/10.2305/IUCN.UK.2015-2.RLTS.T7750A21939518.en.</w:t>
        </w:r>
      </w:hyperlink>
    </w:p>
    <w:p w14:paraId="3CD4847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Duarte, C. M. (1995). Submerged aquatic vegetation in relation to different nutrient regimes. </w:t>
      </w:r>
      <w:r w:rsidRPr="003338D7">
        <w:rPr>
          <w:rFonts w:asciiTheme="majorHAnsi" w:hAnsiTheme="majorHAnsi"/>
          <w:i/>
          <w:iCs/>
          <w:noProof/>
          <w:szCs w:val="22"/>
          <w:lang w:val="es-ES"/>
        </w:rPr>
        <w:t>Ophelia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41</w:t>
      </w:r>
      <w:r w:rsidRPr="003338D7">
        <w:rPr>
          <w:rFonts w:asciiTheme="majorHAnsi" w:hAnsiTheme="majorHAnsi"/>
          <w:noProof/>
          <w:szCs w:val="22"/>
          <w:lang w:val="es-ES"/>
        </w:rPr>
        <w:t xml:space="preserve">(1), 87–112. </w:t>
      </w:r>
      <w:hyperlink r:id="rId352" w:history="1">
        <w:r w:rsidRPr="003338D7">
          <w:rPr>
            <w:rStyle w:val="Hyperlink"/>
            <w:rFonts w:asciiTheme="majorHAnsi" w:hAnsiTheme="majorHAnsi"/>
            <w:noProof/>
            <w:szCs w:val="22"/>
            <w:lang w:val="es-ES"/>
          </w:rPr>
          <w:t>http://doi.org/10.1080/00785236.1995.10422039</w:t>
        </w:r>
      </w:hyperlink>
    </w:p>
    <w:p w14:paraId="3FEAF69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Duboc, E., Costa, C. J., Veloso, R. F., Oliveira, L. S., &amp; Paludo, A. (2007). </w:t>
      </w:r>
      <w:r w:rsidRPr="003338D7">
        <w:rPr>
          <w:rFonts w:asciiTheme="majorHAnsi" w:hAnsiTheme="majorHAnsi"/>
          <w:i/>
          <w:iCs/>
          <w:noProof/>
          <w:szCs w:val="22"/>
          <w:lang w:val="es-ES"/>
        </w:rPr>
        <w:t>Panorama Atual da Produção de Carvão Vegetal no Brasil e no Cerrado.</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Documentos - Embrapa Cerrados No. 197</w:t>
      </w:r>
      <w:r w:rsidRPr="003338D7">
        <w:rPr>
          <w:rFonts w:asciiTheme="majorHAnsi" w:hAnsiTheme="majorHAnsi"/>
          <w:noProof/>
          <w:szCs w:val="22"/>
          <w:lang w:val="es-ES"/>
        </w:rPr>
        <w:t xml:space="preserve">. Retrieved from </w:t>
      </w:r>
      <w:hyperlink r:id="rId353" w:history="1">
        <w:r w:rsidRPr="003338D7">
          <w:rPr>
            <w:rStyle w:val="Hyperlink"/>
            <w:rFonts w:asciiTheme="majorHAnsi" w:hAnsiTheme="majorHAnsi"/>
            <w:noProof/>
            <w:szCs w:val="22"/>
            <w:lang w:val="es-ES"/>
          </w:rPr>
          <w:t>http://www.cpac.embrapa.br</w:t>
        </w:r>
      </w:hyperlink>
    </w:p>
    <w:p w14:paraId="3403CB0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Duffy, J. E., Lefcheck, J. S., Stuart-Smith, R. D., Navarrete, S. A., &amp; Edgar, G. J. (2016). Biodiversity enhances reef fish biomass and resistance to climate change. </w:t>
      </w:r>
      <w:r w:rsidRPr="003338D7">
        <w:rPr>
          <w:rFonts w:asciiTheme="majorHAnsi" w:hAnsiTheme="majorHAnsi"/>
          <w:i/>
          <w:iCs/>
          <w:noProof/>
          <w:szCs w:val="22"/>
        </w:rPr>
        <w:t>PNAS</w:t>
      </w:r>
      <w:r w:rsidRPr="003338D7">
        <w:rPr>
          <w:rFonts w:asciiTheme="majorHAnsi" w:hAnsiTheme="majorHAnsi"/>
          <w:noProof/>
          <w:szCs w:val="22"/>
        </w:rPr>
        <w:t xml:space="preserve">, </w:t>
      </w:r>
      <w:r w:rsidRPr="003338D7">
        <w:rPr>
          <w:rFonts w:asciiTheme="majorHAnsi" w:hAnsiTheme="majorHAnsi"/>
          <w:i/>
          <w:iCs/>
          <w:noProof/>
          <w:szCs w:val="22"/>
        </w:rPr>
        <w:t>113</w:t>
      </w:r>
      <w:r w:rsidRPr="003338D7">
        <w:rPr>
          <w:rFonts w:asciiTheme="majorHAnsi" w:hAnsiTheme="majorHAnsi"/>
          <w:noProof/>
          <w:szCs w:val="22"/>
        </w:rPr>
        <w:t xml:space="preserve">(22), 6230–6235. </w:t>
      </w:r>
      <w:hyperlink r:id="rId354" w:history="1">
        <w:r w:rsidRPr="003338D7">
          <w:rPr>
            <w:rStyle w:val="Hyperlink"/>
            <w:rFonts w:asciiTheme="majorHAnsi" w:hAnsiTheme="majorHAnsi"/>
            <w:noProof/>
            <w:szCs w:val="22"/>
          </w:rPr>
          <w:t>http://doi.org/10.1073/pnas.1524465113</w:t>
        </w:r>
      </w:hyperlink>
    </w:p>
    <w:p w14:paraId="1090141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Dulvy, N. K., Fowler, S. L., Musick, J. A., Cavanagh, R. D., Kyne, P. M. ., Harrison, L. R., Carlson, J. K., Davidson, L. N., Fordham, S. V, Francis, M. P., Pollock, C. M., Simpfendorfer, C. A., Burgess, G. H., Carpenter, K. E., Compagno, L. J., Ebert, D. A., Gibson, C., Heupel, M. R., Livingstone, S. R., Sanciangco, J. C., Stevens, J. D., Valenti, S., &amp; White, W. T. (2014). Extinction risk and conservation of the world’s sharks and rays. </w:t>
      </w:r>
      <w:r w:rsidRPr="003338D7">
        <w:rPr>
          <w:rFonts w:asciiTheme="majorHAnsi" w:hAnsiTheme="majorHAnsi"/>
          <w:i/>
          <w:iCs/>
          <w:noProof/>
          <w:szCs w:val="22"/>
          <w:lang w:val="es-ES"/>
        </w:rPr>
        <w:t>ELife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w:t>
      </w:r>
      <w:r w:rsidRPr="003338D7">
        <w:rPr>
          <w:rFonts w:asciiTheme="majorHAnsi" w:hAnsiTheme="majorHAnsi"/>
          <w:noProof/>
          <w:szCs w:val="22"/>
          <w:lang w:val="es-ES"/>
        </w:rPr>
        <w:t xml:space="preserve">, e00590. </w:t>
      </w:r>
      <w:hyperlink r:id="rId355" w:history="1">
        <w:r w:rsidRPr="003338D7">
          <w:rPr>
            <w:rStyle w:val="Hyperlink"/>
            <w:rFonts w:asciiTheme="majorHAnsi" w:hAnsiTheme="majorHAnsi"/>
            <w:noProof/>
            <w:szCs w:val="22"/>
            <w:lang w:val="es-ES"/>
          </w:rPr>
          <w:t>https://doi.org/10.7554/eLife.00590</w:t>
        </w:r>
      </w:hyperlink>
    </w:p>
    <w:p w14:paraId="025FCD0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Dunic, J. C. (2016). </w:t>
      </w:r>
      <w:r w:rsidRPr="003338D7">
        <w:rPr>
          <w:rFonts w:asciiTheme="majorHAnsi" w:hAnsiTheme="majorHAnsi"/>
          <w:i/>
          <w:iCs/>
          <w:noProof/>
          <w:szCs w:val="22"/>
        </w:rPr>
        <w:t>Contextualizing Local Biodiversity Change in the Face of Human Impacts.</w:t>
      </w:r>
      <w:r w:rsidRPr="003338D7">
        <w:rPr>
          <w:rFonts w:asciiTheme="majorHAnsi" w:hAnsiTheme="majorHAnsi"/>
          <w:noProof/>
          <w:szCs w:val="22"/>
        </w:rPr>
        <w:t xml:space="preserve"> Masters Dissertation, 415, University of Massachusetts Boston. Retrieved from </w:t>
      </w:r>
      <w:hyperlink r:id="rId356" w:history="1">
        <w:r w:rsidRPr="003338D7">
          <w:rPr>
            <w:rStyle w:val="Hyperlink"/>
            <w:rFonts w:asciiTheme="majorHAnsi" w:hAnsiTheme="majorHAnsi"/>
            <w:noProof/>
            <w:szCs w:val="22"/>
          </w:rPr>
          <w:t>https://scholarworks.umb.edu/masters_theses/415</w:t>
        </w:r>
      </w:hyperlink>
    </w:p>
    <w:p w14:paraId="3049B6D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Dunn, R. R., Agosti, D., Andersen, A. N., Arnan, X., Bruhl, C. A., Cerdá, X., Ellison, A. M., Fisher, B. L., Fitzpatrick, M. C., Gibb, H., Gotelli, N. J., Gove, A. D., Guenard, B., Janda, M., Kaspari, M., Laurent, E. J., Lessard, J. P., Longino, J. T., Majer, J. D., Menke, S. B., McGlynn, T. P., Parr, C. L., Philpott, S. M., Pfeiffer, M., Retana, J., Suarez, A. V., Vasconcelos, H. L., Weiser, M. D., &amp; Sanders, N. J. (2009). Climatic drivers of hemispheric asymmetry in global patterns of ant species richness. </w:t>
      </w:r>
      <w:r w:rsidRPr="003338D7">
        <w:rPr>
          <w:rFonts w:asciiTheme="majorHAnsi" w:hAnsiTheme="majorHAnsi"/>
          <w:i/>
          <w:iCs/>
          <w:noProof/>
          <w:szCs w:val="22"/>
          <w:lang w:val="es-ES"/>
        </w:rPr>
        <w:t>Ecology Letters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12</w:t>
      </w:r>
      <w:r w:rsidRPr="003338D7">
        <w:rPr>
          <w:rFonts w:asciiTheme="majorHAnsi" w:hAnsiTheme="majorHAnsi"/>
          <w:noProof/>
          <w:szCs w:val="22"/>
          <w:lang w:val="es-ES"/>
        </w:rPr>
        <w:t xml:space="preserve">(4), 324–333. </w:t>
      </w:r>
      <w:hyperlink r:id="rId357" w:history="1">
        <w:r w:rsidRPr="003338D7">
          <w:rPr>
            <w:rStyle w:val="Hyperlink"/>
            <w:rFonts w:asciiTheme="majorHAnsi" w:hAnsiTheme="majorHAnsi"/>
            <w:noProof/>
            <w:szCs w:val="22"/>
            <w:lang w:val="es-ES"/>
          </w:rPr>
          <w:t>https://doi.org/10.1111/j.1461-0248.2009.01291.x</w:t>
        </w:r>
      </w:hyperlink>
    </w:p>
    <w:p w14:paraId="16F78D5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Durán, A., Gryzenhout, M., Slippers, B., Ahumada, R., Rotella, A., Flores, F., Wingfield, B. D., &amp; Wingfield, M. J. (2008). </w:t>
      </w:r>
      <w:r w:rsidRPr="003338D7">
        <w:rPr>
          <w:rFonts w:asciiTheme="majorHAnsi" w:hAnsiTheme="majorHAnsi"/>
          <w:i/>
          <w:iCs/>
          <w:noProof/>
          <w:szCs w:val="22"/>
          <w:lang w:val="es-ES"/>
        </w:rPr>
        <w:t>Phytophthora pinifolia</w:t>
      </w:r>
      <w:r w:rsidRPr="003338D7">
        <w:rPr>
          <w:rFonts w:asciiTheme="majorHAnsi" w:hAnsiTheme="majorHAnsi"/>
          <w:noProof/>
          <w:szCs w:val="22"/>
          <w:lang w:val="es-ES"/>
        </w:rPr>
        <w:t xml:space="preserve"> sp. nov. associated with a serious needle disease of </w:t>
      </w:r>
      <w:r w:rsidRPr="003338D7">
        <w:rPr>
          <w:rFonts w:asciiTheme="majorHAnsi" w:hAnsiTheme="majorHAnsi"/>
          <w:i/>
          <w:iCs/>
          <w:noProof/>
          <w:szCs w:val="22"/>
          <w:lang w:val="es-ES"/>
        </w:rPr>
        <w:t>Pinus radiata</w:t>
      </w:r>
      <w:r w:rsidRPr="003338D7">
        <w:rPr>
          <w:rFonts w:asciiTheme="majorHAnsi" w:hAnsiTheme="majorHAnsi"/>
          <w:noProof/>
          <w:szCs w:val="22"/>
          <w:lang w:val="es-ES"/>
        </w:rPr>
        <w:t xml:space="preserve"> in Chile. </w:t>
      </w:r>
      <w:r w:rsidRPr="003338D7">
        <w:rPr>
          <w:rFonts w:asciiTheme="majorHAnsi" w:hAnsiTheme="majorHAnsi"/>
          <w:i/>
          <w:iCs/>
          <w:noProof/>
          <w:szCs w:val="22"/>
          <w:lang w:val="es-ES"/>
        </w:rPr>
        <w:t>Plant Pathology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57</w:t>
      </w:r>
      <w:r w:rsidRPr="003338D7">
        <w:rPr>
          <w:rFonts w:asciiTheme="majorHAnsi" w:hAnsiTheme="majorHAnsi"/>
          <w:noProof/>
          <w:szCs w:val="22"/>
          <w:lang w:val="es-ES"/>
        </w:rPr>
        <w:t xml:space="preserve">(4), 715–727. </w:t>
      </w:r>
      <w:hyperlink r:id="rId358" w:history="1">
        <w:r w:rsidRPr="003338D7">
          <w:rPr>
            <w:rStyle w:val="Hyperlink"/>
            <w:rFonts w:asciiTheme="majorHAnsi" w:hAnsiTheme="majorHAnsi"/>
            <w:noProof/>
            <w:szCs w:val="22"/>
            <w:lang w:val="es-ES"/>
          </w:rPr>
          <w:t>https://doi.org/10.1111/j.1365-3059.2008.01893.x</w:t>
        </w:r>
      </w:hyperlink>
    </w:p>
    <w:p w14:paraId="31F6983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Durigan, G., &amp; Ratter, J. A. (2016). The need for a consistent fire policy for Cerrado conservation. </w:t>
      </w:r>
      <w:r w:rsidRPr="003338D7">
        <w:rPr>
          <w:rFonts w:asciiTheme="majorHAnsi" w:hAnsiTheme="majorHAnsi"/>
          <w:i/>
          <w:iCs/>
          <w:noProof/>
          <w:szCs w:val="22"/>
        </w:rPr>
        <w:t>Journal of Applied Ecology</w:t>
      </w:r>
      <w:r w:rsidRPr="003338D7">
        <w:rPr>
          <w:rFonts w:asciiTheme="majorHAnsi" w:hAnsiTheme="majorHAnsi"/>
          <w:noProof/>
          <w:szCs w:val="22"/>
        </w:rPr>
        <w:t xml:space="preserve">, </w:t>
      </w:r>
      <w:r w:rsidRPr="003338D7">
        <w:rPr>
          <w:rFonts w:asciiTheme="majorHAnsi" w:hAnsiTheme="majorHAnsi"/>
          <w:i/>
          <w:iCs/>
          <w:noProof/>
          <w:szCs w:val="22"/>
        </w:rPr>
        <w:t>53</w:t>
      </w:r>
      <w:r w:rsidRPr="003338D7">
        <w:rPr>
          <w:rFonts w:asciiTheme="majorHAnsi" w:hAnsiTheme="majorHAnsi"/>
          <w:noProof/>
          <w:szCs w:val="22"/>
        </w:rPr>
        <w:t xml:space="preserve">(1), 11–15. </w:t>
      </w:r>
      <w:hyperlink r:id="rId359" w:history="1">
        <w:r w:rsidRPr="003338D7">
          <w:rPr>
            <w:rStyle w:val="Hyperlink"/>
            <w:rFonts w:asciiTheme="majorHAnsi" w:hAnsiTheme="majorHAnsi"/>
            <w:noProof/>
            <w:szCs w:val="22"/>
          </w:rPr>
          <w:t>http://doi.org/10.1111/1365-2664.12559</w:t>
        </w:r>
      </w:hyperlink>
    </w:p>
    <w:p w14:paraId="5C3ABD7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Dyer, E. E., Cassey, P., Redding, D. W., Collen, B., Franks, V., Gaston, K. J., Jones, K. E., Kark, S., Orme, C. D. L., &amp; Blackburn, T. M. (2017). The global distribution and drivers of alien bird species richness. </w:t>
      </w:r>
      <w:r w:rsidRPr="003338D7">
        <w:rPr>
          <w:rFonts w:asciiTheme="majorHAnsi" w:hAnsiTheme="majorHAnsi"/>
          <w:i/>
          <w:iCs/>
          <w:noProof/>
          <w:szCs w:val="22"/>
          <w:lang w:val="es-ES"/>
        </w:rPr>
        <w:t>PLoS Biol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15</w:t>
      </w:r>
      <w:r w:rsidRPr="003338D7">
        <w:rPr>
          <w:rFonts w:asciiTheme="majorHAnsi" w:hAnsiTheme="majorHAnsi"/>
          <w:noProof/>
          <w:szCs w:val="22"/>
          <w:lang w:val="es-ES"/>
        </w:rPr>
        <w:t xml:space="preserve">(1), e2000942. </w:t>
      </w:r>
      <w:hyperlink r:id="rId360" w:history="1">
        <w:r w:rsidRPr="003338D7">
          <w:rPr>
            <w:rStyle w:val="Hyperlink"/>
            <w:rFonts w:asciiTheme="majorHAnsi" w:hAnsiTheme="majorHAnsi"/>
            <w:noProof/>
            <w:szCs w:val="22"/>
            <w:lang w:val="es-ES"/>
          </w:rPr>
          <w:t>https://doi.org/10.1371/journal.pbio.2000942</w:t>
        </w:r>
      </w:hyperlink>
    </w:p>
    <w:p w14:paraId="54825FC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Early, R., Bradley, B. A., Dukes, J. S., Lawler, J. J., Olden, J. D., Blumenthal, D. M., Gonzalez, P., Grosholz, E. D., Ibañez, I., Miller, L. P., Sorte, C. J. B., &amp; Tatem, A. J. (2016). Global threats from invasive alien species in the twenty-first century and national response capacities. </w:t>
      </w:r>
      <w:r w:rsidRPr="003338D7">
        <w:rPr>
          <w:rFonts w:asciiTheme="majorHAnsi" w:hAnsiTheme="majorHAnsi"/>
          <w:i/>
          <w:iCs/>
          <w:noProof/>
          <w:szCs w:val="22"/>
          <w:lang w:val="es-ES"/>
        </w:rPr>
        <w:t>Nature Communications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w:t>
      </w:r>
      <w:r w:rsidRPr="003338D7">
        <w:rPr>
          <w:rFonts w:asciiTheme="majorHAnsi" w:hAnsiTheme="majorHAnsi"/>
          <w:noProof/>
          <w:szCs w:val="22"/>
          <w:lang w:val="es-ES"/>
        </w:rPr>
        <w:t xml:space="preserve">, art12485. </w:t>
      </w:r>
      <w:hyperlink r:id="rId361" w:history="1">
        <w:r w:rsidRPr="003338D7">
          <w:rPr>
            <w:rStyle w:val="Hyperlink"/>
            <w:rFonts w:asciiTheme="majorHAnsi" w:hAnsiTheme="majorHAnsi"/>
            <w:noProof/>
            <w:szCs w:val="22"/>
            <w:lang w:val="es-ES"/>
          </w:rPr>
          <w:t>https://doi.org/10.1038/ncomms12485</w:t>
        </w:r>
      </w:hyperlink>
    </w:p>
    <w:p w14:paraId="28A068C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Eberhardt, L. L., &amp; O’Shea, T. J. (1995). Integration of manatee life history data and population modeling. In T. J. O’Shea, B. B. Ackerman, &amp; H. F. Percival (Eds.), </w:t>
      </w:r>
      <w:r w:rsidRPr="003338D7">
        <w:rPr>
          <w:rFonts w:asciiTheme="majorHAnsi" w:hAnsiTheme="majorHAnsi"/>
          <w:i/>
          <w:iCs/>
          <w:noProof/>
          <w:szCs w:val="22"/>
        </w:rPr>
        <w:t>Population Biology of the Florida Manatee</w:t>
      </w:r>
      <w:r w:rsidRPr="003338D7">
        <w:rPr>
          <w:rFonts w:asciiTheme="majorHAnsi" w:hAnsiTheme="majorHAnsi"/>
          <w:noProof/>
          <w:szCs w:val="22"/>
        </w:rPr>
        <w:t xml:space="preserve"> (pp. 269–273). Washington D.C., USA: National Biological Service, Information and Technology Report.</w:t>
      </w:r>
    </w:p>
    <w:p w14:paraId="2CE1335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Eclesia, R. P., Jobbagy, E. G., Jackson, R. B., Biganzoli, F., &amp; Piñeiro, G. (2012). Shifts in soil organic carbon for plantation and pasture establishment in native forests and grasslands of South America. </w:t>
      </w:r>
      <w:r w:rsidRPr="003338D7">
        <w:rPr>
          <w:rFonts w:asciiTheme="majorHAnsi" w:hAnsiTheme="majorHAnsi"/>
          <w:i/>
          <w:iCs/>
          <w:noProof/>
          <w:szCs w:val="22"/>
        </w:rPr>
        <w:t>Global Change Biology</w:t>
      </w:r>
      <w:r w:rsidRPr="003338D7">
        <w:rPr>
          <w:rFonts w:asciiTheme="majorHAnsi" w:hAnsiTheme="majorHAnsi"/>
          <w:noProof/>
          <w:szCs w:val="22"/>
        </w:rPr>
        <w:t xml:space="preserve">, </w:t>
      </w:r>
      <w:r w:rsidRPr="003338D7">
        <w:rPr>
          <w:rFonts w:asciiTheme="majorHAnsi" w:hAnsiTheme="majorHAnsi"/>
          <w:i/>
          <w:iCs/>
          <w:noProof/>
          <w:szCs w:val="22"/>
        </w:rPr>
        <w:t>18</w:t>
      </w:r>
      <w:r w:rsidRPr="003338D7">
        <w:rPr>
          <w:rFonts w:asciiTheme="majorHAnsi" w:hAnsiTheme="majorHAnsi"/>
          <w:noProof/>
          <w:szCs w:val="22"/>
        </w:rPr>
        <w:t xml:space="preserve">(10), 3237–3251. </w:t>
      </w:r>
      <w:hyperlink r:id="rId362" w:history="1">
        <w:r w:rsidRPr="003338D7">
          <w:rPr>
            <w:rStyle w:val="Hyperlink"/>
            <w:rFonts w:asciiTheme="majorHAnsi" w:hAnsiTheme="majorHAnsi"/>
            <w:noProof/>
            <w:szCs w:val="22"/>
          </w:rPr>
          <w:t>http://doi.org/10.1111/j.1365-2486.2012.02761.x</w:t>
        </w:r>
      </w:hyperlink>
    </w:p>
    <w:p w14:paraId="567BC3F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Edwards, T., Schwalbe, C. R., Swann, D. E., &amp; Goldberg, C. S. (2004). Implications of anthropogenic landscape change on inter-population movements of the desert tortoise (</w:t>
      </w:r>
      <w:r w:rsidRPr="003338D7">
        <w:rPr>
          <w:rFonts w:asciiTheme="majorHAnsi" w:hAnsiTheme="majorHAnsi"/>
          <w:i/>
          <w:iCs/>
          <w:noProof/>
          <w:szCs w:val="22"/>
        </w:rPr>
        <w:t>Gopherus agassizii</w:t>
      </w:r>
      <w:r w:rsidRPr="003338D7">
        <w:rPr>
          <w:rFonts w:asciiTheme="majorHAnsi" w:hAnsiTheme="majorHAnsi"/>
          <w:noProof/>
          <w:szCs w:val="22"/>
        </w:rPr>
        <w:t xml:space="preserve">). </w:t>
      </w:r>
      <w:r w:rsidRPr="003338D7">
        <w:rPr>
          <w:rFonts w:asciiTheme="majorHAnsi" w:hAnsiTheme="majorHAnsi"/>
          <w:i/>
          <w:iCs/>
          <w:noProof/>
          <w:szCs w:val="22"/>
          <w:lang w:val="es-ES"/>
        </w:rPr>
        <w:t>Conservation Genetics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w:t>
      </w:r>
      <w:r w:rsidRPr="003338D7">
        <w:rPr>
          <w:rFonts w:asciiTheme="majorHAnsi" w:hAnsiTheme="majorHAnsi"/>
          <w:noProof/>
          <w:szCs w:val="22"/>
          <w:lang w:val="es-ES"/>
        </w:rPr>
        <w:t xml:space="preserve">(4), 485–499. </w:t>
      </w:r>
      <w:hyperlink r:id="rId363" w:history="1">
        <w:r w:rsidRPr="003338D7">
          <w:rPr>
            <w:rStyle w:val="Hyperlink"/>
            <w:rFonts w:asciiTheme="majorHAnsi" w:hAnsiTheme="majorHAnsi"/>
            <w:noProof/>
            <w:szCs w:val="22"/>
            <w:lang w:val="es-ES"/>
          </w:rPr>
          <w:t>http://doi.org/10.1023/B:COGE.0000041031.58192.7c</w:t>
        </w:r>
      </w:hyperlink>
    </w:p>
    <w:p w14:paraId="651A6E8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Eisemberg, C. C., Machado Balestra, R. A., Famelli, S., Pereira, F. F., Diniz Bernardes, V. C., &amp; Vogt, R. C. (2016). </w:t>
      </w:r>
      <w:r w:rsidRPr="003338D7">
        <w:rPr>
          <w:rFonts w:asciiTheme="majorHAnsi" w:hAnsiTheme="majorHAnsi"/>
          <w:noProof/>
          <w:szCs w:val="22"/>
        </w:rPr>
        <w:t>Vulnerability of giant South American turtle (</w:t>
      </w:r>
      <w:r w:rsidRPr="003338D7">
        <w:rPr>
          <w:rFonts w:asciiTheme="majorHAnsi" w:hAnsiTheme="majorHAnsi"/>
          <w:i/>
          <w:iCs/>
          <w:noProof/>
          <w:szCs w:val="22"/>
        </w:rPr>
        <w:t>Podocnemis expansa</w:t>
      </w:r>
      <w:r w:rsidRPr="003338D7">
        <w:rPr>
          <w:rFonts w:asciiTheme="majorHAnsi" w:hAnsiTheme="majorHAnsi"/>
          <w:noProof/>
          <w:szCs w:val="22"/>
        </w:rPr>
        <w:t xml:space="preserve">) nesting habitat to climate-change-induced alterations to fluvial cycles. </w:t>
      </w:r>
      <w:r w:rsidRPr="003338D7">
        <w:rPr>
          <w:rFonts w:asciiTheme="majorHAnsi" w:hAnsiTheme="majorHAnsi"/>
          <w:i/>
          <w:iCs/>
          <w:noProof/>
          <w:szCs w:val="22"/>
        </w:rPr>
        <w:t>Tropical Conservation Science</w:t>
      </w:r>
      <w:r w:rsidRPr="003338D7">
        <w:rPr>
          <w:rFonts w:asciiTheme="majorHAnsi" w:hAnsiTheme="majorHAnsi"/>
          <w:noProof/>
          <w:szCs w:val="22"/>
        </w:rPr>
        <w:t xml:space="preserve">, (October-December issue), 1–12. </w:t>
      </w:r>
      <w:hyperlink r:id="rId364" w:history="1">
        <w:r w:rsidRPr="003338D7">
          <w:rPr>
            <w:rStyle w:val="Hyperlink"/>
            <w:rFonts w:asciiTheme="majorHAnsi" w:hAnsiTheme="majorHAnsi"/>
            <w:noProof/>
            <w:szCs w:val="22"/>
          </w:rPr>
          <w:t>http://doi.org/10.1177/1940082916667139</w:t>
        </w:r>
      </w:hyperlink>
    </w:p>
    <w:p w14:paraId="420F95B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Elahi, R., O’Connor, M. I., Byrnes, J. E. K., Dunic, J., Eriksson, B. K., Hensel, M. J. S., &amp; Kearns, P. J. (2015). Recent trends in local-scale marine biodiversity reflect community structure and human impacts. </w:t>
      </w:r>
      <w:r w:rsidRPr="003338D7">
        <w:rPr>
          <w:rFonts w:asciiTheme="majorHAnsi" w:hAnsiTheme="majorHAnsi"/>
          <w:i/>
          <w:iCs/>
          <w:noProof/>
          <w:szCs w:val="22"/>
        </w:rPr>
        <w:t>Current Biology</w:t>
      </w:r>
      <w:r w:rsidRPr="003338D7">
        <w:rPr>
          <w:rFonts w:asciiTheme="majorHAnsi" w:hAnsiTheme="majorHAnsi"/>
          <w:noProof/>
          <w:szCs w:val="22"/>
        </w:rPr>
        <w:t xml:space="preserve">, </w:t>
      </w:r>
      <w:r w:rsidRPr="003338D7">
        <w:rPr>
          <w:rFonts w:asciiTheme="majorHAnsi" w:hAnsiTheme="majorHAnsi"/>
          <w:i/>
          <w:iCs/>
          <w:noProof/>
          <w:szCs w:val="22"/>
        </w:rPr>
        <w:t>25</w:t>
      </w:r>
      <w:r w:rsidRPr="003338D7">
        <w:rPr>
          <w:rFonts w:asciiTheme="majorHAnsi" w:hAnsiTheme="majorHAnsi"/>
          <w:noProof/>
          <w:szCs w:val="22"/>
        </w:rPr>
        <w:t xml:space="preserve">(14), 1938–1943. </w:t>
      </w:r>
      <w:hyperlink r:id="rId365" w:history="1">
        <w:r w:rsidRPr="003338D7">
          <w:rPr>
            <w:rStyle w:val="Hyperlink"/>
            <w:rFonts w:asciiTheme="majorHAnsi" w:hAnsiTheme="majorHAnsi"/>
            <w:noProof/>
            <w:szCs w:val="22"/>
          </w:rPr>
          <w:t>http://doi.org/10.1016/j.cub.2015.05.030</w:t>
        </w:r>
      </w:hyperlink>
    </w:p>
    <w:p w14:paraId="6AEFC22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Elliott, G. P. (2011). Influences of 20th-century warming at the upper tree line contingent on local-scale interactions: evidence from a latitudinal gradient in the Rocky Mountains, USA. </w:t>
      </w:r>
      <w:r w:rsidRPr="003338D7">
        <w:rPr>
          <w:rFonts w:asciiTheme="majorHAnsi" w:hAnsiTheme="majorHAnsi"/>
          <w:i/>
          <w:iCs/>
          <w:noProof/>
          <w:szCs w:val="22"/>
        </w:rPr>
        <w:t>Global Ecology and Biogeography</w:t>
      </w:r>
      <w:r w:rsidRPr="003338D7">
        <w:rPr>
          <w:rFonts w:asciiTheme="majorHAnsi" w:hAnsiTheme="majorHAnsi"/>
          <w:noProof/>
          <w:szCs w:val="22"/>
        </w:rPr>
        <w:t xml:space="preserve">, </w:t>
      </w:r>
      <w:r w:rsidRPr="003338D7">
        <w:rPr>
          <w:rFonts w:asciiTheme="majorHAnsi" w:hAnsiTheme="majorHAnsi"/>
          <w:i/>
          <w:iCs/>
          <w:noProof/>
          <w:szCs w:val="22"/>
        </w:rPr>
        <w:t>20</w:t>
      </w:r>
      <w:r w:rsidRPr="003338D7">
        <w:rPr>
          <w:rFonts w:asciiTheme="majorHAnsi" w:hAnsiTheme="majorHAnsi"/>
          <w:noProof/>
          <w:szCs w:val="22"/>
        </w:rPr>
        <w:t>(1), 46–57.</w:t>
      </w:r>
    </w:p>
    <w:p w14:paraId="0AF769B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Ellison, A. M., &amp; Farnsworth, E. J. (1996). Anthropogenic disturbance of Caribbean mangrove ecosystems: Past impacts, present trends, and future predictions. </w:t>
      </w:r>
      <w:r w:rsidRPr="003338D7">
        <w:rPr>
          <w:rFonts w:asciiTheme="majorHAnsi" w:hAnsiTheme="majorHAnsi"/>
          <w:i/>
          <w:iCs/>
          <w:noProof/>
          <w:szCs w:val="22"/>
        </w:rPr>
        <w:t>Biotropica</w:t>
      </w:r>
      <w:r w:rsidRPr="003338D7">
        <w:rPr>
          <w:rFonts w:asciiTheme="majorHAnsi" w:hAnsiTheme="majorHAnsi"/>
          <w:noProof/>
          <w:szCs w:val="22"/>
        </w:rPr>
        <w:t xml:space="preserve">, </w:t>
      </w:r>
      <w:r w:rsidRPr="003338D7">
        <w:rPr>
          <w:rFonts w:asciiTheme="majorHAnsi" w:hAnsiTheme="majorHAnsi"/>
          <w:i/>
          <w:iCs/>
          <w:noProof/>
          <w:szCs w:val="22"/>
        </w:rPr>
        <w:t>28</w:t>
      </w:r>
      <w:r w:rsidRPr="003338D7">
        <w:rPr>
          <w:rFonts w:asciiTheme="majorHAnsi" w:hAnsiTheme="majorHAnsi"/>
          <w:noProof/>
          <w:szCs w:val="22"/>
        </w:rPr>
        <w:t xml:space="preserve">(4), 549–565. </w:t>
      </w:r>
      <w:hyperlink r:id="rId366" w:history="1">
        <w:r w:rsidRPr="003338D7">
          <w:rPr>
            <w:rStyle w:val="Hyperlink"/>
            <w:rFonts w:asciiTheme="majorHAnsi" w:hAnsiTheme="majorHAnsi"/>
            <w:noProof/>
            <w:szCs w:val="22"/>
          </w:rPr>
          <w:t>http://doi.org/10.2307/2389096</w:t>
        </w:r>
      </w:hyperlink>
    </w:p>
    <w:p w14:paraId="509F89E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Elmendorf, S. C., Henry, G. H. R., Hollister, R. D., Björk, R. G., Boulanger-Lapointe, N., Cooper, E. J., Cornelissen, J. H. C., Day, T. A., Dorrepaal, E., Elumeeva, T. G., Gill, M., Gould, W. A., Harte, J., Hik, D. S., Hofgaard, A., Johnson, D. R., Johnstone, J. F., Jónsdóttir, I. S., Jorgenson, J. C., Klanderud, K., Klein, J. A., Koh, S., Kudo, G., Lara, M., Lévesque, E., Magnússon, B., May, J. L., Mercado-Díaz, J. A., Michelsen, A., Molau, U., Myers-Smith, I. H., Oberbauer, S. F., Onipchenko, V. G., Rixen, C., Schmidt, N. M., Shaver, G. R., Spasojevic, M. J., Þórhallsdóttir, Þ. E., Tolvanen, A., Troxler, T., Tweedie, C. E., Villareal, S., Wahren, C.-H., Walker, X., Webber, P. J., Welker, J. M., &amp; Wipf, S. (2012). Plot-scale evidence of tundra vegetation change and links to recent summer warming. </w:t>
      </w:r>
      <w:r w:rsidRPr="003338D7">
        <w:rPr>
          <w:rFonts w:asciiTheme="majorHAnsi" w:hAnsiTheme="majorHAnsi"/>
          <w:i/>
          <w:iCs/>
          <w:noProof/>
          <w:szCs w:val="22"/>
          <w:lang w:val="es-ES"/>
        </w:rPr>
        <w:t>Nature Climate Change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w:t>
      </w:r>
      <w:r w:rsidRPr="003338D7">
        <w:rPr>
          <w:rFonts w:asciiTheme="majorHAnsi" w:hAnsiTheme="majorHAnsi"/>
          <w:noProof/>
          <w:szCs w:val="22"/>
          <w:lang w:val="es-ES"/>
        </w:rPr>
        <w:t xml:space="preserve">, 453–457. </w:t>
      </w:r>
      <w:hyperlink r:id="rId367" w:history="1">
        <w:r w:rsidRPr="003338D7">
          <w:rPr>
            <w:rStyle w:val="Hyperlink"/>
            <w:rFonts w:asciiTheme="majorHAnsi" w:hAnsiTheme="majorHAnsi"/>
            <w:noProof/>
            <w:szCs w:val="22"/>
            <w:lang w:val="es-ES"/>
          </w:rPr>
          <w:t>https://doi.org/10.1038/nclimate1465</w:t>
        </w:r>
      </w:hyperlink>
    </w:p>
    <w:p w14:paraId="1379C5B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fr-CA"/>
        </w:rPr>
        <w:t xml:space="preserve">Elsner, W. K., &amp; Jorgenson, J. C. (2009). </w:t>
      </w:r>
      <w:r w:rsidRPr="003338D7">
        <w:rPr>
          <w:rFonts w:asciiTheme="majorHAnsi" w:hAnsiTheme="majorHAnsi"/>
          <w:noProof/>
          <w:szCs w:val="22"/>
        </w:rPr>
        <w:t>White spruce seedling (</w:t>
      </w:r>
      <w:r w:rsidRPr="003338D7">
        <w:rPr>
          <w:rFonts w:asciiTheme="majorHAnsi" w:hAnsiTheme="majorHAnsi"/>
          <w:i/>
          <w:iCs/>
          <w:noProof/>
          <w:szCs w:val="22"/>
        </w:rPr>
        <w:t>Picea glauca</w:t>
      </w:r>
      <w:r w:rsidRPr="003338D7">
        <w:rPr>
          <w:rFonts w:asciiTheme="majorHAnsi" w:hAnsiTheme="majorHAnsi"/>
          <w:noProof/>
          <w:szCs w:val="22"/>
        </w:rPr>
        <w:t xml:space="preserve">) discovered north of the Brooks Range along Alaska’s Dalton Highway. </w:t>
      </w:r>
      <w:r w:rsidRPr="003338D7">
        <w:rPr>
          <w:rFonts w:asciiTheme="majorHAnsi" w:hAnsiTheme="majorHAnsi"/>
          <w:i/>
          <w:iCs/>
          <w:noProof/>
          <w:szCs w:val="22"/>
        </w:rPr>
        <w:t>Arctic</w:t>
      </w:r>
      <w:r w:rsidRPr="003338D7">
        <w:rPr>
          <w:rFonts w:asciiTheme="majorHAnsi" w:hAnsiTheme="majorHAnsi"/>
          <w:noProof/>
          <w:szCs w:val="22"/>
        </w:rPr>
        <w:t xml:space="preserve">, </w:t>
      </w:r>
      <w:r w:rsidRPr="003338D7">
        <w:rPr>
          <w:rFonts w:asciiTheme="majorHAnsi" w:hAnsiTheme="majorHAnsi"/>
          <w:i/>
          <w:iCs/>
          <w:noProof/>
          <w:szCs w:val="22"/>
        </w:rPr>
        <w:t>62</w:t>
      </w:r>
      <w:r w:rsidRPr="003338D7">
        <w:rPr>
          <w:rFonts w:asciiTheme="majorHAnsi" w:hAnsiTheme="majorHAnsi"/>
          <w:noProof/>
          <w:szCs w:val="22"/>
        </w:rPr>
        <w:t>(3), 342–344.</w:t>
      </w:r>
    </w:p>
    <w:p w14:paraId="41A21DA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Elven, R., Murray, D. F., Razzhivin, V. Y., &amp; Yurtsev, B. A. (2011). Annotated checklist of the panarctic flora (PAF): vascular plants. Retrieved from </w:t>
      </w:r>
      <w:hyperlink r:id="rId368" w:anchor="/metadata/ad3b16c9-9a29-460e-a515-d0a48e6d88ff" w:history="1">
        <w:r w:rsidRPr="003338D7">
          <w:rPr>
            <w:rStyle w:val="Hyperlink"/>
            <w:rFonts w:asciiTheme="majorHAnsi" w:hAnsiTheme="majorHAnsi"/>
            <w:noProof/>
            <w:szCs w:val="22"/>
          </w:rPr>
          <w:t>http://geo.abds.is/geonetwork/srv/eng/catalog.search - /metadata/ad3b16c9-9a29-460e-a515-d0a48e6d88ff</w:t>
        </w:r>
      </w:hyperlink>
    </w:p>
    <w:p w14:paraId="035836E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Emperaire, L., &amp; Peroni, N. (2007). Traditional management of agrobiodiversity in Brazil: A case study of manioc. </w:t>
      </w:r>
      <w:r w:rsidRPr="003338D7">
        <w:rPr>
          <w:rFonts w:asciiTheme="majorHAnsi" w:hAnsiTheme="majorHAnsi"/>
          <w:i/>
          <w:iCs/>
          <w:noProof/>
          <w:szCs w:val="22"/>
        </w:rPr>
        <w:t>Human Ecology</w:t>
      </w:r>
      <w:r w:rsidRPr="003338D7">
        <w:rPr>
          <w:rFonts w:asciiTheme="majorHAnsi" w:hAnsiTheme="majorHAnsi"/>
          <w:noProof/>
          <w:szCs w:val="22"/>
        </w:rPr>
        <w:t xml:space="preserve">, </w:t>
      </w:r>
      <w:r w:rsidRPr="003338D7">
        <w:rPr>
          <w:rFonts w:asciiTheme="majorHAnsi" w:hAnsiTheme="majorHAnsi"/>
          <w:i/>
          <w:iCs/>
          <w:noProof/>
          <w:szCs w:val="22"/>
        </w:rPr>
        <w:t>35</w:t>
      </w:r>
      <w:r w:rsidRPr="003338D7">
        <w:rPr>
          <w:rFonts w:asciiTheme="majorHAnsi" w:hAnsiTheme="majorHAnsi"/>
          <w:noProof/>
          <w:szCs w:val="22"/>
        </w:rPr>
        <w:t>, 761–768.</w:t>
      </w:r>
    </w:p>
    <w:p w14:paraId="6A40293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Enquist, B. J., Condit, R., Peet, R. K., Schildhauer, M., &amp; Thiers, B. (2016). The Botanical Information and Ecology Network (BIEN): Cyberinfrastructure for an integrated botanical information network to investigate the ecological impacts of global climate change on plant biodiversity. </w:t>
      </w:r>
      <w:hyperlink r:id="rId369" w:history="1">
        <w:r w:rsidRPr="003338D7">
          <w:rPr>
            <w:rStyle w:val="Hyperlink"/>
            <w:rFonts w:asciiTheme="majorHAnsi" w:hAnsiTheme="majorHAnsi"/>
            <w:noProof/>
            <w:szCs w:val="22"/>
          </w:rPr>
          <w:t>http://doi.org/10.7287/peerj.preprints.2615v2</w:t>
        </w:r>
      </w:hyperlink>
      <w:r w:rsidRPr="003338D7">
        <w:rPr>
          <w:rFonts w:asciiTheme="majorHAnsi" w:hAnsiTheme="majorHAnsi"/>
          <w:noProof/>
          <w:szCs w:val="22"/>
        </w:rPr>
        <w:t>.</w:t>
      </w:r>
    </w:p>
    <w:p w14:paraId="3A7929B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Epstein, H. E., Raynolds, M. K., Walker, D. A., Bhatt, U. S., Tucker, C. J., &amp; Pinzon, J. E. (2012). </w:t>
      </w:r>
      <w:r w:rsidRPr="003338D7">
        <w:rPr>
          <w:rFonts w:asciiTheme="majorHAnsi" w:hAnsiTheme="majorHAnsi"/>
          <w:noProof/>
          <w:szCs w:val="22"/>
        </w:rPr>
        <w:t xml:space="preserve">Dynamics of aboveground phytomass of the circumpolar Arctic tundra during the past three decades. </w:t>
      </w:r>
      <w:r w:rsidRPr="003338D7">
        <w:rPr>
          <w:rFonts w:asciiTheme="majorHAnsi" w:hAnsiTheme="majorHAnsi"/>
          <w:i/>
          <w:iCs/>
          <w:noProof/>
          <w:szCs w:val="22"/>
        </w:rPr>
        <w:t>Environmental Research Letters</w:t>
      </w:r>
      <w:r w:rsidRPr="003338D7">
        <w:rPr>
          <w:rFonts w:asciiTheme="majorHAnsi" w:hAnsiTheme="majorHAnsi"/>
          <w:noProof/>
          <w:szCs w:val="22"/>
        </w:rPr>
        <w:t xml:space="preserve">, </w:t>
      </w:r>
      <w:r w:rsidRPr="003338D7">
        <w:rPr>
          <w:rFonts w:asciiTheme="majorHAnsi" w:hAnsiTheme="majorHAnsi"/>
          <w:i/>
          <w:iCs/>
          <w:noProof/>
          <w:szCs w:val="22"/>
        </w:rPr>
        <w:t>7</w:t>
      </w:r>
      <w:r w:rsidRPr="003338D7">
        <w:rPr>
          <w:rFonts w:asciiTheme="majorHAnsi" w:hAnsiTheme="majorHAnsi"/>
          <w:noProof/>
          <w:szCs w:val="22"/>
        </w:rPr>
        <w:t>(1), 15506.</w:t>
      </w:r>
    </w:p>
    <w:p w14:paraId="5543624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Ernst, O., &amp; Siri-Prieto, G. (2009). Impact of perennial pasture and tillage systems on carbon input and soil quality indicators. </w:t>
      </w:r>
      <w:r w:rsidRPr="003338D7">
        <w:rPr>
          <w:rFonts w:asciiTheme="majorHAnsi" w:hAnsiTheme="majorHAnsi"/>
          <w:i/>
          <w:iCs/>
          <w:noProof/>
          <w:szCs w:val="22"/>
        </w:rPr>
        <w:t>Soil and Tillage Research</w:t>
      </w:r>
      <w:r w:rsidRPr="003338D7">
        <w:rPr>
          <w:rFonts w:asciiTheme="majorHAnsi" w:hAnsiTheme="majorHAnsi"/>
          <w:noProof/>
          <w:szCs w:val="22"/>
        </w:rPr>
        <w:t xml:space="preserve">, </w:t>
      </w:r>
      <w:r w:rsidRPr="003338D7">
        <w:rPr>
          <w:rFonts w:asciiTheme="majorHAnsi" w:hAnsiTheme="majorHAnsi"/>
          <w:i/>
          <w:iCs/>
          <w:noProof/>
          <w:szCs w:val="22"/>
        </w:rPr>
        <w:t>105</w:t>
      </w:r>
      <w:r w:rsidRPr="003338D7">
        <w:rPr>
          <w:rFonts w:asciiTheme="majorHAnsi" w:hAnsiTheme="majorHAnsi"/>
          <w:noProof/>
          <w:szCs w:val="22"/>
        </w:rPr>
        <w:t xml:space="preserve">(2), 260–268. </w:t>
      </w:r>
      <w:hyperlink r:id="rId370" w:history="1">
        <w:r w:rsidRPr="003338D7">
          <w:rPr>
            <w:rStyle w:val="Hyperlink"/>
            <w:rFonts w:asciiTheme="majorHAnsi" w:hAnsiTheme="majorHAnsi"/>
            <w:noProof/>
            <w:szCs w:val="22"/>
          </w:rPr>
          <w:t>http://doi.org/10.1016/j.still.2009.08.001</w:t>
        </w:r>
      </w:hyperlink>
    </w:p>
    <w:p w14:paraId="151DE1C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Eskew, E. A., Price, S. J., &amp; Dorcas, M. E. (2012). Effects of river-flow regulation on anuran occupancy and abundance in riparian zones.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26</w:t>
      </w:r>
      <w:r w:rsidRPr="003338D7">
        <w:rPr>
          <w:rFonts w:asciiTheme="majorHAnsi" w:hAnsiTheme="majorHAnsi"/>
          <w:noProof/>
          <w:szCs w:val="22"/>
        </w:rPr>
        <w:t xml:space="preserve">(3), 504–512. </w:t>
      </w:r>
      <w:hyperlink r:id="rId371" w:history="1">
        <w:r w:rsidRPr="003338D7">
          <w:rPr>
            <w:rStyle w:val="Hyperlink"/>
            <w:rFonts w:asciiTheme="majorHAnsi" w:hAnsiTheme="majorHAnsi"/>
            <w:noProof/>
            <w:szCs w:val="22"/>
          </w:rPr>
          <w:t>http://doi.org/10.1111/j.1523-1739.2012.01842.x</w:t>
        </w:r>
      </w:hyperlink>
    </w:p>
    <w:p w14:paraId="366AB08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Espinosa, F. J., &amp; Vibrans, H. (2009). The need for a national weed management strategy. In T. van Devender, F. J. Espinosa-García, B. L. Harper-Lore, &amp; T. Hubbard (Eds.), </w:t>
      </w:r>
      <w:r w:rsidRPr="003338D7">
        <w:rPr>
          <w:rFonts w:asciiTheme="majorHAnsi" w:hAnsiTheme="majorHAnsi"/>
          <w:i/>
          <w:iCs/>
          <w:noProof/>
          <w:szCs w:val="22"/>
        </w:rPr>
        <w:t>Invasive Plants on the Move: Controlling them in North America</w:t>
      </w:r>
      <w:r w:rsidRPr="003338D7">
        <w:rPr>
          <w:rFonts w:asciiTheme="majorHAnsi" w:hAnsiTheme="majorHAnsi"/>
          <w:noProof/>
          <w:szCs w:val="22"/>
        </w:rPr>
        <w:t xml:space="preserve"> (pp. 23–32). Tucson, USA: Arizona-Sonora Desert Museum.</w:t>
      </w:r>
    </w:p>
    <w:p w14:paraId="36024DA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Estay, S. A. (2016). Invasive insects in the mediterranean forests of Chile. In T. D. Paine &amp; F. Lieutier (Eds.), </w:t>
      </w:r>
      <w:r w:rsidRPr="003338D7">
        <w:rPr>
          <w:rFonts w:asciiTheme="majorHAnsi" w:hAnsiTheme="majorHAnsi"/>
          <w:i/>
          <w:iCs/>
          <w:noProof/>
          <w:szCs w:val="22"/>
        </w:rPr>
        <w:t>Insects and Diseases of Mediterranean Forest Systems</w:t>
      </w:r>
      <w:r w:rsidRPr="003338D7">
        <w:rPr>
          <w:rFonts w:asciiTheme="majorHAnsi" w:hAnsiTheme="majorHAnsi"/>
          <w:noProof/>
          <w:szCs w:val="22"/>
        </w:rPr>
        <w:t xml:space="preserve"> (pp. 379–396). New York, USA: Springer. </w:t>
      </w:r>
      <w:hyperlink r:id="rId372" w:history="1">
        <w:r w:rsidRPr="003338D7">
          <w:rPr>
            <w:rStyle w:val="Hyperlink"/>
            <w:rFonts w:asciiTheme="majorHAnsi" w:hAnsiTheme="majorHAnsi"/>
            <w:noProof/>
            <w:szCs w:val="22"/>
          </w:rPr>
          <w:t>http://doi.org/10.1007/978-3-319-24744-1_13</w:t>
        </w:r>
      </w:hyperlink>
    </w:p>
    <w:p w14:paraId="116AFFF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Estevez, R. A., Squeo, F. A., Arancio, G., &amp; Erazo, M. B. (2010). Production of charcoal from native shrubs in the Atacama Region, Chile. </w:t>
      </w:r>
      <w:r w:rsidRPr="003338D7">
        <w:rPr>
          <w:rFonts w:asciiTheme="majorHAnsi" w:hAnsiTheme="majorHAnsi"/>
          <w:i/>
          <w:iCs/>
          <w:noProof/>
          <w:szCs w:val="22"/>
          <w:lang w:val="es-ES"/>
        </w:rPr>
        <w:t>Gayana Botánica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67</w:t>
      </w:r>
      <w:r w:rsidRPr="003338D7">
        <w:rPr>
          <w:rFonts w:asciiTheme="majorHAnsi" w:hAnsiTheme="majorHAnsi"/>
          <w:noProof/>
          <w:szCs w:val="22"/>
          <w:lang w:val="es-ES"/>
        </w:rPr>
        <w:t>(2), 213–222.</w:t>
      </w:r>
    </w:p>
    <w:p w14:paraId="50EAE5A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Eva, H. D., Belward, A. S., De Miranda, E. E., Di Bella, C. M., Gond, V., Huber, O., Jones, S., Sgrenzaroli, M., &amp; Fritz, S. (2004). A land cover map of South America. </w:t>
      </w:r>
      <w:r w:rsidRPr="003338D7">
        <w:rPr>
          <w:rFonts w:asciiTheme="majorHAnsi" w:hAnsiTheme="majorHAnsi"/>
          <w:i/>
          <w:iCs/>
          <w:noProof/>
          <w:szCs w:val="22"/>
          <w:lang w:val="es-ES"/>
        </w:rPr>
        <w:t>Global Change 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w:t>
      </w:r>
      <w:r w:rsidRPr="003338D7">
        <w:rPr>
          <w:rFonts w:asciiTheme="majorHAnsi" w:hAnsiTheme="majorHAnsi"/>
          <w:noProof/>
          <w:szCs w:val="22"/>
          <w:lang w:val="es-ES"/>
        </w:rPr>
        <w:t xml:space="preserve">(5), 731–744. </w:t>
      </w:r>
      <w:hyperlink r:id="rId373" w:history="1">
        <w:r w:rsidRPr="003338D7">
          <w:rPr>
            <w:rStyle w:val="Hyperlink"/>
            <w:rFonts w:asciiTheme="majorHAnsi" w:hAnsiTheme="majorHAnsi"/>
            <w:noProof/>
            <w:szCs w:val="22"/>
            <w:lang w:val="es-ES"/>
          </w:rPr>
          <w:t>https://doi.org/10.1111/j.1529-8817.2003.00774.x</w:t>
        </w:r>
      </w:hyperlink>
    </w:p>
    <w:p w14:paraId="5E78E44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Evans, P., &amp; Brown, C. D. (2017). The boreal-temperate forest ecotone response to climate change. </w:t>
      </w:r>
      <w:r w:rsidRPr="003338D7">
        <w:rPr>
          <w:rFonts w:asciiTheme="majorHAnsi" w:hAnsiTheme="majorHAnsi"/>
          <w:i/>
          <w:iCs/>
          <w:noProof/>
          <w:szCs w:val="22"/>
        </w:rPr>
        <w:t>Environmental Reviews</w:t>
      </w:r>
      <w:r w:rsidRPr="003338D7">
        <w:rPr>
          <w:rFonts w:asciiTheme="majorHAnsi" w:hAnsiTheme="majorHAnsi"/>
          <w:noProof/>
          <w:szCs w:val="22"/>
        </w:rPr>
        <w:t xml:space="preserve">, </w:t>
      </w:r>
      <w:r w:rsidRPr="003338D7">
        <w:rPr>
          <w:rFonts w:asciiTheme="majorHAnsi" w:hAnsiTheme="majorHAnsi"/>
          <w:i/>
          <w:iCs/>
          <w:noProof/>
          <w:szCs w:val="22"/>
        </w:rPr>
        <w:t>25</w:t>
      </w:r>
      <w:r w:rsidRPr="003338D7">
        <w:rPr>
          <w:rFonts w:asciiTheme="majorHAnsi" w:hAnsiTheme="majorHAnsi"/>
          <w:noProof/>
          <w:szCs w:val="22"/>
        </w:rPr>
        <w:t xml:space="preserve">(4), 423–431. </w:t>
      </w:r>
      <w:hyperlink r:id="rId374" w:history="1">
        <w:r w:rsidRPr="003338D7">
          <w:rPr>
            <w:rStyle w:val="Hyperlink"/>
            <w:rFonts w:asciiTheme="majorHAnsi" w:hAnsiTheme="majorHAnsi"/>
            <w:noProof/>
            <w:szCs w:val="22"/>
          </w:rPr>
          <w:t>http://doi.org/10.1139/er-2017-0009</w:t>
        </w:r>
      </w:hyperlink>
    </w:p>
    <w:p w14:paraId="5ED9480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Ewing, H. A., Tuininga, A. R., Groffman, P. M., Weathers, K. C., Fahey, T. J., Fisk, M. C., Bohlen, P. J., &amp; Suarez, E. (2015). Earthworms reduce biotic 15-nitrogen retention in northern hardwood forests. </w:t>
      </w:r>
      <w:r w:rsidRPr="003338D7">
        <w:rPr>
          <w:rFonts w:asciiTheme="majorHAnsi" w:hAnsiTheme="majorHAnsi"/>
          <w:i/>
          <w:iCs/>
          <w:noProof/>
          <w:szCs w:val="22"/>
          <w:lang w:val="es-ES"/>
        </w:rPr>
        <w:t>Ecosystems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18</w:t>
      </w:r>
      <w:r w:rsidRPr="003338D7">
        <w:rPr>
          <w:rFonts w:asciiTheme="majorHAnsi" w:hAnsiTheme="majorHAnsi"/>
          <w:noProof/>
          <w:szCs w:val="22"/>
          <w:lang w:val="es-ES"/>
        </w:rPr>
        <w:t xml:space="preserve">(2), 328–342. </w:t>
      </w:r>
      <w:hyperlink r:id="rId375" w:history="1">
        <w:r w:rsidRPr="003338D7">
          <w:rPr>
            <w:rStyle w:val="Hyperlink"/>
            <w:rFonts w:asciiTheme="majorHAnsi" w:hAnsiTheme="majorHAnsi"/>
            <w:noProof/>
            <w:szCs w:val="22"/>
            <w:lang w:val="es-ES"/>
          </w:rPr>
          <w:t>https://doi.org/10.1007/s10021-014-9831-z</w:t>
        </w:r>
      </w:hyperlink>
    </w:p>
    <w:p w14:paraId="50AC6FF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fr-CA"/>
        </w:rPr>
      </w:pPr>
      <w:r w:rsidRPr="003338D7">
        <w:rPr>
          <w:rFonts w:asciiTheme="majorHAnsi" w:hAnsiTheme="majorHAnsi"/>
          <w:noProof/>
          <w:szCs w:val="22"/>
        </w:rPr>
        <w:t xml:space="preserve">Faeth, S. H., Marussich, W. A., Shochat, E., &amp; Warren, P. S. (2005). </w:t>
      </w:r>
      <w:r w:rsidRPr="003338D7">
        <w:rPr>
          <w:rFonts w:asciiTheme="majorHAnsi" w:hAnsiTheme="majorHAnsi"/>
          <w:noProof/>
          <w:szCs w:val="22"/>
          <w:lang w:val="fr-CA"/>
        </w:rPr>
        <w:t xml:space="preserve">Trophic dynamics in urban communities. </w:t>
      </w:r>
      <w:r w:rsidRPr="003338D7">
        <w:rPr>
          <w:rFonts w:asciiTheme="majorHAnsi" w:hAnsiTheme="majorHAnsi"/>
          <w:i/>
          <w:iCs/>
          <w:noProof/>
          <w:szCs w:val="22"/>
          <w:lang w:val="fr-CA"/>
        </w:rPr>
        <w:t>BioScience</w:t>
      </w:r>
      <w:r w:rsidRPr="003338D7">
        <w:rPr>
          <w:rFonts w:asciiTheme="majorHAnsi" w:hAnsiTheme="majorHAnsi"/>
          <w:noProof/>
          <w:szCs w:val="22"/>
          <w:lang w:val="fr-CA"/>
        </w:rPr>
        <w:t xml:space="preserve">, </w:t>
      </w:r>
      <w:r w:rsidRPr="003338D7">
        <w:rPr>
          <w:rFonts w:asciiTheme="majorHAnsi" w:hAnsiTheme="majorHAnsi"/>
          <w:i/>
          <w:iCs/>
          <w:noProof/>
          <w:szCs w:val="22"/>
          <w:lang w:val="fr-CA"/>
        </w:rPr>
        <w:t>55</w:t>
      </w:r>
      <w:r w:rsidRPr="003338D7">
        <w:rPr>
          <w:rFonts w:asciiTheme="majorHAnsi" w:hAnsiTheme="majorHAnsi"/>
          <w:noProof/>
          <w:szCs w:val="22"/>
          <w:lang w:val="fr-CA"/>
        </w:rPr>
        <w:t xml:space="preserve">(5), 399–407. </w:t>
      </w:r>
      <w:hyperlink r:id="rId376" w:history="1">
        <w:r w:rsidRPr="003338D7">
          <w:rPr>
            <w:rStyle w:val="Hyperlink"/>
            <w:rFonts w:asciiTheme="majorHAnsi" w:hAnsiTheme="majorHAnsi"/>
            <w:noProof/>
            <w:szCs w:val="22"/>
            <w:lang w:val="fr-CA"/>
          </w:rPr>
          <w:t>http://doi.org/10.1641/0006-3568(2005)055%5B0399:TDIUC%5D2.0.CO;2</w:t>
        </w:r>
      </w:hyperlink>
    </w:p>
    <w:p w14:paraId="0250E8A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Faggi, A., &amp; Perepelizin, P. V. (2006). Riqueza de aves a lo largo de un gradiente de urbanización en la ciudad de Buenos Aires. </w:t>
      </w:r>
      <w:r w:rsidRPr="003338D7">
        <w:rPr>
          <w:rFonts w:asciiTheme="majorHAnsi" w:hAnsiTheme="majorHAnsi"/>
          <w:i/>
          <w:iCs/>
          <w:noProof/>
          <w:szCs w:val="22"/>
        </w:rPr>
        <w:t>Revista Del Museo Argentino de Ciencias Naturales</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(2), 289–297.</w:t>
      </w:r>
    </w:p>
    <w:p w14:paraId="74FAC4F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Fahrig, L. (2003). Effects of habitat fragmentation on biodiversity. </w:t>
      </w:r>
      <w:r w:rsidRPr="003338D7">
        <w:rPr>
          <w:rFonts w:asciiTheme="majorHAnsi" w:hAnsiTheme="majorHAnsi"/>
          <w:i/>
          <w:iCs/>
          <w:noProof/>
          <w:szCs w:val="22"/>
        </w:rPr>
        <w:t>Annual Review of Ecology, Evolution, and Systematics</w:t>
      </w:r>
      <w:r w:rsidRPr="003338D7">
        <w:rPr>
          <w:rFonts w:asciiTheme="majorHAnsi" w:hAnsiTheme="majorHAnsi"/>
          <w:noProof/>
          <w:szCs w:val="22"/>
        </w:rPr>
        <w:t xml:space="preserve">, </w:t>
      </w:r>
      <w:r w:rsidRPr="003338D7">
        <w:rPr>
          <w:rFonts w:asciiTheme="majorHAnsi" w:hAnsiTheme="majorHAnsi"/>
          <w:i/>
          <w:iCs/>
          <w:noProof/>
          <w:szCs w:val="22"/>
        </w:rPr>
        <w:t>34</w:t>
      </w:r>
      <w:r w:rsidRPr="003338D7">
        <w:rPr>
          <w:rFonts w:asciiTheme="majorHAnsi" w:hAnsiTheme="majorHAnsi"/>
          <w:noProof/>
          <w:szCs w:val="22"/>
        </w:rPr>
        <w:t xml:space="preserve">(1), 487–515. </w:t>
      </w:r>
      <w:hyperlink r:id="rId377" w:history="1">
        <w:r w:rsidRPr="003338D7">
          <w:rPr>
            <w:rStyle w:val="Hyperlink"/>
            <w:rFonts w:asciiTheme="majorHAnsi" w:hAnsiTheme="majorHAnsi"/>
            <w:noProof/>
            <w:szCs w:val="22"/>
          </w:rPr>
          <w:t>http://doi.org/10.1146/annurev.ecolsys.34.011802.132419</w:t>
        </w:r>
      </w:hyperlink>
    </w:p>
    <w:p w14:paraId="5362C6D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Fahrig, L., Pedlar, J. H., Pope, S. E., Taylor, P. D., &amp; Wegner, J. F. (1995). </w:t>
      </w:r>
      <w:r w:rsidRPr="003338D7">
        <w:rPr>
          <w:rFonts w:asciiTheme="majorHAnsi" w:hAnsiTheme="majorHAnsi"/>
          <w:noProof/>
          <w:szCs w:val="22"/>
        </w:rPr>
        <w:t xml:space="preserve">Effect of road traffic on amphibian density.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73</w:t>
      </w:r>
      <w:r w:rsidRPr="003338D7">
        <w:rPr>
          <w:rFonts w:asciiTheme="majorHAnsi" w:hAnsiTheme="majorHAnsi"/>
          <w:noProof/>
          <w:szCs w:val="22"/>
        </w:rPr>
        <w:t xml:space="preserve">(3), 177–182. </w:t>
      </w:r>
      <w:hyperlink r:id="rId378" w:history="1">
        <w:r w:rsidRPr="003338D7">
          <w:rPr>
            <w:rStyle w:val="Hyperlink"/>
            <w:rFonts w:asciiTheme="majorHAnsi" w:hAnsiTheme="majorHAnsi"/>
            <w:noProof/>
            <w:szCs w:val="22"/>
          </w:rPr>
          <w:t>http://doi.org/10.1016/0006-3207(94)00102-V</w:t>
        </w:r>
      </w:hyperlink>
    </w:p>
    <w:p w14:paraId="0F7417B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Faith, D. P. (1992). Conservation evaluation and phylogenetic diversity.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61</w:t>
      </w:r>
      <w:r w:rsidRPr="003338D7">
        <w:rPr>
          <w:rFonts w:asciiTheme="majorHAnsi" w:hAnsiTheme="majorHAnsi"/>
          <w:noProof/>
          <w:szCs w:val="22"/>
        </w:rPr>
        <w:t xml:space="preserve">(1), 1–10. </w:t>
      </w:r>
      <w:hyperlink r:id="rId379" w:history="1">
        <w:r w:rsidRPr="003338D7">
          <w:rPr>
            <w:rStyle w:val="Hyperlink"/>
            <w:rFonts w:asciiTheme="majorHAnsi" w:hAnsiTheme="majorHAnsi"/>
            <w:noProof/>
            <w:szCs w:val="22"/>
          </w:rPr>
          <w:t>http://doi.org/10.1016/0006-3207(92)91201-3</w:t>
        </w:r>
      </w:hyperlink>
    </w:p>
    <w:p w14:paraId="73BF15A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Fajardo, A., &amp; McIntire, E. J. B. (2012). Reversal of multicentury tree growth improvements and loss of synchrony at mountain tree lines point to changes in key drivers. </w:t>
      </w:r>
      <w:r w:rsidRPr="003338D7">
        <w:rPr>
          <w:rFonts w:asciiTheme="majorHAnsi" w:hAnsiTheme="majorHAnsi"/>
          <w:i/>
          <w:iCs/>
          <w:noProof/>
          <w:szCs w:val="22"/>
        </w:rPr>
        <w:t>Journal of Ecology</w:t>
      </w:r>
      <w:r w:rsidRPr="003338D7">
        <w:rPr>
          <w:rFonts w:asciiTheme="majorHAnsi" w:hAnsiTheme="majorHAnsi"/>
          <w:noProof/>
          <w:szCs w:val="22"/>
        </w:rPr>
        <w:t xml:space="preserve">, </w:t>
      </w:r>
      <w:r w:rsidRPr="003338D7">
        <w:rPr>
          <w:rFonts w:asciiTheme="majorHAnsi" w:hAnsiTheme="majorHAnsi"/>
          <w:i/>
          <w:iCs/>
          <w:noProof/>
          <w:szCs w:val="22"/>
        </w:rPr>
        <w:t>100</w:t>
      </w:r>
      <w:r w:rsidRPr="003338D7">
        <w:rPr>
          <w:rFonts w:asciiTheme="majorHAnsi" w:hAnsiTheme="majorHAnsi"/>
          <w:noProof/>
          <w:szCs w:val="22"/>
        </w:rPr>
        <w:t xml:space="preserve">(3), 782–794. </w:t>
      </w:r>
      <w:hyperlink r:id="rId380" w:history="1">
        <w:r w:rsidRPr="003338D7">
          <w:rPr>
            <w:rStyle w:val="Hyperlink"/>
            <w:rFonts w:asciiTheme="majorHAnsi" w:hAnsiTheme="majorHAnsi"/>
            <w:noProof/>
            <w:szCs w:val="22"/>
          </w:rPr>
          <w:t>http://doi.org/10.1111/j.1365-2745.2012.01955.x</w:t>
        </w:r>
      </w:hyperlink>
    </w:p>
    <w:p w14:paraId="04AFAF9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Falvey, M., &amp; Garreaud, R. D. (2009). Regional cooling in a warming world: recent temperature trends in the southeast Pacific and along the west coast of subtropical South America (1979-2006). </w:t>
      </w:r>
      <w:r w:rsidRPr="003338D7">
        <w:rPr>
          <w:rFonts w:asciiTheme="majorHAnsi" w:hAnsiTheme="majorHAnsi"/>
          <w:i/>
          <w:iCs/>
          <w:noProof/>
          <w:szCs w:val="22"/>
        </w:rPr>
        <w:t>Journal of Geophysical Research: Atmospheres</w:t>
      </w:r>
      <w:r w:rsidRPr="003338D7">
        <w:rPr>
          <w:rFonts w:asciiTheme="majorHAnsi" w:hAnsiTheme="majorHAnsi"/>
          <w:noProof/>
          <w:szCs w:val="22"/>
        </w:rPr>
        <w:t xml:space="preserve">, </w:t>
      </w:r>
      <w:r w:rsidRPr="003338D7">
        <w:rPr>
          <w:rFonts w:asciiTheme="majorHAnsi" w:hAnsiTheme="majorHAnsi"/>
          <w:i/>
          <w:iCs/>
          <w:noProof/>
          <w:szCs w:val="22"/>
        </w:rPr>
        <w:t>114</w:t>
      </w:r>
      <w:r w:rsidRPr="003338D7">
        <w:rPr>
          <w:rFonts w:asciiTheme="majorHAnsi" w:hAnsiTheme="majorHAnsi"/>
          <w:noProof/>
          <w:szCs w:val="22"/>
        </w:rPr>
        <w:t xml:space="preserve">(D4). </w:t>
      </w:r>
      <w:hyperlink r:id="rId381" w:history="1">
        <w:r w:rsidRPr="003338D7">
          <w:rPr>
            <w:rStyle w:val="Hyperlink"/>
            <w:rFonts w:asciiTheme="majorHAnsi" w:hAnsiTheme="majorHAnsi"/>
            <w:noProof/>
            <w:szCs w:val="22"/>
          </w:rPr>
          <w:t>http://doi.org/10.1029/2008JD010519</w:t>
        </w:r>
      </w:hyperlink>
    </w:p>
    <w:p w14:paraId="62F1208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FAO. (2007). </w:t>
      </w:r>
      <w:r w:rsidRPr="003338D7">
        <w:rPr>
          <w:rFonts w:asciiTheme="majorHAnsi" w:hAnsiTheme="majorHAnsi"/>
          <w:i/>
          <w:iCs/>
          <w:noProof/>
          <w:szCs w:val="22"/>
        </w:rPr>
        <w:t>The State of Food and Agriculture 2007</w:t>
      </w:r>
      <w:r w:rsidRPr="003338D7">
        <w:rPr>
          <w:rFonts w:asciiTheme="majorHAnsi" w:hAnsiTheme="majorHAnsi"/>
          <w:noProof/>
          <w:szCs w:val="22"/>
        </w:rPr>
        <w:t xml:space="preserve">. Rome, Italy. Retrieved from </w:t>
      </w:r>
      <w:hyperlink r:id="rId382" w:history="1">
        <w:r w:rsidRPr="003338D7">
          <w:rPr>
            <w:rStyle w:val="Hyperlink"/>
            <w:rFonts w:asciiTheme="majorHAnsi" w:hAnsiTheme="majorHAnsi"/>
            <w:noProof/>
            <w:szCs w:val="22"/>
          </w:rPr>
          <w:t>http://www.fao.org/docrep/010/a1200e/a1200e00.htm</w:t>
        </w:r>
      </w:hyperlink>
    </w:p>
    <w:p w14:paraId="5779DCF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FAO. (2011). </w:t>
      </w:r>
      <w:r w:rsidRPr="003338D7">
        <w:rPr>
          <w:rFonts w:asciiTheme="majorHAnsi" w:hAnsiTheme="majorHAnsi"/>
          <w:i/>
          <w:iCs/>
          <w:noProof/>
          <w:szCs w:val="22"/>
        </w:rPr>
        <w:t>The State of Forest Resources- a Regional Analysis. In State of the World’s Forests</w:t>
      </w:r>
      <w:r w:rsidRPr="003338D7">
        <w:rPr>
          <w:rFonts w:asciiTheme="majorHAnsi" w:hAnsiTheme="majorHAnsi"/>
          <w:noProof/>
          <w:szCs w:val="22"/>
        </w:rPr>
        <w:t xml:space="preserve">. </w:t>
      </w:r>
      <w:r w:rsidRPr="003338D7">
        <w:rPr>
          <w:rFonts w:asciiTheme="majorHAnsi" w:hAnsiTheme="majorHAnsi"/>
          <w:i/>
          <w:iCs/>
          <w:noProof/>
          <w:szCs w:val="22"/>
        </w:rPr>
        <w:t>Food and Agriculture Organization of the United Nations.</w:t>
      </w:r>
      <w:r w:rsidRPr="003338D7">
        <w:rPr>
          <w:rFonts w:asciiTheme="majorHAnsi" w:hAnsiTheme="majorHAnsi"/>
          <w:noProof/>
          <w:szCs w:val="22"/>
        </w:rPr>
        <w:t xml:space="preserve"> Rome, Italy. Retrieved from </w:t>
      </w:r>
      <w:hyperlink r:id="rId383" w:history="1">
        <w:r w:rsidRPr="003338D7">
          <w:rPr>
            <w:rStyle w:val="Hyperlink"/>
            <w:rFonts w:asciiTheme="majorHAnsi" w:hAnsiTheme="majorHAnsi"/>
            <w:noProof/>
            <w:szCs w:val="22"/>
          </w:rPr>
          <w:t>http://www.fao.org/docrep/013/i2000e/i2000e00.htm</w:t>
        </w:r>
      </w:hyperlink>
    </w:p>
    <w:p w14:paraId="791EEE9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FAO. (2012). The State of World Fisheries and Aquaculture 2012. </w:t>
      </w:r>
      <w:r w:rsidRPr="003338D7">
        <w:rPr>
          <w:rFonts w:asciiTheme="majorHAnsi" w:hAnsiTheme="majorHAnsi"/>
          <w:i/>
          <w:iCs/>
          <w:noProof/>
          <w:szCs w:val="22"/>
        </w:rPr>
        <w:t>Aquaculture Newsletter</w:t>
      </w:r>
      <w:r w:rsidRPr="003338D7">
        <w:rPr>
          <w:rFonts w:asciiTheme="majorHAnsi" w:hAnsiTheme="majorHAnsi"/>
          <w:noProof/>
          <w:szCs w:val="22"/>
        </w:rPr>
        <w:t xml:space="preserve">, 209. Retrieved from </w:t>
      </w:r>
      <w:hyperlink r:id="rId384" w:history="1">
        <w:r w:rsidRPr="003338D7">
          <w:rPr>
            <w:rStyle w:val="Hyperlink"/>
            <w:rFonts w:asciiTheme="majorHAnsi" w:hAnsiTheme="majorHAnsi"/>
            <w:noProof/>
            <w:szCs w:val="22"/>
          </w:rPr>
          <w:t>http://www.fao.org/3/a-i2727e.pdf</w:t>
        </w:r>
      </w:hyperlink>
    </w:p>
    <w:p w14:paraId="32B3B7D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FAO. (2016). </w:t>
      </w:r>
      <w:r w:rsidRPr="003338D7">
        <w:rPr>
          <w:rFonts w:asciiTheme="majorHAnsi" w:hAnsiTheme="majorHAnsi"/>
          <w:i/>
          <w:iCs/>
          <w:noProof/>
          <w:szCs w:val="22"/>
        </w:rPr>
        <w:t>The State of World Fisheries and Aquaculture 2016: Contributing to Food Security and Nutrition for All</w:t>
      </w:r>
      <w:r w:rsidRPr="003338D7">
        <w:rPr>
          <w:rFonts w:asciiTheme="majorHAnsi" w:hAnsiTheme="majorHAnsi"/>
          <w:noProof/>
          <w:szCs w:val="22"/>
        </w:rPr>
        <w:t xml:space="preserve">. </w:t>
      </w:r>
      <w:r w:rsidRPr="003338D7">
        <w:rPr>
          <w:rFonts w:asciiTheme="majorHAnsi" w:hAnsiTheme="majorHAnsi"/>
          <w:i/>
          <w:iCs/>
          <w:noProof/>
          <w:szCs w:val="22"/>
        </w:rPr>
        <w:t>Food and Agriculture Organization of the United Nations</w:t>
      </w:r>
      <w:r w:rsidRPr="003338D7">
        <w:rPr>
          <w:rFonts w:asciiTheme="majorHAnsi" w:hAnsiTheme="majorHAnsi"/>
          <w:noProof/>
          <w:szCs w:val="22"/>
        </w:rPr>
        <w:t xml:space="preserve">. Rome, Italy. Retrieved from </w:t>
      </w:r>
      <w:hyperlink r:id="rId385" w:history="1">
        <w:r w:rsidRPr="003338D7">
          <w:rPr>
            <w:rStyle w:val="Hyperlink"/>
            <w:rFonts w:asciiTheme="majorHAnsi" w:hAnsiTheme="majorHAnsi"/>
            <w:noProof/>
            <w:szCs w:val="22"/>
          </w:rPr>
          <w:t>http://www.fao.org/3/a-i5555e.pdf</w:t>
        </w:r>
      </w:hyperlink>
    </w:p>
    <w:p w14:paraId="339FF07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Fargione, J., Tilman, D., Dybzinski, R., Lambers, J. H. R., Clark, C., Harpole, W. S., Knops, J. M. H., Reich, P. B., &amp; Loreau, M. (2007). From selection to complementarity: shifts in the causes of biodiversity-productivity relationships in a long-term biodiversity experiment. </w:t>
      </w:r>
      <w:r w:rsidRPr="003338D7">
        <w:rPr>
          <w:rFonts w:asciiTheme="majorHAnsi" w:hAnsiTheme="majorHAnsi"/>
          <w:i/>
          <w:iCs/>
          <w:noProof/>
          <w:szCs w:val="22"/>
          <w:lang w:val="es-ES"/>
        </w:rPr>
        <w:t>Proceedings of the Royal Society Biological Sciences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274</w:t>
      </w:r>
      <w:r w:rsidRPr="003338D7">
        <w:rPr>
          <w:rFonts w:asciiTheme="majorHAnsi" w:hAnsiTheme="majorHAnsi"/>
          <w:noProof/>
          <w:szCs w:val="22"/>
          <w:lang w:val="es-ES"/>
        </w:rPr>
        <w:t xml:space="preserve">(1611), 871–876. </w:t>
      </w:r>
      <w:hyperlink r:id="rId386" w:history="1">
        <w:r w:rsidRPr="003338D7">
          <w:rPr>
            <w:rStyle w:val="Hyperlink"/>
            <w:rFonts w:asciiTheme="majorHAnsi" w:hAnsiTheme="majorHAnsi"/>
            <w:noProof/>
            <w:szCs w:val="22"/>
            <w:lang w:val="es-ES"/>
          </w:rPr>
          <w:t>https://doi.org/10.1098/rspb.2006.0351</w:t>
        </w:r>
      </w:hyperlink>
    </w:p>
    <w:p w14:paraId="19D9FF9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Farley, K. A., Bremer, L. L., Harden, C. P., &amp; Hartsig, J. (2013). Changes in carbon storage under alternative land uses in biodiverse Andean grasslands: implications for payment for ecosystem services. </w:t>
      </w:r>
      <w:r w:rsidRPr="003338D7">
        <w:rPr>
          <w:rFonts w:asciiTheme="majorHAnsi" w:hAnsiTheme="majorHAnsi"/>
          <w:i/>
          <w:iCs/>
          <w:noProof/>
          <w:szCs w:val="22"/>
        </w:rPr>
        <w:t>Conservation Letters</w:t>
      </w:r>
      <w:r w:rsidRPr="003338D7">
        <w:rPr>
          <w:rFonts w:asciiTheme="majorHAnsi" w:hAnsiTheme="majorHAnsi"/>
          <w:noProof/>
          <w:szCs w:val="22"/>
        </w:rPr>
        <w:t xml:space="preserve">, </w:t>
      </w:r>
      <w:r w:rsidRPr="003338D7">
        <w:rPr>
          <w:rFonts w:asciiTheme="majorHAnsi" w:hAnsiTheme="majorHAnsi"/>
          <w:i/>
          <w:iCs/>
          <w:noProof/>
          <w:szCs w:val="22"/>
        </w:rPr>
        <w:t>6</w:t>
      </w:r>
      <w:r w:rsidRPr="003338D7">
        <w:rPr>
          <w:rFonts w:asciiTheme="majorHAnsi" w:hAnsiTheme="majorHAnsi"/>
          <w:noProof/>
          <w:szCs w:val="22"/>
        </w:rPr>
        <w:t xml:space="preserve">(1), 21–27. </w:t>
      </w:r>
      <w:hyperlink r:id="rId387" w:history="1">
        <w:r w:rsidRPr="003338D7">
          <w:rPr>
            <w:rStyle w:val="Hyperlink"/>
            <w:rFonts w:asciiTheme="majorHAnsi" w:hAnsiTheme="majorHAnsi"/>
            <w:noProof/>
            <w:szCs w:val="22"/>
          </w:rPr>
          <w:t>http://doi.org/10.1111/j.1755-263X.2012.00267.x</w:t>
        </w:r>
      </w:hyperlink>
    </w:p>
    <w:p w14:paraId="5B30352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Farley, K. A., Jobbágy, E. G., &amp; Jackson, R. B. (2005). Effects of afforestation on water yield: a global synthesis with implications for policy. </w:t>
      </w:r>
      <w:r w:rsidRPr="003338D7">
        <w:rPr>
          <w:rFonts w:asciiTheme="majorHAnsi" w:hAnsiTheme="majorHAnsi"/>
          <w:i/>
          <w:iCs/>
          <w:noProof/>
          <w:szCs w:val="22"/>
        </w:rPr>
        <w:t>Global Change Biology</w:t>
      </w:r>
      <w:r w:rsidRPr="003338D7">
        <w:rPr>
          <w:rFonts w:asciiTheme="majorHAnsi" w:hAnsiTheme="majorHAnsi"/>
          <w:noProof/>
          <w:szCs w:val="22"/>
        </w:rPr>
        <w:t xml:space="preserve">, </w:t>
      </w:r>
      <w:r w:rsidRPr="003338D7">
        <w:rPr>
          <w:rFonts w:asciiTheme="majorHAnsi" w:hAnsiTheme="majorHAnsi"/>
          <w:i/>
          <w:iCs/>
          <w:noProof/>
          <w:szCs w:val="22"/>
        </w:rPr>
        <w:t>11</w:t>
      </w:r>
      <w:r w:rsidRPr="003338D7">
        <w:rPr>
          <w:rFonts w:asciiTheme="majorHAnsi" w:hAnsiTheme="majorHAnsi"/>
          <w:noProof/>
          <w:szCs w:val="22"/>
        </w:rPr>
        <w:t xml:space="preserve">(10), 1565–1576. </w:t>
      </w:r>
      <w:hyperlink r:id="rId388" w:history="1">
        <w:r w:rsidRPr="003338D7">
          <w:rPr>
            <w:rStyle w:val="Hyperlink"/>
            <w:rFonts w:asciiTheme="majorHAnsi" w:hAnsiTheme="majorHAnsi"/>
            <w:noProof/>
            <w:szCs w:val="22"/>
          </w:rPr>
          <w:t>http://doi.org/10.1111/j.1365-2486.2005.01011.x</w:t>
        </w:r>
      </w:hyperlink>
    </w:p>
    <w:p w14:paraId="6374E4F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Farley, K. A., Kelly, E. F., &amp; Hofstede, R. G. M. (2004). Soil organic carbon and water retention after conversion of grasslands to pine plantations in the Ecuadorian Andes. </w:t>
      </w:r>
      <w:r w:rsidRPr="003338D7">
        <w:rPr>
          <w:rFonts w:asciiTheme="majorHAnsi" w:hAnsiTheme="majorHAnsi"/>
          <w:i/>
          <w:iCs/>
          <w:noProof/>
          <w:szCs w:val="22"/>
        </w:rPr>
        <w:t>Ecosystems</w:t>
      </w:r>
      <w:r w:rsidRPr="003338D7">
        <w:rPr>
          <w:rFonts w:asciiTheme="majorHAnsi" w:hAnsiTheme="majorHAnsi"/>
          <w:noProof/>
          <w:szCs w:val="22"/>
        </w:rPr>
        <w:t xml:space="preserve">, </w:t>
      </w:r>
      <w:r w:rsidRPr="003338D7">
        <w:rPr>
          <w:rFonts w:asciiTheme="majorHAnsi" w:hAnsiTheme="majorHAnsi"/>
          <w:i/>
          <w:iCs/>
          <w:noProof/>
          <w:szCs w:val="22"/>
        </w:rPr>
        <w:t>7</w:t>
      </w:r>
      <w:r w:rsidRPr="003338D7">
        <w:rPr>
          <w:rFonts w:asciiTheme="majorHAnsi" w:hAnsiTheme="majorHAnsi"/>
          <w:noProof/>
          <w:szCs w:val="22"/>
        </w:rPr>
        <w:t xml:space="preserve">(7), 729–739. </w:t>
      </w:r>
      <w:hyperlink r:id="rId389" w:history="1">
        <w:r w:rsidRPr="003338D7">
          <w:rPr>
            <w:rStyle w:val="Hyperlink"/>
            <w:rFonts w:asciiTheme="majorHAnsi" w:hAnsiTheme="majorHAnsi"/>
            <w:noProof/>
            <w:szCs w:val="22"/>
          </w:rPr>
          <w:t>http://doi.org/10.1007/s10021-004-0047-5</w:t>
        </w:r>
      </w:hyperlink>
    </w:p>
    <w:p w14:paraId="168023C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Federal Provincial and Territorial Governments of Canada. (2010). </w:t>
      </w:r>
      <w:r w:rsidRPr="003338D7">
        <w:rPr>
          <w:rFonts w:asciiTheme="majorHAnsi" w:hAnsiTheme="majorHAnsi"/>
          <w:i/>
          <w:iCs/>
          <w:noProof/>
          <w:szCs w:val="22"/>
        </w:rPr>
        <w:t>Canadian Biodiversity: Ecosystem Status and Trends 2010</w:t>
      </w:r>
      <w:r w:rsidRPr="003338D7">
        <w:rPr>
          <w:rFonts w:asciiTheme="majorHAnsi" w:hAnsiTheme="majorHAnsi"/>
          <w:noProof/>
          <w:szCs w:val="22"/>
        </w:rPr>
        <w:t xml:space="preserve">. Ottawa, Canada: Canadian Councils of Resource Ministers. Retrieved from </w:t>
      </w:r>
      <w:hyperlink r:id="rId390" w:history="1">
        <w:r w:rsidRPr="003338D7">
          <w:rPr>
            <w:rStyle w:val="Hyperlink"/>
            <w:rFonts w:asciiTheme="majorHAnsi" w:hAnsiTheme="majorHAnsi"/>
            <w:noProof/>
            <w:szCs w:val="22"/>
          </w:rPr>
          <w:t>http://www.biodivcanada.ca/A519F000-8427-4F8C-9521-8A95AE287753/EN_CanadianBiodiversity_FULL.pdf</w:t>
        </w:r>
      </w:hyperlink>
    </w:p>
    <w:p w14:paraId="4CEA746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Federal Register. (2016). </w:t>
      </w:r>
      <w:r w:rsidRPr="003338D7">
        <w:rPr>
          <w:rFonts w:asciiTheme="majorHAnsi" w:hAnsiTheme="majorHAnsi"/>
          <w:i/>
          <w:iCs/>
          <w:noProof/>
          <w:szCs w:val="22"/>
        </w:rPr>
        <w:t>Indian Entities Recognized and Eligible to Receive Services From the United States Bureau of Indian Affairs</w:t>
      </w:r>
      <w:r w:rsidRPr="003338D7">
        <w:rPr>
          <w:rFonts w:asciiTheme="majorHAnsi" w:hAnsiTheme="majorHAnsi"/>
          <w:noProof/>
          <w:szCs w:val="22"/>
        </w:rPr>
        <w:t xml:space="preserve">. Bureau of Indian Affairs. Retrieved from </w:t>
      </w:r>
      <w:hyperlink r:id="rId391" w:history="1">
        <w:r w:rsidRPr="003338D7">
          <w:rPr>
            <w:rStyle w:val="Hyperlink"/>
            <w:rFonts w:asciiTheme="majorHAnsi" w:hAnsiTheme="majorHAnsi"/>
            <w:noProof/>
            <w:szCs w:val="22"/>
          </w:rPr>
          <w:t>https://www.gpo.gov/fdsys/pkg/FR-2016-01-29/pdf/2016-01769.pdf</w:t>
        </w:r>
      </w:hyperlink>
    </w:p>
    <w:p w14:paraId="5980295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Feeley, K. J., Silman, M. R., Bush, M. B., Farfan, W., Cabrera, K. G., Malhi, Y., Meir, P., Revilla, N. S., Quisiyupanqui, M. N. R., &amp; Saatchi, S. (2011). Upslope migration of Andean trees. </w:t>
      </w:r>
      <w:r w:rsidRPr="003338D7">
        <w:rPr>
          <w:rFonts w:asciiTheme="majorHAnsi" w:hAnsiTheme="majorHAnsi"/>
          <w:i/>
          <w:iCs/>
          <w:noProof/>
          <w:szCs w:val="22"/>
          <w:lang w:val="es-ES"/>
        </w:rPr>
        <w:t>Journal of Biogeography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38</w:t>
      </w:r>
      <w:r w:rsidRPr="003338D7">
        <w:rPr>
          <w:rFonts w:asciiTheme="majorHAnsi" w:hAnsiTheme="majorHAnsi"/>
          <w:noProof/>
          <w:szCs w:val="22"/>
          <w:lang w:val="es-ES"/>
        </w:rPr>
        <w:t xml:space="preserve">(4), 783–791. </w:t>
      </w:r>
      <w:hyperlink r:id="rId392" w:history="1">
        <w:r w:rsidRPr="003338D7">
          <w:rPr>
            <w:rStyle w:val="Hyperlink"/>
            <w:rFonts w:asciiTheme="majorHAnsi" w:hAnsiTheme="majorHAnsi"/>
            <w:noProof/>
            <w:szCs w:val="22"/>
            <w:lang w:val="es-ES"/>
          </w:rPr>
          <w:t>https://doi.org/10.1111/j.1365-2699.2010.02444.x</w:t>
        </w:r>
      </w:hyperlink>
    </w:p>
    <w:p w14:paraId="24C003D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fr-CA"/>
        </w:rPr>
      </w:pPr>
      <w:r w:rsidRPr="003338D7">
        <w:rPr>
          <w:rFonts w:asciiTheme="majorHAnsi" w:hAnsiTheme="majorHAnsi"/>
          <w:noProof/>
          <w:szCs w:val="22"/>
          <w:lang w:val="es-ES"/>
        </w:rPr>
        <w:t xml:space="preserve">Fehlenberg, V., Baumann, M., Gasparri, N. I., Piquer-Rodriguez, M., Gavier-Pizarro, G., &amp; Kuemmerle, T. (2017). </w:t>
      </w:r>
      <w:r w:rsidRPr="003338D7">
        <w:rPr>
          <w:rFonts w:asciiTheme="majorHAnsi" w:hAnsiTheme="majorHAnsi"/>
          <w:noProof/>
          <w:szCs w:val="22"/>
        </w:rPr>
        <w:t xml:space="preserve">The role of soybean production as an underlying driver of deforestation in the South American Chaco. </w:t>
      </w:r>
      <w:r w:rsidRPr="003338D7">
        <w:rPr>
          <w:rFonts w:asciiTheme="majorHAnsi" w:hAnsiTheme="majorHAnsi"/>
          <w:i/>
          <w:iCs/>
          <w:noProof/>
          <w:szCs w:val="22"/>
          <w:lang w:val="fr-CA"/>
        </w:rPr>
        <w:t>Global Environmental Change</w:t>
      </w:r>
      <w:r w:rsidRPr="003338D7">
        <w:rPr>
          <w:rFonts w:asciiTheme="majorHAnsi" w:hAnsiTheme="majorHAnsi"/>
          <w:noProof/>
          <w:szCs w:val="22"/>
          <w:lang w:val="fr-CA"/>
        </w:rPr>
        <w:t xml:space="preserve">, </w:t>
      </w:r>
      <w:r w:rsidRPr="003338D7">
        <w:rPr>
          <w:rFonts w:asciiTheme="majorHAnsi" w:hAnsiTheme="majorHAnsi"/>
          <w:i/>
          <w:iCs/>
          <w:noProof/>
          <w:szCs w:val="22"/>
          <w:lang w:val="fr-CA"/>
        </w:rPr>
        <w:t>45</w:t>
      </w:r>
      <w:r w:rsidRPr="003338D7">
        <w:rPr>
          <w:rFonts w:asciiTheme="majorHAnsi" w:hAnsiTheme="majorHAnsi"/>
          <w:noProof/>
          <w:szCs w:val="22"/>
          <w:lang w:val="fr-CA"/>
        </w:rPr>
        <w:t xml:space="preserve">(April), 24–34. </w:t>
      </w:r>
      <w:hyperlink r:id="rId393" w:history="1">
        <w:r w:rsidRPr="003338D7">
          <w:rPr>
            <w:rStyle w:val="Hyperlink"/>
            <w:rFonts w:asciiTheme="majorHAnsi" w:hAnsiTheme="majorHAnsi"/>
            <w:noProof/>
            <w:szCs w:val="22"/>
            <w:lang w:val="fr-CA"/>
          </w:rPr>
          <w:t>http://doi.org/10.1016/j.gloenvcha.2017.05.001</w:t>
        </w:r>
      </w:hyperlink>
    </w:p>
    <w:p w14:paraId="755F4EC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Fernandez, A. B., Rasuk, M. C., Visscher, P. T., Contreras, M., Novoa, F., Poire, D. G., Patterson, M. M., Ventosa, A., &amp; Farias, M. E. (2016). Microbial diversity in sediment ecosystems (evaporites domes, microbial mats, and crusts) of hypersaline Laguna Tebenquiche, Salar de Atacama, Chile. </w:t>
      </w:r>
      <w:r w:rsidRPr="003338D7">
        <w:rPr>
          <w:rFonts w:asciiTheme="majorHAnsi" w:hAnsiTheme="majorHAnsi"/>
          <w:i/>
          <w:iCs/>
          <w:noProof/>
          <w:szCs w:val="22"/>
          <w:lang w:val="es-ES"/>
        </w:rPr>
        <w:t>Frontiers in Microbiology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w:t>
      </w:r>
      <w:r w:rsidRPr="003338D7">
        <w:rPr>
          <w:rFonts w:asciiTheme="majorHAnsi" w:hAnsiTheme="majorHAnsi"/>
          <w:noProof/>
          <w:szCs w:val="22"/>
          <w:lang w:val="es-ES"/>
        </w:rPr>
        <w:t xml:space="preserve">, 1284. </w:t>
      </w:r>
      <w:hyperlink r:id="rId394" w:history="1">
        <w:r w:rsidRPr="003338D7">
          <w:rPr>
            <w:rStyle w:val="Hyperlink"/>
            <w:rFonts w:asciiTheme="majorHAnsi" w:hAnsiTheme="majorHAnsi"/>
            <w:noProof/>
            <w:szCs w:val="22"/>
            <w:lang w:val="es-ES"/>
          </w:rPr>
          <w:t>https://doi.org/10.3389/fmicb.2016.01284</w:t>
        </w:r>
      </w:hyperlink>
    </w:p>
    <w:p w14:paraId="645D162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Ferrusquía-Villafranca, I., González-Guzmán, L. I., &amp; Cartron, J. E. (2005). Northern Mexico’s landscape, part I: the physical setting and constraints on modeling biotic evolution. In J. E. Cartron, G. Ceballos, &amp; R. S. Felger (Eds.), </w:t>
      </w:r>
      <w:r w:rsidRPr="003338D7">
        <w:rPr>
          <w:rFonts w:asciiTheme="majorHAnsi" w:hAnsiTheme="majorHAnsi"/>
          <w:i/>
          <w:iCs/>
          <w:noProof/>
          <w:szCs w:val="22"/>
        </w:rPr>
        <w:t>Biodiversity, Ecosystems, and Conservation in Northern Mexico</w:t>
      </w:r>
      <w:r w:rsidRPr="003338D7">
        <w:rPr>
          <w:rFonts w:asciiTheme="majorHAnsi" w:hAnsiTheme="majorHAnsi"/>
          <w:noProof/>
          <w:szCs w:val="22"/>
        </w:rPr>
        <w:t xml:space="preserve"> (pp. 11–38). New York, USA: Oxford University Press.</w:t>
      </w:r>
    </w:p>
    <w:p w14:paraId="6228DB6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Fields, J. P., Belnap, J., Breshears, D. D., Neff, J. ., Okin, G. S., Whicker, J. J., Painter, T. H., Ravi, S., Reheis, M. C., &amp; Reynolds, R. L. (2009). The ecology of dust. </w:t>
      </w:r>
      <w:r w:rsidRPr="003338D7">
        <w:rPr>
          <w:rFonts w:asciiTheme="majorHAnsi" w:hAnsiTheme="majorHAnsi"/>
          <w:i/>
          <w:iCs/>
          <w:noProof/>
          <w:szCs w:val="22"/>
          <w:lang w:val="es-ES"/>
        </w:rPr>
        <w:t>Frontiers in Ecology and the Environment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w:t>
      </w:r>
      <w:r w:rsidRPr="003338D7">
        <w:rPr>
          <w:rFonts w:asciiTheme="majorHAnsi" w:hAnsiTheme="majorHAnsi"/>
          <w:noProof/>
          <w:szCs w:val="22"/>
          <w:lang w:val="es-ES"/>
        </w:rPr>
        <w:t xml:space="preserve">(8), 423–430. </w:t>
      </w:r>
      <w:hyperlink r:id="rId395" w:history="1">
        <w:r w:rsidRPr="003338D7">
          <w:rPr>
            <w:rStyle w:val="Hyperlink"/>
            <w:rFonts w:asciiTheme="majorHAnsi" w:hAnsiTheme="majorHAnsi"/>
            <w:noProof/>
            <w:szCs w:val="22"/>
            <w:lang w:val="es-ES"/>
          </w:rPr>
          <w:t>https://doi.org/10.1890/090050</w:t>
        </w:r>
      </w:hyperlink>
    </w:p>
    <w:p w14:paraId="5476899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pt-BR"/>
        </w:rPr>
        <w:t xml:space="preserve">Figueroa, J. A., Teillier, S., &amp; Castro, S. A. (2011). </w:t>
      </w:r>
      <w:r w:rsidRPr="003338D7">
        <w:rPr>
          <w:rFonts w:asciiTheme="majorHAnsi" w:hAnsiTheme="majorHAnsi"/>
          <w:noProof/>
          <w:szCs w:val="22"/>
        </w:rPr>
        <w:t xml:space="preserve">Diversity patterns and composition of native and exotic floras in central Chile. </w:t>
      </w:r>
      <w:r w:rsidRPr="003338D7">
        <w:rPr>
          <w:rFonts w:asciiTheme="majorHAnsi" w:hAnsiTheme="majorHAnsi"/>
          <w:i/>
          <w:iCs/>
          <w:noProof/>
          <w:szCs w:val="22"/>
          <w:lang w:val="es-ES"/>
        </w:rPr>
        <w:t>Acta Oecologica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37</w:t>
      </w:r>
      <w:r w:rsidRPr="003338D7">
        <w:rPr>
          <w:rFonts w:asciiTheme="majorHAnsi" w:hAnsiTheme="majorHAnsi"/>
          <w:noProof/>
          <w:szCs w:val="22"/>
          <w:lang w:val="es-ES"/>
        </w:rPr>
        <w:t xml:space="preserve">(2), 103–109. </w:t>
      </w:r>
      <w:hyperlink r:id="rId396" w:history="1">
        <w:r w:rsidRPr="003338D7">
          <w:rPr>
            <w:rStyle w:val="Hyperlink"/>
            <w:rFonts w:asciiTheme="majorHAnsi" w:hAnsiTheme="majorHAnsi"/>
            <w:noProof/>
            <w:szCs w:val="22"/>
            <w:lang w:val="es-ES"/>
          </w:rPr>
          <w:t>http://doi.org/10.1016/j.actao.2011.01.002</w:t>
        </w:r>
      </w:hyperlink>
    </w:p>
    <w:p w14:paraId="628A1B8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Fish, M. R., Lombana, A., &amp; Drews., C. (2009). </w:t>
      </w:r>
      <w:r w:rsidRPr="003338D7">
        <w:rPr>
          <w:rFonts w:asciiTheme="majorHAnsi" w:hAnsiTheme="majorHAnsi"/>
          <w:i/>
          <w:iCs/>
          <w:noProof/>
          <w:szCs w:val="22"/>
        </w:rPr>
        <w:t>Regional Climate Projections: Climate Change and Marine Turtles in the Wider Caribbean</w:t>
      </w:r>
      <w:r w:rsidRPr="003338D7">
        <w:rPr>
          <w:rFonts w:asciiTheme="majorHAnsi" w:hAnsiTheme="majorHAnsi"/>
          <w:noProof/>
          <w:szCs w:val="22"/>
        </w:rPr>
        <w:t xml:space="preserve">. San Jose, Costa Rica: WWF report. Retrieved from </w:t>
      </w:r>
      <w:hyperlink r:id="rId397" w:history="1">
        <w:r w:rsidRPr="003338D7">
          <w:rPr>
            <w:rStyle w:val="Hyperlink"/>
            <w:rFonts w:asciiTheme="majorHAnsi" w:hAnsiTheme="majorHAnsi"/>
            <w:noProof/>
            <w:szCs w:val="22"/>
          </w:rPr>
          <w:t>http://awsassets.panda.org/downloads/climate_change_and_marine_turtles_in_the_wider_caribbean_1.pdf</w:t>
        </w:r>
      </w:hyperlink>
    </w:p>
    <w:p w14:paraId="674F25E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Fisheries and Oceans Canada. (2017). Action plan for the Northern and Southern resident Killer Whale (</w:t>
      </w:r>
      <w:r w:rsidRPr="003338D7">
        <w:rPr>
          <w:rFonts w:asciiTheme="majorHAnsi" w:hAnsiTheme="majorHAnsi"/>
          <w:i/>
          <w:iCs/>
          <w:noProof/>
          <w:szCs w:val="22"/>
        </w:rPr>
        <w:t>Orcinus orca</w:t>
      </w:r>
      <w:r w:rsidRPr="003338D7">
        <w:rPr>
          <w:rFonts w:asciiTheme="majorHAnsi" w:hAnsiTheme="majorHAnsi"/>
          <w:noProof/>
          <w:szCs w:val="22"/>
        </w:rPr>
        <w:t>) in Canada. Species at Risk Action Plan Series. Ottawa, Canada: Fisheries and Oceans Canada. Retrieved from</w:t>
      </w:r>
      <w:hyperlink r:id="rId398" w:history="1">
        <w:r w:rsidRPr="003338D7">
          <w:rPr>
            <w:rStyle w:val="Hyperlink"/>
            <w:rFonts w:asciiTheme="majorHAnsi" w:hAnsiTheme="majorHAnsi"/>
            <w:noProof/>
            <w:szCs w:val="22"/>
          </w:rPr>
          <w:t>http://www.registrelep-sararegistry.gc.ca/virtual_sara/files/plans/Ap-ResidentKillerWhale-v00-2017Mar-Eng.pdf</w:t>
        </w:r>
      </w:hyperlink>
    </w:p>
    <w:p w14:paraId="626D94D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Fitzpatrick, S. M., &amp; Keegan, W. F. (2007). Human impacts and adaptations in the Caribbean Islands: an historical ecology approach. </w:t>
      </w:r>
      <w:r w:rsidRPr="003338D7">
        <w:rPr>
          <w:rFonts w:asciiTheme="majorHAnsi" w:hAnsiTheme="majorHAnsi"/>
          <w:i/>
          <w:iCs/>
          <w:noProof/>
          <w:szCs w:val="22"/>
        </w:rPr>
        <w:t>Earth and Environmental Science Transactions of the Royal Society of Edinburgh</w:t>
      </w:r>
      <w:r w:rsidRPr="003338D7">
        <w:rPr>
          <w:rFonts w:asciiTheme="majorHAnsi" w:hAnsiTheme="majorHAnsi"/>
          <w:noProof/>
          <w:szCs w:val="22"/>
        </w:rPr>
        <w:t xml:space="preserve">, </w:t>
      </w:r>
      <w:r w:rsidRPr="003338D7">
        <w:rPr>
          <w:rFonts w:asciiTheme="majorHAnsi" w:hAnsiTheme="majorHAnsi"/>
          <w:i/>
          <w:iCs/>
          <w:noProof/>
          <w:szCs w:val="22"/>
        </w:rPr>
        <w:t>98</w:t>
      </w:r>
      <w:r w:rsidRPr="003338D7">
        <w:rPr>
          <w:rFonts w:asciiTheme="majorHAnsi" w:hAnsiTheme="majorHAnsi"/>
          <w:noProof/>
          <w:szCs w:val="22"/>
        </w:rPr>
        <w:t>(1), 29–45.</w:t>
      </w:r>
    </w:p>
    <w:p w14:paraId="20F3BCF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Fjeldså, J. (2002). </w:t>
      </w:r>
      <w:r w:rsidRPr="003338D7">
        <w:rPr>
          <w:rFonts w:asciiTheme="majorHAnsi" w:hAnsiTheme="majorHAnsi"/>
          <w:i/>
          <w:iCs/>
          <w:noProof/>
          <w:szCs w:val="22"/>
        </w:rPr>
        <w:t>Polylepis</w:t>
      </w:r>
      <w:r w:rsidRPr="003338D7">
        <w:rPr>
          <w:rFonts w:asciiTheme="majorHAnsi" w:hAnsiTheme="majorHAnsi"/>
          <w:noProof/>
          <w:szCs w:val="22"/>
        </w:rPr>
        <w:t xml:space="preserve"> forests - vestiges of a vanishing ecosystem in the Andes. </w:t>
      </w:r>
      <w:r w:rsidRPr="003338D7">
        <w:rPr>
          <w:rFonts w:asciiTheme="majorHAnsi" w:hAnsiTheme="majorHAnsi"/>
          <w:i/>
          <w:iCs/>
          <w:noProof/>
          <w:szCs w:val="22"/>
        </w:rPr>
        <w:t>Ecotropica</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(2), 111–123.</w:t>
      </w:r>
    </w:p>
    <w:p w14:paraId="41A641A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Fjeldså, J., &amp; Rahbek, C. (2006). Diversification of tanagers, a species rich bird group, from lowlands to montane regions of South America. </w:t>
      </w:r>
      <w:r w:rsidRPr="003338D7">
        <w:rPr>
          <w:rFonts w:asciiTheme="majorHAnsi" w:hAnsiTheme="majorHAnsi"/>
          <w:i/>
          <w:iCs/>
          <w:noProof/>
          <w:szCs w:val="22"/>
        </w:rPr>
        <w:t>Integrative and Comparative Biology</w:t>
      </w:r>
      <w:r w:rsidRPr="003338D7">
        <w:rPr>
          <w:rFonts w:asciiTheme="majorHAnsi" w:hAnsiTheme="majorHAnsi"/>
          <w:noProof/>
          <w:szCs w:val="22"/>
        </w:rPr>
        <w:t xml:space="preserve">, </w:t>
      </w:r>
      <w:r w:rsidRPr="003338D7">
        <w:rPr>
          <w:rFonts w:asciiTheme="majorHAnsi" w:hAnsiTheme="majorHAnsi"/>
          <w:i/>
          <w:iCs/>
          <w:noProof/>
          <w:szCs w:val="22"/>
        </w:rPr>
        <w:t>46</w:t>
      </w:r>
      <w:r w:rsidRPr="003338D7">
        <w:rPr>
          <w:rFonts w:asciiTheme="majorHAnsi" w:hAnsiTheme="majorHAnsi"/>
          <w:noProof/>
          <w:szCs w:val="22"/>
        </w:rPr>
        <w:t xml:space="preserve">(1), 72–81. </w:t>
      </w:r>
      <w:hyperlink r:id="rId399" w:history="1">
        <w:r w:rsidRPr="003338D7">
          <w:rPr>
            <w:rStyle w:val="Hyperlink"/>
            <w:rFonts w:asciiTheme="majorHAnsi" w:hAnsiTheme="majorHAnsi"/>
            <w:noProof/>
            <w:szCs w:val="22"/>
          </w:rPr>
          <w:t>http://doi.org/10.1093/icb/icj009</w:t>
        </w:r>
      </w:hyperlink>
    </w:p>
    <w:p w14:paraId="2231744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Flather, C. H., Brady, S. J., &amp; Knowles, M. S. (1999). Wildlife Resource Trends in the United States: A Technical Document Supporting the 2000 RPA Assessment. Gen. Tech. Rep. RMRS-GTR-33. Fort Collins, USA: U.S. Department of Agriculture, Forest Service, Rocky Mountain Research Station.</w:t>
      </w:r>
    </w:p>
    <w:p w14:paraId="5E4725C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Flecker, A. S., McIntyre, P. B., Moore, J. W., Anderson, J. T., Taylor, B. W., &amp; Hall Jr., R. O. (2010). Migratory fishes as material and process subsidies in riverine ecosystems. </w:t>
      </w:r>
      <w:r w:rsidRPr="003338D7">
        <w:rPr>
          <w:rFonts w:asciiTheme="majorHAnsi" w:hAnsiTheme="majorHAnsi"/>
          <w:i/>
          <w:iCs/>
          <w:noProof/>
          <w:szCs w:val="22"/>
        </w:rPr>
        <w:t>American Fisheries Society Symposium</w:t>
      </w:r>
      <w:r w:rsidRPr="003338D7">
        <w:rPr>
          <w:rFonts w:asciiTheme="majorHAnsi" w:hAnsiTheme="majorHAnsi"/>
          <w:noProof/>
          <w:szCs w:val="22"/>
        </w:rPr>
        <w:t xml:space="preserve">, </w:t>
      </w:r>
      <w:r w:rsidRPr="003338D7">
        <w:rPr>
          <w:rFonts w:asciiTheme="majorHAnsi" w:hAnsiTheme="majorHAnsi"/>
          <w:i/>
          <w:iCs/>
          <w:noProof/>
          <w:szCs w:val="22"/>
        </w:rPr>
        <w:t>73</w:t>
      </w:r>
      <w:r w:rsidRPr="003338D7">
        <w:rPr>
          <w:rFonts w:asciiTheme="majorHAnsi" w:hAnsiTheme="majorHAnsi"/>
          <w:noProof/>
          <w:szCs w:val="22"/>
        </w:rPr>
        <w:t xml:space="preserve">(2), 559–592. Retrieved from </w:t>
      </w:r>
      <w:hyperlink r:id="rId400" w:history="1">
        <w:r w:rsidRPr="003338D7">
          <w:rPr>
            <w:rStyle w:val="Hyperlink"/>
            <w:rFonts w:asciiTheme="majorHAnsi" w:hAnsiTheme="majorHAnsi"/>
            <w:noProof/>
            <w:szCs w:val="22"/>
          </w:rPr>
          <w:t>http://www.dartmouth.edu/~btaylor/index/Publications_files/flecker_etal_2010_AFSS_migrator-fishes.pdf</w:t>
        </w:r>
      </w:hyperlink>
    </w:p>
    <w:p w14:paraId="6A82316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Flores-Villela, O., &amp; Gerez, P. (1994). </w:t>
      </w:r>
      <w:r w:rsidRPr="003338D7">
        <w:rPr>
          <w:rFonts w:asciiTheme="majorHAnsi" w:hAnsiTheme="majorHAnsi"/>
          <w:i/>
          <w:iCs/>
          <w:noProof/>
          <w:szCs w:val="22"/>
          <w:lang w:val="es-ES"/>
        </w:rPr>
        <w:t>Biodiversidad y Conservación en México: Vertebrados, Vegetación y Uso del Suelo</w:t>
      </w:r>
      <w:r w:rsidRPr="003338D7">
        <w:rPr>
          <w:rFonts w:asciiTheme="majorHAnsi" w:hAnsiTheme="majorHAnsi"/>
          <w:noProof/>
          <w:szCs w:val="22"/>
          <w:lang w:val="es-ES"/>
        </w:rPr>
        <w:t xml:space="preserve"> (2nd ed.). México D.F., México: Universidad Nacional Autónoma de México.</w:t>
      </w:r>
    </w:p>
    <w:p w14:paraId="1FADB63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Fonseca, C. R., Ganade, G., Baldissera, R., Becker, C. G., Boelter, C. R., Brescovit, A. D., Campos, L. M., Fleck, T., Fonseca, V. S., Hartz, S. M., Joner, F., Käffer, M. I., Leal-Zanchet, A. M., Marcelli, M. P., Mesquita, A. S., Mondin, C. A., Paz, C. P., Petry, M. V., Piovensan, F. N., Putzke, J., Stranz, A., Vergara, M., &amp; Vieira, E. M. (2009). Towards an ecologically-sustainable forestry in the Atlantic Forest. </w:t>
      </w:r>
      <w:r w:rsidRPr="003338D7">
        <w:rPr>
          <w:rFonts w:asciiTheme="majorHAnsi" w:hAnsiTheme="majorHAnsi"/>
          <w:i/>
          <w:iCs/>
          <w:noProof/>
          <w:szCs w:val="22"/>
          <w:lang w:val="es-ES"/>
        </w:rPr>
        <w:t>Biological Conservation</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142</w:t>
      </w:r>
      <w:r w:rsidRPr="003338D7">
        <w:rPr>
          <w:rFonts w:asciiTheme="majorHAnsi" w:hAnsiTheme="majorHAnsi"/>
          <w:noProof/>
          <w:szCs w:val="22"/>
          <w:lang w:val="es-ES"/>
        </w:rPr>
        <w:t xml:space="preserve">(6), 1209–1219. </w:t>
      </w:r>
      <w:hyperlink r:id="rId401" w:history="1">
        <w:r w:rsidRPr="003338D7">
          <w:rPr>
            <w:rStyle w:val="Hyperlink"/>
            <w:rFonts w:asciiTheme="majorHAnsi" w:hAnsiTheme="majorHAnsi"/>
            <w:noProof/>
            <w:szCs w:val="22"/>
            <w:lang w:val="es-ES"/>
          </w:rPr>
          <w:t>https://doi.org/10.1016/j.biocon.2009.02.017</w:t>
        </w:r>
      </w:hyperlink>
    </w:p>
    <w:p w14:paraId="6633997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Forbes, B. C., &amp; Jefferies, R. L. (1999). Revegetation of disturbed arctic sites: constraints and applications.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88</w:t>
      </w:r>
      <w:r w:rsidRPr="003338D7">
        <w:rPr>
          <w:rFonts w:asciiTheme="majorHAnsi" w:hAnsiTheme="majorHAnsi"/>
          <w:noProof/>
          <w:szCs w:val="22"/>
        </w:rPr>
        <w:t xml:space="preserve">(1), 15–24. </w:t>
      </w:r>
      <w:hyperlink r:id="rId402" w:history="1">
        <w:r w:rsidRPr="003338D7">
          <w:rPr>
            <w:rStyle w:val="Hyperlink"/>
            <w:rFonts w:asciiTheme="majorHAnsi" w:hAnsiTheme="majorHAnsi"/>
            <w:noProof/>
            <w:szCs w:val="22"/>
          </w:rPr>
          <w:t>http://doi.org/10.1016/S0006-3207(98)00095-0</w:t>
        </w:r>
      </w:hyperlink>
    </w:p>
    <w:p w14:paraId="649278D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Ford, A., &amp; Nigh, R. (2015). </w:t>
      </w:r>
      <w:r w:rsidRPr="003338D7">
        <w:rPr>
          <w:rFonts w:asciiTheme="majorHAnsi" w:hAnsiTheme="majorHAnsi"/>
          <w:i/>
          <w:iCs/>
          <w:noProof/>
          <w:szCs w:val="22"/>
        </w:rPr>
        <w:t>Maya Forest Garden: Eight Millennia of Sustainable Cultivation of the Tropical Woodlands</w:t>
      </w:r>
      <w:r w:rsidRPr="003338D7">
        <w:rPr>
          <w:rFonts w:asciiTheme="majorHAnsi" w:hAnsiTheme="majorHAnsi"/>
          <w:noProof/>
          <w:szCs w:val="22"/>
        </w:rPr>
        <w:t>. New York, USA: Routledge Taylor &amp; Francis Group.</w:t>
      </w:r>
    </w:p>
    <w:p w14:paraId="623396F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Ford, M. A., Cahoon, D., &amp; Lynch, J. C. (1999). Restoring marsh elevation in a rapidly subsiding salt marsh by thin layer deposition of dredged material. </w:t>
      </w:r>
      <w:r w:rsidRPr="003338D7">
        <w:rPr>
          <w:rFonts w:asciiTheme="majorHAnsi" w:hAnsiTheme="majorHAnsi"/>
          <w:i/>
          <w:iCs/>
          <w:noProof/>
          <w:szCs w:val="22"/>
          <w:lang w:val="es-ES"/>
        </w:rPr>
        <w:t>Ecological Engineering</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12</w:t>
      </w:r>
      <w:r w:rsidRPr="003338D7">
        <w:rPr>
          <w:rFonts w:asciiTheme="majorHAnsi" w:hAnsiTheme="majorHAnsi"/>
          <w:noProof/>
          <w:szCs w:val="22"/>
          <w:lang w:val="es-ES"/>
        </w:rPr>
        <w:t>(3), 189–205.</w:t>
      </w:r>
    </w:p>
    <w:p w14:paraId="7032818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Forero Ulloa, F. E., Cely R., Germán, E., &amp; Palacios Pacheco, L. S. (2015). </w:t>
      </w:r>
      <w:r w:rsidRPr="003338D7">
        <w:rPr>
          <w:rFonts w:asciiTheme="majorHAnsi" w:hAnsiTheme="majorHAnsi"/>
          <w:i/>
          <w:iCs/>
          <w:noProof/>
          <w:szCs w:val="22"/>
          <w:lang w:val="es-ES"/>
        </w:rPr>
        <w:t>Dinámica del Páramo como Espacio para la Captura de Carbono</w:t>
      </w:r>
      <w:r w:rsidRPr="003338D7">
        <w:rPr>
          <w:rFonts w:asciiTheme="majorHAnsi" w:hAnsiTheme="majorHAnsi"/>
          <w:noProof/>
          <w:szCs w:val="22"/>
          <w:lang w:val="es-ES"/>
        </w:rPr>
        <w:t>. Tunja, Colombia: Universidad Pedagógica y Tecnológica de Colombia (UPTC).</w:t>
      </w:r>
    </w:p>
    <w:p w14:paraId="5C9FFA0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Forest, F., Grenyer, R., Rouget, M., Davies, T. J., Cowling, R. M., Faith, D. P., Balmford, A., Manning, J. C., Proches, S., Bank, M. van der, Reeves, G., Hedderson, T. A. J., &amp; Savolainen, V. (2007). Preserving the evolutionary potential of floras in biodiversity hotspots.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445</w:t>
      </w:r>
      <w:r w:rsidRPr="003338D7">
        <w:rPr>
          <w:rFonts w:asciiTheme="majorHAnsi" w:hAnsiTheme="majorHAnsi"/>
          <w:noProof/>
          <w:szCs w:val="22"/>
          <w:lang w:val="es-ES"/>
        </w:rPr>
        <w:t xml:space="preserve">(7129), 757–760. </w:t>
      </w:r>
      <w:hyperlink r:id="rId403" w:history="1">
        <w:r w:rsidRPr="003338D7">
          <w:rPr>
            <w:rStyle w:val="Hyperlink"/>
            <w:rFonts w:asciiTheme="majorHAnsi" w:hAnsiTheme="majorHAnsi"/>
            <w:noProof/>
            <w:szCs w:val="22"/>
            <w:lang w:val="es-ES"/>
          </w:rPr>
          <w:t>https://doi.org/10.1038/nature05587</w:t>
        </w:r>
      </w:hyperlink>
    </w:p>
    <w:p w14:paraId="00488EA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Forister, M. L., &amp; Shapiro, A. M. (2003). Climatic trends and advancing spring flight of butterflies in lowland California. </w:t>
      </w:r>
      <w:r w:rsidRPr="003338D7">
        <w:rPr>
          <w:rFonts w:asciiTheme="majorHAnsi" w:hAnsiTheme="majorHAnsi"/>
          <w:i/>
          <w:iCs/>
          <w:noProof/>
          <w:szCs w:val="22"/>
        </w:rPr>
        <w:t>Global Change Biology</w:t>
      </w:r>
      <w:r w:rsidRPr="003338D7">
        <w:rPr>
          <w:rFonts w:asciiTheme="majorHAnsi" w:hAnsiTheme="majorHAnsi"/>
          <w:noProof/>
          <w:szCs w:val="22"/>
        </w:rPr>
        <w:t xml:space="preserve">, </w:t>
      </w:r>
      <w:r w:rsidRPr="003338D7">
        <w:rPr>
          <w:rFonts w:asciiTheme="majorHAnsi" w:hAnsiTheme="majorHAnsi"/>
          <w:i/>
          <w:iCs/>
          <w:noProof/>
          <w:szCs w:val="22"/>
        </w:rPr>
        <w:t>9</w:t>
      </w:r>
      <w:r w:rsidRPr="003338D7">
        <w:rPr>
          <w:rFonts w:asciiTheme="majorHAnsi" w:hAnsiTheme="majorHAnsi"/>
          <w:noProof/>
          <w:szCs w:val="22"/>
        </w:rPr>
        <w:t xml:space="preserve">(7), 1130–1135. </w:t>
      </w:r>
      <w:hyperlink r:id="rId404" w:history="1">
        <w:r w:rsidRPr="003338D7">
          <w:rPr>
            <w:rStyle w:val="Hyperlink"/>
            <w:rFonts w:asciiTheme="majorHAnsi" w:hAnsiTheme="majorHAnsi"/>
            <w:noProof/>
            <w:szCs w:val="22"/>
          </w:rPr>
          <w:t>http://doi.org/10.1046/j.1365-2486.2003.00643.x</w:t>
        </w:r>
      </w:hyperlink>
    </w:p>
    <w:p w14:paraId="7A96676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Formica, A., Farrer, E. C., Ashton, I. W., &amp; Suding, K. N. (2014). Shrub expansion over the past 62 years in Rocky Mountain alpine tundra: possible causes and consequences. </w:t>
      </w:r>
      <w:r w:rsidRPr="003338D7">
        <w:rPr>
          <w:rFonts w:asciiTheme="majorHAnsi" w:hAnsiTheme="majorHAnsi"/>
          <w:i/>
          <w:iCs/>
          <w:noProof/>
          <w:szCs w:val="22"/>
        </w:rPr>
        <w:t>Arctic, Antarctic, and Alpine Research</w:t>
      </w:r>
      <w:r w:rsidRPr="003338D7">
        <w:rPr>
          <w:rFonts w:asciiTheme="majorHAnsi" w:hAnsiTheme="majorHAnsi"/>
          <w:noProof/>
          <w:szCs w:val="22"/>
        </w:rPr>
        <w:t xml:space="preserve">, </w:t>
      </w:r>
      <w:r w:rsidRPr="003338D7">
        <w:rPr>
          <w:rFonts w:asciiTheme="majorHAnsi" w:hAnsiTheme="majorHAnsi"/>
          <w:i/>
          <w:iCs/>
          <w:noProof/>
          <w:szCs w:val="22"/>
        </w:rPr>
        <w:t>46</w:t>
      </w:r>
      <w:r w:rsidRPr="003338D7">
        <w:rPr>
          <w:rFonts w:asciiTheme="majorHAnsi" w:hAnsiTheme="majorHAnsi"/>
          <w:noProof/>
          <w:szCs w:val="22"/>
        </w:rPr>
        <w:t>(3), 616–631.</w:t>
      </w:r>
    </w:p>
    <w:p w14:paraId="7709AB1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Foster, R. B., &amp; Hubbell, S. P. (1990). The floristic composition of the Barro Colorado Island forest. In A. H. Gentry (Ed.), </w:t>
      </w:r>
      <w:r w:rsidRPr="003338D7">
        <w:rPr>
          <w:rFonts w:asciiTheme="majorHAnsi" w:hAnsiTheme="majorHAnsi"/>
          <w:i/>
          <w:iCs/>
          <w:noProof/>
          <w:szCs w:val="22"/>
        </w:rPr>
        <w:t>Four Neotropical Rainforests</w:t>
      </w:r>
      <w:r w:rsidRPr="003338D7">
        <w:rPr>
          <w:rFonts w:asciiTheme="majorHAnsi" w:hAnsiTheme="majorHAnsi"/>
          <w:noProof/>
          <w:szCs w:val="22"/>
        </w:rPr>
        <w:t xml:space="preserve"> (pp. 85–98). New Haven, USA: Yale University Press.</w:t>
      </w:r>
    </w:p>
    <w:p w14:paraId="48F677E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Frankie, G. W., Mata, A., &amp; Vinson, S. B. (Eds.). </w:t>
      </w:r>
      <w:r w:rsidRPr="003338D7">
        <w:rPr>
          <w:rFonts w:asciiTheme="majorHAnsi" w:hAnsiTheme="majorHAnsi"/>
          <w:noProof/>
          <w:szCs w:val="22"/>
        </w:rPr>
        <w:t xml:space="preserve">(2004). </w:t>
      </w:r>
      <w:r w:rsidRPr="003338D7">
        <w:rPr>
          <w:rFonts w:asciiTheme="majorHAnsi" w:hAnsiTheme="majorHAnsi"/>
          <w:i/>
          <w:iCs/>
          <w:noProof/>
          <w:szCs w:val="22"/>
        </w:rPr>
        <w:t>Biodiversity Conservation in Costa Rica: Learning the Lessons in a Seasonal Dry Forest.</w:t>
      </w:r>
      <w:r w:rsidRPr="003338D7">
        <w:rPr>
          <w:rFonts w:asciiTheme="majorHAnsi" w:hAnsiTheme="majorHAnsi"/>
          <w:noProof/>
          <w:szCs w:val="22"/>
        </w:rPr>
        <w:t xml:space="preserve"> Berkeley, USA: University of California Press.</w:t>
      </w:r>
    </w:p>
    <w:p w14:paraId="32621F2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Frankie, G. W., Thorp, R. W., Coville, R. E., &amp; Ertter, B. (2014). </w:t>
      </w:r>
      <w:r w:rsidRPr="003338D7">
        <w:rPr>
          <w:rFonts w:asciiTheme="majorHAnsi" w:hAnsiTheme="majorHAnsi"/>
          <w:i/>
          <w:iCs/>
          <w:noProof/>
          <w:szCs w:val="22"/>
        </w:rPr>
        <w:t>California Bees and Blooms: A Guide for Gardeners and Naturalists</w:t>
      </w:r>
      <w:r w:rsidRPr="003338D7">
        <w:rPr>
          <w:rFonts w:asciiTheme="majorHAnsi" w:hAnsiTheme="majorHAnsi"/>
          <w:noProof/>
          <w:szCs w:val="22"/>
        </w:rPr>
        <w:t>. Berkeley, USA: Heyday.</w:t>
      </w:r>
    </w:p>
    <w:p w14:paraId="7951CCE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Frankie, G. W., Thorp, R. W., Hernandez, J., Rizzardi, M., Ertter, B., Pawelek, J. C., Witt, S. L., Schindler, M., Coville, R., &amp; Wojcik, V. A. (2009). Native bees are a rich natural resource in urban California gardens. </w:t>
      </w:r>
      <w:r w:rsidRPr="003338D7">
        <w:rPr>
          <w:rFonts w:asciiTheme="majorHAnsi" w:hAnsiTheme="majorHAnsi"/>
          <w:i/>
          <w:iCs/>
          <w:noProof/>
          <w:szCs w:val="22"/>
          <w:lang w:val="es-ES"/>
        </w:rPr>
        <w:t>California Agriculture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63</w:t>
      </w:r>
      <w:r w:rsidRPr="003338D7">
        <w:rPr>
          <w:rFonts w:asciiTheme="majorHAnsi" w:hAnsiTheme="majorHAnsi"/>
          <w:noProof/>
          <w:szCs w:val="22"/>
          <w:lang w:val="es-ES"/>
        </w:rPr>
        <w:t xml:space="preserve">(3), 113–120. </w:t>
      </w:r>
      <w:hyperlink r:id="rId405" w:history="1">
        <w:r w:rsidRPr="003338D7">
          <w:rPr>
            <w:rStyle w:val="Hyperlink"/>
            <w:rFonts w:asciiTheme="majorHAnsi" w:hAnsiTheme="majorHAnsi"/>
            <w:noProof/>
            <w:szCs w:val="22"/>
            <w:lang w:val="es-ES"/>
          </w:rPr>
          <w:t>https://doi.org/10.3733/ca.v063n03p113</w:t>
        </w:r>
      </w:hyperlink>
    </w:p>
    <w:p w14:paraId="522F449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Franzluebbers, A. J. (2005). Soil organic carbon sequestration and agricultural greenhouse gas emissions in the southeastern USA. </w:t>
      </w:r>
      <w:r w:rsidRPr="003338D7">
        <w:rPr>
          <w:rFonts w:asciiTheme="majorHAnsi" w:hAnsiTheme="majorHAnsi"/>
          <w:i/>
          <w:iCs/>
          <w:noProof/>
          <w:szCs w:val="22"/>
        </w:rPr>
        <w:t>Soil and Tillage Research</w:t>
      </w:r>
      <w:r w:rsidRPr="003338D7">
        <w:rPr>
          <w:rFonts w:asciiTheme="majorHAnsi" w:hAnsiTheme="majorHAnsi"/>
          <w:noProof/>
          <w:szCs w:val="22"/>
        </w:rPr>
        <w:t xml:space="preserve">, </w:t>
      </w:r>
      <w:r w:rsidRPr="003338D7">
        <w:rPr>
          <w:rFonts w:asciiTheme="majorHAnsi" w:hAnsiTheme="majorHAnsi"/>
          <w:i/>
          <w:iCs/>
          <w:noProof/>
          <w:szCs w:val="22"/>
        </w:rPr>
        <w:t>83</w:t>
      </w:r>
      <w:r w:rsidRPr="003338D7">
        <w:rPr>
          <w:rFonts w:asciiTheme="majorHAnsi" w:hAnsiTheme="majorHAnsi"/>
          <w:noProof/>
          <w:szCs w:val="22"/>
        </w:rPr>
        <w:t xml:space="preserve">(1), 120–147. </w:t>
      </w:r>
      <w:hyperlink r:id="rId406" w:history="1">
        <w:r w:rsidRPr="003338D7">
          <w:rPr>
            <w:rStyle w:val="Hyperlink"/>
            <w:rFonts w:asciiTheme="majorHAnsi" w:hAnsiTheme="majorHAnsi"/>
            <w:noProof/>
            <w:szCs w:val="22"/>
          </w:rPr>
          <w:t>http://doi.org/10.1016/j.still.2005.02.012</w:t>
        </w:r>
      </w:hyperlink>
    </w:p>
    <w:p w14:paraId="7A671A0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Fraser, J. A., Junqueira, A. B., Kawa, N. C., Moraes, C. P., &amp; Clement, C. R. (2011). Crop diversity on anthropogenic dark earths in central Amazonia. </w:t>
      </w:r>
      <w:r w:rsidRPr="003338D7">
        <w:rPr>
          <w:rFonts w:asciiTheme="majorHAnsi" w:hAnsiTheme="majorHAnsi"/>
          <w:i/>
          <w:iCs/>
          <w:noProof/>
          <w:szCs w:val="22"/>
        </w:rPr>
        <w:t>Human Ecology</w:t>
      </w:r>
      <w:r w:rsidRPr="003338D7">
        <w:rPr>
          <w:rFonts w:asciiTheme="majorHAnsi" w:hAnsiTheme="majorHAnsi"/>
          <w:noProof/>
          <w:szCs w:val="22"/>
        </w:rPr>
        <w:t xml:space="preserve">, </w:t>
      </w:r>
      <w:r w:rsidRPr="003338D7">
        <w:rPr>
          <w:rFonts w:asciiTheme="majorHAnsi" w:hAnsiTheme="majorHAnsi"/>
          <w:i/>
          <w:iCs/>
          <w:noProof/>
          <w:szCs w:val="22"/>
        </w:rPr>
        <w:t>39</w:t>
      </w:r>
      <w:r w:rsidRPr="003338D7">
        <w:rPr>
          <w:rFonts w:asciiTheme="majorHAnsi" w:hAnsiTheme="majorHAnsi"/>
          <w:noProof/>
          <w:szCs w:val="22"/>
        </w:rPr>
        <w:t>(4), 395–406.</w:t>
      </w:r>
    </w:p>
    <w:p w14:paraId="605DD80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Fraser, R. H., Lantz, T. C., Olthof, I., Kokelj, S. V., &amp; Sims, R. A. (2014). Warming-induced shrub expansion and lichen decline in the Western Canadian Arctic. </w:t>
      </w:r>
      <w:r w:rsidRPr="003338D7">
        <w:rPr>
          <w:rFonts w:asciiTheme="majorHAnsi" w:hAnsiTheme="majorHAnsi"/>
          <w:i/>
          <w:iCs/>
          <w:noProof/>
          <w:szCs w:val="22"/>
          <w:lang w:val="es-ES"/>
        </w:rPr>
        <w:t>Ecosystems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17</w:t>
      </w:r>
      <w:r w:rsidRPr="003338D7">
        <w:rPr>
          <w:rFonts w:asciiTheme="majorHAnsi" w:hAnsiTheme="majorHAnsi"/>
          <w:noProof/>
          <w:szCs w:val="22"/>
          <w:lang w:val="es-ES"/>
        </w:rPr>
        <w:t>(7), 1151–1168.</w:t>
      </w:r>
    </w:p>
    <w:p w14:paraId="0B3576F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Freitas, L., Salino, A., Menini Neto, L., Almeida, T. E., Mortara, S. R., Stehmann, J. R., Amorim, A. M., Guimaraes, E. F., Coelho, M. N., Zanin, A., &amp; Forzza, R. C. (2016). A comprehensive checklist of vascular epiphytes of the Atlantic Forest reveals outstanding endemic rates. </w:t>
      </w:r>
      <w:r w:rsidRPr="003338D7">
        <w:rPr>
          <w:rFonts w:asciiTheme="majorHAnsi" w:hAnsiTheme="majorHAnsi"/>
          <w:i/>
          <w:iCs/>
          <w:noProof/>
          <w:szCs w:val="22"/>
          <w:lang w:val="es-ES"/>
        </w:rPr>
        <w:t>PhytoKeys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58</w:t>
      </w:r>
      <w:r w:rsidRPr="003338D7">
        <w:rPr>
          <w:rFonts w:asciiTheme="majorHAnsi" w:hAnsiTheme="majorHAnsi"/>
          <w:noProof/>
          <w:szCs w:val="22"/>
          <w:lang w:val="es-ES"/>
        </w:rPr>
        <w:t xml:space="preserve">, 65–79. </w:t>
      </w:r>
      <w:hyperlink r:id="rId407" w:history="1">
        <w:r w:rsidRPr="003338D7">
          <w:rPr>
            <w:rStyle w:val="Hyperlink"/>
            <w:rFonts w:asciiTheme="majorHAnsi" w:hAnsiTheme="majorHAnsi"/>
            <w:noProof/>
            <w:szCs w:val="22"/>
            <w:lang w:val="es-ES"/>
          </w:rPr>
          <w:t>https://doi.org/10.3897/phytokeys.58.5643</w:t>
        </w:r>
      </w:hyperlink>
    </w:p>
    <w:p w14:paraId="1D217CD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Frelich, L. E. (1995). Old forest in the Lake States today and before European settlement. </w:t>
      </w:r>
      <w:r w:rsidRPr="003338D7">
        <w:rPr>
          <w:rFonts w:asciiTheme="majorHAnsi" w:hAnsiTheme="majorHAnsi"/>
          <w:i/>
          <w:iCs/>
          <w:noProof/>
          <w:szCs w:val="22"/>
        </w:rPr>
        <w:t>Natural Areas Journal</w:t>
      </w:r>
      <w:r w:rsidRPr="003338D7">
        <w:rPr>
          <w:rFonts w:asciiTheme="majorHAnsi" w:hAnsiTheme="majorHAnsi"/>
          <w:noProof/>
          <w:szCs w:val="22"/>
        </w:rPr>
        <w:t xml:space="preserve">, </w:t>
      </w:r>
      <w:r w:rsidRPr="003338D7">
        <w:rPr>
          <w:rFonts w:asciiTheme="majorHAnsi" w:hAnsiTheme="majorHAnsi"/>
          <w:i/>
          <w:iCs/>
          <w:noProof/>
          <w:szCs w:val="22"/>
        </w:rPr>
        <w:t>15</w:t>
      </w:r>
      <w:r w:rsidRPr="003338D7">
        <w:rPr>
          <w:rFonts w:asciiTheme="majorHAnsi" w:hAnsiTheme="majorHAnsi"/>
          <w:noProof/>
          <w:szCs w:val="22"/>
        </w:rPr>
        <w:t>(2), 157–167.</w:t>
      </w:r>
    </w:p>
    <w:p w14:paraId="28BFADF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Frelich, L. E., Hale, C. M., Scheu, S., Holdsworth, A. R., Heneghan, L., Bohlen, P. J., &amp; Reich, P. B. (2006). Earthworm invasion into previously earthworm-free temperate and boreal forests. </w:t>
      </w:r>
      <w:r w:rsidRPr="003338D7">
        <w:rPr>
          <w:rFonts w:asciiTheme="majorHAnsi" w:hAnsiTheme="majorHAnsi"/>
          <w:i/>
          <w:iCs/>
          <w:noProof/>
          <w:szCs w:val="22"/>
        </w:rPr>
        <w:t>Biological Invasions</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 xml:space="preserve">(2066), 1235–1245. </w:t>
      </w:r>
      <w:hyperlink r:id="rId408" w:history="1">
        <w:r w:rsidRPr="003338D7">
          <w:rPr>
            <w:rStyle w:val="Hyperlink"/>
            <w:rFonts w:asciiTheme="majorHAnsi" w:hAnsiTheme="majorHAnsi"/>
            <w:noProof/>
            <w:szCs w:val="22"/>
          </w:rPr>
          <w:t>http://doi.org/10.1007/s10530-006-9019-3</w:t>
        </w:r>
      </w:hyperlink>
    </w:p>
    <w:p w14:paraId="5C81660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Frelich, L. E., &amp; Reich, P. B. (2009). Wilderness conservation in an era of global warming and invasive species: a case study from Minnesota’s Boundary Waters Canoe Area Wilderness. </w:t>
      </w:r>
      <w:r w:rsidRPr="003338D7">
        <w:rPr>
          <w:rFonts w:asciiTheme="majorHAnsi" w:hAnsiTheme="majorHAnsi"/>
          <w:i/>
          <w:iCs/>
          <w:noProof/>
          <w:szCs w:val="22"/>
        </w:rPr>
        <w:t>Natural Areas Journal</w:t>
      </w:r>
      <w:r w:rsidRPr="003338D7">
        <w:rPr>
          <w:rFonts w:asciiTheme="majorHAnsi" w:hAnsiTheme="majorHAnsi"/>
          <w:noProof/>
          <w:szCs w:val="22"/>
        </w:rPr>
        <w:t xml:space="preserve">, </w:t>
      </w:r>
      <w:r w:rsidRPr="003338D7">
        <w:rPr>
          <w:rFonts w:asciiTheme="majorHAnsi" w:hAnsiTheme="majorHAnsi"/>
          <w:i/>
          <w:iCs/>
          <w:noProof/>
          <w:szCs w:val="22"/>
        </w:rPr>
        <w:t>29</w:t>
      </w:r>
      <w:r w:rsidRPr="003338D7">
        <w:rPr>
          <w:rFonts w:asciiTheme="majorHAnsi" w:hAnsiTheme="majorHAnsi"/>
          <w:noProof/>
          <w:szCs w:val="22"/>
        </w:rPr>
        <w:t>(4), 385–393.</w:t>
      </w:r>
    </w:p>
    <w:p w14:paraId="6B33BBB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Frick, W. F., Cheng, T. L., Langwig, K. E., Hoyt, J. R., Janicki, A. F., Parise, K. L., Foster, J. T., &amp; Kilpatrick, A. M. (2017). Pathogen dynamics during invasion and establishment of white-nose syndrome explain mechanisms of host persistence. </w:t>
      </w:r>
      <w:r w:rsidRPr="003338D7">
        <w:rPr>
          <w:rFonts w:asciiTheme="majorHAnsi" w:hAnsiTheme="majorHAnsi"/>
          <w:i/>
          <w:iCs/>
          <w:noProof/>
          <w:szCs w:val="22"/>
          <w:lang w:val="es-ES"/>
        </w:rPr>
        <w:t>Ecology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98</w:t>
      </w:r>
      <w:r w:rsidRPr="003338D7">
        <w:rPr>
          <w:rFonts w:asciiTheme="majorHAnsi" w:hAnsiTheme="majorHAnsi"/>
          <w:noProof/>
          <w:szCs w:val="22"/>
          <w:lang w:val="es-ES"/>
        </w:rPr>
        <w:t xml:space="preserve">(3), 624–631. </w:t>
      </w:r>
      <w:hyperlink r:id="rId409" w:history="1">
        <w:r w:rsidRPr="003338D7">
          <w:rPr>
            <w:rStyle w:val="Hyperlink"/>
            <w:rFonts w:asciiTheme="majorHAnsi" w:hAnsiTheme="majorHAnsi"/>
            <w:noProof/>
            <w:szCs w:val="22"/>
            <w:lang w:val="es-ES"/>
          </w:rPr>
          <w:t>https://doi.org/10.1002/ecy.1706/suppinfo</w:t>
        </w:r>
      </w:hyperlink>
    </w:p>
    <w:p w14:paraId="3AB6070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Fritz, S. A., Bininda-Emonds, O. R. P., &amp; Purvis, A. (2009). Geographical variation in predictors of mammalian extinction risk: big is bad, but only in the tropics. </w:t>
      </w:r>
      <w:r w:rsidRPr="003338D7">
        <w:rPr>
          <w:rFonts w:asciiTheme="majorHAnsi" w:hAnsiTheme="majorHAnsi"/>
          <w:i/>
          <w:iCs/>
          <w:noProof/>
          <w:szCs w:val="22"/>
        </w:rPr>
        <w:t>Ecology Letters</w:t>
      </w:r>
      <w:r w:rsidRPr="003338D7">
        <w:rPr>
          <w:rFonts w:asciiTheme="majorHAnsi" w:hAnsiTheme="majorHAnsi"/>
          <w:noProof/>
          <w:szCs w:val="22"/>
        </w:rPr>
        <w:t xml:space="preserve">, </w:t>
      </w:r>
      <w:r w:rsidRPr="003338D7">
        <w:rPr>
          <w:rFonts w:asciiTheme="majorHAnsi" w:hAnsiTheme="majorHAnsi"/>
          <w:i/>
          <w:iCs/>
          <w:noProof/>
          <w:szCs w:val="22"/>
        </w:rPr>
        <w:t>12</w:t>
      </w:r>
      <w:r w:rsidRPr="003338D7">
        <w:rPr>
          <w:rFonts w:asciiTheme="majorHAnsi" w:hAnsiTheme="majorHAnsi"/>
          <w:noProof/>
          <w:szCs w:val="22"/>
        </w:rPr>
        <w:t>(6), 538–549.</w:t>
      </w:r>
    </w:p>
    <w:p w14:paraId="743912A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Fuentes, N., Saldaña, A., Kühn, I., &amp; Klotz, S. (2015). Climatic and socio-economic factors determine the level of invasion by alien plants in Chile. </w:t>
      </w:r>
      <w:r w:rsidRPr="003338D7">
        <w:rPr>
          <w:rFonts w:asciiTheme="majorHAnsi" w:hAnsiTheme="majorHAnsi"/>
          <w:i/>
          <w:iCs/>
          <w:noProof/>
          <w:szCs w:val="22"/>
        </w:rPr>
        <w:t>Plant Ecology and Diversity</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 xml:space="preserve">(3), 371–377. </w:t>
      </w:r>
      <w:hyperlink r:id="rId410" w:history="1">
        <w:r w:rsidRPr="003338D7">
          <w:rPr>
            <w:rStyle w:val="Hyperlink"/>
            <w:rFonts w:asciiTheme="majorHAnsi" w:hAnsiTheme="majorHAnsi"/>
            <w:noProof/>
            <w:szCs w:val="22"/>
          </w:rPr>
          <w:t>http://doi.org/10.1080/17550874.2014.984003</w:t>
        </w:r>
      </w:hyperlink>
    </w:p>
    <w:p w14:paraId="4C8C77F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Fuller, P., &amp; Neilson, M. (2015). The U.S. Geological Survey’s Nonindigenous Aquatic Species Database: over thirty years of tracking introduced aquatic species in the United States (and counting). </w:t>
      </w:r>
      <w:r w:rsidRPr="003338D7">
        <w:rPr>
          <w:rFonts w:asciiTheme="majorHAnsi" w:hAnsiTheme="majorHAnsi"/>
          <w:i/>
          <w:iCs/>
          <w:noProof/>
          <w:szCs w:val="22"/>
        </w:rPr>
        <w:t>Management of Biological Invasions</w:t>
      </w:r>
      <w:r w:rsidRPr="003338D7">
        <w:rPr>
          <w:rFonts w:asciiTheme="majorHAnsi" w:hAnsiTheme="majorHAnsi"/>
          <w:noProof/>
          <w:szCs w:val="22"/>
        </w:rPr>
        <w:t xml:space="preserve">, </w:t>
      </w:r>
      <w:r w:rsidRPr="003338D7">
        <w:rPr>
          <w:rFonts w:asciiTheme="majorHAnsi" w:hAnsiTheme="majorHAnsi"/>
          <w:i/>
          <w:iCs/>
          <w:noProof/>
          <w:szCs w:val="22"/>
        </w:rPr>
        <w:t>6</w:t>
      </w:r>
      <w:r w:rsidRPr="003338D7">
        <w:rPr>
          <w:rFonts w:asciiTheme="majorHAnsi" w:hAnsiTheme="majorHAnsi"/>
          <w:noProof/>
          <w:szCs w:val="22"/>
        </w:rPr>
        <w:t xml:space="preserve">(2), 159–170. </w:t>
      </w:r>
      <w:hyperlink r:id="rId411" w:history="1">
        <w:r w:rsidRPr="003338D7">
          <w:rPr>
            <w:rStyle w:val="Hyperlink"/>
            <w:rFonts w:asciiTheme="majorHAnsi" w:hAnsiTheme="majorHAnsi"/>
            <w:noProof/>
            <w:szCs w:val="22"/>
          </w:rPr>
          <w:t>http://doi.org/10.3391/mbi.2015.6.2.06</w:t>
        </w:r>
      </w:hyperlink>
    </w:p>
    <w:p w14:paraId="43E311A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Gaines, S. D., &amp; Lubchenco, J. (1982). A unified approach to marine plant-herbivore interactions II. Biogeography. </w:t>
      </w:r>
      <w:r w:rsidRPr="003338D7">
        <w:rPr>
          <w:rFonts w:asciiTheme="majorHAnsi" w:hAnsiTheme="majorHAnsi"/>
          <w:i/>
          <w:iCs/>
          <w:noProof/>
          <w:szCs w:val="22"/>
        </w:rPr>
        <w:t>Annual Review of Ecology and Systematics</w:t>
      </w:r>
      <w:r w:rsidRPr="003338D7">
        <w:rPr>
          <w:rFonts w:asciiTheme="majorHAnsi" w:hAnsiTheme="majorHAnsi"/>
          <w:noProof/>
          <w:szCs w:val="22"/>
        </w:rPr>
        <w:t xml:space="preserve">, </w:t>
      </w:r>
      <w:r w:rsidRPr="003338D7">
        <w:rPr>
          <w:rFonts w:asciiTheme="majorHAnsi" w:hAnsiTheme="majorHAnsi"/>
          <w:i/>
          <w:iCs/>
          <w:noProof/>
          <w:szCs w:val="22"/>
        </w:rPr>
        <w:t>13</w:t>
      </w:r>
      <w:r w:rsidRPr="003338D7">
        <w:rPr>
          <w:rFonts w:asciiTheme="majorHAnsi" w:hAnsiTheme="majorHAnsi"/>
          <w:noProof/>
          <w:szCs w:val="22"/>
        </w:rPr>
        <w:t xml:space="preserve">(1), 111–138. </w:t>
      </w:r>
      <w:hyperlink r:id="rId412" w:history="1">
        <w:r w:rsidRPr="003338D7">
          <w:rPr>
            <w:rStyle w:val="Hyperlink"/>
            <w:rFonts w:asciiTheme="majorHAnsi" w:hAnsiTheme="majorHAnsi"/>
            <w:noProof/>
            <w:szCs w:val="22"/>
          </w:rPr>
          <w:t>http://doi.org/10.1146/annurev.es.13.110182.000551</w:t>
        </w:r>
      </w:hyperlink>
    </w:p>
    <w:p w14:paraId="7929F69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Galinier, J. (1997). Pueblos de la Sierra Madre. México: Centro de Estudios Mexicanos y Centroamericanos, Instituto Nacional Indigenista.</w:t>
      </w:r>
    </w:p>
    <w:p w14:paraId="59E6939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Galloway, J. N., Dentener, F. J., Capone, D. G., Boyer, E. W., Howarth, R. W., Seitzinger, S. P., Asner, G. P., Cleveland, C. C., Green, P. A., Holland, E. A., Karl, D. M., Michaels, A. F., Porter, J. H., Townsend, A. R., &amp; Vörösmarty, C. J. (2004). Nitrogen cycles: past, present, and future. </w:t>
      </w:r>
      <w:r w:rsidRPr="003338D7">
        <w:rPr>
          <w:rFonts w:asciiTheme="majorHAnsi" w:hAnsiTheme="majorHAnsi"/>
          <w:i/>
          <w:iCs/>
          <w:noProof/>
          <w:szCs w:val="22"/>
          <w:lang w:val="es-ES"/>
        </w:rPr>
        <w:t>Biogeochemistry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70</w:t>
      </w:r>
      <w:r w:rsidRPr="003338D7">
        <w:rPr>
          <w:rFonts w:asciiTheme="majorHAnsi" w:hAnsiTheme="majorHAnsi"/>
          <w:noProof/>
          <w:szCs w:val="22"/>
          <w:lang w:val="es-ES"/>
        </w:rPr>
        <w:t xml:space="preserve">(2), 153–226. </w:t>
      </w:r>
      <w:hyperlink r:id="rId413" w:history="1">
        <w:r w:rsidRPr="003338D7">
          <w:rPr>
            <w:rStyle w:val="Hyperlink"/>
            <w:rFonts w:asciiTheme="majorHAnsi" w:hAnsiTheme="majorHAnsi"/>
            <w:noProof/>
            <w:szCs w:val="22"/>
            <w:lang w:val="es-ES"/>
          </w:rPr>
          <w:t>https://doi.org/10.1007/s10533-004-0370-0</w:t>
        </w:r>
      </w:hyperlink>
    </w:p>
    <w:p w14:paraId="7DB7F3D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Galloway, J. N., Townsend, A. R., Erisman, J. W., Bekunda, M., Cai, Z., Freney, J. R., Martinelli, L. A., Seitzinger, S. P., &amp; Sutton, M. A. (2008). Transformation of the nitrogen cycle: recent trends, questions, and potential solutions.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320</w:t>
      </w:r>
      <w:r w:rsidRPr="003338D7">
        <w:rPr>
          <w:rFonts w:asciiTheme="majorHAnsi" w:hAnsiTheme="majorHAnsi"/>
          <w:noProof/>
          <w:szCs w:val="22"/>
          <w:lang w:val="es-ES"/>
        </w:rPr>
        <w:t xml:space="preserve">(5878), 889–892. </w:t>
      </w:r>
      <w:hyperlink r:id="rId414" w:history="1">
        <w:r w:rsidRPr="003338D7">
          <w:rPr>
            <w:rStyle w:val="Hyperlink"/>
            <w:rFonts w:asciiTheme="majorHAnsi" w:hAnsiTheme="majorHAnsi"/>
            <w:noProof/>
            <w:szCs w:val="22"/>
            <w:lang w:val="es-ES"/>
          </w:rPr>
          <w:t>https://doi.org/10.1126/science.1136674</w:t>
        </w:r>
      </w:hyperlink>
    </w:p>
    <w:p w14:paraId="151395D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Galluzzi, G., Eyzaguirre, P., &amp; Negri, V. (2010). Home gardens: Neglected hotspots of agro-biodiversity and cultural diversity.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19</w:t>
      </w:r>
      <w:r w:rsidRPr="003338D7">
        <w:rPr>
          <w:rFonts w:asciiTheme="majorHAnsi" w:hAnsiTheme="majorHAnsi"/>
          <w:noProof/>
          <w:szCs w:val="22"/>
        </w:rPr>
        <w:t xml:space="preserve">(13), 3635–3654. </w:t>
      </w:r>
      <w:hyperlink r:id="rId415" w:history="1">
        <w:r w:rsidRPr="003338D7">
          <w:rPr>
            <w:rStyle w:val="Hyperlink"/>
            <w:rFonts w:asciiTheme="majorHAnsi" w:hAnsiTheme="majorHAnsi"/>
            <w:noProof/>
            <w:szCs w:val="22"/>
          </w:rPr>
          <w:t>http://doi.org/10.1007/s10531-010-9919-5</w:t>
        </w:r>
      </w:hyperlink>
    </w:p>
    <w:p w14:paraId="2B674AA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Galluzzi, G., &amp; López Noriega, I. (2014). Conservation and use of genetic resources of underutilized crops in the Americas—a continental analysis. </w:t>
      </w:r>
      <w:r w:rsidRPr="003338D7">
        <w:rPr>
          <w:rFonts w:asciiTheme="majorHAnsi" w:hAnsiTheme="majorHAnsi"/>
          <w:i/>
          <w:iCs/>
          <w:noProof/>
          <w:szCs w:val="22"/>
        </w:rPr>
        <w:t>Sustainability</w:t>
      </w:r>
      <w:r w:rsidRPr="003338D7">
        <w:rPr>
          <w:rFonts w:asciiTheme="majorHAnsi" w:hAnsiTheme="majorHAnsi"/>
          <w:noProof/>
          <w:szCs w:val="22"/>
        </w:rPr>
        <w:t xml:space="preserve">, </w:t>
      </w:r>
      <w:r w:rsidRPr="003338D7">
        <w:rPr>
          <w:rFonts w:asciiTheme="majorHAnsi" w:hAnsiTheme="majorHAnsi"/>
          <w:i/>
          <w:iCs/>
          <w:noProof/>
          <w:szCs w:val="22"/>
        </w:rPr>
        <w:t>6</w:t>
      </w:r>
      <w:r w:rsidRPr="003338D7">
        <w:rPr>
          <w:rFonts w:asciiTheme="majorHAnsi" w:hAnsiTheme="majorHAnsi"/>
          <w:noProof/>
          <w:szCs w:val="22"/>
        </w:rPr>
        <w:t>(2), 980–1017.</w:t>
      </w:r>
    </w:p>
    <w:p w14:paraId="34A8507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Gamfeldt, L., Snäll, T., Bagchi, R., Jonsson, M., Gustafsson, L., Kjellander, P., Ruiz-Jaen, M. C., Fröberg, M., Stendahl, J., Philipson, C. D., Mikusiński, G., Andersson, E., Westerlund, B., Andrén, H., Moberg, F., Moen, J., &amp; Bengtsson, J. (2013). Higher levels of multiple ecosystem services are found in forests with more tree species. </w:t>
      </w:r>
      <w:r w:rsidRPr="003338D7">
        <w:rPr>
          <w:rFonts w:asciiTheme="majorHAnsi" w:hAnsiTheme="majorHAnsi"/>
          <w:i/>
          <w:iCs/>
          <w:noProof/>
          <w:szCs w:val="22"/>
          <w:lang w:val="es-ES"/>
        </w:rPr>
        <w:t>Nature Communications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w:t>
      </w:r>
      <w:r w:rsidRPr="003338D7">
        <w:rPr>
          <w:rFonts w:asciiTheme="majorHAnsi" w:hAnsiTheme="majorHAnsi"/>
          <w:noProof/>
          <w:szCs w:val="22"/>
          <w:lang w:val="es-ES"/>
        </w:rPr>
        <w:t xml:space="preserve">, 1340. </w:t>
      </w:r>
      <w:hyperlink r:id="rId416" w:history="1">
        <w:r w:rsidRPr="003338D7">
          <w:rPr>
            <w:rStyle w:val="Hyperlink"/>
            <w:rFonts w:asciiTheme="majorHAnsi" w:hAnsiTheme="majorHAnsi"/>
            <w:noProof/>
            <w:szCs w:val="22"/>
            <w:lang w:val="es-ES"/>
          </w:rPr>
          <w:t>https://doi.org/10.1038/ncomms2328</w:t>
        </w:r>
      </w:hyperlink>
    </w:p>
    <w:p w14:paraId="3824F1D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fr-CA"/>
        </w:rPr>
        <w:t xml:space="preserve">García-Guzman, P., Loayza, A. P., Carvajal, D. E., Letelier, L., &amp; Squeo, F. A. (2012). </w:t>
      </w:r>
      <w:r w:rsidRPr="003338D7">
        <w:rPr>
          <w:rFonts w:asciiTheme="majorHAnsi" w:hAnsiTheme="majorHAnsi"/>
          <w:noProof/>
          <w:szCs w:val="22"/>
        </w:rPr>
        <w:t xml:space="preserve">The ecology, distribution and conservation status of </w:t>
      </w:r>
      <w:r w:rsidRPr="003338D7">
        <w:rPr>
          <w:rFonts w:asciiTheme="majorHAnsi" w:hAnsiTheme="majorHAnsi"/>
          <w:i/>
          <w:iCs/>
          <w:noProof/>
          <w:szCs w:val="22"/>
        </w:rPr>
        <w:t>Myrcianthes coquimbensis</w:t>
      </w:r>
      <w:r w:rsidRPr="003338D7">
        <w:rPr>
          <w:rFonts w:asciiTheme="majorHAnsi" w:hAnsiTheme="majorHAnsi"/>
          <w:noProof/>
          <w:szCs w:val="22"/>
        </w:rPr>
        <w:t xml:space="preserve"> : a globally endangered endemic shrub of the Chilean Coastal Desert. </w:t>
      </w:r>
      <w:r w:rsidRPr="003338D7">
        <w:rPr>
          <w:rFonts w:asciiTheme="majorHAnsi" w:hAnsiTheme="majorHAnsi"/>
          <w:i/>
          <w:iCs/>
          <w:noProof/>
          <w:szCs w:val="22"/>
        </w:rPr>
        <w:t>Plant Ecology and Diversity</w:t>
      </w:r>
      <w:r w:rsidRPr="003338D7">
        <w:rPr>
          <w:rFonts w:asciiTheme="majorHAnsi" w:hAnsiTheme="majorHAnsi"/>
          <w:noProof/>
          <w:szCs w:val="22"/>
        </w:rPr>
        <w:t xml:space="preserve">, </w:t>
      </w:r>
      <w:r w:rsidRPr="003338D7">
        <w:rPr>
          <w:rFonts w:asciiTheme="majorHAnsi" w:hAnsiTheme="majorHAnsi"/>
          <w:i/>
          <w:iCs/>
          <w:noProof/>
          <w:szCs w:val="22"/>
        </w:rPr>
        <w:t>5</w:t>
      </w:r>
      <w:r w:rsidRPr="003338D7">
        <w:rPr>
          <w:rFonts w:asciiTheme="majorHAnsi" w:hAnsiTheme="majorHAnsi"/>
          <w:noProof/>
          <w:szCs w:val="22"/>
        </w:rPr>
        <w:t xml:space="preserve">(2), 197–204. </w:t>
      </w:r>
      <w:hyperlink r:id="rId417" w:history="1">
        <w:r w:rsidRPr="003338D7">
          <w:rPr>
            <w:rStyle w:val="Hyperlink"/>
            <w:rFonts w:asciiTheme="majorHAnsi" w:hAnsiTheme="majorHAnsi"/>
            <w:noProof/>
            <w:szCs w:val="22"/>
          </w:rPr>
          <w:t>http://doi.org/10.1080/17550874.2011.583286</w:t>
        </w:r>
      </w:hyperlink>
    </w:p>
    <w:p w14:paraId="7C5E15B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García-Morales, R., Badano, E. I., &amp; Moreno, C. E. (2013). Response of neotropical bat assemblages to human land use.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27</w:t>
      </w:r>
      <w:r w:rsidRPr="003338D7">
        <w:rPr>
          <w:rFonts w:asciiTheme="majorHAnsi" w:hAnsiTheme="majorHAnsi"/>
          <w:noProof/>
          <w:szCs w:val="22"/>
        </w:rPr>
        <w:t xml:space="preserve">(5), 1096–1106. </w:t>
      </w:r>
      <w:hyperlink r:id="rId418" w:history="1">
        <w:r w:rsidRPr="003338D7">
          <w:rPr>
            <w:rStyle w:val="Hyperlink"/>
            <w:rFonts w:asciiTheme="majorHAnsi" w:hAnsiTheme="majorHAnsi"/>
            <w:noProof/>
            <w:szCs w:val="22"/>
          </w:rPr>
          <w:t>http://doi.org/10.1111/cobi.12099</w:t>
        </w:r>
      </w:hyperlink>
    </w:p>
    <w:p w14:paraId="4075486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García-Préchac, F., Ernst, O., Siri-Prieto, G., &amp; Terra, J. A. (2004). Integrating no-till into crop-pasture rotations in Uruguay. </w:t>
      </w:r>
      <w:r w:rsidRPr="003338D7">
        <w:rPr>
          <w:rFonts w:asciiTheme="majorHAnsi" w:hAnsiTheme="majorHAnsi"/>
          <w:i/>
          <w:iCs/>
          <w:noProof/>
          <w:szCs w:val="22"/>
        </w:rPr>
        <w:t>Soil and Tillage Research</w:t>
      </w:r>
      <w:r w:rsidRPr="003338D7">
        <w:rPr>
          <w:rFonts w:asciiTheme="majorHAnsi" w:hAnsiTheme="majorHAnsi"/>
          <w:noProof/>
          <w:szCs w:val="22"/>
        </w:rPr>
        <w:t xml:space="preserve">, </w:t>
      </w:r>
      <w:r w:rsidRPr="003338D7">
        <w:rPr>
          <w:rFonts w:asciiTheme="majorHAnsi" w:hAnsiTheme="majorHAnsi"/>
          <w:i/>
          <w:iCs/>
          <w:noProof/>
          <w:szCs w:val="22"/>
        </w:rPr>
        <w:t>77</w:t>
      </w:r>
      <w:r w:rsidRPr="003338D7">
        <w:rPr>
          <w:rFonts w:asciiTheme="majorHAnsi" w:hAnsiTheme="majorHAnsi"/>
          <w:noProof/>
          <w:szCs w:val="22"/>
        </w:rPr>
        <w:t xml:space="preserve">(1), 1–13. </w:t>
      </w:r>
      <w:hyperlink r:id="rId419" w:history="1">
        <w:r w:rsidRPr="003338D7">
          <w:rPr>
            <w:rStyle w:val="Hyperlink"/>
            <w:rFonts w:asciiTheme="majorHAnsi" w:hAnsiTheme="majorHAnsi"/>
            <w:noProof/>
            <w:szCs w:val="22"/>
          </w:rPr>
          <w:t>http://doi.org/10.1016/j.still.2003.12.002</w:t>
        </w:r>
      </w:hyperlink>
    </w:p>
    <w:p w14:paraId="6E66A52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fr-CA"/>
        </w:rPr>
        <w:t xml:space="preserve">García, R. A., Engler, M. L., Peña, E., Pollnac, F. W., &amp; Pauchard., A. (2015). </w:t>
      </w:r>
      <w:r w:rsidRPr="003338D7">
        <w:rPr>
          <w:rFonts w:asciiTheme="majorHAnsi" w:hAnsiTheme="majorHAnsi"/>
          <w:noProof/>
          <w:szCs w:val="22"/>
        </w:rPr>
        <w:t xml:space="preserve">Fuel characteristics of the invasive shrub </w:t>
      </w:r>
      <w:r w:rsidRPr="003338D7">
        <w:rPr>
          <w:rFonts w:asciiTheme="majorHAnsi" w:hAnsiTheme="majorHAnsi"/>
          <w:i/>
          <w:iCs/>
          <w:noProof/>
          <w:szCs w:val="22"/>
        </w:rPr>
        <w:t>Teline monspessulana</w:t>
      </w:r>
      <w:r w:rsidRPr="003338D7">
        <w:rPr>
          <w:rFonts w:asciiTheme="majorHAnsi" w:hAnsiTheme="majorHAnsi"/>
          <w:noProof/>
          <w:szCs w:val="22"/>
        </w:rPr>
        <w:t xml:space="preserve"> (L.) K. Koch. </w:t>
      </w:r>
      <w:r w:rsidRPr="003338D7">
        <w:rPr>
          <w:rFonts w:asciiTheme="majorHAnsi" w:hAnsiTheme="majorHAnsi"/>
          <w:i/>
          <w:iCs/>
          <w:noProof/>
          <w:szCs w:val="22"/>
        </w:rPr>
        <w:t>International Journal of Wildland Fire</w:t>
      </w:r>
      <w:r w:rsidRPr="003338D7">
        <w:rPr>
          <w:rFonts w:asciiTheme="majorHAnsi" w:hAnsiTheme="majorHAnsi"/>
          <w:noProof/>
          <w:szCs w:val="22"/>
        </w:rPr>
        <w:t xml:space="preserve">, </w:t>
      </w:r>
      <w:r w:rsidRPr="003338D7">
        <w:rPr>
          <w:rFonts w:asciiTheme="majorHAnsi" w:hAnsiTheme="majorHAnsi"/>
          <w:i/>
          <w:iCs/>
          <w:noProof/>
          <w:szCs w:val="22"/>
        </w:rPr>
        <w:t>24</w:t>
      </w:r>
      <w:r w:rsidRPr="003338D7">
        <w:rPr>
          <w:rFonts w:asciiTheme="majorHAnsi" w:hAnsiTheme="majorHAnsi"/>
          <w:noProof/>
          <w:szCs w:val="22"/>
        </w:rPr>
        <w:t>(3), 372–379.</w:t>
      </w:r>
    </w:p>
    <w:p w14:paraId="72DAA2E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Gardner, T. A., Côté, I. M., Gill, J. A., Grant, A., &amp; Watkinson, A. R. (2003). Long-term region-wide declines in Caribbean corals.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301</w:t>
      </w:r>
      <w:r w:rsidRPr="003338D7">
        <w:rPr>
          <w:rFonts w:asciiTheme="majorHAnsi" w:hAnsiTheme="majorHAnsi"/>
          <w:noProof/>
          <w:szCs w:val="22"/>
        </w:rPr>
        <w:t xml:space="preserve">(5635), 958–960. </w:t>
      </w:r>
      <w:hyperlink r:id="rId420" w:history="1">
        <w:r w:rsidRPr="003338D7">
          <w:rPr>
            <w:rStyle w:val="Hyperlink"/>
            <w:rFonts w:asciiTheme="majorHAnsi" w:hAnsiTheme="majorHAnsi"/>
            <w:noProof/>
            <w:szCs w:val="22"/>
          </w:rPr>
          <w:t>http://doi.org/10.1126/science.1086050</w:t>
        </w:r>
      </w:hyperlink>
    </w:p>
    <w:p w14:paraId="48A975A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Garibaldi, L. A., Carvalheiro, L. G., Leonhardt, S. D., Aizen, M. A., Blaauw, B. R., Isaacs, R., Kuhlmann, M., Kleijn, D., Klein, A. M., Kremen, C., Morandin, L., Scheper, J., &amp; Winfree, R. (2014). From research to action: enhancing crop yield through wild pollinators. </w:t>
      </w:r>
      <w:r w:rsidRPr="003338D7">
        <w:rPr>
          <w:rFonts w:asciiTheme="majorHAnsi" w:hAnsiTheme="majorHAnsi"/>
          <w:i/>
          <w:iCs/>
          <w:noProof/>
          <w:szCs w:val="22"/>
          <w:lang w:val="es-ES"/>
        </w:rPr>
        <w:t>Frontiers in Ecology and the Environment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12</w:t>
      </w:r>
      <w:r w:rsidRPr="003338D7">
        <w:rPr>
          <w:rFonts w:asciiTheme="majorHAnsi" w:hAnsiTheme="majorHAnsi"/>
          <w:noProof/>
          <w:szCs w:val="22"/>
          <w:lang w:val="es-ES"/>
        </w:rPr>
        <w:t xml:space="preserve">(8), 439–447. </w:t>
      </w:r>
      <w:hyperlink r:id="rId421" w:history="1">
        <w:r w:rsidRPr="003338D7">
          <w:rPr>
            <w:rStyle w:val="Hyperlink"/>
            <w:rFonts w:asciiTheme="majorHAnsi" w:hAnsiTheme="majorHAnsi"/>
            <w:noProof/>
            <w:szCs w:val="22"/>
            <w:lang w:val="es-ES"/>
          </w:rPr>
          <w:t>https://doi.org/10.1890/130330</w:t>
        </w:r>
      </w:hyperlink>
    </w:p>
    <w:p w14:paraId="2814595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Garitano-Zavala, Á., &amp; Gismondi, P. (2003). </w:t>
      </w:r>
      <w:r w:rsidRPr="003338D7">
        <w:rPr>
          <w:rFonts w:asciiTheme="majorHAnsi" w:hAnsiTheme="majorHAnsi"/>
          <w:noProof/>
          <w:szCs w:val="22"/>
          <w:lang w:val="es-ES"/>
        </w:rPr>
        <w:t xml:space="preserve">Variación de la riqueza y diversidad de la ornitofauna en áreas verdes urbanas de las ciudades de La Paz y El Alto (Bolivia). </w:t>
      </w:r>
      <w:r w:rsidRPr="003338D7">
        <w:rPr>
          <w:rFonts w:asciiTheme="majorHAnsi" w:hAnsiTheme="majorHAnsi"/>
          <w:i/>
          <w:iCs/>
          <w:noProof/>
          <w:szCs w:val="22"/>
          <w:lang w:val="es-ES"/>
        </w:rPr>
        <w:t>Ecología En Bolivia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38</w:t>
      </w:r>
      <w:r w:rsidRPr="003338D7">
        <w:rPr>
          <w:rFonts w:asciiTheme="majorHAnsi" w:hAnsiTheme="majorHAnsi"/>
          <w:noProof/>
          <w:szCs w:val="22"/>
          <w:lang w:val="es-ES"/>
        </w:rPr>
        <w:t>(1), 65–78.</w:t>
      </w:r>
    </w:p>
    <w:p w14:paraId="2FB55E1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Gärtner, E., Rojas, G., &amp; Castro, S. A. (2015). </w:t>
      </w:r>
      <w:r w:rsidRPr="003338D7">
        <w:rPr>
          <w:rFonts w:asciiTheme="majorHAnsi" w:hAnsiTheme="majorHAnsi"/>
          <w:noProof/>
          <w:szCs w:val="22"/>
        </w:rPr>
        <w:t xml:space="preserve">Compositional patterns of ruderal herbs in Santiago, Chile. </w:t>
      </w:r>
      <w:r w:rsidRPr="003338D7">
        <w:rPr>
          <w:rFonts w:asciiTheme="majorHAnsi" w:hAnsiTheme="majorHAnsi"/>
          <w:i/>
          <w:iCs/>
          <w:noProof/>
          <w:szCs w:val="22"/>
        </w:rPr>
        <w:t>Gayana Botánica</w:t>
      </w:r>
      <w:r w:rsidRPr="003338D7">
        <w:rPr>
          <w:rFonts w:asciiTheme="majorHAnsi" w:hAnsiTheme="majorHAnsi"/>
          <w:noProof/>
          <w:szCs w:val="22"/>
        </w:rPr>
        <w:t xml:space="preserve">, </w:t>
      </w:r>
      <w:r w:rsidRPr="003338D7">
        <w:rPr>
          <w:rFonts w:asciiTheme="majorHAnsi" w:hAnsiTheme="majorHAnsi"/>
          <w:i/>
          <w:iCs/>
          <w:noProof/>
          <w:szCs w:val="22"/>
        </w:rPr>
        <w:t>72</w:t>
      </w:r>
      <w:r w:rsidRPr="003338D7">
        <w:rPr>
          <w:rFonts w:asciiTheme="majorHAnsi" w:hAnsiTheme="majorHAnsi"/>
          <w:noProof/>
          <w:szCs w:val="22"/>
        </w:rPr>
        <w:t>(2), 192–202.</w:t>
      </w:r>
    </w:p>
    <w:p w14:paraId="5BE7644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Gasparri, N. I., &amp; Grau, H. R. (2009). Deforestation and fragmentation of Chaco dry forest in NW Argentina (1972-2007). </w:t>
      </w:r>
      <w:r w:rsidRPr="003338D7">
        <w:rPr>
          <w:rFonts w:asciiTheme="majorHAnsi" w:hAnsiTheme="majorHAnsi"/>
          <w:i/>
          <w:iCs/>
          <w:noProof/>
          <w:szCs w:val="22"/>
        </w:rPr>
        <w:t>Forest Ecology and Management</w:t>
      </w:r>
      <w:r w:rsidRPr="003338D7">
        <w:rPr>
          <w:rFonts w:asciiTheme="majorHAnsi" w:hAnsiTheme="majorHAnsi"/>
          <w:noProof/>
          <w:szCs w:val="22"/>
        </w:rPr>
        <w:t xml:space="preserve">, </w:t>
      </w:r>
      <w:r w:rsidRPr="003338D7">
        <w:rPr>
          <w:rFonts w:asciiTheme="majorHAnsi" w:hAnsiTheme="majorHAnsi"/>
          <w:i/>
          <w:iCs/>
          <w:noProof/>
          <w:szCs w:val="22"/>
        </w:rPr>
        <w:t>258</w:t>
      </w:r>
      <w:r w:rsidRPr="003338D7">
        <w:rPr>
          <w:rFonts w:asciiTheme="majorHAnsi" w:hAnsiTheme="majorHAnsi"/>
          <w:noProof/>
          <w:szCs w:val="22"/>
        </w:rPr>
        <w:t xml:space="preserve">(6), 913–921. </w:t>
      </w:r>
      <w:hyperlink r:id="rId422" w:history="1">
        <w:r w:rsidRPr="003338D7">
          <w:rPr>
            <w:rStyle w:val="Hyperlink"/>
            <w:rFonts w:asciiTheme="majorHAnsi" w:hAnsiTheme="majorHAnsi"/>
            <w:noProof/>
            <w:szCs w:val="22"/>
          </w:rPr>
          <w:t>http://doi.org/10.1016/j.foreco.2009.02.024</w:t>
        </w:r>
      </w:hyperlink>
    </w:p>
    <w:p w14:paraId="56FE11E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Gedan, K. B., Silliman, B. R., &amp; Bertness, M. D. (2009). Centuries of human-driven change in salt marsh ecosystems. </w:t>
      </w:r>
      <w:r w:rsidRPr="003338D7">
        <w:rPr>
          <w:rFonts w:asciiTheme="majorHAnsi" w:hAnsiTheme="majorHAnsi"/>
          <w:i/>
          <w:iCs/>
          <w:noProof/>
          <w:szCs w:val="22"/>
        </w:rPr>
        <w:t>Annual Review of Marine Science</w:t>
      </w:r>
      <w:r w:rsidRPr="003338D7">
        <w:rPr>
          <w:rFonts w:asciiTheme="majorHAnsi" w:hAnsiTheme="majorHAnsi"/>
          <w:noProof/>
          <w:szCs w:val="22"/>
        </w:rPr>
        <w:t xml:space="preserve">, </w:t>
      </w:r>
      <w:r w:rsidRPr="003338D7">
        <w:rPr>
          <w:rFonts w:asciiTheme="majorHAnsi" w:hAnsiTheme="majorHAnsi"/>
          <w:i/>
          <w:iCs/>
          <w:noProof/>
          <w:szCs w:val="22"/>
        </w:rPr>
        <w:t>1</w:t>
      </w:r>
      <w:r w:rsidRPr="003338D7">
        <w:rPr>
          <w:rFonts w:asciiTheme="majorHAnsi" w:hAnsiTheme="majorHAnsi"/>
          <w:noProof/>
          <w:szCs w:val="22"/>
        </w:rPr>
        <w:t xml:space="preserve">(1), 117–141. </w:t>
      </w:r>
      <w:hyperlink r:id="rId423" w:history="1">
        <w:r w:rsidRPr="003338D7">
          <w:rPr>
            <w:rStyle w:val="Hyperlink"/>
            <w:rFonts w:asciiTheme="majorHAnsi" w:hAnsiTheme="majorHAnsi"/>
            <w:noProof/>
            <w:szCs w:val="22"/>
          </w:rPr>
          <w:t>http://doi.org/10.1146/annurev.marine.010908.163930</w:t>
        </w:r>
      </w:hyperlink>
    </w:p>
    <w:p w14:paraId="6C01307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Germaine, S. S., &amp; Wakeling, B. F. (2001). Lizard species distributions and habitat occupation along an urban gradient in Tucson, Arizona, USA.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97</w:t>
      </w:r>
      <w:r w:rsidRPr="003338D7">
        <w:rPr>
          <w:rFonts w:asciiTheme="majorHAnsi" w:hAnsiTheme="majorHAnsi"/>
          <w:noProof/>
          <w:szCs w:val="22"/>
        </w:rPr>
        <w:t xml:space="preserve">(2), 229–237. </w:t>
      </w:r>
      <w:hyperlink r:id="rId424" w:history="1">
        <w:r w:rsidRPr="003338D7">
          <w:rPr>
            <w:rStyle w:val="Hyperlink"/>
            <w:rFonts w:asciiTheme="majorHAnsi" w:hAnsiTheme="majorHAnsi"/>
            <w:noProof/>
            <w:szCs w:val="22"/>
          </w:rPr>
          <w:t>http://doi.org/10.1016/S0006-3207(00)00115-4</w:t>
        </w:r>
      </w:hyperlink>
    </w:p>
    <w:p w14:paraId="04AD40D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Germino, M. J., Chambers, J. C., &amp; Brown, C. S. (2016). Introduction: Exotic annual </w:t>
      </w:r>
      <w:r w:rsidRPr="003338D7">
        <w:rPr>
          <w:rFonts w:asciiTheme="majorHAnsi" w:hAnsiTheme="majorHAnsi"/>
          <w:i/>
          <w:noProof/>
          <w:szCs w:val="22"/>
        </w:rPr>
        <w:t>Bromus</w:t>
      </w:r>
      <w:r w:rsidRPr="003338D7">
        <w:rPr>
          <w:rFonts w:asciiTheme="majorHAnsi" w:hAnsiTheme="majorHAnsi"/>
          <w:noProof/>
          <w:szCs w:val="22"/>
        </w:rPr>
        <w:t xml:space="preserve"> in the Western USA. In M. J. Germino, J. C. Chambers, &amp; C. S. Brown (Eds.), </w:t>
      </w:r>
      <w:r w:rsidRPr="003338D7">
        <w:rPr>
          <w:rFonts w:asciiTheme="majorHAnsi" w:hAnsiTheme="majorHAnsi"/>
          <w:i/>
          <w:iCs/>
          <w:noProof/>
          <w:szCs w:val="22"/>
        </w:rPr>
        <w:t>Exotic Brome-Grasses in Arid and Semiarid Ecosystems of the Western US: Causes, Consequences, and Management Implications.</w:t>
      </w:r>
      <w:r w:rsidRPr="003338D7">
        <w:rPr>
          <w:rFonts w:asciiTheme="majorHAnsi" w:hAnsiTheme="majorHAnsi"/>
          <w:noProof/>
          <w:szCs w:val="22"/>
        </w:rPr>
        <w:t xml:space="preserve"> (pp. 1–7). New York, USA: Springer.</w:t>
      </w:r>
    </w:p>
    <w:p w14:paraId="059E2D0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Geslin, B., &amp; Morales, C. L. (2015). New records reveal rapid geographic expansion of </w:t>
      </w:r>
      <w:r w:rsidRPr="003338D7">
        <w:rPr>
          <w:rFonts w:asciiTheme="majorHAnsi" w:hAnsiTheme="majorHAnsi"/>
          <w:i/>
          <w:iCs/>
          <w:noProof/>
          <w:szCs w:val="22"/>
        </w:rPr>
        <w:t>Bombus terrestris</w:t>
      </w:r>
      <w:r w:rsidRPr="003338D7">
        <w:rPr>
          <w:rFonts w:asciiTheme="majorHAnsi" w:hAnsiTheme="majorHAnsi"/>
          <w:noProof/>
          <w:szCs w:val="22"/>
        </w:rPr>
        <w:t xml:space="preserve"> Linnaeus, 1758 (Hymenoptera: Apidae), an invasive species in Argentina. </w:t>
      </w:r>
      <w:r w:rsidRPr="003338D7">
        <w:rPr>
          <w:rFonts w:asciiTheme="majorHAnsi" w:hAnsiTheme="majorHAnsi"/>
          <w:i/>
          <w:iCs/>
          <w:noProof/>
          <w:szCs w:val="22"/>
        </w:rPr>
        <w:t>Check List</w:t>
      </w:r>
      <w:r w:rsidRPr="003338D7">
        <w:rPr>
          <w:rFonts w:asciiTheme="majorHAnsi" w:hAnsiTheme="majorHAnsi"/>
          <w:noProof/>
          <w:szCs w:val="22"/>
        </w:rPr>
        <w:t xml:space="preserve">, </w:t>
      </w:r>
      <w:r w:rsidRPr="003338D7">
        <w:rPr>
          <w:rFonts w:asciiTheme="majorHAnsi" w:hAnsiTheme="majorHAnsi"/>
          <w:i/>
          <w:iCs/>
          <w:noProof/>
          <w:szCs w:val="22"/>
        </w:rPr>
        <w:t>11</w:t>
      </w:r>
      <w:r w:rsidRPr="003338D7">
        <w:rPr>
          <w:rFonts w:asciiTheme="majorHAnsi" w:hAnsiTheme="majorHAnsi"/>
          <w:noProof/>
          <w:szCs w:val="22"/>
        </w:rPr>
        <w:t xml:space="preserve">(3), 1620. </w:t>
      </w:r>
      <w:hyperlink r:id="rId425" w:history="1">
        <w:r w:rsidRPr="003338D7">
          <w:rPr>
            <w:rStyle w:val="Hyperlink"/>
            <w:rFonts w:asciiTheme="majorHAnsi" w:hAnsiTheme="majorHAnsi"/>
            <w:noProof/>
            <w:szCs w:val="22"/>
          </w:rPr>
          <w:t>http://doi.org/10.15560/11.3.1620</w:t>
        </w:r>
      </w:hyperlink>
    </w:p>
    <w:p w14:paraId="2032887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Gibbs, H. K., Ruesch, A. S., Achard, F., Clayton, M. K., Holmgren, P., Ramankutty, N., &amp; Foley, J. A. (2010). Tropical forests were the primary sources of new agricultural land in the 1980s and 1990s. </w:t>
      </w:r>
      <w:r w:rsidRPr="003338D7">
        <w:rPr>
          <w:rFonts w:asciiTheme="majorHAnsi" w:hAnsiTheme="majorHAnsi"/>
          <w:i/>
          <w:iCs/>
          <w:noProof/>
          <w:szCs w:val="22"/>
        </w:rPr>
        <w:t>PNAS</w:t>
      </w:r>
      <w:r w:rsidRPr="003338D7">
        <w:rPr>
          <w:rFonts w:asciiTheme="majorHAnsi" w:hAnsiTheme="majorHAnsi"/>
          <w:noProof/>
          <w:szCs w:val="22"/>
        </w:rPr>
        <w:t xml:space="preserve">, </w:t>
      </w:r>
      <w:r w:rsidRPr="003338D7">
        <w:rPr>
          <w:rFonts w:asciiTheme="majorHAnsi" w:hAnsiTheme="majorHAnsi"/>
          <w:i/>
          <w:iCs/>
          <w:noProof/>
          <w:szCs w:val="22"/>
        </w:rPr>
        <w:t>107</w:t>
      </w:r>
      <w:r w:rsidRPr="003338D7">
        <w:rPr>
          <w:rFonts w:asciiTheme="majorHAnsi" w:hAnsiTheme="majorHAnsi"/>
          <w:noProof/>
          <w:szCs w:val="22"/>
        </w:rPr>
        <w:t xml:space="preserve">(38), 16732–16737. </w:t>
      </w:r>
      <w:hyperlink r:id="rId426" w:history="1">
        <w:r w:rsidRPr="003338D7">
          <w:rPr>
            <w:rStyle w:val="Hyperlink"/>
            <w:rFonts w:asciiTheme="majorHAnsi" w:hAnsiTheme="majorHAnsi"/>
            <w:noProof/>
            <w:szCs w:val="22"/>
          </w:rPr>
          <w:t>http://doi.org/10.1073/pnas.0910275107</w:t>
        </w:r>
      </w:hyperlink>
    </w:p>
    <w:p w14:paraId="4DA9062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Gill, F., &amp; Donsker, D. (Eds.). (2017). </w:t>
      </w:r>
      <w:r w:rsidRPr="003338D7">
        <w:rPr>
          <w:rFonts w:asciiTheme="majorHAnsi" w:hAnsiTheme="majorHAnsi"/>
          <w:i/>
          <w:iCs/>
          <w:noProof/>
          <w:szCs w:val="22"/>
        </w:rPr>
        <w:t>IOC World Bird List (v 7.3)</w:t>
      </w:r>
      <w:r w:rsidRPr="003338D7">
        <w:rPr>
          <w:rFonts w:asciiTheme="majorHAnsi" w:hAnsiTheme="majorHAnsi"/>
          <w:noProof/>
          <w:szCs w:val="22"/>
        </w:rPr>
        <w:t>. Retrieved from www.worldbirdnames.org</w:t>
      </w:r>
    </w:p>
    <w:p w14:paraId="685EF63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Gilman, E. L., Ellison, J., Duke, N. C., &amp; Field, C. (2008). Threats to mangroves from climate change and adaptation options. </w:t>
      </w:r>
      <w:r w:rsidRPr="003338D7">
        <w:rPr>
          <w:rFonts w:asciiTheme="majorHAnsi" w:hAnsiTheme="majorHAnsi"/>
          <w:i/>
          <w:iCs/>
          <w:noProof/>
          <w:szCs w:val="22"/>
        </w:rPr>
        <w:t>Aquatic Botany</w:t>
      </w:r>
      <w:r w:rsidRPr="003338D7">
        <w:rPr>
          <w:rFonts w:asciiTheme="majorHAnsi" w:hAnsiTheme="majorHAnsi"/>
          <w:noProof/>
          <w:szCs w:val="22"/>
        </w:rPr>
        <w:t xml:space="preserve">, </w:t>
      </w:r>
      <w:r w:rsidRPr="003338D7">
        <w:rPr>
          <w:rFonts w:asciiTheme="majorHAnsi" w:hAnsiTheme="majorHAnsi"/>
          <w:i/>
          <w:iCs/>
          <w:noProof/>
          <w:szCs w:val="22"/>
        </w:rPr>
        <w:t>89</w:t>
      </w:r>
      <w:r w:rsidRPr="003338D7">
        <w:rPr>
          <w:rFonts w:asciiTheme="majorHAnsi" w:hAnsiTheme="majorHAnsi"/>
          <w:noProof/>
          <w:szCs w:val="22"/>
        </w:rPr>
        <w:t>(2), 237–250.</w:t>
      </w:r>
    </w:p>
    <w:p w14:paraId="1E187E3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Gleason, H. A. (1913). The relation of forest distribution and prairie fires in the Middle West. </w:t>
      </w:r>
      <w:r w:rsidRPr="003338D7">
        <w:rPr>
          <w:rFonts w:asciiTheme="majorHAnsi" w:hAnsiTheme="majorHAnsi"/>
          <w:i/>
          <w:iCs/>
          <w:noProof/>
          <w:szCs w:val="22"/>
        </w:rPr>
        <w:t>Torreya</w:t>
      </w:r>
      <w:r w:rsidRPr="003338D7">
        <w:rPr>
          <w:rFonts w:asciiTheme="majorHAnsi" w:hAnsiTheme="majorHAnsi"/>
          <w:noProof/>
          <w:szCs w:val="22"/>
        </w:rPr>
        <w:t xml:space="preserve">, </w:t>
      </w:r>
      <w:r w:rsidRPr="003338D7">
        <w:rPr>
          <w:rFonts w:asciiTheme="majorHAnsi" w:hAnsiTheme="majorHAnsi"/>
          <w:i/>
          <w:iCs/>
          <w:noProof/>
          <w:szCs w:val="22"/>
        </w:rPr>
        <w:t>13</w:t>
      </w:r>
      <w:r w:rsidRPr="003338D7">
        <w:rPr>
          <w:rFonts w:asciiTheme="majorHAnsi" w:hAnsiTheme="majorHAnsi"/>
          <w:noProof/>
          <w:szCs w:val="22"/>
        </w:rPr>
        <w:t xml:space="preserve">(8), 173–181. Retrieved from </w:t>
      </w:r>
      <w:hyperlink r:id="rId427" w:history="1">
        <w:r w:rsidRPr="003338D7">
          <w:rPr>
            <w:rStyle w:val="Hyperlink"/>
            <w:rFonts w:asciiTheme="majorHAnsi" w:hAnsiTheme="majorHAnsi"/>
            <w:noProof/>
            <w:szCs w:val="22"/>
          </w:rPr>
          <w:t>http://www.jstor.org/stable/40595396%5Cnhttp://about.jstor.org/terms</w:t>
        </w:r>
      </w:hyperlink>
    </w:p>
    <w:p w14:paraId="2CAEBC7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Global Forest Watch. (2017). Retrieved from </w:t>
      </w:r>
      <w:hyperlink r:id="rId428" w:history="1">
        <w:r w:rsidRPr="003338D7">
          <w:rPr>
            <w:rStyle w:val="Hyperlink"/>
            <w:rFonts w:asciiTheme="majorHAnsi" w:hAnsiTheme="majorHAnsi"/>
            <w:noProof/>
            <w:szCs w:val="22"/>
          </w:rPr>
          <w:t>http://www.globalforestwatch.org/map</w:t>
        </w:r>
      </w:hyperlink>
    </w:p>
    <w:p w14:paraId="46816C8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Goettsch, B., &amp; Hernández, H. M. (2006). </w:t>
      </w:r>
      <w:r w:rsidRPr="003338D7">
        <w:rPr>
          <w:rFonts w:asciiTheme="majorHAnsi" w:hAnsiTheme="majorHAnsi"/>
          <w:noProof/>
          <w:szCs w:val="22"/>
        </w:rPr>
        <w:t xml:space="preserve">Beta diversity and similarity among cactus assemblages in the Chihuahuan Desert. </w:t>
      </w:r>
      <w:r w:rsidRPr="003338D7">
        <w:rPr>
          <w:rFonts w:asciiTheme="majorHAnsi" w:hAnsiTheme="majorHAnsi"/>
          <w:i/>
          <w:iCs/>
          <w:noProof/>
          <w:szCs w:val="22"/>
        </w:rPr>
        <w:t>Journal of Arid Environments</w:t>
      </w:r>
      <w:r w:rsidRPr="003338D7">
        <w:rPr>
          <w:rFonts w:asciiTheme="majorHAnsi" w:hAnsiTheme="majorHAnsi"/>
          <w:noProof/>
          <w:szCs w:val="22"/>
        </w:rPr>
        <w:t xml:space="preserve">, </w:t>
      </w:r>
      <w:r w:rsidRPr="003338D7">
        <w:rPr>
          <w:rFonts w:asciiTheme="majorHAnsi" w:hAnsiTheme="majorHAnsi"/>
          <w:i/>
          <w:iCs/>
          <w:noProof/>
          <w:szCs w:val="22"/>
        </w:rPr>
        <w:t>65</w:t>
      </w:r>
      <w:r w:rsidRPr="003338D7">
        <w:rPr>
          <w:rFonts w:asciiTheme="majorHAnsi" w:hAnsiTheme="majorHAnsi"/>
          <w:noProof/>
          <w:szCs w:val="22"/>
        </w:rPr>
        <w:t xml:space="preserve">(4), 513–528. </w:t>
      </w:r>
      <w:hyperlink r:id="rId429" w:history="1">
        <w:r w:rsidRPr="003338D7">
          <w:rPr>
            <w:rStyle w:val="Hyperlink"/>
            <w:rFonts w:asciiTheme="majorHAnsi" w:hAnsiTheme="majorHAnsi"/>
            <w:noProof/>
            <w:szCs w:val="22"/>
          </w:rPr>
          <w:t>http://doi.org/10.1016/j.jaridenv.2005.08.008</w:t>
        </w:r>
      </w:hyperlink>
    </w:p>
    <w:p w14:paraId="6E2CAF6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Goettsch, B., Hilton-Taylor, C., Cruz-Piñón, G., Duffy, J. P., Frances, A., Hernández, H. M., Inger, R., Pollock, C., Schipper, J., Superina, M., Taylor, N. P., Tognelli, M., Abba, A. M., Arias, S., Arreola-Nava, H. J., Baker, M. A., Bárcenas, R. T., Barrios, D., Braun, P., Butterworth, C. A., Búrquez, A., Caceres, F., Chazaro-Basañez, M., Corral-Díaz, R., del Valle Perea, M., Demaio, P. H., Duarte de Barros, W. A., Durán, R., Faúndez Yancas, L., Felger, R. S., Fitz-Maurice, B., Fitz-Maurice, W. A., Gann, G., Gómez-Hinostrosa, C., Gonzales-Torres, L. R., Griffith, M. P., Guerrero, P. C., Hammel, B., Heil, K. D., Guadalupe Hernández-Oria, J., Hoffmann, M., Ishihara, M. I., Kiesling, R., Larocca, J., Luis León-de la Luz, J., Loaiza S., C. R., Lowry, M., Machado, M. C., Majure, L. C., Martínez Ávalos, J. G., Martorell, C., Maschinski, J., Méndez, E., Mittermeier, R. A., Nassar, J. M., Negrón-Ortiz, V., Oakley, L. J., Ortega-Baes, P., Ferreira, A. B. P., Pinkava, D. J., Porter, J. M., Puente-Martinez, R., Roque Gamarra, J., Saldivia Pérez, P., Sánchez Martínez, E., Smith, M., Sotomayor M. del C., J. M., Stuart, S. N., Tapia Muñoz, J. L., Terrazas, T., Terry, M., Trevisson, M., Valverde, T., Van Devender, T. R., Véliz-Pérez, M. E., Walter, H. E., Wyatt, S. A., Zappi, D., Alejandro Zavala-Hurtado, J., &amp; Gaston, K. J. (2015). High proportion of cactus species threatened with extinction. </w:t>
      </w:r>
      <w:r w:rsidRPr="003338D7">
        <w:rPr>
          <w:rFonts w:asciiTheme="majorHAnsi" w:hAnsiTheme="majorHAnsi"/>
          <w:i/>
          <w:iCs/>
          <w:noProof/>
          <w:szCs w:val="22"/>
          <w:lang w:val="es-ES"/>
        </w:rPr>
        <w:t>Nature Plants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w:t>
      </w:r>
      <w:r w:rsidRPr="003338D7">
        <w:rPr>
          <w:rFonts w:asciiTheme="majorHAnsi" w:hAnsiTheme="majorHAnsi"/>
          <w:noProof/>
          <w:szCs w:val="22"/>
          <w:lang w:val="es-ES"/>
        </w:rPr>
        <w:t xml:space="preserve">(10), 15142. </w:t>
      </w:r>
      <w:hyperlink r:id="rId430" w:history="1">
        <w:r w:rsidRPr="003338D7">
          <w:rPr>
            <w:rStyle w:val="Hyperlink"/>
            <w:rFonts w:asciiTheme="majorHAnsi" w:hAnsiTheme="majorHAnsi"/>
            <w:noProof/>
            <w:szCs w:val="22"/>
            <w:lang w:val="es-ES"/>
          </w:rPr>
          <w:t>https://doi.org/10.1038/nplants.2015.142</w:t>
        </w:r>
      </w:hyperlink>
    </w:p>
    <w:p w14:paraId="4352367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Goijman, A. P., Conroy, M. J., Bernardos, J. N., &amp; Zaccagnini, M. E. (2015). Multi-season regional analysis of multi-species occupancy: implications for bird conservation in agricultural lands in east-central Argentina.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w:t>
      </w:r>
      <w:r w:rsidRPr="003338D7">
        <w:rPr>
          <w:rFonts w:asciiTheme="majorHAnsi" w:hAnsiTheme="majorHAnsi"/>
          <w:noProof/>
          <w:szCs w:val="22"/>
          <w:lang w:val="es-ES"/>
        </w:rPr>
        <w:t xml:space="preserve">(6), e0130874. </w:t>
      </w:r>
      <w:hyperlink r:id="rId431" w:history="1">
        <w:r w:rsidRPr="003338D7">
          <w:rPr>
            <w:rStyle w:val="Hyperlink"/>
            <w:rFonts w:asciiTheme="majorHAnsi" w:hAnsiTheme="majorHAnsi"/>
            <w:noProof/>
            <w:szCs w:val="22"/>
            <w:lang w:val="es-ES"/>
          </w:rPr>
          <w:t>http://doi.org/10.1371/journal.pone.0130874</w:t>
        </w:r>
      </w:hyperlink>
    </w:p>
    <w:p w14:paraId="4400860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Gómez-González, S., &amp; Cavieres, L. A. (2009). </w:t>
      </w:r>
      <w:r w:rsidRPr="003338D7">
        <w:rPr>
          <w:rFonts w:asciiTheme="majorHAnsi" w:hAnsiTheme="majorHAnsi"/>
          <w:noProof/>
          <w:szCs w:val="22"/>
        </w:rPr>
        <w:t xml:space="preserve">Litter burning does not equally affect seedling emergence of native and alien species of the Mediterranean-type Chilean matorral. </w:t>
      </w:r>
      <w:r w:rsidRPr="003338D7">
        <w:rPr>
          <w:rFonts w:asciiTheme="majorHAnsi" w:hAnsiTheme="majorHAnsi"/>
          <w:i/>
          <w:iCs/>
          <w:noProof/>
          <w:szCs w:val="22"/>
        </w:rPr>
        <w:t>International Journal of Wildland Fire</w:t>
      </w:r>
      <w:r w:rsidRPr="003338D7">
        <w:rPr>
          <w:rFonts w:asciiTheme="majorHAnsi" w:hAnsiTheme="majorHAnsi"/>
          <w:noProof/>
          <w:szCs w:val="22"/>
        </w:rPr>
        <w:t xml:space="preserve">, </w:t>
      </w:r>
      <w:r w:rsidRPr="003338D7">
        <w:rPr>
          <w:rFonts w:asciiTheme="majorHAnsi" w:hAnsiTheme="majorHAnsi"/>
          <w:i/>
          <w:iCs/>
          <w:noProof/>
          <w:szCs w:val="22"/>
        </w:rPr>
        <w:t>18</w:t>
      </w:r>
      <w:r w:rsidRPr="003338D7">
        <w:rPr>
          <w:rFonts w:asciiTheme="majorHAnsi" w:hAnsiTheme="majorHAnsi"/>
          <w:noProof/>
          <w:szCs w:val="22"/>
        </w:rPr>
        <w:t xml:space="preserve">(2), 213–221. </w:t>
      </w:r>
      <w:hyperlink r:id="rId432" w:history="1">
        <w:r w:rsidRPr="003338D7">
          <w:rPr>
            <w:rStyle w:val="Hyperlink"/>
            <w:rFonts w:asciiTheme="majorHAnsi" w:hAnsiTheme="majorHAnsi"/>
            <w:noProof/>
            <w:szCs w:val="22"/>
          </w:rPr>
          <w:t>http://doi.org/10.1071/WF07074</w:t>
        </w:r>
      </w:hyperlink>
    </w:p>
    <w:p w14:paraId="63221AE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Gómez-González, S., Torres-Díaz, C., Valencia, G., Torres-Morales, P., Cavieres, L. A., &amp; Pausas, J. G. (2011). Anthropogenic fires increase alien and native annual species in the Chilean coastal matorral. </w:t>
      </w:r>
      <w:r w:rsidRPr="003338D7">
        <w:rPr>
          <w:rFonts w:asciiTheme="majorHAnsi" w:hAnsiTheme="majorHAnsi"/>
          <w:i/>
          <w:iCs/>
          <w:noProof/>
          <w:szCs w:val="22"/>
        </w:rPr>
        <w:t>Diversity and Distributions</w:t>
      </w:r>
      <w:r w:rsidRPr="003338D7">
        <w:rPr>
          <w:rFonts w:asciiTheme="majorHAnsi" w:hAnsiTheme="majorHAnsi"/>
          <w:noProof/>
          <w:szCs w:val="22"/>
        </w:rPr>
        <w:t xml:space="preserve">, </w:t>
      </w:r>
      <w:r w:rsidRPr="003338D7">
        <w:rPr>
          <w:rFonts w:asciiTheme="majorHAnsi" w:hAnsiTheme="majorHAnsi"/>
          <w:i/>
          <w:iCs/>
          <w:noProof/>
          <w:szCs w:val="22"/>
        </w:rPr>
        <w:t>17</w:t>
      </w:r>
      <w:r w:rsidRPr="003338D7">
        <w:rPr>
          <w:rFonts w:asciiTheme="majorHAnsi" w:hAnsiTheme="majorHAnsi"/>
          <w:noProof/>
          <w:szCs w:val="22"/>
        </w:rPr>
        <w:t xml:space="preserve">(1), 58–67. </w:t>
      </w:r>
      <w:hyperlink r:id="rId433" w:history="1">
        <w:r w:rsidRPr="003338D7">
          <w:rPr>
            <w:rStyle w:val="Hyperlink"/>
            <w:rFonts w:asciiTheme="majorHAnsi" w:hAnsiTheme="majorHAnsi"/>
            <w:noProof/>
            <w:szCs w:val="22"/>
          </w:rPr>
          <w:t>http://doi.org/10.1111/j.1472-4642.2010.00728.x</w:t>
        </w:r>
      </w:hyperlink>
    </w:p>
    <w:p w14:paraId="2E6FB6E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Gómez, M. F., Moreno, L. A., Andrade, G. G., &amp; Rueda, C. (Eds.). </w:t>
      </w:r>
      <w:r w:rsidRPr="003338D7">
        <w:rPr>
          <w:rFonts w:asciiTheme="majorHAnsi" w:hAnsiTheme="majorHAnsi"/>
          <w:noProof/>
          <w:szCs w:val="22"/>
          <w:lang w:val="es-ES"/>
        </w:rPr>
        <w:t xml:space="preserve">(2016). </w:t>
      </w:r>
      <w:r w:rsidRPr="003338D7">
        <w:rPr>
          <w:rFonts w:asciiTheme="majorHAnsi" w:hAnsiTheme="majorHAnsi"/>
          <w:i/>
          <w:iCs/>
          <w:noProof/>
          <w:szCs w:val="22"/>
          <w:lang w:val="es-ES"/>
        </w:rPr>
        <w:t>Biodiversidad 2015. Estado y Tendencias de la Biodiversidad Continental de Colombia</w:t>
      </w:r>
      <w:r w:rsidRPr="003338D7">
        <w:rPr>
          <w:rFonts w:asciiTheme="majorHAnsi" w:hAnsiTheme="majorHAnsi"/>
          <w:noProof/>
          <w:szCs w:val="22"/>
          <w:lang w:val="es-ES"/>
        </w:rPr>
        <w:t xml:space="preserve">. </w:t>
      </w:r>
      <w:r w:rsidRPr="003338D7">
        <w:rPr>
          <w:rFonts w:asciiTheme="majorHAnsi" w:hAnsiTheme="majorHAnsi"/>
          <w:noProof/>
          <w:szCs w:val="22"/>
        </w:rPr>
        <w:t>Bogotá, D.C., Colombia: Instituto Alexander von Humboldt.</w:t>
      </w:r>
    </w:p>
    <w:p w14:paraId="0EC8E70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Gonçalves, F., Fischer, E., &amp; Dirzo, R. (2017). Forest conversion to cattle ranching differentially affects taxonomic and functional groups of Neotropical bats.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210</w:t>
      </w:r>
      <w:r w:rsidRPr="003338D7">
        <w:rPr>
          <w:rFonts w:asciiTheme="majorHAnsi" w:hAnsiTheme="majorHAnsi"/>
          <w:noProof/>
          <w:szCs w:val="22"/>
        </w:rPr>
        <w:t xml:space="preserve">, 343–348. </w:t>
      </w:r>
      <w:hyperlink r:id="rId434" w:history="1">
        <w:r w:rsidRPr="003338D7">
          <w:rPr>
            <w:rStyle w:val="Hyperlink"/>
            <w:rFonts w:asciiTheme="majorHAnsi" w:hAnsiTheme="majorHAnsi"/>
            <w:noProof/>
            <w:szCs w:val="22"/>
          </w:rPr>
          <w:t>http://doi.org/10.1016/j.biocon.2017.04.021</w:t>
        </w:r>
      </w:hyperlink>
    </w:p>
    <w:p w14:paraId="4C54D8D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Gonçalves, G. S., Andrade, L. A. D., Xavier, K. R. F., &amp; Silva, J. F. D. (2015). Control methods for </w:t>
      </w:r>
      <w:r w:rsidRPr="003338D7">
        <w:rPr>
          <w:rFonts w:asciiTheme="majorHAnsi" w:hAnsiTheme="majorHAnsi"/>
          <w:i/>
          <w:noProof/>
          <w:szCs w:val="22"/>
        </w:rPr>
        <w:t>Prosopis juliflora</w:t>
      </w:r>
      <w:r w:rsidRPr="003338D7">
        <w:rPr>
          <w:rFonts w:asciiTheme="majorHAnsi" w:hAnsiTheme="majorHAnsi"/>
          <w:noProof/>
          <w:szCs w:val="22"/>
        </w:rPr>
        <w:t xml:space="preserve"> (Sw.) D.C. (Fabaceae) in invaded areas in the semiarid region of Brazil. </w:t>
      </w:r>
      <w:r w:rsidRPr="003338D7">
        <w:rPr>
          <w:rFonts w:asciiTheme="majorHAnsi" w:hAnsiTheme="majorHAnsi"/>
          <w:i/>
          <w:iCs/>
          <w:noProof/>
          <w:szCs w:val="22"/>
          <w:lang w:val="es-ES"/>
        </w:rPr>
        <w:t>Ciência Florestal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25</w:t>
      </w:r>
      <w:r w:rsidRPr="003338D7">
        <w:rPr>
          <w:rFonts w:asciiTheme="majorHAnsi" w:hAnsiTheme="majorHAnsi"/>
          <w:noProof/>
          <w:szCs w:val="22"/>
          <w:lang w:val="es-ES"/>
        </w:rPr>
        <w:t xml:space="preserve">(3), 645–653. </w:t>
      </w:r>
      <w:hyperlink r:id="rId435" w:history="1">
        <w:r w:rsidRPr="003338D7">
          <w:rPr>
            <w:rStyle w:val="Hyperlink"/>
            <w:rFonts w:asciiTheme="majorHAnsi" w:hAnsiTheme="majorHAnsi"/>
            <w:noProof/>
            <w:szCs w:val="22"/>
            <w:lang w:val="es-ES"/>
          </w:rPr>
          <w:t>http://doi.org/10.5902/1980509819615</w:t>
        </w:r>
      </w:hyperlink>
    </w:p>
    <w:p w14:paraId="6E0F279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González-Urrutia, M. (2009). Avifauna urbana de América Latina: estudio de casos. </w:t>
      </w:r>
      <w:r w:rsidRPr="003338D7">
        <w:rPr>
          <w:rFonts w:asciiTheme="majorHAnsi" w:hAnsiTheme="majorHAnsi"/>
          <w:i/>
          <w:iCs/>
          <w:noProof/>
          <w:szCs w:val="22"/>
          <w:lang w:val="es-ES"/>
        </w:rPr>
        <w:t>Gestión Ambiental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17</w:t>
      </w:r>
      <w:r w:rsidRPr="003338D7">
        <w:rPr>
          <w:rFonts w:asciiTheme="majorHAnsi" w:hAnsiTheme="majorHAnsi"/>
          <w:noProof/>
          <w:szCs w:val="22"/>
          <w:lang w:val="es-ES"/>
        </w:rPr>
        <w:t>, 55–68.</w:t>
      </w:r>
    </w:p>
    <w:p w14:paraId="566DA46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González Martínez, A. I., Barrios Caballero, Y., &amp; De Jesus, S. (2017). Análisis de riesgo para especies invasoras en México. In </w:t>
      </w:r>
      <w:r w:rsidRPr="003338D7">
        <w:rPr>
          <w:rFonts w:asciiTheme="majorHAnsi" w:hAnsiTheme="majorHAnsi"/>
          <w:i/>
          <w:iCs/>
          <w:noProof/>
          <w:szCs w:val="22"/>
          <w:lang w:val="es-ES"/>
        </w:rPr>
        <w:t>El Impacto de las Especies Exóticas en México</w:t>
      </w:r>
      <w:r w:rsidRPr="003338D7">
        <w:rPr>
          <w:rFonts w:asciiTheme="majorHAnsi" w:hAnsiTheme="majorHAnsi"/>
          <w:noProof/>
          <w:szCs w:val="22"/>
          <w:lang w:val="es-ES"/>
        </w:rPr>
        <w:t xml:space="preserve"> (pp. 24–29). Mexico City, Mexico: Centro de Estudios Sociales y de Opinión Pública de la Cámara de Diputados. Retrieved from </w:t>
      </w:r>
      <w:hyperlink r:id="rId436" w:history="1">
        <w:r w:rsidRPr="003338D7">
          <w:rPr>
            <w:rStyle w:val="Hyperlink"/>
            <w:rFonts w:asciiTheme="majorHAnsi" w:hAnsiTheme="majorHAnsi"/>
            <w:noProof/>
            <w:szCs w:val="22"/>
            <w:lang w:val="es-ES"/>
          </w:rPr>
          <w:t>https://www.diputados.gob.mx/cesop</w:t>
        </w:r>
      </w:hyperlink>
    </w:p>
    <w:p w14:paraId="47486B8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González Oreja, J. A., Bonache Regidor, C., Buzo Franco, D., De La Fuente Díaz Ordaz, A., &amp; Hernández Satín, L. (2007). Caracterización ecológica de la avifauna de los parques urbanos de la ciudad de Puebla (México). </w:t>
      </w:r>
      <w:r w:rsidRPr="003338D7">
        <w:rPr>
          <w:rFonts w:asciiTheme="majorHAnsi" w:hAnsiTheme="majorHAnsi"/>
          <w:i/>
          <w:iCs/>
          <w:noProof/>
          <w:szCs w:val="22"/>
        </w:rPr>
        <w:t>Ardeola</w:t>
      </w:r>
      <w:r w:rsidRPr="003338D7">
        <w:rPr>
          <w:rFonts w:asciiTheme="majorHAnsi" w:hAnsiTheme="majorHAnsi"/>
          <w:noProof/>
          <w:szCs w:val="22"/>
        </w:rPr>
        <w:t xml:space="preserve">, </w:t>
      </w:r>
      <w:r w:rsidRPr="003338D7">
        <w:rPr>
          <w:rFonts w:asciiTheme="majorHAnsi" w:hAnsiTheme="majorHAnsi"/>
          <w:i/>
          <w:iCs/>
          <w:noProof/>
          <w:szCs w:val="22"/>
        </w:rPr>
        <w:t>54</w:t>
      </w:r>
      <w:r w:rsidRPr="003338D7">
        <w:rPr>
          <w:rFonts w:asciiTheme="majorHAnsi" w:hAnsiTheme="majorHAnsi"/>
          <w:noProof/>
          <w:szCs w:val="22"/>
        </w:rPr>
        <w:t>(1), 53–67.</w:t>
      </w:r>
    </w:p>
    <w:p w14:paraId="405182F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Goudie, A., &amp; Seely, M. (2011). </w:t>
      </w:r>
      <w:r w:rsidRPr="003338D7">
        <w:rPr>
          <w:rFonts w:asciiTheme="majorHAnsi" w:hAnsiTheme="majorHAnsi"/>
          <w:i/>
          <w:iCs/>
          <w:noProof/>
          <w:szCs w:val="22"/>
        </w:rPr>
        <w:t>World Heritage Desert Landscapes: Potential Priorities for the Recognition of Desert Landscapes and Geomorphological Sites on the World Heritage List</w:t>
      </w:r>
      <w:r w:rsidRPr="003338D7">
        <w:rPr>
          <w:rFonts w:asciiTheme="majorHAnsi" w:hAnsiTheme="majorHAnsi"/>
          <w:noProof/>
          <w:szCs w:val="22"/>
        </w:rPr>
        <w:t>. Gland, Switzerland: International Union for Conservation of Nature (IUCN).</w:t>
      </w:r>
    </w:p>
    <w:p w14:paraId="121A19A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Gould, W. A., Martinuzzi, S., &amp; Parés-Ramos, I. K. (2012). Land use, population dynamics, and land-cover change in eastern Puerto Rico. In S. F. Murphy &amp; R. F. Stallard (Eds.), </w:t>
      </w:r>
      <w:r w:rsidRPr="003338D7">
        <w:rPr>
          <w:rFonts w:asciiTheme="majorHAnsi" w:hAnsiTheme="majorHAnsi"/>
          <w:i/>
          <w:iCs/>
          <w:noProof/>
          <w:szCs w:val="22"/>
        </w:rPr>
        <w:t>Water Quality and Landscape Processes of Four Watersheds in Eastern Puerto Rico</w:t>
      </w:r>
      <w:r w:rsidRPr="003338D7">
        <w:rPr>
          <w:rFonts w:asciiTheme="majorHAnsi" w:hAnsiTheme="majorHAnsi"/>
          <w:noProof/>
          <w:szCs w:val="22"/>
        </w:rPr>
        <w:t xml:space="preserve"> (pp. 25–42). Reston, USA: U.S. Geological Survey / Professional Paper 1789.</w:t>
      </w:r>
    </w:p>
    <w:p w14:paraId="0E578A1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Goulson, D., Nicholls, E., Botías, C., &amp; Rotheray, E. L. (2015). Bee declines driven by combined stress from parasites, pesticides, and lack of flowers.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347</w:t>
      </w:r>
      <w:r w:rsidRPr="003338D7">
        <w:rPr>
          <w:rFonts w:asciiTheme="majorHAnsi" w:hAnsiTheme="majorHAnsi"/>
          <w:noProof/>
          <w:szCs w:val="22"/>
        </w:rPr>
        <w:t xml:space="preserve">(6229), 1255957. </w:t>
      </w:r>
      <w:hyperlink r:id="rId437" w:history="1">
        <w:r w:rsidRPr="003338D7">
          <w:rPr>
            <w:rStyle w:val="Hyperlink"/>
            <w:rFonts w:asciiTheme="majorHAnsi" w:hAnsiTheme="majorHAnsi"/>
            <w:noProof/>
            <w:szCs w:val="22"/>
          </w:rPr>
          <w:t>http://doi.org/10.1126/science.1255957</w:t>
        </w:r>
      </w:hyperlink>
    </w:p>
    <w:p w14:paraId="4F596D7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Government of Canada. (1991). </w:t>
      </w:r>
      <w:r w:rsidRPr="003338D7">
        <w:rPr>
          <w:rFonts w:asciiTheme="majorHAnsi" w:hAnsiTheme="majorHAnsi"/>
          <w:i/>
          <w:iCs/>
          <w:noProof/>
          <w:szCs w:val="22"/>
        </w:rPr>
        <w:t>The Federal Policy on Wetland Conservation</w:t>
      </w:r>
      <w:r w:rsidRPr="003338D7">
        <w:rPr>
          <w:rFonts w:asciiTheme="majorHAnsi" w:hAnsiTheme="majorHAnsi"/>
          <w:noProof/>
          <w:szCs w:val="22"/>
        </w:rPr>
        <w:t xml:space="preserve">. Ottawa, Canada. Retrieved from </w:t>
      </w:r>
      <w:hyperlink r:id="rId438" w:history="1">
        <w:r w:rsidRPr="003338D7">
          <w:rPr>
            <w:rStyle w:val="Hyperlink"/>
            <w:rFonts w:asciiTheme="majorHAnsi" w:hAnsiTheme="majorHAnsi"/>
            <w:noProof/>
            <w:szCs w:val="22"/>
          </w:rPr>
          <w:t>http://publications.gc.ca/collections/Collection/CW66-116-1991E.pdf</w:t>
        </w:r>
      </w:hyperlink>
    </w:p>
    <w:p w14:paraId="34C8872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Government of Canada. (2009). </w:t>
      </w:r>
      <w:r w:rsidRPr="003338D7">
        <w:rPr>
          <w:rFonts w:asciiTheme="majorHAnsi" w:hAnsiTheme="majorHAnsi"/>
          <w:i/>
          <w:iCs/>
          <w:noProof/>
          <w:szCs w:val="22"/>
        </w:rPr>
        <w:t>Canada’s Fourth National Report to the United Nations Convention on Biological Diversity</w:t>
      </w:r>
      <w:r w:rsidRPr="003338D7">
        <w:rPr>
          <w:rFonts w:asciiTheme="majorHAnsi" w:hAnsiTheme="majorHAnsi"/>
          <w:noProof/>
          <w:szCs w:val="22"/>
        </w:rPr>
        <w:t xml:space="preserve">. Retrieved from </w:t>
      </w:r>
      <w:hyperlink r:id="rId439" w:history="1">
        <w:r w:rsidRPr="003338D7">
          <w:rPr>
            <w:rStyle w:val="Hyperlink"/>
            <w:rFonts w:asciiTheme="majorHAnsi" w:hAnsiTheme="majorHAnsi"/>
            <w:noProof/>
            <w:szCs w:val="22"/>
          </w:rPr>
          <w:t>https://www.cbd.int/doc/world/ca/ca-nr-04-en.pdf</w:t>
        </w:r>
      </w:hyperlink>
    </w:p>
    <w:p w14:paraId="0BF4D93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Gowda, J. H., Kitzberger, T., &amp; Premoli, A. C. (2012). </w:t>
      </w:r>
      <w:r w:rsidRPr="003338D7">
        <w:rPr>
          <w:rFonts w:asciiTheme="majorHAnsi" w:hAnsiTheme="majorHAnsi"/>
          <w:noProof/>
          <w:szCs w:val="22"/>
        </w:rPr>
        <w:t xml:space="preserve">Landscape responses to a century of land use along the northern Patagonian forest-steppe transition. </w:t>
      </w:r>
      <w:r w:rsidRPr="003338D7">
        <w:rPr>
          <w:rFonts w:asciiTheme="majorHAnsi" w:hAnsiTheme="majorHAnsi"/>
          <w:i/>
          <w:iCs/>
          <w:noProof/>
          <w:szCs w:val="22"/>
        </w:rPr>
        <w:t>Plant Ecology</w:t>
      </w:r>
      <w:r w:rsidRPr="003338D7">
        <w:rPr>
          <w:rFonts w:asciiTheme="majorHAnsi" w:hAnsiTheme="majorHAnsi"/>
          <w:noProof/>
          <w:szCs w:val="22"/>
        </w:rPr>
        <w:t xml:space="preserve">, </w:t>
      </w:r>
      <w:r w:rsidRPr="003338D7">
        <w:rPr>
          <w:rFonts w:asciiTheme="majorHAnsi" w:hAnsiTheme="majorHAnsi"/>
          <w:i/>
          <w:iCs/>
          <w:noProof/>
          <w:szCs w:val="22"/>
        </w:rPr>
        <w:t>213</w:t>
      </w:r>
      <w:r w:rsidRPr="003338D7">
        <w:rPr>
          <w:rFonts w:asciiTheme="majorHAnsi" w:hAnsiTheme="majorHAnsi"/>
          <w:noProof/>
          <w:szCs w:val="22"/>
        </w:rPr>
        <w:t xml:space="preserve">(2), 259–272. </w:t>
      </w:r>
      <w:hyperlink r:id="rId440" w:history="1">
        <w:r w:rsidRPr="003338D7">
          <w:rPr>
            <w:rStyle w:val="Hyperlink"/>
            <w:rFonts w:asciiTheme="majorHAnsi" w:hAnsiTheme="majorHAnsi"/>
            <w:noProof/>
            <w:szCs w:val="22"/>
          </w:rPr>
          <w:t>http://doi.org/10.1007/s11258-011-9972-5</w:t>
        </w:r>
      </w:hyperlink>
    </w:p>
    <w:p w14:paraId="4B3E508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Grace, J. B., Anderson, T. M., Seabloom, E. W., Borer, E. T., Adler, P. B., Harpole, W. S., Hautier, Y., Hillebrand, H., Lind, E. M., Pärtel, M., Bakker, J. D., Buckley, Y. M., Crawley, M. J., Damschen, E. I., Davies, K. F., Fay, P. A., Firn, J., Gruner, D. S., Hector, A., Knops, J. M. H., MacDougall, A. S., Melbourne, B. A., Morgan, J. W., Orrock, J. L., Prober, S. M., &amp; Smith, M. D. (2016). Integrative modelling reveals mechanisms linking productivity and plant species richness.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529</w:t>
      </w:r>
      <w:r w:rsidRPr="003338D7">
        <w:rPr>
          <w:rFonts w:asciiTheme="majorHAnsi" w:hAnsiTheme="majorHAnsi"/>
          <w:noProof/>
          <w:szCs w:val="22"/>
          <w:lang w:val="es-ES"/>
        </w:rPr>
        <w:t xml:space="preserve">(7586), 390–393. </w:t>
      </w:r>
      <w:hyperlink r:id="rId441" w:history="1">
        <w:r w:rsidRPr="003338D7">
          <w:rPr>
            <w:rStyle w:val="Hyperlink"/>
            <w:rFonts w:asciiTheme="majorHAnsi" w:hAnsiTheme="majorHAnsi"/>
            <w:noProof/>
            <w:szCs w:val="22"/>
            <w:lang w:val="es-ES"/>
          </w:rPr>
          <w:t>https://doi.org/10.1038/nature16524</w:t>
        </w:r>
      </w:hyperlink>
    </w:p>
    <w:p w14:paraId="30A4F9D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Gradinger, R., Bluhm, B. A., Hopcroft, R. R., Gebruk, A. V., Kosobokova, K., Sirenko, B., &amp; Węsławski, J. M. (2010). </w:t>
      </w:r>
      <w:r w:rsidRPr="003338D7">
        <w:rPr>
          <w:rFonts w:asciiTheme="majorHAnsi" w:hAnsiTheme="majorHAnsi"/>
          <w:noProof/>
          <w:szCs w:val="22"/>
        </w:rPr>
        <w:t xml:space="preserve">Marine life in the Arctic. In A. D. McIntyre (Ed.), </w:t>
      </w:r>
      <w:r w:rsidRPr="003338D7">
        <w:rPr>
          <w:rFonts w:asciiTheme="majorHAnsi" w:hAnsiTheme="majorHAnsi"/>
          <w:i/>
          <w:iCs/>
          <w:noProof/>
          <w:szCs w:val="22"/>
        </w:rPr>
        <w:t>Life in the World’s Oceans: Diversity, Distribution, and Abundance</w:t>
      </w:r>
      <w:r w:rsidRPr="003338D7">
        <w:rPr>
          <w:rFonts w:asciiTheme="majorHAnsi" w:hAnsiTheme="majorHAnsi"/>
          <w:noProof/>
          <w:szCs w:val="22"/>
        </w:rPr>
        <w:t xml:space="preserve"> (pp. 183–202). New Jersey, USA: Willey Blackwell Publishing.</w:t>
      </w:r>
    </w:p>
    <w:p w14:paraId="4411143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Grau, H. R., Gasparri, N. I., &amp; Aide, T. M. (2005). Agriculture expansion and deforestation in seasonally dry forests of north-west Argentina. </w:t>
      </w:r>
      <w:r w:rsidRPr="003338D7">
        <w:rPr>
          <w:rFonts w:asciiTheme="majorHAnsi" w:hAnsiTheme="majorHAnsi"/>
          <w:i/>
          <w:iCs/>
          <w:noProof/>
          <w:szCs w:val="22"/>
          <w:lang w:val="es-ES"/>
        </w:rPr>
        <w:t>Environmental Conservation</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32</w:t>
      </w:r>
      <w:r w:rsidRPr="003338D7">
        <w:rPr>
          <w:rFonts w:asciiTheme="majorHAnsi" w:hAnsiTheme="majorHAnsi"/>
          <w:noProof/>
          <w:szCs w:val="22"/>
          <w:lang w:val="es-ES"/>
        </w:rPr>
        <w:t>(2), 140–148.</w:t>
      </w:r>
    </w:p>
    <w:p w14:paraId="5E41E99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Grau, H. R., Pérez, M., Martinuzzi, S., Encarnación, X., &amp; Aide, T. M. (2008). Cambios socioeconómicos y regeneración del bosque en la República Dominicana. In M. González-Espinosa, J. M. Rey-Benayas, &amp; N. Ramírez-Marcial (Eds.), </w:t>
      </w:r>
      <w:r w:rsidRPr="003338D7">
        <w:rPr>
          <w:rFonts w:asciiTheme="majorHAnsi" w:hAnsiTheme="majorHAnsi"/>
          <w:i/>
          <w:iCs/>
          <w:noProof/>
          <w:szCs w:val="22"/>
          <w:lang w:val="es-ES"/>
        </w:rPr>
        <w:t>Restauración de Bosques en América Latina</w:t>
      </w:r>
      <w:r w:rsidRPr="003338D7">
        <w:rPr>
          <w:rFonts w:asciiTheme="majorHAnsi" w:hAnsiTheme="majorHAnsi"/>
          <w:noProof/>
          <w:szCs w:val="22"/>
          <w:lang w:val="es-ES"/>
        </w:rPr>
        <w:t xml:space="preserve"> (pp. 211–227). Ciudad de México, México: Fundación Internacional para la Restauración de Ecosistemas (FIRE) and Editorial Mundi-Prensa México.</w:t>
      </w:r>
    </w:p>
    <w:p w14:paraId="21AAE44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Grez, A., Zaviezo, T., Gonzalez, G., &amp; Rothman, S. (2010). </w:t>
      </w:r>
      <w:r w:rsidRPr="003338D7">
        <w:rPr>
          <w:rFonts w:asciiTheme="majorHAnsi" w:hAnsiTheme="majorHAnsi"/>
          <w:i/>
          <w:iCs/>
          <w:noProof/>
          <w:szCs w:val="22"/>
        </w:rPr>
        <w:t>Harmonia axyridis</w:t>
      </w:r>
      <w:r w:rsidRPr="003338D7">
        <w:rPr>
          <w:rFonts w:asciiTheme="majorHAnsi" w:hAnsiTheme="majorHAnsi"/>
          <w:noProof/>
          <w:szCs w:val="22"/>
        </w:rPr>
        <w:t xml:space="preserve"> in Chile: a new threat. </w:t>
      </w:r>
      <w:r w:rsidRPr="003338D7">
        <w:rPr>
          <w:rFonts w:asciiTheme="majorHAnsi" w:hAnsiTheme="majorHAnsi"/>
          <w:i/>
          <w:iCs/>
          <w:noProof/>
          <w:szCs w:val="22"/>
          <w:lang w:val="es-ES"/>
        </w:rPr>
        <w:t>Ciencia E Investigacion Agraria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37</w:t>
      </w:r>
      <w:r w:rsidRPr="003338D7">
        <w:rPr>
          <w:rFonts w:asciiTheme="majorHAnsi" w:hAnsiTheme="majorHAnsi"/>
          <w:noProof/>
          <w:szCs w:val="22"/>
          <w:lang w:val="es-ES"/>
        </w:rPr>
        <w:t xml:space="preserve">(3), 145–149. </w:t>
      </w:r>
      <w:hyperlink r:id="rId442" w:history="1">
        <w:r w:rsidRPr="003338D7">
          <w:rPr>
            <w:rStyle w:val="Hyperlink"/>
            <w:rFonts w:asciiTheme="majorHAnsi" w:hAnsiTheme="majorHAnsi"/>
            <w:noProof/>
            <w:szCs w:val="22"/>
            <w:lang w:val="es-ES"/>
          </w:rPr>
          <w:t>http://doi.org/10.4067/S0718-16202010000300013</w:t>
        </w:r>
      </w:hyperlink>
    </w:p>
    <w:p w14:paraId="340447E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Grez, A., Zaviezo, T., Roy, H. E., Brown, P. M. J., &amp; Bizama, G. (2016). </w:t>
      </w:r>
      <w:r w:rsidRPr="003338D7">
        <w:rPr>
          <w:rFonts w:asciiTheme="majorHAnsi" w:hAnsiTheme="majorHAnsi"/>
          <w:noProof/>
          <w:szCs w:val="22"/>
        </w:rPr>
        <w:t xml:space="preserve">Rapid spread of </w:t>
      </w:r>
      <w:r w:rsidRPr="003338D7">
        <w:rPr>
          <w:rFonts w:asciiTheme="majorHAnsi" w:hAnsiTheme="majorHAnsi"/>
          <w:i/>
          <w:iCs/>
          <w:noProof/>
          <w:szCs w:val="22"/>
        </w:rPr>
        <w:t>Harmonia axyridis</w:t>
      </w:r>
      <w:r w:rsidRPr="003338D7">
        <w:rPr>
          <w:rFonts w:asciiTheme="majorHAnsi" w:hAnsiTheme="majorHAnsi"/>
          <w:noProof/>
          <w:szCs w:val="22"/>
        </w:rPr>
        <w:t xml:space="preserve"> in Chile and its effects on local coccinellid biodiversity. </w:t>
      </w:r>
      <w:r w:rsidRPr="003338D7">
        <w:rPr>
          <w:rFonts w:asciiTheme="majorHAnsi" w:hAnsiTheme="majorHAnsi"/>
          <w:i/>
          <w:iCs/>
          <w:noProof/>
          <w:szCs w:val="22"/>
        </w:rPr>
        <w:t>Diversity and Distributions</w:t>
      </w:r>
      <w:r w:rsidRPr="003338D7">
        <w:rPr>
          <w:rFonts w:asciiTheme="majorHAnsi" w:hAnsiTheme="majorHAnsi"/>
          <w:noProof/>
          <w:szCs w:val="22"/>
        </w:rPr>
        <w:t xml:space="preserve">, </w:t>
      </w:r>
      <w:r w:rsidRPr="003338D7">
        <w:rPr>
          <w:rFonts w:asciiTheme="majorHAnsi" w:hAnsiTheme="majorHAnsi"/>
          <w:i/>
          <w:iCs/>
          <w:noProof/>
          <w:szCs w:val="22"/>
        </w:rPr>
        <w:t>22</w:t>
      </w:r>
      <w:r w:rsidRPr="003338D7">
        <w:rPr>
          <w:rFonts w:asciiTheme="majorHAnsi" w:hAnsiTheme="majorHAnsi"/>
          <w:noProof/>
          <w:szCs w:val="22"/>
        </w:rPr>
        <w:t xml:space="preserve">(9), 982–994. </w:t>
      </w:r>
      <w:hyperlink r:id="rId443" w:history="1">
        <w:r w:rsidRPr="003338D7">
          <w:rPr>
            <w:rStyle w:val="Hyperlink"/>
            <w:rFonts w:asciiTheme="majorHAnsi" w:hAnsiTheme="majorHAnsi"/>
            <w:noProof/>
            <w:szCs w:val="22"/>
          </w:rPr>
          <w:t>http://doi.org/10.1111/ddi.12455</w:t>
        </w:r>
      </w:hyperlink>
    </w:p>
    <w:p w14:paraId="2346D65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Griffin, D., &amp; Anchukaitis, K. J. (2014). How unusual is the 2012-2014 California drought? </w:t>
      </w:r>
      <w:r w:rsidRPr="003338D7">
        <w:rPr>
          <w:rFonts w:asciiTheme="majorHAnsi" w:hAnsiTheme="majorHAnsi"/>
          <w:i/>
          <w:iCs/>
          <w:noProof/>
          <w:szCs w:val="22"/>
        </w:rPr>
        <w:t>Geophysical Research Letters</w:t>
      </w:r>
      <w:r w:rsidRPr="003338D7">
        <w:rPr>
          <w:rFonts w:asciiTheme="majorHAnsi" w:hAnsiTheme="majorHAnsi"/>
          <w:noProof/>
          <w:szCs w:val="22"/>
        </w:rPr>
        <w:t xml:space="preserve">, </w:t>
      </w:r>
      <w:r w:rsidRPr="003338D7">
        <w:rPr>
          <w:rFonts w:asciiTheme="majorHAnsi" w:hAnsiTheme="majorHAnsi"/>
          <w:i/>
          <w:iCs/>
          <w:noProof/>
          <w:szCs w:val="22"/>
        </w:rPr>
        <w:t>41</w:t>
      </w:r>
      <w:r w:rsidRPr="003338D7">
        <w:rPr>
          <w:rFonts w:asciiTheme="majorHAnsi" w:hAnsiTheme="majorHAnsi"/>
          <w:noProof/>
          <w:szCs w:val="22"/>
        </w:rPr>
        <w:t xml:space="preserve">(24), 9017–9023. </w:t>
      </w:r>
      <w:hyperlink r:id="rId444" w:history="1">
        <w:r w:rsidRPr="003338D7">
          <w:rPr>
            <w:rStyle w:val="Hyperlink"/>
            <w:rFonts w:asciiTheme="majorHAnsi" w:hAnsiTheme="majorHAnsi"/>
            <w:noProof/>
            <w:szCs w:val="22"/>
          </w:rPr>
          <w:t>http://doi.org/10.1002/2014GL062433</w:t>
        </w:r>
      </w:hyperlink>
    </w:p>
    <w:p w14:paraId="6F99794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Grimm, N. B., Cook, E. M., Hale, R. L., Iwaniec, D. M., Seto, K. C., Solecki, W., &amp; Griffith, C. A. (2015). A broader framing of ecosystem services in cities: benefits and challenges of built, natural, or hybrid system function. In K. C. Seto, W. D. Solecki, &amp; C. A. Griffith (Eds.), </w:t>
      </w:r>
      <w:r w:rsidRPr="003338D7">
        <w:rPr>
          <w:rFonts w:asciiTheme="majorHAnsi" w:hAnsiTheme="majorHAnsi"/>
          <w:i/>
          <w:iCs/>
          <w:noProof/>
          <w:szCs w:val="22"/>
        </w:rPr>
        <w:t>The Routledge Handbook of Urbanization and Global Environmental Change</w:t>
      </w:r>
      <w:r w:rsidRPr="003338D7">
        <w:rPr>
          <w:rFonts w:asciiTheme="majorHAnsi" w:hAnsiTheme="majorHAnsi"/>
          <w:noProof/>
          <w:szCs w:val="22"/>
        </w:rPr>
        <w:t xml:space="preserve"> (pp. 203–212). New York, USA: Routeledge Taylor &amp; Francis Group. Retrieved from </w:t>
      </w:r>
      <w:hyperlink r:id="rId445" w:history="1">
        <w:r w:rsidRPr="003338D7">
          <w:rPr>
            <w:rStyle w:val="Hyperlink"/>
            <w:rFonts w:asciiTheme="majorHAnsi" w:hAnsiTheme="majorHAnsi"/>
            <w:noProof/>
            <w:szCs w:val="22"/>
          </w:rPr>
          <w:t>https://www.routledgehandbooks.com/doi/10.4324/9781315849256.ch14</w:t>
        </w:r>
      </w:hyperlink>
    </w:p>
    <w:p w14:paraId="6DCEA96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Grimm, N. B., Faeth, S. H., Golubiewski, N. E., Redman, C. L., Wu, J., Bai, X., &amp; Briggs, J. M. (2008). Global change and the ecology of cities.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319</w:t>
      </w:r>
      <w:r w:rsidRPr="003338D7">
        <w:rPr>
          <w:rFonts w:asciiTheme="majorHAnsi" w:hAnsiTheme="majorHAnsi"/>
          <w:noProof/>
          <w:szCs w:val="22"/>
        </w:rPr>
        <w:t xml:space="preserve">(5864), 756–760. </w:t>
      </w:r>
      <w:hyperlink r:id="rId446" w:history="1">
        <w:r w:rsidRPr="003338D7">
          <w:rPr>
            <w:rStyle w:val="Hyperlink"/>
            <w:rFonts w:asciiTheme="majorHAnsi" w:hAnsiTheme="majorHAnsi"/>
            <w:noProof/>
            <w:szCs w:val="22"/>
          </w:rPr>
          <w:t>http://doi.org/10.1126/science.1150195</w:t>
        </w:r>
      </w:hyperlink>
    </w:p>
    <w:p w14:paraId="2C45C42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Groffman, P. M., Bain, D. J., Band, L. E., Belt, K. T., Brush, G. S., Grove, J. M., Pouyat, R. V., Yesilonis, I. C., &amp; Zipperer, W. C. (2003). Down by the riverside: urban riparian ecology. </w:t>
      </w:r>
      <w:r w:rsidRPr="003338D7">
        <w:rPr>
          <w:rFonts w:asciiTheme="majorHAnsi" w:hAnsiTheme="majorHAnsi"/>
          <w:i/>
          <w:iCs/>
          <w:noProof/>
          <w:szCs w:val="22"/>
          <w:lang w:val="es-ES"/>
        </w:rPr>
        <w:t>Frontiers in Ecology and the Environment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w:t>
      </w:r>
      <w:r w:rsidRPr="003338D7">
        <w:rPr>
          <w:rFonts w:asciiTheme="majorHAnsi" w:hAnsiTheme="majorHAnsi"/>
          <w:noProof/>
          <w:szCs w:val="22"/>
          <w:lang w:val="es-ES"/>
        </w:rPr>
        <w:t xml:space="preserve">(6), 315–321. </w:t>
      </w:r>
      <w:hyperlink r:id="rId447" w:history="1">
        <w:r w:rsidRPr="003338D7">
          <w:rPr>
            <w:rStyle w:val="Hyperlink"/>
            <w:rFonts w:asciiTheme="majorHAnsi" w:hAnsiTheme="majorHAnsi"/>
            <w:noProof/>
            <w:szCs w:val="22"/>
            <w:lang w:val="es-ES"/>
          </w:rPr>
          <w:t>https://doi.org/10.2307/3868092</w:t>
        </w:r>
      </w:hyperlink>
    </w:p>
    <w:p w14:paraId="0B8245F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Groffman, P. M., Cavender-Bares, J., Bettez, N. D., Grove, J. M., Hall, S. J., Heffernan, J. B., Hobbie, S. E., Larson, K. L., Morse, J. L., Neill, C., Nelson, K., O’Neil-Dunne, J., Ogden, L., Pataki, D. E., Polsky, C., Chowdhury, R. R., &amp; Steele, M. K. (2014). Ecological homogenization of urban USA. </w:t>
      </w:r>
      <w:r w:rsidRPr="003338D7">
        <w:rPr>
          <w:rFonts w:asciiTheme="majorHAnsi" w:hAnsiTheme="majorHAnsi"/>
          <w:i/>
          <w:iCs/>
          <w:noProof/>
          <w:szCs w:val="22"/>
          <w:lang w:val="es-ES"/>
        </w:rPr>
        <w:t>Frontiers in Ecology and the Environment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12</w:t>
      </w:r>
      <w:r w:rsidRPr="003338D7">
        <w:rPr>
          <w:rFonts w:asciiTheme="majorHAnsi" w:hAnsiTheme="majorHAnsi"/>
          <w:noProof/>
          <w:szCs w:val="22"/>
          <w:lang w:val="es-ES"/>
        </w:rPr>
        <w:t xml:space="preserve">(1), 74–81. </w:t>
      </w:r>
      <w:hyperlink r:id="rId448" w:history="1">
        <w:r w:rsidRPr="003338D7">
          <w:rPr>
            <w:rStyle w:val="Hyperlink"/>
            <w:rFonts w:asciiTheme="majorHAnsi" w:hAnsiTheme="majorHAnsi"/>
            <w:noProof/>
            <w:szCs w:val="22"/>
            <w:lang w:val="es-ES"/>
          </w:rPr>
          <w:t>https://doi.org/10.1890/120374</w:t>
        </w:r>
      </w:hyperlink>
    </w:p>
    <w:p w14:paraId="1FC2C0A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Gudynas, E. (2009). </w:t>
      </w:r>
      <w:r w:rsidRPr="003338D7">
        <w:rPr>
          <w:rFonts w:asciiTheme="majorHAnsi" w:hAnsiTheme="majorHAnsi"/>
          <w:i/>
          <w:iCs/>
          <w:noProof/>
          <w:szCs w:val="22"/>
          <w:lang w:val="es-ES"/>
        </w:rPr>
        <w:t>El Mandato Ecológico. Derechos de la Naturaleza y Políticas Ambientales en la Nueva Constitución</w:t>
      </w:r>
      <w:r w:rsidRPr="003338D7">
        <w:rPr>
          <w:rFonts w:asciiTheme="majorHAnsi" w:hAnsiTheme="majorHAnsi"/>
          <w:noProof/>
          <w:szCs w:val="22"/>
          <w:lang w:val="es-ES"/>
        </w:rPr>
        <w:t>. Quito, Ecuador: Abya Yala.</w:t>
      </w:r>
    </w:p>
    <w:p w14:paraId="0D6517F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Gudynas, E. (2011). Buen vivir: germinando alternativas al desarrollo. </w:t>
      </w:r>
      <w:r w:rsidRPr="003338D7">
        <w:rPr>
          <w:rFonts w:asciiTheme="majorHAnsi" w:hAnsiTheme="majorHAnsi"/>
          <w:i/>
          <w:iCs/>
          <w:noProof/>
          <w:szCs w:val="22"/>
          <w:lang w:val="es-ES"/>
        </w:rPr>
        <w:t>Revista América Latina En Movimiento</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462</w:t>
      </w:r>
      <w:r w:rsidRPr="003338D7">
        <w:rPr>
          <w:rFonts w:asciiTheme="majorHAnsi" w:hAnsiTheme="majorHAnsi"/>
          <w:noProof/>
          <w:szCs w:val="22"/>
          <w:lang w:val="es-ES"/>
        </w:rPr>
        <w:t>, 1–20.</w:t>
      </w:r>
    </w:p>
    <w:p w14:paraId="7A56188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Guerrero, P. C., Durán, A. P., &amp; Walter, H. E. (2011). </w:t>
      </w:r>
      <w:r w:rsidRPr="003338D7">
        <w:rPr>
          <w:rFonts w:asciiTheme="majorHAnsi" w:hAnsiTheme="majorHAnsi"/>
          <w:noProof/>
          <w:szCs w:val="22"/>
        </w:rPr>
        <w:t xml:space="preserve">Latitudinal and altitudinal patterns of the endemic cacti from the Atacama desert to Mediterranean Chile. </w:t>
      </w:r>
      <w:r w:rsidRPr="003338D7">
        <w:rPr>
          <w:rFonts w:asciiTheme="majorHAnsi" w:hAnsiTheme="majorHAnsi"/>
          <w:i/>
          <w:iCs/>
          <w:noProof/>
          <w:szCs w:val="22"/>
        </w:rPr>
        <w:t>Journal of Arid Environments</w:t>
      </w:r>
      <w:r w:rsidRPr="003338D7">
        <w:rPr>
          <w:rFonts w:asciiTheme="majorHAnsi" w:hAnsiTheme="majorHAnsi"/>
          <w:noProof/>
          <w:szCs w:val="22"/>
        </w:rPr>
        <w:t xml:space="preserve">, </w:t>
      </w:r>
      <w:r w:rsidRPr="003338D7">
        <w:rPr>
          <w:rFonts w:asciiTheme="majorHAnsi" w:hAnsiTheme="majorHAnsi"/>
          <w:i/>
          <w:iCs/>
          <w:noProof/>
          <w:szCs w:val="22"/>
        </w:rPr>
        <w:t>75</w:t>
      </w:r>
      <w:r w:rsidRPr="003338D7">
        <w:rPr>
          <w:rFonts w:asciiTheme="majorHAnsi" w:hAnsiTheme="majorHAnsi"/>
          <w:noProof/>
          <w:szCs w:val="22"/>
        </w:rPr>
        <w:t xml:space="preserve">(11), 991–997. </w:t>
      </w:r>
      <w:hyperlink r:id="rId449" w:history="1">
        <w:r w:rsidRPr="003338D7">
          <w:rPr>
            <w:rStyle w:val="Hyperlink"/>
            <w:rFonts w:asciiTheme="majorHAnsi" w:hAnsiTheme="majorHAnsi"/>
            <w:noProof/>
            <w:szCs w:val="22"/>
          </w:rPr>
          <w:t>http://doi.org/10.1016/j.jaridenv.2011.04.036</w:t>
        </w:r>
      </w:hyperlink>
    </w:p>
    <w:p w14:paraId="53F7E82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Guido, A., &amp; Pillar, V. D. (2017). Invasive plant removal: assessing community impact and recovery from invasion. </w:t>
      </w:r>
      <w:r w:rsidRPr="003338D7">
        <w:rPr>
          <w:rFonts w:asciiTheme="majorHAnsi" w:hAnsiTheme="majorHAnsi"/>
          <w:i/>
          <w:iCs/>
          <w:noProof/>
          <w:szCs w:val="22"/>
        </w:rPr>
        <w:t>Journal of Applied Ecology</w:t>
      </w:r>
      <w:r w:rsidRPr="003338D7">
        <w:rPr>
          <w:rFonts w:asciiTheme="majorHAnsi" w:hAnsiTheme="majorHAnsi"/>
          <w:noProof/>
          <w:szCs w:val="22"/>
        </w:rPr>
        <w:t xml:space="preserve">, </w:t>
      </w:r>
      <w:r w:rsidRPr="003338D7">
        <w:rPr>
          <w:rFonts w:asciiTheme="majorHAnsi" w:hAnsiTheme="majorHAnsi"/>
          <w:i/>
          <w:iCs/>
          <w:noProof/>
          <w:szCs w:val="22"/>
        </w:rPr>
        <w:t>54</w:t>
      </w:r>
      <w:r w:rsidRPr="003338D7">
        <w:rPr>
          <w:rFonts w:asciiTheme="majorHAnsi" w:hAnsiTheme="majorHAnsi"/>
          <w:noProof/>
          <w:szCs w:val="22"/>
        </w:rPr>
        <w:t xml:space="preserve">(4), 1230–1237. </w:t>
      </w:r>
      <w:hyperlink r:id="rId450" w:history="1">
        <w:r w:rsidRPr="003338D7">
          <w:rPr>
            <w:rStyle w:val="Hyperlink"/>
            <w:rFonts w:asciiTheme="majorHAnsi" w:hAnsiTheme="majorHAnsi"/>
            <w:noProof/>
            <w:szCs w:val="22"/>
          </w:rPr>
          <w:t>http://doi.org/10.1111/1365-2664.12848</w:t>
        </w:r>
      </w:hyperlink>
    </w:p>
    <w:p w14:paraId="68921CC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Güneralp, B., &amp; Seto, K. C. (2013). Futures of global urban expansion: uncertainties and implications for biodiversity conservation. </w:t>
      </w:r>
      <w:r w:rsidRPr="003338D7">
        <w:rPr>
          <w:rFonts w:asciiTheme="majorHAnsi" w:hAnsiTheme="majorHAnsi"/>
          <w:i/>
          <w:iCs/>
          <w:noProof/>
          <w:szCs w:val="22"/>
        </w:rPr>
        <w:t>Environmental Research Letters</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 xml:space="preserve">(1), 14025. </w:t>
      </w:r>
      <w:hyperlink r:id="rId451" w:history="1">
        <w:r w:rsidRPr="003338D7">
          <w:rPr>
            <w:rStyle w:val="Hyperlink"/>
            <w:rFonts w:asciiTheme="majorHAnsi" w:hAnsiTheme="majorHAnsi"/>
            <w:noProof/>
            <w:szCs w:val="22"/>
          </w:rPr>
          <w:t>http://doi.org/10.1088/1748-9326/8/1/014025</w:t>
        </w:r>
      </w:hyperlink>
    </w:p>
    <w:p w14:paraId="4866B46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Guns, M., &amp; Vanacker, V. (2013). Forest cover change trajectories and their impact on landslide occurrence in the tropical Andes. </w:t>
      </w:r>
      <w:r w:rsidRPr="003338D7">
        <w:rPr>
          <w:rFonts w:asciiTheme="majorHAnsi" w:hAnsiTheme="majorHAnsi"/>
          <w:i/>
          <w:iCs/>
          <w:noProof/>
          <w:szCs w:val="22"/>
        </w:rPr>
        <w:t>Environmental Earth Sciences</w:t>
      </w:r>
      <w:r w:rsidRPr="003338D7">
        <w:rPr>
          <w:rFonts w:asciiTheme="majorHAnsi" w:hAnsiTheme="majorHAnsi"/>
          <w:noProof/>
          <w:szCs w:val="22"/>
        </w:rPr>
        <w:t xml:space="preserve">, </w:t>
      </w:r>
      <w:r w:rsidRPr="003338D7">
        <w:rPr>
          <w:rFonts w:asciiTheme="majorHAnsi" w:hAnsiTheme="majorHAnsi"/>
          <w:i/>
          <w:iCs/>
          <w:noProof/>
          <w:szCs w:val="22"/>
        </w:rPr>
        <w:t>70</w:t>
      </w:r>
      <w:r w:rsidRPr="003338D7">
        <w:rPr>
          <w:rFonts w:asciiTheme="majorHAnsi" w:hAnsiTheme="majorHAnsi"/>
          <w:noProof/>
          <w:szCs w:val="22"/>
        </w:rPr>
        <w:t xml:space="preserve">(7), 2941–2952. </w:t>
      </w:r>
      <w:hyperlink r:id="rId452" w:history="1">
        <w:r w:rsidRPr="003338D7">
          <w:rPr>
            <w:rStyle w:val="Hyperlink"/>
            <w:rFonts w:asciiTheme="majorHAnsi" w:hAnsiTheme="majorHAnsi"/>
            <w:noProof/>
            <w:szCs w:val="22"/>
          </w:rPr>
          <w:t>http://doi.org/10.1007/s12665-013-2352-9</w:t>
        </w:r>
      </w:hyperlink>
    </w:p>
    <w:p w14:paraId="27233FB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Guo, L. B., &amp; Gifford, R. M. (2002). Soil carbon stocks and land use change: a meta analysis. </w:t>
      </w:r>
      <w:r w:rsidRPr="003338D7">
        <w:rPr>
          <w:rFonts w:asciiTheme="majorHAnsi" w:hAnsiTheme="majorHAnsi"/>
          <w:i/>
          <w:iCs/>
          <w:noProof/>
          <w:szCs w:val="22"/>
        </w:rPr>
        <w:t>Global Change Biology</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 xml:space="preserve">(4), 345–360. </w:t>
      </w:r>
      <w:hyperlink r:id="rId453" w:history="1">
        <w:r w:rsidRPr="003338D7">
          <w:rPr>
            <w:rStyle w:val="Hyperlink"/>
            <w:rFonts w:asciiTheme="majorHAnsi" w:hAnsiTheme="majorHAnsi"/>
            <w:noProof/>
            <w:szCs w:val="22"/>
          </w:rPr>
          <w:t>http://doi.org/10.1046/j.1354-1013.2002.00486.x</w:t>
        </w:r>
      </w:hyperlink>
    </w:p>
    <w:p w14:paraId="0E500BB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Gutiérrez, E. E., &amp; Marinho-Filho, J. (2017). The mammalian faunas endemic to the Cerrado and the Caatinga. </w:t>
      </w:r>
      <w:r w:rsidRPr="003338D7">
        <w:rPr>
          <w:rFonts w:asciiTheme="majorHAnsi" w:hAnsiTheme="majorHAnsi"/>
          <w:i/>
          <w:iCs/>
          <w:noProof/>
          <w:szCs w:val="22"/>
          <w:lang w:val="es-ES"/>
        </w:rPr>
        <w:t>ZooKeys</w:t>
      </w:r>
      <w:r w:rsidRPr="003338D7">
        <w:rPr>
          <w:rFonts w:asciiTheme="majorHAnsi" w:hAnsiTheme="majorHAnsi"/>
          <w:noProof/>
          <w:szCs w:val="22"/>
          <w:lang w:val="es-ES"/>
        </w:rPr>
        <w:t xml:space="preserve">, (644), 105–157. </w:t>
      </w:r>
      <w:hyperlink r:id="rId454" w:history="1">
        <w:r w:rsidRPr="003338D7">
          <w:rPr>
            <w:rStyle w:val="Hyperlink"/>
            <w:rFonts w:asciiTheme="majorHAnsi" w:hAnsiTheme="majorHAnsi"/>
            <w:noProof/>
            <w:szCs w:val="22"/>
            <w:lang w:val="es-ES"/>
          </w:rPr>
          <w:t>http://doi.org/10.3897/zookeys.644.10827</w:t>
        </w:r>
      </w:hyperlink>
    </w:p>
    <w:p w14:paraId="2FDE938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Gutiérrez, R., &amp; Schafleitner, R. (2007). </w:t>
      </w:r>
      <w:r w:rsidRPr="003338D7">
        <w:rPr>
          <w:rFonts w:asciiTheme="majorHAnsi" w:hAnsiTheme="majorHAnsi"/>
          <w:i/>
          <w:iCs/>
          <w:noProof/>
          <w:szCs w:val="22"/>
          <w:lang w:val="es-ES"/>
        </w:rPr>
        <w:t>Caracterización Morfofisiológica, Molecular y de Procesamiento para Cultivares de Papas Nativas en la Provincia de Canchis, Cusco</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Reporte de Investigación para Soluciones Prácticas-ITDG y Centro Internacional de la Papa</w:t>
      </w:r>
      <w:r w:rsidRPr="003338D7">
        <w:rPr>
          <w:rFonts w:asciiTheme="majorHAnsi" w:hAnsiTheme="majorHAnsi"/>
          <w:noProof/>
          <w:szCs w:val="22"/>
          <w:lang w:val="es-ES"/>
        </w:rPr>
        <w:t xml:space="preserve">. </w:t>
      </w:r>
      <w:r w:rsidRPr="003338D7">
        <w:rPr>
          <w:rFonts w:asciiTheme="majorHAnsi" w:hAnsiTheme="majorHAnsi"/>
          <w:noProof/>
          <w:szCs w:val="22"/>
        </w:rPr>
        <w:t>Lima, Perú.</w:t>
      </w:r>
    </w:p>
    <w:p w14:paraId="08CF257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Haag, W. R. (2009). Past and future patterns of freshwater mussel extinctions in North America during the Holocene. In S. Turvey (Ed.), </w:t>
      </w:r>
      <w:r w:rsidRPr="003338D7">
        <w:rPr>
          <w:rFonts w:asciiTheme="majorHAnsi" w:hAnsiTheme="majorHAnsi"/>
          <w:i/>
          <w:iCs/>
          <w:noProof/>
          <w:szCs w:val="22"/>
        </w:rPr>
        <w:t>Holocene Extinctions</w:t>
      </w:r>
      <w:r w:rsidRPr="003338D7">
        <w:rPr>
          <w:rFonts w:asciiTheme="majorHAnsi" w:hAnsiTheme="majorHAnsi"/>
          <w:noProof/>
          <w:szCs w:val="22"/>
        </w:rPr>
        <w:t xml:space="preserve"> (pp. 107–128). Oxford, UK: Oxford University Press.</w:t>
      </w:r>
    </w:p>
    <w:p w14:paraId="0DDC5A1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Haberl, H., Erb, K. H., Krausmann, F., Gaube, V., Bondeau, A., Plutzar, C., Gingrich, S., Lucht, W., &amp; Fischer-Kowalski, M. (2007). Quantifying and mapping the human appropriation of net primary production in earth’s terrestrial ecosystems.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104</w:t>
      </w:r>
      <w:r w:rsidRPr="003338D7">
        <w:rPr>
          <w:rFonts w:asciiTheme="majorHAnsi" w:hAnsiTheme="majorHAnsi"/>
          <w:noProof/>
          <w:szCs w:val="22"/>
          <w:lang w:val="es-ES"/>
        </w:rPr>
        <w:t xml:space="preserve">(31), 12942–12947. </w:t>
      </w:r>
      <w:hyperlink r:id="rId455" w:history="1">
        <w:r w:rsidRPr="003338D7">
          <w:rPr>
            <w:rStyle w:val="Hyperlink"/>
            <w:rFonts w:asciiTheme="majorHAnsi" w:hAnsiTheme="majorHAnsi"/>
            <w:noProof/>
            <w:szCs w:val="22"/>
            <w:lang w:val="es-ES"/>
          </w:rPr>
          <w:t>https://doi.org/10.1073/pnas.0704243104</w:t>
        </w:r>
      </w:hyperlink>
    </w:p>
    <w:p w14:paraId="5979B9E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Haddad, N. M., Brudvig, L. A., Clobert, J., Davies, K. F., Gonzalez, A., Holt, R. D., Lovejoy, T. E., Sexton, J. O., Austin, M. P., Collins, C. D., Cook, W. M., Damschen, E. I., Ewers, R. M., Foster, B. L., Jenkins, C. N., King, A. J., Laurance, W. F., Levey, D. J., Margules, C. R., Melbourne, B. A., Nicholls, A. O., Orrock, J. L., Song, D.-X., &amp; Townshend, J. R. (2015). Habitat fragmentation and its lasting impact on Earth’s ecosystems. </w:t>
      </w:r>
      <w:r w:rsidRPr="003338D7">
        <w:rPr>
          <w:rFonts w:asciiTheme="majorHAnsi" w:hAnsiTheme="majorHAnsi"/>
          <w:i/>
          <w:iCs/>
          <w:noProof/>
          <w:szCs w:val="22"/>
          <w:lang w:val="es-ES"/>
        </w:rPr>
        <w:t>Science Advances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w:t>
      </w:r>
      <w:r w:rsidRPr="003338D7">
        <w:rPr>
          <w:rFonts w:asciiTheme="majorHAnsi" w:hAnsiTheme="majorHAnsi"/>
          <w:noProof/>
          <w:szCs w:val="22"/>
          <w:lang w:val="es-ES"/>
        </w:rPr>
        <w:t>(2), e1500052.</w:t>
      </w:r>
      <w:hyperlink r:id="rId456" w:history="1">
        <w:r w:rsidRPr="003338D7">
          <w:rPr>
            <w:rStyle w:val="Hyperlink"/>
            <w:rFonts w:asciiTheme="majorHAnsi" w:hAnsiTheme="majorHAnsi"/>
            <w:noProof/>
            <w:szCs w:val="22"/>
            <w:lang w:val="es-ES"/>
          </w:rPr>
          <w:t>https://doi.org/10.1126/sciadv.1500052</w:t>
        </w:r>
      </w:hyperlink>
    </w:p>
    <w:p w14:paraId="2DDD31E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Hale, C. M., Frelich, L. E., Reich, P. B., &amp; Pastor, J. (2005). Effects of European earthworm invasion on soil characteristics in northern hardwood forests of Minnesota, USA. </w:t>
      </w:r>
      <w:r w:rsidRPr="003338D7">
        <w:rPr>
          <w:rFonts w:asciiTheme="majorHAnsi" w:hAnsiTheme="majorHAnsi"/>
          <w:i/>
          <w:iCs/>
          <w:noProof/>
          <w:szCs w:val="22"/>
        </w:rPr>
        <w:t>Ecosystems</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 xml:space="preserve">(8), 911–927. </w:t>
      </w:r>
      <w:hyperlink r:id="rId457" w:history="1">
        <w:r w:rsidRPr="003338D7">
          <w:rPr>
            <w:rStyle w:val="Hyperlink"/>
            <w:rFonts w:asciiTheme="majorHAnsi" w:hAnsiTheme="majorHAnsi"/>
            <w:noProof/>
            <w:szCs w:val="22"/>
          </w:rPr>
          <w:t>http://doi.org/10.1007/s10021-005-0066-x</w:t>
        </w:r>
      </w:hyperlink>
    </w:p>
    <w:p w14:paraId="19CF343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Hall, S. J., Learned, J., Ruddell, B., Larson, K. L., Cavender-Bares, J., Bettez, N., Groffman, P. M., Grove, J. M., Heffernan, J. B., Hobbie, S. E., Morse, J. L., Neill, C., Nelson, K. C., ONeil-Dunne, J. P. M., Ogden, L., Pataki, D. E., Pearse, W. D., Polsky, C., Chowdhury, R. R., Steele, M. K., &amp; Trammell, T. L. E. (2016). Convergence of microclimate in residential landscapes across diverse cities in the United States. </w:t>
      </w:r>
      <w:r w:rsidRPr="003338D7">
        <w:rPr>
          <w:rFonts w:asciiTheme="majorHAnsi" w:hAnsiTheme="majorHAnsi"/>
          <w:i/>
          <w:iCs/>
          <w:noProof/>
          <w:szCs w:val="22"/>
          <w:lang w:val="es-ES"/>
        </w:rPr>
        <w:t>Landscape Ecology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31</w:t>
      </w:r>
      <w:r w:rsidRPr="003338D7">
        <w:rPr>
          <w:rFonts w:asciiTheme="majorHAnsi" w:hAnsiTheme="majorHAnsi"/>
          <w:noProof/>
          <w:szCs w:val="22"/>
          <w:lang w:val="es-ES"/>
        </w:rPr>
        <w:t xml:space="preserve">(1), 101–117. </w:t>
      </w:r>
      <w:hyperlink r:id="rId458" w:history="1">
        <w:r w:rsidRPr="003338D7">
          <w:rPr>
            <w:rStyle w:val="Hyperlink"/>
            <w:rFonts w:asciiTheme="majorHAnsi" w:hAnsiTheme="majorHAnsi"/>
            <w:noProof/>
            <w:szCs w:val="22"/>
            <w:lang w:val="es-ES"/>
          </w:rPr>
          <w:t>https://doi.org/10.1007/s10980-015-0297-y</w:t>
        </w:r>
      </w:hyperlink>
    </w:p>
    <w:p w14:paraId="3D140E8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Halpern, B. S., Walbridge, S., Selkoe, K. A., Kappel, C. V., Micheli, F., D’Agrosa, C., Bruno, J. F., Casey, K. S., Ebert, C., Fox, H. E., Fujita, R., Heinemann, D., Lenihan, H. S., Madin, E. M. P., Perry, M. T., Selig, E. R., Spaldin, M., Steneck, R., &amp; Watson, R. (2008). A global map of human impact on marine ecosystems.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319</w:t>
      </w:r>
      <w:r w:rsidRPr="003338D7">
        <w:rPr>
          <w:rFonts w:asciiTheme="majorHAnsi" w:hAnsiTheme="majorHAnsi"/>
          <w:noProof/>
          <w:szCs w:val="22"/>
          <w:lang w:val="es-ES"/>
        </w:rPr>
        <w:t xml:space="preserve">(5865), 948–952. </w:t>
      </w:r>
      <w:hyperlink r:id="rId459" w:history="1">
        <w:r w:rsidRPr="003338D7">
          <w:rPr>
            <w:rStyle w:val="Hyperlink"/>
            <w:rFonts w:asciiTheme="majorHAnsi" w:hAnsiTheme="majorHAnsi"/>
            <w:noProof/>
            <w:szCs w:val="22"/>
            <w:lang w:val="es-ES"/>
          </w:rPr>
          <w:t>https://doi.org/10.1126/science.1149345</w:t>
        </w:r>
      </w:hyperlink>
    </w:p>
    <w:p w14:paraId="457D5ED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Halsey, R., &amp; Syphard, A. (2016). High-severity fire in chaparral: cognitive dissonance in the shrublands. In D. A. DellaSala &amp; C. T. Hanson (Eds.), </w:t>
      </w:r>
      <w:r w:rsidRPr="003338D7">
        <w:rPr>
          <w:rFonts w:asciiTheme="majorHAnsi" w:hAnsiTheme="majorHAnsi"/>
          <w:i/>
          <w:iCs/>
          <w:noProof/>
          <w:szCs w:val="22"/>
        </w:rPr>
        <w:t>The Ecological Importance of Mixed-Severity Fires: Nature’s Phoenix</w:t>
      </w:r>
      <w:r w:rsidRPr="003338D7">
        <w:rPr>
          <w:rFonts w:asciiTheme="majorHAnsi" w:hAnsiTheme="majorHAnsi"/>
          <w:noProof/>
          <w:szCs w:val="22"/>
        </w:rPr>
        <w:t xml:space="preserve"> (p. 177–209.). New York, USA: Elsevier.</w:t>
      </w:r>
    </w:p>
    <w:p w14:paraId="75ACB1E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Hamer, A. J., &amp; McDonnell, M. J. (2008). Amphibian ecology and conservation in the urbanising world: A review.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141</w:t>
      </w:r>
      <w:r w:rsidRPr="003338D7">
        <w:rPr>
          <w:rFonts w:asciiTheme="majorHAnsi" w:hAnsiTheme="majorHAnsi"/>
          <w:noProof/>
          <w:szCs w:val="22"/>
        </w:rPr>
        <w:t xml:space="preserve">(10), 2432–2449. </w:t>
      </w:r>
      <w:hyperlink r:id="rId460" w:history="1">
        <w:r w:rsidRPr="003338D7">
          <w:rPr>
            <w:rStyle w:val="Hyperlink"/>
            <w:rFonts w:asciiTheme="majorHAnsi" w:hAnsiTheme="majorHAnsi"/>
            <w:noProof/>
            <w:szCs w:val="22"/>
          </w:rPr>
          <w:t>http://doi.org/10.1016/j.biocon.2008.07.020</w:t>
        </w:r>
      </w:hyperlink>
    </w:p>
    <w:p w14:paraId="7D32BE0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Hammel, B. (1990). The distribution of diversity among families, genera and habitat types in the La Selva Flora. In A. H. Gentry (Ed.), </w:t>
      </w:r>
      <w:r w:rsidRPr="003338D7">
        <w:rPr>
          <w:rFonts w:asciiTheme="majorHAnsi" w:hAnsiTheme="majorHAnsi"/>
          <w:i/>
          <w:iCs/>
          <w:noProof/>
          <w:szCs w:val="22"/>
        </w:rPr>
        <w:t>Four Neotropical Rainforests</w:t>
      </w:r>
      <w:r w:rsidRPr="003338D7">
        <w:rPr>
          <w:rFonts w:asciiTheme="majorHAnsi" w:hAnsiTheme="majorHAnsi"/>
          <w:noProof/>
          <w:szCs w:val="22"/>
        </w:rPr>
        <w:t xml:space="preserve"> (pp. 75–84). New Haven, USA: Yale University Press.</w:t>
      </w:r>
    </w:p>
    <w:p w14:paraId="1EB18A0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Hansen, M. C., Potapov, P. V., Moore, R., Hancher, M., Turubanova, S. A., Tyukavina, A., Thau, D., Stehman, S. V., Goetz, S. J., Loveland, T. R., Kommareddy, A., Egorov, A., Chini, L., Justice, C. O., &amp; Townshend, J. R. G. (2013). High-resolution global maps of 21st-century forest cover change.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342</w:t>
      </w:r>
      <w:r w:rsidRPr="003338D7">
        <w:rPr>
          <w:rFonts w:asciiTheme="majorHAnsi" w:hAnsiTheme="majorHAnsi"/>
          <w:noProof/>
          <w:szCs w:val="22"/>
          <w:lang w:val="es-ES"/>
        </w:rPr>
        <w:t xml:space="preserve">(6160), 850–853. </w:t>
      </w:r>
      <w:hyperlink r:id="rId461" w:history="1">
        <w:r w:rsidRPr="003338D7">
          <w:rPr>
            <w:rStyle w:val="Hyperlink"/>
            <w:rFonts w:asciiTheme="majorHAnsi" w:hAnsiTheme="majorHAnsi"/>
            <w:noProof/>
            <w:szCs w:val="22"/>
            <w:lang w:val="es-ES"/>
          </w:rPr>
          <w:t>https://doi.org/10.1126/science.1244693</w:t>
        </w:r>
      </w:hyperlink>
    </w:p>
    <w:p w14:paraId="1C092D4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Harlan, J. (1961). Geographic origin of plants useful to agriculture. In </w:t>
      </w:r>
      <w:r w:rsidRPr="003338D7">
        <w:rPr>
          <w:rFonts w:asciiTheme="majorHAnsi" w:hAnsiTheme="majorHAnsi"/>
          <w:i/>
          <w:iCs/>
          <w:noProof/>
          <w:szCs w:val="22"/>
        </w:rPr>
        <w:t>Germplasm Resources</w:t>
      </w:r>
      <w:r w:rsidRPr="003338D7">
        <w:rPr>
          <w:rFonts w:asciiTheme="majorHAnsi" w:hAnsiTheme="majorHAnsi"/>
          <w:noProof/>
          <w:szCs w:val="22"/>
        </w:rPr>
        <w:t xml:space="preserve"> (pp. 3–19). Washington D.C., USA: American Association for the Advancement of Science.</w:t>
      </w:r>
    </w:p>
    <w:p w14:paraId="2719A9A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Harlan, J. R. (1971). Agricultural origins: centers and noncenters.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174</w:t>
      </w:r>
      <w:r w:rsidRPr="003338D7">
        <w:rPr>
          <w:rFonts w:asciiTheme="majorHAnsi" w:hAnsiTheme="majorHAnsi"/>
          <w:noProof/>
          <w:szCs w:val="22"/>
        </w:rPr>
        <w:t xml:space="preserve">(4008), 468–474. </w:t>
      </w:r>
      <w:hyperlink r:id="rId462" w:history="1">
        <w:r w:rsidRPr="003338D7">
          <w:rPr>
            <w:rStyle w:val="Hyperlink"/>
            <w:rFonts w:asciiTheme="majorHAnsi" w:hAnsiTheme="majorHAnsi"/>
            <w:noProof/>
            <w:szCs w:val="22"/>
          </w:rPr>
          <w:t>http://doi.org/10.1126/science.174.4008.468</w:t>
        </w:r>
      </w:hyperlink>
    </w:p>
    <w:p w14:paraId="1E8DFE0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Harris, J. B. C., Reid, J. L., Scheffers, B. R., Wanger, T. C., Sodhi, N. S., Fordham, D. A., &amp; Brook, B. W. (2012). Conserving imperiled species: a comparison of the IUCN Red List and U.S. Endangered Species Act. </w:t>
      </w:r>
      <w:r w:rsidRPr="003338D7">
        <w:rPr>
          <w:rFonts w:asciiTheme="majorHAnsi" w:hAnsiTheme="majorHAnsi"/>
          <w:i/>
          <w:iCs/>
          <w:noProof/>
          <w:szCs w:val="22"/>
        </w:rPr>
        <w:t>Conservation Letters</w:t>
      </w:r>
      <w:r w:rsidRPr="003338D7">
        <w:rPr>
          <w:rFonts w:asciiTheme="majorHAnsi" w:hAnsiTheme="majorHAnsi"/>
          <w:noProof/>
          <w:szCs w:val="22"/>
        </w:rPr>
        <w:t xml:space="preserve">, </w:t>
      </w:r>
      <w:r w:rsidRPr="003338D7">
        <w:rPr>
          <w:rFonts w:asciiTheme="majorHAnsi" w:hAnsiTheme="majorHAnsi"/>
          <w:i/>
          <w:iCs/>
          <w:noProof/>
          <w:szCs w:val="22"/>
        </w:rPr>
        <w:t>5</w:t>
      </w:r>
      <w:r w:rsidRPr="003338D7">
        <w:rPr>
          <w:rFonts w:asciiTheme="majorHAnsi" w:hAnsiTheme="majorHAnsi"/>
          <w:noProof/>
          <w:szCs w:val="22"/>
        </w:rPr>
        <w:t>(1), 64–72.</w:t>
      </w:r>
    </w:p>
    <w:p w14:paraId="4857194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Harsch, M. A., Hulme, P. E., McGlone, M. S., &amp; Duncan, R. P. (2009). Are treelines advancing? A global meta</w:t>
      </w:r>
      <w:r w:rsidRPr="003338D7">
        <w:rPr>
          <w:rFonts w:asciiTheme="majorHAnsi" w:hAnsiTheme="majorHAnsi" w:cs="Cambria Math"/>
          <w:noProof/>
          <w:szCs w:val="22"/>
        </w:rPr>
        <w:t>‐</w:t>
      </w:r>
      <w:r w:rsidRPr="003338D7">
        <w:rPr>
          <w:rFonts w:asciiTheme="majorHAnsi" w:hAnsiTheme="majorHAnsi"/>
          <w:noProof/>
          <w:szCs w:val="22"/>
        </w:rPr>
        <w:t xml:space="preserve">analysis of treeline response to climate warming. </w:t>
      </w:r>
      <w:r w:rsidRPr="003338D7">
        <w:rPr>
          <w:rFonts w:asciiTheme="majorHAnsi" w:hAnsiTheme="majorHAnsi"/>
          <w:i/>
          <w:iCs/>
          <w:noProof/>
          <w:szCs w:val="22"/>
        </w:rPr>
        <w:t>Ecology Letters</w:t>
      </w:r>
      <w:r w:rsidRPr="003338D7">
        <w:rPr>
          <w:rFonts w:asciiTheme="majorHAnsi" w:hAnsiTheme="majorHAnsi"/>
          <w:noProof/>
          <w:szCs w:val="22"/>
        </w:rPr>
        <w:t xml:space="preserve">, </w:t>
      </w:r>
      <w:r w:rsidRPr="003338D7">
        <w:rPr>
          <w:rFonts w:asciiTheme="majorHAnsi" w:hAnsiTheme="majorHAnsi"/>
          <w:i/>
          <w:iCs/>
          <w:noProof/>
          <w:szCs w:val="22"/>
        </w:rPr>
        <w:t>12</w:t>
      </w:r>
      <w:r w:rsidRPr="003338D7">
        <w:rPr>
          <w:rFonts w:asciiTheme="majorHAnsi" w:hAnsiTheme="majorHAnsi"/>
          <w:noProof/>
          <w:szCs w:val="22"/>
        </w:rPr>
        <w:t>(10), 1040–1049.</w:t>
      </w:r>
    </w:p>
    <w:p w14:paraId="50717E4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Harvell, C. D. (1999). Emerging marine diseases--climate links and anthropogenic factors.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285</w:t>
      </w:r>
      <w:r w:rsidRPr="003338D7">
        <w:rPr>
          <w:rFonts w:asciiTheme="majorHAnsi" w:hAnsiTheme="majorHAnsi"/>
          <w:noProof/>
          <w:szCs w:val="22"/>
        </w:rPr>
        <w:t xml:space="preserve">(5433), 1505–1510. </w:t>
      </w:r>
      <w:hyperlink r:id="rId463" w:history="1">
        <w:r w:rsidRPr="003338D7">
          <w:rPr>
            <w:rStyle w:val="Hyperlink"/>
            <w:rFonts w:asciiTheme="majorHAnsi" w:hAnsiTheme="majorHAnsi"/>
            <w:noProof/>
            <w:szCs w:val="22"/>
          </w:rPr>
          <w:t>http://doi.org/10.1126/science.285.5433.1505</w:t>
        </w:r>
      </w:hyperlink>
    </w:p>
    <w:p w14:paraId="2D0545B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Hatcher, M. J., Dick, J. T. A., &amp; Dunn, A. M. (2012). Disease emergence and invasions. </w:t>
      </w:r>
      <w:r w:rsidRPr="003338D7">
        <w:rPr>
          <w:rFonts w:asciiTheme="majorHAnsi" w:hAnsiTheme="majorHAnsi"/>
          <w:i/>
          <w:iCs/>
          <w:noProof/>
          <w:szCs w:val="22"/>
        </w:rPr>
        <w:t>Functional Ecology</w:t>
      </w:r>
      <w:r w:rsidRPr="003338D7">
        <w:rPr>
          <w:rFonts w:asciiTheme="majorHAnsi" w:hAnsiTheme="majorHAnsi"/>
          <w:noProof/>
          <w:szCs w:val="22"/>
        </w:rPr>
        <w:t xml:space="preserve">, </w:t>
      </w:r>
      <w:r w:rsidRPr="003338D7">
        <w:rPr>
          <w:rFonts w:asciiTheme="majorHAnsi" w:hAnsiTheme="majorHAnsi"/>
          <w:i/>
          <w:iCs/>
          <w:noProof/>
          <w:szCs w:val="22"/>
        </w:rPr>
        <w:t>26</w:t>
      </w:r>
      <w:r w:rsidRPr="003338D7">
        <w:rPr>
          <w:rFonts w:asciiTheme="majorHAnsi" w:hAnsiTheme="majorHAnsi"/>
          <w:noProof/>
          <w:szCs w:val="22"/>
        </w:rPr>
        <w:t xml:space="preserve">(6), 1275–1287. </w:t>
      </w:r>
      <w:hyperlink r:id="rId464" w:history="1">
        <w:r w:rsidRPr="003338D7">
          <w:rPr>
            <w:rStyle w:val="Hyperlink"/>
            <w:rFonts w:asciiTheme="majorHAnsi" w:hAnsiTheme="majorHAnsi"/>
            <w:noProof/>
            <w:szCs w:val="22"/>
          </w:rPr>
          <w:t>http://doi.org/10.1111/j.1365-2435.2012.02031.x</w:t>
        </w:r>
      </w:hyperlink>
    </w:p>
    <w:p w14:paraId="3E4FC5C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Hautier, Y., Seabloom, E. W., Borer, E. T., Adler, P. B., Harpole, W. S., Hillebrand, H., Lind, E. M., MacDougall, A. S., Stevens, C. J., Bakker, J. D., Buckley, Y. M., Chu, C., Collins, S. L., Daleo, P., Damschen, E. I., Davies, K. F., Fay, P. A., Firn, J., Gruner, D. S., Jin, V. L., Klein, J. A., Knops, J. M. H., La Pierre, K. J., Li, W., McCulley, R. L., Melbourne, B. A., Moore, J. L., O’Halloran, L. R., Prober, S. M., Risch, A. C., Sankaran, M., Schuetz, M., &amp; Hector, A. (2014). Eutrophication weakens stabilizing effects of diversity in natural grasslands.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508</w:t>
      </w:r>
      <w:r w:rsidRPr="003338D7">
        <w:rPr>
          <w:rFonts w:asciiTheme="majorHAnsi" w:hAnsiTheme="majorHAnsi"/>
          <w:noProof/>
          <w:szCs w:val="22"/>
          <w:lang w:val="es-ES"/>
        </w:rPr>
        <w:t xml:space="preserve">(7497), 521–525. </w:t>
      </w:r>
      <w:hyperlink r:id="rId465" w:history="1">
        <w:r w:rsidRPr="003338D7">
          <w:rPr>
            <w:rStyle w:val="Hyperlink"/>
            <w:rFonts w:asciiTheme="majorHAnsi" w:hAnsiTheme="majorHAnsi"/>
            <w:noProof/>
            <w:szCs w:val="22"/>
            <w:lang w:val="es-ES"/>
          </w:rPr>
          <w:t>https://doi.org/10.1038/nature13014</w:t>
        </w:r>
      </w:hyperlink>
    </w:p>
    <w:p w14:paraId="1564719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Hayes, D. J., Kicklighter, D. W., McGuire, A. D., Chen, M., Zhuang, Q., Yuan, F., Melillo, J. M., &amp; Wullschleger, S. D. (2014). The impacts of recent permafrost thaw on land-atmosphere greenhouse gas exchange. </w:t>
      </w:r>
      <w:r w:rsidRPr="003338D7">
        <w:rPr>
          <w:rFonts w:asciiTheme="majorHAnsi" w:hAnsiTheme="majorHAnsi"/>
          <w:i/>
          <w:iCs/>
          <w:noProof/>
          <w:szCs w:val="22"/>
          <w:lang w:val="es-ES"/>
        </w:rPr>
        <w:t>Environmental Research Letters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w:t>
      </w:r>
      <w:r w:rsidRPr="003338D7">
        <w:rPr>
          <w:rFonts w:asciiTheme="majorHAnsi" w:hAnsiTheme="majorHAnsi"/>
          <w:noProof/>
          <w:szCs w:val="22"/>
          <w:lang w:val="es-ES"/>
        </w:rPr>
        <w:t xml:space="preserve">(4), 045005. </w:t>
      </w:r>
      <w:hyperlink r:id="rId466" w:history="1">
        <w:r w:rsidRPr="003338D7">
          <w:rPr>
            <w:rStyle w:val="Hyperlink"/>
            <w:rFonts w:asciiTheme="majorHAnsi" w:hAnsiTheme="majorHAnsi"/>
            <w:noProof/>
            <w:szCs w:val="22"/>
            <w:lang w:val="es-ES"/>
          </w:rPr>
          <w:t>https://doi.org/10.1088/1748-9326/9/4/045005</w:t>
        </w:r>
      </w:hyperlink>
    </w:p>
    <w:p w14:paraId="49675E9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Heath, L. S., Smith, J. E., Skog, K. E., Nowak, D. J., &amp; Woodall, C. W. (2011). Managed forest carbon estimates for the US greenhouse gas inventory, 1990-2008. </w:t>
      </w:r>
      <w:r w:rsidRPr="003338D7">
        <w:rPr>
          <w:rFonts w:asciiTheme="majorHAnsi" w:hAnsiTheme="majorHAnsi"/>
          <w:i/>
          <w:iCs/>
          <w:noProof/>
          <w:szCs w:val="22"/>
        </w:rPr>
        <w:t>Journal of Forestry</w:t>
      </w:r>
      <w:r w:rsidRPr="003338D7">
        <w:rPr>
          <w:rFonts w:asciiTheme="majorHAnsi" w:hAnsiTheme="majorHAnsi"/>
          <w:noProof/>
          <w:szCs w:val="22"/>
        </w:rPr>
        <w:t xml:space="preserve">, </w:t>
      </w:r>
      <w:r w:rsidRPr="003338D7">
        <w:rPr>
          <w:rFonts w:asciiTheme="majorHAnsi" w:hAnsiTheme="majorHAnsi"/>
          <w:i/>
          <w:iCs/>
          <w:noProof/>
          <w:szCs w:val="22"/>
        </w:rPr>
        <w:t>109</w:t>
      </w:r>
      <w:r w:rsidRPr="003338D7">
        <w:rPr>
          <w:rFonts w:asciiTheme="majorHAnsi" w:hAnsiTheme="majorHAnsi"/>
          <w:noProof/>
          <w:szCs w:val="22"/>
        </w:rPr>
        <w:t>(3), 167–173.</w:t>
      </w:r>
    </w:p>
    <w:p w14:paraId="1DA4966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Hector, A., Bell, T., Hautier, Y., Isbell, F., Kéry, M., Reich, P. B., van Ruijven, J., &amp; Schmid, B. (2011). BUGS in the analysis of biodiversity experiments: species richness and composition are of similar importance for grassland productivity.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w:t>
      </w:r>
      <w:r w:rsidRPr="003338D7">
        <w:rPr>
          <w:rFonts w:asciiTheme="majorHAnsi" w:hAnsiTheme="majorHAnsi"/>
          <w:noProof/>
          <w:szCs w:val="22"/>
          <w:lang w:val="es-ES"/>
        </w:rPr>
        <w:t xml:space="preserve">(3), e17434. </w:t>
      </w:r>
      <w:hyperlink r:id="rId467" w:history="1">
        <w:r w:rsidRPr="003338D7">
          <w:rPr>
            <w:rStyle w:val="Hyperlink"/>
            <w:rFonts w:asciiTheme="majorHAnsi" w:hAnsiTheme="majorHAnsi"/>
            <w:noProof/>
            <w:szCs w:val="22"/>
            <w:lang w:val="es-ES"/>
          </w:rPr>
          <w:t>https://doi.org/10.1371/journal.pone.0017434</w:t>
        </w:r>
      </w:hyperlink>
    </w:p>
    <w:p w14:paraId="4E2BD00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Hendrix, P. F., Baker, G. H., Calaham, M. A., Damoff, G. A., Fragoso, C., Gonzalez, G., James, S. W., Lachnicht, S. L., Winsome, T., &amp; Zou, X. (2006). Invasion of exotic earthworms into ecosystems inhabited by native earthworms. </w:t>
      </w:r>
      <w:r w:rsidRPr="003338D7">
        <w:rPr>
          <w:rFonts w:asciiTheme="majorHAnsi" w:hAnsiTheme="majorHAnsi"/>
          <w:i/>
          <w:iCs/>
          <w:noProof/>
          <w:szCs w:val="22"/>
          <w:lang w:val="es-ES"/>
        </w:rPr>
        <w:t>Biological Invasions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w:t>
      </w:r>
      <w:r w:rsidRPr="003338D7">
        <w:rPr>
          <w:rFonts w:asciiTheme="majorHAnsi" w:hAnsiTheme="majorHAnsi"/>
          <w:noProof/>
          <w:szCs w:val="22"/>
          <w:lang w:val="es-ES"/>
        </w:rPr>
        <w:t xml:space="preserve">(6), 1287–1300. </w:t>
      </w:r>
      <w:hyperlink r:id="rId468" w:history="1">
        <w:r w:rsidRPr="003338D7">
          <w:rPr>
            <w:rStyle w:val="Hyperlink"/>
            <w:rFonts w:asciiTheme="majorHAnsi" w:hAnsiTheme="majorHAnsi"/>
            <w:noProof/>
            <w:szCs w:val="22"/>
            <w:lang w:val="es-ES"/>
          </w:rPr>
          <w:t>https://doi.org/10.1007/978-1-4020-5429-7_9</w:t>
        </w:r>
      </w:hyperlink>
    </w:p>
    <w:p w14:paraId="01D9779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Herms, D. A., &amp; McCullough, D. G. (2014). Emerald ash borer invasion of North America: history, biology, ecology, impacts, and management. </w:t>
      </w:r>
      <w:r w:rsidRPr="003338D7">
        <w:rPr>
          <w:rFonts w:asciiTheme="majorHAnsi" w:hAnsiTheme="majorHAnsi"/>
          <w:i/>
          <w:iCs/>
          <w:noProof/>
          <w:szCs w:val="22"/>
        </w:rPr>
        <w:t>Annual Review of Entomology</w:t>
      </w:r>
      <w:r w:rsidRPr="003338D7">
        <w:rPr>
          <w:rFonts w:asciiTheme="majorHAnsi" w:hAnsiTheme="majorHAnsi"/>
          <w:noProof/>
          <w:szCs w:val="22"/>
        </w:rPr>
        <w:t xml:space="preserve">, </w:t>
      </w:r>
      <w:r w:rsidRPr="003338D7">
        <w:rPr>
          <w:rFonts w:asciiTheme="majorHAnsi" w:hAnsiTheme="majorHAnsi"/>
          <w:i/>
          <w:iCs/>
          <w:noProof/>
          <w:szCs w:val="22"/>
        </w:rPr>
        <w:t>59</w:t>
      </w:r>
      <w:r w:rsidRPr="003338D7">
        <w:rPr>
          <w:rFonts w:asciiTheme="majorHAnsi" w:hAnsiTheme="majorHAnsi"/>
          <w:noProof/>
          <w:szCs w:val="22"/>
        </w:rPr>
        <w:t xml:space="preserve">, 13–30. </w:t>
      </w:r>
      <w:hyperlink r:id="rId469" w:history="1">
        <w:r w:rsidRPr="003338D7">
          <w:rPr>
            <w:rStyle w:val="Hyperlink"/>
            <w:rFonts w:asciiTheme="majorHAnsi" w:hAnsiTheme="majorHAnsi"/>
            <w:noProof/>
            <w:szCs w:val="22"/>
          </w:rPr>
          <w:t>http://doi.org/10.1146/annurev-ento-011613-162051</w:t>
        </w:r>
      </w:hyperlink>
    </w:p>
    <w:p w14:paraId="0ECE834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Hernández, A., Miranda, M. D., Arellano, E. C., &amp; Dobbs, C. (2016). Landscape trajectories and their effect on fragmentation for a Mediterranean semi-arid ecosystem in Central Chile. </w:t>
      </w:r>
      <w:r w:rsidRPr="003338D7">
        <w:rPr>
          <w:rFonts w:asciiTheme="majorHAnsi" w:hAnsiTheme="majorHAnsi"/>
          <w:i/>
          <w:iCs/>
          <w:noProof/>
          <w:szCs w:val="22"/>
        </w:rPr>
        <w:t>Journal of Arid Environments</w:t>
      </w:r>
      <w:r w:rsidRPr="003338D7">
        <w:rPr>
          <w:rFonts w:asciiTheme="majorHAnsi" w:hAnsiTheme="majorHAnsi"/>
          <w:noProof/>
          <w:szCs w:val="22"/>
        </w:rPr>
        <w:t xml:space="preserve">, </w:t>
      </w:r>
      <w:r w:rsidRPr="003338D7">
        <w:rPr>
          <w:rFonts w:asciiTheme="majorHAnsi" w:hAnsiTheme="majorHAnsi"/>
          <w:i/>
          <w:iCs/>
          <w:noProof/>
          <w:szCs w:val="22"/>
        </w:rPr>
        <w:t>127</w:t>
      </w:r>
      <w:r w:rsidRPr="003338D7">
        <w:rPr>
          <w:rFonts w:asciiTheme="majorHAnsi" w:hAnsiTheme="majorHAnsi"/>
          <w:noProof/>
          <w:szCs w:val="22"/>
        </w:rPr>
        <w:t>, 74–81.</w:t>
      </w:r>
    </w:p>
    <w:p w14:paraId="238FDC7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Hernández, G. (Ed.). (1999). </w:t>
      </w:r>
      <w:r w:rsidRPr="003338D7">
        <w:rPr>
          <w:rFonts w:asciiTheme="majorHAnsi" w:hAnsiTheme="majorHAnsi"/>
          <w:i/>
          <w:iCs/>
          <w:noProof/>
          <w:szCs w:val="22"/>
        </w:rPr>
        <w:t>Mesoamerican Wetlands. Ramsar sites in Central America and Mexico</w:t>
      </w:r>
      <w:r w:rsidRPr="003338D7">
        <w:rPr>
          <w:rFonts w:asciiTheme="majorHAnsi" w:hAnsiTheme="majorHAnsi"/>
          <w:noProof/>
          <w:szCs w:val="22"/>
        </w:rPr>
        <w:t xml:space="preserve">. </w:t>
      </w:r>
      <w:r w:rsidRPr="003338D7">
        <w:rPr>
          <w:rFonts w:asciiTheme="majorHAnsi" w:hAnsiTheme="majorHAnsi"/>
          <w:noProof/>
          <w:szCs w:val="22"/>
          <w:lang w:val="es-ES"/>
        </w:rPr>
        <w:t>San José, Costa Rica: Unión Mundial para la Naturaleza (UICN)/ ORMA.</w:t>
      </w:r>
    </w:p>
    <w:p w14:paraId="6109BA9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Hernández, X. (1985). Biología agrícola: los conocimientos biológicos y su aplicación a la agricultura. México: CECSA.</w:t>
      </w:r>
    </w:p>
    <w:p w14:paraId="4D48FCC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Hicke, J. A., Asner, G. P., Randerson, J. T., Tucker, C. J., Los, S., Birdsey, R. A., Jenkins, J. C., &amp; Field, C. B. (2002). Trends in North American net primary productivity derived from satellite observations, 1982-1998. </w:t>
      </w:r>
      <w:r w:rsidRPr="003338D7">
        <w:rPr>
          <w:rFonts w:asciiTheme="majorHAnsi" w:hAnsiTheme="majorHAnsi"/>
          <w:i/>
          <w:iCs/>
          <w:noProof/>
          <w:szCs w:val="22"/>
          <w:lang w:val="es-ES"/>
        </w:rPr>
        <w:t>Global Biogeochemical Cycles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16</w:t>
      </w:r>
      <w:r w:rsidRPr="003338D7">
        <w:rPr>
          <w:rFonts w:asciiTheme="majorHAnsi" w:hAnsiTheme="majorHAnsi"/>
          <w:noProof/>
          <w:szCs w:val="22"/>
          <w:lang w:val="es-ES"/>
        </w:rPr>
        <w:t xml:space="preserve">(2), 1019. </w:t>
      </w:r>
      <w:hyperlink r:id="rId470" w:history="1">
        <w:r w:rsidRPr="003338D7">
          <w:rPr>
            <w:rStyle w:val="Hyperlink"/>
            <w:rFonts w:asciiTheme="majorHAnsi" w:hAnsiTheme="majorHAnsi"/>
            <w:noProof/>
            <w:szCs w:val="22"/>
            <w:lang w:val="es-ES"/>
          </w:rPr>
          <w:t>https://doi.org/10.1029/2001GB001550</w:t>
        </w:r>
      </w:hyperlink>
    </w:p>
    <w:p w14:paraId="0415BBF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Higgins, S. N., &amp; Vander Zanden, M. J. (2010). What a difference a species makes: a meta-analysis of dreissenid mussel impacts on freshwater ecosystems. </w:t>
      </w:r>
      <w:r w:rsidRPr="003338D7">
        <w:rPr>
          <w:rFonts w:asciiTheme="majorHAnsi" w:hAnsiTheme="majorHAnsi"/>
          <w:i/>
          <w:iCs/>
          <w:noProof/>
          <w:szCs w:val="22"/>
        </w:rPr>
        <w:t>Ecological Monographs</w:t>
      </w:r>
      <w:r w:rsidRPr="003338D7">
        <w:rPr>
          <w:rFonts w:asciiTheme="majorHAnsi" w:hAnsiTheme="majorHAnsi"/>
          <w:noProof/>
          <w:szCs w:val="22"/>
        </w:rPr>
        <w:t xml:space="preserve">, </w:t>
      </w:r>
      <w:r w:rsidRPr="003338D7">
        <w:rPr>
          <w:rFonts w:asciiTheme="majorHAnsi" w:hAnsiTheme="majorHAnsi"/>
          <w:i/>
          <w:iCs/>
          <w:noProof/>
          <w:szCs w:val="22"/>
        </w:rPr>
        <w:t>80</w:t>
      </w:r>
      <w:r w:rsidRPr="003338D7">
        <w:rPr>
          <w:rFonts w:asciiTheme="majorHAnsi" w:hAnsiTheme="majorHAnsi"/>
          <w:noProof/>
          <w:szCs w:val="22"/>
        </w:rPr>
        <w:t>(2), 179–196.</w:t>
      </w:r>
    </w:p>
    <w:p w14:paraId="50D9385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Highly Migratory Species Management Division. (2006). </w:t>
      </w:r>
      <w:r w:rsidRPr="003338D7">
        <w:rPr>
          <w:rFonts w:asciiTheme="majorHAnsi" w:hAnsiTheme="majorHAnsi"/>
          <w:i/>
          <w:iCs/>
          <w:noProof/>
          <w:szCs w:val="22"/>
        </w:rPr>
        <w:t>SEDAR 11: Stock Assessment Report: Large Coastal Shark Complex, Blacktip and Sandbar Shark</w:t>
      </w:r>
      <w:r w:rsidRPr="003338D7">
        <w:rPr>
          <w:rFonts w:asciiTheme="majorHAnsi" w:hAnsiTheme="majorHAnsi"/>
          <w:noProof/>
          <w:szCs w:val="22"/>
        </w:rPr>
        <w:t xml:space="preserve">. Silver Spring, USA: National Marine Fisheries Service (NMFS). Retrieved from </w:t>
      </w:r>
      <w:hyperlink r:id="rId471" w:history="1">
        <w:r w:rsidRPr="003338D7">
          <w:rPr>
            <w:rStyle w:val="Hyperlink"/>
            <w:rFonts w:asciiTheme="majorHAnsi" w:hAnsiTheme="majorHAnsi"/>
            <w:noProof/>
            <w:szCs w:val="22"/>
          </w:rPr>
          <w:t>http://sedarweb.org/docs/sar/Final_LCS_SAR.pdf</w:t>
        </w:r>
      </w:hyperlink>
    </w:p>
    <w:p w14:paraId="385254B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Hijmans, R. J. (2016). Raster: Geographic Data Analysis and Modeling. R package version 2.5-8. Retrieved from https://cran.r-project.org/package=raster</w:t>
      </w:r>
    </w:p>
    <w:p w14:paraId="4989C44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Himsworth, C. G., Parsons, K. L., Jardine, C., &amp; Patrick, D. M. (2013). Rats, cities, people, and pathogens: A systematic review and narrative synthesis of literature regarding the ecology of rat-associated zoonoses in urban centers. </w:t>
      </w:r>
      <w:r w:rsidRPr="003338D7">
        <w:rPr>
          <w:rFonts w:asciiTheme="majorHAnsi" w:hAnsiTheme="majorHAnsi"/>
          <w:i/>
          <w:iCs/>
          <w:noProof/>
          <w:szCs w:val="22"/>
        </w:rPr>
        <w:t>Vector-Borne and Zoonotic Diseases</w:t>
      </w:r>
      <w:r w:rsidRPr="003338D7">
        <w:rPr>
          <w:rFonts w:asciiTheme="majorHAnsi" w:hAnsiTheme="majorHAnsi"/>
          <w:noProof/>
          <w:szCs w:val="22"/>
        </w:rPr>
        <w:t xml:space="preserve">, </w:t>
      </w:r>
      <w:r w:rsidRPr="003338D7">
        <w:rPr>
          <w:rFonts w:asciiTheme="majorHAnsi" w:hAnsiTheme="majorHAnsi"/>
          <w:i/>
          <w:iCs/>
          <w:noProof/>
          <w:szCs w:val="22"/>
        </w:rPr>
        <w:t>13</w:t>
      </w:r>
      <w:r w:rsidRPr="003338D7">
        <w:rPr>
          <w:rFonts w:asciiTheme="majorHAnsi" w:hAnsiTheme="majorHAnsi"/>
          <w:noProof/>
          <w:szCs w:val="22"/>
        </w:rPr>
        <w:t xml:space="preserve">(6), 349–359. </w:t>
      </w:r>
      <w:hyperlink r:id="rId472" w:history="1">
        <w:r w:rsidRPr="003338D7">
          <w:rPr>
            <w:rStyle w:val="Hyperlink"/>
            <w:rFonts w:asciiTheme="majorHAnsi" w:hAnsiTheme="majorHAnsi"/>
            <w:noProof/>
            <w:szCs w:val="22"/>
          </w:rPr>
          <w:t>http://doi.org/10.1089/vbz.2012.1195</w:t>
        </w:r>
      </w:hyperlink>
    </w:p>
    <w:p w14:paraId="453BCE0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Hinkel, K. M., Eisner, W. R., &amp; Kim, C. J. (2017). Detection of tundra trail damage near Barrow, Alaska using remote imagery. </w:t>
      </w:r>
      <w:r w:rsidRPr="003338D7">
        <w:rPr>
          <w:rFonts w:asciiTheme="majorHAnsi" w:hAnsiTheme="majorHAnsi"/>
          <w:i/>
          <w:iCs/>
          <w:noProof/>
          <w:szCs w:val="22"/>
        </w:rPr>
        <w:t>Geomorphology</w:t>
      </w:r>
      <w:r w:rsidRPr="003338D7">
        <w:rPr>
          <w:rFonts w:asciiTheme="majorHAnsi" w:hAnsiTheme="majorHAnsi"/>
          <w:noProof/>
          <w:szCs w:val="22"/>
        </w:rPr>
        <w:t xml:space="preserve">, </w:t>
      </w:r>
      <w:r w:rsidRPr="003338D7">
        <w:rPr>
          <w:rFonts w:asciiTheme="majorHAnsi" w:hAnsiTheme="majorHAnsi"/>
          <w:i/>
          <w:iCs/>
          <w:noProof/>
          <w:szCs w:val="22"/>
        </w:rPr>
        <w:t>293</w:t>
      </w:r>
      <w:r w:rsidRPr="003338D7">
        <w:rPr>
          <w:rFonts w:asciiTheme="majorHAnsi" w:hAnsiTheme="majorHAnsi"/>
          <w:noProof/>
          <w:szCs w:val="22"/>
        </w:rPr>
        <w:t xml:space="preserve">, 360–367. Retrieved from </w:t>
      </w:r>
      <w:hyperlink r:id="rId473" w:history="1">
        <w:r w:rsidRPr="003338D7">
          <w:rPr>
            <w:rStyle w:val="Hyperlink"/>
            <w:rFonts w:asciiTheme="majorHAnsi" w:hAnsiTheme="majorHAnsi"/>
            <w:noProof/>
            <w:szCs w:val="22"/>
          </w:rPr>
          <w:t>https://doi.org/10.1016/j.geomorph.2016.09.013</w:t>
        </w:r>
      </w:hyperlink>
    </w:p>
    <w:p w14:paraId="225BD48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Hinzman, L. D., Bettez, N. D., Bolton, W. R., Chapin, F. S., Dyurgerov, M. B., Fastie, C. L., Griffith, B., Hollister, R. D., Hope, A., Huntington, H. P., Jensen, A. M., Jia, G. J., Jorgenson, T., Kane, D. L., Klein, D. R., Kofinas, G., Lynch, A. H., Lloyd, A. H., McGuire, A. D., Nelson, F. E., Oechel, W. C., Osterkamp, T. E., Racine, C. H., Romanovsky, V. E., Stone, R. S., Stow, D. A., Sturm, M., Tweedie, C. E., Vourlitis, G. L., Walker, M. D., Walker, D. A., Webber, P. J., Welker, J. M., Winker, K. S., &amp; Yoshikawa, K. (2005). Evidence and implications of recent climate change in northern Alaska and other Arctic regions. </w:t>
      </w:r>
      <w:r w:rsidRPr="003338D7">
        <w:rPr>
          <w:rFonts w:asciiTheme="majorHAnsi" w:hAnsiTheme="majorHAnsi"/>
          <w:i/>
          <w:iCs/>
          <w:noProof/>
          <w:szCs w:val="22"/>
          <w:lang w:val="es-ES"/>
        </w:rPr>
        <w:t>Climatic Change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72</w:t>
      </w:r>
      <w:r w:rsidRPr="003338D7">
        <w:rPr>
          <w:rFonts w:asciiTheme="majorHAnsi" w:hAnsiTheme="majorHAnsi"/>
          <w:noProof/>
          <w:szCs w:val="22"/>
          <w:lang w:val="es-ES"/>
        </w:rPr>
        <w:t xml:space="preserve">(3), 251–298. </w:t>
      </w:r>
      <w:hyperlink r:id="rId474" w:history="1">
        <w:r w:rsidRPr="003338D7">
          <w:rPr>
            <w:rStyle w:val="Hyperlink"/>
            <w:rFonts w:asciiTheme="majorHAnsi" w:hAnsiTheme="majorHAnsi"/>
            <w:noProof/>
            <w:szCs w:val="22"/>
            <w:lang w:val="es-ES"/>
          </w:rPr>
          <w:t>https://doi.org/10.1007/s10584-005-5352-2</w:t>
        </w:r>
      </w:hyperlink>
    </w:p>
    <w:p w14:paraId="37F463A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Hobbs, R. J., &amp; Mooney, H. A. (1998). 1998 report. Retrieved from </w:t>
      </w:r>
      <w:hyperlink r:id="rId475" w:history="1">
        <w:r w:rsidRPr="003338D7">
          <w:rPr>
            <w:rStyle w:val="Hyperlink"/>
            <w:rFonts w:asciiTheme="majorHAnsi" w:hAnsiTheme="majorHAnsi"/>
            <w:noProof/>
            <w:szCs w:val="22"/>
          </w:rPr>
          <w:t>http://www.dfg.ca.gov/wildlife/nongame/t_e_spp/</w:t>
        </w:r>
      </w:hyperlink>
    </w:p>
    <w:p w14:paraId="359F009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Hoekstra, J. M., Boucher, T. M., Ricketts, T. H., &amp; Roberts, C. (2005). Confronting a biome crisis: global disparities of habitat loss and protection. </w:t>
      </w:r>
      <w:r w:rsidRPr="003338D7">
        <w:rPr>
          <w:rFonts w:asciiTheme="majorHAnsi" w:hAnsiTheme="majorHAnsi"/>
          <w:i/>
          <w:iCs/>
          <w:noProof/>
          <w:szCs w:val="22"/>
        </w:rPr>
        <w:t>Ecology Letters</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(1), 23–29. http://doi.org/10.1111/j.1461-0248.2004.00686.x</w:t>
      </w:r>
    </w:p>
    <w:p w14:paraId="2FE75AC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Hoekstra, J. M., Molnar, J. L., Jennings, M., Revenga, C., Spalding, M. D., Boucher, T. M., Robertson, J. C., Heibel, T. J., &amp; Elllison, K. (2010). </w:t>
      </w:r>
      <w:r w:rsidRPr="003338D7">
        <w:rPr>
          <w:rFonts w:asciiTheme="majorHAnsi" w:hAnsiTheme="majorHAnsi"/>
          <w:i/>
          <w:iCs/>
          <w:noProof/>
          <w:szCs w:val="22"/>
          <w:lang w:val="es-ES"/>
        </w:rPr>
        <w:t>The Atlas of Global Conservation: Changes, Challenges, and Opportunities to Make a Difference</w:t>
      </w:r>
      <w:r w:rsidRPr="003338D7">
        <w:rPr>
          <w:rFonts w:asciiTheme="majorHAnsi" w:hAnsiTheme="majorHAnsi"/>
          <w:noProof/>
          <w:szCs w:val="22"/>
          <w:lang w:val="es-ES"/>
        </w:rPr>
        <w:t>. (J. L. Molnar, Ed.). Berkeley, USA: University of California Press.</w:t>
      </w:r>
    </w:p>
    <w:p w14:paraId="59936D8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Hofstede, R., Calles, J., López, V., Polanco, R., Torres, F., Ulloa, J., Vásquez, A., &amp; Cerra, M. (2014). </w:t>
      </w:r>
      <w:r w:rsidRPr="003338D7">
        <w:rPr>
          <w:rFonts w:asciiTheme="majorHAnsi" w:hAnsiTheme="majorHAnsi"/>
          <w:i/>
          <w:iCs/>
          <w:noProof/>
          <w:szCs w:val="22"/>
          <w:lang w:val="es-ES"/>
        </w:rPr>
        <w:t>Los Páramos Andinos ¿Qué Sabemos? Estado de Conocimiento sobre el Impacto del Cambio Climático en el Ecosistema Páramo</w:t>
      </w:r>
      <w:r w:rsidRPr="003338D7">
        <w:rPr>
          <w:rFonts w:asciiTheme="majorHAnsi" w:hAnsiTheme="majorHAnsi"/>
          <w:noProof/>
          <w:szCs w:val="22"/>
          <w:lang w:val="es-ES"/>
        </w:rPr>
        <w:t xml:space="preserve">. Quito, Ecuador: UICN. Retrieved from </w:t>
      </w:r>
      <w:hyperlink r:id="rId476" w:history="1">
        <w:r w:rsidRPr="003338D7">
          <w:rPr>
            <w:rStyle w:val="Hyperlink"/>
            <w:rFonts w:asciiTheme="majorHAnsi" w:hAnsiTheme="majorHAnsi"/>
            <w:noProof/>
            <w:szCs w:val="22"/>
            <w:lang w:val="es-ES"/>
          </w:rPr>
          <w:t>https://portals.iucn.org/library/sites/library/files/documents/2014-025.pdf</w:t>
        </w:r>
      </w:hyperlink>
    </w:p>
    <w:p w14:paraId="07DD7B9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Hofstede, R. G. M., Groenendijk, J. P., Coppus, R., Fehse, J. C., &amp; Sevink, J. (2002). </w:t>
      </w:r>
      <w:r w:rsidRPr="003338D7">
        <w:rPr>
          <w:rFonts w:asciiTheme="majorHAnsi" w:hAnsiTheme="majorHAnsi"/>
          <w:noProof/>
          <w:szCs w:val="22"/>
        </w:rPr>
        <w:t xml:space="preserve">Impact of pine plantations on soils and vegetation in the Ecuadorian high Andes. </w:t>
      </w:r>
      <w:r w:rsidRPr="003338D7">
        <w:rPr>
          <w:rFonts w:asciiTheme="majorHAnsi" w:hAnsiTheme="majorHAnsi"/>
          <w:i/>
          <w:iCs/>
          <w:noProof/>
          <w:szCs w:val="22"/>
        </w:rPr>
        <w:t>Mountain Research and Development</w:t>
      </w:r>
      <w:r w:rsidRPr="003338D7">
        <w:rPr>
          <w:rFonts w:asciiTheme="majorHAnsi" w:hAnsiTheme="majorHAnsi"/>
          <w:noProof/>
          <w:szCs w:val="22"/>
        </w:rPr>
        <w:t xml:space="preserve">, </w:t>
      </w:r>
      <w:r w:rsidRPr="003338D7">
        <w:rPr>
          <w:rFonts w:asciiTheme="majorHAnsi" w:hAnsiTheme="majorHAnsi"/>
          <w:i/>
          <w:iCs/>
          <w:noProof/>
          <w:szCs w:val="22"/>
        </w:rPr>
        <w:t>22</w:t>
      </w:r>
      <w:r w:rsidRPr="003338D7">
        <w:rPr>
          <w:rFonts w:asciiTheme="majorHAnsi" w:hAnsiTheme="majorHAnsi"/>
          <w:noProof/>
          <w:szCs w:val="22"/>
        </w:rPr>
        <w:t xml:space="preserve">(2), 159–167. </w:t>
      </w:r>
      <w:hyperlink r:id="rId477" w:history="1">
        <w:r w:rsidRPr="003338D7">
          <w:rPr>
            <w:rStyle w:val="Hyperlink"/>
            <w:rFonts w:asciiTheme="majorHAnsi" w:hAnsiTheme="majorHAnsi"/>
            <w:noProof/>
            <w:szCs w:val="22"/>
          </w:rPr>
          <w:t>http://doi.org/10.1659/0276-4741(2002)022%5B0159:IOPPOS%5D2.0.CO;2</w:t>
        </w:r>
      </w:hyperlink>
    </w:p>
    <w:p w14:paraId="56DBBF8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Holdsworth, A. R., Frelich, L. E., &amp; Reich, P. B. (2007). Effects of earthworm invasion on plant species richness in northern hardwood forests.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21</w:t>
      </w:r>
      <w:r w:rsidRPr="003338D7">
        <w:rPr>
          <w:rFonts w:asciiTheme="majorHAnsi" w:hAnsiTheme="majorHAnsi"/>
          <w:noProof/>
          <w:szCs w:val="22"/>
        </w:rPr>
        <w:t xml:space="preserve">(4), 997–1008. </w:t>
      </w:r>
      <w:hyperlink r:id="rId478" w:history="1">
        <w:r w:rsidRPr="003338D7">
          <w:rPr>
            <w:rStyle w:val="Hyperlink"/>
            <w:rFonts w:asciiTheme="majorHAnsi" w:hAnsiTheme="majorHAnsi"/>
            <w:noProof/>
            <w:szCs w:val="22"/>
          </w:rPr>
          <w:t>http://doi.org/10.1111/j.1523-1739.2007.00740.x</w:t>
        </w:r>
      </w:hyperlink>
    </w:p>
    <w:p w14:paraId="475060A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Holmlund, C. M., &amp; Hammer, M. (1999). Ecosystem services generated by fish populations. </w:t>
      </w:r>
      <w:r w:rsidRPr="003338D7">
        <w:rPr>
          <w:rFonts w:asciiTheme="majorHAnsi" w:hAnsiTheme="majorHAnsi"/>
          <w:i/>
          <w:iCs/>
          <w:noProof/>
          <w:szCs w:val="22"/>
        </w:rPr>
        <w:t>Ecological Economics</w:t>
      </w:r>
      <w:r w:rsidRPr="003338D7">
        <w:rPr>
          <w:rFonts w:asciiTheme="majorHAnsi" w:hAnsiTheme="majorHAnsi"/>
          <w:noProof/>
          <w:szCs w:val="22"/>
        </w:rPr>
        <w:t xml:space="preserve">, </w:t>
      </w:r>
      <w:r w:rsidRPr="003338D7">
        <w:rPr>
          <w:rFonts w:asciiTheme="majorHAnsi" w:hAnsiTheme="majorHAnsi"/>
          <w:i/>
          <w:iCs/>
          <w:noProof/>
          <w:szCs w:val="22"/>
        </w:rPr>
        <w:t>29</w:t>
      </w:r>
      <w:r w:rsidRPr="003338D7">
        <w:rPr>
          <w:rFonts w:asciiTheme="majorHAnsi" w:hAnsiTheme="majorHAnsi"/>
          <w:noProof/>
          <w:szCs w:val="22"/>
        </w:rPr>
        <w:t xml:space="preserve">(2), 253–268. </w:t>
      </w:r>
      <w:hyperlink r:id="rId479" w:history="1">
        <w:r w:rsidRPr="003338D7">
          <w:rPr>
            <w:rStyle w:val="Hyperlink"/>
            <w:rFonts w:asciiTheme="majorHAnsi" w:hAnsiTheme="majorHAnsi"/>
            <w:noProof/>
            <w:szCs w:val="22"/>
          </w:rPr>
          <w:t>http://doi.org/10.1016/S0921-8009(99)00015-4</w:t>
        </w:r>
      </w:hyperlink>
    </w:p>
    <w:p w14:paraId="7199F8F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Hooper, D. U., Adair, E. C., Cardinale, B. J., Byrnes, J. E. K., Hungate, B. A., Matulich, K. L., Gonzalez, A., Duffy, J. E., Gamfeldt, L., &amp; O’Connor, M. I. (2012). A global synthesis reveals biodiversity loss as a major driver of ecosystem change.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486</w:t>
      </w:r>
      <w:r w:rsidRPr="003338D7">
        <w:rPr>
          <w:rFonts w:asciiTheme="majorHAnsi" w:hAnsiTheme="majorHAnsi"/>
          <w:noProof/>
          <w:szCs w:val="22"/>
          <w:lang w:val="es-ES"/>
        </w:rPr>
        <w:t xml:space="preserve">(7401), 105–108. </w:t>
      </w:r>
      <w:hyperlink r:id="rId480" w:history="1">
        <w:r w:rsidRPr="003338D7">
          <w:rPr>
            <w:rStyle w:val="Hyperlink"/>
            <w:rFonts w:asciiTheme="majorHAnsi" w:hAnsiTheme="majorHAnsi"/>
            <w:noProof/>
            <w:szCs w:val="22"/>
            <w:lang w:val="es-ES"/>
          </w:rPr>
          <w:t>https://doi.org/10.1038/nature11118</w:t>
        </w:r>
      </w:hyperlink>
    </w:p>
    <w:p w14:paraId="3AF0B19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Hope, D., Gries, C., Zhu, W., Fagan, W. F., Redman, C. L., Grim, N. B., Nelson, A. L., Martin, C., &amp; Kinzig, A. (2003). Socioeconomics drive urban plant diversity.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100</w:t>
      </w:r>
      <w:r w:rsidRPr="003338D7">
        <w:rPr>
          <w:rFonts w:asciiTheme="majorHAnsi" w:hAnsiTheme="majorHAnsi"/>
          <w:noProof/>
          <w:szCs w:val="22"/>
          <w:lang w:val="es-ES"/>
        </w:rPr>
        <w:t xml:space="preserve">(15), 8788–8792. </w:t>
      </w:r>
      <w:hyperlink r:id="rId481" w:history="1">
        <w:r w:rsidRPr="003338D7">
          <w:rPr>
            <w:rStyle w:val="Hyperlink"/>
            <w:rFonts w:asciiTheme="majorHAnsi" w:hAnsiTheme="majorHAnsi"/>
            <w:noProof/>
            <w:szCs w:val="22"/>
            <w:lang w:val="es-ES"/>
          </w:rPr>
          <w:t>https://doi.org/10.1073/pnas.1537557100</w:t>
        </w:r>
      </w:hyperlink>
    </w:p>
    <w:p w14:paraId="3EDA890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Hourigan, T. F. (1999). Conserving ocean biodiversity: trends and challenges. In B. Cicin-Sain, R. W. Knecht, &amp; N. Foster (Eds.), </w:t>
      </w:r>
      <w:r w:rsidRPr="003338D7">
        <w:rPr>
          <w:rFonts w:asciiTheme="majorHAnsi" w:hAnsiTheme="majorHAnsi"/>
          <w:i/>
          <w:iCs/>
          <w:noProof/>
          <w:szCs w:val="22"/>
        </w:rPr>
        <w:t>Trends and Future Challenges for U.S. National Ocean and Coastal Policy</w:t>
      </w:r>
      <w:r w:rsidRPr="003338D7">
        <w:rPr>
          <w:rFonts w:asciiTheme="majorHAnsi" w:hAnsiTheme="majorHAnsi"/>
          <w:noProof/>
          <w:szCs w:val="22"/>
        </w:rPr>
        <w:t>. Washington D.C., USA: Proceedings of a Workshop.</w:t>
      </w:r>
    </w:p>
    <w:p w14:paraId="60C6FBA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Houspanossian, J., Giménez, R., Jobbágy, E., &amp; Nosetto, M. (2017). Surface albedo raise in the South American Chaco: combined effects of deforestation and agricultural changes. </w:t>
      </w:r>
      <w:r w:rsidRPr="003338D7">
        <w:rPr>
          <w:rFonts w:asciiTheme="majorHAnsi" w:hAnsiTheme="majorHAnsi"/>
          <w:i/>
          <w:iCs/>
          <w:noProof/>
          <w:szCs w:val="22"/>
        </w:rPr>
        <w:t>Agricultural and Forest Meteorology</w:t>
      </w:r>
      <w:r w:rsidRPr="003338D7">
        <w:rPr>
          <w:rFonts w:asciiTheme="majorHAnsi" w:hAnsiTheme="majorHAnsi"/>
          <w:noProof/>
          <w:szCs w:val="22"/>
        </w:rPr>
        <w:t xml:space="preserve">, </w:t>
      </w:r>
      <w:r w:rsidRPr="003338D7">
        <w:rPr>
          <w:rFonts w:asciiTheme="majorHAnsi" w:hAnsiTheme="majorHAnsi"/>
          <w:i/>
          <w:iCs/>
          <w:noProof/>
          <w:szCs w:val="22"/>
        </w:rPr>
        <w:t>232</w:t>
      </w:r>
      <w:r w:rsidRPr="003338D7">
        <w:rPr>
          <w:rFonts w:asciiTheme="majorHAnsi" w:hAnsiTheme="majorHAnsi"/>
          <w:noProof/>
          <w:szCs w:val="22"/>
        </w:rPr>
        <w:t xml:space="preserve">, 118–127. </w:t>
      </w:r>
      <w:hyperlink r:id="rId482" w:history="1">
        <w:r w:rsidRPr="003338D7">
          <w:rPr>
            <w:rStyle w:val="Hyperlink"/>
            <w:rFonts w:asciiTheme="majorHAnsi" w:hAnsiTheme="majorHAnsi"/>
            <w:noProof/>
            <w:szCs w:val="22"/>
          </w:rPr>
          <w:t>http://doi.org/10.1016/j.agrformet.2016.08.015</w:t>
        </w:r>
      </w:hyperlink>
    </w:p>
    <w:p w14:paraId="4CB1EF8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Houtart, F. (2014). </w:t>
      </w:r>
      <w:r w:rsidRPr="003338D7">
        <w:rPr>
          <w:rFonts w:asciiTheme="majorHAnsi" w:hAnsiTheme="majorHAnsi"/>
          <w:noProof/>
          <w:szCs w:val="22"/>
          <w:lang w:val="es-ES"/>
        </w:rPr>
        <w:t xml:space="preserve">El concepto de sumak kawsay (Buen vivir) y su correspondencia con el bien común de la humanidad. In G. C. Delgado (Ed.), </w:t>
      </w:r>
      <w:r w:rsidRPr="003338D7">
        <w:rPr>
          <w:rFonts w:asciiTheme="majorHAnsi" w:hAnsiTheme="majorHAnsi"/>
          <w:i/>
          <w:iCs/>
          <w:noProof/>
          <w:szCs w:val="22"/>
          <w:lang w:val="es-ES"/>
        </w:rPr>
        <w:t>Buena Vida, Buen Vivir: Imaginarios Alternativos Para el Bien Común de la Humanidad</w:t>
      </w:r>
      <w:r w:rsidRPr="003338D7">
        <w:rPr>
          <w:rFonts w:asciiTheme="majorHAnsi" w:hAnsiTheme="majorHAnsi"/>
          <w:noProof/>
          <w:szCs w:val="22"/>
          <w:lang w:val="es-ES"/>
        </w:rPr>
        <w:t xml:space="preserve"> (pp. 97–123). México D.F., México: Universidad Nacional Autónoma de México.</w:t>
      </w:r>
    </w:p>
    <w:p w14:paraId="613F7D3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Hoverman, J. T., Mihaljevic, J. R., Richgels, K. L. D., Kerby, J. L., &amp; Johnson, P. T. J. (2012). </w:t>
      </w:r>
      <w:r w:rsidRPr="003338D7">
        <w:rPr>
          <w:rFonts w:asciiTheme="majorHAnsi" w:hAnsiTheme="majorHAnsi"/>
          <w:noProof/>
          <w:szCs w:val="22"/>
        </w:rPr>
        <w:t xml:space="preserve">Widespread co-occurrence of virulent pathogens within California amphibian communities. </w:t>
      </w:r>
      <w:r w:rsidRPr="003338D7">
        <w:rPr>
          <w:rFonts w:asciiTheme="majorHAnsi" w:hAnsiTheme="majorHAnsi"/>
          <w:i/>
          <w:iCs/>
          <w:noProof/>
          <w:szCs w:val="22"/>
        </w:rPr>
        <w:t>EcoHealth</w:t>
      </w:r>
      <w:r w:rsidRPr="003338D7">
        <w:rPr>
          <w:rFonts w:asciiTheme="majorHAnsi" w:hAnsiTheme="majorHAnsi"/>
          <w:noProof/>
          <w:szCs w:val="22"/>
        </w:rPr>
        <w:t xml:space="preserve">, </w:t>
      </w:r>
      <w:r w:rsidRPr="003338D7">
        <w:rPr>
          <w:rFonts w:asciiTheme="majorHAnsi" w:hAnsiTheme="majorHAnsi"/>
          <w:i/>
          <w:iCs/>
          <w:noProof/>
          <w:szCs w:val="22"/>
        </w:rPr>
        <w:t>9</w:t>
      </w:r>
      <w:r w:rsidRPr="003338D7">
        <w:rPr>
          <w:rFonts w:asciiTheme="majorHAnsi" w:hAnsiTheme="majorHAnsi"/>
          <w:noProof/>
          <w:szCs w:val="22"/>
        </w:rPr>
        <w:t xml:space="preserve">(3), 288–292. </w:t>
      </w:r>
      <w:hyperlink r:id="rId483" w:history="1">
        <w:r w:rsidRPr="003338D7">
          <w:rPr>
            <w:rStyle w:val="Hyperlink"/>
            <w:rFonts w:asciiTheme="majorHAnsi" w:hAnsiTheme="majorHAnsi"/>
            <w:noProof/>
            <w:szCs w:val="22"/>
          </w:rPr>
          <w:t>http://doi.org/10.1007/s10393-012-0778-2</w:t>
        </w:r>
      </w:hyperlink>
    </w:p>
    <w:p w14:paraId="5BB3790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Howard, B. C. (2016). Pablo Escobar’s escaped hippos are thriving in Colombia. </w:t>
      </w:r>
      <w:r w:rsidRPr="003338D7">
        <w:rPr>
          <w:rFonts w:asciiTheme="majorHAnsi" w:hAnsiTheme="majorHAnsi"/>
          <w:i/>
          <w:iCs/>
          <w:noProof/>
          <w:szCs w:val="22"/>
        </w:rPr>
        <w:t>National Geographic</w:t>
      </w:r>
      <w:r w:rsidRPr="003338D7">
        <w:rPr>
          <w:rFonts w:asciiTheme="majorHAnsi" w:hAnsiTheme="majorHAnsi"/>
          <w:noProof/>
          <w:szCs w:val="22"/>
        </w:rPr>
        <w:t xml:space="preserve">. Retrieved from </w:t>
      </w:r>
      <w:hyperlink r:id="rId484" w:history="1">
        <w:r w:rsidRPr="003338D7">
          <w:rPr>
            <w:rStyle w:val="Hyperlink"/>
            <w:rFonts w:asciiTheme="majorHAnsi" w:hAnsiTheme="majorHAnsi"/>
            <w:noProof/>
            <w:szCs w:val="22"/>
          </w:rPr>
          <w:t>https://news.nationalgeographic.com/2016/05/160510-pablo-escobar-hippos-colombia/</w:t>
        </w:r>
      </w:hyperlink>
    </w:p>
    <w:p w14:paraId="0F36D76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Hoyos, L. E., Cingolani, A. M., Zak, M. R., Vaieretti, M. V., Gorla, D. E., &amp; Cabido, M. R. (2013). </w:t>
      </w:r>
      <w:r w:rsidRPr="003338D7">
        <w:rPr>
          <w:rFonts w:asciiTheme="majorHAnsi" w:hAnsiTheme="majorHAnsi"/>
          <w:noProof/>
          <w:szCs w:val="22"/>
        </w:rPr>
        <w:t xml:space="preserve">Deforestation and precipitation patterns in the arid Chaco forests of central Argentina. </w:t>
      </w:r>
      <w:r w:rsidRPr="003338D7">
        <w:rPr>
          <w:rFonts w:asciiTheme="majorHAnsi" w:hAnsiTheme="majorHAnsi"/>
          <w:i/>
          <w:iCs/>
          <w:noProof/>
          <w:szCs w:val="22"/>
        </w:rPr>
        <w:t>Applied Vegetation Science</w:t>
      </w:r>
      <w:r w:rsidRPr="003338D7">
        <w:rPr>
          <w:rFonts w:asciiTheme="majorHAnsi" w:hAnsiTheme="majorHAnsi"/>
          <w:noProof/>
          <w:szCs w:val="22"/>
        </w:rPr>
        <w:t xml:space="preserve">, </w:t>
      </w:r>
      <w:r w:rsidRPr="003338D7">
        <w:rPr>
          <w:rFonts w:asciiTheme="majorHAnsi" w:hAnsiTheme="majorHAnsi"/>
          <w:i/>
          <w:iCs/>
          <w:noProof/>
          <w:szCs w:val="22"/>
        </w:rPr>
        <w:t>16</w:t>
      </w:r>
      <w:r w:rsidRPr="003338D7">
        <w:rPr>
          <w:rFonts w:asciiTheme="majorHAnsi" w:hAnsiTheme="majorHAnsi"/>
          <w:noProof/>
          <w:szCs w:val="22"/>
        </w:rPr>
        <w:t xml:space="preserve">(2), 260–271. </w:t>
      </w:r>
      <w:hyperlink r:id="rId485" w:history="1">
        <w:r w:rsidRPr="003338D7">
          <w:rPr>
            <w:rStyle w:val="Hyperlink"/>
            <w:rFonts w:asciiTheme="majorHAnsi" w:hAnsiTheme="majorHAnsi"/>
            <w:noProof/>
            <w:szCs w:val="22"/>
          </w:rPr>
          <w:t>http://doi.org/10.1111/j.1654-109X.2012.01218.x</w:t>
        </w:r>
      </w:hyperlink>
    </w:p>
    <w:p w14:paraId="45F2B72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Hribljan, J. A., Cooper, D. J., Sueltenfuss, J., Wolf, E. C., Heckman, K. A., Lilleskov, E. A., &amp; Chimner, R. A. (2015). Carbon storage and long-term rate of accumulation in high-altitude Andean peatlands of Bolivia. </w:t>
      </w:r>
      <w:r w:rsidRPr="003338D7">
        <w:rPr>
          <w:rFonts w:asciiTheme="majorHAnsi" w:hAnsiTheme="majorHAnsi"/>
          <w:i/>
          <w:iCs/>
          <w:noProof/>
          <w:szCs w:val="22"/>
        </w:rPr>
        <w:t>Mires and Peat</w:t>
      </w:r>
      <w:r w:rsidRPr="003338D7">
        <w:rPr>
          <w:rFonts w:asciiTheme="majorHAnsi" w:hAnsiTheme="majorHAnsi"/>
          <w:noProof/>
          <w:szCs w:val="22"/>
        </w:rPr>
        <w:t xml:space="preserve">, </w:t>
      </w:r>
      <w:r w:rsidRPr="003338D7">
        <w:rPr>
          <w:rFonts w:asciiTheme="majorHAnsi" w:hAnsiTheme="majorHAnsi"/>
          <w:i/>
          <w:iCs/>
          <w:noProof/>
          <w:szCs w:val="22"/>
        </w:rPr>
        <w:t>15</w:t>
      </w:r>
      <w:r w:rsidRPr="003338D7">
        <w:rPr>
          <w:rFonts w:asciiTheme="majorHAnsi" w:hAnsiTheme="majorHAnsi"/>
          <w:noProof/>
          <w:szCs w:val="22"/>
        </w:rPr>
        <w:t xml:space="preserve">(12), 1–14. Retrieved from </w:t>
      </w:r>
      <w:hyperlink r:id="rId486" w:history="1">
        <w:r w:rsidRPr="003338D7">
          <w:rPr>
            <w:rStyle w:val="Hyperlink"/>
            <w:rFonts w:asciiTheme="majorHAnsi" w:hAnsiTheme="majorHAnsi"/>
            <w:noProof/>
            <w:szCs w:val="22"/>
          </w:rPr>
          <w:t>http://www.mires-and-peat.net/,</w:t>
        </w:r>
      </w:hyperlink>
    </w:p>
    <w:p w14:paraId="0B683A9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Hribljan, J. A., Suárez, E., Heckman, K. A., Lilleskov, E. A., &amp; Chimner, R. A. (2016). </w:t>
      </w:r>
      <w:r w:rsidRPr="003338D7">
        <w:rPr>
          <w:rFonts w:asciiTheme="majorHAnsi" w:hAnsiTheme="majorHAnsi"/>
          <w:noProof/>
          <w:szCs w:val="22"/>
        </w:rPr>
        <w:t xml:space="preserve">Peatland carbon stocks and accumulation rates in the Ecuadorian páramo. </w:t>
      </w:r>
      <w:r w:rsidRPr="003338D7">
        <w:rPr>
          <w:rFonts w:asciiTheme="majorHAnsi" w:hAnsiTheme="majorHAnsi"/>
          <w:i/>
          <w:iCs/>
          <w:noProof/>
          <w:szCs w:val="22"/>
        </w:rPr>
        <w:t>Wetlands Ecology and Management</w:t>
      </w:r>
      <w:r w:rsidRPr="003338D7">
        <w:rPr>
          <w:rFonts w:asciiTheme="majorHAnsi" w:hAnsiTheme="majorHAnsi"/>
          <w:noProof/>
          <w:szCs w:val="22"/>
        </w:rPr>
        <w:t xml:space="preserve">, </w:t>
      </w:r>
      <w:r w:rsidRPr="003338D7">
        <w:rPr>
          <w:rFonts w:asciiTheme="majorHAnsi" w:hAnsiTheme="majorHAnsi"/>
          <w:i/>
          <w:iCs/>
          <w:noProof/>
          <w:szCs w:val="22"/>
        </w:rPr>
        <w:t>24</w:t>
      </w:r>
      <w:r w:rsidRPr="003338D7">
        <w:rPr>
          <w:rFonts w:asciiTheme="majorHAnsi" w:hAnsiTheme="majorHAnsi"/>
          <w:noProof/>
          <w:szCs w:val="22"/>
        </w:rPr>
        <w:t xml:space="preserve">(2), 113–127. </w:t>
      </w:r>
      <w:hyperlink r:id="rId487" w:history="1">
        <w:r w:rsidRPr="003338D7">
          <w:rPr>
            <w:rStyle w:val="Hyperlink"/>
            <w:rFonts w:asciiTheme="majorHAnsi" w:hAnsiTheme="majorHAnsi"/>
            <w:noProof/>
            <w:szCs w:val="22"/>
          </w:rPr>
          <w:t>http://doi.org/10.1007/s11273-016-9482-2</w:t>
        </w:r>
      </w:hyperlink>
    </w:p>
    <w:p w14:paraId="389D79C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Huamantupa, I., Cuba, M., Urrunaga, R., Paz, E., Ananya, N., Callalli, M., Pallquil, N., &amp; Coasaca, H. (2011). Richness, use and origin of expended medicinal plants in the markets of the Cusco City. </w:t>
      </w:r>
      <w:r w:rsidRPr="003338D7">
        <w:rPr>
          <w:rFonts w:asciiTheme="majorHAnsi" w:hAnsiTheme="majorHAnsi"/>
          <w:i/>
          <w:iCs/>
          <w:noProof/>
          <w:szCs w:val="22"/>
          <w:lang w:val="es-ES"/>
        </w:rPr>
        <w:t>Revista Peruana de Biologia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18</w:t>
      </w:r>
      <w:r w:rsidRPr="003338D7">
        <w:rPr>
          <w:rFonts w:asciiTheme="majorHAnsi" w:hAnsiTheme="majorHAnsi"/>
          <w:noProof/>
          <w:szCs w:val="22"/>
          <w:lang w:val="es-ES"/>
        </w:rPr>
        <w:t>(3), 283–291.</w:t>
      </w:r>
    </w:p>
    <w:p w14:paraId="0C55412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Hucke-Gaete, R., Crespo, E. ., &amp; Schlatter, R. P. (Eds.). </w:t>
      </w:r>
      <w:r w:rsidRPr="003338D7">
        <w:rPr>
          <w:rFonts w:asciiTheme="majorHAnsi" w:hAnsiTheme="majorHAnsi"/>
          <w:noProof/>
          <w:szCs w:val="22"/>
        </w:rPr>
        <w:t xml:space="preserve">(2004). </w:t>
      </w:r>
      <w:r w:rsidRPr="003338D7">
        <w:rPr>
          <w:rFonts w:asciiTheme="majorHAnsi" w:hAnsiTheme="majorHAnsi"/>
          <w:i/>
          <w:iCs/>
          <w:noProof/>
          <w:szCs w:val="22"/>
        </w:rPr>
        <w:t>Aquatic Mammals in Latin America: Proceedings of a Workshop on Identifying High-Priority Conservation Needs and Actions</w:t>
      </w:r>
      <w:r w:rsidRPr="003338D7">
        <w:rPr>
          <w:rFonts w:asciiTheme="majorHAnsi" w:hAnsiTheme="majorHAnsi"/>
          <w:noProof/>
          <w:szCs w:val="22"/>
        </w:rPr>
        <w:t xml:space="preserve">. Bonn, Germany: UNEP/CMS Secretariat. Retrieved from </w:t>
      </w:r>
      <w:hyperlink r:id="rId488" w:history="1">
        <w:r w:rsidRPr="003338D7">
          <w:rPr>
            <w:rStyle w:val="Hyperlink"/>
            <w:rFonts w:asciiTheme="majorHAnsi" w:hAnsiTheme="majorHAnsi"/>
            <w:noProof/>
            <w:szCs w:val="22"/>
          </w:rPr>
          <w:t>http://www.iucn-csg.org/wp-content/uploads/2010/03/final-report-cms-latam-workshop.pdf</w:t>
        </w:r>
      </w:hyperlink>
    </w:p>
    <w:p w14:paraId="3DB12CB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Hugelius, G., Tarnocai, C., Broll, G., Canadell, J. G., Kuhry, P., &amp; Swanson, D. K. (2013). The northern circumpolar soil carbon database: Spatially distributed datasets of soil coverage and soil carbon storage in the northern permafrost regions. </w:t>
      </w:r>
      <w:r w:rsidRPr="003338D7">
        <w:rPr>
          <w:rFonts w:asciiTheme="majorHAnsi" w:hAnsiTheme="majorHAnsi"/>
          <w:i/>
          <w:iCs/>
          <w:noProof/>
          <w:szCs w:val="22"/>
        </w:rPr>
        <w:t>Earth System Science Data</w:t>
      </w:r>
      <w:r w:rsidRPr="003338D7">
        <w:rPr>
          <w:rFonts w:asciiTheme="majorHAnsi" w:hAnsiTheme="majorHAnsi"/>
          <w:noProof/>
          <w:szCs w:val="22"/>
        </w:rPr>
        <w:t xml:space="preserve">, </w:t>
      </w:r>
      <w:r w:rsidRPr="003338D7">
        <w:rPr>
          <w:rFonts w:asciiTheme="majorHAnsi" w:hAnsiTheme="majorHAnsi"/>
          <w:i/>
          <w:iCs/>
          <w:noProof/>
          <w:szCs w:val="22"/>
        </w:rPr>
        <w:t>5</w:t>
      </w:r>
      <w:r w:rsidRPr="003338D7">
        <w:rPr>
          <w:rFonts w:asciiTheme="majorHAnsi" w:hAnsiTheme="majorHAnsi"/>
          <w:noProof/>
          <w:szCs w:val="22"/>
        </w:rPr>
        <w:t xml:space="preserve">(1), 3–13. </w:t>
      </w:r>
      <w:hyperlink r:id="rId489" w:history="1">
        <w:r w:rsidRPr="003338D7">
          <w:rPr>
            <w:rStyle w:val="Hyperlink"/>
            <w:rFonts w:asciiTheme="majorHAnsi" w:hAnsiTheme="majorHAnsi"/>
            <w:noProof/>
            <w:szCs w:val="22"/>
          </w:rPr>
          <w:t>http://doi.org/10.5194/essd-5-3-2013</w:t>
        </w:r>
      </w:hyperlink>
    </w:p>
    <w:p w14:paraId="510C4CA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Hung, H., Kallenborn, R., Breivik, K., Su, Y., Brorström-Lundén, E., Olafsdottir, K., Thorlacius, J. M., Leppänen, S., Bossi, R., Skov, H., Manø, S., Patton, G. W., Stern, G., Sverko, E., &amp; Fellin, P. (2010). Atmospheric monitoring of organic pollutants in the Arctic under the Arctic Monitoring and Assessment Programme (AMAP): 1993-2006. </w:t>
      </w:r>
      <w:r w:rsidRPr="003338D7">
        <w:rPr>
          <w:rFonts w:asciiTheme="majorHAnsi" w:hAnsiTheme="majorHAnsi"/>
          <w:i/>
          <w:iCs/>
          <w:noProof/>
          <w:szCs w:val="22"/>
          <w:lang w:val="es-ES"/>
        </w:rPr>
        <w:t>Science of the Total Environment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408</w:t>
      </w:r>
      <w:r w:rsidRPr="003338D7">
        <w:rPr>
          <w:rFonts w:asciiTheme="majorHAnsi" w:hAnsiTheme="majorHAnsi"/>
          <w:noProof/>
          <w:szCs w:val="22"/>
          <w:lang w:val="es-ES"/>
        </w:rPr>
        <w:t xml:space="preserve">(15), 2854–2873. </w:t>
      </w:r>
      <w:hyperlink r:id="rId490" w:history="1">
        <w:r w:rsidRPr="003338D7">
          <w:rPr>
            <w:rStyle w:val="Hyperlink"/>
            <w:rFonts w:asciiTheme="majorHAnsi" w:hAnsiTheme="majorHAnsi"/>
            <w:noProof/>
            <w:szCs w:val="22"/>
            <w:lang w:val="es-ES"/>
          </w:rPr>
          <w:t>https://doi.org/10.1016/j.scitotenv.2009.10.044</w:t>
        </w:r>
      </w:hyperlink>
    </w:p>
    <w:p w14:paraId="5FE49D8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Hunke, P., Mueller, E. N., Schröder, B., &amp; Zeilhofer, P. (2015). </w:t>
      </w:r>
      <w:r w:rsidRPr="003338D7">
        <w:rPr>
          <w:rFonts w:asciiTheme="majorHAnsi" w:hAnsiTheme="majorHAnsi"/>
          <w:noProof/>
          <w:szCs w:val="22"/>
        </w:rPr>
        <w:t xml:space="preserve">The Brazilian Cerrado: assessment of water and soil degradation in catchments under intensive agriculture use. </w:t>
      </w:r>
      <w:r w:rsidRPr="003338D7">
        <w:rPr>
          <w:rFonts w:asciiTheme="majorHAnsi" w:hAnsiTheme="majorHAnsi"/>
          <w:i/>
          <w:iCs/>
          <w:noProof/>
          <w:szCs w:val="22"/>
        </w:rPr>
        <w:t>Ecohydrology</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(6), 1154–1180.</w:t>
      </w:r>
    </w:p>
    <w:p w14:paraId="607BD9C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Hutchings, J. A., Côté, I. M., Dodson, J. J., Fleming, I. A., Jennings, S., Mantua, N. J., Peterman, R. M., Riddell, B. E., Weaver, A. J., &amp; VanderZwaag, D. L. (2012). </w:t>
      </w:r>
      <w:r w:rsidRPr="003338D7">
        <w:rPr>
          <w:rFonts w:asciiTheme="majorHAnsi" w:hAnsiTheme="majorHAnsi"/>
          <w:i/>
          <w:iCs/>
          <w:noProof/>
          <w:szCs w:val="22"/>
          <w:lang w:val="es-ES"/>
        </w:rPr>
        <w:t>Sustaining Canada’s Marine Biodiversity: Responding to the Challenges Posed by Climate Change, Fisheries, and Aquaculture</w:t>
      </w:r>
      <w:r w:rsidRPr="003338D7">
        <w:rPr>
          <w:rFonts w:asciiTheme="majorHAnsi" w:hAnsiTheme="majorHAnsi"/>
          <w:noProof/>
          <w:szCs w:val="22"/>
          <w:lang w:val="es-ES"/>
        </w:rPr>
        <w:t xml:space="preserve">. Ottawa, Canada: Royal Society of Canada. Retrieved from </w:t>
      </w:r>
      <w:hyperlink r:id="rId491" w:history="1">
        <w:r w:rsidRPr="003338D7">
          <w:rPr>
            <w:rStyle w:val="Hyperlink"/>
            <w:rFonts w:asciiTheme="majorHAnsi" w:hAnsiTheme="majorHAnsi"/>
            <w:noProof/>
            <w:szCs w:val="22"/>
            <w:lang w:val="es-ES"/>
          </w:rPr>
          <w:t>http://www.ianas.org/docs/books/wbp08.pdf</w:t>
        </w:r>
      </w:hyperlink>
    </w:p>
    <w:p w14:paraId="0A5E4E5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I3N. (2016). I3N National Database: Argentina, Brasil, Chile, Colombia, Costa Rica, Jamaica, and Uruguay. I3N National Database.</w:t>
      </w:r>
    </w:p>
    <w:p w14:paraId="5EEFDEB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Ide, S. M., Ruiz, C. G., Sandoval, A. C., &amp; Valenzuela, J. E. (2011). Detección de </w:t>
      </w:r>
      <w:r w:rsidRPr="003338D7">
        <w:rPr>
          <w:rFonts w:asciiTheme="majorHAnsi" w:hAnsiTheme="majorHAnsi"/>
          <w:i/>
          <w:iCs/>
          <w:noProof/>
          <w:szCs w:val="22"/>
          <w:lang w:val="es-ES"/>
        </w:rPr>
        <w:t>Thaumastocoris peregrinus</w:t>
      </w:r>
      <w:r w:rsidRPr="003338D7">
        <w:rPr>
          <w:rFonts w:asciiTheme="majorHAnsi" w:hAnsiTheme="majorHAnsi"/>
          <w:noProof/>
          <w:szCs w:val="22"/>
          <w:lang w:val="es-ES"/>
        </w:rPr>
        <w:t xml:space="preserve"> (Hemiptera: Thaumastocoridae) asociado a </w:t>
      </w:r>
      <w:r w:rsidRPr="003338D7">
        <w:rPr>
          <w:rFonts w:asciiTheme="majorHAnsi" w:hAnsiTheme="majorHAnsi"/>
          <w:i/>
          <w:iCs/>
          <w:noProof/>
          <w:szCs w:val="22"/>
          <w:lang w:val="es-ES"/>
        </w:rPr>
        <w:t>Eucalyptus spp.</w:t>
      </w:r>
      <w:r w:rsidRPr="003338D7">
        <w:rPr>
          <w:rFonts w:asciiTheme="majorHAnsi" w:hAnsiTheme="majorHAnsi"/>
          <w:noProof/>
          <w:szCs w:val="22"/>
          <w:lang w:val="es-ES"/>
        </w:rPr>
        <w:t xml:space="preserve"> en Chile. </w:t>
      </w:r>
      <w:r w:rsidRPr="003338D7">
        <w:rPr>
          <w:rFonts w:asciiTheme="majorHAnsi" w:hAnsiTheme="majorHAnsi"/>
          <w:i/>
          <w:iCs/>
          <w:noProof/>
          <w:szCs w:val="22"/>
        </w:rPr>
        <w:t>Bosque</w:t>
      </w:r>
      <w:r w:rsidRPr="003338D7">
        <w:rPr>
          <w:rFonts w:asciiTheme="majorHAnsi" w:hAnsiTheme="majorHAnsi"/>
          <w:noProof/>
          <w:szCs w:val="22"/>
        </w:rPr>
        <w:t xml:space="preserve">, </w:t>
      </w:r>
      <w:r w:rsidRPr="003338D7">
        <w:rPr>
          <w:rFonts w:asciiTheme="majorHAnsi" w:hAnsiTheme="majorHAnsi"/>
          <w:i/>
          <w:iCs/>
          <w:noProof/>
          <w:szCs w:val="22"/>
        </w:rPr>
        <w:t>32</w:t>
      </w:r>
      <w:r w:rsidRPr="003338D7">
        <w:rPr>
          <w:rFonts w:asciiTheme="majorHAnsi" w:hAnsiTheme="majorHAnsi"/>
          <w:noProof/>
          <w:szCs w:val="22"/>
        </w:rPr>
        <w:t xml:space="preserve">(3), 309–313. </w:t>
      </w:r>
      <w:hyperlink r:id="rId492" w:history="1">
        <w:r w:rsidRPr="003338D7">
          <w:rPr>
            <w:rStyle w:val="Hyperlink"/>
            <w:rFonts w:asciiTheme="majorHAnsi" w:hAnsiTheme="majorHAnsi"/>
            <w:noProof/>
            <w:szCs w:val="22"/>
          </w:rPr>
          <w:t>http://doi.org/10.4067/S0717-92002011000300012</w:t>
        </w:r>
      </w:hyperlink>
    </w:p>
    <w:p w14:paraId="333F98B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Ingrao, D. A., Mikkelson, P. M., &amp; Hicks, D. W. (2001). Another introduced marine mollusk in the Gulf of Mexico: the indo- Pacific green mussel, </w:t>
      </w:r>
      <w:r w:rsidRPr="003338D7">
        <w:rPr>
          <w:rFonts w:asciiTheme="majorHAnsi" w:hAnsiTheme="majorHAnsi"/>
          <w:i/>
          <w:iCs/>
          <w:noProof/>
          <w:szCs w:val="22"/>
        </w:rPr>
        <w:t>Perna viridis</w:t>
      </w:r>
      <w:r w:rsidRPr="003338D7">
        <w:rPr>
          <w:rFonts w:asciiTheme="majorHAnsi" w:hAnsiTheme="majorHAnsi"/>
          <w:noProof/>
          <w:szCs w:val="22"/>
        </w:rPr>
        <w:t xml:space="preserve">, in Tampa Bay, Florida. </w:t>
      </w:r>
      <w:r w:rsidRPr="003338D7">
        <w:rPr>
          <w:rFonts w:asciiTheme="majorHAnsi" w:hAnsiTheme="majorHAnsi"/>
          <w:i/>
          <w:iCs/>
          <w:noProof/>
          <w:szCs w:val="22"/>
          <w:lang w:val="es-ES"/>
        </w:rPr>
        <w:t>Journal of Shellfish Research</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20</w:t>
      </w:r>
      <w:r w:rsidRPr="003338D7">
        <w:rPr>
          <w:rFonts w:asciiTheme="majorHAnsi" w:hAnsiTheme="majorHAnsi"/>
          <w:noProof/>
          <w:szCs w:val="22"/>
          <w:lang w:val="es-ES"/>
        </w:rPr>
        <w:t>(1), 13–19.</w:t>
      </w:r>
    </w:p>
    <w:p w14:paraId="29D1E7C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Instituto de Asuntos Públicos-Centro de Análisis de Políticas Públicas. (2016). </w:t>
      </w:r>
      <w:r w:rsidRPr="003338D7">
        <w:rPr>
          <w:rFonts w:asciiTheme="majorHAnsi" w:hAnsiTheme="majorHAnsi"/>
          <w:i/>
          <w:iCs/>
          <w:noProof/>
          <w:szCs w:val="22"/>
          <w:lang w:val="es-ES"/>
        </w:rPr>
        <w:t>Informe País: Estado del Medio Ambiente en Chile. Comparación 1999 - 2015</w:t>
      </w:r>
      <w:r w:rsidRPr="003338D7">
        <w:rPr>
          <w:rFonts w:asciiTheme="majorHAnsi" w:hAnsiTheme="majorHAnsi"/>
          <w:noProof/>
          <w:szCs w:val="22"/>
          <w:lang w:val="es-ES"/>
        </w:rPr>
        <w:t xml:space="preserve">. Santiago, Chile: Universidad de Chile. </w:t>
      </w:r>
      <w:r w:rsidRPr="003338D7">
        <w:rPr>
          <w:rFonts w:asciiTheme="majorHAnsi" w:hAnsiTheme="majorHAnsi"/>
          <w:noProof/>
          <w:szCs w:val="22"/>
        </w:rPr>
        <w:t xml:space="preserve">Retrieved from </w:t>
      </w:r>
      <w:hyperlink r:id="rId493" w:history="1">
        <w:r w:rsidRPr="003338D7">
          <w:rPr>
            <w:rStyle w:val="Hyperlink"/>
            <w:rFonts w:asciiTheme="majorHAnsi" w:hAnsiTheme="majorHAnsi"/>
            <w:noProof/>
            <w:szCs w:val="22"/>
          </w:rPr>
          <w:t>http://www.uchile.cl/publicaciones/129607/informe-pais-estado-del-medio-ambiente-en-chile-1999-2015</w:t>
        </w:r>
      </w:hyperlink>
    </w:p>
    <w:p w14:paraId="74B6054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International Labour Organization. (1989). </w:t>
      </w:r>
      <w:r w:rsidRPr="003338D7">
        <w:rPr>
          <w:rFonts w:asciiTheme="majorHAnsi" w:hAnsiTheme="majorHAnsi"/>
          <w:i/>
          <w:iCs/>
          <w:noProof/>
          <w:szCs w:val="22"/>
        </w:rPr>
        <w:t>Indigenous and Tribal Peoples Convention, C169</w:t>
      </w:r>
      <w:r w:rsidRPr="003338D7">
        <w:rPr>
          <w:rFonts w:asciiTheme="majorHAnsi" w:hAnsiTheme="majorHAnsi"/>
          <w:noProof/>
          <w:szCs w:val="22"/>
        </w:rPr>
        <w:t xml:space="preserve">. International Labour Organization (ILO). Retrieved from </w:t>
      </w:r>
      <w:hyperlink r:id="rId494" w:history="1">
        <w:r w:rsidRPr="003338D7">
          <w:rPr>
            <w:rStyle w:val="Hyperlink"/>
            <w:rFonts w:asciiTheme="majorHAnsi" w:hAnsiTheme="majorHAnsi"/>
            <w:noProof/>
            <w:szCs w:val="22"/>
          </w:rPr>
          <w:t>http://www.refworld.org/docid/3ddb6d514.html</w:t>
        </w:r>
      </w:hyperlink>
    </w:p>
    <w:p w14:paraId="05F546E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Iñiguez-Armijos, C., Leiva, A., Frede, H. G., Hampel, H., &amp; Breuer, L. (2014). </w:t>
      </w:r>
      <w:r w:rsidRPr="003338D7">
        <w:rPr>
          <w:rFonts w:asciiTheme="majorHAnsi" w:hAnsiTheme="majorHAnsi"/>
          <w:noProof/>
          <w:szCs w:val="22"/>
        </w:rPr>
        <w:t xml:space="preserve">Deforestation and benthic indicators: how much vegetation cover is needed to sustain healthy Andean streams?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w:t>
      </w:r>
      <w:r w:rsidRPr="003338D7">
        <w:rPr>
          <w:rFonts w:asciiTheme="majorHAnsi" w:hAnsiTheme="majorHAnsi"/>
          <w:noProof/>
          <w:szCs w:val="22"/>
          <w:lang w:val="es-ES"/>
        </w:rPr>
        <w:t xml:space="preserve">(8), e105869. </w:t>
      </w:r>
      <w:hyperlink r:id="rId495" w:history="1">
        <w:r w:rsidRPr="003338D7">
          <w:rPr>
            <w:rStyle w:val="Hyperlink"/>
            <w:rFonts w:asciiTheme="majorHAnsi" w:hAnsiTheme="majorHAnsi"/>
            <w:noProof/>
            <w:szCs w:val="22"/>
            <w:lang w:val="es-ES"/>
          </w:rPr>
          <w:t>http://doi.org/10.1371/journal.pone.0105869</w:t>
        </w:r>
      </w:hyperlink>
    </w:p>
    <w:p w14:paraId="2DAE5BD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Iriarte, J. A., Lobos, G. A., &amp; Jaksic, F. M. (2005). </w:t>
      </w:r>
      <w:r w:rsidRPr="003338D7">
        <w:rPr>
          <w:rFonts w:asciiTheme="majorHAnsi" w:hAnsiTheme="majorHAnsi"/>
          <w:noProof/>
          <w:szCs w:val="22"/>
        </w:rPr>
        <w:t xml:space="preserve">Invasive vertebrate species in Chile and their control and monitoring by governmental agencies. </w:t>
      </w:r>
      <w:r w:rsidRPr="003338D7">
        <w:rPr>
          <w:rFonts w:asciiTheme="majorHAnsi" w:hAnsiTheme="majorHAnsi"/>
          <w:i/>
          <w:iCs/>
          <w:noProof/>
          <w:szCs w:val="22"/>
          <w:lang w:val="es-ES"/>
        </w:rPr>
        <w:t>Revista Chilena de Historia Natural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78</w:t>
      </w:r>
      <w:r w:rsidRPr="003338D7">
        <w:rPr>
          <w:rFonts w:asciiTheme="majorHAnsi" w:hAnsiTheme="majorHAnsi"/>
          <w:noProof/>
          <w:szCs w:val="22"/>
          <w:lang w:val="es-ES"/>
        </w:rPr>
        <w:t xml:space="preserve">(1), 143–154. </w:t>
      </w:r>
      <w:hyperlink r:id="rId496" w:history="1">
        <w:r w:rsidRPr="003338D7">
          <w:rPr>
            <w:rStyle w:val="Hyperlink"/>
            <w:rFonts w:asciiTheme="majorHAnsi" w:hAnsiTheme="majorHAnsi"/>
            <w:noProof/>
            <w:szCs w:val="22"/>
            <w:lang w:val="es-ES"/>
          </w:rPr>
          <w:t>http://doi.org/10.4067/s0716-078x2005000100010</w:t>
        </w:r>
      </w:hyperlink>
    </w:p>
    <w:p w14:paraId="1506495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Iroumé, A., &amp; Palacios, H. (2013). </w:t>
      </w:r>
      <w:r w:rsidRPr="003338D7">
        <w:rPr>
          <w:rFonts w:asciiTheme="majorHAnsi" w:hAnsiTheme="majorHAnsi"/>
          <w:noProof/>
          <w:szCs w:val="22"/>
        </w:rPr>
        <w:t xml:space="preserve">Afforestation and changes in forest composition affect runoff in large river basins with pluvial regime and Mediterranean climate, Chile. </w:t>
      </w:r>
      <w:r w:rsidRPr="003338D7">
        <w:rPr>
          <w:rFonts w:asciiTheme="majorHAnsi" w:hAnsiTheme="majorHAnsi"/>
          <w:i/>
          <w:iCs/>
          <w:noProof/>
          <w:szCs w:val="22"/>
        </w:rPr>
        <w:t>Journal of Hydrology</w:t>
      </w:r>
      <w:r w:rsidRPr="003338D7">
        <w:rPr>
          <w:rFonts w:asciiTheme="majorHAnsi" w:hAnsiTheme="majorHAnsi"/>
          <w:noProof/>
          <w:szCs w:val="22"/>
        </w:rPr>
        <w:t xml:space="preserve">, </w:t>
      </w:r>
      <w:r w:rsidRPr="003338D7">
        <w:rPr>
          <w:rFonts w:asciiTheme="majorHAnsi" w:hAnsiTheme="majorHAnsi"/>
          <w:i/>
          <w:iCs/>
          <w:noProof/>
          <w:szCs w:val="22"/>
        </w:rPr>
        <w:t>505</w:t>
      </w:r>
      <w:r w:rsidRPr="003338D7">
        <w:rPr>
          <w:rFonts w:asciiTheme="majorHAnsi" w:hAnsiTheme="majorHAnsi"/>
          <w:noProof/>
          <w:szCs w:val="22"/>
        </w:rPr>
        <w:t xml:space="preserve">, 113–125. </w:t>
      </w:r>
      <w:hyperlink r:id="rId497" w:history="1">
        <w:r w:rsidRPr="003338D7">
          <w:rPr>
            <w:rStyle w:val="Hyperlink"/>
            <w:rFonts w:asciiTheme="majorHAnsi" w:hAnsiTheme="majorHAnsi"/>
            <w:noProof/>
            <w:szCs w:val="22"/>
          </w:rPr>
          <w:t>http://doi.org/10.1016/j.jhydrol.2013.09.031</w:t>
        </w:r>
      </w:hyperlink>
    </w:p>
    <w:p w14:paraId="2D380FE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Isaac, N. J. B., Turvey, S. T., Collen, B., Waterman, C., &amp; Baillie, J. E. M. (2007). Mammals on the EDGE: conservation priorities based on threat and phylogeny. </w:t>
      </w:r>
      <w:r w:rsidRPr="003338D7">
        <w:rPr>
          <w:rFonts w:asciiTheme="majorHAnsi" w:hAnsiTheme="majorHAnsi"/>
          <w:i/>
          <w:iCs/>
          <w:noProof/>
          <w:szCs w:val="22"/>
        </w:rPr>
        <w:t>PLoS ONE</w:t>
      </w:r>
      <w:r w:rsidRPr="003338D7">
        <w:rPr>
          <w:rFonts w:asciiTheme="majorHAnsi" w:hAnsiTheme="majorHAnsi"/>
          <w:noProof/>
          <w:szCs w:val="22"/>
        </w:rPr>
        <w:t xml:space="preserve">, </w:t>
      </w:r>
      <w:r w:rsidRPr="003338D7">
        <w:rPr>
          <w:rFonts w:asciiTheme="majorHAnsi" w:hAnsiTheme="majorHAnsi"/>
          <w:i/>
          <w:iCs/>
          <w:noProof/>
          <w:szCs w:val="22"/>
        </w:rPr>
        <w:t>2</w:t>
      </w:r>
      <w:r w:rsidRPr="003338D7">
        <w:rPr>
          <w:rFonts w:asciiTheme="majorHAnsi" w:hAnsiTheme="majorHAnsi"/>
          <w:noProof/>
          <w:szCs w:val="22"/>
        </w:rPr>
        <w:t xml:space="preserve">(3), e296. </w:t>
      </w:r>
      <w:hyperlink r:id="rId498" w:history="1">
        <w:r w:rsidRPr="003338D7">
          <w:rPr>
            <w:rStyle w:val="Hyperlink"/>
            <w:rFonts w:asciiTheme="majorHAnsi" w:hAnsiTheme="majorHAnsi"/>
            <w:noProof/>
            <w:szCs w:val="22"/>
          </w:rPr>
          <w:t>http://doi.org/10.1371/journal.pone.0000296</w:t>
        </w:r>
      </w:hyperlink>
    </w:p>
    <w:p w14:paraId="5AC607F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Isbell, F. I., Polley, H. W., &amp; Wilsey, B. J. (2009). Species interaction mechanisms maintain grassland plant species diversity. </w:t>
      </w:r>
      <w:r w:rsidRPr="003338D7">
        <w:rPr>
          <w:rFonts w:asciiTheme="majorHAnsi" w:hAnsiTheme="majorHAnsi"/>
          <w:i/>
          <w:iCs/>
          <w:noProof/>
          <w:szCs w:val="22"/>
          <w:lang w:val="es-ES"/>
        </w:rPr>
        <w:t>Ecology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90</w:t>
      </w:r>
      <w:r w:rsidRPr="003338D7">
        <w:rPr>
          <w:rFonts w:asciiTheme="majorHAnsi" w:hAnsiTheme="majorHAnsi"/>
          <w:noProof/>
          <w:szCs w:val="22"/>
          <w:lang w:val="es-ES"/>
        </w:rPr>
        <w:t xml:space="preserve">(7), 1821–1830. </w:t>
      </w:r>
      <w:hyperlink r:id="rId499" w:history="1">
        <w:r w:rsidRPr="003338D7">
          <w:rPr>
            <w:rStyle w:val="Hyperlink"/>
            <w:rFonts w:asciiTheme="majorHAnsi" w:hAnsiTheme="majorHAnsi"/>
            <w:noProof/>
            <w:szCs w:val="22"/>
            <w:lang w:val="es-ES"/>
          </w:rPr>
          <w:t>http://doi.org/10.1890/08-0514.1</w:t>
        </w:r>
      </w:hyperlink>
    </w:p>
    <w:p w14:paraId="7A2BCD9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Iturraspe, R. (2010). </w:t>
      </w:r>
      <w:r w:rsidRPr="003338D7">
        <w:rPr>
          <w:rFonts w:asciiTheme="majorHAnsi" w:hAnsiTheme="majorHAnsi"/>
          <w:i/>
          <w:iCs/>
          <w:noProof/>
          <w:szCs w:val="22"/>
          <w:lang w:val="es-ES"/>
        </w:rPr>
        <w:t>Las turberas de Tierra del Fuego y el Cambio Climático Global</w:t>
      </w:r>
      <w:r w:rsidRPr="003338D7">
        <w:rPr>
          <w:rFonts w:asciiTheme="majorHAnsi" w:hAnsiTheme="majorHAnsi"/>
          <w:noProof/>
          <w:szCs w:val="22"/>
          <w:lang w:val="es-ES"/>
        </w:rPr>
        <w:t xml:space="preserve">. </w:t>
      </w:r>
      <w:r w:rsidRPr="003338D7">
        <w:rPr>
          <w:rFonts w:asciiTheme="majorHAnsi" w:hAnsiTheme="majorHAnsi"/>
          <w:noProof/>
          <w:szCs w:val="22"/>
        </w:rPr>
        <w:t>Buenos Aires, Argentina: Fundación Humedales / Wetlands International.</w:t>
      </w:r>
    </w:p>
    <w:p w14:paraId="7D7C062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IUCN. (2009). The IUCN Red list of Threatened Species Version 2009-1. Retrieved from </w:t>
      </w:r>
      <w:hyperlink r:id="rId500" w:history="1">
        <w:r w:rsidRPr="003338D7">
          <w:rPr>
            <w:rStyle w:val="Hyperlink"/>
            <w:rFonts w:asciiTheme="majorHAnsi" w:hAnsiTheme="majorHAnsi"/>
            <w:noProof/>
            <w:szCs w:val="22"/>
          </w:rPr>
          <w:t>http://www.iucnredlist.org/</w:t>
        </w:r>
      </w:hyperlink>
    </w:p>
    <w:p w14:paraId="1A050BC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IUCN. (2014). IUCN Red List of Threatened Species. Version 2014.2. Retrieved August 31, 2017, from </w:t>
      </w:r>
      <w:hyperlink r:id="rId501" w:history="1">
        <w:r w:rsidRPr="003338D7">
          <w:rPr>
            <w:rStyle w:val="Hyperlink"/>
            <w:rFonts w:asciiTheme="majorHAnsi" w:hAnsiTheme="majorHAnsi"/>
            <w:noProof/>
            <w:szCs w:val="22"/>
          </w:rPr>
          <w:t>http://www.iucnredlist.org</w:t>
        </w:r>
      </w:hyperlink>
    </w:p>
    <w:p w14:paraId="4EA132F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IUCN. (2017). The IUCN Red List of Threatened Species. Version 2016-3. Retrieved January 1, 2017, from </w:t>
      </w:r>
      <w:hyperlink r:id="rId502" w:history="1">
        <w:r w:rsidRPr="003338D7">
          <w:rPr>
            <w:rStyle w:val="Hyperlink"/>
            <w:rFonts w:asciiTheme="majorHAnsi" w:hAnsiTheme="majorHAnsi"/>
            <w:noProof/>
            <w:szCs w:val="22"/>
          </w:rPr>
          <w:t>http://www.iucnredlist.org</w:t>
        </w:r>
      </w:hyperlink>
    </w:p>
    <w:p w14:paraId="192C587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IUCN, &amp; SSC PBSG. (2017). Summary of polar bear population status per 2017. Retrieved from </w:t>
      </w:r>
      <w:hyperlink r:id="rId503" w:history="1">
        <w:r w:rsidRPr="003338D7">
          <w:rPr>
            <w:rStyle w:val="Hyperlink"/>
            <w:rFonts w:asciiTheme="majorHAnsi" w:hAnsiTheme="majorHAnsi"/>
            <w:noProof/>
            <w:szCs w:val="22"/>
          </w:rPr>
          <w:t>http://pbsg.npolar.no/en/status/status-table.html</w:t>
        </w:r>
      </w:hyperlink>
    </w:p>
    <w:p w14:paraId="554A8BF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Jackson, J. B. C., Donovan, M. K., Cramer, K. L., &amp; Lam, V. (Eds.). (2014). </w:t>
      </w:r>
      <w:r w:rsidRPr="003338D7">
        <w:rPr>
          <w:rFonts w:asciiTheme="majorHAnsi" w:hAnsiTheme="majorHAnsi"/>
          <w:i/>
          <w:iCs/>
          <w:noProof/>
          <w:szCs w:val="22"/>
        </w:rPr>
        <w:t>Status and Trends of Caribbean Coral Reefs: 1970-2012</w:t>
      </w:r>
      <w:r w:rsidRPr="003338D7">
        <w:rPr>
          <w:rFonts w:asciiTheme="majorHAnsi" w:hAnsiTheme="majorHAnsi"/>
          <w:noProof/>
          <w:szCs w:val="22"/>
        </w:rPr>
        <w:t>. Gland, Switzerland: Global Coral Reef Monitoring Network, IUCN.</w:t>
      </w:r>
    </w:p>
    <w:p w14:paraId="27E79E0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Jackson, R. B., Banner, J. L., Jobbágy, E. G., Pockman, W. T., &amp; Wall, D. H. (2002). Ecosystem carbon loss with woody plant invasion of grasslands.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418</w:t>
      </w:r>
      <w:r w:rsidRPr="003338D7">
        <w:rPr>
          <w:rFonts w:asciiTheme="majorHAnsi" w:hAnsiTheme="majorHAnsi"/>
          <w:noProof/>
          <w:szCs w:val="22"/>
        </w:rPr>
        <w:t xml:space="preserve">(6898), 623–626. </w:t>
      </w:r>
      <w:hyperlink r:id="rId504" w:history="1">
        <w:r w:rsidRPr="003338D7">
          <w:rPr>
            <w:rStyle w:val="Hyperlink"/>
            <w:rFonts w:asciiTheme="majorHAnsi" w:hAnsiTheme="majorHAnsi"/>
            <w:noProof/>
            <w:szCs w:val="22"/>
          </w:rPr>
          <w:t>http://doi.org/10.1038/nature00910</w:t>
        </w:r>
      </w:hyperlink>
    </w:p>
    <w:p w14:paraId="7BA6479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Jackson, R. B., Jobbágy, E. G., &amp; Avissar, R. (2005). Trading water for carbon with biological carbon sequestration.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310</w:t>
      </w:r>
      <w:r w:rsidRPr="003338D7">
        <w:rPr>
          <w:rFonts w:asciiTheme="majorHAnsi" w:hAnsiTheme="majorHAnsi"/>
          <w:noProof/>
          <w:szCs w:val="22"/>
        </w:rPr>
        <w:t xml:space="preserve">(5756), 1944–1947. </w:t>
      </w:r>
      <w:hyperlink r:id="rId505" w:history="1">
        <w:r w:rsidRPr="003338D7">
          <w:rPr>
            <w:rStyle w:val="Hyperlink"/>
            <w:rFonts w:asciiTheme="majorHAnsi" w:hAnsiTheme="majorHAnsi"/>
            <w:noProof/>
            <w:szCs w:val="22"/>
          </w:rPr>
          <w:t>http://doi.org/10.1126/science.1119282</w:t>
        </w:r>
      </w:hyperlink>
    </w:p>
    <w:p w14:paraId="3515258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Jackson, R. B., Lajtha, K., Crow, S. E., Hugelius, G., Kramer, M. G., &amp; Piñeiro, G. (2017). The ecology of soil carbon: pools, vulnerabilities, and biotic and abiotic controls. </w:t>
      </w:r>
      <w:r w:rsidRPr="003338D7">
        <w:rPr>
          <w:rFonts w:asciiTheme="majorHAnsi" w:hAnsiTheme="majorHAnsi"/>
          <w:i/>
          <w:iCs/>
          <w:noProof/>
          <w:szCs w:val="22"/>
        </w:rPr>
        <w:t>Annual Review of Ecology, Evolution, and Systematics</w:t>
      </w:r>
      <w:r w:rsidRPr="003338D7">
        <w:rPr>
          <w:rFonts w:asciiTheme="majorHAnsi" w:hAnsiTheme="majorHAnsi"/>
          <w:noProof/>
          <w:szCs w:val="22"/>
        </w:rPr>
        <w:t xml:space="preserve">, </w:t>
      </w:r>
      <w:r w:rsidRPr="003338D7">
        <w:rPr>
          <w:rFonts w:asciiTheme="majorHAnsi" w:hAnsiTheme="majorHAnsi"/>
          <w:i/>
          <w:iCs/>
          <w:noProof/>
          <w:szCs w:val="22"/>
        </w:rPr>
        <w:t>48</w:t>
      </w:r>
      <w:r w:rsidRPr="003338D7">
        <w:rPr>
          <w:rFonts w:asciiTheme="majorHAnsi" w:hAnsiTheme="majorHAnsi"/>
          <w:noProof/>
          <w:szCs w:val="22"/>
        </w:rPr>
        <w:t xml:space="preserve">(1), 419–445. </w:t>
      </w:r>
      <w:hyperlink r:id="rId506" w:history="1">
        <w:r w:rsidRPr="003338D7">
          <w:rPr>
            <w:rStyle w:val="Hyperlink"/>
            <w:rFonts w:asciiTheme="majorHAnsi" w:hAnsiTheme="majorHAnsi"/>
            <w:noProof/>
            <w:szCs w:val="22"/>
          </w:rPr>
          <w:t>http://doi.org/10.1146/annurev-ecolsys-112414-054234</w:t>
        </w:r>
      </w:hyperlink>
    </w:p>
    <w:p w14:paraId="074E66F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Jackson, R. B., Randerson, J. T., Canadell, J. G., Anderson, R. G., Avissar, R., Baldocchi, D. D., Bonan, G. B., Caldeira, K., Diffenbaugh, N. S., Field, C. B., Hungate, B. A., Jobbágy, E. G., Kueppers, L. M., Nosetto, M. D., &amp; Pataki, D. E. (2008). Protecting climate with forests. </w:t>
      </w:r>
      <w:r w:rsidRPr="003338D7">
        <w:rPr>
          <w:rFonts w:asciiTheme="majorHAnsi" w:hAnsiTheme="majorHAnsi"/>
          <w:i/>
          <w:iCs/>
          <w:noProof/>
          <w:szCs w:val="22"/>
          <w:lang w:val="es-ES"/>
        </w:rPr>
        <w:t>Environmental Research Letters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w:t>
      </w:r>
      <w:r w:rsidRPr="003338D7">
        <w:rPr>
          <w:rFonts w:asciiTheme="majorHAnsi" w:hAnsiTheme="majorHAnsi"/>
          <w:noProof/>
          <w:szCs w:val="22"/>
          <w:lang w:val="es-ES"/>
        </w:rPr>
        <w:t xml:space="preserve">(4), 044006. </w:t>
      </w:r>
      <w:hyperlink r:id="rId507" w:history="1">
        <w:r w:rsidRPr="003338D7">
          <w:rPr>
            <w:rStyle w:val="Hyperlink"/>
            <w:rFonts w:asciiTheme="majorHAnsi" w:hAnsiTheme="majorHAnsi"/>
            <w:noProof/>
            <w:szCs w:val="22"/>
            <w:lang w:val="es-ES"/>
          </w:rPr>
          <w:t>https://doi.org/10.1088/1748-9326/3/4/044006</w:t>
        </w:r>
      </w:hyperlink>
    </w:p>
    <w:p w14:paraId="65D0FC4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Jaksic, F. M. (1998). Vertebrate invaders and their ecological impacts in Chile.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7</w:t>
      </w:r>
      <w:r w:rsidRPr="003338D7">
        <w:rPr>
          <w:rFonts w:asciiTheme="majorHAnsi" w:hAnsiTheme="majorHAnsi"/>
          <w:noProof/>
          <w:szCs w:val="22"/>
        </w:rPr>
        <w:t xml:space="preserve">(11), 1427–1445. </w:t>
      </w:r>
      <w:hyperlink r:id="rId508" w:history="1">
        <w:r w:rsidRPr="003338D7">
          <w:rPr>
            <w:rStyle w:val="Hyperlink"/>
            <w:rFonts w:asciiTheme="majorHAnsi" w:hAnsiTheme="majorHAnsi"/>
            <w:noProof/>
            <w:szCs w:val="22"/>
          </w:rPr>
          <w:t>http://doi.org/10.1023/A:1008825802448</w:t>
        </w:r>
      </w:hyperlink>
    </w:p>
    <w:p w14:paraId="1D6B14E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Jaksic, F. M., Pavez, E. F., Jiménez, J. E., &amp; Torres-Mura, J. C. (2001). The conservation status of raptors in the Metropolitan Region, Chile. </w:t>
      </w:r>
      <w:r w:rsidRPr="003338D7">
        <w:rPr>
          <w:rFonts w:asciiTheme="majorHAnsi" w:hAnsiTheme="majorHAnsi"/>
          <w:i/>
          <w:iCs/>
          <w:noProof/>
          <w:szCs w:val="22"/>
        </w:rPr>
        <w:t>Journal of Raptor Research</w:t>
      </w:r>
      <w:r w:rsidRPr="003338D7">
        <w:rPr>
          <w:rFonts w:asciiTheme="majorHAnsi" w:hAnsiTheme="majorHAnsi"/>
          <w:noProof/>
          <w:szCs w:val="22"/>
        </w:rPr>
        <w:t xml:space="preserve">, </w:t>
      </w:r>
      <w:r w:rsidRPr="003338D7">
        <w:rPr>
          <w:rFonts w:asciiTheme="majorHAnsi" w:hAnsiTheme="majorHAnsi"/>
          <w:i/>
          <w:iCs/>
          <w:noProof/>
          <w:szCs w:val="22"/>
        </w:rPr>
        <w:t>35</w:t>
      </w:r>
      <w:r w:rsidRPr="003338D7">
        <w:rPr>
          <w:rFonts w:asciiTheme="majorHAnsi" w:hAnsiTheme="majorHAnsi"/>
          <w:noProof/>
          <w:szCs w:val="22"/>
        </w:rPr>
        <w:t>(2), 151–158.</w:t>
      </w:r>
    </w:p>
    <w:p w14:paraId="300C8A2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Janzen, D. H. (1987). Insect diversity of a Costa Rican dry forest: why keep it, and how? </w:t>
      </w:r>
      <w:r w:rsidRPr="003338D7">
        <w:rPr>
          <w:rFonts w:asciiTheme="majorHAnsi" w:hAnsiTheme="majorHAnsi"/>
          <w:i/>
          <w:iCs/>
          <w:noProof/>
          <w:szCs w:val="22"/>
        </w:rPr>
        <w:t>Biological Journal of the Linnean Society</w:t>
      </w:r>
      <w:r w:rsidRPr="003338D7">
        <w:rPr>
          <w:rFonts w:asciiTheme="majorHAnsi" w:hAnsiTheme="majorHAnsi"/>
          <w:noProof/>
          <w:szCs w:val="22"/>
        </w:rPr>
        <w:t xml:space="preserve">, </w:t>
      </w:r>
      <w:r w:rsidRPr="003338D7">
        <w:rPr>
          <w:rFonts w:asciiTheme="majorHAnsi" w:hAnsiTheme="majorHAnsi"/>
          <w:i/>
          <w:iCs/>
          <w:noProof/>
          <w:szCs w:val="22"/>
        </w:rPr>
        <w:t>30</w:t>
      </w:r>
      <w:r w:rsidRPr="003338D7">
        <w:rPr>
          <w:rFonts w:asciiTheme="majorHAnsi" w:hAnsiTheme="majorHAnsi"/>
          <w:noProof/>
          <w:szCs w:val="22"/>
        </w:rPr>
        <w:t xml:space="preserve">(4), 343–356. </w:t>
      </w:r>
      <w:hyperlink r:id="rId509" w:history="1">
        <w:r w:rsidRPr="003338D7">
          <w:rPr>
            <w:rStyle w:val="Hyperlink"/>
            <w:rFonts w:asciiTheme="majorHAnsi" w:hAnsiTheme="majorHAnsi"/>
            <w:noProof/>
            <w:szCs w:val="22"/>
          </w:rPr>
          <w:t>http://doi.org/10.1111/j.1095-8312.1987.tb00307.x</w:t>
        </w:r>
      </w:hyperlink>
    </w:p>
    <w:p w14:paraId="6C1BC2A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Janzen, D. H. (1988). Tropical dry forests: the most endangered major tropical ecosystem. In E. O. Wilson &amp; F. M. Peters (Eds.), </w:t>
      </w:r>
      <w:r w:rsidRPr="003338D7">
        <w:rPr>
          <w:rFonts w:asciiTheme="majorHAnsi" w:hAnsiTheme="majorHAnsi"/>
          <w:i/>
          <w:iCs/>
          <w:noProof/>
          <w:szCs w:val="22"/>
        </w:rPr>
        <w:t>Biodiversity</w:t>
      </w:r>
      <w:r w:rsidRPr="003338D7">
        <w:rPr>
          <w:rFonts w:asciiTheme="majorHAnsi" w:hAnsiTheme="majorHAnsi"/>
          <w:noProof/>
          <w:szCs w:val="22"/>
        </w:rPr>
        <w:t xml:space="preserve"> (pp. 130–137). Washington, D.C.: National Academy Press.</w:t>
      </w:r>
    </w:p>
    <w:p w14:paraId="0007FA2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Janzen, D. H. (2002). Tropical Dry Forest: Area de Conservación Guanacaste, northwetern Costa Rica. In M. R. Perrow &amp; A. J. Davy (Eds.), </w:t>
      </w:r>
      <w:r w:rsidRPr="003338D7">
        <w:rPr>
          <w:rFonts w:asciiTheme="majorHAnsi" w:hAnsiTheme="majorHAnsi"/>
          <w:i/>
          <w:iCs/>
          <w:noProof/>
          <w:szCs w:val="22"/>
        </w:rPr>
        <w:t>Handbook of Ecological Restoration. Vol 2 Restoration in Practice</w:t>
      </w:r>
      <w:r w:rsidRPr="003338D7">
        <w:rPr>
          <w:rFonts w:asciiTheme="majorHAnsi" w:hAnsiTheme="majorHAnsi"/>
          <w:noProof/>
          <w:szCs w:val="22"/>
        </w:rPr>
        <w:t xml:space="preserve"> (pp. 559–583). Cambridge, UK: Cambridge University Press.</w:t>
      </w:r>
    </w:p>
    <w:p w14:paraId="4D158B7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Janzen, D. H., &amp; Hallwachs, W. (2016). </w:t>
      </w:r>
      <w:r w:rsidRPr="003338D7">
        <w:rPr>
          <w:rFonts w:asciiTheme="majorHAnsi" w:hAnsiTheme="majorHAnsi"/>
          <w:noProof/>
          <w:szCs w:val="22"/>
        </w:rPr>
        <w:t xml:space="preserve">Biodiversity conservation history and future in Costa Rica: The case of Área de Conservación Guanacaste (ACG). In M. Kappelle (Ed.), </w:t>
      </w:r>
      <w:r w:rsidRPr="003338D7">
        <w:rPr>
          <w:rFonts w:asciiTheme="majorHAnsi" w:hAnsiTheme="majorHAnsi"/>
          <w:i/>
          <w:iCs/>
          <w:noProof/>
          <w:szCs w:val="22"/>
        </w:rPr>
        <w:t>Costa Rican Ecosystems</w:t>
      </w:r>
      <w:r w:rsidRPr="003338D7">
        <w:rPr>
          <w:rFonts w:asciiTheme="majorHAnsi" w:hAnsiTheme="majorHAnsi"/>
          <w:noProof/>
          <w:szCs w:val="22"/>
        </w:rPr>
        <w:t xml:space="preserve"> (pp. 290–341). Chicago, USA.: University Of Chicago Press. </w:t>
      </w:r>
      <w:hyperlink r:id="rId510" w:history="1">
        <w:r w:rsidRPr="003338D7">
          <w:rPr>
            <w:rStyle w:val="Hyperlink"/>
            <w:rFonts w:asciiTheme="majorHAnsi" w:hAnsiTheme="majorHAnsi"/>
            <w:noProof/>
            <w:szCs w:val="22"/>
          </w:rPr>
          <w:t>http://doi.org/10.7208/chicago/9780226121642.003.0010</w:t>
        </w:r>
      </w:hyperlink>
    </w:p>
    <w:p w14:paraId="4E93CBB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Jenkins, C. N., &amp; Joppa, L. (2009). </w:t>
      </w:r>
      <w:r w:rsidRPr="003338D7">
        <w:rPr>
          <w:rFonts w:asciiTheme="majorHAnsi" w:hAnsiTheme="majorHAnsi"/>
          <w:noProof/>
          <w:szCs w:val="22"/>
        </w:rPr>
        <w:t xml:space="preserve">Expansion of the global terrestrial protected area system.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142</w:t>
      </w:r>
      <w:r w:rsidRPr="003338D7">
        <w:rPr>
          <w:rFonts w:asciiTheme="majorHAnsi" w:hAnsiTheme="majorHAnsi"/>
          <w:noProof/>
          <w:szCs w:val="22"/>
        </w:rPr>
        <w:t xml:space="preserve">(10), 2166–2174. </w:t>
      </w:r>
      <w:hyperlink r:id="rId511" w:history="1">
        <w:r w:rsidRPr="003338D7">
          <w:rPr>
            <w:rStyle w:val="Hyperlink"/>
            <w:rFonts w:asciiTheme="majorHAnsi" w:hAnsiTheme="majorHAnsi"/>
            <w:noProof/>
            <w:szCs w:val="22"/>
          </w:rPr>
          <w:t>http://doi.org/10.1016/j.biocon.2009.04.016</w:t>
        </w:r>
      </w:hyperlink>
    </w:p>
    <w:p w14:paraId="16FA11A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Jetz, W., Cavender-Bares, J., Pavlick, R., Schimel, D., Davis, F. W., Asner, G. P., Guralnick, R., Kattge, J., Latimer, A. M., Moorcroft, P., Schaepman, M. E., Schildhauer, M. P., Schneider, F. D., Schrodt, F., Stahl, U., &amp; Ustin, S. L. (2016). Monitoring plant functional diversity from space. </w:t>
      </w:r>
      <w:r w:rsidRPr="003338D7">
        <w:rPr>
          <w:rFonts w:asciiTheme="majorHAnsi" w:hAnsiTheme="majorHAnsi"/>
          <w:i/>
          <w:iCs/>
          <w:noProof/>
          <w:szCs w:val="22"/>
          <w:lang w:val="es-ES"/>
        </w:rPr>
        <w:t>Nature Plants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w:t>
      </w:r>
      <w:r w:rsidRPr="003338D7">
        <w:rPr>
          <w:rFonts w:asciiTheme="majorHAnsi" w:hAnsiTheme="majorHAnsi"/>
          <w:noProof/>
          <w:szCs w:val="22"/>
          <w:lang w:val="es-ES"/>
        </w:rPr>
        <w:t xml:space="preserve">(3), 16024. </w:t>
      </w:r>
      <w:hyperlink r:id="rId512" w:history="1">
        <w:r w:rsidRPr="003338D7">
          <w:rPr>
            <w:rStyle w:val="Hyperlink"/>
            <w:rFonts w:asciiTheme="majorHAnsi" w:hAnsiTheme="majorHAnsi"/>
            <w:noProof/>
            <w:szCs w:val="22"/>
            <w:lang w:val="es-ES"/>
          </w:rPr>
          <w:t>https://doi.org/10.1038/nplants.2016.24</w:t>
        </w:r>
      </w:hyperlink>
    </w:p>
    <w:p w14:paraId="1284110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Jetz, W., Thomas, G. H., Joy, J. B., Hartmann, K., &amp; Mooers, A. O. (2012). The global diversity of birds in space and time.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491</w:t>
      </w:r>
      <w:r w:rsidRPr="003338D7">
        <w:rPr>
          <w:rFonts w:asciiTheme="majorHAnsi" w:hAnsiTheme="majorHAnsi"/>
          <w:noProof/>
          <w:szCs w:val="22"/>
        </w:rPr>
        <w:t>(7424), 444–448.</w:t>
      </w:r>
    </w:p>
    <w:p w14:paraId="6F8E1FD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Jetz, W., Thomas, G. H., Joy, J. B., Redding, D. W., Hartmann, K., &amp; Mooers, A. O. (2014). Global distribution and conservation of evolutionary distinctness in birds. </w:t>
      </w:r>
      <w:r w:rsidRPr="003338D7">
        <w:rPr>
          <w:rFonts w:asciiTheme="majorHAnsi" w:hAnsiTheme="majorHAnsi"/>
          <w:i/>
          <w:iCs/>
          <w:noProof/>
          <w:szCs w:val="22"/>
        </w:rPr>
        <w:t>Current Biology</w:t>
      </w:r>
      <w:r w:rsidRPr="003338D7">
        <w:rPr>
          <w:rFonts w:asciiTheme="majorHAnsi" w:hAnsiTheme="majorHAnsi"/>
          <w:noProof/>
          <w:szCs w:val="22"/>
        </w:rPr>
        <w:t xml:space="preserve">, </w:t>
      </w:r>
      <w:r w:rsidRPr="003338D7">
        <w:rPr>
          <w:rFonts w:asciiTheme="majorHAnsi" w:hAnsiTheme="majorHAnsi"/>
          <w:i/>
          <w:iCs/>
          <w:noProof/>
          <w:szCs w:val="22"/>
        </w:rPr>
        <w:t>24</w:t>
      </w:r>
      <w:r w:rsidRPr="003338D7">
        <w:rPr>
          <w:rFonts w:asciiTheme="majorHAnsi" w:hAnsiTheme="majorHAnsi"/>
          <w:noProof/>
          <w:szCs w:val="22"/>
        </w:rPr>
        <w:t xml:space="preserve">(9), 919–930. </w:t>
      </w:r>
      <w:hyperlink r:id="rId513" w:history="1">
        <w:r w:rsidRPr="003338D7">
          <w:rPr>
            <w:rStyle w:val="Hyperlink"/>
            <w:rFonts w:asciiTheme="majorHAnsi" w:hAnsiTheme="majorHAnsi"/>
            <w:noProof/>
            <w:szCs w:val="22"/>
          </w:rPr>
          <w:t>http://doi.org/10.1016/j.cub.2014.03.011</w:t>
        </w:r>
      </w:hyperlink>
    </w:p>
    <w:p w14:paraId="3A6792C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Jiménez, A., Pauchard, A., Cavieres, L. A., Marticorena, A., &amp; Bustamante, R. O. (2008). </w:t>
      </w:r>
      <w:r w:rsidRPr="003338D7">
        <w:rPr>
          <w:rFonts w:asciiTheme="majorHAnsi" w:hAnsiTheme="majorHAnsi"/>
          <w:noProof/>
          <w:szCs w:val="22"/>
        </w:rPr>
        <w:t xml:space="preserve">Do climatically similar regions contain similar alien floras? A comparison between the mediterranean areas of central Chile and California. </w:t>
      </w:r>
      <w:r w:rsidRPr="003338D7">
        <w:rPr>
          <w:rFonts w:asciiTheme="majorHAnsi" w:hAnsiTheme="majorHAnsi"/>
          <w:i/>
          <w:iCs/>
          <w:noProof/>
          <w:szCs w:val="22"/>
        </w:rPr>
        <w:t>Journal of Biogeography</w:t>
      </w:r>
      <w:r w:rsidRPr="003338D7">
        <w:rPr>
          <w:rFonts w:asciiTheme="majorHAnsi" w:hAnsiTheme="majorHAnsi"/>
          <w:noProof/>
          <w:szCs w:val="22"/>
        </w:rPr>
        <w:t xml:space="preserve">, </w:t>
      </w:r>
      <w:r w:rsidRPr="003338D7">
        <w:rPr>
          <w:rFonts w:asciiTheme="majorHAnsi" w:hAnsiTheme="majorHAnsi"/>
          <w:i/>
          <w:iCs/>
          <w:noProof/>
          <w:szCs w:val="22"/>
        </w:rPr>
        <w:t>35</w:t>
      </w:r>
      <w:r w:rsidRPr="003338D7">
        <w:rPr>
          <w:rFonts w:asciiTheme="majorHAnsi" w:hAnsiTheme="majorHAnsi"/>
          <w:noProof/>
          <w:szCs w:val="22"/>
        </w:rPr>
        <w:t xml:space="preserve">(4), 614–624. </w:t>
      </w:r>
      <w:hyperlink r:id="rId514" w:history="1">
        <w:r w:rsidRPr="003338D7">
          <w:rPr>
            <w:rStyle w:val="Hyperlink"/>
            <w:rFonts w:asciiTheme="majorHAnsi" w:hAnsiTheme="majorHAnsi"/>
            <w:noProof/>
            <w:szCs w:val="22"/>
          </w:rPr>
          <w:t>http://doi.org/10.1111/j.1365-2699.2007.01799.x</w:t>
        </w:r>
      </w:hyperlink>
    </w:p>
    <w:p w14:paraId="3277C8A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Jiménez, J. E., Crego, R. D., Soto, G. E., Roman, I., Rozzi, R., &amp; Vergara, P. M. (2014). Potential impact of the alien American mink (</w:t>
      </w:r>
      <w:r w:rsidRPr="003338D7">
        <w:rPr>
          <w:rFonts w:asciiTheme="majorHAnsi" w:hAnsiTheme="majorHAnsi"/>
          <w:i/>
          <w:noProof/>
          <w:szCs w:val="22"/>
        </w:rPr>
        <w:t>Neovison vison</w:t>
      </w:r>
      <w:r w:rsidRPr="003338D7">
        <w:rPr>
          <w:rFonts w:asciiTheme="majorHAnsi" w:hAnsiTheme="majorHAnsi"/>
          <w:noProof/>
          <w:szCs w:val="22"/>
        </w:rPr>
        <w:t xml:space="preserve">) on Magellanic woodpeckers (Campephilus magellanicus) in Navarino Island, Southern Chile. </w:t>
      </w:r>
      <w:r w:rsidRPr="003338D7">
        <w:rPr>
          <w:rFonts w:asciiTheme="majorHAnsi" w:hAnsiTheme="majorHAnsi"/>
          <w:i/>
          <w:iCs/>
          <w:noProof/>
          <w:szCs w:val="22"/>
        </w:rPr>
        <w:t>Biological Invasions</w:t>
      </w:r>
      <w:r w:rsidRPr="003338D7">
        <w:rPr>
          <w:rFonts w:asciiTheme="majorHAnsi" w:hAnsiTheme="majorHAnsi"/>
          <w:noProof/>
          <w:szCs w:val="22"/>
        </w:rPr>
        <w:t xml:space="preserve">, </w:t>
      </w:r>
      <w:r w:rsidRPr="003338D7">
        <w:rPr>
          <w:rFonts w:asciiTheme="majorHAnsi" w:hAnsiTheme="majorHAnsi"/>
          <w:i/>
          <w:iCs/>
          <w:noProof/>
          <w:szCs w:val="22"/>
        </w:rPr>
        <w:t>16</w:t>
      </w:r>
      <w:r w:rsidRPr="003338D7">
        <w:rPr>
          <w:rFonts w:asciiTheme="majorHAnsi" w:hAnsiTheme="majorHAnsi"/>
          <w:noProof/>
          <w:szCs w:val="22"/>
        </w:rPr>
        <w:t xml:space="preserve">(4), 961–966. </w:t>
      </w:r>
      <w:hyperlink r:id="rId515" w:history="1">
        <w:r w:rsidRPr="003338D7">
          <w:rPr>
            <w:rStyle w:val="Hyperlink"/>
            <w:rFonts w:asciiTheme="majorHAnsi" w:hAnsiTheme="majorHAnsi"/>
            <w:noProof/>
            <w:szCs w:val="22"/>
          </w:rPr>
          <w:t>http://doi.org/10.1007/s10530-013-0549-1</w:t>
        </w:r>
      </w:hyperlink>
    </w:p>
    <w:p w14:paraId="385A2E2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Jiménez, M. A., Jaksic, F. M., Armesto, J. J., Gaxiola, A., Meserve, P. L., Kelt, D. A., &amp; Gutiérrez, J. R. (2011). Extreme climatic events change the dynamics and invasibility of semi-arid annual plant communities. </w:t>
      </w:r>
      <w:r w:rsidRPr="003338D7">
        <w:rPr>
          <w:rFonts w:asciiTheme="majorHAnsi" w:hAnsiTheme="majorHAnsi"/>
          <w:i/>
          <w:iCs/>
          <w:noProof/>
          <w:szCs w:val="22"/>
        </w:rPr>
        <w:t>Ecology Letters</w:t>
      </w:r>
      <w:r w:rsidRPr="003338D7">
        <w:rPr>
          <w:rFonts w:asciiTheme="majorHAnsi" w:hAnsiTheme="majorHAnsi"/>
          <w:noProof/>
          <w:szCs w:val="22"/>
        </w:rPr>
        <w:t xml:space="preserve">, </w:t>
      </w:r>
      <w:r w:rsidRPr="003338D7">
        <w:rPr>
          <w:rFonts w:asciiTheme="majorHAnsi" w:hAnsiTheme="majorHAnsi"/>
          <w:i/>
          <w:iCs/>
          <w:noProof/>
          <w:szCs w:val="22"/>
        </w:rPr>
        <w:t>14</w:t>
      </w:r>
      <w:r w:rsidRPr="003338D7">
        <w:rPr>
          <w:rFonts w:asciiTheme="majorHAnsi" w:hAnsiTheme="majorHAnsi"/>
          <w:noProof/>
          <w:szCs w:val="22"/>
        </w:rPr>
        <w:t xml:space="preserve">(12), 1227–1235. </w:t>
      </w:r>
      <w:hyperlink r:id="rId516" w:history="1">
        <w:r w:rsidRPr="003338D7">
          <w:rPr>
            <w:rStyle w:val="Hyperlink"/>
            <w:rFonts w:asciiTheme="majorHAnsi" w:hAnsiTheme="majorHAnsi"/>
            <w:noProof/>
            <w:szCs w:val="22"/>
          </w:rPr>
          <w:t>http://doi.org/10.1111/j.1461-0248.2011.01693.x</w:t>
        </w:r>
      </w:hyperlink>
    </w:p>
    <w:p w14:paraId="76AA36F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Johnson, A. M., &amp; Karels, T. J. (2016). Partitioning the effects of habitat fragmentation on rodent species richness in an urban landscape. </w:t>
      </w:r>
      <w:r w:rsidRPr="003338D7">
        <w:rPr>
          <w:rFonts w:asciiTheme="majorHAnsi" w:hAnsiTheme="majorHAnsi"/>
          <w:i/>
          <w:iCs/>
          <w:noProof/>
          <w:szCs w:val="22"/>
        </w:rPr>
        <w:t>Urban Ecosystems</w:t>
      </w:r>
      <w:r w:rsidRPr="003338D7">
        <w:rPr>
          <w:rFonts w:asciiTheme="majorHAnsi" w:hAnsiTheme="majorHAnsi"/>
          <w:noProof/>
          <w:szCs w:val="22"/>
        </w:rPr>
        <w:t xml:space="preserve">, </w:t>
      </w:r>
      <w:r w:rsidRPr="003338D7">
        <w:rPr>
          <w:rFonts w:asciiTheme="majorHAnsi" w:hAnsiTheme="majorHAnsi"/>
          <w:i/>
          <w:iCs/>
          <w:noProof/>
          <w:szCs w:val="22"/>
        </w:rPr>
        <w:t>19</w:t>
      </w:r>
      <w:r w:rsidRPr="003338D7">
        <w:rPr>
          <w:rFonts w:asciiTheme="majorHAnsi" w:hAnsiTheme="majorHAnsi"/>
          <w:noProof/>
          <w:szCs w:val="22"/>
        </w:rPr>
        <w:t xml:space="preserve">(2), 547–560. </w:t>
      </w:r>
      <w:hyperlink r:id="rId517" w:history="1">
        <w:r w:rsidRPr="003338D7">
          <w:rPr>
            <w:rStyle w:val="Hyperlink"/>
            <w:rFonts w:asciiTheme="majorHAnsi" w:hAnsiTheme="majorHAnsi"/>
            <w:noProof/>
            <w:szCs w:val="22"/>
          </w:rPr>
          <w:t>http://doi.org/10.1007/s11252-015-0513-1</w:t>
        </w:r>
      </w:hyperlink>
    </w:p>
    <w:p w14:paraId="7B0B413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Johnson, E. A., &amp; Miyanishi, K. (2008). Creating new landscapes and ecosystems. </w:t>
      </w:r>
      <w:r w:rsidRPr="003338D7">
        <w:rPr>
          <w:rFonts w:asciiTheme="majorHAnsi" w:hAnsiTheme="majorHAnsi"/>
          <w:i/>
          <w:iCs/>
          <w:noProof/>
          <w:szCs w:val="22"/>
        </w:rPr>
        <w:t>Annals of the New York Academy of Sciences</w:t>
      </w:r>
      <w:r w:rsidRPr="003338D7">
        <w:rPr>
          <w:rFonts w:asciiTheme="majorHAnsi" w:hAnsiTheme="majorHAnsi"/>
          <w:noProof/>
          <w:szCs w:val="22"/>
        </w:rPr>
        <w:t xml:space="preserve">, </w:t>
      </w:r>
      <w:r w:rsidRPr="003338D7">
        <w:rPr>
          <w:rFonts w:asciiTheme="majorHAnsi" w:hAnsiTheme="majorHAnsi"/>
          <w:i/>
          <w:iCs/>
          <w:noProof/>
          <w:szCs w:val="22"/>
        </w:rPr>
        <w:t>1134</w:t>
      </w:r>
      <w:r w:rsidRPr="003338D7">
        <w:rPr>
          <w:rFonts w:asciiTheme="majorHAnsi" w:hAnsiTheme="majorHAnsi"/>
          <w:noProof/>
          <w:szCs w:val="22"/>
        </w:rPr>
        <w:t xml:space="preserve">(1), 120–145. </w:t>
      </w:r>
      <w:hyperlink r:id="rId518" w:history="1">
        <w:r w:rsidRPr="003338D7">
          <w:rPr>
            <w:rStyle w:val="Hyperlink"/>
            <w:rFonts w:asciiTheme="majorHAnsi" w:hAnsiTheme="majorHAnsi"/>
            <w:noProof/>
            <w:szCs w:val="22"/>
          </w:rPr>
          <w:t>http://doi.org/10.1196/annals.1439.007</w:t>
        </w:r>
      </w:hyperlink>
    </w:p>
    <w:p w14:paraId="79D1267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Joly, C. A., Metzger, J. P., &amp; Tabarelli, M. (2014). Experiences from the Brazilian Atlantic Forest: ecological findings and conservation initiatives. </w:t>
      </w:r>
      <w:r w:rsidRPr="003338D7">
        <w:rPr>
          <w:rFonts w:asciiTheme="majorHAnsi" w:hAnsiTheme="majorHAnsi"/>
          <w:i/>
          <w:iCs/>
          <w:noProof/>
          <w:szCs w:val="22"/>
        </w:rPr>
        <w:t>New Phytologist</w:t>
      </w:r>
      <w:r w:rsidRPr="003338D7">
        <w:rPr>
          <w:rFonts w:asciiTheme="majorHAnsi" w:hAnsiTheme="majorHAnsi"/>
          <w:noProof/>
          <w:szCs w:val="22"/>
        </w:rPr>
        <w:t xml:space="preserve">, </w:t>
      </w:r>
      <w:r w:rsidRPr="003338D7">
        <w:rPr>
          <w:rFonts w:asciiTheme="majorHAnsi" w:hAnsiTheme="majorHAnsi"/>
          <w:i/>
          <w:iCs/>
          <w:noProof/>
          <w:szCs w:val="22"/>
        </w:rPr>
        <w:t>204</w:t>
      </w:r>
      <w:r w:rsidRPr="003338D7">
        <w:rPr>
          <w:rFonts w:asciiTheme="majorHAnsi" w:hAnsiTheme="majorHAnsi"/>
          <w:noProof/>
          <w:szCs w:val="22"/>
        </w:rPr>
        <w:t>(3), 459–473.</w:t>
      </w:r>
    </w:p>
    <w:p w14:paraId="67BD23C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Jones, K. E., Patel, N. G., Levy, M. A., Storeygard, A., Balk, D., Gittleman, J. L., &amp; Daszak, P. (2008). Global trends in emerging infectious diseases.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451</w:t>
      </w:r>
      <w:r w:rsidRPr="003338D7">
        <w:rPr>
          <w:rFonts w:asciiTheme="majorHAnsi" w:hAnsiTheme="majorHAnsi"/>
          <w:noProof/>
          <w:szCs w:val="22"/>
        </w:rPr>
        <w:t xml:space="preserve">(7181), 990–993. </w:t>
      </w:r>
      <w:hyperlink r:id="rId519" w:history="1">
        <w:r w:rsidRPr="003338D7">
          <w:rPr>
            <w:rStyle w:val="Hyperlink"/>
            <w:rFonts w:asciiTheme="majorHAnsi" w:hAnsiTheme="majorHAnsi"/>
            <w:noProof/>
            <w:szCs w:val="22"/>
          </w:rPr>
          <w:t>http://doi.org/10.1038/nature06536</w:t>
        </w:r>
      </w:hyperlink>
    </w:p>
    <w:p w14:paraId="5E11877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Jørgensen, P. M., Nee, M. H., &amp; Beck, S. G. (2015). </w:t>
      </w:r>
      <w:r w:rsidRPr="003338D7">
        <w:rPr>
          <w:rFonts w:asciiTheme="majorHAnsi" w:hAnsiTheme="majorHAnsi"/>
          <w:noProof/>
          <w:szCs w:val="22"/>
          <w:lang w:val="es-ES"/>
        </w:rPr>
        <w:t xml:space="preserve">Catálogo de plantas vasculares de Bolivia. </w:t>
      </w:r>
      <w:r w:rsidRPr="003338D7">
        <w:rPr>
          <w:rFonts w:asciiTheme="majorHAnsi" w:hAnsiTheme="majorHAnsi"/>
          <w:noProof/>
          <w:szCs w:val="22"/>
        </w:rPr>
        <w:t xml:space="preserve">In </w:t>
      </w:r>
      <w:r w:rsidRPr="003338D7">
        <w:rPr>
          <w:rFonts w:asciiTheme="majorHAnsi" w:hAnsiTheme="majorHAnsi"/>
          <w:i/>
          <w:iCs/>
          <w:noProof/>
          <w:szCs w:val="22"/>
        </w:rPr>
        <w:t>Monographs in Systematic Botany from the Missouri Botanical Garden</w:t>
      </w:r>
      <w:r w:rsidRPr="003338D7">
        <w:rPr>
          <w:rFonts w:asciiTheme="majorHAnsi" w:hAnsiTheme="majorHAnsi"/>
          <w:noProof/>
          <w:szCs w:val="22"/>
        </w:rPr>
        <w:t xml:space="preserve"> (4th ed., Vol. 127). Missouri,USA: Missouri Botanical Garden Press.</w:t>
      </w:r>
    </w:p>
    <w:p w14:paraId="6185DC3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Jose, S., Gold, M. A., &amp; Garrett, H. E. (2012). The future of temperate agroforestry in the United States. In P. K. R. Nair &amp; D. Garrity (Eds.), </w:t>
      </w:r>
      <w:r w:rsidRPr="003338D7">
        <w:rPr>
          <w:rFonts w:asciiTheme="majorHAnsi" w:hAnsiTheme="majorHAnsi"/>
          <w:i/>
          <w:iCs/>
          <w:noProof/>
          <w:szCs w:val="22"/>
        </w:rPr>
        <w:t>Agroforestry - The Future of Global Land Use</w:t>
      </w:r>
      <w:r w:rsidRPr="003338D7">
        <w:rPr>
          <w:rFonts w:asciiTheme="majorHAnsi" w:hAnsiTheme="majorHAnsi"/>
          <w:noProof/>
          <w:szCs w:val="22"/>
        </w:rPr>
        <w:t xml:space="preserve"> (pp. 217–245). New York, USA: Springer.</w:t>
      </w:r>
    </w:p>
    <w:p w14:paraId="675DB52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Junk, W. J. (2007). Freshwater fishes of South America: their biodiversity, fisheries, and habitats- a synthesis. </w:t>
      </w:r>
      <w:r w:rsidRPr="003338D7">
        <w:rPr>
          <w:rFonts w:asciiTheme="majorHAnsi" w:hAnsiTheme="majorHAnsi"/>
          <w:i/>
          <w:iCs/>
          <w:noProof/>
          <w:szCs w:val="22"/>
        </w:rPr>
        <w:t>Aquatic Ecosystem Health &amp; Management</w:t>
      </w:r>
      <w:r w:rsidRPr="003338D7">
        <w:rPr>
          <w:rFonts w:asciiTheme="majorHAnsi" w:hAnsiTheme="majorHAnsi"/>
          <w:noProof/>
          <w:szCs w:val="22"/>
        </w:rPr>
        <w:t xml:space="preserve">, </w:t>
      </w:r>
      <w:r w:rsidRPr="003338D7">
        <w:rPr>
          <w:rFonts w:asciiTheme="majorHAnsi" w:hAnsiTheme="majorHAnsi"/>
          <w:i/>
          <w:iCs/>
          <w:noProof/>
          <w:szCs w:val="22"/>
        </w:rPr>
        <w:t>10</w:t>
      </w:r>
      <w:r w:rsidRPr="003338D7">
        <w:rPr>
          <w:rFonts w:asciiTheme="majorHAnsi" w:hAnsiTheme="majorHAnsi"/>
          <w:noProof/>
          <w:szCs w:val="22"/>
        </w:rPr>
        <w:t>(2), 228–242.</w:t>
      </w:r>
    </w:p>
    <w:p w14:paraId="10FB28C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Junk, W. J., Brown, M., Campbell, I. C., Finlayson, M., Gopal, B., Ramberg, L., &amp; Warner, B. G. (2006). The comparative biodiversity of seven globally important wetlands: a synthesis. </w:t>
      </w:r>
      <w:r w:rsidRPr="003338D7">
        <w:rPr>
          <w:rFonts w:asciiTheme="majorHAnsi" w:hAnsiTheme="majorHAnsi"/>
          <w:i/>
          <w:iCs/>
          <w:noProof/>
          <w:szCs w:val="22"/>
        </w:rPr>
        <w:t>Aquatic Sciences</w:t>
      </w:r>
      <w:r w:rsidRPr="003338D7">
        <w:rPr>
          <w:rFonts w:asciiTheme="majorHAnsi" w:hAnsiTheme="majorHAnsi"/>
          <w:noProof/>
          <w:szCs w:val="22"/>
        </w:rPr>
        <w:t xml:space="preserve">, </w:t>
      </w:r>
      <w:r w:rsidRPr="003338D7">
        <w:rPr>
          <w:rFonts w:asciiTheme="majorHAnsi" w:hAnsiTheme="majorHAnsi"/>
          <w:i/>
          <w:iCs/>
          <w:noProof/>
          <w:szCs w:val="22"/>
        </w:rPr>
        <w:t>68</w:t>
      </w:r>
      <w:r w:rsidRPr="003338D7">
        <w:rPr>
          <w:rFonts w:asciiTheme="majorHAnsi" w:hAnsiTheme="majorHAnsi"/>
          <w:noProof/>
          <w:szCs w:val="22"/>
        </w:rPr>
        <w:t xml:space="preserve">(3), 400–414. </w:t>
      </w:r>
      <w:hyperlink r:id="rId520" w:history="1">
        <w:r w:rsidRPr="003338D7">
          <w:rPr>
            <w:rStyle w:val="Hyperlink"/>
            <w:rFonts w:asciiTheme="majorHAnsi" w:hAnsiTheme="majorHAnsi"/>
            <w:noProof/>
            <w:szCs w:val="22"/>
          </w:rPr>
          <w:t>http://doi.org/10.1007/s00027-006-0856-z</w:t>
        </w:r>
      </w:hyperlink>
    </w:p>
    <w:p w14:paraId="0E57459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Junk, W. J., Piedade, M. T. F., Lourival, R., Wittmann, F., Kandus, P., Lacerda, L. D., Bozelli, R. L., Esteves, F. A., Nunes da Cunha, C., Maltchik, L., Schöngart, J., Schaeffer-Novelli, Y., &amp; Agostinho, A. A. (2014). Brazilian wetlands: their definition, delineation, and classification for research, sustainable management, and protection. </w:t>
      </w:r>
      <w:r w:rsidRPr="003338D7">
        <w:rPr>
          <w:rFonts w:asciiTheme="majorHAnsi" w:hAnsiTheme="majorHAnsi"/>
          <w:i/>
          <w:iCs/>
          <w:noProof/>
          <w:szCs w:val="22"/>
          <w:lang w:val="es-ES"/>
        </w:rPr>
        <w:t>Aquatic Conservation: Marine and Freshwater Ecosystems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24</w:t>
      </w:r>
      <w:r w:rsidRPr="003338D7">
        <w:rPr>
          <w:rFonts w:asciiTheme="majorHAnsi" w:hAnsiTheme="majorHAnsi"/>
          <w:noProof/>
          <w:szCs w:val="22"/>
          <w:lang w:val="es-ES"/>
        </w:rPr>
        <w:t xml:space="preserve">(1), 5–22. </w:t>
      </w:r>
      <w:hyperlink r:id="rId521" w:history="1">
        <w:r w:rsidRPr="003338D7">
          <w:rPr>
            <w:rStyle w:val="Hyperlink"/>
            <w:rFonts w:asciiTheme="majorHAnsi" w:hAnsiTheme="majorHAnsi"/>
            <w:noProof/>
            <w:szCs w:val="22"/>
            <w:lang w:val="es-ES"/>
          </w:rPr>
          <w:t>https://doi.org/10.1002/aqc.2386</w:t>
        </w:r>
      </w:hyperlink>
    </w:p>
    <w:p w14:paraId="451469C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Junk, W. J., Soares, M. G. M., &amp; Bayley, P. B. (2007). Freshwater fishes of the Amazon River basin: their biodiversity, fisheries, and habitats. </w:t>
      </w:r>
      <w:r w:rsidRPr="003338D7">
        <w:rPr>
          <w:rFonts w:asciiTheme="majorHAnsi" w:hAnsiTheme="majorHAnsi"/>
          <w:i/>
          <w:iCs/>
          <w:noProof/>
          <w:szCs w:val="22"/>
        </w:rPr>
        <w:t>Aquatic Ecosystem Health &amp; Management</w:t>
      </w:r>
      <w:r w:rsidRPr="003338D7">
        <w:rPr>
          <w:rFonts w:asciiTheme="majorHAnsi" w:hAnsiTheme="majorHAnsi"/>
          <w:noProof/>
          <w:szCs w:val="22"/>
        </w:rPr>
        <w:t xml:space="preserve">, </w:t>
      </w:r>
      <w:r w:rsidRPr="003338D7">
        <w:rPr>
          <w:rFonts w:asciiTheme="majorHAnsi" w:hAnsiTheme="majorHAnsi"/>
          <w:i/>
          <w:iCs/>
          <w:noProof/>
          <w:szCs w:val="22"/>
        </w:rPr>
        <w:t>10</w:t>
      </w:r>
      <w:r w:rsidRPr="003338D7">
        <w:rPr>
          <w:rFonts w:asciiTheme="majorHAnsi" w:hAnsiTheme="majorHAnsi"/>
          <w:noProof/>
          <w:szCs w:val="22"/>
        </w:rPr>
        <w:t xml:space="preserve">(2), 153–173. </w:t>
      </w:r>
      <w:hyperlink r:id="rId522" w:history="1">
        <w:r w:rsidRPr="003338D7">
          <w:rPr>
            <w:rStyle w:val="Hyperlink"/>
            <w:rFonts w:asciiTheme="majorHAnsi" w:hAnsiTheme="majorHAnsi"/>
            <w:noProof/>
            <w:szCs w:val="22"/>
          </w:rPr>
          <w:t>http://doi.org/10.1080/14634980701351023</w:t>
        </w:r>
      </w:hyperlink>
    </w:p>
    <w:p w14:paraId="3B2B91B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Juri, M. D., &amp; Chani, J. M. (2009). </w:t>
      </w:r>
      <w:r w:rsidRPr="003338D7">
        <w:rPr>
          <w:rFonts w:asciiTheme="majorHAnsi" w:hAnsiTheme="majorHAnsi"/>
          <w:noProof/>
          <w:szCs w:val="22"/>
          <w:lang w:val="es-ES"/>
        </w:rPr>
        <w:t xml:space="preserve">Variación estacional en la composición de las comunidades de aves en un gradiente urbano. </w:t>
      </w:r>
      <w:r w:rsidRPr="003338D7">
        <w:rPr>
          <w:rFonts w:asciiTheme="majorHAnsi" w:hAnsiTheme="majorHAnsi"/>
          <w:i/>
          <w:iCs/>
          <w:noProof/>
          <w:szCs w:val="22"/>
          <w:lang w:val="es-ES"/>
        </w:rPr>
        <w:t>Ecología Austral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19</w:t>
      </w:r>
      <w:r w:rsidRPr="003338D7">
        <w:rPr>
          <w:rFonts w:asciiTheme="majorHAnsi" w:hAnsiTheme="majorHAnsi"/>
          <w:noProof/>
          <w:szCs w:val="22"/>
          <w:lang w:val="es-ES"/>
        </w:rPr>
        <w:t>(3), 175–184.</w:t>
      </w:r>
    </w:p>
    <w:p w14:paraId="11814AA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Juzwik, J., Appel, D. N., MacDonald, W. L., &amp; Burks, S. (2011). </w:t>
      </w:r>
      <w:r w:rsidRPr="003338D7">
        <w:rPr>
          <w:rFonts w:asciiTheme="majorHAnsi" w:hAnsiTheme="majorHAnsi"/>
          <w:noProof/>
          <w:szCs w:val="22"/>
        </w:rPr>
        <w:t xml:space="preserve">Challenges and successes in managing oak wilt in the United States. </w:t>
      </w:r>
      <w:r w:rsidRPr="003338D7">
        <w:rPr>
          <w:rFonts w:asciiTheme="majorHAnsi" w:hAnsiTheme="majorHAnsi"/>
          <w:i/>
          <w:iCs/>
          <w:noProof/>
          <w:szCs w:val="22"/>
        </w:rPr>
        <w:t>Plant Disease</w:t>
      </w:r>
      <w:r w:rsidRPr="003338D7">
        <w:rPr>
          <w:rFonts w:asciiTheme="majorHAnsi" w:hAnsiTheme="majorHAnsi"/>
          <w:noProof/>
          <w:szCs w:val="22"/>
        </w:rPr>
        <w:t xml:space="preserve">, </w:t>
      </w:r>
      <w:r w:rsidRPr="003338D7">
        <w:rPr>
          <w:rFonts w:asciiTheme="majorHAnsi" w:hAnsiTheme="majorHAnsi"/>
          <w:i/>
          <w:iCs/>
          <w:noProof/>
          <w:szCs w:val="22"/>
        </w:rPr>
        <w:t>95</w:t>
      </w:r>
      <w:r w:rsidRPr="003338D7">
        <w:rPr>
          <w:rFonts w:asciiTheme="majorHAnsi" w:hAnsiTheme="majorHAnsi"/>
          <w:noProof/>
          <w:szCs w:val="22"/>
        </w:rPr>
        <w:t xml:space="preserve">(8), 888–900. </w:t>
      </w:r>
      <w:hyperlink r:id="rId523" w:history="1">
        <w:r w:rsidRPr="003338D7">
          <w:rPr>
            <w:rStyle w:val="Hyperlink"/>
            <w:rFonts w:asciiTheme="majorHAnsi" w:hAnsiTheme="majorHAnsi"/>
            <w:noProof/>
            <w:szCs w:val="22"/>
          </w:rPr>
          <w:t>http://doi.org/10.1094/PDIS-12-10-0944</w:t>
        </w:r>
      </w:hyperlink>
    </w:p>
    <w:p w14:paraId="2819E59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Kairo, M., Ali, B., Cheesman, O., Haysom, K., &amp; Murphy, S. (2003). </w:t>
      </w:r>
      <w:r w:rsidRPr="003338D7">
        <w:rPr>
          <w:rFonts w:asciiTheme="majorHAnsi" w:hAnsiTheme="majorHAnsi"/>
          <w:i/>
          <w:iCs/>
          <w:noProof/>
          <w:szCs w:val="22"/>
        </w:rPr>
        <w:t>Invasive Species Threats in the Caribbean Region, Report to the Nature Conservancy</w:t>
      </w:r>
      <w:r w:rsidRPr="003338D7">
        <w:rPr>
          <w:rFonts w:asciiTheme="majorHAnsi" w:hAnsiTheme="majorHAnsi"/>
          <w:noProof/>
          <w:szCs w:val="22"/>
        </w:rPr>
        <w:t>. Arlington, USA: CAB International.</w:t>
      </w:r>
    </w:p>
    <w:p w14:paraId="04890A6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Kane, V. R., Cansler, C. A., Povak, N. A., Kane, J. T., McGaughey, R. J., Lutz, J. A., Churchill, D. J., &amp; North, M. P. (2015). Mixed severity fire effects within the Rim fire: relative importance of local climate, fire weather, topography, and forest structure. </w:t>
      </w:r>
      <w:r w:rsidRPr="003338D7">
        <w:rPr>
          <w:rFonts w:asciiTheme="majorHAnsi" w:hAnsiTheme="majorHAnsi"/>
          <w:i/>
          <w:iCs/>
          <w:noProof/>
          <w:szCs w:val="22"/>
          <w:lang w:val="es-ES"/>
        </w:rPr>
        <w:t>Forest Ecology and Management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358</w:t>
      </w:r>
      <w:r w:rsidRPr="003338D7">
        <w:rPr>
          <w:rFonts w:asciiTheme="majorHAnsi" w:hAnsiTheme="majorHAnsi"/>
          <w:noProof/>
          <w:szCs w:val="22"/>
          <w:lang w:val="es-ES"/>
        </w:rPr>
        <w:t>, 62–79. https://doi.org/10.1016/j.foreco.2015.09.001</w:t>
      </w:r>
    </w:p>
    <w:p w14:paraId="185FD3C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Kattge, J., Díaz, S., Lavorel, S., Prentice, I. C., Leadley, P., Bönisch, G., Garnier, E., Westoby, M., Reich, P. B., Wright, I. J., Cornelissen, J. H. C., Violle, C., Harrison, S. P., Van Bodegom, P. M., Reichstein, M., Enquist, B. J., Soudzilovskaia, N. A., Ackerly, D. D., Anand, M., Atkin, O., Bahn, M., Baker, T. R., Baldocchi, D., Bekker, R., Blanco, C. C., Blonder, B., Bond, W. J., Bradstock, R., Bunker, D. E., Casanoves, F., Cavender-Bares, J., Chambers, J. Q., Chapin, F. S., Chave, J., Coomes, D., Cornwell, W. K., Craine, J. M., Dobrin, B. H., Duarte, L., Durka, W., Elser, J., Esser, G., Estiarte, M., Fagan, W. F., Fang, J., Fernández-Méndez, F., Fidelis, A., Finegan, B., Flores, O., Ford, H., Frank, D., Freschet, G. T., Fyllas, N. M., Gallagher, R. V., Green, W. A., Gutierrez, A. G., Hickler, T., Higgins, S. I., Hodgson, J. G., Jalili, A., Jansen, S., Joly, C. A., Kerkhoff, A. J., Kirkup, D., Kitajima, K., Kleyer, M., Klotz, S., Knops, J. M. H., Kramer, K., Kühn, I., Kurokawa, H., Laughlin, D., Lee, T. D., Leishman, M., Lens, F., Lenz, T., Lewis, S. L., Lloyd, J., Llusià, J., Louault, F., Ma, S., Mahecha, M. D., Manning, P., Massad, T., Medlyn, B. E., Messier, J., Moles, A. T., Müller, S. C., Nadrowski, K., Naeem, S., Niinemets, Ü., Nöllert, S., Nüske, A., Ogaya, R., Oleksyn, J., Onipchenko, V. G., Onoda, Y., Ordoñez, J., Overbeck, G., Ozinga, W. A., Patiño, S., Paula, S., Pausas, J. G., Peñuelas, J., Phillips, O. L., Pillar, V., Poorter, H., Poorter, L., Poschlod, P., Prinzing, A., Proulx, R., Rammig, A., Reinsch, S., Reu, B., Sack, L., Salgado-Negret, B., Sardans, J., Shiodera, S., Shipley, B., Siefert, A., Sosinski, E., Soussana, J. F., Swaine, E., Swenson, N., Thompson, K., Thornton, P., Waldram, M., Weiher, E., White, M., White, S., Wright, S. J., Yguel, B., Zaehle, S., Zanne, A. E., &amp; Wirth, C. (2011). TRY- a global database of plant traits. </w:t>
      </w:r>
      <w:r w:rsidRPr="003338D7">
        <w:rPr>
          <w:rFonts w:asciiTheme="majorHAnsi" w:hAnsiTheme="majorHAnsi"/>
          <w:i/>
          <w:iCs/>
          <w:noProof/>
          <w:szCs w:val="22"/>
          <w:lang w:val="es-ES"/>
        </w:rPr>
        <w:t>Global Change 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17</w:t>
      </w:r>
      <w:r w:rsidRPr="003338D7">
        <w:rPr>
          <w:rFonts w:asciiTheme="majorHAnsi" w:hAnsiTheme="majorHAnsi"/>
          <w:noProof/>
          <w:szCs w:val="22"/>
          <w:lang w:val="es-ES"/>
        </w:rPr>
        <w:t xml:space="preserve">(9), 2905–2935. </w:t>
      </w:r>
      <w:hyperlink r:id="rId524" w:history="1">
        <w:r w:rsidRPr="003338D7">
          <w:rPr>
            <w:rStyle w:val="Hyperlink"/>
            <w:rFonts w:asciiTheme="majorHAnsi" w:hAnsiTheme="majorHAnsi"/>
            <w:noProof/>
            <w:szCs w:val="22"/>
            <w:lang w:val="es-ES"/>
          </w:rPr>
          <w:t>https://doi.org/10.1111/j.1365-2486.2011.02451.x</w:t>
        </w:r>
      </w:hyperlink>
    </w:p>
    <w:p w14:paraId="2F4C370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Keddy, P. A., Fraser, L. H., Solomeshch, A. I., Junk, W. J., Campbell, D. R., Arroyo, M. T. K., &amp; Alho, C. J. R. (2009). Wet and wonderful: the world’s largest wetlands are conservation priorities. </w:t>
      </w:r>
      <w:r w:rsidRPr="003338D7">
        <w:rPr>
          <w:rFonts w:asciiTheme="majorHAnsi" w:hAnsiTheme="majorHAnsi"/>
          <w:i/>
          <w:iCs/>
          <w:noProof/>
          <w:szCs w:val="22"/>
        </w:rPr>
        <w:t>BioScience</w:t>
      </w:r>
      <w:r w:rsidRPr="003338D7">
        <w:rPr>
          <w:rFonts w:asciiTheme="majorHAnsi" w:hAnsiTheme="majorHAnsi"/>
          <w:noProof/>
          <w:szCs w:val="22"/>
        </w:rPr>
        <w:t xml:space="preserve">, </w:t>
      </w:r>
      <w:r w:rsidRPr="003338D7">
        <w:rPr>
          <w:rFonts w:asciiTheme="majorHAnsi" w:hAnsiTheme="majorHAnsi"/>
          <w:i/>
          <w:iCs/>
          <w:noProof/>
          <w:szCs w:val="22"/>
        </w:rPr>
        <w:t>59</w:t>
      </w:r>
      <w:r w:rsidRPr="003338D7">
        <w:rPr>
          <w:rFonts w:asciiTheme="majorHAnsi" w:hAnsiTheme="majorHAnsi"/>
          <w:noProof/>
          <w:szCs w:val="22"/>
        </w:rPr>
        <w:t xml:space="preserve">(1), 39–51. </w:t>
      </w:r>
      <w:hyperlink r:id="rId525" w:history="1">
        <w:r w:rsidRPr="003338D7">
          <w:rPr>
            <w:rStyle w:val="Hyperlink"/>
            <w:rFonts w:asciiTheme="majorHAnsi" w:hAnsiTheme="majorHAnsi"/>
            <w:noProof/>
            <w:szCs w:val="22"/>
          </w:rPr>
          <w:t>http://doi.org/10.1525/bio.2009.59.1.8</w:t>
        </w:r>
      </w:hyperlink>
    </w:p>
    <w:p w14:paraId="19E8218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Keeley, J. E., &amp; Zedler, P. H. (1998). Characterization and global distribution of vernal pools. In C. W. Witham (Ed.), </w:t>
      </w:r>
      <w:r w:rsidRPr="003338D7">
        <w:rPr>
          <w:rFonts w:asciiTheme="majorHAnsi" w:hAnsiTheme="majorHAnsi"/>
          <w:i/>
          <w:iCs/>
          <w:noProof/>
          <w:szCs w:val="22"/>
        </w:rPr>
        <w:t>Ecology, Conservation, and Management of Vernal Pool Ecosystems</w:t>
      </w:r>
      <w:r w:rsidRPr="003338D7">
        <w:rPr>
          <w:rFonts w:asciiTheme="majorHAnsi" w:hAnsiTheme="majorHAnsi"/>
          <w:noProof/>
          <w:szCs w:val="22"/>
        </w:rPr>
        <w:t xml:space="preserve"> (pp. 1–14). Sacramento, USA: California Native Plant Society.</w:t>
      </w:r>
    </w:p>
    <w:p w14:paraId="795ACF9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Keenan, R., Reams, G., Achard, F., De-Freitas, J., Grainger, A., &amp; Lindquist, E. (2015). Dynamics of global forest area: results from the FAO Global Forest Resources Assessment 2015. </w:t>
      </w:r>
      <w:r w:rsidRPr="003338D7">
        <w:rPr>
          <w:rFonts w:asciiTheme="majorHAnsi" w:hAnsiTheme="majorHAnsi"/>
          <w:i/>
          <w:iCs/>
          <w:noProof/>
          <w:szCs w:val="22"/>
        </w:rPr>
        <w:t>Forest Ecology and Management</w:t>
      </w:r>
      <w:r w:rsidRPr="003338D7">
        <w:rPr>
          <w:rFonts w:asciiTheme="majorHAnsi" w:hAnsiTheme="majorHAnsi"/>
          <w:noProof/>
          <w:szCs w:val="22"/>
        </w:rPr>
        <w:t xml:space="preserve">, </w:t>
      </w:r>
      <w:r w:rsidRPr="003338D7">
        <w:rPr>
          <w:rFonts w:asciiTheme="majorHAnsi" w:hAnsiTheme="majorHAnsi"/>
          <w:i/>
          <w:iCs/>
          <w:noProof/>
          <w:szCs w:val="22"/>
        </w:rPr>
        <w:t>352</w:t>
      </w:r>
      <w:r w:rsidRPr="003338D7">
        <w:rPr>
          <w:rFonts w:asciiTheme="majorHAnsi" w:hAnsiTheme="majorHAnsi"/>
          <w:noProof/>
          <w:szCs w:val="22"/>
        </w:rPr>
        <w:t xml:space="preserve">, 9–20. </w:t>
      </w:r>
      <w:hyperlink r:id="rId526" w:history="1">
        <w:r w:rsidRPr="003338D7">
          <w:rPr>
            <w:rStyle w:val="Hyperlink"/>
            <w:rFonts w:asciiTheme="majorHAnsi" w:hAnsiTheme="majorHAnsi"/>
            <w:noProof/>
            <w:szCs w:val="22"/>
          </w:rPr>
          <w:t>http://doi.org/10.1016/j.foreco.2015.06.014</w:t>
        </w:r>
      </w:hyperlink>
    </w:p>
    <w:p w14:paraId="2BD9EF3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Keesing, F., Belden, L. K., Daszak, P., Dobson, A., Harvell, C. D., Holt, R. D., Hudson, P., Jolles, A., Jones, K. E., Mitchell, C. E., Myers, S. S., Bogich, T., &amp; Ostfeld, R. S. (2010). Impacts of biodiversity on the emergence and transmission of infectious diseases.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468</w:t>
      </w:r>
      <w:r w:rsidRPr="003338D7">
        <w:rPr>
          <w:rFonts w:asciiTheme="majorHAnsi" w:hAnsiTheme="majorHAnsi"/>
          <w:noProof/>
          <w:szCs w:val="22"/>
          <w:lang w:val="es-ES"/>
        </w:rPr>
        <w:t xml:space="preserve">(7324), 647–652. </w:t>
      </w:r>
      <w:hyperlink r:id="rId527" w:history="1">
        <w:r w:rsidRPr="003338D7">
          <w:rPr>
            <w:rStyle w:val="Hyperlink"/>
            <w:rFonts w:asciiTheme="majorHAnsi" w:hAnsiTheme="majorHAnsi"/>
            <w:noProof/>
            <w:szCs w:val="22"/>
            <w:lang w:val="es-ES"/>
          </w:rPr>
          <w:t>https://doi.org/10.1038/nature09575</w:t>
        </w:r>
      </w:hyperlink>
    </w:p>
    <w:p w14:paraId="62BB602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Kéfi, S., Rietkerk, M., Alados, C. L., Pueyo, Y., Papanastasis, V. P., ElAich, A., &amp; De Ruiter, P. C. (2007). </w:t>
      </w:r>
      <w:r w:rsidRPr="003338D7">
        <w:rPr>
          <w:rFonts w:asciiTheme="majorHAnsi" w:hAnsiTheme="majorHAnsi"/>
          <w:noProof/>
          <w:szCs w:val="22"/>
        </w:rPr>
        <w:t xml:space="preserve">Spatial vegetation patterns and imminent desertification in Mediterranean arid ecosystems.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449</w:t>
      </w:r>
      <w:r w:rsidRPr="003338D7">
        <w:rPr>
          <w:rFonts w:asciiTheme="majorHAnsi" w:hAnsiTheme="majorHAnsi"/>
          <w:noProof/>
          <w:szCs w:val="22"/>
        </w:rPr>
        <w:t xml:space="preserve">(7159), 213–217. </w:t>
      </w:r>
      <w:hyperlink r:id="rId528" w:history="1">
        <w:r w:rsidRPr="003338D7">
          <w:rPr>
            <w:rStyle w:val="Hyperlink"/>
            <w:rFonts w:asciiTheme="majorHAnsi" w:hAnsiTheme="majorHAnsi"/>
            <w:noProof/>
            <w:szCs w:val="22"/>
          </w:rPr>
          <w:t>http://doi.org/10.1038/nature06111</w:t>
        </w:r>
      </w:hyperlink>
    </w:p>
    <w:p w14:paraId="4964C17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pt-BR"/>
        </w:rPr>
      </w:pPr>
      <w:r w:rsidRPr="003338D7">
        <w:rPr>
          <w:rFonts w:asciiTheme="majorHAnsi" w:hAnsiTheme="majorHAnsi"/>
          <w:noProof/>
          <w:szCs w:val="22"/>
        </w:rPr>
        <w:t>Kelehear, C., Saltonstall, K., &amp; Torchin, M. E. (2015). An introduced pentastomid parasite (</w:t>
      </w:r>
      <w:r w:rsidRPr="003338D7">
        <w:rPr>
          <w:rFonts w:asciiTheme="majorHAnsi" w:hAnsiTheme="majorHAnsi"/>
          <w:i/>
          <w:iCs/>
          <w:noProof/>
          <w:szCs w:val="22"/>
        </w:rPr>
        <w:t>Raillietiella frenata</w:t>
      </w:r>
      <w:r w:rsidRPr="003338D7">
        <w:rPr>
          <w:rFonts w:asciiTheme="majorHAnsi" w:hAnsiTheme="majorHAnsi"/>
          <w:noProof/>
          <w:szCs w:val="22"/>
        </w:rPr>
        <w:t>) infects native cane toads (</w:t>
      </w:r>
      <w:r w:rsidRPr="003338D7">
        <w:rPr>
          <w:rFonts w:asciiTheme="majorHAnsi" w:hAnsiTheme="majorHAnsi"/>
          <w:i/>
          <w:iCs/>
          <w:noProof/>
          <w:szCs w:val="22"/>
        </w:rPr>
        <w:t>Rhinella marina</w:t>
      </w:r>
      <w:r w:rsidRPr="003338D7">
        <w:rPr>
          <w:rFonts w:asciiTheme="majorHAnsi" w:hAnsiTheme="majorHAnsi"/>
          <w:noProof/>
          <w:szCs w:val="22"/>
        </w:rPr>
        <w:t xml:space="preserve">) in Panama. </w:t>
      </w:r>
      <w:r w:rsidRPr="003338D7">
        <w:rPr>
          <w:rFonts w:asciiTheme="majorHAnsi" w:hAnsiTheme="majorHAnsi"/>
          <w:i/>
          <w:iCs/>
          <w:noProof/>
          <w:szCs w:val="22"/>
          <w:lang w:val="pt-BR"/>
        </w:rPr>
        <w:t>Parasitology</w:t>
      </w:r>
      <w:r w:rsidRPr="003338D7">
        <w:rPr>
          <w:rFonts w:asciiTheme="majorHAnsi" w:hAnsiTheme="majorHAnsi"/>
          <w:noProof/>
          <w:szCs w:val="22"/>
          <w:lang w:val="pt-BR"/>
        </w:rPr>
        <w:t xml:space="preserve">, </w:t>
      </w:r>
      <w:r w:rsidRPr="003338D7">
        <w:rPr>
          <w:rFonts w:asciiTheme="majorHAnsi" w:hAnsiTheme="majorHAnsi"/>
          <w:i/>
          <w:iCs/>
          <w:noProof/>
          <w:szCs w:val="22"/>
          <w:lang w:val="pt-BR"/>
        </w:rPr>
        <w:t>142</w:t>
      </w:r>
      <w:r w:rsidRPr="003338D7">
        <w:rPr>
          <w:rFonts w:asciiTheme="majorHAnsi" w:hAnsiTheme="majorHAnsi"/>
          <w:noProof/>
          <w:szCs w:val="22"/>
          <w:lang w:val="pt-BR"/>
        </w:rPr>
        <w:t xml:space="preserve">(5), 675–679. </w:t>
      </w:r>
      <w:hyperlink r:id="rId529" w:history="1">
        <w:r w:rsidRPr="003338D7">
          <w:rPr>
            <w:rStyle w:val="Hyperlink"/>
            <w:rFonts w:asciiTheme="majorHAnsi" w:hAnsiTheme="majorHAnsi"/>
            <w:noProof/>
            <w:szCs w:val="22"/>
            <w:lang w:val="pt-BR"/>
          </w:rPr>
          <w:t>http://doi.org/10.1017/S0031182014001759</w:t>
        </w:r>
      </w:hyperlink>
    </w:p>
    <w:p w14:paraId="395DB68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pt-BR"/>
        </w:rPr>
        <w:t xml:space="preserve">Kelly, B. C., &amp; Gobas, F. A. P. C. (2001). </w:t>
      </w:r>
      <w:r w:rsidRPr="003338D7">
        <w:rPr>
          <w:rFonts w:asciiTheme="majorHAnsi" w:hAnsiTheme="majorHAnsi"/>
          <w:noProof/>
          <w:szCs w:val="22"/>
        </w:rPr>
        <w:t xml:space="preserve">Bioaccumulation of persistent organic pollutants in lichen-caribou-wolf food chanins of Canada’s central and western Arctic. </w:t>
      </w:r>
      <w:r w:rsidRPr="003338D7">
        <w:rPr>
          <w:rFonts w:asciiTheme="majorHAnsi" w:hAnsiTheme="majorHAnsi"/>
          <w:i/>
          <w:iCs/>
          <w:noProof/>
          <w:szCs w:val="22"/>
        </w:rPr>
        <w:t>Environmental Science &amp; Technology</w:t>
      </w:r>
      <w:r w:rsidRPr="003338D7">
        <w:rPr>
          <w:rFonts w:asciiTheme="majorHAnsi" w:hAnsiTheme="majorHAnsi"/>
          <w:noProof/>
          <w:szCs w:val="22"/>
        </w:rPr>
        <w:t xml:space="preserve">, </w:t>
      </w:r>
      <w:r w:rsidRPr="003338D7">
        <w:rPr>
          <w:rFonts w:asciiTheme="majorHAnsi" w:hAnsiTheme="majorHAnsi"/>
          <w:i/>
          <w:iCs/>
          <w:noProof/>
          <w:szCs w:val="22"/>
        </w:rPr>
        <w:t>35</w:t>
      </w:r>
      <w:r w:rsidRPr="003338D7">
        <w:rPr>
          <w:rFonts w:asciiTheme="majorHAnsi" w:hAnsiTheme="majorHAnsi"/>
          <w:noProof/>
          <w:szCs w:val="22"/>
        </w:rPr>
        <w:t xml:space="preserve">(2), 325–334. </w:t>
      </w:r>
      <w:hyperlink r:id="rId530" w:history="1">
        <w:r w:rsidRPr="003338D7">
          <w:rPr>
            <w:rStyle w:val="Hyperlink"/>
            <w:rFonts w:asciiTheme="majorHAnsi" w:hAnsiTheme="majorHAnsi"/>
            <w:noProof/>
            <w:szCs w:val="22"/>
          </w:rPr>
          <w:t>http://doi.org/10.1021/es0011</w:t>
        </w:r>
      </w:hyperlink>
    </w:p>
    <w:p w14:paraId="5B307F3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Kelly, D. W. (2007). </w:t>
      </w:r>
      <w:r w:rsidRPr="003338D7">
        <w:rPr>
          <w:rFonts w:asciiTheme="majorHAnsi" w:hAnsiTheme="majorHAnsi"/>
          <w:i/>
          <w:iCs/>
          <w:noProof/>
          <w:szCs w:val="22"/>
        </w:rPr>
        <w:t>Vectors and Pathways for Nonindigenous Aquatic Species in the Great Lakes</w:t>
      </w:r>
      <w:r w:rsidRPr="003338D7">
        <w:rPr>
          <w:rFonts w:asciiTheme="majorHAnsi" w:hAnsiTheme="majorHAnsi"/>
          <w:noProof/>
          <w:szCs w:val="22"/>
        </w:rPr>
        <w:t>. Washington, DC., USA: Prepared for Committee on the St. Lawrence Seaway: Options to Eliminate Introduction of Nonindigenous Species into the Great Lakes, Phase 2 Transportation Research Board and Division on Earth and Life Studies.</w:t>
      </w:r>
    </w:p>
    <w:p w14:paraId="6E8DF5F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Kelly, D. W., Lamberti, G. A., &amp; MacIsaac, H. J. (2009). The Laurentian Great Lakes as a case study of biological invasion. In R. P. Keller, D. M. Lodge, M. A. Lewis, &amp; J.F. Shogren (Eds.), </w:t>
      </w:r>
      <w:r w:rsidRPr="003338D7">
        <w:rPr>
          <w:rFonts w:asciiTheme="majorHAnsi" w:hAnsiTheme="majorHAnsi"/>
          <w:i/>
          <w:iCs/>
          <w:noProof/>
          <w:szCs w:val="22"/>
        </w:rPr>
        <w:t>Bioeconomics of Invasive Species: Integrating Ecology, Economics, Policy and Management</w:t>
      </w:r>
      <w:r w:rsidRPr="003338D7">
        <w:rPr>
          <w:rFonts w:asciiTheme="majorHAnsi" w:hAnsiTheme="majorHAnsi"/>
          <w:noProof/>
          <w:szCs w:val="22"/>
        </w:rPr>
        <w:t xml:space="preserve"> (pp. 205–225). Oxford, UK: Oxford University Press.</w:t>
      </w:r>
    </w:p>
    <w:p w14:paraId="5722D8E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Kembel, S. W., Cowan, P. D., Helmus, M. R., Cornwell, W. K., Morlon, H., Ackerly, D. D., Blomberg, S. P., &amp; Webb, C. O. (2010). Picante: R tools for integrating phylogenies and ecology. </w:t>
      </w:r>
      <w:r w:rsidRPr="003338D7">
        <w:rPr>
          <w:rFonts w:asciiTheme="majorHAnsi" w:hAnsiTheme="majorHAnsi"/>
          <w:i/>
          <w:iCs/>
          <w:noProof/>
          <w:szCs w:val="22"/>
          <w:lang w:val="es-ES"/>
        </w:rPr>
        <w:t>Bioinformatics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26</w:t>
      </w:r>
      <w:r w:rsidRPr="003338D7">
        <w:rPr>
          <w:rFonts w:asciiTheme="majorHAnsi" w:hAnsiTheme="majorHAnsi"/>
          <w:noProof/>
          <w:szCs w:val="22"/>
          <w:lang w:val="es-ES"/>
        </w:rPr>
        <w:t>(11), 1463–1464.</w:t>
      </w:r>
    </w:p>
    <w:p w14:paraId="6EE808A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Kerswell, A. P. (2006). Global biodiversity patterns of benthic marine algae. </w:t>
      </w:r>
      <w:r w:rsidRPr="003338D7">
        <w:rPr>
          <w:rFonts w:asciiTheme="majorHAnsi" w:hAnsiTheme="majorHAnsi"/>
          <w:i/>
          <w:iCs/>
          <w:noProof/>
          <w:szCs w:val="22"/>
        </w:rPr>
        <w:t>Ecology</w:t>
      </w:r>
      <w:r w:rsidRPr="003338D7">
        <w:rPr>
          <w:rFonts w:asciiTheme="majorHAnsi" w:hAnsiTheme="majorHAnsi"/>
          <w:noProof/>
          <w:szCs w:val="22"/>
        </w:rPr>
        <w:t xml:space="preserve">, </w:t>
      </w:r>
      <w:r w:rsidRPr="003338D7">
        <w:rPr>
          <w:rFonts w:asciiTheme="majorHAnsi" w:hAnsiTheme="majorHAnsi"/>
          <w:i/>
          <w:iCs/>
          <w:noProof/>
          <w:szCs w:val="22"/>
        </w:rPr>
        <w:t>87</w:t>
      </w:r>
      <w:r w:rsidRPr="003338D7">
        <w:rPr>
          <w:rFonts w:asciiTheme="majorHAnsi" w:hAnsiTheme="majorHAnsi"/>
          <w:noProof/>
          <w:szCs w:val="22"/>
        </w:rPr>
        <w:t xml:space="preserve">(10), 2479–2488. </w:t>
      </w:r>
      <w:hyperlink r:id="rId531" w:history="1">
        <w:r w:rsidRPr="003338D7">
          <w:rPr>
            <w:rStyle w:val="Hyperlink"/>
            <w:rFonts w:asciiTheme="majorHAnsi" w:hAnsiTheme="majorHAnsi"/>
            <w:noProof/>
            <w:szCs w:val="22"/>
          </w:rPr>
          <w:t>http://doi.org/10.1890/0012-9658(2006)87%5B2479:GBPOBM%5D2.0.CO;2</w:t>
        </w:r>
      </w:hyperlink>
    </w:p>
    <w:p w14:paraId="56A00C3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Kessler, M. (2001). Patterns of diversity and range size of selected plant groups along an elevational transect in the Bolivian Andes.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10</w:t>
      </w:r>
      <w:r w:rsidRPr="003338D7">
        <w:rPr>
          <w:rFonts w:asciiTheme="majorHAnsi" w:hAnsiTheme="majorHAnsi"/>
          <w:noProof/>
          <w:szCs w:val="22"/>
        </w:rPr>
        <w:t xml:space="preserve">(11), 1897–1921. </w:t>
      </w:r>
      <w:hyperlink r:id="rId532" w:history="1">
        <w:r w:rsidRPr="003338D7">
          <w:rPr>
            <w:rStyle w:val="Hyperlink"/>
            <w:rFonts w:asciiTheme="majorHAnsi" w:hAnsiTheme="majorHAnsi"/>
            <w:noProof/>
            <w:szCs w:val="22"/>
          </w:rPr>
          <w:t>http://doi.org/10.1023/A:1013130902993</w:t>
        </w:r>
      </w:hyperlink>
    </w:p>
    <w:p w14:paraId="55015A0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Keuroghlian, A., Andrade Santos, M. D. C., &amp; Eaton, D. P. (2015). The effects of deforestation on white-lipped peccary (</w:t>
      </w:r>
      <w:r w:rsidRPr="003338D7">
        <w:rPr>
          <w:rFonts w:asciiTheme="majorHAnsi" w:hAnsiTheme="majorHAnsi"/>
          <w:i/>
          <w:noProof/>
          <w:szCs w:val="22"/>
        </w:rPr>
        <w:t>Tayassu pecari</w:t>
      </w:r>
      <w:r w:rsidRPr="003338D7">
        <w:rPr>
          <w:rFonts w:asciiTheme="majorHAnsi" w:hAnsiTheme="majorHAnsi"/>
          <w:noProof/>
          <w:szCs w:val="22"/>
        </w:rPr>
        <w:t xml:space="preserve">) home range in the southern Pantanal. </w:t>
      </w:r>
      <w:r w:rsidRPr="003338D7">
        <w:rPr>
          <w:rFonts w:asciiTheme="majorHAnsi" w:hAnsiTheme="majorHAnsi"/>
          <w:i/>
          <w:iCs/>
          <w:noProof/>
          <w:szCs w:val="22"/>
        </w:rPr>
        <w:t>Mammalia</w:t>
      </w:r>
      <w:r w:rsidRPr="003338D7">
        <w:rPr>
          <w:rFonts w:asciiTheme="majorHAnsi" w:hAnsiTheme="majorHAnsi"/>
          <w:noProof/>
          <w:szCs w:val="22"/>
        </w:rPr>
        <w:t xml:space="preserve">, </w:t>
      </w:r>
      <w:r w:rsidRPr="003338D7">
        <w:rPr>
          <w:rFonts w:asciiTheme="majorHAnsi" w:hAnsiTheme="majorHAnsi"/>
          <w:i/>
          <w:iCs/>
          <w:noProof/>
          <w:szCs w:val="22"/>
        </w:rPr>
        <w:t>79</w:t>
      </w:r>
      <w:r w:rsidRPr="003338D7">
        <w:rPr>
          <w:rFonts w:asciiTheme="majorHAnsi" w:hAnsiTheme="majorHAnsi"/>
          <w:noProof/>
          <w:szCs w:val="22"/>
        </w:rPr>
        <w:t xml:space="preserve">(4), 491–497. </w:t>
      </w:r>
      <w:hyperlink r:id="rId533" w:history="1">
        <w:r w:rsidRPr="003338D7">
          <w:rPr>
            <w:rStyle w:val="Hyperlink"/>
            <w:rFonts w:asciiTheme="majorHAnsi" w:hAnsiTheme="majorHAnsi"/>
            <w:noProof/>
            <w:szCs w:val="22"/>
          </w:rPr>
          <w:t>http://doi.org/10.1515/mammalia-2014-0094</w:t>
        </w:r>
      </w:hyperlink>
    </w:p>
    <w:p w14:paraId="2FE83D7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Khoury, C. K., Bjorkman, A. D., Dempewolf, H., Ramirez-Villegas, J., Guarino, L., Jarvis, A., Rieseberg, L. H., &amp; Struik, P. C. (2014). Increasing homogeneity in global food supplies and the implications for food security.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111</w:t>
      </w:r>
      <w:r w:rsidRPr="003338D7">
        <w:rPr>
          <w:rFonts w:asciiTheme="majorHAnsi" w:hAnsiTheme="majorHAnsi"/>
          <w:noProof/>
          <w:szCs w:val="22"/>
          <w:lang w:val="es-ES"/>
        </w:rPr>
        <w:t xml:space="preserve">(11), 4001–4006. </w:t>
      </w:r>
      <w:hyperlink r:id="rId534" w:history="1">
        <w:r w:rsidRPr="003338D7">
          <w:rPr>
            <w:rStyle w:val="Hyperlink"/>
            <w:rFonts w:asciiTheme="majorHAnsi" w:hAnsiTheme="majorHAnsi"/>
            <w:noProof/>
            <w:szCs w:val="22"/>
            <w:lang w:val="es-ES"/>
          </w:rPr>
          <w:t>https://doi.org/10.1073/pnas.1313490111</w:t>
        </w:r>
      </w:hyperlink>
    </w:p>
    <w:p w14:paraId="7B8A3C5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Kier, G., Kreft, H., Lee, T. M., Jetz, W., Ibisch, P. L., Nowicki, C., Mutke, J., &amp; Barthlott, W. (2009). A global assessment of endemism and species richness across island and mainland regions.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106</w:t>
      </w:r>
      <w:r w:rsidRPr="003338D7">
        <w:rPr>
          <w:rFonts w:asciiTheme="majorHAnsi" w:hAnsiTheme="majorHAnsi"/>
          <w:noProof/>
          <w:szCs w:val="22"/>
          <w:lang w:val="es-ES"/>
        </w:rPr>
        <w:t>(23), 9322–9327.</w:t>
      </w:r>
    </w:p>
    <w:p w14:paraId="013AC8F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Klauke, N., Schaefer, H. M., Bauer, M., &amp; Segelbacher, G. (2016). </w:t>
      </w:r>
      <w:r w:rsidRPr="003338D7">
        <w:rPr>
          <w:rFonts w:asciiTheme="majorHAnsi" w:hAnsiTheme="majorHAnsi"/>
          <w:noProof/>
          <w:szCs w:val="22"/>
        </w:rPr>
        <w:t xml:space="preserve">Limited dispersal and significant fine- scale genetic structure in a tropical montane parrot species. </w:t>
      </w:r>
      <w:r w:rsidRPr="003338D7">
        <w:rPr>
          <w:rFonts w:asciiTheme="majorHAnsi" w:hAnsiTheme="majorHAnsi"/>
          <w:i/>
          <w:iCs/>
          <w:noProof/>
          <w:szCs w:val="22"/>
        </w:rPr>
        <w:t>PLoS ONE</w:t>
      </w:r>
      <w:r w:rsidRPr="003338D7">
        <w:rPr>
          <w:rFonts w:asciiTheme="majorHAnsi" w:hAnsiTheme="majorHAnsi"/>
          <w:noProof/>
          <w:szCs w:val="22"/>
        </w:rPr>
        <w:t xml:space="preserve">, </w:t>
      </w:r>
      <w:r w:rsidRPr="003338D7">
        <w:rPr>
          <w:rFonts w:asciiTheme="majorHAnsi" w:hAnsiTheme="majorHAnsi"/>
          <w:i/>
          <w:iCs/>
          <w:noProof/>
          <w:szCs w:val="22"/>
        </w:rPr>
        <w:t>11</w:t>
      </w:r>
      <w:r w:rsidRPr="003338D7">
        <w:rPr>
          <w:rFonts w:asciiTheme="majorHAnsi" w:hAnsiTheme="majorHAnsi"/>
          <w:noProof/>
          <w:szCs w:val="22"/>
        </w:rPr>
        <w:t>(12), e0169165.</w:t>
      </w:r>
    </w:p>
    <w:p w14:paraId="473BF43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Kleiber, P., Clarke, S., Bigelow, K., Nakano, H., Mcallister, M., &amp; Takeuchi, Y. (2009). </w:t>
      </w:r>
      <w:r w:rsidRPr="003338D7">
        <w:rPr>
          <w:rFonts w:asciiTheme="majorHAnsi" w:hAnsiTheme="majorHAnsi"/>
          <w:i/>
          <w:iCs/>
          <w:noProof/>
          <w:szCs w:val="22"/>
        </w:rPr>
        <w:t>North Pacific Blue Shark Stock Assessment</w:t>
      </w:r>
      <w:r w:rsidRPr="003338D7">
        <w:rPr>
          <w:rFonts w:asciiTheme="majorHAnsi" w:hAnsiTheme="majorHAnsi"/>
          <w:noProof/>
          <w:szCs w:val="22"/>
        </w:rPr>
        <w:t xml:space="preserve">. </w:t>
      </w:r>
      <w:r w:rsidRPr="003338D7">
        <w:rPr>
          <w:rFonts w:asciiTheme="majorHAnsi" w:hAnsiTheme="majorHAnsi"/>
          <w:i/>
          <w:iCs/>
          <w:noProof/>
          <w:szCs w:val="22"/>
        </w:rPr>
        <w:t>U.S. Department of Commerce, NOAA Technical Memorandum NMFS-PIFSC-17</w:t>
      </w:r>
      <w:r w:rsidRPr="003338D7">
        <w:rPr>
          <w:rFonts w:asciiTheme="majorHAnsi" w:hAnsiTheme="majorHAnsi"/>
          <w:noProof/>
          <w:szCs w:val="22"/>
        </w:rPr>
        <w:t xml:space="preserve">. Honolulu, USA. Retrieved from </w:t>
      </w:r>
      <w:hyperlink r:id="rId535" w:history="1">
        <w:r w:rsidRPr="003338D7">
          <w:rPr>
            <w:rStyle w:val="Hyperlink"/>
            <w:rFonts w:asciiTheme="majorHAnsi" w:hAnsiTheme="majorHAnsi"/>
            <w:noProof/>
            <w:szCs w:val="22"/>
          </w:rPr>
          <w:t>https://www.pifsc.noaa.gov/tech/NOAA_Tech_Memo_PIFSC_17.pdf</w:t>
        </w:r>
      </w:hyperlink>
    </w:p>
    <w:p w14:paraId="62147E9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Kloppenburg, J. R. (1991). </w:t>
      </w:r>
      <w:r w:rsidRPr="003338D7">
        <w:rPr>
          <w:rFonts w:asciiTheme="majorHAnsi" w:hAnsiTheme="majorHAnsi"/>
          <w:i/>
          <w:iCs/>
          <w:noProof/>
          <w:szCs w:val="22"/>
        </w:rPr>
        <w:t>First the Seed. The political economy of plant biotechnology 1492-2000</w:t>
      </w:r>
      <w:r w:rsidRPr="003338D7">
        <w:rPr>
          <w:rFonts w:asciiTheme="majorHAnsi" w:hAnsiTheme="majorHAnsi"/>
          <w:noProof/>
          <w:szCs w:val="22"/>
        </w:rPr>
        <w:t>. New York, USA: Cambridge University Press.</w:t>
      </w:r>
    </w:p>
    <w:p w14:paraId="4749CE1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Knapp, A. K., Blair, J. M., Briggs, J. M., Collins, S. L., Hartnett, D. C., Johnson, L. C., &amp; Towne, E. G. (1999). The keystone role of bison in North American tallgrass prairie: bison increase habitat heterogeneity and alter a broad array of plant, community, and ecosystem processes. </w:t>
      </w:r>
      <w:r w:rsidRPr="003338D7">
        <w:rPr>
          <w:rFonts w:asciiTheme="majorHAnsi" w:hAnsiTheme="majorHAnsi"/>
          <w:i/>
          <w:iCs/>
          <w:noProof/>
          <w:szCs w:val="22"/>
        </w:rPr>
        <w:t>Bioscience</w:t>
      </w:r>
      <w:r w:rsidRPr="003338D7">
        <w:rPr>
          <w:rFonts w:asciiTheme="majorHAnsi" w:hAnsiTheme="majorHAnsi"/>
          <w:noProof/>
          <w:szCs w:val="22"/>
        </w:rPr>
        <w:t xml:space="preserve">, </w:t>
      </w:r>
      <w:r w:rsidRPr="003338D7">
        <w:rPr>
          <w:rFonts w:asciiTheme="majorHAnsi" w:hAnsiTheme="majorHAnsi"/>
          <w:i/>
          <w:iCs/>
          <w:noProof/>
          <w:szCs w:val="22"/>
        </w:rPr>
        <w:t>49</w:t>
      </w:r>
      <w:r w:rsidRPr="003338D7">
        <w:rPr>
          <w:rFonts w:asciiTheme="majorHAnsi" w:hAnsiTheme="majorHAnsi"/>
          <w:noProof/>
          <w:szCs w:val="22"/>
        </w:rPr>
        <w:t>(1), 39–50.</w:t>
      </w:r>
    </w:p>
    <w:p w14:paraId="7573EA4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Knapp, S., Dinsmore, L., Fissore, C., Hobbie, S. E., Jakobsdottir, I., Kattge, J., King, J. Y., Klotz, S., McFadden, J. P., &amp; Cavender-Bares, J. (2012). Phylogenetic and functional characteristics of household yard floras and their changes along an urbanization gradient. </w:t>
      </w:r>
      <w:r w:rsidRPr="003338D7">
        <w:rPr>
          <w:rFonts w:asciiTheme="majorHAnsi" w:hAnsiTheme="majorHAnsi"/>
          <w:i/>
          <w:iCs/>
          <w:noProof/>
          <w:szCs w:val="22"/>
          <w:lang w:val="es-ES"/>
        </w:rPr>
        <w:t>Ecology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93</w:t>
      </w:r>
      <w:r w:rsidRPr="003338D7">
        <w:rPr>
          <w:rFonts w:asciiTheme="majorHAnsi" w:hAnsiTheme="majorHAnsi"/>
          <w:noProof/>
          <w:szCs w:val="22"/>
          <w:lang w:val="es-ES"/>
        </w:rPr>
        <w:t xml:space="preserve">(sp8), S83–S98. </w:t>
      </w:r>
      <w:hyperlink r:id="rId536" w:history="1">
        <w:r w:rsidRPr="003338D7">
          <w:rPr>
            <w:rStyle w:val="Hyperlink"/>
            <w:rFonts w:asciiTheme="majorHAnsi" w:hAnsiTheme="majorHAnsi"/>
            <w:noProof/>
            <w:szCs w:val="22"/>
            <w:lang w:val="es-ES"/>
          </w:rPr>
          <w:t>https://doi.org/10.1890/11-0392.1</w:t>
        </w:r>
      </w:hyperlink>
    </w:p>
    <w:p w14:paraId="7AF04A4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Knops, J. M. H., Tilman, D., Haddad, N. M., Naeem, S., Mitchell, C. E., Haarstad, J., Ritchie, M. E., Howe, K. M., Reich, P. B., Siemann, E., &amp; Groth, J. (1999). Effects of plant species richness on invasion dynamics, disease outbreaks, insect abundances and diversity. </w:t>
      </w:r>
      <w:r w:rsidRPr="003338D7">
        <w:rPr>
          <w:rFonts w:asciiTheme="majorHAnsi" w:hAnsiTheme="majorHAnsi"/>
          <w:i/>
          <w:iCs/>
          <w:noProof/>
          <w:szCs w:val="22"/>
          <w:lang w:val="es-ES"/>
        </w:rPr>
        <w:t>Ecology Letters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w:t>
      </w:r>
      <w:r w:rsidRPr="003338D7">
        <w:rPr>
          <w:rFonts w:asciiTheme="majorHAnsi" w:hAnsiTheme="majorHAnsi"/>
          <w:noProof/>
          <w:szCs w:val="22"/>
          <w:lang w:val="es-ES"/>
        </w:rPr>
        <w:t>(5), 286–293.</w:t>
      </w:r>
    </w:p>
    <w:p w14:paraId="6F5FBDB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Koh, I., Lonsdorf, E. V., Williams, N. M., Brittain, C., Isaacs, R., Gibbs, J., &amp; Ricketts, T. H. (2016). Modeling the status, trends, and impacts of wild bee abundance in the United States.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113</w:t>
      </w:r>
      <w:r w:rsidRPr="003338D7">
        <w:rPr>
          <w:rFonts w:asciiTheme="majorHAnsi" w:hAnsiTheme="majorHAnsi"/>
          <w:noProof/>
          <w:szCs w:val="22"/>
          <w:lang w:val="es-ES"/>
        </w:rPr>
        <w:t xml:space="preserve">(1), 140–145. </w:t>
      </w:r>
      <w:hyperlink r:id="rId537" w:history="1">
        <w:r w:rsidRPr="003338D7">
          <w:rPr>
            <w:rStyle w:val="Hyperlink"/>
            <w:rFonts w:asciiTheme="majorHAnsi" w:hAnsiTheme="majorHAnsi"/>
            <w:noProof/>
            <w:szCs w:val="22"/>
            <w:lang w:val="es-ES"/>
          </w:rPr>
          <w:t>http://doi.org/10.1073/pnas.1517685113</w:t>
        </w:r>
      </w:hyperlink>
    </w:p>
    <w:p w14:paraId="46FD3F6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Köhl, M., Lasco, R., Cifuentes, M., Jonsson, Ö., Korhonen, K. T., Mundhenk, P., de Jesus Navar, J., &amp; Stinson, G. (2015). Changes in forest production, biomass and carbon: results from the 2015 UN FAO Global Forest Resource Assessment. </w:t>
      </w:r>
      <w:r w:rsidRPr="003338D7">
        <w:rPr>
          <w:rFonts w:asciiTheme="majorHAnsi" w:hAnsiTheme="majorHAnsi"/>
          <w:i/>
          <w:iCs/>
          <w:noProof/>
          <w:szCs w:val="22"/>
          <w:lang w:val="es-ES"/>
        </w:rPr>
        <w:t>Forest Ecology and Management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352</w:t>
      </w:r>
      <w:r w:rsidRPr="003338D7">
        <w:rPr>
          <w:rFonts w:asciiTheme="majorHAnsi" w:hAnsiTheme="majorHAnsi"/>
          <w:noProof/>
          <w:szCs w:val="22"/>
          <w:lang w:val="es-ES"/>
        </w:rPr>
        <w:t xml:space="preserve">, 21–34. </w:t>
      </w:r>
      <w:hyperlink r:id="rId538" w:history="1">
        <w:r w:rsidRPr="003338D7">
          <w:rPr>
            <w:rStyle w:val="Hyperlink"/>
            <w:rFonts w:asciiTheme="majorHAnsi" w:hAnsiTheme="majorHAnsi"/>
            <w:noProof/>
            <w:szCs w:val="22"/>
            <w:lang w:val="es-ES"/>
          </w:rPr>
          <w:t>https://doi.org/10.1016/j.foreco.2015.05.036</w:t>
        </w:r>
      </w:hyperlink>
    </w:p>
    <w:p w14:paraId="7C759E3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rPr>
        <w:t xml:space="preserve">Köhler, G. (2008). </w:t>
      </w:r>
      <w:r w:rsidRPr="003338D7">
        <w:rPr>
          <w:rFonts w:asciiTheme="majorHAnsi" w:hAnsiTheme="majorHAnsi"/>
          <w:i/>
          <w:iCs/>
          <w:noProof/>
          <w:szCs w:val="22"/>
        </w:rPr>
        <w:t>Reptiles of Central America</w:t>
      </w:r>
      <w:r w:rsidRPr="003338D7">
        <w:rPr>
          <w:rFonts w:asciiTheme="majorHAnsi" w:hAnsiTheme="majorHAnsi"/>
          <w:noProof/>
          <w:szCs w:val="22"/>
        </w:rPr>
        <w:t xml:space="preserve"> (2nd ed.). </w:t>
      </w:r>
      <w:r w:rsidRPr="003338D7">
        <w:rPr>
          <w:rFonts w:asciiTheme="majorHAnsi" w:hAnsiTheme="majorHAnsi"/>
          <w:noProof/>
          <w:szCs w:val="22"/>
          <w:lang w:val="de-DE"/>
        </w:rPr>
        <w:t>Offenbach, Germany: Herpeton-Verlag.</w:t>
      </w:r>
    </w:p>
    <w:p w14:paraId="4742A6D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Köhler, G. (2011). </w:t>
      </w:r>
      <w:r w:rsidRPr="003338D7">
        <w:rPr>
          <w:rFonts w:asciiTheme="majorHAnsi" w:hAnsiTheme="majorHAnsi"/>
          <w:i/>
          <w:iCs/>
          <w:noProof/>
          <w:szCs w:val="22"/>
        </w:rPr>
        <w:t>Amphibians of Central America</w:t>
      </w:r>
      <w:r w:rsidRPr="003338D7">
        <w:rPr>
          <w:rFonts w:asciiTheme="majorHAnsi" w:hAnsiTheme="majorHAnsi"/>
          <w:noProof/>
          <w:szCs w:val="22"/>
        </w:rPr>
        <w:t>. Offenbach, Germany: Herpeton-Verlag.</w:t>
      </w:r>
    </w:p>
    <w:p w14:paraId="6307C62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Kohon, J. (2011). </w:t>
      </w:r>
      <w:r w:rsidRPr="003338D7">
        <w:rPr>
          <w:rFonts w:asciiTheme="majorHAnsi" w:hAnsiTheme="majorHAnsi"/>
          <w:i/>
          <w:iCs/>
          <w:noProof/>
          <w:szCs w:val="22"/>
          <w:lang w:val="es-ES"/>
        </w:rPr>
        <w:t>La Infraestructura en el Desarrollo Integral de América Latina. Diagnóstico Estratégico y Propuestas para una Agenda Prioritaria. Transporte IDeAL 2011</w:t>
      </w:r>
      <w:r w:rsidRPr="003338D7">
        <w:rPr>
          <w:rFonts w:asciiTheme="majorHAnsi" w:hAnsiTheme="majorHAnsi"/>
          <w:noProof/>
          <w:szCs w:val="22"/>
          <w:lang w:val="es-ES"/>
        </w:rPr>
        <w:t>. Bogotá, Colombia: Corporación Andina de Fomento (CAF).</w:t>
      </w:r>
    </w:p>
    <w:p w14:paraId="3C49683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Kort, J., Richardson, J., Soolanayakanahally, R., &amp; Schroede, W. (2014). </w:t>
      </w:r>
      <w:r w:rsidRPr="003338D7">
        <w:rPr>
          <w:rFonts w:asciiTheme="majorHAnsi" w:hAnsiTheme="majorHAnsi"/>
          <w:noProof/>
          <w:szCs w:val="22"/>
        </w:rPr>
        <w:t xml:space="preserve">Innovations in temperate agroforestry: the 13th North American Agroforestry Conference. </w:t>
      </w:r>
      <w:r w:rsidRPr="003338D7">
        <w:rPr>
          <w:rFonts w:asciiTheme="majorHAnsi" w:hAnsiTheme="majorHAnsi"/>
          <w:i/>
          <w:iCs/>
          <w:noProof/>
          <w:szCs w:val="22"/>
        </w:rPr>
        <w:t>Agroforestry Systems</w:t>
      </w:r>
      <w:r w:rsidRPr="003338D7">
        <w:rPr>
          <w:rFonts w:asciiTheme="majorHAnsi" w:hAnsiTheme="majorHAnsi"/>
          <w:noProof/>
          <w:szCs w:val="22"/>
        </w:rPr>
        <w:t xml:space="preserve">, </w:t>
      </w:r>
      <w:r w:rsidRPr="003338D7">
        <w:rPr>
          <w:rFonts w:asciiTheme="majorHAnsi" w:hAnsiTheme="majorHAnsi"/>
          <w:i/>
          <w:iCs/>
          <w:noProof/>
          <w:szCs w:val="22"/>
        </w:rPr>
        <w:t>88</w:t>
      </w:r>
      <w:r w:rsidRPr="003338D7">
        <w:rPr>
          <w:rFonts w:asciiTheme="majorHAnsi" w:hAnsiTheme="majorHAnsi"/>
          <w:noProof/>
          <w:szCs w:val="22"/>
        </w:rPr>
        <w:t>(4), 563–567.</w:t>
      </w:r>
    </w:p>
    <w:p w14:paraId="672EBEB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Kothari, A. (2009). Protected areas and people: the future of the past. </w:t>
      </w:r>
      <w:r w:rsidRPr="003338D7">
        <w:rPr>
          <w:rFonts w:asciiTheme="majorHAnsi" w:hAnsiTheme="majorHAnsi"/>
          <w:i/>
          <w:iCs/>
          <w:noProof/>
          <w:szCs w:val="22"/>
        </w:rPr>
        <w:t>Parks</w:t>
      </w:r>
      <w:r w:rsidRPr="003338D7">
        <w:rPr>
          <w:rFonts w:asciiTheme="majorHAnsi" w:hAnsiTheme="majorHAnsi"/>
          <w:noProof/>
          <w:szCs w:val="22"/>
        </w:rPr>
        <w:t xml:space="preserve">, </w:t>
      </w:r>
      <w:r w:rsidRPr="003338D7">
        <w:rPr>
          <w:rFonts w:asciiTheme="majorHAnsi" w:hAnsiTheme="majorHAnsi"/>
          <w:i/>
          <w:iCs/>
          <w:noProof/>
          <w:szCs w:val="22"/>
        </w:rPr>
        <w:t>17</w:t>
      </w:r>
      <w:r w:rsidRPr="003338D7">
        <w:rPr>
          <w:rFonts w:asciiTheme="majorHAnsi" w:hAnsiTheme="majorHAnsi"/>
          <w:noProof/>
          <w:szCs w:val="22"/>
        </w:rPr>
        <w:t>(2), 23–34.</w:t>
      </w:r>
    </w:p>
    <w:p w14:paraId="07587FE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Kowarik, I. (2008). On the role of alien species in urban flora and vegetation. </w:t>
      </w:r>
      <w:r w:rsidRPr="003338D7">
        <w:rPr>
          <w:rFonts w:asciiTheme="majorHAnsi" w:hAnsiTheme="majorHAnsi"/>
          <w:noProof/>
          <w:szCs w:val="22"/>
          <w:lang w:val="de-DE"/>
        </w:rPr>
        <w:t xml:space="preserve">In J. M. Marzluff, E. Shulenberger, W. Endlicher, M. Alberti, G. Bradley, C. Ryan, … </w:t>
      </w:r>
      <w:r w:rsidRPr="003338D7">
        <w:rPr>
          <w:rFonts w:asciiTheme="majorHAnsi" w:hAnsiTheme="majorHAnsi"/>
          <w:noProof/>
          <w:szCs w:val="22"/>
        </w:rPr>
        <w:t xml:space="preserve">U. Simon (Eds.), </w:t>
      </w:r>
      <w:r w:rsidRPr="003338D7">
        <w:rPr>
          <w:rFonts w:asciiTheme="majorHAnsi" w:hAnsiTheme="majorHAnsi"/>
          <w:i/>
          <w:iCs/>
          <w:noProof/>
          <w:szCs w:val="22"/>
        </w:rPr>
        <w:t>Urban Ecology</w:t>
      </w:r>
      <w:r w:rsidRPr="003338D7">
        <w:rPr>
          <w:rFonts w:asciiTheme="majorHAnsi" w:hAnsiTheme="majorHAnsi"/>
          <w:noProof/>
          <w:szCs w:val="22"/>
        </w:rPr>
        <w:t xml:space="preserve"> (pp. 321–338). Boston, USA: Springer. http://doi.org/10.1007/978-0-387-73412-5_20</w:t>
      </w:r>
    </w:p>
    <w:p w14:paraId="692F849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Krachler, M., Zheng, J., Koerner, R., Zdanowicz, C., Fisher, D., &amp; Shotyk, W. (2005). </w:t>
      </w:r>
      <w:r w:rsidRPr="003338D7">
        <w:rPr>
          <w:rFonts w:asciiTheme="majorHAnsi" w:hAnsiTheme="majorHAnsi"/>
          <w:noProof/>
          <w:szCs w:val="22"/>
        </w:rPr>
        <w:t xml:space="preserve">Increasing atmospheric antimony contamination in the northern hemisphere: snow and ice evidence from Devon Island, Arctic Canada. </w:t>
      </w:r>
      <w:r w:rsidRPr="003338D7">
        <w:rPr>
          <w:rFonts w:asciiTheme="majorHAnsi" w:hAnsiTheme="majorHAnsi"/>
          <w:i/>
          <w:iCs/>
          <w:noProof/>
          <w:szCs w:val="22"/>
        </w:rPr>
        <w:t>Journal of Environmental Management</w:t>
      </w:r>
      <w:r w:rsidRPr="003338D7">
        <w:rPr>
          <w:rFonts w:asciiTheme="majorHAnsi" w:hAnsiTheme="majorHAnsi"/>
          <w:noProof/>
          <w:szCs w:val="22"/>
        </w:rPr>
        <w:t xml:space="preserve">, </w:t>
      </w:r>
      <w:r w:rsidRPr="003338D7">
        <w:rPr>
          <w:rFonts w:asciiTheme="majorHAnsi" w:hAnsiTheme="majorHAnsi"/>
          <w:i/>
          <w:iCs/>
          <w:noProof/>
          <w:szCs w:val="22"/>
        </w:rPr>
        <w:t>7</w:t>
      </w:r>
      <w:r w:rsidRPr="003338D7">
        <w:rPr>
          <w:rFonts w:asciiTheme="majorHAnsi" w:hAnsiTheme="majorHAnsi"/>
          <w:noProof/>
          <w:szCs w:val="22"/>
        </w:rPr>
        <w:t xml:space="preserve">(12), 1169–1176. </w:t>
      </w:r>
      <w:hyperlink r:id="rId539" w:history="1">
        <w:r w:rsidRPr="003338D7">
          <w:rPr>
            <w:rStyle w:val="Hyperlink"/>
            <w:rFonts w:asciiTheme="majorHAnsi" w:hAnsiTheme="majorHAnsi"/>
            <w:noProof/>
            <w:szCs w:val="22"/>
          </w:rPr>
          <w:t>http://doi.org/10.1039/b509373b</w:t>
        </w:r>
      </w:hyperlink>
    </w:p>
    <w:p w14:paraId="5EFDFC6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Kraft, N. J. B., Baldwin, B. G., &amp; Ackerly, D. D. (2010). Range size, taxon age and hotspots of neoendemism in the California flora. </w:t>
      </w:r>
      <w:r w:rsidRPr="003338D7">
        <w:rPr>
          <w:rFonts w:asciiTheme="majorHAnsi" w:hAnsiTheme="majorHAnsi"/>
          <w:i/>
          <w:iCs/>
          <w:noProof/>
          <w:szCs w:val="22"/>
        </w:rPr>
        <w:t>Diversity and Distributions</w:t>
      </w:r>
      <w:r w:rsidRPr="003338D7">
        <w:rPr>
          <w:rFonts w:asciiTheme="majorHAnsi" w:hAnsiTheme="majorHAnsi"/>
          <w:noProof/>
          <w:szCs w:val="22"/>
        </w:rPr>
        <w:t xml:space="preserve">, </w:t>
      </w:r>
      <w:r w:rsidRPr="003338D7">
        <w:rPr>
          <w:rFonts w:asciiTheme="majorHAnsi" w:hAnsiTheme="majorHAnsi"/>
          <w:i/>
          <w:iCs/>
          <w:noProof/>
          <w:szCs w:val="22"/>
        </w:rPr>
        <w:t>16</w:t>
      </w:r>
      <w:r w:rsidRPr="003338D7">
        <w:rPr>
          <w:rFonts w:asciiTheme="majorHAnsi" w:hAnsiTheme="majorHAnsi"/>
          <w:noProof/>
          <w:szCs w:val="22"/>
        </w:rPr>
        <w:t xml:space="preserve">(3), 403–413. </w:t>
      </w:r>
      <w:hyperlink r:id="rId540" w:history="1">
        <w:r w:rsidRPr="003338D7">
          <w:rPr>
            <w:rStyle w:val="Hyperlink"/>
            <w:rFonts w:asciiTheme="majorHAnsi" w:hAnsiTheme="majorHAnsi"/>
            <w:noProof/>
            <w:szCs w:val="22"/>
          </w:rPr>
          <w:t>http://doi.org/10.1111/j.1472-4642.2010.00640.x</w:t>
        </w:r>
      </w:hyperlink>
    </w:p>
    <w:p w14:paraId="50C9D98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Kramer, T., Kessler, M., Gradstein, S. R., &amp; Acebey, A. (2005). Diversity patterns of vascular epiphytes along an elevational gradient in the Andes. </w:t>
      </w:r>
      <w:r w:rsidRPr="003338D7">
        <w:rPr>
          <w:rFonts w:asciiTheme="majorHAnsi" w:hAnsiTheme="majorHAnsi"/>
          <w:i/>
          <w:iCs/>
          <w:noProof/>
          <w:szCs w:val="22"/>
        </w:rPr>
        <w:t>Journal of Biogeography</w:t>
      </w:r>
      <w:r w:rsidRPr="003338D7">
        <w:rPr>
          <w:rFonts w:asciiTheme="majorHAnsi" w:hAnsiTheme="majorHAnsi"/>
          <w:noProof/>
          <w:szCs w:val="22"/>
        </w:rPr>
        <w:t xml:space="preserve">, </w:t>
      </w:r>
      <w:r w:rsidRPr="003338D7">
        <w:rPr>
          <w:rFonts w:asciiTheme="majorHAnsi" w:hAnsiTheme="majorHAnsi"/>
          <w:i/>
          <w:iCs/>
          <w:noProof/>
          <w:szCs w:val="22"/>
        </w:rPr>
        <w:t>32</w:t>
      </w:r>
      <w:r w:rsidRPr="003338D7">
        <w:rPr>
          <w:rFonts w:asciiTheme="majorHAnsi" w:hAnsiTheme="majorHAnsi"/>
          <w:noProof/>
          <w:szCs w:val="22"/>
        </w:rPr>
        <w:t xml:space="preserve">(10), 1799–1809. </w:t>
      </w:r>
      <w:hyperlink r:id="rId541" w:history="1">
        <w:r w:rsidRPr="003338D7">
          <w:rPr>
            <w:rStyle w:val="Hyperlink"/>
            <w:rFonts w:asciiTheme="majorHAnsi" w:hAnsiTheme="majorHAnsi"/>
            <w:noProof/>
            <w:szCs w:val="22"/>
          </w:rPr>
          <w:t>http://doi.org/10.1111/j.1365-2699.2005.01318.x</w:t>
        </w:r>
      </w:hyperlink>
    </w:p>
    <w:p w14:paraId="6AAC155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Kremen, C., &amp; Miles, A. (2012). Ecosystem services in biologically diversified versus conventional farming systems: benefits, externalities, and trade-offs. </w:t>
      </w:r>
      <w:r w:rsidRPr="003338D7">
        <w:rPr>
          <w:rFonts w:asciiTheme="majorHAnsi" w:hAnsiTheme="majorHAnsi"/>
          <w:i/>
          <w:iCs/>
          <w:noProof/>
          <w:szCs w:val="22"/>
        </w:rPr>
        <w:t>Ecology and Society</w:t>
      </w:r>
      <w:r w:rsidRPr="003338D7">
        <w:rPr>
          <w:rFonts w:asciiTheme="majorHAnsi" w:hAnsiTheme="majorHAnsi"/>
          <w:noProof/>
          <w:szCs w:val="22"/>
        </w:rPr>
        <w:t xml:space="preserve">, </w:t>
      </w:r>
      <w:r w:rsidRPr="003338D7">
        <w:rPr>
          <w:rFonts w:asciiTheme="majorHAnsi" w:hAnsiTheme="majorHAnsi"/>
          <w:i/>
          <w:iCs/>
          <w:noProof/>
          <w:szCs w:val="22"/>
        </w:rPr>
        <w:t>17</w:t>
      </w:r>
      <w:r w:rsidRPr="003338D7">
        <w:rPr>
          <w:rFonts w:asciiTheme="majorHAnsi" w:hAnsiTheme="majorHAnsi"/>
          <w:noProof/>
          <w:szCs w:val="22"/>
        </w:rPr>
        <w:t xml:space="preserve">(4), 40. </w:t>
      </w:r>
      <w:hyperlink r:id="rId542" w:history="1">
        <w:r w:rsidRPr="003338D7">
          <w:rPr>
            <w:rStyle w:val="Hyperlink"/>
            <w:rFonts w:asciiTheme="majorHAnsi" w:hAnsiTheme="majorHAnsi"/>
            <w:noProof/>
            <w:szCs w:val="22"/>
          </w:rPr>
          <w:t>http://doi.org/10.5751/ES-05035-170440</w:t>
        </w:r>
      </w:hyperlink>
    </w:p>
    <w:p w14:paraId="66BCAFD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Kroll, O., Hershler, R., Albrecht, C., Terrazas, E. M., Apaza, R., Fuentealba, C., Wolff, C., &amp; Wilke, T. (2012). The endemic gastropod fauna of Lake Titicaca: correlation between molecular evolution and hydrographic history. </w:t>
      </w:r>
      <w:r w:rsidRPr="003338D7">
        <w:rPr>
          <w:rFonts w:asciiTheme="majorHAnsi" w:hAnsiTheme="majorHAnsi"/>
          <w:i/>
          <w:iCs/>
          <w:noProof/>
          <w:szCs w:val="22"/>
          <w:lang w:val="es-ES"/>
        </w:rPr>
        <w:t>Ecology and Evolution</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w:t>
      </w:r>
      <w:r w:rsidRPr="003338D7">
        <w:rPr>
          <w:rFonts w:asciiTheme="majorHAnsi" w:hAnsiTheme="majorHAnsi"/>
          <w:noProof/>
          <w:szCs w:val="22"/>
          <w:lang w:val="es-ES"/>
        </w:rPr>
        <w:t xml:space="preserve">(7), 1517–1530. </w:t>
      </w:r>
      <w:hyperlink r:id="rId543" w:history="1">
        <w:r w:rsidRPr="003338D7">
          <w:rPr>
            <w:rStyle w:val="Hyperlink"/>
            <w:rFonts w:asciiTheme="majorHAnsi" w:hAnsiTheme="majorHAnsi"/>
            <w:noProof/>
            <w:szCs w:val="22"/>
            <w:lang w:val="es-ES"/>
          </w:rPr>
          <w:t>https://doi.org/10.1002/ece3.280</w:t>
        </w:r>
      </w:hyperlink>
    </w:p>
    <w:p w14:paraId="6FB3564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Krömer, T., Kessler, M., &amp; Herzog, S. K. (2006). Distribution and flowering ecology of bromeliads along two climatically contrasting elevational transects in the Bolivian Andes. </w:t>
      </w:r>
      <w:r w:rsidRPr="003338D7">
        <w:rPr>
          <w:rFonts w:asciiTheme="majorHAnsi" w:hAnsiTheme="majorHAnsi"/>
          <w:i/>
          <w:iCs/>
          <w:noProof/>
          <w:szCs w:val="22"/>
          <w:lang w:val="es-ES"/>
        </w:rPr>
        <w:t>Biotropica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38</w:t>
      </w:r>
      <w:r w:rsidRPr="003338D7">
        <w:rPr>
          <w:rFonts w:asciiTheme="majorHAnsi" w:hAnsiTheme="majorHAnsi"/>
          <w:noProof/>
          <w:szCs w:val="22"/>
          <w:lang w:val="es-ES"/>
        </w:rPr>
        <w:t xml:space="preserve">(2), 183–195. </w:t>
      </w:r>
      <w:hyperlink r:id="rId544" w:history="1">
        <w:r w:rsidRPr="003338D7">
          <w:rPr>
            <w:rStyle w:val="Hyperlink"/>
            <w:rFonts w:asciiTheme="majorHAnsi" w:hAnsiTheme="majorHAnsi"/>
            <w:noProof/>
            <w:szCs w:val="22"/>
            <w:lang w:val="es-ES"/>
          </w:rPr>
          <w:t>http://doi.org/10.1111/j.1744-7429.2006.00124.x</w:t>
        </w:r>
      </w:hyperlink>
    </w:p>
    <w:p w14:paraId="4E02977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Kuhlmann, M., &amp; Ribeiro, J. F. (2016). </w:t>
      </w:r>
      <w:r w:rsidRPr="003338D7">
        <w:rPr>
          <w:rFonts w:asciiTheme="majorHAnsi" w:hAnsiTheme="majorHAnsi"/>
          <w:noProof/>
          <w:szCs w:val="22"/>
        </w:rPr>
        <w:t xml:space="preserve">Fruits and frugivores of the Brazilian Cerrado: ecological and phylogenetic considerations. </w:t>
      </w:r>
      <w:r w:rsidRPr="003338D7">
        <w:rPr>
          <w:rFonts w:asciiTheme="majorHAnsi" w:hAnsiTheme="majorHAnsi"/>
          <w:i/>
          <w:iCs/>
          <w:noProof/>
          <w:szCs w:val="22"/>
          <w:lang w:val="es-ES"/>
        </w:rPr>
        <w:t>Acta Botanica Brasilica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30</w:t>
      </w:r>
      <w:r w:rsidRPr="003338D7">
        <w:rPr>
          <w:rFonts w:asciiTheme="majorHAnsi" w:hAnsiTheme="majorHAnsi"/>
          <w:noProof/>
          <w:szCs w:val="22"/>
          <w:lang w:val="es-ES"/>
        </w:rPr>
        <w:t xml:space="preserve">(3), 495–507. </w:t>
      </w:r>
      <w:hyperlink r:id="rId545" w:history="1">
        <w:r w:rsidRPr="003338D7">
          <w:rPr>
            <w:rStyle w:val="Hyperlink"/>
            <w:rFonts w:asciiTheme="majorHAnsi" w:hAnsiTheme="majorHAnsi"/>
            <w:noProof/>
            <w:szCs w:val="22"/>
            <w:lang w:val="es-ES"/>
          </w:rPr>
          <w:t>http://doi.org/10.1590/0102-33062016abb0192</w:t>
        </w:r>
      </w:hyperlink>
    </w:p>
    <w:p w14:paraId="5479CC2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Küper, W., Kreft, H., Nieder, J., Köster, N., &amp; Barthlott, W. (2004). </w:t>
      </w:r>
      <w:r w:rsidRPr="003338D7">
        <w:rPr>
          <w:rFonts w:asciiTheme="majorHAnsi" w:hAnsiTheme="majorHAnsi"/>
          <w:noProof/>
          <w:szCs w:val="22"/>
        </w:rPr>
        <w:t xml:space="preserve">Large-scale diversity patterns of vascular epiphytes in Neotropical montane rain forests. </w:t>
      </w:r>
      <w:r w:rsidRPr="003338D7">
        <w:rPr>
          <w:rFonts w:asciiTheme="majorHAnsi" w:hAnsiTheme="majorHAnsi"/>
          <w:i/>
          <w:iCs/>
          <w:noProof/>
          <w:szCs w:val="22"/>
          <w:lang w:val="es-ES"/>
        </w:rPr>
        <w:t>Journal of Biogeography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31</w:t>
      </w:r>
      <w:r w:rsidRPr="003338D7">
        <w:rPr>
          <w:rFonts w:asciiTheme="majorHAnsi" w:hAnsiTheme="majorHAnsi"/>
          <w:noProof/>
          <w:szCs w:val="22"/>
          <w:lang w:val="es-ES"/>
        </w:rPr>
        <w:t xml:space="preserve">(9), 1477–1487. </w:t>
      </w:r>
      <w:hyperlink r:id="rId546" w:history="1">
        <w:r w:rsidRPr="003338D7">
          <w:rPr>
            <w:rStyle w:val="Hyperlink"/>
            <w:rFonts w:asciiTheme="majorHAnsi" w:hAnsiTheme="majorHAnsi"/>
            <w:noProof/>
            <w:szCs w:val="22"/>
            <w:lang w:val="es-ES"/>
          </w:rPr>
          <w:t>http://doi.org/10.1111/j.1365-2699.2004.01093.x</w:t>
        </w:r>
      </w:hyperlink>
    </w:p>
    <w:p w14:paraId="5F99F42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Küppers, G. C., González Garraza, G. C., Quiroga, M. V., Lombardo, R., Marinone, M. C., Vinocur, A., &amp; Mataloni, G. (2016). </w:t>
      </w:r>
      <w:r w:rsidRPr="003338D7">
        <w:rPr>
          <w:rFonts w:asciiTheme="majorHAnsi" w:hAnsiTheme="majorHAnsi"/>
          <w:noProof/>
          <w:szCs w:val="22"/>
        </w:rPr>
        <w:t xml:space="preserve">Drivers of highly diverse planktonic ciliate assemblages in peat bog pools from Tierra del Fuego (Argentina). </w:t>
      </w:r>
      <w:r w:rsidRPr="003338D7">
        <w:rPr>
          <w:rFonts w:asciiTheme="majorHAnsi" w:hAnsiTheme="majorHAnsi"/>
          <w:i/>
          <w:iCs/>
          <w:noProof/>
          <w:szCs w:val="22"/>
        </w:rPr>
        <w:t>Hydrobiologia</w:t>
      </w:r>
      <w:r w:rsidRPr="003338D7">
        <w:rPr>
          <w:rFonts w:asciiTheme="majorHAnsi" w:hAnsiTheme="majorHAnsi"/>
          <w:noProof/>
          <w:szCs w:val="22"/>
        </w:rPr>
        <w:t xml:space="preserve">, </w:t>
      </w:r>
      <w:r w:rsidRPr="003338D7">
        <w:rPr>
          <w:rFonts w:asciiTheme="majorHAnsi" w:hAnsiTheme="majorHAnsi"/>
          <w:i/>
          <w:iCs/>
          <w:noProof/>
          <w:szCs w:val="22"/>
        </w:rPr>
        <w:t>773</w:t>
      </w:r>
      <w:r w:rsidRPr="003338D7">
        <w:rPr>
          <w:rFonts w:asciiTheme="majorHAnsi" w:hAnsiTheme="majorHAnsi"/>
          <w:noProof/>
          <w:szCs w:val="22"/>
        </w:rPr>
        <w:t xml:space="preserve">(1), 117–134. </w:t>
      </w:r>
      <w:hyperlink r:id="rId547" w:history="1">
        <w:r w:rsidRPr="003338D7">
          <w:rPr>
            <w:rStyle w:val="Hyperlink"/>
            <w:rFonts w:asciiTheme="majorHAnsi" w:hAnsiTheme="majorHAnsi"/>
            <w:noProof/>
            <w:szCs w:val="22"/>
          </w:rPr>
          <w:t>http://doi.org/10.1007/s10750-016-2686-x</w:t>
        </w:r>
      </w:hyperlink>
    </w:p>
    <w:p w14:paraId="3038129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Kurz, W. A., Shaw, C. H., Boisvenue, C., Stinson, G., Metsaranta, J., Leckie, D., Dyk, A., Smyth, C., &amp; Neilson, E. T. (2013). Carbon in Canada’s boreal forest— a synthesis. </w:t>
      </w:r>
      <w:r w:rsidRPr="003338D7">
        <w:rPr>
          <w:rFonts w:asciiTheme="majorHAnsi" w:hAnsiTheme="majorHAnsi"/>
          <w:i/>
          <w:iCs/>
          <w:noProof/>
          <w:szCs w:val="22"/>
          <w:lang w:val="es-ES"/>
        </w:rPr>
        <w:t>Environmental Reviews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21</w:t>
      </w:r>
      <w:r w:rsidRPr="003338D7">
        <w:rPr>
          <w:rFonts w:asciiTheme="majorHAnsi" w:hAnsiTheme="majorHAnsi"/>
          <w:noProof/>
          <w:szCs w:val="22"/>
          <w:lang w:val="es-ES"/>
        </w:rPr>
        <w:t>(4), 260–292.</w:t>
      </w:r>
    </w:p>
    <w:p w14:paraId="722D50C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Kwak, M., Kami, J. A., &amp; Gepts, P. (2009). The putative Mesoamerican domestication center of </w:t>
      </w:r>
      <w:r w:rsidRPr="003338D7">
        <w:rPr>
          <w:rFonts w:asciiTheme="majorHAnsi" w:hAnsiTheme="majorHAnsi"/>
          <w:i/>
          <w:iCs/>
          <w:noProof/>
          <w:szCs w:val="22"/>
        </w:rPr>
        <w:t>Phaseolus vulgaris</w:t>
      </w:r>
      <w:r w:rsidRPr="003338D7">
        <w:rPr>
          <w:rFonts w:asciiTheme="majorHAnsi" w:hAnsiTheme="majorHAnsi"/>
          <w:noProof/>
          <w:szCs w:val="22"/>
        </w:rPr>
        <w:t xml:space="preserve"> is located in the Lerma-Santiago basin of Mexico. </w:t>
      </w:r>
      <w:r w:rsidRPr="003338D7">
        <w:rPr>
          <w:rFonts w:asciiTheme="majorHAnsi" w:hAnsiTheme="majorHAnsi"/>
          <w:i/>
          <w:iCs/>
          <w:noProof/>
          <w:szCs w:val="22"/>
        </w:rPr>
        <w:t>Crop Science</w:t>
      </w:r>
      <w:r w:rsidRPr="003338D7">
        <w:rPr>
          <w:rFonts w:asciiTheme="majorHAnsi" w:hAnsiTheme="majorHAnsi"/>
          <w:noProof/>
          <w:szCs w:val="22"/>
        </w:rPr>
        <w:t xml:space="preserve">, </w:t>
      </w:r>
      <w:r w:rsidRPr="003338D7">
        <w:rPr>
          <w:rFonts w:asciiTheme="majorHAnsi" w:hAnsiTheme="majorHAnsi"/>
          <w:i/>
          <w:iCs/>
          <w:noProof/>
          <w:szCs w:val="22"/>
        </w:rPr>
        <w:t>49</w:t>
      </w:r>
      <w:r w:rsidRPr="003338D7">
        <w:rPr>
          <w:rFonts w:asciiTheme="majorHAnsi" w:hAnsiTheme="majorHAnsi"/>
          <w:noProof/>
          <w:szCs w:val="22"/>
        </w:rPr>
        <w:t xml:space="preserve">(2), 554–563. </w:t>
      </w:r>
      <w:hyperlink r:id="rId548" w:history="1">
        <w:r w:rsidRPr="003338D7">
          <w:rPr>
            <w:rStyle w:val="Hyperlink"/>
            <w:rFonts w:asciiTheme="majorHAnsi" w:hAnsiTheme="majorHAnsi"/>
            <w:noProof/>
            <w:szCs w:val="22"/>
          </w:rPr>
          <w:t>http://doi.org/10.2135/cropsci2008.07.0421</w:t>
        </w:r>
      </w:hyperlink>
    </w:p>
    <w:p w14:paraId="4F8148D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Kyne, P. M., Carlson, J. K., Ebert, D. A., Fordham, S. V., Bizzarro, J. J., Graham, R. T., Kulka, D. W., Tewes, E. E., Harrison, L. R., &amp; Dulvy, N. K. (Eds.). (2012). </w:t>
      </w:r>
      <w:r w:rsidRPr="003338D7">
        <w:rPr>
          <w:rFonts w:asciiTheme="majorHAnsi" w:hAnsiTheme="majorHAnsi"/>
          <w:i/>
          <w:iCs/>
          <w:noProof/>
          <w:szCs w:val="22"/>
          <w:lang w:val="es-ES"/>
        </w:rPr>
        <w:t>The Conservation Status of North American, Central American, and Caribbean Chondrichthyans</w:t>
      </w:r>
      <w:r w:rsidRPr="003338D7">
        <w:rPr>
          <w:rFonts w:asciiTheme="majorHAnsi" w:hAnsiTheme="majorHAnsi"/>
          <w:noProof/>
          <w:szCs w:val="22"/>
          <w:lang w:val="es-ES"/>
        </w:rPr>
        <w:t>. Vancouver, Canada: IUCN Species Survival Commission Shark Specialist Group.</w:t>
      </w:r>
    </w:p>
    <w:p w14:paraId="2DD4833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La Sorte, F. A., &amp; McKinney, M. L. (2007). Compositional changes over space and time along an occurrence-abundance continuum: anthropogenic homogenization of the North American avifauna. </w:t>
      </w:r>
      <w:r w:rsidRPr="003338D7">
        <w:rPr>
          <w:rFonts w:asciiTheme="majorHAnsi" w:hAnsiTheme="majorHAnsi"/>
          <w:i/>
          <w:iCs/>
          <w:noProof/>
          <w:szCs w:val="22"/>
        </w:rPr>
        <w:t>Journal of Biogeography</w:t>
      </w:r>
      <w:r w:rsidRPr="003338D7">
        <w:rPr>
          <w:rFonts w:asciiTheme="majorHAnsi" w:hAnsiTheme="majorHAnsi"/>
          <w:noProof/>
          <w:szCs w:val="22"/>
        </w:rPr>
        <w:t xml:space="preserve">, </w:t>
      </w:r>
      <w:r w:rsidRPr="003338D7">
        <w:rPr>
          <w:rFonts w:asciiTheme="majorHAnsi" w:hAnsiTheme="majorHAnsi"/>
          <w:i/>
          <w:iCs/>
          <w:noProof/>
          <w:szCs w:val="22"/>
        </w:rPr>
        <w:t>34</w:t>
      </w:r>
      <w:r w:rsidRPr="003338D7">
        <w:rPr>
          <w:rFonts w:asciiTheme="majorHAnsi" w:hAnsiTheme="majorHAnsi"/>
          <w:noProof/>
          <w:szCs w:val="22"/>
        </w:rPr>
        <w:t xml:space="preserve">(12), 2159–2167. </w:t>
      </w:r>
      <w:hyperlink r:id="rId549" w:history="1">
        <w:r w:rsidRPr="003338D7">
          <w:rPr>
            <w:rStyle w:val="Hyperlink"/>
            <w:rFonts w:asciiTheme="majorHAnsi" w:hAnsiTheme="majorHAnsi"/>
            <w:noProof/>
            <w:szCs w:val="22"/>
          </w:rPr>
          <w:t>http://doi.org/10.1111/j.1365-2699.2007.01761.x</w:t>
        </w:r>
      </w:hyperlink>
    </w:p>
    <w:p w14:paraId="4CBB0C1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Lähteenoja, O., Ruokolainen, K., Schulman, L., &amp; Oinonen, M. (2009). Amazonian peatlands: an ignored C sink and potential source. </w:t>
      </w:r>
      <w:r w:rsidRPr="003338D7">
        <w:rPr>
          <w:rFonts w:asciiTheme="majorHAnsi" w:hAnsiTheme="majorHAnsi"/>
          <w:i/>
          <w:iCs/>
          <w:noProof/>
          <w:szCs w:val="22"/>
        </w:rPr>
        <w:t>Global Change Biology</w:t>
      </w:r>
      <w:r w:rsidRPr="003338D7">
        <w:rPr>
          <w:rFonts w:asciiTheme="majorHAnsi" w:hAnsiTheme="majorHAnsi"/>
          <w:noProof/>
          <w:szCs w:val="22"/>
        </w:rPr>
        <w:t xml:space="preserve">, </w:t>
      </w:r>
      <w:r w:rsidRPr="003338D7">
        <w:rPr>
          <w:rFonts w:asciiTheme="majorHAnsi" w:hAnsiTheme="majorHAnsi"/>
          <w:i/>
          <w:iCs/>
          <w:noProof/>
          <w:szCs w:val="22"/>
        </w:rPr>
        <w:t>15</w:t>
      </w:r>
      <w:r w:rsidRPr="003338D7">
        <w:rPr>
          <w:rFonts w:asciiTheme="majorHAnsi" w:hAnsiTheme="majorHAnsi"/>
          <w:noProof/>
          <w:szCs w:val="22"/>
        </w:rPr>
        <w:t xml:space="preserve">(9), 2311–2320. </w:t>
      </w:r>
      <w:hyperlink r:id="rId550" w:history="1">
        <w:r w:rsidRPr="003338D7">
          <w:rPr>
            <w:rStyle w:val="Hyperlink"/>
            <w:rFonts w:asciiTheme="majorHAnsi" w:hAnsiTheme="majorHAnsi"/>
            <w:noProof/>
            <w:szCs w:val="22"/>
          </w:rPr>
          <w:t>http://doi.org/10.1111/j.1365-2486.2009.01920.x</w:t>
        </w:r>
      </w:hyperlink>
    </w:p>
    <w:p w14:paraId="3ECC3EF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Lamanna, C., Blonder, B., Violle, C., Kraft, N. J. B., Sandel, B., Imova, I., Donoghue, J. C., Svenning, J.-C., McGill, B. J., Boyle, B., Buzzard, V., Dolins, S., Jorgensen, P. M., Marcuse-Kubitza, A., Morueta-Holme, N., Peet, R. K., Piel, W. H., Regetz, J., Schildhauer, M., Spencer, N., Thiers, B., Wiser, S. K., &amp; Enquist, B. J. (2014). Functional trait space and the latitudinal diversity gradient.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111</w:t>
      </w:r>
      <w:r w:rsidRPr="003338D7">
        <w:rPr>
          <w:rFonts w:asciiTheme="majorHAnsi" w:hAnsiTheme="majorHAnsi"/>
          <w:noProof/>
          <w:szCs w:val="22"/>
          <w:lang w:val="es-ES"/>
        </w:rPr>
        <w:t xml:space="preserve">(38), 13745–13750. </w:t>
      </w:r>
      <w:hyperlink r:id="rId551" w:history="1">
        <w:r w:rsidRPr="003338D7">
          <w:rPr>
            <w:rStyle w:val="Hyperlink"/>
            <w:rFonts w:asciiTheme="majorHAnsi" w:hAnsiTheme="majorHAnsi"/>
            <w:noProof/>
            <w:szCs w:val="22"/>
            <w:lang w:val="es-ES"/>
          </w:rPr>
          <w:t>https://doi.org/10.1073/pnas.1317722111</w:t>
        </w:r>
      </w:hyperlink>
    </w:p>
    <w:p w14:paraId="3C97D3A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Lamoreux, J. F., McKnight, M. W., &amp; Hernandez, R. C. (2015). </w:t>
      </w:r>
      <w:r w:rsidRPr="003338D7">
        <w:rPr>
          <w:rFonts w:asciiTheme="majorHAnsi" w:hAnsiTheme="majorHAnsi"/>
          <w:i/>
          <w:iCs/>
          <w:noProof/>
          <w:szCs w:val="22"/>
        </w:rPr>
        <w:t>Amphibian Alliance for Zero Extinction Sites in Chiapas and Oaxaca</w:t>
      </w:r>
      <w:r w:rsidRPr="003338D7">
        <w:rPr>
          <w:rFonts w:asciiTheme="majorHAnsi" w:hAnsiTheme="majorHAnsi"/>
          <w:noProof/>
          <w:szCs w:val="22"/>
        </w:rPr>
        <w:t>. Gland, Switzerland: IUCN.</w:t>
      </w:r>
    </w:p>
    <w:p w14:paraId="279EC22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Lanfranco, D., &amp; Dungey, H. S. (2001). Insect damage in </w:t>
      </w:r>
      <w:r w:rsidRPr="003338D7">
        <w:rPr>
          <w:rFonts w:asciiTheme="majorHAnsi" w:hAnsiTheme="majorHAnsi"/>
          <w:i/>
          <w:iCs/>
          <w:noProof/>
          <w:szCs w:val="22"/>
        </w:rPr>
        <w:t>Eucalyptus</w:t>
      </w:r>
      <w:r w:rsidRPr="003338D7">
        <w:rPr>
          <w:rFonts w:asciiTheme="majorHAnsi" w:hAnsiTheme="majorHAnsi"/>
          <w:noProof/>
          <w:szCs w:val="22"/>
        </w:rPr>
        <w:t xml:space="preserve">: a review of plantations in Chile. </w:t>
      </w:r>
      <w:r w:rsidRPr="003338D7">
        <w:rPr>
          <w:rFonts w:asciiTheme="majorHAnsi" w:hAnsiTheme="majorHAnsi"/>
          <w:i/>
          <w:iCs/>
          <w:noProof/>
          <w:szCs w:val="22"/>
        </w:rPr>
        <w:t>Austral Ecology</w:t>
      </w:r>
      <w:r w:rsidRPr="003338D7">
        <w:rPr>
          <w:rFonts w:asciiTheme="majorHAnsi" w:hAnsiTheme="majorHAnsi"/>
          <w:noProof/>
          <w:szCs w:val="22"/>
        </w:rPr>
        <w:t xml:space="preserve">, </w:t>
      </w:r>
      <w:r w:rsidRPr="003338D7">
        <w:rPr>
          <w:rFonts w:asciiTheme="majorHAnsi" w:hAnsiTheme="majorHAnsi"/>
          <w:i/>
          <w:iCs/>
          <w:noProof/>
          <w:szCs w:val="22"/>
        </w:rPr>
        <w:t>26</w:t>
      </w:r>
      <w:r w:rsidRPr="003338D7">
        <w:rPr>
          <w:rFonts w:asciiTheme="majorHAnsi" w:hAnsiTheme="majorHAnsi"/>
          <w:noProof/>
          <w:szCs w:val="22"/>
        </w:rPr>
        <w:t xml:space="preserve">(5), 477–481. </w:t>
      </w:r>
      <w:hyperlink r:id="rId552" w:history="1">
        <w:r w:rsidRPr="003338D7">
          <w:rPr>
            <w:rStyle w:val="Hyperlink"/>
            <w:rFonts w:asciiTheme="majorHAnsi" w:hAnsiTheme="majorHAnsi"/>
            <w:noProof/>
            <w:szCs w:val="22"/>
          </w:rPr>
          <w:t>http://doi.org/10.1046/j.1442-9993.2001.01131.x</w:t>
        </w:r>
      </w:hyperlink>
    </w:p>
    <w:p w14:paraId="108AEC8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Lannes, L. S., Bustamante, M. M. C., Edwards, P. J., &amp; Olde Venterink, H. (2016). Native and alien herbaceous plants in the Brazilian Cerrado are (co-) limited by different nutrients. </w:t>
      </w:r>
      <w:r w:rsidRPr="003338D7">
        <w:rPr>
          <w:rFonts w:asciiTheme="majorHAnsi" w:hAnsiTheme="majorHAnsi"/>
          <w:i/>
          <w:iCs/>
          <w:noProof/>
          <w:szCs w:val="22"/>
        </w:rPr>
        <w:t>Plant and Soil</w:t>
      </w:r>
      <w:r w:rsidRPr="003338D7">
        <w:rPr>
          <w:rFonts w:asciiTheme="majorHAnsi" w:hAnsiTheme="majorHAnsi"/>
          <w:noProof/>
          <w:szCs w:val="22"/>
        </w:rPr>
        <w:t xml:space="preserve">, </w:t>
      </w:r>
      <w:r w:rsidRPr="003338D7">
        <w:rPr>
          <w:rFonts w:asciiTheme="majorHAnsi" w:hAnsiTheme="majorHAnsi"/>
          <w:i/>
          <w:iCs/>
          <w:noProof/>
          <w:szCs w:val="22"/>
        </w:rPr>
        <w:t>400</w:t>
      </w:r>
      <w:r w:rsidRPr="003338D7">
        <w:rPr>
          <w:rFonts w:asciiTheme="majorHAnsi" w:hAnsiTheme="majorHAnsi"/>
          <w:noProof/>
          <w:szCs w:val="22"/>
        </w:rPr>
        <w:t xml:space="preserve">(1–2), 231–243. </w:t>
      </w:r>
      <w:hyperlink r:id="rId553" w:history="1">
        <w:r w:rsidRPr="003338D7">
          <w:rPr>
            <w:rStyle w:val="Hyperlink"/>
            <w:rFonts w:asciiTheme="majorHAnsi" w:hAnsiTheme="majorHAnsi"/>
            <w:noProof/>
            <w:szCs w:val="22"/>
          </w:rPr>
          <w:t>http://doi.org/10.1007/s11104-015-2725-9</w:t>
        </w:r>
      </w:hyperlink>
    </w:p>
    <w:p w14:paraId="3CA167F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Lara, A., Little, C., Urrutia, R., McPhee, J., Álvarez-Garretón, C., Oyarzún, C., Soto, D., Donoso, P., Nahuelhual, L., Pino, M., &amp; Arismendi, I. (2009). Assessment of ecosystem services as an opportunity for the conservation and management of native forests in Chile. </w:t>
      </w:r>
      <w:r w:rsidRPr="003338D7">
        <w:rPr>
          <w:rFonts w:asciiTheme="majorHAnsi" w:hAnsiTheme="majorHAnsi"/>
          <w:i/>
          <w:iCs/>
          <w:noProof/>
          <w:szCs w:val="22"/>
          <w:lang w:val="es-ES"/>
        </w:rPr>
        <w:t>Forest Ecology and Management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258</w:t>
      </w:r>
      <w:r w:rsidRPr="003338D7">
        <w:rPr>
          <w:rFonts w:asciiTheme="majorHAnsi" w:hAnsiTheme="majorHAnsi"/>
          <w:noProof/>
          <w:szCs w:val="22"/>
          <w:lang w:val="es-ES"/>
        </w:rPr>
        <w:t xml:space="preserve">(4), 415–424. </w:t>
      </w:r>
      <w:hyperlink r:id="rId554" w:history="1">
        <w:r w:rsidRPr="003338D7">
          <w:rPr>
            <w:rStyle w:val="Hyperlink"/>
            <w:rFonts w:asciiTheme="majorHAnsi" w:hAnsiTheme="majorHAnsi"/>
            <w:noProof/>
            <w:szCs w:val="22"/>
            <w:lang w:val="es-ES"/>
          </w:rPr>
          <w:t>https://doi.org/10.1016/j.foreco.2009.01.004</w:t>
        </w:r>
      </w:hyperlink>
    </w:p>
    <w:p w14:paraId="171D3B0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Larios, C., Casas, A., Vallejo, M., Moreno-Calles, A. I., &amp; Blancas, J. (2013). Plant management and biodiversity conservation in Náhuatl homegardens of the Tehuacán Valley, Mexico. </w:t>
      </w:r>
      <w:r w:rsidRPr="003338D7">
        <w:rPr>
          <w:rFonts w:asciiTheme="majorHAnsi" w:hAnsiTheme="majorHAnsi"/>
          <w:i/>
          <w:iCs/>
          <w:noProof/>
          <w:szCs w:val="22"/>
        </w:rPr>
        <w:t>Journal of Ethnobiology and Ethnomedicine</w:t>
      </w:r>
      <w:r w:rsidRPr="003338D7">
        <w:rPr>
          <w:rFonts w:asciiTheme="majorHAnsi" w:hAnsiTheme="majorHAnsi"/>
          <w:noProof/>
          <w:szCs w:val="22"/>
        </w:rPr>
        <w:t xml:space="preserve">, </w:t>
      </w:r>
      <w:r w:rsidRPr="003338D7">
        <w:rPr>
          <w:rFonts w:asciiTheme="majorHAnsi" w:hAnsiTheme="majorHAnsi"/>
          <w:i/>
          <w:iCs/>
          <w:noProof/>
          <w:szCs w:val="22"/>
        </w:rPr>
        <w:t>9</w:t>
      </w:r>
      <w:r w:rsidRPr="003338D7">
        <w:rPr>
          <w:rFonts w:asciiTheme="majorHAnsi" w:hAnsiTheme="majorHAnsi"/>
          <w:noProof/>
          <w:szCs w:val="22"/>
        </w:rPr>
        <w:t xml:space="preserve">(74), 16. </w:t>
      </w:r>
      <w:hyperlink r:id="rId555" w:history="1">
        <w:r w:rsidRPr="003338D7">
          <w:rPr>
            <w:rStyle w:val="Hyperlink"/>
            <w:rFonts w:asciiTheme="majorHAnsi" w:hAnsiTheme="majorHAnsi"/>
            <w:noProof/>
            <w:szCs w:val="22"/>
          </w:rPr>
          <w:t>http://doi.org/10.1186/1746-4269-9-74</w:t>
        </w:r>
      </w:hyperlink>
    </w:p>
    <w:p w14:paraId="576F4BE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Larridon, I., Shaw, K., Cisternas, M. A., Paizanni Guillén, A., Sharrock, S., Oldfield, S., Goetghebeur, P., &amp; Samain, M. S. (2014). Is there a future for the Cactaceae genera </w:t>
      </w:r>
      <w:r w:rsidRPr="003338D7">
        <w:rPr>
          <w:rFonts w:asciiTheme="majorHAnsi" w:hAnsiTheme="majorHAnsi"/>
          <w:i/>
          <w:iCs/>
          <w:noProof/>
          <w:szCs w:val="22"/>
          <w:lang w:val="es-ES"/>
        </w:rPr>
        <w:t>Copiapoa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Eriosyce</w:t>
      </w:r>
      <w:r w:rsidRPr="003338D7">
        <w:rPr>
          <w:rFonts w:asciiTheme="majorHAnsi" w:hAnsiTheme="majorHAnsi"/>
          <w:noProof/>
          <w:szCs w:val="22"/>
          <w:lang w:val="es-ES"/>
        </w:rPr>
        <w:t xml:space="preserve"> and </w:t>
      </w:r>
      <w:r w:rsidRPr="003338D7">
        <w:rPr>
          <w:rFonts w:asciiTheme="majorHAnsi" w:hAnsiTheme="majorHAnsi"/>
          <w:i/>
          <w:iCs/>
          <w:noProof/>
          <w:szCs w:val="22"/>
          <w:lang w:val="es-ES"/>
        </w:rPr>
        <w:t>Eulychnia</w:t>
      </w:r>
      <w:r w:rsidRPr="003338D7">
        <w:rPr>
          <w:rFonts w:asciiTheme="majorHAnsi" w:hAnsiTheme="majorHAnsi"/>
          <w:noProof/>
          <w:szCs w:val="22"/>
          <w:lang w:val="es-ES"/>
        </w:rPr>
        <w:t xml:space="preserve">? A status report of a prickly situation. </w:t>
      </w:r>
      <w:r w:rsidRPr="003338D7">
        <w:rPr>
          <w:rFonts w:asciiTheme="majorHAnsi" w:hAnsiTheme="majorHAnsi"/>
          <w:i/>
          <w:iCs/>
          <w:noProof/>
          <w:szCs w:val="22"/>
          <w:lang w:val="es-ES"/>
        </w:rPr>
        <w:t>Biodiversity and Conservation</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23</w:t>
      </w:r>
      <w:r w:rsidRPr="003338D7">
        <w:rPr>
          <w:rFonts w:asciiTheme="majorHAnsi" w:hAnsiTheme="majorHAnsi"/>
          <w:noProof/>
          <w:szCs w:val="22"/>
          <w:lang w:val="es-ES"/>
        </w:rPr>
        <w:t xml:space="preserve">(5), 1249–1287. </w:t>
      </w:r>
      <w:hyperlink r:id="rId556" w:history="1">
        <w:r w:rsidRPr="003338D7">
          <w:rPr>
            <w:rStyle w:val="Hyperlink"/>
            <w:rFonts w:asciiTheme="majorHAnsi" w:hAnsiTheme="majorHAnsi"/>
            <w:noProof/>
            <w:szCs w:val="22"/>
            <w:lang w:val="es-ES"/>
          </w:rPr>
          <w:t>https://doi.org/10.1007/s10531-014-0664-z</w:t>
        </w:r>
      </w:hyperlink>
    </w:p>
    <w:p w14:paraId="63BF78C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Larridon, I., Walter, H. E., Guerrero, P. C., Duarte, M., Cisternas, M. A., Hernández, C. P., Bauters, K., Asselman, P., Goetghebeur, P., &amp; Samain, M. S. (2015). An integrative approach to understanding the evolution and diversity of </w:t>
      </w:r>
      <w:r w:rsidRPr="003338D7">
        <w:rPr>
          <w:rFonts w:asciiTheme="majorHAnsi" w:hAnsiTheme="majorHAnsi"/>
          <w:i/>
          <w:iCs/>
          <w:noProof/>
          <w:szCs w:val="22"/>
          <w:lang w:val="es-ES"/>
        </w:rPr>
        <w:t>Copiapoa</w:t>
      </w:r>
      <w:r w:rsidRPr="003338D7">
        <w:rPr>
          <w:rFonts w:asciiTheme="majorHAnsi" w:hAnsiTheme="majorHAnsi"/>
          <w:noProof/>
          <w:szCs w:val="22"/>
          <w:lang w:val="es-ES"/>
        </w:rPr>
        <w:t xml:space="preserve"> (Cactaceae), a threatened endemic Chilean genus from the Atacama desert. </w:t>
      </w:r>
      <w:r w:rsidRPr="003338D7">
        <w:rPr>
          <w:rFonts w:asciiTheme="majorHAnsi" w:hAnsiTheme="majorHAnsi"/>
          <w:i/>
          <w:iCs/>
          <w:noProof/>
          <w:szCs w:val="22"/>
          <w:lang w:val="es-ES"/>
        </w:rPr>
        <w:t>American Journal of Botany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102</w:t>
      </w:r>
      <w:r w:rsidRPr="003338D7">
        <w:rPr>
          <w:rFonts w:asciiTheme="majorHAnsi" w:hAnsiTheme="majorHAnsi"/>
          <w:noProof/>
          <w:szCs w:val="22"/>
          <w:lang w:val="es-ES"/>
        </w:rPr>
        <w:t xml:space="preserve">(9), 1506–1520. </w:t>
      </w:r>
      <w:hyperlink r:id="rId557" w:history="1">
        <w:r w:rsidRPr="003338D7">
          <w:rPr>
            <w:rStyle w:val="Hyperlink"/>
            <w:rFonts w:asciiTheme="majorHAnsi" w:hAnsiTheme="majorHAnsi"/>
            <w:noProof/>
            <w:szCs w:val="22"/>
            <w:lang w:val="es-ES"/>
          </w:rPr>
          <w:t>https://doi.org/10.3732/ajb.1500168</w:t>
        </w:r>
      </w:hyperlink>
    </w:p>
    <w:p w14:paraId="4389CD1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Laurance, W. F. (2010). Habitat destruction: Death by a thousand cuts. In N. S. Sodhi &amp; P. R. Ehrlich (Eds.), </w:t>
      </w:r>
      <w:r w:rsidRPr="003338D7">
        <w:rPr>
          <w:rFonts w:asciiTheme="majorHAnsi" w:hAnsiTheme="majorHAnsi"/>
          <w:i/>
          <w:iCs/>
          <w:noProof/>
          <w:szCs w:val="22"/>
        </w:rPr>
        <w:t>Conservation Biology for All</w:t>
      </w:r>
      <w:r w:rsidRPr="003338D7">
        <w:rPr>
          <w:rFonts w:asciiTheme="majorHAnsi" w:hAnsiTheme="majorHAnsi"/>
          <w:noProof/>
          <w:szCs w:val="22"/>
        </w:rPr>
        <w:t xml:space="preserve"> (pp. 73–87). New York, USA: Oxford University Press.</w:t>
      </w:r>
    </w:p>
    <w:p w14:paraId="188E319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Laurance, W. F., Camargo, J. L. C., Fearnside, P. M., Lovejoy, T. E., Williamson, G. B., Mesquita, R. C. G., Meyer, C. F. J., Bobrowiec, P. E. D., &amp; Laurance, S. G. W. (2017). An Amazonian rainforest and its fragments as a laboratory of global change. </w:t>
      </w:r>
      <w:r w:rsidRPr="003338D7">
        <w:rPr>
          <w:rFonts w:asciiTheme="majorHAnsi" w:hAnsiTheme="majorHAnsi"/>
          <w:i/>
          <w:iCs/>
          <w:noProof/>
          <w:szCs w:val="22"/>
          <w:lang w:val="es-ES"/>
        </w:rPr>
        <w:t>Biological Review</w:t>
      </w:r>
      <w:r w:rsidRPr="003338D7">
        <w:rPr>
          <w:rFonts w:asciiTheme="majorHAnsi" w:hAnsiTheme="majorHAnsi"/>
          <w:noProof/>
          <w:szCs w:val="22"/>
          <w:lang w:val="es-ES"/>
        </w:rPr>
        <w:t xml:space="preserve">. </w:t>
      </w:r>
      <w:hyperlink r:id="rId558" w:history="1">
        <w:r w:rsidRPr="003338D7">
          <w:rPr>
            <w:rStyle w:val="Hyperlink"/>
            <w:rFonts w:asciiTheme="majorHAnsi" w:hAnsiTheme="majorHAnsi"/>
            <w:noProof/>
            <w:szCs w:val="22"/>
            <w:lang w:val="es-ES"/>
          </w:rPr>
          <w:t>https://doi.org/10.1111/brv.12343</w:t>
        </w:r>
      </w:hyperlink>
    </w:p>
    <w:p w14:paraId="221245B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Laurance, W. F., Goosem, M., &amp; Laurance, S. G. W. (2009). Impacts of roads and linear clearings on tropical forests. </w:t>
      </w:r>
      <w:r w:rsidRPr="003338D7">
        <w:rPr>
          <w:rFonts w:asciiTheme="majorHAnsi" w:hAnsiTheme="majorHAnsi"/>
          <w:i/>
          <w:iCs/>
          <w:noProof/>
          <w:szCs w:val="22"/>
        </w:rPr>
        <w:t>Trends in Ecology and Evolution</w:t>
      </w:r>
      <w:r w:rsidRPr="003338D7">
        <w:rPr>
          <w:rFonts w:asciiTheme="majorHAnsi" w:hAnsiTheme="majorHAnsi"/>
          <w:noProof/>
          <w:szCs w:val="22"/>
        </w:rPr>
        <w:t xml:space="preserve">, </w:t>
      </w:r>
      <w:r w:rsidRPr="003338D7">
        <w:rPr>
          <w:rFonts w:asciiTheme="majorHAnsi" w:hAnsiTheme="majorHAnsi"/>
          <w:i/>
          <w:iCs/>
          <w:noProof/>
          <w:szCs w:val="22"/>
        </w:rPr>
        <w:t>24</w:t>
      </w:r>
      <w:r w:rsidRPr="003338D7">
        <w:rPr>
          <w:rFonts w:asciiTheme="majorHAnsi" w:hAnsiTheme="majorHAnsi"/>
          <w:noProof/>
          <w:szCs w:val="22"/>
        </w:rPr>
        <w:t xml:space="preserve">(12), 659–669. </w:t>
      </w:r>
      <w:hyperlink r:id="rId559" w:history="1">
        <w:r w:rsidRPr="003338D7">
          <w:rPr>
            <w:rStyle w:val="Hyperlink"/>
            <w:rFonts w:asciiTheme="majorHAnsi" w:hAnsiTheme="majorHAnsi"/>
            <w:noProof/>
            <w:szCs w:val="22"/>
          </w:rPr>
          <w:t>http://doi.org/10.1016/j.tree.2009.06.009</w:t>
        </w:r>
      </w:hyperlink>
    </w:p>
    <w:p w14:paraId="3208D2E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Lawrence, D., &amp; Vandecar, K. (2015). Effects of tropical deforestation on climate and agriculture. </w:t>
      </w:r>
      <w:r w:rsidRPr="003338D7">
        <w:rPr>
          <w:rFonts w:asciiTheme="majorHAnsi" w:hAnsiTheme="majorHAnsi"/>
          <w:i/>
          <w:iCs/>
          <w:noProof/>
          <w:szCs w:val="22"/>
        </w:rPr>
        <w:t>Nature Climate Change</w:t>
      </w:r>
      <w:r w:rsidRPr="003338D7">
        <w:rPr>
          <w:rFonts w:asciiTheme="majorHAnsi" w:hAnsiTheme="majorHAnsi"/>
          <w:noProof/>
          <w:szCs w:val="22"/>
        </w:rPr>
        <w:t xml:space="preserve">, </w:t>
      </w:r>
      <w:r w:rsidRPr="003338D7">
        <w:rPr>
          <w:rFonts w:asciiTheme="majorHAnsi" w:hAnsiTheme="majorHAnsi"/>
          <w:i/>
          <w:iCs/>
          <w:noProof/>
          <w:szCs w:val="22"/>
        </w:rPr>
        <w:t>5</w:t>
      </w:r>
      <w:r w:rsidRPr="003338D7">
        <w:rPr>
          <w:rFonts w:asciiTheme="majorHAnsi" w:hAnsiTheme="majorHAnsi"/>
          <w:noProof/>
          <w:szCs w:val="22"/>
        </w:rPr>
        <w:t xml:space="preserve">(1), 27–36. </w:t>
      </w:r>
      <w:hyperlink r:id="rId560" w:history="1">
        <w:r w:rsidRPr="003338D7">
          <w:rPr>
            <w:rStyle w:val="Hyperlink"/>
            <w:rFonts w:asciiTheme="majorHAnsi" w:hAnsiTheme="majorHAnsi"/>
            <w:noProof/>
            <w:szCs w:val="22"/>
          </w:rPr>
          <w:t>http://doi.org/10.1038/nclimate2430</w:t>
        </w:r>
      </w:hyperlink>
    </w:p>
    <w:p w14:paraId="17907AF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Leach, M. K., &amp; Givnish, T. J. (1996). Ecological determinants of species loss in remnant prairies.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273</w:t>
      </w:r>
      <w:r w:rsidRPr="003338D7">
        <w:rPr>
          <w:rFonts w:asciiTheme="majorHAnsi" w:hAnsiTheme="majorHAnsi"/>
          <w:noProof/>
          <w:szCs w:val="22"/>
        </w:rPr>
        <w:t xml:space="preserve">(5281), 1555–1558. </w:t>
      </w:r>
      <w:hyperlink r:id="rId561" w:history="1">
        <w:r w:rsidRPr="003338D7">
          <w:rPr>
            <w:rStyle w:val="Hyperlink"/>
            <w:rFonts w:asciiTheme="majorHAnsi" w:hAnsiTheme="majorHAnsi"/>
            <w:noProof/>
            <w:szCs w:val="22"/>
          </w:rPr>
          <w:t>http://doi.org/10.1126/science.273.5281.1555</w:t>
        </w:r>
      </w:hyperlink>
    </w:p>
    <w:p w14:paraId="1CCAC17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Leal-Flórez, J. (2008). </w:t>
      </w:r>
      <w:r w:rsidRPr="003338D7">
        <w:rPr>
          <w:rFonts w:asciiTheme="majorHAnsi" w:hAnsiTheme="majorHAnsi"/>
          <w:i/>
          <w:iCs/>
          <w:noProof/>
          <w:szCs w:val="22"/>
        </w:rPr>
        <w:t>Impacts of non-native fishes on the fish community and the fishery of the Ciénaga Grande de Santa Marta estuary, northern Colombia</w:t>
      </w:r>
      <w:r w:rsidRPr="003338D7">
        <w:rPr>
          <w:rFonts w:asciiTheme="majorHAnsi" w:hAnsiTheme="majorHAnsi"/>
          <w:noProof/>
          <w:szCs w:val="22"/>
        </w:rPr>
        <w:t>. Doctoral dissertation, Ph. D. Thesis, University of Bremen.</w:t>
      </w:r>
    </w:p>
    <w:p w14:paraId="296C69EA" w14:textId="77777777" w:rsidR="00945A59" w:rsidRPr="003338D7" w:rsidRDefault="00945A59" w:rsidP="000A77D6">
      <w:pPr>
        <w:widowControl w:val="0"/>
        <w:autoSpaceDE w:val="0"/>
        <w:autoSpaceDN w:val="0"/>
        <w:adjustRightInd w:val="0"/>
        <w:ind w:left="851" w:hanging="851"/>
        <w:rPr>
          <w:rFonts w:asciiTheme="majorHAnsi" w:eastAsiaTheme="minorHAnsi" w:hAnsiTheme="majorHAnsi"/>
          <w:noProof/>
          <w:szCs w:val="22"/>
        </w:rPr>
      </w:pPr>
      <w:r w:rsidRPr="003338D7">
        <w:rPr>
          <w:rFonts w:asciiTheme="majorHAnsi" w:eastAsiaTheme="minorHAnsi" w:hAnsiTheme="majorHAnsi"/>
          <w:noProof/>
          <w:szCs w:val="22"/>
        </w:rPr>
        <w:t xml:space="preserve">Leão, Z., R. Kikuchi, and M. Oliveira. 2010. Status of Eastern Brazilian coral reefs in time of climate changes. </w:t>
      </w:r>
      <w:r w:rsidRPr="003338D7">
        <w:rPr>
          <w:rFonts w:asciiTheme="majorHAnsi" w:eastAsiaTheme="minorHAnsi" w:hAnsiTheme="majorHAnsi"/>
          <w:i/>
          <w:noProof/>
          <w:szCs w:val="22"/>
        </w:rPr>
        <w:t>Pan-American Journal of Aquatic Sciences,</w:t>
      </w:r>
      <w:r w:rsidRPr="003338D7">
        <w:rPr>
          <w:rFonts w:asciiTheme="majorHAnsi" w:eastAsiaTheme="minorHAnsi" w:hAnsiTheme="majorHAnsi"/>
          <w:noProof/>
          <w:szCs w:val="22"/>
        </w:rPr>
        <w:t xml:space="preserve"> </w:t>
      </w:r>
      <w:r w:rsidRPr="003338D7">
        <w:rPr>
          <w:rFonts w:asciiTheme="majorHAnsi" w:eastAsiaTheme="minorHAnsi" w:hAnsiTheme="majorHAnsi"/>
          <w:bCs/>
          <w:noProof/>
          <w:szCs w:val="22"/>
        </w:rPr>
        <w:t>5</w:t>
      </w:r>
      <w:r w:rsidRPr="003338D7">
        <w:rPr>
          <w:rFonts w:asciiTheme="majorHAnsi" w:eastAsiaTheme="minorHAnsi" w:hAnsiTheme="majorHAnsi"/>
          <w:noProof/>
          <w:szCs w:val="22"/>
        </w:rPr>
        <w:t>:224-235.</w:t>
      </w:r>
    </w:p>
    <w:p w14:paraId="3F2809A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Le Maitre, D. C., Gush, M. B., &amp; Dzikiti, S. (2015). Impacts of invading alien plant species on water flows at stand and catchment scales. </w:t>
      </w:r>
      <w:r w:rsidRPr="003338D7">
        <w:rPr>
          <w:rFonts w:asciiTheme="majorHAnsi" w:hAnsiTheme="majorHAnsi"/>
          <w:i/>
          <w:iCs/>
          <w:noProof/>
          <w:szCs w:val="22"/>
        </w:rPr>
        <w:t>AoB Plants</w:t>
      </w:r>
      <w:r w:rsidRPr="003338D7">
        <w:rPr>
          <w:rFonts w:asciiTheme="majorHAnsi" w:hAnsiTheme="majorHAnsi"/>
          <w:noProof/>
          <w:szCs w:val="22"/>
        </w:rPr>
        <w:t xml:space="preserve">, </w:t>
      </w:r>
      <w:r w:rsidRPr="003338D7">
        <w:rPr>
          <w:rFonts w:asciiTheme="majorHAnsi" w:hAnsiTheme="majorHAnsi"/>
          <w:i/>
          <w:iCs/>
          <w:noProof/>
          <w:szCs w:val="22"/>
        </w:rPr>
        <w:t>7</w:t>
      </w:r>
      <w:r w:rsidRPr="003338D7">
        <w:rPr>
          <w:rFonts w:asciiTheme="majorHAnsi" w:hAnsiTheme="majorHAnsi"/>
          <w:noProof/>
          <w:szCs w:val="22"/>
        </w:rPr>
        <w:t xml:space="preserve">(1), plv043. </w:t>
      </w:r>
      <w:hyperlink r:id="rId562" w:history="1">
        <w:r w:rsidRPr="003338D7">
          <w:rPr>
            <w:rStyle w:val="Hyperlink"/>
            <w:rFonts w:asciiTheme="majorHAnsi" w:hAnsiTheme="majorHAnsi"/>
            <w:noProof/>
            <w:szCs w:val="22"/>
          </w:rPr>
          <w:t>http://doi.org/10.1093/aobpla/plv043</w:t>
        </w:r>
      </w:hyperlink>
    </w:p>
    <w:p w14:paraId="7E06343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Le Saout, S., Hoffmann, M., Shi, Y., Hughes, A., Bernard, C., Brooks, T. M., Bertzky, B., Butchart, S. H. M., Stuart, S. N., Badman, T., &amp; Rodrigues, A. S. L. (2013). Protected areas and effective biodiversity conservation.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342</w:t>
      </w:r>
      <w:r w:rsidRPr="003338D7">
        <w:rPr>
          <w:rFonts w:asciiTheme="majorHAnsi" w:hAnsiTheme="majorHAnsi"/>
          <w:noProof/>
          <w:szCs w:val="22"/>
          <w:lang w:val="es-ES"/>
        </w:rPr>
        <w:t xml:space="preserve">(6160), 803–805. </w:t>
      </w:r>
      <w:hyperlink r:id="rId563" w:history="1">
        <w:r w:rsidRPr="003338D7">
          <w:rPr>
            <w:rStyle w:val="Hyperlink"/>
            <w:rFonts w:asciiTheme="majorHAnsi" w:hAnsiTheme="majorHAnsi"/>
            <w:noProof/>
            <w:szCs w:val="22"/>
            <w:lang w:val="es-ES"/>
          </w:rPr>
          <w:t>https://doi.org/10.1126/science.1239268</w:t>
        </w:r>
      </w:hyperlink>
    </w:p>
    <w:p w14:paraId="4F0EDE5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Lefcheck, J. S., Byrnes, J. E. K., Isbell, F., Gamfeldt, L., Griffin, J. N., Eisenhauer, N., Hensel, M. J. S., Hector, A., Cardinale, B. J., &amp; Duffy, J. E. (2015). Biodiversity enhances ecosystem multifunctionality across trophic levels and habitats. </w:t>
      </w:r>
      <w:r w:rsidRPr="003338D7">
        <w:rPr>
          <w:rFonts w:asciiTheme="majorHAnsi" w:hAnsiTheme="majorHAnsi"/>
          <w:i/>
          <w:iCs/>
          <w:noProof/>
          <w:szCs w:val="22"/>
          <w:lang w:val="es-ES"/>
        </w:rPr>
        <w:t>Nature Communications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w:t>
      </w:r>
      <w:r w:rsidRPr="003338D7">
        <w:rPr>
          <w:rFonts w:asciiTheme="majorHAnsi" w:hAnsiTheme="majorHAnsi"/>
          <w:noProof/>
          <w:szCs w:val="22"/>
          <w:lang w:val="es-ES"/>
        </w:rPr>
        <w:t xml:space="preserve">, 6936. </w:t>
      </w:r>
      <w:hyperlink r:id="rId564" w:history="1">
        <w:r w:rsidRPr="003338D7">
          <w:rPr>
            <w:rStyle w:val="Hyperlink"/>
            <w:rFonts w:asciiTheme="majorHAnsi" w:hAnsiTheme="majorHAnsi"/>
            <w:noProof/>
            <w:szCs w:val="22"/>
            <w:lang w:val="es-ES"/>
          </w:rPr>
          <w:t>https://doi.org/10.1038/ncomms7936</w:t>
        </w:r>
      </w:hyperlink>
    </w:p>
    <w:p w14:paraId="0874122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Leishman, M. R., Westoby, M., &amp; Jurado, E. (1995). Correlates of seed size variation: a comparison among five temperate floras. </w:t>
      </w:r>
      <w:r w:rsidRPr="003338D7">
        <w:rPr>
          <w:rFonts w:asciiTheme="majorHAnsi" w:hAnsiTheme="majorHAnsi"/>
          <w:i/>
          <w:iCs/>
          <w:noProof/>
          <w:szCs w:val="22"/>
        </w:rPr>
        <w:t>Journal of Ecology</w:t>
      </w:r>
      <w:r w:rsidRPr="003338D7">
        <w:rPr>
          <w:rFonts w:asciiTheme="majorHAnsi" w:hAnsiTheme="majorHAnsi"/>
          <w:noProof/>
          <w:szCs w:val="22"/>
        </w:rPr>
        <w:t xml:space="preserve">, </w:t>
      </w:r>
      <w:r w:rsidRPr="003338D7">
        <w:rPr>
          <w:rFonts w:asciiTheme="majorHAnsi" w:hAnsiTheme="majorHAnsi"/>
          <w:i/>
          <w:iCs/>
          <w:noProof/>
          <w:szCs w:val="22"/>
        </w:rPr>
        <w:t>83</w:t>
      </w:r>
      <w:r w:rsidRPr="003338D7">
        <w:rPr>
          <w:rFonts w:asciiTheme="majorHAnsi" w:hAnsiTheme="majorHAnsi"/>
          <w:noProof/>
          <w:szCs w:val="22"/>
        </w:rPr>
        <w:t xml:space="preserve">(3), 517–529. </w:t>
      </w:r>
      <w:hyperlink r:id="rId565" w:history="1">
        <w:r w:rsidRPr="003338D7">
          <w:rPr>
            <w:rStyle w:val="Hyperlink"/>
            <w:rFonts w:asciiTheme="majorHAnsi" w:hAnsiTheme="majorHAnsi"/>
            <w:noProof/>
            <w:szCs w:val="22"/>
          </w:rPr>
          <w:t>http://doi.org/10.2307/2261604</w:t>
        </w:r>
      </w:hyperlink>
    </w:p>
    <w:p w14:paraId="67E979F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León, O. A., &amp; Vargas-Ríos, O. (2011). </w:t>
      </w:r>
      <w:r w:rsidRPr="003338D7">
        <w:rPr>
          <w:rFonts w:asciiTheme="majorHAnsi" w:hAnsiTheme="majorHAnsi"/>
          <w:noProof/>
          <w:szCs w:val="22"/>
          <w:lang w:val="es-ES"/>
        </w:rPr>
        <w:t xml:space="preserve">Estrategias para el control, manejo y restauración de áreas invadidas por retamo espinoso (Ulex europaeus) en la vereda El Hato, localidad de Usme, Bogotá D.C. In O. Vargas &amp; S. Reyes (Eds.), </w:t>
      </w:r>
      <w:r w:rsidRPr="003338D7">
        <w:rPr>
          <w:rFonts w:asciiTheme="majorHAnsi" w:hAnsiTheme="majorHAnsi"/>
          <w:i/>
          <w:iCs/>
          <w:noProof/>
          <w:szCs w:val="22"/>
          <w:lang w:val="es-ES"/>
        </w:rPr>
        <w:t>La Restauración Ecológica en la Practica: Memorias del I Congreso Colombiano de Restauración Ecológica</w:t>
      </w:r>
      <w:r w:rsidRPr="003338D7">
        <w:rPr>
          <w:rFonts w:asciiTheme="majorHAnsi" w:hAnsiTheme="majorHAnsi"/>
          <w:noProof/>
          <w:szCs w:val="22"/>
          <w:lang w:val="es-ES"/>
        </w:rPr>
        <w:t xml:space="preserve"> (pp. 474–490). Bogotá, D.C., Colombia: Universidad Nacional de Colombia.</w:t>
      </w:r>
    </w:p>
    <w:p w14:paraId="02F91F7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Leslie, H. M. (2008). </w:t>
      </w:r>
      <w:r w:rsidRPr="003338D7">
        <w:rPr>
          <w:rFonts w:asciiTheme="majorHAnsi" w:hAnsiTheme="majorHAnsi"/>
          <w:noProof/>
          <w:szCs w:val="22"/>
        </w:rPr>
        <w:t xml:space="preserve">Global coastal change. </w:t>
      </w:r>
      <w:r w:rsidRPr="003338D7">
        <w:rPr>
          <w:rFonts w:asciiTheme="majorHAnsi" w:hAnsiTheme="majorHAnsi"/>
          <w:i/>
          <w:iCs/>
          <w:noProof/>
          <w:szCs w:val="22"/>
        </w:rPr>
        <w:t>Quarterly Review of Biology</w:t>
      </w:r>
      <w:r w:rsidRPr="003338D7">
        <w:rPr>
          <w:rFonts w:asciiTheme="majorHAnsi" w:hAnsiTheme="majorHAnsi"/>
          <w:noProof/>
          <w:szCs w:val="22"/>
        </w:rPr>
        <w:t xml:space="preserve">, </w:t>
      </w:r>
      <w:r w:rsidRPr="003338D7">
        <w:rPr>
          <w:rFonts w:asciiTheme="majorHAnsi" w:hAnsiTheme="majorHAnsi"/>
          <w:i/>
          <w:iCs/>
          <w:noProof/>
          <w:szCs w:val="22"/>
        </w:rPr>
        <w:t>83</w:t>
      </w:r>
      <w:r w:rsidRPr="003338D7">
        <w:rPr>
          <w:rFonts w:asciiTheme="majorHAnsi" w:hAnsiTheme="majorHAnsi"/>
          <w:noProof/>
          <w:szCs w:val="22"/>
        </w:rPr>
        <w:t xml:space="preserve">(1), 136–137. </w:t>
      </w:r>
      <w:hyperlink r:id="rId566" w:history="1">
        <w:r w:rsidRPr="003338D7">
          <w:rPr>
            <w:rStyle w:val="Hyperlink"/>
            <w:rFonts w:asciiTheme="majorHAnsi" w:hAnsiTheme="majorHAnsi"/>
            <w:noProof/>
            <w:szCs w:val="22"/>
          </w:rPr>
          <w:t>http://doi.org/10.4031/002533206787353278</w:t>
        </w:r>
      </w:hyperlink>
    </w:p>
    <w:p w14:paraId="2A38380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Lester, E. D., Satomi, M., &amp; Ponce, A. (2007). </w:t>
      </w:r>
      <w:r w:rsidRPr="003338D7">
        <w:rPr>
          <w:rFonts w:asciiTheme="majorHAnsi" w:hAnsiTheme="majorHAnsi"/>
          <w:noProof/>
          <w:szCs w:val="22"/>
        </w:rPr>
        <w:t xml:space="preserve">Microflora of extreme arid Atacama Desert soils. </w:t>
      </w:r>
      <w:r w:rsidRPr="003338D7">
        <w:rPr>
          <w:rFonts w:asciiTheme="majorHAnsi" w:hAnsiTheme="majorHAnsi"/>
          <w:i/>
          <w:iCs/>
          <w:noProof/>
          <w:szCs w:val="22"/>
        </w:rPr>
        <w:t>Soil Biology and Biochemistry</w:t>
      </w:r>
      <w:r w:rsidRPr="003338D7">
        <w:rPr>
          <w:rFonts w:asciiTheme="majorHAnsi" w:hAnsiTheme="majorHAnsi"/>
          <w:noProof/>
          <w:szCs w:val="22"/>
        </w:rPr>
        <w:t xml:space="preserve">, </w:t>
      </w:r>
      <w:r w:rsidRPr="003338D7">
        <w:rPr>
          <w:rFonts w:asciiTheme="majorHAnsi" w:hAnsiTheme="majorHAnsi"/>
          <w:i/>
          <w:iCs/>
          <w:noProof/>
          <w:szCs w:val="22"/>
        </w:rPr>
        <w:t>39</w:t>
      </w:r>
      <w:r w:rsidRPr="003338D7">
        <w:rPr>
          <w:rFonts w:asciiTheme="majorHAnsi" w:hAnsiTheme="majorHAnsi"/>
          <w:noProof/>
          <w:szCs w:val="22"/>
        </w:rPr>
        <w:t xml:space="preserve">(2), 704–708. </w:t>
      </w:r>
      <w:hyperlink r:id="rId567" w:history="1">
        <w:r w:rsidRPr="003338D7">
          <w:rPr>
            <w:rStyle w:val="Hyperlink"/>
            <w:rFonts w:asciiTheme="majorHAnsi" w:hAnsiTheme="majorHAnsi"/>
            <w:noProof/>
            <w:szCs w:val="22"/>
          </w:rPr>
          <w:t>http://doi.org/10.1016/j.soilbio.2006.09.020</w:t>
        </w:r>
      </w:hyperlink>
    </w:p>
    <w:p w14:paraId="49CA0F5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Letourneau, D. K., Armbrecht, I., Rivera, B. S., Lerma, J., Carmona, E. J., Daza, M. C., Escobar, S., Galindo, V., GutiéRrez, C., LóPez, S. D., Mejía, J. L., Rangel, A. M. A., Rangel, J. H., Rivera, L., Saavedra, C. A., Torres, A. M., &amp; Trujillo, A. R. (2011). Does plant diversity benefit agroecosystems? A synthetic review. </w:t>
      </w:r>
      <w:r w:rsidRPr="003338D7">
        <w:rPr>
          <w:rFonts w:asciiTheme="majorHAnsi" w:hAnsiTheme="majorHAnsi"/>
          <w:i/>
          <w:iCs/>
          <w:noProof/>
          <w:szCs w:val="22"/>
          <w:lang w:val="es-ES"/>
        </w:rPr>
        <w:t>Ecological Applications</w:t>
      </w:r>
      <w:r w:rsidRPr="003338D7">
        <w:rPr>
          <w:rFonts w:asciiTheme="majorHAnsi" w:hAnsiTheme="majorHAnsi"/>
          <w:noProof/>
          <w:szCs w:val="22"/>
          <w:lang w:val="es-ES"/>
        </w:rPr>
        <w:t xml:space="preserve">. </w:t>
      </w:r>
      <w:hyperlink r:id="rId568" w:history="1">
        <w:r w:rsidRPr="003338D7">
          <w:rPr>
            <w:rStyle w:val="Hyperlink"/>
            <w:rFonts w:asciiTheme="majorHAnsi" w:hAnsiTheme="majorHAnsi"/>
            <w:noProof/>
            <w:szCs w:val="22"/>
            <w:lang w:val="es-ES"/>
          </w:rPr>
          <w:t>https://doi.org/10.1890/09-2026.1</w:t>
        </w:r>
      </w:hyperlink>
    </w:p>
    <w:p w14:paraId="67BAEF7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Leveau, L. M. (2013). Bird traits in urban– rural gradients: how many functional groups are there? </w:t>
      </w:r>
      <w:r w:rsidRPr="003338D7">
        <w:rPr>
          <w:rFonts w:asciiTheme="majorHAnsi" w:hAnsiTheme="majorHAnsi"/>
          <w:i/>
          <w:iCs/>
          <w:noProof/>
          <w:szCs w:val="22"/>
        </w:rPr>
        <w:t>Journal of Ornithology</w:t>
      </w:r>
      <w:r w:rsidRPr="003338D7">
        <w:rPr>
          <w:rFonts w:asciiTheme="majorHAnsi" w:hAnsiTheme="majorHAnsi"/>
          <w:noProof/>
          <w:szCs w:val="22"/>
        </w:rPr>
        <w:t xml:space="preserve">, </w:t>
      </w:r>
      <w:r w:rsidRPr="003338D7">
        <w:rPr>
          <w:rFonts w:asciiTheme="majorHAnsi" w:hAnsiTheme="majorHAnsi"/>
          <w:i/>
          <w:iCs/>
          <w:noProof/>
          <w:szCs w:val="22"/>
        </w:rPr>
        <w:t>154</w:t>
      </w:r>
      <w:r w:rsidRPr="003338D7">
        <w:rPr>
          <w:rFonts w:asciiTheme="majorHAnsi" w:hAnsiTheme="majorHAnsi"/>
          <w:noProof/>
          <w:szCs w:val="22"/>
        </w:rPr>
        <w:t xml:space="preserve">(3), 655–662. </w:t>
      </w:r>
      <w:hyperlink r:id="rId569" w:history="1">
        <w:r w:rsidRPr="003338D7">
          <w:rPr>
            <w:rStyle w:val="Hyperlink"/>
            <w:rFonts w:asciiTheme="majorHAnsi" w:hAnsiTheme="majorHAnsi"/>
            <w:noProof/>
            <w:szCs w:val="22"/>
          </w:rPr>
          <w:t>http://doi.org/10.1007/s10336-012-0928-x</w:t>
        </w:r>
      </w:hyperlink>
    </w:p>
    <w:p w14:paraId="098296C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Liang, J., Crowther, T. W., Picard, N., Wiser, S., Zhou, M., Alberti, G., Schulze, E.-D., McGuire, A. D., Bozzato, F., Pretzsch, H., De-Miguel, S., Paquette, A., Herault, B., Scherer-Lorenzen, M., Barrett, C. B., Glick, H. B., Hengeveld, G. M., Nabuurs, G.-J., Pfautsch, S., Viana, H., Vibrans, A. C., Ammer, C., Schall, P., Verbyla, D., Tchebakova, N., Fischer, M., Watson, J. V., Chen, H. Y. H., Lei, X., Schelhaas, M.-J., Lu, H., Gianelle, D., Parfenova, E. I., Salas, C., Lee, E., Lee, B., Kim, H. S., Bruelheide, H., Coomes, D. A., Piotto, D., Sunderland, T., Schmid, B., Gourlet-Fleury, S., Sonke, B., Tavani, R., Zhu, J., Brandl, S., Vayreda, J., Kitahara, F., Searle, E. B., Neldner, V. J., Ngugi, M. R., Baraloto, C., Frizzera, L., Ba azy, R., Oleksyn, J., Zawi a-Nied wiecki, T., Bouriaud, O., Bussotti, F., Finer, L., Jaroszewicz, B., Jucker, T., Valladares, F., Jagodzinski, A. M., Peri, P. L., Gonmadje, C., Marthy, W., OBrien, T., Martin, E. H., Marshall, A. R., Rovero, F., Bitariho, R., Niklaus, P. A., Alvarez-Loayza, P., Chamuya, N., Valencia, R., Mortier, F., Wortel, V., Engone-Obiang, N. L., Ferreira, L. V., Odeke, D. E., Vasquez, R. M., Lewis, S. L., &amp; Reich, P. B. (2016). Positive biodiversity-productivity relationship predominant in global forests.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354</w:t>
      </w:r>
      <w:r w:rsidRPr="003338D7">
        <w:rPr>
          <w:rFonts w:asciiTheme="majorHAnsi" w:hAnsiTheme="majorHAnsi"/>
          <w:noProof/>
          <w:szCs w:val="22"/>
          <w:lang w:val="es-ES"/>
        </w:rPr>
        <w:t xml:space="preserve">(6309), aaf8957. </w:t>
      </w:r>
      <w:hyperlink r:id="rId570" w:history="1">
        <w:r w:rsidRPr="003338D7">
          <w:rPr>
            <w:rStyle w:val="Hyperlink"/>
            <w:rFonts w:asciiTheme="majorHAnsi" w:hAnsiTheme="majorHAnsi"/>
            <w:noProof/>
            <w:szCs w:val="22"/>
            <w:lang w:val="es-ES"/>
          </w:rPr>
          <w:t>https://doi.org/10.1126/science.aaf8957</w:t>
        </w:r>
      </w:hyperlink>
    </w:p>
    <w:p w14:paraId="71DF409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Liljedahl, A. K., Boike, J., Daanen, R. P., Fedorov, A. N., Frost, G. V., Grosse, G., Hinzman, L. D., Iijma, Y., Jorgenson, J. C., Matveyeva, N., Necsoiu, M., Raynolds, M. K., Romanovsky, V. E., Schulla, J., Tape, K. D., Walker, D. A., Wilson, C. J., Yabuki, H., &amp; Zona, D. (2016). Pan-Arctic ice-wedge degradation in warming permafrost and its influence on tundra hydrology. </w:t>
      </w:r>
      <w:r w:rsidRPr="003338D7">
        <w:rPr>
          <w:rFonts w:asciiTheme="majorHAnsi" w:hAnsiTheme="majorHAnsi"/>
          <w:i/>
          <w:iCs/>
          <w:noProof/>
          <w:szCs w:val="22"/>
          <w:lang w:val="es-ES"/>
        </w:rPr>
        <w:t>Nature Geoscience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w:t>
      </w:r>
      <w:r w:rsidRPr="003338D7">
        <w:rPr>
          <w:rFonts w:asciiTheme="majorHAnsi" w:hAnsiTheme="majorHAnsi"/>
          <w:noProof/>
          <w:szCs w:val="22"/>
          <w:lang w:val="es-ES"/>
        </w:rPr>
        <w:t xml:space="preserve">(4), 312–318. </w:t>
      </w:r>
      <w:hyperlink r:id="rId571" w:history="1">
        <w:r w:rsidRPr="003338D7">
          <w:rPr>
            <w:rStyle w:val="Hyperlink"/>
            <w:rFonts w:asciiTheme="majorHAnsi" w:hAnsiTheme="majorHAnsi"/>
            <w:noProof/>
            <w:szCs w:val="22"/>
            <w:lang w:val="es-ES"/>
          </w:rPr>
          <w:t>https://doi.org/10.1038/ngeo2674</w:t>
        </w:r>
      </w:hyperlink>
    </w:p>
    <w:p w14:paraId="1CBE853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pt-BR"/>
        </w:rPr>
        <w:t xml:space="preserve">Linares-Palomino, R., Oliveira-Filho, A. T., &amp; Pennington, R. T. (2011). </w:t>
      </w:r>
      <w:r w:rsidRPr="003338D7">
        <w:rPr>
          <w:rFonts w:asciiTheme="majorHAnsi" w:hAnsiTheme="majorHAnsi"/>
          <w:noProof/>
          <w:szCs w:val="22"/>
        </w:rPr>
        <w:t xml:space="preserve">Neotropical seasonally dry forests: diversity, endemism and biogeography of woody plants. In R. Dirzo, H. Young, H. Mooney, &amp; G. Ceballos (Eds.), </w:t>
      </w:r>
      <w:r w:rsidRPr="003338D7">
        <w:rPr>
          <w:rFonts w:asciiTheme="majorHAnsi" w:hAnsiTheme="majorHAnsi"/>
          <w:i/>
          <w:iCs/>
          <w:noProof/>
          <w:szCs w:val="22"/>
        </w:rPr>
        <w:t>Seasonally Dry Tropical Forests: Ecology and Conservation</w:t>
      </w:r>
      <w:r w:rsidRPr="003338D7">
        <w:rPr>
          <w:rFonts w:asciiTheme="majorHAnsi" w:hAnsiTheme="majorHAnsi"/>
          <w:noProof/>
          <w:szCs w:val="22"/>
        </w:rPr>
        <w:t xml:space="preserve"> (pp. 3–21). Washington, DC, USA: Island Press.</w:t>
      </w:r>
    </w:p>
    <w:p w14:paraId="5409D2E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Lind, E. M., Vincent, J. B., Weiblen, G. D., Cavender-Bares, J. M., &amp; Borer, E. T. (2015). Trophic phylogenetics: evolutionary influences on body size, feeding, and species associations in grassland arthropods. </w:t>
      </w:r>
      <w:r w:rsidRPr="003338D7">
        <w:rPr>
          <w:rFonts w:asciiTheme="majorHAnsi" w:hAnsiTheme="majorHAnsi"/>
          <w:i/>
          <w:iCs/>
          <w:noProof/>
          <w:szCs w:val="22"/>
          <w:lang w:val="es-ES"/>
        </w:rPr>
        <w:t>Ecology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96</w:t>
      </w:r>
      <w:r w:rsidRPr="003338D7">
        <w:rPr>
          <w:rFonts w:asciiTheme="majorHAnsi" w:hAnsiTheme="majorHAnsi"/>
          <w:noProof/>
          <w:szCs w:val="22"/>
          <w:lang w:val="es-ES"/>
        </w:rPr>
        <w:t>(4), 998–1009.</w:t>
      </w:r>
    </w:p>
    <w:p w14:paraId="17ED5AD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Lira, P. K., Tambosi, L. R., Ewers, R. M., &amp; Metzger, J. P. (2012). </w:t>
      </w:r>
      <w:r w:rsidRPr="003338D7">
        <w:rPr>
          <w:rFonts w:asciiTheme="majorHAnsi" w:hAnsiTheme="majorHAnsi"/>
          <w:noProof/>
          <w:szCs w:val="22"/>
        </w:rPr>
        <w:t xml:space="preserve">Land-use and land-cover change in Atlantic Forest landscapes. </w:t>
      </w:r>
      <w:r w:rsidRPr="003338D7">
        <w:rPr>
          <w:rFonts w:asciiTheme="majorHAnsi" w:hAnsiTheme="majorHAnsi"/>
          <w:i/>
          <w:iCs/>
          <w:noProof/>
          <w:szCs w:val="22"/>
        </w:rPr>
        <w:t>Forest Ecology and Management</w:t>
      </w:r>
      <w:r w:rsidRPr="003338D7">
        <w:rPr>
          <w:rFonts w:asciiTheme="majorHAnsi" w:hAnsiTheme="majorHAnsi"/>
          <w:noProof/>
          <w:szCs w:val="22"/>
        </w:rPr>
        <w:t xml:space="preserve">, </w:t>
      </w:r>
      <w:r w:rsidRPr="003338D7">
        <w:rPr>
          <w:rFonts w:asciiTheme="majorHAnsi" w:hAnsiTheme="majorHAnsi"/>
          <w:i/>
          <w:iCs/>
          <w:noProof/>
          <w:szCs w:val="22"/>
        </w:rPr>
        <w:t>278</w:t>
      </w:r>
      <w:r w:rsidRPr="003338D7">
        <w:rPr>
          <w:rFonts w:asciiTheme="majorHAnsi" w:hAnsiTheme="majorHAnsi"/>
          <w:noProof/>
          <w:szCs w:val="22"/>
        </w:rPr>
        <w:t xml:space="preserve">, 80–89. </w:t>
      </w:r>
      <w:hyperlink r:id="rId572" w:history="1">
        <w:r w:rsidRPr="003338D7">
          <w:rPr>
            <w:rStyle w:val="Hyperlink"/>
            <w:rFonts w:asciiTheme="majorHAnsi" w:hAnsiTheme="majorHAnsi"/>
            <w:noProof/>
            <w:szCs w:val="22"/>
          </w:rPr>
          <w:t>http://doi.org/10.1016/j.foreco.2012.05.008</w:t>
        </w:r>
      </w:hyperlink>
    </w:p>
    <w:p w14:paraId="07C298F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Liu, Y., Pan, X., &amp; Li, J. (2015). A 1961-2010 record of fertilizer use, pesticide application and cereal yields: a review. </w:t>
      </w:r>
      <w:r w:rsidRPr="003338D7">
        <w:rPr>
          <w:rFonts w:asciiTheme="majorHAnsi" w:hAnsiTheme="majorHAnsi"/>
          <w:i/>
          <w:iCs/>
          <w:noProof/>
          <w:szCs w:val="22"/>
        </w:rPr>
        <w:t>Agronomy for Sustainable Development</w:t>
      </w:r>
      <w:r w:rsidRPr="003338D7">
        <w:rPr>
          <w:rFonts w:asciiTheme="majorHAnsi" w:hAnsiTheme="majorHAnsi"/>
          <w:noProof/>
          <w:szCs w:val="22"/>
        </w:rPr>
        <w:t xml:space="preserve">, </w:t>
      </w:r>
      <w:r w:rsidRPr="003338D7">
        <w:rPr>
          <w:rFonts w:asciiTheme="majorHAnsi" w:hAnsiTheme="majorHAnsi"/>
          <w:i/>
          <w:iCs/>
          <w:noProof/>
          <w:szCs w:val="22"/>
        </w:rPr>
        <w:t>35</w:t>
      </w:r>
      <w:r w:rsidRPr="003338D7">
        <w:rPr>
          <w:rFonts w:asciiTheme="majorHAnsi" w:hAnsiTheme="majorHAnsi"/>
          <w:noProof/>
          <w:szCs w:val="22"/>
        </w:rPr>
        <w:t xml:space="preserve">(1), 83–93. </w:t>
      </w:r>
      <w:hyperlink r:id="rId573" w:history="1">
        <w:r w:rsidRPr="003338D7">
          <w:rPr>
            <w:rStyle w:val="Hyperlink"/>
            <w:rFonts w:asciiTheme="majorHAnsi" w:hAnsiTheme="majorHAnsi"/>
            <w:noProof/>
            <w:szCs w:val="22"/>
          </w:rPr>
          <w:t>http://doi.org/10.1007/s13593-014-0259-9</w:t>
        </w:r>
      </w:hyperlink>
    </w:p>
    <w:p w14:paraId="4F71F6D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Lloyd, A. H., &amp; Bunn, A. G. (2007). Responses of the circumpolar boreal forest to 20th century climate variability. </w:t>
      </w:r>
      <w:r w:rsidRPr="003338D7">
        <w:rPr>
          <w:rFonts w:asciiTheme="majorHAnsi" w:hAnsiTheme="majorHAnsi"/>
          <w:i/>
          <w:iCs/>
          <w:noProof/>
          <w:szCs w:val="22"/>
        </w:rPr>
        <w:t>Environmental Research Letters</w:t>
      </w:r>
      <w:r w:rsidRPr="003338D7">
        <w:rPr>
          <w:rFonts w:asciiTheme="majorHAnsi" w:hAnsiTheme="majorHAnsi"/>
          <w:noProof/>
          <w:szCs w:val="22"/>
        </w:rPr>
        <w:t xml:space="preserve">, </w:t>
      </w:r>
      <w:r w:rsidRPr="003338D7">
        <w:rPr>
          <w:rFonts w:asciiTheme="majorHAnsi" w:hAnsiTheme="majorHAnsi"/>
          <w:i/>
          <w:iCs/>
          <w:noProof/>
          <w:szCs w:val="22"/>
        </w:rPr>
        <w:t>2</w:t>
      </w:r>
      <w:r w:rsidRPr="003338D7">
        <w:rPr>
          <w:rFonts w:asciiTheme="majorHAnsi" w:hAnsiTheme="majorHAnsi"/>
          <w:noProof/>
          <w:szCs w:val="22"/>
        </w:rPr>
        <w:t xml:space="preserve">(4), 45013. Retrieved from </w:t>
      </w:r>
      <w:hyperlink r:id="rId574" w:history="1">
        <w:r w:rsidRPr="003338D7">
          <w:rPr>
            <w:rStyle w:val="Hyperlink"/>
            <w:rFonts w:asciiTheme="majorHAnsi" w:hAnsiTheme="majorHAnsi"/>
            <w:noProof/>
            <w:szCs w:val="22"/>
          </w:rPr>
          <w:t>http://stacks.iop.org/1748-9326/2/i=4/a=045013</w:t>
        </w:r>
      </w:hyperlink>
    </w:p>
    <w:p w14:paraId="6216A2A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Loehle, C. (2000). Strategy space and the disturbance spectrum: a life</w:t>
      </w:r>
      <w:r w:rsidRPr="003338D7">
        <w:rPr>
          <w:rFonts w:asciiTheme="majorHAnsi" w:hAnsiTheme="majorHAnsi" w:cs="Cambria Math"/>
          <w:noProof/>
          <w:szCs w:val="22"/>
        </w:rPr>
        <w:t>‐</w:t>
      </w:r>
      <w:r w:rsidRPr="003338D7">
        <w:rPr>
          <w:rFonts w:asciiTheme="majorHAnsi" w:hAnsiTheme="majorHAnsi"/>
          <w:noProof/>
          <w:szCs w:val="22"/>
        </w:rPr>
        <w:t xml:space="preserve">history model for tree species coexistence. </w:t>
      </w:r>
      <w:r w:rsidRPr="003338D7">
        <w:rPr>
          <w:rFonts w:asciiTheme="majorHAnsi" w:hAnsiTheme="majorHAnsi"/>
          <w:i/>
          <w:iCs/>
          <w:noProof/>
          <w:szCs w:val="22"/>
        </w:rPr>
        <w:t>The American Naturalist</w:t>
      </w:r>
      <w:r w:rsidRPr="003338D7">
        <w:rPr>
          <w:rFonts w:asciiTheme="majorHAnsi" w:hAnsiTheme="majorHAnsi"/>
          <w:noProof/>
          <w:szCs w:val="22"/>
        </w:rPr>
        <w:t xml:space="preserve">, </w:t>
      </w:r>
      <w:r w:rsidRPr="003338D7">
        <w:rPr>
          <w:rFonts w:asciiTheme="majorHAnsi" w:hAnsiTheme="majorHAnsi"/>
          <w:i/>
          <w:iCs/>
          <w:noProof/>
          <w:szCs w:val="22"/>
        </w:rPr>
        <w:t>156</w:t>
      </w:r>
      <w:r w:rsidRPr="003338D7">
        <w:rPr>
          <w:rFonts w:asciiTheme="majorHAnsi" w:hAnsiTheme="majorHAnsi"/>
          <w:noProof/>
          <w:szCs w:val="22"/>
        </w:rPr>
        <w:t xml:space="preserve">(1), 14–33. </w:t>
      </w:r>
      <w:hyperlink r:id="rId575" w:history="1">
        <w:r w:rsidRPr="003338D7">
          <w:rPr>
            <w:rStyle w:val="Hyperlink"/>
            <w:rFonts w:asciiTheme="majorHAnsi" w:hAnsiTheme="majorHAnsi"/>
            <w:noProof/>
            <w:szCs w:val="22"/>
          </w:rPr>
          <w:t>http://doi.org/10.1086/303369</w:t>
        </w:r>
      </w:hyperlink>
    </w:p>
    <w:p w14:paraId="196A4AF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Loh, E. H., Zambrana-Torrelio, C., Olival, K. J., Bogich, T. L., Johnson, C. K., Mazet, J. A. K., Karesh, W., &amp; Daszak, P. (2015). Targeting transmission pathways for emerging zoonotic disease surveillance and control. </w:t>
      </w:r>
      <w:r w:rsidRPr="003338D7">
        <w:rPr>
          <w:rFonts w:asciiTheme="majorHAnsi" w:hAnsiTheme="majorHAnsi"/>
          <w:i/>
          <w:iCs/>
          <w:noProof/>
          <w:szCs w:val="22"/>
          <w:lang w:val="es-ES"/>
        </w:rPr>
        <w:t>Vector-Borne and Zoonotic Diseases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15</w:t>
      </w:r>
      <w:r w:rsidRPr="003338D7">
        <w:rPr>
          <w:rFonts w:asciiTheme="majorHAnsi" w:hAnsiTheme="majorHAnsi"/>
          <w:noProof/>
          <w:szCs w:val="22"/>
          <w:lang w:val="es-ES"/>
        </w:rPr>
        <w:t xml:space="preserve">(7), 432–437. </w:t>
      </w:r>
      <w:hyperlink r:id="rId576" w:history="1">
        <w:r w:rsidRPr="003338D7">
          <w:rPr>
            <w:rStyle w:val="Hyperlink"/>
            <w:rFonts w:asciiTheme="majorHAnsi" w:hAnsiTheme="majorHAnsi"/>
            <w:noProof/>
            <w:szCs w:val="22"/>
            <w:lang w:val="es-ES"/>
          </w:rPr>
          <w:t>https://doi.org/10.1089/vbz.2013.1563</w:t>
        </w:r>
      </w:hyperlink>
    </w:p>
    <w:p w14:paraId="1DC9BF7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Loisel, J., &amp; Yu, Z. (2013). Holocene peatland carbon dynamics in Patagonia. </w:t>
      </w:r>
      <w:r w:rsidRPr="003338D7">
        <w:rPr>
          <w:rFonts w:asciiTheme="majorHAnsi" w:hAnsiTheme="majorHAnsi"/>
          <w:i/>
          <w:iCs/>
          <w:noProof/>
          <w:szCs w:val="22"/>
        </w:rPr>
        <w:t>Quaternary Science Reviews</w:t>
      </w:r>
      <w:r w:rsidRPr="003338D7">
        <w:rPr>
          <w:rFonts w:asciiTheme="majorHAnsi" w:hAnsiTheme="majorHAnsi"/>
          <w:noProof/>
          <w:szCs w:val="22"/>
        </w:rPr>
        <w:t xml:space="preserve">, </w:t>
      </w:r>
      <w:r w:rsidRPr="003338D7">
        <w:rPr>
          <w:rFonts w:asciiTheme="majorHAnsi" w:hAnsiTheme="majorHAnsi"/>
          <w:i/>
          <w:iCs/>
          <w:noProof/>
          <w:szCs w:val="22"/>
        </w:rPr>
        <w:t>69</w:t>
      </w:r>
      <w:r w:rsidRPr="003338D7">
        <w:rPr>
          <w:rFonts w:asciiTheme="majorHAnsi" w:hAnsiTheme="majorHAnsi"/>
          <w:noProof/>
          <w:szCs w:val="22"/>
        </w:rPr>
        <w:t xml:space="preserve">, 125–141. </w:t>
      </w:r>
      <w:hyperlink r:id="rId577" w:history="1">
        <w:r w:rsidRPr="003338D7">
          <w:rPr>
            <w:rStyle w:val="Hyperlink"/>
            <w:rFonts w:asciiTheme="majorHAnsi" w:hAnsiTheme="majorHAnsi"/>
            <w:noProof/>
            <w:szCs w:val="22"/>
          </w:rPr>
          <w:t>http://doi.org/10.1016/j.quascirev.2013.02.023</w:t>
        </w:r>
      </w:hyperlink>
    </w:p>
    <w:p w14:paraId="5FC30FB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Londoño, C., Cleef, A., &amp; Madriñán, S. (2014). Angiosperm flora and biogeography of the páramo region of Colombia, Northern Andes. </w:t>
      </w:r>
      <w:r w:rsidRPr="003338D7">
        <w:rPr>
          <w:rFonts w:asciiTheme="majorHAnsi" w:hAnsiTheme="majorHAnsi"/>
          <w:i/>
          <w:iCs/>
          <w:noProof/>
          <w:szCs w:val="22"/>
        </w:rPr>
        <w:t>Flora: Morphology, Distribution, Functional Ecology of Plants</w:t>
      </w:r>
      <w:r w:rsidRPr="003338D7">
        <w:rPr>
          <w:rFonts w:asciiTheme="majorHAnsi" w:hAnsiTheme="majorHAnsi"/>
          <w:noProof/>
          <w:szCs w:val="22"/>
        </w:rPr>
        <w:t xml:space="preserve">, </w:t>
      </w:r>
      <w:r w:rsidRPr="003338D7">
        <w:rPr>
          <w:rFonts w:asciiTheme="majorHAnsi" w:hAnsiTheme="majorHAnsi"/>
          <w:i/>
          <w:iCs/>
          <w:noProof/>
          <w:szCs w:val="22"/>
        </w:rPr>
        <w:t>209</w:t>
      </w:r>
      <w:r w:rsidRPr="003338D7">
        <w:rPr>
          <w:rFonts w:asciiTheme="majorHAnsi" w:hAnsiTheme="majorHAnsi"/>
          <w:noProof/>
          <w:szCs w:val="22"/>
        </w:rPr>
        <w:t xml:space="preserve">(2), 81–87. </w:t>
      </w:r>
      <w:hyperlink r:id="rId578" w:history="1">
        <w:r w:rsidRPr="003338D7">
          <w:rPr>
            <w:rStyle w:val="Hyperlink"/>
            <w:rFonts w:asciiTheme="majorHAnsi" w:hAnsiTheme="majorHAnsi"/>
            <w:noProof/>
            <w:szCs w:val="22"/>
          </w:rPr>
          <w:t>http://doi.org/10.1016/j.flora.2013.11.006</w:t>
        </w:r>
      </w:hyperlink>
    </w:p>
    <w:p w14:paraId="593FF23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López-Austin, A. (1990). </w:t>
      </w:r>
      <w:r w:rsidRPr="003338D7">
        <w:rPr>
          <w:rFonts w:asciiTheme="majorHAnsi" w:hAnsiTheme="majorHAnsi"/>
          <w:i/>
          <w:iCs/>
          <w:noProof/>
          <w:szCs w:val="22"/>
          <w:lang w:val="es-ES"/>
        </w:rPr>
        <w:t>Cuerpo Humano e Ideología. Las Concepciones de los Antiguos Nahuas (2 vols)</w:t>
      </w:r>
      <w:r w:rsidRPr="003338D7">
        <w:rPr>
          <w:rFonts w:asciiTheme="majorHAnsi" w:hAnsiTheme="majorHAnsi"/>
          <w:noProof/>
          <w:szCs w:val="22"/>
          <w:lang w:val="es-ES"/>
        </w:rPr>
        <w:t>. Mexico City, Mexico: Universidad Nacional Autónoma de México, Instituto de Investigaciones Antropológicas.</w:t>
      </w:r>
    </w:p>
    <w:p w14:paraId="053C346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rPr>
        <w:t xml:space="preserve">Loreau, M. (2004). Does functional redundancy exist? </w:t>
      </w:r>
      <w:r w:rsidRPr="003338D7">
        <w:rPr>
          <w:rFonts w:asciiTheme="majorHAnsi" w:hAnsiTheme="majorHAnsi"/>
          <w:i/>
          <w:iCs/>
          <w:noProof/>
          <w:szCs w:val="22"/>
          <w:lang w:val="de-DE"/>
        </w:rPr>
        <w:t>Oikos</w:t>
      </w:r>
      <w:r w:rsidRPr="003338D7">
        <w:rPr>
          <w:rFonts w:asciiTheme="majorHAnsi" w:hAnsiTheme="majorHAnsi"/>
          <w:noProof/>
          <w:szCs w:val="22"/>
          <w:lang w:val="de-DE"/>
        </w:rPr>
        <w:t xml:space="preserve">, </w:t>
      </w:r>
      <w:r w:rsidRPr="003338D7">
        <w:rPr>
          <w:rFonts w:asciiTheme="majorHAnsi" w:hAnsiTheme="majorHAnsi"/>
          <w:i/>
          <w:iCs/>
          <w:noProof/>
          <w:szCs w:val="22"/>
          <w:lang w:val="de-DE"/>
        </w:rPr>
        <w:t>104</w:t>
      </w:r>
      <w:r w:rsidRPr="003338D7">
        <w:rPr>
          <w:rFonts w:asciiTheme="majorHAnsi" w:hAnsiTheme="majorHAnsi"/>
          <w:noProof/>
          <w:szCs w:val="22"/>
          <w:lang w:val="de-DE"/>
        </w:rPr>
        <w:t xml:space="preserve">(3), 606–611. </w:t>
      </w:r>
      <w:hyperlink r:id="rId579" w:history="1">
        <w:r w:rsidRPr="003338D7">
          <w:rPr>
            <w:rStyle w:val="Hyperlink"/>
            <w:rFonts w:asciiTheme="majorHAnsi" w:hAnsiTheme="majorHAnsi"/>
            <w:noProof/>
            <w:szCs w:val="22"/>
            <w:lang w:val="de-DE"/>
          </w:rPr>
          <w:t>http://doi.org/10.1111/j.0030-1299.2004.12685.x</w:t>
        </w:r>
      </w:hyperlink>
    </w:p>
    <w:p w14:paraId="71B2EFA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Loreau, M. (2010). </w:t>
      </w:r>
      <w:r w:rsidRPr="003338D7">
        <w:rPr>
          <w:rFonts w:asciiTheme="majorHAnsi" w:hAnsiTheme="majorHAnsi"/>
          <w:i/>
          <w:iCs/>
          <w:noProof/>
          <w:szCs w:val="22"/>
        </w:rPr>
        <w:t>From Populations to Ecosystems: Theoretical Foundations for a New Ecological Synthesis</w:t>
      </w:r>
      <w:r w:rsidRPr="003338D7">
        <w:rPr>
          <w:rFonts w:asciiTheme="majorHAnsi" w:hAnsiTheme="majorHAnsi"/>
          <w:noProof/>
          <w:szCs w:val="22"/>
        </w:rPr>
        <w:t>. New Jersey, USA: Princeton University Press.</w:t>
      </w:r>
    </w:p>
    <w:p w14:paraId="78A138F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Loreau, M., &amp; Hector, A. (2001). Partitioning selection and complementarity in biodiversity experiments.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412</w:t>
      </w:r>
      <w:r w:rsidRPr="003338D7">
        <w:rPr>
          <w:rFonts w:asciiTheme="majorHAnsi" w:hAnsiTheme="majorHAnsi"/>
          <w:noProof/>
          <w:szCs w:val="22"/>
        </w:rPr>
        <w:t xml:space="preserve">(6842), 72–76. </w:t>
      </w:r>
      <w:hyperlink r:id="rId580" w:history="1">
        <w:r w:rsidRPr="003338D7">
          <w:rPr>
            <w:rStyle w:val="Hyperlink"/>
            <w:rFonts w:asciiTheme="majorHAnsi" w:hAnsiTheme="majorHAnsi"/>
            <w:noProof/>
            <w:szCs w:val="22"/>
          </w:rPr>
          <w:t>http://doi.org/10.1038/35083573</w:t>
        </w:r>
      </w:hyperlink>
    </w:p>
    <w:p w14:paraId="5C12CD9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Lucifora, L. O., García, V. B., &amp; Worm, B. (2011). Global diversity hotspots and conservation priorities for sharks. </w:t>
      </w:r>
      <w:r w:rsidRPr="003338D7">
        <w:rPr>
          <w:rFonts w:asciiTheme="majorHAnsi" w:hAnsiTheme="majorHAnsi"/>
          <w:i/>
          <w:iCs/>
          <w:noProof/>
          <w:szCs w:val="22"/>
        </w:rPr>
        <w:t>PLoS ONE</w:t>
      </w:r>
      <w:r w:rsidRPr="003338D7">
        <w:rPr>
          <w:rFonts w:asciiTheme="majorHAnsi" w:hAnsiTheme="majorHAnsi"/>
          <w:noProof/>
          <w:szCs w:val="22"/>
        </w:rPr>
        <w:t xml:space="preserve">, </w:t>
      </w:r>
      <w:r w:rsidRPr="003338D7">
        <w:rPr>
          <w:rFonts w:asciiTheme="majorHAnsi" w:hAnsiTheme="majorHAnsi"/>
          <w:i/>
          <w:iCs/>
          <w:noProof/>
          <w:szCs w:val="22"/>
        </w:rPr>
        <w:t>6</w:t>
      </w:r>
      <w:r w:rsidRPr="003338D7">
        <w:rPr>
          <w:rFonts w:asciiTheme="majorHAnsi" w:hAnsiTheme="majorHAnsi"/>
          <w:noProof/>
          <w:szCs w:val="22"/>
        </w:rPr>
        <w:t xml:space="preserve">(5), e19356. </w:t>
      </w:r>
      <w:hyperlink r:id="rId581" w:history="1">
        <w:r w:rsidRPr="003338D7">
          <w:rPr>
            <w:rStyle w:val="Hyperlink"/>
            <w:rFonts w:asciiTheme="majorHAnsi" w:hAnsiTheme="majorHAnsi"/>
            <w:noProof/>
            <w:szCs w:val="22"/>
          </w:rPr>
          <w:t>http://doi.org/10.1371/journal.pone.0019356</w:t>
        </w:r>
      </w:hyperlink>
    </w:p>
    <w:p w14:paraId="5865274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Luebert, F., &amp; Pliscoff, P. (2006). </w:t>
      </w:r>
      <w:r w:rsidRPr="003338D7">
        <w:rPr>
          <w:rFonts w:asciiTheme="majorHAnsi" w:hAnsiTheme="majorHAnsi"/>
          <w:i/>
          <w:iCs/>
          <w:noProof/>
          <w:szCs w:val="22"/>
          <w:lang w:val="es-ES"/>
        </w:rPr>
        <w:t>Sinopsis Bioclimática y Vegetacional de Chile</w:t>
      </w:r>
      <w:r w:rsidRPr="003338D7">
        <w:rPr>
          <w:rFonts w:asciiTheme="majorHAnsi" w:hAnsiTheme="majorHAnsi"/>
          <w:noProof/>
          <w:szCs w:val="22"/>
          <w:lang w:val="es-ES"/>
        </w:rPr>
        <w:t xml:space="preserve">. </w:t>
      </w:r>
      <w:r w:rsidRPr="003338D7">
        <w:rPr>
          <w:rFonts w:asciiTheme="majorHAnsi" w:hAnsiTheme="majorHAnsi"/>
          <w:noProof/>
          <w:szCs w:val="22"/>
        </w:rPr>
        <w:t>Santiago, Chile: Editorial Universitaria.</w:t>
      </w:r>
    </w:p>
    <w:p w14:paraId="3BA1262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Lughadha, E. N., Govaerts, R., Belyaeva, I., Black, N., Lindon, H., Allkin, R., Magill, R. E., &amp; Nicolson, N. (2016). Counting counts: revised estimates of numbers of accepted species of flowering plants, seed plants, vascular plants and land plants with a review of other recent estimates. </w:t>
      </w:r>
      <w:r w:rsidRPr="003338D7">
        <w:rPr>
          <w:rFonts w:asciiTheme="majorHAnsi" w:hAnsiTheme="majorHAnsi"/>
          <w:i/>
          <w:iCs/>
          <w:noProof/>
          <w:szCs w:val="22"/>
          <w:lang w:val="es-ES"/>
        </w:rPr>
        <w:t>Phytotaxa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272</w:t>
      </w:r>
      <w:r w:rsidRPr="003338D7">
        <w:rPr>
          <w:rFonts w:asciiTheme="majorHAnsi" w:hAnsiTheme="majorHAnsi"/>
          <w:noProof/>
          <w:szCs w:val="22"/>
          <w:lang w:val="es-ES"/>
        </w:rPr>
        <w:t xml:space="preserve">(1), 82–88. </w:t>
      </w:r>
      <w:hyperlink r:id="rId582" w:history="1">
        <w:r w:rsidRPr="003338D7">
          <w:rPr>
            <w:rStyle w:val="Hyperlink"/>
            <w:rFonts w:asciiTheme="majorHAnsi" w:hAnsiTheme="majorHAnsi"/>
            <w:noProof/>
            <w:szCs w:val="22"/>
            <w:lang w:val="es-ES"/>
          </w:rPr>
          <w:t>https://doi.org/10.11646/phytotaxa.272.1.5</w:t>
        </w:r>
      </w:hyperlink>
    </w:p>
    <w:p w14:paraId="3040E7E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pt-BR"/>
        </w:rPr>
        <w:t xml:space="preserve">Lugo, A. E., Helmer, E. H., &amp; Valentín, E. S. (2012). </w:t>
      </w:r>
      <w:r w:rsidRPr="003338D7">
        <w:rPr>
          <w:rFonts w:asciiTheme="majorHAnsi" w:hAnsiTheme="majorHAnsi"/>
          <w:noProof/>
          <w:szCs w:val="22"/>
        </w:rPr>
        <w:t xml:space="preserve">Caribbean landscapes and their biodiversity. </w:t>
      </w:r>
      <w:r w:rsidRPr="003338D7">
        <w:rPr>
          <w:rFonts w:asciiTheme="majorHAnsi" w:hAnsiTheme="majorHAnsi"/>
          <w:i/>
          <w:iCs/>
          <w:noProof/>
          <w:szCs w:val="22"/>
        </w:rPr>
        <w:t>Interciencia</w:t>
      </w:r>
      <w:r w:rsidRPr="003338D7">
        <w:rPr>
          <w:rFonts w:asciiTheme="majorHAnsi" w:hAnsiTheme="majorHAnsi"/>
          <w:noProof/>
          <w:szCs w:val="22"/>
        </w:rPr>
        <w:t xml:space="preserve">, </w:t>
      </w:r>
      <w:r w:rsidRPr="003338D7">
        <w:rPr>
          <w:rFonts w:asciiTheme="majorHAnsi" w:hAnsiTheme="majorHAnsi"/>
          <w:i/>
          <w:iCs/>
          <w:noProof/>
          <w:szCs w:val="22"/>
        </w:rPr>
        <w:t>37</w:t>
      </w:r>
      <w:r w:rsidRPr="003338D7">
        <w:rPr>
          <w:rFonts w:asciiTheme="majorHAnsi" w:hAnsiTheme="majorHAnsi"/>
          <w:noProof/>
          <w:szCs w:val="22"/>
        </w:rPr>
        <w:t>(9), 705–710.</w:t>
      </w:r>
    </w:p>
    <w:p w14:paraId="450D64E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Luteyn, J. L. (1999). </w:t>
      </w:r>
      <w:r w:rsidRPr="003338D7">
        <w:rPr>
          <w:rFonts w:asciiTheme="majorHAnsi" w:hAnsiTheme="majorHAnsi"/>
          <w:i/>
          <w:iCs/>
          <w:noProof/>
          <w:szCs w:val="22"/>
        </w:rPr>
        <w:t>Páramos: A Checklist of Plant Diversity, Geographical Distribution, and Botanical Literature</w:t>
      </w:r>
      <w:r w:rsidRPr="003338D7">
        <w:rPr>
          <w:rFonts w:asciiTheme="majorHAnsi" w:hAnsiTheme="majorHAnsi"/>
          <w:noProof/>
          <w:szCs w:val="22"/>
        </w:rPr>
        <w:t>. New York, USA: The New York Botanical Garden Press.</w:t>
      </w:r>
    </w:p>
    <w:p w14:paraId="2DE5DA6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Lutz, D. A., Powell, R. L., &amp; Silman, M. R. (2013). Four decades of Andean timberline migration and implications for biodiversity loss with climate change.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w:t>
      </w:r>
      <w:r w:rsidRPr="003338D7">
        <w:rPr>
          <w:rFonts w:asciiTheme="majorHAnsi" w:hAnsiTheme="majorHAnsi"/>
          <w:noProof/>
          <w:szCs w:val="22"/>
          <w:lang w:val="es-ES"/>
        </w:rPr>
        <w:t xml:space="preserve">(9), e74496. </w:t>
      </w:r>
      <w:hyperlink r:id="rId583" w:history="1">
        <w:r w:rsidRPr="003338D7">
          <w:rPr>
            <w:rStyle w:val="Hyperlink"/>
            <w:rFonts w:asciiTheme="majorHAnsi" w:hAnsiTheme="majorHAnsi"/>
            <w:noProof/>
            <w:szCs w:val="22"/>
            <w:lang w:val="es-ES"/>
          </w:rPr>
          <w:t>http://doi.org/10.1371/journal.pone.0074496</w:t>
        </w:r>
      </w:hyperlink>
    </w:p>
    <w:p w14:paraId="65F8500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Lyra-Jorge, M. C., Ciocheti, G., &amp; Pivello, V. R. (2008). </w:t>
      </w:r>
      <w:r w:rsidRPr="003338D7">
        <w:rPr>
          <w:rFonts w:asciiTheme="majorHAnsi" w:hAnsiTheme="majorHAnsi"/>
          <w:noProof/>
          <w:szCs w:val="22"/>
        </w:rPr>
        <w:t xml:space="preserve">Carnivore mammals in a fragmented landscape in northeast of Sao Paulo State, Brazil.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17</w:t>
      </w:r>
      <w:r w:rsidRPr="003338D7">
        <w:rPr>
          <w:rFonts w:asciiTheme="majorHAnsi" w:hAnsiTheme="majorHAnsi"/>
          <w:noProof/>
          <w:szCs w:val="22"/>
        </w:rPr>
        <w:t>(7), 1573–1580.</w:t>
      </w:r>
    </w:p>
    <w:p w14:paraId="0222CF46" w14:textId="4AD00F63"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MacGregor-Fors, I., &amp; Ortega-Álvarez, R. (Eds.). </w:t>
      </w:r>
      <w:r w:rsidRPr="003338D7">
        <w:rPr>
          <w:rFonts w:asciiTheme="majorHAnsi" w:hAnsiTheme="majorHAnsi"/>
          <w:noProof/>
          <w:szCs w:val="22"/>
          <w:lang w:val="es-ES"/>
        </w:rPr>
        <w:t xml:space="preserve">(2013). Ecología Urbana: Experiencias en América Latina. Retrieved from </w:t>
      </w:r>
      <w:hyperlink r:id="rId584" w:history="1">
        <w:r w:rsidRPr="003338D7">
          <w:rPr>
            <w:rStyle w:val="Hyperlink"/>
            <w:rFonts w:asciiTheme="majorHAnsi" w:hAnsiTheme="majorHAnsi"/>
            <w:noProof/>
            <w:szCs w:val="22"/>
            <w:lang w:val="es-ES"/>
          </w:rPr>
          <w:t>www1.inecol.edu.mx/libro_ecologia_urbana</w:t>
        </w:r>
      </w:hyperlink>
    </w:p>
    <w:p w14:paraId="0C7662C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Macossay-Cortez, A., Sánchez, A. J., Florido, R., Huidobro, L., &amp; Montalvo-Urgel, H. (2011). </w:t>
      </w:r>
      <w:r w:rsidRPr="003338D7">
        <w:rPr>
          <w:rFonts w:asciiTheme="majorHAnsi" w:hAnsiTheme="majorHAnsi"/>
          <w:noProof/>
          <w:szCs w:val="22"/>
        </w:rPr>
        <w:t xml:space="preserve">Historical and environmental distribution of ichthyofauna in the tropical wetland of Pantanos de Centla, southern Gulf of Mexico. </w:t>
      </w:r>
      <w:r w:rsidRPr="003338D7">
        <w:rPr>
          <w:rFonts w:asciiTheme="majorHAnsi" w:hAnsiTheme="majorHAnsi"/>
          <w:i/>
          <w:iCs/>
          <w:noProof/>
          <w:szCs w:val="22"/>
          <w:lang w:val="es-ES"/>
        </w:rPr>
        <w:t>Acta Ichthyologica et Piscatoria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41</w:t>
      </w:r>
      <w:r w:rsidRPr="003338D7">
        <w:rPr>
          <w:rFonts w:asciiTheme="majorHAnsi" w:hAnsiTheme="majorHAnsi"/>
          <w:noProof/>
          <w:szCs w:val="22"/>
          <w:lang w:val="es-ES"/>
        </w:rPr>
        <w:t xml:space="preserve">(3), 229–245. </w:t>
      </w:r>
      <w:hyperlink r:id="rId585" w:history="1">
        <w:r w:rsidRPr="003338D7">
          <w:rPr>
            <w:rStyle w:val="Hyperlink"/>
            <w:rFonts w:asciiTheme="majorHAnsi" w:hAnsiTheme="majorHAnsi"/>
            <w:noProof/>
            <w:szCs w:val="22"/>
            <w:lang w:val="es-ES"/>
          </w:rPr>
          <w:t>http://doi.org/10.3750/AIP2011.41.3.11</w:t>
        </w:r>
      </w:hyperlink>
    </w:p>
    <w:p w14:paraId="34B86EE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Maestre, F. T., Quero, J. L., Gotelli, N. J., Escudero, A., Ochoa, V., Delgado-Baquerizo, M., García-Gómez, M., Bowker, M. A., Soliveres, S., Escolar, C., García-Palacios, P., Berdugo, M., Valencia, E., Gozalo, B., Gallardo, A., Aguilera, L., Arredondo, T., Blones, J., Boeken, B., Bran, D., Conceição, A. A., Cabrera, O., Chaieb, M., Derak, M., Eldridge, D. J., Espinosa, C. I., Florentino, A., Gaitán, J., Gatica, M. G., Ghiloufi, W., Gómez-González, S., Gutiérrez, J. R., Hernández, R. M., Huang, X., Huber-Sannwald, E., Jankju, M., Miriti, M., Monerris, J., Mau, R. L., Morici, E., Naseri, K., Ospina, A., Polo, V., Prina, A., Pucheta, E., Ramírez-Collantes, D. A., Romão, R., Tighe, M., Torres-Díaz, C., Val, J., Veiga, J. P., Wang, D., &amp; Zaady, E. (2012). Plant species richness and ecosystem multifunctionality in global drylands.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335</w:t>
      </w:r>
      <w:r w:rsidRPr="003338D7">
        <w:rPr>
          <w:rFonts w:asciiTheme="majorHAnsi" w:hAnsiTheme="majorHAnsi"/>
          <w:noProof/>
          <w:szCs w:val="22"/>
          <w:lang w:val="es-ES"/>
        </w:rPr>
        <w:t xml:space="preserve">(6065), 214–218. </w:t>
      </w:r>
      <w:hyperlink r:id="rId586" w:history="1">
        <w:r w:rsidRPr="003338D7">
          <w:rPr>
            <w:rStyle w:val="Hyperlink"/>
            <w:rFonts w:asciiTheme="majorHAnsi" w:hAnsiTheme="majorHAnsi"/>
            <w:noProof/>
            <w:szCs w:val="22"/>
            <w:lang w:val="es-ES"/>
          </w:rPr>
          <w:t>https://doi.org/10.1126/science.1215442</w:t>
        </w:r>
      </w:hyperlink>
    </w:p>
    <w:p w14:paraId="228328A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Maitner, B. S., Boyle, B., Casler, N., Condit, R., Donoghue, J., Durán, S. M., Guaderrama, D., Hinchliff, C. E., Jørgensen, P. M., Kraft, N. J. B., McGill, B., Merow, C., Morueta-Holme, N., Peet, R. K., Sandel, B., Schildhauer, M., Smith, S. A., Svenning, J.-C., Thiers, B., Violle, C., Wiser, S., &amp; Enquist, B. J. (2017). The BIEB r package: A tool to access the Botanical Information and Ecology Network (BIEN) database. </w:t>
      </w:r>
      <w:r w:rsidRPr="003338D7">
        <w:rPr>
          <w:rFonts w:asciiTheme="majorHAnsi" w:hAnsiTheme="majorHAnsi"/>
          <w:i/>
          <w:iCs/>
          <w:noProof/>
          <w:szCs w:val="22"/>
          <w:lang w:val="es-ES"/>
        </w:rPr>
        <w:t>Methods in Ecology and Evolution</w:t>
      </w:r>
      <w:r w:rsidRPr="003338D7">
        <w:rPr>
          <w:rFonts w:asciiTheme="majorHAnsi" w:hAnsiTheme="majorHAnsi"/>
          <w:noProof/>
          <w:szCs w:val="22"/>
          <w:lang w:val="es-ES"/>
        </w:rPr>
        <w:t xml:space="preserve">, (March), 1–7. </w:t>
      </w:r>
      <w:hyperlink r:id="rId587" w:history="1">
        <w:r w:rsidRPr="003338D7">
          <w:rPr>
            <w:rStyle w:val="Hyperlink"/>
            <w:rFonts w:asciiTheme="majorHAnsi" w:hAnsiTheme="majorHAnsi"/>
            <w:noProof/>
            <w:szCs w:val="22"/>
            <w:lang w:val="es-ES"/>
          </w:rPr>
          <w:t>https://doi.org/10.1111/2041-210X.12861</w:t>
        </w:r>
      </w:hyperlink>
    </w:p>
    <w:p w14:paraId="1CBBD86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rPr>
        <w:t xml:space="preserve">Malanson, G. P., Cheney, A. B., &amp; Kinney, M. (2015). Climatic and geographic relations of alpine tundra floras in western North America. </w:t>
      </w:r>
      <w:r w:rsidRPr="003338D7">
        <w:rPr>
          <w:rFonts w:asciiTheme="majorHAnsi" w:hAnsiTheme="majorHAnsi"/>
          <w:i/>
          <w:iCs/>
          <w:noProof/>
          <w:szCs w:val="22"/>
          <w:lang w:val="de-DE"/>
        </w:rPr>
        <w:t>Alpine Botany</w:t>
      </w:r>
      <w:r w:rsidRPr="003338D7">
        <w:rPr>
          <w:rFonts w:asciiTheme="majorHAnsi" w:hAnsiTheme="majorHAnsi"/>
          <w:noProof/>
          <w:szCs w:val="22"/>
          <w:lang w:val="de-DE"/>
        </w:rPr>
        <w:t xml:space="preserve">, </w:t>
      </w:r>
      <w:r w:rsidRPr="003338D7">
        <w:rPr>
          <w:rFonts w:asciiTheme="majorHAnsi" w:hAnsiTheme="majorHAnsi"/>
          <w:i/>
          <w:iCs/>
          <w:noProof/>
          <w:szCs w:val="22"/>
          <w:lang w:val="de-DE"/>
        </w:rPr>
        <w:t>125</w:t>
      </w:r>
      <w:r w:rsidRPr="003338D7">
        <w:rPr>
          <w:rFonts w:asciiTheme="majorHAnsi" w:hAnsiTheme="majorHAnsi"/>
          <w:noProof/>
          <w:szCs w:val="22"/>
          <w:lang w:val="de-DE"/>
        </w:rPr>
        <w:t xml:space="preserve">(1), 21–29. </w:t>
      </w:r>
      <w:hyperlink r:id="rId588" w:history="1">
        <w:r w:rsidRPr="003338D7">
          <w:rPr>
            <w:rStyle w:val="Hyperlink"/>
            <w:rFonts w:asciiTheme="majorHAnsi" w:hAnsiTheme="majorHAnsi"/>
            <w:noProof/>
            <w:szCs w:val="22"/>
            <w:lang w:val="de-DE"/>
          </w:rPr>
          <w:t>http://doi.org/10.1007/s00035-014-0144-9</w:t>
        </w:r>
      </w:hyperlink>
    </w:p>
    <w:p w14:paraId="6D6A23B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Malanson, G. P., Zimmerman, D. L., &amp; Fagre, D. B. (2015). </w:t>
      </w:r>
      <w:r w:rsidRPr="003338D7">
        <w:rPr>
          <w:rFonts w:asciiTheme="majorHAnsi" w:hAnsiTheme="majorHAnsi"/>
          <w:noProof/>
          <w:szCs w:val="22"/>
        </w:rPr>
        <w:t xml:space="preserve">Floristic similarity, diversity and endemism as indicators of refugia characteristics and needs in the West. </w:t>
      </w:r>
      <w:r w:rsidRPr="003338D7">
        <w:rPr>
          <w:rFonts w:asciiTheme="majorHAnsi" w:hAnsiTheme="majorHAnsi"/>
          <w:i/>
          <w:iCs/>
          <w:noProof/>
          <w:szCs w:val="22"/>
        </w:rPr>
        <w:t>Biodiversity</w:t>
      </w:r>
      <w:r w:rsidRPr="003338D7">
        <w:rPr>
          <w:rFonts w:asciiTheme="majorHAnsi" w:hAnsiTheme="majorHAnsi"/>
          <w:noProof/>
          <w:szCs w:val="22"/>
        </w:rPr>
        <w:t xml:space="preserve">, </w:t>
      </w:r>
      <w:r w:rsidRPr="003338D7">
        <w:rPr>
          <w:rFonts w:asciiTheme="majorHAnsi" w:hAnsiTheme="majorHAnsi"/>
          <w:i/>
          <w:iCs/>
          <w:noProof/>
          <w:szCs w:val="22"/>
        </w:rPr>
        <w:t>16</w:t>
      </w:r>
      <w:r w:rsidRPr="003338D7">
        <w:rPr>
          <w:rFonts w:asciiTheme="majorHAnsi" w:hAnsiTheme="majorHAnsi"/>
          <w:noProof/>
          <w:szCs w:val="22"/>
        </w:rPr>
        <w:t xml:space="preserve">(4), 237–246. </w:t>
      </w:r>
      <w:hyperlink r:id="rId589" w:history="1">
        <w:r w:rsidRPr="003338D7">
          <w:rPr>
            <w:rStyle w:val="Hyperlink"/>
            <w:rFonts w:asciiTheme="majorHAnsi" w:hAnsiTheme="majorHAnsi"/>
            <w:noProof/>
            <w:szCs w:val="22"/>
          </w:rPr>
          <w:t>http://doi.org/10.1080/14888386.2015.1117989</w:t>
        </w:r>
      </w:hyperlink>
    </w:p>
    <w:p w14:paraId="1BEA58A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Manhães, M. A., &amp; Loures-Ribeiro, A. (2005). Spatial distribution and diversity of bird community in an urban area of southeast Brazil. </w:t>
      </w:r>
      <w:r w:rsidRPr="003338D7">
        <w:rPr>
          <w:rFonts w:asciiTheme="majorHAnsi" w:hAnsiTheme="majorHAnsi"/>
          <w:i/>
          <w:iCs/>
          <w:noProof/>
          <w:szCs w:val="22"/>
        </w:rPr>
        <w:t>Brazilian Archives of Biology and Technology</w:t>
      </w:r>
      <w:r w:rsidRPr="003338D7">
        <w:rPr>
          <w:rFonts w:asciiTheme="majorHAnsi" w:hAnsiTheme="majorHAnsi"/>
          <w:noProof/>
          <w:szCs w:val="22"/>
        </w:rPr>
        <w:t xml:space="preserve">, </w:t>
      </w:r>
      <w:r w:rsidRPr="003338D7">
        <w:rPr>
          <w:rFonts w:asciiTheme="majorHAnsi" w:hAnsiTheme="majorHAnsi"/>
          <w:i/>
          <w:iCs/>
          <w:noProof/>
          <w:szCs w:val="22"/>
        </w:rPr>
        <w:t>48</w:t>
      </w:r>
      <w:r w:rsidRPr="003338D7">
        <w:rPr>
          <w:rFonts w:asciiTheme="majorHAnsi" w:hAnsiTheme="majorHAnsi"/>
          <w:noProof/>
          <w:szCs w:val="22"/>
        </w:rPr>
        <w:t xml:space="preserve">(2), 285–294. </w:t>
      </w:r>
      <w:hyperlink r:id="rId590" w:history="1">
        <w:r w:rsidRPr="003338D7">
          <w:rPr>
            <w:rStyle w:val="Hyperlink"/>
            <w:rFonts w:asciiTheme="majorHAnsi" w:hAnsiTheme="majorHAnsi"/>
            <w:noProof/>
            <w:szCs w:val="22"/>
          </w:rPr>
          <w:t>http://doi.org/10.1590/S1516-89132005000200016</w:t>
        </w:r>
      </w:hyperlink>
    </w:p>
    <w:p w14:paraId="0857BD1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Maragliano, R. E., Marti, L. J., Ibañez, L. M., &amp; Montalti, D. (2009). Comunidades de aves urbanas de Lavallol, Buenos Aires, Argentina. </w:t>
      </w:r>
      <w:r w:rsidRPr="003338D7">
        <w:rPr>
          <w:rFonts w:asciiTheme="majorHAnsi" w:hAnsiTheme="majorHAnsi"/>
          <w:i/>
          <w:iCs/>
          <w:noProof/>
          <w:szCs w:val="22"/>
          <w:lang w:val="es-ES"/>
        </w:rPr>
        <w:t>Acta Zoologica Lilloana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53</w:t>
      </w:r>
      <w:r w:rsidRPr="003338D7">
        <w:rPr>
          <w:rFonts w:asciiTheme="majorHAnsi" w:hAnsiTheme="majorHAnsi"/>
          <w:noProof/>
          <w:szCs w:val="22"/>
          <w:lang w:val="es-ES"/>
        </w:rPr>
        <w:t>(1–2), 108–114.</w:t>
      </w:r>
    </w:p>
    <w:p w14:paraId="28FDB43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Marateo, G., Grilli, P., Bouzas, N., Jensen, R., Ferretti, V., Juarez, M., &amp; Soave, G. (2013). Uso de hábitat por aves en rellenos sanitarios del noreste de la provincia de Buenos Aires, Argentina. </w:t>
      </w:r>
      <w:r w:rsidRPr="003338D7">
        <w:rPr>
          <w:rFonts w:asciiTheme="majorHAnsi" w:hAnsiTheme="majorHAnsi"/>
          <w:i/>
          <w:iCs/>
          <w:noProof/>
          <w:szCs w:val="22"/>
        </w:rPr>
        <w:t>Ecologia Austral</w:t>
      </w:r>
      <w:r w:rsidRPr="003338D7">
        <w:rPr>
          <w:rFonts w:asciiTheme="majorHAnsi" w:hAnsiTheme="majorHAnsi"/>
          <w:noProof/>
          <w:szCs w:val="22"/>
        </w:rPr>
        <w:t>, (Diciembre 2013), 202–208.</w:t>
      </w:r>
    </w:p>
    <w:p w14:paraId="27F820F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fr-CA"/>
        </w:rPr>
      </w:pPr>
      <w:r w:rsidRPr="003338D7">
        <w:rPr>
          <w:rFonts w:asciiTheme="majorHAnsi" w:hAnsiTheme="majorHAnsi"/>
          <w:noProof/>
          <w:szCs w:val="22"/>
        </w:rPr>
        <w:t xml:space="preserve">Mares, M. (1992). Neotropical mammals and the myth of Amazonian biodiversity. </w:t>
      </w:r>
      <w:r w:rsidRPr="003338D7">
        <w:rPr>
          <w:rFonts w:asciiTheme="majorHAnsi" w:hAnsiTheme="majorHAnsi"/>
          <w:i/>
          <w:iCs/>
          <w:noProof/>
          <w:szCs w:val="22"/>
          <w:lang w:val="fr-CA"/>
        </w:rPr>
        <w:t>Science</w:t>
      </w:r>
      <w:r w:rsidRPr="003338D7">
        <w:rPr>
          <w:rFonts w:asciiTheme="majorHAnsi" w:hAnsiTheme="majorHAnsi"/>
          <w:noProof/>
          <w:szCs w:val="22"/>
          <w:lang w:val="fr-CA"/>
        </w:rPr>
        <w:t xml:space="preserve">, </w:t>
      </w:r>
      <w:r w:rsidRPr="003338D7">
        <w:rPr>
          <w:rFonts w:asciiTheme="majorHAnsi" w:hAnsiTheme="majorHAnsi"/>
          <w:i/>
          <w:iCs/>
          <w:noProof/>
          <w:szCs w:val="22"/>
          <w:lang w:val="fr-CA"/>
        </w:rPr>
        <w:t>255</w:t>
      </w:r>
      <w:r w:rsidRPr="003338D7">
        <w:rPr>
          <w:rFonts w:asciiTheme="majorHAnsi" w:hAnsiTheme="majorHAnsi"/>
          <w:noProof/>
          <w:szCs w:val="22"/>
          <w:lang w:val="fr-CA"/>
        </w:rPr>
        <w:t xml:space="preserve">(5047), 976–979. </w:t>
      </w:r>
      <w:hyperlink r:id="rId591" w:history="1">
        <w:r w:rsidRPr="003338D7">
          <w:rPr>
            <w:rStyle w:val="Hyperlink"/>
            <w:rFonts w:asciiTheme="majorHAnsi" w:hAnsiTheme="majorHAnsi"/>
            <w:noProof/>
            <w:szCs w:val="22"/>
            <w:lang w:val="fr-CA"/>
          </w:rPr>
          <w:t>http://doi.org/10.1126/science.255.5047.976</w:t>
        </w:r>
      </w:hyperlink>
    </w:p>
    <w:p w14:paraId="75155BE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fr-CA"/>
        </w:rPr>
        <w:t>Marini, M.</w:t>
      </w:r>
      <w:r w:rsidRPr="003338D7">
        <w:rPr>
          <w:rFonts w:asciiTheme="majorHAnsi" w:hAnsiTheme="majorHAnsi" w:cs="Lucida Grande"/>
          <w:b/>
          <w:noProof/>
          <w:color w:val="000000"/>
          <w:szCs w:val="22"/>
          <w:lang w:val="fr-CA"/>
        </w:rPr>
        <w:t xml:space="preserve"> </w:t>
      </w:r>
      <w:r w:rsidRPr="003338D7">
        <w:rPr>
          <w:rFonts w:asciiTheme="majorHAnsi" w:hAnsiTheme="majorHAnsi"/>
          <w:noProof/>
          <w:szCs w:val="22"/>
          <w:lang w:val="fr-CA"/>
        </w:rPr>
        <w:t xml:space="preserve">Â., &amp; García, F. I. (2005). </w:t>
      </w:r>
      <w:r w:rsidRPr="003338D7">
        <w:rPr>
          <w:rFonts w:asciiTheme="majorHAnsi" w:hAnsiTheme="majorHAnsi"/>
          <w:noProof/>
          <w:szCs w:val="22"/>
        </w:rPr>
        <w:t xml:space="preserve">Bird conservation in Brazil.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19</w:t>
      </w:r>
      <w:r w:rsidRPr="003338D7">
        <w:rPr>
          <w:rFonts w:asciiTheme="majorHAnsi" w:hAnsiTheme="majorHAnsi"/>
          <w:noProof/>
          <w:szCs w:val="22"/>
        </w:rPr>
        <w:t xml:space="preserve">(3), 665–671. </w:t>
      </w:r>
      <w:hyperlink r:id="rId592" w:history="1">
        <w:r w:rsidRPr="003338D7">
          <w:rPr>
            <w:rStyle w:val="Hyperlink"/>
            <w:rFonts w:asciiTheme="majorHAnsi" w:hAnsiTheme="majorHAnsi"/>
            <w:noProof/>
            <w:szCs w:val="22"/>
          </w:rPr>
          <w:t>http://doi.org/10.1111/j.1523-1739.2005.00706.x</w:t>
        </w:r>
      </w:hyperlink>
    </w:p>
    <w:p w14:paraId="4F7475C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Marini, M. Â. (2001). Effects of forest fragmentation on birds of the cerrado region, Brazil. </w:t>
      </w:r>
      <w:r w:rsidRPr="003338D7">
        <w:rPr>
          <w:rFonts w:asciiTheme="majorHAnsi" w:hAnsiTheme="majorHAnsi"/>
          <w:i/>
          <w:iCs/>
          <w:noProof/>
          <w:szCs w:val="22"/>
        </w:rPr>
        <w:t>Bird Conservation International</w:t>
      </w:r>
      <w:r w:rsidRPr="003338D7">
        <w:rPr>
          <w:rFonts w:asciiTheme="majorHAnsi" w:hAnsiTheme="majorHAnsi"/>
          <w:noProof/>
          <w:szCs w:val="22"/>
        </w:rPr>
        <w:t xml:space="preserve">, </w:t>
      </w:r>
      <w:r w:rsidRPr="003338D7">
        <w:rPr>
          <w:rFonts w:asciiTheme="majorHAnsi" w:hAnsiTheme="majorHAnsi"/>
          <w:i/>
          <w:iCs/>
          <w:noProof/>
          <w:szCs w:val="22"/>
        </w:rPr>
        <w:t>11</w:t>
      </w:r>
      <w:r w:rsidRPr="003338D7">
        <w:rPr>
          <w:rFonts w:asciiTheme="majorHAnsi" w:hAnsiTheme="majorHAnsi"/>
          <w:noProof/>
          <w:szCs w:val="22"/>
        </w:rPr>
        <w:t xml:space="preserve">(1), 13–25. </w:t>
      </w:r>
      <w:hyperlink r:id="rId593" w:history="1">
        <w:r w:rsidRPr="003338D7">
          <w:rPr>
            <w:rStyle w:val="Hyperlink"/>
            <w:rFonts w:asciiTheme="majorHAnsi" w:hAnsiTheme="majorHAnsi"/>
            <w:noProof/>
            <w:szCs w:val="22"/>
          </w:rPr>
          <w:t>http://doi.org/10.1017/S0959270901001034</w:t>
        </w:r>
      </w:hyperlink>
    </w:p>
    <w:p w14:paraId="41D735A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Marquard, E., Weigelt, A., Temperton, V. M., Roscher, C., Schumacher, J., Buchmann, N., Fischer, M., Weisser, W. W., &amp; Schmid, B. (2009). Plant species richness and functional composition drive overyielding in a six-year grassland experiment. </w:t>
      </w:r>
      <w:r w:rsidRPr="003338D7">
        <w:rPr>
          <w:rFonts w:asciiTheme="majorHAnsi" w:hAnsiTheme="majorHAnsi"/>
          <w:i/>
          <w:iCs/>
          <w:noProof/>
          <w:szCs w:val="22"/>
          <w:lang w:val="es-ES"/>
        </w:rPr>
        <w:t>Ecology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90</w:t>
      </w:r>
      <w:r w:rsidRPr="003338D7">
        <w:rPr>
          <w:rFonts w:asciiTheme="majorHAnsi" w:hAnsiTheme="majorHAnsi"/>
          <w:noProof/>
          <w:szCs w:val="22"/>
          <w:lang w:val="es-ES"/>
        </w:rPr>
        <w:t xml:space="preserve">(12), 3290–3302. </w:t>
      </w:r>
      <w:hyperlink r:id="rId594" w:history="1">
        <w:r w:rsidRPr="003338D7">
          <w:rPr>
            <w:rStyle w:val="Hyperlink"/>
            <w:rFonts w:asciiTheme="majorHAnsi" w:hAnsiTheme="majorHAnsi"/>
            <w:noProof/>
            <w:szCs w:val="22"/>
            <w:lang w:val="es-ES"/>
          </w:rPr>
          <w:t>https://doi.org/10.1890/09-0069.1</w:t>
        </w:r>
      </w:hyperlink>
    </w:p>
    <w:p w14:paraId="7832F44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Martín-Forés, I., Sánchez-Jardón, L., Acosta-Gallo, B., del Pozo, A., Castro, I., de Miguel, J. M., Ovalle, C., &amp; Casado, M. A. (2015). From Spain to Chile: environmental filters and success of herbaceous species in Mediterranean-climate regions. </w:t>
      </w:r>
      <w:r w:rsidRPr="003338D7">
        <w:rPr>
          <w:rFonts w:asciiTheme="majorHAnsi" w:hAnsiTheme="majorHAnsi"/>
          <w:i/>
          <w:iCs/>
          <w:noProof/>
          <w:szCs w:val="22"/>
          <w:lang w:val="es-ES"/>
        </w:rPr>
        <w:t>Biological Invasions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17</w:t>
      </w:r>
      <w:r w:rsidRPr="003338D7">
        <w:rPr>
          <w:rFonts w:asciiTheme="majorHAnsi" w:hAnsiTheme="majorHAnsi"/>
          <w:noProof/>
          <w:szCs w:val="22"/>
          <w:lang w:val="es-ES"/>
        </w:rPr>
        <w:t xml:space="preserve">(5), 1425–1438. </w:t>
      </w:r>
      <w:hyperlink r:id="rId595" w:history="1">
        <w:r w:rsidRPr="003338D7">
          <w:rPr>
            <w:rStyle w:val="Hyperlink"/>
            <w:rFonts w:asciiTheme="majorHAnsi" w:hAnsiTheme="majorHAnsi"/>
            <w:noProof/>
            <w:szCs w:val="22"/>
            <w:lang w:val="es-ES"/>
          </w:rPr>
          <w:t>https://doi.org/10.1007/s10530-014-0805-z</w:t>
        </w:r>
      </w:hyperlink>
    </w:p>
    <w:p w14:paraId="55D23E1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Martin, L. M., Moloney, K. A., &amp; Wilsey, B. J. (2005). An assessment of grassland restoration success using species diversity components. </w:t>
      </w:r>
      <w:r w:rsidRPr="003338D7">
        <w:rPr>
          <w:rFonts w:asciiTheme="majorHAnsi" w:hAnsiTheme="majorHAnsi"/>
          <w:i/>
          <w:iCs/>
          <w:noProof/>
          <w:szCs w:val="22"/>
        </w:rPr>
        <w:t>Journal of Applied Ecology</w:t>
      </w:r>
      <w:r w:rsidRPr="003338D7">
        <w:rPr>
          <w:rFonts w:asciiTheme="majorHAnsi" w:hAnsiTheme="majorHAnsi"/>
          <w:noProof/>
          <w:szCs w:val="22"/>
        </w:rPr>
        <w:t xml:space="preserve">, </w:t>
      </w:r>
      <w:r w:rsidRPr="003338D7">
        <w:rPr>
          <w:rFonts w:asciiTheme="majorHAnsi" w:hAnsiTheme="majorHAnsi"/>
          <w:i/>
          <w:iCs/>
          <w:noProof/>
          <w:szCs w:val="22"/>
        </w:rPr>
        <w:t>42</w:t>
      </w:r>
      <w:r w:rsidRPr="003338D7">
        <w:rPr>
          <w:rFonts w:asciiTheme="majorHAnsi" w:hAnsiTheme="majorHAnsi"/>
          <w:noProof/>
          <w:szCs w:val="22"/>
        </w:rPr>
        <w:t xml:space="preserve">(2), 327–336. </w:t>
      </w:r>
      <w:hyperlink r:id="rId596" w:history="1">
        <w:r w:rsidRPr="003338D7">
          <w:rPr>
            <w:rStyle w:val="Hyperlink"/>
            <w:rFonts w:asciiTheme="majorHAnsi" w:hAnsiTheme="majorHAnsi"/>
            <w:noProof/>
            <w:szCs w:val="22"/>
          </w:rPr>
          <w:t>http://doi.org/10.1111/j.1365-2664.2005.01019.x</w:t>
        </w:r>
      </w:hyperlink>
    </w:p>
    <w:p w14:paraId="7DA5647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pt-BR"/>
        </w:rPr>
      </w:pPr>
      <w:r w:rsidRPr="003338D7">
        <w:rPr>
          <w:rFonts w:asciiTheme="majorHAnsi" w:hAnsiTheme="majorHAnsi"/>
          <w:noProof/>
          <w:szCs w:val="22"/>
        </w:rPr>
        <w:t xml:space="preserve">Martin, S. (2008). Global diversity of crocodiles (Crocodilia, Reptilia) in freshwater. </w:t>
      </w:r>
      <w:r w:rsidRPr="003338D7">
        <w:rPr>
          <w:rFonts w:asciiTheme="majorHAnsi" w:hAnsiTheme="majorHAnsi"/>
          <w:i/>
          <w:iCs/>
          <w:noProof/>
          <w:szCs w:val="22"/>
          <w:lang w:val="pt-BR"/>
        </w:rPr>
        <w:t>Hydrobiologia</w:t>
      </w:r>
      <w:r w:rsidRPr="003338D7">
        <w:rPr>
          <w:rFonts w:asciiTheme="majorHAnsi" w:hAnsiTheme="majorHAnsi"/>
          <w:noProof/>
          <w:szCs w:val="22"/>
          <w:lang w:val="pt-BR"/>
        </w:rPr>
        <w:t xml:space="preserve">, </w:t>
      </w:r>
      <w:r w:rsidRPr="003338D7">
        <w:rPr>
          <w:rFonts w:asciiTheme="majorHAnsi" w:hAnsiTheme="majorHAnsi"/>
          <w:i/>
          <w:iCs/>
          <w:noProof/>
          <w:szCs w:val="22"/>
          <w:lang w:val="pt-BR"/>
        </w:rPr>
        <w:t>595</w:t>
      </w:r>
      <w:r w:rsidRPr="003338D7">
        <w:rPr>
          <w:rFonts w:asciiTheme="majorHAnsi" w:hAnsiTheme="majorHAnsi"/>
          <w:noProof/>
          <w:szCs w:val="22"/>
          <w:lang w:val="pt-BR"/>
        </w:rPr>
        <w:t xml:space="preserve">(1), 587–591. </w:t>
      </w:r>
      <w:hyperlink r:id="rId597" w:history="1">
        <w:r w:rsidRPr="003338D7">
          <w:rPr>
            <w:rStyle w:val="Hyperlink"/>
            <w:rFonts w:asciiTheme="majorHAnsi" w:hAnsiTheme="majorHAnsi"/>
            <w:noProof/>
            <w:szCs w:val="22"/>
            <w:lang w:val="pt-BR"/>
          </w:rPr>
          <w:t>http://doi.org/10.1007/s10750-007-9030-4</w:t>
        </w:r>
      </w:hyperlink>
    </w:p>
    <w:p w14:paraId="4D0B9D6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pt-BR"/>
        </w:rPr>
        <w:t xml:space="preserve">Martyniuk, N. A., Morales, C. L., &amp; Aizen, M. A. (2015). </w:t>
      </w:r>
      <w:r w:rsidRPr="003338D7">
        <w:rPr>
          <w:rFonts w:asciiTheme="majorHAnsi" w:hAnsiTheme="majorHAnsi"/>
          <w:noProof/>
          <w:szCs w:val="22"/>
        </w:rPr>
        <w:t xml:space="preserve">Invasive conifers reduce seed set of a native Andean cedar through heterospecific pollination competition. </w:t>
      </w:r>
      <w:r w:rsidRPr="003338D7">
        <w:rPr>
          <w:rFonts w:asciiTheme="majorHAnsi" w:hAnsiTheme="majorHAnsi"/>
          <w:i/>
          <w:iCs/>
          <w:noProof/>
          <w:szCs w:val="22"/>
        </w:rPr>
        <w:t>Biological Invasions</w:t>
      </w:r>
      <w:r w:rsidRPr="003338D7">
        <w:rPr>
          <w:rFonts w:asciiTheme="majorHAnsi" w:hAnsiTheme="majorHAnsi"/>
          <w:noProof/>
          <w:szCs w:val="22"/>
        </w:rPr>
        <w:t xml:space="preserve">, </w:t>
      </w:r>
      <w:r w:rsidRPr="003338D7">
        <w:rPr>
          <w:rFonts w:asciiTheme="majorHAnsi" w:hAnsiTheme="majorHAnsi"/>
          <w:i/>
          <w:iCs/>
          <w:noProof/>
          <w:szCs w:val="22"/>
        </w:rPr>
        <w:t>17</w:t>
      </w:r>
      <w:r w:rsidRPr="003338D7">
        <w:rPr>
          <w:rFonts w:asciiTheme="majorHAnsi" w:hAnsiTheme="majorHAnsi"/>
          <w:noProof/>
          <w:szCs w:val="22"/>
        </w:rPr>
        <w:t xml:space="preserve">(4), 1055–1067. </w:t>
      </w:r>
      <w:hyperlink r:id="rId598" w:history="1">
        <w:r w:rsidRPr="003338D7">
          <w:rPr>
            <w:rStyle w:val="Hyperlink"/>
            <w:rFonts w:asciiTheme="majorHAnsi" w:hAnsiTheme="majorHAnsi"/>
            <w:noProof/>
            <w:szCs w:val="22"/>
          </w:rPr>
          <w:t>http://doi.org/10.1007/s10530-014-0775-1</w:t>
        </w:r>
      </w:hyperlink>
    </w:p>
    <w:p w14:paraId="51A1EAD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Mascitti, V., &amp; Bonaventura, S. M. (2002). Patterns of abundance, distribution and habitat use of flamingos in the high Andes, South America. </w:t>
      </w:r>
      <w:r w:rsidRPr="003338D7">
        <w:rPr>
          <w:rFonts w:asciiTheme="majorHAnsi" w:hAnsiTheme="majorHAnsi"/>
          <w:i/>
          <w:iCs/>
          <w:noProof/>
          <w:szCs w:val="22"/>
        </w:rPr>
        <w:t>Waterbirds</w:t>
      </w:r>
      <w:r w:rsidRPr="003338D7">
        <w:rPr>
          <w:rFonts w:asciiTheme="majorHAnsi" w:hAnsiTheme="majorHAnsi"/>
          <w:noProof/>
          <w:szCs w:val="22"/>
        </w:rPr>
        <w:t xml:space="preserve">, </w:t>
      </w:r>
      <w:r w:rsidRPr="003338D7">
        <w:rPr>
          <w:rFonts w:asciiTheme="majorHAnsi" w:hAnsiTheme="majorHAnsi"/>
          <w:i/>
          <w:iCs/>
          <w:noProof/>
          <w:szCs w:val="22"/>
        </w:rPr>
        <w:t>25</w:t>
      </w:r>
      <w:r w:rsidRPr="003338D7">
        <w:rPr>
          <w:rFonts w:asciiTheme="majorHAnsi" w:hAnsiTheme="majorHAnsi"/>
          <w:noProof/>
          <w:szCs w:val="22"/>
        </w:rPr>
        <w:t xml:space="preserve">, 358–365. </w:t>
      </w:r>
      <w:hyperlink r:id="rId599" w:history="1">
        <w:r w:rsidRPr="003338D7">
          <w:rPr>
            <w:rStyle w:val="Hyperlink"/>
            <w:rFonts w:asciiTheme="majorHAnsi" w:hAnsiTheme="majorHAnsi"/>
            <w:noProof/>
            <w:szCs w:val="22"/>
          </w:rPr>
          <w:t>http://doi.org/10.1675/1524-4695(2002)025%5B0358:POADAH%5D2.0.CO;2</w:t>
        </w:r>
      </w:hyperlink>
    </w:p>
    <w:p w14:paraId="4BBBB21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Masera, O. R., Bellon, M. R., &amp; Segura, G. (1995). Forest management options for sequestering carbon in Mexico. </w:t>
      </w:r>
      <w:r w:rsidRPr="003338D7">
        <w:rPr>
          <w:rFonts w:asciiTheme="majorHAnsi" w:hAnsiTheme="majorHAnsi"/>
          <w:i/>
          <w:iCs/>
          <w:noProof/>
          <w:szCs w:val="22"/>
        </w:rPr>
        <w:t>Biomass and Bioenergy</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 xml:space="preserve">(5), 357–367. </w:t>
      </w:r>
      <w:hyperlink r:id="rId600" w:history="1">
        <w:r w:rsidRPr="003338D7">
          <w:rPr>
            <w:rStyle w:val="Hyperlink"/>
            <w:rFonts w:asciiTheme="majorHAnsi" w:hAnsiTheme="majorHAnsi"/>
            <w:noProof/>
            <w:szCs w:val="22"/>
          </w:rPr>
          <w:t>http://doi.org/10.1016/0961-9534(95)00028-3</w:t>
        </w:r>
      </w:hyperlink>
    </w:p>
    <w:p w14:paraId="7AAD0B9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Matheson, K., McKenzie, C. H., Gregory, R. S., Robichaud, D. A., Bradbury, I. R., Snelgrove, P. V. R., &amp; Rose, G. A. (2016). Linking eelgrass decline and impacts on associated fish communities to European green crab </w:t>
      </w:r>
      <w:r w:rsidRPr="003338D7">
        <w:rPr>
          <w:rFonts w:asciiTheme="majorHAnsi" w:hAnsiTheme="majorHAnsi"/>
          <w:i/>
          <w:iCs/>
          <w:noProof/>
          <w:szCs w:val="22"/>
        </w:rPr>
        <w:t>Carcinus maenas</w:t>
      </w:r>
      <w:r w:rsidRPr="003338D7">
        <w:rPr>
          <w:rFonts w:asciiTheme="majorHAnsi" w:hAnsiTheme="majorHAnsi"/>
          <w:noProof/>
          <w:szCs w:val="22"/>
        </w:rPr>
        <w:t xml:space="preserve"> invasion. </w:t>
      </w:r>
      <w:r w:rsidRPr="003338D7">
        <w:rPr>
          <w:rFonts w:asciiTheme="majorHAnsi" w:hAnsiTheme="majorHAnsi"/>
          <w:i/>
          <w:iCs/>
          <w:noProof/>
          <w:szCs w:val="22"/>
        </w:rPr>
        <w:t>Marine Ecology Progress Series</w:t>
      </w:r>
      <w:r w:rsidRPr="003338D7">
        <w:rPr>
          <w:rFonts w:asciiTheme="majorHAnsi" w:hAnsiTheme="majorHAnsi"/>
          <w:noProof/>
          <w:szCs w:val="22"/>
        </w:rPr>
        <w:t xml:space="preserve">, </w:t>
      </w:r>
      <w:r w:rsidRPr="003338D7">
        <w:rPr>
          <w:rFonts w:asciiTheme="majorHAnsi" w:hAnsiTheme="majorHAnsi"/>
          <w:i/>
          <w:iCs/>
          <w:noProof/>
          <w:szCs w:val="22"/>
        </w:rPr>
        <w:t>548</w:t>
      </w:r>
      <w:r w:rsidRPr="003338D7">
        <w:rPr>
          <w:rFonts w:asciiTheme="majorHAnsi" w:hAnsiTheme="majorHAnsi"/>
          <w:noProof/>
          <w:szCs w:val="22"/>
        </w:rPr>
        <w:t xml:space="preserve">, 31–45. </w:t>
      </w:r>
      <w:hyperlink r:id="rId601" w:history="1">
        <w:r w:rsidRPr="003338D7">
          <w:rPr>
            <w:rStyle w:val="Hyperlink"/>
            <w:rFonts w:asciiTheme="majorHAnsi" w:hAnsiTheme="majorHAnsi"/>
            <w:noProof/>
            <w:szCs w:val="22"/>
          </w:rPr>
          <w:t>http://doi.org/10.3354/meps11674</w:t>
        </w:r>
      </w:hyperlink>
    </w:p>
    <w:p w14:paraId="5BA20F1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Maxwell, S. L., Fuller, R. A., Brooks, T. M., &amp; Watson, J. E. M. (2016). Biodiversity: The ravages of guns, nets and bulldozers.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536</w:t>
      </w:r>
      <w:r w:rsidRPr="003338D7">
        <w:rPr>
          <w:rFonts w:asciiTheme="majorHAnsi" w:hAnsiTheme="majorHAnsi"/>
          <w:noProof/>
          <w:szCs w:val="22"/>
        </w:rPr>
        <w:t xml:space="preserve">(7615), 143–145. </w:t>
      </w:r>
      <w:hyperlink r:id="rId602" w:history="1">
        <w:r w:rsidRPr="003338D7">
          <w:rPr>
            <w:rStyle w:val="Hyperlink"/>
            <w:rFonts w:asciiTheme="majorHAnsi" w:hAnsiTheme="majorHAnsi"/>
            <w:noProof/>
            <w:szCs w:val="22"/>
          </w:rPr>
          <w:t>http://doi.org/10.1038/536143a</w:t>
        </w:r>
      </w:hyperlink>
    </w:p>
    <w:p w14:paraId="73290B5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McCarthy, A. J., Shaw, M.-A., &amp; Goodman, S. J. (2007). Pathogen evolution and disease emergence in carnivores. </w:t>
      </w:r>
      <w:r w:rsidRPr="003338D7">
        <w:rPr>
          <w:rFonts w:asciiTheme="majorHAnsi" w:hAnsiTheme="majorHAnsi"/>
          <w:i/>
          <w:iCs/>
          <w:noProof/>
          <w:szCs w:val="22"/>
        </w:rPr>
        <w:t>Proceedings of the Royal Society B: Biological Sciences</w:t>
      </w:r>
      <w:r w:rsidRPr="003338D7">
        <w:rPr>
          <w:rFonts w:asciiTheme="majorHAnsi" w:hAnsiTheme="majorHAnsi"/>
          <w:noProof/>
          <w:szCs w:val="22"/>
        </w:rPr>
        <w:t xml:space="preserve">, </w:t>
      </w:r>
      <w:r w:rsidRPr="003338D7">
        <w:rPr>
          <w:rFonts w:asciiTheme="majorHAnsi" w:hAnsiTheme="majorHAnsi"/>
          <w:i/>
          <w:iCs/>
          <w:noProof/>
          <w:szCs w:val="22"/>
        </w:rPr>
        <w:t>274</w:t>
      </w:r>
      <w:r w:rsidRPr="003338D7">
        <w:rPr>
          <w:rFonts w:asciiTheme="majorHAnsi" w:hAnsiTheme="majorHAnsi"/>
          <w:noProof/>
          <w:szCs w:val="22"/>
        </w:rPr>
        <w:t xml:space="preserve">(1629), 3165–3174. </w:t>
      </w:r>
      <w:hyperlink r:id="rId603" w:history="1">
        <w:r w:rsidRPr="003338D7">
          <w:rPr>
            <w:rStyle w:val="Hyperlink"/>
            <w:rFonts w:asciiTheme="majorHAnsi" w:hAnsiTheme="majorHAnsi"/>
            <w:noProof/>
            <w:szCs w:val="22"/>
          </w:rPr>
          <w:t>http://doi.org/10.1098/rspb.2007.0884</w:t>
        </w:r>
      </w:hyperlink>
    </w:p>
    <w:p w14:paraId="08A5E93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McCauley, D. J., Pinsky, M. L., Palumbi, S. R., Estes, J. A., Joyce, F. H., &amp; Warner, R. R. (2015). Marine defaunation: Animal loss in the global ocean.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347</w:t>
      </w:r>
      <w:r w:rsidRPr="003338D7">
        <w:rPr>
          <w:rFonts w:asciiTheme="majorHAnsi" w:hAnsiTheme="majorHAnsi"/>
          <w:noProof/>
          <w:szCs w:val="22"/>
        </w:rPr>
        <w:t xml:space="preserve">(6219), 1255641 (1-7). </w:t>
      </w:r>
      <w:hyperlink r:id="rId604" w:history="1">
        <w:r w:rsidRPr="003338D7">
          <w:rPr>
            <w:rStyle w:val="Hyperlink"/>
            <w:rFonts w:asciiTheme="majorHAnsi" w:hAnsiTheme="majorHAnsi"/>
            <w:noProof/>
            <w:szCs w:val="22"/>
          </w:rPr>
          <w:t>http://doi.org/10.1126/science.1255641</w:t>
        </w:r>
      </w:hyperlink>
    </w:p>
    <w:p w14:paraId="5FF0DBB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McCleery, R. (2010). Urban mammals. In J. Aitkenhead-Peterson &amp; A. Volder (Eds.), </w:t>
      </w:r>
      <w:r w:rsidRPr="003338D7">
        <w:rPr>
          <w:rFonts w:asciiTheme="majorHAnsi" w:hAnsiTheme="majorHAnsi"/>
          <w:i/>
          <w:iCs/>
          <w:noProof/>
          <w:szCs w:val="22"/>
        </w:rPr>
        <w:t>Urban Ecosystem Ecology, Agronomy Monographs 55</w:t>
      </w:r>
      <w:r w:rsidRPr="003338D7">
        <w:rPr>
          <w:rFonts w:asciiTheme="majorHAnsi" w:hAnsiTheme="majorHAnsi"/>
          <w:noProof/>
          <w:szCs w:val="22"/>
        </w:rPr>
        <w:t xml:space="preserve"> (pp. 87–102). Madison, USA: American Society of Agronomy, Crop Science Society of America, Soil Science Society of America.</w:t>
      </w:r>
    </w:p>
    <w:p w14:paraId="3628E0A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McIntyre, N. E. (2000). Ecology of urban arthropods: A review and a call to action. </w:t>
      </w:r>
      <w:r w:rsidRPr="003338D7">
        <w:rPr>
          <w:rFonts w:asciiTheme="majorHAnsi" w:hAnsiTheme="majorHAnsi"/>
          <w:i/>
          <w:iCs/>
          <w:noProof/>
          <w:szCs w:val="22"/>
        </w:rPr>
        <w:t>Annals of the Entomological Society of America</w:t>
      </w:r>
      <w:r w:rsidRPr="003338D7">
        <w:rPr>
          <w:rFonts w:asciiTheme="majorHAnsi" w:hAnsiTheme="majorHAnsi"/>
          <w:noProof/>
          <w:szCs w:val="22"/>
        </w:rPr>
        <w:t xml:space="preserve">, </w:t>
      </w:r>
      <w:r w:rsidRPr="003338D7">
        <w:rPr>
          <w:rFonts w:asciiTheme="majorHAnsi" w:hAnsiTheme="majorHAnsi"/>
          <w:i/>
          <w:iCs/>
          <w:noProof/>
          <w:szCs w:val="22"/>
        </w:rPr>
        <w:t>93</w:t>
      </w:r>
      <w:r w:rsidRPr="003338D7">
        <w:rPr>
          <w:rFonts w:asciiTheme="majorHAnsi" w:hAnsiTheme="majorHAnsi"/>
          <w:noProof/>
          <w:szCs w:val="22"/>
        </w:rPr>
        <w:t xml:space="preserve">(4), 825–835. </w:t>
      </w:r>
      <w:hyperlink r:id="rId605" w:history="1">
        <w:r w:rsidRPr="003338D7">
          <w:rPr>
            <w:rStyle w:val="Hyperlink"/>
            <w:rFonts w:asciiTheme="majorHAnsi" w:hAnsiTheme="majorHAnsi"/>
            <w:noProof/>
            <w:szCs w:val="22"/>
          </w:rPr>
          <w:t>http://doi.org/10.1603/0013-8746(2000)093%5B0825:EOUAAR%5D2.0.CO;2</w:t>
        </w:r>
      </w:hyperlink>
    </w:p>
    <w:p w14:paraId="594042B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McIntyre, N. E., Rango, J., Fagan, W. F., &amp; Faeth, S. H. (2001). Ground arthropod community structure in a heterogeneous urban environment. </w:t>
      </w:r>
      <w:r w:rsidRPr="003338D7">
        <w:rPr>
          <w:rFonts w:asciiTheme="majorHAnsi" w:hAnsiTheme="majorHAnsi"/>
          <w:i/>
          <w:iCs/>
          <w:noProof/>
          <w:szCs w:val="22"/>
        </w:rPr>
        <w:t>Landscape and Urban Planning</w:t>
      </w:r>
      <w:r w:rsidRPr="003338D7">
        <w:rPr>
          <w:rFonts w:asciiTheme="majorHAnsi" w:hAnsiTheme="majorHAnsi"/>
          <w:noProof/>
          <w:szCs w:val="22"/>
        </w:rPr>
        <w:t xml:space="preserve">, </w:t>
      </w:r>
      <w:r w:rsidRPr="003338D7">
        <w:rPr>
          <w:rFonts w:asciiTheme="majorHAnsi" w:hAnsiTheme="majorHAnsi"/>
          <w:i/>
          <w:iCs/>
          <w:noProof/>
          <w:szCs w:val="22"/>
        </w:rPr>
        <w:t>52</w:t>
      </w:r>
      <w:r w:rsidRPr="003338D7">
        <w:rPr>
          <w:rFonts w:asciiTheme="majorHAnsi" w:hAnsiTheme="majorHAnsi"/>
          <w:noProof/>
          <w:szCs w:val="22"/>
        </w:rPr>
        <w:t xml:space="preserve">(4), 257–274. </w:t>
      </w:r>
      <w:hyperlink r:id="rId606" w:history="1">
        <w:r w:rsidRPr="003338D7">
          <w:rPr>
            <w:rStyle w:val="Hyperlink"/>
            <w:rFonts w:asciiTheme="majorHAnsi" w:hAnsiTheme="majorHAnsi"/>
            <w:noProof/>
            <w:szCs w:val="22"/>
          </w:rPr>
          <w:t>http://doi.org/10.1016/S0169-2046(00)00122-5</w:t>
        </w:r>
      </w:hyperlink>
    </w:p>
    <w:p w14:paraId="114C0F3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McIntyre, P. B., Reidy Liermann, C. A., &amp; Revenga, C. (2016). Linking freshwater fishery management to global food security and biodiversity conservation. </w:t>
      </w:r>
      <w:r w:rsidRPr="003338D7">
        <w:rPr>
          <w:rFonts w:asciiTheme="majorHAnsi" w:hAnsiTheme="majorHAnsi"/>
          <w:i/>
          <w:iCs/>
          <w:noProof/>
          <w:szCs w:val="22"/>
        </w:rPr>
        <w:t>PNAS</w:t>
      </w:r>
      <w:r w:rsidRPr="003338D7">
        <w:rPr>
          <w:rFonts w:asciiTheme="majorHAnsi" w:hAnsiTheme="majorHAnsi"/>
          <w:noProof/>
          <w:szCs w:val="22"/>
        </w:rPr>
        <w:t xml:space="preserve">, </w:t>
      </w:r>
      <w:r w:rsidRPr="003338D7">
        <w:rPr>
          <w:rFonts w:asciiTheme="majorHAnsi" w:hAnsiTheme="majorHAnsi"/>
          <w:i/>
          <w:iCs/>
          <w:noProof/>
          <w:szCs w:val="22"/>
        </w:rPr>
        <w:t>113</w:t>
      </w:r>
      <w:r w:rsidRPr="003338D7">
        <w:rPr>
          <w:rFonts w:asciiTheme="majorHAnsi" w:hAnsiTheme="majorHAnsi"/>
          <w:noProof/>
          <w:szCs w:val="22"/>
        </w:rPr>
        <w:t xml:space="preserve">(45), 12880–12885. </w:t>
      </w:r>
      <w:hyperlink r:id="rId607" w:history="1">
        <w:r w:rsidRPr="003338D7">
          <w:rPr>
            <w:rStyle w:val="Hyperlink"/>
            <w:rFonts w:asciiTheme="majorHAnsi" w:hAnsiTheme="majorHAnsi"/>
            <w:noProof/>
            <w:szCs w:val="22"/>
          </w:rPr>
          <w:t>http://doi.org/10.1073/pnas.1521540113</w:t>
        </w:r>
      </w:hyperlink>
    </w:p>
    <w:p w14:paraId="2DF1902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McIntyre, P. J., Thorne, J. H., Dolanc, C. R., Flint, A. L., Flint, L. E., Kelly, M., &amp; Ackerly, D. D. (2015). Twentieth-century shifts in forest structure in California: Denser forests, smaller trees, and increased dominance of oaks. </w:t>
      </w:r>
      <w:r w:rsidRPr="003338D7">
        <w:rPr>
          <w:rFonts w:asciiTheme="majorHAnsi" w:hAnsiTheme="majorHAnsi"/>
          <w:i/>
          <w:iCs/>
          <w:noProof/>
          <w:szCs w:val="22"/>
        </w:rPr>
        <w:t>PNAS</w:t>
      </w:r>
      <w:r w:rsidRPr="003338D7">
        <w:rPr>
          <w:rFonts w:asciiTheme="majorHAnsi" w:hAnsiTheme="majorHAnsi"/>
          <w:noProof/>
          <w:szCs w:val="22"/>
        </w:rPr>
        <w:t xml:space="preserve">, </w:t>
      </w:r>
      <w:r w:rsidRPr="003338D7">
        <w:rPr>
          <w:rFonts w:asciiTheme="majorHAnsi" w:hAnsiTheme="majorHAnsi"/>
          <w:i/>
          <w:iCs/>
          <w:noProof/>
          <w:szCs w:val="22"/>
        </w:rPr>
        <w:t>112</w:t>
      </w:r>
      <w:r w:rsidRPr="003338D7">
        <w:rPr>
          <w:rFonts w:asciiTheme="majorHAnsi" w:hAnsiTheme="majorHAnsi"/>
          <w:noProof/>
          <w:szCs w:val="22"/>
        </w:rPr>
        <w:t xml:space="preserve">(5), 1458–1463. </w:t>
      </w:r>
      <w:hyperlink r:id="rId608" w:history="1">
        <w:r w:rsidRPr="003338D7">
          <w:rPr>
            <w:rStyle w:val="Hyperlink"/>
            <w:rFonts w:asciiTheme="majorHAnsi" w:hAnsiTheme="majorHAnsi"/>
            <w:noProof/>
            <w:szCs w:val="22"/>
          </w:rPr>
          <w:t>http://doi.org/10.1073/pnas.1410186112</w:t>
        </w:r>
      </w:hyperlink>
    </w:p>
    <w:p w14:paraId="2734A8E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McKane, R. B., Johnson, L. C., Shaver, G. R., Nadelhoffer, K. J., Rastetter, E. B., Fry, B., Giblin, A. E., Kielland, K., Kwiatkowski, B. L., Laundre, J. A., &amp; Murray, G. (2002). Resource-based niches provide a basis for plant species diversity and dominance in arctic tundra.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415</w:t>
      </w:r>
      <w:r w:rsidRPr="003338D7">
        <w:rPr>
          <w:rFonts w:asciiTheme="majorHAnsi" w:hAnsiTheme="majorHAnsi"/>
          <w:noProof/>
          <w:szCs w:val="22"/>
          <w:lang w:val="es-ES"/>
        </w:rPr>
        <w:t xml:space="preserve">(6867), 68–71. </w:t>
      </w:r>
      <w:hyperlink r:id="rId609" w:history="1">
        <w:r w:rsidRPr="003338D7">
          <w:rPr>
            <w:rStyle w:val="Hyperlink"/>
            <w:rFonts w:asciiTheme="majorHAnsi" w:hAnsiTheme="majorHAnsi"/>
            <w:noProof/>
            <w:szCs w:val="22"/>
            <w:lang w:val="es-ES"/>
          </w:rPr>
          <w:t>https://doi.org/10.1038/415068a</w:t>
        </w:r>
      </w:hyperlink>
    </w:p>
    <w:p w14:paraId="2A3F586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McKee, K. L., Cahoon, D. R., &amp; Feller, I. C. (2007). Caribbean mangroves adjust to rising sea level through biotic controls on change in soil elevation. </w:t>
      </w:r>
      <w:r w:rsidRPr="003338D7">
        <w:rPr>
          <w:rFonts w:asciiTheme="majorHAnsi" w:hAnsiTheme="majorHAnsi"/>
          <w:i/>
          <w:iCs/>
          <w:noProof/>
          <w:szCs w:val="22"/>
        </w:rPr>
        <w:t>Global Ecology and Biogeography</w:t>
      </w:r>
      <w:r w:rsidRPr="003338D7">
        <w:rPr>
          <w:rFonts w:asciiTheme="majorHAnsi" w:hAnsiTheme="majorHAnsi"/>
          <w:noProof/>
          <w:szCs w:val="22"/>
        </w:rPr>
        <w:t xml:space="preserve">, </w:t>
      </w:r>
      <w:r w:rsidRPr="003338D7">
        <w:rPr>
          <w:rFonts w:asciiTheme="majorHAnsi" w:hAnsiTheme="majorHAnsi"/>
          <w:i/>
          <w:iCs/>
          <w:noProof/>
          <w:szCs w:val="22"/>
        </w:rPr>
        <w:t>16</w:t>
      </w:r>
      <w:r w:rsidRPr="003338D7">
        <w:rPr>
          <w:rFonts w:asciiTheme="majorHAnsi" w:hAnsiTheme="majorHAnsi"/>
          <w:noProof/>
          <w:szCs w:val="22"/>
        </w:rPr>
        <w:t xml:space="preserve">, 545–556. </w:t>
      </w:r>
      <w:hyperlink r:id="rId610" w:history="1">
        <w:r w:rsidRPr="003338D7">
          <w:rPr>
            <w:rStyle w:val="Hyperlink"/>
            <w:rFonts w:asciiTheme="majorHAnsi" w:hAnsiTheme="majorHAnsi"/>
            <w:noProof/>
            <w:szCs w:val="22"/>
          </w:rPr>
          <w:t>http://doi.org/10.1111/j.1466-8238.2007.00317.x</w:t>
        </w:r>
      </w:hyperlink>
    </w:p>
    <w:p w14:paraId="5B2EC4F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McKinney, M. L. (2002). Urbanization, biodiversity, and conservation. </w:t>
      </w:r>
      <w:r w:rsidRPr="003338D7">
        <w:rPr>
          <w:rFonts w:asciiTheme="majorHAnsi" w:hAnsiTheme="majorHAnsi"/>
          <w:i/>
          <w:iCs/>
          <w:noProof/>
          <w:szCs w:val="22"/>
        </w:rPr>
        <w:t>BioScience</w:t>
      </w:r>
      <w:r w:rsidRPr="003338D7">
        <w:rPr>
          <w:rFonts w:asciiTheme="majorHAnsi" w:hAnsiTheme="majorHAnsi"/>
          <w:noProof/>
          <w:szCs w:val="22"/>
        </w:rPr>
        <w:t xml:space="preserve">, </w:t>
      </w:r>
      <w:r w:rsidRPr="003338D7">
        <w:rPr>
          <w:rFonts w:asciiTheme="majorHAnsi" w:hAnsiTheme="majorHAnsi"/>
          <w:i/>
          <w:iCs/>
          <w:noProof/>
          <w:szCs w:val="22"/>
        </w:rPr>
        <w:t>52</w:t>
      </w:r>
      <w:r w:rsidRPr="003338D7">
        <w:rPr>
          <w:rFonts w:asciiTheme="majorHAnsi" w:hAnsiTheme="majorHAnsi"/>
          <w:noProof/>
          <w:szCs w:val="22"/>
        </w:rPr>
        <w:t xml:space="preserve">(10), 883–890. </w:t>
      </w:r>
      <w:hyperlink r:id="rId611" w:history="1">
        <w:r w:rsidRPr="003338D7">
          <w:rPr>
            <w:rStyle w:val="Hyperlink"/>
            <w:rFonts w:asciiTheme="majorHAnsi" w:hAnsiTheme="majorHAnsi"/>
            <w:noProof/>
            <w:szCs w:val="22"/>
          </w:rPr>
          <w:t>http://doi.org/10.1641/0006-3568(2002)052%5B0883:UBAC%5D2.0.CO;2</w:t>
        </w:r>
      </w:hyperlink>
    </w:p>
    <w:p w14:paraId="2C46893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McKinney, M. L. (2006). Urbanization as a major cause of biotic homogenization.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127</w:t>
      </w:r>
      <w:r w:rsidRPr="003338D7">
        <w:rPr>
          <w:rFonts w:asciiTheme="majorHAnsi" w:hAnsiTheme="majorHAnsi"/>
          <w:noProof/>
          <w:szCs w:val="22"/>
        </w:rPr>
        <w:t xml:space="preserve">, 247–260. </w:t>
      </w:r>
      <w:hyperlink r:id="rId612" w:history="1">
        <w:r w:rsidRPr="003338D7">
          <w:rPr>
            <w:rStyle w:val="Hyperlink"/>
            <w:rFonts w:asciiTheme="majorHAnsi" w:hAnsiTheme="majorHAnsi"/>
            <w:noProof/>
            <w:szCs w:val="22"/>
          </w:rPr>
          <w:t>http://doi.org/10.1016/j.biocon.2005.09.005</w:t>
        </w:r>
      </w:hyperlink>
    </w:p>
    <w:p w14:paraId="290A4B1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McKinney, M. L. (2008). Effects of urbanization on species richness: A review of plants and animals. </w:t>
      </w:r>
      <w:r w:rsidRPr="003338D7">
        <w:rPr>
          <w:rFonts w:asciiTheme="majorHAnsi" w:hAnsiTheme="majorHAnsi"/>
          <w:i/>
          <w:iCs/>
          <w:noProof/>
          <w:szCs w:val="22"/>
        </w:rPr>
        <w:t>Urban Ecosystems</w:t>
      </w:r>
      <w:r w:rsidRPr="003338D7">
        <w:rPr>
          <w:rFonts w:asciiTheme="majorHAnsi" w:hAnsiTheme="majorHAnsi"/>
          <w:noProof/>
          <w:szCs w:val="22"/>
        </w:rPr>
        <w:t xml:space="preserve">, </w:t>
      </w:r>
      <w:r w:rsidRPr="003338D7">
        <w:rPr>
          <w:rFonts w:asciiTheme="majorHAnsi" w:hAnsiTheme="majorHAnsi"/>
          <w:i/>
          <w:iCs/>
          <w:noProof/>
          <w:szCs w:val="22"/>
        </w:rPr>
        <w:t>11</w:t>
      </w:r>
      <w:r w:rsidRPr="003338D7">
        <w:rPr>
          <w:rFonts w:asciiTheme="majorHAnsi" w:hAnsiTheme="majorHAnsi"/>
          <w:noProof/>
          <w:szCs w:val="22"/>
        </w:rPr>
        <w:t xml:space="preserve">(2), 161–176. </w:t>
      </w:r>
      <w:hyperlink r:id="rId613" w:history="1">
        <w:r w:rsidRPr="003338D7">
          <w:rPr>
            <w:rStyle w:val="Hyperlink"/>
            <w:rFonts w:asciiTheme="majorHAnsi" w:hAnsiTheme="majorHAnsi"/>
            <w:noProof/>
            <w:szCs w:val="22"/>
          </w:rPr>
          <w:t>http://doi.org/10.1007/s11252-007-0045-4</w:t>
        </w:r>
      </w:hyperlink>
    </w:p>
    <w:p w14:paraId="0AEF518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rPr>
        <w:t xml:space="preserve">McNaughton, S. J., Oesterheld, M., Frank, D. A., &amp; Williams, K. J. (1989). Ecosystem-level patterns of primary productivity and herbivory in terrestrial habitats. </w:t>
      </w:r>
      <w:r w:rsidRPr="003338D7">
        <w:rPr>
          <w:rFonts w:asciiTheme="majorHAnsi" w:hAnsiTheme="majorHAnsi"/>
          <w:i/>
          <w:iCs/>
          <w:noProof/>
          <w:szCs w:val="22"/>
          <w:lang w:val="de-DE"/>
        </w:rPr>
        <w:t>Nature</w:t>
      </w:r>
      <w:r w:rsidRPr="003338D7">
        <w:rPr>
          <w:rFonts w:asciiTheme="majorHAnsi" w:hAnsiTheme="majorHAnsi"/>
          <w:noProof/>
          <w:szCs w:val="22"/>
          <w:lang w:val="de-DE"/>
        </w:rPr>
        <w:t xml:space="preserve">, </w:t>
      </w:r>
      <w:r w:rsidRPr="003338D7">
        <w:rPr>
          <w:rFonts w:asciiTheme="majorHAnsi" w:hAnsiTheme="majorHAnsi"/>
          <w:i/>
          <w:iCs/>
          <w:noProof/>
          <w:szCs w:val="22"/>
          <w:lang w:val="de-DE"/>
        </w:rPr>
        <w:t>341</w:t>
      </w:r>
      <w:r w:rsidRPr="003338D7">
        <w:rPr>
          <w:rFonts w:asciiTheme="majorHAnsi" w:hAnsiTheme="majorHAnsi"/>
          <w:noProof/>
          <w:szCs w:val="22"/>
          <w:lang w:val="de-DE"/>
        </w:rPr>
        <w:t xml:space="preserve">, 142–144. </w:t>
      </w:r>
      <w:hyperlink r:id="rId614" w:history="1">
        <w:r w:rsidRPr="003338D7">
          <w:rPr>
            <w:rStyle w:val="Hyperlink"/>
            <w:rFonts w:asciiTheme="majorHAnsi" w:hAnsiTheme="majorHAnsi"/>
            <w:noProof/>
            <w:szCs w:val="22"/>
            <w:lang w:val="de-DE"/>
          </w:rPr>
          <w:t>http://doi.org/10.1038/341142a0</w:t>
        </w:r>
      </w:hyperlink>
    </w:p>
    <w:p w14:paraId="1A16726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McPhearson, T., Auch, R., &amp; Alberti, M. (2013). </w:t>
      </w:r>
      <w:r w:rsidRPr="003338D7">
        <w:rPr>
          <w:rFonts w:asciiTheme="majorHAnsi" w:hAnsiTheme="majorHAnsi"/>
          <w:noProof/>
          <w:szCs w:val="22"/>
        </w:rPr>
        <w:t xml:space="preserve">Regional assessment of North America: Urbanization trends, biodiversity patterns, and ecosystem services. In T. Elmqvist, M. Fragkias, J. Goodness, B. Güneralp, P. J. Marcotullio, R. I. McDonald, … C. Wilkinson (Eds.), </w:t>
      </w:r>
      <w:r w:rsidRPr="003338D7">
        <w:rPr>
          <w:rFonts w:asciiTheme="majorHAnsi" w:hAnsiTheme="majorHAnsi"/>
          <w:i/>
          <w:iCs/>
          <w:noProof/>
          <w:szCs w:val="22"/>
        </w:rPr>
        <w:t>Urbanization, Biodiversity and Ecosystem Services: Challenges and Opportunities: A Global Assessment</w:t>
      </w:r>
      <w:r w:rsidRPr="003338D7">
        <w:rPr>
          <w:rFonts w:asciiTheme="majorHAnsi" w:hAnsiTheme="majorHAnsi"/>
          <w:noProof/>
          <w:szCs w:val="22"/>
        </w:rPr>
        <w:t xml:space="preserve"> (pp. 279–286). New York, USA: Springer.</w:t>
      </w:r>
    </w:p>
    <w:p w14:paraId="6A30415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MD Sea Grant. (n.d.). Bait Worm Study. Retrieved from </w:t>
      </w:r>
      <w:hyperlink r:id="rId615" w:history="1">
        <w:r w:rsidRPr="003338D7">
          <w:rPr>
            <w:rStyle w:val="Hyperlink"/>
            <w:rFonts w:asciiTheme="majorHAnsi" w:hAnsiTheme="majorHAnsi"/>
            <w:noProof/>
            <w:szCs w:val="22"/>
          </w:rPr>
          <w:t>http://www.mdsg.umd.edu/topics/aquatic-invasive-species/bait-worm-study</w:t>
        </w:r>
      </w:hyperlink>
    </w:p>
    <w:p w14:paraId="5846C77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Medan, D., Torretta, J. P., Hodara, K., de la Fuente, E. B., &amp; Montaldo, N. H. (2011). </w:t>
      </w:r>
      <w:r w:rsidRPr="003338D7">
        <w:rPr>
          <w:rFonts w:asciiTheme="majorHAnsi" w:hAnsiTheme="majorHAnsi"/>
          <w:noProof/>
          <w:szCs w:val="22"/>
        </w:rPr>
        <w:t xml:space="preserve">Effects of agriculture expansion and intensification on the vertebrate and invertebrate diversity in the Pampas of Argentina.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20</w:t>
      </w:r>
      <w:r w:rsidRPr="003338D7">
        <w:rPr>
          <w:rFonts w:asciiTheme="majorHAnsi" w:hAnsiTheme="majorHAnsi"/>
          <w:noProof/>
          <w:szCs w:val="22"/>
        </w:rPr>
        <w:t xml:space="preserve">(13), 3077–3100. </w:t>
      </w:r>
      <w:hyperlink r:id="rId616" w:history="1">
        <w:r w:rsidRPr="003338D7">
          <w:rPr>
            <w:rStyle w:val="Hyperlink"/>
            <w:rFonts w:asciiTheme="majorHAnsi" w:hAnsiTheme="majorHAnsi"/>
            <w:noProof/>
            <w:szCs w:val="22"/>
          </w:rPr>
          <w:t>http://doi.org/10.1007/s10531-011-0118-9</w:t>
        </w:r>
      </w:hyperlink>
    </w:p>
    <w:p w14:paraId="2E5E466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Medeiros, R. B. de, Focht, T., Menegon, L. L., &amp; Freitas, M. R. (2014). Seed longevity of </w:t>
      </w:r>
      <w:r w:rsidRPr="003338D7">
        <w:rPr>
          <w:rFonts w:asciiTheme="majorHAnsi" w:hAnsiTheme="majorHAnsi"/>
          <w:i/>
          <w:iCs/>
          <w:noProof/>
          <w:szCs w:val="22"/>
        </w:rPr>
        <w:t>Eragrostis plana</w:t>
      </w:r>
      <w:r w:rsidRPr="003338D7">
        <w:rPr>
          <w:rFonts w:asciiTheme="majorHAnsi" w:hAnsiTheme="majorHAnsi"/>
          <w:noProof/>
          <w:szCs w:val="22"/>
        </w:rPr>
        <w:t xml:space="preserve"> Nees buried in natural grassland soil. </w:t>
      </w:r>
      <w:r w:rsidRPr="003338D7">
        <w:rPr>
          <w:rFonts w:asciiTheme="majorHAnsi" w:hAnsiTheme="majorHAnsi"/>
          <w:i/>
          <w:iCs/>
          <w:noProof/>
          <w:szCs w:val="22"/>
          <w:lang w:val="es-ES"/>
        </w:rPr>
        <w:t>Revista Brasileira de Zootecnia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43</w:t>
      </w:r>
      <w:r w:rsidRPr="003338D7">
        <w:rPr>
          <w:rFonts w:asciiTheme="majorHAnsi" w:hAnsiTheme="majorHAnsi"/>
          <w:noProof/>
          <w:szCs w:val="22"/>
          <w:lang w:val="es-ES"/>
        </w:rPr>
        <w:t xml:space="preserve">(11), 561–567. </w:t>
      </w:r>
      <w:hyperlink r:id="rId617" w:history="1">
        <w:r w:rsidRPr="003338D7">
          <w:rPr>
            <w:rStyle w:val="Hyperlink"/>
            <w:rFonts w:asciiTheme="majorHAnsi" w:hAnsiTheme="majorHAnsi"/>
            <w:noProof/>
            <w:szCs w:val="22"/>
            <w:lang w:val="es-ES"/>
          </w:rPr>
          <w:t>http://doi.org/10.1590/S1516-35982014001100001</w:t>
        </w:r>
      </w:hyperlink>
    </w:p>
    <w:p w14:paraId="71BF4C5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Meltofte, H. (Ed.). </w:t>
      </w:r>
      <w:r w:rsidRPr="003338D7">
        <w:rPr>
          <w:rFonts w:asciiTheme="majorHAnsi" w:hAnsiTheme="majorHAnsi"/>
          <w:noProof/>
          <w:szCs w:val="22"/>
        </w:rPr>
        <w:t xml:space="preserve">(2013). </w:t>
      </w:r>
      <w:r w:rsidRPr="003338D7">
        <w:rPr>
          <w:rFonts w:asciiTheme="majorHAnsi" w:hAnsiTheme="majorHAnsi"/>
          <w:i/>
          <w:iCs/>
          <w:noProof/>
          <w:szCs w:val="22"/>
        </w:rPr>
        <w:t>Arctic Biodiversity Assessment. Status and Trends in Arctic Biodiversity</w:t>
      </w:r>
      <w:r w:rsidRPr="003338D7">
        <w:rPr>
          <w:rFonts w:asciiTheme="majorHAnsi" w:hAnsiTheme="majorHAnsi"/>
          <w:noProof/>
          <w:szCs w:val="22"/>
        </w:rPr>
        <w:t>. Akureyri, Iceland: Conservation of Arctic Flora and Fauna.</w:t>
      </w:r>
    </w:p>
    <w:p w14:paraId="52E0493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Mena-Torres, F., Fernández-San Juan, M., Campos, B., Sánchez-Avila, J., Faría, M., Pinnock-Branford, M. V., de la Cruz-Malavassi, E. M., Lacorte, S., Soares, A. M. V. M., &amp; Barata., C. (2014). Pesticide residue analyses and biomarker responses of native Costa Rican fish of the Poeciliidae and Cichlidae families to assess environmental impacts of pesticides in Palo Verde National Park. </w:t>
      </w:r>
      <w:r w:rsidRPr="003338D7">
        <w:rPr>
          <w:rFonts w:asciiTheme="majorHAnsi" w:hAnsiTheme="majorHAnsi"/>
          <w:i/>
          <w:iCs/>
          <w:noProof/>
          <w:szCs w:val="22"/>
          <w:lang w:val="es-ES"/>
        </w:rPr>
        <w:t>Journal of Environmental 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35</w:t>
      </w:r>
      <w:r w:rsidRPr="003338D7">
        <w:rPr>
          <w:rFonts w:asciiTheme="majorHAnsi" w:hAnsiTheme="majorHAnsi"/>
          <w:noProof/>
          <w:szCs w:val="22"/>
          <w:lang w:val="es-ES"/>
        </w:rPr>
        <w:t>(1), 19–27.</w:t>
      </w:r>
    </w:p>
    <w:p w14:paraId="0164E7C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Mena, J. L., Williams, M., Gazzolo, C., &amp; Montero, F. (2007). </w:t>
      </w:r>
      <w:r w:rsidRPr="003338D7">
        <w:rPr>
          <w:rFonts w:asciiTheme="majorHAnsi" w:hAnsiTheme="majorHAnsi"/>
          <w:noProof/>
          <w:szCs w:val="22"/>
          <w:lang w:val="es-ES"/>
        </w:rPr>
        <w:t xml:space="preserve">Estado de conservación de </w:t>
      </w:r>
      <w:r w:rsidRPr="003338D7">
        <w:rPr>
          <w:rFonts w:asciiTheme="majorHAnsi" w:hAnsiTheme="majorHAnsi"/>
          <w:i/>
          <w:iCs/>
          <w:noProof/>
          <w:szCs w:val="22"/>
          <w:lang w:val="es-ES"/>
        </w:rPr>
        <w:t>Melanomys zunigae</w:t>
      </w:r>
      <w:r w:rsidRPr="003338D7">
        <w:rPr>
          <w:rFonts w:asciiTheme="majorHAnsi" w:hAnsiTheme="majorHAnsi"/>
          <w:noProof/>
          <w:szCs w:val="22"/>
          <w:lang w:val="es-ES"/>
        </w:rPr>
        <w:t xml:space="preserve"> (Sanborn 1949) y de los mamíferos pequeños en las Lomas de Lima. </w:t>
      </w:r>
      <w:r w:rsidRPr="003338D7">
        <w:rPr>
          <w:rFonts w:asciiTheme="majorHAnsi" w:hAnsiTheme="majorHAnsi"/>
          <w:i/>
          <w:iCs/>
          <w:noProof/>
          <w:szCs w:val="22"/>
          <w:lang w:val="es-ES"/>
        </w:rPr>
        <w:t>Revista Peruana de Biología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14</w:t>
      </w:r>
      <w:r w:rsidRPr="003338D7">
        <w:rPr>
          <w:rFonts w:asciiTheme="majorHAnsi" w:hAnsiTheme="majorHAnsi"/>
          <w:noProof/>
          <w:szCs w:val="22"/>
          <w:lang w:val="es-ES"/>
        </w:rPr>
        <w:t>(2), 201–207.</w:t>
      </w:r>
    </w:p>
    <w:p w14:paraId="171D2E6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Mendenhall, C. D., Karp, D. S., Meyer, C. F. J., Hadly, E. A., &amp; Daily, G. C. (2014). </w:t>
      </w:r>
      <w:r w:rsidRPr="003338D7">
        <w:rPr>
          <w:rFonts w:asciiTheme="majorHAnsi" w:hAnsiTheme="majorHAnsi"/>
          <w:noProof/>
          <w:szCs w:val="22"/>
        </w:rPr>
        <w:t xml:space="preserve">Predicting biodiversity change and averting collapse in agricultural landscapes.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509</w:t>
      </w:r>
      <w:r w:rsidRPr="003338D7">
        <w:rPr>
          <w:rFonts w:asciiTheme="majorHAnsi" w:hAnsiTheme="majorHAnsi"/>
          <w:noProof/>
          <w:szCs w:val="22"/>
        </w:rPr>
        <w:t xml:space="preserve">(7499), 213–217. </w:t>
      </w:r>
      <w:hyperlink r:id="rId618" w:history="1">
        <w:r w:rsidRPr="003338D7">
          <w:rPr>
            <w:rStyle w:val="Hyperlink"/>
            <w:rFonts w:asciiTheme="majorHAnsi" w:hAnsiTheme="majorHAnsi"/>
            <w:noProof/>
            <w:szCs w:val="22"/>
          </w:rPr>
          <w:t>http://doi.org/10.1038/nature13139</w:t>
        </w:r>
      </w:hyperlink>
    </w:p>
    <w:p w14:paraId="558A5FE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Mendoza, R., &amp; Koleff, P. (2014). </w:t>
      </w:r>
      <w:r w:rsidRPr="003338D7">
        <w:rPr>
          <w:rFonts w:asciiTheme="majorHAnsi" w:hAnsiTheme="majorHAnsi"/>
          <w:i/>
          <w:iCs/>
          <w:noProof/>
          <w:szCs w:val="22"/>
          <w:lang w:val="es-ES"/>
        </w:rPr>
        <w:t>Especies acuáticas invasoras en México</w:t>
      </w:r>
      <w:r w:rsidRPr="003338D7">
        <w:rPr>
          <w:rFonts w:asciiTheme="majorHAnsi" w:hAnsiTheme="majorHAnsi"/>
          <w:noProof/>
          <w:szCs w:val="22"/>
          <w:lang w:val="es-ES"/>
        </w:rPr>
        <w:t>. Mexico City, Mexico: Comisión Nacional para el Conocimiento y Uso de la Biodiversidad, México.</w:t>
      </w:r>
    </w:p>
    <w:p w14:paraId="388E7D5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Menominee Tribal Enterprises. (2012). Forest Management Plan (Revised 1973) 2012-2027. November 29, 2012. Retrieved from </w:t>
      </w:r>
      <w:hyperlink r:id="rId619" w:history="1">
        <w:r w:rsidRPr="003338D7">
          <w:rPr>
            <w:rStyle w:val="Hyperlink"/>
            <w:rFonts w:asciiTheme="majorHAnsi" w:hAnsiTheme="majorHAnsi"/>
            <w:noProof/>
            <w:szCs w:val="22"/>
          </w:rPr>
          <w:t>http://www.mtewood.com/Forestry/FMP/finalfmp06112012.pdf</w:t>
        </w:r>
      </w:hyperlink>
    </w:p>
    <w:p w14:paraId="4D6A84C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Meserve, P. L., Kelt, D. A., Previtali, M. A., Milstead, W. B., &amp; Gutiérrez, J. R. (2011). Global climate change and small mammal populations in north-central Chile. </w:t>
      </w:r>
      <w:r w:rsidRPr="003338D7">
        <w:rPr>
          <w:rFonts w:asciiTheme="majorHAnsi" w:hAnsiTheme="majorHAnsi"/>
          <w:i/>
          <w:iCs/>
          <w:noProof/>
          <w:szCs w:val="22"/>
        </w:rPr>
        <w:t>Journal of Mammalogy</w:t>
      </w:r>
      <w:r w:rsidRPr="003338D7">
        <w:rPr>
          <w:rFonts w:asciiTheme="majorHAnsi" w:hAnsiTheme="majorHAnsi"/>
          <w:noProof/>
          <w:szCs w:val="22"/>
        </w:rPr>
        <w:t xml:space="preserve">, </w:t>
      </w:r>
      <w:r w:rsidRPr="003338D7">
        <w:rPr>
          <w:rFonts w:asciiTheme="majorHAnsi" w:hAnsiTheme="majorHAnsi"/>
          <w:i/>
          <w:iCs/>
          <w:noProof/>
          <w:szCs w:val="22"/>
        </w:rPr>
        <w:t>92</w:t>
      </w:r>
      <w:r w:rsidRPr="003338D7">
        <w:rPr>
          <w:rFonts w:asciiTheme="majorHAnsi" w:hAnsiTheme="majorHAnsi"/>
          <w:noProof/>
          <w:szCs w:val="22"/>
        </w:rPr>
        <w:t xml:space="preserve">(6), 1223–1235. </w:t>
      </w:r>
      <w:hyperlink r:id="rId620" w:history="1">
        <w:r w:rsidRPr="003338D7">
          <w:rPr>
            <w:rStyle w:val="Hyperlink"/>
            <w:rFonts w:asciiTheme="majorHAnsi" w:hAnsiTheme="majorHAnsi"/>
            <w:noProof/>
            <w:szCs w:val="22"/>
          </w:rPr>
          <w:t>http://doi.org/10.1644/10-MAMM-S-267.1</w:t>
        </w:r>
      </w:hyperlink>
    </w:p>
    <w:p w14:paraId="0A73FBB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Metzger, J. P. (2009). Conservation issues in the Brazilian Atlantic forest.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142</w:t>
      </w:r>
      <w:r w:rsidRPr="003338D7">
        <w:rPr>
          <w:rFonts w:asciiTheme="majorHAnsi" w:hAnsiTheme="majorHAnsi"/>
          <w:noProof/>
          <w:szCs w:val="22"/>
        </w:rPr>
        <w:t xml:space="preserve">(6), 1138–1140. </w:t>
      </w:r>
      <w:hyperlink r:id="rId621" w:history="1">
        <w:r w:rsidRPr="003338D7">
          <w:rPr>
            <w:rStyle w:val="Hyperlink"/>
            <w:rFonts w:asciiTheme="majorHAnsi" w:hAnsiTheme="majorHAnsi"/>
            <w:noProof/>
            <w:szCs w:val="22"/>
          </w:rPr>
          <w:t>http://doi.org/10.1016/j.biocon.2008.10.012</w:t>
        </w:r>
      </w:hyperlink>
    </w:p>
    <w:p w14:paraId="1E8D65C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Michaelson, G. J., Ping, C. L., &amp; Kimble, J. M. (1996). Carbon storage and distribution in tundra soils of Arctic Alaska, U.S.A. </w:t>
      </w:r>
      <w:r w:rsidRPr="003338D7">
        <w:rPr>
          <w:rFonts w:asciiTheme="majorHAnsi" w:hAnsiTheme="majorHAnsi"/>
          <w:i/>
          <w:iCs/>
          <w:noProof/>
          <w:szCs w:val="22"/>
        </w:rPr>
        <w:t>Arctic and Alpine Research</w:t>
      </w:r>
      <w:r w:rsidRPr="003338D7">
        <w:rPr>
          <w:rFonts w:asciiTheme="majorHAnsi" w:hAnsiTheme="majorHAnsi"/>
          <w:noProof/>
          <w:szCs w:val="22"/>
        </w:rPr>
        <w:t xml:space="preserve">, </w:t>
      </w:r>
      <w:r w:rsidRPr="003338D7">
        <w:rPr>
          <w:rFonts w:asciiTheme="majorHAnsi" w:hAnsiTheme="majorHAnsi"/>
          <w:i/>
          <w:iCs/>
          <w:noProof/>
          <w:szCs w:val="22"/>
        </w:rPr>
        <w:t>28</w:t>
      </w:r>
      <w:r w:rsidRPr="003338D7">
        <w:rPr>
          <w:rFonts w:asciiTheme="majorHAnsi" w:hAnsiTheme="majorHAnsi"/>
          <w:noProof/>
          <w:szCs w:val="22"/>
        </w:rPr>
        <w:t xml:space="preserve">(4), 414–424. </w:t>
      </w:r>
      <w:hyperlink r:id="rId622" w:history="1">
        <w:r w:rsidRPr="003338D7">
          <w:rPr>
            <w:rStyle w:val="Hyperlink"/>
            <w:rFonts w:asciiTheme="majorHAnsi" w:hAnsiTheme="majorHAnsi"/>
            <w:noProof/>
            <w:szCs w:val="22"/>
          </w:rPr>
          <w:t>http://doi.org/10.2307/1551852</w:t>
        </w:r>
      </w:hyperlink>
    </w:p>
    <w:p w14:paraId="3185DD7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Millennium Ecosystem Assessment. (2005). </w:t>
      </w:r>
      <w:r w:rsidRPr="003338D7">
        <w:rPr>
          <w:rFonts w:asciiTheme="majorHAnsi" w:hAnsiTheme="majorHAnsi"/>
          <w:i/>
          <w:iCs/>
          <w:noProof/>
          <w:szCs w:val="22"/>
        </w:rPr>
        <w:t>Ecosystems and Human Well-being</w:t>
      </w:r>
      <w:r w:rsidRPr="003338D7">
        <w:rPr>
          <w:rFonts w:asciiTheme="majorHAnsi" w:hAnsiTheme="majorHAnsi"/>
          <w:noProof/>
          <w:szCs w:val="22"/>
        </w:rPr>
        <w:t>. Washington, D.C., USA: Island Press.</w:t>
      </w:r>
    </w:p>
    <w:p w14:paraId="778D8F6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Milliman, J. D., Farnsworth, K. L., Jones, P. D., Xu, K. H., &amp; Smith, L. C. (2008). Climatic and anthropogenic factors affecting river discharge to the global ocean, 1951-2000. </w:t>
      </w:r>
      <w:r w:rsidRPr="003338D7">
        <w:rPr>
          <w:rFonts w:asciiTheme="majorHAnsi" w:hAnsiTheme="majorHAnsi"/>
          <w:i/>
          <w:iCs/>
          <w:noProof/>
          <w:szCs w:val="22"/>
        </w:rPr>
        <w:t>Global and Planetary Change</w:t>
      </w:r>
      <w:r w:rsidRPr="003338D7">
        <w:rPr>
          <w:rFonts w:asciiTheme="majorHAnsi" w:hAnsiTheme="majorHAnsi"/>
          <w:noProof/>
          <w:szCs w:val="22"/>
        </w:rPr>
        <w:t xml:space="preserve">, </w:t>
      </w:r>
      <w:r w:rsidRPr="003338D7">
        <w:rPr>
          <w:rFonts w:asciiTheme="majorHAnsi" w:hAnsiTheme="majorHAnsi"/>
          <w:i/>
          <w:iCs/>
          <w:noProof/>
          <w:szCs w:val="22"/>
        </w:rPr>
        <w:t>62</w:t>
      </w:r>
      <w:r w:rsidRPr="003338D7">
        <w:rPr>
          <w:rFonts w:asciiTheme="majorHAnsi" w:hAnsiTheme="majorHAnsi"/>
          <w:noProof/>
          <w:szCs w:val="22"/>
        </w:rPr>
        <w:t xml:space="preserve">(3), 187–194. </w:t>
      </w:r>
      <w:hyperlink r:id="rId623" w:history="1">
        <w:r w:rsidRPr="003338D7">
          <w:rPr>
            <w:rStyle w:val="Hyperlink"/>
            <w:rFonts w:asciiTheme="majorHAnsi" w:hAnsiTheme="majorHAnsi"/>
            <w:noProof/>
            <w:szCs w:val="22"/>
          </w:rPr>
          <w:t>http://doi.org/10.1016/j.gloplacha.2008.03.001</w:t>
        </w:r>
      </w:hyperlink>
    </w:p>
    <w:p w14:paraId="0CC2F0E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Miloslavich, P., Díaz, J. M., Klein, E., Alvarado, J. J., Díaz, C., Gobin, J., Escobar-Briones, E., Cruz-Motta, J. J., Weil, E., Cortés, J., Bastidas, A. C., Robertson, R., Zapata, F., Martín, A., Castillo, J., Kazandjian, A., &amp; Ortiz, M. (2010). Marine biodiversity in the Caribbean: regional estimates and distribution patterns.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w:t>
      </w:r>
      <w:r w:rsidRPr="003338D7">
        <w:rPr>
          <w:rFonts w:asciiTheme="majorHAnsi" w:hAnsiTheme="majorHAnsi"/>
          <w:noProof/>
          <w:szCs w:val="22"/>
          <w:lang w:val="es-ES"/>
        </w:rPr>
        <w:t xml:space="preserve">(8), e11916. </w:t>
      </w:r>
      <w:hyperlink r:id="rId624" w:history="1">
        <w:r w:rsidRPr="003338D7">
          <w:rPr>
            <w:rStyle w:val="Hyperlink"/>
            <w:rFonts w:asciiTheme="majorHAnsi" w:hAnsiTheme="majorHAnsi"/>
            <w:noProof/>
            <w:szCs w:val="22"/>
            <w:lang w:val="es-ES"/>
          </w:rPr>
          <w:t>https://doi.org/10.1371/journal.pone.0011916</w:t>
        </w:r>
      </w:hyperlink>
    </w:p>
    <w:p w14:paraId="2D9FC3D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Miloslavich, P., Klein, E., Diaz, J. M., Hernandez, C. E., Bigatti, G., Campos, L., Artigas, F., Castillo, J., Penchaszadeh, P. E., Neill, P. E., Carranza, A., Retana, M. V., de Astarloa, J. M. D., Lewis, M., Yorio, P., Piriz, M. L., Rodriguez, D., Yoneshigue-Valentin, Y., Gamboa, L., &amp; Martin, A. (2011). Marine biodiversity in the Atlantic and Pacific Coasts of South America: Knowledge and gaps.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w:t>
      </w:r>
      <w:r w:rsidRPr="003338D7">
        <w:rPr>
          <w:rFonts w:asciiTheme="majorHAnsi" w:hAnsiTheme="majorHAnsi"/>
          <w:noProof/>
          <w:szCs w:val="22"/>
          <w:lang w:val="es-ES"/>
        </w:rPr>
        <w:t xml:space="preserve">(1), e14631. </w:t>
      </w:r>
      <w:hyperlink r:id="rId625" w:history="1">
        <w:r w:rsidRPr="003338D7">
          <w:rPr>
            <w:rStyle w:val="Hyperlink"/>
            <w:rFonts w:asciiTheme="majorHAnsi" w:hAnsiTheme="majorHAnsi"/>
            <w:noProof/>
            <w:szCs w:val="22"/>
            <w:lang w:val="es-ES"/>
          </w:rPr>
          <w:t>https://doi.org/10.1371/journal.pone.0014631</w:t>
        </w:r>
      </w:hyperlink>
    </w:p>
    <w:p w14:paraId="6528588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Ministerio del Ambiente. (2014). </w:t>
      </w:r>
      <w:r w:rsidRPr="003338D7">
        <w:rPr>
          <w:rFonts w:asciiTheme="majorHAnsi" w:hAnsiTheme="majorHAnsi"/>
          <w:i/>
          <w:iCs/>
          <w:noProof/>
          <w:szCs w:val="22"/>
          <w:lang w:val="es-ES"/>
        </w:rPr>
        <w:t>Plan Nacional de Restauración Forestal 2014-2017</w:t>
      </w:r>
      <w:r w:rsidRPr="003338D7">
        <w:rPr>
          <w:rFonts w:asciiTheme="majorHAnsi" w:hAnsiTheme="majorHAnsi"/>
          <w:noProof/>
          <w:szCs w:val="22"/>
          <w:lang w:val="es-ES"/>
        </w:rPr>
        <w:t xml:space="preserve">. Quito, Ecuador. Retrieved from </w:t>
      </w:r>
      <w:hyperlink r:id="rId626" w:history="1">
        <w:r w:rsidRPr="003338D7">
          <w:rPr>
            <w:rStyle w:val="Hyperlink"/>
            <w:rFonts w:asciiTheme="majorHAnsi" w:hAnsiTheme="majorHAnsi"/>
            <w:noProof/>
            <w:szCs w:val="22"/>
            <w:lang w:val="es-ES"/>
          </w:rPr>
          <w:t>http://sociobosque.ambiente.gob.ec/files/images/articulos/archivos/amrPlanRF.pdf</w:t>
        </w:r>
      </w:hyperlink>
    </w:p>
    <w:p w14:paraId="57DA36C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Ministerio del Medio Ambiente. (2017). No Title.</w:t>
      </w:r>
    </w:p>
    <w:p w14:paraId="6975099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Ministério do Meio Ambiente (MMA). (2006). </w:t>
      </w:r>
      <w:r w:rsidRPr="003338D7">
        <w:rPr>
          <w:rFonts w:asciiTheme="majorHAnsi" w:hAnsiTheme="majorHAnsi"/>
          <w:i/>
          <w:iCs/>
          <w:noProof/>
          <w:szCs w:val="22"/>
          <w:lang w:val="es-ES"/>
        </w:rPr>
        <w:t>Programa REVIZEE. Avaliação do Potencial Sustentável de Recursos Vivos na Zona Econômica Exclusiva</w:t>
      </w:r>
      <w:r w:rsidRPr="003338D7">
        <w:rPr>
          <w:rFonts w:asciiTheme="majorHAnsi" w:hAnsiTheme="majorHAnsi"/>
          <w:noProof/>
          <w:szCs w:val="22"/>
          <w:lang w:val="es-ES"/>
        </w:rPr>
        <w:t xml:space="preserve">. </w:t>
      </w:r>
      <w:r w:rsidRPr="003338D7">
        <w:rPr>
          <w:rFonts w:asciiTheme="majorHAnsi" w:hAnsiTheme="majorHAnsi"/>
          <w:noProof/>
          <w:szCs w:val="22"/>
        </w:rPr>
        <w:t>Brasília, Brazil: Relatório Executivo.</w:t>
      </w:r>
    </w:p>
    <w:p w14:paraId="49FD219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Mites, M. (2008). Criteria used to set export quotas for Appendix I and II orchid species from Ecuador. NDF Workshop WG 4 – Geophytes and epiphytes. Case study 3 summary. Retrieved from </w:t>
      </w:r>
      <w:hyperlink r:id="rId627" w:history="1">
        <w:r w:rsidRPr="003338D7">
          <w:rPr>
            <w:rStyle w:val="Hyperlink"/>
            <w:rFonts w:asciiTheme="majorHAnsi" w:hAnsiTheme="majorHAnsi"/>
            <w:noProof/>
            <w:szCs w:val="22"/>
          </w:rPr>
          <w:t>https://cites.org/sites/default/files/ndf_material/WG4-CS3-S.pdf</w:t>
        </w:r>
      </w:hyperlink>
    </w:p>
    <w:p w14:paraId="0EFEB23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Mittermeier, R. A., Gil, P. R., Hoffmann, M., Pilgrim, J., Brooks, T., Mittermeier, C. G., Lamoreux, J., &amp; Fonseca, G. A. (2005). </w:t>
      </w:r>
      <w:r w:rsidRPr="003338D7">
        <w:rPr>
          <w:rFonts w:asciiTheme="majorHAnsi" w:hAnsiTheme="majorHAnsi"/>
          <w:i/>
          <w:iCs/>
          <w:noProof/>
          <w:szCs w:val="22"/>
          <w:lang w:val="es-ES"/>
        </w:rPr>
        <w:t>Hotspots Revisited: Earth’s Biologically Richest and Most Endangered Terrestrial Ecoregions</w:t>
      </w:r>
      <w:r w:rsidRPr="003338D7">
        <w:rPr>
          <w:rFonts w:asciiTheme="majorHAnsi" w:hAnsiTheme="majorHAnsi"/>
          <w:noProof/>
          <w:szCs w:val="22"/>
          <w:lang w:val="es-ES"/>
        </w:rPr>
        <w:t>. Mexico City, Mexico: CEMEX Books on Nature Series.</w:t>
      </w:r>
    </w:p>
    <w:p w14:paraId="5C07B45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Moffat, N. D., Lantz, T. C., Fraser, R. H., &amp; Olthof, I. (2016). Recent vegetation change (1980–2013) in the tundra ccosystems of the Tuktoyaktuk Coastlands, NWT, Canada. </w:t>
      </w:r>
      <w:r w:rsidRPr="003338D7">
        <w:rPr>
          <w:rFonts w:asciiTheme="majorHAnsi" w:hAnsiTheme="majorHAnsi"/>
          <w:i/>
          <w:iCs/>
          <w:noProof/>
          <w:szCs w:val="22"/>
        </w:rPr>
        <w:t>Arctic, Antarctic, and Alpine Research</w:t>
      </w:r>
      <w:r w:rsidRPr="003338D7">
        <w:rPr>
          <w:rFonts w:asciiTheme="majorHAnsi" w:hAnsiTheme="majorHAnsi"/>
          <w:noProof/>
          <w:szCs w:val="22"/>
        </w:rPr>
        <w:t xml:space="preserve">, </w:t>
      </w:r>
      <w:r w:rsidRPr="003338D7">
        <w:rPr>
          <w:rFonts w:asciiTheme="majorHAnsi" w:hAnsiTheme="majorHAnsi"/>
          <w:i/>
          <w:iCs/>
          <w:noProof/>
          <w:szCs w:val="22"/>
        </w:rPr>
        <w:t>48</w:t>
      </w:r>
      <w:r w:rsidRPr="003338D7">
        <w:rPr>
          <w:rFonts w:asciiTheme="majorHAnsi" w:hAnsiTheme="majorHAnsi"/>
          <w:noProof/>
          <w:szCs w:val="22"/>
        </w:rPr>
        <w:t xml:space="preserve">(3), 581–597. </w:t>
      </w:r>
      <w:hyperlink r:id="rId628" w:history="1">
        <w:r w:rsidRPr="003338D7">
          <w:rPr>
            <w:rStyle w:val="Hyperlink"/>
            <w:rFonts w:asciiTheme="majorHAnsi" w:hAnsiTheme="majorHAnsi"/>
            <w:noProof/>
            <w:szCs w:val="22"/>
          </w:rPr>
          <w:t>http://doi.org/10.1657/AAAR0015-063</w:t>
        </w:r>
      </w:hyperlink>
    </w:p>
    <w:p w14:paraId="2E9DFE3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Moles, A. T., Ackerly, D. D., Webb, C. O., Tweddle, J. C., Dickie, J. B., &amp; Westoby, M. (2005). A brief history of seed size.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307</w:t>
      </w:r>
      <w:r w:rsidRPr="003338D7">
        <w:rPr>
          <w:rFonts w:asciiTheme="majorHAnsi" w:hAnsiTheme="majorHAnsi"/>
          <w:noProof/>
          <w:szCs w:val="22"/>
        </w:rPr>
        <w:t xml:space="preserve">(5709), 576–580. </w:t>
      </w:r>
      <w:hyperlink r:id="rId629" w:history="1">
        <w:r w:rsidRPr="003338D7">
          <w:rPr>
            <w:rStyle w:val="Hyperlink"/>
            <w:rFonts w:asciiTheme="majorHAnsi" w:hAnsiTheme="majorHAnsi"/>
            <w:noProof/>
            <w:szCs w:val="22"/>
          </w:rPr>
          <w:t>http://doi.org/10.1126/science.1104863</w:t>
        </w:r>
      </w:hyperlink>
    </w:p>
    <w:p w14:paraId="7E2F506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Molnar, J. L., Gamboa, R. L., Revenga, C., &amp; Spalding, M. D. (2008). Assessing the global threat of invasive species to marine biodiversity. </w:t>
      </w:r>
      <w:r w:rsidRPr="003338D7">
        <w:rPr>
          <w:rFonts w:asciiTheme="majorHAnsi" w:hAnsiTheme="majorHAnsi"/>
          <w:i/>
          <w:iCs/>
          <w:noProof/>
          <w:szCs w:val="22"/>
        </w:rPr>
        <w:t>Frontiers in Ecology and the Environment</w:t>
      </w:r>
      <w:r w:rsidRPr="003338D7">
        <w:rPr>
          <w:rFonts w:asciiTheme="majorHAnsi" w:hAnsiTheme="majorHAnsi"/>
          <w:noProof/>
          <w:szCs w:val="22"/>
        </w:rPr>
        <w:t xml:space="preserve">, </w:t>
      </w:r>
      <w:r w:rsidRPr="003338D7">
        <w:rPr>
          <w:rFonts w:asciiTheme="majorHAnsi" w:hAnsiTheme="majorHAnsi"/>
          <w:i/>
          <w:iCs/>
          <w:noProof/>
          <w:szCs w:val="22"/>
        </w:rPr>
        <w:t>6</w:t>
      </w:r>
      <w:r w:rsidRPr="003338D7">
        <w:rPr>
          <w:rFonts w:asciiTheme="majorHAnsi" w:hAnsiTheme="majorHAnsi"/>
          <w:noProof/>
          <w:szCs w:val="22"/>
        </w:rPr>
        <w:t xml:space="preserve">(9), 485–492. </w:t>
      </w:r>
      <w:hyperlink r:id="rId630" w:history="1">
        <w:r w:rsidRPr="003338D7">
          <w:rPr>
            <w:rStyle w:val="Hyperlink"/>
            <w:rFonts w:asciiTheme="majorHAnsi" w:hAnsiTheme="majorHAnsi"/>
            <w:noProof/>
            <w:szCs w:val="22"/>
          </w:rPr>
          <w:t>http://doi.org/10.1890/070064</w:t>
        </w:r>
      </w:hyperlink>
    </w:p>
    <w:p w14:paraId="782DB03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Monigatti, M., Bussmann, R. W., &amp; Weckerle, C. S. (2013). Medicinal plant use in two Andean communities located at different altitudes in the Bolivar Province, Peru. </w:t>
      </w:r>
      <w:r w:rsidRPr="003338D7">
        <w:rPr>
          <w:rFonts w:asciiTheme="majorHAnsi" w:hAnsiTheme="majorHAnsi"/>
          <w:i/>
          <w:iCs/>
          <w:noProof/>
          <w:szCs w:val="22"/>
        </w:rPr>
        <w:t>Journal of Ethnopharmacology</w:t>
      </w:r>
      <w:r w:rsidRPr="003338D7">
        <w:rPr>
          <w:rFonts w:asciiTheme="majorHAnsi" w:hAnsiTheme="majorHAnsi"/>
          <w:noProof/>
          <w:szCs w:val="22"/>
        </w:rPr>
        <w:t xml:space="preserve">, </w:t>
      </w:r>
      <w:r w:rsidRPr="003338D7">
        <w:rPr>
          <w:rFonts w:asciiTheme="majorHAnsi" w:hAnsiTheme="majorHAnsi"/>
          <w:i/>
          <w:iCs/>
          <w:noProof/>
          <w:szCs w:val="22"/>
        </w:rPr>
        <w:t>145</w:t>
      </w:r>
      <w:r w:rsidRPr="003338D7">
        <w:rPr>
          <w:rFonts w:asciiTheme="majorHAnsi" w:hAnsiTheme="majorHAnsi"/>
          <w:noProof/>
          <w:szCs w:val="22"/>
        </w:rPr>
        <w:t xml:space="preserve">(2), 450–464. </w:t>
      </w:r>
      <w:hyperlink r:id="rId631" w:history="1">
        <w:r w:rsidRPr="003338D7">
          <w:rPr>
            <w:rStyle w:val="Hyperlink"/>
            <w:rFonts w:asciiTheme="majorHAnsi" w:hAnsiTheme="majorHAnsi"/>
            <w:noProof/>
            <w:szCs w:val="22"/>
          </w:rPr>
          <w:t>http://doi.org/10.1016/j.jep.2012.10.066</w:t>
        </w:r>
      </w:hyperlink>
    </w:p>
    <w:p w14:paraId="0BCD9AB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Montalva, J., Castro, B., &amp; Allendes, J. L. (2010). </w:t>
      </w:r>
      <w:r w:rsidRPr="003338D7">
        <w:rPr>
          <w:rFonts w:asciiTheme="majorHAnsi" w:hAnsiTheme="majorHAnsi"/>
          <w:noProof/>
          <w:szCs w:val="22"/>
          <w:lang w:val="es-ES"/>
        </w:rPr>
        <w:t xml:space="preserve">Las abejas (Hymenoptera: Apoidea) del Jardín Botánico Chagual. Estudio de caso de abejas nativas en zonas urbanas de Santiago de Chile. </w:t>
      </w:r>
      <w:r w:rsidRPr="003338D7">
        <w:rPr>
          <w:rFonts w:asciiTheme="majorHAnsi" w:hAnsiTheme="majorHAnsi"/>
          <w:i/>
          <w:iCs/>
          <w:noProof/>
          <w:szCs w:val="22"/>
          <w:lang w:val="es-ES"/>
        </w:rPr>
        <w:t>Revista Del Jardín Botánico Chagual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No. 8</w:t>
      </w:r>
      <w:r w:rsidRPr="003338D7">
        <w:rPr>
          <w:rFonts w:asciiTheme="majorHAnsi" w:hAnsiTheme="majorHAnsi"/>
          <w:noProof/>
          <w:szCs w:val="22"/>
          <w:lang w:val="es-ES"/>
        </w:rPr>
        <w:t>, 13–23.</w:t>
      </w:r>
    </w:p>
    <w:p w14:paraId="69B5915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Montalva, J., Dudley, L., Arroyo, M. K., Retamales, H., &amp; Abrahamovich, A. H. (2011). </w:t>
      </w:r>
      <w:r w:rsidRPr="003338D7">
        <w:rPr>
          <w:rFonts w:asciiTheme="majorHAnsi" w:hAnsiTheme="majorHAnsi"/>
          <w:noProof/>
          <w:szCs w:val="22"/>
        </w:rPr>
        <w:t>Geographic distribution and associated flora of native and introduced bumble bees (</w:t>
      </w:r>
      <w:r w:rsidRPr="003338D7">
        <w:rPr>
          <w:rFonts w:asciiTheme="majorHAnsi" w:hAnsiTheme="majorHAnsi"/>
          <w:i/>
          <w:iCs/>
          <w:noProof/>
          <w:szCs w:val="22"/>
        </w:rPr>
        <w:t>Bombus</w:t>
      </w:r>
      <w:r w:rsidRPr="003338D7">
        <w:rPr>
          <w:rFonts w:asciiTheme="majorHAnsi" w:hAnsiTheme="majorHAnsi"/>
          <w:noProof/>
          <w:szCs w:val="22"/>
        </w:rPr>
        <w:t xml:space="preserve"> spp.) in Chile. </w:t>
      </w:r>
      <w:r w:rsidRPr="003338D7">
        <w:rPr>
          <w:rFonts w:asciiTheme="majorHAnsi" w:hAnsiTheme="majorHAnsi"/>
          <w:i/>
          <w:iCs/>
          <w:noProof/>
          <w:szCs w:val="22"/>
        </w:rPr>
        <w:t>Journal of Apicultural Research</w:t>
      </w:r>
      <w:r w:rsidRPr="003338D7">
        <w:rPr>
          <w:rFonts w:asciiTheme="majorHAnsi" w:hAnsiTheme="majorHAnsi"/>
          <w:noProof/>
          <w:szCs w:val="22"/>
        </w:rPr>
        <w:t xml:space="preserve">, </w:t>
      </w:r>
      <w:r w:rsidRPr="003338D7">
        <w:rPr>
          <w:rFonts w:asciiTheme="majorHAnsi" w:hAnsiTheme="majorHAnsi"/>
          <w:i/>
          <w:iCs/>
          <w:noProof/>
          <w:szCs w:val="22"/>
        </w:rPr>
        <w:t>50</w:t>
      </w:r>
      <w:r w:rsidRPr="003338D7">
        <w:rPr>
          <w:rFonts w:asciiTheme="majorHAnsi" w:hAnsiTheme="majorHAnsi"/>
          <w:noProof/>
          <w:szCs w:val="22"/>
        </w:rPr>
        <w:t xml:space="preserve">(1), 11–21. </w:t>
      </w:r>
      <w:hyperlink r:id="rId632" w:history="1">
        <w:r w:rsidRPr="003338D7">
          <w:rPr>
            <w:rStyle w:val="Hyperlink"/>
            <w:rFonts w:asciiTheme="majorHAnsi" w:hAnsiTheme="majorHAnsi"/>
            <w:noProof/>
            <w:szCs w:val="22"/>
          </w:rPr>
          <w:t>http://doi.org/10.3896/IBRA.1.50.1.02</w:t>
        </w:r>
      </w:hyperlink>
    </w:p>
    <w:p w14:paraId="759559D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Montalva, J., &amp; Ruz, L. (2010). </w:t>
      </w:r>
      <w:r w:rsidRPr="003338D7">
        <w:rPr>
          <w:rFonts w:asciiTheme="majorHAnsi" w:hAnsiTheme="majorHAnsi"/>
          <w:noProof/>
          <w:szCs w:val="22"/>
          <w:lang w:val="es-ES"/>
        </w:rPr>
        <w:t xml:space="preserve">Actualización a la lista sistemática de las abejas chilenas. </w:t>
      </w:r>
      <w:r w:rsidRPr="003338D7">
        <w:rPr>
          <w:rFonts w:asciiTheme="majorHAnsi" w:hAnsiTheme="majorHAnsi"/>
          <w:i/>
          <w:iCs/>
          <w:noProof/>
          <w:szCs w:val="22"/>
          <w:lang w:val="es-ES"/>
        </w:rPr>
        <w:t>Revista Chilena de Entomología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w:t>
      </w:r>
      <w:r w:rsidRPr="003338D7">
        <w:rPr>
          <w:rFonts w:asciiTheme="majorHAnsi" w:hAnsiTheme="majorHAnsi"/>
          <w:noProof/>
          <w:szCs w:val="22"/>
          <w:lang w:val="es-ES"/>
        </w:rPr>
        <w:t>, 13–23.</w:t>
      </w:r>
    </w:p>
    <w:p w14:paraId="7DA3B55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Montecino, V., Molina, X., Kumar, S., Castillo, M. L. C., &amp; Bustamante, R. O. (2014). </w:t>
      </w:r>
      <w:r w:rsidRPr="003338D7">
        <w:rPr>
          <w:rFonts w:asciiTheme="majorHAnsi" w:hAnsiTheme="majorHAnsi"/>
          <w:noProof/>
          <w:szCs w:val="22"/>
        </w:rPr>
        <w:t xml:space="preserve">Niche dynamics and potential geographic distribution of </w:t>
      </w:r>
      <w:r w:rsidRPr="003338D7">
        <w:rPr>
          <w:rFonts w:asciiTheme="majorHAnsi" w:hAnsiTheme="majorHAnsi"/>
          <w:i/>
          <w:noProof/>
          <w:szCs w:val="22"/>
        </w:rPr>
        <w:t xml:space="preserve">Didymosphenia geminata </w:t>
      </w:r>
      <w:r w:rsidRPr="003338D7">
        <w:rPr>
          <w:rFonts w:asciiTheme="majorHAnsi" w:hAnsiTheme="majorHAnsi"/>
          <w:noProof/>
          <w:szCs w:val="22"/>
        </w:rPr>
        <w:t xml:space="preserve">(Lyngbye) M. Schmidt, an invasive freshwater diatom in Southern Chile. </w:t>
      </w:r>
      <w:r w:rsidRPr="003338D7">
        <w:rPr>
          <w:rFonts w:asciiTheme="majorHAnsi" w:hAnsiTheme="majorHAnsi"/>
          <w:i/>
          <w:iCs/>
          <w:noProof/>
          <w:szCs w:val="22"/>
        </w:rPr>
        <w:t>Aquatic Invasions</w:t>
      </w:r>
      <w:r w:rsidRPr="003338D7">
        <w:rPr>
          <w:rFonts w:asciiTheme="majorHAnsi" w:hAnsiTheme="majorHAnsi"/>
          <w:noProof/>
          <w:szCs w:val="22"/>
        </w:rPr>
        <w:t xml:space="preserve">, </w:t>
      </w:r>
      <w:r w:rsidRPr="003338D7">
        <w:rPr>
          <w:rFonts w:asciiTheme="majorHAnsi" w:hAnsiTheme="majorHAnsi"/>
          <w:i/>
          <w:iCs/>
          <w:noProof/>
          <w:szCs w:val="22"/>
        </w:rPr>
        <w:t>9</w:t>
      </w:r>
      <w:r w:rsidRPr="003338D7">
        <w:rPr>
          <w:rFonts w:asciiTheme="majorHAnsi" w:hAnsiTheme="majorHAnsi"/>
          <w:noProof/>
          <w:szCs w:val="22"/>
        </w:rPr>
        <w:t xml:space="preserve">(4), 507–519. </w:t>
      </w:r>
      <w:hyperlink r:id="rId633" w:history="1">
        <w:r w:rsidRPr="003338D7">
          <w:rPr>
            <w:rStyle w:val="Hyperlink"/>
            <w:rFonts w:asciiTheme="majorHAnsi" w:hAnsiTheme="majorHAnsi"/>
            <w:noProof/>
            <w:szCs w:val="22"/>
          </w:rPr>
          <w:t>http://doi.org/10.3391/ai.2014.9.4.09</w:t>
        </w:r>
      </w:hyperlink>
    </w:p>
    <w:p w14:paraId="0C71962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Montenegro, G., Gómez, M., Díaz, F., &amp; Ginocchio, R. (2003). Regeneration potencial of Chilean matorral after fire. In T. T. Veblen, W. L. Baker, G. Montenegro, &amp; T. W. Swetnam (Eds.), </w:t>
      </w:r>
      <w:r w:rsidRPr="003338D7">
        <w:rPr>
          <w:rFonts w:asciiTheme="majorHAnsi" w:hAnsiTheme="majorHAnsi"/>
          <w:i/>
          <w:iCs/>
          <w:noProof/>
          <w:szCs w:val="22"/>
        </w:rPr>
        <w:t>Fire and Climatic Change in Temperate Ecosystems of the Western Americas</w:t>
      </w:r>
      <w:r w:rsidRPr="003338D7">
        <w:rPr>
          <w:rFonts w:asciiTheme="majorHAnsi" w:hAnsiTheme="majorHAnsi"/>
          <w:noProof/>
          <w:szCs w:val="22"/>
        </w:rPr>
        <w:t xml:space="preserve"> (pp. 381–409). </w:t>
      </w:r>
      <w:r w:rsidRPr="003338D7">
        <w:rPr>
          <w:rFonts w:asciiTheme="majorHAnsi" w:hAnsiTheme="majorHAnsi"/>
          <w:noProof/>
          <w:szCs w:val="22"/>
          <w:lang w:val="es-ES"/>
        </w:rPr>
        <w:t>New York: Springer.</w:t>
      </w:r>
    </w:p>
    <w:p w14:paraId="7C9A99F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Montes-Leyva, L., Téllez-Valdés, O., Bojorquez, L., Dávila, P., &amp; Lira, R. (2017). </w:t>
      </w:r>
      <w:r w:rsidRPr="003338D7">
        <w:rPr>
          <w:rFonts w:asciiTheme="majorHAnsi" w:hAnsiTheme="majorHAnsi"/>
          <w:noProof/>
          <w:szCs w:val="22"/>
        </w:rPr>
        <w:t xml:space="preserve">Potential areas for conservation of useful flora of the Tehuacán-Cuicatlán Valley, Mexico. </w:t>
      </w:r>
      <w:r w:rsidRPr="003338D7">
        <w:rPr>
          <w:rFonts w:asciiTheme="majorHAnsi" w:hAnsiTheme="majorHAnsi"/>
          <w:i/>
          <w:iCs/>
          <w:noProof/>
          <w:szCs w:val="22"/>
        </w:rPr>
        <w:t>Genetic Resources and Crop Evolution</w:t>
      </w:r>
      <w:r w:rsidRPr="003338D7">
        <w:rPr>
          <w:rFonts w:asciiTheme="majorHAnsi" w:hAnsiTheme="majorHAnsi"/>
          <w:noProof/>
          <w:szCs w:val="22"/>
        </w:rPr>
        <w:t xml:space="preserve">, </w:t>
      </w:r>
      <w:r w:rsidRPr="003338D7">
        <w:rPr>
          <w:rFonts w:asciiTheme="majorHAnsi" w:hAnsiTheme="majorHAnsi"/>
          <w:i/>
          <w:iCs/>
          <w:noProof/>
          <w:szCs w:val="22"/>
        </w:rPr>
        <w:t>65</w:t>
      </w:r>
      <w:r w:rsidRPr="003338D7">
        <w:rPr>
          <w:rFonts w:asciiTheme="majorHAnsi" w:hAnsiTheme="majorHAnsi"/>
          <w:noProof/>
          <w:szCs w:val="22"/>
        </w:rPr>
        <w:t xml:space="preserve">(1), 343–354. </w:t>
      </w:r>
      <w:hyperlink r:id="rId634" w:history="1">
        <w:r w:rsidRPr="003338D7">
          <w:rPr>
            <w:rStyle w:val="Hyperlink"/>
            <w:rFonts w:asciiTheme="majorHAnsi" w:hAnsiTheme="majorHAnsi"/>
            <w:noProof/>
            <w:szCs w:val="22"/>
          </w:rPr>
          <w:t>http://doi.org/10.1007/s10722-017-0538-9</w:t>
        </w:r>
      </w:hyperlink>
    </w:p>
    <w:p w14:paraId="5211178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Moore, A. A., &amp; Palmer, M. A. (2005). Invertebrate biodiversity in agricultural and urban headwater streams: Implications for conservation and management. </w:t>
      </w:r>
      <w:r w:rsidRPr="003338D7">
        <w:rPr>
          <w:rFonts w:asciiTheme="majorHAnsi" w:hAnsiTheme="majorHAnsi"/>
          <w:i/>
          <w:iCs/>
          <w:noProof/>
          <w:szCs w:val="22"/>
        </w:rPr>
        <w:t>Ecological Applications</w:t>
      </w:r>
      <w:r w:rsidRPr="003338D7">
        <w:rPr>
          <w:rFonts w:asciiTheme="majorHAnsi" w:hAnsiTheme="majorHAnsi"/>
          <w:noProof/>
          <w:szCs w:val="22"/>
        </w:rPr>
        <w:t xml:space="preserve">, </w:t>
      </w:r>
      <w:r w:rsidRPr="003338D7">
        <w:rPr>
          <w:rFonts w:asciiTheme="majorHAnsi" w:hAnsiTheme="majorHAnsi"/>
          <w:i/>
          <w:iCs/>
          <w:noProof/>
          <w:szCs w:val="22"/>
        </w:rPr>
        <w:t>15</w:t>
      </w:r>
      <w:r w:rsidRPr="003338D7">
        <w:rPr>
          <w:rFonts w:asciiTheme="majorHAnsi" w:hAnsiTheme="majorHAnsi"/>
          <w:noProof/>
          <w:szCs w:val="22"/>
        </w:rPr>
        <w:t xml:space="preserve">(4), 1169–1177. </w:t>
      </w:r>
      <w:hyperlink r:id="rId635" w:history="1">
        <w:r w:rsidRPr="003338D7">
          <w:rPr>
            <w:rStyle w:val="Hyperlink"/>
            <w:rFonts w:asciiTheme="majorHAnsi" w:hAnsiTheme="majorHAnsi"/>
            <w:noProof/>
            <w:szCs w:val="22"/>
          </w:rPr>
          <w:t>http://doi.org/10.1890/04-1484</w:t>
        </w:r>
      </w:hyperlink>
    </w:p>
    <w:p w14:paraId="74C099D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Morales, C. L., Arbetman, M. P., Cameron, S. A., &amp; Aizen., M. A. (2013). Rapid ecological replacement of a native bumble bee by invasive species. </w:t>
      </w:r>
      <w:r w:rsidRPr="003338D7">
        <w:rPr>
          <w:rFonts w:asciiTheme="majorHAnsi" w:hAnsiTheme="majorHAnsi"/>
          <w:i/>
          <w:iCs/>
          <w:noProof/>
          <w:szCs w:val="22"/>
        </w:rPr>
        <w:t>Frontiers in Ecology and the Environment</w:t>
      </w:r>
      <w:r w:rsidRPr="003338D7">
        <w:rPr>
          <w:rFonts w:asciiTheme="majorHAnsi" w:hAnsiTheme="majorHAnsi"/>
          <w:noProof/>
          <w:szCs w:val="22"/>
        </w:rPr>
        <w:t xml:space="preserve">, </w:t>
      </w:r>
      <w:r w:rsidRPr="003338D7">
        <w:rPr>
          <w:rFonts w:asciiTheme="majorHAnsi" w:hAnsiTheme="majorHAnsi"/>
          <w:i/>
          <w:iCs/>
          <w:noProof/>
          <w:szCs w:val="22"/>
        </w:rPr>
        <w:t>11</w:t>
      </w:r>
      <w:r w:rsidRPr="003338D7">
        <w:rPr>
          <w:rFonts w:asciiTheme="majorHAnsi" w:hAnsiTheme="majorHAnsi"/>
          <w:noProof/>
          <w:szCs w:val="22"/>
        </w:rPr>
        <w:t xml:space="preserve">(10), 529–534. </w:t>
      </w:r>
      <w:hyperlink r:id="rId636" w:history="1">
        <w:r w:rsidRPr="003338D7">
          <w:rPr>
            <w:rStyle w:val="Hyperlink"/>
            <w:rFonts w:asciiTheme="majorHAnsi" w:hAnsiTheme="majorHAnsi"/>
            <w:noProof/>
            <w:szCs w:val="22"/>
          </w:rPr>
          <w:t>http://doi.org/10.1890/120321</w:t>
        </w:r>
      </w:hyperlink>
    </w:p>
    <w:p w14:paraId="1BDABA5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Moreno-Calles, A. I., Casas, A., Rivero-Romero, A. D., Romero-Bautista, Y. A., Rangel-Landa, S., Fisher-Ortíz, R. A., Alvarado-Ramos, F., Vallejo-Ramos, M., &amp; Santos-Fita, D. (2016). Ethnoagroforestry: integration of biocultural diversity for food sovereignty in Mexico. </w:t>
      </w:r>
      <w:r w:rsidRPr="003338D7">
        <w:rPr>
          <w:rFonts w:asciiTheme="majorHAnsi" w:hAnsiTheme="majorHAnsi"/>
          <w:i/>
          <w:iCs/>
          <w:noProof/>
          <w:szCs w:val="22"/>
          <w:lang w:val="es-ES"/>
        </w:rPr>
        <w:t>Journal of Ethnobiology and Ethnomedicine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12</w:t>
      </w:r>
      <w:r w:rsidRPr="003338D7">
        <w:rPr>
          <w:rFonts w:asciiTheme="majorHAnsi" w:hAnsiTheme="majorHAnsi"/>
          <w:noProof/>
          <w:szCs w:val="22"/>
          <w:lang w:val="es-ES"/>
        </w:rPr>
        <w:t xml:space="preserve">, 54. </w:t>
      </w:r>
      <w:hyperlink r:id="rId637" w:history="1">
        <w:r w:rsidRPr="003338D7">
          <w:rPr>
            <w:rStyle w:val="Hyperlink"/>
            <w:rFonts w:asciiTheme="majorHAnsi" w:hAnsiTheme="majorHAnsi"/>
            <w:noProof/>
            <w:szCs w:val="22"/>
            <w:lang w:val="es-ES"/>
          </w:rPr>
          <w:t>https://doi.org/10.1186/s13002-016-0127-6</w:t>
        </w:r>
      </w:hyperlink>
    </w:p>
    <w:p w14:paraId="312BE23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Moreno-Calles, A. I., Casas, A., Toledo, V. M., &amp; Vallejo-Ramos, M. (Eds.). </w:t>
      </w:r>
      <w:r w:rsidRPr="003338D7">
        <w:rPr>
          <w:rFonts w:asciiTheme="majorHAnsi" w:hAnsiTheme="majorHAnsi"/>
          <w:noProof/>
          <w:szCs w:val="22"/>
          <w:lang w:val="es-ES"/>
        </w:rPr>
        <w:t xml:space="preserve">(2016). </w:t>
      </w:r>
      <w:r w:rsidRPr="003338D7">
        <w:rPr>
          <w:rFonts w:asciiTheme="majorHAnsi" w:hAnsiTheme="majorHAnsi"/>
          <w:i/>
          <w:iCs/>
          <w:noProof/>
          <w:szCs w:val="22"/>
          <w:lang w:val="es-ES"/>
        </w:rPr>
        <w:t>Etnoagroforestería en México</w:t>
      </w:r>
      <w:r w:rsidRPr="003338D7">
        <w:rPr>
          <w:rFonts w:asciiTheme="majorHAnsi" w:hAnsiTheme="majorHAnsi"/>
          <w:noProof/>
          <w:szCs w:val="22"/>
          <w:lang w:val="es-ES"/>
        </w:rPr>
        <w:t>. México D.F., México: Universidad Nacional Autónoma de México.</w:t>
      </w:r>
    </w:p>
    <w:p w14:paraId="7B932C4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Moret, P., Aráuz, M., Gobbi, M., &amp; Barragán, Á. (2016). Climate warming effects in the tropical Andes: first evidence for upslope shifts of Carabidae (Coleoptera) in Ecuador. </w:t>
      </w:r>
      <w:r w:rsidRPr="003338D7">
        <w:rPr>
          <w:rFonts w:asciiTheme="majorHAnsi" w:hAnsiTheme="majorHAnsi"/>
          <w:i/>
          <w:iCs/>
          <w:noProof/>
          <w:szCs w:val="22"/>
        </w:rPr>
        <w:t>Insect Conservation and Diversity</w:t>
      </w:r>
      <w:r w:rsidRPr="003338D7">
        <w:rPr>
          <w:rFonts w:asciiTheme="majorHAnsi" w:hAnsiTheme="majorHAnsi"/>
          <w:noProof/>
          <w:szCs w:val="22"/>
        </w:rPr>
        <w:t xml:space="preserve">, </w:t>
      </w:r>
      <w:r w:rsidRPr="003338D7">
        <w:rPr>
          <w:rFonts w:asciiTheme="majorHAnsi" w:hAnsiTheme="majorHAnsi"/>
          <w:i/>
          <w:iCs/>
          <w:noProof/>
          <w:szCs w:val="22"/>
        </w:rPr>
        <w:t>9</w:t>
      </w:r>
      <w:r w:rsidRPr="003338D7">
        <w:rPr>
          <w:rFonts w:asciiTheme="majorHAnsi" w:hAnsiTheme="majorHAnsi"/>
          <w:noProof/>
          <w:szCs w:val="22"/>
        </w:rPr>
        <w:t xml:space="preserve">(4), 342–350. </w:t>
      </w:r>
      <w:hyperlink r:id="rId638" w:history="1">
        <w:r w:rsidRPr="003338D7">
          <w:rPr>
            <w:rStyle w:val="Hyperlink"/>
            <w:rFonts w:asciiTheme="majorHAnsi" w:hAnsiTheme="majorHAnsi"/>
            <w:noProof/>
            <w:szCs w:val="22"/>
          </w:rPr>
          <w:t>http://doi.org/10.1111/icad.12173</w:t>
        </w:r>
      </w:hyperlink>
    </w:p>
    <w:p w14:paraId="581786A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Moritz, C. (2002). Strategies to protect biological diversity and the evolutionary processes that sustain it. </w:t>
      </w:r>
      <w:r w:rsidRPr="003338D7">
        <w:rPr>
          <w:rFonts w:asciiTheme="majorHAnsi" w:hAnsiTheme="majorHAnsi"/>
          <w:i/>
          <w:iCs/>
          <w:noProof/>
          <w:szCs w:val="22"/>
        </w:rPr>
        <w:t>Systematic Biology</w:t>
      </w:r>
      <w:r w:rsidRPr="003338D7">
        <w:rPr>
          <w:rFonts w:asciiTheme="majorHAnsi" w:hAnsiTheme="majorHAnsi"/>
          <w:noProof/>
          <w:szCs w:val="22"/>
        </w:rPr>
        <w:t xml:space="preserve">, </w:t>
      </w:r>
      <w:r w:rsidRPr="003338D7">
        <w:rPr>
          <w:rFonts w:asciiTheme="majorHAnsi" w:hAnsiTheme="majorHAnsi"/>
          <w:i/>
          <w:iCs/>
          <w:noProof/>
          <w:szCs w:val="22"/>
        </w:rPr>
        <w:t>51</w:t>
      </w:r>
      <w:r w:rsidRPr="003338D7">
        <w:rPr>
          <w:rFonts w:asciiTheme="majorHAnsi" w:hAnsiTheme="majorHAnsi"/>
          <w:noProof/>
          <w:szCs w:val="22"/>
        </w:rPr>
        <w:t xml:space="preserve">(2), 238–254. </w:t>
      </w:r>
      <w:hyperlink r:id="rId639" w:history="1">
        <w:r w:rsidRPr="003338D7">
          <w:rPr>
            <w:rStyle w:val="Hyperlink"/>
            <w:rFonts w:asciiTheme="majorHAnsi" w:hAnsiTheme="majorHAnsi"/>
            <w:noProof/>
            <w:szCs w:val="22"/>
          </w:rPr>
          <w:t>http://doi.org/10.1080/10635150252899752</w:t>
        </w:r>
      </w:hyperlink>
    </w:p>
    <w:p w14:paraId="19947D5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pt-BR"/>
        </w:rPr>
      </w:pPr>
      <w:r w:rsidRPr="003338D7">
        <w:rPr>
          <w:rFonts w:asciiTheme="majorHAnsi" w:hAnsiTheme="majorHAnsi"/>
          <w:noProof/>
          <w:szCs w:val="22"/>
        </w:rPr>
        <w:t xml:space="preserve">Moritz, C., Patton, J. L., Conroy, C. J., Parra, J. L., White, G. C., &amp; Beissinger, S. R. (2008). Impact of a century of climate change on small-mammal communities in Yosemite National Park, USA. </w:t>
      </w:r>
      <w:r w:rsidRPr="003338D7">
        <w:rPr>
          <w:rFonts w:asciiTheme="majorHAnsi" w:hAnsiTheme="majorHAnsi"/>
          <w:i/>
          <w:iCs/>
          <w:noProof/>
          <w:szCs w:val="22"/>
          <w:lang w:val="pt-BR"/>
        </w:rPr>
        <w:t>Science</w:t>
      </w:r>
      <w:r w:rsidRPr="003338D7">
        <w:rPr>
          <w:rFonts w:asciiTheme="majorHAnsi" w:hAnsiTheme="majorHAnsi"/>
          <w:noProof/>
          <w:szCs w:val="22"/>
          <w:lang w:val="pt-BR"/>
        </w:rPr>
        <w:t xml:space="preserve">, </w:t>
      </w:r>
      <w:r w:rsidRPr="003338D7">
        <w:rPr>
          <w:rFonts w:asciiTheme="majorHAnsi" w:hAnsiTheme="majorHAnsi"/>
          <w:i/>
          <w:iCs/>
          <w:noProof/>
          <w:szCs w:val="22"/>
          <w:lang w:val="pt-BR"/>
        </w:rPr>
        <w:t>322</w:t>
      </w:r>
      <w:r w:rsidRPr="003338D7">
        <w:rPr>
          <w:rFonts w:asciiTheme="majorHAnsi" w:hAnsiTheme="majorHAnsi"/>
          <w:noProof/>
          <w:szCs w:val="22"/>
          <w:lang w:val="pt-BR"/>
        </w:rPr>
        <w:t xml:space="preserve">(5899), 261–264. </w:t>
      </w:r>
      <w:hyperlink r:id="rId640" w:history="1">
        <w:r w:rsidRPr="003338D7">
          <w:rPr>
            <w:rStyle w:val="Hyperlink"/>
            <w:rFonts w:asciiTheme="majorHAnsi" w:hAnsiTheme="majorHAnsi"/>
            <w:noProof/>
            <w:szCs w:val="22"/>
            <w:lang w:val="pt-BR"/>
          </w:rPr>
          <w:t>http://doi.org/10.1126/science.1163428</w:t>
        </w:r>
      </w:hyperlink>
    </w:p>
    <w:p w14:paraId="70987A6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pt-BR"/>
        </w:rPr>
        <w:t xml:space="preserve">Moro, M. F., Lughadha, E., Filer, D., Soares de Araújo, F., &amp; Martins, F. (2014). </w:t>
      </w:r>
      <w:r w:rsidRPr="003338D7">
        <w:rPr>
          <w:rFonts w:asciiTheme="majorHAnsi" w:hAnsiTheme="majorHAnsi"/>
          <w:noProof/>
          <w:szCs w:val="22"/>
        </w:rPr>
        <w:t xml:space="preserve">A catalogue of the vascular plants of the Caatinga Phytogeographical Domain: a synthesis of floristic and phytosociological surveys. </w:t>
      </w:r>
      <w:r w:rsidRPr="003338D7">
        <w:rPr>
          <w:rFonts w:asciiTheme="majorHAnsi" w:hAnsiTheme="majorHAnsi"/>
          <w:i/>
          <w:iCs/>
          <w:noProof/>
          <w:szCs w:val="22"/>
        </w:rPr>
        <w:t>Phytotaxa</w:t>
      </w:r>
      <w:r w:rsidRPr="003338D7">
        <w:rPr>
          <w:rFonts w:asciiTheme="majorHAnsi" w:hAnsiTheme="majorHAnsi"/>
          <w:noProof/>
          <w:szCs w:val="22"/>
        </w:rPr>
        <w:t xml:space="preserve">, </w:t>
      </w:r>
      <w:r w:rsidRPr="003338D7">
        <w:rPr>
          <w:rFonts w:asciiTheme="majorHAnsi" w:hAnsiTheme="majorHAnsi"/>
          <w:i/>
          <w:iCs/>
          <w:noProof/>
          <w:szCs w:val="22"/>
        </w:rPr>
        <w:t>160</w:t>
      </w:r>
      <w:r w:rsidRPr="003338D7">
        <w:rPr>
          <w:rFonts w:asciiTheme="majorHAnsi" w:hAnsiTheme="majorHAnsi"/>
          <w:noProof/>
          <w:szCs w:val="22"/>
        </w:rPr>
        <w:t xml:space="preserve">(1), 1–118. </w:t>
      </w:r>
      <w:hyperlink r:id="rId641" w:history="1">
        <w:r w:rsidRPr="003338D7">
          <w:rPr>
            <w:rStyle w:val="Hyperlink"/>
            <w:rFonts w:asciiTheme="majorHAnsi" w:hAnsiTheme="majorHAnsi"/>
            <w:noProof/>
            <w:szCs w:val="22"/>
          </w:rPr>
          <w:t xml:space="preserve">http://doi.org/10.11646/phytotaxa.160.1.1 </w:t>
        </w:r>
      </w:hyperlink>
    </w:p>
    <w:p w14:paraId="249D4D9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Morón, A., &amp; Sawchik, J. (2003). Soil quality indicators in a long-term crop-pasture rotation experiment in Uruguay. In </w:t>
      </w:r>
      <w:r w:rsidRPr="003338D7">
        <w:rPr>
          <w:rFonts w:asciiTheme="majorHAnsi" w:hAnsiTheme="majorHAnsi"/>
          <w:i/>
          <w:iCs/>
          <w:noProof/>
          <w:szCs w:val="22"/>
        </w:rPr>
        <w:t>17th World Congress of Soil Science Symposium n° 32</w:t>
      </w:r>
      <w:r w:rsidRPr="003338D7">
        <w:rPr>
          <w:rFonts w:asciiTheme="majorHAnsi" w:hAnsiTheme="majorHAnsi"/>
          <w:noProof/>
          <w:szCs w:val="22"/>
        </w:rPr>
        <w:t xml:space="preserve"> (p. 1327). </w:t>
      </w:r>
      <w:r w:rsidRPr="003338D7">
        <w:rPr>
          <w:rFonts w:asciiTheme="majorHAnsi" w:hAnsiTheme="majorHAnsi"/>
          <w:noProof/>
          <w:szCs w:val="22"/>
          <w:lang w:val="es-ES"/>
        </w:rPr>
        <w:t>Serie Técnica 134. INIA La Estanzuela.</w:t>
      </w:r>
    </w:p>
    <w:p w14:paraId="41B650E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Morón Zambrano, V. I., García Rangel, S., &amp; Yerena, E. (2015). </w:t>
      </w:r>
      <w:r w:rsidRPr="003338D7">
        <w:rPr>
          <w:rFonts w:asciiTheme="majorHAnsi" w:hAnsiTheme="majorHAnsi"/>
          <w:i/>
          <w:iCs/>
          <w:noProof/>
          <w:szCs w:val="22"/>
          <w:lang w:val="es-ES"/>
        </w:rPr>
        <w:t>Deforestación en Venezuela: Una Comparación de las Evaluaciones Existentes</w:t>
      </w:r>
      <w:r w:rsidRPr="003338D7">
        <w:rPr>
          <w:rFonts w:asciiTheme="majorHAnsi" w:hAnsiTheme="majorHAnsi"/>
          <w:noProof/>
          <w:szCs w:val="22"/>
          <w:lang w:val="es-ES"/>
        </w:rPr>
        <w:t xml:space="preserve">. Caracas, Venezuela. Retrieved from </w:t>
      </w:r>
      <w:hyperlink r:id="rId642" w:history="1">
        <w:r w:rsidRPr="003338D7">
          <w:rPr>
            <w:rStyle w:val="Hyperlink"/>
            <w:rFonts w:asciiTheme="majorHAnsi" w:hAnsiTheme="majorHAnsi"/>
            <w:noProof/>
            <w:szCs w:val="22"/>
            <w:lang w:val="es-ES"/>
          </w:rPr>
          <w:t>https://www.researchgate.net/profile/Vilisa_Moron_Zambrano/publication/301889738_Deforestacion_en_Venezuela_Una_comparacion_de_las_evaluaciones_existentes/links/572b32f608ae057b0a094add/Deforestacion-en-Venezuela-Una-comparacion-de-las-evaluaciones-exist</w:t>
        </w:r>
      </w:hyperlink>
    </w:p>
    <w:p w14:paraId="0A4B815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pt-BR"/>
        </w:rPr>
        <w:t xml:space="preserve">Morueta-Holme, N., Engemann, K., Sandoval-Acuña, P., Jonas, J. D., Segnitz, R. M., &amp; Svenning, J.-C. (2015). </w:t>
      </w:r>
      <w:r w:rsidRPr="003338D7">
        <w:rPr>
          <w:rFonts w:asciiTheme="majorHAnsi" w:hAnsiTheme="majorHAnsi"/>
          <w:noProof/>
          <w:szCs w:val="22"/>
        </w:rPr>
        <w:t xml:space="preserve">Strong upslope shifts in Chimborazo’s vegetation over two centuries since Humboldt. </w:t>
      </w:r>
      <w:r w:rsidRPr="003338D7">
        <w:rPr>
          <w:rFonts w:asciiTheme="majorHAnsi" w:hAnsiTheme="majorHAnsi"/>
          <w:i/>
          <w:iCs/>
          <w:noProof/>
          <w:szCs w:val="22"/>
        </w:rPr>
        <w:t>PNAS</w:t>
      </w:r>
      <w:r w:rsidRPr="003338D7">
        <w:rPr>
          <w:rFonts w:asciiTheme="majorHAnsi" w:hAnsiTheme="majorHAnsi"/>
          <w:noProof/>
          <w:szCs w:val="22"/>
        </w:rPr>
        <w:t xml:space="preserve">, </w:t>
      </w:r>
      <w:r w:rsidRPr="003338D7">
        <w:rPr>
          <w:rFonts w:asciiTheme="majorHAnsi" w:hAnsiTheme="majorHAnsi"/>
          <w:i/>
          <w:iCs/>
          <w:noProof/>
          <w:szCs w:val="22"/>
        </w:rPr>
        <w:t>112</w:t>
      </w:r>
      <w:r w:rsidRPr="003338D7">
        <w:rPr>
          <w:rFonts w:asciiTheme="majorHAnsi" w:hAnsiTheme="majorHAnsi"/>
          <w:noProof/>
          <w:szCs w:val="22"/>
        </w:rPr>
        <w:t xml:space="preserve">(41), 12741–12745. </w:t>
      </w:r>
      <w:hyperlink r:id="rId643" w:history="1">
        <w:r w:rsidRPr="003338D7">
          <w:rPr>
            <w:rStyle w:val="Hyperlink"/>
            <w:rFonts w:asciiTheme="majorHAnsi" w:hAnsiTheme="majorHAnsi"/>
            <w:noProof/>
            <w:szCs w:val="22"/>
          </w:rPr>
          <w:t>http://doi.org/10.1073/pnas.1509938112</w:t>
        </w:r>
      </w:hyperlink>
    </w:p>
    <w:p w14:paraId="0DADE05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Müller, N., Ignatieva, M., Nilon, C. H., Werner, P., &amp; Zipperer, W. C. (2013). Patterns and trends in urban biodiversity and landscape design. In </w:t>
      </w:r>
      <w:r w:rsidRPr="003338D7">
        <w:rPr>
          <w:rFonts w:asciiTheme="majorHAnsi" w:hAnsiTheme="majorHAnsi"/>
          <w:i/>
          <w:iCs/>
          <w:noProof/>
          <w:szCs w:val="22"/>
        </w:rPr>
        <w:t>Urbanization, Biodiversity and Ecosystem Services: Challenges and Opportunities: A Global Assessment</w:t>
      </w:r>
      <w:r w:rsidRPr="003338D7">
        <w:rPr>
          <w:rFonts w:asciiTheme="majorHAnsi" w:hAnsiTheme="majorHAnsi"/>
          <w:noProof/>
          <w:szCs w:val="22"/>
        </w:rPr>
        <w:t xml:space="preserve"> (pp. 123–174). </w:t>
      </w:r>
      <w:hyperlink r:id="rId644" w:history="1">
        <w:r w:rsidRPr="003338D7">
          <w:rPr>
            <w:rStyle w:val="Hyperlink"/>
            <w:rFonts w:asciiTheme="majorHAnsi" w:hAnsiTheme="majorHAnsi"/>
            <w:noProof/>
            <w:szCs w:val="22"/>
          </w:rPr>
          <w:t>http://doi.org/10.1007/978-94-007-7088-1_10</w:t>
        </w:r>
      </w:hyperlink>
    </w:p>
    <w:p w14:paraId="62852FF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Mumby, P. J., Dahlgren, C. P., Harborne, A. R., Kappel, C. V., Micheli, F., Brumbaugh, D. R., Holmes, K. E., Mendes, J. M., Broad, K., Sanchirico, J. N., Buch, K., Box, S., Stoffle, R. W., &amp; Gill, A. B. (2006). Fishing, trophic cascades, and the process of grazing on coral reefs.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311</w:t>
      </w:r>
      <w:r w:rsidRPr="003338D7">
        <w:rPr>
          <w:rFonts w:asciiTheme="majorHAnsi" w:hAnsiTheme="majorHAnsi"/>
          <w:noProof/>
          <w:szCs w:val="22"/>
          <w:lang w:val="es-ES"/>
        </w:rPr>
        <w:t xml:space="preserve">(5757), 98–101. </w:t>
      </w:r>
      <w:hyperlink r:id="rId645" w:history="1">
        <w:r w:rsidRPr="003338D7">
          <w:rPr>
            <w:rStyle w:val="Hyperlink"/>
            <w:rFonts w:asciiTheme="majorHAnsi" w:hAnsiTheme="majorHAnsi"/>
            <w:noProof/>
            <w:szCs w:val="22"/>
            <w:lang w:val="es-ES"/>
          </w:rPr>
          <w:t>https://doi.org/10.1126/science.1121129</w:t>
        </w:r>
      </w:hyperlink>
    </w:p>
    <w:p w14:paraId="2A8F05C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Muñoz-Concha, D., Farías, C., &amp; Méndez, J. (2015). </w:t>
      </w:r>
      <w:r w:rsidRPr="003338D7">
        <w:rPr>
          <w:rFonts w:asciiTheme="majorHAnsi" w:hAnsiTheme="majorHAnsi"/>
          <w:noProof/>
          <w:szCs w:val="22"/>
        </w:rPr>
        <w:t xml:space="preserve">Notes on a new population of the endangered Chilean tree </w:t>
      </w:r>
      <w:r w:rsidRPr="003338D7">
        <w:rPr>
          <w:rFonts w:asciiTheme="majorHAnsi" w:hAnsiTheme="majorHAnsi"/>
          <w:i/>
          <w:iCs/>
          <w:noProof/>
          <w:szCs w:val="22"/>
        </w:rPr>
        <w:t>Gomortega keule</w:t>
      </w:r>
      <w:r w:rsidRPr="003338D7">
        <w:rPr>
          <w:rFonts w:asciiTheme="majorHAnsi" w:hAnsiTheme="majorHAnsi"/>
          <w:noProof/>
          <w:szCs w:val="22"/>
        </w:rPr>
        <w:t xml:space="preserve">. </w:t>
      </w:r>
      <w:r w:rsidRPr="003338D7">
        <w:rPr>
          <w:rFonts w:asciiTheme="majorHAnsi" w:hAnsiTheme="majorHAnsi"/>
          <w:i/>
          <w:iCs/>
          <w:noProof/>
          <w:szCs w:val="22"/>
        </w:rPr>
        <w:t>New Zealand Journal of Botany</w:t>
      </w:r>
      <w:r w:rsidRPr="003338D7">
        <w:rPr>
          <w:rFonts w:asciiTheme="majorHAnsi" w:hAnsiTheme="majorHAnsi"/>
          <w:noProof/>
          <w:szCs w:val="22"/>
        </w:rPr>
        <w:t xml:space="preserve">, </w:t>
      </w:r>
      <w:r w:rsidRPr="003338D7">
        <w:rPr>
          <w:rFonts w:asciiTheme="majorHAnsi" w:hAnsiTheme="majorHAnsi"/>
          <w:i/>
          <w:iCs/>
          <w:noProof/>
          <w:szCs w:val="22"/>
        </w:rPr>
        <w:t>53</w:t>
      </w:r>
      <w:r w:rsidRPr="003338D7">
        <w:rPr>
          <w:rFonts w:asciiTheme="majorHAnsi" w:hAnsiTheme="majorHAnsi"/>
          <w:noProof/>
          <w:szCs w:val="22"/>
        </w:rPr>
        <w:t xml:space="preserve">(4), 224–230. </w:t>
      </w:r>
      <w:hyperlink r:id="rId646" w:history="1">
        <w:r w:rsidRPr="003338D7">
          <w:rPr>
            <w:rStyle w:val="Hyperlink"/>
            <w:rFonts w:asciiTheme="majorHAnsi" w:hAnsiTheme="majorHAnsi"/>
            <w:noProof/>
            <w:szCs w:val="22"/>
          </w:rPr>
          <w:t>http://doi.org/10.1080/0028825X.2015.1064974</w:t>
        </w:r>
      </w:hyperlink>
    </w:p>
    <w:p w14:paraId="4BDE843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Muñoz-Pedreros, A., de los Rios-Escalante, P., &amp; Möller, P. (2015). Zooplankton of the highland bogs of Putana, a desert wetland of the high puna, northern Chile. </w:t>
      </w:r>
      <w:r w:rsidRPr="003338D7">
        <w:rPr>
          <w:rFonts w:asciiTheme="majorHAnsi" w:hAnsiTheme="majorHAnsi"/>
          <w:i/>
          <w:iCs/>
          <w:noProof/>
          <w:szCs w:val="22"/>
          <w:lang w:val="es-ES"/>
        </w:rPr>
        <w:t>Crustaceana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88</w:t>
      </w:r>
      <w:r w:rsidRPr="003338D7">
        <w:rPr>
          <w:rFonts w:asciiTheme="majorHAnsi" w:hAnsiTheme="majorHAnsi"/>
          <w:noProof/>
          <w:szCs w:val="22"/>
          <w:lang w:val="es-ES"/>
        </w:rPr>
        <w:t xml:space="preserve">(10–11), 1235–1244. </w:t>
      </w:r>
      <w:hyperlink r:id="rId647" w:history="1">
        <w:r w:rsidRPr="003338D7">
          <w:rPr>
            <w:rStyle w:val="Hyperlink"/>
            <w:rFonts w:asciiTheme="majorHAnsi" w:hAnsiTheme="majorHAnsi"/>
            <w:noProof/>
            <w:szCs w:val="22"/>
            <w:lang w:val="es-ES"/>
          </w:rPr>
          <w:t>http://doi.org/DOI 10.1163/15685403-00003482</w:t>
        </w:r>
      </w:hyperlink>
    </w:p>
    <w:p w14:paraId="3282ACF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Muñoz, A. A., &amp; Cavieres, L. A. (2008). </w:t>
      </w:r>
      <w:r w:rsidRPr="003338D7">
        <w:rPr>
          <w:rFonts w:asciiTheme="majorHAnsi" w:hAnsiTheme="majorHAnsi"/>
          <w:noProof/>
          <w:szCs w:val="22"/>
        </w:rPr>
        <w:t xml:space="preserve">The presence of a showy invasive plant disrupts pollinator service and reproductive output in native alpine species only at high densities. </w:t>
      </w:r>
      <w:r w:rsidRPr="003338D7">
        <w:rPr>
          <w:rFonts w:asciiTheme="majorHAnsi" w:hAnsiTheme="majorHAnsi"/>
          <w:i/>
          <w:iCs/>
          <w:noProof/>
          <w:szCs w:val="22"/>
        </w:rPr>
        <w:t>Journal of Ecology</w:t>
      </w:r>
      <w:r w:rsidRPr="003338D7">
        <w:rPr>
          <w:rFonts w:asciiTheme="majorHAnsi" w:hAnsiTheme="majorHAnsi"/>
          <w:noProof/>
          <w:szCs w:val="22"/>
        </w:rPr>
        <w:t xml:space="preserve">, </w:t>
      </w:r>
      <w:r w:rsidRPr="003338D7">
        <w:rPr>
          <w:rFonts w:asciiTheme="majorHAnsi" w:hAnsiTheme="majorHAnsi"/>
          <w:i/>
          <w:iCs/>
          <w:noProof/>
          <w:szCs w:val="22"/>
        </w:rPr>
        <w:t>96</w:t>
      </w:r>
      <w:r w:rsidRPr="003338D7">
        <w:rPr>
          <w:rFonts w:asciiTheme="majorHAnsi" w:hAnsiTheme="majorHAnsi"/>
          <w:noProof/>
          <w:szCs w:val="22"/>
        </w:rPr>
        <w:t xml:space="preserve">(3), 459–467. </w:t>
      </w:r>
      <w:hyperlink r:id="rId648" w:history="1">
        <w:r w:rsidRPr="003338D7">
          <w:rPr>
            <w:rStyle w:val="Hyperlink"/>
            <w:rFonts w:asciiTheme="majorHAnsi" w:hAnsiTheme="majorHAnsi"/>
            <w:noProof/>
            <w:szCs w:val="22"/>
          </w:rPr>
          <w:t>http://doi.org/10.1111/j.1365-2745.2008.01361.x</w:t>
        </w:r>
      </w:hyperlink>
    </w:p>
    <w:p w14:paraId="5A322CB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Muñoz, Y., Cadena, A., &amp; Rangel-Ch., J. O. (2000). Mamíferos. In J. O. Rangel Ch. </w:t>
      </w:r>
      <w:r w:rsidRPr="003338D7">
        <w:rPr>
          <w:rFonts w:asciiTheme="majorHAnsi" w:hAnsiTheme="majorHAnsi"/>
          <w:noProof/>
          <w:szCs w:val="22"/>
          <w:lang w:val="es-ES"/>
        </w:rPr>
        <w:t xml:space="preserve">(Ed.), </w:t>
      </w:r>
      <w:r w:rsidRPr="003338D7">
        <w:rPr>
          <w:rFonts w:asciiTheme="majorHAnsi" w:hAnsiTheme="majorHAnsi"/>
          <w:i/>
          <w:iCs/>
          <w:noProof/>
          <w:szCs w:val="22"/>
          <w:lang w:val="es-ES"/>
        </w:rPr>
        <w:t>Colombia Diversidad Biótica III</w:t>
      </w:r>
      <w:r w:rsidRPr="003338D7">
        <w:rPr>
          <w:rFonts w:asciiTheme="majorHAnsi" w:hAnsiTheme="majorHAnsi"/>
          <w:noProof/>
          <w:szCs w:val="22"/>
          <w:lang w:val="es-ES"/>
        </w:rPr>
        <w:t xml:space="preserve"> (pp. 599–611). Santafé de Bogotá, D.C., Colombia: Universidad Nacional de Colombia. </w:t>
      </w:r>
      <w:r w:rsidRPr="003338D7">
        <w:rPr>
          <w:rFonts w:asciiTheme="majorHAnsi" w:hAnsiTheme="majorHAnsi"/>
          <w:noProof/>
          <w:szCs w:val="22"/>
        </w:rPr>
        <w:t xml:space="preserve">Retrieved from </w:t>
      </w:r>
      <w:hyperlink r:id="rId649" w:history="1">
        <w:r w:rsidRPr="003338D7">
          <w:rPr>
            <w:rStyle w:val="Hyperlink"/>
            <w:rFonts w:asciiTheme="majorHAnsi" w:hAnsiTheme="majorHAnsi"/>
            <w:noProof/>
            <w:szCs w:val="22"/>
          </w:rPr>
          <w:t>http://www.uneditorial.net/pdf/TomoIII.pdf</w:t>
        </w:r>
      </w:hyperlink>
    </w:p>
    <w:p w14:paraId="51E9352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Myers-Smith, I. H., Elmendorf, S. C., Beck, P. S., Wilmking, M., Hallinger, M., Blok, D., Tape, K. D., Rayback, S. A., Macias-Fauria, M., Speed, J. D., &amp; Vellend, M. (2015). Climate sensitivity of shrub growth across the tundra biome. </w:t>
      </w:r>
      <w:r w:rsidRPr="003338D7">
        <w:rPr>
          <w:rFonts w:asciiTheme="majorHAnsi" w:hAnsiTheme="majorHAnsi"/>
          <w:i/>
          <w:iCs/>
          <w:noProof/>
          <w:szCs w:val="22"/>
          <w:lang w:val="es-ES"/>
        </w:rPr>
        <w:t>Nature Climate Change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w:t>
      </w:r>
      <w:r w:rsidRPr="003338D7">
        <w:rPr>
          <w:rFonts w:asciiTheme="majorHAnsi" w:hAnsiTheme="majorHAnsi"/>
          <w:noProof/>
          <w:szCs w:val="22"/>
          <w:lang w:val="es-ES"/>
        </w:rPr>
        <w:t xml:space="preserve">(9), 887–891. </w:t>
      </w:r>
      <w:hyperlink r:id="rId650" w:history="1">
        <w:r w:rsidRPr="003338D7">
          <w:rPr>
            <w:rStyle w:val="Hyperlink"/>
            <w:rFonts w:asciiTheme="majorHAnsi" w:hAnsiTheme="majorHAnsi"/>
            <w:noProof/>
            <w:szCs w:val="22"/>
            <w:lang w:val="es-ES"/>
          </w:rPr>
          <w:t>https://doi.org/10.1038/NCLIMATE2697</w:t>
        </w:r>
      </w:hyperlink>
    </w:p>
    <w:p w14:paraId="7AA9E5F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Myers-Smith, I. H., Forbes, B. C., Wilmking, M., Hallinger, M., Lantz, T., Blok, D., Tape, K. D., Macias-Fauria, M., Sass-Klaassen, U., Lévesque, E., Boudreau, S., Ropars, P., Hermanutz, L., Trant, A., Siegwart Collier, L., Weijers, S., Rozema, J., Rayback, S. A., Martin Schmidt, N., Schaepman-Strub, G., Wipf, S., Rixen, C., Ménard, C. B., Venn, S., Goetz, S., Andreu-Hayles, L., Elmendorf, S., Ravolainen, V., Welker, J., Grogan, P., Epstein, H. E., &amp; Hik, D. S. (2011). Shrub expansion in tundra ecosystems: dynamics, impacts and research priorities. </w:t>
      </w:r>
      <w:r w:rsidRPr="003338D7">
        <w:rPr>
          <w:rFonts w:asciiTheme="majorHAnsi" w:hAnsiTheme="majorHAnsi"/>
          <w:i/>
          <w:iCs/>
          <w:noProof/>
          <w:szCs w:val="22"/>
          <w:lang w:val="es-ES"/>
        </w:rPr>
        <w:t>Environmental Research Letters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w:t>
      </w:r>
      <w:r w:rsidRPr="003338D7">
        <w:rPr>
          <w:rFonts w:asciiTheme="majorHAnsi" w:hAnsiTheme="majorHAnsi"/>
          <w:noProof/>
          <w:szCs w:val="22"/>
          <w:lang w:val="es-ES"/>
        </w:rPr>
        <w:t xml:space="preserve">(4), 15pp. </w:t>
      </w:r>
      <w:hyperlink r:id="rId651" w:history="1">
        <w:r w:rsidRPr="003338D7">
          <w:rPr>
            <w:rStyle w:val="Hyperlink"/>
            <w:rFonts w:asciiTheme="majorHAnsi" w:hAnsiTheme="majorHAnsi"/>
            <w:noProof/>
            <w:szCs w:val="22"/>
            <w:lang w:val="es-ES"/>
          </w:rPr>
          <w:t>https://doi.org/10.1088/1748-9326/6/4/045509</w:t>
        </w:r>
      </w:hyperlink>
    </w:p>
    <w:p w14:paraId="62E961F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Myers, N., Mittermeier, R. A., Mittermeier, C. G., da Fonseca, G. A. B., &amp; Kent, J. (2000). Biodiversity hotspots for conservation priorities.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403</w:t>
      </w:r>
      <w:r w:rsidRPr="003338D7">
        <w:rPr>
          <w:rFonts w:asciiTheme="majorHAnsi" w:hAnsiTheme="majorHAnsi"/>
          <w:noProof/>
          <w:szCs w:val="22"/>
        </w:rPr>
        <w:t xml:space="preserve">(6772), 853–858. </w:t>
      </w:r>
      <w:hyperlink r:id="rId652" w:history="1">
        <w:r w:rsidRPr="003338D7">
          <w:rPr>
            <w:rStyle w:val="Hyperlink"/>
            <w:rFonts w:asciiTheme="majorHAnsi" w:hAnsiTheme="majorHAnsi"/>
            <w:noProof/>
            <w:szCs w:val="22"/>
          </w:rPr>
          <w:t>http://doi.org/10.1038/35002501</w:t>
        </w:r>
      </w:hyperlink>
    </w:p>
    <w:p w14:paraId="2E613EF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Nair, P. K. R. (1985). Classification of agroforestry systems. </w:t>
      </w:r>
      <w:r w:rsidRPr="003338D7">
        <w:rPr>
          <w:rFonts w:asciiTheme="majorHAnsi" w:hAnsiTheme="majorHAnsi"/>
          <w:i/>
          <w:iCs/>
          <w:noProof/>
          <w:szCs w:val="22"/>
        </w:rPr>
        <w:t>Agroforestry Systems</w:t>
      </w:r>
      <w:r w:rsidRPr="003338D7">
        <w:rPr>
          <w:rFonts w:asciiTheme="majorHAnsi" w:hAnsiTheme="majorHAnsi"/>
          <w:noProof/>
          <w:szCs w:val="22"/>
        </w:rPr>
        <w:t xml:space="preserve">, </w:t>
      </w:r>
      <w:r w:rsidRPr="003338D7">
        <w:rPr>
          <w:rFonts w:asciiTheme="majorHAnsi" w:hAnsiTheme="majorHAnsi"/>
          <w:i/>
          <w:iCs/>
          <w:noProof/>
          <w:szCs w:val="22"/>
        </w:rPr>
        <w:t>3</w:t>
      </w:r>
      <w:r w:rsidRPr="003338D7">
        <w:rPr>
          <w:rFonts w:asciiTheme="majorHAnsi" w:hAnsiTheme="majorHAnsi"/>
          <w:noProof/>
          <w:szCs w:val="22"/>
        </w:rPr>
        <w:t xml:space="preserve">(2), 97–128. </w:t>
      </w:r>
      <w:hyperlink r:id="rId653" w:history="1">
        <w:r w:rsidRPr="003338D7">
          <w:rPr>
            <w:rStyle w:val="Hyperlink"/>
            <w:rFonts w:asciiTheme="majorHAnsi" w:hAnsiTheme="majorHAnsi"/>
            <w:noProof/>
            <w:szCs w:val="22"/>
          </w:rPr>
          <w:t>http://doi.org/10.1007/BF00122638</w:t>
        </w:r>
      </w:hyperlink>
    </w:p>
    <w:p w14:paraId="63B86C1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Nair, P. K. R., Gordon, A. M., &amp; Mosqueda-Losada, M. R. (2008). </w:t>
      </w:r>
      <w:r w:rsidRPr="003338D7">
        <w:rPr>
          <w:rFonts w:asciiTheme="majorHAnsi" w:hAnsiTheme="majorHAnsi"/>
          <w:noProof/>
          <w:szCs w:val="22"/>
        </w:rPr>
        <w:t xml:space="preserve">Agroforestry. In S. E. Jorgensen &amp; B. Fath (Eds.), </w:t>
      </w:r>
      <w:r w:rsidRPr="003338D7">
        <w:rPr>
          <w:rFonts w:asciiTheme="majorHAnsi" w:hAnsiTheme="majorHAnsi"/>
          <w:i/>
          <w:iCs/>
          <w:noProof/>
          <w:szCs w:val="22"/>
        </w:rPr>
        <w:t>Encyclopedia of Ecology. Vol. 1</w:t>
      </w:r>
      <w:r w:rsidRPr="003338D7">
        <w:rPr>
          <w:rFonts w:asciiTheme="majorHAnsi" w:hAnsiTheme="majorHAnsi"/>
          <w:noProof/>
          <w:szCs w:val="22"/>
        </w:rPr>
        <w:t>. Amsterdam, The Netherlands: Elsevier.</w:t>
      </w:r>
    </w:p>
    <w:p w14:paraId="351734E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Naito, A. T., &amp; Cairns, D. M. (2015). Patterns of shrub expansion in Alaskan arctic river corridors suggest phase transition. </w:t>
      </w:r>
      <w:r w:rsidRPr="003338D7">
        <w:rPr>
          <w:rFonts w:asciiTheme="majorHAnsi" w:hAnsiTheme="majorHAnsi"/>
          <w:i/>
          <w:iCs/>
          <w:noProof/>
          <w:szCs w:val="22"/>
        </w:rPr>
        <w:t>Ecology and Evolution</w:t>
      </w:r>
      <w:r w:rsidRPr="003338D7">
        <w:rPr>
          <w:rFonts w:asciiTheme="majorHAnsi" w:hAnsiTheme="majorHAnsi"/>
          <w:noProof/>
          <w:szCs w:val="22"/>
        </w:rPr>
        <w:t xml:space="preserve">, </w:t>
      </w:r>
      <w:r w:rsidRPr="003338D7">
        <w:rPr>
          <w:rFonts w:asciiTheme="majorHAnsi" w:hAnsiTheme="majorHAnsi"/>
          <w:i/>
          <w:iCs/>
          <w:noProof/>
          <w:szCs w:val="22"/>
        </w:rPr>
        <w:t>5</w:t>
      </w:r>
      <w:r w:rsidRPr="003338D7">
        <w:rPr>
          <w:rFonts w:asciiTheme="majorHAnsi" w:hAnsiTheme="majorHAnsi"/>
          <w:noProof/>
          <w:szCs w:val="22"/>
        </w:rPr>
        <w:t xml:space="preserve">(1), 87–101. </w:t>
      </w:r>
      <w:hyperlink r:id="rId654" w:history="1">
        <w:r w:rsidRPr="003338D7">
          <w:rPr>
            <w:rStyle w:val="Hyperlink"/>
            <w:rFonts w:asciiTheme="majorHAnsi" w:hAnsiTheme="majorHAnsi"/>
            <w:noProof/>
            <w:szCs w:val="22"/>
          </w:rPr>
          <w:t>http://doi.org/10.1002/ece3.1341</w:t>
        </w:r>
      </w:hyperlink>
    </w:p>
    <w:p w14:paraId="565447A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Navarro-González, R., Rainey, F. A., Molina, P., Bagaley, D. R., Hollen, B. J., de la Rosa, J., Small, A. M., Quinn, R. C., Grunthaner, F. J., Cáceres, L., Gomez-Silva, B., &amp; McKay, C. P. (2003). Mars-like soils in the Atacama Desert, Chile, and the dry limit of microbial life.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302</w:t>
      </w:r>
      <w:r w:rsidRPr="003338D7">
        <w:rPr>
          <w:rFonts w:asciiTheme="majorHAnsi" w:hAnsiTheme="majorHAnsi"/>
          <w:noProof/>
          <w:szCs w:val="22"/>
          <w:lang w:val="es-ES"/>
        </w:rPr>
        <w:t xml:space="preserve">(5647), 1018–1021. </w:t>
      </w:r>
      <w:hyperlink r:id="rId655" w:history="1">
        <w:r w:rsidRPr="003338D7">
          <w:rPr>
            <w:rStyle w:val="Hyperlink"/>
            <w:rFonts w:asciiTheme="majorHAnsi" w:hAnsiTheme="majorHAnsi"/>
            <w:noProof/>
            <w:szCs w:val="22"/>
            <w:lang w:val="es-ES"/>
          </w:rPr>
          <w:t>https://doi.org/10.1126/science.1089143</w:t>
        </w:r>
      </w:hyperlink>
    </w:p>
    <w:p w14:paraId="7A4D6FB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Naylor, R. L. (2006). Environmental safeguards for open-ocean aquaculture. </w:t>
      </w:r>
      <w:r w:rsidRPr="003338D7">
        <w:rPr>
          <w:rFonts w:asciiTheme="majorHAnsi" w:hAnsiTheme="majorHAnsi"/>
          <w:i/>
          <w:iCs/>
          <w:noProof/>
          <w:szCs w:val="22"/>
        </w:rPr>
        <w:t>Issues in Science and Technology</w:t>
      </w:r>
      <w:r w:rsidRPr="003338D7">
        <w:rPr>
          <w:rFonts w:asciiTheme="majorHAnsi" w:hAnsiTheme="majorHAnsi"/>
          <w:noProof/>
          <w:szCs w:val="22"/>
        </w:rPr>
        <w:t xml:space="preserve">, </w:t>
      </w:r>
      <w:r w:rsidRPr="003338D7">
        <w:rPr>
          <w:rFonts w:asciiTheme="majorHAnsi" w:hAnsiTheme="majorHAnsi"/>
          <w:i/>
          <w:iCs/>
          <w:noProof/>
          <w:szCs w:val="22"/>
        </w:rPr>
        <w:t>22</w:t>
      </w:r>
      <w:r w:rsidRPr="003338D7">
        <w:rPr>
          <w:rFonts w:asciiTheme="majorHAnsi" w:hAnsiTheme="majorHAnsi"/>
          <w:noProof/>
          <w:szCs w:val="22"/>
        </w:rPr>
        <w:t>(3), 53–58.</w:t>
      </w:r>
    </w:p>
    <w:p w14:paraId="07C3931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Neff, J., Reynolds, R., Belnap, J., &amp; Lamothe, P. (2005). Multi-decadal impacts of grazing on soil physical and biogeochemical properties in southeast Utah. </w:t>
      </w:r>
      <w:r w:rsidRPr="003338D7">
        <w:rPr>
          <w:rFonts w:asciiTheme="majorHAnsi" w:hAnsiTheme="majorHAnsi"/>
          <w:i/>
          <w:iCs/>
          <w:noProof/>
          <w:szCs w:val="22"/>
        </w:rPr>
        <w:t>Ecological Applications</w:t>
      </w:r>
      <w:r w:rsidRPr="003338D7">
        <w:rPr>
          <w:rFonts w:asciiTheme="majorHAnsi" w:hAnsiTheme="majorHAnsi"/>
          <w:noProof/>
          <w:szCs w:val="22"/>
        </w:rPr>
        <w:t xml:space="preserve">, </w:t>
      </w:r>
      <w:r w:rsidRPr="003338D7">
        <w:rPr>
          <w:rFonts w:asciiTheme="majorHAnsi" w:hAnsiTheme="majorHAnsi"/>
          <w:i/>
          <w:iCs/>
          <w:noProof/>
          <w:szCs w:val="22"/>
        </w:rPr>
        <w:t>15</w:t>
      </w:r>
      <w:r w:rsidRPr="003338D7">
        <w:rPr>
          <w:rFonts w:asciiTheme="majorHAnsi" w:hAnsiTheme="majorHAnsi"/>
          <w:noProof/>
          <w:szCs w:val="22"/>
        </w:rPr>
        <w:t xml:space="preserve">, 87–95. </w:t>
      </w:r>
      <w:hyperlink r:id="rId656" w:history="1">
        <w:r w:rsidRPr="003338D7">
          <w:rPr>
            <w:rStyle w:val="Hyperlink"/>
            <w:rFonts w:asciiTheme="majorHAnsi" w:hAnsiTheme="majorHAnsi"/>
            <w:noProof/>
            <w:szCs w:val="22"/>
          </w:rPr>
          <w:t>http://doi.org/10.1890/04-0268</w:t>
        </w:r>
      </w:hyperlink>
    </w:p>
    <w:p w14:paraId="74EF1B3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Nelson, A., &amp; Chomitz, K. M. (2011). Effectiveness of strict vs. multiple use protected areas in reducing tropical forest fires: a global analysis using matching methods. </w:t>
      </w:r>
      <w:r w:rsidRPr="003338D7">
        <w:rPr>
          <w:rFonts w:asciiTheme="majorHAnsi" w:hAnsiTheme="majorHAnsi"/>
          <w:i/>
          <w:iCs/>
          <w:noProof/>
          <w:szCs w:val="22"/>
        </w:rPr>
        <w:t>PLoS ONE</w:t>
      </w:r>
      <w:r w:rsidRPr="003338D7">
        <w:rPr>
          <w:rFonts w:asciiTheme="majorHAnsi" w:hAnsiTheme="majorHAnsi"/>
          <w:noProof/>
          <w:szCs w:val="22"/>
        </w:rPr>
        <w:t xml:space="preserve">, </w:t>
      </w:r>
      <w:r w:rsidRPr="003338D7">
        <w:rPr>
          <w:rFonts w:asciiTheme="majorHAnsi" w:hAnsiTheme="majorHAnsi"/>
          <w:i/>
          <w:iCs/>
          <w:noProof/>
          <w:szCs w:val="22"/>
        </w:rPr>
        <w:t>6</w:t>
      </w:r>
      <w:r w:rsidRPr="003338D7">
        <w:rPr>
          <w:rFonts w:asciiTheme="majorHAnsi" w:hAnsiTheme="majorHAnsi"/>
          <w:noProof/>
          <w:szCs w:val="22"/>
        </w:rPr>
        <w:t>(8), e22722. http://doi.org/10.1371/journal.pone.0022722</w:t>
      </w:r>
    </w:p>
    <w:p w14:paraId="13F3235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Nelson, E., Helmus, M. R., Cavender-Bares, J., Polasky, S., Lasky, J. R., Zanne, A. E., Pearse, W. D., Kraft, N. J. B., Miteva, D. A., Fagan, W. F., Miteva, D., &amp; Fagan, W. (2016). Commercial plant production and consumption still follow the latitudinal gradient in species diversity despite economic globalization.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11</w:t>
      </w:r>
      <w:r w:rsidRPr="003338D7">
        <w:rPr>
          <w:rFonts w:asciiTheme="majorHAnsi" w:hAnsiTheme="majorHAnsi"/>
          <w:noProof/>
          <w:szCs w:val="22"/>
          <w:lang w:val="es-ES"/>
        </w:rPr>
        <w:t xml:space="preserve">(10), e0163002. </w:t>
      </w:r>
      <w:hyperlink r:id="rId657" w:history="1">
        <w:r w:rsidRPr="003338D7">
          <w:rPr>
            <w:rStyle w:val="Hyperlink"/>
            <w:rFonts w:asciiTheme="majorHAnsi" w:hAnsiTheme="majorHAnsi"/>
            <w:noProof/>
            <w:szCs w:val="22"/>
            <w:lang w:val="es-ES"/>
          </w:rPr>
          <w:t>https://doi.org/https://doi.org/10.1371/journal.pone.0163002</w:t>
        </w:r>
      </w:hyperlink>
    </w:p>
    <w:p w14:paraId="719F498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Nelson, M. D., Flather, C. H., Riitters, K. H., Sieg, C., &amp; Garner, J. D. (2016). </w:t>
      </w:r>
      <w:r w:rsidRPr="003338D7">
        <w:rPr>
          <w:rFonts w:asciiTheme="majorHAnsi" w:hAnsiTheme="majorHAnsi"/>
          <w:noProof/>
          <w:szCs w:val="22"/>
        </w:rPr>
        <w:t xml:space="preserve">National report on sustainable forests—2015: Conservation of biological diversity. In S. M. Stanton &amp; G. A. Christensen (Eds.), </w:t>
      </w:r>
      <w:r w:rsidRPr="003338D7">
        <w:rPr>
          <w:rFonts w:asciiTheme="majorHAnsi" w:hAnsiTheme="majorHAnsi"/>
          <w:i/>
          <w:iCs/>
          <w:noProof/>
          <w:szCs w:val="22"/>
        </w:rPr>
        <w:t>Pushing Boundaries: New Directions in Inventory Techniques and Applications: Forest Inventory and Analysis (FIA) Symposium 2015</w:t>
      </w:r>
      <w:r w:rsidRPr="003338D7">
        <w:rPr>
          <w:rFonts w:asciiTheme="majorHAnsi" w:hAnsiTheme="majorHAnsi"/>
          <w:noProof/>
          <w:szCs w:val="22"/>
        </w:rPr>
        <w:t xml:space="preserve"> (p. 375). Portland, USA: United States Department of Agriculture. </w:t>
      </w:r>
      <w:hyperlink r:id="rId658" w:history="1">
        <w:r w:rsidRPr="003338D7">
          <w:rPr>
            <w:rStyle w:val="Hyperlink"/>
            <w:rFonts w:asciiTheme="majorHAnsi" w:hAnsiTheme="majorHAnsi"/>
            <w:noProof/>
            <w:szCs w:val="22"/>
          </w:rPr>
          <w:t>http://doi.org/10.2737/PNW-GTR-931</w:t>
        </w:r>
      </w:hyperlink>
    </w:p>
    <w:p w14:paraId="06D464C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Nemogá Soto, G. R. (2011). Conocimientos tradicionales, biodiversidad y derechos de propiedad intelectual: Necesidad de una perspectiva de análisis propia. In G. R. Nemogá (Ed.), </w:t>
      </w:r>
      <w:r w:rsidRPr="003338D7">
        <w:rPr>
          <w:rFonts w:asciiTheme="majorHAnsi" w:hAnsiTheme="majorHAnsi"/>
          <w:i/>
          <w:iCs/>
          <w:noProof/>
          <w:szCs w:val="22"/>
          <w:lang w:val="es-ES"/>
        </w:rPr>
        <w:t>Naciones Indígenas en los Estados Contemporáneos</w:t>
      </w:r>
      <w:r w:rsidRPr="003338D7">
        <w:rPr>
          <w:rFonts w:asciiTheme="majorHAnsi" w:hAnsiTheme="majorHAnsi"/>
          <w:noProof/>
          <w:szCs w:val="22"/>
          <w:lang w:val="es-ES"/>
        </w:rPr>
        <w:t xml:space="preserve"> (pp. 231–252). Bogotá, Colombia: Universidad Nacional de Colombia.</w:t>
      </w:r>
    </w:p>
    <w:p w14:paraId="1D2A409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Nepstad, D., McGrath, D., Stickler, C., Alencar, A., Azevedo, A., Swette, B., Bezerra, T., DiGiano, M., Shimada, J., Seroa da Motta, R., Armijo, E., Castello, L., Brando, P., Hansen, M. C., McGrath-Horn, M., Carvalho, O., &amp; Hess, L. (2014). Slowing Amazon deforestation through public policy and interventions in beef and soy supply chains.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344</w:t>
      </w:r>
      <w:r w:rsidRPr="003338D7">
        <w:rPr>
          <w:rFonts w:asciiTheme="majorHAnsi" w:hAnsiTheme="majorHAnsi"/>
          <w:noProof/>
          <w:szCs w:val="22"/>
          <w:lang w:val="es-ES"/>
        </w:rPr>
        <w:t>(6188), 1118–1123.</w:t>
      </w:r>
      <w:hyperlink r:id="rId659" w:history="1">
        <w:r w:rsidRPr="003338D7">
          <w:rPr>
            <w:rStyle w:val="Hyperlink"/>
            <w:rFonts w:asciiTheme="majorHAnsi" w:hAnsiTheme="majorHAnsi"/>
            <w:noProof/>
            <w:szCs w:val="22"/>
            <w:lang w:val="es-ES"/>
          </w:rPr>
          <w:t>https://doi.org/10.1126/science.1248525</w:t>
        </w:r>
      </w:hyperlink>
    </w:p>
    <w:p w14:paraId="78FDB49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Nepstad, D., Schwartzman, S., Bamberger, B., Santilli, M., Ray, D., Schlesinger, P., Lefebvre, P., Alencar, A., Prinz, E., Fiske, G., &amp; Rolla, A. (2006). Inhibition of Amazon deforestation and fire by parks and indigenous lands. </w:t>
      </w:r>
      <w:r w:rsidRPr="003338D7">
        <w:rPr>
          <w:rFonts w:asciiTheme="majorHAnsi" w:hAnsiTheme="majorHAnsi"/>
          <w:i/>
          <w:iCs/>
          <w:noProof/>
          <w:szCs w:val="22"/>
          <w:lang w:val="es-ES"/>
        </w:rPr>
        <w:t>Conservation 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20</w:t>
      </w:r>
      <w:r w:rsidRPr="003338D7">
        <w:rPr>
          <w:rFonts w:asciiTheme="majorHAnsi" w:hAnsiTheme="majorHAnsi"/>
          <w:noProof/>
          <w:szCs w:val="22"/>
          <w:lang w:val="es-ES"/>
        </w:rPr>
        <w:t xml:space="preserve">(1), 65–73. </w:t>
      </w:r>
      <w:hyperlink r:id="rId660" w:history="1">
        <w:r w:rsidRPr="003338D7">
          <w:rPr>
            <w:rStyle w:val="Hyperlink"/>
            <w:rFonts w:asciiTheme="majorHAnsi" w:hAnsiTheme="majorHAnsi"/>
            <w:noProof/>
            <w:szCs w:val="22"/>
            <w:lang w:val="es-ES"/>
          </w:rPr>
          <w:t>https://doi.org/10.1111/j.1523-1739.2006.00351.x</w:t>
        </w:r>
      </w:hyperlink>
    </w:p>
    <w:p w14:paraId="3805810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Neubauer, P., Jensen, O. P., Hutchings, J. A., &amp; Baum, J. K. (2013). Resilience and recovery of overexploited marine populations.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340</w:t>
      </w:r>
      <w:r w:rsidRPr="003338D7">
        <w:rPr>
          <w:rFonts w:asciiTheme="majorHAnsi" w:hAnsiTheme="majorHAnsi"/>
          <w:noProof/>
          <w:szCs w:val="22"/>
        </w:rPr>
        <w:t xml:space="preserve">(6130), 347–349. </w:t>
      </w:r>
      <w:hyperlink r:id="rId661" w:history="1">
        <w:r w:rsidRPr="003338D7">
          <w:rPr>
            <w:rStyle w:val="Hyperlink"/>
            <w:rFonts w:asciiTheme="majorHAnsi" w:hAnsiTheme="majorHAnsi"/>
            <w:noProof/>
            <w:szCs w:val="22"/>
          </w:rPr>
          <w:t>http://doi.org/10.1126/science.1230441</w:t>
        </w:r>
      </w:hyperlink>
    </w:p>
    <w:p w14:paraId="4634061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Niemeyer, H. M. (1995). Biologically active compounds from Chilean medicinal plants. In J. T. Arnason, R. Matta, &amp; J. T. Romeo (Eds.), </w:t>
      </w:r>
      <w:r w:rsidRPr="003338D7">
        <w:rPr>
          <w:rFonts w:asciiTheme="majorHAnsi" w:hAnsiTheme="majorHAnsi"/>
          <w:i/>
          <w:iCs/>
          <w:noProof/>
          <w:szCs w:val="22"/>
        </w:rPr>
        <w:t>Recent Advances in Phytochemistry. Phytochemistry of Medicinal Plants, Vol. 29</w:t>
      </w:r>
      <w:r w:rsidRPr="003338D7">
        <w:rPr>
          <w:rFonts w:asciiTheme="majorHAnsi" w:hAnsiTheme="majorHAnsi"/>
          <w:noProof/>
          <w:szCs w:val="22"/>
        </w:rPr>
        <w:t xml:space="preserve"> (pp. 137–159). New York, USA: Springer. </w:t>
      </w:r>
      <w:hyperlink r:id="rId662" w:history="1">
        <w:r w:rsidRPr="003338D7">
          <w:rPr>
            <w:rStyle w:val="Hyperlink"/>
            <w:rFonts w:asciiTheme="majorHAnsi" w:hAnsiTheme="majorHAnsi"/>
            <w:noProof/>
            <w:szCs w:val="22"/>
          </w:rPr>
          <w:t>http://doi.org/10.1007/978-1-4899-1778-2_7</w:t>
        </w:r>
      </w:hyperlink>
    </w:p>
    <w:p w14:paraId="54D9A52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Nipperess, D., &amp; Wilson, P. (2017). PDcalc: An implementation of the Phylogenetic Diversity (PD) calculus in R. R package version 0.3.0.9000. Retrieved from </w:t>
      </w:r>
      <w:hyperlink r:id="rId663" w:history="1">
        <w:r w:rsidRPr="003338D7">
          <w:rPr>
            <w:rStyle w:val="Hyperlink"/>
            <w:rFonts w:asciiTheme="majorHAnsi" w:hAnsiTheme="majorHAnsi"/>
            <w:noProof/>
            <w:szCs w:val="22"/>
          </w:rPr>
          <w:t>https://github.com/davidnipperess/PDcalc</w:t>
        </w:r>
      </w:hyperlink>
    </w:p>
    <w:p w14:paraId="3CA2718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Nobles, T., &amp; Zhang, Y. (2011). Biodiversity loss in freshwater mussels: Importance, threats, and solutions. In O. Grillo &amp; G. Venora (Eds.), </w:t>
      </w:r>
      <w:r w:rsidRPr="003338D7">
        <w:rPr>
          <w:rFonts w:asciiTheme="majorHAnsi" w:hAnsiTheme="majorHAnsi"/>
          <w:i/>
          <w:iCs/>
          <w:noProof/>
          <w:szCs w:val="22"/>
        </w:rPr>
        <w:t>Biodiversity Loss in a Changing Planet</w:t>
      </w:r>
      <w:r w:rsidRPr="003338D7">
        <w:rPr>
          <w:rFonts w:asciiTheme="majorHAnsi" w:hAnsiTheme="majorHAnsi"/>
          <w:noProof/>
          <w:szCs w:val="22"/>
        </w:rPr>
        <w:t xml:space="preserve"> (pp. 137–162). Open Access: Intech.</w:t>
      </w:r>
      <w:hyperlink r:id="rId664" w:history="1">
        <w:r w:rsidRPr="003338D7">
          <w:rPr>
            <w:rStyle w:val="Hyperlink"/>
            <w:rFonts w:asciiTheme="majorHAnsi" w:hAnsiTheme="majorHAnsi"/>
            <w:noProof/>
            <w:szCs w:val="22"/>
          </w:rPr>
          <w:t>http://doi.org/10.5772/25102</w:t>
        </w:r>
      </w:hyperlink>
    </w:p>
    <w:p w14:paraId="3EE970F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Nogueira, C., Colli, G. R., &amp; Martins, M. (2009). Local richness and distribution of the lizard fauna in natural habitat mosaics of the Brazilian Cerrado. </w:t>
      </w:r>
      <w:r w:rsidRPr="003338D7">
        <w:rPr>
          <w:rFonts w:asciiTheme="majorHAnsi" w:hAnsiTheme="majorHAnsi"/>
          <w:i/>
          <w:iCs/>
          <w:noProof/>
          <w:szCs w:val="22"/>
          <w:lang w:val="es-ES"/>
        </w:rPr>
        <w:t>Austral Ecology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34</w:t>
      </w:r>
      <w:r w:rsidRPr="003338D7">
        <w:rPr>
          <w:rFonts w:asciiTheme="majorHAnsi" w:hAnsiTheme="majorHAnsi"/>
          <w:noProof/>
          <w:szCs w:val="22"/>
          <w:lang w:val="es-ES"/>
        </w:rPr>
        <w:t xml:space="preserve">(1), 83–96. </w:t>
      </w:r>
      <w:hyperlink r:id="rId665" w:history="1">
        <w:r w:rsidRPr="003338D7">
          <w:rPr>
            <w:rStyle w:val="Hyperlink"/>
            <w:rFonts w:asciiTheme="majorHAnsi" w:hAnsiTheme="majorHAnsi"/>
            <w:noProof/>
            <w:szCs w:val="22"/>
            <w:lang w:val="es-ES"/>
          </w:rPr>
          <w:t>http://doi.org/10.1111/j.1442-9993.2008.01887.x</w:t>
        </w:r>
      </w:hyperlink>
    </w:p>
    <w:p w14:paraId="1C9FFE1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Norambuena, H., Escobar, S., &amp; Rodriguez, F. (2000). </w:t>
      </w:r>
      <w:r w:rsidRPr="003338D7">
        <w:rPr>
          <w:rFonts w:asciiTheme="majorHAnsi" w:hAnsiTheme="majorHAnsi"/>
          <w:noProof/>
          <w:szCs w:val="22"/>
        </w:rPr>
        <w:t xml:space="preserve">The biocontrol of Gorse, </w:t>
      </w:r>
      <w:r w:rsidRPr="003338D7">
        <w:rPr>
          <w:rFonts w:asciiTheme="majorHAnsi" w:hAnsiTheme="majorHAnsi"/>
          <w:i/>
          <w:iCs/>
          <w:noProof/>
          <w:szCs w:val="22"/>
        </w:rPr>
        <w:t>Ulex europaeus</w:t>
      </w:r>
      <w:r w:rsidRPr="003338D7">
        <w:rPr>
          <w:rFonts w:asciiTheme="majorHAnsi" w:hAnsiTheme="majorHAnsi"/>
          <w:noProof/>
          <w:szCs w:val="22"/>
        </w:rPr>
        <w:t xml:space="preserve">, in Chile: a progress report. In N. R. Spencer (Ed.), </w:t>
      </w:r>
      <w:r w:rsidRPr="003338D7">
        <w:rPr>
          <w:rFonts w:asciiTheme="majorHAnsi" w:hAnsiTheme="majorHAnsi"/>
          <w:i/>
          <w:iCs/>
          <w:noProof/>
          <w:szCs w:val="22"/>
        </w:rPr>
        <w:t>Proceedings of the International Symposium on Biological Control of Weeds</w:t>
      </w:r>
      <w:r w:rsidRPr="003338D7">
        <w:rPr>
          <w:rFonts w:asciiTheme="majorHAnsi" w:hAnsiTheme="majorHAnsi"/>
          <w:noProof/>
          <w:szCs w:val="22"/>
        </w:rPr>
        <w:t xml:space="preserve"> (pp. 955–961). Bozeman, Montana, USA: Montana State University. Retrieved from </w:t>
      </w:r>
      <w:hyperlink r:id="rId666" w:history="1">
        <w:r w:rsidRPr="003338D7">
          <w:rPr>
            <w:rStyle w:val="Hyperlink"/>
            <w:rFonts w:asciiTheme="majorHAnsi" w:hAnsiTheme="majorHAnsi"/>
            <w:noProof/>
            <w:szCs w:val="22"/>
          </w:rPr>
          <w:t>https://www.researchgate.net/profile/Fernando_Rodriguez12/publication/237442332_The_Biocontrol_of_Gorse_Ulex_europaeus_in_Chile_A_Progress_Report/links/575ab24008aec91374a614e5.pdf</w:t>
        </w:r>
      </w:hyperlink>
    </w:p>
    <w:p w14:paraId="40E4697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Northern Great Plains Program, W. (2016). </w:t>
      </w:r>
      <w:r w:rsidRPr="003338D7">
        <w:rPr>
          <w:rFonts w:asciiTheme="majorHAnsi" w:hAnsiTheme="majorHAnsi"/>
          <w:i/>
          <w:iCs/>
          <w:noProof/>
          <w:szCs w:val="22"/>
        </w:rPr>
        <w:t>Grasslands</w:t>
      </w:r>
      <w:r w:rsidRPr="003338D7">
        <w:rPr>
          <w:rFonts w:asciiTheme="majorHAnsi" w:hAnsiTheme="majorHAnsi"/>
          <w:noProof/>
          <w:szCs w:val="22"/>
        </w:rPr>
        <w:t xml:space="preserve">. Retrieved from </w:t>
      </w:r>
      <w:hyperlink r:id="rId667" w:history="1">
        <w:r w:rsidRPr="003338D7">
          <w:rPr>
            <w:rStyle w:val="Hyperlink"/>
            <w:rFonts w:asciiTheme="majorHAnsi" w:hAnsiTheme="majorHAnsi"/>
            <w:noProof/>
            <w:szCs w:val="22"/>
          </w:rPr>
          <w:t>https://www.worldwildlife.org/habitats/grasslands</w:t>
        </w:r>
      </w:hyperlink>
    </w:p>
    <w:p w14:paraId="15AEC64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Noss, R., LaRoe, E., &amp; Scott, J. (1995). </w:t>
      </w:r>
      <w:r w:rsidRPr="003338D7">
        <w:rPr>
          <w:rFonts w:asciiTheme="majorHAnsi" w:hAnsiTheme="majorHAnsi"/>
          <w:i/>
          <w:iCs/>
          <w:noProof/>
          <w:szCs w:val="22"/>
        </w:rPr>
        <w:t>Endangered Ecosystems of the United States: A Preliminary Assessment of Loss and Degradation</w:t>
      </w:r>
      <w:r w:rsidRPr="003338D7">
        <w:rPr>
          <w:rFonts w:asciiTheme="majorHAnsi" w:hAnsiTheme="majorHAnsi"/>
          <w:noProof/>
          <w:szCs w:val="22"/>
        </w:rPr>
        <w:t>. Washington D.C., USA: US Department of the Interior. National Biological Service.</w:t>
      </w:r>
    </w:p>
    <w:p w14:paraId="6CF9A00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Nowak, D., Hirabayashi, S., Bodine, A., &amp; Hoehn, R. (2013). Modeled PM2.5 removal by trees in ten U.S. cities and associated health effects. </w:t>
      </w:r>
      <w:r w:rsidRPr="003338D7">
        <w:rPr>
          <w:rFonts w:asciiTheme="majorHAnsi" w:hAnsiTheme="majorHAnsi"/>
          <w:i/>
          <w:iCs/>
          <w:noProof/>
          <w:szCs w:val="22"/>
          <w:lang w:val="es-ES"/>
        </w:rPr>
        <w:t>Environmental Pollution</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178</w:t>
      </w:r>
      <w:r w:rsidRPr="003338D7">
        <w:rPr>
          <w:rFonts w:asciiTheme="majorHAnsi" w:hAnsiTheme="majorHAnsi"/>
          <w:noProof/>
          <w:szCs w:val="22"/>
          <w:lang w:val="es-ES"/>
        </w:rPr>
        <w:t xml:space="preserve">, 395–402. </w:t>
      </w:r>
      <w:hyperlink r:id="rId668" w:history="1">
        <w:r w:rsidRPr="003338D7">
          <w:rPr>
            <w:rStyle w:val="Hyperlink"/>
            <w:rFonts w:asciiTheme="majorHAnsi" w:hAnsiTheme="majorHAnsi"/>
            <w:noProof/>
            <w:szCs w:val="22"/>
            <w:lang w:val="es-ES"/>
          </w:rPr>
          <w:t>http://doi.org/10.1016/j.envpol.2013.03.050</w:t>
        </w:r>
      </w:hyperlink>
    </w:p>
    <w:p w14:paraId="3F7C3D2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Núñez, L., Grosjean, M., &amp; Cartajena, I. (2002). </w:t>
      </w:r>
      <w:r w:rsidRPr="003338D7">
        <w:rPr>
          <w:rFonts w:asciiTheme="majorHAnsi" w:hAnsiTheme="majorHAnsi"/>
          <w:noProof/>
          <w:szCs w:val="22"/>
        </w:rPr>
        <w:t xml:space="preserve">Human occupations and climate change in the Puna de Atacama, Chile.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298</w:t>
      </w:r>
      <w:r w:rsidRPr="003338D7">
        <w:rPr>
          <w:rFonts w:asciiTheme="majorHAnsi" w:hAnsiTheme="majorHAnsi"/>
          <w:noProof/>
          <w:szCs w:val="22"/>
        </w:rPr>
        <w:t xml:space="preserve">(5594), 821–824. </w:t>
      </w:r>
      <w:hyperlink r:id="rId669" w:history="1">
        <w:r w:rsidRPr="003338D7">
          <w:rPr>
            <w:rStyle w:val="Hyperlink"/>
            <w:rFonts w:asciiTheme="majorHAnsi" w:hAnsiTheme="majorHAnsi"/>
            <w:noProof/>
            <w:szCs w:val="22"/>
          </w:rPr>
          <w:t>http://doi.org/10.1126/science.1076449</w:t>
        </w:r>
      </w:hyperlink>
    </w:p>
    <w:p w14:paraId="1C41CAB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Nuzzo, V. A. (1986). Extent and status of midwest oak savanna: Presettlement and 1985. </w:t>
      </w:r>
      <w:r w:rsidRPr="003338D7">
        <w:rPr>
          <w:rFonts w:asciiTheme="majorHAnsi" w:hAnsiTheme="majorHAnsi"/>
          <w:i/>
          <w:iCs/>
          <w:noProof/>
          <w:szCs w:val="22"/>
        </w:rPr>
        <w:t>Natural Areas Journal</w:t>
      </w:r>
      <w:r w:rsidRPr="003338D7">
        <w:rPr>
          <w:rFonts w:asciiTheme="majorHAnsi" w:hAnsiTheme="majorHAnsi"/>
          <w:noProof/>
          <w:szCs w:val="22"/>
        </w:rPr>
        <w:t xml:space="preserve">, </w:t>
      </w:r>
      <w:r w:rsidRPr="003338D7">
        <w:rPr>
          <w:rFonts w:asciiTheme="majorHAnsi" w:hAnsiTheme="majorHAnsi"/>
          <w:i/>
          <w:iCs/>
          <w:noProof/>
          <w:szCs w:val="22"/>
        </w:rPr>
        <w:t>6</w:t>
      </w:r>
      <w:r w:rsidRPr="003338D7">
        <w:rPr>
          <w:rFonts w:asciiTheme="majorHAnsi" w:hAnsiTheme="majorHAnsi"/>
          <w:noProof/>
          <w:szCs w:val="22"/>
        </w:rPr>
        <w:t>(2), 6–36.</w:t>
      </w:r>
    </w:p>
    <w:p w14:paraId="230AC35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O’Connor, M. I., Gonzalez, A., Byrnes, J. E. K., Cardinale, B. J., Duffy, J. E., Gamfeldt, L., Griffin, J. N., Hooper, D., Hungate, B. A., Paquette, A., Thompson, P. L., Dee, L. E., &amp; Dolan, K. L. (2017). A general biodiversity–function relationship is mediated by trophic level. </w:t>
      </w:r>
      <w:r w:rsidRPr="003338D7">
        <w:rPr>
          <w:rFonts w:asciiTheme="majorHAnsi" w:hAnsiTheme="majorHAnsi"/>
          <w:i/>
          <w:iCs/>
          <w:noProof/>
          <w:szCs w:val="22"/>
          <w:lang w:val="es-ES"/>
        </w:rPr>
        <w:t>Oikos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126</w:t>
      </w:r>
      <w:r w:rsidRPr="003338D7">
        <w:rPr>
          <w:rFonts w:asciiTheme="majorHAnsi" w:hAnsiTheme="majorHAnsi"/>
          <w:noProof/>
          <w:szCs w:val="22"/>
          <w:lang w:val="es-ES"/>
        </w:rPr>
        <w:t xml:space="preserve">(1), 18–31. </w:t>
      </w:r>
      <w:hyperlink r:id="rId670" w:history="1">
        <w:r w:rsidRPr="003338D7">
          <w:rPr>
            <w:rStyle w:val="Hyperlink"/>
            <w:rFonts w:asciiTheme="majorHAnsi" w:hAnsiTheme="majorHAnsi"/>
            <w:noProof/>
            <w:szCs w:val="22"/>
            <w:lang w:val="es-ES"/>
          </w:rPr>
          <w:t>https://doi.org/10.1111/oik.03652</w:t>
        </w:r>
      </w:hyperlink>
    </w:p>
    <w:p w14:paraId="6EF5D4C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O’Donnell, J. A., Romanovsky, V. E., Harden, J. W., &amp; McGuire, A. D. (2009). The effect of moisture content on the thermal conductivity of moss and organic soil horizons from black spruce ecosystems in interior Alaska. </w:t>
      </w:r>
      <w:r w:rsidRPr="003338D7">
        <w:rPr>
          <w:rFonts w:asciiTheme="majorHAnsi" w:hAnsiTheme="majorHAnsi"/>
          <w:i/>
          <w:iCs/>
          <w:noProof/>
          <w:szCs w:val="22"/>
        </w:rPr>
        <w:t>Soil Science</w:t>
      </w:r>
      <w:r w:rsidRPr="003338D7">
        <w:rPr>
          <w:rFonts w:asciiTheme="majorHAnsi" w:hAnsiTheme="majorHAnsi"/>
          <w:noProof/>
          <w:szCs w:val="22"/>
        </w:rPr>
        <w:t xml:space="preserve">, </w:t>
      </w:r>
      <w:r w:rsidRPr="003338D7">
        <w:rPr>
          <w:rFonts w:asciiTheme="majorHAnsi" w:hAnsiTheme="majorHAnsi"/>
          <w:i/>
          <w:iCs/>
          <w:noProof/>
          <w:szCs w:val="22"/>
        </w:rPr>
        <w:t>174</w:t>
      </w:r>
      <w:r w:rsidRPr="003338D7">
        <w:rPr>
          <w:rFonts w:asciiTheme="majorHAnsi" w:hAnsiTheme="majorHAnsi"/>
          <w:noProof/>
          <w:szCs w:val="22"/>
        </w:rPr>
        <w:t xml:space="preserve">(12), 646–651. </w:t>
      </w:r>
      <w:hyperlink r:id="rId671" w:history="1">
        <w:r w:rsidRPr="003338D7">
          <w:rPr>
            <w:rStyle w:val="Hyperlink"/>
            <w:rFonts w:asciiTheme="majorHAnsi" w:hAnsiTheme="majorHAnsi"/>
            <w:noProof/>
            <w:szCs w:val="22"/>
          </w:rPr>
          <w:t>http://doi.org/10.1097/SS.0b013e3181c4a7f8</w:t>
        </w:r>
      </w:hyperlink>
    </w:p>
    <w:p w14:paraId="67F091C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OBIS. (n.d.). No Title. Retrieved from </w:t>
      </w:r>
      <w:hyperlink r:id="rId672" w:history="1">
        <w:r w:rsidRPr="003338D7">
          <w:rPr>
            <w:rStyle w:val="Hyperlink"/>
            <w:rFonts w:asciiTheme="majorHAnsi" w:hAnsiTheme="majorHAnsi"/>
            <w:noProof/>
            <w:szCs w:val="22"/>
          </w:rPr>
          <w:t>http://www.iobis.org/</w:t>
        </w:r>
      </w:hyperlink>
    </w:p>
    <w:p w14:paraId="1315AE8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fr-CA"/>
        </w:rPr>
      </w:pPr>
      <w:r w:rsidRPr="003338D7">
        <w:rPr>
          <w:rFonts w:asciiTheme="majorHAnsi" w:hAnsiTheme="majorHAnsi"/>
          <w:noProof/>
          <w:szCs w:val="22"/>
          <w:lang w:val="es-ES"/>
        </w:rPr>
        <w:t xml:space="preserve">Ocampo-Peñuela, N., &amp; Pimm, S. L. (2015). </w:t>
      </w:r>
      <w:r w:rsidRPr="003338D7">
        <w:rPr>
          <w:rFonts w:asciiTheme="majorHAnsi" w:hAnsiTheme="majorHAnsi"/>
          <w:noProof/>
          <w:szCs w:val="22"/>
        </w:rPr>
        <w:t xml:space="preserve">Elevational ranges of montane birds and deforestation in the Western Andes of Colombia. </w:t>
      </w:r>
      <w:r w:rsidRPr="003338D7">
        <w:rPr>
          <w:rFonts w:asciiTheme="majorHAnsi" w:hAnsiTheme="majorHAnsi"/>
          <w:i/>
          <w:iCs/>
          <w:noProof/>
          <w:szCs w:val="22"/>
          <w:lang w:val="fr-CA"/>
        </w:rPr>
        <w:t>PLoS ONE</w:t>
      </w:r>
      <w:r w:rsidRPr="003338D7">
        <w:rPr>
          <w:rFonts w:asciiTheme="majorHAnsi" w:hAnsiTheme="majorHAnsi"/>
          <w:noProof/>
          <w:szCs w:val="22"/>
          <w:lang w:val="fr-CA"/>
        </w:rPr>
        <w:t xml:space="preserve">, </w:t>
      </w:r>
      <w:r w:rsidRPr="003338D7">
        <w:rPr>
          <w:rFonts w:asciiTheme="majorHAnsi" w:hAnsiTheme="majorHAnsi"/>
          <w:i/>
          <w:iCs/>
          <w:noProof/>
          <w:szCs w:val="22"/>
          <w:lang w:val="fr-CA"/>
        </w:rPr>
        <w:t>10</w:t>
      </w:r>
      <w:r w:rsidRPr="003338D7">
        <w:rPr>
          <w:rFonts w:asciiTheme="majorHAnsi" w:hAnsiTheme="majorHAnsi"/>
          <w:noProof/>
          <w:szCs w:val="22"/>
          <w:lang w:val="fr-CA"/>
        </w:rPr>
        <w:t xml:space="preserve">(12), e0143311. </w:t>
      </w:r>
      <w:hyperlink r:id="rId673" w:history="1">
        <w:r w:rsidRPr="003338D7">
          <w:rPr>
            <w:rStyle w:val="Hyperlink"/>
            <w:rFonts w:asciiTheme="majorHAnsi" w:hAnsiTheme="majorHAnsi"/>
            <w:noProof/>
            <w:szCs w:val="22"/>
            <w:lang w:val="fr-CA"/>
          </w:rPr>
          <w:t>http://doi.org/10.1371/journal.pone.0143311</w:t>
        </w:r>
      </w:hyperlink>
    </w:p>
    <w:p w14:paraId="41D62B9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fr-CA"/>
        </w:rPr>
        <w:t xml:space="preserve">Ochoa-Tocachi, B. F., Buytaert, W., &amp; De Bièvre, B. (2016). </w:t>
      </w:r>
      <w:r w:rsidRPr="003338D7">
        <w:rPr>
          <w:rFonts w:asciiTheme="majorHAnsi" w:hAnsiTheme="majorHAnsi"/>
          <w:noProof/>
          <w:szCs w:val="22"/>
        </w:rPr>
        <w:t xml:space="preserve">Regionalization of land-use impacts on streamflow using a network of paired catchments. </w:t>
      </w:r>
      <w:r w:rsidRPr="003338D7">
        <w:rPr>
          <w:rFonts w:asciiTheme="majorHAnsi" w:hAnsiTheme="majorHAnsi"/>
          <w:i/>
          <w:iCs/>
          <w:noProof/>
          <w:szCs w:val="22"/>
        </w:rPr>
        <w:t>Water Resources Research</w:t>
      </w:r>
      <w:r w:rsidRPr="003338D7">
        <w:rPr>
          <w:rFonts w:asciiTheme="majorHAnsi" w:hAnsiTheme="majorHAnsi"/>
          <w:noProof/>
          <w:szCs w:val="22"/>
        </w:rPr>
        <w:t xml:space="preserve">, </w:t>
      </w:r>
      <w:r w:rsidRPr="003338D7">
        <w:rPr>
          <w:rFonts w:asciiTheme="majorHAnsi" w:hAnsiTheme="majorHAnsi"/>
          <w:i/>
          <w:iCs/>
          <w:noProof/>
          <w:szCs w:val="22"/>
        </w:rPr>
        <w:t>52</w:t>
      </w:r>
      <w:r w:rsidRPr="003338D7">
        <w:rPr>
          <w:rFonts w:asciiTheme="majorHAnsi" w:hAnsiTheme="majorHAnsi"/>
          <w:noProof/>
          <w:szCs w:val="22"/>
        </w:rPr>
        <w:t xml:space="preserve">(9), 6710–6729. </w:t>
      </w:r>
      <w:hyperlink r:id="rId674" w:history="1">
        <w:r w:rsidRPr="003338D7">
          <w:rPr>
            <w:rStyle w:val="Hyperlink"/>
            <w:rFonts w:asciiTheme="majorHAnsi" w:hAnsiTheme="majorHAnsi"/>
            <w:noProof/>
            <w:szCs w:val="22"/>
          </w:rPr>
          <w:t>http://doi.org/10.1002/2016WR018596</w:t>
        </w:r>
      </w:hyperlink>
    </w:p>
    <w:p w14:paraId="50532DE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OECD/ECLAC. (2016). </w:t>
      </w:r>
      <w:r w:rsidRPr="003338D7">
        <w:rPr>
          <w:rFonts w:asciiTheme="majorHAnsi" w:hAnsiTheme="majorHAnsi"/>
          <w:i/>
          <w:iCs/>
          <w:noProof/>
          <w:szCs w:val="22"/>
        </w:rPr>
        <w:t>OECD Environmental Performance Reviews: Chile 2016</w:t>
      </w:r>
      <w:r w:rsidRPr="003338D7">
        <w:rPr>
          <w:rFonts w:asciiTheme="majorHAnsi" w:hAnsiTheme="majorHAnsi"/>
          <w:noProof/>
          <w:szCs w:val="22"/>
        </w:rPr>
        <w:t xml:space="preserve"> (OECD Environmental Performance Reviews). Paris, France: OECD Publishing. Retrieved from </w:t>
      </w:r>
      <w:hyperlink r:id="rId675" w:history="1">
        <w:r w:rsidRPr="003338D7">
          <w:rPr>
            <w:rStyle w:val="Hyperlink"/>
            <w:rFonts w:asciiTheme="majorHAnsi" w:hAnsiTheme="majorHAnsi"/>
            <w:noProof/>
            <w:szCs w:val="22"/>
          </w:rPr>
          <w:t>http://www.oecd-ilibrary.org/environment/oecd-environmental-performance-reviews-chile-2016_9789264252615-en</w:t>
        </w:r>
      </w:hyperlink>
    </w:p>
    <w:p w14:paraId="2215B06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lang w:val="de-DE"/>
        </w:rPr>
        <w:t xml:space="preserve">Oechel, W. C., Vourlitis, G. L., Hastings, S. J., Zulueta, R. C., Hinzman, L., &amp; Kane, D. (2000). </w:t>
      </w:r>
      <w:r w:rsidRPr="003338D7">
        <w:rPr>
          <w:rFonts w:asciiTheme="majorHAnsi" w:hAnsiTheme="majorHAnsi"/>
          <w:noProof/>
          <w:szCs w:val="22"/>
        </w:rPr>
        <w:t xml:space="preserve">Acclimation of ecosystem CO2 exchange in the Alaskan Arctic in response to decadal climate warming. </w:t>
      </w:r>
      <w:r w:rsidRPr="003338D7">
        <w:rPr>
          <w:rFonts w:asciiTheme="majorHAnsi" w:hAnsiTheme="majorHAnsi"/>
          <w:i/>
          <w:iCs/>
          <w:noProof/>
          <w:szCs w:val="22"/>
          <w:lang w:val="de-DE"/>
        </w:rPr>
        <w:t>Nature</w:t>
      </w:r>
      <w:r w:rsidRPr="003338D7">
        <w:rPr>
          <w:rFonts w:asciiTheme="majorHAnsi" w:hAnsiTheme="majorHAnsi"/>
          <w:noProof/>
          <w:szCs w:val="22"/>
          <w:lang w:val="de-DE"/>
        </w:rPr>
        <w:t xml:space="preserve">, </w:t>
      </w:r>
      <w:r w:rsidRPr="003338D7">
        <w:rPr>
          <w:rFonts w:asciiTheme="majorHAnsi" w:hAnsiTheme="majorHAnsi"/>
          <w:i/>
          <w:iCs/>
          <w:noProof/>
          <w:szCs w:val="22"/>
          <w:lang w:val="de-DE"/>
        </w:rPr>
        <w:t>406</w:t>
      </w:r>
      <w:r w:rsidRPr="003338D7">
        <w:rPr>
          <w:rFonts w:asciiTheme="majorHAnsi" w:hAnsiTheme="majorHAnsi"/>
          <w:noProof/>
          <w:szCs w:val="22"/>
          <w:lang w:val="de-DE"/>
        </w:rPr>
        <w:t xml:space="preserve">(6799), 978–981. </w:t>
      </w:r>
      <w:hyperlink r:id="rId676" w:history="1">
        <w:r w:rsidRPr="003338D7">
          <w:rPr>
            <w:rStyle w:val="Hyperlink"/>
            <w:rFonts w:asciiTheme="majorHAnsi" w:hAnsiTheme="majorHAnsi"/>
            <w:noProof/>
            <w:szCs w:val="22"/>
            <w:lang w:val="de-DE"/>
          </w:rPr>
          <w:t>http://doi.org/10.1038/35023137</w:t>
        </w:r>
      </w:hyperlink>
    </w:p>
    <w:p w14:paraId="351DD21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Ojeda, R. A., Stadler, J., &amp; Brandl, R. (2003). </w:t>
      </w:r>
      <w:r w:rsidRPr="003338D7">
        <w:rPr>
          <w:rFonts w:asciiTheme="majorHAnsi" w:hAnsiTheme="majorHAnsi"/>
          <w:noProof/>
          <w:szCs w:val="22"/>
        </w:rPr>
        <w:t xml:space="preserve">Diversity of mammals in the tropical-temperate Neotropics: hotspots on a regional scale.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12</w:t>
      </w:r>
      <w:r w:rsidRPr="003338D7">
        <w:rPr>
          <w:rFonts w:asciiTheme="majorHAnsi" w:hAnsiTheme="majorHAnsi"/>
          <w:noProof/>
          <w:szCs w:val="22"/>
        </w:rPr>
        <w:t xml:space="preserve">(7), 1431–1444. </w:t>
      </w:r>
      <w:hyperlink r:id="rId677" w:history="1">
        <w:r w:rsidRPr="003338D7">
          <w:rPr>
            <w:rStyle w:val="Hyperlink"/>
            <w:rFonts w:asciiTheme="majorHAnsi" w:hAnsiTheme="majorHAnsi"/>
            <w:noProof/>
            <w:szCs w:val="22"/>
          </w:rPr>
          <w:t>http://doi.org/10.1023/A:1023625125032</w:t>
        </w:r>
      </w:hyperlink>
    </w:p>
    <w:p w14:paraId="541262D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Oliveira, J. A. (2003). </w:t>
      </w:r>
      <w:r w:rsidRPr="003338D7">
        <w:rPr>
          <w:rFonts w:asciiTheme="majorHAnsi" w:hAnsiTheme="majorHAnsi"/>
          <w:noProof/>
          <w:szCs w:val="22"/>
          <w:lang w:val="es-ES"/>
        </w:rPr>
        <w:t xml:space="preserve">Diversidade de mamíferos e o estabelecimento de áreas prioritárias para a conservação do bioma Caatinga. In J. M. C. da. Silva, M. Tabarelli, T. M. Fonseca, &amp; L. V. Lins (Eds.), </w:t>
      </w:r>
      <w:r w:rsidRPr="003338D7">
        <w:rPr>
          <w:rFonts w:asciiTheme="majorHAnsi" w:hAnsiTheme="majorHAnsi"/>
          <w:i/>
          <w:iCs/>
          <w:noProof/>
          <w:szCs w:val="22"/>
          <w:lang w:val="es-ES"/>
        </w:rPr>
        <w:t>Biodiversidade da Caatinga: Áreas e Ações Prioritárias para a Conservação</w:t>
      </w:r>
      <w:r w:rsidRPr="003338D7">
        <w:rPr>
          <w:rFonts w:asciiTheme="majorHAnsi" w:hAnsiTheme="majorHAnsi"/>
          <w:noProof/>
          <w:szCs w:val="22"/>
          <w:lang w:val="es-ES"/>
        </w:rPr>
        <w:t xml:space="preserve"> (pp. 263–282). Brasilia D.F., Brazil: Ministério do Meio Ambiente/Universidade Federal de Pernambuco.</w:t>
      </w:r>
    </w:p>
    <w:p w14:paraId="60660CA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Oliveira, M. D., Campos, M. C. S., Paolucci, E. M., Mansur, M. C. D., &amp; Hamilton, S. K. (2015). </w:t>
      </w:r>
      <w:r w:rsidRPr="003338D7">
        <w:rPr>
          <w:rFonts w:asciiTheme="majorHAnsi" w:hAnsiTheme="majorHAnsi"/>
          <w:noProof/>
          <w:szCs w:val="22"/>
        </w:rPr>
        <w:t xml:space="preserve">Colonization and spread of </w:t>
      </w:r>
      <w:r w:rsidRPr="003338D7">
        <w:rPr>
          <w:rFonts w:asciiTheme="majorHAnsi" w:hAnsiTheme="majorHAnsi"/>
          <w:i/>
          <w:noProof/>
          <w:szCs w:val="22"/>
        </w:rPr>
        <w:t>Limnoperna fortunei</w:t>
      </w:r>
      <w:r w:rsidRPr="003338D7">
        <w:rPr>
          <w:rFonts w:asciiTheme="majorHAnsi" w:hAnsiTheme="majorHAnsi"/>
          <w:noProof/>
          <w:szCs w:val="22"/>
        </w:rPr>
        <w:t xml:space="preserve"> in South America. In D. Boltovskoy (Ed.), </w:t>
      </w:r>
      <w:r w:rsidRPr="003338D7">
        <w:rPr>
          <w:rFonts w:asciiTheme="majorHAnsi" w:hAnsiTheme="majorHAnsi"/>
          <w:i/>
          <w:iCs/>
          <w:noProof/>
          <w:szCs w:val="22"/>
        </w:rPr>
        <w:t>Limnoperna fortunei: the Ecology, Distribution and Control of a Swiftly Spreading Invasive Fouling Mussel</w:t>
      </w:r>
      <w:r w:rsidRPr="003338D7">
        <w:rPr>
          <w:rFonts w:asciiTheme="majorHAnsi" w:hAnsiTheme="majorHAnsi"/>
          <w:noProof/>
          <w:szCs w:val="22"/>
        </w:rPr>
        <w:t xml:space="preserve"> (pp. 333–355). Springer International Publishing. </w:t>
      </w:r>
      <w:hyperlink r:id="rId678" w:history="1">
        <w:r w:rsidRPr="003338D7">
          <w:rPr>
            <w:rStyle w:val="Hyperlink"/>
            <w:rFonts w:asciiTheme="majorHAnsi" w:hAnsiTheme="majorHAnsi"/>
            <w:noProof/>
            <w:szCs w:val="22"/>
          </w:rPr>
          <w:t>http://doi.org/10.1007/978-3-319-13494-9_19</w:t>
        </w:r>
      </w:hyperlink>
    </w:p>
    <w:p w14:paraId="4600078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Oliveira, P. T. S., Nearing, M. A., &amp; Wendland, E. (2015). Orders of magnitude increase in soil erosion associated with land use change from native to cultivated vegetation in a Brazilian savannah environment. </w:t>
      </w:r>
      <w:r w:rsidRPr="003338D7">
        <w:rPr>
          <w:rFonts w:asciiTheme="majorHAnsi" w:hAnsiTheme="majorHAnsi"/>
          <w:i/>
          <w:iCs/>
          <w:noProof/>
          <w:szCs w:val="22"/>
        </w:rPr>
        <w:t>Earth Surface Processes and Landforms</w:t>
      </w:r>
      <w:r w:rsidRPr="003338D7">
        <w:rPr>
          <w:rFonts w:asciiTheme="majorHAnsi" w:hAnsiTheme="majorHAnsi"/>
          <w:noProof/>
          <w:szCs w:val="22"/>
        </w:rPr>
        <w:t xml:space="preserve">, </w:t>
      </w:r>
      <w:r w:rsidRPr="003338D7">
        <w:rPr>
          <w:rFonts w:asciiTheme="majorHAnsi" w:hAnsiTheme="majorHAnsi"/>
          <w:i/>
          <w:iCs/>
          <w:noProof/>
          <w:szCs w:val="22"/>
        </w:rPr>
        <w:t>40</w:t>
      </w:r>
      <w:r w:rsidRPr="003338D7">
        <w:rPr>
          <w:rFonts w:asciiTheme="majorHAnsi" w:hAnsiTheme="majorHAnsi"/>
          <w:noProof/>
          <w:szCs w:val="22"/>
        </w:rPr>
        <w:t xml:space="preserve">(11), 1524–1532. </w:t>
      </w:r>
      <w:hyperlink r:id="rId679" w:history="1">
        <w:r w:rsidRPr="003338D7">
          <w:rPr>
            <w:rStyle w:val="Hyperlink"/>
            <w:rFonts w:asciiTheme="majorHAnsi" w:hAnsiTheme="majorHAnsi"/>
            <w:noProof/>
            <w:szCs w:val="22"/>
          </w:rPr>
          <w:t>http://doi.org/10.1002/esp.3738</w:t>
        </w:r>
      </w:hyperlink>
    </w:p>
    <w:p w14:paraId="0A2DD45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Omaeqnomenew Masenahekan. (2004). </w:t>
      </w:r>
      <w:r w:rsidRPr="003338D7">
        <w:rPr>
          <w:rFonts w:asciiTheme="majorHAnsi" w:hAnsiTheme="majorHAnsi"/>
          <w:i/>
          <w:iCs/>
          <w:noProof/>
          <w:szCs w:val="22"/>
        </w:rPr>
        <w:t>Menominee Indian Tribe of Wisconsin. Facts and Figures Reference</w:t>
      </w:r>
      <w:r w:rsidRPr="003338D7">
        <w:rPr>
          <w:rFonts w:asciiTheme="majorHAnsi" w:hAnsiTheme="majorHAnsi"/>
          <w:noProof/>
          <w:szCs w:val="22"/>
        </w:rPr>
        <w:t xml:space="preserve"> (3rd ed.). Menominee Indian Tribe of Wisconsin Department of Administration Community Resource Planner – Brian Kowalkowski. Retrieved from </w:t>
      </w:r>
      <w:hyperlink r:id="rId680" w:history="1">
        <w:r w:rsidRPr="003338D7">
          <w:rPr>
            <w:rStyle w:val="Hyperlink"/>
            <w:rFonts w:asciiTheme="majorHAnsi" w:hAnsiTheme="majorHAnsi"/>
            <w:noProof/>
            <w:szCs w:val="22"/>
          </w:rPr>
          <w:t>https://www.menominee-nsn.gov/CulturePages/Documents/FactsFigureswithSupplement.pdf</w:t>
        </w:r>
      </w:hyperlink>
    </w:p>
    <w:p w14:paraId="1B37983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Orensanz, J. M., Schwindt, E., Pastorino, G., Bortolus, A., Casas, G., Darrigran, G., Elías, R., López Gappa, J. J., Obenat, S., Pascual, M., Penchaszadeh, P., Piriz, M. L., Scarabino, F., Spivak, E. D., &amp; Vallarino, E. A. (2002). No longer the pristine confines of the world ocean: a survey of exotic marine species in the southwestern Atlantic. </w:t>
      </w:r>
      <w:r w:rsidRPr="003338D7">
        <w:rPr>
          <w:rFonts w:asciiTheme="majorHAnsi" w:hAnsiTheme="majorHAnsi"/>
          <w:i/>
          <w:iCs/>
          <w:noProof/>
          <w:szCs w:val="22"/>
          <w:lang w:val="es-ES"/>
        </w:rPr>
        <w:t>Biological Invasions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w:t>
      </w:r>
      <w:r w:rsidRPr="003338D7">
        <w:rPr>
          <w:rFonts w:asciiTheme="majorHAnsi" w:hAnsiTheme="majorHAnsi"/>
          <w:noProof/>
          <w:szCs w:val="22"/>
          <w:lang w:val="es-ES"/>
        </w:rPr>
        <w:t xml:space="preserve">(1–2), 115–143. </w:t>
      </w:r>
      <w:hyperlink r:id="rId681" w:history="1">
        <w:r w:rsidRPr="003338D7">
          <w:rPr>
            <w:rStyle w:val="Hyperlink"/>
            <w:rFonts w:asciiTheme="majorHAnsi" w:hAnsiTheme="majorHAnsi"/>
            <w:noProof/>
            <w:szCs w:val="22"/>
            <w:lang w:val="es-ES"/>
          </w:rPr>
          <w:t>https://doi.org/10.1023/A:1020596916153</w:t>
        </w:r>
      </w:hyperlink>
    </w:p>
    <w:p w14:paraId="3ED87AC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Ortega-Álvarez, R., &amp; MacGregor-Fors, I. (2011). Spreading the word: The ecology of urban birds outside the United States, Canada, and western Europe. </w:t>
      </w:r>
      <w:r w:rsidRPr="003338D7">
        <w:rPr>
          <w:rFonts w:asciiTheme="majorHAnsi" w:hAnsiTheme="majorHAnsi"/>
          <w:i/>
          <w:iCs/>
          <w:noProof/>
          <w:szCs w:val="22"/>
        </w:rPr>
        <w:t>The Auk: Ornithological Advances</w:t>
      </w:r>
      <w:r w:rsidRPr="003338D7">
        <w:rPr>
          <w:rFonts w:asciiTheme="majorHAnsi" w:hAnsiTheme="majorHAnsi"/>
          <w:noProof/>
          <w:szCs w:val="22"/>
        </w:rPr>
        <w:t xml:space="preserve">, </w:t>
      </w:r>
      <w:r w:rsidRPr="003338D7">
        <w:rPr>
          <w:rFonts w:asciiTheme="majorHAnsi" w:hAnsiTheme="majorHAnsi"/>
          <w:i/>
          <w:iCs/>
          <w:noProof/>
          <w:szCs w:val="22"/>
        </w:rPr>
        <w:t>128</w:t>
      </w:r>
      <w:r w:rsidRPr="003338D7">
        <w:rPr>
          <w:rFonts w:asciiTheme="majorHAnsi" w:hAnsiTheme="majorHAnsi"/>
          <w:noProof/>
          <w:szCs w:val="22"/>
        </w:rPr>
        <w:t xml:space="preserve">(2), 415–418. </w:t>
      </w:r>
      <w:hyperlink r:id="rId682" w:history="1">
        <w:r w:rsidRPr="003338D7">
          <w:rPr>
            <w:rStyle w:val="Hyperlink"/>
            <w:rFonts w:asciiTheme="majorHAnsi" w:hAnsiTheme="majorHAnsi"/>
            <w:noProof/>
            <w:szCs w:val="22"/>
          </w:rPr>
          <w:t>http://doi.org/10.1525/auk.2011.10082</w:t>
        </w:r>
      </w:hyperlink>
    </w:p>
    <w:p w14:paraId="11EB38F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Ortega-Baes, P., &amp; Godínez-Alvarez, H. (2006). Global diversity and conservation priorities in the Cactaceae.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15</w:t>
      </w:r>
      <w:r w:rsidRPr="003338D7">
        <w:rPr>
          <w:rFonts w:asciiTheme="majorHAnsi" w:hAnsiTheme="majorHAnsi"/>
          <w:noProof/>
          <w:szCs w:val="22"/>
        </w:rPr>
        <w:t xml:space="preserve">(3), 817–827. </w:t>
      </w:r>
      <w:hyperlink r:id="rId683" w:history="1">
        <w:r w:rsidRPr="003338D7">
          <w:rPr>
            <w:rStyle w:val="Hyperlink"/>
            <w:rFonts w:asciiTheme="majorHAnsi" w:hAnsiTheme="majorHAnsi"/>
            <w:noProof/>
            <w:szCs w:val="22"/>
          </w:rPr>
          <w:t>http://doi.org/10.1007/s10531-004-1461-x</w:t>
        </w:r>
      </w:hyperlink>
    </w:p>
    <w:p w14:paraId="07F4AA8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Orwig, D. A., Foster, D. R., &amp; Mausel, D. L. (2002). Landscape patterns of hemlock decline in New England due to the introduced hemlock woolly adelgid. </w:t>
      </w:r>
      <w:r w:rsidRPr="003338D7">
        <w:rPr>
          <w:rFonts w:asciiTheme="majorHAnsi" w:hAnsiTheme="majorHAnsi"/>
          <w:i/>
          <w:iCs/>
          <w:noProof/>
          <w:szCs w:val="22"/>
        </w:rPr>
        <w:t>Journal of Biogeography</w:t>
      </w:r>
      <w:r w:rsidRPr="003338D7">
        <w:rPr>
          <w:rFonts w:asciiTheme="majorHAnsi" w:hAnsiTheme="majorHAnsi"/>
          <w:noProof/>
          <w:szCs w:val="22"/>
        </w:rPr>
        <w:t xml:space="preserve">, </w:t>
      </w:r>
      <w:r w:rsidRPr="003338D7">
        <w:rPr>
          <w:rFonts w:asciiTheme="majorHAnsi" w:hAnsiTheme="majorHAnsi"/>
          <w:i/>
          <w:iCs/>
          <w:noProof/>
          <w:szCs w:val="22"/>
        </w:rPr>
        <w:t>29</w:t>
      </w:r>
      <w:r w:rsidRPr="003338D7">
        <w:rPr>
          <w:rFonts w:asciiTheme="majorHAnsi" w:hAnsiTheme="majorHAnsi"/>
          <w:noProof/>
          <w:szCs w:val="22"/>
        </w:rPr>
        <w:t xml:space="preserve">(10–11), 1475–1487. </w:t>
      </w:r>
      <w:hyperlink r:id="rId684" w:history="1">
        <w:r w:rsidRPr="003338D7">
          <w:rPr>
            <w:rStyle w:val="Hyperlink"/>
            <w:rFonts w:asciiTheme="majorHAnsi" w:hAnsiTheme="majorHAnsi"/>
            <w:noProof/>
            <w:szCs w:val="22"/>
          </w:rPr>
          <w:t>http://doi.org/10.1046/j.1365-2699.2002.00765.x</w:t>
        </w:r>
      </w:hyperlink>
    </w:p>
    <w:p w14:paraId="503DE3B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Overbeck, G. E., Vélez-Martin, E., Scarano, F. R., Lewinsohn, T. M., Fonseca, C. R., Meyer, S. T., Muller, S. C., Ceotto, P., Dadalt, L., Durigan, G., Ganade, G., Gossner, M. M., Guadagnin, D. L., Lorenzen, K., Jacobi, C. M., Weisser, W. W., &amp; Pillar, V. D. (2015). Conservation in Brazil needs to include non-forest ecosystems. </w:t>
      </w:r>
      <w:r w:rsidRPr="003338D7">
        <w:rPr>
          <w:rFonts w:asciiTheme="majorHAnsi" w:hAnsiTheme="majorHAnsi"/>
          <w:i/>
          <w:iCs/>
          <w:noProof/>
          <w:szCs w:val="22"/>
          <w:lang w:val="es-ES"/>
        </w:rPr>
        <w:t>Diversity and Distributions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21</w:t>
      </w:r>
      <w:r w:rsidRPr="003338D7">
        <w:rPr>
          <w:rFonts w:asciiTheme="majorHAnsi" w:hAnsiTheme="majorHAnsi"/>
          <w:noProof/>
          <w:szCs w:val="22"/>
          <w:lang w:val="es-ES"/>
        </w:rPr>
        <w:t xml:space="preserve">(12), 1455–1460. </w:t>
      </w:r>
      <w:hyperlink r:id="rId685" w:history="1">
        <w:r w:rsidRPr="003338D7">
          <w:rPr>
            <w:rStyle w:val="Hyperlink"/>
            <w:rFonts w:asciiTheme="majorHAnsi" w:hAnsiTheme="majorHAnsi"/>
            <w:noProof/>
            <w:szCs w:val="22"/>
            <w:lang w:val="es-ES"/>
          </w:rPr>
          <w:t>https://doi.org/10.1111/ddi.12380</w:t>
        </w:r>
      </w:hyperlink>
    </w:p>
    <w:p w14:paraId="7156B16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Pacheco, P., Aguilar-Støen, M., Börner, J., Etter, A., Putzel, L., &amp; Vera Diaz, M. del C. (2011). Landscape transformation in tropical Latin America: assessing trends and policy implications for REDD+. </w:t>
      </w:r>
      <w:r w:rsidRPr="003338D7">
        <w:rPr>
          <w:rFonts w:asciiTheme="majorHAnsi" w:hAnsiTheme="majorHAnsi"/>
          <w:i/>
          <w:iCs/>
          <w:noProof/>
          <w:szCs w:val="22"/>
        </w:rPr>
        <w:t>Forests</w:t>
      </w:r>
      <w:r w:rsidRPr="003338D7">
        <w:rPr>
          <w:rFonts w:asciiTheme="majorHAnsi" w:hAnsiTheme="majorHAnsi"/>
          <w:noProof/>
          <w:szCs w:val="22"/>
        </w:rPr>
        <w:t xml:space="preserve">, </w:t>
      </w:r>
      <w:r w:rsidRPr="003338D7">
        <w:rPr>
          <w:rFonts w:asciiTheme="majorHAnsi" w:hAnsiTheme="majorHAnsi"/>
          <w:i/>
          <w:iCs/>
          <w:noProof/>
          <w:szCs w:val="22"/>
        </w:rPr>
        <w:t>2</w:t>
      </w:r>
      <w:r w:rsidRPr="003338D7">
        <w:rPr>
          <w:rFonts w:asciiTheme="majorHAnsi" w:hAnsiTheme="majorHAnsi"/>
          <w:noProof/>
          <w:szCs w:val="22"/>
        </w:rPr>
        <w:t xml:space="preserve">(1), 1–29. </w:t>
      </w:r>
      <w:hyperlink r:id="rId686" w:history="1">
        <w:r w:rsidRPr="003338D7">
          <w:rPr>
            <w:rStyle w:val="Hyperlink"/>
            <w:rFonts w:asciiTheme="majorHAnsi" w:hAnsiTheme="majorHAnsi"/>
            <w:noProof/>
            <w:szCs w:val="22"/>
          </w:rPr>
          <w:t>http://doi.org/10.3390/f2010001</w:t>
        </w:r>
      </w:hyperlink>
    </w:p>
    <w:p w14:paraId="25E1DF1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Pagad, S., Hayes, K., Katsanevakis, S., &amp; Costello, M. J. (2017). World Register of Introduced Marine Species (WRIMS). Retrieved March 15, 2017, from </w:t>
      </w:r>
      <w:hyperlink r:id="rId687" w:history="1">
        <w:r w:rsidRPr="003338D7">
          <w:rPr>
            <w:rStyle w:val="Hyperlink"/>
            <w:rFonts w:asciiTheme="majorHAnsi" w:hAnsiTheme="majorHAnsi"/>
            <w:noProof/>
            <w:szCs w:val="22"/>
          </w:rPr>
          <w:t>http://www.marinespecies.org/introduced</w:t>
        </w:r>
      </w:hyperlink>
    </w:p>
    <w:p w14:paraId="65395C0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Paglia, A. P., da Fonseca, G. A., Rylands, A. B., Herrmann, G., Aguiar, L. M., Chiarello, A. G., Leite, Y. L., Costa, L. P., Siciliano, S., Kierulff, M. C. M., Mendes, S. L., Tavares, V., Mittermeier, R. A., &amp; Patton, J. L. (2012). </w:t>
      </w:r>
      <w:r w:rsidRPr="003338D7">
        <w:rPr>
          <w:rFonts w:asciiTheme="majorHAnsi" w:hAnsiTheme="majorHAnsi"/>
          <w:i/>
          <w:iCs/>
          <w:noProof/>
          <w:szCs w:val="22"/>
          <w:lang w:val="es-ES"/>
        </w:rPr>
        <w:t>Lista Anotada dos Mamíferos do Brasil/Annotated Checklist of Brazilian Mammals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Occasional Papers in Conservation Biology N°6</w:t>
      </w:r>
      <w:r w:rsidRPr="003338D7">
        <w:rPr>
          <w:rFonts w:asciiTheme="majorHAnsi" w:hAnsiTheme="majorHAnsi"/>
          <w:noProof/>
          <w:szCs w:val="22"/>
          <w:lang w:val="es-ES"/>
        </w:rPr>
        <w:t xml:space="preserve"> (2nd ed.). Arlington, USA: Conservation International.</w:t>
      </w:r>
    </w:p>
    <w:p w14:paraId="648CB2D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Painter, T. H., Deems, J. S., Belnap, J., Hamlet, A. F., Landry, C. C., &amp; Udall, B. (2010). Response of Colorado River runoff to dust radiative forcing in snow. </w:t>
      </w:r>
      <w:r w:rsidRPr="003338D7">
        <w:rPr>
          <w:rFonts w:asciiTheme="majorHAnsi" w:hAnsiTheme="majorHAnsi"/>
          <w:i/>
          <w:iCs/>
          <w:noProof/>
          <w:szCs w:val="22"/>
        </w:rPr>
        <w:t>PNAS</w:t>
      </w:r>
      <w:r w:rsidRPr="003338D7">
        <w:rPr>
          <w:rFonts w:asciiTheme="majorHAnsi" w:hAnsiTheme="majorHAnsi"/>
          <w:noProof/>
          <w:szCs w:val="22"/>
        </w:rPr>
        <w:t xml:space="preserve">, </w:t>
      </w:r>
      <w:r w:rsidRPr="003338D7">
        <w:rPr>
          <w:rFonts w:asciiTheme="majorHAnsi" w:hAnsiTheme="majorHAnsi"/>
          <w:i/>
          <w:iCs/>
          <w:noProof/>
          <w:szCs w:val="22"/>
        </w:rPr>
        <w:t>107</w:t>
      </w:r>
      <w:r w:rsidRPr="003338D7">
        <w:rPr>
          <w:rFonts w:asciiTheme="majorHAnsi" w:hAnsiTheme="majorHAnsi"/>
          <w:noProof/>
          <w:szCs w:val="22"/>
        </w:rPr>
        <w:t xml:space="preserve">(40), 17125–17130. </w:t>
      </w:r>
      <w:hyperlink r:id="rId688" w:history="1">
        <w:r w:rsidRPr="003338D7">
          <w:rPr>
            <w:rStyle w:val="Hyperlink"/>
            <w:rFonts w:asciiTheme="majorHAnsi" w:hAnsiTheme="majorHAnsi"/>
            <w:noProof/>
            <w:szCs w:val="22"/>
          </w:rPr>
          <w:t>http://doi.org/10.1073/pnas.0913139107</w:t>
        </w:r>
      </w:hyperlink>
    </w:p>
    <w:p w14:paraId="04B4C4D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Paquette, A., &amp; Messier, C. (2011). The effect of biodiversity on tree productivity: from temperate to boreal forests. </w:t>
      </w:r>
      <w:r w:rsidRPr="003338D7">
        <w:rPr>
          <w:rFonts w:asciiTheme="majorHAnsi" w:hAnsiTheme="majorHAnsi"/>
          <w:i/>
          <w:iCs/>
          <w:noProof/>
          <w:szCs w:val="22"/>
        </w:rPr>
        <w:t>Global Ecology and Biogeography</w:t>
      </w:r>
      <w:r w:rsidRPr="003338D7">
        <w:rPr>
          <w:rFonts w:asciiTheme="majorHAnsi" w:hAnsiTheme="majorHAnsi"/>
          <w:noProof/>
          <w:szCs w:val="22"/>
        </w:rPr>
        <w:t xml:space="preserve">, </w:t>
      </w:r>
      <w:r w:rsidRPr="003338D7">
        <w:rPr>
          <w:rFonts w:asciiTheme="majorHAnsi" w:hAnsiTheme="majorHAnsi"/>
          <w:i/>
          <w:iCs/>
          <w:noProof/>
          <w:szCs w:val="22"/>
        </w:rPr>
        <w:t>20</w:t>
      </w:r>
      <w:r w:rsidRPr="003338D7">
        <w:rPr>
          <w:rFonts w:asciiTheme="majorHAnsi" w:hAnsiTheme="majorHAnsi"/>
          <w:noProof/>
          <w:szCs w:val="22"/>
        </w:rPr>
        <w:t xml:space="preserve">(1), 170–180. </w:t>
      </w:r>
      <w:hyperlink r:id="rId689" w:history="1">
        <w:r w:rsidRPr="003338D7">
          <w:rPr>
            <w:rStyle w:val="Hyperlink"/>
            <w:rFonts w:asciiTheme="majorHAnsi" w:hAnsiTheme="majorHAnsi"/>
            <w:noProof/>
            <w:szCs w:val="22"/>
          </w:rPr>
          <w:t>http://doi.org/10.1111/j.1466-8238.2010.00592.x</w:t>
        </w:r>
      </w:hyperlink>
    </w:p>
    <w:p w14:paraId="25EFEF1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Parés-Ramos, I. K., Gould, W. A., &amp; Aide, T. M. (2008). Agricultural abandonment, suburban growth, and forest expansion in Puerto Rico between 1991 and 2000. </w:t>
      </w:r>
      <w:r w:rsidRPr="003338D7">
        <w:rPr>
          <w:rFonts w:asciiTheme="majorHAnsi" w:hAnsiTheme="majorHAnsi"/>
          <w:i/>
          <w:iCs/>
          <w:noProof/>
          <w:szCs w:val="22"/>
        </w:rPr>
        <w:t>Ecology and Society</w:t>
      </w:r>
      <w:r w:rsidRPr="003338D7">
        <w:rPr>
          <w:rFonts w:asciiTheme="majorHAnsi" w:hAnsiTheme="majorHAnsi"/>
          <w:noProof/>
          <w:szCs w:val="22"/>
        </w:rPr>
        <w:t xml:space="preserve">, </w:t>
      </w:r>
      <w:r w:rsidRPr="003338D7">
        <w:rPr>
          <w:rFonts w:asciiTheme="majorHAnsi" w:hAnsiTheme="majorHAnsi"/>
          <w:i/>
          <w:iCs/>
          <w:noProof/>
          <w:szCs w:val="22"/>
        </w:rPr>
        <w:t>13</w:t>
      </w:r>
      <w:r w:rsidRPr="003338D7">
        <w:rPr>
          <w:rFonts w:asciiTheme="majorHAnsi" w:hAnsiTheme="majorHAnsi"/>
          <w:noProof/>
          <w:szCs w:val="22"/>
        </w:rPr>
        <w:t>(2).</w:t>
      </w:r>
    </w:p>
    <w:p w14:paraId="00B49C7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Paritsis, J., &amp; Aizen, M. A. (2008). Effects of exotic conifer plantations on the biodiversity of understory plants, epigeal beetles and birds in </w:t>
      </w:r>
      <w:r w:rsidRPr="003338D7">
        <w:rPr>
          <w:rFonts w:asciiTheme="majorHAnsi" w:hAnsiTheme="majorHAnsi"/>
          <w:i/>
          <w:iCs/>
          <w:noProof/>
          <w:szCs w:val="22"/>
        </w:rPr>
        <w:t>Nothofagus dombeyi</w:t>
      </w:r>
      <w:r w:rsidRPr="003338D7">
        <w:rPr>
          <w:rFonts w:asciiTheme="majorHAnsi" w:hAnsiTheme="majorHAnsi"/>
          <w:noProof/>
          <w:szCs w:val="22"/>
        </w:rPr>
        <w:t xml:space="preserve"> forests. </w:t>
      </w:r>
      <w:r w:rsidRPr="003338D7">
        <w:rPr>
          <w:rFonts w:asciiTheme="majorHAnsi" w:hAnsiTheme="majorHAnsi"/>
          <w:i/>
          <w:iCs/>
          <w:noProof/>
          <w:szCs w:val="22"/>
        </w:rPr>
        <w:t>Forest Ecology and Management</w:t>
      </w:r>
      <w:r w:rsidRPr="003338D7">
        <w:rPr>
          <w:rFonts w:asciiTheme="majorHAnsi" w:hAnsiTheme="majorHAnsi"/>
          <w:noProof/>
          <w:szCs w:val="22"/>
        </w:rPr>
        <w:t xml:space="preserve">, </w:t>
      </w:r>
      <w:r w:rsidRPr="003338D7">
        <w:rPr>
          <w:rFonts w:asciiTheme="majorHAnsi" w:hAnsiTheme="majorHAnsi"/>
          <w:i/>
          <w:iCs/>
          <w:noProof/>
          <w:szCs w:val="22"/>
        </w:rPr>
        <w:t>255</w:t>
      </w:r>
      <w:r w:rsidRPr="003338D7">
        <w:rPr>
          <w:rFonts w:asciiTheme="majorHAnsi" w:hAnsiTheme="majorHAnsi"/>
          <w:noProof/>
          <w:szCs w:val="22"/>
        </w:rPr>
        <w:t xml:space="preserve">(5–6), 1575–1583. </w:t>
      </w:r>
      <w:hyperlink r:id="rId690" w:history="1">
        <w:r w:rsidRPr="003338D7">
          <w:rPr>
            <w:rStyle w:val="Hyperlink"/>
            <w:rFonts w:asciiTheme="majorHAnsi" w:hAnsiTheme="majorHAnsi"/>
            <w:noProof/>
            <w:szCs w:val="22"/>
          </w:rPr>
          <w:t>http://doi.org/10.1016/j.foreco.2007.11.015</w:t>
        </w:r>
      </w:hyperlink>
    </w:p>
    <w:p w14:paraId="2BE3BA9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Parra, F., &amp; Casas, A. (2016). </w:t>
      </w:r>
      <w:r w:rsidRPr="003338D7">
        <w:rPr>
          <w:rFonts w:asciiTheme="majorHAnsi" w:hAnsiTheme="majorHAnsi"/>
          <w:noProof/>
          <w:szCs w:val="22"/>
          <w:lang w:val="es-ES"/>
        </w:rPr>
        <w:t xml:space="preserve">Origen y difusión de la domesticación y la agricultura en el Nuevo Mundo. In A. Casas, J. Torres-Guevara, &amp; F. Parra (Eds.), </w:t>
      </w:r>
      <w:r w:rsidRPr="003338D7">
        <w:rPr>
          <w:rFonts w:asciiTheme="majorHAnsi" w:hAnsiTheme="majorHAnsi"/>
          <w:i/>
          <w:iCs/>
          <w:noProof/>
          <w:szCs w:val="22"/>
          <w:lang w:val="es-ES"/>
        </w:rPr>
        <w:t>Domesticación en el Continente Americano Vol. 1. Investigación Manejo de Biodiversidad y Evolución Dirigida por las Culturas del Nuevo Mundo</w:t>
      </w:r>
      <w:r w:rsidRPr="003338D7">
        <w:rPr>
          <w:rFonts w:asciiTheme="majorHAnsi" w:hAnsiTheme="majorHAnsi"/>
          <w:noProof/>
          <w:szCs w:val="22"/>
          <w:lang w:val="es-ES"/>
        </w:rPr>
        <w:t xml:space="preserve"> (pp. 159–188). México D.F., México and Lima, Perú: Universidad Nacional Autónoma de México /Universidad Nacional Agraria La Molina.</w:t>
      </w:r>
    </w:p>
    <w:p w14:paraId="5A7A8E5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Paruelo, J. M., Garbulsky, M. F., Guerschman, J. P., &amp; Jobbágy, E. G. (2004). </w:t>
      </w:r>
      <w:r w:rsidRPr="003338D7">
        <w:rPr>
          <w:rFonts w:asciiTheme="majorHAnsi" w:hAnsiTheme="majorHAnsi"/>
          <w:noProof/>
          <w:szCs w:val="22"/>
        </w:rPr>
        <w:t xml:space="preserve">Two decades of normalized difference vegetation index changes in South America: identifying the imprint of global change. </w:t>
      </w:r>
      <w:r w:rsidRPr="003338D7">
        <w:rPr>
          <w:rFonts w:asciiTheme="majorHAnsi" w:hAnsiTheme="majorHAnsi"/>
          <w:i/>
          <w:iCs/>
          <w:noProof/>
          <w:szCs w:val="22"/>
        </w:rPr>
        <w:t>International Journal of Remote Sensing</w:t>
      </w:r>
      <w:r w:rsidRPr="003338D7">
        <w:rPr>
          <w:rFonts w:asciiTheme="majorHAnsi" w:hAnsiTheme="majorHAnsi"/>
          <w:noProof/>
          <w:szCs w:val="22"/>
        </w:rPr>
        <w:t xml:space="preserve">, </w:t>
      </w:r>
      <w:r w:rsidRPr="003338D7">
        <w:rPr>
          <w:rFonts w:asciiTheme="majorHAnsi" w:hAnsiTheme="majorHAnsi"/>
          <w:i/>
          <w:iCs/>
          <w:noProof/>
          <w:szCs w:val="22"/>
        </w:rPr>
        <w:t>25</w:t>
      </w:r>
      <w:r w:rsidRPr="003338D7">
        <w:rPr>
          <w:rFonts w:asciiTheme="majorHAnsi" w:hAnsiTheme="majorHAnsi"/>
          <w:noProof/>
          <w:szCs w:val="22"/>
        </w:rPr>
        <w:t xml:space="preserve">(14), 2793–2806. </w:t>
      </w:r>
      <w:hyperlink r:id="rId691" w:history="1">
        <w:r w:rsidRPr="003338D7">
          <w:rPr>
            <w:rStyle w:val="Hyperlink"/>
            <w:rFonts w:asciiTheme="majorHAnsi" w:hAnsiTheme="majorHAnsi"/>
            <w:noProof/>
            <w:szCs w:val="22"/>
          </w:rPr>
          <w:t>http://doi.org/10.1080/01431160310001619526</w:t>
        </w:r>
      </w:hyperlink>
    </w:p>
    <w:p w14:paraId="2AB2C61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Pauchard, A., Aguayo, M., Peña, E., &amp; Urrutia, R. (2006). Multiple effects of urbanization on the biodiversity of developing countries: the case of a fast-growing metropolitan area (Concepción, Chile).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127</w:t>
      </w:r>
      <w:r w:rsidRPr="003338D7">
        <w:rPr>
          <w:rFonts w:asciiTheme="majorHAnsi" w:hAnsiTheme="majorHAnsi"/>
          <w:noProof/>
          <w:szCs w:val="22"/>
        </w:rPr>
        <w:t xml:space="preserve">(3), 272–281. </w:t>
      </w:r>
      <w:hyperlink r:id="rId692" w:history="1">
        <w:r w:rsidRPr="003338D7">
          <w:rPr>
            <w:rStyle w:val="Hyperlink"/>
            <w:rFonts w:asciiTheme="majorHAnsi" w:hAnsiTheme="majorHAnsi"/>
            <w:noProof/>
            <w:szCs w:val="22"/>
          </w:rPr>
          <w:t>http://doi.org/10.1016/j.biocon.2005.05.015</w:t>
        </w:r>
      </w:hyperlink>
    </w:p>
    <w:p w14:paraId="2766C19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Pauchard, A., &amp; Barbosa, O. (2013). Regional assessment of Latin America: Rapid urban development and social economic inequity threaten biodiversity hotspots. In T. Elmqvist, M. Fragkias, J. Goodness, B. Güneralp, P. J. Marcotullio, R. I. McDonald, … C. Wilkinson (Eds.), </w:t>
      </w:r>
      <w:r w:rsidRPr="003338D7">
        <w:rPr>
          <w:rFonts w:asciiTheme="majorHAnsi" w:hAnsiTheme="majorHAnsi"/>
          <w:i/>
          <w:iCs/>
          <w:noProof/>
          <w:szCs w:val="22"/>
        </w:rPr>
        <w:t>Urbanization, Biodiversity and Ecosystem Services: Challenges and Opportunities: A Global Assessment</w:t>
      </w:r>
      <w:r w:rsidRPr="003338D7">
        <w:rPr>
          <w:rFonts w:asciiTheme="majorHAnsi" w:hAnsiTheme="majorHAnsi"/>
          <w:noProof/>
          <w:szCs w:val="22"/>
        </w:rPr>
        <w:t xml:space="preserve"> (pp. 589–608). </w:t>
      </w:r>
      <w:r w:rsidRPr="003338D7">
        <w:rPr>
          <w:rFonts w:asciiTheme="majorHAnsi" w:hAnsiTheme="majorHAnsi"/>
          <w:noProof/>
          <w:szCs w:val="22"/>
          <w:lang w:val="es-ES"/>
        </w:rPr>
        <w:t>New York, USA: Springer.</w:t>
      </w:r>
    </w:p>
    <w:p w14:paraId="2C1D982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Pauchard, A., García, R. A., Peña, E., González, C., Cavieres, L. A., &amp; Bustamante, R. O. (2008). </w:t>
      </w:r>
      <w:r w:rsidRPr="003338D7">
        <w:rPr>
          <w:rFonts w:asciiTheme="majorHAnsi" w:hAnsiTheme="majorHAnsi"/>
          <w:noProof/>
          <w:szCs w:val="22"/>
        </w:rPr>
        <w:t xml:space="preserve">Positive feedbacks between plant invasions and fire regimes: </w:t>
      </w:r>
      <w:r w:rsidRPr="003338D7">
        <w:rPr>
          <w:rFonts w:asciiTheme="majorHAnsi" w:hAnsiTheme="majorHAnsi"/>
          <w:i/>
          <w:iCs/>
          <w:noProof/>
          <w:szCs w:val="22"/>
        </w:rPr>
        <w:t>Teline monspessulana</w:t>
      </w:r>
      <w:r w:rsidRPr="003338D7">
        <w:rPr>
          <w:rFonts w:asciiTheme="majorHAnsi" w:hAnsiTheme="majorHAnsi"/>
          <w:noProof/>
          <w:szCs w:val="22"/>
        </w:rPr>
        <w:t xml:space="preserve"> (L.) K. Koch (Fabaceae) in central Chile. </w:t>
      </w:r>
      <w:r w:rsidRPr="003338D7">
        <w:rPr>
          <w:rFonts w:asciiTheme="majorHAnsi" w:hAnsiTheme="majorHAnsi"/>
          <w:i/>
          <w:iCs/>
          <w:noProof/>
          <w:szCs w:val="22"/>
        </w:rPr>
        <w:t>Biological Invasions</w:t>
      </w:r>
      <w:r w:rsidRPr="003338D7">
        <w:rPr>
          <w:rFonts w:asciiTheme="majorHAnsi" w:hAnsiTheme="majorHAnsi"/>
          <w:noProof/>
          <w:szCs w:val="22"/>
        </w:rPr>
        <w:t xml:space="preserve">, </w:t>
      </w:r>
      <w:r w:rsidRPr="003338D7">
        <w:rPr>
          <w:rFonts w:asciiTheme="majorHAnsi" w:hAnsiTheme="majorHAnsi"/>
          <w:i/>
          <w:iCs/>
          <w:noProof/>
          <w:szCs w:val="22"/>
        </w:rPr>
        <w:t>10</w:t>
      </w:r>
      <w:r w:rsidRPr="003338D7">
        <w:rPr>
          <w:rFonts w:asciiTheme="majorHAnsi" w:hAnsiTheme="majorHAnsi"/>
          <w:noProof/>
          <w:szCs w:val="22"/>
        </w:rPr>
        <w:t xml:space="preserve">(4), 547–553. </w:t>
      </w:r>
      <w:hyperlink r:id="rId693" w:history="1">
        <w:r w:rsidRPr="003338D7">
          <w:rPr>
            <w:rStyle w:val="Hyperlink"/>
            <w:rFonts w:asciiTheme="majorHAnsi" w:hAnsiTheme="majorHAnsi"/>
            <w:noProof/>
            <w:szCs w:val="22"/>
          </w:rPr>
          <w:t>http://doi.org/10.1007/s10530-007-9151-8</w:t>
        </w:r>
      </w:hyperlink>
    </w:p>
    <w:p w14:paraId="0662989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Pauchard, A., Kueffer, C., Dietz, H., Daehler, C. C., Alexander, J., Edwards, P. J., Ramon Arevalo, J., Cavieres, L. A., Guisan, A., Haider, S., Jakobs, G., McDougall, K., Millar, C. I., Naylor, B. J., Parks, C. G., Rew, L. J., &amp; Seipel, T. (2009). Ain’t no mountain high enough: plant invasions reaching new elevations. </w:t>
      </w:r>
      <w:r w:rsidRPr="003338D7">
        <w:rPr>
          <w:rFonts w:asciiTheme="majorHAnsi" w:hAnsiTheme="majorHAnsi"/>
          <w:i/>
          <w:iCs/>
          <w:noProof/>
          <w:szCs w:val="22"/>
          <w:lang w:val="es-ES"/>
        </w:rPr>
        <w:t>Frontiers in Ecology and the Environment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w:t>
      </w:r>
      <w:r w:rsidRPr="003338D7">
        <w:rPr>
          <w:rFonts w:asciiTheme="majorHAnsi" w:hAnsiTheme="majorHAnsi"/>
          <w:noProof/>
          <w:szCs w:val="22"/>
          <w:lang w:val="es-ES"/>
        </w:rPr>
        <w:t xml:space="preserve">(9), 479–486. </w:t>
      </w:r>
      <w:hyperlink r:id="rId694" w:history="1">
        <w:r w:rsidRPr="003338D7">
          <w:rPr>
            <w:rStyle w:val="Hyperlink"/>
            <w:rFonts w:asciiTheme="majorHAnsi" w:hAnsiTheme="majorHAnsi"/>
            <w:noProof/>
            <w:szCs w:val="22"/>
            <w:lang w:val="es-ES"/>
          </w:rPr>
          <w:t>https://doi.org/10.1890/080072</w:t>
        </w:r>
      </w:hyperlink>
    </w:p>
    <w:p w14:paraId="0F838CF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Paul, M. J., &amp; Meyer, J. L. (2001). Streams in the urban landscape. </w:t>
      </w:r>
      <w:r w:rsidRPr="003338D7">
        <w:rPr>
          <w:rFonts w:asciiTheme="majorHAnsi" w:hAnsiTheme="majorHAnsi"/>
          <w:i/>
          <w:iCs/>
          <w:noProof/>
          <w:szCs w:val="22"/>
        </w:rPr>
        <w:t>Annual Review of Ecology and Systematics</w:t>
      </w:r>
      <w:r w:rsidRPr="003338D7">
        <w:rPr>
          <w:rFonts w:asciiTheme="majorHAnsi" w:hAnsiTheme="majorHAnsi"/>
          <w:noProof/>
          <w:szCs w:val="22"/>
        </w:rPr>
        <w:t xml:space="preserve">, </w:t>
      </w:r>
      <w:r w:rsidRPr="003338D7">
        <w:rPr>
          <w:rFonts w:asciiTheme="majorHAnsi" w:hAnsiTheme="majorHAnsi"/>
          <w:i/>
          <w:iCs/>
          <w:noProof/>
          <w:szCs w:val="22"/>
        </w:rPr>
        <w:t>32</w:t>
      </w:r>
      <w:r w:rsidRPr="003338D7">
        <w:rPr>
          <w:rFonts w:asciiTheme="majorHAnsi" w:hAnsiTheme="majorHAnsi"/>
          <w:noProof/>
          <w:szCs w:val="22"/>
        </w:rPr>
        <w:t xml:space="preserve">(2001), 333–365. </w:t>
      </w:r>
      <w:hyperlink r:id="rId695" w:history="1">
        <w:r w:rsidRPr="003338D7">
          <w:rPr>
            <w:rStyle w:val="Hyperlink"/>
            <w:rFonts w:asciiTheme="majorHAnsi" w:hAnsiTheme="majorHAnsi"/>
            <w:noProof/>
            <w:szCs w:val="22"/>
          </w:rPr>
          <w:t>http://doi.org/10.1146/annurev.ecolsys.32.081501.114040</w:t>
        </w:r>
      </w:hyperlink>
    </w:p>
    <w:p w14:paraId="44C4234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Paulich, N. (2010). Increasing private conservation through incentive mechanisms. </w:t>
      </w:r>
      <w:r w:rsidRPr="003338D7">
        <w:rPr>
          <w:rFonts w:asciiTheme="majorHAnsi" w:hAnsiTheme="majorHAnsi"/>
          <w:i/>
          <w:iCs/>
          <w:noProof/>
          <w:szCs w:val="22"/>
        </w:rPr>
        <w:t>Journal of Animal Law and Policy</w:t>
      </w:r>
      <w:r w:rsidRPr="003338D7">
        <w:rPr>
          <w:rFonts w:asciiTheme="majorHAnsi" w:hAnsiTheme="majorHAnsi"/>
          <w:noProof/>
          <w:szCs w:val="22"/>
        </w:rPr>
        <w:t xml:space="preserve">, </w:t>
      </w:r>
      <w:r w:rsidRPr="003338D7">
        <w:rPr>
          <w:rFonts w:asciiTheme="majorHAnsi" w:hAnsiTheme="majorHAnsi"/>
          <w:i/>
          <w:iCs/>
          <w:noProof/>
          <w:szCs w:val="22"/>
        </w:rPr>
        <w:t>3</w:t>
      </w:r>
      <w:r w:rsidRPr="003338D7">
        <w:rPr>
          <w:rFonts w:asciiTheme="majorHAnsi" w:hAnsiTheme="majorHAnsi"/>
          <w:noProof/>
          <w:szCs w:val="22"/>
        </w:rPr>
        <w:t>, 106–158.</w:t>
      </w:r>
    </w:p>
    <w:p w14:paraId="338AD13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Pauro, J., Gonzáles, M., Gamarra C, B., Pauro R, J., Mamani M, F., &amp; Huerta, R. (2011). </w:t>
      </w:r>
      <w:r w:rsidRPr="003338D7">
        <w:rPr>
          <w:rFonts w:asciiTheme="majorHAnsi" w:hAnsiTheme="majorHAnsi"/>
          <w:noProof/>
          <w:szCs w:val="22"/>
          <w:lang w:val="es-ES"/>
        </w:rPr>
        <w:t xml:space="preserve">Plantas alimenticias, medicinales y biocidas de la comuna de Muñani y Suatia, provincia de Lampa (Puno-Perú). </w:t>
      </w:r>
      <w:r w:rsidRPr="003338D7">
        <w:rPr>
          <w:rFonts w:asciiTheme="majorHAnsi" w:hAnsiTheme="majorHAnsi"/>
          <w:i/>
          <w:iCs/>
          <w:noProof/>
          <w:szCs w:val="22"/>
          <w:lang w:val="es-ES"/>
        </w:rPr>
        <w:t>Ecología Aplicada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w:t>
      </w:r>
      <w:r w:rsidRPr="003338D7">
        <w:rPr>
          <w:rFonts w:asciiTheme="majorHAnsi" w:hAnsiTheme="majorHAnsi"/>
          <w:noProof/>
          <w:szCs w:val="22"/>
          <w:lang w:val="es-ES"/>
        </w:rPr>
        <w:t>(1), 41–49.</w:t>
      </w:r>
    </w:p>
    <w:p w14:paraId="6F89AE3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Pavez, E. F., Lobos, G. A., &amp; Jaksic, F. M. (2010). </w:t>
      </w:r>
      <w:r w:rsidRPr="003338D7">
        <w:rPr>
          <w:rFonts w:asciiTheme="majorHAnsi" w:hAnsiTheme="majorHAnsi"/>
          <w:noProof/>
          <w:szCs w:val="22"/>
        </w:rPr>
        <w:t xml:space="preserve">Long-term changes in landscape and in small mammal and raptor assemblages in central Chile. </w:t>
      </w:r>
      <w:r w:rsidRPr="003338D7">
        <w:rPr>
          <w:rFonts w:asciiTheme="majorHAnsi" w:hAnsiTheme="majorHAnsi"/>
          <w:i/>
          <w:iCs/>
          <w:noProof/>
          <w:szCs w:val="22"/>
          <w:lang w:val="es-ES"/>
        </w:rPr>
        <w:t>Revista Chilena de Historia Natural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83</w:t>
      </w:r>
      <w:r w:rsidRPr="003338D7">
        <w:rPr>
          <w:rFonts w:asciiTheme="majorHAnsi" w:hAnsiTheme="majorHAnsi"/>
          <w:noProof/>
          <w:szCs w:val="22"/>
          <w:lang w:val="es-ES"/>
        </w:rPr>
        <w:t>(1), 99–111.</w:t>
      </w:r>
    </w:p>
    <w:p w14:paraId="0FEDF98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Pavlik, B. M., &amp; Skinner, M. W. (1994). </w:t>
      </w:r>
      <w:r w:rsidRPr="003338D7">
        <w:rPr>
          <w:rFonts w:asciiTheme="majorHAnsi" w:hAnsiTheme="majorHAnsi"/>
          <w:noProof/>
          <w:szCs w:val="22"/>
        </w:rPr>
        <w:t xml:space="preserve">Ecological characteristics of California’s rare plants. In </w:t>
      </w:r>
      <w:r w:rsidRPr="003338D7">
        <w:rPr>
          <w:rFonts w:asciiTheme="majorHAnsi" w:hAnsiTheme="majorHAnsi"/>
          <w:i/>
          <w:iCs/>
          <w:noProof/>
          <w:szCs w:val="22"/>
        </w:rPr>
        <w:t>Inventory of Rare and Endangered Vascular Plants of California</w:t>
      </w:r>
      <w:r w:rsidRPr="003338D7">
        <w:rPr>
          <w:rFonts w:asciiTheme="majorHAnsi" w:hAnsiTheme="majorHAnsi"/>
          <w:noProof/>
          <w:szCs w:val="22"/>
        </w:rPr>
        <w:t xml:space="preserve"> (5th ed., pp. 4–6). Sacramento, California: California Native Plant Society.</w:t>
      </w:r>
    </w:p>
    <w:p w14:paraId="378B9A9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Pearse, W. D., Cavender-Bares, J., Hobbie, S. E., Avolio, M. L., Bettez, N., Roy Chowdhury, R., Darling, L. E., Groffman, P. M., Grove, J. M., Hall, S. J., Heffernan, J. B., Learned, J., Neill, C., Nelson, K. C., Pataki, D. E., Ruddell, B. L., Steele, M. K., &amp; Trammell, T. L. E. (2018). Homogenization of plant diversity, composition, and structure in North American urban yards. </w:t>
      </w:r>
      <w:r w:rsidRPr="003338D7">
        <w:rPr>
          <w:rFonts w:asciiTheme="majorHAnsi" w:hAnsiTheme="majorHAnsi"/>
          <w:i/>
          <w:iCs/>
          <w:noProof/>
          <w:szCs w:val="22"/>
          <w:lang w:val="es-ES"/>
        </w:rPr>
        <w:t>Ecosphere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w:t>
      </w:r>
      <w:r w:rsidRPr="003338D7">
        <w:rPr>
          <w:rFonts w:asciiTheme="majorHAnsi" w:hAnsiTheme="majorHAnsi"/>
          <w:noProof/>
          <w:szCs w:val="22"/>
          <w:lang w:val="es-ES"/>
        </w:rPr>
        <w:t xml:space="preserve">(2), e02105. </w:t>
      </w:r>
      <w:hyperlink r:id="rId696" w:history="1">
        <w:r w:rsidRPr="003338D7">
          <w:rPr>
            <w:rStyle w:val="Hyperlink"/>
            <w:rFonts w:asciiTheme="majorHAnsi" w:hAnsiTheme="majorHAnsi"/>
            <w:noProof/>
            <w:szCs w:val="22"/>
            <w:lang w:val="es-ES"/>
          </w:rPr>
          <w:t>https://doi.org/10.1002/ecs2.2105</w:t>
        </w:r>
      </w:hyperlink>
    </w:p>
    <w:p w14:paraId="01B79E0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Pedersen, A. B., Jones, K. E., Nunn, C. L., &amp; Altizer, S. (2007). </w:t>
      </w:r>
      <w:r w:rsidRPr="003338D7">
        <w:rPr>
          <w:rFonts w:asciiTheme="majorHAnsi" w:hAnsiTheme="majorHAnsi"/>
          <w:noProof/>
          <w:szCs w:val="22"/>
        </w:rPr>
        <w:t xml:space="preserve">Infectious diseases and extinction risk in wild mammals.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21</w:t>
      </w:r>
      <w:r w:rsidRPr="003338D7">
        <w:rPr>
          <w:rFonts w:asciiTheme="majorHAnsi" w:hAnsiTheme="majorHAnsi"/>
          <w:noProof/>
          <w:szCs w:val="22"/>
        </w:rPr>
        <w:t xml:space="preserve">(5), 1269–1279. </w:t>
      </w:r>
      <w:hyperlink r:id="rId697" w:history="1">
        <w:r w:rsidRPr="003338D7">
          <w:rPr>
            <w:rStyle w:val="Hyperlink"/>
            <w:rFonts w:asciiTheme="majorHAnsi" w:hAnsiTheme="majorHAnsi"/>
            <w:noProof/>
            <w:szCs w:val="22"/>
          </w:rPr>
          <w:t>http://doi.org/10.1111/j.1523-1739.2007.00776.x</w:t>
        </w:r>
      </w:hyperlink>
    </w:p>
    <w:p w14:paraId="7C364B5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Peixoto, R. B., Marotta, H., Bastviken, D., &amp; Enrich-Prast, A. (2016). </w:t>
      </w:r>
      <w:r w:rsidRPr="003338D7">
        <w:rPr>
          <w:rFonts w:asciiTheme="majorHAnsi" w:hAnsiTheme="majorHAnsi"/>
          <w:noProof/>
          <w:szCs w:val="22"/>
        </w:rPr>
        <w:t xml:space="preserve">Floating aquatic macrophytes can substantially offset open water CO2 emissions from tropical floodplain lake ecosystems. </w:t>
      </w:r>
      <w:r w:rsidRPr="003338D7">
        <w:rPr>
          <w:rFonts w:asciiTheme="majorHAnsi" w:hAnsiTheme="majorHAnsi"/>
          <w:i/>
          <w:iCs/>
          <w:noProof/>
          <w:szCs w:val="22"/>
        </w:rPr>
        <w:t>Ecosystems</w:t>
      </w:r>
      <w:r w:rsidRPr="003338D7">
        <w:rPr>
          <w:rFonts w:asciiTheme="majorHAnsi" w:hAnsiTheme="majorHAnsi"/>
          <w:noProof/>
          <w:szCs w:val="22"/>
        </w:rPr>
        <w:t xml:space="preserve">, </w:t>
      </w:r>
      <w:r w:rsidRPr="003338D7">
        <w:rPr>
          <w:rFonts w:asciiTheme="majorHAnsi" w:hAnsiTheme="majorHAnsi"/>
          <w:i/>
          <w:iCs/>
          <w:noProof/>
          <w:szCs w:val="22"/>
        </w:rPr>
        <w:t>19</w:t>
      </w:r>
      <w:r w:rsidRPr="003338D7">
        <w:rPr>
          <w:rFonts w:asciiTheme="majorHAnsi" w:hAnsiTheme="majorHAnsi"/>
          <w:noProof/>
          <w:szCs w:val="22"/>
        </w:rPr>
        <w:t xml:space="preserve">(4), 724–736. </w:t>
      </w:r>
      <w:hyperlink r:id="rId698" w:history="1">
        <w:r w:rsidRPr="003338D7">
          <w:rPr>
            <w:rStyle w:val="Hyperlink"/>
            <w:rFonts w:asciiTheme="majorHAnsi" w:hAnsiTheme="majorHAnsi"/>
            <w:noProof/>
            <w:szCs w:val="22"/>
          </w:rPr>
          <w:t>http://doi.org/10.1007/s10021-016-9964-3</w:t>
        </w:r>
      </w:hyperlink>
    </w:p>
    <w:p w14:paraId="49F4DF1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Pell, A. N. (1999). Animals and agroforestry in the tropics. In L. E. Buck, J. P. Lassoie, &amp; E. C. M. Fernandes (Eds.), </w:t>
      </w:r>
      <w:r w:rsidRPr="003338D7">
        <w:rPr>
          <w:rFonts w:asciiTheme="majorHAnsi" w:hAnsiTheme="majorHAnsi"/>
          <w:i/>
          <w:iCs/>
          <w:noProof/>
          <w:szCs w:val="22"/>
        </w:rPr>
        <w:t>Agroforestry in Sustainable Agricultural Systems</w:t>
      </w:r>
      <w:r w:rsidRPr="003338D7">
        <w:rPr>
          <w:rFonts w:asciiTheme="majorHAnsi" w:hAnsiTheme="majorHAnsi"/>
          <w:noProof/>
          <w:szCs w:val="22"/>
        </w:rPr>
        <w:t xml:space="preserve"> (pp. 33–46). </w:t>
      </w:r>
      <w:r w:rsidRPr="003338D7">
        <w:rPr>
          <w:rFonts w:asciiTheme="majorHAnsi" w:hAnsiTheme="majorHAnsi"/>
          <w:noProof/>
          <w:szCs w:val="22"/>
          <w:lang w:val="es-ES"/>
        </w:rPr>
        <w:t>Boca Raton, USA: CRC Press and Lewis Publishers.</w:t>
      </w:r>
    </w:p>
    <w:p w14:paraId="521F2C6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Peña-Gómez, F. T., Guerrero, P. C., Bizama, G., Duarte, M., &amp; Bustamante, R. O. (2014). </w:t>
      </w:r>
      <w:r w:rsidRPr="003338D7">
        <w:rPr>
          <w:rFonts w:asciiTheme="majorHAnsi" w:hAnsiTheme="majorHAnsi"/>
          <w:noProof/>
          <w:szCs w:val="22"/>
        </w:rPr>
        <w:t xml:space="preserve">Climatic niche conservatism and biogeographical non-equilibrium in </w:t>
      </w:r>
      <w:r w:rsidRPr="003338D7">
        <w:rPr>
          <w:rFonts w:asciiTheme="majorHAnsi" w:hAnsiTheme="majorHAnsi"/>
          <w:i/>
          <w:iCs/>
          <w:noProof/>
          <w:szCs w:val="22"/>
        </w:rPr>
        <w:t>Eschscholzia californica</w:t>
      </w:r>
      <w:r w:rsidRPr="003338D7">
        <w:rPr>
          <w:rFonts w:asciiTheme="majorHAnsi" w:hAnsiTheme="majorHAnsi"/>
          <w:noProof/>
          <w:szCs w:val="22"/>
        </w:rPr>
        <w:t xml:space="preserve"> (Papaveraceae), an invasive plant in the Chilean Mediterranean region. </w:t>
      </w:r>
      <w:r w:rsidRPr="003338D7">
        <w:rPr>
          <w:rFonts w:asciiTheme="majorHAnsi" w:hAnsiTheme="majorHAnsi"/>
          <w:i/>
          <w:iCs/>
          <w:noProof/>
          <w:szCs w:val="22"/>
        </w:rPr>
        <w:t>PLoS ONE</w:t>
      </w:r>
      <w:r w:rsidRPr="003338D7">
        <w:rPr>
          <w:rFonts w:asciiTheme="majorHAnsi" w:hAnsiTheme="majorHAnsi"/>
          <w:noProof/>
          <w:szCs w:val="22"/>
        </w:rPr>
        <w:t xml:space="preserve">, </w:t>
      </w:r>
      <w:r w:rsidRPr="003338D7">
        <w:rPr>
          <w:rFonts w:asciiTheme="majorHAnsi" w:hAnsiTheme="majorHAnsi"/>
          <w:i/>
          <w:iCs/>
          <w:noProof/>
          <w:szCs w:val="22"/>
        </w:rPr>
        <w:t>9</w:t>
      </w:r>
      <w:r w:rsidRPr="003338D7">
        <w:rPr>
          <w:rFonts w:asciiTheme="majorHAnsi" w:hAnsiTheme="majorHAnsi"/>
          <w:noProof/>
          <w:szCs w:val="22"/>
        </w:rPr>
        <w:t xml:space="preserve">(8), e105025. </w:t>
      </w:r>
      <w:hyperlink r:id="rId699" w:history="1">
        <w:r w:rsidRPr="003338D7">
          <w:rPr>
            <w:rStyle w:val="Hyperlink"/>
            <w:rFonts w:asciiTheme="majorHAnsi" w:hAnsiTheme="majorHAnsi"/>
            <w:noProof/>
            <w:szCs w:val="22"/>
          </w:rPr>
          <w:t>http://doi.org/10.1371/journal.pone.0105025</w:t>
        </w:r>
      </w:hyperlink>
    </w:p>
    <w:p w14:paraId="10F83ED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Peña, E., Hidalgo, M., Langdon, B., &amp; Pauchard., A. (2008). Patterns of spread of Pinus contorta Dougl. ex Loud. invasion in a Natural Reserve in southern South America. </w:t>
      </w:r>
      <w:r w:rsidRPr="003338D7">
        <w:rPr>
          <w:rFonts w:asciiTheme="majorHAnsi" w:hAnsiTheme="majorHAnsi"/>
          <w:i/>
          <w:iCs/>
          <w:noProof/>
          <w:szCs w:val="22"/>
        </w:rPr>
        <w:t>Forest Ecology and Management</w:t>
      </w:r>
      <w:r w:rsidRPr="003338D7">
        <w:rPr>
          <w:rFonts w:asciiTheme="majorHAnsi" w:hAnsiTheme="majorHAnsi"/>
          <w:noProof/>
          <w:szCs w:val="22"/>
        </w:rPr>
        <w:t xml:space="preserve">, </w:t>
      </w:r>
      <w:r w:rsidRPr="003338D7">
        <w:rPr>
          <w:rFonts w:asciiTheme="majorHAnsi" w:hAnsiTheme="majorHAnsi"/>
          <w:i/>
          <w:iCs/>
          <w:noProof/>
          <w:szCs w:val="22"/>
        </w:rPr>
        <w:t>256</w:t>
      </w:r>
      <w:r w:rsidRPr="003338D7">
        <w:rPr>
          <w:rFonts w:asciiTheme="majorHAnsi" w:hAnsiTheme="majorHAnsi"/>
          <w:noProof/>
          <w:szCs w:val="22"/>
        </w:rPr>
        <w:t xml:space="preserve">(5), 1049–1054. </w:t>
      </w:r>
      <w:hyperlink r:id="rId700" w:history="1">
        <w:r w:rsidRPr="003338D7">
          <w:rPr>
            <w:rStyle w:val="Hyperlink"/>
            <w:rFonts w:asciiTheme="majorHAnsi" w:hAnsiTheme="majorHAnsi"/>
            <w:noProof/>
            <w:szCs w:val="22"/>
          </w:rPr>
          <w:t>http://doi.org/10.1016/j.foreco.2008.06.020</w:t>
        </w:r>
      </w:hyperlink>
    </w:p>
    <w:p w14:paraId="1E8FB7D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pt-BR"/>
        </w:rPr>
      </w:pPr>
      <w:r w:rsidRPr="003338D7">
        <w:rPr>
          <w:rFonts w:asciiTheme="majorHAnsi" w:hAnsiTheme="majorHAnsi"/>
          <w:noProof/>
          <w:szCs w:val="22"/>
        </w:rPr>
        <w:t xml:space="preserve">Peralvo, M. F., Cuesta, F., &amp; van Manen, F. (2005). Delineating priority habitat areas for the conservation of Andean bears in northern Ecuador. </w:t>
      </w:r>
      <w:r w:rsidRPr="003338D7">
        <w:rPr>
          <w:rFonts w:asciiTheme="majorHAnsi" w:hAnsiTheme="majorHAnsi"/>
          <w:i/>
          <w:iCs/>
          <w:noProof/>
          <w:szCs w:val="22"/>
          <w:lang w:val="pt-BR"/>
        </w:rPr>
        <w:t>Ursus</w:t>
      </w:r>
      <w:r w:rsidRPr="003338D7">
        <w:rPr>
          <w:rFonts w:asciiTheme="majorHAnsi" w:hAnsiTheme="majorHAnsi"/>
          <w:noProof/>
          <w:szCs w:val="22"/>
          <w:lang w:val="pt-BR"/>
        </w:rPr>
        <w:t xml:space="preserve">, </w:t>
      </w:r>
      <w:r w:rsidRPr="003338D7">
        <w:rPr>
          <w:rFonts w:asciiTheme="majorHAnsi" w:hAnsiTheme="majorHAnsi"/>
          <w:i/>
          <w:iCs/>
          <w:noProof/>
          <w:szCs w:val="22"/>
          <w:lang w:val="pt-BR"/>
        </w:rPr>
        <w:t>16</w:t>
      </w:r>
      <w:r w:rsidRPr="003338D7">
        <w:rPr>
          <w:rFonts w:asciiTheme="majorHAnsi" w:hAnsiTheme="majorHAnsi"/>
          <w:noProof/>
          <w:szCs w:val="22"/>
          <w:lang w:val="pt-BR"/>
        </w:rPr>
        <w:t xml:space="preserve">(2), 222–233. </w:t>
      </w:r>
      <w:hyperlink r:id="rId701" w:history="1">
        <w:r w:rsidRPr="003338D7">
          <w:rPr>
            <w:rStyle w:val="Hyperlink"/>
            <w:rFonts w:asciiTheme="majorHAnsi" w:hAnsiTheme="majorHAnsi"/>
            <w:noProof/>
            <w:szCs w:val="22"/>
            <w:lang w:val="pt-BR"/>
          </w:rPr>
          <w:t>http://doi.org/10.2192/1537-6176(2005)016%5B0222:DPHAFT%5D2.0.CO;2</w:t>
        </w:r>
      </w:hyperlink>
    </w:p>
    <w:p w14:paraId="0A8D797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pt-BR"/>
        </w:rPr>
        <w:t xml:space="preserve">Pereira-Garbero, R., Barreneche, J. M., Laufer, G., Achaval, F., &amp; Arim, M. (2013). </w:t>
      </w:r>
      <w:r w:rsidRPr="003338D7">
        <w:rPr>
          <w:rFonts w:asciiTheme="majorHAnsi" w:hAnsiTheme="majorHAnsi"/>
          <w:noProof/>
          <w:szCs w:val="22"/>
          <w:lang w:val="es-ES"/>
        </w:rPr>
        <w:t xml:space="preserve">Mamíferos invasores en Uruguay, historia, perspectivas y consecuencias. </w:t>
      </w:r>
      <w:r w:rsidRPr="003338D7">
        <w:rPr>
          <w:rFonts w:asciiTheme="majorHAnsi" w:hAnsiTheme="majorHAnsi"/>
          <w:i/>
          <w:iCs/>
          <w:noProof/>
          <w:szCs w:val="22"/>
          <w:lang w:val="es-ES"/>
        </w:rPr>
        <w:t>Revista Chilena de Historia Natural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86</w:t>
      </w:r>
      <w:r w:rsidRPr="003338D7">
        <w:rPr>
          <w:rFonts w:asciiTheme="majorHAnsi" w:hAnsiTheme="majorHAnsi"/>
          <w:noProof/>
          <w:szCs w:val="22"/>
          <w:lang w:val="es-ES"/>
        </w:rPr>
        <w:t xml:space="preserve">(4), 403–421. </w:t>
      </w:r>
      <w:hyperlink r:id="rId702" w:history="1">
        <w:r w:rsidRPr="003338D7">
          <w:rPr>
            <w:rStyle w:val="Hyperlink"/>
            <w:rFonts w:asciiTheme="majorHAnsi" w:hAnsiTheme="majorHAnsi"/>
            <w:noProof/>
            <w:szCs w:val="22"/>
            <w:lang w:val="es-ES"/>
          </w:rPr>
          <w:t>http://doi.org/10.4067/S0716-078X2013000400003</w:t>
        </w:r>
      </w:hyperlink>
    </w:p>
    <w:p w14:paraId="707AB94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Perepelizin, P. V., &amp; Faggi, A. M. (2009). Diversidad de aves en tres barrios de la ciudad de Buenos Aires, Argentina. </w:t>
      </w:r>
      <w:r w:rsidRPr="003338D7">
        <w:rPr>
          <w:rFonts w:asciiTheme="majorHAnsi" w:hAnsiTheme="majorHAnsi"/>
          <w:i/>
          <w:iCs/>
          <w:noProof/>
          <w:szCs w:val="22"/>
          <w:lang w:val="es-ES"/>
        </w:rPr>
        <w:t>Multequina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18</w:t>
      </w:r>
      <w:r w:rsidRPr="003338D7">
        <w:rPr>
          <w:rFonts w:asciiTheme="majorHAnsi" w:hAnsiTheme="majorHAnsi"/>
          <w:noProof/>
          <w:szCs w:val="22"/>
          <w:lang w:val="es-ES"/>
        </w:rPr>
        <w:t>(2), 71–85.</w:t>
      </w:r>
    </w:p>
    <w:p w14:paraId="2F23B9B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Peres, C. A., Emilio, T., Schietti, J., Desmoulière, S. J. M., &amp; Levi, T. (2016). </w:t>
      </w:r>
      <w:r w:rsidRPr="003338D7">
        <w:rPr>
          <w:rFonts w:asciiTheme="majorHAnsi" w:hAnsiTheme="majorHAnsi"/>
          <w:noProof/>
          <w:szCs w:val="22"/>
        </w:rPr>
        <w:t xml:space="preserve">Dispersal limitation induces long-term biomass collapse in overhunted Amazonian forests.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113</w:t>
      </w:r>
      <w:r w:rsidRPr="003338D7">
        <w:rPr>
          <w:rFonts w:asciiTheme="majorHAnsi" w:hAnsiTheme="majorHAnsi"/>
          <w:noProof/>
          <w:szCs w:val="22"/>
          <w:lang w:val="es-ES"/>
        </w:rPr>
        <w:t>(4), 892–897.</w:t>
      </w:r>
      <w:hyperlink r:id="rId703" w:history="1">
        <w:r w:rsidRPr="003338D7">
          <w:rPr>
            <w:rStyle w:val="Hyperlink"/>
            <w:rFonts w:asciiTheme="majorHAnsi" w:hAnsiTheme="majorHAnsi"/>
            <w:noProof/>
            <w:szCs w:val="22"/>
            <w:lang w:val="es-ES"/>
          </w:rPr>
          <w:t>http://doi.org/10.1073/pnas.1516525113</w:t>
        </w:r>
      </w:hyperlink>
    </w:p>
    <w:p w14:paraId="08981C9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Pérez-Cruz, Y. G., Rangel-Ruiz, L. J., &amp; Gamboa-Aguilar, J. (2013). </w:t>
      </w:r>
      <w:r w:rsidRPr="003338D7">
        <w:rPr>
          <w:rFonts w:asciiTheme="majorHAnsi" w:hAnsiTheme="majorHAnsi"/>
          <w:noProof/>
          <w:szCs w:val="22"/>
        </w:rPr>
        <w:t xml:space="preserve">Metals in clams and sediments in the marshes of Centla Biosphere Reserve, Tabasco, Mexico. </w:t>
      </w:r>
      <w:r w:rsidRPr="003338D7">
        <w:rPr>
          <w:rFonts w:asciiTheme="majorHAnsi" w:hAnsiTheme="majorHAnsi"/>
          <w:i/>
          <w:iCs/>
          <w:noProof/>
          <w:szCs w:val="22"/>
          <w:lang w:val="es-ES"/>
        </w:rPr>
        <w:t>Hidrobiologica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23</w:t>
      </w:r>
      <w:r w:rsidRPr="003338D7">
        <w:rPr>
          <w:rFonts w:asciiTheme="majorHAnsi" w:hAnsiTheme="majorHAnsi"/>
          <w:noProof/>
          <w:szCs w:val="22"/>
          <w:lang w:val="es-ES"/>
        </w:rPr>
        <w:t>(1), 1–8.</w:t>
      </w:r>
    </w:p>
    <w:p w14:paraId="4E8E6DE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Pérez-Ruzafa, A., Alvarado, J. J., Solís-Marín, F. A., Hernández, J. C., Morata, A., Marcos, C., Abreu-Pérez, M., Aguilera, O., Alió, J., Bacallado-Aránega, J. J., Barraza, E., Benavides-Serrato, M., Benítez-Villalobos, F., Betancourt-Fernández, L., Borges, M., Brandt, M., Brogger, M. I., Borrero-Pérez, G. H., Buitrón-Sánchez, B. E., Campos, L. S., Cantera, J. R., Clemente, S., Cohen-Renfijo, M., Coppard, S. E., Costa-Lotufo, L. V., Del Valle-García, R., Díaz De Vivar, M. E., Díaz-Martínez, J. P., Díaz, Y., Durán-González, A., Epherra, L., Escolar, M., Francisco, V., Freire, C. A., García-Arrarás, J. E., Gil, D. G., Guarderas, P., Hadel, V. F., Hearn, A., Hernández-Delgado, E. A., Herrera-Moreno, A., Herrero-Pérezrul, M. D., Hooker, Y., Honey-Escandón, M. B. I., Lodeiros, C., Luzuriaga, M., Manso, C. L. C., Martín, A., Martínez, M. I., Martínez, S., Moro-Abad, L., Mutschke, E., Navarro, J. C., Neira, R., Noriega, N., Palleiro-Nayar, J. S., Pérez, A. F., Prieto-Ríos, E., Reyes, J., Rodríguez-Barreras, R., Rubilar, T., Sancho-Mejías, T. I., Sangil, C., Silva, J. R. M. C., Sonnenholzner, J. I., Ventura, C. R. R., Tablado, A., Tavares, Y., Tiago, C. G., Tuya, F., &amp; Williams, S. M. (2013). Latin America echinoderm biodiversity and biogeography: patterns and affinities. In J. J. Alvarado &amp; F. A. Solís-Marín (Eds.), </w:t>
      </w:r>
      <w:r w:rsidRPr="003338D7">
        <w:rPr>
          <w:rFonts w:asciiTheme="majorHAnsi" w:hAnsiTheme="majorHAnsi"/>
          <w:i/>
          <w:iCs/>
          <w:noProof/>
          <w:szCs w:val="22"/>
          <w:lang w:val="es-ES"/>
        </w:rPr>
        <w:t>Echinoderm Research and Diversity in Latin America</w:t>
      </w:r>
      <w:r w:rsidRPr="003338D7">
        <w:rPr>
          <w:rFonts w:asciiTheme="majorHAnsi" w:hAnsiTheme="majorHAnsi"/>
          <w:noProof/>
          <w:szCs w:val="22"/>
          <w:lang w:val="es-ES"/>
        </w:rPr>
        <w:t xml:space="preserve"> (pp. 511–542). Berlin, Germany: Springer.</w:t>
      </w:r>
    </w:p>
    <w:p w14:paraId="491C147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Pérez, L. (2008). Aportes para la comprensión del imaginario Otomí. In C. H. Durand (Ed.), </w:t>
      </w:r>
      <w:r w:rsidRPr="003338D7">
        <w:rPr>
          <w:rFonts w:asciiTheme="majorHAnsi" w:hAnsiTheme="majorHAnsi"/>
          <w:i/>
          <w:iCs/>
          <w:noProof/>
          <w:szCs w:val="22"/>
          <w:lang w:val="es-ES"/>
        </w:rPr>
        <w:t>El Derecho al Desarrollo Social: Una Visión Desde el Multiculturalismo: El Caso de los Pueblos Indígenas</w:t>
      </w:r>
      <w:r w:rsidRPr="003338D7">
        <w:rPr>
          <w:rFonts w:asciiTheme="majorHAnsi" w:hAnsiTheme="majorHAnsi"/>
          <w:noProof/>
          <w:szCs w:val="22"/>
          <w:lang w:val="es-ES"/>
        </w:rPr>
        <w:t xml:space="preserve"> (pp. 273–292). Ciudad de México, México: Editorial Porrúa.</w:t>
      </w:r>
    </w:p>
    <w:p w14:paraId="5549B3E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Perfecto, I., &amp; Vandermeer, J. (2008). </w:t>
      </w:r>
      <w:r w:rsidRPr="003338D7">
        <w:rPr>
          <w:rFonts w:asciiTheme="majorHAnsi" w:hAnsiTheme="majorHAnsi"/>
          <w:noProof/>
          <w:szCs w:val="22"/>
        </w:rPr>
        <w:t xml:space="preserve">Biodiversity conservation in tropical agroecosystems. </w:t>
      </w:r>
      <w:r w:rsidRPr="003338D7">
        <w:rPr>
          <w:rFonts w:asciiTheme="majorHAnsi" w:hAnsiTheme="majorHAnsi"/>
          <w:i/>
          <w:iCs/>
          <w:noProof/>
          <w:szCs w:val="22"/>
        </w:rPr>
        <w:t>Annals of the New York Academy of Sciences</w:t>
      </w:r>
      <w:r w:rsidRPr="003338D7">
        <w:rPr>
          <w:rFonts w:asciiTheme="majorHAnsi" w:hAnsiTheme="majorHAnsi"/>
          <w:noProof/>
          <w:szCs w:val="22"/>
        </w:rPr>
        <w:t xml:space="preserve">, </w:t>
      </w:r>
      <w:r w:rsidRPr="003338D7">
        <w:rPr>
          <w:rFonts w:asciiTheme="majorHAnsi" w:hAnsiTheme="majorHAnsi"/>
          <w:i/>
          <w:iCs/>
          <w:noProof/>
          <w:szCs w:val="22"/>
        </w:rPr>
        <w:t>1134</w:t>
      </w:r>
      <w:r w:rsidRPr="003338D7">
        <w:rPr>
          <w:rFonts w:asciiTheme="majorHAnsi" w:hAnsiTheme="majorHAnsi"/>
          <w:noProof/>
          <w:szCs w:val="22"/>
        </w:rPr>
        <w:t xml:space="preserve">(1), 173–200. </w:t>
      </w:r>
      <w:hyperlink r:id="rId704" w:history="1">
        <w:r w:rsidRPr="003338D7">
          <w:rPr>
            <w:rStyle w:val="Hyperlink"/>
            <w:rFonts w:asciiTheme="majorHAnsi" w:hAnsiTheme="majorHAnsi"/>
            <w:noProof/>
            <w:szCs w:val="22"/>
          </w:rPr>
          <w:t>http://doi.org/10.1196/annals.1439.011</w:t>
        </w:r>
      </w:hyperlink>
    </w:p>
    <w:p w14:paraId="0787983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lang w:val="es-ES"/>
        </w:rPr>
        <w:t xml:space="preserve">Peri, P. L., Dube, F., &amp; Varella, A. C. (2016). </w:t>
      </w:r>
      <w:r w:rsidRPr="003338D7">
        <w:rPr>
          <w:rFonts w:asciiTheme="majorHAnsi" w:hAnsiTheme="majorHAnsi"/>
          <w:noProof/>
          <w:szCs w:val="22"/>
        </w:rPr>
        <w:t xml:space="preserve">Silvopastoral systems in the subtropical and temperate zones of South America: an overview. In P. L. Peri, F. Dube, &amp; A. Varella (Eds.), </w:t>
      </w:r>
      <w:r w:rsidRPr="003338D7">
        <w:rPr>
          <w:rFonts w:asciiTheme="majorHAnsi" w:hAnsiTheme="majorHAnsi"/>
          <w:i/>
          <w:iCs/>
          <w:noProof/>
          <w:szCs w:val="22"/>
        </w:rPr>
        <w:t>Silvopastoral Systems in Southern South America</w:t>
      </w:r>
      <w:r w:rsidRPr="003338D7">
        <w:rPr>
          <w:rFonts w:asciiTheme="majorHAnsi" w:hAnsiTheme="majorHAnsi"/>
          <w:noProof/>
          <w:szCs w:val="22"/>
        </w:rPr>
        <w:t xml:space="preserve"> (pp. 1–8). </w:t>
      </w:r>
      <w:r w:rsidRPr="003338D7">
        <w:rPr>
          <w:rFonts w:asciiTheme="majorHAnsi" w:hAnsiTheme="majorHAnsi"/>
          <w:noProof/>
          <w:szCs w:val="22"/>
          <w:lang w:val="de-DE"/>
        </w:rPr>
        <w:t>Cham, Switzerland: Springer.</w:t>
      </w:r>
    </w:p>
    <w:p w14:paraId="77E7FE2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Peri, P. L., Ladd, B., Pepper, D. A., Bonser, S. P., Laffan, S. W., &amp; Amelung, W. (2012). </w:t>
      </w:r>
      <w:r w:rsidRPr="003338D7">
        <w:rPr>
          <w:rFonts w:asciiTheme="majorHAnsi" w:hAnsiTheme="majorHAnsi"/>
          <w:noProof/>
          <w:szCs w:val="22"/>
        </w:rPr>
        <w:t>Carbon (</w:t>
      </w:r>
      <w:r w:rsidRPr="003338D7">
        <w:rPr>
          <w:rFonts w:asciiTheme="majorHAnsi" w:hAnsiTheme="majorHAnsi"/>
          <w:noProof/>
          <w:szCs w:val="22"/>
          <w:lang w:val="es-ES"/>
        </w:rPr>
        <w:t>δ</w:t>
      </w:r>
      <w:r w:rsidRPr="003338D7">
        <w:rPr>
          <w:rFonts w:asciiTheme="majorHAnsi" w:hAnsiTheme="majorHAnsi"/>
          <w:noProof/>
          <w:szCs w:val="22"/>
        </w:rPr>
        <w:t xml:space="preserve"> 13C) and nitrogen (</w:t>
      </w:r>
      <w:r w:rsidRPr="003338D7">
        <w:rPr>
          <w:rFonts w:asciiTheme="majorHAnsi" w:hAnsiTheme="majorHAnsi"/>
          <w:noProof/>
          <w:szCs w:val="22"/>
          <w:lang w:val="es-ES"/>
        </w:rPr>
        <w:t>δ</w:t>
      </w:r>
      <w:r w:rsidRPr="003338D7">
        <w:rPr>
          <w:rFonts w:asciiTheme="majorHAnsi" w:hAnsiTheme="majorHAnsi"/>
          <w:noProof/>
          <w:szCs w:val="22"/>
        </w:rPr>
        <w:t xml:space="preserve"> 15N) stable isotope composition in plant and soil in Southern Patagonia’s native forests. </w:t>
      </w:r>
      <w:r w:rsidRPr="003338D7">
        <w:rPr>
          <w:rFonts w:asciiTheme="majorHAnsi" w:hAnsiTheme="majorHAnsi"/>
          <w:i/>
          <w:iCs/>
          <w:noProof/>
          <w:szCs w:val="22"/>
        </w:rPr>
        <w:t>Global Change Biology</w:t>
      </w:r>
      <w:r w:rsidRPr="003338D7">
        <w:rPr>
          <w:rFonts w:asciiTheme="majorHAnsi" w:hAnsiTheme="majorHAnsi"/>
          <w:noProof/>
          <w:szCs w:val="22"/>
        </w:rPr>
        <w:t xml:space="preserve">, </w:t>
      </w:r>
      <w:r w:rsidRPr="003338D7">
        <w:rPr>
          <w:rFonts w:asciiTheme="majorHAnsi" w:hAnsiTheme="majorHAnsi"/>
          <w:i/>
          <w:iCs/>
          <w:noProof/>
          <w:szCs w:val="22"/>
        </w:rPr>
        <w:t>18</w:t>
      </w:r>
      <w:r w:rsidRPr="003338D7">
        <w:rPr>
          <w:rFonts w:asciiTheme="majorHAnsi" w:hAnsiTheme="majorHAnsi"/>
          <w:noProof/>
          <w:szCs w:val="22"/>
        </w:rPr>
        <w:t xml:space="preserve">(1), 311–321. </w:t>
      </w:r>
      <w:hyperlink r:id="rId705" w:history="1">
        <w:r w:rsidRPr="003338D7">
          <w:rPr>
            <w:rStyle w:val="Hyperlink"/>
            <w:rFonts w:asciiTheme="majorHAnsi" w:hAnsiTheme="majorHAnsi"/>
            <w:noProof/>
            <w:szCs w:val="22"/>
          </w:rPr>
          <w:t>http://doi.org/10.1111/j.1365-2486.2011.02494.x</w:t>
        </w:r>
      </w:hyperlink>
    </w:p>
    <w:p w14:paraId="1A0EF00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Periago, M. E., Chillo, V., &amp; Ojeda, R. A. (2015). Loss of mammalian species from the South American Gran Chaco: empty savanna syndrome? </w:t>
      </w:r>
      <w:r w:rsidRPr="003338D7">
        <w:rPr>
          <w:rFonts w:asciiTheme="majorHAnsi" w:hAnsiTheme="majorHAnsi"/>
          <w:i/>
          <w:iCs/>
          <w:noProof/>
          <w:szCs w:val="22"/>
        </w:rPr>
        <w:t>Mammal Review</w:t>
      </w:r>
      <w:r w:rsidRPr="003338D7">
        <w:rPr>
          <w:rFonts w:asciiTheme="majorHAnsi" w:hAnsiTheme="majorHAnsi"/>
          <w:noProof/>
          <w:szCs w:val="22"/>
        </w:rPr>
        <w:t xml:space="preserve">, </w:t>
      </w:r>
      <w:r w:rsidRPr="003338D7">
        <w:rPr>
          <w:rFonts w:asciiTheme="majorHAnsi" w:hAnsiTheme="majorHAnsi"/>
          <w:i/>
          <w:iCs/>
          <w:noProof/>
          <w:szCs w:val="22"/>
        </w:rPr>
        <w:t>45</w:t>
      </w:r>
      <w:r w:rsidRPr="003338D7">
        <w:rPr>
          <w:rFonts w:asciiTheme="majorHAnsi" w:hAnsiTheme="majorHAnsi"/>
          <w:noProof/>
          <w:szCs w:val="22"/>
        </w:rPr>
        <w:t xml:space="preserve">(1), 41–53. </w:t>
      </w:r>
      <w:hyperlink r:id="rId706" w:history="1">
        <w:r w:rsidRPr="003338D7">
          <w:rPr>
            <w:rStyle w:val="Hyperlink"/>
            <w:rFonts w:asciiTheme="majorHAnsi" w:hAnsiTheme="majorHAnsi"/>
            <w:noProof/>
            <w:szCs w:val="22"/>
          </w:rPr>
          <w:t>http://doi.org/10.1111/mam.12031</w:t>
        </w:r>
      </w:hyperlink>
    </w:p>
    <w:p w14:paraId="4A1ACA6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Peroni, N., &amp; Hanazaki., N. (2002). Current and lost diversity of cultivated varieties, especially cassava, under swidden cultivation systems in the Brazilian Atlantic Forest. </w:t>
      </w:r>
      <w:r w:rsidRPr="003338D7">
        <w:rPr>
          <w:rFonts w:asciiTheme="majorHAnsi" w:hAnsiTheme="majorHAnsi"/>
          <w:i/>
          <w:iCs/>
          <w:noProof/>
          <w:szCs w:val="22"/>
        </w:rPr>
        <w:t>Agriculture Ecosystems &amp; Environment</w:t>
      </w:r>
      <w:r w:rsidRPr="003338D7">
        <w:rPr>
          <w:rFonts w:asciiTheme="majorHAnsi" w:hAnsiTheme="majorHAnsi"/>
          <w:noProof/>
          <w:szCs w:val="22"/>
        </w:rPr>
        <w:t xml:space="preserve">, </w:t>
      </w:r>
      <w:r w:rsidRPr="003338D7">
        <w:rPr>
          <w:rFonts w:asciiTheme="majorHAnsi" w:hAnsiTheme="majorHAnsi"/>
          <w:i/>
          <w:iCs/>
          <w:noProof/>
          <w:szCs w:val="22"/>
        </w:rPr>
        <w:t>92</w:t>
      </w:r>
      <w:r w:rsidRPr="003338D7">
        <w:rPr>
          <w:rFonts w:asciiTheme="majorHAnsi" w:hAnsiTheme="majorHAnsi"/>
          <w:noProof/>
          <w:szCs w:val="22"/>
        </w:rPr>
        <w:t xml:space="preserve">(2), 171–183. </w:t>
      </w:r>
      <w:hyperlink r:id="rId707" w:history="1">
        <w:r w:rsidRPr="003338D7">
          <w:rPr>
            <w:rStyle w:val="Hyperlink"/>
            <w:rFonts w:asciiTheme="majorHAnsi" w:hAnsiTheme="majorHAnsi"/>
            <w:noProof/>
            <w:szCs w:val="22"/>
          </w:rPr>
          <w:t>http://doi.org/10.1016/S0167-8809(01)00298-5</w:t>
        </w:r>
      </w:hyperlink>
    </w:p>
    <w:p w14:paraId="00D3C26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Perry, L., Dickau, R., Zarrillo, S., Holst, I., Pearsall, D. M., Piperno, D. R., Berman, M. J., Cooke, R. G., Rademaker, K., Ranere, A. J., Raymond, J. S., Sandweiss, D. H., Scaramelli, F., Tarble, K., &amp; Zeidler, J. A. (2007). Starch fossils and the domestication and dispersal of chili peppers (</w:t>
      </w:r>
      <w:r w:rsidRPr="003338D7">
        <w:rPr>
          <w:rFonts w:asciiTheme="majorHAnsi" w:hAnsiTheme="majorHAnsi"/>
          <w:i/>
          <w:iCs/>
          <w:noProof/>
          <w:szCs w:val="22"/>
          <w:lang w:val="es-ES"/>
        </w:rPr>
        <w:t>Capsicum</w:t>
      </w:r>
      <w:r w:rsidRPr="003338D7">
        <w:rPr>
          <w:rFonts w:asciiTheme="majorHAnsi" w:hAnsiTheme="majorHAnsi"/>
          <w:noProof/>
          <w:szCs w:val="22"/>
          <w:lang w:val="es-ES"/>
        </w:rPr>
        <w:t xml:space="preserve"> spp. L.) in the Americas.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315</w:t>
      </w:r>
      <w:r w:rsidRPr="003338D7">
        <w:rPr>
          <w:rFonts w:asciiTheme="majorHAnsi" w:hAnsiTheme="majorHAnsi"/>
          <w:noProof/>
          <w:szCs w:val="22"/>
          <w:lang w:val="es-ES"/>
        </w:rPr>
        <w:t xml:space="preserve">(5814), 986–988. </w:t>
      </w:r>
      <w:hyperlink r:id="rId708" w:history="1">
        <w:r w:rsidRPr="003338D7">
          <w:rPr>
            <w:rStyle w:val="Hyperlink"/>
            <w:rFonts w:asciiTheme="majorHAnsi" w:hAnsiTheme="majorHAnsi"/>
            <w:noProof/>
            <w:szCs w:val="22"/>
            <w:lang w:val="es-ES"/>
          </w:rPr>
          <w:t>https://doi.org/10.1126/science.1136914</w:t>
        </w:r>
      </w:hyperlink>
    </w:p>
    <w:p w14:paraId="56D60CB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Perry, W. L., Feder, J. L., &amp; Lodge, D. M. (2001). Implications of hybridization between introduced and resident Orconectes crayfishes.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15</w:t>
      </w:r>
      <w:r w:rsidRPr="003338D7">
        <w:rPr>
          <w:rFonts w:asciiTheme="majorHAnsi" w:hAnsiTheme="majorHAnsi"/>
          <w:noProof/>
          <w:szCs w:val="22"/>
        </w:rPr>
        <w:t xml:space="preserve">(6), 1656–1666. </w:t>
      </w:r>
      <w:hyperlink r:id="rId709" w:history="1">
        <w:r w:rsidRPr="003338D7">
          <w:rPr>
            <w:rStyle w:val="Hyperlink"/>
            <w:rFonts w:asciiTheme="majorHAnsi" w:hAnsiTheme="majorHAnsi"/>
            <w:noProof/>
            <w:szCs w:val="22"/>
          </w:rPr>
          <w:t>http://doi.org/10.1046/j.1523-1739.2001.00019.x</w:t>
        </w:r>
      </w:hyperlink>
    </w:p>
    <w:p w14:paraId="6CB18DE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Petchey, O. L., &amp; Gaston, K. J. (2002). Functional diversity (FD), species richness and community composition. </w:t>
      </w:r>
      <w:r w:rsidRPr="003338D7">
        <w:rPr>
          <w:rFonts w:asciiTheme="majorHAnsi" w:hAnsiTheme="majorHAnsi"/>
          <w:i/>
          <w:iCs/>
          <w:noProof/>
          <w:szCs w:val="22"/>
        </w:rPr>
        <w:t>Ecology Letters</w:t>
      </w:r>
      <w:r w:rsidRPr="003338D7">
        <w:rPr>
          <w:rFonts w:asciiTheme="majorHAnsi" w:hAnsiTheme="majorHAnsi"/>
          <w:noProof/>
          <w:szCs w:val="22"/>
        </w:rPr>
        <w:t xml:space="preserve">, </w:t>
      </w:r>
      <w:r w:rsidRPr="003338D7">
        <w:rPr>
          <w:rFonts w:asciiTheme="majorHAnsi" w:hAnsiTheme="majorHAnsi"/>
          <w:i/>
          <w:iCs/>
          <w:noProof/>
          <w:szCs w:val="22"/>
        </w:rPr>
        <w:t>5</w:t>
      </w:r>
      <w:r w:rsidRPr="003338D7">
        <w:rPr>
          <w:rFonts w:asciiTheme="majorHAnsi" w:hAnsiTheme="majorHAnsi"/>
          <w:noProof/>
          <w:szCs w:val="22"/>
        </w:rPr>
        <w:t xml:space="preserve">(3), 402–411. </w:t>
      </w:r>
      <w:hyperlink r:id="rId710" w:history="1">
        <w:r w:rsidRPr="003338D7">
          <w:rPr>
            <w:rStyle w:val="Hyperlink"/>
            <w:rFonts w:asciiTheme="majorHAnsi" w:hAnsiTheme="majorHAnsi"/>
            <w:noProof/>
            <w:szCs w:val="22"/>
          </w:rPr>
          <w:t>http://doi.org/10.1046/j.1461-0248.2002.00339.x</w:t>
        </w:r>
      </w:hyperlink>
    </w:p>
    <w:p w14:paraId="729DFE0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Petermann, J. S., Fergus, A. J. F., Turnbull, L. A., &amp; Schmid, B. (2008). Janzen-Connell effects are widespread and strong enough to maintain diversity in grasslands. </w:t>
      </w:r>
      <w:r w:rsidRPr="003338D7">
        <w:rPr>
          <w:rFonts w:asciiTheme="majorHAnsi" w:hAnsiTheme="majorHAnsi"/>
          <w:i/>
          <w:iCs/>
          <w:noProof/>
          <w:szCs w:val="22"/>
        </w:rPr>
        <w:t>Ecology</w:t>
      </w:r>
      <w:r w:rsidRPr="003338D7">
        <w:rPr>
          <w:rFonts w:asciiTheme="majorHAnsi" w:hAnsiTheme="majorHAnsi"/>
          <w:noProof/>
          <w:szCs w:val="22"/>
        </w:rPr>
        <w:t xml:space="preserve">, </w:t>
      </w:r>
      <w:r w:rsidRPr="003338D7">
        <w:rPr>
          <w:rFonts w:asciiTheme="majorHAnsi" w:hAnsiTheme="majorHAnsi"/>
          <w:i/>
          <w:iCs/>
          <w:noProof/>
          <w:szCs w:val="22"/>
        </w:rPr>
        <w:t>89</w:t>
      </w:r>
      <w:r w:rsidRPr="003338D7">
        <w:rPr>
          <w:rFonts w:asciiTheme="majorHAnsi" w:hAnsiTheme="majorHAnsi"/>
          <w:noProof/>
          <w:szCs w:val="22"/>
        </w:rPr>
        <w:t xml:space="preserve">(9), 2399–2406. </w:t>
      </w:r>
      <w:hyperlink r:id="rId711" w:history="1">
        <w:r w:rsidRPr="003338D7">
          <w:rPr>
            <w:rStyle w:val="Hyperlink"/>
            <w:rFonts w:asciiTheme="majorHAnsi" w:hAnsiTheme="majorHAnsi"/>
            <w:noProof/>
            <w:szCs w:val="22"/>
          </w:rPr>
          <w:t>http://doi.org/10.1890/07-2056.1</w:t>
        </w:r>
      </w:hyperlink>
    </w:p>
    <w:p w14:paraId="32266EF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Peterson, D. W., &amp; Reich, P. B. (2001). Prescribed fire in oak savanna: fire frequency effects on stand structure and dynamics. </w:t>
      </w:r>
      <w:r w:rsidRPr="003338D7">
        <w:rPr>
          <w:rFonts w:asciiTheme="majorHAnsi" w:hAnsiTheme="majorHAnsi"/>
          <w:i/>
          <w:iCs/>
          <w:noProof/>
          <w:szCs w:val="22"/>
        </w:rPr>
        <w:t>Ecological Applications</w:t>
      </w:r>
      <w:r w:rsidRPr="003338D7">
        <w:rPr>
          <w:rFonts w:asciiTheme="majorHAnsi" w:hAnsiTheme="majorHAnsi"/>
          <w:noProof/>
          <w:szCs w:val="22"/>
        </w:rPr>
        <w:t xml:space="preserve">, </w:t>
      </w:r>
      <w:r w:rsidRPr="003338D7">
        <w:rPr>
          <w:rFonts w:asciiTheme="majorHAnsi" w:hAnsiTheme="majorHAnsi"/>
          <w:i/>
          <w:iCs/>
          <w:noProof/>
          <w:szCs w:val="22"/>
        </w:rPr>
        <w:t>11</w:t>
      </w:r>
      <w:r w:rsidRPr="003338D7">
        <w:rPr>
          <w:rFonts w:asciiTheme="majorHAnsi" w:hAnsiTheme="majorHAnsi"/>
          <w:noProof/>
          <w:szCs w:val="22"/>
        </w:rPr>
        <w:t xml:space="preserve">(3), 914–927. </w:t>
      </w:r>
      <w:hyperlink r:id="rId712" w:history="1">
        <w:r w:rsidRPr="003338D7">
          <w:rPr>
            <w:rStyle w:val="Hyperlink"/>
            <w:rFonts w:asciiTheme="majorHAnsi" w:hAnsiTheme="majorHAnsi"/>
            <w:noProof/>
            <w:szCs w:val="22"/>
          </w:rPr>
          <w:t>http://doi.org/10.1890/1051-0761(2001)011%5B0914:PFIOSF%5D2.0.CO;2</w:t>
        </w:r>
      </w:hyperlink>
    </w:p>
    <w:p w14:paraId="077BC44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Peterson, D. W., &amp; Reich, P. B. (2008). Fire frequency and tree canopy structure influence plant species diversity in a forest-grassland ecotone. </w:t>
      </w:r>
      <w:r w:rsidRPr="003338D7">
        <w:rPr>
          <w:rFonts w:asciiTheme="majorHAnsi" w:hAnsiTheme="majorHAnsi"/>
          <w:i/>
          <w:iCs/>
          <w:noProof/>
          <w:szCs w:val="22"/>
          <w:lang w:val="es-ES"/>
        </w:rPr>
        <w:t>Plant Ecology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194</w:t>
      </w:r>
      <w:r w:rsidRPr="003338D7">
        <w:rPr>
          <w:rFonts w:asciiTheme="majorHAnsi" w:hAnsiTheme="majorHAnsi"/>
          <w:noProof/>
          <w:szCs w:val="22"/>
          <w:lang w:val="es-ES"/>
        </w:rPr>
        <w:t xml:space="preserve">(1), 5–16. </w:t>
      </w:r>
      <w:hyperlink r:id="rId713" w:history="1">
        <w:r w:rsidRPr="003338D7">
          <w:rPr>
            <w:rStyle w:val="Hyperlink"/>
            <w:rFonts w:asciiTheme="majorHAnsi" w:hAnsiTheme="majorHAnsi"/>
            <w:noProof/>
            <w:szCs w:val="22"/>
            <w:lang w:val="es-ES"/>
          </w:rPr>
          <w:t>http://doi.org/10.1007/s11258-007-9270-4</w:t>
        </w:r>
      </w:hyperlink>
    </w:p>
    <w:p w14:paraId="3225F41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Petitpas, R., Ibarra, J. T., Miranda, M., &amp; Bonacic, C. (2016). </w:t>
      </w:r>
      <w:r w:rsidRPr="003338D7">
        <w:rPr>
          <w:rFonts w:asciiTheme="majorHAnsi" w:hAnsiTheme="majorHAnsi"/>
          <w:noProof/>
          <w:szCs w:val="22"/>
        </w:rPr>
        <w:t xml:space="preserve">Spatial patterns over a 24-year period show an increase in native vegetation cover and decreased fragmentation in Andean temperate landscapes, Chile. </w:t>
      </w:r>
      <w:r w:rsidRPr="003338D7">
        <w:rPr>
          <w:rFonts w:asciiTheme="majorHAnsi" w:hAnsiTheme="majorHAnsi"/>
          <w:i/>
          <w:iCs/>
          <w:noProof/>
          <w:szCs w:val="22"/>
          <w:lang w:val="es-ES"/>
        </w:rPr>
        <w:t>Ciencia E Investigación Agraria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43</w:t>
      </w:r>
      <w:r w:rsidRPr="003338D7">
        <w:rPr>
          <w:rFonts w:asciiTheme="majorHAnsi" w:hAnsiTheme="majorHAnsi"/>
          <w:noProof/>
          <w:szCs w:val="22"/>
          <w:lang w:val="es-ES"/>
        </w:rPr>
        <w:t xml:space="preserve">(3), 384–395. </w:t>
      </w:r>
      <w:hyperlink r:id="rId714" w:history="1">
        <w:r w:rsidRPr="003338D7">
          <w:rPr>
            <w:rStyle w:val="Hyperlink"/>
            <w:rFonts w:asciiTheme="majorHAnsi" w:hAnsiTheme="majorHAnsi"/>
            <w:noProof/>
            <w:szCs w:val="22"/>
            <w:lang w:val="es-ES"/>
          </w:rPr>
          <w:t>http://doi.org/10.4067/S0718-16202016000300005</w:t>
        </w:r>
      </w:hyperlink>
    </w:p>
    <w:p w14:paraId="751212C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Philpott, S. M., Arendt, W. J., Armbrecht, I., Bichier, P., Diestch, T. V., Gordon, C., Greenberg, R., Perfecto, I., Reynoso-Santos, R., Soto-Pinto, L., Tejeda-Cruz, C., Williams-Linera, G., Valenzuela, J., &amp; Zolotoff, J. M. (2008). Biodiversity loss in Latin American coffee landscapes: Review of the evidence on ants, birds, and trees. </w:t>
      </w:r>
      <w:r w:rsidRPr="003338D7">
        <w:rPr>
          <w:rFonts w:asciiTheme="majorHAnsi" w:hAnsiTheme="majorHAnsi"/>
          <w:i/>
          <w:iCs/>
          <w:noProof/>
          <w:szCs w:val="22"/>
          <w:lang w:val="es-ES"/>
        </w:rPr>
        <w:t>Conservation 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22</w:t>
      </w:r>
      <w:r w:rsidRPr="003338D7">
        <w:rPr>
          <w:rFonts w:asciiTheme="majorHAnsi" w:hAnsiTheme="majorHAnsi"/>
          <w:noProof/>
          <w:szCs w:val="22"/>
          <w:lang w:val="es-ES"/>
        </w:rPr>
        <w:t xml:space="preserve">(5), 1093–1105. </w:t>
      </w:r>
      <w:hyperlink r:id="rId715" w:history="1">
        <w:r w:rsidRPr="003338D7">
          <w:rPr>
            <w:rStyle w:val="Hyperlink"/>
            <w:rFonts w:asciiTheme="majorHAnsi" w:hAnsiTheme="majorHAnsi"/>
            <w:noProof/>
            <w:szCs w:val="22"/>
            <w:lang w:val="es-ES"/>
          </w:rPr>
          <w:t>https://doi.org/10.1111/j.1523-1739.2008.01029.x</w:t>
        </w:r>
      </w:hyperlink>
    </w:p>
    <w:p w14:paraId="5168841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pt-BR"/>
        </w:rPr>
      </w:pPr>
      <w:r w:rsidRPr="003338D7">
        <w:rPr>
          <w:rFonts w:asciiTheme="majorHAnsi" w:hAnsiTheme="majorHAnsi"/>
          <w:noProof/>
          <w:szCs w:val="22"/>
        </w:rPr>
        <w:t xml:space="preserve">Pimentel, D. (2002). </w:t>
      </w:r>
      <w:r w:rsidRPr="003338D7">
        <w:rPr>
          <w:rFonts w:asciiTheme="majorHAnsi" w:hAnsiTheme="majorHAnsi"/>
          <w:i/>
          <w:iCs/>
          <w:noProof/>
          <w:szCs w:val="22"/>
        </w:rPr>
        <w:t>Biological Invasions – Economic and Environmental Costs of Alien Plant, Animal, and Microbe Species</w:t>
      </w:r>
      <w:r w:rsidRPr="003338D7">
        <w:rPr>
          <w:rFonts w:asciiTheme="majorHAnsi" w:hAnsiTheme="majorHAnsi"/>
          <w:noProof/>
          <w:szCs w:val="22"/>
        </w:rPr>
        <w:t xml:space="preserve">. </w:t>
      </w:r>
      <w:r w:rsidRPr="003338D7">
        <w:rPr>
          <w:rFonts w:asciiTheme="majorHAnsi" w:hAnsiTheme="majorHAnsi"/>
          <w:noProof/>
          <w:szCs w:val="22"/>
          <w:lang w:val="pt-BR"/>
        </w:rPr>
        <w:t>(D. Pimentel, Ed.). Boca Raton, USA: CRC Press.</w:t>
      </w:r>
    </w:p>
    <w:p w14:paraId="31A0279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pt-BR"/>
        </w:rPr>
        <w:t xml:space="preserve">Pimentel, D., Zuniga, R., &amp; Morrison, D. (2005). </w:t>
      </w:r>
      <w:r w:rsidRPr="003338D7">
        <w:rPr>
          <w:rFonts w:asciiTheme="majorHAnsi" w:hAnsiTheme="majorHAnsi"/>
          <w:noProof/>
          <w:szCs w:val="22"/>
        </w:rPr>
        <w:t xml:space="preserve">Update on the environmental and economic costs associated with alien-invasive species in the United States. </w:t>
      </w:r>
      <w:r w:rsidRPr="003338D7">
        <w:rPr>
          <w:rFonts w:asciiTheme="majorHAnsi" w:hAnsiTheme="majorHAnsi"/>
          <w:i/>
          <w:iCs/>
          <w:noProof/>
          <w:szCs w:val="22"/>
        </w:rPr>
        <w:t>Ecological Economics</w:t>
      </w:r>
      <w:r w:rsidRPr="003338D7">
        <w:rPr>
          <w:rFonts w:asciiTheme="majorHAnsi" w:hAnsiTheme="majorHAnsi"/>
          <w:noProof/>
          <w:szCs w:val="22"/>
        </w:rPr>
        <w:t xml:space="preserve">, </w:t>
      </w:r>
      <w:r w:rsidRPr="003338D7">
        <w:rPr>
          <w:rFonts w:asciiTheme="majorHAnsi" w:hAnsiTheme="majorHAnsi"/>
          <w:i/>
          <w:iCs/>
          <w:noProof/>
          <w:szCs w:val="22"/>
        </w:rPr>
        <w:t>52</w:t>
      </w:r>
      <w:r w:rsidRPr="003338D7">
        <w:rPr>
          <w:rFonts w:asciiTheme="majorHAnsi" w:hAnsiTheme="majorHAnsi"/>
          <w:noProof/>
          <w:szCs w:val="22"/>
        </w:rPr>
        <w:t xml:space="preserve">(3), 273–288. </w:t>
      </w:r>
      <w:hyperlink r:id="rId716" w:history="1">
        <w:r w:rsidRPr="003338D7">
          <w:rPr>
            <w:rStyle w:val="Hyperlink"/>
            <w:rFonts w:asciiTheme="majorHAnsi" w:hAnsiTheme="majorHAnsi"/>
            <w:noProof/>
            <w:szCs w:val="22"/>
          </w:rPr>
          <w:t>http://doi.org/10.1016/j.ecolecon.2004.10.002</w:t>
        </w:r>
      </w:hyperlink>
    </w:p>
    <w:p w14:paraId="681CBA4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Pimm, S. L., Jones, H. L., &amp; Diamond, J. (1988). On the risk of extinction. </w:t>
      </w:r>
      <w:r w:rsidRPr="003338D7">
        <w:rPr>
          <w:rFonts w:asciiTheme="majorHAnsi" w:hAnsiTheme="majorHAnsi"/>
          <w:i/>
          <w:iCs/>
          <w:noProof/>
          <w:szCs w:val="22"/>
        </w:rPr>
        <w:t>The American Naturalist</w:t>
      </w:r>
      <w:r w:rsidRPr="003338D7">
        <w:rPr>
          <w:rFonts w:asciiTheme="majorHAnsi" w:hAnsiTheme="majorHAnsi"/>
          <w:noProof/>
          <w:szCs w:val="22"/>
        </w:rPr>
        <w:t xml:space="preserve">, </w:t>
      </w:r>
      <w:r w:rsidRPr="003338D7">
        <w:rPr>
          <w:rFonts w:asciiTheme="majorHAnsi" w:hAnsiTheme="majorHAnsi"/>
          <w:i/>
          <w:iCs/>
          <w:noProof/>
          <w:szCs w:val="22"/>
        </w:rPr>
        <w:t>132</w:t>
      </w:r>
      <w:r w:rsidRPr="003338D7">
        <w:rPr>
          <w:rFonts w:asciiTheme="majorHAnsi" w:hAnsiTheme="majorHAnsi"/>
          <w:noProof/>
          <w:szCs w:val="22"/>
        </w:rPr>
        <w:t xml:space="preserve">(6), 757–785. </w:t>
      </w:r>
      <w:hyperlink r:id="rId717" w:history="1">
        <w:r w:rsidRPr="003338D7">
          <w:rPr>
            <w:rStyle w:val="Hyperlink"/>
            <w:rFonts w:asciiTheme="majorHAnsi" w:hAnsiTheme="majorHAnsi"/>
            <w:noProof/>
            <w:szCs w:val="22"/>
          </w:rPr>
          <w:t>http://doi.org/10.1086/284889</w:t>
        </w:r>
      </w:hyperlink>
    </w:p>
    <w:p w14:paraId="312231F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Pincetl, S., Watt, T., &amp; Santos, M. J. (2016). Land use regulation for resource conservation. In H. Mooney &amp; E. Zavaleta (Eds.), </w:t>
      </w:r>
      <w:r w:rsidRPr="003338D7">
        <w:rPr>
          <w:rFonts w:asciiTheme="majorHAnsi" w:hAnsiTheme="majorHAnsi"/>
          <w:i/>
          <w:iCs/>
          <w:noProof/>
          <w:szCs w:val="22"/>
        </w:rPr>
        <w:t>Ecosystem of California</w:t>
      </w:r>
      <w:r w:rsidRPr="003338D7">
        <w:rPr>
          <w:rFonts w:asciiTheme="majorHAnsi" w:hAnsiTheme="majorHAnsi"/>
          <w:noProof/>
          <w:szCs w:val="22"/>
        </w:rPr>
        <w:t xml:space="preserve"> (pp. 899–924). Oakland, USA: University of California Press.</w:t>
      </w:r>
    </w:p>
    <w:p w14:paraId="07E4CA1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Pincheira-Donoso, D., Harvey, L. P., &amp; Ruta, M. (2015). What defines an adaptive radiation? Macroevolutionary diversification dynamics of an exceptionally species-rich continental lizard radiation. </w:t>
      </w:r>
      <w:r w:rsidRPr="003338D7">
        <w:rPr>
          <w:rFonts w:asciiTheme="majorHAnsi" w:hAnsiTheme="majorHAnsi"/>
          <w:i/>
          <w:iCs/>
          <w:noProof/>
          <w:szCs w:val="22"/>
        </w:rPr>
        <w:t>BMC Evolutionary Biology</w:t>
      </w:r>
      <w:r w:rsidRPr="003338D7">
        <w:rPr>
          <w:rFonts w:asciiTheme="majorHAnsi" w:hAnsiTheme="majorHAnsi"/>
          <w:noProof/>
          <w:szCs w:val="22"/>
        </w:rPr>
        <w:t xml:space="preserve">, </w:t>
      </w:r>
      <w:r w:rsidRPr="003338D7">
        <w:rPr>
          <w:rFonts w:asciiTheme="majorHAnsi" w:hAnsiTheme="majorHAnsi"/>
          <w:i/>
          <w:iCs/>
          <w:noProof/>
          <w:szCs w:val="22"/>
        </w:rPr>
        <w:t>15</w:t>
      </w:r>
      <w:r w:rsidRPr="003338D7">
        <w:rPr>
          <w:rFonts w:asciiTheme="majorHAnsi" w:hAnsiTheme="majorHAnsi"/>
          <w:noProof/>
          <w:szCs w:val="22"/>
        </w:rPr>
        <w:t xml:space="preserve">(1), 153. </w:t>
      </w:r>
      <w:hyperlink r:id="rId718" w:history="1">
        <w:r w:rsidRPr="003338D7">
          <w:rPr>
            <w:rStyle w:val="Hyperlink"/>
            <w:rFonts w:asciiTheme="majorHAnsi" w:hAnsiTheme="majorHAnsi"/>
            <w:noProof/>
            <w:szCs w:val="22"/>
          </w:rPr>
          <w:t>http://doi.org/10.1186/s12862-015-0435-9</w:t>
        </w:r>
      </w:hyperlink>
    </w:p>
    <w:p w14:paraId="6F28E47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Pinsky, M. L., Worm, B., Fogarty, M. J., Sarmiento, J. L., &amp; Levin, S. A. (2013). Marine taxa track local climate velocities.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341</w:t>
      </w:r>
      <w:r w:rsidRPr="003338D7">
        <w:rPr>
          <w:rFonts w:asciiTheme="majorHAnsi" w:hAnsiTheme="majorHAnsi"/>
          <w:noProof/>
          <w:szCs w:val="22"/>
        </w:rPr>
        <w:t xml:space="preserve">(6151), 1239–1242. </w:t>
      </w:r>
      <w:hyperlink r:id="rId719" w:history="1">
        <w:r w:rsidRPr="003338D7">
          <w:rPr>
            <w:rStyle w:val="Hyperlink"/>
            <w:rFonts w:asciiTheme="majorHAnsi" w:hAnsiTheme="majorHAnsi"/>
            <w:noProof/>
            <w:szCs w:val="22"/>
          </w:rPr>
          <w:t>http://doi.org/10.1126/science.1239352</w:t>
        </w:r>
      </w:hyperlink>
    </w:p>
    <w:p w14:paraId="0ED261F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Piñeiro, G., Paruelo, J. M., &amp; Oesterheld, M. (2006). </w:t>
      </w:r>
      <w:r w:rsidRPr="003338D7">
        <w:rPr>
          <w:rFonts w:asciiTheme="majorHAnsi" w:hAnsiTheme="majorHAnsi"/>
          <w:noProof/>
          <w:szCs w:val="22"/>
        </w:rPr>
        <w:t xml:space="preserve">Potential long-term impacts of livestock introduction on carbon and nitrogen cycling in grasslands of southern South America. </w:t>
      </w:r>
      <w:r w:rsidRPr="003338D7">
        <w:rPr>
          <w:rFonts w:asciiTheme="majorHAnsi" w:hAnsiTheme="majorHAnsi"/>
          <w:i/>
          <w:iCs/>
          <w:noProof/>
          <w:szCs w:val="22"/>
        </w:rPr>
        <w:t>Global Change Biology</w:t>
      </w:r>
      <w:r w:rsidRPr="003338D7">
        <w:rPr>
          <w:rFonts w:asciiTheme="majorHAnsi" w:hAnsiTheme="majorHAnsi"/>
          <w:noProof/>
          <w:szCs w:val="22"/>
        </w:rPr>
        <w:t xml:space="preserve">, </w:t>
      </w:r>
      <w:r w:rsidRPr="003338D7">
        <w:rPr>
          <w:rFonts w:asciiTheme="majorHAnsi" w:hAnsiTheme="majorHAnsi"/>
          <w:i/>
          <w:iCs/>
          <w:noProof/>
          <w:szCs w:val="22"/>
        </w:rPr>
        <w:t>12</w:t>
      </w:r>
      <w:r w:rsidRPr="003338D7">
        <w:rPr>
          <w:rFonts w:asciiTheme="majorHAnsi" w:hAnsiTheme="majorHAnsi"/>
          <w:noProof/>
          <w:szCs w:val="22"/>
        </w:rPr>
        <w:t xml:space="preserve">(7), 1267–1284. </w:t>
      </w:r>
      <w:hyperlink r:id="rId720" w:history="1">
        <w:r w:rsidRPr="003338D7">
          <w:rPr>
            <w:rStyle w:val="Hyperlink"/>
            <w:rFonts w:asciiTheme="majorHAnsi" w:hAnsiTheme="majorHAnsi"/>
            <w:noProof/>
            <w:szCs w:val="22"/>
          </w:rPr>
          <w:t>http://doi.org/10.1111/j.1365-2486.2006.01173.x</w:t>
        </w:r>
      </w:hyperlink>
    </w:p>
    <w:p w14:paraId="3805BA9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Piovia-Scott, J., Pope, K., Worth, S. J., Rosenblum, E. B., Poorten, T., Refsnider, J., … Foley, J. (2015). Correlates of virulence in a frog-killing fungal pathogen: evidence from a California amphibian decline. </w:t>
      </w:r>
      <w:r w:rsidRPr="003338D7">
        <w:rPr>
          <w:rFonts w:asciiTheme="majorHAnsi" w:hAnsiTheme="majorHAnsi"/>
          <w:i/>
          <w:iCs/>
          <w:noProof/>
          <w:szCs w:val="22"/>
        </w:rPr>
        <w:t>The ISME Journal</w:t>
      </w:r>
      <w:r w:rsidRPr="003338D7">
        <w:rPr>
          <w:rFonts w:asciiTheme="majorHAnsi" w:hAnsiTheme="majorHAnsi"/>
          <w:noProof/>
          <w:szCs w:val="22"/>
        </w:rPr>
        <w:t xml:space="preserve">, </w:t>
      </w:r>
      <w:r w:rsidRPr="003338D7">
        <w:rPr>
          <w:rFonts w:asciiTheme="majorHAnsi" w:hAnsiTheme="majorHAnsi"/>
          <w:i/>
          <w:iCs/>
          <w:noProof/>
          <w:szCs w:val="22"/>
        </w:rPr>
        <w:t>9</w:t>
      </w:r>
      <w:r w:rsidRPr="003338D7">
        <w:rPr>
          <w:rFonts w:asciiTheme="majorHAnsi" w:hAnsiTheme="majorHAnsi"/>
          <w:noProof/>
          <w:szCs w:val="22"/>
        </w:rPr>
        <w:t xml:space="preserve">(7), 1570–1578. </w:t>
      </w:r>
      <w:hyperlink r:id="rId721" w:history="1">
        <w:r w:rsidRPr="003338D7">
          <w:rPr>
            <w:rStyle w:val="Hyperlink"/>
            <w:rFonts w:asciiTheme="majorHAnsi" w:hAnsiTheme="majorHAnsi"/>
            <w:noProof/>
            <w:szCs w:val="22"/>
          </w:rPr>
          <w:t>http://doi.org/10.1038/ismej.2014.241</w:t>
        </w:r>
      </w:hyperlink>
    </w:p>
    <w:p w14:paraId="4ED5107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Pizano, C., Barón, A. F., Schuur, E. A. G., Crummer, K. G., &amp; Mack, M. C. (2014). Effects of thermo-erosional disturbance on surface soil carbon and nitrogen dynamics in upland arctic tundra. </w:t>
      </w:r>
      <w:r w:rsidRPr="003338D7">
        <w:rPr>
          <w:rFonts w:asciiTheme="majorHAnsi" w:hAnsiTheme="majorHAnsi"/>
          <w:i/>
          <w:iCs/>
          <w:noProof/>
          <w:szCs w:val="22"/>
        </w:rPr>
        <w:t>Environmental Research Letters</w:t>
      </w:r>
      <w:r w:rsidRPr="003338D7">
        <w:rPr>
          <w:rFonts w:asciiTheme="majorHAnsi" w:hAnsiTheme="majorHAnsi"/>
          <w:noProof/>
          <w:szCs w:val="22"/>
        </w:rPr>
        <w:t xml:space="preserve">, </w:t>
      </w:r>
      <w:r w:rsidRPr="003338D7">
        <w:rPr>
          <w:rFonts w:asciiTheme="majorHAnsi" w:hAnsiTheme="majorHAnsi"/>
          <w:i/>
          <w:iCs/>
          <w:noProof/>
          <w:szCs w:val="22"/>
        </w:rPr>
        <w:t>9</w:t>
      </w:r>
      <w:r w:rsidRPr="003338D7">
        <w:rPr>
          <w:rFonts w:asciiTheme="majorHAnsi" w:hAnsiTheme="majorHAnsi"/>
          <w:noProof/>
          <w:szCs w:val="22"/>
        </w:rPr>
        <w:t xml:space="preserve">(7), 75006. </w:t>
      </w:r>
      <w:hyperlink r:id="rId722" w:history="1">
        <w:r w:rsidRPr="003338D7">
          <w:rPr>
            <w:rStyle w:val="Hyperlink"/>
            <w:rFonts w:asciiTheme="majorHAnsi" w:hAnsiTheme="majorHAnsi"/>
            <w:noProof/>
            <w:szCs w:val="22"/>
          </w:rPr>
          <w:t>http://doi.org/10.1088/1748-9326/9/7/075006</w:t>
        </w:r>
      </w:hyperlink>
    </w:p>
    <w:p w14:paraId="5EE5B9F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Pizano, C., &amp; García, H. (2014). </w:t>
      </w:r>
      <w:r w:rsidRPr="003338D7">
        <w:rPr>
          <w:rFonts w:asciiTheme="majorHAnsi" w:hAnsiTheme="majorHAnsi"/>
          <w:i/>
          <w:iCs/>
          <w:noProof/>
          <w:szCs w:val="22"/>
          <w:lang w:val="es-ES"/>
        </w:rPr>
        <w:t>El Bosque Seco Tropical de Colombia</w:t>
      </w:r>
      <w:r w:rsidRPr="003338D7">
        <w:rPr>
          <w:rFonts w:asciiTheme="majorHAnsi" w:hAnsiTheme="majorHAnsi"/>
          <w:noProof/>
          <w:szCs w:val="22"/>
          <w:lang w:val="es-ES"/>
        </w:rPr>
        <w:t>. Bogota, D.C.: Instituto de Recursos Biológicos Alexander Von Humboldt.</w:t>
      </w:r>
    </w:p>
    <w:p w14:paraId="2E1C019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Pizarro Tapia, R., M., Tapia Cornejo, M., Román Arellano, L., Jordán Díaz, C., &amp; Farías Daza, C. (2006). Coeficientes de escorrentía instantáneos para la cuenca del río Tutuvén, VII Región del Maule, Chile. </w:t>
      </w:r>
      <w:r w:rsidRPr="003338D7">
        <w:rPr>
          <w:rFonts w:asciiTheme="majorHAnsi" w:hAnsiTheme="majorHAnsi"/>
          <w:i/>
          <w:iCs/>
          <w:noProof/>
          <w:szCs w:val="22"/>
        </w:rPr>
        <w:t>Bosque</w:t>
      </w:r>
      <w:r w:rsidRPr="003338D7">
        <w:rPr>
          <w:rFonts w:asciiTheme="majorHAnsi" w:hAnsiTheme="majorHAnsi"/>
          <w:noProof/>
          <w:szCs w:val="22"/>
        </w:rPr>
        <w:t xml:space="preserve">, </w:t>
      </w:r>
      <w:r w:rsidRPr="003338D7">
        <w:rPr>
          <w:rFonts w:asciiTheme="majorHAnsi" w:hAnsiTheme="majorHAnsi"/>
          <w:i/>
          <w:iCs/>
          <w:noProof/>
          <w:szCs w:val="22"/>
        </w:rPr>
        <w:t>27</w:t>
      </w:r>
      <w:r w:rsidRPr="003338D7">
        <w:rPr>
          <w:rFonts w:asciiTheme="majorHAnsi" w:hAnsiTheme="majorHAnsi"/>
          <w:noProof/>
          <w:szCs w:val="22"/>
        </w:rPr>
        <w:t>(2), 83–91.</w:t>
      </w:r>
    </w:p>
    <w:p w14:paraId="0374BA1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fr-CA"/>
        </w:rPr>
      </w:pPr>
      <w:r w:rsidRPr="003338D7">
        <w:rPr>
          <w:rFonts w:asciiTheme="majorHAnsi" w:hAnsiTheme="majorHAnsi"/>
          <w:noProof/>
          <w:szCs w:val="22"/>
        </w:rPr>
        <w:t xml:space="preserve">Pliscoff, P., &amp; Fuentes-Castillo, T. (2011). Representativeness of terrestrial ecosystems in Chile’s protected area system. </w:t>
      </w:r>
      <w:r w:rsidRPr="003338D7">
        <w:rPr>
          <w:rFonts w:asciiTheme="majorHAnsi" w:hAnsiTheme="majorHAnsi"/>
          <w:i/>
          <w:iCs/>
          <w:noProof/>
          <w:szCs w:val="22"/>
          <w:lang w:val="fr-CA"/>
        </w:rPr>
        <w:t>Environmental Conservation</w:t>
      </w:r>
      <w:r w:rsidRPr="003338D7">
        <w:rPr>
          <w:rFonts w:asciiTheme="majorHAnsi" w:hAnsiTheme="majorHAnsi"/>
          <w:noProof/>
          <w:szCs w:val="22"/>
          <w:lang w:val="fr-CA"/>
        </w:rPr>
        <w:t xml:space="preserve">, </w:t>
      </w:r>
      <w:r w:rsidRPr="003338D7">
        <w:rPr>
          <w:rFonts w:asciiTheme="majorHAnsi" w:hAnsiTheme="majorHAnsi"/>
          <w:i/>
          <w:iCs/>
          <w:noProof/>
          <w:szCs w:val="22"/>
          <w:lang w:val="fr-CA"/>
        </w:rPr>
        <w:t>38</w:t>
      </w:r>
      <w:r w:rsidRPr="003338D7">
        <w:rPr>
          <w:rFonts w:asciiTheme="majorHAnsi" w:hAnsiTheme="majorHAnsi"/>
          <w:noProof/>
          <w:szCs w:val="22"/>
          <w:lang w:val="fr-CA"/>
        </w:rPr>
        <w:t xml:space="preserve">(3), 303–311. </w:t>
      </w:r>
      <w:hyperlink r:id="rId723" w:history="1">
        <w:r w:rsidRPr="003338D7">
          <w:rPr>
            <w:rStyle w:val="Hyperlink"/>
            <w:rFonts w:asciiTheme="majorHAnsi" w:hAnsiTheme="majorHAnsi"/>
            <w:noProof/>
            <w:szCs w:val="22"/>
            <w:lang w:val="fr-CA"/>
          </w:rPr>
          <w:t>http://doi.org/10.1017/S0376892911000208</w:t>
        </w:r>
      </w:hyperlink>
    </w:p>
    <w:p w14:paraId="3013065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fr-CA"/>
        </w:rPr>
      </w:pPr>
      <w:r w:rsidRPr="003338D7">
        <w:rPr>
          <w:rFonts w:asciiTheme="majorHAnsi" w:hAnsiTheme="majorHAnsi"/>
          <w:noProof/>
          <w:szCs w:val="22"/>
          <w:lang w:val="fr-CA"/>
        </w:rPr>
        <w:t xml:space="preserve">Poeplau, C., &amp; Don, A. (2015). </w:t>
      </w:r>
      <w:r w:rsidRPr="003338D7">
        <w:rPr>
          <w:rFonts w:asciiTheme="majorHAnsi" w:hAnsiTheme="majorHAnsi"/>
          <w:noProof/>
          <w:szCs w:val="22"/>
        </w:rPr>
        <w:t xml:space="preserve">Carbon sequestration in agricultural soils via cultivation of cover crops – A meta-analysis. </w:t>
      </w:r>
      <w:r w:rsidRPr="003338D7">
        <w:rPr>
          <w:rFonts w:asciiTheme="majorHAnsi" w:hAnsiTheme="majorHAnsi"/>
          <w:i/>
          <w:iCs/>
          <w:noProof/>
          <w:szCs w:val="22"/>
          <w:lang w:val="fr-CA"/>
        </w:rPr>
        <w:t>Agriculture Ecosystems &amp; Environment</w:t>
      </w:r>
      <w:r w:rsidRPr="003338D7">
        <w:rPr>
          <w:rFonts w:asciiTheme="majorHAnsi" w:hAnsiTheme="majorHAnsi"/>
          <w:noProof/>
          <w:szCs w:val="22"/>
          <w:lang w:val="fr-CA"/>
        </w:rPr>
        <w:t xml:space="preserve">, </w:t>
      </w:r>
      <w:r w:rsidRPr="003338D7">
        <w:rPr>
          <w:rFonts w:asciiTheme="majorHAnsi" w:hAnsiTheme="majorHAnsi"/>
          <w:i/>
          <w:iCs/>
          <w:noProof/>
          <w:szCs w:val="22"/>
          <w:lang w:val="fr-CA"/>
        </w:rPr>
        <w:t>200</w:t>
      </w:r>
      <w:r w:rsidRPr="003338D7">
        <w:rPr>
          <w:rFonts w:asciiTheme="majorHAnsi" w:hAnsiTheme="majorHAnsi"/>
          <w:noProof/>
          <w:szCs w:val="22"/>
          <w:lang w:val="fr-CA"/>
        </w:rPr>
        <w:t xml:space="preserve">, 33–41. </w:t>
      </w:r>
      <w:hyperlink r:id="rId724" w:history="1">
        <w:r w:rsidRPr="003338D7">
          <w:rPr>
            <w:rStyle w:val="Hyperlink"/>
            <w:rFonts w:asciiTheme="majorHAnsi" w:hAnsiTheme="majorHAnsi"/>
            <w:noProof/>
            <w:szCs w:val="22"/>
            <w:lang w:val="fr-CA"/>
          </w:rPr>
          <w:t>http://doi.org/10.1016/j.agee.2014.10.024</w:t>
        </w:r>
      </w:hyperlink>
    </w:p>
    <w:p w14:paraId="64E68A6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Polidoro, B. A., Carpenter, K. E., Collins, L., Duke, N. C., Ellison, A. M., Ellison, J. C., Farnsworth, E. J., Fernando, E. S., Kathiresan, K., Koedam, N. E., Livingstone, S. R., Miyagi, T., Moore, G. E., Vien, N. N., Ong, J. E., Primavera, J. H., Salmo III, S. G., Sanciangco, J. C., Sukardjo, S., Wang, Y., &amp; Yong, J. W. H. (2010). The loss of species: mangrove extinction risk and geographic areas of global concern.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w:t>
      </w:r>
      <w:r w:rsidRPr="003338D7">
        <w:rPr>
          <w:rFonts w:asciiTheme="majorHAnsi" w:hAnsiTheme="majorHAnsi"/>
          <w:noProof/>
          <w:szCs w:val="22"/>
          <w:lang w:val="es-ES"/>
        </w:rPr>
        <w:t xml:space="preserve">(4), e10095. </w:t>
      </w:r>
      <w:hyperlink r:id="rId725" w:history="1">
        <w:r w:rsidRPr="003338D7">
          <w:rPr>
            <w:rStyle w:val="Hyperlink"/>
            <w:rFonts w:asciiTheme="majorHAnsi" w:hAnsiTheme="majorHAnsi"/>
            <w:noProof/>
            <w:szCs w:val="22"/>
            <w:lang w:val="es-ES"/>
          </w:rPr>
          <w:t>https://doi.org/10.1371/journal.pone.0010095</w:t>
        </w:r>
      </w:hyperlink>
    </w:p>
    <w:p w14:paraId="7B593D2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Poloczanska, E. S., Brown, C. J., Sydeman, W. J., Kiessling, W., Schoeman, D. S., Moore, P. J., Brander, K., Bruno, J. F., Buckley, L. B., Burrows, M. T., Duarte, C. M., Halpern, B. S., Holding, J., Kappel, C. . V., O’Connor, M. I., Pandolfi, J. M., Parmesan, C., Schwing, F. B., Thompson, R. C., &amp; Richardson, A. J. (2013). Global imprint of climate change on marine life. </w:t>
      </w:r>
      <w:r w:rsidRPr="003338D7">
        <w:rPr>
          <w:rFonts w:asciiTheme="majorHAnsi" w:hAnsiTheme="majorHAnsi"/>
          <w:i/>
          <w:iCs/>
          <w:noProof/>
          <w:szCs w:val="22"/>
          <w:lang w:val="es-ES"/>
        </w:rPr>
        <w:t>Nature Climate Change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w:t>
      </w:r>
      <w:r w:rsidRPr="003338D7">
        <w:rPr>
          <w:rFonts w:asciiTheme="majorHAnsi" w:hAnsiTheme="majorHAnsi"/>
          <w:noProof/>
          <w:szCs w:val="22"/>
          <w:lang w:val="es-ES"/>
        </w:rPr>
        <w:t xml:space="preserve">(10), 919–925. </w:t>
      </w:r>
      <w:hyperlink r:id="rId726" w:history="1">
        <w:r w:rsidRPr="003338D7">
          <w:rPr>
            <w:rStyle w:val="Hyperlink"/>
            <w:rFonts w:asciiTheme="majorHAnsi" w:hAnsiTheme="majorHAnsi"/>
            <w:noProof/>
            <w:szCs w:val="22"/>
            <w:lang w:val="es-ES"/>
          </w:rPr>
          <w:t>https://doi.org/10.1038/Nclimate1958</w:t>
        </w:r>
      </w:hyperlink>
    </w:p>
    <w:p w14:paraId="298B0A6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Portela, S. I., Andriulo, A. E., Jobbágy, E. G., &amp; Sasal, M. C. (2009). Water and nitrate exchange between cultivated ecosystems and groundwater in the Rolling Pampas. </w:t>
      </w:r>
      <w:r w:rsidRPr="003338D7">
        <w:rPr>
          <w:rFonts w:asciiTheme="majorHAnsi" w:hAnsiTheme="majorHAnsi"/>
          <w:i/>
          <w:iCs/>
          <w:noProof/>
          <w:szCs w:val="22"/>
        </w:rPr>
        <w:t>Agriculture, Ecosystems and Environment</w:t>
      </w:r>
      <w:r w:rsidRPr="003338D7">
        <w:rPr>
          <w:rFonts w:asciiTheme="majorHAnsi" w:hAnsiTheme="majorHAnsi"/>
          <w:noProof/>
          <w:szCs w:val="22"/>
        </w:rPr>
        <w:t xml:space="preserve">, </w:t>
      </w:r>
      <w:r w:rsidRPr="003338D7">
        <w:rPr>
          <w:rFonts w:asciiTheme="majorHAnsi" w:hAnsiTheme="majorHAnsi"/>
          <w:i/>
          <w:iCs/>
          <w:noProof/>
          <w:szCs w:val="22"/>
        </w:rPr>
        <w:t>134</w:t>
      </w:r>
      <w:r w:rsidRPr="003338D7">
        <w:rPr>
          <w:rFonts w:asciiTheme="majorHAnsi" w:hAnsiTheme="majorHAnsi"/>
          <w:noProof/>
          <w:szCs w:val="22"/>
        </w:rPr>
        <w:t xml:space="preserve">(3–4), 277–286. </w:t>
      </w:r>
      <w:hyperlink r:id="rId727" w:history="1">
        <w:r w:rsidRPr="003338D7">
          <w:rPr>
            <w:rStyle w:val="Hyperlink"/>
            <w:rFonts w:asciiTheme="majorHAnsi" w:hAnsiTheme="majorHAnsi"/>
            <w:noProof/>
            <w:szCs w:val="22"/>
          </w:rPr>
          <w:t>http://doi.org/10.1016/j.agee.2009.08.001</w:t>
        </w:r>
      </w:hyperlink>
    </w:p>
    <w:p w14:paraId="561B158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Portela, S. I., Andriulo, A. E., Sasal, M. C., Mary, B., &amp; Jobbágy, E. G. (2006). Fertilizer vs. organic matter contributions to nitrogen leaching in cropping systems of the Pampas: 15N application in field lysimeters. </w:t>
      </w:r>
      <w:r w:rsidRPr="003338D7">
        <w:rPr>
          <w:rFonts w:asciiTheme="majorHAnsi" w:hAnsiTheme="majorHAnsi"/>
          <w:i/>
          <w:iCs/>
          <w:noProof/>
          <w:szCs w:val="22"/>
        </w:rPr>
        <w:t>Plant and Soil</w:t>
      </w:r>
      <w:r w:rsidRPr="003338D7">
        <w:rPr>
          <w:rFonts w:asciiTheme="majorHAnsi" w:hAnsiTheme="majorHAnsi"/>
          <w:noProof/>
          <w:szCs w:val="22"/>
        </w:rPr>
        <w:t xml:space="preserve">, </w:t>
      </w:r>
      <w:r w:rsidRPr="003338D7">
        <w:rPr>
          <w:rFonts w:asciiTheme="majorHAnsi" w:hAnsiTheme="majorHAnsi"/>
          <w:i/>
          <w:iCs/>
          <w:noProof/>
          <w:szCs w:val="22"/>
        </w:rPr>
        <w:t>289</w:t>
      </w:r>
      <w:r w:rsidRPr="003338D7">
        <w:rPr>
          <w:rFonts w:asciiTheme="majorHAnsi" w:hAnsiTheme="majorHAnsi"/>
          <w:noProof/>
          <w:szCs w:val="22"/>
        </w:rPr>
        <w:t xml:space="preserve">(1–2), 265–277. </w:t>
      </w:r>
      <w:hyperlink r:id="rId728" w:history="1">
        <w:r w:rsidRPr="003338D7">
          <w:rPr>
            <w:rStyle w:val="Hyperlink"/>
            <w:rFonts w:asciiTheme="majorHAnsi" w:hAnsiTheme="majorHAnsi"/>
            <w:noProof/>
            <w:szCs w:val="22"/>
          </w:rPr>
          <w:t>http://doi.org/10.1007/s11104-006-9134-z</w:t>
        </w:r>
      </w:hyperlink>
    </w:p>
    <w:p w14:paraId="68154BB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Portillo-Quintero, C. A., &amp; Sánchez-Azofeifa, G. A. (2010). Extent and conservation of tropical dry forests in the Americas.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143</w:t>
      </w:r>
      <w:r w:rsidRPr="003338D7">
        <w:rPr>
          <w:rFonts w:asciiTheme="majorHAnsi" w:hAnsiTheme="majorHAnsi"/>
          <w:noProof/>
          <w:szCs w:val="22"/>
        </w:rPr>
        <w:t xml:space="preserve">(1), 144–155. </w:t>
      </w:r>
      <w:hyperlink r:id="rId729" w:history="1">
        <w:r w:rsidRPr="003338D7">
          <w:rPr>
            <w:rStyle w:val="Hyperlink"/>
            <w:rFonts w:asciiTheme="majorHAnsi" w:hAnsiTheme="majorHAnsi"/>
            <w:noProof/>
            <w:szCs w:val="22"/>
          </w:rPr>
          <w:t>http://doi.org/10.1016/j.biocon.2009.09.020</w:t>
        </w:r>
      </w:hyperlink>
    </w:p>
    <w:p w14:paraId="1406480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Posey, D. A. (1999). </w:t>
      </w:r>
      <w:r w:rsidRPr="003338D7">
        <w:rPr>
          <w:rFonts w:asciiTheme="majorHAnsi" w:hAnsiTheme="majorHAnsi"/>
          <w:i/>
          <w:iCs/>
          <w:noProof/>
          <w:szCs w:val="22"/>
        </w:rPr>
        <w:t>Cultural and Spiritual Values of Biodiversity</w:t>
      </w:r>
      <w:r w:rsidRPr="003338D7">
        <w:rPr>
          <w:rFonts w:asciiTheme="majorHAnsi" w:hAnsiTheme="majorHAnsi"/>
          <w:noProof/>
          <w:szCs w:val="22"/>
        </w:rPr>
        <w:t>. London, UK: UNEP and Intermediate Technology Publications.</w:t>
      </w:r>
    </w:p>
    <w:p w14:paraId="5006164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Pott, A., Oliveira, A. K. M., Damasceno-Junior, G. A., &amp; Silva, J. S. V. (2011). Plant diversity of the Pantanal wetland. </w:t>
      </w:r>
      <w:r w:rsidRPr="003338D7">
        <w:rPr>
          <w:rFonts w:asciiTheme="majorHAnsi" w:hAnsiTheme="majorHAnsi"/>
          <w:i/>
          <w:iCs/>
          <w:noProof/>
          <w:szCs w:val="22"/>
        </w:rPr>
        <w:t>Brazilian Journal of Biology</w:t>
      </w:r>
      <w:r w:rsidRPr="003338D7">
        <w:rPr>
          <w:rFonts w:asciiTheme="majorHAnsi" w:hAnsiTheme="majorHAnsi"/>
          <w:noProof/>
          <w:szCs w:val="22"/>
        </w:rPr>
        <w:t xml:space="preserve">, </w:t>
      </w:r>
      <w:r w:rsidRPr="003338D7">
        <w:rPr>
          <w:rFonts w:asciiTheme="majorHAnsi" w:hAnsiTheme="majorHAnsi"/>
          <w:i/>
          <w:iCs/>
          <w:noProof/>
          <w:szCs w:val="22"/>
        </w:rPr>
        <w:t>71</w:t>
      </w:r>
      <w:r w:rsidRPr="003338D7">
        <w:rPr>
          <w:rFonts w:asciiTheme="majorHAnsi" w:hAnsiTheme="majorHAnsi"/>
          <w:noProof/>
          <w:szCs w:val="22"/>
        </w:rPr>
        <w:t xml:space="preserve">(1), 265–273. </w:t>
      </w:r>
      <w:hyperlink r:id="rId730" w:history="1">
        <w:r w:rsidRPr="003338D7">
          <w:rPr>
            <w:rStyle w:val="Hyperlink"/>
            <w:rFonts w:asciiTheme="majorHAnsi" w:hAnsiTheme="majorHAnsi"/>
            <w:noProof/>
            <w:szCs w:val="22"/>
          </w:rPr>
          <w:t>http://doi.org/10.1590/S1519-69842011000200005</w:t>
        </w:r>
      </w:hyperlink>
    </w:p>
    <w:p w14:paraId="149069B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Potts, S. G., Biesmeijer, J. C., Kremen, C., Neumann, P., Schweiger, O., &amp; Kunin, W. E. (2010). </w:t>
      </w:r>
      <w:r w:rsidRPr="003338D7">
        <w:rPr>
          <w:rFonts w:asciiTheme="majorHAnsi" w:hAnsiTheme="majorHAnsi"/>
          <w:noProof/>
          <w:szCs w:val="22"/>
        </w:rPr>
        <w:t xml:space="preserve">Global pollinator declines: trends, impacts and drivers. </w:t>
      </w:r>
      <w:r w:rsidRPr="003338D7">
        <w:rPr>
          <w:rFonts w:asciiTheme="majorHAnsi" w:hAnsiTheme="majorHAnsi"/>
          <w:i/>
          <w:iCs/>
          <w:noProof/>
          <w:szCs w:val="22"/>
        </w:rPr>
        <w:t>Trends in Ecology and Evolution</w:t>
      </w:r>
      <w:r w:rsidRPr="003338D7">
        <w:rPr>
          <w:rFonts w:asciiTheme="majorHAnsi" w:hAnsiTheme="majorHAnsi"/>
          <w:noProof/>
          <w:szCs w:val="22"/>
        </w:rPr>
        <w:t xml:space="preserve">, </w:t>
      </w:r>
      <w:r w:rsidRPr="003338D7">
        <w:rPr>
          <w:rFonts w:asciiTheme="majorHAnsi" w:hAnsiTheme="majorHAnsi"/>
          <w:i/>
          <w:iCs/>
          <w:noProof/>
          <w:szCs w:val="22"/>
        </w:rPr>
        <w:t>25</w:t>
      </w:r>
      <w:r w:rsidRPr="003338D7">
        <w:rPr>
          <w:rFonts w:asciiTheme="majorHAnsi" w:hAnsiTheme="majorHAnsi"/>
          <w:noProof/>
          <w:szCs w:val="22"/>
        </w:rPr>
        <w:t xml:space="preserve">(6), 345–353. </w:t>
      </w:r>
      <w:hyperlink r:id="rId731" w:history="1">
        <w:r w:rsidRPr="003338D7">
          <w:rPr>
            <w:rStyle w:val="Hyperlink"/>
            <w:rFonts w:asciiTheme="majorHAnsi" w:hAnsiTheme="majorHAnsi"/>
            <w:noProof/>
            <w:szCs w:val="22"/>
          </w:rPr>
          <w:t>http://doi.org/10.1016/j.tree.2010.01.007</w:t>
        </w:r>
      </w:hyperlink>
    </w:p>
    <w:p w14:paraId="0333A05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Price, S. J., Cecala, K. K., Browne, R. A., &amp; Dorcas, M. E. (2011). Effects of urbanization on occupancy of stream salamanders.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25</w:t>
      </w:r>
      <w:r w:rsidRPr="003338D7">
        <w:rPr>
          <w:rFonts w:asciiTheme="majorHAnsi" w:hAnsiTheme="majorHAnsi"/>
          <w:noProof/>
          <w:szCs w:val="22"/>
        </w:rPr>
        <w:t xml:space="preserve">(3), 547–555. </w:t>
      </w:r>
      <w:hyperlink r:id="rId732" w:history="1">
        <w:r w:rsidRPr="003338D7">
          <w:rPr>
            <w:rStyle w:val="Hyperlink"/>
            <w:rFonts w:asciiTheme="majorHAnsi" w:hAnsiTheme="majorHAnsi"/>
            <w:noProof/>
            <w:szCs w:val="22"/>
          </w:rPr>
          <w:t>http://doi.org/10.1111/j.1523-1739.2010.01627.x</w:t>
        </w:r>
      </w:hyperlink>
    </w:p>
    <w:p w14:paraId="6E9AF8C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de-DE"/>
        </w:rPr>
        <w:t xml:space="preserve">Prival, D. B., &amp; Schroff, M. J. (2012). </w:t>
      </w:r>
      <w:r w:rsidRPr="003338D7">
        <w:rPr>
          <w:rFonts w:asciiTheme="majorHAnsi" w:hAnsiTheme="majorHAnsi"/>
          <w:noProof/>
          <w:szCs w:val="22"/>
        </w:rPr>
        <w:t>A 13-year study of a northern population of twin-spotted rattlesnakes (</w:t>
      </w:r>
      <w:r w:rsidRPr="003338D7">
        <w:rPr>
          <w:rFonts w:asciiTheme="majorHAnsi" w:hAnsiTheme="majorHAnsi"/>
          <w:i/>
          <w:iCs/>
          <w:noProof/>
          <w:szCs w:val="22"/>
        </w:rPr>
        <w:t>Crotalus pricei</w:t>
      </w:r>
      <w:r w:rsidRPr="003338D7">
        <w:rPr>
          <w:rFonts w:asciiTheme="majorHAnsi" w:hAnsiTheme="majorHAnsi"/>
          <w:noProof/>
          <w:szCs w:val="22"/>
        </w:rPr>
        <w:t xml:space="preserve">): growth, reproduction, survival, and conservation. </w:t>
      </w:r>
      <w:r w:rsidRPr="003338D7">
        <w:rPr>
          <w:rFonts w:asciiTheme="majorHAnsi" w:hAnsiTheme="majorHAnsi"/>
          <w:i/>
          <w:iCs/>
          <w:noProof/>
          <w:szCs w:val="22"/>
          <w:lang w:val="es-ES"/>
        </w:rPr>
        <w:t>Herpetological Monographs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26</w:t>
      </w:r>
      <w:r w:rsidRPr="003338D7">
        <w:rPr>
          <w:rFonts w:asciiTheme="majorHAnsi" w:hAnsiTheme="majorHAnsi"/>
          <w:noProof/>
          <w:szCs w:val="22"/>
          <w:lang w:val="es-ES"/>
        </w:rPr>
        <w:t>(1), 1–18.</w:t>
      </w:r>
    </w:p>
    <w:p w14:paraId="4A47D07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Programa Estado de la Nacion. (2008). </w:t>
      </w:r>
      <w:r w:rsidRPr="003338D7">
        <w:rPr>
          <w:rFonts w:asciiTheme="majorHAnsi" w:hAnsiTheme="majorHAnsi"/>
          <w:i/>
          <w:iCs/>
          <w:noProof/>
          <w:szCs w:val="22"/>
          <w:lang w:val="es-ES"/>
        </w:rPr>
        <w:t>Estado de la Región en Desarrollo Humano Sostenible: Un Informe desde Centroamérica y para Centroamérica</w:t>
      </w:r>
      <w:r w:rsidRPr="003338D7">
        <w:rPr>
          <w:rFonts w:asciiTheme="majorHAnsi" w:hAnsiTheme="majorHAnsi"/>
          <w:noProof/>
          <w:szCs w:val="22"/>
          <w:lang w:val="es-ES"/>
        </w:rPr>
        <w:t>. San José, Costa Rica: Estado de la Nación.</w:t>
      </w:r>
    </w:p>
    <w:p w14:paraId="4014C5F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Pyron, M., Becker, J. C., Broadway, K. J., Etchison, L., Minder, M., DeColibus, D., Chezem, M., Wyatt, K. H., &amp; Murry, B. A. (2017). Are long-term fish assemblage changes in a large US river related to the Asian Carp invasion? Test of the hostile take-over and opportunistic dispersal hypotheses. </w:t>
      </w:r>
      <w:r w:rsidRPr="003338D7">
        <w:rPr>
          <w:rFonts w:asciiTheme="majorHAnsi" w:hAnsiTheme="majorHAnsi"/>
          <w:i/>
          <w:iCs/>
          <w:noProof/>
          <w:szCs w:val="22"/>
          <w:lang w:val="es-ES"/>
        </w:rPr>
        <w:t>Aquatic Sciences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79</w:t>
      </w:r>
      <w:r w:rsidRPr="003338D7">
        <w:rPr>
          <w:rFonts w:asciiTheme="majorHAnsi" w:hAnsiTheme="majorHAnsi"/>
          <w:noProof/>
          <w:szCs w:val="22"/>
          <w:lang w:val="es-ES"/>
        </w:rPr>
        <w:t xml:space="preserve">(3), 631–642. </w:t>
      </w:r>
      <w:hyperlink r:id="rId733" w:history="1">
        <w:r w:rsidRPr="003338D7">
          <w:rPr>
            <w:rStyle w:val="Hyperlink"/>
            <w:rFonts w:asciiTheme="majorHAnsi" w:hAnsiTheme="majorHAnsi"/>
            <w:noProof/>
            <w:szCs w:val="22"/>
            <w:lang w:val="es-ES"/>
          </w:rPr>
          <w:t>https://doi.org/10.1007/s00027-017-0525-4</w:t>
        </w:r>
      </w:hyperlink>
    </w:p>
    <w:p w14:paraId="77FC383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Pyron, R. A. (2014). Biogeographic analysis reveals ancient continental vicariance and recent oceanic dispersal in amphibians. </w:t>
      </w:r>
      <w:r w:rsidRPr="003338D7">
        <w:rPr>
          <w:rFonts w:asciiTheme="majorHAnsi" w:hAnsiTheme="majorHAnsi"/>
          <w:i/>
          <w:iCs/>
          <w:noProof/>
          <w:szCs w:val="22"/>
        </w:rPr>
        <w:t>Systematic Biology</w:t>
      </w:r>
      <w:r w:rsidRPr="003338D7">
        <w:rPr>
          <w:rFonts w:asciiTheme="majorHAnsi" w:hAnsiTheme="majorHAnsi"/>
          <w:noProof/>
          <w:szCs w:val="22"/>
        </w:rPr>
        <w:t xml:space="preserve">, </w:t>
      </w:r>
      <w:r w:rsidRPr="003338D7">
        <w:rPr>
          <w:rFonts w:asciiTheme="majorHAnsi" w:hAnsiTheme="majorHAnsi"/>
          <w:i/>
          <w:iCs/>
          <w:noProof/>
          <w:szCs w:val="22"/>
        </w:rPr>
        <w:t>63</w:t>
      </w:r>
      <w:r w:rsidRPr="003338D7">
        <w:rPr>
          <w:rFonts w:asciiTheme="majorHAnsi" w:hAnsiTheme="majorHAnsi"/>
          <w:noProof/>
          <w:szCs w:val="22"/>
        </w:rPr>
        <w:t xml:space="preserve">(5), 779–797. </w:t>
      </w:r>
      <w:hyperlink r:id="rId734" w:history="1">
        <w:r w:rsidRPr="003338D7">
          <w:rPr>
            <w:rStyle w:val="Hyperlink"/>
            <w:rFonts w:asciiTheme="majorHAnsi" w:hAnsiTheme="majorHAnsi"/>
            <w:noProof/>
            <w:szCs w:val="22"/>
          </w:rPr>
          <w:t>http://doi.org/10.1093/sysbio/syu042</w:t>
        </w:r>
      </w:hyperlink>
    </w:p>
    <w:p w14:paraId="2204ECB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Quijas, S., Schmid, B., &amp; Balvanera, P. (2010). Plant diversity enhances provision of ecosystem services: a new synthesis. </w:t>
      </w:r>
      <w:r w:rsidRPr="003338D7">
        <w:rPr>
          <w:rFonts w:asciiTheme="majorHAnsi" w:hAnsiTheme="majorHAnsi"/>
          <w:i/>
          <w:iCs/>
          <w:noProof/>
          <w:szCs w:val="22"/>
        </w:rPr>
        <w:t>Basic and Applied Ecology</w:t>
      </w:r>
      <w:r w:rsidRPr="003338D7">
        <w:rPr>
          <w:rFonts w:asciiTheme="majorHAnsi" w:hAnsiTheme="majorHAnsi"/>
          <w:noProof/>
          <w:szCs w:val="22"/>
        </w:rPr>
        <w:t xml:space="preserve">, </w:t>
      </w:r>
      <w:r w:rsidRPr="003338D7">
        <w:rPr>
          <w:rFonts w:asciiTheme="majorHAnsi" w:hAnsiTheme="majorHAnsi"/>
          <w:i/>
          <w:iCs/>
          <w:noProof/>
          <w:szCs w:val="22"/>
        </w:rPr>
        <w:t>11</w:t>
      </w:r>
      <w:r w:rsidRPr="003338D7">
        <w:rPr>
          <w:rFonts w:asciiTheme="majorHAnsi" w:hAnsiTheme="majorHAnsi"/>
          <w:noProof/>
          <w:szCs w:val="22"/>
        </w:rPr>
        <w:t xml:space="preserve">(7), 582–593. </w:t>
      </w:r>
      <w:hyperlink r:id="rId735" w:history="1">
        <w:r w:rsidRPr="003338D7">
          <w:rPr>
            <w:rStyle w:val="Hyperlink"/>
            <w:rFonts w:asciiTheme="majorHAnsi" w:hAnsiTheme="majorHAnsi"/>
            <w:noProof/>
            <w:szCs w:val="22"/>
          </w:rPr>
          <w:t>http://doi.org/10.1016/j.baae.2010.06.009</w:t>
        </w:r>
      </w:hyperlink>
    </w:p>
    <w:p w14:paraId="31F93F5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Quinn, P. K., Shaw, G., Andrews, E., Dutton, E. G., Ruoho-Airola, T., &amp; Gong, S. L. (2007). Arctic haze: current trends and knowledge gaps. </w:t>
      </w:r>
      <w:r w:rsidRPr="003338D7">
        <w:rPr>
          <w:rFonts w:asciiTheme="majorHAnsi" w:hAnsiTheme="majorHAnsi"/>
          <w:i/>
          <w:iCs/>
          <w:noProof/>
          <w:szCs w:val="22"/>
        </w:rPr>
        <w:t>Tellus, Series B: Chemical and Physical Meteorology</w:t>
      </w:r>
      <w:r w:rsidRPr="003338D7">
        <w:rPr>
          <w:rFonts w:asciiTheme="majorHAnsi" w:hAnsiTheme="majorHAnsi"/>
          <w:noProof/>
          <w:szCs w:val="22"/>
        </w:rPr>
        <w:t xml:space="preserve">, </w:t>
      </w:r>
      <w:r w:rsidRPr="003338D7">
        <w:rPr>
          <w:rFonts w:asciiTheme="majorHAnsi" w:hAnsiTheme="majorHAnsi"/>
          <w:i/>
          <w:iCs/>
          <w:noProof/>
          <w:szCs w:val="22"/>
        </w:rPr>
        <w:t>59</w:t>
      </w:r>
      <w:r w:rsidRPr="003338D7">
        <w:rPr>
          <w:rFonts w:asciiTheme="majorHAnsi" w:hAnsiTheme="majorHAnsi"/>
          <w:noProof/>
          <w:szCs w:val="22"/>
        </w:rPr>
        <w:t xml:space="preserve">(1), 99–114. </w:t>
      </w:r>
      <w:hyperlink r:id="rId736" w:history="1">
        <w:r w:rsidRPr="003338D7">
          <w:rPr>
            <w:rStyle w:val="Hyperlink"/>
            <w:rFonts w:asciiTheme="majorHAnsi" w:hAnsiTheme="majorHAnsi"/>
            <w:noProof/>
            <w:szCs w:val="22"/>
          </w:rPr>
          <w:t>http://doi.org/10.1111/j.1600-0889.2006.00238.x</w:t>
        </w:r>
      </w:hyperlink>
    </w:p>
    <w:p w14:paraId="420065F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Rabatel, A., Francou, B., Soruco, A., Gomez, J., Cáceres, B., Ceballos, J. L., Basantes, R., Vuille, M., Sicart, J.-E., Huggel, C., Scheel, M., Lejeune, Y., Arnaud, Y., Collet, M., Condom, T., Consoli, G., Favier, V., Jomelli, V., Galarraga, R., Ginot, P., Maisincho, L., Mendoza, J., Ménégoz, M., Ramirez, E., Ribstein, P., Suarez, W., Villacis, M., &amp; Wagnon, P. (2013). Current state of glaciers in the tropical Andes: a multi-century perspective on glacier evolution and climate change. </w:t>
      </w:r>
      <w:r w:rsidRPr="003338D7">
        <w:rPr>
          <w:rFonts w:asciiTheme="majorHAnsi" w:hAnsiTheme="majorHAnsi"/>
          <w:i/>
          <w:iCs/>
          <w:noProof/>
          <w:szCs w:val="22"/>
          <w:lang w:val="es-ES"/>
        </w:rPr>
        <w:t>The Cryosphere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w:t>
      </w:r>
      <w:r w:rsidRPr="003338D7">
        <w:rPr>
          <w:rFonts w:asciiTheme="majorHAnsi" w:hAnsiTheme="majorHAnsi"/>
          <w:noProof/>
          <w:szCs w:val="22"/>
          <w:lang w:val="es-ES"/>
        </w:rPr>
        <w:t xml:space="preserve">(1), 81–102. </w:t>
      </w:r>
      <w:hyperlink r:id="rId737" w:history="1">
        <w:r w:rsidRPr="003338D7">
          <w:rPr>
            <w:rStyle w:val="Hyperlink"/>
            <w:rFonts w:asciiTheme="majorHAnsi" w:hAnsiTheme="majorHAnsi"/>
            <w:noProof/>
            <w:szCs w:val="22"/>
            <w:lang w:val="es-ES"/>
          </w:rPr>
          <w:t>https://doi.org/10.5194/tc-7-81-2013</w:t>
        </w:r>
      </w:hyperlink>
    </w:p>
    <w:p w14:paraId="2454A1C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Rademaker, K., Hodgins, G., Moore, K., Zarrillo, S., Miller, C., Bromley, G. R. M., Leach, P., Reid, D. A., Álvarez, W. Y., &amp; Sandweiss, D. H. (2014). Paleoindian settlement of the high-altitude Peruvian Andes.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346</w:t>
      </w:r>
      <w:r w:rsidRPr="003338D7">
        <w:rPr>
          <w:rFonts w:asciiTheme="majorHAnsi" w:hAnsiTheme="majorHAnsi"/>
          <w:noProof/>
          <w:szCs w:val="22"/>
          <w:lang w:val="es-ES"/>
        </w:rPr>
        <w:t xml:space="preserve">(6208), 466–469. </w:t>
      </w:r>
      <w:hyperlink r:id="rId738" w:history="1">
        <w:r w:rsidRPr="003338D7">
          <w:rPr>
            <w:rStyle w:val="Hyperlink"/>
            <w:rFonts w:asciiTheme="majorHAnsi" w:hAnsiTheme="majorHAnsi"/>
            <w:noProof/>
            <w:szCs w:val="22"/>
            <w:lang w:val="es-ES"/>
          </w:rPr>
          <w:t>https://doi.org/10.1126/science.1258260</w:t>
        </w:r>
      </w:hyperlink>
    </w:p>
    <w:p w14:paraId="5DCE279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 Development Core Team. (2017). </w:t>
      </w:r>
      <w:r w:rsidRPr="003338D7">
        <w:rPr>
          <w:rFonts w:asciiTheme="majorHAnsi" w:hAnsiTheme="majorHAnsi"/>
          <w:i/>
          <w:iCs/>
          <w:noProof/>
          <w:szCs w:val="22"/>
        </w:rPr>
        <w:t>R: A Language and Environment for Statistical Computing</w:t>
      </w:r>
      <w:r w:rsidRPr="003338D7">
        <w:rPr>
          <w:rFonts w:asciiTheme="majorHAnsi" w:hAnsiTheme="majorHAnsi"/>
          <w:noProof/>
          <w:szCs w:val="22"/>
        </w:rPr>
        <w:t xml:space="preserve">. Vienna, Austria: R Foundation for Statistical Computing. Retrieved from </w:t>
      </w:r>
      <w:hyperlink r:id="rId739" w:history="1">
        <w:r w:rsidRPr="003338D7">
          <w:rPr>
            <w:rStyle w:val="Hyperlink"/>
            <w:rFonts w:asciiTheme="majorHAnsi" w:hAnsiTheme="majorHAnsi"/>
            <w:noProof/>
            <w:szCs w:val="22"/>
          </w:rPr>
          <w:t>https://cran.r-project.org/</w:t>
        </w:r>
      </w:hyperlink>
    </w:p>
    <w:p w14:paraId="48D22B8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RAISG. (2015). </w:t>
      </w:r>
      <w:r w:rsidRPr="003338D7">
        <w:rPr>
          <w:rFonts w:asciiTheme="majorHAnsi" w:hAnsiTheme="majorHAnsi"/>
          <w:i/>
          <w:iCs/>
          <w:noProof/>
          <w:szCs w:val="22"/>
          <w:lang w:val="es-ES"/>
        </w:rPr>
        <w:t>Deforestación en la Amazonía (1970-2013)</w:t>
      </w:r>
      <w:r w:rsidRPr="003338D7">
        <w:rPr>
          <w:rFonts w:asciiTheme="majorHAnsi" w:hAnsiTheme="majorHAnsi"/>
          <w:noProof/>
          <w:szCs w:val="22"/>
          <w:lang w:val="es-ES"/>
        </w:rPr>
        <w:t>. São Paulo: Instituto Socioambiental. Retrieved from www.raisg.socioambiental.org</w:t>
      </w:r>
    </w:p>
    <w:p w14:paraId="41DC485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Ramankutty, N., Evan, A. T., Monfreda, C., &amp; Foley, J. A. (2010). </w:t>
      </w:r>
      <w:r w:rsidRPr="003338D7">
        <w:rPr>
          <w:rFonts w:asciiTheme="majorHAnsi" w:hAnsiTheme="majorHAnsi"/>
          <w:noProof/>
          <w:szCs w:val="22"/>
        </w:rPr>
        <w:t>Global Agricultural Lands: Pastures, 2000 Palisades, NY: NASA Socioeconomic Data and Applications Center (SEDAC). Retrieved from</w:t>
      </w:r>
      <w:hyperlink r:id="rId740" w:history="1">
        <w:r w:rsidRPr="003338D7">
          <w:rPr>
            <w:rStyle w:val="Hyperlink"/>
            <w:rFonts w:asciiTheme="majorHAnsi" w:hAnsiTheme="majorHAnsi"/>
            <w:noProof/>
            <w:szCs w:val="22"/>
          </w:rPr>
          <w:t>http://sedac.ciesin.columbia.edu/data/set/aglands-pastures-2000</w:t>
        </w:r>
      </w:hyperlink>
    </w:p>
    <w:p w14:paraId="3AD0D05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Ramankutty, N., Foley, J. A., &amp; Olejniczak, N. J. (2002). People on the land: changes in global population and croplands during the 20th century. </w:t>
      </w:r>
      <w:r w:rsidRPr="003338D7">
        <w:rPr>
          <w:rFonts w:asciiTheme="majorHAnsi" w:hAnsiTheme="majorHAnsi"/>
          <w:i/>
          <w:iCs/>
          <w:noProof/>
          <w:szCs w:val="22"/>
          <w:lang w:val="es-ES"/>
        </w:rPr>
        <w:t>Ambio</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31</w:t>
      </w:r>
      <w:r w:rsidRPr="003338D7">
        <w:rPr>
          <w:rFonts w:asciiTheme="majorHAnsi" w:hAnsiTheme="majorHAnsi"/>
          <w:noProof/>
          <w:szCs w:val="22"/>
          <w:lang w:val="es-ES"/>
        </w:rPr>
        <w:t xml:space="preserve">(3), 251–257. </w:t>
      </w:r>
      <w:hyperlink r:id="rId741" w:history="1">
        <w:r w:rsidRPr="003338D7">
          <w:rPr>
            <w:rStyle w:val="Hyperlink"/>
            <w:rFonts w:asciiTheme="majorHAnsi" w:hAnsiTheme="majorHAnsi"/>
            <w:noProof/>
            <w:szCs w:val="22"/>
            <w:lang w:val="es-ES"/>
          </w:rPr>
          <w:t>http://doi.org/10.1579/0044-7447-31.3.251</w:t>
        </w:r>
      </w:hyperlink>
    </w:p>
    <w:p w14:paraId="77D6123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Ramjohn, I. A., Murphy, P. G., Burton, T. M., &amp; Lugo, A. E. (2012). </w:t>
      </w:r>
      <w:r w:rsidRPr="003338D7">
        <w:rPr>
          <w:rFonts w:asciiTheme="majorHAnsi" w:hAnsiTheme="majorHAnsi"/>
          <w:noProof/>
          <w:szCs w:val="22"/>
        </w:rPr>
        <w:t xml:space="preserve">Survival and rebound of Antillean dry forests: role of forest fragments. </w:t>
      </w:r>
      <w:r w:rsidRPr="003338D7">
        <w:rPr>
          <w:rFonts w:asciiTheme="majorHAnsi" w:hAnsiTheme="majorHAnsi"/>
          <w:i/>
          <w:iCs/>
          <w:noProof/>
          <w:szCs w:val="22"/>
        </w:rPr>
        <w:t>Forest Ecology and Management</w:t>
      </w:r>
      <w:r w:rsidRPr="003338D7">
        <w:rPr>
          <w:rFonts w:asciiTheme="majorHAnsi" w:hAnsiTheme="majorHAnsi"/>
          <w:noProof/>
          <w:szCs w:val="22"/>
        </w:rPr>
        <w:t xml:space="preserve">, </w:t>
      </w:r>
      <w:r w:rsidRPr="003338D7">
        <w:rPr>
          <w:rFonts w:asciiTheme="majorHAnsi" w:hAnsiTheme="majorHAnsi"/>
          <w:i/>
          <w:iCs/>
          <w:noProof/>
          <w:szCs w:val="22"/>
        </w:rPr>
        <w:t>284</w:t>
      </w:r>
      <w:r w:rsidRPr="003338D7">
        <w:rPr>
          <w:rFonts w:asciiTheme="majorHAnsi" w:hAnsiTheme="majorHAnsi"/>
          <w:noProof/>
          <w:szCs w:val="22"/>
        </w:rPr>
        <w:t xml:space="preserve">, 124–132. </w:t>
      </w:r>
      <w:hyperlink r:id="rId742" w:history="1">
        <w:r w:rsidRPr="003338D7">
          <w:rPr>
            <w:rStyle w:val="Hyperlink"/>
            <w:rFonts w:asciiTheme="majorHAnsi" w:hAnsiTheme="majorHAnsi"/>
            <w:noProof/>
            <w:szCs w:val="22"/>
          </w:rPr>
          <w:t>http://doi.org/10.1016/j.foreco.2012.08.001</w:t>
        </w:r>
      </w:hyperlink>
    </w:p>
    <w:p w14:paraId="6A85BC0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Ramos, M. A., &amp; Albuquerque, U. P. (2012). The domestic use of firewood in rural communities of the Caatinga: how seasonality interferes with patterns of firewood collection. </w:t>
      </w:r>
      <w:r w:rsidRPr="003338D7">
        <w:rPr>
          <w:rFonts w:asciiTheme="majorHAnsi" w:hAnsiTheme="majorHAnsi"/>
          <w:i/>
          <w:iCs/>
          <w:noProof/>
          <w:szCs w:val="22"/>
        </w:rPr>
        <w:t>Biomass and Bioenergy</w:t>
      </w:r>
      <w:r w:rsidRPr="003338D7">
        <w:rPr>
          <w:rFonts w:asciiTheme="majorHAnsi" w:hAnsiTheme="majorHAnsi"/>
          <w:noProof/>
          <w:szCs w:val="22"/>
        </w:rPr>
        <w:t xml:space="preserve">, </w:t>
      </w:r>
      <w:r w:rsidRPr="003338D7">
        <w:rPr>
          <w:rFonts w:asciiTheme="majorHAnsi" w:hAnsiTheme="majorHAnsi"/>
          <w:i/>
          <w:iCs/>
          <w:noProof/>
          <w:szCs w:val="22"/>
        </w:rPr>
        <w:t>39</w:t>
      </w:r>
      <w:r w:rsidRPr="003338D7">
        <w:rPr>
          <w:rFonts w:asciiTheme="majorHAnsi" w:hAnsiTheme="majorHAnsi"/>
          <w:noProof/>
          <w:szCs w:val="22"/>
        </w:rPr>
        <w:t xml:space="preserve">, 147–158. </w:t>
      </w:r>
      <w:hyperlink r:id="rId743" w:history="1">
        <w:r w:rsidRPr="003338D7">
          <w:rPr>
            <w:rStyle w:val="Hyperlink"/>
            <w:rFonts w:asciiTheme="majorHAnsi" w:hAnsiTheme="majorHAnsi"/>
            <w:noProof/>
            <w:szCs w:val="22"/>
          </w:rPr>
          <w:t>http://doi.org/10.1016/j.biombioe.2012.01.003</w:t>
        </w:r>
      </w:hyperlink>
    </w:p>
    <w:p w14:paraId="278BD9C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Ramos, R. S., Hilgert, N. I., &amp; Lambaré, D. A. (2013). Traditional agriculture and the richness of maize (Zea mays). </w:t>
      </w:r>
      <w:r w:rsidRPr="003338D7">
        <w:rPr>
          <w:rFonts w:asciiTheme="majorHAnsi" w:hAnsiTheme="majorHAnsi"/>
          <w:noProof/>
          <w:szCs w:val="22"/>
          <w:lang w:val="es-ES"/>
        </w:rPr>
        <w:t xml:space="preserve">A case study in Caspalá, Jujuy province, Argentina. </w:t>
      </w:r>
      <w:r w:rsidRPr="003338D7">
        <w:rPr>
          <w:rFonts w:asciiTheme="majorHAnsi" w:hAnsiTheme="majorHAnsi"/>
          <w:i/>
          <w:iCs/>
          <w:noProof/>
          <w:szCs w:val="22"/>
          <w:lang w:val="es-ES"/>
        </w:rPr>
        <w:t>Boletin de La Sociedad Argentina de Botánica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48</w:t>
      </w:r>
      <w:r w:rsidRPr="003338D7">
        <w:rPr>
          <w:rFonts w:asciiTheme="majorHAnsi" w:hAnsiTheme="majorHAnsi"/>
          <w:noProof/>
          <w:szCs w:val="22"/>
          <w:lang w:val="es-ES"/>
        </w:rPr>
        <w:t>(3–4), 607–621.</w:t>
      </w:r>
    </w:p>
    <w:p w14:paraId="3B2E4A5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Ratter, J., Ribeiro, J. F., &amp; Bridgewater, S. (1997). The Brazilian cerrado vegetation and threats to its biodiversity. </w:t>
      </w:r>
      <w:r w:rsidRPr="003338D7">
        <w:rPr>
          <w:rFonts w:asciiTheme="majorHAnsi" w:hAnsiTheme="majorHAnsi"/>
          <w:i/>
          <w:iCs/>
          <w:noProof/>
          <w:szCs w:val="22"/>
        </w:rPr>
        <w:t>Annals of Botany</w:t>
      </w:r>
      <w:r w:rsidRPr="003338D7">
        <w:rPr>
          <w:rFonts w:asciiTheme="majorHAnsi" w:hAnsiTheme="majorHAnsi"/>
          <w:noProof/>
          <w:szCs w:val="22"/>
        </w:rPr>
        <w:t xml:space="preserve">, </w:t>
      </w:r>
      <w:r w:rsidRPr="003338D7">
        <w:rPr>
          <w:rFonts w:asciiTheme="majorHAnsi" w:hAnsiTheme="majorHAnsi"/>
          <w:i/>
          <w:iCs/>
          <w:noProof/>
          <w:szCs w:val="22"/>
        </w:rPr>
        <w:t>80</w:t>
      </w:r>
      <w:r w:rsidRPr="003338D7">
        <w:rPr>
          <w:rFonts w:asciiTheme="majorHAnsi" w:hAnsiTheme="majorHAnsi"/>
          <w:noProof/>
          <w:szCs w:val="22"/>
        </w:rPr>
        <w:t xml:space="preserve">(3), 223–230. </w:t>
      </w:r>
      <w:hyperlink r:id="rId744" w:history="1">
        <w:r w:rsidRPr="003338D7">
          <w:rPr>
            <w:rStyle w:val="Hyperlink"/>
            <w:rFonts w:asciiTheme="majorHAnsi" w:hAnsiTheme="majorHAnsi"/>
            <w:noProof/>
            <w:szCs w:val="22"/>
          </w:rPr>
          <w:t>http://doi.org/10.1006/anbo.1997.0469</w:t>
        </w:r>
      </w:hyperlink>
    </w:p>
    <w:p w14:paraId="79E7858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Raupp, M. J., Shrewsbury, P. M., &amp; Herms, D. A. (2010). Ecology of herbivorous arthropods in urban landscapes. </w:t>
      </w:r>
      <w:r w:rsidRPr="003338D7">
        <w:rPr>
          <w:rFonts w:asciiTheme="majorHAnsi" w:hAnsiTheme="majorHAnsi"/>
          <w:i/>
          <w:iCs/>
          <w:noProof/>
          <w:szCs w:val="22"/>
        </w:rPr>
        <w:t>Annual Review of Entomology</w:t>
      </w:r>
      <w:r w:rsidRPr="003338D7">
        <w:rPr>
          <w:rFonts w:asciiTheme="majorHAnsi" w:hAnsiTheme="majorHAnsi"/>
          <w:noProof/>
          <w:szCs w:val="22"/>
        </w:rPr>
        <w:t xml:space="preserve">, </w:t>
      </w:r>
      <w:r w:rsidRPr="003338D7">
        <w:rPr>
          <w:rFonts w:asciiTheme="majorHAnsi" w:hAnsiTheme="majorHAnsi"/>
          <w:i/>
          <w:iCs/>
          <w:noProof/>
          <w:szCs w:val="22"/>
        </w:rPr>
        <w:t>55</w:t>
      </w:r>
      <w:r w:rsidRPr="003338D7">
        <w:rPr>
          <w:rFonts w:asciiTheme="majorHAnsi" w:hAnsiTheme="majorHAnsi"/>
          <w:noProof/>
          <w:szCs w:val="22"/>
        </w:rPr>
        <w:t xml:space="preserve">(1), 19–38. </w:t>
      </w:r>
      <w:hyperlink r:id="rId745" w:history="1">
        <w:r w:rsidRPr="003338D7">
          <w:rPr>
            <w:rStyle w:val="Hyperlink"/>
            <w:rFonts w:asciiTheme="majorHAnsi" w:hAnsiTheme="majorHAnsi"/>
            <w:noProof/>
            <w:szCs w:val="22"/>
          </w:rPr>
          <w:t>http://doi.org/10.1146/annurev-ento-112408-085351</w:t>
        </w:r>
      </w:hyperlink>
    </w:p>
    <w:p w14:paraId="41FBAC7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Rawlins, M. A., Steele, M., Holland, M. M., Adam, J. C., Cherry, J. E., Francis, J. A., Groisman, P. Y. A., Hinzman, L. D., Huntington, T. G., Kane, D. L., Kimball, J. S., Kwok, R., Lammers, R. B., Lee, C. M., Lettenmaier, D. P., Mcdonald, K. C., Podest, E., Pundsack, J. W., Rudels, B., Serreze, M. C., Shiklomanov, A., Skagseth, Ø., Troy, T. J., Vörösmarty, C. J., Wensnahan, M., Wood, E. F., Woodgate, R., Yang, D., Zhang, K., &amp; Zhang, T. (2010). Analysis of the Arctic system for freshwater cycle intensification: observations and expectations. </w:t>
      </w:r>
      <w:r w:rsidRPr="003338D7">
        <w:rPr>
          <w:rFonts w:asciiTheme="majorHAnsi" w:hAnsiTheme="majorHAnsi"/>
          <w:i/>
          <w:iCs/>
          <w:noProof/>
          <w:szCs w:val="22"/>
          <w:lang w:val="es-ES"/>
        </w:rPr>
        <w:t>Journal of Climate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23</w:t>
      </w:r>
      <w:r w:rsidRPr="003338D7">
        <w:rPr>
          <w:rFonts w:asciiTheme="majorHAnsi" w:hAnsiTheme="majorHAnsi"/>
          <w:noProof/>
          <w:szCs w:val="22"/>
          <w:lang w:val="es-ES"/>
        </w:rPr>
        <w:t xml:space="preserve">(21), 5715–5737. </w:t>
      </w:r>
      <w:hyperlink r:id="rId746" w:history="1">
        <w:r w:rsidRPr="003338D7">
          <w:rPr>
            <w:rStyle w:val="Hyperlink"/>
            <w:rFonts w:asciiTheme="majorHAnsi" w:hAnsiTheme="majorHAnsi"/>
            <w:noProof/>
            <w:szCs w:val="22"/>
            <w:lang w:val="es-ES"/>
          </w:rPr>
          <w:t>https://doi.org/10.1175/2010JCLI3421.1</w:t>
        </w:r>
      </w:hyperlink>
    </w:p>
    <w:p w14:paraId="6F154D3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Ray, D. K., Welch, R. M., Lawton, R. O., &amp; Nair, U. S. (2006). Dry season clouds and rainfall in northern Central America: implications for the Mesoamerican Biological Corridor. </w:t>
      </w:r>
      <w:r w:rsidRPr="003338D7">
        <w:rPr>
          <w:rFonts w:asciiTheme="majorHAnsi" w:hAnsiTheme="majorHAnsi"/>
          <w:i/>
          <w:iCs/>
          <w:noProof/>
          <w:szCs w:val="22"/>
        </w:rPr>
        <w:t>Global and Planetary Change</w:t>
      </w:r>
      <w:r w:rsidRPr="003338D7">
        <w:rPr>
          <w:rFonts w:asciiTheme="majorHAnsi" w:hAnsiTheme="majorHAnsi"/>
          <w:noProof/>
          <w:szCs w:val="22"/>
        </w:rPr>
        <w:t xml:space="preserve">, </w:t>
      </w:r>
      <w:r w:rsidRPr="003338D7">
        <w:rPr>
          <w:rFonts w:asciiTheme="majorHAnsi" w:hAnsiTheme="majorHAnsi"/>
          <w:i/>
          <w:iCs/>
          <w:noProof/>
          <w:szCs w:val="22"/>
        </w:rPr>
        <w:t>54</w:t>
      </w:r>
      <w:r w:rsidRPr="003338D7">
        <w:rPr>
          <w:rFonts w:asciiTheme="majorHAnsi" w:hAnsiTheme="majorHAnsi"/>
          <w:noProof/>
          <w:szCs w:val="22"/>
        </w:rPr>
        <w:t xml:space="preserve">(1–2), 150–162. </w:t>
      </w:r>
      <w:hyperlink r:id="rId747" w:history="1">
        <w:r w:rsidRPr="003338D7">
          <w:rPr>
            <w:rStyle w:val="Hyperlink"/>
            <w:rFonts w:asciiTheme="majorHAnsi" w:hAnsiTheme="majorHAnsi"/>
            <w:noProof/>
            <w:szCs w:val="22"/>
          </w:rPr>
          <w:t>http://doi.org/10.1016/j.gloplacha.2005.09.004</w:t>
        </w:r>
      </w:hyperlink>
    </w:p>
    <w:p w14:paraId="1F3F2E7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Ray, G. L. (2005). </w:t>
      </w:r>
      <w:r w:rsidRPr="003338D7">
        <w:rPr>
          <w:rFonts w:asciiTheme="majorHAnsi" w:hAnsiTheme="majorHAnsi"/>
          <w:i/>
          <w:iCs/>
          <w:noProof/>
          <w:szCs w:val="22"/>
        </w:rPr>
        <w:t>Invasive Animal Species in Marine and Estuarine Environments: Biology and Ecology</w:t>
      </w:r>
      <w:r w:rsidRPr="003338D7">
        <w:rPr>
          <w:rFonts w:asciiTheme="majorHAnsi" w:hAnsiTheme="majorHAnsi"/>
          <w:noProof/>
          <w:szCs w:val="22"/>
        </w:rPr>
        <w:t>. Vicksburg, USA: US Army Corps of Engineers.</w:t>
      </w:r>
    </w:p>
    <w:p w14:paraId="55E640C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Raymond, P. A., Hartmann, J., Lauerwald, R., Sobek, S., McDonald, C., Hoover, M., Butman, D., Striegl, R., Mayorga, E., Humborg, C., Kortelainen, P., Durr, H., Meybeck, M., Ciais, P., &amp; Guth, P. (2013). Global carbon dioxide emissions from inland waters.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503</w:t>
      </w:r>
      <w:r w:rsidRPr="003338D7">
        <w:rPr>
          <w:rFonts w:asciiTheme="majorHAnsi" w:hAnsiTheme="majorHAnsi"/>
          <w:noProof/>
          <w:szCs w:val="22"/>
          <w:lang w:val="es-ES"/>
        </w:rPr>
        <w:t xml:space="preserve">(7476), 355–359. </w:t>
      </w:r>
      <w:hyperlink r:id="rId748" w:history="1">
        <w:r w:rsidRPr="003338D7">
          <w:rPr>
            <w:rStyle w:val="Hyperlink"/>
            <w:rFonts w:asciiTheme="majorHAnsi" w:hAnsiTheme="majorHAnsi"/>
            <w:noProof/>
            <w:szCs w:val="22"/>
            <w:lang w:val="es-ES"/>
          </w:rPr>
          <w:t>https://doi.org/10.1038/nature12760</w:t>
        </w:r>
      </w:hyperlink>
    </w:p>
    <w:p w14:paraId="7D50F3C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Raynolds, M. K., Walker, D. A., Ambrosius, K. J., Brown, J., Everett, K. R., Kanevskiy, M., Kofinas, G. P., Romanovsky, V. E., Shur, Y., &amp; Webber, P. J. (2014). Cumulative geoecological effects of 62 years of infrastructure and climate change in ice-rich permafrost landscapes, Prudhoe Bay Oilfield, Alaska. </w:t>
      </w:r>
      <w:r w:rsidRPr="003338D7">
        <w:rPr>
          <w:rFonts w:asciiTheme="majorHAnsi" w:hAnsiTheme="majorHAnsi"/>
          <w:i/>
          <w:iCs/>
          <w:noProof/>
          <w:szCs w:val="22"/>
          <w:lang w:val="es-ES"/>
        </w:rPr>
        <w:t>Global Change 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20</w:t>
      </w:r>
      <w:r w:rsidRPr="003338D7">
        <w:rPr>
          <w:rFonts w:asciiTheme="majorHAnsi" w:hAnsiTheme="majorHAnsi"/>
          <w:noProof/>
          <w:szCs w:val="22"/>
          <w:lang w:val="es-ES"/>
        </w:rPr>
        <w:t xml:space="preserve">(4), 1211–1224. </w:t>
      </w:r>
      <w:hyperlink r:id="rId749" w:history="1">
        <w:r w:rsidRPr="003338D7">
          <w:rPr>
            <w:rStyle w:val="Hyperlink"/>
            <w:rFonts w:asciiTheme="majorHAnsi" w:hAnsiTheme="majorHAnsi"/>
            <w:noProof/>
            <w:szCs w:val="22"/>
            <w:lang w:val="es-ES"/>
          </w:rPr>
          <w:t>https://doi.org/10.1111/gcb.12500</w:t>
        </w:r>
      </w:hyperlink>
    </w:p>
    <w:p w14:paraId="25A5FEE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Read, A. J. (2008). The looming crisis: interactions between marine mammals and fisheries. </w:t>
      </w:r>
      <w:r w:rsidRPr="003338D7">
        <w:rPr>
          <w:rFonts w:asciiTheme="majorHAnsi" w:hAnsiTheme="majorHAnsi"/>
          <w:i/>
          <w:iCs/>
          <w:noProof/>
          <w:szCs w:val="22"/>
        </w:rPr>
        <w:t>Journal of Mammalogy</w:t>
      </w:r>
      <w:r w:rsidRPr="003338D7">
        <w:rPr>
          <w:rFonts w:asciiTheme="majorHAnsi" w:hAnsiTheme="majorHAnsi"/>
          <w:noProof/>
          <w:szCs w:val="22"/>
        </w:rPr>
        <w:t xml:space="preserve">, </w:t>
      </w:r>
      <w:r w:rsidRPr="003338D7">
        <w:rPr>
          <w:rFonts w:asciiTheme="majorHAnsi" w:hAnsiTheme="majorHAnsi"/>
          <w:i/>
          <w:iCs/>
          <w:noProof/>
          <w:szCs w:val="22"/>
        </w:rPr>
        <w:t>89</w:t>
      </w:r>
      <w:r w:rsidRPr="003338D7">
        <w:rPr>
          <w:rFonts w:asciiTheme="majorHAnsi" w:hAnsiTheme="majorHAnsi"/>
          <w:noProof/>
          <w:szCs w:val="22"/>
        </w:rPr>
        <w:t xml:space="preserve">(3), 541–548. </w:t>
      </w:r>
      <w:hyperlink r:id="rId750" w:history="1">
        <w:r w:rsidRPr="003338D7">
          <w:rPr>
            <w:rStyle w:val="Hyperlink"/>
            <w:rFonts w:asciiTheme="majorHAnsi" w:hAnsiTheme="majorHAnsi"/>
            <w:noProof/>
            <w:szCs w:val="22"/>
          </w:rPr>
          <w:t>http://doi.org/10.1644/07-MAMM-S-315R1.1</w:t>
        </w:r>
      </w:hyperlink>
    </w:p>
    <w:p w14:paraId="6C31A2E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Redfield, A. C. (1934). On the proportions of organic derivatives in sea water and their relation to the composition of plankton. In </w:t>
      </w:r>
      <w:r w:rsidRPr="003338D7">
        <w:rPr>
          <w:rFonts w:asciiTheme="majorHAnsi" w:hAnsiTheme="majorHAnsi"/>
          <w:i/>
          <w:iCs/>
          <w:noProof/>
          <w:szCs w:val="22"/>
        </w:rPr>
        <w:t>James Johnstone Memorial Volume</w:t>
      </w:r>
      <w:r w:rsidRPr="003338D7">
        <w:rPr>
          <w:rFonts w:asciiTheme="majorHAnsi" w:hAnsiTheme="majorHAnsi"/>
          <w:noProof/>
          <w:szCs w:val="22"/>
        </w:rPr>
        <w:t xml:space="preserve"> (pp. 176–192). Liverpool, UK: University Press of Liverpool.</w:t>
      </w:r>
    </w:p>
    <w:p w14:paraId="4742C1A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Redman, C. L., Grove, J. M., &amp; Kuby, L. H. (2004). Integrating social science into the long-term ecological research (LTER) network: social dimensions of ecological change and ecological dimensions of social change. </w:t>
      </w:r>
      <w:r w:rsidRPr="003338D7">
        <w:rPr>
          <w:rFonts w:asciiTheme="majorHAnsi" w:hAnsiTheme="majorHAnsi"/>
          <w:i/>
          <w:iCs/>
          <w:noProof/>
          <w:szCs w:val="22"/>
        </w:rPr>
        <w:t>Ecosystems</w:t>
      </w:r>
      <w:r w:rsidRPr="003338D7">
        <w:rPr>
          <w:rFonts w:asciiTheme="majorHAnsi" w:hAnsiTheme="majorHAnsi"/>
          <w:noProof/>
          <w:szCs w:val="22"/>
        </w:rPr>
        <w:t xml:space="preserve">, </w:t>
      </w:r>
      <w:r w:rsidRPr="003338D7">
        <w:rPr>
          <w:rFonts w:asciiTheme="majorHAnsi" w:hAnsiTheme="majorHAnsi"/>
          <w:i/>
          <w:iCs/>
          <w:noProof/>
          <w:szCs w:val="22"/>
        </w:rPr>
        <w:t>7</w:t>
      </w:r>
      <w:r w:rsidRPr="003338D7">
        <w:rPr>
          <w:rFonts w:asciiTheme="majorHAnsi" w:hAnsiTheme="majorHAnsi"/>
          <w:noProof/>
          <w:szCs w:val="22"/>
        </w:rPr>
        <w:t xml:space="preserve">(2), 161–171. </w:t>
      </w:r>
      <w:hyperlink r:id="rId751" w:history="1">
        <w:r w:rsidRPr="003338D7">
          <w:rPr>
            <w:rStyle w:val="Hyperlink"/>
            <w:rFonts w:asciiTheme="majorHAnsi" w:hAnsiTheme="majorHAnsi"/>
            <w:noProof/>
            <w:szCs w:val="22"/>
          </w:rPr>
          <w:t>http://doi.org/10.1007/s10021-003-0215-z</w:t>
        </w:r>
      </w:hyperlink>
    </w:p>
    <w:p w14:paraId="670CA9D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Rehm, E. M., &amp; Feeley, K. J. (2013). Forest patches and the upward migration of timberline in the southern Peruvian Andes. </w:t>
      </w:r>
      <w:r w:rsidRPr="003338D7">
        <w:rPr>
          <w:rFonts w:asciiTheme="majorHAnsi" w:hAnsiTheme="majorHAnsi"/>
          <w:i/>
          <w:iCs/>
          <w:noProof/>
          <w:szCs w:val="22"/>
        </w:rPr>
        <w:t>Forest Ecology and Management</w:t>
      </w:r>
      <w:r w:rsidRPr="003338D7">
        <w:rPr>
          <w:rFonts w:asciiTheme="majorHAnsi" w:hAnsiTheme="majorHAnsi"/>
          <w:noProof/>
          <w:szCs w:val="22"/>
        </w:rPr>
        <w:t xml:space="preserve">, </w:t>
      </w:r>
      <w:r w:rsidRPr="003338D7">
        <w:rPr>
          <w:rFonts w:asciiTheme="majorHAnsi" w:hAnsiTheme="majorHAnsi"/>
          <w:i/>
          <w:iCs/>
          <w:noProof/>
          <w:szCs w:val="22"/>
        </w:rPr>
        <w:t>305</w:t>
      </w:r>
      <w:r w:rsidRPr="003338D7">
        <w:rPr>
          <w:rFonts w:asciiTheme="majorHAnsi" w:hAnsiTheme="majorHAnsi"/>
          <w:noProof/>
          <w:szCs w:val="22"/>
        </w:rPr>
        <w:t xml:space="preserve">, 204–211. </w:t>
      </w:r>
      <w:hyperlink r:id="rId752" w:history="1">
        <w:r w:rsidRPr="003338D7">
          <w:rPr>
            <w:rStyle w:val="Hyperlink"/>
            <w:rFonts w:asciiTheme="majorHAnsi" w:hAnsiTheme="majorHAnsi"/>
            <w:noProof/>
            <w:szCs w:val="22"/>
          </w:rPr>
          <w:t>http://doi.org/10.1016/j.foreco.2013.05.041</w:t>
        </w:r>
      </w:hyperlink>
    </w:p>
    <w:p w14:paraId="6BDC8C7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Rehm, E. M., &amp; Feeley, K. J. (2015). The inability of tropical cloud forest species to invade grasslands above treeline during climate change: Potential explanations and consequences. </w:t>
      </w:r>
      <w:r w:rsidRPr="003338D7">
        <w:rPr>
          <w:rFonts w:asciiTheme="majorHAnsi" w:hAnsiTheme="majorHAnsi"/>
          <w:i/>
          <w:iCs/>
          <w:noProof/>
          <w:szCs w:val="22"/>
        </w:rPr>
        <w:t>Ecography</w:t>
      </w:r>
      <w:r w:rsidRPr="003338D7">
        <w:rPr>
          <w:rFonts w:asciiTheme="majorHAnsi" w:hAnsiTheme="majorHAnsi"/>
          <w:noProof/>
          <w:szCs w:val="22"/>
        </w:rPr>
        <w:t xml:space="preserve">, </w:t>
      </w:r>
      <w:r w:rsidRPr="003338D7">
        <w:rPr>
          <w:rFonts w:asciiTheme="majorHAnsi" w:hAnsiTheme="majorHAnsi"/>
          <w:i/>
          <w:iCs/>
          <w:noProof/>
          <w:szCs w:val="22"/>
        </w:rPr>
        <w:t>38</w:t>
      </w:r>
      <w:r w:rsidRPr="003338D7">
        <w:rPr>
          <w:rFonts w:asciiTheme="majorHAnsi" w:hAnsiTheme="majorHAnsi"/>
          <w:noProof/>
          <w:szCs w:val="22"/>
        </w:rPr>
        <w:t xml:space="preserve">(12), 1167–1175. </w:t>
      </w:r>
      <w:hyperlink r:id="rId753" w:history="1">
        <w:r w:rsidRPr="003338D7">
          <w:rPr>
            <w:rStyle w:val="Hyperlink"/>
            <w:rFonts w:asciiTheme="majorHAnsi" w:hAnsiTheme="majorHAnsi"/>
            <w:noProof/>
            <w:szCs w:val="22"/>
          </w:rPr>
          <w:t>http://doi.org/10.1111/ecog.01050</w:t>
        </w:r>
      </w:hyperlink>
    </w:p>
    <w:p w14:paraId="0704EE7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rPr>
        <w:t xml:space="preserve">Rehm, E. M., &amp; Feeley, K. J. (2016). Seedling transplants reveal species-specific responses of high-elevation tropical treeline trees to climate change. </w:t>
      </w:r>
      <w:r w:rsidRPr="003338D7">
        <w:rPr>
          <w:rFonts w:asciiTheme="majorHAnsi" w:hAnsiTheme="majorHAnsi"/>
          <w:i/>
          <w:iCs/>
          <w:noProof/>
          <w:szCs w:val="22"/>
          <w:lang w:val="de-DE"/>
        </w:rPr>
        <w:t>Oecologia</w:t>
      </w:r>
      <w:r w:rsidRPr="003338D7">
        <w:rPr>
          <w:rFonts w:asciiTheme="majorHAnsi" w:hAnsiTheme="majorHAnsi"/>
          <w:noProof/>
          <w:szCs w:val="22"/>
          <w:lang w:val="de-DE"/>
        </w:rPr>
        <w:t xml:space="preserve">, </w:t>
      </w:r>
      <w:r w:rsidRPr="003338D7">
        <w:rPr>
          <w:rFonts w:asciiTheme="majorHAnsi" w:hAnsiTheme="majorHAnsi"/>
          <w:i/>
          <w:iCs/>
          <w:noProof/>
          <w:szCs w:val="22"/>
          <w:lang w:val="de-DE"/>
        </w:rPr>
        <w:t>181</w:t>
      </w:r>
      <w:r w:rsidRPr="003338D7">
        <w:rPr>
          <w:rFonts w:asciiTheme="majorHAnsi" w:hAnsiTheme="majorHAnsi"/>
          <w:noProof/>
          <w:szCs w:val="22"/>
          <w:lang w:val="de-DE"/>
        </w:rPr>
        <w:t xml:space="preserve">(4), 1233–1242. </w:t>
      </w:r>
      <w:hyperlink r:id="rId754" w:history="1">
        <w:r w:rsidRPr="003338D7">
          <w:rPr>
            <w:rStyle w:val="Hyperlink"/>
            <w:rFonts w:asciiTheme="majorHAnsi" w:hAnsiTheme="majorHAnsi"/>
            <w:noProof/>
            <w:szCs w:val="22"/>
            <w:lang w:val="de-DE"/>
          </w:rPr>
          <w:t>http://doi.org/10.1007/s00442-016-3619-0</w:t>
        </w:r>
      </w:hyperlink>
    </w:p>
    <w:p w14:paraId="633D519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Reich, P. B., Tilman, D., Isbell, F., Mueller, K., Hobbie, S. E., Flynn, D. F. B., &amp; Eisenhauer, N. (2012). </w:t>
      </w:r>
      <w:r w:rsidRPr="003338D7">
        <w:rPr>
          <w:rFonts w:asciiTheme="majorHAnsi" w:hAnsiTheme="majorHAnsi"/>
          <w:noProof/>
          <w:szCs w:val="22"/>
        </w:rPr>
        <w:t xml:space="preserve">Impacts of biodiversity loss escalate through time as redundancy fades.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336</w:t>
      </w:r>
      <w:r w:rsidRPr="003338D7">
        <w:rPr>
          <w:rFonts w:asciiTheme="majorHAnsi" w:hAnsiTheme="majorHAnsi"/>
          <w:noProof/>
          <w:szCs w:val="22"/>
        </w:rPr>
        <w:t xml:space="preserve">(6081), 589–592. </w:t>
      </w:r>
      <w:hyperlink r:id="rId755" w:history="1">
        <w:r w:rsidRPr="003338D7">
          <w:rPr>
            <w:rStyle w:val="Hyperlink"/>
            <w:rFonts w:asciiTheme="majorHAnsi" w:hAnsiTheme="majorHAnsi"/>
            <w:noProof/>
            <w:szCs w:val="22"/>
          </w:rPr>
          <w:t>http://doi.org/10.1126/science.1217909</w:t>
        </w:r>
      </w:hyperlink>
    </w:p>
    <w:p w14:paraId="426F686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Reich, P. B., Tilman, D., Naeem, S., Ellsworth, D. S., Knops, J., Craine, J., Wedin, D., &amp; Trost, J. (2004). Species and functional group diversity independently influence biomass accumulation and its response to CO2 and N.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101</w:t>
      </w:r>
      <w:r w:rsidRPr="003338D7">
        <w:rPr>
          <w:rFonts w:asciiTheme="majorHAnsi" w:hAnsiTheme="majorHAnsi"/>
          <w:noProof/>
          <w:szCs w:val="22"/>
          <w:lang w:val="es-ES"/>
        </w:rPr>
        <w:t xml:space="preserve">(27), 10101–10106. </w:t>
      </w:r>
      <w:hyperlink r:id="rId756" w:history="1">
        <w:r w:rsidRPr="003338D7">
          <w:rPr>
            <w:rStyle w:val="Hyperlink"/>
            <w:rFonts w:asciiTheme="majorHAnsi" w:hAnsiTheme="majorHAnsi"/>
            <w:noProof/>
            <w:szCs w:val="22"/>
            <w:lang w:val="es-ES"/>
          </w:rPr>
          <w:t>https://doi.org/10.1073/pnas.0306602101</w:t>
        </w:r>
      </w:hyperlink>
    </w:p>
    <w:p w14:paraId="4704A50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Reichard, S. H., &amp; White, P. (2001). Horticulture as a pathway of invasive plant introductions in the United States most invasive plants have been introduced for horticultural use by nurseries, botanical gardens, and individuals. </w:t>
      </w:r>
      <w:r w:rsidRPr="003338D7">
        <w:rPr>
          <w:rFonts w:asciiTheme="majorHAnsi" w:hAnsiTheme="majorHAnsi"/>
          <w:i/>
          <w:iCs/>
          <w:noProof/>
          <w:szCs w:val="22"/>
          <w:lang w:val="es-ES"/>
        </w:rPr>
        <w:t>BioScience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51</w:t>
      </w:r>
      <w:r w:rsidRPr="003338D7">
        <w:rPr>
          <w:rFonts w:asciiTheme="majorHAnsi" w:hAnsiTheme="majorHAnsi"/>
          <w:noProof/>
          <w:szCs w:val="22"/>
          <w:lang w:val="es-ES"/>
        </w:rPr>
        <w:t xml:space="preserve">(2), 103–113. </w:t>
      </w:r>
      <w:hyperlink r:id="rId757" w:history="1">
        <w:r w:rsidRPr="003338D7">
          <w:rPr>
            <w:rStyle w:val="Hyperlink"/>
            <w:rFonts w:asciiTheme="majorHAnsi" w:hAnsiTheme="majorHAnsi"/>
            <w:noProof/>
            <w:szCs w:val="22"/>
            <w:lang w:val="es-ES"/>
          </w:rPr>
          <w:t>http://doi.org/10.1641/0006-3568(2001)051%5B0103:HAAPOI%5D2.0.CO;2</w:t>
        </w:r>
      </w:hyperlink>
    </w:p>
    <w:p w14:paraId="183D1D6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Reis, R. E., Albert, J. S., Di Dario, F., Mincarone, M. M., Petry, P., &amp; Rocha, L. A. (2016). </w:t>
      </w:r>
      <w:r w:rsidRPr="003338D7">
        <w:rPr>
          <w:rFonts w:asciiTheme="majorHAnsi" w:hAnsiTheme="majorHAnsi"/>
          <w:noProof/>
          <w:szCs w:val="22"/>
        </w:rPr>
        <w:t xml:space="preserve">Fish biodiversity and conservation in South America. </w:t>
      </w:r>
      <w:r w:rsidRPr="003338D7">
        <w:rPr>
          <w:rFonts w:asciiTheme="majorHAnsi" w:hAnsiTheme="majorHAnsi"/>
          <w:i/>
          <w:iCs/>
          <w:noProof/>
          <w:szCs w:val="22"/>
        </w:rPr>
        <w:t>Journal of Fish Biology</w:t>
      </w:r>
      <w:r w:rsidRPr="003338D7">
        <w:rPr>
          <w:rFonts w:asciiTheme="majorHAnsi" w:hAnsiTheme="majorHAnsi"/>
          <w:noProof/>
          <w:szCs w:val="22"/>
        </w:rPr>
        <w:t xml:space="preserve">, </w:t>
      </w:r>
      <w:r w:rsidRPr="003338D7">
        <w:rPr>
          <w:rFonts w:asciiTheme="majorHAnsi" w:hAnsiTheme="majorHAnsi"/>
          <w:i/>
          <w:iCs/>
          <w:noProof/>
          <w:szCs w:val="22"/>
        </w:rPr>
        <w:t>89</w:t>
      </w:r>
      <w:r w:rsidRPr="003338D7">
        <w:rPr>
          <w:rFonts w:asciiTheme="majorHAnsi" w:hAnsiTheme="majorHAnsi"/>
          <w:noProof/>
          <w:szCs w:val="22"/>
        </w:rPr>
        <w:t xml:space="preserve">(1), 12–47. </w:t>
      </w:r>
      <w:hyperlink r:id="rId758" w:history="1">
        <w:r w:rsidRPr="003338D7">
          <w:rPr>
            <w:rStyle w:val="Hyperlink"/>
            <w:rFonts w:asciiTheme="majorHAnsi" w:hAnsiTheme="majorHAnsi"/>
            <w:noProof/>
            <w:szCs w:val="22"/>
          </w:rPr>
          <w:t>http://doi.org/10.1111/jfb.13016</w:t>
        </w:r>
      </w:hyperlink>
    </w:p>
    <w:p w14:paraId="7B9D899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Rejmánek, M. (1996). Species richness and resistance to invasions. In G. Orians, R. Dirzo, &amp; J. H. Cushman (Eds.), </w:t>
      </w:r>
      <w:r w:rsidRPr="003338D7">
        <w:rPr>
          <w:rFonts w:asciiTheme="majorHAnsi" w:hAnsiTheme="majorHAnsi"/>
          <w:i/>
          <w:iCs/>
          <w:noProof/>
          <w:szCs w:val="22"/>
        </w:rPr>
        <w:t>Biodiversity and Ecosystem Processes in Tropical Forests. Ecological Studies (Analysis and Synthesis)</w:t>
      </w:r>
      <w:r w:rsidRPr="003338D7">
        <w:rPr>
          <w:rFonts w:asciiTheme="majorHAnsi" w:hAnsiTheme="majorHAnsi"/>
          <w:noProof/>
          <w:szCs w:val="22"/>
        </w:rPr>
        <w:t xml:space="preserve"> (Vol. 122, pp. 153–172). Berlin, Germany: Springer Verlag.</w:t>
      </w:r>
    </w:p>
    <w:p w14:paraId="65B3BD1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Rejmánek, M. (2017). Vascular plant extinctions in California: a critical assessment. </w:t>
      </w:r>
      <w:r w:rsidRPr="003338D7">
        <w:rPr>
          <w:rFonts w:asciiTheme="majorHAnsi" w:hAnsiTheme="majorHAnsi"/>
          <w:i/>
          <w:iCs/>
          <w:noProof/>
          <w:szCs w:val="22"/>
        </w:rPr>
        <w:t>Diversity and Distributions</w:t>
      </w:r>
      <w:r w:rsidRPr="003338D7">
        <w:rPr>
          <w:rFonts w:asciiTheme="majorHAnsi" w:hAnsiTheme="majorHAnsi"/>
          <w:noProof/>
          <w:szCs w:val="22"/>
        </w:rPr>
        <w:t xml:space="preserve">, </w:t>
      </w:r>
      <w:r w:rsidRPr="003338D7">
        <w:rPr>
          <w:rFonts w:asciiTheme="majorHAnsi" w:hAnsiTheme="majorHAnsi"/>
          <w:i/>
          <w:iCs/>
          <w:noProof/>
          <w:szCs w:val="22"/>
        </w:rPr>
        <w:t>24</w:t>
      </w:r>
      <w:r w:rsidRPr="003338D7">
        <w:rPr>
          <w:rFonts w:asciiTheme="majorHAnsi" w:hAnsiTheme="majorHAnsi"/>
          <w:noProof/>
          <w:szCs w:val="22"/>
        </w:rPr>
        <w:t xml:space="preserve">(1), 129–136. </w:t>
      </w:r>
      <w:hyperlink r:id="rId759" w:history="1">
        <w:r w:rsidRPr="003338D7">
          <w:rPr>
            <w:rStyle w:val="Hyperlink"/>
            <w:rFonts w:asciiTheme="majorHAnsi" w:hAnsiTheme="majorHAnsi"/>
            <w:noProof/>
            <w:szCs w:val="22"/>
          </w:rPr>
          <w:t>http://doi.org/10.1111/ddi.12665</w:t>
        </w:r>
      </w:hyperlink>
    </w:p>
    <w:p w14:paraId="3B6A22C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Rennert, K. J., Roe, G., Putkonen, J., &amp; Bitz, C. M. (2009). Soil thermal and ecological impacts of rain on snow events in the circumpolar Arctic. </w:t>
      </w:r>
      <w:r w:rsidRPr="003338D7">
        <w:rPr>
          <w:rFonts w:asciiTheme="majorHAnsi" w:hAnsiTheme="majorHAnsi"/>
          <w:i/>
          <w:iCs/>
          <w:noProof/>
          <w:szCs w:val="22"/>
        </w:rPr>
        <w:t>Journal of Climate</w:t>
      </w:r>
      <w:r w:rsidRPr="003338D7">
        <w:rPr>
          <w:rFonts w:asciiTheme="majorHAnsi" w:hAnsiTheme="majorHAnsi"/>
          <w:noProof/>
          <w:szCs w:val="22"/>
        </w:rPr>
        <w:t xml:space="preserve">, </w:t>
      </w:r>
      <w:r w:rsidRPr="003338D7">
        <w:rPr>
          <w:rFonts w:asciiTheme="majorHAnsi" w:hAnsiTheme="majorHAnsi"/>
          <w:i/>
          <w:iCs/>
          <w:noProof/>
          <w:szCs w:val="22"/>
        </w:rPr>
        <w:t>22</w:t>
      </w:r>
      <w:r w:rsidRPr="003338D7">
        <w:rPr>
          <w:rFonts w:asciiTheme="majorHAnsi" w:hAnsiTheme="majorHAnsi"/>
          <w:noProof/>
          <w:szCs w:val="22"/>
        </w:rPr>
        <w:t xml:space="preserve">(9), 2302–2315. </w:t>
      </w:r>
      <w:hyperlink r:id="rId760" w:history="1">
        <w:r w:rsidRPr="003338D7">
          <w:rPr>
            <w:rStyle w:val="Hyperlink"/>
            <w:rFonts w:asciiTheme="majorHAnsi" w:hAnsiTheme="majorHAnsi"/>
            <w:noProof/>
            <w:szCs w:val="22"/>
          </w:rPr>
          <w:t>http://doi.org/10.1175/2008JCLI2117.1</w:t>
        </w:r>
      </w:hyperlink>
    </w:p>
    <w:p w14:paraId="71C4023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Resner, K., Yoo, K., Sebestyen, S. D., Aufdenkampe, A., Hale, C., Lyttle, A., &amp; Blum, A. (2015). Invasive earthworms deplete key soil inorganic nutrients (Ca, Mg, K, and P) in a northern hardwood forest. </w:t>
      </w:r>
      <w:r w:rsidRPr="003338D7">
        <w:rPr>
          <w:rFonts w:asciiTheme="majorHAnsi" w:hAnsiTheme="majorHAnsi"/>
          <w:i/>
          <w:iCs/>
          <w:noProof/>
          <w:szCs w:val="22"/>
        </w:rPr>
        <w:t>Ecosystems</w:t>
      </w:r>
      <w:r w:rsidRPr="003338D7">
        <w:rPr>
          <w:rFonts w:asciiTheme="majorHAnsi" w:hAnsiTheme="majorHAnsi"/>
          <w:noProof/>
          <w:szCs w:val="22"/>
        </w:rPr>
        <w:t xml:space="preserve">, </w:t>
      </w:r>
      <w:r w:rsidRPr="003338D7">
        <w:rPr>
          <w:rFonts w:asciiTheme="majorHAnsi" w:hAnsiTheme="majorHAnsi"/>
          <w:i/>
          <w:iCs/>
          <w:noProof/>
          <w:szCs w:val="22"/>
        </w:rPr>
        <w:t>18</w:t>
      </w:r>
      <w:r w:rsidRPr="003338D7">
        <w:rPr>
          <w:rFonts w:asciiTheme="majorHAnsi" w:hAnsiTheme="majorHAnsi"/>
          <w:noProof/>
          <w:szCs w:val="22"/>
        </w:rPr>
        <w:t xml:space="preserve">(1), 89–102. </w:t>
      </w:r>
      <w:hyperlink r:id="rId761" w:history="1">
        <w:r w:rsidRPr="003338D7">
          <w:rPr>
            <w:rStyle w:val="Hyperlink"/>
            <w:rFonts w:asciiTheme="majorHAnsi" w:hAnsiTheme="majorHAnsi"/>
            <w:noProof/>
            <w:szCs w:val="22"/>
          </w:rPr>
          <w:t>http://doi.org/10.1007/s10021-014-9814-0</w:t>
        </w:r>
      </w:hyperlink>
    </w:p>
    <w:p w14:paraId="079578A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Revenga, C., &amp; Kura, Y. (2003). </w:t>
      </w:r>
      <w:r w:rsidRPr="003338D7">
        <w:rPr>
          <w:rFonts w:asciiTheme="majorHAnsi" w:hAnsiTheme="majorHAnsi"/>
          <w:i/>
          <w:iCs/>
          <w:noProof/>
          <w:szCs w:val="22"/>
        </w:rPr>
        <w:t>Status and Trends of Biodiversity of Inland Water Ecosystems</w:t>
      </w:r>
      <w:r w:rsidRPr="003338D7">
        <w:rPr>
          <w:rFonts w:asciiTheme="majorHAnsi" w:hAnsiTheme="majorHAnsi"/>
          <w:noProof/>
          <w:szCs w:val="22"/>
        </w:rPr>
        <w:t xml:space="preserve">. </w:t>
      </w:r>
      <w:r w:rsidRPr="003338D7">
        <w:rPr>
          <w:rFonts w:asciiTheme="majorHAnsi" w:hAnsiTheme="majorHAnsi"/>
          <w:i/>
          <w:iCs/>
          <w:noProof/>
          <w:szCs w:val="22"/>
        </w:rPr>
        <w:t>Technical Series No. 11</w:t>
      </w:r>
      <w:r w:rsidRPr="003338D7">
        <w:rPr>
          <w:rFonts w:asciiTheme="majorHAnsi" w:hAnsiTheme="majorHAnsi"/>
          <w:noProof/>
          <w:szCs w:val="22"/>
        </w:rPr>
        <w:t>. Montreal, Canada: Secretariat of the Convention on Biological Diversity.</w:t>
      </w:r>
    </w:p>
    <w:p w14:paraId="0C4290F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Reyes, S., &amp; Figueroa, I. M. (2010). Distribución, superficie y accesibilidad de las áreas verdes en Santiago de Chile. </w:t>
      </w:r>
      <w:r w:rsidRPr="003338D7">
        <w:rPr>
          <w:rFonts w:asciiTheme="majorHAnsi" w:hAnsiTheme="majorHAnsi"/>
          <w:i/>
          <w:iCs/>
          <w:noProof/>
          <w:szCs w:val="22"/>
          <w:lang w:val="es-ES"/>
        </w:rPr>
        <w:t>EURE Revista Latinoamericana de Estudios Urbanos Regionales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36</w:t>
      </w:r>
      <w:r w:rsidRPr="003338D7">
        <w:rPr>
          <w:rFonts w:asciiTheme="majorHAnsi" w:hAnsiTheme="majorHAnsi"/>
          <w:noProof/>
          <w:szCs w:val="22"/>
          <w:lang w:val="es-ES"/>
        </w:rPr>
        <w:t xml:space="preserve">(109), 89–110. </w:t>
      </w:r>
      <w:hyperlink r:id="rId762" w:history="1">
        <w:r w:rsidRPr="003338D7">
          <w:rPr>
            <w:rStyle w:val="Hyperlink"/>
            <w:rFonts w:asciiTheme="majorHAnsi" w:hAnsiTheme="majorHAnsi"/>
            <w:noProof/>
            <w:szCs w:val="22"/>
            <w:lang w:val="es-ES"/>
          </w:rPr>
          <w:t>http://doi.org/10.4067/S0250-71612010000300004</w:t>
        </w:r>
      </w:hyperlink>
    </w:p>
    <w:p w14:paraId="70BEFAB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Rezende, V. L. (2017). Tree species distribution and phylogenetic diversity across southern South America. </w:t>
      </w:r>
      <w:r w:rsidRPr="003338D7">
        <w:rPr>
          <w:rFonts w:asciiTheme="majorHAnsi" w:hAnsiTheme="majorHAnsi"/>
          <w:i/>
          <w:iCs/>
          <w:noProof/>
          <w:szCs w:val="22"/>
        </w:rPr>
        <w:t>Frontiers of Biogeography</w:t>
      </w:r>
      <w:r w:rsidRPr="003338D7">
        <w:rPr>
          <w:rFonts w:asciiTheme="majorHAnsi" w:hAnsiTheme="majorHAnsi"/>
          <w:noProof/>
          <w:szCs w:val="22"/>
        </w:rPr>
        <w:t xml:space="preserve">, </w:t>
      </w:r>
      <w:r w:rsidRPr="003338D7">
        <w:rPr>
          <w:rFonts w:asciiTheme="majorHAnsi" w:hAnsiTheme="majorHAnsi"/>
          <w:i/>
          <w:iCs/>
          <w:noProof/>
          <w:szCs w:val="22"/>
        </w:rPr>
        <w:t>9</w:t>
      </w:r>
      <w:r w:rsidRPr="003338D7">
        <w:rPr>
          <w:rFonts w:asciiTheme="majorHAnsi" w:hAnsiTheme="majorHAnsi"/>
          <w:noProof/>
          <w:szCs w:val="22"/>
        </w:rPr>
        <w:t xml:space="preserve">(2), 0–6. </w:t>
      </w:r>
      <w:hyperlink r:id="rId763" w:history="1">
        <w:r w:rsidRPr="003338D7">
          <w:rPr>
            <w:rStyle w:val="Hyperlink"/>
            <w:rFonts w:asciiTheme="majorHAnsi" w:hAnsiTheme="majorHAnsi"/>
            <w:noProof/>
            <w:szCs w:val="22"/>
          </w:rPr>
          <w:t>http://doi.org/10.21425/F59232082</w:t>
        </w:r>
      </w:hyperlink>
    </w:p>
    <w:p w14:paraId="69A5FD4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Ribeiro, M. C., Martensen, A. C., Metzger, J. P., Tabarelli, M., Scarano, F., &amp; Fortin, M. J. (2011). The Brazilian Atlantic Forest: a shrinking biodiversity hotspot. In F. Zachos &amp; J. Habel (Eds.), </w:t>
      </w:r>
      <w:r w:rsidRPr="003338D7">
        <w:rPr>
          <w:rFonts w:asciiTheme="majorHAnsi" w:hAnsiTheme="majorHAnsi"/>
          <w:i/>
          <w:iCs/>
          <w:noProof/>
          <w:szCs w:val="22"/>
        </w:rPr>
        <w:t>Biodiversity Hotspots: Distribution and Protection of Conservation Priority Areas</w:t>
      </w:r>
      <w:r w:rsidRPr="003338D7">
        <w:rPr>
          <w:rFonts w:asciiTheme="majorHAnsi" w:hAnsiTheme="majorHAnsi"/>
          <w:noProof/>
          <w:szCs w:val="22"/>
        </w:rPr>
        <w:t xml:space="preserve"> (pp. 405–434). Berlin, Germany: Springer.</w:t>
      </w:r>
    </w:p>
    <w:p w14:paraId="1FF3485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Ricciardi, A. (2006). Patterns of invasion in the Laurentian Great Lakes in relation to changes in vector activity. </w:t>
      </w:r>
      <w:r w:rsidRPr="003338D7">
        <w:rPr>
          <w:rFonts w:asciiTheme="majorHAnsi" w:hAnsiTheme="majorHAnsi"/>
          <w:i/>
          <w:iCs/>
          <w:noProof/>
          <w:szCs w:val="22"/>
        </w:rPr>
        <w:t>Diversity and Distributions</w:t>
      </w:r>
      <w:r w:rsidRPr="003338D7">
        <w:rPr>
          <w:rFonts w:asciiTheme="majorHAnsi" w:hAnsiTheme="majorHAnsi"/>
          <w:noProof/>
          <w:szCs w:val="22"/>
        </w:rPr>
        <w:t xml:space="preserve">, </w:t>
      </w:r>
      <w:r w:rsidRPr="003338D7">
        <w:rPr>
          <w:rFonts w:asciiTheme="majorHAnsi" w:hAnsiTheme="majorHAnsi"/>
          <w:i/>
          <w:iCs/>
          <w:noProof/>
          <w:szCs w:val="22"/>
        </w:rPr>
        <w:t>12</w:t>
      </w:r>
      <w:r w:rsidRPr="003338D7">
        <w:rPr>
          <w:rFonts w:asciiTheme="majorHAnsi" w:hAnsiTheme="majorHAnsi"/>
          <w:noProof/>
          <w:szCs w:val="22"/>
        </w:rPr>
        <w:t xml:space="preserve">(4), 425–433. </w:t>
      </w:r>
      <w:hyperlink r:id="rId764" w:history="1">
        <w:r w:rsidRPr="003338D7">
          <w:rPr>
            <w:rStyle w:val="Hyperlink"/>
            <w:rFonts w:asciiTheme="majorHAnsi" w:hAnsiTheme="majorHAnsi"/>
            <w:noProof/>
            <w:szCs w:val="22"/>
          </w:rPr>
          <w:t>http://doi.org/10.1111/j.1366-9516.2006.00262.x</w:t>
        </w:r>
      </w:hyperlink>
    </w:p>
    <w:p w14:paraId="532A20F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Richardson, D. M., Williams, P. A., &amp; Hobbs, R. J. (1994). Pine invasions in the southern hemisphere: determinants of spread and invadability. </w:t>
      </w:r>
      <w:r w:rsidRPr="003338D7">
        <w:rPr>
          <w:rFonts w:asciiTheme="majorHAnsi" w:hAnsiTheme="majorHAnsi"/>
          <w:i/>
          <w:iCs/>
          <w:noProof/>
          <w:szCs w:val="22"/>
        </w:rPr>
        <w:t>Journal of Biogeography</w:t>
      </w:r>
      <w:r w:rsidRPr="003338D7">
        <w:rPr>
          <w:rFonts w:asciiTheme="majorHAnsi" w:hAnsiTheme="majorHAnsi"/>
          <w:noProof/>
          <w:szCs w:val="22"/>
        </w:rPr>
        <w:t xml:space="preserve">, </w:t>
      </w:r>
      <w:r w:rsidRPr="003338D7">
        <w:rPr>
          <w:rFonts w:asciiTheme="majorHAnsi" w:hAnsiTheme="majorHAnsi"/>
          <w:i/>
          <w:iCs/>
          <w:noProof/>
          <w:szCs w:val="22"/>
        </w:rPr>
        <w:t>21</w:t>
      </w:r>
      <w:r w:rsidRPr="003338D7">
        <w:rPr>
          <w:rFonts w:asciiTheme="majorHAnsi" w:hAnsiTheme="majorHAnsi"/>
          <w:noProof/>
          <w:szCs w:val="22"/>
        </w:rPr>
        <w:t>(5), 511–527.</w:t>
      </w:r>
    </w:p>
    <w:p w14:paraId="12409AC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Ricketts, T. H., Dinerstein, E., Boucher, T., Brooks, T. M., Butchart, S. H. M., Hoffmann, M., Lamoreux, J. F., Morrison, J., Parr, M., Pilgrim, J. D., Rodrigues, A. S. L., Sechrest, W., Wallace, G. E., Berlin, K., Bielby, J., Burgess, N. D., Church, D. R., Cox, N., Knox, D., Loucks, C., Luck, G. W., Master, L. L., Moore, R., Naidoo, R., Ridgely, R., Schatz, G. E., Shire, G., Strand, H., Wettengel, W., &amp; Wikramanayake, E. (2005). Pinpointing and preventing imminent extinctions.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102</w:t>
      </w:r>
      <w:r w:rsidRPr="003338D7">
        <w:rPr>
          <w:rFonts w:asciiTheme="majorHAnsi" w:hAnsiTheme="majorHAnsi"/>
          <w:noProof/>
          <w:szCs w:val="22"/>
          <w:lang w:val="es-ES"/>
        </w:rPr>
        <w:t xml:space="preserve">(51), 18497–18501. </w:t>
      </w:r>
      <w:hyperlink r:id="rId765" w:history="1">
        <w:r w:rsidRPr="003338D7">
          <w:rPr>
            <w:rStyle w:val="Hyperlink"/>
            <w:rFonts w:asciiTheme="majorHAnsi" w:hAnsiTheme="majorHAnsi"/>
            <w:noProof/>
            <w:szCs w:val="22"/>
            <w:lang w:val="es-ES"/>
          </w:rPr>
          <w:t>https://doi.org/10.1073/pnas.0509060102</w:t>
        </w:r>
      </w:hyperlink>
    </w:p>
    <w:p w14:paraId="537D6F7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Ricketts, T. H., Regetz, J., Steffan</w:t>
      </w:r>
      <w:r w:rsidRPr="003338D7">
        <w:rPr>
          <w:rFonts w:asciiTheme="majorHAnsi" w:hAnsiTheme="majorHAnsi" w:cs="Noteworthy Bold"/>
          <w:noProof/>
          <w:szCs w:val="22"/>
          <w:lang w:val="es-ES"/>
        </w:rPr>
        <w:t>‐</w:t>
      </w:r>
      <w:r w:rsidRPr="003338D7">
        <w:rPr>
          <w:rFonts w:asciiTheme="majorHAnsi" w:hAnsiTheme="majorHAnsi"/>
          <w:noProof/>
          <w:szCs w:val="22"/>
          <w:lang w:val="es-ES"/>
        </w:rPr>
        <w:t>Dewenter, I., Cunningham, S. A., Kremen, C., Bogdanski, A., Gemmill</w:t>
      </w:r>
      <w:r w:rsidRPr="003338D7">
        <w:rPr>
          <w:rFonts w:asciiTheme="majorHAnsi" w:hAnsiTheme="majorHAnsi" w:cs="Noteworthy Bold"/>
          <w:noProof/>
          <w:szCs w:val="22"/>
          <w:lang w:val="es-ES"/>
        </w:rPr>
        <w:t>‐</w:t>
      </w:r>
      <w:r w:rsidRPr="003338D7">
        <w:rPr>
          <w:rFonts w:asciiTheme="majorHAnsi" w:hAnsiTheme="majorHAnsi"/>
          <w:noProof/>
          <w:szCs w:val="22"/>
          <w:lang w:val="es-ES"/>
        </w:rPr>
        <w:t xml:space="preserve">Herren, B., Greenleaf, S. S., Klein, A. M., Mayfield, M. M., Morandin, L. A., Ochieng’, A., &amp; Viana, B. F. (2008). Landscape effects on crop pollination services: are there general patterns? </w:t>
      </w:r>
      <w:r w:rsidRPr="003338D7">
        <w:rPr>
          <w:rFonts w:asciiTheme="majorHAnsi" w:hAnsiTheme="majorHAnsi"/>
          <w:i/>
          <w:iCs/>
          <w:noProof/>
          <w:szCs w:val="22"/>
          <w:lang w:val="es-ES"/>
        </w:rPr>
        <w:t>Ecology Letters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11</w:t>
      </w:r>
      <w:r w:rsidRPr="003338D7">
        <w:rPr>
          <w:rFonts w:asciiTheme="majorHAnsi" w:hAnsiTheme="majorHAnsi"/>
          <w:noProof/>
          <w:szCs w:val="22"/>
          <w:lang w:val="es-ES"/>
        </w:rPr>
        <w:t xml:space="preserve">(5), 499–515. </w:t>
      </w:r>
      <w:hyperlink r:id="rId766" w:history="1">
        <w:r w:rsidRPr="003338D7">
          <w:rPr>
            <w:rStyle w:val="Hyperlink"/>
            <w:rFonts w:asciiTheme="majorHAnsi" w:hAnsiTheme="majorHAnsi"/>
            <w:noProof/>
            <w:szCs w:val="22"/>
            <w:lang w:val="es-ES"/>
          </w:rPr>
          <w:t>https://doi.org/10.1111/j.1461-0248.2008.01157.x</w:t>
        </w:r>
      </w:hyperlink>
    </w:p>
    <w:p w14:paraId="0E2B3A6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Rimski-Korsakov, H., Zubillaga, M. S., Landriscini, M. R., &amp; Lavado, R. S. (2016). </w:t>
      </w:r>
      <w:r w:rsidRPr="003338D7">
        <w:rPr>
          <w:rFonts w:asciiTheme="majorHAnsi" w:hAnsiTheme="majorHAnsi"/>
          <w:noProof/>
          <w:szCs w:val="22"/>
        </w:rPr>
        <w:t xml:space="preserve">Maize and cover crop sequence in the Pampas: effect of fertilization and water stress on the fate of nitrogen. </w:t>
      </w:r>
      <w:r w:rsidRPr="003338D7">
        <w:rPr>
          <w:rFonts w:asciiTheme="majorHAnsi" w:hAnsiTheme="majorHAnsi"/>
          <w:i/>
          <w:iCs/>
          <w:noProof/>
          <w:szCs w:val="22"/>
        </w:rPr>
        <w:t>Journal of Soil and Water Conservation</w:t>
      </w:r>
      <w:r w:rsidRPr="003338D7">
        <w:rPr>
          <w:rFonts w:asciiTheme="majorHAnsi" w:hAnsiTheme="majorHAnsi"/>
          <w:noProof/>
          <w:szCs w:val="22"/>
        </w:rPr>
        <w:t xml:space="preserve">, </w:t>
      </w:r>
      <w:r w:rsidRPr="003338D7">
        <w:rPr>
          <w:rFonts w:asciiTheme="majorHAnsi" w:hAnsiTheme="majorHAnsi"/>
          <w:i/>
          <w:iCs/>
          <w:noProof/>
          <w:szCs w:val="22"/>
        </w:rPr>
        <w:t>71</w:t>
      </w:r>
      <w:r w:rsidRPr="003338D7">
        <w:rPr>
          <w:rFonts w:asciiTheme="majorHAnsi" w:hAnsiTheme="majorHAnsi"/>
          <w:noProof/>
          <w:szCs w:val="22"/>
        </w:rPr>
        <w:t xml:space="preserve">(1), 12–20. </w:t>
      </w:r>
      <w:hyperlink r:id="rId767" w:history="1">
        <w:r w:rsidRPr="003338D7">
          <w:rPr>
            <w:rStyle w:val="Hyperlink"/>
            <w:rFonts w:asciiTheme="majorHAnsi" w:hAnsiTheme="majorHAnsi"/>
            <w:noProof/>
            <w:szCs w:val="22"/>
          </w:rPr>
          <w:t>http://doi.org/10.2489/jswc.71.1.12</w:t>
        </w:r>
      </w:hyperlink>
    </w:p>
    <w:p w14:paraId="2B6B232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Roberts, P., Hunt, C., Arroyo-Kalin, M., Evans, D., &amp; Boivin, N. (2017). The deep human prehistory of global tropical forests and its relevance for modern conservation. </w:t>
      </w:r>
      <w:r w:rsidRPr="003338D7">
        <w:rPr>
          <w:rFonts w:asciiTheme="majorHAnsi" w:hAnsiTheme="majorHAnsi"/>
          <w:i/>
          <w:iCs/>
          <w:noProof/>
          <w:szCs w:val="22"/>
        </w:rPr>
        <w:t>Nature Plants</w:t>
      </w:r>
      <w:r w:rsidRPr="003338D7">
        <w:rPr>
          <w:rFonts w:asciiTheme="majorHAnsi" w:hAnsiTheme="majorHAnsi"/>
          <w:noProof/>
          <w:szCs w:val="22"/>
        </w:rPr>
        <w:t xml:space="preserve">, </w:t>
      </w:r>
      <w:r w:rsidRPr="003338D7">
        <w:rPr>
          <w:rFonts w:asciiTheme="majorHAnsi" w:hAnsiTheme="majorHAnsi"/>
          <w:i/>
          <w:iCs/>
          <w:noProof/>
          <w:szCs w:val="22"/>
        </w:rPr>
        <w:t>3</w:t>
      </w:r>
      <w:r w:rsidRPr="003338D7">
        <w:rPr>
          <w:rFonts w:asciiTheme="majorHAnsi" w:hAnsiTheme="majorHAnsi"/>
          <w:noProof/>
          <w:szCs w:val="22"/>
        </w:rPr>
        <w:t xml:space="preserve">(8), 17093. </w:t>
      </w:r>
      <w:hyperlink r:id="rId768" w:history="1">
        <w:r w:rsidRPr="003338D7">
          <w:rPr>
            <w:rStyle w:val="Hyperlink"/>
            <w:rFonts w:asciiTheme="majorHAnsi" w:hAnsiTheme="majorHAnsi"/>
            <w:noProof/>
            <w:szCs w:val="22"/>
          </w:rPr>
          <w:t>http://doi.org/10.1038/nplants.2017.93</w:t>
        </w:r>
      </w:hyperlink>
    </w:p>
    <w:p w14:paraId="48317F4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Robinson, R. A., Lawson, B., Toms, M. P., Peck, K. M., Kirkwood, J. K., Chantrey, J., Clatworthy, I. R., Evans, A. D., Hughes, L. A., Hutchinson, O. C., John, S. K., Pennycott, T. W., Perkins, M. W., Rowley, P. S., Simpson, V. R., Tyler, K. M., &amp; Cunningham, A. A. (2010). Emerging infectious disease leads to rapid population declines of common british birds.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w:t>
      </w:r>
      <w:r w:rsidRPr="003338D7">
        <w:rPr>
          <w:rFonts w:asciiTheme="majorHAnsi" w:hAnsiTheme="majorHAnsi"/>
          <w:noProof/>
          <w:szCs w:val="22"/>
          <w:lang w:val="es-ES"/>
        </w:rPr>
        <w:t xml:space="preserve">(8), e12215. </w:t>
      </w:r>
      <w:hyperlink r:id="rId769" w:history="1">
        <w:r w:rsidRPr="003338D7">
          <w:rPr>
            <w:rStyle w:val="Hyperlink"/>
            <w:rFonts w:asciiTheme="majorHAnsi" w:hAnsiTheme="majorHAnsi"/>
            <w:noProof/>
            <w:szCs w:val="22"/>
            <w:lang w:val="es-ES"/>
          </w:rPr>
          <w:t>https://doi.org/10.1371/journal.pone.0012215</w:t>
        </w:r>
      </w:hyperlink>
    </w:p>
    <w:p w14:paraId="2DED231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Robson, J., &amp; Berkes, F. (2012). Sacred nature and community conserved areas. In S. Pilgrim &amp; J. Pretty (Eds.), </w:t>
      </w:r>
      <w:r w:rsidRPr="003338D7">
        <w:rPr>
          <w:rFonts w:asciiTheme="majorHAnsi" w:hAnsiTheme="majorHAnsi"/>
          <w:i/>
          <w:iCs/>
          <w:noProof/>
          <w:szCs w:val="22"/>
        </w:rPr>
        <w:t>Nature and Culture: Rebuilding Lost Connections</w:t>
      </w:r>
      <w:r w:rsidRPr="003338D7">
        <w:rPr>
          <w:rFonts w:asciiTheme="majorHAnsi" w:hAnsiTheme="majorHAnsi"/>
          <w:noProof/>
          <w:szCs w:val="22"/>
        </w:rPr>
        <w:t xml:space="preserve"> (pp. 197–216). London, UK and Washington DC., USA: Earthscan.</w:t>
      </w:r>
    </w:p>
    <w:p w14:paraId="7D67B75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Rodewald, P. (Ed.). (2015). </w:t>
      </w:r>
      <w:r w:rsidRPr="003338D7">
        <w:rPr>
          <w:rFonts w:asciiTheme="majorHAnsi" w:hAnsiTheme="majorHAnsi"/>
          <w:i/>
          <w:iCs/>
          <w:noProof/>
          <w:szCs w:val="22"/>
        </w:rPr>
        <w:t>The Birds of North America</w:t>
      </w:r>
      <w:r w:rsidRPr="003338D7">
        <w:rPr>
          <w:rFonts w:asciiTheme="majorHAnsi" w:hAnsiTheme="majorHAnsi"/>
          <w:noProof/>
          <w:szCs w:val="22"/>
        </w:rPr>
        <w:t xml:space="preserve">. Ithaca, USA: Cornell Laboratory of Ornithology. Retrieved from </w:t>
      </w:r>
      <w:hyperlink r:id="rId770" w:history="1">
        <w:r w:rsidRPr="003338D7">
          <w:rPr>
            <w:rStyle w:val="Hyperlink"/>
            <w:rFonts w:asciiTheme="majorHAnsi" w:hAnsiTheme="majorHAnsi"/>
            <w:noProof/>
            <w:szCs w:val="22"/>
          </w:rPr>
          <w:t>https://birdsna.org</w:t>
        </w:r>
      </w:hyperlink>
    </w:p>
    <w:p w14:paraId="0EF269B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Rodrigue, J. P., Slack, B., &amp; Blank, S. (2017). Gateways and transport corridors in North America. In J. P. Rodrigue, C. Comotois, &amp; B. Slack (Eds.), </w:t>
      </w:r>
      <w:r w:rsidRPr="003338D7">
        <w:rPr>
          <w:rFonts w:asciiTheme="majorHAnsi" w:hAnsiTheme="majorHAnsi"/>
          <w:i/>
          <w:iCs/>
          <w:noProof/>
          <w:szCs w:val="22"/>
        </w:rPr>
        <w:t>The Geography of Transport Systems</w:t>
      </w:r>
      <w:r w:rsidRPr="003338D7">
        <w:rPr>
          <w:rFonts w:asciiTheme="majorHAnsi" w:hAnsiTheme="majorHAnsi"/>
          <w:noProof/>
          <w:szCs w:val="22"/>
        </w:rPr>
        <w:t xml:space="preserve"> (4th ed.). New York, USA: Routledge Taylor &amp; Francis Group.</w:t>
      </w:r>
    </w:p>
    <w:p w14:paraId="04CE5FE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Rodrigues, A. S. L., Brooks, T. M., Butchart, S. H. M., Chanson, J., Cox, N., Hoffmann, M., &amp; Stuart, S. N. (2014). Spatially explicit trends in the global conservation status of vertebrates.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w:t>
      </w:r>
      <w:r w:rsidRPr="003338D7">
        <w:rPr>
          <w:rFonts w:asciiTheme="majorHAnsi" w:hAnsiTheme="majorHAnsi"/>
          <w:noProof/>
          <w:szCs w:val="22"/>
          <w:lang w:val="es-ES"/>
        </w:rPr>
        <w:t>(11), e113934.</w:t>
      </w:r>
      <w:hyperlink r:id="rId771" w:history="1">
        <w:r w:rsidRPr="003338D7">
          <w:rPr>
            <w:rStyle w:val="Hyperlink"/>
            <w:rFonts w:asciiTheme="majorHAnsi" w:hAnsiTheme="majorHAnsi"/>
            <w:noProof/>
            <w:szCs w:val="22"/>
            <w:lang w:val="es-ES"/>
          </w:rPr>
          <w:t>http://doi.org/10.1371/journal.pone.0113934</w:t>
        </w:r>
      </w:hyperlink>
    </w:p>
    <w:p w14:paraId="7C430E1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Rodrigues da Silva, Ú. S., &amp; Matos, D. M. D. S. (2006). </w:t>
      </w:r>
      <w:r w:rsidRPr="003338D7">
        <w:rPr>
          <w:rFonts w:asciiTheme="majorHAnsi" w:hAnsiTheme="majorHAnsi"/>
          <w:noProof/>
          <w:szCs w:val="22"/>
        </w:rPr>
        <w:t xml:space="preserve">The invasion of </w:t>
      </w:r>
      <w:r w:rsidRPr="003338D7">
        <w:rPr>
          <w:rFonts w:asciiTheme="majorHAnsi" w:hAnsiTheme="majorHAnsi"/>
          <w:i/>
          <w:noProof/>
          <w:szCs w:val="22"/>
        </w:rPr>
        <w:t>Pteridium aquilinum</w:t>
      </w:r>
      <w:r w:rsidRPr="003338D7">
        <w:rPr>
          <w:rFonts w:asciiTheme="majorHAnsi" w:hAnsiTheme="majorHAnsi"/>
          <w:noProof/>
          <w:szCs w:val="22"/>
        </w:rPr>
        <w:t xml:space="preserve"> and the impoverishment of the seed bank in fire prone areas of Brazilian Atlantic Forest.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15</w:t>
      </w:r>
      <w:r w:rsidRPr="003338D7">
        <w:rPr>
          <w:rFonts w:asciiTheme="majorHAnsi" w:hAnsiTheme="majorHAnsi"/>
          <w:noProof/>
          <w:szCs w:val="22"/>
        </w:rPr>
        <w:t xml:space="preserve">(9), 3035–3043. </w:t>
      </w:r>
      <w:hyperlink r:id="rId772" w:history="1">
        <w:r w:rsidRPr="003338D7">
          <w:rPr>
            <w:rStyle w:val="Hyperlink"/>
            <w:rFonts w:asciiTheme="majorHAnsi" w:hAnsiTheme="majorHAnsi"/>
            <w:noProof/>
            <w:szCs w:val="22"/>
          </w:rPr>
          <w:t>http://doi.org/10.1007/s10531-005-4877-z</w:t>
        </w:r>
      </w:hyperlink>
    </w:p>
    <w:p w14:paraId="33817AE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Rodríguez-Catón, M., Villalba, R., Morales, M., &amp; Srur, A. (2016). Influence of droughts on </w:t>
      </w:r>
      <w:r w:rsidRPr="003338D7">
        <w:rPr>
          <w:rFonts w:asciiTheme="majorHAnsi" w:hAnsiTheme="majorHAnsi"/>
          <w:i/>
          <w:iCs/>
          <w:noProof/>
          <w:szCs w:val="22"/>
        </w:rPr>
        <w:t>Nothofagus pumilio</w:t>
      </w:r>
      <w:r w:rsidRPr="003338D7">
        <w:rPr>
          <w:rFonts w:asciiTheme="majorHAnsi" w:hAnsiTheme="majorHAnsi"/>
          <w:noProof/>
          <w:szCs w:val="22"/>
        </w:rPr>
        <w:t xml:space="preserve"> forest decline across northern Patagonia, Argentina. </w:t>
      </w:r>
      <w:r w:rsidRPr="003338D7">
        <w:rPr>
          <w:rFonts w:asciiTheme="majorHAnsi" w:hAnsiTheme="majorHAnsi"/>
          <w:i/>
          <w:iCs/>
          <w:noProof/>
          <w:szCs w:val="22"/>
          <w:lang w:val="es-ES"/>
        </w:rPr>
        <w:t>Ecosphere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w:t>
      </w:r>
      <w:r w:rsidRPr="003338D7">
        <w:rPr>
          <w:rFonts w:asciiTheme="majorHAnsi" w:hAnsiTheme="majorHAnsi"/>
          <w:noProof/>
          <w:szCs w:val="22"/>
          <w:lang w:val="es-ES"/>
        </w:rPr>
        <w:t xml:space="preserve">(7), e01390. </w:t>
      </w:r>
      <w:hyperlink r:id="rId773" w:history="1">
        <w:r w:rsidRPr="003338D7">
          <w:rPr>
            <w:rStyle w:val="Hyperlink"/>
            <w:rFonts w:asciiTheme="majorHAnsi" w:hAnsiTheme="majorHAnsi"/>
            <w:noProof/>
            <w:szCs w:val="22"/>
            <w:lang w:val="es-ES"/>
          </w:rPr>
          <w:t>http://doi.org/10.1002/ecs2.1390</w:t>
        </w:r>
      </w:hyperlink>
    </w:p>
    <w:p w14:paraId="0953C57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Rodríguez-Estrella, R., Donázar, J. A., &amp; Hiraldo, F. (1998). </w:t>
      </w:r>
      <w:r w:rsidRPr="003338D7">
        <w:rPr>
          <w:rFonts w:asciiTheme="majorHAnsi" w:hAnsiTheme="majorHAnsi"/>
          <w:noProof/>
          <w:szCs w:val="22"/>
        </w:rPr>
        <w:t xml:space="preserve">Raptors as indicators of environmental change in the scrub habitat of Baja California Sur, Mexico.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12</w:t>
      </w:r>
      <w:r w:rsidRPr="003338D7">
        <w:rPr>
          <w:rFonts w:asciiTheme="majorHAnsi" w:hAnsiTheme="majorHAnsi"/>
          <w:noProof/>
          <w:szCs w:val="22"/>
        </w:rPr>
        <w:t>(4), 921–925.</w:t>
      </w:r>
    </w:p>
    <w:p w14:paraId="6DCAEA6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Rohde, K., Heap, M., &amp; Heap, D. (1993). Rapoport’s rule does not apply to marine teleosts and cannot explain latitudinal gradients in species richness. </w:t>
      </w:r>
      <w:r w:rsidRPr="003338D7">
        <w:rPr>
          <w:rFonts w:asciiTheme="majorHAnsi" w:hAnsiTheme="majorHAnsi"/>
          <w:i/>
          <w:iCs/>
          <w:noProof/>
          <w:szCs w:val="22"/>
          <w:lang w:val="es-ES"/>
        </w:rPr>
        <w:t>The American Naturalist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142</w:t>
      </w:r>
      <w:r w:rsidRPr="003338D7">
        <w:rPr>
          <w:rFonts w:asciiTheme="majorHAnsi" w:hAnsiTheme="majorHAnsi"/>
          <w:noProof/>
          <w:szCs w:val="22"/>
          <w:lang w:val="es-ES"/>
        </w:rPr>
        <w:t xml:space="preserve">(1), 1–16. </w:t>
      </w:r>
      <w:hyperlink r:id="rId774" w:history="1">
        <w:r w:rsidRPr="003338D7">
          <w:rPr>
            <w:rStyle w:val="Hyperlink"/>
            <w:rFonts w:asciiTheme="majorHAnsi" w:hAnsiTheme="majorHAnsi"/>
            <w:noProof/>
            <w:szCs w:val="22"/>
            <w:lang w:val="es-ES"/>
          </w:rPr>
          <w:t>http://doi.org/10.1086/285526</w:t>
        </w:r>
      </w:hyperlink>
    </w:p>
    <w:p w14:paraId="1C90380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Rojas, R. T. (1991). La agricultura en la época prehispánica. In T. Rojas (Ed.), </w:t>
      </w:r>
      <w:r w:rsidRPr="003338D7">
        <w:rPr>
          <w:rFonts w:asciiTheme="majorHAnsi" w:hAnsiTheme="majorHAnsi"/>
          <w:i/>
          <w:iCs/>
          <w:noProof/>
          <w:szCs w:val="22"/>
          <w:lang w:val="es-ES"/>
        </w:rPr>
        <w:t>La Agricultura en Tierras Mexicanas desde sus Orígenes hasta Nuestros Días</w:t>
      </w:r>
      <w:r w:rsidRPr="003338D7">
        <w:rPr>
          <w:rFonts w:asciiTheme="majorHAnsi" w:hAnsiTheme="majorHAnsi"/>
          <w:noProof/>
          <w:szCs w:val="22"/>
          <w:lang w:val="es-ES"/>
        </w:rPr>
        <w:t xml:space="preserve"> (pp. 15–138). Ciudad de México, México: Grijalbo.</w:t>
      </w:r>
    </w:p>
    <w:p w14:paraId="63C25C0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Román-Cuesta, R. M., Salinas, N., Asbjornsen, H., Oliveras, I., Huaman, V., Gutiérrez, Y., Puelles, L., Kala, J., Yabar, D., Rojas, M., Astete, R., Jordán, D. Y., Silman, M., Mosandl, R., Weber, M., Stimm, B., Günter, S., Knoke, T., &amp; Malhi, Y. (2011). Implications of fires on carbon budgets in Andean cloud montane forest: the importance of peat soils and tree resprouting. </w:t>
      </w:r>
      <w:r w:rsidRPr="003338D7">
        <w:rPr>
          <w:rFonts w:asciiTheme="majorHAnsi" w:hAnsiTheme="majorHAnsi"/>
          <w:i/>
          <w:iCs/>
          <w:noProof/>
          <w:szCs w:val="22"/>
          <w:lang w:val="es-ES"/>
        </w:rPr>
        <w:t>Forest Ecology and Management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261</w:t>
      </w:r>
      <w:r w:rsidRPr="003338D7">
        <w:rPr>
          <w:rFonts w:asciiTheme="majorHAnsi" w:hAnsiTheme="majorHAnsi"/>
          <w:noProof/>
          <w:szCs w:val="22"/>
          <w:lang w:val="es-ES"/>
        </w:rPr>
        <w:t xml:space="preserve">(11), 1987–1997. </w:t>
      </w:r>
      <w:hyperlink r:id="rId775" w:history="1">
        <w:r w:rsidRPr="003338D7">
          <w:rPr>
            <w:rStyle w:val="Hyperlink"/>
            <w:rFonts w:asciiTheme="majorHAnsi" w:hAnsiTheme="majorHAnsi"/>
            <w:noProof/>
            <w:szCs w:val="22"/>
            <w:lang w:val="es-ES"/>
          </w:rPr>
          <w:t>https://doi.org/10.1016/j.foreco.2011.02.025</w:t>
        </w:r>
      </w:hyperlink>
    </w:p>
    <w:p w14:paraId="3252541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Rooth, J. E., &amp; Stevenson, J. C. (2000). Sediment deposition patterns in </w:t>
      </w:r>
      <w:r w:rsidRPr="003338D7">
        <w:rPr>
          <w:rFonts w:asciiTheme="majorHAnsi" w:hAnsiTheme="majorHAnsi"/>
          <w:i/>
          <w:iCs/>
          <w:noProof/>
          <w:szCs w:val="22"/>
        </w:rPr>
        <w:t>Phragmites australis</w:t>
      </w:r>
      <w:r w:rsidRPr="003338D7">
        <w:rPr>
          <w:rFonts w:asciiTheme="majorHAnsi" w:hAnsiTheme="majorHAnsi"/>
          <w:noProof/>
          <w:szCs w:val="22"/>
        </w:rPr>
        <w:t xml:space="preserve"> communities: implications for coastal areas threatened by rising sea-level. </w:t>
      </w:r>
      <w:r w:rsidRPr="003338D7">
        <w:rPr>
          <w:rFonts w:asciiTheme="majorHAnsi" w:hAnsiTheme="majorHAnsi"/>
          <w:i/>
          <w:iCs/>
          <w:noProof/>
          <w:szCs w:val="22"/>
        </w:rPr>
        <w:t>Wetlands Ecology and Management</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 xml:space="preserve">(2), 173–183. </w:t>
      </w:r>
      <w:hyperlink r:id="rId776" w:history="1">
        <w:r w:rsidRPr="003338D7">
          <w:rPr>
            <w:rStyle w:val="Hyperlink"/>
            <w:rFonts w:asciiTheme="majorHAnsi" w:hAnsiTheme="majorHAnsi"/>
            <w:noProof/>
            <w:szCs w:val="22"/>
          </w:rPr>
          <w:t>http://doi.org/10.1023/a:1008444502859</w:t>
        </w:r>
      </w:hyperlink>
    </w:p>
    <w:p w14:paraId="1B6FAE8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Roque, J., &amp; León, B. (2006). Endemic Orchidaceae of Peru. </w:t>
      </w:r>
      <w:r w:rsidRPr="003338D7">
        <w:rPr>
          <w:rFonts w:asciiTheme="majorHAnsi" w:hAnsiTheme="majorHAnsi"/>
          <w:i/>
          <w:iCs/>
          <w:noProof/>
          <w:szCs w:val="22"/>
        </w:rPr>
        <w:t>Revista Peruana de Biologia</w:t>
      </w:r>
      <w:r w:rsidRPr="003338D7">
        <w:rPr>
          <w:rFonts w:asciiTheme="majorHAnsi" w:hAnsiTheme="majorHAnsi"/>
          <w:noProof/>
          <w:szCs w:val="22"/>
        </w:rPr>
        <w:t xml:space="preserve">, </w:t>
      </w:r>
      <w:r w:rsidRPr="003338D7">
        <w:rPr>
          <w:rFonts w:asciiTheme="majorHAnsi" w:hAnsiTheme="majorHAnsi"/>
          <w:i/>
          <w:iCs/>
          <w:noProof/>
          <w:szCs w:val="22"/>
        </w:rPr>
        <w:t>13</w:t>
      </w:r>
      <w:r w:rsidRPr="003338D7">
        <w:rPr>
          <w:rFonts w:asciiTheme="majorHAnsi" w:hAnsiTheme="majorHAnsi"/>
          <w:noProof/>
          <w:szCs w:val="22"/>
        </w:rPr>
        <w:t xml:space="preserve">(2), 759S–878S. </w:t>
      </w:r>
      <w:hyperlink r:id="rId777" w:history="1">
        <w:r w:rsidRPr="003338D7">
          <w:rPr>
            <w:rStyle w:val="Hyperlink"/>
            <w:rFonts w:asciiTheme="majorHAnsi" w:hAnsiTheme="majorHAnsi"/>
            <w:noProof/>
            <w:szCs w:val="22"/>
          </w:rPr>
          <w:t>http://doi.org/10.15381/rpb.v13i2.1953</w:t>
        </w:r>
      </w:hyperlink>
    </w:p>
    <w:p w14:paraId="268713D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Rosauer, D. F., &amp; Jetz, W. (2015). </w:t>
      </w:r>
      <w:r w:rsidRPr="003338D7">
        <w:rPr>
          <w:rFonts w:asciiTheme="majorHAnsi" w:hAnsiTheme="majorHAnsi"/>
          <w:noProof/>
          <w:szCs w:val="22"/>
        </w:rPr>
        <w:t xml:space="preserve">Phylogenetic endemism in terrestrial mammals. </w:t>
      </w:r>
      <w:r w:rsidRPr="003338D7">
        <w:rPr>
          <w:rFonts w:asciiTheme="majorHAnsi" w:hAnsiTheme="majorHAnsi"/>
          <w:i/>
          <w:iCs/>
          <w:noProof/>
          <w:szCs w:val="22"/>
        </w:rPr>
        <w:t>Global Ecology and Biogeography</w:t>
      </w:r>
      <w:r w:rsidRPr="003338D7">
        <w:rPr>
          <w:rFonts w:asciiTheme="majorHAnsi" w:hAnsiTheme="majorHAnsi"/>
          <w:noProof/>
          <w:szCs w:val="22"/>
        </w:rPr>
        <w:t xml:space="preserve">, </w:t>
      </w:r>
      <w:r w:rsidRPr="003338D7">
        <w:rPr>
          <w:rFonts w:asciiTheme="majorHAnsi" w:hAnsiTheme="majorHAnsi"/>
          <w:i/>
          <w:iCs/>
          <w:noProof/>
          <w:szCs w:val="22"/>
        </w:rPr>
        <w:t>24</w:t>
      </w:r>
      <w:r w:rsidRPr="003338D7">
        <w:rPr>
          <w:rFonts w:asciiTheme="majorHAnsi" w:hAnsiTheme="majorHAnsi"/>
          <w:noProof/>
          <w:szCs w:val="22"/>
        </w:rPr>
        <w:t xml:space="preserve">(2), 168–179. </w:t>
      </w:r>
      <w:hyperlink r:id="rId778" w:history="1">
        <w:r w:rsidRPr="003338D7">
          <w:rPr>
            <w:rStyle w:val="Hyperlink"/>
            <w:rFonts w:asciiTheme="majorHAnsi" w:hAnsiTheme="majorHAnsi"/>
            <w:noProof/>
            <w:szCs w:val="22"/>
          </w:rPr>
          <w:t>http://doi.org/10.1111/geb.12237</w:t>
        </w:r>
      </w:hyperlink>
    </w:p>
    <w:p w14:paraId="270FD0D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Rosauer, D., Laffan, S. W., Crisp, M. D., Donnellan, S. C., &amp; Cook, L. G. (2009). Phylogenetic endemism: a new approach for identifying geographical concentrations of evolutionary history. </w:t>
      </w:r>
      <w:r w:rsidRPr="003338D7">
        <w:rPr>
          <w:rFonts w:asciiTheme="majorHAnsi" w:hAnsiTheme="majorHAnsi"/>
          <w:i/>
          <w:iCs/>
          <w:noProof/>
          <w:szCs w:val="22"/>
        </w:rPr>
        <w:t>Molecular Ecology</w:t>
      </w:r>
      <w:r w:rsidRPr="003338D7">
        <w:rPr>
          <w:rFonts w:asciiTheme="majorHAnsi" w:hAnsiTheme="majorHAnsi"/>
          <w:noProof/>
          <w:szCs w:val="22"/>
        </w:rPr>
        <w:t xml:space="preserve">, </w:t>
      </w:r>
      <w:r w:rsidRPr="003338D7">
        <w:rPr>
          <w:rFonts w:asciiTheme="majorHAnsi" w:hAnsiTheme="majorHAnsi"/>
          <w:i/>
          <w:iCs/>
          <w:noProof/>
          <w:szCs w:val="22"/>
        </w:rPr>
        <w:t>18</w:t>
      </w:r>
      <w:r w:rsidRPr="003338D7">
        <w:rPr>
          <w:rFonts w:asciiTheme="majorHAnsi" w:hAnsiTheme="majorHAnsi"/>
          <w:noProof/>
          <w:szCs w:val="22"/>
        </w:rPr>
        <w:t xml:space="preserve">(19), 4061–4072. </w:t>
      </w:r>
      <w:hyperlink r:id="rId779" w:history="1">
        <w:r w:rsidRPr="003338D7">
          <w:rPr>
            <w:rStyle w:val="Hyperlink"/>
            <w:rFonts w:asciiTheme="majorHAnsi" w:hAnsiTheme="majorHAnsi"/>
            <w:noProof/>
            <w:szCs w:val="22"/>
          </w:rPr>
          <w:t>http://doi.org/10.1111/j.1365-294X.2009.04311.x</w:t>
        </w:r>
      </w:hyperlink>
    </w:p>
    <w:p w14:paraId="24CB2CA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Roy, K., Jablonski, D., Valentine, J. W., &amp; Rosenberg, G. (1998). Marine latitudinal diversity gradients: tests of causal hypotheses. </w:t>
      </w:r>
      <w:r w:rsidRPr="003338D7">
        <w:rPr>
          <w:rFonts w:asciiTheme="majorHAnsi" w:hAnsiTheme="majorHAnsi"/>
          <w:i/>
          <w:iCs/>
          <w:noProof/>
          <w:szCs w:val="22"/>
        </w:rPr>
        <w:t>PNAS</w:t>
      </w:r>
      <w:r w:rsidRPr="003338D7">
        <w:rPr>
          <w:rFonts w:asciiTheme="majorHAnsi" w:hAnsiTheme="majorHAnsi"/>
          <w:noProof/>
          <w:szCs w:val="22"/>
        </w:rPr>
        <w:t xml:space="preserve">, </w:t>
      </w:r>
      <w:r w:rsidRPr="003338D7">
        <w:rPr>
          <w:rFonts w:asciiTheme="majorHAnsi" w:hAnsiTheme="majorHAnsi"/>
          <w:i/>
          <w:iCs/>
          <w:noProof/>
          <w:szCs w:val="22"/>
        </w:rPr>
        <w:t>95</w:t>
      </w:r>
      <w:r w:rsidRPr="003338D7">
        <w:rPr>
          <w:rFonts w:asciiTheme="majorHAnsi" w:hAnsiTheme="majorHAnsi"/>
          <w:noProof/>
          <w:szCs w:val="22"/>
        </w:rPr>
        <w:t xml:space="preserve">(7), 3699–3702. </w:t>
      </w:r>
      <w:hyperlink r:id="rId780" w:history="1">
        <w:r w:rsidRPr="003338D7">
          <w:rPr>
            <w:rStyle w:val="Hyperlink"/>
            <w:rFonts w:asciiTheme="majorHAnsi" w:hAnsiTheme="majorHAnsi"/>
            <w:noProof/>
            <w:szCs w:val="22"/>
          </w:rPr>
          <w:t>http://doi.org/10.1073/pnas.95.7.3699</w:t>
        </w:r>
      </w:hyperlink>
    </w:p>
    <w:p w14:paraId="217DFCF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Rozzi, R., Armesto, J. J., Goffinet, B., Buck, W., Massardo, F., Silander, J., Arroyo, M. T. K., Russell, S., Anderson, C. B., Cavieres, L. A., &amp; Callicott, J. B. (2008). Changing lenses to assess biodiversity: patterns of species richness in sub-Antarctic plants and implications for global conservation. </w:t>
      </w:r>
      <w:r w:rsidRPr="003338D7">
        <w:rPr>
          <w:rFonts w:asciiTheme="majorHAnsi" w:hAnsiTheme="majorHAnsi"/>
          <w:i/>
          <w:iCs/>
          <w:noProof/>
          <w:szCs w:val="22"/>
          <w:lang w:val="es-ES"/>
        </w:rPr>
        <w:t>Frontiers in Ecology and the Environment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w:t>
      </w:r>
      <w:r w:rsidRPr="003338D7">
        <w:rPr>
          <w:rFonts w:asciiTheme="majorHAnsi" w:hAnsiTheme="majorHAnsi"/>
          <w:noProof/>
          <w:szCs w:val="22"/>
          <w:lang w:val="es-ES"/>
        </w:rPr>
        <w:t xml:space="preserve">(3), 131–137. </w:t>
      </w:r>
      <w:hyperlink r:id="rId781" w:history="1">
        <w:r w:rsidRPr="003338D7">
          <w:rPr>
            <w:rStyle w:val="Hyperlink"/>
            <w:rFonts w:asciiTheme="majorHAnsi" w:hAnsiTheme="majorHAnsi"/>
            <w:noProof/>
            <w:szCs w:val="22"/>
            <w:lang w:val="es-ES"/>
          </w:rPr>
          <w:t>https://doi.org/10.1890/070020</w:t>
        </w:r>
      </w:hyperlink>
    </w:p>
    <w:p w14:paraId="795F06F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Ruiz, G. M., Fofonoff, P. W., Carlton, J. T., Wonham, M. J., &amp; Hines, A. H. (2000). Invasion of coastal marine communities in North America: apparent patterns, processes, and biases. </w:t>
      </w:r>
      <w:r w:rsidRPr="003338D7">
        <w:rPr>
          <w:rFonts w:asciiTheme="majorHAnsi" w:hAnsiTheme="majorHAnsi"/>
          <w:i/>
          <w:iCs/>
          <w:noProof/>
          <w:szCs w:val="22"/>
        </w:rPr>
        <w:t>Annual Review of Ecology and Systematics</w:t>
      </w:r>
      <w:r w:rsidRPr="003338D7">
        <w:rPr>
          <w:rFonts w:asciiTheme="majorHAnsi" w:hAnsiTheme="majorHAnsi"/>
          <w:noProof/>
          <w:szCs w:val="22"/>
        </w:rPr>
        <w:t xml:space="preserve">, </w:t>
      </w:r>
      <w:r w:rsidRPr="003338D7">
        <w:rPr>
          <w:rFonts w:asciiTheme="majorHAnsi" w:hAnsiTheme="majorHAnsi"/>
          <w:i/>
          <w:iCs/>
          <w:noProof/>
          <w:szCs w:val="22"/>
        </w:rPr>
        <w:t>31</w:t>
      </w:r>
      <w:r w:rsidRPr="003338D7">
        <w:rPr>
          <w:rFonts w:asciiTheme="majorHAnsi" w:hAnsiTheme="majorHAnsi"/>
          <w:noProof/>
          <w:szCs w:val="22"/>
        </w:rPr>
        <w:t xml:space="preserve">(1), 481–531. </w:t>
      </w:r>
      <w:hyperlink r:id="rId782" w:history="1">
        <w:r w:rsidRPr="003338D7">
          <w:rPr>
            <w:rStyle w:val="Hyperlink"/>
            <w:rFonts w:asciiTheme="majorHAnsi" w:hAnsiTheme="majorHAnsi"/>
            <w:noProof/>
            <w:szCs w:val="22"/>
          </w:rPr>
          <w:t>http://doi.org/10.1146/annurev.ecolsys.31.1.481</w:t>
        </w:r>
      </w:hyperlink>
    </w:p>
    <w:p w14:paraId="4D9C27F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pt-BR"/>
        </w:rPr>
        <w:t xml:space="preserve">Ruiz, G. M., Fofonoff, P. W., Steves, B. P., &amp; Carlton, J. T. (2015). </w:t>
      </w:r>
      <w:r w:rsidRPr="003338D7">
        <w:rPr>
          <w:rFonts w:asciiTheme="majorHAnsi" w:hAnsiTheme="majorHAnsi"/>
          <w:noProof/>
          <w:szCs w:val="22"/>
        </w:rPr>
        <w:t xml:space="preserve">Invasion history and vector dynamics in coastal marine ecosystems: a North American perspective. </w:t>
      </w:r>
      <w:r w:rsidRPr="003338D7">
        <w:rPr>
          <w:rFonts w:asciiTheme="majorHAnsi" w:hAnsiTheme="majorHAnsi"/>
          <w:i/>
          <w:iCs/>
          <w:noProof/>
          <w:szCs w:val="22"/>
        </w:rPr>
        <w:t>Aquatic Ecosystem Health &amp; Management</w:t>
      </w:r>
      <w:r w:rsidRPr="003338D7">
        <w:rPr>
          <w:rFonts w:asciiTheme="majorHAnsi" w:hAnsiTheme="majorHAnsi"/>
          <w:noProof/>
          <w:szCs w:val="22"/>
        </w:rPr>
        <w:t xml:space="preserve">, </w:t>
      </w:r>
      <w:r w:rsidRPr="003338D7">
        <w:rPr>
          <w:rFonts w:asciiTheme="majorHAnsi" w:hAnsiTheme="majorHAnsi"/>
          <w:i/>
          <w:iCs/>
          <w:noProof/>
          <w:szCs w:val="22"/>
        </w:rPr>
        <w:t>18</w:t>
      </w:r>
      <w:r w:rsidRPr="003338D7">
        <w:rPr>
          <w:rFonts w:asciiTheme="majorHAnsi" w:hAnsiTheme="majorHAnsi"/>
          <w:noProof/>
          <w:szCs w:val="22"/>
        </w:rPr>
        <w:t xml:space="preserve">(3), 299–311. </w:t>
      </w:r>
      <w:hyperlink r:id="rId783" w:history="1">
        <w:r w:rsidRPr="003338D7">
          <w:rPr>
            <w:rStyle w:val="Hyperlink"/>
            <w:rFonts w:asciiTheme="majorHAnsi" w:hAnsiTheme="majorHAnsi"/>
            <w:noProof/>
            <w:szCs w:val="22"/>
          </w:rPr>
          <w:t>http://doi.org/10.1080/14634988.2015.1027534</w:t>
        </w:r>
      </w:hyperlink>
    </w:p>
    <w:p w14:paraId="7AB746D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Rundel, P. W., Arroyo, M. T. K., Cowling, R. M., Keeley, J. E., Lamont, B. B., &amp; Vargas, P. (2016). Mediterranean biomes: evolution of their vegetation, floras and climate. </w:t>
      </w:r>
      <w:r w:rsidRPr="003338D7">
        <w:rPr>
          <w:rFonts w:asciiTheme="majorHAnsi" w:hAnsiTheme="majorHAnsi"/>
          <w:i/>
          <w:iCs/>
          <w:noProof/>
          <w:szCs w:val="22"/>
        </w:rPr>
        <w:t>Annual Review of Ecology, Evolution, and Systematics</w:t>
      </w:r>
      <w:r w:rsidRPr="003338D7">
        <w:rPr>
          <w:rFonts w:asciiTheme="majorHAnsi" w:hAnsiTheme="majorHAnsi"/>
          <w:noProof/>
          <w:szCs w:val="22"/>
        </w:rPr>
        <w:t xml:space="preserve">, </w:t>
      </w:r>
      <w:r w:rsidRPr="003338D7">
        <w:rPr>
          <w:rFonts w:asciiTheme="majorHAnsi" w:hAnsiTheme="majorHAnsi"/>
          <w:i/>
          <w:iCs/>
          <w:noProof/>
          <w:szCs w:val="22"/>
        </w:rPr>
        <w:t>47</w:t>
      </w:r>
      <w:r w:rsidRPr="003338D7">
        <w:rPr>
          <w:rFonts w:asciiTheme="majorHAnsi" w:hAnsiTheme="majorHAnsi"/>
          <w:noProof/>
          <w:szCs w:val="22"/>
        </w:rPr>
        <w:t xml:space="preserve">, 383–407. </w:t>
      </w:r>
      <w:hyperlink r:id="rId784" w:history="1">
        <w:r w:rsidRPr="003338D7">
          <w:rPr>
            <w:rStyle w:val="Hyperlink"/>
            <w:rFonts w:asciiTheme="majorHAnsi" w:hAnsiTheme="majorHAnsi"/>
            <w:noProof/>
            <w:szCs w:val="22"/>
          </w:rPr>
          <w:t>http://doi.org/10.1146/annurev-ecolsys-121415-032330</w:t>
        </w:r>
      </w:hyperlink>
    </w:p>
    <w:p w14:paraId="6426755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Rundel, P. W., Dillon, M. O., Palma, B., Mooney, H. A., Gulmon, S. L., &amp; Ehleringer, J. R. (1991). The phytogeography and ecology of the coastal Atacama and Peruvian deserts. </w:t>
      </w:r>
      <w:r w:rsidRPr="003338D7">
        <w:rPr>
          <w:rFonts w:asciiTheme="majorHAnsi" w:hAnsiTheme="majorHAnsi"/>
          <w:i/>
          <w:iCs/>
          <w:noProof/>
          <w:szCs w:val="22"/>
        </w:rPr>
        <w:t>Aliso: A Journal of Systematic and Evolutionary Botany</w:t>
      </w:r>
      <w:r w:rsidRPr="003338D7">
        <w:rPr>
          <w:rFonts w:asciiTheme="majorHAnsi" w:hAnsiTheme="majorHAnsi"/>
          <w:noProof/>
          <w:szCs w:val="22"/>
        </w:rPr>
        <w:t xml:space="preserve">, </w:t>
      </w:r>
      <w:r w:rsidRPr="003338D7">
        <w:rPr>
          <w:rFonts w:asciiTheme="majorHAnsi" w:hAnsiTheme="majorHAnsi"/>
          <w:i/>
          <w:iCs/>
          <w:noProof/>
          <w:szCs w:val="22"/>
        </w:rPr>
        <w:t>13</w:t>
      </w:r>
      <w:r w:rsidRPr="003338D7">
        <w:rPr>
          <w:rFonts w:asciiTheme="majorHAnsi" w:hAnsiTheme="majorHAnsi"/>
          <w:noProof/>
          <w:szCs w:val="22"/>
        </w:rPr>
        <w:t xml:space="preserve">(1), 1–49. </w:t>
      </w:r>
      <w:hyperlink r:id="rId785" w:history="1">
        <w:r w:rsidRPr="003338D7">
          <w:rPr>
            <w:rStyle w:val="Hyperlink"/>
            <w:rFonts w:asciiTheme="majorHAnsi" w:hAnsiTheme="majorHAnsi"/>
            <w:noProof/>
            <w:szCs w:val="22"/>
          </w:rPr>
          <w:t>http://doi.org/10.5642/aliso.19911301.02</w:t>
        </w:r>
      </w:hyperlink>
    </w:p>
    <w:p w14:paraId="3270313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Rutherford, S., D’Hondt, S., &amp; Prell, W. (1999). </w:t>
      </w:r>
      <w:r w:rsidRPr="003338D7">
        <w:rPr>
          <w:rFonts w:asciiTheme="majorHAnsi" w:hAnsiTheme="majorHAnsi"/>
          <w:noProof/>
          <w:szCs w:val="22"/>
        </w:rPr>
        <w:t xml:space="preserve">Environmental controls on the geographic distribution of zooplankton diversity.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400</w:t>
      </w:r>
      <w:r w:rsidRPr="003338D7">
        <w:rPr>
          <w:rFonts w:asciiTheme="majorHAnsi" w:hAnsiTheme="majorHAnsi"/>
          <w:noProof/>
          <w:szCs w:val="22"/>
        </w:rPr>
        <w:t xml:space="preserve">(6746), 749–753. </w:t>
      </w:r>
      <w:hyperlink r:id="rId786" w:history="1">
        <w:r w:rsidRPr="003338D7">
          <w:rPr>
            <w:rStyle w:val="Hyperlink"/>
            <w:rFonts w:asciiTheme="majorHAnsi" w:hAnsiTheme="majorHAnsi"/>
            <w:noProof/>
            <w:szCs w:val="22"/>
          </w:rPr>
          <w:t>http://doi.org/10.1038/23449</w:t>
        </w:r>
      </w:hyperlink>
    </w:p>
    <w:p w14:paraId="151C138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Ryberg, W. A., Hill, M. T., Painter, C. W., &amp; Fitzgerald, L. A. (2014). Linking irreplaceable landforms in a self-organizing landscape to sensitivity of population vital rates for an ecological specialist.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29</w:t>
      </w:r>
      <w:r w:rsidRPr="003338D7">
        <w:rPr>
          <w:rFonts w:asciiTheme="majorHAnsi" w:hAnsiTheme="majorHAnsi"/>
          <w:noProof/>
          <w:szCs w:val="22"/>
        </w:rPr>
        <w:t>(3), 888–898.</w:t>
      </w:r>
    </w:p>
    <w:p w14:paraId="7126A72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Rylander, K., Perez, J., &amp; Gomez, J. (1996). Status of the green mussel, </w:t>
      </w:r>
      <w:r w:rsidRPr="003338D7">
        <w:rPr>
          <w:rFonts w:asciiTheme="majorHAnsi" w:hAnsiTheme="majorHAnsi"/>
          <w:i/>
          <w:iCs/>
          <w:noProof/>
          <w:szCs w:val="22"/>
        </w:rPr>
        <w:t>Perna viridis</w:t>
      </w:r>
      <w:r w:rsidRPr="003338D7">
        <w:rPr>
          <w:rFonts w:asciiTheme="majorHAnsi" w:hAnsiTheme="majorHAnsi"/>
          <w:noProof/>
          <w:szCs w:val="22"/>
        </w:rPr>
        <w:t xml:space="preserve"> (Linnaeus, 1758)(Mollusca: Mytilidae), in northeastern Venezuela. </w:t>
      </w:r>
      <w:r w:rsidRPr="003338D7">
        <w:rPr>
          <w:rFonts w:asciiTheme="majorHAnsi" w:hAnsiTheme="majorHAnsi"/>
          <w:i/>
          <w:iCs/>
          <w:noProof/>
          <w:szCs w:val="22"/>
          <w:lang w:val="es-ES"/>
        </w:rPr>
        <w:t>Caribbean Marine Studies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w:t>
      </w:r>
      <w:r w:rsidRPr="003338D7">
        <w:rPr>
          <w:rFonts w:asciiTheme="majorHAnsi" w:hAnsiTheme="majorHAnsi"/>
          <w:noProof/>
          <w:szCs w:val="22"/>
          <w:lang w:val="es-ES"/>
        </w:rPr>
        <w:t>, 86–87.</w:t>
      </w:r>
    </w:p>
    <w:p w14:paraId="72E7F72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Rzedowski, J. (1991). Diversidad y orígenes de la flora fanerogámica de México. </w:t>
      </w:r>
      <w:r w:rsidRPr="003338D7">
        <w:rPr>
          <w:rFonts w:asciiTheme="majorHAnsi" w:hAnsiTheme="majorHAnsi"/>
          <w:i/>
          <w:iCs/>
          <w:noProof/>
          <w:szCs w:val="22"/>
        </w:rPr>
        <w:t>Acta Botánica Mexicana</w:t>
      </w:r>
      <w:r w:rsidRPr="003338D7">
        <w:rPr>
          <w:rFonts w:asciiTheme="majorHAnsi" w:hAnsiTheme="majorHAnsi"/>
          <w:noProof/>
          <w:szCs w:val="22"/>
        </w:rPr>
        <w:t xml:space="preserve">, </w:t>
      </w:r>
      <w:r w:rsidRPr="003338D7">
        <w:rPr>
          <w:rFonts w:asciiTheme="majorHAnsi" w:hAnsiTheme="majorHAnsi"/>
          <w:i/>
          <w:iCs/>
          <w:noProof/>
          <w:szCs w:val="22"/>
        </w:rPr>
        <w:t>14</w:t>
      </w:r>
      <w:r w:rsidRPr="003338D7">
        <w:rPr>
          <w:rFonts w:asciiTheme="majorHAnsi" w:hAnsiTheme="majorHAnsi"/>
          <w:noProof/>
          <w:szCs w:val="22"/>
        </w:rPr>
        <w:t>, 3–21.</w:t>
      </w:r>
    </w:p>
    <w:p w14:paraId="4800BD6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Saavedra, B., &amp; Simonetti, J. A. (2005). Small mammals of Maulino forest remnants, a vanishing ecosystem of south-central Chile. </w:t>
      </w:r>
      <w:r w:rsidRPr="003338D7">
        <w:rPr>
          <w:rFonts w:asciiTheme="majorHAnsi" w:hAnsiTheme="majorHAnsi"/>
          <w:i/>
          <w:iCs/>
          <w:noProof/>
          <w:szCs w:val="22"/>
          <w:lang w:val="es-ES"/>
        </w:rPr>
        <w:t>Mammalia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69</w:t>
      </w:r>
      <w:r w:rsidRPr="003338D7">
        <w:rPr>
          <w:rFonts w:asciiTheme="majorHAnsi" w:hAnsiTheme="majorHAnsi"/>
          <w:noProof/>
          <w:szCs w:val="22"/>
          <w:lang w:val="es-ES"/>
        </w:rPr>
        <w:t xml:space="preserve">(3–4), 337–348. </w:t>
      </w:r>
      <w:hyperlink r:id="rId787" w:history="1">
        <w:r w:rsidRPr="003338D7">
          <w:rPr>
            <w:rStyle w:val="Hyperlink"/>
            <w:rFonts w:asciiTheme="majorHAnsi" w:hAnsiTheme="majorHAnsi"/>
            <w:noProof/>
            <w:szCs w:val="22"/>
            <w:lang w:val="es-ES"/>
          </w:rPr>
          <w:t>http://doi.org/10.1515/mamm.2005.027</w:t>
        </w:r>
      </w:hyperlink>
    </w:p>
    <w:p w14:paraId="5F6DE69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Sacco, A. G., Bergmann, F. B., &amp; Rui, A. M. (2013). Assembleia de aves na área urbana do município de Pelotas, Rio Grande do Sul, Brasil. </w:t>
      </w:r>
      <w:r w:rsidRPr="003338D7">
        <w:rPr>
          <w:rFonts w:asciiTheme="majorHAnsi" w:hAnsiTheme="majorHAnsi"/>
          <w:i/>
          <w:iCs/>
          <w:noProof/>
          <w:szCs w:val="22"/>
          <w:lang w:val="es-ES"/>
        </w:rPr>
        <w:t>Biota Neotropica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13</w:t>
      </w:r>
      <w:r w:rsidRPr="003338D7">
        <w:rPr>
          <w:rFonts w:asciiTheme="majorHAnsi" w:hAnsiTheme="majorHAnsi"/>
          <w:noProof/>
          <w:szCs w:val="22"/>
          <w:lang w:val="es-ES"/>
        </w:rPr>
        <w:t xml:space="preserve">(2), 153–162. </w:t>
      </w:r>
      <w:hyperlink r:id="rId788" w:history="1">
        <w:r w:rsidRPr="003338D7">
          <w:rPr>
            <w:rStyle w:val="Hyperlink"/>
            <w:rFonts w:asciiTheme="majorHAnsi" w:hAnsiTheme="majorHAnsi"/>
            <w:noProof/>
            <w:szCs w:val="22"/>
            <w:lang w:val="es-ES"/>
          </w:rPr>
          <w:t>http://doi.org/10.1590/S1676-06032013000200014</w:t>
        </w:r>
      </w:hyperlink>
    </w:p>
    <w:p w14:paraId="1634ED9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Sadovy, Y., &amp; Eklund, A. (1999). </w:t>
      </w:r>
      <w:r w:rsidRPr="003338D7">
        <w:rPr>
          <w:rFonts w:asciiTheme="majorHAnsi" w:hAnsiTheme="majorHAnsi"/>
          <w:i/>
          <w:iCs/>
          <w:noProof/>
          <w:szCs w:val="22"/>
        </w:rPr>
        <w:t>Synopsis of Biological Information on the Nassau Grouper, Epinephelus striatus (Bloch, 1792), and the Jewfish, E. itajara (Lichtenstein, 1822). NOAA Technical Report NMFS 146. Technical Report of the Fishery Bulletin. FAO Fisheries Synopsis 157.</w:t>
      </w:r>
      <w:r w:rsidRPr="003338D7">
        <w:rPr>
          <w:rFonts w:asciiTheme="majorHAnsi" w:hAnsiTheme="majorHAnsi"/>
          <w:noProof/>
          <w:szCs w:val="22"/>
        </w:rPr>
        <w:t xml:space="preserve"> Seattle, USA: US Department of Commerce. Retrieved from </w:t>
      </w:r>
      <w:hyperlink r:id="rId789" w:history="1">
        <w:r w:rsidRPr="003338D7">
          <w:rPr>
            <w:rStyle w:val="Hyperlink"/>
            <w:rFonts w:asciiTheme="majorHAnsi" w:hAnsiTheme="majorHAnsi"/>
            <w:noProof/>
            <w:szCs w:val="22"/>
          </w:rPr>
          <w:t>https://www.nrc.gov/docs/ML1224/ML12240A298.pdf</w:t>
        </w:r>
      </w:hyperlink>
    </w:p>
    <w:p w14:paraId="078BFB4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Sahin, V., &amp; Hall, M. J. (1996). </w:t>
      </w:r>
      <w:r w:rsidRPr="003338D7">
        <w:rPr>
          <w:rFonts w:asciiTheme="majorHAnsi" w:hAnsiTheme="majorHAnsi"/>
          <w:noProof/>
          <w:szCs w:val="22"/>
        </w:rPr>
        <w:t xml:space="preserve">The effects of afforestation and deforestation on water yields. </w:t>
      </w:r>
      <w:r w:rsidRPr="003338D7">
        <w:rPr>
          <w:rFonts w:asciiTheme="majorHAnsi" w:hAnsiTheme="majorHAnsi"/>
          <w:i/>
          <w:iCs/>
          <w:noProof/>
          <w:szCs w:val="22"/>
        </w:rPr>
        <w:t>Journal of Hydrology</w:t>
      </w:r>
      <w:r w:rsidRPr="003338D7">
        <w:rPr>
          <w:rFonts w:asciiTheme="majorHAnsi" w:hAnsiTheme="majorHAnsi"/>
          <w:noProof/>
          <w:szCs w:val="22"/>
        </w:rPr>
        <w:t xml:space="preserve">, </w:t>
      </w:r>
      <w:r w:rsidRPr="003338D7">
        <w:rPr>
          <w:rFonts w:asciiTheme="majorHAnsi" w:hAnsiTheme="majorHAnsi"/>
          <w:i/>
          <w:iCs/>
          <w:noProof/>
          <w:szCs w:val="22"/>
        </w:rPr>
        <w:t>178</w:t>
      </w:r>
      <w:r w:rsidRPr="003338D7">
        <w:rPr>
          <w:rFonts w:asciiTheme="majorHAnsi" w:hAnsiTheme="majorHAnsi"/>
          <w:noProof/>
          <w:szCs w:val="22"/>
        </w:rPr>
        <w:t xml:space="preserve">(1), 293–309. </w:t>
      </w:r>
      <w:hyperlink r:id="rId790" w:history="1">
        <w:r w:rsidRPr="003338D7">
          <w:rPr>
            <w:rStyle w:val="Hyperlink"/>
            <w:rFonts w:asciiTheme="majorHAnsi" w:hAnsiTheme="majorHAnsi"/>
            <w:noProof/>
            <w:szCs w:val="22"/>
          </w:rPr>
          <w:t>http://doi.org/10.1016/0022-1694(95)02825-0</w:t>
        </w:r>
      </w:hyperlink>
    </w:p>
    <w:p w14:paraId="2032729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Sala, E., &amp; Knowlton, N. (2006). Global marine biodiversity trends. </w:t>
      </w:r>
      <w:r w:rsidRPr="003338D7">
        <w:rPr>
          <w:rFonts w:asciiTheme="majorHAnsi" w:hAnsiTheme="majorHAnsi"/>
          <w:i/>
          <w:iCs/>
          <w:noProof/>
          <w:szCs w:val="22"/>
        </w:rPr>
        <w:t>Annual Review of Environment and Resources</w:t>
      </w:r>
      <w:r w:rsidRPr="003338D7">
        <w:rPr>
          <w:rFonts w:asciiTheme="majorHAnsi" w:hAnsiTheme="majorHAnsi"/>
          <w:noProof/>
          <w:szCs w:val="22"/>
        </w:rPr>
        <w:t xml:space="preserve">, </w:t>
      </w:r>
      <w:r w:rsidRPr="003338D7">
        <w:rPr>
          <w:rFonts w:asciiTheme="majorHAnsi" w:hAnsiTheme="majorHAnsi"/>
          <w:i/>
          <w:iCs/>
          <w:noProof/>
          <w:szCs w:val="22"/>
        </w:rPr>
        <w:t>31</w:t>
      </w:r>
      <w:r w:rsidRPr="003338D7">
        <w:rPr>
          <w:rFonts w:asciiTheme="majorHAnsi" w:hAnsiTheme="majorHAnsi"/>
          <w:noProof/>
          <w:szCs w:val="22"/>
        </w:rPr>
        <w:t xml:space="preserve">(1), 93–122. </w:t>
      </w:r>
      <w:hyperlink r:id="rId791" w:history="1">
        <w:r w:rsidRPr="003338D7">
          <w:rPr>
            <w:rStyle w:val="Hyperlink"/>
            <w:rFonts w:asciiTheme="majorHAnsi" w:hAnsiTheme="majorHAnsi"/>
            <w:noProof/>
            <w:szCs w:val="22"/>
          </w:rPr>
          <w:t>http://doi.org/10.1146/annurev.energy.31.020105.100235</w:t>
        </w:r>
      </w:hyperlink>
    </w:p>
    <w:p w14:paraId="4A63928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Salazar, A., Baldi, G., Hirota, M., Syktus, J., &amp; McAlpine, C. (2015). Land use and land cover change impacts on the regional climate of non-Amazonian South America: A review. </w:t>
      </w:r>
      <w:r w:rsidRPr="003338D7">
        <w:rPr>
          <w:rFonts w:asciiTheme="majorHAnsi" w:hAnsiTheme="majorHAnsi"/>
          <w:i/>
          <w:iCs/>
          <w:noProof/>
          <w:szCs w:val="22"/>
        </w:rPr>
        <w:t>Global and Planetary Change</w:t>
      </w:r>
      <w:r w:rsidRPr="003338D7">
        <w:rPr>
          <w:rFonts w:asciiTheme="majorHAnsi" w:hAnsiTheme="majorHAnsi"/>
          <w:noProof/>
          <w:szCs w:val="22"/>
        </w:rPr>
        <w:t xml:space="preserve">, </w:t>
      </w:r>
      <w:r w:rsidRPr="003338D7">
        <w:rPr>
          <w:rFonts w:asciiTheme="majorHAnsi" w:hAnsiTheme="majorHAnsi"/>
          <w:i/>
          <w:iCs/>
          <w:noProof/>
          <w:szCs w:val="22"/>
        </w:rPr>
        <w:t>128</w:t>
      </w:r>
      <w:r w:rsidRPr="003338D7">
        <w:rPr>
          <w:rFonts w:asciiTheme="majorHAnsi" w:hAnsiTheme="majorHAnsi"/>
          <w:noProof/>
          <w:szCs w:val="22"/>
        </w:rPr>
        <w:t xml:space="preserve">, 103–119. </w:t>
      </w:r>
      <w:hyperlink r:id="rId792" w:history="1">
        <w:r w:rsidRPr="003338D7">
          <w:rPr>
            <w:rStyle w:val="Hyperlink"/>
            <w:rFonts w:asciiTheme="majorHAnsi" w:hAnsiTheme="majorHAnsi"/>
            <w:noProof/>
            <w:szCs w:val="22"/>
          </w:rPr>
          <w:t>http://doi.org/10.1016/j.gloplacha.2015.02.009</w:t>
        </w:r>
      </w:hyperlink>
    </w:p>
    <w:p w14:paraId="68F9264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Salvador, F., Monerris, J., &amp; Rochefort, L. (2014). Peatlands of the Peruvian Puna ecoregion: types, characteristics and disturbance. </w:t>
      </w:r>
      <w:r w:rsidRPr="003338D7">
        <w:rPr>
          <w:rFonts w:asciiTheme="majorHAnsi" w:hAnsiTheme="majorHAnsi"/>
          <w:i/>
          <w:iCs/>
          <w:noProof/>
          <w:szCs w:val="22"/>
        </w:rPr>
        <w:t>Mires and Peat</w:t>
      </w:r>
      <w:r w:rsidRPr="003338D7">
        <w:rPr>
          <w:rFonts w:asciiTheme="majorHAnsi" w:hAnsiTheme="majorHAnsi"/>
          <w:noProof/>
          <w:szCs w:val="22"/>
        </w:rPr>
        <w:t xml:space="preserve">, </w:t>
      </w:r>
      <w:r w:rsidRPr="003338D7">
        <w:rPr>
          <w:rFonts w:asciiTheme="majorHAnsi" w:hAnsiTheme="majorHAnsi"/>
          <w:i/>
          <w:iCs/>
          <w:noProof/>
          <w:szCs w:val="22"/>
        </w:rPr>
        <w:t>15</w:t>
      </w:r>
      <w:r w:rsidRPr="003338D7">
        <w:rPr>
          <w:rFonts w:asciiTheme="majorHAnsi" w:hAnsiTheme="majorHAnsi"/>
          <w:noProof/>
          <w:szCs w:val="22"/>
        </w:rPr>
        <w:t>(4), 1–17.</w:t>
      </w:r>
    </w:p>
    <w:p w14:paraId="393F28F9" w14:textId="77777777" w:rsidR="00945A59" w:rsidRPr="003338D7" w:rsidRDefault="00945A59" w:rsidP="000A77D6">
      <w:pPr>
        <w:widowControl w:val="0"/>
        <w:autoSpaceDE w:val="0"/>
        <w:autoSpaceDN w:val="0"/>
        <w:adjustRightInd w:val="0"/>
        <w:ind w:left="851" w:hanging="851"/>
        <w:rPr>
          <w:rFonts w:asciiTheme="majorHAnsi" w:eastAsiaTheme="minorHAnsi" w:hAnsiTheme="majorHAnsi"/>
          <w:noProof/>
          <w:szCs w:val="22"/>
        </w:rPr>
      </w:pPr>
      <w:r w:rsidRPr="003338D7">
        <w:rPr>
          <w:rFonts w:asciiTheme="majorHAnsi" w:eastAsiaTheme="minorHAnsi" w:hAnsiTheme="majorHAnsi"/>
          <w:noProof/>
          <w:szCs w:val="22"/>
        </w:rPr>
        <w:t xml:space="preserve">Samson, F. and F. Knopf. 1994. Prairie Conservation in North America. BioScience </w:t>
      </w:r>
      <w:r w:rsidRPr="003338D7">
        <w:rPr>
          <w:rFonts w:asciiTheme="majorHAnsi" w:eastAsiaTheme="minorHAnsi" w:hAnsiTheme="majorHAnsi"/>
          <w:bCs/>
          <w:noProof/>
          <w:szCs w:val="22"/>
        </w:rPr>
        <w:t>44</w:t>
      </w:r>
      <w:r w:rsidRPr="003338D7">
        <w:rPr>
          <w:rFonts w:asciiTheme="majorHAnsi" w:eastAsiaTheme="minorHAnsi" w:hAnsiTheme="majorHAnsi"/>
          <w:noProof/>
          <w:szCs w:val="22"/>
        </w:rPr>
        <w:t>:418-421.</w:t>
      </w:r>
    </w:p>
    <w:p w14:paraId="4713997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Sandoval, M. L., &amp; Barquez, R. M. (2013). The Chacoan bat fauna identity: Patterns of distributional congruence and conservation implications. </w:t>
      </w:r>
      <w:r w:rsidRPr="003338D7">
        <w:rPr>
          <w:rFonts w:asciiTheme="majorHAnsi" w:hAnsiTheme="majorHAnsi"/>
          <w:i/>
          <w:iCs/>
          <w:noProof/>
          <w:szCs w:val="22"/>
          <w:lang w:val="es-ES"/>
        </w:rPr>
        <w:t>Revista Chilena de Historia Natural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86</w:t>
      </w:r>
      <w:r w:rsidRPr="003338D7">
        <w:rPr>
          <w:rFonts w:asciiTheme="majorHAnsi" w:hAnsiTheme="majorHAnsi"/>
          <w:noProof/>
          <w:szCs w:val="22"/>
          <w:lang w:val="es-ES"/>
        </w:rPr>
        <w:t xml:space="preserve">(1), 75–94. </w:t>
      </w:r>
      <w:hyperlink r:id="rId793" w:history="1">
        <w:r w:rsidRPr="003338D7">
          <w:rPr>
            <w:rStyle w:val="Hyperlink"/>
            <w:rFonts w:asciiTheme="majorHAnsi" w:hAnsiTheme="majorHAnsi"/>
            <w:noProof/>
            <w:szCs w:val="22"/>
            <w:lang w:val="es-ES"/>
          </w:rPr>
          <w:t>http://doi.org/10.4067/S0716-078X2013000100007</w:t>
        </w:r>
      </w:hyperlink>
    </w:p>
    <w:p w14:paraId="55F46A1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Sanguinetti, A., &amp; Singer, R. B. (2014). </w:t>
      </w:r>
      <w:r w:rsidRPr="003338D7">
        <w:rPr>
          <w:rFonts w:asciiTheme="majorHAnsi" w:hAnsiTheme="majorHAnsi"/>
          <w:noProof/>
          <w:szCs w:val="22"/>
        </w:rPr>
        <w:t xml:space="preserve">Invasive bees promote high reproductive success in Andean orchids.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175</w:t>
      </w:r>
      <w:r w:rsidRPr="003338D7">
        <w:rPr>
          <w:rFonts w:asciiTheme="majorHAnsi" w:hAnsiTheme="majorHAnsi"/>
          <w:noProof/>
          <w:szCs w:val="22"/>
        </w:rPr>
        <w:t xml:space="preserve">, 10–20. </w:t>
      </w:r>
      <w:hyperlink r:id="rId794" w:history="1">
        <w:r w:rsidRPr="003338D7">
          <w:rPr>
            <w:rStyle w:val="Hyperlink"/>
            <w:rFonts w:asciiTheme="majorHAnsi" w:hAnsiTheme="majorHAnsi"/>
            <w:noProof/>
            <w:szCs w:val="22"/>
          </w:rPr>
          <w:t>http://doi.org/10.1016/j.biocon.2014.04.011</w:t>
        </w:r>
      </w:hyperlink>
    </w:p>
    <w:p w14:paraId="1C96BCB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Santiago-Alarcon, D., Arriaga-Weiss, S. L., &amp; Escobar, O. (2011). Bird community composition of Centla Marshes Biosphere Reserve, Tabasco, Mexico. </w:t>
      </w:r>
      <w:r w:rsidRPr="003338D7">
        <w:rPr>
          <w:rFonts w:asciiTheme="majorHAnsi" w:hAnsiTheme="majorHAnsi"/>
          <w:i/>
          <w:iCs/>
          <w:noProof/>
          <w:szCs w:val="22"/>
          <w:lang w:val="es-ES"/>
        </w:rPr>
        <w:t>Ornitologia Neotropical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22</w:t>
      </w:r>
      <w:r w:rsidRPr="003338D7">
        <w:rPr>
          <w:rFonts w:asciiTheme="majorHAnsi" w:hAnsiTheme="majorHAnsi"/>
          <w:noProof/>
          <w:szCs w:val="22"/>
          <w:lang w:val="es-ES"/>
        </w:rPr>
        <w:t>, 229–246.</w:t>
      </w:r>
    </w:p>
    <w:p w14:paraId="5DD363F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Santos, R. O., Lirman, D., &amp; Pittman, S. J. (2016). </w:t>
      </w:r>
      <w:r w:rsidRPr="003338D7">
        <w:rPr>
          <w:rFonts w:asciiTheme="majorHAnsi" w:hAnsiTheme="majorHAnsi"/>
          <w:noProof/>
          <w:szCs w:val="22"/>
        </w:rPr>
        <w:t xml:space="preserve">Long-term spatial dynamics in vegetated seascapes: fragmentation and habitat loss in a human-impacted subtropical lagoon. </w:t>
      </w:r>
      <w:r w:rsidRPr="003338D7">
        <w:rPr>
          <w:rFonts w:asciiTheme="majorHAnsi" w:hAnsiTheme="majorHAnsi"/>
          <w:i/>
          <w:iCs/>
          <w:noProof/>
          <w:szCs w:val="22"/>
        </w:rPr>
        <w:t>Marine Ecology</w:t>
      </w:r>
      <w:r w:rsidRPr="003338D7">
        <w:rPr>
          <w:rFonts w:asciiTheme="majorHAnsi" w:hAnsiTheme="majorHAnsi"/>
          <w:noProof/>
          <w:szCs w:val="22"/>
        </w:rPr>
        <w:t xml:space="preserve">, </w:t>
      </w:r>
      <w:r w:rsidRPr="003338D7">
        <w:rPr>
          <w:rFonts w:asciiTheme="majorHAnsi" w:hAnsiTheme="majorHAnsi"/>
          <w:i/>
          <w:iCs/>
          <w:noProof/>
          <w:szCs w:val="22"/>
        </w:rPr>
        <w:t>37</w:t>
      </w:r>
      <w:r w:rsidRPr="003338D7">
        <w:rPr>
          <w:rFonts w:asciiTheme="majorHAnsi" w:hAnsiTheme="majorHAnsi"/>
          <w:noProof/>
          <w:szCs w:val="22"/>
        </w:rPr>
        <w:t xml:space="preserve">(1), 200–214. </w:t>
      </w:r>
      <w:hyperlink r:id="rId795" w:history="1">
        <w:r w:rsidRPr="003338D7">
          <w:rPr>
            <w:rStyle w:val="Hyperlink"/>
            <w:rFonts w:asciiTheme="majorHAnsi" w:hAnsiTheme="majorHAnsi"/>
            <w:noProof/>
            <w:szCs w:val="22"/>
          </w:rPr>
          <w:t>http://doi.org/10.1111/maec.12259</w:t>
        </w:r>
      </w:hyperlink>
    </w:p>
    <w:p w14:paraId="11AEFB9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Sanzo, D., &amp; Hecnar, S. J. (2006). Effects of road de-icing salt (NaCl) on larval wood frogs (</w:t>
      </w:r>
      <w:r w:rsidRPr="003338D7">
        <w:rPr>
          <w:rFonts w:asciiTheme="majorHAnsi" w:hAnsiTheme="majorHAnsi"/>
          <w:i/>
          <w:iCs/>
          <w:noProof/>
          <w:szCs w:val="22"/>
        </w:rPr>
        <w:t>Rana sylvatica</w:t>
      </w:r>
      <w:r w:rsidRPr="003338D7">
        <w:rPr>
          <w:rFonts w:asciiTheme="majorHAnsi" w:hAnsiTheme="majorHAnsi"/>
          <w:noProof/>
          <w:szCs w:val="22"/>
        </w:rPr>
        <w:t xml:space="preserve">). </w:t>
      </w:r>
      <w:r w:rsidRPr="003338D7">
        <w:rPr>
          <w:rFonts w:asciiTheme="majorHAnsi" w:hAnsiTheme="majorHAnsi"/>
          <w:i/>
          <w:iCs/>
          <w:noProof/>
          <w:szCs w:val="22"/>
          <w:lang w:val="es-ES"/>
        </w:rPr>
        <w:t>Environmental Pollution</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140</w:t>
      </w:r>
      <w:r w:rsidRPr="003338D7">
        <w:rPr>
          <w:rFonts w:asciiTheme="majorHAnsi" w:hAnsiTheme="majorHAnsi"/>
          <w:noProof/>
          <w:szCs w:val="22"/>
          <w:lang w:val="es-ES"/>
        </w:rPr>
        <w:t xml:space="preserve">(2), 247–256. </w:t>
      </w:r>
      <w:hyperlink r:id="rId796" w:history="1">
        <w:r w:rsidRPr="003338D7">
          <w:rPr>
            <w:rStyle w:val="Hyperlink"/>
            <w:rFonts w:asciiTheme="majorHAnsi" w:hAnsiTheme="majorHAnsi"/>
            <w:noProof/>
            <w:szCs w:val="22"/>
            <w:lang w:val="es-ES"/>
          </w:rPr>
          <w:t>http://doi.org/10.1016/j.envpol.2005.07.013</w:t>
        </w:r>
      </w:hyperlink>
    </w:p>
    <w:p w14:paraId="00F7535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Sarukhán, J., Urquiza-Haas, T., Koleff, P., Carabias, J., Dirzo, R., Ezcurra, E., Cerdeira-Estrada, S., &amp; Soberón., J. (2015). Strategic actions to value, conserve, and restore the natural capital of megadiversity countries: the case of Mexico. </w:t>
      </w:r>
      <w:r w:rsidRPr="003338D7">
        <w:rPr>
          <w:rFonts w:asciiTheme="majorHAnsi" w:hAnsiTheme="majorHAnsi"/>
          <w:i/>
          <w:iCs/>
          <w:noProof/>
          <w:szCs w:val="22"/>
          <w:lang w:val="es-ES"/>
        </w:rPr>
        <w:t>BioScience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65</w:t>
      </w:r>
      <w:r w:rsidRPr="003338D7">
        <w:rPr>
          <w:rFonts w:asciiTheme="majorHAnsi" w:hAnsiTheme="majorHAnsi"/>
          <w:noProof/>
          <w:szCs w:val="22"/>
          <w:lang w:val="es-ES"/>
        </w:rPr>
        <w:t xml:space="preserve">(2), 164–173. </w:t>
      </w:r>
      <w:hyperlink r:id="rId797" w:history="1">
        <w:r w:rsidRPr="003338D7">
          <w:rPr>
            <w:rStyle w:val="Hyperlink"/>
            <w:rFonts w:asciiTheme="majorHAnsi" w:hAnsiTheme="majorHAnsi"/>
            <w:noProof/>
            <w:szCs w:val="22"/>
            <w:lang w:val="es-ES"/>
          </w:rPr>
          <w:t>https://doi.org/10.1093/biosci/biu195</w:t>
        </w:r>
      </w:hyperlink>
    </w:p>
    <w:p w14:paraId="2B44BE8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Scherber, C., Eisenhauer, N., Weisser, W. W., Schmid, B., Voigt, W., Fischer, M., Schulze, E.-D., Roscher, C., Weigelt, A., Allan, E., Bessler, H., Bonkowski, M., Buchmann, N., Buscot, F., Clement, L. W., Ebeling, A., Engels, C., Halle, S., Kertscher, I., Klein, A.-M., Koller, R., König, S., Kowalski, E., Kummer, V., Kuu, A., Lange, M., Lauterbach, D., Middelhoff, C., Migunova, V. D., Milcu, A., Muller, R., Partsch, S., Petermann, J. S., Renker, C., Rottstock, T., Sabais, A., Scheu, S., Schumacher, J., Temperton, V. M., &amp; Tscharntke, T. (2010). Bottom-up effects of plant diversity on multitrophic interactions in a biodiversity experiment.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468</w:t>
      </w:r>
      <w:r w:rsidRPr="003338D7">
        <w:rPr>
          <w:rFonts w:asciiTheme="majorHAnsi" w:hAnsiTheme="majorHAnsi"/>
          <w:noProof/>
          <w:szCs w:val="22"/>
          <w:lang w:val="es-ES"/>
        </w:rPr>
        <w:t xml:space="preserve">, 553–556. </w:t>
      </w:r>
      <w:hyperlink r:id="rId798" w:history="1">
        <w:r w:rsidRPr="003338D7">
          <w:rPr>
            <w:rStyle w:val="Hyperlink"/>
            <w:rFonts w:asciiTheme="majorHAnsi" w:hAnsiTheme="majorHAnsi"/>
            <w:noProof/>
            <w:szCs w:val="22"/>
            <w:lang w:val="es-ES"/>
          </w:rPr>
          <w:t>https://doi.org/10.1038/nature09492</w:t>
        </w:r>
      </w:hyperlink>
    </w:p>
    <w:p w14:paraId="074EAC1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Scherer-Lorenzen, M. (2014). The functional role of biodiversity in the context of global change. In D. A. Coomes, F. R. . Burslem, &amp; W. D. Simonson (Eds.), </w:t>
      </w:r>
      <w:r w:rsidRPr="003338D7">
        <w:rPr>
          <w:rFonts w:asciiTheme="majorHAnsi" w:hAnsiTheme="majorHAnsi"/>
          <w:i/>
          <w:iCs/>
          <w:noProof/>
          <w:szCs w:val="22"/>
        </w:rPr>
        <w:t>Forests and Global Change</w:t>
      </w:r>
      <w:r w:rsidRPr="003338D7">
        <w:rPr>
          <w:rFonts w:asciiTheme="majorHAnsi" w:hAnsiTheme="majorHAnsi"/>
          <w:noProof/>
          <w:szCs w:val="22"/>
        </w:rPr>
        <w:t xml:space="preserve"> (pp. 195–238). Cambridge, UK: Cambridge University Press.</w:t>
      </w:r>
    </w:p>
    <w:p w14:paraId="702CF2A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Scherson, R. A., Thornhill, A. H., Urbina-Casanova, R., Freyman, W. A., Pliscoff, P. A., &amp; Mishler, B. D. (2017). Spatial phylogenetics of the vascular flora of Chile. </w:t>
      </w:r>
      <w:r w:rsidRPr="003338D7">
        <w:rPr>
          <w:rFonts w:asciiTheme="majorHAnsi" w:hAnsiTheme="majorHAnsi"/>
          <w:i/>
          <w:iCs/>
          <w:noProof/>
          <w:szCs w:val="22"/>
        </w:rPr>
        <w:t>Molecular Phylogenetics and Evolution</w:t>
      </w:r>
      <w:r w:rsidRPr="003338D7">
        <w:rPr>
          <w:rFonts w:asciiTheme="majorHAnsi" w:hAnsiTheme="majorHAnsi"/>
          <w:noProof/>
          <w:szCs w:val="22"/>
        </w:rPr>
        <w:t xml:space="preserve">, </w:t>
      </w:r>
      <w:r w:rsidRPr="003338D7">
        <w:rPr>
          <w:rFonts w:asciiTheme="majorHAnsi" w:hAnsiTheme="majorHAnsi"/>
          <w:i/>
          <w:iCs/>
          <w:noProof/>
          <w:szCs w:val="22"/>
        </w:rPr>
        <w:t>112</w:t>
      </w:r>
      <w:r w:rsidRPr="003338D7">
        <w:rPr>
          <w:rFonts w:asciiTheme="majorHAnsi" w:hAnsiTheme="majorHAnsi"/>
          <w:noProof/>
          <w:szCs w:val="22"/>
        </w:rPr>
        <w:t xml:space="preserve">, 88–95. </w:t>
      </w:r>
      <w:hyperlink r:id="rId799" w:history="1">
        <w:r w:rsidRPr="003338D7">
          <w:rPr>
            <w:rStyle w:val="Hyperlink"/>
            <w:rFonts w:asciiTheme="majorHAnsi" w:hAnsiTheme="majorHAnsi"/>
            <w:noProof/>
            <w:szCs w:val="22"/>
          </w:rPr>
          <w:t>http://doi.org/10.1016/j.ympev.2017.04.021</w:t>
        </w:r>
      </w:hyperlink>
    </w:p>
    <w:p w14:paraId="07655E9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Schmid-Hempel, R., Eckhardt, M., Goulson, D., Heinzmann, D., Lange, C., Plischuk, S., Escudero, L. R., Salathé, R., Scriven, J. J., &amp; Schmid-Hempel, P. (2014). The invasion of southern South America by imported bumblebees and associated parasites. </w:t>
      </w:r>
      <w:r w:rsidRPr="003338D7">
        <w:rPr>
          <w:rFonts w:asciiTheme="majorHAnsi" w:hAnsiTheme="majorHAnsi"/>
          <w:i/>
          <w:iCs/>
          <w:noProof/>
          <w:szCs w:val="22"/>
          <w:lang w:val="es-ES"/>
        </w:rPr>
        <w:t>Journal of Animal Ecology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83</w:t>
      </w:r>
      <w:r w:rsidRPr="003338D7">
        <w:rPr>
          <w:rFonts w:asciiTheme="majorHAnsi" w:hAnsiTheme="majorHAnsi"/>
          <w:noProof/>
          <w:szCs w:val="22"/>
          <w:lang w:val="es-ES"/>
        </w:rPr>
        <w:t xml:space="preserve">(4), 823–837. </w:t>
      </w:r>
      <w:hyperlink r:id="rId800" w:history="1">
        <w:r w:rsidRPr="003338D7">
          <w:rPr>
            <w:rStyle w:val="Hyperlink"/>
            <w:rFonts w:asciiTheme="majorHAnsi" w:hAnsiTheme="majorHAnsi"/>
            <w:noProof/>
            <w:szCs w:val="22"/>
            <w:lang w:val="es-ES"/>
          </w:rPr>
          <w:t>https://doi.org/10.1111/1365-2656.12185</w:t>
        </w:r>
      </w:hyperlink>
    </w:p>
    <w:p w14:paraId="56E9F94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Schmidt, S. K., Nemergut, D. R., Miller, A. E., Freeman, K. R., King, A. J., &amp; Seimon, A. (2009). Microbial activity and diversity during extreme freeze-thaw cycles in periglacial soils, 5400 m elevation, Cordillera Vilcanota, Perú. </w:t>
      </w:r>
      <w:r w:rsidRPr="003338D7">
        <w:rPr>
          <w:rFonts w:asciiTheme="majorHAnsi" w:hAnsiTheme="majorHAnsi"/>
          <w:i/>
          <w:iCs/>
          <w:noProof/>
          <w:szCs w:val="22"/>
        </w:rPr>
        <w:t>Extremophiles: Microbial Life under Extreme Conditions</w:t>
      </w:r>
      <w:r w:rsidRPr="003338D7">
        <w:rPr>
          <w:rFonts w:asciiTheme="majorHAnsi" w:hAnsiTheme="majorHAnsi"/>
          <w:noProof/>
          <w:szCs w:val="22"/>
        </w:rPr>
        <w:t xml:space="preserve">, </w:t>
      </w:r>
      <w:r w:rsidRPr="003338D7">
        <w:rPr>
          <w:rFonts w:asciiTheme="majorHAnsi" w:hAnsiTheme="majorHAnsi"/>
          <w:i/>
          <w:iCs/>
          <w:noProof/>
          <w:szCs w:val="22"/>
        </w:rPr>
        <w:t>13</w:t>
      </w:r>
      <w:r w:rsidRPr="003338D7">
        <w:rPr>
          <w:rFonts w:asciiTheme="majorHAnsi" w:hAnsiTheme="majorHAnsi"/>
          <w:noProof/>
          <w:szCs w:val="22"/>
        </w:rPr>
        <w:t xml:space="preserve">(5), 807–816. </w:t>
      </w:r>
      <w:hyperlink r:id="rId801" w:history="1">
        <w:r w:rsidRPr="003338D7">
          <w:rPr>
            <w:rStyle w:val="Hyperlink"/>
            <w:rFonts w:asciiTheme="majorHAnsi" w:hAnsiTheme="majorHAnsi"/>
            <w:noProof/>
            <w:szCs w:val="22"/>
          </w:rPr>
          <w:t>http://doi.org/10.1007/s00792-009-0268-9</w:t>
        </w:r>
      </w:hyperlink>
    </w:p>
    <w:p w14:paraId="690DFF3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Schulz, C., Koch, R., Cierjacks, A., &amp; Kleinschmit, B. (2017). </w:t>
      </w:r>
      <w:r w:rsidRPr="003338D7">
        <w:rPr>
          <w:rFonts w:asciiTheme="majorHAnsi" w:hAnsiTheme="majorHAnsi"/>
          <w:noProof/>
          <w:szCs w:val="22"/>
        </w:rPr>
        <w:t xml:space="preserve">Land change and loss of landscape diversity at the Caatinga phytogeographical domain – Analysis of pattern-process relationships with MODIS land cover products (2001–2012). </w:t>
      </w:r>
      <w:r w:rsidRPr="003338D7">
        <w:rPr>
          <w:rFonts w:asciiTheme="majorHAnsi" w:hAnsiTheme="majorHAnsi"/>
          <w:i/>
          <w:iCs/>
          <w:noProof/>
          <w:szCs w:val="22"/>
        </w:rPr>
        <w:t>Journal of Arid Environments</w:t>
      </w:r>
      <w:r w:rsidRPr="003338D7">
        <w:rPr>
          <w:rFonts w:asciiTheme="majorHAnsi" w:hAnsiTheme="majorHAnsi"/>
          <w:noProof/>
          <w:szCs w:val="22"/>
        </w:rPr>
        <w:t xml:space="preserve">, </w:t>
      </w:r>
      <w:r w:rsidRPr="003338D7">
        <w:rPr>
          <w:rFonts w:asciiTheme="majorHAnsi" w:hAnsiTheme="majorHAnsi"/>
          <w:i/>
          <w:iCs/>
          <w:noProof/>
          <w:szCs w:val="22"/>
        </w:rPr>
        <w:t>136</w:t>
      </w:r>
      <w:r w:rsidRPr="003338D7">
        <w:rPr>
          <w:rFonts w:asciiTheme="majorHAnsi" w:hAnsiTheme="majorHAnsi"/>
          <w:noProof/>
          <w:szCs w:val="22"/>
        </w:rPr>
        <w:t xml:space="preserve">, 54–74. </w:t>
      </w:r>
      <w:hyperlink r:id="rId802" w:history="1">
        <w:r w:rsidRPr="003338D7">
          <w:rPr>
            <w:rStyle w:val="Hyperlink"/>
            <w:rFonts w:asciiTheme="majorHAnsi" w:hAnsiTheme="majorHAnsi"/>
            <w:noProof/>
            <w:szCs w:val="22"/>
          </w:rPr>
          <w:t>http://doi.org/10.1016/j.jaridenv.2016.10.004</w:t>
        </w:r>
      </w:hyperlink>
    </w:p>
    <w:p w14:paraId="590612E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Schulz, J. J., Cayuela, L., Echeverria, C., Salas, J., &amp; Rey Benayas, J. M. (2010). Monitoring land cover change of the dryland forest landscape of Central Chile (1975-2008). </w:t>
      </w:r>
      <w:r w:rsidRPr="003338D7">
        <w:rPr>
          <w:rFonts w:asciiTheme="majorHAnsi" w:hAnsiTheme="majorHAnsi"/>
          <w:i/>
          <w:iCs/>
          <w:noProof/>
          <w:szCs w:val="22"/>
        </w:rPr>
        <w:t>Applied Geography</w:t>
      </w:r>
      <w:r w:rsidRPr="003338D7">
        <w:rPr>
          <w:rFonts w:asciiTheme="majorHAnsi" w:hAnsiTheme="majorHAnsi"/>
          <w:noProof/>
          <w:szCs w:val="22"/>
        </w:rPr>
        <w:t xml:space="preserve">, </w:t>
      </w:r>
      <w:r w:rsidRPr="003338D7">
        <w:rPr>
          <w:rFonts w:asciiTheme="majorHAnsi" w:hAnsiTheme="majorHAnsi"/>
          <w:i/>
          <w:iCs/>
          <w:noProof/>
          <w:szCs w:val="22"/>
        </w:rPr>
        <w:t>30</w:t>
      </w:r>
      <w:r w:rsidRPr="003338D7">
        <w:rPr>
          <w:rFonts w:asciiTheme="majorHAnsi" w:hAnsiTheme="majorHAnsi"/>
          <w:noProof/>
          <w:szCs w:val="22"/>
        </w:rPr>
        <w:t xml:space="preserve">(3), 436–447. </w:t>
      </w:r>
      <w:hyperlink r:id="rId803" w:history="1">
        <w:r w:rsidRPr="003338D7">
          <w:rPr>
            <w:rStyle w:val="Hyperlink"/>
            <w:rFonts w:asciiTheme="majorHAnsi" w:hAnsiTheme="majorHAnsi"/>
            <w:noProof/>
            <w:szCs w:val="22"/>
          </w:rPr>
          <w:t>http://doi.org/10.1016/j.apgeog.2009.12.003</w:t>
        </w:r>
      </w:hyperlink>
    </w:p>
    <w:p w14:paraId="590F8A1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rPr>
        <w:t xml:space="preserve">Schulz, N., Aceituno, P., &amp; Richter, M. (2011). Phytogeographic divisions, climate change and plant dieback along the coastal desert of northern Chile. </w:t>
      </w:r>
      <w:r w:rsidRPr="003338D7">
        <w:rPr>
          <w:rFonts w:asciiTheme="majorHAnsi" w:hAnsiTheme="majorHAnsi"/>
          <w:i/>
          <w:iCs/>
          <w:noProof/>
          <w:szCs w:val="22"/>
          <w:lang w:val="de-DE"/>
        </w:rPr>
        <w:t>Erdkunde</w:t>
      </w:r>
      <w:r w:rsidRPr="003338D7">
        <w:rPr>
          <w:rFonts w:asciiTheme="majorHAnsi" w:hAnsiTheme="majorHAnsi"/>
          <w:noProof/>
          <w:szCs w:val="22"/>
          <w:lang w:val="de-DE"/>
        </w:rPr>
        <w:t xml:space="preserve">, </w:t>
      </w:r>
      <w:r w:rsidRPr="003338D7">
        <w:rPr>
          <w:rFonts w:asciiTheme="majorHAnsi" w:hAnsiTheme="majorHAnsi"/>
          <w:i/>
          <w:iCs/>
          <w:noProof/>
          <w:szCs w:val="22"/>
          <w:lang w:val="de-DE"/>
        </w:rPr>
        <w:t>65</w:t>
      </w:r>
      <w:r w:rsidRPr="003338D7">
        <w:rPr>
          <w:rFonts w:asciiTheme="majorHAnsi" w:hAnsiTheme="majorHAnsi"/>
          <w:noProof/>
          <w:szCs w:val="22"/>
          <w:lang w:val="de-DE"/>
        </w:rPr>
        <w:t xml:space="preserve">(2), 169–187. </w:t>
      </w:r>
      <w:hyperlink r:id="rId804" w:history="1">
        <w:r w:rsidRPr="003338D7">
          <w:rPr>
            <w:rStyle w:val="Hyperlink"/>
            <w:rFonts w:asciiTheme="majorHAnsi" w:hAnsiTheme="majorHAnsi"/>
            <w:noProof/>
            <w:szCs w:val="22"/>
            <w:lang w:val="de-DE"/>
          </w:rPr>
          <w:t>http://doi.org/10.3112/erdkunde.2011.02.05</w:t>
        </w:r>
      </w:hyperlink>
    </w:p>
    <w:p w14:paraId="4431AFA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Schuur, E. A. G., McGuire, A. D., Schädel, C., Grosse, G., Harden, J. W., Hayes, D. J., Hugelius, G., Koven, C. D., Kuhry, P., Lawrence, D. M., Natali, S. M., Olefeldt, D., Romanovsky, V. E., Schaefer, K., Turetsky, M. R., Treat, C. C., &amp; Vonk, J. E. (2015). Climate change and the permafrost carbon feedback.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520</w:t>
      </w:r>
      <w:r w:rsidRPr="003338D7">
        <w:rPr>
          <w:rFonts w:asciiTheme="majorHAnsi" w:hAnsiTheme="majorHAnsi"/>
          <w:noProof/>
          <w:szCs w:val="22"/>
          <w:lang w:val="es-ES"/>
        </w:rPr>
        <w:t xml:space="preserve">(January 2016), 171–179. </w:t>
      </w:r>
      <w:hyperlink r:id="rId805" w:history="1">
        <w:r w:rsidRPr="003338D7">
          <w:rPr>
            <w:rStyle w:val="Hyperlink"/>
            <w:rFonts w:asciiTheme="majorHAnsi" w:hAnsiTheme="majorHAnsi"/>
            <w:noProof/>
            <w:szCs w:val="22"/>
            <w:lang w:val="es-ES"/>
          </w:rPr>
          <w:t>https://doi.org/10.1038/nature14338</w:t>
        </w:r>
      </w:hyperlink>
    </w:p>
    <w:p w14:paraId="412D94C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Schuur, E. A. G., Vogel, J. G., Crummer, K. G., Lee, H., Sickman, J. O., &amp; Osterkamp, T. E. (2009). </w:t>
      </w:r>
      <w:r w:rsidRPr="003338D7">
        <w:rPr>
          <w:rFonts w:asciiTheme="majorHAnsi" w:hAnsiTheme="majorHAnsi"/>
          <w:noProof/>
          <w:szCs w:val="22"/>
        </w:rPr>
        <w:t xml:space="preserve">The effect of permafrost thaw on old carbon release and net carbon exchange from tundra.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459</w:t>
      </w:r>
      <w:r w:rsidRPr="003338D7">
        <w:rPr>
          <w:rFonts w:asciiTheme="majorHAnsi" w:hAnsiTheme="majorHAnsi"/>
          <w:noProof/>
          <w:szCs w:val="22"/>
        </w:rPr>
        <w:t xml:space="preserve">(7246), 556–559. </w:t>
      </w:r>
      <w:hyperlink r:id="rId806" w:history="1">
        <w:r w:rsidRPr="003338D7">
          <w:rPr>
            <w:rStyle w:val="Hyperlink"/>
            <w:rFonts w:asciiTheme="majorHAnsi" w:hAnsiTheme="majorHAnsi"/>
            <w:noProof/>
            <w:szCs w:val="22"/>
          </w:rPr>
          <w:t>http://doi.org/10.1038/nature08031</w:t>
        </w:r>
      </w:hyperlink>
    </w:p>
    <w:p w14:paraId="0CB2809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Schwartz, M. W., Thorne, J. H., &amp; Viers, J. H. (2006). Biotic homogenization of the California flora in urban and urbanizing regions.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127</w:t>
      </w:r>
      <w:r w:rsidRPr="003338D7">
        <w:rPr>
          <w:rFonts w:asciiTheme="majorHAnsi" w:hAnsiTheme="majorHAnsi"/>
          <w:noProof/>
          <w:szCs w:val="22"/>
        </w:rPr>
        <w:t xml:space="preserve">(3), 282–291. </w:t>
      </w:r>
      <w:hyperlink r:id="rId807" w:history="1">
        <w:r w:rsidRPr="003338D7">
          <w:rPr>
            <w:rStyle w:val="Hyperlink"/>
            <w:rFonts w:asciiTheme="majorHAnsi" w:hAnsiTheme="majorHAnsi"/>
            <w:noProof/>
            <w:szCs w:val="22"/>
          </w:rPr>
          <w:t>http://doi.org/10.1016/j.biocon.2005.05.017</w:t>
        </w:r>
      </w:hyperlink>
    </w:p>
    <w:p w14:paraId="36FB43C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Seebens, H., Blackburn, T. M., Dyer, E. E., Genovesi, P., Hulme, P. E., Jeschke, J. M., Pagad, S., Pyšek, P., Winter, M., Arianoutsou, M., Bacher, S., Blasius, B., Brundu, G., Capinha, C., Celesti-Grapow, L., Dawson, W., Dullinger, S., Fuentes, N., Jäger, H., Kartesz, J., Kenis, M., Kreft, H., Kühn, I., Lenzner, B., Liebhold, A., Mosena, A., Moser, D., Nishino, M., Pearman, D., Pergl, J., Rabitsch, W., Rojas-Sandoval, J., Roques, A., Rorke, S., Rossinelli, S., Roy, H. E., Scalera, R., Schindler, S., Štajerová, K., Tokarska-Guzik, B., van Kleunen, M., Walker, K., Weigelt, P., Yamanaka, T., &amp; Essl, F. (2017). No saturation in the accumulation of alien species worldwide. </w:t>
      </w:r>
      <w:r w:rsidRPr="003338D7">
        <w:rPr>
          <w:rFonts w:asciiTheme="majorHAnsi" w:hAnsiTheme="majorHAnsi"/>
          <w:i/>
          <w:iCs/>
          <w:noProof/>
          <w:szCs w:val="22"/>
          <w:lang w:val="es-ES"/>
        </w:rPr>
        <w:t>Nature Communications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8</w:t>
      </w:r>
      <w:r w:rsidRPr="003338D7">
        <w:rPr>
          <w:rFonts w:asciiTheme="majorHAnsi" w:hAnsiTheme="majorHAnsi"/>
          <w:noProof/>
          <w:szCs w:val="22"/>
          <w:lang w:val="es-ES"/>
        </w:rPr>
        <w:t xml:space="preserve">, 14435. </w:t>
      </w:r>
      <w:hyperlink r:id="rId808" w:history="1">
        <w:r w:rsidRPr="003338D7">
          <w:rPr>
            <w:rStyle w:val="Hyperlink"/>
            <w:rFonts w:asciiTheme="majorHAnsi" w:hAnsiTheme="majorHAnsi"/>
            <w:noProof/>
            <w:szCs w:val="22"/>
            <w:lang w:val="es-ES"/>
          </w:rPr>
          <w:t>https://doi.org/10.1038/ncomms14435</w:t>
        </w:r>
      </w:hyperlink>
    </w:p>
    <w:p w14:paraId="6064AC0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Seebens, H., Schwartz, N., Schupp, P. J., &amp; Blasius, B. (2016). Predicting the spread of marine species introduced by global shipping.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113</w:t>
      </w:r>
      <w:r w:rsidRPr="003338D7">
        <w:rPr>
          <w:rFonts w:asciiTheme="majorHAnsi" w:hAnsiTheme="majorHAnsi"/>
          <w:noProof/>
          <w:szCs w:val="22"/>
          <w:lang w:val="es-ES"/>
        </w:rPr>
        <w:t xml:space="preserve">(20), 5646–5651. </w:t>
      </w:r>
      <w:hyperlink r:id="rId809" w:history="1">
        <w:r w:rsidRPr="003338D7">
          <w:rPr>
            <w:rStyle w:val="Hyperlink"/>
            <w:rFonts w:asciiTheme="majorHAnsi" w:hAnsiTheme="majorHAnsi"/>
            <w:noProof/>
            <w:szCs w:val="22"/>
            <w:lang w:val="es-ES"/>
          </w:rPr>
          <w:t>http://doi.org/10.1073/pnas.1524427113</w:t>
        </w:r>
      </w:hyperlink>
    </w:p>
    <w:p w14:paraId="11281D8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Serrano-Sandi, J., F. Bonilla-Murillo, &amp; Sasa, M. (2013). </w:t>
      </w:r>
      <w:r w:rsidRPr="003338D7">
        <w:rPr>
          <w:rFonts w:asciiTheme="majorHAnsi" w:hAnsiTheme="majorHAnsi"/>
          <w:noProof/>
          <w:szCs w:val="22"/>
        </w:rPr>
        <w:t xml:space="preserve">Distribution, surface and protected area of palm-swamps in Costa Rica and Nicaragua. </w:t>
      </w:r>
      <w:r w:rsidRPr="003338D7">
        <w:rPr>
          <w:rFonts w:asciiTheme="majorHAnsi" w:hAnsiTheme="majorHAnsi"/>
          <w:i/>
          <w:iCs/>
          <w:noProof/>
          <w:szCs w:val="22"/>
          <w:lang w:val="es-ES"/>
        </w:rPr>
        <w:t>Revista de Biologia Tropical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61</w:t>
      </w:r>
      <w:r w:rsidRPr="003338D7">
        <w:rPr>
          <w:rFonts w:asciiTheme="majorHAnsi" w:hAnsiTheme="majorHAnsi"/>
          <w:noProof/>
          <w:szCs w:val="22"/>
          <w:lang w:val="es-ES"/>
        </w:rPr>
        <w:t>(Suppl. 1), 25–33.</w:t>
      </w:r>
    </w:p>
    <w:p w14:paraId="4B01722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Seto, K. C., Güneralp, B., &amp; Hutyra, L. R. (2012). </w:t>
      </w:r>
      <w:r w:rsidRPr="003338D7">
        <w:rPr>
          <w:rFonts w:asciiTheme="majorHAnsi" w:hAnsiTheme="majorHAnsi"/>
          <w:noProof/>
          <w:szCs w:val="22"/>
        </w:rPr>
        <w:t xml:space="preserve">Global forecasts of urban expansion to 2030 and direct impacts on biodiversity and carbon pools. </w:t>
      </w:r>
      <w:r w:rsidRPr="003338D7">
        <w:rPr>
          <w:rFonts w:asciiTheme="majorHAnsi" w:hAnsiTheme="majorHAnsi"/>
          <w:i/>
          <w:iCs/>
          <w:noProof/>
          <w:szCs w:val="22"/>
        </w:rPr>
        <w:t>PNAS</w:t>
      </w:r>
      <w:r w:rsidRPr="003338D7">
        <w:rPr>
          <w:rFonts w:asciiTheme="majorHAnsi" w:hAnsiTheme="majorHAnsi"/>
          <w:noProof/>
          <w:szCs w:val="22"/>
        </w:rPr>
        <w:t xml:space="preserve">, </w:t>
      </w:r>
      <w:r w:rsidRPr="003338D7">
        <w:rPr>
          <w:rFonts w:asciiTheme="majorHAnsi" w:hAnsiTheme="majorHAnsi"/>
          <w:i/>
          <w:iCs/>
          <w:noProof/>
          <w:szCs w:val="22"/>
        </w:rPr>
        <w:t>109</w:t>
      </w:r>
      <w:r w:rsidRPr="003338D7">
        <w:rPr>
          <w:rFonts w:asciiTheme="majorHAnsi" w:hAnsiTheme="majorHAnsi"/>
          <w:noProof/>
          <w:szCs w:val="22"/>
        </w:rPr>
        <w:t xml:space="preserve">, 16083–16088. </w:t>
      </w:r>
      <w:hyperlink r:id="rId810" w:history="1">
        <w:r w:rsidRPr="003338D7">
          <w:rPr>
            <w:rStyle w:val="Hyperlink"/>
            <w:rFonts w:asciiTheme="majorHAnsi" w:hAnsiTheme="majorHAnsi"/>
            <w:noProof/>
            <w:szCs w:val="22"/>
          </w:rPr>
          <w:t>http://doi.org/10.1073/pnas.1211658109</w:t>
        </w:r>
      </w:hyperlink>
    </w:p>
    <w:p w14:paraId="1184044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Shaver, G. R., Laundre, J. A., Syndonia Bret-Harte, M., Stuart Chapin, F., Mercado-Díaz, J. A., Giblin, A. E., Gough, L., Gould, W. A., Hobbie, S. E., Kling, G. W., Mack, M. C., Moore, J. C., Nadelhoffer, K. J., Rastetter, E. B., &amp; Schimel, J. P. (2014). Terrestrial ecosystems at Toolik Lake, Alaska. In J. E. Hobbie &amp; G. W. Kling (Eds.), </w:t>
      </w:r>
      <w:r w:rsidRPr="003338D7">
        <w:rPr>
          <w:rFonts w:asciiTheme="majorHAnsi" w:hAnsiTheme="majorHAnsi"/>
          <w:i/>
          <w:iCs/>
          <w:noProof/>
          <w:szCs w:val="22"/>
          <w:lang w:val="es-ES"/>
        </w:rPr>
        <w:t>Alaska’s Changing Arctic: Ecological Consequences for Tundra, Streams, and Lakes</w:t>
      </w:r>
      <w:r w:rsidRPr="003338D7">
        <w:rPr>
          <w:rFonts w:asciiTheme="majorHAnsi" w:hAnsiTheme="majorHAnsi"/>
          <w:noProof/>
          <w:szCs w:val="22"/>
          <w:lang w:val="es-ES"/>
        </w:rPr>
        <w:t>. New York, USA: Oxford University Press.</w:t>
      </w:r>
    </w:p>
    <w:p w14:paraId="10A5CD2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Shaver, I., Chain Guadarrama, A., Cleary, K., Sanfiorenzo, A. R., Santiago-Garcia, R., Finegan, B., Hormel, L., Sibelet, N., Vierling, L. A., Bosque-Perez, N., DeClerck, F., Fagan, M. E., &amp; Waits, L. (2015). Coupled social and ecological outcomes of agricultural intensification in Costa Rica and the future of biodiversity conservation in tropical agricultural regions. </w:t>
      </w:r>
      <w:r w:rsidRPr="003338D7">
        <w:rPr>
          <w:rFonts w:asciiTheme="majorHAnsi" w:hAnsiTheme="majorHAnsi"/>
          <w:i/>
          <w:iCs/>
          <w:noProof/>
          <w:szCs w:val="22"/>
          <w:lang w:val="es-ES"/>
        </w:rPr>
        <w:t>Global Environmental Change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32</w:t>
      </w:r>
      <w:r w:rsidRPr="003338D7">
        <w:rPr>
          <w:rFonts w:asciiTheme="majorHAnsi" w:hAnsiTheme="majorHAnsi"/>
          <w:noProof/>
          <w:szCs w:val="22"/>
          <w:lang w:val="es-ES"/>
        </w:rPr>
        <w:t xml:space="preserve">, 74–86. </w:t>
      </w:r>
      <w:hyperlink r:id="rId811" w:history="1">
        <w:r w:rsidRPr="003338D7">
          <w:rPr>
            <w:rStyle w:val="Hyperlink"/>
            <w:rFonts w:asciiTheme="majorHAnsi" w:hAnsiTheme="majorHAnsi"/>
            <w:noProof/>
            <w:szCs w:val="22"/>
            <w:lang w:val="es-ES"/>
          </w:rPr>
          <w:t>https://doi.org/10.1016/j.gloenvcha.2015.02.006</w:t>
        </w:r>
      </w:hyperlink>
    </w:p>
    <w:p w14:paraId="43BCEA9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Shochat, E., Lerman, S. B., Anderies, J. M., Warren, P. S., Faeth, S. H., &amp; Nilon, C. H. (2010). Invasion, competition, and biodiversity loss in urban ecosystems. </w:t>
      </w:r>
      <w:r w:rsidRPr="003338D7">
        <w:rPr>
          <w:rFonts w:asciiTheme="majorHAnsi" w:hAnsiTheme="majorHAnsi"/>
          <w:i/>
          <w:iCs/>
          <w:noProof/>
          <w:szCs w:val="22"/>
        </w:rPr>
        <w:t>BioScience</w:t>
      </w:r>
      <w:r w:rsidRPr="003338D7">
        <w:rPr>
          <w:rFonts w:asciiTheme="majorHAnsi" w:hAnsiTheme="majorHAnsi"/>
          <w:noProof/>
          <w:szCs w:val="22"/>
        </w:rPr>
        <w:t xml:space="preserve">, </w:t>
      </w:r>
      <w:r w:rsidRPr="003338D7">
        <w:rPr>
          <w:rFonts w:asciiTheme="majorHAnsi" w:hAnsiTheme="majorHAnsi"/>
          <w:i/>
          <w:iCs/>
          <w:noProof/>
          <w:szCs w:val="22"/>
        </w:rPr>
        <w:t>60</w:t>
      </w:r>
      <w:r w:rsidRPr="003338D7">
        <w:rPr>
          <w:rFonts w:asciiTheme="majorHAnsi" w:hAnsiTheme="majorHAnsi"/>
          <w:noProof/>
          <w:szCs w:val="22"/>
        </w:rPr>
        <w:t xml:space="preserve">(3), 199–208. </w:t>
      </w:r>
      <w:hyperlink r:id="rId812" w:history="1">
        <w:r w:rsidRPr="003338D7">
          <w:rPr>
            <w:rStyle w:val="Hyperlink"/>
            <w:rFonts w:asciiTheme="majorHAnsi" w:hAnsiTheme="majorHAnsi"/>
            <w:noProof/>
            <w:szCs w:val="22"/>
          </w:rPr>
          <w:t>http://doi.org/10.1525/bio.2010.60.3.6</w:t>
        </w:r>
      </w:hyperlink>
    </w:p>
    <w:p w14:paraId="4180D2B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Sica, Y. V., Quintana, R. D., Radeloff, V. C., &amp; G. I. Gavier-Pizarro. </w:t>
      </w:r>
      <w:r w:rsidRPr="003338D7">
        <w:rPr>
          <w:rFonts w:asciiTheme="majorHAnsi" w:hAnsiTheme="majorHAnsi"/>
          <w:noProof/>
          <w:szCs w:val="22"/>
        </w:rPr>
        <w:t xml:space="preserve">(2016). Wetland loss due to land use change in the Lower Paraná River Delta, Argentina. </w:t>
      </w:r>
      <w:r w:rsidRPr="003338D7">
        <w:rPr>
          <w:rFonts w:asciiTheme="majorHAnsi" w:hAnsiTheme="majorHAnsi"/>
          <w:i/>
          <w:iCs/>
          <w:noProof/>
          <w:szCs w:val="22"/>
        </w:rPr>
        <w:t>Science of the Total Environment</w:t>
      </w:r>
      <w:r w:rsidRPr="003338D7">
        <w:rPr>
          <w:rFonts w:asciiTheme="majorHAnsi" w:hAnsiTheme="majorHAnsi"/>
          <w:noProof/>
          <w:szCs w:val="22"/>
        </w:rPr>
        <w:t xml:space="preserve">, </w:t>
      </w:r>
      <w:r w:rsidRPr="003338D7">
        <w:rPr>
          <w:rFonts w:asciiTheme="majorHAnsi" w:hAnsiTheme="majorHAnsi"/>
          <w:i/>
          <w:iCs/>
          <w:noProof/>
          <w:szCs w:val="22"/>
        </w:rPr>
        <w:t>568</w:t>
      </w:r>
      <w:r w:rsidRPr="003338D7">
        <w:rPr>
          <w:rFonts w:asciiTheme="majorHAnsi" w:hAnsiTheme="majorHAnsi"/>
          <w:noProof/>
          <w:szCs w:val="22"/>
        </w:rPr>
        <w:t xml:space="preserve">, 967–978. </w:t>
      </w:r>
      <w:hyperlink r:id="rId813" w:history="1">
        <w:r w:rsidRPr="003338D7">
          <w:rPr>
            <w:rStyle w:val="Hyperlink"/>
            <w:rFonts w:asciiTheme="majorHAnsi" w:hAnsiTheme="majorHAnsi"/>
            <w:noProof/>
            <w:szCs w:val="22"/>
          </w:rPr>
          <w:t>http://doi.org/10.1016/j.scitotenv.2016.04.200</w:t>
        </w:r>
      </w:hyperlink>
    </w:p>
    <w:p w14:paraId="062075E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de-DE"/>
        </w:rPr>
        <w:t xml:space="preserve">Siemann, E., Tilman, D., Haarstad, J., &amp; Ritchie, M. (1998). </w:t>
      </w:r>
      <w:r w:rsidRPr="003338D7">
        <w:rPr>
          <w:rFonts w:asciiTheme="majorHAnsi" w:hAnsiTheme="majorHAnsi"/>
          <w:noProof/>
          <w:szCs w:val="22"/>
        </w:rPr>
        <w:t xml:space="preserve">Experimental tests of the dependence of arthropod diversity on plant diversity. </w:t>
      </w:r>
      <w:r w:rsidRPr="003338D7">
        <w:rPr>
          <w:rFonts w:asciiTheme="majorHAnsi" w:hAnsiTheme="majorHAnsi"/>
          <w:i/>
          <w:iCs/>
          <w:noProof/>
          <w:szCs w:val="22"/>
          <w:lang w:val="es-ES"/>
        </w:rPr>
        <w:t>The American Naturalist</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152</w:t>
      </w:r>
      <w:r w:rsidRPr="003338D7">
        <w:rPr>
          <w:rFonts w:asciiTheme="majorHAnsi" w:hAnsiTheme="majorHAnsi"/>
          <w:noProof/>
          <w:szCs w:val="22"/>
          <w:lang w:val="es-ES"/>
        </w:rPr>
        <w:t xml:space="preserve">(2), 738–750. </w:t>
      </w:r>
      <w:hyperlink r:id="rId814" w:history="1">
        <w:r w:rsidRPr="003338D7">
          <w:rPr>
            <w:rStyle w:val="Hyperlink"/>
            <w:rFonts w:asciiTheme="majorHAnsi" w:hAnsiTheme="majorHAnsi"/>
            <w:noProof/>
            <w:szCs w:val="22"/>
            <w:lang w:val="es-ES"/>
          </w:rPr>
          <w:t>http://doi.org/10.1086/286204</w:t>
        </w:r>
      </w:hyperlink>
    </w:p>
    <w:p w14:paraId="2656B91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Sierra, R. (2013). </w:t>
      </w:r>
      <w:r w:rsidRPr="003338D7">
        <w:rPr>
          <w:rFonts w:asciiTheme="majorHAnsi" w:hAnsiTheme="majorHAnsi"/>
          <w:i/>
          <w:iCs/>
          <w:noProof/>
          <w:szCs w:val="22"/>
          <w:lang w:val="es-ES"/>
        </w:rPr>
        <w:t>Patrones y Factores de Deforestación en el Ecuador Continental, 1990-2010. Y un Acercamiento a los Próximos 10 Años</w:t>
      </w:r>
      <w:r w:rsidRPr="003338D7">
        <w:rPr>
          <w:rFonts w:asciiTheme="majorHAnsi" w:hAnsiTheme="majorHAnsi"/>
          <w:noProof/>
          <w:szCs w:val="22"/>
          <w:lang w:val="es-ES"/>
        </w:rPr>
        <w:t>. Quito, Ecuador: Conservación Internacional Ecuador y Forest Trends.</w:t>
      </w:r>
    </w:p>
    <w:p w14:paraId="680863D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Silva, J. M. C., Souza, M. A., Bieber, A. G. D., &amp; Carlos, C. J. (2003). Aves da Caatinga: status, uso do habitat e sensitividade. In I. R. Leal, M. Tabarelli, &amp; J. M. C. Silva (Eds.), </w:t>
      </w:r>
      <w:r w:rsidRPr="003338D7">
        <w:rPr>
          <w:rFonts w:asciiTheme="majorHAnsi" w:hAnsiTheme="majorHAnsi"/>
          <w:i/>
          <w:iCs/>
          <w:noProof/>
          <w:szCs w:val="22"/>
          <w:lang w:val="es-ES"/>
        </w:rPr>
        <w:t>Ecologia e Conservação da Caatinga</w:t>
      </w:r>
      <w:r w:rsidRPr="003338D7">
        <w:rPr>
          <w:rFonts w:asciiTheme="majorHAnsi" w:hAnsiTheme="majorHAnsi"/>
          <w:noProof/>
          <w:szCs w:val="22"/>
          <w:lang w:val="es-ES"/>
        </w:rPr>
        <w:t xml:space="preserve"> (pp. 237–273). Racife, Brazil: Editora Universitaria, Universidade Federal de Pemambuco.</w:t>
      </w:r>
    </w:p>
    <w:p w14:paraId="24EB85A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Silva, J. S. V., Abdon, M., Silva, S. M. A., &amp; Moraes, J. A. (2011). </w:t>
      </w:r>
      <w:r w:rsidRPr="003338D7">
        <w:rPr>
          <w:rFonts w:asciiTheme="majorHAnsi" w:hAnsiTheme="majorHAnsi"/>
          <w:noProof/>
          <w:szCs w:val="22"/>
        </w:rPr>
        <w:t xml:space="preserve">Evolution of deforestation in the Brazilian pantanal and surroundings in the timeframe 1976-2008. </w:t>
      </w:r>
      <w:r w:rsidRPr="003338D7">
        <w:rPr>
          <w:rFonts w:asciiTheme="majorHAnsi" w:hAnsiTheme="majorHAnsi"/>
          <w:i/>
          <w:iCs/>
          <w:noProof/>
          <w:szCs w:val="22"/>
        </w:rPr>
        <w:t>Geografia (Rio Claro)</w:t>
      </w:r>
      <w:r w:rsidRPr="003338D7">
        <w:rPr>
          <w:rFonts w:asciiTheme="majorHAnsi" w:hAnsiTheme="majorHAnsi"/>
          <w:noProof/>
          <w:szCs w:val="22"/>
        </w:rPr>
        <w:t xml:space="preserve">, </w:t>
      </w:r>
      <w:r w:rsidRPr="003338D7">
        <w:rPr>
          <w:rFonts w:asciiTheme="majorHAnsi" w:hAnsiTheme="majorHAnsi"/>
          <w:i/>
          <w:iCs/>
          <w:noProof/>
          <w:szCs w:val="22"/>
        </w:rPr>
        <w:t>36</w:t>
      </w:r>
      <w:r w:rsidRPr="003338D7">
        <w:rPr>
          <w:rFonts w:asciiTheme="majorHAnsi" w:hAnsiTheme="majorHAnsi"/>
          <w:noProof/>
          <w:szCs w:val="22"/>
        </w:rPr>
        <w:t>(Especial), 35–55.</w:t>
      </w:r>
    </w:p>
    <w:p w14:paraId="7A72266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pt-BR"/>
        </w:rPr>
      </w:pPr>
      <w:r w:rsidRPr="003338D7">
        <w:rPr>
          <w:rFonts w:asciiTheme="majorHAnsi" w:hAnsiTheme="majorHAnsi"/>
          <w:noProof/>
          <w:szCs w:val="22"/>
        </w:rPr>
        <w:t xml:space="preserve">Simonetti, J. A. (1999). Diversity and conservation of terrestrial vertebrates in mediterranean Chile. </w:t>
      </w:r>
      <w:r w:rsidRPr="003338D7">
        <w:rPr>
          <w:rFonts w:asciiTheme="majorHAnsi" w:hAnsiTheme="majorHAnsi"/>
          <w:i/>
          <w:iCs/>
          <w:noProof/>
          <w:szCs w:val="22"/>
          <w:lang w:val="pt-BR"/>
        </w:rPr>
        <w:t>Revista Chilena de Historia Natural</w:t>
      </w:r>
      <w:r w:rsidRPr="003338D7">
        <w:rPr>
          <w:rFonts w:asciiTheme="majorHAnsi" w:hAnsiTheme="majorHAnsi"/>
          <w:noProof/>
          <w:szCs w:val="22"/>
          <w:lang w:val="pt-BR"/>
        </w:rPr>
        <w:t xml:space="preserve">, </w:t>
      </w:r>
      <w:r w:rsidRPr="003338D7">
        <w:rPr>
          <w:rFonts w:asciiTheme="majorHAnsi" w:hAnsiTheme="majorHAnsi"/>
          <w:i/>
          <w:iCs/>
          <w:noProof/>
          <w:szCs w:val="22"/>
          <w:lang w:val="pt-BR"/>
        </w:rPr>
        <w:t>72</w:t>
      </w:r>
      <w:r w:rsidRPr="003338D7">
        <w:rPr>
          <w:rFonts w:asciiTheme="majorHAnsi" w:hAnsiTheme="majorHAnsi"/>
          <w:noProof/>
          <w:szCs w:val="22"/>
          <w:lang w:val="pt-BR"/>
        </w:rPr>
        <w:t>(4), 493–500.</w:t>
      </w:r>
    </w:p>
    <w:p w14:paraId="083786F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Simonetti, J. A., &amp; Lazo, W. (1994). </w:t>
      </w:r>
      <w:r w:rsidRPr="003338D7">
        <w:rPr>
          <w:rFonts w:asciiTheme="majorHAnsi" w:hAnsiTheme="majorHAnsi"/>
          <w:i/>
          <w:iCs/>
          <w:noProof/>
          <w:szCs w:val="22"/>
        </w:rPr>
        <w:t>Lepiota locaniensis</w:t>
      </w:r>
      <w:r w:rsidRPr="003338D7">
        <w:rPr>
          <w:rFonts w:asciiTheme="majorHAnsi" w:hAnsiTheme="majorHAnsi"/>
          <w:noProof/>
          <w:szCs w:val="22"/>
        </w:rPr>
        <w:t xml:space="preserve">: an extinct Chilean fungus. </w:t>
      </w:r>
      <w:r w:rsidRPr="003338D7">
        <w:rPr>
          <w:rFonts w:asciiTheme="majorHAnsi" w:hAnsiTheme="majorHAnsi"/>
          <w:i/>
          <w:iCs/>
          <w:noProof/>
          <w:szCs w:val="22"/>
        </w:rPr>
        <w:t>Revista Chilena De Historia Natural</w:t>
      </w:r>
      <w:r w:rsidRPr="003338D7">
        <w:rPr>
          <w:rFonts w:asciiTheme="majorHAnsi" w:hAnsiTheme="majorHAnsi"/>
          <w:noProof/>
          <w:szCs w:val="22"/>
        </w:rPr>
        <w:t xml:space="preserve">, </w:t>
      </w:r>
      <w:r w:rsidRPr="003338D7">
        <w:rPr>
          <w:rFonts w:asciiTheme="majorHAnsi" w:hAnsiTheme="majorHAnsi"/>
          <w:i/>
          <w:iCs/>
          <w:noProof/>
          <w:szCs w:val="22"/>
        </w:rPr>
        <w:t>67</w:t>
      </w:r>
      <w:r w:rsidRPr="003338D7">
        <w:rPr>
          <w:rFonts w:asciiTheme="majorHAnsi" w:hAnsiTheme="majorHAnsi"/>
          <w:noProof/>
          <w:szCs w:val="22"/>
        </w:rPr>
        <w:t>(3), 351–352.</w:t>
      </w:r>
    </w:p>
    <w:p w14:paraId="5540C9C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Singapore Index. (n.d.). Retrieved from </w:t>
      </w:r>
      <w:hyperlink r:id="rId815" w:history="1">
        <w:r w:rsidRPr="003338D7">
          <w:rPr>
            <w:rStyle w:val="Hyperlink"/>
            <w:rFonts w:asciiTheme="majorHAnsi" w:hAnsiTheme="majorHAnsi"/>
            <w:noProof/>
            <w:szCs w:val="22"/>
          </w:rPr>
          <w:t>http://www.cbd.int/authorities/gettinginvolved/cbi.shtml</w:t>
        </w:r>
      </w:hyperlink>
    </w:p>
    <w:p w14:paraId="318AC02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Sklenář, P. (2016). Advance of plant species on slopes of the Chimborazo volcano (Ecuador) calculated based on unreliable data.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113</w:t>
      </w:r>
      <w:r w:rsidRPr="003338D7">
        <w:rPr>
          <w:rFonts w:asciiTheme="majorHAnsi" w:hAnsiTheme="majorHAnsi"/>
          <w:noProof/>
          <w:szCs w:val="22"/>
          <w:lang w:val="es-ES"/>
        </w:rPr>
        <w:t xml:space="preserve">(4), E407–E408. </w:t>
      </w:r>
      <w:hyperlink r:id="rId816" w:history="1">
        <w:r w:rsidRPr="003338D7">
          <w:rPr>
            <w:rStyle w:val="Hyperlink"/>
            <w:rFonts w:asciiTheme="majorHAnsi" w:hAnsiTheme="majorHAnsi"/>
            <w:noProof/>
            <w:szCs w:val="22"/>
            <w:lang w:val="es-ES"/>
          </w:rPr>
          <w:t>http://doi.org/10.1073/pnas.1522531113</w:t>
        </w:r>
      </w:hyperlink>
    </w:p>
    <w:p w14:paraId="32FA434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Sklenář, P., Dušková, E., &amp; Balslev, H. (2011). </w:t>
      </w:r>
      <w:r w:rsidRPr="003338D7">
        <w:rPr>
          <w:rFonts w:asciiTheme="majorHAnsi" w:hAnsiTheme="majorHAnsi"/>
          <w:noProof/>
          <w:szCs w:val="22"/>
        </w:rPr>
        <w:t xml:space="preserve">Tropical and temperate: evolutionary history of páramo flora. </w:t>
      </w:r>
      <w:r w:rsidRPr="003338D7">
        <w:rPr>
          <w:rFonts w:asciiTheme="majorHAnsi" w:hAnsiTheme="majorHAnsi"/>
          <w:i/>
          <w:iCs/>
          <w:noProof/>
          <w:szCs w:val="22"/>
        </w:rPr>
        <w:t>The Botanical Review</w:t>
      </w:r>
      <w:r w:rsidRPr="003338D7">
        <w:rPr>
          <w:rFonts w:asciiTheme="majorHAnsi" w:hAnsiTheme="majorHAnsi"/>
          <w:noProof/>
          <w:szCs w:val="22"/>
        </w:rPr>
        <w:t xml:space="preserve">, </w:t>
      </w:r>
      <w:r w:rsidRPr="003338D7">
        <w:rPr>
          <w:rFonts w:asciiTheme="majorHAnsi" w:hAnsiTheme="majorHAnsi"/>
          <w:i/>
          <w:iCs/>
          <w:noProof/>
          <w:szCs w:val="22"/>
        </w:rPr>
        <w:t>77</w:t>
      </w:r>
      <w:r w:rsidRPr="003338D7">
        <w:rPr>
          <w:rFonts w:asciiTheme="majorHAnsi" w:hAnsiTheme="majorHAnsi"/>
          <w:noProof/>
          <w:szCs w:val="22"/>
        </w:rPr>
        <w:t xml:space="preserve">(2), 71–108. </w:t>
      </w:r>
      <w:hyperlink r:id="rId817" w:history="1">
        <w:r w:rsidRPr="003338D7">
          <w:rPr>
            <w:rStyle w:val="Hyperlink"/>
            <w:rFonts w:asciiTheme="majorHAnsi" w:hAnsiTheme="majorHAnsi"/>
            <w:noProof/>
            <w:szCs w:val="22"/>
          </w:rPr>
          <w:t>http://doi.org/10.1007/s12229-010-9061-9</w:t>
        </w:r>
      </w:hyperlink>
    </w:p>
    <w:p w14:paraId="45F2D91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Sklenář, P., Hedberg, I., &amp; Cleef, A. M. (2014). Island biogeography of tropical alpine floras. </w:t>
      </w:r>
      <w:r w:rsidRPr="003338D7">
        <w:rPr>
          <w:rFonts w:asciiTheme="majorHAnsi" w:hAnsiTheme="majorHAnsi"/>
          <w:i/>
          <w:iCs/>
          <w:noProof/>
          <w:szCs w:val="22"/>
        </w:rPr>
        <w:t>Journal of Biogeography</w:t>
      </w:r>
      <w:r w:rsidRPr="003338D7">
        <w:rPr>
          <w:rFonts w:asciiTheme="majorHAnsi" w:hAnsiTheme="majorHAnsi"/>
          <w:noProof/>
          <w:szCs w:val="22"/>
        </w:rPr>
        <w:t xml:space="preserve">, </w:t>
      </w:r>
      <w:r w:rsidRPr="003338D7">
        <w:rPr>
          <w:rFonts w:asciiTheme="majorHAnsi" w:hAnsiTheme="majorHAnsi"/>
          <w:i/>
          <w:iCs/>
          <w:noProof/>
          <w:szCs w:val="22"/>
        </w:rPr>
        <w:t>41</w:t>
      </w:r>
      <w:r w:rsidRPr="003338D7">
        <w:rPr>
          <w:rFonts w:asciiTheme="majorHAnsi" w:hAnsiTheme="majorHAnsi"/>
          <w:noProof/>
          <w:szCs w:val="22"/>
        </w:rPr>
        <w:t xml:space="preserve">(2), 287–297. </w:t>
      </w:r>
      <w:hyperlink r:id="rId818" w:history="1">
        <w:r w:rsidRPr="003338D7">
          <w:rPr>
            <w:rStyle w:val="Hyperlink"/>
            <w:rFonts w:asciiTheme="majorHAnsi" w:hAnsiTheme="majorHAnsi"/>
            <w:noProof/>
            <w:szCs w:val="22"/>
          </w:rPr>
          <w:t>http://doi.org/10.1111/jbi.12212</w:t>
        </w:r>
      </w:hyperlink>
    </w:p>
    <w:p w14:paraId="107F6EA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Sklenář, P., Luteyn, J., Ulloa, C., Jorgensen, P., &amp; Dillon, M. (2005). </w:t>
      </w:r>
      <w:r w:rsidRPr="003338D7">
        <w:rPr>
          <w:rFonts w:asciiTheme="majorHAnsi" w:hAnsiTheme="majorHAnsi"/>
          <w:i/>
          <w:iCs/>
          <w:noProof/>
          <w:szCs w:val="22"/>
          <w:lang w:val="es-ES"/>
        </w:rPr>
        <w:t>Flora Genérica de los Páramos: Guía Ilustrada de las Plantas Vasculares</w:t>
      </w:r>
      <w:r w:rsidRPr="003338D7">
        <w:rPr>
          <w:rFonts w:asciiTheme="majorHAnsi" w:hAnsiTheme="majorHAnsi"/>
          <w:noProof/>
          <w:szCs w:val="22"/>
          <w:lang w:val="es-ES"/>
        </w:rPr>
        <w:t xml:space="preserve"> (Vol. 92). </w:t>
      </w:r>
      <w:r w:rsidRPr="003338D7">
        <w:rPr>
          <w:rFonts w:asciiTheme="majorHAnsi" w:hAnsiTheme="majorHAnsi"/>
          <w:noProof/>
          <w:szCs w:val="22"/>
        </w:rPr>
        <w:t>New York, USA: The New York Botanical Garden Press.</w:t>
      </w:r>
    </w:p>
    <w:p w14:paraId="03C5871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Slippers, B., Burgess, T., Pavlic, D., Ahumada, R., Maleme, H., Mohali, S., Rodas, C., &amp; Wingfield, M. J. (2009). A diverse assemblage of Botryosphaeriaceae infect </w:t>
      </w:r>
      <w:r w:rsidRPr="003338D7">
        <w:rPr>
          <w:rFonts w:asciiTheme="majorHAnsi" w:hAnsiTheme="majorHAnsi"/>
          <w:i/>
          <w:iCs/>
          <w:noProof/>
          <w:szCs w:val="22"/>
          <w:lang w:val="es-ES"/>
        </w:rPr>
        <w:t>Eucalyptus</w:t>
      </w:r>
      <w:r w:rsidRPr="003338D7">
        <w:rPr>
          <w:rFonts w:asciiTheme="majorHAnsi" w:hAnsiTheme="majorHAnsi"/>
          <w:noProof/>
          <w:szCs w:val="22"/>
          <w:lang w:val="es-ES"/>
        </w:rPr>
        <w:t xml:space="preserve"> in native and non-native environments. </w:t>
      </w:r>
      <w:r w:rsidRPr="003338D7">
        <w:rPr>
          <w:rFonts w:asciiTheme="majorHAnsi" w:hAnsiTheme="majorHAnsi"/>
          <w:i/>
          <w:iCs/>
          <w:noProof/>
          <w:szCs w:val="22"/>
          <w:lang w:val="es-ES"/>
        </w:rPr>
        <w:t>Southern Forests: A Journal of Forest 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71</w:t>
      </w:r>
      <w:r w:rsidRPr="003338D7">
        <w:rPr>
          <w:rFonts w:asciiTheme="majorHAnsi" w:hAnsiTheme="majorHAnsi"/>
          <w:noProof/>
          <w:szCs w:val="22"/>
          <w:lang w:val="es-ES"/>
        </w:rPr>
        <w:t xml:space="preserve">(2), 101–110. </w:t>
      </w:r>
      <w:hyperlink r:id="rId819" w:history="1">
        <w:r w:rsidRPr="003338D7">
          <w:rPr>
            <w:rStyle w:val="Hyperlink"/>
            <w:rFonts w:asciiTheme="majorHAnsi" w:hAnsiTheme="majorHAnsi"/>
            <w:noProof/>
            <w:szCs w:val="22"/>
            <w:lang w:val="es-ES"/>
          </w:rPr>
          <w:t>https://doi.org/10.2989/SF.2009.71.2.3.818</w:t>
        </w:r>
      </w:hyperlink>
    </w:p>
    <w:p w14:paraId="4BDD3A1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Smith, B. D. (1994). The origins of agriculture in the Americas. </w:t>
      </w:r>
      <w:r w:rsidRPr="003338D7">
        <w:rPr>
          <w:rFonts w:asciiTheme="majorHAnsi" w:hAnsiTheme="majorHAnsi"/>
          <w:i/>
          <w:iCs/>
          <w:noProof/>
          <w:szCs w:val="22"/>
        </w:rPr>
        <w:t>Evolutionary Anthropology: Issues, News, and Reviews</w:t>
      </w:r>
      <w:r w:rsidRPr="003338D7">
        <w:rPr>
          <w:rFonts w:asciiTheme="majorHAnsi" w:hAnsiTheme="majorHAnsi"/>
          <w:noProof/>
          <w:szCs w:val="22"/>
        </w:rPr>
        <w:t xml:space="preserve">, </w:t>
      </w:r>
      <w:r w:rsidRPr="003338D7">
        <w:rPr>
          <w:rFonts w:asciiTheme="majorHAnsi" w:hAnsiTheme="majorHAnsi"/>
          <w:i/>
          <w:iCs/>
          <w:noProof/>
          <w:szCs w:val="22"/>
        </w:rPr>
        <w:t>3</w:t>
      </w:r>
      <w:r w:rsidRPr="003338D7">
        <w:rPr>
          <w:rFonts w:asciiTheme="majorHAnsi" w:hAnsiTheme="majorHAnsi"/>
          <w:noProof/>
          <w:szCs w:val="22"/>
        </w:rPr>
        <w:t xml:space="preserve">(5), 174–184. </w:t>
      </w:r>
      <w:hyperlink r:id="rId820" w:history="1">
        <w:r w:rsidRPr="003338D7">
          <w:rPr>
            <w:rStyle w:val="Hyperlink"/>
            <w:rFonts w:asciiTheme="majorHAnsi" w:hAnsiTheme="majorHAnsi"/>
            <w:noProof/>
            <w:szCs w:val="22"/>
          </w:rPr>
          <w:t>http://doi.org/10.1002/evan.1360030507</w:t>
        </w:r>
      </w:hyperlink>
    </w:p>
    <w:p w14:paraId="0109E33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Smith, D. D. (1998). Iowa Prairie: Original extent and loss, preservation and recovery attempts. </w:t>
      </w:r>
      <w:r w:rsidRPr="003338D7">
        <w:rPr>
          <w:rFonts w:asciiTheme="majorHAnsi" w:hAnsiTheme="majorHAnsi"/>
          <w:i/>
          <w:iCs/>
          <w:noProof/>
          <w:szCs w:val="22"/>
        </w:rPr>
        <w:t>The Journal of the Iowa Academy of Science</w:t>
      </w:r>
      <w:r w:rsidRPr="003338D7">
        <w:rPr>
          <w:rFonts w:asciiTheme="majorHAnsi" w:hAnsiTheme="majorHAnsi"/>
          <w:noProof/>
          <w:szCs w:val="22"/>
        </w:rPr>
        <w:t xml:space="preserve">, </w:t>
      </w:r>
      <w:r w:rsidRPr="003338D7">
        <w:rPr>
          <w:rFonts w:asciiTheme="majorHAnsi" w:hAnsiTheme="majorHAnsi"/>
          <w:i/>
          <w:iCs/>
          <w:noProof/>
          <w:szCs w:val="22"/>
        </w:rPr>
        <w:t>105</w:t>
      </w:r>
      <w:r w:rsidRPr="003338D7">
        <w:rPr>
          <w:rFonts w:asciiTheme="majorHAnsi" w:hAnsiTheme="majorHAnsi"/>
          <w:noProof/>
          <w:szCs w:val="22"/>
        </w:rPr>
        <w:t>(3), 94–108.</w:t>
      </w:r>
    </w:p>
    <w:p w14:paraId="735F6A0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Smith, K. F., Acevedo-Whitehouse, K., &amp; Pedersen, A. B. (2009). The role of infectious diseases in biological conservation. </w:t>
      </w:r>
      <w:r w:rsidRPr="003338D7">
        <w:rPr>
          <w:rFonts w:asciiTheme="majorHAnsi" w:hAnsiTheme="majorHAnsi"/>
          <w:i/>
          <w:iCs/>
          <w:noProof/>
          <w:szCs w:val="22"/>
        </w:rPr>
        <w:t>Animal Conservation</w:t>
      </w:r>
      <w:r w:rsidRPr="003338D7">
        <w:rPr>
          <w:rFonts w:asciiTheme="majorHAnsi" w:hAnsiTheme="majorHAnsi"/>
          <w:noProof/>
          <w:szCs w:val="22"/>
        </w:rPr>
        <w:t xml:space="preserve">, </w:t>
      </w:r>
      <w:r w:rsidRPr="003338D7">
        <w:rPr>
          <w:rFonts w:asciiTheme="majorHAnsi" w:hAnsiTheme="majorHAnsi"/>
          <w:i/>
          <w:iCs/>
          <w:noProof/>
          <w:szCs w:val="22"/>
        </w:rPr>
        <w:t>12</w:t>
      </w:r>
      <w:r w:rsidRPr="003338D7">
        <w:rPr>
          <w:rFonts w:asciiTheme="majorHAnsi" w:hAnsiTheme="majorHAnsi"/>
          <w:noProof/>
          <w:szCs w:val="22"/>
        </w:rPr>
        <w:t xml:space="preserve">(1), 1–12. </w:t>
      </w:r>
      <w:hyperlink r:id="rId821" w:history="1">
        <w:r w:rsidRPr="003338D7">
          <w:rPr>
            <w:rStyle w:val="Hyperlink"/>
            <w:rFonts w:asciiTheme="majorHAnsi" w:hAnsiTheme="majorHAnsi"/>
            <w:noProof/>
            <w:szCs w:val="22"/>
          </w:rPr>
          <w:t>http://doi.org/10.1111/j.1469-1795.2008.00228.x</w:t>
        </w:r>
      </w:hyperlink>
    </w:p>
    <w:p w14:paraId="2E74A58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Smith, K. F., Behrens, M. D., Max, L. M., &amp; Daszak, P. (2008). U.S. drowning in unidentified fishes: Scope, implications, and regulation of live fish import. </w:t>
      </w:r>
      <w:r w:rsidRPr="003338D7">
        <w:rPr>
          <w:rFonts w:asciiTheme="majorHAnsi" w:hAnsiTheme="majorHAnsi"/>
          <w:i/>
          <w:iCs/>
          <w:noProof/>
          <w:szCs w:val="22"/>
        </w:rPr>
        <w:t>Conservation Letters</w:t>
      </w:r>
      <w:r w:rsidRPr="003338D7">
        <w:rPr>
          <w:rFonts w:asciiTheme="majorHAnsi" w:hAnsiTheme="majorHAnsi"/>
          <w:noProof/>
          <w:szCs w:val="22"/>
        </w:rPr>
        <w:t xml:space="preserve">, </w:t>
      </w:r>
      <w:r w:rsidRPr="003338D7">
        <w:rPr>
          <w:rFonts w:asciiTheme="majorHAnsi" w:hAnsiTheme="majorHAnsi"/>
          <w:i/>
          <w:iCs/>
          <w:noProof/>
          <w:szCs w:val="22"/>
        </w:rPr>
        <w:t>1</w:t>
      </w:r>
      <w:r w:rsidRPr="003338D7">
        <w:rPr>
          <w:rFonts w:asciiTheme="majorHAnsi" w:hAnsiTheme="majorHAnsi"/>
          <w:noProof/>
          <w:szCs w:val="22"/>
        </w:rPr>
        <w:t xml:space="preserve">(2), 103–109. </w:t>
      </w:r>
      <w:hyperlink r:id="rId822" w:history="1">
        <w:r w:rsidRPr="003338D7">
          <w:rPr>
            <w:rStyle w:val="Hyperlink"/>
            <w:rFonts w:asciiTheme="majorHAnsi" w:hAnsiTheme="majorHAnsi"/>
            <w:noProof/>
            <w:szCs w:val="22"/>
          </w:rPr>
          <w:t>http://doi.org/10.1111/j.1755-263X.2008.00014.x</w:t>
        </w:r>
      </w:hyperlink>
    </w:p>
    <w:p w14:paraId="4C00116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Smith, L. M. (1993). </w:t>
      </w:r>
      <w:r w:rsidRPr="003338D7">
        <w:rPr>
          <w:rFonts w:asciiTheme="majorHAnsi" w:hAnsiTheme="majorHAnsi"/>
          <w:i/>
          <w:iCs/>
          <w:noProof/>
          <w:szCs w:val="22"/>
        </w:rPr>
        <w:t>Estimated Presettlement and Current Acres of Natural Plant Communities in Louisiana</w:t>
      </w:r>
      <w:r w:rsidRPr="003338D7">
        <w:rPr>
          <w:rFonts w:asciiTheme="majorHAnsi" w:hAnsiTheme="majorHAnsi"/>
          <w:noProof/>
          <w:szCs w:val="22"/>
        </w:rPr>
        <w:t>. Baton Rouge, LA: Louisiana Natural Heritage Program, Louisiana Department of Wildlife and Fisheries.</w:t>
      </w:r>
    </w:p>
    <w:p w14:paraId="39A7731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Snapp, S. S., Mafongoya, P. L., &amp; Waddington, S. (1998). Organic matter technologies for integrated nutrient management in smallholder cropping systems of southern Africa. </w:t>
      </w:r>
      <w:r w:rsidRPr="003338D7">
        <w:rPr>
          <w:rFonts w:asciiTheme="majorHAnsi" w:hAnsiTheme="majorHAnsi"/>
          <w:i/>
          <w:iCs/>
          <w:noProof/>
          <w:szCs w:val="22"/>
        </w:rPr>
        <w:t>Agriculture, Ecosystems and Environment</w:t>
      </w:r>
      <w:r w:rsidRPr="003338D7">
        <w:rPr>
          <w:rFonts w:asciiTheme="majorHAnsi" w:hAnsiTheme="majorHAnsi"/>
          <w:noProof/>
          <w:szCs w:val="22"/>
        </w:rPr>
        <w:t xml:space="preserve">, </w:t>
      </w:r>
      <w:r w:rsidRPr="003338D7">
        <w:rPr>
          <w:rFonts w:asciiTheme="majorHAnsi" w:hAnsiTheme="majorHAnsi"/>
          <w:i/>
          <w:iCs/>
          <w:noProof/>
          <w:szCs w:val="22"/>
        </w:rPr>
        <w:t>71</w:t>
      </w:r>
      <w:r w:rsidRPr="003338D7">
        <w:rPr>
          <w:rFonts w:asciiTheme="majorHAnsi" w:hAnsiTheme="majorHAnsi"/>
          <w:noProof/>
          <w:szCs w:val="22"/>
        </w:rPr>
        <w:t xml:space="preserve">(1–3), 185–200. </w:t>
      </w:r>
      <w:hyperlink r:id="rId823" w:history="1">
        <w:r w:rsidRPr="003338D7">
          <w:rPr>
            <w:rStyle w:val="Hyperlink"/>
            <w:rFonts w:asciiTheme="majorHAnsi" w:hAnsiTheme="majorHAnsi"/>
            <w:noProof/>
            <w:szCs w:val="22"/>
          </w:rPr>
          <w:t>http://doi.org/10.1016/S0167-8809(98)00140-6</w:t>
        </w:r>
      </w:hyperlink>
    </w:p>
    <w:p w14:paraId="67F6B2F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Solar, R. R. de C., Barlow, J., Ferreira, J., Berenguer, E., Lees, A. C., Thomson, J. R., Louzada, J., Maués, M., Moura, N. G., Oliveira, V. H. F., Chaul, J. C. M., Schoereder, J. H., Vieira, I. C. G., Mac Nally, R., &amp; Gardner, T. A. (2015). How pervasive is biotic homogenization in human-modified tropical forest landscapes? </w:t>
      </w:r>
      <w:r w:rsidRPr="003338D7">
        <w:rPr>
          <w:rFonts w:asciiTheme="majorHAnsi" w:hAnsiTheme="majorHAnsi"/>
          <w:i/>
          <w:iCs/>
          <w:noProof/>
          <w:szCs w:val="22"/>
          <w:lang w:val="es-ES"/>
        </w:rPr>
        <w:t>Ecology Letters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18</w:t>
      </w:r>
      <w:r w:rsidRPr="003338D7">
        <w:rPr>
          <w:rFonts w:asciiTheme="majorHAnsi" w:hAnsiTheme="majorHAnsi"/>
          <w:noProof/>
          <w:szCs w:val="22"/>
          <w:lang w:val="es-ES"/>
        </w:rPr>
        <w:t xml:space="preserve">(10), 1108–1118. </w:t>
      </w:r>
      <w:hyperlink r:id="rId824" w:history="1">
        <w:r w:rsidRPr="003338D7">
          <w:rPr>
            <w:rStyle w:val="Hyperlink"/>
            <w:rFonts w:asciiTheme="majorHAnsi" w:hAnsiTheme="majorHAnsi"/>
            <w:noProof/>
            <w:szCs w:val="22"/>
            <w:lang w:val="es-ES"/>
          </w:rPr>
          <w:t>https://doi.org/10.1111/ele.12494</w:t>
        </w:r>
      </w:hyperlink>
    </w:p>
    <w:p w14:paraId="7E3D5CE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Somarriba, E., Beer, J., Alegre-Orihuela, J., Andrade, H., Cerda, R., DeClerck, F., Detlefsen, G., Escalante, M., Giraldo, L., Ibrahim, M., Krishnamurthy, L., Mena-Mosquera, V., Mora- Degado, J., Orozco, L., Scheelje, M., &amp; Campos, J. (2012). Mainstreaming agroforestry in Latin America. In P. K. R. Nair &amp; D. Garrity (Eds.), </w:t>
      </w:r>
      <w:r w:rsidRPr="003338D7">
        <w:rPr>
          <w:rFonts w:asciiTheme="majorHAnsi" w:hAnsiTheme="majorHAnsi"/>
          <w:i/>
          <w:iCs/>
          <w:noProof/>
          <w:szCs w:val="22"/>
          <w:lang w:val="es-ES"/>
        </w:rPr>
        <w:t>Agroforestry the Future of Global Land Use, Advances in Agroforestry</w:t>
      </w:r>
      <w:r w:rsidRPr="003338D7">
        <w:rPr>
          <w:rFonts w:asciiTheme="majorHAnsi" w:hAnsiTheme="majorHAnsi"/>
          <w:noProof/>
          <w:szCs w:val="22"/>
          <w:lang w:val="es-ES"/>
        </w:rPr>
        <w:t xml:space="preserve"> (pp. 429–453). Dordrecht, Netherlands: Springer.</w:t>
      </w:r>
    </w:p>
    <w:p w14:paraId="13216D8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Sorte, C. J. B., Williams, S. L., &amp; Carlton, J. T. (2010). </w:t>
      </w:r>
      <w:r w:rsidRPr="003338D7">
        <w:rPr>
          <w:rFonts w:asciiTheme="majorHAnsi" w:hAnsiTheme="majorHAnsi"/>
          <w:noProof/>
          <w:szCs w:val="22"/>
        </w:rPr>
        <w:t xml:space="preserve">Marine range shifts and species introductions: comparative spread rates and community impacts. </w:t>
      </w:r>
      <w:r w:rsidRPr="003338D7">
        <w:rPr>
          <w:rFonts w:asciiTheme="majorHAnsi" w:hAnsiTheme="majorHAnsi"/>
          <w:i/>
          <w:iCs/>
          <w:noProof/>
          <w:szCs w:val="22"/>
        </w:rPr>
        <w:t>Global Ecology and Biogeography</w:t>
      </w:r>
      <w:r w:rsidRPr="003338D7">
        <w:rPr>
          <w:rFonts w:asciiTheme="majorHAnsi" w:hAnsiTheme="majorHAnsi"/>
          <w:noProof/>
          <w:szCs w:val="22"/>
        </w:rPr>
        <w:t xml:space="preserve">, </w:t>
      </w:r>
      <w:r w:rsidRPr="003338D7">
        <w:rPr>
          <w:rFonts w:asciiTheme="majorHAnsi" w:hAnsiTheme="majorHAnsi"/>
          <w:i/>
          <w:iCs/>
          <w:noProof/>
          <w:szCs w:val="22"/>
        </w:rPr>
        <w:t>19</w:t>
      </w:r>
      <w:r w:rsidRPr="003338D7">
        <w:rPr>
          <w:rFonts w:asciiTheme="majorHAnsi" w:hAnsiTheme="majorHAnsi"/>
          <w:noProof/>
          <w:szCs w:val="22"/>
        </w:rPr>
        <w:t xml:space="preserve">(3), 303–316. </w:t>
      </w:r>
      <w:hyperlink r:id="rId825" w:history="1">
        <w:r w:rsidRPr="003338D7">
          <w:rPr>
            <w:rStyle w:val="Hyperlink"/>
            <w:rFonts w:asciiTheme="majorHAnsi" w:hAnsiTheme="majorHAnsi"/>
            <w:noProof/>
            <w:szCs w:val="22"/>
          </w:rPr>
          <w:t>http://doi.org/10.1111/j.1466-8238.2009.00519.x</w:t>
        </w:r>
      </w:hyperlink>
    </w:p>
    <w:p w14:paraId="0473674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Soto-Azat, C., Peñafiel-Ricaurte, A., Price, S. J., Sallaberry-Pincheira, N., García, M. P., Alvarado-Rybak, M., &amp; Cunningham, A. A. (2016). </w:t>
      </w:r>
      <w:r w:rsidRPr="003338D7">
        <w:rPr>
          <w:rFonts w:asciiTheme="majorHAnsi" w:hAnsiTheme="majorHAnsi"/>
          <w:i/>
          <w:iCs/>
          <w:noProof/>
          <w:szCs w:val="22"/>
        </w:rPr>
        <w:t>Xenopus laevis</w:t>
      </w:r>
      <w:r w:rsidRPr="003338D7">
        <w:rPr>
          <w:rFonts w:asciiTheme="majorHAnsi" w:hAnsiTheme="majorHAnsi"/>
          <w:noProof/>
          <w:szCs w:val="22"/>
        </w:rPr>
        <w:t xml:space="preserve"> and emerging amphibian pathogens in Chile. </w:t>
      </w:r>
      <w:r w:rsidRPr="003338D7">
        <w:rPr>
          <w:rFonts w:asciiTheme="majorHAnsi" w:hAnsiTheme="majorHAnsi"/>
          <w:i/>
          <w:iCs/>
          <w:noProof/>
          <w:szCs w:val="22"/>
        </w:rPr>
        <w:t>EcoHealth</w:t>
      </w:r>
      <w:r w:rsidRPr="003338D7">
        <w:rPr>
          <w:rFonts w:asciiTheme="majorHAnsi" w:hAnsiTheme="majorHAnsi"/>
          <w:noProof/>
          <w:szCs w:val="22"/>
        </w:rPr>
        <w:t xml:space="preserve">, </w:t>
      </w:r>
      <w:r w:rsidRPr="003338D7">
        <w:rPr>
          <w:rFonts w:asciiTheme="majorHAnsi" w:hAnsiTheme="majorHAnsi"/>
          <w:i/>
          <w:iCs/>
          <w:noProof/>
          <w:szCs w:val="22"/>
        </w:rPr>
        <w:t>13</w:t>
      </w:r>
      <w:r w:rsidRPr="003338D7">
        <w:rPr>
          <w:rFonts w:asciiTheme="majorHAnsi" w:hAnsiTheme="majorHAnsi"/>
          <w:noProof/>
          <w:szCs w:val="22"/>
        </w:rPr>
        <w:t xml:space="preserve">(4), 775–783. </w:t>
      </w:r>
      <w:hyperlink r:id="rId826" w:history="1">
        <w:r w:rsidRPr="003338D7">
          <w:rPr>
            <w:rStyle w:val="Hyperlink"/>
            <w:rFonts w:asciiTheme="majorHAnsi" w:hAnsiTheme="majorHAnsi"/>
            <w:noProof/>
            <w:szCs w:val="22"/>
          </w:rPr>
          <w:t>http://doi.org/10.1007/s10393-016-1186-9</w:t>
        </w:r>
      </w:hyperlink>
    </w:p>
    <w:p w14:paraId="5A4EC29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Soto-Azat, C., Valenzuela-Sánchez, A., Collen, B., Rowcliffe, J. M., Veloso, A., &amp; Cunningham, A. A. (2013). </w:t>
      </w:r>
      <w:r w:rsidRPr="003338D7">
        <w:rPr>
          <w:rFonts w:asciiTheme="majorHAnsi" w:hAnsiTheme="majorHAnsi"/>
          <w:noProof/>
          <w:szCs w:val="22"/>
        </w:rPr>
        <w:t xml:space="preserve">The population decline and extinction of Darwin’s frogs. </w:t>
      </w:r>
      <w:r w:rsidRPr="003338D7">
        <w:rPr>
          <w:rFonts w:asciiTheme="majorHAnsi" w:hAnsiTheme="majorHAnsi"/>
          <w:i/>
          <w:iCs/>
          <w:noProof/>
          <w:szCs w:val="22"/>
        </w:rPr>
        <w:t>PLoS ONE</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 xml:space="preserve">(6), e66957. </w:t>
      </w:r>
      <w:hyperlink r:id="rId827" w:history="1">
        <w:r w:rsidRPr="003338D7">
          <w:rPr>
            <w:rStyle w:val="Hyperlink"/>
            <w:rFonts w:asciiTheme="majorHAnsi" w:hAnsiTheme="majorHAnsi"/>
            <w:noProof/>
            <w:szCs w:val="22"/>
          </w:rPr>
          <w:t>http://doi.org/10.1371/journal.pone.0066957</w:t>
        </w:r>
      </w:hyperlink>
    </w:p>
    <w:p w14:paraId="1A8C485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Southwestern Center for Herpetological Research. (n.d.). Snakes of the American Southwest. Retrieved from </w:t>
      </w:r>
      <w:hyperlink r:id="rId828" w:history="1">
        <w:r w:rsidRPr="003338D7">
          <w:rPr>
            <w:rStyle w:val="Hyperlink"/>
            <w:rFonts w:asciiTheme="majorHAnsi" w:hAnsiTheme="majorHAnsi"/>
            <w:noProof/>
            <w:szCs w:val="22"/>
          </w:rPr>
          <w:t>http://www.southwesternherp.com/snakes</w:t>
        </w:r>
      </w:hyperlink>
    </w:p>
    <w:p w14:paraId="12BF120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Souza, V., Eguiarte, L. E., Siefert, J., &amp; Elser, J. J. (2008). Microbial endemism: does phosphorus limitation enhance speciation? </w:t>
      </w:r>
      <w:r w:rsidRPr="003338D7">
        <w:rPr>
          <w:rFonts w:asciiTheme="majorHAnsi" w:hAnsiTheme="majorHAnsi"/>
          <w:i/>
          <w:iCs/>
          <w:noProof/>
          <w:szCs w:val="22"/>
        </w:rPr>
        <w:t>Nature Reviews Microbiology</w:t>
      </w:r>
      <w:r w:rsidRPr="003338D7">
        <w:rPr>
          <w:rFonts w:asciiTheme="majorHAnsi" w:hAnsiTheme="majorHAnsi"/>
          <w:noProof/>
          <w:szCs w:val="22"/>
        </w:rPr>
        <w:t xml:space="preserve">, </w:t>
      </w:r>
      <w:r w:rsidRPr="003338D7">
        <w:rPr>
          <w:rFonts w:asciiTheme="majorHAnsi" w:hAnsiTheme="majorHAnsi"/>
          <w:i/>
          <w:iCs/>
          <w:noProof/>
          <w:szCs w:val="22"/>
        </w:rPr>
        <w:t>6</w:t>
      </w:r>
      <w:r w:rsidRPr="003338D7">
        <w:rPr>
          <w:rFonts w:asciiTheme="majorHAnsi" w:hAnsiTheme="majorHAnsi"/>
          <w:noProof/>
          <w:szCs w:val="22"/>
        </w:rPr>
        <w:t xml:space="preserve">(7), 559–564. </w:t>
      </w:r>
      <w:hyperlink r:id="rId829" w:history="1">
        <w:r w:rsidRPr="003338D7">
          <w:rPr>
            <w:rStyle w:val="Hyperlink"/>
            <w:rFonts w:asciiTheme="majorHAnsi" w:hAnsiTheme="majorHAnsi"/>
            <w:noProof/>
            <w:szCs w:val="22"/>
          </w:rPr>
          <w:t>http://doi.org/10.1038/nrmicro1917</w:t>
        </w:r>
      </w:hyperlink>
    </w:p>
    <w:p w14:paraId="4722B49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Souza, V., Espinosa-Asuar, L., Escalante, A. E., Eguiarte, L. E., Farmer, J., Forney, L., Lloret, L., Rodríguez-Martínez, J. M., Soberón, X., Dirzo, R., &amp; Elser, J. J. (2006). An endangered oasis of aquatic microbial biodiversity in the Chihuahuan desert.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103</w:t>
      </w:r>
      <w:r w:rsidRPr="003338D7">
        <w:rPr>
          <w:rFonts w:asciiTheme="majorHAnsi" w:hAnsiTheme="majorHAnsi"/>
          <w:noProof/>
          <w:szCs w:val="22"/>
          <w:lang w:val="es-ES"/>
        </w:rPr>
        <w:t>(17), 6565–6570.</w:t>
      </w:r>
      <w:hyperlink r:id="rId830" w:history="1">
        <w:r w:rsidRPr="003338D7">
          <w:rPr>
            <w:rStyle w:val="Hyperlink"/>
            <w:rFonts w:asciiTheme="majorHAnsi" w:hAnsiTheme="majorHAnsi"/>
            <w:noProof/>
            <w:szCs w:val="22"/>
            <w:lang w:val="es-ES"/>
          </w:rPr>
          <w:t>https://doi.org/10.1073/pnas.0601434103</w:t>
        </w:r>
      </w:hyperlink>
    </w:p>
    <w:p w14:paraId="1977B55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Souza, V., Siefert, J. L., Escalante, A. E., Elser, J. J., &amp; Eguiarte, L. E. (2012). The Cuatro Ciénegas Basin in Coahuila, Mexico: an astrobiological Precambrian park. </w:t>
      </w:r>
      <w:r w:rsidRPr="003338D7">
        <w:rPr>
          <w:rFonts w:asciiTheme="majorHAnsi" w:hAnsiTheme="majorHAnsi"/>
          <w:i/>
          <w:iCs/>
          <w:noProof/>
          <w:szCs w:val="22"/>
          <w:lang w:val="es-ES"/>
        </w:rPr>
        <w:t>Astrobiology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12</w:t>
      </w:r>
      <w:r w:rsidRPr="003338D7">
        <w:rPr>
          <w:rFonts w:asciiTheme="majorHAnsi" w:hAnsiTheme="majorHAnsi"/>
          <w:noProof/>
          <w:szCs w:val="22"/>
          <w:lang w:val="es-ES"/>
        </w:rPr>
        <w:t xml:space="preserve">(7), 641–647. </w:t>
      </w:r>
      <w:hyperlink r:id="rId831" w:history="1">
        <w:r w:rsidRPr="003338D7">
          <w:rPr>
            <w:rStyle w:val="Hyperlink"/>
            <w:rFonts w:asciiTheme="majorHAnsi" w:hAnsiTheme="majorHAnsi"/>
            <w:noProof/>
            <w:szCs w:val="22"/>
            <w:lang w:val="es-ES"/>
          </w:rPr>
          <w:t>http://doi.org/10.1089/ast.2011.0675</w:t>
        </w:r>
      </w:hyperlink>
    </w:p>
    <w:p w14:paraId="207591D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Spalding, M. D., Fish, L., &amp; Wood, L. J. (2008). </w:t>
      </w:r>
      <w:r w:rsidRPr="003338D7">
        <w:rPr>
          <w:rFonts w:asciiTheme="majorHAnsi" w:hAnsiTheme="majorHAnsi"/>
          <w:noProof/>
          <w:szCs w:val="22"/>
        </w:rPr>
        <w:t xml:space="preserve">Toward representative protection of the world’s coasts and oceans-progress, gaps, and opportunities. </w:t>
      </w:r>
      <w:r w:rsidRPr="003338D7">
        <w:rPr>
          <w:rFonts w:asciiTheme="majorHAnsi" w:hAnsiTheme="majorHAnsi"/>
          <w:i/>
          <w:iCs/>
          <w:noProof/>
          <w:szCs w:val="22"/>
        </w:rPr>
        <w:t>Conservation Letters</w:t>
      </w:r>
      <w:r w:rsidRPr="003338D7">
        <w:rPr>
          <w:rFonts w:asciiTheme="majorHAnsi" w:hAnsiTheme="majorHAnsi"/>
          <w:noProof/>
          <w:szCs w:val="22"/>
        </w:rPr>
        <w:t xml:space="preserve">, </w:t>
      </w:r>
      <w:r w:rsidRPr="003338D7">
        <w:rPr>
          <w:rFonts w:asciiTheme="majorHAnsi" w:hAnsiTheme="majorHAnsi"/>
          <w:i/>
          <w:iCs/>
          <w:noProof/>
          <w:szCs w:val="22"/>
        </w:rPr>
        <w:t>1</w:t>
      </w:r>
      <w:r w:rsidRPr="003338D7">
        <w:rPr>
          <w:rFonts w:asciiTheme="majorHAnsi" w:hAnsiTheme="majorHAnsi"/>
          <w:noProof/>
          <w:szCs w:val="22"/>
        </w:rPr>
        <w:t xml:space="preserve">(5), 217–226. </w:t>
      </w:r>
      <w:hyperlink r:id="rId832" w:history="1">
        <w:r w:rsidRPr="003338D7">
          <w:rPr>
            <w:rStyle w:val="Hyperlink"/>
            <w:rFonts w:asciiTheme="majorHAnsi" w:hAnsiTheme="majorHAnsi"/>
            <w:noProof/>
            <w:szCs w:val="22"/>
          </w:rPr>
          <w:t>http://doi.org/10.1111/j.1755-263X.2008.00030.x</w:t>
        </w:r>
      </w:hyperlink>
    </w:p>
    <w:p w14:paraId="5967E16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Spera, S. A., Galford, G. L., Coe, M. T., Macedo, M. N., &amp; Mustard, J. F. (2016). Land-use change affects water recycling in Brazil’s last agricultural frontier. </w:t>
      </w:r>
      <w:r w:rsidRPr="003338D7">
        <w:rPr>
          <w:rFonts w:asciiTheme="majorHAnsi" w:hAnsiTheme="majorHAnsi"/>
          <w:i/>
          <w:iCs/>
          <w:noProof/>
          <w:szCs w:val="22"/>
        </w:rPr>
        <w:t>Global Change Biology</w:t>
      </w:r>
      <w:r w:rsidRPr="003338D7">
        <w:rPr>
          <w:rFonts w:asciiTheme="majorHAnsi" w:hAnsiTheme="majorHAnsi"/>
          <w:noProof/>
          <w:szCs w:val="22"/>
        </w:rPr>
        <w:t xml:space="preserve">, </w:t>
      </w:r>
      <w:r w:rsidRPr="003338D7">
        <w:rPr>
          <w:rFonts w:asciiTheme="majorHAnsi" w:hAnsiTheme="majorHAnsi"/>
          <w:i/>
          <w:iCs/>
          <w:noProof/>
          <w:szCs w:val="22"/>
        </w:rPr>
        <w:t>22</w:t>
      </w:r>
      <w:r w:rsidRPr="003338D7">
        <w:rPr>
          <w:rFonts w:asciiTheme="majorHAnsi" w:hAnsiTheme="majorHAnsi"/>
          <w:noProof/>
          <w:szCs w:val="22"/>
        </w:rPr>
        <w:t xml:space="preserve">(10), 3405–3413. </w:t>
      </w:r>
      <w:hyperlink r:id="rId833" w:history="1">
        <w:r w:rsidRPr="003338D7">
          <w:rPr>
            <w:rStyle w:val="Hyperlink"/>
            <w:rFonts w:asciiTheme="majorHAnsi" w:hAnsiTheme="majorHAnsi"/>
            <w:noProof/>
            <w:szCs w:val="22"/>
          </w:rPr>
          <w:t>http://doi.org/10.1111/gcb.13298</w:t>
        </w:r>
      </w:hyperlink>
    </w:p>
    <w:p w14:paraId="013E3A0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Spracklen, D. V., &amp; Righelato, R. (2014). Tropical montane forests are a larger than expected global carbon store. </w:t>
      </w:r>
      <w:r w:rsidRPr="003338D7">
        <w:rPr>
          <w:rFonts w:asciiTheme="majorHAnsi" w:hAnsiTheme="majorHAnsi"/>
          <w:i/>
          <w:iCs/>
          <w:noProof/>
          <w:szCs w:val="22"/>
        </w:rPr>
        <w:t>Biogeosciences</w:t>
      </w:r>
      <w:r w:rsidRPr="003338D7">
        <w:rPr>
          <w:rFonts w:asciiTheme="majorHAnsi" w:hAnsiTheme="majorHAnsi"/>
          <w:noProof/>
          <w:szCs w:val="22"/>
        </w:rPr>
        <w:t xml:space="preserve">, </w:t>
      </w:r>
      <w:r w:rsidRPr="003338D7">
        <w:rPr>
          <w:rFonts w:asciiTheme="majorHAnsi" w:hAnsiTheme="majorHAnsi"/>
          <w:i/>
          <w:iCs/>
          <w:noProof/>
          <w:szCs w:val="22"/>
        </w:rPr>
        <w:t>11</w:t>
      </w:r>
      <w:r w:rsidRPr="003338D7">
        <w:rPr>
          <w:rFonts w:asciiTheme="majorHAnsi" w:hAnsiTheme="majorHAnsi"/>
          <w:noProof/>
          <w:szCs w:val="22"/>
        </w:rPr>
        <w:t xml:space="preserve">(10), 2741–2754. </w:t>
      </w:r>
      <w:hyperlink r:id="rId834" w:history="1">
        <w:r w:rsidRPr="003338D7">
          <w:rPr>
            <w:rStyle w:val="Hyperlink"/>
            <w:rFonts w:asciiTheme="majorHAnsi" w:hAnsiTheme="majorHAnsi"/>
            <w:noProof/>
            <w:szCs w:val="22"/>
          </w:rPr>
          <w:t>http://doi.org/10.5194/bg-11-2741-2014</w:t>
        </w:r>
      </w:hyperlink>
    </w:p>
    <w:p w14:paraId="4B44043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Spriggs, E. L., Christinb, P. A., &amp; Edwards, E. J. (2014). C4 photosynthesis promoted species diversification during the miocene grassland expansion.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w:t>
      </w:r>
      <w:r w:rsidRPr="003338D7">
        <w:rPr>
          <w:rFonts w:asciiTheme="majorHAnsi" w:hAnsiTheme="majorHAnsi"/>
          <w:noProof/>
          <w:szCs w:val="22"/>
          <w:lang w:val="es-ES"/>
        </w:rPr>
        <w:t xml:space="preserve">(5), e97722. </w:t>
      </w:r>
      <w:hyperlink r:id="rId835" w:history="1">
        <w:r w:rsidRPr="003338D7">
          <w:rPr>
            <w:rStyle w:val="Hyperlink"/>
            <w:rFonts w:asciiTheme="majorHAnsi" w:hAnsiTheme="majorHAnsi"/>
            <w:noProof/>
            <w:szCs w:val="22"/>
            <w:lang w:val="es-ES"/>
          </w:rPr>
          <w:t>http://doi.org/10.1371/journal.pone.0097722</w:t>
        </w:r>
      </w:hyperlink>
    </w:p>
    <w:p w14:paraId="0B619EC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Sproull, G. J., Quigley, M. F., Sher, A., &amp; González, E. (2015). </w:t>
      </w:r>
      <w:r w:rsidRPr="003338D7">
        <w:rPr>
          <w:rFonts w:asciiTheme="majorHAnsi" w:hAnsiTheme="majorHAnsi"/>
          <w:noProof/>
          <w:szCs w:val="22"/>
        </w:rPr>
        <w:t xml:space="preserve">Long-term changes in composition, diversity and distribution patterns in four herbaceous plant communities along an elevational gradient. </w:t>
      </w:r>
      <w:r w:rsidRPr="003338D7">
        <w:rPr>
          <w:rFonts w:asciiTheme="majorHAnsi" w:hAnsiTheme="majorHAnsi"/>
          <w:i/>
          <w:iCs/>
          <w:noProof/>
          <w:szCs w:val="22"/>
        </w:rPr>
        <w:t>Journal of Vegetation Science</w:t>
      </w:r>
      <w:r w:rsidRPr="003338D7">
        <w:rPr>
          <w:rFonts w:asciiTheme="majorHAnsi" w:hAnsiTheme="majorHAnsi"/>
          <w:noProof/>
          <w:szCs w:val="22"/>
        </w:rPr>
        <w:t xml:space="preserve">, </w:t>
      </w:r>
      <w:r w:rsidRPr="003338D7">
        <w:rPr>
          <w:rFonts w:asciiTheme="majorHAnsi" w:hAnsiTheme="majorHAnsi"/>
          <w:i/>
          <w:iCs/>
          <w:noProof/>
          <w:szCs w:val="22"/>
        </w:rPr>
        <w:t>26</w:t>
      </w:r>
      <w:r w:rsidRPr="003338D7">
        <w:rPr>
          <w:rFonts w:asciiTheme="majorHAnsi" w:hAnsiTheme="majorHAnsi"/>
          <w:noProof/>
          <w:szCs w:val="22"/>
        </w:rPr>
        <w:t xml:space="preserve">(3), 552–563. </w:t>
      </w:r>
      <w:hyperlink r:id="rId836" w:history="1">
        <w:r w:rsidRPr="003338D7">
          <w:rPr>
            <w:rStyle w:val="Hyperlink"/>
            <w:rFonts w:asciiTheme="majorHAnsi" w:hAnsiTheme="majorHAnsi"/>
            <w:noProof/>
            <w:szCs w:val="22"/>
          </w:rPr>
          <w:t>http://doi.org/10.1111/jvs.12264</w:t>
        </w:r>
      </w:hyperlink>
    </w:p>
    <w:p w14:paraId="3B13ED9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Squeo, F. A., Cavieres, L. A., Arancio, G., Novoa, J. E., Matthei, O., Marticorena, C., Rodriguez, R., Arroyo, M. T. K., &amp; Munoz, M. (1998). Biodiversity of vascular flora in the Antofagasta Region, Chile. </w:t>
      </w:r>
      <w:r w:rsidRPr="003338D7">
        <w:rPr>
          <w:rFonts w:asciiTheme="majorHAnsi" w:hAnsiTheme="majorHAnsi"/>
          <w:i/>
          <w:iCs/>
          <w:noProof/>
          <w:szCs w:val="22"/>
          <w:lang w:val="es-ES"/>
        </w:rPr>
        <w:t>Revista Chilena de Historia Natural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71</w:t>
      </w:r>
      <w:r w:rsidRPr="003338D7">
        <w:rPr>
          <w:rFonts w:asciiTheme="majorHAnsi" w:hAnsiTheme="majorHAnsi"/>
          <w:noProof/>
          <w:szCs w:val="22"/>
          <w:lang w:val="es-ES"/>
        </w:rPr>
        <w:t>(4), 571–591.</w:t>
      </w:r>
    </w:p>
    <w:p w14:paraId="068F6CE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Stapp, P., Antolin, M. F., &amp; Ball, M. (2004). </w:t>
      </w:r>
      <w:r w:rsidRPr="003338D7">
        <w:rPr>
          <w:rFonts w:asciiTheme="majorHAnsi" w:hAnsiTheme="majorHAnsi"/>
          <w:noProof/>
          <w:szCs w:val="22"/>
        </w:rPr>
        <w:t xml:space="preserve">Patterns of extinction in prairie dog metapopulations: plague outbreaks follow El Niño events. </w:t>
      </w:r>
      <w:r w:rsidRPr="003338D7">
        <w:rPr>
          <w:rFonts w:asciiTheme="majorHAnsi" w:hAnsiTheme="majorHAnsi"/>
          <w:i/>
          <w:iCs/>
          <w:noProof/>
          <w:szCs w:val="22"/>
        </w:rPr>
        <w:t>Frontiers in Ecology and the Environment</w:t>
      </w:r>
      <w:r w:rsidRPr="003338D7">
        <w:rPr>
          <w:rFonts w:asciiTheme="majorHAnsi" w:hAnsiTheme="majorHAnsi"/>
          <w:noProof/>
          <w:szCs w:val="22"/>
        </w:rPr>
        <w:t xml:space="preserve">, </w:t>
      </w:r>
      <w:r w:rsidRPr="003338D7">
        <w:rPr>
          <w:rFonts w:asciiTheme="majorHAnsi" w:hAnsiTheme="majorHAnsi"/>
          <w:i/>
          <w:iCs/>
          <w:noProof/>
          <w:szCs w:val="22"/>
        </w:rPr>
        <w:t>2</w:t>
      </w:r>
      <w:r w:rsidRPr="003338D7">
        <w:rPr>
          <w:rFonts w:asciiTheme="majorHAnsi" w:hAnsiTheme="majorHAnsi"/>
          <w:noProof/>
          <w:szCs w:val="22"/>
        </w:rPr>
        <w:t xml:space="preserve">(5), 235–240. </w:t>
      </w:r>
      <w:hyperlink r:id="rId837" w:history="1">
        <w:r w:rsidRPr="003338D7">
          <w:rPr>
            <w:rStyle w:val="Hyperlink"/>
            <w:rFonts w:asciiTheme="majorHAnsi" w:hAnsiTheme="majorHAnsi"/>
            <w:noProof/>
            <w:szCs w:val="22"/>
          </w:rPr>
          <w:t>http://doi.org/10.1890/1540-9295(2004)002%5B0235:POEIPD%5D2.0.CO;2</w:t>
        </w:r>
      </w:hyperlink>
    </w:p>
    <w:p w14:paraId="47520E6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Stattersfield, A. J., Crosby, M. J., Long, A. J., &amp; Wege, D. C. (1998). </w:t>
      </w:r>
      <w:r w:rsidRPr="003338D7">
        <w:rPr>
          <w:rFonts w:asciiTheme="majorHAnsi" w:hAnsiTheme="majorHAnsi"/>
          <w:i/>
          <w:iCs/>
          <w:noProof/>
          <w:szCs w:val="22"/>
        </w:rPr>
        <w:t>Endemic Bird Areas of the World: Priorities for Biodiversity Conservation</w:t>
      </w:r>
      <w:r w:rsidRPr="003338D7">
        <w:rPr>
          <w:rFonts w:asciiTheme="majorHAnsi" w:hAnsiTheme="majorHAnsi"/>
          <w:noProof/>
          <w:szCs w:val="22"/>
        </w:rPr>
        <w:t>. Cambridge, UK: BirdLife International.</w:t>
      </w:r>
    </w:p>
    <w:p w14:paraId="32000EA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Steele, M. K., Heffernan, J. B., Bettez, N., Cavender-Bares, J., Groffman, P. M., Grove, J. M., Hall, S., Hobbie, S. E., Larson, K., Morse, J. L., Neill, C., Nelson, K. C., O’Neil-Dunne, J., Ogden, L., Pataki, D. E., Polsky, C., &amp; Roy Chowdhury, R. (2014). Convergent surface water distributions in U.S. cities. </w:t>
      </w:r>
      <w:r w:rsidRPr="003338D7">
        <w:rPr>
          <w:rFonts w:asciiTheme="majorHAnsi" w:hAnsiTheme="majorHAnsi"/>
          <w:i/>
          <w:iCs/>
          <w:noProof/>
          <w:szCs w:val="22"/>
          <w:lang w:val="es-ES"/>
        </w:rPr>
        <w:t>Ecosystems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17</w:t>
      </w:r>
      <w:r w:rsidRPr="003338D7">
        <w:rPr>
          <w:rFonts w:asciiTheme="majorHAnsi" w:hAnsiTheme="majorHAnsi"/>
          <w:noProof/>
          <w:szCs w:val="22"/>
          <w:lang w:val="es-ES"/>
        </w:rPr>
        <w:t xml:space="preserve">(4), 685–697. </w:t>
      </w:r>
      <w:hyperlink r:id="rId838" w:history="1">
        <w:r w:rsidRPr="003338D7">
          <w:rPr>
            <w:rStyle w:val="Hyperlink"/>
            <w:rFonts w:asciiTheme="majorHAnsi" w:hAnsiTheme="majorHAnsi"/>
            <w:noProof/>
            <w:szCs w:val="22"/>
            <w:lang w:val="es-ES"/>
          </w:rPr>
          <w:t>https://doi.org/10.1007/s10021-014-9751-y</w:t>
        </w:r>
      </w:hyperlink>
    </w:p>
    <w:p w14:paraId="473F69E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Stein, B. A., Kutner, L. S., &amp; Adams, J. S. (Eds.). (2000). </w:t>
      </w:r>
      <w:r w:rsidRPr="003338D7">
        <w:rPr>
          <w:rFonts w:asciiTheme="majorHAnsi" w:hAnsiTheme="majorHAnsi"/>
          <w:i/>
          <w:iCs/>
          <w:noProof/>
          <w:szCs w:val="22"/>
        </w:rPr>
        <w:t>Precious Heritage: The Status of Biodiversity in the United States</w:t>
      </w:r>
      <w:r w:rsidRPr="003338D7">
        <w:rPr>
          <w:rFonts w:asciiTheme="majorHAnsi" w:hAnsiTheme="majorHAnsi"/>
          <w:noProof/>
          <w:szCs w:val="22"/>
        </w:rPr>
        <w:t>. New York, USA: Oxford University Press.</w:t>
      </w:r>
    </w:p>
    <w:p w14:paraId="66CE63B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Stephenson, N. L., &amp; Das, A. J. (2011). Comment on “Changes in climatic water balance drive downhill shifts in plant species’ optimum elevations.”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334</w:t>
      </w:r>
      <w:r w:rsidRPr="003338D7">
        <w:rPr>
          <w:rFonts w:asciiTheme="majorHAnsi" w:hAnsiTheme="majorHAnsi"/>
          <w:noProof/>
          <w:szCs w:val="22"/>
        </w:rPr>
        <w:t xml:space="preserve">(6053), 177c. </w:t>
      </w:r>
      <w:hyperlink r:id="rId839" w:history="1">
        <w:r w:rsidRPr="003338D7">
          <w:rPr>
            <w:rStyle w:val="Hyperlink"/>
            <w:rFonts w:asciiTheme="majorHAnsi" w:hAnsiTheme="majorHAnsi"/>
            <w:noProof/>
            <w:szCs w:val="22"/>
          </w:rPr>
          <w:t>http://doi.org/10.1126/science.1205740</w:t>
        </w:r>
      </w:hyperlink>
    </w:p>
    <w:p w14:paraId="16D5129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Stevens, N., Lehmann, C. E. R., Murphy, B. P., &amp; Durigan, G. (2017). Savanna woody encroachment is widespread across three continents. </w:t>
      </w:r>
      <w:r w:rsidRPr="003338D7">
        <w:rPr>
          <w:rFonts w:asciiTheme="majorHAnsi" w:hAnsiTheme="majorHAnsi"/>
          <w:i/>
          <w:iCs/>
          <w:noProof/>
          <w:szCs w:val="22"/>
        </w:rPr>
        <w:t>Global Change Biology</w:t>
      </w:r>
      <w:r w:rsidRPr="003338D7">
        <w:rPr>
          <w:rFonts w:asciiTheme="majorHAnsi" w:hAnsiTheme="majorHAnsi"/>
          <w:noProof/>
          <w:szCs w:val="22"/>
        </w:rPr>
        <w:t xml:space="preserve">, </w:t>
      </w:r>
      <w:r w:rsidRPr="003338D7">
        <w:rPr>
          <w:rFonts w:asciiTheme="majorHAnsi" w:hAnsiTheme="majorHAnsi"/>
          <w:i/>
          <w:iCs/>
          <w:noProof/>
          <w:szCs w:val="22"/>
        </w:rPr>
        <w:t>23</w:t>
      </w:r>
      <w:r w:rsidRPr="003338D7">
        <w:rPr>
          <w:rFonts w:asciiTheme="majorHAnsi" w:hAnsiTheme="majorHAnsi"/>
          <w:noProof/>
          <w:szCs w:val="22"/>
        </w:rPr>
        <w:t xml:space="preserve">(1), 235–244. </w:t>
      </w:r>
      <w:hyperlink r:id="rId840" w:history="1">
        <w:r w:rsidRPr="003338D7">
          <w:rPr>
            <w:rStyle w:val="Hyperlink"/>
            <w:rFonts w:asciiTheme="majorHAnsi" w:hAnsiTheme="majorHAnsi"/>
            <w:noProof/>
            <w:szCs w:val="22"/>
          </w:rPr>
          <w:t>http://doi.org/10.1111/gcb.13409</w:t>
        </w:r>
      </w:hyperlink>
    </w:p>
    <w:p w14:paraId="0736146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Stewart, J. A., Perrine, J. D., Nichols, L. B., Thorne, J. H., Millar, C. I., Goehring, K. E., &amp; Wright, D. H. (2015). Revisiting the past to foretell the future: summer temperature and habitat area predict pika extirpations in California. </w:t>
      </w:r>
      <w:r w:rsidRPr="003338D7">
        <w:rPr>
          <w:rFonts w:asciiTheme="majorHAnsi" w:hAnsiTheme="majorHAnsi"/>
          <w:i/>
          <w:iCs/>
          <w:noProof/>
          <w:szCs w:val="22"/>
        </w:rPr>
        <w:t>Journal of Biogeography</w:t>
      </w:r>
      <w:r w:rsidRPr="003338D7">
        <w:rPr>
          <w:rFonts w:asciiTheme="majorHAnsi" w:hAnsiTheme="majorHAnsi"/>
          <w:noProof/>
          <w:szCs w:val="22"/>
        </w:rPr>
        <w:t xml:space="preserve">, </w:t>
      </w:r>
      <w:r w:rsidRPr="003338D7">
        <w:rPr>
          <w:rFonts w:asciiTheme="majorHAnsi" w:hAnsiTheme="majorHAnsi"/>
          <w:i/>
          <w:iCs/>
          <w:noProof/>
          <w:szCs w:val="22"/>
        </w:rPr>
        <w:t>42</w:t>
      </w:r>
      <w:r w:rsidRPr="003338D7">
        <w:rPr>
          <w:rFonts w:asciiTheme="majorHAnsi" w:hAnsiTheme="majorHAnsi"/>
          <w:noProof/>
          <w:szCs w:val="22"/>
        </w:rPr>
        <w:t xml:space="preserve">(5), 880–890. </w:t>
      </w:r>
      <w:hyperlink r:id="rId841" w:history="1">
        <w:r w:rsidRPr="003338D7">
          <w:rPr>
            <w:rStyle w:val="Hyperlink"/>
            <w:rFonts w:asciiTheme="majorHAnsi" w:hAnsiTheme="majorHAnsi"/>
            <w:noProof/>
            <w:szCs w:val="22"/>
          </w:rPr>
          <w:t>http://doi.org/10.1111/jbi.12466</w:t>
        </w:r>
      </w:hyperlink>
    </w:p>
    <w:p w14:paraId="40B9711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Stöhr, S., O’Hara, T. D., &amp; Thuy, B. (2012). Global diversity of brittle stars (Echinodermata: Ophiuroidea). </w:t>
      </w:r>
      <w:r w:rsidRPr="003338D7">
        <w:rPr>
          <w:rFonts w:asciiTheme="majorHAnsi" w:hAnsiTheme="majorHAnsi"/>
          <w:i/>
          <w:iCs/>
          <w:noProof/>
          <w:szCs w:val="22"/>
        </w:rPr>
        <w:t>PLoS ONE</w:t>
      </w:r>
      <w:r w:rsidRPr="003338D7">
        <w:rPr>
          <w:rFonts w:asciiTheme="majorHAnsi" w:hAnsiTheme="majorHAnsi"/>
          <w:noProof/>
          <w:szCs w:val="22"/>
        </w:rPr>
        <w:t xml:space="preserve">, </w:t>
      </w:r>
      <w:r w:rsidRPr="003338D7">
        <w:rPr>
          <w:rFonts w:asciiTheme="majorHAnsi" w:hAnsiTheme="majorHAnsi"/>
          <w:i/>
          <w:iCs/>
          <w:noProof/>
          <w:szCs w:val="22"/>
        </w:rPr>
        <w:t>7</w:t>
      </w:r>
      <w:r w:rsidRPr="003338D7">
        <w:rPr>
          <w:rFonts w:asciiTheme="majorHAnsi" w:hAnsiTheme="majorHAnsi"/>
          <w:noProof/>
          <w:szCs w:val="22"/>
        </w:rPr>
        <w:t xml:space="preserve">(3), e31940. </w:t>
      </w:r>
      <w:hyperlink r:id="rId842" w:history="1">
        <w:r w:rsidRPr="003338D7">
          <w:rPr>
            <w:rStyle w:val="Hyperlink"/>
            <w:rFonts w:asciiTheme="majorHAnsi" w:hAnsiTheme="majorHAnsi"/>
            <w:noProof/>
            <w:szCs w:val="22"/>
          </w:rPr>
          <w:t>http://doi.org/10.1371/journal.pone.0031940</w:t>
        </w:r>
      </w:hyperlink>
    </w:p>
    <w:p w14:paraId="25341F4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Stotz, D. F., Fitzpatrick, J. W., Parker III, T., &amp; Moskovits, D. K. (1996). </w:t>
      </w:r>
      <w:r w:rsidRPr="003338D7">
        <w:rPr>
          <w:rFonts w:asciiTheme="majorHAnsi" w:hAnsiTheme="majorHAnsi"/>
          <w:i/>
          <w:iCs/>
          <w:noProof/>
          <w:szCs w:val="22"/>
        </w:rPr>
        <w:t>Neotropical Birds: Ecology and Conservation</w:t>
      </w:r>
      <w:r w:rsidRPr="003338D7">
        <w:rPr>
          <w:rFonts w:asciiTheme="majorHAnsi" w:hAnsiTheme="majorHAnsi"/>
          <w:noProof/>
          <w:szCs w:val="22"/>
        </w:rPr>
        <w:t>. Chicago, USA: The University of Chicago Press.</w:t>
      </w:r>
    </w:p>
    <w:p w14:paraId="5BA0A8C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Stranko, S. A., Gresens, S. E., Klauda, R. J., Kilian, J. V., Ciccotto, P. J., Ashton, M. J., &amp; Becker, A. J. (2010). Differential effects of urbanization and non-natives on imperiled stream species. </w:t>
      </w:r>
      <w:r w:rsidRPr="003338D7">
        <w:rPr>
          <w:rFonts w:asciiTheme="majorHAnsi" w:hAnsiTheme="majorHAnsi"/>
          <w:i/>
          <w:iCs/>
          <w:noProof/>
          <w:szCs w:val="22"/>
        </w:rPr>
        <w:t>Northeastern Naturalist</w:t>
      </w:r>
      <w:r w:rsidRPr="003338D7">
        <w:rPr>
          <w:rFonts w:asciiTheme="majorHAnsi" w:hAnsiTheme="majorHAnsi"/>
          <w:noProof/>
          <w:szCs w:val="22"/>
        </w:rPr>
        <w:t xml:space="preserve">, </w:t>
      </w:r>
      <w:r w:rsidRPr="003338D7">
        <w:rPr>
          <w:rFonts w:asciiTheme="majorHAnsi" w:hAnsiTheme="majorHAnsi"/>
          <w:i/>
          <w:iCs/>
          <w:noProof/>
          <w:szCs w:val="22"/>
        </w:rPr>
        <w:t>17</w:t>
      </w:r>
      <w:r w:rsidRPr="003338D7">
        <w:rPr>
          <w:rFonts w:asciiTheme="majorHAnsi" w:hAnsiTheme="majorHAnsi"/>
          <w:noProof/>
          <w:szCs w:val="22"/>
        </w:rPr>
        <w:t xml:space="preserve">(4), 593–614. </w:t>
      </w:r>
      <w:hyperlink r:id="rId843" w:history="1">
        <w:r w:rsidRPr="003338D7">
          <w:rPr>
            <w:rStyle w:val="Hyperlink"/>
            <w:rFonts w:asciiTheme="majorHAnsi" w:hAnsiTheme="majorHAnsi"/>
            <w:noProof/>
            <w:szCs w:val="22"/>
          </w:rPr>
          <w:t>http://doi.org/10.1656/045.017.0406</w:t>
        </w:r>
      </w:hyperlink>
    </w:p>
    <w:p w14:paraId="3D78C1A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Stuart, S. N., Hoffmann, M., Chanson, J. S., Cox, N. A., Berridge, R. J., Ramani, P., &amp; Young, B. E. (Eds.). (2008). </w:t>
      </w:r>
      <w:r w:rsidRPr="003338D7">
        <w:rPr>
          <w:rFonts w:asciiTheme="majorHAnsi" w:hAnsiTheme="majorHAnsi"/>
          <w:i/>
          <w:iCs/>
          <w:noProof/>
          <w:szCs w:val="22"/>
        </w:rPr>
        <w:t>Threatened Amphibians of the World</w:t>
      </w:r>
      <w:r w:rsidRPr="003338D7">
        <w:rPr>
          <w:rFonts w:asciiTheme="majorHAnsi" w:hAnsiTheme="majorHAnsi"/>
          <w:noProof/>
          <w:szCs w:val="22"/>
        </w:rPr>
        <w:t>. Barcelona, Spain; Gland Switzerland; Arlington, USA: Lynx Edicions, IUCN and Conservation International.</w:t>
      </w:r>
    </w:p>
    <w:p w14:paraId="5CA9DCD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Sturm, M., Racine, C., &amp; Tape, K. (2001). Climate change: increasing shrub abundance in the Arctic.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411</w:t>
      </w:r>
      <w:r w:rsidRPr="003338D7">
        <w:rPr>
          <w:rFonts w:asciiTheme="majorHAnsi" w:hAnsiTheme="majorHAnsi"/>
          <w:noProof/>
          <w:szCs w:val="22"/>
        </w:rPr>
        <w:t xml:space="preserve">(6837), 546–547. </w:t>
      </w:r>
      <w:hyperlink r:id="rId844" w:history="1">
        <w:r w:rsidRPr="003338D7">
          <w:rPr>
            <w:rStyle w:val="Hyperlink"/>
            <w:rFonts w:asciiTheme="majorHAnsi" w:hAnsiTheme="majorHAnsi"/>
            <w:noProof/>
            <w:szCs w:val="22"/>
          </w:rPr>
          <w:t>http://doi.org/10.1038/35079180</w:t>
        </w:r>
      </w:hyperlink>
    </w:p>
    <w:p w14:paraId="7B89EE4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Suarez, M. L., Ghermandi, L., &amp; Kitzberger, T. (2004). Factors predisposing episodic drought-induced tree mortality in </w:t>
      </w:r>
      <w:r w:rsidRPr="003338D7">
        <w:rPr>
          <w:rFonts w:asciiTheme="majorHAnsi" w:hAnsiTheme="majorHAnsi"/>
          <w:i/>
          <w:iCs/>
          <w:noProof/>
          <w:szCs w:val="22"/>
        </w:rPr>
        <w:t>Nothofagus</w:t>
      </w:r>
      <w:r w:rsidRPr="003338D7">
        <w:rPr>
          <w:rFonts w:asciiTheme="majorHAnsi" w:hAnsiTheme="majorHAnsi"/>
          <w:noProof/>
          <w:szCs w:val="22"/>
        </w:rPr>
        <w:t xml:space="preserve"> - site, climatic sensitivity and growth trends. </w:t>
      </w:r>
      <w:r w:rsidRPr="003338D7">
        <w:rPr>
          <w:rFonts w:asciiTheme="majorHAnsi" w:hAnsiTheme="majorHAnsi"/>
          <w:i/>
          <w:iCs/>
          <w:noProof/>
          <w:szCs w:val="22"/>
        </w:rPr>
        <w:t>Journal of Ecology</w:t>
      </w:r>
      <w:r w:rsidRPr="003338D7">
        <w:rPr>
          <w:rFonts w:asciiTheme="majorHAnsi" w:hAnsiTheme="majorHAnsi"/>
          <w:noProof/>
          <w:szCs w:val="22"/>
        </w:rPr>
        <w:t xml:space="preserve">, </w:t>
      </w:r>
      <w:r w:rsidRPr="003338D7">
        <w:rPr>
          <w:rFonts w:asciiTheme="majorHAnsi" w:hAnsiTheme="majorHAnsi"/>
          <w:i/>
          <w:iCs/>
          <w:noProof/>
          <w:szCs w:val="22"/>
        </w:rPr>
        <w:t>92</w:t>
      </w:r>
      <w:r w:rsidRPr="003338D7">
        <w:rPr>
          <w:rFonts w:asciiTheme="majorHAnsi" w:hAnsiTheme="majorHAnsi"/>
          <w:noProof/>
          <w:szCs w:val="22"/>
        </w:rPr>
        <w:t xml:space="preserve">(6), 954–966. </w:t>
      </w:r>
      <w:hyperlink r:id="rId845" w:history="1">
        <w:r w:rsidRPr="003338D7">
          <w:rPr>
            <w:rStyle w:val="Hyperlink"/>
            <w:rFonts w:asciiTheme="majorHAnsi" w:hAnsiTheme="majorHAnsi"/>
            <w:noProof/>
            <w:szCs w:val="22"/>
          </w:rPr>
          <w:t>http://doi.org/10.1111/j.1365-2745.2004.00941.x</w:t>
        </w:r>
      </w:hyperlink>
    </w:p>
    <w:p w14:paraId="7587399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Sutherland, K. P., Porter, J. W., Turner, J. W., Thomas, B. J., Looney, E. E., Luna, T. P., Meyers, M. K., Futch, J. C., &amp; Lipp, E. K. (2010). Human sewage identified as likely source of white pox disease of the threatened Caribbean elkhorn coral, </w:t>
      </w:r>
      <w:r w:rsidRPr="003338D7">
        <w:rPr>
          <w:rFonts w:asciiTheme="majorHAnsi" w:hAnsiTheme="majorHAnsi"/>
          <w:i/>
          <w:iCs/>
          <w:noProof/>
          <w:szCs w:val="22"/>
          <w:lang w:val="es-ES"/>
        </w:rPr>
        <w:t>Acropora palmata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Environmental Microbiology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12</w:t>
      </w:r>
      <w:r w:rsidRPr="003338D7">
        <w:rPr>
          <w:rFonts w:asciiTheme="majorHAnsi" w:hAnsiTheme="majorHAnsi"/>
          <w:noProof/>
          <w:szCs w:val="22"/>
          <w:lang w:val="es-ES"/>
        </w:rPr>
        <w:t xml:space="preserve">(5), 1122–1131. </w:t>
      </w:r>
      <w:hyperlink r:id="rId846" w:history="1">
        <w:r w:rsidRPr="003338D7">
          <w:rPr>
            <w:rStyle w:val="Hyperlink"/>
            <w:rFonts w:asciiTheme="majorHAnsi" w:hAnsiTheme="majorHAnsi"/>
            <w:noProof/>
            <w:szCs w:val="22"/>
            <w:lang w:val="es-ES"/>
          </w:rPr>
          <w:t>https://doi.org/10.1111/j.1462-2920.2010.02152.x</w:t>
        </w:r>
      </w:hyperlink>
    </w:p>
    <w:p w14:paraId="5FBA26C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Sutherland, R. W., Dunning, P. R., &amp; Baker, W. M. (2010). Amphibian encounter rates on roads with different amounts of traffic and urbanization.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24</w:t>
      </w:r>
      <w:r w:rsidRPr="003338D7">
        <w:rPr>
          <w:rFonts w:asciiTheme="majorHAnsi" w:hAnsiTheme="majorHAnsi"/>
          <w:noProof/>
          <w:szCs w:val="22"/>
        </w:rPr>
        <w:t xml:space="preserve">(6), 1626–1635. </w:t>
      </w:r>
      <w:hyperlink r:id="rId847" w:history="1">
        <w:r w:rsidRPr="003338D7">
          <w:rPr>
            <w:rStyle w:val="Hyperlink"/>
            <w:rFonts w:asciiTheme="majorHAnsi" w:hAnsiTheme="majorHAnsi"/>
            <w:noProof/>
            <w:szCs w:val="22"/>
          </w:rPr>
          <w:t>http://doi.org/10.1111/j.1523-1739.2010.01570.x</w:t>
        </w:r>
      </w:hyperlink>
    </w:p>
    <w:p w14:paraId="036FA6E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Suzán, G., Marcé, E., Giermakowski, J. T., Mills, J. N., Ceballos, G., Ostfeld, R. S., Armién, B., Pascale, J. M., &amp; Yates, T. L. (2009). Experimental evidence for reduced rodent diversity causing increased hantavirus prevalence.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w:t>
      </w:r>
      <w:r w:rsidRPr="003338D7">
        <w:rPr>
          <w:rFonts w:asciiTheme="majorHAnsi" w:hAnsiTheme="majorHAnsi"/>
          <w:noProof/>
          <w:szCs w:val="22"/>
          <w:lang w:val="es-ES"/>
        </w:rPr>
        <w:t xml:space="preserve">(5), e5461. </w:t>
      </w:r>
      <w:hyperlink r:id="rId848" w:history="1">
        <w:r w:rsidRPr="003338D7">
          <w:rPr>
            <w:rStyle w:val="Hyperlink"/>
            <w:rFonts w:asciiTheme="majorHAnsi" w:hAnsiTheme="majorHAnsi"/>
            <w:noProof/>
            <w:szCs w:val="22"/>
            <w:lang w:val="es-ES"/>
          </w:rPr>
          <w:t>https://doi.org/10.1371/journal.pone.0005461</w:t>
        </w:r>
      </w:hyperlink>
    </w:p>
    <w:p w14:paraId="6D6274E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Svriz, M., Damascos, M. A., Zimmermann, H., &amp; Hensen, I. (2013). </w:t>
      </w:r>
      <w:r w:rsidRPr="003338D7">
        <w:rPr>
          <w:rFonts w:asciiTheme="majorHAnsi" w:hAnsiTheme="majorHAnsi"/>
          <w:noProof/>
          <w:szCs w:val="22"/>
        </w:rPr>
        <w:t xml:space="preserve">The exotic shrub </w:t>
      </w:r>
      <w:r w:rsidRPr="003338D7">
        <w:rPr>
          <w:rFonts w:asciiTheme="majorHAnsi" w:hAnsiTheme="majorHAnsi"/>
          <w:i/>
          <w:noProof/>
          <w:szCs w:val="22"/>
        </w:rPr>
        <w:t>Rosa rubiginosa</w:t>
      </w:r>
      <w:r w:rsidRPr="003338D7">
        <w:rPr>
          <w:rFonts w:asciiTheme="majorHAnsi" w:hAnsiTheme="majorHAnsi"/>
          <w:noProof/>
          <w:szCs w:val="22"/>
        </w:rPr>
        <w:t xml:space="preserve"> as a nurse plant. Implications for the restoration of disturbed temperate forests in Patagonia, Argentina. </w:t>
      </w:r>
      <w:r w:rsidRPr="003338D7">
        <w:rPr>
          <w:rFonts w:asciiTheme="majorHAnsi" w:hAnsiTheme="majorHAnsi"/>
          <w:i/>
          <w:iCs/>
          <w:noProof/>
          <w:szCs w:val="22"/>
        </w:rPr>
        <w:t>Forest Ecology and Management</w:t>
      </w:r>
      <w:r w:rsidRPr="003338D7">
        <w:rPr>
          <w:rFonts w:asciiTheme="majorHAnsi" w:hAnsiTheme="majorHAnsi"/>
          <w:noProof/>
          <w:szCs w:val="22"/>
        </w:rPr>
        <w:t xml:space="preserve">, </w:t>
      </w:r>
      <w:r w:rsidRPr="003338D7">
        <w:rPr>
          <w:rFonts w:asciiTheme="majorHAnsi" w:hAnsiTheme="majorHAnsi"/>
          <w:i/>
          <w:iCs/>
          <w:noProof/>
          <w:szCs w:val="22"/>
        </w:rPr>
        <w:t>289</w:t>
      </w:r>
      <w:r w:rsidRPr="003338D7">
        <w:rPr>
          <w:rFonts w:asciiTheme="majorHAnsi" w:hAnsiTheme="majorHAnsi"/>
          <w:noProof/>
          <w:szCs w:val="22"/>
        </w:rPr>
        <w:t xml:space="preserve">, 234–242. </w:t>
      </w:r>
      <w:hyperlink r:id="rId849" w:history="1">
        <w:r w:rsidRPr="003338D7">
          <w:rPr>
            <w:rStyle w:val="Hyperlink"/>
            <w:rFonts w:asciiTheme="majorHAnsi" w:hAnsiTheme="majorHAnsi"/>
            <w:noProof/>
            <w:szCs w:val="22"/>
          </w:rPr>
          <w:t>http://doi.org/10.1016/j.foreco.2012.09.037</w:t>
        </w:r>
      </w:hyperlink>
    </w:p>
    <w:p w14:paraId="752BE0B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Swenson, N. G., Enquist, B. J., Pither, J., Kerkhoff, A. J., Boyle, B., Weiser, M. D., Elser, J. J., Fagan, W. F., Forero-Montana, J., Fyllas, N., Kraft, N. J. B., Lake, J. K., Moles, A. T., Patino, S., Phillips, O. L., Price, C. A., Reich, P. B., Quesada, C. A., Stegen, J. C., Valencia, R., Wright, I. J., Wright, S. J., Andelman, S., Jorgensen, P. M., Lacher, T. E., Monteagudo, A., Nunez-Vargas, M. P., Vasquez-Martinez, R., &amp; Nolting, K. M. (2012). The biogeography and filtering of woody plant functional diversity in North and South America. </w:t>
      </w:r>
      <w:r w:rsidRPr="003338D7">
        <w:rPr>
          <w:rFonts w:asciiTheme="majorHAnsi" w:hAnsiTheme="majorHAnsi"/>
          <w:i/>
          <w:iCs/>
          <w:noProof/>
          <w:szCs w:val="22"/>
          <w:lang w:val="es-ES"/>
        </w:rPr>
        <w:t>Global Ecology and Biogeography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21</w:t>
      </w:r>
      <w:r w:rsidRPr="003338D7">
        <w:rPr>
          <w:rFonts w:asciiTheme="majorHAnsi" w:hAnsiTheme="majorHAnsi"/>
          <w:noProof/>
          <w:szCs w:val="22"/>
          <w:lang w:val="es-ES"/>
        </w:rPr>
        <w:t xml:space="preserve">(8), 798–808. </w:t>
      </w:r>
      <w:hyperlink r:id="rId850" w:history="1">
        <w:r w:rsidRPr="003338D7">
          <w:rPr>
            <w:rStyle w:val="Hyperlink"/>
            <w:rFonts w:asciiTheme="majorHAnsi" w:hAnsiTheme="majorHAnsi"/>
            <w:noProof/>
            <w:szCs w:val="22"/>
            <w:lang w:val="es-ES"/>
          </w:rPr>
          <w:t>https://doi.org/10.1111/j.1466-8238.2011.00727.x</w:t>
        </w:r>
      </w:hyperlink>
    </w:p>
    <w:p w14:paraId="2F57BC3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Syphard, A. D., Keeley, J. E., &amp; Abatzoglou, J. T. (2017). Trends and drivers of fire activity vary across California aridland ecosystems. </w:t>
      </w:r>
      <w:r w:rsidRPr="003338D7">
        <w:rPr>
          <w:rFonts w:asciiTheme="majorHAnsi" w:hAnsiTheme="majorHAnsi"/>
          <w:i/>
          <w:iCs/>
          <w:noProof/>
          <w:szCs w:val="22"/>
        </w:rPr>
        <w:t>Journal of Arid Environments</w:t>
      </w:r>
      <w:r w:rsidRPr="003338D7">
        <w:rPr>
          <w:rFonts w:asciiTheme="majorHAnsi" w:hAnsiTheme="majorHAnsi"/>
          <w:noProof/>
          <w:szCs w:val="22"/>
        </w:rPr>
        <w:t xml:space="preserve">, </w:t>
      </w:r>
      <w:r w:rsidRPr="003338D7">
        <w:rPr>
          <w:rFonts w:asciiTheme="majorHAnsi" w:hAnsiTheme="majorHAnsi"/>
          <w:i/>
          <w:iCs/>
          <w:noProof/>
          <w:szCs w:val="22"/>
        </w:rPr>
        <w:t>144</w:t>
      </w:r>
      <w:r w:rsidRPr="003338D7">
        <w:rPr>
          <w:rFonts w:asciiTheme="majorHAnsi" w:hAnsiTheme="majorHAnsi"/>
          <w:noProof/>
          <w:szCs w:val="22"/>
        </w:rPr>
        <w:t xml:space="preserve">, 110–122. </w:t>
      </w:r>
      <w:hyperlink r:id="rId851" w:history="1">
        <w:r w:rsidRPr="003338D7">
          <w:rPr>
            <w:rStyle w:val="Hyperlink"/>
            <w:rFonts w:asciiTheme="majorHAnsi" w:hAnsiTheme="majorHAnsi"/>
            <w:noProof/>
            <w:szCs w:val="22"/>
          </w:rPr>
          <w:t>http://doi.org/10.1016/j.jaridenv.2017.03.017</w:t>
        </w:r>
      </w:hyperlink>
    </w:p>
    <w:p w14:paraId="53DD7D8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Tabarelli, M., Aguiar, A. V., Ribeiro, M. C., Metzger, J. P., &amp; Peres, C. A. (2010). Prospects for biodiversity conservation in the Atlantic Forest: lessons from aging human-modified landscapes. </w:t>
      </w:r>
      <w:r w:rsidRPr="003338D7">
        <w:rPr>
          <w:rFonts w:asciiTheme="majorHAnsi" w:hAnsiTheme="majorHAnsi"/>
          <w:i/>
          <w:iCs/>
          <w:noProof/>
          <w:szCs w:val="22"/>
          <w:lang w:val="es-ES"/>
        </w:rPr>
        <w:t>Biological Conservation</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143</w:t>
      </w:r>
      <w:r w:rsidRPr="003338D7">
        <w:rPr>
          <w:rFonts w:asciiTheme="majorHAnsi" w:hAnsiTheme="majorHAnsi"/>
          <w:noProof/>
          <w:szCs w:val="22"/>
          <w:lang w:val="es-ES"/>
        </w:rPr>
        <w:t xml:space="preserve">(10), 2328–2340. </w:t>
      </w:r>
      <w:hyperlink r:id="rId852" w:history="1">
        <w:r w:rsidRPr="003338D7">
          <w:rPr>
            <w:rStyle w:val="Hyperlink"/>
            <w:rFonts w:asciiTheme="majorHAnsi" w:hAnsiTheme="majorHAnsi"/>
            <w:noProof/>
            <w:szCs w:val="22"/>
            <w:lang w:val="es-ES"/>
          </w:rPr>
          <w:t>http://doi.org/10.1016/j.biocon.2010.02.005</w:t>
        </w:r>
      </w:hyperlink>
    </w:p>
    <w:p w14:paraId="73265AB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Tacón, A., Palma, J., Fernández, U., &amp; Ortega, F. (2006). </w:t>
      </w:r>
      <w:r w:rsidRPr="003338D7">
        <w:rPr>
          <w:rFonts w:asciiTheme="majorHAnsi" w:hAnsiTheme="majorHAnsi"/>
          <w:i/>
          <w:iCs/>
          <w:noProof/>
          <w:szCs w:val="22"/>
          <w:lang w:val="es-ES"/>
        </w:rPr>
        <w:t>El Mercado de los Productoss Forestales no Madereros y la Conservation de los Bosques del Sur de Chile y Argentina</w:t>
      </w:r>
      <w:r w:rsidRPr="003338D7">
        <w:rPr>
          <w:rFonts w:asciiTheme="majorHAnsi" w:hAnsiTheme="majorHAnsi"/>
          <w:noProof/>
          <w:szCs w:val="22"/>
          <w:lang w:val="es-ES"/>
        </w:rPr>
        <w:t>. Valdivia, Chile: WWF Chile and Red de Productos Forestales No Madereros de Chile.</w:t>
      </w:r>
    </w:p>
    <w:p w14:paraId="21723BA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Tape, K., Sturm, M., &amp; Racine, C. (2006). The evidence for shrub expansion in Northern Alaska and the Pan-Arctic. </w:t>
      </w:r>
      <w:r w:rsidRPr="003338D7">
        <w:rPr>
          <w:rFonts w:asciiTheme="majorHAnsi" w:hAnsiTheme="majorHAnsi"/>
          <w:i/>
          <w:iCs/>
          <w:noProof/>
          <w:szCs w:val="22"/>
        </w:rPr>
        <w:t>Global Change Biology</w:t>
      </w:r>
      <w:r w:rsidRPr="003338D7">
        <w:rPr>
          <w:rFonts w:asciiTheme="majorHAnsi" w:hAnsiTheme="majorHAnsi"/>
          <w:noProof/>
          <w:szCs w:val="22"/>
        </w:rPr>
        <w:t xml:space="preserve">, </w:t>
      </w:r>
      <w:r w:rsidRPr="003338D7">
        <w:rPr>
          <w:rFonts w:asciiTheme="majorHAnsi" w:hAnsiTheme="majorHAnsi"/>
          <w:i/>
          <w:iCs/>
          <w:noProof/>
          <w:szCs w:val="22"/>
        </w:rPr>
        <w:t>12</w:t>
      </w:r>
      <w:r w:rsidRPr="003338D7">
        <w:rPr>
          <w:rFonts w:asciiTheme="majorHAnsi" w:hAnsiTheme="majorHAnsi"/>
          <w:noProof/>
          <w:szCs w:val="22"/>
        </w:rPr>
        <w:t xml:space="preserve">(4), 686–702. </w:t>
      </w:r>
      <w:hyperlink r:id="rId853" w:history="1">
        <w:r w:rsidRPr="003338D7">
          <w:rPr>
            <w:rStyle w:val="Hyperlink"/>
            <w:rFonts w:asciiTheme="majorHAnsi" w:hAnsiTheme="majorHAnsi"/>
            <w:noProof/>
            <w:szCs w:val="22"/>
          </w:rPr>
          <w:t>http://doi.org/10.1111/j.1365-2486.2006.01128.x</w:t>
        </w:r>
      </w:hyperlink>
    </w:p>
    <w:p w14:paraId="3667392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Tavares, R., &amp; Lopez, D. (2009). Fishery production trends of elasmobranchs from Venezuela: with emphasis on sharks. </w:t>
      </w:r>
      <w:r w:rsidRPr="003338D7">
        <w:rPr>
          <w:rFonts w:asciiTheme="majorHAnsi" w:hAnsiTheme="majorHAnsi"/>
          <w:i/>
          <w:iCs/>
          <w:noProof/>
          <w:szCs w:val="22"/>
        </w:rPr>
        <w:t>Proceedings of the 62nd Gulf and Caribbean Fisheries Institute</w:t>
      </w:r>
      <w:r w:rsidRPr="003338D7">
        <w:rPr>
          <w:rFonts w:asciiTheme="majorHAnsi" w:hAnsiTheme="majorHAnsi"/>
          <w:noProof/>
          <w:szCs w:val="22"/>
        </w:rPr>
        <w:t xml:space="preserve">, </w:t>
      </w:r>
      <w:r w:rsidRPr="003338D7">
        <w:rPr>
          <w:rFonts w:asciiTheme="majorHAnsi" w:hAnsiTheme="majorHAnsi"/>
          <w:i/>
          <w:iCs/>
          <w:noProof/>
          <w:szCs w:val="22"/>
        </w:rPr>
        <w:t>62</w:t>
      </w:r>
      <w:r w:rsidRPr="003338D7">
        <w:rPr>
          <w:rFonts w:asciiTheme="majorHAnsi" w:hAnsiTheme="majorHAnsi"/>
          <w:noProof/>
          <w:szCs w:val="22"/>
        </w:rPr>
        <w:t>, 178–183.</w:t>
      </w:r>
    </w:p>
    <w:p w14:paraId="3109667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Taylor, B. L., Rojas-Bracho, L., Moore, J., Jaramillo-Legorreta, A., Ver Hoef, J. M., Cardenas-Hinojosa, G., Nieto-Garcia, E., Barlow, J., Gerrodette, T., Tregenza, N., Thomas, L., &amp; Hammond, P. S. (2017). Extinction is imminent for Mexico’s endemic porpoise unless fishery bycatch is eliminated. </w:t>
      </w:r>
      <w:r w:rsidRPr="003338D7">
        <w:rPr>
          <w:rFonts w:asciiTheme="majorHAnsi" w:hAnsiTheme="majorHAnsi"/>
          <w:i/>
          <w:iCs/>
          <w:noProof/>
          <w:szCs w:val="22"/>
          <w:lang w:val="es-ES"/>
        </w:rPr>
        <w:t>Conservation Letters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w:t>
      </w:r>
      <w:r w:rsidRPr="003338D7">
        <w:rPr>
          <w:rFonts w:asciiTheme="majorHAnsi" w:hAnsiTheme="majorHAnsi"/>
          <w:noProof/>
          <w:szCs w:val="22"/>
          <w:lang w:val="es-ES"/>
        </w:rPr>
        <w:t xml:space="preserve">(5), 588–595. </w:t>
      </w:r>
      <w:hyperlink r:id="rId854" w:history="1">
        <w:r w:rsidRPr="003338D7">
          <w:rPr>
            <w:rStyle w:val="Hyperlink"/>
            <w:rFonts w:asciiTheme="majorHAnsi" w:hAnsiTheme="majorHAnsi"/>
            <w:noProof/>
            <w:szCs w:val="22"/>
            <w:lang w:val="es-ES"/>
          </w:rPr>
          <w:t>https://doi.org/10.1111/conl.12331</w:t>
        </w:r>
      </w:hyperlink>
    </w:p>
    <w:p w14:paraId="50ABB08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Taylor, K. T., Maxwell, B. D., Pauchard, A., Nuñez, M. A., &amp; Rew., L. J. (2016). Native versus non-native invasions: similarities and differences in the biodiversity impacts of </w:t>
      </w:r>
      <w:r w:rsidRPr="003338D7">
        <w:rPr>
          <w:rFonts w:asciiTheme="majorHAnsi" w:hAnsiTheme="majorHAnsi"/>
          <w:i/>
          <w:noProof/>
          <w:szCs w:val="22"/>
        </w:rPr>
        <w:t>Pinus contorta</w:t>
      </w:r>
      <w:r w:rsidRPr="003338D7">
        <w:rPr>
          <w:rFonts w:asciiTheme="majorHAnsi" w:hAnsiTheme="majorHAnsi"/>
          <w:noProof/>
          <w:szCs w:val="22"/>
        </w:rPr>
        <w:t xml:space="preserve"> in introduced and native ranges. </w:t>
      </w:r>
      <w:r w:rsidRPr="003338D7">
        <w:rPr>
          <w:rFonts w:asciiTheme="majorHAnsi" w:hAnsiTheme="majorHAnsi"/>
          <w:i/>
          <w:iCs/>
          <w:noProof/>
          <w:szCs w:val="22"/>
        </w:rPr>
        <w:t>Diversity and Distributions</w:t>
      </w:r>
      <w:r w:rsidRPr="003338D7">
        <w:rPr>
          <w:rFonts w:asciiTheme="majorHAnsi" w:hAnsiTheme="majorHAnsi"/>
          <w:noProof/>
          <w:szCs w:val="22"/>
        </w:rPr>
        <w:t xml:space="preserve">, </w:t>
      </w:r>
      <w:r w:rsidRPr="003338D7">
        <w:rPr>
          <w:rFonts w:asciiTheme="majorHAnsi" w:hAnsiTheme="majorHAnsi"/>
          <w:i/>
          <w:iCs/>
          <w:noProof/>
          <w:szCs w:val="22"/>
        </w:rPr>
        <w:t>22</w:t>
      </w:r>
      <w:r w:rsidRPr="003338D7">
        <w:rPr>
          <w:rFonts w:asciiTheme="majorHAnsi" w:hAnsiTheme="majorHAnsi"/>
          <w:noProof/>
          <w:szCs w:val="22"/>
        </w:rPr>
        <w:t xml:space="preserve">(5), 578–588. </w:t>
      </w:r>
      <w:hyperlink r:id="rId855" w:history="1">
        <w:r w:rsidRPr="003338D7">
          <w:rPr>
            <w:rStyle w:val="Hyperlink"/>
            <w:rFonts w:asciiTheme="majorHAnsi" w:hAnsiTheme="majorHAnsi"/>
            <w:noProof/>
            <w:szCs w:val="22"/>
          </w:rPr>
          <w:t>http://doi.org/10.1111/ddi.12419</w:t>
        </w:r>
      </w:hyperlink>
    </w:p>
    <w:p w14:paraId="659FFCB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Tecco, P. A., Gurvich, D. E., Díaz, S., Pérez-Harguindeguy, N., &amp; Cabido, M. (2006). Positive interaction between invasive plants: the influence of Pyracantha angustifolia on the recruitment of native and exotic woody species. </w:t>
      </w:r>
      <w:r w:rsidRPr="003338D7">
        <w:rPr>
          <w:rFonts w:asciiTheme="majorHAnsi" w:hAnsiTheme="majorHAnsi"/>
          <w:i/>
          <w:iCs/>
          <w:noProof/>
          <w:szCs w:val="22"/>
        </w:rPr>
        <w:t>Austral Ecology</w:t>
      </w:r>
      <w:r w:rsidRPr="003338D7">
        <w:rPr>
          <w:rFonts w:asciiTheme="majorHAnsi" w:hAnsiTheme="majorHAnsi"/>
          <w:noProof/>
          <w:szCs w:val="22"/>
        </w:rPr>
        <w:t xml:space="preserve">, </w:t>
      </w:r>
      <w:r w:rsidRPr="003338D7">
        <w:rPr>
          <w:rFonts w:asciiTheme="majorHAnsi" w:hAnsiTheme="majorHAnsi"/>
          <w:i/>
          <w:iCs/>
          <w:noProof/>
          <w:szCs w:val="22"/>
        </w:rPr>
        <w:t>31</w:t>
      </w:r>
      <w:r w:rsidRPr="003338D7">
        <w:rPr>
          <w:rFonts w:asciiTheme="majorHAnsi" w:hAnsiTheme="majorHAnsi"/>
          <w:noProof/>
          <w:szCs w:val="22"/>
        </w:rPr>
        <w:t xml:space="preserve">(3), 293–300. </w:t>
      </w:r>
      <w:hyperlink r:id="rId856" w:history="1">
        <w:r w:rsidRPr="003338D7">
          <w:rPr>
            <w:rStyle w:val="Hyperlink"/>
            <w:rFonts w:asciiTheme="majorHAnsi" w:hAnsiTheme="majorHAnsi"/>
            <w:noProof/>
            <w:szCs w:val="22"/>
          </w:rPr>
          <w:t>http://doi.org/10.1111/j.1442-9993.2006.01557.x</w:t>
        </w:r>
      </w:hyperlink>
    </w:p>
    <w:p w14:paraId="45AED1D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Tedersoo, L., Bahram, M., Põlme, S., Kõljalg, U., Yorou, N. S., Wijesundera, R., Ruiz, L. V., Vasco-Palacios, A. M., Thu, P. Q., Suija, A., Smith, M. E., Sharp, C., Saluveer, E., Saitta, A., Rosas, M., Riit, T., Ratkowsky, D., Pritsch, K., Poldmaa, K., Piepenbring, M., Phosri, C., Peterson, M., Parts, K., Partel, K., Otsing, E., Nouhra, E., Njouonkou, A. L., Nilsson, R. H., Morgado, L. N., Mayor, J., May, T. W., Majuakim, L., Lodge, D. J., Lee, S. S., Larsson, K.-H., Kohout, P., Hosaka, K., Hiiesalu, I., Henkel, T. W., Harend, H., Guo, L. D., Greslebin, A., Grelet, G., Geml, J., Gates, G., Dunstan, W., Dunk, C., Drenkhan, R., Dearnaley, J., De Kesel, A., Dang, T., Chen, X., Buegger, F., Brearley, F. Q., Bonito, G., Anslan, S., Abell, S., &amp; Abarenkov, K. (2014). Global diversity and geography of soil fungi.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346</w:t>
      </w:r>
      <w:r w:rsidRPr="003338D7">
        <w:rPr>
          <w:rFonts w:asciiTheme="majorHAnsi" w:hAnsiTheme="majorHAnsi"/>
          <w:noProof/>
          <w:szCs w:val="22"/>
          <w:lang w:val="es-ES"/>
        </w:rPr>
        <w:t>(6213), 1256688.</w:t>
      </w:r>
      <w:hyperlink r:id="rId857" w:history="1">
        <w:r w:rsidRPr="003338D7">
          <w:rPr>
            <w:rStyle w:val="Hyperlink"/>
            <w:rFonts w:asciiTheme="majorHAnsi" w:hAnsiTheme="majorHAnsi"/>
            <w:noProof/>
            <w:szCs w:val="22"/>
            <w:lang w:val="es-ES"/>
          </w:rPr>
          <w:t>https://doi.org/10.1126/science.1256688</w:t>
        </w:r>
      </w:hyperlink>
    </w:p>
    <w:p w14:paraId="5EB6263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pt-BR"/>
        </w:rPr>
      </w:pPr>
      <w:r w:rsidRPr="003338D7">
        <w:rPr>
          <w:rFonts w:asciiTheme="majorHAnsi" w:hAnsiTheme="majorHAnsi"/>
          <w:noProof/>
          <w:szCs w:val="22"/>
          <w:lang w:val="pt-BR"/>
        </w:rPr>
        <w:t xml:space="preserve">Teixeira, A. M. G., Soares-Filho, B. S., Freitas, S. R., &amp; Metzger, J. P. (2009). </w:t>
      </w:r>
      <w:r w:rsidRPr="003338D7">
        <w:rPr>
          <w:rFonts w:asciiTheme="majorHAnsi" w:hAnsiTheme="majorHAnsi"/>
          <w:noProof/>
          <w:szCs w:val="22"/>
        </w:rPr>
        <w:t xml:space="preserve">Modeling landscape dynamics in an Atlantic Rainforest region: implications for conservation. </w:t>
      </w:r>
      <w:r w:rsidRPr="003338D7">
        <w:rPr>
          <w:rFonts w:asciiTheme="majorHAnsi" w:hAnsiTheme="majorHAnsi"/>
          <w:i/>
          <w:iCs/>
          <w:noProof/>
          <w:szCs w:val="22"/>
          <w:lang w:val="pt-BR"/>
        </w:rPr>
        <w:t>Forest Ecology and Management</w:t>
      </w:r>
      <w:r w:rsidRPr="003338D7">
        <w:rPr>
          <w:rFonts w:asciiTheme="majorHAnsi" w:hAnsiTheme="majorHAnsi"/>
          <w:noProof/>
          <w:szCs w:val="22"/>
          <w:lang w:val="pt-BR"/>
        </w:rPr>
        <w:t xml:space="preserve">, </w:t>
      </w:r>
      <w:r w:rsidRPr="003338D7">
        <w:rPr>
          <w:rFonts w:asciiTheme="majorHAnsi" w:hAnsiTheme="majorHAnsi"/>
          <w:i/>
          <w:iCs/>
          <w:noProof/>
          <w:szCs w:val="22"/>
          <w:lang w:val="pt-BR"/>
        </w:rPr>
        <w:t>257</w:t>
      </w:r>
      <w:r w:rsidRPr="003338D7">
        <w:rPr>
          <w:rFonts w:asciiTheme="majorHAnsi" w:hAnsiTheme="majorHAnsi"/>
          <w:noProof/>
          <w:szCs w:val="22"/>
          <w:lang w:val="pt-BR"/>
        </w:rPr>
        <w:t xml:space="preserve">(4), 1219–1230. </w:t>
      </w:r>
      <w:hyperlink r:id="rId858" w:history="1">
        <w:r w:rsidRPr="003338D7">
          <w:rPr>
            <w:rStyle w:val="Hyperlink"/>
            <w:rFonts w:asciiTheme="majorHAnsi" w:hAnsiTheme="majorHAnsi"/>
            <w:noProof/>
            <w:szCs w:val="22"/>
            <w:lang w:val="pt-BR"/>
          </w:rPr>
          <w:t>http://doi.org/10.1016/j.foreco.2008.10.011</w:t>
        </w:r>
      </w:hyperlink>
    </w:p>
    <w:p w14:paraId="0CE5BDE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Tejedor-Garavito, N., Álvarez Dávila, E., Arango Caro, S., Araujo Murakami, A., Blundo, C., Boza Espinoza, T. E., La Torre Cuadros, M. A., Gaviria, J., Gutiérrez, N., Jørgensen, P. M., León, B., López Camacho, R., Malizia, L., Timaná de la Flor, M., Ulloa Ulloa, C., Vacas Cruz, O., &amp; Newton, A. C. (2012). Evaluación del estado de conservación de los bosques montanos en los Andes tropicales. </w:t>
      </w:r>
      <w:r w:rsidRPr="003338D7">
        <w:rPr>
          <w:rFonts w:asciiTheme="majorHAnsi" w:hAnsiTheme="majorHAnsi"/>
          <w:i/>
          <w:iCs/>
          <w:noProof/>
          <w:szCs w:val="22"/>
          <w:lang w:val="es-ES"/>
        </w:rPr>
        <w:t>Ecosistemas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21</w:t>
      </w:r>
      <w:r w:rsidRPr="003338D7">
        <w:rPr>
          <w:rFonts w:asciiTheme="majorHAnsi" w:hAnsiTheme="majorHAnsi"/>
          <w:noProof/>
          <w:szCs w:val="22"/>
          <w:lang w:val="es-ES"/>
        </w:rPr>
        <w:t>(1–2), 148–166.</w:t>
      </w:r>
    </w:p>
    <w:p w14:paraId="64B385F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Tejedor Garavito, N., Álvarez Dávila, E., Arango Caro, S., Araujo Murakami, A., Baldeón, A., Beltrán, H., Blundo, C., Boza Espinoza, T. E., Fuentes Claros, A., Gaviria, J., Gutiérrez, N., Khela, S., León, B., La Torre Cuadros, M. A., López Camacho, R., Malizia, L., Millán, B., Moraes, R. M., Newton, A., Pacheco, S., Reynel, C., Ulloa Ulloa, C., &amp; Vacas Cruz, O. (2014). </w:t>
      </w:r>
      <w:r w:rsidRPr="003338D7">
        <w:rPr>
          <w:rFonts w:asciiTheme="majorHAnsi" w:hAnsiTheme="majorHAnsi"/>
          <w:i/>
          <w:iCs/>
          <w:noProof/>
          <w:szCs w:val="22"/>
          <w:lang w:val="es-ES"/>
        </w:rPr>
        <w:t>A Regional Red List of Montane Tree Species of the Tropical Andes: Trees at the top of the world</w:t>
      </w:r>
      <w:r w:rsidRPr="003338D7">
        <w:rPr>
          <w:rFonts w:asciiTheme="majorHAnsi" w:hAnsiTheme="majorHAnsi"/>
          <w:noProof/>
          <w:szCs w:val="22"/>
          <w:lang w:val="es-ES"/>
        </w:rPr>
        <w:t>. Richmond, UK: Botanic Gardens Conservation International.</w:t>
      </w:r>
    </w:p>
    <w:p w14:paraId="5627F56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Tejedor Garavito, N., Newton, A. C., Golicher, D., &amp; Oldfield, S. (2015). The relative impact of climate change on the extinction risk of tree species in the montane tropical Andes.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w:t>
      </w:r>
      <w:r w:rsidRPr="003338D7">
        <w:rPr>
          <w:rFonts w:asciiTheme="majorHAnsi" w:hAnsiTheme="majorHAnsi"/>
          <w:noProof/>
          <w:szCs w:val="22"/>
          <w:lang w:val="es-ES"/>
        </w:rPr>
        <w:t xml:space="preserve">(7), e0131388. </w:t>
      </w:r>
      <w:hyperlink r:id="rId859" w:history="1">
        <w:r w:rsidRPr="003338D7">
          <w:rPr>
            <w:rStyle w:val="Hyperlink"/>
            <w:rFonts w:asciiTheme="majorHAnsi" w:hAnsiTheme="majorHAnsi"/>
            <w:noProof/>
            <w:szCs w:val="22"/>
            <w:lang w:val="es-ES"/>
          </w:rPr>
          <w:t>http://doi.org/10.1371/journal.pone.0131388</w:t>
        </w:r>
      </w:hyperlink>
    </w:p>
    <w:p w14:paraId="55FF517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lang w:val="es-ES"/>
        </w:rPr>
        <w:t xml:space="preserve">Tellería, J. L., Venero, J. L., &amp; Santos, T. (2006). </w:t>
      </w:r>
      <w:r w:rsidRPr="003338D7">
        <w:rPr>
          <w:rFonts w:asciiTheme="majorHAnsi" w:hAnsiTheme="majorHAnsi"/>
          <w:noProof/>
          <w:szCs w:val="22"/>
        </w:rPr>
        <w:t xml:space="preserve">Conserving birdlife of Peruvian highland bogs: effects of patch-size and habitat quality on species richness and bird numbers. </w:t>
      </w:r>
      <w:r w:rsidRPr="003338D7">
        <w:rPr>
          <w:rFonts w:asciiTheme="majorHAnsi" w:hAnsiTheme="majorHAnsi"/>
          <w:i/>
          <w:iCs/>
          <w:noProof/>
          <w:szCs w:val="22"/>
          <w:lang w:val="de-DE"/>
        </w:rPr>
        <w:t>Ardeola</w:t>
      </w:r>
      <w:r w:rsidRPr="003338D7">
        <w:rPr>
          <w:rFonts w:asciiTheme="majorHAnsi" w:hAnsiTheme="majorHAnsi"/>
          <w:noProof/>
          <w:szCs w:val="22"/>
          <w:lang w:val="de-DE"/>
        </w:rPr>
        <w:t xml:space="preserve">, </w:t>
      </w:r>
      <w:r w:rsidRPr="003338D7">
        <w:rPr>
          <w:rFonts w:asciiTheme="majorHAnsi" w:hAnsiTheme="majorHAnsi"/>
          <w:i/>
          <w:iCs/>
          <w:noProof/>
          <w:szCs w:val="22"/>
          <w:lang w:val="de-DE"/>
        </w:rPr>
        <w:t>53</w:t>
      </w:r>
      <w:r w:rsidRPr="003338D7">
        <w:rPr>
          <w:rFonts w:asciiTheme="majorHAnsi" w:hAnsiTheme="majorHAnsi"/>
          <w:noProof/>
          <w:szCs w:val="22"/>
          <w:lang w:val="de-DE"/>
        </w:rPr>
        <w:t>(2), 271–283.</w:t>
      </w:r>
    </w:p>
    <w:p w14:paraId="3EE5B15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Temperton, V. M., Mwangi, P. N., Scherer-Lorenzen, M., Schmid, B., &amp; Buchmann, N. (2007). </w:t>
      </w:r>
      <w:r w:rsidRPr="003338D7">
        <w:rPr>
          <w:rFonts w:asciiTheme="majorHAnsi" w:hAnsiTheme="majorHAnsi"/>
          <w:noProof/>
          <w:szCs w:val="22"/>
        </w:rPr>
        <w:t xml:space="preserve">Positive interactions between nitrogen-fixing legumes and four different neighbouring species in a biodiversity experiment. </w:t>
      </w:r>
      <w:r w:rsidRPr="003338D7">
        <w:rPr>
          <w:rFonts w:asciiTheme="majorHAnsi" w:hAnsiTheme="majorHAnsi"/>
          <w:i/>
          <w:iCs/>
          <w:noProof/>
          <w:szCs w:val="22"/>
        </w:rPr>
        <w:t>Oecologia</w:t>
      </w:r>
      <w:r w:rsidRPr="003338D7">
        <w:rPr>
          <w:rFonts w:asciiTheme="majorHAnsi" w:hAnsiTheme="majorHAnsi"/>
          <w:noProof/>
          <w:szCs w:val="22"/>
        </w:rPr>
        <w:t xml:space="preserve">, </w:t>
      </w:r>
      <w:r w:rsidRPr="003338D7">
        <w:rPr>
          <w:rFonts w:asciiTheme="majorHAnsi" w:hAnsiTheme="majorHAnsi"/>
          <w:i/>
          <w:iCs/>
          <w:noProof/>
          <w:szCs w:val="22"/>
        </w:rPr>
        <w:t>151</w:t>
      </w:r>
      <w:r w:rsidRPr="003338D7">
        <w:rPr>
          <w:rFonts w:asciiTheme="majorHAnsi" w:hAnsiTheme="majorHAnsi"/>
          <w:noProof/>
          <w:szCs w:val="22"/>
        </w:rPr>
        <w:t xml:space="preserve">(2), 190–205. </w:t>
      </w:r>
      <w:hyperlink r:id="rId860" w:history="1">
        <w:r w:rsidRPr="003338D7">
          <w:rPr>
            <w:rStyle w:val="Hyperlink"/>
            <w:rFonts w:asciiTheme="majorHAnsi" w:hAnsiTheme="majorHAnsi"/>
            <w:noProof/>
            <w:szCs w:val="22"/>
          </w:rPr>
          <w:t>http://doi.org/10.1007/s00442-006-0576-z</w:t>
        </w:r>
      </w:hyperlink>
    </w:p>
    <w:p w14:paraId="0CD0AE9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ter Steege, H., Pitman, N. C. A., Killeen, T. J., Laurance, W. F., Peres, C. A., Guevara, J. E., Salomão, R. P., Castilho, C. V., Amaral, I. L., de Almeida Matos, F. D., Valderrama Sandoval, E. H., &amp; Valenzuela Gamarra, L. (2015). Estimating the global conservation status of more than 15,000 Amazonian tree species. </w:t>
      </w:r>
      <w:r w:rsidRPr="003338D7">
        <w:rPr>
          <w:rFonts w:asciiTheme="majorHAnsi" w:hAnsiTheme="majorHAnsi"/>
          <w:i/>
          <w:iCs/>
          <w:noProof/>
          <w:szCs w:val="22"/>
          <w:lang w:val="es-ES"/>
        </w:rPr>
        <w:t>Science Advances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w:t>
      </w:r>
      <w:r w:rsidRPr="003338D7">
        <w:rPr>
          <w:rFonts w:asciiTheme="majorHAnsi" w:hAnsiTheme="majorHAnsi"/>
          <w:noProof/>
          <w:szCs w:val="22"/>
          <w:lang w:val="es-ES"/>
        </w:rPr>
        <w:t xml:space="preserve">(10), e1500936. </w:t>
      </w:r>
      <w:hyperlink r:id="rId861" w:history="1">
        <w:r w:rsidRPr="003338D7">
          <w:rPr>
            <w:rStyle w:val="Hyperlink"/>
            <w:rFonts w:asciiTheme="majorHAnsi" w:hAnsiTheme="majorHAnsi"/>
            <w:noProof/>
            <w:szCs w:val="22"/>
            <w:lang w:val="es-ES"/>
          </w:rPr>
          <w:t>https://doi.org/10.1126/sciadv.1500936</w:t>
        </w:r>
      </w:hyperlink>
    </w:p>
    <w:p w14:paraId="3CC6D73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ter Steege, H., Pitman, N. C. A., Sabatier, D., Baraloto, C., Salomão, R. P., Guevara, J. E., Phillips, O. L., Castilho, C. V., Magnusson, W. E., Molino, J. F., Monteagudo, A., Nunez Vargas, P., Montero, J. C., Feldpausch, T. R., Coronado, E. N. H., Killeen, T. J., Mostacedo, B., Vasquez, R., Assis, R. L., Terborgh, J., Wittmann, F., Andrade, A., Laurance, W. F., Laurance, S. G. W., Marimon, B. S., Marimon, B. H., Guimaraes Vieira, I. C., Amaral, I. L., Brienen, R., Castellanos, H., Cardenas Lopez, D., Duivenvoorden, J. F., Mogollon, H. F., Matos, F. D. D. A., Davila, N., Garcia-Villacorta, R., Stevenson Diaz, P. R., Costa, F., Emilio, T., Levis, C., Schietti, J., Souza, P., Alonso, A., Dallmeier, F., Montoya, A. J. D., Fernandez Piedade, M. T., Araujo-Murakami, A., Arroyo, L., Gribel, R., Fine, P. V. A., Peres, C. A., Toledo, M., Aymard C., G. A., Baker, T. R., Ceron, C., Engel, J., Henkel, T. W., Maas, P., Petronelli, P., Stropp, J., Zartman, C. E., Daly, D., Neill, D., Silveira, M., Paredes, M. R., Chave, J., Lima Filho, D. D. A., Jorgensen, P. M., Fuentes, A., Schongart, J., Cornejo Valverde, F., Di Fiore, A., Jimenez, E. M., Penuela Mora, M. C., Phillips, J. F., Rivas, G., van Andel, T. R., von Hildebrand, P., Hoffman, B., Zent, E. L., Malhi, Y., Prieto, A., Rudas, A., Ruschell, A. R., Silva, N., Vos, V. A., Zent, S., Oliveira, A. A., Schutz, A. C., Gonzales, T., Trindade Nascimento, M., Ramirez-Angulo, H., Sierra, R., Tirado, M., Umana Medina, M. N., van der Heijden, G., Vela, C. I. A., Vilanova Torre, E., Vriesendorp, C., Wang, O., Young, K. R., Baider, C., Balslev, H., Ferreira, C., Mesones, I., Torres-Lezama, A., Urrego Giraldo, L. E., Zagt, R., Alexiades, M. N., Hernandez, L., Huamantupa-Chuquimaco, I., Milliken, W., Palacios Cuenca, W., Pauletto, D., Valderrama Sandoval, E., Valenzuela Gamarra, L., Dexter, K. G., Feeley, K., Lopez-Gonzalez, G., &amp; Silman, M. R. (2013). Hyperdominance in the Amazonian tree flora.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342</w:t>
      </w:r>
      <w:r w:rsidRPr="003338D7">
        <w:rPr>
          <w:rFonts w:asciiTheme="majorHAnsi" w:hAnsiTheme="majorHAnsi"/>
          <w:noProof/>
          <w:szCs w:val="22"/>
          <w:lang w:val="es-ES"/>
        </w:rPr>
        <w:t xml:space="preserve">(6156), 1243092. </w:t>
      </w:r>
      <w:hyperlink r:id="rId862" w:history="1">
        <w:r w:rsidRPr="003338D7">
          <w:rPr>
            <w:rStyle w:val="Hyperlink"/>
            <w:rFonts w:asciiTheme="majorHAnsi" w:hAnsiTheme="majorHAnsi"/>
            <w:noProof/>
            <w:szCs w:val="22"/>
            <w:lang w:val="es-ES"/>
          </w:rPr>
          <w:t>https://doi.org/10.1126/science.1243092</w:t>
        </w:r>
      </w:hyperlink>
    </w:p>
    <w:p w14:paraId="333AEBD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ter Steege, H., Vaessen, R. W., Cárdenas-López, D., Sabatier, D., Antonelli, A., de Oliveira, S. M., Pitman, N. C. A., Jørgensen, P. M., &amp; Salomão, R. P. (2016). The discovery of the Amazonian tree flora with an updated checklist of all known tree taxa. </w:t>
      </w:r>
      <w:r w:rsidRPr="003338D7">
        <w:rPr>
          <w:rFonts w:asciiTheme="majorHAnsi" w:hAnsiTheme="majorHAnsi"/>
          <w:i/>
          <w:iCs/>
          <w:noProof/>
          <w:szCs w:val="22"/>
          <w:lang w:val="es-ES"/>
        </w:rPr>
        <w:t>Scientific Reports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w:t>
      </w:r>
      <w:r w:rsidRPr="003338D7">
        <w:rPr>
          <w:rFonts w:asciiTheme="majorHAnsi" w:hAnsiTheme="majorHAnsi"/>
          <w:noProof/>
          <w:szCs w:val="22"/>
          <w:lang w:val="es-ES"/>
        </w:rPr>
        <w:t xml:space="preserve">(1), 29549. </w:t>
      </w:r>
      <w:hyperlink r:id="rId863" w:history="1">
        <w:r w:rsidRPr="003338D7">
          <w:rPr>
            <w:rStyle w:val="Hyperlink"/>
            <w:rFonts w:asciiTheme="majorHAnsi" w:hAnsiTheme="majorHAnsi"/>
            <w:noProof/>
            <w:szCs w:val="22"/>
            <w:lang w:val="es-ES"/>
          </w:rPr>
          <w:t>https://doi.org/10.1038/srep29549</w:t>
        </w:r>
      </w:hyperlink>
    </w:p>
    <w:p w14:paraId="76774E6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The Nature Conservancy. (2005). </w:t>
      </w:r>
      <w:r w:rsidRPr="003338D7">
        <w:rPr>
          <w:rFonts w:asciiTheme="majorHAnsi" w:hAnsiTheme="majorHAnsi"/>
          <w:i/>
          <w:iCs/>
          <w:noProof/>
          <w:szCs w:val="22"/>
        </w:rPr>
        <w:t>Assessing Linkages between Agriculture and Biodiversity in Central America: Historical Overview and Future Perspectives</w:t>
      </w:r>
      <w:r w:rsidRPr="003338D7">
        <w:rPr>
          <w:rFonts w:asciiTheme="majorHAnsi" w:hAnsiTheme="majorHAnsi"/>
          <w:noProof/>
          <w:szCs w:val="22"/>
        </w:rPr>
        <w:t>. San José, Costa Rica: Mesoamerican &amp; Caribbean Region, Conservation Science Program.</w:t>
      </w:r>
    </w:p>
    <w:p w14:paraId="5A08C74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The Nature Conservancy. (2009). TNC Terrestrial Ecoregions. Retrieved May 1, 2016, from </w:t>
      </w:r>
      <w:hyperlink r:id="rId864" w:history="1">
        <w:r w:rsidRPr="003338D7">
          <w:rPr>
            <w:rStyle w:val="Hyperlink"/>
            <w:rFonts w:asciiTheme="majorHAnsi" w:hAnsiTheme="majorHAnsi"/>
            <w:noProof/>
            <w:szCs w:val="22"/>
          </w:rPr>
          <w:t>http://maps.tnc.org/gis_data.html</w:t>
        </w:r>
      </w:hyperlink>
    </w:p>
    <w:p w14:paraId="1DD299D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Thébault, E., &amp; Loreau, M. (2003). Food-web constraints on biodiversity-ecosystem functioning relationships.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100</w:t>
      </w:r>
      <w:r w:rsidRPr="003338D7">
        <w:rPr>
          <w:rFonts w:asciiTheme="majorHAnsi" w:hAnsiTheme="majorHAnsi"/>
          <w:noProof/>
          <w:szCs w:val="22"/>
          <w:lang w:val="es-ES"/>
        </w:rPr>
        <w:t xml:space="preserve">(25), 14949–14954. </w:t>
      </w:r>
      <w:hyperlink r:id="rId865" w:history="1">
        <w:r w:rsidRPr="003338D7">
          <w:rPr>
            <w:rStyle w:val="Hyperlink"/>
            <w:rFonts w:asciiTheme="majorHAnsi" w:hAnsiTheme="majorHAnsi"/>
            <w:noProof/>
            <w:szCs w:val="22"/>
            <w:lang w:val="es-ES"/>
          </w:rPr>
          <w:t>http://doi.org/10.1073/pnas.2434847100</w:t>
        </w:r>
      </w:hyperlink>
    </w:p>
    <w:p w14:paraId="3364577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Thomas, E., Vandebroek, I., Goetghebeur, P., Sanca, C., Arrázola, S., &amp; Van Damme, P. (2008). </w:t>
      </w:r>
      <w:r w:rsidRPr="003338D7">
        <w:rPr>
          <w:rFonts w:asciiTheme="majorHAnsi" w:hAnsiTheme="majorHAnsi"/>
          <w:noProof/>
          <w:szCs w:val="22"/>
        </w:rPr>
        <w:t xml:space="preserve">The relationship between plant use and plant diversity in the Bolivian Andes, with special reference to medicinal plant use. </w:t>
      </w:r>
      <w:r w:rsidRPr="003338D7">
        <w:rPr>
          <w:rFonts w:asciiTheme="majorHAnsi" w:hAnsiTheme="majorHAnsi"/>
          <w:i/>
          <w:iCs/>
          <w:noProof/>
          <w:szCs w:val="22"/>
        </w:rPr>
        <w:t>Human Ecology</w:t>
      </w:r>
      <w:r w:rsidRPr="003338D7">
        <w:rPr>
          <w:rFonts w:asciiTheme="majorHAnsi" w:hAnsiTheme="majorHAnsi"/>
          <w:noProof/>
          <w:szCs w:val="22"/>
        </w:rPr>
        <w:t xml:space="preserve">, </w:t>
      </w:r>
      <w:r w:rsidRPr="003338D7">
        <w:rPr>
          <w:rFonts w:asciiTheme="majorHAnsi" w:hAnsiTheme="majorHAnsi"/>
          <w:i/>
          <w:iCs/>
          <w:noProof/>
          <w:szCs w:val="22"/>
        </w:rPr>
        <w:t>36</w:t>
      </w:r>
      <w:r w:rsidRPr="003338D7">
        <w:rPr>
          <w:rFonts w:asciiTheme="majorHAnsi" w:hAnsiTheme="majorHAnsi"/>
          <w:noProof/>
          <w:szCs w:val="22"/>
        </w:rPr>
        <w:t xml:space="preserve">(6), 861–879. </w:t>
      </w:r>
      <w:hyperlink r:id="rId866" w:history="1">
        <w:r w:rsidRPr="003338D7">
          <w:rPr>
            <w:rStyle w:val="Hyperlink"/>
            <w:rFonts w:asciiTheme="majorHAnsi" w:hAnsiTheme="majorHAnsi"/>
            <w:noProof/>
            <w:szCs w:val="22"/>
          </w:rPr>
          <w:t>http://doi.org/10.1007/s10745-008-9208-z</w:t>
        </w:r>
      </w:hyperlink>
    </w:p>
    <w:p w14:paraId="2B7B8CC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Thompson, D. Q., Stuckey, R. L., &amp; Thompson, E. B. (1987). </w:t>
      </w:r>
      <w:r w:rsidRPr="003338D7">
        <w:rPr>
          <w:rFonts w:asciiTheme="majorHAnsi" w:hAnsiTheme="majorHAnsi"/>
          <w:i/>
          <w:iCs/>
          <w:noProof/>
          <w:szCs w:val="22"/>
        </w:rPr>
        <w:t>Spread, Impact, and Control of Purple Loosestrife (Lythrum salicaria) in North American Wetlands</w:t>
      </w:r>
      <w:r w:rsidRPr="003338D7">
        <w:rPr>
          <w:rFonts w:asciiTheme="majorHAnsi" w:hAnsiTheme="majorHAnsi"/>
          <w:noProof/>
          <w:szCs w:val="22"/>
        </w:rPr>
        <w:t>. Washington, D.C.: U.S. Fish and Wildlife Service.</w:t>
      </w:r>
    </w:p>
    <w:p w14:paraId="3DD56CE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Thorne, T., &amp; Williams, E. S. (1988). Disease and endangered species: the black-footed ferret as a recent example.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2</w:t>
      </w:r>
      <w:r w:rsidRPr="003338D7">
        <w:rPr>
          <w:rFonts w:asciiTheme="majorHAnsi" w:hAnsiTheme="majorHAnsi"/>
          <w:noProof/>
          <w:szCs w:val="22"/>
        </w:rPr>
        <w:t xml:space="preserve">(1), 66–74. </w:t>
      </w:r>
      <w:hyperlink r:id="rId867" w:history="1">
        <w:r w:rsidRPr="003338D7">
          <w:rPr>
            <w:rStyle w:val="Hyperlink"/>
            <w:rFonts w:asciiTheme="majorHAnsi" w:hAnsiTheme="majorHAnsi"/>
            <w:noProof/>
            <w:szCs w:val="22"/>
          </w:rPr>
          <w:t>http://doi.org/10.1111/j.1523-1739.1988.tb00336.x</w:t>
        </w:r>
      </w:hyperlink>
    </w:p>
    <w:p w14:paraId="3FBF273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Thornton, P. K. (2010). Livestock production: recent trends, future prospects. </w:t>
      </w:r>
      <w:r w:rsidRPr="003338D7">
        <w:rPr>
          <w:rFonts w:asciiTheme="majorHAnsi" w:hAnsiTheme="majorHAnsi"/>
          <w:i/>
          <w:iCs/>
          <w:noProof/>
          <w:szCs w:val="22"/>
        </w:rPr>
        <w:t>Philosophical Transactions of the Royal Society of London B: Biological Sciences</w:t>
      </w:r>
      <w:r w:rsidRPr="003338D7">
        <w:rPr>
          <w:rFonts w:asciiTheme="majorHAnsi" w:hAnsiTheme="majorHAnsi"/>
          <w:noProof/>
          <w:szCs w:val="22"/>
        </w:rPr>
        <w:t xml:space="preserve">, </w:t>
      </w:r>
      <w:r w:rsidRPr="003338D7">
        <w:rPr>
          <w:rFonts w:asciiTheme="majorHAnsi" w:hAnsiTheme="majorHAnsi"/>
          <w:i/>
          <w:iCs/>
          <w:noProof/>
          <w:szCs w:val="22"/>
        </w:rPr>
        <w:t>365</w:t>
      </w:r>
      <w:r w:rsidRPr="003338D7">
        <w:rPr>
          <w:rFonts w:asciiTheme="majorHAnsi" w:hAnsiTheme="majorHAnsi"/>
          <w:noProof/>
          <w:szCs w:val="22"/>
        </w:rPr>
        <w:t xml:space="preserve">(1554), 2853–2867. </w:t>
      </w:r>
      <w:hyperlink r:id="rId868" w:history="1">
        <w:r w:rsidRPr="003338D7">
          <w:rPr>
            <w:rStyle w:val="Hyperlink"/>
            <w:rFonts w:asciiTheme="majorHAnsi" w:hAnsiTheme="majorHAnsi"/>
            <w:noProof/>
            <w:szCs w:val="22"/>
          </w:rPr>
          <w:t>http://doi.org/10.1098/rstb.2010.0134</w:t>
        </w:r>
      </w:hyperlink>
    </w:p>
    <w:p w14:paraId="234F5DC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Tilman, D., Lehman, C. L., &amp; Thomson, K. T. (1997). Plant diversity and ecosystem productivity: theoretical considerations. </w:t>
      </w:r>
      <w:r w:rsidRPr="003338D7">
        <w:rPr>
          <w:rFonts w:asciiTheme="majorHAnsi" w:hAnsiTheme="majorHAnsi"/>
          <w:i/>
          <w:iCs/>
          <w:noProof/>
          <w:szCs w:val="22"/>
        </w:rPr>
        <w:t>PNAS</w:t>
      </w:r>
      <w:r w:rsidRPr="003338D7">
        <w:rPr>
          <w:rFonts w:asciiTheme="majorHAnsi" w:hAnsiTheme="majorHAnsi"/>
          <w:noProof/>
          <w:szCs w:val="22"/>
        </w:rPr>
        <w:t xml:space="preserve">, </w:t>
      </w:r>
      <w:r w:rsidRPr="003338D7">
        <w:rPr>
          <w:rFonts w:asciiTheme="majorHAnsi" w:hAnsiTheme="majorHAnsi"/>
          <w:i/>
          <w:iCs/>
          <w:noProof/>
          <w:szCs w:val="22"/>
        </w:rPr>
        <w:t>94</w:t>
      </w:r>
      <w:r w:rsidRPr="003338D7">
        <w:rPr>
          <w:rFonts w:asciiTheme="majorHAnsi" w:hAnsiTheme="majorHAnsi"/>
          <w:noProof/>
          <w:szCs w:val="22"/>
        </w:rPr>
        <w:t>(5), 1857–1861.</w:t>
      </w:r>
    </w:p>
    <w:p w14:paraId="36CCEF5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rPr>
        <w:t xml:space="preserve">Tilman, D., Reich, P. B., &amp; Isbell, F. (2012). Biodiversity impacts ecosystem productivity as much as resources, disturbance, or herbivory. </w:t>
      </w:r>
      <w:r w:rsidRPr="003338D7">
        <w:rPr>
          <w:rFonts w:asciiTheme="majorHAnsi" w:hAnsiTheme="majorHAnsi"/>
          <w:i/>
          <w:iCs/>
          <w:noProof/>
          <w:szCs w:val="22"/>
          <w:lang w:val="de-DE"/>
        </w:rPr>
        <w:t>PNAS</w:t>
      </w:r>
      <w:r w:rsidRPr="003338D7">
        <w:rPr>
          <w:rFonts w:asciiTheme="majorHAnsi" w:hAnsiTheme="majorHAnsi"/>
          <w:noProof/>
          <w:szCs w:val="22"/>
          <w:lang w:val="de-DE"/>
        </w:rPr>
        <w:t xml:space="preserve">, </w:t>
      </w:r>
      <w:r w:rsidRPr="003338D7">
        <w:rPr>
          <w:rFonts w:asciiTheme="majorHAnsi" w:hAnsiTheme="majorHAnsi"/>
          <w:i/>
          <w:iCs/>
          <w:noProof/>
          <w:szCs w:val="22"/>
          <w:lang w:val="de-DE"/>
        </w:rPr>
        <w:t>109</w:t>
      </w:r>
      <w:r w:rsidRPr="003338D7">
        <w:rPr>
          <w:rFonts w:asciiTheme="majorHAnsi" w:hAnsiTheme="majorHAnsi"/>
          <w:noProof/>
          <w:szCs w:val="22"/>
          <w:lang w:val="de-DE"/>
        </w:rPr>
        <w:t xml:space="preserve">(26), 10394–10397. </w:t>
      </w:r>
      <w:hyperlink r:id="rId869" w:history="1">
        <w:r w:rsidRPr="003338D7">
          <w:rPr>
            <w:rStyle w:val="Hyperlink"/>
            <w:rFonts w:asciiTheme="majorHAnsi" w:hAnsiTheme="majorHAnsi"/>
            <w:noProof/>
            <w:szCs w:val="22"/>
            <w:lang w:val="de-DE"/>
          </w:rPr>
          <w:t>http://doi.org/10.1073/pnas.1208240109</w:t>
        </w:r>
      </w:hyperlink>
    </w:p>
    <w:p w14:paraId="6F0591F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de-DE"/>
        </w:rPr>
        <w:t xml:space="preserve">Tingley, M. W., Monahan, W. B., Beissinger, S. R., &amp; Moritz, C. (2009). </w:t>
      </w:r>
      <w:r w:rsidRPr="003338D7">
        <w:rPr>
          <w:rFonts w:asciiTheme="majorHAnsi" w:hAnsiTheme="majorHAnsi"/>
          <w:noProof/>
          <w:szCs w:val="22"/>
        </w:rPr>
        <w:t xml:space="preserve">Birds track their Grinnellian niche through a century of climate change. </w:t>
      </w:r>
      <w:r w:rsidRPr="003338D7">
        <w:rPr>
          <w:rFonts w:asciiTheme="majorHAnsi" w:hAnsiTheme="majorHAnsi"/>
          <w:i/>
          <w:iCs/>
          <w:noProof/>
          <w:szCs w:val="22"/>
          <w:lang w:val="es-ES"/>
        </w:rPr>
        <w:t>PNAS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106</w:t>
      </w:r>
      <w:r w:rsidRPr="003338D7">
        <w:rPr>
          <w:rFonts w:asciiTheme="majorHAnsi" w:hAnsiTheme="majorHAnsi"/>
          <w:noProof/>
          <w:szCs w:val="22"/>
          <w:lang w:val="es-ES"/>
        </w:rPr>
        <w:t>(Supplement 2), 19637–19643.</w:t>
      </w:r>
      <w:hyperlink r:id="rId870" w:history="1">
        <w:r w:rsidRPr="003338D7">
          <w:rPr>
            <w:rStyle w:val="Hyperlink"/>
            <w:rFonts w:asciiTheme="majorHAnsi" w:hAnsiTheme="majorHAnsi"/>
            <w:noProof/>
            <w:szCs w:val="22"/>
            <w:lang w:val="es-ES"/>
          </w:rPr>
          <w:t>http://doi.org/10.1073/pnas.0901562106</w:t>
        </w:r>
      </w:hyperlink>
    </w:p>
    <w:p w14:paraId="43BEDDD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Tirado, C., Cortés, A., Carretero, M. A., &amp; Bozinovic, F. (2016). </w:t>
      </w:r>
      <w:r w:rsidRPr="003338D7">
        <w:rPr>
          <w:rFonts w:asciiTheme="majorHAnsi" w:hAnsiTheme="majorHAnsi"/>
          <w:noProof/>
          <w:szCs w:val="22"/>
        </w:rPr>
        <w:t xml:space="preserve">Does the presence of livestock alter the trophic behaviour of sympatric populations of wild camelids </w:t>
      </w:r>
      <w:r w:rsidRPr="003338D7">
        <w:rPr>
          <w:rFonts w:asciiTheme="majorHAnsi" w:hAnsiTheme="majorHAnsi"/>
          <w:i/>
          <w:iCs/>
          <w:noProof/>
          <w:szCs w:val="22"/>
        </w:rPr>
        <w:t>Vicugna vicugna</w:t>
      </w:r>
      <w:r w:rsidRPr="003338D7">
        <w:rPr>
          <w:rFonts w:asciiTheme="majorHAnsi" w:hAnsiTheme="majorHAnsi"/>
          <w:noProof/>
          <w:szCs w:val="22"/>
        </w:rPr>
        <w:t xml:space="preserve"> Molina 1782 and </w:t>
      </w:r>
      <w:r w:rsidRPr="003338D7">
        <w:rPr>
          <w:rFonts w:asciiTheme="majorHAnsi" w:hAnsiTheme="majorHAnsi"/>
          <w:i/>
          <w:iCs/>
          <w:noProof/>
          <w:szCs w:val="22"/>
        </w:rPr>
        <w:t>Lama guanicoe</w:t>
      </w:r>
      <w:r w:rsidRPr="003338D7">
        <w:rPr>
          <w:rFonts w:asciiTheme="majorHAnsi" w:hAnsiTheme="majorHAnsi"/>
          <w:noProof/>
          <w:szCs w:val="22"/>
        </w:rPr>
        <w:t xml:space="preserve"> Müller 1976 (Artiodactyla: Camelidae)? Evidence from central Andes. </w:t>
      </w:r>
      <w:r w:rsidRPr="003338D7">
        <w:rPr>
          <w:rFonts w:asciiTheme="majorHAnsi" w:hAnsiTheme="majorHAnsi"/>
          <w:i/>
          <w:iCs/>
          <w:noProof/>
          <w:szCs w:val="22"/>
        </w:rPr>
        <w:t>Gayana</w:t>
      </w:r>
      <w:r w:rsidRPr="003338D7">
        <w:rPr>
          <w:rFonts w:asciiTheme="majorHAnsi" w:hAnsiTheme="majorHAnsi"/>
          <w:noProof/>
          <w:szCs w:val="22"/>
        </w:rPr>
        <w:t xml:space="preserve">, </w:t>
      </w:r>
      <w:r w:rsidRPr="003338D7">
        <w:rPr>
          <w:rFonts w:asciiTheme="majorHAnsi" w:hAnsiTheme="majorHAnsi"/>
          <w:i/>
          <w:iCs/>
          <w:noProof/>
          <w:szCs w:val="22"/>
        </w:rPr>
        <w:t>80</w:t>
      </w:r>
      <w:r w:rsidRPr="003338D7">
        <w:rPr>
          <w:rFonts w:asciiTheme="majorHAnsi" w:hAnsiTheme="majorHAnsi"/>
          <w:noProof/>
          <w:szCs w:val="22"/>
        </w:rPr>
        <w:t xml:space="preserve">(1), 29–39. </w:t>
      </w:r>
      <w:hyperlink r:id="rId871" w:history="1">
        <w:r w:rsidRPr="003338D7">
          <w:rPr>
            <w:rStyle w:val="Hyperlink"/>
            <w:rFonts w:asciiTheme="majorHAnsi" w:hAnsiTheme="majorHAnsi"/>
            <w:noProof/>
            <w:szCs w:val="22"/>
          </w:rPr>
          <w:t>http://doi.org/10.4067/S0717-65382016000100004</w:t>
        </w:r>
      </w:hyperlink>
    </w:p>
    <w:p w14:paraId="0C518B3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Tittensor, D. P., Mora, C., Jetz, W., Lotze, H. K., Ricard, D., Vanden Berghe, E., &amp; Worm, B. (2010). Global patterns and predictors of marine biodiversity across taxa.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466</w:t>
      </w:r>
      <w:r w:rsidRPr="003338D7">
        <w:rPr>
          <w:rFonts w:asciiTheme="majorHAnsi" w:hAnsiTheme="majorHAnsi"/>
          <w:noProof/>
          <w:szCs w:val="22"/>
        </w:rPr>
        <w:t>(7310), 1098–1101. http://doi.org/10.1038/nature09329</w:t>
      </w:r>
    </w:p>
    <w:p w14:paraId="2F55F44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Tomasella, J., Neill, C., Figueiredo, R., &amp; Nobre, A. D. (2009). </w:t>
      </w:r>
      <w:r w:rsidRPr="003338D7">
        <w:rPr>
          <w:rFonts w:asciiTheme="majorHAnsi" w:hAnsiTheme="majorHAnsi"/>
          <w:noProof/>
          <w:szCs w:val="22"/>
        </w:rPr>
        <w:t xml:space="preserve">Water and chemical budgets at the catchment scale including nutrient exports from intact forests and disturbed landscapes. In M. Keller, M. Bustamante, J. Gash, &amp; P. S. Dias (Eds.), </w:t>
      </w:r>
      <w:r w:rsidRPr="003338D7">
        <w:rPr>
          <w:rFonts w:asciiTheme="majorHAnsi" w:hAnsiTheme="majorHAnsi"/>
          <w:i/>
          <w:iCs/>
          <w:noProof/>
          <w:szCs w:val="22"/>
        </w:rPr>
        <w:t>Amazonia and Global Change</w:t>
      </w:r>
      <w:r w:rsidRPr="003338D7">
        <w:rPr>
          <w:rFonts w:asciiTheme="majorHAnsi" w:hAnsiTheme="majorHAnsi"/>
          <w:noProof/>
          <w:szCs w:val="22"/>
        </w:rPr>
        <w:t xml:space="preserve"> (pp. 505–524). Washington D.C., USA: American Geophysical Union.</w:t>
      </w:r>
    </w:p>
    <w:p w14:paraId="0F8A007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Toral-Granda, M. V., Causton, C. E., Jäger, H., Trueman, M., Izurieta, J. C., Araujo, E., Cruz, M., Zander, K. K., Izurieta, A., &amp; Garnett, S. T. (2017). Alien species pathways to the Galapagos Islands, Ecuador.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12</w:t>
      </w:r>
      <w:r w:rsidRPr="003338D7">
        <w:rPr>
          <w:rFonts w:asciiTheme="majorHAnsi" w:hAnsiTheme="majorHAnsi"/>
          <w:noProof/>
          <w:szCs w:val="22"/>
          <w:lang w:val="es-ES"/>
        </w:rPr>
        <w:t xml:space="preserve">(9), e0184379. </w:t>
      </w:r>
      <w:hyperlink r:id="rId872" w:history="1">
        <w:r w:rsidRPr="003338D7">
          <w:rPr>
            <w:rStyle w:val="Hyperlink"/>
            <w:rFonts w:asciiTheme="majorHAnsi" w:hAnsiTheme="majorHAnsi"/>
            <w:noProof/>
            <w:szCs w:val="22"/>
            <w:lang w:val="es-ES"/>
          </w:rPr>
          <w:t>https://doi.org/10.1371/journal.pone.0184379</w:t>
        </w:r>
      </w:hyperlink>
    </w:p>
    <w:p w14:paraId="3C40D4E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pt-BR"/>
        </w:rPr>
        <w:t xml:space="preserve">Tordoff, H. ., &amp; Redig, P. T. (2001). </w:t>
      </w:r>
      <w:r w:rsidRPr="003338D7">
        <w:rPr>
          <w:rFonts w:asciiTheme="majorHAnsi" w:hAnsiTheme="majorHAnsi"/>
          <w:noProof/>
          <w:szCs w:val="22"/>
        </w:rPr>
        <w:t xml:space="preserve">Role of genetic background in the success of reintroduced peregrine falcons. </w:t>
      </w:r>
      <w:r w:rsidRPr="003338D7">
        <w:rPr>
          <w:rFonts w:asciiTheme="majorHAnsi" w:hAnsiTheme="majorHAnsi"/>
          <w:i/>
          <w:iCs/>
          <w:noProof/>
          <w:szCs w:val="22"/>
          <w:lang w:val="es-ES"/>
        </w:rPr>
        <w:t>Conservation 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15</w:t>
      </w:r>
      <w:r w:rsidRPr="003338D7">
        <w:rPr>
          <w:rFonts w:asciiTheme="majorHAnsi" w:hAnsiTheme="majorHAnsi"/>
          <w:noProof/>
          <w:szCs w:val="22"/>
          <w:lang w:val="es-ES"/>
        </w:rPr>
        <w:t xml:space="preserve">(2), 528–532. </w:t>
      </w:r>
      <w:hyperlink r:id="rId873" w:history="1">
        <w:r w:rsidRPr="003338D7">
          <w:rPr>
            <w:rStyle w:val="Hyperlink"/>
            <w:rFonts w:asciiTheme="majorHAnsi" w:hAnsiTheme="majorHAnsi"/>
            <w:noProof/>
            <w:szCs w:val="22"/>
            <w:lang w:val="es-ES"/>
          </w:rPr>
          <w:t>http://doi.org/10.1046/j.1523-1739.2001.015002528.x</w:t>
        </w:r>
      </w:hyperlink>
    </w:p>
    <w:p w14:paraId="1E34B5E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Torres-Guevara, J., Parra-Rodinel, F., &amp; Casas, A. (2017). Panorama de los recursos genéticos en Perú. In A. Casas, J. Torres-Guevara, &amp; F. Parra-Rondinel (Eds.), </w:t>
      </w:r>
      <w:r w:rsidRPr="003338D7">
        <w:rPr>
          <w:rFonts w:asciiTheme="majorHAnsi" w:hAnsiTheme="majorHAnsi"/>
          <w:i/>
          <w:iCs/>
          <w:noProof/>
          <w:szCs w:val="22"/>
          <w:lang w:val="es-ES"/>
        </w:rPr>
        <w:t>Domesticación en el Continente Americano Vol. 2. Investigación para el Manejo Sustentable de Recursos Genéticos en el Nuevo Mundo</w:t>
      </w:r>
      <w:r w:rsidRPr="003338D7">
        <w:rPr>
          <w:rFonts w:asciiTheme="majorHAnsi" w:hAnsiTheme="majorHAnsi"/>
          <w:noProof/>
          <w:szCs w:val="22"/>
          <w:lang w:val="es-ES"/>
        </w:rPr>
        <w:t xml:space="preserve"> (pp. 103–133). México D.F., México and Lima, Perú: Universidad Nacional Autónoma de México/Universidad Nacional Agraria La Molina/CONACYT.</w:t>
      </w:r>
    </w:p>
    <w:p w14:paraId="67332EC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Tovar, C., Seijmonsbergen, A. C., &amp; Duivenvoorden, J. F. (2013). </w:t>
      </w:r>
      <w:r w:rsidRPr="003338D7">
        <w:rPr>
          <w:rFonts w:asciiTheme="majorHAnsi" w:hAnsiTheme="majorHAnsi"/>
          <w:noProof/>
          <w:szCs w:val="22"/>
        </w:rPr>
        <w:t xml:space="preserve">Monitoring land use and land cover change in mountain regions: An example in the Jalca grasslands of the Peruvian Andes. </w:t>
      </w:r>
      <w:r w:rsidRPr="003338D7">
        <w:rPr>
          <w:rFonts w:asciiTheme="majorHAnsi" w:hAnsiTheme="majorHAnsi"/>
          <w:i/>
          <w:iCs/>
          <w:noProof/>
          <w:szCs w:val="22"/>
        </w:rPr>
        <w:t>Landscape and Urban Planning</w:t>
      </w:r>
      <w:r w:rsidRPr="003338D7">
        <w:rPr>
          <w:rFonts w:asciiTheme="majorHAnsi" w:hAnsiTheme="majorHAnsi"/>
          <w:noProof/>
          <w:szCs w:val="22"/>
        </w:rPr>
        <w:t xml:space="preserve">, </w:t>
      </w:r>
      <w:r w:rsidRPr="003338D7">
        <w:rPr>
          <w:rFonts w:asciiTheme="majorHAnsi" w:hAnsiTheme="majorHAnsi"/>
          <w:i/>
          <w:iCs/>
          <w:noProof/>
          <w:szCs w:val="22"/>
        </w:rPr>
        <w:t>112</w:t>
      </w:r>
      <w:r w:rsidRPr="003338D7">
        <w:rPr>
          <w:rFonts w:asciiTheme="majorHAnsi" w:hAnsiTheme="majorHAnsi"/>
          <w:noProof/>
          <w:szCs w:val="22"/>
        </w:rPr>
        <w:t xml:space="preserve">, 40–49. </w:t>
      </w:r>
      <w:hyperlink r:id="rId874" w:history="1">
        <w:r w:rsidRPr="003338D7">
          <w:rPr>
            <w:rStyle w:val="Hyperlink"/>
            <w:rFonts w:asciiTheme="majorHAnsi" w:hAnsiTheme="majorHAnsi"/>
            <w:noProof/>
            <w:szCs w:val="22"/>
          </w:rPr>
          <w:t>http://doi.org/10.1016/J.LANDURBPLAN.2012.12.003</w:t>
        </w:r>
      </w:hyperlink>
    </w:p>
    <w:p w14:paraId="3196ED5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Trabucco, A., Zomer, R., Bossio, D., van Straaten, O., &amp; Verchot, L. (2008). Climate change mitigation through afforestation/reforestation: a global analysis of hydrologic impacts with four case studies. </w:t>
      </w:r>
      <w:r w:rsidRPr="003338D7">
        <w:rPr>
          <w:rFonts w:asciiTheme="majorHAnsi" w:hAnsiTheme="majorHAnsi"/>
          <w:i/>
          <w:iCs/>
          <w:noProof/>
          <w:szCs w:val="22"/>
        </w:rPr>
        <w:t>Agriculture, Ecosystems &amp; Environment</w:t>
      </w:r>
      <w:r w:rsidRPr="003338D7">
        <w:rPr>
          <w:rFonts w:asciiTheme="majorHAnsi" w:hAnsiTheme="majorHAnsi"/>
          <w:noProof/>
          <w:szCs w:val="22"/>
        </w:rPr>
        <w:t xml:space="preserve">, </w:t>
      </w:r>
      <w:r w:rsidRPr="003338D7">
        <w:rPr>
          <w:rFonts w:asciiTheme="majorHAnsi" w:hAnsiTheme="majorHAnsi"/>
          <w:i/>
          <w:iCs/>
          <w:noProof/>
          <w:szCs w:val="22"/>
        </w:rPr>
        <w:t>126</w:t>
      </w:r>
      <w:r w:rsidRPr="003338D7">
        <w:rPr>
          <w:rFonts w:asciiTheme="majorHAnsi" w:hAnsiTheme="majorHAnsi"/>
          <w:noProof/>
          <w:szCs w:val="22"/>
        </w:rPr>
        <w:t xml:space="preserve">(1–2), 81–97. </w:t>
      </w:r>
      <w:hyperlink r:id="rId875" w:history="1">
        <w:r w:rsidRPr="003338D7">
          <w:rPr>
            <w:rStyle w:val="Hyperlink"/>
            <w:rFonts w:asciiTheme="majorHAnsi" w:hAnsiTheme="majorHAnsi"/>
            <w:noProof/>
            <w:szCs w:val="22"/>
          </w:rPr>
          <w:t>http://doi.org/10.1016/j.agee.2008.01.015</w:t>
        </w:r>
      </w:hyperlink>
    </w:p>
    <w:p w14:paraId="061C53B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Tracewski, Ł., Butchart, S. H. M., Di Marco, M., Ficetola, G. F., Rondinini, C., Symes, A., Wheatley, H., Beresford, A. E., &amp; Buchanan, G. M. (2016). Toward quantification of the impact of 21st-century deforestation on the extinction risk of terrestrial vertebrates. </w:t>
      </w:r>
      <w:r w:rsidRPr="003338D7">
        <w:rPr>
          <w:rFonts w:asciiTheme="majorHAnsi" w:hAnsiTheme="majorHAnsi"/>
          <w:i/>
          <w:iCs/>
          <w:noProof/>
          <w:szCs w:val="22"/>
          <w:lang w:val="es-ES"/>
        </w:rPr>
        <w:t>Conservation 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30</w:t>
      </w:r>
      <w:r w:rsidRPr="003338D7">
        <w:rPr>
          <w:rFonts w:asciiTheme="majorHAnsi" w:hAnsiTheme="majorHAnsi"/>
          <w:noProof/>
          <w:szCs w:val="22"/>
          <w:lang w:val="es-ES"/>
        </w:rPr>
        <w:t xml:space="preserve">(5), 1070–1079. </w:t>
      </w:r>
      <w:hyperlink r:id="rId876" w:history="1">
        <w:r w:rsidRPr="003338D7">
          <w:rPr>
            <w:rStyle w:val="Hyperlink"/>
            <w:rFonts w:asciiTheme="majorHAnsi" w:hAnsiTheme="majorHAnsi"/>
            <w:noProof/>
            <w:szCs w:val="22"/>
            <w:lang w:val="es-ES"/>
          </w:rPr>
          <w:t>https://doi.org/10.1111/cobi.12715</w:t>
        </w:r>
      </w:hyperlink>
    </w:p>
    <w:p w14:paraId="07C53C6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Tree flora of the Neotropical Region. (n.d.). Retrieved from </w:t>
      </w:r>
      <w:hyperlink r:id="rId877" w:history="1">
        <w:r w:rsidRPr="003338D7">
          <w:rPr>
            <w:rStyle w:val="Hyperlink"/>
            <w:rFonts w:asciiTheme="majorHAnsi" w:hAnsiTheme="majorHAnsi"/>
            <w:noProof/>
            <w:szCs w:val="22"/>
          </w:rPr>
          <w:t>http://prof.icb.ufmg.br/treeatlan/treeatlanE_0_index.htm</w:t>
        </w:r>
      </w:hyperlink>
    </w:p>
    <w:p w14:paraId="34ABCF0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fr-CA"/>
        </w:rPr>
        <w:t xml:space="preserve">Tremblay, B., Lévesque, E., &amp; Boudreau, S. (2012). </w:t>
      </w:r>
      <w:r w:rsidRPr="003338D7">
        <w:rPr>
          <w:rFonts w:asciiTheme="majorHAnsi" w:hAnsiTheme="majorHAnsi"/>
          <w:noProof/>
          <w:szCs w:val="22"/>
        </w:rPr>
        <w:t xml:space="preserve">Recent expansion of erect shrubs in the Low Arctic: evidence from Eastern Nunavik. </w:t>
      </w:r>
      <w:r w:rsidRPr="003338D7">
        <w:rPr>
          <w:rFonts w:asciiTheme="majorHAnsi" w:hAnsiTheme="majorHAnsi"/>
          <w:i/>
          <w:iCs/>
          <w:noProof/>
          <w:szCs w:val="22"/>
        </w:rPr>
        <w:t>Environmental Research Letters</w:t>
      </w:r>
      <w:r w:rsidRPr="003338D7">
        <w:rPr>
          <w:rFonts w:asciiTheme="majorHAnsi" w:hAnsiTheme="majorHAnsi"/>
          <w:noProof/>
          <w:szCs w:val="22"/>
        </w:rPr>
        <w:t xml:space="preserve">, </w:t>
      </w:r>
      <w:r w:rsidRPr="003338D7">
        <w:rPr>
          <w:rFonts w:asciiTheme="majorHAnsi" w:hAnsiTheme="majorHAnsi"/>
          <w:i/>
          <w:iCs/>
          <w:noProof/>
          <w:szCs w:val="22"/>
        </w:rPr>
        <w:t>7</w:t>
      </w:r>
      <w:r w:rsidRPr="003338D7">
        <w:rPr>
          <w:rFonts w:asciiTheme="majorHAnsi" w:hAnsiTheme="majorHAnsi"/>
          <w:noProof/>
          <w:szCs w:val="22"/>
        </w:rPr>
        <w:t xml:space="preserve">(3), 35501. </w:t>
      </w:r>
      <w:hyperlink r:id="rId878" w:history="1">
        <w:r w:rsidRPr="003338D7">
          <w:rPr>
            <w:rStyle w:val="Hyperlink"/>
            <w:rFonts w:asciiTheme="majorHAnsi" w:hAnsiTheme="majorHAnsi"/>
            <w:noProof/>
            <w:szCs w:val="22"/>
          </w:rPr>
          <w:t>http://doi.org/10.1088/1748-9326/7/3/035501</w:t>
        </w:r>
      </w:hyperlink>
    </w:p>
    <w:p w14:paraId="3E31360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Trexler, J. C., &amp; Loftus, W. F. (2016). Invertebrates of the Florida Everglades. In D. Batzer &amp; D. Boix (Eds.), </w:t>
      </w:r>
      <w:r w:rsidRPr="003338D7">
        <w:rPr>
          <w:rFonts w:asciiTheme="majorHAnsi" w:hAnsiTheme="majorHAnsi"/>
          <w:i/>
          <w:iCs/>
          <w:noProof/>
          <w:szCs w:val="22"/>
        </w:rPr>
        <w:t>Invertebrates in Freshwater Wetlands</w:t>
      </w:r>
      <w:r w:rsidRPr="003338D7">
        <w:rPr>
          <w:rFonts w:asciiTheme="majorHAnsi" w:hAnsiTheme="majorHAnsi"/>
          <w:noProof/>
          <w:szCs w:val="22"/>
        </w:rPr>
        <w:t xml:space="preserve"> (pp. 321–356). Cham, Switzerlan: Springer.</w:t>
      </w:r>
    </w:p>
    <w:p w14:paraId="00F35EA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Tribuzio, C. A., Rodgveller, C., Echave, K. B., &amp; Hulson, P. J. (2015). Assessment of the shark stock complex in the Gulf of Alaska. In </w:t>
      </w:r>
      <w:r w:rsidRPr="003338D7">
        <w:rPr>
          <w:rFonts w:asciiTheme="majorHAnsi" w:hAnsiTheme="majorHAnsi"/>
          <w:i/>
          <w:iCs/>
          <w:noProof/>
          <w:szCs w:val="22"/>
        </w:rPr>
        <w:t>Stock Assessment and Fishery Evaluation Report for the Groundfish Resources of the Gulf of Alaska for 2011</w:t>
      </w:r>
      <w:r w:rsidRPr="003338D7">
        <w:rPr>
          <w:rFonts w:asciiTheme="majorHAnsi" w:hAnsiTheme="majorHAnsi"/>
          <w:noProof/>
          <w:szCs w:val="22"/>
        </w:rPr>
        <w:t xml:space="preserve"> (pp. 1569–1642). Anchorage, USA.</w:t>
      </w:r>
    </w:p>
    <w:p w14:paraId="1382DC8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Tuanmu, M. N., &amp; Jetz, W. (2014). A global 1-km consensus land-cover product for biodiversity and ecosystem modellingxxx. </w:t>
      </w:r>
      <w:r w:rsidRPr="003338D7">
        <w:rPr>
          <w:rFonts w:asciiTheme="majorHAnsi" w:hAnsiTheme="majorHAnsi"/>
          <w:i/>
          <w:iCs/>
          <w:noProof/>
          <w:szCs w:val="22"/>
        </w:rPr>
        <w:t>Global Ecology and Biogeography</w:t>
      </w:r>
      <w:r w:rsidRPr="003338D7">
        <w:rPr>
          <w:rFonts w:asciiTheme="majorHAnsi" w:hAnsiTheme="majorHAnsi"/>
          <w:noProof/>
          <w:szCs w:val="22"/>
        </w:rPr>
        <w:t xml:space="preserve">, </w:t>
      </w:r>
      <w:r w:rsidRPr="003338D7">
        <w:rPr>
          <w:rFonts w:asciiTheme="majorHAnsi" w:hAnsiTheme="majorHAnsi"/>
          <w:i/>
          <w:iCs/>
          <w:noProof/>
          <w:szCs w:val="22"/>
        </w:rPr>
        <w:t>23</w:t>
      </w:r>
      <w:r w:rsidRPr="003338D7">
        <w:rPr>
          <w:rFonts w:asciiTheme="majorHAnsi" w:hAnsiTheme="majorHAnsi"/>
          <w:noProof/>
          <w:szCs w:val="22"/>
        </w:rPr>
        <w:t xml:space="preserve">(9), 1031–1045. </w:t>
      </w:r>
      <w:hyperlink r:id="rId879" w:history="1">
        <w:r w:rsidRPr="003338D7">
          <w:rPr>
            <w:rStyle w:val="Hyperlink"/>
            <w:rFonts w:asciiTheme="majorHAnsi" w:hAnsiTheme="majorHAnsi"/>
            <w:noProof/>
            <w:szCs w:val="22"/>
          </w:rPr>
          <w:t>http://doi.org/10.1111/geb.12182</w:t>
        </w:r>
      </w:hyperlink>
    </w:p>
    <w:p w14:paraId="1E53C35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Tubelis, D. P., &amp; Cavalcanti, R. B. (2000). A comparison of bird communities in natural and disturbed non-wetland open habitats in the Cerrado’s central region, Brazil. </w:t>
      </w:r>
      <w:r w:rsidRPr="003338D7">
        <w:rPr>
          <w:rFonts w:asciiTheme="majorHAnsi" w:hAnsiTheme="majorHAnsi"/>
          <w:i/>
          <w:iCs/>
          <w:noProof/>
          <w:szCs w:val="22"/>
        </w:rPr>
        <w:t>Bird Conservation International</w:t>
      </w:r>
      <w:r w:rsidRPr="003338D7">
        <w:rPr>
          <w:rFonts w:asciiTheme="majorHAnsi" w:hAnsiTheme="majorHAnsi"/>
          <w:noProof/>
          <w:szCs w:val="22"/>
        </w:rPr>
        <w:t xml:space="preserve">, </w:t>
      </w:r>
      <w:r w:rsidRPr="003338D7">
        <w:rPr>
          <w:rFonts w:asciiTheme="majorHAnsi" w:hAnsiTheme="majorHAnsi"/>
          <w:i/>
          <w:iCs/>
          <w:noProof/>
          <w:szCs w:val="22"/>
        </w:rPr>
        <w:t>10</w:t>
      </w:r>
      <w:r w:rsidRPr="003338D7">
        <w:rPr>
          <w:rFonts w:asciiTheme="majorHAnsi" w:hAnsiTheme="majorHAnsi"/>
          <w:noProof/>
          <w:szCs w:val="22"/>
        </w:rPr>
        <w:t>(4), 331–350.</w:t>
      </w:r>
    </w:p>
    <w:p w14:paraId="0E790BA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Turnbull, L. A., Isbell, F., Purves, D. W., Loreau, M., &amp; Hector, A. (2016). Understanding the value of plant diversity for ecosystem functioning through niche theory. </w:t>
      </w:r>
      <w:r w:rsidRPr="003338D7">
        <w:rPr>
          <w:rFonts w:asciiTheme="majorHAnsi" w:hAnsiTheme="majorHAnsi"/>
          <w:i/>
          <w:iCs/>
          <w:noProof/>
          <w:szCs w:val="22"/>
          <w:lang w:val="es-ES"/>
        </w:rPr>
        <w:t>Proceedings of the Royal Society B: Biological Sciences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283</w:t>
      </w:r>
      <w:r w:rsidRPr="003338D7">
        <w:rPr>
          <w:rFonts w:asciiTheme="majorHAnsi" w:hAnsiTheme="majorHAnsi"/>
          <w:noProof/>
          <w:szCs w:val="22"/>
          <w:lang w:val="es-ES"/>
        </w:rPr>
        <w:t xml:space="preserve">(1844), 20160536. </w:t>
      </w:r>
      <w:hyperlink r:id="rId880" w:history="1">
        <w:r w:rsidRPr="003338D7">
          <w:rPr>
            <w:rStyle w:val="Hyperlink"/>
            <w:rFonts w:asciiTheme="majorHAnsi" w:hAnsiTheme="majorHAnsi"/>
            <w:noProof/>
            <w:szCs w:val="22"/>
            <w:lang w:val="es-ES"/>
          </w:rPr>
          <w:t>https://doi.org/10.1098/rspb.2016.0536</w:t>
        </w:r>
      </w:hyperlink>
    </w:p>
    <w:p w14:paraId="54C1B6B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Turner, R. E., Howes, B. L., Teal, J. M., Milan, C. S., Swenson, E. M., &amp; Goehringer-Tonerb, D. D. (2009). Salt marshes and eutrophication: an unsustainable outcome. </w:t>
      </w:r>
      <w:r w:rsidRPr="003338D7">
        <w:rPr>
          <w:rFonts w:asciiTheme="majorHAnsi" w:hAnsiTheme="majorHAnsi"/>
          <w:i/>
          <w:iCs/>
          <w:noProof/>
          <w:szCs w:val="22"/>
        </w:rPr>
        <w:t>Limnology and Oceanography</w:t>
      </w:r>
      <w:r w:rsidRPr="003338D7">
        <w:rPr>
          <w:rFonts w:asciiTheme="majorHAnsi" w:hAnsiTheme="majorHAnsi"/>
          <w:noProof/>
          <w:szCs w:val="22"/>
        </w:rPr>
        <w:t xml:space="preserve">, </w:t>
      </w:r>
      <w:r w:rsidRPr="003338D7">
        <w:rPr>
          <w:rFonts w:asciiTheme="majorHAnsi" w:hAnsiTheme="majorHAnsi"/>
          <w:i/>
          <w:iCs/>
          <w:noProof/>
          <w:szCs w:val="22"/>
        </w:rPr>
        <w:t>54</w:t>
      </w:r>
      <w:r w:rsidRPr="003338D7">
        <w:rPr>
          <w:rFonts w:asciiTheme="majorHAnsi" w:hAnsiTheme="majorHAnsi"/>
          <w:noProof/>
          <w:szCs w:val="22"/>
        </w:rPr>
        <w:t xml:space="preserve">(5), 1634–1642. </w:t>
      </w:r>
      <w:hyperlink r:id="rId881" w:history="1">
        <w:r w:rsidRPr="003338D7">
          <w:rPr>
            <w:rStyle w:val="Hyperlink"/>
            <w:rFonts w:asciiTheme="majorHAnsi" w:hAnsiTheme="majorHAnsi"/>
            <w:noProof/>
            <w:szCs w:val="22"/>
          </w:rPr>
          <w:t>http://doi.org/10.4319/lo.2009.54.5.1634</w:t>
        </w:r>
      </w:hyperlink>
    </w:p>
    <w:p w14:paraId="268C4C6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U.S. Forestry Service. (2015). </w:t>
      </w:r>
      <w:r w:rsidRPr="003338D7">
        <w:rPr>
          <w:rFonts w:asciiTheme="majorHAnsi" w:hAnsiTheme="majorHAnsi"/>
          <w:i/>
          <w:iCs/>
          <w:noProof/>
          <w:szCs w:val="22"/>
        </w:rPr>
        <w:t>National Report on Sustainable Forests</w:t>
      </w:r>
      <w:r w:rsidRPr="003338D7">
        <w:rPr>
          <w:rFonts w:asciiTheme="majorHAnsi" w:hAnsiTheme="majorHAnsi"/>
          <w:noProof/>
          <w:szCs w:val="22"/>
        </w:rPr>
        <w:t>. United States Department of Agriculture.</w:t>
      </w:r>
    </w:p>
    <w:p w14:paraId="6F5C2EE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Ulloa Ulloa, C., Acevedo-Rodríguez, P., Beck, S., Belgrano, M. J., Bernal, R., Berry, P. E., Brako, L., Celis, M., Davidse, G., Forzza, R. C., Gradstein, S. R., Hokche, O., León, B., León-Yánez, S., Magill, 1 R.E., Neill, D. A., Nee, M., Raven, P. H., Stimmel, S., Strong, M. T., Villaseñor, H. L., Zarucchi, J. L., Zuloaga, F. O., &amp; Jørgensen, P. M. (2017). An integrated assessment of the vascular plants of the Americas.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358</w:t>
      </w:r>
      <w:r w:rsidRPr="003338D7">
        <w:rPr>
          <w:rFonts w:asciiTheme="majorHAnsi" w:hAnsiTheme="majorHAnsi"/>
          <w:noProof/>
          <w:szCs w:val="22"/>
          <w:lang w:val="es-ES"/>
        </w:rPr>
        <w:t>, 1614–1617.</w:t>
      </w:r>
      <w:hyperlink r:id="rId882" w:history="1">
        <w:r w:rsidRPr="003338D7">
          <w:rPr>
            <w:rStyle w:val="Hyperlink"/>
            <w:rFonts w:asciiTheme="majorHAnsi" w:hAnsiTheme="majorHAnsi"/>
            <w:noProof/>
            <w:szCs w:val="22"/>
            <w:lang w:val="es-ES"/>
          </w:rPr>
          <w:t>https://doi.org/10.1126/science.aao0398</w:t>
        </w:r>
      </w:hyperlink>
    </w:p>
    <w:p w14:paraId="3E80878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UNEP-WCMC; IUCN. (2017). Protected Planet. Retrieved from </w:t>
      </w:r>
      <w:hyperlink r:id="rId883" w:history="1">
        <w:r w:rsidRPr="003338D7">
          <w:rPr>
            <w:rStyle w:val="Hyperlink"/>
            <w:rFonts w:asciiTheme="majorHAnsi" w:hAnsiTheme="majorHAnsi"/>
            <w:noProof/>
            <w:szCs w:val="22"/>
          </w:rPr>
          <w:t>https://www.protectedplanet.net/</w:t>
        </w:r>
      </w:hyperlink>
    </w:p>
    <w:p w14:paraId="63DBE24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UNESCO. (2002). Declaración Universal Sobre la Diversidad Cultural: Una Visión, una Plataforma Conceptual, un Semillero de Ideas, un Paradigma Nuevo. Johannesburgo, South Africa: Serie sobre la Diversidad Cultural. Documento preparado para la Cumbre Mundial sobre el Desarrollo Sostenible.</w:t>
      </w:r>
    </w:p>
    <w:p w14:paraId="05851D1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United Nations Development Programme. (2014). </w:t>
      </w:r>
      <w:r w:rsidRPr="003338D7">
        <w:rPr>
          <w:rFonts w:asciiTheme="majorHAnsi" w:hAnsiTheme="majorHAnsi"/>
          <w:i/>
          <w:iCs/>
          <w:noProof/>
          <w:szCs w:val="22"/>
        </w:rPr>
        <w:t>Human Development Report 2014. Sustaining Human Progress: Reducing Vulnerabilities and Building Resilience</w:t>
      </w:r>
      <w:r w:rsidRPr="003338D7">
        <w:rPr>
          <w:rFonts w:asciiTheme="majorHAnsi" w:hAnsiTheme="majorHAnsi"/>
          <w:noProof/>
          <w:szCs w:val="22"/>
        </w:rPr>
        <w:t>. New York, USA: United Nations Development Programme (UNDP).</w:t>
      </w:r>
    </w:p>
    <w:p w14:paraId="5EB96D3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Upham, N. S. (2017). Past and present of insular Caribbean mammals: understanding Holocene extinctions to inform modern biodiversity conservation. </w:t>
      </w:r>
      <w:r w:rsidRPr="003338D7">
        <w:rPr>
          <w:rFonts w:asciiTheme="majorHAnsi" w:hAnsiTheme="majorHAnsi"/>
          <w:i/>
          <w:iCs/>
          <w:noProof/>
          <w:szCs w:val="22"/>
        </w:rPr>
        <w:t>Journal of Mammalogy</w:t>
      </w:r>
      <w:r w:rsidRPr="003338D7">
        <w:rPr>
          <w:rFonts w:asciiTheme="majorHAnsi" w:hAnsiTheme="majorHAnsi"/>
          <w:noProof/>
          <w:szCs w:val="22"/>
        </w:rPr>
        <w:t xml:space="preserve">, </w:t>
      </w:r>
      <w:r w:rsidRPr="003338D7">
        <w:rPr>
          <w:rFonts w:asciiTheme="majorHAnsi" w:hAnsiTheme="majorHAnsi"/>
          <w:i/>
          <w:iCs/>
          <w:noProof/>
          <w:szCs w:val="22"/>
        </w:rPr>
        <w:t>98</w:t>
      </w:r>
      <w:r w:rsidRPr="003338D7">
        <w:rPr>
          <w:rFonts w:asciiTheme="majorHAnsi" w:hAnsiTheme="majorHAnsi"/>
          <w:noProof/>
          <w:szCs w:val="22"/>
        </w:rPr>
        <w:t xml:space="preserve">(4), 913–917. </w:t>
      </w:r>
      <w:hyperlink r:id="rId884" w:history="1">
        <w:r w:rsidRPr="003338D7">
          <w:rPr>
            <w:rStyle w:val="Hyperlink"/>
            <w:rFonts w:asciiTheme="majorHAnsi" w:hAnsiTheme="majorHAnsi"/>
            <w:noProof/>
            <w:szCs w:val="22"/>
          </w:rPr>
          <w:t>http://doi.org/10.1093/jmammal/gyx079</w:t>
        </w:r>
      </w:hyperlink>
    </w:p>
    <w:p w14:paraId="0A9EE45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Urban, M. C., Skelly, D. K., Burchsted, D., Price, W., &amp; Lowry, S. (2006). Stream communities across a rural-urban landscape gradient. </w:t>
      </w:r>
      <w:r w:rsidRPr="003338D7">
        <w:rPr>
          <w:rFonts w:asciiTheme="majorHAnsi" w:hAnsiTheme="majorHAnsi"/>
          <w:i/>
          <w:iCs/>
          <w:noProof/>
          <w:szCs w:val="22"/>
        </w:rPr>
        <w:t>Diversity and Distributions</w:t>
      </w:r>
      <w:r w:rsidRPr="003338D7">
        <w:rPr>
          <w:rFonts w:asciiTheme="majorHAnsi" w:hAnsiTheme="majorHAnsi"/>
          <w:noProof/>
          <w:szCs w:val="22"/>
        </w:rPr>
        <w:t xml:space="preserve">, </w:t>
      </w:r>
      <w:r w:rsidRPr="003338D7">
        <w:rPr>
          <w:rFonts w:asciiTheme="majorHAnsi" w:hAnsiTheme="majorHAnsi"/>
          <w:i/>
          <w:iCs/>
          <w:noProof/>
          <w:szCs w:val="22"/>
        </w:rPr>
        <w:t>12</w:t>
      </w:r>
      <w:r w:rsidRPr="003338D7">
        <w:rPr>
          <w:rFonts w:asciiTheme="majorHAnsi" w:hAnsiTheme="majorHAnsi"/>
          <w:noProof/>
          <w:szCs w:val="22"/>
        </w:rPr>
        <w:t xml:space="preserve">(4), 337–350. </w:t>
      </w:r>
      <w:hyperlink r:id="rId885" w:history="1">
        <w:r w:rsidRPr="003338D7">
          <w:rPr>
            <w:rStyle w:val="Hyperlink"/>
            <w:rFonts w:asciiTheme="majorHAnsi" w:hAnsiTheme="majorHAnsi"/>
            <w:noProof/>
            <w:szCs w:val="22"/>
          </w:rPr>
          <w:t>http://doi.org/10.1111/j.1366-9516.2005.00226.x</w:t>
        </w:r>
      </w:hyperlink>
    </w:p>
    <w:p w14:paraId="0CAABAE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pt-BR"/>
        </w:rPr>
        <w:t xml:space="preserve">Urbina, J. C., &amp; Benavides, J. C. (2015). </w:t>
      </w:r>
      <w:r w:rsidRPr="003338D7">
        <w:rPr>
          <w:rFonts w:asciiTheme="majorHAnsi" w:hAnsiTheme="majorHAnsi"/>
          <w:noProof/>
          <w:szCs w:val="22"/>
        </w:rPr>
        <w:t xml:space="preserve">Simulated small scale disturbances increase decomposition rates and facilitates invasive species encroachment in a high elevation tropical Andean peatland. </w:t>
      </w:r>
      <w:r w:rsidRPr="003338D7">
        <w:rPr>
          <w:rFonts w:asciiTheme="majorHAnsi" w:hAnsiTheme="majorHAnsi"/>
          <w:i/>
          <w:iCs/>
          <w:noProof/>
          <w:szCs w:val="22"/>
        </w:rPr>
        <w:t>Biotropica</w:t>
      </w:r>
      <w:r w:rsidRPr="003338D7">
        <w:rPr>
          <w:rFonts w:asciiTheme="majorHAnsi" w:hAnsiTheme="majorHAnsi"/>
          <w:noProof/>
          <w:szCs w:val="22"/>
        </w:rPr>
        <w:t xml:space="preserve">, </w:t>
      </w:r>
      <w:r w:rsidRPr="003338D7">
        <w:rPr>
          <w:rFonts w:asciiTheme="majorHAnsi" w:hAnsiTheme="majorHAnsi"/>
          <w:i/>
          <w:iCs/>
          <w:noProof/>
          <w:szCs w:val="22"/>
        </w:rPr>
        <w:t>47</w:t>
      </w:r>
      <w:r w:rsidRPr="003338D7">
        <w:rPr>
          <w:rFonts w:asciiTheme="majorHAnsi" w:hAnsiTheme="majorHAnsi"/>
          <w:noProof/>
          <w:szCs w:val="22"/>
        </w:rPr>
        <w:t xml:space="preserve">(2), 143–151. </w:t>
      </w:r>
      <w:hyperlink r:id="rId886" w:history="1">
        <w:r w:rsidRPr="003338D7">
          <w:rPr>
            <w:rStyle w:val="Hyperlink"/>
            <w:rFonts w:asciiTheme="majorHAnsi" w:hAnsiTheme="majorHAnsi"/>
            <w:noProof/>
            <w:szCs w:val="22"/>
          </w:rPr>
          <w:t>http://doi.org/10.1111/btp.12191</w:t>
        </w:r>
      </w:hyperlink>
    </w:p>
    <w:p w14:paraId="0CD09C2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USA quickfacts census. (2012). Retrieved June 16, 2013, from </w:t>
      </w:r>
      <w:hyperlink r:id="rId887" w:history="1">
        <w:r w:rsidRPr="003338D7">
          <w:rPr>
            <w:rStyle w:val="Hyperlink"/>
            <w:rFonts w:asciiTheme="majorHAnsi" w:hAnsiTheme="majorHAnsi"/>
            <w:noProof/>
            <w:szCs w:val="22"/>
          </w:rPr>
          <w:t>https://web.archive.org/web/20120304192040/http://quickfacts.census.gov:80/qfd/states/00000.html</w:t>
        </w:r>
      </w:hyperlink>
    </w:p>
    <w:p w14:paraId="3A02C65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US Fish and Wildlife Service. (2011). Submerged Aquatic Vegetation: Where Have All the Grasses Gone? Retrieved from </w:t>
      </w:r>
      <w:hyperlink r:id="rId888" w:history="1">
        <w:r w:rsidRPr="003338D7">
          <w:rPr>
            <w:rStyle w:val="Hyperlink"/>
            <w:rFonts w:asciiTheme="majorHAnsi" w:hAnsiTheme="majorHAnsi"/>
            <w:noProof/>
            <w:szCs w:val="22"/>
          </w:rPr>
          <w:t>http://www.fws.gov/chesapeakebay/cbsav.html</w:t>
        </w:r>
      </w:hyperlink>
    </w:p>
    <w:p w14:paraId="17804A2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US Forest Service. (2016). </w:t>
      </w:r>
      <w:r w:rsidRPr="003338D7">
        <w:rPr>
          <w:rFonts w:asciiTheme="majorHAnsi" w:hAnsiTheme="majorHAnsi"/>
          <w:i/>
          <w:iCs/>
          <w:noProof/>
          <w:szCs w:val="22"/>
        </w:rPr>
        <w:t>New Aerial Survey Identifies More Than 100 Million Dead Trees in California</w:t>
      </w:r>
      <w:r w:rsidRPr="003338D7">
        <w:rPr>
          <w:rFonts w:asciiTheme="majorHAnsi" w:hAnsiTheme="majorHAnsi"/>
          <w:noProof/>
          <w:szCs w:val="22"/>
        </w:rPr>
        <w:t xml:space="preserve">. Retrieved from </w:t>
      </w:r>
      <w:hyperlink r:id="rId889" w:history="1">
        <w:r w:rsidRPr="003338D7">
          <w:rPr>
            <w:rStyle w:val="Hyperlink"/>
            <w:rFonts w:asciiTheme="majorHAnsi" w:hAnsiTheme="majorHAnsi"/>
            <w:noProof/>
            <w:szCs w:val="22"/>
          </w:rPr>
          <w:t>https://www.fs.fed.us/news/releases/new-aerial-survey-identifies-more-100-million-dead-trees-california</w:t>
        </w:r>
      </w:hyperlink>
    </w:p>
    <w:p w14:paraId="2FA9A3B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USDA. (n.d.). Plant Database. Retrieved from </w:t>
      </w:r>
      <w:hyperlink r:id="rId890" w:history="1">
        <w:r w:rsidRPr="003338D7">
          <w:rPr>
            <w:rStyle w:val="Hyperlink"/>
            <w:rFonts w:asciiTheme="majorHAnsi" w:hAnsiTheme="majorHAnsi"/>
            <w:noProof/>
            <w:szCs w:val="22"/>
          </w:rPr>
          <w:t>http://plants.usda.gov</w:t>
        </w:r>
      </w:hyperlink>
    </w:p>
    <w:p w14:paraId="19FB873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USDA. (2007). </w:t>
      </w:r>
      <w:r w:rsidRPr="003338D7">
        <w:rPr>
          <w:rFonts w:asciiTheme="majorHAnsi" w:hAnsiTheme="majorHAnsi"/>
          <w:i/>
          <w:iCs/>
          <w:noProof/>
          <w:szCs w:val="22"/>
        </w:rPr>
        <w:t>Land Use Status and Trends 2007</w:t>
      </w:r>
      <w:r w:rsidRPr="003338D7">
        <w:rPr>
          <w:rFonts w:asciiTheme="majorHAnsi" w:hAnsiTheme="majorHAnsi"/>
          <w:noProof/>
          <w:szCs w:val="22"/>
        </w:rPr>
        <w:t xml:space="preserve">. Retrieved from </w:t>
      </w:r>
      <w:hyperlink r:id="rId891" w:history="1">
        <w:r w:rsidRPr="003338D7">
          <w:rPr>
            <w:rStyle w:val="Hyperlink"/>
            <w:rFonts w:asciiTheme="majorHAnsi" w:hAnsiTheme="majorHAnsi"/>
            <w:noProof/>
            <w:szCs w:val="22"/>
          </w:rPr>
          <w:t>https://www.nrcs.usda.gov/wps/portal/nrcs/detail/national/home/?cid=stelprdb1083124</w:t>
        </w:r>
      </w:hyperlink>
    </w:p>
    <w:p w14:paraId="6180197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USDA. (2015). </w:t>
      </w:r>
      <w:r w:rsidRPr="003338D7">
        <w:rPr>
          <w:rFonts w:asciiTheme="majorHAnsi" w:hAnsiTheme="majorHAnsi"/>
          <w:i/>
          <w:iCs/>
          <w:noProof/>
          <w:szCs w:val="22"/>
        </w:rPr>
        <w:t>Major Forest Insect and Disease Conditions in the United States: 2013</w:t>
      </w:r>
      <w:r w:rsidRPr="003338D7">
        <w:rPr>
          <w:rFonts w:asciiTheme="majorHAnsi" w:hAnsiTheme="majorHAnsi"/>
          <w:noProof/>
          <w:szCs w:val="22"/>
        </w:rPr>
        <w:t>. Washington D.C., USA: US Forest service.</w:t>
      </w:r>
    </w:p>
    <w:p w14:paraId="0A5E7A3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USDA, &amp; USDOI. (2012). LANDFIRE: Vegetation Departure 1.3.0. Retrieved from </w:t>
      </w:r>
      <w:hyperlink r:id="rId892" w:history="1">
        <w:r w:rsidRPr="003338D7">
          <w:rPr>
            <w:rStyle w:val="Hyperlink"/>
            <w:rFonts w:asciiTheme="majorHAnsi" w:hAnsiTheme="majorHAnsi"/>
            <w:noProof/>
            <w:szCs w:val="22"/>
          </w:rPr>
          <w:t>http://www.landfire.gov</w:t>
        </w:r>
      </w:hyperlink>
    </w:p>
    <w:p w14:paraId="65839DD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USGS. (2003). </w:t>
      </w:r>
      <w:r w:rsidRPr="003338D7">
        <w:rPr>
          <w:rFonts w:asciiTheme="majorHAnsi" w:hAnsiTheme="majorHAnsi"/>
          <w:i/>
          <w:iCs/>
          <w:noProof/>
          <w:szCs w:val="22"/>
        </w:rPr>
        <w:t>PRAIRIEMAP, A GIS Database for Prairie Grassland Management in Western North America</w:t>
      </w:r>
      <w:r w:rsidRPr="003338D7">
        <w:rPr>
          <w:rFonts w:asciiTheme="majorHAnsi" w:hAnsiTheme="majorHAnsi"/>
          <w:noProof/>
          <w:szCs w:val="22"/>
        </w:rPr>
        <w:t>. Washington D.C., USA: USGS Forest and Rangeland Ecosystem, Science Center, Snake River Field Station.</w:t>
      </w:r>
    </w:p>
    <w:p w14:paraId="054A553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Valdivia, C. E., Simonetti, J. A., &amp; Henríquez, C. A. (2006). </w:t>
      </w:r>
      <w:r w:rsidRPr="003338D7">
        <w:rPr>
          <w:rFonts w:asciiTheme="majorHAnsi" w:hAnsiTheme="majorHAnsi"/>
          <w:noProof/>
          <w:szCs w:val="22"/>
        </w:rPr>
        <w:t xml:space="preserve">Depressed pollination of </w:t>
      </w:r>
      <w:r w:rsidRPr="003338D7">
        <w:rPr>
          <w:rFonts w:asciiTheme="majorHAnsi" w:hAnsiTheme="majorHAnsi"/>
          <w:i/>
          <w:iCs/>
          <w:noProof/>
          <w:szCs w:val="22"/>
        </w:rPr>
        <w:t>Lapageria rosea</w:t>
      </w:r>
      <w:r w:rsidRPr="003338D7">
        <w:rPr>
          <w:rFonts w:asciiTheme="majorHAnsi" w:hAnsiTheme="majorHAnsi"/>
          <w:noProof/>
          <w:szCs w:val="22"/>
        </w:rPr>
        <w:t xml:space="preserve"> Ruiz et Pav. (Philesiaceae) in the fragmented temperate rainforest of southern South America.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15</w:t>
      </w:r>
      <w:r w:rsidRPr="003338D7">
        <w:rPr>
          <w:rFonts w:asciiTheme="majorHAnsi" w:hAnsiTheme="majorHAnsi"/>
          <w:noProof/>
          <w:szCs w:val="22"/>
        </w:rPr>
        <w:t xml:space="preserve">(5), 1845–1856. </w:t>
      </w:r>
      <w:hyperlink r:id="rId893" w:history="1">
        <w:r w:rsidRPr="003338D7">
          <w:rPr>
            <w:rStyle w:val="Hyperlink"/>
            <w:rFonts w:asciiTheme="majorHAnsi" w:hAnsiTheme="majorHAnsi"/>
            <w:noProof/>
            <w:szCs w:val="22"/>
          </w:rPr>
          <w:t>http://doi.org/10.1007/s10531-004-6683-4</w:t>
        </w:r>
      </w:hyperlink>
    </w:p>
    <w:p w14:paraId="0FB3BCE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Valiela, I. (2006). </w:t>
      </w:r>
      <w:r w:rsidRPr="003338D7">
        <w:rPr>
          <w:rFonts w:asciiTheme="majorHAnsi" w:hAnsiTheme="majorHAnsi"/>
          <w:i/>
          <w:iCs/>
          <w:noProof/>
          <w:szCs w:val="22"/>
        </w:rPr>
        <w:t>Global Coastal Change</w:t>
      </w:r>
      <w:r w:rsidRPr="003338D7">
        <w:rPr>
          <w:rFonts w:asciiTheme="majorHAnsi" w:hAnsiTheme="majorHAnsi"/>
          <w:noProof/>
          <w:szCs w:val="22"/>
        </w:rPr>
        <w:t>. Malden, USA: Blackwell Publishing.</w:t>
      </w:r>
    </w:p>
    <w:p w14:paraId="7D61C96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rPr>
        <w:t xml:space="preserve">Valiela, I., Bowen, J. L., &amp; York, J. K. (2001). Mangrove forests: one of the world’s threatened major tropical environments. </w:t>
      </w:r>
      <w:r w:rsidRPr="003338D7">
        <w:rPr>
          <w:rFonts w:asciiTheme="majorHAnsi" w:hAnsiTheme="majorHAnsi"/>
          <w:i/>
          <w:iCs/>
          <w:noProof/>
          <w:szCs w:val="22"/>
          <w:lang w:val="de-DE"/>
        </w:rPr>
        <w:t>BioScience</w:t>
      </w:r>
      <w:r w:rsidRPr="003338D7">
        <w:rPr>
          <w:rFonts w:asciiTheme="majorHAnsi" w:hAnsiTheme="majorHAnsi"/>
          <w:noProof/>
          <w:szCs w:val="22"/>
          <w:lang w:val="de-DE"/>
        </w:rPr>
        <w:t xml:space="preserve">, </w:t>
      </w:r>
      <w:r w:rsidRPr="003338D7">
        <w:rPr>
          <w:rFonts w:asciiTheme="majorHAnsi" w:hAnsiTheme="majorHAnsi"/>
          <w:i/>
          <w:iCs/>
          <w:noProof/>
          <w:szCs w:val="22"/>
          <w:lang w:val="de-DE"/>
        </w:rPr>
        <w:t>51</w:t>
      </w:r>
      <w:r w:rsidRPr="003338D7">
        <w:rPr>
          <w:rFonts w:asciiTheme="majorHAnsi" w:hAnsiTheme="majorHAnsi"/>
          <w:noProof/>
          <w:szCs w:val="22"/>
          <w:lang w:val="de-DE"/>
        </w:rPr>
        <w:t xml:space="preserve">(10), 807. </w:t>
      </w:r>
      <w:hyperlink r:id="rId894" w:history="1">
        <w:r w:rsidRPr="003338D7">
          <w:rPr>
            <w:rStyle w:val="Hyperlink"/>
            <w:rFonts w:asciiTheme="majorHAnsi" w:hAnsiTheme="majorHAnsi"/>
            <w:noProof/>
            <w:szCs w:val="22"/>
            <w:lang w:val="de-DE"/>
          </w:rPr>
          <w:t>http://doi.org/10.1641/0006-3568(2001)051%5B0807:MFOOTW%5D2.0.CO;2</w:t>
        </w:r>
      </w:hyperlink>
    </w:p>
    <w:p w14:paraId="2B790B3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Van Kleunen, M., Dawson, W., Essl, F., Pergl, J., Winter, M., Weber, E., Kreft, H., Weigelt, P., Kartesz, J., Nishino, M., Antonova, L. A., Barcelona, J. F., Cabezas, F. J., Cárdenas, D., Cárdenas-Toro, J., N, C., Chacón, E., Chatelain, C., Ebel, A. L., Figueiredo, E., Fuentes, N., Groom, Q. J., Henderson, L., Inderjit, L., Kupriyanov, A., S, M., Morozova, O., Moser, D., Nickrent, D. L., Patzelt, A., Pelser, P. B., Baptiste, M. P., Poopath, M., Schulze, M., Seebens, H., Shu, W.-S., Thomas, J., Velayos, M., Wieringa, J. J., &amp; Pyšek, P. (2015). Global exchange and accumulation of non-native plants.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525</w:t>
      </w:r>
      <w:r w:rsidRPr="003338D7">
        <w:rPr>
          <w:rFonts w:asciiTheme="majorHAnsi" w:hAnsiTheme="majorHAnsi"/>
          <w:noProof/>
          <w:szCs w:val="22"/>
          <w:lang w:val="es-ES"/>
        </w:rPr>
        <w:t xml:space="preserve">(7567), 100–103. </w:t>
      </w:r>
      <w:hyperlink r:id="rId895" w:history="1">
        <w:r w:rsidRPr="003338D7">
          <w:rPr>
            <w:rStyle w:val="Hyperlink"/>
            <w:rFonts w:asciiTheme="majorHAnsi" w:hAnsiTheme="majorHAnsi"/>
            <w:noProof/>
            <w:szCs w:val="22"/>
            <w:lang w:val="es-ES"/>
          </w:rPr>
          <w:t>https://doi.org/10.1038/nature14910</w:t>
        </w:r>
      </w:hyperlink>
    </w:p>
    <w:p w14:paraId="5DB0859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lang w:val="es-ES"/>
        </w:rPr>
        <w:t xml:space="preserve">van Ruijven, J., &amp; Berendse, F. (2005). </w:t>
      </w:r>
      <w:r w:rsidRPr="003338D7">
        <w:rPr>
          <w:rFonts w:asciiTheme="majorHAnsi" w:hAnsiTheme="majorHAnsi"/>
          <w:noProof/>
          <w:szCs w:val="22"/>
        </w:rPr>
        <w:t xml:space="preserve">Diversity-productivity relationships: initial effects, long-term patterns, and underlying mechanisms. </w:t>
      </w:r>
      <w:r w:rsidRPr="003338D7">
        <w:rPr>
          <w:rFonts w:asciiTheme="majorHAnsi" w:hAnsiTheme="majorHAnsi"/>
          <w:i/>
          <w:iCs/>
          <w:noProof/>
          <w:szCs w:val="22"/>
          <w:lang w:val="de-DE"/>
        </w:rPr>
        <w:t>PNAS</w:t>
      </w:r>
      <w:r w:rsidRPr="003338D7">
        <w:rPr>
          <w:rFonts w:asciiTheme="majorHAnsi" w:hAnsiTheme="majorHAnsi"/>
          <w:noProof/>
          <w:szCs w:val="22"/>
          <w:lang w:val="de-DE"/>
        </w:rPr>
        <w:t xml:space="preserve">, </w:t>
      </w:r>
      <w:r w:rsidRPr="003338D7">
        <w:rPr>
          <w:rFonts w:asciiTheme="majorHAnsi" w:hAnsiTheme="majorHAnsi"/>
          <w:i/>
          <w:iCs/>
          <w:noProof/>
          <w:szCs w:val="22"/>
          <w:lang w:val="de-DE"/>
        </w:rPr>
        <w:t>102</w:t>
      </w:r>
      <w:r w:rsidRPr="003338D7">
        <w:rPr>
          <w:rFonts w:asciiTheme="majorHAnsi" w:hAnsiTheme="majorHAnsi"/>
          <w:noProof/>
          <w:szCs w:val="22"/>
          <w:lang w:val="de-DE"/>
        </w:rPr>
        <w:t xml:space="preserve">(3), 695–700. </w:t>
      </w:r>
      <w:hyperlink r:id="rId896" w:history="1">
        <w:r w:rsidRPr="003338D7">
          <w:rPr>
            <w:rStyle w:val="Hyperlink"/>
            <w:rFonts w:asciiTheme="majorHAnsi" w:hAnsiTheme="majorHAnsi"/>
            <w:noProof/>
            <w:szCs w:val="22"/>
            <w:lang w:val="de-DE"/>
          </w:rPr>
          <w:t>http://doi.org/10.1073/pnas.0407524102</w:t>
        </w:r>
      </w:hyperlink>
    </w:p>
    <w:p w14:paraId="5800C8D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van Ruijven, J., &amp; Berendse, F. (2009). </w:t>
      </w:r>
      <w:r w:rsidRPr="003338D7">
        <w:rPr>
          <w:rFonts w:asciiTheme="majorHAnsi" w:hAnsiTheme="majorHAnsi"/>
          <w:noProof/>
          <w:szCs w:val="22"/>
        </w:rPr>
        <w:t xml:space="preserve">Long-term persistence of a positive plant diversity-productivity relationship in the absence of legumes. </w:t>
      </w:r>
      <w:r w:rsidRPr="003338D7">
        <w:rPr>
          <w:rFonts w:asciiTheme="majorHAnsi" w:hAnsiTheme="majorHAnsi"/>
          <w:i/>
          <w:iCs/>
          <w:noProof/>
          <w:szCs w:val="22"/>
        </w:rPr>
        <w:t>Oikos</w:t>
      </w:r>
      <w:r w:rsidRPr="003338D7">
        <w:rPr>
          <w:rFonts w:asciiTheme="majorHAnsi" w:hAnsiTheme="majorHAnsi"/>
          <w:noProof/>
          <w:szCs w:val="22"/>
        </w:rPr>
        <w:t xml:space="preserve">, </w:t>
      </w:r>
      <w:r w:rsidRPr="003338D7">
        <w:rPr>
          <w:rFonts w:asciiTheme="majorHAnsi" w:hAnsiTheme="majorHAnsi"/>
          <w:i/>
          <w:iCs/>
          <w:noProof/>
          <w:szCs w:val="22"/>
        </w:rPr>
        <w:t>118</w:t>
      </w:r>
      <w:r w:rsidRPr="003338D7">
        <w:rPr>
          <w:rFonts w:asciiTheme="majorHAnsi" w:hAnsiTheme="majorHAnsi"/>
          <w:noProof/>
          <w:szCs w:val="22"/>
        </w:rPr>
        <w:t xml:space="preserve">(1), 101–106. </w:t>
      </w:r>
      <w:hyperlink r:id="rId897" w:history="1">
        <w:r w:rsidRPr="003338D7">
          <w:rPr>
            <w:rStyle w:val="Hyperlink"/>
            <w:rFonts w:asciiTheme="majorHAnsi" w:hAnsiTheme="majorHAnsi"/>
            <w:noProof/>
            <w:szCs w:val="22"/>
          </w:rPr>
          <w:t>http://doi.org/10.1111/j.1600-0706.2008.17119.x</w:t>
        </w:r>
      </w:hyperlink>
    </w:p>
    <w:p w14:paraId="3124DC2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van Tussenbroek, B. I., Cortés, J., Collin, R., Fonseca, A. C., Gayle, P. M. H., Guzmán, H. M., Jácome, G. E., Juman, R., Koltes, K. H., Oxenford, H. A., Rodríguez-Ramirez, A., Samper-Villarreal, J., Smith, S. R., Tschirky, J. J., &amp; Weil, E. (2014). Caribbean-wide, long-term study of seagrass beds reveals local variations, shifts in community structure and occasional collapse. </w:t>
      </w:r>
      <w:r w:rsidRPr="003338D7">
        <w:rPr>
          <w:rFonts w:asciiTheme="majorHAnsi" w:hAnsiTheme="majorHAnsi"/>
          <w:i/>
          <w:iCs/>
          <w:noProof/>
          <w:szCs w:val="22"/>
          <w:lang w:val="es-ES"/>
        </w:rPr>
        <w:t>PLoS ONE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w:t>
      </w:r>
      <w:r w:rsidRPr="003338D7">
        <w:rPr>
          <w:rFonts w:asciiTheme="majorHAnsi" w:hAnsiTheme="majorHAnsi"/>
          <w:noProof/>
          <w:szCs w:val="22"/>
          <w:lang w:val="es-ES"/>
        </w:rPr>
        <w:t xml:space="preserve">(3), e90600. </w:t>
      </w:r>
      <w:hyperlink r:id="rId898" w:history="1">
        <w:r w:rsidRPr="003338D7">
          <w:rPr>
            <w:rStyle w:val="Hyperlink"/>
            <w:rFonts w:asciiTheme="majorHAnsi" w:hAnsiTheme="majorHAnsi"/>
            <w:noProof/>
            <w:szCs w:val="22"/>
            <w:lang w:val="es-ES"/>
          </w:rPr>
          <w:t>https://doi.org/10.1371/journal.pone.0090600</w:t>
        </w:r>
      </w:hyperlink>
    </w:p>
    <w:p w14:paraId="6E1EC96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Van Vliet, N., Mertz, O., Heinimann, A., Langanke, T., Pascual, U., Schmook, B., Adams, C., Schmidt-Vogt, D., Messerli, P., Leisz, S., Castella, J.-C., Jørgensen, L., Birch-Thomsen, T., Hett, C., Bech-Bruun, T., Ickowitz, A., Vu, K. C., Yasuyuki, K., Fox, J., Padoch, C., Dressler, W., &amp; Ziegler, A. D. (2012). Trends, drivers and impacts of changes in swidden cultivation in tropical forest-agriculture frontiers: a global assessment. </w:t>
      </w:r>
      <w:r w:rsidRPr="003338D7">
        <w:rPr>
          <w:rFonts w:asciiTheme="majorHAnsi" w:hAnsiTheme="majorHAnsi"/>
          <w:i/>
          <w:iCs/>
          <w:noProof/>
          <w:szCs w:val="22"/>
          <w:lang w:val="es-ES"/>
        </w:rPr>
        <w:t>Global Environmental Change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22</w:t>
      </w:r>
      <w:r w:rsidRPr="003338D7">
        <w:rPr>
          <w:rFonts w:asciiTheme="majorHAnsi" w:hAnsiTheme="majorHAnsi"/>
          <w:noProof/>
          <w:szCs w:val="22"/>
          <w:lang w:val="es-ES"/>
        </w:rPr>
        <w:t xml:space="preserve">(2), 418–429. </w:t>
      </w:r>
      <w:hyperlink r:id="rId899" w:history="1">
        <w:r w:rsidRPr="003338D7">
          <w:rPr>
            <w:rStyle w:val="Hyperlink"/>
            <w:rFonts w:asciiTheme="majorHAnsi" w:hAnsiTheme="majorHAnsi"/>
            <w:noProof/>
            <w:szCs w:val="22"/>
            <w:lang w:val="es-ES"/>
          </w:rPr>
          <w:t>https://doi.org/10.1016/j.gloenvcha.2011.10.009</w:t>
        </w:r>
      </w:hyperlink>
    </w:p>
    <w:p w14:paraId="2E20D98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fr-CA"/>
        </w:rPr>
        <w:t xml:space="preserve">Vanderbilt, K., &amp; Gaiser, E. (2017). </w:t>
      </w:r>
      <w:r w:rsidRPr="003338D7">
        <w:rPr>
          <w:rFonts w:asciiTheme="majorHAnsi" w:hAnsiTheme="majorHAnsi"/>
          <w:noProof/>
          <w:szCs w:val="22"/>
        </w:rPr>
        <w:t xml:space="preserve">The International Long Term Ecological Research Network: a platform for collaboration. </w:t>
      </w:r>
      <w:r w:rsidRPr="003338D7">
        <w:rPr>
          <w:rFonts w:asciiTheme="majorHAnsi" w:hAnsiTheme="majorHAnsi"/>
          <w:i/>
          <w:iCs/>
          <w:noProof/>
          <w:szCs w:val="22"/>
        </w:rPr>
        <w:t>Ecosphere</w:t>
      </w:r>
      <w:r w:rsidRPr="003338D7">
        <w:rPr>
          <w:rFonts w:asciiTheme="majorHAnsi" w:hAnsiTheme="majorHAnsi"/>
          <w:noProof/>
          <w:szCs w:val="22"/>
        </w:rPr>
        <w:t xml:space="preserve">, </w:t>
      </w:r>
      <w:r w:rsidRPr="003338D7">
        <w:rPr>
          <w:rFonts w:asciiTheme="majorHAnsi" w:hAnsiTheme="majorHAnsi"/>
          <w:i/>
          <w:iCs/>
          <w:noProof/>
          <w:szCs w:val="22"/>
        </w:rPr>
        <w:t>8</w:t>
      </w:r>
      <w:r w:rsidRPr="003338D7">
        <w:rPr>
          <w:rFonts w:asciiTheme="majorHAnsi" w:hAnsiTheme="majorHAnsi"/>
          <w:noProof/>
          <w:szCs w:val="22"/>
        </w:rPr>
        <w:t xml:space="preserve">(2), e01697. </w:t>
      </w:r>
      <w:hyperlink r:id="rId900" w:history="1">
        <w:r w:rsidRPr="003338D7">
          <w:rPr>
            <w:rStyle w:val="Hyperlink"/>
            <w:rFonts w:asciiTheme="majorHAnsi" w:hAnsiTheme="majorHAnsi"/>
            <w:noProof/>
            <w:szCs w:val="22"/>
          </w:rPr>
          <w:t>http://doi.org/10.1002/ecs2.1697</w:t>
        </w:r>
      </w:hyperlink>
    </w:p>
    <w:p w14:paraId="3D45953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Vandermeer, J. (1981). The interference production principle: an ecological theory for agriculture. </w:t>
      </w:r>
      <w:r w:rsidRPr="003338D7">
        <w:rPr>
          <w:rFonts w:asciiTheme="majorHAnsi" w:hAnsiTheme="majorHAnsi"/>
          <w:i/>
          <w:iCs/>
          <w:noProof/>
          <w:szCs w:val="22"/>
        </w:rPr>
        <w:t>BioScience</w:t>
      </w:r>
      <w:r w:rsidRPr="003338D7">
        <w:rPr>
          <w:rFonts w:asciiTheme="majorHAnsi" w:hAnsiTheme="majorHAnsi"/>
          <w:noProof/>
          <w:szCs w:val="22"/>
        </w:rPr>
        <w:t xml:space="preserve">, </w:t>
      </w:r>
      <w:r w:rsidRPr="003338D7">
        <w:rPr>
          <w:rFonts w:asciiTheme="majorHAnsi" w:hAnsiTheme="majorHAnsi"/>
          <w:i/>
          <w:iCs/>
          <w:noProof/>
          <w:szCs w:val="22"/>
        </w:rPr>
        <w:t>31</w:t>
      </w:r>
      <w:r w:rsidRPr="003338D7">
        <w:rPr>
          <w:rFonts w:asciiTheme="majorHAnsi" w:hAnsiTheme="majorHAnsi"/>
          <w:noProof/>
          <w:szCs w:val="22"/>
        </w:rPr>
        <w:t>(5), 361–364.</w:t>
      </w:r>
      <w:hyperlink r:id="rId901" w:history="1">
        <w:r w:rsidRPr="003338D7">
          <w:rPr>
            <w:rStyle w:val="Hyperlink"/>
            <w:rFonts w:asciiTheme="majorHAnsi" w:hAnsiTheme="majorHAnsi"/>
            <w:noProof/>
            <w:szCs w:val="22"/>
          </w:rPr>
          <w:t>http://doi.org/10.2307/1308400</w:t>
        </w:r>
      </w:hyperlink>
    </w:p>
    <w:p w14:paraId="317A26E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Vásquez, D. L. A., Balslev, H., &amp; Sklenář, P. (2015). Human impact on tropical-alpine plant diversity in the northern Andes. </w:t>
      </w:r>
      <w:r w:rsidRPr="003338D7">
        <w:rPr>
          <w:rFonts w:asciiTheme="majorHAnsi" w:hAnsiTheme="majorHAnsi"/>
          <w:i/>
          <w:iCs/>
          <w:noProof/>
          <w:szCs w:val="22"/>
        </w:rPr>
        <w:t>Biodiversity and Conservation</w:t>
      </w:r>
      <w:r w:rsidRPr="003338D7">
        <w:rPr>
          <w:rFonts w:asciiTheme="majorHAnsi" w:hAnsiTheme="majorHAnsi"/>
          <w:noProof/>
          <w:szCs w:val="22"/>
        </w:rPr>
        <w:t xml:space="preserve">, </w:t>
      </w:r>
      <w:r w:rsidRPr="003338D7">
        <w:rPr>
          <w:rFonts w:asciiTheme="majorHAnsi" w:hAnsiTheme="majorHAnsi"/>
          <w:i/>
          <w:iCs/>
          <w:noProof/>
          <w:szCs w:val="22"/>
        </w:rPr>
        <w:t>24</w:t>
      </w:r>
      <w:r w:rsidRPr="003338D7">
        <w:rPr>
          <w:rFonts w:asciiTheme="majorHAnsi" w:hAnsiTheme="majorHAnsi"/>
          <w:noProof/>
          <w:szCs w:val="22"/>
        </w:rPr>
        <w:t xml:space="preserve">(11), 2673–2683. </w:t>
      </w:r>
      <w:hyperlink r:id="rId902" w:history="1">
        <w:r w:rsidRPr="003338D7">
          <w:rPr>
            <w:rStyle w:val="Hyperlink"/>
            <w:rFonts w:asciiTheme="majorHAnsi" w:hAnsiTheme="majorHAnsi"/>
            <w:noProof/>
            <w:szCs w:val="22"/>
          </w:rPr>
          <w:t>http://doi.org/10.1007/s10531-015-0954-0</w:t>
        </w:r>
      </w:hyperlink>
    </w:p>
    <w:p w14:paraId="3633A0D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Vassallo, M. M., Dieguez, H. D., Garbulsky, M. F., Jobbágy, E. G., &amp; Paruelo, J. M. (2013). Grassland afforestation impact on primary productivity: a remote sensing approach. </w:t>
      </w:r>
      <w:r w:rsidRPr="003338D7">
        <w:rPr>
          <w:rFonts w:asciiTheme="majorHAnsi" w:hAnsiTheme="majorHAnsi"/>
          <w:i/>
          <w:iCs/>
          <w:noProof/>
          <w:szCs w:val="22"/>
        </w:rPr>
        <w:t>Applied Vegetation Science</w:t>
      </w:r>
      <w:r w:rsidRPr="003338D7">
        <w:rPr>
          <w:rFonts w:asciiTheme="majorHAnsi" w:hAnsiTheme="majorHAnsi"/>
          <w:noProof/>
          <w:szCs w:val="22"/>
        </w:rPr>
        <w:t xml:space="preserve">, </w:t>
      </w:r>
      <w:r w:rsidRPr="003338D7">
        <w:rPr>
          <w:rFonts w:asciiTheme="majorHAnsi" w:hAnsiTheme="majorHAnsi"/>
          <w:i/>
          <w:iCs/>
          <w:noProof/>
          <w:szCs w:val="22"/>
        </w:rPr>
        <w:t>16</w:t>
      </w:r>
      <w:r w:rsidRPr="003338D7">
        <w:rPr>
          <w:rFonts w:asciiTheme="majorHAnsi" w:hAnsiTheme="majorHAnsi"/>
          <w:noProof/>
          <w:szCs w:val="22"/>
        </w:rPr>
        <w:t xml:space="preserve">(3), 390–403. </w:t>
      </w:r>
      <w:hyperlink r:id="rId903" w:history="1">
        <w:r w:rsidRPr="003338D7">
          <w:rPr>
            <w:rStyle w:val="Hyperlink"/>
            <w:rFonts w:asciiTheme="majorHAnsi" w:hAnsiTheme="majorHAnsi"/>
            <w:noProof/>
            <w:szCs w:val="22"/>
          </w:rPr>
          <w:t>http://doi.org/10.1111/avsc.12016</w:t>
        </w:r>
      </w:hyperlink>
    </w:p>
    <w:p w14:paraId="75AF57E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Vázquez, D. P. (2002). Multiple effects of introduced mammalian herbivores in a temperate forest. </w:t>
      </w:r>
      <w:r w:rsidRPr="003338D7">
        <w:rPr>
          <w:rFonts w:asciiTheme="majorHAnsi" w:hAnsiTheme="majorHAnsi"/>
          <w:i/>
          <w:iCs/>
          <w:noProof/>
          <w:szCs w:val="22"/>
        </w:rPr>
        <w:t>Biological Invasions</w:t>
      </w:r>
      <w:r w:rsidRPr="003338D7">
        <w:rPr>
          <w:rFonts w:asciiTheme="majorHAnsi" w:hAnsiTheme="majorHAnsi"/>
          <w:noProof/>
          <w:szCs w:val="22"/>
        </w:rPr>
        <w:t xml:space="preserve">, </w:t>
      </w:r>
      <w:r w:rsidRPr="003338D7">
        <w:rPr>
          <w:rFonts w:asciiTheme="majorHAnsi" w:hAnsiTheme="majorHAnsi"/>
          <w:i/>
          <w:iCs/>
          <w:noProof/>
          <w:szCs w:val="22"/>
        </w:rPr>
        <w:t>4</w:t>
      </w:r>
      <w:r w:rsidRPr="003338D7">
        <w:rPr>
          <w:rFonts w:asciiTheme="majorHAnsi" w:hAnsiTheme="majorHAnsi"/>
          <w:noProof/>
          <w:szCs w:val="22"/>
        </w:rPr>
        <w:t xml:space="preserve">(1–2), 175–191. </w:t>
      </w:r>
      <w:hyperlink r:id="rId904" w:history="1">
        <w:r w:rsidRPr="003338D7">
          <w:rPr>
            <w:rStyle w:val="Hyperlink"/>
            <w:rFonts w:asciiTheme="majorHAnsi" w:hAnsiTheme="majorHAnsi"/>
            <w:noProof/>
            <w:szCs w:val="22"/>
          </w:rPr>
          <w:t>http://doi.org/10.1023/A:1020522923905</w:t>
        </w:r>
      </w:hyperlink>
    </w:p>
    <w:p w14:paraId="62CB873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Vega Thurber, R. L., Burkepile, D. E., Fuchs, C., Shantz, A. A., Mcminds, R., &amp; Zaneveld, J. R. (2014). Chronic nutrient enrichment increases prevalence and severity of coral disease and bleaching. </w:t>
      </w:r>
      <w:r w:rsidRPr="003338D7">
        <w:rPr>
          <w:rFonts w:asciiTheme="majorHAnsi" w:hAnsiTheme="majorHAnsi"/>
          <w:i/>
          <w:iCs/>
          <w:noProof/>
          <w:szCs w:val="22"/>
        </w:rPr>
        <w:t>Global Change Biology</w:t>
      </w:r>
      <w:r w:rsidRPr="003338D7">
        <w:rPr>
          <w:rFonts w:asciiTheme="majorHAnsi" w:hAnsiTheme="majorHAnsi"/>
          <w:noProof/>
          <w:szCs w:val="22"/>
        </w:rPr>
        <w:t xml:space="preserve">, </w:t>
      </w:r>
      <w:r w:rsidRPr="003338D7">
        <w:rPr>
          <w:rFonts w:asciiTheme="majorHAnsi" w:hAnsiTheme="majorHAnsi"/>
          <w:i/>
          <w:iCs/>
          <w:noProof/>
          <w:szCs w:val="22"/>
        </w:rPr>
        <w:t>20</w:t>
      </w:r>
      <w:r w:rsidRPr="003338D7">
        <w:rPr>
          <w:rFonts w:asciiTheme="majorHAnsi" w:hAnsiTheme="majorHAnsi"/>
          <w:noProof/>
          <w:szCs w:val="22"/>
        </w:rPr>
        <w:t xml:space="preserve">(2), 544–554. </w:t>
      </w:r>
      <w:hyperlink r:id="rId905" w:history="1">
        <w:r w:rsidRPr="003338D7">
          <w:rPr>
            <w:rStyle w:val="Hyperlink"/>
            <w:rFonts w:asciiTheme="majorHAnsi" w:hAnsiTheme="majorHAnsi"/>
            <w:noProof/>
            <w:szCs w:val="22"/>
          </w:rPr>
          <w:t>http://doi.org/10.1111/gcb.12450</w:t>
        </w:r>
      </w:hyperlink>
    </w:p>
    <w:p w14:paraId="35101F0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Veldman, J. W., Overbeck, G. E., Negreiros, D., Mahy, G., Le Stradic, S., Fernandes, G. W., Durigan, G., Buisson, E., Putz, F. E., &amp; Bond, W. J. (2015). Where tree planting and forest expansion are bad for biodiversity and ecosystem services. </w:t>
      </w:r>
      <w:r w:rsidRPr="003338D7">
        <w:rPr>
          <w:rFonts w:asciiTheme="majorHAnsi" w:hAnsiTheme="majorHAnsi"/>
          <w:i/>
          <w:iCs/>
          <w:noProof/>
          <w:szCs w:val="22"/>
          <w:lang w:val="es-ES"/>
        </w:rPr>
        <w:t>BioScience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65</w:t>
      </w:r>
      <w:r w:rsidRPr="003338D7">
        <w:rPr>
          <w:rFonts w:asciiTheme="majorHAnsi" w:hAnsiTheme="majorHAnsi"/>
          <w:noProof/>
          <w:szCs w:val="22"/>
          <w:lang w:val="es-ES"/>
        </w:rPr>
        <w:t xml:space="preserve">(10), 1011–1018. </w:t>
      </w:r>
      <w:hyperlink r:id="rId906" w:history="1">
        <w:r w:rsidRPr="003338D7">
          <w:rPr>
            <w:rStyle w:val="Hyperlink"/>
            <w:rFonts w:asciiTheme="majorHAnsi" w:hAnsiTheme="majorHAnsi"/>
            <w:noProof/>
            <w:szCs w:val="22"/>
            <w:lang w:val="es-ES"/>
          </w:rPr>
          <w:t>https://doi.org/10.1093/biosci/biv118</w:t>
        </w:r>
      </w:hyperlink>
    </w:p>
    <w:p w14:paraId="468330A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Vences, M., &amp; Köhler, J. (2008). Global diversity of amphibians (Amphibia) in freshwater. </w:t>
      </w:r>
      <w:r w:rsidRPr="003338D7">
        <w:rPr>
          <w:rFonts w:asciiTheme="majorHAnsi" w:hAnsiTheme="majorHAnsi"/>
          <w:i/>
          <w:iCs/>
          <w:noProof/>
          <w:szCs w:val="22"/>
          <w:lang w:val="es-ES"/>
        </w:rPr>
        <w:t>Hydrobiologia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595</w:t>
      </w:r>
      <w:r w:rsidRPr="003338D7">
        <w:rPr>
          <w:rFonts w:asciiTheme="majorHAnsi" w:hAnsiTheme="majorHAnsi"/>
          <w:noProof/>
          <w:szCs w:val="22"/>
          <w:lang w:val="es-ES"/>
        </w:rPr>
        <w:t>(1), 569–580.</w:t>
      </w:r>
      <w:hyperlink r:id="rId907" w:history="1">
        <w:r w:rsidRPr="003338D7">
          <w:rPr>
            <w:rStyle w:val="Hyperlink"/>
            <w:rFonts w:asciiTheme="majorHAnsi" w:hAnsiTheme="majorHAnsi"/>
            <w:noProof/>
            <w:szCs w:val="22"/>
            <w:lang w:val="es-ES"/>
          </w:rPr>
          <w:t>http://doi.org/10.1007/s10750-007-9032-2</w:t>
        </w:r>
      </w:hyperlink>
    </w:p>
    <w:p w14:paraId="31EE39B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Venegas-González, A., Juñent, F. ., Gutiérrez, A. G., &amp; Tomazello Filho, M. (2018). </w:t>
      </w:r>
      <w:r w:rsidRPr="003338D7">
        <w:rPr>
          <w:rFonts w:asciiTheme="majorHAnsi" w:hAnsiTheme="majorHAnsi"/>
          <w:noProof/>
          <w:szCs w:val="22"/>
        </w:rPr>
        <w:t xml:space="preserve">Recent radial growth decline in response to increased drought conditions in the northernmost Nothofagus populations from South America. </w:t>
      </w:r>
      <w:r w:rsidRPr="003338D7">
        <w:rPr>
          <w:rFonts w:asciiTheme="majorHAnsi" w:hAnsiTheme="majorHAnsi"/>
          <w:i/>
          <w:iCs/>
          <w:noProof/>
          <w:szCs w:val="22"/>
        </w:rPr>
        <w:t>Forest Ecology and Management</w:t>
      </w:r>
      <w:r w:rsidRPr="003338D7">
        <w:rPr>
          <w:rFonts w:asciiTheme="majorHAnsi" w:hAnsiTheme="majorHAnsi"/>
          <w:noProof/>
          <w:szCs w:val="22"/>
        </w:rPr>
        <w:t xml:space="preserve">, </w:t>
      </w:r>
      <w:r w:rsidRPr="003338D7">
        <w:rPr>
          <w:rFonts w:asciiTheme="majorHAnsi" w:hAnsiTheme="majorHAnsi"/>
          <w:i/>
          <w:iCs/>
          <w:noProof/>
          <w:szCs w:val="22"/>
        </w:rPr>
        <w:t>409</w:t>
      </w:r>
      <w:r w:rsidRPr="003338D7">
        <w:rPr>
          <w:rFonts w:asciiTheme="majorHAnsi" w:hAnsiTheme="majorHAnsi"/>
          <w:noProof/>
          <w:szCs w:val="22"/>
        </w:rPr>
        <w:t xml:space="preserve">, 94–104. </w:t>
      </w:r>
      <w:hyperlink r:id="rId908" w:history="1">
        <w:r w:rsidRPr="003338D7">
          <w:rPr>
            <w:rStyle w:val="Hyperlink"/>
            <w:rFonts w:asciiTheme="majorHAnsi" w:hAnsiTheme="majorHAnsi"/>
            <w:noProof/>
            <w:szCs w:val="22"/>
          </w:rPr>
          <w:t>http://doi.org/10.1016/j.foreco.2017.11.006</w:t>
        </w:r>
      </w:hyperlink>
    </w:p>
    <w:p w14:paraId="1B29843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Vergara, P. M., Pérez-Hernández, C. G., Hahn, I. J., &amp; Soto, G. E. (2013). Deforestation in central Chile causes a rapid decline in landscape connectivity for a forest specialist bird species. </w:t>
      </w:r>
      <w:r w:rsidRPr="003338D7">
        <w:rPr>
          <w:rFonts w:asciiTheme="majorHAnsi" w:hAnsiTheme="majorHAnsi"/>
          <w:i/>
          <w:iCs/>
          <w:noProof/>
          <w:szCs w:val="22"/>
        </w:rPr>
        <w:t>Ecological Research</w:t>
      </w:r>
      <w:r w:rsidRPr="003338D7">
        <w:rPr>
          <w:rFonts w:asciiTheme="majorHAnsi" w:hAnsiTheme="majorHAnsi"/>
          <w:noProof/>
          <w:szCs w:val="22"/>
        </w:rPr>
        <w:t xml:space="preserve">, </w:t>
      </w:r>
      <w:r w:rsidRPr="003338D7">
        <w:rPr>
          <w:rFonts w:asciiTheme="majorHAnsi" w:hAnsiTheme="majorHAnsi"/>
          <w:i/>
          <w:iCs/>
          <w:noProof/>
          <w:szCs w:val="22"/>
        </w:rPr>
        <w:t>28</w:t>
      </w:r>
      <w:r w:rsidRPr="003338D7">
        <w:rPr>
          <w:rFonts w:asciiTheme="majorHAnsi" w:hAnsiTheme="majorHAnsi"/>
          <w:noProof/>
          <w:szCs w:val="22"/>
        </w:rPr>
        <w:t xml:space="preserve">(3), 481–492. </w:t>
      </w:r>
      <w:hyperlink r:id="rId909" w:history="1">
        <w:r w:rsidRPr="003338D7">
          <w:rPr>
            <w:rStyle w:val="Hyperlink"/>
            <w:rFonts w:asciiTheme="majorHAnsi" w:hAnsiTheme="majorHAnsi"/>
            <w:noProof/>
            <w:szCs w:val="22"/>
          </w:rPr>
          <w:t>http://doi.org/10.1007/s11284-013-1037-x</w:t>
        </w:r>
      </w:hyperlink>
    </w:p>
    <w:p w14:paraId="22C1FE2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fr-CA"/>
        </w:rPr>
      </w:pPr>
      <w:r w:rsidRPr="003338D7">
        <w:rPr>
          <w:rFonts w:asciiTheme="majorHAnsi" w:hAnsiTheme="majorHAnsi"/>
          <w:noProof/>
          <w:szCs w:val="22"/>
        </w:rPr>
        <w:t xml:space="preserve">Vergara, P. M., &amp; Simonetti, J. A. (2004). Avian responses to fragmentation of the Maulino forest in central Chile. </w:t>
      </w:r>
      <w:r w:rsidRPr="003338D7">
        <w:rPr>
          <w:rFonts w:asciiTheme="majorHAnsi" w:hAnsiTheme="majorHAnsi"/>
          <w:i/>
          <w:iCs/>
          <w:noProof/>
          <w:szCs w:val="22"/>
          <w:lang w:val="fr-CA"/>
        </w:rPr>
        <w:t>Oryx</w:t>
      </w:r>
      <w:r w:rsidRPr="003338D7">
        <w:rPr>
          <w:rFonts w:asciiTheme="majorHAnsi" w:hAnsiTheme="majorHAnsi"/>
          <w:noProof/>
          <w:szCs w:val="22"/>
          <w:lang w:val="fr-CA"/>
        </w:rPr>
        <w:t xml:space="preserve">, </w:t>
      </w:r>
      <w:r w:rsidRPr="003338D7">
        <w:rPr>
          <w:rFonts w:asciiTheme="majorHAnsi" w:hAnsiTheme="majorHAnsi"/>
          <w:i/>
          <w:iCs/>
          <w:noProof/>
          <w:szCs w:val="22"/>
          <w:lang w:val="fr-CA"/>
        </w:rPr>
        <w:t>38</w:t>
      </w:r>
      <w:r w:rsidRPr="003338D7">
        <w:rPr>
          <w:rFonts w:asciiTheme="majorHAnsi" w:hAnsiTheme="majorHAnsi"/>
          <w:noProof/>
          <w:szCs w:val="22"/>
          <w:lang w:val="fr-CA"/>
        </w:rPr>
        <w:t xml:space="preserve">(4), 383–388. </w:t>
      </w:r>
      <w:hyperlink r:id="rId910" w:history="1">
        <w:r w:rsidRPr="003338D7">
          <w:rPr>
            <w:rStyle w:val="Hyperlink"/>
            <w:rFonts w:asciiTheme="majorHAnsi" w:hAnsiTheme="majorHAnsi"/>
            <w:noProof/>
            <w:szCs w:val="22"/>
            <w:lang w:val="fr-CA"/>
          </w:rPr>
          <w:t>http://doi.org/10.1017/S0030605304000742</w:t>
        </w:r>
      </w:hyperlink>
    </w:p>
    <w:p w14:paraId="0741208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fr-CA"/>
        </w:rPr>
        <w:t xml:space="preserve">Versveld, D. B., Le Maitre, D. C., &amp; Chapman, R. A. (1998). </w:t>
      </w:r>
      <w:r w:rsidRPr="003338D7">
        <w:rPr>
          <w:rFonts w:asciiTheme="majorHAnsi" w:hAnsiTheme="majorHAnsi"/>
          <w:i/>
          <w:iCs/>
          <w:noProof/>
          <w:szCs w:val="22"/>
        </w:rPr>
        <w:t>Alien Invading Plants and Water Resources in South Africa: a Preliminary Assessment</w:t>
      </w:r>
      <w:r w:rsidRPr="003338D7">
        <w:rPr>
          <w:rFonts w:asciiTheme="majorHAnsi" w:hAnsiTheme="majorHAnsi"/>
          <w:noProof/>
          <w:szCs w:val="22"/>
        </w:rPr>
        <w:t>. Pretoria, South Africa: Water Research Commission.</w:t>
      </w:r>
    </w:p>
    <w:p w14:paraId="688896A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Vihma, T., Screen, J., Tjernström, M., Newton, B., Zhang, X., Popova, V., Deser, C., Holland, M., &amp; Prowse, T. (2016). The atmospheric role in the Arctic water cycle: A review on processes, past and future changes, and their impacts. </w:t>
      </w:r>
      <w:r w:rsidRPr="003338D7">
        <w:rPr>
          <w:rFonts w:asciiTheme="majorHAnsi" w:hAnsiTheme="majorHAnsi"/>
          <w:i/>
          <w:iCs/>
          <w:noProof/>
          <w:szCs w:val="22"/>
          <w:lang w:val="es-ES"/>
        </w:rPr>
        <w:t>Journal of Geophysical Research: Biogeosciences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121</w:t>
      </w:r>
      <w:r w:rsidRPr="003338D7">
        <w:rPr>
          <w:rFonts w:asciiTheme="majorHAnsi" w:hAnsiTheme="majorHAnsi"/>
          <w:noProof/>
          <w:szCs w:val="22"/>
          <w:lang w:val="es-ES"/>
        </w:rPr>
        <w:t xml:space="preserve">(3), 586–620. </w:t>
      </w:r>
      <w:hyperlink r:id="rId911" w:history="1">
        <w:r w:rsidRPr="003338D7">
          <w:rPr>
            <w:rStyle w:val="Hyperlink"/>
            <w:rFonts w:asciiTheme="majorHAnsi" w:hAnsiTheme="majorHAnsi"/>
            <w:noProof/>
            <w:szCs w:val="22"/>
            <w:lang w:val="es-ES"/>
          </w:rPr>
          <w:t>https://doi.org/10.1002/2015JG003132</w:t>
        </w:r>
      </w:hyperlink>
    </w:p>
    <w:p w14:paraId="5B0881C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Vila, I., Pardo, R., &amp; Scott, S. (2007). Freshwater fishes of the Altiplano. </w:t>
      </w:r>
      <w:r w:rsidRPr="003338D7">
        <w:rPr>
          <w:rFonts w:asciiTheme="majorHAnsi" w:hAnsiTheme="majorHAnsi"/>
          <w:i/>
          <w:iCs/>
          <w:noProof/>
          <w:szCs w:val="22"/>
        </w:rPr>
        <w:t>Aquatic Ecosystem Health &amp; Management</w:t>
      </w:r>
      <w:r w:rsidRPr="003338D7">
        <w:rPr>
          <w:rFonts w:asciiTheme="majorHAnsi" w:hAnsiTheme="majorHAnsi"/>
          <w:noProof/>
          <w:szCs w:val="22"/>
        </w:rPr>
        <w:t xml:space="preserve">, </w:t>
      </w:r>
      <w:r w:rsidRPr="003338D7">
        <w:rPr>
          <w:rFonts w:asciiTheme="majorHAnsi" w:hAnsiTheme="majorHAnsi"/>
          <w:i/>
          <w:iCs/>
          <w:noProof/>
          <w:szCs w:val="22"/>
        </w:rPr>
        <w:t>10</w:t>
      </w:r>
      <w:r w:rsidRPr="003338D7">
        <w:rPr>
          <w:rFonts w:asciiTheme="majorHAnsi" w:hAnsiTheme="majorHAnsi"/>
          <w:noProof/>
          <w:szCs w:val="22"/>
        </w:rPr>
        <w:t xml:space="preserve">(2), 201–211. </w:t>
      </w:r>
      <w:hyperlink r:id="rId912" w:history="1">
        <w:r w:rsidRPr="003338D7">
          <w:rPr>
            <w:rStyle w:val="Hyperlink"/>
            <w:rFonts w:asciiTheme="majorHAnsi" w:hAnsiTheme="majorHAnsi"/>
            <w:noProof/>
            <w:szCs w:val="22"/>
          </w:rPr>
          <w:t>http://doi.org/10.1080/14634980701351395</w:t>
        </w:r>
      </w:hyperlink>
    </w:p>
    <w:p w14:paraId="706855F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rPr>
        <w:t xml:space="preserve">Vilela, B., &amp; Villalobos, F. (2015). LetsR: a new R package for data handling and analysis in macroecology. </w:t>
      </w:r>
      <w:r w:rsidRPr="003338D7">
        <w:rPr>
          <w:rFonts w:asciiTheme="majorHAnsi" w:hAnsiTheme="majorHAnsi"/>
          <w:i/>
          <w:iCs/>
          <w:noProof/>
          <w:szCs w:val="22"/>
          <w:lang w:val="es-ES"/>
        </w:rPr>
        <w:t>Methods in Ecology and Evolution</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6</w:t>
      </w:r>
      <w:r w:rsidRPr="003338D7">
        <w:rPr>
          <w:rFonts w:asciiTheme="majorHAnsi" w:hAnsiTheme="majorHAnsi"/>
          <w:noProof/>
          <w:szCs w:val="22"/>
          <w:lang w:val="es-ES"/>
        </w:rPr>
        <w:t>(10), 1229–1234.</w:t>
      </w:r>
    </w:p>
    <w:p w14:paraId="6DB78D7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Villagrán, C., &amp; Castro, V. (2003). </w:t>
      </w:r>
      <w:r w:rsidRPr="003338D7">
        <w:rPr>
          <w:rFonts w:asciiTheme="majorHAnsi" w:hAnsiTheme="majorHAnsi"/>
          <w:i/>
          <w:iCs/>
          <w:noProof/>
          <w:szCs w:val="22"/>
          <w:lang w:val="es-ES"/>
        </w:rPr>
        <w:t>Ciencia Indígena de los Andes del Norte de Chile</w:t>
      </w:r>
      <w:r w:rsidRPr="003338D7">
        <w:rPr>
          <w:rFonts w:asciiTheme="majorHAnsi" w:hAnsiTheme="majorHAnsi"/>
          <w:noProof/>
          <w:szCs w:val="22"/>
          <w:lang w:val="es-ES"/>
        </w:rPr>
        <w:t xml:space="preserve">. </w:t>
      </w:r>
      <w:r w:rsidRPr="003338D7">
        <w:rPr>
          <w:rFonts w:asciiTheme="majorHAnsi" w:hAnsiTheme="majorHAnsi"/>
          <w:noProof/>
          <w:szCs w:val="22"/>
        </w:rPr>
        <w:t>Santiago. Chile: Editorial Universitaria.</w:t>
      </w:r>
    </w:p>
    <w:p w14:paraId="35BA33A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pt-BR"/>
        </w:rPr>
        <w:t xml:space="preserve">Villagrán, C., &amp; Hinojosa, L. F. (1997). </w:t>
      </w:r>
      <w:r w:rsidRPr="003338D7">
        <w:rPr>
          <w:rFonts w:asciiTheme="majorHAnsi" w:hAnsiTheme="majorHAnsi"/>
          <w:noProof/>
          <w:szCs w:val="22"/>
        </w:rPr>
        <w:t xml:space="preserve">History of the forests of southern South America .2. phytogeographical analysis. </w:t>
      </w:r>
      <w:r w:rsidRPr="003338D7">
        <w:rPr>
          <w:rFonts w:asciiTheme="majorHAnsi" w:hAnsiTheme="majorHAnsi"/>
          <w:i/>
          <w:iCs/>
          <w:noProof/>
          <w:szCs w:val="22"/>
          <w:lang w:val="es-ES"/>
        </w:rPr>
        <w:t>Revista Chilena de Historia Natural</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70</w:t>
      </w:r>
      <w:r w:rsidRPr="003338D7">
        <w:rPr>
          <w:rFonts w:asciiTheme="majorHAnsi" w:hAnsiTheme="majorHAnsi"/>
          <w:noProof/>
          <w:szCs w:val="22"/>
          <w:lang w:val="es-ES"/>
        </w:rPr>
        <w:t>(2), 241–267.</w:t>
      </w:r>
    </w:p>
    <w:p w14:paraId="435C03B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lang w:val="es-ES"/>
        </w:rPr>
        <w:t xml:space="preserve">Villagrán, C., Romo, M., &amp; Castro, V. (2003). Etnobotánica del sur de los Andes de la primera Región de Chile: un enlace entre las culturas altiplánicas y las de quebradas altas del Loa superior. </w:t>
      </w:r>
      <w:r w:rsidRPr="003338D7">
        <w:rPr>
          <w:rFonts w:asciiTheme="majorHAnsi" w:hAnsiTheme="majorHAnsi"/>
          <w:i/>
          <w:iCs/>
          <w:noProof/>
          <w:szCs w:val="22"/>
          <w:lang w:val="de-DE"/>
        </w:rPr>
        <w:t>Chungará</w:t>
      </w:r>
      <w:r w:rsidRPr="003338D7">
        <w:rPr>
          <w:rFonts w:asciiTheme="majorHAnsi" w:hAnsiTheme="majorHAnsi"/>
          <w:noProof/>
          <w:szCs w:val="22"/>
          <w:lang w:val="de-DE"/>
        </w:rPr>
        <w:t xml:space="preserve">, </w:t>
      </w:r>
      <w:r w:rsidRPr="003338D7">
        <w:rPr>
          <w:rFonts w:asciiTheme="majorHAnsi" w:hAnsiTheme="majorHAnsi"/>
          <w:i/>
          <w:iCs/>
          <w:noProof/>
          <w:szCs w:val="22"/>
          <w:lang w:val="de-DE"/>
        </w:rPr>
        <w:t>35</w:t>
      </w:r>
      <w:r w:rsidRPr="003338D7">
        <w:rPr>
          <w:rFonts w:asciiTheme="majorHAnsi" w:hAnsiTheme="majorHAnsi"/>
          <w:noProof/>
          <w:szCs w:val="22"/>
          <w:lang w:val="de-DE"/>
        </w:rPr>
        <w:t>(1), 73–124.</w:t>
      </w:r>
    </w:p>
    <w:p w14:paraId="3C06E42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Villalba, R., Boninsegna, J. A., Veblen, T. T., Schmelter, A., &amp; Rubulis, S. (1997). </w:t>
      </w:r>
      <w:r w:rsidRPr="003338D7">
        <w:rPr>
          <w:rFonts w:asciiTheme="majorHAnsi" w:hAnsiTheme="majorHAnsi"/>
          <w:noProof/>
          <w:szCs w:val="22"/>
        </w:rPr>
        <w:t xml:space="preserve">Recent trends in tree-ring records from high elevation sites in the Andes of northern Patagonia. </w:t>
      </w:r>
      <w:r w:rsidRPr="003338D7">
        <w:rPr>
          <w:rFonts w:asciiTheme="majorHAnsi" w:hAnsiTheme="majorHAnsi"/>
          <w:i/>
          <w:iCs/>
          <w:noProof/>
          <w:szCs w:val="22"/>
        </w:rPr>
        <w:t>Climatic Change</w:t>
      </w:r>
      <w:r w:rsidRPr="003338D7">
        <w:rPr>
          <w:rFonts w:asciiTheme="majorHAnsi" w:hAnsiTheme="majorHAnsi"/>
          <w:noProof/>
          <w:szCs w:val="22"/>
        </w:rPr>
        <w:t xml:space="preserve">, </w:t>
      </w:r>
      <w:r w:rsidRPr="003338D7">
        <w:rPr>
          <w:rFonts w:asciiTheme="majorHAnsi" w:hAnsiTheme="majorHAnsi"/>
          <w:i/>
          <w:iCs/>
          <w:noProof/>
          <w:szCs w:val="22"/>
        </w:rPr>
        <w:t>36</w:t>
      </w:r>
      <w:r w:rsidRPr="003338D7">
        <w:rPr>
          <w:rFonts w:asciiTheme="majorHAnsi" w:hAnsiTheme="majorHAnsi"/>
          <w:noProof/>
          <w:szCs w:val="22"/>
        </w:rPr>
        <w:t xml:space="preserve">(3–4), 425–454. </w:t>
      </w:r>
      <w:hyperlink r:id="rId913" w:history="1">
        <w:r w:rsidRPr="003338D7">
          <w:rPr>
            <w:rStyle w:val="Hyperlink"/>
            <w:rFonts w:asciiTheme="majorHAnsi" w:hAnsiTheme="majorHAnsi"/>
            <w:noProof/>
            <w:szCs w:val="22"/>
          </w:rPr>
          <w:t>http://doi.org/10.1023/a:1005366317996</w:t>
        </w:r>
      </w:hyperlink>
    </w:p>
    <w:p w14:paraId="6F6BD59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Villamagna, A. M., &amp; Murphy, B. R. (2010). Ecological and socio-economic impacts of invasive water hyacinth (Eichhornia crassipes): a review. </w:t>
      </w:r>
      <w:r w:rsidRPr="003338D7">
        <w:rPr>
          <w:rFonts w:asciiTheme="majorHAnsi" w:hAnsiTheme="majorHAnsi"/>
          <w:i/>
          <w:iCs/>
          <w:noProof/>
          <w:szCs w:val="22"/>
        </w:rPr>
        <w:t>Freshwater Biology</w:t>
      </w:r>
      <w:r w:rsidRPr="003338D7">
        <w:rPr>
          <w:rFonts w:asciiTheme="majorHAnsi" w:hAnsiTheme="majorHAnsi"/>
          <w:noProof/>
          <w:szCs w:val="22"/>
        </w:rPr>
        <w:t xml:space="preserve">, </w:t>
      </w:r>
      <w:r w:rsidRPr="003338D7">
        <w:rPr>
          <w:rFonts w:asciiTheme="majorHAnsi" w:hAnsiTheme="majorHAnsi"/>
          <w:i/>
          <w:iCs/>
          <w:noProof/>
          <w:szCs w:val="22"/>
        </w:rPr>
        <w:t>55</w:t>
      </w:r>
      <w:r w:rsidRPr="003338D7">
        <w:rPr>
          <w:rFonts w:asciiTheme="majorHAnsi" w:hAnsiTheme="majorHAnsi"/>
          <w:noProof/>
          <w:szCs w:val="22"/>
        </w:rPr>
        <w:t xml:space="preserve">(2), 282–298. </w:t>
      </w:r>
      <w:hyperlink r:id="rId914" w:history="1">
        <w:r w:rsidRPr="003338D7">
          <w:rPr>
            <w:rStyle w:val="Hyperlink"/>
            <w:rFonts w:asciiTheme="majorHAnsi" w:hAnsiTheme="majorHAnsi"/>
            <w:noProof/>
            <w:szCs w:val="22"/>
          </w:rPr>
          <w:t>http://doi.org/10.1111/j.1365-2427.2009.02294.x</w:t>
        </w:r>
      </w:hyperlink>
    </w:p>
    <w:p w14:paraId="16ED830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Villarino, S. H., Studdert, G. A., Baldassini, P., Cendoya, M. G., Ciuffoli, L., Mastrángelo, M., &amp; Piñeiro, G. (2016). Deforestation impacts on soil organic carbon stocks in the Semiarid Chaco Region, Argentina. </w:t>
      </w:r>
      <w:r w:rsidRPr="003338D7">
        <w:rPr>
          <w:rFonts w:asciiTheme="majorHAnsi" w:hAnsiTheme="majorHAnsi"/>
          <w:i/>
          <w:iCs/>
          <w:noProof/>
          <w:szCs w:val="22"/>
        </w:rPr>
        <w:t>Science of The Total Environment</w:t>
      </w:r>
      <w:r w:rsidRPr="003338D7">
        <w:rPr>
          <w:rFonts w:asciiTheme="majorHAnsi" w:hAnsiTheme="majorHAnsi"/>
          <w:noProof/>
          <w:szCs w:val="22"/>
        </w:rPr>
        <w:t xml:space="preserve">, </w:t>
      </w:r>
      <w:r w:rsidRPr="003338D7">
        <w:rPr>
          <w:rFonts w:asciiTheme="majorHAnsi" w:hAnsiTheme="majorHAnsi"/>
          <w:i/>
          <w:iCs/>
          <w:noProof/>
          <w:szCs w:val="22"/>
        </w:rPr>
        <w:t>575</w:t>
      </w:r>
      <w:r w:rsidRPr="003338D7">
        <w:rPr>
          <w:rFonts w:asciiTheme="majorHAnsi" w:hAnsiTheme="majorHAnsi"/>
          <w:noProof/>
          <w:szCs w:val="22"/>
        </w:rPr>
        <w:t xml:space="preserve">, 1056–1065. </w:t>
      </w:r>
      <w:hyperlink r:id="rId915" w:history="1">
        <w:r w:rsidRPr="003338D7">
          <w:rPr>
            <w:rStyle w:val="Hyperlink"/>
            <w:rFonts w:asciiTheme="majorHAnsi" w:hAnsiTheme="majorHAnsi"/>
            <w:noProof/>
            <w:szCs w:val="22"/>
          </w:rPr>
          <w:t>http://doi.org/10.1016/j.scitotenv.2016.09.175</w:t>
        </w:r>
      </w:hyperlink>
    </w:p>
    <w:p w14:paraId="30C9865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Villegas, M., &amp; Garitano-Zavala, Á. (2010). </w:t>
      </w:r>
      <w:r w:rsidRPr="003338D7">
        <w:rPr>
          <w:rFonts w:asciiTheme="majorHAnsi" w:hAnsiTheme="majorHAnsi"/>
          <w:noProof/>
          <w:szCs w:val="22"/>
        </w:rPr>
        <w:t xml:space="preserve">Bird community responses to different urban conditions in La Paz, Bolivia. </w:t>
      </w:r>
      <w:r w:rsidRPr="003338D7">
        <w:rPr>
          <w:rFonts w:asciiTheme="majorHAnsi" w:hAnsiTheme="majorHAnsi"/>
          <w:i/>
          <w:iCs/>
          <w:noProof/>
          <w:szCs w:val="22"/>
        </w:rPr>
        <w:t>Urban Ecosystems</w:t>
      </w:r>
      <w:r w:rsidRPr="003338D7">
        <w:rPr>
          <w:rFonts w:asciiTheme="majorHAnsi" w:hAnsiTheme="majorHAnsi"/>
          <w:noProof/>
          <w:szCs w:val="22"/>
        </w:rPr>
        <w:t xml:space="preserve">, </w:t>
      </w:r>
      <w:r w:rsidRPr="003338D7">
        <w:rPr>
          <w:rFonts w:asciiTheme="majorHAnsi" w:hAnsiTheme="majorHAnsi"/>
          <w:i/>
          <w:iCs/>
          <w:noProof/>
          <w:szCs w:val="22"/>
        </w:rPr>
        <w:t>13</w:t>
      </w:r>
      <w:r w:rsidRPr="003338D7">
        <w:rPr>
          <w:rFonts w:asciiTheme="majorHAnsi" w:hAnsiTheme="majorHAnsi"/>
          <w:noProof/>
          <w:szCs w:val="22"/>
        </w:rPr>
        <w:t xml:space="preserve">(3), 375–391. </w:t>
      </w:r>
      <w:hyperlink r:id="rId916" w:history="1">
        <w:r w:rsidRPr="003338D7">
          <w:rPr>
            <w:rStyle w:val="Hyperlink"/>
            <w:rFonts w:asciiTheme="majorHAnsi" w:hAnsiTheme="majorHAnsi"/>
            <w:noProof/>
            <w:szCs w:val="22"/>
          </w:rPr>
          <w:t>http://doi.org/10.1007/s11252-010-0126-7</w:t>
        </w:r>
      </w:hyperlink>
    </w:p>
    <w:p w14:paraId="3E3320F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Vitousek, P. M., Naylor, R., Crews, T., David, M. B., Drinkwater, L. E., Holland, E., Johnes, P. J., Katzenberger, J., Martinelli, L. A., Matson, P. A., Nziguheba, G., Ojima, D., Palm, C. A., Robertson, G. P., Sanchez, P. A., Townsend, A. R., &amp; Zhang, F. S. (2009). Agriculture. Nutrient imbalances in agricultural development. </w:t>
      </w:r>
      <w:r w:rsidRPr="003338D7">
        <w:rPr>
          <w:rFonts w:asciiTheme="majorHAnsi" w:hAnsiTheme="majorHAnsi"/>
          <w:i/>
          <w:iCs/>
          <w:noProof/>
          <w:szCs w:val="22"/>
          <w:lang w:val="es-ES"/>
        </w:rPr>
        <w:t>Science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324</w:t>
      </w:r>
      <w:r w:rsidRPr="003338D7">
        <w:rPr>
          <w:rFonts w:asciiTheme="majorHAnsi" w:hAnsiTheme="majorHAnsi"/>
          <w:noProof/>
          <w:szCs w:val="22"/>
          <w:lang w:val="es-ES"/>
        </w:rPr>
        <w:t xml:space="preserve">, 1519–1520. </w:t>
      </w:r>
      <w:hyperlink r:id="rId917" w:history="1">
        <w:r w:rsidRPr="003338D7">
          <w:rPr>
            <w:rStyle w:val="Hyperlink"/>
            <w:rFonts w:asciiTheme="majorHAnsi" w:hAnsiTheme="majorHAnsi"/>
            <w:noProof/>
            <w:szCs w:val="22"/>
            <w:lang w:val="es-ES"/>
          </w:rPr>
          <w:t>https://doi.org/10.1126/science.1170261</w:t>
        </w:r>
      </w:hyperlink>
    </w:p>
    <w:p w14:paraId="4A84F63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Vitt, D. H. (2016). Peatlands of continental North America. In C. M. Finalyson, R. Milton, C. Prentice, &amp; N. C. Davidson (Eds.), </w:t>
      </w:r>
      <w:r w:rsidRPr="003338D7">
        <w:rPr>
          <w:rFonts w:asciiTheme="majorHAnsi" w:hAnsiTheme="majorHAnsi"/>
          <w:i/>
          <w:iCs/>
          <w:noProof/>
          <w:szCs w:val="22"/>
        </w:rPr>
        <w:t>The Wetland Book, II. Distribution, Description, and Conservation.</w:t>
      </w:r>
      <w:r w:rsidRPr="003338D7">
        <w:rPr>
          <w:rFonts w:asciiTheme="majorHAnsi" w:hAnsiTheme="majorHAnsi"/>
          <w:noProof/>
          <w:szCs w:val="22"/>
        </w:rPr>
        <w:t xml:space="preserve"> (pp. 1–6). Dordrecht, Netherlands: Springer.</w:t>
      </w:r>
    </w:p>
    <w:p w14:paraId="69E60B7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Vo, Q. T., Kuenzer, C., Vo, Q. M., Moder, F., &amp; Oppelt, N. (2012). Review of valuation methods for mangrove ecosystem services. </w:t>
      </w:r>
      <w:r w:rsidRPr="003338D7">
        <w:rPr>
          <w:rFonts w:asciiTheme="majorHAnsi" w:hAnsiTheme="majorHAnsi"/>
          <w:i/>
          <w:iCs/>
          <w:noProof/>
          <w:szCs w:val="22"/>
        </w:rPr>
        <w:t>Ecological Indicators</w:t>
      </w:r>
      <w:r w:rsidRPr="003338D7">
        <w:rPr>
          <w:rFonts w:asciiTheme="majorHAnsi" w:hAnsiTheme="majorHAnsi"/>
          <w:noProof/>
          <w:szCs w:val="22"/>
        </w:rPr>
        <w:t xml:space="preserve">, </w:t>
      </w:r>
      <w:r w:rsidRPr="003338D7">
        <w:rPr>
          <w:rFonts w:asciiTheme="majorHAnsi" w:hAnsiTheme="majorHAnsi"/>
          <w:i/>
          <w:iCs/>
          <w:noProof/>
          <w:szCs w:val="22"/>
        </w:rPr>
        <w:t>23</w:t>
      </w:r>
      <w:r w:rsidRPr="003338D7">
        <w:rPr>
          <w:rFonts w:asciiTheme="majorHAnsi" w:hAnsiTheme="majorHAnsi"/>
          <w:noProof/>
          <w:szCs w:val="22"/>
        </w:rPr>
        <w:t xml:space="preserve">, 431–446. </w:t>
      </w:r>
      <w:hyperlink r:id="rId918" w:history="1">
        <w:r w:rsidRPr="003338D7">
          <w:rPr>
            <w:rStyle w:val="Hyperlink"/>
            <w:rFonts w:asciiTheme="majorHAnsi" w:hAnsiTheme="majorHAnsi"/>
            <w:noProof/>
            <w:szCs w:val="22"/>
          </w:rPr>
          <w:t>http://doi.org/10.1016/j.ecolind.2012.04.022</w:t>
        </w:r>
      </w:hyperlink>
    </w:p>
    <w:p w14:paraId="3953E27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Vörösmarty, C. J., Green, P., Salisbury, J., &amp; Lammers, R. B. (2000). Global water resources: vulnerability from climate change and population growth.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289</w:t>
      </w:r>
      <w:r w:rsidRPr="003338D7">
        <w:rPr>
          <w:rFonts w:asciiTheme="majorHAnsi" w:hAnsiTheme="majorHAnsi"/>
          <w:noProof/>
          <w:szCs w:val="22"/>
        </w:rPr>
        <w:t xml:space="preserve">(5477), 284–288. </w:t>
      </w:r>
      <w:hyperlink r:id="rId919" w:history="1">
        <w:r w:rsidRPr="003338D7">
          <w:rPr>
            <w:rStyle w:val="Hyperlink"/>
            <w:rFonts w:asciiTheme="majorHAnsi" w:hAnsiTheme="majorHAnsi"/>
            <w:noProof/>
            <w:szCs w:val="22"/>
          </w:rPr>
          <w:t>http://doi.org/10.1126/science.289.5477.284</w:t>
        </w:r>
      </w:hyperlink>
    </w:p>
    <w:p w14:paraId="622425E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Vörösmarty, C. J., McIntyre, P. B., Gessner, M. O., Dudgeon, D., Prusevich, A., Green, P., Glidden, S., Bunn, S. E., Sullivan, C. A., Liermann, C. R., &amp; Davies, P. M. (2010). Global threats to human water security and river biodiversity.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467</w:t>
      </w:r>
      <w:r w:rsidRPr="003338D7">
        <w:rPr>
          <w:rFonts w:asciiTheme="majorHAnsi" w:hAnsiTheme="majorHAnsi"/>
          <w:noProof/>
          <w:szCs w:val="22"/>
          <w:lang w:val="es-ES"/>
        </w:rPr>
        <w:t xml:space="preserve">(7315), 555–561. </w:t>
      </w:r>
      <w:hyperlink r:id="rId920" w:history="1">
        <w:r w:rsidRPr="003338D7">
          <w:rPr>
            <w:rStyle w:val="Hyperlink"/>
            <w:rFonts w:asciiTheme="majorHAnsi" w:hAnsiTheme="majorHAnsi"/>
            <w:noProof/>
            <w:szCs w:val="22"/>
            <w:lang w:val="es-ES"/>
          </w:rPr>
          <w:t>https://doi.org/10.1038/nature09549</w:t>
        </w:r>
      </w:hyperlink>
    </w:p>
    <w:p w14:paraId="1FCF08F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Voss, R. S., &amp; Emmons, L. H. (1996). Mammalian diversity in neotropical lowland rainforests: a preliminary assessment. </w:t>
      </w:r>
      <w:r w:rsidRPr="003338D7">
        <w:rPr>
          <w:rFonts w:asciiTheme="majorHAnsi" w:hAnsiTheme="majorHAnsi"/>
          <w:i/>
          <w:iCs/>
          <w:noProof/>
          <w:szCs w:val="22"/>
        </w:rPr>
        <w:t>Bulletin of the American Museum of Natural History</w:t>
      </w:r>
      <w:r w:rsidRPr="003338D7">
        <w:rPr>
          <w:rFonts w:asciiTheme="majorHAnsi" w:hAnsiTheme="majorHAnsi"/>
          <w:noProof/>
          <w:szCs w:val="22"/>
        </w:rPr>
        <w:t xml:space="preserve">, </w:t>
      </w:r>
      <w:r w:rsidRPr="003338D7">
        <w:rPr>
          <w:rFonts w:asciiTheme="majorHAnsi" w:hAnsiTheme="majorHAnsi"/>
          <w:i/>
          <w:iCs/>
          <w:noProof/>
          <w:szCs w:val="22"/>
        </w:rPr>
        <w:t>230</w:t>
      </w:r>
      <w:r w:rsidRPr="003338D7">
        <w:rPr>
          <w:rFonts w:asciiTheme="majorHAnsi" w:hAnsiTheme="majorHAnsi"/>
          <w:noProof/>
          <w:szCs w:val="22"/>
        </w:rPr>
        <w:t xml:space="preserve">, 3–115. Retrieved from </w:t>
      </w:r>
      <w:hyperlink r:id="rId921" w:history="1">
        <w:r w:rsidRPr="003338D7">
          <w:rPr>
            <w:rStyle w:val="Hyperlink"/>
            <w:rFonts w:asciiTheme="majorHAnsi" w:hAnsiTheme="majorHAnsi"/>
            <w:noProof/>
            <w:szCs w:val="22"/>
          </w:rPr>
          <w:t>http://hdl.handle.net/2246/1671</w:t>
        </w:r>
      </w:hyperlink>
    </w:p>
    <w:p w14:paraId="6498348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Vuilleumier, F. (1985). Forest birds of Patagonia: ecological geography, speciation, endemism, and faunal history. </w:t>
      </w:r>
      <w:r w:rsidRPr="003338D7">
        <w:rPr>
          <w:rFonts w:asciiTheme="majorHAnsi" w:hAnsiTheme="majorHAnsi"/>
          <w:i/>
          <w:iCs/>
          <w:noProof/>
          <w:szCs w:val="22"/>
        </w:rPr>
        <w:t>Ornithological Monographs</w:t>
      </w:r>
      <w:r w:rsidRPr="003338D7">
        <w:rPr>
          <w:rFonts w:asciiTheme="majorHAnsi" w:hAnsiTheme="majorHAnsi"/>
          <w:noProof/>
          <w:szCs w:val="22"/>
        </w:rPr>
        <w:t xml:space="preserve">, </w:t>
      </w:r>
      <w:r w:rsidRPr="003338D7">
        <w:rPr>
          <w:rFonts w:asciiTheme="majorHAnsi" w:hAnsiTheme="majorHAnsi"/>
          <w:i/>
          <w:iCs/>
          <w:noProof/>
          <w:szCs w:val="22"/>
        </w:rPr>
        <w:t>36</w:t>
      </w:r>
      <w:r w:rsidRPr="003338D7">
        <w:rPr>
          <w:rFonts w:asciiTheme="majorHAnsi" w:hAnsiTheme="majorHAnsi"/>
          <w:noProof/>
          <w:szCs w:val="22"/>
        </w:rPr>
        <w:t xml:space="preserve">, 255–304. </w:t>
      </w:r>
      <w:hyperlink r:id="rId922" w:history="1">
        <w:r w:rsidRPr="003338D7">
          <w:rPr>
            <w:rStyle w:val="Hyperlink"/>
            <w:rFonts w:asciiTheme="majorHAnsi" w:hAnsiTheme="majorHAnsi"/>
            <w:noProof/>
            <w:szCs w:val="22"/>
          </w:rPr>
          <w:t>http://doi.org/10.2307/40168287</w:t>
        </w:r>
      </w:hyperlink>
    </w:p>
    <w:p w14:paraId="3E24642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Vynne, C., Booth, R. K., &amp; Wasser, S. K. (2014). Physiological implications of landscape use by free-ranging maned wolves (Chrysocyon brachyurus) in Brazil. </w:t>
      </w:r>
      <w:r w:rsidRPr="003338D7">
        <w:rPr>
          <w:rFonts w:asciiTheme="majorHAnsi" w:hAnsiTheme="majorHAnsi"/>
          <w:i/>
          <w:iCs/>
          <w:noProof/>
          <w:szCs w:val="22"/>
        </w:rPr>
        <w:t>Journal of Mammalogy</w:t>
      </w:r>
      <w:r w:rsidRPr="003338D7">
        <w:rPr>
          <w:rFonts w:asciiTheme="majorHAnsi" w:hAnsiTheme="majorHAnsi"/>
          <w:noProof/>
          <w:szCs w:val="22"/>
        </w:rPr>
        <w:t xml:space="preserve">, </w:t>
      </w:r>
      <w:r w:rsidRPr="003338D7">
        <w:rPr>
          <w:rFonts w:asciiTheme="majorHAnsi" w:hAnsiTheme="majorHAnsi"/>
          <w:i/>
          <w:iCs/>
          <w:noProof/>
          <w:szCs w:val="22"/>
        </w:rPr>
        <w:t>95</w:t>
      </w:r>
      <w:r w:rsidRPr="003338D7">
        <w:rPr>
          <w:rFonts w:asciiTheme="majorHAnsi" w:hAnsiTheme="majorHAnsi"/>
          <w:noProof/>
          <w:szCs w:val="22"/>
        </w:rPr>
        <w:t xml:space="preserve">(4), 696–706. </w:t>
      </w:r>
      <w:hyperlink r:id="rId923" w:history="1">
        <w:r w:rsidRPr="003338D7">
          <w:rPr>
            <w:rStyle w:val="Hyperlink"/>
            <w:rFonts w:asciiTheme="majorHAnsi" w:hAnsiTheme="majorHAnsi"/>
            <w:noProof/>
            <w:szCs w:val="22"/>
          </w:rPr>
          <w:t>http://doi.org/10.1644/12-MAMM-A-247</w:t>
        </w:r>
      </w:hyperlink>
    </w:p>
    <w:p w14:paraId="15240E9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Walker, D. A., &amp; Everett, K. R. (1987). Road dust and its environmental impact on Alaskan taiga and tundra. </w:t>
      </w:r>
      <w:r w:rsidRPr="003338D7">
        <w:rPr>
          <w:rFonts w:asciiTheme="majorHAnsi" w:hAnsiTheme="majorHAnsi"/>
          <w:i/>
          <w:iCs/>
          <w:noProof/>
          <w:szCs w:val="22"/>
        </w:rPr>
        <w:t>Arctic and Alpine Research</w:t>
      </w:r>
      <w:r w:rsidRPr="003338D7">
        <w:rPr>
          <w:rFonts w:asciiTheme="majorHAnsi" w:hAnsiTheme="majorHAnsi"/>
          <w:noProof/>
          <w:szCs w:val="22"/>
        </w:rPr>
        <w:t xml:space="preserve">, </w:t>
      </w:r>
      <w:r w:rsidRPr="003338D7">
        <w:rPr>
          <w:rFonts w:asciiTheme="majorHAnsi" w:hAnsiTheme="majorHAnsi"/>
          <w:i/>
          <w:iCs/>
          <w:noProof/>
          <w:szCs w:val="22"/>
        </w:rPr>
        <w:t>19</w:t>
      </w:r>
      <w:r w:rsidRPr="003338D7">
        <w:rPr>
          <w:rFonts w:asciiTheme="majorHAnsi" w:hAnsiTheme="majorHAnsi"/>
          <w:noProof/>
          <w:szCs w:val="22"/>
        </w:rPr>
        <w:t xml:space="preserve">(4), 479–489. </w:t>
      </w:r>
      <w:hyperlink r:id="rId924" w:history="1">
        <w:r w:rsidRPr="003338D7">
          <w:rPr>
            <w:rStyle w:val="Hyperlink"/>
            <w:rFonts w:asciiTheme="majorHAnsi" w:hAnsiTheme="majorHAnsi"/>
            <w:noProof/>
            <w:szCs w:val="22"/>
          </w:rPr>
          <w:t>http://doi.org/10.2307/1551414</w:t>
        </w:r>
      </w:hyperlink>
    </w:p>
    <w:p w14:paraId="235023C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Walker, J. S., Grimm, N. B., Briggs, J. M., Gries, C., &amp; Dugan, L. (2009). Effects of urbanization on plant species diversity in central Arizona. </w:t>
      </w:r>
      <w:r w:rsidRPr="003338D7">
        <w:rPr>
          <w:rFonts w:asciiTheme="majorHAnsi" w:hAnsiTheme="majorHAnsi"/>
          <w:i/>
          <w:iCs/>
          <w:noProof/>
          <w:szCs w:val="22"/>
        </w:rPr>
        <w:t>Frontiers in Ecology and the Environment</w:t>
      </w:r>
      <w:r w:rsidRPr="003338D7">
        <w:rPr>
          <w:rFonts w:asciiTheme="majorHAnsi" w:hAnsiTheme="majorHAnsi"/>
          <w:noProof/>
          <w:szCs w:val="22"/>
        </w:rPr>
        <w:t xml:space="preserve">, </w:t>
      </w:r>
      <w:r w:rsidRPr="003338D7">
        <w:rPr>
          <w:rFonts w:asciiTheme="majorHAnsi" w:hAnsiTheme="majorHAnsi"/>
          <w:i/>
          <w:iCs/>
          <w:noProof/>
          <w:szCs w:val="22"/>
        </w:rPr>
        <w:t>7</w:t>
      </w:r>
      <w:r w:rsidRPr="003338D7">
        <w:rPr>
          <w:rFonts w:asciiTheme="majorHAnsi" w:hAnsiTheme="majorHAnsi"/>
          <w:noProof/>
          <w:szCs w:val="22"/>
        </w:rPr>
        <w:t xml:space="preserve">(9), 465–470. </w:t>
      </w:r>
      <w:hyperlink r:id="rId925" w:history="1">
        <w:r w:rsidRPr="003338D7">
          <w:rPr>
            <w:rStyle w:val="Hyperlink"/>
            <w:rFonts w:asciiTheme="majorHAnsi" w:hAnsiTheme="majorHAnsi"/>
            <w:noProof/>
            <w:szCs w:val="22"/>
          </w:rPr>
          <w:t>http://doi.org/10.1890/080084</w:t>
        </w:r>
      </w:hyperlink>
    </w:p>
    <w:p w14:paraId="54784A6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Walker, M. D. (1995). Patterns and causes of Arctic plant community diversity. In F. S. Chapin III &amp; C. Körner (Eds.), </w:t>
      </w:r>
      <w:r w:rsidRPr="003338D7">
        <w:rPr>
          <w:rFonts w:asciiTheme="majorHAnsi" w:hAnsiTheme="majorHAnsi"/>
          <w:i/>
          <w:iCs/>
          <w:noProof/>
          <w:szCs w:val="22"/>
        </w:rPr>
        <w:t>Arctic and Alpine Biodiversity: Patterns, Causes and Ecosystem Consequences</w:t>
      </w:r>
      <w:r w:rsidRPr="003338D7">
        <w:rPr>
          <w:rFonts w:asciiTheme="majorHAnsi" w:hAnsiTheme="majorHAnsi"/>
          <w:noProof/>
          <w:szCs w:val="22"/>
        </w:rPr>
        <w:t xml:space="preserve"> (pp. 3–20). Berlin, Germany: Springer.</w:t>
      </w:r>
    </w:p>
    <w:p w14:paraId="25CA259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Walters, B. B., &amp; Hansen, L. (2013). Farmed landscapes, trees and forest conservation in Saint Lucia (West Indies). </w:t>
      </w:r>
      <w:r w:rsidRPr="003338D7">
        <w:rPr>
          <w:rFonts w:asciiTheme="majorHAnsi" w:hAnsiTheme="majorHAnsi"/>
          <w:i/>
          <w:iCs/>
          <w:noProof/>
          <w:szCs w:val="22"/>
        </w:rPr>
        <w:t>Environmental Conservation</w:t>
      </w:r>
      <w:r w:rsidRPr="003338D7">
        <w:rPr>
          <w:rFonts w:asciiTheme="majorHAnsi" w:hAnsiTheme="majorHAnsi"/>
          <w:noProof/>
          <w:szCs w:val="22"/>
        </w:rPr>
        <w:t xml:space="preserve">, </w:t>
      </w:r>
      <w:r w:rsidRPr="003338D7">
        <w:rPr>
          <w:rFonts w:asciiTheme="majorHAnsi" w:hAnsiTheme="majorHAnsi"/>
          <w:i/>
          <w:iCs/>
          <w:noProof/>
          <w:szCs w:val="22"/>
        </w:rPr>
        <w:t>40</w:t>
      </w:r>
      <w:r w:rsidRPr="003338D7">
        <w:rPr>
          <w:rFonts w:asciiTheme="majorHAnsi" w:hAnsiTheme="majorHAnsi"/>
          <w:noProof/>
          <w:szCs w:val="22"/>
        </w:rPr>
        <w:t xml:space="preserve">(3), 211–221. </w:t>
      </w:r>
      <w:hyperlink r:id="rId926" w:history="1">
        <w:r w:rsidRPr="003338D7">
          <w:rPr>
            <w:rStyle w:val="Hyperlink"/>
            <w:rFonts w:asciiTheme="majorHAnsi" w:hAnsiTheme="majorHAnsi"/>
            <w:noProof/>
            <w:szCs w:val="22"/>
          </w:rPr>
          <w:t>http://doi.org/10.1017/S0376892912000446</w:t>
        </w:r>
      </w:hyperlink>
    </w:p>
    <w:p w14:paraId="5711984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Watling, L., &amp; Norse, E. A. (1998). Disturbance of the seabed by mobile fishing gear: a comparison to forest clearcutting.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12</w:t>
      </w:r>
      <w:r w:rsidRPr="003338D7">
        <w:rPr>
          <w:rFonts w:asciiTheme="majorHAnsi" w:hAnsiTheme="majorHAnsi"/>
          <w:noProof/>
          <w:szCs w:val="22"/>
        </w:rPr>
        <w:t xml:space="preserve">(6), 1180–1197. </w:t>
      </w:r>
      <w:hyperlink r:id="rId927" w:history="1">
        <w:r w:rsidRPr="003338D7">
          <w:rPr>
            <w:rStyle w:val="Hyperlink"/>
            <w:rFonts w:asciiTheme="majorHAnsi" w:hAnsiTheme="majorHAnsi"/>
            <w:noProof/>
            <w:szCs w:val="22"/>
          </w:rPr>
          <w:t>http://doi.org/10.1046/j.1523-1739.1998.0120061180.x</w:t>
        </w:r>
      </w:hyperlink>
    </w:p>
    <w:p w14:paraId="590AD37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Watson, J. E. M., Dudley, N., Segan, D. B., &amp; Hockings, M. (2014). The performance and potential of protected areas. </w:t>
      </w:r>
      <w:r w:rsidRPr="003338D7">
        <w:rPr>
          <w:rFonts w:asciiTheme="majorHAnsi" w:hAnsiTheme="majorHAnsi"/>
          <w:i/>
          <w:iCs/>
          <w:noProof/>
          <w:szCs w:val="22"/>
        </w:rPr>
        <w:t>Nature</w:t>
      </w:r>
      <w:r w:rsidRPr="003338D7">
        <w:rPr>
          <w:rFonts w:asciiTheme="majorHAnsi" w:hAnsiTheme="majorHAnsi"/>
          <w:noProof/>
          <w:szCs w:val="22"/>
        </w:rPr>
        <w:t xml:space="preserve">, </w:t>
      </w:r>
      <w:r w:rsidRPr="003338D7">
        <w:rPr>
          <w:rFonts w:asciiTheme="majorHAnsi" w:hAnsiTheme="majorHAnsi"/>
          <w:i/>
          <w:iCs/>
          <w:noProof/>
          <w:szCs w:val="22"/>
        </w:rPr>
        <w:t>515</w:t>
      </w:r>
      <w:r w:rsidRPr="003338D7">
        <w:rPr>
          <w:rFonts w:asciiTheme="majorHAnsi" w:hAnsiTheme="majorHAnsi"/>
          <w:noProof/>
          <w:szCs w:val="22"/>
        </w:rPr>
        <w:t xml:space="preserve">(7525), 67–73. </w:t>
      </w:r>
      <w:hyperlink r:id="rId928" w:history="1">
        <w:r w:rsidRPr="003338D7">
          <w:rPr>
            <w:rStyle w:val="Hyperlink"/>
            <w:rFonts w:asciiTheme="majorHAnsi" w:hAnsiTheme="majorHAnsi"/>
            <w:noProof/>
            <w:szCs w:val="22"/>
          </w:rPr>
          <w:t>http://doi.org/10.1038/nature13947</w:t>
        </w:r>
      </w:hyperlink>
    </w:p>
    <w:p w14:paraId="0F609FD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Webb, C. O., Ackerly, D. D., McPeek, M. A., &amp; Donoghue, M. J. (2002). Phylogenies and community ecology. </w:t>
      </w:r>
      <w:r w:rsidRPr="003338D7">
        <w:rPr>
          <w:rFonts w:asciiTheme="majorHAnsi" w:hAnsiTheme="majorHAnsi"/>
          <w:i/>
          <w:iCs/>
          <w:noProof/>
          <w:szCs w:val="22"/>
        </w:rPr>
        <w:t>Annual Review of Ecology and Systematics</w:t>
      </w:r>
      <w:r w:rsidRPr="003338D7">
        <w:rPr>
          <w:rFonts w:asciiTheme="majorHAnsi" w:hAnsiTheme="majorHAnsi"/>
          <w:noProof/>
          <w:szCs w:val="22"/>
        </w:rPr>
        <w:t xml:space="preserve">, </w:t>
      </w:r>
      <w:r w:rsidRPr="003338D7">
        <w:rPr>
          <w:rFonts w:asciiTheme="majorHAnsi" w:hAnsiTheme="majorHAnsi"/>
          <w:i/>
          <w:iCs/>
          <w:noProof/>
          <w:szCs w:val="22"/>
        </w:rPr>
        <w:t>33</w:t>
      </w:r>
      <w:r w:rsidRPr="003338D7">
        <w:rPr>
          <w:rFonts w:asciiTheme="majorHAnsi" w:hAnsiTheme="majorHAnsi"/>
          <w:noProof/>
          <w:szCs w:val="22"/>
        </w:rPr>
        <w:t xml:space="preserve">(1), 475–505. </w:t>
      </w:r>
      <w:hyperlink r:id="rId929" w:history="1">
        <w:r w:rsidRPr="003338D7">
          <w:rPr>
            <w:rStyle w:val="Hyperlink"/>
            <w:rFonts w:asciiTheme="majorHAnsi" w:hAnsiTheme="majorHAnsi"/>
            <w:noProof/>
            <w:szCs w:val="22"/>
          </w:rPr>
          <w:t>http://doi.org/10.1146/annurev.ecolsys.33.010802.150448</w:t>
        </w:r>
      </w:hyperlink>
    </w:p>
    <w:p w14:paraId="08E0690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Weed, A. S., Ayres, M. P., &amp; Hicke, J. A. (2013). Consequences of climate change for biotic disturbances in North American forests. </w:t>
      </w:r>
      <w:r w:rsidRPr="003338D7">
        <w:rPr>
          <w:rFonts w:asciiTheme="majorHAnsi" w:hAnsiTheme="majorHAnsi"/>
          <w:i/>
          <w:iCs/>
          <w:noProof/>
          <w:szCs w:val="22"/>
        </w:rPr>
        <w:t>Ecological Monographs</w:t>
      </w:r>
      <w:r w:rsidRPr="003338D7">
        <w:rPr>
          <w:rFonts w:asciiTheme="majorHAnsi" w:hAnsiTheme="majorHAnsi"/>
          <w:noProof/>
          <w:szCs w:val="22"/>
        </w:rPr>
        <w:t xml:space="preserve">, </w:t>
      </w:r>
      <w:r w:rsidRPr="003338D7">
        <w:rPr>
          <w:rFonts w:asciiTheme="majorHAnsi" w:hAnsiTheme="majorHAnsi"/>
          <w:i/>
          <w:iCs/>
          <w:noProof/>
          <w:szCs w:val="22"/>
        </w:rPr>
        <w:t>83</w:t>
      </w:r>
      <w:r w:rsidRPr="003338D7">
        <w:rPr>
          <w:rFonts w:asciiTheme="majorHAnsi" w:hAnsiTheme="majorHAnsi"/>
          <w:noProof/>
          <w:szCs w:val="22"/>
        </w:rPr>
        <w:t xml:space="preserve">(4), 441–470. </w:t>
      </w:r>
      <w:hyperlink r:id="rId930" w:history="1">
        <w:r w:rsidRPr="003338D7">
          <w:rPr>
            <w:rStyle w:val="Hyperlink"/>
            <w:rFonts w:asciiTheme="majorHAnsi" w:hAnsiTheme="majorHAnsi"/>
            <w:noProof/>
            <w:szCs w:val="22"/>
          </w:rPr>
          <w:t>http://doi.org/10.1890/13-0160.1</w:t>
        </w:r>
      </w:hyperlink>
    </w:p>
    <w:p w14:paraId="242AD3D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Wege, D. C., Ryan, D., Varty, N., Anadon-Irizarry, V., &amp; Perez-Leroux, A. (2010). Ecosystem Profile: The Caribbean Islands Biodiversity Hotspot. Arlington, USA: Critical Ecosystem Partnership Fund.</w:t>
      </w:r>
    </w:p>
    <w:p w14:paraId="1A0CC65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de-DE"/>
        </w:rPr>
      </w:pPr>
      <w:r w:rsidRPr="003338D7">
        <w:rPr>
          <w:rFonts w:asciiTheme="majorHAnsi" w:hAnsiTheme="majorHAnsi"/>
          <w:noProof/>
          <w:szCs w:val="22"/>
          <w:lang w:val="de-DE"/>
        </w:rPr>
        <w:t xml:space="preserve">Wehrtmann, I. S., Ramírez, A., &amp; Pérez-Reyes, O. (2016). </w:t>
      </w:r>
      <w:r w:rsidRPr="003338D7">
        <w:rPr>
          <w:rFonts w:asciiTheme="majorHAnsi" w:hAnsiTheme="majorHAnsi"/>
          <w:noProof/>
          <w:szCs w:val="22"/>
        </w:rPr>
        <w:t xml:space="preserve">Freshwater decapod diversity and conservation in Central America and the Caribbean. In T. Kawai &amp; N. Cumberlidge (Eds.), </w:t>
      </w:r>
      <w:r w:rsidRPr="003338D7">
        <w:rPr>
          <w:rFonts w:asciiTheme="majorHAnsi" w:hAnsiTheme="majorHAnsi"/>
          <w:i/>
          <w:iCs/>
          <w:noProof/>
          <w:szCs w:val="22"/>
        </w:rPr>
        <w:t>A Global Overview of the Conservation of Freshwater Decapod Crustaceans</w:t>
      </w:r>
      <w:r w:rsidRPr="003338D7">
        <w:rPr>
          <w:rFonts w:asciiTheme="majorHAnsi" w:hAnsiTheme="majorHAnsi"/>
          <w:noProof/>
          <w:szCs w:val="22"/>
        </w:rPr>
        <w:t xml:space="preserve"> (pp. 267–301). </w:t>
      </w:r>
      <w:r w:rsidRPr="003338D7">
        <w:rPr>
          <w:rFonts w:asciiTheme="majorHAnsi" w:hAnsiTheme="majorHAnsi"/>
          <w:noProof/>
          <w:szCs w:val="22"/>
          <w:lang w:val="de-DE"/>
        </w:rPr>
        <w:t>Cham, Switzerlan: Springer.</w:t>
      </w:r>
    </w:p>
    <w:p w14:paraId="7721505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de-DE"/>
        </w:rPr>
        <w:t xml:space="preserve">Weigelt, A., Weisser, W. W., Buchmann, N., &amp; Scherer-Lorenzen, M. (2009). </w:t>
      </w:r>
      <w:r w:rsidRPr="003338D7">
        <w:rPr>
          <w:rFonts w:asciiTheme="majorHAnsi" w:hAnsiTheme="majorHAnsi"/>
          <w:noProof/>
          <w:szCs w:val="22"/>
        </w:rPr>
        <w:t xml:space="preserve">Biodiversity for multifunctional grasslands: equal productivity in high-diversity low-input and low-diversity high-input systems. </w:t>
      </w:r>
      <w:r w:rsidRPr="003338D7">
        <w:rPr>
          <w:rFonts w:asciiTheme="majorHAnsi" w:hAnsiTheme="majorHAnsi"/>
          <w:i/>
          <w:iCs/>
          <w:noProof/>
          <w:szCs w:val="22"/>
        </w:rPr>
        <w:t>Biogeosciences</w:t>
      </w:r>
      <w:r w:rsidRPr="003338D7">
        <w:rPr>
          <w:rFonts w:asciiTheme="majorHAnsi" w:hAnsiTheme="majorHAnsi"/>
          <w:noProof/>
          <w:szCs w:val="22"/>
        </w:rPr>
        <w:t xml:space="preserve">, </w:t>
      </w:r>
      <w:r w:rsidRPr="003338D7">
        <w:rPr>
          <w:rFonts w:asciiTheme="majorHAnsi" w:hAnsiTheme="majorHAnsi"/>
          <w:i/>
          <w:iCs/>
          <w:noProof/>
          <w:szCs w:val="22"/>
        </w:rPr>
        <w:t>6</w:t>
      </w:r>
      <w:r w:rsidRPr="003338D7">
        <w:rPr>
          <w:rFonts w:asciiTheme="majorHAnsi" w:hAnsiTheme="majorHAnsi"/>
          <w:noProof/>
          <w:szCs w:val="22"/>
        </w:rPr>
        <w:t xml:space="preserve">(8), 1695–1706. </w:t>
      </w:r>
      <w:hyperlink r:id="rId931" w:history="1">
        <w:r w:rsidRPr="003338D7">
          <w:rPr>
            <w:rStyle w:val="Hyperlink"/>
            <w:rFonts w:asciiTheme="majorHAnsi" w:hAnsiTheme="majorHAnsi"/>
            <w:noProof/>
            <w:szCs w:val="22"/>
          </w:rPr>
          <w:t>http://doi.org/10.5194/bgd-6-3187-2009</w:t>
        </w:r>
      </w:hyperlink>
    </w:p>
    <w:p w14:paraId="541412E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Wester, L. (1991). Invasions and extinctions on Masatierra (Juan Fernandez Islands): a review of early historical evidence. </w:t>
      </w:r>
      <w:r w:rsidRPr="003338D7">
        <w:rPr>
          <w:rFonts w:asciiTheme="majorHAnsi" w:hAnsiTheme="majorHAnsi"/>
          <w:i/>
          <w:iCs/>
          <w:noProof/>
          <w:szCs w:val="22"/>
        </w:rPr>
        <w:t>Journal of Historical Geography</w:t>
      </w:r>
      <w:r w:rsidRPr="003338D7">
        <w:rPr>
          <w:rFonts w:asciiTheme="majorHAnsi" w:hAnsiTheme="majorHAnsi"/>
          <w:noProof/>
          <w:szCs w:val="22"/>
        </w:rPr>
        <w:t xml:space="preserve">, </w:t>
      </w:r>
      <w:r w:rsidRPr="003338D7">
        <w:rPr>
          <w:rFonts w:asciiTheme="majorHAnsi" w:hAnsiTheme="majorHAnsi"/>
          <w:i/>
          <w:iCs/>
          <w:noProof/>
          <w:szCs w:val="22"/>
        </w:rPr>
        <w:t>17</w:t>
      </w:r>
      <w:r w:rsidRPr="003338D7">
        <w:rPr>
          <w:rFonts w:asciiTheme="majorHAnsi" w:hAnsiTheme="majorHAnsi"/>
          <w:noProof/>
          <w:szCs w:val="22"/>
        </w:rPr>
        <w:t xml:space="preserve">(1), 18–34. </w:t>
      </w:r>
      <w:hyperlink r:id="rId932" w:history="1">
        <w:r w:rsidRPr="003338D7">
          <w:rPr>
            <w:rStyle w:val="Hyperlink"/>
            <w:rFonts w:asciiTheme="majorHAnsi" w:hAnsiTheme="majorHAnsi"/>
            <w:noProof/>
            <w:szCs w:val="22"/>
          </w:rPr>
          <w:t>http://doi.org/10.1016/0305-7488(91)90003-E</w:t>
        </w:r>
      </w:hyperlink>
    </w:p>
    <w:p w14:paraId="212677D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Westerling, A. L., Hidalgo, H. G., Cayan, D. R., &amp; Swetnam, T. W. (2006). Warming and earlier spring increase western U.S. forest wildfire activity.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313</w:t>
      </w:r>
      <w:r w:rsidRPr="003338D7">
        <w:rPr>
          <w:rFonts w:asciiTheme="majorHAnsi" w:hAnsiTheme="majorHAnsi"/>
          <w:noProof/>
          <w:szCs w:val="22"/>
        </w:rPr>
        <w:t>(5789), 940–943.</w:t>
      </w:r>
      <w:hyperlink r:id="rId933" w:history="1">
        <w:r w:rsidRPr="003338D7">
          <w:rPr>
            <w:rStyle w:val="Hyperlink"/>
            <w:rFonts w:asciiTheme="majorHAnsi" w:hAnsiTheme="majorHAnsi"/>
            <w:noProof/>
            <w:szCs w:val="22"/>
          </w:rPr>
          <w:t>http://doi.org/10.1126/science.1128834</w:t>
        </w:r>
      </w:hyperlink>
    </w:p>
    <w:p w14:paraId="5BD0755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Westoby, M. (1998). A leaf-height-seed (LHS) plant ecology strategy scheme. </w:t>
      </w:r>
      <w:r w:rsidRPr="003338D7">
        <w:rPr>
          <w:rFonts w:asciiTheme="majorHAnsi" w:hAnsiTheme="majorHAnsi"/>
          <w:i/>
          <w:iCs/>
          <w:noProof/>
          <w:szCs w:val="22"/>
        </w:rPr>
        <w:t>Plant and Soil</w:t>
      </w:r>
      <w:r w:rsidRPr="003338D7">
        <w:rPr>
          <w:rFonts w:asciiTheme="majorHAnsi" w:hAnsiTheme="majorHAnsi"/>
          <w:noProof/>
          <w:szCs w:val="22"/>
        </w:rPr>
        <w:t xml:space="preserve">, </w:t>
      </w:r>
      <w:r w:rsidRPr="003338D7">
        <w:rPr>
          <w:rFonts w:asciiTheme="majorHAnsi" w:hAnsiTheme="majorHAnsi"/>
          <w:i/>
          <w:iCs/>
          <w:noProof/>
          <w:szCs w:val="22"/>
        </w:rPr>
        <w:t>199</w:t>
      </w:r>
      <w:r w:rsidRPr="003338D7">
        <w:rPr>
          <w:rFonts w:asciiTheme="majorHAnsi" w:hAnsiTheme="majorHAnsi"/>
          <w:noProof/>
          <w:szCs w:val="22"/>
        </w:rPr>
        <w:t xml:space="preserve">(2), 213–227. </w:t>
      </w:r>
      <w:hyperlink r:id="rId934" w:history="1">
        <w:r w:rsidRPr="003338D7">
          <w:rPr>
            <w:rStyle w:val="Hyperlink"/>
            <w:rFonts w:asciiTheme="majorHAnsi" w:hAnsiTheme="majorHAnsi"/>
            <w:noProof/>
            <w:szCs w:val="22"/>
          </w:rPr>
          <w:t>http://doi.org/10.1023/A:1004327224729</w:t>
        </w:r>
      </w:hyperlink>
    </w:p>
    <w:p w14:paraId="67320BE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Wetmore, A., Friedmann, H., Amadon, D., Lincoln, F. C., Lowery, G. H., Miller, A. H., Peters, J. L., Pitelka, F. A., van Rossem, A. J., van Tyle, J., &amp; Zimmer, J. T. (1957). </w:t>
      </w:r>
      <w:r w:rsidRPr="003338D7">
        <w:rPr>
          <w:rFonts w:asciiTheme="majorHAnsi" w:hAnsiTheme="majorHAnsi"/>
          <w:i/>
          <w:iCs/>
          <w:noProof/>
          <w:szCs w:val="22"/>
          <w:lang w:val="es-ES"/>
        </w:rPr>
        <w:t>Check-list of North American Birds, 5th Edition</w:t>
      </w:r>
      <w:r w:rsidRPr="003338D7">
        <w:rPr>
          <w:rFonts w:asciiTheme="majorHAnsi" w:hAnsiTheme="majorHAnsi"/>
          <w:noProof/>
          <w:szCs w:val="22"/>
          <w:lang w:val="es-ES"/>
        </w:rPr>
        <w:t>. Baltimore, USA: American Ornithologists’ Union.</w:t>
      </w:r>
    </w:p>
    <w:p w14:paraId="05FE93F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Wheeler, J. C. (2017). Evolución y domesticación en los camélidos sudamericanos. In A. Casas, J. Torres-Guevara, &amp; F. Parra (Eds.), </w:t>
      </w:r>
      <w:r w:rsidRPr="003338D7">
        <w:rPr>
          <w:rFonts w:asciiTheme="majorHAnsi" w:hAnsiTheme="majorHAnsi"/>
          <w:i/>
          <w:iCs/>
          <w:noProof/>
          <w:szCs w:val="22"/>
          <w:lang w:val="es-ES"/>
        </w:rPr>
        <w:t>Domesticación en el Continente Americano Vol. 2. Investigación para el Manejo Sustentable de Recursos Genéticos en el Nuevo Mundo</w:t>
      </w:r>
      <w:r w:rsidRPr="003338D7">
        <w:rPr>
          <w:rFonts w:asciiTheme="majorHAnsi" w:hAnsiTheme="majorHAnsi"/>
          <w:noProof/>
          <w:szCs w:val="22"/>
          <w:lang w:val="es-ES"/>
        </w:rPr>
        <w:t xml:space="preserve"> (pp. 193–216). México D.F., México and Lima, Perú: Universidad Nacional Autónoma de México/Universidad Nacional Agraria La Molina/CONACYT.</w:t>
      </w:r>
    </w:p>
    <w:p w14:paraId="127EA99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Whitfield, S. M., Lips, K. R., &amp; Donnelly, M. A. (2016). Amphibian decline and conservation in Central America. </w:t>
      </w:r>
      <w:r w:rsidRPr="003338D7">
        <w:rPr>
          <w:rFonts w:asciiTheme="majorHAnsi" w:hAnsiTheme="majorHAnsi"/>
          <w:i/>
          <w:iCs/>
          <w:noProof/>
          <w:szCs w:val="22"/>
        </w:rPr>
        <w:t>Copeia</w:t>
      </w:r>
      <w:r w:rsidRPr="003338D7">
        <w:rPr>
          <w:rFonts w:asciiTheme="majorHAnsi" w:hAnsiTheme="majorHAnsi"/>
          <w:noProof/>
          <w:szCs w:val="22"/>
        </w:rPr>
        <w:t xml:space="preserve">, </w:t>
      </w:r>
      <w:r w:rsidRPr="003338D7">
        <w:rPr>
          <w:rFonts w:asciiTheme="majorHAnsi" w:hAnsiTheme="majorHAnsi"/>
          <w:i/>
          <w:iCs/>
          <w:noProof/>
          <w:szCs w:val="22"/>
        </w:rPr>
        <w:t>104</w:t>
      </w:r>
      <w:r w:rsidRPr="003338D7">
        <w:rPr>
          <w:rFonts w:asciiTheme="majorHAnsi" w:hAnsiTheme="majorHAnsi"/>
          <w:noProof/>
          <w:szCs w:val="22"/>
        </w:rPr>
        <w:t xml:space="preserve">(2), 351–379. </w:t>
      </w:r>
      <w:hyperlink r:id="rId935" w:history="1">
        <w:r w:rsidRPr="003338D7">
          <w:rPr>
            <w:rStyle w:val="Hyperlink"/>
            <w:rFonts w:asciiTheme="majorHAnsi" w:hAnsiTheme="majorHAnsi"/>
            <w:noProof/>
            <w:szCs w:val="22"/>
          </w:rPr>
          <w:t>http://doi.org/10.1643/CH-15-300</w:t>
        </w:r>
      </w:hyperlink>
    </w:p>
    <w:p w14:paraId="203DF22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Wiegmann, S. M., &amp; Waller, D. M. (2006). Fifty years of change in northern upland forest understories: identity and traits of “winner” and “loser” plant species. </w:t>
      </w:r>
      <w:r w:rsidRPr="003338D7">
        <w:rPr>
          <w:rFonts w:asciiTheme="majorHAnsi" w:hAnsiTheme="majorHAnsi"/>
          <w:i/>
          <w:iCs/>
          <w:noProof/>
          <w:szCs w:val="22"/>
        </w:rPr>
        <w:t>Biological Conservation</w:t>
      </w:r>
      <w:r w:rsidRPr="003338D7">
        <w:rPr>
          <w:rFonts w:asciiTheme="majorHAnsi" w:hAnsiTheme="majorHAnsi"/>
          <w:noProof/>
          <w:szCs w:val="22"/>
        </w:rPr>
        <w:t xml:space="preserve">, </w:t>
      </w:r>
      <w:r w:rsidRPr="003338D7">
        <w:rPr>
          <w:rFonts w:asciiTheme="majorHAnsi" w:hAnsiTheme="majorHAnsi"/>
          <w:i/>
          <w:iCs/>
          <w:noProof/>
          <w:szCs w:val="22"/>
        </w:rPr>
        <w:t>129</w:t>
      </w:r>
      <w:r w:rsidRPr="003338D7">
        <w:rPr>
          <w:rFonts w:asciiTheme="majorHAnsi" w:hAnsiTheme="majorHAnsi"/>
          <w:noProof/>
          <w:szCs w:val="22"/>
        </w:rPr>
        <w:t xml:space="preserve">(1), 109–123. </w:t>
      </w:r>
      <w:hyperlink r:id="rId936" w:history="1">
        <w:r w:rsidRPr="003338D7">
          <w:rPr>
            <w:rStyle w:val="Hyperlink"/>
            <w:rFonts w:asciiTheme="majorHAnsi" w:hAnsiTheme="majorHAnsi"/>
            <w:noProof/>
            <w:szCs w:val="22"/>
          </w:rPr>
          <w:t>http://doi.org/10.1016/j.biocon.2005.10.027</w:t>
        </w:r>
      </w:hyperlink>
    </w:p>
    <w:p w14:paraId="037FC79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Wierzchos, J., Ascaso, C., &amp; McKay, C. P. (2006). Endolithic cyanobacteria in halite rocks from the hyperarid core of the Atacama Desert. </w:t>
      </w:r>
      <w:r w:rsidRPr="003338D7">
        <w:rPr>
          <w:rFonts w:asciiTheme="majorHAnsi" w:hAnsiTheme="majorHAnsi"/>
          <w:i/>
          <w:iCs/>
          <w:noProof/>
          <w:szCs w:val="22"/>
        </w:rPr>
        <w:t>Astrobiology</w:t>
      </w:r>
      <w:r w:rsidRPr="003338D7">
        <w:rPr>
          <w:rFonts w:asciiTheme="majorHAnsi" w:hAnsiTheme="majorHAnsi"/>
          <w:noProof/>
          <w:szCs w:val="22"/>
        </w:rPr>
        <w:t xml:space="preserve">, </w:t>
      </w:r>
      <w:r w:rsidRPr="003338D7">
        <w:rPr>
          <w:rFonts w:asciiTheme="majorHAnsi" w:hAnsiTheme="majorHAnsi"/>
          <w:i/>
          <w:iCs/>
          <w:noProof/>
          <w:szCs w:val="22"/>
        </w:rPr>
        <w:t>6</w:t>
      </w:r>
      <w:r w:rsidRPr="003338D7">
        <w:rPr>
          <w:rFonts w:asciiTheme="majorHAnsi" w:hAnsiTheme="majorHAnsi"/>
          <w:noProof/>
          <w:szCs w:val="22"/>
        </w:rPr>
        <w:t xml:space="preserve">(3), 415–422. </w:t>
      </w:r>
      <w:hyperlink r:id="rId937" w:history="1">
        <w:r w:rsidRPr="003338D7">
          <w:rPr>
            <w:rStyle w:val="Hyperlink"/>
            <w:rFonts w:asciiTheme="majorHAnsi" w:hAnsiTheme="majorHAnsi"/>
            <w:noProof/>
            <w:szCs w:val="22"/>
          </w:rPr>
          <w:t>http://doi.org/10.1089/ast.2006.6.415</w:t>
        </w:r>
      </w:hyperlink>
    </w:p>
    <w:p w14:paraId="5819BF2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Wiig, Ø., Amstrup, S., Atwood, T., Laidre, K., Lunn, N., Obbard, M., Regehr, E., &amp; Thiemann, G. (2015). </w:t>
      </w:r>
      <w:r w:rsidRPr="003338D7">
        <w:rPr>
          <w:rFonts w:asciiTheme="majorHAnsi" w:hAnsiTheme="majorHAnsi"/>
          <w:i/>
          <w:iCs/>
          <w:noProof/>
          <w:szCs w:val="22"/>
          <w:lang w:val="es-ES"/>
        </w:rPr>
        <w:t>Ursus maritimus</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The IUCN Red List of Threatened Species 2015:</w:t>
      </w:r>
      <w:r w:rsidRPr="003338D7">
        <w:rPr>
          <w:rFonts w:asciiTheme="majorHAnsi" w:hAnsiTheme="majorHAnsi"/>
          <w:noProof/>
          <w:szCs w:val="22"/>
          <w:lang w:val="es-ES"/>
        </w:rPr>
        <w:t xml:space="preserve"> Retrieved from http://dx.doi.org/10.2305/IUCN.UK.2015-4.RLTS.T22823A14871490.en</w:t>
      </w:r>
    </w:p>
    <w:p w14:paraId="6EC640C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Will-Wolf, S., &amp; Stearns, F. (1999). Dry soil oak savanna in the Great Lakes region. In R. C. Anderson, J. S. Fralish, &amp; J. M. Baskin (Eds.), </w:t>
      </w:r>
      <w:r w:rsidRPr="003338D7">
        <w:rPr>
          <w:rFonts w:asciiTheme="majorHAnsi" w:hAnsiTheme="majorHAnsi"/>
          <w:i/>
          <w:iCs/>
          <w:noProof/>
          <w:szCs w:val="22"/>
        </w:rPr>
        <w:t>Savannas, Barrens, and Rock Outcrop Plant Communities of North America</w:t>
      </w:r>
      <w:r w:rsidRPr="003338D7">
        <w:rPr>
          <w:rFonts w:asciiTheme="majorHAnsi" w:hAnsiTheme="majorHAnsi"/>
          <w:noProof/>
          <w:szCs w:val="22"/>
        </w:rPr>
        <w:t xml:space="preserve"> (pp. 135–154). Cambridge, UK: Cambridge University Press.</w:t>
      </w:r>
    </w:p>
    <w:p w14:paraId="46B12DA6"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Williams, A. P., Allen, C. D., Macalady, A. K., Griffin, D., Woodhouse, C. A., Meko, D. M., Swetnam, T. W., Rauscher, S. A., Seager, R., Grissino-Mayer, H. D., Dean, J. S., Cook, E. R., Gangodagamage, C., Cai, M., &amp; McDowell, N. G. (2013). Temperature as a potent driver of regional forest drought stress and tree mortality. </w:t>
      </w:r>
      <w:r w:rsidRPr="003338D7">
        <w:rPr>
          <w:rFonts w:asciiTheme="majorHAnsi" w:hAnsiTheme="majorHAnsi"/>
          <w:i/>
          <w:iCs/>
          <w:noProof/>
          <w:szCs w:val="22"/>
          <w:lang w:val="es-ES"/>
        </w:rPr>
        <w:t>Nature Climate Change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w:t>
      </w:r>
      <w:r w:rsidRPr="003338D7">
        <w:rPr>
          <w:rFonts w:asciiTheme="majorHAnsi" w:hAnsiTheme="majorHAnsi"/>
          <w:noProof/>
          <w:szCs w:val="22"/>
          <w:lang w:val="es-ES"/>
        </w:rPr>
        <w:t xml:space="preserve">(3), 292–297. </w:t>
      </w:r>
      <w:hyperlink r:id="rId938" w:history="1">
        <w:r w:rsidRPr="003338D7">
          <w:rPr>
            <w:rStyle w:val="Hyperlink"/>
            <w:rFonts w:asciiTheme="majorHAnsi" w:hAnsiTheme="majorHAnsi"/>
            <w:noProof/>
            <w:szCs w:val="22"/>
            <w:lang w:val="es-ES"/>
          </w:rPr>
          <w:t>https://doi.org/10.1038/nclimate1693</w:t>
        </w:r>
      </w:hyperlink>
    </w:p>
    <w:p w14:paraId="16311B3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Williams, A. P., Seager, R., Abatzoglou, J. T., Cook, B. I., Smerdon, J. E., &amp; Cook, E. R. (2015). Contribution of anthropogenic warming to California drought during 2012–2014. </w:t>
      </w:r>
      <w:r w:rsidRPr="003338D7">
        <w:rPr>
          <w:rFonts w:asciiTheme="majorHAnsi" w:hAnsiTheme="majorHAnsi"/>
          <w:i/>
          <w:iCs/>
          <w:noProof/>
          <w:szCs w:val="22"/>
        </w:rPr>
        <w:t>Geophysical Research Letters</w:t>
      </w:r>
      <w:r w:rsidRPr="003338D7">
        <w:rPr>
          <w:rFonts w:asciiTheme="majorHAnsi" w:hAnsiTheme="majorHAnsi"/>
          <w:noProof/>
          <w:szCs w:val="22"/>
        </w:rPr>
        <w:t xml:space="preserve">, </w:t>
      </w:r>
      <w:r w:rsidRPr="003338D7">
        <w:rPr>
          <w:rFonts w:asciiTheme="majorHAnsi" w:hAnsiTheme="majorHAnsi"/>
          <w:i/>
          <w:iCs/>
          <w:noProof/>
          <w:szCs w:val="22"/>
        </w:rPr>
        <w:t>42</w:t>
      </w:r>
      <w:r w:rsidRPr="003338D7">
        <w:rPr>
          <w:rFonts w:asciiTheme="majorHAnsi" w:hAnsiTheme="majorHAnsi"/>
          <w:noProof/>
          <w:szCs w:val="22"/>
        </w:rPr>
        <w:t xml:space="preserve">(16), 6819–6828. </w:t>
      </w:r>
      <w:hyperlink r:id="rId939" w:history="1">
        <w:r w:rsidRPr="003338D7">
          <w:rPr>
            <w:rStyle w:val="Hyperlink"/>
            <w:rFonts w:asciiTheme="majorHAnsi" w:hAnsiTheme="majorHAnsi"/>
            <w:noProof/>
            <w:szCs w:val="22"/>
          </w:rPr>
          <w:t>http://doi.org/10.1002/2015GL064924</w:t>
        </w:r>
      </w:hyperlink>
    </w:p>
    <w:p w14:paraId="74EEB62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Williams, J. D., Warren Jr, M. L., Cummings, K. S., Harris, J. L., &amp; Neves, R. J. (1993). Conservation status of freshwater mussels of the United States and Canada. </w:t>
      </w:r>
      <w:r w:rsidRPr="003338D7">
        <w:rPr>
          <w:rFonts w:asciiTheme="majorHAnsi" w:hAnsiTheme="majorHAnsi"/>
          <w:i/>
          <w:iCs/>
          <w:noProof/>
          <w:szCs w:val="22"/>
        </w:rPr>
        <w:t>Fisheries</w:t>
      </w:r>
      <w:r w:rsidRPr="003338D7">
        <w:rPr>
          <w:rFonts w:asciiTheme="majorHAnsi" w:hAnsiTheme="majorHAnsi"/>
          <w:noProof/>
          <w:szCs w:val="22"/>
        </w:rPr>
        <w:t xml:space="preserve">, </w:t>
      </w:r>
      <w:r w:rsidRPr="003338D7">
        <w:rPr>
          <w:rFonts w:asciiTheme="majorHAnsi" w:hAnsiTheme="majorHAnsi"/>
          <w:i/>
          <w:iCs/>
          <w:noProof/>
          <w:szCs w:val="22"/>
        </w:rPr>
        <w:t>18</w:t>
      </w:r>
      <w:r w:rsidRPr="003338D7">
        <w:rPr>
          <w:rFonts w:asciiTheme="majorHAnsi" w:hAnsiTheme="majorHAnsi"/>
          <w:noProof/>
          <w:szCs w:val="22"/>
        </w:rPr>
        <w:t xml:space="preserve">(9), 6–22. </w:t>
      </w:r>
      <w:hyperlink r:id="rId940" w:history="1">
        <w:r w:rsidRPr="003338D7">
          <w:rPr>
            <w:rStyle w:val="Hyperlink"/>
            <w:rFonts w:asciiTheme="majorHAnsi" w:hAnsiTheme="majorHAnsi"/>
            <w:noProof/>
            <w:szCs w:val="22"/>
          </w:rPr>
          <w:t>http://doi.org/10.1577/1548-8446(1993)018&lt;0006:CSOFMO&gt;2.0.CO;2</w:t>
        </w:r>
      </w:hyperlink>
    </w:p>
    <w:p w14:paraId="04CE921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Willis, K. J. (Ed.). (2016). </w:t>
      </w:r>
      <w:r w:rsidRPr="003338D7">
        <w:rPr>
          <w:rFonts w:asciiTheme="majorHAnsi" w:hAnsiTheme="majorHAnsi"/>
          <w:i/>
          <w:iCs/>
          <w:noProof/>
          <w:szCs w:val="22"/>
        </w:rPr>
        <w:t>State of the World´s Plants</w:t>
      </w:r>
      <w:r w:rsidRPr="003338D7">
        <w:rPr>
          <w:rFonts w:asciiTheme="majorHAnsi" w:hAnsiTheme="majorHAnsi"/>
          <w:noProof/>
          <w:szCs w:val="22"/>
        </w:rPr>
        <w:t xml:space="preserve">. London, UK: Royal Botanic Gardens, Kew. Retrieved from </w:t>
      </w:r>
      <w:hyperlink r:id="rId941" w:history="1">
        <w:r w:rsidRPr="003338D7">
          <w:rPr>
            <w:rStyle w:val="Hyperlink"/>
            <w:rFonts w:asciiTheme="majorHAnsi" w:hAnsiTheme="majorHAnsi"/>
            <w:noProof/>
            <w:szCs w:val="22"/>
          </w:rPr>
          <w:t>https://stateoftheworldsplants.com/2016/</w:t>
        </w:r>
      </w:hyperlink>
    </w:p>
    <w:p w14:paraId="03C8594D"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Wilsey, B. J., Martin, L. M., &amp; Polley, H. W. (2005). Predicting plant extinction based on species-area curves in prairie fragments with high beta richness. </w:t>
      </w:r>
      <w:r w:rsidRPr="003338D7">
        <w:rPr>
          <w:rFonts w:asciiTheme="majorHAnsi" w:hAnsiTheme="majorHAnsi"/>
          <w:i/>
          <w:iCs/>
          <w:noProof/>
          <w:szCs w:val="22"/>
        </w:rPr>
        <w:t>Conservation Biology</w:t>
      </w:r>
      <w:r w:rsidRPr="003338D7">
        <w:rPr>
          <w:rFonts w:asciiTheme="majorHAnsi" w:hAnsiTheme="majorHAnsi"/>
          <w:noProof/>
          <w:szCs w:val="22"/>
        </w:rPr>
        <w:t xml:space="preserve">, </w:t>
      </w:r>
      <w:r w:rsidRPr="003338D7">
        <w:rPr>
          <w:rFonts w:asciiTheme="majorHAnsi" w:hAnsiTheme="majorHAnsi"/>
          <w:i/>
          <w:iCs/>
          <w:noProof/>
          <w:szCs w:val="22"/>
        </w:rPr>
        <w:t>19</w:t>
      </w:r>
      <w:r w:rsidRPr="003338D7">
        <w:rPr>
          <w:rFonts w:asciiTheme="majorHAnsi" w:hAnsiTheme="majorHAnsi"/>
          <w:noProof/>
          <w:szCs w:val="22"/>
        </w:rPr>
        <w:t>(6), 1835–1841.</w:t>
      </w:r>
      <w:hyperlink r:id="rId942" w:history="1">
        <w:r w:rsidRPr="003338D7">
          <w:rPr>
            <w:rStyle w:val="Hyperlink"/>
            <w:rFonts w:asciiTheme="majorHAnsi" w:hAnsiTheme="majorHAnsi"/>
            <w:noProof/>
            <w:szCs w:val="22"/>
          </w:rPr>
          <w:t>http://doi.org/10.1111/j.1523-1739.2005.00250.x</w:t>
        </w:r>
      </w:hyperlink>
    </w:p>
    <w:p w14:paraId="38168EA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Wilsey, B. J., &amp; Polley, H. W. (2004). Realistically low species evenness does not alter grassland species-richness-productivity relationships. </w:t>
      </w:r>
      <w:r w:rsidRPr="003338D7">
        <w:rPr>
          <w:rFonts w:asciiTheme="majorHAnsi" w:hAnsiTheme="majorHAnsi"/>
          <w:i/>
          <w:iCs/>
          <w:noProof/>
          <w:szCs w:val="22"/>
        </w:rPr>
        <w:t>Ecology</w:t>
      </w:r>
      <w:r w:rsidRPr="003338D7">
        <w:rPr>
          <w:rFonts w:asciiTheme="majorHAnsi" w:hAnsiTheme="majorHAnsi"/>
          <w:noProof/>
          <w:szCs w:val="22"/>
        </w:rPr>
        <w:t xml:space="preserve">, </w:t>
      </w:r>
      <w:r w:rsidRPr="003338D7">
        <w:rPr>
          <w:rFonts w:asciiTheme="majorHAnsi" w:hAnsiTheme="majorHAnsi"/>
          <w:i/>
          <w:iCs/>
          <w:noProof/>
          <w:szCs w:val="22"/>
        </w:rPr>
        <w:t>85</w:t>
      </w:r>
      <w:r w:rsidRPr="003338D7">
        <w:rPr>
          <w:rFonts w:asciiTheme="majorHAnsi" w:hAnsiTheme="majorHAnsi"/>
          <w:noProof/>
          <w:szCs w:val="22"/>
        </w:rPr>
        <w:t xml:space="preserve">(10), 2693–2700. </w:t>
      </w:r>
      <w:hyperlink r:id="rId943" w:history="1">
        <w:r w:rsidRPr="003338D7">
          <w:rPr>
            <w:rStyle w:val="Hyperlink"/>
            <w:rFonts w:asciiTheme="majorHAnsi" w:hAnsiTheme="majorHAnsi"/>
            <w:noProof/>
            <w:szCs w:val="22"/>
          </w:rPr>
          <w:t>http://doi.org/10.1890/04-0245</w:t>
        </w:r>
      </w:hyperlink>
    </w:p>
    <w:p w14:paraId="546A7E0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Wilson, B. S., Koenig, S. E., van Veen, R., Miersma, E., &amp; Rudolph, D. C. (2011). Cane toads a threat to West Indian wildlife: mortality of Jamaican boas attributable to toad ingestion. </w:t>
      </w:r>
      <w:r w:rsidRPr="003338D7">
        <w:rPr>
          <w:rFonts w:asciiTheme="majorHAnsi" w:hAnsiTheme="majorHAnsi"/>
          <w:i/>
          <w:iCs/>
          <w:noProof/>
          <w:szCs w:val="22"/>
        </w:rPr>
        <w:t>Biological Invasions</w:t>
      </w:r>
      <w:r w:rsidRPr="003338D7">
        <w:rPr>
          <w:rFonts w:asciiTheme="majorHAnsi" w:hAnsiTheme="majorHAnsi"/>
          <w:noProof/>
          <w:szCs w:val="22"/>
        </w:rPr>
        <w:t xml:space="preserve">, </w:t>
      </w:r>
      <w:r w:rsidRPr="003338D7">
        <w:rPr>
          <w:rFonts w:asciiTheme="majorHAnsi" w:hAnsiTheme="majorHAnsi"/>
          <w:i/>
          <w:iCs/>
          <w:noProof/>
          <w:szCs w:val="22"/>
        </w:rPr>
        <w:t>13</w:t>
      </w:r>
      <w:r w:rsidRPr="003338D7">
        <w:rPr>
          <w:rFonts w:asciiTheme="majorHAnsi" w:hAnsiTheme="majorHAnsi"/>
          <w:noProof/>
          <w:szCs w:val="22"/>
        </w:rPr>
        <w:t xml:space="preserve">(1), 55–60. </w:t>
      </w:r>
      <w:hyperlink r:id="rId944" w:history="1">
        <w:r w:rsidRPr="003338D7">
          <w:rPr>
            <w:rStyle w:val="Hyperlink"/>
            <w:rFonts w:asciiTheme="majorHAnsi" w:hAnsiTheme="majorHAnsi"/>
            <w:noProof/>
            <w:szCs w:val="22"/>
          </w:rPr>
          <w:t>http://doi.org/10.1007/s10530-010-9787-7</w:t>
        </w:r>
      </w:hyperlink>
    </w:p>
    <w:p w14:paraId="147257BF"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Wilson, T. S., Sleeter, B. M., &amp; Cameron, D. R. (2016). Future land-use related water demand in California. </w:t>
      </w:r>
      <w:r w:rsidRPr="003338D7">
        <w:rPr>
          <w:rFonts w:asciiTheme="majorHAnsi" w:hAnsiTheme="majorHAnsi"/>
          <w:i/>
          <w:iCs/>
          <w:noProof/>
          <w:szCs w:val="22"/>
        </w:rPr>
        <w:t>Environmental Research Letters</w:t>
      </w:r>
      <w:r w:rsidRPr="003338D7">
        <w:rPr>
          <w:rFonts w:asciiTheme="majorHAnsi" w:hAnsiTheme="majorHAnsi"/>
          <w:noProof/>
          <w:szCs w:val="22"/>
        </w:rPr>
        <w:t xml:space="preserve">, </w:t>
      </w:r>
      <w:r w:rsidRPr="003338D7">
        <w:rPr>
          <w:rFonts w:asciiTheme="majorHAnsi" w:hAnsiTheme="majorHAnsi"/>
          <w:i/>
          <w:iCs/>
          <w:noProof/>
          <w:szCs w:val="22"/>
        </w:rPr>
        <w:t>11</w:t>
      </w:r>
      <w:r w:rsidRPr="003338D7">
        <w:rPr>
          <w:rFonts w:asciiTheme="majorHAnsi" w:hAnsiTheme="majorHAnsi"/>
          <w:noProof/>
          <w:szCs w:val="22"/>
        </w:rPr>
        <w:t xml:space="preserve">(5), 1–12. </w:t>
      </w:r>
      <w:hyperlink r:id="rId945" w:history="1">
        <w:r w:rsidRPr="003338D7">
          <w:rPr>
            <w:rStyle w:val="Hyperlink"/>
            <w:rFonts w:asciiTheme="majorHAnsi" w:hAnsiTheme="majorHAnsi"/>
            <w:noProof/>
            <w:szCs w:val="22"/>
          </w:rPr>
          <w:t>http://doi.org/10.1088/1748-9326/11/5/054018</w:t>
        </w:r>
      </w:hyperlink>
    </w:p>
    <w:p w14:paraId="019CF582"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Winograd, M., Farrow, A., Aguilar, M., Clavijo, L. A., Debouck, D. G., Jones, P. G., Hyman, G., Lema, G., Nelson, A. N., Holmann, F. J., Tohme, M. J., Toro, C. O., &amp; Voyset, V. O. (1999). </w:t>
      </w:r>
      <w:r w:rsidRPr="003338D7">
        <w:rPr>
          <w:rFonts w:asciiTheme="majorHAnsi" w:hAnsiTheme="majorHAnsi"/>
          <w:i/>
          <w:iCs/>
          <w:noProof/>
          <w:szCs w:val="22"/>
          <w:lang w:val="es-ES"/>
        </w:rPr>
        <w:t>Agroecosystem Assessment for Latin America: Agriculture Extent, Production Systems and Agrobiodiversity</w:t>
      </w:r>
      <w:r w:rsidRPr="003338D7">
        <w:rPr>
          <w:rFonts w:asciiTheme="majorHAnsi" w:hAnsiTheme="majorHAnsi"/>
          <w:noProof/>
          <w:szCs w:val="22"/>
          <w:lang w:val="es-ES"/>
        </w:rPr>
        <w:t>. Cali, Colombia: Centro Internacional de Agricultura Tropical (CIAT).</w:t>
      </w:r>
    </w:p>
    <w:p w14:paraId="7D833BC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Wolf, A., Zimmerman, N. B., Anderegg, W. R. L., Busby, P. E., &amp; Christensen, J. (2016). </w:t>
      </w:r>
      <w:r w:rsidRPr="003338D7">
        <w:rPr>
          <w:rFonts w:asciiTheme="majorHAnsi" w:hAnsiTheme="majorHAnsi"/>
          <w:noProof/>
          <w:szCs w:val="22"/>
        </w:rPr>
        <w:t xml:space="preserve">Altitudinal shifts of the native and introduced flora of California in the context of 20th-century warming. </w:t>
      </w:r>
      <w:r w:rsidRPr="003338D7">
        <w:rPr>
          <w:rFonts w:asciiTheme="majorHAnsi" w:hAnsiTheme="majorHAnsi"/>
          <w:i/>
          <w:iCs/>
          <w:noProof/>
          <w:szCs w:val="22"/>
        </w:rPr>
        <w:t>Global Ecology and Biogeography</w:t>
      </w:r>
      <w:r w:rsidRPr="003338D7">
        <w:rPr>
          <w:rFonts w:asciiTheme="majorHAnsi" w:hAnsiTheme="majorHAnsi"/>
          <w:noProof/>
          <w:szCs w:val="22"/>
        </w:rPr>
        <w:t xml:space="preserve">, </w:t>
      </w:r>
      <w:r w:rsidRPr="003338D7">
        <w:rPr>
          <w:rFonts w:asciiTheme="majorHAnsi" w:hAnsiTheme="majorHAnsi"/>
          <w:i/>
          <w:iCs/>
          <w:noProof/>
          <w:szCs w:val="22"/>
        </w:rPr>
        <w:t>25</w:t>
      </w:r>
      <w:r w:rsidRPr="003338D7">
        <w:rPr>
          <w:rFonts w:asciiTheme="majorHAnsi" w:hAnsiTheme="majorHAnsi"/>
          <w:noProof/>
          <w:szCs w:val="22"/>
        </w:rPr>
        <w:t xml:space="preserve">(4), 418–429. </w:t>
      </w:r>
      <w:hyperlink r:id="rId946" w:history="1">
        <w:r w:rsidRPr="003338D7">
          <w:rPr>
            <w:rStyle w:val="Hyperlink"/>
            <w:rFonts w:asciiTheme="majorHAnsi" w:hAnsiTheme="majorHAnsi"/>
            <w:noProof/>
            <w:szCs w:val="22"/>
          </w:rPr>
          <w:t>http://doi.org/10.1111/geb.12423</w:t>
        </w:r>
      </w:hyperlink>
    </w:p>
    <w:p w14:paraId="2E98A93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World Cities Culture Forum. (n.d.). % of public green space (parks and gardens). Retrieved from </w:t>
      </w:r>
      <w:hyperlink r:id="rId947" w:history="1">
        <w:r w:rsidRPr="003338D7">
          <w:rPr>
            <w:rStyle w:val="Hyperlink"/>
            <w:rFonts w:asciiTheme="majorHAnsi" w:hAnsiTheme="majorHAnsi"/>
            <w:noProof/>
            <w:szCs w:val="22"/>
          </w:rPr>
          <w:t>http://www.worldcitiescultureforum.com/data/of-public-green-space-parks-and-gardens</w:t>
        </w:r>
      </w:hyperlink>
    </w:p>
    <w:p w14:paraId="31A18937"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World Database of Key Biodiversity Areas. (n.d.). Retrieved from </w:t>
      </w:r>
      <w:hyperlink r:id="rId948" w:history="1">
        <w:r w:rsidRPr="003338D7">
          <w:rPr>
            <w:rStyle w:val="Hyperlink"/>
            <w:rFonts w:asciiTheme="majorHAnsi" w:hAnsiTheme="majorHAnsi"/>
            <w:noProof/>
            <w:szCs w:val="22"/>
          </w:rPr>
          <w:t>http://www.keybiodiversityareas.org</w:t>
        </w:r>
      </w:hyperlink>
    </w:p>
    <w:p w14:paraId="1D19C6B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World Wildlife Fund (WWF). (2016). </w:t>
      </w:r>
      <w:r w:rsidRPr="003338D7">
        <w:rPr>
          <w:rFonts w:asciiTheme="majorHAnsi" w:hAnsiTheme="majorHAnsi"/>
          <w:i/>
          <w:iCs/>
          <w:noProof/>
          <w:szCs w:val="22"/>
        </w:rPr>
        <w:t>Plowprint Report</w:t>
      </w:r>
      <w:r w:rsidRPr="003338D7">
        <w:rPr>
          <w:rFonts w:asciiTheme="majorHAnsi" w:hAnsiTheme="majorHAnsi"/>
          <w:noProof/>
          <w:szCs w:val="22"/>
        </w:rPr>
        <w:t xml:space="preserve">. Retrieved from </w:t>
      </w:r>
      <w:hyperlink r:id="rId949" w:history="1">
        <w:r w:rsidRPr="003338D7">
          <w:rPr>
            <w:rStyle w:val="Hyperlink"/>
            <w:rFonts w:asciiTheme="majorHAnsi" w:hAnsiTheme="majorHAnsi"/>
            <w:noProof/>
            <w:szCs w:val="22"/>
          </w:rPr>
          <w:t>https://www.worldwildlife.org/projects/plowprint-report</w:t>
        </w:r>
      </w:hyperlink>
    </w:p>
    <w:p w14:paraId="00E93C1E"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World Wildlife Fund (WWF). (2017a). </w:t>
      </w:r>
      <w:r w:rsidRPr="003338D7">
        <w:rPr>
          <w:rFonts w:asciiTheme="majorHAnsi" w:hAnsiTheme="majorHAnsi"/>
          <w:i/>
          <w:iCs/>
          <w:noProof/>
          <w:szCs w:val="22"/>
        </w:rPr>
        <w:t>2017 Plowprint Report</w:t>
      </w:r>
      <w:r w:rsidRPr="003338D7">
        <w:rPr>
          <w:rFonts w:asciiTheme="majorHAnsi" w:hAnsiTheme="majorHAnsi"/>
          <w:noProof/>
          <w:szCs w:val="22"/>
        </w:rPr>
        <w:t xml:space="preserve">. Bozeman, USA. Retrieved from </w:t>
      </w:r>
      <w:hyperlink r:id="rId950" w:history="1">
        <w:r w:rsidRPr="003338D7">
          <w:rPr>
            <w:rStyle w:val="Hyperlink"/>
            <w:rFonts w:asciiTheme="majorHAnsi" w:hAnsiTheme="majorHAnsi"/>
            <w:noProof/>
            <w:szCs w:val="22"/>
          </w:rPr>
          <w:t>https://www.worldwildlife.org/projects/plowprint-report</w:t>
        </w:r>
      </w:hyperlink>
    </w:p>
    <w:p w14:paraId="0EB3F204"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World Wildlife Fund (WWF). (2017b). Northern South America: Northeastern Brazil. Retrieved from </w:t>
      </w:r>
      <w:hyperlink r:id="rId951" w:history="1">
        <w:r w:rsidRPr="003338D7">
          <w:rPr>
            <w:rStyle w:val="Hyperlink"/>
            <w:rFonts w:asciiTheme="majorHAnsi" w:hAnsiTheme="majorHAnsi"/>
            <w:noProof/>
            <w:szCs w:val="22"/>
          </w:rPr>
          <w:t>https://www.worldwildlife.org/ecoregions/nt1304</w:t>
        </w:r>
      </w:hyperlink>
    </w:p>
    <w:p w14:paraId="28582FE3"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Worm, B., Hilborn, R., Baum, J. K., Branch, T. A., Collie, J. S., Costello, C., … Zeller, D. (2009). Rebuilding global fisheries. </w:t>
      </w:r>
      <w:r w:rsidRPr="003338D7">
        <w:rPr>
          <w:rFonts w:asciiTheme="majorHAnsi" w:hAnsiTheme="majorHAnsi"/>
          <w:i/>
          <w:iCs/>
          <w:noProof/>
          <w:szCs w:val="22"/>
        </w:rPr>
        <w:t>Science</w:t>
      </w:r>
      <w:r w:rsidRPr="003338D7">
        <w:rPr>
          <w:rFonts w:asciiTheme="majorHAnsi" w:hAnsiTheme="majorHAnsi"/>
          <w:noProof/>
          <w:szCs w:val="22"/>
        </w:rPr>
        <w:t xml:space="preserve">, </w:t>
      </w:r>
      <w:r w:rsidRPr="003338D7">
        <w:rPr>
          <w:rFonts w:asciiTheme="majorHAnsi" w:hAnsiTheme="majorHAnsi"/>
          <w:i/>
          <w:iCs/>
          <w:noProof/>
          <w:szCs w:val="22"/>
        </w:rPr>
        <w:t>325</w:t>
      </w:r>
      <w:r w:rsidRPr="003338D7">
        <w:rPr>
          <w:rFonts w:asciiTheme="majorHAnsi" w:hAnsiTheme="majorHAnsi"/>
          <w:noProof/>
          <w:szCs w:val="22"/>
        </w:rPr>
        <w:t xml:space="preserve">(5940), 578–585. </w:t>
      </w:r>
      <w:hyperlink r:id="rId952" w:history="1">
        <w:r w:rsidRPr="003338D7">
          <w:rPr>
            <w:rStyle w:val="Hyperlink"/>
            <w:rFonts w:asciiTheme="majorHAnsi" w:hAnsiTheme="majorHAnsi"/>
            <w:noProof/>
            <w:szCs w:val="22"/>
          </w:rPr>
          <w:t>http://doi.org/10.1126/science.1173146</w:t>
        </w:r>
      </w:hyperlink>
    </w:p>
    <w:p w14:paraId="5A31F1C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Wright, I. J., Reich, P. B., Westoby, M., Ackerly, D. D., Baruch, Z., Bongers, F., Cavender-Bares, J., Chapin, T., Cornelissen, J. H. C., Diemer, M., Flexas, J., Garnier, E., Groom, P. K., Gulias, J., Hikosaka, K., Lamont, B. B., Lee, T., Lee, W., Lusk, C., Midgley, J. J., Navas, M.-L., Niinemets, Ü., Oleksyn, J., Osada, N., Poorter, H., Poot, P., Prior, L., Pyankov, V. I., Roumet, C., Thomas, S. C., Tjoelker, M. G., Veneklaas, E. J., &amp; Villar, R. (2004). The worldwide leaf economics spectrum.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428</w:t>
      </w:r>
      <w:r w:rsidRPr="003338D7">
        <w:rPr>
          <w:rFonts w:asciiTheme="majorHAnsi" w:hAnsiTheme="majorHAnsi"/>
          <w:noProof/>
          <w:szCs w:val="22"/>
          <w:lang w:val="es-ES"/>
        </w:rPr>
        <w:t xml:space="preserve">(6985), 821–827. </w:t>
      </w:r>
      <w:hyperlink r:id="rId953" w:history="1">
        <w:r w:rsidRPr="003338D7">
          <w:rPr>
            <w:rStyle w:val="Hyperlink"/>
            <w:rFonts w:asciiTheme="majorHAnsi" w:hAnsiTheme="majorHAnsi"/>
            <w:noProof/>
            <w:szCs w:val="22"/>
            <w:lang w:val="es-ES"/>
          </w:rPr>
          <w:t>https://doi.org/10.1038/nature02403</w:t>
        </w:r>
      </w:hyperlink>
    </w:p>
    <w:p w14:paraId="4915BE2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Wright, J. A., DiNicola, A., &amp; Gaitan, E. (2000). Latin American forest plantations: opportunities for carbon sequestration, economic development, and financial returns. </w:t>
      </w:r>
      <w:r w:rsidRPr="003338D7">
        <w:rPr>
          <w:rFonts w:asciiTheme="majorHAnsi" w:hAnsiTheme="majorHAnsi"/>
          <w:i/>
          <w:iCs/>
          <w:noProof/>
          <w:szCs w:val="22"/>
        </w:rPr>
        <w:t>Journal of Forestry</w:t>
      </w:r>
      <w:r w:rsidRPr="003338D7">
        <w:rPr>
          <w:rFonts w:asciiTheme="majorHAnsi" w:hAnsiTheme="majorHAnsi"/>
          <w:noProof/>
          <w:szCs w:val="22"/>
        </w:rPr>
        <w:t xml:space="preserve">, </w:t>
      </w:r>
      <w:r w:rsidRPr="003338D7">
        <w:rPr>
          <w:rFonts w:asciiTheme="majorHAnsi" w:hAnsiTheme="majorHAnsi"/>
          <w:i/>
          <w:iCs/>
          <w:noProof/>
          <w:szCs w:val="22"/>
        </w:rPr>
        <w:t>98</w:t>
      </w:r>
      <w:r w:rsidRPr="003338D7">
        <w:rPr>
          <w:rFonts w:asciiTheme="majorHAnsi" w:hAnsiTheme="majorHAnsi"/>
          <w:noProof/>
          <w:szCs w:val="22"/>
        </w:rPr>
        <w:t xml:space="preserve">(9), 20–23. Retrieved from </w:t>
      </w:r>
      <w:hyperlink r:id="rId954" w:history="1">
        <w:r w:rsidRPr="003338D7">
          <w:rPr>
            <w:rStyle w:val="Hyperlink"/>
            <w:rFonts w:asciiTheme="majorHAnsi" w:hAnsiTheme="majorHAnsi"/>
            <w:noProof/>
            <w:szCs w:val="22"/>
          </w:rPr>
          <w:t>http://www.scopus.com/inward/record.url?eid=2-s2.0-0034283558&amp;partnerID=40&amp;md5=0cc1b0bb502bf3c27297f4b0452c9f0a</w:t>
        </w:r>
      </w:hyperlink>
    </w:p>
    <w:p w14:paraId="622D497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Wrigley de Basanta, D., Lado, C., Estrada-Torres, A., &amp; Stephenson, S. L. (2010). </w:t>
      </w:r>
      <w:r w:rsidRPr="003338D7">
        <w:rPr>
          <w:rFonts w:asciiTheme="majorHAnsi" w:hAnsiTheme="majorHAnsi"/>
          <w:noProof/>
          <w:szCs w:val="22"/>
        </w:rPr>
        <w:t xml:space="preserve">Biodiversity of myxomycetes in subantarctic forests of Patagonia and Tierra del Fuego, Argentina. </w:t>
      </w:r>
      <w:r w:rsidRPr="003338D7">
        <w:rPr>
          <w:rFonts w:asciiTheme="majorHAnsi" w:hAnsiTheme="majorHAnsi"/>
          <w:i/>
          <w:iCs/>
          <w:noProof/>
          <w:szCs w:val="22"/>
          <w:lang w:val="es-ES"/>
        </w:rPr>
        <w:t>Nova Hedwigia</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90</w:t>
      </w:r>
      <w:r w:rsidRPr="003338D7">
        <w:rPr>
          <w:rFonts w:asciiTheme="majorHAnsi" w:hAnsiTheme="majorHAnsi"/>
          <w:noProof/>
          <w:szCs w:val="22"/>
          <w:lang w:val="es-ES"/>
        </w:rPr>
        <w:t xml:space="preserve">(1–2), 45–79. </w:t>
      </w:r>
      <w:hyperlink r:id="rId955" w:history="1">
        <w:r w:rsidRPr="003338D7">
          <w:rPr>
            <w:rStyle w:val="Hyperlink"/>
            <w:rFonts w:asciiTheme="majorHAnsi" w:hAnsiTheme="majorHAnsi"/>
            <w:noProof/>
            <w:szCs w:val="22"/>
            <w:lang w:val="es-ES"/>
          </w:rPr>
          <w:t>http://doi.org/10.1127/0029-5035/2010/0090-0045</w:t>
        </w:r>
      </w:hyperlink>
    </w:p>
    <w:p w14:paraId="7E675B6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Young, B. E., Lips, K. R., Reaser, J. K., Ibáñez, R., Salas, A. W., Cedeño, J. R., Coloma, L. A., Ron, S., La Marca, E., Meyer, J. R., Muñoz, A., Bolaños, F., Chaves, G., &amp; Romo, D. (2001). Population declines and priorities for amphibian conservation in Latin America. </w:t>
      </w:r>
      <w:r w:rsidRPr="003338D7">
        <w:rPr>
          <w:rFonts w:asciiTheme="majorHAnsi" w:hAnsiTheme="majorHAnsi"/>
          <w:i/>
          <w:iCs/>
          <w:noProof/>
          <w:szCs w:val="22"/>
          <w:lang w:val="es-ES"/>
        </w:rPr>
        <w:t>Conservation 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15</w:t>
      </w:r>
      <w:r w:rsidRPr="003338D7">
        <w:rPr>
          <w:rFonts w:asciiTheme="majorHAnsi" w:hAnsiTheme="majorHAnsi"/>
          <w:noProof/>
          <w:szCs w:val="22"/>
          <w:lang w:val="es-ES"/>
        </w:rPr>
        <w:t xml:space="preserve">(5), 1213–1223. </w:t>
      </w:r>
      <w:hyperlink r:id="rId956" w:history="1">
        <w:r w:rsidRPr="003338D7">
          <w:rPr>
            <w:rStyle w:val="Hyperlink"/>
            <w:rFonts w:asciiTheme="majorHAnsi" w:hAnsiTheme="majorHAnsi"/>
            <w:noProof/>
            <w:szCs w:val="22"/>
            <w:lang w:val="es-ES"/>
          </w:rPr>
          <w:t>https://doi.org/10.1111/j.1523-1739.2001.00218.x</w:t>
        </w:r>
      </w:hyperlink>
    </w:p>
    <w:p w14:paraId="5E295E3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Young, C. N., Carlson, J., Hutchinson, M., Kobayashi, D., McCandless, C., Miller, M. H., Teo, S., &amp; T. Warren. (2016). </w:t>
      </w:r>
      <w:r w:rsidRPr="003338D7">
        <w:rPr>
          <w:rFonts w:asciiTheme="majorHAnsi" w:hAnsiTheme="majorHAnsi"/>
          <w:i/>
          <w:iCs/>
          <w:noProof/>
          <w:szCs w:val="22"/>
          <w:lang w:val="es-ES"/>
        </w:rPr>
        <w:t>Status review report: common thresher shark (Alopias vulpinus) and bigeye thresher shark (Alopias superciliosus). Final Report to National Marine Fisheries Service, Office of Protected Resources</w:t>
      </w:r>
      <w:r w:rsidRPr="003338D7">
        <w:rPr>
          <w:rFonts w:asciiTheme="majorHAnsi" w:hAnsiTheme="majorHAnsi"/>
          <w:noProof/>
          <w:szCs w:val="22"/>
          <w:lang w:val="es-ES"/>
        </w:rPr>
        <w:t>.</w:t>
      </w:r>
    </w:p>
    <w:p w14:paraId="74107D5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fr-CA"/>
        </w:rPr>
        <w:t xml:space="preserve">Young, K. L., Lafrenière, M. J., Lamoureux, S. F., Abnizova, A., &amp; Miller, E. A. (2015). </w:t>
      </w:r>
      <w:r w:rsidRPr="003338D7">
        <w:rPr>
          <w:rFonts w:asciiTheme="majorHAnsi" w:hAnsiTheme="majorHAnsi"/>
          <w:noProof/>
          <w:szCs w:val="22"/>
        </w:rPr>
        <w:t xml:space="preserve">Recent multi-year streamflow regimes and water budgets of hillslope catchments in the Canadian High Arctic: evaluation and comparison to other small Arctic watershed studies. </w:t>
      </w:r>
      <w:r w:rsidRPr="003338D7">
        <w:rPr>
          <w:rFonts w:asciiTheme="majorHAnsi" w:hAnsiTheme="majorHAnsi"/>
          <w:i/>
          <w:iCs/>
          <w:noProof/>
          <w:szCs w:val="22"/>
        </w:rPr>
        <w:t>Hydrology Research</w:t>
      </w:r>
      <w:r w:rsidRPr="003338D7">
        <w:rPr>
          <w:rFonts w:asciiTheme="majorHAnsi" w:hAnsiTheme="majorHAnsi"/>
          <w:noProof/>
          <w:szCs w:val="22"/>
        </w:rPr>
        <w:t xml:space="preserve">, </w:t>
      </w:r>
      <w:r w:rsidRPr="003338D7">
        <w:rPr>
          <w:rFonts w:asciiTheme="majorHAnsi" w:hAnsiTheme="majorHAnsi"/>
          <w:i/>
          <w:iCs/>
          <w:noProof/>
          <w:szCs w:val="22"/>
        </w:rPr>
        <w:t>46</w:t>
      </w:r>
      <w:r w:rsidRPr="003338D7">
        <w:rPr>
          <w:rFonts w:asciiTheme="majorHAnsi" w:hAnsiTheme="majorHAnsi"/>
          <w:noProof/>
          <w:szCs w:val="22"/>
        </w:rPr>
        <w:t xml:space="preserve">(4), 533–550. </w:t>
      </w:r>
      <w:hyperlink r:id="rId957" w:history="1">
        <w:r w:rsidRPr="003338D7">
          <w:rPr>
            <w:rStyle w:val="Hyperlink"/>
            <w:rFonts w:asciiTheme="majorHAnsi" w:hAnsiTheme="majorHAnsi"/>
            <w:noProof/>
            <w:szCs w:val="22"/>
          </w:rPr>
          <w:t>http://doi.org/10.2166/nh.2014.004</w:t>
        </w:r>
      </w:hyperlink>
    </w:p>
    <w:p w14:paraId="37A6054B"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Young, O. R., &amp; Chapin III, F. S. (1995). Anthropogenic impacts on biodiversity in the Arctic. In F. S. Chapin III &amp; C. Körner (Eds.), </w:t>
      </w:r>
      <w:r w:rsidRPr="003338D7">
        <w:rPr>
          <w:rFonts w:asciiTheme="majorHAnsi" w:hAnsiTheme="majorHAnsi"/>
          <w:i/>
          <w:iCs/>
          <w:noProof/>
          <w:szCs w:val="22"/>
        </w:rPr>
        <w:t>Arctic and Alpine Biodiversity: Patterns, Causes and Ecosystem Consequences</w:t>
      </w:r>
      <w:r w:rsidRPr="003338D7">
        <w:rPr>
          <w:rFonts w:asciiTheme="majorHAnsi" w:hAnsiTheme="majorHAnsi"/>
          <w:noProof/>
          <w:szCs w:val="22"/>
        </w:rPr>
        <w:t xml:space="preserve"> (pp. 183–196). Berlin, Germany: Springer.</w:t>
      </w:r>
    </w:p>
    <w:p w14:paraId="7725E430"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pt-BR"/>
        </w:rPr>
      </w:pPr>
      <w:r w:rsidRPr="003338D7">
        <w:rPr>
          <w:rFonts w:asciiTheme="majorHAnsi" w:hAnsiTheme="majorHAnsi"/>
          <w:noProof/>
          <w:szCs w:val="22"/>
        </w:rPr>
        <w:t xml:space="preserve">Zak, M. R., Cabido, M., &amp; Hodgson, J. G. (2004). Do subtropical seasonal forests in the Gran Chaco, Argentina, have a future? </w:t>
      </w:r>
      <w:r w:rsidRPr="003338D7">
        <w:rPr>
          <w:rFonts w:asciiTheme="majorHAnsi" w:hAnsiTheme="majorHAnsi"/>
          <w:i/>
          <w:iCs/>
          <w:noProof/>
          <w:szCs w:val="22"/>
          <w:lang w:val="pt-BR"/>
        </w:rPr>
        <w:t>Biological Conservation</w:t>
      </w:r>
      <w:r w:rsidRPr="003338D7">
        <w:rPr>
          <w:rFonts w:asciiTheme="majorHAnsi" w:hAnsiTheme="majorHAnsi"/>
          <w:noProof/>
          <w:szCs w:val="22"/>
          <w:lang w:val="pt-BR"/>
        </w:rPr>
        <w:t xml:space="preserve">, </w:t>
      </w:r>
      <w:r w:rsidRPr="003338D7">
        <w:rPr>
          <w:rFonts w:asciiTheme="majorHAnsi" w:hAnsiTheme="majorHAnsi"/>
          <w:i/>
          <w:iCs/>
          <w:noProof/>
          <w:szCs w:val="22"/>
          <w:lang w:val="pt-BR"/>
        </w:rPr>
        <w:t>120</w:t>
      </w:r>
      <w:r w:rsidRPr="003338D7">
        <w:rPr>
          <w:rFonts w:asciiTheme="majorHAnsi" w:hAnsiTheme="majorHAnsi"/>
          <w:noProof/>
          <w:szCs w:val="22"/>
          <w:lang w:val="pt-BR"/>
        </w:rPr>
        <w:t xml:space="preserve">(4), 589–598. </w:t>
      </w:r>
      <w:hyperlink r:id="rId958" w:history="1">
        <w:r w:rsidRPr="003338D7">
          <w:rPr>
            <w:rStyle w:val="Hyperlink"/>
            <w:rFonts w:asciiTheme="majorHAnsi" w:hAnsiTheme="majorHAnsi"/>
            <w:noProof/>
            <w:szCs w:val="22"/>
            <w:lang w:val="pt-BR"/>
          </w:rPr>
          <w:t>http://doi.org/10.1016/j.biocon.2004.03.034</w:t>
        </w:r>
      </w:hyperlink>
    </w:p>
    <w:p w14:paraId="03AFEC65"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pt-BR"/>
        </w:rPr>
        <w:t xml:space="preserve">Zamora Nasca, L., Montti, L., Grau, R., &amp; Paolini, L. (2014). </w:t>
      </w:r>
      <w:r w:rsidRPr="003338D7">
        <w:rPr>
          <w:rFonts w:asciiTheme="majorHAnsi" w:hAnsiTheme="majorHAnsi"/>
          <w:noProof/>
          <w:szCs w:val="22"/>
        </w:rPr>
        <w:t xml:space="preserve">Effects of glossy privet’s invasion on the water dynamics of the Argentinean Yungas forest. </w:t>
      </w:r>
      <w:r w:rsidRPr="003338D7">
        <w:rPr>
          <w:rFonts w:asciiTheme="majorHAnsi" w:hAnsiTheme="majorHAnsi"/>
          <w:i/>
          <w:iCs/>
          <w:noProof/>
          <w:szCs w:val="22"/>
          <w:lang w:val="es-ES"/>
        </w:rPr>
        <w:t>Bosque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35</w:t>
      </w:r>
      <w:r w:rsidRPr="003338D7">
        <w:rPr>
          <w:rFonts w:asciiTheme="majorHAnsi" w:hAnsiTheme="majorHAnsi"/>
          <w:noProof/>
          <w:szCs w:val="22"/>
          <w:lang w:val="es-ES"/>
        </w:rPr>
        <w:t xml:space="preserve">(2), 195–205. </w:t>
      </w:r>
      <w:hyperlink r:id="rId959" w:history="1">
        <w:r w:rsidRPr="003338D7">
          <w:rPr>
            <w:rStyle w:val="Hyperlink"/>
            <w:rFonts w:asciiTheme="majorHAnsi" w:hAnsiTheme="majorHAnsi"/>
            <w:noProof/>
            <w:szCs w:val="22"/>
            <w:lang w:val="es-ES"/>
          </w:rPr>
          <w:t>http://doi.org/10.4067/S0717-92002014000200007</w:t>
        </w:r>
      </w:hyperlink>
    </w:p>
    <w:p w14:paraId="0F0C81FC"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Zamorano-Elgueta, C., Rey Benayas, J. M., Cayuela, L., Hantson, S., &amp; Armenteras, D. (2015). </w:t>
      </w:r>
      <w:r w:rsidRPr="003338D7">
        <w:rPr>
          <w:rFonts w:asciiTheme="majorHAnsi" w:hAnsiTheme="majorHAnsi"/>
          <w:noProof/>
          <w:szCs w:val="22"/>
        </w:rPr>
        <w:t xml:space="preserve">Native forest replacement by exotic plantations in southern Chile (1985-2011) and partial compensation by natural regeneration. </w:t>
      </w:r>
      <w:r w:rsidRPr="003338D7">
        <w:rPr>
          <w:rFonts w:asciiTheme="majorHAnsi" w:hAnsiTheme="majorHAnsi"/>
          <w:i/>
          <w:iCs/>
          <w:noProof/>
          <w:szCs w:val="22"/>
        </w:rPr>
        <w:t>Forest Ecology and Management</w:t>
      </w:r>
      <w:r w:rsidRPr="003338D7">
        <w:rPr>
          <w:rFonts w:asciiTheme="majorHAnsi" w:hAnsiTheme="majorHAnsi"/>
          <w:noProof/>
          <w:szCs w:val="22"/>
        </w:rPr>
        <w:t xml:space="preserve">, </w:t>
      </w:r>
      <w:r w:rsidRPr="003338D7">
        <w:rPr>
          <w:rFonts w:asciiTheme="majorHAnsi" w:hAnsiTheme="majorHAnsi"/>
          <w:i/>
          <w:iCs/>
          <w:noProof/>
          <w:szCs w:val="22"/>
        </w:rPr>
        <w:t>345</w:t>
      </w:r>
      <w:r w:rsidRPr="003338D7">
        <w:rPr>
          <w:rFonts w:asciiTheme="majorHAnsi" w:hAnsiTheme="majorHAnsi"/>
          <w:noProof/>
          <w:szCs w:val="22"/>
        </w:rPr>
        <w:t xml:space="preserve">, 10–20. </w:t>
      </w:r>
      <w:hyperlink r:id="rId960" w:history="1">
        <w:r w:rsidRPr="003338D7">
          <w:rPr>
            <w:rStyle w:val="Hyperlink"/>
            <w:rFonts w:asciiTheme="majorHAnsi" w:hAnsiTheme="majorHAnsi"/>
            <w:noProof/>
            <w:szCs w:val="22"/>
          </w:rPr>
          <w:t>http://doi.org/10.1016/j.foreco.2015.02.025</w:t>
        </w:r>
      </w:hyperlink>
    </w:p>
    <w:p w14:paraId="6DE3693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Zanne, A. E., Tank, D. C., Cornwell, W. K., Eastman, J. M., Smith, S. A., FitzJohn, R. G., McGlinn, D. J., O’Meara, B. C., Moles, A. T., Reich, P. B., Royer, D. L., Soltis, D. E., Stevens, P. F., Westoby, M., Wright, I. J., Aarssen, L., Bertin, R. I., Calaminus, A., Govaerts, R., Hemmings, F., Leishman, M. R., Oleksyn, J., Soltis, P. S., Swenson, N. G., Warman, L., &amp; Beaulieu, J. M. (2013). Three keys to the radiation of angiosperms into freezing environments. </w:t>
      </w:r>
      <w:r w:rsidRPr="003338D7">
        <w:rPr>
          <w:rFonts w:asciiTheme="majorHAnsi" w:hAnsiTheme="majorHAnsi"/>
          <w:i/>
          <w:iCs/>
          <w:noProof/>
          <w:szCs w:val="22"/>
          <w:lang w:val="es-ES"/>
        </w:rPr>
        <w:t>Nature</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506</w:t>
      </w:r>
      <w:r w:rsidRPr="003338D7">
        <w:rPr>
          <w:rFonts w:asciiTheme="majorHAnsi" w:hAnsiTheme="majorHAnsi"/>
          <w:noProof/>
          <w:szCs w:val="22"/>
          <w:lang w:val="es-ES"/>
        </w:rPr>
        <w:t xml:space="preserve">, 89–92. </w:t>
      </w:r>
      <w:hyperlink r:id="rId961" w:history="1">
        <w:r w:rsidRPr="003338D7">
          <w:rPr>
            <w:rStyle w:val="Hyperlink"/>
            <w:rFonts w:asciiTheme="majorHAnsi" w:hAnsiTheme="majorHAnsi"/>
            <w:noProof/>
            <w:szCs w:val="22"/>
            <w:lang w:val="es-ES"/>
          </w:rPr>
          <w:t>https://doi.org/10.1038/nature12872</w:t>
        </w:r>
      </w:hyperlink>
    </w:p>
    <w:p w14:paraId="4848B741"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Zarazúa, M. (2016). Del guajolote a las chicatanas. Uso, manejo y domesticación de recursos genéticos animales en Mesoamérica. In A. Casas, J. Torres-Guevara, &amp; F. Parra (Eds.), </w:t>
      </w:r>
      <w:r w:rsidRPr="003338D7">
        <w:rPr>
          <w:rFonts w:asciiTheme="majorHAnsi" w:hAnsiTheme="majorHAnsi"/>
          <w:i/>
          <w:iCs/>
          <w:noProof/>
          <w:szCs w:val="22"/>
          <w:lang w:val="es-ES"/>
        </w:rPr>
        <w:t>Domesticación en el Continente Americano Vol. 1. Investigación Manejo de Biodiversidad y Evolución Dirigida por las Culturas del Nuevo Mundo</w:t>
      </w:r>
      <w:r w:rsidRPr="003338D7">
        <w:rPr>
          <w:rFonts w:asciiTheme="majorHAnsi" w:hAnsiTheme="majorHAnsi"/>
          <w:noProof/>
          <w:szCs w:val="22"/>
          <w:lang w:val="es-ES"/>
        </w:rPr>
        <w:t xml:space="preserve"> (pp. 283–316). México D.F., México and: Universidad Nacional Autónoma de México/Universidad Nacional Agraria La Molina.</w:t>
      </w:r>
    </w:p>
    <w:p w14:paraId="28AB02B8" w14:textId="77777777" w:rsidR="00945A59" w:rsidRPr="003338D7" w:rsidRDefault="00945A59" w:rsidP="000A77D6">
      <w:pPr>
        <w:widowControl w:val="0"/>
        <w:autoSpaceDE w:val="0"/>
        <w:autoSpaceDN w:val="0"/>
        <w:adjustRightInd w:val="0"/>
        <w:ind w:left="851" w:hanging="851"/>
        <w:rPr>
          <w:rFonts w:asciiTheme="majorHAnsi" w:hAnsiTheme="majorHAnsi"/>
          <w:noProof/>
          <w:szCs w:val="22"/>
          <w:lang w:val="es-ES"/>
        </w:rPr>
      </w:pPr>
      <w:r w:rsidRPr="003338D7">
        <w:rPr>
          <w:rFonts w:asciiTheme="majorHAnsi" w:hAnsiTheme="majorHAnsi"/>
          <w:noProof/>
          <w:szCs w:val="22"/>
          <w:lang w:val="es-ES"/>
        </w:rPr>
        <w:t xml:space="preserve">Zarin, D. J., Harris, N. L., Baccini, A., Aksenov, D., Hansen, M. C., Azevedo-Ramos, C., Azevedo, T., Margono, B. A., Alencar, A. C., Gabris, C., Allegretti, A., Potapov, P., Farina, M., Walker, W. S., Shevade, V. S., Loboda, T. V, Turubanova, S., &amp; Tyukavina, A. (2016). Can carbon emissions from tropical deforestation drop by 50% in 5 years? </w:t>
      </w:r>
      <w:r w:rsidRPr="003338D7">
        <w:rPr>
          <w:rFonts w:asciiTheme="majorHAnsi" w:hAnsiTheme="majorHAnsi"/>
          <w:i/>
          <w:iCs/>
          <w:noProof/>
          <w:szCs w:val="22"/>
          <w:lang w:val="es-ES"/>
        </w:rPr>
        <w:t>Global Change Biology</w:t>
      </w:r>
      <w:r w:rsidRPr="003338D7">
        <w:rPr>
          <w:rFonts w:asciiTheme="majorHAnsi" w:hAnsiTheme="majorHAnsi"/>
          <w:noProof/>
          <w:szCs w:val="22"/>
          <w:lang w:val="es-ES"/>
        </w:rPr>
        <w:t xml:space="preserve">, </w:t>
      </w:r>
      <w:r w:rsidRPr="003338D7">
        <w:rPr>
          <w:rFonts w:asciiTheme="majorHAnsi" w:hAnsiTheme="majorHAnsi"/>
          <w:i/>
          <w:iCs/>
          <w:noProof/>
          <w:szCs w:val="22"/>
          <w:lang w:val="es-ES"/>
        </w:rPr>
        <w:t>22</w:t>
      </w:r>
      <w:r w:rsidRPr="003338D7">
        <w:rPr>
          <w:rFonts w:asciiTheme="majorHAnsi" w:hAnsiTheme="majorHAnsi"/>
          <w:noProof/>
          <w:szCs w:val="22"/>
          <w:lang w:val="es-ES"/>
        </w:rPr>
        <w:t xml:space="preserve">(4), 1336–1347. </w:t>
      </w:r>
      <w:hyperlink r:id="rId962" w:history="1">
        <w:r w:rsidRPr="003338D7">
          <w:rPr>
            <w:rStyle w:val="Hyperlink"/>
            <w:rFonts w:asciiTheme="majorHAnsi" w:hAnsiTheme="majorHAnsi"/>
            <w:noProof/>
            <w:szCs w:val="22"/>
            <w:lang w:val="es-ES"/>
          </w:rPr>
          <w:t>https://doi.org/10.1111/gcb.13153</w:t>
        </w:r>
      </w:hyperlink>
    </w:p>
    <w:p w14:paraId="439418F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lang w:val="es-ES"/>
        </w:rPr>
        <w:t xml:space="preserve">Zavaleta, E., Tershy, B., Harrison, S., Borker, A., Sinervo, B., Cornelisse, T., Li, C., Spatz, D., &amp; Croll, D. (2016). Biodiversity. In H. Mooney and E. Zavaleta (Ed.), </w:t>
      </w:r>
      <w:r w:rsidRPr="003338D7">
        <w:rPr>
          <w:rFonts w:asciiTheme="majorHAnsi" w:hAnsiTheme="majorHAnsi"/>
          <w:i/>
          <w:iCs/>
          <w:noProof/>
          <w:szCs w:val="22"/>
          <w:lang w:val="es-ES"/>
        </w:rPr>
        <w:t>Ecosystems of California</w:t>
      </w:r>
      <w:r w:rsidRPr="003338D7">
        <w:rPr>
          <w:rFonts w:asciiTheme="majorHAnsi" w:hAnsiTheme="majorHAnsi"/>
          <w:noProof/>
          <w:szCs w:val="22"/>
          <w:lang w:val="es-ES"/>
        </w:rPr>
        <w:t xml:space="preserve"> (pp. 187–212). Oakland, USA: University of California Press.</w:t>
      </w:r>
    </w:p>
    <w:p w14:paraId="238ED0E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Zedler, J. B., &amp; Kercher, S. (2005). Wetland resources: Status, trends, ecosystem services, and restorability. </w:t>
      </w:r>
      <w:r w:rsidRPr="003338D7">
        <w:rPr>
          <w:rFonts w:asciiTheme="majorHAnsi" w:hAnsiTheme="majorHAnsi"/>
          <w:i/>
          <w:iCs/>
          <w:noProof/>
          <w:szCs w:val="22"/>
        </w:rPr>
        <w:t>Annual Review of Environment and Resources</w:t>
      </w:r>
      <w:r w:rsidRPr="003338D7">
        <w:rPr>
          <w:rFonts w:asciiTheme="majorHAnsi" w:hAnsiTheme="majorHAnsi"/>
          <w:noProof/>
          <w:szCs w:val="22"/>
        </w:rPr>
        <w:t xml:space="preserve">, </w:t>
      </w:r>
      <w:r w:rsidRPr="003338D7">
        <w:rPr>
          <w:rFonts w:asciiTheme="majorHAnsi" w:hAnsiTheme="majorHAnsi"/>
          <w:i/>
          <w:iCs/>
          <w:noProof/>
          <w:szCs w:val="22"/>
        </w:rPr>
        <w:t>30</w:t>
      </w:r>
      <w:r w:rsidRPr="003338D7">
        <w:rPr>
          <w:rFonts w:asciiTheme="majorHAnsi" w:hAnsiTheme="majorHAnsi"/>
          <w:noProof/>
          <w:szCs w:val="22"/>
        </w:rPr>
        <w:t xml:space="preserve">, 39–74. </w:t>
      </w:r>
      <w:hyperlink r:id="rId963" w:history="1">
        <w:r w:rsidRPr="003338D7">
          <w:rPr>
            <w:rStyle w:val="Hyperlink"/>
            <w:rFonts w:asciiTheme="majorHAnsi" w:hAnsiTheme="majorHAnsi"/>
            <w:noProof/>
            <w:szCs w:val="22"/>
          </w:rPr>
          <w:t>http://doi.org/10.1146/annurev.energy.30.050504.144248</w:t>
        </w:r>
      </w:hyperlink>
    </w:p>
    <w:p w14:paraId="38F16D49"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Zedler, P. H. (1995). Fire frequency in southern California shrublands: biological effects and management options. In J. E. Keeley &amp; T. Scott (Eds.), </w:t>
      </w:r>
      <w:r w:rsidRPr="003338D7">
        <w:rPr>
          <w:rFonts w:asciiTheme="majorHAnsi" w:hAnsiTheme="majorHAnsi"/>
          <w:i/>
          <w:iCs/>
          <w:noProof/>
          <w:szCs w:val="22"/>
        </w:rPr>
        <w:t>Brushfires in California: Ecology and Resource Management</w:t>
      </w:r>
      <w:r w:rsidRPr="003338D7">
        <w:rPr>
          <w:rFonts w:asciiTheme="majorHAnsi" w:hAnsiTheme="majorHAnsi"/>
          <w:noProof/>
          <w:szCs w:val="22"/>
        </w:rPr>
        <w:t xml:space="preserve"> (pp. 101–112). Fairfield, USA: International Association of Wildland Fire.</w:t>
      </w:r>
    </w:p>
    <w:p w14:paraId="20FA5FEA" w14:textId="77777777" w:rsidR="00945A59" w:rsidRPr="003338D7" w:rsidRDefault="00945A59" w:rsidP="000A77D6">
      <w:pPr>
        <w:widowControl w:val="0"/>
        <w:autoSpaceDE w:val="0"/>
        <w:autoSpaceDN w:val="0"/>
        <w:adjustRightInd w:val="0"/>
        <w:ind w:left="851" w:hanging="851"/>
        <w:rPr>
          <w:rFonts w:asciiTheme="majorHAnsi" w:hAnsiTheme="majorHAnsi"/>
          <w:noProof/>
          <w:szCs w:val="22"/>
        </w:rPr>
      </w:pPr>
      <w:r w:rsidRPr="003338D7">
        <w:rPr>
          <w:rFonts w:asciiTheme="majorHAnsi" w:hAnsiTheme="majorHAnsi"/>
          <w:noProof/>
          <w:szCs w:val="22"/>
        </w:rPr>
        <w:t xml:space="preserve">Zolla, C., &amp; Zolla, E. (2004). </w:t>
      </w:r>
      <w:r w:rsidRPr="003338D7">
        <w:rPr>
          <w:rFonts w:asciiTheme="majorHAnsi" w:hAnsiTheme="majorHAnsi"/>
          <w:i/>
          <w:iCs/>
          <w:noProof/>
          <w:szCs w:val="22"/>
          <w:lang w:val="es-ES"/>
        </w:rPr>
        <w:t>Los Pueblos Indígenas de México, 100 Preguntas</w:t>
      </w:r>
      <w:r w:rsidRPr="003338D7">
        <w:rPr>
          <w:rFonts w:asciiTheme="majorHAnsi" w:hAnsiTheme="majorHAnsi"/>
          <w:noProof/>
          <w:szCs w:val="22"/>
          <w:lang w:val="es-ES"/>
        </w:rPr>
        <w:t xml:space="preserve">. </w:t>
      </w:r>
      <w:r w:rsidRPr="003338D7">
        <w:rPr>
          <w:rFonts w:asciiTheme="majorHAnsi" w:hAnsiTheme="majorHAnsi"/>
          <w:noProof/>
          <w:szCs w:val="22"/>
        </w:rPr>
        <w:t>México D.F., México: Universidad Nacional Autónoma de México.</w:t>
      </w:r>
    </w:p>
    <w:p w14:paraId="403E580B" w14:textId="77777777" w:rsidR="00945A59" w:rsidRPr="003338D7" w:rsidRDefault="00945A59" w:rsidP="000A77D6">
      <w:pPr>
        <w:ind w:left="851" w:hanging="851"/>
        <w:rPr>
          <w:rFonts w:asciiTheme="majorHAnsi" w:hAnsiTheme="majorHAnsi"/>
          <w:szCs w:val="22"/>
        </w:rPr>
      </w:pPr>
      <w:r w:rsidRPr="003338D7">
        <w:rPr>
          <w:rFonts w:asciiTheme="majorHAnsi" w:hAnsiTheme="majorHAnsi"/>
          <w:szCs w:val="22"/>
        </w:rPr>
        <w:fldChar w:fldCharType="end"/>
      </w:r>
    </w:p>
    <w:p w14:paraId="32C47524" w14:textId="77777777" w:rsidR="00945A59" w:rsidRPr="003338D7" w:rsidRDefault="00945A59" w:rsidP="00945A59">
      <w:pPr>
        <w:spacing w:after="120"/>
        <w:ind w:left="482" w:hanging="482"/>
        <w:rPr>
          <w:rFonts w:asciiTheme="majorHAnsi" w:hAnsiTheme="majorHAnsi"/>
          <w:szCs w:val="22"/>
        </w:rPr>
      </w:pPr>
    </w:p>
    <w:p w14:paraId="20BC086B" w14:textId="5BDC155E" w:rsidR="008035B6" w:rsidRPr="008608AA" w:rsidRDefault="008035B6" w:rsidP="00AC69AD">
      <w:pPr>
        <w:spacing w:before="120"/>
        <w:contextualSpacing/>
      </w:pPr>
    </w:p>
    <w:p w14:paraId="689BC490" w14:textId="77777777" w:rsidR="008035B6" w:rsidRPr="008608AA" w:rsidRDefault="008035B6" w:rsidP="004255E7">
      <w:pPr>
        <w:widowControl w:val="0"/>
        <w:autoSpaceDE w:val="0"/>
        <w:autoSpaceDN w:val="0"/>
        <w:adjustRightInd w:val="0"/>
        <w:ind w:left="480" w:hanging="480"/>
        <w:sectPr w:rsidR="008035B6" w:rsidRPr="008608AA" w:rsidSect="0039151E">
          <w:pgSz w:w="11907" w:h="16839" w:code="9"/>
          <w:pgMar w:top="907" w:right="992" w:bottom="1418" w:left="1418" w:header="720" w:footer="720" w:gutter="0"/>
          <w:cols w:space="720"/>
          <w:docGrid w:linePitch="326"/>
        </w:sectPr>
      </w:pPr>
    </w:p>
    <w:p w14:paraId="3AD0C465" w14:textId="25325E65" w:rsidR="008035B6" w:rsidRPr="008608AA" w:rsidRDefault="008035B6" w:rsidP="006F7DC0">
      <w:pPr>
        <w:pStyle w:val="Heading1"/>
        <w:rPr>
          <w:color w:val="auto"/>
          <w:lang w:val="en-US"/>
        </w:rPr>
      </w:pPr>
      <w:bookmarkStart w:id="1246" w:name="_Toc502951183"/>
      <w:bookmarkStart w:id="1247" w:name="_Toc502953626"/>
      <w:bookmarkStart w:id="1248" w:name="_Toc502954919"/>
      <w:bookmarkStart w:id="1249" w:name="_Toc502957726"/>
      <w:bookmarkStart w:id="1250" w:name="_Toc502957925"/>
      <w:bookmarkStart w:id="1251" w:name="_Toc502958079"/>
      <w:bookmarkStart w:id="1252" w:name="_Toc503293127"/>
      <w:bookmarkStart w:id="1253" w:name="_Toc503293725"/>
      <w:bookmarkStart w:id="1254" w:name="_Toc503293987"/>
      <w:bookmarkStart w:id="1255" w:name="_Toc503863380"/>
      <w:bookmarkStart w:id="1256" w:name="_Toc517393329"/>
      <w:bookmarkStart w:id="1257" w:name="_Toc517394386"/>
      <w:bookmarkStart w:id="1258" w:name="_Toc517719070"/>
      <w:bookmarkStart w:id="1259" w:name="_Toc517726340"/>
      <w:bookmarkStart w:id="1260" w:name="_Toc517796853"/>
      <w:bookmarkStart w:id="1261" w:name="_Toc517797027"/>
      <w:bookmarkStart w:id="1262" w:name="Chap4"/>
      <w:r w:rsidRPr="008608AA">
        <w:t>Chapter 4</w:t>
      </w:r>
      <w:r w:rsidR="007235B9" w:rsidRPr="008608AA">
        <w:t>:</w:t>
      </w:r>
      <w:r w:rsidRPr="008608AA">
        <w:t xml:space="preserve"> Direct and indirect drivers of change in biodiversity and nature’s contributions to people</w:t>
      </w:r>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r w:rsidR="00A46E58" w:rsidRPr="008608AA">
        <w:t xml:space="preserve"> </w:t>
      </w:r>
    </w:p>
    <w:p w14:paraId="760B28BC" w14:textId="77777777" w:rsidR="008035B6" w:rsidRPr="008608AA" w:rsidRDefault="008035B6" w:rsidP="008035B6">
      <w:pPr>
        <w:pStyle w:val="Section"/>
        <w:spacing w:after="0"/>
        <w:rPr>
          <w:color w:val="auto"/>
          <w:sz w:val="22"/>
        </w:rPr>
      </w:pPr>
    </w:p>
    <w:p w14:paraId="2526B088" w14:textId="77777777" w:rsidR="008035B6" w:rsidRPr="008608AA" w:rsidRDefault="008035B6" w:rsidP="008035B6">
      <w:pPr>
        <w:rPr>
          <w:b/>
        </w:rPr>
      </w:pPr>
      <w:r w:rsidRPr="008608AA">
        <w:rPr>
          <w:b/>
          <w:iCs/>
        </w:rPr>
        <w:t>Coordinating Lead Authors:</w:t>
      </w:r>
      <w:r w:rsidRPr="008608AA">
        <w:rPr>
          <w:b/>
        </w:rPr>
        <w:t xml:space="preserve"> </w:t>
      </w:r>
    </w:p>
    <w:p w14:paraId="584F0B2D" w14:textId="77777777" w:rsidR="008035B6" w:rsidRPr="008608AA" w:rsidRDefault="008035B6" w:rsidP="008035B6">
      <w:r w:rsidRPr="008608AA">
        <w:t>Mercedes Bustamante (Brazil), Eileen H. Helmer (USA), Steven Schill (USA)</w:t>
      </w:r>
    </w:p>
    <w:p w14:paraId="6B6C98E8" w14:textId="77777777" w:rsidR="00466AE2" w:rsidRPr="008608AA" w:rsidRDefault="00466AE2" w:rsidP="008035B6">
      <w:pPr>
        <w:rPr>
          <w:b/>
        </w:rPr>
      </w:pPr>
    </w:p>
    <w:p w14:paraId="4032FB23" w14:textId="77777777" w:rsidR="008035B6" w:rsidRPr="00CE0821" w:rsidRDefault="008035B6" w:rsidP="008035B6">
      <w:pPr>
        <w:rPr>
          <w:rFonts w:eastAsia="Times"/>
          <w:b/>
          <w:iCs/>
          <w:lang w:val="es-CO"/>
        </w:rPr>
      </w:pPr>
      <w:r w:rsidRPr="00CE0821">
        <w:rPr>
          <w:b/>
          <w:iCs/>
          <w:lang w:val="es-CO"/>
        </w:rPr>
        <w:t xml:space="preserve">Lead Authors: </w:t>
      </w:r>
    </w:p>
    <w:p w14:paraId="7ED9351E" w14:textId="53F6DE18" w:rsidR="008035B6" w:rsidRPr="00CE0821" w:rsidRDefault="008035B6" w:rsidP="008035B6">
      <w:pPr>
        <w:rPr>
          <w:lang w:val="es-CO"/>
        </w:rPr>
      </w:pPr>
      <w:r w:rsidRPr="00CE0821">
        <w:rPr>
          <w:lang w:val="es-CO"/>
        </w:rPr>
        <w:t>Jayne Belnap (USA), Laura K. Brown (Canada), Ernesto Brugnoli (Uruguay), Jana E. Compton (USA), Richard H. Coupe (USA), Marcello Hernández-Blanco (Costa Rica), Forest Isbell (USA), Julie Lockwood (USA), Juan Pablo Lozoya Azcárate (Uruguay), David McGuire (USA), Anibal Pauchard (Chile), Ramon Pichs-Madruga (C</w:t>
      </w:r>
      <w:r w:rsidR="00CF1B37" w:rsidRPr="00CE0821">
        <w:rPr>
          <w:lang w:val="es-CO"/>
        </w:rPr>
        <w:t>uba), Ricardo Ribeiro Rodrigues</w:t>
      </w:r>
      <w:r w:rsidRPr="00CE0821">
        <w:rPr>
          <w:lang w:val="es-CO"/>
        </w:rPr>
        <w:t xml:space="preserve"> (Brazil), Gerardo Arturo Sanchez-Azofeifa (Costa Rica/Canada), Alvaro Soutullo (Uruguay), Avelino Suarez (Cuba), Elizabeth Troutt (Canada).</w:t>
      </w:r>
    </w:p>
    <w:p w14:paraId="6DD7C412" w14:textId="77777777" w:rsidR="00466AE2" w:rsidRPr="00CE0821" w:rsidRDefault="00466AE2" w:rsidP="008035B6">
      <w:pPr>
        <w:rPr>
          <w:lang w:val="es-CO"/>
        </w:rPr>
      </w:pPr>
    </w:p>
    <w:p w14:paraId="0989D044" w14:textId="77777777" w:rsidR="00466AE2" w:rsidRPr="008608AA" w:rsidRDefault="008035B6" w:rsidP="008035B6">
      <w:pPr>
        <w:rPr>
          <w:b/>
          <w:iCs/>
        </w:rPr>
      </w:pPr>
      <w:r w:rsidRPr="008608AA">
        <w:rPr>
          <w:b/>
          <w:iCs/>
        </w:rPr>
        <w:t>Fellow:</w:t>
      </w:r>
    </w:p>
    <w:p w14:paraId="07077F92" w14:textId="77777777" w:rsidR="008035B6" w:rsidRPr="008608AA" w:rsidRDefault="008035B6" w:rsidP="008035B6">
      <w:r w:rsidRPr="008608AA">
        <w:t>Laura Thompson (USA).</w:t>
      </w:r>
    </w:p>
    <w:p w14:paraId="45B5C6BA" w14:textId="77777777" w:rsidR="00466AE2" w:rsidRPr="008608AA" w:rsidRDefault="00466AE2" w:rsidP="008035B6">
      <w:pPr>
        <w:rPr>
          <w:b/>
          <w:iCs/>
        </w:rPr>
      </w:pPr>
    </w:p>
    <w:p w14:paraId="69959A5F" w14:textId="77777777" w:rsidR="008035B6" w:rsidRPr="008608AA" w:rsidRDefault="008035B6" w:rsidP="008035B6">
      <w:pPr>
        <w:rPr>
          <w:b/>
          <w:iCs/>
        </w:rPr>
      </w:pPr>
      <w:r w:rsidRPr="008608AA">
        <w:rPr>
          <w:b/>
          <w:iCs/>
        </w:rPr>
        <w:t xml:space="preserve">Contributing Authors: </w:t>
      </w:r>
    </w:p>
    <w:p w14:paraId="2B500F52" w14:textId="0FEBBE68" w:rsidR="008035B6" w:rsidRPr="008608AA" w:rsidRDefault="008035B6" w:rsidP="008035B6">
      <w:pPr>
        <w:rPr>
          <w:lang w:val="es-PR"/>
        </w:rPr>
      </w:pPr>
      <w:r w:rsidRPr="008608AA">
        <w:rPr>
          <w:lang w:val="es-PR"/>
        </w:rPr>
        <w:t>Robin Abell (USA), Lorenzo Alvarez-Filip (Mexico), Christopher</w:t>
      </w:r>
      <w:r w:rsidR="00985E27" w:rsidRPr="008608AA">
        <w:rPr>
          <w:lang w:val="es-PR"/>
        </w:rPr>
        <w:t xml:space="preserve">  B.</w:t>
      </w:r>
      <w:r w:rsidRPr="008608AA">
        <w:rPr>
          <w:lang w:val="es-PR"/>
        </w:rPr>
        <w:t xml:space="preserve"> Anderson (Argentina</w:t>
      </w:r>
      <w:r w:rsidR="00466AE2" w:rsidRPr="008608AA">
        <w:rPr>
          <w:lang w:val="es-PR"/>
        </w:rPr>
        <w:t>/USA</w:t>
      </w:r>
      <w:r w:rsidRPr="008608AA">
        <w:rPr>
          <w:lang w:val="es-PR"/>
        </w:rPr>
        <w:t>), Adriana De Palma (UK), Arturo Dominici (Panama), Javier Godar (Spain), Gladys Hernandez (Cuba), Myanna</w:t>
      </w:r>
      <w:r w:rsidR="005B68C7" w:rsidRPr="008608AA">
        <w:rPr>
          <w:lang w:val="es-PR"/>
        </w:rPr>
        <w:t xml:space="preserve"> Lahsen (Brazil), Marília Cunha-</w:t>
      </w:r>
      <w:r w:rsidRPr="008608AA">
        <w:rPr>
          <w:lang w:val="es-PR"/>
        </w:rPr>
        <w:t>Lignon (Brazil), Frank Mull</w:t>
      </w:r>
      <w:r w:rsidR="005B68C7" w:rsidRPr="008608AA">
        <w:rPr>
          <w:lang w:val="es-PR"/>
        </w:rPr>
        <w:t>er-Karger (USA), Laura Nahuelhua</w:t>
      </w:r>
      <w:r w:rsidRPr="008608AA">
        <w:rPr>
          <w:lang w:val="es-PR"/>
        </w:rPr>
        <w:t>l (Chile), Judith A. Perlinger (USA), Helder</w:t>
      </w:r>
      <w:r w:rsidR="005B68C7" w:rsidRPr="008608AA">
        <w:rPr>
          <w:lang w:val="es-PR"/>
        </w:rPr>
        <w:t xml:space="preserve"> Lima</w:t>
      </w:r>
      <w:r w:rsidRPr="008608AA">
        <w:rPr>
          <w:lang w:val="es-PR"/>
        </w:rPr>
        <w:t xml:space="preserve"> Queiroz (Brazil), Carla R. G. Reis (Brazil), Carmen Revenga (USA), Jeremy Rude (USA), Dalia Salabarria (Cuba), Jennifer J. Swenson (USA), Noel R. Urban (USA).</w:t>
      </w:r>
    </w:p>
    <w:p w14:paraId="39688A57" w14:textId="77777777" w:rsidR="00D45995" w:rsidRPr="008608AA" w:rsidRDefault="00D45995" w:rsidP="008035B6">
      <w:pPr>
        <w:rPr>
          <w:lang w:val="es-PR"/>
        </w:rPr>
      </w:pPr>
    </w:p>
    <w:p w14:paraId="7A90055E" w14:textId="77777777" w:rsidR="00D45995" w:rsidRPr="008608AA" w:rsidRDefault="008035B6" w:rsidP="008035B6">
      <w:pPr>
        <w:rPr>
          <w:lang w:val="pt-BR"/>
        </w:rPr>
      </w:pPr>
      <w:r w:rsidRPr="008608AA">
        <w:rPr>
          <w:b/>
          <w:lang w:val="pt-BR"/>
        </w:rPr>
        <w:t>Review Editors:</w:t>
      </w:r>
      <w:r w:rsidRPr="008608AA">
        <w:rPr>
          <w:lang w:val="pt-BR"/>
        </w:rPr>
        <w:t xml:space="preserve"> </w:t>
      </w:r>
    </w:p>
    <w:p w14:paraId="022AD838" w14:textId="77777777" w:rsidR="00B20B10" w:rsidRPr="008608AA" w:rsidRDefault="008035B6" w:rsidP="005E4E66">
      <w:pPr>
        <w:rPr>
          <w:lang w:val="pt-BR"/>
        </w:rPr>
      </w:pPr>
      <w:r w:rsidRPr="008608AA">
        <w:rPr>
          <w:lang w:val="pt-BR"/>
        </w:rPr>
        <w:t>Pedro Laterra (Argentina), Carlos Eduardo Young (Brazil)</w:t>
      </w:r>
      <w:bookmarkStart w:id="1263" w:name="_Toc304632497"/>
      <w:bookmarkStart w:id="1264" w:name="_Toc466995068"/>
      <w:bookmarkStart w:id="1265" w:name="_Toc472342756"/>
      <w:bookmarkStart w:id="1266" w:name="_Toc482711159"/>
      <w:bookmarkStart w:id="1267" w:name="_Toc499256877"/>
      <w:bookmarkStart w:id="1268" w:name="_Toc502953627"/>
      <w:bookmarkStart w:id="1269" w:name="_Toc502954920"/>
      <w:bookmarkStart w:id="1270" w:name="_Toc502957727"/>
      <w:bookmarkStart w:id="1271" w:name="_Toc502957926"/>
      <w:bookmarkStart w:id="1272" w:name="_Toc502958080"/>
    </w:p>
    <w:p w14:paraId="40B59391" w14:textId="77777777" w:rsidR="008C738B" w:rsidRPr="008608AA" w:rsidRDefault="008C738B" w:rsidP="005E4E66">
      <w:pPr>
        <w:rPr>
          <w:lang w:val="pt-BR"/>
        </w:rPr>
      </w:pPr>
    </w:p>
    <w:p w14:paraId="772C9960" w14:textId="77777777" w:rsidR="00F5502C" w:rsidRPr="008608AA" w:rsidRDefault="00F5502C" w:rsidP="005E4E66">
      <w:pPr>
        <w:rPr>
          <w:lang w:val="pt-BR"/>
        </w:rPr>
      </w:pPr>
    </w:p>
    <w:p w14:paraId="282A05FC" w14:textId="77777777" w:rsidR="00F5502C" w:rsidRPr="008608AA" w:rsidRDefault="00F5502C" w:rsidP="005E4E66">
      <w:pPr>
        <w:rPr>
          <w:lang w:val="pt-BR"/>
        </w:rPr>
      </w:pPr>
    </w:p>
    <w:p w14:paraId="10BAEF14" w14:textId="77777777" w:rsidR="00A15732" w:rsidRPr="008608AA" w:rsidRDefault="00A15732" w:rsidP="005E4E66">
      <w:pPr>
        <w:rPr>
          <w:lang w:val="pt-BR"/>
        </w:rPr>
      </w:pPr>
    </w:p>
    <w:p w14:paraId="6E728909" w14:textId="77777777" w:rsidR="00A15732" w:rsidRPr="008608AA" w:rsidRDefault="00A15732" w:rsidP="005E4E66">
      <w:pPr>
        <w:rPr>
          <w:lang w:val="pt-BR"/>
        </w:rPr>
      </w:pPr>
    </w:p>
    <w:p w14:paraId="3B001601" w14:textId="77777777" w:rsidR="00A15732" w:rsidRPr="008608AA" w:rsidRDefault="00A15732" w:rsidP="005E4E66">
      <w:pPr>
        <w:rPr>
          <w:lang w:val="pt-BR"/>
        </w:rPr>
      </w:pPr>
    </w:p>
    <w:p w14:paraId="0D590865" w14:textId="77777777" w:rsidR="00A15732" w:rsidRPr="008608AA" w:rsidRDefault="00A15732" w:rsidP="005E4E66">
      <w:pPr>
        <w:rPr>
          <w:lang w:val="pt-BR"/>
        </w:rPr>
      </w:pPr>
    </w:p>
    <w:p w14:paraId="2BA3D0FA" w14:textId="77777777" w:rsidR="00A15732" w:rsidRPr="008608AA" w:rsidRDefault="00A15732" w:rsidP="005E4E66">
      <w:pPr>
        <w:rPr>
          <w:lang w:val="pt-BR"/>
        </w:rPr>
      </w:pPr>
    </w:p>
    <w:p w14:paraId="4694C8D5" w14:textId="77777777" w:rsidR="00A15732" w:rsidRPr="008608AA" w:rsidRDefault="00A15732" w:rsidP="005E4E66">
      <w:pPr>
        <w:rPr>
          <w:lang w:val="pt-BR"/>
        </w:rPr>
      </w:pPr>
    </w:p>
    <w:p w14:paraId="54E96E31" w14:textId="77777777" w:rsidR="00A15732" w:rsidRPr="008608AA" w:rsidRDefault="00A15732" w:rsidP="005E4E66">
      <w:pPr>
        <w:rPr>
          <w:lang w:val="pt-BR"/>
        </w:rPr>
      </w:pPr>
    </w:p>
    <w:p w14:paraId="1A352D56" w14:textId="77777777" w:rsidR="00A15732" w:rsidRPr="008608AA" w:rsidRDefault="00A15732" w:rsidP="005E4E66">
      <w:pPr>
        <w:rPr>
          <w:lang w:val="pt-BR"/>
        </w:rPr>
      </w:pPr>
    </w:p>
    <w:p w14:paraId="2C183055" w14:textId="77777777" w:rsidR="00A15732" w:rsidRPr="008608AA" w:rsidRDefault="00A15732" w:rsidP="005E4E66">
      <w:pPr>
        <w:rPr>
          <w:lang w:val="pt-BR"/>
        </w:rPr>
      </w:pPr>
    </w:p>
    <w:p w14:paraId="3195AF47" w14:textId="22834B34" w:rsidR="002238D5" w:rsidRPr="008608AA" w:rsidRDefault="000206EC" w:rsidP="00F5502C">
      <w:pPr>
        <w:tabs>
          <w:tab w:val="left" w:pos="4082"/>
        </w:tabs>
        <w:rPr>
          <w:b/>
          <w:lang w:val="pt-BR"/>
        </w:rPr>
      </w:pPr>
      <w:r w:rsidRPr="008608AA">
        <w:rPr>
          <w:b/>
          <w:lang w:val="pt-BR"/>
        </w:rPr>
        <w:t>To be cited as</w:t>
      </w:r>
      <w:r w:rsidR="002238D5" w:rsidRPr="008608AA">
        <w:rPr>
          <w:b/>
          <w:lang w:val="pt-BR"/>
        </w:rPr>
        <w:t>:</w:t>
      </w:r>
    </w:p>
    <w:p w14:paraId="5672167A" w14:textId="72132C8B" w:rsidR="002238D5" w:rsidRPr="008608AA" w:rsidRDefault="002238D5" w:rsidP="00F5502C">
      <w:pPr>
        <w:tabs>
          <w:tab w:val="left" w:pos="4082"/>
        </w:tabs>
        <w:rPr>
          <w:lang w:val="pt-BR"/>
        </w:rPr>
      </w:pPr>
      <w:r w:rsidRPr="008608AA">
        <w:rPr>
          <w:color w:val="000000"/>
          <w:shd w:val="clear" w:color="auto" w:fill="FFFFFF"/>
          <w:lang w:val="pt-BR"/>
        </w:rPr>
        <w:t>Bustamante, M., Helmer, E. H., Schill, S., Belnap, J., Brown, L. K., Brugnoli, E., Compton, J. E., Coupe, R. H., Hernández-Blanco, M., Isbell, F., Lockwood, J., Lozoya Ascárate., J. P., McGuire, D., Pauchard,</w:t>
      </w:r>
      <w:r w:rsidR="00CF1B37" w:rsidRPr="008608AA">
        <w:rPr>
          <w:color w:val="000000"/>
          <w:shd w:val="clear" w:color="auto" w:fill="FFFFFF"/>
          <w:lang w:val="pt-BR"/>
        </w:rPr>
        <w:t xml:space="preserve"> A., Pichs-Madruga, R., Rodrigues</w:t>
      </w:r>
      <w:r w:rsidR="00B85B2E" w:rsidRPr="008608AA">
        <w:rPr>
          <w:color w:val="000000"/>
          <w:shd w:val="clear" w:color="auto" w:fill="FFFFFF"/>
          <w:lang w:val="pt-BR"/>
        </w:rPr>
        <w:t>, R. R., Sa</w:t>
      </w:r>
      <w:r w:rsidRPr="008608AA">
        <w:rPr>
          <w:color w:val="000000"/>
          <w:shd w:val="clear" w:color="auto" w:fill="FFFFFF"/>
          <w:lang w:val="pt-BR"/>
        </w:rPr>
        <w:t>nchez- Az</w:t>
      </w:r>
      <w:r w:rsidR="00B85B2E" w:rsidRPr="008608AA">
        <w:rPr>
          <w:color w:val="000000"/>
          <w:shd w:val="clear" w:color="auto" w:fill="FFFFFF"/>
          <w:lang w:val="pt-BR"/>
        </w:rPr>
        <w:t>ofeifa, G. A., Soutullo, A., Sua</w:t>
      </w:r>
      <w:r w:rsidRPr="008608AA">
        <w:rPr>
          <w:color w:val="000000"/>
          <w:shd w:val="clear" w:color="auto" w:fill="FFFFFF"/>
          <w:lang w:val="pt-BR"/>
        </w:rPr>
        <w:t>rez, A., Troutt, E., and Thompson, L. </w:t>
      </w:r>
      <w:r w:rsidRPr="008608AA">
        <w:rPr>
          <w:color w:val="000000"/>
          <w:shd w:val="clear" w:color="auto" w:fill="FFFFFF"/>
          <w:lang w:val="en-GB"/>
        </w:rPr>
        <w:t xml:space="preserve">Chapter 4: Direct and indirect drivers of change in biodiversity and nature’s contributions to people. In IPBES (2018): The IPBES regional assessment report on biodiversity and ecosystem services for the Americas. Rice, J., Seixas, C. S., Zaccagnini, M. E., Bedoya-Gaitán, M., and Valderrama, N. (eds.). Secretariat of the Intergovernmental Science-Policy Platform on Biodiversity and Ecosystem Services, Bonn, Germany, </w:t>
      </w:r>
      <w:r w:rsidR="00F454E7">
        <w:rPr>
          <w:color w:val="000000"/>
          <w:lang w:val="en-GB"/>
        </w:rPr>
        <w:t xml:space="preserve">pp. </w:t>
      </w:r>
      <w:r w:rsidR="00286530">
        <w:rPr>
          <w:color w:val="000000"/>
          <w:lang w:val="en-GB"/>
        </w:rPr>
        <w:t>xx-xx</w:t>
      </w:r>
    </w:p>
    <w:p w14:paraId="6F3450F0" w14:textId="4C6B14A0" w:rsidR="00F5502C" w:rsidRPr="008608AA" w:rsidRDefault="00F5502C" w:rsidP="00F5502C">
      <w:pPr>
        <w:rPr>
          <w:lang w:val="pt-BR"/>
        </w:rPr>
        <w:sectPr w:rsidR="00F5502C" w:rsidRPr="008608AA" w:rsidSect="006F7DC0">
          <w:pgSz w:w="11907" w:h="16839" w:code="9"/>
          <w:pgMar w:top="907" w:right="992" w:bottom="1418" w:left="1418" w:header="720" w:footer="720" w:gutter="0"/>
          <w:cols w:space="720"/>
          <w:docGrid w:linePitch="326"/>
        </w:sectPr>
      </w:pPr>
    </w:p>
    <w:p w14:paraId="22CF4490" w14:textId="6C642E8F" w:rsidR="00735D6C" w:rsidRPr="008608AA" w:rsidRDefault="00735D6C" w:rsidP="00735D6C">
      <w:pPr>
        <w:tabs>
          <w:tab w:val="left" w:pos="4082"/>
        </w:tabs>
        <w:rPr>
          <w:b/>
          <w:sz w:val="28"/>
        </w:rPr>
      </w:pPr>
      <w:bookmarkStart w:id="1273" w:name="_Toc350507789"/>
      <w:bookmarkStart w:id="1274" w:name="_Toc477160192"/>
      <w:bookmarkStart w:id="1275" w:name="_Toc357244072"/>
      <w:bookmarkStart w:id="1276" w:name="_Toc357981984"/>
      <w:bookmarkStart w:id="1277" w:name="_Toc499459663"/>
      <w:r w:rsidRPr="008608AA">
        <w:rPr>
          <w:b/>
          <w:sz w:val="28"/>
        </w:rPr>
        <w:t>Table of contents</w:t>
      </w:r>
      <w:r w:rsidR="009F0E42" w:rsidRPr="008608AA">
        <w:rPr>
          <w:b/>
          <w:sz w:val="28"/>
        </w:rPr>
        <w:t xml:space="preserve"> C</w:t>
      </w:r>
      <w:r w:rsidR="002F3654" w:rsidRPr="008608AA">
        <w:rPr>
          <w:b/>
          <w:sz w:val="28"/>
        </w:rPr>
        <w:t>hapter 4</w:t>
      </w:r>
    </w:p>
    <w:p w14:paraId="7BDE6EC5" w14:textId="52D3554A" w:rsidR="00403781" w:rsidRPr="008608AA" w:rsidRDefault="00403781" w:rsidP="00735D6C">
      <w:pPr>
        <w:tabs>
          <w:tab w:val="left" w:pos="4082"/>
        </w:tabs>
        <w:rPr>
          <w:b/>
          <w:sz w:val="28"/>
        </w:rPr>
      </w:pPr>
    </w:p>
    <w:p w14:paraId="0806BA83" w14:textId="2A0BB006" w:rsidR="00C40619" w:rsidRDefault="00403781">
      <w:pPr>
        <w:pStyle w:val="TOC1"/>
        <w:rPr>
          <w:rFonts w:asciiTheme="minorHAnsi" w:eastAsiaTheme="minorEastAsia" w:hAnsiTheme="minorHAnsi" w:cstheme="minorBidi"/>
          <w:b w:val="0"/>
          <w:bCs w:val="0"/>
          <w:szCs w:val="22"/>
          <w:lang w:val="es-CO" w:eastAsia="es-CO"/>
        </w:rPr>
      </w:pPr>
      <w:r w:rsidRPr="008608AA">
        <w:rPr>
          <w:b w:val="0"/>
          <w:sz w:val="28"/>
        </w:rPr>
        <w:fldChar w:fldCharType="begin"/>
      </w:r>
      <w:r w:rsidRPr="008608AA">
        <w:rPr>
          <w:b w:val="0"/>
          <w:sz w:val="28"/>
        </w:rPr>
        <w:instrText xml:space="preserve"> TOC \o "1-4" \h \z \u  \b </w:instrText>
      </w:r>
      <w:r w:rsidR="0041103A" w:rsidRPr="008608AA">
        <w:rPr>
          <w:b w:val="0"/>
          <w:sz w:val="28"/>
        </w:rPr>
        <w:instrText>"Chap4</w:instrText>
      </w:r>
      <w:r w:rsidR="00096457" w:rsidRPr="008608AA">
        <w:rPr>
          <w:b w:val="0"/>
          <w:sz w:val="28"/>
        </w:rPr>
        <w:instrText xml:space="preserve">" </w:instrText>
      </w:r>
      <w:r w:rsidRPr="008608AA">
        <w:rPr>
          <w:b w:val="0"/>
          <w:sz w:val="28"/>
        </w:rPr>
        <w:fldChar w:fldCharType="separate"/>
      </w:r>
      <w:hyperlink w:anchor="_Toc517797027" w:history="1">
        <w:r w:rsidR="00C40619" w:rsidRPr="00AA6BA2">
          <w:rPr>
            <w:rStyle w:val="Hyperlink"/>
          </w:rPr>
          <w:t>4</w:t>
        </w:r>
        <w:r w:rsidR="00C40619">
          <w:rPr>
            <w:rFonts w:asciiTheme="minorHAnsi" w:eastAsiaTheme="minorEastAsia" w:hAnsiTheme="minorHAnsi" w:cstheme="minorBidi"/>
            <w:b w:val="0"/>
            <w:bCs w:val="0"/>
            <w:szCs w:val="22"/>
            <w:lang w:val="es-CO" w:eastAsia="es-CO"/>
          </w:rPr>
          <w:tab/>
        </w:r>
        <w:r w:rsidR="00C40619" w:rsidRPr="00AA6BA2">
          <w:rPr>
            <w:rStyle w:val="Hyperlink"/>
          </w:rPr>
          <w:t>Chapter 4: Direct and indirect drivers of change in biodiversity and nature’s contributions to people</w:t>
        </w:r>
        <w:r w:rsidR="00C40619">
          <w:rPr>
            <w:webHidden/>
          </w:rPr>
          <w:tab/>
        </w:r>
        <w:r w:rsidR="00C40619">
          <w:rPr>
            <w:webHidden/>
          </w:rPr>
          <w:fldChar w:fldCharType="begin"/>
        </w:r>
        <w:r w:rsidR="00C40619">
          <w:rPr>
            <w:webHidden/>
          </w:rPr>
          <w:instrText xml:space="preserve"> PAGEREF _Toc517797027 \h </w:instrText>
        </w:r>
        <w:r w:rsidR="00C40619">
          <w:rPr>
            <w:webHidden/>
          </w:rPr>
        </w:r>
        <w:r w:rsidR="00C40619">
          <w:rPr>
            <w:webHidden/>
          </w:rPr>
          <w:fldChar w:fldCharType="separate"/>
        </w:r>
        <w:r w:rsidR="00402074">
          <w:rPr>
            <w:webHidden/>
          </w:rPr>
          <w:t>346</w:t>
        </w:r>
        <w:r w:rsidR="00C40619">
          <w:rPr>
            <w:webHidden/>
          </w:rPr>
          <w:fldChar w:fldCharType="end"/>
        </w:r>
      </w:hyperlink>
    </w:p>
    <w:p w14:paraId="052DD8FC" w14:textId="1DDC8404" w:rsidR="00C40619" w:rsidRDefault="00E84199">
      <w:pPr>
        <w:pStyle w:val="TOC2"/>
        <w:rPr>
          <w:rFonts w:asciiTheme="minorHAnsi" w:eastAsiaTheme="minorEastAsia" w:hAnsiTheme="minorHAnsi" w:cstheme="minorBidi"/>
          <w:b w:val="0"/>
          <w:bCs w:val="0"/>
          <w:noProof/>
          <w:szCs w:val="22"/>
          <w:lang w:val="es-CO" w:eastAsia="es-CO"/>
        </w:rPr>
      </w:pPr>
      <w:hyperlink w:anchor="_Toc517797028" w:history="1">
        <w:r w:rsidR="00C40619" w:rsidRPr="00AA6BA2">
          <w:rPr>
            <w:rStyle w:val="Hyperlink"/>
            <w:noProof/>
            <w14:scene3d>
              <w14:camera w14:prst="orthographicFront"/>
              <w14:lightRig w14:rig="threePt" w14:dir="t">
                <w14:rot w14:lat="0" w14:lon="0" w14:rev="0"/>
              </w14:lightRig>
            </w14:scene3d>
          </w:rPr>
          <w:t>4.1</w:t>
        </w:r>
        <w:r w:rsidR="00C40619">
          <w:rPr>
            <w:rFonts w:asciiTheme="minorHAnsi" w:eastAsiaTheme="minorEastAsia" w:hAnsiTheme="minorHAnsi" w:cstheme="minorBidi"/>
            <w:b w:val="0"/>
            <w:bCs w:val="0"/>
            <w:noProof/>
            <w:szCs w:val="22"/>
            <w:lang w:val="es-CO" w:eastAsia="es-CO"/>
          </w:rPr>
          <w:tab/>
        </w:r>
        <w:r w:rsidR="00C40619" w:rsidRPr="00AA6BA2">
          <w:rPr>
            <w:rStyle w:val="Hyperlink"/>
            <w:noProof/>
          </w:rPr>
          <w:t>Executive summary</w:t>
        </w:r>
        <w:r w:rsidR="00C40619">
          <w:rPr>
            <w:noProof/>
            <w:webHidden/>
          </w:rPr>
          <w:tab/>
        </w:r>
        <w:r w:rsidR="00C40619">
          <w:rPr>
            <w:noProof/>
            <w:webHidden/>
          </w:rPr>
          <w:fldChar w:fldCharType="begin"/>
        </w:r>
        <w:r w:rsidR="00C40619">
          <w:rPr>
            <w:noProof/>
            <w:webHidden/>
          </w:rPr>
          <w:instrText xml:space="preserve"> PAGEREF _Toc517797028 \h </w:instrText>
        </w:r>
        <w:r w:rsidR="00C40619">
          <w:rPr>
            <w:noProof/>
            <w:webHidden/>
          </w:rPr>
        </w:r>
        <w:r w:rsidR="00C40619">
          <w:rPr>
            <w:noProof/>
            <w:webHidden/>
          </w:rPr>
          <w:fldChar w:fldCharType="separate"/>
        </w:r>
        <w:r w:rsidR="00402074">
          <w:rPr>
            <w:noProof/>
            <w:webHidden/>
          </w:rPr>
          <w:t>349</w:t>
        </w:r>
        <w:r w:rsidR="00C40619">
          <w:rPr>
            <w:noProof/>
            <w:webHidden/>
          </w:rPr>
          <w:fldChar w:fldCharType="end"/>
        </w:r>
      </w:hyperlink>
    </w:p>
    <w:p w14:paraId="4AE9E129" w14:textId="4FEEEB5C" w:rsidR="00C40619" w:rsidRDefault="00E84199">
      <w:pPr>
        <w:pStyle w:val="TOC2"/>
        <w:rPr>
          <w:rFonts w:asciiTheme="minorHAnsi" w:eastAsiaTheme="minorEastAsia" w:hAnsiTheme="minorHAnsi" w:cstheme="minorBidi"/>
          <w:b w:val="0"/>
          <w:bCs w:val="0"/>
          <w:noProof/>
          <w:szCs w:val="22"/>
          <w:lang w:val="es-CO" w:eastAsia="es-CO"/>
        </w:rPr>
      </w:pPr>
      <w:hyperlink w:anchor="_Toc517797029" w:history="1">
        <w:r w:rsidR="00C40619" w:rsidRPr="00AA6BA2">
          <w:rPr>
            <w:rStyle w:val="Hyperlink"/>
            <w:noProof/>
            <w14:scene3d>
              <w14:camera w14:prst="orthographicFront"/>
              <w14:lightRig w14:rig="threePt" w14:dir="t">
                <w14:rot w14:lat="0" w14:lon="0" w14:rev="0"/>
              </w14:lightRig>
            </w14:scene3d>
          </w:rPr>
          <w:t>4.2</w:t>
        </w:r>
        <w:r w:rsidR="00C40619">
          <w:rPr>
            <w:rFonts w:asciiTheme="minorHAnsi" w:eastAsiaTheme="minorEastAsia" w:hAnsiTheme="minorHAnsi" w:cstheme="minorBidi"/>
            <w:b w:val="0"/>
            <w:bCs w:val="0"/>
            <w:noProof/>
            <w:szCs w:val="22"/>
            <w:lang w:val="es-CO" w:eastAsia="es-CO"/>
          </w:rPr>
          <w:tab/>
        </w:r>
        <w:r w:rsidR="00C40619" w:rsidRPr="00AA6BA2">
          <w:rPr>
            <w:rStyle w:val="Hyperlink"/>
            <w:noProof/>
          </w:rPr>
          <w:t>Introduction</w:t>
        </w:r>
        <w:r w:rsidR="00C40619">
          <w:rPr>
            <w:noProof/>
            <w:webHidden/>
          </w:rPr>
          <w:tab/>
        </w:r>
        <w:r w:rsidR="00C40619">
          <w:rPr>
            <w:noProof/>
            <w:webHidden/>
          </w:rPr>
          <w:fldChar w:fldCharType="begin"/>
        </w:r>
        <w:r w:rsidR="00C40619">
          <w:rPr>
            <w:noProof/>
            <w:webHidden/>
          </w:rPr>
          <w:instrText xml:space="preserve"> PAGEREF _Toc517797029 \h </w:instrText>
        </w:r>
        <w:r w:rsidR="00C40619">
          <w:rPr>
            <w:noProof/>
            <w:webHidden/>
          </w:rPr>
        </w:r>
        <w:r w:rsidR="00C40619">
          <w:rPr>
            <w:noProof/>
            <w:webHidden/>
          </w:rPr>
          <w:fldChar w:fldCharType="separate"/>
        </w:r>
        <w:r w:rsidR="00402074">
          <w:rPr>
            <w:noProof/>
            <w:webHidden/>
          </w:rPr>
          <w:t>353</w:t>
        </w:r>
        <w:r w:rsidR="00C40619">
          <w:rPr>
            <w:noProof/>
            <w:webHidden/>
          </w:rPr>
          <w:fldChar w:fldCharType="end"/>
        </w:r>
      </w:hyperlink>
    </w:p>
    <w:p w14:paraId="096FC2C8" w14:textId="28FB6D2B" w:rsidR="00C40619" w:rsidRDefault="00E84199">
      <w:pPr>
        <w:pStyle w:val="TOC2"/>
        <w:rPr>
          <w:rFonts w:asciiTheme="minorHAnsi" w:eastAsiaTheme="minorEastAsia" w:hAnsiTheme="minorHAnsi" w:cstheme="minorBidi"/>
          <w:b w:val="0"/>
          <w:bCs w:val="0"/>
          <w:noProof/>
          <w:szCs w:val="22"/>
          <w:lang w:val="es-CO" w:eastAsia="es-CO"/>
        </w:rPr>
      </w:pPr>
      <w:hyperlink w:anchor="_Toc517797030" w:history="1">
        <w:r w:rsidR="00C40619" w:rsidRPr="00AA6BA2">
          <w:rPr>
            <w:rStyle w:val="Hyperlink"/>
            <w:noProof/>
            <w14:scene3d>
              <w14:camera w14:prst="orthographicFront"/>
              <w14:lightRig w14:rig="threePt" w14:dir="t">
                <w14:rot w14:lat="0" w14:lon="0" w14:rev="0"/>
              </w14:lightRig>
            </w14:scene3d>
          </w:rPr>
          <w:t>4.3</w:t>
        </w:r>
        <w:r w:rsidR="00C40619">
          <w:rPr>
            <w:rFonts w:asciiTheme="minorHAnsi" w:eastAsiaTheme="minorEastAsia" w:hAnsiTheme="minorHAnsi" w:cstheme="minorBidi"/>
            <w:b w:val="0"/>
            <w:bCs w:val="0"/>
            <w:noProof/>
            <w:szCs w:val="22"/>
            <w:lang w:val="es-CO" w:eastAsia="es-CO"/>
          </w:rPr>
          <w:tab/>
        </w:r>
        <w:r w:rsidR="00C40619" w:rsidRPr="00AA6BA2">
          <w:rPr>
            <w:rStyle w:val="Hyperlink"/>
            <w:noProof/>
          </w:rPr>
          <w:t>Indirect anthropogenic drivers</w:t>
        </w:r>
        <w:r w:rsidR="00C40619">
          <w:rPr>
            <w:noProof/>
            <w:webHidden/>
          </w:rPr>
          <w:tab/>
        </w:r>
        <w:r w:rsidR="00C40619">
          <w:rPr>
            <w:noProof/>
            <w:webHidden/>
          </w:rPr>
          <w:fldChar w:fldCharType="begin"/>
        </w:r>
        <w:r w:rsidR="00C40619">
          <w:rPr>
            <w:noProof/>
            <w:webHidden/>
          </w:rPr>
          <w:instrText xml:space="preserve"> PAGEREF _Toc517797030 \h </w:instrText>
        </w:r>
        <w:r w:rsidR="00C40619">
          <w:rPr>
            <w:noProof/>
            <w:webHidden/>
          </w:rPr>
        </w:r>
        <w:r w:rsidR="00C40619">
          <w:rPr>
            <w:noProof/>
            <w:webHidden/>
          </w:rPr>
          <w:fldChar w:fldCharType="separate"/>
        </w:r>
        <w:r w:rsidR="00402074">
          <w:rPr>
            <w:noProof/>
            <w:webHidden/>
          </w:rPr>
          <w:t>355</w:t>
        </w:r>
        <w:r w:rsidR="00C40619">
          <w:rPr>
            <w:noProof/>
            <w:webHidden/>
          </w:rPr>
          <w:fldChar w:fldCharType="end"/>
        </w:r>
      </w:hyperlink>
    </w:p>
    <w:p w14:paraId="1F9020D0" w14:textId="4EFAD1E8"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31" w:history="1">
        <w:r w:rsidR="00C40619" w:rsidRPr="00AA6BA2">
          <w:rPr>
            <w:rStyle w:val="Hyperlink"/>
            <w:noProof/>
            <w14:scene3d>
              <w14:camera w14:prst="orthographicFront"/>
              <w14:lightRig w14:rig="threePt" w14:dir="t">
                <w14:rot w14:lat="0" w14:lon="0" w14:rev="0"/>
              </w14:lightRig>
            </w14:scene3d>
          </w:rPr>
          <w:t>4.3.1</w:t>
        </w:r>
        <w:r w:rsidR="00C40619">
          <w:rPr>
            <w:rFonts w:asciiTheme="minorHAnsi" w:eastAsiaTheme="minorEastAsia" w:hAnsiTheme="minorHAnsi" w:cstheme="minorBidi"/>
            <w:noProof/>
            <w:sz w:val="22"/>
            <w:szCs w:val="22"/>
            <w:lang w:val="es-CO" w:eastAsia="es-CO"/>
          </w:rPr>
          <w:tab/>
        </w:r>
        <w:r w:rsidR="00C40619" w:rsidRPr="00AA6BA2">
          <w:rPr>
            <w:rStyle w:val="Hyperlink"/>
            <w:noProof/>
          </w:rPr>
          <w:t>Governance systems and institutions (formal and informal)</w:t>
        </w:r>
        <w:r w:rsidR="00C40619">
          <w:rPr>
            <w:noProof/>
            <w:webHidden/>
          </w:rPr>
          <w:tab/>
        </w:r>
        <w:r w:rsidR="00C40619">
          <w:rPr>
            <w:noProof/>
            <w:webHidden/>
          </w:rPr>
          <w:fldChar w:fldCharType="begin"/>
        </w:r>
        <w:r w:rsidR="00C40619">
          <w:rPr>
            <w:noProof/>
            <w:webHidden/>
          </w:rPr>
          <w:instrText xml:space="preserve"> PAGEREF _Toc517797031 \h </w:instrText>
        </w:r>
        <w:r w:rsidR="00C40619">
          <w:rPr>
            <w:noProof/>
            <w:webHidden/>
          </w:rPr>
        </w:r>
        <w:r w:rsidR="00C40619">
          <w:rPr>
            <w:noProof/>
            <w:webHidden/>
          </w:rPr>
          <w:fldChar w:fldCharType="separate"/>
        </w:r>
        <w:r w:rsidR="00402074">
          <w:rPr>
            <w:noProof/>
            <w:webHidden/>
          </w:rPr>
          <w:t>356</w:t>
        </w:r>
        <w:r w:rsidR="00C40619">
          <w:rPr>
            <w:noProof/>
            <w:webHidden/>
          </w:rPr>
          <w:fldChar w:fldCharType="end"/>
        </w:r>
      </w:hyperlink>
    </w:p>
    <w:p w14:paraId="7747A134" w14:textId="739FBE09"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32" w:history="1">
        <w:r w:rsidR="00C40619" w:rsidRPr="00AA6BA2">
          <w:rPr>
            <w:rStyle w:val="Hyperlink"/>
            <w:noProof/>
            <w14:scene3d>
              <w14:camera w14:prst="orthographicFront"/>
              <w14:lightRig w14:rig="threePt" w14:dir="t">
                <w14:rot w14:lat="0" w14:lon="0" w14:rev="0"/>
              </w14:lightRig>
            </w14:scene3d>
          </w:rPr>
          <w:t>4.3.2</w:t>
        </w:r>
        <w:r w:rsidR="00C40619">
          <w:rPr>
            <w:rFonts w:asciiTheme="minorHAnsi" w:eastAsiaTheme="minorEastAsia" w:hAnsiTheme="minorHAnsi" w:cstheme="minorBidi"/>
            <w:noProof/>
            <w:sz w:val="22"/>
            <w:szCs w:val="22"/>
            <w:lang w:val="es-CO" w:eastAsia="es-CO"/>
          </w:rPr>
          <w:tab/>
        </w:r>
        <w:r w:rsidR="00C40619" w:rsidRPr="00AA6BA2">
          <w:rPr>
            <w:rStyle w:val="Hyperlink"/>
            <w:noProof/>
          </w:rPr>
          <w:t>Economic growth</w:t>
        </w:r>
        <w:r w:rsidR="00C40619">
          <w:rPr>
            <w:noProof/>
            <w:webHidden/>
          </w:rPr>
          <w:tab/>
        </w:r>
        <w:r w:rsidR="00C40619">
          <w:rPr>
            <w:noProof/>
            <w:webHidden/>
          </w:rPr>
          <w:fldChar w:fldCharType="begin"/>
        </w:r>
        <w:r w:rsidR="00C40619">
          <w:rPr>
            <w:noProof/>
            <w:webHidden/>
          </w:rPr>
          <w:instrText xml:space="preserve"> PAGEREF _Toc517797032 \h </w:instrText>
        </w:r>
        <w:r w:rsidR="00C40619">
          <w:rPr>
            <w:noProof/>
            <w:webHidden/>
          </w:rPr>
        </w:r>
        <w:r w:rsidR="00C40619">
          <w:rPr>
            <w:noProof/>
            <w:webHidden/>
          </w:rPr>
          <w:fldChar w:fldCharType="separate"/>
        </w:r>
        <w:r w:rsidR="00402074">
          <w:rPr>
            <w:noProof/>
            <w:webHidden/>
          </w:rPr>
          <w:t>364</w:t>
        </w:r>
        <w:r w:rsidR="00C40619">
          <w:rPr>
            <w:noProof/>
            <w:webHidden/>
          </w:rPr>
          <w:fldChar w:fldCharType="end"/>
        </w:r>
      </w:hyperlink>
    </w:p>
    <w:p w14:paraId="12003956" w14:textId="706536E4"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33" w:history="1">
        <w:r w:rsidR="00C40619" w:rsidRPr="00AA6BA2">
          <w:rPr>
            <w:rStyle w:val="Hyperlink"/>
            <w:noProof/>
            <w14:scene3d>
              <w14:camera w14:prst="orthographicFront"/>
              <w14:lightRig w14:rig="threePt" w14:dir="t">
                <w14:rot w14:lat="0" w14:lon="0" w14:rev="0"/>
              </w14:lightRig>
            </w14:scene3d>
          </w:rPr>
          <w:t>4.3.3</w:t>
        </w:r>
        <w:r w:rsidR="00C40619">
          <w:rPr>
            <w:rFonts w:asciiTheme="minorHAnsi" w:eastAsiaTheme="minorEastAsia" w:hAnsiTheme="minorHAnsi" w:cstheme="minorBidi"/>
            <w:noProof/>
            <w:sz w:val="22"/>
            <w:szCs w:val="22"/>
            <w:lang w:val="es-CO" w:eastAsia="es-CO"/>
          </w:rPr>
          <w:tab/>
        </w:r>
        <w:r w:rsidR="00C40619" w:rsidRPr="00AA6BA2">
          <w:rPr>
            <w:rStyle w:val="Hyperlink"/>
            <w:noProof/>
          </w:rPr>
          <w:t>International trade and finances</w:t>
        </w:r>
        <w:r w:rsidR="00C40619">
          <w:rPr>
            <w:noProof/>
            <w:webHidden/>
          </w:rPr>
          <w:tab/>
        </w:r>
        <w:r w:rsidR="00C40619">
          <w:rPr>
            <w:noProof/>
            <w:webHidden/>
          </w:rPr>
          <w:fldChar w:fldCharType="begin"/>
        </w:r>
        <w:r w:rsidR="00C40619">
          <w:rPr>
            <w:noProof/>
            <w:webHidden/>
          </w:rPr>
          <w:instrText xml:space="preserve"> PAGEREF _Toc517797033 \h </w:instrText>
        </w:r>
        <w:r w:rsidR="00C40619">
          <w:rPr>
            <w:noProof/>
            <w:webHidden/>
          </w:rPr>
        </w:r>
        <w:r w:rsidR="00C40619">
          <w:rPr>
            <w:noProof/>
            <w:webHidden/>
          </w:rPr>
          <w:fldChar w:fldCharType="separate"/>
        </w:r>
        <w:r w:rsidR="00402074">
          <w:rPr>
            <w:noProof/>
            <w:webHidden/>
          </w:rPr>
          <w:t>369</w:t>
        </w:r>
        <w:r w:rsidR="00C40619">
          <w:rPr>
            <w:noProof/>
            <w:webHidden/>
          </w:rPr>
          <w:fldChar w:fldCharType="end"/>
        </w:r>
      </w:hyperlink>
    </w:p>
    <w:p w14:paraId="2DA44C05" w14:textId="3ACD956A"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34" w:history="1">
        <w:r w:rsidR="00C40619" w:rsidRPr="00AA6BA2">
          <w:rPr>
            <w:rStyle w:val="Hyperlink"/>
            <w:noProof/>
            <w14:scene3d>
              <w14:camera w14:prst="orthographicFront"/>
              <w14:lightRig w14:rig="threePt" w14:dir="t">
                <w14:rot w14:lat="0" w14:lon="0" w14:rev="0"/>
              </w14:lightRig>
            </w14:scene3d>
          </w:rPr>
          <w:t>4.3.4</w:t>
        </w:r>
        <w:r w:rsidR="00C40619">
          <w:rPr>
            <w:rFonts w:asciiTheme="minorHAnsi" w:eastAsiaTheme="minorEastAsia" w:hAnsiTheme="minorHAnsi" w:cstheme="minorBidi"/>
            <w:noProof/>
            <w:sz w:val="22"/>
            <w:szCs w:val="22"/>
            <w:lang w:val="es-CO" w:eastAsia="es-CO"/>
          </w:rPr>
          <w:tab/>
        </w:r>
        <w:r w:rsidR="00C40619" w:rsidRPr="00AA6BA2">
          <w:rPr>
            <w:rStyle w:val="Hyperlink"/>
            <w:noProof/>
          </w:rPr>
          <w:t>Technological development</w:t>
        </w:r>
        <w:r w:rsidR="00C40619">
          <w:rPr>
            <w:noProof/>
            <w:webHidden/>
          </w:rPr>
          <w:tab/>
        </w:r>
        <w:r w:rsidR="00C40619">
          <w:rPr>
            <w:noProof/>
            <w:webHidden/>
          </w:rPr>
          <w:fldChar w:fldCharType="begin"/>
        </w:r>
        <w:r w:rsidR="00C40619">
          <w:rPr>
            <w:noProof/>
            <w:webHidden/>
          </w:rPr>
          <w:instrText xml:space="preserve"> PAGEREF _Toc517797034 \h </w:instrText>
        </w:r>
        <w:r w:rsidR="00C40619">
          <w:rPr>
            <w:noProof/>
            <w:webHidden/>
          </w:rPr>
        </w:r>
        <w:r w:rsidR="00C40619">
          <w:rPr>
            <w:noProof/>
            <w:webHidden/>
          </w:rPr>
          <w:fldChar w:fldCharType="separate"/>
        </w:r>
        <w:r w:rsidR="00402074">
          <w:rPr>
            <w:noProof/>
            <w:webHidden/>
          </w:rPr>
          <w:t>371</w:t>
        </w:r>
        <w:r w:rsidR="00C40619">
          <w:rPr>
            <w:noProof/>
            <w:webHidden/>
          </w:rPr>
          <w:fldChar w:fldCharType="end"/>
        </w:r>
      </w:hyperlink>
    </w:p>
    <w:p w14:paraId="13052300" w14:textId="70E58AAB"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35" w:history="1">
        <w:r w:rsidR="00C40619" w:rsidRPr="00AA6BA2">
          <w:rPr>
            <w:rStyle w:val="Hyperlink"/>
            <w:noProof/>
            <w14:scene3d>
              <w14:camera w14:prst="orthographicFront"/>
              <w14:lightRig w14:rig="threePt" w14:dir="t">
                <w14:rot w14:lat="0" w14:lon="0" w14:rev="0"/>
              </w14:lightRig>
            </w14:scene3d>
          </w:rPr>
          <w:t>4.3.5</w:t>
        </w:r>
        <w:r w:rsidR="00C40619">
          <w:rPr>
            <w:rFonts w:asciiTheme="minorHAnsi" w:eastAsiaTheme="minorEastAsia" w:hAnsiTheme="minorHAnsi" w:cstheme="minorBidi"/>
            <w:noProof/>
            <w:sz w:val="22"/>
            <w:szCs w:val="22"/>
            <w:lang w:val="es-CO" w:eastAsia="es-CO"/>
          </w:rPr>
          <w:tab/>
        </w:r>
        <w:r w:rsidR="00C40619" w:rsidRPr="00AA6BA2">
          <w:rPr>
            <w:rStyle w:val="Hyperlink"/>
            <w:noProof/>
          </w:rPr>
          <w:t>Population and demographic trends</w:t>
        </w:r>
        <w:r w:rsidR="00C40619">
          <w:rPr>
            <w:noProof/>
            <w:webHidden/>
          </w:rPr>
          <w:tab/>
        </w:r>
        <w:r w:rsidR="00C40619">
          <w:rPr>
            <w:noProof/>
            <w:webHidden/>
          </w:rPr>
          <w:fldChar w:fldCharType="begin"/>
        </w:r>
        <w:r w:rsidR="00C40619">
          <w:rPr>
            <w:noProof/>
            <w:webHidden/>
          </w:rPr>
          <w:instrText xml:space="preserve"> PAGEREF _Toc517797035 \h </w:instrText>
        </w:r>
        <w:r w:rsidR="00C40619">
          <w:rPr>
            <w:noProof/>
            <w:webHidden/>
          </w:rPr>
        </w:r>
        <w:r w:rsidR="00C40619">
          <w:rPr>
            <w:noProof/>
            <w:webHidden/>
          </w:rPr>
          <w:fldChar w:fldCharType="separate"/>
        </w:r>
        <w:r w:rsidR="00402074">
          <w:rPr>
            <w:noProof/>
            <w:webHidden/>
          </w:rPr>
          <w:t>374</w:t>
        </w:r>
        <w:r w:rsidR="00C40619">
          <w:rPr>
            <w:noProof/>
            <w:webHidden/>
          </w:rPr>
          <w:fldChar w:fldCharType="end"/>
        </w:r>
      </w:hyperlink>
    </w:p>
    <w:p w14:paraId="471C7FE8" w14:textId="255CA85C"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36" w:history="1">
        <w:r w:rsidR="00C40619" w:rsidRPr="00AA6BA2">
          <w:rPr>
            <w:rStyle w:val="Hyperlink"/>
            <w:noProof/>
            <w14:scene3d>
              <w14:camera w14:prst="orthographicFront"/>
              <w14:lightRig w14:rig="threePt" w14:dir="t">
                <w14:rot w14:lat="0" w14:lon="0" w14:rev="0"/>
              </w14:lightRig>
            </w14:scene3d>
          </w:rPr>
          <w:t>4.3.6</w:t>
        </w:r>
        <w:r w:rsidR="00C40619">
          <w:rPr>
            <w:rFonts w:asciiTheme="minorHAnsi" w:eastAsiaTheme="minorEastAsia" w:hAnsiTheme="minorHAnsi" w:cstheme="minorBidi"/>
            <w:noProof/>
            <w:sz w:val="22"/>
            <w:szCs w:val="22"/>
            <w:lang w:val="es-CO" w:eastAsia="es-CO"/>
          </w:rPr>
          <w:tab/>
        </w:r>
        <w:r w:rsidR="00C40619" w:rsidRPr="00AA6BA2">
          <w:rPr>
            <w:rStyle w:val="Hyperlink"/>
            <w:noProof/>
          </w:rPr>
          <w:t>Human development</w:t>
        </w:r>
        <w:r w:rsidR="00C40619">
          <w:rPr>
            <w:noProof/>
            <w:webHidden/>
          </w:rPr>
          <w:tab/>
        </w:r>
        <w:r w:rsidR="00C40619">
          <w:rPr>
            <w:noProof/>
            <w:webHidden/>
          </w:rPr>
          <w:fldChar w:fldCharType="begin"/>
        </w:r>
        <w:r w:rsidR="00C40619">
          <w:rPr>
            <w:noProof/>
            <w:webHidden/>
          </w:rPr>
          <w:instrText xml:space="preserve"> PAGEREF _Toc517797036 \h </w:instrText>
        </w:r>
        <w:r w:rsidR="00C40619">
          <w:rPr>
            <w:noProof/>
            <w:webHidden/>
          </w:rPr>
        </w:r>
        <w:r w:rsidR="00C40619">
          <w:rPr>
            <w:noProof/>
            <w:webHidden/>
          </w:rPr>
          <w:fldChar w:fldCharType="separate"/>
        </w:r>
        <w:r w:rsidR="00402074">
          <w:rPr>
            <w:noProof/>
            <w:webHidden/>
          </w:rPr>
          <w:t>376</w:t>
        </w:r>
        <w:r w:rsidR="00C40619">
          <w:rPr>
            <w:noProof/>
            <w:webHidden/>
          </w:rPr>
          <w:fldChar w:fldCharType="end"/>
        </w:r>
      </w:hyperlink>
    </w:p>
    <w:p w14:paraId="2B63B702" w14:textId="1E0A4574" w:rsidR="00C40619" w:rsidRDefault="00E84199">
      <w:pPr>
        <w:pStyle w:val="TOC2"/>
        <w:rPr>
          <w:rFonts w:asciiTheme="minorHAnsi" w:eastAsiaTheme="minorEastAsia" w:hAnsiTheme="minorHAnsi" w:cstheme="minorBidi"/>
          <w:b w:val="0"/>
          <w:bCs w:val="0"/>
          <w:noProof/>
          <w:szCs w:val="22"/>
          <w:lang w:val="es-CO" w:eastAsia="es-CO"/>
        </w:rPr>
      </w:pPr>
      <w:hyperlink w:anchor="_Toc517797037" w:history="1">
        <w:r w:rsidR="00C40619" w:rsidRPr="00AA6BA2">
          <w:rPr>
            <w:rStyle w:val="Hyperlink"/>
            <w:noProof/>
            <w14:scene3d>
              <w14:camera w14:prst="orthographicFront"/>
              <w14:lightRig w14:rig="threePt" w14:dir="t">
                <w14:rot w14:lat="0" w14:lon="0" w14:rev="0"/>
              </w14:lightRig>
            </w14:scene3d>
          </w:rPr>
          <w:t>4.4</w:t>
        </w:r>
        <w:r w:rsidR="00C40619">
          <w:rPr>
            <w:rFonts w:asciiTheme="minorHAnsi" w:eastAsiaTheme="minorEastAsia" w:hAnsiTheme="minorHAnsi" w:cstheme="minorBidi"/>
            <w:b w:val="0"/>
            <w:bCs w:val="0"/>
            <w:noProof/>
            <w:szCs w:val="22"/>
            <w:lang w:val="es-CO" w:eastAsia="es-CO"/>
          </w:rPr>
          <w:tab/>
        </w:r>
        <w:r w:rsidR="00C40619" w:rsidRPr="00AA6BA2">
          <w:rPr>
            <w:rStyle w:val="Hyperlink"/>
            <w:noProof/>
          </w:rPr>
          <w:t>Direct anthropogenic drivers</w:t>
        </w:r>
        <w:r w:rsidR="00C40619">
          <w:rPr>
            <w:noProof/>
            <w:webHidden/>
          </w:rPr>
          <w:tab/>
        </w:r>
        <w:r w:rsidR="00C40619">
          <w:rPr>
            <w:noProof/>
            <w:webHidden/>
          </w:rPr>
          <w:fldChar w:fldCharType="begin"/>
        </w:r>
        <w:r w:rsidR="00C40619">
          <w:rPr>
            <w:noProof/>
            <w:webHidden/>
          </w:rPr>
          <w:instrText xml:space="preserve"> PAGEREF _Toc517797037 \h </w:instrText>
        </w:r>
        <w:r w:rsidR="00C40619">
          <w:rPr>
            <w:noProof/>
            <w:webHidden/>
          </w:rPr>
        </w:r>
        <w:r w:rsidR="00C40619">
          <w:rPr>
            <w:noProof/>
            <w:webHidden/>
          </w:rPr>
          <w:fldChar w:fldCharType="separate"/>
        </w:r>
        <w:r w:rsidR="00402074">
          <w:rPr>
            <w:noProof/>
            <w:webHidden/>
          </w:rPr>
          <w:t>380</w:t>
        </w:r>
        <w:r w:rsidR="00C40619">
          <w:rPr>
            <w:noProof/>
            <w:webHidden/>
          </w:rPr>
          <w:fldChar w:fldCharType="end"/>
        </w:r>
      </w:hyperlink>
    </w:p>
    <w:p w14:paraId="16A3CAE3" w14:textId="7F3859AC" w:rsidR="00C40619" w:rsidRPr="00765B4B" w:rsidRDefault="00E84199" w:rsidP="00765B4B">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38" w:history="1">
        <w:r w:rsidR="00C40619" w:rsidRPr="00AA6BA2">
          <w:rPr>
            <w:rStyle w:val="Hyperlink"/>
            <w:noProof/>
            <w14:scene3d>
              <w14:camera w14:prst="orthographicFront"/>
              <w14:lightRig w14:rig="threePt" w14:dir="t">
                <w14:rot w14:lat="0" w14:lon="0" w14:rev="0"/>
              </w14:lightRig>
            </w14:scene3d>
          </w:rPr>
          <w:t>4.4.1</w:t>
        </w:r>
        <w:r w:rsidR="00C40619">
          <w:rPr>
            <w:rFonts w:asciiTheme="minorHAnsi" w:eastAsiaTheme="minorEastAsia" w:hAnsiTheme="minorHAnsi" w:cstheme="minorBidi"/>
            <w:noProof/>
            <w:sz w:val="22"/>
            <w:szCs w:val="22"/>
            <w:lang w:val="es-CO" w:eastAsia="es-CO"/>
          </w:rPr>
          <w:tab/>
        </w:r>
        <w:r w:rsidR="00C40619" w:rsidRPr="00AA6BA2">
          <w:rPr>
            <w:rStyle w:val="Hyperlink"/>
            <w:noProof/>
          </w:rPr>
          <w:t>Habitat degradation and restoration</w:t>
        </w:r>
        <w:r w:rsidR="00C40619">
          <w:rPr>
            <w:noProof/>
            <w:webHidden/>
          </w:rPr>
          <w:tab/>
        </w:r>
        <w:r w:rsidR="00C40619">
          <w:rPr>
            <w:noProof/>
            <w:webHidden/>
          </w:rPr>
          <w:fldChar w:fldCharType="begin"/>
        </w:r>
        <w:r w:rsidR="00C40619">
          <w:rPr>
            <w:noProof/>
            <w:webHidden/>
          </w:rPr>
          <w:instrText xml:space="preserve"> PAGEREF _Toc517797038 \h </w:instrText>
        </w:r>
        <w:r w:rsidR="00C40619">
          <w:rPr>
            <w:noProof/>
            <w:webHidden/>
          </w:rPr>
        </w:r>
        <w:r w:rsidR="00C40619">
          <w:rPr>
            <w:noProof/>
            <w:webHidden/>
          </w:rPr>
          <w:fldChar w:fldCharType="separate"/>
        </w:r>
        <w:r w:rsidR="00402074">
          <w:rPr>
            <w:noProof/>
            <w:webHidden/>
          </w:rPr>
          <w:t>380</w:t>
        </w:r>
        <w:r w:rsidR="00C40619">
          <w:rPr>
            <w:noProof/>
            <w:webHidden/>
          </w:rPr>
          <w:fldChar w:fldCharType="end"/>
        </w:r>
      </w:hyperlink>
    </w:p>
    <w:p w14:paraId="1039CFB7" w14:textId="6F718106" w:rsidR="00C40619" w:rsidRPr="009E6123" w:rsidRDefault="00E84199" w:rsidP="009E6123">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44" w:history="1">
        <w:r w:rsidR="00C40619" w:rsidRPr="00AA6BA2">
          <w:rPr>
            <w:rStyle w:val="Hyperlink"/>
            <w:noProof/>
            <w14:scene3d>
              <w14:camera w14:prst="orthographicFront"/>
              <w14:lightRig w14:rig="threePt" w14:dir="t">
                <w14:rot w14:lat="0" w14:lon="0" w14:rev="0"/>
              </w14:lightRig>
            </w14:scene3d>
          </w:rPr>
          <w:t>4.4.2</w:t>
        </w:r>
        <w:r w:rsidR="00C40619">
          <w:rPr>
            <w:rFonts w:asciiTheme="minorHAnsi" w:eastAsiaTheme="minorEastAsia" w:hAnsiTheme="minorHAnsi" w:cstheme="minorBidi"/>
            <w:noProof/>
            <w:sz w:val="22"/>
            <w:szCs w:val="22"/>
            <w:lang w:val="es-CO" w:eastAsia="es-CO"/>
          </w:rPr>
          <w:tab/>
        </w:r>
        <w:r w:rsidR="00C40619" w:rsidRPr="00AA6BA2">
          <w:rPr>
            <w:rStyle w:val="Hyperlink"/>
            <w:noProof/>
          </w:rPr>
          <w:t>Pollution and related changes in biogeochemical cycles</w:t>
        </w:r>
        <w:r w:rsidR="00C40619">
          <w:rPr>
            <w:noProof/>
            <w:webHidden/>
          </w:rPr>
          <w:tab/>
        </w:r>
        <w:r w:rsidR="00C40619">
          <w:rPr>
            <w:noProof/>
            <w:webHidden/>
          </w:rPr>
          <w:fldChar w:fldCharType="begin"/>
        </w:r>
        <w:r w:rsidR="00C40619">
          <w:rPr>
            <w:noProof/>
            <w:webHidden/>
          </w:rPr>
          <w:instrText xml:space="preserve"> PAGEREF _Toc517797044 \h </w:instrText>
        </w:r>
        <w:r w:rsidR="00C40619">
          <w:rPr>
            <w:noProof/>
            <w:webHidden/>
          </w:rPr>
        </w:r>
        <w:r w:rsidR="00C40619">
          <w:rPr>
            <w:noProof/>
            <w:webHidden/>
          </w:rPr>
          <w:fldChar w:fldCharType="separate"/>
        </w:r>
        <w:r w:rsidR="00402074">
          <w:rPr>
            <w:noProof/>
            <w:webHidden/>
          </w:rPr>
          <w:t>394</w:t>
        </w:r>
        <w:r w:rsidR="00C40619">
          <w:rPr>
            <w:noProof/>
            <w:webHidden/>
          </w:rPr>
          <w:fldChar w:fldCharType="end"/>
        </w:r>
      </w:hyperlink>
    </w:p>
    <w:p w14:paraId="6A698607" w14:textId="1DF7DEE8" w:rsidR="00C40619" w:rsidRPr="009E6123" w:rsidRDefault="00E84199" w:rsidP="009E6123">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53" w:history="1">
        <w:r w:rsidR="00C40619" w:rsidRPr="00AA6BA2">
          <w:rPr>
            <w:rStyle w:val="Hyperlink"/>
            <w:noProof/>
            <w14:scene3d>
              <w14:camera w14:prst="orthographicFront"/>
              <w14:lightRig w14:rig="threePt" w14:dir="t">
                <w14:rot w14:lat="0" w14:lon="0" w14:rev="0"/>
              </w14:lightRig>
            </w14:scene3d>
          </w:rPr>
          <w:t>4.4.3</w:t>
        </w:r>
        <w:r w:rsidR="00C40619">
          <w:rPr>
            <w:rFonts w:asciiTheme="minorHAnsi" w:eastAsiaTheme="minorEastAsia" w:hAnsiTheme="minorHAnsi" w:cstheme="minorBidi"/>
            <w:noProof/>
            <w:sz w:val="22"/>
            <w:szCs w:val="22"/>
            <w:lang w:val="es-CO" w:eastAsia="es-CO"/>
          </w:rPr>
          <w:tab/>
        </w:r>
        <w:r w:rsidR="00C40619" w:rsidRPr="00AA6BA2">
          <w:rPr>
            <w:rStyle w:val="Hyperlink"/>
            <w:noProof/>
          </w:rPr>
          <w:t>Climate Change</w:t>
        </w:r>
        <w:r w:rsidR="00C40619">
          <w:rPr>
            <w:noProof/>
            <w:webHidden/>
          </w:rPr>
          <w:tab/>
        </w:r>
        <w:r w:rsidR="00C40619">
          <w:rPr>
            <w:noProof/>
            <w:webHidden/>
          </w:rPr>
          <w:fldChar w:fldCharType="begin"/>
        </w:r>
        <w:r w:rsidR="00C40619">
          <w:rPr>
            <w:noProof/>
            <w:webHidden/>
          </w:rPr>
          <w:instrText xml:space="preserve"> PAGEREF _Toc517797053 \h </w:instrText>
        </w:r>
        <w:r w:rsidR="00C40619">
          <w:rPr>
            <w:noProof/>
            <w:webHidden/>
          </w:rPr>
        </w:r>
        <w:r w:rsidR="00C40619">
          <w:rPr>
            <w:noProof/>
            <w:webHidden/>
          </w:rPr>
          <w:fldChar w:fldCharType="separate"/>
        </w:r>
        <w:r w:rsidR="00402074">
          <w:rPr>
            <w:noProof/>
            <w:webHidden/>
          </w:rPr>
          <w:t>409</w:t>
        </w:r>
        <w:r w:rsidR="00C40619">
          <w:rPr>
            <w:noProof/>
            <w:webHidden/>
          </w:rPr>
          <w:fldChar w:fldCharType="end"/>
        </w:r>
      </w:hyperlink>
    </w:p>
    <w:p w14:paraId="551ADDA5" w14:textId="09089E75" w:rsidR="00C40619" w:rsidRPr="009E6123" w:rsidRDefault="00E84199" w:rsidP="009E6123">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62" w:history="1">
        <w:r w:rsidR="00C40619" w:rsidRPr="00AA6BA2">
          <w:rPr>
            <w:rStyle w:val="Hyperlink"/>
            <w:noProof/>
            <w14:scene3d>
              <w14:camera w14:prst="orthographicFront"/>
              <w14:lightRig w14:rig="threePt" w14:dir="t">
                <w14:rot w14:lat="0" w14:lon="0" w14:rev="0"/>
              </w14:lightRig>
            </w14:scene3d>
          </w:rPr>
          <w:t>4.4.4</w:t>
        </w:r>
        <w:r w:rsidR="00C40619">
          <w:rPr>
            <w:rFonts w:asciiTheme="minorHAnsi" w:eastAsiaTheme="minorEastAsia" w:hAnsiTheme="minorHAnsi" w:cstheme="minorBidi"/>
            <w:noProof/>
            <w:sz w:val="22"/>
            <w:szCs w:val="22"/>
            <w:lang w:val="es-CO" w:eastAsia="es-CO"/>
          </w:rPr>
          <w:tab/>
        </w:r>
        <w:r w:rsidR="00C40619" w:rsidRPr="00AA6BA2">
          <w:rPr>
            <w:rStyle w:val="Hyperlink"/>
            <w:noProof/>
          </w:rPr>
          <w:t>Biological Invasions</w:t>
        </w:r>
        <w:r w:rsidR="00C40619">
          <w:rPr>
            <w:noProof/>
            <w:webHidden/>
          </w:rPr>
          <w:tab/>
        </w:r>
        <w:r w:rsidR="00C40619">
          <w:rPr>
            <w:noProof/>
            <w:webHidden/>
          </w:rPr>
          <w:fldChar w:fldCharType="begin"/>
        </w:r>
        <w:r w:rsidR="00C40619">
          <w:rPr>
            <w:noProof/>
            <w:webHidden/>
          </w:rPr>
          <w:instrText xml:space="preserve"> PAGEREF _Toc517797062 \h </w:instrText>
        </w:r>
        <w:r w:rsidR="00C40619">
          <w:rPr>
            <w:noProof/>
            <w:webHidden/>
          </w:rPr>
        </w:r>
        <w:r w:rsidR="00C40619">
          <w:rPr>
            <w:noProof/>
            <w:webHidden/>
          </w:rPr>
          <w:fldChar w:fldCharType="separate"/>
        </w:r>
        <w:r w:rsidR="00402074">
          <w:rPr>
            <w:noProof/>
            <w:webHidden/>
          </w:rPr>
          <w:t>423</w:t>
        </w:r>
        <w:r w:rsidR="00C40619">
          <w:rPr>
            <w:noProof/>
            <w:webHidden/>
          </w:rPr>
          <w:fldChar w:fldCharType="end"/>
        </w:r>
      </w:hyperlink>
    </w:p>
    <w:p w14:paraId="3DEF19D8" w14:textId="62AA314D" w:rsidR="00C40619" w:rsidRPr="009E6123" w:rsidRDefault="00E84199" w:rsidP="009E6123">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68" w:history="1">
        <w:r w:rsidR="00C40619" w:rsidRPr="00AA6BA2">
          <w:rPr>
            <w:rStyle w:val="Hyperlink"/>
            <w:noProof/>
            <w14:scene3d>
              <w14:camera w14:prst="orthographicFront"/>
              <w14:lightRig w14:rig="threePt" w14:dir="t">
                <w14:rot w14:lat="0" w14:lon="0" w14:rev="0"/>
              </w14:lightRig>
            </w14:scene3d>
          </w:rPr>
          <w:t>4.4.5</w:t>
        </w:r>
        <w:r w:rsidR="00C40619">
          <w:rPr>
            <w:rFonts w:asciiTheme="minorHAnsi" w:eastAsiaTheme="minorEastAsia" w:hAnsiTheme="minorHAnsi" w:cstheme="minorBidi"/>
            <w:noProof/>
            <w:sz w:val="22"/>
            <w:szCs w:val="22"/>
            <w:lang w:val="es-CO" w:eastAsia="es-CO"/>
          </w:rPr>
          <w:tab/>
        </w:r>
        <w:r w:rsidR="00C40619" w:rsidRPr="00AA6BA2">
          <w:rPr>
            <w:rStyle w:val="Hyperlink"/>
            <w:noProof/>
          </w:rPr>
          <w:t>Overexploitation</w:t>
        </w:r>
        <w:r w:rsidR="00C40619">
          <w:rPr>
            <w:noProof/>
            <w:webHidden/>
          </w:rPr>
          <w:tab/>
        </w:r>
        <w:r w:rsidR="00C40619">
          <w:rPr>
            <w:noProof/>
            <w:webHidden/>
          </w:rPr>
          <w:fldChar w:fldCharType="begin"/>
        </w:r>
        <w:r w:rsidR="00C40619">
          <w:rPr>
            <w:noProof/>
            <w:webHidden/>
          </w:rPr>
          <w:instrText xml:space="preserve"> PAGEREF _Toc517797068 \h </w:instrText>
        </w:r>
        <w:r w:rsidR="00C40619">
          <w:rPr>
            <w:noProof/>
            <w:webHidden/>
          </w:rPr>
        </w:r>
        <w:r w:rsidR="00C40619">
          <w:rPr>
            <w:noProof/>
            <w:webHidden/>
          </w:rPr>
          <w:fldChar w:fldCharType="separate"/>
        </w:r>
        <w:r w:rsidR="00402074">
          <w:rPr>
            <w:noProof/>
            <w:webHidden/>
          </w:rPr>
          <w:t>430</w:t>
        </w:r>
        <w:r w:rsidR="00C40619">
          <w:rPr>
            <w:noProof/>
            <w:webHidden/>
          </w:rPr>
          <w:fldChar w:fldCharType="end"/>
        </w:r>
      </w:hyperlink>
    </w:p>
    <w:p w14:paraId="62ECB950" w14:textId="6D9E06CE" w:rsidR="00C40619" w:rsidRPr="009E6123" w:rsidRDefault="00E84199" w:rsidP="009E6123">
      <w:pPr>
        <w:pStyle w:val="TOC2"/>
        <w:rPr>
          <w:rFonts w:asciiTheme="minorHAnsi" w:eastAsiaTheme="minorEastAsia" w:hAnsiTheme="minorHAnsi" w:cstheme="minorBidi"/>
          <w:b w:val="0"/>
          <w:bCs w:val="0"/>
          <w:noProof/>
          <w:szCs w:val="22"/>
          <w:lang w:val="es-CO" w:eastAsia="es-CO"/>
        </w:rPr>
      </w:pPr>
      <w:hyperlink w:anchor="_Toc517797078" w:history="1">
        <w:r w:rsidR="00C40619" w:rsidRPr="00AA6BA2">
          <w:rPr>
            <w:rStyle w:val="Hyperlink"/>
            <w:noProof/>
            <w14:scene3d>
              <w14:camera w14:prst="orthographicFront"/>
              <w14:lightRig w14:rig="threePt" w14:dir="t">
                <w14:rot w14:lat="0" w14:lon="0" w14:rev="0"/>
              </w14:lightRig>
            </w14:scene3d>
          </w:rPr>
          <w:t>4.5</w:t>
        </w:r>
        <w:r w:rsidR="00C40619">
          <w:rPr>
            <w:rFonts w:asciiTheme="minorHAnsi" w:eastAsiaTheme="minorEastAsia" w:hAnsiTheme="minorHAnsi" w:cstheme="minorBidi"/>
            <w:b w:val="0"/>
            <w:bCs w:val="0"/>
            <w:noProof/>
            <w:szCs w:val="22"/>
            <w:lang w:val="es-CO" w:eastAsia="es-CO"/>
          </w:rPr>
          <w:tab/>
        </w:r>
        <w:r w:rsidR="00C40619" w:rsidRPr="00AA6BA2">
          <w:rPr>
            <w:rStyle w:val="Hyperlink"/>
            <w:noProof/>
          </w:rPr>
          <w:t>Direct natural drivers</w:t>
        </w:r>
        <w:r w:rsidR="00C40619">
          <w:rPr>
            <w:noProof/>
            <w:webHidden/>
          </w:rPr>
          <w:tab/>
        </w:r>
        <w:r w:rsidR="00C40619">
          <w:rPr>
            <w:noProof/>
            <w:webHidden/>
          </w:rPr>
          <w:fldChar w:fldCharType="begin"/>
        </w:r>
        <w:r w:rsidR="00C40619">
          <w:rPr>
            <w:noProof/>
            <w:webHidden/>
          </w:rPr>
          <w:instrText xml:space="preserve"> PAGEREF _Toc517797078 \h </w:instrText>
        </w:r>
        <w:r w:rsidR="00C40619">
          <w:rPr>
            <w:noProof/>
            <w:webHidden/>
          </w:rPr>
        </w:r>
        <w:r w:rsidR="00C40619">
          <w:rPr>
            <w:noProof/>
            <w:webHidden/>
          </w:rPr>
          <w:fldChar w:fldCharType="separate"/>
        </w:r>
        <w:r w:rsidR="00402074">
          <w:rPr>
            <w:noProof/>
            <w:webHidden/>
          </w:rPr>
          <w:t>439</w:t>
        </w:r>
        <w:r w:rsidR="00C40619">
          <w:rPr>
            <w:noProof/>
            <w:webHidden/>
          </w:rPr>
          <w:fldChar w:fldCharType="end"/>
        </w:r>
      </w:hyperlink>
    </w:p>
    <w:p w14:paraId="2E8E193D" w14:textId="24E28A44" w:rsidR="00C40619" w:rsidRDefault="00E84199">
      <w:pPr>
        <w:pStyle w:val="TOC2"/>
        <w:rPr>
          <w:rFonts w:asciiTheme="minorHAnsi" w:eastAsiaTheme="minorEastAsia" w:hAnsiTheme="minorHAnsi" w:cstheme="minorBidi"/>
          <w:b w:val="0"/>
          <w:bCs w:val="0"/>
          <w:noProof/>
          <w:szCs w:val="22"/>
          <w:lang w:val="es-CO" w:eastAsia="es-CO"/>
        </w:rPr>
      </w:pPr>
      <w:hyperlink w:anchor="_Toc517797084" w:history="1">
        <w:r w:rsidR="00C40619" w:rsidRPr="00AA6BA2">
          <w:rPr>
            <w:rStyle w:val="Hyperlink"/>
            <w:noProof/>
            <w14:scene3d>
              <w14:camera w14:prst="orthographicFront"/>
              <w14:lightRig w14:rig="threePt" w14:dir="t">
                <w14:rot w14:lat="0" w14:lon="0" w14:rev="0"/>
              </w14:lightRig>
            </w14:scene3d>
          </w:rPr>
          <w:t>4.6</w:t>
        </w:r>
        <w:r w:rsidR="00C40619">
          <w:rPr>
            <w:rFonts w:asciiTheme="minorHAnsi" w:eastAsiaTheme="minorEastAsia" w:hAnsiTheme="minorHAnsi" w:cstheme="minorBidi"/>
            <w:b w:val="0"/>
            <w:bCs w:val="0"/>
            <w:noProof/>
            <w:szCs w:val="22"/>
            <w:lang w:val="es-CO" w:eastAsia="es-CO"/>
          </w:rPr>
          <w:tab/>
        </w:r>
        <w:r w:rsidR="00C40619" w:rsidRPr="00AA6BA2">
          <w:rPr>
            <w:rStyle w:val="Hyperlink"/>
            <w:noProof/>
          </w:rPr>
          <w:t>Interactions between direct drivers</w:t>
        </w:r>
        <w:r w:rsidR="00C40619">
          <w:rPr>
            <w:noProof/>
            <w:webHidden/>
          </w:rPr>
          <w:tab/>
        </w:r>
        <w:r w:rsidR="00C40619">
          <w:rPr>
            <w:noProof/>
            <w:webHidden/>
          </w:rPr>
          <w:fldChar w:fldCharType="begin"/>
        </w:r>
        <w:r w:rsidR="00C40619">
          <w:rPr>
            <w:noProof/>
            <w:webHidden/>
          </w:rPr>
          <w:instrText xml:space="preserve"> PAGEREF _Toc517797084 \h </w:instrText>
        </w:r>
        <w:r w:rsidR="00C40619">
          <w:rPr>
            <w:noProof/>
            <w:webHidden/>
          </w:rPr>
        </w:r>
        <w:r w:rsidR="00C40619">
          <w:rPr>
            <w:noProof/>
            <w:webHidden/>
          </w:rPr>
          <w:fldChar w:fldCharType="separate"/>
        </w:r>
        <w:r w:rsidR="00402074">
          <w:rPr>
            <w:noProof/>
            <w:webHidden/>
          </w:rPr>
          <w:t>443</w:t>
        </w:r>
        <w:r w:rsidR="00C40619">
          <w:rPr>
            <w:noProof/>
            <w:webHidden/>
          </w:rPr>
          <w:fldChar w:fldCharType="end"/>
        </w:r>
      </w:hyperlink>
    </w:p>
    <w:p w14:paraId="78CE7D4B" w14:textId="59B5B020" w:rsidR="00C40619" w:rsidRPr="009E6123" w:rsidRDefault="00E84199" w:rsidP="009E6123">
      <w:pPr>
        <w:pStyle w:val="TOC2"/>
        <w:rPr>
          <w:rFonts w:asciiTheme="minorHAnsi" w:eastAsiaTheme="minorEastAsia" w:hAnsiTheme="minorHAnsi" w:cstheme="minorBidi"/>
          <w:b w:val="0"/>
          <w:bCs w:val="0"/>
          <w:noProof/>
          <w:szCs w:val="22"/>
          <w:lang w:val="es-CO" w:eastAsia="es-CO"/>
        </w:rPr>
      </w:pPr>
      <w:hyperlink w:anchor="_Toc517797085" w:history="1">
        <w:r w:rsidR="00C40619" w:rsidRPr="00AA6BA2">
          <w:rPr>
            <w:rStyle w:val="Hyperlink"/>
            <w:noProof/>
            <w14:scene3d>
              <w14:camera w14:prst="orthographicFront"/>
              <w14:lightRig w14:rig="threePt" w14:dir="t">
                <w14:rot w14:lat="0" w14:lon="0" w14:rev="0"/>
              </w14:lightRig>
            </w14:scene3d>
          </w:rPr>
          <w:t>4.7</w:t>
        </w:r>
        <w:r w:rsidR="00C40619">
          <w:rPr>
            <w:rFonts w:asciiTheme="minorHAnsi" w:eastAsiaTheme="minorEastAsia" w:hAnsiTheme="minorHAnsi" w:cstheme="minorBidi"/>
            <w:b w:val="0"/>
            <w:bCs w:val="0"/>
            <w:noProof/>
            <w:szCs w:val="22"/>
            <w:lang w:val="es-CO" w:eastAsia="es-CO"/>
          </w:rPr>
          <w:tab/>
        </w:r>
        <w:r w:rsidR="00C40619" w:rsidRPr="00AA6BA2">
          <w:rPr>
            <w:rStyle w:val="Hyperlink"/>
            <w:noProof/>
          </w:rPr>
          <w:t>Effects of indirect drivers on direct drivers</w:t>
        </w:r>
        <w:r w:rsidR="00C40619">
          <w:rPr>
            <w:noProof/>
            <w:webHidden/>
          </w:rPr>
          <w:tab/>
        </w:r>
        <w:r w:rsidR="00C40619">
          <w:rPr>
            <w:noProof/>
            <w:webHidden/>
          </w:rPr>
          <w:fldChar w:fldCharType="begin"/>
        </w:r>
        <w:r w:rsidR="00C40619">
          <w:rPr>
            <w:noProof/>
            <w:webHidden/>
          </w:rPr>
          <w:instrText xml:space="preserve"> PAGEREF _Toc517797085 \h </w:instrText>
        </w:r>
        <w:r w:rsidR="00C40619">
          <w:rPr>
            <w:noProof/>
            <w:webHidden/>
          </w:rPr>
        </w:r>
        <w:r w:rsidR="00C40619">
          <w:rPr>
            <w:noProof/>
            <w:webHidden/>
          </w:rPr>
          <w:fldChar w:fldCharType="separate"/>
        </w:r>
        <w:r w:rsidR="00402074">
          <w:rPr>
            <w:noProof/>
            <w:webHidden/>
          </w:rPr>
          <w:t>447</w:t>
        </w:r>
        <w:r w:rsidR="00C40619">
          <w:rPr>
            <w:noProof/>
            <w:webHidden/>
          </w:rPr>
          <w:fldChar w:fldCharType="end"/>
        </w:r>
      </w:hyperlink>
    </w:p>
    <w:p w14:paraId="24A9ACAB" w14:textId="38FCB5F0" w:rsidR="00C40619" w:rsidRDefault="00E84199">
      <w:pPr>
        <w:pStyle w:val="TOC2"/>
        <w:rPr>
          <w:rFonts w:asciiTheme="minorHAnsi" w:eastAsiaTheme="minorEastAsia" w:hAnsiTheme="minorHAnsi" w:cstheme="minorBidi"/>
          <w:b w:val="0"/>
          <w:bCs w:val="0"/>
          <w:noProof/>
          <w:szCs w:val="22"/>
          <w:lang w:val="es-CO" w:eastAsia="es-CO"/>
        </w:rPr>
      </w:pPr>
      <w:hyperlink w:anchor="_Toc517797091" w:history="1">
        <w:r w:rsidR="00C40619" w:rsidRPr="00AA6BA2">
          <w:rPr>
            <w:rStyle w:val="Hyperlink"/>
            <w:noProof/>
            <w14:scene3d>
              <w14:camera w14:prst="orthographicFront"/>
              <w14:lightRig w14:rig="threePt" w14:dir="t">
                <w14:rot w14:lat="0" w14:lon="0" w14:rev="0"/>
              </w14:lightRig>
            </w14:scene3d>
          </w:rPr>
          <w:t>4.8</w:t>
        </w:r>
        <w:r w:rsidR="00C40619">
          <w:rPr>
            <w:rFonts w:asciiTheme="minorHAnsi" w:eastAsiaTheme="minorEastAsia" w:hAnsiTheme="minorHAnsi" w:cstheme="minorBidi"/>
            <w:b w:val="0"/>
            <w:bCs w:val="0"/>
            <w:noProof/>
            <w:szCs w:val="22"/>
            <w:lang w:val="es-CO" w:eastAsia="es-CO"/>
          </w:rPr>
          <w:tab/>
        </w:r>
        <w:r w:rsidR="00C40619" w:rsidRPr="00AA6BA2">
          <w:rPr>
            <w:rStyle w:val="Hyperlink"/>
            <w:noProof/>
          </w:rPr>
          <w:t>Gaps in knowledge and data</w:t>
        </w:r>
        <w:r w:rsidR="00C40619">
          <w:rPr>
            <w:noProof/>
            <w:webHidden/>
          </w:rPr>
          <w:tab/>
        </w:r>
        <w:r w:rsidR="00C40619">
          <w:rPr>
            <w:noProof/>
            <w:webHidden/>
          </w:rPr>
          <w:fldChar w:fldCharType="begin"/>
        </w:r>
        <w:r w:rsidR="00C40619">
          <w:rPr>
            <w:noProof/>
            <w:webHidden/>
          </w:rPr>
          <w:instrText xml:space="preserve"> PAGEREF _Toc517797091 \h </w:instrText>
        </w:r>
        <w:r w:rsidR="00C40619">
          <w:rPr>
            <w:noProof/>
            <w:webHidden/>
          </w:rPr>
        </w:r>
        <w:r w:rsidR="00C40619">
          <w:rPr>
            <w:noProof/>
            <w:webHidden/>
          </w:rPr>
          <w:fldChar w:fldCharType="separate"/>
        </w:r>
        <w:r w:rsidR="00402074">
          <w:rPr>
            <w:noProof/>
            <w:webHidden/>
          </w:rPr>
          <w:t>457</w:t>
        </w:r>
        <w:r w:rsidR="00C40619">
          <w:rPr>
            <w:noProof/>
            <w:webHidden/>
          </w:rPr>
          <w:fldChar w:fldCharType="end"/>
        </w:r>
      </w:hyperlink>
    </w:p>
    <w:p w14:paraId="1C51F0DE" w14:textId="78C34B58" w:rsidR="00C40619" w:rsidRDefault="00E84199">
      <w:pPr>
        <w:pStyle w:val="TOC2"/>
        <w:rPr>
          <w:rFonts w:asciiTheme="minorHAnsi" w:eastAsiaTheme="minorEastAsia" w:hAnsiTheme="minorHAnsi" w:cstheme="minorBidi"/>
          <w:b w:val="0"/>
          <w:bCs w:val="0"/>
          <w:noProof/>
          <w:szCs w:val="22"/>
          <w:lang w:val="es-CO" w:eastAsia="es-CO"/>
        </w:rPr>
      </w:pPr>
      <w:hyperlink w:anchor="_Toc517797092" w:history="1">
        <w:r w:rsidR="00C40619" w:rsidRPr="00AA6BA2">
          <w:rPr>
            <w:rStyle w:val="Hyperlink"/>
            <w:noProof/>
            <w14:scene3d>
              <w14:camera w14:prst="orthographicFront"/>
              <w14:lightRig w14:rig="threePt" w14:dir="t">
                <w14:rot w14:lat="0" w14:lon="0" w14:rev="0"/>
              </w14:lightRig>
            </w14:scene3d>
          </w:rPr>
          <w:t>4.9</w:t>
        </w:r>
        <w:r w:rsidR="00C40619">
          <w:rPr>
            <w:rFonts w:asciiTheme="minorHAnsi" w:eastAsiaTheme="minorEastAsia" w:hAnsiTheme="minorHAnsi" w:cstheme="minorBidi"/>
            <w:b w:val="0"/>
            <w:bCs w:val="0"/>
            <w:noProof/>
            <w:szCs w:val="22"/>
            <w:lang w:val="es-CO" w:eastAsia="es-CO"/>
          </w:rPr>
          <w:tab/>
        </w:r>
        <w:r w:rsidR="00C40619" w:rsidRPr="00AA6BA2">
          <w:rPr>
            <w:rStyle w:val="Hyperlink"/>
            <w:noProof/>
          </w:rPr>
          <w:t>Supplementary material</w:t>
        </w:r>
        <w:r w:rsidR="00C40619">
          <w:rPr>
            <w:noProof/>
            <w:webHidden/>
          </w:rPr>
          <w:tab/>
        </w:r>
        <w:r w:rsidR="00C40619">
          <w:rPr>
            <w:noProof/>
            <w:webHidden/>
          </w:rPr>
          <w:fldChar w:fldCharType="begin"/>
        </w:r>
        <w:r w:rsidR="00C40619">
          <w:rPr>
            <w:noProof/>
            <w:webHidden/>
          </w:rPr>
          <w:instrText xml:space="preserve"> PAGEREF _Toc517797092 \h </w:instrText>
        </w:r>
        <w:r w:rsidR="00C40619">
          <w:rPr>
            <w:noProof/>
            <w:webHidden/>
          </w:rPr>
        </w:r>
        <w:r w:rsidR="00C40619">
          <w:rPr>
            <w:noProof/>
            <w:webHidden/>
          </w:rPr>
          <w:fldChar w:fldCharType="separate"/>
        </w:r>
        <w:r w:rsidR="00402074">
          <w:rPr>
            <w:noProof/>
            <w:webHidden/>
          </w:rPr>
          <w:t>458</w:t>
        </w:r>
        <w:r w:rsidR="00C40619">
          <w:rPr>
            <w:noProof/>
            <w:webHidden/>
          </w:rPr>
          <w:fldChar w:fldCharType="end"/>
        </w:r>
      </w:hyperlink>
    </w:p>
    <w:p w14:paraId="0E9238D6" w14:textId="26978F5A" w:rsidR="00C40619" w:rsidRDefault="00E84199">
      <w:pPr>
        <w:pStyle w:val="TOC2"/>
        <w:rPr>
          <w:rFonts w:asciiTheme="minorHAnsi" w:eastAsiaTheme="minorEastAsia" w:hAnsiTheme="minorHAnsi" w:cstheme="minorBidi"/>
          <w:b w:val="0"/>
          <w:bCs w:val="0"/>
          <w:noProof/>
          <w:szCs w:val="22"/>
          <w:lang w:val="es-CO" w:eastAsia="es-CO"/>
        </w:rPr>
      </w:pPr>
      <w:hyperlink w:anchor="_Toc517797093" w:history="1">
        <w:r w:rsidR="00C40619" w:rsidRPr="00AA6BA2">
          <w:rPr>
            <w:rStyle w:val="Hyperlink"/>
            <w:noProof/>
            <w14:scene3d>
              <w14:camera w14:prst="orthographicFront"/>
              <w14:lightRig w14:rig="threePt" w14:dir="t">
                <w14:rot w14:lat="0" w14:lon="0" w14:rev="0"/>
              </w14:lightRig>
            </w14:scene3d>
          </w:rPr>
          <w:t>4.10</w:t>
        </w:r>
        <w:r w:rsidR="00C40619">
          <w:rPr>
            <w:rFonts w:asciiTheme="minorHAnsi" w:eastAsiaTheme="minorEastAsia" w:hAnsiTheme="minorHAnsi" w:cstheme="minorBidi"/>
            <w:b w:val="0"/>
            <w:bCs w:val="0"/>
            <w:noProof/>
            <w:szCs w:val="22"/>
            <w:lang w:val="es-CO" w:eastAsia="es-CO"/>
          </w:rPr>
          <w:tab/>
        </w:r>
        <w:r w:rsidR="00C40619" w:rsidRPr="00AA6BA2">
          <w:rPr>
            <w:rStyle w:val="Hyperlink"/>
            <w:noProof/>
          </w:rPr>
          <w:t>References</w:t>
        </w:r>
        <w:r w:rsidR="00C40619">
          <w:rPr>
            <w:noProof/>
            <w:webHidden/>
          </w:rPr>
          <w:tab/>
        </w:r>
        <w:r w:rsidR="00C40619">
          <w:rPr>
            <w:noProof/>
            <w:webHidden/>
          </w:rPr>
          <w:fldChar w:fldCharType="begin"/>
        </w:r>
        <w:r w:rsidR="00C40619">
          <w:rPr>
            <w:noProof/>
            <w:webHidden/>
          </w:rPr>
          <w:instrText xml:space="preserve"> PAGEREF _Toc517797093 \h </w:instrText>
        </w:r>
        <w:r w:rsidR="00C40619">
          <w:rPr>
            <w:noProof/>
            <w:webHidden/>
          </w:rPr>
        </w:r>
        <w:r w:rsidR="00C40619">
          <w:rPr>
            <w:noProof/>
            <w:webHidden/>
          </w:rPr>
          <w:fldChar w:fldCharType="separate"/>
        </w:r>
        <w:r w:rsidR="00402074">
          <w:rPr>
            <w:noProof/>
            <w:webHidden/>
          </w:rPr>
          <w:t>466</w:t>
        </w:r>
        <w:r w:rsidR="00C40619">
          <w:rPr>
            <w:noProof/>
            <w:webHidden/>
          </w:rPr>
          <w:fldChar w:fldCharType="end"/>
        </w:r>
      </w:hyperlink>
    </w:p>
    <w:p w14:paraId="107BDEEA" w14:textId="2FDAE03F" w:rsidR="00403781" w:rsidRPr="008608AA" w:rsidRDefault="00403781" w:rsidP="00735D6C">
      <w:pPr>
        <w:tabs>
          <w:tab w:val="left" w:pos="4082"/>
        </w:tabs>
        <w:rPr>
          <w:b/>
          <w:sz w:val="28"/>
        </w:rPr>
      </w:pPr>
      <w:r w:rsidRPr="008608AA">
        <w:rPr>
          <w:b/>
          <w:sz w:val="28"/>
        </w:rPr>
        <w:fldChar w:fldCharType="end"/>
      </w:r>
    </w:p>
    <w:p w14:paraId="42D851FA" w14:textId="2010ED66" w:rsidR="001605EF" w:rsidRPr="008608AA" w:rsidRDefault="001605EF" w:rsidP="00735D6C">
      <w:pPr>
        <w:tabs>
          <w:tab w:val="left" w:pos="4082"/>
        </w:tabs>
        <w:rPr>
          <w:b/>
          <w:sz w:val="28"/>
        </w:rPr>
      </w:pPr>
      <w:r w:rsidRPr="008608AA">
        <w:rPr>
          <w:b/>
          <w:sz w:val="28"/>
        </w:rPr>
        <w:br w:type="page"/>
      </w:r>
    </w:p>
    <w:p w14:paraId="2561328A" w14:textId="54990BCB" w:rsidR="001E61A6" w:rsidRPr="008608AA" w:rsidRDefault="000B6B6D" w:rsidP="006F7DC0">
      <w:pPr>
        <w:pStyle w:val="Heading2"/>
      </w:pPr>
      <w:bookmarkStart w:id="1278" w:name="_Toc503293128"/>
      <w:bookmarkStart w:id="1279" w:name="_Toc503293726"/>
      <w:bookmarkStart w:id="1280" w:name="_Toc503293988"/>
      <w:bookmarkStart w:id="1281" w:name="_Toc503863381"/>
      <w:bookmarkStart w:id="1282" w:name="_Toc503863609"/>
      <w:bookmarkStart w:id="1283" w:name="_Toc517393330"/>
      <w:bookmarkStart w:id="1284" w:name="_Toc517394387"/>
      <w:bookmarkStart w:id="1285" w:name="_Toc517719071"/>
      <w:bookmarkStart w:id="1286" w:name="_Toc517797028"/>
      <w:bookmarkEnd w:id="1273"/>
      <w:bookmarkEnd w:id="1274"/>
      <w:bookmarkEnd w:id="1275"/>
      <w:bookmarkEnd w:id="1276"/>
      <w:bookmarkEnd w:id="1277"/>
      <w:r w:rsidRPr="008608AA">
        <w:t>Executive s</w:t>
      </w:r>
      <w:r w:rsidR="008C738B" w:rsidRPr="008608AA">
        <w:t>ummary</w:t>
      </w:r>
      <w:bookmarkEnd w:id="1278"/>
      <w:bookmarkEnd w:id="1279"/>
      <w:bookmarkEnd w:id="1280"/>
      <w:bookmarkEnd w:id="1281"/>
      <w:bookmarkEnd w:id="1282"/>
      <w:bookmarkEnd w:id="1283"/>
      <w:bookmarkEnd w:id="1284"/>
      <w:bookmarkEnd w:id="1285"/>
      <w:bookmarkEnd w:id="1286"/>
    </w:p>
    <w:p w14:paraId="1CDC9CEB" w14:textId="11CAB31F" w:rsidR="008C738B" w:rsidRPr="00A26FD5" w:rsidRDefault="001E61A6" w:rsidP="00B33BD5">
      <w:pPr>
        <w:pStyle w:val="BodyText"/>
        <w:numPr>
          <w:ilvl w:val="0"/>
          <w:numId w:val="26"/>
        </w:numPr>
        <w:spacing w:after="120"/>
        <w:ind w:left="425" w:hanging="425"/>
        <w:rPr>
          <w:szCs w:val="22"/>
          <w:lang w:val="en-US"/>
        </w:rPr>
      </w:pPr>
      <w:r w:rsidRPr="00A26FD5">
        <w:rPr>
          <w:b/>
          <w:szCs w:val="22"/>
          <w:lang w:val="en-US"/>
        </w:rPr>
        <w:t>The most important indirect anthropogenic drivers of changes in nature, nature</w:t>
      </w:r>
      <w:r w:rsidR="000B6B6D" w:rsidRPr="00A26FD5">
        <w:rPr>
          <w:b/>
          <w:szCs w:val="22"/>
          <w:lang w:val="en-US"/>
        </w:rPr>
        <w:t>’s contributions to people</w:t>
      </w:r>
      <w:r w:rsidRPr="00A26FD5">
        <w:rPr>
          <w:b/>
          <w:szCs w:val="22"/>
          <w:lang w:val="en-US"/>
        </w:rPr>
        <w:t xml:space="preserve"> and good quality of life include unsustainable patterns of economic growth (including issues related to international trade and finances); population and demographic trends; weaknesses in the governance systems and inequity (</w:t>
      </w:r>
      <w:r w:rsidRPr="00A26FD5">
        <w:rPr>
          <w:b/>
          <w:i/>
          <w:szCs w:val="22"/>
          <w:lang w:val="en-US"/>
        </w:rPr>
        <w:t>well established</w:t>
      </w:r>
      <w:r w:rsidRPr="00A26FD5">
        <w:rPr>
          <w:b/>
          <w:szCs w:val="22"/>
          <w:lang w:val="en-US"/>
        </w:rPr>
        <w:t>).</w:t>
      </w:r>
      <w:r w:rsidRPr="00A26FD5">
        <w:rPr>
          <w:szCs w:val="22"/>
          <w:lang w:val="en-US"/>
        </w:rPr>
        <w:t xml:space="preserve"> Increasing human demand for food, water, and energy caused by increases in population, per capi</w:t>
      </w:r>
      <w:r w:rsidR="000B6B6D" w:rsidRPr="00A26FD5">
        <w:rPr>
          <w:szCs w:val="22"/>
          <w:lang w:val="en-US"/>
        </w:rPr>
        <w:t xml:space="preserve">ta Gross Domestic Product </w:t>
      </w:r>
      <w:r w:rsidRPr="00A26FD5">
        <w:rPr>
          <w:szCs w:val="22"/>
          <w:lang w:val="en-US"/>
        </w:rPr>
        <w:t xml:space="preserve">and international trade have had negative consequences for nature and many regulating and non-material </w:t>
      </w:r>
      <w:r w:rsidR="000B6B6D" w:rsidRPr="00A26FD5">
        <w:rPr>
          <w:szCs w:val="22"/>
          <w:lang w:val="en-US"/>
        </w:rPr>
        <w:t>nature’s contributions to people</w:t>
      </w:r>
      <w:r w:rsidRPr="00A26FD5">
        <w:rPr>
          <w:szCs w:val="22"/>
          <w:lang w:val="en-US"/>
        </w:rPr>
        <w:t xml:space="preserve">. </w:t>
      </w:r>
    </w:p>
    <w:p w14:paraId="567CB378" w14:textId="653D5A03" w:rsidR="008C738B" w:rsidRPr="00A26FD5" w:rsidRDefault="001E61A6" w:rsidP="00B33BD5">
      <w:pPr>
        <w:pStyle w:val="BodyText"/>
        <w:numPr>
          <w:ilvl w:val="0"/>
          <w:numId w:val="26"/>
        </w:numPr>
        <w:spacing w:after="120"/>
        <w:ind w:left="425" w:hanging="425"/>
        <w:rPr>
          <w:szCs w:val="22"/>
          <w:lang w:val="en-US"/>
        </w:rPr>
      </w:pPr>
      <w:r w:rsidRPr="00A26FD5">
        <w:rPr>
          <w:b/>
          <w:szCs w:val="22"/>
          <w:lang w:val="en-US"/>
        </w:rPr>
        <w:t xml:space="preserve">Social inequity is a concern with adverse implications for nature, </w:t>
      </w:r>
      <w:r w:rsidR="000B6B6D" w:rsidRPr="00A26FD5">
        <w:rPr>
          <w:b/>
          <w:szCs w:val="22"/>
          <w:lang w:val="en-US"/>
        </w:rPr>
        <w:t>nature’s contributions to people</w:t>
      </w:r>
      <w:r w:rsidRPr="00A26FD5">
        <w:rPr>
          <w:b/>
          <w:szCs w:val="22"/>
          <w:lang w:val="en-US"/>
        </w:rPr>
        <w:t xml:space="preserve"> and good quality of life (</w:t>
      </w:r>
      <w:r w:rsidRPr="00A26FD5">
        <w:rPr>
          <w:b/>
          <w:i/>
          <w:szCs w:val="22"/>
          <w:lang w:val="en-US"/>
        </w:rPr>
        <w:t>well established</w:t>
      </w:r>
      <w:r w:rsidRPr="00A26FD5">
        <w:rPr>
          <w:b/>
          <w:szCs w:val="22"/>
          <w:lang w:val="en-US"/>
        </w:rPr>
        <w:t>). When the Uni</w:t>
      </w:r>
      <w:r w:rsidR="000B6B6D" w:rsidRPr="00A26FD5">
        <w:rPr>
          <w:b/>
          <w:szCs w:val="22"/>
          <w:lang w:val="en-US"/>
        </w:rPr>
        <w:t>ted Nations Development Program Human Development Index</w:t>
      </w:r>
      <w:r w:rsidRPr="00A26FD5">
        <w:rPr>
          <w:b/>
          <w:szCs w:val="22"/>
          <w:lang w:val="en-US"/>
        </w:rPr>
        <w:t xml:space="preserve"> is ad</w:t>
      </w:r>
      <w:r w:rsidR="000B6B6D" w:rsidRPr="00A26FD5">
        <w:rPr>
          <w:b/>
          <w:szCs w:val="22"/>
          <w:lang w:val="en-US"/>
        </w:rPr>
        <w:t>justed for inequality, it is 22 per cent</w:t>
      </w:r>
      <w:r w:rsidRPr="00A26FD5">
        <w:rPr>
          <w:b/>
          <w:szCs w:val="22"/>
          <w:lang w:val="en-US"/>
        </w:rPr>
        <w:t xml:space="preserve"> lower in Latin American a</w:t>
      </w:r>
      <w:r w:rsidR="000B6B6D" w:rsidRPr="00A26FD5">
        <w:rPr>
          <w:b/>
          <w:szCs w:val="22"/>
          <w:lang w:val="en-US"/>
        </w:rPr>
        <w:t>nd Caribbean countries and 11.1 per cent</w:t>
      </w:r>
      <w:r w:rsidRPr="00A26FD5">
        <w:rPr>
          <w:b/>
          <w:szCs w:val="22"/>
          <w:lang w:val="en-US"/>
        </w:rPr>
        <w:t xml:space="preserve"> lower in North America </w:t>
      </w:r>
      <w:r w:rsidR="008C738B" w:rsidRPr="00A26FD5">
        <w:rPr>
          <w:b/>
          <w:szCs w:val="22"/>
          <w:lang w:val="en-US"/>
        </w:rPr>
        <w:t>{</w:t>
      </w:r>
      <w:r w:rsidRPr="00A26FD5">
        <w:rPr>
          <w:b/>
          <w:szCs w:val="22"/>
          <w:lang w:val="en-US"/>
        </w:rPr>
        <w:t>4.3.6</w:t>
      </w:r>
      <w:r w:rsidR="008C738B" w:rsidRPr="00A26FD5">
        <w:rPr>
          <w:b/>
          <w:szCs w:val="22"/>
          <w:lang w:val="en-US"/>
        </w:rPr>
        <w:t>}</w:t>
      </w:r>
      <w:r w:rsidRPr="00A26FD5">
        <w:rPr>
          <w:b/>
          <w:szCs w:val="22"/>
          <w:lang w:val="en-US"/>
        </w:rPr>
        <w:t>.</w:t>
      </w:r>
      <w:r w:rsidRPr="00A26FD5">
        <w:rPr>
          <w:szCs w:val="22"/>
          <w:lang w:val="en-US"/>
        </w:rPr>
        <w:t xml:space="preserve"> Seventy-two million people escaped income-poverty from 2003-2013 in Lati</w:t>
      </w:r>
      <w:r w:rsidR="000B6B6D" w:rsidRPr="00A26FD5">
        <w:rPr>
          <w:szCs w:val="22"/>
          <w:lang w:val="en-US"/>
        </w:rPr>
        <w:t>n America; however, around 26.9 per cent</w:t>
      </w:r>
      <w:r w:rsidRPr="00A26FD5">
        <w:rPr>
          <w:szCs w:val="22"/>
          <w:lang w:val="en-US"/>
        </w:rPr>
        <w:t xml:space="preserve"> of the Latin American population still</w:t>
      </w:r>
      <w:r w:rsidR="000B6B6D" w:rsidRPr="00A26FD5">
        <w:rPr>
          <w:szCs w:val="22"/>
          <w:lang w:val="en-US"/>
        </w:rPr>
        <w:t xml:space="preserve"> lived in poverty in 2012: 40.6 per cent</w:t>
      </w:r>
      <w:r w:rsidRPr="00A26FD5">
        <w:rPr>
          <w:szCs w:val="22"/>
          <w:lang w:val="en-US"/>
        </w:rPr>
        <w:t xml:space="preserve"> in Mesoam</w:t>
      </w:r>
      <w:r w:rsidR="000B6B6D" w:rsidRPr="00A26FD5">
        <w:rPr>
          <w:szCs w:val="22"/>
          <w:lang w:val="en-US"/>
        </w:rPr>
        <w:t>erica and 21 per cent</w:t>
      </w:r>
      <w:r w:rsidRPr="00A26FD5">
        <w:rPr>
          <w:szCs w:val="22"/>
          <w:lang w:val="en-US"/>
        </w:rPr>
        <w:t xml:space="preserve"> in South America </w:t>
      </w:r>
      <w:r w:rsidR="008C738B" w:rsidRPr="00A26FD5">
        <w:rPr>
          <w:szCs w:val="22"/>
          <w:lang w:val="en-US"/>
        </w:rPr>
        <w:t>{</w:t>
      </w:r>
      <w:r w:rsidRPr="00A26FD5">
        <w:rPr>
          <w:szCs w:val="22"/>
          <w:lang w:val="en-US"/>
        </w:rPr>
        <w:t>4.3.6</w:t>
      </w:r>
      <w:r w:rsidR="008C738B" w:rsidRPr="00A26FD5">
        <w:rPr>
          <w:szCs w:val="22"/>
          <w:lang w:val="en-US"/>
        </w:rPr>
        <w:t>}</w:t>
      </w:r>
      <w:r w:rsidRPr="00A26FD5">
        <w:rPr>
          <w:szCs w:val="22"/>
          <w:lang w:val="en-US"/>
        </w:rPr>
        <w:t>. In many cases, poor people in the Americas tend to increase the pressures on nature merely to survive, while on the other hand, there is high per capita consumption of natural resources in affluent segments of the population.</w:t>
      </w:r>
    </w:p>
    <w:p w14:paraId="08FDE31B" w14:textId="4C761057" w:rsidR="008C738B" w:rsidRPr="00A26FD5" w:rsidRDefault="001E61A6" w:rsidP="00B33BD5">
      <w:pPr>
        <w:pStyle w:val="BodyText"/>
        <w:numPr>
          <w:ilvl w:val="0"/>
          <w:numId w:val="26"/>
        </w:numPr>
        <w:spacing w:after="120"/>
        <w:ind w:left="425" w:hanging="425"/>
        <w:rPr>
          <w:szCs w:val="22"/>
          <w:lang w:val="en-US"/>
        </w:rPr>
      </w:pPr>
      <w:r w:rsidRPr="00A26FD5">
        <w:rPr>
          <w:b/>
          <w:szCs w:val="22"/>
          <w:lang w:val="en-US"/>
        </w:rPr>
        <w:t xml:space="preserve">Economic growth (measured as </w:t>
      </w:r>
      <w:r w:rsidR="00A2187D" w:rsidRPr="00A26FD5">
        <w:rPr>
          <w:b/>
          <w:szCs w:val="22"/>
          <w:lang w:val="en-US"/>
        </w:rPr>
        <w:t>Gross Domestic Product</w:t>
      </w:r>
      <w:r w:rsidRPr="00A26FD5">
        <w:rPr>
          <w:b/>
          <w:szCs w:val="22"/>
          <w:lang w:val="en-US"/>
        </w:rPr>
        <w:t xml:space="preserve"> growth and </w:t>
      </w:r>
      <w:r w:rsidR="00A2187D" w:rsidRPr="00A26FD5">
        <w:rPr>
          <w:b/>
          <w:szCs w:val="22"/>
          <w:lang w:val="en-US"/>
        </w:rPr>
        <w:t>Gross Domestic Product</w:t>
      </w:r>
      <w:r w:rsidRPr="00A26FD5">
        <w:rPr>
          <w:b/>
          <w:szCs w:val="22"/>
          <w:lang w:val="en-US"/>
        </w:rPr>
        <w:t xml:space="preserve"> per capita) and international trade are major drivers of natural resource consumption in the Americas.  Economic growth and trade can positively or negatively impact biodiversity and </w:t>
      </w:r>
      <w:r w:rsidR="00A2187D" w:rsidRPr="00A26FD5">
        <w:rPr>
          <w:b/>
          <w:szCs w:val="22"/>
          <w:lang w:val="en-US"/>
        </w:rPr>
        <w:t>nature’s contributions to people</w:t>
      </w:r>
      <w:r w:rsidRPr="00A26FD5">
        <w:rPr>
          <w:b/>
          <w:szCs w:val="22"/>
          <w:lang w:val="en-US"/>
        </w:rPr>
        <w:t xml:space="preserve">, but currently, on balance, they adversely impact biodiversity and </w:t>
      </w:r>
      <w:r w:rsidR="00A2187D" w:rsidRPr="00A26FD5">
        <w:rPr>
          <w:b/>
          <w:szCs w:val="22"/>
          <w:lang w:val="en-US"/>
        </w:rPr>
        <w:t xml:space="preserve">nature’s contributions to people </w:t>
      </w:r>
      <w:r w:rsidRPr="00A26FD5">
        <w:rPr>
          <w:b/>
          <w:szCs w:val="22"/>
          <w:lang w:val="en-US"/>
        </w:rPr>
        <w:t>when environmental and social development goals are insufficiently accounted for (</w:t>
      </w:r>
      <w:r w:rsidRPr="00A26FD5">
        <w:rPr>
          <w:b/>
          <w:i/>
          <w:szCs w:val="22"/>
          <w:lang w:val="en-US"/>
        </w:rPr>
        <w:t>well established</w:t>
      </w:r>
      <w:r w:rsidRPr="00A26FD5">
        <w:rPr>
          <w:b/>
          <w:szCs w:val="22"/>
          <w:lang w:val="en-US"/>
        </w:rPr>
        <w:t>).</w:t>
      </w:r>
      <w:r w:rsidRPr="00A26FD5">
        <w:rPr>
          <w:szCs w:val="22"/>
          <w:lang w:val="en-US"/>
        </w:rPr>
        <w:t xml:space="preserve"> Positive impacts of economic growth and international trade may include a stronger economy and increased employment, and social and environmental investments such as biodiversity protection. Negative impacts of economic growth include unsustainable conversion, use and exploitation of terrestrial, freshwater and marine ecosystems and resources, which threaten biodiversity and degrade </w:t>
      </w:r>
      <w:r w:rsidR="00A2187D" w:rsidRPr="00A26FD5">
        <w:rPr>
          <w:szCs w:val="22"/>
          <w:lang w:val="en-US"/>
        </w:rPr>
        <w:t xml:space="preserve">nature’s contributions to people </w:t>
      </w:r>
      <w:r w:rsidRPr="00A26FD5">
        <w:rPr>
          <w:szCs w:val="22"/>
          <w:lang w:val="en-US"/>
        </w:rPr>
        <w:t xml:space="preserve">by reducing species abundances below self-sustaining levels and by disrupting key ecosystem functions </w:t>
      </w:r>
      <w:r w:rsidR="008C738B" w:rsidRPr="00A26FD5">
        <w:rPr>
          <w:szCs w:val="22"/>
          <w:lang w:val="en-US"/>
        </w:rPr>
        <w:t>{</w:t>
      </w:r>
      <w:r w:rsidRPr="00A26FD5">
        <w:rPr>
          <w:szCs w:val="22"/>
          <w:lang w:val="en-US"/>
        </w:rPr>
        <w:t>4.6</w:t>
      </w:r>
      <w:r w:rsidR="008C738B" w:rsidRPr="00A26FD5">
        <w:rPr>
          <w:szCs w:val="22"/>
          <w:lang w:val="en-US"/>
        </w:rPr>
        <w:t>}</w:t>
      </w:r>
      <w:r w:rsidRPr="00A26FD5">
        <w:rPr>
          <w:szCs w:val="22"/>
          <w:lang w:val="en-US"/>
        </w:rPr>
        <w:t>. T</w:t>
      </w:r>
      <w:r w:rsidR="00A2187D" w:rsidRPr="00A26FD5">
        <w:rPr>
          <w:szCs w:val="22"/>
          <w:lang w:val="en-US"/>
        </w:rPr>
        <w:t>he Americas generates around 18 per cent</w:t>
      </w:r>
      <w:r w:rsidRPr="00A26FD5">
        <w:rPr>
          <w:szCs w:val="22"/>
          <w:lang w:val="en-US"/>
        </w:rPr>
        <w:t xml:space="preserve"> o</w:t>
      </w:r>
      <w:r w:rsidR="00A2187D" w:rsidRPr="00A26FD5">
        <w:rPr>
          <w:szCs w:val="22"/>
          <w:lang w:val="en-US"/>
        </w:rPr>
        <w:t>f world exports, with 70 p</w:t>
      </w:r>
      <w:r w:rsidR="006F1D8D" w:rsidRPr="00A26FD5">
        <w:rPr>
          <w:szCs w:val="22"/>
          <w:lang w:val="en-US"/>
        </w:rPr>
        <w:t>e</w:t>
      </w:r>
      <w:r w:rsidR="00A2187D" w:rsidRPr="00A26FD5">
        <w:rPr>
          <w:szCs w:val="22"/>
          <w:lang w:val="en-US"/>
        </w:rPr>
        <w:t>r cent</w:t>
      </w:r>
      <w:r w:rsidRPr="00A26FD5">
        <w:rPr>
          <w:szCs w:val="22"/>
          <w:lang w:val="en-US"/>
        </w:rPr>
        <w:t xml:space="preserve"> of this from North America. The Latin American and Caribbean contri</w:t>
      </w:r>
      <w:r w:rsidR="00A2187D" w:rsidRPr="00A26FD5">
        <w:rPr>
          <w:szCs w:val="22"/>
          <w:lang w:val="en-US"/>
        </w:rPr>
        <w:t>butions to world exports is 5.4 per cent</w:t>
      </w:r>
      <w:r w:rsidRPr="00A26FD5">
        <w:rPr>
          <w:szCs w:val="22"/>
          <w:lang w:val="en-US"/>
        </w:rPr>
        <w:t>, and natural resource governance is strongly influenced by having economies dominated by commodity exports. Natural resources (oil, mineral</w:t>
      </w:r>
      <w:r w:rsidR="00A2187D" w:rsidRPr="00A26FD5">
        <w:rPr>
          <w:szCs w:val="22"/>
          <w:lang w:val="en-US"/>
        </w:rPr>
        <w:t>s, and agriculture) contribute  more than 50 per cent</w:t>
      </w:r>
      <w:r w:rsidRPr="00A26FD5">
        <w:rPr>
          <w:szCs w:val="22"/>
          <w:lang w:val="en-US"/>
        </w:rPr>
        <w:t xml:space="preserve"> to these Latin America and the Caribbean exports </w:t>
      </w:r>
      <w:r w:rsidR="008C738B" w:rsidRPr="00A26FD5">
        <w:rPr>
          <w:szCs w:val="22"/>
          <w:lang w:val="en-US"/>
        </w:rPr>
        <w:t>{</w:t>
      </w:r>
      <w:r w:rsidRPr="00A26FD5">
        <w:rPr>
          <w:szCs w:val="22"/>
          <w:lang w:val="en-US"/>
        </w:rPr>
        <w:t>4.3.3</w:t>
      </w:r>
      <w:r w:rsidR="008C738B" w:rsidRPr="00A26FD5">
        <w:rPr>
          <w:szCs w:val="22"/>
          <w:lang w:val="en-US"/>
        </w:rPr>
        <w:t>}</w:t>
      </w:r>
      <w:r w:rsidRPr="00A26FD5">
        <w:rPr>
          <w:szCs w:val="22"/>
          <w:lang w:val="en-US"/>
        </w:rPr>
        <w:t xml:space="preserve">.  Globalization has catalyzed rapid growth of international trade and become an important motor for regional development, but it has also disconnected places of production, transformation and consumption of land-based products. This decoupling places significant challenges for socio-environmental governance and regulatory implementation for sectors rapidly changing in response to increases in the global demand for food, feed and fiber. Consequently, natural resource use policies often come into place only after fundamental shifts in the land-use system are already underway, and interventions have become costly and have limited influence </w:t>
      </w:r>
      <w:r w:rsidR="008C738B" w:rsidRPr="00A26FD5">
        <w:rPr>
          <w:szCs w:val="22"/>
          <w:lang w:val="en-US"/>
        </w:rPr>
        <w:t>{</w:t>
      </w:r>
      <w:r w:rsidRPr="00A26FD5">
        <w:rPr>
          <w:szCs w:val="22"/>
          <w:lang w:val="en-US"/>
        </w:rPr>
        <w:t>4.6</w:t>
      </w:r>
      <w:r w:rsidR="008C738B" w:rsidRPr="00A26FD5">
        <w:rPr>
          <w:szCs w:val="22"/>
          <w:lang w:val="en-US"/>
        </w:rPr>
        <w:t>}</w:t>
      </w:r>
      <w:r w:rsidRPr="00A26FD5">
        <w:rPr>
          <w:szCs w:val="22"/>
          <w:lang w:val="en-US"/>
        </w:rPr>
        <w:t xml:space="preserve">. </w:t>
      </w:r>
    </w:p>
    <w:p w14:paraId="0EFE347D" w14:textId="26317A6D" w:rsidR="008C738B" w:rsidRPr="00A26FD5" w:rsidRDefault="001E61A6" w:rsidP="00B33BD5">
      <w:pPr>
        <w:pStyle w:val="BodyText"/>
        <w:numPr>
          <w:ilvl w:val="0"/>
          <w:numId w:val="26"/>
        </w:numPr>
        <w:spacing w:after="120"/>
        <w:ind w:left="425" w:hanging="425"/>
        <w:rPr>
          <w:szCs w:val="22"/>
          <w:lang w:val="en-US"/>
        </w:rPr>
      </w:pPr>
      <w:r w:rsidRPr="00A26FD5">
        <w:rPr>
          <w:b/>
          <w:szCs w:val="22"/>
          <w:lang w:val="en-US"/>
        </w:rPr>
        <w:t>Weaknesses in the governance systems and institutional frameworks in the Americas have h</w:t>
      </w:r>
      <w:r w:rsidR="00A47F44" w:rsidRPr="00A26FD5">
        <w:rPr>
          <w:b/>
          <w:szCs w:val="22"/>
          <w:lang w:val="en-US"/>
        </w:rPr>
        <w:t>ad adverse implications for n</w:t>
      </w:r>
      <w:r w:rsidRPr="00A26FD5">
        <w:rPr>
          <w:b/>
          <w:szCs w:val="22"/>
          <w:lang w:val="en-US"/>
        </w:rPr>
        <w:t xml:space="preserve">ature, </w:t>
      </w:r>
      <w:r w:rsidR="00A2187D" w:rsidRPr="00A26FD5">
        <w:rPr>
          <w:b/>
          <w:szCs w:val="22"/>
          <w:lang w:val="en-US"/>
        </w:rPr>
        <w:t xml:space="preserve">nature’s contributions to people </w:t>
      </w:r>
      <w:r w:rsidRPr="00A26FD5">
        <w:rPr>
          <w:b/>
          <w:szCs w:val="22"/>
          <w:lang w:val="en-US"/>
        </w:rPr>
        <w:t>and good quality of life in the Americas (</w:t>
      </w:r>
      <w:r w:rsidR="00CD61F3" w:rsidRPr="00A26FD5">
        <w:rPr>
          <w:b/>
          <w:i/>
          <w:szCs w:val="22"/>
          <w:lang w:val="en-US"/>
        </w:rPr>
        <w:t xml:space="preserve">well </w:t>
      </w:r>
      <w:r w:rsidRPr="00A26FD5">
        <w:rPr>
          <w:b/>
          <w:i/>
          <w:szCs w:val="22"/>
          <w:lang w:val="en-US"/>
        </w:rPr>
        <w:t>established</w:t>
      </w:r>
      <w:r w:rsidRPr="00A26FD5">
        <w:rPr>
          <w:b/>
          <w:szCs w:val="22"/>
          <w:lang w:val="en-US"/>
        </w:rPr>
        <w:t xml:space="preserve">).  </w:t>
      </w:r>
      <w:r w:rsidRPr="00A26FD5">
        <w:rPr>
          <w:szCs w:val="22"/>
          <w:lang w:val="en-US"/>
        </w:rPr>
        <w:t xml:space="preserve">In most countries in the region centralized modes of governance still prevail where decision-making regarding Nature and </w:t>
      </w:r>
      <w:r w:rsidR="00A2187D" w:rsidRPr="00A26FD5">
        <w:rPr>
          <w:szCs w:val="22"/>
          <w:lang w:val="en-US"/>
        </w:rPr>
        <w:t xml:space="preserve">nature’s contributions to people </w:t>
      </w:r>
      <w:r w:rsidRPr="00A26FD5">
        <w:rPr>
          <w:szCs w:val="22"/>
          <w:lang w:val="en-US"/>
        </w:rPr>
        <w:t xml:space="preserve">in reality falls on the State. Centralized command and control measures nonetheless, such as the establishment of protected areas, continue to be a pillar of biodiversity conservation. Significant progress has been made to include other actors and new hybrid governance modes such as public-private certification schemes or payment for ecosystem services, which are in line with the rising role of markets in environmental governance. These transformations from centralized to descentralized forms, however, have led to significant socioenvironmental conflicts in the region </w:t>
      </w:r>
      <w:r w:rsidR="008C738B" w:rsidRPr="00A26FD5">
        <w:rPr>
          <w:szCs w:val="22"/>
          <w:lang w:val="en-US"/>
        </w:rPr>
        <w:t>{</w:t>
      </w:r>
      <w:r w:rsidRPr="00A26FD5">
        <w:rPr>
          <w:szCs w:val="22"/>
          <w:lang w:val="en-US"/>
        </w:rPr>
        <w:t>4.3.1</w:t>
      </w:r>
      <w:r w:rsidR="008C738B" w:rsidRPr="00A26FD5">
        <w:rPr>
          <w:szCs w:val="22"/>
          <w:lang w:val="en-US"/>
        </w:rPr>
        <w:t>}</w:t>
      </w:r>
      <w:r w:rsidRPr="00A26FD5">
        <w:rPr>
          <w:szCs w:val="22"/>
          <w:lang w:val="en-US"/>
        </w:rPr>
        <w:t xml:space="preserve">. </w:t>
      </w:r>
    </w:p>
    <w:p w14:paraId="4930634C" w14:textId="764BEEC5" w:rsidR="008C738B" w:rsidRPr="00A26FD5" w:rsidRDefault="001E61A6" w:rsidP="00B33BD5">
      <w:pPr>
        <w:pStyle w:val="BodyText"/>
        <w:numPr>
          <w:ilvl w:val="0"/>
          <w:numId w:val="26"/>
        </w:numPr>
        <w:spacing w:after="120"/>
        <w:ind w:left="425" w:hanging="425"/>
        <w:rPr>
          <w:szCs w:val="22"/>
          <w:lang w:val="en-US"/>
        </w:rPr>
      </w:pPr>
      <w:r w:rsidRPr="00A26FD5">
        <w:rPr>
          <w:b/>
          <w:szCs w:val="22"/>
          <w:lang w:val="en-US"/>
        </w:rPr>
        <w:t xml:space="preserve">Value systems in the Americas differ among cultural groups and identities across the whole region and shape governance systems, in particular the ways of addressing development policies, land tenure and indigenous rights, and strongly influence decisions on land use and natural resources exploitation in the different </w:t>
      </w:r>
      <w:r w:rsidR="007C45FD" w:rsidRPr="00A26FD5">
        <w:rPr>
          <w:b/>
          <w:szCs w:val="22"/>
          <w:lang w:val="en-US"/>
        </w:rPr>
        <w:t>sub</w:t>
      </w:r>
      <w:r w:rsidRPr="00A26FD5">
        <w:rPr>
          <w:b/>
          <w:szCs w:val="22"/>
          <w:lang w:val="en-US"/>
        </w:rPr>
        <w:t>regions (</w:t>
      </w:r>
      <w:r w:rsidR="00CD61F3" w:rsidRPr="00A26FD5">
        <w:rPr>
          <w:b/>
          <w:i/>
          <w:szCs w:val="22"/>
          <w:lang w:val="en-US"/>
        </w:rPr>
        <w:t xml:space="preserve">well </w:t>
      </w:r>
      <w:r w:rsidRPr="00A26FD5">
        <w:rPr>
          <w:b/>
          <w:i/>
          <w:szCs w:val="22"/>
          <w:lang w:val="en-US"/>
        </w:rPr>
        <w:t>established</w:t>
      </w:r>
      <w:r w:rsidRPr="00A26FD5">
        <w:rPr>
          <w:b/>
          <w:szCs w:val="22"/>
          <w:lang w:val="en-US"/>
        </w:rPr>
        <w:t>).</w:t>
      </w:r>
      <w:r w:rsidRPr="00A26FD5">
        <w:rPr>
          <w:szCs w:val="22"/>
          <w:lang w:val="en-US"/>
        </w:rPr>
        <w:t xml:space="preserve"> Indigenous and traditional peoples throughout the Americas have developed many different socio-economic systems (nationally and locally). Indi</w:t>
      </w:r>
      <w:r w:rsidR="00A2187D" w:rsidRPr="00A26FD5">
        <w:rPr>
          <w:szCs w:val="22"/>
          <w:lang w:val="en-US"/>
        </w:rPr>
        <w:t>genous and local knowledge</w:t>
      </w:r>
      <w:r w:rsidRPr="00A26FD5">
        <w:rPr>
          <w:szCs w:val="22"/>
          <w:lang w:val="en-US"/>
        </w:rPr>
        <w:t xml:space="preserve"> are expressions of social articulations that can positively influence biodiversity and ecosystem services. While cases that conservation of biodiversity and nature’s benefits to people are related to empowerment of indigenous and traditional communities are emerging in the region (for example, the role of indigenous land on deforestation control in tropical forests of South America), weak and less participatory governance systems are associated with cases of conflicts in managing land and natural resources in all of the Americas </w:t>
      </w:r>
      <w:r w:rsidR="007C45FD" w:rsidRPr="00A26FD5">
        <w:rPr>
          <w:szCs w:val="22"/>
          <w:lang w:val="en-US"/>
        </w:rPr>
        <w:t>sub</w:t>
      </w:r>
      <w:r w:rsidRPr="00A26FD5">
        <w:rPr>
          <w:szCs w:val="22"/>
          <w:lang w:val="en-US"/>
        </w:rPr>
        <w:t xml:space="preserve">regions (for example, conflicts related to infrastructure building in indigenous lands) </w:t>
      </w:r>
      <w:r w:rsidR="008C738B" w:rsidRPr="00A26FD5">
        <w:rPr>
          <w:szCs w:val="22"/>
          <w:lang w:val="en-US"/>
        </w:rPr>
        <w:t>{</w:t>
      </w:r>
      <w:r w:rsidRPr="00A26FD5">
        <w:rPr>
          <w:szCs w:val="22"/>
          <w:lang w:val="en-US"/>
        </w:rPr>
        <w:t>4.3.1, 4.3.6</w:t>
      </w:r>
      <w:r w:rsidR="008C738B" w:rsidRPr="00A26FD5">
        <w:rPr>
          <w:szCs w:val="22"/>
          <w:lang w:val="en-US"/>
        </w:rPr>
        <w:t>}</w:t>
      </w:r>
      <w:r w:rsidRPr="00A26FD5">
        <w:rPr>
          <w:szCs w:val="22"/>
          <w:lang w:val="en-US"/>
        </w:rPr>
        <w:t>.</w:t>
      </w:r>
    </w:p>
    <w:p w14:paraId="605E23D0" w14:textId="035C8266" w:rsidR="008C738B" w:rsidRPr="00A26FD5" w:rsidRDefault="001E61A6" w:rsidP="00B33BD5">
      <w:pPr>
        <w:pStyle w:val="BodyText"/>
        <w:numPr>
          <w:ilvl w:val="0"/>
          <w:numId w:val="26"/>
        </w:numPr>
        <w:spacing w:after="120"/>
        <w:ind w:left="425" w:hanging="425"/>
        <w:rPr>
          <w:szCs w:val="22"/>
          <w:lang w:val="en-US"/>
        </w:rPr>
      </w:pPr>
      <w:r w:rsidRPr="00A26FD5">
        <w:rPr>
          <w:b/>
          <w:szCs w:val="22"/>
          <w:lang w:val="en-US"/>
        </w:rPr>
        <w:t xml:space="preserve">Habitat conversion, fragmentation and overexploitation/overharvesting are resulting in a loss of biodiversity and a loss of </w:t>
      </w:r>
      <w:r w:rsidR="00A2187D" w:rsidRPr="00A26FD5">
        <w:rPr>
          <w:b/>
          <w:szCs w:val="22"/>
          <w:lang w:val="en-US"/>
        </w:rPr>
        <w:t xml:space="preserve">nature’s contributions to people </w:t>
      </w:r>
      <w:r w:rsidRPr="00A26FD5">
        <w:rPr>
          <w:b/>
          <w:szCs w:val="22"/>
          <w:lang w:val="en-US"/>
        </w:rPr>
        <w:t xml:space="preserve">in all ecosystems.  Habitat degradation due to land conversion and agricultural intensification; wetland drainage and conversion; urbanization and other new infrastructure, and resource extraction is the largest threat to fresh water, marine and terrestrial biodiversity and </w:t>
      </w:r>
      <w:r w:rsidR="00A2187D" w:rsidRPr="00A26FD5">
        <w:rPr>
          <w:b/>
          <w:szCs w:val="22"/>
          <w:lang w:val="en-US"/>
        </w:rPr>
        <w:t xml:space="preserve">nature’s contributions to people </w:t>
      </w:r>
      <w:r w:rsidRPr="00A26FD5">
        <w:rPr>
          <w:b/>
          <w:szCs w:val="22"/>
          <w:lang w:val="en-US"/>
        </w:rPr>
        <w:t>in the Americas (</w:t>
      </w:r>
      <w:r w:rsidRPr="00A26FD5">
        <w:rPr>
          <w:b/>
          <w:i/>
          <w:szCs w:val="22"/>
          <w:lang w:val="en-US"/>
        </w:rPr>
        <w:t>well</w:t>
      </w:r>
      <w:r w:rsidR="00CD61F3" w:rsidRPr="00A26FD5">
        <w:rPr>
          <w:b/>
          <w:i/>
          <w:szCs w:val="22"/>
          <w:lang w:val="en-US"/>
        </w:rPr>
        <w:t xml:space="preserve"> </w:t>
      </w:r>
      <w:r w:rsidRPr="00A26FD5">
        <w:rPr>
          <w:b/>
          <w:i/>
          <w:szCs w:val="22"/>
          <w:lang w:val="en-US"/>
        </w:rPr>
        <w:t>established</w:t>
      </w:r>
      <w:r w:rsidRPr="00A26FD5">
        <w:rPr>
          <w:b/>
          <w:szCs w:val="22"/>
          <w:lang w:val="en-US"/>
        </w:rPr>
        <w:t xml:space="preserve">). </w:t>
      </w:r>
      <w:r w:rsidRPr="00A26FD5">
        <w:rPr>
          <w:szCs w:val="22"/>
          <w:lang w:val="en-US"/>
        </w:rPr>
        <w:t>The resulting changes in terrestrial, freshwater and marine environments are interrelated and often lead to changes in biogeochemical cycles, pollution of ecosystems and eutrophication, and biological invasions, which are at the same time significant direct driver</w:t>
      </w:r>
      <w:r w:rsidR="00CD61F3" w:rsidRPr="00A26FD5">
        <w:rPr>
          <w:szCs w:val="22"/>
          <w:lang w:val="en-US"/>
        </w:rPr>
        <w:t>s of change in the region (</w:t>
      </w:r>
      <w:r w:rsidR="00CD61F3" w:rsidRPr="00A26FD5">
        <w:rPr>
          <w:i/>
          <w:szCs w:val="22"/>
          <w:lang w:val="en-US"/>
        </w:rPr>
        <w:t xml:space="preserve">well </w:t>
      </w:r>
      <w:r w:rsidRPr="00A26FD5">
        <w:rPr>
          <w:i/>
          <w:szCs w:val="22"/>
          <w:lang w:val="en-US"/>
        </w:rPr>
        <w:t>established</w:t>
      </w:r>
      <w:r w:rsidRPr="00A26FD5">
        <w:rPr>
          <w:szCs w:val="22"/>
          <w:lang w:val="en-US"/>
        </w:rPr>
        <w:t>). The expansion and intensification of agriculture and livestock production in the Americas are decreasing the area of and altering natural ecosystems (</w:t>
      </w:r>
      <w:r w:rsidR="00CD61F3" w:rsidRPr="00A26FD5">
        <w:rPr>
          <w:i/>
          <w:szCs w:val="22"/>
          <w:lang w:val="en-US"/>
        </w:rPr>
        <w:t xml:space="preserve">well </w:t>
      </w:r>
      <w:r w:rsidRPr="00A26FD5">
        <w:rPr>
          <w:i/>
          <w:szCs w:val="22"/>
          <w:lang w:val="en-US"/>
        </w:rPr>
        <w:t>established</w:t>
      </w:r>
      <w:r w:rsidRPr="00A26FD5">
        <w:rPr>
          <w:szCs w:val="22"/>
          <w:lang w:val="en-US"/>
        </w:rPr>
        <w:t xml:space="preserve">) </w:t>
      </w:r>
      <w:r w:rsidR="008C738B" w:rsidRPr="00A26FD5">
        <w:rPr>
          <w:szCs w:val="22"/>
          <w:lang w:val="en-US"/>
        </w:rPr>
        <w:t>{</w:t>
      </w:r>
      <w:r w:rsidRPr="00A26FD5">
        <w:rPr>
          <w:szCs w:val="22"/>
          <w:lang w:val="en-US"/>
        </w:rPr>
        <w:t>4.4.1</w:t>
      </w:r>
      <w:r w:rsidR="008C738B" w:rsidRPr="00A26FD5">
        <w:rPr>
          <w:szCs w:val="22"/>
          <w:lang w:val="en-US"/>
        </w:rPr>
        <w:t>}</w:t>
      </w:r>
      <w:r w:rsidRPr="00A26FD5">
        <w:rPr>
          <w:szCs w:val="22"/>
          <w:lang w:val="en-US"/>
        </w:rPr>
        <w:t>. Related changes include shifting drainage patterns (affecting infiltration and runoff), water quality degradation, soil disturbance, habitat loss, and release of chemicals that can be toxic to biota and human populations. Nitrogen and phosphorus fertilizer use have greatly contributed to increases in the amo</w:t>
      </w:r>
      <w:r w:rsidR="00A2187D" w:rsidRPr="00A26FD5">
        <w:rPr>
          <w:szCs w:val="22"/>
          <w:lang w:val="en-US"/>
        </w:rPr>
        <w:t>unt of availab</w:t>
      </w:r>
      <w:r w:rsidR="00A926B9" w:rsidRPr="00A26FD5">
        <w:rPr>
          <w:szCs w:val="22"/>
          <w:lang w:val="en-US"/>
        </w:rPr>
        <w:t>le</w:t>
      </w:r>
      <w:r w:rsidR="00A2187D" w:rsidRPr="00A26FD5">
        <w:rPr>
          <w:szCs w:val="22"/>
          <w:lang w:val="en-US"/>
        </w:rPr>
        <w:t xml:space="preserve"> nitrogen and phosphorus</w:t>
      </w:r>
      <w:r w:rsidRPr="00A26FD5">
        <w:rPr>
          <w:szCs w:val="22"/>
          <w:lang w:val="en-US"/>
        </w:rPr>
        <w:t xml:space="preserve"> in the e</w:t>
      </w:r>
      <w:r w:rsidR="008A7234" w:rsidRPr="00A26FD5">
        <w:rPr>
          <w:szCs w:val="22"/>
          <w:lang w:val="en-US"/>
        </w:rPr>
        <w:t>nvironment, doubling available nitrogen</w:t>
      </w:r>
      <w:r w:rsidRPr="00A26FD5">
        <w:rPr>
          <w:szCs w:val="22"/>
          <w:lang w:val="en-US"/>
        </w:rPr>
        <w:t xml:space="preserve">, for example, with negative consequences for ecosystem function, and air, soil and water quality </w:t>
      </w:r>
      <w:r w:rsidR="008C738B" w:rsidRPr="00A26FD5">
        <w:rPr>
          <w:szCs w:val="22"/>
          <w:lang w:val="en-US"/>
        </w:rPr>
        <w:t>{</w:t>
      </w:r>
      <w:r w:rsidRPr="00A26FD5">
        <w:rPr>
          <w:szCs w:val="22"/>
          <w:lang w:val="en-US"/>
        </w:rPr>
        <w:t>4.4.2</w:t>
      </w:r>
      <w:r w:rsidR="008C738B" w:rsidRPr="00A26FD5">
        <w:rPr>
          <w:szCs w:val="22"/>
          <w:lang w:val="en-US"/>
        </w:rPr>
        <w:t>}</w:t>
      </w:r>
      <w:r w:rsidRPr="00A26FD5">
        <w:rPr>
          <w:szCs w:val="22"/>
          <w:lang w:val="en-US"/>
        </w:rPr>
        <w:t>, including major contributions to coastal and freshwater oxygen depletion. Land-use changes, road and trail construction, waterways and domestic animals are common dispersal ro</w:t>
      </w:r>
      <w:r w:rsidR="00CD61F3" w:rsidRPr="00A26FD5">
        <w:rPr>
          <w:szCs w:val="22"/>
          <w:lang w:val="en-US"/>
        </w:rPr>
        <w:t>utes for invasive species (</w:t>
      </w:r>
      <w:r w:rsidR="00CD61F3" w:rsidRPr="00A26FD5">
        <w:rPr>
          <w:i/>
          <w:szCs w:val="22"/>
          <w:lang w:val="en-US"/>
        </w:rPr>
        <w:t xml:space="preserve">well </w:t>
      </w:r>
      <w:r w:rsidRPr="00A26FD5">
        <w:rPr>
          <w:i/>
          <w:szCs w:val="22"/>
          <w:lang w:val="en-US"/>
        </w:rPr>
        <w:t>established</w:t>
      </w:r>
      <w:r w:rsidRPr="00A26FD5">
        <w:rPr>
          <w:szCs w:val="22"/>
          <w:lang w:val="en-US"/>
        </w:rPr>
        <w:t xml:space="preserve">) </w:t>
      </w:r>
      <w:r w:rsidR="008C738B" w:rsidRPr="00A26FD5">
        <w:rPr>
          <w:szCs w:val="22"/>
          <w:lang w:val="en-US"/>
        </w:rPr>
        <w:t>{</w:t>
      </w:r>
      <w:r w:rsidRPr="00A26FD5">
        <w:rPr>
          <w:szCs w:val="22"/>
          <w:lang w:val="en-US"/>
        </w:rPr>
        <w:t>4.4.4</w:t>
      </w:r>
      <w:r w:rsidR="008C738B" w:rsidRPr="00A26FD5">
        <w:rPr>
          <w:szCs w:val="22"/>
          <w:lang w:val="en-US"/>
        </w:rPr>
        <w:t>}</w:t>
      </w:r>
      <w:r w:rsidRPr="00A26FD5">
        <w:rPr>
          <w:szCs w:val="22"/>
          <w:lang w:val="en-US"/>
        </w:rPr>
        <w:t>. Habitat conversion also decreases connectivity among, and diversity within, remaining fragme</w:t>
      </w:r>
      <w:r w:rsidR="00CD61F3" w:rsidRPr="00A26FD5">
        <w:rPr>
          <w:szCs w:val="22"/>
          <w:lang w:val="en-US"/>
        </w:rPr>
        <w:t>nts of natural ecosystems (</w:t>
      </w:r>
      <w:r w:rsidR="00CD61F3" w:rsidRPr="00A26FD5">
        <w:rPr>
          <w:i/>
          <w:szCs w:val="22"/>
          <w:lang w:val="en-US"/>
        </w:rPr>
        <w:t xml:space="preserve">well </w:t>
      </w:r>
      <w:r w:rsidRPr="00A26FD5">
        <w:rPr>
          <w:i/>
          <w:szCs w:val="22"/>
          <w:lang w:val="en-US"/>
        </w:rPr>
        <w:t>established</w:t>
      </w:r>
      <w:r w:rsidRPr="00A26FD5">
        <w:rPr>
          <w:szCs w:val="22"/>
          <w:lang w:val="en-US"/>
        </w:rPr>
        <w:t xml:space="preserve">). Wildlife, fisheries, and people, including many indigenous peoples, are exposed to residual pollution in the environment. Mining for trace metal ores and coal has left lasting legacies of toxic pollution across the region </w:t>
      </w:r>
      <w:r w:rsidR="008C738B" w:rsidRPr="00A26FD5">
        <w:rPr>
          <w:szCs w:val="22"/>
          <w:lang w:val="en-US"/>
        </w:rPr>
        <w:t>{</w:t>
      </w:r>
      <w:r w:rsidRPr="00A26FD5">
        <w:rPr>
          <w:szCs w:val="22"/>
          <w:lang w:val="en-US"/>
        </w:rPr>
        <w:t>4.4.2</w:t>
      </w:r>
      <w:r w:rsidR="008C738B" w:rsidRPr="00A26FD5">
        <w:rPr>
          <w:szCs w:val="22"/>
          <w:lang w:val="en-US"/>
        </w:rPr>
        <w:t>}</w:t>
      </w:r>
      <w:r w:rsidR="00CD61F3" w:rsidRPr="00A26FD5">
        <w:rPr>
          <w:szCs w:val="22"/>
          <w:lang w:val="en-US"/>
        </w:rPr>
        <w:t xml:space="preserve"> (</w:t>
      </w:r>
      <w:r w:rsidR="00CD61F3" w:rsidRPr="00A26FD5">
        <w:rPr>
          <w:i/>
          <w:szCs w:val="22"/>
          <w:lang w:val="en-US"/>
        </w:rPr>
        <w:t xml:space="preserve">well </w:t>
      </w:r>
      <w:r w:rsidRPr="00A26FD5">
        <w:rPr>
          <w:i/>
          <w:szCs w:val="22"/>
          <w:lang w:val="en-US"/>
        </w:rPr>
        <w:t>established</w:t>
      </w:r>
      <w:r w:rsidRPr="00A26FD5">
        <w:rPr>
          <w:szCs w:val="22"/>
          <w:lang w:val="en-US"/>
        </w:rPr>
        <w:t xml:space="preserve">). Although unsustainable management of natural resources are threatening biodiversity and degrading </w:t>
      </w:r>
      <w:r w:rsidR="00A2187D" w:rsidRPr="00A26FD5">
        <w:rPr>
          <w:szCs w:val="22"/>
          <w:lang w:val="en-US"/>
        </w:rPr>
        <w:t xml:space="preserve">nature’s contributions to people </w:t>
      </w:r>
      <w:r w:rsidRPr="00A26FD5">
        <w:rPr>
          <w:szCs w:val="22"/>
          <w:lang w:val="en-US"/>
        </w:rPr>
        <w:t xml:space="preserve">by reducing populations below natural self-sustaining levels and disrupting ecosystem functions </w:t>
      </w:r>
      <w:r w:rsidR="008C738B" w:rsidRPr="00A26FD5">
        <w:rPr>
          <w:szCs w:val="22"/>
          <w:lang w:val="en-US"/>
        </w:rPr>
        <w:t>{</w:t>
      </w:r>
      <w:r w:rsidRPr="00A26FD5">
        <w:rPr>
          <w:szCs w:val="22"/>
          <w:lang w:val="en-US"/>
        </w:rPr>
        <w:t>4.4.5</w:t>
      </w:r>
      <w:r w:rsidR="008C738B" w:rsidRPr="00A26FD5">
        <w:rPr>
          <w:szCs w:val="22"/>
          <w:lang w:val="en-US"/>
        </w:rPr>
        <w:t>}</w:t>
      </w:r>
      <w:r w:rsidRPr="00A26FD5">
        <w:rPr>
          <w:szCs w:val="22"/>
          <w:lang w:val="en-US"/>
        </w:rPr>
        <w:t xml:space="preserve">, some sustainable practices have been identified and used in terrestrial and aquatic environments. </w:t>
      </w:r>
    </w:p>
    <w:p w14:paraId="1690CE2A" w14:textId="184521A3" w:rsidR="008C738B" w:rsidRPr="00A26FD5" w:rsidRDefault="001E61A6" w:rsidP="00B33BD5">
      <w:pPr>
        <w:pStyle w:val="BodyText"/>
        <w:numPr>
          <w:ilvl w:val="0"/>
          <w:numId w:val="26"/>
        </w:numPr>
        <w:spacing w:after="120"/>
        <w:ind w:left="425" w:hanging="425"/>
        <w:rPr>
          <w:szCs w:val="22"/>
          <w:lang w:val="en-US"/>
        </w:rPr>
      </w:pPr>
      <w:r w:rsidRPr="00A26FD5">
        <w:rPr>
          <w:b/>
          <w:bCs/>
          <w:szCs w:val="22"/>
          <w:lang w:val="en-US"/>
        </w:rPr>
        <w:t xml:space="preserve">Rapid urbanization is a key driver of loss of biodiversity and </w:t>
      </w:r>
      <w:r w:rsidR="00A2187D" w:rsidRPr="00A26FD5">
        <w:rPr>
          <w:b/>
          <w:szCs w:val="22"/>
          <w:lang w:val="en-US"/>
        </w:rPr>
        <w:t>nature’s contributions to people</w:t>
      </w:r>
      <w:r w:rsidRPr="00A26FD5">
        <w:rPr>
          <w:b/>
          <w:bCs/>
          <w:szCs w:val="22"/>
          <w:lang w:val="en-US"/>
        </w:rPr>
        <w:t xml:space="preserve">, but the nature and the magnitude of impacts vary substantially among </w:t>
      </w:r>
      <w:r w:rsidR="007C45FD" w:rsidRPr="00A26FD5">
        <w:rPr>
          <w:b/>
          <w:bCs/>
          <w:szCs w:val="22"/>
          <w:lang w:val="en-US"/>
        </w:rPr>
        <w:t>sub</w:t>
      </w:r>
      <w:r w:rsidRPr="00A26FD5">
        <w:rPr>
          <w:b/>
          <w:bCs/>
          <w:szCs w:val="22"/>
          <w:lang w:val="en-US"/>
        </w:rPr>
        <w:t>regions of the Americas (</w:t>
      </w:r>
      <w:r w:rsidRPr="00A26FD5">
        <w:rPr>
          <w:b/>
          <w:bCs/>
          <w:i/>
          <w:iCs/>
          <w:szCs w:val="22"/>
          <w:lang w:val="en-US"/>
        </w:rPr>
        <w:t>established but incomplete</w:t>
      </w:r>
      <w:r w:rsidRPr="00A26FD5">
        <w:rPr>
          <w:b/>
          <w:bCs/>
          <w:szCs w:val="22"/>
          <w:lang w:val="en-US"/>
        </w:rPr>
        <w:t>).</w:t>
      </w:r>
      <w:r w:rsidRPr="00A26FD5">
        <w:rPr>
          <w:bCs/>
          <w:szCs w:val="22"/>
          <w:lang w:val="en-US"/>
        </w:rPr>
        <w:t xml:space="preserve"> The Americas region is </w:t>
      </w:r>
      <w:r w:rsidR="00A2187D" w:rsidRPr="00A26FD5">
        <w:rPr>
          <w:bCs/>
          <w:szCs w:val="22"/>
          <w:lang w:val="en-US"/>
        </w:rPr>
        <w:t>highly urbanized, with about 80 per cent</w:t>
      </w:r>
      <w:r w:rsidRPr="00A26FD5">
        <w:rPr>
          <w:bCs/>
          <w:szCs w:val="22"/>
          <w:lang w:val="en-US"/>
        </w:rPr>
        <w:t xml:space="preserve"> of the region’s population residing in urban settings </w:t>
      </w:r>
      <w:r w:rsidR="008C738B" w:rsidRPr="00A26FD5">
        <w:rPr>
          <w:bCs/>
          <w:szCs w:val="22"/>
          <w:lang w:val="en-US"/>
        </w:rPr>
        <w:t>{</w:t>
      </w:r>
      <w:r w:rsidRPr="00A26FD5">
        <w:rPr>
          <w:bCs/>
          <w:szCs w:val="22"/>
          <w:lang w:val="en-US"/>
        </w:rPr>
        <w:t>4.3.5</w:t>
      </w:r>
      <w:r w:rsidR="008C738B" w:rsidRPr="00A26FD5">
        <w:rPr>
          <w:bCs/>
          <w:szCs w:val="22"/>
          <w:lang w:val="en-US"/>
        </w:rPr>
        <w:t>}</w:t>
      </w:r>
      <w:r w:rsidRPr="00A26FD5">
        <w:rPr>
          <w:bCs/>
          <w:szCs w:val="22"/>
          <w:lang w:val="en-US"/>
        </w:rPr>
        <w:t xml:space="preserve">. Although urban population impacts depend on consumption patterns and lifestyles, which vary considerably from one </w:t>
      </w:r>
      <w:r w:rsidR="007C45FD" w:rsidRPr="00A26FD5">
        <w:rPr>
          <w:bCs/>
          <w:szCs w:val="22"/>
          <w:lang w:val="en-US"/>
        </w:rPr>
        <w:t>sub</w:t>
      </w:r>
      <w:r w:rsidRPr="00A26FD5">
        <w:rPr>
          <w:bCs/>
          <w:szCs w:val="22"/>
          <w:lang w:val="en-US"/>
        </w:rPr>
        <w:t xml:space="preserve">region to another, </w:t>
      </w:r>
      <w:r w:rsidRPr="00A26FD5">
        <w:rPr>
          <w:szCs w:val="22"/>
          <w:lang w:val="en-US"/>
        </w:rPr>
        <w:t xml:space="preserve">in all </w:t>
      </w:r>
      <w:r w:rsidR="007C45FD" w:rsidRPr="00A26FD5">
        <w:rPr>
          <w:szCs w:val="22"/>
          <w:lang w:val="en-US"/>
        </w:rPr>
        <w:t>sub</w:t>
      </w:r>
      <w:r w:rsidRPr="00A26FD5">
        <w:rPr>
          <w:szCs w:val="22"/>
          <w:lang w:val="en-US"/>
        </w:rPr>
        <w:t xml:space="preserve">regions a large number of ecosystems have been affected. </w:t>
      </w:r>
      <w:r w:rsidRPr="00A26FD5">
        <w:rPr>
          <w:bCs/>
          <w:szCs w:val="22"/>
          <w:lang w:val="en-US"/>
        </w:rPr>
        <w:t>Urbanization driven by growing populations and internal migration acts as an indirect driver of land-use change through linear infrastructures. In Lati</w:t>
      </w:r>
      <w:r w:rsidR="00A2187D" w:rsidRPr="00A26FD5">
        <w:rPr>
          <w:bCs/>
          <w:szCs w:val="22"/>
          <w:lang w:val="en-US"/>
        </w:rPr>
        <w:t>n America and the Caribbean, 12 per cent</w:t>
      </w:r>
      <w:r w:rsidRPr="00A26FD5">
        <w:rPr>
          <w:bCs/>
          <w:szCs w:val="22"/>
          <w:lang w:val="en-US"/>
        </w:rPr>
        <w:t xml:space="preserve"> of the urban popu</w:t>
      </w:r>
      <w:r w:rsidR="00A2187D" w:rsidRPr="00A26FD5">
        <w:rPr>
          <w:bCs/>
          <w:szCs w:val="22"/>
          <w:lang w:val="en-US"/>
        </w:rPr>
        <w:t>lation and 36 per cent</w:t>
      </w:r>
      <w:r w:rsidRPr="00A26FD5">
        <w:rPr>
          <w:bCs/>
          <w:szCs w:val="22"/>
          <w:lang w:val="en-US"/>
        </w:rPr>
        <w:t xml:space="preserve"> of rural population do not have access to improved san</w:t>
      </w:r>
      <w:r w:rsidR="00A2187D" w:rsidRPr="00A26FD5">
        <w:rPr>
          <w:bCs/>
          <w:szCs w:val="22"/>
          <w:lang w:val="en-US"/>
        </w:rPr>
        <w:t>itation facilities, and only 50 per cent</w:t>
      </w:r>
      <w:r w:rsidRPr="00A26FD5">
        <w:rPr>
          <w:bCs/>
          <w:szCs w:val="22"/>
          <w:lang w:val="en-US"/>
        </w:rPr>
        <w:t xml:space="preserve"> of the population in Latin America is connected to sewerage. The poor systematic waste management in Latin America and the Caribbean implies pollution of inland waters and coastal areas </w:t>
      </w:r>
      <w:r w:rsidR="008C738B" w:rsidRPr="00A26FD5">
        <w:rPr>
          <w:bCs/>
          <w:szCs w:val="22"/>
          <w:lang w:val="en-US"/>
        </w:rPr>
        <w:t>{</w:t>
      </w:r>
      <w:r w:rsidRPr="00A26FD5">
        <w:rPr>
          <w:bCs/>
          <w:szCs w:val="22"/>
          <w:lang w:val="en-US"/>
        </w:rPr>
        <w:t>4.4.2</w:t>
      </w:r>
      <w:r w:rsidR="008C738B" w:rsidRPr="00A26FD5">
        <w:rPr>
          <w:bCs/>
          <w:szCs w:val="22"/>
          <w:lang w:val="en-US"/>
        </w:rPr>
        <w:t>}</w:t>
      </w:r>
      <w:r w:rsidRPr="00A26FD5">
        <w:rPr>
          <w:bCs/>
          <w:szCs w:val="22"/>
          <w:lang w:val="en-US"/>
        </w:rPr>
        <w:t xml:space="preserve"> affecting biodiversity and human health.</w:t>
      </w:r>
    </w:p>
    <w:p w14:paraId="4C41CE70" w14:textId="307D5023" w:rsidR="008C738B" w:rsidRPr="00A26FD5" w:rsidRDefault="001E61A6" w:rsidP="00B33BD5">
      <w:pPr>
        <w:pStyle w:val="BodyText"/>
        <w:numPr>
          <w:ilvl w:val="0"/>
          <w:numId w:val="26"/>
        </w:numPr>
        <w:spacing w:after="120"/>
        <w:ind w:left="425" w:hanging="425"/>
        <w:rPr>
          <w:szCs w:val="22"/>
          <w:lang w:val="en-US"/>
        </w:rPr>
      </w:pPr>
      <w:r w:rsidRPr="00A26FD5">
        <w:rPr>
          <w:b/>
          <w:szCs w:val="22"/>
          <w:lang w:val="en-US"/>
        </w:rPr>
        <w:t>Carbon dioxide emissions from fossil fuel production cont</w:t>
      </w:r>
      <w:r w:rsidR="00A2187D" w:rsidRPr="00A26FD5">
        <w:rPr>
          <w:b/>
          <w:szCs w:val="22"/>
          <w:lang w:val="en-US"/>
        </w:rPr>
        <w:t>inue to increase, increasing 29 per cent</w:t>
      </w:r>
      <w:r w:rsidRPr="00A26FD5">
        <w:rPr>
          <w:b/>
          <w:szCs w:val="22"/>
          <w:lang w:val="en-US"/>
        </w:rPr>
        <w:t xml:space="preserve"> from 2000 to 2008. The combustion of fossil fuels is not only the primary source of anthropogenic greenhouse gases that cause human-induced climate change, but fossil fuel combustion itself is also a major source of pollution adversely impacting most terrestrial and marine ecosystems and human health </w:t>
      </w:r>
      <w:r w:rsidR="008C738B" w:rsidRPr="00A26FD5">
        <w:rPr>
          <w:b/>
          <w:szCs w:val="22"/>
          <w:lang w:val="en-US"/>
        </w:rPr>
        <w:t>{</w:t>
      </w:r>
      <w:r w:rsidRPr="00A26FD5">
        <w:rPr>
          <w:b/>
          <w:szCs w:val="22"/>
          <w:lang w:val="en-US"/>
        </w:rPr>
        <w:t>4.4.2</w:t>
      </w:r>
      <w:r w:rsidR="008C738B" w:rsidRPr="00A26FD5">
        <w:rPr>
          <w:b/>
          <w:szCs w:val="22"/>
          <w:lang w:val="en-US"/>
        </w:rPr>
        <w:t>}</w:t>
      </w:r>
      <w:r w:rsidRPr="00A26FD5">
        <w:rPr>
          <w:b/>
          <w:szCs w:val="22"/>
          <w:lang w:val="en-US"/>
        </w:rPr>
        <w:t xml:space="preserve"> (</w:t>
      </w:r>
      <w:r w:rsidR="00CD61F3" w:rsidRPr="00A26FD5">
        <w:rPr>
          <w:b/>
          <w:i/>
          <w:szCs w:val="22"/>
          <w:lang w:val="en-US"/>
        </w:rPr>
        <w:t xml:space="preserve">well </w:t>
      </w:r>
      <w:r w:rsidRPr="00A26FD5">
        <w:rPr>
          <w:b/>
          <w:i/>
          <w:szCs w:val="22"/>
          <w:lang w:val="en-US"/>
        </w:rPr>
        <w:t>established</w:t>
      </w:r>
      <w:r w:rsidRPr="00A26FD5">
        <w:rPr>
          <w:b/>
          <w:szCs w:val="22"/>
          <w:lang w:val="en-US"/>
        </w:rPr>
        <w:t>).</w:t>
      </w:r>
      <w:r w:rsidRPr="00A26FD5">
        <w:rPr>
          <w:szCs w:val="22"/>
          <w:lang w:val="en-US"/>
        </w:rPr>
        <w:t xml:space="preserve">  </w:t>
      </w:r>
      <w:r w:rsidRPr="00A26FD5">
        <w:rPr>
          <w:b/>
          <w:szCs w:val="22"/>
          <w:lang w:val="en-US"/>
        </w:rPr>
        <w:t>Air pollution (especially particulates, ozone, mercury, and carcinogens) causes significant adverse health effects on infants, adults and biodiversity (</w:t>
      </w:r>
      <w:r w:rsidR="00CD61F3" w:rsidRPr="00A26FD5">
        <w:rPr>
          <w:b/>
          <w:i/>
          <w:szCs w:val="22"/>
          <w:lang w:val="en-US"/>
        </w:rPr>
        <w:t xml:space="preserve">well </w:t>
      </w:r>
      <w:r w:rsidRPr="00A26FD5">
        <w:rPr>
          <w:b/>
          <w:i/>
          <w:szCs w:val="22"/>
          <w:lang w:val="en-US"/>
        </w:rPr>
        <w:t>established</w:t>
      </w:r>
      <w:r w:rsidRPr="00A26FD5">
        <w:rPr>
          <w:b/>
          <w:szCs w:val="22"/>
          <w:lang w:val="en-US"/>
        </w:rPr>
        <w:t xml:space="preserve">), and </w:t>
      </w:r>
      <w:r w:rsidR="00D0391D" w:rsidRPr="00A26FD5">
        <w:rPr>
          <w:b/>
          <w:szCs w:val="22"/>
          <w:lang w:val="en-US"/>
        </w:rPr>
        <w:t>carbon dioxide</w:t>
      </w:r>
      <w:r w:rsidRPr="00A26FD5">
        <w:rPr>
          <w:b/>
          <w:szCs w:val="22"/>
          <w:lang w:val="en-GB"/>
        </w:rPr>
        <w:t xml:space="preserve"> emissions cause ocean acidification</w:t>
      </w:r>
      <w:r w:rsidRPr="00A26FD5">
        <w:rPr>
          <w:b/>
          <w:szCs w:val="22"/>
          <w:lang w:val="en-US"/>
        </w:rPr>
        <w:t>.</w:t>
      </w:r>
      <w:r w:rsidRPr="00A26FD5">
        <w:rPr>
          <w:szCs w:val="22"/>
          <w:lang w:val="en-US"/>
        </w:rPr>
        <w:t xml:space="preserve">  For example, the combustion</w:t>
      </w:r>
      <w:r w:rsidR="00D0391D" w:rsidRPr="00A26FD5">
        <w:rPr>
          <w:szCs w:val="22"/>
          <w:lang w:val="en-US"/>
        </w:rPr>
        <w:t xml:space="preserve"> of fossil fuels account for 25 per cent</w:t>
      </w:r>
      <w:r w:rsidRPr="00A26FD5">
        <w:rPr>
          <w:szCs w:val="22"/>
          <w:lang w:val="en-US"/>
        </w:rPr>
        <w:t xml:space="preserve"> of the direct anthropogenic mercury emissions that are increasing the mercury burden of polar and subpolar wildlife and indigenous people with diets dominated by fish, eggs of fish-eating birds, and marine mammals, affecting wildlife reproduction and infant nervous systems.  Ocean acidification from increased atmospheric </w:t>
      </w:r>
      <w:r w:rsidR="00D0391D" w:rsidRPr="00A26FD5">
        <w:rPr>
          <w:szCs w:val="22"/>
          <w:lang w:val="en-US"/>
        </w:rPr>
        <w:t>carbon dioxide</w:t>
      </w:r>
      <w:r w:rsidRPr="00A26FD5">
        <w:rPr>
          <w:szCs w:val="22"/>
          <w:lang w:val="en-US"/>
        </w:rPr>
        <w:t xml:space="preserve"> is increasing and is already impacting major components of the Pacific Ocean food web and contributing to a Caribbean-wide flattening of coral reefs. If current trends continue, coral reef systems will be further adversely affected.  Ocean temperatures have become warmer, and together with nutrient run-off, are contributing to increasing ocean deoxygenation. Fossil fuel combustion also contributes to human-caused atmospheric nitrogen depos</w:t>
      </w:r>
      <w:r w:rsidR="00D0391D" w:rsidRPr="00A26FD5">
        <w:rPr>
          <w:szCs w:val="22"/>
          <w:lang w:val="en-US"/>
        </w:rPr>
        <w:t>ition, being responsible for 16 per cent</w:t>
      </w:r>
      <w:r w:rsidRPr="00A26FD5">
        <w:rPr>
          <w:szCs w:val="22"/>
          <w:lang w:val="en-US"/>
        </w:rPr>
        <w:t xml:space="preserve"> of anthropogenic creations of reactive nitrogen, which shifts the species composition of ecosystems and makes groundwater toxic. Fossil fuel related  nitrogen emissions have declined in North America. </w:t>
      </w:r>
    </w:p>
    <w:p w14:paraId="13998CD6" w14:textId="77777777" w:rsidR="008C738B" w:rsidRPr="00A26FD5" w:rsidRDefault="001E61A6" w:rsidP="00B33BD5">
      <w:pPr>
        <w:pStyle w:val="BodyText"/>
        <w:numPr>
          <w:ilvl w:val="0"/>
          <w:numId w:val="26"/>
        </w:numPr>
        <w:spacing w:after="120"/>
        <w:ind w:left="425" w:hanging="425"/>
        <w:rPr>
          <w:szCs w:val="22"/>
          <w:lang w:val="en-US"/>
        </w:rPr>
      </w:pPr>
      <w:r w:rsidRPr="00A26FD5">
        <w:rPr>
          <w:b/>
          <w:bCs/>
          <w:szCs w:val="22"/>
          <w:lang w:val="en-US"/>
        </w:rPr>
        <w:t>Marine plastic pollution is increasing, and it is expected to exacerbate stresses on the marine food web from warming temperatures, acidification and overexploitation (</w:t>
      </w:r>
      <w:r w:rsidRPr="00A26FD5">
        <w:rPr>
          <w:b/>
          <w:bCs/>
          <w:i/>
          <w:szCs w:val="22"/>
          <w:lang w:val="en-US"/>
        </w:rPr>
        <w:t>establisehd but incomplete</w:t>
      </w:r>
      <w:r w:rsidRPr="00A26FD5">
        <w:rPr>
          <w:b/>
          <w:bCs/>
          <w:szCs w:val="22"/>
          <w:lang w:val="en-US"/>
        </w:rPr>
        <w:t>).</w:t>
      </w:r>
      <w:r w:rsidRPr="00A26FD5">
        <w:rPr>
          <w:i/>
          <w:iCs/>
          <w:szCs w:val="22"/>
          <w:lang w:val="en-US"/>
        </w:rPr>
        <w:t> </w:t>
      </w:r>
      <w:r w:rsidRPr="00A26FD5">
        <w:rPr>
          <w:szCs w:val="22"/>
          <w:lang w:val="en-US"/>
        </w:rPr>
        <w:t xml:space="preserve"> In 2010, globally and from land-based sources alone, five to 13 million metric tons of plastic pollution entered the ocean. Two countries of the Americas are among the 20 top polluters. The environmental implications of microplastics at sea are still largely unknown, however the number of marine species known to be affected by this contaminant has gone from 247 to 680 </w:t>
      </w:r>
      <w:r w:rsidR="008C738B" w:rsidRPr="00A26FD5">
        <w:rPr>
          <w:szCs w:val="22"/>
          <w:lang w:val="en-US"/>
        </w:rPr>
        <w:t>{</w:t>
      </w:r>
      <w:r w:rsidRPr="00A26FD5">
        <w:rPr>
          <w:szCs w:val="22"/>
          <w:lang w:val="en-US"/>
        </w:rPr>
        <w:t>4.4.2</w:t>
      </w:r>
      <w:r w:rsidR="008C738B" w:rsidRPr="00A26FD5">
        <w:rPr>
          <w:szCs w:val="22"/>
          <w:lang w:val="en-US"/>
        </w:rPr>
        <w:t>}</w:t>
      </w:r>
      <w:r w:rsidRPr="00A26FD5">
        <w:rPr>
          <w:szCs w:val="22"/>
          <w:lang w:val="en-US"/>
        </w:rPr>
        <w:t xml:space="preserve">. New evidence indicates microplastics have a complex effect on marine life and are is transferred up the food chain to people. Impacts on marine wildlife include entanglement, ingestion, death and contamination to a wide variety of species. </w:t>
      </w:r>
    </w:p>
    <w:p w14:paraId="04BCA1AC" w14:textId="77777777" w:rsidR="008C738B" w:rsidRPr="00A26FD5" w:rsidRDefault="001E61A6" w:rsidP="00B33BD5">
      <w:pPr>
        <w:pStyle w:val="BodyText"/>
        <w:numPr>
          <w:ilvl w:val="0"/>
          <w:numId w:val="26"/>
        </w:numPr>
        <w:spacing w:after="120"/>
        <w:ind w:left="425" w:hanging="425"/>
        <w:rPr>
          <w:szCs w:val="22"/>
          <w:lang w:val="en-US"/>
        </w:rPr>
      </w:pPr>
      <w:r w:rsidRPr="00A26FD5">
        <w:rPr>
          <w:b/>
          <w:bCs/>
          <w:szCs w:val="22"/>
          <w:lang w:val="en-US"/>
        </w:rPr>
        <w:t>Human induced climate change caused by the emissions of greenhouse gases is becoming an increasingly more important direct driver, amplifying the impacts of other drivers (i.e. habitat degradation, pollution, invasive species and overexploitation) through changes in temperature, precipitation and frequency of extreme events and other variables (</w:t>
      </w:r>
      <w:r w:rsidRPr="00A26FD5">
        <w:rPr>
          <w:b/>
          <w:bCs/>
          <w:i/>
          <w:szCs w:val="22"/>
          <w:lang w:val="en-US"/>
        </w:rPr>
        <w:t>well- established</w:t>
      </w:r>
      <w:r w:rsidRPr="00A26FD5">
        <w:rPr>
          <w:b/>
          <w:bCs/>
          <w:szCs w:val="22"/>
          <w:lang w:val="en-US"/>
        </w:rPr>
        <w:t xml:space="preserve">). </w:t>
      </w:r>
      <w:r w:rsidRPr="00A26FD5">
        <w:rPr>
          <w:bCs/>
          <w:szCs w:val="22"/>
          <w:lang w:val="en-US"/>
        </w:rPr>
        <w:t xml:space="preserve"> Climate change has, and will continue to, adversely affect biodiversity at the genetic, species and ecosystem level.  </w:t>
      </w:r>
      <w:r w:rsidRPr="00A26FD5">
        <w:rPr>
          <w:szCs w:val="22"/>
          <w:lang w:val="en-US"/>
        </w:rPr>
        <w:t>The majority of ecosystems in the Americas have already experienced increased mean and extreme temperatures and/or precipitation which have, for example, caused changes in species distributions and ecosystem boundaries, and caused mountain glaciers to retreat.  However, the interaction between these direct impacts and other direct and indirect drivers are increasing vulnerability of sensitive ecosystems through the interaction of warming temperatures and pollution, as in the example of coral reefs in the Caribbean.  The main impacts on terrestrial, freshwater and marine species are the shift in their geographic ranges, and changes in seasonal activities, migration patterns and abundances. Species affected by other drivers are less resilient to climate change and therefore have a high extinction risk.</w:t>
      </w:r>
    </w:p>
    <w:p w14:paraId="5392F23D" w14:textId="77777777" w:rsidR="008C738B" w:rsidRPr="00A26FD5" w:rsidRDefault="001E61A6" w:rsidP="00B33BD5">
      <w:pPr>
        <w:pStyle w:val="BodyText"/>
        <w:numPr>
          <w:ilvl w:val="0"/>
          <w:numId w:val="26"/>
        </w:numPr>
        <w:spacing w:after="120"/>
        <w:ind w:left="425" w:hanging="425"/>
        <w:rPr>
          <w:szCs w:val="22"/>
          <w:lang w:val="en-US"/>
        </w:rPr>
      </w:pPr>
      <w:r w:rsidRPr="00A26FD5">
        <w:rPr>
          <w:b/>
          <w:szCs w:val="22"/>
          <w:lang w:val="en-US"/>
        </w:rPr>
        <w:t>Although most ecosystems in the America’s continue to be degraded, increases in conservation (e.g. protected areas), and in ecological restoration, are having positive effects. Ecological restoration significantly speeds up ecosystem recovery in some cases (</w:t>
      </w:r>
      <w:r w:rsidRPr="00A26FD5">
        <w:rPr>
          <w:b/>
          <w:i/>
          <w:szCs w:val="22"/>
          <w:lang w:val="en-US"/>
        </w:rPr>
        <w:t>well established</w:t>
      </w:r>
      <w:r w:rsidRPr="00A26FD5">
        <w:rPr>
          <w:b/>
          <w:szCs w:val="22"/>
          <w:lang w:val="en-US"/>
        </w:rPr>
        <w:t>), but costs can be significant, and full reversal of the adverse impacts of humans on nature is unlikely to be achievable (</w:t>
      </w:r>
      <w:r w:rsidRPr="00A26FD5">
        <w:rPr>
          <w:b/>
          <w:i/>
          <w:szCs w:val="22"/>
          <w:lang w:val="en-US"/>
        </w:rPr>
        <w:t>well established</w:t>
      </w:r>
      <w:r w:rsidRPr="00A26FD5">
        <w:rPr>
          <w:b/>
          <w:szCs w:val="22"/>
          <w:lang w:val="en-US"/>
        </w:rPr>
        <w:t>).</w:t>
      </w:r>
      <w:r w:rsidRPr="00A26FD5">
        <w:rPr>
          <w:szCs w:val="22"/>
          <w:lang w:val="en-US"/>
        </w:rPr>
        <w:t xml:space="preserve"> Evidence from different </w:t>
      </w:r>
      <w:r w:rsidR="007C45FD" w:rsidRPr="00A26FD5">
        <w:rPr>
          <w:szCs w:val="22"/>
          <w:lang w:val="en-US"/>
        </w:rPr>
        <w:t>sub</w:t>
      </w:r>
      <w:r w:rsidRPr="00A26FD5">
        <w:rPr>
          <w:szCs w:val="22"/>
          <w:lang w:val="en-US"/>
        </w:rPr>
        <w:t xml:space="preserve">regions indicates that structure and functionality of ecosystems recover faster than species richness (particularly in species-rich biomes).  Non-material contributions of naature to people may not be restored for some people </w:t>
      </w:r>
      <w:r w:rsidR="008C738B" w:rsidRPr="00A26FD5">
        <w:rPr>
          <w:szCs w:val="22"/>
          <w:lang w:val="en-US"/>
        </w:rPr>
        <w:t>{</w:t>
      </w:r>
      <w:r w:rsidRPr="00A26FD5">
        <w:rPr>
          <w:szCs w:val="22"/>
          <w:lang w:val="en-US"/>
        </w:rPr>
        <w:t>4.4.1</w:t>
      </w:r>
      <w:r w:rsidR="008C738B" w:rsidRPr="00A26FD5">
        <w:rPr>
          <w:szCs w:val="22"/>
          <w:lang w:val="en-US"/>
        </w:rPr>
        <w:t>}</w:t>
      </w:r>
      <w:r w:rsidRPr="00A26FD5">
        <w:rPr>
          <w:szCs w:val="22"/>
          <w:lang w:val="en-US"/>
        </w:rPr>
        <w:t>.</w:t>
      </w:r>
    </w:p>
    <w:p w14:paraId="4763F530" w14:textId="59F5661D" w:rsidR="00CD61F3" w:rsidRPr="00A26FD5" w:rsidRDefault="001E61A6" w:rsidP="00B33BD5">
      <w:pPr>
        <w:pStyle w:val="BodyText"/>
        <w:numPr>
          <w:ilvl w:val="0"/>
          <w:numId w:val="26"/>
        </w:numPr>
        <w:spacing w:after="120"/>
        <w:ind w:left="425" w:hanging="425"/>
        <w:rPr>
          <w:szCs w:val="22"/>
          <w:lang w:val="en-US"/>
        </w:rPr>
      </w:pPr>
      <w:r w:rsidRPr="00A26FD5">
        <w:rPr>
          <w:b/>
          <w:szCs w:val="22"/>
          <w:lang w:val="en-US"/>
        </w:rPr>
        <w:t>In spite of the pre</w:t>
      </w:r>
      <w:r w:rsidR="00D0391D" w:rsidRPr="00A26FD5">
        <w:rPr>
          <w:b/>
          <w:szCs w:val="22"/>
          <w:lang w:val="en-US"/>
        </w:rPr>
        <w:t>ssures of drivers of change on n</w:t>
      </w:r>
      <w:r w:rsidRPr="00A26FD5">
        <w:rPr>
          <w:b/>
          <w:szCs w:val="22"/>
          <w:lang w:val="en-US"/>
        </w:rPr>
        <w:t xml:space="preserve">ature and </w:t>
      </w:r>
      <w:r w:rsidR="00D0391D" w:rsidRPr="00A26FD5">
        <w:rPr>
          <w:b/>
          <w:szCs w:val="22"/>
          <w:lang w:val="en-US"/>
        </w:rPr>
        <w:t>nature’s contributions to people</w:t>
      </w:r>
      <w:r w:rsidRPr="00A26FD5">
        <w:rPr>
          <w:b/>
          <w:szCs w:val="22"/>
          <w:lang w:val="en-US"/>
        </w:rPr>
        <w:t xml:space="preserve">, there are management and policy options that can affect the drivers of change in order to mitigate, and most importantly, to avoid, impacts on different ecosystems </w:t>
      </w:r>
      <w:r w:rsidRPr="00A26FD5">
        <w:rPr>
          <w:b/>
          <w:bCs/>
          <w:szCs w:val="22"/>
          <w:lang w:val="en-US"/>
        </w:rPr>
        <w:t>(</w:t>
      </w:r>
      <w:r w:rsidRPr="00A26FD5">
        <w:rPr>
          <w:b/>
          <w:bCs/>
          <w:i/>
          <w:szCs w:val="22"/>
          <w:lang w:val="en-US"/>
        </w:rPr>
        <w:t>establisehd but incomplete</w:t>
      </w:r>
      <w:r w:rsidRPr="00A26FD5">
        <w:rPr>
          <w:b/>
          <w:bCs/>
          <w:szCs w:val="22"/>
          <w:lang w:val="en-US"/>
        </w:rPr>
        <w:t>)</w:t>
      </w:r>
      <w:r w:rsidRPr="00A26FD5">
        <w:rPr>
          <w:szCs w:val="22"/>
          <w:lang w:val="en-US"/>
        </w:rPr>
        <w:t>. However, given the current status and trends of drivers, meeting the Aichi targets and Sust</w:t>
      </w:r>
      <w:r w:rsidR="00D0391D" w:rsidRPr="00A26FD5">
        <w:rPr>
          <w:szCs w:val="22"/>
          <w:lang w:val="en-US"/>
        </w:rPr>
        <w:t xml:space="preserve">ainable Development Goals </w:t>
      </w:r>
      <w:r w:rsidRPr="00A26FD5">
        <w:rPr>
          <w:szCs w:val="22"/>
          <w:lang w:val="en-US"/>
        </w:rPr>
        <w:t>will require stronger and more effective efforts on the parts of the countries across the region.</w:t>
      </w:r>
      <w:r w:rsidRPr="00A26FD5" w:rsidDel="0079453C">
        <w:rPr>
          <w:szCs w:val="22"/>
          <w:lang w:val="en-US"/>
        </w:rPr>
        <w:t xml:space="preserve"> </w:t>
      </w:r>
      <w:r w:rsidRPr="00A26FD5">
        <w:rPr>
          <w:szCs w:val="22"/>
          <w:lang w:val="en-US"/>
        </w:rPr>
        <w:t xml:space="preserve">These options and their implementation are context dependent and strongly influenced by values, governance and institutions </w:t>
      </w:r>
      <w:r w:rsidR="008C738B" w:rsidRPr="00A26FD5">
        <w:rPr>
          <w:szCs w:val="22"/>
          <w:lang w:val="en-US"/>
        </w:rPr>
        <w:t>{</w:t>
      </w:r>
      <w:r w:rsidRPr="00A26FD5">
        <w:rPr>
          <w:szCs w:val="22"/>
          <w:lang w:val="en-US"/>
        </w:rPr>
        <w:t>4.7</w:t>
      </w:r>
      <w:r w:rsidR="008C738B" w:rsidRPr="00A26FD5">
        <w:rPr>
          <w:szCs w:val="22"/>
          <w:lang w:val="en-US"/>
        </w:rPr>
        <w:t>}</w:t>
      </w:r>
      <w:r w:rsidRPr="00A26FD5">
        <w:rPr>
          <w:szCs w:val="22"/>
          <w:lang w:val="en-US"/>
        </w:rPr>
        <w:t>. Such conditions vary substantially across the Americas in relation to social and economic inequity.</w:t>
      </w:r>
    </w:p>
    <w:p w14:paraId="60C202E9" w14:textId="77777777" w:rsidR="00CD61F3" w:rsidRPr="008608AA" w:rsidRDefault="00CD61F3">
      <w:pPr>
        <w:rPr>
          <w:rFonts w:ascii="Liberation Serif" w:eastAsia="Droid Sans Fallback" w:hAnsi="Liberation Serif" w:cs="FreeSans"/>
          <w:kern w:val="1"/>
          <w:lang w:eastAsia="zh-CN" w:bidi="hi-IN"/>
        </w:rPr>
      </w:pPr>
      <w:r w:rsidRPr="008608AA">
        <w:br w:type="page"/>
      </w:r>
    </w:p>
    <w:p w14:paraId="44D7E749" w14:textId="0931224A" w:rsidR="001E61A6" w:rsidRPr="008608AA" w:rsidRDefault="001E61A6" w:rsidP="006F7DC0">
      <w:pPr>
        <w:pStyle w:val="Heading2"/>
      </w:pPr>
      <w:bookmarkStart w:id="1287" w:name="_Toc350507790"/>
      <w:bookmarkStart w:id="1288" w:name="_Toc477160193"/>
      <w:bookmarkStart w:id="1289" w:name="_Toc357244073"/>
      <w:bookmarkStart w:id="1290" w:name="_Toc357981985"/>
      <w:bookmarkStart w:id="1291" w:name="_Toc357985203"/>
      <w:bookmarkStart w:id="1292" w:name="_Toc499459664"/>
      <w:bookmarkStart w:id="1293" w:name="_Toc503293129"/>
      <w:bookmarkStart w:id="1294" w:name="_Toc503293727"/>
      <w:bookmarkStart w:id="1295" w:name="_Toc503293989"/>
      <w:bookmarkStart w:id="1296" w:name="_Toc503863382"/>
      <w:bookmarkStart w:id="1297" w:name="_Toc503863610"/>
      <w:bookmarkStart w:id="1298" w:name="_Toc517393331"/>
      <w:bookmarkStart w:id="1299" w:name="_Toc517394388"/>
      <w:bookmarkStart w:id="1300" w:name="_Toc517719072"/>
      <w:bookmarkStart w:id="1301" w:name="_Toc517797029"/>
      <w:bookmarkStart w:id="1302" w:name="_Toc330470812"/>
      <w:r w:rsidRPr="008608AA">
        <w:t>Introduction</w:t>
      </w:r>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p>
    <w:p w14:paraId="29D0C7A5" w14:textId="77777777" w:rsidR="001E61A6" w:rsidRPr="00A26FD5" w:rsidRDefault="001E61A6" w:rsidP="00CD61F3">
      <w:pPr>
        <w:pStyle w:val="BodyText"/>
        <w:spacing w:after="120"/>
        <w:rPr>
          <w:rFonts w:cs="Times New Roman"/>
          <w:szCs w:val="22"/>
          <w:lang w:val="en-US"/>
        </w:rPr>
      </w:pPr>
      <w:r w:rsidRPr="00A26FD5">
        <w:rPr>
          <w:rFonts w:cs="Times New Roman"/>
          <w:szCs w:val="22"/>
          <w:lang w:val="en-US"/>
        </w:rPr>
        <w:t xml:space="preserve">The Americas encompass seven magadiverse countries (one in North America, one in Mesoamerica and five in South America) of the 17 in the world (see Chapter 1 for more details). However, the degradation of critical ecosystems and loss of biodiversity in the region threaten human well-being by impacting important ecosystem functions and services, like clean air and water, flood and climate control, and soil regeneration, as well as food, medicines and raw materials (see Chapter 2 for more details). </w:t>
      </w:r>
    </w:p>
    <w:p w14:paraId="4987BC8A" w14:textId="5C7BF004" w:rsidR="001E61A6" w:rsidRPr="00A26FD5" w:rsidRDefault="001E61A6" w:rsidP="00CD61F3">
      <w:pPr>
        <w:pStyle w:val="BodyText"/>
        <w:spacing w:after="120"/>
        <w:rPr>
          <w:rFonts w:cs="Times New Roman"/>
          <w:szCs w:val="22"/>
          <w:lang w:val="en-US"/>
        </w:rPr>
      </w:pPr>
      <w:r w:rsidRPr="00A26FD5">
        <w:rPr>
          <w:rFonts w:cs="Times New Roman"/>
          <w:szCs w:val="22"/>
          <w:lang w:val="en-US"/>
        </w:rPr>
        <w:t>As a function of the pressure on natural ecosystems, the Americas contain 10 of the 36 world biodiversity hotspots, i.e. areas with high biodiversity facing extreme threats and that have lost at least 70 percent of their original habitat</w:t>
      </w:r>
      <w:r w:rsidR="005B1EFA" w:rsidRPr="00A26FD5">
        <w:rPr>
          <w:rFonts w:cs="Times New Roman"/>
          <w:szCs w:val="22"/>
          <w:lang w:val="en-US"/>
        </w:rPr>
        <w:t>: 1. California f</w:t>
      </w:r>
      <w:r w:rsidRPr="00A26FD5">
        <w:rPr>
          <w:rFonts w:cs="Times New Roman"/>
          <w:szCs w:val="22"/>
          <w:lang w:val="en-US"/>
        </w:rPr>
        <w:t xml:space="preserve">loristic </w:t>
      </w:r>
      <w:r w:rsidR="005B1EFA" w:rsidRPr="00A26FD5">
        <w:rPr>
          <w:rFonts w:cs="Times New Roman"/>
          <w:szCs w:val="22"/>
          <w:lang w:val="en-US"/>
        </w:rPr>
        <w:t>p</w:t>
      </w:r>
      <w:r w:rsidRPr="00A26FD5">
        <w:rPr>
          <w:rFonts w:cs="Times New Roman"/>
          <w:szCs w:val="22"/>
          <w:lang w:val="en-US"/>
        </w:rPr>
        <w:t>ro</w:t>
      </w:r>
      <w:r w:rsidR="005B1EFA" w:rsidRPr="00A26FD5">
        <w:rPr>
          <w:rFonts w:cs="Times New Roman"/>
          <w:szCs w:val="22"/>
          <w:lang w:val="en-US"/>
        </w:rPr>
        <w:t>vince (</w:t>
      </w:r>
      <w:r w:rsidR="0060177B" w:rsidRPr="00A26FD5">
        <w:rPr>
          <w:rFonts w:cs="Times New Roman"/>
          <w:szCs w:val="22"/>
          <w:lang w:val="en-US"/>
        </w:rPr>
        <w:t>USA)</w:t>
      </w:r>
      <w:r w:rsidR="005B1EFA" w:rsidRPr="00A26FD5">
        <w:rPr>
          <w:rFonts w:cs="Times New Roman"/>
          <w:szCs w:val="22"/>
          <w:lang w:val="en-US"/>
        </w:rPr>
        <w:t>, 2. North American coastal p</w:t>
      </w:r>
      <w:r w:rsidRPr="00A26FD5">
        <w:rPr>
          <w:rFonts w:cs="Times New Roman"/>
          <w:szCs w:val="22"/>
          <w:lang w:val="en-US"/>
        </w:rPr>
        <w:t>lain (USA)</w:t>
      </w:r>
      <w:r w:rsidR="005B1EFA" w:rsidRPr="00A26FD5">
        <w:rPr>
          <w:rFonts w:cs="Times New Roman"/>
          <w:szCs w:val="22"/>
          <w:lang w:val="en-US"/>
        </w:rPr>
        <w:t>, 3. m</w:t>
      </w:r>
      <w:r w:rsidRPr="00A26FD5">
        <w:rPr>
          <w:rFonts w:cs="Times New Roman"/>
          <w:szCs w:val="22"/>
          <w:lang w:val="en-US"/>
        </w:rPr>
        <w:t>adrean pine-oak woodlands (USA and Mexico)</w:t>
      </w:r>
      <w:r w:rsidR="005B1EFA" w:rsidRPr="00A26FD5">
        <w:rPr>
          <w:rFonts w:cs="Times New Roman"/>
          <w:szCs w:val="22"/>
          <w:lang w:val="en-US"/>
        </w:rPr>
        <w:t>, 4. Mesoamerica, 5. Caribbean islands, 6. Atlantic f</w:t>
      </w:r>
      <w:r w:rsidRPr="00A26FD5">
        <w:rPr>
          <w:rFonts w:cs="Times New Roman"/>
          <w:szCs w:val="22"/>
          <w:lang w:val="en-US"/>
        </w:rPr>
        <w:t>orest (Brazil), 7. Cerrado (Brazil), 8. Chilean winter rainfall-Valdivian forests (Chile), 9.</w:t>
      </w:r>
      <w:r w:rsidR="00F76B15" w:rsidRPr="00A26FD5">
        <w:rPr>
          <w:rFonts w:cs="Times New Roman"/>
          <w:szCs w:val="22"/>
          <w:lang w:val="en-US"/>
        </w:rPr>
        <w:t xml:space="preserve"> </w:t>
      </w:r>
      <w:r w:rsidRPr="00A26FD5">
        <w:rPr>
          <w:rFonts w:cs="Times New Roman"/>
          <w:szCs w:val="22"/>
          <w:lang w:val="en-US"/>
        </w:rPr>
        <w:t>Tumbes-Chocó-Ma</w:t>
      </w:r>
      <w:r w:rsidR="005B1EFA" w:rsidRPr="00A26FD5">
        <w:rPr>
          <w:rFonts w:cs="Times New Roman"/>
          <w:szCs w:val="22"/>
          <w:lang w:val="en-US"/>
        </w:rPr>
        <w:t>g</w:t>
      </w:r>
      <w:r w:rsidRPr="00A26FD5">
        <w:rPr>
          <w:rFonts w:cs="Times New Roman"/>
          <w:szCs w:val="22"/>
          <w:lang w:val="en-US"/>
        </w:rPr>
        <w:t xml:space="preserve">dalena (Colombia) and 10. Tropical Andes (Marchese, 2015, http://www.cepf.net/resources/hotspots/). </w:t>
      </w:r>
    </w:p>
    <w:p w14:paraId="7758CB6D" w14:textId="35A157BB" w:rsidR="001E61A6" w:rsidRPr="00A26FD5" w:rsidRDefault="001E61A6" w:rsidP="00CD61F3">
      <w:pPr>
        <w:pStyle w:val="BodyText"/>
        <w:spacing w:after="120"/>
        <w:rPr>
          <w:rFonts w:cs="Times New Roman"/>
          <w:szCs w:val="22"/>
          <w:lang w:val="en-US"/>
        </w:rPr>
      </w:pPr>
      <w:r w:rsidRPr="00A26FD5">
        <w:rPr>
          <w:rFonts w:cs="Times New Roman"/>
          <w:szCs w:val="22"/>
          <w:lang w:val="en-US"/>
        </w:rPr>
        <w:t>Environmental problems are also wide-ranging and vary between and within nations. Negative environmental trends are observed throughout the region, which are to a large extent the result of long historical patterns of growth induced by non-sustainable consumption. A significant feature of these environmental problems is that they are often shared among countries, including climate change and disaster risk management, sustainable management of land and ecosystems, water resources management, sustainable energy management, good governance for inclusive and sustainable development, such that regional cooperation is needed to tackle them (UNEP</w:t>
      </w:r>
      <w:r w:rsidR="00B45DB6" w:rsidRPr="00A26FD5">
        <w:rPr>
          <w:rFonts w:cs="Times New Roman"/>
          <w:szCs w:val="22"/>
          <w:lang w:val="en-US"/>
        </w:rPr>
        <w:t>,</w:t>
      </w:r>
      <w:r w:rsidRPr="00A26FD5">
        <w:rPr>
          <w:rFonts w:cs="Times New Roman"/>
          <w:szCs w:val="22"/>
          <w:lang w:val="en-US"/>
        </w:rPr>
        <w:t xml:space="preserve"> 2016). </w:t>
      </w:r>
    </w:p>
    <w:p w14:paraId="248117E0" w14:textId="776F6B15" w:rsidR="001E61A6" w:rsidRPr="00A26FD5" w:rsidRDefault="001E61A6" w:rsidP="00CD61F3">
      <w:pPr>
        <w:pStyle w:val="BodyText"/>
        <w:spacing w:after="120"/>
        <w:rPr>
          <w:rFonts w:cs="Times New Roman"/>
          <w:szCs w:val="22"/>
          <w:lang w:val="en-US"/>
        </w:rPr>
      </w:pPr>
      <w:r w:rsidRPr="00A26FD5">
        <w:rPr>
          <w:rFonts w:cs="Times New Roman"/>
          <w:szCs w:val="22"/>
          <w:lang w:val="en-US"/>
        </w:rPr>
        <w:t>Social and economic inequality and weak environmental governance are common features in the Americas that are intricately linked with a deteriorating environment. Environmental and climate change issues are gaining weight regionally, but unsustainable development models still predominate, with significant consequences for the environment and human well-being. Lack of security and equity in accessing basic resources (like land ownership or user rights, access to the natural commons and fundamental ecosystem services) do not provide incentives for sustainable mana</w:t>
      </w:r>
      <w:r w:rsidR="00F76B15" w:rsidRPr="00A26FD5">
        <w:rPr>
          <w:rFonts w:cs="Times New Roman"/>
          <w:szCs w:val="22"/>
          <w:lang w:val="en-US"/>
        </w:rPr>
        <w:t xml:space="preserve">gement or increased efficiency. </w:t>
      </w:r>
      <w:r w:rsidRPr="00A26FD5">
        <w:rPr>
          <w:rFonts w:cs="Times New Roman"/>
          <w:szCs w:val="22"/>
          <w:lang w:val="en-US"/>
        </w:rPr>
        <w:t>However, sustainable use might provide an opportunity to improve welfare for the people (UNEP</w:t>
      </w:r>
      <w:r w:rsidR="00B45DB6" w:rsidRPr="00A26FD5">
        <w:rPr>
          <w:rFonts w:cs="Times New Roman"/>
          <w:szCs w:val="22"/>
          <w:lang w:val="en-US"/>
        </w:rPr>
        <w:t>,</w:t>
      </w:r>
      <w:r w:rsidRPr="00A26FD5">
        <w:rPr>
          <w:rFonts w:cs="Times New Roman"/>
          <w:szCs w:val="22"/>
          <w:lang w:val="en-US"/>
        </w:rPr>
        <w:t xml:space="preserve"> 2016)</w:t>
      </w:r>
    </w:p>
    <w:p w14:paraId="077DA8D9" w14:textId="77777777" w:rsidR="001E61A6" w:rsidRPr="00A26FD5" w:rsidRDefault="001E61A6" w:rsidP="00CD61F3">
      <w:pPr>
        <w:pStyle w:val="BodyText"/>
        <w:spacing w:after="120"/>
        <w:rPr>
          <w:rFonts w:cs="Times New Roman"/>
          <w:szCs w:val="22"/>
          <w:lang w:val="en-US"/>
        </w:rPr>
      </w:pPr>
      <w:r w:rsidRPr="00A26FD5">
        <w:rPr>
          <w:rFonts w:cs="Times New Roman"/>
          <w:szCs w:val="22"/>
          <w:lang w:val="en-US"/>
        </w:rPr>
        <w:t xml:space="preserve">Given the importance of the Americas’ biodiversity and ecosystem services for human well-being (see Chapters 2 and 3 for more details), this chapter explores key drivers of changes in biodiversity and ecosystem services in the region. These include indirect and direct anthropogenic drivers as well as direct natural drivers. </w:t>
      </w:r>
    </w:p>
    <w:p w14:paraId="7AC33058" w14:textId="7EFDFA56" w:rsidR="001E61A6" w:rsidRPr="00A26FD5" w:rsidRDefault="001E61A6" w:rsidP="00CD61F3">
      <w:pPr>
        <w:pStyle w:val="BodyText"/>
        <w:spacing w:after="120"/>
        <w:rPr>
          <w:rFonts w:cs="Times New Roman"/>
          <w:szCs w:val="22"/>
          <w:lang w:val="en-US"/>
        </w:rPr>
      </w:pPr>
      <w:r w:rsidRPr="00A26FD5">
        <w:rPr>
          <w:rFonts w:cs="Times New Roman"/>
          <w:szCs w:val="22"/>
          <w:lang w:val="en-US"/>
        </w:rPr>
        <w:t xml:space="preserve">A range of drivers, including environmental change and human uses of resources, induce changes in biodiversity and ecosystems. A driver is any natural or human-induced factor that directly or indirectly causes a change. A direct driver unequivocally influences ecosystem processes. An indirect driver operates more diffusely, by altering one or more direct </w:t>
      </w:r>
      <w:r w:rsidR="00322B94" w:rsidRPr="00A26FD5">
        <w:rPr>
          <w:rFonts w:cs="Times New Roman"/>
          <w:szCs w:val="22"/>
          <w:lang w:val="en-US"/>
        </w:rPr>
        <w:t xml:space="preserve">drivers. </w:t>
      </w:r>
      <w:r w:rsidR="00A65555" w:rsidRPr="00A26FD5">
        <w:rPr>
          <w:rFonts w:cs="Times New Roman"/>
          <w:szCs w:val="22"/>
          <w:lang w:val="en-US"/>
        </w:rPr>
        <w:t>Box 4.1</w:t>
      </w:r>
      <w:r w:rsidRPr="00A26FD5">
        <w:rPr>
          <w:rFonts w:cs="Times New Roman"/>
          <w:b/>
          <w:szCs w:val="22"/>
          <w:lang w:val="en-US"/>
        </w:rPr>
        <w:t xml:space="preserve"> </w:t>
      </w:r>
      <w:r w:rsidRPr="00A26FD5">
        <w:rPr>
          <w:rFonts w:cs="Times New Roman"/>
          <w:szCs w:val="22"/>
          <w:lang w:val="en-US"/>
        </w:rPr>
        <w:t>summarizes</w:t>
      </w:r>
      <w:r w:rsidR="00322B94" w:rsidRPr="00A26FD5">
        <w:rPr>
          <w:rFonts w:cs="Times New Roman"/>
          <w:szCs w:val="22"/>
          <w:lang w:val="en-US"/>
        </w:rPr>
        <w:t xml:space="preserve"> the definitions on d</w:t>
      </w:r>
      <w:r w:rsidRPr="00A26FD5">
        <w:rPr>
          <w:rFonts w:cs="Times New Roman"/>
          <w:szCs w:val="22"/>
          <w:lang w:val="en-US"/>
        </w:rPr>
        <w:t xml:space="preserve">rivers included in the </w:t>
      </w:r>
      <w:r w:rsidR="00B45DB6" w:rsidRPr="00A26FD5">
        <w:rPr>
          <w:rFonts w:cs="Times New Roman"/>
          <w:szCs w:val="22"/>
          <w:lang w:val="en-US"/>
        </w:rPr>
        <w:t>Intergovernmental Platform on Biodiversity and Ecosystem Services (</w:t>
      </w:r>
      <w:r w:rsidRPr="00A26FD5">
        <w:rPr>
          <w:rFonts w:cs="Times New Roman"/>
          <w:szCs w:val="22"/>
          <w:lang w:val="en-US"/>
        </w:rPr>
        <w:t>IPBES</w:t>
      </w:r>
      <w:r w:rsidR="00B45DB6" w:rsidRPr="00A26FD5">
        <w:rPr>
          <w:rFonts w:cs="Times New Roman"/>
          <w:szCs w:val="22"/>
          <w:lang w:val="en-US"/>
        </w:rPr>
        <w:t>)</w:t>
      </w:r>
      <w:r w:rsidRPr="00A26FD5">
        <w:rPr>
          <w:rFonts w:cs="Times New Roman"/>
          <w:szCs w:val="22"/>
          <w:lang w:val="en-US"/>
        </w:rPr>
        <w:t xml:space="preserve"> conceptual framework (</w:t>
      </w:r>
      <w:r w:rsidRPr="00A26FD5">
        <w:rPr>
          <w:rFonts w:cs="Times New Roman"/>
          <w:bCs/>
          <w:szCs w:val="22"/>
          <w:lang w:val="en-US"/>
        </w:rPr>
        <w:t>Decision IPBES-2/4</w:t>
      </w:r>
      <w:r w:rsidRPr="00A26FD5">
        <w:rPr>
          <w:rFonts w:cs="Times New Roman"/>
          <w:szCs w:val="22"/>
          <w:lang w:val="en-US"/>
        </w:rPr>
        <w:t xml:space="preserve">, available on </w:t>
      </w:r>
      <w:hyperlink r:id="rId964" w:history="1">
        <w:r w:rsidRPr="00A26FD5">
          <w:rPr>
            <w:rStyle w:val="Hyperlink"/>
            <w:rFonts w:cs="Times New Roman"/>
            <w:szCs w:val="22"/>
            <w:lang w:val="en-US"/>
          </w:rPr>
          <w:t>http://www.ipbes.net</w:t>
        </w:r>
      </w:hyperlink>
      <w:r w:rsidRPr="00A26FD5">
        <w:rPr>
          <w:rFonts w:cs="Times New Roman"/>
          <w:szCs w:val="22"/>
          <w:lang w:val="en-US"/>
        </w:rPr>
        <w:t xml:space="preserve">). </w:t>
      </w:r>
    </w:p>
    <w:p w14:paraId="2D22A3EB" w14:textId="36F3880B" w:rsidR="001E61A6" w:rsidRPr="00A26FD5" w:rsidRDefault="001E61A6" w:rsidP="00CD61F3">
      <w:pPr>
        <w:pStyle w:val="BodyText"/>
        <w:spacing w:after="120"/>
        <w:rPr>
          <w:rFonts w:cs="Times New Roman"/>
          <w:szCs w:val="22"/>
          <w:lang w:val="en-US"/>
        </w:rPr>
      </w:pPr>
      <w:r w:rsidRPr="00A26FD5">
        <w:rPr>
          <w:rFonts w:cs="Times New Roman"/>
          <w:szCs w:val="22"/>
          <w:lang w:val="en-US"/>
        </w:rPr>
        <w:t>The drivers examined in this chapter are primarily anthropogenic. Indirect anthropogenic drivers are aspects and patterns of human organizati</w:t>
      </w:r>
      <w:r w:rsidR="00A47F44" w:rsidRPr="00A26FD5">
        <w:rPr>
          <w:rFonts w:cs="Times New Roman"/>
          <w:szCs w:val="22"/>
          <w:lang w:val="en-US"/>
        </w:rPr>
        <w:t>on and socioeconomic activity (s</w:t>
      </w:r>
      <w:r w:rsidRPr="00A26FD5">
        <w:rPr>
          <w:rFonts w:cs="Times New Roman"/>
          <w:szCs w:val="22"/>
          <w:lang w:val="en-US"/>
        </w:rPr>
        <w:t>ection 4.3) that produce aggregate outcomes that in turn bring about changes in biodiversity and ecosystem services. Di</w:t>
      </w:r>
      <w:r w:rsidR="00A47F44" w:rsidRPr="00A26FD5">
        <w:rPr>
          <w:rFonts w:cs="Times New Roman"/>
          <w:szCs w:val="22"/>
          <w:lang w:val="en-US"/>
        </w:rPr>
        <w:t>rect anthropogenic drivers (s</w:t>
      </w:r>
      <w:r w:rsidRPr="00A26FD5">
        <w:rPr>
          <w:rFonts w:cs="Times New Roman"/>
          <w:szCs w:val="22"/>
          <w:lang w:val="en-US"/>
        </w:rPr>
        <w:t>ection 4.4) are the aggregate outcomes, such as habitat change, pollution or climate change, from the indirect anthropogenic dri</w:t>
      </w:r>
      <w:r w:rsidR="00F76B15" w:rsidRPr="00A26FD5">
        <w:rPr>
          <w:rFonts w:cs="Times New Roman"/>
          <w:szCs w:val="22"/>
          <w:lang w:val="en-US"/>
        </w:rPr>
        <w:t xml:space="preserve">vers that yield those changes. </w:t>
      </w:r>
      <w:r w:rsidRPr="00A26FD5">
        <w:rPr>
          <w:rFonts w:cs="Times New Roman"/>
          <w:szCs w:val="22"/>
          <w:lang w:val="en-US"/>
        </w:rPr>
        <w:t>Direct natural drivers also produce changes in biodiversity and ecosystem services, and are thus also presented briefly in this chapter (</w:t>
      </w:r>
      <w:r w:rsidR="00A47F44" w:rsidRPr="00A26FD5">
        <w:rPr>
          <w:rFonts w:cs="Times New Roman"/>
          <w:szCs w:val="22"/>
          <w:lang w:val="en-US"/>
        </w:rPr>
        <w:t xml:space="preserve">section </w:t>
      </w:r>
      <w:r w:rsidRPr="00A26FD5">
        <w:rPr>
          <w:rFonts w:cs="Times New Roman"/>
          <w:szCs w:val="22"/>
          <w:lang w:val="en-US"/>
        </w:rPr>
        <w:t xml:space="preserve">4.5). </w:t>
      </w:r>
    </w:p>
    <w:p w14:paraId="3CDC59D3" w14:textId="009DCD0F" w:rsidR="001E61A6" w:rsidRPr="00A26FD5" w:rsidRDefault="001E61A6" w:rsidP="00CD61F3">
      <w:pPr>
        <w:pStyle w:val="BodyText"/>
        <w:spacing w:after="120"/>
        <w:rPr>
          <w:rFonts w:cs="Times New Roman"/>
          <w:szCs w:val="22"/>
          <w:lang w:val="en-US"/>
        </w:rPr>
      </w:pPr>
      <w:r w:rsidRPr="00360ADC">
        <w:rPr>
          <w:rFonts w:cs="Times New Roman"/>
          <w:szCs w:val="22"/>
          <w:lang w:val="es-CO"/>
        </w:rPr>
        <w:t xml:space="preserve">As </w:t>
      </w:r>
      <w:r w:rsidRPr="006D1B0B">
        <w:rPr>
          <w:rFonts w:cs="Times New Roman"/>
          <w:szCs w:val="22"/>
          <w:lang w:val="en-US"/>
        </w:rPr>
        <w:fldChar w:fldCharType="begin"/>
      </w:r>
      <w:r w:rsidRPr="00360ADC">
        <w:rPr>
          <w:rFonts w:cs="Times New Roman"/>
          <w:szCs w:val="22"/>
          <w:lang w:val="es-CO"/>
        </w:rPr>
        <w:instrText xml:space="preserve"> REF _Ref494482849 \h </w:instrText>
      </w:r>
      <w:r w:rsidR="00CD61F3" w:rsidRPr="00360ADC">
        <w:rPr>
          <w:rFonts w:cs="Times New Roman"/>
          <w:szCs w:val="22"/>
          <w:lang w:val="es-CO"/>
        </w:rPr>
        <w:instrText xml:space="preserve"> \* MERGEFORMAT </w:instrText>
      </w:r>
      <w:r w:rsidRPr="006D1B0B">
        <w:rPr>
          <w:rFonts w:cs="Times New Roman"/>
          <w:szCs w:val="22"/>
          <w:lang w:val="en-US"/>
        </w:rPr>
      </w:r>
      <w:r w:rsidRPr="006D1B0B">
        <w:rPr>
          <w:rFonts w:cs="Times New Roman"/>
          <w:szCs w:val="22"/>
          <w:lang w:val="en-US"/>
        </w:rPr>
        <w:fldChar w:fldCharType="separate"/>
      </w:r>
      <w:r w:rsidR="00402074">
        <w:rPr>
          <w:rFonts w:cs="Times New Roman"/>
          <w:b/>
          <w:bCs/>
          <w:szCs w:val="22"/>
          <w:lang w:val="es-ES"/>
        </w:rPr>
        <w:t>¡Error! No se encuentra el origen de la referencia.</w:t>
      </w:r>
      <w:r w:rsidRPr="006D1B0B">
        <w:rPr>
          <w:rFonts w:cs="Times New Roman"/>
          <w:szCs w:val="22"/>
          <w:lang w:val="en-US"/>
        </w:rPr>
        <w:fldChar w:fldCharType="end"/>
      </w:r>
      <w:r w:rsidRPr="00360ADC">
        <w:rPr>
          <w:rFonts w:cs="Times New Roman"/>
          <w:szCs w:val="22"/>
          <w:lang w:val="es-CO"/>
        </w:rPr>
        <w:t xml:space="preserve"> </w:t>
      </w:r>
      <w:r w:rsidRPr="006D1B0B">
        <w:rPr>
          <w:rFonts w:cs="Times New Roman"/>
          <w:szCs w:val="22"/>
          <w:lang w:val="en-US"/>
        </w:rPr>
        <w:t>shows, the indirect and direct anthropogenic drivers are significantly interrelated. Even though sections 4.</w:t>
      </w:r>
      <w:r w:rsidRPr="00A26FD5">
        <w:rPr>
          <w:rFonts w:cs="Times New Roman"/>
          <w:szCs w:val="22"/>
          <w:lang w:val="en-US"/>
        </w:rPr>
        <w:t xml:space="preserve">3, 4.4, and 4.5 describe these drivers sequentially and distinctly, important interactions are also presented in the specific sections (indicated in bold along the text). These interactions will be synthesized in section 4.6, while the effects of indirect drivers on direct drivers are further discussed in section 4.7. </w:t>
      </w:r>
      <w:r w:rsidR="005B1EFA" w:rsidRPr="00A26FD5">
        <w:rPr>
          <w:rFonts w:cs="Times New Roman"/>
          <w:szCs w:val="22"/>
          <w:lang w:val="en-US"/>
        </w:rPr>
        <w:t>S</w:t>
      </w:r>
      <w:r w:rsidR="00A47F44" w:rsidRPr="00A26FD5">
        <w:rPr>
          <w:rFonts w:cs="Times New Roman"/>
          <w:szCs w:val="22"/>
          <w:lang w:val="en-US"/>
        </w:rPr>
        <w:t xml:space="preserve">ection </w:t>
      </w:r>
      <w:r w:rsidRPr="00A26FD5">
        <w:rPr>
          <w:rFonts w:cs="Times New Roman"/>
          <w:szCs w:val="22"/>
          <w:lang w:val="en-US"/>
        </w:rPr>
        <w:t>4.8 provides a starting indication of where gaps in current scientific knowledge lie. The gaps in knowledge point to areas where data remain insufficient and to areas where further data collection and scientific inquiry and analysis are needed to produce a stronger understanding of the links between indirect and direct anthropogenic drivers, changes in biodiversity and ecosystem services, and human well-being.</w:t>
      </w:r>
    </w:p>
    <w:p w14:paraId="6C6ED07C" w14:textId="7AAAB8D4" w:rsidR="001E61A6" w:rsidRDefault="001E61A6" w:rsidP="00CD61F3">
      <w:pPr>
        <w:pStyle w:val="BodyText"/>
        <w:spacing w:after="120"/>
        <w:rPr>
          <w:rFonts w:ascii="Times New Roman" w:hAnsi="Times New Roman"/>
          <w:sz w:val="24"/>
          <w:lang w:val="en-US"/>
        </w:rPr>
      </w:pPr>
      <w:r w:rsidRPr="00A26FD5">
        <w:rPr>
          <w:szCs w:val="22"/>
          <w:lang w:val="en-US"/>
        </w:rPr>
        <w:t>Lastly, section 4.9 contains supplementary material that enrich the chapter by displaying additional content that add detail, background, or context by resources such as case studies, figures and tables</w:t>
      </w:r>
      <w:r w:rsidRPr="008608AA">
        <w:rPr>
          <w:rFonts w:ascii="Times New Roman" w:hAnsi="Times New Roman"/>
          <w:sz w:val="24"/>
          <w:lang w:val="en-US"/>
        </w:rPr>
        <w:t>.</w:t>
      </w:r>
    </w:p>
    <w:p w14:paraId="028185C5" w14:textId="77777777" w:rsidR="00A26FD5" w:rsidRPr="008608AA" w:rsidRDefault="00A26FD5" w:rsidP="00CD61F3">
      <w:pPr>
        <w:pStyle w:val="BodyText"/>
        <w:spacing w:after="120"/>
        <w:rPr>
          <w:rFonts w:ascii="Times New Roman" w:hAnsi="Times New Roman"/>
          <w:sz w:val="24"/>
          <w:lang w:val="en-US"/>
        </w:rPr>
      </w:pPr>
    </w:p>
    <w:p w14:paraId="0D563936" w14:textId="021BB872" w:rsidR="001E61A6" w:rsidRPr="008608AA" w:rsidRDefault="000D1D96" w:rsidP="00A04C10">
      <w:r w:rsidRPr="008608AA">
        <w:rPr>
          <w:noProof/>
          <w:lang w:val="en-GB" w:eastAsia="en-GB"/>
        </w:rPr>
        <w:drawing>
          <wp:inline distT="0" distB="0" distL="0" distR="0" wp14:anchorId="3CD6EED9" wp14:editId="6D173A7A">
            <wp:extent cx="5934075" cy="5076825"/>
            <wp:effectExtent l="0" t="0" r="9525" b="9525"/>
            <wp:docPr id="2086" name="Imagen 2086" descr="C:\Users\Alejandro Valderrama\Downloads\Fi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7" descr="C:\Users\Alejandro Valderrama\Downloads\Fig4.1.jpg"/>
                    <pic:cNvPicPr>
                      <a:picLocks noChangeAspect="1" noChangeArrowheads="1"/>
                    </pic:cNvPicPr>
                  </pic:nvPicPr>
                  <pic:blipFill rotWithShape="1">
                    <a:blip r:embed="rId965">
                      <a:extLst>
                        <a:ext uri="{28A0092B-C50C-407E-A947-70E740481C1C}">
                          <a14:useLocalDpi xmlns:a14="http://schemas.microsoft.com/office/drawing/2010/main" val="0"/>
                        </a:ext>
                      </a:extLst>
                    </a:blip>
                    <a:srcRect b="40646"/>
                    <a:stretch/>
                  </pic:blipFill>
                  <pic:spPr bwMode="auto">
                    <a:xfrm>
                      <a:off x="0" y="0"/>
                      <a:ext cx="5934075" cy="5076825"/>
                    </a:xfrm>
                    <a:prstGeom prst="rect">
                      <a:avLst/>
                    </a:prstGeom>
                    <a:noFill/>
                    <a:ln>
                      <a:noFill/>
                    </a:ln>
                    <a:extLst>
                      <a:ext uri="{53640926-AAD7-44D8-BBD7-CCE9431645EC}">
                        <a14:shadowObscured xmlns:a14="http://schemas.microsoft.com/office/drawing/2010/main"/>
                      </a:ext>
                    </a:extLst>
                  </pic:spPr>
                </pic:pic>
              </a:graphicData>
            </a:graphic>
          </wp:inline>
        </w:drawing>
      </w:r>
    </w:p>
    <w:p w14:paraId="3FDD7EAB" w14:textId="41CE573E" w:rsidR="001E61A6" w:rsidRPr="008608AA" w:rsidRDefault="00757A46" w:rsidP="00757A46">
      <w:pPr>
        <w:pStyle w:val="Caption"/>
      </w:pPr>
      <w:bookmarkStart w:id="1303" w:name="_Toc499200373"/>
      <w:bookmarkStart w:id="1304" w:name="_Toc499459216"/>
      <w:bookmarkStart w:id="1305" w:name="_Hlk494357229"/>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w:t>
      </w:r>
      <w:r w:rsidR="000E562E">
        <w:rPr>
          <w:noProof/>
        </w:rPr>
        <w:fldChar w:fldCharType="end"/>
      </w:r>
      <w:r w:rsidRPr="008608AA">
        <w:t xml:space="preserve">. </w:t>
      </w:r>
      <w:r w:rsidR="001E61A6" w:rsidRPr="008608AA">
        <w:t>Definitions of drivers of change of nature´s contributions to people and good quality of life, and partial representation of the IPBES conceptual framework according to IPBES Decision 2-4</w:t>
      </w:r>
      <w:bookmarkEnd w:id="1303"/>
      <w:bookmarkEnd w:id="1304"/>
    </w:p>
    <w:tbl>
      <w:tblPr>
        <w:tblStyle w:val="TableGrid"/>
        <w:tblW w:w="5000" w:type="pct"/>
        <w:tblLook w:val="04A0" w:firstRow="1" w:lastRow="0" w:firstColumn="1" w:lastColumn="0" w:noHBand="0" w:noVBand="1"/>
      </w:tblPr>
      <w:tblGrid>
        <w:gridCol w:w="9487"/>
      </w:tblGrid>
      <w:tr w:rsidR="001E61A6" w:rsidRPr="00A26FD5" w14:paraId="437941FC" w14:textId="77777777" w:rsidTr="00F112E8">
        <w:tc>
          <w:tcPr>
            <w:tcW w:w="5000" w:type="pct"/>
          </w:tcPr>
          <w:bookmarkEnd w:id="1305"/>
          <w:p w14:paraId="2F514CD9" w14:textId="77777777" w:rsidR="001E61A6" w:rsidRPr="00A26FD5" w:rsidRDefault="001E61A6" w:rsidP="00757A46">
            <w:pPr>
              <w:spacing w:before="120"/>
              <w:rPr>
                <w:szCs w:val="22"/>
              </w:rPr>
            </w:pPr>
            <w:r w:rsidRPr="00A26FD5">
              <w:rPr>
                <w:szCs w:val="22"/>
              </w:rPr>
              <w:t xml:space="preserve">Drivers of change refers to all those external factors that affect nature, anthropogenic assets, nature’s contributions to people and a good quality of life. They include institutions and governance systems and other indirect drivers and direct drivers (both natural and anthropogenic). </w:t>
            </w:r>
          </w:p>
          <w:p w14:paraId="5CFDFBCB" w14:textId="77777777" w:rsidR="001E61A6" w:rsidRPr="00A26FD5" w:rsidRDefault="001E61A6" w:rsidP="00757A46">
            <w:pPr>
              <w:spacing w:before="120"/>
              <w:rPr>
                <w:szCs w:val="22"/>
              </w:rPr>
            </w:pPr>
            <w:r w:rsidRPr="00A26FD5">
              <w:rPr>
                <w:szCs w:val="22"/>
              </w:rPr>
              <w:t xml:space="preserve">Institutions and governance systems and other indirect drivers are the ways in which societies organize themselves, and the resulting influences on other components. They are the underlying causes of environmental change that are exogenous to the ecosystem in question. Because of their central role, influencing all aspects of human relationships with nature, these are key levers for decision-making. Institutions encompass all formal and informal interactions among stakeholders and social structures that determine how decisions are taken and implemented, how power is exercised, and how responsibilities are distributed. Institutions determine, to various degrees, the access to, and the control, allocation and distribution of components of nature and anthropogenic assets and their benefits to people. </w:t>
            </w:r>
          </w:p>
          <w:p w14:paraId="16B18838" w14:textId="77777777" w:rsidR="001E61A6" w:rsidRPr="00A26FD5" w:rsidRDefault="001E61A6" w:rsidP="00757A46">
            <w:pPr>
              <w:spacing w:before="120"/>
              <w:rPr>
                <w:szCs w:val="22"/>
              </w:rPr>
            </w:pPr>
            <w:r w:rsidRPr="00A26FD5">
              <w:rPr>
                <w:szCs w:val="22"/>
              </w:rPr>
              <w:t>Direct drivers, both natural and anthropogenic, affect nature directly.</w:t>
            </w:r>
          </w:p>
          <w:p w14:paraId="33C38E48" w14:textId="77777777" w:rsidR="001E61A6" w:rsidRPr="00A26FD5" w:rsidRDefault="001E61A6" w:rsidP="00757A46">
            <w:pPr>
              <w:spacing w:before="120"/>
              <w:rPr>
                <w:szCs w:val="22"/>
              </w:rPr>
            </w:pPr>
            <w:r w:rsidRPr="00A26FD5">
              <w:rPr>
                <w:szCs w:val="22"/>
              </w:rPr>
              <w:t>Natural drivers are those that are not the result of human activities and are beyond human control. These include earthquakes, volcanic eruptions and tsunamis, extreme weather or ocean-related events such as prolonged drought or cold periods, tropical cyclones and floods, the El Niño/La Niña Southern Oscillation and extreme tidal events.</w:t>
            </w:r>
          </w:p>
          <w:p w14:paraId="70363400" w14:textId="434AD8FB" w:rsidR="001E61A6" w:rsidRPr="00A26FD5" w:rsidRDefault="001E61A6" w:rsidP="00757A46">
            <w:pPr>
              <w:spacing w:before="120"/>
              <w:rPr>
                <w:szCs w:val="22"/>
              </w:rPr>
            </w:pPr>
            <w:r w:rsidRPr="00A26FD5">
              <w:rPr>
                <w:szCs w:val="22"/>
              </w:rPr>
              <w:t xml:space="preserve">The direct anthropogenic drivers are those that are the result of human decisions, namely, of institutions and governance systems and other indirect drivers. Anthropogenic drivers include habitat conversion, </w:t>
            </w:r>
            <w:r w:rsidR="00847F60" w:rsidRPr="00A26FD5">
              <w:rPr>
                <w:szCs w:val="22"/>
              </w:rPr>
              <w:t>e.g.</w:t>
            </w:r>
            <w:r w:rsidRPr="00A26FD5">
              <w:rPr>
                <w:szCs w:val="22"/>
              </w:rPr>
              <w:t xml:space="preserve"> degradation of land and aquatic habitats, deforestation and afforestation, exploitation of wild populations, climate change, pollution of soil, water and air and species introductions. Some of these drivers, such as pollution, can have negative impacts on nature; others, as in the case of habitat restoration, or the introduction of a natural enemy to combat invasive species, can have positive effects. Institutions and governance systems and other indirect drivers affect all elements and are the root causes of the direct anthropogenic drivers that directly affect nature and also affect the interactions and balance between nature and human assets in the co-production of nature’s benefits to people </w:t>
            </w:r>
          </w:p>
          <w:p w14:paraId="6A75C7A7" w14:textId="677E2102" w:rsidR="001E61A6" w:rsidRPr="00A26FD5" w:rsidRDefault="001E61A6" w:rsidP="00757A46">
            <w:pPr>
              <w:spacing w:before="120"/>
              <w:rPr>
                <w:szCs w:val="22"/>
              </w:rPr>
            </w:pPr>
            <w:r w:rsidRPr="00A26FD5">
              <w:rPr>
                <w:szCs w:val="22"/>
              </w:rPr>
              <w:t>Anthropogenic assets refer to built-up infrastructure, health facilities, knowledge (including indigenous and local knowledge systems and technical or scientific knowledge, as well as formal and non-formal education), technology (both physical objects and procedures), as financial assets, among others. Direct drivers also affect anthropogenic assets and in addition, anthropogenic assets directly affect the possibility of leading a good life through the provision of and access to material wealth, shelter, health, education, satisfactory human relationships, freedom of choice and action, and sense of cultural identity and security. These linkages are acknowledged but not addressed in depth because they are not the main focus of IPBES</w:t>
            </w:r>
            <w:r w:rsidR="00B45DB6" w:rsidRPr="00A26FD5">
              <w:rPr>
                <w:szCs w:val="22"/>
              </w:rPr>
              <w:t>.</w:t>
            </w:r>
          </w:p>
        </w:tc>
      </w:tr>
    </w:tbl>
    <w:p w14:paraId="3A0F09A4" w14:textId="77777777" w:rsidR="00757A46" w:rsidRPr="008608AA" w:rsidRDefault="00757A46" w:rsidP="008B3BCD">
      <w:bookmarkStart w:id="1306" w:name="_Toc350507792"/>
      <w:bookmarkStart w:id="1307" w:name="_Toc477160195"/>
      <w:bookmarkStart w:id="1308" w:name="_Toc357244074"/>
      <w:bookmarkStart w:id="1309" w:name="_Toc357981986"/>
      <w:bookmarkStart w:id="1310" w:name="_Toc357985204"/>
      <w:bookmarkStart w:id="1311" w:name="_Toc499459665"/>
      <w:bookmarkStart w:id="1312" w:name="_Toc503293130"/>
      <w:bookmarkStart w:id="1313" w:name="_Toc503293728"/>
      <w:bookmarkStart w:id="1314" w:name="_Toc503293990"/>
      <w:bookmarkStart w:id="1315" w:name="_Toc503863383"/>
      <w:bookmarkStart w:id="1316" w:name="_Toc503863611"/>
      <w:bookmarkEnd w:id="1302"/>
    </w:p>
    <w:p w14:paraId="7F98C724" w14:textId="3B86B65E" w:rsidR="001E61A6" w:rsidRPr="008608AA" w:rsidRDefault="001E61A6" w:rsidP="00757A46">
      <w:pPr>
        <w:pStyle w:val="Heading2"/>
      </w:pPr>
      <w:bookmarkStart w:id="1317" w:name="_Toc517393332"/>
      <w:bookmarkStart w:id="1318" w:name="_Toc517394389"/>
      <w:bookmarkStart w:id="1319" w:name="_Toc517719073"/>
      <w:bookmarkStart w:id="1320" w:name="_Toc517797030"/>
      <w:r w:rsidRPr="008608AA">
        <w:t>Indirect anthropogenic drivers</w:t>
      </w:r>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r w:rsidRPr="008608AA">
        <w:t xml:space="preserve"> </w:t>
      </w:r>
    </w:p>
    <w:p w14:paraId="231CA1F9" w14:textId="63A28911" w:rsidR="001E61A6" w:rsidRDefault="001E61A6" w:rsidP="00757A46">
      <w:pPr>
        <w:rPr>
          <w:rFonts w:eastAsia="Calibri"/>
        </w:rPr>
      </w:pPr>
      <w:r w:rsidRPr="008608AA">
        <w:rPr>
          <w:rFonts w:eastAsia="Lucida Grande"/>
        </w:rPr>
        <w:t xml:space="preserve">Indirect drivers (also referred as underlying factors) play a major role in influencing direct drivers (proximate causes) of changes in nature, nature’s contributions to people and good quality of life </w:t>
      </w:r>
      <w:r w:rsidRPr="008608AA">
        <w:rPr>
          <w:rFonts w:eastAsia="Calibri"/>
        </w:rPr>
        <w:t>in different spatial and temporal scales, involving “anthropogenic assets” (encompassing infrastructure, knowledge systems, including indigenous and local knowledge (ILK), technology and financial assets, among others). Considering the concept and the nature of complex ecological systems, the role of indirect drivers is an integral aspect of natural resource use assessments, and needs to be considered to explain and study past and ongoing processes as well as for scenario development a</w:t>
      </w:r>
      <w:r w:rsidR="00C20336" w:rsidRPr="008608AA">
        <w:rPr>
          <w:rFonts w:eastAsia="Calibri"/>
        </w:rPr>
        <w:t>nd subsequent analysis (IPBES</w:t>
      </w:r>
      <w:r w:rsidRPr="008608AA">
        <w:rPr>
          <w:rFonts w:eastAsia="Calibri"/>
        </w:rPr>
        <w:t>, 2016).</w:t>
      </w:r>
    </w:p>
    <w:p w14:paraId="6D71459D" w14:textId="77777777" w:rsidR="00A26FD5" w:rsidRPr="008608AA" w:rsidRDefault="00A26FD5" w:rsidP="00757A46">
      <w:pPr>
        <w:rPr>
          <w:rFonts w:eastAsia="Calibri"/>
        </w:rPr>
      </w:pPr>
    </w:p>
    <w:p w14:paraId="1C7E8488" w14:textId="716F85B6" w:rsidR="001E61A6" w:rsidRPr="008608AA" w:rsidRDefault="001E61A6" w:rsidP="00757A46">
      <w:pPr>
        <w:autoSpaceDE w:val="0"/>
        <w:autoSpaceDN w:val="0"/>
        <w:adjustRightInd w:val="0"/>
        <w:rPr>
          <w:rFonts w:eastAsia="Calibri"/>
        </w:rPr>
      </w:pPr>
      <w:r w:rsidRPr="008608AA">
        <w:rPr>
          <w:rFonts w:eastAsia="Calibri"/>
        </w:rPr>
        <w:t>The indirect anthropogenic drivers can be classified according to the origin of the driver, which for instance can be fed by predominantly local processes, like for example poor local governance and corruption. It is widely recognized that globalization in recent decades has led to “</w:t>
      </w:r>
      <w:r w:rsidRPr="008608AA">
        <w:t>spatial decoupling of the local land uses from their most important driving forces” (Reenberg et al., 2010). This recent observation has led to the establishment of the teleconnection framework (Friis et al., 2015; Kastner et al</w:t>
      </w:r>
      <w:r w:rsidR="00B45DB6" w:rsidRPr="008608AA">
        <w:t>.,</w:t>
      </w:r>
      <w:r w:rsidRPr="008608AA">
        <w:t xml:space="preserve"> 2015). For instance, changes in land systems at various spatial scales are influenced by long-distance flows of capital, energy, traded products, people and information. While locally driven processes have been studied for decades using perspectives from different disciplines (demography, anthropology, political economy), teleconnections have been assessed only in the last decade. Furthermore, it is only recently that the teleconnection framework has given birth to the concept of telecoupling (Liu et al</w:t>
      </w:r>
      <w:r w:rsidR="00B45DB6" w:rsidRPr="008608AA">
        <w:t>.</w:t>
      </w:r>
      <w:r w:rsidRPr="008608AA">
        <w:t xml:space="preserve">, 2013), which considers also the multiple feedbacks and teleconnected interactions in both socioeconomic and environmental terms. For example, climate risks may be transmitted to a region via trade networks, but also through migration flows into that region that can be triggered by climate risks elsewhere. In both cases local socio-economic conditions in that region are affected, and therefore its natural resource management. The complexity and multi-layered nature of these interactions hampers the design and implementation of governance measures. However, at the same time it may also allow the participation of a number of distal actors and processes, opening space for mobilizing resources and </w:t>
      </w:r>
      <w:r w:rsidRPr="008608AA">
        <w:rPr>
          <w:rFonts w:eastAsia="Calibri"/>
        </w:rPr>
        <w:t>fostering a more coordinated, beyond borders and polycentric approach to natural resource governance (Godar et al</w:t>
      </w:r>
      <w:r w:rsidR="00B45DB6" w:rsidRPr="008608AA">
        <w:rPr>
          <w:rFonts w:eastAsia="Calibri"/>
        </w:rPr>
        <w:t>.</w:t>
      </w:r>
      <w:r w:rsidRPr="008608AA">
        <w:rPr>
          <w:rFonts w:eastAsia="Calibri"/>
        </w:rPr>
        <w:t>, 2016)</w:t>
      </w:r>
      <w:r w:rsidR="005B1EFA" w:rsidRPr="008608AA">
        <w:rPr>
          <w:rFonts w:eastAsia="Calibri"/>
        </w:rPr>
        <w:t>.</w:t>
      </w:r>
    </w:p>
    <w:p w14:paraId="192D4168" w14:textId="77777777" w:rsidR="005B1EFA" w:rsidRPr="008608AA" w:rsidRDefault="005B1EFA" w:rsidP="00757A46">
      <w:pPr>
        <w:autoSpaceDE w:val="0"/>
        <w:autoSpaceDN w:val="0"/>
        <w:adjustRightInd w:val="0"/>
      </w:pPr>
    </w:p>
    <w:p w14:paraId="3CAF1C4A" w14:textId="77777777" w:rsidR="001E61A6" w:rsidRPr="008608AA" w:rsidRDefault="001E61A6" w:rsidP="00757A46">
      <w:pPr>
        <w:rPr>
          <w:rFonts w:eastAsia="Calibri"/>
        </w:rPr>
      </w:pPr>
      <w:r w:rsidRPr="008608AA">
        <w:rPr>
          <w:rFonts w:eastAsia="Calibri"/>
        </w:rPr>
        <w:t>The discussion on the indirect anthropogenic drivers for changes in nature, nature´s contributions to people (NCP) and good quality of life is a relevant component of the Development Agenda 2030 and the Sustainable Development Goals (SDG). Equity, literacy level, share of population in extreme poverty, income distribution, access to public health, health care infrastructure, food security, political organization and socio-cultural aspects are relevant variables to define the critical mass of a country and the capacity of social debate, and hence its “anthropogenic assets”. On the other hand, the worldviews and culture (attitudes to environment/sustainability/equity), life-styles (including diets) and the level of societal tension and conflict are other important drivers of opposition or consensus in the economic and political arena. The level of efficiency in governance systems, the legislation and the strength of the institutions involved in decision-making and their implementation capacity, and their level of credibility and transparency, are also drivers that will influence the status and trend of NCP.</w:t>
      </w:r>
    </w:p>
    <w:p w14:paraId="3D9E54DB" w14:textId="77777777" w:rsidR="005B1EFA" w:rsidRPr="008608AA" w:rsidRDefault="005B1EFA" w:rsidP="00757A46">
      <w:pPr>
        <w:rPr>
          <w:rFonts w:eastAsia="Calibri"/>
          <w:iCs/>
        </w:rPr>
      </w:pPr>
    </w:p>
    <w:p w14:paraId="1F02DB19" w14:textId="1FD761A7" w:rsidR="008D550B" w:rsidRPr="008608AA" w:rsidRDefault="001E61A6" w:rsidP="00757A46">
      <w:pPr>
        <w:rPr>
          <w:rFonts w:eastAsia="Calibri"/>
        </w:rPr>
      </w:pPr>
      <w:r w:rsidRPr="008608AA">
        <w:rPr>
          <w:rFonts w:eastAsia="Calibri"/>
        </w:rPr>
        <w:t>This section describes the current status and trends of six broad indirect anthropogenic drivers of changes in NCP in the Americas: Governance systems and institutions (</w:t>
      </w:r>
      <w:r w:rsidR="0060177B" w:rsidRPr="008608AA">
        <w:rPr>
          <w:rFonts w:eastAsia="Calibri"/>
        </w:rPr>
        <w:t>4.3.1); Economic growth (4.3.2</w:t>
      </w:r>
      <w:r w:rsidRPr="008608AA">
        <w:rPr>
          <w:rFonts w:eastAsia="Calibri"/>
        </w:rPr>
        <w:t>); Internationa</w:t>
      </w:r>
      <w:r w:rsidR="0060177B" w:rsidRPr="008608AA">
        <w:rPr>
          <w:rFonts w:eastAsia="Calibri"/>
        </w:rPr>
        <w:t>l trade and finance (4.3.3</w:t>
      </w:r>
      <w:r w:rsidRPr="008608AA">
        <w:rPr>
          <w:rFonts w:eastAsia="Calibri"/>
        </w:rPr>
        <w:t>); Populatio</w:t>
      </w:r>
      <w:r w:rsidR="0060177B" w:rsidRPr="008608AA">
        <w:rPr>
          <w:rFonts w:eastAsia="Calibri"/>
        </w:rPr>
        <w:t>n and demographic trends (4.3.4</w:t>
      </w:r>
      <w:r w:rsidRPr="008608AA">
        <w:rPr>
          <w:rFonts w:eastAsia="Calibri"/>
        </w:rPr>
        <w:t>); T</w:t>
      </w:r>
      <w:r w:rsidR="0060177B" w:rsidRPr="008608AA">
        <w:rPr>
          <w:rFonts w:eastAsia="Calibri"/>
        </w:rPr>
        <w:t>echnological development (4.3.5</w:t>
      </w:r>
      <w:r w:rsidRPr="008608AA">
        <w:rPr>
          <w:rFonts w:eastAsia="Calibri"/>
        </w:rPr>
        <w:t>); and Welfa</w:t>
      </w:r>
      <w:r w:rsidR="0060177B" w:rsidRPr="008608AA">
        <w:rPr>
          <w:rFonts w:eastAsia="Calibri"/>
        </w:rPr>
        <w:t>re and human development (4.3.6</w:t>
      </w:r>
      <w:r w:rsidRPr="008608AA">
        <w:rPr>
          <w:rFonts w:eastAsia="Calibri"/>
        </w:rPr>
        <w:t>).</w:t>
      </w:r>
      <w:r w:rsidR="008D550B" w:rsidRPr="008608AA">
        <w:rPr>
          <w:rFonts w:eastAsia="Calibri"/>
        </w:rPr>
        <w:t xml:space="preserve"> Internationally comparable socioeconomic data for Greenland is limited in regional sources of the Americas, considering that Greenland has been politically and </w:t>
      </w:r>
      <w:r w:rsidR="00630B0E" w:rsidRPr="008608AA">
        <w:rPr>
          <w:rFonts w:eastAsia="Calibri"/>
        </w:rPr>
        <w:t xml:space="preserve">to some extent </w:t>
      </w:r>
      <w:r w:rsidR="008D550B" w:rsidRPr="008608AA">
        <w:rPr>
          <w:rFonts w:eastAsia="Calibri"/>
        </w:rPr>
        <w:t>cul</w:t>
      </w:r>
      <w:r w:rsidR="004407C3" w:rsidRPr="008608AA">
        <w:rPr>
          <w:rFonts w:eastAsia="Calibri"/>
        </w:rPr>
        <w:t xml:space="preserve">turally associated with Europe for more than a millennium. </w:t>
      </w:r>
      <w:r w:rsidR="008D550B" w:rsidRPr="008608AA">
        <w:rPr>
          <w:rFonts w:eastAsia="Calibri"/>
        </w:rPr>
        <w:t xml:space="preserve">Systematic socioeconomic data of other </w:t>
      </w:r>
      <w:r w:rsidR="00792790" w:rsidRPr="008608AA">
        <w:rPr>
          <w:rFonts w:eastAsia="Calibri"/>
        </w:rPr>
        <w:t>Protectorates located in</w:t>
      </w:r>
      <w:r w:rsidR="004407C3" w:rsidRPr="008608AA">
        <w:rPr>
          <w:rFonts w:eastAsia="Calibri"/>
        </w:rPr>
        <w:t xml:space="preserve"> the Americas </w:t>
      </w:r>
      <w:r w:rsidR="008D550B" w:rsidRPr="008608AA">
        <w:rPr>
          <w:rFonts w:eastAsia="Calibri"/>
        </w:rPr>
        <w:t>were also not included in th</w:t>
      </w:r>
      <w:r w:rsidR="004407C3" w:rsidRPr="008608AA">
        <w:rPr>
          <w:rFonts w:eastAsia="Calibri"/>
        </w:rPr>
        <w:t>e following</w:t>
      </w:r>
      <w:r w:rsidR="008D550B" w:rsidRPr="008608AA">
        <w:rPr>
          <w:rFonts w:eastAsia="Calibri"/>
        </w:rPr>
        <w:t xml:space="preserve"> </w:t>
      </w:r>
      <w:r w:rsidR="004407C3" w:rsidRPr="008608AA">
        <w:rPr>
          <w:rFonts w:eastAsia="Calibri"/>
        </w:rPr>
        <w:t>sections</w:t>
      </w:r>
      <w:r w:rsidR="008D550B" w:rsidRPr="008608AA">
        <w:rPr>
          <w:rFonts w:eastAsia="Calibri"/>
        </w:rPr>
        <w:t>.</w:t>
      </w:r>
    </w:p>
    <w:p w14:paraId="24DD1648" w14:textId="2D9993B4" w:rsidR="001E61A6" w:rsidRPr="008608AA" w:rsidRDefault="001E61A6" w:rsidP="00CD61F3">
      <w:pPr>
        <w:rPr>
          <w:rFonts w:eastAsia="Calibri"/>
        </w:rPr>
      </w:pPr>
    </w:p>
    <w:p w14:paraId="50AC8200" w14:textId="6DF1BC15" w:rsidR="001E61A6" w:rsidRPr="008608AA" w:rsidRDefault="001E61A6" w:rsidP="001E61A6">
      <w:pPr>
        <w:pStyle w:val="Heading3"/>
      </w:pPr>
      <w:bookmarkStart w:id="1321" w:name="_Toc327179052"/>
      <w:bookmarkStart w:id="1322" w:name="_Toc357244075"/>
      <w:bookmarkStart w:id="1323" w:name="_Toc357981987"/>
      <w:bookmarkStart w:id="1324" w:name="_Toc357985205"/>
      <w:bookmarkStart w:id="1325" w:name="_Toc499459666"/>
      <w:bookmarkStart w:id="1326" w:name="_Toc503293131"/>
      <w:bookmarkStart w:id="1327" w:name="_Toc503293729"/>
      <w:bookmarkStart w:id="1328" w:name="_Toc503293991"/>
      <w:bookmarkStart w:id="1329" w:name="_Toc503863384"/>
      <w:bookmarkStart w:id="1330" w:name="_Toc503863612"/>
      <w:bookmarkStart w:id="1331" w:name="_Toc517393333"/>
      <w:bookmarkStart w:id="1332" w:name="_Toc517394390"/>
      <w:bookmarkStart w:id="1333" w:name="_Toc517719074"/>
      <w:bookmarkStart w:id="1334" w:name="_Toc517797031"/>
      <w:r w:rsidRPr="008608AA">
        <w:t>Governance systems and institutions (formal and informal)</w:t>
      </w:r>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p>
    <w:p w14:paraId="05041C89" w14:textId="417EF813" w:rsidR="001E61A6" w:rsidRPr="008608AA" w:rsidRDefault="001E61A6" w:rsidP="00757A46">
      <w:pPr>
        <w:spacing w:before="120"/>
        <w:rPr>
          <w:rFonts w:eastAsia="Calibri"/>
        </w:rPr>
      </w:pPr>
      <w:r w:rsidRPr="008608AA">
        <w:rPr>
          <w:rFonts w:eastAsia="Calibri"/>
        </w:rPr>
        <w:t xml:space="preserve">There is a widespread consensus that governance (see definition </w:t>
      </w:r>
      <w:r w:rsidR="00F112E8" w:rsidRPr="008608AA">
        <w:rPr>
          <w:rFonts w:eastAsia="Calibri"/>
        </w:rPr>
        <w:t>Box 4.2</w:t>
      </w:r>
      <w:r w:rsidRPr="008608AA">
        <w:rPr>
          <w:rFonts w:eastAsia="Calibri"/>
        </w:rPr>
        <w:t>) has a strong effect on environmental outcomes (Smith et al.</w:t>
      </w:r>
      <w:r w:rsidR="00B45DB6" w:rsidRPr="008608AA">
        <w:rPr>
          <w:rFonts w:eastAsia="Calibri"/>
        </w:rPr>
        <w:t>,</w:t>
      </w:r>
      <w:r w:rsidRPr="008608AA">
        <w:rPr>
          <w:rFonts w:eastAsia="Calibri"/>
        </w:rPr>
        <w:t xml:space="preserve"> 2003; Armitage et al.</w:t>
      </w:r>
      <w:r w:rsidR="00B45DB6" w:rsidRPr="008608AA">
        <w:rPr>
          <w:rFonts w:eastAsia="Calibri"/>
        </w:rPr>
        <w:t>,</w:t>
      </w:r>
      <w:r w:rsidRPr="008608AA">
        <w:rPr>
          <w:rFonts w:eastAsia="Calibri"/>
        </w:rPr>
        <w:t xml:space="preserve"> 2012; Delmas </w:t>
      </w:r>
      <w:r w:rsidR="00F76B15" w:rsidRPr="008608AA">
        <w:rPr>
          <w:rFonts w:eastAsia="Calibri"/>
        </w:rPr>
        <w:t>&amp;</w:t>
      </w:r>
      <w:r w:rsidRPr="008608AA">
        <w:rPr>
          <w:rFonts w:eastAsia="Calibri"/>
        </w:rPr>
        <w:t xml:space="preserve"> Young</w:t>
      </w:r>
      <w:r w:rsidR="00B45DB6" w:rsidRPr="008608AA">
        <w:rPr>
          <w:rFonts w:eastAsia="Calibri"/>
        </w:rPr>
        <w:t>,</w:t>
      </w:r>
      <w:r w:rsidRPr="008608AA">
        <w:rPr>
          <w:rFonts w:eastAsia="Calibri"/>
        </w:rPr>
        <w:t xml:space="preserve"> 2009; de Castro et al.</w:t>
      </w:r>
      <w:r w:rsidR="00B45DB6" w:rsidRPr="008608AA">
        <w:rPr>
          <w:rFonts w:eastAsia="Calibri"/>
        </w:rPr>
        <w:t>,</w:t>
      </w:r>
      <w:r w:rsidRPr="008608AA">
        <w:rPr>
          <w:rFonts w:eastAsia="Calibri"/>
        </w:rPr>
        <w:t xml:space="preserve"> 2016), although there is very limited empirical evidence relating governance measures to biodiversity and changes in ecosystem services. </w:t>
      </w:r>
    </w:p>
    <w:p w14:paraId="09C761C7" w14:textId="0E35500B" w:rsidR="001E61A6" w:rsidRPr="008608AA" w:rsidRDefault="001E61A6" w:rsidP="00757A46">
      <w:pPr>
        <w:spacing w:before="120"/>
        <w:rPr>
          <w:rFonts w:eastAsia="Calibri"/>
        </w:rPr>
      </w:pPr>
      <w:r w:rsidRPr="008608AA">
        <w:rPr>
          <w:rFonts w:eastAsia="Calibri"/>
        </w:rPr>
        <w:t xml:space="preserve">In response to such consensus, there is a growing demand for governance arising from human-environment interactions, which nonetheless is escorted by a declining confidence in the capacity of governments to address such matters (Delmas </w:t>
      </w:r>
      <w:r w:rsidR="00FC6F20" w:rsidRPr="008608AA">
        <w:rPr>
          <w:rFonts w:eastAsia="Calibri"/>
        </w:rPr>
        <w:t>&amp;</w:t>
      </w:r>
      <w:r w:rsidRPr="008608AA">
        <w:rPr>
          <w:rFonts w:eastAsia="Calibri"/>
        </w:rPr>
        <w:t xml:space="preserve"> Young</w:t>
      </w:r>
      <w:r w:rsidR="00B45DB6" w:rsidRPr="008608AA">
        <w:rPr>
          <w:rFonts w:eastAsia="Calibri"/>
        </w:rPr>
        <w:t>,</w:t>
      </w:r>
      <w:r w:rsidRPr="008608AA">
        <w:rPr>
          <w:rFonts w:eastAsia="Calibri"/>
        </w:rPr>
        <w:t xml:space="preserve"> 2009).</w:t>
      </w:r>
    </w:p>
    <w:p w14:paraId="4C3ACF21" w14:textId="43EB9F66" w:rsidR="00F112E8" w:rsidRPr="006D1B0B" w:rsidRDefault="001E61A6" w:rsidP="00757A46">
      <w:pPr>
        <w:spacing w:before="120"/>
        <w:rPr>
          <w:rFonts w:eastAsia="Calibri"/>
        </w:rPr>
      </w:pPr>
      <w:bookmarkStart w:id="1335" w:name="_Hlk494357245"/>
      <w:r w:rsidRPr="008608AA">
        <w:rPr>
          <w:rFonts w:eastAsia="Calibri"/>
        </w:rPr>
        <w:t xml:space="preserve">Rule of law, citizen’s rights of access to information, community participation and even access to justice have been recognized as a basis for poverty reduction and sustainable development </w:t>
      </w:r>
      <w:r w:rsidR="00F76B15" w:rsidRPr="008608AA">
        <w:rPr>
          <w:rFonts w:eastAsia="Calibri"/>
        </w:rPr>
        <w:t>as reflected by SDG</w:t>
      </w:r>
      <w:r w:rsidR="0060177B" w:rsidRPr="008608AA">
        <w:rPr>
          <w:rFonts w:eastAsia="Calibri"/>
        </w:rPr>
        <w:t>16 “Peace, justice and strong i</w:t>
      </w:r>
      <w:r w:rsidRPr="008608AA">
        <w:rPr>
          <w:rFonts w:eastAsia="Calibri"/>
        </w:rPr>
        <w:t xml:space="preserve">nstitutions”. Evidence from the Americas reveals important differences across </w:t>
      </w:r>
      <w:r w:rsidR="007C45FD" w:rsidRPr="008608AA">
        <w:rPr>
          <w:rFonts w:eastAsia="Calibri"/>
        </w:rPr>
        <w:t>sub</w:t>
      </w:r>
      <w:r w:rsidRPr="008608AA">
        <w:rPr>
          <w:rFonts w:eastAsia="Calibri"/>
        </w:rPr>
        <w:t xml:space="preserve">regions for major governance indicators (defined </w:t>
      </w:r>
      <w:r w:rsidR="00F112E8" w:rsidRPr="008608AA">
        <w:rPr>
          <w:rFonts w:eastAsia="Calibri"/>
        </w:rPr>
        <w:t>Box 4.3</w:t>
      </w:r>
      <w:r w:rsidRPr="008608AA">
        <w:rPr>
          <w:rFonts w:eastAsia="Calibri"/>
        </w:rPr>
        <w:t xml:space="preserve">) in the last two decades, as reported by the World Bank </w:t>
      </w:r>
      <w:r w:rsidR="006D1B0B">
        <w:rPr>
          <w:rFonts w:eastAsia="Calibri"/>
        </w:rPr>
        <w:t>Figure 4.2.</w:t>
      </w:r>
      <w:r w:rsidR="00F112E8" w:rsidRPr="006D1B0B">
        <w:rPr>
          <w:rFonts w:eastAsia="Calibri"/>
        </w:rPr>
        <w:br w:type="page"/>
      </w:r>
    </w:p>
    <w:p w14:paraId="0B8AEE53" w14:textId="405C47ED" w:rsidR="001E61A6" w:rsidRPr="008B3BCD" w:rsidRDefault="00757A46" w:rsidP="00757A46">
      <w:pPr>
        <w:pStyle w:val="Caption"/>
        <w:rPr>
          <w:rFonts w:eastAsia="Calibri"/>
          <w:szCs w:val="22"/>
          <w:lang w:val="en-US"/>
        </w:rPr>
      </w:pPr>
      <w:bookmarkStart w:id="1336" w:name="_Toc499200374"/>
      <w:bookmarkStart w:id="1337" w:name="_Toc499459217"/>
      <w:bookmarkEnd w:id="1335"/>
      <w:r w:rsidRPr="008B3BCD">
        <w:rPr>
          <w:lang w:val="en-US"/>
        </w:rPr>
        <w:t xml:space="preserve">Box </w:t>
      </w:r>
      <w:r w:rsidR="00963AF9" w:rsidRPr="008608AA">
        <w:fldChar w:fldCharType="begin"/>
      </w:r>
      <w:r w:rsidR="00963AF9" w:rsidRPr="008B3BCD">
        <w:rPr>
          <w:lang w:val="en-US"/>
        </w:rPr>
        <w:instrText xml:space="preserve"> STYLEREF 1 \s </w:instrText>
      </w:r>
      <w:r w:rsidR="00963AF9" w:rsidRPr="008608AA">
        <w:fldChar w:fldCharType="separate"/>
      </w:r>
      <w:r w:rsidR="00402074" w:rsidRPr="008B3BCD">
        <w:rPr>
          <w:noProof/>
          <w:lang w:val="en-US"/>
        </w:rPr>
        <w:t>4</w:t>
      </w:r>
      <w:r w:rsidR="00963AF9" w:rsidRPr="008608AA">
        <w:rPr>
          <w:noProof/>
        </w:rPr>
        <w:fldChar w:fldCharType="end"/>
      </w:r>
      <w:r w:rsidR="00BD08BA" w:rsidRPr="008B3BCD">
        <w:rPr>
          <w:lang w:val="en-US"/>
        </w:rPr>
        <w:t>.</w:t>
      </w:r>
      <w:r w:rsidR="00963AF9" w:rsidRPr="008608AA">
        <w:fldChar w:fldCharType="begin"/>
      </w:r>
      <w:r w:rsidR="00963AF9" w:rsidRPr="008B3BCD">
        <w:rPr>
          <w:lang w:val="en-US"/>
        </w:rPr>
        <w:instrText xml:space="preserve"> SEQ Box \* ARABIC \s 1 </w:instrText>
      </w:r>
      <w:r w:rsidR="00963AF9" w:rsidRPr="008608AA">
        <w:fldChar w:fldCharType="separate"/>
      </w:r>
      <w:r w:rsidR="00402074" w:rsidRPr="008B3BCD">
        <w:rPr>
          <w:noProof/>
          <w:lang w:val="en-US"/>
        </w:rPr>
        <w:t>2</w:t>
      </w:r>
      <w:r w:rsidR="00963AF9" w:rsidRPr="008608AA">
        <w:rPr>
          <w:noProof/>
        </w:rPr>
        <w:fldChar w:fldCharType="end"/>
      </w:r>
      <w:r w:rsidRPr="008B3BCD">
        <w:rPr>
          <w:lang w:val="en-US"/>
        </w:rPr>
        <w:t xml:space="preserve">. </w:t>
      </w:r>
      <w:r w:rsidR="001E61A6" w:rsidRPr="008B3BCD">
        <w:rPr>
          <w:szCs w:val="22"/>
          <w:lang w:val="en-US"/>
        </w:rPr>
        <w:t>The meaning of governance</w:t>
      </w:r>
      <w:bookmarkEnd w:id="1336"/>
      <w:bookmarkEnd w:id="1337"/>
    </w:p>
    <w:tbl>
      <w:tblPr>
        <w:tblStyle w:val="TableGrid"/>
        <w:tblW w:w="5000" w:type="pct"/>
        <w:tblLook w:val="04A0" w:firstRow="1" w:lastRow="0" w:firstColumn="1" w:lastColumn="0" w:noHBand="0" w:noVBand="1"/>
      </w:tblPr>
      <w:tblGrid>
        <w:gridCol w:w="9487"/>
      </w:tblGrid>
      <w:tr w:rsidR="001E61A6" w:rsidRPr="00A26FD5" w14:paraId="6171BA4F" w14:textId="77777777" w:rsidTr="00F112E8">
        <w:tc>
          <w:tcPr>
            <w:tcW w:w="5000" w:type="pct"/>
            <w:shd w:val="clear" w:color="auto" w:fill="auto"/>
          </w:tcPr>
          <w:p w14:paraId="6BE59907" w14:textId="64F8C2C9" w:rsidR="001E61A6" w:rsidRPr="00A26FD5" w:rsidRDefault="001E61A6" w:rsidP="00757A46">
            <w:pPr>
              <w:spacing w:before="120"/>
              <w:rPr>
                <w:rFonts w:eastAsia="Calibri"/>
                <w:szCs w:val="22"/>
              </w:rPr>
            </w:pPr>
            <w:r w:rsidRPr="00A26FD5">
              <w:rPr>
                <w:rFonts w:eastAsia="Calibri"/>
                <w:szCs w:val="22"/>
              </w:rPr>
              <w:t>The broader definitions of governance are linked to international agencies (e.g. World Bank and Organization for Economic Cooperation and Development</w:t>
            </w:r>
            <w:r w:rsidR="0060177B" w:rsidRPr="00A26FD5">
              <w:rPr>
                <w:rFonts w:eastAsia="Calibri"/>
                <w:szCs w:val="22"/>
              </w:rPr>
              <w:t>, OECD</w:t>
            </w:r>
            <w:r w:rsidRPr="00A26FD5">
              <w:rPr>
                <w:rFonts w:eastAsia="Calibri"/>
                <w:szCs w:val="22"/>
              </w:rPr>
              <w:t>) and standards of “good” public governance (Armitage et al.</w:t>
            </w:r>
            <w:r w:rsidR="00B45DB6" w:rsidRPr="00A26FD5">
              <w:rPr>
                <w:rFonts w:eastAsia="Calibri"/>
                <w:szCs w:val="22"/>
              </w:rPr>
              <w:t>,</w:t>
            </w:r>
            <w:r w:rsidRPr="00A26FD5">
              <w:rPr>
                <w:rFonts w:eastAsia="Calibri"/>
                <w:szCs w:val="22"/>
              </w:rPr>
              <w:t xml:space="preserve"> 2012). These standards encompass accountability, transparency, responsiveness, equity and inclusion, effectiveness and efficiency, following the rule of law, and participatory, consensus-oriented decision making (Crabbé </w:t>
            </w:r>
            <w:r w:rsidR="00FC6F20" w:rsidRPr="00A26FD5">
              <w:rPr>
                <w:rFonts w:eastAsia="Calibri"/>
                <w:szCs w:val="22"/>
              </w:rPr>
              <w:t>&amp;</w:t>
            </w:r>
            <w:r w:rsidRPr="00A26FD5">
              <w:rPr>
                <w:rFonts w:eastAsia="Calibri"/>
                <w:szCs w:val="22"/>
              </w:rPr>
              <w:t xml:space="preserve"> LeRoy</w:t>
            </w:r>
            <w:r w:rsidR="00B45DB6" w:rsidRPr="00A26FD5">
              <w:rPr>
                <w:rFonts w:eastAsia="Calibri"/>
                <w:szCs w:val="22"/>
              </w:rPr>
              <w:t>,</w:t>
            </w:r>
            <w:r w:rsidRPr="00A26FD5">
              <w:rPr>
                <w:rFonts w:eastAsia="Calibri"/>
                <w:szCs w:val="22"/>
              </w:rPr>
              <w:t xml:space="preserve"> 2008). </w:t>
            </w:r>
          </w:p>
          <w:p w14:paraId="622C8831" w14:textId="61C1C12F" w:rsidR="001E61A6" w:rsidRPr="00A26FD5" w:rsidRDefault="001E61A6" w:rsidP="00757A46">
            <w:pPr>
              <w:spacing w:before="120"/>
              <w:rPr>
                <w:rFonts w:eastAsia="Calibri"/>
                <w:szCs w:val="22"/>
              </w:rPr>
            </w:pPr>
            <w:r w:rsidRPr="00A26FD5">
              <w:rPr>
                <w:rFonts w:eastAsia="Calibri"/>
                <w:szCs w:val="22"/>
              </w:rPr>
              <w:t>Environmental governance, as a subclass of the broader governance concept, has been defined as “the set of regulatory processes, mechanisms and organizations through which political actors influence environmental actions and ou</w:t>
            </w:r>
            <w:r w:rsidR="00221F93" w:rsidRPr="00A26FD5">
              <w:rPr>
                <w:rFonts w:eastAsia="Calibri"/>
                <w:szCs w:val="22"/>
              </w:rPr>
              <w:t xml:space="preserve">tcomes” (Lemos </w:t>
            </w:r>
            <w:r w:rsidR="00FC6F20" w:rsidRPr="00A26FD5">
              <w:rPr>
                <w:rFonts w:eastAsia="Calibri"/>
                <w:szCs w:val="22"/>
              </w:rPr>
              <w:t>&amp;</w:t>
            </w:r>
            <w:r w:rsidR="00221F93" w:rsidRPr="00A26FD5">
              <w:rPr>
                <w:rFonts w:eastAsia="Calibri"/>
                <w:szCs w:val="22"/>
              </w:rPr>
              <w:t xml:space="preserve"> Agrawal, 2006</w:t>
            </w:r>
            <w:r w:rsidRPr="00A26FD5">
              <w:rPr>
                <w:rFonts w:eastAsia="Calibri"/>
                <w:szCs w:val="22"/>
              </w:rPr>
              <w:t>), and it “should be understood broadly so as to include all institutional solutions for resolving conflicts over environ</w:t>
            </w:r>
            <w:r w:rsidR="00221F93" w:rsidRPr="00A26FD5">
              <w:rPr>
                <w:rFonts w:eastAsia="Calibri"/>
                <w:szCs w:val="22"/>
              </w:rPr>
              <w:t>mental resources” (Paavola, 2007</w:t>
            </w:r>
            <w:r w:rsidRPr="00A26FD5">
              <w:rPr>
                <w:rFonts w:eastAsia="Calibri"/>
                <w:szCs w:val="22"/>
              </w:rPr>
              <w:t xml:space="preserve">). </w:t>
            </w:r>
          </w:p>
        </w:tc>
      </w:tr>
    </w:tbl>
    <w:p w14:paraId="5BBC9AF8" w14:textId="067A4BD8" w:rsidR="001E61A6" w:rsidRPr="008608AA" w:rsidRDefault="001E61A6" w:rsidP="00757A46">
      <w:pPr>
        <w:spacing w:before="240"/>
        <w:rPr>
          <w:rFonts w:eastAsia="Calibri"/>
        </w:rPr>
      </w:pPr>
      <w:r w:rsidRPr="008608AA">
        <w:rPr>
          <w:rFonts w:eastAsia="Calibri"/>
        </w:rPr>
        <w:t xml:space="preserve">Voice and accountability shows a decrease after </w:t>
      </w:r>
      <w:r w:rsidR="0060177B" w:rsidRPr="008608AA">
        <w:rPr>
          <w:rFonts w:eastAsia="Calibri"/>
        </w:rPr>
        <w:t>2004, except for the Caribbean i</w:t>
      </w:r>
      <w:r w:rsidRPr="008608AA">
        <w:rPr>
          <w:rFonts w:eastAsia="Calibri"/>
        </w:rPr>
        <w:t xml:space="preserve">slands. In turn, political stability and no violence fluctuated and decreased in North America until 2004 and then slightly recovered afterwards in all </w:t>
      </w:r>
      <w:r w:rsidR="007C45FD" w:rsidRPr="008608AA">
        <w:rPr>
          <w:rFonts w:eastAsia="Calibri"/>
        </w:rPr>
        <w:t>sub</w:t>
      </w:r>
      <w:r w:rsidRPr="008608AA">
        <w:rPr>
          <w:rFonts w:eastAsia="Calibri"/>
        </w:rPr>
        <w:t xml:space="preserve">regions. The other four indicators have remained largely stable over time according to public perception, with Mesoamerica and South America below the other two </w:t>
      </w:r>
      <w:r w:rsidR="007C45FD" w:rsidRPr="008608AA">
        <w:rPr>
          <w:rFonts w:eastAsia="Calibri"/>
        </w:rPr>
        <w:t>sub</w:t>
      </w:r>
      <w:r w:rsidRPr="008608AA">
        <w:rPr>
          <w:rFonts w:eastAsia="Calibri"/>
        </w:rPr>
        <w:t>regions. Yet, these aggregate figures hide particularities of specific countries and they should be taken carefully. These indicators have been criticized for their “construct validity”, that is, whether the indicators measure what they intend to measure (Thomas</w:t>
      </w:r>
      <w:r w:rsidR="00221F93" w:rsidRPr="008608AA">
        <w:rPr>
          <w:rFonts w:eastAsia="Calibri"/>
        </w:rPr>
        <w:t>,</w:t>
      </w:r>
      <w:r w:rsidRPr="008608AA">
        <w:rPr>
          <w:rFonts w:eastAsia="Calibri"/>
        </w:rPr>
        <w:t xml:space="preserve"> 2010), and for their methodology being too broad and biased (Langbein </w:t>
      </w:r>
      <w:r w:rsidR="00221F93" w:rsidRPr="008608AA">
        <w:rPr>
          <w:rFonts w:eastAsia="Calibri"/>
        </w:rPr>
        <w:t>&amp;</w:t>
      </w:r>
      <w:r w:rsidRPr="008608AA">
        <w:rPr>
          <w:rFonts w:eastAsia="Calibri"/>
        </w:rPr>
        <w:t xml:space="preserve"> Knack</w:t>
      </w:r>
      <w:r w:rsidR="00221F93" w:rsidRPr="008608AA">
        <w:rPr>
          <w:rFonts w:eastAsia="Calibri"/>
        </w:rPr>
        <w:t>,</w:t>
      </w:r>
      <w:r w:rsidRPr="008608AA">
        <w:rPr>
          <w:rFonts w:eastAsia="Calibri"/>
        </w:rPr>
        <w:t xml:space="preserve"> 2010). These and previous critiques have been in turn contested (Kaufmann et al.</w:t>
      </w:r>
      <w:r w:rsidR="00221F93" w:rsidRPr="008608AA">
        <w:rPr>
          <w:rFonts w:eastAsia="Calibri"/>
        </w:rPr>
        <w:t>,</w:t>
      </w:r>
      <w:r w:rsidRPr="008608AA">
        <w:rPr>
          <w:rFonts w:eastAsia="Calibri"/>
        </w:rPr>
        <w:t xml:space="preserve"> 2007a, b), assuring the validity of the indicators and </w:t>
      </w:r>
      <w:bookmarkStart w:id="1338" w:name="_Hlk494357256"/>
      <w:r w:rsidRPr="008608AA">
        <w:rPr>
          <w:rFonts w:eastAsia="Calibri"/>
        </w:rPr>
        <w:t xml:space="preserve">the methodological procedures. </w:t>
      </w:r>
    </w:p>
    <w:p w14:paraId="13528679" w14:textId="110CA70C" w:rsidR="001E61A6" w:rsidRPr="008608AA" w:rsidRDefault="00757A46" w:rsidP="00757A46">
      <w:pPr>
        <w:pStyle w:val="Caption"/>
        <w:rPr>
          <w:rFonts w:eastAsia="Calibri"/>
          <w:b w:val="0"/>
          <w:szCs w:val="22"/>
        </w:rPr>
      </w:pPr>
      <w:bookmarkStart w:id="1339" w:name="_Toc499200375"/>
      <w:bookmarkStart w:id="1340" w:name="_Toc499459218"/>
      <w:bookmarkEnd w:id="1338"/>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3</w:t>
      </w:r>
      <w:r w:rsidR="000E562E">
        <w:rPr>
          <w:noProof/>
        </w:rPr>
        <w:fldChar w:fldCharType="end"/>
      </w:r>
      <w:r w:rsidRPr="008608AA">
        <w:t xml:space="preserve">. </w:t>
      </w:r>
      <w:r w:rsidR="001E61A6" w:rsidRPr="008608AA">
        <w:rPr>
          <w:szCs w:val="22"/>
        </w:rPr>
        <w:t xml:space="preserve">Definitions of governance indicators (Reproduced from Kaufmann et al. </w:t>
      </w:r>
      <w:r w:rsidR="001C32D3" w:rsidRPr="008608AA">
        <w:rPr>
          <w:szCs w:val="22"/>
        </w:rPr>
        <w:t>(</w:t>
      </w:r>
      <w:r w:rsidR="001E61A6" w:rsidRPr="008608AA">
        <w:rPr>
          <w:szCs w:val="22"/>
        </w:rPr>
        <w:t>2010)</w:t>
      </w:r>
      <w:bookmarkEnd w:id="1339"/>
      <w:bookmarkEnd w:id="1340"/>
    </w:p>
    <w:tbl>
      <w:tblPr>
        <w:tblStyle w:val="TableGrid"/>
        <w:tblW w:w="5000" w:type="pct"/>
        <w:tblLook w:val="04A0" w:firstRow="1" w:lastRow="0" w:firstColumn="1" w:lastColumn="0" w:noHBand="0" w:noVBand="1"/>
      </w:tblPr>
      <w:tblGrid>
        <w:gridCol w:w="9487"/>
      </w:tblGrid>
      <w:tr w:rsidR="001E61A6" w:rsidRPr="00A26FD5" w14:paraId="3A2B328A" w14:textId="77777777" w:rsidTr="00F112E8">
        <w:tc>
          <w:tcPr>
            <w:tcW w:w="5000" w:type="pct"/>
            <w:shd w:val="clear" w:color="auto" w:fill="auto"/>
          </w:tcPr>
          <w:p w14:paraId="5FFD951D" w14:textId="77F1FED1" w:rsidR="001E61A6" w:rsidRPr="00A26FD5" w:rsidRDefault="0060177B" w:rsidP="00757A46">
            <w:pPr>
              <w:spacing w:before="120"/>
              <w:rPr>
                <w:rFonts w:eastAsia="Calibri"/>
                <w:szCs w:val="22"/>
              </w:rPr>
            </w:pPr>
            <w:r w:rsidRPr="00A26FD5">
              <w:rPr>
                <w:rFonts w:eastAsia="Calibri"/>
                <w:szCs w:val="22"/>
              </w:rPr>
              <w:t>Voice and a</w:t>
            </w:r>
            <w:r w:rsidR="001E61A6" w:rsidRPr="00A26FD5">
              <w:rPr>
                <w:rFonts w:eastAsia="Calibri"/>
                <w:szCs w:val="22"/>
              </w:rPr>
              <w:t>ccountability, capturing perceptions of the extent to which a country's citizens are able to participate in selecting their government, as well as freedom of expression, freedom of association, and a free media.</w:t>
            </w:r>
          </w:p>
          <w:p w14:paraId="1E4E6C7A" w14:textId="47FCF9F4" w:rsidR="001E61A6" w:rsidRPr="00A26FD5" w:rsidRDefault="0060177B" w:rsidP="00757A46">
            <w:pPr>
              <w:spacing w:before="120"/>
              <w:rPr>
                <w:rFonts w:eastAsia="Calibri"/>
                <w:szCs w:val="22"/>
              </w:rPr>
            </w:pPr>
            <w:r w:rsidRPr="00A26FD5">
              <w:rPr>
                <w:rFonts w:eastAsia="Calibri"/>
                <w:szCs w:val="22"/>
              </w:rPr>
              <w:t>Political stability and absence of violence/t</w:t>
            </w:r>
            <w:r w:rsidR="001E61A6" w:rsidRPr="00A26FD5">
              <w:rPr>
                <w:rFonts w:eastAsia="Calibri"/>
                <w:szCs w:val="22"/>
              </w:rPr>
              <w:t>errorism, capturing perceptions of the likelihood that the government will be destabilized or overthrown by unconstitutional or violent means, including politically-motivated violence and terrorism.</w:t>
            </w:r>
          </w:p>
          <w:p w14:paraId="41A45039" w14:textId="1F836364" w:rsidR="001E61A6" w:rsidRPr="00A26FD5" w:rsidRDefault="0060177B" w:rsidP="00757A46">
            <w:pPr>
              <w:spacing w:before="120"/>
              <w:rPr>
                <w:rFonts w:eastAsia="Calibri"/>
                <w:szCs w:val="22"/>
              </w:rPr>
            </w:pPr>
            <w:r w:rsidRPr="00A26FD5">
              <w:rPr>
                <w:rFonts w:eastAsia="Calibri"/>
                <w:szCs w:val="22"/>
              </w:rPr>
              <w:t>Government e</w:t>
            </w:r>
            <w:r w:rsidR="001E61A6" w:rsidRPr="00A26FD5">
              <w:rPr>
                <w:rFonts w:eastAsia="Calibri"/>
                <w:szCs w:val="22"/>
              </w:rPr>
              <w:t>ffectiveness, capturing perceptions of the quality of public services, the quality of the civil service and the degree of its independence from political pressures, the quality of policy formulation and implementation, and the credibility of the government's commitment to such policies.</w:t>
            </w:r>
          </w:p>
          <w:p w14:paraId="57A6749F" w14:textId="5DB9BE8D" w:rsidR="001E61A6" w:rsidRPr="00A26FD5" w:rsidRDefault="0060177B" w:rsidP="00757A46">
            <w:pPr>
              <w:spacing w:before="120"/>
              <w:rPr>
                <w:rFonts w:eastAsia="Calibri"/>
                <w:szCs w:val="22"/>
              </w:rPr>
            </w:pPr>
            <w:r w:rsidRPr="00A26FD5">
              <w:rPr>
                <w:rFonts w:eastAsia="Calibri"/>
                <w:szCs w:val="22"/>
              </w:rPr>
              <w:t>Regulatory q</w:t>
            </w:r>
            <w:r w:rsidR="001E61A6" w:rsidRPr="00A26FD5">
              <w:rPr>
                <w:rFonts w:eastAsia="Calibri"/>
                <w:szCs w:val="22"/>
              </w:rPr>
              <w:t>uality, capturing perceptions of the ability of the government to formulate and implement sound policies and regulations that permit and promote private sector development.</w:t>
            </w:r>
          </w:p>
          <w:p w14:paraId="27D4D067" w14:textId="591BAE05" w:rsidR="001E61A6" w:rsidRPr="00A26FD5" w:rsidRDefault="001E61A6" w:rsidP="00757A46">
            <w:pPr>
              <w:spacing w:before="120"/>
              <w:rPr>
                <w:rFonts w:eastAsia="Calibri"/>
                <w:szCs w:val="22"/>
              </w:rPr>
            </w:pPr>
            <w:r w:rsidRPr="00A26FD5">
              <w:rPr>
                <w:rFonts w:eastAsia="Calibri"/>
                <w:szCs w:val="22"/>
              </w:rPr>
              <w:t>Contr</w:t>
            </w:r>
            <w:r w:rsidR="0060177B" w:rsidRPr="00A26FD5">
              <w:rPr>
                <w:rFonts w:eastAsia="Calibri"/>
                <w:szCs w:val="22"/>
              </w:rPr>
              <w:t>ol of c</w:t>
            </w:r>
            <w:r w:rsidRPr="00A26FD5">
              <w:rPr>
                <w:rFonts w:eastAsia="Calibri"/>
                <w:szCs w:val="22"/>
              </w:rPr>
              <w:t xml:space="preserve">orruption, capturing perceptions of the extent to which public power is exercised for private gain, including both petty and grand forms of corruption, as well as “capture” of the state by elites and private interests. </w:t>
            </w:r>
          </w:p>
          <w:p w14:paraId="2A4BD4B0" w14:textId="174039E9" w:rsidR="001E61A6" w:rsidRPr="00A26FD5" w:rsidRDefault="0060177B" w:rsidP="00757A46">
            <w:pPr>
              <w:spacing w:before="120"/>
              <w:rPr>
                <w:rFonts w:eastAsia="Calibri"/>
                <w:szCs w:val="22"/>
              </w:rPr>
            </w:pPr>
            <w:r w:rsidRPr="00A26FD5">
              <w:rPr>
                <w:rFonts w:eastAsia="Calibri"/>
                <w:szCs w:val="22"/>
              </w:rPr>
              <w:t>Rule of l</w:t>
            </w:r>
            <w:r w:rsidR="001E61A6" w:rsidRPr="00A26FD5">
              <w:rPr>
                <w:rFonts w:eastAsia="Calibri"/>
                <w:szCs w:val="22"/>
              </w:rPr>
              <w:t>aw, capturing perceptions of the extent to which agents have confidence in and abide by the rules of society, and in particular the quality of contract enforcement, property rights, the police, and the courts, as well as the likelihood of crim</w:t>
            </w:r>
            <w:r w:rsidRPr="00A26FD5">
              <w:rPr>
                <w:rFonts w:eastAsia="Calibri"/>
                <w:szCs w:val="22"/>
              </w:rPr>
              <w:t>e and violence (s</w:t>
            </w:r>
            <w:r w:rsidR="00A47F44" w:rsidRPr="00A26FD5">
              <w:rPr>
                <w:rFonts w:eastAsia="Calibri"/>
                <w:szCs w:val="22"/>
              </w:rPr>
              <w:t xml:space="preserve">ee Chapter 2, section </w:t>
            </w:r>
            <w:r w:rsidR="001E61A6" w:rsidRPr="00A26FD5">
              <w:rPr>
                <w:rFonts w:eastAsia="Calibri"/>
                <w:szCs w:val="22"/>
              </w:rPr>
              <w:t>2.6).</w:t>
            </w:r>
          </w:p>
        </w:tc>
      </w:tr>
    </w:tbl>
    <w:p w14:paraId="263EA05E" w14:textId="1134AE6A" w:rsidR="001E61A6" w:rsidRPr="008608AA" w:rsidRDefault="001E61A6" w:rsidP="00757A46">
      <w:pPr>
        <w:spacing w:before="240"/>
        <w:rPr>
          <w:rFonts w:eastAsia="Calibri"/>
        </w:rPr>
      </w:pPr>
      <w:r w:rsidRPr="008608AA">
        <w:rPr>
          <w:rFonts w:eastAsia="Calibri"/>
        </w:rPr>
        <w:t>Reinforcing the rule of law in the environmental domain from current levels is critical to th</w:t>
      </w:r>
      <w:r w:rsidR="0060177B" w:rsidRPr="008608AA">
        <w:rPr>
          <w:rFonts w:eastAsia="Calibri"/>
        </w:rPr>
        <w:t>e achievement of SDG and Aichi targets in the r</w:t>
      </w:r>
      <w:r w:rsidRPr="008608AA">
        <w:rPr>
          <w:rFonts w:eastAsia="Calibri"/>
        </w:rPr>
        <w:t>egion. The importance of this matter was first recognized by the Rio Declaration and has been recently corroborated by the International Union for Conservation of Nature</w:t>
      </w:r>
      <w:r w:rsidR="006874B5" w:rsidRPr="008608AA">
        <w:rPr>
          <w:rFonts w:eastAsia="Calibri"/>
        </w:rPr>
        <w:t xml:space="preserve"> (IUCN)</w:t>
      </w:r>
      <w:r w:rsidRPr="008608AA">
        <w:rPr>
          <w:rFonts w:eastAsia="Calibri"/>
        </w:rPr>
        <w:t xml:space="preserve"> World Declaration on the Environmental Rule of Law in 2017. “Without the environmental rule of law and the enforcement of legal rights and obligations, environmental governance, conservation and protection may be arbitrary, subjective, </w:t>
      </w:r>
      <w:r w:rsidR="00221F93" w:rsidRPr="008608AA">
        <w:rPr>
          <w:rFonts w:eastAsia="Calibri"/>
        </w:rPr>
        <w:t>and unpredictable” (IUCN, 2017</w:t>
      </w:r>
      <w:r w:rsidRPr="008608AA">
        <w:rPr>
          <w:rFonts w:eastAsia="Calibri"/>
        </w:rPr>
        <w:t xml:space="preserve">). </w:t>
      </w:r>
    </w:p>
    <w:p w14:paraId="4B9AED85" w14:textId="36BFA5FA" w:rsidR="001E61A6" w:rsidRPr="008608AA" w:rsidRDefault="001E61A6" w:rsidP="00757A46">
      <w:pPr>
        <w:spacing w:before="120"/>
        <w:rPr>
          <w:rFonts w:eastAsia="Calibri"/>
        </w:rPr>
      </w:pPr>
      <w:r w:rsidRPr="008608AA">
        <w:rPr>
          <w:rFonts w:eastAsia="Calibri"/>
        </w:rPr>
        <w:t>On the other hand, the impacts of political instability on natural resources use have bee</w:t>
      </w:r>
      <w:r w:rsidR="006874B5" w:rsidRPr="008608AA">
        <w:rPr>
          <w:rFonts w:eastAsia="Calibri"/>
        </w:rPr>
        <w:t>n tremendously negative in the r</w:t>
      </w:r>
      <w:r w:rsidRPr="008608AA">
        <w:rPr>
          <w:rFonts w:eastAsia="Calibri"/>
        </w:rPr>
        <w:t>egion (Baud et al.</w:t>
      </w:r>
      <w:r w:rsidR="00221F93" w:rsidRPr="008608AA">
        <w:rPr>
          <w:rFonts w:eastAsia="Calibri"/>
        </w:rPr>
        <w:t>,</w:t>
      </w:r>
      <w:r w:rsidRPr="008608AA">
        <w:rPr>
          <w:rFonts w:eastAsia="Calibri"/>
        </w:rPr>
        <w:t xml:space="preserve"> 2011; Ruyle</w:t>
      </w:r>
      <w:r w:rsidR="00221F93" w:rsidRPr="008608AA">
        <w:rPr>
          <w:rFonts w:eastAsia="Calibri"/>
        </w:rPr>
        <w:t>,</w:t>
      </w:r>
      <w:r w:rsidRPr="008608AA">
        <w:rPr>
          <w:rFonts w:eastAsia="Calibri"/>
        </w:rPr>
        <w:t xml:space="preserve"> 2017), particularly in South America in the last decade (Arsel et al.</w:t>
      </w:r>
      <w:r w:rsidR="00221F93" w:rsidRPr="008608AA">
        <w:rPr>
          <w:rFonts w:eastAsia="Calibri"/>
        </w:rPr>
        <w:t>,</w:t>
      </w:r>
      <w:r w:rsidRPr="008608AA">
        <w:rPr>
          <w:rFonts w:eastAsia="Calibri"/>
        </w:rPr>
        <w:t xml:space="preserve"> 2016). The most prominent conflicts concern mining in Brazil (see for example Tofóli et al.</w:t>
      </w:r>
      <w:r w:rsidR="00221F93" w:rsidRPr="008608AA">
        <w:rPr>
          <w:rFonts w:eastAsia="Calibri"/>
        </w:rPr>
        <w:t>,</w:t>
      </w:r>
      <w:r w:rsidRPr="008608AA">
        <w:rPr>
          <w:rFonts w:eastAsia="Calibri"/>
        </w:rPr>
        <w:t xml:space="preserve"> 2017), Ecuador (Avci </w:t>
      </w:r>
      <w:r w:rsidR="00221F93" w:rsidRPr="008608AA">
        <w:rPr>
          <w:rFonts w:eastAsia="Calibri"/>
        </w:rPr>
        <w:t>&amp;</w:t>
      </w:r>
      <w:r w:rsidRPr="008608AA">
        <w:rPr>
          <w:rFonts w:eastAsia="Calibri"/>
        </w:rPr>
        <w:t xml:space="preserve"> Fernández-Salvador</w:t>
      </w:r>
      <w:r w:rsidR="00221F93" w:rsidRPr="008608AA">
        <w:rPr>
          <w:rFonts w:eastAsia="Calibri"/>
        </w:rPr>
        <w:t>,</w:t>
      </w:r>
      <w:r w:rsidRPr="008608AA">
        <w:rPr>
          <w:rFonts w:eastAsia="Calibri"/>
        </w:rPr>
        <w:t xml:space="preserve"> 2016), Honduras (Middeldorp et al.</w:t>
      </w:r>
      <w:r w:rsidR="00221F93" w:rsidRPr="008608AA">
        <w:rPr>
          <w:rFonts w:eastAsia="Calibri"/>
        </w:rPr>
        <w:t>,</w:t>
      </w:r>
      <w:r w:rsidRPr="008608AA">
        <w:rPr>
          <w:rFonts w:eastAsia="Calibri"/>
        </w:rPr>
        <w:t xml:space="preserve"> 2016) and Peru (Paredes</w:t>
      </w:r>
      <w:r w:rsidR="001C32D3" w:rsidRPr="008608AA">
        <w:rPr>
          <w:rFonts w:eastAsia="Calibri"/>
        </w:rPr>
        <w:t>,</w:t>
      </w:r>
      <w:r w:rsidRPr="008608AA">
        <w:rPr>
          <w:rFonts w:eastAsia="Calibri"/>
        </w:rPr>
        <w:t xml:space="preserve"> 2016), the use of rangelands for energy production (e.g. biofuels, solar) in the USA, Mexico and Canada (Kreuter et al.</w:t>
      </w:r>
      <w:r w:rsidR="001C32D3" w:rsidRPr="008608AA">
        <w:rPr>
          <w:rFonts w:eastAsia="Calibri"/>
        </w:rPr>
        <w:t>,</w:t>
      </w:r>
      <w:r w:rsidRPr="008608AA">
        <w:rPr>
          <w:rFonts w:eastAsia="Calibri"/>
        </w:rPr>
        <w:t xml:space="preserve"> 2016), water use in most countries (Philpot </w:t>
      </w:r>
      <w:r w:rsidR="00221F93" w:rsidRPr="008608AA">
        <w:rPr>
          <w:rFonts w:eastAsia="Calibri"/>
        </w:rPr>
        <w:t>et al.,</w:t>
      </w:r>
      <w:r w:rsidRPr="008608AA">
        <w:rPr>
          <w:rFonts w:eastAsia="Calibri"/>
        </w:rPr>
        <w:t xml:space="preserve"> 2016), oil investments in Canada (Hebblewhite</w:t>
      </w:r>
      <w:r w:rsidR="001C32D3" w:rsidRPr="008608AA">
        <w:rPr>
          <w:rFonts w:eastAsia="Calibri"/>
        </w:rPr>
        <w:t>,</w:t>
      </w:r>
      <w:r w:rsidRPr="008608AA">
        <w:rPr>
          <w:rFonts w:eastAsia="Calibri"/>
        </w:rPr>
        <w:t xml:space="preserve"> 2017), and hydroelectricity projects on indigenous lands in Chile (Silva 2016), Colombia (Martínez </w:t>
      </w:r>
      <w:r w:rsidR="001C32D3" w:rsidRPr="008608AA">
        <w:rPr>
          <w:rFonts w:eastAsia="Calibri"/>
        </w:rPr>
        <w:t>&amp;</w:t>
      </w:r>
      <w:r w:rsidRPr="008608AA">
        <w:rPr>
          <w:rFonts w:eastAsia="Calibri"/>
        </w:rPr>
        <w:t xml:space="preserve"> Castillo</w:t>
      </w:r>
      <w:r w:rsidR="001C32D3" w:rsidRPr="008608AA">
        <w:rPr>
          <w:rFonts w:eastAsia="Calibri"/>
        </w:rPr>
        <w:t>,</w:t>
      </w:r>
      <w:r w:rsidRPr="008608AA">
        <w:rPr>
          <w:rFonts w:eastAsia="Calibri"/>
        </w:rPr>
        <w:t xml:space="preserve"> 2016) and Canada.</w:t>
      </w:r>
    </w:p>
    <w:p w14:paraId="2F8B9EFD" w14:textId="103F8274" w:rsidR="00757A46" w:rsidRPr="008608AA" w:rsidRDefault="000D1D96" w:rsidP="00757A46">
      <w:pPr>
        <w:spacing w:before="240"/>
        <w:jc w:val="center"/>
        <w:rPr>
          <w:rFonts w:eastAsia="Calibri"/>
        </w:rPr>
      </w:pPr>
      <w:r w:rsidRPr="008608AA">
        <w:rPr>
          <w:rFonts w:eastAsia="Calibri"/>
          <w:noProof/>
          <w:lang w:val="en-GB" w:eastAsia="en-GB"/>
        </w:rPr>
        <w:drawing>
          <wp:inline distT="0" distB="0" distL="0" distR="0" wp14:anchorId="0F6AC448" wp14:editId="72DEDA14">
            <wp:extent cx="5934075" cy="6257925"/>
            <wp:effectExtent l="0" t="0" r="9525" b="9525"/>
            <wp:docPr id="2088" name="Imagen 2088" descr="C:\Users\Alejandro Valderrama\Downloads\Fig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3" descr="C:\Users\Alejandro Valderrama\Downloads\Fig4.2.jpg"/>
                    <pic:cNvPicPr>
                      <a:picLocks noChangeAspect="1" noChangeArrowheads="1"/>
                    </pic:cNvPicPr>
                  </pic:nvPicPr>
                  <pic:blipFill rotWithShape="1">
                    <a:blip r:embed="rId966">
                      <a:extLst>
                        <a:ext uri="{28A0092B-C50C-407E-A947-70E740481C1C}">
                          <a14:useLocalDpi xmlns:a14="http://schemas.microsoft.com/office/drawing/2010/main" val="0"/>
                        </a:ext>
                      </a:extLst>
                    </a:blip>
                    <a:srcRect b="26837"/>
                    <a:stretch/>
                  </pic:blipFill>
                  <pic:spPr bwMode="auto">
                    <a:xfrm>
                      <a:off x="0" y="0"/>
                      <a:ext cx="5934075" cy="6257925"/>
                    </a:xfrm>
                    <a:prstGeom prst="rect">
                      <a:avLst/>
                    </a:prstGeom>
                    <a:noFill/>
                    <a:ln>
                      <a:noFill/>
                    </a:ln>
                    <a:extLst>
                      <a:ext uri="{53640926-AAD7-44D8-BBD7-CCE9431645EC}">
                        <a14:shadowObscured xmlns:a14="http://schemas.microsoft.com/office/drawing/2010/main"/>
                      </a:ext>
                    </a:extLst>
                  </pic:spPr>
                </pic:pic>
              </a:graphicData>
            </a:graphic>
          </wp:inline>
        </w:drawing>
      </w:r>
    </w:p>
    <w:p w14:paraId="4C1CE0E7" w14:textId="20CEDA85" w:rsidR="001E61A6" w:rsidRPr="008608AA" w:rsidRDefault="001E61A6" w:rsidP="00757A46">
      <w:pPr>
        <w:spacing w:before="240"/>
        <w:rPr>
          <w:rFonts w:eastAsia="Calibri"/>
        </w:rPr>
      </w:pPr>
      <w:r w:rsidRPr="008608AA">
        <w:rPr>
          <w:rFonts w:eastAsia="Calibri"/>
        </w:rPr>
        <w:t xml:space="preserve">Despite an impressive body of laws and institutions, the Region finds itself far off track in fulfilling the vision of sustainable development as indicated by the monitoring of the sustainable development goals (http://www.mdgmonitor.org). Political corruption (people exploiting public office for financial or other individual gain) is persistent in many countries and may have a significant impact on nature conservation by endorsing overexploitation of forests, wildlife, fisheries and other resources, and by impairing the effectiveness of conservation actions (Smith </w:t>
      </w:r>
      <w:r w:rsidR="00221F93" w:rsidRPr="008608AA">
        <w:rPr>
          <w:rFonts w:eastAsia="Calibri"/>
        </w:rPr>
        <w:t>et al.,</w:t>
      </w:r>
      <w:r w:rsidRPr="008608AA">
        <w:rPr>
          <w:rFonts w:eastAsia="Calibri"/>
        </w:rPr>
        <w:t xml:space="preserve"> 2003; Laurence</w:t>
      </w:r>
      <w:r w:rsidR="001C32D3" w:rsidRPr="008608AA">
        <w:rPr>
          <w:rFonts w:eastAsia="Calibri"/>
        </w:rPr>
        <w:t>,</w:t>
      </w:r>
      <w:r w:rsidRPr="008608AA">
        <w:rPr>
          <w:rFonts w:eastAsia="Calibri"/>
        </w:rPr>
        <w:t xml:space="preserve"> 2004). Few studies conducted in the region show the effect of corruption on biodiversity loss. Bulte et al. (2007) find a positive association between corruption and expansion of agricultural land (by subsidies), which is  detrimental to forests in Latin America. Miller (2011) examines how corruption among forestry regulators in Costa Rica is one important factor that leads them to allow people to log illicitly. Yet, more robust studies showing causality between weak governance and biodiversity and ecosystem services loss are clearly needed for the Region.</w:t>
      </w:r>
    </w:p>
    <w:p w14:paraId="0AECD789" w14:textId="77777777" w:rsidR="001E61A6" w:rsidRPr="008608AA" w:rsidRDefault="001E61A6" w:rsidP="001E61A6">
      <w:pPr>
        <w:spacing w:before="120" w:line="276" w:lineRule="auto"/>
        <w:rPr>
          <w:rFonts w:eastAsia="Calibri"/>
          <w:b/>
        </w:rPr>
      </w:pPr>
      <w:r w:rsidRPr="008608AA">
        <w:rPr>
          <w:rFonts w:eastAsia="Calibri"/>
          <w:b/>
        </w:rPr>
        <w:t>Evolution of governance modes in the Americas and effects on nature conservation</w:t>
      </w:r>
    </w:p>
    <w:p w14:paraId="3B155F89" w14:textId="614F6133" w:rsidR="001E61A6" w:rsidRPr="006D1B0B" w:rsidRDefault="006874B5" w:rsidP="007B60EB">
      <w:pPr>
        <w:spacing w:before="120"/>
        <w:rPr>
          <w:rFonts w:eastAsia="Calibri"/>
        </w:rPr>
      </w:pPr>
      <w:r w:rsidRPr="008608AA">
        <w:rPr>
          <w:rFonts w:eastAsia="Calibri"/>
        </w:rPr>
        <w:t>Governments and S</w:t>
      </w:r>
      <w:r w:rsidR="001E61A6" w:rsidRPr="008608AA">
        <w:rPr>
          <w:rFonts w:eastAsia="Calibri"/>
        </w:rPr>
        <w:t>tates are no longer the most important basis of decision-making in the environmental field of the Americas. Instead, n</w:t>
      </w:r>
      <w:r w:rsidRPr="008608AA">
        <w:rPr>
          <w:rFonts w:eastAsia="Calibri"/>
        </w:rPr>
        <w:t>ew actors (e.g. Non-Govermental O</w:t>
      </w:r>
      <w:r w:rsidR="001E61A6" w:rsidRPr="008608AA">
        <w:rPr>
          <w:rFonts w:eastAsia="Calibri"/>
        </w:rPr>
        <w:t>rganizations</w:t>
      </w:r>
      <w:r w:rsidRPr="008608AA">
        <w:rPr>
          <w:rFonts w:eastAsia="Calibri"/>
        </w:rPr>
        <w:t xml:space="preserve"> (NGO)</w:t>
      </w:r>
      <w:r w:rsidR="001E61A6" w:rsidRPr="008608AA">
        <w:rPr>
          <w:rFonts w:eastAsia="Calibri"/>
        </w:rPr>
        <w:t>), researchers, indigenous groups) are performing critical roles and new mechanisms and forums are arising (e.g. T</w:t>
      </w:r>
      <w:r w:rsidRPr="008608AA">
        <w:rPr>
          <w:rFonts w:eastAsia="Calibri"/>
        </w:rPr>
        <w:t xml:space="preserve">he </w:t>
      </w:r>
      <w:r w:rsidR="001E61A6" w:rsidRPr="008608AA">
        <w:rPr>
          <w:rFonts w:eastAsia="Calibri"/>
        </w:rPr>
        <w:t>E</w:t>
      </w:r>
      <w:r w:rsidRPr="008608AA">
        <w:rPr>
          <w:rFonts w:eastAsia="Calibri"/>
        </w:rPr>
        <w:t xml:space="preserve">conomics on </w:t>
      </w:r>
      <w:r w:rsidR="001E61A6" w:rsidRPr="008608AA">
        <w:rPr>
          <w:rFonts w:eastAsia="Calibri"/>
        </w:rPr>
        <w:t>E</w:t>
      </w:r>
      <w:r w:rsidRPr="008608AA">
        <w:rPr>
          <w:rFonts w:eastAsia="Calibri"/>
        </w:rPr>
        <w:t xml:space="preserve">conomics and </w:t>
      </w:r>
      <w:r w:rsidR="001E61A6" w:rsidRPr="008608AA">
        <w:rPr>
          <w:rFonts w:eastAsia="Calibri"/>
        </w:rPr>
        <w:t>B</w:t>
      </w:r>
      <w:r w:rsidR="00D15094" w:rsidRPr="008608AA">
        <w:rPr>
          <w:rFonts w:eastAsia="Calibri"/>
        </w:rPr>
        <w:t>iodiversity</w:t>
      </w:r>
      <w:r w:rsidR="001E61A6" w:rsidRPr="008608AA">
        <w:rPr>
          <w:rFonts w:eastAsia="Calibri"/>
        </w:rPr>
        <w:t xml:space="preserve"> and IPBES) </w:t>
      </w:r>
      <w:r w:rsidR="006D1B0B">
        <w:rPr>
          <w:rFonts w:eastAsia="Calibri"/>
        </w:rPr>
        <w:t xml:space="preserve">Figure 4.3 </w:t>
      </w:r>
      <w:r w:rsidR="001E61A6" w:rsidRPr="008608AA">
        <w:rPr>
          <w:rFonts w:eastAsia="Calibri"/>
          <w:lang w:val="es-CL"/>
        </w:rPr>
        <w:fldChar w:fldCharType="begin" w:fldLock="1"/>
      </w:r>
      <w:r w:rsidR="001E61A6" w:rsidRPr="006D1B0B">
        <w:rPr>
          <w:rFonts w:eastAsia="Calibri"/>
        </w:rPr>
        <w:instrText>ADDIN CSL_CITATION { "citationItems" : [ { "id" : "ITEM-1", "itemData" : { "author" : [ { "dropping-particle" : "", "family" : "Pahl-Wostl", "given" : "Claudia", "non-dropping-particle" : "", "parse-names" : false, "suffix" : "" } ], "container-title" : "Global Environmental Change journal", "id" : "ITEM-1", "issued" : { "date-parts" : [ [ "2009" ] ] }, "page" : "354-365", "title" : "Pahl-Wohlst 2009", "type" : "article-journal", "volume" : "19" }, "uris" : [ "http://www.mendeley.com/documents/?uuid=171d82d1-4565-33b7-b6d0-aa1628bd3ddc" ] } ], "mendeley" : { "formattedCitation" : "(Pahl-Wostl 2009)", "plainTextFormattedCitation" : "(Pahl-Wostl 2009)", "previouslyFormattedCitation" : "(Pahl-Wostl 2009)" }, "properties" : { "noteIndex" : 0 }, "schema" : "https://github.com/citation-style-language/schema/raw/master/csl-citation.json" }</w:instrText>
      </w:r>
      <w:r w:rsidR="001E61A6" w:rsidRPr="008608AA">
        <w:rPr>
          <w:rFonts w:eastAsia="Calibri"/>
          <w:lang w:val="es-CL"/>
        </w:rPr>
        <w:fldChar w:fldCharType="separate"/>
      </w:r>
      <w:r w:rsidR="001E61A6" w:rsidRPr="006D1B0B">
        <w:rPr>
          <w:rFonts w:eastAsia="Calibri"/>
        </w:rPr>
        <w:t>(Paavola</w:t>
      </w:r>
      <w:r w:rsidR="001C32D3" w:rsidRPr="006D1B0B">
        <w:rPr>
          <w:rFonts w:eastAsia="Calibri"/>
        </w:rPr>
        <w:t>,</w:t>
      </w:r>
      <w:r w:rsidR="001E61A6" w:rsidRPr="006D1B0B">
        <w:rPr>
          <w:rFonts w:eastAsia="Calibri"/>
        </w:rPr>
        <w:t xml:space="preserve"> 2007; Armitage </w:t>
      </w:r>
      <w:r w:rsidR="00221F93" w:rsidRPr="006D1B0B">
        <w:rPr>
          <w:rFonts w:eastAsia="Calibri"/>
        </w:rPr>
        <w:t>et al.,</w:t>
      </w:r>
      <w:r w:rsidR="001E61A6" w:rsidRPr="006D1B0B">
        <w:rPr>
          <w:rFonts w:eastAsia="Calibri"/>
        </w:rPr>
        <w:t xml:space="preserve"> 2012)</w:t>
      </w:r>
      <w:r w:rsidR="001E61A6" w:rsidRPr="008608AA">
        <w:rPr>
          <w:rFonts w:eastAsia="Calibri"/>
        </w:rPr>
        <w:fldChar w:fldCharType="end"/>
      </w:r>
      <w:r w:rsidR="001E61A6" w:rsidRPr="006D1B0B">
        <w:rPr>
          <w:rFonts w:eastAsia="Calibri"/>
        </w:rPr>
        <w:t xml:space="preserve">. </w:t>
      </w:r>
    </w:p>
    <w:p w14:paraId="3AA1E5ED" w14:textId="3C2EAA82" w:rsidR="007B60EB" w:rsidRPr="008608AA" w:rsidRDefault="001E61A6" w:rsidP="007B60EB">
      <w:pPr>
        <w:spacing w:before="120"/>
        <w:rPr>
          <w:rFonts w:eastAsia="Calibri"/>
        </w:rPr>
      </w:pPr>
      <w:r w:rsidRPr="008608AA">
        <w:rPr>
          <w:rFonts w:eastAsia="Calibri"/>
        </w:rPr>
        <w:t xml:space="preserve">Different perceptions and values are strongly contested by different actors according to their images of nature (Sténs </w:t>
      </w:r>
      <w:r w:rsidR="00221F93" w:rsidRPr="008608AA">
        <w:rPr>
          <w:rFonts w:eastAsia="Calibri"/>
        </w:rPr>
        <w:t>et al.,</w:t>
      </w:r>
      <w:r w:rsidRPr="008608AA">
        <w:rPr>
          <w:rFonts w:eastAsia="Calibri"/>
        </w:rPr>
        <w:t xml:space="preserve"> 2016). Values, ideologies and sources of knowledge, which guide the manner in which nature is conceptualized, are key elements of environmental governance (de Castro </w:t>
      </w:r>
      <w:r w:rsidR="00221F93" w:rsidRPr="008608AA">
        <w:rPr>
          <w:rFonts w:eastAsia="Calibri"/>
        </w:rPr>
        <w:t>et al.,</w:t>
      </w:r>
      <w:r w:rsidRPr="008608AA">
        <w:rPr>
          <w:rFonts w:eastAsia="Calibri"/>
        </w:rPr>
        <w:t xml:space="preserve"> 2016; Inoue </w:t>
      </w:r>
      <w:r w:rsidR="00221F93" w:rsidRPr="008608AA">
        <w:rPr>
          <w:rFonts w:eastAsia="Calibri"/>
        </w:rPr>
        <w:t>&amp;</w:t>
      </w:r>
      <w:r w:rsidRPr="008608AA">
        <w:rPr>
          <w:rFonts w:eastAsia="Calibri"/>
        </w:rPr>
        <w:t xml:space="preserve"> Moreira</w:t>
      </w:r>
      <w:r w:rsidR="001C32D3" w:rsidRPr="008608AA">
        <w:rPr>
          <w:rFonts w:eastAsia="Calibri"/>
        </w:rPr>
        <w:t>,</w:t>
      </w:r>
      <w:r w:rsidRPr="008608AA">
        <w:rPr>
          <w:rFonts w:eastAsia="Calibri"/>
        </w:rPr>
        <w:t xml:space="preserve"> 2016) and they seem to be in increasing dispute. They influence how environmental issues are problematized, how solutions are planned, and how priorities and agreements are established between conflicting objectives. Therefore, the more actors involved in environmental governance, the more complex and heterogeneous the images become (de Castro et al.</w:t>
      </w:r>
      <w:r w:rsidR="00221F93" w:rsidRPr="008608AA">
        <w:rPr>
          <w:rFonts w:eastAsia="Calibri"/>
        </w:rPr>
        <w:t>,</w:t>
      </w:r>
      <w:r w:rsidRPr="008608AA">
        <w:rPr>
          <w:rFonts w:eastAsia="Calibri"/>
        </w:rPr>
        <w:t xml:space="preserve"> 2016; Tijoux</w:t>
      </w:r>
      <w:r w:rsidR="00221F93" w:rsidRPr="008608AA">
        <w:rPr>
          <w:rFonts w:eastAsia="Calibri"/>
        </w:rPr>
        <w:t>,</w:t>
      </w:r>
      <w:r w:rsidRPr="008608AA">
        <w:rPr>
          <w:rFonts w:eastAsia="Calibri"/>
        </w:rPr>
        <w:t xml:space="preserve"> 2016).</w:t>
      </w:r>
    </w:p>
    <w:p w14:paraId="5F4EBD12" w14:textId="494E55A1" w:rsidR="007B60EB" w:rsidRPr="008608AA" w:rsidRDefault="000D1D96" w:rsidP="007B60EB">
      <w:pPr>
        <w:spacing w:before="240"/>
        <w:jc w:val="center"/>
        <w:rPr>
          <w:rFonts w:eastAsia="Calibri"/>
        </w:rPr>
      </w:pPr>
      <w:r w:rsidRPr="008608AA">
        <w:rPr>
          <w:rFonts w:eastAsia="Calibri"/>
          <w:noProof/>
          <w:lang w:val="en-GB" w:eastAsia="en-GB"/>
        </w:rPr>
        <w:drawing>
          <wp:inline distT="0" distB="0" distL="0" distR="0" wp14:anchorId="2EF0E4BC" wp14:editId="44A942E2">
            <wp:extent cx="5934075" cy="5619750"/>
            <wp:effectExtent l="0" t="0" r="9525" b="0"/>
            <wp:docPr id="2089" name="Imagen 2089" descr="C:\Users\Alejandro Valderrama\Downloads\Fig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5" descr="C:\Users\Alejandro Valderrama\Downloads\Fig4.3.jpg"/>
                    <pic:cNvPicPr>
                      <a:picLocks noChangeAspect="1" noChangeArrowheads="1"/>
                    </pic:cNvPicPr>
                  </pic:nvPicPr>
                  <pic:blipFill rotWithShape="1">
                    <a:blip r:embed="rId967">
                      <a:extLst>
                        <a:ext uri="{28A0092B-C50C-407E-A947-70E740481C1C}">
                          <a14:useLocalDpi xmlns:a14="http://schemas.microsoft.com/office/drawing/2010/main" val="0"/>
                        </a:ext>
                      </a:extLst>
                    </a:blip>
                    <a:srcRect b="34299"/>
                    <a:stretch/>
                  </pic:blipFill>
                  <pic:spPr bwMode="auto">
                    <a:xfrm>
                      <a:off x="0" y="0"/>
                      <a:ext cx="5934075" cy="5619750"/>
                    </a:xfrm>
                    <a:prstGeom prst="rect">
                      <a:avLst/>
                    </a:prstGeom>
                    <a:noFill/>
                    <a:ln>
                      <a:noFill/>
                    </a:ln>
                    <a:extLst>
                      <a:ext uri="{53640926-AAD7-44D8-BBD7-CCE9431645EC}">
                        <a14:shadowObscured xmlns:a14="http://schemas.microsoft.com/office/drawing/2010/main"/>
                      </a:ext>
                    </a:extLst>
                  </pic:spPr>
                </pic:pic>
              </a:graphicData>
            </a:graphic>
          </wp:inline>
        </w:drawing>
      </w:r>
    </w:p>
    <w:p w14:paraId="5A6B33DB" w14:textId="699F63C2" w:rsidR="001E61A6" w:rsidRPr="008608AA" w:rsidRDefault="001E61A6" w:rsidP="007B60EB">
      <w:pPr>
        <w:spacing w:before="240"/>
        <w:rPr>
          <w:rFonts w:eastAsia="Calibri"/>
        </w:rPr>
      </w:pPr>
      <w:r w:rsidRPr="008608AA">
        <w:rPr>
          <w:rFonts w:eastAsia="Calibri"/>
        </w:rPr>
        <w:t>Environmental governance in the Americas has gone through major transformations in the last decades</w:t>
      </w:r>
      <w:r w:rsidR="006D1B0B">
        <w:rPr>
          <w:rFonts w:eastAsia="Calibri"/>
        </w:rPr>
        <w:t xml:space="preserve"> Figure 4.4</w:t>
      </w:r>
      <w:r w:rsidRPr="008608AA">
        <w:rPr>
          <w:rFonts w:eastAsia="Calibri"/>
        </w:rPr>
        <w:t xml:space="preserve"> and yet biodiversity and ecosystem services continue to decline. From the mid-1980s onwards, most countries turned away from centralized, state-based institutional arrangements and direct regulation (Baud </w:t>
      </w:r>
      <w:r w:rsidR="00221F93" w:rsidRPr="008608AA">
        <w:rPr>
          <w:rFonts w:eastAsia="Calibri"/>
        </w:rPr>
        <w:t>et al.,</w:t>
      </w:r>
      <w:r w:rsidRPr="008608AA">
        <w:rPr>
          <w:rFonts w:eastAsia="Calibri"/>
        </w:rPr>
        <w:t xml:space="preserve"> 2011). Common problems around centralized modes of governance are the usual institutional fragmentation and centralization. A prominent example of these transformations is the case of the Great Lakes in the </w:t>
      </w:r>
      <w:r w:rsidR="006874B5" w:rsidRPr="008608AA">
        <w:rPr>
          <w:rFonts w:eastAsia="Calibri"/>
        </w:rPr>
        <w:t>USA</w:t>
      </w:r>
      <w:r w:rsidRPr="008608AA">
        <w:rPr>
          <w:rFonts w:eastAsia="Calibri"/>
        </w:rPr>
        <w:t xml:space="preserve"> regarding water quality and water supply as key dimensions to be governed (Jetoo </w:t>
      </w:r>
      <w:r w:rsidR="00221F93" w:rsidRPr="008608AA">
        <w:rPr>
          <w:rFonts w:eastAsia="Calibri"/>
        </w:rPr>
        <w:t>et al.,</w:t>
      </w:r>
      <w:r w:rsidRPr="008608AA">
        <w:rPr>
          <w:rFonts w:eastAsia="Calibri"/>
        </w:rPr>
        <w:t xml:space="preserve"> 2015).</w:t>
      </w:r>
    </w:p>
    <w:p w14:paraId="5DB12CA0" w14:textId="26A3ACF6" w:rsidR="001E61A6" w:rsidRPr="008608AA" w:rsidRDefault="001E61A6" w:rsidP="007B60EB">
      <w:pPr>
        <w:spacing w:before="120"/>
        <w:rPr>
          <w:rFonts w:eastAsia="Calibri"/>
        </w:rPr>
      </w:pPr>
      <w:r w:rsidRPr="008608AA">
        <w:rPr>
          <w:rFonts w:eastAsia="Calibri"/>
        </w:rPr>
        <w:t xml:space="preserve">With the accent on privatization and decentralization, the new approaches towards management and conservation emphasized self-governance and higher levels of participation for civil society and private enterprises (Baud </w:t>
      </w:r>
      <w:r w:rsidR="00221F93" w:rsidRPr="008608AA">
        <w:rPr>
          <w:rFonts w:eastAsia="Calibri"/>
        </w:rPr>
        <w:t>et al.,</w:t>
      </w:r>
      <w:r w:rsidRPr="008608AA">
        <w:rPr>
          <w:rFonts w:eastAsia="Calibri"/>
        </w:rPr>
        <w:t xml:space="preserve"> 2011; de Castro </w:t>
      </w:r>
      <w:r w:rsidR="00221F93" w:rsidRPr="008608AA">
        <w:rPr>
          <w:rFonts w:eastAsia="Calibri"/>
        </w:rPr>
        <w:t>et al.,</w:t>
      </w:r>
      <w:r w:rsidRPr="008608AA">
        <w:rPr>
          <w:rFonts w:eastAsia="Calibri"/>
        </w:rPr>
        <w:t xml:space="preserve"> 2016). </w:t>
      </w:r>
    </w:p>
    <w:p w14:paraId="7109EEAF" w14:textId="7386B3DA" w:rsidR="001E61A6" w:rsidRPr="008608AA" w:rsidRDefault="001E61A6" w:rsidP="007B60EB">
      <w:pPr>
        <w:spacing w:before="120"/>
        <w:rPr>
          <w:rFonts w:eastAsia="Calibri"/>
        </w:rPr>
      </w:pPr>
      <w:r w:rsidRPr="008608AA">
        <w:rPr>
          <w:rFonts w:eastAsia="Calibri"/>
        </w:rPr>
        <w:t>Neoliberal policies guided the privatization of natural resources such as water (Molinos-Senate et al</w:t>
      </w:r>
      <w:r w:rsidR="001C32D3" w:rsidRPr="008608AA">
        <w:rPr>
          <w:rFonts w:eastAsia="Calibri"/>
        </w:rPr>
        <w:t>.,</w:t>
      </w:r>
      <w:r w:rsidRPr="008608AA">
        <w:rPr>
          <w:rFonts w:eastAsia="Calibri"/>
        </w:rPr>
        <w:t xml:space="preserve"> 2015) and forests (Manuschevich</w:t>
      </w:r>
      <w:r w:rsidR="001C32D3" w:rsidRPr="008608AA">
        <w:rPr>
          <w:rFonts w:eastAsia="Calibri"/>
        </w:rPr>
        <w:t>,</w:t>
      </w:r>
      <w:r w:rsidRPr="008608AA">
        <w:rPr>
          <w:rFonts w:eastAsia="Calibri"/>
        </w:rPr>
        <w:t xml:space="preserve"> 2016) as in the case of Chile, and fish as in the case of the </w:t>
      </w:r>
      <w:r w:rsidR="006874B5" w:rsidRPr="008608AA">
        <w:rPr>
          <w:rFonts w:eastAsia="Calibri"/>
        </w:rPr>
        <w:t>USA</w:t>
      </w:r>
      <w:r w:rsidRPr="008608AA">
        <w:rPr>
          <w:rFonts w:eastAsia="Calibri"/>
        </w:rPr>
        <w:t xml:space="preserve"> (Pinkerton </w:t>
      </w:r>
      <w:r w:rsidR="001C32D3" w:rsidRPr="008608AA">
        <w:rPr>
          <w:rFonts w:eastAsia="Calibri"/>
        </w:rPr>
        <w:t>&amp;</w:t>
      </w:r>
      <w:r w:rsidRPr="008608AA">
        <w:rPr>
          <w:rFonts w:eastAsia="Calibri"/>
        </w:rPr>
        <w:t xml:space="preserve"> Davis</w:t>
      </w:r>
      <w:r w:rsidR="001C32D3" w:rsidRPr="008608AA">
        <w:rPr>
          <w:rFonts w:eastAsia="Calibri"/>
        </w:rPr>
        <w:t>,</w:t>
      </w:r>
      <w:r w:rsidRPr="008608AA">
        <w:rPr>
          <w:rFonts w:eastAsia="Calibri"/>
        </w:rPr>
        <w:t xml:space="preserve"> 2015; Carothers</w:t>
      </w:r>
      <w:r w:rsidR="001C32D3" w:rsidRPr="008608AA">
        <w:rPr>
          <w:rFonts w:eastAsia="Calibri"/>
        </w:rPr>
        <w:t>,</w:t>
      </w:r>
      <w:r w:rsidRPr="008608AA">
        <w:rPr>
          <w:rFonts w:eastAsia="Calibri"/>
        </w:rPr>
        <w:t xml:space="preserve"> 2015), along with land grabbing as in Argentina for example (Coscieme </w:t>
      </w:r>
      <w:r w:rsidR="00221F93" w:rsidRPr="008608AA">
        <w:rPr>
          <w:rFonts w:eastAsia="Calibri"/>
        </w:rPr>
        <w:t>et al.,</w:t>
      </w:r>
      <w:r w:rsidRPr="008608AA">
        <w:rPr>
          <w:rFonts w:eastAsia="Calibri"/>
        </w:rPr>
        <w:t xml:space="preserve"> 2016), producing major socio-environmental impacts (Liverman </w:t>
      </w:r>
      <w:r w:rsidR="001C32D3" w:rsidRPr="008608AA">
        <w:rPr>
          <w:rFonts w:eastAsia="Calibri"/>
        </w:rPr>
        <w:t>&amp;</w:t>
      </w:r>
      <w:r w:rsidRPr="008608AA">
        <w:rPr>
          <w:rFonts w:eastAsia="Calibri"/>
        </w:rPr>
        <w:t xml:space="preserve"> Villas</w:t>
      </w:r>
      <w:r w:rsidR="001C32D3" w:rsidRPr="008608AA">
        <w:rPr>
          <w:rFonts w:eastAsia="Calibri"/>
        </w:rPr>
        <w:t>,</w:t>
      </w:r>
      <w:r w:rsidRPr="008608AA">
        <w:rPr>
          <w:rFonts w:eastAsia="Calibri"/>
        </w:rPr>
        <w:t xml:space="preserve"> 2006). In parallel, coalitions among civil society organizations, (international) </w:t>
      </w:r>
      <w:r w:rsidR="006874B5" w:rsidRPr="008608AA">
        <w:rPr>
          <w:rFonts w:eastAsia="Calibri"/>
        </w:rPr>
        <w:t>NGOs</w:t>
      </w:r>
      <w:r w:rsidRPr="008608AA">
        <w:rPr>
          <w:rFonts w:eastAsia="Calibri"/>
        </w:rPr>
        <w:t xml:space="preserve"> and academic institutions established an alternative governance perspective for local communities, which was labeled participatory governance </w:t>
      </w:r>
      <w:r w:rsidR="006D1B0B">
        <w:rPr>
          <w:rFonts w:eastAsia="Calibri"/>
        </w:rPr>
        <w:t>Figure 4.4.</w:t>
      </w:r>
      <w:r w:rsidRPr="008608AA">
        <w:rPr>
          <w:rFonts w:eastAsia="Calibri"/>
        </w:rPr>
        <w:t xml:space="preserve"> This new trend cemented the way for ‘glocalization’ processes linking local and global actors to develop local conservation approaches (Baud </w:t>
      </w:r>
      <w:r w:rsidR="00221F93" w:rsidRPr="008608AA">
        <w:rPr>
          <w:rFonts w:eastAsia="Calibri"/>
        </w:rPr>
        <w:t>et al.,</w:t>
      </w:r>
      <w:r w:rsidRPr="008608AA">
        <w:rPr>
          <w:rFonts w:eastAsia="Calibri"/>
        </w:rPr>
        <w:t xml:space="preserve"> 2011). </w:t>
      </w:r>
    </w:p>
    <w:p w14:paraId="65501544" w14:textId="0C69A14E" w:rsidR="007B60EB" w:rsidRPr="008608AA" w:rsidRDefault="000D1D96" w:rsidP="007B60EB">
      <w:pPr>
        <w:spacing w:before="240"/>
        <w:jc w:val="center"/>
        <w:rPr>
          <w:rFonts w:eastAsia="Calibri"/>
        </w:rPr>
      </w:pPr>
      <w:r w:rsidRPr="008608AA">
        <w:rPr>
          <w:rFonts w:eastAsia="Calibri"/>
          <w:noProof/>
          <w:lang w:val="en-GB" w:eastAsia="en-GB"/>
        </w:rPr>
        <w:drawing>
          <wp:inline distT="0" distB="0" distL="0" distR="0" wp14:anchorId="06D98BB4" wp14:editId="6DF9010A">
            <wp:extent cx="5934075" cy="6991350"/>
            <wp:effectExtent l="0" t="0" r="9525" b="0"/>
            <wp:docPr id="2090" name="Imagen 2090" descr="C:\Users\Alejandro Valderrama\Downloads\Fig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7" descr="C:\Users\Alejandro Valderrama\Downloads\Fig4.14.jpg"/>
                    <pic:cNvPicPr>
                      <a:picLocks noChangeAspect="1" noChangeArrowheads="1"/>
                    </pic:cNvPicPr>
                  </pic:nvPicPr>
                  <pic:blipFill rotWithShape="1">
                    <a:blip r:embed="rId968">
                      <a:extLst>
                        <a:ext uri="{28A0092B-C50C-407E-A947-70E740481C1C}">
                          <a14:useLocalDpi xmlns:a14="http://schemas.microsoft.com/office/drawing/2010/main" val="0"/>
                        </a:ext>
                      </a:extLst>
                    </a:blip>
                    <a:srcRect b="18263"/>
                    <a:stretch/>
                  </pic:blipFill>
                  <pic:spPr bwMode="auto">
                    <a:xfrm>
                      <a:off x="0" y="0"/>
                      <a:ext cx="5934075" cy="6991350"/>
                    </a:xfrm>
                    <a:prstGeom prst="rect">
                      <a:avLst/>
                    </a:prstGeom>
                    <a:noFill/>
                    <a:ln>
                      <a:noFill/>
                    </a:ln>
                    <a:extLst>
                      <a:ext uri="{53640926-AAD7-44D8-BBD7-CCE9431645EC}">
                        <a14:shadowObscured xmlns:a14="http://schemas.microsoft.com/office/drawing/2010/main"/>
                      </a:ext>
                    </a:extLst>
                  </pic:spPr>
                </pic:pic>
              </a:graphicData>
            </a:graphic>
          </wp:inline>
        </w:drawing>
      </w:r>
    </w:p>
    <w:p w14:paraId="09DF7A5A" w14:textId="4A2D411E" w:rsidR="001E61A6" w:rsidRPr="008608AA" w:rsidRDefault="001E61A6" w:rsidP="007B60EB">
      <w:pPr>
        <w:spacing w:before="240"/>
        <w:rPr>
          <w:rFonts w:eastAsia="Calibri"/>
        </w:rPr>
      </w:pPr>
      <w:r w:rsidRPr="008608AA">
        <w:rPr>
          <w:rFonts w:eastAsia="Calibri"/>
        </w:rPr>
        <w:t>By and large, the main governance arrangement towards nature conservation has been th</w:t>
      </w:r>
      <w:r w:rsidR="006874B5" w:rsidRPr="008608AA">
        <w:rPr>
          <w:rFonts w:eastAsia="Calibri"/>
        </w:rPr>
        <w:t>e centralized establishment of public protected a</w:t>
      </w:r>
      <w:r w:rsidRPr="008608AA">
        <w:rPr>
          <w:rFonts w:eastAsia="Calibri"/>
        </w:rPr>
        <w:t xml:space="preserve">reas (encompassing different levels of protection from total preservation to multiple uses). Comprising Mesoamerica, South America and the Caribbean the coverage of protected areas has increased by 8.9% with respect to the </w:t>
      </w:r>
      <w:r w:rsidR="007C45FD" w:rsidRPr="008608AA">
        <w:rPr>
          <w:rFonts w:eastAsia="Calibri"/>
        </w:rPr>
        <w:t>sub</w:t>
      </w:r>
      <w:r w:rsidRPr="008608AA">
        <w:rPr>
          <w:rFonts w:eastAsia="Calibri"/>
        </w:rPr>
        <w:t>regions’ total area between 2000 and 2014, being the territory with the largest increase in area under protection worldwide (World</w:t>
      </w:r>
      <w:r w:rsidR="006874B5" w:rsidRPr="008608AA">
        <w:rPr>
          <w:rFonts w:eastAsia="Calibri"/>
        </w:rPr>
        <w:t xml:space="preserve"> Bank</w:t>
      </w:r>
      <w:r w:rsidR="001C32D3" w:rsidRPr="008608AA">
        <w:rPr>
          <w:rFonts w:eastAsia="Calibri"/>
        </w:rPr>
        <w:t>,</w:t>
      </w:r>
      <w:r w:rsidR="006874B5" w:rsidRPr="008608AA">
        <w:rPr>
          <w:rFonts w:eastAsia="Calibri"/>
        </w:rPr>
        <w:t xml:space="preserve"> 2017). The same three sub</w:t>
      </w:r>
      <w:r w:rsidRPr="008608AA">
        <w:rPr>
          <w:rFonts w:eastAsia="Calibri"/>
        </w:rPr>
        <w:t xml:space="preserve">regions show an increase between 2000 and 2014 of 5.2% of the total territorial waters protected with respect to the regions’ total area. Conservation policy and implementation often assume that protected areas are enduring institutions, but some recent evidence suggests widespread protected areas downgrading, downsizing, and degazettement (Mascia </w:t>
      </w:r>
      <w:r w:rsidR="00221F93" w:rsidRPr="008608AA">
        <w:rPr>
          <w:rFonts w:eastAsia="Calibri"/>
        </w:rPr>
        <w:t>et al.,</w:t>
      </w:r>
      <w:r w:rsidRPr="008608AA">
        <w:rPr>
          <w:rFonts w:eastAsia="Calibri"/>
        </w:rPr>
        <w:t xml:space="preserve"> 2014). Mascia et al. (2014) describe protected areas downgrading, downsizing, and degazettement as a “patchy, episodic phenomenon” which nonetheless suggests tradeoffs between conservation goals and other policy objectives and is linked to industrial-scale natural resource extraction and development, local land pressures and land claims, and conservation planning. </w:t>
      </w:r>
    </w:p>
    <w:p w14:paraId="5D65726F" w14:textId="43A05906" w:rsidR="001E61A6" w:rsidRPr="008608AA" w:rsidRDefault="001E61A6" w:rsidP="007B60EB">
      <w:pPr>
        <w:spacing w:before="120"/>
        <w:rPr>
          <w:rFonts w:eastAsia="Calibri"/>
        </w:rPr>
      </w:pPr>
      <w:r w:rsidRPr="008608AA">
        <w:rPr>
          <w:rFonts w:eastAsia="Calibri"/>
        </w:rPr>
        <w:t>Another circumstance is that in several cases the creation of protected areas has displaced local communities (Cardozo</w:t>
      </w:r>
      <w:r w:rsidR="001C32D3" w:rsidRPr="008608AA">
        <w:rPr>
          <w:rFonts w:eastAsia="Calibri"/>
        </w:rPr>
        <w:t>,</w:t>
      </w:r>
      <w:r w:rsidRPr="008608AA">
        <w:rPr>
          <w:rFonts w:eastAsia="Calibri"/>
        </w:rPr>
        <w:t xml:space="preserve"> 2011; Jones </w:t>
      </w:r>
      <w:r w:rsidR="00221F93" w:rsidRPr="008608AA">
        <w:rPr>
          <w:rFonts w:eastAsia="Calibri"/>
        </w:rPr>
        <w:t>et al.,</w:t>
      </w:r>
      <w:r w:rsidRPr="008608AA">
        <w:rPr>
          <w:rFonts w:eastAsia="Calibri"/>
        </w:rPr>
        <w:t xml:space="preserve"> 2017). For three case studies in Mexico, for example, García-Frapolli et al. (2009) identifies the most common difficulties in protected areas policy as: (1) uncoordinated public policies; (2) the usual conflict between environmental authorities and local people over the management of natural resources; and (3) the exclusion of local people’s perspectives, values and beliefs in conservation policy development and implementation. </w:t>
      </w:r>
    </w:p>
    <w:p w14:paraId="68694B3F" w14:textId="36B9CFD2" w:rsidR="00F112E8" w:rsidRPr="008608AA" w:rsidRDefault="001E61A6" w:rsidP="007B60EB">
      <w:pPr>
        <w:spacing w:before="120"/>
        <w:rPr>
          <w:rFonts w:eastAsia="Calibri"/>
        </w:rPr>
      </w:pPr>
      <w:r w:rsidRPr="008608AA">
        <w:rPr>
          <w:rFonts w:eastAsia="Calibri"/>
        </w:rPr>
        <w:t>Aside from command and control arrangements such as protected areas, several hy</w:t>
      </w:r>
      <w:r w:rsidR="00322B94" w:rsidRPr="008608AA">
        <w:rPr>
          <w:rFonts w:eastAsia="Calibri"/>
        </w:rPr>
        <w:t>brid modes have emerged in the r</w:t>
      </w:r>
      <w:r w:rsidRPr="008608AA">
        <w:rPr>
          <w:rFonts w:eastAsia="Calibri"/>
        </w:rPr>
        <w:t xml:space="preserve">egion </w:t>
      </w:r>
      <w:r w:rsidR="006D1B0B">
        <w:rPr>
          <w:rFonts w:eastAsia="Calibri"/>
        </w:rPr>
        <w:t xml:space="preserve">Figure 4.4. </w:t>
      </w:r>
      <w:r w:rsidRPr="008608AA">
        <w:rPr>
          <w:rFonts w:eastAsia="Calibri"/>
        </w:rPr>
        <w:t>Among them the most notorious are: state private partnerships (certification), private-social partnerships (e.g. payment for ecosystem services), a</w:t>
      </w:r>
      <w:r w:rsidR="00322B94" w:rsidRPr="008608AA">
        <w:rPr>
          <w:rFonts w:eastAsia="Calibri"/>
        </w:rPr>
        <w:t>nd co-management. f</w:t>
      </w:r>
      <w:r w:rsidRPr="008608AA">
        <w:rPr>
          <w:rFonts w:eastAsia="Calibri"/>
        </w:rPr>
        <w:t>orest certification is prominent in Brazil, Chile and Argentina (see Pinto and Mcdermontt</w:t>
      </w:r>
      <w:r w:rsidR="001C32D3" w:rsidRPr="008608AA">
        <w:rPr>
          <w:rFonts w:eastAsia="Calibri"/>
        </w:rPr>
        <w:t>,</w:t>
      </w:r>
      <w:r w:rsidRPr="008608AA">
        <w:rPr>
          <w:rFonts w:eastAsia="Calibri"/>
        </w:rPr>
        <w:t xml:space="preserve"> 2013; Cubbage </w:t>
      </w:r>
      <w:r w:rsidR="00221F93" w:rsidRPr="008608AA">
        <w:rPr>
          <w:rFonts w:eastAsia="Calibri"/>
        </w:rPr>
        <w:t>et al.,</w:t>
      </w:r>
      <w:r w:rsidRPr="008608AA">
        <w:rPr>
          <w:rFonts w:eastAsia="Calibri"/>
        </w:rPr>
        <w:t xml:space="preserve"> 2010). Another iconic example is the certification of coffee in countries such as Colombia, Brasil, Costa Rica, Ecuador, and Honduras, among others (Pinto </w:t>
      </w:r>
      <w:r w:rsidR="00221F93" w:rsidRPr="008608AA">
        <w:rPr>
          <w:rFonts w:eastAsia="Calibri"/>
        </w:rPr>
        <w:t>et al.,</w:t>
      </w:r>
      <w:r w:rsidRPr="008608AA">
        <w:rPr>
          <w:rFonts w:eastAsia="Calibri"/>
        </w:rPr>
        <w:t xml:space="preserve"> 2014; Ibañez and Blackman </w:t>
      </w:r>
      <w:r w:rsidR="00221F93" w:rsidRPr="008608AA">
        <w:rPr>
          <w:rFonts w:eastAsia="Calibri"/>
        </w:rPr>
        <w:t>et al.,</w:t>
      </w:r>
      <w:r w:rsidRPr="008608AA">
        <w:rPr>
          <w:rFonts w:eastAsia="Calibri"/>
        </w:rPr>
        <w:t xml:space="preserve"> 2016). Certification has recently expanded to industrial and smallscale fisheries with promising resul</w:t>
      </w:r>
      <w:r w:rsidR="00A561EA" w:rsidRPr="008608AA">
        <w:rPr>
          <w:rFonts w:eastAsia="Calibri"/>
        </w:rPr>
        <w:t>ts in several countries of the r</w:t>
      </w:r>
      <w:r w:rsidRPr="008608AA">
        <w:rPr>
          <w:rFonts w:eastAsia="Calibri"/>
        </w:rPr>
        <w:t xml:space="preserve">egion (Perez-Ramírez </w:t>
      </w:r>
      <w:r w:rsidR="00221F93" w:rsidRPr="008608AA">
        <w:rPr>
          <w:rFonts w:eastAsia="Calibri"/>
        </w:rPr>
        <w:t>et al.,</w:t>
      </w:r>
      <w:r w:rsidRPr="008608AA">
        <w:rPr>
          <w:rFonts w:eastAsia="Calibri"/>
        </w:rPr>
        <w:t xml:space="preserve"> 2016) (</w:t>
      </w:r>
      <w:r w:rsidR="00F112E8" w:rsidRPr="008608AA">
        <w:rPr>
          <w:rFonts w:eastAsia="Calibri"/>
        </w:rPr>
        <w:t>Box 4.4</w:t>
      </w:r>
      <w:r w:rsidRPr="008608AA">
        <w:rPr>
          <w:rFonts w:eastAsia="Calibri"/>
        </w:rPr>
        <w:t>).</w:t>
      </w:r>
    </w:p>
    <w:p w14:paraId="20B36062" w14:textId="527C8273" w:rsidR="001E61A6" w:rsidRPr="008608AA" w:rsidRDefault="007B60EB" w:rsidP="007B60EB">
      <w:pPr>
        <w:pStyle w:val="Caption"/>
        <w:rPr>
          <w:rFonts w:eastAsia="Calibri"/>
          <w:b w:val="0"/>
          <w:szCs w:val="22"/>
          <w:lang w:val="en-US"/>
        </w:rPr>
      </w:pPr>
      <w:bookmarkStart w:id="1341" w:name="_Toc499200376"/>
      <w:bookmarkStart w:id="1342" w:name="_Toc499459219"/>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4</w:t>
      </w:r>
      <w:r w:rsidR="000E562E">
        <w:rPr>
          <w:noProof/>
        </w:rPr>
        <w:fldChar w:fldCharType="end"/>
      </w:r>
      <w:r w:rsidRPr="008608AA">
        <w:t xml:space="preserve">. </w:t>
      </w:r>
      <w:r w:rsidR="001E61A6" w:rsidRPr="008608AA">
        <w:rPr>
          <w:szCs w:val="22"/>
          <w:lang w:val="en-US"/>
        </w:rPr>
        <w:t>The promise of fisheries certification</w:t>
      </w:r>
      <w:bookmarkEnd w:id="1341"/>
      <w:bookmarkEnd w:id="1342"/>
    </w:p>
    <w:tbl>
      <w:tblPr>
        <w:tblStyle w:val="TableGrid"/>
        <w:tblW w:w="5000" w:type="pct"/>
        <w:tblLook w:val="04A0" w:firstRow="1" w:lastRow="0" w:firstColumn="1" w:lastColumn="0" w:noHBand="0" w:noVBand="1"/>
      </w:tblPr>
      <w:tblGrid>
        <w:gridCol w:w="9487"/>
      </w:tblGrid>
      <w:tr w:rsidR="001E61A6" w:rsidRPr="00A26FD5" w14:paraId="43229D21" w14:textId="77777777" w:rsidTr="00F112E8">
        <w:tc>
          <w:tcPr>
            <w:tcW w:w="5000" w:type="pct"/>
          </w:tcPr>
          <w:p w14:paraId="1C855BE2" w14:textId="6725C5A9" w:rsidR="001E61A6" w:rsidRPr="00A26FD5" w:rsidRDefault="001E61A6" w:rsidP="007B60EB">
            <w:pPr>
              <w:spacing w:before="120"/>
              <w:rPr>
                <w:rFonts w:eastAsia="Calibri"/>
                <w:szCs w:val="22"/>
              </w:rPr>
            </w:pPr>
            <w:r w:rsidRPr="00A26FD5">
              <w:rPr>
                <w:rFonts w:eastAsia="Calibri"/>
                <w:szCs w:val="22"/>
              </w:rPr>
              <w:t xml:space="preserve">Ecolabelling and certification schemes are market-based tools to promote the sustainable use of natural resources. In the case of fisheries, ecolabels are a growing feature of international fish trade and marketing (Washington </w:t>
            </w:r>
            <w:r w:rsidR="001C32D3" w:rsidRPr="00A26FD5">
              <w:rPr>
                <w:rFonts w:eastAsia="Calibri"/>
                <w:szCs w:val="22"/>
              </w:rPr>
              <w:t>&amp;</w:t>
            </w:r>
            <w:r w:rsidRPr="00A26FD5">
              <w:rPr>
                <w:rFonts w:eastAsia="Calibri"/>
                <w:szCs w:val="22"/>
              </w:rPr>
              <w:t xml:space="preserve"> Ababouch</w:t>
            </w:r>
            <w:r w:rsidR="001C32D3" w:rsidRPr="00A26FD5">
              <w:rPr>
                <w:rFonts w:eastAsia="Calibri"/>
                <w:szCs w:val="22"/>
              </w:rPr>
              <w:t>,</w:t>
            </w:r>
            <w:r w:rsidRPr="00A26FD5">
              <w:rPr>
                <w:rFonts w:eastAsia="Calibri"/>
                <w:szCs w:val="22"/>
              </w:rPr>
              <w:t xml:space="preserve"> 2011) in response to growing concerns about the state of the world’s fish stocks, increased demand for fish and seafood, and a perception that many governments are failing to manage marine resources. The Marine Stewardship Council features as the most comprehensive fisheries certification scheme covering a range of species and dealing with all aspects of the management of a fishery. The Marine Stewardship Council has two standards: on sustainable fishing and on seafood traceability (Bush </w:t>
            </w:r>
            <w:r w:rsidR="00221F93" w:rsidRPr="00A26FD5">
              <w:rPr>
                <w:rFonts w:eastAsia="Calibri"/>
                <w:szCs w:val="22"/>
              </w:rPr>
              <w:t>et al.,</w:t>
            </w:r>
            <w:r w:rsidRPr="00A26FD5">
              <w:rPr>
                <w:rFonts w:eastAsia="Calibri"/>
                <w:szCs w:val="22"/>
              </w:rPr>
              <w:t xml:space="preserve"> 2013; Agnew </w:t>
            </w:r>
            <w:r w:rsidR="00221F93" w:rsidRPr="00A26FD5">
              <w:rPr>
                <w:rFonts w:eastAsia="Calibri"/>
                <w:szCs w:val="22"/>
              </w:rPr>
              <w:t>et al.,</w:t>
            </w:r>
            <w:r w:rsidRPr="00A26FD5">
              <w:rPr>
                <w:rFonts w:eastAsia="Calibri"/>
                <w:szCs w:val="22"/>
              </w:rPr>
              <w:t xml:space="preserve"> 2013; Washington </w:t>
            </w:r>
            <w:r w:rsidR="001C32D3" w:rsidRPr="00A26FD5">
              <w:rPr>
                <w:rFonts w:eastAsia="Calibri"/>
                <w:szCs w:val="22"/>
              </w:rPr>
              <w:t>&amp;</w:t>
            </w:r>
            <w:r w:rsidRPr="00A26FD5">
              <w:rPr>
                <w:rFonts w:eastAsia="Calibri"/>
                <w:szCs w:val="22"/>
              </w:rPr>
              <w:t xml:space="preserve"> Ababouch</w:t>
            </w:r>
            <w:r w:rsidR="001C32D3" w:rsidRPr="00A26FD5">
              <w:rPr>
                <w:rFonts w:eastAsia="Calibri"/>
                <w:szCs w:val="22"/>
              </w:rPr>
              <w:t>,</w:t>
            </w:r>
            <w:r w:rsidRPr="00A26FD5">
              <w:rPr>
                <w:rFonts w:eastAsia="Calibri"/>
                <w:szCs w:val="22"/>
              </w:rPr>
              <w:t xml:space="preserve"> 2011). Although there are 10 Marine Stewardship Council-certified fisheries in Latin American and the Caribbean, this proportion is low (4%) compared to the total number of certified fisheries globally (Pérez Ramírez </w:t>
            </w:r>
            <w:r w:rsidR="00221F93" w:rsidRPr="00A26FD5">
              <w:rPr>
                <w:rFonts w:eastAsia="Calibri"/>
                <w:szCs w:val="22"/>
              </w:rPr>
              <w:t>et al.,</w:t>
            </w:r>
            <w:r w:rsidRPr="00A26FD5">
              <w:rPr>
                <w:rFonts w:eastAsia="Calibri"/>
                <w:szCs w:val="22"/>
              </w:rPr>
              <w:t xml:space="preserve"> 2016). Fisheries participating in the Marine Stew</w:t>
            </w:r>
            <w:r w:rsidR="00A561EA" w:rsidRPr="00A26FD5">
              <w:rPr>
                <w:rFonts w:eastAsia="Calibri"/>
                <w:szCs w:val="22"/>
              </w:rPr>
              <w:t>ardship Council program in the r</w:t>
            </w:r>
            <w:r w:rsidRPr="00A26FD5">
              <w:rPr>
                <w:rFonts w:eastAsia="Calibri"/>
                <w:szCs w:val="22"/>
              </w:rPr>
              <w:t>egion may be classified into two groups: (1) large enterprises of industrial fisheries, especially multi-national ones that can afford the certification process (i.e., Argentine hoki); and (2) small-scale fisheries that are vital to the local livelihoods (i.e. lobsters). Among the latter a successful case is the Chilean rock lobster (</w:t>
            </w:r>
            <w:r w:rsidRPr="00A26FD5">
              <w:rPr>
                <w:rFonts w:eastAsia="Calibri"/>
                <w:i/>
                <w:szCs w:val="22"/>
              </w:rPr>
              <w:t>Jasus frontalis</w:t>
            </w:r>
            <w:r w:rsidRPr="00A26FD5">
              <w:rPr>
                <w:rFonts w:eastAsia="Calibri"/>
                <w:szCs w:val="22"/>
              </w:rPr>
              <w:t>) of The Juan Fernández Archipelago and Robinson Crusoe Island, Marine Stewardship Council certified in 2015. The success of fishery management over recent years relies on five key management measures that are implemented with the full support of the community (near 900 inhabitants): only licensed artisanal fishers who are residents may harvest lobster in the area; the use of relatively small vessels that can only tend a few traps per day; informal property rights on individual fishing grounds; a conservative minimum landing size (115 mm length); and a closed season of four and a half months.</w:t>
            </w:r>
          </w:p>
        </w:tc>
      </w:tr>
    </w:tbl>
    <w:p w14:paraId="7E56DE1A" w14:textId="3E3C7886" w:rsidR="001E61A6" w:rsidRPr="008608AA" w:rsidRDefault="001E61A6" w:rsidP="007B60EB">
      <w:pPr>
        <w:spacing w:before="240"/>
        <w:rPr>
          <w:rFonts w:eastAsia="Calibri"/>
        </w:rPr>
      </w:pPr>
      <w:r w:rsidRPr="008608AA">
        <w:rPr>
          <w:rFonts w:eastAsia="Calibri"/>
        </w:rPr>
        <w:t xml:space="preserve">Despite the increasing enthusiasm for ecosystem services based market mechanisms, the reality is that incentive allocation on private lands has relied on scarce knowledge of ecosystem service supply by different properties (Ferraro </w:t>
      </w:r>
      <w:r w:rsidR="00221F93" w:rsidRPr="008608AA">
        <w:rPr>
          <w:rFonts w:eastAsia="Calibri"/>
        </w:rPr>
        <w:t>et al.,</w:t>
      </w:r>
      <w:r w:rsidRPr="008608AA">
        <w:rPr>
          <w:rFonts w:eastAsia="Calibri"/>
        </w:rPr>
        <w:t xml:space="preserve"> 2015). In the absence of supply data at the farm lev</w:t>
      </w:r>
      <w:r w:rsidR="00A561EA" w:rsidRPr="008608AA">
        <w:rPr>
          <w:rFonts w:eastAsia="Calibri"/>
        </w:rPr>
        <w:t>el for the entire r</w:t>
      </w:r>
      <w:r w:rsidRPr="008608AA">
        <w:rPr>
          <w:rFonts w:eastAsia="Calibri"/>
        </w:rPr>
        <w:t xml:space="preserve">egion, the measurement of policy impacts has had to rely on imperfect proxies for additionality in terms of service provision (e.g. avoided deforestation) (Ferraro </w:t>
      </w:r>
      <w:r w:rsidR="00221F93" w:rsidRPr="008608AA">
        <w:rPr>
          <w:rFonts w:eastAsia="Calibri"/>
        </w:rPr>
        <w:t>et al.,</w:t>
      </w:r>
      <w:r w:rsidRPr="008608AA">
        <w:rPr>
          <w:rFonts w:eastAsia="Calibri"/>
        </w:rPr>
        <w:t xml:space="preserve"> 2015). Undeniably, the lack of complete, high-resolution, updated spatial information to obtain ecosystem services indicators is a primary restriction on the development of conservation planning assessments in developing countries (Di Minin </w:t>
      </w:r>
      <w:r w:rsidR="001C32D3" w:rsidRPr="008608AA">
        <w:rPr>
          <w:rFonts w:eastAsia="Calibri"/>
        </w:rPr>
        <w:t>&amp;</w:t>
      </w:r>
      <w:r w:rsidRPr="008608AA">
        <w:rPr>
          <w:rFonts w:eastAsia="Calibri"/>
        </w:rPr>
        <w:t xml:space="preserve"> Toivonen</w:t>
      </w:r>
      <w:r w:rsidR="001C32D3" w:rsidRPr="008608AA">
        <w:rPr>
          <w:rFonts w:eastAsia="Calibri"/>
        </w:rPr>
        <w:t>,</w:t>
      </w:r>
      <w:r w:rsidRPr="008608AA">
        <w:rPr>
          <w:rFonts w:eastAsia="Calibri"/>
        </w:rPr>
        <w:t xml:space="preserve"> 2015; Stephenson </w:t>
      </w:r>
      <w:r w:rsidR="00221F93" w:rsidRPr="008608AA">
        <w:rPr>
          <w:rFonts w:eastAsia="Calibri"/>
        </w:rPr>
        <w:t>et al.,</w:t>
      </w:r>
      <w:r w:rsidRPr="008608AA">
        <w:rPr>
          <w:rFonts w:eastAsia="Calibri"/>
        </w:rPr>
        <w:t xml:space="preserve"> 2017) including the design of payment for ecosystem services mechanisms. In the domain of payments, Reduced Emissions from Deforestation and Forest Degradation and Reduced Emissions from Deforestation and Forest Degradation-Plus have emerged as a core climate change mitigation strategy. Nonetheless the mechanism has been harshly contested due to its undesirable social impacts and undetermined role in avoiding deforestation (Pirard </w:t>
      </w:r>
      <w:r w:rsidR="001C32D3" w:rsidRPr="008608AA">
        <w:rPr>
          <w:rFonts w:eastAsia="Calibri"/>
        </w:rPr>
        <w:t>&amp;</w:t>
      </w:r>
      <w:r w:rsidRPr="008608AA">
        <w:rPr>
          <w:rFonts w:eastAsia="Calibri"/>
        </w:rPr>
        <w:t xml:space="preserve"> Belna</w:t>
      </w:r>
      <w:r w:rsidR="001C32D3" w:rsidRPr="008608AA">
        <w:rPr>
          <w:rFonts w:eastAsia="Calibri"/>
        </w:rPr>
        <w:t>,</w:t>
      </w:r>
      <w:r w:rsidRPr="008608AA">
        <w:rPr>
          <w:rFonts w:eastAsia="Calibri"/>
        </w:rPr>
        <w:t xml:space="preserve"> 2012).</w:t>
      </w:r>
    </w:p>
    <w:p w14:paraId="5C9D32D9" w14:textId="5339C25E" w:rsidR="00F112E8" w:rsidRPr="008608AA" w:rsidRDefault="001E61A6" w:rsidP="007B60EB">
      <w:pPr>
        <w:spacing w:before="120"/>
        <w:rPr>
          <w:rFonts w:eastAsia="Calibri"/>
        </w:rPr>
      </w:pPr>
      <w:r w:rsidRPr="008608AA">
        <w:rPr>
          <w:rFonts w:eastAsia="Calibri"/>
        </w:rPr>
        <w:t>The commitment by most countries to expand the area under protection in a representative and well-connected manner, as part of the Con</w:t>
      </w:r>
      <w:r w:rsidR="00A561EA" w:rsidRPr="008608AA">
        <w:rPr>
          <w:rFonts w:eastAsia="Calibri"/>
        </w:rPr>
        <w:t>vention on Biological Diversity’s (CBD) Aichi t</w:t>
      </w:r>
      <w:r w:rsidRPr="008608AA">
        <w:rPr>
          <w:rFonts w:eastAsia="Calibri"/>
        </w:rPr>
        <w:t xml:space="preserve">arget 11, requires the inclusion of a range of protection mechanisms over a variety of tenures, including protected areas over private land (Woodley </w:t>
      </w:r>
      <w:r w:rsidR="00221F93" w:rsidRPr="008608AA">
        <w:rPr>
          <w:rFonts w:eastAsia="Calibri"/>
        </w:rPr>
        <w:t>et al.,</w:t>
      </w:r>
      <w:r w:rsidRPr="008608AA">
        <w:rPr>
          <w:rFonts w:eastAsia="Calibri"/>
        </w:rPr>
        <w:t xml:space="preserve"> 2012). Despite their potentially important role in biodiversity conservation, recognition of the role of private protected areas has suffered from sparse data, loose definitions and lack of integration within the broader conservation arena (Stolton </w:t>
      </w:r>
      <w:r w:rsidR="00221F93" w:rsidRPr="008608AA">
        <w:rPr>
          <w:rFonts w:eastAsia="Calibri"/>
        </w:rPr>
        <w:t>et al.,</w:t>
      </w:r>
      <w:r w:rsidRPr="008608AA">
        <w:rPr>
          <w:rFonts w:eastAsia="Calibri"/>
        </w:rPr>
        <w:t xml:space="preserve"> 2014) (see details in </w:t>
      </w:r>
      <w:r w:rsidR="0088304E" w:rsidRPr="008608AA">
        <w:rPr>
          <w:rFonts w:eastAsia="Calibri"/>
        </w:rPr>
        <w:t>Box 4.5</w:t>
      </w:r>
      <w:r w:rsidRPr="008608AA">
        <w:rPr>
          <w:rFonts w:eastAsia="Calibri"/>
        </w:rPr>
        <w:t xml:space="preserve">). The main challenges of private protected areas are the absence of recording and as a consequence there is no reliable information on how many there are, where they are located, what conservation activities they are engaged in. With private protected areas there is also an absence of clear guidelines for establishment and operation, and there are differences in the support and incentives given by government to the creation and maintenance of private protected areas (Bingham </w:t>
      </w:r>
      <w:r w:rsidR="00221F93" w:rsidRPr="008608AA">
        <w:rPr>
          <w:rFonts w:eastAsia="Calibri"/>
        </w:rPr>
        <w:t>et al.,</w:t>
      </w:r>
      <w:r w:rsidRPr="008608AA">
        <w:rPr>
          <w:rFonts w:eastAsia="Calibri"/>
        </w:rPr>
        <w:t xml:space="preserve"> 2017). They also face the challenge of avoiding conflicts with local and indigenous communities, particularly those located on the private protected areas’ buffer zones (Serenari </w:t>
      </w:r>
      <w:r w:rsidR="00221F93" w:rsidRPr="008608AA">
        <w:rPr>
          <w:rFonts w:eastAsia="Calibri"/>
        </w:rPr>
        <w:t>et al.,</w:t>
      </w:r>
      <w:r w:rsidRPr="008608AA">
        <w:rPr>
          <w:rFonts w:eastAsia="Calibri"/>
        </w:rPr>
        <w:t xml:space="preserve"> 2017).</w:t>
      </w:r>
    </w:p>
    <w:p w14:paraId="69CE40B3" w14:textId="281B010C" w:rsidR="001E61A6" w:rsidRPr="008608AA" w:rsidRDefault="007B60EB" w:rsidP="007B60EB">
      <w:pPr>
        <w:pStyle w:val="Caption"/>
        <w:rPr>
          <w:rFonts w:eastAsia="Calibri"/>
          <w:b w:val="0"/>
          <w:szCs w:val="22"/>
        </w:rPr>
      </w:pPr>
      <w:bookmarkStart w:id="1343" w:name="_Toc499200377"/>
      <w:bookmarkStart w:id="1344" w:name="_Toc499459220"/>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5</w:t>
      </w:r>
      <w:r w:rsidR="000E562E">
        <w:rPr>
          <w:noProof/>
        </w:rPr>
        <w:fldChar w:fldCharType="end"/>
      </w:r>
      <w:r w:rsidRPr="008608AA">
        <w:t xml:space="preserve">. </w:t>
      </w:r>
      <w:r w:rsidR="001E61A6" w:rsidRPr="008608AA">
        <w:rPr>
          <w:szCs w:val="22"/>
        </w:rPr>
        <w:t>The challenges of private protected areas</w:t>
      </w:r>
      <w:bookmarkEnd w:id="1343"/>
      <w:bookmarkEnd w:id="1344"/>
    </w:p>
    <w:tbl>
      <w:tblPr>
        <w:tblStyle w:val="TableGrid"/>
        <w:tblW w:w="5000" w:type="pct"/>
        <w:tblLook w:val="04A0" w:firstRow="1" w:lastRow="0" w:firstColumn="1" w:lastColumn="0" w:noHBand="0" w:noVBand="1"/>
      </w:tblPr>
      <w:tblGrid>
        <w:gridCol w:w="9487"/>
      </w:tblGrid>
      <w:tr w:rsidR="001E61A6" w:rsidRPr="00A26FD5" w14:paraId="0F7D3094" w14:textId="77777777" w:rsidTr="00F112E8">
        <w:tc>
          <w:tcPr>
            <w:tcW w:w="5000" w:type="pct"/>
          </w:tcPr>
          <w:p w14:paraId="28950811" w14:textId="4E71258B" w:rsidR="001E61A6" w:rsidRPr="00A26FD5" w:rsidRDefault="001E61A6" w:rsidP="007B60EB">
            <w:pPr>
              <w:spacing w:before="120"/>
              <w:rPr>
                <w:rFonts w:eastAsia="Calibri"/>
                <w:szCs w:val="22"/>
              </w:rPr>
            </w:pPr>
            <w:r w:rsidRPr="00A26FD5">
              <w:rPr>
                <w:rFonts w:eastAsia="Calibri"/>
                <w:szCs w:val="22"/>
              </w:rPr>
              <w:t xml:space="preserve">The declaration of private protected areas involves “a private intention to protect an area where government and other organizations do not play a pivotal role” (Stolton </w:t>
            </w:r>
            <w:r w:rsidR="00221F93" w:rsidRPr="00A26FD5">
              <w:rPr>
                <w:rFonts w:eastAsia="Calibri"/>
                <w:szCs w:val="22"/>
              </w:rPr>
              <w:t>et al.,</w:t>
            </w:r>
            <w:r w:rsidRPr="00A26FD5">
              <w:rPr>
                <w:rFonts w:eastAsia="Calibri"/>
                <w:szCs w:val="22"/>
              </w:rPr>
              <w:t xml:space="preserve"> 2014). The motivations behind their creation vary widely from pure philanthropic motives to real state and tourism development and speculation. The following are examples </w:t>
            </w:r>
            <w:r w:rsidR="00A561EA" w:rsidRPr="00A26FD5">
              <w:rPr>
                <w:rFonts w:eastAsia="Calibri"/>
                <w:szCs w:val="22"/>
              </w:rPr>
              <w:t xml:space="preserve">for different countries of the region (Stolton </w:t>
            </w:r>
            <w:r w:rsidR="00221F93" w:rsidRPr="00A26FD5">
              <w:rPr>
                <w:rFonts w:eastAsia="Calibri"/>
                <w:szCs w:val="22"/>
              </w:rPr>
              <w:t>et al.,</w:t>
            </w:r>
            <w:r w:rsidR="00A561EA" w:rsidRPr="00A26FD5">
              <w:rPr>
                <w:rFonts w:eastAsia="Calibri"/>
                <w:szCs w:val="22"/>
              </w:rPr>
              <w:t xml:space="preserve"> 2014):</w:t>
            </w:r>
          </w:p>
          <w:p w14:paraId="7863435F" w14:textId="57FFEE01" w:rsidR="001E61A6" w:rsidRPr="00A26FD5" w:rsidRDefault="001E61A6" w:rsidP="007B60EB">
            <w:pPr>
              <w:spacing w:before="120"/>
              <w:rPr>
                <w:rFonts w:eastAsia="Calibri"/>
                <w:szCs w:val="22"/>
              </w:rPr>
            </w:pPr>
            <w:r w:rsidRPr="00A26FD5">
              <w:rPr>
                <w:rFonts w:eastAsia="Calibri"/>
                <w:szCs w:val="22"/>
              </w:rPr>
              <w:t>USA. There is no formal private protected areas definition and no comprehensive reporting, but there is an active private prote</w:t>
            </w:r>
            <w:r w:rsidR="00A561EA" w:rsidRPr="00A26FD5">
              <w:rPr>
                <w:rFonts w:eastAsia="Calibri"/>
                <w:szCs w:val="22"/>
              </w:rPr>
              <w:t>cted areas community driven by land t</w:t>
            </w:r>
            <w:r w:rsidRPr="00A26FD5">
              <w:rPr>
                <w:rFonts w:eastAsia="Calibri"/>
                <w:szCs w:val="22"/>
              </w:rPr>
              <w:t xml:space="preserve">rust organizations and </w:t>
            </w:r>
            <w:r w:rsidR="00A561EA" w:rsidRPr="00A26FD5">
              <w:rPr>
                <w:rFonts w:eastAsia="Calibri"/>
                <w:szCs w:val="22"/>
              </w:rPr>
              <w:t>NGOs</w:t>
            </w:r>
            <w:r w:rsidRPr="00A26FD5">
              <w:rPr>
                <w:rFonts w:eastAsia="Calibri"/>
                <w:szCs w:val="22"/>
              </w:rPr>
              <w:t xml:space="preserve">, with many thousand private protected areas. </w:t>
            </w:r>
          </w:p>
          <w:p w14:paraId="131C937E" w14:textId="0DE0A87A" w:rsidR="001E61A6" w:rsidRPr="00A26FD5" w:rsidRDefault="001E61A6" w:rsidP="007B60EB">
            <w:pPr>
              <w:spacing w:before="120"/>
              <w:rPr>
                <w:rFonts w:eastAsia="Calibri"/>
                <w:szCs w:val="22"/>
              </w:rPr>
            </w:pPr>
            <w:r w:rsidRPr="00A26FD5">
              <w:rPr>
                <w:rFonts w:eastAsia="Calibri"/>
                <w:szCs w:val="22"/>
              </w:rPr>
              <w:t>C</w:t>
            </w:r>
            <w:r w:rsidR="00077BB8" w:rsidRPr="00A26FD5">
              <w:rPr>
                <w:rFonts w:eastAsia="Calibri"/>
                <w:szCs w:val="22"/>
              </w:rPr>
              <w:t>anada</w:t>
            </w:r>
            <w:r w:rsidRPr="00A26FD5">
              <w:rPr>
                <w:rFonts w:eastAsia="Calibri"/>
                <w:szCs w:val="22"/>
              </w:rPr>
              <w:t>. Private protected areas are primarily located on the country’s southern border on land with high levels of species diversity and also species at risk.</w:t>
            </w:r>
          </w:p>
          <w:p w14:paraId="4A53058A" w14:textId="7CB77E03" w:rsidR="001E61A6" w:rsidRPr="00A26FD5" w:rsidRDefault="00077BB8" w:rsidP="007B60EB">
            <w:pPr>
              <w:spacing w:before="120"/>
              <w:rPr>
                <w:rFonts w:eastAsia="Calibri"/>
                <w:szCs w:val="22"/>
              </w:rPr>
            </w:pPr>
            <w:r w:rsidRPr="00A26FD5">
              <w:rPr>
                <w:rFonts w:eastAsia="Calibri"/>
                <w:szCs w:val="22"/>
              </w:rPr>
              <w:t>Mexico</w:t>
            </w:r>
            <w:r w:rsidR="001E61A6" w:rsidRPr="00A26FD5">
              <w:rPr>
                <w:rFonts w:eastAsia="Calibri"/>
                <w:szCs w:val="22"/>
              </w:rPr>
              <w:t xml:space="preserve">. Private protected areas, which protect 487,300 </w:t>
            </w:r>
            <w:r w:rsidR="003F55F8" w:rsidRPr="00A26FD5">
              <w:rPr>
                <w:rFonts w:eastAsia="Calibri"/>
                <w:szCs w:val="22"/>
              </w:rPr>
              <w:t>hectares</w:t>
            </w:r>
            <w:r w:rsidR="001E61A6" w:rsidRPr="00A26FD5">
              <w:rPr>
                <w:rFonts w:eastAsia="Calibri"/>
                <w:szCs w:val="22"/>
              </w:rPr>
              <w:t xml:space="preserve"> (0.25%) of the country’s land surface, play an important role in connecting government managed protected areas. </w:t>
            </w:r>
          </w:p>
          <w:p w14:paraId="6E0864E2" w14:textId="0A263246" w:rsidR="001E61A6" w:rsidRPr="00A26FD5" w:rsidRDefault="00077BB8" w:rsidP="007B60EB">
            <w:pPr>
              <w:spacing w:before="120"/>
              <w:rPr>
                <w:rFonts w:eastAsia="Calibri"/>
                <w:szCs w:val="22"/>
              </w:rPr>
            </w:pPr>
            <w:r w:rsidRPr="00A26FD5">
              <w:rPr>
                <w:rFonts w:eastAsia="Calibri"/>
                <w:szCs w:val="22"/>
              </w:rPr>
              <w:t>Colombia</w:t>
            </w:r>
            <w:r w:rsidR="001E61A6" w:rsidRPr="00A26FD5">
              <w:rPr>
                <w:rFonts w:eastAsia="Calibri"/>
                <w:szCs w:val="22"/>
              </w:rPr>
              <w:t>. There are 280 registered national private protected areas organizations, most are small in area and many are in the Andes.</w:t>
            </w:r>
          </w:p>
          <w:p w14:paraId="53132591" w14:textId="586185E7" w:rsidR="001E61A6" w:rsidRPr="00A26FD5" w:rsidRDefault="00077BB8" w:rsidP="007B60EB">
            <w:pPr>
              <w:spacing w:before="120"/>
              <w:rPr>
                <w:rFonts w:eastAsia="Calibri"/>
                <w:szCs w:val="22"/>
              </w:rPr>
            </w:pPr>
            <w:r w:rsidRPr="00A26FD5">
              <w:rPr>
                <w:rFonts w:eastAsia="Calibri"/>
                <w:szCs w:val="22"/>
              </w:rPr>
              <w:t>Chile</w:t>
            </w:r>
            <w:r w:rsidR="001E61A6" w:rsidRPr="00A26FD5">
              <w:rPr>
                <w:rFonts w:eastAsia="Calibri"/>
                <w:szCs w:val="22"/>
              </w:rPr>
              <w:t xml:space="preserve">. The term private protected areas is legally recognized, although undefined and unregulated. The private protected areas vary widely in size (from a few hectares to over 300,000 hectares) and ownership (comprising private individuals; industrial forest companies; </w:t>
            </w:r>
            <w:r w:rsidR="00A561EA" w:rsidRPr="00A26FD5">
              <w:rPr>
                <w:rFonts w:eastAsia="Calibri"/>
                <w:szCs w:val="22"/>
              </w:rPr>
              <w:t>NGOs; and f</w:t>
            </w:r>
            <w:r w:rsidR="001E61A6" w:rsidRPr="00A26FD5">
              <w:rPr>
                <w:rFonts w:eastAsia="Calibri"/>
                <w:szCs w:val="22"/>
              </w:rPr>
              <w:t>oundations). They represent over 10% to the national protected area system.</w:t>
            </w:r>
          </w:p>
          <w:p w14:paraId="20950212" w14:textId="1BAA75BF" w:rsidR="001E61A6" w:rsidRPr="00A26FD5" w:rsidRDefault="00077BB8" w:rsidP="007B60EB">
            <w:pPr>
              <w:spacing w:before="120"/>
              <w:rPr>
                <w:rFonts w:eastAsia="Calibri"/>
                <w:szCs w:val="22"/>
              </w:rPr>
            </w:pPr>
            <w:r w:rsidRPr="00A26FD5">
              <w:rPr>
                <w:rFonts w:eastAsia="Calibri"/>
                <w:szCs w:val="22"/>
              </w:rPr>
              <w:t>Brazil</w:t>
            </w:r>
            <w:r w:rsidR="001E61A6" w:rsidRPr="00A26FD5">
              <w:rPr>
                <w:rFonts w:eastAsia="Calibri"/>
                <w:szCs w:val="22"/>
              </w:rPr>
              <w:t xml:space="preserve">. Brazil has a legislated and </w:t>
            </w:r>
            <w:r w:rsidR="00A561EA" w:rsidRPr="00A26FD5">
              <w:rPr>
                <w:rFonts w:eastAsia="Calibri"/>
                <w:szCs w:val="22"/>
              </w:rPr>
              <w:t>federated system of over 1,100 private reserves of natural h</w:t>
            </w:r>
            <w:r w:rsidR="001E61A6" w:rsidRPr="00A26FD5">
              <w:rPr>
                <w:rFonts w:eastAsia="Calibri"/>
                <w:szCs w:val="22"/>
              </w:rPr>
              <w:t>eritage protecting approximately 703,700 ha.</w:t>
            </w:r>
          </w:p>
        </w:tc>
      </w:tr>
    </w:tbl>
    <w:p w14:paraId="097B0DDB" w14:textId="21242D62" w:rsidR="001E61A6" w:rsidRDefault="001E61A6" w:rsidP="007B60EB">
      <w:pPr>
        <w:spacing w:before="240"/>
        <w:rPr>
          <w:rFonts w:eastAsia="Calibri"/>
        </w:rPr>
      </w:pPr>
      <w:r w:rsidRPr="008608AA">
        <w:rPr>
          <w:rFonts w:eastAsia="Calibri"/>
        </w:rPr>
        <w:t>At the local level, there hs been an emergence of community-based participatory conservation approaches seeking to engage local communities in management decisions, transfer rights to resources and allow sustainable use, to varying degrees. Many countries have introduced new policies and laws to support community-based conservation and there have been some successes (</w:t>
      </w:r>
      <w:r w:rsidR="0088304E" w:rsidRPr="008608AA">
        <w:rPr>
          <w:rFonts w:eastAsia="Calibri"/>
        </w:rPr>
        <w:t>Box 4.6</w:t>
      </w:r>
      <w:r w:rsidRPr="008608AA">
        <w:rPr>
          <w:rFonts w:eastAsia="Calibri"/>
        </w:rPr>
        <w:t xml:space="preserve">). However, in most cases, community-based conservation remains small-scale and isolated and is weakly integrated within the formal conservation sector (Baud </w:t>
      </w:r>
      <w:r w:rsidR="00221F93" w:rsidRPr="008608AA">
        <w:rPr>
          <w:rFonts w:eastAsia="Calibri"/>
        </w:rPr>
        <w:t>et al.,</w:t>
      </w:r>
      <w:r w:rsidRPr="008608AA">
        <w:rPr>
          <w:rFonts w:eastAsia="Calibri"/>
        </w:rPr>
        <w:t xml:space="preserve"> 2011; Lammers </w:t>
      </w:r>
      <w:r w:rsidR="00221F93" w:rsidRPr="008608AA">
        <w:rPr>
          <w:rFonts w:eastAsia="Calibri"/>
        </w:rPr>
        <w:t>et al.,</w:t>
      </w:r>
      <w:r w:rsidRPr="008608AA">
        <w:rPr>
          <w:rFonts w:eastAsia="Calibri"/>
        </w:rPr>
        <w:t xml:space="preserve"> 2017; Redmore </w:t>
      </w:r>
      <w:r w:rsidR="00221F93" w:rsidRPr="008608AA">
        <w:rPr>
          <w:rFonts w:eastAsia="Calibri"/>
        </w:rPr>
        <w:t>et al.,</w:t>
      </w:r>
      <w:r w:rsidRPr="008608AA">
        <w:rPr>
          <w:rFonts w:eastAsia="Calibri"/>
        </w:rPr>
        <w:t xml:space="preserve"> 2017) facing barriers such as a limited binding participation of communities in the development of conservation policies; insufficient devolution of authority and benefits to communities; and lack of support from other natural resource and economic sectors (Baud </w:t>
      </w:r>
      <w:r w:rsidR="00221F93" w:rsidRPr="008608AA">
        <w:rPr>
          <w:rFonts w:eastAsia="Calibri"/>
        </w:rPr>
        <w:t>et al.,</w:t>
      </w:r>
      <w:r w:rsidRPr="008608AA">
        <w:rPr>
          <w:rFonts w:eastAsia="Calibri"/>
        </w:rPr>
        <w:t xml:space="preserve"> 2011).</w:t>
      </w:r>
    </w:p>
    <w:p w14:paraId="03EDD675" w14:textId="18FE5A28" w:rsidR="00A26FD5" w:rsidRDefault="00A26FD5" w:rsidP="007B60EB">
      <w:pPr>
        <w:spacing w:before="240"/>
        <w:rPr>
          <w:rFonts w:eastAsia="Calibri"/>
        </w:rPr>
      </w:pPr>
    </w:p>
    <w:p w14:paraId="70D582CD" w14:textId="0B98282B" w:rsidR="00E95397" w:rsidRDefault="00E95397" w:rsidP="007B60EB">
      <w:pPr>
        <w:spacing w:before="240"/>
        <w:rPr>
          <w:rFonts w:eastAsia="Calibri"/>
        </w:rPr>
      </w:pPr>
    </w:p>
    <w:p w14:paraId="6749C06D" w14:textId="77777777" w:rsidR="00E95397" w:rsidRPr="008608AA" w:rsidRDefault="00E95397" w:rsidP="007B60EB">
      <w:pPr>
        <w:spacing w:before="240"/>
        <w:rPr>
          <w:rFonts w:eastAsia="Calibri"/>
        </w:rPr>
      </w:pPr>
    </w:p>
    <w:p w14:paraId="38B6FA83" w14:textId="1C5411DB" w:rsidR="001E61A6" w:rsidRPr="008608AA" w:rsidRDefault="007B60EB" w:rsidP="007B60EB">
      <w:pPr>
        <w:pStyle w:val="Caption"/>
        <w:rPr>
          <w:lang w:val="es-CO"/>
        </w:rPr>
      </w:pPr>
      <w:bookmarkStart w:id="1345" w:name="_Toc499200378"/>
      <w:bookmarkStart w:id="1346" w:name="_Toc499459221"/>
      <w:r w:rsidRPr="008608AA">
        <w:rPr>
          <w:lang w:val="es-CO"/>
        </w:rPr>
        <w:t xml:space="preserve">Box </w:t>
      </w:r>
      <w:r w:rsidR="00BD08BA" w:rsidRPr="008608AA">
        <w:rPr>
          <w:lang w:val="es-CO"/>
        </w:rPr>
        <w:fldChar w:fldCharType="begin"/>
      </w:r>
      <w:r w:rsidR="00BD08BA" w:rsidRPr="008608AA">
        <w:rPr>
          <w:lang w:val="es-CO"/>
        </w:rPr>
        <w:instrText xml:space="preserve"> STYLEREF 1 \s </w:instrText>
      </w:r>
      <w:r w:rsidR="00BD08BA" w:rsidRPr="008608AA">
        <w:rPr>
          <w:lang w:val="es-CO"/>
        </w:rPr>
        <w:fldChar w:fldCharType="separate"/>
      </w:r>
      <w:r w:rsidR="00402074">
        <w:rPr>
          <w:noProof/>
          <w:lang w:val="es-CO"/>
        </w:rPr>
        <w:t>4</w:t>
      </w:r>
      <w:r w:rsidR="00BD08BA" w:rsidRPr="008608AA">
        <w:rPr>
          <w:lang w:val="es-CO"/>
        </w:rPr>
        <w:fldChar w:fldCharType="end"/>
      </w:r>
      <w:r w:rsidR="00BD08BA" w:rsidRPr="008608AA">
        <w:rPr>
          <w:lang w:val="es-CO"/>
        </w:rPr>
        <w:t>.</w:t>
      </w:r>
      <w:r w:rsidR="00BD08BA" w:rsidRPr="008608AA">
        <w:rPr>
          <w:lang w:val="es-CO"/>
        </w:rPr>
        <w:fldChar w:fldCharType="begin"/>
      </w:r>
      <w:r w:rsidR="00BD08BA" w:rsidRPr="008608AA">
        <w:rPr>
          <w:lang w:val="es-CO"/>
        </w:rPr>
        <w:instrText xml:space="preserve"> SEQ Box \* ARABIC \s 1 </w:instrText>
      </w:r>
      <w:r w:rsidR="00BD08BA" w:rsidRPr="008608AA">
        <w:rPr>
          <w:lang w:val="es-CO"/>
        </w:rPr>
        <w:fldChar w:fldCharType="separate"/>
      </w:r>
      <w:r w:rsidR="00402074">
        <w:rPr>
          <w:noProof/>
          <w:lang w:val="es-CO"/>
        </w:rPr>
        <w:t>6</w:t>
      </w:r>
      <w:r w:rsidR="00BD08BA" w:rsidRPr="008608AA">
        <w:rPr>
          <w:lang w:val="es-CO"/>
        </w:rPr>
        <w:fldChar w:fldCharType="end"/>
      </w:r>
      <w:r w:rsidRPr="008608AA">
        <w:rPr>
          <w:lang w:val="es-CO"/>
        </w:rPr>
        <w:t xml:space="preserve">. </w:t>
      </w:r>
      <w:r w:rsidR="001E61A6" w:rsidRPr="008608AA">
        <w:rPr>
          <w:lang w:val="es-CO"/>
        </w:rPr>
        <w:t>Los pueblos del bosque</w:t>
      </w:r>
      <w:bookmarkEnd w:id="1345"/>
      <w:bookmarkEnd w:id="1346"/>
    </w:p>
    <w:tbl>
      <w:tblPr>
        <w:tblStyle w:val="TableGrid"/>
        <w:tblW w:w="5000" w:type="pct"/>
        <w:tblLook w:val="04A0" w:firstRow="1" w:lastRow="0" w:firstColumn="1" w:lastColumn="0" w:noHBand="0" w:noVBand="1"/>
      </w:tblPr>
      <w:tblGrid>
        <w:gridCol w:w="9487"/>
      </w:tblGrid>
      <w:tr w:rsidR="001E61A6" w:rsidRPr="00A26FD5" w14:paraId="2E9D51BE" w14:textId="77777777" w:rsidTr="0088304E">
        <w:tc>
          <w:tcPr>
            <w:tcW w:w="5000" w:type="pct"/>
          </w:tcPr>
          <w:p w14:paraId="5EB54B08" w14:textId="0FA55A38" w:rsidR="001E61A6" w:rsidRPr="00A26FD5" w:rsidRDefault="001E61A6" w:rsidP="007B60EB">
            <w:pPr>
              <w:spacing w:before="120"/>
              <w:rPr>
                <w:rFonts w:eastAsia="Calibri"/>
                <w:szCs w:val="22"/>
              </w:rPr>
            </w:pPr>
            <w:r w:rsidRPr="00A26FD5">
              <w:rPr>
                <w:rFonts w:eastAsia="Calibri"/>
                <w:szCs w:val="22"/>
              </w:rPr>
              <w:t>The socio-ecological struggles of traditional populations are what Martínez-Alier calls the “environmentalism of the poor” (Martínez-Alier</w:t>
            </w:r>
            <w:r w:rsidR="001C32D3" w:rsidRPr="00A26FD5">
              <w:rPr>
                <w:rFonts w:eastAsia="Calibri"/>
                <w:szCs w:val="22"/>
              </w:rPr>
              <w:t>,</w:t>
            </w:r>
            <w:r w:rsidRPr="00A26FD5">
              <w:rPr>
                <w:rFonts w:eastAsia="Calibri"/>
                <w:szCs w:val="22"/>
              </w:rPr>
              <w:t xml:space="preserve"> 2014). Within the multiple manifestations of this “ecology of the poor” in South America, Mesoamerica and the Caribbean, one of the first to have had an international echo was the movement of rubber tappers (</w:t>
            </w:r>
            <w:r w:rsidRPr="00A26FD5">
              <w:rPr>
                <w:rFonts w:eastAsia="Calibri"/>
                <w:i/>
                <w:szCs w:val="22"/>
              </w:rPr>
              <w:t>seringueiros</w:t>
            </w:r>
            <w:r w:rsidRPr="00A26FD5">
              <w:rPr>
                <w:rFonts w:eastAsia="Calibri"/>
                <w:szCs w:val="22"/>
              </w:rPr>
              <w:t xml:space="preserve">) who are not indigenous peoples but the first or second impoverished immigrants from northeastern Brazil, left in search of their own forms of subsistence long after the commercial exploitation of rubber on a large scale was over. </w:t>
            </w:r>
          </w:p>
          <w:p w14:paraId="6C0C4AC5" w14:textId="792C7FF5" w:rsidR="001E61A6" w:rsidRPr="00A26FD5" w:rsidRDefault="001E61A6" w:rsidP="007B60EB">
            <w:pPr>
              <w:spacing w:before="120"/>
              <w:rPr>
                <w:rFonts w:eastAsia="Calibri"/>
                <w:szCs w:val="22"/>
              </w:rPr>
            </w:pPr>
            <w:r w:rsidRPr="00A26FD5">
              <w:rPr>
                <w:rFonts w:eastAsia="Calibri"/>
                <w:szCs w:val="22"/>
              </w:rPr>
              <w:t>Acre rubber tappers formed unions, and in 1987 they joined the indigenous inhabitants of the Amazon to form an Alliance of F</w:t>
            </w:r>
            <w:r w:rsidR="00A561EA" w:rsidRPr="00A26FD5">
              <w:rPr>
                <w:rFonts w:eastAsia="Calibri"/>
                <w:szCs w:val="22"/>
              </w:rPr>
              <w:t>orest Peoples led by Francisco “Chico”</w:t>
            </w:r>
            <w:r w:rsidRPr="00A26FD5">
              <w:rPr>
                <w:rFonts w:eastAsia="Calibri"/>
                <w:szCs w:val="22"/>
              </w:rPr>
              <w:t xml:space="preserve"> Mendes who paid with his life for the cause of the Amazonian peoples (Tijoux</w:t>
            </w:r>
            <w:r w:rsidR="001C32D3" w:rsidRPr="00A26FD5">
              <w:rPr>
                <w:rFonts w:eastAsia="Calibri"/>
                <w:szCs w:val="22"/>
              </w:rPr>
              <w:t>,</w:t>
            </w:r>
            <w:r w:rsidRPr="00A26FD5">
              <w:rPr>
                <w:rFonts w:eastAsia="Calibri"/>
                <w:szCs w:val="22"/>
              </w:rPr>
              <w:t xml:space="preserve"> 2016). This movement was the forerunner of multiple expressions in the present as the Yasuní Park Project in Ecuador, which is considered one of the most important actions of the indigenous movements of the Americas. At present many of these actions are channeled through formal coalitions such as the Mesoamerican Alliance of Peoples and Forests http://www.alianzamesoamericana.org, among others.</w:t>
            </w:r>
          </w:p>
        </w:tc>
      </w:tr>
    </w:tbl>
    <w:p w14:paraId="4527BB91" w14:textId="036FFFD7" w:rsidR="001E61A6" w:rsidRPr="008608AA" w:rsidRDefault="001E61A6" w:rsidP="007B60EB">
      <w:pPr>
        <w:spacing w:before="120"/>
        <w:rPr>
          <w:rFonts w:eastAsia="Calibri"/>
          <w:lang w:val="en"/>
        </w:rPr>
      </w:pPr>
      <w:r w:rsidRPr="008608AA">
        <w:rPr>
          <w:rFonts w:eastAsia="Calibri"/>
          <w:lang w:val="en"/>
        </w:rPr>
        <w:t xml:space="preserve">On the opposite side of the green economy and the previous set of governance arrangements, new proposals arise that contemplate a fundamentally different ontology of nature, grouped under the label of </w:t>
      </w:r>
      <w:r w:rsidRPr="008608AA">
        <w:rPr>
          <w:rFonts w:eastAsia="Calibri"/>
          <w:i/>
          <w:lang w:val="en"/>
        </w:rPr>
        <w:t>Buen Vivir</w:t>
      </w:r>
      <w:r w:rsidRPr="008608AA">
        <w:rPr>
          <w:rFonts w:eastAsia="Calibri"/>
          <w:lang w:val="en"/>
        </w:rPr>
        <w:t xml:space="preserve"> (Vanhulst </w:t>
      </w:r>
      <w:r w:rsidR="001C32D3" w:rsidRPr="008608AA">
        <w:rPr>
          <w:rFonts w:eastAsia="Calibri"/>
          <w:lang w:val="en"/>
        </w:rPr>
        <w:t>&amp;</w:t>
      </w:r>
      <w:r w:rsidRPr="008608AA">
        <w:rPr>
          <w:rFonts w:eastAsia="Calibri"/>
          <w:lang w:val="en"/>
        </w:rPr>
        <w:t xml:space="preserve"> Bieling</w:t>
      </w:r>
      <w:r w:rsidR="001C32D3" w:rsidRPr="008608AA">
        <w:rPr>
          <w:rFonts w:eastAsia="Calibri"/>
          <w:lang w:val="en"/>
        </w:rPr>
        <w:t>,</w:t>
      </w:r>
      <w:r w:rsidRPr="008608AA">
        <w:rPr>
          <w:rFonts w:eastAsia="Calibri"/>
          <w:lang w:val="en"/>
        </w:rPr>
        <w:t xml:space="preserve"> 2014; Villalba-Eguiluz </w:t>
      </w:r>
      <w:r w:rsidR="001C32D3" w:rsidRPr="008608AA">
        <w:rPr>
          <w:rFonts w:eastAsia="Calibri"/>
          <w:lang w:val="en"/>
        </w:rPr>
        <w:t>&amp;</w:t>
      </w:r>
      <w:r w:rsidRPr="008608AA">
        <w:rPr>
          <w:rFonts w:eastAsia="Calibri"/>
          <w:lang w:val="en"/>
        </w:rPr>
        <w:t xml:space="preserve"> Etxano</w:t>
      </w:r>
      <w:r w:rsidR="001C32D3" w:rsidRPr="008608AA">
        <w:rPr>
          <w:rFonts w:eastAsia="Calibri"/>
          <w:lang w:val="en"/>
        </w:rPr>
        <w:t>,</w:t>
      </w:r>
      <w:r w:rsidRPr="008608AA">
        <w:rPr>
          <w:rFonts w:eastAsia="Calibri"/>
          <w:lang w:val="en"/>
        </w:rPr>
        <w:t xml:space="preserve"> </w:t>
      </w:r>
      <w:r w:rsidRPr="006D1B0B">
        <w:rPr>
          <w:rFonts w:eastAsia="Calibri"/>
          <w:lang w:val="en"/>
        </w:rPr>
        <w:t>2017</w:t>
      </w:r>
      <w:r w:rsidR="006D1B0B" w:rsidRPr="006D1B0B">
        <w:rPr>
          <w:rFonts w:eastAsia="Calibri"/>
          <w:lang w:val="en"/>
        </w:rPr>
        <w:t xml:space="preserve">) </w:t>
      </w:r>
      <w:r w:rsidR="006D1B0B" w:rsidRPr="006D1B0B">
        <w:rPr>
          <w:rFonts w:eastAsia="Calibri"/>
        </w:rPr>
        <w:t>Figure 4.</w:t>
      </w:r>
      <w:r w:rsidR="006D1B0B">
        <w:rPr>
          <w:rFonts w:eastAsia="Calibri"/>
        </w:rPr>
        <w:t xml:space="preserve">4. </w:t>
      </w:r>
      <w:r w:rsidRPr="008608AA">
        <w:rPr>
          <w:rFonts w:eastAsia="Calibri"/>
          <w:lang w:val="en"/>
        </w:rPr>
        <w:t>This trend includes a wide range of alternative conceptions of nature and of human-nature relations, starting with alternative, often indigenous, ideas about the relationship between human production, the environment and the rights of nature (Gudynas</w:t>
      </w:r>
      <w:r w:rsidR="001C32D3" w:rsidRPr="008608AA">
        <w:rPr>
          <w:rFonts w:eastAsia="Calibri"/>
          <w:lang w:val="en"/>
        </w:rPr>
        <w:t>,</w:t>
      </w:r>
      <w:r w:rsidRPr="008608AA">
        <w:rPr>
          <w:rFonts w:eastAsia="Calibri"/>
          <w:lang w:val="en"/>
        </w:rPr>
        <w:t xml:space="preserve"> 2011; Bauhardt</w:t>
      </w:r>
      <w:r w:rsidR="001C32D3" w:rsidRPr="008608AA">
        <w:rPr>
          <w:rFonts w:eastAsia="Calibri"/>
          <w:lang w:val="en"/>
        </w:rPr>
        <w:t>,</w:t>
      </w:r>
      <w:r w:rsidRPr="008608AA">
        <w:rPr>
          <w:rFonts w:eastAsia="Calibri"/>
          <w:lang w:val="en"/>
        </w:rPr>
        <w:t xml:space="preserve"> 2014). They propose a perspective of environmental governance that claims a transformation or even the end of the hegemonic capitalist model that is considered as the source of environmental degradation and injustice (de Castro </w:t>
      </w:r>
      <w:r w:rsidR="00221F93" w:rsidRPr="008608AA">
        <w:rPr>
          <w:rFonts w:eastAsia="Calibri"/>
          <w:lang w:val="en"/>
        </w:rPr>
        <w:t>et al.,</w:t>
      </w:r>
      <w:r w:rsidRPr="008608AA">
        <w:rPr>
          <w:rFonts w:eastAsia="Calibri"/>
          <w:lang w:val="en"/>
        </w:rPr>
        <w:t xml:space="preserve"> 2016; Inoue </w:t>
      </w:r>
      <w:r w:rsidR="00221F93" w:rsidRPr="008608AA">
        <w:rPr>
          <w:rFonts w:eastAsia="Calibri"/>
          <w:lang w:val="en"/>
        </w:rPr>
        <w:t>&amp;</w:t>
      </w:r>
      <w:r w:rsidRPr="008608AA">
        <w:rPr>
          <w:rFonts w:eastAsia="Calibri"/>
          <w:lang w:val="en"/>
        </w:rPr>
        <w:t xml:space="preserve"> Moreira</w:t>
      </w:r>
      <w:r w:rsidR="001C32D3" w:rsidRPr="008608AA">
        <w:rPr>
          <w:rFonts w:eastAsia="Calibri"/>
          <w:lang w:val="en"/>
        </w:rPr>
        <w:t>,</w:t>
      </w:r>
      <w:r w:rsidRPr="008608AA">
        <w:rPr>
          <w:rFonts w:eastAsia="Calibri"/>
          <w:lang w:val="en"/>
        </w:rPr>
        <w:t xml:space="preserve"> 2016).</w:t>
      </w:r>
    </w:p>
    <w:p w14:paraId="205378BA" w14:textId="140449A1" w:rsidR="001E61A6" w:rsidRPr="008608AA" w:rsidRDefault="001E61A6" w:rsidP="007B60EB">
      <w:pPr>
        <w:spacing w:before="120"/>
        <w:rPr>
          <w:rFonts w:eastAsia="Calibri"/>
        </w:rPr>
      </w:pPr>
      <w:r w:rsidRPr="008608AA">
        <w:rPr>
          <w:rFonts w:eastAsia="Calibri"/>
          <w:lang w:val="en"/>
        </w:rPr>
        <w:t>These varied modes of governance do not necessa</w:t>
      </w:r>
      <w:r w:rsidR="00501642" w:rsidRPr="008608AA">
        <w:rPr>
          <w:rFonts w:eastAsia="Calibri"/>
          <w:lang w:val="en"/>
        </w:rPr>
        <w:t>rily coexist peacefully in the r</w:t>
      </w:r>
      <w:r w:rsidRPr="008608AA">
        <w:rPr>
          <w:rFonts w:eastAsia="Calibri"/>
          <w:lang w:val="en"/>
        </w:rPr>
        <w:t>egion and in many cases are antagonistic rather than synergistic, leading to severe social conflicts, which pose serious challenges for nature conservation and human well</w:t>
      </w:r>
      <w:r w:rsidR="00501642" w:rsidRPr="008608AA">
        <w:rPr>
          <w:rFonts w:eastAsia="Calibri"/>
          <w:lang w:val="en"/>
        </w:rPr>
        <w:t>-</w:t>
      </w:r>
      <w:r w:rsidRPr="008608AA">
        <w:rPr>
          <w:rFonts w:eastAsia="Calibri"/>
          <w:lang w:val="en"/>
        </w:rPr>
        <w:t xml:space="preserve">being. </w:t>
      </w:r>
      <w:r w:rsidRPr="008608AA">
        <w:rPr>
          <w:rFonts w:eastAsia="Calibri"/>
        </w:rPr>
        <w:t xml:space="preserve">Next to aspiration and creativity, attaining new modes to govern nature requires overcoming persistent barriers such as historical injustices, social inequalities and economic inefficiencies (Baud </w:t>
      </w:r>
      <w:r w:rsidR="00221F93" w:rsidRPr="008608AA">
        <w:rPr>
          <w:rFonts w:eastAsia="Calibri"/>
        </w:rPr>
        <w:t>et al.,</w:t>
      </w:r>
      <w:r w:rsidRPr="008608AA">
        <w:rPr>
          <w:rFonts w:eastAsia="Calibri"/>
        </w:rPr>
        <w:t xml:space="preserve"> 2011). </w:t>
      </w:r>
    </w:p>
    <w:p w14:paraId="5EFF03AE" w14:textId="77777777" w:rsidR="007B60EB" w:rsidRPr="008608AA" w:rsidRDefault="001E61A6" w:rsidP="007B60EB">
      <w:pPr>
        <w:spacing w:before="120"/>
        <w:rPr>
          <w:rFonts w:eastAsia="Calibri"/>
        </w:rPr>
      </w:pPr>
      <w:r w:rsidRPr="008608AA">
        <w:rPr>
          <w:rFonts w:eastAsia="Calibri"/>
        </w:rPr>
        <w:t>Major challenges have been reported in the past and continue to be significant limitations in the present. Among them: i) the environment continues to be a low priority (e.g. underfunded environmental agencies; low political support); ii) the understanding of environment-poverty-development links is frail (e.g. environmental concerns are perceived as barrier to economic growth); iii) the rule of law is weak (e.g. implementation of environmental legislation is still insufficient); and iv) environmental authority is weak (e.g. taking a management view rather than a governance focus). A critical issue pointed out at several international conservation forums is the fact that the three pillars of sustainable development – environmental, economic, and social – are not well integrated in the United Nations system and in global, regional, and national policies. Lessons learned in the past 25 years since the Earth Summit have led civil society organizations to uphold human rights as the basis for sustainable development governance.</w:t>
      </w:r>
    </w:p>
    <w:p w14:paraId="3D4B4340" w14:textId="783D1761" w:rsidR="001E61A6" w:rsidRPr="008608AA" w:rsidRDefault="00053693" w:rsidP="007B60EB">
      <w:pPr>
        <w:spacing w:before="120"/>
        <w:rPr>
          <w:rFonts w:eastAsia="Calibri"/>
        </w:rPr>
      </w:pPr>
      <w:r w:rsidRPr="008608AA">
        <w:rPr>
          <w:rFonts w:eastAsia="Calibri"/>
        </w:rPr>
        <w:t xml:space="preserve"> </w:t>
      </w:r>
    </w:p>
    <w:p w14:paraId="0B5FB343" w14:textId="5AB6D707" w:rsidR="001E61A6" w:rsidRPr="008608AA" w:rsidRDefault="001E61A6" w:rsidP="00053693">
      <w:pPr>
        <w:pStyle w:val="Heading3"/>
      </w:pPr>
      <w:bookmarkStart w:id="1347" w:name="_Toc499459667"/>
      <w:bookmarkStart w:id="1348" w:name="_Toc503293132"/>
      <w:bookmarkStart w:id="1349" w:name="_Toc503293730"/>
      <w:bookmarkStart w:id="1350" w:name="_Toc503293992"/>
      <w:bookmarkStart w:id="1351" w:name="_Toc503863385"/>
      <w:bookmarkStart w:id="1352" w:name="_Toc503863613"/>
      <w:bookmarkStart w:id="1353" w:name="_Toc517393334"/>
      <w:bookmarkStart w:id="1354" w:name="_Toc517394391"/>
      <w:bookmarkStart w:id="1355" w:name="_Toc517719075"/>
      <w:bookmarkStart w:id="1356" w:name="_Toc517797032"/>
      <w:bookmarkStart w:id="1357" w:name="_Toc357244076"/>
      <w:bookmarkStart w:id="1358" w:name="_Toc357981988"/>
      <w:bookmarkStart w:id="1359" w:name="_Toc357985206"/>
      <w:r w:rsidRPr="008608AA">
        <w:t>Economic growth</w:t>
      </w:r>
      <w:bookmarkEnd w:id="1347"/>
      <w:bookmarkEnd w:id="1348"/>
      <w:bookmarkEnd w:id="1349"/>
      <w:bookmarkEnd w:id="1350"/>
      <w:bookmarkEnd w:id="1351"/>
      <w:bookmarkEnd w:id="1352"/>
      <w:bookmarkEnd w:id="1353"/>
      <w:bookmarkEnd w:id="1354"/>
      <w:bookmarkEnd w:id="1355"/>
      <w:bookmarkEnd w:id="1356"/>
    </w:p>
    <w:p w14:paraId="716CCFFA" w14:textId="618BD67B" w:rsidR="001E61A6" w:rsidRPr="008608AA" w:rsidRDefault="001E61A6" w:rsidP="007B60EB">
      <w:pPr>
        <w:spacing w:before="120"/>
        <w:rPr>
          <w:rFonts w:eastAsia="Calibri"/>
        </w:rPr>
      </w:pPr>
      <w:r w:rsidRPr="008608AA">
        <w:rPr>
          <w:rFonts w:eastAsia="Calibri"/>
        </w:rPr>
        <w:t xml:space="preserve">Economic growth </w:t>
      </w:r>
      <w:r w:rsidRPr="008608AA">
        <w:t>(measured as Gross Domestic Product (GDP) growth)</w:t>
      </w:r>
      <w:r w:rsidRPr="008608AA">
        <w:rPr>
          <w:rFonts w:eastAsia="Calibri"/>
        </w:rPr>
        <w:t xml:space="preserve"> is one of the main drivers of resource consumption (Dietz </w:t>
      </w:r>
      <w:r w:rsidR="00C20336" w:rsidRPr="008608AA">
        <w:rPr>
          <w:rFonts w:eastAsia="Calibri"/>
        </w:rPr>
        <w:t>et al., 2007, quoted by IPBES</w:t>
      </w:r>
      <w:r w:rsidRPr="008608AA">
        <w:rPr>
          <w:rFonts w:eastAsia="Calibri"/>
        </w:rPr>
        <w:t>, 2016). Virtually all socioeconomic and environmental scenarios for this century (i.e., up to the year 2050 and beyond) include economic</w:t>
      </w:r>
      <w:r w:rsidR="00C20336" w:rsidRPr="008608AA">
        <w:rPr>
          <w:rFonts w:eastAsia="Calibri"/>
        </w:rPr>
        <w:t xml:space="preserve"> growth as a key driver (IPBES</w:t>
      </w:r>
      <w:r w:rsidRPr="008608AA">
        <w:rPr>
          <w:rFonts w:eastAsia="Calibri"/>
        </w:rPr>
        <w:t>, 2016).</w:t>
      </w:r>
    </w:p>
    <w:p w14:paraId="7673A453" w14:textId="33428B59" w:rsidR="001E61A6" w:rsidRPr="008608AA" w:rsidRDefault="001E61A6" w:rsidP="007B60EB">
      <w:pPr>
        <w:spacing w:before="120"/>
        <w:rPr>
          <w:rFonts w:eastAsia="Calibri"/>
        </w:rPr>
      </w:pPr>
      <w:r w:rsidRPr="008608AA">
        <w:t xml:space="preserve">Economic growth and trade can positively or negatively influence </w:t>
      </w:r>
      <w:r w:rsidR="00501642" w:rsidRPr="008608AA">
        <w:t>n</w:t>
      </w:r>
      <w:r w:rsidRPr="008608AA">
        <w:t xml:space="preserve">ature and NCP, but currently, on balance, they adversely impact </w:t>
      </w:r>
      <w:r w:rsidR="00501642" w:rsidRPr="008608AA">
        <w:t>n</w:t>
      </w:r>
      <w:r w:rsidRPr="008608AA">
        <w:t xml:space="preserve">ature and NCP when environmental and social development goals are insufficiently accounted for. </w:t>
      </w:r>
      <w:r w:rsidRPr="008608AA">
        <w:rPr>
          <w:rFonts w:eastAsia="Calibri"/>
        </w:rPr>
        <w:t xml:space="preserve">Positive impacts of economic growth include, for instance, the resulting income availability for social and environmental investments, like biodiversity protection and conservation (Tlayie </w:t>
      </w:r>
      <w:r w:rsidR="001C32D3" w:rsidRPr="008608AA">
        <w:rPr>
          <w:rFonts w:eastAsia="Calibri"/>
        </w:rPr>
        <w:t>&amp;</w:t>
      </w:r>
      <w:r w:rsidRPr="008608AA">
        <w:rPr>
          <w:rFonts w:eastAsia="Calibri"/>
        </w:rPr>
        <w:t xml:space="preserve"> Aryal, 2013), and </w:t>
      </w:r>
      <w:r w:rsidRPr="008608AA">
        <w:t>greater environmental awareness</w:t>
      </w:r>
      <w:r w:rsidRPr="008608AA">
        <w:rPr>
          <w:rFonts w:eastAsia="Calibri"/>
        </w:rPr>
        <w:t>. Negative impacts of economic growth mainly refer to the adverse consequences (e.g. habitat degradation, overharvesting, etc.) of those styles of economic growth that disregard social development and environmental goals.</w:t>
      </w:r>
    </w:p>
    <w:p w14:paraId="4D7403C1" w14:textId="60ECF388" w:rsidR="001E61A6" w:rsidRPr="008608AA" w:rsidRDefault="001E61A6" w:rsidP="007B60EB">
      <w:pPr>
        <w:spacing w:before="120"/>
        <w:rPr>
          <w:rFonts w:eastAsia="Calibri"/>
        </w:rPr>
      </w:pPr>
      <w:r w:rsidRPr="008608AA">
        <w:rPr>
          <w:rFonts w:eastAsia="Calibri"/>
        </w:rPr>
        <w:t xml:space="preserve">Assessing relevant information on economic development includes consideration of key indicators, like regional and </w:t>
      </w:r>
      <w:r w:rsidR="007C45FD" w:rsidRPr="008608AA">
        <w:rPr>
          <w:rFonts w:eastAsia="Calibri"/>
        </w:rPr>
        <w:t>sub</w:t>
      </w:r>
      <w:r w:rsidRPr="008608AA">
        <w:rPr>
          <w:rFonts w:eastAsia="Calibri"/>
        </w:rPr>
        <w:t xml:space="preserve">regional GDP (and GDP per capita) growth trends; regional and </w:t>
      </w:r>
      <w:r w:rsidR="007C45FD" w:rsidRPr="008608AA">
        <w:rPr>
          <w:rFonts w:eastAsia="Calibri"/>
        </w:rPr>
        <w:t>sub</w:t>
      </w:r>
      <w:r w:rsidR="00FC7B54" w:rsidRPr="008608AA">
        <w:rPr>
          <w:rFonts w:eastAsia="Calibri"/>
        </w:rPr>
        <w:t>regional distribution of GDP</w:t>
      </w:r>
      <w:r w:rsidRPr="008608AA">
        <w:rPr>
          <w:rFonts w:eastAsia="Calibri"/>
        </w:rPr>
        <w:t xml:space="preserve"> purchasing power parity (PPP); as well as the sectoral structure of national economies (agriculture, industry, services).</w:t>
      </w:r>
      <w:r w:rsidR="00501642" w:rsidRPr="008608AA">
        <w:rPr>
          <w:rFonts w:eastAsia="Calibri"/>
        </w:rPr>
        <w:t xml:space="preserve"> Table 4.1 </w:t>
      </w:r>
      <w:r w:rsidRPr="008608AA">
        <w:rPr>
          <w:rFonts w:eastAsia="Calibri"/>
        </w:rPr>
        <w:t>synthetizes historical (since 1960) and projected (</w:t>
      </w:r>
      <w:r w:rsidR="00501642" w:rsidRPr="008608AA">
        <w:rPr>
          <w:rFonts w:eastAsia="Calibri"/>
        </w:rPr>
        <w:t>unti</w:t>
      </w:r>
      <w:r w:rsidRPr="008608AA">
        <w:rPr>
          <w:rFonts w:eastAsia="Calibri"/>
        </w:rPr>
        <w:t>l 2050) trends for GDP and population in the Americas. GDP and population increased by 5.9 and 2.4 times, respectively, in the Americas from 1960 to 2016. By 2050, GDP in the Americas is expected to double with respect to 2016, while population would increase by 20% in that period.</w:t>
      </w:r>
    </w:p>
    <w:p w14:paraId="76C0E9D6" w14:textId="088F1F7B" w:rsidR="001E61A6" w:rsidRPr="008608AA" w:rsidRDefault="001E61A6" w:rsidP="007B60EB">
      <w:pPr>
        <w:spacing w:before="120"/>
        <w:rPr>
          <w:lang w:eastAsia="es-ES"/>
        </w:rPr>
      </w:pPr>
      <w:r w:rsidRPr="008608AA">
        <w:rPr>
          <w:rFonts w:eastAsia="Calibri"/>
        </w:rPr>
        <w:t xml:space="preserve">Economic growth has been identified as a key driver of global greenhouse gasses emissions </w:t>
      </w:r>
      <w:r w:rsidRPr="008608AA">
        <w:rPr>
          <w:rFonts w:eastAsia="Calibri"/>
        </w:rPr>
        <w:fldChar w:fldCharType="begin" w:fldLock="1"/>
      </w:r>
      <w:r w:rsidRPr="008608AA">
        <w:rPr>
          <w:rFonts w:eastAsia="Calibri"/>
        </w:rPr>
        <w:instrText>ADDIN CSL_CITATION { "citationItems" : [ { "id" : "ITEM-1", "itemData" : { "author" : [ { "dropping-particle" : "", "family" : "Intergovernmental Panel on Climate Change", "given" : "", "non-dropping-particle" : "", "parse-names" : false, "suffix" : "" } ], "container-title" : "Ipcc", "id" : "ITEM-1", "issued" : { "date-parts" : [ [ "2014" ] ] }, "title" : "Climate Change 2014 Synthesis Report Summary Chapter for Policymakers", "type" : "report" }, "uris" : [ "http://www.mendeley.com/documents/?uuid=af901f59-8752-4b71-be1b-90b699e09a14" ] } ], "mendeley" : { "formattedCitation" : "(Intergovernmental Panel on Climate Change 2014)", "plainTextFormattedCitation" : "(Intergovernmental Panel on Climate Change 2014)", "previouslyFormattedCitation" : "(Intergovernmental Panel on Climate Change 2014)" }, "properties" : { "noteIndex" : 0 }, "schema" : "https://github.com/citation-style-language/schema/raw/master/csl-citation.json" }</w:instrText>
      </w:r>
      <w:r w:rsidRPr="008608AA">
        <w:rPr>
          <w:rFonts w:eastAsia="Calibri"/>
        </w:rPr>
        <w:fldChar w:fldCharType="separate"/>
      </w:r>
      <w:r w:rsidR="00CD160A" w:rsidRPr="008608AA">
        <w:rPr>
          <w:rFonts w:eastAsia="Calibri"/>
        </w:rPr>
        <w:t>(IPCC</w:t>
      </w:r>
      <w:r w:rsidR="001C32D3" w:rsidRPr="008608AA">
        <w:rPr>
          <w:rFonts w:eastAsia="Calibri"/>
        </w:rPr>
        <w:t>,</w:t>
      </w:r>
      <w:r w:rsidRPr="008608AA">
        <w:rPr>
          <w:rFonts w:eastAsia="Calibri"/>
        </w:rPr>
        <w:t xml:space="preserve"> 2014</w:t>
      </w:r>
      <w:r w:rsidR="000656BE" w:rsidRPr="008608AA">
        <w:rPr>
          <w:rFonts w:eastAsia="Calibri"/>
        </w:rPr>
        <w:t>a</w:t>
      </w:r>
      <w:r w:rsidRPr="008608AA">
        <w:rPr>
          <w:rFonts w:eastAsia="Calibri"/>
        </w:rPr>
        <w:t>)</w:t>
      </w:r>
      <w:r w:rsidRPr="008608AA">
        <w:rPr>
          <w:rFonts w:eastAsia="Calibri"/>
        </w:rPr>
        <w:fldChar w:fldCharType="end"/>
      </w:r>
      <w:r w:rsidRPr="008608AA">
        <w:rPr>
          <w:rFonts w:eastAsia="Calibri"/>
        </w:rPr>
        <w:t>. With around 5% of world population, North America produces 24.2% of global GDP</w:t>
      </w:r>
      <w:r w:rsidRPr="008608AA">
        <w:rPr>
          <w:rStyle w:val="FootnoteReference"/>
          <w:rFonts w:eastAsia="Calibri"/>
          <w:lang w:val="en-GB"/>
        </w:rPr>
        <w:footnoteReference w:id="15"/>
      </w:r>
      <w:r w:rsidRPr="008608AA">
        <w:rPr>
          <w:rFonts w:eastAsia="Calibri"/>
        </w:rPr>
        <w:t xml:space="preserve"> (16.8% of global GDP</w:t>
      </w:r>
      <w:r w:rsidRPr="008608AA">
        <w:rPr>
          <w:rFonts w:eastAsia="Calibri"/>
          <w:vertAlign w:val="subscript"/>
        </w:rPr>
        <w:t>PPP</w:t>
      </w:r>
      <w:r w:rsidRPr="008608AA">
        <w:rPr>
          <w:rFonts w:eastAsia="Calibri"/>
        </w:rPr>
        <w:t>) and 16% of global greenhouse gasses emissions, while Latin America and Caribbean accounts for 8.7% of total population, 7.6% of world GDP</w:t>
      </w:r>
      <w:r w:rsidRPr="008608AA">
        <w:rPr>
          <w:rStyle w:val="FootnoteReference"/>
          <w:rFonts w:eastAsia="Calibri"/>
          <w:lang w:val="en-GB"/>
        </w:rPr>
        <w:footnoteReference w:id="16"/>
      </w:r>
      <w:r w:rsidRPr="008608AA">
        <w:rPr>
          <w:rFonts w:eastAsia="Calibri"/>
        </w:rPr>
        <w:t xml:space="preserve"> (8.1% of global GDP</w:t>
      </w:r>
      <w:r w:rsidRPr="008608AA">
        <w:rPr>
          <w:rFonts w:eastAsia="Calibri"/>
          <w:vertAlign w:val="subscript"/>
        </w:rPr>
        <w:t>PPP</w:t>
      </w:r>
      <w:r w:rsidRPr="008608AA">
        <w:rPr>
          <w:rFonts w:eastAsia="Calibri"/>
        </w:rPr>
        <w:t>), and 5.2% of global greenhouse gasses emissions (</w:t>
      </w:r>
      <w:r w:rsidR="00165D1C" w:rsidRPr="008608AA">
        <w:rPr>
          <w:rFonts w:eastAsia="Calibri"/>
        </w:rPr>
        <w:t>Table 4.1</w:t>
      </w:r>
      <w:r w:rsidR="001C32D3" w:rsidRPr="008608AA">
        <w:rPr>
          <w:rFonts w:eastAsia="Calibri"/>
        </w:rPr>
        <w:t>,</w:t>
      </w:r>
      <w:r w:rsidRPr="008608AA">
        <w:rPr>
          <w:rFonts w:eastAsia="Calibri"/>
        </w:rPr>
        <w:t xml:space="preserve"> IEA, 2016).</w:t>
      </w:r>
      <w:r w:rsidRPr="008608AA">
        <w:rPr>
          <w:lang w:eastAsia="es-ES"/>
        </w:rPr>
        <w:t xml:space="preserve"> </w:t>
      </w:r>
    </w:p>
    <w:p w14:paraId="61C14B1C" w14:textId="5E32C558" w:rsidR="00077BB8" w:rsidRPr="008608AA" w:rsidRDefault="001E61A6" w:rsidP="007B60EB">
      <w:pPr>
        <w:spacing w:before="120"/>
        <w:rPr>
          <w:lang w:eastAsia="es-ES"/>
        </w:rPr>
      </w:pPr>
      <w:r w:rsidRPr="008608AA">
        <w:rPr>
          <w:lang w:eastAsia="es-ES"/>
        </w:rPr>
        <w:t xml:space="preserve">The impact of the consumers’ purchasing power on the demand of natural resources is receiving growing attention in the economic literature nowadays due to the emergence of new waves of affluent consumers who tend to increase the demand for the limited natural resources (Myers </w:t>
      </w:r>
      <w:r w:rsidR="001C32D3" w:rsidRPr="008608AA">
        <w:rPr>
          <w:lang w:eastAsia="es-ES"/>
        </w:rPr>
        <w:t>&amp;</w:t>
      </w:r>
      <w:r w:rsidRPr="008608AA">
        <w:rPr>
          <w:lang w:eastAsia="es-ES"/>
        </w:rPr>
        <w:t xml:space="preserve"> Kent, 2003). </w:t>
      </w:r>
      <w:r w:rsidR="00CD160A" w:rsidRPr="008608AA">
        <w:rPr>
          <w:rFonts w:eastAsia="Calibri"/>
        </w:rPr>
        <w:t xml:space="preserve">Purchasing power parity </w:t>
      </w:r>
      <w:r w:rsidRPr="008608AA">
        <w:rPr>
          <w:lang w:eastAsia="es-ES"/>
        </w:rPr>
        <w:t>dollars are between 1.5 and 2.6 times higher than conventional dollars in at least 27 developing countries of the Americas. For the USA, PPP dollars and conventional dollars are the same by definition.</w:t>
      </w:r>
    </w:p>
    <w:p w14:paraId="2BBD51CC" w14:textId="75694889" w:rsidR="001E61A6" w:rsidRPr="008608AA" w:rsidRDefault="007B60EB" w:rsidP="007B60EB">
      <w:pPr>
        <w:pStyle w:val="Caption"/>
      </w:pPr>
      <w:bookmarkStart w:id="1360" w:name="_Toc499459684"/>
      <w:bookmarkStart w:id="1361" w:name="_Hlk494357357"/>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w:t>
      </w:r>
      <w:r w:rsidR="000E562E">
        <w:rPr>
          <w:noProof/>
        </w:rPr>
        <w:fldChar w:fldCharType="end"/>
      </w:r>
      <w:r w:rsidRPr="008608AA">
        <w:t xml:space="preserve">. </w:t>
      </w:r>
      <w:r w:rsidR="001E61A6" w:rsidRPr="008608AA">
        <w:t>Gross Domestic Product</w:t>
      </w:r>
      <w:r w:rsidR="00CD160A" w:rsidRPr="008608AA">
        <w:t xml:space="preserve"> (GDP)</w:t>
      </w:r>
      <w:r w:rsidR="001E61A6" w:rsidRPr="008608AA">
        <w:t xml:space="preserve"> and population in the Americas: historical and projected trends.</w:t>
      </w:r>
      <w:bookmarkEnd w:id="1360"/>
    </w:p>
    <w:tbl>
      <w:tblPr>
        <w:tblW w:w="5000" w:type="pct"/>
        <w:tblLook w:val="04A0" w:firstRow="1" w:lastRow="0" w:firstColumn="1" w:lastColumn="0" w:noHBand="0" w:noVBand="1"/>
      </w:tblPr>
      <w:tblGrid>
        <w:gridCol w:w="1200"/>
        <w:gridCol w:w="648"/>
        <w:gridCol w:w="648"/>
        <w:gridCol w:w="1514"/>
        <w:gridCol w:w="1514"/>
        <w:gridCol w:w="1073"/>
        <w:gridCol w:w="1445"/>
        <w:gridCol w:w="1445"/>
      </w:tblGrid>
      <w:tr w:rsidR="001E61A6" w:rsidRPr="00A26FD5" w14:paraId="241FF35A" w14:textId="77777777" w:rsidTr="007B60EB">
        <w:tc>
          <w:tcPr>
            <w:tcW w:w="648"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bookmarkEnd w:id="1361"/>
          <w:p w14:paraId="7225A560" w14:textId="77777777" w:rsidR="001E61A6" w:rsidRPr="00A26FD5" w:rsidRDefault="001E61A6" w:rsidP="007B60EB">
            <w:pPr>
              <w:jc w:val="center"/>
              <w:rPr>
                <w:b/>
                <w:sz w:val="20"/>
                <w:szCs w:val="20"/>
              </w:rPr>
            </w:pPr>
            <w:r w:rsidRPr="00A26FD5">
              <w:rPr>
                <w:b/>
                <w:sz w:val="20"/>
                <w:szCs w:val="20"/>
              </w:rPr>
              <w:t>Regions</w:t>
            </w:r>
          </w:p>
        </w:tc>
        <w:tc>
          <w:tcPr>
            <w:tcW w:w="39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9464E03" w14:textId="77777777" w:rsidR="001E61A6" w:rsidRPr="00A26FD5" w:rsidRDefault="001E61A6" w:rsidP="007B60EB">
            <w:pPr>
              <w:jc w:val="center"/>
              <w:rPr>
                <w:b/>
                <w:sz w:val="20"/>
                <w:szCs w:val="20"/>
              </w:rPr>
            </w:pPr>
            <w:r w:rsidRPr="00A26FD5">
              <w:rPr>
                <w:b/>
                <w:sz w:val="20"/>
                <w:szCs w:val="20"/>
              </w:rPr>
              <w:t>GDP PPP (*)</w:t>
            </w:r>
          </w:p>
        </w:tc>
        <w:tc>
          <w:tcPr>
            <w:tcW w:w="1957"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92B7F91" w14:textId="77777777" w:rsidR="001E61A6" w:rsidRPr="00A26FD5" w:rsidRDefault="001E61A6" w:rsidP="007B60EB">
            <w:pPr>
              <w:jc w:val="center"/>
              <w:rPr>
                <w:b/>
                <w:sz w:val="20"/>
                <w:szCs w:val="20"/>
              </w:rPr>
            </w:pPr>
            <w:r w:rsidRPr="00A26FD5">
              <w:rPr>
                <w:b/>
                <w:sz w:val="20"/>
                <w:szCs w:val="20"/>
              </w:rPr>
              <w:t xml:space="preserve">GDP </w:t>
            </w:r>
            <w:r w:rsidRPr="00A26FD5">
              <w:rPr>
                <w:b/>
                <w:i/>
                <w:sz w:val="20"/>
                <w:szCs w:val="20"/>
              </w:rPr>
              <w:t>(**)</w:t>
            </w:r>
          </w:p>
        </w:tc>
        <w:tc>
          <w:tcPr>
            <w:tcW w:w="1996"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4C9932C" w14:textId="77777777" w:rsidR="001E61A6" w:rsidRPr="00A26FD5" w:rsidRDefault="001E61A6" w:rsidP="007B60EB">
            <w:pPr>
              <w:jc w:val="center"/>
              <w:rPr>
                <w:b/>
                <w:sz w:val="20"/>
                <w:szCs w:val="20"/>
              </w:rPr>
            </w:pPr>
            <w:r w:rsidRPr="00A26FD5">
              <w:rPr>
                <w:b/>
                <w:sz w:val="20"/>
                <w:szCs w:val="20"/>
              </w:rPr>
              <w:t>Population</w:t>
            </w:r>
          </w:p>
        </w:tc>
      </w:tr>
      <w:tr w:rsidR="001E61A6" w:rsidRPr="00A26FD5" w14:paraId="6F185AD3" w14:textId="77777777" w:rsidTr="007B60EB">
        <w:tc>
          <w:tcPr>
            <w:tcW w:w="648"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8C77A8A" w14:textId="77777777" w:rsidR="001E61A6" w:rsidRPr="00A26FD5" w:rsidRDefault="001E61A6" w:rsidP="007B60EB">
            <w:pPr>
              <w:jc w:val="center"/>
              <w:rPr>
                <w:b/>
                <w:sz w:val="20"/>
                <w:szCs w:val="20"/>
              </w:rPr>
            </w:pPr>
          </w:p>
        </w:tc>
        <w:tc>
          <w:tcPr>
            <w:tcW w:w="39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7B4FED7" w14:textId="77777777" w:rsidR="001E61A6" w:rsidRPr="00A26FD5" w:rsidRDefault="001E61A6" w:rsidP="007B60EB">
            <w:pPr>
              <w:jc w:val="center"/>
              <w:rPr>
                <w:b/>
                <w:sz w:val="20"/>
                <w:szCs w:val="20"/>
              </w:rPr>
            </w:pPr>
            <w:r w:rsidRPr="00A26FD5">
              <w:rPr>
                <w:b/>
                <w:sz w:val="20"/>
                <w:szCs w:val="20"/>
              </w:rPr>
              <w:t>%  of world GDP, 2016</w:t>
            </w:r>
          </w:p>
        </w:tc>
        <w:tc>
          <w:tcPr>
            <w:tcW w:w="34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5A13794" w14:textId="77777777" w:rsidR="001E61A6" w:rsidRPr="00A26FD5" w:rsidRDefault="001E61A6" w:rsidP="007B60EB">
            <w:pPr>
              <w:jc w:val="center"/>
              <w:rPr>
                <w:b/>
                <w:sz w:val="20"/>
                <w:szCs w:val="20"/>
              </w:rPr>
            </w:pPr>
            <w:r w:rsidRPr="00A26FD5">
              <w:rPr>
                <w:b/>
                <w:sz w:val="20"/>
                <w:szCs w:val="20"/>
              </w:rPr>
              <w:t>%  of world GDP, 2016</w:t>
            </w:r>
          </w:p>
        </w:tc>
        <w:tc>
          <w:tcPr>
            <w:tcW w:w="81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4DDE874" w14:textId="77777777" w:rsidR="001E61A6" w:rsidRPr="00A26FD5" w:rsidRDefault="001E61A6" w:rsidP="007B60EB">
            <w:pPr>
              <w:jc w:val="center"/>
              <w:rPr>
                <w:b/>
                <w:sz w:val="20"/>
                <w:szCs w:val="20"/>
              </w:rPr>
            </w:pPr>
            <w:r w:rsidRPr="00A26FD5">
              <w:rPr>
                <w:b/>
                <w:sz w:val="20"/>
                <w:szCs w:val="20"/>
              </w:rPr>
              <w:t>Cumulative change, 1960-2016 (GDP</w:t>
            </w:r>
            <w:r w:rsidRPr="00A26FD5">
              <w:rPr>
                <w:b/>
                <w:sz w:val="20"/>
                <w:szCs w:val="20"/>
                <w:vertAlign w:val="subscript"/>
              </w:rPr>
              <w:t>2016</w:t>
            </w:r>
            <w:r w:rsidRPr="00A26FD5">
              <w:rPr>
                <w:b/>
                <w:sz w:val="20"/>
                <w:szCs w:val="20"/>
              </w:rPr>
              <w:t>/GDP</w:t>
            </w:r>
            <w:r w:rsidRPr="00A26FD5">
              <w:rPr>
                <w:b/>
                <w:sz w:val="20"/>
                <w:szCs w:val="20"/>
                <w:vertAlign w:val="subscript"/>
              </w:rPr>
              <w:t>1960</w:t>
            </w:r>
            <w:r w:rsidRPr="00A26FD5">
              <w:rPr>
                <w:b/>
                <w:sz w:val="20"/>
                <w:szCs w:val="20"/>
              </w:rPr>
              <w:t>)</w:t>
            </w:r>
          </w:p>
        </w:tc>
        <w:tc>
          <w:tcPr>
            <w:tcW w:w="80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02B931E" w14:textId="77777777" w:rsidR="001E61A6" w:rsidRPr="00A26FD5" w:rsidRDefault="001E61A6" w:rsidP="007B60EB">
            <w:pPr>
              <w:jc w:val="center"/>
              <w:rPr>
                <w:b/>
                <w:sz w:val="20"/>
                <w:szCs w:val="20"/>
              </w:rPr>
            </w:pPr>
            <w:r w:rsidRPr="00A26FD5">
              <w:rPr>
                <w:b/>
                <w:sz w:val="20"/>
                <w:szCs w:val="20"/>
              </w:rPr>
              <w:t>Expected cumulative change, 2016-2050</w:t>
            </w:r>
          </w:p>
          <w:p w14:paraId="12B7ABBC" w14:textId="1B937083" w:rsidR="001E61A6" w:rsidRPr="00A26FD5" w:rsidRDefault="001E61A6" w:rsidP="007B60EB">
            <w:pPr>
              <w:jc w:val="center"/>
              <w:rPr>
                <w:b/>
                <w:sz w:val="20"/>
                <w:szCs w:val="20"/>
              </w:rPr>
            </w:pPr>
            <w:r w:rsidRPr="00A26FD5">
              <w:rPr>
                <w:b/>
                <w:sz w:val="20"/>
                <w:szCs w:val="20"/>
              </w:rPr>
              <w:t>(GDP</w:t>
            </w:r>
            <w:r w:rsidRPr="00A26FD5">
              <w:rPr>
                <w:b/>
                <w:sz w:val="20"/>
                <w:szCs w:val="20"/>
                <w:vertAlign w:val="subscript"/>
              </w:rPr>
              <w:t>2050</w:t>
            </w:r>
            <w:r w:rsidRPr="00A26FD5">
              <w:rPr>
                <w:b/>
                <w:sz w:val="20"/>
                <w:szCs w:val="20"/>
              </w:rPr>
              <w:t>/GDP</w:t>
            </w:r>
            <w:r w:rsidRPr="00A26FD5">
              <w:rPr>
                <w:b/>
                <w:sz w:val="20"/>
                <w:szCs w:val="20"/>
                <w:vertAlign w:val="subscript"/>
              </w:rPr>
              <w:t>2016</w:t>
            </w:r>
            <w:r w:rsidRPr="00A26FD5">
              <w:rPr>
                <w:b/>
                <w:sz w:val="20"/>
                <w:szCs w:val="20"/>
              </w:rPr>
              <w:t>)</w:t>
            </w:r>
          </w:p>
        </w:tc>
        <w:tc>
          <w:tcPr>
            <w:tcW w:w="53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B4409DD" w14:textId="77777777" w:rsidR="001E61A6" w:rsidRPr="00A26FD5" w:rsidRDefault="001E61A6" w:rsidP="007B60EB">
            <w:pPr>
              <w:jc w:val="center"/>
              <w:rPr>
                <w:b/>
                <w:sz w:val="20"/>
                <w:szCs w:val="20"/>
              </w:rPr>
            </w:pPr>
            <w:r w:rsidRPr="00A26FD5">
              <w:rPr>
                <w:b/>
                <w:sz w:val="20"/>
                <w:szCs w:val="20"/>
              </w:rPr>
              <w:t>% of world population, 2017</w:t>
            </w:r>
          </w:p>
        </w:tc>
        <w:tc>
          <w:tcPr>
            <w:tcW w:w="73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C3B3075" w14:textId="77777777" w:rsidR="001E61A6" w:rsidRPr="00A26FD5" w:rsidRDefault="001E61A6" w:rsidP="007B60EB">
            <w:pPr>
              <w:jc w:val="center"/>
              <w:rPr>
                <w:b/>
                <w:sz w:val="20"/>
                <w:szCs w:val="20"/>
              </w:rPr>
            </w:pPr>
            <w:r w:rsidRPr="00A26FD5">
              <w:rPr>
                <w:b/>
                <w:sz w:val="20"/>
                <w:szCs w:val="20"/>
              </w:rPr>
              <w:t>Cumulative change, 1960-2017</w:t>
            </w:r>
          </w:p>
          <w:p w14:paraId="35BEFC27" w14:textId="77777777" w:rsidR="001E61A6" w:rsidRPr="00A26FD5" w:rsidRDefault="001E61A6" w:rsidP="007B60EB">
            <w:pPr>
              <w:jc w:val="center"/>
              <w:rPr>
                <w:b/>
                <w:sz w:val="20"/>
                <w:szCs w:val="20"/>
              </w:rPr>
            </w:pPr>
            <w:r w:rsidRPr="00A26FD5">
              <w:rPr>
                <w:b/>
                <w:sz w:val="20"/>
                <w:szCs w:val="20"/>
              </w:rPr>
              <w:t>(Pop</w:t>
            </w:r>
            <w:r w:rsidRPr="00A26FD5">
              <w:rPr>
                <w:b/>
                <w:sz w:val="20"/>
                <w:szCs w:val="20"/>
                <w:vertAlign w:val="subscript"/>
              </w:rPr>
              <w:t>2017</w:t>
            </w:r>
            <w:r w:rsidRPr="00A26FD5">
              <w:rPr>
                <w:b/>
                <w:sz w:val="20"/>
                <w:szCs w:val="20"/>
              </w:rPr>
              <w:t>/Pop</w:t>
            </w:r>
            <w:r w:rsidRPr="00A26FD5">
              <w:rPr>
                <w:b/>
                <w:sz w:val="20"/>
                <w:szCs w:val="20"/>
                <w:vertAlign w:val="subscript"/>
              </w:rPr>
              <w:t>1960</w:t>
            </w:r>
            <w:r w:rsidRPr="00A26FD5">
              <w:rPr>
                <w:b/>
                <w:sz w:val="20"/>
                <w:szCs w:val="20"/>
              </w:rPr>
              <w:t>)</w:t>
            </w:r>
          </w:p>
        </w:tc>
        <w:tc>
          <w:tcPr>
            <w:tcW w:w="73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ADC438C" w14:textId="77777777" w:rsidR="001E61A6" w:rsidRPr="00A26FD5" w:rsidRDefault="001E61A6" w:rsidP="007B60EB">
            <w:pPr>
              <w:jc w:val="center"/>
              <w:rPr>
                <w:b/>
                <w:sz w:val="20"/>
                <w:szCs w:val="20"/>
              </w:rPr>
            </w:pPr>
            <w:r w:rsidRPr="00A26FD5">
              <w:rPr>
                <w:b/>
                <w:sz w:val="20"/>
                <w:szCs w:val="20"/>
              </w:rPr>
              <w:t>Expected cumulative change, 2017-2050 (Pop</w:t>
            </w:r>
            <w:r w:rsidRPr="00A26FD5">
              <w:rPr>
                <w:b/>
                <w:sz w:val="20"/>
                <w:szCs w:val="20"/>
                <w:vertAlign w:val="subscript"/>
              </w:rPr>
              <w:t>2050</w:t>
            </w:r>
            <w:r w:rsidRPr="00A26FD5">
              <w:rPr>
                <w:b/>
                <w:sz w:val="20"/>
                <w:szCs w:val="20"/>
              </w:rPr>
              <w:t>/Pop</w:t>
            </w:r>
            <w:r w:rsidRPr="00A26FD5">
              <w:rPr>
                <w:b/>
                <w:sz w:val="20"/>
                <w:szCs w:val="20"/>
                <w:vertAlign w:val="subscript"/>
              </w:rPr>
              <w:t>2017</w:t>
            </w:r>
            <w:r w:rsidRPr="00A26FD5">
              <w:rPr>
                <w:b/>
                <w:sz w:val="20"/>
                <w:szCs w:val="20"/>
              </w:rPr>
              <w:t>)</w:t>
            </w:r>
          </w:p>
        </w:tc>
      </w:tr>
      <w:tr w:rsidR="001E61A6" w:rsidRPr="00A26FD5" w14:paraId="3FB88CD9" w14:textId="77777777" w:rsidTr="00165D1C">
        <w:tc>
          <w:tcPr>
            <w:tcW w:w="648" w:type="pct"/>
            <w:tcBorders>
              <w:top w:val="single" w:sz="4" w:space="0" w:color="auto"/>
              <w:left w:val="single" w:sz="4" w:space="0" w:color="auto"/>
              <w:bottom w:val="single" w:sz="4" w:space="0" w:color="auto"/>
              <w:right w:val="single" w:sz="4" w:space="0" w:color="auto"/>
            </w:tcBorders>
            <w:shd w:val="clear" w:color="auto" w:fill="auto"/>
          </w:tcPr>
          <w:p w14:paraId="1461525B" w14:textId="77777777" w:rsidR="001E61A6" w:rsidRPr="00A26FD5" w:rsidRDefault="001E61A6" w:rsidP="001E61A6">
            <w:pPr>
              <w:rPr>
                <w:sz w:val="20"/>
                <w:szCs w:val="20"/>
              </w:rPr>
            </w:pPr>
            <w:r w:rsidRPr="00A26FD5">
              <w:rPr>
                <w:sz w:val="20"/>
                <w:szCs w:val="20"/>
              </w:rPr>
              <w:t>North America</w:t>
            </w:r>
          </w:p>
        </w:tc>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74A130B7" w14:textId="77777777" w:rsidR="001E61A6" w:rsidRPr="00A26FD5" w:rsidRDefault="001E61A6" w:rsidP="001E61A6">
            <w:pPr>
              <w:jc w:val="center"/>
              <w:rPr>
                <w:sz w:val="20"/>
                <w:szCs w:val="20"/>
              </w:rPr>
            </w:pPr>
            <w:r w:rsidRPr="00A26FD5">
              <w:rPr>
                <w:sz w:val="20"/>
                <w:szCs w:val="20"/>
              </w:rPr>
              <w:t>16.8</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66D6DD81" w14:textId="77777777" w:rsidR="001E61A6" w:rsidRPr="00A26FD5" w:rsidRDefault="001E61A6" w:rsidP="001E61A6">
            <w:pPr>
              <w:jc w:val="center"/>
              <w:rPr>
                <w:sz w:val="20"/>
                <w:szCs w:val="20"/>
              </w:rPr>
            </w:pPr>
            <w:r w:rsidRPr="00A26FD5">
              <w:rPr>
                <w:sz w:val="20"/>
                <w:szCs w:val="20"/>
              </w:rPr>
              <w:t>24.2</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5BFC95F9" w14:textId="77777777" w:rsidR="001E61A6" w:rsidRPr="00A26FD5" w:rsidRDefault="001E61A6" w:rsidP="001E61A6">
            <w:pPr>
              <w:jc w:val="center"/>
              <w:rPr>
                <w:sz w:val="20"/>
                <w:szCs w:val="20"/>
              </w:rPr>
            </w:pPr>
            <w:r w:rsidRPr="00A26FD5">
              <w:rPr>
                <w:sz w:val="20"/>
                <w:szCs w:val="20"/>
              </w:rPr>
              <w:t>5.51</w:t>
            </w:r>
          </w:p>
        </w:tc>
        <w:tc>
          <w:tcPr>
            <w:tcW w:w="802" w:type="pct"/>
            <w:tcBorders>
              <w:top w:val="single" w:sz="4" w:space="0" w:color="auto"/>
              <w:left w:val="single" w:sz="4" w:space="0" w:color="auto"/>
              <w:bottom w:val="single" w:sz="4" w:space="0" w:color="auto"/>
              <w:right w:val="single" w:sz="4" w:space="0" w:color="auto"/>
            </w:tcBorders>
            <w:shd w:val="clear" w:color="auto" w:fill="auto"/>
            <w:vAlign w:val="center"/>
          </w:tcPr>
          <w:p w14:paraId="041251D2" w14:textId="77777777" w:rsidR="001E61A6" w:rsidRPr="00A26FD5" w:rsidRDefault="001E61A6" w:rsidP="001E61A6">
            <w:pPr>
              <w:jc w:val="center"/>
              <w:rPr>
                <w:sz w:val="20"/>
                <w:szCs w:val="20"/>
              </w:rPr>
            </w:pPr>
            <w:r w:rsidRPr="00A26FD5">
              <w:rPr>
                <w:sz w:val="20"/>
                <w:szCs w:val="20"/>
              </w:rPr>
              <w:t>1.71</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4DD98908" w14:textId="77777777" w:rsidR="001E61A6" w:rsidRPr="00A26FD5" w:rsidRDefault="001E61A6" w:rsidP="001E61A6">
            <w:pPr>
              <w:jc w:val="center"/>
              <w:rPr>
                <w:sz w:val="20"/>
                <w:szCs w:val="20"/>
              </w:rPr>
            </w:pPr>
            <w:r w:rsidRPr="00A26FD5">
              <w:rPr>
                <w:sz w:val="20"/>
                <w:szCs w:val="20"/>
              </w:rPr>
              <w:t>4.8</w:t>
            </w:r>
          </w:p>
        </w:tc>
        <w:tc>
          <w:tcPr>
            <w:tcW w:w="733" w:type="pct"/>
            <w:tcBorders>
              <w:top w:val="single" w:sz="4" w:space="0" w:color="auto"/>
              <w:left w:val="single" w:sz="4" w:space="0" w:color="auto"/>
              <w:bottom w:val="single" w:sz="4" w:space="0" w:color="auto"/>
              <w:right w:val="single" w:sz="4" w:space="0" w:color="auto"/>
            </w:tcBorders>
            <w:shd w:val="clear" w:color="auto" w:fill="auto"/>
            <w:vAlign w:val="center"/>
          </w:tcPr>
          <w:p w14:paraId="2D6AC409" w14:textId="77777777" w:rsidR="001E61A6" w:rsidRPr="00A26FD5" w:rsidRDefault="001E61A6" w:rsidP="001E61A6">
            <w:pPr>
              <w:jc w:val="center"/>
              <w:rPr>
                <w:sz w:val="20"/>
                <w:szCs w:val="20"/>
              </w:rPr>
            </w:pPr>
            <w:r w:rsidRPr="00A26FD5">
              <w:rPr>
                <w:sz w:val="20"/>
                <w:szCs w:val="20"/>
              </w:rPr>
              <w:t>1.77</w:t>
            </w:r>
          </w:p>
        </w:tc>
        <w:tc>
          <w:tcPr>
            <w:tcW w:w="733" w:type="pct"/>
            <w:tcBorders>
              <w:top w:val="single" w:sz="4" w:space="0" w:color="auto"/>
              <w:left w:val="single" w:sz="4" w:space="0" w:color="auto"/>
              <w:bottom w:val="single" w:sz="4" w:space="0" w:color="auto"/>
              <w:right w:val="single" w:sz="4" w:space="0" w:color="auto"/>
            </w:tcBorders>
            <w:shd w:val="clear" w:color="auto" w:fill="auto"/>
            <w:vAlign w:val="center"/>
          </w:tcPr>
          <w:p w14:paraId="73EF55B9" w14:textId="77777777" w:rsidR="001E61A6" w:rsidRPr="00A26FD5" w:rsidRDefault="001E61A6" w:rsidP="001E61A6">
            <w:pPr>
              <w:jc w:val="center"/>
              <w:rPr>
                <w:sz w:val="20"/>
                <w:szCs w:val="20"/>
              </w:rPr>
            </w:pPr>
            <w:r w:rsidRPr="00A26FD5">
              <w:rPr>
                <w:sz w:val="20"/>
                <w:szCs w:val="20"/>
              </w:rPr>
              <w:t>1.19</w:t>
            </w:r>
          </w:p>
        </w:tc>
      </w:tr>
      <w:tr w:rsidR="001E61A6" w:rsidRPr="00A26FD5" w14:paraId="57EB8E79" w14:textId="77777777" w:rsidTr="00165D1C">
        <w:tc>
          <w:tcPr>
            <w:tcW w:w="648" w:type="pct"/>
            <w:tcBorders>
              <w:top w:val="single" w:sz="4" w:space="0" w:color="auto"/>
              <w:left w:val="single" w:sz="4" w:space="0" w:color="auto"/>
              <w:bottom w:val="single" w:sz="4" w:space="0" w:color="auto"/>
              <w:right w:val="single" w:sz="4" w:space="0" w:color="auto"/>
            </w:tcBorders>
            <w:shd w:val="clear" w:color="auto" w:fill="auto"/>
          </w:tcPr>
          <w:p w14:paraId="26003760" w14:textId="77777777" w:rsidR="001E61A6" w:rsidRPr="00A26FD5" w:rsidRDefault="001E61A6" w:rsidP="001E61A6">
            <w:pPr>
              <w:rPr>
                <w:sz w:val="20"/>
                <w:szCs w:val="20"/>
              </w:rPr>
            </w:pPr>
            <w:r w:rsidRPr="00A26FD5">
              <w:rPr>
                <w:sz w:val="20"/>
                <w:szCs w:val="20"/>
              </w:rPr>
              <w:t>Mesoamerica</w:t>
            </w:r>
          </w:p>
        </w:tc>
        <w:tc>
          <w:tcPr>
            <w:tcW w:w="399" w:type="pct"/>
            <w:tcBorders>
              <w:top w:val="single" w:sz="4" w:space="0" w:color="auto"/>
              <w:left w:val="single" w:sz="4" w:space="0" w:color="auto"/>
              <w:bottom w:val="single" w:sz="4" w:space="0" w:color="auto"/>
              <w:right w:val="single" w:sz="4" w:space="0" w:color="auto"/>
            </w:tcBorders>
            <w:shd w:val="clear" w:color="auto" w:fill="auto"/>
          </w:tcPr>
          <w:p w14:paraId="71592FD8" w14:textId="77777777" w:rsidR="001E61A6" w:rsidRPr="00A26FD5" w:rsidRDefault="001E61A6" w:rsidP="001E61A6">
            <w:pPr>
              <w:jc w:val="center"/>
              <w:rPr>
                <w:sz w:val="20"/>
                <w:szCs w:val="20"/>
              </w:rPr>
            </w:pPr>
            <w:r w:rsidRPr="00A26FD5">
              <w:rPr>
                <w:sz w:val="20"/>
                <w:szCs w:val="20"/>
              </w:rPr>
              <w:t>2.3</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058D66BC" w14:textId="77777777" w:rsidR="001E61A6" w:rsidRPr="00A26FD5" w:rsidRDefault="001E61A6" w:rsidP="001E61A6">
            <w:pPr>
              <w:jc w:val="center"/>
              <w:rPr>
                <w:sz w:val="20"/>
                <w:szCs w:val="20"/>
              </w:rPr>
            </w:pPr>
            <w:r w:rsidRPr="00A26FD5">
              <w:rPr>
                <w:sz w:val="20"/>
                <w:szCs w:val="20"/>
              </w:rPr>
              <w:t>1.9</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1CAAF81D" w14:textId="77777777" w:rsidR="001E61A6" w:rsidRPr="00A26FD5" w:rsidRDefault="001E61A6" w:rsidP="001E61A6">
            <w:pPr>
              <w:jc w:val="center"/>
              <w:rPr>
                <w:sz w:val="20"/>
                <w:szCs w:val="20"/>
              </w:rPr>
            </w:pPr>
            <w:r w:rsidRPr="00A26FD5">
              <w:rPr>
                <w:sz w:val="20"/>
                <w:szCs w:val="20"/>
              </w:rPr>
              <w:t>8.86</w:t>
            </w:r>
          </w:p>
        </w:tc>
        <w:tc>
          <w:tcPr>
            <w:tcW w:w="802" w:type="pct"/>
            <w:tcBorders>
              <w:top w:val="single" w:sz="4" w:space="0" w:color="auto"/>
              <w:left w:val="single" w:sz="4" w:space="0" w:color="auto"/>
              <w:bottom w:val="single" w:sz="4" w:space="0" w:color="auto"/>
              <w:right w:val="single" w:sz="4" w:space="0" w:color="auto"/>
            </w:tcBorders>
            <w:shd w:val="clear" w:color="auto" w:fill="auto"/>
            <w:vAlign w:val="center"/>
          </w:tcPr>
          <w:p w14:paraId="65FD44C1" w14:textId="77777777" w:rsidR="001E61A6" w:rsidRPr="00A26FD5" w:rsidRDefault="001E61A6" w:rsidP="001E61A6">
            <w:pPr>
              <w:jc w:val="center"/>
              <w:rPr>
                <w:sz w:val="20"/>
                <w:szCs w:val="20"/>
              </w:rPr>
            </w:pPr>
            <w:r w:rsidRPr="00A26FD5">
              <w:rPr>
                <w:sz w:val="20"/>
                <w:szCs w:val="20"/>
              </w:rPr>
              <w:t>3.19</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4043803F" w14:textId="77777777" w:rsidR="001E61A6" w:rsidRPr="00A26FD5" w:rsidRDefault="001E61A6" w:rsidP="001E61A6">
            <w:pPr>
              <w:jc w:val="center"/>
              <w:rPr>
                <w:sz w:val="20"/>
                <w:szCs w:val="20"/>
              </w:rPr>
            </w:pPr>
            <w:r w:rsidRPr="00A26FD5">
              <w:rPr>
                <w:sz w:val="20"/>
                <w:szCs w:val="20"/>
              </w:rPr>
              <w:t>2.4</w:t>
            </w:r>
          </w:p>
        </w:tc>
        <w:tc>
          <w:tcPr>
            <w:tcW w:w="733" w:type="pct"/>
            <w:tcBorders>
              <w:top w:val="single" w:sz="4" w:space="0" w:color="auto"/>
              <w:left w:val="single" w:sz="4" w:space="0" w:color="auto"/>
              <w:bottom w:val="single" w:sz="4" w:space="0" w:color="auto"/>
              <w:right w:val="single" w:sz="4" w:space="0" w:color="auto"/>
            </w:tcBorders>
            <w:shd w:val="clear" w:color="auto" w:fill="auto"/>
            <w:vAlign w:val="center"/>
          </w:tcPr>
          <w:p w14:paraId="789BCC72" w14:textId="77777777" w:rsidR="001E61A6" w:rsidRPr="00A26FD5" w:rsidRDefault="001E61A6" w:rsidP="001E61A6">
            <w:pPr>
              <w:jc w:val="center"/>
              <w:rPr>
                <w:sz w:val="20"/>
                <w:szCs w:val="20"/>
              </w:rPr>
            </w:pPr>
            <w:r w:rsidRPr="00A26FD5">
              <w:rPr>
                <w:sz w:val="20"/>
                <w:szCs w:val="20"/>
              </w:rPr>
              <w:t>3.44</w:t>
            </w:r>
          </w:p>
        </w:tc>
        <w:tc>
          <w:tcPr>
            <w:tcW w:w="733" w:type="pct"/>
            <w:tcBorders>
              <w:top w:val="single" w:sz="4" w:space="0" w:color="auto"/>
              <w:left w:val="single" w:sz="4" w:space="0" w:color="auto"/>
              <w:bottom w:val="single" w:sz="4" w:space="0" w:color="auto"/>
              <w:right w:val="single" w:sz="4" w:space="0" w:color="auto"/>
            </w:tcBorders>
            <w:shd w:val="clear" w:color="auto" w:fill="auto"/>
            <w:vAlign w:val="center"/>
          </w:tcPr>
          <w:p w14:paraId="0BFF3045" w14:textId="77777777" w:rsidR="001E61A6" w:rsidRPr="00A26FD5" w:rsidRDefault="001E61A6" w:rsidP="001E61A6">
            <w:pPr>
              <w:jc w:val="center"/>
              <w:rPr>
                <w:sz w:val="20"/>
                <w:szCs w:val="20"/>
              </w:rPr>
            </w:pPr>
            <w:r w:rsidRPr="00A26FD5">
              <w:rPr>
                <w:sz w:val="20"/>
                <w:szCs w:val="20"/>
              </w:rPr>
              <w:t>1.29</w:t>
            </w:r>
          </w:p>
        </w:tc>
      </w:tr>
      <w:tr w:rsidR="001E61A6" w:rsidRPr="00A26FD5" w14:paraId="70207F8E" w14:textId="77777777" w:rsidTr="00165D1C">
        <w:tc>
          <w:tcPr>
            <w:tcW w:w="648" w:type="pct"/>
            <w:tcBorders>
              <w:top w:val="single" w:sz="4" w:space="0" w:color="auto"/>
              <w:left w:val="single" w:sz="4" w:space="0" w:color="auto"/>
              <w:bottom w:val="single" w:sz="4" w:space="0" w:color="auto"/>
              <w:right w:val="single" w:sz="4" w:space="0" w:color="auto"/>
            </w:tcBorders>
            <w:shd w:val="clear" w:color="auto" w:fill="auto"/>
          </w:tcPr>
          <w:p w14:paraId="02C595C5" w14:textId="77777777" w:rsidR="001E61A6" w:rsidRPr="00A26FD5" w:rsidRDefault="001E61A6" w:rsidP="001E61A6">
            <w:pPr>
              <w:rPr>
                <w:sz w:val="20"/>
                <w:szCs w:val="20"/>
              </w:rPr>
            </w:pPr>
            <w:r w:rsidRPr="00A26FD5">
              <w:rPr>
                <w:sz w:val="20"/>
                <w:szCs w:val="20"/>
              </w:rPr>
              <w:t>Caribbean</w:t>
            </w:r>
          </w:p>
        </w:tc>
        <w:tc>
          <w:tcPr>
            <w:tcW w:w="399" w:type="pct"/>
            <w:tcBorders>
              <w:top w:val="single" w:sz="4" w:space="0" w:color="auto"/>
              <w:left w:val="single" w:sz="4" w:space="0" w:color="auto"/>
              <w:bottom w:val="single" w:sz="4" w:space="0" w:color="auto"/>
              <w:right w:val="single" w:sz="4" w:space="0" w:color="auto"/>
            </w:tcBorders>
            <w:shd w:val="clear" w:color="auto" w:fill="auto"/>
          </w:tcPr>
          <w:p w14:paraId="710F69ED" w14:textId="77777777" w:rsidR="001E61A6" w:rsidRPr="00A26FD5" w:rsidRDefault="001E61A6" w:rsidP="001E61A6">
            <w:pPr>
              <w:jc w:val="center"/>
              <w:rPr>
                <w:sz w:val="20"/>
                <w:szCs w:val="20"/>
              </w:rPr>
            </w:pPr>
            <w:r w:rsidRPr="00A26FD5">
              <w:rPr>
                <w:sz w:val="20"/>
                <w:szCs w:val="20"/>
              </w:rPr>
              <w:t>0.4</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775F8E40" w14:textId="77777777" w:rsidR="001E61A6" w:rsidRPr="00A26FD5" w:rsidRDefault="001E61A6" w:rsidP="001E61A6">
            <w:pPr>
              <w:jc w:val="center"/>
              <w:rPr>
                <w:sz w:val="20"/>
                <w:szCs w:val="20"/>
              </w:rPr>
            </w:pPr>
            <w:r w:rsidRPr="00A26FD5">
              <w:rPr>
                <w:sz w:val="20"/>
                <w:szCs w:val="20"/>
              </w:rPr>
              <w:t>0.3</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27E12669" w14:textId="77777777" w:rsidR="001E61A6" w:rsidRPr="00A26FD5" w:rsidRDefault="001E61A6" w:rsidP="001E61A6">
            <w:pPr>
              <w:jc w:val="center"/>
              <w:rPr>
                <w:sz w:val="20"/>
                <w:szCs w:val="20"/>
              </w:rPr>
            </w:pPr>
            <w:r w:rsidRPr="00A26FD5">
              <w:rPr>
                <w:sz w:val="20"/>
                <w:szCs w:val="20"/>
              </w:rPr>
              <w:t>7.56</w:t>
            </w:r>
          </w:p>
        </w:tc>
        <w:tc>
          <w:tcPr>
            <w:tcW w:w="802" w:type="pct"/>
            <w:tcBorders>
              <w:top w:val="single" w:sz="4" w:space="0" w:color="auto"/>
              <w:left w:val="single" w:sz="4" w:space="0" w:color="auto"/>
              <w:bottom w:val="single" w:sz="4" w:space="0" w:color="auto"/>
              <w:right w:val="single" w:sz="4" w:space="0" w:color="auto"/>
            </w:tcBorders>
            <w:shd w:val="clear" w:color="auto" w:fill="auto"/>
            <w:vAlign w:val="center"/>
          </w:tcPr>
          <w:p w14:paraId="038B590C" w14:textId="77777777" w:rsidR="001E61A6" w:rsidRPr="00A26FD5" w:rsidRDefault="001E61A6" w:rsidP="001E61A6">
            <w:pPr>
              <w:jc w:val="center"/>
              <w:rPr>
                <w:sz w:val="20"/>
                <w:szCs w:val="20"/>
              </w:rPr>
            </w:pPr>
            <w:r w:rsidRPr="00A26FD5">
              <w:rPr>
                <w:sz w:val="20"/>
                <w:szCs w:val="20"/>
              </w:rPr>
              <w:t>3.71</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13E3DF1A" w14:textId="77777777" w:rsidR="001E61A6" w:rsidRPr="00A26FD5" w:rsidRDefault="001E61A6" w:rsidP="001E61A6">
            <w:pPr>
              <w:jc w:val="center"/>
              <w:rPr>
                <w:sz w:val="20"/>
                <w:szCs w:val="20"/>
              </w:rPr>
            </w:pPr>
            <w:r w:rsidRPr="00A26FD5">
              <w:rPr>
                <w:sz w:val="20"/>
                <w:szCs w:val="20"/>
              </w:rPr>
              <w:t>0.6</w:t>
            </w:r>
          </w:p>
        </w:tc>
        <w:tc>
          <w:tcPr>
            <w:tcW w:w="733" w:type="pct"/>
            <w:tcBorders>
              <w:top w:val="single" w:sz="4" w:space="0" w:color="auto"/>
              <w:left w:val="single" w:sz="4" w:space="0" w:color="auto"/>
              <w:bottom w:val="single" w:sz="4" w:space="0" w:color="auto"/>
              <w:right w:val="single" w:sz="4" w:space="0" w:color="auto"/>
            </w:tcBorders>
            <w:shd w:val="clear" w:color="auto" w:fill="auto"/>
            <w:vAlign w:val="center"/>
          </w:tcPr>
          <w:p w14:paraId="27F2B5B3" w14:textId="77777777" w:rsidR="001E61A6" w:rsidRPr="00A26FD5" w:rsidRDefault="001E61A6" w:rsidP="001E61A6">
            <w:pPr>
              <w:jc w:val="center"/>
              <w:rPr>
                <w:sz w:val="20"/>
                <w:szCs w:val="20"/>
              </w:rPr>
            </w:pPr>
            <w:r w:rsidRPr="00A26FD5">
              <w:rPr>
                <w:sz w:val="20"/>
                <w:szCs w:val="20"/>
              </w:rPr>
              <w:t>2.11</w:t>
            </w:r>
          </w:p>
        </w:tc>
        <w:tc>
          <w:tcPr>
            <w:tcW w:w="733" w:type="pct"/>
            <w:tcBorders>
              <w:top w:val="single" w:sz="4" w:space="0" w:color="auto"/>
              <w:left w:val="single" w:sz="4" w:space="0" w:color="auto"/>
              <w:bottom w:val="single" w:sz="4" w:space="0" w:color="auto"/>
              <w:right w:val="single" w:sz="4" w:space="0" w:color="auto"/>
            </w:tcBorders>
            <w:shd w:val="clear" w:color="auto" w:fill="auto"/>
            <w:vAlign w:val="center"/>
          </w:tcPr>
          <w:p w14:paraId="253151EC" w14:textId="77777777" w:rsidR="001E61A6" w:rsidRPr="00A26FD5" w:rsidRDefault="001E61A6" w:rsidP="001E61A6">
            <w:pPr>
              <w:jc w:val="center"/>
              <w:rPr>
                <w:sz w:val="20"/>
                <w:szCs w:val="20"/>
              </w:rPr>
            </w:pPr>
            <w:r w:rsidRPr="00A26FD5">
              <w:rPr>
                <w:sz w:val="20"/>
                <w:szCs w:val="20"/>
              </w:rPr>
              <w:t>1.09</w:t>
            </w:r>
          </w:p>
        </w:tc>
      </w:tr>
      <w:tr w:rsidR="001E61A6" w:rsidRPr="00A26FD5" w14:paraId="59326599" w14:textId="77777777" w:rsidTr="00165D1C">
        <w:tc>
          <w:tcPr>
            <w:tcW w:w="648" w:type="pct"/>
            <w:tcBorders>
              <w:top w:val="single" w:sz="4" w:space="0" w:color="auto"/>
              <w:left w:val="single" w:sz="4" w:space="0" w:color="auto"/>
              <w:bottom w:val="single" w:sz="4" w:space="0" w:color="auto"/>
              <w:right w:val="single" w:sz="4" w:space="0" w:color="auto"/>
            </w:tcBorders>
            <w:shd w:val="clear" w:color="auto" w:fill="auto"/>
          </w:tcPr>
          <w:p w14:paraId="29CA6CF6" w14:textId="77777777" w:rsidR="001E61A6" w:rsidRPr="00A26FD5" w:rsidRDefault="001E61A6" w:rsidP="001E61A6">
            <w:pPr>
              <w:rPr>
                <w:sz w:val="20"/>
                <w:szCs w:val="20"/>
              </w:rPr>
            </w:pPr>
            <w:r w:rsidRPr="00A26FD5">
              <w:rPr>
                <w:sz w:val="20"/>
                <w:szCs w:val="20"/>
              </w:rPr>
              <w:t>South America</w:t>
            </w:r>
          </w:p>
        </w:tc>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55C2F54E" w14:textId="77777777" w:rsidR="001E61A6" w:rsidRPr="00A26FD5" w:rsidRDefault="001E61A6" w:rsidP="001E61A6">
            <w:pPr>
              <w:jc w:val="center"/>
              <w:rPr>
                <w:sz w:val="20"/>
                <w:szCs w:val="20"/>
              </w:rPr>
            </w:pPr>
            <w:r w:rsidRPr="00A26FD5">
              <w:rPr>
                <w:sz w:val="20"/>
                <w:szCs w:val="20"/>
              </w:rPr>
              <w:t>5.4</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3349864E" w14:textId="77777777" w:rsidR="001E61A6" w:rsidRPr="00A26FD5" w:rsidRDefault="001E61A6" w:rsidP="001E61A6">
            <w:pPr>
              <w:jc w:val="center"/>
              <w:rPr>
                <w:sz w:val="20"/>
                <w:szCs w:val="20"/>
              </w:rPr>
            </w:pPr>
            <w:r w:rsidRPr="00A26FD5">
              <w:rPr>
                <w:sz w:val="20"/>
                <w:szCs w:val="20"/>
              </w:rPr>
              <w:t>5.4</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26B2376D" w14:textId="77777777" w:rsidR="001E61A6" w:rsidRPr="00A26FD5" w:rsidRDefault="001E61A6" w:rsidP="001E61A6">
            <w:pPr>
              <w:jc w:val="center"/>
              <w:rPr>
                <w:sz w:val="20"/>
                <w:szCs w:val="20"/>
              </w:rPr>
            </w:pPr>
            <w:r w:rsidRPr="00A26FD5">
              <w:rPr>
                <w:sz w:val="20"/>
                <w:szCs w:val="20"/>
              </w:rPr>
              <w:t>7.05</w:t>
            </w:r>
          </w:p>
        </w:tc>
        <w:tc>
          <w:tcPr>
            <w:tcW w:w="802" w:type="pct"/>
            <w:tcBorders>
              <w:top w:val="single" w:sz="4" w:space="0" w:color="auto"/>
              <w:left w:val="single" w:sz="4" w:space="0" w:color="auto"/>
              <w:bottom w:val="single" w:sz="4" w:space="0" w:color="auto"/>
              <w:right w:val="single" w:sz="4" w:space="0" w:color="auto"/>
            </w:tcBorders>
            <w:shd w:val="clear" w:color="auto" w:fill="auto"/>
            <w:vAlign w:val="center"/>
          </w:tcPr>
          <w:p w14:paraId="1E052951" w14:textId="77777777" w:rsidR="001E61A6" w:rsidRPr="00A26FD5" w:rsidRDefault="001E61A6" w:rsidP="001E61A6">
            <w:pPr>
              <w:jc w:val="center"/>
              <w:rPr>
                <w:sz w:val="20"/>
                <w:szCs w:val="20"/>
              </w:rPr>
            </w:pPr>
            <w:r w:rsidRPr="00A26FD5">
              <w:rPr>
                <w:sz w:val="20"/>
                <w:szCs w:val="20"/>
              </w:rPr>
              <w:t>3.16</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470EBE4D" w14:textId="77777777" w:rsidR="001E61A6" w:rsidRPr="00A26FD5" w:rsidRDefault="001E61A6" w:rsidP="001E61A6">
            <w:pPr>
              <w:jc w:val="center"/>
              <w:rPr>
                <w:sz w:val="20"/>
                <w:szCs w:val="20"/>
              </w:rPr>
            </w:pPr>
            <w:r w:rsidRPr="00A26FD5">
              <w:rPr>
                <w:sz w:val="20"/>
                <w:szCs w:val="20"/>
              </w:rPr>
              <w:t>5.7</w:t>
            </w:r>
          </w:p>
        </w:tc>
        <w:tc>
          <w:tcPr>
            <w:tcW w:w="733" w:type="pct"/>
            <w:tcBorders>
              <w:top w:val="single" w:sz="4" w:space="0" w:color="auto"/>
              <w:left w:val="single" w:sz="4" w:space="0" w:color="auto"/>
              <w:bottom w:val="single" w:sz="4" w:space="0" w:color="auto"/>
              <w:right w:val="single" w:sz="4" w:space="0" w:color="auto"/>
            </w:tcBorders>
            <w:shd w:val="clear" w:color="auto" w:fill="auto"/>
            <w:vAlign w:val="center"/>
          </w:tcPr>
          <w:p w14:paraId="1BA75A74" w14:textId="77777777" w:rsidR="001E61A6" w:rsidRPr="00A26FD5" w:rsidRDefault="001E61A6" w:rsidP="001E61A6">
            <w:pPr>
              <w:jc w:val="center"/>
              <w:rPr>
                <w:sz w:val="20"/>
                <w:szCs w:val="20"/>
              </w:rPr>
            </w:pPr>
            <w:r w:rsidRPr="00A26FD5">
              <w:rPr>
                <w:sz w:val="20"/>
                <w:szCs w:val="20"/>
              </w:rPr>
              <w:t>2.86</w:t>
            </w:r>
          </w:p>
        </w:tc>
        <w:tc>
          <w:tcPr>
            <w:tcW w:w="733" w:type="pct"/>
            <w:tcBorders>
              <w:top w:val="single" w:sz="4" w:space="0" w:color="auto"/>
              <w:left w:val="single" w:sz="4" w:space="0" w:color="auto"/>
              <w:bottom w:val="single" w:sz="4" w:space="0" w:color="auto"/>
              <w:right w:val="single" w:sz="4" w:space="0" w:color="auto"/>
            </w:tcBorders>
            <w:shd w:val="clear" w:color="auto" w:fill="auto"/>
            <w:vAlign w:val="center"/>
          </w:tcPr>
          <w:p w14:paraId="7E45DCBE" w14:textId="77777777" w:rsidR="001E61A6" w:rsidRPr="00A26FD5" w:rsidRDefault="001E61A6" w:rsidP="001E61A6">
            <w:pPr>
              <w:jc w:val="center"/>
              <w:rPr>
                <w:sz w:val="20"/>
                <w:szCs w:val="20"/>
              </w:rPr>
            </w:pPr>
            <w:r w:rsidRPr="00A26FD5">
              <w:rPr>
                <w:sz w:val="20"/>
                <w:szCs w:val="20"/>
              </w:rPr>
              <w:t>1.18.</w:t>
            </w:r>
          </w:p>
        </w:tc>
      </w:tr>
      <w:tr w:rsidR="001E61A6" w:rsidRPr="00A26FD5" w14:paraId="7A54C4EA" w14:textId="77777777" w:rsidTr="00165D1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D709318" w14:textId="77777777" w:rsidR="001E61A6" w:rsidRPr="00A26FD5" w:rsidRDefault="001E61A6" w:rsidP="001E61A6">
            <w:pPr>
              <w:rPr>
                <w:b/>
                <w:sz w:val="20"/>
                <w:szCs w:val="20"/>
              </w:rPr>
            </w:pPr>
            <w:r w:rsidRPr="00A26FD5">
              <w:rPr>
                <w:b/>
                <w:sz w:val="20"/>
                <w:szCs w:val="20"/>
              </w:rPr>
              <w:t>Americas</w:t>
            </w:r>
          </w:p>
        </w:tc>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62C7EADD" w14:textId="77777777" w:rsidR="001E61A6" w:rsidRPr="00A26FD5" w:rsidRDefault="001E61A6" w:rsidP="001E61A6">
            <w:pPr>
              <w:jc w:val="center"/>
              <w:rPr>
                <w:b/>
                <w:sz w:val="20"/>
                <w:szCs w:val="20"/>
              </w:rPr>
            </w:pPr>
            <w:r w:rsidRPr="00A26FD5">
              <w:rPr>
                <w:b/>
                <w:sz w:val="20"/>
                <w:szCs w:val="20"/>
              </w:rPr>
              <w:t>24.9</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2A8A16E6" w14:textId="77777777" w:rsidR="001E61A6" w:rsidRPr="00A26FD5" w:rsidRDefault="001E61A6" w:rsidP="001E61A6">
            <w:pPr>
              <w:jc w:val="center"/>
              <w:rPr>
                <w:b/>
                <w:sz w:val="20"/>
                <w:szCs w:val="20"/>
              </w:rPr>
            </w:pPr>
            <w:r w:rsidRPr="00A26FD5">
              <w:rPr>
                <w:b/>
                <w:sz w:val="20"/>
                <w:szCs w:val="20"/>
              </w:rPr>
              <w:t>31.8</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0E9D3DA4" w14:textId="77777777" w:rsidR="001E61A6" w:rsidRPr="00A26FD5" w:rsidRDefault="001E61A6" w:rsidP="001E61A6">
            <w:pPr>
              <w:jc w:val="center"/>
              <w:rPr>
                <w:b/>
                <w:sz w:val="20"/>
                <w:szCs w:val="20"/>
              </w:rPr>
            </w:pPr>
          </w:p>
          <w:p w14:paraId="41526604" w14:textId="77777777" w:rsidR="001E61A6" w:rsidRPr="00A26FD5" w:rsidRDefault="001E61A6" w:rsidP="001E61A6">
            <w:pPr>
              <w:jc w:val="center"/>
              <w:rPr>
                <w:b/>
                <w:sz w:val="20"/>
                <w:szCs w:val="20"/>
              </w:rPr>
            </w:pPr>
            <w:r w:rsidRPr="00A26FD5">
              <w:rPr>
                <w:b/>
                <w:sz w:val="20"/>
                <w:szCs w:val="20"/>
              </w:rPr>
              <w:t>5.86</w:t>
            </w:r>
          </w:p>
          <w:p w14:paraId="11206C17" w14:textId="77777777" w:rsidR="001E61A6" w:rsidRPr="00A26FD5" w:rsidRDefault="001E61A6" w:rsidP="001E61A6">
            <w:pPr>
              <w:jc w:val="center"/>
              <w:rPr>
                <w:b/>
                <w:sz w:val="20"/>
                <w:szCs w:val="20"/>
              </w:rPr>
            </w:pPr>
          </w:p>
        </w:tc>
        <w:tc>
          <w:tcPr>
            <w:tcW w:w="802" w:type="pct"/>
            <w:tcBorders>
              <w:top w:val="single" w:sz="4" w:space="0" w:color="auto"/>
              <w:left w:val="single" w:sz="4" w:space="0" w:color="auto"/>
              <w:bottom w:val="single" w:sz="4" w:space="0" w:color="auto"/>
              <w:right w:val="single" w:sz="4" w:space="0" w:color="auto"/>
            </w:tcBorders>
            <w:shd w:val="clear" w:color="auto" w:fill="auto"/>
            <w:vAlign w:val="center"/>
          </w:tcPr>
          <w:p w14:paraId="23DF7085" w14:textId="77777777" w:rsidR="001E61A6" w:rsidRPr="00A26FD5" w:rsidRDefault="001E61A6" w:rsidP="001E61A6">
            <w:pPr>
              <w:jc w:val="center"/>
              <w:rPr>
                <w:b/>
                <w:sz w:val="20"/>
                <w:szCs w:val="20"/>
              </w:rPr>
            </w:pPr>
            <w:r w:rsidRPr="00A26FD5">
              <w:rPr>
                <w:b/>
                <w:sz w:val="20"/>
                <w:szCs w:val="20"/>
              </w:rPr>
              <w:t>1.98</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4DEC60B4" w14:textId="77777777" w:rsidR="001E61A6" w:rsidRPr="00A26FD5" w:rsidRDefault="001E61A6" w:rsidP="001E61A6">
            <w:pPr>
              <w:jc w:val="center"/>
              <w:rPr>
                <w:b/>
                <w:sz w:val="20"/>
                <w:szCs w:val="20"/>
              </w:rPr>
            </w:pPr>
            <w:r w:rsidRPr="00A26FD5">
              <w:rPr>
                <w:b/>
                <w:bCs/>
                <w:sz w:val="20"/>
                <w:szCs w:val="20"/>
              </w:rPr>
              <w:t>13.5</w:t>
            </w:r>
          </w:p>
        </w:tc>
        <w:tc>
          <w:tcPr>
            <w:tcW w:w="733" w:type="pct"/>
            <w:tcBorders>
              <w:top w:val="single" w:sz="4" w:space="0" w:color="auto"/>
              <w:left w:val="single" w:sz="4" w:space="0" w:color="auto"/>
              <w:bottom w:val="single" w:sz="4" w:space="0" w:color="auto"/>
              <w:right w:val="single" w:sz="4" w:space="0" w:color="auto"/>
            </w:tcBorders>
            <w:shd w:val="clear" w:color="auto" w:fill="auto"/>
            <w:vAlign w:val="center"/>
          </w:tcPr>
          <w:p w14:paraId="0046B0B0" w14:textId="77777777" w:rsidR="001E61A6" w:rsidRPr="00A26FD5" w:rsidRDefault="001E61A6" w:rsidP="001E61A6">
            <w:pPr>
              <w:jc w:val="center"/>
              <w:rPr>
                <w:b/>
                <w:bCs/>
                <w:sz w:val="20"/>
                <w:szCs w:val="20"/>
              </w:rPr>
            </w:pPr>
            <w:r w:rsidRPr="00A26FD5">
              <w:rPr>
                <w:b/>
                <w:bCs/>
                <w:sz w:val="20"/>
                <w:szCs w:val="20"/>
              </w:rPr>
              <w:t>2.37</w:t>
            </w:r>
          </w:p>
        </w:tc>
        <w:tc>
          <w:tcPr>
            <w:tcW w:w="733" w:type="pct"/>
            <w:tcBorders>
              <w:top w:val="single" w:sz="4" w:space="0" w:color="auto"/>
              <w:left w:val="single" w:sz="4" w:space="0" w:color="auto"/>
              <w:bottom w:val="single" w:sz="4" w:space="0" w:color="auto"/>
              <w:right w:val="single" w:sz="4" w:space="0" w:color="auto"/>
            </w:tcBorders>
            <w:shd w:val="clear" w:color="auto" w:fill="auto"/>
            <w:vAlign w:val="center"/>
          </w:tcPr>
          <w:p w14:paraId="32F4F481" w14:textId="77777777" w:rsidR="001E61A6" w:rsidRPr="00A26FD5" w:rsidRDefault="001E61A6" w:rsidP="001E61A6">
            <w:pPr>
              <w:jc w:val="center"/>
              <w:rPr>
                <w:b/>
                <w:bCs/>
                <w:sz w:val="20"/>
                <w:szCs w:val="20"/>
              </w:rPr>
            </w:pPr>
            <w:r w:rsidRPr="00A26FD5">
              <w:rPr>
                <w:b/>
                <w:bCs/>
                <w:sz w:val="20"/>
                <w:szCs w:val="20"/>
              </w:rPr>
              <w:t>1.20</w:t>
            </w:r>
          </w:p>
        </w:tc>
      </w:tr>
      <w:tr w:rsidR="00165D1C" w:rsidRPr="00A26FD5" w14:paraId="646BD75B" w14:textId="77777777" w:rsidTr="00165D1C">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tcPr>
          <w:p w14:paraId="7B64A4A4" w14:textId="77777777" w:rsidR="00165D1C" w:rsidRPr="00A26FD5" w:rsidRDefault="00165D1C" w:rsidP="00165D1C">
            <w:pPr>
              <w:rPr>
                <w:i/>
                <w:sz w:val="20"/>
                <w:szCs w:val="20"/>
              </w:rPr>
            </w:pPr>
            <w:r w:rsidRPr="00A26FD5">
              <w:rPr>
                <w:i/>
                <w:sz w:val="20"/>
                <w:szCs w:val="20"/>
              </w:rPr>
              <w:t>Notes:</w:t>
            </w:r>
          </w:p>
          <w:p w14:paraId="5F0D30EC" w14:textId="0502A003" w:rsidR="00165D1C" w:rsidRPr="00A26FD5" w:rsidRDefault="00CD160A" w:rsidP="00165D1C">
            <w:pPr>
              <w:pStyle w:val="ListParagraph"/>
              <w:spacing w:after="0"/>
              <w:ind w:left="0"/>
              <w:rPr>
                <w:i/>
                <w:sz w:val="20"/>
                <w:szCs w:val="20"/>
                <w:lang w:val="en-US"/>
              </w:rPr>
            </w:pPr>
            <w:r w:rsidRPr="00A26FD5">
              <w:rPr>
                <w:i/>
                <w:sz w:val="20"/>
                <w:szCs w:val="20"/>
                <w:lang w:val="en-US"/>
              </w:rPr>
              <w:t>(*) GDP at purchasing p</w:t>
            </w:r>
            <w:r w:rsidR="00165D1C" w:rsidRPr="00A26FD5">
              <w:rPr>
                <w:i/>
                <w:sz w:val="20"/>
                <w:szCs w:val="20"/>
                <w:lang w:val="en-US"/>
              </w:rPr>
              <w:t xml:space="preserve">ower </w:t>
            </w:r>
            <w:r w:rsidRPr="00A26FD5">
              <w:rPr>
                <w:i/>
                <w:sz w:val="20"/>
                <w:szCs w:val="20"/>
                <w:lang w:val="en-US"/>
              </w:rPr>
              <w:t>p</w:t>
            </w:r>
            <w:r w:rsidR="00165D1C" w:rsidRPr="00A26FD5">
              <w:rPr>
                <w:i/>
                <w:sz w:val="20"/>
                <w:szCs w:val="20"/>
                <w:lang w:val="en-US"/>
              </w:rPr>
              <w:t>arity</w:t>
            </w:r>
            <w:r w:rsidRPr="00A26FD5">
              <w:rPr>
                <w:i/>
                <w:sz w:val="20"/>
                <w:szCs w:val="20"/>
                <w:lang w:val="en-US"/>
              </w:rPr>
              <w:t xml:space="preserve"> (PPP)</w:t>
            </w:r>
          </w:p>
          <w:p w14:paraId="181AA5A1" w14:textId="11043DAD" w:rsidR="00165D1C" w:rsidRPr="00A26FD5" w:rsidRDefault="00165D1C" w:rsidP="00165D1C">
            <w:pPr>
              <w:rPr>
                <w:i/>
                <w:sz w:val="20"/>
                <w:szCs w:val="20"/>
              </w:rPr>
            </w:pPr>
            <w:r w:rsidRPr="00A26FD5">
              <w:rPr>
                <w:i/>
                <w:sz w:val="20"/>
                <w:szCs w:val="20"/>
              </w:rPr>
              <w:t>(**) Constant 2010 US</w:t>
            </w:r>
            <w:r w:rsidR="00CD160A" w:rsidRPr="00A26FD5">
              <w:rPr>
                <w:i/>
                <w:sz w:val="20"/>
                <w:szCs w:val="20"/>
              </w:rPr>
              <w:t xml:space="preserve">A </w:t>
            </w:r>
            <w:r w:rsidRPr="00A26FD5">
              <w:rPr>
                <w:i/>
                <w:sz w:val="20"/>
                <w:szCs w:val="20"/>
              </w:rPr>
              <w:t>D</w:t>
            </w:r>
            <w:r w:rsidR="00CD160A" w:rsidRPr="00A26FD5">
              <w:rPr>
                <w:i/>
                <w:sz w:val="20"/>
                <w:szCs w:val="20"/>
              </w:rPr>
              <w:t>ollars</w:t>
            </w:r>
          </w:p>
          <w:p w14:paraId="5150C770" w14:textId="73CB8920" w:rsidR="00165D1C" w:rsidRPr="00A26FD5" w:rsidRDefault="00165D1C" w:rsidP="00165D1C">
            <w:pPr>
              <w:rPr>
                <w:i/>
                <w:sz w:val="20"/>
                <w:szCs w:val="20"/>
              </w:rPr>
            </w:pPr>
            <w:r w:rsidRPr="00A26FD5">
              <w:rPr>
                <w:i/>
                <w:sz w:val="20"/>
                <w:szCs w:val="20"/>
              </w:rPr>
              <w:t>Reference data: World GDP</w:t>
            </w:r>
            <w:r w:rsidRPr="00A26FD5">
              <w:rPr>
                <w:i/>
                <w:sz w:val="20"/>
                <w:szCs w:val="20"/>
                <w:vertAlign w:val="subscript"/>
              </w:rPr>
              <w:t>PPP</w:t>
            </w:r>
            <w:r w:rsidRPr="00A26FD5">
              <w:rPr>
                <w:i/>
                <w:sz w:val="20"/>
                <w:szCs w:val="20"/>
              </w:rPr>
              <w:t xml:space="preserve"> in 2016: </w:t>
            </w:r>
            <w:r w:rsidR="00562576" w:rsidRPr="00A26FD5">
              <w:rPr>
                <w:i/>
                <w:sz w:val="20"/>
                <w:szCs w:val="20"/>
              </w:rPr>
              <w:t>$</w:t>
            </w:r>
            <w:r w:rsidRPr="00A26FD5">
              <w:rPr>
                <w:i/>
                <w:sz w:val="20"/>
                <w:szCs w:val="20"/>
              </w:rPr>
              <w:t>120.1 trillions; World GDP at Constant 2010 US</w:t>
            </w:r>
            <w:r w:rsidR="00562576" w:rsidRPr="00A26FD5">
              <w:rPr>
                <w:i/>
                <w:sz w:val="20"/>
                <w:szCs w:val="20"/>
              </w:rPr>
              <w:t xml:space="preserve">A </w:t>
            </w:r>
            <w:r w:rsidRPr="00A26FD5">
              <w:rPr>
                <w:i/>
                <w:sz w:val="20"/>
                <w:szCs w:val="20"/>
              </w:rPr>
              <w:t>D</w:t>
            </w:r>
            <w:r w:rsidR="00562576" w:rsidRPr="00A26FD5">
              <w:rPr>
                <w:i/>
                <w:sz w:val="20"/>
                <w:szCs w:val="20"/>
              </w:rPr>
              <w:t>ollar</w:t>
            </w:r>
            <w:r w:rsidRPr="00A26FD5">
              <w:rPr>
                <w:i/>
                <w:sz w:val="20"/>
                <w:szCs w:val="20"/>
              </w:rPr>
              <w:t xml:space="preserve">: </w:t>
            </w:r>
            <w:r w:rsidR="00562576" w:rsidRPr="00A26FD5">
              <w:rPr>
                <w:i/>
                <w:sz w:val="20"/>
                <w:szCs w:val="20"/>
              </w:rPr>
              <w:t>$</w:t>
            </w:r>
            <w:r w:rsidRPr="00A26FD5">
              <w:rPr>
                <w:i/>
                <w:sz w:val="20"/>
                <w:szCs w:val="20"/>
              </w:rPr>
              <w:t>75.5 trillions; World population 2017: 7</w:t>
            </w:r>
            <w:r w:rsidR="00562576" w:rsidRPr="00A26FD5">
              <w:rPr>
                <w:i/>
                <w:sz w:val="20"/>
                <w:szCs w:val="20"/>
              </w:rPr>
              <w:t>,</w:t>
            </w:r>
            <w:r w:rsidRPr="00A26FD5">
              <w:rPr>
                <w:i/>
                <w:sz w:val="20"/>
                <w:szCs w:val="20"/>
              </w:rPr>
              <w:t xml:space="preserve">515.1 millions </w:t>
            </w:r>
          </w:p>
          <w:p w14:paraId="03F8373D" w14:textId="537FAD0A" w:rsidR="00165D1C" w:rsidRPr="00A26FD5" w:rsidRDefault="00165D1C" w:rsidP="009E4D36">
            <w:pPr>
              <w:rPr>
                <w:b/>
                <w:bCs/>
                <w:sz w:val="20"/>
                <w:szCs w:val="20"/>
              </w:rPr>
            </w:pPr>
            <w:r w:rsidRPr="00A26FD5">
              <w:rPr>
                <w:sz w:val="20"/>
                <w:szCs w:val="20"/>
              </w:rPr>
              <w:t>Sources: Based on</w:t>
            </w:r>
            <w:r w:rsidR="009E4D36" w:rsidRPr="00A26FD5">
              <w:rPr>
                <w:sz w:val="20"/>
                <w:szCs w:val="20"/>
              </w:rPr>
              <w:t xml:space="preserve"> The World Bank Database (2017). </w:t>
            </w:r>
            <w:r w:rsidRPr="00A26FD5">
              <w:rPr>
                <w:sz w:val="20"/>
                <w:szCs w:val="20"/>
              </w:rPr>
              <w:t xml:space="preserve"> </w:t>
            </w:r>
            <w:hyperlink r:id="rId969" w:history="1">
              <w:r w:rsidRPr="00A26FD5">
                <w:rPr>
                  <w:rStyle w:val="Hyperlink"/>
                  <w:sz w:val="20"/>
                  <w:szCs w:val="20"/>
                </w:rPr>
                <w:t>https://data.worldbank.org/indicator/</w:t>
              </w:r>
            </w:hyperlink>
            <w:r w:rsidR="009E4D36" w:rsidRPr="00A26FD5">
              <w:rPr>
                <w:sz w:val="20"/>
                <w:szCs w:val="20"/>
              </w:rPr>
              <w:t>; Worldometers (</w:t>
            </w:r>
            <w:r w:rsidRPr="00A26FD5">
              <w:rPr>
                <w:sz w:val="20"/>
                <w:szCs w:val="20"/>
              </w:rPr>
              <w:t>2017</w:t>
            </w:r>
            <w:r w:rsidR="009E4D36" w:rsidRPr="00A26FD5">
              <w:rPr>
                <w:sz w:val="20"/>
                <w:szCs w:val="20"/>
              </w:rPr>
              <w:t>)</w:t>
            </w:r>
            <w:r w:rsidRPr="00A26FD5">
              <w:rPr>
                <w:sz w:val="20"/>
                <w:szCs w:val="20"/>
              </w:rPr>
              <w:t xml:space="preserve">.  Accessed 2 May 2017, and 3 September 2017 at: </w:t>
            </w:r>
            <w:hyperlink r:id="rId970" w:history="1">
              <w:r w:rsidRPr="00A26FD5">
                <w:rPr>
                  <w:rStyle w:val="Hyperlink"/>
                  <w:sz w:val="20"/>
                  <w:szCs w:val="20"/>
                </w:rPr>
                <w:t>http://www.worldometers.info/world-population/population-by-region/</w:t>
              </w:r>
            </w:hyperlink>
            <w:r w:rsidRPr="00A26FD5">
              <w:rPr>
                <w:sz w:val="20"/>
                <w:szCs w:val="20"/>
              </w:rPr>
              <w:t>; Foure</w:t>
            </w:r>
            <w:r w:rsidR="009E4D36" w:rsidRPr="00A26FD5">
              <w:rPr>
                <w:sz w:val="20"/>
                <w:szCs w:val="20"/>
              </w:rPr>
              <w:t xml:space="preserve"> </w:t>
            </w:r>
            <w:r w:rsidR="009E4D36" w:rsidRPr="00A26FD5">
              <w:rPr>
                <w:i/>
                <w:sz w:val="20"/>
                <w:szCs w:val="20"/>
              </w:rPr>
              <w:t>et al.</w:t>
            </w:r>
            <w:r w:rsidR="009E4D36" w:rsidRPr="00A26FD5">
              <w:rPr>
                <w:sz w:val="20"/>
                <w:szCs w:val="20"/>
              </w:rPr>
              <w:t xml:space="preserve"> (2012)</w:t>
            </w:r>
            <w:r w:rsidRPr="00A26FD5">
              <w:rPr>
                <w:sz w:val="20"/>
                <w:szCs w:val="20"/>
              </w:rPr>
              <w:t>.</w:t>
            </w:r>
          </w:p>
        </w:tc>
      </w:tr>
    </w:tbl>
    <w:p w14:paraId="1FE26616" w14:textId="6CD1F497" w:rsidR="001E61A6" w:rsidRPr="008608AA" w:rsidRDefault="001E61A6" w:rsidP="007B60EB">
      <w:pPr>
        <w:spacing w:before="240"/>
        <w:rPr>
          <w:rFonts w:eastAsia="Calibri"/>
        </w:rPr>
      </w:pPr>
      <w:r w:rsidRPr="008608AA">
        <w:rPr>
          <w:rFonts w:eastAsia="Calibri"/>
        </w:rPr>
        <w:t xml:space="preserve">The countries of the region with the largest economies overall are the USA, Brazil, Canada, and Mexico. Dominica, Grenada, and </w:t>
      </w:r>
      <w:r w:rsidR="00562576" w:rsidRPr="008608AA">
        <w:rPr>
          <w:rFonts w:eastAsia="Calibri"/>
        </w:rPr>
        <w:t>Antigua and Barbuda, all small S</w:t>
      </w:r>
      <w:r w:rsidRPr="008608AA">
        <w:rPr>
          <w:rFonts w:eastAsia="Calibri"/>
        </w:rPr>
        <w:t>tates in the Caribbean, have the region’s smallest economies overall.  Factoring in countries’ populations, the countries with the largest per capita incomes in the region are t</w:t>
      </w:r>
      <w:r w:rsidR="003D036F" w:rsidRPr="008608AA">
        <w:rPr>
          <w:rFonts w:eastAsia="Calibri"/>
        </w:rPr>
        <w:t xml:space="preserve">he USA and Canada. </w:t>
      </w:r>
      <w:r w:rsidR="00562576" w:rsidRPr="008608AA">
        <w:rPr>
          <w:rFonts w:eastAsia="Calibri"/>
        </w:rPr>
        <w:t xml:space="preserve">At around </w:t>
      </w:r>
      <w:r w:rsidRPr="008608AA">
        <w:rPr>
          <w:rFonts w:eastAsia="Calibri"/>
        </w:rPr>
        <w:t xml:space="preserve">$50,000, their per capita incomes are considerably higher than all </w:t>
      </w:r>
      <w:r w:rsidR="003D036F" w:rsidRPr="008608AA">
        <w:rPr>
          <w:rFonts w:eastAsia="Calibri"/>
        </w:rPr>
        <w:t xml:space="preserve">other countries in the region. </w:t>
      </w:r>
      <w:r w:rsidRPr="008608AA">
        <w:rPr>
          <w:rFonts w:eastAsia="Calibri"/>
        </w:rPr>
        <w:t>The other countries’ per capita incomes vary between Haiti’s low of abou</w:t>
      </w:r>
      <w:r w:rsidR="003D036F" w:rsidRPr="008608AA">
        <w:rPr>
          <w:rFonts w:eastAsia="Calibri"/>
        </w:rPr>
        <w:t xml:space="preserve">t $728 to The Bahamas $19,758. </w:t>
      </w:r>
      <w:r w:rsidRPr="008608AA">
        <w:rPr>
          <w:rFonts w:eastAsia="Calibri"/>
        </w:rPr>
        <w:t xml:space="preserve">In general, per capita incomes are lowest in the Mesoamerica </w:t>
      </w:r>
      <w:r w:rsidR="007C45FD" w:rsidRPr="008608AA">
        <w:rPr>
          <w:rFonts w:eastAsia="Calibri"/>
        </w:rPr>
        <w:t>sub</w:t>
      </w:r>
      <w:r w:rsidRPr="008608AA">
        <w:rPr>
          <w:rFonts w:eastAsia="Calibri"/>
        </w:rPr>
        <w:t xml:space="preserve">region, though other </w:t>
      </w:r>
      <w:r w:rsidR="007C45FD" w:rsidRPr="008608AA">
        <w:rPr>
          <w:rFonts w:eastAsia="Calibri"/>
        </w:rPr>
        <w:t>sub</w:t>
      </w:r>
      <w:r w:rsidRPr="008608AA">
        <w:rPr>
          <w:rFonts w:eastAsia="Calibri"/>
        </w:rPr>
        <w:t>regions exhibit a fair degree of variation (World Bank</w:t>
      </w:r>
      <w:r w:rsidR="001C32D3" w:rsidRPr="008608AA">
        <w:rPr>
          <w:rFonts w:eastAsia="Calibri"/>
        </w:rPr>
        <w:t>,</w:t>
      </w:r>
      <w:r w:rsidRPr="008608AA">
        <w:rPr>
          <w:rFonts w:eastAsia="Calibri"/>
        </w:rPr>
        <w:t xml:space="preserve"> 2017</w:t>
      </w:r>
      <w:r w:rsidRPr="008608AA">
        <w:rPr>
          <w:rStyle w:val="FootnoteReference"/>
          <w:rFonts w:eastAsia="Calibri"/>
          <w:lang w:val="en-GB"/>
        </w:rPr>
        <w:footnoteReference w:id="17"/>
      </w:r>
      <w:r w:rsidRPr="008608AA">
        <w:rPr>
          <w:rFonts w:eastAsia="Calibri"/>
        </w:rPr>
        <w:t>).</w:t>
      </w:r>
    </w:p>
    <w:p w14:paraId="4B732D50" w14:textId="502B78EA" w:rsidR="001E61A6" w:rsidRPr="008608AA" w:rsidRDefault="001E61A6" w:rsidP="007B60EB">
      <w:pPr>
        <w:spacing w:before="120"/>
        <w:rPr>
          <w:rFonts w:eastAsia="Calibri"/>
        </w:rPr>
      </w:pPr>
      <w:r w:rsidRPr="008608AA">
        <w:rPr>
          <w:rFonts w:eastAsia="Calibri"/>
        </w:rPr>
        <w:t>The economies of the Americas vary widely in the sectoral composition of their national output. The contribution of agricultural production to national output has fallen to less than 20% throughout the region with the exception of Haiti where agriculture’s GDP share is 21.5%. The economies of the region are primarily service driven, although there is variation across the individual national economies between Paragu</w:t>
      </w:r>
      <w:r w:rsidR="003D036F" w:rsidRPr="008608AA">
        <w:rPr>
          <w:rFonts w:eastAsia="Calibri"/>
        </w:rPr>
        <w:t xml:space="preserve">ay’s 51.2% to Barbados’ 85.5%. </w:t>
      </w:r>
      <w:r w:rsidRPr="008608AA">
        <w:rPr>
          <w:rFonts w:eastAsia="Calibri"/>
        </w:rPr>
        <w:t>Throughout the region, the countries with the higher per capita incomes are those whose economic output is driven more heavi</w:t>
      </w:r>
      <w:r w:rsidR="003D036F" w:rsidRPr="008608AA">
        <w:rPr>
          <w:rFonts w:eastAsia="Calibri"/>
        </w:rPr>
        <w:t xml:space="preserve">ly by service sector activity. </w:t>
      </w:r>
      <w:r w:rsidRPr="008608AA">
        <w:rPr>
          <w:rFonts w:eastAsia="Calibri"/>
        </w:rPr>
        <w:t>Industrial production is a significant driver of most of the economies of the region, ranging from contributing less than 15% of GDP in Barbados and Grenada, to more than 40%</w:t>
      </w:r>
      <w:r w:rsidR="003D036F" w:rsidRPr="008608AA">
        <w:rPr>
          <w:rFonts w:eastAsia="Calibri"/>
        </w:rPr>
        <w:t xml:space="preserve"> of Trinidad and Tobago’s GDP. </w:t>
      </w:r>
      <w:r w:rsidRPr="008608AA">
        <w:rPr>
          <w:rFonts w:eastAsia="Calibri"/>
        </w:rPr>
        <w:t>Most economies in the region derive 25% to 35% of their GDP from industrial production (World Bank</w:t>
      </w:r>
      <w:r w:rsidR="001C32D3" w:rsidRPr="008608AA">
        <w:rPr>
          <w:rFonts w:eastAsia="Calibri"/>
        </w:rPr>
        <w:t>,</w:t>
      </w:r>
      <w:r w:rsidRPr="008608AA">
        <w:rPr>
          <w:rFonts w:eastAsia="Calibri"/>
        </w:rPr>
        <w:t xml:space="preserve"> 2017</w:t>
      </w:r>
      <w:r w:rsidRPr="008608AA">
        <w:rPr>
          <w:rStyle w:val="FootnoteReference"/>
          <w:rFonts w:eastAsia="Calibri"/>
          <w:lang w:val="en-GB"/>
        </w:rPr>
        <w:footnoteReference w:id="18"/>
      </w:r>
      <w:r w:rsidRPr="008608AA">
        <w:rPr>
          <w:rFonts w:eastAsia="Calibri"/>
        </w:rPr>
        <w:t xml:space="preserve">). </w:t>
      </w:r>
    </w:p>
    <w:p w14:paraId="1C9E2F4E" w14:textId="0C1FD764" w:rsidR="001E61A6" w:rsidRPr="008608AA" w:rsidRDefault="001E61A6" w:rsidP="007B60EB">
      <w:pPr>
        <w:spacing w:before="120"/>
        <w:rPr>
          <w:rFonts w:eastAsia="Calibri"/>
        </w:rPr>
      </w:pPr>
      <w:r w:rsidRPr="008608AA">
        <w:rPr>
          <w:rFonts w:eastAsia="Calibri"/>
        </w:rPr>
        <w:t>The Americas has experienced substantial economic growth since 1960. Although the worldwide recession of 2008-</w:t>
      </w:r>
      <w:r w:rsidR="00562576" w:rsidRPr="008608AA">
        <w:rPr>
          <w:rFonts w:eastAsia="Calibri"/>
        </w:rPr>
        <w:t>20</w:t>
      </w:r>
      <w:r w:rsidRPr="008608AA">
        <w:rPr>
          <w:rFonts w:eastAsia="Calibri"/>
        </w:rPr>
        <w:t>09 temporarily reduced national incomes, GDP in the Americas has increased approximately six fold since 1960, although North American income grew from a substantially higher 1960 level</w:t>
      </w:r>
      <w:r w:rsidRPr="008608AA">
        <w:t>. Despite increasing populations throughout the region, the pace of real GDP growth has been sufficient to raise per capita GDP more than twofold from 1960 to 2015 (World Bank, 2017</w:t>
      </w:r>
      <w:r w:rsidRPr="008608AA">
        <w:rPr>
          <w:rStyle w:val="FootnoteReference"/>
          <w:lang w:val="en-GB"/>
        </w:rPr>
        <w:footnoteReference w:id="19"/>
      </w:r>
      <w:r w:rsidRPr="008608AA">
        <w:t>).</w:t>
      </w:r>
    </w:p>
    <w:p w14:paraId="7B89839F" w14:textId="3F8BC58C" w:rsidR="001E61A6" w:rsidRPr="008608AA" w:rsidRDefault="001E61A6" w:rsidP="007B60EB">
      <w:pPr>
        <w:spacing w:before="120"/>
        <w:rPr>
          <w:rFonts w:eastAsia="Calibri"/>
        </w:rPr>
      </w:pPr>
      <w:r w:rsidRPr="008608AA">
        <w:t xml:space="preserve">While overall growth has been sizable at the regional and </w:t>
      </w:r>
      <w:r w:rsidR="007C45FD" w:rsidRPr="008608AA">
        <w:t>sub</w:t>
      </w:r>
      <w:r w:rsidRPr="008608AA">
        <w:t xml:space="preserve">regional levels, individual countries within the Americas have experienced varying growth trends since 1960. Per capita incomes have increased substantially over time in some countries; in other countries, per capita incomes have increased more modestly, or in still other countries, barely at all.  In North America, Canada and the USA each experienced large growth in per capita income from already high 1960 levels. In Mesoamerica, GDP per capita grew significantly in Panama, Costa Rica, and Mexico, while it increased much more slowly in other countries. In the Caribbean </w:t>
      </w:r>
      <w:r w:rsidR="007C45FD" w:rsidRPr="008608AA">
        <w:t>sub</w:t>
      </w:r>
      <w:r w:rsidRPr="008608AA">
        <w:t xml:space="preserve">region, The Bahamas has consistently had significantly higher per capita income than the rest of the </w:t>
      </w:r>
      <w:r w:rsidR="007C45FD" w:rsidRPr="008608AA">
        <w:t>sub</w:t>
      </w:r>
      <w:r w:rsidRPr="008608AA">
        <w:t xml:space="preserve">region, followed by Trinidad and Tobago, Barbados, St. Kitts and Nevis, and Antigua and Barbuda.  Incomes in a handful of the </w:t>
      </w:r>
      <w:r w:rsidR="007C45FD" w:rsidRPr="008608AA">
        <w:t>sub</w:t>
      </w:r>
      <w:r w:rsidRPr="008608AA">
        <w:t>region’s countries barely grew at all. In South America, per capita GDP shows varying grow</w:t>
      </w:r>
      <w:r w:rsidR="00562576" w:rsidRPr="008608AA">
        <w:t xml:space="preserve">th by country. </w:t>
      </w:r>
      <w:r w:rsidRPr="008608AA">
        <w:t xml:space="preserve">Venezuela’s was higher on average (partly due to oil endowments).  In 1960, per capita incomes in the </w:t>
      </w:r>
      <w:r w:rsidR="007C45FD" w:rsidRPr="008608AA">
        <w:t>sub</w:t>
      </w:r>
      <w:r w:rsidRPr="008608AA">
        <w:t>region (excluding Venezuela) ranged from about $1,000 in Paraguay</w:t>
      </w:r>
      <w:r w:rsidR="00562576" w:rsidRPr="008608AA">
        <w:t xml:space="preserve"> to about $5,600 in Argentina. </w:t>
      </w:r>
      <w:r w:rsidRPr="008608AA">
        <w:t>By 2015, the range had widened considerably, from about $2,400 in Boli</w:t>
      </w:r>
      <w:r w:rsidR="00562576" w:rsidRPr="008608AA">
        <w:t>via to almost $15,000 in Chile.</w:t>
      </w:r>
      <w:r w:rsidRPr="008608AA">
        <w:t xml:space="preserve"> Countries with strong growth since about 1990 include Chile, Uruguay, Brazil, Argentina, and Suriname. Peru’s growth has been steady but slower, with a recent acceleration (World Bank, 2017</w:t>
      </w:r>
      <w:r w:rsidRPr="008608AA">
        <w:rPr>
          <w:rStyle w:val="FootnoteReference"/>
          <w:lang w:val="en-GB"/>
        </w:rPr>
        <w:footnoteReference w:id="20"/>
      </w:r>
      <w:r w:rsidRPr="008608AA">
        <w:t>).</w:t>
      </w:r>
    </w:p>
    <w:p w14:paraId="658B651E" w14:textId="77777777" w:rsidR="001E61A6" w:rsidRPr="008608AA" w:rsidRDefault="001E61A6" w:rsidP="007B60EB">
      <w:pPr>
        <w:spacing w:before="120"/>
        <w:rPr>
          <w:rFonts w:eastAsia="Calibri"/>
        </w:rPr>
      </w:pPr>
      <w:r w:rsidRPr="008608AA">
        <w:rPr>
          <w:rFonts w:eastAsia="Calibri"/>
        </w:rPr>
        <w:t>The GDP growth rate for the USA fell from an average of 3.3% per year in 1997-2006 to 1.2% in 2007-2015; while the economic dynamics for Latin America and the Caribbean also diminished from an average of 3.1% to 2.9% in those years. These trends partially reflect the interconnections between the USA market and Latin America and the Caribbean economies, particularly those of Mesoamerica and the Caribbean. The period 2007-2015 was characterized by the effects of the global economic crisis, with absolute reductions of GDP for the USA in 2008 (by -0.3%) and in 2009 (by -2.8%), and for Latin America and the Caribbean region in 2009 (by -1.2%) and 2015 (by -0.3%)</w:t>
      </w:r>
      <w:r w:rsidRPr="008608AA">
        <w:rPr>
          <w:rStyle w:val="FootnoteReference"/>
          <w:rFonts w:eastAsia="Calibri"/>
          <w:lang w:val="en-GB"/>
        </w:rPr>
        <w:footnoteReference w:id="21"/>
      </w:r>
      <w:r w:rsidRPr="008608AA">
        <w:rPr>
          <w:rFonts w:eastAsia="Calibri"/>
        </w:rPr>
        <w:t>.</w:t>
      </w:r>
    </w:p>
    <w:p w14:paraId="2FB32191" w14:textId="4473D1A4" w:rsidR="001E61A6" w:rsidRPr="008608AA" w:rsidRDefault="001E61A6" w:rsidP="007B60EB">
      <w:pPr>
        <w:spacing w:before="120"/>
        <w:rPr>
          <w:rFonts w:eastAsia="Calibri"/>
        </w:rPr>
      </w:pPr>
      <w:r w:rsidRPr="008608AA">
        <w:rPr>
          <w:rFonts w:eastAsia="Calibri"/>
        </w:rPr>
        <w:t>Growing pressures on natural resources are expressed in different ways in different country groupings and regions, due to patterns indicating high per capita consumption of natural resources, growing dependency on commodities exports and other conditions (</w:t>
      </w:r>
      <w:r w:rsidR="00165D1C" w:rsidRPr="008608AA">
        <w:rPr>
          <w:rFonts w:eastAsia="Calibri"/>
        </w:rPr>
        <w:t xml:space="preserve">Table 4.2). </w:t>
      </w:r>
      <w:r w:rsidRPr="008608AA">
        <w:rPr>
          <w:rFonts w:eastAsia="Calibri"/>
        </w:rPr>
        <w:t>Per capita consumption of natural resources is particularly high in North America. For instance, total primary energy consumption per capita for North America was 6.1 tons oil equ</w:t>
      </w:r>
      <w:r w:rsidR="00CA38B7" w:rsidRPr="008608AA">
        <w:rPr>
          <w:rFonts w:eastAsia="Calibri"/>
        </w:rPr>
        <w:t>ivalent versus</w:t>
      </w:r>
      <w:r w:rsidR="00562576" w:rsidRPr="008608AA">
        <w:rPr>
          <w:rFonts w:eastAsia="Calibri"/>
        </w:rPr>
        <w:t xml:space="preserve"> 2.39 </w:t>
      </w:r>
      <w:r w:rsidR="00CA38B7" w:rsidRPr="008608AA">
        <w:rPr>
          <w:rFonts w:eastAsia="Calibri"/>
        </w:rPr>
        <w:t xml:space="preserve">tons oil equivalent </w:t>
      </w:r>
      <w:r w:rsidR="00562576" w:rsidRPr="008608AA">
        <w:rPr>
          <w:rFonts w:eastAsia="Calibri"/>
        </w:rPr>
        <w:t>for n</w:t>
      </w:r>
      <w:r w:rsidRPr="008608AA">
        <w:rPr>
          <w:rFonts w:eastAsia="Calibri"/>
        </w:rPr>
        <w:t>on-</w:t>
      </w:r>
      <w:r w:rsidR="009C453F" w:rsidRPr="008608AA">
        <w:rPr>
          <w:rFonts w:eastAsia="Calibri"/>
        </w:rPr>
        <w:t>OECD</w:t>
      </w:r>
      <w:r w:rsidRPr="008608AA">
        <w:rPr>
          <w:rFonts w:eastAsia="Calibri"/>
        </w:rPr>
        <w:t xml:space="preserve"> Americas in 2013 (IEA</w:t>
      </w:r>
      <w:r w:rsidR="001C32D3" w:rsidRPr="008608AA">
        <w:rPr>
          <w:rFonts w:eastAsia="Calibri"/>
        </w:rPr>
        <w:t>, 2015;</w:t>
      </w:r>
      <w:r w:rsidR="009C453F" w:rsidRPr="008608AA">
        <w:rPr>
          <w:rFonts w:eastAsia="Calibri"/>
        </w:rPr>
        <w:t xml:space="preserve"> Pichs, 2008).</w:t>
      </w:r>
      <w:r w:rsidRPr="008608AA">
        <w:rPr>
          <w:rFonts w:eastAsia="Calibri"/>
        </w:rPr>
        <w:t xml:space="preserve"> According to </w:t>
      </w:r>
      <w:r w:rsidRPr="008608AA">
        <w:rPr>
          <w:rFonts w:eastAsia="Calibri"/>
        </w:rPr>
        <w:fldChar w:fldCharType="begin" w:fldLock="1"/>
      </w:r>
      <w:r w:rsidRPr="008608AA">
        <w:rPr>
          <w:rFonts w:eastAsia="Calibri"/>
        </w:rPr>
        <w:instrText>ADDIN CSL_CITATION { "citationItems" : [ { "id" : "ITEM-1", "itemData" : { "DOI" : "10.1007/s13398-014-0173-7.2", "ISBN" : "9780874216561", "ISSN" : "0717-6163", "PMID" : "15003161", "abstract" : "The objective of this case study was to obtain some first-hand information about the functional consequences of a cosmetic tongue split operation for speech and tongue motility. One male patient who had performed the operation on himself was interviewed and underwent a tongue motility assessment, as well as an ultrasound examination. Tongue motility was mildly reduced as a result of tissue scarring. Speech was rated to be fully intelligible and highly acceptable by 4 raters, although 2 raters noticed slight distortions of the sibilants /s/ and /z/. The 3-dimensional ultrasound demonstrated that the synergy of the 2 sides of the tongue was preserved. A notably deep posterior genioglossus furrow indicated compensation for the reduced length of the tongue blade. It is concluded that the tongue split procedure did not significantly affect the participant's speech intelligibility and tongue motility.", "author" : [ { "dropping-particle" : "", "family" : "WWF", "given" : "", "non-dropping-particle" : "", "parse-names" : false, "suffix" : "" } ], "container-title" : "research accunting", "id" : "ITEM-1", "issue" : "1", "issued" : { "date-parts" : [ [ "2014" ] ] }, "page" : "180", "title" : "Living Planet Report 2014: Species and spaces, people and places", "type" : "article-journal", "volume" : "1" }, "uris" : [ "http://www.mendeley.com/documents/?uuid=862ebb4d-a964-4444-bba1-0bf810773fd1" ] } ], "mendeley" : { "formattedCitation" : "(WWF 2014)", "manualFormatting" : "WWF (2014)", "plainTextFormattedCitation" : "(WWF 2014)", "previouslyFormattedCitation" : "(WWF 2014)" }, "properties" : { "noteIndex" : 0 }, "schema" : "https://github.com/citation-style-language/schema/raw/master/csl-citation.json" }</w:instrText>
      </w:r>
      <w:r w:rsidRPr="008608AA">
        <w:rPr>
          <w:rFonts w:eastAsia="Calibri"/>
        </w:rPr>
        <w:fldChar w:fldCharType="separate"/>
      </w:r>
      <w:r w:rsidRPr="008608AA">
        <w:rPr>
          <w:rFonts w:eastAsia="Calibri"/>
        </w:rPr>
        <w:t>WWF (2014)</w:t>
      </w:r>
      <w:r w:rsidRPr="008608AA">
        <w:rPr>
          <w:rFonts w:eastAsia="Calibri"/>
        </w:rPr>
        <w:fldChar w:fldCharType="end"/>
      </w:r>
      <w:r w:rsidRPr="008608AA">
        <w:rPr>
          <w:rFonts w:eastAsia="Calibri"/>
        </w:rPr>
        <w:t xml:space="preserve"> the </w:t>
      </w:r>
      <w:r w:rsidR="00CA38B7" w:rsidRPr="008608AA">
        <w:rPr>
          <w:rFonts w:eastAsia="Calibri"/>
          <w:iCs/>
        </w:rPr>
        <w:t>nitrogen loss i</w:t>
      </w:r>
      <w:r w:rsidRPr="008608AA">
        <w:rPr>
          <w:rFonts w:eastAsia="Calibri"/>
          <w:iCs/>
        </w:rPr>
        <w:t>ndicator</w:t>
      </w:r>
      <w:r w:rsidRPr="008608AA">
        <w:rPr>
          <w:rStyle w:val="FootnoteReference"/>
          <w:rFonts w:eastAsia="Calibri"/>
          <w:lang w:val="en-GB"/>
        </w:rPr>
        <w:footnoteReference w:id="22"/>
      </w:r>
      <w:r w:rsidRPr="008608AA">
        <w:rPr>
          <w:rFonts w:eastAsia="Calibri"/>
        </w:rPr>
        <w:t xml:space="preserve"> is largest in North America (81kg/capita/year), more than twice the world average (29 kg/capita/year).</w:t>
      </w:r>
    </w:p>
    <w:p w14:paraId="10992A18" w14:textId="0AAB1FBC" w:rsidR="00274C8E" w:rsidRPr="008608AA" w:rsidRDefault="001E61A6" w:rsidP="007B60EB">
      <w:pPr>
        <w:spacing w:before="120"/>
        <w:rPr>
          <w:rFonts w:eastAsia="Calibri"/>
        </w:rPr>
      </w:pPr>
      <w:r w:rsidRPr="008608AA">
        <w:rPr>
          <w:rFonts w:eastAsia="Calibri"/>
        </w:rPr>
        <w:t>Commodities (including, for instance, hydrocarbons, mineral raw materials, food and other agricultural p</w:t>
      </w:r>
      <w:r w:rsidR="009C453F" w:rsidRPr="008608AA">
        <w:rPr>
          <w:rFonts w:eastAsia="Calibri"/>
        </w:rPr>
        <w:t>roducts) represent more than 50</w:t>
      </w:r>
      <w:r w:rsidRPr="008608AA">
        <w:rPr>
          <w:rFonts w:eastAsia="Calibri"/>
        </w:rPr>
        <w:t>% of Latin America and the Caribbean exports (for the years 2012-</w:t>
      </w:r>
      <w:r w:rsidR="00CA38B7" w:rsidRPr="008608AA">
        <w:rPr>
          <w:rFonts w:eastAsia="Calibri"/>
        </w:rPr>
        <w:t>20</w:t>
      </w:r>
      <w:r w:rsidRPr="008608AA">
        <w:rPr>
          <w:rFonts w:eastAsia="Calibri"/>
        </w:rPr>
        <w:t xml:space="preserve">14) and 9% of the regional GDP, reflecting a clear extractivist bias in the regional economic growth. South America is the most commodity-intensive </w:t>
      </w:r>
      <w:r w:rsidR="007C45FD" w:rsidRPr="008608AA">
        <w:rPr>
          <w:rFonts w:eastAsia="Calibri"/>
        </w:rPr>
        <w:t>sub</w:t>
      </w:r>
      <w:r w:rsidRPr="008608AA">
        <w:rPr>
          <w:rFonts w:eastAsia="Calibri"/>
        </w:rPr>
        <w:t>region in the Americas, with commodit</w:t>
      </w:r>
      <w:r w:rsidR="009C453F" w:rsidRPr="008608AA">
        <w:rPr>
          <w:rFonts w:eastAsia="Calibri"/>
        </w:rPr>
        <w:t>ies accounting for more than 70</w:t>
      </w:r>
      <w:r w:rsidRPr="008608AA">
        <w:rPr>
          <w:rFonts w:eastAsia="Calibri"/>
        </w:rPr>
        <w:t xml:space="preserve">% </w:t>
      </w:r>
      <w:r w:rsidR="009C453F" w:rsidRPr="008608AA">
        <w:rPr>
          <w:rFonts w:eastAsia="Calibri"/>
        </w:rPr>
        <w:t>of goods exports, and nearly 10</w:t>
      </w:r>
      <w:r w:rsidRPr="008608AA">
        <w:rPr>
          <w:rFonts w:eastAsia="Calibri"/>
        </w:rPr>
        <w:t>% of GDP. Mesoamerica is considerably less commodity dependent than South America, but commodities still account for about one quarter of exports there, and 7.5% of GDP (World Bank, 2016). North American economies are more diversified than Latin America and the Caribbean economies and consequently less vulnerable to price shocks in the global commodity markets. The export diversification index</w:t>
      </w:r>
      <w:r w:rsidRPr="008608AA">
        <w:rPr>
          <w:rStyle w:val="FootnoteReference"/>
          <w:rFonts w:eastAsia="Calibri"/>
          <w:lang w:val="en-GB"/>
        </w:rPr>
        <w:footnoteReference w:id="23"/>
      </w:r>
      <w:r w:rsidRPr="008608AA">
        <w:rPr>
          <w:rFonts w:eastAsia="Calibri"/>
        </w:rPr>
        <w:t xml:space="preserve"> for North America in 2015 was 0.213, while this indicator averaged 0.584 for the Caribbean, 0.549 for South America, and 0.375 in Mesoamerica (UNCTAD, 2016).</w:t>
      </w:r>
    </w:p>
    <w:p w14:paraId="1FDAB4C6" w14:textId="14A89B51" w:rsidR="001E61A6" w:rsidRPr="008608AA" w:rsidRDefault="00274C8E" w:rsidP="00274C8E">
      <w:pPr>
        <w:pStyle w:val="Caption"/>
        <w:rPr>
          <w:szCs w:val="20"/>
        </w:rPr>
      </w:pPr>
      <w:bookmarkStart w:id="1362" w:name="_Toc499459685"/>
      <w:bookmarkStart w:id="1363" w:name="_Hlk494357379"/>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2</w:t>
      </w:r>
      <w:r w:rsidR="000E562E">
        <w:rPr>
          <w:noProof/>
        </w:rPr>
        <w:fldChar w:fldCharType="end"/>
      </w:r>
      <w:r w:rsidRPr="008608AA">
        <w:t xml:space="preserve">. </w:t>
      </w:r>
      <w:r w:rsidR="001E61A6" w:rsidRPr="008608AA">
        <w:rPr>
          <w:szCs w:val="20"/>
        </w:rPr>
        <w:t>Combining GDP growth and GDP intensity in natural resources (including energy / carbon intensity) and assessing the level of pressure on biodiversity and ecosystem services.</w:t>
      </w:r>
      <w:bookmarkEnd w:id="1362"/>
    </w:p>
    <w:bookmarkEnd w:id="1363"/>
    <w:p w14:paraId="3F04353B" w14:textId="47FAF033" w:rsidR="00E7683B" w:rsidRPr="008608AA" w:rsidRDefault="000D1D96" w:rsidP="00E7683B">
      <w:pPr>
        <w:spacing w:before="120"/>
        <w:jc w:val="center"/>
        <w:rPr>
          <w:rFonts w:eastAsia="Calibri"/>
        </w:rPr>
      </w:pPr>
      <w:r w:rsidRPr="008608AA">
        <w:rPr>
          <w:rFonts w:eastAsia="Calibri"/>
          <w:noProof/>
          <w:lang w:val="en-GB" w:eastAsia="en-GB"/>
        </w:rPr>
        <w:drawing>
          <wp:inline distT="0" distB="0" distL="0" distR="0" wp14:anchorId="2DAEF9EF" wp14:editId="52A82722">
            <wp:extent cx="5934075" cy="2686050"/>
            <wp:effectExtent l="0" t="0" r="9525" b="0"/>
            <wp:docPr id="2091" name="Imagen 2091" descr="C:\Users\Alejandro Valderrama\Downloads\Table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9" descr="C:\Users\Alejandro Valderrama\Downloads\Table 4.2.jpg"/>
                    <pic:cNvPicPr>
                      <a:picLocks noChangeAspect="1" noChangeArrowheads="1"/>
                    </pic:cNvPicPr>
                  </pic:nvPicPr>
                  <pic:blipFill rotWithShape="1">
                    <a:blip r:embed="rId971">
                      <a:extLst>
                        <a:ext uri="{28A0092B-C50C-407E-A947-70E740481C1C}">
                          <a14:useLocalDpi xmlns:a14="http://schemas.microsoft.com/office/drawing/2010/main" val="0"/>
                        </a:ext>
                      </a:extLst>
                    </a:blip>
                    <a:srcRect b="68597"/>
                    <a:stretch/>
                  </pic:blipFill>
                  <pic:spPr bwMode="auto">
                    <a:xfrm>
                      <a:off x="0" y="0"/>
                      <a:ext cx="5934075" cy="2686050"/>
                    </a:xfrm>
                    <a:prstGeom prst="rect">
                      <a:avLst/>
                    </a:prstGeom>
                    <a:noFill/>
                    <a:ln>
                      <a:noFill/>
                    </a:ln>
                    <a:extLst>
                      <a:ext uri="{53640926-AAD7-44D8-BBD7-CCE9431645EC}">
                        <a14:shadowObscured xmlns:a14="http://schemas.microsoft.com/office/drawing/2010/main"/>
                      </a:ext>
                    </a:extLst>
                  </pic:spPr>
                </pic:pic>
              </a:graphicData>
            </a:graphic>
          </wp:inline>
        </w:drawing>
      </w:r>
    </w:p>
    <w:p w14:paraId="6CA9DBF4" w14:textId="284FC119" w:rsidR="001E61A6" w:rsidRPr="008608AA" w:rsidRDefault="001E61A6" w:rsidP="00274C8E">
      <w:pPr>
        <w:spacing w:before="120"/>
        <w:rPr>
          <w:rFonts w:eastAsia="Calibri"/>
        </w:rPr>
      </w:pPr>
      <w:r w:rsidRPr="008608AA">
        <w:rPr>
          <w:rFonts w:eastAsia="Calibri"/>
        </w:rPr>
        <w:t xml:space="preserve">Rapid economic growth generates growing pressures on </w:t>
      </w:r>
      <w:r w:rsidR="00CA38B7" w:rsidRPr="008608AA">
        <w:rPr>
          <w:rFonts w:eastAsia="Calibri"/>
        </w:rPr>
        <w:t>n</w:t>
      </w:r>
      <w:r w:rsidRPr="008608AA">
        <w:rPr>
          <w:rFonts w:eastAsia="Calibri"/>
        </w:rPr>
        <w:t>ature and NCP, particularly when the economic growth is heavily dependent on increasing use of natural resources and carbon intensity. Economic crisis also increases pressures on natural resources when economic agents tend to compensate low commodity prices with higher export volumes.</w:t>
      </w:r>
    </w:p>
    <w:p w14:paraId="61ED2E9C" w14:textId="6180C7A5" w:rsidR="00274C8E" w:rsidRDefault="001E61A6" w:rsidP="00274C8E">
      <w:pPr>
        <w:autoSpaceDE w:val="0"/>
        <w:autoSpaceDN w:val="0"/>
        <w:adjustRightInd w:val="0"/>
        <w:spacing w:before="120"/>
      </w:pPr>
      <w:r w:rsidRPr="008608AA">
        <w:t xml:space="preserve">In recent decades, the increase in household income in Latin America and the Caribbean has resulted in a striking rise in consumption. Per capita private consumption for Latin America and the Caribbean, in </w:t>
      </w:r>
      <w:r w:rsidR="00CA38B7" w:rsidRPr="008608AA">
        <w:t xml:space="preserve">USA </w:t>
      </w:r>
      <w:r w:rsidRPr="008608AA">
        <w:t>dollars at constant 2010 prices, rose by a cumulative annual rate of 2% between 1990 and 2000 and 2.5% between 2000 and 2016, while the corresponding rates for North America were 2.5% and 1.1%, respectively in those periods. Since 2010, the average per capita private consumption in Latin America and the Caribbean have surpassed the world average, but by 2016 it was only 17.1% of the corresponding level for North America (Table 4. 3).</w:t>
      </w:r>
    </w:p>
    <w:p w14:paraId="2477EF6B" w14:textId="77777777" w:rsidR="00286530" w:rsidRPr="008608AA" w:rsidRDefault="00286530" w:rsidP="00274C8E">
      <w:pPr>
        <w:autoSpaceDE w:val="0"/>
        <w:autoSpaceDN w:val="0"/>
        <w:adjustRightInd w:val="0"/>
        <w:spacing w:before="120"/>
      </w:pPr>
    </w:p>
    <w:p w14:paraId="1D5C8CE7" w14:textId="43C026F7" w:rsidR="001E61A6" w:rsidRPr="008608AA" w:rsidRDefault="00274C8E" w:rsidP="00274C8E">
      <w:pPr>
        <w:pStyle w:val="Caption"/>
        <w:rPr>
          <w:b w:val="0"/>
          <w:szCs w:val="20"/>
        </w:rPr>
      </w:pPr>
      <w:bookmarkStart w:id="1364" w:name="_Toc499459686"/>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3</w:t>
      </w:r>
      <w:r w:rsidR="000E562E">
        <w:rPr>
          <w:noProof/>
        </w:rPr>
        <w:fldChar w:fldCharType="end"/>
      </w:r>
      <w:r w:rsidRPr="008608AA">
        <w:t xml:space="preserve">. </w:t>
      </w:r>
      <w:r w:rsidR="001E61A6" w:rsidRPr="008608AA">
        <w:rPr>
          <w:szCs w:val="20"/>
        </w:rPr>
        <w:t>Household final consumption expenditure per capita.</w:t>
      </w:r>
      <w:bookmarkEnd w:id="1364"/>
    </w:p>
    <w:tbl>
      <w:tblPr>
        <w:tblStyle w:val="TableGrid"/>
        <w:tblW w:w="5000" w:type="pct"/>
        <w:tblLook w:val="04A0" w:firstRow="1" w:lastRow="0" w:firstColumn="1" w:lastColumn="0" w:noHBand="0" w:noVBand="1"/>
      </w:tblPr>
      <w:tblGrid>
        <w:gridCol w:w="1580"/>
        <w:gridCol w:w="1581"/>
        <w:gridCol w:w="1581"/>
        <w:gridCol w:w="1581"/>
        <w:gridCol w:w="1582"/>
        <w:gridCol w:w="1582"/>
      </w:tblGrid>
      <w:tr w:rsidR="001E61A6" w:rsidRPr="008608AA" w14:paraId="09679F47" w14:textId="77777777" w:rsidTr="00274C8E">
        <w:tc>
          <w:tcPr>
            <w:tcW w:w="833" w:type="pct"/>
            <w:vMerge w:val="restart"/>
            <w:shd w:val="clear" w:color="auto" w:fill="BFBFBF" w:themeFill="background1" w:themeFillShade="BF"/>
            <w:vAlign w:val="center"/>
          </w:tcPr>
          <w:p w14:paraId="029645AD" w14:textId="77777777" w:rsidR="001E61A6" w:rsidRPr="008608AA" w:rsidRDefault="001E61A6" w:rsidP="00274C8E">
            <w:pPr>
              <w:autoSpaceDE w:val="0"/>
              <w:autoSpaceDN w:val="0"/>
              <w:adjustRightInd w:val="0"/>
              <w:jc w:val="center"/>
              <w:rPr>
                <w:b/>
                <w:sz w:val="20"/>
                <w:szCs w:val="20"/>
              </w:rPr>
            </w:pPr>
            <w:r w:rsidRPr="008608AA">
              <w:rPr>
                <w:b/>
                <w:sz w:val="20"/>
                <w:szCs w:val="20"/>
              </w:rPr>
              <w:t>Regions</w:t>
            </w:r>
          </w:p>
        </w:tc>
        <w:tc>
          <w:tcPr>
            <w:tcW w:w="2499" w:type="pct"/>
            <w:gridSpan w:val="3"/>
            <w:shd w:val="clear" w:color="auto" w:fill="BFBFBF" w:themeFill="background1" w:themeFillShade="BF"/>
            <w:vAlign w:val="center"/>
          </w:tcPr>
          <w:p w14:paraId="59FBA376" w14:textId="703E71EE" w:rsidR="001E61A6" w:rsidRPr="008608AA" w:rsidRDefault="001E61A6" w:rsidP="00274C8E">
            <w:pPr>
              <w:autoSpaceDE w:val="0"/>
              <w:autoSpaceDN w:val="0"/>
              <w:adjustRightInd w:val="0"/>
              <w:jc w:val="center"/>
              <w:rPr>
                <w:b/>
                <w:sz w:val="20"/>
                <w:szCs w:val="20"/>
              </w:rPr>
            </w:pPr>
            <w:r w:rsidRPr="008608AA">
              <w:rPr>
                <w:b/>
                <w:sz w:val="20"/>
                <w:szCs w:val="20"/>
              </w:rPr>
              <w:t>Constant 2010 US</w:t>
            </w:r>
            <w:r w:rsidR="00CA38B7" w:rsidRPr="008608AA">
              <w:rPr>
                <w:b/>
                <w:sz w:val="20"/>
                <w:szCs w:val="20"/>
              </w:rPr>
              <w:t>A Dollars</w:t>
            </w:r>
          </w:p>
        </w:tc>
        <w:tc>
          <w:tcPr>
            <w:tcW w:w="1668" w:type="pct"/>
            <w:gridSpan w:val="2"/>
            <w:shd w:val="clear" w:color="auto" w:fill="BFBFBF" w:themeFill="background1" w:themeFillShade="BF"/>
            <w:vAlign w:val="center"/>
          </w:tcPr>
          <w:p w14:paraId="25BAC6C1" w14:textId="77777777" w:rsidR="001E61A6" w:rsidRPr="008608AA" w:rsidRDefault="001E61A6" w:rsidP="00274C8E">
            <w:pPr>
              <w:autoSpaceDE w:val="0"/>
              <w:autoSpaceDN w:val="0"/>
              <w:adjustRightInd w:val="0"/>
              <w:jc w:val="center"/>
              <w:rPr>
                <w:b/>
                <w:sz w:val="20"/>
                <w:szCs w:val="20"/>
              </w:rPr>
            </w:pPr>
            <w:r w:rsidRPr="008608AA">
              <w:rPr>
                <w:b/>
                <w:sz w:val="20"/>
                <w:szCs w:val="20"/>
              </w:rPr>
              <w:t>Average annual % growth</w:t>
            </w:r>
          </w:p>
        </w:tc>
      </w:tr>
      <w:tr w:rsidR="001E61A6" w:rsidRPr="008608AA" w14:paraId="4113CDB8" w14:textId="77777777" w:rsidTr="00274C8E">
        <w:tc>
          <w:tcPr>
            <w:tcW w:w="833" w:type="pct"/>
            <w:vMerge/>
            <w:shd w:val="clear" w:color="auto" w:fill="BFBFBF" w:themeFill="background1" w:themeFillShade="BF"/>
            <w:vAlign w:val="center"/>
          </w:tcPr>
          <w:p w14:paraId="67560D01" w14:textId="77777777" w:rsidR="001E61A6" w:rsidRPr="008608AA" w:rsidRDefault="001E61A6" w:rsidP="00274C8E">
            <w:pPr>
              <w:autoSpaceDE w:val="0"/>
              <w:autoSpaceDN w:val="0"/>
              <w:adjustRightInd w:val="0"/>
              <w:jc w:val="center"/>
              <w:rPr>
                <w:sz w:val="20"/>
                <w:szCs w:val="20"/>
              </w:rPr>
            </w:pPr>
          </w:p>
        </w:tc>
        <w:tc>
          <w:tcPr>
            <w:tcW w:w="833" w:type="pct"/>
            <w:shd w:val="clear" w:color="auto" w:fill="BFBFBF" w:themeFill="background1" w:themeFillShade="BF"/>
            <w:vAlign w:val="center"/>
          </w:tcPr>
          <w:p w14:paraId="6B3DD1A0" w14:textId="77777777" w:rsidR="001E61A6" w:rsidRPr="008608AA" w:rsidRDefault="001E61A6" w:rsidP="00274C8E">
            <w:pPr>
              <w:autoSpaceDE w:val="0"/>
              <w:autoSpaceDN w:val="0"/>
              <w:adjustRightInd w:val="0"/>
              <w:jc w:val="center"/>
              <w:rPr>
                <w:b/>
                <w:sz w:val="20"/>
                <w:szCs w:val="20"/>
              </w:rPr>
            </w:pPr>
            <w:r w:rsidRPr="008608AA">
              <w:rPr>
                <w:b/>
                <w:sz w:val="20"/>
                <w:szCs w:val="20"/>
              </w:rPr>
              <w:t>1990</w:t>
            </w:r>
          </w:p>
        </w:tc>
        <w:tc>
          <w:tcPr>
            <w:tcW w:w="833" w:type="pct"/>
            <w:shd w:val="clear" w:color="auto" w:fill="BFBFBF" w:themeFill="background1" w:themeFillShade="BF"/>
            <w:vAlign w:val="center"/>
          </w:tcPr>
          <w:p w14:paraId="3D9FE767" w14:textId="77777777" w:rsidR="001E61A6" w:rsidRPr="008608AA" w:rsidRDefault="001E61A6" w:rsidP="00274C8E">
            <w:pPr>
              <w:autoSpaceDE w:val="0"/>
              <w:autoSpaceDN w:val="0"/>
              <w:adjustRightInd w:val="0"/>
              <w:jc w:val="center"/>
              <w:rPr>
                <w:b/>
                <w:sz w:val="20"/>
                <w:szCs w:val="20"/>
              </w:rPr>
            </w:pPr>
            <w:r w:rsidRPr="008608AA">
              <w:rPr>
                <w:b/>
                <w:sz w:val="20"/>
                <w:szCs w:val="20"/>
              </w:rPr>
              <w:t>2000</w:t>
            </w:r>
          </w:p>
        </w:tc>
        <w:tc>
          <w:tcPr>
            <w:tcW w:w="833" w:type="pct"/>
            <w:shd w:val="clear" w:color="auto" w:fill="BFBFBF" w:themeFill="background1" w:themeFillShade="BF"/>
            <w:vAlign w:val="center"/>
          </w:tcPr>
          <w:p w14:paraId="3A7D330F" w14:textId="77777777" w:rsidR="001E61A6" w:rsidRPr="008608AA" w:rsidRDefault="001E61A6" w:rsidP="00274C8E">
            <w:pPr>
              <w:autoSpaceDE w:val="0"/>
              <w:autoSpaceDN w:val="0"/>
              <w:adjustRightInd w:val="0"/>
              <w:jc w:val="center"/>
              <w:rPr>
                <w:b/>
                <w:sz w:val="20"/>
                <w:szCs w:val="20"/>
              </w:rPr>
            </w:pPr>
            <w:r w:rsidRPr="008608AA">
              <w:rPr>
                <w:b/>
                <w:sz w:val="20"/>
                <w:szCs w:val="20"/>
              </w:rPr>
              <w:t>2016</w:t>
            </w:r>
          </w:p>
        </w:tc>
        <w:tc>
          <w:tcPr>
            <w:tcW w:w="834" w:type="pct"/>
            <w:shd w:val="clear" w:color="auto" w:fill="BFBFBF" w:themeFill="background1" w:themeFillShade="BF"/>
            <w:vAlign w:val="center"/>
          </w:tcPr>
          <w:p w14:paraId="701C9BB7" w14:textId="77777777" w:rsidR="001E61A6" w:rsidRPr="008608AA" w:rsidRDefault="001E61A6" w:rsidP="00274C8E">
            <w:pPr>
              <w:autoSpaceDE w:val="0"/>
              <w:autoSpaceDN w:val="0"/>
              <w:adjustRightInd w:val="0"/>
              <w:jc w:val="center"/>
              <w:rPr>
                <w:b/>
                <w:sz w:val="20"/>
                <w:szCs w:val="20"/>
              </w:rPr>
            </w:pPr>
            <w:r w:rsidRPr="008608AA">
              <w:rPr>
                <w:b/>
                <w:sz w:val="20"/>
                <w:szCs w:val="20"/>
              </w:rPr>
              <w:t>1990-2000</w:t>
            </w:r>
          </w:p>
        </w:tc>
        <w:tc>
          <w:tcPr>
            <w:tcW w:w="834" w:type="pct"/>
            <w:shd w:val="clear" w:color="auto" w:fill="BFBFBF" w:themeFill="background1" w:themeFillShade="BF"/>
            <w:vAlign w:val="center"/>
          </w:tcPr>
          <w:p w14:paraId="148EB072" w14:textId="77777777" w:rsidR="001E61A6" w:rsidRPr="008608AA" w:rsidRDefault="001E61A6" w:rsidP="00274C8E">
            <w:pPr>
              <w:autoSpaceDE w:val="0"/>
              <w:autoSpaceDN w:val="0"/>
              <w:adjustRightInd w:val="0"/>
              <w:jc w:val="center"/>
              <w:rPr>
                <w:b/>
                <w:sz w:val="20"/>
                <w:szCs w:val="20"/>
              </w:rPr>
            </w:pPr>
            <w:r w:rsidRPr="008608AA">
              <w:rPr>
                <w:b/>
                <w:sz w:val="20"/>
                <w:szCs w:val="20"/>
              </w:rPr>
              <w:t>2000-2016</w:t>
            </w:r>
          </w:p>
        </w:tc>
      </w:tr>
      <w:tr w:rsidR="001E61A6" w:rsidRPr="008608AA" w14:paraId="3FA27CBB" w14:textId="77777777" w:rsidTr="00165D1C">
        <w:tc>
          <w:tcPr>
            <w:tcW w:w="833" w:type="pct"/>
          </w:tcPr>
          <w:p w14:paraId="2FC7F08C" w14:textId="77777777" w:rsidR="001E61A6" w:rsidRPr="008608AA" w:rsidRDefault="001E61A6" w:rsidP="00C56F52">
            <w:pPr>
              <w:autoSpaceDE w:val="0"/>
              <w:autoSpaceDN w:val="0"/>
              <w:adjustRightInd w:val="0"/>
              <w:rPr>
                <w:sz w:val="20"/>
                <w:szCs w:val="20"/>
              </w:rPr>
            </w:pPr>
            <w:r w:rsidRPr="008608AA">
              <w:rPr>
                <w:sz w:val="20"/>
                <w:szCs w:val="20"/>
              </w:rPr>
              <w:t>North America</w:t>
            </w:r>
          </w:p>
        </w:tc>
        <w:tc>
          <w:tcPr>
            <w:tcW w:w="833" w:type="pct"/>
          </w:tcPr>
          <w:p w14:paraId="2464097F" w14:textId="77777777" w:rsidR="001E61A6" w:rsidRPr="008608AA" w:rsidRDefault="001E61A6" w:rsidP="00C56F52">
            <w:pPr>
              <w:autoSpaceDE w:val="0"/>
              <w:autoSpaceDN w:val="0"/>
              <w:adjustRightInd w:val="0"/>
              <w:jc w:val="center"/>
              <w:rPr>
                <w:sz w:val="20"/>
                <w:szCs w:val="20"/>
              </w:rPr>
            </w:pPr>
            <w:r w:rsidRPr="008608AA">
              <w:rPr>
                <w:sz w:val="20"/>
                <w:szCs w:val="20"/>
              </w:rPr>
              <w:t>22675</w:t>
            </w:r>
          </w:p>
        </w:tc>
        <w:tc>
          <w:tcPr>
            <w:tcW w:w="833" w:type="pct"/>
          </w:tcPr>
          <w:p w14:paraId="2CCD106C" w14:textId="77777777" w:rsidR="001E61A6" w:rsidRPr="008608AA" w:rsidRDefault="001E61A6" w:rsidP="00C56F52">
            <w:pPr>
              <w:autoSpaceDE w:val="0"/>
              <w:autoSpaceDN w:val="0"/>
              <w:adjustRightInd w:val="0"/>
              <w:jc w:val="center"/>
              <w:rPr>
                <w:sz w:val="20"/>
                <w:szCs w:val="20"/>
              </w:rPr>
            </w:pPr>
            <w:r w:rsidRPr="008608AA">
              <w:rPr>
                <w:sz w:val="20"/>
                <w:szCs w:val="20"/>
              </w:rPr>
              <w:t>28703</w:t>
            </w:r>
          </w:p>
        </w:tc>
        <w:tc>
          <w:tcPr>
            <w:tcW w:w="833" w:type="pct"/>
          </w:tcPr>
          <w:p w14:paraId="51FBDD6B" w14:textId="77777777" w:rsidR="001E61A6" w:rsidRPr="008608AA" w:rsidRDefault="001E61A6" w:rsidP="00C56F52">
            <w:pPr>
              <w:autoSpaceDE w:val="0"/>
              <w:autoSpaceDN w:val="0"/>
              <w:adjustRightInd w:val="0"/>
              <w:jc w:val="center"/>
              <w:rPr>
                <w:sz w:val="20"/>
                <w:szCs w:val="20"/>
              </w:rPr>
            </w:pPr>
            <w:r w:rsidRPr="008608AA">
              <w:rPr>
                <w:sz w:val="20"/>
                <w:szCs w:val="20"/>
              </w:rPr>
              <w:t>34841</w:t>
            </w:r>
          </w:p>
        </w:tc>
        <w:tc>
          <w:tcPr>
            <w:tcW w:w="834" w:type="pct"/>
          </w:tcPr>
          <w:p w14:paraId="466A3813" w14:textId="77777777" w:rsidR="001E61A6" w:rsidRPr="008608AA" w:rsidRDefault="001E61A6" w:rsidP="00C56F52">
            <w:pPr>
              <w:autoSpaceDE w:val="0"/>
              <w:autoSpaceDN w:val="0"/>
              <w:adjustRightInd w:val="0"/>
              <w:jc w:val="center"/>
              <w:rPr>
                <w:sz w:val="20"/>
                <w:szCs w:val="20"/>
              </w:rPr>
            </w:pPr>
            <w:r w:rsidRPr="008608AA">
              <w:rPr>
                <w:sz w:val="20"/>
                <w:szCs w:val="20"/>
              </w:rPr>
              <w:t>2.5</w:t>
            </w:r>
          </w:p>
        </w:tc>
        <w:tc>
          <w:tcPr>
            <w:tcW w:w="834" w:type="pct"/>
          </w:tcPr>
          <w:p w14:paraId="73F60173" w14:textId="77777777" w:rsidR="001E61A6" w:rsidRPr="008608AA" w:rsidRDefault="001E61A6" w:rsidP="00C56F52">
            <w:pPr>
              <w:autoSpaceDE w:val="0"/>
              <w:autoSpaceDN w:val="0"/>
              <w:adjustRightInd w:val="0"/>
              <w:jc w:val="center"/>
              <w:rPr>
                <w:sz w:val="20"/>
                <w:szCs w:val="20"/>
              </w:rPr>
            </w:pPr>
            <w:r w:rsidRPr="008608AA">
              <w:rPr>
                <w:sz w:val="20"/>
                <w:szCs w:val="20"/>
              </w:rPr>
              <w:t>1.1</w:t>
            </w:r>
          </w:p>
        </w:tc>
      </w:tr>
      <w:tr w:rsidR="001E61A6" w:rsidRPr="008608AA" w14:paraId="4DA2C163" w14:textId="77777777" w:rsidTr="00165D1C">
        <w:tc>
          <w:tcPr>
            <w:tcW w:w="833" w:type="pct"/>
          </w:tcPr>
          <w:p w14:paraId="5797F7C3" w14:textId="77777777" w:rsidR="001E61A6" w:rsidRPr="008608AA" w:rsidRDefault="001E61A6" w:rsidP="00C56F52">
            <w:pPr>
              <w:autoSpaceDE w:val="0"/>
              <w:autoSpaceDN w:val="0"/>
              <w:adjustRightInd w:val="0"/>
              <w:rPr>
                <w:sz w:val="20"/>
                <w:szCs w:val="20"/>
              </w:rPr>
            </w:pPr>
            <w:r w:rsidRPr="008608AA">
              <w:rPr>
                <w:sz w:val="20"/>
                <w:szCs w:val="20"/>
              </w:rPr>
              <w:t>Latin America and the Caribbean</w:t>
            </w:r>
          </w:p>
        </w:tc>
        <w:tc>
          <w:tcPr>
            <w:tcW w:w="833" w:type="pct"/>
          </w:tcPr>
          <w:p w14:paraId="7C08C7E8" w14:textId="77777777" w:rsidR="001E61A6" w:rsidRPr="008608AA" w:rsidRDefault="001E61A6" w:rsidP="00C56F52">
            <w:pPr>
              <w:autoSpaceDE w:val="0"/>
              <w:autoSpaceDN w:val="0"/>
              <w:adjustRightInd w:val="0"/>
              <w:jc w:val="center"/>
              <w:rPr>
                <w:sz w:val="20"/>
                <w:szCs w:val="20"/>
              </w:rPr>
            </w:pPr>
            <w:r w:rsidRPr="008608AA">
              <w:rPr>
                <w:sz w:val="20"/>
                <w:szCs w:val="20"/>
              </w:rPr>
              <w:t>3675</w:t>
            </w:r>
          </w:p>
        </w:tc>
        <w:tc>
          <w:tcPr>
            <w:tcW w:w="833" w:type="pct"/>
          </w:tcPr>
          <w:p w14:paraId="77EA07D6" w14:textId="77777777" w:rsidR="001E61A6" w:rsidRPr="008608AA" w:rsidRDefault="001E61A6" w:rsidP="00C56F52">
            <w:pPr>
              <w:autoSpaceDE w:val="0"/>
              <w:autoSpaceDN w:val="0"/>
              <w:adjustRightInd w:val="0"/>
              <w:jc w:val="center"/>
              <w:rPr>
                <w:sz w:val="20"/>
                <w:szCs w:val="20"/>
              </w:rPr>
            </w:pPr>
            <w:r w:rsidRPr="008608AA">
              <w:rPr>
                <w:sz w:val="20"/>
                <w:szCs w:val="20"/>
              </w:rPr>
              <w:t>4488</w:t>
            </w:r>
          </w:p>
        </w:tc>
        <w:tc>
          <w:tcPr>
            <w:tcW w:w="833" w:type="pct"/>
          </w:tcPr>
          <w:p w14:paraId="683BA6FC" w14:textId="77777777" w:rsidR="001E61A6" w:rsidRPr="008608AA" w:rsidRDefault="001E61A6" w:rsidP="00C56F52">
            <w:pPr>
              <w:autoSpaceDE w:val="0"/>
              <w:autoSpaceDN w:val="0"/>
              <w:adjustRightInd w:val="0"/>
              <w:jc w:val="center"/>
              <w:rPr>
                <w:sz w:val="20"/>
                <w:szCs w:val="20"/>
              </w:rPr>
            </w:pPr>
            <w:r w:rsidRPr="008608AA">
              <w:rPr>
                <w:sz w:val="20"/>
                <w:szCs w:val="20"/>
              </w:rPr>
              <w:t>5958</w:t>
            </w:r>
          </w:p>
        </w:tc>
        <w:tc>
          <w:tcPr>
            <w:tcW w:w="834" w:type="pct"/>
          </w:tcPr>
          <w:p w14:paraId="5381F055" w14:textId="77777777" w:rsidR="001E61A6" w:rsidRPr="008608AA" w:rsidRDefault="001E61A6" w:rsidP="00C56F52">
            <w:pPr>
              <w:autoSpaceDE w:val="0"/>
              <w:autoSpaceDN w:val="0"/>
              <w:adjustRightInd w:val="0"/>
              <w:jc w:val="center"/>
              <w:rPr>
                <w:sz w:val="20"/>
                <w:szCs w:val="20"/>
              </w:rPr>
            </w:pPr>
            <w:r w:rsidRPr="008608AA">
              <w:rPr>
                <w:sz w:val="20"/>
                <w:szCs w:val="20"/>
              </w:rPr>
              <w:t>2.0</w:t>
            </w:r>
          </w:p>
        </w:tc>
        <w:tc>
          <w:tcPr>
            <w:tcW w:w="834" w:type="pct"/>
          </w:tcPr>
          <w:p w14:paraId="3AEDBE1A" w14:textId="77777777" w:rsidR="001E61A6" w:rsidRPr="008608AA" w:rsidRDefault="001E61A6" w:rsidP="00C56F52">
            <w:pPr>
              <w:autoSpaceDE w:val="0"/>
              <w:autoSpaceDN w:val="0"/>
              <w:adjustRightInd w:val="0"/>
              <w:jc w:val="center"/>
              <w:rPr>
                <w:sz w:val="20"/>
                <w:szCs w:val="20"/>
              </w:rPr>
            </w:pPr>
            <w:r w:rsidRPr="008608AA">
              <w:rPr>
                <w:sz w:val="20"/>
                <w:szCs w:val="20"/>
              </w:rPr>
              <w:t>2.5</w:t>
            </w:r>
          </w:p>
        </w:tc>
      </w:tr>
      <w:tr w:rsidR="001E61A6" w:rsidRPr="008608AA" w14:paraId="101D9AC4" w14:textId="77777777" w:rsidTr="00165D1C">
        <w:tc>
          <w:tcPr>
            <w:tcW w:w="833" w:type="pct"/>
          </w:tcPr>
          <w:p w14:paraId="77E1D9EA" w14:textId="77777777" w:rsidR="001E61A6" w:rsidRPr="008608AA" w:rsidRDefault="001E61A6" w:rsidP="00C56F52">
            <w:pPr>
              <w:autoSpaceDE w:val="0"/>
              <w:autoSpaceDN w:val="0"/>
              <w:adjustRightInd w:val="0"/>
              <w:rPr>
                <w:sz w:val="20"/>
                <w:szCs w:val="20"/>
              </w:rPr>
            </w:pPr>
            <w:r w:rsidRPr="008608AA">
              <w:rPr>
                <w:sz w:val="20"/>
                <w:szCs w:val="20"/>
              </w:rPr>
              <w:t>World</w:t>
            </w:r>
          </w:p>
        </w:tc>
        <w:tc>
          <w:tcPr>
            <w:tcW w:w="833" w:type="pct"/>
            <w:vAlign w:val="bottom"/>
          </w:tcPr>
          <w:p w14:paraId="2E71D5E1" w14:textId="77777777" w:rsidR="001E61A6" w:rsidRPr="008608AA" w:rsidRDefault="001E61A6" w:rsidP="00C56F52">
            <w:pPr>
              <w:autoSpaceDE w:val="0"/>
              <w:autoSpaceDN w:val="0"/>
              <w:adjustRightInd w:val="0"/>
              <w:jc w:val="center"/>
              <w:rPr>
                <w:sz w:val="20"/>
                <w:szCs w:val="20"/>
              </w:rPr>
            </w:pPr>
            <w:r w:rsidRPr="008608AA">
              <w:rPr>
                <w:sz w:val="20"/>
                <w:szCs w:val="20"/>
              </w:rPr>
              <w:t>4036</w:t>
            </w:r>
          </w:p>
        </w:tc>
        <w:tc>
          <w:tcPr>
            <w:tcW w:w="833" w:type="pct"/>
            <w:vAlign w:val="bottom"/>
          </w:tcPr>
          <w:p w14:paraId="6026D38E" w14:textId="77777777" w:rsidR="001E61A6" w:rsidRPr="008608AA" w:rsidRDefault="001E61A6" w:rsidP="00C56F52">
            <w:pPr>
              <w:autoSpaceDE w:val="0"/>
              <w:autoSpaceDN w:val="0"/>
              <w:adjustRightInd w:val="0"/>
              <w:jc w:val="center"/>
              <w:rPr>
                <w:sz w:val="20"/>
                <w:szCs w:val="20"/>
              </w:rPr>
            </w:pPr>
            <w:r w:rsidRPr="008608AA">
              <w:rPr>
                <w:sz w:val="20"/>
                <w:szCs w:val="20"/>
              </w:rPr>
              <w:t>4710</w:t>
            </w:r>
          </w:p>
        </w:tc>
        <w:tc>
          <w:tcPr>
            <w:tcW w:w="833" w:type="pct"/>
            <w:vAlign w:val="bottom"/>
          </w:tcPr>
          <w:p w14:paraId="4C8EDEFA" w14:textId="77777777" w:rsidR="001E61A6" w:rsidRPr="008608AA" w:rsidRDefault="001E61A6" w:rsidP="00C56F52">
            <w:pPr>
              <w:autoSpaceDE w:val="0"/>
              <w:autoSpaceDN w:val="0"/>
              <w:adjustRightInd w:val="0"/>
              <w:jc w:val="center"/>
              <w:rPr>
                <w:sz w:val="20"/>
                <w:szCs w:val="20"/>
              </w:rPr>
            </w:pPr>
            <w:r w:rsidRPr="008608AA">
              <w:rPr>
                <w:sz w:val="20"/>
                <w:szCs w:val="20"/>
              </w:rPr>
              <w:t>5833</w:t>
            </w:r>
          </w:p>
        </w:tc>
        <w:tc>
          <w:tcPr>
            <w:tcW w:w="834" w:type="pct"/>
          </w:tcPr>
          <w:p w14:paraId="200D0858" w14:textId="77777777" w:rsidR="001E61A6" w:rsidRPr="008608AA" w:rsidRDefault="001E61A6" w:rsidP="00C56F52">
            <w:pPr>
              <w:autoSpaceDE w:val="0"/>
              <w:autoSpaceDN w:val="0"/>
              <w:adjustRightInd w:val="0"/>
              <w:jc w:val="center"/>
              <w:rPr>
                <w:sz w:val="20"/>
                <w:szCs w:val="20"/>
              </w:rPr>
            </w:pPr>
            <w:r w:rsidRPr="008608AA">
              <w:rPr>
                <w:sz w:val="20"/>
                <w:szCs w:val="20"/>
              </w:rPr>
              <w:t>1.6</w:t>
            </w:r>
          </w:p>
        </w:tc>
        <w:tc>
          <w:tcPr>
            <w:tcW w:w="834" w:type="pct"/>
          </w:tcPr>
          <w:p w14:paraId="2F05E48C" w14:textId="77777777" w:rsidR="001E61A6" w:rsidRPr="008608AA" w:rsidRDefault="001E61A6" w:rsidP="00C56F52">
            <w:pPr>
              <w:autoSpaceDE w:val="0"/>
              <w:autoSpaceDN w:val="0"/>
              <w:adjustRightInd w:val="0"/>
              <w:jc w:val="center"/>
              <w:rPr>
                <w:sz w:val="20"/>
                <w:szCs w:val="20"/>
              </w:rPr>
            </w:pPr>
            <w:r w:rsidRPr="008608AA">
              <w:rPr>
                <w:sz w:val="20"/>
                <w:szCs w:val="20"/>
              </w:rPr>
              <w:t>1.4</w:t>
            </w:r>
          </w:p>
        </w:tc>
      </w:tr>
    </w:tbl>
    <w:p w14:paraId="5AC704C1" w14:textId="261DC9CF" w:rsidR="001E61A6" w:rsidRPr="008608AA" w:rsidRDefault="001E61A6" w:rsidP="00C56F52">
      <w:pPr>
        <w:rPr>
          <w:sz w:val="20"/>
          <w:szCs w:val="20"/>
        </w:rPr>
      </w:pPr>
      <w:r w:rsidRPr="008608AA">
        <w:rPr>
          <w:sz w:val="20"/>
          <w:szCs w:val="20"/>
        </w:rPr>
        <w:t xml:space="preserve">Source: The World Bank Database </w:t>
      </w:r>
      <w:r w:rsidR="009E4D36" w:rsidRPr="008608AA">
        <w:rPr>
          <w:sz w:val="20"/>
          <w:szCs w:val="20"/>
        </w:rPr>
        <w:t>(</w:t>
      </w:r>
      <w:r w:rsidRPr="008608AA">
        <w:rPr>
          <w:sz w:val="20"/>
          <w:szCs w:val="20"/>
        </w:rPr>
        <w:t>2017</w:t>
      </w:r>
      <w:r w:rsidR="009E4D36" w:rsidRPr="008608AA">
        <w:rPr>
          <w:sz w:val="20"/>
          <w:szCs w:val="20"/>
        </w:rPr>
        <w:t>) World Development Indicators.</w:t>
      </w:r>
      <w:r w:rsidRPr="008608AA">
        <w:rPr>
          <w:sz w:val="20"/>
          <w:szCs w:val="20"/>
        </w:rPr>
        <w:t xml:space="preserve"> </w:t>
      </w:r>
      <w:hyperlink r:id="rId972" w:history="1">
        <w:r w:rsidRPr="008608AA">
          <w:rPr>
            <w:rStyle w:val="Hyperlink"/>
            <w:sz w:val="20"/>
            <w:szCs w:val="20"/>
            <w:lang w:eastAsia="en-GB"/>
          </w:rPr>
          <w:t>https://data.worldbank.org/indicator/NE.CON.PRVT.PC.KD?view=chart</w:t>
        </w:r>
      </w:hyperlink>
      <w:r w:rsidRPr="008608AA">
        <w:rPr>
          <w:sz w:val="20"/>
          <w:szCs w:val="20"/>
          <w:lang w:eastAsia="en-GB"/>
        </w:rPr>
        <w:t>. Accessed 4 November 2017</w:t>
      </w:r>
    </w:p>
    <w:p w14:paraId="200E38C1" w14:textId="1CC669B4" w:rsidR="001E61A6" w:rsidRPr="008608AA" w:rsidRDefault="001E61A6" w:rsidP="00274C8E">
      <w:pPr>
        <w:spacing w:before="120"/>
      </w:pPr>
      <w:r w:rsidRPr="008608AA">
        <w:t xml:space="preserve">Within Latin America, consumption trends have followed differentiated patterns across the various </w:t>
      </w:r>
      <w:r w:rsidR="007C45FD" w:rsidRPr="008608AA">
        <w:t>sub</w:t>
      </w:r>
      <w:r w:rsidRPr="008608AA">
        <w:t xml:space="preserve">regions in the last three decades. The expansion of private consumption in South America, for instance, has been supported, to a large extent, by the boom in exports of renewable and non-renewable natural resources, with highly favorable terms of trade up to 2014. In Central America, however, the consumption dynamics have been more closely associated with the stabilization of remittances, while Mexico combines both patterns: exports of natural resources (mainly oil) and significant flows of remittances (ECLAC, 2014). The prevailing consumption model in Latin America and the Caribbean is still what Fernando Fajnzylber termed </w:t>
      </w:r>
      <w:r w:rsidRPr="008608AA">
        <w:rPr>
          <w:i/>
        </w:rPr>
        <w:t>“</w:t>
      </w:r>
      <w:r w:rsidRPr="008608AA">
        <w:t>showcase modernization</w:t>
      </w:r>
      <w:r w:rsidRPr="008608AA">
        <w:rPr>
          <w:i/>
        </w:rPr>
        <w:t>”,</w:t>
      </w:r>
      <w:r w:rsidRPr="008608AA">
        <w:t xml:space="preserve"> which may expand the population’s access to goods and services but also tends to replicate the socio-environmentally unsustainable conditions seen in the developed countries (ECLAC</w:t>
      </w:r>
      <w:r w:rsidR="001C32D3" w:rsidRPr="008608AA">
        <w:t>,</w:t>
      </w:r>
      <w:r w:rsidRPr="008608AA">
        <w:t xml:space="preserve"> 2014).</w:t>
      </w:r>
    </w:p>
    <w:p w14:paraId="5CA41961" w14:textId="77777777" w:rsidR="001E61A6" w:rsidRPr="008608AA" w:rsidRDefault="001E61A6" w:rsidP="00274C8E">
      <w:pPr>
        <w:autoSpaceDE w:val="0"/>
        <w:autoSpaceDN w:val="0"/>
        <w:adjustRightInd w:val="0"/>
        <w:spacing w:before="120"/>
      </w:pPr>
      <w:r w:rsidRPr="008608AA">
        <w:t>On the one hand, private consumption dynamics in Latin America and the Caribbean during the recent decades has brought positive effects, as it has been partially associated with increased well-being in sectors that were deprived in the past, and it has contributed to better living standards, which in turn enable better use of time and more opportunities for capacity-building. On the other hand, growing private consumption has also brought negative consequences and externalities such as higher fossil fuel consumption, waste generation, air pollution, environmental destruction and increased exploitation of renewable and non-renewable natural resources. In addition to that, consumption in Latin America and the Caribbean is pro-cyclical and exposes economies to greater vulnerability. Recent regional consumption trends have also widened the gap between consumers of private and public services (ECLAC, 2014).</w:t>
      </w:r>
    </w:p>
    <w:p w14:paraId="1E6E9334" w14:textId="1895398A" w:rsidR="001E61A6" w:rsidRPr="008608AA" w:rsidRDefault="001E61A6" w:rsidP="00274C8E">
      <w:pPr>
        <w:autoSpaceDE w:val="0"/>
        <w:autoSpaceDN w:val="0"/>
        <w:adjustRightInd w:val="0"/>
        <w:spacing w:before="120"/>
      </w:pPr>
      <w:r w:rsidRPr="008608AA">
        <w:t xml:space="preserve">Another source of concern is that the upper income segments of the population in Latin America and the Caribbean, favoured by wealth concentration, tend to show a pattern of consumption very intensive in high-cost private services and luxury goods, with a high imported content. The region’s highest income quintile spends between </w:t>
      </w:r>
      <w:r w:rsidR="00813E65" w:rsidRPr="008608AA">
        <w:rPr>
          <w:color w:val="000000" w:themeColor="text1"/>
        </w:rPr>
        <w:t>four and 12</w:t>
      </w:r>
      <w:r w:rsidRPr="008608AA">
        <w:rPr>
          <w:color w:val="000000" w:themeColor="text1"/>
        </w:rPr>
        <w:t xml:space="preserve"> times mo</w:t>
      </w:r>
      <w:r w:rsidRPr="008608AA">
        <w:t xml:space="preserve">re </w:t>
      </w:r>
      <w:r w:rsidR="00813E65" w:rsidRPr="008608AA">
        <w:t>than the lowest income quintile</w:t>
      </w:r>
      <w:r w:rsidRPr="008608AA">
        <w:t xml:space="preserve"> (ECLAC, 2014)</w:t>
      </w:r>
      <w:r w:rsidR="00813E65" w:rsidRPr="008608AA">
        <w:t>.</w:t>
      </w:r>
    </w:p>
    <w:p w14:paraId="1311FA20" w14:textId="7B434C42" w:rsidR="001E61A6" w:rsidRPr="008608AA" w:rsidRDefault="001E61A6" w:rsidP="00274C8E">
      <w:pPr>
        <w:spacing w:before="120"/>
        <w:rPr>
          <w:rFonts w:eastAsia="Calibri"/>
        </w:rPr>
      </w:pPr>
      <w:r w:rsidRPr="008608AA">
        <w:rPr>
          <w:rFonts w:eastAsia="Calibri"/>
        </w:rPr>
        <w:t>Scenarios that assume rapid economic growth in the coming decades are mainly based on prioritizing market goals and incentives under conventional market approaches, with adverse social and environmental implications, including negative impacts on bi</w:t>
      </w:r>
      <w:r w:rsidR="00813E65" w:rsidRPr="008608AA">
        <w:rPr>
          <w:rFonts w:eastAsia="Calibri"/>
        </w:rPr>
        <w:t>odiversity and ecosystems (e.g.</w:t>
      </w:r>
      <w:r w:rsidRPr="008608AA">
        <w:rPr>
          <w:rFonts w:eastAsia="Calibri"/>
        </w:rPr>
        <w:t xml:space="preserve"> Global Environmental Outlook 4 Market First (</w:t>
      </w:r>
      <w:r w:rsidR="00C20336" w:rsidRPr="008608AA">
        <w:rPr>
          <w:rFonts w:eastAsia="Calibri"/>
        </w:rPr>
        <w:t>IPBES</w:t>
      </w:r>
      <w:r w:rsidRPr="008608AA">
        <w:rPr>
          <w:rFonts w:eastAsia="Calibri"/>
        </w:rPr>
        <w:t>, 2016)</w:t>
      </w:r>
      <w:r w:rsidR="00813E65" w:rsidRPr="008608AA">
        <w:rPr>
          <w:rFonts w:eastAsia="Calibri"/>
        </w:rPr>
        <w:t>)</w:t>
      </w:r>
      <w:r w:rsidRPr="008608AA">
        <w:rPr>
          <w:rFonts w:eastAsia="Calibri"/>
        </w:rPr>
        <w:t>.</w:t>
      </w:r>
    </w:p>
    <w:p w14:paraId="33B55500" w14:textId="37840FF7" w:rsidR="001E61A6" w:rsidRPr="008608AA" w:rsidRDefault="001E61A6" w:rsidP="00274C8E">
      <w:pPr>
        <w:spacing w:before="120"/>
        <w:rPr>
          <w:rFonts w:eastAsia="Calibri"/>
        </w:rPr>
      </w:pPr>
      <w:r w:rsidRPr="008608AA">
        <w:rPr>
          <w:rFonts w:eastAsia="Calibri"/>
        </w:rPr>
        <w:t>Statistics on the composition of the ecological footprint for the Americas reveal that the carbon footprint accounts for 53% of the total ecological footprint of the Western Hemisphere (65% for North America). The second largest hemispheric contributor is cropland, which accounts for 19% (26% in South America), and the third position is shared by grazing land and forest products (12% each). The predominant role of the carbon footprint in the Americas is mainly associated with the high dependency on fossil fuels in the region (</w:t>
      </w:r>
      <w:r w:rsidRPr="008608AA">
        <w:rPr>
          <w:rFonts w:eastAsia="Calibri"/>
          <w:b/>
        </w:rPr>
        <w:fldChar w:fldCharType="begin"/>
      </w:r>
      <w:r w:rsidRPr="008608AA">
        <w:rPr>
          <w:rFonts w:eastAsia="Calibri"/>
        </w:rPr>
        <w:instrText xml:space="preserve"> REF _Ref494456902 \h </w:instrText>
      </w:r>
      <w:r w:rsidR="00053693" w:rsidRPr="008608AA">
        <w:rPr>
          <w:rFonts w:eastAsia="Calibri"/>
          <w:b/>
        </w:rPr>
        <w:instrText xml:space="preserve"> \* MERGEFORMAT </w:instrText>
      </w:r>
      <w:r w:rsidRPr="008608AA">
        <w:rPr>
          <w:rFonts w:eastAsia="Calibri"/>
          <w:b/>
        </w:rPr>
      </w:r>
      <w:r w:rsidRPr="008608AA">
        <w:rPr>
          <w:rFonts w:eastAsia="Calibri"/>
          <w:b/>
        </w:rPr>
        <w:fldChar w:fldCharType="separate"/>
      </w:r>
      <w:r w:rsidR="00402074" w:rsidRPr="00402074">
        <w:rPr>
          <w:rFonts w:eastAsia="Calibri"/>
          <w:bCs/>
        </w:rPr>
        <w:t>¡Error! No se encuentra el origen de la referencia.</w:t>
      </w:r>
      <w:r w:rsidRPr="008608AA">
        <w:rPr>
          <w:rFonts w:eastAsia="Calibri"/>
          <w:b/>
        </w:rPr>
        <w:fldChar w:fldCharType="end"/>
      </w:r>
      <w:r w:rsidRPr="008608AA">
        <w:rPr>
          <w:rFonts w:eastAsia="Calibri"/>
        </w:rPr>
        <w:t>).</w:t>
      </w:r>
      <w:bookmarkStart w:id="1365" w:name="_Hlk494357390"/>
    </w:p>
    <w:p w14:paraId="4E8A9D64" w14:textId="59D03CD4" w:rsidR="00C56F52" w:rsidRDefault="001E61A6" w:rsidP="00274C8E">
      <w:pPr>
        <w:spacing w:before="120"/>
      </w:pPr>
      <w:r w:rsidRPr="008608AA">
        <w:t>The list of the top five countries with the highest ecological footprint includes two countries from the Americas, the USA (accounting for 13.7% of world total ecological fo</w:t>
      </w:r>
      <w:r w:rsidR="00813E65" w:rsidRPr="008608AA">
        <w:t>otprint) and Brazil (with 3.7%)</w:t>
      </w:r>
      <w:r w:rsidRPr="008608AA">
        <w:t xml:space="preserve"> </w:t>
      </w:r>
      <w:r w:rsidRPr="008608AA">
        <w:fldChar w:fldCharType="begin" w:fldLock="1"/>
      </w:r>
      <w:r w:rsidRPr="008608AA">
        <w:instrText>ADDIN CSL_CITATION { "citationItems" : [ { "id" : "ITEM-1", "itemData" : { "DOI" : "10.1007/s13398-014-0173-7.2", "ISBN" : "9780874216561", "ISSN" : "0717-6163", "PMID" : "15003161", "abstract" : "The objective of this case study was to obtain some first-hand information about the functional consequences of a cosmetic tongue split operation for speech and tongue motility. One male patient who had performed the operation on himself was interviewed and underwent a tongue motility assessment, as well as an ultrasound examination. Tongue motility was mildly reduced as a result of tissue scarring. Speech was rated to be fully intelligible and highly acceptable by 4 raters, although 2 raters noticed slight distortions of the sibilants /s/ and /z/. The 3-dimensional ultrasound demonstrated that the synergy of the 2 sides of the tongue was preserved. A notably deep posterior genioglossus furrow indicated compensation for the reduced length of the tongue blade. It is concluded that the tongue split procedure did not significantly affect the participant's speech intelligibility and tongue motility.", "author" : [ { "dropping-particle" : "", "family" : "WWF", "given" : "", "non-dropping-particle" : "", "parse-names" : false, "suffix" : "" } ], "container-title" : "research accunting", "id" : "ITEM-1", "issue" : "1", "issued" : { "date-parts" : [ [ "2014" ] ] }, "page" : "180", "title" : "Living Planet Report 2014: Species and spaces, people and places", "type" : "article-journal", "volume" : "1" }, "uris" : [ "http://www.mendeley.com/documents/?uuid=862ebb4d-a964-4444-bba1-0bf810773fd1" ] } ], "mendeley" : { "formattedCitation" : "(WWF 2014)", "plainTextFormattedCitation" : "(WWF 2014)", "previouslyFormattedCitation" : "(WWF 2014)" }, "properties" : { "noteIndex" : 0 }, "schema" : "https://github.com/citation-style-language/schema/raw/master/csl-citation.json" }</w:instrText>
      </w:r>
      <w:r w:rsidRPr="008608AA">
        <w:fldChar w:fldCharType="separate"/>
      </w:r>
      <w:r w:rsidRPr="008608AA">
        <w:t>(WWF</w:t>
      </w:r>
      <w:r w:rsidR="00EF7F26" w:rsidRPr="008608AA">
        <w:t>,</w:t>
      </w:r>
      <w:r w:rsidRPr="008608AA">
        <w:t xml:space="preserve"> 2014)</w:t>
      </w:r>
      <w:r w:rsidRPr="008608AA">
        <w:fldChar w:fldCharType="end"/>
      </w:r>
      <w:r w:rsidR="00077BB8" w:rsidRPr="008608AA">
        <w:t>.</w:t>
      </w:r>
    </w:p>
    <w:p w14:paraId="24BA7965" w14:textId="2FA4BC1B" w:rsidR="00A26FD5" w:rsidRDefault="00A26FD5" w:rsidP="00274C8E">
      <w:pPr>
        <w:spacing w:before="120"/>
      </w:pPr>
    </w:p>
    <w:p w14:paraId="5DD114CC" w14:textId="77777777" w:rsidR="006D1B0B" w:rsidRDefault="006D1B0B" w:rsidP="00274C8E">
      <w:pPr>
        <w:spacing w:before="120"/>
      </w:pPr>
    </w:p>
    <w:p w14:paraId="57721BB9" w14:textId="5B93A5A7" w:rsidR="00A26FD5" w:rsidRDefault="00A26FD5" w:rsidP="00274C8E">
      <w:pPr>
        <w:spacing w:before="120"/>
      </w:pPr>
    </w:p>
    <w:p w14:paraId="4A46DE8B" w14:textId="77777777" w:rsidR="00086223" w:rsidRPr="008608AA" w:rsidRDefault="00086223" w:rsidP="00274C8E">
      <w:pPr>
        <w:spacing w:before="120"/>
      </w:pPr>
    </w:p>
    <w:p w14:paraId="36C4EE9A" w14:textId="46C7FE19" w:rsidR="001E61A6" w:rsidRPr="008608AA" w:rsidRDefault="00274C8E" w:rsidP="00274C8E">
      <w:pPr>
        <w:pStyle w:val="Caption"/>
        <w:rPr>
          <w:szCs w:val="20"/>
        </w:rPr>
      </w:pPr>
      <w:bookmarkStart w:id="1366" w:name="_Toc494482718"/>
      <w:bookmarkStart w:id="1367" w:name="_Toc499459687"/>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4</w:t>
      </w:r>
      <w:r w:rsidR="000E562E">
        <w:rPr>
          <w:noProof/>
        </w:rPr>
        <w:fldChar w:fldCharType="end"/>
      </w:r>
      <w:r w:rsidRPr="008608AA">
        <w:t xml:space="preserve">. </w:t>
      </w:r>
      <w:r w:rsidR="001E61A6" w:rsidRPr="008608AA">
        <w:rPr>
          <w:szCs w:val="20"/>
        </w:rPr>
        <w:t>Composition of the ecological footprint the regions of the Americas (%).</w:t>
      </w:r>
      <w:bookmarkEnd w:id="1366"/>
      <w:bookmarkEnd w:id="1367"/>
      <w:r w:rsidR="001E61A6" w:rsidRPr="008608AA">
        <w:rPr>
          <w:szCs w:val="20"/>
        </w:rPr>
        <w:t xml:space="preserve"> </w:t>
      </w:r>
    </w:p>
    <w:tbl>
      <w:tblPr>
        <w:tblStyle w:val="TableGrid"/>
        <w:tblW w:w="5000" w:type="pct"/>
        <w:tblLook w:val="04A0" w:firstRow="1" w:lastRow="0" w:firstColumn="1" w:lastColumn="0" w:noHBand="0" w:noVBand="1"/>
      </w:tblPr>
      <w:tblGrid>
        <w:gridCol w:w="1509"/>
        <w:gridCol w:w="1074"/>
        <w:gridCol w:w="907"/>
        <w:gridCol w:w="1023"/>
        <w:gridCol w:w="1151"/>
        <w:gridCol w:w="1028"/>
        <w:gridCol w:w="1005"/>
        <w:gridCol w:w="1790"/>
      </w:tblGrid>
      <w:tr w:rsidR="001E61A6" w:rsidRPr="00A26FD5" w14:paraId="392AD6E7" w14:textId="77777777" w:rsidTr="00274C8E">
        <w:trPr>
          <w:trHeight w:val="284"/>
        </w:trPr>
        <w:tc>
          <w:tcPr>
            <w:tcW w:w="803" w:type="pct"/>
            <w:shd w:val="clear" w:color="auto" w:fill="BFBFBF" w:themeFill="background1" w:themeFillShade="BF"/>
            <w:vAlign w:val="center"/>
          </w:tcPr>
          <w:bookmarkEnd w:id="1365"/>
          <w:p w14:paraId="3C026BA7" w14:textId="77777777" w:rsidR="001E61A6" w:rsidRPr="00A26FD5" w:rsidRDefault="001E61A6" w:rsidP="00274C8E">
            <w:pPr>
              <w:jc w:val="center"/>
              <w:rPr>
                <w:rFonts w:eastAsia="Calibri"/>
                <w:b/>
                <w:szCs w:val="22"/>
              </w:rPr>
            </w:pPr>
            <w:r w:rsidRPr="00A26FD5">
              <w:rPr>
                <w:rFonts w:eastAsia="Calibri"/>
                <w:b/>
                <w:szCs w:val="22"/>
              </w:rPr>
              <w:t>Regions</w:t>
            </w:r>
          </w:p>
        </w:tc>
        <w:tc>
          <w:tcPr>
            <w:tcW w:w="574" w:type="pct"/>
            <w:shd w:val="clear" w:color="auto" w:fill="BFBFBF" w:themeFill="background1" w:themeFillShade="BF"/>
            <w:vAlign w:val="center"/>
          </w:tcPr>
          <w:p w14:paraId="43E8BA1D" w14:textId="77777777" w:rsidR="001E61A6" w:rsidRPr="00A26FD5" w:rsidRDefault="001E61A6" w:rsidP="00274C8E">
            <w:pPr>
              <w:jc w:val="center"/>
              <w:rPr>
                <w:rFonts w:eastAsia="Calibri"/>
                <w:b/>
                <w:szCs w:val="22"/>
              </w:rPr>
            </w:pPr>
            <w:r w:rsidRPr="00A26FD5">
              <w:rPr>
                <w:rFonts w:eastAsia="Calibri"/>
                <w:b/>
                <w:szCs w:val="22"/>
              </w:rPr>
              <w:t>Cropland</w:t>
            </w:r>
          </w:p>
        </w:tc>
        <w:tc>
          <w:tcPr>
            <w:tcW w:w="466" w:type="pct"/>
            <w:shd w:val="clear" w:color="auto" w:fill="BFBFBF" w:themeFill="background1" w:themeFillShade="BF"/>
            <w:vAlign w:val="center"/>
          </w:tcPr>
          <w:p w14:paraId="5238B936" w14:textId="77777777" w:rsidR="001E61A6" w:rsidRPr="00A26FD5" w:rsidRDefault="001E61A6" w:rsidP="00274C8E">
            <w:pPr>
              <w:jc w:val="center"/>
              <w:rPr>
                <w:rFonts w:eastAsia="Calibri"/>
                <w:b/>
                <w:szCs w:val="22"/>
              </w:rPr>
            </w:pPr>
            <w:r w:rsidRPr="00A26FD5">
              <w:rPr>
                <w:rFonts w:eastAsia="Calibri"/>
                <w:b/>
                <w:szCs w:val="22"/>
              </w:rPr>
              <w:t>Grazing land</w:t>
            </w:r>
          </w:p>
        </w:tc>
        <w:tc>
          <w:tcPr>
            <w:tcW w:w="518" w:type="pct"/>
            <w:shd w:val="clear" w:color="auto" w:fill="BFBFBF" w:themeFill="background1" w:themeFillShade="BF"/>
            <w:vAlign w:val="center"/>
          </w:tcPr>
          <w:p w14:paraId="65261BD0" w14:textId="77777777" w:rsidR="001E61A6" w:rsidRPr="00A26FD5" w:rsidRDefault="001E61A6" w:rsidP="00274C8E">
            <w:pPr>
              <w:jc w:val="center"/>
              <w:rPr>
                <w:rFonts w:eastAsia="Calibri"/>
                <w:b/>
                <w:szCs w:val="22"/>
              </w:rPr>
            </w:pPr>
            <w:r w:rsidRPr="00A26FD5">
              <w:rPr>
                <w:rFonts w:eastAsia="Calibri"/>
                <w:b/>
                <w:szCs w:val="22"/>
              </w:rPr>
              <w:t>Forest products</w:t>
            </w:r>
          </w:p>
        </w:tc>
        <w:tc>
          <w:tcPr>
            <w:tcW w:w="614" w:type="pct"/>
            <w:shd w:val="clear" w:color="auto" w:fill="BFBFBF" w:themeFill="background1" w:themeFillShade="BF"/>
            <w:vAlign w:val="center"/>
          </w:tcPr>
          <w:p w14:paraId="0205FA8B" w14:textId="77777777" w:rsidR="001E61A6" w:rsidRPr="00A26FD5" w:rsidRDefault="001E61A6" w:rsidP="00274C8E">
            <w:pPr>
              <w:jc w:val="center"/>
              <w:rPr>
                <w:rFonts w:eastAsia="Calibri"/>
                <w:b/>
                <w:szCs w:val="22"/>
              </w:rPr>
            </w:pPr>
            <w:r w:rsidRPr="00A26FD5">
              <w:rPr>
                <w:rFonts w:eastAsia="Calibri"/>
                <w:b/>
                <w:szCs w:val="22"/>
              </w:rPr>
              <w:t>Fishing Grounds</w:t>
            </w:r>
          </w:p>
        </w:tc>
        <w:tc>
          <w:tcPr>
            <w:tcW w:w="537" w:type="pct"/>
            <w:shd w:val="clear" w:color="auto" w:fill="BFBFBF" w:themeFill="background1" w:themeFillShade="BF"/>
            <w:vAlign w:val="center"/>
          </w:tcPr>
          <w:p w14:paraId="3A696343" w14:textId="77777777" w:rsidR="001E61A6" w:rsidRPr="00A26FD5" w:rsidRDefault="001E61A6" w:rsidP="00274C8E">
            <w:pPr>
              <w:jc w:val="center"/>
              <w:rPr>
                <w:rFonts w:eastAsia="Calibri"/>
                <w:b/>
                <w:szCs w:val="22"/>
              </w:rPr>
            </w:pPr>
            <w:r w:rsidRPr="00A26FD5">
              <w:rPr>
                <w:rFonts w:eastAsia="Calibri"/>
                <w:b/>
                <w:szCs w:val="22"/>
              </w:rPr>
              <w:t>Building-up land</w:t>
            </w:r>
          </w:p>
        </w:tc>
        <w:tc>
          <w:tcPr>
            <w:tcW w:w="537" w:type="pct"/>
            <w:shd w:val="clear" w:color="auto" w:fill="BFBFBF" w:themeFill="background1" w:themeFillShade="BF"/>
            <w:vAlign w:val="center"/>
          </w:tcPr>
          <w:p w14:paraId="7811E717" w14:textId="77777777" w:rsidR="001E61A6" w:rsidRPr="00A26FD5" w:rsidRDefault="001E61A6" w:rsidP="00274C8E">
            <w:pPr>
              <w:jc w:val="center"/>
              <w:rPr>
                <w:rFonts w:eastAsia="Calibri"/>
                <w:b/>
                <w:szCs w:val="22"/>
              </w:rPr>
            </w:pPr>
            <w:r w:rsidRPr="00A26FD5">
              <w:rPr>
                <w:rFonts w:eastAsia="Calibri"/>
                <w:b/>
                <w:szCs w:val="22"/>
              </w:rPr>
              <w:t>Carbon</w:t>
            </w:r>
          </w:p>
        </w:tc>
        <w:tc>
          <w:tcPr>
            <w:tcW w:w="951" w:type="pct"/>
            <w:shd w:val="clear" w:color="auto" w:fill="BFBFBF" w:themeFill="background1" w:themeFillShade="BF"/>
            <w:vAlign w:val="center"/>
          </w:tcPr>
          <w:p w14:paraId="61DB67D2" w14:textId="77777777" w:rsidR="001E61A6" w:rsidRPr="00A26FD5" w:rsidRDefault="001E61A6" w:rsidP="00274C8E">
            <w:pPr>
              <w:jc w:val="center"/>
              <w:rPr>
                <w:rFonts w:eastAsia="Calibri"/>
                <w:b/>
                <w:szCs w:val="22"/>
              </w:rPr>
            </w:pPr>
            <w:r w:rsidRPr="00A26FD5">
              <w:rPr>
                <w:rFonts w:eastAsia="Calibri"/>
                <w:b/>
                <w:szCs w:val="22"/>
              </w:rPr>
              <w:t>Total ecological footprint</w:t>
            </w:r>
          </w:p>
        </w:tc>
      </w:tr>
      <w:tr w:rsidR="001E61A6" w:rsidRPr="00A26FD5" w14:paraId="79CE0967" w14:textId="77777777" w:rsidTr="00165D1C">
        <w:trPr>
          <w:trHeight w:val="284"/>
        </w:trPr>
        <w:tc>
          <w:tcPr>
            <w:tcW w:w="803" w:type="pct"/>
          </w:tcPr>
          <w:p w14:paraId="3B83402C" w14:textId="77777777" w:rsidR="001E61A6" w:rsidRPr="00A26FD5" w:rsidRDefault="001E61A6" w:rsidP="00C56F52">
            <w:pPr>
              <w:rPr>
                <w:rFonts w:eastAsia="Calibri"/>
                <w:szCs w:val="22"/>
              </w:rPr>
            </w:pPr>
            <w:r w:rsidRPr="00A26FD5">
              <w:rPr>
                <w:rFonts w:eastAsia="Calibri"/>
                <w:szCs w:val="22"/>
              </w:rPr>
              <w:t>North America</w:t>
            </w:r>
          </w:p>
        </w:tc>
        <w:tc>
          <w:tcPr>
            <w:tcW w:w="574" w:type="pct"/>
          </w:tcPr>
          <w:p w14:paraId="3541B32C" w14:textId="77777777" w:rsidR="001E61A6" w:rsidRPr="00A26FD5" w:rsidRDefault="001E61A6" w:rsidP="00C56F52">
            <w:pPr>
              <w:jc w:val="center"/>
              <w:rPr>
                <w:rFonts w:eastAsia="Calibri"/>
                <w:bCs/>
                <w:szCs w:val="22"/>
              </w:rPr>
            </w:pPr>
            <w:r w:rsidRPr="00A26FD5">
              <w:rPr>
                <w:rFonts w:eastAsia="Calibri"/>
                <w:szCs w:val="22"/>
              </w:rPr>
              <w:t>16</w:t>
            </w:r>
          </w:p>
        </w:tc>
        <w:tc>
          <w:tcPr>
            <w:tcW w:w="466" w:type="pct"/>
          </w:tcPr>
          <w:p w14:paraId="34837AFF" w14:textId="77777777" w:rsidR="001E61A6" w:rsidRPr="00A26FD5" w:rsidRDefault="001E61A6" w:rsidP="00C56F52">
            <w:pPr>
              <w:jc w:val="center"/>
              <w:rPr>
                <w:rFonts w:eastAsia="Calibri"/>
                <w:bCs/>
                <w:szCs w:val="22"/>
              </w:rPr>
            </w:pPr>
            <w:r w:rsidRPr="00A26FD5">
              <w:rPr>
                <w:rFonts w:eastAsia="Calibri"/>
                <w:szCs w:val="22"/>
              </w:rPr>
              <w:t>5</w:t>
            </w:r>
          </w:p>
        </w:tc>
        <w:tc>
          <w:tcPr>
            <w:tcW w:w="518" w:type="pct"/>
          </w:tcPr>
          <w:p w14:paraId="33126493" w14:textId="77777777" w:rsidR="001E61A6" w:rsidRPr="00A26FD5" w:rsidRDefault="001E61A6" w:rsidP="00C56F52">
            <w:pPr>
              <w:jc w:val="center"/>
              <w:rPr>
                <w:rFonts w:eastAsia="Calibri"/>
                <w:bCs/>
                <w:szCs w:val="22"/>
              </w:rPr>
            </w:pPr>
            <w:r w:rsidRPr="00A26FD5">
              <w:rPr>
                <w:rFonts w:eastAsia="Calibri"/>
                <w:szCs w:val="22"/>
              </w:rPr>
              <w:t>11</w:t>
            </w:r>
          </w:p>
        </w:tc>
        <w:tc>
          <w:tcPr>
            <w:tcW w:w="614" w:type="pct"/>
          </w:tcPr>
          <w:p w14:paraId="63A9305F" w14:textId="77777777" w:rsidR="001E61A6" w:rsidRPr="00A26FD5" w:rsidRDefault="001E61A6" w:rsidP="00C56F52">
            <w:pPr>
              <w:jc w:val="center"/>
              <w:rPr>
                <w:rFonts w:eastAsia="Calibri"/>
                <w:bCs/>
                <w:szCs w:val="22"/>
              </w:rPr>
            </w:pPr>
            <w:r w:rsidRPr="00A26FD5">
              <w:rPr>
                <w:rFonts w:eastAsia="Calibri"/>
                <w:szCs w:val="22"/>
              </w:rPr>
              <w:t>2</w:t>
            </w:r>
          </w:p>
        </w:tc>
        <w:tc>
          <w:tcPr>
            <w:tcW w:w="537" w:type="pct"/>
          </w:tcPr>
          <w:p w14:paraId="6CB18599" w14:textId="77777777" w:rsidR="001E61A6" w:rsidRPr="00A26FD5" w:rsidRDefault="001E61A6" w:rsidP="00C56F52">
            <w:pPr>
              <w:jc w:val="center"/>
              <w:rPr>
                <w:rFonts w:eastAsia="Calibri"/>
                <w:bCs/>
                <w:szCs w:val="22"/>
              </w:rPr>
            </w:pPr>
            <w:r w:rsidRPr="00A26FD5">
              <w:rPr>
                <w:rFonts w:eastAsia="Calibri"/>
                <w:szCs w:val="22"/>
              </w:rPr>
              <w:t>1</w:t>
            </w:r>
          </w:p>
        </w:tc>
        <w:tc>
          <w:tcPr>
            <w:tcW w:w="537" w:type="pct"/>
          </w:tcPr>
          <w:p w14:paraId="715F3DA8" w14:textId="77777777" w:rsidR="001E61A6" w:rsidRPr="00A26FD5" w:rsidRDefault="001E61A6" w:rsidP="00C56F52">
            <w:pPr>
              <w:jc w:val="center"/>
              <w:rPr>
                <w:rFonts w:eastAsia="Calibri"/>
                <w:bCs/>
                <w:szCs w:val="22"/>
              </w:rPr>
            </w:pPr>
            <w:r w:rsidRPr="00A26FD5">
              <w:rPr>
                <w:rFonts w:eastAsia="Calibri"/>
                <w:szCs w:val="22"/>
              </w:rPr>
              <w:t>65</w:t>
            </w:r>
          </w:p>
        </w:tc>
        <w:tc>
          <w:tcPr>
            <w:tcW w:w="951" w:type="pct"/>
          </w:tcPr>
          <w:p w14:paraId="6DCD58A1" w14:textId="77777777" w:rsidR="001E61A6" w:rsidRPr="00A26FD5" w:rsidRDefault="001E61A6" w:rsidP="00C56F52">
            <w:pPr>
              <w:jc w:val="center"/>
              <w:rPr>
                <w:rFonts w:eastAsia="Calibri"/>
                <w:bCs/>
                <w:szCs w:val="22"/>
              </w:rPr>
            </w:pPr>
            <w:r w:rsidRPr="00A26FD5">
              <w:rPr>
                <w:rFonts w:eastAsia="Calibri"/>
                <w:szCs w:val="22"/>
              </w:rPr>
              <w:t>100</w:t>
            </w:r>
          </w:p>
        </w:tc>
      </w:tr>
      <w:tr w:rsidR="001E61A6" w:rsidRPr="00A26FD5" w14:paraId="4F1EDCFE" w14:textId="77777777" w:rsidTr="00165D1C">
        <w:trPr>
          <w:trHeight w:val="284"/>
        </w:trPr>
        <w:tc>
          <w:tcPr>
            <w:tcW w:w="803" w:type="pct"/>
          </w:tcPr>
          <w:p w14:paraId="704BAA6D" w14:textId="77777777" w:rsidR="001E61A6" w:rsidRPr="00A26FD5" w:rsidRDefault="001E61A6" w:rsidP="00C56F52">
            <w:pPr>
              <w:rPr>
                <w:rFonts w:eastAsia="Calibri"/>
                <w:szCs w:val="22"/>
              </w:rPr>
            </w:pPr>
            <w:r w:rsidRPr="00A26FD5">
              <w:rPr>
                <w:rFonts w:eastAsia="Calibri"/>
                <w:szCs w:val="22"/>
              </w:rPr>
              <w:t>Mesoamerica (1)</w:t>
            </w:r>
          </w:p>
        </w:tc>
        <w:tc>
          <w:tcPr>
            <w:tcW w:w="574" w:type="pct"/>
          </w:tcPr>
          <w:p w14:paraId="21D61B19" w14:textId="77777777" w:rsidR="001E61A6" w:rsidRPr="00A26FD5" w:rsidRDefault="001E61A6" w:rsidP="00C56F52">
            <w:pPr>
              <w:jc w:val="center"/>
              <w:rPr>
                <w:rFonts w:eastAsia="Calibri"/>
                <w:bCs/>
                <w:szCs w:val="22"/>
              </w:rPr>
            </w:pPr>
            <w:r w:rsidRPr="00A26FD5">
              <w:rPr>
                <w:rFonts w:eastAsia="Calibri"/>
                <w:szCs w:val="22"/>
              </w:rPr>
              <w:t>22</w:t>
            </w:r>
          </w:p>
        </w:tc>
        <w:tc>
          <w:tcPr>
            <w:tcW w:w="466" w:type="pct"/>
          </w:tcPr>
          <w:p w14:paraId="2DDA5F88" w14:textId="77777777" w:rsidR="001E61A6" w:rsidRPr="00A26FD5" w:rsidRDefault="001E61A6" w:rsidP="00C56F52">
            <w:pPr>
              <w:jc w:val="center"/>
              <w:rPr>
                <w:rFonts w:eastAsia="Calibri"/>
                <w:bCs/>
                <w:szCs w:val="22"/>
              </w:rPr>
            </w:pPr>
            <w:r w:rsidRPr="00A26FD5">
              <w:rPr>
                <w:rFonts w:eastAsia="Calibri"/>
                <w:szCs w:val="22"/>
              </w:rPr>
              <w:t>12</w:t>
            </w:r>
          </w:p>
        </w:tc>
        <w:tc>
          <w:tcPr>
            <w:tcW w:w="518" w:type="pct"/>
          </w:tcPr>
          <w:p w14:paraId="2D8FA8E4" w14:textId="77777777" w:rsidR="001E61A6" w:rsidRPr="00A26FD5" w:rsidRDefault="001E61A6" w:rsidP="00C56F52">
            <w:pPr>
              <w:jc w:val="center"/>
              <w:rPr>
                <w:rFonts w:eastAsia="Calibri"/>
                <w:bCs/>
                <w:szCs w:val="22"/>
              </w:rPr>
            </w:pPr>
            <w:r w:rsidRPr="00A26FD5">
              <w:rPr>
                <w:rFonts w:eastAsia="Calibri"/>
                <w:szCs w:val="22"/>
              </w:rPr>
              <w:t>12</w:t>
            </w:r>
          </w:p>
        </w:tc>
        <w:tc>
          <w:tcPr>
            <w:tcW w:w="614" w:type="pct"/>
          </w:tcPr>
          <w:p w14:paraId="7B4F0D6A" w14:textId="77777777" w:rsidR="001E61A6" w:rsidRPr="00A26FD5" w:rsidRDefault="001E61A6" w:rsidP="00C56F52">
            <w:pPr>
              <w:jc w:val="center"/>
              <w:rPr>
                <w:rFonts w:eastAsia="Calibri"/>
                <w:bCs/>
                <w:szCs w:val="22"/>
              </w:rPr>
            </w:pPr>
            <w:r w:rsidRPr="00A26FD5">
              <w:rPr>
                <w:rFonts w:eastAsia="Calibri"/>
                <w:szCs w:val="22"/>
              </w:rPr>
              <w:t>2</w:t>
            </w:r>
          </w:p>
        </w:tc>
        <w:tc>
          <w:tcPr>
            <w:tcW w:w="537" w:type="pct"/>
          </w:tcPr>
          <w:p w14:paraId="22C28C80" w14:textId="77777777" w:rsidR="001E61A6" w:rsidRPr="00A26FD5" w:rsidRDefault="001E61A6" w:rsidP="00C56F52">
            <w:pPr>
              <w:jc w:val="center"/>
              <w:rPr>
                <w:rFonts w:eastAsia="Calibri"/>
                <w:bCs/>
                <w:szCs w:val="22"/>
              </w:rPr>
            </w:pPr>
            <w:r w:rsidRPr="00A26FD5">
              <w:rPr>
                <w:rFonts w:eastAsia="Calibri"/>
                <w:szCs w:val="22"/>
              </w:rPr>
              <w:t>2</w:t>
            </w:r>
          </w:p>
        </w:tc>
        <w:tc>
          <w:tcPr>
            <w:tcW w:w="537" w:type="pct"/>
          </w:tcPr>
          <w:p w14:paraId="1C94E10B" w14:textId="77777777" w:rsidR="001E61A6" w:rsidRPr="00A26FD5" w:rsidRDefault="001E61A6" w:rsidP="00C56F52">
            <w:pPr>
              <w:jc w:val="center"/>
              <w:rPr>
                <w:rFonts w:eastAsia="Calibri"/>
                <w:bCs/>
                <w:szCs w:val="22"/>
              </w:rPr>
            </w:pPr>
            <w:r w:rsidRPr="00A26FD5">
              <w:rPr>
                <w:rFonts w:eastAsia="Calibri"/>
                <w:szCs w:val="22"/>
              </w:rPr>
              <w:t>50</w:t>
            </w:r>
          </w:p>
        </w:tc>
        <w:tc>
          <w:tcPr>
            <w:tcW w:w="951" w:type="pct"/>
          </w:tcPr>
          <w:p w14:paraId="168A34F8" w14:textId="77777777" w:rsidR="001E61A6" w:rsidRPr="00A26FD5" w:rsidRDefault="001E61A6" w:rsidP="00C56F52">
            <w:pPr>
              <w:jc w:val="center"/>
              <w:rPr>
                <w:rFonts w:eastAsia="Calibri"/>
                <w:bCs/>
                <w:szCs w:val="22"/>
              </w:rPr>
            </w:pPr>
            <w:r w:rsidRPr="00A26FD5">
              <w:rPr>
                <w:rFonts w:eastAsia="Calibri"/>
                <w:szCs w:val="22"/>
              </w:rPr>
              <w:t>100</w:t>
            </w:r>
          </w:p>
        </w:tc>
      </w:tr>
      <w:tr w:rsidR="001E61A6" w:rsidRPr="00A26FD5" w14:paraId="532A9F1E" w14:textId="77777777" w:rsidTr="00165D1C">
        <w:trPr>
          <w:trHeight w:val="284"/>
        </w:trPr>
        <w:tc>
          <w:tcPr>
            <w:tcW w:w="803" w:type="pct"/>
          </w:tcPr>
          <w:p w14:paraId="6E10E060" w14:textId="77777777" w:rsidR="001E61A6" w:rsidRPr="00A26FD5" w:rsidRDefault="001E61A6" w:rsidP="00C56F52">
            <w:pPr>
              <w:rPr>
                <w:rFonts w:eastAsia="Calibri"/>
                <w:szCs w:val="22"/>
              </w:rPr>
            </w:pPr>
            <w:r w:rsidRPr="00A26FD5">
              <w:rPr>
                <w:rFonts w:eastAsia="Calibri"/>
                <w:szCs w:val="22"/>
              </w:rPr>
              <w:t>Caribbean (2)</w:t>
            </w:r>
          </w:p>
        </w:tc>
        <w:tc>
          <w:tcPr>
            <w:tcW w:w="574" w:type="pct"/>
          </w:tcPr>
          <w:p w14:paraId="187CB67E" w14:textId="77777777" w:rsidR="001E61A6" w:rsidRPr="00A26FD5" w:rsidRDefault="001E61A6" w:rsidP="00C56F52">
            <w:pPr>
              <w:jc w:val="center"/>
              <w:rPr>
                <w:rFonts w:eastAsia="Calibri"/>
                <w:bCs/>
                <w:szCs w:val="22"/>
              </w:rPr>
            </w:pPr>
            <w:r w:rsidRPr="00A26FD5">
              <w:rPr>
                <w:rFonts w:eastAsia="Calibri"/>
                <w:szCs w:val="22"/>
              </w:rPr>
              <w:t>25</w:t>
            </w:r>
          </w:p>
        </w:tc>
        <w:tc>
          <w:tcPr>
            <w:tcW w:w="466" w:type="pct"/>
          </w:tcPr>
          <w:p w14:paraId="0371BDBE" w14:textId="77777777" w:rsidR="001E61A6" w:rsidRPr="00A26FD5" w:rsidRDefault="001E61A6" w:rsidP="00C56F52">
            <w:pPr>
              <w:jc w:val="center"/>
              <w:rPr>
                <w:rFonts w:eastAsia="Calibri"/>
                <w:bCs/>
                <w:szCs w:val="22"/>
              </w:rPr>
            </w:pPr>
            <w:r w:rsidRPr="00A26FD5">
              <w:rPr>
                <w:rFonts w:eastAsia="Calibri"/>
                <w:szCs w:val="22"/>
              </w:rPr>
              <w:t>10</w:t>
            </w:r>
          </w:p>
        </w:tc>
        <w:tc>
          <w:tcPr>
            <w:tcW w:w="518" w:type="pct"/>
          </w:tcPr>
          <w:p w14:paraId="3D88DDD1" w14:textId="77777777" w:rsidR="001E61A6" w:rsidRPr="00A26FD5" w:rsidRDefault="001E61A6" w:rsidP="00C56F52">
            <w:pPr>
              <w:jc w:val="center"/>
              <w:rPr>
                <w:rFonts w:eastAsia="Calibri"/>
                <w:bCs/>
                <w:szCs w:val="22"/>
              </w:rPr>
            </w:pPr>
            <w:r w:rsidRPr="00A26FD5">
              <w:rPr>
                <w:rFonts w:eastAsia="Calibri"/>
                <w:szCs w:val="22"/>
              </w:rPr>
              <w:t>7</w:t>
            </w:r>
          </w:p>
        </w:tc>
        <w:tc>
          <w:tcPr>
            <w:tcW w:w="614" w:type="pct"/>
          </w:tcPr>
          <w:p w14:paraId="46B272D1" w14:textId="77777777" w:rsidR="001E61A6" w:rsidRPr="00A26FD5" w:rsidRDefault="001E61A6" w:rsidP="00C56F52">
            <w:pPr>
              <w:jc w:val="center"/>
              <w:rPr>
                <w:rFonts w:eastAsia="Calibri"/>
                <w:bCs/>
                <w:szCs w:val="22"/>
              </w:rPr>
            </w:pPr>
            <w:r w:rsidRPr="00A26FD5">
              <w:rPr>
                <w:rFonts w:eastAsia="Calibri"/>
                <w:szCs w:val="22"/>
              </w:rPr>
              <w:t>4</w:t>
            </w:r>
          </w:p>
        </w:tc>
        <w:tc>
          <w:tcPr>
            <w:tcW w:w="537" w:type="pct"/>
          </w:tcPr>
          <w:p w14:paraId="46EB983D" w14:textId="77777777" w:rsidR="001E61A6" w:rsidRPr="00A26FD5" w:rsidRDefault="001E61A6" w:rsidP="00C56F52">
            <w:pPr>
              <w:jc w:val="center"/>
              <w:rPr>
                <w:rFonts w:eastAsia="Calibri"/>
                <w:bCs/>
                <w:szCs w:val="22"/>
              </w:rPr>
            </w:pPr>
            <w:r w:rsidRPr="00A26FD5">
              <w:rPr>
                <w:rFonts w:eastAsia="Calibri"/>
                <w:szCs w:val="22"/>
              </w:rPr>
              <w:t>2</w:t>
            </w:r>
          </w:p>
        </w:tc>
        <w:tc>
          <w:tcPr>
            <w:tcW w:w="537" w:type="pct"/>
          </w:tcPr>
          <w:p w14:paraId="573C2D9B" w14:textId="77777777" w:rsidR="001E61A6" w:rsidRPr="00A26FD5" w:rsidRDefault="001E61A6" w:rsidP="00C56F52">
            <w:pPr>
              <w:jc w:val="center"/>
              <w:rPr>
                <w:rFonts w:eastAsia="Calibri"/>
                <w:bCs/>
                <w:szCs w:val="22"/>
              </w:rPr>
            </w:pPr>
            <w:r w:rsidRPr="00A26FD5">
              <w:rPr>
                <w:rFonts w:eastAsia="Calibri"/>
                <w:szCs w:val="22"/>
              </w:rPr>
              <w:t>52</w:t>
            </w:r>
          </w:p>
        </w:tc>
        <w:tc>
          <w:tcPr>
            <w:tcW w:w="951" w:type="pct"/>
          </w:tcPr>
          <w:p w14:paraId="3AAE7E28" w14:textId="77777777" w:rsidR="001E61A6" w:rsidRPr="00A26FD5" w:rsidRDefault="001E61A6" w:rsidP="00C56F52">
            <w:pPr>
              <w:jc w:val="center"/>
              <w:rPr>
                <w:rFonts w:eastAsia="Calibri"/>
                <w:bCs/>
                <w:szCs w:val="22"/>
              </w:rPr>
            </w:pPr>
            <w:r w:rsidRPr="00A26FD5">
              <w:rPr>
                <w:rFonts w:eastAsia="Calibri"/>
                <w:szCs w:val="22"/>
              </w:rPr>
              <w:t>100</w:t>
            </w:r>
          </w:p>
        </w:tc>
      </w:tr>
      <w:tr w:rsidR="001E61A6" w:rsidRPr="00A26FD5" w14:paraId="4BAD93A1" w14:textId="77777777" w:rsidTr="00165D1C">
        <w:trPr>
          <w:trHeight w:val="284"/>
        </w:trPr>
        <w:tc>
          <w:tcPr>
            <w:tcW w:w="803" w:type="pct"/>
          </w:tcPr>
          <w:p w14:paraId="252732E4" w14:textId="77777777" w:rsidR="001E61A6" w:rsidRPr="00A26FD5" w:rsidRDefault="001E61A6" w:rsidP="00C56F52">
            <w:pPr>
              <w:rPr>
                <w:rFonts w:eastAsia="Calibri"/>
                <w:szCs w:val="22"/>
              </w:rPr>
            </w:pPr>
            <w:r w:rsidRPr="00A26FD5">
              <w:rPr>
                <w:rFonts w:eastAsia="Calibri"/>
                <w:szCs w:val="22"/>
              </w:rPr>
              <w:t>South America (3)</w:t>
            </w:r>
          </w:p>
        </w:tc>
        <w:tc>
          <w:tcPr>
            <w:tcW w:w="574" w:type="pct"/>
          </w:tcPr>
          <w:p w14:paraId="6BD82B5E" w14:textId="77777777" w:rsidR="001E61A6" w:rsidRPr="00A26FD5" w:rsidRDefault="001E61A6" w:rsidP="00C56F52">
            <w:pPr>
              <w:jc w:val="center"/>
              <w:rPr>
                <w:rFonts w:eastAsia="Calibri"/>
                <w:bCs/>
                <w:szCs w:val="22"/>
              </w:rPr>
            </w:pPr>
            <w:r w:rsidRPr="00A26FD5">
              <w:rPr>
                <w:rFonts w:eastAsia="Calibri"/>
                <w:szCs w:val="22"/>
              </w:rPr>
              <w:t>26</w:t>
            </w:r>
          </w:p>
        </w:tc>
        <w:tc>
          <w:tcPr>
            <w:tcW w:w="466" w:type="pct"/>
          </w:tcPr>
          <w:p w14:paraId="5F04AD7B" w14:textId="77777777" w:rsidR="001E61A6" w:rsidRPr="00A26FD5" w:rsidRDefault="001E61A6" w:rsidP="00C56F52">
            <w:pPr>
              <w:jc w:val="center"/>
              <w:rPr>
                <w:rFonts w:eastAsia="Calibri"/>
                <w:bCs/>
                <w:szCs w:val="22"/>
              </w:rPr>
            </w:pPr>
            <w:r w:rsidRPr="00A26FD5">
              <w:rPr>
                <w:rFonts w:eastAsia="Calibri"/>
                <w:szCs w:val="22"/>
              </w:rPr>
              <w:t>30</w:t>
            </w:r>
          </w:p>
        </w:tc>
        <w:tc>
          <w:tcPr>
            <w:tcW w:w="518" w:type="pct"/>
          </w:tcPr>
          <w:p w14:paraId="51803D18" w14:textId="77777777" w:rsidR="001E61A6" w:rsidRPr="00A26FD5" w:rsidRDefault="001E61A6" w:rsidP="00C56F52">
            <w:pPr>
              <w:jc w:val="center"/>
              <w:rPr>
                <w:rFonts w:eastAsia="Calibri"/>
                <w:bCs/>
                <w:szCs w:val="22"/>
              </w:rPr>
            </w:pPr>
            <w:r w:rsidRPr="00A26FD5">
              <w:rPr>
                <w:rFonts w:eastAsia="Calibri"/>
                <w:szCs w:val="22"/>
              </w:rPr>
              <w:t>16</w:t>
            </w:r>
          </w:p>
        </w:tc>
        <w:tc>
          <w:tcPr>
            <w:tcW w:w="614" w:type="pct"/>
          </w:tcPr>
          <w:p w14:paraId="3FB4B3C3" w14:textId="77777777" w:rsidR="001E61A6" w:rsidRPr="00A26FD5" w:rsidRDefault="001E61A6" w:rsidP="00C56F52">
            <w:pPr>
              <w:jc w:val="center"/>
              <w:rPr>
                <w:rFonts w:eastAsia="Calibri"/>
                <w:bCs/>
                <w:szCs w:val="22"/>
              </w:rPr>
            </w:pPr>
            <w:r w:rsidRPr="00A26FD5">
              <w:rPr>
                <w:rFonts w:eastAsia="Calibri"/>
                <w:szCs w:val="22"/>
              </w:rPr>
              <w:t>1</w:t>
            </w:r>
          </w:p>
        </w:tc>
        <w:tc>
          <w:tcPr>
            <w:tcW w:w="537" w:type="pct"/>
          </w:tcPr>
          <w:p w14:paraId="126104DA" w14:textId="77777777" w:rsidR="001E61A6" w:rsidRPr="00A26FD5" w:rsidRDefault="001E61A6" w:rsidP="00C56F52">
            <w:pPr>
              <w:jc w:val="center"/>
              <w:rPr>
                <w:rFonts w:eastAsia="Calibri"/>
                <w:bCs/>
                <w:szCs w:val="22"/>
              </w:rPr>
            </w:pPr>
            <w:r w:rsidRPr="00A26FD5">
              <w:rPr>
                <w:rFonts w:eastAsia="Calibri"/>
                <w:szCs w:val="22"/>
              </w:rPr>
              <w:t>4</w:t>
            </w:r>
          </w:p>
        </w:tc>
        <w:tc>
          <w:tcPr>
            <w:tcW w:w="537" w:type="pct"/>
          </w:tcPr>
          <w:p w14:paraId="2F03DDD6" w14:textId="77777777" w:rsidR="001E61A6" w:rsidRPr="00A26FD5" w:rsidRDefault="001E61A6" w:rsidP="00C56F52">
            <w:pPr>
              <w:jc w:val="center"/>
              <w:rPr>
                <w:rFonts w:eastAsia="Calibri"/>
                <w:bCs/>
                <w:szCs w:val="22"/>
              </w:rPr>
            </w:pPr>
            <w:r w:rsidRPr="00A26FD5">
              <w:rPr>
                <w:rFonts w:eastAsia="Calibri"/>
                <w:szCs w:val="22"/>
              </w:rPr>
              <w:t>23</w:t>
            </w:r>
          </w:p>
        </w:tc>
        <w:tc>
          <w:tcPr>
            <w:tcW w:w="951" w:type="pct"/>
          </w:tcPr>
          <w:p w14:paraId="42622EE3" w14:textId="77777777" w:rsidR="001E61A6" w:rsidRPr="00A26FD5" w:rsidRDefault="001E61A6" w:rsidP="00C56F52">
            <w:pPr>
              <w:jc w:val="center"/>
              <w:rPr>
                <w:rFonts w:eastAsia="Calibri"/>
                <w:bCs/>
                <w:szCs w:val="22"/>
              </w:rPr>
            </w:pPr>
            <w:r w:rsidRPr="00A26FD5">
              <w:rPr>
                <w:rFonts w:eastAsia="Calibri"/>
                <w:szCs w:val="22"/>
              </w:rPr>
              <w:t>100</w:t>
            </w:r>
          </w:p>
        </w:tc>
      </w:tr>
      <w:tr w:rsidR="001E61A6" w:rsidRPr="00A26FD5" w14:paraId="6710BE5A" w14:textId="77777777" w:rsidTr="00165D1C">
        <w:trPr>
          <w:trHeight w:val="284"/>
        </w:trPr>
        <w:tc>
          <w:tcPr>
            <w:tcW w:w="803" w:type="pct"/>
          </w:tcPr>
          <w:p w14:paraId="5D05672C" w14:textId="77777777" w:rsidR="001E61A6" w:rsidRPr="00A26FD5" w:rsidRDefault="001E61A6" w:rsidP="00C56F52">
            <w:pPr>
              <w:rPr>
                <w:rFonts w:eastAsia="Calibri"/>
                <w:szCs w:val="22"/>
              </w:rPr>
            </w:pPr>
            <w:r w:rsidRPr="00A26FD5">
              <w:rPr>
                <w:rFonts w:eastAsia="Calibri"/>
                <w:szCs w:val="22"/>
              </w:rPr>
              <w:t>Latin America &amp; Caribbean</w:t>
            </w:r>
          </w:p>
        </w:tc>
        <w:tc>
          <w:tcPr>
            <w:tcW w:w="574" w:type="pct"/>
          </w:tcPr>
          <w:p w14:paraId="3353DB1A" w14:textId="77777777" w:rsidR="001E61A6" w:rsidRPr="00A26FD5" w:rsidRDefault="001E61A6" w:rsidP="00C56F52">
            <w:pPr>
              <w:jc w:val="center"/>
              <w:rPr>
                <w:rFonts w:eastAsia="Calibri"/>
                <w:bCs/>
                <w:szCs w:val="22"/>
              </w:rPr>
            </w:pPr>
            <w:r w:rsidRPr="00A26FD5">
              <w:rPr>
                <w:rFonts w:eastAsia="Calibri"/>
                <w:szCs w:val="22"/>
              </w:rPr>
              <w:t>25</w:t>
            </w:r>
          </w:p>
        </w:tc>
        <w:tc>
          <w:tcPr>
            <w:tcW w:w="466" w:type="pct"/>
          </w:tcPr>
          <w:p w14:paraId="33093F4D" w14:textId="77777777" w:rsidR="001E61A6" w:rsidRPr="00A26FD5" w:rsidRDefault="001E61A6" w:rsidP="00C56F52">
            <w:pPr>
              <w:jc w:val="center"/>
              <w:rPr>
                <w:rFonts w:eastAsia="Calibri"/>
                <w:bCs/>
                <w:szCs w:val="22"/>
              </w:rPr>
            </w:pPr>
            <w:r w:rsidRPr="00A26FD5">
              <w:rPr>
                <w:rFonts w:eastAsia="Calibri"/>
                <w:szCs w:val="22"/>
              </w:rPr>
              <w:t>25</w:t>
            </w:r>
          </w:p>
        </w:tc>
        <w:tc>
          <w:tcPr>
            <w:tcW w:w="518" w:type="pct"/>
          </w:tcPr>
          <w:p w14:paraId="04CE320F" w14:textId="77777777" w:rsidR="001E61A6" w:rsidRPr="00A26FD5" w:rsidRDefault="001E61A6" w:rsidP="00C56F52">
            <w:pPr>
              <w:jc w:val="center"/>
              <w:rPr>
                <w:rFonts w:eastAsia="Calibri"/>
                <w:bCs/>
                <w:szCs w:val="22"/>
              </w:rPr>
            </w:pPr>
            <w:r w:rsidRPr="00A26FD5">
              <w:rPr>
                <w:rFonts w:eastAsia="Calibri"/>
                <w:szCs w:val="22"/>
              </w:rPr>
              <w:t>14</w:t>
            </w:r>
          </w:p>
        </w:tc>
        <w:tc>
          <w:tcPr>
            <w:tcW w:w="614" w:type="pct"/>
          </w:tcPr>
          <w:p w14:paraId="75632F0E" w14:textId="77777777" w:rsidR="001E61A6" w:rsidRPr="00A26FD5" w:rsidRDefault="001E61A6" w:rsidP="00C56F52">
            <w:pPr>
              <w:jc w:val="center"/>
              <w:rPr>
                <w:rFonts w:eastAsia="Calibri"/>
                <w:bCs/>
                <w:szCs w:val="22"/>
              </w:rPr>
            </w:pPr>
            <w:r w:rsidRPr="00A26FD5">
              <w:rPr>
                <w:rFonts w:eastAsia="Calibri"/>
                <w:szCs w:val="22"/>
              </w:rPr>
              <w:t>1</w:t>
            </w:r>
          </w:p>
        </w:tc>
        <w:tc>
          <w:tcPr>
            <w:tcW w:w="537" w:type="pct"/>
          </w:tcPr>
          <w:p w14:paraId="79112278" w14:textId="77777777" w:rsidR="001E61A6" w:rsidRPr="00A26FD5" w:rsidRDefault="001E61A6" w:rsidP="00C56F52">
            <w:pPr>
              <w:jc w:val="center"/>
              <w:rPr>
                <w:rFonts w:eastAsia="Calibri"/>
                <w:bCs/>
                <w:szCs w:val="22"/>
              </w:rPr>
            </w:pPr>
            <w:r w:rsidRPr="00A26FD5">
              <w:rPr>
                <w:rFonts w:eastAsia="Calibri"/>
                <w:szCs w:val="22"/>
              </w:rPr>
              <w:t>4</w:t>
            </w:r>
          </w:p>
        </w:tc>
        <w:tc>
          <w:tcPr>
            <w:tcW w:w="537" w:type="pct"/>
          </w:tcPr>
          <w:p w14:paraId="21645580" w14:textId="77777777" w:rsidR="001E61A6" w:rsidRPr="00A26FD5" w:rsidRDefault="001E61A6" w:rsidP="00C56F52">
            <w:pPr>
              <w:jc w:val="center"/>
              <w:rPr>
                <w:rFonts w:eastAsia="Calibri"/>
                <w:bCs/>
                <w:szCs w:val="22"/>
              </w:rPr>
            </w:pPr>
            <w:r w:rsidRPr="00A26FD5">
              <w:rPr>
                <w:rFonts w:eastAsia="Calibri"/>
                <w:szCs w:val="22"/>
              </w:rPr>
              <w:t>31</w:t>
            </w:r>
          </w:p>
        </w:tc>
        <w:tc>
          <w:tcPr>
            <w:tcW w:w="951" w:type="pct"/>
          </w:tcPr>
          <w:p w14:paraId="2130C560" w14:textId="77777777" w:rsidR="001E61A6" w:rsidRPr="00A26FD5" w:rsidRDefault="001E61A6" w:rsidP="00C56F52">
            <w:pPr>
              <w:jc w:val="center"/>
              <w:rPr>
                <w:rFonts w:eastAsia="Calibri"/>
                <w:bCs/>
                <w:szCs w:val="22"/>
              </w:rPr>
            </w:pPr>
            <w:r w:rsidRPr="00A26FD5">
              <w:rPr>
                <w:rFonts w:eastAsia="Calibri"/>
                <w:szCs w:val="22"/>
              </w:rPr>
              <w:t>100</w:t>
            </w:r>
          </w:p>
        </w:tc>
      </w:tr>
      <w:tr w:rsidR="001E61A6" w:rsidRPr="00A26FD5" w14:paraId="22661A68" w14:textId="77777777" w:rsidTr="00165D1C">
        <w:trPr>
          <w:trHeight w:val="284"/>
        </w:trPr>
        <w:tc>
          <w:tcPr>
            <w:tcW w:w="803" w:type="pct"/>
          </w:tcPr>
          <w:p w14:paraId="086371AB" w14:textId="77777777" w:rsidR="001E61A6" w:rsidRPr="00A26FD5" w:rsidRDefault="001E61A6" w:rsidP="00C56F52">
            <w:pPr>
              <w:rPr>
                <w:rFonts w:eastAsia="Calibri"/>
                <w:szCs w:val="22"/>
              </w:rPr>
            </w:pPr>
            <w:r w:rsidRPr="00A26FD5">
              <w:rPr>
                <w:rFonts w:eastAsia="Calibri"/>
                <w:szCs w:val="22"/>
              </w:rPr>
              <w:t>Americas</w:t>
            </w:r>
          </w:p>
        </w:tc>
        <w:tc>
          <w:tcPr>
            <w:tcW w:w="574" w:type="pct"/>
          </w:tcPr>
          <w:p w14:paraId="6A0C60F8" w14:textId="77777777" w:rsidR="001E61A6" w:rsidRPr="00A26FD5" w:rsidRDefault="001E61A6" w:rsidP="00C56F52">
            <w:pPr>
              <w:jc w:val="center"/>
              <w:rPr>
                <w:rFonts w:eastAsia="Calibri"/>
                <w:b/>
                <w:bCs/>
                <w:szCs w:val="22"/>
              </w:rPr>
            </w:pPr>
            <w:r w:rsidRPr="00A26FD5">
              <w:rPr>
                <w:rFonts w:eastAsia="Calibri"/>
                <w:b/>
                <w:szCs w:val="22"/>
              </w:rPr>
              <w:t>19</w:t>
            </w:r>
          </w:p>
        </w:tc>
        <w:tc>
          <w:tcPr>
            <w:tcW w:w="466" w:type="pct"/>
          </w:tcPr>
          <w:p w14:paraId="77F0FE9B" w14:textId="77777777" w:rsidR="001E61A6" w:rsidRPr="00A26FD5" w:rsidRDefault="001E61A6" w:rsidP="00C56F52">
            <w:pPr>
              <w:jc w:val="center"/>
              <w:rPr>
                <w:rFonts w:eastAsia="Calibri"/>
                <w:b/>
                <w:bCs/>
                <w:szCs w:val="22"/>
              </w:rPr>
            </w:pPr>
            <w:r w:rsidRPr="00A26FD5">
              <w:rPr>
                <w:rFonts w:eastAsia="Calibri"/>
                <w:b/>
                <w:szCs w:val="22"/>
              </w:rPr>
              <w:t>12</w:t>
            </w:r>
          </w:p>
        </w:tc>
        <w:tc>
          <w:tcPr>
            <w:tcW w:w="518" w:type="pct"/>
          </w:tcPr>
          <w:p w14:paraId="73646B74" w14:textId="77777777" w:rsidR="001E61A6" w:rsidRPr="00A26FD5" w:rsidRDefault="001E61A6" w:rsidP="00C56F52">
            <w:pPr>
              <w:jc w:val="center"/>
              <w:rPr>
                <w:rFonts w:eastAsia="Calibri"/>
                <w:b/>
                <w:bCs/>
                <w:szCs w:val="22"/>
              </w:rPr>
            </w:pPr>
            <w:r w:rsidRPr="00A26FD5">
              <w:rPr>
                <w:rFonts w:eastAsia="Calibri"/>
                <w:b/>
                <w:szCs w:val="22"/>
              </w:rPr>
              <w:t>12</w:t>
            </w:r>
          </w:p>
        </w:tc>
        <w:tc>
          <w:tcPr>
            <w:tcW w:w="614" w:type="pct"/>
          </w:tcPr>
          <w:p w14:paraId="6E7B37C0" w14:textId="77777777" w:rsidR="001E61A6" w:rsidRPr="00A26FD5" w:rsidRDefault="001E61A6" w:rsidP="00C56F52">
            <w:pPr>
              <w:jc w:val="center"/>
              <w:rPr>
                <w:rFonts w:eastAsia="Calibri"/>
                <w:b/>
                <w:bCs/>
                <w:szCs w:val="22"/>
              </w:rPr>
            </w:pPr>
            <w:r w:rsidRPr="00A26FD5">
              <w:rPr>
                <w:rFonts w:eastAsia="Calibri"/>
                <w:b/>
                <w:szCs w:val="22"/>
              </w:rPr>
              <w:t>2</w:t>
            </w:r>
          </w:p>
        </w:tc>
        <w:tc>
          <w:tcPr>
            <w:tcW w:w="537" w:type="pct"/>
          </w:tcPr>
          <w:p w14:paraId="0816AF46" w14:textId="77777777" w:rsidR="001E61A6" w:rsidRPr="00A26FD5" w:rsidRDefault="001E61A6" w:rsidP="00C56F52">
            <w:pPr>
              <w:jc w:val="center"/>
              <w:rPr>
                <w:rFonts w:eastAsia="Calibri"/>
                <w:b/>
                <w:bCs/>
                <w:szCs w:val="22"/>
              </w:rPr>
            </w:pPr>
            <w:r w:rsidRPr="00A26FD5">
              <w:rPr>
                <w:rFonts w:eastAsia="Calibri"/>
                <w:b/>
                <w:szCs w:val="22"/>
              </w:rPr>
              <w:t>2</w:t>
            </w:r>
          </w:p>
        </w:tc>
        <w:tc>
          <w:tcPr>
            <w:tcW w:w="537" w:type="pct"/>
          </w:tcPr>
          <w:p w14:paraId="694EC0E8" w14:textId="77777777" w:rsidR="001E61A6" w:rsidRPr="00A26FD5" w:rsidRDefault="001E61A6" w:rsidP="00C56F52">
            <w:pPr>
              <w:jc w:val="center"/>
              <w:rPr>
                <w:rFonts w:eastAsia="Calibri"/>
                <w:b/>
                <w:bCs/>
                <w:szCs w:val="22"/>
              </w:rPr>
            </w:pPr>
            <w:r w:rsidRPr="00A26FD5">
              <w:rPr>
                <w:rFonts w:eastAsia="Calibri"/>
                <w:b/>
                <w:szCs w:val="22"/>
              </w:rPr>
              <w:t>53</w:t>
            </w:r>
          </w:p>
        </w:tc>
        <w:tc>
          <w:tcPr>
            <w:tcW w:w="951" w:type="pct"/>
          </w:tcPr>
          <w:p w14:paraId="0D4B7221" w14:textId="77777777" w:rsidR="001E61A6" w:rsidRPr="00A26FD5" w:rsidRDefault="001E61A6" w:rsidP="00C56F52">
            <w:pPr>
              <w:jc w:val="center"/>
              <w:rPr>
                <w:rFonts w:eastAsia="Calibri"/>
                <w:b/>
                <w:bCs/>
                <w:szCs w:val="22"/>
              </w:rPr>
            </w:pPr>
            <w:r w:rsidRPr="00A26FD5">
              <w:rPr>
                <w:rFonts w:eastAsia="Calibri"/>
                <w:b/>
                <w:szCs w:val="22"/>
              </w:rPr>
              <w:t>100</w:t>
            </w:r>
          </w:p>
        </w:tc>
      </w:tr>
    </w:tbl>
    <w:p w14:paraId="11EEB0BA" w14:textId="1B7C996C" w:rsidR="00813E65" w:rsidRPr="008608AA" w:rsidRDefault="001E61A6" w:rsidP="00813E65">
      <w:pPr>
        <w:spacing w:after="120"/>
        <w:rPr>
          <w:rFonts w:eastAsia="Calibri"/>
          <w:sz w:val="20"/>
          <w:szCs w:val="20"/>
        </w:rPr>
      </w:pPr>
      <w:r w:rsidRPr="008608AA">
        <w:rPr>
          <w:rFonts w:eastAsia="Calibri"/>
          <w:sz w:val="20"/>
          <w:szCs w:val="20"/>
        </w:rPr>
        <w:t xml:space="preserve">Notes: Ecological footprint data for 2013. Composition in % of the ecological footprint for 2010. 1. Information for Belize is not available, 2. Information available only for five countries: Cuba, Dominican Republic, Haiti, Jamaica and Trinidad and Tobago, 3. Information for Guyana and Suriname is not available. Source: Based on </w:t>
      </w:r>
      <w:r w:rsidRPr="008608AA">
        <w:rPr>
          <w:rFonts w:eastAsia="Calibri"/>
          <w:sz w:val="20"/>
          <w:szCs w:val="20"/>
        </w:rPr>
        <w:fldChar w:fldCharType="begin" w:fldLock="1"/>
      </w:r>
      <w:r w:rsidRPr="008608AA">
        <w:rPr>
          <w:rFonts w:eastAsia="Calibri"/>
          <w:sz w:val="20"/>
          <w:szCs w:val="20"/>
        </w:rPr>
        <w:instrText>ADDIN CSL_CITATION { "citationItems" : [ { "id" : "ITEM-1", "itemData" : { "DOI" : "10.1007/s13398-014-0173-7.2", "ISBN" : "9780874216561", "ISSN" : "0717-6163", "PMID" : "15003161", "abstract" : "The objective of this case study was to obtain some first-hand information about the functional consequences of a cosmetic tongue split operation for speech and tongue motility. One male patient who had performed the operation on himself was interviewed and underwent a tongue motility assessment, as well as an ultrasound examination. Tongue motility was mildly reduced as a result of tissue scarring. Speech was rated to be fully intelligible and highly acceptable by 4 raters, although 2 raters noticed slight distortions of the sibilants /s/ and /z/. The 3-dimensional ultrasound demonstrated that the synergy of the 2 sides of the tongue was preserved. A notably deep posterior genioglossus furrow indicated compensation for the reduced length of the tongue blade. It is concluded that the tongue split procedure did not significantly affect the participant's speech intelligibility and tongue motility.", "author" : [ { "dropping-particle" : "", "family" : "WWF", "given" : "", "non-dropping-particle" : "", "parse-names" : false, "suffix" : "" } ], "container-title" : "research accunting", "id" : "ITEM-1", "issue" : "1", "issued" : { "date-parts" : [ [ "2014" ] ] }, "page" : "180", "title" : "Living Planet Report 2014: Species and spaces, people and places", "type" : "article-journal", "volume" : "1" }, "uris" : [ "http://www.mendeley.com/documents/?uuid=862ebb4d-a964-4444-bba1-0bf810773fd1" ] } ], "mendeley" : { "formattedCitation" : "(WWF 2014)", "manualFormatting" : "WWF (2014)", "plainTextFormattedCitation" : "(WWF 2014)", "previouslyFormattedCitation" : "(WWF 2014)" }, "properties" : { "noteIndex" : 0 }, "schema" : "https://github.com/citation-style-language/schema/raw/master/csl-citation.json" }</w:instrText>
      </w:r>
      <w:r w:rsidRPr="008608AA">
        <w:rPr>
          <w:rFonts w:eastAsia="Calibri"/>
          <w:sz w:val="20"/>
          <w:szCs w:val="20"/>
        </w:rPr>
        <w:fldChar w:fldCharType="separate"/>
      </w:r>
      <w:r w:rsidR="007C14ED" w:rsidRPr="008608AA">
        <w:rPr>
          <w:rFonts w:eastAsia="Calibri"/>
          <w:sz w:val="20"/>
          <w:szCs w:val="20"/>
        </w:rPr>
        <w:t>WWF (2014, 2016</w:t>
      </w:r>
      <w:r w:rsidRPr="008608AA">
        <w:rPr>
          <w:rFonts w:eastAsia="Calibri"/>
          <w:sz w:val="20"/>
          <w:szCs w:val="20"/>
        </w:rPr>
        <w:t>)</w:t>
      </w:r>
      <w:r w:rsidRPr="008608AA">
        <w:rPr>
          <w:rFonts w:eastAsia="Calibri"/>
          <w:sz w:val="20"/>
          <w:szCs w:val="20"/>
        </w:rPr>
        <w:fldChar w:fldCharType="end"/>
      </w:r>
      <w:r w:rsidR="007C14ED" w:rsidRPr="008608AA">
        <w:rPr>
          <w:rFonts w:eastAsia="Calibri"/>
          <w:sz w:val="20"/>
          <w:szCs w:val="20"/>
        </w:rPr>
        <w:t>, GFN (2017)</w:t>
      </w:r>
      <w:r w:rsidRPr="008608AA">
        <w:rPr>
          <w:rFonts w:eastAsia="Calibri"/>
          <w:sz w:val="20"/>
          <w:szCs w:val="20"/>
        </w:rPr>
        <w:t xml:space="preserve"> (</w:t>
      </w:r>
      <w:r w:rsidR="00A47F44" w:rsidRPr="008608AA">
        <w:rPr>
          <w:rFonts w:eastAsia="Calibri"/>
          <w:sz w:val="20"/>
          <w:szCs w:val="20"/>
        </w:rPr>
        <w:t xml:space="preserve">See Chapter 2, section </w:t>
      </w:r>
      <w:r w:rsidRPr="008608AA">
        <w:rPr>
          <w:rFonts w:eastAsia="Calibri"/>
          <w:sz w:val="20"/>
          <w:szCs w:val="20"/>
        </w:rPr>
        <w:t>2.6).</w:t>
      </w:r>
    </w:p>
    <w:p w14:paraId="328D0A79" w14:textId="77777777" w:rsidR="00274C8E" w:rsidRPr="008608AA" w:rsidRDefault="00274C8E" w:rsidP="00813E65">
      <w:pPr>
        <w:spacing w:after="120"/>
        <w:rPr>
          <w:rFonts w:eastAsia="Calibri"/>
          <w:sz w:val="20"/>
          <w:szCs w:val="20"/>
        </w:rPr>
      </w:pPr>
    </w:p>
    <w:p w14:paraId="7252F057" w14:textId="67D79CD2" w:rsidR="001E61A6" w:rsidRPr="008608AA" w:rsidRDefault="001E61A6" w:rsidP="00274C8E">
      <w:pPr>
        <w:pStyle w:val="Heading3"/>
      </w:pPr>
      <w:bookmarkStart w:id="1368" w:name="_Toc499459668"/>
      <w:bookmarkStart w:id="1369" w:name="_Toc503293133"/>
      <w:bookmarkStart w:id="1370" w:name="_Toc503293731"/>
      <w:bookmarkStart w:id="1371" w:name="_Toc503293993"/>
      <w:bookmarkStart w:id="1372" w:name="_Toc503863386"/>
      <w:bookmarkStart w:id="1373" w:name="_Toc503863614"/>
      <w:bookmarkStart w:id="1374" w:name="_Toc517393335"/>
      <w:bookmarkStart w:id="1375" w:name="_Toc517394392"/>
      <w:bookmarkStart w:id="1376" w:name="_Toc517719076"/>
      <w:bookmarkStart w:id="1377" w:name="_Toc517797033"/>
      <w:r w:rsidRPr="008608AA">
        <w:t>International trade and finances</w:t>
      </w:r>
      <w:bookmarkEnd w:id="1368"/>
      <w:bookmarkEnd w:id="1369"/>
      <w:bookmarkEnd w:id="1370"/>
      <w:bookmarkEnd w:id="1371"/>
      <w:bookmarkEnd w:id="1372"/>
      <w:bookmarkEnd w:id="1373"/>
      <w:bookmarkEnd w:id="1374"/>
      <w:bookmarkEnd w:id="1375"/>
      <w:bookmarkEnd w:id="1376"/>
      <w:bookmarkEnd w:id="1377"/>
      <w:r w:rsidRPr="008608AA">
        <w:t xml:space="preserve"> </w:t>
      </w:r>
    </w:p>
    <w:p w14:paraId="72DB3E87" w14:textId="362BC8BE" w:rsidR="001E61A6" w:rsidRPr="008608AA" w:rsidRDefault="001E61A6" w:rsidP="00274C8E">
      <w:pPr>
        <w:spacing w:before="120"/>
        <w:rPr>
          <w:rFonts w:eastAsia="Calibri"/>
        </w:rPr>
      </w:pPr>
      <w:r w:rsidRPr="008608AA">
        <w:rPr>
          <w:rFonts w:eastAsia="Calibri"/>
        </w:rPr>
        <w:t>Economic activities, international trade and financial flows are closely related, particularly in recent decades due to the expansion of economic globalization. Trends in economic growth, international trade and financial markets con</w:t>
      </w:r>
      <w:r w:rsidR="00DC7067" w:rsidRPr="008608AA">
        <w:rPr>
          <w:rFonts w:eastAsia="Calibri"/>
        </w:rPr>
        <w:t>siderably influence changes nitrogen</w:t>
      </w:r>
      <w:r w:rsidRPr="008608AA">
        <w:rPr>
          <w:rFonts w:eastAsia="Calibri"/>
        </w:rPr>
        <w:t>, NCP and good quality of life through various direct and indirect pathways.  In turn, these pathways are influenced by a number of policy channels and mechanisms, like trade policies, including incentives (tax exemptions, subsidies) and trade barriers, the dynamics of foreign debt and foreign debt service, flows of foreign direct investments, and monetary policies (dynamic of exchange rates, interest rates).</w:t>
      </w:r>
    </w:p>
    <w:p w14:paraId="5FFAA3DF" w14:textId="77777777" w:rsidR="001E61A6" w:rsidRPr="008608AA" w:rsidRDefault="001E61A6" w:rsidP="00274C8E">
      <w:pPr>
        <w:spacing w:before="120"/>
        <w:rPr>
          <w:rFonts w:eastAsia="Calibri"/>
        </w:rPr>
      </w:pPr>
      <w:r w:rsidRPr="008608AA">
        <w:rPr>
          <w:rFonts w:eastAsia="Calibri"/>
        </w:rPr>
        <w:t xml:space="preserve">The Americas generates around 18% of world exports, and most of this proportion (12.6%) is supplied by North America. Latin America and the Caribbean contribution to world exports (5.4%) is modest in relation to the region´s fraction of world population (8.7%). </w:t>
      </w:r>
    </w:p>
    <w:p w14:paraId="2D6D9255" w14:textId="2419AB59" w:rsidR="001E61A6" w:rsidRPr="008608AA" w:rsidRDefault="001E61A6" w:rsidP="00274C8E">
      <w:pPr>
        <w:spacing w:before="120"/>
        <w:rPr>
          <w:rFonts w:eastAsia="Calibri"/>
        </w:rPr>
      </w:pPr>
      <w:r w:rsidRPr="008608AA">
        <w:rPr>
          <w:rFonts w:eastAsia="Calibri"/>
        </w:rPr>
        <w:t>The volumes of trade are directly related to economic size and openness. The USA has the highest trade volumes, with a substantial trade deficit. Canada and Mexico are in the next tier with respect to volumes, followed by Brazil. The composition of trade reflects countries’ economic activity and natural re</w:t>
      </w:r>
      <w:r w:rsidR="00813E65" w:rsidRPr="008608AA">
        <w:rPr>
          <w:rFonts w:eastAsia="Calibri"/>
        </w:rPr>
        <w:t>sources. Fuel ranges between 10% and 23</w:t>
      </w:r>
      <w:r w:rsidRPr="008608AA">
        <w:rPr>
          <w:rFonts w:eastAsia="Calibri"/>
        </w:rPr>
        <w:t xml:space="preserve">% of imports for all countries in the region except Costa Rica and fuel exporting countries. Over 50% of all countries’ goods imports are manufactured goods. Manufactured goods form over ¾ of all imported goods for 11 of the countries with data. On the export side, agricultural raw material forms a very small part of each nation’s trade. It is most important for Uruguay, comprising 12.7% of its merchandise exports. Fuel comprises over half of Venezuela’s, Colombia’s and Bolivia’s exports and plays an important role in exports from Ecuador and </w:t>
      </w:r>
      <w:r w:rsidR="00813E65" w:rsidRPr="008608AA">
        <w:rPr>
          <w:rFonts w:eastAsia="Calibri"/>
        </w:rPr>
        <w:t>Canada.</w:t>
      </w:r>
      <w:r w:rsidRPr="008608AA">
        <w:rPr>
          <w:rFonts w:eastAsia="Calibri"/>
        </w:rPr>
        <w:t xml:space="preserve"> Manufactured goods form an important component of most of the region’s nations’ exports, being most important for Mexico and El Salvador. Tourism is by far</w:t>
      </w:r>
      <w:r w:rsidR="00813E65" w:rsidRPr="008608AA">
        <w:rPr>
          <w:rFonts w:eastAsia="Calibri"/>
        </w:rPr>
        <w:t xml:space="preserve"> the most important export for T</w:t>
      </w:r>
      <w:r w:rsidRPr="008608AA">
        <w:rPr>
          <w:rFonts w:eastAsia="Calibri"/>
        </w:rPr>
        <w:t>he Bahamas, and is also important to other Caribbean nations (World Bank, 2017</w:t>
      </w:r>
      <w:r w:rsidRPr="008608AA">
        <w:rPr>
          <w:rStyle w:val="FootnoteReference"/>
          <w:rFonts w:eastAsia="Calibri"/>
          <w:lang w:val="en-GB"/>
        </w:rPr>
        <w:footnoteReference w:id="24"/>
      </w:r>
      <w:r w:rsidRPr="008608AA">
        <w:rPr>
          <w:rFonts w:eastAsia="Calibri"/>
        </w:rPr>
        <w:t>).</w:t>
      </w:r>
    </w:p>
    <w:p w14:paraId="5F938511" w14:textId="6884A94A" w:rsidR="001E61A6" w:rsidRPr="008608AA" w:rsidRDefault="001E61A6" w:rsidP="00274C8E">
      <w:pPr>
        <w:spacing w:before="120"/>
        <w:rPr>
          <w:rFonts w:eastAsia="Calibri"/>
        </w:rPr>
      </w:pPr>
      <w:r w:rsidRPr="008608AA">
        <w:rPr>
          <w:rFonts w:eastAsia="Calibri"/>
        </w:rPr>
        <w:t>As mentioned before, natural resources (oil, minerals, and agricultural products) contribute with more than 50% to Latin America and the Caribbean exports. Commodities account for more than 70% of exports in South America, and about one quarter of exports in Mesoamerica (World Bank, 2016).</w:t>
      </w:r>
      <w:r w:rsidRPr="008608AA">
        <w:rPr>
          <w:b/>
          <w:color w:val="333333"/>
        </w:rPr>
        <w:t xml:space="preserve"> </w:t>
      </w:r>
      <w:r w:rsidRPr="008608AA">
        <w:rPr>
          <w:rFonts w:eastAsia="Calibri"/>
        </w:rPr>
        <w:t>Tourism is also a key sector in several Latin America and the Caribbean countries, particula</w:t>
      </w:r>
      <w:r w:rsidR="00813E65" w:rsidRPr="008608AA">
        <w:rPr>
          <w:rFonts w:eastAsia="Calibri"/>
        </w:rPr>
        <w:t>rly for small Caribbean island S</w:t>
      </w:r>
      <w:r w:rsidRPr="008608AA">
        <w:rPr>
          <w:rFonts w:eastAsia="Calibri"/>
        </w:rPr>
        <w:t>tates and some Central American countries. Drastic reduction of commodities prices in world markets since 2014 has severely affected commod</w:t>
      </w:r>
      <w:r w:rsidR="00813E65" w:rsidRPr="008608AA">
        <w:rPr>
          <w:rFonts w:eastAsia="Calibri"/>
        </w:rPr>
        <w:t xml:space="preserve">ities exporters in the region. </w:t>
      </w:r>
      <w:r w:rsidRPr="008608AA">
        <w:rPr>
          <w:rFonts w:eastAsia="Calibri"/>
        </w:rPr>
        <w:t xml:space="preserve">In some cases, Latin America and the Caribbean countries have tried to compensate declining export prices of commodities with increasing export volumes, generating additional pressure on the natural environment. International export prices for Latin America (19 countries reported by ECLAC) declined by 8.7% in 2015 in relation to 2010, while export volume increased by 15.4% (CEPAL, 2015). As indicated before, the export structure of North America is more diversified, and therefore these developed economies are less vulnerable to market shocks, in relation to the Latin America and the Caribbean economies. </w:t>
      </w:r>
    </w:p>
    <w:p w14:paraId="2A36733F" w14:textId="38C15367" w:rsidR="009E4D36" w:rsidRPr="008608AA" w:rsidRDefault="001E61A6" w:rsidP="00274C8E">
      <w:pPr>
        <w:spacing w:before="120"/>
        <w:rPr>
          <w:rFonts w:eastAsia="Calibri"/>
        </w:rPr>
      </w:pPr>
      <w:r w:rsidRPr="008608AA">
        <w:rPr>
          <w:rFonts w:eastAsia="Calibri"/>
        </w:rPr>
        <w:t>In contrast to North American economies, most Latin America and the Caribbean countries have very limited influence in world trade and financial markets and flows, with high vulnerability to abrupt changes in those markets (</w:t>
      </w:r>
      <w:r w:rsidR="00DC7067" w:rsidRPr="008608AA">
        <w:rPr>
          <w:rFonts w:eastAsia="Calibri"/>
        </w:rPr>
        <w:t>Table 4.5</w:t>
      </w:r>
      <w:r w:rsidR="00165D1C" w:rsidRPr="008608AA">
        <w:rPr>
          <w:rFonts w:eastAsia="Calibri"/>
        </w:rPr>
        <w:t>)</w:t>
      </w:r>
    </w:p>
    <w:p w14:paraId="4B1756F2" w14:textId="4B31E3E1" w:rsidR="00DC7067" w:rsidRPr="008608AA" w:rsidRDefault="00274C8E" w:rsidP="00274C8E">
      <w:pPr>
        <w:pStyle w:val="Caption"/>
        <w:rPr>
          <w:szCs w:val="20"/>
        </w:rPr>
      </w:pPr>
      <w:bookmarkStart w:id="1378" w:name="_Toc494482719"/>
      <w:bookmarkStart w:id="1379" w:name="_Toc499459688"/>
      <w:bookmarkStart w:id="1380" w:name="_Hlk494357405"/>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5</w:t>
      </w:r>
      <w:r w:rsidR="000E562E">
        <w:rPr>
          <w:noProof/>
        </w:rPr>
        <w:fldChar w:fldCharType="end"/>
      </w:r>
      <w:r w:rsidRPr="008608AA">
        <w:t xml:space="preserve">. </w:t>
      </w:r>
      <w:r w:rsidR="00DC7067" w:rsidRPr="008608AA">
        <w:rPr>
          <w:szCs w:val="20"/>
        </w:rPr>
        <w:t>Relevant trade data for the Americas (2016).</w:t>
      </w:r>
      <w:bookmarkEnd w:id="1378"/>
      <w:bookmarkEnd w:id="1379"/>
    </w:p>
    <w:tbl>
      <w:tblPr>
        <w:tblW w:w="49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3"/>
        <w:gridCol w:w="1892"/>
        <w:gridCol w:w="2587"/>
        <w:gridCol w:w="2328"/>
      </w:tblGrid>
      <w:tr w:rsidR="00DC7067" w:rsidRPr="00A26FD5" w14:paraId="284FB921" w14:textId="77777777" w:rsidTr="00274C8E">
        <w:trPr>
          <w:trHeight w:val="380"/>
        </w:trPr>
        <w:tc>
          <w:tcPr>
            <w:tcW w:w="1395" w:type="pct"/>
            <w:shd w:val="clear" w:color="auto" w:fill="BFBFBF" w:themeFill="background1" w:themeFillShade="BF"/>
            <w:vAlign w:val="center"/>
            <w:hideMark/>
          </w:tcPr>
          <w:bookmarkEnd w:id="1380"/>
          <w:p w14:paraId="596F50F6" w14:textId="77777777" w:rsidR="00DC7067" w:rsidRPr="00A26FD5" w:rsidRDefault="00DC7067" w:rsidP="00274C8E">
            <w:pPr>
              <w:jc w:val="center"/>
              <w:rPr>
                <w:b/>
                <w:szCs w:val="22"/>
              </w:rPr>
            </w:pPr>
            <w:r w:rsidRPr="00A26FD5">
              <w:rPr>
                <w:b/>
                <w:szCs w:val="22"/>
              </w:rPr>
              <w:t>Country /Region</w:t>
            </w:r>
          </w:p>
        </w:tc>
        <w:tc>
          <w:tcPr>
            <w:tcW w:w="1002" w:type="pct"/>
            <w:shd w:val="clear" w:color="auto" w:fill="BFBFBF" w:themeFill="background1" w:themeFillShade="BF"/>
            <w:vAlign w:val="center"/>
          </w:tcPr>
          <w:p w14:paraId="1E81DF69" w14:textId="77777777" w:rsidR="00DC7067" w:rsidRPr="00A26FD5" w:rsidRDefault="00DC7067" w:rsidP="00274C8E">
            <w:pPr>
              <w:jc w:val="center"/>
              <w:rPr>
                <w:b/>
                <w:szCs w:val="22"/>
              </w:rPr>
            </w:pPr>
            <w:r w:rsidRPr="00A26FD5">
              <w:rPr>
                <w:b/>
                <w:szCs w:val="22"/>
              </w:rPr>
              <w:t>Number of economies</w:t>
            </w:r>
          </w:p>
        </w:tc>
        <w:tc>
          <w:tcPr>
            <w:tcW w:w="1370" w:type="pct"/>
            <w:shd w:val="clear" w:color="auto" w:fill="BFBFBF" w:themeFill="background1" w:themeFillShade="BF"/>
            <w:vAlign w:val="center"/>
            <w:hideMark/>
          </w:tcPr>
          <w:p w14:paraId="77648427" w14:textId="77777777" w:rsidR="00DC7067" w:rsidRPr="00A26FD5" w:rsidRDefault="00DC7067" w:rsidP="00274C8E">
            <w:pPr>
              <w:jc w:val="center"/>
              <w:rPr>
                <w:b/>
                <w:szCs w:val="22"/>
              </w:rPr>
            </w:pPr>
            <w:r w:rsidRPr="00A26FD5">
              <w:rPr>
                <w:b/>
                <w:szCs w:val="22"/>
              </w:rPr>
              <w:t>% of world exports of goods and services</w:t>
            </w:r>
          </w:p>
        </w:tc>
        <w:tc>
          <w:tcPr>
            <w:tcW w:w="1233" w:type="pct"/>
            <w:shd w:val="clear" w:color="auto" w:fill="BFBFBF" w:themeFill="background1" w:themeFillShade="BF"/>
            <w:vAlign w:val="center"/>
          </w:tcPr>
          <w:p w14:paraId="662EB12B" w14:textId="77777777" w:rsidR="00DC7067" w:rsidRPr="00A26FD5" w:rsidRDefault="00DC7067" w:rsidP="00274C8E">
            <w:pPr>
              <w:jc w:val="center"/>
              <w:rPr>
                <w:b/>
                <w:szCs w:val="22"/>
              </w:rPr>
            </w:pPr>
            <w:r w:rsidRPr="00A26FD5">
              <w:rPr>
                <w:b/>
                <w:szCs w:val="22"/>
              </w:rPr>
              <w:t>Exports of goods and services as % of GDP</w:t>
            </w:r>
          </w:p>
        </w:tc>
      </w:tr>
      <w:tr w:rsidR="00DC7067" w:rsidRPr="00A26FD5" w14:paraId="0760B575" w14:textId="77777777" w:rsidTr="00274C8E">
        <w:trPr>
          <w:trHeight w:val="201"/>
        </w:trPr>
        <w:tc>
          <w:tcPr>
            <w:tcW w:w="1395" w:type="pct"/>
            <w:hideMark/>
          </w:tcPr>
          <w:p w14:paraId="157E0028" w14:textId="77777777" w:rsidR="00DC7067" w:rsidRPr="00A26FD5" w:rsidRDefault="00DC7067" w:rsidP="00596E28">
            <w:pPr>
              <w:rPr>
                <w:szCs w:val="22"/>
              </w:rPr>
            </w:pPr>
            <w:r w:rsidRPr="00A26FD5">
              <w:rPr>
                <w:szCs w:val="22"/>
              </w:rPr>
              <w:t>North America</w:t>
            </w:r>
          </w:p>
        </w:tc>
        <w:tc>
          <w:tcPr>
            <w:tcW w:w="1002" w:type="pct"/>
          </w:tcPr>
          <w:p w14:paraId="1DD8B7DB" w14:textId="77777777" w:rsidR="00DC7067" w:rsidRPr="00A26FD5" w:rsidRDefault="00DC7067" w:rsidP="00596E28">
            <w:pPr>
              <w:jc w:val="center"/>
              <w:rPr>
                <w:szCs w:val="22"/>
              </w:rPr>
            </w:pPr>
            <w:r w:rsidRPr="00A26FD5">
              <w:rPr>
                <w:szCs w:val="22"/>
              </w:rPr>
              <w:t>2</w:t>
            </w:r>
          </w:p>
        </w:tc>
        <w:tc>
          <w:tcPr>
            <w:tcW w:w="1370" w:type="pct"/>
            <w:hideMark/>
          </w:tcPr>
          <w:p w14:paraId="1E11FE50" w14:textId="77777777" w:rsidR="00DC7067" w:rsidRPr="00A26FD5" w:rsidRDefault="00DC7067" w:rsidP="00596E28">
            <w:pPr>
              <w:jc w:val="center"/>
              <w:rPr>
                <w:szCs w:val="22"/>
              </w:rPr>
            </w:pPr>
            <w:r w:rsidRPr="00A26FD5">
              <w:rPr>
                <w:szCs w:val="22"/>
              </w:rPr>
              <w:t>12.6</w:t>
            </w:r>
          </w:p>
        </w:tc>
        <w:tc>
          <w:tcPr>
            <w:tcW w:w="1233" w:type="pct"/>
          </w:tcPr>
          <w:p w14:paraId="33560DEB" w14:textId="77777777" w:rsidR="00DC7067" w:rsidRPr="00A26FD5" w:rsidRDefault="00DC7067" w:rsidP="00596E28">
            <w:pPr>
              <w:jc w:val="center"/>
              <w:rPr>
                <w:szCs w:val="22"/>
              </w:rPr>
            </w:pPr>
            <w:r w:rsidRPr="00A26FD5">
              <w:rPr>
                <w:szCs w:val="22"/>
              </w:rPr>
              <w:t>14.0</w:t>
            </w:r>
          </w:p>
        </w:tc>
      </w:tr>
      <w:tr w:rsidR="00DC7067" w:rsidRPr="00A26FD5" w14:paraId="16846BEA" w14:textId="77777777" w:rsidTr="00274C8E">
        <w:trPr>
          <w:trHeight w:val="240"/>
        </w:trPr>
        <w:tc>
          <w:tcPr>
            <w:tcW w:w="1395" w:type="pct"/>
            <w:hideMark/>
          </w:tcPr>
          <w:p w14:paraId="241E0F1D" w14:textId="77777777" w:rsidR="00DC7067" w:rsidRPr="00A26FD5" w:rsidRDefault="00DC7067" w:rsidP="00596E28">
            <w:pPr>
              <w:rPr>
                <w:szCs w:val="22"/>
              </w:rPr>
            </w:pPr>
            <w:r w:rsidRPr="00A26FD5">
              <w:rPr>
                <w:szCs w:val="22"/>
              </w:rPr>
              <w:t>Mesoamerica</w:t>
            </w:r>
          </w:p>
        </w:tc>
        <w:tc>
          <w:tcPr>
            <w:tcW w:w="1002" w:type="pct"/>
          </w:tcPr>
          <w:p w14:paraId="30369B8F" w14:textId="77777777" w:rsidR="00DC7067" w:rsidRPr="00A26FD5" w:rsidRDefault="00DC7067" w:rsidP="00596E28">
            <w:pPr>
              <w:jc w:val="center"/>
              <w:rPr>
                <w:szCs w:val="22"/>
              </w:rPr>
            </w:pPr>
            <w:r w:rsidRPr="00A26FD5">
              <w:rPr>
                <w:szCs w:val="22"/>
              </w:rPr>
              <w:t>8</w:t>
            </w:r>
          </w:p>
        </w:tc>
        <w:tc>
          <w:tcPr>
            <w:tcW w:w="1370" w:type="pct"/>
            <w:hideMark/>
          </w:tcPr>
          <w:p w14:paraId="39FA967D" w14:textId="77777777" w:rsidR="00DC7067" w:rsidRPr="00A26FD5" w:rsidRDefault="00DC7067" w:rsidP="00596E28">
            <w:pPr>
              <w:jc w:val="center"/>
              <w:rPr>
                <w:szCs w:val="22"/>
              </w:rPr>
            </w:pPr>
            <w:r w:rsidRPr="00A26FD5">
              <w:rPr>
                <w:szCs w:val="22"/>
              </w:rPr>
              <w:t>2.2</w:t>
            </w:r>
          </w:p>
        </w:tc>
        <w:tc>
          <w:tcPr>
            <w:tcW w:w="1233" w:type="pct"/>
          </w:tcPr>
          <w:p w14:paraId="5D6C1592" w14:textId="77777777" w:rsidR="00DC7067" w:rsidRPr="00A26FD5" w:rsidRDefault="00DC7067" w:rsidP="00596E28">
            <w:pPr>
              <w:jc w:val="center"/>
              <w:rPr>
                <w:szCs w:val="22"/>
              </w:rPr>
            </w:pPr>
            <w:r w:rsidRPr="00A26FD5">
              <w:rPr>
                <w:szCs w:val="22"/>
              </w:rPr>
              <w:t>37.0</w:t>
            </w:r>
          </w:p>
        </w:tc>
      </w:tr>
      <w:tr w:rsidR="00DC7067" w:rsidRPr="00A26FD5" w14:paraId="710E982C" w14:textId="77777777" w:rsidTr="00274C8E">
        <w:trPr>
          <w:trHeight w:val="312"/>
        </w:trPr>
        <w:tc>
          <w:tcPr>
            <w:tcW w:w="1395" w:type="pct"/>
            <w:vMerge w:val="restart"/>
            <w:hideMark/>
          </w:tcPr>
          <w:p w14:paraId="712CBCBB" w14:textId="77777777" w:rsidR="00DC7067" w:rsidRPr="00A26FD5" w:rsidRDefault="00DC7067" w:rsidP="00596E28">
            <w:pPr>
              <w:rPr>
                <w:szCs w:val="22"/>
              </w:rPr>
            </w:pPr>
            <w:r w:rsidRPr="00A26FD5">
              <w:rPr>
                <w:szCs w:val="22"/>
              </w:rPr>
              <w:t>Caribbean</w:t>
            </w:r>
          </w:p>
        </w:tc>
        <w:tc>
          <w:tcPr>
            <w:tcW w:w="1002" w:type="pct"/>
            <w:vMerge w:val="restart"/>
          </w:tcPr>
          <w:p w14:paraId="5C515222" w14:textId="77777777" w:rsidR="00DC7067" w:rsidRPr="00A26FD5" w:rsidRDefault="00DC7067" w:rsidP="00596E28">
            <w:pPr>
              <w:jc w:val="center"/>
              <w:rPr>
                <w:szCs w:val="22"/>
              </w:rPr>
            </w:pPr>
            <w:r w:rsidRPr="00A26FD5">
              <w:rPr>
                <w:szCs w:val="22"/>
              </w:rPr>
              <w:t>13</w:t>
            </w:r>
          </w:p>
        </w:tc>
        <w:tc>
          <w:tcPr>
            <w:tcW w:w="1370" w:type="pct"/>
            <w:vMerge w:val="restart"/>
            <w:hideMark/>
          </w:tcPr>
          <w:p w14:paraId="36C8DA76" w14:textId="77777777" w:rsidR="00DC7067" w:rsidRPr="00A26FD5" w:rsidRDefault="00DC7067" w:rsidP="00596E28">
            <w:pPr>
              <w:jc w:val="center"/>
              <w:rPr>
                <w:szCs w:val="22"/>
              </w:rPr>
            </w:pPr>
            <w:r w:rsidRPr="00A26FD5">
              <w:rPr>
                <w:szCs w:val="22"/>
              </w:rPr>
              <w:t>0.4</w:t>
            </w:r>
          </w:p>
        </w:tc>
        <w:tc>
          <w:tcPr>
            <w:tcW w:w="1233" w:type="pct"/>
            <w:vMerge w:val="restart"/>
          </w:tcPr>
          <w:p w14:paraId="5271C139" w14:textId="77777777" w:rsidR="00DC7067" w:rsidRPr="00A26FD5" w:rsidRDefault="00DC7067" w:rsidP="00596E28">
            <w:pPr>
              <w:jc w:val="center"/>
              <w:rPr>
                <w:szCs w:val="22"/>
              </w:rPr>
            </w:pPr>
            <w:r w:rsidRPr="00A26FD5">
              <w:rPr>
                <w:szCs w:val="22"/>
              </w:rPr>
              <w:t>22.3</w:t>
            </w:r>
          </w:p>
        </w:tc>
      </w:tr>
      <w:tr w:rsidR="00DC7067" w:rsidRPr="00A26FD5" w14:paraId="30B7A15C" w14:textId="77777777" w:rsidTr="00274C8E">
        <w:trPr>
          <w:trHeight w:val="396"/>
        </w:trPr>
        <w:tc>
          <w:tcPr>
            <w:tcW w:w="1395" w:type="pct"/>
            <w:vMerge/>
            <w:hideMark/>
          </w:tcPr>
          <w:p w14:paraId="57F0C279" w14:textId="77777777" w:rsidR="00DC7067" w:rsidRPr="00A26FD5" w:rsidRDefault="00DC7067" w:rsidP="00596E28">
            <w:pPr>
              <w:rPr>
                <w:szCs w:val="22"/>
              </w:rPr>
            </w:pPr>
          </w:p>
        </w:tc>
        <w:tc>
          <w:tcPr>
            <w:tcW w:w="1002" w:type="pct"/>
            <w:vMerge/>
          </w:tcPr>
          <w:p w14:paraId="4A618AC7" w14:textId="77777777" w:rsidR="00DC7067" w:rsidRPr="00A26FD5" w:rsidRDefault="00DC7067" w:rsidP="00596E28">
            <w:pPr>
              <w:jc w:val="center"/>
              <w:rPr>
                <w:szCs w:val="22"/>
              </w:rPr>
            </w:pPr>
          </w:p>
        </w:tc>
        <w:tc>
          <w:tcPr>
            <w:tcW w:w="1370" w:type="pct"/>
            <w:vMerge/>
            <w:hideMark/>
          </w:tcPr>
          <w:p w14:paraId="1B15C093" w14:textId="77777777" w:rsidR="00DC7067" w:rsidRPr="00A26FD5" w:rsidRDefault="00DC7067" w:rsidP="00596E28">
            <w:pPr>
              <w:jc w:val="center"/>
              <w:rPr>
                <w:szCs w:val="22"/>
              </w:rPr>
            </w:pPr>
          </w:p>
        </w:tc>
        <w:tc>
          <w:tcPr>
            <w:tcW w:w="1233" w:type="pct"/>
            <w:vMerge/>
          </w:tcPr>
          <w:p w14:paraId="2C89776F" w14:textId="77777777" w:rsidR="00DC7067" w:rsidRPr="00A26FD5" w:rsidRDefault="00DC7067" w:rsidP="00596E28">
            <w:pPr>
              <w:jc w:val="center"/>
              <w:rPr>
                <w:szCs w:val="22"/>
              </w:rPr>
            </w:pPr>
          </w:p>
        </w:tc>
      </w:tr>
      <w:tr w:rsidR="00DC7067" w:rsidRPr="00A26FD5" w14:paraId="3E41511D" w14:textId="77777777" w:rsidTr="00274C8E">
        <w:trPr>
          <w:trHeight w:val="73"/>
        </w:trPr>
        <w:tc>
          <w:tcPr>
            <w:tcW w:w="1395" w:type="pct"/>
            <w:hideMark/>
          </w:tcPr>
          <w:p w14:paraId="0FB61D91" w14:textId="77777777" w:rsidR="00DC7067" w:rsidRPr="00A26FD5" w:rsidRDefault="00DC7067" w:rsidP="00596E28">
            <w:pPr>
              <w:rPr>
                <w:szCs w:val="22"/>
              </w:rPr>
            </w:pPr>
            <w:r w:rsidRPr="00A26FD5">
              <w:rPr>
                <w:szCs w:val="22"/>
              </w:rPr>
              <w:t xml:space="preserve">South America </w:t>
            </w:r>
          </w:p>
        </w:tc>
        <w:tc>
          <w:tcPr>
            <w:tcW w:w="1002" w:type="pct"/>
          </w:tcPr>
          <w:p w14:paraId="589900AB" w14:textId="77777777" w:rsidR="00DC7067" w:rsidRPr="00A26FD5" w:rsidRDefault="00DC7067" w:rsidP="00596E28">
            <w:pPr>
              <w:jc w:val="center"/>
              <w:rPr>
                <w:szCs w:val="22"/>
              </w:rPr>
            </w:pPr>
            <w:r w:rsidRPr="00A26FD5">
              <w:rPr>
                <w:szCs w:val="22"/>
              </w:rPr>
              <w:t>12</w:t>
            </w:r>
          </w:p>
        </w:tc>
        <w:tc>
          <w:tcPr>
            <w:tcW w:w="1370" w:type="pct"/>
            <w:hideMark/>
          </w:tcPr>
          <w:p w14:paraId="00BB746B" w14:textId="77777777" w:rsidR="00DC7067" w:rsidRPr="00A26FD5" w:rsidRDefault="00DC7067" w:rsidP="00596E28">
            <w:pPr>
              <w:jc w:val="center"/>
              <w:rPr>
                <w:szCs w:val="22"/>
              </w:rPr>
            </w:pPr>
            <w:r w:rsidRPr="00A26FD5">
              <w:rPr>
                <w:szCs w:val="22"/>
              </w:rPr>
              <w:t>2.8</w:t>
            </w:r>
          </w:p>
        </w:tc>
        <w:tc>
          <w:tcPr>
            <w:tcW w:w="1233" w:type="pct"/>
          </w:tcPr>
          <w:p w14:paraId="326DED9C" w14:textId="77777777" w:rsidR="00DC7067" w:rsidRPr="00A26FD5" w:rsidRDefault="00DC7067" w:rsidP="00596E28">
            <w:pPr>
              <w:jc w:val="center"/>
              <w:rPr>
                <w:szCs w:val="22"/>
              </w:rPr>
            </w:pPr>
            <w:r w:rsidRPr="00A26FD5">
              <w:rPr>
                <w:szCs w:val="22"/>
              </w:rPr>
              <w:t>16.5</w:t>
            </w:r>
          </w:p>
        </w:tc>
      </w:tr>
      <w:tr w:rsidR="00DC7067" w:rsidRPr="00A26FD5" w14:paraId="2A371751" w14:textId="77777777" w:rsidTr="00274C8E">
        <w:trPr>
          <w:trHeight w:val="61"/>
        </w:trPr>
        <w:tc>
          <w:tcPr>
            <w:tcW w:w="1395" w:type="pct"/>
            <w:hideMark/>
          </w:tcPr>
          <w:p w14:paraId="6AD1A9E6" w14:textId="77777777" w:rsidR="00DC7067" w:rsidRPr="00A26FD5" w:rsidRDefault="00DC7067" w:rsidP="00596E28">
            <w:pPr>
              <w:rPr>
                <w:szCs w:val="22"/>
              </w:rPr>
            </w:pPr>
            <w:r w:rsidRPr="00A26FD5">
              <w:rPr>
                <w:szCs w:val="22"/>
              </w:rPr>
              <w:t>Latin America &amp; Caribbean</w:t>
            </w:r>
          </w:p>
        </w:tc>
        <w:tc>
          <w:tcPr>
            <w:tcW w:w="1002" w:type="pct"/>
          </w:tcPr>
          <w:p w14:paraId="086FD558" w14:textId="77777777" w:rsidR="00DC7067" w:rsidRPr="00A26FD5" w:rsidRDefault="00DC7067" w:rsidP="00596E28">
            <w:pPr>
              <w:jc w:val="center"/>
              <w:rPr>
                <w:szCs w:val="22"/>
              </w:rPr>
            </w:pPr>
            <w:r w:rsidRPr="00A26FD5">
              <w:rPr>
                <w:szCs w:val="22"/>
              </w:rPr>
              <w:t>32</w:t>
            </w:r>
          </w:p>
        </w:tc>
        <w:tc>
          <w:tcPr>
            <w:tcW w:w="1370" w:type="pct"/>
            <w:hideMark/>
          </w:tcPr>
          <w:p w14:paraId="45583CF4" w14:textId="77777777" w:rsidR="00DC7067" w:rsidRPr="00A26FD5" w:rsidRDefault="00DC7067" w:rsidP="00596E28">
            <w:pPr>
              <w:jc w:val="center"/>
              <w:rPr>
                <w:szCs w:val="22"/>
              </w:rPr>
            </w:pPr>
            <w:r w:rsidRPr="00A26FD5">
              <w:rPr>
                <w:szCs w:val="22"/>
              </w:rPr>
              <w:t>5.4</w:t>
            </w:r>
          </w:p>
        </w:tc>
        <w:tc>
          <w:tcPr>
            <w:tcW w:w="1233" w:type="pct"/>
          </w:tcPr>
          <w:p w14:paraId="65272804" w14:textId="77777777" w:rsidR="00DC7067" w:rsidRPr="00A26FD5" w:rsidRDefault="00DC7067" w:rsidP="00596E28">
            <w:pPr>
              <w:jc w:val="center"/>
              <w:rPr>
                <w:szCs w:val="22"/>
              </w:rPr>
            </w:pPr>
            <w:r w:rsidRPr="00A26FD5">
              <w:rPr>
                <w:szCs w:val="22"/>
              </w:rPr>
              <w:t>21.7</w:t>
            </w:r>
          </w:p>
        </w:tc>
      </w:tr>
      <w:tr w:rsidR="00DC7067" w:rsidRPr="00A26FD5" w14:paraId="702D6C72" w14:textId="77777777" w:rsidTr="00274C8E">
        <w:trPr>
          <w:trHeight w:val="61"/>
        </w:trPr>
        <w:tc>
          <w:tcPr>
            <w:tcW w:w="1395" w:type="pct"/>
          </w:tcPr>
          <w:p w14:paraId="1E864D8D" w14:textId="77777777" w:rsidR="00DC7067" w:rsidRPr="00A26FD5" w:rsidRDefault="00DC7067" w:rsidP="00596E28">
            <w:pPr>
              <w:rPr>
                <w:szCs w:val="22"/>
              </w:rPr>
            </w:pPr>
            <w:r w:rsidRPr="00A26FD5">
              <w:rPr>
                <w:szCs w:val="22"/>
              </w:rPr>
              <w:t>Americas</w:t>
            </w:r>
          </w:p>
        </w:tc>
        <w:tc>
          <w:tcPr>
            <w:tcW w:w="1002" w:type="pct"/>
          </w:tcPr>
          <w:p w14:paraId="2159ECDF" w14:textId="77777777" w:rsidR="00DC7067" w:rsidRPr="00A26FD5" w:rsidRDefault="00DC7067" w:rsidP="00596E28">
            <w:pPr>
              <w:jc w:val="center"/>
              <w:rPr>
                <w:szCs w:val="22"/>
              </w:rPr>
            </w:pPr>
            <w:r w:rsidRPr="00A26FD5">
              <w:rPr>
                <w:szCs w:val="22"/>
              </w:rPr>
              <w:t>34</w:t>
            </w:r>
          </w:p>
        </w:tc>
        <w:tc>
          <w:tcPr>
            <w:tcW w:w="1370" w:type="pct"/>
          </w:tcPr>
          <w:p w14:paraId="11E0E7E7" w14:textId="77777777" w:rsidR="00DC7067" w:rsidRPr="00A26FD5" w:rsidRDefault="00DC7067" w:rsidP="00596E28">
            <w:pPr>
              <w:jc w:val="center"/>
              <w:rPr>
                <w:szCs w:val="22"/>
              </w:rPr>
            </w:pPr>
            <w:r w:rsidRPr="00A26FD5">
              <w:rPr>
                <w:szCs w:val="22"/>
              </w:rPr>
              <w:t>18.0</w:t>
            </w:r>
          </w:p>
        </w:tc>
        <w:tc>
          <w:tcPr>
            <w:tcW w:w="1233" w:type="pct"/>
          </w:tcPr>
          <w:p w14:paraId="7C2D47EE" w14:textId="77777777" w:rsidR="00DC7067" w:rsidRPr="00A26FD5" w:rsidRDefault="00DC7067" w:rsidP="00596E28">
            <w:pPr>
              <w:jc w:val="center"/>
              <w:rPr>
                <w:szCs w:val="22"/>
              </w:rPr>
            </w:pPr>
            <w:r w:rsidRPr="00A26FD5">
              <w:rPr>
                <w:szCs w:val="22"/>
              </w:rPr>
              <w:t>15.6</w:t>
            </w:r>
          </w:p>
        </w:tc>
      </w:tr>
    </w:tbl>
    <w:p w14:paraId="19A63C57" w14:textId="6130746E" w:rsidR="00DC7067" w:rsidRPr="008608AA" w:rsidRDefault="00DC7067" w:rsidP="00DC7067">
      <w:pPr>
        <w:rPr>
          <w:rFonts w:eastAsia="Calibri"/>
          <w:sz w:val="20"/>
          <w:szCs w:val="20"/>
        </w:rPr>
      </w:pPr>
      <w:r w:rsidRPr="008608AA">
        <w:rPr>
          <w:sz w:val="20"/>
          <w:szCs w:val="20"/>
        </w:rPr>
        <w:t>So</w:t>
      </w:r>
      <w:r w:rsidRPr="008608AA">
        <w:rPr>
          <w:rFonts w:eastAsia="Calibri"/>
          <w:sz w:val="20"/>
          <w:szCs w:val="20"/>
        </w:rPr>
        <w:t>urce: The World Bank (2017). World Development I</w:t>
      </w:r>
      <w:r w:rsidR="009E4D36" w:rsidRPr="008608AA">
        <w:rPr>
          <w:rFonts w:eastAsia="Calibri"/>
          <w:sz w:val="20"/>
          <w:szCs w:val="20"/>
        </w:rPr>
        <w:t>ndicators (Last Updated Date: 0</w:t>
      </w:r>
      <w:r w:rsidRPr="008608AA">
        <w:rPr>
          <w:rFonts w:eastAsia="Calibri"/>
          <w:sz w:val="20"/>
          <w:szCs w:val="20"/>
        </w:rPr>
        <w:t xml:space="preserve">8.02.2017): </w:t>
      </w:r>
      <w:hyperlink r:id="rId973" w:history="1">
        <w:r w:rsidR="00274C8E" w:rsidRPr="008608AA">
          <w:rPr>
            <w:rStyle w:val="Hyperlink"/>
            <w:rFonts w:eastAsia="Calibri"/>
            <w:sz w:val="20"/>
            <w:szCs w:val="20"/>
          </w:rPr>
          <w:t>www.worldbank.org</w:t>
        </w:r>
      </w:hyperlink>
    </w:p>
    <w:p w14:paraId="5F95FCCD" w14:textId="77777777" w:rsidR="00274C8E" w:rsidRPr="008608AA" w:rsidRDefault="00274C8E" w:rsidP="00DC7067">
      <w:pPr>
        <w:rPr>
          <w:rFonts w:eastAsia="Calibri"/>
          <w:sz w:val="20"/>
          <w:szCs w:val="20"/>
        </w:rPr>
      </w:pPr>
    </w:p>
    <w:p w14:paraId="3A5A47A4" w14:textId="5BAA2DEC" w:rsidR="00813E65" w:rsidRPr="008608AA" w:rsidRDefault="001E61A6" w:rsidP="00274C8E">
      <w:pPr>
        <w:rPr>
          <w:rFonts w:eastAsia="Calibri"/>
        </w:rPr>
      </w:pPr>
      <w:r w:rsidRPr="006D1B0B">
        <w:rPr>
          <w:rFonts w:eastAsia="Calibri"/>
        </w:rPr>
        <w:t xml:space="preserve">The </w:t>
      </w:r>
      <w:r w:rsidR="006D1B0B">
        <w:rPr>
          <w:rFonts w:eastAsia="Calibri"/>
        </w:rPr>
        <w:t xml:space="preserve">Table 4.6 </w:t>
      </w:r>
      <w:r w:rsidRPr="008608AA">
        <w:rPr>
          <w:rFonts w:eastAsia="Calibri"/>
        </w:rPr>
        <w:t>prese</w:t>
      </w:r>
      <w:r w:rsidR="00DC7067" w:rsidRPr="008608AA">
        <w:rPr>
          <w:rFonts w:eastAsia="Calibri"/>
        </w:rPr>
        <w:t>nts the potential pressures on n</w:t>
      </w:r>
      <w:r w:rsidRPr="008608AA">
        <w:rPr>
          <w:rFonts w:eastAsia="Calibri"/>
        </w:rPr>
        <w:t>ature and NCP due to the dynamics of trade and financial trends. In South America, for instance, export policies and currency exchange rates (Richards et al</w:t>
      </w:r>
      <w:r w:rsidR="00813E65" w:rsidRPr="008608AA">
        <w:rPr>
          <w:rFonts w:eastAsia="Calibri"/>
        </w:rPr>
        <w:t>.,</w:t>
      </w:r>
      <w:r w:rsidRPr="008608AA">
        <w:rPr>
          <w:rFonts w:eastAsia="Calibri"/>
        </w:rPr>
        <w:t xml:space="preserve"> 2012) have created incentives to buy land for planting soybean, and this explains the high deforestation rate in ecosystems like the South American Chaco. This has generated not only high export revenues but also the devastation of nature as well as increasing poverty and social conflicts (B</w:t>
      </w:r>
      <w:r w:rsidR="003D036F" w:rsidRPr="008608AA">
        <w:rPr>
          <w:rFonts w:eastAsia="Calibri"/>
        </w:rPr>
        <w:t>arbará</w:t>
      </w:r>
      <w:r w:rsidRPr="008608AA">
        <w:rPr>
          <w:rFonts w:eastAsia="Calibri"/>
        </w:rPr>
        <w:t>n, 2015; Barb</w:t>
      </w:r>
      <w:r w:rsidR="003D036F" w:rsidRPr="008608AA">
        <w:rPr>
          <w:rFonts w:eastAsia="Calibri"/>
        </w:rPr>
        <w:t>ará</w:t>
      </w:r>
      <w:r w:rsidRPr="008608AA">
        <w:rPr>
          <w:rFonts w:eastAsia="Calibri"/>
        </w:rPr>
        <w:t>n et al., 2015; Weinhold et al</w:t>
      </w:r>
      <w:r w:rsidR="00813E65" w:rsidRPr="008608AA">
        <w:rPr>
          <w:rFonts w:eastAsia="Calibri"/>
        </w:rPr>
        <w:t>.</w:t>
      </w:r>
      <w:r w:rsidRPr="008608AA">
        <w:rPr>
          <w:rFonts w:eastAsia="Calibri"/>
        </w:rPr>
        <w:t>, 2013).</w:t>
      </w:r>
      <w:r w:rsidR="00813E65" w:rsidRPr="008608AA">
        <w:rPr>
          <w:rFonts w:eastAsia="Calibri"/>
        </w:rPr>
        <w:t xml:space="preserve"> </w:t>
      </w:r>
    </w:p>
    <w:p w14:paraId="38D1D4FD" w14:textId="77777777" w:rsidR="00813E65" w:rsidRPr="008608AA" w:rsidRDefault="00813E65" w:rsidP="00274C8E">
      <w:pPr>
        <w:rPr>
          <w:rFonts w:eastAsia="Calibri"/>
        </w:rPr>
      </w:pPr>
    </w:p>
    <w:p w14:paraId="32AE1DD5" w14:textId="1DC29F2B" w:rsidR="00053693" w:rsidRPr="008608AA" w:rsidRDefault="001E61A6" w:rsidP="00274C8E">
      <w:pPr>
        <w:rPr>
          <w:rFonts w:eastAsia="Calibri"/>
        </w:rPr>
      </w:pPr>
      <w:r w:rsidRPr="008608AA">
        <w:rPr>
          <w:rFonts w:eastAsia="Calibri"/>
        </w:rPr>
        <w:t xml:space="preserve">The cumulative </w:t>
      </w:r>
      <w:r w:rsidRPr="008608AA">
        <w:rPr>
          <w:rFonts w:eastAsia="Calibri"/>
          <w:bCs/>
        </w:rPr>
        <w:t>foreign debt</w:t>
      </w:r>
      <w:r w:rsidRPr="008608AA">
        <w:rPr>
          <w:rFonts w:eastAsia="Calibri"/>
        </w:rPr>
        <w:t xml:space="preserve"> for Latin America and the Caribbean countries reached $2</w:t>
      </w:r>
      <w:r w:rsidR="00813E65" w:rsidRPr="008608AA">
        <w:rPr>
          <w:rFonts w:eastAsia="Calibri"/>
        </w:rPr>
        <w:t>,</w:t>
      </w:r>
      <w:r w:rsidRPr="008608AA">
        <w:rPr>
          <w:rFonts w:eastAsia="Calibri"/>
        </w:rPr>
        <w:t>062 billion in 2016, with a per capita foreign debt for the region of $3</w:t>
      </w:r>
      <w:r w:rsidR="00813E65" w:rsidRPr="008608AA">
        <w:rPr>
          <w:rFonts w:eastAsia="Calibri"/>
        </w:rPr>
        <w:t>,</w:t>
      </w:r>
      <w:r w:rsidRPr="008608AA">
        <w:rPr>
          <w:rFonts w:eastAsia="Calibri"/>
        </w:rPr>
        <w:t>250. Total cumulative payments of foreign debt service (interests and amortization) increased to $3</w:t>
      </w:r>
      <w:r w:rsidR="00813E65" w:rsidRPr="008608AA">
        <w:rPr>
          <w:rFonts w:eastAsia="Calibri"/>
        </w:rPr>
        <w:t>,</w:t>
      </w:r>
      <w:r w:rsidRPr="008608AA">
        <w:rPr>
          <w:rFonts w:eastAsia="Calibri"/>
        </w:rPr>
        <w:t>461 billion during 2008-2016. The regional payments to cover the foreign debt service accounted for 51.4% of Latin America and the Caribbean export income (including goods and services) in 2016</w:t>
      </w:r>
      <w:r w:rsidR="00813E65" w:rsidRPr="008608AA">
        <w:rPr>
          <w:rFonts w:eastAsia="Calibri"/>
        </w:rPr>
        <w:t xml:space="preserve"> (b</w:t>
      </w:r>
      <w:r w:rsidRPr="008608AA">
        <w:rPr>
          <w:rFonts w:eastAsia="Calibri"/>
        </w:rPr>
        <w:t>ased on IMF</w:t>
      </w:r>
      <w:r w:rsidR="003D036F" w:rsidRPr="008608AA">
        <w:rPr>
          <w:rFonts w:eastAsia="Calibri"/>
        </w:rPr>
        <w:t>,</w:t>
      </w:r>
      <w:r w:rsidRPr="008608AA">
        <w:rPr>
          <w:rFonts w:eastAsia="Calibri"/>
        </w:rPr>
        <w:t xml:space="preserve"> 2014, 2015</w:t>
      </w:r>
      <w:r w:rsidR="00813E65" w:rsidRPr="008608AA">
        <w:rPr>
          <w:rFonts w:eastAsia="Calibri"/>
        </w:rPr>
        <w:t>, 2016,</w:t>
      </w:r>
      <w:r w:rsidRPr="008608AA">
        <w:rPr>
          <w:rFonts w:eastAsia="Calibri"/>
        </w:rPr>
        <w:t xml:space="preserve"> 2017).  South America absorbs 70% of regional Latin America and the Caribbean foreign debt (corresponding 22% to Brazil); Mesoamerica, 27% (with Mexico absorbing 21%); and the Caribbean, 3% (based on CEPAL, 2016). </w:t>
      </w:r>
    </w:p>
    <w:p w14:paraId="4F206BF6" w14:textId="5B9B348B" w:rsidR="001E61A6" w:rsidRPr="008608AA" w:rsidRDefault="001E61A6" w:rsidP="00274C8E">
      <w:pPr>
        <w:spacing w:before="240"/>
        <w:rPr>
          <w:rFonts w:eastAsia="Calibri"/>
        </w:rPr>
      </w:pPr>
      <w:r w:rsidRPr="008608AA">
        <w:rPr>
          <w:rFonts w:eastAsia="Calibri"/>
        </w:rPr>
        <w:t>Foreign debt for North America reached around $20.6 trillion in 2016 / early 2017 (corresponding 89% of this amount to the USA</w:t>
      </w:r>
      <w:r w:rsidRPr="008608AA">
        <w:rPr>
          <w:rStyle w:val="FootnoteReference"/>
          <w:rFonts w:eastAsia="Calibri"/>
          <w:lang w:val="en-GB"/>
        </w:rPr>
        <w:footnoteReference w:id="25"/>
      </w:r>
      <w:r w:rsidRPr="008608AA">
        <w:rPr>
          <w:rFonts w:eastAsia="Calibri"/>
        </w:rPr>
        <w:t xml:space="preserve">). </w:t>
      </w:r>
      <w:r w:rsidRPr="008608AA">
        <w:t>Approximately 80% of USA foreign debt is denominated in US</w:t>
      </w:r>
      <w:r w:rsidR="00813E65" w:rsidRPr="008608AA">
        <w:t>A</w:t>
      </w:r>
      <w:r w:rsidRPr="008608AA">
        <w:t xml:space="preserve"> dollars. Foreign lenders have been willing to hold US</w:t>
      </w:r>
      <w:r w:rsidR="00813E65" w:rsidRPr="008608AA">
        <w:t>A</w:t>
      </w:r>
      <w:r w:rsidRPr="008608AA">
        <w:t xml:space="preserve"> dollar denominated debt instruments because they perceive the dollar as the world's reserve currency. With the US</w:t>
      </w:r>
      <w:r w:rsidR="00813E65" w:rsidRPr="008608AA">
        <w:t>A</w:t>
      </w:r>
      <w:r w:rsidRPr="008608AA">
        <w:t xml:space="preserve"> dollar being the national currency of the USA, this makes a significant qualitative difference between the foreign debt status of North America with regard to other regions of the Americas.</w:t>
      </w:r>
    </w:p>
    <w:p w14:paraId="79F88F34" w14:textId="6BA971FA" w:rsidR="009E4D36" w:rsidRPr="008608AA" w:rsidRDefault="001E61A6" w:rsidP="00274C8E">
      <w:pPr>
        <w:spacing w:before="120"/>
        <w:rPr>
          <w:rFonts w:eastAsia="Calibri"/>
        </w:rPr>
      </w:pPr>
      <w:r w:rsidRPr="008608AA">
        <w:rPr>
          <w:rFonts w:eastAsia="Calibri"/>
        </w:rPr>
        <w:t xml:space="preserve">The flow of </w:t>
      </w:r>
      <w:r w:rsidRPr="008608AA">
        <w:rPr>
          <w:rFonts w:eastAsia="Calibri"/>
          <w:bCs/>
        </w:rPr>
        <w:t>foreign direct investments</w:t>
      </w:r>
      <w:r w:rsidRPr="008608AA">
        <w:rPr>
          <w:rFonts w:eastAsia="Calibri"/>
        </w:rPr>
        <w:t xml:space="preserve"> to the Latin America and the Caribbean region totaled $134.8 billion in 2015 (8% below the average flow for the period 2011- 2014). This trend has been influenced to a great extent by the declining tendency of prices for commodities exported by the region. South America hosted 73% of foreign direct investments flows to Latin America and the Caribbean in 2015 (only Brazil, 46%); Mesoamerica, 24% (only Mexico 16%) and the Caribbean, 3% (based on CEPAL, 2016).</w:t>
      </w:r>
      <w:r w:rsidR="00DC7067" w:rsidRPr="008608AA">
        <w:rPr>
          <w:rFonts w:eastAsia="Calibri"/>
        </w:rPr>
        <w:t xml:space="preserve"> F</w:t>
      </w:r>
      <w:r w:rsidRPr="008608AA">
        <w:rPr>
          <w:rFonts w:eastAsia="Calibri"/>
        </w:rPr>
        <w:t xml:space="preserve">oreign direct investments inflows to North America reached </w:t>
      </w:r>
      <w:r w:rsidR="003A47B9" w:rsidRPr="008608AA">
        <w:rPr>
          <w:rFonts w:eastAsia="Calibri"/>
        </w:rPr>
        <w:t>$</w:t>
      </w:r>
      <w:r w:rsidRPr="008608AA">
        <w:rPr>
          <w:rFonts w:eastAsia="Calibri"/>
        </w:rPr>
        <w:t>428.5 billion in 2015 (only USA 89%) (UNCTAD, 2016).</w:t>
      </w:r>
      <w:bookmarkStart w:id="1381" w:name="_Hlk494357414"/>
    </w:p>
    <w:p w14:paraId="41C9E08A" w14:textId="4E8E43F1" w:rsidR="001E61A6" w:rsidRPr="008608AA" w:rsidRDefault="00274C8E" w:rsidP="00274C8E">
      <w:pPr>
        <w:pStyle w:val="Caption"/>
        <w:rPr>
          <w:szCs w:val="20"/>
        </w:rPr>
      </w:pPr>
      <w:bookmarkStart w:id="1382" w:name="_Toc494482720"/>
      <w:bookmarkStart w:id="1383" w:name="_Toc499459689"/>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6</w:t>
      </w:r>
      <w:r w:rsidR="000E562E">
        <w:rPr>
          <w:noProof/>
        </w:rPr>
        <w:fldChar w:fldCharType="end"/>
      </w:r>
      <w:r w:rsidR="001E61A6" w:rsidRPr="008608AA">
        <w:rPr>
          <w:szCs w:val="20"/>
        </w:rPr>
        <w:t>. Potential pressures on biodiversity and ecosystem services due to the dynamics of trade and financial trends.</w:t>
      </w:r>
      <w:bookmarkEnd w:id="1382"/>
      <w:bookmarkEnd w:id="1383"/>
    </w:p>
    <w:tbl>
      <w:tblPr>
        <w:tblStyle w:val="TableGrid"/>
        <w:tblW w:w="5000" w:type="pct"/>
        <w:tblLook w:val="04A0" w:firstRow="1" w:lastRow="0" w:firstColumn="1" w:lastColumn="0" w:noHBand="0" w:noVBand="1"/>
      </w:tblPr>
      <w:tblGrid>
        <w:gridCol w:w="2874"/>
        <w:gridCol w:w="3446"/>
        <w:gridCol w:w="3167"/>
      </w:tblGrid>
      <w:tr w:rsidR="001E61A6" w:rsidRPr="00A26FD5" w14:paraId="094398AA" w14:textId="77777777" w:rsidTr="00274C8E">
        <w:tc>
          <w:tcPr>
            <w:tcW w:w="1515" w:type="pct"/>
            <w:shd w:val="clear" w:color="auto" w:fill="BFBFBF" w:themeFill="background1" w:themeFillShade="BF"/>
            <w:vAlign w:val="bottom"/>
          </w:tcPr>
          <w:bookmarkEnd w:id="1381"/>
          <w:p w14:paraId="78B7DB28" w14:textId="77777777" w:rsidR="001E61A6" w:rsidRPr="00A26FD5" w:rsidRDefault="001E61A6" w:rsidP="00274C8E">
            <w:pPr>
              <w:spacing w:after="120"/>
              <w:jc w:val="center"/>
              <w:rPr>
                <w:rFonts w:eastAsia="Calibri"/>
                <w:b/>
                <w:szCs w:val="22"/>
              </w:rPr>
            </w:pPr>
            <w:r w:rsidRPr="00A26FD5">
              <w:rPr>
                <w:rFonts w:eastAsia="Calibri"/>
                <w:b/>
                <w:szCs w:val="22"/>
              </w:rPr>
              <w:t>Trade &amp; Finance Indicators</w:t>
            </w:r>
          </w:p>
        </w:tc>
        <w:tc>
          <w:tcPr>
            <w:tcW w:w="1816" w:type="pct"/>
            <w:shd w:val="clear" w:color="auto" w:fill="BFBFBF" w:themeFill="background1" w:themeFillShade="BF"/>
            <w:vAlign w:val="bottom"/>
          </w:tcPr>
          <w:p w14:paraId="405F833E" w14:textId="6CCC9FE2" w:rsidR="001E61A6" w:rsidRPr="00A26FD5" w:rsidRDefault="001E61A6" w:rsidP="00274C8E">
            <w:pPr>
              <w:spacing w:after="120"/>
              <w:jc w:val="center"/>
              <w:rPr>
                <w:rFonts w:eastAsia="Calibri"/>
                <w:b/>
                <w:szCs w:val="22"/>
              </w:rPr>
            </w:pPr>
            <w:r w:rsidRPr="00A26FD5">
              <w:rPr>
                <w:rFonts w:eastAsia="Calibri"/>
                <w:b/>
                <w:szCs w:val="22"/>
              </w:rPr>
              <w:t>Case 1</w:t>
            </w:r>
          </w:p>
        </w:tc>
        <w:tc>
          <w:tcPr>
            <w:tcW w:w="1669" w:type="pct"/>
            <w:shd w:val="clear" w:color="auto" w:fill="BFBFBF" w:themeFill="background1" w:themeFillShade="BF"/>
            <w:vAlign w:val="bottom"/>
          </w:tcPr>
          <w:p w14:paraId="2B3AC927" w14:textId="011EA20F" w:rsidR="001E61A6" w:rsidRPr="00A26FD5" w:rsidRDefault="001E61A6" w:rsidP="00274C8E">
            <w:pPr>
              <w:spacing w:after="120"/>
              <w:jc w:val="center"/>
              <w:rPr>
                <w:rFonts w:eastAsia="Calibri"/>
                <w:b/>
                <w:szCs w:val="22"/>
              </w:rPr>
            </w:pPr>
            <w:r w:rsidRPr="00A26FD5">
              <w:rPr>
                <w:rFonts w:eastAsia="Calibri"/>
                <w:b/>
                <w:szCs w:val="22"/>
              </w:rPr>
              <w:t>Case 2</w:t>
            </w:r>
          </w:p>
        </w:tc>
      </w:tr>
      <w:tr w:rsidR="001E61A6" w:rsidRPr="00A26FD5" w14:paraId="0409D85B" w14:textId="77777777" w:rsidTr="00274C8E">
        <w:tc>
          <w:tcPr>
            <w:tcW w:w="1515" w:type="pct"/>
          </w:tcPr>
          <w:p w14:paraId="01446DC8" w14:textId="7A34E617" w:rsidR="001E61A6" w:rsidRPr="00A26FD5" w:rsidRDefault="001E61A6" w:rsidP="00C56F52">
            <w:pPr>
              <w:spacing w:after="120"/>
              <w:rPr>
                <w:rFonts w:eastAsia="Calibri"/>
                <w:szCs w:val="22"/>
              </w:rPr>
            </w:pPr>
            <w:r w:rsidRPr="00A26FD5">
              <w:rPr>
                <w:rFonts w:eastAsia="Calibri"/>
                <w:szCs w:val="22"/>
              </w:rPr>
              <w:t>Prices</w:t>
            </w:r>
            <w:r w:rsidR="003D036F" w:rsidRPr="00A26FD5">
              <w:rPr>
                <w:rFonts w:eastAsia="Calibri"/>
                <w:szCs w:val="22"/>
              </w:rPr>
              <w:t xml:space="preserve"> </w:t>
            </w:r>
            <w:r w:rsidRPr="00A26FD5">
              <w:rPr>
                <w:rFonts w:eastAsia="Calibri"/>
                <w:szCs w:val="22"/>
              </w:rPr>
              <w:t>for relevant export products based on natural resources (including carbon intensive exports).</w:t>
            </w:r>
          </w:p>
        </w:tc>
        <w:tc>
          <w:tcPr>
            <w:tcW w:w="1816" w:type="pct"/>
          </w:tcPr>
          <w:p w14:paraId="393431BA" w14:textId="77777777" w:rsidR="001E61A6" w:rsidRPr="00A26FD5" w:rsidRDefault="001E61A6" w:rsidP="00C56F52">
            <w:pPr>
              <w:spacing w:after="120"/>
              <w:rPr>
                <w:rFonts w:eastAsia="Calibri"/>
                <w:szCs w:val="22"/>
              </w:rPr>
            </w:pPr>
            <w:r w:rsidRPr="00A26FD5">
              <w:rPr>
                <w:rFonts w:eastAsia="Calibri"/>
                <w:b/>
                <w:bCs/>
                <w:szCs w:val="22"/>
              </w:rPr>
              <w:t xml:space="preserve">High prices:  </w:t>
            </w:r>
            <w:r w:rsidRPr="00A26FD5">
              <w:rPr>
                <w:rFonts w:eastAsia="Calibri"/>
                <w:szCs w:val="22"/>
              </w:rPr>
              <w:t xml:space="preserve">Potential pressures on biodiversity due to the incentive of having high export prices. New exporters can emerge. </w:t>
            </w:r>
          </w:p>
        </w:tc>
        <w:tc>
          <w:tcPr>
            <w:tcW w:w="1669" w:type="pct"/>
          </w:tcPr>
          <w:p w14:paraId="22647C86" w14:textId="77777777" w:rsidR="001E61A6" w:rsidRPr="00A26FD5" w:rsidRDefault="001E61A6" w:rsidP="00C56F52">
            <w:pPr>
              <w:spacing w:after="120"/>
              <w:rPr>
                <w:rFonts w:eastAsia="Calibri"/>
                <w:szCs w:val="22"/>
              </w:rPr>
            </w:pPr>
            <w:r w:rsidRPr="00A26FD5">
              <w:rPr>
                <w:rFonts w:eastAsia="Calibri"/>
                <w:b/>
                <w:bCs/>
                <w:szCs w:val="22"/>
              </w:rPr>
              <w:t xml:space="preserve">Low prices: </w:t>
            </w:r>
            <w:r w:rsidRPr="00A26FD5">
              <w:rPr>
                <w:rFonts w:eastAsia="Calibri"/>
                <w:szCs w:val="22"/>
              </w:rPr>
              <w:t xml:space="preserve"> Potential pressures due to attempts to compensate losses in export prices with increasing export physical volumes.</w:t>
            </w:r>
          </w:p>
        </w:tc>
      </w:tr>
      <w:tr w:rsidR="001E61A6" w:rsidRPr="00A26FD5" w14:paraId="2CE5B805" w14:textId="77777777" w:rsidTr="00274C8E">
        <w:tc>
          <w:tcPr>
            <w:tcW w:w="1515" w:type="pct"/>
          </w:tcPr>
          <w:p w14:paraId="08BDCCF7" w14:textId="706722F1" w:rsidR="001E61A6" w:rsidRPr="00A26FD5" w:rsidRDefault="001E61A6" w:rsidP="00C56F52">
            <w:pPr>
              <w:spacing w:after="120"/>
              <w:rPr>
                <w:rFonts w:eastAsia="Calibri"/>
                <w:szCs w:val="22"/>
              </w:rPr>
            </w:pPr>
            <w:r w:rsidRPr="00A26FD5">
              <w:rPr>
                <w:rFonts w:eastAsia="Calibri"/>
                <w:szCs w:val="22"/>
              </w:rPr>
              <w:t>Trade Policies for trading products based on natural resources</w:t>
            </w:r>
            <w:r w:rsidR="00AC5741" w:rsidRPr="00A26FD5">
              <w:rPr>
                <w:rFonts w:eastAsia="Calibri"/>
                <w:szCs w:val="22"/>
              </w:rPr>
              <w:t>.</w:t>
            </w:r>
          </w:p>
        </w:tc>
        <w:tc>
          <w:tcPr>
            <w:tcW w:w="1816" w:type="pct"/>
          </w:tcPr>
          <w:p w14:paraId="746CD228" w14:textId="6310F79D" w:rsidR="001E61A6" w:rsidRPr="00A26FD5" w:rsidRDefault="001E61A6" w:rsidP="00C56F52">
            <w:pPr>
              <w:spacing w:after="120"/>
              <w:rPr>
                <w:rFonts w:eastAsia="Calibri"/>
                <w:b/>
                <w:szCs w:val="22"/>
              </w:rPr>
            </w:pPr>
            <w:r w:rsidRPr="00A26FD5">
              <w:rPr>
                <w:rFonts w:eastAsia="Calibri"/>
                <w:b/>
                <w:bCs/>
                <w:szCs w:val="22"/>
              </w:rPr>
              <w:t>Restrictive policies (e.g. protection</w:t>
            </w:r>
            <w:r w:rsidR="003D036F" w:rsidRPr="00A26FD5">
              <w:rPr>
                <w:rFonts w:eastAsia="Calibri"/>
                <w:b/>
                <w:bCs/>
                <w:szCs w:val="22"/>
              </w:rPr>
              <w:t>ist measures / trade barriers):</w:t>
            </w:r>
            <w:r w:rsidRPr="00A26FD5">
              <w:rPr>
                <w:rFonts w:eastAsia="Calibri"/>
                <w:b/>
                <w:bCs/>
                <w:szCs w:val="22"/>
              </w:rPr>
              <w:t xml:space="preserve"> </w:t>
            </w:r>
            <w:r w:rsidRPr="00A26FD5">
              <w:rPr>
                <w:rFonts w:eastAsia="Calibri"/>
                <w:szCs w:val="22"/>
              </w:rPr>
              <w:t>Potential pressures on biodiversity in the importing countries as non-efficient producers may be competitive. Growing pressures on biodiversity in exporting countries, due to efforts to find alternative export solutions with limited options.</w:t>
            </w:r>
          </w:p>
        </w:tc>
        <w:tc>
          <w:tcPr>
            <w:tcW w:w="1669" w:type="pct"/>
          </w:tcPr>
          <w:p w14:paraId="0DC72BBD" w14:textId="1CF83E32" w:rsidR="001E61A6" w:rsidRPr="00A26FD5" w:rsidRDefault="001E61A6" w:rsidP="00C56F52">
            <w:pPr>
              <w:spacing w:after="120"/>
              <w:rPr>
                <w:rFonts w:eastAsia="Calibri"/>
                <w:szCs w:val="22"/>
              </w:rPr>
            </w:pPr>
            <w:r w:rsidRPr="00A26FD5">
              <w:rPr>
                <w:rFonts w:eastAsia="Calibri"/>
                <w:b/>
                <w:bCs/>
                <w:szCs w:val="22"/>
              </w:rPr>
              <w:t xml:space="preserve">Non-restrictive polices (e.g. trade liberalization): </w:t>
            </w:r>
            <w:r w:rsidRPr="00A26FD5">
              <w:rPr>
                <w:rFonts w:eastAsia="Calibri"/>
                <w:szCs w:val="22"/>
              </w:rPr>
              <w:t>Significant pressures on biodiversity when these measures are not carried out in a sustainable development context, as they may encourage a massive flow of trade.</w:t>
            </w:r>
          </w:p>
        </w:tc>
      </w:tr>
      <w:tr w:rsidR="001E61A6" w:rsidRPr="00A26FD5" w14:paraId="31753643" w14:textId="77777777" w:rsidTr="00274C8E">
        <w:tc>
          <w:tcPr>
            <w:tcW w:w="1515" w:type="pct"/>
          </w:tcPr>
          <w:p w14:paraId="03D160CD" w14:textId="2BE6B024" w:rsidR="001E61A6" w:rsidRPr="00A26FD5" w:rsidRDefault="001E61A6" w:rsidP="00C56F52">
            <w:pPr>
              <w:spacing w:after="120"/>
              <w:rPr>
                <w:rFonts w:eastAsia="Calibri"/>
                <w:szCs w:val="22"/>
              </w:rPr>
            </w:pPr>
            <w:r w:rsidRPr="00A26FD5">
              <w:rPr>
                <w:rFonts w:eastAsia="Calibri"/>
                <w:szCs w:val="22"/>
              </w:rPr>
              <w:t>Foreign Debt (in proportion to key indicators like GDP and/or export</w:t>
            </w:r>
            <w:r w:rsidR="00AC5741" w:rsidRPr="00A26FD5">
              <w:rPr>
                <w:rFonts w:eastAsia="Calibri"/>
                <w:szCs w:val="22"/>
              </w:rPr>
              <w:t>.</w:t>
            </w:r>
            <w:r w:rsidRPr="00A26FD5">
              <w:rPr>
                <w:rFonts w:eastAsia="Calibri"/>
                <w:szCs w:val="22"/>
              </w:rPr>
              <w:t xml:space="preserve"> income)</w:t>
            </w:r>
            <w:r w:rsidR="00AC5741" w:rsidRPr="00A26FD5">
              <w:rPr>
                <w:rFonts w:eastAsia="Calibri"/>
                <w:szCs w:val="22"/>
              </w:rPr>
              <w:t>.</w:t>
            </w:r>
          </w:p>
        </w:tc>
        <w:tc>
          <w:tcPr>
            <w:tcW w:w="1816" w:type="pct"/>
          </w:tcPr>
          <w:p w14:paraId="127B48CE" w14:textId="77777777" w:rsidR="001E61A6" w:rsidRPr="00A26FD5" w:rsidRDefault="001E61A6" w:rsidP="00C56F52">
            <w:pPr>
              <w:spacing w:after="120"/>
              <w:rPr>
                <w:rFonts w:eastAsia="Calibri"/>
                <w:b/>
                <w:szCs w:val="22"/>
              </w:rPr>
            </w:pPr>
            <w:r w:rsidRPr="00A26FD5">
              <w:rPr>
                <w:rFonts w:eastAsia="Calibri"/>
                <w:b/>
                <w:bCs/>
                <w:szCs w:val="22"/>
              </w:rPr>
              <w:t>High levels</w:t>
            </w:r>
            <w:r w:rsidRPr="00A26FD5">
              <w:rPr>
                <w:rFonts w:eastAsia="Calibri"/>
                <w:szCs w:val="22"/>
              </w:rPr>
              <w:t>: Significant pressures on biodiversity in debtor countries, as they struggle for get additional income to serve the foreign debt, with one option being increasing export of products / services based on natural resources.</w:t>
            </w:r>
          </w:p>
        </w:tc>
        <w:tc>
          <w:tcPr>
            <w:tcW w:w="1669" w:type="pct"/>
          </w:tcPr>
          <w:p w14:paraId="1EA4C062" w14:textId="77777777" w:rsidR="001E61A6" w:rsidRPr="00A26FD5" w:rsidRDefault="001E61A6" w:rsidP="00C56F52">
            <w:pPr>
              <w:spacing w:after="120"/>
              <w:rPr>
                <w:rFonts w:eastAsia="Calibri"/>
                <w:szCs w:val="22"/>
              </w:rPr>
            </w:pPr>
            <w:r w:rsidRPr="00A26FD5">
              <w:rPr>
                <w:rFonts w:eastAsia="Calibri"/>
                <w:b/>
                <w:bCs/>
                <w:szCs w:val="22"/>
              </w:rPr>
              <w:t xml:space="preserve">Low levels : </w:t>
            </w:r>
            <w:r w:rsidRPr="00A26FD5">
              <w:rPr>
                <w:rFonts w:eastAsia="Calibri"/>
                <w:szCs w:val="22"/>
              </w:rPr>
              <w:t>Low pressure on biodiversity.</w:t>
            </w:r>
          </w:p>
        </w:tc>
      </w:tr>
      <w:tr w:rsidR="001E61A6" w:rsidRPr="00A26FD5" w14:paraId="0F6D3C70" w14:textId="77777777" w:rsidTr="00274C8E">
        <w:tc>
          <w:tcPr>
            <w:tcW w:w="1515" w:type="pct"/>
          </w:tcPr>
          <w:p w14:paraId="78AF66D4" w14:textId="4C002B66" w:rsidR="001E61A6" w:rsidRPr="00A26FD5" w:rsidRDefault="001E61A6" w:rsidP="00C56F52">
            <w:pPr>
              <w:spacing w:after="120"/>
              <w:rPr>
                <w:rFonts w:eastAsia="Calibri"/>
                <w:szCs w:val="22"/>
              </w:rPr>
            </w:pPr>
            <w:r w:rsidRPr="00A26FD5">
              <w:rPr>
                <w:rFonts w:eastAsia="Calibri"/>
                <w:szCs w:val="22"/>
              </w:rPr>
              <w:t>Foreign Direct Investments (particularly in sectors based on natural resources)</w:t>
            </w:r>
            <w:r w:rsidR="00AC5741" w:rsidRPr="00A26FD5">
              <w:rPr>
                <w:rFonts w:eastAsia="Calibri"/>
                <w:szCs w:val="22"/>
              </w:rPr>
              <w:t>.</w:t>
            </w:r>
          </w:p>
        </w:tc>
        <w:tc>
          <w:tcPr>
            <w:tcW w:w="1816" w:type="pct"/>
          </w:tcPr>
          <w:p w14:paraId="7C08BF95" w14:textId="77777777" w:rsidR="001E61A6" w:rsidRPr="00A26FD5" w:rsidRDefault="001E61A6" w:rsidP="00C56F52">
            <w:pPr>
              <w:spacing w:after="120"/>
              <w:rPr>
                <w:rFonts w:eastAsia="Calibri"/>
                <w:b/>
                <w:szCs w:val="22"/>
              </w:rPr>
            </w:pPr>
            <w:r w:rsidRPr="00A26FD5">
              <w:rPr>
                <w:rFonts w:eastAsia="Calibri"/>
                <w:b/>
                <w:bCs/>
                <w:szCs w:val="22"/>
              </w:rPr>
              <w:t xml:space="preserve">Growing flows: </w:t>
            </w:r>
            <w:r w:rsidRPr="00A26FD5">
              <w:rPr>
                <w:rFonts w:eastAsia="Calibri"/>
                <w:szCs w:val="22"/>
              </w:rPr>
              <w:t>Significant pressures on biodiversity in the recipient country, particularly in absence of well- established local foreign direct investments laws to ensure sustainable use of natural resources.</w:t>
            </w:r>
          </w:p>
        </w:tc>
        <w:tc>
          <w:tcPr>
            <w:tcW w:w="1669" w:type="pct"/>
          </w:tcPr>
          <w:p w14:paraId="76AABEF9" w14:textId="77777777" w:rsidR="001E61A6" w:rsidRPr="00A26FD5" w:rsidRDefault="001E61A6" w:rsidP="00C56F52">
            <w:pPr>
              <w:spacing w:after="120"/>
              <w:rPr>
                <w:rFonts w:eastAsia="Calibri"/>
                <w:b/>
                <w:szCs w:val="22"/>
              </w:rPr>
            </w:pPr>
            <w:r w:rsidRPr="00A26FD5">
              <w:rPr>
                <w:rFonts w:eastAsia="Calibri"/>
                <w:b/>
                <w:bCs/>
                <w:szCs w:val="22"/>
              </w:rPr>
              <w:t xml:space="preserve">Declining flows: </w:t>
            </w:r>
            <w:r w:rsidRPr="00A26FD5">
              <w:rPr>
                <w:rFonts w:eastAsia="Calibri"/>
                <w:szCs w:val="22"/>
              </w:rPr>
              <w:t>Pressures on biodiversity would depend on local investment options as alternative to foreign direct investments.</w:t>
            </w:r>
          </w:p>
        </w:tc>
      </w:tr>
      <w:tr w:rsidR="001E61A6" w:rsidRPr="00A26FD5" w14:paraId="2B7BEABA" w14:textId="77777777" w:rsidTr="00274C8E">
        <w:tc>
          <w:tcPr>
            <w:tcW w:w="1515" w:type="pct"/>
          </w:tcPr>
          <w:p w14:paraId="6CB45067" w14:textId="29CBAC23" w:rsidR="001E61A6" w:rsidRPr="00A26FD5" w:rsidRDefault="001E61A6" w:rsidP="00C56F52">
            <w:pPr>
              <w:spacing w:after="120"/>
              <w:rPr>
                <w:rFonts w:eastAsia="Calibri"/>
                <w:szCs w:val="22"/>
              </w:rPr>
            </w:pPr>
            <w:r w:rsidRPr="00A26FD5">
              <w:rPr>
                <w:rFonts w:eastAsia="Calibri"/>
                <w:szCs w:val="22"/>
              </w:rPr>
              <w:t>Monetary Policies</w:t>
            </w:r>
            <w:r w:rsidR="00AC5741" w:rsidRPr="00A26FD5">
              <w:rPr>
                <w:rFonts w:eastAsia="Calibri"/>
                <w:szCs w:val="22"/>
              </w:rPr>
              <w:t>.</w:t>
            </w:r>
          </w:p>
        </w:tc>
        <w:tc>
          <w:tcPr>
            <w:tcW w:w="1816" w:type="pct"/>
          </w:tcPr>
          <w:p w14:paraId="5C7D76B4" w14:textId="77777777" w:rsidR="001E61A6" w:rsidRPr="00A26FD5" w:rsidRDefault="001E61A6" w:rsidP="00C56F52">
            <w:pPr>
              <w:spacing w:after="120"/>
              <w:rPr>
                <w:rFonts w:eastAsia="Calibri"/>
                <w:b/>
                <w:szCs w:val="22"/>
              </w:rPr>
            </w:pPr>
            <w:r w:rsidRPr="00A26FD5">
              <w:rPr>
                <w:rFonts w:eastAsia="Calibri"/>
                <w:b/>
                <w:bCs/>
                <w:szCs w:val="22"/>
              </w:rPr>
              <w:t xml:space="preserve">E.g. Local currency devaluation:  </w:t>
            </w:r>
            <w:r w:rsidRPr="00A26FD5">
              <w:rPr>
                <w:rFonts w:eastAsia="Calibri"/>
                <w:szCs w:val="22"/>
              </w:rPr>
              <w:t>This encourages exports, by making them more competitive. This could imply additional pressures on biodiversity.</w:t>
            </w:r>
            <w:r w:rsidRPr="00A26FD5">
              <w:rPr>
                <w:rFonts w:eastAsia="Calibri"/>
                <w:b/>
                <w:szCs w:val="22"/>
              </w:rPr>
              <w:t xml:space="preserve"> </w:t>
            </w:r>
          </w:p>
        </w:tc>
        <w:tc>
          <w:tcPr>
            <w:tcW w:w="1669" w:type="pct"/>
          </w:tcPr>
          <w:p w14:paraId="543FB7D3" w14:textId="77777777" w:rsidR="001E61A6" w:rsidRPr="00A26FD5" w:rsidRDefault="001E61A6" w:rsidP="00C56F52">
            <w:pPr>
              <w:spacing w:after="120"/>
              <w:rPr>
                <w:rFonts w:eastAsia="Calibri"/>
                <w:b/>
                <w:szCs w:val="22"/>
              </w:rPr>
            </w:pPr>
            <w:r w:rsidRPr="00A26FD5">
              <w:rPr>
                <w:rFonts w:eastAsia="Calibri"/>
                <w:b/>
                <w:bCs/>
                <w:szCs w:val="22"/>
              </w:rPr>
              <w:t xml:space="preserve">E.g. Local currency revaluation:  </w:t>
            </w:r>
            <w:r w:rsidRPr="00A26FD5">
              <w:rPr>
                <w:rFonts w:eastAsia="Calibri"/>
                <w:szCs w:val="22"/>
              </w:rPr>
              <w:t>This makes exports less competitive. This could imply pressures on biodiversity in exporting countries, due to efforts to find alternative export solutions with limited options.</w:t>
            </w:r>
          </w:p>
        </w:tc>
      </w:tr>
    </w:tbl>
    <w:p w14:paraId="4BE8A993" w14:textId="77777777" w:rsidR="001E61A6" w:rsidRPr="008608AA" w:rsidRDefault="001E61A6" w:rsidP="00976E9A">
      <w:pPr>
        <w:rPr>
          <w:rFonts w:eastAsia="Calibri"/>
          <w:sz w:val="20"/>
          <w:szCs w:val="20"/>
        </w:rPr>
      </w:pPr>
      <w:r w:rsidRPr="008608AA">
        <w:rPr>
          <w:rFonts w:eastAsia="Calibri"/>
          <w:sz w:val="20"/>
          <w:szCs w:val="20"/>
        </w:rPr>
        <w:t>Note: Cases (1 and 2) correspond to each indicator of the first column (horizontal analysis).</w:t>
      </w:r>
    </w:p>
    <w:p w14:paraId="1CCCC557" w14:textId="78C45E39" w:rsidR="001E61A6" w:rsidRPr="008608AA" w:rsidRDefault="001E61A6" w:rsidP="003E1C3E">
      <w:pPr>
        <w:rPr>
          <w:rFonts w:eastAsia="Calibri"/>
          <w:sz w:val="20"/>
          <w:szCs w:val="20"/>
        </w:rPr>
      </w:pPr>
      <w:r w:rsidRPr="008608AA">
        <w:rPr>
          <w:rFonts w:eastAsia="Calibri"/>
          <w:sz w:val="20"/>
          <w:szCs w:val="20"/>
        </w:rPr>
        <w:t>Sour</w:t>
      </w:r>
      <w:r w:rsidR="00AC5741" w:rsidRPr="008608AA">
        <w:rPr>
          <w:rFonts w:eastAsia="Calibri"/>
          <w:sz w:val="20"/>
          <w:szCs w:val="20"/>
        </w:rPr>
        <w:t>ce: Elaborated by the authors. Based on ECLAC (2014), CEPAL (2017), IMF (2017), The World Bank Database (2017),</w:t>
      </w:r>
      <w:r w:rsidRPr="008608AA">
        <w:rPr>
          <w:rFonts w:eastAsia="Calibri"/>
          <w:sz w:val="20"/>
          <w:szCs w:val="20"/>
        </w:rPr>
        <w:t xml:space="preserve"> U</w:t>
      </w:r>
      <w:r w:rsidR="00AC5741" w:rsidRPr="008608AA">
        <w:rPr>
          <w:rFonts w:eastAsia="Calibri"/>
          <w:sz w:val="20"/>
          <w:szCs w:val="20"/>
        </w:rPr>
        <w:t>NCTAD (2016),</w:t>
      </w:r>
      <w:r w:rsidR="007C14ED" w:rsidRPr="008608AA">
        <w:rPr>
          <w:rFonts w:eastAsia="Calibri"/>
          <w:sz w:val="20"/>
          <w:szCs w:val="20"/>
        </w:rPr>
        <w:t xml:space="preserve"> WWF (2014, 2016</w:t>
      </w:r>
      <w:r w:rsidRPr="008608AA">
        <w:rPr>
          <w:rFonts w:eastAsia="Calibri"/>
          <w:sz w:val="20"/>
          <w:szCs w:val="20"/>
        </w:rPr>
        <w:t>).</w:t>
      </w:r>
    </w:p>
    <w:p w14:paraId="76BB5C64" w14:textId="0F3BBDCB" w:rsidR="001E61A6" w:rsidRPr="008608AA" w:rsidRDefault="001E61A6" w:rsidP="003E1C3E">
      <w:pPr>
        <w:pStyle w:val="Heading3"/>
        <w:spacing w:before="240"/>
      </w:pPr>
      <w:bookmarkStart w:id="1384" w:name="_Toc499459669"/>
      <w:bookmarkStart w:id="1385" w:name="_Toc503293134"/>
      <w:bookmarkStart w:id="1386" w:name="_Toc503293732"/>
      <w:bookmarkStart w:id="1387" w:name="_Toc503293994"/>
      <w:bookmarkStart w:id="1388" w:name="_Toc503863387"/>
      <w:bookmarkStart w:id="1389" w:name="_Toc503863615"/>
      <w:bookmarkStart w:id="1390" w:name="_Toc517393336"/>
      <w:bookmarkStart w:id="1391" w:name="_Toc517394393"/>
      <w:bookmarkStart w:id="1392" w:name="_Toc517719077"/>
      <w:bookmarkStart w:id="1393" w:name="_Toc517797034"/>
      <w:r w:rsidRPr="008608AA">
        <w:t>Technological development</w:t>
      </w:r>
      <w:bookmarkEnd w:id="1384"/>
      <w:bookmarkEnd w:id="1385"/>
      <w:bookmarkEnd w:id="1386"/>
      <w:bookmarkEnd w:id="1387"/>
      <w:bookmarkEnd w:id="1388"/>
      <w:bookmarkEnd w:id="1389"/>
      <w:bookmarkEnd w:id="1390"/>
      <w:bookmarkEnd w:id="1391"/>
      <w:bookmarkEnd w:id="1392"/>
      <w:bookmarkEnd w:id="1393"/>
      <w:r w:rsidRPr="008608AA">
        <w:t xml:space="preserve"> </w:t>
      </w:r>
    </w:p>
    <w:p w14:paraId="0CD4549A" w14:textId="40C10C2D" w:rsidR="001E61A6" w:rsidRPr="008608AA" w:rsidRDefault="001E61A6" w:rsidP="00274C8E">
      <w:pPr>
        <w:spacing w:before="120"/>
        <w:rPr>
          <w:rFonts w:eastAsia="Calibri"/>
        </w:rPr>
      </w:pPr>
      <w:r w:rsidRPr="008608AA">
        <w:rPr>
          <w:rFonts w:eastAsia="Calibri"/>
        </w:rPr>
        <w:t xml:space="preserve">Human development has been historically related to technological change, with historical epochs named after the key technologies: the Stone, Bronze and Iron Ages, </w:t>
      </w:r>
      <w:r w:rsidR="00DC7067" w:rsidRPr="008608AA">
        <w:rPr>
          <w:rFonts w:eastAsia="Calibri"/>
        </w:rPr>
        <w:t>the industrial revolution, the age of steam, and the information age</w:t>
      </w:r>
      <w:r w:rsidRPr="008608AA">
        <w:rPr>
          <w:rFonts w:eastAsia="Calibri"/>
        </w:rPr>
        <w:t>. The way of orienting the development, dissemination, and use of technology is crucial to find just, equitable, and sustainable solutions for present and future generations. Political, social, cultural, and economic factors determine the way new technologies are developed and used (Trace, 2016).</w:t>
      </w:r>
    </w:p>
    <w:p w14:paraId="48BE5D8E" w14:textId="198C65DB" w:rsidR="001E61A6" w:rsidRPr="008608AA" w:rsidRDefault="001E61A6" w:rsidP="00274C8E">
      <w:pPr>
        <w:spacing w:before="120"/>
        <w:rPr>
          <w:rFonts w:eastAsia="Calibri"/>
        </w:rPr>
      </w:pPr>
      <w:r w:rsidRPr="008608AA">
        <w:rPr>
          <w:rFonts w:eastAsia="Calibri"/>
        </w:rPr>
        <w:t xml:space="preserve">The rate of technological change is considered as an indirect driver of </w:t>
      </w:r>
      <w:r w:rsidR="00DC7067" w:rsidRPr="008608AA">
        <w:rPr>
          <w:rFonts w:eastAsia="Arial"/>
        </w:rPr>
        <w:t>changes in n</w:t>
      </w:r>
      <w:r w:rsidRPr="008608AA">
        <w:rPr>
          <w:rFonts w:eastAsia="Arial"/>
        </w:rPr>
        <w:t>ature, NCP and good quality of life</w:t>
      </w:r>
      <w:r w:rsidRPr="008608AA">
        <w:rPr>
          <w:rFonts w:eastAsia="Calibri"/>
        </w:rPr>
        <w:t xml:space="preserve"> because it affects the efficiency by which ecosystem services are produced or used </w:t>
      </w:r>
      <w:r w:rsidRPr="008608AA">
        <w:rPr>
          <w:rFonts w:eastAsia="Calibri"/>
        </w:rPr>
        <w:fldChar w:fldCharType="begin" w:fldLock="1"/>
      </w:r>
      <w:r w:rsidRPr="008608AA">
        <w:rPr>
          <w:rFonts w:eastAsia="Calibri"/>
        </w:rPr>
        <w:instrText>ADDIN CSL_CITATION { "citationItems" : [ { "id" : "ITEM-1", "itemData" : { "ISBN" : "1559633913, 9781559633918", "author" : [ { "dropping-particle" : "", "family" : "Alcamo", "given" : "Joseph", "non-dropping-particle" : "", "parse-names" : false, "suffix" : "" }, { "dropping-particle" : "Van", "family" : "Vuuren", "given" : "Detlef", "non-dropping-particle" : "", "parse-names" : false, "suffix" : "" }, { "dropping-particle" : "", "family" : "Cramer", "given" : "Wolfgang", "non-dropping-particle" : "", "parse-names" : false, "suffix" : "" }, { "dropping-particle" : "", "family" : "Alder", "given" : "Jacqueline", "non-dropping-particle" : "", "parse-names" : false, "suffix" : "" }, { "dropping-particle" : "", "family" : "Bennett", "given" : "Elena", "non-dropping-particle" : "", "parse-names" : false, "suffix" : "" }, { "dropping-particle" : "", "family" : "Carpenter", "given" : "Stephen", "non-dropping-particle" : "", "parse-names" : false, "suffix" : "" }, { "dropping-particle" : "", "family" : "Christensen", "given" : "Villy", "non-dropping-particle" : "", "parse-names" : false, "suffix" : "" }, { "dropping-particle" : "", "family" : "Foley", "given" : "Jonathan", "non-dropping-particle" : "", "parse-names" : false, "suffix" : "" }, { "dropping-particle" : "", "family" : "Masui", "given" : "Toshihiko", "non-dropping-particle" : "", "parse-names" : false, "suffix" : "" }, { "dropping-particle" : "", "family" : "Morita", "given" : "Tsuneyuki", "non-dropping-particle" : "", "parse-names" : false, "suffix" : "" }, { "dropping-particle" : "", "family" : "Neill", "given" : "Brian O", "non-dropping-particle" : "", "parse-names" : false, "suffix" : "" }, { "dropping-particle" : "", "family" : "Peterson", "given" : "Garry", "non-dropping-particle" : "", "parse-names" : false, "suffix" : "" }, { "dropping-particle" : "", "family" : "Ringler", "given" : "Claudia", "non-dropping-particle" : "", "parse-names" : false, "suffix" : "" }, { "dropping-particle" : "", "family" : "Schulze", "given" : "Kerstin", "non-dropping-particle" : "", "parse-names" : false, "suffix" : "" }, { "dropping-particle" : "", "family" : "Bouwman", "given" : "Lex", "non-dropping-particle" : "", "parse-names" : false, "suffix" : "" }, { "dropping-particle" : "", "family" : "Eickhout", "given" : "Bas", "non-dropping-particle" : "", "parse-names" : false, "suffix" : "" }, { "dropping-particle" : "", "family" : "Floerke", "given" : "Martina", "non-dropping-particle" : "", "parse-names" : false, "suffix" : "" }, { "dropping-particle" : "", "family" : "Lal", "given" : "Rattan", "non-dropping-particle" : "", "parse-names" : false, "suffix" : "" }, { "dropping-particle" : "", "family" : "Takahashi", "given" : "Kiyoshi", "non-dropping-particle" : "", "parse-names" : false, "suffix" : "" }, { "dropping-particle" : "", "family" : "Editors", "given" : "Review", "non-dropping-particle" : "", "parse-names" : false, "suffix" : "" }, { "dropping-particle" : "", "family" : "Tan", "given" : "Bach", "non-dropping-particle" : "", "parse-names" : false, "suffix" : "" }, { "dropping-particle" : "", "family" : "Hammond", "given" : "Allen", "non-dropping-particle" : "", "parse-names" : false, "suffix" : "" }, { "dropping-particle" : "", "family" : "Field", "given" : "Christopher", "non-dropping-particle" : "", "parse-names" : false, "suffix" : "" } ], "container-title" : "Ecosystems and Human Well-being: Scenarios, Volume 2", "id" : "ITEM-1", "issue" : "March 2016", "issued" : { "date-parts" : [ [ "2005" ] ] }, "page" : "297-373", "title" : "Changes in Ecosystem Services and Their Drivers across the Scenarios", "type" : "article-journal" }, "uris" : [ "http://www.mendeley.com/documents/?uuid=3d3e1b85-7314-40c4-beab-37a054f21dbd" ] } ], "mendeley" : { "formattedCitation" : "(Alcamo et al. 2005)", "manualFormatting" : "(Alcamo et al. 2005,", "plainTextFormattedCitation" : "(Alcamo et al. 2005)", "previouslyFormattedCitation" : "(Alcamo et al. 2005)" }, "properties" : { "noteIndex" : 0 }, "schema" : "https://github.com/citation-style-language/schema/raw/master/csl-citation.json" }</w:instrText>
      </w:r>
      <w:r w:rsidRPr="008608AA">
        <w:rPr>
          <w:rFonts w:eastAsia="Calibri"/>
        </w:rPr>
        <w:fldChar w:fldCharType="separate"/>
      </w:r>
      <w:r w:rsidRPr="008608AA">
        <w:rPr>
          <w:rFonts w:eastAsia="Calibri"/>
        </w:rPr>
        <w:t>(Alcamo et al., 2005,</w:t>
      </w:r>
      <w:r w:rsidRPr="008608AA">
        <w:rPr>
          <w:rFonts w:eastAsia="Calibri"/>
        </w:rPr>
        <w:fldChar w:fldCharType="end"/>
      </w:r>
      <w:r w:rsidR="00C20336" w:rsidRPr="008608AA">
        <w:rPr>
          <w:rFonts w:eastAsia="Calibri"/>
        </w:rPr>
        <w:t xml:space="preserve"> quoted by IPBES</w:t>
      </w:r>
      <w:r w:rsidRPr="008608AA">
        <w:rPr>
          <w:rFonts w:eastAsia="Calibri"/>
        </w:rPr>
        <w:t>, 2016). The impact of technological innovation on biodiversity and ecosystem change is exerted through its influence on direct drivers (e.g. land use change), as well as through interactions and synergies with other indirect</w:t>
      </w:r>
      <w:r w:rsidR="004F31D2" w:rsidRPr="008608AA">
        <w:rPr>
          <w:rFonts w:eastAsia="Calibri"/>
        </w:rPr>
        <w:t xml:space="preserve"> drivers (e.g. economic growth, see 4.3.2)</w:t>
      </w:r>
      <w:r w:rsidRPr="008608AA">
        <w:rPr>
          <w:rFonts w:eastAsia="Calibri"/>
        </w:rPr>
        <w:t>.</w:t>
      </w:r>
    </w:p>
    <w:p w14:paraId="4A17E09C" w14:textId="2664E1CB" w:rsidR="001E61A6" w:rsidRPr="008608AA" w:rsidRDefault="001E61A6" w:rsidP="00274C8E">
      <w:pPr>
        <w:spacing w:before="120"/>
        <w:rPr>
          <w:rFonts w:eastAsiaTheme="minorHAnsi"/>
        </w:rPr>
      </w:pPr>
      <w:r w:rsidRPr="008608AA">
        <w:rPr>
          <w:rFonts w:eastAsia="Calibri"/>
        </w:rPr>
        <w:t>Finding indicators of the status and trends in the Americas region’s or any given country’s technological development is diffi</w:t>
      </w:r>
      <w:r w:rsidR="00F337B1" w:rsidRPr="008608AA">
        <w:rPr>
          <w:rFonts w:eastAsia="Calibri"/>
        </w:rPr>
        <w:t xml:space="preserve">cult due to data shortcomings. </w:t>
      </w:r>
      <w:r w:rsidRPr="008608AA">
        <w:rPr>
          <w:rFonts w:eastAsiaTheme="minorHAnsi"/>
        </w:rPr>
        <w:t xml:space="preserve">The Americas, with 13.6% of world population (2013 data) accounted for 22.5% of the total amount of researchers, 33.1% of world investments in </w:t>
      </w:r>
      <w:r w:rsidR="00DC7067" w:rsidRPr="008608AA">
        <w:rPr>
          <w:rFonts w:eastAsiaTheme="minorHAnsi"/>
        </w:rPr>
        <w:t>research and d</w:t>
      </w:r>
      <w:r w:rsidRPr="008608AA">
        <w:rPr>
          <w:rFonts w:eastAsiaTheme="minorHAnsi"/>
        </w:rPr>
        <w:t>evelopment, 34.8% of world publications and 53.2% of patents submitted to the US Patent and Trademark Office. Regional information reveals the persisting gaps regarding science, technology and innovation in the Americas (</w:t>
      </w:r>
      <w:r w:rsidRPr="008608AA">
        <w:rPr>
          <w:rFonts w:eastAsiaTheme="minorHAnsi"/>
          <w:b/>
        </w:rPr>
        <w:fldChar w:fldCharType="begin"/>
      </w:r>
      <w:r w:rsidRPr="008608AA">
        <w:rPr>
          <w:rFonts w:eastAsiaTheme="minorHAnsi"/>
        </w:rPr>
        <w:instrText xml:space="preserve"> REF _Ref494456938 \h </w:instrText>
      </w:r>
      <w:r w:rsidRPr="008608AA">
        <w:rPr>
          <w:rFonts w:eastAsiaTheme="minorHAnsi"/>
          <w:b/>
        </w:rPr>
        <w:instrText xml:space="preserve"> \* MERGEFORMAT </w:instrText>
      </w:r>
      <w:r w:rsidRPr="008608AA">
        <w:rPr>
          <w:rFonts w:eastAsiaTheme="minorHAnsi"/>
          <w:b/>
        </w:rPr>
      </w:r>
      <w:r w:rsidRPr="008608AA">
        <w:rPr>
          <w:rFonts w:eastAsiaTheme="minorHAnsi"/>
          <w:b/>
        </w:rPr>
        <w:fldChar w:fldCharType="separate"/>
      </w:r>
      <w:r w:rsidR="00402074" w:rsidRPr="00402074">
        <w:rPr>
          <w:rFonts w:eastAsiaTheme="minorHAnsi"/>
          <w:bCs/>
        </w:rPr>
        <w:t xml:space="preserve">¡Error! </w:t>
      </w:r>
      <w:r w:rsidR="00402074">
        <w:rPr>
          <w:rFonts w:eastAsiaTheme="minorHAnsi"/>
          <w:bCs/>
          <w:lang w:val="es-ES"/>
        </w:rPr>
        <w:t>No se encuentra el origen de la referencia.</w:t>
      </w:r>
      <w:r w:rsidRPr="008608AA">
        <w:rPr>
          <w:rFonts w:eastAsiaTheme="minorHAnsi"/>
          <w:b/>
        </w:rPr>
        <w:fldChar w:fldCharType="end"/>
      </w:r>
      <w:r w:rsidRPr="008608AA">
        <w:rPr>
          <w:rFonts w:eastAsiaTheme="minorHAnsi"/>
        </w:rPr>
        <w:t>).</w:t>
      </w:r>
    </w:p>
    <w:p w14:paraId="44F8E5C7" w14:textId="6C8D0E8B" w:rsidR="001E61A6" w:rsidRPr="008608AA" w:rsidRDefault="00CC6CB7" w:rsidP="00CC6CB7">
      <w:pPr>
        <w:pStyle w:val="Caption"/>
        <w:rPr>
          <w:i/>
        </w:rPr>
      </w:pPr>
      <w:bookmarkStart w:id="1394" w:name="_Toc494482721"/>
      <w:bookmarkStart w:id="1395" w:name="_Toc499459690"/>
      <w:bookmarkStart w:id="1396" w:name="_Hlk494357427"/>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7</w:t>
      </w:r>
      <w:r w:rsidR="000E562E">
        <w:rPr>
          <w:noProof/>
        </w:rPr>
        <w:fldChar w:fldCharType="end"/>
      </w:r>
      <w:r w:rsidRPr="008608AA">
        <w:t xml:space="preserve">. </w:t>
      </w:r>
      <w:r w:rsidR="001E61A6" w:rsidRPr="008608AA">
        <w:t>Selected</w:t>
      </w:r>
      <w:r w:rsidR="004F31D2" w:rsidRPr="008608AA">
        <w:t xml:space="preserve"> science and</w:t>
      </w:r>
      <w:r w:rsidR="00DC7067" w:rsidRPr="008608AA">
        <w:t xml:space="preserve"> technology indicators in the </w:t>
      </w:r>
      <w:r w:rsidR="001E61A6" w:rsidRPr="008608AA">
        <w:t>Am</w:t>
      </w:r>
      <w:r w:rsidR="004F31D2" w:rsidRPr="008608AA">
        <w:t>ericas (2013)</w:t>
      </w:r>
      <w:r w:rsidR="004F31D2" w:rsidRPr="008608AA">
        <w:rPr>
          <w:szCs w:val="20"/>
          <w:vertAlign w:val="superscript"/>
        </w:rPr>
        <w:t>1</w:t>
      </w:r>
      <w:r w:rsidR="001E61A6" w:rsidRPr="008608AA">
        <w:t>.</w:t>
      </w:r>
      <w:bookmarkEnd w:id="1394"/>
      <w:bookmarkEnd w:id="1395"/>
      <w:r w:rsidR="001E61A6" w:rsidRPr="008608A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0"/>
        <w:gridCol w:w="957"/>
        <w:gridCol w:w="664"/>
        <w:gridCol w:w="730"/>
        <w:gridCol w:w="645"/>
        <w:gridCol w:w="1144"/>
        <w:gridCol w:w="1156"/>
        <w:gridCol w:w="856"/>
        <w:gridCol w:w="1201"/>
        <w:gridCol w:w="1004"/>
      </w:tblGrid>
      <w:tr w:rsidR="00DC7067" w:rsidRPr="00A26FD5" w14:paraId="2CA90F93" w14:textId="77777777" w:rsidTr="00A26FD5">
        <w:tc>
          <w:tcPr>
            <w:tcW w:w="595" w:type="pct"/>
            <w:shd w:val="clear" w:color="auto" w:fill="BFBFBF" w:themeFill="background1" w:themeFillShade="BF"/>
            <w:vAlign w:val="center"/>
          </w:tcPr>
          <w:bookmarkEnd w:id="1396"/>
          <w:p w14:paraId="628DB503" w14:textId="32A7AD76" w:rsidR="00DC7067" w:rsidRPr="00A26FD5" w:rsidRDefault="00DC7067" w:rsidP="00274C8E">
            <w:pPr>
              <w:jc w:val="center"/>
              <w:rPr>
                <w:b/>
                <w:sz w:val="18"/>
                <w:szCs w:val="18"/>
              </w:rPr>
            </w:pPr>
            <w:r w:rsidRPr="00A26FD5">
              <w:rPr>
                <w:b/>
                <w:sz w:val="18"/>
                <w:szCs w:val="18"/>
              </w:rPr>
              <w:t>Countries</w:t>
            </w:r>
          </w:p>
        </w:tc>
        <w:tc>
          <w:tcPr>
            <w:tcW w:w="504" w:type="pct"/>
            <w:shd w:val="clear" w:color="auto" w:fill="BFBFBF" w:themeFill="background1" w:themeFillShade="BF"/>
            <w:vAlign w:val="center"/>
          </w:tcPr>
          <w:p w14:paraId="71662B73" w14:textId="200037BD" w:rsidR="00DC7067" w:rsidRPr="00A26FD5" w:rsidRDefault="00DC7067" w:rsidP="00274C8E">
            <w:pPr>
              <w:jc w:val="center"/>
              <w:rPr>
                <w:b/>
                <w:sz w:val="18"/>
                <w:szCs w:val="18"/>
              </w:rPr>
            </w:pPr>
            <w:r w:rsidRPr="00A26FD5">
              <w:rPr>
                <w:b/>
                <w:sz w:val="18"/>
                <w:szCs w:val="18"/>
              </w:rPr>
              <w:t>% of world population, 2013</w:t>
            </w:r>
          </w:p>
        </w:tc>
        <w:tc>
          <w:tcPr>
            <w:tcW w:w="350" w:type="pct"/>
            <w:shd w:val="clear" w:color="auto" w:fill="BFBFBF" w:themeFill="background1" w:themeFillShade="BF"/>
            <w:vAlign w:val="center"/>
          </w:tcPr>
          <w:p w14:paraId="380D1581" w14:textId="01ECCBE6" w:rsidR="00DC7067" w:rsidRPr="00A26FD5" w:rsidRDefault="00DC7067" w:rsidP="00274C8E">
            <w:pPr>
              <w:jc w:val="center"/>
              <w:rPr>
                <w:rFonts w:eastAsiaTheme="minorHAnsi"/>
                <w:b/>
                <w:sz w:val="18"/>
                <w:szCs w:val="18"/>
              </w:rPr>
            </w:pPr>
            <w:r w:rsidRPr="00A26FD5">
              <w:rPr>
                <w:b/>
                <w:sz w:val="18"/>
                <w:szCs w:val="18"/>
              </w:rPr>
              <w:t>% of world R&amp;D,</w:t>
            </w:r>
          </w:p>
          <w:p w14:paraId="779DC22D" w14:textId="68FED997" w:rsidR="00DC7067" w:rsidRPr="00A26FD5" w:rsidRDefault="00DC7067" w:rsidP="00274C8E">
            <w:pPr>
              <w:jc w:val="center"/>
              <w:rPr>
                <w:b/>
                <w:sz w:val="18"/>
                <w:szCs w:val="18"/>
              </w:rPr>
            </w:pPr>
            <w:r w:rsidRPr="00A26FD5">
              <w:rPr>
                <w:b/>
                <w:sz w:val="18"/>
                <w:szCs w:val="18"/>
              </w:rPr>
              <w:t>2013</w:t>
            </w:r>
          </w:p>
        </w:tc>
        <w:tc>
          <w:tcPr>
            <w:tcW w:w="385" w:type="pct"/>
            <w:shd w:val="clear" w:color="auto" w:fill="BFBFBF" w:themeFill="background1" w:themeFillShade="BF"/>
            <w:vAlign w:val="center"/>
          </w:tcPr>
          <w:p w14:paraId="19100A7D" w14:textId="77777777" w:rsidR="00DC7067" w:rsidRPr="00A26FD5" w:rsidRDefault="00DC7067" w:rsidP="00274C8E">
            <w:pPr>
              <w:jc w:val="center"/>
              <w:rPr>
                <w:rFonts w:eastAsiaTheme="minorHAnsi"/>
                <w:b/>
                <w:sz w:val="18"/>
                <w:szCs w:val="18"/>
                <w:lang w:val="pt-BR"/>
              </w:rPr>
            </w:pPr>
            <w:r w:rsidRPr="00A26FD5">
              <w:rPr>
                <w:b/>
                <w:sz w:val="18"/>
                <w:szCs w:val="18"/>
                <w:lang w:val="pt-BR"/>
              </w:rPr>
              <w:t>Per capita R&amp;D</w:t>
            </w:r>
          </w:p>
          <w:p w14:paraId="176F2B6A" w14:textId="77777777" w:rsidR="00DC7067" w:rsidRPr="00A26FD5" w:rsidRDefault="00DC7067" w:rsidP="00274C8E">
            <w:pPr>
              <w:jc w:val="center"/>
              <w:rPr>
                <w:rFonts w:eastAsiaTheme="minorHAnsi"/>
                <w:b/>
                <w:sz w:val="18"/>
                <w:szCs w:val="18"/>
                <w:lang w:val="pt-BR"/>
              </w:rPr>
            </w:pPr>
            <w:r w:rsidRPr="00A26FD5">
              <w:rPr>
                <w:b/>
                <w:sz w:val="18"/>
                <w:szCs w:val="18"/>
                <w:lang w:val="pt-BR"/>
              </w:rPr>
              <w:t>(USD) ,</w:t>
            </w:r>
          </w:p>
          <w:p w14:paraId="7A2F2BA9" w14:textId="1EE1385C" w:rsidR="00DC7067" w:rsidRPr="00A26FD5" w:rsidRDefault="00DC7067" w:rsidP="00274C8E">
            <w:pPr>
              <w:jc w:val="center"/>
              <w:rPr>
                <w:b/>
                <w:sz w:val="18"/>
                <w:szCs w:val="18"/>
              </w:rPr>
            </w:pPr>
            <w:r w:rsidRPr="00A26FD5">
              <w:rPr>
                <w:b/>
                <w:sz w:val="18"/>
                <w:szCs w:val="18"/>
              </w:rPr>
              <w:t>2013</w:t>
            </w:r>
          </w:p>
        </w:tc>
        <w:tc>
          <w:tcPr>
            <w:tcW w:w="340" w:type="pct"/>
            <w:shd w:val="clear" w:color="auto" w:fill="BFBFBF" w:themeFill="background1" w:themeFillShade="BF"/>
            <w:vAlign w:val="center"/>
          </w:tcPr>
          <w:p w14:paraId="7EAAE136" w14:textId="1206F117" w:rsidR="00DC7067" w:rsidRPr="00A26FD5" w:rsidRDefault="00DC7067" w:rsidP="00274C8E">
            <w:pPr>
              <w:jc w:val="center"/>
              <w:rPr>
                <w:b/>
                <w:sz w:val="18"/>
                <w:szCs w:val="18"/>
              </w:rPr>
            </w:pPr>
            <w:r w:rsidRPr="00A26FD5">
              <w:rPr>
                <w:b/>
                <w:sz w:val="18"/>
                <w:szCs w:val="18"/>
              </w:rPr>
              <w:t>R&amp;D/ GDP, 2013 (%)</w:t>
            </w:r>
          </w:p>
        </w:tc>
        <w:tc>
          <w:tcPr>
            <w:tcW w:w="603" w:type="pct"/>
            <w:shd w:val="clear" w:color="auto" w:fill="BFBFBF" w:themeFill="background1" w:themeFillShade="BF"/>
            <w:vAlign w:val="center"/>
          </w:tcPr>
          <w:p w14:paraId="7C8EC754" w14:textId="494E678F" w:rsidR="00DC7067" w:rsidRPr="00A26FD5" w:rsidRDefault="00DC7067" w:rsidP="00274C8E">
            <w:pPr>
              <w:jc w:val="center"/>
              <w:rPr>
                <w:b/>
                <w:sz w:val="18"/>
                <w:szCs w:val="18"/>
              </w:rPr>
            </w:pPr>
            <w:r w:rsidRPr="00A26FD5">
              <w:rPr>
                <w:b/>
                <w:sz w:val="18"/>
                <w:szCs w:val="18"/>
              </w:rPr>
              <w:t>Researchers / thousand inhabitants,  2013</w:t>
            </w:r>
          </w:p>
        </w:tc>
        <w:tc>
          <w:tcPr>
            <w:tcW w:w="609" w:type="pct"/>
            <w:shd w:val="clear" w:color="auto" w:fill="BFBFBF" w:themeFill="background1" w:themeFillShade="BF"/>
            <w:vAlign w:val="center"/>
          </w:tcPr>
          <w:p w14:paraId="0C81E551" w14:textId="604CCFD1" w:rsidR="00DC7067" w:rsidRPr="00A26FD5" w:rsidRDefault="00DC7067" w:rsidP="00274C8E">
            <w:pPr>
              <w:jc w:val="center"/>
              <w:rPr>
                <w:b/>
                <w:sz w:val="18"/>
                <w:szCs w:val="18"/>
              </w:rPr>
            </w:pPr>
            <w:r w:rsidRPr="00A26FD5">
              <w:rPr>
                <w:b/>
                <w:sz w:val="18"/>
                <w:szCs w:val="18"/>
              </w:rPr>
              <w:t>% total researchers, 2013</w:t>
            </w:r>
          </w:p>
        </w:tc>
        <w:tc>
          <w:tcPr>
            <w:tcW w:w="451" w:type="pct"/>
            <w:shd w:val="clear" w:color="auto" w:fill="BFBFBF" w:themeFill="background1" w:themeFillShade="BF"/>
            <w:vAlign w:val="center"/>
          </w:tcPr>
          <w:p w14:paraId="6E471B61" w14:textId="214749FD" w:rsidR="00DC7067" w:rsidRPr="00A26FD5" w:rsidRDefault="00DC7067" w:rsidP="00274C8E">
            <w:pPr>
              <w:jc w:val="center"/>
              <w:rPr>
                <w:b/>
                <w:sz w:val="18"/>
                <w:szCs w:val="18"/>
              </w:rPr>
            </w:pPr>
            <w:r w:rsidRPr="00A26FD5">
              <w:rPr>
                <w:b/>
                <w:sz w:val="18"/>
                <w:szCs w:val="18"/>
              </w:rPr>
              <w:t>% of global increase in R&amp;D 2007-2013</w:t>
            </w:r>
          </w:p>
        </w:tc>
        <w:tc>
          <w:tcPr>
            <w:tcW w:w="633" w:type="pct"/>
            <w:shd w:val="clear" w:color="auto" w:fill="BFBFBF" w:themeFill="background1" w:themeFillShade="BF"/>
            <w:vAlign w:val="center"/>
          </w:tcPr>
          <w:p w14:paraId="38F258F7" w14:textId="3045ABD5" w:rsidR="00DC7067" w:rsidRPr="00A26FD5" w:rsidRDefault="00DC7067" w:rsidP="00274C8E">
            <w:pPr>
              <w:jc w:val="center"/>
              <w:rPr>
                <w:b/>
                <w:sz w:val="18"/>
                <w:szCs w:val="18"/>
              </w:rPr>
            </w:pPr>
            <w:r w:rsidRPr="00A26FD5">
              <w:rPr>
                <w:b/>
                <w:sz w:val="18"/>
                <w:szCs w:val="18"/>
              </w:rPr>
              <w:t>% of world publications, 2014</w:t>
            </w:r>
          </w:p>
        </w:tc>
        <w:tc>
          <w:tcPr>
            <w:tcW w:w="529" w:type="pct"/>
            <w:shd w:val="clear" w:color="auto" w:fill="BFBFBF" w:themeFill="background1" w:themeFillShade="BF"/>
            <w:vAlign w:val="center"/>
          </w:tcPr>
          <w:p w14:paraId="444BD7F8" w14:textId="46E27AE2" w:rsidR="00DC7067" w:rsidRPr="00A26FD5" w:rsidRDefault="00DC7067" w:rsidP="00274C8E">
            <w:pPr>
              <w:jc w:val="center"/>
              <w:rPr>
                <w:b/>
                <w:sz w:val="18"/>
                <w:szCs w:val="18"/>
              </w:rPr>
            </w:pPr>
            <w:r w:rsidRPr="00A26FD5">
              <w:rPr>
                <w:b/>
                <w:sz w:val="18"/>
                <w:szCs w:val="18"/>
              </w:rPr>
              <w:t>% of total patents submitted to USPTO, 2013</w:t>
            </w:r>
            <w:r w:rsidR="00BD2708" w:rsidRPr="00A26FD5">
              <w:rPr>
                <w:b/>
                <w:sz w:val="18"/>
                <w:szCs w:val="18"/>
              </w:rPr>
              <w:t xml:space="preserve"> </w:t>
            </w:r>
            <w:r w:rsidR="00BD2708" w:rsidRPr="00A26FD5">
              <w:rPr>
                <w:b/>
                <w:bCs/>
                <w:sz w:val="18"/>
                <w:szCs w:val="18"/>
                <w:vertAlign w:val="superscript"/>
              </w:rPr>
              <w:t>4</w:t>
            </w:r>
          </w:p>
        </w:tc>
      </w:tr>
      <w:tr w:rsidR="00DC7067" w:rsidRPr="00A26FD5" w14:paraId="6AAE9D50" w14:textId="77777777" w:rsidTr="00A26FD5">
        <w:tc>
          <w:tcPr>
            <w:tcW w:w="595" w:type="pct"/>
          </w:tcPr>
          <w:p w14:paraId="3DD97AA1" w14:textId="77777777" w:rsidR="00DC7067" w:rsidRPr="00A26FD5" w:rsidRDefault="00DC7067" w:rsidP="00DC7067">
            <w:pPr>
              <w:rPr>
                <w:rFonts w:eastAsiaTheme="minorHAnsi"/>
                <w:sz w:val="18"/>
                <w:szCs w:val="18"/>
              </w:rPr>
            </w:pPr>
            <w:r w:rsidRPr="00A26FD5">
              <w:rPr>
                <w:sz w:val="18"/>
                <w:szCs w:val="18"/>
              </w:rPr>
              <w:t>USA</w:t>
            </w:r>
          </w:p>
          <w:p w14:paraId="5B4244FC" w14:textId="77777777" w:rsidR="00DC7067" w:rsidRPr="00A26FD5" w:rsidRDefault="00DC7067" w:rsidP="00DC7067">
            <w:pPr>
              <w:rPr>
                <w:rFonts w:eastAsiaTheme="minorHAnsi"/>
                <w:sz w:val="18"/>
                <w:szCs w:val="18"/>
              </w:rPr>
            </w:pPr>
          </w:p>
        </w:tc>
        <w:tc>
          <w:tcPr>
            <w:tcW w:w="504" w:type="pct"/>
          </w:tcPr>
          <w:p w14:paraId="185D50DD" w14:textId="77777777" w:rsidR="00DC7067" w:rsidRPr="00A26FD5" w:rsidRDefault="00DC7067" w:rsidP="00DC7067">
            <w:pPr>
              <w:rPr>
                <w:rFonts w:eastAsiaTheme="minorHAnsi"/>
                <w:sz w:val="18"/>
                <w:szCs w:val="18"/>
              </w:rPr>
            </w:pPr>
            <w:r w:rsidRPr="00A26FD5">
              <w:rPr>
                <w:sz w:val="18"/>
                <w:szCs w:val="18"/>
              </w:rPr>
              <w:t xml:space="preserve">4.3 </w:t>
            </w:r>
          </w:p>
        </w:tc>
        <w:tc>
          <w:tcPr>
            <w:tcW w:w="350" w:type="pct"/>
          </w:tcPr>
          <w:p w14:paraId="4EF3F58B" w14:textId="77777777" w:rsidR="00DC7067" w:rsidRPr="00A26FD5" w:rsidRDefault="00DC7067" w:rsidP="00DC7067">
            <w:pPr>
              <w:rPr>
                <w:rFonts w:eastAsiaTheme="minorHAnsi"/>
                <w:sz w:val="18"/>
                <w:szCs w:val="18"/>
              </w:rPr>
            </w:pPr>
            <w:r w:rsidRPr="00A26FD5">
              <w:rPr>
                <w:sz w:val="18"/>
                <w:szCs w:val="18"/>
              </w:rPr>
              <w:t>28.1</w:t>
            </w:r>
          </w:p>
        </w:tc>
        <w:tc>
          <w:tcPr>
            <w:tcW w:w="385" w:type="pct"/>
          </w:tcPr>
          <w:p w14:paraId="001FA560" w14:textId="77777777" w:rsidR="00DC7067" w:rsidRPr="00A26FD5" w:rsidRDefault="00DC7067" w:rsidP="00DC7067">
            <w:pPr>
              <w:rPr>
                <w:rFonts w:eastAsiaTheme="minorHAnsi"/>
                <w:sz w:val="18"/>
                <w:szCs w:val="18"/>
              </w:rPr>
            </w:pPr>
            <w:r w:rsidRPr="00A26FD5">
              <w:rPr>
                <w:sz w:val="18"/>
                <w:szCs w:val="18"/>
              </w:rPr>
              <w:t>1249.3</w:t>
            </w:r>
          </w:p>
        </w:tc>
        <w:tc>
          <w:tcPr>
            <w:tcW w:w="340" w:type="pct"/>
          </w:tcPr>
          <w:p w14:paraId="5917F91D" w14:textId="77777777" w:rsidR="00DC7067" w:rsidRPr="00A26FD5" w:rsidRDefault="00DC7067" w:rsidP="00DC7067">
            <w:pPr>
              <w:rPr>
                <w:rFonts w:eastAsiaTheme="minorHAnsi"/>
                <w:sz w:val="18"/>
                <w:szCs w:val="18"/>
              </w:rPr>
            </w:pPr>
            <w:r w:rsidRPr="00A26FD5">
              <w:rPr>
                <w:sz w:val="18"/>
                <w:szCs w:val="18"/>
              </w:rPr>
              <w:t>2.81</w:t>
            </w:r>
          </w:p>
        </w:tc>
        <w:tc>
          <w:tcPr>
            <w:tcW w:w="603" w:type="pct"/>
          </w:tcPr>
          <w:p w14:paraId="07BCB1F2" w14:textId="77777777" w:rsidR="00DC7067" w:rsidRPr="00A26FD5" w:rsidRDefault="00DC7067" w:rsidP="00DC7067">
            <w:pPr>
              <w:rPr>
                <w:rFonts w:eastAsiaTheme="minorHAnsi"/>
                <w:sz w:val="18"/>
                <w:szCs w:val="18"/>
              </w:rPr>
            </w:pPr>
            <w:r w:rsidRPr="00A26FD5">
              <w:rPr>
                <w:sz w:val="18"/>
                <w:szCs w:val="18"/>
              </w:rPr>
              <w:t>4.0</w:t>
            </w:r>
          </w:p>
        </w:tc>
        <w:tc>
          <w:tcPr>
            <w:tcW w:w="609" w:type="pct"/>
          </w:tcPr>
          <w:p w14:paraId="6D033BB2" w14:textId="77777777" w:rsidR="00DC7067" w:rsidRPr="00A26FD5" w:rsidRDefault="00DC7067" w:rsidP="00DC7067">
            <w:pPr>
              <w:rPr>
                <w:rFonts w:eastAsiaTheme="minorHAnsi"/>
                <w:sz w:val="18"/>
                <w:szCs w:val="18"/>
              </w:rPr>
            </w:pPr>
            <w:r w:rsidRPr="00A26FD5">
              <w:rPr>
                <w:sz w:val="18"/>
                <w:szCs w:val="18"/>
              </w:rPr>
              <w:t>16.7</w:t>
            </w:r>
          </w:p>
        </w:tc>
        <w:tc>
          <w:tcPr>
            <w:tcW w:w="451" w:type="pct"/>
          </w:tcPr>
          <w:p w14:paraId="30161101" w14:textId="77777777" w:rsidR="00DC7067" w:rsidRPr="00A26FD5" w:rsidRDefault="00DC7067" w:rsidP="00DC7067">
            <w:pPr>
              <w:rPr>
                <w:rFonts w:eastAsiaTheme="minorHAnsi"/>
                <w:sz w:val="18"/>
                <w:szCs w:val="18"/>
              </w:rPr>
            </w:pPr>
            <w:r w:rsidRPr="00A26FD5">
              <w:rPr>
                <w:sz w:val="18"/>
                <w:szCs w:val="18"/>
              </w:rPr>
              <w:t>10.8</w:t>
            </w:r>
          </w:p>
        </w:tc>
        <w:tc>
          <w:tcPr>
            <w:tcW w:w="633" w:type="pct"/>
          </w:tcPr>
          <w:p w14:paraId="59971839" w14:textId="77777777" w:rsidR="00DC7067" w:rsidRPr="00A26FD5" w:rsidRDefault="00DC7067" w:rsidP="00DC7067">
            <w:pPr>
              <w:rPr>
                <w:rFonts w:eastAsiaTheme="minorHAnsi"/>
                <w:sz w:val="18"/>
                <w:szCs w:val="18"/>
              </w:rPr>
            </w:pPr>
            <w:r w:rsidRPr="00A26FD5">
              <w:rPr>
                <w:sz w:val="18"/>
                <w:szCs w:val="18"/>
              </w:rPr>
              <w:t>25.3</w:t>
            </w:r>
          </w:p>
        </w:tc>
        <w:tc>
          <w:tcPr>
            <w:tcW w:w="529" w:type="pct"/>
          </w:tcPr>
          <w:p w14:paraId="148919C7" w14:textId="0434450B" w:rsidR="00DC7067" w:rsidRPr="00A26FD5" w:rsidRDefault="00DC7067" w:rsidP="00DC7067">
            <w:pPr>
              <w:rPr>
                <w:rFonts w:eastAsiaTheme="minorHAnsi"/>
                <w:sz w:val="18"/>
                <w:szCs w:val="18"/>
              </w:rPr>
            </w:pPr>
            <w:r w:rsidRPr="00A26FD5">
              <w:rPr>
                <w:sz w:val="18"/>
                <w:szCs w:val="18"/>
              </w:rPr>
              <w:t>50.1</w:t>
            </w:r>
            <w:r w:rsidR="00BD2708" w:rsidRPr="00A26FD5">
              <w:rPr>
                <w:sz w:val="18"/>
                <w:szCs w:val="18"/>
                <w:vertAlign w:val="superscript"/>
              </w:rPr>
              <w:t>5</w:t>
            </w:r>
          </w:p>
        </w:tc>
      </w:tr>
      <w:tr w:rsidR="00DC7067" w:rsidRPr="00A26FD5" w14:paraId="7D0E2774" w14:textId="77777777" w:rsidTr="00A26FD5">
        <w:tc>
          <w:tcPr>
            <w:tcW w:w="595" w:type="pct"/>
          </w:tcPr>
          <w:p w14:paraId="47D604D7" w14:textId="77777777" w:rsidR="00DC7067" w:rsidRPr="00A26FD5" w:rsidRDefault="00DC7067" w:rsidP="00DC7067">
            <w:pPr>
              <w:rPr>
                <w:rFonts w:eastAsiaTheme="minorHAnsi"/>
                <w:sz w:val="18"/>
                <w:szCs w:val="18"/>
              </w:rPr>
            </w:pPr>
            <w:r w:rsidRPr="00A26FD5">
              <w:rPr>
                <w:sz w:val="18"/>
                <w:szCs w:val="18"/>
              </w:rPr>
              <w:t>Canada</w:t>
            </w:r>
          </w:p>
        </w:tc>
        <w:tc>
          <w:tcPr>
            <w:tcW w:w="504" w:type="pct"/>
          </w:tcPr>
          <w:p w14:paraId="788492D4" w14:textId="77777777" w:rsidR="00DC7067" w:rsidRPr="00A26FD5" w:rsidRDefault="00DC7067" w:rsidP="00DC7067">
            <w:pPr>
              <w:rPr>
                <w:rFonts w:eastAsiaTheme="minorHAnsi"/>
                <w:sz w:val="18"/>
                <w:szCs w:val="18"/>
              </w:rPr>
            </w:pPr>
            <w:r w:rsidRPr="00A26FD5">
              <w:rPr>
                <w:sz w:val="18"/>
                <w:szCs w:val="18"/>
              </w:rPr>
              <w:t>0.5</w:t>
            </w:r>
          </w:p>
        </w:tc>
        <w:tc>
          <w:tcPr>
            <w:tcW w:w="350" w:type="pct"/>
          </w:tcPr>
          <w:p w14:paraId="1101D058" w14:textId="77777777" w:rsidR="00DC7067" w:rsidRPr="00A26FD5" w:rsidRDefault="00DC7067" w:rsidP="00DC7067">
            <w:pPr>
              <w:rPr>
                <w:rFonts w:eastAsiaTheme="minorHAnsi"/>
                <w:sz w:val="18"/>
                <w:szCs w:val="18"/>
              </w:rPr>
            </w:pPr>
            <w:r w:rsidRPr="00A26FD5">
              <w:rPr>
                <w:sz w:val="18"/>
                <w:szCs w:val="18"/>
              </w:rPr>
              <w:t>1.5</w:t>
            </w:r>
          </w:p>
        </w:tc>
        <w:tc>
          <w:tcPr>
            <w:tcW w:w="385" w:type="pct"/>
          </w:tcPr>
          <w:p w14:paraId="0DA2873B" w14:textId="77777777" w:rsidR="00DC7067" w:rsidRPr="00A26FD5" w:rsidRDefault="00DC7067" w:rsidP="00DC7067">
            <w:pPr>
              <w:rPr>
                <w:rFonts w:eastAsiaTheme="minorHAnsi"/>
                <w:sz w:val="18"/>
                <w:szCs w:val="18"/>
              </w:rPr>
            </w:pPr>
            <w:r w:rsidRPr="00A26FD5">
              <w:rPr>
                <w:sz w:val="18"/>
                <w:szCs w:val="18"/>
              </w:rPr>
              <w:t>612.0</w:t>
            </w:r>
          </w:p>
        </w:tc>
        <w:tc>
          <w:tcPr>
            <w:tcW w:w="340" w:type="pct"/>
          </w:tcPr>
          <w:p w14:paraId="2F2A8BF2" w14:textId="77777777" w:rsidR="00DC7067" w:rsidRPr="00A26FD5" w:rsidRDefault="00DC7067" w:rsidP="00DC7067">
            <w:pPr>
              <w:rPr>
                <w:rFonts w:eastAsiaTheme="minorHAnsi"/>
                <w:sz w:val="18"/>
                <w:szCs w:val="18"/>
              </w:rPr>
            </w:pPr>
            <w:r w:rsidRPr="00A26FD5">
              <w:rPr>
                <w:sz w:val="18"/>
                <w:szCs w:val="18"/>
              </w:rPr>
              <w:t>1.63</w:t>
            </w:r>
          </w:p>
        </w:tc>
        <w:tc>
          <w:tcPr>
            <w:tcW w:w="603" w:type="pct"/>
          </w:tcPr>
          <w:p w14:paraId="0E478E85" w14:textId="77777777" w:rsidR="00DC7067" w:rsidRPr="00A26FD5" w:rsidRDefault="00DC7067" w:rsidP="00DC7067">
            <w:pPr>
              <w:rPr>
                <w:rFonts w:eastAsiaTheme="minorHAnsi"/>
                <w:sz w:val="18"/>
                <w:szCs w:val="18"/>
              </w:rPr>
            </w:pPr>
            <w:r w:rsidRPr="00A26FD5">
              <w:rPr>
                <w:sz w:val="18"/>
                <w:szCs w:val="18"/>
              </w:rPr>
              <w:t>4.5</w:t>
            </w:r>
          </w:p>
        </w:tc>
        <w:tc>
          <w:tcPr>
            <w:tcW w:w="609" w:type="pct"/>
          </w:tcPr>
          <w:p w14:paraId="6A33425B" w14:textId="77777777" w:rsidR="00DC7067" w:rsidRPr="00A26FD5" w:rsidRDefault="00DC7067" w:rsidP="00DC7067">
            <w:pPr>
              <w:rPr>
                <w:rFonts w:eastAsiaTheme="minorHAnsi"/>
                <w:sz w:val="18"/>
                <w:szCs w:val="18"/>
              </w:rPr>
            </w:pPr>
            <w:r w:rsidRPr="00A26FD5">
              <w:rPr>
                <w:sz w:val="18"/>
                <w:szCs w:val="18"/>
              </w:rPr>
              <w:t>2.1</w:t>
            </w:r>
          </w:p>
        </w:tc>
        <w:tc>
          <w:tcPr>
            <w:tcW w:w="451" w:type="pct"/>
          </w:tcPr>
          <w:p w14:paraId="4B85862F" w14:textId="1423275B" w:rsidR="00DC7067" w:rsidRPr="00A26FD5" w:rsidRDefault="00BD2708" w:rsidP="00DC7067">
            <w:pPr>
              <w:rPr>
                <w:rFonts w:eastAsiaTheme="minorHAnsi"/>
                <w:sz w:val="18"/>
                <w:szCs w:val="18"/>
                <w:vertAlign w:val="superscript"/>
              </w:rPr>
            </w:pPr>
            <w:r w:rsidRPr="00A26FD5">
              <w:rPr>
                <w:sz w:val="18"/>
                <w:szCs w:val="18"/>
                <w:vertAlign w:val="superscript"/>
              </w:rPr>
              <w:t>2</w:t>
            </w:r>
          </w:p>
        </w:tc>
        <w:tc>
          <w:tcPr>
            <w:tcW w:w="633" w:type="pct"/>
          </w:tcPr>
          <w:p w14:paraId="5C798CD8" w14:textId="77777777" w:rsidR="00DC7067" w:rsidRPr="00A26FD5" w:rsidRDefault="00DC7067" w:rsidP="00DC7067">
            <w:pPr>
              <w:rPr>
                <w:rFonts w:eastAsiaTheme="minorHAnsi"/>
                <w:sz w:val="18"/>
                <w:szCs w:val="18"/>
              </w:rPr>
            </w:pPr>
            <w:r w:rsidRPr="00A26FD5">
              <w:rPr>
                <w:sz w:val="18"/>
                <w:szCs w:val="18"/>
              </w:rPr>
              <w:t>4.3</w:t>
            </w:r>
          </w:p>
        </w:tc>
        <w:tc>
          <w:tcPr>
            <w:tcW w:w="529" w:type="pct"/>
          </w:tcPr>
          <w:p w14:paraId="3E1D1728" w14:textId="77777777" w:rsidR="00DC7067" w:rsidRPr="00A26FD5" w:rsidRDefault="00DC7067" w:rsidP="00DC7067">
            <w:pPr>
              <w:rPr>
                <w:rFonts w:eastAsiaTheme="minorHAnsi"/>
                <w:sz w:val="18"/>
                <w:szCs w:val="18"/>
              </w:rPr>
            </w:pPr>
            <w:r w:rsidRPr="00A26FD5">
              <w:rPr>
                <w:sz w:val="18"/>
                <w:szCs w:val="18"/>
              </w:rPr>
              <w:t>2.8</w:t>
            </w:r>
          </w:p>
        </w:tc>
      </w:tr>
      <w:tr w:rsidR="00DC7067" w:rsidRPr="00A26FD5" w14:paraId="456EE81C" w14:textId="77777777" w:rsidTr="00A26FD5">
        <w:tc>
          <w:tcPr>
            <w:tcW w:w="595" w:type="pct"/>
          </w:tcPr>
          <w:p w14:paraId="230C89C0" w14:textId="77777777" w:rsidR="00DC7067" w:rsidRPr="00A26FD5" w:rsidRDefault="00DC7067" w:rsidP="00DC7067">
            <w:pPr>
              <w:rPr>
                <w:rFonts w:eastAsiaTheme="minorHAnsi"/>
                <w:sz w:val="18"/>
                <w:szCs w:val="18"/>
              </w:rPr>
            </w:pPr>
            <w:r w:rsidRPr="00A26FD5">
              <w:rPr>
                <w:sz w:val="18"/>
                <w:szCs w:val="18"/>
              </w:rPr>
              <w:t>Latina America</w:t>
            </w:r>
          </w:p>
        </w:tc>
        <w:tc>
          <w:tcPr>
            <w:tcW w:w="504" w:type="pct"/>
          </w:tcPr>
          <w:p w14:paraId="330D40ED" w14:textId="77777777" w:rsidR="00DC7067" w:rsidRPr="00A26FD5" w:rsidRDefault="00DC7067" w:rsidP="00DC7067">
            <w:pPr>
              <w:rPr>
                <w:rFonts w:eastAsiaTheme="minorHAnsi"/>
                <w:sz w:val="18"/>
                <w:szCs w:val="18"/>
              </w:rPr>
            </w:pPr>
            <w:r w:rsidRPr="00A26FD5">
              <w:rPr>
                <w:sz w:val="18"/>
                <w:szCs w:val="18"/>
              </w:rPr>
              <w:t xml:space="preserve">8.1 </w:t>
            </w:r>
          </w:p>
        </w:tc>
        <w:tc>
          <w:tcPr>
            <w:tcW w:w="350" w:type="pct"/>
          </w:tcPr>
          <w:p w14:paraId="1E808417" w14:textId="77777777" w:rsidR="00DC7067" w:rsidRPr="00A26FD5" w:rsidRDefault="00DC7067" w:rsidP="00DC7067">
            <w:pPr>
              <w:rPr>
                <w:rFonts w:eastAsiaTheme="minorHAnsi"/>
                <w:sz w:val="18"/>
                <w:szCs w:val="18"/>
              </w:rPr>
            </w:pPr>
            <w:r w:rsidRPr="00A26FD5">
              <w:rPr>
                <w:sz w:val="18"/>
                <w:szCs w:val="18"/>
              </w:rPr>
              <w:t>3.4</w:t>
            </w:r>
          </w:p>
        </w:tc>
        <w:tc>
          <w:tcPr>
            <w:tcW w:w="385" w:type="pct"/>
          </w:tcPr>
          <w:p w14:paraId="43581E7A" w14:textId="77777777" w:rsidR="00DC7067" w:rsidRPr="00A26FD5" w:rsidRDefault="00DC7067" w:rsidP="00DC7067">
            <w:pPr>
              <w:rPr>
                <w:rFonts w:eastAsiaTheme="minorHAnsi"/>
                <w:sz w:val="18"/>
                <w:szCs w:val="18"/>
              </w:rPr>
            </w:pPr>
            <w:r w:rsidRPr="00A26FD5">
              <w:rPr>
                <w:sz w:val="18"/>
                <w:szCs w:val="18"/>
              </w:rPr>
              <w:t>87.2</w:t>
            </w:r>
          </w:p>
        </w:tc>
        <w:tc>
          <w:tcPr>
            <w:tcW w:w="340" w:type="pct"/>
          </w:tcPr>
          <w:p w14:paraId="26960A09" w14:textId="77777777" w:rsidR="00DC7067" w:rsidRPr="00A26FD5" w:rsidRDefault="00DC7067" w:rsidP="00DC7067">
            <w:pPr>
              <w:rPr>
                <w:rFonts w:eastAsiaTheme="minorHAnsi"/>
                <w:sz w:val="18"/>
                <w:szCs w:val="18"/>
              </w:rPr>
            </w:pPr>
            <w:r w:rsidRPr="00A26FD5">
              <w:rPr>
                <w:sz w:val="18"/>
                <w:szCs w:val="18"/>
              </w:rPr>
              <w:t>0.69</w:t>
            </w:r>
          </w:p>
        </w:tc>
        <w:tc>
          <w:tcPr>
            <w:tcW w:w="603" w:type="pct"/>
          </w:tcPr>
          <w:p w14:paraId="650BBB55" w14:textId="77777777" w:rsidR="00DC7067" w:rsidRPr="00A26FD5" w:rsidRDefault="00DC7067" w:rsidP="00DC7067">
            <w:pPr>
              <w:rPr>
                <w:rFonts w:eastAsiaTheme="minorHAnsi"/>
                <w:sz w:val="18"/>
                <w:szCs w:val="18"/>
              </w:rPr>
            </w:pPr>
            <w:r w:rsidRPr="00A26FD5">
              <w:rPr>
                <w:sz w:val="18"/>
                <w:szCs w:val="18"/>
              </w:rPr>
              <w:t>0.5</w:t>
            </w:r>
          </w:p>
        </w:tc>
        <w:tc>
          <w:tcPr>
            <w:tcW w:w="609" w:type="pct"/>
          </w:tcPr>
          <w:p w14:paraId="0E1E9156" w14:textId="77777777" w:rsidR="00DC7067" w:rsidRPr="00A26FD5" w:rsidRDefault="00DC7067" w:rsidP="00DC7067">
            <w:pPr>
              <w:rPr>
                <w:rFonts w:eastAsiaTheme="minorHAnsi"/>
                <w:sz w:val="18"/>
                <w:szCs w:val="18"/>
              </w:rPr>
            </w:pPr>
            <w:r w:rsidRPr="00A26FD5">
              <w:rPr>
                <w:sz w:val="18"/>
                <w:szCs w:val="18"/>
              </w:rPr>
              <w:t>3.6</w:t>
            </w:r>
          </w:p>
        </w:tc>
        <w:tc>
          <w:tcPr>
            <w:tcW w:w="451" w:type="pct"/>
          </w:tcPr>
          <w:p w14:paraId="45BA4178" w14:textId="77777777" w:rsidR="00DC7067" w:rsidRPr="00A26FD5" w:rsidRDefault="00DC7067" w:rsidP="00DC7067">
            <w:pPr>
              <w:rPr>
                <w:rFonts w:eastAsiaTheme="minorHAnsi"/>
                <w:sz w:val="18"/>
                <w:szCs w:val="18"/>
              </w:rPr>
            </w:pPr>
            <w:r w:rsidRPr="00A26FD5">
              <w:rPr>
                <w:sz w:val="18"/>
                <w:szCs w:val="18"/>
              </w:rPr>
              <w:t>4.2</w:t>
            </w:r>
          </w:p>
        </w:tc>
        <w:tc>
          <w:tcPr>
            <w:tcW w:w="633" w:type="pct"/>
          </w:tcPr>
          <w:p w14:paraId="156E7F66" w14:textId="77777777" w:rsidR="00DC7067" w:rsidRPr="00A26FD5" w:rsidRDefault="00DC7067" w:rsidP="00DC7067">
            <w:pPr>
              <w:rPr>
                <w:rFonts w:eastAsiaTheme="minorHAnsi"/>
                <w:sz w:val="18"/>
                <w:szCs w:val="18"/>
              </w:rPr>
            </w:pPr>
            <w:r w:rsidRPr="00A26FD5">
              <w:rPr>
                <w:sz w:val="18"/>
                <w:szCs w:val="18"/>
              </w:rPr>
              <w:t>5.1</w:t>
            </w:r>
          </w:p>
        </w:tc>
        <w:tc>
          <w:tcPr>
            <w:tcW w:w="529" w:type="pct"/>
          </w:tcPr>
          <w:p w14:paraId="4B1A279F" w14:textId="77777777" w:rsidR="00DC7067" w:rsidRPr="00A26FD5" w:rsidRDefault="00DC7067" w:rsidP="00DC7067">
            <w:pPr>
              <w:rPr>
                <w:rFonts w:eastAsiaTheme="minorHAnsi"/>
                <w:sz w:val="18"/>
                <w:szCs w:val="18"/>
              </w:rPr>
            </w:pPr>
            <w:r w:rsidRPr="00A26FD5">
              <w:rPr>
                <w:sz w:val="18"/>
                <w:szCs w:val="18"/>
              </w:rPr>
              <w:t>0.3</w:t>
            </w:r>
          </w:p>
        </w:tc>
      </w:tr>
      <w:tr w:rsidR="00DC7067" w:rsidRPr="00A26FD5" w14:paraId="3BF79BAE" w14:textId="77777777" w:rsidTr="00A26FD5">
        <w:tc>
          <w:tcPr>
            <w:tcW w:w="595" w:type="pct"/>
          </w:tcPr>
          <w:p w14:paraId="4ACB62D9" w14:textId="77777777" w:rsidR="00DC7067" w:rsidRPr="00A26FD5" w:rsidRDefault="00DC7067" w:rsidP="00DC7067">
            <w:pPr>
              <w:rPr>
                <w:rFonts w:eastAsiaTheme="minorHAnsi"/>
                <w:sz w:val="18"/>
                <w:szCs w:val="18"/>
              </w:rPr>
            </w:pPr>
            <w:r w:rsidRPr="00A26FD5">
              <w:rPr>
                <w:sz w:val="18"/>
                <w:szCs w:val="18"/>
              </w:rPr>
              <w:t>Caribbean</w:t>
            </w:r>
          </w:p>
        </w:tc>
        <w:tc>
          <w:tcPr>
            <w:tcW w:w="504" w:type="pct"/>
          </w:tcPr>
          <w:p w14:paraId="779BEF27" w14:textId="77777777" w:rsidR="00DC7067" w:rsidRPr="00A26FD5" w:rsidRDefault="00DC7067" w:rsidP="00DC7067">
            <w:pPr>
              <w:rPr>
                <w:rFonts w:eastAsiaTheme="minorHAnsi"/>
                <w:sz w:val="18"/>
                <w:szCs w:val="18"/>
              </w:rPr>
            </w:pPr>
            <w:r w:rsidRPr="00A26FD5">
              <w:rPr>
                <w:sz w:val="18"/>
                <w:szCs w:val="18"/>
              </w:rPr>
              <w:t>0.6</w:t>
            </w:r>
          </w:p>
        </w:tc>
        <w:tc>
          <w:tcPr>
            <w:tcW w:w="350" w:type="pct"/>
          </w:tcPr>
          <w:p w14:paraId="3432A095" w14:textId="77777777" w:rsidR="00DC7067" w:rsidRPr="00A26FD5" w:rsidRDefault="00DC7067" w:rsidP="00DC7067">
            <w:pPr>
              <w:rPr>
                <w:rFonts w:eastAsiaTheme="minorHAnsi"/>
                <w:sz w:val="18"/>
                <w:szCs w:val="18"/>
              </w:rPr>
            </w:pPr>
            <w:r w:rsidRPr="00A26FD5">
              <w:rPr>
                <w:sz w:val="18"/>
                <w:szCs w:val="18"/>
              </w:rPr>
              <w:t>0.1</w:t>
            </w:r>
          </w:p>
        </w:tc>
        <w:tc>
          <w:tcPr>
            <w:tcW w:w="385" w:type="pct"/>
          </w:tcPr>
          <w:p w14:paraId="15473FE2" w14:textId="77777777" w:rsidR="00DC7067" w:rsidRPr="00A26FD5" w:rsidRDefault="00DC7067" w:rsidP="00DC7067">
            <w:pPr>
              <w:rPr>
                <w:rFonts w:eastAsiaTheme="minorHAnsi"/>
                <w:sz w:val="18"/>
                <w:szCs w:val="18"/>
              </w:rPr>
            </w:pPr>
            <w:r w:rsidRPr="00A26FD5">
              <w:rPr>
                <w:sz w:val="18"/>
                <w:szCs w:val="18"/>
              </w:rPr>
              <w:t>40.8</w:t>
            </w:r>
          </w:p>
        </w:tc>
        <w:tc>
          <w:tcPr>
            <w:tcW w:w="340" w:type="pct"/>
          </w:tcPr>
          <w:p w14:paraId="696A8D14" w14:textId="77777777" w:rsidR="00DC7067" w:rsidRPr="00A26FD5" w:rsidRDefault="00DC7067" w:rsidP="00DC7067">
            <w:pPr>
              <w:rPr>
                <w:rFonts w:eastAsiaTheme="minorHAnsi"/>
                <w:sz w:val="18"/>
                <w:szCs w:val="18"/>
              </w:rPr>
            </w:pPr>
            <w:r w:rsidRPr="00A26FD5">
              <w:rPr>
                <w:sz w:val="18"/>
                <w:szCs w:val="18"/>
              </w:rPr>
              <w:t>0.34</w:t>
            </w:r>
          </w:p>
        </w:tc>
        <w:tc>
          <w:tcPr>
            <w:tcW w:w="603" w:type="pct"/>
          </w:tcPr>
          <w:p w14:paraId="37B31926" w14:textId="77777777" w:rsidR="00DC7067" w:rsidRPr="00A26FD5" w:rsidRDefault="00DC7067" w:rsidP="00DC7067">
            <w:pPr>
              <w:rPr>
                <w:rFonts w:eastAsiaTheme="minorHAnsi"/>
                <w:sz w:val="18"/>
                <w:szCs w:val="18"/>
              </w:rPr>
            </w:pPr>
            <w:r w:rsidRPr="00A26FD5">
              <w:rPr>
                <w:sz w:val="18"/>
                <w:szCs w:val="18"/>
              </w:rPr>
              <w:t>0.2</w:t>
            </w:r>
          </w:p>
        </w:tc>
        <w:tc>
          <w:tcPr>
            <w:tcW w:w="609" w:type="pct"/>
          </w:tcPr>
          <w:p w14:paraId="6CD89B52" w14:textId="77777777" w:rsidR="00DC7067" w:rsidRPr="00A26FD5" w:rsidRDefault="00DC7067" w:rsidP="00DC7067">
            <w:pPr>
              <w:rPr>
                <w:rFonts w:eastAsiaTheme="minorHAnsi"/>
                <w:sz w:val="18"/>
                <w:szCs w:val="18"/>
              </w:rPr>
            </w:pPr>
            <w:r w:rsidRPr="00A26FD5">
              <w:rPr>
                <w:sz w:val="18"/>
                <w:szCs w:val="18"/>
              </w:rPr>
              <w:t>0.1</w:t>
            </w:r>
          </w:p>
        </w:tc>
        <w:tc>
          <w:tcPr>
            <w:tcW w:w="451" w:type="pct"/>
          </w:tcPr>
          <w:p w14:paraId="39182143" w14:textId="5FBFA328" w:rsidR="00DC7067" w:rsidRPr="00A26FD5" w:rsidRDefault="00DC7067" w:rsidP="00BD2708">
            <w:pPr>
              <w:rPr>
                <w:rFonts w:eastAsiaTheme="minorHAnsi"/>
                <w:sz w:val="18"/>
                <w:szCs w:val="18"/>
                <w:vertAlign w:val="superscript"/>
              </w:rPr>
            </w:pPr>
            <w:r w:rsidRPr="00A26FD5">
              <w:rPr>
                <w:sz w:val="18"/>
                <w:szCs w:val="18"/>
              </w:rPr>
              <w:t>0.0</w:t>
            </w:r>
            <w:r w:rsidR="00BD2708" w:rsidRPr="00A26FD5">
              <w:rPr>
                <w:sz w:val="18"/>
                <w:szCs w:val="18"/>
                <w:vertAlign w:val="superscript"/>
              </w:rPr>
              <w:t>3</w:t>
            </w:r>
          </w:p>
        </w:tc>
        <w:tc>
          <w:tcPr>
            <w:tcW w:w="633" w:type="pct"/>
          </w:tcPr>
          <w:p w14:paraId="6DC0E84B" w14:textId="77777777" w:rsidR="00DC7067" w:rsidRPr="00A26FD5" w:rsidRDefault="00DC7067" w:rsidP="00DC7067">
            <w:pPr>
              <w:rPr>
                <w:rFonts w:eastAsiaTheme="minorHAnsi"/>
                <w:sz w:val="18"/>
                <w:szCs w:val="18"/>
              </w:rPr>
            </w:pPr>
            <w:r w:rsidRPr="00A26FD5">
              <w:rPr>
                <w:sz w:val="18"/>
                <w:szCs w:val="18"/>
              </w:rPr>
              <w:t>0.1</w:t>
            </w:r>
          </w:p>
        </w:tc>
        <w:tc>
          <w:tcPr>
            <w:tcW w:w="529" w:type="pct"/>
          </w:tcPr>
          <w:p w14:paraId="1C9C8719" w14:textId="77777777" w:rsidR="00DC7067" w:rsidRPr="00A26FD5" w:rsidRDefault="00DC7067" w:rsidP="00DC7067">
            <w:pPr>
              <w:rPr>
                <w:rFonts w:eastAsiaTheme="minorHAnsi"/>
                <w:sz w:val="18"/>
                <w:szCs w:val="18"/>
              </w:rPr>
            </w:pPr>
            <w:r w:rsidRPr="00A26FD5">
              <w:rPr>
                <w:sz w:val="18"/>
                <w:szCs w:val="18"/>
              </w:rPr>
              <w:t>0.0</w:t>
            </w:r>
          </w:p>
        </w:tc>
      </w:tr>
      <w:tr w:rsidR="00DC7067" w:rsidRPr="00A26FD5" w14:paraId="32B5AEEE" w14:textId="77777777" w:rsidTr="00A26FD5">
        <w:tc>
          <w:tcPr>
            <w:tcW w:w="595" w:type="pct"/>
          </w:tcPr>
          <w:p w14:paraId="251C34A2" w14:textId="77777777" w:rsidR="00DC7067" w:rsidRPr="00A26FD5" w:rsidRDefault="00DC7067" w:rsidP="00DC7067">
            <w:pPr>
              <w:rPr>
                <w:rFonts w:eastAsiaTheme="minorHAnsi"/>
                <w:sz w:val="18"/>
                <w:szCs w:val="18"/>
              </w:rPr>
            </w:pPr>
            <w:r w:rsidRPr="00A26FD5">
              <w:rPr>
                <w:sz w:val="18"/>
                <w:szCs w:val="18"/>
              </w:rPr>
              <w:t>World</w:t>
            </w:r>
          </w:p>
        </w:tc>
        <w:tc>
          <w:tcPr>
            <w:tcW w:w="504" w:type="pct"/>
          </w:tcPr>
          <w:p w14:paraId="461BFD33" w14:textId="77777777" w:rsidR="00DC7067" w:rsidRPr="00A26FD5" w:rsidRDefault="00DC7067" w:rsidP="00DC7067">
            <w:pPr>
              <w:rPr>
                <w:rFonts w:eastAsiaTheme="minorHAnsi"/>
                <w:b/>
                <w:sz w:val="18"/>
                <w:szCs w:val="18"/>
              </w:rPr>
            </w:pPr>
            <w:r w:rsidRPr="00A26FD5">
              <w:rPr>
                <w:b/>
                <w:sz w:val="18"/>
                <w:szCs w:val="18"/>
              </w:rPr>
              <w:t>100</w:t>
            </w:r>
          </w:p>
        </w:tc>
        <w:tc>
          <w:tcPr>
            <w:tcW w:w="350" w:type="pct"/>
          </w:tcPr>
          <w:p w14:paraId="3ACD58E8" w14:textId="77777777" w:rsidR="00DC7067" w:rsidRPr="00A26FD5" w:rsidRDefault="00DC7067" w:rsidP="00DC7067">
            <w:pPr>
              <w:rPr>
                <w:rFonts w:eastAsiaTheme="minorHAnsi"/>
                <w:b/>
                <w:sz w:val="18"/>
                <w:szCs w:val="18"/>
              </w:rPr>
            </w:pPr>
            <w:r w:rsidRPr="00A26FD5">
              <w:rPr>
                <w:b/>
                <w:sz w:val="18"/>
                <w:szCs w:val="18"/>
              </w:rPr>
              <w:t>100</w:t>
            </w:r>
          </w:p>
        </w:tc>
        <w:tc>
          <w:tcPr>
            <w:tcW w:w="385" w:type="pct"/>
          </w:tcPr>
          <w:p w14:paraId="72D88BC7" w14:textId="77777777" w:rsidR="00DC7067" w:rsidRPr="00A26FD5" w:rsidRDefault="00DC7067" w:rsidP="00DC7067">
            <w:pPr>
              <w:rPr>
                <w:rFonts w:eastAsiaTheme="minorHAnsi"/>
                <w:b/>
                <w:sz w:val="18"/>
                <w:szCs w:val="18"/>
              </w:rPr>
            </w:pPr>
            <w:r w:rsidRPr="00A26FD5">
              <w:rPr>
                <w:b/>
                <w:sz w:val="18"/>
                <w:szCs w:val="18"/>
              </w:rPr>
              <w:t>206.3</w:t>
            </w:r>
          </w:p>
        </w:tc>
        <w:tc>
          <w:tcPr>
            <w:tcW w:w="340" w:type="pct"/>
          </w:tcPr>
          <w:p w14:paraId="787746C7" w14:textId="77777777" w:rsidR="00DC7067" w:rsidRPr="00A26FD5" w:rsidRDefault="00DC7067" w:rsidP="00DC7067">
            <w:pPr>
              <w:rPr>
                <w:rFonts w:eastAsiaTheme="minorHAnsi"/>
                <w:b/>
                <w:sz w:val="18"/>
                <w:szCs w:val="18"/>
              </w:rPr>
            </w:pPr>
            <w:r w:rsidRPr="00A26FD5">
              <w:rPr>
                <w:b/>
                <w:sz w:val="18"/>
                <w:szCs w:val="18"/>
              </w:rPr>
              <w:t>1.70</w:t>
            </w:r>
          </w:p>
        </w:tc>
        <w:tc>
          <w:tcPr>
            <w:tcW w:w="603" w:type="pct"/>
          </w:tcPr>
          <w:p w14:paraId="12E3394E" w14:textId="77777777" w:rsidR="00DC7067" w:rsidRPr="00A26FD5" w:rsidRDefault="00DC7067" w:rsidP="00DC7067">
            <w:pPr>
              <w:rPr>
                <w:rFonts w:eastAsiaTheme="minorHAnsi"/>
                <w:b/>
                <w:sz w:val="18"/>
                <w:szCs w:val="18"/>
              </w:rPr>
            </w:pPr>
            <w:r w:rsidRPr="00A26FD5">
              <w:rPr>
                <w:b/>
                <w:sz w:val="18"/>
                <w:szCs w:val="18"/>
              </w:rPr>
              <w:t>1.1</w:t>
            </w:r>
          </w:p>
        </w:tc>
        <w:tc>
          <w:tcPr>
            <w:tcW w:w="609" w:type="pct"/>
          </w:tcPr>
          <w:p w14:paraId="321A264D" w14:textId="77777777" w:rsidR="00DC7067" w:rsidRPr="00A26FD5" w:rsidRDefault="00DC7067" w:rsidP="00DC7067">
            <w:pPr>
              <w:rPr>
                <w:rFonts w:eastAsiaTheme="minorHAnsi"/>
                <w:b/>
                <w:sz w:val="18"/>
                <w:szCs w:val="18"/>
              </w:rPr>
            </w:pPr>
            <w:r w:rsidRPr="00A26FD5">
              <w:rPr>
                <w:b/>
                <w:sz w:val="18"/>
                <w:szCs w:val="18"/>
              </w:rPr>
              <w:t>100</w:t>
            </w:r>
          </w:p>
        </w:tc>
        <w:tc>
          <w:tcPr>
            <w:tcW w:w="451" w:type="pct"/>
          </w:tcPr>
          <w:p w14:paraId="303C1DF5" w14:textId="77777777" w:rsidR="00DC7067" w:rsidRPr="00A26FD5" w:rsidRDefault="00DC7067" w:rsidP="00DC7067">
            <w:pPr>
              <w:rPr>
                <w:rFonts w:eastAsiaTheme="minorHAnsi"/>
                <w:b/>
                <w:sz w:val="18"/>
                <w:szCs w:val="18"/>
              </w:rPr>
            </w:pPr>
            <w:r w:rsidRPr="00A26FD5">
              <w:rPr>
                <w:b/>
                <w:sz w:val="18"/>
                <w:szCs w:val="18"/>
              </w:rPr>
              <w:t>100</w:t>
            </w:r>
          </w:p>
        </w:tc>
        <w:tc>
          <w:tcPr>
            <w:tcW w:w="633" w:type="pct"/>
          </w:tcPr>
          <w:p w14:paraId="0D560C82" w14:textId="77777777" w:rsidR="00DC7067" w:rsidRPr="00A26FD5" w:rsidRDefault="00DC7067" w:rsidP="00DC7067">
            <w:pPr>
              <w:rPr>
                <w:rFonts w:eastAsiaTheme="minorHAnsi"/>
                <w:b/>
                <w:sz w:val="18"/>
                <w:szCs w:val="18"/>
              </w:rPr>
            </w:pPr>
            <w:r w:rsidRPr="00A26FD5">
              <w:rPr>
                <w:b/>
                <w:sz w:val="18"/>
                <w:szCs w:val="18"/>
              </w:rPr>
              <w:t>100</w:t>
            </w:r>
          </w:p>
        </w:tc>
        <w:tc>
          <w:tcPr>
            <w:tcW w:w="529" w:type="pct"/>
          </w:tcPr>
          <w:p w14:paraId="392A9C29" w14:textId="77777777" w:rsidR="00DC7067" w:rsidRPr="00A26FD5" w:rsidRDefault="00DC7067" w:rsidP="00DC7067">
            <w:pPr>
              <w:rPr>
                <w:rFonts w:eastAsiaTheme="minorHAnsi"/>
                <w:b/>
                <w:sz w:val="18"/>
                <w:szCs w:val="18"/>
              </w:rPr>
            </w:pPr>
            <w:r w:rsidRPr="00A26FD5">
              <w:rPr>
                <w:b/>
                <w:sz w:val="18"/>
                <w:szCs w:val="18"/>
              </w:rPr>
              <w:t>100</w:t>
            </w:r>
          </w:p>
        </w:tc>
      </w:tr>
    </w:tbl>
    <w:p w14:paraId="7F04B8B9" w14:textId="77777777" w:rsidR="001E61A6" w:rsidRPr="008608AA" w:rsidRDefault="001E61A6" w:rsidP="00976E9A">
      <w:pPr>
        <w:rPr>
          <w:sz w:val="20"/>
          <w:szCs w:val="20"/>
        </w:rPr>
      </w:pPr>
      <w:r w:rsidRPr="008608AA">
        <w:rPr>
          <w:sz w:val="20"/>
          <w:szCs w:val="20"/>
        </w:rPr>
        <w:t>Notes:</w:t>
      </w:r>
    </w:p>
    <w:p w14:paraId="732F905C" w14:textId="22CC7FA4" w:rsidR="001E61A6" w:rsidRPr="008608AA" w:rsidRDefault="00BD2708" w:rsidP="00976E9A">
      <w:pPr>
        <w:rPr>
          <w:sz w:val="20"/>
          <w:szCs w:val="20"/>
        </w:rPr>
      </w:pPr>
      <w:r w:rsidRPr="008608AA">
        <w:rPr>
          <w:bCs/>
          <w:sz w:val="20"/>
          <w:szCs w:val="20"/>
          <w:vertAlign w:val="superscript"/>
        </w:rPr>
        <w:t>1</w:t>
      </w:r>
      <w:r w:rsidRPr="008608AA">
        <w:rPr>
          <w:sz w:val="20"/>
          <w:szCs w:val="20"/>
        </w:rPr>
        <w:t xml:space="preserve"> </w:t>
      </w:r>
      <w:r w:rsidR="001E61A6" w:rsidRPr="008608AA">
        <w:rPr>
          <w:sz w:val="20"/>
          <w:szCs w:val="20"/>
        </w:rPr>
        <w:t>This information does not separate non-military and militar</w:t>
      </w:r>
      <w:r w:rsidR="004F31D2" w:rsidRPr="008608AA">
        <w:rPr>
          <w:sz w:val="20"/>
          <w:szCs w:val="20"/>
        </w:rPr>
        <w:t>y research and development (R&amp;D).</w:t>
      </w:r>
    </w:p>
    <w:p w14:paraId="02C1FCB5" w14:textId="192EB4AB" w:rsidR="001E61A6" w:rsidRPr="008608AA" w:rsidRDefault="00BD2708" w:rsidP="00976E9A">
      <w:pPr>
        <w:pStyle w:val="ListParagraph"/>
        <w:spacing w:after="0"/>
        <w:ind w:left="0"/>
        <w:rPr>
          <w:sz w:val="20"/>
          <w:szCs w:val="20"/>
        </w:rPr>
      </w:pPr>
      <w:r w:rsidRPr="008608AA">
        <w:rPr>
          <w:rFonts w:eastAsiaTheme="minorHAnsi"/>
          <w:bCs/>
          <w:sz w:val="20"/>
          <w:szCs w:val="20"/>
          <w:vertAlign w:val="superscript"/>
        </w:rPr>
        <w:t>2</w:t>
      </w:r>
      <w:r w:rsidRPr="008608AA">
        <w:rPr>
          <w:rFonts w:eastAsiaTheme="minorHAnsi"/>
          <w:sz w:val="20"/>
          <w:szCs w:val="20"/>
        </w:rPr>
        <w:t xml:space="preserve"> </w:t>
      </w:r>
      <w:r w:rsidR="001E61A6" w:rsidRPr="008608AA">
        <w:rPr>
          <w:rFonts w:eastAsiaTheme="minorHAnsi"/>
          <w:sz w:val="20"/>
          <w:szCs w:val="20"/>
        </w:rPr>
        <w:t>Canadian in</w:t>
      </w:r>
      <w:r w:rsidR="004F31D2" w:rsidRPr="008608AA">
        <w:rPr>
          <w:rFonts w:eastAsiaTheme="minorHAnsi"/>
          <w:sz w:val="20"/>
          <w:szCs w:val="20"/>
        </w:rPr>
        <w:t>vestments in R&amp;D reduced from $</w:t>
      </w:r>
      <w:r w:rsidR="001E61A6" w:rsidRPr="008608AA">
        <w:rPr>
          <w:rFonts w:eastAsiaTheme="minorHAnsi"/>
          <w:sz w:val="20"/>
          <w:szCs w:val="20"/>
        </w:rPr>
        <w:t xml:space="preserve">23.3 billion in 2007 to </w:t>
      </w:r>
      <w:r w:rsidR="004F31D2" w:rsidRPr="008608AA">
        <w:rPr>
          <w:rFonts w:eastAsiaTheme="minorHAnsi"/>
          <w:sz w:val="20"/>
          <w:szCs w:val="20"/>
        </w:rPr>
        <w:t>$</w:t>
      </w:r>
      <w:r w:rsidR="001E61A6" w:rsidRPr="008608AA">
        <w:rPr>
          <w:rFonts w:eastAsiaTheme="minorHAnsi"/>
          <w:sz w:val="20"/>
          <w:szCs w:val="20"/>
        </w:rPr>
        <w:t>21.5 billion in 2013.</w:t>
      </w:r>
    </w:p>
    <w:p w14:paraId="670852CA" w14:textId="7630F4CF" w:rsidR="001E61A6" w:rsidRPr="008608AA" w:rsidRDefault="00BD2708" w:rsidP="00976E9A">
      <w:pPr>
        <w:pStyle w:val="ListParagraph"/>
        <w:spacing w:after="0"/>
        <w:ind w:left="0"/>
        <w:rPr>
          <w:sz w:val="20"/>
          <w:szCs w:val="20"/>
        </w:rPr>
      </w:pPr>
      <w:r w:rsidRPr="008608AA">
        <w:rPr>
          <w:rFonts w:eastAsiaTheme="minorHAnsi"/>
          <w:bCs/>
          <w:sz w:val="20"/>
          <w:szCs w:val="20"/>
          <w:vertAlign w:val="superscript"/>
        </w:rPr>
        <w:t xml:space="preserve">3 </w:t>
      </w:r>
      <w:r w:rsidR="001E61A6" w:rsidRPr="008608AA">
        <w:rPr>
          <w:rFonts w:eastAsiaTheme="minorHAnsi"/>
          <w:sz w:val="20"/>
          <w:szCs w:val="20"/>
        </w:rPr>
        <w:t xml:space="preserve">Caribbean investments in R&amp;D marginally increased from </w:t>
      </w:r>
      <w:r w:rsidR="004F31D2" w:rsidRPr="008608AA">
        <w:rPr>
          <w:rFonts w:eastAsiaTheme="minorHAnsi"/>
          <w:sz w:val="20"/>
          <w:szCs w:val="20"/>
        </w:rPr>
        <w:t>$</w:t>
      </w:r>
      <w:r w:rsidR="001E61A6" w:rsidRPr="008608AA">
        <w:rPr>
          <w:rFonts w:eastAsiaTheme="minorHAnsi"/>
          <w:sz w:val="20"/>
          <w:szCs w:val="20"/>
        </w:rPr>
        <w:t xml:space="preserve">1.6 billion in 2007 to </w:t>
      </w:r>
      <w:r w:rsidR="004F31D2" w:rsidRPr="008608AA">
        <w:rPr>
          <w:rFonts w:eastAsiaTheme="minorHAnsi"/>
          <w:sz w:val="20"/>
          <w:szCs w:val="20"/>
        </w:rPr>
        <w:t>$</w:t>
      </w:r>
      <w:r w:rsidR="001E61A6" w:rsidRPr="008608AA">
        <w:rPr>
          <w:rFonts w:eastAsiaTheme="minorHAnsi"/>
          <w:sz w:val="20"/>
          <w:szCs w:val="20"/>
        </w:rPr>
        <w:t>1.7 billion in 2013</w:t>
      </w:r>
      <w:r w:rsidRPr="008608AA">
        <w:rPr>
          <w:rFonts w:eastAsiaTheme="minorHAnsi"/>
          <w:sz w:val="20"/>
          <w:szCs w:val="20"/>
        </w:rPr>
        <w:t>.</w:t>
      </w:r>
    </w:p>
    <w:p w14:paraId="455D0193" w14:textId="49238088" w:rsidR="001E61A6" w:rsidRPr="008608AA" w:rsidRDefault="00BD2708" w:rsidP="00976E9A">
      <w:pPr>
        <w:pStyle w:val="ListParagraph"/>
        <w:spacing w:after="0"/>
        <w:ind w:left="0"/>
        <w:rPr>
          <w:rFonts w:eastAsiaTheme="minorHAnsi"/>
          <w:sz w:val="20"/>
          <w:szCs w:val="20"/>
        </w:rPr>
      </w:pPr>
      <w:r w:rsidRPr="008608AA">
        <w:rPr>
          <w:rFonts w:eastAsiaTheme="minorHAnsi"/>
          <w:bCs/>
          <w:sz w:val="20"/>
          <w:szCs w:val="20"/>
          <w:vertAlign w:val="superscript"/>
        </w:rPr>
        <w:t>4</w:t>
      </w:r>
      <w:r w:rsidRPr="008608AA">
        <w:rPr>
          <w:rFonts w:eastAsiaTheme="minorHAnsi"/>
          <w:sz w:val="20"/>
          <w:szCs w:val="20"/>
        </w:rPr>
        <w:t xml:space="preserve"> </w:t>
      </w:r>
      <w:r w:rsidR="001E61A6" w:rsidRPr="008608AA">
        <w:rPr>
          <w:rFonts w:eastAsiaTheme="minorHAnsi"/>
          <w:sz w:val="20"/>
          <w:szCs w:val="20"/>
        </w:rPr>
        <w:t>UPSTO: United States Patent and Trademark Office.</w:t>
      </w:r>
    </w:p>
    <w:p w14:paraId="1C124E5A" w14:textId="26DB2460" w:rsidR="001E61A6" w:rsidRPr="008608AA" w:rsidRDefault="00BD2708" w:rsidP="00976E9A">
      <w:pPr>
        <w:pStyle w:val="ListParagraph"/>
        <w:spacing w:after="0"/>
        <w:ind w:left="0"/>
        <w:rPr>
          <w:sz w:val="20"/>
          <w:szCs w:val="20"/>
        </w:rPr>
      </w:pPr>
      <w:r w:rsidRPr="008608AA">
        <w:rPr>
          <w:bCs/>
          <w:sz w:val="20"/>
          <w:szCs w:val="20"/>
          <w:vertAlign w:val="superscript"/>
        </w:rPr>
        <w:t>5</w:t>
      </w:r>
      <w:r w:rsidRPr="008608AA">
        <w:rPr>
          <w:sz w:val="20"/>
          <w:szCs w:val="20"/>
        </w:rPr>
        <w:t xml:space="preserve"> </w:t>
      </w:r>
      <w:r w:rsidR="001E61A6" w:rsidRPr="008608AA">
        <w:rPr>
          <w:sz w:val="20"/>
          <w:szCs w:val="20"/>
        </w:rPr>
        <w:t>This is used as an international indicator considering the attractiveness of the USA market also for foreign investors.</w:t>
      </w:r>
    </w:p>
    <w:p w14:paraId="0554A665" w14:textId="4F9AB9AC" w:rsidR="001E61A6" w:rsidRPr="008608AA" w:rsidRDefault="001E61A6" w:rsidP="00976E9A">
      <w:pPr>
        <w:pStyle w:val="ListParagraph"/>
        <w:spacing w:after="0"/>
        <w:ind w:left="0"/>
        <w:rPr>
          <w:rFonts w:eastAsiaTheme="minorHAnsi"/>
          <w:sz w:val="20"/>
          <w:szCs w:val="20"/>
        </w:rPr>
      </w:pPr>
      <w:r w:rsidRPr="008608AA">
        <w:rPr>
          <w:rFonts w:eastAsiaTheme="minorHAnsi"/>
          <w:sz w:val="20"/>
          <w:szCs w:val="20"/>
        </w:rPr>
        <w:t xml:space="preserve">Source: UNESCO (2016). </w:t>
      </w:r>
    </w:p>
    <w:p w14:paraId="1D5A3E69" w14:textId="111FB73D" w:rsidR="001E61A6" w:rsidRPr="008608AA" w:rsidRDefault="001E61A6" w:rsidP="00274C8E">
      <w:pPr>
        <w:pStyle w:val="ListParagraph"/>
        <w:spacing w:before="240" w:after="0"/>
        <w:ind w:left="0"/>
        <w:rPr>
          <w:rFonts w:eastAsiaTheme="minorHAnsi"/>
          <w:lang w:val="en-US"/>
        </w:rPr>
      </w:pPr>
      <w:r w:rsidRPr="008608AA">
        <w:rPr>
          <w:rFonts w:eastAsiaTheme="minorHAnsi"/>
        </w:rPr>
        <w:t xml:space="preserve">Most of the scientific and technological potential of the Americas corresponds to North America, with 18.8% of researchers, 29.6% of global research and development, 29.6% of world publications, and 52.9% of patents submitted to US Patent and Trademark Office. Latin America and the Caribbean only account for 3.7% of researchers, 3.5% of global research and development, 5.2% of publications and 0.3% of US Patent and Trademark Office patents. The USA accounted for 10.8% of the global increase of research and development during 2007-2013, while the contribution to that increase from Latin America and the Caribbean hardly reached </w:t>
      </w:r>
      <w:r w:rsidRPr="006D1B0B">
        <w:rPr>
          <w:rFonts w:eastAsiaTheme="minorHAnsi"/>
        </w:rPr>
        <w:t xml:space="preserve">4.2% </w:t>
      </w:r>
      <w:r w:rsidR="006D1B0B" w:rsidRPr="006D1B0B">
        <w:rPr>
          <w:rFonts w:eastAsiaTheme="minorHAnsi"/>
        </w:rPr>
        <w:t>Table 4.7</w:t>
      </w:r>
      <w:r w:rsidRPr="006D1B0B">
        <w:rPr>
          <w:rFonts w:eastAsiaTheme="minorHAnsi"/>
          <w:b/>
          <w:lang w:val="en-US"/>
        </w:rPr>
        <w:t xml:space="preserve">, </w:t>
      </w:r>
      <w:r w:rsidRPr="006D1B0B">
        <w:rPr>
          <w:rFonts w:eastAsiaTheme="minorHAnsi"/>
          <w:lang w:val="en-US"/>
        </w:rPr>
        <w:t>UNESCO</w:t>
      </w:r>
      <w:r w:rsidR="00EF7F26" w:rsidRPr="006D1B0B">
        <w:rPr>
          <w:rFonts w:eastAsiaTheme="minorHAnsi"/>
          <w:lang w:val="en-US"/>
        </w:rPr>
        <w:t>,</w:t>
      </w:r>
      <w:r w:rsidRPr="006D1B0B">
        <w:rPr>
          <w:rFonts w:eastAsiaTheme="minorHAnsi"/>
          <w:lang w:val="en-US"/>
        </w:rPr>
        <w:t xml:space="preserve"> 2016</w:t>
      </w:r>
      <w:r w:rsidRPr="008608AA">
        <w:rPr>
          <w:rFonts w:eastAsiaTheme="minorHAnsi"/>
          <w:lang w:val="en-US"/>
        </w:rPr>
        <w:t xml:space="preserve">).  </w:t>
      </w:r>
    </w:p>
    <w:p w14:paraId="19FB4D4A" w14:textId="60EDAD1D" w:rsidR="001E61A6" w:rsidRPr="008608AA" w:rsidRDefault="001E61A6" w:rsidP="00274C8E">
      <w:pPr>
        <w:spacing w:before="240"/>
        <w:rPr>
          <w:rFonts w:eastAsia="Calibri"/>
        </w:rPr>
      </w:pPr>
      <w:r w:rsidRPr="008608AA">
        <w:rPr>
          <w:rFonts w:eastAsia="Calibri"/>
        </w:rPr>
        <w:t xml:space="preserve">The availability of secure internet servers in the Americas has increased rapidly since the early 2000s.  The North American </w:t>
      </w:r>
      <w:r w:rsidR="007C45FD" w:rsidRPr="008608AA">
        <w:rPr>
          <w:rFonts w:eastAsia="Calibri"/>
        </w:rPr>
        <w:t>sub</w:t>
      </w:r>
      <w:r w:rsidRPr="008608AA">
        <w:rPr>
          <w:rFonts w:eastAsia="Calibri"/>
        </w:rPr>
        <w:t xml:space="preserve">region significantly outpaces the Latin America and the Caribbean </w:t>
      </w:r>
      <w:r w:rsidR="007C45FD" w:rsidRPr="008608AA">
        <w:rPr>
          <w:rFonts w:eastAsia="Calibri"/>
        </w:rPr>
        <w:t>sub</w:t>
      </w:r>
      <w:r w:rsidR="00BD2708" w:rsidRPr="008608AA">
        <w:rPr>
          <w:rFonts w:eastAsia="Calibri"/>
        </w:rPr>
        <w:t>region, however.</w:t>
      </w:r>
      <w:r w:rsidRPr="008608AA">
        <w:rPr>
          <w:rFonts w:eastAsia="Calibri"/>
        </w:rPr>
        <w:t xml:space="preserve"> In North America, there are currently almost 1,600 servers per million people, while in Latin America and the Caribbean there are only 59 per million people. </w:t>
      </w:r>
      <w:r w:rsidRPr="008608AA">
        <w:t xml:space="preserve">Individual countries within </w:t>
      </w:r>
      <w:r w:rsidR="007C45FD" w:rsidRPr="008608AA">
        <w:t>sub</w:t>
      </w:r>
      <w:r w:rsidRPr="008608AA">
        <w:t>regions also exhibit wide variation in both the current number and increase in the number of secure internet servers per million people (World Bank, 2017</w:t>
      </w:r>
      <w:r w:rsidRPr="008608AA">
        <w:rPr>
          <w:rStyle w:val="FootnoteReference"/>
          <w:lang w:val="en-GB"/>
        </w:rPr>
        <w:footnoteReference w:id="26"/>
      </w:r>
      <w:r w:rsidRPr="008608AA">
        <w:t xml:space="preserve">).  </w:t>
      </w:r>
    </w:p>
    <w:p w14:paraId="58D0DD82" w14:textId="7EE084EC" w:rsidR="001E61A6" w:rsidRPr="008608AA" w:rsidRDefault="001E61A6" w:rsidP="00274C8E">
      <w:pPr>
        <w:spacing w:before="120"/>
        <w:rPr>
          <w:rFonts w:eastAsia="Calibri"/>
        </w:rPr>
      </w:pPr>
      <w:r w:rsidRPr="008608AA">
        <w:rPr>
          <w:rFonts w:eastAsia="Calibri"/>
        </w:rPr>
        <w:t xml:space="preserve">Technological innovation can catalyze paradigm shifts in production systems </w:t>
      </w:r>
      <w:r w:rsidRPr="008608AA">
        <w:rPr>
          <w:rFonts w:eastAsia="Calibri"/>
        </w:rPr>
        <w:fldChar w:fldCharType="begin" w:fldLock="1"/>
      </w:r>
      <w:r w:rsidRPr="008608AA">
        <w:rPr>
          <w:rFonts w:eastAsia="Calibri"/>
        </w:rPr>
        <w:instrText>ADDIN CSL_CITATION { "citationItems" : [ { "id" : "ITEM-1", "itemData" : { "DOI" : "10.1016/S0954-349X(97)00029-5", "ISBN" : "1-858998-891-8", "ISSN" : "0954349X", "abstract" : "\"The expert contributors gathered here approach underdevelopment and inequality from different evolutionary perspectives. It is argued that the Schumpeterian processes of 'creative destruction' may take the form of wealth creation in one part of the globe and wealth destruction in another. Case studies explore and analyse the successful 19th century policies that allowed Germany and the United States to catch up with the UK and these are contrasted with two other case studies exploring the deindustrialization and falling real wages in Peru and Mongolia during the 1990s. The case studies and thematic papers together explore, identify and explain the mechanisms which cause economic inequality. Some chapters point to why the present form of globalization increases poverty in many Third World nations.\" \"Members of the anti-globalization movement will find the explanations given in this book insightful, as will employees of international organizations due to the important policy messages. The theoretical interest within the book will appeal to development economists and evolutionary economists, and policymakers and politicians will find the explanations of the present failure of many small nations in the periphery invaluable.\"--BOOK JACKET.", "author" : [ { "dropping-particle" : "", "family" : "P\u00e9rez", "given" : "Carlota", "non-dropping-particle" : "", "parse-names" : false, "suffix" : "" } ], "container-title" : "Globalization, econ\u00f3mic development and inequality an alternative perspective", "id" : "ITEM-1", "issued" : { "date-parts" : [ [ "2004" ] ] }, "page" : "217-242", "title" : "Technological Revolutions, Paradigm Shifts and Socio-Institutional Change", "type" : "article-journal" }, "uris" : [ "http://www.mendeley.com/documents/?uuid=37e4be09-5a4d-4548-9c1c-c9426d941cdb" ] } ], "mendeley" : { "formattedCitation" : "(P\u00e9rez 2004)", "manualFormatting" : "(P\u00e9rez 2004", "plainTextFormattedCitation" : "(P\u00e9rez 2004)", "previouslyFormattedCitation" : "(P\u00e9rez 2004)" }, "properties" : { "noteIndex" : 0 }, "schema" : "https://github.com/citation-style-language/schema/raw/master/csl-citation.json" }</w:instrText>
      </w:r>
      <w:r w:rsidRPr="008608AA">
        <w:rPr>
          <w:rFonts w:eastAsia="Calibri"/>
        </w:rPr>
        <w:fldChar w:fldCharType="separate"/>
      </w:r>
      <w:r w:rsidRPr="008608AA">
        <w:rPr>
          <w:rFonts w:eastAsia="Calibri"/>
        </w:rPr>
        <w:t>(Pérez</w:t>
      </w:r>
      <w:r w:rsidR="00EF7F26" w:rsidRPr="008608AA">
        <w:rPr>
          <w:rFonts w:eastAsia="Calibri"/>
        </w:rPr>
        <w:t>,</w:t>
      </w:r>
      <w:r w:rsidRPr="008608AA">
        <w:rPr>
          <w:rFonts w:eastAsia="Calibri"/>
        </w:rPr>
        <w:t xml:space="preserve"> 2004</w:t>
      </w:r>
      <w:r w:rsidRPr="008608AA">
        <w:rPr>
          <w:rFonts w:eastAsia="Calibri"/>
        </w:rPr>
        <w:fldChar w:fldCharType="end"/>
      </w:r>
      <w:r w:rsidR="00C20336" w:rsidRPr="008608AA">
        <w:rPr>
          <w:rFonts w:eastAsia="Calibri"/>
        </w:rPr>
        <w:t>, quoted by IPBES</w:t>
      </w:r>
      <w:r w:rsidRPr="008608AA">
        <w:rPr>
          <w:rFonts w:eastAsia="Calibri"/>
        </w:rPr>
        <w:t xml:space="preserve">, 2016) that cause biodiversity loss and </w:t>
      </w:r>
      <w:r w:rsidR="00BD2708" w:rsidRPr="008608AA">
        <w:rPr>
          <w:rFonts w:eastAsia="Calibri"/>
        </w:rPr>
        <w:t>adverse ecosystem changes (i.e.</w:t>
      </w:r>
      <w:r w:rsidRPr="008608AA">
        <w:rPr>
          <w:rFonts w:eastAsia="Calibri"/>
        </w:rPr>
        <w:t xml:space="preserve"> technologies as part of the problem), or conversely reduce biodiversity loss and improve ecosystems health (technologies as part of the solution). </w:t>
      </w:r>
    </w:p>
    <w:p w14:paraId="5FCEA4F5" w14:textId="77777777" w:rsidR="001E61A6" w:rsidRPr="008608AA" w:rsidRDefault="001E61A6" w:rsidP="00274C8E">
      <w:pPr>
        <w:spacing w:before="120"/>
        <w:rPr>
          <w:rFonts w:eastAsia="Calibri"/>
        </w:rPr>
      </w:pPr>
      <w:r w:rsidRPr="008608AA">
        <w:rPr>
          <w:rFonts w:eastAsia="Calibri"/>
        </w:rPr>
        <w:t xml:space="preserve">Technology offers important positive solutions to resource conservation, sustainable use and development, and management, but technological change can also increase pressure on ecosystem services through increasing resource demand and leading to unforeseen ecological risks, particularly for technologies associated with agriculture and other land uses (e.g. first generation of biofuels when produced unsustainably). </w:t>
      </w:r>
    </w:p>
    <w:p w14:paraId="159B37F4" w14:textId="0CD557D7" w:rsidR="001E61A6" w:rsidRPr="008608AA" w:rsidRDefault="001E61A6" w:rsidP="00274C8E">
      <w:pPr>
        <w:spacing w:before="120"/>
        <w:rPr>
          <w:rFonts w:eastAsia="Calibri"/>
        </w:rPr>
      </w:pPr>
      <w:r w:rsidRPr="008608AA">
        <w:rPr>
          <w:rFonts w:eastAsia="Calibri"/>
        </w:rPr>
        <w:t>As part of the solution space, technological change can increase agriculture efficiency and replace unsustainable production patterns (e.g. improvement</w:t>
      </w:r>
      <w:r w:rsidR="00BD2708" w:rsidRPr="008608AA">
        <w:rPr>
          <w:rFonts w:eastAsia="Calibri"/>
        </w:rPr>
        <w:t>s in crop yields and resilience,</w:t>
      </w:r>
      <w:r w:rsidRPr="008608AA">
        <w:rPr>
          <w:rFonts w:eastAsia="Calibri"/>
        </w:rPr>
        <w:t xml:space="preserve"> sustainable livestock, fishing, and aquaculture practices). Although technology can significantly increase the availability of some ecosystem services, and improve the efficiency of provision, management, and allocation of different ecosystem services, it cannot serve as a substitute for all ecosystem services </w:t>
      </w:r>
      <w:r w:rsidRPr="008608AA">
        <w:rPr>
          <w:rFonts w:eastAsia="Calibri"/>
        </w:rPr>
        <w:fldChar w:fldCharType="begin" w:fldLock="1"/>
      </w:r>
      <w:r w:rsidRPr="008608AA">
        <w:rPr>
          <w:rFonts w:eastAsia="Calibri"/>
        </w:rPr>
        <w:instrText>ADDIN CSL_CITATION { "citationItems" : [ { "id" : "ITEM-1", "itemData" : { "DOI" : "32", "ISBN" : "1708-3087", "ISSN" : "17083087", "PMID" : "24355757", "abstract" : "The Millennium Ecosystem Assessment MA) scenarios address changes in ecosystem services and their implications for human well-being. Ecological changes pose special challenges for long-term thinking, because of the possibility of regime shifts that occur rapidly yet alter the availability of ecosystem services for generations. Moreover, ecological feedbacks can intensify human modification of ecosystems, creating a spiral of poverty and ecosystem degradation. Such complex dynamics were evaluated by a mixture of qualitative and quantitative analyses in the MA scenarios. Collectively, the scenarios explore problems such as the connections of poverty reduction and ecosystem services, and trade-offs among ecosystem services. Several promising approaches are considered by the scenarios, including uses of biodiversity to build resilience of ecosystem services, actively adaptive management, and green technology. Although the scenarios do not prescribe an optimal path, they illuminate the consequences of different policies toward ecosystem services.", "author" : [ { "dropping-particle" : "", "family" : "Carpenter", "given" : "Stephen R.", "non-dropping-particle" : "", "parse-names" : false, "suffix" : "" }, { "dropping-particle" : "", "family" : "Bennett", "given" : "Elena M.", "non-dropping-particle" : "", "parse-names" : false, "suffix" : "" }, { "dropping-particle" : "", "family" : "Peterson", "given" : "Garry D.", "non-dropping-particle" : "", "parse-names" : false, "suffix" : "" } ], "container-title" : "Ecology and Society", "id" : "ITEM-1", "issue" : "1", "issued" : { "date-parts" : [ [ "2006" ] ] }, "title" : "Scenarios for ecosystem services: An overview", "type" : "article", "volume" : "11" }, "uris" : [ "http://www.mendeley.com/documents/?uuid=f5ee3830-0741-4da4-9d51-66c11f2d4885" ] } ], "mendeley" : { "formattedCitation" : "(Carpenter et al. 2006)", "manualFormatting" : "(Carpenter et al. 2006", "plainTextFormattedCitation" : "(Carpenter et al. 2006)", "previouslyFormattedCitation" : "(Carpenter et al. 2006)" }, "properties" : { "noteIndex" : 0 }, "schema" : "https://github.com/citation-style-language/schema/raw/master/csl-citation.json" }</w:instrText>
      </w:r>
      <w:r w:rsidRPr="008608AA">
        <w:rPr>
          <w:rFonts w:eastAsia="Calibri"/>
        </w:rPr>
        <w:fldChar w:fldCharType="separate"/>
      </w:r>
      <w:r w:rsidRPr="008608AA">
        <w:rPr>
          <w:rFonts w:eastAsia="Calibri"/>
        </w:rPr>
        <w:t>(Carpenter et al., 2006</w:t>
      </w:r>
      <w:r w:rsidRPr="008608AA">
        <w:rPr>
          <w:rFonts w:eastAsia="Calibri"/>
        </w:rPr>
        <w:fldChar w:fldCharType="end"/>
      </w:r>
      <w:r w:rsidR="00C20336" w:rsidRPr="008608AA">
        <w:rPr>
          <w:rFonts w:eastAsia="Calibri"/>
        </w:rPr>
        <w:t>, quoted by IPBES</w:t>
      </w:r>
      <w:r w:rsidRPr="008608AA">
        <w:rPr>
          <w:rFonts w:eastAsia="Calibri"/>
        </w:rPr>
        <w:t xml:space="preserve">, 2016).  </w:t>
      </w:r>
    </w:p>
    <w:p w14:paraId="7EBE4329" w14:textId="25A1DB4E" w:rsidR="001E61A6" w:rsidRPr="008608AA" w:rsidRDefault="001E61A6" w:rsidP="00274C8E">
      <w:pPr>
        <w:spacing w:before="120"/>
        <w:rPr>
          <w:rFonts w:eastAsia="Calibri"/>
        </w:rPr>
      </w:pPr>
      <w:r w:rsidRPr="008608AA">
        <w:rPr>
          <w:rFonts w:eastAsia="Calibri"/>
        </w:rPr>
        <w:t>In some cases, technological developments and agricultural practices may combine positive and negative implications for biodiversity and ecosystems as revealed by the agricultural intensification of the “green revolution”. On the one hand the “green revolution” led to higher crop yields and lower food prices, partially mitigating the expansion of agricultural land and resulting in a net decrease of greenhouse gasses emissions. On the other hand, excessive nitrogen</w:t>
      </w:r>
      <w:r w:rsidR="00F90B7C" w:rsidRPr="008608AA">
        <w:rPr>
          <w:rFonts w:eastAsia="Calibri"/>
        </w:rPr>
        <w:t xml:space="preserve"> </w:t>
      </w:r>
      <w:r w:rsidRPr="008608AA">
        <w:rPr>
          <w:rFonts w:eastAsia="Calibri"/>
        </w:rPr>
        <w:t>and phosphorous use through fertilizers, associated with the “green revolution” led to substantial degradation of freshwater and marine habitats. In addition, the shift from traditional crop varieties to industrial monocultures resulted in a loss of crop genetic diversity as well as increased susceptibilit</w:t>
      </w:r>
      <w:r w:rsidR="00C20336" w:rsidRPr="008608AA">
        <w:rPr>
          <w:rFonts w:eastAsia="Calibri"/>
        </w:rPr>
        <w:t>y to disease and pests (IPBES</w:t>
      </w:r>
      <w:r w:rsidRPr="008608AA">
        <w:rPr>
          <w:rFonts w:eastAsia="Calibri"/>
        </w:rPr>
        <w:t>, 2016, chapter 3). This confirms the importance of promoting sustainable practices with an integrative approach concerning the linkages between environment and socioeconomic development.</w:t>
      </w:r>
    </w:p>
    <w:p w14:paraId="64236C96" w14:textId="2964A25B" w:rsidR="001E61A6" w:rsidRPr="008608AA" w:rsidRDefault="001E61A6" w:rsidP="00274C8E">
      <w:pPr>
        <w:spacing w:before="120"/>
        <w:rPr>
          <w:rFonts w:eastAsia="Calibri"/>
        </w:rPr>
      </w:pPr>
      <w:r w:rsidRPr="008608AA">
        <w:rPr>
          <w:rFonts w:eastAsia="Calibri"/>
        </w:rPr>
        <w:t>Those production technologies and practices that are based on increasing dependence on external inputs like chemical fertilizers, pesticides, herbicides and water for crop production and artificial feeds, supplements and antibiotics for livestock and aquaculture production have adverse implications in ter</w:t>
      </w:r>
      <w:r w:rsidR="00BD2708" w:rsidRPr="008608AA">
        <w:rPr>
          <w:rFonts w:eastAsia="Calibri"/>
        </w:rPr>
        <w:t xml:space="preserve">ms of sustainability. </w:t>
      </w:r>
      <w:r w:rsidRPr="008608AA">
        <w:rPr>
          <w:rFonts w:eastAsia="Calibri"/>
        </w:rPr>
        <w:t>These technologies damage the environment, undermine the nutritional and health value of foods, lead to reduced function of essential ecosystem services and result in the loss of biodiversity (FAO, 2011, quoted by Trace, 2016).</w:t>
      </w:r>
    </w:p>
    <w:p w14:paraId="3E099786" w14:textId="607136EE" w:rsidR="001E61A6" w:rsidRPr="008608AA" w:rsidRDefault="001E61A6" w:rsidP="00274C8E">
      <w:pPr>
        <w:spacing w:before="120"/>
        <w:rPr>
          <w:rFonts w:eastAsia="Calibri"/>
        </w:rPr>
      </w:pPr>
      <w:r w:rsidRPr="008608AA">
        <w:rPr>
          <w:rFonts w:eastAsia="Calibri"/>
        </w:rPr>
        <w:t>When the technological changes in agriculture are implemented in accordance with the principles of sustainable development, these transformations may imply greater equity within and between generations, including with regard to food security (FAO</w:t>
      </w:r>
      <w:r w:rsidR="00BD2708" w:rsidRPr="008608AA">
        <w:rPr>
          <w:rFonts w:eastAsia="Calibri"/>
        </w:rPr>
        <w:t>,</w:t>
      </w:r>
      <w:r w:rsidRPr="008608AA">
        <w:rPr>
          <w:rFonts w:eastAsia="Calibri"/>
        </w:rPr>
        <w:t xml:space="preserve"> 1996).</w:t>
      </w:r>
    </w:p>
    <w:p w14:paraId="1106D223" w14:textId="0A7A0E8B" w:rsidR="001E61A6" w:rsidRPr="008608AA" w:rsidRDefault="001E61A6" w:rsidP="00274C8E">
      <w:pPr>
        <w:spacing w:before="120"/>
        <w:rPr>
          <w:rFonts w:eastAsia="Calibri"/>
        </w:rPr>
      </w:pPr>
      <w:r w:rsidRPr="008608AA">
        <w:rPr>
          <w:rFonts w:eastAsia="Calibri"/>
        </w:rPr>
        <w:t>Agroecological food production systems are considered as one approach to addressing the loss of biodiversity and the consequent unsustainability of industrialized food production, because they recognize the interdependencies between the sources of food and the wider environment, and the overlapping needs to provide sustainable food systems and sustainable livelihoods (Trace, 2016).   Local knowledge and culture can be considered as integral parts of agricultural biodiversity (FAO, 2004, quoted by Trace, 2016). Agroecology considers productive processes in a broad and integral manner, taking into account the complexity of local forms of production. It is based on sustainability criteria, resource cons</w:t>
      </w:r>
      <w:r w:rsidR="00544775" w:rsidRPr="008608AA">
        <w:rPr>
          <w:rFonts w:eastAsia="Calibri"/>
        </w:rPr>
        <w:t>ervation and social equity (Vos</w:t>
      </w:r>
      <w:r w:rsidRPr="008608AA">
        <w:rPr>
          <w:rFonts w:eastAsia="Calibri"/>
        </w:rPr>
        <w:t xml:space="preserve"> et al., 2015).</w:t>
      </w:r>
    </w:p>
    <w:p w14:paraId="4DB8561E" w14:textId="074A34AA" w:rsidR="001E61A6" w:rsidRPr="008608AA" w:rsidRDefault="001E61A6" w:rsidP="00274C8E">
      <w:pPr>
        <w:spacing w:before="120"/>
        <w:rPr>
          <w:rFonts w:eastAsia="Calibri"/>
        </w:rPr>
      </w:pPr>
      <w:r w:rsidRPr="008608AA">
        <w:rPr>
          <w:rFonts w:eastAsia="Calibri"/>
          <w:bCs/>
          <w:iCs/>
        </w:rPr>
        <w:t>The misappropriation of traditional biodiversity knowledge or ‘biopiracy’ has been considered as one of the most ‘complex problems facing the future of traditional knowledge’ (Kh</w:t>
      </w:r>
      <w:r w:rsidR="000F7048" w:rsidRPr="008608AA">
        <w:rPr>
          <w:rFonts w:eastAsia="Calibri"/>
          <w:bCs/>
          <w:iCs/>
        </w:rPr>
        <w:t xml:space="preserve">or, 2002, quoted by Trace, 2016). </w:t>
      </w:r>
      <w:r w:rsidRPr="008608AA">
        <w:rPr>
          <w:rFonts w:eastAsia="Calibri"/>
          <w:bCs/>
          <w:iCs/>
        </w:rPr>
        <w:t>The system of community sharing and collaborative innovation is being challenged by intellectu</w:t>
      </w:r>
      <w:r w:rsidR="000F7048" w:rsidRPr="008608AA">
        <w:rPr>
          <w:rFonts w:eastAsia="Calibri"/>
          <w:bCs/>
          <w:iCs/>
        </w:rPr>
        <w:t xml:space="preserve">al property rights and the </w:t>
      </w:r>
      <w:r w:rsidRPr="008608AA">
        <w:t xml:space="preserve">trade-related aspects </w:t>
      </w:r>
      <w:r w:rsidR="000F7048" w:rsidRPr="008608AA">
        <w:t>of intellectual property rights</w:t>
      </w:r>
      <w:r w:rsidRPr="008608AA">
        <w:rPr>
          <w:rFonts w:eastAsia="Calibri"/>
          <w:bCs/>
          <w:iCs/>
        </w:rPr>
        <w:t xml:space="preserve"> regime, which together create a new system to exert private ownership rights over knowledge (Trace, 2016).</w:t>
      </w:r>
      <w:r w:rsidRPr="008608AA">
        <w:rPr>
          <w:rFonts w:eastAsia="Calibri"/>
        </w:rPr>
        <w:t xml:space="preserve"> </w:t>
      </w:r>
    </w:p>
    <w:p w14:paraId="33CC88BA" w14:textId="280A6CB0" w:rsidR="001E61A6" w:rsidRPr="008608AA" w:rsidRDefault="001E61A6" w:rsidP="00274C8E">
      <w:pPr>
        <w:spacing w:before="120"/>
        <w:rPr>
          <w:rFonts w:eastAsia="Calibri"/>
        </w:rPr>
      </w:pPr>
      <w:r w:rsidRPr="008608AA">
        <w:rPr>
          <w:rFonts w:eastAsia="Calibri"/>
        </w:rPr>
        <w:t xml:space="preserve">The intersection between agriculture, trade, and intellectual property governance is marked by a diversity of institutions involved, including the World Trade Organization, the World Intellectual Property Organization, the CBD, and the Food and Agriculture </w:t>
      </w:r>
      <w:r w:rsidR="000F7048" w:rsidRPr="008608AA">
        <w:rPr>
          <w:rFonts w:eastAsia="Calibri"/>
        </w:rPr>
        <w:t>Organisation</w:t>
      </w:r>
      <w:r w:rsidRPr="008608AA">
        <w:rPr>
          <w:rFonts w:eastAsia="Calibri"/>
        </w:rPr>
        <w:t xml:space="preserve">. On balance, the corporations have the upper hand in this complicated game (Sell, 2009). </w:t>
      </w:r>
    </w:p>
    <w:p w14:paraId="48A61A84" w14:textId="0C3E9227" w:rsidR="001E61A6" w:rsidRPr="008608AA" w:rsidRDefault="001E61A6" w:rsidP="00274C8E">
      <w:pPr>
        <w:spacing w:before="120"/>
        <w:rPr>
          <w:rFonts w:eastAsia="Calibri"/>
        </w:rPr>
      </w:pPr>
      <w:r w:rsidRPr="008608AA">
        <w:rPr>
          <w:rFonts w:eastAsia="Calibri"/>
        </w:rPr>
        <w:t>A combination of expanded intellectual property rights and relaxed antitrust enforcement facilitated a recent shift from public to private provision of seeds, which is undermining small farmers’ tradition of saving seeds and reusing seeds. In this and other ways, the current situation is marked by underinvestment in crops and technologies suitable for smallholder farmers. In agri-biotechnolo</w:t>
      </w:r>
      <w:r w:rsidR="000F7048" w:rsidRPr="008608AA">
        <w:rPr>
          <w:rFonts w:eastAsia="Calibri"/>
        </w:rPr>
        <w:t xml:space="preserve">gy, six companies alone hold 75% </w:t>
      </w:r>
      <w:r w:rsidRPr="008608AA">
        <w:rPr>
          <w:rFonts w:eastAsia="Calibri"/>
        </w:rPr>
        <w:t>of all USA patents granted to the top thirty pate</w:t>
      </w:r>
      <w:r w:rsidR="000F7048" w:rsidRPr="008608AA">
        <w:rPr>
          <w:rFonts w:eastAsia="Calibri"/>
        </w:rPr>
        <w:t>nt-holding firms (Dutfield</w:t>
      </w:r>
      <w:r w:rsidR="00EF7F26" w:rsidRPr="008608AA">
        <w:rPr>
          <w:rFonts w:eastAsia="Calibri"/>
        </w:rPr>
        <w:t>, 2003;</w:t>
      </w:r>
      <w:r w:rsidRPr="008608AA">
        <w:rPr>
          <w:rFonts w:eastAsia="Calibri"/>
        </w:rPr>
        <w:t xml:space="preserve"> Fowler</w:t>
      </w:r>
      <w:r w:rsidR="00EF7F26" w:rsidRPr="008608AA">
        <w:rPr>
          <w:rFonts w:eastAsia="Calibri"/>
        </w:rPr>
        <w:t>,</w:t>
      </w:r>
      <w:r w:rsidRPr="008608AA">
        <w:rPr>
          <w:rFonts w:eastAsia="Calibri"/>
        </w:rPr>
        <w:t xml:space="preserve"> 1994). The top ten seed companies control over half of the global seed market (ETC Group</w:t>
      </w:r>
      <w:r w:rsidR="00523468" w:rsidRPr="008608AA">
        <w:rPr>
          <w:rFonts w:eastAsia="Calibri"/>
        </w:rPr>
        <w:t>, 2008</w:t>
      </w:r>
      <w:r w:rsidRPr="008608AA">
        <w:rPr>
          <w:rFonts w:eastAsia="Calibri"/>
        </w:rPr>
        <w:t>) and are contributing to monoculture and associated loss of biodiversity in Latin America. This institutional dominance of transnational corporation facilitates “gene grab” (Sell</w:t>
      </w:r>
      <w:r w:rsidR="000F7048" w:rsidRPr="008608AA">
        <w:rPr>
          <w:rFonts w:eastAsia="Calibri"/>
        </w:rPr>
        <w:t>,</w:t>
      </w:r>
      <w:r w:rsidRPr="008608AA">
        <w:rPr>
          <w:rFonts w:eastAsia="Calibri"/>
        </w:rPr>
        <w:t xml:space="preserve"> 2009), with negative effects on biodiversity, competition, and food security to the extent that it prevents resource sharing and locks out potential user-innovators by preventing small farmers from breeding, saving and reusing seeds to feed themselves and thei</w:t>
      </w:r>
      <w:r w:rsidR="000F7048" w:rsidRPr="008608AA">
        <w:rPr>
          <w:rFonts w:eastAsia="Calibri"/>
        </w:rPr>
        <w:t>r communities (Rajotte</w:t>
      </w:r>
      <w:r w:rsidR="00EF7F26" w:rsidRPr="008608AA">
        <w:rPr>
          <w:rFonts w:eastAsia="Calibri"/>
        </w:rPr>
        <w:t>,</w:t>
      </w:r>
      <w:r w:rsidR="000F7048" w:rsidRPr="008608AA">
        <w:rPr>
          <w:rFonts w:eastAsia="Calibri"/>
        </w:rPr>
        <w:t xml:space="preserve"> 2008</w:t>
      </w:r>
      <w:r w:rsidRPr="008608AA">
        <w:rPr>
          <w:rFonts w:eastAsia="Calibri"/>
        </w:rPr>
        <w:t>). This is especially consequential considering that small farmers</w:t>
      </w:r>
      <w:r w:rsidR="009E4D36" w:rsidRPr="008608AA">
        <w:rPr>
          <w:rFonts w:eastAsia="Calibri"/>
        </w:rPr>
        <w:t xml:space="preserve"> </w:t>
      </w:r>
      <w:r w:rsidRPr="008608AA">
        <w:rPr>
          <w:rFonts w:eastAsia="Calibri"/>
        </w:rPr>
        <w:t xml:space="preserve">provide the majority of the food consumed by national populations. In Brazil, small farmers occupy 30% of agricultural land yet produce 70% of the food consumed by Brazilians. </w:t>
      </w:r>
    </w:p>
    <w:p w14:paraId="43DE67FF" w14:textId="77777777" w:rsidR="00274C8E" w:rsidRPr="008608AA" w:rsidRDefault="00274C8E" w:rsidP="00274C8E">
      <w:pPr>
        <w:spacing w:before="120"/>
        <w:rPr>
          <w:rFonts w:eastAsia="Calibri"/>
        </w:rPr>
      </w:pPr>
    </w:p>
    <w:p w14:paraId="275416B7" w14:textId="46487662" w:rsidR="001E61A6" w:rsidRPr="008608AA" w:rsidRDefault="001E61A6" w:rsidP="00274C8E">
      <w:pPr>
        <w:pStyle w:val="Heading3"/>
      </w:pPr>
      <w:bookmarkStart w:id="1397" w:name="_Toc499459670"/>
      <w:bookmarkStart w:id="1398" w:name="_Toc503293135"/>
      <w:bookmarkStart w:id="1399" w:name="_Toc503293733"/>
      <w:bookmarkStart w:id="1400" w:name="_Toc503293995"/>
      <w:bookmarkStart w:id="1401" w:name="_Toc503863388"/>
      <w:bookmarkStart w:id="1402" w:name="_Toc503863616"/>
      <w:bookmarkStart w:id="1403" w:name="_Toc517393337"/>
      <w:bookmarkStart w:id="1404" w:name="_Toc517394394"/>
      <w:bookmarkStart w:id="1405" w:name="_Toc517719078"/>
      <w:bookmarkStart w:id="1406" w:name="_Toc517797035"/>
      <w:r w:rsidRPr="008608AA">
        <w:t>Population and demographic trends</w:t>
      </w:r>
      <w:bookmarkEnd w:id="1397"/>
      <w:bookmarkEnd w:id="1398"/>
      <w:bookmarkEnd w:id="1399"/>
      <w:bookmarkEnd w:id="1400"/>
      <w:bookmarkEnd w:id="1401"/>
      <w:bookmarkEnd w:id="1402"/>
      <w:bookmarkEnd w:id="1403"/>
      <w:bookmarkEnd w:id="1404"/>
      <w:bookmarkEnd w:id="1405"/>
      <w:bookmarkEnd w:id="1406"/>
    </w:p>
    <w:p w14:paraId="51A417FF" w14:textId="292585FE" w:rsidR="001E61A6" w:rsidRPr="008608AA" w:rsidRDefault="001E61A6" w:rsidP="00274C8E">
      <w:pPr>
        <w:spacing w:before="120"/>
        <w:rPr>
          <w:rFonts w:eastAsia="Calibri"/>
          <w:bCs/>
        </w:rPr>
      </w:pPr>
      <w:r w:rsidRPr="008608AA">
        <w:rPr>
          <w:rFonts w:eastAsia="Calibri"/>
        </w:rPr>
        <w:t>Assessing human demographic trends and their implications for</w:t>
      </w:r>
      <w:r w:rsidRPr="008608AA">
        <w:t xml:space="preserve"> </w:t>
      </w:r>
      <w:r w:rsidR="00D849EA" w:rsidRPr="008608AA">
        <w:t>n</w:t>
      </w:r>
      <w:r w:rsidRPr="008608AA">
        <w:t>ature, NCP and good quality of life</w:t>
      </w:r>
      <w:r w:rsidRPr="008608AA">
        <w:rPr>
          <w:rFonts w:eastAsia="Calibri"/>
        </w:rPr>
        <w:t xml:space="preserve"> includes consideration of total population and age structure; urban vs. rural populations </w:t>
      </w:r>
      <w:r w:rsidRPr="006D1B0B">
        <w:rPr>
          <w:rFonts w:eastAsia="Calibri"/>
        </w:rPr>
        <w:t xml:space="preserve">and urban forms; information on locations, like coastal </w:t>
      </w:r>
      <w:r w:rsidR="000F7048" w:rsidRPr="006D1B0B">
        <w:rPr>
          <w:rFonts w:eastAsia="Calibri"/>
        </w:rPr>
        <w:t>versus</w:t>
      </w:r>
      <w:r w:rsidRPr="006D1B0B">
        <w:rPr>
          <w:rFonts w:eastAsia="Calibri"/>
        </w:rPr>
        <w:t xml:space="preserve"> inland, migration flows, among other indicators</w:t>
      </w:r>
      <w:r w:rsidR="006D1B0B" w:rsidRPr="006D1B0B">
        <w:rPr>
          <w:rFonts w:eastAsia="Calibri"/>
        </w:rPr>
        <w:t xml:space="preserve"> Table 4.8 </w:t>
      </w:r>
      <w:r w:rsidRPr="006D1B0B">
        <w:rPr>
          <w:rFonts w:eastAsia="Calibri"/>
        </w:rPr>
        <w:t>and</w:t>
      </w:r>
      <w:r w:rsidR="00077BB8" w:rsidRPr="008608AA">
        <w:rPr>
          <w:rFonts w:eastAsia="Calibri"/>
        </w:rPr>
        <w:t xml:space="preserve"> </w:t>
      </w:r>
      <w:r w:rsidRPr="008608AA">
        <w:rPr>
          <w:rFonts w:eastAsia="Calibri"/>
        </w:rPr>
        <w:t xml:space="preserve">present </w:t>
      </w:r>
      <w:r w:rsidRPr="008608AA">
        <w:rPr>
          <w:rFonts w:eastAsia="Calibri"/>
          <w:bCs/>
        </w:rPr>
        <w:t>data on population and demographic trends in the Americas for the period 1960-2017 and expected future trends to 2050.</w:t>
      </w:r>
    </w:p>
    <w:p w14:paraId="1F396E7A" w14:textId="165A2939" w:rsidR="001E61A6" w:rsidRPr="006D1B0B" w:rsidRDefault="001E61A6" w:rsidP="00274C8E">
      <w:pPr>
        <w:spacing w:before="120"/>
        <w:rPr>
          <w:rFonts w:eastAsia="Calibri"/>
        </w:rPr>
      </w:pPr>
      <w:r w:rsidRPr="008608AA">
        <w:rPr>
          <w:rFonts w:eastAsia="Calibri"/>
        </w:rPr>
        <w:t xml:space="preserve">The Americas accounted for 13.5% of the world’s estimated population in 2017. </w:t>
      </w:r>
      <w:r w:rsidR="007C45FD" w:rsidRPr="008608AA">
        <w:rPr>
          <w:rFonts w:eastAsia="Calibri"/>
        </w:rPr>
        <w:t>Sub</w:t>
      </w:r>
      <w:r w:rsidRPr="008608AA">
        <w:rPr>
          <w:rFonts w:eastAsia="Calibri"/>
        </w:rPr>
        <w:t>regionally, while having nearly equal areas</w:t>
      </w:r>
      <w:r w:rsidRPr="008608AA">
        <w:rPr>
          <w:rStyle w:val="FootnoteReference"/>
          <w:rFonts w:eastAsia="Calibri"/>
          <w:lang w:val="en-GB"/>
        </w:rPr>
        <w:footnoteReference w:id="27"/>
      </w:r>
      <w:r w:rsidRPr="008608AA">
        <w:rPr>
          <w:rFonts w:eastAsia="Calibri"/>
        </w:rPr>
        <w:t>, North America accounts for 4.8% of world population, while Latin America and the Caribbean accounts for nearly twice that at 8.7% of world population.  This is reflected in population density, with Latin America and the Caribbean being much more densely settled (32 people per km</w:t>
      </w:r>
      <w:r w:rsidRPr="008608AA">
        <w:rPr>
          <w:rFonts w:eastAsia="Calibri"/>
          <w:vertAlign w:val="superscript"/>
        </w:rPr>
        <w:t>2</w:t>
      </w:r>
      <w:r w:rsidRPr="008608AA">
        <w:rPr>
          <w:rFonts w:eastAsia="Calibri"/>
        </w:rPr>
        <w:t>) than Northern America (20 people per km</w:t>
      </w:r>
      <w:r w:rsidRPr="008608AA">
        <w:rPr>
          <w:rFonts w:eastAsia="Calibri"/>
          <w:vertAlign w:val="superscript"/>
        </w:rPr>
        <w:t>2</w:t>
      </w:r>
      <w:r w:rsidR="00D849EA" w:rsidRPr="008608AA">
        <w:rPr>
          <w:rFonts w:eastAsia="Calibri"/>
        </w:rPr>
        <w:t xml:space="preserve">). </w:t>
      </w:r>
      <w:r w:rsidRPr="008608AA">
        <w:rPr>
          <w:rFonts w:eastAsia="Calibri"/>
        </w:rPr>
        <w:t>The population of the Americas is highly urbanized, with 80.8% of the region’s population residing in urban settings (82.8% for North America, and 79.7% for Latin America and the Caribbean)</w:t>
      </w:r>
      <w:r w:rsidR="006D1B0B">
        <w:rPr>
          <w:rFonts w:eastAsia="Calibri"/>
        </w:rPr>
        <w:t xml:space="preserve"> Table 4.8</w:t>
      </w:r>
      <w:r w:rsidRPr="006D1B0B">
        <w:rPr>
          <w:rFonts w:eastAsia="Calibri"/>
        </w:rPr>
        <w:t xml:space="preserve"> (Index</w:t>
      </w:r>
      <w:r w:rsidR="0059599A" w:rsidRPr="006D1B0B">
        <w:rPr>
          <w:rFonts w:eastAsia="Calibri"/>
        </w:rPr>
        <w:t xml:space="preserve"> M</w:t>
      </w:r>
      <w:r w:rsidRPr="006D1B0B">
        <w:rPr>
          <w:rFonts w:eastAsia="Calibri"/>
        </w:rPr>
        <w:t>undi</w:t>
      </w:r>
      <w:r w:rsidR="006C4053" w:rsidRPr="006D1B0B">
        <w:rPr>
          <w:rFonts w:eastAsia="Calibri"/>
        </w:rPr>
        <w:t>,</w:t>
      </w:r>
      <w:r w:rsidRPr="006D1B0B">
        <w:rPr>
          <w:rFonts w:eastAsia="Calibri"/>
        </w:rPr>
        <w:t xml:space="preserve"> 2017). </w:t>
      </w:r>
    </w:p>
    <w:p w14:paraId="794FF3D1" w14:textId="5C64C114" w:rsidR="001E61A6" w:rsidRPr="008608AA" w:rsidRDefault="001E61A6" w:rsidP="00274C8E">
      <w:pPr>
        <w:spacing w:before="120"/>
        <w:rPr>
          <w:rFonts w:eastAsia="Calibri"/>
        </w:rPr>
      </w:pPr>
      <w:r w:rsidRPr="008608AA">
        <w:rPr>
          <w:rFonts w:eastAsia="Calibri"/>
        </w:rPr>
        <w:t>Urbanization, driven by growing populations and internal migration, acts as an indirect driver of land-use change through linear infrastructures like transportation networks, as well as through synergies with other forms of infrastructure development (</w:t>
      </w:r>
      <w:r w:rsidR="00C20336" w:rsidRPr="008608AA">
        <w:rPr>
          <w:rFonts w:eastAsia="Calibri"/>
        </w:rPr>
        <w:t>Seiler, 2001, quoted by IPBES</w:t>
      </w:r>
      <w:r w:rsidRPr="008608AA">
        <w:rPr>
          <w:rFonts w:eastAsia="Calibri"/>
        </w:rPr>
        <w:t>, 2016, see also section 4.4.1). In Latin America and Caribbean 35% of the population (year-basis 2015) gained access to sanitation since 1990, but still 12% of the urban population and 36% of rural population do not have access to improved sanitation facilities (UN-Habitat, 2016). On average, only 50% of the population in Latin America is connected to sewerage and 30% of those households receive any treatment. The poor systematic waste management in Latin America and the Caribbean implies in pollution of inland waters and coastal areas (4.4.2), affecting biodiversity and human health.</w:t>
      </w:r>
    </w:p>
    <w:p w14:paraId="5E8682AC" w14:textId="3A74116D" w:rsidR="000D1D96" w:rsidRPr="008608AA" w:rsidRDefault="000D1D96" w:rsidP="00274C8E">
      <w:pPr>
        <w:spacing w:before="120"/>
        <w:rPr>
          <w:rFonts w:eastAsia="Calibri"/>
        </w:rPr>
      </w:pPr>
      <w:r w:rsidRPr="008608AA">
        <w:rPr>
          <w:rFonts w:eastAsia="Calibri"/>
        </w:rPr>
        <w:br w:type="page"/>
      </w:r>
    </w:p>
    <w:p w14:paraId="11CD45F6" w14:textId="77777777" w:rsidR="000D1D96" w:rsidRPr="008608AA" w:rsidRDefault="000D1D96" w:rsidP="00274C8E">
      <w:pPr>
        <w:spacing w:before="120"/>
        <w:rPr>
          <w:rFonts w:eastAsia="Calibri"/>
        </w:rPr>
      </w:pPr>
    </w:p>
    <w:p w14:paraId="1FBE2D2C" w14:textId="1668983C" w:rsidR="001E61A6" w:rsidRPr="008608AA" w:rsidRDefault="00CC6CB7" w:rsidP="00CC6CB7">
      <w:pPr>
        <w:pStyle w:val="Caption"/>
      </w:pPr>
      <w:bookmarkStart w:id="1407" w:name="_Toc494482722"/>
      <w:bookmarkStart w:id="1408" w:name="_Toc499459691"/>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8</w:t>
      </w:r>
      <w:r w:rsidR="000E562E">
        <w:rPr>
          <w:noProof/>
        </w:rPr>
        <w:fldChar w:fldCharType="end"/>
      </w:r>
      <w:r w:rsidRPr="008608AA">
        <w:t xml:space="preserve">. </w:t>
      </w:r>
      <w:r w:rsidR="001E61A6" w:rsidRPr="008608AA">
        <w:rPr>
          <w:szCs w:val="20"/>
        </w:rPr>
        <w:t>Population in the Americas by region in 2017.</w:t>
      </w:r>
      <w:bookmarkEnd w:id="1407"/>
      <w:bookmarkEnd w:id="1408"/>
      <w:r w:rsidR="001E61A6" w:rsidRPr="008608AA">
        <w:rPr>
          <w:szCs w:val="20"/>
        </w:rPr>
        <w:t xml:space="preserve"> </w:t>
      </w:r>
    </w:p>
    <w:tbl>
      <w:tblPr>
        <w:tblW w:w="5000" w:type="pct"/>
        <w:tblLook w:val="04A0" w:firstRow="1" w:lastRow="0" w:firstColumn="1" w:lastColumn="0" w:noHBand="0" w:noVBand="1"/>
      </w:tblPr>
      <w:tblGrid>
        <w:gridCol w:w="1871"/>
        <w:gridCol w:w="1603"/>
        <w:gridCol w:w="1203"/>
        <w:gridCol w:w="1336"/>
        <w:gridCol w:w="1203"/>
        <w:gridCol w:w="1068"/>
        <w:gridCol w:w="1203"/>
      </w:tblGrid>
      <w:tr w:rsidR="001E61A6" w:rsidRPr="00A26FD5" w14:paraId="4EF6099E" w14:textId="77777777" w:rsidTr="00274C8E">
        <w:trPr>
          <w:trHeight w:val="300"/>
        </w:trPr>
        <w:tc>
          <w:tcPr>
            <w:tcW w:w="98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DD7A9EE" w14:textId="77777777" w:rsidR="001E61A6" w:rsidRPr="00A26FD5" w:rsidRDefault="001E61A6" w:rsidP="008B68E6">
            <w:pPr>
              <w:rPr>
                <w:b/>
                <w:bCs/>
                <w:szCs w:val="22"/>
                <w:lang w:eastAsia="en-GB"/>
              </w:rPr>
            </w:pPr>
            <w:r w:rsidRPr="00A26FD5">
              <w:rPr>
                <w:b/>
                <w:bCs/>
                <w:szCs w:val="22"/>
                <w:lang w:eastAsia="en-GB"/>
              </w:rPr>
              <w:t>Regions</w:t>
            </w:r>
          </w:p>
        </w:tc>
        <w:tc>
          <w:tcPr>
            <w:tcW w:w="845"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359EEB19" w14:textId="77777777" w:rsidR="001E61A6" w:rsidRPr="00A26FD5" w:rsidRDefault="001E61A6" w:rsidP="008B68E6">
            <w:pPr>
              <w:jc w:val="center"/>
              <w:rPr>
                <w:b/>
                <w:bCs/>
                <w:szCs w:val="22"/>
                <w:lang w:eastAsia="en-GB"/>
              </w:rPr>
            </w:pPr>
            <w:r w:rsidRPr="00A26FD5">
              <w:rPr>
                <w:b/>
                <w:bCs/>
                <w:szCs w:val="22"/>
                <w:lang w:eastAsia="en-GB"/>
              </w:rPr>
              <w:t>Population</w:t>
            </w:r>
          </w:p>
          <w:p w14:paraId="2CADFD8B" w14:textId="77777777" w:rsidR="001E61A6" w:rsidRPr="00A26FD5" w:rsidRDefault="001E61A6" w:rsidP="008B68E6">
            <w:pPr>
              <w:jc w:val="center"/>
              <w:rPr>
                <w:bCs/>
                <w:szCs w:val="22"/>
                <w:lang w:eastAsia="en-GB"/>
              </w:rPr>
            </w:pPr>
            <w:r w:rsidRPr="00A26FD5">
              <w:rPr>
                <w:b/>
                <w:bCs/>
                <w:szCs w:val="22"/>
                <w:lang w:eastAsia="en-GB"/>
              </w:rPr>
              <w:t>2017</w:t>
            </w:r>
          </w:p>
        </w:tc>
        <w:tc>
          <w:tcPr>
            <w:tcW w:w="634"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29E480B5" w14:textId="77777777" w:rsidR="001E61A6" w:rsidRPr="00A26FD5" w:rsidRDefault="001E61A6" w:rsidP="008B68E6">
            <w:pPr>
              <w:jc w:val="center"/>
              <w:rPr>
                <w:szCs w:val="22"/>
                <w:lang w:eastAsia="en-GB"/>
              </w:rPr>
            </w:pPr>
            <w:r w:rsidRPr="00A26FD5">
              <w:rPr>
                <w:b/>
                <w:bCs/>
                <w:szCs w:val="22"/>
                <w:lang w:eastAsia="en-GB"/>
              </w:rPr>
              <w:t>Yearly Change, %</w:t>
            </w:r>
          </w:p>
        </w:tc>
        <w:tc>
          <w:tcPr>
            <w:tcW w:w="704"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3E2A76F9" w14:textId="77777777" w:rsidR="001E61A6" w:rsidRPr="00A26FD5" w:rsidRDefault="001E61A6" w:rsidP="008B68E6">
            <w:pPr>
              <w:jc w:val="center"/>
              <w:rPr>
                <w:szCs w:val="22"/>
                <w:lang w:eastAsia="en-GB"/>
              </w:rPr>
            </w:pPr>
            <w:r w:rsidRPr="00A26FD5">
              <w:rPr>
                <w:b/>
                <w:bCs/>
                <w:szCs w:val="22"/>
                <w:lang w:eastAsia="en-GB"/>
              </w:rPr>
              <w:t>Migrants (net)</w:t>
            </w:r>
          </w:p>
        </w:tc>
        <w:tc>
          <w:tcPr>
            <w:tcW w:w="634"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7E22F26A" w14:textId="77777777" w:rsidR="001E61A6" w:rsidRPr="00A26FD5" w:rsidRDefault="001E61A6" w:rsidP="008B68E6">
            <w:pPr>
              <w:jc w:val="center"/>
              <w:rPr>
                <w:szCs w:val="22"/>
                <w:lang w:eastAsia="en-GB"/>
              </w:rPr>
            </w:pPr>
            <w:r w:rsidRPr="00A26FD5">
              <w:rPr>
                <w:b/>
                <w:bCs/>
                <w:szCs w:val="22"/>
                <w:lang w:eastAsia="en-GB"/>
              </w:rPr>
              <w:t>Median Age</w:t>
            </w:r>
          </w:p>
        </w:tc>
        <w:tc>
          <w:tcPr>
            <w:tcW w:w="563"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1DBAC30C" w14:textId="77777777" w:rsidR="001E61A6" w:rsidRPr="00A26FD5" w:rsidRDefault="001E61A6" w:rsidP="008B68E6">
            <w:pPr>
              <w:jc w:val="center"/>
              <w:rPr>
                <w:b/>
                <w:bCs/>
                <w:szCs w:val="22"/>
                <w:lang w:eastAsia="en-GB"/>
              </w:rPr>
            </w:pPr>
            <w:r w:rsidRPr="00A26FD5">
              <w:rPr>
                <w:b/>
                <w:bCs/>
                <w:szCs w:val="22"/>
                <w:lang w:eastAsia="en-GB"/>
              </w:rPr>
              <w:t>Fertility Rate</w:t>
            </w:r>
          </w:p>
        </w:tc>
        <w:tc>
          <w:tcPr>
            <w:tcW w:w="634"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20D964A0" w14:textId="77777777" w:rsidR="001E61A6" w:rsidRPr="00A26FD5" w:rsidRDefault="001E61A6" w:rsidP="008B68E6">
            <w:pPr>
              <w:jc w:val="center"/>
              <w:rPr>
                <w:b/>
                <w:bCs/>
                <w:szCs w:val="22"/>
                <w:lang w:eastAsia="en-GB"/>
              </w:rPr>
            </w:pPr>
            <w:r w:rsidRPr="00A26FD5">
              <w:rPr>
                <w:b/>
                <w:bCs/>
                <w:szCs w:val="22"/>
                <w:lang w:eastAsia="en-GB"/>
              </w:rPr>
              <w:t>Density (P/Km²)</w:t>
            </w:r>
          </w:p>
        </w:tc>
      </w:tr>
      <w:tr w:rsidR="001E61A6" w:rsidRPr="00A26FD5" w14:paraId="1212630D" w14:textId="77777777" w:rsidTr="003E1C3E">
        <w:trPr>
          <w:trHeight w:val="300"/>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4FDBD4C7" w14:textId="77777777" w:rsidR="001E61A6" w:rsidRPr="00A26FD5" w:rsidRDefault="001E61A6" w:rsidP="008B68E6">
            <w:pPr>
              <w:rPr>
                <w:bCs/>
                <w:szCs w:val="22"/>
                <w:lang w:eastAsia="en-GB"/>
              </w:rPr>
            </w:pPr>
            <w:r w:rsidRPr="00A26FD5">
              <w:rPr>
                <w:bCs/>
                <w:szCs w:val="22"/>
                <w:lang w:eastAsia="en-GB"/>
              </w:rPr>
              <w:t>North America</w:t>
            </w:r>
          </w:p>
        </w:tc>
        <w:tc>
          <w:tcPr>
            <w:tcW w:w="845" w:type="pct"/>
            <w:tcBorders>
              <w:top w:val="nil"/>
              <w:left w:val="nil"/>
              <w:bottom w:val="single" w:sz="4" w:space="0" w:color="auto"/>
              <w:right w:val="single" w:sz="4" w:space="0" w:color="auto"/>
            </w:tcBorders>
            <w:shd w:val="clear" w:color="auto" w:fill="auto"/>
            <w:vAlign w:val="center"/>
            <w:hideMark/>
          </w:tcPr>
          <w:p w14:paraId="3F7EC317" w14:textId="77777777" w:rsidR="001E61A6" w:rsidRPr="00A26FD5" w:rsidRDefault="001E61A6" w:rsidP="008B68E6">
            <w:pPr>
              <w:jc w:val="center"/>
              <w:rPr>
                <w:bCs/>
                <w:szCs w:val="22"/>
                <w:lang w:eastAsia="en-GB"/>
              </w:rPr>
            </w:pPr>
            <w:r w:rsidRPr="00A26FD5">
              <w:rPr>
                <w:bCs/>
                <w:szCs w:val="22"/>
                <w:lang w:eastAsia="en-GB"/>
              </w:rPr>
              <w:t>363,224,006</w:t>
            </w:r>
          </w:p>
        </w:tc>
        <w:tc>
          <w:tcPr>
            <w:tcW w:w="634" w:type="pct"/>
            <w:tcBorders>
              <w:top w:val="nil"/>
              <w:left w:val="nil"/>
              <w:bottom w:val="single" w:sz="4" w:space="0" w:color="auto"/>
              <w:right w:val="single" w:sz="4" w:space="0" w:color="auto"/>
            </w:tcBorders>
            <w:shd w:val="clear" w:color="auto" w:fill="auto"/>
            <w:vAlign w:val="center"/>
            <w:hideMark/>
          </w:tcPr>
          <w:p w14:paraId="7D0F194D" w14:textId="77777777" w:rsidR="001E61A6" w:rsidRPr="00A26FD5" w:rsidRDefault="001E61A6" w:rsidP="008B68E6">
            <w:pPr>
              <w:jc w:val="center"/>
              <w:rPr>
                <w:szCs w:val="22"/>
                <w:lang w:eastAsia="en-GB"/>
              </w:rPr>
            </w:pPr>
            <w:r w:rsidRPr="00A26FD5">
              <w:rPr>
                <w:szCs w:val="22"/>
                <w:lang w:eastAsia="en-GB"/>
              </w:rPr>
              <w:t>0.75</w:t>
            </w:r>
          </w:p>
        </w:tc>
        <w:tc>
          <w:tcPr>
            <w:tcW w:w="704" w:type="pct"/>
            <w:tcBorders>
              <w:top w:val="nil"/>
              <w:left w:val="nil"/>
              <w:bottom w:val="single" w:sz="4" w:space="0" w:color="auto"/>
              <w:right w:val="single" w:sz="4" w:space="0" w:color="auto"/>
            </w:tcBorders>
            <w:shd w:val="clear" w:color="auto" w:fill="auto"/>
            <w:vAlign w:val="center"/>
            <w:hideMark/>
          </w:tcPr>
          <w:p w14:paraId="474A97E8" w14:textId="77777777" w:rsidR="001E61A6" w:rsidRPr="00A26FD5" w:rsidRDefault="001E61A6" w:rsidP="008B68E6">
            <w:pPr>
              <w:jc w:val="center"/>
              <w:rPr>
                <w:szCs w:val="22"/>
                <w:lang w:eastAsia="en-GB"/>
              </w:rPr>
            </w:pPr>
            <w:r w:rsidRPr="00A26FD5">
              <w:rPr>
                <w:szCs w:val="22"/>
                <w:lang w:eastAsia="en-GB"/>
              </w:rPr>
              <w:t>1,219,564</w:t>
            </w:r>
          </w:p>
        </w:tc>
        <w:tc>
          <w:tcPr>
            <w:tcW w:w="634" w:type="pct"/>
            <w:tcBorders>
              <w:top w:val="nil"/>
              <w:left w:val="nil"/>
              <w:bottom w:val="single" w:sz="4" w:space="0" w:color="auto"/>
              <w:right w:val="single" w:sz="4" w:space="0" w:color="auto"/>
            </w:tcBorders>
            <w:shd w:val="clear" w:color="auto" w:fill="auto"/>
            <w:vAlign w:val="center"/>
            <w:hideMark/>
          </w:tcPr>
          <w:p w14:paraId="13B27FB8" w14:textId="77777777" w:rsidR="001E61A6" w:rsidRPr="00A26FD5" w:rsidRDefault="001E61A6" w:rsidP="008B68E6">
            <w:pPr>
              <w:jc w:val="center"/>
              <w:rPr>
                <w:szCs w:val="22"/>
                <w:lang w:eastAsia="en-GB"/>
              </w:rPr>
            </w:pPr>
            <w:r w:rsidRPr="00A26FD5">
              <w:rPr>
                <w:szCs w:val="22"/>
                <w:lang w:eastAsia="en-GB"/>
              </w:rPr>
              <w:t>38.4</w:t>
            </w:r>
          </w:p>
        </w:tc>
        <w:tc>
          <w:tcPr>
            <w:tcW w:w="563" w:type="pct"/>
            <w:tcBorders>
              <w:top w:val="nil"/>
              <w:left w:val="nil"/>
              <w:bottom w:val="single" w:sz="4" w:space="0" w:color="auto"/>
              <w:right w:val="single" w:sz="4" w:space="0" w:color="auto"/>
            </w:tcBorders>
            <w:shd w:val="clear" w:color="auto" w:fill="auto"/>
            <w:vAlign w:val="center"/>
            <w:hideMark/>
          </w:tcPr>
          <w:p w14:paraId="41DA608E" w14:textId="77777777" w:rsidR="001E61A6" w:rsidRPr="00A26FD5" w:rsidRDefault="001E61A6" w:rsidP="008B68E6">
            <w:pPr>
              <w:jc w:val="center"/>
              <w:rPr>
                <w:szCs w:val="22"/>
                <w:lang w:eastAsia="en-GB"/>
              </w:rPr>
            </w:pPr>
            <w:r w:rsidRPr="00A26FD5">
              <w:rPr>
                <w:szCs w:val="22"/>
                <w:lang w:eastAsia="en-GB"/>
              </w:rPr>
              <w:t>1.86</w:t>
            </w:r>
          </w:p>
        </w:tc>
        <w:tc>
          <w:tcPr>
            <w:tcW w:w="634" w:type="pct"/>
            <w:tcBorders>
              <w:top w:val="nil"/>
              <w:left w:val="nil"/>
              <w:bottom w:val="single" w:sz="4" w:space="0" w:color="auto"/>
              <w:right w:val="single" w:sz="4" w:space="0" w:color="auto"/>
            </w:tcBorders>
            <w:shd w:val="clear" w:color="auto" w:fill="auto"/>
            <w:vAlign w:val="center"/>
            <w:hideMark/>
          </w:tcPr>
          <w:p w14:paraId="71B6EF97" w14:textId="77777777" w:rsidR="001E61A6" w:rsidRPr="00A26FD5" w:rsidRDefault="001E61A6" w:rsidP="008B68E6">
            <w:pPr>
              <w:jc w:val="center"/>
              <w:rPr>
                <w:szCs w:val="22"/>
                <w:lang w:eastAsia="en-GB"/>
              </w:rPr>
            </w:pPr>
            <w:r w:rsidRPr="00A26FD5">
              <w:rPr>
                <w:szCs w:val="22"/>
                <w:lang w:eastAsia="en-GB"/>
              </w:rPr>
              <w:t>20</w:t>
            </w:r>
          </w:p>
        </w:tc>
      </w:tr>
      <w:tr w:rsidR="001E61A6" w:rsidRPr="00A26FD5" w14:paraId="6D69A5C0" w14:textId="77777777" w:rsidTr="003E1C3E">
        <w:trPr>
          <w:trHeight w:val="300"/>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666EB27A" w14:textId="77777777" w:rsidR="001E61A6" w:rsidRPr="00A26FD5" w:rsidRDefault="001E61A6" w:rsidP="008B68E6">
            <w:pPr>
              <w:rPr>
                <w:bCs/>
                <w:szCs w:val="22"/>
                <w:lang w:eastAsia="en-GB"/>
              </w:rPr>
            </w:pPr>
            <w:r w:rsidRPr="00A26FD5">
              <w:rPr>
                <w:bCs/>
                <w:szCs w:val="22"/>
                <w:lang w:eastAsia="en-GB"/>
              </w:rPr>
              <w:t>Mesoamerica</w:t>
            </w:r>
          </w:p>
        </w:tc>
        <w:tc>
          <w:tcPr>
            <w:tcW w:w="845" w:type="pct"/>
            <w:tcBorders>
              <w:top w:val="nil"/>
              <w:left w:val="nil"/>
              <w:bottom w:val="single" w:sz="4" w:space="0" w:color="auto"/>
              <w:right w:val="single" w:sz="4" w:space="0" w:color="auto"/>
            </w:tcBorders>
            <w:shd w:val="clear" w:color="auto" w:fill="auto"/>
            <w:vAlign w:val="center"/>
            <w:hideMark/>
          </w:tcPr>
          <w:p w14:paraId="3FC1DA79" w14:textId="77777777" w:rsidR="001E61A6" w:rsidRPr="00A26FD5" w:rsidRDefault="001E61A6" w:rsidP="008B68E6">
            <w:pPr>
              <w:jc w:val="center"/>
              <w:rPr>
                <w:bCs/>
                <w:szCs w:val="22"/>
                <w:lang w:eastAsia="en-GB"/>
              </w:rPr>
            </w:pPr>
            <w:r w:rsidRPr="00A26FD5">
              <w:rPr>
                <w:bCs/>
                <w:szCs w:val="22"/>
                <w:lang w:eastAsia="en-GB"/>
              </w:rPr>
              <w:t>177,249,493</w:t>
            </w:r>
          </w:p>
        </w:tc>
        <w:tc>
          <w:tcPr>
            <w:tcW w:w="634" w:type="pct"/>
            <w:tcBorders>
              <w:top w:val="nil"/>
              <w:left w:val="nil"/>
              <w:bottom w:val="single" w:sz="4" w:space="0" w:color="auto"/>
              <w:right w:val="single" w:sz="4" w:space="0" w:color="auto"/>
            </w:tcBorders>
            <w:shd w:val="clear" w:color="auto" w:fill="auto"/>
            <w:vAlign w:val="center"/>
            <w:hideMark/>
          </w:tcPr>
          <w:p w14:paraId="0AE719DE" w14:textId="77777777" w:rsidR="001E61A6" w:rsidRPr="00A26FD5" w:rsidRDefault="001E61A6" w:rsidP="008B68E6">
            <w:pPr>
              <w:jc w:val="center"/>
              <w:rPr>
                <w:szCs w:val="22"/>
                <w:lang w:eastAsia="en-GB"/>
              </w:rPr>
            </w:pPr>
            <w:r w:rsidRPr="00A26FD5">
              <w:rPr>
                <w:szCs w:val="22"/>
                <w:lang w:eastAsia="en-GB"/>
              </w:rPr>
              <w:t>1.28</w:t>
            </w:r>
          </w:p>
        </w:tc>
        <w:tc>
          <w:tcPr>
            <w:tcW w:w="704" w:type="pct"/>
            <w:tcBorders>
              <w:top w:val="nil"/>
              <w:left w:val="nil"/>
              <w:bottom w:val="single" w:sz="4" w:space="0" w:color="auto"/>
              <w:right w:val="single" w:sz="4" w:space="0" w:color="auto"/>
            </w:tcBorders>
            <w:shd w:val="clear" w:color="auto" w:fill="auto"/>
            <w:vAlign w:val="center"/>
            <w:hideMark/>
          </w:tcPr>
          <w:p w14:paraId="5ED81F2E" w14:textId="77777777" w:rsidR="001E61A6" w:rsidRPr="00A26FD5" w:rsidRDefault="001E61A6" w:rsidP="008B68E6">
            <w:pPr>
              <w:jc w:val="center"/>
              <w:rPr>
                <w:szCs w:val="22"/>
                <w:lang w:eastAsia="en-GB"/>
              </w:rPr>
            </w:pPr>
            <w:r w:rsidRPr="00A26FD5">
              <w:rPr>
                <w:szCs w:val="22"/>
                <w:lang w:eastAsia="en-GB"/>
              </w:rPr>
              <w:t>-192,495</w:t>
            </w:r>
          </w:p>
        </w:tc>
        <w:tc>
          <w:tcPr>
            <w:tcW w:w="634" w:type="pct"/>
            <w:tcBorders>
              <w:top w:val="nil"/>
              <w:left w:val="nil"/>
              <w:bottom w:val="single" w:sz="4" w:space="0" w:color="auto"/>
              <w:right w:val="single" w:sz="4" w:space="0" w:color="auto"/>
            </w:tcBorders>
            <w:shd w:val="clear" w:color="auto" w:fill="auto"/>
            <w:vAlign w:val="center"/>
            <w:hideMark/>
          </w:tcPr>
          <w:p w14:paraId="24311722" w14:textId="77777777" w:rsidR="001E61A6" w:rsidRPr="00A26FD5" w:rsidRDefault="001E61A6" w:rsidP="008B68E6">
            <w:pPr>
              <w:jc w:val="center"/>
              <w:rPr>
                <w:szCs w:val="22"/>
                <w:lang w:eastAsia="en-GB"/>
              </w:rPr>
            </w:pPr>
            <w:r w:rsidRPr="00A26FD5">
              <w:rPr>
                <w:szCs w:val="22"/>
                <w:lang w:eastAsia="en-GB"/>
              </w:rPr>
              <w:t>26.9</w:t>
            </w:r>
          </w:p>
        </w:tc>
        <w:tc>
          <w:tcPr>
            <w:tcW w:w="563" w:type="pct"/>
            <w:tcBorders>
              <w:top w:val="nil"/>
              <w:left w:val="nil"/>
              <w:bottom w:val="single" w:sz="4" w:space="0" w:color="auto"/>
              <w:right w:val="single" w:sz="4" w:space="0" w:color="auto"/>
            </w:tcBorders>
            <w:shd w:val="clear" w:color="auto" w:fill="auto"/>
            <w:vAlign w:val="center"/>
            <w:hideMark/>
          </w:tcPr>
          <w:p w14:paraId="0A512AA7" w14:textId="77777777" w:rsidR="001E61A6" w:rsidRPr="00A26FD5" w:rsidRDefault="001E61A6" w:rsidP="008B68E6">
            <w:pPr>
              <w:jc w:val="center"/>
              <w:rPr>
                <w:szCs w:val="22"/>
                <w:lang w:eastAsia="en-GB"/>
              </w:rPr>
            </w:pPr>
            <w:r w:rsidRPr="00A26FD5">
              <w:rPr>
                <w:szCs w:val="22"/>
                <w:lang w:eastAsia="en-GB"/>
              </w:rPr>
              <w:t>2.34</w:t>
            </w:r>
          </w:p>
        </w:tc>
        <w:tc>
          <w:tcPr>
            <w:tcW w:w="634" w:type="pct"/>
            <w:tcBorders>
              <w:top w:val="nil"/>
              <w:left w:val="nil"/>
              <w:bottom w:val="single" w:sz="4" w:space="0" w:color="auto"/>
              <w:right w:val="single" w:sz="4" w:space="0" w:color="auto"/>
            </w:tcBorders>
            <w:shd w:val="clear" w:color="auto" w:fill="auto"/>
            <w:vAlign w:val="center"/>
            <w:hideMark/>
          </w:tcPr>
          <w:p w14:paraId="66DDFE17" w14:textId="77777777" w:rsidR="001E61A6" w:rsidRPr="00A26FD5" w:rsidRDefault="001E61A6" w:rsidP="008B68E6">
            <w:pPr>
              <w:jc w:val="center"/>
              <w:rPr>
                <w:szCs w:val="22"/>
                <w:lang w:eastAsia="en-GB"/>
              </w:rPr>
            </w:pPr>
            <w:r w:rsidRPr="00A26FD5">
              <w:rPr>
                <w:szCs w:val="22"/>
                <w:lang w:eastAsia="en-GB"/>
              </w:rPr>
              <w:t>72</w:t>
            </w:r>
          </w:p>
        </w:tc>
      </w:tr>
      <w:tr w:rsidR="001E61A6" w:rsidRPr="00A26FD5" w14:paraId="03F6EF69" w14:textId="77777777" w:rsidTr="003E1C3E">
        <w:trPr>
          <w:trHeight w:val="300"/>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09089816" w14:textId="77777777" w:rsidR="001E61A6" w:rsidRPr="00A26FD5" w:rsidRDefault="001E61A6" w:rsidP="008B68E6">
            <w:pPr>
              <w:rPr>
                <w:bCs/>
                <w:szCs w:val="22"/>
                <w:lang w:eastAsia="en-GB"/>
              </w:rPr>
            </w:pPr>
            <w:r w:rsidRPr="00A26FD5">
              <w:rPr>
                <w:bCs/>
                <w:szCs w:val="22"/>
                <w:lang w:eastAsia="en-GB"/>
              </w:rPr>
              <w:t>Caribbean</w:t>
            </w:r>
          </w:p>
        </w:tc>
        <w:tc>
          <w:tcPr>
            <w:tcW w:w="845" w:type="pct"/>
            <w:tcBorders>
              <w:top w:val="nil"/>
              <w:left w:val="nil"/>
              <w:bottom w:val="single" w:sz="4" w:space="0" w:color="auto"/>
              <w:right w:val="single" w:sz="4" w:space="0" w:color="auto"/>
            </w:tcBorders>
            <w:shd w:val="clear" w:color="auto" w:fill="auto"/>
            <w:vAlign w:val="center"/>
            <w:hideMark/>
          </w:tcPr>
          <w:p w14:paraId="29BF35AC" w14:textId="77777777" w:rsidR="001E61A6" w:rsidRPr="00A26FD5" w:rsidRDefault="001E61A6" w:rsidP="008B68E6">
            <w:pPr>
              <w:jc w:val="center"/>
              <w:rPr>
                <w:bCs/>
                <w:szCs w:val="22"/>
                <w:lang w:eastAsia="en-GB"/>
              </w:rPr>
            </w:pPr>
            <w:r w:rsidRPr="00A26FD5">
              <w:rPr>
                <w:bCs/>
                <w:szCs w:val="22"/>
                <w:lang w:eastAsia="en-GB"/>
              </w:rPr>
              <w:t>43,767,545</w:t>
            </w:r>
          </w:p>
        </w:tc>
        <w:tc>
          <w:tcPr>
            <w:tcW w:w="634" w:type="pct"/>
            <w:tcBorders>
              <w:top w:val="nil"/>
              <w:left w:val="nil"/>
              <w:bottom w:val="single" w:sz="4" w:space="0" w:color="auto"/>
              <w:right w:val="single" w:sz="4" w:space="0" w:color="auto"/>
            </w:tcBorders>
            <w:shd w:val="clear" w:color="auto" w:fill="auto"/>
            <w:vAlign w:val="center"/>
            <w:hideMark/>
          </w:tcPr>
          <w:p w14:paraId="277ACB5F" w14:textId="77777777" w:rsidR="001E61A6" w:rsidRPr="00A26FD5" w:rsidRDefault="001E61A6" w:rsidP="008B68E6">
            <w:pPr>
              <w:jc w:val="center"/>
              <w:rPr>
                <w:szCs w:val="22"/>
                <w:lang w:eastAsia="en-GB"/>
              </w:rPr>
            </w:pPr>
            <w:r w:rsidRPr="00A26FD5">
              <w:rPr>
                <w:szCs w:val="22"/>
                <w:lang w:eastAsia="en-GB"/>
              </w:rPr>
              <w:t>0.64</w:t>
            </w:r>
          </w:p>
        </w:tc>
        <w:tc>
          <w:tcPr>
            <w:tcW w:w="704" w:type="pct"/>
            <w:tcBorders>
              <w:top w:val="nil"/>
              <w:left w:val="nil"/>
              <w:bottom w:val="single" w:sz="4" w:space="0" w:color="auto"/>
              <w:right w:val="single" w:sz="4" w:space="0" w:color="auto"/>
            </w:tcBorders>
            <w:shd w:val="clear" w:color="auto" w:fill="auto"/>
            <w:vAlign w:val="center"/>
            <w:hideMark/>
          </w:tcPr>
          <w:p w14:paraId="2CD8C4B8" w14:textId="77777777" w:rsidR="001E61A6" w:rsidRPr="00A26FD5" w:rsidRDefault="001E61A6" w:rsidP="008B68E6">
            <w:pPr>
              <w:jc w:val="center"/>
              <w:rPr>
                <w:szCs w:val="22"/>
                <w:lang w:eastAsia="en-GB"/>
              </w:rPr>
            </w:pPr>
            <w:r w:rsidRPr="00A26FD5">
              <w:rPr>
                <w:szCs w:val="22"/>
                <w:lang w:eastAsia="en-GB"/>
              </w:rPr>
              <w:t>-120,068</w:t>
            </w:r>
          </w:p>
        </w:tc>
        <w:tc>
          <w:tcPr>
            <w:tcW w:w="634" w:type="pct"/>
            <w:tcBorders>
              <w:top w:val="nil"/>
              <w:left w:val="nil"/>
              <w:bottom w:val="single" w:sz="4" w:space="0" w:color="auto"/>
              <w:right w:val="single" w:sz="4" w:space="0" w:color="auto"/>
            </w:tcBorders>
            <w:shd w:val="clear" w:color="auto" w:fill="auto"/>
            <w:vAlign w:val="center"/>
            <w:hideMark/>
          </w:tcPr>
          <w:p w14:paraId="12FF8C15" w14:textId="77777777" w:rsidR="001E61A6" w:rsidRPr="00A26FD5" w:rsidRDefault="001E61A6" w:rsidP="008B68E6">
            <w:pPr>
              <w:jc w:val="center"/>
              <w:rPr>
                <w:szCs w:val="22"/>
                <w:lang w:eastAsia="en-GB"/>
              </w:rPr>
            </w:pPr>
            <w:r w:rsidRPr="00A26FD5">
              <w:rPr>
                <w:szCs w:val="22"/>
                <w:lang w:eastAsia="en-GB"/>
              </w:rPr>
              <w:t>30.5</w:t>
            </w:r>
          </w:p>
        </w:tc>
        <w:tc>
          <w:tcPr>
            <w:tcW w:w="563" w:type="pct"/>
            <w:tcBorders>
              <w:top w:val="nil"/>
              <w:left w:val="nil"/>
              <w:bottom w:val="single" w:sz="4" w:space="0" w:color="auto"/>
              <w:right w:val="single" w:sz="4" w:space="0" w:color="auto"/>
            </w:tcBorders>
            <w:shd w:val="clear" w:color="auto" w:fill="auto"/>
            <w:vAlign w:val="center"/>
            <w:hideMark/>
          </w:tcPr>
          <w:p w14:paraId="70ADAECF" w14:textId="77777777" w:rsidR="001E61A6" w:rsidRPr="00A26FD5" w:rsidRDefault="001E61A6" w:rsidP="008B68E6">
            <w:pPr>
              <w:jc w:val="center"/>
              <w:rPr>
                <w:szCs w:val="22"/>
                <w:lang w:eastAsia="en-GB"/>
              </w:rPr>
            </w:pPr>
            <w:r w:rsidRPr="00A26FD5">
              <w:rPr>
                <w:szCs w:val="22"/>
                <w:lang w:eastAsia="en-GB"/>
              </w:rPr>
              <w:t>2.27</w:t>
            </w:r>
          </w:p>
        </w:tc>
        <w:tc>
          <w:tcPr>
            <w:tcW w:w="634" w:type="pct"/>
            <w:tcBorders>
              <w:top w:val="nil"/>
              <w:left w:val="nil"/>
              <w:bottom w:val="single" w:sz="4" w:space="0" w:color="auto"/>
              <w:right w:val="single" w:sz="4" w:space="0" w:color="auto"/>
            </w:tcBorders>
            <w:shd w:val="clear" w:color="auto" w:fill="auto"/>
            <w:vAlign w:val="center"/>
            <w:hideMark/>
          </w:tcPr>
          <w:p w14:paraId="52182958" w14:textId="77777777" w:rsidR="001E61A6" w:rsidRPr="00A26FD5" w:rsidRDefault="001E61A6" w:rsidP="008B68E6">
            <w:pPr>
              <w:jc w:val="center"/>
              <w:rPr>
                <w:szCs w:val="22"/>
                <w:lang w:eastAsia="en-GB"/>
              </w:rPr>
            </w:pPr>
            <w:r w:rsidRPr="00A26FD5">
              <w:rPr>
                <w:szCs w:val="22"/>
                <w:lang w:eastAsia="en-GB"/>
              </w:rPr>
              <w:t>194</w:t>
            </w:r>
          </w:p>
        </w:tc>
      </w:tr>
      <w:tr w:rsidR="001E61A6" w:rsidRPr="00A26FD5" w14:paraId="23003233" w14:textId="77777777" w:rsidTr="003E1C3E">
        <w:trPr>
          <w:trHeight w:val="300"/>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334B4BD6" w14:textId="77777777" w:rsidR="001E61A6" w:rsidRPr="00A26FD5" w:rsidRDefault="001E61A6" w:rsidP="008B68E6">
            <w:pPr>
              <w:rPr>
                <w:bCs/>
                <w:szCs w:val="22"/>
                <w:lang w:eastAsia="en-GB"/>
              </w:rPr>
            </w:pPr>
            <w:r w:rsidRPr="00A26FD5">
              <w:rPr>
                <w:bCs/>
                <w:szCs w:val="22"/>
                <w:lang w:eastAsia="en-GB"/>
              </w:rPr>
              <w:t>South America</w:t>
            </w:r>
          </w:p>
        </w:tc>
        <w:tc>
          <w:tcPr>
            <w:tcW w:w="845" w:type="pct"/>
            <w:tcBorders>
              <w:top w:val="nil"/>
              <w:left w:val="nil"/>
              <w:bottom w:val="single" w:sz="4" w:space="0" w:color="auto"/>
              <w:right w:val="single" w:sz="4" w:space="0" w:color="auto"/>
            </w:tcBorders>
            <w:shd w:val="clear" w:color="auto" w:fill="auto"/>
            <w:vAlign w:val="center"/>
            <w:hideMark/>
          </w:tcPr>
          <w:p w14:paraId="6AA92F86" w14:textId="77777777" w:rsidR="001E61A6" w:rsidRPr="00A26FD5" w:rsidRDefault="001E61A6" w:rsidP="008B68E6">
            <w:pPr>
              <w:jc w:val="center"/>
              <w:rPr>
                <w:bCs/>
                <w:szCs w:val="22"/>
                <w:lang w:eastAsia="en-GB"/>
              </w:rPr>
            </w:pPr>
            <w:r w:rsidRPr="00A26FD5">
              <w:rPr>
                <w:bCs/>
                <w:szCs w:val="22"/>
                <w:lang w:eastAsia="en-GB"/>
              </w:rPr>
              <w:t>426,548,298</w:t>
            </w:r>
          </w:p>
        </w:tc>
        <w:tc>
          <w:tcPr>
            <w:tcW w:w="634" w:type="pct"/>
            <w:tcBorders>
              <w:top w:val="nil"/>
              <w:left w:val="nil"/>
              <w:bottom w:val="single" w:sz="4" w:space="0" w:color="auto"/>
              <w:right w:val="single" w:sz="4" w:space="0" w:color="auto"/>
            </w:tcBorders>
            <w:shd w:val="clear" w:color="auto" w:fill="auto"/>
            <w:vAlign w:val="center"/>
            <w:hideMark/>
          </w:tcPr>
          <w:p w14:paraId="77911F43" w14:textId="77777777" w:rsidR="001E61A6" w:rsidRPr="00A26FD5" w:rsidRDefault="001E61A6" w:rsidP="008B68E6">
            <w:pPr>
              <w:jc w:val="center"/>
              <w:rPr>
                <w:szCs w:val="22"/>
                <w:lang w:eastAsia="en-GB"/>
              </w:rPr>
            </w:pPr>
            <w:r w:rsidRPr="00A26FD5">
              <w:rPr>
                <w:szCs w:val="22"/>
                <w:lang w:eastAsia="en-GB"/>
              </w:rPr>
              <w:t>0.95</w:t>
            </w:r>
          </w:p>
        </w:tc>
        <w:tc>
          <w:tcPr>
            <w:tcW w:w="704" w:type="pct"/>
            <w:tcBorders>
              <w:top w:val="nil"/>
              <w:left w:val="nil"/>
              <w:bottom w:val="single" w:sz="4" w:space="0" w:color="auto"/>
              <w:right w:val="single" w:sz="4" w:space="0" w:color="auto"/>
            </w:tcBorders>
            <w:shd w:val="clear" w:color="auto" w:fill="auto"/>
            <w:vAlign w:val="center"/>
            <w:hideMark/>
          </w:tcPr>
          <w:p w14:paraId="156949A6" w14:textId="77777777" w:rsidR="001E61A6" w:rsidRPr="00A26FD5" w:rsidRDefault="001E61A6" w:rsidP="008B68E6">
            <w:pPr>
              <w:jc w:val="center"/>
              <w:rPr>
                <w:szCs w:val="22"/>
                <w:lang w:eastAsia="en-GB"/>
              </w:rPr>
            </w:pPr>
            <w:r w:rsidRPr="00A26FD5">
              <w:rPr>
                <w:szCs w:val="22"/>
                <w:lang w:eastAsia="en-GB"/>
              </w:rPr>
              <w:t>-63,786</w:t>
            </w:r>
          </w:p>
        </w:tc>
        <w:tc>
          <w:tcPr>
            <w:tcW w:w="634" w:type="pct"/>
            <w:tcBorders>
              <w:top w:val="nil"/>
              <w:left w:val="nil"/>
              <w:bottom w:val="single" w:sz="4" w:space="0" w:color="auto"/>
              <w:right w:val="single" w:sz="4" w:space="0" w:color="auto"/>
            </w:tcBorders>
            <w:shd w:val="clear" w:color="auto" w:fill="auto"/>
            <w:vAlign w:val="center"/>
            <w:hideMark/>
          </w:tcPr>
          <w:p w14:paraId="033B25F9" w14:textId="77777777" w:rsidR="001E61A6" w:rsidRPr="00A26FD5" w:rsidRDefault="001E61A6" w:rsidP="008B68E6">
            <w:pPr>
              <w:jc w:val="center"/>
              <w:rPr>
                <w:szCs w:val="22"/>
                <w:lang w:eastAsia="en-GB"/>
              </w:rPr>
            </w:pPr>
            <w:r w:rsidRPr="00A26FD5">
              <w:rPr>
                <w:szCs w:val="22"/>
                <w:lang w:eastAsia="en-GB"/>
              </w:rPr>
              <w:t>30.6</w:t>
            </w:r>
          </w:p>
        </w:tc>
        <w:tc>
          <w:tcPr>
            <w:tcW w:w="563" w:type="pct"/>
            <w:tcBorders>
              <w:top w:val="nil"/>
              <w:left w:val="nil"/>
              <w:bottom w:val="single" w:sz="4" w:space="0" w:color="auto"/>
              <w:right w:val="single" w:sz="4" w:space="0" w:color="auto"/>
            </w:tcBorders>
            <w:shd w:val="clear" w:color="auto" w:fill="auto"/>
            <w:vAlign w:val="center"/>
            <w:hideMark/>
          </w:tcPr>
          <w:p w14:paraId="0F2C6B92" w14:textId="77777777" w:rsidR="001E61A6" w:rsidRPr="00A26FD5" w:rsidRDefault="001E61A6" w:rsidP="008B68E6">
            <w:pPr>
              <w:jc w:val="center"/>
              <w:rPr>
                <w:szCs w:val="22"/>
                <w:lang w:eastAsia="en-GB"/>
              </w:rPr>
            </w:pPr>
            <w:r w:rsidRPr="00A26FD5">
              <w:rPr>
                <w:szCs w:val="22"/>
                <w:lang w:eastAsia="en-GB"/>
              </w:rPr>
              <w:t>2.03</w:t>
            </w:r>
          </w:p>
        </w:tc>
        <w:tc>
          <w:tcPr>
            <w:tcW w:w="634" w:type="pct"/>
            <w:tcBorders>
              <w:top w:val="nil"/>
              <w:left w:val="nil"/>
              <w:bottom w:val="single" w:sz="4" w:space="0" w:color="auto"/>
              <w:right w:val="single" w:sz="4" w:space="0" w:color="auto"/>
            </w:tcBorders>
            <w:shd w:val="clear" w:color="auto" w:fill="auto"/>
            <w:vAlign w:val="center"/>
            <w:hideMark/>
          </w:tcPr>
          <w:p w14:paraId="362776AA" w14:textId="77777777" w:rsidR="001E61A6" w:rsidRPr="00A26FD5" w:rsidRDefault="001E61A6" w:rsidP="008B68E6">
            <w:pPr>
              <w:jc w:val="center"/>
              <w:rPr>
                <w:szCs w:val="22"/>
                <w:lang w:eastAsia="en-GB"/>
              </w:rPr>
            </w:pPr>
            <w:r w:rsidRPr="00A26FD5">
              <w:rPr>
                <w:szCs w:val="22"/>
                <w:lang w:eastAsia="en-GB"/>
              </w:rPr>
              <w:t>24</w:t>
            </w:r>
          </w:p>
        </w:tc>
      </w:tr>
      <w:tr w:rsidR="001E61A6" w:rsidRPr="00A26FD5" w14:paraId="5418168F" w14:textId="77777777" w:rsidTr="003E1C3E">
        <w:trPr>
          <w:trHeight w:val="300"/>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59928B38" w14:textId="6D90762D" w:rsidR="001E61A6" w:rsidRPr="00A26FD5" w:rsidRDefault="000F7048" w:rsidP="008B68E6">
            <w:pPr>
              <w:rPr>
                <w:b/>
                <w:bCs/>
                <w:szCs w:val="22"/>
                <w:lang w:eastAsia="en-GB"/>
              </w:rPr>
            </w:pPr>
            <w:r w:rsidRPr="00A26FD5">
              <w:rPr>
                <w:b/>
                <w:bCs/>
                <w:szCs w:val="22"/>
                <w:lang w:eastAsia="en-GB"/>
              </w:rPr>
              <w:t>Americas</w:t>
            </w:r>
          </w:p>
        </w:tc>
        <w:tc>
          <w:tcPr>
            <w:tcW w:w="845" w:type="pct"/>
            <w:tcBorders>
              <w:top w:val="nil"/>
              <w:left w:val="nil"/>
              <w:bottom w:val="single" w:sz="4" w:space="0" w:color="auto"/>
              <w:right w:val="single" w:sz="4" w:space="0" w:color="auto"/>
            </w:tcBorders>
            <w:shd w:val="clear" w:color="auto" w:fill="auto"/>
            <w:vAlign w:val="center"/>
            <w:hideMark/>
          </w:tcPr>
          <w:p w14:paraId="65F3C220" w14:textId="77777777" w:rsidR="001E61A6" w:rsidRPr="00A26FD5" w:rsidRDefault="001E61A6" w:rsidP="008B68E6">
            <w:pPr>
              <w:jc w:val="center"/>
              <w:rPr>
                <w:b/>
                <w:bCs/>
                <w:szCs w:val="22"/>
                <w:lang w:eastAsia="en-GB"/>
              </w:rPr>
            </w:pPr>
            <w:r w:rsidRPr="00A26FD5">
              <w:rPr>
                <w:b/>
                <w:bCs/>
                <w:szCs w:val="22"/>
                <w:lang w:eastAsia="en-GB"/>
              </w:rPr>
              <w:t>1,010,789,342</w:t>
            </w:r>
          </w:p>
        </w:tc>
        <w:tc>
          <w:tcPr>
            <w:tcW w:w="3169" w:type="pct"/>
            <w:gridSpan w:val="5"/>
            <w:tcBorders>
              <w:top w:val="nil"/>
              <w:left w:val="nil"/>
              <w:bottom w:val="single" w:sz="4" w:space="0" w:color="auto"/>
              <w:right w:val="single" w:sz="4" w:space="0" w:color="auto"/>
            </w:tcBorders>
            <w:shd w:val="clear" w:color="auto" w:fill="auto"/>
            <w:vAlign w:val="center"/>
            <w:hideMark/>
          </w:tcPr>
          <w:p w14:paraId="536B3D36" w14:textId="77777777" w:rsidR="001E61A6" w:rsidRPr="00A26FD5" w:rsidRDefault="001E61A6" w:rsidP="008B68E6">
            <w:pPr>
              <w:jc w:val="center"/>
              <w:rPr>
                <w:b/>
                <w:bCs/>
                <w:szCs w:val="22"/>
                <w:lang w:eastAsia="en-GB"/>
              </w:rPr>
            </w:pPr>
          </w:p>
        </w:tc>
      </w:tr>
    </w:tbl>
    <w:p w14:paraId="5A9B7F80" w14:textId="5DBFB4E7" w:rsidR="00CC6CB7" w:rsidRPr="008608AA" w:rsidRDefault="001E61A6" w:rsidP="003E1C3E">
      <w:pPr>
        <w:spacing w:before="120"/>
        <w:rPr>
          <w:rFonts w:eastAsia="Calibri"/>
          <w:color w:val="0000FF" w:themeColor="hyperlink"/>
          <w:sz w:val="20"/>
          <w:szCs w:val="20"/>
          <w:u w:val="single"/>
        </w:rPr>
      </w:pPr>
      <w:r w:rsidRPr="008608AA">
        <w:rPr>
          <w:rFonts w:eastAsia="Calibri"/>
          <w:sz w:val="20"/>
          <w:szCs w:val="20"/>
        </w:rPr>
        <w:t>Source:  Authors</w:t>
      </w:r>
      <w:r w:rsidR="009E4D36" w:rsidRPr="008608AA">
        <w:rPr>
          <w:rFonts w:eastAsia="Calibri"/>
          <w:sz w:val="20"/>
          <w:szCs w:val="20"/>
        </w:rPr>
        <w:t>’ compilation from Worldometers (</w:t>
      </w:r>
      <w:r w:rsidRPr="008608AA">
        <w:rPr>
          <w:rFonts w:eastAsia="Calibri"/>
          <w:sz w:val="20"/>
          <w:szCs w:val="20"/>
        </w:rPr>
        <w:t>2017</w:t>
      </w:r>
      <w:r w:rsidR="009E4D36" w:rsidRPr="008608AA">
        <w:rPr>
          <w:rFonts w:eastAsia="Calibri"/>
          <w:sz w:val="20"/>
          <w:szCs w:val="20"/>
        </w:rPr>
        <w:t>)</w:t>
      </w:r>
      <w:r w:rsidRPr="008608AA">
        <w:rPr>
          <w:rFonts w:eastAsia="Calibri"/>
          <w:sz w:val="20"/>
          <w:szCs w:val="20"/>
        </w:rPr>
        <w:t xml:space="preserve">.  Accessed 2 May 2017, and 3 September 2017 at </w:t>
      </w:r>
      <w:hyperlink r:id="rId974" w:history="1">
        <w:r w:rsidRPr="008608AA">
          <w:rPr>
            <w:rStyle w:val="Hyperlink"/>
            <w:rFonts w:eastAsia="Calibri"/>
            <w:sz w:val="20"/>
            <w:szCs w:val="20"/>
          </w:rPr>
          <w:t>http://www.worldometers.info/world-population/population-by-region/</w:t>
        </w:r>
      </w:hyperlink>
      <w:bookmarkStart w:id="1409" w:name="_Ref494456988"/>
      <w:bookmarkStart w:id="1410" w:name="_Toc494482723"/>
      <w:bookmarkStart w:id="1411" w:name="_Toc499459692"/>
      <w:bookmarkStart w:id="1412" w:name="_Hlk494357454"/>
    </w:p>
    <w:bookmarkEnd w:id="1409"/>
    <w:bookmarkEnd w:id="1410"/>
    <w:bookmarkEnd w:id="1411"/>
    <w:bookmarkEnd w:id="1412"/>
    <w:p w14:paraId="4F9B6F0A" w14:textId="0E788800" w:rsidR="001E61A6" w:rsidRPr="008608AA" w:rsidRDefault="001E61A6" w:rsidP="00CC6CB7">
      <w:pPr>
        <w:spacing w:before="120"/>
        <w:rPr>
          <w:rFonts w:eastAsia="Calibri"/>
        </w:rPr>
      </w:pPr>
      <w:r w:rsidRPr="008608AA">
        <w:rPr>
          <w:rFonts w:eastAsia="Calibri"/>
        </w:rPr>
        <w:t>Current population growth rates are 0.75% per year in North America and 1.02% per year in L</w:t>
      </w:r>
      <w:r w:rsidR="000F7048" w:rsidRPr="008608AA">
        <w:rPr>
          <w:rFonts w:eastAsia="Calibri"/>
        </w:rPr>
        <w:t>atin America and the Caribbean.</w:t>
      </w:r>
      <w:r w:rsidRPr="008608AA">
        <w:rPr>
          <w:rFonts w:eastAsia="Calibri"/>
        </w:rPr>
        <w:t xml:space="preserve"> Migration and fertility rates combine differently in these two </w:t>
      </w:r>
      <w:r w:rsidR="007C45FD" w:rsidRPr="008608AA">
        <w:rPr>
          <w:rFonts w:eastAsia="Calibri"/>
        </w:rPr>
        <w:t>sub</w:t>
      </w:r>
      <w:r w:rsidRPr="008608AA">
        <w:rPr>
          <w:rFonts w:eastAsia="Calibri"/>
        </w:rPr>
        <w:t xml:space="preserve">regions.  In Latin America, an above-replacement fertility rate of 2.15 outweighs net outmigration from the </w:t>
      </w:r>
      <w:r w:rsidR="007C45FD" w:rsidRPr="008608AA">
        <w:rPr>
          <w:rFonts w:eastAsia="Calibri"/>
        </w:rPr>
        <w:t>sub</w:t>
      </w:r>
      <w:r w:rsidRPr="008608AA">
        <w:rPr>
          <w:rFonts w:eastAsia="Calibri"/>
        </w:rPr>
        <w:t>region, such that population growth is positive and relatively high compared</w:t>
      </w:r>
      <w:r w:rsidR="000F7048" w:rsidRPr="008608AA">
        <w:rPr>
          <w:rFonts w:eastAsia="Calibri"/>
        </w:rPr>
        <w:t xml:space="preserve"> to the world community there. </w:t>
      </w:r>
      <w:r w:rsidRPr="008608AA">
        <w:rPr>
          <w:rFonts w:eastAsia="Calibri"/>
        </w:rPr>
        <w:t xml:space="preserve">In the North American </w:t>
      </w:r>
      <w:r w:rsidR="007C45FD" w:rsidRPr="008608AA">
        <w:rPr>
          <w:rFonts w:eastAsia="Calibri"/>
        </w:rPr>
        <w:t>sub</w:t>
      </w:r>
      <w:r w:rsidR="000F7048" w:rsidRPr="008608AA">
        <w:rPr>
          <w:rFonts w:eastAsia="Calibri"/>
        </w:rPr>
        <w:t>region, net in-</w:t>
      </w:r>
      <w:r w:rsidRPr="008608AA">
        <w:rPr>
          <w:rFonts w:eastAsia="Calibri"/>
        </w:rPr>
        <w:t xml:space="preserve">migration outweighs lower-than-replacement fertility rate to produce that </w:t>
      </w:r>
      <w:r w:rsidR="007C45FD" w:rsidRPr="008608AA">
        <w:rPr>
          <w:rFonts w:eastAsia="Calibri"/>
        </w:rPr>
        <w:t>sub</w:t>
      </w:r>
      <w:r w:rsidRPr="008608AA">
        <w:rPr>
          <w:rFonts w:eastAsia="Calibri"/>
        </w:rPr>
        <w:t>region’s po</w:t>
      </w:r>
      <w:r w:rsidR="000F7048" w:rsidRPr="008608AA">
        <w:rPr>
          <w:rFonts w:eastAsia="Calibri"/>
        </w:rPr>
        <w:t xml:space="preserve">sitive population growth rate. </w:t>
      </w:r>
      <w:r w:rsidRPr="008608AA">
        <w:rPr>
          <w:rFonts w:eastAsia="Calibri"/>
        </w:rPr>
        <w:t>North America has among the world’s oldest median population, while Latin America and the Caribbean has among the world’s youngest median population.</w:t>
      </w:r>
    </w:p>
    <w:p w14:paraId="19BA6225" w14:textId="568B7AAF" w:rsidR="00DE1782" w:rsidRPr="008608AA" w:rsidRDefault="00CC6CB7" w:rsidP="00CC6CB7">
      <w:pPr>
        <w:pStyle w:val="Caption"/>
        <w:rPr>
          <w:rFonts w:eastAsia="Calibri"/>
          <w:b w:val="0"/>
          <w:szCs w:val="20"/>
        </w:rPr>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9</w:t>
      </w:r>
      <w:r w:rsidR="000E562E">
        <w:rPr>
          <w:noProof/>
        </w:rPr>
        <w:fldChar w:fldCharType="end"/>
      </w:r>
      <w:r w:rsidRPr="008608AA">
        <w:t xml:space="preserve">. </w:t>
      </w:r>
      <w:r w:rsidR="00DE1782" w:rsidRPr="008608AA">
        <w:rPr>
          <w:szCs w:val="20"/>
        </w:rPr>
        <w:t>Population in the Americas by region: present (2017), past (1960-2017) and future (2017-2050) trends.</w:t>
      </w:r>
    </w:p>
    <w:tbl>
      <w:tblPr>
        <w:tblW w:w="5000" w:type="pct"/>
        <w:tblLook w:val="04A0" w:firstRow="1" w:lastRow="0" w:firstColumn="1" w:lastColumn="0" w:noHBand="0" w:noVBand="1"/>
      </w:tblPr>
      <w:tblGrid>
        <w:gridCol w:w="1432"/>
        <w:gridCol w:w="1216"/>
        <w:gridCol w:w="1216"/>
        <w:gridCol w:w="1077"/>
        <w:gridCol w:w="1077"/>
        <w:gridCol w:w="935"/>
        <w:gridCol w:w="1262"/>
        <w:gridCol w:w="1262"/>
      </w:tblGrid>
      <w:tr w:rsidR="00DE1782" w:rsidRPr="00A26FD5" w14:paraId="433E4ADD" w14:textId="77777777" w:rsidTr="00CC6CB7">
        <w:trPr>
          <w:trHeight w:val="600"/>
        </w:trPr>
        <w:tc>
          <w:tcPr>
            <w:tcW w:w="731" w:type="pct"/>
            <w:vMerge w:val="restart"/>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1E53E9DA" w14:textId="77777777" w:rsidR="00DE1782" w:rsidRPr="00A26FD5" w:rsidRDefault="00DE1782" w:rsidP="00CC6CB7">
            <w:pPr>
              <w:jc w:val="center"/>
              <w:rPr>
                <w:b/>
                <w:bCs/>
                <w:szCs w:val="22"/>
                <w:lang w:eastAsia="en-GB"/>
              </w:rPr>
            </w:pPr>
            <w:r w:rsidRPr="00A26FD5">
              <w:rPr>
                <w:b/>
                <w:bCs/>
                <w:szCs w:val="22"/>
                <w:lang w:eastAsia="en-GB"/>
              </w:rPr>
              <w:t>Regions</w:t>
            </w:r>
          </w:p>
        </w:tc>
        <w:tc>
          <w:tcPr>
            <w:tcW w:w="661" w:type="pct"/>
            <w:vMerge w:val="restart"/>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143F23D1" w14:textId="4B096CEC" w:rsidR="00DE1782" w:rsidRPr="00A26FD5" w:rsidRDefault="000F7048" w:rsidP="00CC6CB7">
            <w:pPr>
              <w:jc w:val="center"/>
              <w:rPr>
                <w:b/>
                <w:bCs/>
                <w:szCs w:val="22"/>
                <w:lang w:eastAsia="en-GB"/>
              </w:rPr>
            </w:pPr>
            <w:r w:rsidRPr="00A26FD5">
              <w:rPr>
                <w:b/>
                <w:bCs/>
                <w:szCs w:val="22"/>
                <w:lang w:eastAsia="en-GB"/>
              </w:rPr>
              <w:t>Region's share of world p</w:t>
            </w:r>
            <w:r w:rsidR="00DE1782" w:rsidRPr="00A26FD5">
              <w:rPr>
                <w:b/>
                <w:bCs/>
                <w:szCs w:val="22"/>
                <w:lang w:eastAsia="en-GB"/>
              </w:rPr>
              <w:t>op, 2017</w:t>
            </w:r>
          </w:p>
        </w:tc>
        <w:tc>
          <w:tcPr>
            <w:tcW w:w="661" w:type="pct"/>
            <w:vMerge w:val="restart"/>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554DD7AD" w14:textId="4FEEA997" w:rsidR="00DE1782" w:rsidRPr="00A26FD5" w:rsidRDefault="000F7048" w:rsidP="00CC6CB7">
            <w:pPr>
              <w:jc w:val="center"/>
              <w:rPr>
                <w:b/>
                <w:bCs/>
                <w:szCs w:val="22"/>
                <w:lang w:eastAsia="en-GB"/>
              </w:rPr>
            </w:pPr>
            <w:r w:rsidRPr="00A26FD5">
              <w:rPr>
                <w:b/>
                <w:bCs/>
                <w:szCs w:val="22"/>
                <w:lang w:eastAsia="en-GB"/>
              </w:rPr>
              <w:t>Region's s</w:t>
            </w:r>
            <w:r w:rsidR="00DE1782" w:rsidRPr="00A26FD5">
              <w:rPr>
                <w:b/>
                <w:bCs/>
                <w:szCs w:val="22"/>
                <w:lang w:eastAsia="en-GB"/>
              </w:rPr>
              <w:t>hare of Amer</w:t>
            </w:r>
            <w:r w:rsidRPr="00A26FD5">
              <w:rPr>
                <w:b/>
                <w:bCs/>
                <w:szCs w:val="22"/>
                <w:lang w:eastAsia="en-GB"/>
              </w:rPr>
              <w:t>icas p</w:t>
            </w:r>
            <w:r w:rsidR="00DE1782" w:rsidRPr="00A26FD5">
              <w:rPr>
                <w:b/>
                <w:bCs/>
                <w:szCs w:val="22"/>
                <w:lang w:eastAsia="en-GB"/>
              </w:rPr>
              <w:t>op, 2017</w:t>
            </w:r>
          </w:p>
        </w:tc>
        <w:tc>
          <w:tcPr>
            <w:tcW w:w="588" w:type="pct"/>
            <w:vMerge w:val="restart"/>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2657DE04" w14:textId="77777777" w:rsidR="00DE1782" w:rsidRPr="00A26FD5" w:rsidRDefault="00DE1782" w:rsidP="00CC6CB7">
            <w:pPr>
              <w:jc w:val="center"/>
              <w:rPr>
                <w:b/>
                <w:bCs/>
                <w:szCs w:val="22"/>
                <w:lang w:eastAsia="en-GB"/>
              </w:rPr>
            </w:pPr>
            <w:r w:rsidRPr="00A26FD5">
              <w:rPr>
                <w:b/>
                <w:bCs/>
                <w:szCs w:val="22"/>
                <w:lang w:eastAsia="en-GB"/>
              </w:rPr>
              <w:t>Total pop change, 1960- 2017</w:t>
            </w:r>
            <w:r w:rsidRPr="00A26FD5">
              <w:rPr>
                <w:szCs w:val="22"/>
              </w:rPr>
              <w:t xml:space="preserve"> (</w:t>
            </w:r>
            <w:r w:rsidRPr="00A26FD5">
              <w:rPr>
                <w:b/>
                <w:bCs/>
                <w:szCs w:val="22"/>
                <w:lang w:eastAsia="en-GB"/>
              </w:rPr>
              <w:t>Pop</w:t>
            </w:r>
            <w:r w:rsidRPr="00A26FD5">
              <w:rPr>
                <w:b/>
                <w:bCs/>
                <w:szCs w:val="22"/>
                <w:vertAlign w:val="subscript"/>
                <w:lang w:eastAsia="en-GB"/>
              </w:rPr>
              <w:t xml:space="preserve">2017 </w:t>
            </w:r>
            <w:r w:rsidRPr="00A26FD5">
              <w:rPr>
                <w:b/>
                <w:bCs/>
                <w:szCs w:val="22"/>
                <w:lang w:eastAsia="en-GB"/>
              </w:rPr>
              <w:t>/ Pop</w:t>
            </w:r>
            <w:r w:rsidRPr="00A26FD5">
              <w:rPr>
                <w:b/>
                <w:bCs/>
                <w:szCs w:val="22"/>
                <w:vertAlign w:val="subscript"/>
                <w:lang w:eastAsia="en-GB"/>
              </w:rPr>
              <w:t>1960)</w:t>
            </w:r>
          </w:p>
        </w:tc>
        <w:tc>
          <w:tcPr>
            <w:tcW w:w="588" w:type="pct"/>
            <w:vMerge w:val="restart"/>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13ED14F3" w14:textId="77777777" w:rsidR="00DE1782" w:rsidRPr="00A26FD5" w:rsidRDefault="00DE1782" w:rsidP="00CC6CB7">
            <w:pPr>
              <w:jc w:val="center"/>
              <w:rPr>
                <w:rFonts w:eastAsia="Calibri"/>
                <w:b/>
                <w:bCs/>
                <w:szCs w:val="22"/>
                <w:lang w:eastAsia="en-GB"/>
              </w:rPr>
            </w:pPr>
            <w:r w:rsidRPr="00A26FD5">
              <w:rPr>
                <w:rFonts w:eastAsia="Calibri"/>
                <w:b/>
                <w:bCs/>
                <w:szCs w:val="22"/>
                <w:lang w:eastAsia="en-GB"/>
              </w:rPr>
              <w:t>Total pop change, 2017-2050</w:t>
            </w:r>
          </w:p>
          <w:p w14:paraId="09496B6C" w14:textId="77777777" w:rsidR="00DE1782" w:rsidRPr="00A26FD5" w:rsidRDefault="00DE1782" w:rsidP="00CC6CB7">
            <w:pPr>
              <w:jc w:val="center"/>
              <w:rPr>
                <w:b/>
                <w:bCs/>
                <w:szCs w:val="22"/>
                <w:lang w:eastAsia="en-GB"/>
              </w:rPr>
            </w:pPr>
            <w:r w:rsidRPr="00A26FD5">
              <w:rPr>
                <w:rFonts w:eastAsia="Calibri"/>
                <w:b/>
                <w:bCs/>
                <w:szCs w:val="22"/>
                <w:lang w:eastAsia="en-GB"/>
              </w:rPr>
              <w:t>(Pop</w:t>
            </w:r>
            <w:r w:rsidRPr="00A26FD5">
              <w:rPr>
                <w:rFonts w:eastAsia="Calibri"/>
                <w:b/>
                <w:bCs/>
                <w:szCs w:val="22"/>
                <w:vertAlign w:val="subscript"/>
                <w:lang w:eastAsia="en-GB"/>
              </w:rPr>
              <w:t xml:space="preserve">2050 </w:t>
            </w:r>
            <w:r w:rsidRPr="00A26FD5">
              <w:rPr>
                <w:rFonts w:eastAsia="Calibri"/>
                <w:b/>
                <w:bCs/>
                <w:szCs w:val="22"/>
                <w:lang w:eastAsia="en-GB"/>
              </w:rPr>
              <w:t>/ Pop</w:t>
            </w:r>
            <w:r w:rsidRPr="00A26FD5">
              <w:rPr>
                <w:rFonts w:eastAsia="Calibri"/>
                <w:b/>
                <w:bCs/>
                <w:szCs w:val="22"/>
                <w:vertAlign w:val="subscript"/>
                <w:lang w:eastAsia="en-GB"/>
              </w:rPr>
              <w:t>2017)</w:t>
            </w:r>
          </w:p>
        </w:tc>
        <w:tc>
          <w:tcPr>
            <w:tcW w:w="513" w:type="pct"/>
            <w:vMerge w:val="restart"/>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60AACA1A" w14:textId="77777777" w:rsidR="00DE1782" w:rsidRPr="00A26FD5" w:rsidRDefault="00DE1782" w:rsidP="00CC6CB7">
            <w:pPr>
              <w:jc w:val="center"/>
              <w:rPr>
                <w:b/>
                <w:bCs/>
                <w:szCs w:val="22"/>
                <w:lang w:eastAsia="en-GB"/>
              </w:rPr>
            </w:pPr>
            <w:r w:rsidRPr="00A26FD5">
              <w:rPr>
                <w:b/>
                <w:bCs/>
                <w:szCs w:val="22"/>
                <w:lang w:eastAsia="en-GB"/>
              </w:rPr>
              <w:t>Urban, % of total pop 2017</w:t>
            </w:r>
          </w:p>
        </w:tc>
        <w:tc>
          <w:tcPr>
            <w:tcW w:w="629" w:type="pct"/>
            <w:tcBorders>
              <w:top w:val="single" w:sz="8" w:space="0" w:color="auto"/>
              <w:left w:val="nil"/>
              <w:bottom w:val="nil"/>
              <w:right w:val="single" w:sz="8" w:space="0" w:color="auto"/>
            </w:tcBorders>
            <w:shd w:val="clear" w:color="auto" w:fill="BFBFBF" w:themeFill="background1" w:themeFillShade="BF"/>
            <w:vAlign w:val="center"/>
            <w:hideMark/>
          </w:tcPr>
          <w:p w14:paraId="1318264F" w14:textId="60840560" w:rsidR="00DE1782" w:rsidRPr="00A26FD5" w:rsidRDefault="000F7048" w:rsidP="00CC6CB7">
            <w:pPr>
              <w:jc w:val="center"/>
              <w:rPr>
                <w:b/>
                <w:bCs/>
                <w:szCs w:val="22"/>
                <w:lang w:eastAsia="en-GB"/>
              </w:rPr>
            </w:pPr>
            <w:r w:rsidRPr="00A26FD5">
              <w:rPr>
                <w:b/>
                <w:bCs/>
                <w:szCs w:val="22"/>
                <w:lang w:eastAsia="en-GB"/>
              </w:rPr>
              <w:t>Urban p</w:t>
            </w:r>
            <w:r w:rsidR="00DE1782" w:rsidRPr="00A26FD5">
              <w:rPr>
                <w:b/>
                <w:bCs/>
                <w:szCs w:val="22"/>
                <w:lang w:eastAsia="en-GB"/>
              </w:rPr>
              <w:t>op, change,</w:t>
            </w:r>
          </w:p>
        </w:tc>
        <w:tc>
          <w:tcPr>
            <w:tcW w:w="629" w:type="pct"/>
            <w:tcBorders>
              <w:top w:val="single" w:sz="8" w:space="0" w:color="auto"/>
              <w:left w:val="nil"/>
              <w:bottom w:val="nil"/>
              <w:right w:val="single" w:sz="8" w:space="0" w:color="auto"/>
            </w:tcBorders>
            <w:shd w:val="clear" w:color="auto" w:fill="BFBFBF" w:themeFill="background1" w:themeFillShade="BF"/>
            <w:vAlign w:val="center"/>
            <w:hideMark/>
          </w:tcPr>
          <w:p w14:paraId="20825687" w14:textId="6208E34D" w:rsidR="00DE1782" w:rsidRPr="00A26FD5" w:rsidRDefault="000F7048" w:rsidP="00CC6CB7">
            <w:pPr>
              <w:jc w:val="center"/>
              <w:rPr>
                <w:b/>
                <w:bCs/>
                <w:szCs w:val="22"/>
                <w:lang w:eastAsia="en-GB"/>
              </w:rPr>
            </w:pPr>
            <w:r w:rsidRPr="00A26FD5">
              <w:rPr>
                <w:b/>
                <w:bCs/>
                <w:szCs w:val="22"/>
                <w:lang w:eastAsia="en-GB"/>
              </w:rPr>
              <w:t>Urban p</w:t>
            </w:r>
            <w:r w:rsidR="00DE1782" w:rsidRPr="00A26FD5">
              <w:rPr>
                <w:b/>
                <w:bCs/>
                <w:szCs w:val="22"/>
                <w:lang w:eastAsia="en-GB"/>
              </w:rPr>
              <w:t>op, change,</w:t>
            </w:r>
          </w:p>
        </w:tc>
      </w:tr>
      <w:tr w:rsidR="00DE1782" w:rsidRPr="00A26FD5" w14:paraId="131A8629" w14:textId="77777777" w:rsidTr="00CC6CB7">
        <w:trPr>
          <w:trHeight w:val="315"/>
        </w:trPr>
        <w:tc>
          <w:tcPr>
            <w:tcW w:w="731" w:type="pct"/>
            <w:vMerge/>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47CAE79C" w14:textId="77777777" w:rsidR="00DE1782" w:rsidRPr="00A26FD5" w:rsidRDefault="00DE1782" w:rsidP="00CC6CB7">
            <w:pPr>
              <w:jc w:val="center"/>
              <w:rPr>
                <w:b/>
                <w:bCs/>
                <w:szCs w:val="22"/>
                <w:lang w:eastAsia="en-GB"/>
              </w:rPr>
            </w:pPr>
          </w:p>
        </w:tc>
        <w:tc>
          <w:tcPr>
            <w:tcW w:w="661" w:type="pct"/>
            <w:vMerge/>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4E243805" w14:textId="77777777" w:rsidR="00DE1782" w:rsidRPr="00A26FD5" w:rsidRDefault="00DE1782" w:rsidP="00CC6CB7">
            <w:pPr>
              <w:jc w:val="center"/>
              <w:rPr>
                <w:b/>
                <w:bCs/>
                <w:szCs w:val="22"/>
                <w:lang w:eastAsia="en-GB"/>
              </w:rPr>
            </w:pPr>
          </w:p>
        </w:tc>
        <w:tc>
          <w:tcPr>
            <w:tcW w:w="661" w:type="pct"/>
            <w:vMerge/>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5E85E451" w14:textId="77777777" w:rsidR="00DE1782" w:rsidRPr="00A26FD5" w:rsidRDefault="00DE1782" w:rsidP="00CC6CB7">
            <w:pPr>
              <w:jc w:val="center"/>
              <w:rPr>
                <w:b/>
                <w:bCs/>
                <w:szCs w:val="22"/>
                <w:lang w:eastAsia="en-GB"/>
              </w:rPr>
            </w:pPr>
          </w:p>
        </w:tc>
        <w:tc>
          <w:tcPr>
            <w:tcW w:w="588" w:type="pct"/>
            <w:vMerge/>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5194E2B9" w14:textId="77777777" w:rsidR="00DE1782" w:rsidRPr="00A26FD5" w:rsidRDefault="00DE1782" w:rsidP="00CC6CB7">
            <w:pPr>
              <w:jc w:val="center"/>
              <w:rPr>
                <w:b/>
                <w:bCs/>
                <w:szCs w:val="22"/>
                <w:lang w:eastAsia="en-GB"/>
              </w:rPr>
            </w:pPr>
          </w:p>
        </w:tc>
        <w:tc>
          <w:tcPr>
            <w:tcW w:w="588" w:type="pct"/>
            <w:vMerge/>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57CAB13E" w14:textId="77777777" w:rsidR="00DE1782" w:rsidRPr="00A26FD5" w:rsidRDefault="00DE1782" w:rsidP="00CC6CB7">
            <w:pPr>
              <w:jc w:val="center"/>
              <w:rPr>
                <w:b/>
                <w:bCs/>
                <w:szCs w:val="22"/>
                <w:lang w:eastAsia="en-GB"/>
              </w:rPr>
            </w:pPr>
          </w:p>
        </w:tc>
        <w:tc>
          <w:tcPr>
            <w:tcW w:w="513" w:type="pct"/>
            <w:vMerge/>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15FE6FCB" w14:textId="77777777" w:rsidR="00DE1782" w:rsidRPr="00A26FD5" w:rsidRDefault="00DE1782" w:rsidP="00CC6CB7">
            <w:pPr>
              <w:jc w:val="center"/>
              <w:rPr>
                <w:b/>
                <w:bCs/>
                <w:szCs w:val="22"/>
                <w:lang w:eastAsia="en-GB"/>
              </w:rPr>
            </w:pPr>
          </w:p>
        </w:tc>
        <w:tc>
          <w:tcPr>
            <w:tcW w:w="629" w:type="pct"/>
            <w:tcBorders>
              <w:top w:val="nil"/>
              <w:left w:val="nil"/>
              <w:bottom w:val="single" w:sz="8" w:space="0" w:color="auto"/>
              <w:right w:val="single" w:sz="8" w:space="0" w:color="auto"/>
            </w:tcBorders>
            <w:shd w:val="clear" w:color="auto" w:fill="BFBFBF" w:themeFill="background1" w:themeFillShade="BF"/>
            <w:vAlign w:val="center"/>
            <w:hideMark/>
          </w:tcPr>
          <w:p w14:paraId="5D13712C" w14:textId="77777777" w:rsidR="00DE1782" w:rsidRPr="00A26FD5" w:rsidRDefault="00DE1782" w:rsidP="00CC6CB7">
            <w:pPr>
              <w:jc w:val="center"/>
              <w:rPr>
                <w:b/>
                <w:bCs/>
                <w:szCs w:val="22"/>
                <w:lang w:eastAsia="en-GB"/>
              </w:rPr>
            </w:pPr>
            <w:r w:rsidRPr="00A26FD5">
              <w:rPr>
                <w:b/>
                <w:bCs/>
                <w:szCs w:val="22"/>
                <w:lang w:eastAsia="en-GB"/>
              </w:rPr>
              <w:t>1960-2017 (UrbPop</w:t>
            </w:r>
            <w:r w:rsidRPr="00A26FD5">
              <w:rPr>
                <w:b/>
                <w:bCs/>
                <w:szCs w:val="22"/>
                <w:vertAlign w:val="subscript"/>
                <w:lang w:eastAsia="en-GB"/>
              </w:rPr>
              <w:t xml:space="preserve">2017 </w:t>
            </w:r>
            <w:r w:rsidRPr="00A26FD5">
              <w:rPr>
                <w:b/>
                <w:bCs/>
                <w:szCs w:val="22"/>
                <w:lang w:eastAsia="en-GB"/>
              </w:rPr>
              <w:t>/ UrbPop</w:t>
            </w:r>
            <w:r w:rsidRPr="00A26FD5">
              <w:rPr>
                <w:b/>
                <w:bCs/>
                <w:szCs w:val="22"/>
                <w:vertAlign w:val="subscript"/>
                <w:lang w:eastAsia="en-GB"/>
              </w:rPr>
              <w:t>1960)</w:t>
            </w:r>
          </w:p>
        </w:tc>
        <w:tc>
          <w:tcPr>
            <w:tcW w:w="629" w:type="pct"/>
            <w:tcBorders>
              <w:top w:val="nil"/>
              <w:left w:val="nil"/>
              <w:bottom w:val="nil"/>
              <w:right w:val="single" w:sz="8" w:space="0" w:color="auto"/>
            </w:tcBorders>
            <w:shd w:val="clear" w:color="auto" w:fill="BFBFBF" w:themeFill="background1" w:themeFillShade="BF"/>
            <w:vAlign w:val="center"/>
            <w:hideMark/>
          </w:tcPr>
          <w:p w14:paraId="4DE98830" w14:textId="77777777" w:rsidR="00DE1782" w:rsidRPr="00A26FD5" w:rsidRDefault="00DE1782" w:rsidP="00CC6CB7">
            <w:pPr>
              <w:jc w:val="center"/>
              <w:rPr>
                <w:b/>
                <w:bCs/>
                <w:szCs w:val="22"/>
                <w:lang w:eastAsia="en-GB"/>
              </w:rPr>
            </w:pPr>
            <w:r w:rsidRPr="00A26FD5">
              <w:rPr>
                <w:b/>
                <w:bCs/>
                <w:szCs w:val="22"/>
                <w:lang w:eastAsia="en-GB"/>
              </w:rPr>
              <w:t>2017-2050 (UrbPop</w:t>
            </w:r>
            <w:r w:rsidRPr="00A26FD5">
              <w:rPr>
                <w:b/>
                <w:bCs/>
                <w:szCs w:val="22"/>
                <w:vertAlign w:val="subscript"/>
                <w:lang w:eastAsia="en-GB"/>
              </w:rPr>
              <w:t xml:space="preserve">2050 </w:t>
            </w:r>
            <w:r w:rsidRPr="00A26FD5">
              <w:rPr>
                <w:b/>
                <w:bCs/>
                <w:szCs w:val="22"/>
                <w:lang w:eastAsia="en-GB"/>
              </w:rPr>
              <w:t>/ UrbPop</w:t>
            </w:r>
            <w:r w:rsidRPr="00A26FD5">
              <w:rPr>
                <w:b/>
                <w:bCs/>
                <w:szCs w:val="22"/>
                <w:vertAlign w:val="subscript"/>
                <w:lang w:eastAsia="en-GB"/>
              </w:rPr>
              <w:t>2017)</w:t>
            </w:r>
          </w:p>
        </w:tc>
      </w:tr>
      <w:tr w:rsidR="00DE1782" w:rsidRPr="00A26FD5" w14:paraId="3639CE4E" w14:textId="77777777" w:rsidTr="00077BB8">
        <w:trPr>
          <w:trHeight w:val="315"/>
        </w:trPr>
        <w:tc>
          <w:tcPr>
            <w:tcW w:w="731" w:type="pct"/>
            <w:tcBorders>
              <w:top w:val="nil"/>
              <w:left w:val="single" w:sz="8" w:space="0" w:color="auto"/>
              <w:bottom w:val="single" w:sz="8" w:space="0" w:color="auto"/>
              <w:right w:val="single" w:sz="8" w:space="0" w:color="auto"/>
            </w:tcBorders>
            <w:shd w:val="clear" w:color="auto" w:fill="auto"/>
            <w:vAlign w:val="center"/>
            <w:hideMark/>
          </w:tcPr>
          <w:p w14:paraId="7B999BDF" w14:textId="77777777" w:rsidR="00DE1782" w:rsidRPr="00A26FD5" w:rsidRDefault="00DE1782" w:rsidP="00596E28">
            <w:pPr>
              <w:rPr>
                <w:szCs w:val="22"/>
                <w:lang w:eastAsia="en-GB"/>
              </w:rPr>
            </w:pPr>
            <w:r w:rsidRPr="00A26FD5">
              <w:rPr>
                <w:szCs w:val="22"/>
                <w:lang w:eastAsia="en-GB"/>
              </w:rPr>
              <w:t>North America</w:t>
            </w:r>
          </w:p>
        </w:tc>
        <w:tc>
          <w:tcPr>
            <w:tcW w:w="661" w:type="pct"/>
            <w:tcBorders>
              <w:top w:val="nil"/>
              <w:left w:val="nil"/>
              <w:bottom w:val="single" w:sz="8" w:space="0" w:color="auto"/>
              <w:right w:val="single" w:sz="8" w:space="0" w:color="auto"/>
            </w:tcBorders>
            <w:shd w:val="clear" w:color="auto" w:fill="auto"/>
            <w:vAlign w:val="center"/>
            <w:hideMark/>
          </w:tcPr>
          <w:p w14:paraId="4EFDB711" w14:textId="77777777" w:rsidR="00DE1782" w:rsidRPr="00A26FD5" w:rsidRDefault="00DE1782" w:rsidP="00596E28">
            <w:pPr>
              <w:jc w:val="center"/>
              <w:rPr>
                <w:szCs w:val="22"/>
                <w:lang w:eastAsia="en-GB"/>
              </w:rPr>
            </w:pPr>
            <w:r w:rsidRPr="00A26FD5">
              <w:rPr>
                <w:szCs w:val="22"/>
                <w:lang w:eastAsia="en-GB"/>
              </w:rPr>
              <w:t>4.8</w:t>
            </w:r>
          </w:p>
        </w:tc>
        <w:tc>
          <w:tcPr>
            <w:tcW w:w="661" w:type="pct"/>
            <w:tcBorders>
              <w:top w:val="nil"/>
              <w:left w:val="nil"/>
              <w:bottom w:val="single" w:sz="8" w:space="0" w:color="auto"/>
              <w:right w:val="single" w:sz="8" w:space="0" w:color="auto"/>
            </w:tcBorders>
            <w:shd w:val="clear" w:color="auto" w:fill="auto"/>
            <w:vAlign w:val="center"/>
            <w:hideMark/>
          </w:tcPr>
          <w:p w14:paraId="7664E728" w14:textId="77777777" w:rsidR="00DE1782" w:rsidRPr="00A26FD5" w:rsidRDefault="00DE1782" w:rsidP="00596E28">
            <w:pPr>
              <w:jc w:val="center"/>
              <w:rPr>
                <w:szCs w:val="22"/>
                <w:lang w:eastAsia="en-GB"/>
              </w:rPr>
            </w:pPr>
            <w:r w:rsidRPr="00A26FD5">
              <w:rPr>
                <w:szCs w:val="22"/>
                <w:lang w:eastAsia="en-GB"/>
              </w:rPr>
              <w:t>35.9</w:t>
            </w:r>
          </w:p>
        </w:tc>
        <w:tc>
          <w:tcPr>
            <w:tcW w:w="588" w:type="pct"/>
            <w:tcBorders>
              <w:top w:val="nil"/>
              <w:left w:val="nil"/>
              <w:bottom w:val="single" w:sz="8" w:space="0" w:color="auto"/>
              <w:right w:val="single" w:sz="8" w:space="0" w:color="auto"/>
            </w:tcBorders>
            <w:shd w:val="clear" w:color="auto" w:fill="auto"/>
            <w:vAlign w:val="center"/>
            <w:hideMark/>
          </w:tcPr>
          <w:p w14:paraId="1804DD86" w14:textId="77777777" w:rsidR="00DE1782" w:rsidRPr="00A26FD5" w:rsidRDefault="00DE1782" w:rsidP="00596E28">
            <w:pPr>
              <w:jc w:val="center"/>
              <w:rPr>
                <w:szCs w:val="22"/>
                <w:lang w:eastAsia="en-GB"/>
              </w:rPr>
            </w:pPr>
            <w:r w:rsidRPr="00A26FD5">
              <w:rPr>
                <w:szCs w:val="22"/>
                <w:lang w:eastAsia="en-GB"/>
              </w:rPr>
              <w:t>1.77</w:t>
            </w:r>
          </w:p>
        </w:tc>
        <w:tc>
          <w:tcPr>
            <w:tcW w:w="588" w:type="pct"/>
            <w:tcBorders>
              <w:top w:val="nil"/>
              <w:left w:val="nil"/>
              <w:bottom w:val="single" w:sz="8" w:space="0" w:color="auto"/>
              <w:right w:val="single" w:sz="8" w:space="0" w:color="auto"/>
            </w:tcBorders>
            <w:shd w:val="clear" w:color="auto" w:fill="auto"/>
            <w:vAlign w:val="center"/>
            <w:hideMark/>
          </w:tcPr>
          <w:p w14:paraId="0DB3180D" w14:textId="77777777" w:rsidR="00DE1782" w:rsidRPr="00A26FD5" w:rsidRDefault="00DE1782" w:rsidP="00596E28">
            <w:pPr>
              <w:jc w:val="center"/>
              <w:rPr>
                <w:szCs w:val="22"/>
                <w:lang w:eastAsia="en-GB"/>
              </w:rPr>
            </w:pPr>
            <w:r w:rsidRPr="00A26FD5">
              <w:rPr>
                <w:szCs w:val="22"/>
                <w:lang w:eastAsia="en-GB"/>
              </w:rPr>
              <w:t>1.19</w:t>
            </w:r>
          </w:p>
        </w:tc>
        <w:tc>
          <w:tcPr>
            <w:tcW w:w="513" w:type="pct"/>
            <w:tcBorders>
              <w:top w:val="nil"/>
              <w:left w:val="nil"/>
              <w:bottom w:val="single" w:sz="8" w:space="0" w:color="auto"/>
              <w:right w:val="single" w:sz="8" w:space="0" w:color="auto"/>
            </w:tcBorders>
            <w:shd w:val="clear" w:color="auto" w:fill="auto"/>
            <w:vAlign w:val="center"/>
            <w:hideMark/>
          </w:tcPr>
          <w:p w14:paraId="2AAE714F" w14:textId="77777777" w:rsidR="00DE1782" w:rsidRPr="00A26FD5" w:rsidRDefault="00DE1782" w:rsidP="00596E28">
            <w:pPr>
              <w:jc w:val="center"/>
              <w:rPr>
                <w:szCs w:val="22"/>
                <w:lang w:eastAsia="en-GB"/>
              </w:rPr>
            </w:pPr>
            <w:r w:rsidRPr="00A26FD5">
              <w:rPr>
                <w:szCs w:val="22"/>
                <w:lang w:eastAsia="en-GB"/>
              </w:rPr>
              <w:t>82.8</w:t>
            </w:r>
          </w:p>
        </w:tc>
        <w:tc>
          <w:tcPr>
            <w:tcW w:w="629" w:type="pct"/>
            <w:tcBorders>
              <w:top w:val="nil"/>
              <w:left w:val="nil"/>
              <w:bottom w:val="single" w:sz="8" w:space="0" w:color="auto"/>
              <w:right w:val="nil"/>
            </w:tcBorders>
            <w:shd w:val="clear" w:color="auto" w:fill="auto"/>
            <w:vAlign w:val="center"/>
            <w:hideMark/>
          </w:tcPr>
          <w:p w14:paraId="013D9B3A" w14:textId="77777777" w:rsidR="00DE1782" w:rsidRPr="00A26FD5" w:rsidRDefault="00DE1782" w:rsidP="00596E28">
            <w:pPr>
              <w:jc w:val="center"/>
              <w:rPr>
                <w:szCs w:val="22"/>
                <w:lang w:eastAsia="en-GB"/>
              </w:rPr>
            </w:pPr>
            <w:r w:rsidRPr="00A26FD5">
              <w:rPr>
                <w:szCs w:val="22"/>
                <w:lang w:eastAsia="en-GB"/>
              </w:rPr>
              <w:t>2.11</w:t>
            </w:r>
          </w:p>
        </w:tc>
        <w:tc>
          <w:tcPr>
            <w:tcW w:w="6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78A409" w14:textId="77777777" w:rsidR="00DE1782" w:rsidRPr="00A26FD5" w:rsidRDefault="00DE1782" w:rsidP="00596E28">
            <w:pPr>
              <w:jc w:val="center"/>
              <w:rPr>
                <w:szCs w:val="22"/>
                <w:lang w:eastAsia="en-GB"/>
              </w:rPr>
            </w:pPr>
            <w:r w:rsidRPr="00A26FD5">
              <w:rPr>
                <w:szCs w:val="22"/>
                <w:lang w:eastAsia="en-GB"/>
              </w:rPr>
              <w:t>1.30</w:t>
            </w:r>
          </w:p>
        </w:tc>
      </w:tr>
      <w:tr w:rsidR="00DE1782" w:rsidRPr="00A26FD5" w14:paraId="3E59CEA4" w14:textId="77777777" w:rsidTr="00077BB8">
        <w:trPr>
          <w:trHeight w:val="315"/>
        </w:trPr>
        <w:tc>
          <w:tcPr>
            <w:tcW w:w="731" w:type="pct"/>
            <w:tcBorders>
              <w:top w:val="nil"/>
              <w:left w:val="single" w:sz="8" w:space="0" w:color="auto"/>
              <w:bottom w:val="single" w:sz="8" w:space="0" w:color="auto"/>
              <w:right w:val="single" w:sz="8" w:space="0" w:color="auto"/>
            </w:tcBorders>
            <w:shd w:val="clear" w:color="auto" w:fill="auto"/>
            <w:vAlign w:val="center"/>
            <w:hideMark/>
          </w:tcPr>
          <w:p w14:paraId="62AC4DEE" w14:textId="77777777" w:rsidR="00DE1782" w:rsidRPr="00A26FD5" w:rsidRDefault="00DE1782" w:rsidP="00596E28">
            <w:pPr>
              <w:rPr>
                <w:szCs w:val="22"/>
                <w:lang w:eastAsia="en-GB"/>
              </w:rPr>
            </w:pPr>
            <w:r w:rsidRPr="00A26FD5">
              <w:rPr>
                <w:szCs w:val="22"/>
                <w:lang w:eastAsia="en-GB"/>
              </w:rPr>
              <w:t>Mesoamerica</w:t>
            </w:r>
          </w:p>
        </w:tc>
        <w:tc>
          <w:tcPr>
            <w:tcW w:w="661" w:type="pct"/>
            <w:tcBorders>
              <w:top w:val="nil"/>
              <w:left w:val="nil"/>
              <w:bottom w:val="single" w:sz="8" w:space="0" w:color="auto"/>
              <w:right w:val="single" w:sz="8" w:space="0" w:color="auto"/>
            </w:tcBorders>
            <w:shd w:val="clear" w:color="auto" w:fill="auto"/>
            <w:vAlign w:val="center"/>
            <w:hideMark/>
          </w:tcPr>
          <w:p w14:paraId="07367F7A" w14:textId="77777777" w:rsidR="00DE1782" w:rsidRPr="00A26FD5" w:rsidRDefault="00DE1782" w:rsidP="00596E28">
            <w:pPr>
              <w:jc w:val="center"/>
              <w:rPr>
                <w:szCs w:val="22"/>
                <w:lang w:eastAsia="en-GB"/>
              </w:rPr>
            </w:pPr>
            <w:r w:rsidRPr="00A26FD5">
              <w:rPr>
                <w:szCs w:val="22"/>
                <w:lang w:eastAsia="en-GB"/>
              </w:rPr>
              <w:t>2.4</w:t>
            </w:r>
          </w:p>
        </w:tc>
        <w:tc>
          <w:tcPr>
            <w:tcW w:w="661" w:type="pct"/>
            <w:tcBorders>
              <w:top w:val="nil"/>
              <w:left w:val="nil"/>
              <w:bottom w:val="single" w:sz="8" w:space="0" w:color="auto"/>
              <w:right w:val="single" w:sz="8" w:space="0" w:color="auto"/>
            </w:tcBorders>
            <w:shd w:val="clear" w:color="auto" w:fill="auto"/>
            <w:vAlign w:val="center"/>
            <w:hideMark/>
          </w:tcPr>
          <w:p w14:paraId="50C520E5" w14:textId="77777777" w:rsidR="00DE1782" w:rsidRPr="00A26FD5" w:rsidRDefault="00DE1782" w:rsidP="00596E28">
            <w:pPr>
              <w:jc w:val="center"/>
              <w:rPr>
                <w:szCs w:val="22"/>
                <w:lang w:eastAsia="en-GB"/>
              </w:rPr>
            </w:pPr>
            <w:r w:rsidRPr="00A26FD5">
              <w:rPr>
                <w:szCs w:val="22"/>
                <w:lang w:eastAsia="en-GB"/>
              </w:rPr>
              <w:t>17.5</w:t>
            </w:r>
          </w:p>
        </w:tc>
        <w:tc>
          <w:tcPr>
            <w:tcW w:w="588" w:type="pct"/>
            <w:tcBorders>
              <w:top w:val="nil"/>
              <w:left w:val="nil"/>
              <w:bottom w:val="single" w:sz="8" w:space="0" w:color="auto"/>
              <w:right w:val="single" w:sz="8" w:space="0" w:color="auto"/>
            </w:tcBorders>
            <w:shd w:val="clear" w:color="auto" w:fill="auto"/>
            <w:vAlign w:val="center"/>
            <w:hideMark/>
          </w:tcPr>
          <w:p w14:paraId="358BC629" w14:textId="77777777" w:rsidR="00DE1782" w:rsidRPr="00A26FD5" w:rsidRDefault="00DE1782" w:rsidP="00596E28">
            <w:pPr>
              <w:jc w:val="center"/>
              <w:rPr>
                <w:szCs w:val="22"/>
                <w:lang w:eastAsia="en-GB"/>
              </w:rPr>
            </w:pPr>
            <w:r w:rsidRPr="00A26FD5">
              <w:rPr>
                <w:szCs w:val="22"/>
                <w:lang w:eastAsia="en-GB"/>
              </w:rPr>
              <w:t>3.44</w:t>
            </w:r>
          </w:p>
        </w:tc>
        <w:tc>
          <w:tcPr>
            <w:tcW w:w="588" w:type="pct"/>
            <w:tcBorders>
              <w:top w:val="nil"/>
              <w:left w:val="nil"/>
              <w:bottom w:val="single" w:sz="8" w:space="0" w:color="auto"/>
              <w:right w:val="single" w:sz="8" w:space="0" w:color="auto"/>
            </w:tcBorders>
            <w:shd w:val="clear" w:color="auto" w:fill="auto"/>
            <w:vAlign w:val="center"/>
            <w:hideMark/>
          </w:tcPr>
          <w:p w14:paraId="4E3DEBFC" w14:textId="77777777" w:rsidR="00DE1782" w:rsidRPr="00A26FD5" w:rsidRDefault="00DE1782" w:rsidP="00596E28">
            <w:pPr>
              <w:jc w:val="center"/>
              <w:rPr>
                <w:szCs w:val="22"/>
                <w:lang w:eastAsia="en-GB"/>
              </w:rPr>
            </w:pPr>
            <w:r w:rsidRPr="00A26FD5">
              <w:rPr>
                <w:szCs w:val="22"/>
                <w:lang w:eastAsia="en-GB"/>
              </w:rPr>
              <w:t>1.29</w:t>
            </w:r>
          </w:p>
        </w:tc>
        <w:tc>
          <w:tcPr>
            <w:tcW w:w="513" w:type="pct"/>
            <w:tcBorders>
              <w:top w:val="nil"/>
              <w:left w:val="nil"/>
              <w:bottom w:val="single" w:sz="8" w:space="0" w:color="auto"/>
              <w:right w:val="single" w:sz="8" w:space="0" w:color="auto"/>
            </w:tcBorders>
            <w:shd w:val="clear" w:color="auto" w:fill="auto"/>
            <w:vAlign w:val="center"/>
            <w:hideMark/>
          </w:tcPr>
          <w:p w14:paraId="3892FB43" w14:textId="77777777" w:rsidR="00DE1782" w:rsidRPr="00A26FD5" w:rsidRDefault="00DE1782" w:rsidP="00596E28">
            <w:pPr>
              <w:jc w:val="center"/>
              <w:rPr>
                <w:szCs w:val="22"/>
                <w:lang w:eastAsia="en-GB"/>
              </w:rPr>
            </w:pPr>
            <w:r w:rsidRPr="00A26FD5">
              <w:rPr>
                <w:szCs w:val="22"/>
                <w:lang w:eastAsia="en-GB"/>
              </w:rPr>
              <w:t>74</w:t>
            </w:r>
          </w:p>
        </w:tc>
        <w:tc>
          <w:tcPr>
            <w:tcW w:w="629" w:type="pct"/>
            <w:tcBorders>
              <w:top w:val="nil"/>
              <w:left w:val="nil"/>
              <w:bottom w:val="single" w:sz="8" w:space="0" w:color="auto"/>
              <w:right w:val="nil"/>
            </w:tcBorders>
            <w:shd w:val="clear" w:color="auto" w:fill="auto"/>
            <w:vAlign w:val="center"/>
            <w:hideMark/>
          </w:tcPr>
          <w:p w14:paraId="79BE1593" w14:textId="77777777" w:rsidR="00DE1782" w:rsidRPr="00A26FD5" w:rsidRDefault="00DE1782" w:rsidP="00596E28">
            <w:pPr>
              <w:jc w:val="center"/>
              <w:rPr>
                <w:szCs w:val="22"/>
                <w:lang w:eastAsia="en-GB"/>
              </w:rPr>
            </w:pPr>
            <w:r w:rsidRPr="00A26FD5">
              <w:rPr>
                <w:szCs w:val="22"/>
                <w:lang w:eastAsia="en-GB"/>
              </w:rPr>
              <w:t>5.44</w:t>
            </w:r>
          </w:p>
        </w:tc>
        <w:tc>
          <w:tcPr>
            <w:tcW w:w="629" w:type="pct"/>
            <w:tcBorders>
              <w:top w:val="nil"/>
              <w:left w:val="single" w:sz="4" w:space="0" w:color="auto"/>
              <w:bottom w:val="single" w:sz="4" w:space="0" w:color="auto"/>
              <w:right w:val="single" w:sz="4" w:space="0" w:color="auto"/>
            </w:tcBorders>
            <w:shd w:val="clear" w:color="auto" w:fill="auto"/>
            <w:vAlign w:val="center"/>
            <w:hideMark/>
          </w:tcPr>
          <w:p w14:paraId="0C4E993F" w14:textId="77777777" w:rsidR="00DE1782" w:rsidRPr="00A26FD5" w:rsidRDefault="00DE1782" w:rsidP="00596E28">
            <w:pPr>
              <w:jc w:val="center"/>
              <w:rPr>
                <w:szCs w:val="22"/>
                <w:lang w:eastAsia="en-GB"/>
              </w:rPr>
            </w:pPr>
            <w:r w:rsidRPr="00A26FD5">
              <w:rPr>
                <w:szCs w:val="22"/>
                <w:lang w:eastAsia="en-GB"/>
              </w:rPr>
              <w:t>1.43</w:t>
            </w:r>
          </w:p>
        </w:tc>
      </w:tr>
      <w:tr w:rsidR="00DE1782" w:rsidRPr="00A26FD5" w14:paraId="6633BD78" w14:textId="77777777" w:rsidTr="00077BB8">
        <w:trPr>
          <w:trHeight w:val="315"/>
        </w:trPr>
        <w:tc>
          <w:tcPr>
            <w:tcW w:w="731" w:type="pct"/>
            <w:tcBorders>
              <w:top w:val="nil"/>
              <w:left w:val="single" w:sz="8" w:space="0" w:color="auto"/>
              <w:bottom w:val="single" w:sz="8" w:space="0" w:color="auto"/>
              <w:right w:val="single" w:sz="8" w:space="0" w:color="auto"/>
            </w:tcBorders>
            <w:shd w:val="clear" w:color="auto" w:fill="auto"/>
            <w:vAlign w:val="center"/>
            <w:hideMark/>
          </w:tcPr>
          <w:p w14:paraId="165951BB" w14:textId="77777777" w:rsidR="00DE1782" w:rsidRPr="00A26FD5" w:rsidRDefault="00DE1782" w:rsidP="00596E28">
            <w:pPr>
              <w:rPr>
                <w:szCs w:val="22"/>
                <w:lang w:eastAsia="en-GB"/>
              </w:rPr>
            </w:pPr>
            <w:r w:rsidRPr="00A26FD5">
              <w:rPr>
                <w:szCs w:val="22"/>
                <w:lang w:eastAsia="en-GB"/>
              </w:rPr>
              <w:t>Caribbean</w:t>
            </w:r>
          </w:p>
        </w:tc>
        <w:tc>
          <w:tcPr>
            <w:tcW w:w="661" w:type="pct"/>
            <w:tcBorders>
              <w:top w:val="nil"/>
              <w:left w:val="nil"/>
              <w:bottom w:val="single" w:sz="8" w:space="0" w:color="auto"/>
              <w:right w:val="single" w:sz="8" w:space="0" w:color="auto"/>
            </w:tcBorders>
            <w:shd w:val="clear" w:color="auto" w:fill="auto"/>
            <w:vAlign w:val="center"/>
            <w:hideMark/>
          </w:tcPr>
          <w:p w14:paraId="7BA138D7" w14:textId="77777777" w:rsidR="00DE1782" w:rsidRPr="00A26FD5" w:rsidRDefault="00DE1782" w:rsidP="00596E28">
            <w:pPr>
              <w:jc w:val="center"/>
              <w:rPr>
                <w:szCs w:val="22"/>
                <w:lang w:eastAsia="en-GB"/>
              </w:rPr>
            </w:pPr>
            <w:r w:rsidRPr="00A26FD5">
              <w:rPr>
                <w:szCs w:val="22"/>
                <w:lang w:eastAsia="en-GB"/>
              </w:rPr>
              <w:t>0.6</w:t>
            </w:r>
          </w:p>
        </w:tc>
        <w:tc>
          <w:tcPr>
            <w:tcW w:w="661" w:type="pct"/>
            <w:tcBorders>
              <w:top w:val="nil"/>
              <w:left w:val="nil"/>
              <w:bottom w:val="single" w:sz="8" w:space="0" w:color="auto"/>
              <w:right w:val="single" w:sz="8" w:space="0" w:color="auto"/>
            </w:tcBorders>
            <w:shd w:val="clear" w:color="auto" w:fill="auto"/>
            <w:vAlign w:val="center"/>
            <w:hideMark/>
          </w:tcPr>
          <w:p w14:paraId="730E7C00" w14:textId="77777777" w:rsidR="00DE1782" w:rsidRPr="00A26FD5" w:rsidRDefault="00DE1782" w:rsidP="00596E28">
            <w:pPr>
              <w:jc w:val="center"/>
              <w:rPr>
                <w:szCs w:val="22"/>
                <w:lang w:eastAsia="en-GB"/>
              </w:rPr>
            </w:pPr>
            <w:r w:rsidRPr="00A26FD5">
              <w:rPr>
                <w:szCs w:val="22"/>
                <w:lang w:eastAsia="en-GB"/>
              </w:rPr>
              <w:t>4.3</w:t>
            </w:r>
          </w:p>
        </w:tc>
        <w:tc>
          <w:tcPr>
            <w:tcW w:w="588" w:type="pct"/>
            <w:tcBorders>
              <w:top w:val="nil"/>
              <w:left w:val="nil"/>
              <w:bottom w:val="single" w:sz="8" w:space="0" w:color="auto"/>
              <w:right w:val="single" w:sz="8" w:space="0" w:color="auto"/>
            </w:tcBorders>
            <w:shd w:val="clear" w:color="auto" w:fill="auto"/>
            <w:vAlign w:val="center"/>
            <w:hideMark/>
          </w:tcPr>
          <w:p w14:paraId="0DB7FB6C" w14:textId="77777777" w:rsidR="00DE1782" w:rsidRPr="00A26FD5" w:rsidRDefault="00DE1782" w:rsidP="00596E28">
            <w:pPr>
              <w:jc w:val="center"/>
              <w:rPr>
                <w:szCs w:val="22"/>
                <w:lang w:eastAsia="en-GB"/>
              </w:rPr>
            </w:pPr>
            <w:r w:rsidRPr="00A26FD5">
              <w:rPr>
                <w:szCs w:val="22"/>
                <w:lang w:eastAsia="en-GB"/>
              </w:rPr>
              <w:t>2.11</w:t>
            </w:r>
          </w:p>
        </w:tc>
        <w:tc>
          <w:tcPr>
            <w:tcW w:w="588" w:type="pct"/>
            <w:tcBorders>
              <w:top w:val="nil"/>
              <w:left w:val="nil"/>
              <w:bottom w:val="single" w:sz="8" w:space="0" w:color="auto"/>
              <w:right w:val="single" w:sz="8" w:space="0" w:color="auto"/>
            </w:tcBorders>
            <w:shd w:val="clear" w:color="auto" w:fill="auto"/>
            <w:vAlign w:val="center"/>
            <w:hideMark/>
          </w:tcPr>
          <w:p w14:paraId="6635159B" w14:textId="77777777" w:rsidR="00DE1782" w:rsidRPr="00A26FD5" w:rsidRDefault="00DE1782" w:rsidP="00596E28">
            <w:pPr>
              <w:jc w:val="center"/>
              <w:rPr>
                <w:szCs w:val="22"/>
                <w:lang w:eastAsia="en-GB"/>
              </w:rPr>
            </w:pPr>
            <w:r w:rsidRPr="00A26FD5">
              <w:rPr>
                <w:szCs w:val="22"/>
                <w:lang w:eastAsia="en-GB"/>
              </w:rPr>
              <w:t>1.10</w:t>
            </w:r>
          </w:p>
        </w:tc>
        <w:tc>
          <w:tcPr>
            <w:tcW w:w="513" w:type="pct"/>
            <w:tcBorders>
              <w:top w:val="nil"/>
              <w:left w:val="nil"/>
              <w:bottom w:val="single" w:sz="8" w:space="0" w:color="auto"/>
              <w:right w:val="single" w:sz="8" w:space="0" w:color="auto"/>
            </w:tcBorders>
            <w:shd w:val="clear" w:color="auto" w:fill="auto"/>
            <w:vAlign w:val="center"/>
            <w:hideMark/>
          </w:tcPr>
          <w:p w14:paraId="1D8ABE11" w14:textId="77777777" w:rsidR="00DE1782" w:rsidRPr="00A26FD5" w:rsidRDefault="00DE1782" w:rsidP="00596E28">
            <w:pPr>
              <w:jc w:val="center"/>
              <w:rPr>
                <w:szCs w:val="22"/>
                <w:lang w:eastAsia="en-GB"/>
              </w:rPr>
            </w:pPr>
            <w:r w:rsidRPr="00A26FD5">
              <w:rPr>
                <w:szCs w:val="22"/>
                <w:lang w:eastAsia="en-GB"/>
              </w:rPr>
              <w:t>71.2</w:t>
            </w:r>
          </w:p>
        </w:tc>
        <w:tc>
          <w:tcPr>
            <w:tcW w:w="629" w:type="pct"/>
            <w:tcBorders>
              <w:top w:val="nil"/>
              <w:left w:val="nil"/>
              <w:bottom w:val="single" w:sz="8" w:space="0" w:color="auto"/>
              <w:right w:val="nil"/>
            </w:tcBorders>
            <w:shd w:val="clear" w:color="auto" w:fill="auto"/>
            <w:vAlign w:val="center"/>
            <w:hideMark/>
          </w:tcPr>
          <w:p w14:paraId="6EAA5516" w14:textId="77777777" w:rsidR="00DE1782" w:rsidRPr="00A26FD5" w:rsidRDefault="00DE1782" w:rsidP="00596E28">
            <w:pPr>
              <w:jc w:val="center"/>
              <w:rPr>
                <w:szCs w:val="22"/>
                <w:lang w:eastAsia="en-GB"/>
              </w:rPr>
            </w:pPr>
            <w:r w:rsidRPr="00A26FD5">
              <w:rPr>
                <w:szCs w:val="22"/>
                <w:lang w:eastAsia="en-GB"/>
              </w:rPr>
              <w:t>3.78</w:t>
            </w:r>
          </w:p>
        </w:tc>
        <w:tc>
          <w:tcPr>
            <w:tcW w:w="629" w:type="pct"/>
            <w:tcBorders>
              <w:top w:val="nil"/>
              <w:left w:val="single" w:sz="4" w:space="0" w:color="auto"/>
              <w:bottom w:val="single" w:sz="4" w:space="0" w:color="auto"/>
              <w:right w:val="single" w:sz="4" w:space="0" w:color="auto"/>
            </w:tcBorders>
            <w:shd w:val="clear" w:color="auto" w:fill="auto"/>
            <w:vAlign w:val="center"/>
            <w:hideMark/>
          </w:tcPr>
          <w:p w14:paraId="178F0EB4" w14:textId="77777777" w:rsidR="00DE1782" w:rsidRPr="00A26FD5" w:rsidRDefault="00DE1782" w:rsidP="00596E28">
            <w:pPr>
              <w:jc w:val="center"/>
              <w:rPr>
                <w:szCs w:val="22"/>
                <w:lang w:eastAsia="en-GB"/>
              </w:rPr>
            </w:pPr>
            <w:r w:rsidRPr="00A26FD5">
              <w:rPr>
                <w:szCs w:val="22"/>
                <w:lang w:eastAsia="en-GB"/>
              </w:rPr>
              <w:t>1.23</w:t>
            </w:r>
          </w:p>
        </w:tc>
      </w:tr>
      <w:tr w:rsidR="00DE1782" w:rsidRPr="00A26FD5" w14:paraId="01FE543C" w14:textId="77777777" w:rsidTr="00077BB8">
        <w:trPr>
          <w:trHeight w:val="315"/>
        </w:trPr>
        <w:tc>
          <w:tcPr>
            <w:tcW w:w="731" w:type="pct"/>
            <w:tcBorders>
              <w:top w:val="nil"/>
              <w:left w:val="single" w:sz="8" w:space="0" w:color="auto"/>
              <w:bottom w:val="single" w:sz="8" w:space="0" w:color="auto"/>
              <w:right w:val="single" w:sz="8" w:space="0" w:color="auto"/>
            </w:tcBorders>
            <w:shd w:val="clear" w:color="auto" w:fill="auto"/>
            <w:vAlign w:val="center"/>
            <w:hideMark/>
          </w:tcPr>
          <w:p w14:paraId="69F899A1" w14:textId="77777777" w:rsidR="00DE1782" w:rsidRPr="00A26FD5" w:rsidRDefault="00DE1782" w:rsidP="00596E28">
            <w:pPr>
              <w:rPr>
                <w:szCs w:val="22"/>
                <w:lang w:eastAsia="en-GB"/>
              </w:rPr>
            </w:pPr>
            <w:r w:rsidRPr="00A26FD5">
              <w:rPr>
                <w:szCs w:val="22"/>
                <w:lang w:eastAsia="en-GB"/>
              </w:rPr>
              <w:t>South America</w:t>
            </w:r>
          </w:p>
        </w:tc>
        <w:tc>
          <w:tcPr>
            <w:tcW w:w="661" w:type="pct"/>
            <w:tcBorders>
              <w:top w:val="nil"/>
              <w:left w:val="nil"/>
              <w:bottom w:val="single" w:sz="8" w:space="0" w:color="auto"/>
              <w:right w:val="single" w:sz="8" w:space="0" w:color="auto"/>
            </w:tcBorders>
            <w:shd w:val="clear" w:color="auto" w:fill="auto"/>
            <w:vAlign w:val="center"/>
            <w:hideMark/>
          </w:tcPr>
          <w:p w14:paraId="012AAB0E" w14:textId="77777777" w:rsidR="00DE1782" w:rsidRPr="00A26FD5" w:rsidRDefault="00DE1782" w:rsidP="00596E28">
            <w:pPr>
              <w:jc w:val="center"/>
              <w:rPr>
                <w:szCs w:val="22"/>
                <w:lang w:eastAsia="en-GB"/>
              </w:rPr>
            </w:pPr>
            <w:r w:rsidRPr="00A26FD5">
              <w:rPr>
                <w:szCs w:val="22"/>
                <w:lang w:eastAsia="en-GB"/>
              </w:rPr>
              <w:t>5.7</w:t>
            </w:r>
          </w:p>
        </w:tc>
        <w:tc>
          <w:tcPr>
            <w:tcW w:w="661" w:type="pct"/>
            <w:tcBorders>
              <w:top w:val="nil"/>
              <w:left w:val="nil"/>
              <w:bottom w:val="single" w:sz="8" w:space="0" w:color="auto"/>
              <w:right w:val="single" w:sz="8" w:space="0" w:color="auto"/>
            </w:tcBorders>
            <w:shd w:val="clear" w:color="auto" w:fill="auto"/>
            <w:vAlign w:val="center"/>
            <w:hideMark/>
          </w:tcPr>
          <w:p w14:paraId="5CF0EB56" w14:textId="77777777" w:rsidR="00DE1782" w:rsidRPr="00A26FD5" w:rsidRDefault="00DE1782" w:rsidP="00596E28">
            <w:pPr>
              <w:jc w:val="center"/>
              <w:rPr>
                <w:szCs w:val="22"/>
                <w:lang w:eastAsia="en-GB"/>
              </w:rPr>
            </w:pPr>
            <w:r w:rsidRPr="00A26FD5">
              <w:rPr>
                <w:szCs w:val="22"/>
                <w:lang w:eastAsia="en-GB"/>
              </w:rPr>
              <w:t>42.2</w:t>
            </w:r>
          </w:p>
        </w:tc>
        <w:tc>
          <w:tcPr>
            <w:tcW w:w="588" w:type="pct"/>
            <w:tcBorders>
              <w:top w:val="nil"/>
              <w:left w:val="nil"/>
              <w:bottom w:val="single" w:sz="8" w:space="0" w:color="auto"/>
              <w:right w:val="single" w:sz="8" w:space="0" w:color="auto"/>
            </w:tcBorders>
            <w:shd w:val="clear" w:color="auto" w:fill="auto"/>
            <w:vAlign w:val="center"/>
            <w:hideMark/>
          </w:tcPr>
          <w:p w14:paraId="21812560" w14:textId="77777777" w:rsidR="00DE1782" w:rsidRPr="00A26FD5" w:rsidRDefault="00DE1782" w:rsidP="00596E28">
            <w:pPr>
              <w:jc w:val="center"/>
              <w:rPr>
                <w:szCs w:val="22"/>
                <w:lang w:eastAsia="en-GB"/>
              </w:rPr>
            </w:pPr>
            <w:r w:rsidRPr="00A26FD5">
              <w:rPr>
                <w:szCs w:val="22"/>
                <w:lang w:eastAsia="en-GB"/>
              </w:rPr>
              <w:t>2.86</w:t>
            </w:r>
          </w:p>
        </w:tc>
        <w:tc>
          <w:tcPr>
            <w:tcW w:w="588" w:type="pct"/>
            <w:tcBorders>
              <w:top w:val="nil"/>
              <w:left w:val="nil"/>
              <w:bottom w:val="single" w:sz="8" w:space="0" w:color="auto"/>
              <w:right w:val="single" w:sz="8" w:space="0" w:color="auto"/>
            </w:tcBorders>
            <w:shd w:val="clear" w:color="auto" w:fill="auto"/>
            <w:vAlign w:val="center"/>
            <w:hideMark/>
          </w:tcPr>
          <w:p w14:paraId="72839EBA" w14:textId="77777777" w:rsidR="00DE1782" w:rsidRPr="00A26FD5" w:rsidRDefault="00DE1782" w:rsidP="00596E28">
            <w:pPr>
              <w:jc w:val="center"/>
              <w:rPr>
                <w:szCs w:val="22"/>
                <w:lang w:eastAsia="en-GB"/>
              </w:rPr>
            </w:pPr>
            <w:r w:rsidRPr="00A26FD5">
              <w:rPr>
                <w:szCs w:val="22"/>
                <w:lang w:eastAsia="en-GB"/>
              </w:rPr>
              <w:t>1.19</w:t>
            </w:r>
          </w:p>
        </w:tc>
        <w:tc>
          <w:tcPr>
            <w:tcW w:w="513" w:type="pct"/>
            <w:tcBorders>
              <w:top w:val="nil"/>
              <w:left w:val="nil"/>
              <w:bottom w:val="single" w:sz="8" w:space="0" w:color="auto"/>
              <w:right w:val="single" w:sz="8" w:space="0" w:color="auto"/>
            </w:tcBorders>
            <w:shd w:val="clear" w:color="auto" w:fill="auto"/>
            <w:vAlign w:val="center"/>
            <w:hideMark/>
          </w:tcPr>
          <w:p w14:paraId="3E6D3105" w14:textId="77777777" w:rsidR="00DE1782" w:rsidRPr="00A26FD5" w:rsidRDefault="00DE1782" w:rsidP="00596E28">
            <w:pPr>
              <w:jc w:val="center"/>
              <w:rPr>
                <w:szCs w:val="22"/>
                <w:lang w:eastAsia="en-GB"/>
              </w:rPr>
            </w:pPr>
            <w:r w:rsidRPr="00A26FD5">
              <w:rPr>
                <w:szCs w:val="22"/>
                <w:lang w:eastAsia="en-GB"/>
              </w:rPr>
              <w:t>83</w:t>
            </w:r>
          </w:p>
        </w:tc>
        <w:tc>
          <w:tcPr>
            <w:tcW w:w="629" w:type="pct"/>
            <w:tcBorders>
              <w:top w:val="nil"/>
              <w:left w:val="nil"/>
              <w:bottom w:val="single" w:sz="8" w:space="0" w:color="auto"/>
              <w:right w:val="nil"/>
            </w:tcBorders>
            <w:shd w:val="clear" w:color="auto" w:fill="auto"/>
            <w:vAlign w:val="center"/>
            <w:hideMark/>
          </w:tcPr>
          <w:p w14:paraId="7DFE5292" w14:textId="77777777" w:rsidR="00DE1782" w:rsidRPr="00A26FD5" w:rsidRDefault="00DE1782" w:rsidP="00596E28">
            <w:pPr>
              <w:jc w:val="center"/>
              <w:rPr>
                <w:szCs w:val="22"/>
                <w:lang w:eastAsia="en-GB"/>
              </w:rPr>
            </w:pPr>
            <w:r w:rsidRPr="00A26FD5">
              <w:rPr>
                <w:szCs w:val="22"/>
                <w:lang w:eastAsia="en-GB"/>
              </w:rPr>
              <w:t>4.64</w:t>
            </w:r>
          </w:p>
        </w:tc>
        <w:tc>
          <w:tcPr>
            <w:tcW w:w="629" w:type="pct"/>
            <w:tcBorders>
              <w:top w:val="nil"/>
              <w:left w:val="single" w:sz="4" w:space="0" w:color="auto"/>
              <w:bottom w:val="single" w:sz="4" w:space="0" w:color="auto"/>
              <w:right w:val="single" w:sz="4" w:space="0" w:color="auto"/>
            </w:tcBorders>
            <w:shd w:val="clear" w:color="auto" w:fill="auto"/>
            <w:vAlign w:val="center"/>
            <w:hideMark/>
          </w:tcPr>
          <w:p w14:paraId="20B2AF5D" w14:textId="77777777" w:rsidR="00DE1782" w:rsidRPr="00A26FD5" w:rsidRDefault="00DE1782" w:rsidP="00596E28">
            <w:pPr>
              <w:jc w:val="center"/>
              <w:rPr>
                <w:szCs w:val="22"/>
                <w:lang w:eastAsia="en-GB"/>
              </w:rPr>
            </w:pPr>
            <w:r w:rsidRPr="00A26FD5">
              <w:rPr>
                <w:szCs w:val="22"/>
                <w:lang w:eastAsia="en-GB"/>
              </w:rPr>
              <w:t>1.27</w:t>
            </w:r>
          </w:p>
        </w:tc>
      </w:tr>
      <w:tr w:rsidR="00DE1782" w:rsidRPr="00A26FD5" w14:paraId="382B37B6" w14:textId="77777777" w:rsidTr="00077BB8">
        <w:trPr>
          <w:trHeight w:val="143"/>
        </w:trPr>
        <w:tc>
          <w:tcPr>
            <w:tcW w:w="731" w:type="pct"/>
            <w:tcBorders>
              <w:top w:val="nil"/>
              <w:left w:val="single" w:sz="8" w:space="0" w:color="auto"/>
              <w:bottom w:val="single" w:sz="8" w:space="0" w:color="auto"/>
              <w:right w:val="single" w:sz="8" w:space="0" w:color="auto"/>
            </w:tcBorders>
            <w:shd w:val="clear" w:color="auto" w:fill="auto"/>
            <w:vAlign w:val="center"/>
            <w:hideMark/>
          </w:tcPr>
          <w:p w14:paraId="14F24649" w14:textId="270EE3E3" w:rsidR="00DE1782" w:rsidRPr="00A26FD5" w:rsidRDefault="000F7048" w:rsidP="00596E28">
            <w:pPr>
              <w:rPr>
                <w:b/>
                <w:bCs/>
                <w:szCs w:val="22"/>
                <w:lang w:eastAsia="en-GB"/>
              </w:rPr>
            </w:pPr>
            <w:r w:rsidRPr="00A26FD5">
              <w:rPr>
                <w:b/>
                <w:bCs/>
                <w:szCs w:val="22"/>
                <w:lang w:eastAsia="en-GB"/>
              </w:rPr>
              <w:t>Americas</w:t>
            </w:r>
          </w:p>
        </w:tc>
        <w:tc>
          <w:tcPr>
            <w:tcW w:w="661" w:type="pct"/>
            <w:tcBorders>
              <w:top w:val="nil"/>
              <w:left w:val="nil"/>
              <w:bottom w:val="single" w:sz="8" w:space="0" w:color="auto"/>
              <w:right w:val="single" w:sz="8" w:space="0" w:color="auto"/>
            </w:tcBorders>
            <w:shd w:val="clear" w:color="auto" w:fill="auto"/>
            <w:vAlign w:val="center"/>
            <w:hideMark/>
          </w:tcPr>
          <w:p w14:paraId="2D7F12C0" w14:textId="77777777" w:rsidR="00DE1782" w:rsidRPr="00A26FD5" w:rsidRDefault="00DE1782" w:rsidP="00596E28">
            <w:pPr>
              <w:jc w:val="center"/>
              <w:rPr>
                <w:b/>
                <w:bCs/>
                <w:szCs w:val="22"/>
                <w:lang w:eastAsia="en-GB"/>
              </w:rPr>
            </w:pPr>
            <w:r w:rsidRPr="00A26FD5">
              <w:rPr>
                <w:b/>
                <w:bCs/>
                <w:szCs w:val="22"/>
                <w:lang w:eastAsia="en-GB"/>
              </w:rPr>
              <w:t>13.5</w:t>
            </w:r>
          </w:p>
        </w:tc>
        <w:tc>
          <w:tcPr>
            <w:tcW w:w="661" w:type="pct"/>
            <w:tcBorders>
              <w:top w:val="nil"/>
              <w:left w:val="nil"/>
              <w:bottom w:val="single" w:sz="8" w:space="0" w:color="auto"/>
              <w:right w:val="single" w:sz="8" w:space="0" w:color="auto"/>
            </w:tcBorders>
            <w:shd w:val="clear" w:color="auto" w:fill="auto"/>
            <w:vAlign w:val="center"/>
            <w:hideMark/>
          </w:tcPr>
          <w:p w14:paraId="7EFF0B04" w14:textId="77777777" w:rsidR="00DE1782" w:rsidRPr="00A26FD5" w:rsidRDefault="00DE1782" w:rsidP="00596E28">
            <w:pPr>
              <w:jc w:val="center"/>
              <w:rPr>
                <w:b/>
                <w:bCs/>
                <w:szCs w:val="22"/>
                <w:lang w:eastAsia="en-GB"/>
              </w:rPr>
            </w:pPr>
            <w:r w:rsidRPr="00A26FD5">
              <w:rPr>
                <w:b/>
                <w:bCs/>
                <w:szCs w:val="22"/>
                <w:lang w:eastAsia="en-GB"/>
              </w:rPr>
              <w:t>100</w:t>
            </w:r>
          </w:p>
        </w:tc>
        <w:tc>
          <w:tcPr>
            <w:tcW w:w="588" w:type="pct"/>
            <w:tcBorders>
              <w:top w:val="nil"/>
              <w:left w:val="nil"/>
              <w:bottom w:val="single" w:sz="8" w:space="0" w:color="auto"/>
              <w:right w:val="single" w:sz="8" w:space="0" w:color="auto"/>
            </w:tcBorders>
            <w:shd w:val="clear" w:color="auto" w:fill="auto"/>
            <w:vAlign w:val="center"/>
            <w:hideMark/>
          </w:tcPr>
          <w:p w14:paraId="19568C4C" w14:textId="77777777" w:rsidR="00DE1782" w:rsidRPr="00A26FD5" w:rsidRDefault="00DE1782" w:rsidP="00596E28">
            <w:pPr>
              <w:jc w:val="center"/>
              <w:rPr>
                <w:b/>
                <w:bCs/>
                <w:szCs w:val="22"/>
                <w:lang w:eastAsia="en-GB"/>
              </w:rPr>
            </w:pPr>
            <w:r w:rsidRPr="00A26FD5">
              <w:rPr>
                <w:b/>
                <w:bCs/>
                <w:szCs w:val="22"/>
                <w:lang w:eastAsia="en-GB"/>
              </w:rPr>
              <w:t>2.38</w:t>
            </w:r>
          </w:p>
        </w:tc>
        <w:tc>
          <w:tcPr>
            <w:tcW w:w="588" w:type="pct"/>
            <w:tcBorders>
              <w:top w:val="nil"/>
              <w:left w:val="nil"/>
              <w:bottom w:val="single" w:sz="8" w:space="0" w:color="auto"/>
              <w:right w:val="single" w:sz="8" w:space="0" w:color="auto"/>
            </w:tcBorders>
            <w:shd w:val="clear" w:color="auto" w:fill="auto"/>
            <w:vAlign w:val="center"/>
            <w:hideMark/>
          </w:tcPr>
          <w:p w14:paraId="2850EC32" w14:textId="77777777" w:rsidR="00DE1782" w:rsidRPr="00A26FD5" w:rsidRDefault="00DE1782" w:rsidP="00596E28">
            <w:pPr>
              <w:jc w:val="center"/>
              <w:rPr>
                <w:b/>
                <w:bCs/>
                <w:szCs w:val="22"/>
                <w:lang w:eastAsia="en-GB"/>
              </w:rPr>
            </w:pPr>
            <w:r w:rsidRPr="00A26FD5">
              <w:rPr>
                <w:b/>
                <w:bCs/>
                <w:szCs w:val="22"/>
                <w:lang w:eastAsia="en-GB"/>
              </w:rPr>
              <w:t>1.20</w:t>
            </w:r>
          </w:p>
        </w:tc>
        <w:tc>
          <w:tcPr>
            <w:tcW w:w="513" w:type="pct"/>
            <w:tcBorders>
              <w:top w:val="nil"/>
              <w:left w:val="nil"/>
              <w:bottom w:val="single" w:sz="8" w:space="0" w:color="auto"/>
              <w:right w:val="single" w:sz="8" w:space="0" w:color="auto"/>
            </w:tcBorders>
            <w:shd w:val="clear" w:color="auto" w:fill="auto"/>
            <w:vAlign w:val="center"/>
            <w:hideMark/>
          </w:tcPr>
          <w:p w14:paraId="4381F090" w14:textId="77777777" w:rsidR="00DE1782" w:rsidRPr="00A26FD5" w:rsidRDefault="00DE1782" w:rsidP="00596E28">
            <w:pPr>
              <w:jc w:val="center"/>
              <w:rPr>
                <w:b/>
                <w:bCs/>
                <w:szCs w:val="22"/>
                <w:lang w:eastAsia="en-GB"/>
              </w:rPr>
            </w:pPr>
            <w:r w:rsidRPr="00A26FD5">
              <w:rPr>
                <w:b/>
                <w:bCs/>
                <w:szCs w:val="22"/>
                <w:lang w:eastAsia="en-GB"/>
              </w:rPr>
              <w:t>80.8</w:t>
            </w:r>
          </w:p>
        </w:tc>
        <w:tc>
          <w:tcPr>
            <w:tcW w:w="629" w:type="pct"/>
            <w:tcBorders>
              <w:top w:val="nil"/>
              <w:left w:val="nil"/>
              <w:bottom w:val="single" w:sz="8" w:space="0" w:color="auto"/>
              <w:right w:val="nil"/>
            </w:tcBorders>
            <w:shd w:val="clear" w:color="auto" w:fill="auto"/>
            <w:vAlign w:val="center"/>
            <w:hideMark/>
          </w:tcPr>
          <w:p w14:paraId="6AF69934" w14:textId="77777777" w:rsidR="00DE1782" w:rsidRPr="00A26FD5" w:rsidRDefault="00DE1782" w:rsidP="00596E28">
            <w:pPr>
              <w:jc w:val="center"/>
              <w:rPr>
                <w:b/>
                <w:bCs/>
                <w:szCs w:val="22"/>
                <w:lang w:eastAsia="en-GB"/>
              </w:rPr>
            </w:pPr>
            <w:r w:rsidRPr="00A26FD5">
              <w:rPr>
                <w:b/>
                <w:bCs/>
                <w:szCs w:val="22"/>
                <w:lang w:eastAsia="en-GB"/>
              </w:rPr>
              <w:t>3.25</w:t>
            </w:r>
          </w:p>
        </w:tc>
        <w:tc>
          <w:tcPr>
            <w:tcW w:w="629" w:type="pct"/>
            <w:tcBorders>
              <w:top w:val="nil"/>
              <w:left w:val="single" w:sz="4" w:space="0" w:color="auto"/>
              <w:bottom w:val="single" w:sz="4" w:space="0" w:color="auto"/>
              <w:right w:val="single" w:sz="4" w:space="0" w:color="auto"/>
            </w:tcBorders>
            <w:shd w:val="clear" w:color="auto" w:fill="auto"/>
            <w:vAlign w:val="center"/>
            <w:hideMark/>
          </w:tcPr>
          <w:p w14:paraId="11605861" w14:textId="77777777" w:rsidR="00DE1782" w:rsidRPr="00A26FD5" w:rsidRDefault="00DE1782" w:rsidP="00596E28">
            <w:pPr>
              <w:jc w:val="center"/>
              <w:rPr>
                <w:b/>
                <w:bCs/>
                <w:szCs w:val="22"/>
                <w:lang w:eastAsia="en-GB"/>
              </w:rPr>
            </w:pPr>
            <w:r w:rsidRPr="00A26FD5">
              <w:rPr>
                <w:b/>
                <w:bCs/>
                <w:szCs w:val="22"/>
                <w:lang w:eastAsia="en-GB"/>
              </w:rPr>
              <w:t>1.30</w:t>
            </w:r>
          </w:p>
        </w:tc>
      </w:tr>
    </w:tbl>
    <w:p w14:paraId="6BBA4138" w14:textId="4507593A" w:rsidR="00DE1782" w:rsidRPr="008608AA" w:rsidRDefault="00DE1782" w:rsidP="00DE1782">
      <w:pPr>
        <w:rPr>
          <w:color w:val="0000FF" w:themeColor="hyperlink"/>
          <w:sz w:val="20"/>
          <w:szCs w:val="20"/>
          <w:u w:val="single"/>
        </w:rPr>
      </w:pPr>
      <w:r w:rsidRPr="008608AA">
        <w:rPr>
          <w:rFonts w:eastAsia="Calibri"/>
          <w:sz w:val="20"/>
          <w:szCs w:val="20"/>
        </w:rPr>
        <w:t xml:space="preserve">Source: </w:t>
      </w:r>
      <w:r w:rsidR="009E4D36" w:rsidRPr="008608AA">
        <w:rPr>
          <w:sz w:val="20"/>
          <w:szCs w:val="20"/>
        </w:rPr>
        <w:t>Based on Worldometers</w:t>
      </w:r>
      <w:r w:rsidRPr="008608AA">
        <w:rPr>
          <w:sz w:val="20"/>
          <w:szCs w:val="20"/>
        </w:rPr>
        <w:t xml:space="preserve"> </w:t>
      </w:r>
      <w:r w:rsidR="009E4D36" w:rsidRPr="008608AA">
        <w:rPr>
          <w:sz w:val="20"/>
          <w:szCs w:val="20"/>
        </w:rPr>
        <w:t>(</w:t>
      </w:r>
      <w:r w:rsidRPr="008608AA">
        <w:rPr>
          <w:sz w:val="20"/>
          <w:szCs w:val="20"/>
        </w:rPr>
        <w:t>2017</w:t>
      </w:r>
      <w:r w:rsidR="009E4D36" w:rsidRPr="008608AA">
        <w:rPr>
          <w:sz w:val="20"/>
          <w:szCs w:val="20"/>
        </w:rPr>
        <w:t>)</w:t>
      </w:r>
      <w:r w:rsidR="00134787" w:rsidRPr="008608AA">
        <w:rPr>
          <w:sz w:val="20"/>
          <w:szCs w:val="20"/>
        </w:rPr>
        <w:t xml:space="preserve">. Accessed </w:t>
      </w:r>
      <w:r w:rsidRPr="008608AA">
        <w:rPr>
          <w:sz w:val="20"/>
          <w:szCs w:val="20"/>
        </w:rPr>
        <w:t>May</w:t>
      </w:r>
      <w:r w:rsidR="00134787" w:rsidRPr="008608AA">
        <w:rPr>
          <w:sz w:val="20"/>
          <w:szCs w:val="20"/>
        </w:rPr>
        <w:t xml:space="preserve"> 2, 2017, and</w:t>
      </w:r>
      <w:r w:rsidRPr="008608AA">
        <w:rPr>
          <w:sz w:val="20"/>
          <w:szCs w:val="20"/>
        </w:rPr>
        <w:t xml:space="preserve"> September</w:t>
      </w:r>
      <w:r w:rsidR="00134787" w:rsidRPr="008608AA">
        <w:rPr>
          <w:sz w:val="20"/>
          <w:szCs w:val="20"/>
        </w:rPr>
        <w:t xml:space="preserve"> 3,</w:t>
      </w:r>
      <w:r w:rsidRPr="008608AA">
        <w:rPr>
          <w:sz w:val="20"/>
          <w:szCs w:val="20"/>
        </w:rPr>
        <w:t xml:space="preserve"> 2017 at </w:t>
      </w:r>
      <w:hyperlink r:id="rId975" w:history="1">
        <w:r w:rsidRPr="008608AA">
          <w:rPr>
            <w:rStyle w:val="Hyperlink"/>
            <w:sz w:val="20"/>
            <w:szCs w:val="20"/>
          </w:rPr>
          <w:t>http://www.worldometers.info/world-population/population-by-region/</w:t>
        </w:r>
      </w:hyperlink>
    </w:p>
    <w:p w14:paraId="17B584A1" w14:textId="77777777" w:rsidR="00CC6CB7" w:rsidRPr="008608AA" w:rsidRDefault="00CC6CB7" w:rsidP="00976E9A">
      <w:pPr>
        <w:spacing w:before="120"/>
      </w:pPr>
    </w:p>
    <w:p w14:paraId="18FFA342" w14:textId="2459B850" w:rsidR="001E61A6" w:rsidRPr="008608AA" w:rsidRDefault="001E61A6" w:rsidP="00CC6CB7">
      <w:pPr>
        <w:spacing w:before="120"/>
      </w:pPr>
      <w:r w:rsidRPr="008608AA">
        <w:t>The USA, Brazil, and Mexico are by far the most pop</w:t>
      </w:r>
      <w:r w:rsidR="000F7048" w:rsidRPr="008608AA">
        <w:t xml:space="preserve">ulous countries of the region. </w:t>
      </w:r>
      <w:r w:rsidRPr="008608AA">
        <w:t>Population densities vary widely throughout the region, as do population growth rates.</w:t>
      </w:r>
    </w:p>
    <w:p w14:paraId="2226DF8A" w14:textId="2228E06B" w:rsidR="001E61A6" w:rsidRPr="008608AA" w:rsidRDefault="001E61A6" w:rsidP="00CC6CB7">
      <w:pPr>
        <w:spacing w:before="120"/>
        <w:rPr>
          <w:rFonts w:eastAsia="Calibri"/>
        </w:rPr>
      </w:pPr>
      <w:r w:rsidRPr="008608AA">
        <w:t xml:space="preserve">Population growth rates throughout the region have generally fallen substantially since 1960. This is less true for the Caribbean </w:t>
      </w:r>
      <w:r w:rsidR="007C45FD" w:rsidRPr="008608AA">
        <w:t>sub</w:t>
      </w:r>
      <w:r w:rsidR="006C4053" w:rsidRPr="008608AA">
        <w:t xml:space="preserve">region as a whole. </w:t>
      </w:r>
      <w:r w:rsidRPr="008608AA">
        <w:t xml:space="preserve">Several countries’ annual population growth rates have been more volatile than their </w:t>
      </w:r>
      <w:r w:rsidR="007C45FD" w:rsidRPr="008608AA">
        <w:t>sub</w:t>
      </w:r>
      <w:r w:rsidRPr="008608AA">
        <w:t>region’s overall trend: Greenland in North America, Belize in Mesoamerica, Grenada and Antigua &amp; Barbuda in the Caribbean, and Guyana and Suriname in South America (World Bank, 2017</w:t>
      </w:r>
      <w:r w:rsidRPr="008608AA">
        <w:rPr>
          <w:rStyle w:val="FootnoteReference"/>
          <w:lang w:val="en-GB"/>
        </w:rPr>
        <w:footnoteReference w:id="28"/>
      </w:r>
      <w:r w:rsidRPr="008608AA">
        <w:t>).</w:t>
      </w:r>
    </w:p>
    <w:p w14:paraId="4FFA9906" w14:textId="75B757D2" w:rsidR="001E61A6" w:rsidRPr="008608AA" w:rsidRDefault="001E61A6" w:rsidP="00CC6CB7">
      <w:pPr>
        <w:spacing w:before="120"/>
        <w:rPr>
          <w:rFonts w:eastAsia="Calibri"/>
        </w:rPr>
      </w:pPr>
      <w:r w:rsidRPr="008608AA">
        <w:rPr>
          <w:rFonts w:eastAsia="Calibri"/>
        </w:rPr>
        <w:t>Population trends have an important role in explaining changes in natural resources and biodiversity</w:t>
      </w:r>
      <w:r w:rsidR="00165F74" w:rsidRPr="008608AA">
        <w:rPr>
          <w:rFonts w:eastAsia="Calibri"/>
        </w:rPr>
        <w:t xml:space="preserve"> (</w:t>
      </w:r>
      <w:r w:rsidR="00D849EA" w:rsidRPr="008608AA">
        <w:rPr>
          <w:rFonts w:eastAsia="Calibri"/>
        </w:rPr>
        <w:t>Table 4.9</w:t>
      </w:r>
      <w:r w:rsidR="008B68E6" w:rsidRPr="008608AA">
        <w:rPr>
          <w:rFonts w:eastAsia="Calibri"/>
        </w:rPr>
        <w:t xml:space="preserve"> and</w:t>
      </w:r>
      <w:r w:rsidR="00D849EA" w:rsidRPr="008608AA">
        <w:rPr>
          <w:rFonts w:eastAsia="Calibri"/>
        </w:rPr>
        <w:t xml:space="preserve"> Table 4.10</w:t>
      </w:r>
      <w:r w:rsidRPr="008608AA">
        <w:rPr>
          <w:rFonts w:eastAsia="Calibri"/>
        </w:rPr>
        <w:t xml:space="preserve">). Population growth has been identified as a key driver of global greenhouse gasses emissions </w:t>
      </w:r>
      <w:r w:rsidRPr="008608AA">
        <w:rPr>
          <w:rFonts w:eastAsia="Calibri"/>
        </w:rPr>
        <w:fldChar w:fldCharType="begin" w:fldLock="1"/>
      </w:r>
      <w:r w:rsidRPr="008608AA">
        <w:rPr>
          <w:rFonts w:eastAsia="Calibri"/>
        </w:rPr>
        <w:instrText>ADDIN CSL_CITATION { "citationItems" : [ { "id" : "ITEM-1", "itemData" : { "author" : [ { "dropping-particle" : "", "family" : "Intergovernmental Panel on Climate Change", "given" : "", "non-dropping-particle" : "", "parse-names" : false, "suffix" : "" } ], "container-title" : "Ipcc", "id" : "ITEM-1", "issued" : { "date-parts" : [ [ "2014" ] ] }, "title" : "Climate Change 2014 Synthesis Report Summary Chapter for Policymakers", "type" : "report" }, "uris" : [ "http://www.mendeley.com/documents/?uuid=af901f59-8752-4b71-be1b-90b699e09a14" ] } ], "mendeley" : { "formattedCitation" : "(Intergovernmental Panel on Climate Change 2014)", "plainTextFormattedCitation" : "(Intergovernmental Panel on Climate Change 2014)", "previouslyFormattedCitation" : "(Intergovernmental Panel on Climate Change 2014)" }, "properties" : { "noteIndex" : 0 }, "schema" : "https://github.com/citation-style-language/schema/raw/master/csl-citation.json" }</w:instrText>
      </w:r>
      <w:r w:rsidRPr="008608AA">
        <w:rPr>
          <w:rFonts w:eastAsia="Calibri"/>
        </w:rPr>
        <w:fldChar w:fldCharType="separate"/>
      </w:r>
      <w:r w:rsidR="000F7048" w:rsidRPr="008608AA">
        <w:rPr>
          <w:rFonts w:eastAsia="Calibri"/>
        </w:rPr>
        <w:t>(IPCC,</w:t>
      </w:r>
      <w:r w:rsidRPr="008608AA">
        <w:rPr>
          <w:rFonts w:eastAsia="Calibri"/>
        </w:rPr>
        <w:t xml:space="preserve"> 2014</w:t>
      </w:r>
      <w:r w:rsidR="000656BE" w:rsidRPr="008608AA">
        <w:rPr>
          <w:rFonts w:eastAsia="Calibri"/>
        </w:rPr>
        <w:t>a</w:t>
      </w:r>
      <w:r w:rsidRPr="008608AA">
        <w:rPr>
          <w:rFonts w:eastAsia="Calibri"/>
        </w:rPr>
        <w:t>)</w:t>
      </w:r>
      <w:r w:rsidRPr="008608AA">
        <w:rPr>
          <w:rFonts w:eastAsia="Calibri"/>
        </w:rPr>
        <w:fldChar w:fldCharType="end"/>
      </w:r>
      <w:r w:rsidRPr="008608AA">
        <w:rPr>
          <w:rFonts w:eastAsia="Calibri"/>
        </w:rPr>
        <w:t xml:space="preserve">. However, the analysis of population growth, as an indirect driver of changes in </w:t>
      </w:r>
      <w:r w:rsidR="00E84F4D" w:rsidRPr="008608AA">
        <w:rPr>
          <w:rFonts w:eastAsia="Calibri"/>
        </w:rPr>
        <w:t>n</w:t>
      </w:r>
      <w:r w:rsidRPr="008608AA">
        <w:rPr>
          <w:rFonts w:eastAsia="Calibri"/>
        </w:rPr>
        <w:t>ature and NCP</w:t>
      </w:r>
      <w:r w:rsidRPr="008608AA">
        <w:t xml:space="preserve"> </w:t>
      </w:r>
      <w:r w:rsidRPr="008608AA">
        <w:rPr>
          <w:rFonts w:eastAsia="Calibri"/>
        </w:rPr>
        <w:t>needs to be completed by including the consumption patterns and life-sty</w:t>
      </w:r>
      <w:r w:rsidR="00EF7F26" w:rsidRPr="008608AA">
        <w:rPr>
          <w:rFonts w:eastAsia="Calibri"/>
        </w:rPr>
        <w:t xml:space="preserve">les considerations (Pichs, 2008, </w:t>
      </w:r>
      <w:r w:rsidRPr="008608AA">
        <w:rPr>
          <w:rFonts w:eastAsia="Calibri"/>
        </w:rPr>
        <w:t xml:space="preserve">2012). </w:t>
      </w:r>
    </w:p>
    <w:p w14:paraId="5BCD5218" w14:textId="21B6F65C" w:rsidR="00976E9A" w:rsidRPr="008608AA" w:rsidRDefault="001E61A6" w:rsidP="00CC6CB7">
      <w:pPr>
        <w:spacing w:before="240"/>
        <w:rPr>
          <w:rFonts w:eastAsia="Calibri"/>
        </w:rPr>
      </w:pPr>
      <w:r w:rsidRPr="008608AA">
        <w:rPr>
          <w:rFonts w:eastAsia="Calibri"/>
        </w:rPr>
        <w:t>The global middle class is expected to grow from 1.8 billion in 2009 to 4.9 billion by 2030. Much of this will occur in developing countries (including Latin America and the Caribbean)</w:t>
      </w:r>
      <w:r w:rsidR="006155AF" w:rsidRPr="008608AA">
        <w:rPr>
          <w:rFonts w:eastAsia="Calibri"/>
        </w:rPr>
        <w:t xml:space="preserve"> where 70% </w:t>
      </w:r>
      <w:r w:rsidRPr="008608AA">
        <w:rPr>
          <w:rFonts w:eastAsia="Calibri"/>
        </w:rPr>
        <w:t>of global economic activity will emerge by 2050. With this trend comes increasing demand for energy, infrastructure, and consumer goods (Runde and Magpile, 2014</w:t>
      </w:r>
      <w:r w:rsidR="00EF7F26" w:rsidRPr="008608AA">
        <w:rPr>
          <w:rFonts w:eastAsia="Calibri"/>
        </w:rPr>
        <w:t>;</w:t>
      </w:r>
      <w:r w:rsidRPr="008608AA">
        <w:rPr>
          <w:rFonts w:eastAsia="Calibri"/>
        </w:rPr>
        <w:t xml:space="preserve"> Myers </w:t>
      </w:r>
      <w:r w:rsidR="00EF7F26" w:rsidRPr="008608AA">
        <w:rPr>
          <w:rFonts w:eastAsia="Calibri"/>
        </w:rPr>
        <w:t>&amp;</w:t>
      </w:r>
      <w:r w:rsidRPr="008608AA">
        <w:rPr>
          <w:rFonts w:eastAsia="Calibri"/>
        </w:rPr>
        <w:t xml:space="preserve"> Kent, 2003). </w:t>
      </w:r>
    </w:p>
    <w:p w14:paraId="6ED35788" w14:textId="646924A0" w:rsidR="001E61A6" w:rsidRPr="008608AA" w:rsidRDefault="00CC6CB7" w:rsidP="00CC6CB7">
      <w:pPr>
        <w:pStyle w:val="Caption"/>
      </w:pPr>
      <w:bookmarkStart w:id="1413" w:name="_Toc494482724"/>
      <w:bookmarkStart w:id="1414" w:name="_Toc499459693"/>
      <w:bookmarkStart w:id="1415" w:name="_Hlk494357462"/>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10</w:t>
      </w:r>
      <w:r w:rsidR="000E562E">
        <w:rPr>
          <w:noProof/>
        </w:rPr>
        <w:fldChar w:fldCharType="end"/>
      </w:r>
      <w:r w:rsidRPr="008608AA">
        <w:t xml:space="preserve">. </w:t>
      </w:r>
      <w:r w:rsidR="001E61A6" w:rsidRPr="008608AA">
        <w:t>Combining population growth with per capita consumption of natural resources and assessing the level of pressures on biodiversity and ecosystems.</w:t>
      </w:r>
      <w:bookmarkEnd w:id="1413"/>
      <w:bookmarkEnd w:id="1414"/>
    </w:p>
    <w:bookmarkEnd w:id="1415"/>
    <w:p w14:paraId="0FD6A790" w14:textId="1AF036EF" w:rsidR="001A4A35" w:rsidRPr="008608AA" w:rsidRDefault="000D1D96" w:rsidP="001A4A35">
      <w:pPr>
        <w:spacing w:before="120"/>
        <w:jc w:val="center"/>
        <w:rPr>
          <w:rFonts w:eastAsia="Calibri"/>
        </w:rPr>
      </w:pPr>
      <w:r w:rsidRPr="008608AA">
        <w:rPr>
          <w:rFonts w:eastAsia="Calibri"/>
          <w:noProof/>
          <w:lang w:val="en-GB" w:eastAsia="en-GB"/>
        </w:rPr>
        <w:drawing>
          <wp:inline distT="0" distB="0" distL="0" distR="0" wp14:anchorId="14A660C3" wp14:editId="7A7D7679">
            <wp:extent cx="5934075" cy="2457450"/>
            <wp:effectExtent l="0" t="0" r="9525" b="0"/>
            <wp:docPr id="2092" name="Imagen 2092" descr="C:\Users\Alejandro Valderrama\Downloads\Table 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1" descr="C:\Users\Alejandro Valderrama\Downloads\Table 4.10.jpg"/>
                    <pic:cNvPicPr>
                      <a:picLocks noChangeAspect="1" noChangeArrowheads="1"/>
                    </pic:cNvPicPr>
                  </pic:nvPicPr>
                  <pic:blipFill rotWithShape="1">
                    <a:blip r:embed="rId976">
                      <a:extLst>
                        <a:ext uri="{28A0092B-C50C-407E-A947-70E740481C1C}">
                          <a14:useLocalDpi xmlns:a14="http://schemas.microsoft.com/office/drawing/2010/main" val="0"/>
                        </a:ext>
                      </a:extLst>
                    </a:blip>
                    <a:srcRect b="71269"/>
                    <a:stretch/>
                  </pic:blipFill>
                  <pic:spPr bwMode="auto">
                    <a:xfrm>
                      <a:off x="0" y="0"/>
                      <a:ext cx="5934075" cy="2457450"/>
                    </a:xfrm>
                    <a:prstGeom prst="rect">
                      <a:avLst/>
                    </a:prstGeom>
                    <a:noFill/>
                    <a:ln>
                      <a:noFill/>
                    </a:ln>
                    <a:extLst>
                      <a:ext uri="{53640926-AAD7-44D8-BBD7-CCE9431645EC}">
                        <a14:shadowObscured xmlns:a14="http://schemas.microsoft.com/office/drawing/2010/main"/>
                      </a:ext>
                    </a:extLst>
                  </pic:spPr>
                </pic:pic>
              </a:graphicData>
            </a:graphic>
          </wp:inline>
        </w:drawing>
      </w:r>
    </w:p>
    <w:p w14:paraId="13DB9B70" w14:textId="38E6F171" w:rsidR="001E61A6" w:rsidRPr="008608AA" w:rsidRDefault="001E61A6" w:rsidP="00CC6CB7">
      <w:pPr>
        <w:spacing w:before="120"/>
        <w:rPr>
          <w:rFonts w:eastAsia="Calibri"/>
        </w:rPr>
      </w:pPr>
      <w:r w:rsidRPr="008608AA">
        <w:rPr>
          <w:rFonts w:eastAsia="Calibri"/>
        </w:rPr>
        <w:t>Population growth projections for the Americas range from around 10% (in the Caribbean) to near 30% (in Mesoamerica) between the years 2017 and 2050. At the same time, GDP projections range from 3.1 to 3.7 times in the developing regions of the Americas (around 70% in North America) in relation to the 2017 levels by 2050. Consequently, core baseline scenarios regarding the consumption of natural resources and energy in the Americas would be mainly driven by GDP growth, and population growth, as relevant drivers (Ruijven et al., 2016).</w:t>
      </w:r>
    </w:p>
    <w:p w14:paraId="0EF92D8C" w14:textId="77777777" w:rsidR="00CC6CB7" w:rsidRPr="008608AA" w:rsidRDefault="00CC6CB7" w:rsidP="00CC6CB7">
      <w:pPr>
        <w:spacing w:before="120"/>
        <w:rPr>
          <w:rFonts w:eastAsia="Calibri"/>
        </w:rPr>
      </w:pPr>
    </w:p>
    <w:p w14:paraId="6AE6C817" w14:textId="08550CBC" w:rsidR="001E61A6" w:rsidRPr="008608AA" w:rsidRDefault="001E61A6" w:rsidP="00CC6CB7">
      <w:pPr>
        <w:pStyle w:val="Heading3"/>
      </w:pPr>
      <w:bookmarkStart w:id="1416" w:name="_Toc499459671"/>
      <w:bookmarkStart w:id="1417" w:name="_Toc503293136"/>
      <w:bookmarkStart w:id="1418" w:name="_Toc503293734"/>
      <w:bookmarkStart w:id="1419" w:name="_Toc503293996"/>
      <w:bookmarkStart w:id="1420" w:name="_Toc503863389"/>
      <w:bookmarkStart w:id="1421" w:name="_Toc503863617"/>
      <w:bookmarkStart w:id="1422" w:name="_Toc517393338"/>
      <w:bookmarkStart w:id="1423" w:name="_Toc517394395"/>
      <w:bookmarkStart w:id="1424" w:name="_Toc517719079"/>
      <w:bookmarkStart w:id="1425" w:name="_Toc517797036"/>
      <w:r w:rsidRPr="008608AA">
        <w:t>Human development</w:t>
      </w:r>
      <w:bookmarkEnd w:id="1416"/>
      <w:bookmarkEnd w:id="1417"/>
      <w:bookmarkEnd w:id="1418"/>
      <w:bookmarkEnd w:id="1419"/>
      <w:bookmarkEnd w:id="1420"/>
      <w:bookmarkEnd w:id="1421"/>
      <w:bookmarkEnd w:id="1422"/>
      <w:bookmarkEnd w:id="1423"/>
      <w:bookmarkEnd w:id="1424"/>
      <w:bookmarkEnd w:id="1425"/>
    </w:p>
    <w:p w14:paraId="3297013C" w14:textId="333641D5" w:rsidR="001E61A6" w:rsidRPr="008608AA" w:rsidRDefault="001E61A6" w:rsidP="00CC6CB7">
      <w:pPr>
        <w:spacing w:before="120"/>
        <w:rPr>
          <w:rFonts w:eastAsia="Calibri"/>
        </w:rPr>
      </w:pPr>
      <w:r w:rsidRPr="008608AA">
        <w:rPr>
          <w:rFonts w:eastAsia="Calibri"/>
        </w:rPr>
        <w:t xml:space="preserve">Analysis of the various dimensions of human development is critical for assessing the wide range of indirect drivers for changes in </w:t>
      </w:r>
      <w:r w:rsidR="00DE1782" w:rsidRPr="008608AA">
        <w:t>n</w:t>
      </w:r>
      <w:r w:rsidRPr="008608AA">
        <w:t xml:space="preserve">ature and NCP. </w:t>
      </w:r>
      <w:r w:rsidRPr="008608AA">
        <w:rPr>
          <w:rFonts w:eastAsia="Calibri"/>
        </w:rPr>
        <w:t>Several social indicators and aggregated indexes may be useful for achieving that assessment purpose, including the Human Development Index (HDI) that can provide information on the share of population in extreme poverty, income distribution (e.g. Gini coefficient), educational attainment (e.g. access, literacy level), health (e.g. access to public health, health care infrastructure, expectancy of life), social expenditure / GDP (e.g. education, health), and food security (e.g.</w:t>
      </w:r>
      <w:r w:rsidR="006155AF" w:rsidRPr="008608AA">
        <w:rPr>
          <w:rFonts w:eastAsia="Calibri"/>
        </w:rPr>
        <w:t xml:space="preserve"> </w:t>
      </w:r>
      <w:r w:rsidRPr="008608AA">
        <w:rPr>
          <w:rFonts w:eastAsia="Calibri"/>
        </w:rPr>
        <w:t>number and % of hungry people)</w:t>
      </w:r>
      <w:r w:rsidR="006155AF" w:rsidRPr="008608AA">
        <w:rPr>
          <w:rFonts w:eastAsia="Calibri"/>
        </w:rPr>
        <w:t xml:space="preserve"> (s</w:t>
      </w:r>
      <w:r w:rsidR="00DE1782" w:rsidRPr="008608AA">
        <w:rPr>
          <w:rFonts w:eastAsia="Calibri"/>
        </w:rPr>
        <w:t xml:space="preserve">ee Chapter 2,  section </w:t>
      </w:r>
      <w:r w:rsidRPr="008608AA">
        <w:rPr>
          <w:rFonts w:eastAsia="Calibri"/>
        </w:rPr>
        <w:t xml:space="preserve">2.6). </w:t>
      </w:r>
    </w:p>
    <w:p w14:paraId="66171D68" w14:textId="29D38C82" w:rsidR="001E61A6" w:rsidRPr="008608AA" w:rsidRDefault="001E61A6" w:rsidP="00CC6CB7">
      <w:pPr>
        <w:spacing w:before="120"/>
        <w:rPr>
          <w:rFonts w:eastAsia="Calibri"/>
        </w:rPr>
      </w:pPr>
      <w:r w:rsidRPr="008608AA">
        <w:t xml:space="preserve">Social inequity is still a concern for the various </w:t>
      </w:r>
      <w:r w:rsidR="007C45FD" w:rsidRPr="008608AA">
        <w:t>sub</w:t>
      </w:r>
      <w:r w:rsidRPr="008608AA">
        <w:t>regions of the Americas,</w:t>
      </w:r>
      <w:r w:rsidR="00DE1782" w:rsidRPr="008608AA">
        <w:t xml:space="preserve"> with adverse implications for </w:t>
      </w:r>
      <w:r w:rsidR="00134787" w:rsidRPr="008608AA">
        <w:t>nature</w:t>
      </w:r>
      <w:r w:rsidRPr="008608AA">
        <w:t>, NCP and good quality of life. On the one hand, poor people in the Americas often in</w:t>
      </w:r>
      <w:r w:rsidR="00DE1782" w:rsidRPr="008608AA">
        <w:t>crease the demand pressures on n</w:t>
      </w:r>
      <w:r w:rsidRPr="008608AA">
        <w:t xml:space="preserve">ature merely to survive. On the other hand, high per capita consumption by affluent segments of the population also increases pressure on natural resources in. </w:t>
      </w:r>
      <w:r w:rsidRPr="008608AA">
        <w:rPr>
          <w:rFonts w:eastAsia="Calibri"/>
        </w:rPr>
        <w:t>This discussion is very relevant in the context of the global debate on multidimensional progress (PNUD, 2016) and the SDG, particularly for key areas of social development like poverty and hunger eradication, as well as access to education, health, safe water and sustainable energy.</w:t>
      </w:r>
    </w:p>
    <w:p w14:paraId="1FD00AFB" w14:textId="4EF8E5CB" w:rsidR="001E61A6" w:rsidRPr="008608AA" w:rsidRDefault="001E61A6" w:rsidP="00CC6CB7">
      <w:pPr>
        <w:spacing w:before="120"/>
        <w:rPr>
          <w:rFonts w:eastAsia="Calibri"/>
        </w:rPr>
      </w:pPr>
      <w:bookmarkStart w:id="1426" w:name="_Hlk494357494"/>
      <w:r w:rsidRPr="008608AA">
        <w:rPr>
          <w:rFonts w:eastAsia="Calibri"/>
        </w:rPr>
        <w:t>In 2015, Mesoamerica showed the lowest regional HDI</w:t>
      </w:r>
      <w:r w:rsidR="00DE1782" w:rsidRPr="008608AA">
        <w:rPr>
          <w:rFonts w:eastAsia="Calibri"/>
        </w:rPr>
        <w:t xml:space="preserve"> </w:t>
      </w:r>
      <w:r w:rsidRPr="008608AA">
        <w:rPr>
          <w:rFonts w:eastAsia="Calibri"/>
        </w:rPr>
        <w:t>in the Western Hemisphere, which was below the average levels for Latin America and the Caribbean countries (0.7310), the Americas (0.7418), and the world (0.7170). Haiti had the lowest country-specific HDI in the Americas (0.4930), even below the corresponding level for Sub-Saharan Africa (0.5230). Inequality Adjusted HDI was considerably lower than HDI in the Americas (by 21%), in Latin America and the Caribbean countries (by 22%) and in North America (by 11.1%) (</w:t>
      </w:r>
      <w:r w:rsidRPr="008608AA">
        <w:rPr>
          <w:rFonts w:eastAsia="Calibri"/>
          <w:b/>
        </w:rPr>
        <w:fldChar w:fldCharType="begin"/>
      </w:r>
      <w:r w:rsidRPr="008608AA">
        <w:rPr>
          <w:rFonts w:eastAsia="Calibri"/>
        </w:rPr>
        <w:instrText xml:space="preserve"> REF _Ref494457042 \h </w:instrText>
      </w:r>
      <w:r w:rsidRPr="008608AA">
        <w:rPr>
          <w:rFonts w:eastAsia="Calibri"/>
          <w:b/>
        </w:rPr>
        <w:instrText xml:space="preserve"> \* MERGEFORMAT </w:instrText>
      </w:r>
      <w:r w:rsidRPr="008608AA">
        <w:rPr>
          <w:rFonts w:eastAsia="Calibri"/>
          <w:b/>
        </w:rPr>
      </w:r>
      <w:r w:rsidRPr="008608AA">
        <w:rPr>
          <w:rFonts w:eastAsia="Calibri"/>
          <w:b/>
        </w:rPr>
        <w:fldChar w:fldCharType="separate"/>
      </w:r>
      <w:r w:rsidR="00402074" w:rsidRPr="00402074">
        <w:rPr>
          <w:rFonts w:eastAsia="Calibri"/>
          <w:bCs/>
        </w:rPr>
        <w:t>¡Error! No se encuentra el origen de la referencia.</w:t>
      </w:r>
      <w:r w:rsidRPr="008608AA">
        <w:rPr>
          <w:rFonts w:eastAsia="Calibri"/>
          <w:b/>
        </w:rPr>
        <w:fldChar w:fldCharType="end"/>
      </w:r>
      <w:r w:rsidRPr="008608AA">
        <w:rPr>
          <w:rFonts w:eastAsia="Calibri"/>
        </w:rPr>
        <w:t>).</w:t>
      </w:r>
    </w:p>
    <w:p w14:paraId="0B41FDC1" w14:textId="65FE2DB5" w:rsidR="001E61A6" w:rsidRPr="008608AA" w:rsidRDefault="001E61A6" w:rsidP="00CC6CB7">
      <w:pPr>
        <w:spacing w:before="120"/>
        <w:rPr>
          <w:rFonts w:eastAsia="Calibri"/>
        </w:rPr>
      </w:pPr>
      <w:r w:rsidRPr="008608AA">
        <w:rPr>
          <w:rFonts w:eastAsia="Calibri"/>
        </w:rPr>
        <w:t>Country-specific HDI values and trends indicate that most countries of the Americas rank as “very high” or “high” human developm</w:t>
      </w:r>
      <w:r w:rsidR="006155AF" w:rsidRPr="008608AA">
        <w:rPr>
          <w:rFonts w:eastAsia="Calibri"/>
        </w:rPr>
        <w:t>ent within the world community.</w:t>
      </w:r>
      <w:r w:rsidRPr="008608AA">
        <w:rPr>
          <w:rFonts w:eastAsia="Calibri"/>
        </w:rPr>
        <w:t xml:space="preserve"> However, four Mesoamerican and three South American countries have HDI values that rate their human development as “medium” within the world community, while Haiti’s HDI falls very low in the world rankings (UNDP, 2016). </w:t>
      </w:r>
    </w:p>
    <w:p w14:paraId="7DB07BEC" w14:textId="48D172E6" w:rsidR="001E61A6" w:rsidRPr="008608AA" w:rsidRDefault="001E61A6" w:rsidP="00CC6CB7">
      <w:pPr>
        <w:spacing w:before="120"/>
      </w:pPr>
      <w:r w:rsidRPr="008608AA">
        <w:t xml:space="preserve">Average HDI values for all regions of the Americas improved from 2010 to 2015, representing widespread regional gains in incomes, education, and socioeconomic factors that increase life expectancy.  Despite those overall improvements, HDI scores for 18 countries in the region dropped in the worldwide rankings between 2010 and 2015, indicating a failure to match gains in human development </w:t>
      </w:r>
      <w:r w:rsidR="006155AF" w:rsidRPr="008608AA">
        <w:t xml:space="preserve">at a more international level. </w:t>
      </w:r>
      <w:r w:rsidRPr="008608AA">
        <w:t xml:space="preserve">Of these 18 countries, half are in the Caribbean </w:t>
      </w:r>
      <w:r w:rsidR="007C45FD" w:rsidRPr="008608AA">
        <w:t>sub</w:t>
      </w:r>
      <w:r w:rsidRPr="008608AA">
        <w:t>region.</w:t>
      </w:r>
    </w:p>
    <w:p w14:paraId="4C4B7C64" w14:textId="77777777" w:rsidR="00FB64ED" w:rsidRPr="008608AA" w:rsidRDefault="001E61A6" w:rsidP="00CC6CB7">
      <w:pPr>
        <w:spacing w:before="120"/>
        <w:rPr>
          <w:szCs w:val="22"/>
        </w:rPr>
      </w:pPr>
      <w:r w:rsidRPr="008608AA">
        <w:rPr>
          <w:szCs w:val="22"/>
        </w:rPr>
        <w:t>Cuba (with 48 points) and Barbados (20 points) lea</w:t>
      </w:r>
      <w:r w:rsidR="006155AF" w:rsidRPr="008608AA">
        <w:rPr>
          <w:szCs w:val="22"/>
        </w:rPr>
        <w:t>d the list of countries of the W</w:t>
      </w:r>
      <w:r w:rsidRPr="008608AA">
        <w:rPr>
          <w:szCs w:val="22"/>
        </w:rPr>
        <w:t xml:space="preserve">estern </w:t>
      </w:r>
      <w:r w:rsidR="006155AF" w:rsidRPr="008608AA">
        <w:rPr>
          <w:szCs w:val="22"/>
        </w:rPr>
        <w:t>H</w:t>
      </w:r>
      <w:r w:rsidRPr="008608AA">
        <w:rPr>
          <w:szCs w:val="22"/>
        </w:rPr>
        <w:t xml:space="preserve">emisphere where the </w:t>
      </w:r>
      <w:r w:rsidR="006155AF" w:rsidRPr="008608AA">
        <w:rPr>
          <w:szCs w:val="22"/>
        </w:rPr>
        <w:t>“g</w:t>
      </w:r>
      <w:r w:rsidRPr="008608AA">
        <w:rPr>
          <w:szCs w:val="22"/>
        </w:rPr>
        <w:t xml:space="preserve">ross </w:t>
      </w:r>
      <w:r w:rsidR="00DE1782" w:rsidRPr="008608AA">
        <w:rPr>
          <w:szCs w:val="22"/>
        </w:rPr>
        <w:t>national i</w:t>
      </w:r>
      <w:r w:rsidRPr="008608AA">
        <w:rPr>
          <w:szCs w:val="22"/>
        </w:rPr>
        <w:t>ncome ranks minus HDI rank” shows positive results, indicating that their human development achievements go far beyond those derived from their gross national income. These results may be associated, for instance, with more efficient allocation of economic resources to social goals like education and health (UNDP, 2016).</w:t>
      </w:r>
    </w:p>
    <w:p w14:paraId="41D6369A" w14:textId="5E487A71" w:rsidR="00CC6CB7" w:rsidRPr="00A3137A" w:rsidRDefault="001E61A6" w:rsidP="00CC6CB7">
      <w:pPr>
        <w:spacing w:before="120"/>
        <w:rPr>
          <w:rFonts w:eastAsia="Calibri"/>
          <w:szCs w:val="22"/>
          <w:lang w:val="es-ES"/>
        </w:rPr>
      </w:pPr>
      <w:r w:rsidRPr="008608AA">
        <w:rPr>
          <w:szCs w:val="22"/>
        </w:rPr>
        <w:t>Income inequality i</w:t>
      </w:r>
      <w:r w:rsidR="006155AF" w:rsidRPr="008608AA">
        <w:rPr>
          <w:szCs w:val="22"/>
        </w:rPr>
        <w:t>s high in the Americas overall.</w:t>
      </w:r>
      <w:r w:rsidRPr="008608AA">
        <w:rPr>
          <w:szCs w:val="22"/>
        </w:rPr>
        <w:t xml:space="preserve"> Most countries in the region have a degree of income inequality (reflected in low international ranks in terms of equality and high Gini coefficients) that ranks among the world’s 50 most unequal nations. This is particularly true of countries in the Mesoamerican and South American </w:t>
      </w:r>
      <w:r w:rsidR="007C45FD" w:rsidRPr="008608AA">
        <w:rPr>
          <w:szCs w:val="22"/>
        </w:rPr>
        <w:t>sub</w:t>
      </w:r>
      <w:r w:rsidRPr="008608AA">
        <w:rPr>
          <w:szCs w:val="22"/>
        </w:rPr>
        <w:t>regions (Index Mundi, 2017</w:t>
      </w:r>
      <w:r w:rsidRPr="008608AA">
        <w:rPr>
          <w:rStyle w:val="FootnoteReference"/>
        </w:rPr>
        <w:footnoteReference w:id="29"/>
      </w:r>
      <w:r w:rsidRPr="008608AA">
        <w:rPr>
          <w:szCs w:val="22"/>
        </w:rPr>
        <w:t xml:space="preserve">). The ratio of </w:t>
      </w:r>
      <w:r w:rsidRPr="008608AA">
        <w:rPr>
          <w:rFonts w:eastAsia="Calibri"/>
          <w:szCs w:val="22"/>
        </w:rPr>
        <w:t>inequality-adjusted</w:t>
      </w:r>
      <w:r w:rsidRPr="008608AA">
        <w:rPr>
          <w:szCs w:val="22"/>
        </w:rPr>
        <w:t xml:space="preserve"> -HDI/HDI shows that inequality is constraining the region’s societies from realizing their human development potential </w:t>
      </w:r>
      <w:r w:rsidRPr="008608AA">
        <w:rPr>
          <w:rFonts w:eastAsia="Calibri"/>
          <w:szCs w:val="22"/>
        </w:rPr>
        <w:t>(</w:t>
      </w:r>
      <w:r w:rsidRPr="008608AA">
        <w:rPr>
          <w:rFonts w:eastAsia="Calibri"/>
          <w:b/>
          <w:szCs w:val="22"/>
        </w:rPr>
        <w:fldChar w:fldCharType="begin"/>
      </w:r>
      <w:r w:rsidRPr="008608AA">
        <w:rPr>
          <w:rFonts w:eastAsia="Calibri"/>
          <w:szCs w:val="22"/>
        </w:rPr>
        <w:instrText xml:space="preserve"> REF _Ref494457042 \h </w:instrText>
      </w:r>
      <w:r w:rsidR="00DE1782" w:rsidRPr="008608AA">
        <w:rPr>
          <w:rFonts w:eastAsia="Calibri"/>
          <w:b/>
          <w:szCs w:val="22"/>
        </w:rPr>
        <w:instrText xml:space="preserve"> \* MERGEFORMAT </w:instrText>
      </w:r>
      <w:r w:rsidRPr="008608AA">
        <w:rPr>
          <w:rFonts w:eastAsia="Calibri"/>
          <w:b/>
          <w:szCs w:val="22"/>
        </w:rPr>
      </w:r>
      <w:r w:rsidRPr="008608AA">
        <w:rPr>
          <w:rFonts w:eastAsia="Calibri"/>
          <w:b/>
          <w:szCs w:val="22"/>
        </w:rPr>
        <w:fldChar w:fldCharType="separate"/>
      </w:r>
      <w:r w:rsidR="00402074" w:rsidRPr="00402074">
        <w:rPr>
          <w:rFonts w:eastAsia="Calibri"/>
          <w:bCs/>
          <w:szCs w:val="22"/>
        </w:rPr>
        <w:t xml:space="preserve">¡Error! </w:t>
      </w:r>
      <w:r w:rsidR="00402074">
        <w:rPr>
          <w:rFonts w:eastAsia="Calibri"/>
          <w:bCs/>
          <w:szCs w:val="22"/>
          <w:lang w:val="es-ES"/>
        </w:rPr>
        <w:t>No se encuentra el origen de la referencia.</w:t>
      </w:r>
      <w:r w:rsidRPr="008608AA">
        <w:rPr>
          <w:rFonts w:eastAsia="Calibri"/>
          <w:b/>
          <w:szCs w:val="22"/>
        </w:rPr>
        <w:fldChar w:fldCharType="end"/>
      </w:r>
      <w:r w:rsidRPr="00A3137A">
        <w:rPr>
          <w:rFonts w:eastAsia="Calibri"/>
          <w:szCs w:val="22"/>
          <w:lang w:val="es-ES"/>
        </w:rPr>
        <w:t>).</w:t>
      </w:r>
    </w:p>
    <w:p w14:paraId="306CCC3B" w14:textId="38449BC2" w:rsidR="001E61A6" w:rsidRPr="00A3137A" w:rsidRDefault="00CC6CB7" w:rsidP="00CC6CB7">
      <w:pPr>
        <w:pStyle w:val="Caption"/>
        <w:rPr>
          <w:rFonts w:eastAsia="Calibri"/>
          <w:b w:val="0"/>
          <w:bCs w:val="0"/>
          <w:szCs w:val="20"/>
          <w:lang w:val="es-ES"/>
        </w:rPr>
      </w:pPr>
      <w:bookmarkStart w:id="1427" w:name="_Toc494482725"/>
      <w:bookmarkStart w:id="1428" w:name="_Toc499459694"/>
      <w:r w:rsidRPr="00A3137A">
        <w:rPr>
          <w:lang w:val="es-ES"/>
        </w:rPr>
        <w:t xml:space="preserve">Table </w:t>
      </w:r>
      <w:r w:rsidR="00963AF9" w:rsidRPr="008608AA">
        <w:fldChar w:fldCharType="begin"/>
      </w:r>
      <w:r w:rsidR="00963AF9" w:rsidRPr="00A3137A">
        <w:rPr>
          <w:lang w:val="es-ES"/>
        </w:rPr>
        <w:instrText xml:space="preserve"> STYLEREF 1 \s </w:instrText>
      </w:r>
      <w:r w:rsidR="00963AF9" w:rsidRPr="008608AA">
        <w:fldChar w:fldCharType="separate"/>
      </w:r>
      <w:r w:rsidR="00402074">
        <w:rPr>
          <w:noProof/>
          <w:lang w:val="es-ES"/>
        </w:rPr>
        <w:t>4</w:t>
      </w:r>
      <w:r w:rsidR="00963AF9" w:rsidRPr="008608AA">
        <w:rPr>
          <w:noProof/>
        </w:rPr>
        <w:fldChar w:fldCharType="end"/>
      </w:r>
      <w:r w:rsidR="00BD08BA" w:rsidRPr="00A3137A">
        <w:rPr>
          <w:lang w:val="es-ES"/>
        </w:rPr>
        <w:t>.</w:t>
      </w:r>
      <w:r w:rsidR="00963AF9" w:rsidRPr="008608AA">
        <w:fldChar w:fldCharType="begin"/>
      </w:r>
      <w:r w:rsidR="00963AF9" w:rsidRPr="00A3137A">
        <w:rPr>
          <w:lang w:val="es-ES"/>
        </w:rPr>
        <w:instrText xml:space="preserve"> SEQ Table \* ARABIC \s 1 </w:instrText>
      </w:r>
      <w:r w:rsidR="00963AF9" w:rsidRPr="008608AA">
        <w:fldChar w:fldCharType="separate"/>
      </w:r>
      <w:r w:rsidR="00402074">
        <w:rPr>
          <w:noProof/>
          <w:lang w:val="es-ES"/>
        </w:rPr>
        <w:t>11</w:t>
      </w:r>
      <w:r w:rsidR="00963AF9" w:rsidRPr="008608AA">
        <w:rPr>
          <w:noProof/>
        </w:rPr>
        <w:fldChar w:fldCharType="end"/>
      </w:r>
      <w:r w:rsidRPr="00A3137A">
        <w:rPr>
          <w:lang w:val="es-ES"/>
        </w:rPr>
        <w:t xml:space="preserve">. </w:t>
      </w:r>
      <w:r w:rsidR="001E61A6" w:rsidRPr="00A3137A">
        <w:rPr>
          <w:szCs w:val="20"/>
          <w:lang w:val="es-ES"/>
        </w:rPr>
        <w:t>H</w:t>
      </w:r>
      <w:r w:rsidR="00DE1782" w:rsidRPr="00A3137A">
        <w:rPr>
          <w:szCs w:val="20"/>
          <w:lang w:val="es-ES"/>
        </w:rPr>
        <w:t xml:space="preserve">DI and inequality adjusted </w:t>
      </w:r>
      <w:r w:rsidR="001E61A6" w:rsidRPr="00A3137A">
        <w:rPr>
          <w:szCs w:val="20"/>
          <w:lang w:val="es-ES"/>
        </w:rPr>
        <w:t>HDI in the Americas (*), 2015.</w:t>
      </w:r>
      <w:bookmarkEnd w:id="1427"/>
      <w:bookmarkEnd w:id="1428"/>
      <w:r w:rsidR="001E61A6" w:rsidRPr="00A3137A">
        <w:rPr>
          <w:szCs w:val="20"/>
          <w:lang w:val="es-ES"/>
        </w:rPr>
        <w:t xml:space="preserve"> </w:t>
      </w:r>
    </w:p>
    <w:tbl>
      <w:tblPr>
        <w:tblStyle w:val="TableGrid"/>
        <w:tblW w:w="5000" w:type="pct"/>
        <w:tblLook w:val="04A0" w:firstRow="1" w:lastRow="0" w:firstColumn="1" w:lastColumn="0" w:noHBand="0" w:noVBand="1"/>
      </w:tblPr>
      <w:tblGrid>
        <w:gridCol w:w="3138"/>
        <w:gridCol w:w="1070"/>
        <w:gridCol w:w="1048"/>
        <w:gridCol w:w="1070"/>
        <w:gridCol w:w="1387"/>
        <w:gridCol w:w="1774"/>
      </w:tblGrid>
      <w:tr w:rsidR="001E61A6" w:rsidRPr="00A26FD5" w14:paraId="189570D1" w14:textId="77777777" w:rsidTr="00CC6CB7">
        <w:trPr>
          <w:trHeight w:val="300"/>
        </w:trPr>
        <w:tc>
          <w:tcPr>
            <w:tcW w:w="1561" w:type="pct"/>
            <w:shd w:val="clear" w:color="auto" w:fill="BFBFBF" w:themeFill="background1" w:themeFillShade="BF"/>
            <w:noWrap/>
            <w:vAlign w:val="center"/>
          </w:tcPr>
          <w:bookmarkEnd w:id="1426"/>
          <w:p w14:paraId="58E3AF60" w14:textId="77777777" w:rsidR="001E61A6" w:rsidRPr="00A26FD5" w:rsidRDefault="001E61A6" w:rsidP="00CC6CB7">
            <w:pPr>
              <w:contextualSpacing/>
              <w:jc w:val="center"/>
              <w:rPr>
                <w:rFonts w:eastAsia="Calibri"/>
                <w:b/>
                <w:szCs w:val="22"/>
              </w:rPr>
            </w:pPr>
            <w:r w:rsidRPr="00A26FD5">
              <w:rPr>
                <w:rFonts w:eastAsia="Calibri"/>
                <w:b/>
                <w:szCs w:val="22"/>
              </w:rPr>
              <w:t>Region</w:t>
            </w:r>
          </w:p>
          <w:p w14:paraId="31CBDBB4" w14:textId="77777777" w:rsidR="001E61A6" w:rsidRPr="00A26FD5" w:rsidRDefault="001E61A6" w:rsidP="00CC6CB7">
            <w:pPr>
              <w:contextualSpacing/>
              <w:jc w:val="center"/>
              <w:rPr>
                <w:rFonts w:eastAsia="Calibri"/>
                <w:b/>
                <w:szCs w:val="22"/>
              </w:rPr>
            </w:pPr>
          </w:p>
        </w:tc>
        <w:tc>
          <w:tcPr>
            <w:tcW w:w="544" w:type="pct"/>
            <w:shd w:val="clear" w:color="auto" w:fill="BFBFBF" w:themeFill="background1" w:themeFillShade="BF"/>
            <w:vAlign w:val="center"/>
          </w:tcPr>
          <w:p w14:paraId="74B85C75" w14:textId="77777777" w:rsidR="001E61A6" w:rsidRPr="00A26FD5" w:rsidRDefault="001E61A6" w:rsidP="00CC6CB7">
            <w:pPr>
              <w:contextualSpacing/>
              <w:jc w:val="center"/>
              <w:rPr>
                <w:rFonts w:eastAsia="Calibri"/>
                <w:b/>
                <w:szCs w:val="22"/>
              </w:rPr>
            </w:pPr>
            <w:r w:rsidRPr="00A26FD5">
              <w:rPr>
                <w:rFonts w:eastAsia="Calibri"/>
                <w:b/>
                <w:szCs w:val="22"/>
              </w:rPr>
              <w:t>No. of countries</w:t>
            </w:r>
          </w:p>
        </w:tc>
        <w:tc>
          <w:tcPr>
            <w:tcW w:w="565" w:type="pct"/>
            <w:shd w:val="clear" w:color="auto" w:fill="BFBFBF" w:themeFill="background1" w:themeFillShade="BF"/>
            <w:noWrap/>
            <w:vAlign w:val="center"/>
          </w:tcPr>
          <w:p w14:paraId="5FBFED10" w14:textId="5C2ADF83" w:rsidR="001E61A6" w:rsidRPr="00A26FD5" w:rsidRDefault="001E61A6" w:rsidP="00CC6CB7">
            <w:pPr>
              <w:contextualSpacing/>
              <w:jc w:val="center"/>
              <w:rPr>
                <w:rFonts w:eastAsia="Calibri"/>
                <w:b/>
                <w:szCs w:val="22"/>
              </w:rPr>
            </w:pPr>
            <w:r w:rsidRPr="00A26FD5">
              <w:rPr>
                <w:rFonts w:eastAsia="Calibri"/>
                <w:b/>
                <w:szCs w:val="22"/>
              </w:rPr>
              <w:t>HDI 2015</w:t>
            </w:r>
          </w:p>
          <w:p w14:paraId="60F662B1" w14:textId="77777777" w:rsidR="001E61A6" w:rsidRPr="00A26FD5" w:rsidRDefault="001E61A6" w:rsidP="00CC6CB7">
            <w:pPr>
              <w:contextualSpacing/>
              <w:jc w:val="center"/>
              <w:rPr>
                <w:rFonts w:eastAsia="Calibri"/>
                <w:b/>
                <w:szCs w:val="22"/>
              </w:rPr>
            </w:pPr>
          </w:p>
        </w:tc>
        <w:tc>
          <w:tcPr>
            <w:tcW w:w="544" w:type="pct"/>
            <w:shd w:val="clear" w:color="auto" w:fill="BFBFBF" w:themeFill="background1" w:themeFillShade="BF"/>
            <w:vAlign w:val="center"/>
          </w:tcPr>
          <w:p w14:paraId="6734FF02" w14:textId="77777777" w:rsidR="001E61A6" w:rsidRPr="00A26FD5" w:rsidRDefault="001E61A6" w:rsidP="00CC6CB7">
            <w:pPr>
              <w:contextualSpacing/>
              <w:jc w:val="center"/>
              <w:rPr>
                <w:rFonts w:eastAsia="Calibri"/>
                <w:b/>
                <w:szCs w:val="22"/>
              </w:rPr>
            </w:pPr>
            <w:r w:rsidRPr="00A26FD5">
              <w:rPr>
                <w:rFonts w:eastAsia="Calibri"/>
                <w:b/>
                <w:szCs w:val="22"/>
              </w:rPr>
              <w:t>No. of countries</w:t>
            </w:r>
          </w:p>
        </w:tc>
        <w:tc>
          <w:tcPr>
            <w:tcW w:w="807" w:type="pct"/>
            <w:shd w:val="clear" w:color="auto" w:fill="BFBFBF" w:themeFill="background1" w:themeFillShade="BF"/>
            <w:vAlign w:val="center"/>
          </w:tcPr>
          <w:p w14:paraId="7727E057" w14:textId="73CD8864" w:rsidR="001E61A6" w:rsidRPr="00A26FD5" w:rsidRDefault="001E61A6" w:rsidP="00CC6CB7">
            <w:pPr>
              <w:contextualSpacing/>
              <w:jc w:val="center"/>
              <w:rPr>
                <w:rFonts w:eastAsia="Calibri"/>
                <w:b/>
                <w:szCs w:val="22"/>
              </w:rPr>
            </w:pPr>
            <w:r w:rsidRPr="00A26FD5">
              <w:rPr>
                <w:rFonts w:eastAsia="Calibri"/>
                <w:b/>
                <w:szCs w:val="22"/>
              </w:rPr>
              <w:t>Inequality Adjusted HDI, 2015</w:t>
            </w:r>
          </w:p>
          <w:p w14:paraId="4FD66A08" w14:textId="77777777" w:rsidR="001E61A6" w:rsidRPr="00A26FD5" w:rsidRDefault="001E61A6" w:rsidP="00CC6CB7">
            <w:pPr>
              <w:contextualSpacing/>
              <w:jc w:val="center"/>
              <w:rPr>
                <w:rFonts w:eastAsia="Calibri"/>
                <w:b/>
                <w:szCs w:val="22"/>
              </w:rPr>
            </w:pPr>
            <w:r w:rsidRPr="00A26FD5">
              <w:rPr>
                <w:rFonts w:eastAsia="Calibri"/>
                <w:b/>
                <w:szCs w:val="22"/>
              </w:rPr>
              <w:t>(IA-HDI)</w:t>
            </w:r>
          </w:p>
        </w:tc>
        <w:tc>
          <w:tcPr>
            <w:tcW w:w="979" w:type="pct"/>
            <w:shd w:val="clear" w:color="auto" w:fill="BFBFBF" w:themeFill="background1" w:themeFillShade="BF"/>
            <w:vAlign w:val="center"/>
          </w:tcPr>
          <w:p w14:paraId="6FAE9BA1" w14:textId="77777777" w:rsidR="001E61A6" w:rsidRPr="00A26FD5" w:rsidRDefault="001E61A6" w:rsidP="00CC6CB7">
            <w:pPr>
              <w:contextualSpacing/>
              <w:jc w:val="center"/>
              <w:rPr>
                <w:rFonts w:eastAsia="Calibri"/>
                <w:b/>
                <w:szCs w:val="22"/>
              </w:rPr>
            </w:pPr>
            <w:r w:rsidRPr="00A26FD5">
              <w:rPr>
                <w:rFonts w:eastAsia="Calibri"/>
                <w:b/>
                <w:szCs w:val="22"/>
              </w:rPr>
              <w:t>IA-HDI / HDI (change in %)</w:t>
            </w:r>
          </w:p>
        </w:tc>
      </w:tr>
      <w:tr w:rsidR="001E61A6" w:rsidRPr="00A26FD5" w14:paraId="093E9816" w14:textId="77777777" w:rsidTr="00CC6CB7">
        <w:trPr>
          <w:trHeight w:val="293"/>
        </w:trPr>
        <w:tc>
          <w:tcPr>
            <w:tcW w:w="1561" w:type="pct"/>
            <w:noWrap/>
          </w:tcPr>
          <w:p w14:paraId="3815C92F" w14:textId="77777777" w:rsidR="001E61A6" w:rsidRPr="00A26FD5" w:rsidRDefault="001E61A6" w:rsidP="00077BB8">
            <w:pPr>
              <w:contextualSpacing/>
              <w:rPr>
                <w:rFonts w:eastAsia="Calibri"/>
                <w:szCs w:val="22"/>
              </w:rPr>
            </w:pPr>
            <w:r w:rsidRPr="00A26FD5">
              <w:rPr>
                <w:rFonts w:eastAsia="Calibri"/>
                <w:szCs w:val="22"/>
              </w:rPr>
              <w:t>North America</w:t>
            </w:r>
          </w:p>
        </w:tc>
        <w:tc>
          <w:tcPr>
            <w:tcW w:w="544" w:type="pct"/>
          </w:tcPr>
          <w:p w14:paraId="36D3DFF3" w14:textId="77777777" w:rsidR="001E61A6" w:rsidRPr="00A26FD5" w:rsidRDefault="001E61A6" w:rsidP="00077BB8">
            <w:pPr>
              <w:contextualSpacing/>
              <w:jc w:val="center"/>
              <w:rPr>
                <w:rFonts w:eastAsia="Calibri"/>
                <w:szCs w:val="22"/>
              </w:rPr>
            </w:pPr>
            <w:r w:rsidRPr="00A26FD5">
              <w:rPr>
                <w:rFonts w:eastAsia="Calibri"/>
                <w:szCs w:val="22"/>
              </w:rPr>
              <w:t>2</w:t>
            </w:r>
          </w:p>
        </w:tc>
        <w:tc>
          <w:tcPr>
            <w:tcW w:w="565" w:type="pct"/>
            <w:noWrap/>
          </w:tcPr>
          <w:p w14:paraId="794338E0" w14:textId="77777777" w:rsidR="001E61A6" w:rsidRPr="00A26FD5" w:rsidRDefault="001E61A6" w:rsidP="00077BB8">
            <w:pPr>
              <w:contextualSpacing/>
              <w:jc w:val="center"/>
              <w:rPr>
                <w:rFonts w:eastAsia="Calibri"/>
                <w:szCs w:val="22"/>
              </w:rPr>
            </w:pPr>
            <w:r w:rsidRPr="00A26FD5">
              <w:rPr>
                <w:rFonts w:eastAsia="Calibri"/>
                <w:szCs w:val="22"/>
              </w:rPr>
              <w:t>0.9200</w:t>
            </w:r>
          </w:p>
        </w:tc>
        <w:tc>
          <w:tcPr>
            <w:tcW w:w="544" w:type="pct"/>
          </w:tcPr>
          <w:p w14:paraId="22E9F425" w14:textId="77777777" w:rsidR="001E61A6" w:rsidRPr="00A26FD5" w:rsidRDefault="001E61A6" w:rsidP="00077BB8">
            <w:pPr>
              <w:contextualSpacing/>
              <w:jc w:val="center"/>
              <w:rPr>
                <w:rFonts w:eastAsia="Calibri"/>
                <w:szCs w:val="22"/>
              </w:rPr>
            </w:pPr>
            <w:r w:rsidRPr="00A26FD5">
              <w:rPr>
                <w:rFonts w:eastAsia="Calibri"/>
                <w:szCs w:val="22"/>
              </w:rPr>
              <w:t>2</w:t>
            </w:r>
          </w:p>
        </w:tc>
        <w:tc>
          <w:tcPr>
            <w:tcW w:w="807" w:type="pct"/>
          </w:tcPr>
          <w:p w14:paraId="0447F235" w14:textId="77777777" w:rsidR="001E61A6" w:rsidRPr="00A26FD5" w:rsidRDefault="001E61A6" w:rsidP="00077BB8">
            <w:pPr>
              <w:contextualSpacing/>
              <w:jc w:val="center"/>
              <w:rPr>
                <w:rFonts w:eastAsia="Calibri"/>
                <w:szCs w:val="22"/>
              </w:rPr>
            </w:pPr>
            <w:r w:rsidRPr="00A26FD5">
              <w:rPr>
                <w:rFonts w:eastAsia="Calibri"/>
                <w:szCs w:val="22"/>
              </w:rPr>
              <w:t>0.8175</w:t>
            </w:r>
          </w:p>
        </w:tc>
        <w:tc>
          <w:tcPr>
            <w:tcW w:w="979" w:type="pct"/>
          </w:tcPr>
          <w:p w14:paraId="572388A9" w14:textId="77777777" w:rsidR="001E61A6" w:rsidRPr="00A26FD5" w:rsidRDefault="001E61A6" w:rsidP="00077BB8">
            <w:pPr>
              <w:contextualSpacing/>
              <w:jc w:val="center"/>
              <w:rPr>
                <w:rFonts w:eastAsia="Calibri"/>
                <w:szCs w:val="22"/>
              </w:rPr>
            </w:pPr>
            <w:r w:rsidRPr="00A26FD5">
              <w:rPr>
                <w:rFonts w:eastAsia="Calibri"/>
                <w:szCs w:val="22"/>
              </w:rPr>
              <w:t>-11.1</w:t>
            </w:r>
          </w:p>
        </w:tc>
      </w:tr>
      <w:tr w:rsidR="001E61A6" w:rsidRPr="00A26FD5" w14:paraId="4A739A68" w14:textId="77777777" w:rsidTr="00165F74">
        <w:trPr>
          <w:trHeight w:val="300"/>
        </w:trPr>
        <w:tc>
          <w:tcPr>
            <w:tcW w:w="1561" w:type="pct"/>
            <w:noWrap/>
          </w:tcPr>
          <w:p w14:paraId="415D2B8E" w14:textId="77777777" w:rsidR="001E61A6" w:rsidRPr="00A26FD5" w:rsidRDefault="001E61A6" w:rsidP="00077BB8">
            <w:pPr>
              <w:contextualSpacing/>
              <w:rPr>
                <w:rFonts w:eastAsia="Calibri"/>
                <w:szCs w:val="22"/>
              </w:rPr>
            </w:pPr>
            <w:r w:rsidRPr="00A26FD5">
              <w:rPr>
                <w:rFonts w:eastAsia="Calibri"/>
                <w:szCs w:val="22"/>
              </w:rPr>
              <w:t>South America</w:t>
            </w:r>
          </w:p>
        </w:tc>
        <w:tc>
          <w:tcPr>
            <w:tcW w:w="544" w:type="pct"/>
          </w:tcPr>
          <w:p w14:paraId="2E5CBCD4" w14:textId="77777777" w:rsidR="001E61A6" w:rsidRPr="00A26FD5" w:rsidRDefault="001E61A6" w:rsidP="00077BB8">
            <w:pPr>
              <w:contextualSpacing/>
              <w:jc w:val="center"/>
              <w:rPr>
                <w:rFonts w:eastAsia="Calibri"/>
                <w:szCs w:val="22"/>
              </w:rPr>
            </w:pPr>
            <w:r w:rsidRPr="00A26FD5">
              <w:rPr>
                <w:rFonts w:eastAsia="Calibri"/>
                <w:szCs w:val="22"/>
              </w:rPr>
              <w:t>12</w:t>
            </w:r>
          </w:p>
        </w:tc>
        <w:tc>
          <w:tcPr>
            <w:tcW w:w="565" w:type="pct"/>
            <w:noWrap/>
          </w:tcPr>
          <w:p w14:paraId="36C4ED7A" w14:textId="77777777" w:rsidR="001E61A6" w:rsidRPr="00A26FD5" w:rsidRDefault="001E61A6" w:rsidP="00077BB8">
            <w:pPr>
              <w:contextualSpacing/>
              <w:jc w:val="center"/>
              <w:rPr>
                <w:rFonts w:eastAsia="Calibri"/>
                <w:szCs w:val="22"/>
              </w:rPr>
            </w:pPr>
            <w:r w:rsidRPr="00A26FD5">
              <w:rPr>
                <w:rFonts w:eastAsia="Calibri"/>
                <w:szCs w:val="22"/>
              </w:rPr>
              <w:t>0.7438</w:t>
            </w:r>
          </w:p>
        </w:tc>
        <w:tc>
          <w:tcPr>
            <w:tcW w:w="544" w:type="pct"/>
          </w:tcPr>
          <w:p w14:paraId="3BD740B4" w14:textId="77777777" w:rsidR="001E61A6" w:rsidRPr="00A26FD5" w:rsidRDefault="001E61A6" w:rsidP="00077BB8">
            <w:pPr>
              <w:contextualSpacing/>
              <w:jc w:val="center"/>
              <w:rPr>
                <w:rFonts w:eastAsia="Calibri"/>
                <w:szCs w:val="22"/>
              </w:rPr>
            </w:pPr>
            <w:r w:rsidRPr="00A26FD5">
              <w:rPr>
                <w:rFonts w:eastAsia="Calibri"/>
                <w:szCs w:val="22"/>
              </w:rPr>
              <w:t>12</w:t>
            </w:r>
          </w:p>
        </w:tc>
        <w:tc>
          <w:tcPr>
            <w:tcW w:w="807" w:type="pct"/>
          </w:tcPr>
          <w:p w14:paraId="4BDA1BFF" w14:textId="77777777" w:rsidR="001E61A6" w:rsidRPr="00A26FD5" w:rsidRDefault="001E61A6" w:rsidP="00077BB8">
            <w:pPr>
              <w:contextualSpacing/>
              <w:jc w:val="center"/>
              <w:rPr>
                <w:rFonts w:eastAsia="Calibri"/>
                <w:szCs w:val="22"/>
              </w:rPr>
            </w:pPr>
            <w:r w:rsidRPr="00A26FD5">
              <w:rPr>
                <w:rFonts w:eastAsia="Calibri"/>
                <w:szCs w:val="22"/>
              </w:rPr>
              <w:t>0.5854</w:t>
            </w:r>
          </w:p>
        </w:tc>
        <w:tc>
          <w:tcPr>
            <w:tcW w:w="979" w:type="pct"/>
          </w:tcPr>
          <w:p w14:paraId="0970E0FA" w14:textId="77777777" w:rsidR="001E61A6" w:rsidRPr="00A26FD5" w:rsidRDefault="001E61A6" w:rsidP="00077BB8">
            <w:pPr>
              <w:contextualSpacing/>
              <w:jc w:val="center"/>
              <w:rPr>
                <w:rFonts w:eastAsia="Calibri"/>
                <w:szCs w:val="22"/>
              </w:rPr>
            </w:pPr>
            <w:r w:rsidRPr="00A26FD5">
              <w:rPr>
                <w:rFonts w:eastAsia="Calibri"/>
                <w:szCs w:val="22"/>
              </w:rPr>
              <w:t>-21.3</w:t>
            </w:r>
          </w:p>
        </w:tc>
      </w:tr>
      <w:tr w:rsidR="001E61A6" w:rsidRPr="00A26FD5" w14:paraId="7942341B" w14:textId="77777777" w:rsidTr="00165F74">
        <w:trPr>
          <w:trHeight w:val="300"/>
        </w:trPr>
        <w:tc>
          <w:tcPr>
            <w:tcW w:w="1561" w:type="pct"/>
            <w:noWrap/>
          </w:tcPr>
          <w:p w14:paraId="4FF75B7A" w14:textId="77777777" w:rsidR="001E61A6" w:rsidRPr="00A26FD5" w:rsidRDefault="001E61A6" w:rsidP="00077BB8">
            <w:pPr>
              <w:contextualSpacing/>
              <w:rPr>
                <w:rFonts w:eastAsia="Calibri"/>
                <w:szCs w:val="22"/>
              </w:rPr>
            </w:pPr>
            <w:r w:rsidRPr="00A26FD5">
              <w:rPr>
                <w:rFonts w:eastAsia="Calibri"/>
                <w:szCs w:val="22"/>
              </w:rPr>
              <w:t>Caribe</w:t>
            </w:r>
          </w:p>
        </w:tc>
        <w:tc>
          <w:tcPr>
            <w:tcW w:w="544" w:type="pct"/>
          </w:tcPr>
          <w:p w14:paraId="5F7D2D09" w14:textId="77777777" w:rsidR="001E61A6" w:rsidRPr="00A26FD5" w:rsidRDefault="001E61A6" w:rsidP="00077BB8">
            <w:pPr>
              <w:contextualSpacing/>
              <w:jc w:val="center"/>
              <w:rPr>
                <w:rFonts w:eastAsia="Calibri"/>
                <w:szCs w:val="22"/>
              </w:rPr>
            </w:pPr>
            <w:r w:rsidRPr="00A26FD5">
              <w:rPr>
                <w:rFonts w:eastAsia="Calibri"/>
                <w:szCs w:val="22"/>
              </w:rPr>
              <w:t>13</w:t>
            </w:r>
          </w:p>
        </w:tc>
        <w:tc>
          <w:tcPr>
            <w:tcW w:w="565" w:type="pct"/>
            <w:noWrap/>
          </w:tcPr>
          <w:p w14:paraId="6035AAAD" w14:textId="77777777" w:rsidR="001E61A6" w:rsidRPr="00A26FD5" w:rsidRDefault="001E61A6" w:rsidP="00077BB8">
            <w:pPr>
              <w:contextualSpacing/>
              <w:jc w:val="center"/>
              <w:rPr>
                <w:rFonts w:eastAsia="Calibri"/>
                <w:szCs w:val="22"/>
              </w:rPr>
            </w:pPr>
            <w:r w:rsidRPr="00A26FD5">
              <w:rPr>
                <w:rFonts w:eastAsia="Calibri"/>
                <w:szCs w:val="22"/>
              </w:rPr>
              <w:t>0.7365</w:t>
            </w:r>
          </w:p>
        </w:tc>
        <w:tc>
          <w:tcPr>
            <w:tcW w:w="544" w:type="pct"/>
          </w:tcPr>
          <w:p w14:paraId="05E1AB15" w14:textId="77777777" w:rsidR="001E61A6" w:rsidRPr="00A26FD5" w:rsidRDefault="001E61A6" w:rsidP="00077BB8">
            <w:pPr>
              <w:contextualSpacing/>
              <w:jc w:val="center"/>
              <w:rPr>
                <w:rFonts w:eastAsia="Calibri"/>
                <w:szCs w:val="22"/>
              </w:rPr>
            </w:pPr>
            <w:r w:rsidRPr="00A26FD5">
              <w:rPr>
                <w:rFonts w:eastAsia="Calibri"/>
                <w:szCs w:val="22"/>
              </w:rPr>
              <w:t>5 (**)</w:t>
            </w:r>
          </w:p>
        </w:tc>
        <w:tc>
          <w:tcPr>
            <w:tcW w:w="807" w:type="pct"/>
          </w:tcPr>
          <w:p w14:paraId="3D6CFE40" w14:textId="77777777" w:rsidR="001E61A6" w:rsidRPr="00A26FD5" w:rsidRDefault="001E61A6" w:rsidP="00077BB8">
            <w:pPr>
              <w:contextualSpacing/>
              <w:jc w:val="center"/>
              <w:rPr>
                <w:rFonts w:eastAsia="Calibri"/>
                <w:szCs w:val="22"/>
              </w:rPr>
            </w:pPr>
            <w:r w:rsidRPr="00A26FD5">
              <w:rPr>
                <w:rFonts w:eastAsia="Calibri"/>
                <w:szCs w:val="22"/>
              </w:rPr>
              <w:t>0.5502</w:t>
            </w:r>
          </w:p>
        </w:tc>
        <w:tc>
          <w:tcPr>
            <w:tcW w:w="979" w:type="pct"/>
          </w:tcPr>
          <w:p w14:paraId="1962AAE1" w14:textId="77777777" w:rsidR="001E61A6" w:rsidRPr="00A26FD5" w:rsidRDefault="001E61A6" w:rsidP="00077BB8">
            <w:pPr>
              <w:contextualSpacing/>
              <w:jc w:val="center"/>
              <w:rPr>
                <w:rFonts w:eastAsia="Calibri"/>
                <w:szCs w:val="22"/>
              </w:rPr>
            </w:pPr>
            <w:r w:rsidRPr="00A26FD5">
              <w:rPr>
                <w:rFonts w:eastAsia="Calibri"/>
                <w:szCs w:val="22"/>
              </w:rPr>
              <w:t>-20.5</w:t>
            </w:r>
          </w:p>
        </w:tc>
      </w:tr>
      <w:tr w:rsidR="001E61A6" w:rsidRPr="00A26FD5" w14:paraId="106E31CF" w14:textId="77777777" w:rsidTr="00165F74">
        <w:trPr>
          <w:trHeight w:val="300"/>
        </w:trPr>
        <w:tc>
          <w:tcPr>
            <w:tcW w:w="1561" w:type="pct"/>
            <w:noWrap/>
          </w:tcPr>
          <w:p w14:paraId="7BD5DCC0" w14:textId="77777777" w:rsidR="001E61A6" w:rsidRPr="00A26FD5" w:rsidRDefault="001E61A6" w:rsidP="00077BB8">
            <w:pPr>
              <w:contextualSpacing/>
              <w:rPr>
                <w:rFonts w:eastAsia="Calibri"/>
                <w:szCs w:val="22"/>
              </w:rPr>
            </w:pPr>
            <w:r w:rsidRPr="00A26FD5">
              <w:rPr>
                <w:rFonts w:eastAsia="Calibri"/>
                <w:szCs w:val="22"/>
              </w:rPr>
              <w:t>Mesoamerica</w:t>
            </w:r>
          </w:p>
        </w:tc>
        <w:tc>
          <w:tcPr>
            <w:tcW w:w="544" w:type="pct"/>
          </w:tcPr>
          <w:p w14:paraId="5682B626" w14:textId="77777777" w:rsidR="001E61A6" w:rsidRPr="00A26FD5" w:rsidRDefault="001E61A6" w:rsidP="00077BB8">
            <w:pPr>
              <w:contextualSpacing/>
              <w:jc w:val="center"/>
              <w:rPr>
                <w:rFonts w:eastAsia="Calibri"/>
                <w:szCs w:val="22"/>
              </w:rPr>
            </w:pPr>
            <w:r w:rsidRPr="00A26FD5">
              <w:rPr>
                <w:rFonts w:eastAsia="Calibri"/>
                <w:szCs w:val="22"/>
              </w:rPr>
              <w:t>8</w:t>
            </w:r>
          </w:p>
        </w:tc>
        <w:tc>
          <w:tcPr>
            <w:tcW w:w="565" w:type="pct"/>
            <w:noWrap/>
          </w:tcPr>
          <w:p w14:paraId="6F92A824" w14:textId="77777777" w:rsidR="001E61A6" w:rsidRPr="00A26FD5" w:rsidRDefault="001E61A6" w:rsidP="00077BB8">
            <w:pPr>
              <w:contextualSpacing/>
              <w:jc w:val="center"/>
              <w:rPr>
                <w:rFonts w:eastAsia="Calibri"/>
                <w:szCs w:val="22"/>
              </w:rPr>
            </w:pPr>
            <w:r w:rsidRPr="00A26FD5">
              <w:rPr>
                <w:rFonts w:eastAsia="Calibri"/>
                <w:szCs w:val="22"/>
              </w:rPr>
              <w:t>0.7028</w:t>
            </w:r>
          </w:p>
        </w:tc>
        <w:tc>
          <w:tcPr>
            <w:tcW w:w="544" w:type="pct"/>
          </w:tcPr>
          <w:p w14:paraId="68497333" w14:textId="77777777" w:rsidR="001E61A6" w:rsidRPr="00A26FD5" w:rsidRDefault="001E61A6" w:rsidP="00077BB8">
            <w:pPr>
              <w:contextualSpacing/>
              <w:jc w:val="center"/>
              <w:rPr>
                <w:rFonts w:eastAsia="Calibri"/>
                <w:szCs w:val="22"/>
              </w:rPr>
            </w:pPr>
            <w:r w:rsidRPr="00A26FD5">
              <w:rPr>
                <w:rFonts w:eastAsia="Calibri"/>
                <w:szCs w:val="22"/>
              </w:rPr>
              <w:t>8</w:t>
            </w:r>
          </w:p>
        </w:tc>
        <w:tc>
          <w:tcPr>
            <w:tcW w:w="807" w:type="pct"/>
          </w:tcPr>
          <w:p w14:paraId="64D54AC2" w14:textId="77777777" w:rsidR="001E61A6" w:rsidRPr="00A26FD5" w:rsidRDefault="001E61A6" w:rsidP="00077BB8">
            <w:pPr>
              <w:contextualSpacing/>
              <w:jc w:val="center"/>
              <w:rPr>
                <w:rFonts w:eastAsia="Calibri"/>
                <w:szCs w:val="22"/>
              </w:rPr>
            </w:pPr>
            <w:r w:rsidRPr="00A26FD5">
              <w:rPr>
                <w:rFonts w:eastAsia="Calibri"/>
                <w:szCs w:val="22"/>
              </w:rPr>
              <w:t>0.5345</w:t>
            </w:r>
          </w:p>
        </w:tc>
        <w:tc>
          <w:tcPr>
            <w:tcW w:w="979" w:type="pct"/>
          </w:tcPr>
          <w:p w14:paraId="65A1EF82" w14:textId="77777777" w:rsidR="001E61A6" w:rsidRPr="00A26FD5" w:rsidRDefault="001E61A6" w:rsidP="00077BB8">
            <w:pPr>
              <w:contextualSpacing/>
              <w:jc w:val="center"/>
              <w:rPr>
                <w:rFonts w:eastAsia="Calibri"/>
                <w:szCs w:val="22"/>
              </w:rPr>
            </w:pPr>
            <w:r w:rsidRPr="00A26FD5">
              <w:rPr>
                <w:rFonts w:eastAsia="Calibri"/>
                <w:szCs w:val="22"/>
              </w:rPr>
              <w:t>-23.9</w:t>
            </w:r>
          </w:p>
        </w:tc>
      </w:tr>
      <w:tr w:rsidR="001E61A6" w:rsidRPr="00A26FD5" w14:paraId="176D5D2D" w14:textId="77777777" w:rsidTr="00165F74">
        <w:trPr>
          <w:trHeight w:val="300"/>
        </w:trPr>
        <w:tc>
          <w:tcPr>
            <w:tcW w:w="1561" w:type="pct"/>
            <w:noWrap/>
          </w:tcPr>
          <w:p w14:paraId="6E799508" w14:textId="77777777" w:rsidR="001E61A6" w:rsidRPr="00A26FD5" w:rsidRDefault="001E61A6" w:rsidP="00077BB8">
            <w:pPr>
              <w:contextualSpacing/>
              <w:rPr>
                <w:rFonts w:eastAsia="Calibri"/>
                <w:szCs w:val="22"/>
              </w:rPr>
            </w:pPr>
            <w:r w:rsidRPr="00A26FD5">
              <w:rPr>
                <w:rFonts w:eastAsia="Calibri"/>
                <w:szCs w:val="22"/>
              </w:rPr>
              <w:t>Americas</w:t>
            </w:r>
          </w:p>
        </w:tc>
        <w:tc>
          <w:tcPr>
            <w:tcW w:w="544" w:type="pct"/>
          </w:tcPr>
          <w:p w14:paraId="49575502" w14:textId="77777777" w:rsidR="001E61A6" w:rsidRPr="00A26FD5" w:rsidRDefault="001E61A6" w:rsidP="00077BB8">
            <w:pPr>
              <w:contextualSpacing/>
              <w:jc w:val="center"/>
              <w:rPr>
                <w:rFonts w:eastAsia="Calibri"/>
                <w:szCs w:val="22"/>
              </w:rPr>
            </w:pPr>
            <w:r w:rsidRPr="00A26FD5">
              <w:rPr>
                <w:rFonts w:eastAsia="Calibri"/>
                <w:bCs/>
                <w:szCs w:val="22"/>
              </w:rPr>
              <w:t>35</w:t>
            </w:r>
          </w:p>
        </w:tc>
        <w:tc>
          <w:tcPr>
            <w:tcW w:w="565" w:type="pct"/>
            <w:noWrap/>
          </w:tcPr>
          <w:p w14:paraId="3665065E" w14:textId="77777777" w:rsidR="001E61A6" w:rsidRPr="00A26FD5" w:rsidRDefault="001E61A6" w:rsidP="00077BB8">
            <w:pPr>
              <w:contextualSpacing/>
              <w:jc w:val="center"/>
              <w:rPr>
                <w:rFonts w:eastAsia="Calibri"/>
                <w:szCs w:val="22"/>
              </w:rPr>
            </w:pPr>
            <w:r w:rsidRPr="00A26FD5">
              <w:rPr>
                <w:rFonts w:eastAsia="Calibri"/>
                <w:szCs w:val="22"/>
              </w:rPr>
              <w:t>0.7418</w:t>
            </w:r>
          </w:p>
        </w:tc>
        <w:tc>
          <w:tcPr>
            <w:tcW w:w="544" w:type="pct"/>
          </w:tcPr>
          <w:p w14:paraId="5CB2196A" w14:textId="77777777" w:rsidR="001E61A6" w:rsidRPr="00A26FD5" w:rsidRDefault="001E61A6" w:rsidP="00077BB8">
            <w:pPr>
              <w:contextualSpacing/>
              <w:jc w:val="center"/>
              <w:rPr>
                <w:rFonts w:eastAsia="Calibri"/>
                <w:szCs w:val="22"/>
              </w:rPr>
            </w:pPr>
            <w:r w:rsidRPr="00A26FD5">
              <w:rPr>
                <w:rFonts w:eastAsia="Calibri"/>
                <w:bCs/>
                <w:szCs w:val="22"/>
              </w:rPr>
              <w:t>27</w:t>
            </w:r>
          </w:p>
        </w:tc>
        <w:tc>
          <w:tcPr>
            <w:tcW w:w="807" w:type="pct"/>
          </w:tcPr>
          <w:p w14:paraId="3785EC79" w14:textId="77777777" w:rsidR="001E61A6" w:rsidRPr="00A26FD5" w:rsidRDefault="001E61A6" w:rsidP="00077BB8">
            <w:pPr>
              <w:contextualSpacing/>
              <w:jc w:val="center"/>
              <w:rPr>
                <w:rFonts w:eastAsia="Calibri"/>
                <w:szCs w:val="22"/>
              </w:rPr>
            </w:pPr>
            <w:r w:rsidRPr="00A26FD5">
              <w:rPr>
                <w:rFonts w:eastAsia="Calibri"/>
                <w:szCs w:val="22"/>
              </w:rPr>
              <w:t>0.5810</w:t>
            </w:r>
          </w:p>
        </w:tc>
        <w:tc>
          <w:tcPr>
            <w:tcW w:w="979" w:type="pct"/>
          </w:tcPr>
          <w:p w14:paraId="27CDA631" w14:textId="77777777" w:rsidR="001E61A6" w:rsidRPr="00A26FD5" w:rsidRDefault="001E61A6" w:rsidP="00077BB8">
            <w:pPr>
              <w:contextualSpacing/>
              <w:jc w:val="center"/>
              <w:rPr>
                <w:rFonts w:eastAsia="Calibri"/>
                <w:szCs w:val="22"/>
              </w:rPr>
            </w:pPr>
            <w:r w:rsidRPr="00A26FD5">
              <w:rPr>
                <w:rFonts w:eastAsia="Calibri"/>
                <w:bCs/>
                <w:szCs w:val="22"/>
              </w:rPr>
              <w:t>-21.0</w:t>
            </w:r>
          </w:p>
        </w:tc>
      </w:tr>
      <w:tr w:rsidR="001E61A6" w:rsidRPr="00A26FD5" w14:paraId="4624893B" w14:textId="77777777" w:rsidTr="00165F74">
        <w:trPr>
          <w:trHeight w:val="300"/>
        </w:trPr>
        <w:tc>
          <w:tcPr>
            <w:tcW w:w="1561" w:type="pct"/>
            <w:noWrap/>
          </w:tcPr>
          <w:p w14:paraId="599C43BD" w14:textId="77777777" w:rsidR="001E61A6" w:rsidRPr="00A26FD5" w:rsidRDefault="001E61A6" w:rsidP="00077BB8">
            <w:pPr>
              <w:contextualSpacing/>
              <w:rPr>
                <w:rFonts w:eastAsia="Calibri"/>
                <w:szCs w:val="22"/>
              </w:rPr>
            </w:pPr>
            <w:r w:rsidRPr="00A26FD5">
              <w:rPr>
                <w:rFonts w:eastAsia="Calibri"/>
                <w:szCs w:val="22"/>
              </w:rPr>
              <w:t>Latin America and the Caribbean</w:t>
            </w:r>
          </w:p>
        </w:tc>
        <w:tc>
          <w:tcPr>
            <w:tcW w:w="544" w:type="pct"/>
          </w:tcPr>
          <w:p w14:paraId="5ADF92EF" w14:textId="77777777" w:rsidR="001E61A6" w:rsidRPr="00A26FD5" w:rsidRDefault="001E61A6" w:rsidP="00077BB8">
            <w:pPr>
              <w:contextualSpacing/>
              <w:jc w:val="center"/>
              <w:rPr>
                <w:rFonts w:eastAsia="Calibri"/>
                <w:szCs w:val="22"/>
              </w:rPr>
            </w:pPr>
            <w:r w:rsidRPr="00A26FD5">
              <w:rPr>
                <w:rFonts w:eastAsia="Calibri"/>
                <w:szCs w:val="22"/>
              </w:rPr>
              <w:t>33</w:t>
            </w:r>
          </w:p>
        </w:tc>
        <w:tc>
          <w:tcPr>
            <w:tcW w:w="565" w:type="pct"/>
            <w:noWrap/>
          </w:tcPr>
          <w:p w14:paraId="4E14BC88" w14:textId="77777777" w:rsidR="001E61A6" w:rsidRPr="00A26FD5" w:rsidRDefault="001E61A6" w:rsidP="00077BB8">
            <w:pPr>
              <w:contextualSpacing/>
              <w:jc w:val="center"/>
              <w:rPr>
                <w:rFonts w:eastAsia="Calibri"/>
                <w:szCs w:val="22"/>
              </w:rPr>
            </w:pPr>
            <w:r w:rsidRPr="00A26FD5">
              <w:rPr>
                <w:rFonts w:eastAsia="Calibri"/>
                <w:szCs w:val="22"/>
              </w:rPr>
              <w:t>0.7310</w:t>
            </w:r>
          </w:p>
        </w:tc>
        <w:tc>
          <w:tcPr>
            <w:tcW w:w="544" w:type="pct"/>
          </w:tcPr>
          <w:p w14:paraId="0C9181DB" w14:textId="77777777" w:rsidR="001E61A6" w:rsidRPr="00A26FD5" w:rsidRDefault="001E61A6" w:rsidP="00077BB8">
            <w:pPr>
              <w:contextualSpacing/>
              <w:jc w:val="center"/>
              <w:rPr>
                <w:rFonts w:eastAsia="Calibri"/>
                <w:szCs w:val="22"/>
              </w:rPr>
            </w:pPr>
            <w:r w:rsidRPr="00A26FD5">
              <w:rPr>
                <w:rFonts w:eastAsia="Calibri"/>
                <w:szCs w:val="22"/>
              </w:rPr>
              <w:t>25</w:t>
            </w:r>
          </w:p>
        </w:tc>
        <w:tc>
          <w:tcPr>
            <w:tcW w:w="807" w:type="pct"/>
          </w:tcPr>
          <w:p w14:paraId="452F56DF" w14:textId="77777777" w:rsidR="001E61A6" w:rsidRPr="00A26FD5" w:rsidRDefault="001E61A6" w:rsidP="00077BB8">
            <w:pPr>
              <w:contextualSpacing/>
              <w:jc w:val="center"/>
              <w:rPr>
                <w:rFonts w:eastAsia="Calibri"/>
                <w:szCs w:val="22"/>
              </w:rPr>
            </w:pPr>
            <w:r w:rsidRPr="00A26FD5">
              <w:rPr>
                <w:rFonts w:eastAsia="Calibri"/>
                <w:szCs w:val="22"/>
              </w:rPr>
              <w:t>0.5621</w:t>
            </w:r>
          </w:p>
        </w:tc>
        <w:tc>
          <w:tcPr>
            <w:tcW w:w="979" w:type="pct"/>
          </w:tcPr>
          <w:p w14:paraId="44247836" w14:textId="77777777" w:rsidR="001E61A6" w:rsidRPr="00A26FD5" w:rsidRDefault="001E61A6" w:rsidP="00077BB8">
            <w:pPr>
              <w:contextualSpacing/>
              <w:jc w:val="center"/>
              <w:rPr>
                <w:rFonts w:eastAsia="Calibri"/>
                <w:szCs w:val="22"/>
              </w:rPr>
            </w:pPr>
            <w:r w:rsidRPr="00A26FD5">
              <w:rPr>
                <w:rFonts w:eastAsia="Calibri"/>
                <w:szCs w:val="22"/>
              </w:rPr>
              <w:t>-22.0</w:t>
            </w:r>
          </w:p>
        </w:tc>
      </w:tr>
      <w:tr w:rsidR="001E61A6" w:rsidRPr="00A26FD5" w14:paraId="5A762086" w14:textId="77777777" w:rsidTr="00165F74">
        <w:trPr>
          <w:trHeight w:val="300"/>
        </w:trPr>
        <w:tc>
          <w:tcPr>
            <w:tcW w:w="1561" w:type="pct"/>
            <w:noWrap/>
          </w:tcPr>
          <w:p w14:paraId="02B17F91" w14:textId="77777777" w:rsidR="001E61A6" w:rsidRPr="00A26FD5" w:rsidRDefault="001E61A6" w:rsidP="00077BB8">
            <w:pPr>
              <w:contextualSpacing/>
              <w:rPr>
                <w:rFonts w:eastAsia="Calibri"/>
                <w:szCs w:val="22"/>
              </w:rPr>
            </w:pPr>
            <w:r w:rsidRPr="00A26FD5">
              <w:rPr>
                <w:rFonts w:eastAsia="Calibri"/>
                <w:szCs w:val="22"/>
              </w:rPr>
              <w:t>World</w:t>
            </w:r>
          </w:p>
        </w:tc>
        <w:tc>
          <w:tcPr>
            <w:tcW w:w="544" w:type="pct"/>
          </w:tcPr>
          <w:p w14:paraId="6E779D10" w14:textId="77777777" w:rsidR="001E61A6" w:rsidRPr="00A26FD5" w:rsidRDefault="001E61A6" w:rsidP="00077BB8">
            <w:pPr>
              <w:contextualSpacing/>
              <w:jc w:val="center"/>
              <w:rPr>
                <w:rFonts w:eastAsia="Calibri"/>
                <w:szCs w:val="22"/>
              </w:rPr>
            </w:pPr>
            <w:r w:rsidRPr="00A26FD5">
              <w:rPr>
                <w:rFonts w:eastAsia="Calibri"/>
                <w:szCs w:val="22"/>
              </w:rPr>
              <w:t>188</w:t>
            </w:r>
          </w:p>
        </w:tc>
        <w:tc>
          <w:tcPr>
            <w:tcW w:w="565" w:type="pct"/>
            <w:noWrap/>
          </w:tcPr>
          <w:p w14:paraId="7DD16247" w14:textId="77777777" w:rsidR="001E61A6" w:rsidRPr="00A26FD5" w:rsidRDefault="001E61A6" w:rsidP="00077BB8">
            <w:pPr>
              <w:contextualSpacing/>
              <w:jc w:val="center"/>
              <w:rPr>
                <w:rFonts w:eastAsia="Calibri"/>
                <w:szCs w:val="22"/>
              </w:rPr>
            </w:pPr>
            <w:r w:rsidRPr="00A26FD5">
              <w:rPr>
                <w:rFonts w:eastAsia="Calibri"/>
                <w:szCs w:val="22"/>
              </w:rPr>
              <w:t>0.7170</w:t>
            </w:r>
          </w:p>
        </w:tc>
        <w:tc>
          <w:tcPr>
            <w:tcW w:w="544" w:type="pct"/>
          </w:tcPr>
          <w:p w14:paraId="64B42B1D" w14:textId="77777777" w:rsidR="001E61A6" w:rsidRPr="00A26FD5" w:rsidRDefault="001E61A6" w:rsidP="00077BB8">
            <w:pPr>
              <w:contextualSpacing/>
              <w:jc w:val="center"/>
              <w:rPr>
                <w:rFonts w:eastAsia="Calibri"/>
                <w:szCs w:val="22"/>
              </w:rPr>
            </w:pPr>
            <w:r w:rsidRPr="00A26FD5">
              <w:rPr>
                <w:rFonts w:eastAsia="Calibri"/>
                <w:szCs w:val="22"/>
              </w:rPr>
              <w:t>151</w:t>
            </w:r>
          </w:p>
        </w:tc>
        <w:tc>
          <w:tcPr>
            <w:tcW w:w="807" w:type="pct"/>
          </w:tcPr>
          <w:p w14:paraId="6EE6D1F9" w14:textId="77777777" w:rsidR="001E61A6" w:rsidRPr="00A26FD5" w:rsidRDefault="001E61A6" w:rsidP="00077BB8">
            <w:pPr>
              <w:contextualSpacing/>
              <w:jc w:val="center"/>
              <w:rPr>
                <w:rFonts w:eastAsia="Calibri"/>
                <w:szCs w:val="22"/>
              </w:rPr>
            </w:pPr>
            <w:r w:rsidRPr="00A26FD5">
              <w:rPr>
                <w:rFonts w:eastAsia="Calibri"/>
                <w:szCs w:val="22"/>
              </w:rPr>
              <w:t>0.5570</w:t>
            </w:r>
          </w:p>
        </w:tc>
        <w:tc>
          <w:tcPr>
            <w:tcW w:w="979" w:type="pct"/>
          </w:tcPr>
          <w:p w14:paraId="28122084" w14:textId="77777777" w:rsidR="001E61A6" w:rsidRPr="00A26FD5" w:rsidRDefault="001E61A6" w:rsidP="00077BB8">
            <w:pPr>
              <w:contextualSpacing/>
              <w:jc w:val="center"/>
              <w:rPr>
                <w:rFonts w:eastAsia="Calibri"/>
                <w:szCs w:val="22"/>
              </w:rPr>
            </w:pPr>
            <w:r w:rsidRPr="00A26FD5">
              <w:rPr>
                <w:rFonts w:eastAsia="Calibri"/>
                <w:szCs w:val="22"/>
              </w:rPr>
              <w:t>-22.3</w:t>
            </w:r>
          </w:p>
        </w:tc>
      </w:tr>
    </w:tbl>
    <w:p w14:paraId="00CA93D8" w14:textId="77777777" w:rsidR="001E61A6" w:rsidRPr="008608AA" w:rsidRDefault="001E61A6" w:rsidP="00077BB8">
      <w:pPr>
        <w:rPr>
          <w:rFonts w:eastAsia="Calibri"/>
          <w:sz w:val="20"/>
          <w:szCs w:val="20"/>
        </w:rPr>
      </w:pPr>
      <w:r w:rsidRPr="008608AA">
        <w:rPr>
          <w:rFonts w:eastAsia="Calibri"/>
          <w:sz w:val="20"/>
          <w:szCs w:val="20"/>
        </w:rPr>
        <w:t xml:space="preserve">Note: </w:t>
      </w:r>
    </w:p>
    <w:p w14:paraId="76966CCE" w14:textId="1BA60079" w:rsidR="001E61A6" w:rsidRPr="008608AA" w:rsidRDefault="001E61A6" w:rsidP="00077BB8">
      <w:pPr>
        <w:rPr>
          <w:rFonts w:eastAsia="Calibri"/>
          <w:sz w:val="20"/>
          <w:szCs w:val="20"/>
        </w:rPr>
      </w:pPr>
      <w:r w:rsidRPr="008608AA">
        <w:rPr>
          <w:rFonts w:eastAsia="Calibri"/>
          <w:sz w:val="20"/>
          <w:szCs w:val="20"/>
        </w:rPr>
        <w:t xml:space="preserve">(*) The </w:t>
      </w:r>
      <w:r w:rsidR="00DE1782" w:rsidRPr="008608AA">
        <w:rPr>
          <w:rFonts w:eastAsia="Calibri"/>
          <w:sz w:val="20"/>
          <w:szCs w:val="20"/>
        </w:rPr>
        <w:t>HDI</w:t>
      </w:r>
      <w:r w:rsidRPr="008608AA">
        <w:rPr>
          <w:rFonts w:eastAsia="Calibri"/>
          <w:sz w:val="20"/>
          <w:szCs w:val="20"/>
        </w:rPr>
        <w:t xml:space="preserve"> is a statistic constructed by combining a range of indicators thought to capture human potential and development:  per capita income, education, and life expectancy. The inequality-adjusted HDI statistically adjusts the HDI to account for income inequality, in order to reflect the potential for human development </w:t>
      </w:r>
      <w:r w:rsidR="0059599A" w:rsidRPr="008608AA">
        <w:rPr>
          <w:rFonts w:eastAsia="Calibri"/>
          <w:sz w:val="20"/>
          <w:szCs w:val="20"/>
        </w:rPr>
        <w:t xml:space="preserve">in the absence of inequality. </w:t>
      </w:r>
      <w:r w:rsidRPr="008608AA">
        <w:rPr>
          <w:rFonts w:eastAsia="Calibri"/>
          <w:sz w:val="20"/>
          <w:szCs w:val="20"/>
        </w:rPr>
        <w:t>Higher HDI and inequality-adjusted -HDI scores indicate better conditions in these areas combined; that is, greater human well-being and potential for human well-being, respectively.</w:t>
      </w:r>
    </w:p>
    <w:p w14:paraId="03D9028B" w14:textId="628DF698" w:rsidR="001E61A6" w:rsidRPr="008608AA" w:rsidRDefault="0059599A" w:rsidP="00077BB8">
      <w:pPr>
        <w:rPr>
          <w:rFonts w:eastAsia="Calibri"/>
          <w:sz w:val="20"/>
          <w:szCs w:val="20"/>
        </w:rPr>
      </w:pPr>
      <w:r w:rsidRPr="008608AA">
        <w:rPr>
          <w:rFonts w:eastAsia="Calibri"/>
          <w:sz w:val="20"/>
          <w:szCs w:val="20"/>
        </w:rPr>
        <w:t>(**) Trinidad and</w:t>
      </w:r>
      <w:r w:rsidR="001E61A6" w:rsidRPr="008608AA">
        <w:rPr>
          <w:rFonts w:eastAsia="Calibri"/>
          <w:sz w:val="20"/>
          <w:szCs w:val="20"/>
        </w:rPr>
        <w:t xml:space="preserve"> Tobago, Jamaica, Saint Lucia, Dominican Republic and Haiti. Sources: Based on UNDP (2016).</w:t>
      </w:r>
    </w:p>
    <w:p w14:paraId="46035B74" w14:textId="77777777" w:rsidR="00CC6CB7" w:rsidRPr="008608AA" w:rsidRDefault="00CC6CB7" w:rsidP="00CC6CB7">
      <w:pPr>
        <w:spacing w:before="120"/>
        <w:rPr>
          <w:rFonts w:eastAsia="Calibri"/>
        </w:rPr>
      </w:pPr>
    </w:p>
    <w:p w14:paraId="37433622" w14:textId="77777777" w:rsidR="001E61A6" w:rsidRPr="008608AA" w:rsidRDefault="001E61A6" w:rsidP="00CC6CB7">
      <w:pPr>
        <w:spacing w:before="120"/>
        <w:rPr>
          <w:rFonts w:eastAsia="Calibri"/>
        </w:rPr>
      </w:pPr>
      <w:r w:rsidRPr="008608AA">
        <w:rPr>
          <w:rFonts w:eastAsia="Calibri"/>
        </w:rPr>
        <w:t>The prevalence of extreme poverty in the Americas has decreased considerably since 1981. The World Bank data show that the portion of the population of Latin America and the Caribbean living below the international “income poverty” line of $1.90 per day fell from 23.9% in 1981 to 5.6% in 2012, and that living below the international “working poor” poverty line of $3.10 per day fell from 38.0% to 12.0% over the same period (World Bank, 2017</w:t>
      </w:r>
      <w:r w:rsidRPr="008608AA">
        <w:rPr>
          <w:rStyle w:val="FootnoteReference"/>
          <w:rFonts w:eastAsia="Calibri"/>
          <w:lang w:val="en-GB"/>
        </w:rPr>
        <w:footnoteReference w:id="30"/>
      </w:r>
      <w:r w:rsidRPr="008608AA">
        <w:rPr>
          <w:rFonts w:eastAsia="Calibri"/>
        </w:rPr>
        <w:t xml:space="preserve">). </w:t>
      </w:r>
    </w:p>
    <w:p w14:paraId="28809390" w14:textId="7FA8854F" w:rsidR="001E61A6" w:rsidRPr="008608AA" w:rsidRDefault="001E61A6" w:rsidP="00CC6CB7">
      <w:pPr>
        <w:pStyle w:val="CommentText"/>
        <w:spacing w:before="120" w:after="0"/>
        <w:rPr>
          <w:sz w:val="22"/>
          <w:szCs w:val="22"/>
        </w:rPr>
      </w:pPr>
      <w:r w:rsidRPr="008608AA">
        <w:rPr>
          <w:rFonts w:eastAsia="Calibri"/>
          <w:sz w:val="22"/>
          <w:szCs w:val="22"/>
          <w:lang w:val="en-US"/>
        </w:rPr>
        <w:t>Nevertheless, poverty in the Latin America and the Caribbean</w:t>
      </w:r>
      <w:r w:rsidR="0059599A" w:rsidRPr="008608AA">
        <w:rPr>
          <w:rFonts w:eastAsia="Calibri"/>
          <w:sz w:val="22"/>
          <w:szCs w:val="22"/>
          <w:lang w:val="en-US"/>
        </w:rPr>
        <w:t xml:space="preserve"> region remains a concern. </w:t>
      </w:r>
      <w:r w:rsidRPr="008608AA">
        <w:rPr>
          <w:rFonts w:eastAsia="Calibri"/>
          <w:sz w:val="22"/>
          <w:szCs w:val="22"/>
          <w:lang w:val="en-US"/>
        </w:rPr>
        <w:t>First, the proportion of the population facing extreme poverty varies considerably throughout Latin America and the Caribbean at the country level. More than a quarter of the populations of El Salvador and Honduras live on less than $3.10 per day. Second, extreme income poverty in the Latin America and the Caribbean region, even at reduced levels, affects millions of people, including many children (World Bank, 2017</w:t>
      </w:r>
      <w:r w:rsidRPr="008608AA">
        <w:rPr>
          <w:rStyle w:val="FootnoteReference"/>
          <w:rFonts w:eastAsia="Calibri"/>
        </w:rPr>
        <w:footnoteReference w:id="31"/>
      </w:r>
      <w:r w:rsidRPr="008608AA">
        <w:rPr>
          <w:rFonts w:eastAsia="Calibri"/>
          <w:sz w:val="22"/>
          <w:szCs w:val="22"/>
          <w:lang w:val="en-US"/>
        </w:rPr>
        <w:t>). Third, 38% of the Latin America and the Caribbean region’s population is socioeconomically vulnerable due to a persistent inability to enter the middle class (PNUD, 2016)</w:t>
      </w:r>
      <w:r w:rsidR="0059599A" w:rsidRPr="008608AA">
        <w:rPr>
          <w:rFonts w:eastAsia="Calibri"/>
          <w:sz w:val="22"/>
          <w:szCs w:val="22"/>
          <w:lang w:val="en-US"/>
        </w:rPr>
        <w:t xml:space="preserve">. </w:t>
      </w:r>
      <w:r w:rsidRPr="008608AA">
        <w:rPr>
          <w:rFonts w:eastAsia="Calibri"/>
          <w:sz w:val="22"/>
          <w:szCs w:val="22"/>
          <w:lang w:val="en-US"/>
        </w:rPr>
        <w:t>Fourth, the recent worldwide economic slowdown exacerbates this susceptibility.</w:t>
      </w:r>
    </w:p>
    <w:p w14:paraId="67A9D3A7" w14:textId="77777777" w:rsidR="001E61A6" w:rsidRPr="008608AA" w:rsidRDefault="001E61A6" w:rsidP="00CC6CB7">
      <w:pPr>
        <w:spacing w:before="120"/>
        <w:rPr>
          <w:rFonts w:eastAsia="Calibri"/>
        </w:rPr>
      </w:pPr>
      <w:r w:rsidRPr="008608AA">
        <w:rPr>
          <w:rFonts w:eastAsia="Calibri"/>
        </w:rPr>
        <w:t>The percentage populations living in poverty in 2012 was approximately 26.9% in Latin America, 40.6% in Mesoamerica, and 21% in South America (CEPAL, 2014).  Around 72 million people exited the condition of income-poverty during 2003-2013 in Latin America; however, 25-30 million people are at risk of falling into that condition again as a result of economic vulnerability and social fragility (PNUD, 2016).</w:t>
      </w:r>
    </w:p>
    <w:p w14:paraId="79298D6C" w14:textId="05BD4DF4" w:rsidR="001E61A6" w:rsidRPr="008608AA" w:rsidRDefault="001E61A6" w:rsidP="00CC6CB7">
      <w:pPr>
        <w:spacing w:before="120"/>
        <w:rPr>
          <w:rFonts w:eastAsia="Calibri"/>
        </w:rPr>
      </w:pPr>
      <w:r w:rsidRPr="008608AA">
        <w:rPr>
          <w:rFonts w:eastAsia="Calibri"/>
        </w:rPr>
        <w:t>Poverty not only affects the developing countries in the Americas. The percentage of poor people recently reached 13.9% in the USA population (43.1 million people)</w:t>
      </w:r>
      <w:r w:rsidRPr="008608AA">
        <w:rPr>
          <w:rStyle w:val="FootnoteReference"/>
          <w:rFonts w:eastAsia="Calibri"/>
          <w:lang w:val="en-GB"/>
        </w:rPr>
        <w:footnoteReference w:id="32"/>
      </w:r>
      <w:r w:rsidRPr="008608AA">
        <w:rPr>
          <w:rFonts w:eastAsia="Calibri"/>
        </w:rPr>
        <w:t>; and th</w:t>
      </w:r>
      <w:r w:rsidR="0059599A" w:rsidRPr="008608AA">
        <w:rPr>
          <w:rFonts w:eastAsia="Calibri"/>
        </w:rPr>
        <w:t>ose living in households below s</w:t>
      </w:r>
      <w:r w:rsidRPr="008608AA">
        <w:rPr>
          <w:rFonts w:eastAsia="Calibri"/>
        </w:rPr>
        <w:t xml:space="preserve">tatistics Canada’s low income threshold represented 9.7% in 2013; incidence of low income tended to be higher among children, seniors, and persons in single-parent families (Lammam </w:t>
      </w:r>
      <w:r w:rsidR="00EF7F26" w:rsidRPr="008608AA">
        <w:rPr>
          <w:rFonts w:eastAsia="Calibri"/>
        </w:rPr>
        <w:t>&amp;</w:t>
      </w:r>
      <w:r w:rsidRPr="008608AA">
        <w:rPr>
          <w:rFonts w:eastAsia="Calibri"/>
        </w:rPr>
        <w:t xml:space="preserve"> MacIntyre, 2016).</w:t>
      </w:r>
    </w:p>
    <w:p w14:paraId="4A236DAE" w14:textId="337F2B8B" w:rsidR="001E61A6" w:rsidRPr="008608AA" w:rsidRDefault="001E61A6" w:rsidP="00CC6CB7">
      <w:pPr>
        <w:spacing w:before="120"/>
        <w:rPr>
          <w:rFonts w:eastAsia="Calibri"/>
        </w:rPr>
      </w:pPr>
      <w:r w:rsidRPr="008608AA">
        <w:rPr>
          <w:rFonts w:eastAsia="Calibri"/>
        </w:rPr>
        <w:t>Historically, the needs and priorities of indigenous peoples in the Americas have been largely ignored, mainly affecting indigenous women. This situation has started to change in recent past. By 2010, about 45 million indigenous people (8.3% of the regional population) lived in Latin America, compared with an estimated 30 million in 2000, an increase that is partially a result of population growth but also from the greater visibility of this population in the national censuses. On average, without distinguishing educational levels, the labor income of non-indigenous and Afro-descendant men quadrupled those of indigenous women and almost doubled tho</w:t>
      </w:r>
      <w:r w:rsidR="009656B5" w:rsidRPr="008608AA">
        <w:rPr>
          <w:rFonts w:eastAsia="Calibri"/>
        </w:rPr>
        <w:t xml:space="preserve">se of Afro-descendant women. Between 2009 and </w:t>
      </w:r>
      <w:r w:rsidRPr="008608AA">
        <w:rPr>
          <w:rFonts w:eastAsia="Calibri"/>
        </w:rPr>
        <w:t>2013, around 235 conflicts were identified in Latin America, which were generated by projects of extractive industries (mining and hydrocarbons) in indigenous territories (CEPAL, 2016).</w:t>
      </w:r>
    </w:p>
    <w:p w14:paraId="4C339962" w14:textId="0CC448B4" w:rsidR="001E61A6" w:rsidRPr="008608AA" w:rsidRDefault="009656B5" w:rsidP="00CC6CB7">
      <w:pPr>
        <w:spacing w:before="120"/>
        <w:rPr>
          <w:rFonts w:eastAsia="Calibri"/>
        </w:rPr>
      </w:pPr>
      <w:r w:rsidRPr="008608AA">
        <w:rPr>
          <w:lang w:eastAsia="en-GB"/>
        </w:rPr>
        <w:t>The population of American indians and Alaska n</w:t>
      </w:r>
      <w:r w:rsidR="001E61A6" w:rsidRPr="008608AA">
        <w:rPr>
          <w:lang w:eastAsia="en-GB"/>
        </w:rPr>
        <w:t>atives in the USA, including those of more than one race, comprised approximately 2.0% of the total population (6.6 millions) in 2015</w:t>
      </w:r>
      <w:r w:rsidR="001E61A6" w:rsidRPr="008608AA">
        <w:rPr>
          <w:rStyle w:val="FootnoteReference"/>
          <w:lang w:eastAsia="es-CO"/>
        </w:rPr>
        <w:footnoteReference w:id="33"/>
      </w:r>
      <w:r w:rsidR="001E61A6" w:rsidRPr="008608AA">
        <w:rPr>
          <w:lang w:eastAsia="en-GB"/>
        </w:rPr>
        <w:t>. Data from the National Household Survey in Canada show that 1,400,685 people had an Aboriginal identity in 2011, representing 4.3% of the total population</w:t>
      </w:r>
      <w:r w:rsidR="001E61A6" w:rsidRPr="008608AA">
        <w:rPr>
          <w:rStyle w:val="FootnoteReference"/>
          <w:lang w:eastAsia="es-CO"/>
        </w:rPr>
        <w:footnoteReference w:id="34"/>
      </w:r>
      <w:r w:rsidR="001E61A6" w:rsidRPr="008608AA">
        <w:rPr>
          <w:lang w:eastAsia="en-GB"/>
        </w:rPr>
        <w:t>.</w:t>
      </w:r>
    </w:p>
    <w:p w14:paraId="72901107" w14:textId="77777777" w:rsidR="001E61A6" w:rsidRPr="008608AA" w:rsidRDefault="001E61A6" w:rsidP="00CC6CB7">
      <w:pPr>
        <w:spacing w:before="120"/>
        <w:rPr>
          <w:rFonts w:eastAsia="Calibri"/>
        </w:rPr>
      </w:pPr>
      <w:r w:rsidRPr="008608AA">
        <w:rPr>
          <w:rFonts w:eastAsia="Calibri"/>
        </w:rPr>
        <w:t xml:space="preserve">Another set of </w:t>
      </w:r>
      <w:r w:rsidRPr="008608AA">
        <w:rPr>
          <w:rFonts w:eastAsia="Calibri"/>
          <w:bCs/>
        </w:rPr>
        <w:t>broader societal factors</w:t>
      </w:r>
      <w:r w:rsidRPr="008608AA">
        <w:rPr>
          <w:rFonts w:eastAsia="Calibri"/>
        </w:rPr>
        <w:t xml:space="preserve"> deserving special consideration when dealing with the implications of social development on biodiversity and ecosystem services include worldviews and culture (attitudes to environment/sustainability/equity), life-styles (including diets), and societal tensions and conflict levels.</w:t>
      </w:r>
    </w:p>
    <w:p w14:paraId="1BEA1DE0" w14:textId="4D4DA4FF" w:rsidR="001E61A6" w:rsidRPr="008608AA" w:rsidRDefault="001E61A6" w:rsidP="00CC6CB7">
      <w:pPr>
        <w:spacing w:before="120"/>
        <w:rPr>
          <w:rFonts w:eastAsia="Calibri"/>
        </w:rPr>
      </w:pPr>
      <w:r w:rsidRPr="008608AA">
        <w:rPr>
          <w:rFonts w:eastAsia="Calibri"/>
        </w:rPr>
        <w:t>Culture in the form of the values, norms, and beliefs of a group of people can act as an indirect driver of ecosystem change by affecting environmentally relevant at</w:t>
      </w:r>
      <w:r w:rsidR="00C20336" w:rsidRPr="008608AA">
        <w:rPr>
          <w:rFonts w:eastAsia="Calibri"/>
        </w:rPr>
        <w:t>titudes and behaviours (IPBES</w:t>
      </w:r>
      <w:r w:rsidRPr="008608AA">
        <w:rPr>
          <w:rFonts w:eastAsia="Calibri"/>
        </w:rPr>
        <w:t>, 2016).</w:t>
      </w:r>
    </w:p>
    <w:p w14:paraId="7F88D63D" w14:textId="4879209B" w:rsidR="001E61A6" w:rsidRPr="008608AA" w:rsidRDefault="001E61A6" w:rsidP="00CC6CB7">
      <w:pPr>
        <w:spacing w:before="120"/>
        <w:rPr>
          <w:rFonts w:eastAsia="Calibri"/>
        </w:rPr>
      </w:pPr>
      <w:r w:rsidRPr="008608AA">
        <w:rPr>
          <w:rFonts w:eastAsia="Calibri"/>
        </w:rPr>
        <w:t>Biodiversity and linguistic dive</w:t>
      </w:r>
      <w:r w:rsidR="009656B5" w:rsidRPr="008608AA">
        <w:rPr>
          <w:rFonts w:eastAsia="Calibri"/>
        </w:rPr>
        <w:t xml:space="preserve">rsity are threatened globally. </w:t>
      </w:r>
      <w:r w:rsidRPr="008608AA">
        <w:rPr>
          <w:rFonts w:eastAsia="Calibri"/>
        </w:rPr>
        <w:t>They are declining at different rates in different regions, with the most rapid losses in linguistic diversity occurring in the Americas, which is in parallel to biodiversity loss (</w:t>
      </w:r>
      <w:r w:rsidR="00EF7F26" w:rsidRPr="008608AA">
        <w:rPr>
          <w:rFonts w:eastAsia="Calibri"/>
        </w:rPr>
        <w:t>Maffi, 2005;</w:t>
      </w:r>
      <w:r w:rsidRPr="008608AA">
        <w:rPr>
          <w:rFonts w:eastAsia="Calibri"/>
        </w:rPr>
        <w:t xml:space="preserve"> Harmon </w:t>
      </w:r>
      <w:r w:rsidR="00EF7F26" w:rsidRPr="008608AA">
        <w:rPr>
          <w:rFonts w:eastAsia="Calibri"/>
        </w:rPr>
        <w:t>&amp;</w:t>
      </w:r>
      <w:r w:rsidRPr="008608AA">
        <w:rPr>
          <w:rFonts w:eastAsia="Calibri"/>
        </w:rPr>
        <w:t xml:space="preserve"> Loh, 2010</w:t>
      </w:r>
      <w:r w:rsidR="00EF7F26" w:rsidRPr="008608AA">
        <w:rPr>
          <w:rFonts w:eastAsia="Calibri"/>
        </w:rPr>
        <w:t>;</w:t>
      </w:r>
      <w:r w:rsidRPr="008608AA">
        <w:rPr>
          <w:rFonts w:eastAsia="Calibri"/>
        </w:rPr>
        <w:t xml:space="preserve"> Gorenflo et al., 2012).</w:t>
      </w:r>
    </w:p>
    <w:p w14:paraId="3F8FE762" w14:textId="5E46187F" w:rsidR="001E61A6" w:rsidRPr="008608AA" w:rsidRDefault="001E61A6" w:rsidP="00CC6CB7">
      <w:pPr>
        <w:spacing w:before="120"/>
        <w:rPr>
          <w:rFonts w:eastAsia="Calibri"/>
        </w:rPr>
      </w:pPr>
      <w:r w:rsidRPr="008608AA">
        <w:rPr>
          <w:rFonts w:eastAsia="Calibri"/>
        </w:rPr>
        <w:t xml:space="preserve">In this context, indigenous and local communities’ traditional knowledge provides a comprehensive reflection of prevailing conditions and other key inputs and incorporates methods and approaches that capture holistic values that people place on nature, while internalizing principles and ethical values specific to their world views and realities </w:t>
      </w:r>
      <w:r w:rsidR="00EF7F26" w:rsidRPr="008608AA">
        <w:rPr>
          <w:rFonts w:eastAsia="Calibri"/>
        </w:rPr>
        <w:t>(Illescas and Riqch’arina, 2007;</w:t>
      </w:r>
      <w:r w:rsidRPr="008608AA">
        <w:rPr>
          <w:rFonts w:eastAsia="Calibri"/>
        </w:rPr>
        <w:t xml:space="preserve"> </w:t>
      </w:r>
      <w:r w:rsidR="00C20336" w:rsidRPr="008608AA">
        <w:rPr>
          <w:rFonts w:eastAsia="Calibri"/>
        </w:rPr>
        <w:t>Medina, 2014, quoted by IPBES</w:t>
      </w:r>
      <w:r w:rsidRPr="008608AA">
        <w:rPr>
          <w:rFonts w:eastAsia="Calibri"/>
        </w:rPr>
        <w:t>, 2016).</w:t>
      </w:r>
    </w:p>
    <w:p w14:paraId="0EAC72F2" w14:textId="77777777" w:rsidR="001E61A6" w:rsidRPr="008608AA" w:rsidRDefault="001E61A6" w:rsidP="00CC6CB7">
      <w:pPr>
        <w:spacing w:before="120"/>
        <w:rPr>
          <w:rFonts w:eastAsia="Calibri"/>
        </w:rPr>
      </w:pPr>
      <w:r w:rsidRPr="008608AA">
        <w:rPr>
          <w:rFonts w:eastAsia="Calibri"/>
        </w:rPr>
        <w:t>Traditional ecological knowledge can be found all over the world, particularly within indigenous traditions across diverse geographical regions from the Artic to the Amazon, and represents various understandings of ecological relationships, spirituality, and traditional systems of resource management (Alexander et al., 2011). In recent decades, resource managers have gradually begun to embrace the usefulness of applying that knowledge to contemporary stewardship issues in various parts of the world.</w:t>
      </w:r>
    </w:p>
    <w:p w14:paraId="08C26750" w14:textId="11953FC0" w:rsidR="001E61A6" w:rsidRPr="008608AA" w:rsidRDefault="001E61A6" w:rsidP="00CC6CB7">
      <w:pPr>
        <w:spacing w:before="120"/>
        <w:rPr>
          <w:rFonts w:eastAsia="Calibri"/>
        </w:rPr>
      </w:pPr>
      <w:r w:rsidRPr="008608AA">
        <w:rPr>
          <w:rFonts w:eastAsia="Calibri"/>
        </w:rPr>
        <w:t>Indigenous peoples in multiple geographical contexts, including the Americas, have been pushed into marginalized territories that are more sensitive to environmental challenges, in turn limiting their access to food, cultural resources, traditional livelihoods and place-based knowledge. All this disrupts their ability to respond to environmental changes and undermines aspects of their socio–cultural resilience (Ford et al., 2016) (</w:t>
      </w:r>
      <w:r w:rsidR="00DE14EE" w:rsidRPr="008608AA">
        <w:rPr>
          <w:rFonts w:eastAsia="Calibri"/>
        </w:rPr>
        <w:t>Box 4.7</w:t>
      </w:r>
      <w:r w:rsidRPr="008608AA">
        <w:rPr>
          <w:rFonts w:eastAsia="Calibri"/>
        </w:rPr>
        <w:t>).</w:t>
      </w:r>
    </w:p>
    <w:p w14:paraId="250220C9" w14:textId="77777777" w:rsidR="001E61A6" w:rsidRPr="008608AA" w:rsidRDefault="001E61A6" w:rsidP="00CC6CB7">
      <w:pPr>
        <w:spacing w:before="120"/>
        <w:rPr>
          <w:rFonts w:eastAsia="Calibri"/>
        </w:rPr>
      </w:pPr>
      <w:r w:rsidRPr="008608AA">
        <w:rPr>
          <w:rFonts w:eastAsia="Calibri"/>
        </w:rPr>
        <w:t>The broad ways in which indigenous knowledge and experiences are framed mirror common portrayals of indigenous peoples as “victim–heroes”; “victims” through the framing that indigenous peoples are highly vulnerable and “heroes” through the framing that indigenous peoples possess knowledge that can help address the problem (Ford et al., 2016). The complexity and diversity of indigenous experiences and their understanding and responses to environmental challenges are not well captured in many of the cases where indigenous content is documented by peer review literature.</w:t>
      </w:r>
    </w:p>
    <w:p w14:paraId="5DB085C0" w14:textId="77777777" w:rsidR="001E61A6" w:rsidRPr="008608AA" w:rsidRDefault="001E61A6" w:rsidP="00CC6CB7">
      <w:pPr>
        <w:spacing w:before="120"/>
        <w:rPr>
          <w:rFonts w:eastAsia="Calibri"/>
        </w:rPr>
      </w:pPr>
      <w:r w:rsidRPr="008608AA">
        <w:rPr>
          <w:rFonts w:eastAsia="Calibri"/>
        </w:rPr>
        <w:t>Some studies identify the ongoing effects of colonialism, marginalization, power relations, land dispossession and land rights to be central to understanding the human dimensions of global environmental change for indigenous peoples in diverse contexts (Ford et al., 2016).</w:t>
      </w:r>
    </w:p>
    <w:p w14:paraId="58080292" w14:textId="24779B49" w:rsidR="001E61A6" w:rsidRPr="008608AA" w:rsidRDefault="00CC6CB7" w:rsidP="00CC6CB7">
      <w:pPr>
        <w:pStyle w:val="Caption"/>
      </w:pPr>
      <w:bookmarkStart w:id="1429" w:name="_Toc499200379"/>
      <w:bookmarkStart w:id="1430" w:name="_Toc499459222"/>
      <w:bookmarkStart w:id="1431" w:name="_Hlk494357509"/>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7</w:t>
      </w:r>
      <w:r w:rsidR="000E562E">
        <w:rPr>
          <w:noProof/>
        </w:rPr>
        <w:fldChar w:fldCharType="end"/>
      </w:r>
      <w:r w:rsidRPr="008608AA">
        <w:t xml:space="preserve">. </w:t>
      </w:r>
      <w:r w:rsidR="001E61A6" w:rsidRPr="008608AA">
        <w:t xml:space="preserve">Indigenous and local knowledge and values: Implications for </w:t>
      </w:r>
      <w:r w:rsidR="006E1CDF" w:rsidRPr="008608AA">
        <w:t>natural resources m</w:t>
      </w:r>
      <w:r w:rsidR="001E61A6" w:rsidRPr="008608AA">
        <w:t>anagement</w:t>
      </w:r>
      <w:bookmarkEnd w:id="1429"/>
      <w:bookmarkEnd w:id="1430"/>
    </w:p>
    <w:tbl>
      <w:tblPr>
        <w:tblStyle w:val="TableGrid"/>
        <w:tblW w:w="5000" w:type="pct"/>
        <w:tblLook w:val="04A0" w:firstRow="1" w:lastRow="0" w:firstColumn="1" w:lastColumn="0" w:noHBand="0" w:noVBand="1"/>
      </w:tblPr>
      <w:tblGrid>
        <w:gridCol w:w="9487"/>
      </w:tblGrid>
      <w:tr w:rsidR="001E61A6" w:rsidRPr="00A26FD5" w14:paraId="6DFB5C35" w14:textId="77777777" w:rsidTr="00165F74">
        <w:tc>
          <w:tcPr>
            <w:tcW w:w="5000" w:type="pct"/>
          </w:tcPr>
          <w:bookmarkEnd w:id="1431"/>
          <w:p w14:paraId="4657837D" w14:textId="4D8BB324" w:rsidR="001E61A6" w:rsidRPr="00A26FD5" w:rsidRDefault="001E61A6" w:rsidP="00CC6CB7">
            <w:pPr>
              <w:spacing w:before="120"/>
              <w:rPr>
                <w:rFonts w:eastAsia="Calibri"/>
                <w:szCs w:val="22"/>
              </w:rPr>
            </w:pPr>
            <w:r w:rsidRPr="00A26FD5">
              <w:rPr>
                <w:rFonts w:eastAsia="Calibri"/>
                <w:szCs w:val="22"/>
              </w:rPr>
              <w:t>The Americas are populated by many indigenous nations, from the Artic to Patagonia, with a variety of cultures and languages that have developed many different socio-economic systems (nationally and locally). Increasing numbers of historically marginalized groups are joining transnational networks and alliances that promote indigenous mobilization and demand recognition and rights from their respective nation-states and the international community. These rights include protection of and control over their property and possessions (like territories, resources, material culture, genetic material, and sacred sites), practices (cultural performances, arts, and literature), and knowledge (cultural, linguistic, environmental, medical, and agricultural). By linking issues of representation, recognition, resources, and rights, these movements engage and often challenge current theories of culture, power, and difference in sociocultural a</w:t>
            </w:r>
            <w:r w:rsidR="009656B5" w:rsidRPr="00A26FD5">
              <w:rPr>
                <w:rFonts w:eastAsia="Calibri"/>
                <w:szCs w:val="22"/>
              </w:rPr>
              <w:t>nthropology (Hodgson, 2002). Indigenous and local knowledge</w:t>
            </w:r>
            <w:r w:rsidRPr="00A26FD5">
              <w:rPr>
                <w:rFonts w:eastAsia="Calibri"/>
                <w:szCs w:val="22"/>
              </w:rPr>
              <w:t xml:space="preserve"> are expressions of social capital and may act as a driver of biodiversity and ecosystem services supply because of direct influences on land use change (direct influences), as well as its ability to modify the influence of other drivers (interactive influences). Some cases illustrating the role of ILK as drivers of land use change in the Americas, hence on biodiversity and ecosystem services, are presented below:</w:t>
            </w:r>
          </w:p>
          <w:p w14:paraId="265C3432" w14:textId="7345C2DB" w:rsidR="001E61A6" w:rsidRPr="00A26FD5" w:rsidRDefault="001E61A6" w:rsidP="00CC6CB7">
            <w:pPr>
              <w:spacing w:before="120"/>
              <w:rPr>
                <w:rFonts w:eastAsia="Calibri"/>
                <w:szCs w:val="22"/>
              </w:rPr>
            </w:pPr>
            <w:r w:rsidRPr="00A26FD5">
              <w:rPr>
                <w:rFonts w:eastAsia="Calibri"/>
                <w:szCs w:val="22"/>
              </w:rPr>
              <w:t>1. The Is</w:t>
            </w:r>
            <w:r w:rsidR="006E1CDF" w:rsidRPr="00A26FD5">
              <w:rPr>
                <w:rFonts w:eastAsia="Calibri"/>
                <w:szCs w:val="22"/>
              </w:rPr>
              <w:t>obore Sécure National park and indigenous t</w:t>
            </w:r>
            <w:r w:rsidRPr="00A26FD5">
              <w:rPr>
                <w:rFonts w:eastAsia="Calibri"/>
                <w:szCs w:val="22"/>
              </w:rPr>
              <w:t xml:space="preserve">erritory case in Bolivia </w:t>
            </w:r>
            <w:r w:rsidRPr="00A26FD5">
              <w:rPr>
                <w:rFonts w:eastAsia="Calibri"/>
                <w:i/>
                <w:szCs w:val="22"/>
              </w:rPr>
              <w:t>(</w:t>
            </w:r>
            <w:r w:rsidRPr="00A26FD5">
              <w:rPr>
                <w:rFonts w:eastAsia="Calibri"/>
                <w:szCs w:val="22"/>
              </w:rPr>
              <w:t>McNeish</w:t>
            </w:r>
            <w:r w:rsidR="00EF7F26" w:rsidRPr="00A26FD5">
              <w:rPr>
                <w:rFonts w:eastAsia="Calibri"/>
                <w:szCs w:val="22"/>
              </w:rPr>
              <w:t>,</w:t>
            </w:r>
            <w:r w:rsidRPr="00A26FD5">
              <w:rPr>
                <w:rFonts w:eastAsia="Calibri"/>
                <w:szCs w:val="22"/>
              </w:rPr>
              <w:t xml:space="preserve"> 2013). In August 2011, 2000 marchers left the city of Trinidad, the lowland regional capital of the department of Beni, to follow a route that would take them 66 days and 600 kilometers of walking to the capital city of La Paz. The central demand of the protest march was founded on the cessation of a road-building project planned to go through the Isobore Sécure National </w:t>
            </w:r>
            <w:r w:rsidR="009656B5" w:rsidRPr="00A26FD5">
              <w:rPr>
                <w:rFonts w:eastAsia="Calibri"/>
                <w:szCs w:val="22"/>
              </w:rPr>
              <w:t xml:space="preserve">Park and Indigenous Territory. </w:t>
            </w:r>
            <w:r w:rsidRPr="00A26FD5">
              <w:rPr>
                <w:rFonts w:eastAsia="Calibri"/>
                <w:szCs w:val="22"/>
              </w:rPr>
              <w:t>Following a series of meetings between the protesters and the president, the government agreed to pass a legal decree on 24 October 2011 guaranteeing that the road would not pass through the Isobore Sécure National Park and Indigenous Territory. Furthermore, the law stated that the Isobore Sécure National Park and Indigenous Territory would be protected by the state as an ‘intangible’ territory, effectively making the territory out of bounds for all forms of future state or development projects.</w:t>
            </w:r>
          </w:p>
          <w:p w14:paraId="3A4B1737" w14:textId="0F0348EA" w:rsidR="001E61A6" w:rsidRPr="00A26FD5" w:rsidRDefault="009656B5" w:rsidP="00CC6CB7">
            <w:pPr>
              <w:spacing w:before="120"/>
              <w:rPr>
                <w:rFonts w:eastAsia="Calibri"/>
                <w:szCs w:val="22"/>
              </w:rPr>
            </w:pPr>
            <w:r w:rsidRPr="00A26FD5">
              <w:rPr>
                <w:rFonts w:eastAsia="Calibri"/>
                <w:szCs w:val="22"/>
              </w:rPr>
              <w:t>2. Shrimp farming versus</w:t>
            </w:r>
            <w:r w:rsidR="001E61A6" w:rsidRPr="00A26FD5">
              <w:rPr>
                <w:rFonts w:eastAsia="Calibri"/>
                <w:szCs w:val="22"/>
              </w:rPr>
              <w:t xml:space="preserve"> mangroves in coastal Ecuador</w:t>
            </w:r>
            <w:r w:rsidR="00077BB8" w:rsidRPr="00A26FD5">
              <w:rPr>
                <w:rFonts w:eastAsia="Calibri"/>
                <w:szCs w:val="22"/>
              </w:rPr>
              <w:t xml:space="preserve"> </w:t>
            </w:r>
            <w:r w:rsidR="001E61A6" w:rsidRPr="00A26FD5">
              <w:rPr>
                <w:rFonts w:eastAsia="Calibri"/>
                <w:szCs w:val="22"/>
              </w:rPr>
              <w:t>(Veuthey &amp; Gerber</w:t>
            </w:r>
            <w:r w:rsidRPr="00A26FD5">
              <w:rPr>
                <w:rFonts w:eastAsia="Calibri"/>
                <w:szCs w:val="22"/>
              </w:rPr>
              <w:t>,</w:t>
            </w:r>
            <w:r w:rsidR="001E61A6" w:rsidRPr="00A26FD5">
              <w:rPr>
                <w:rFonts w:eastAsia="Calibri"/>
                <w:szCs w:val="22"/>
              </w:rPr>
              <w:t xml:space="preserve"> 2012). Over the last two decades, the global production of farm-raised shrimps has increased at a faster rate than any other aquacultural product, leading to massive socio-ecological damages in the mangrove areas where shrimp farming often takes place. Consequently, an increasing number of conflicts pitting coastal populations against shrimp farmers have been reported; although, very few conflict</w:t>
            </w:r>
            <w:r w:rsidRPr="00A26FD5">
              <w:rPr>
                <w:rFonts w:eastAsia="Calibri"/>
                <w:szCs w:val="22"/>
              </w:rPr>
              <w:t xml:space="preserve">s have been studied in detail. </w:t>
            </w:r>
            <w:r w:rsidR="001E61A6" w:rsidRPr="00A26FD5">
              <w:rPr>
                <w:rFonts w:eastAsia="Calibri"/>
                <w:szCs w:val="22"/>
              </w:rPr>
              <w:t>According to the authors, the development of shrimp farming can be understood as a modern case of enclosure movement whereby customary community mangroves are privatized for the building of shrimp ponds. As a result, local mangrove-dependent populations – especially women – mobilized and protested against a form of ecologically unequal exchange. While only some mangroves could be saved or reforested as a result of the movement, women’s mobilization has had the unexpected effect of challenging gender relations in their communities.</w:t>
            </w:r>
          </w:p>
          <w:p w14:paraId="6DC66388" w14:textId="0C10F0D5" w:rsidR="001E61A6" w:rsidRPr="00A26FD5" w:rsidRDefault="001E61A6" w:rsidP="00CC6CB7">
            <w:pPr>
              <w:spacing w:before="120"/>
              <w:rPr>
                <w:rFonts w:eastAsia="Calibri"/>
                <w:szCs w:val="22"/>
              </w:rPr>
            </w:pPr>
            <w:r w:rsidRPr="00A26FD5">
              <w:rPr>
                <w:rFonts w:eastAsia="Calibri"/>
                <w:szCs w:val="22"/>
              </w:rPr>
              <w:t>3. Oil frontiers and indigenous resistance in the Peruvian Amazon (Orta-Martínez &amp; Finer</w:t>
            </w:r>
            <w:r w:rsidR="009656B5" w:rsidRPr="00A26FD5">
              <w:rPr>
                <w:rFonts w:eastAsia="Calibri"/>
                <w:szCs w:val="22"/>
              </w:rPr>
              <w:t>,</w:t>
            </w:r>
            <w:r w:rsidRPr="00A26FD5">
              <w:rPr>
                <w:rFonts w:eastAsia="Calibri"/>
                <w:szCs w:val="22"/>
              </w:rPr>
              <w:t xml:space="preserve"> 2010). The Peruvian Amazon is culturally and biologically one of the most diverse regions on Earth. Since the 1920s oil exploration and extraction in the region have threatened both biodiversity and indigenous peoples, particularly those living in voluntary isolation. Modern patterns of production and consumption and high oil prices are forcing a new oil exploratory boom in the Peruvian Amazon. While conflicts spread on indigenous territories, new forms of resistance appear and indigenous political organizations are born and become more powerful. </w:t>
            </w:r>
          </w:p>
          <w:p w14:paraId="6EE54E57" w14:textId="77777777" w:rsidR="001E61A6" w:rsidRPr="00A26FD5" w:rsidRDefault="001E61A6" w:rsidP="00CC6CB7">
            <w:pPr>
              <w:spacing w:before="120"/>
              <w:rPr>
                <w:rFonts w:eastAsia="Calibri"/>
                <w:szCs w:val="22"/>
              </w:rPr>
            </w:pPr>
            <w:r w:rsidRPr="00A26FD5">
              <w:rPr>
                <w:rFonts w:eastAsia="Calibri"/>
                <w:szCs w:val="22"/>
              </w:rPr>
              <w:t xml:space="preserve">4. Indigenous land and deforestation control in Amazon (Nepstad et al., 2006). </w:t>
            </w:r>
            <w:r w:rsidRPr="00A26FD5">
              <w:rPr>
                <w:rFonts w:eastAsia="Calibri"/>
                <w:iCs/>
                <w:szCs w:val="22"/>
              </w:rPr>
              <w:t>Indigenous lands occupy one-fifth of the Brazilian Amazon. Analyses of satellite-based maps of land cover and fire occurrence in the Brazilian Amazon compared the performance of large (</w:t>
            </w:r>
            <w:r w:rsidRPr="00A26FD5">
              <w:rPr>
                <w:rFonts w:eastAsia="Calibri"/>
                <w:szCs w:val="22"/>
              </w:rPr>
              <w:t>&gt;</w:t>
            </w:r>
            <w:r w:rsidRPr="00A26FD5">
              <w:rPr>
                <w:rFonts w:eastAsia="Calibri"/>
                <w:iCs/>
                <w:szCs w:val="22"/>
              </w:rPr>
              <w:t>10,000 ha) un-inhabited (parks) and inhabited (indigenous lands, extractive reserves, and national forests) reserves. Reserves significantly reduced both deforestation and fire. There was no significant difference in the inhibition of deforestation or fire between parks and indigenous lands, but uninhabited reserves tended to be located away from areas of high deforestation and burning rates. In contrast, indigenous lands were often created in response to frontier expansion, and many prevented complete deforestation despite high rates of deforestation along their boundaries.</w:t>
            </w:r>
          </w:p>
        </w:tc>
      </w:tr>
    </w:tbl>
    <w:p w14:paraId="13FFB6F7" w14:textId="77777777" w:rsidR="00CC6CB7" w:rsidRPr="008608AA" w:rsidRDefault="00CC6CB7" w:rsidP="008B3BCD">
      <w:bookmarkStart w:id="1432" w:name="_Toc350507793"/>
      <w:bookmarkStart w:id="1433" w:name="_Toc477160196"/>
      <w:bookmarkStart w:id="1434" w:name="_Toc357244080"/>
      <w:bookmarkStart w:id="1435" w:name="_Toc357981993"/>
      <w:bookmarkStart w:id="1436" w:name="_Toc357985211"/>
      <w:bookmarkStart w:id="1437" w:name="_Toc499459672"/>
      <w:bookmarkStart w:id="1438" w:name="_Toc503293137"/>
      <w:bookmarkStart w:id="1439" w:name="_Toc503293735"/>
      <w:bookmarkStart w:id="1440" w:name="_Toc503293997"/>
      <w:bookmarkStart w:id="1441" w:name="_Toc503863390"/>
      <w:bookmarkStart w:id="1442" w:name="_Toc503863618"/>
      <w:bookmarkEnd w:id="1357"/>
      <w:bookmarkEnd w:id="1358"/>
      <w:bookmarkEnd w:id="1359"/>
    </w:p>
    <w:p w14:paraId="5B3F4801" w14:textId="04AA1D95" w:rsidR="00CC6CB7" w:rsidRPr="008608AA" w:rsidRDefault="00976E9A" w:rsidP="00CC6CB7">
      <w:pPr>
        <w:pStyle w:val="Heading2"/>
      </w:pPr>
      <w:bookmarkStart w:id="1443" w:name="_Toc517393339"/>
      <w:bookmarkStart w:id="1444" w:name="_Toc517394396"/>
      <w:bookmarkStart w:id="1445" w:name="_Toc517719080"/>
      <w:bookmarkStart w:id="1446" w:name="_Toc517797037"/>
      <w:r w:rsidRPr="008608AA">
        <w:t>Direct anthropogenic d</w:t>
      </w:r>
      <w:r w:rsidR="001E61A6" w:rsidRPr="008608AA">
        <w:t>rivers</w:t>
      </w:r>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p>
    <w:p w14:paraId="5A8712AC" w14:textId="62453499" w:rsidR="001E61A6" w:rsidRPr="008608AA" w:rsidRDefault="00976E9A" w:rsidP="00CC6CB7">
      <w:pPr>
        <w:pStyle w:val="Heading3"/>
      </w:pPr>
      <w:bookmarkStart w:id="1447" w:name="_Toc350507794"/>
      <w:bookmarkStart w:id="1448" w:name="_Toc477160197"/>
      <w:bookmarkStart w:id="1449" w:name="_Toc357244081"/>
      <w:bookmarkStart w:id="1450" w:name="_Toc357981994"/>
      <w:bookmarkStart w:id="1451" w:name="_Toc357985212"/>
      <w:bookmarkStart w:id="1452" w:name="_Toc499459673"/>
      <w:bookmarkStart w:id="1453" w:name="_Toc503293138"/>
      <w:bookmarkStart w:id="1454" w:name="_Toc503293736"/>
      <w:bookmarkStart w:id="1455" w:name="_Toc503293998"/>
      <w:bookmarkStart w:id="1456" w:name="_Toc503863391"/>
      <w:bookmarkStart w:id="1457" w:name="_Toc503863619"/>
      <w:bookmarkStart w:id="1458" w:name="_Toc517393340"/>
      <w:bookmarkStart w:id="1459" w:name="_Toc517394397"/>
      <w:bookmarkStart w:id="1460" w:name="_Toc517719081"/>
      <w:bookmarkStart w:id="1461" w:name="_Toc517797038"/>
      <w:r w:rsidRPr="008608AA">
        <w:t>Habitat degradation and r</w:t>
      </w:r>
      <w:r w:rsidR="001E61A6" w:rsidRPr="008608AA">
        <w:t>estoration</w:t>
      </w:r>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r w:rsidR="001E61A6" w:rsidRPr="008608AA">
        <w:t xml:space="preserve"> </w:t>
      </w:r>
    </w:p>
    <w:p w14:paraId="70DFF823" w14:textId="77777777" w:rsidR="00CC6CB7" w:rsidRPr="008608AA" w:rsidRDefault="00CC6CB7" w:rsidP="00CC6CB7">
      <w:pPr>
        <w:pStyle w:val="Heading4"/>
        <w:numPr>
          <w:ilvl w:val="0"/>
          <w:numId w:val="0"/>
        </w:numPr>
        <w:ind w:left="862" w:hanging="862"/>
      </w:pPr>
    </w:p>
    <w:p w14:paraId="0AE42814" w14:textId="77777777" w:rsidR="001E61A6" w:rsidRPr="008608AA" w:rsidRDefault="001E61A6" w:rsidP="00CC6CB7">
      <w:pPr>
        <w:pStyle w:val="Heading4"/>
        <w:numPr>
          <w:ilvl w:val="0"/>
          <w:numId w:val="0"/>
        </w:numPr>
        <w:ind w:left="862" w:hanging="862"/>
      </w:pPr>
      <w:bookmarkStart w:id="1462" w:name="_Toc517393341"/>
      <w:bookmarkStart w:id="1463" w:name="_Toc517394398"/>
      <w:bookmarkStart w:id="1464" w:name="_Toc517719082"/>
      <w:bookmarkStart w:id="1465" w:name="_Toc517797039"/>
      <w:r w:rsidRPr="008608AA">
        <w:t>Nature of the driver, its recent status and trends, and what influences its intensity</w:t>
      </w:r>
      <w:bookmarkEnd w:id="1462"/>
      <w:bookmarkEnd w:id="1463"/>
      <w:bookmarkEnd w:id="1464"/>
      <w:bookmarkEnd w:id="1465"/>
    </w:p>
    <w:p w14:paraId="6DE247B4" w14:textId="1F8BEBBC" w:rsidR="001E61A6" w:rsidRPr="008608AA" w:rsidRDefault="001E61A6" w:rsidP="00CC6CB7">
      <w:pPr>
        <w:widowControl w:val="0"/>
        <w:tabs>
          <w:tab w:val="left" w:pos="220"/>
          <w:tab w:val="left" w:pos="720"/>
        </w:tabs>
        <w:autoSpaceDE w:val="0"/>
        <w:autoSpaceDN w:val="0"/>
        <w:adjustRightInd w:val="0"/>
        <w:spacing w:before="120"/>
        <w:rPr>
          <w:rFonts w:eastAsiaTheme="majorEastAsia"/>
        </w:rPr>
      </w:pPr>
      <w:r w:rsidRPr="008608AA">
        <w:rPr>
          <w:rFonts w:eastAsiaTheme="majorEastAsia"/>
        </w:rPr>
        <w:t>Habitat degradation includes land conversion and intensification of croplands and rangelands; wetland drainage and conversion; construction of roads, dams, pipelines, and transmission lines; sprawl; pollution, and resource extraction. Physical alterations of freshwater habitats also include change in hydrological regime (flow regime and water withdrawals). Marine environment degradation is increasing in some areas with increased shipping and bottom trawling, coastal construction (ports, marinas, housing and other development, and pollution with various forms of se</w:t>
      </w:r>
      <w:r w:rsidR="005B37D6" w:rsidRPr="008608AA">
        <w:rPr>
          <w:rFonts w:eastAsiaTheme="majorEastAsia"/>
        </w:rPr>
        <w:t>diment and chemical discharges.</w:t>
      </w:r>
      <w:r w:rsidRPr="008608AA">
        <w:rPr>
          <w:rFonts w:eastAsiaTheme="majorEastAsia"/>
        </w:rPr>
        <w:t xml:space="preserve"> Aquaculture (farming of marine flora and fauna) also can contribute to habitat degradation (for ponds, access and infrastructure; for feed: fishing to produce fish meal, hormone and antibiotic additives; discharges in the form of fecal pollution, etc.). Pollution as a driver of change will be discussed in the section 4.4.2.</w:t>
      </w:r>
    </w:p>
    <w:p w14:paraId="1CE5A653" w14:textId="5C819D6E" w:rsidR="001E61A6" w:rsidRPr="008608AA" w:rsidRDefault="001E61A6" w:rsidP="00CC6CB7">
      <w:pPr>
        <w:widowControl w:val="0"/>
        <w:tabs>
          <w:tab w:val="left" w:pos="220"/>
          <w:tab w:val="left" w:pos="720"/>
        </w:tabs>
        <w:autoSpaceDE w:val="0"/>
        <w:autoSpaceDN w:val="0"/>
        <w:adjustRightInd w:val="0"/>
        <w:spacing w:before="120"/>
        <w:rPr>
          <w:rFonts w:eastAsiaTheme="majorEastAsia"/>
        </w:rPr>
      </w:pPr>
      <w:r w:rsidRPr="008608AA">
        <w:rPr>
          <w:rFonts w:eastAsiaTheme="majorEastAsia"/>
        </w:rPr>
        <w:t xml:space="preserve">Habitat loss and degradation are considered the greatest threats to biodiversity </w:t>
      </w:r>
      <w:r w:rsidRPr="008608AA">
        <w:fldChar w:fldCharType="begin" w:fldLock="1"/>
      </w:r>
      <w:r w:rsidRPr="008608AA">
        <w:instrText>ADDIN CSL_CITATION { "citationItems" : [ { "id" : "ITEM-1", "itemData" : { "DOI" : "10.2307/1313420", "ISBN" : "0006-3568", "ISSN" : "00063568", "PMID" : "3029", "abstract" : "Habitat loss is the single greatest threat to biodiversity, followed by the spread of alien species", "author" : [ { "dropping-particle" : "", "family" : "Wilcove", "given" : "David S.", "non-dropping-particle" : "", "parse-names" : false, "suffix" : "" }, { "dropping-particle" : "", "family" : "Rothstein", "given" : "David", "non-dropping-particle" : "", "parse-names" : false, "suffix" : "" }, { "dropping-particle" : "", "family" : "Dubow", "given" : "Jason", "non-dropping-particle" : "", "parse-names" : false, "suffix" : "" }, { "dropping-particle" : "", "family" : "Phillips", "given" : "Ali", "non-dropping-particle" : "", "parse-names" : false, "suffix" : "" }, { "dropping-particle" : "", "family" : "Losos", "given" : "Elizabeth", "non-dropping-particle" : "", "parse-names" : false, "suffix" : "" } ], "container-title" : "BioScience", "id" : "ITEM-1", "issue" : "8", "issued" : { "date-parts" : [ [ "1998" ] ] }, "page" : "607-615", "title" : "Quantifying threats to imperiled species in the United States", "type" : "article-journal", "volume" : "48" }, "uris" : [ "http://www.mendeley.com/documents/?uuid=32a57054-6ab3-4d27-9ef9-daf3ba8c103b" ] }, { "id" : "ITEM-2", "itemData" : { "DOI" : "10.1126/science.287.5459.1770", "ISBN" : "0036-8075", "ISSN" : "00368075", "PMID" : "10710299", "abstract" : "Scenarios of changes in biodiversity for the year 2100 can now be developed based on scenarios of changes in atmospheric carbon dioxide, climate, vegetation, and land use and the known sensitivity of biodiversity to these changes. This study identified a ranking of the importance of drivers of change, a ranking of the biomes with respect to expected changes, and the major sources of uncertainties. For terrestrial ecosys- tems, land-use change probably will have the largest effect, followed by climate change, nitrogen deposition, biotic exchange, and elevated carbon dioxide concentra- tion. For freshwater ecosystems, biotic exchange is much more important. Mediter- ranean climate and grassland ecosystems likely will experience the greatest propor- tional change in biodiversity because of the substantial influence of all drivers of biodiversity change. Northern temperate ecosystems are estimated to experience the least biodiversity change because major land-use change has already occurred. Plau- sible changes in biodiversity in other biomes depend on interactions among the causes of biodiversity change. These interactions represent one of the largest uncertainties in projections of future biodiversity change.", "author" : [ { "dropping-particle" : "", "family" : "Sala", "given" : "Osvaldo E.", "non-dropping-particle" : "", "parse-names" : false, "suffix" : "" }, { "dropping-particle" : "", "family" : "Chapin III", "given" : "F. Stuart", "non-dropping-particle" : "", "parse-names" : false, "suffix" : "" }, { "dropping-particle" : "", "family" : "Armesto", "given" : "Juan J.", "non-dropping-particle" : "", "parse-names" : false, "suffix" : "" }, { "dropping-particle" : "", "family" : "Berlow", "given" : "Eric", "non-dropping-particle" : "", "parse-names" : false, "suffix" : "" }, { "dropping-particle" : "", "family" : "Bloomfield", "given" : "Janine", "non-dropping-particle" : "", "parse-names" : false, "suffix" : "" }, { "dropping-particle" : "", "family" : "Dirzo", "given" : "Rodolfo", "non-dropping-particle" : "", "parse-names" : false, "suffix" : "" }, { "dropping-particle" : "", "family" : "Huber-Sanwald", "given" : "Elisabeth", "non-dropping-particle" : "", "parse-names" : false, "suffix" : "" }, { "dropping-particle" : "", "family" : "Huenneke", "given" : "Laura F.", "non-dropping-particle" : "", "parse-names" : false, "suffix" : "" }, { "dropping-particle" : "", "family" : "Jackson", "given" : "Robert B.", "non-dropping-particle" : "", "parse-names" : false, "suffix" : "" }, { "dropping-particle" : "", "family" : "Kinzig", "given" : "Ann", "non-dropping-particle" : "", "parse-names" : false, "suffix" : "" }, { "dropping-particle" : "", "family" : "Leemans", "given" : "Rik", "non-dropping-particle" : "", "parse-names" : false, "suffix" : "" }, { "dropping-particle" : "", "family" : "Lodge", "given" : "David M.", "non-dropping-particle" : "", "parse-names" : false, "suffix" : "" }, { "dropping-particle" : "", "family" : "Mooney", "given" : "Harold A.", "non-dropping-particle" : "", "parse-names" : false, "suffix" : "" }, { "dropping-particle" : "", "family" : "Oesterheld", "given" : "Mart\u00edn", "non-dropping-particle" : "", "parse-names" : false, "suffix" : "" }, { "dropping-particle" : "", "family" : "Poff", "given" : "N. Leroy", "non-dropping-particle" : "", "parse-names" : false, "suffix" : "" }, { "dropping-particle" : "", "family" : "Skykes", "given" : "Mart\u00edn T.", "non-dropping-particle" : "", "parse-names" : false, "suffix" : "" }, { "dropping-particle" : "", "family" : "Walker", "given" : "Brian H.", "non-dropping-particle" : "", "parse-names" : false, "suffix" : "" }, { "dropping-particle" : "", "family" : "Walker", "given" : "Marilyn", "non-dropping-particle" : "", "parse-names" : false, "suffix" : "" }, { "dropping-particle" : "", "family" : "Wall", "given" : "Diana H.", "non-dropping-particle" : "", "parse-names" : false, "suffix" : "" } ], "container-title" : "Science", "id" : "ITEM-2", "issued" : { "date-parts" : [ [ "2000" ] ] }, "page" : "1770 - 1774", "title" : "Global Biodiversity Scenarios for the Year 2100", "type" : "article-journal", "volume" : "287" }, "uris" : [ "http://www.mendeley.com/documents/?uuid=e402bda0-1589-4620-a271-57e051fbcf68" ] } ], "mendeley" : { "formattedCitation" : "(Wilcove et al. 1998, Sala et al. 2000)", "plainTextFormattedCitation" : "(Wilcove et al. 1998, Sala et al. 2000)", "previouslyFormattedCitation" : "(Wilcove et al. 1998, Sala et al. 2000)" }, "properties" : { "noteIndex" : 0 }, "schema" : "https://github.com/citation-style-language/schema/raw/master/csl-citation.json" }</w:instrText>
      </w:r>
      <w:r w:rsidRPr="008608AA">
        <w:fldChar w:fldCharType="separate"/>
      </w:r>
      <w:r w:rsidRPr="008608AA">
        <w:rPr>
          <w:noProof/>
        </w:rPr>
        <w:t>(Wilcove et al., 1998, Sala et al., 2000</w:t>
      </w:r>
      <w:r w:rsidRPr="008608AA">
        <w:fldChar w:fldCharType="end"/>
      </w:r>
      <w:r w:rsidRPr="008608AA">
        <w:rPr>
          <w:rFonts w:eastAsiaTheme="majorEastAsia"/>
        </w:rPr>
        <w:t xml:space="preserve">, </w:t>
      </w:r>
      <w:r w:rsidRPr="008608AA">
        <w:rPr>
          <w:rFonts w:eastAsiaTheme="majorEastAsia"/>
          <w:noProof/>
        </w:rPr>
        <w:t xml:space="preserve">Hanski et al., 2013, </w:t>
      </w:r>
      <w:r w:rsidRPr="008608AA">
        <w:rPr>
          <w:rFonts w:eastAsiaTheme="majorEastAsia"/>
        </w:rPr>
        <w:fldChar w:fldCharType="begin" w:fldLock="1"/>
      </w:r>
      <w:r w:rsidRPr="008608AA">
        <w:rPr>
          <w:rFonts w:eastAsiaTheme="majorEastAsia"/>
        </w:rPr>
        <w:instrText>ADDIN CSL_CITATION { "citationItems" : [ { "id" : "ITEM-1", "itemData" : { "DOI" : "10.1002/ece3.909", "ISBN" : "0003-0147", "ISSN" : "20457758", "PMID" : "24455164", "abstract" : "There is high uncertainty surrounding the magnitude of current and future biodiversity loss that is occurring due to human disturbances. Here, we present a global meta-analysis of experimental and observational studies that report 327 measures of change in species richness between disturbed and undisturbed habitats across both terrestrial and aquatic biomes. On average, human-mediated disturbances lead to an 18.3% decline in species richness. Declines in species richness were highest for endotherms (33.2%), followed by producers (25.1%), and ectotherms (10.5%). Land-use change and species invasions had the largest impact on species richness resulting in a 24.8% and 23.7% decline, respectively, followed by habitat loss (14%), nutrient addition (8.2%), and increases in temperature (3.6%). Across all disturbances, declines in species richness were greater for terrestrial biomes (22.4%) than aquatic biomes (5.9%). In the tropics, habitat loss and land-use change had the largest impact on species richness, whereas in the boreal forest and Northern temperate forests, species invasions had the largest impact on species richness. Along with revealing trends in changes in species richness for different disturbances, biomes, and taxa, our results also identify critical knowledge gaps for predicting the effects of human disturbance on Earth's biomes.", "author" : [ { "dropping-particle" : "", "family" : "Murphy", "given" : "Grace E P", "non-dropping-particle" : "", "parse-names" : false, "suffix" : "" }, { "dropping-particle" : "", "family" : "Romanuk", "given" : "Tamara N.", "non-dropping-particle" : "", "parse-names" : false, "suffix" : "" } ], "container-title" : "Ecology and Evolution", "id" : "ITEM-1", "issue" : "1", "issued" : { "date-parts" : [ [ "2014" ] ] }, "page" : "91-103", "title" : "A meta-analysis of declines in local species richness from human disturbances", "type" : "article-journal", "volume" : "4" }, "uris" : [ "http://www.mendeley.com/documents/?uuid=3b4367e9-2c14-47b7-8486-301d93fdc97e" ] }, { "id" : "ITEM-2", "itemData" : { "DOI" : "10.1126/sciadv.1500052", "ISBN" : "doi : 10.1126/sciadv.1500052", "ISSN" : "2375-2548", "abstract" : "We conducted an analysis of global forest cover to reveal that 70% of remaining forest is within 1 km of the forest\u2019s edge, subject to the degrading effects of fragmentation. A synthesis of fragmentation experiments spanning multiple biomes and scales, five continents, and 35 years demonstrates that habitat fragmentation reduces biodiversity by 13 to 75% and impairs key ecosystem functions by decreasing biomass and altering nutrient cycles. Effects are greatest in the smallest and most isolated fragments, and they magnify with the passage of time. These findings indicate an urgent need for conservation and restoration measures to improve landscape connectivity, which will reduce extinction rates and help maintain ecosystem services.", "author" : [ { "dropping-particle" : "", "family" : "Haddad", "given" : "N. M.", "non-dropping-particle" : "", "parse-names" : false, "suffix" : "" }, { "dropping-particle" : "", "family" : "Brudvig", "given" : "L. a.", "non-dropping-particle" : "", "parse-names" : false, "suffix" : "" }, { "dropping-particle" : "", "family" : "Clobert", "given" : "J.", "non-dropping-particle" : "", "parse-names" : false, "suffix" : "" }, { "dropping-particle" : "", "family" : "Davies", "given" : "K. F.", "non-dropping-particle" : "", "parse-names" : false, "suffix" : "" }, { "dropping-particle" : "", "family" : "Gonzalez", "given" : "A.", "non-dropping-particle" : "", "parse-names" : false, "suffix" : "" }, { "dropping-particle" : "", "family" : "Holt", "given" : "R. D.", "non-dropping-particle" : "", "parse-names" : false, "suffix" : "" }, { "dropping-particle" : "", "family" : "Lovejoy", "given" : "T. E.", "non-dropping-particle" : "", "parse-names" : false, "suffix" : "" }, { "dropping-particle" : "", "family" : "Sexton", "given" : "J. O.", "non-dropping-particle" : "", "parse-names" : false, "suffix" : "" }, { "dropping-particle" : "", "family" : "Austin", "given" : "M. P.", "non-dropping-particle" : "", "parse-names" : false, "suffix" : "" }, { "dropping-particle" : "", "family" : "Collins", "given" : "C. D.", "non-dropping-particle" : "", "parse-names" : false, "suffix" : "" }, { "dropping-particle" : "", "family" : "Cook", "given" : "W. M.", "non-dropping-particle" : "", "parse-names" : false, "suffix" : "" }, { "dropping-particle" : "", "family" : "Damschen", "given" : "E. I.", "non-dropping-particle" : "", "parse-names" : false, "suffix" : "" }, { "dropping-particle" : "", "family" : "Ewers", "given" : "R. M.", "non-dropping-particle" : "", "parse-names" : false, "suffix" : "" }, { "dropping-particle" : "", "family" : "Foster", "given" : "B. L.", "non-dropping-particle" : "", "parse-names" : false, "suffix" : "" }, { "dropping-particle" : "", "family" : "Jenkins", "given" : "C. N.", "non-dropping-particle" : "", "parse-names" : false, "suffix" : "" }, { "dropping-particle" : "", "family" : "King", "given" : "a. J.", "non-dropping-particle" : "", "parse-names" : false, "suffix" : "" }, { "dropping-particle" : "", "family" : "Laurance", "given" : "W. F.", "non-dropping-particle" : "", "parse-names" : false, "suffix" : "" }, { "dropping-particle" : "", "family" : "Levey", "given" : "D. J.", "non-dropping-particle" : "", "parse-names" : false, "suffix" : "" }, { "dropping-particle" : "", "family" : "Margules", "given" : "C. R.", "non-dropping-particle" : "", "parse-names" : false, "suffix" : "" }, { "dropping-particle" : "", "family" : "Melbourne", "given" : "B. a.", "non-dropping-particle" : "", "parse-names" : false, "suffix" : "" }, { "dropping-particle" : "", "family" : "Nicholls", "given" : "a. O.", "non-dropping-particle" : "", "parse-names" : false, "suffix" : "" }, { "dropping-particle" : "", "family" : "Orrock", "given" : "J. L.", "non-dropping-particle" : "", "parse-names" : false, "suffix" : "" }, { "dropping-particle" : "", "family" : "Song", "given" : "D.-X.", "non-dropping-particle" : "", "parse-names" : false, "suffix" : "" }, { "dropping-particle" : "", "family" : "Townshend", "given" : "J. R.", "non-dropping-particle" : "", "parse-names" : false, "suffix" : "" } ], "container-title" : "Science Advances", "id" : "ITEM-2", "issue" : "2", "issued" : { "date-parts" : [ [ "2015" ] ] }, "page" : "1-9", "title" : "Habitat fragmentation and its lasting impact on Earth's ecosystems", "type" : "article-journal", "volume" : "1" }, "uris" : [ "http://www.mendeley.com/documents/?uuid=a6167a8a-4a67-411f-9df7-135e8db863b1" ] }, { "id" : "ITEM-3", "itemData" : { "DOI" : "10.1038/nature14324", "ISBN" : "0028-0836", "ISSN" : "0028-0836", "PMID" : "25832402", "abstract" : "Human activities, especially conversion and degradation of habitats, are causing global biodiversity declines. How local ecological assemblages are responding is less clear\u2014a concern given their importance for many ecosystem functions and services.We analysed a terrestrial assemblage database of unprecedented geographic and taxonomic coverage to quantify local biodiversity responses to land use and related changes. Here we show that in the worst-affected habitats, these pressures reducewithin-sample species richness by anaverage of 76.5%,total abundance by 39.5%andrarefaction-based richness by 40.3%. We estimate that, globally, these pressures have already slightly reduced average within-sample richness (by 13.6%), total abundance (10.7%) and rarefaction-based richness (8.1%), with changes showing marked spatial variation. Rapid further losses are predicted under a business-as-usual land-use scenario; within-sample richness is projected to fall by a further 3.4% globally by 2100, with losses concentrated in biodiverse but economically poor countries. Strongmitigationcan delivermuchmore positive biodiversity changes (up to a 1.9%average increase) that are less strongly related to countries\u2019 socioeconomic status.", "author" : [ { "dropping-particle" : "", "family" : "Newbold", "given" : "Tim", "non-dropping-particle" : "", "parse-names" : false, "suffix" : "" }, { "dropping-particle" : "", "family" : "Hudson", "given" : "Laurence N", "non-dropping-particle" : "", "parse-names" : false, "suffix" : "" }, { "dropping-particle" : "", "family" : "Hill", "given" : "Samantha LL", "non-dropping-particle" : "", "parse-names" : false, "suffix" : "" }, { "dropping-particle" : "", "family" : "Contu", "given" : "Sar", "non-dropping-particle" : "", "parse-names" : false, "suffix" : "" }, { "dropping-particle" : "", "family" : "Lysenko", "given" : "Igor", "non-dropping-particle" : "", "parse-names" : false, "suffix" : "" }, { "dropping-particle" : "", "family" : "Senior", "given" : "Rebecca A", "non-dropping-particle" : "", "parse-names" : false, "suffix" : "" }, { "dropping-particle" : "", "family" : "B\u00f6rger", "given" : "Luca", "non-dropping-particle" : "", "parse-names" : false, "suffix" : "" }, { "dropping-particle" : "", "family" : "Bennett", "given" : "Dominic J", "non-dropping-particle" : "", "parse-names" : false, "suffix" : "" }, { "dropping-particle" : "", "family" : "Choimes", "given" : "Argyrios", "non-dropping-particle" : "", "parse-names" : false, "suffix" : "" }, { "dropping-particle" : "", "family" : "Collen", "given" : "Ben", "non-dropping-particle" : "", "parse-names" : false, "suffix" : "" }, { "dropping-particle" : "", "family" : "Day", "given" : "Julie", "non-dropping-particle" : "", "parse-names" : false, "suffix" : "" }, { "dropping-particle" : "", "family" : "Palma", "given" : "Adriana", "non-dropping-particle" : "De", "parse-names" : false, "suffix" : "" }, { "dropping-particle" : "", "family" : "D\u0131\u00e1z", "given" : "Sandra", "non-dropping-particle" : "", "parse-names" : false, "suffix" : "" }, { "dropping-particle" : "", "family" : "Echeverria-Londo\u00f1o", "given" : "Susy", "non-dropping-particle" : "", "parse-names" : false, "suffix" : "" }, { "dropping-particle" : "", "family" : "Edgar", "given" : "Melanie J", "non-dropping-particle" : "", "parse-names" : false, "suffix" : "" }, { "dropping-particle" : "", "family" : "Feldman", "given" : "Anat", "non-dropping-particle" : "", "parse-names" : false, "suffix" : "" }, { "dropping-particle" : "", "family" : "Garon", "given" : "Morgan", "non-dropping-particle" : "", "parse-names" : false, "suffix" : "" }, { "dropping-particle" : "", "family" : "Harrison", "given" : "Michelle L K", "non-dropping-particle" : "", "parse-names" : false, "suffix" : "" }, { "dropping-particle" : "", "family" : "Alhusseini", "given" : "Tamera", "non-dropping-particle" : "", "parse-names" : false, "suffix" : "" }, { "dropping-particle" : "", "family" : "Ingram", "given" : "Daniel J", "non-dropping-particle" : "", "parse-names" : false, "suffix" : "" }, { "dropping-particle" : "", "family" : "Itescu", "given" : "Yuval", "non-dropping-particle" : "", "parse-names" : false, "suffix" : "" }, { "dropping-particle" : "", "family" : "Kattge", "given" : "Jens", "non-dropping-particle" : "", "parse-names" : false, "suffix" : "" }, { "dropping-particle" : "", "family" : "Kemp", "given" : "Victoria", "non-dropping-particle" : "", "parse-names" : false, "suffix" : "" }, { "dropping-particle" : "", "family" : "Kirkpatrick", "given" : "Lucinda", "non-dropping-particle" : "", "parse-names" : false, "suffix" : "" }, { "dropping-particle" : "", "family" : "Kleyer", "given" : "Michael", "non-dropping-particle" : "", "parse-names" : false, "suffix" : "" }, { "dropping-particle" : "", "family" : "Laginha Pinto Correia", "given" : "David", "non-dropping-particle" : "", "parse-names" : false, "suffix" : "" }, { "dropping-particle" : "", "family" : "Martin", "given" : "Callum D", "non-dropping-particle" : "", "parse-names" : false, "suffix" : "" }, { "dropping-particle" : "", "family" : "Meiri", "given" : "Shai", "non-dropping-particle" : "", "parse-names" : false, "suffix" : "" }, { "dropping-particle" : "", "family" : "Novosolov", "given" : "Maria", "non-dropping-particle" : "", "parse-names" : false, "suffix" : "" }, { "dropping-particle" : "", "family" : "Pan", "given" : "Yuan", "non-dropping-particle" : "", "parse-names" : false, "suffix" : "" }, { "dropping-particle" : "", "family" : "Phillips", "given" : "Helen R P", "non-dropping-particle" : "", "parse-names" : false, "suffix" : "" }, { "dropping-particle" : "", "family" : "Purves", "given" : "Drew W", "non-dropping-particle" : "", "parse-names" : false, "suffix" : "" }, { "dropping-particle" : "", "family" : "Robinson", "given" : "Alexandra", "non-dropping-particle" : "", "parse-names" : false, "suffix" : "" }, { "dropping-particle" : "", "family" : "Simpson", "given" : "Jake", "non-dropping-particle" : "", "parse-names" : false, "suffix" : "" }, { "dropping-particle" : "", "family" : "Tuck", "given" : "Sean L", "non-dropping-particle" : "", "parse-names" : false, "suffix" : "" }, { "dropping-particle" : "", "family" : "Weiher", "given" : "Evan", "non-dropping-particle" : "", "parse-names" : false, "suffix" : "" }, { "dropping-particle" : "", "family" : "White", "given" : "Hannah J", "non-dropping-particle" : "", "parse-names" : false, "suffix" : "" }, { "dropping-particle" : "", "family" : "Ewers", "given" : "Robert M", "non-dropping-particle" : "", "parse-names" : false, "suffix" : "" }, { "dropping-particle" : "", "family" : "Mace", "given" : "Georgina M", "non-dropping-particle" : "", "parse-names" : false, "suffix" : "" }, { "dropping-particle" : "", "family" : "Scharlemann", "given" : "J\u00f6rn PW", "non-dropping-particle" : "", "parse-names" : false, "suffix" : "" }, { "dropping-particle" : "", "family" : "Purvis", "given" : "Andy", "non-dropping-particle" : "", "parse-names" : false, "suffix" : "" } ], "container-title" : "Nature", "id" : "ITEM-3", "issued" : { "date-parts" : [ [ "2015" ] ] }, "page" : "45-", "title" : "Global effects of land use on local terrestrial biodiversity", "type" : "article-journal", "volume" : "520" }, "uris" : [ "http://www.mendeley.com/documents/?uuid=7aea7579-2d6e-4532-be27-0bc8c863c8a8" ] } ], "mendeley" : { "formattedCitation" : "(Murphy and Romanuk 2014, Haddad et al. 2015, Newbold et al. 2015)", "plainTextFormattedCitation" : "(Murphy and Romanuk 2014, Haddad et al. 2015, Newbold et al. 2015)", "previouslyFormattedCitation" : "(Murphy and Romanuk 2014, Haddad et al. 2015, Newbold et al. 2015)"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 xml:space="preserve">Murphy </w:t>
      </w:r>
      <w:r w:rsidR="00EF7F26" w:rsidRPr="008608AA">
        <w:rPr>
          <w:rFonts w:eastAsiaTheme="majorEastAsia"/>
          <w:noProof/>
        </w:rPr>
        <w:t>&amp;</w:t>
      </w:r>
      <w:r w:rsidRPr="008608AA">
        <w:rPr>
          <w:rFonts w:eastAsiaTheme="majorEastAsia"/>
          <w:noProof/>
        </w:rPr>
        <w:t xml:space="preserve"> Romanuk</w:t>
      </w:r>
      <w:r w:rsidR="00EF7F26" w:rsidRPr="008608AA">
        <w:rPr>
          <w:rFonts w:eastAsiaTheme="majorEastAsia"/>
          <w:noProof/>
        </w:rPr>
        <w:t>, 2014;</w:t>
      </w:r>
      <w:r w:rsidR="00BB1E66" w:rsidRPr="008608AA">
        <w:rPr>
          <w:rFonts w:eastAsiaTheme="majorEastAsia"/>
          <w:noProof/>
        </w:rPr>
        <w:t xml:space="preserve"> Haddad et al., 2015;</w:t>
      </w:r>
      <w:r w:rsidRPr="008608AA">
        <w:rPr>
          <w:rFonts w:eastAsiaTheme="majorEastAsia"/>
          <w:noProof/>
        </w:rPr>
        <w:t xml:space="preserve"> Newbold et al., 2015)</w:t>
      </w:r>
      <w:r w:rsidRPr="008608AA">
        <w:rPr>
          <w:rFonts w:eastAsiaTheme="majorEastAsia"/>
        </w:rPr>
        <w:fldChar w:fldCharType="end"/>
      </w:r>
      <w:r w:rsidRPr="008608AA">
        <w:rPr>
          <w:rFonts w:eastAsiaTheme="majorEastAsia"/>
        </w:rPr>
        <w:t xml:space="preserve">. Worldwide, nearly half of tropical dry forests, temperate broadleaf forests, and temperate grasslands, savannas, and shrublands have been converted to human uses </w:t>
      </w:r>
      <w:r w:rsidRPr="008608AA">
        <w:rPr>
          <w:rFonts w:eastAsiaTheme="majorEastAsia"/>
        </w:rPr>
        <w:fldChar w:fldCharType="begin" w:fldLock="1"/>
      </w:r>
      <w:r w:rsidRPr="008608AA">
        <w:rPr>
          <w:rFonts w:eastAsiaTheme="majorEastAsia"/>
        </w:rPr>
        <w:instrText>ADDIN CSL_CITATION { "citationItems" : [ { "id" : "ITEM-1", "itemData" : { "DOI" : "10.1111/j.1461-0248.2004.00686.x", "ISBN" : "1461-023X", "ISSN" : "1461023X", "PMID" : "12", "abstract" : "Human impacts on the natural environment have reached such proportions that in addition to an 'extinction crisis', we now also face a broader 'biome crisis'. Here we identify the world's terrestrial biomes and, at a finer spatial scale, ecoregions in which biodiversity and ecological function are at greatest risk because of extensive habitat conversion and limited habitat protection. Habitat conversion exceeds habitat protection by a ratio of 8 : 1 in temperate grasslands and Mediterranean biomes, and 10 : 1 in more than 140 ecoregions. These regions include some of the most biologically distinctive, species rich ecosystems on Earth, as well as the last home of many threatened and endangered species. Confronting the biome crisis requires a concerted and comprehensive response aimed at protecting not only species, but the variety of landscapes, ecological interactions, and evolutionary pressures that sustain biodiversity, generate ecosystem services, and evolve new species in the future", "author" : [ { "dropping-particle" : "", "family" : "Hoekstra", "given" : "Jonathan M.", "non-dropping-particle" : "", "parse-names" : false, "suffix" : "" }, { "dropping-particle" : "", "family" : "Boucher", "given" : "Timothy M.", "non-dropping-particle" : "", "parse-names" : false, "suffix" : "" }, { "dropping-particle" : "", "family" : "Ricketts", "given" : "Taylor H.", "non-dropping-particle" : "", "parse-names" : false, "suffix" : "" }, { "dropping-particle" : "", "family" : "Roberts", "given" : "Carter", "non-dropping-particle" : "", "parse-names" : false, "suffix" : "" } ], "container-title" : "Ecology Letters", "id" : "ITEM-1", "issue" : "1", "issued" : { "date-parts" : [ [ "2005" ] ] }, "page" : "23-29", "title" : "Confronting a biome crisis: Global disparities of habitat loss and protection", "type" : "article-journal", "volume" : "8" }, "uris" : [ "http://www.mendeley.com/documents/?uuid=71856af1-8299-4621-b676-c6d1d7e5ac07" ] } ], "mendeley" : { "formattedCitation" : "(Hoekstra et al. 2005)", "plainTextFormattedCitation" : "(Hoekstra et al. 2005)", "previouslyFormattedCitation" : "(Hoekstra et al. 2005)"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(Hoekstra et al., 2005)</w:t>
      </w:r>
      <w:r w:rsidRPr="008608AA">
        <w:rPr>
          <w:rFonts w:eastAsiaTheme="majorEastAsia"/>
        </w:rPr>
        <w:fldChar w:fldCharType="end"/>
      </w:r>
      <w:r w:rsidRPr="008608AA">
        <w:rPr>
          <w:rFonts w:eastAsiaTheme="majorEastAsia"/>
        </w:rPr>
        <w:t xml:space="preserve">. Land use change affects biodiversity and ecosystems not only by reducing population sizes and movements, but also by reducing habitat area, increasing habitat isolation, and increasing habitat edge </w:t>
      </w:r>
      <w:r w:rsidRPr="008608AA">
        <w:rPr>
          <w:rFonts w:eastAsiaTheme="majorEastAsia"/>
        </w:rPr>
        <w:fldChar w:fldCharType="begin" w:fldLock="1"/>
      </w:r>
      <w:r w:rsidRPr="008608AA">
        <w:rPr>
          <w:rFonts w:eastAsiaTheme="majorEastAsia"/>
        </w:rPr>
        <w:instrText>ADDIN CSL_CITATION { "citationItems" : [ { "id" : "ITEM-1", "itemData" : { "DOI" : "10.1126/sciadv.1500052", "ISBN" : "doi : 10.1126/sciadv.1500052", "ISSN" : "2375-2548", "abstract" : "We conducted an analysis of global forest cover to reveal that 70% of remaining forest is within 1 km of the forest\u2019s edge, subject to the degrading effects of fragmentation. A synthesis of fragmentation experiments spanning multiple biomes and scales, five continents, and 35 years demonstrates that habitat fragmentation reduces biodiversity by 13 to 75% and impairs key ecosystem functions by decreasing biomass and altering nutrient cycles. Effects are greatest in the smallest and most isolated fragments, and they magnify with the passage of time. These findings indicate an urgent need for conservation and restoration measures to improve landscape connectivity, which will reduce extinction rates and help maintain ecosystem services.", "author" : [ { "dropping-particle" : "", "family" : "Haddad", "given" : "N. M.", "non-dropping-particle" : "", "parse-names" : false, "suffix" : "" }, { "dropping-particle" : "", "family" : "Brudvig", "given" : "L. a.", "non-dropping-particle" : "", "parse-names" : false, "suffix" : "" }, { "dropping-particle" : "", "family" : "Clobert", "given" : "J.", "non-dropping-particle" : "", "parse-names" : false, "suffix" : "" }, { "dropping-particle" : "", "family" : "Davies", "given" : "K. F.", "non-dropping-particle" : "", "parse-names" : false, "suffix" : "" }, { "dropping-particle" : "", "family" : "Gonzalez", "given" : "A.", "non-dropping-particle" : "", "parse-names" : false, "suffix" : "" }, { "dropping-particle" : "", "family" : "Holt", "given" : "R. D.", "non-dropping-particle" : "", "parse-names" : false, "suffix" : "" }, { "dropping-particle" : "", "family" : "Lovejoy", "given" : "T. E.", "non-dropping-particle" : "", "parse-names" : false, "suffix" : "" }, { "dropping-particle" : "", "family" : "Sexton", "given" : "J. O.", "non-dropping-particle" : "", "parse-names" : false, "suffix" : "" }, { "dropping-particle" : "", "family" : "Austin", "given" : "M. P.", "non-dropping-particle" : "", "parse-names" : false, "suffix" : "" }, { "dropping-particle" : "", "family" : "Collins", "given" : "C. D.", "non-dropping-particle" : "", "parse-names" : false, "suffix" : "" }, { "dropping-particle" : "", "family" : "Cook", "given" : "W. M.", "non-dropping-particle" : "", "parse-names" : false, "suffix" : "" }, { "dropping-particle" : "", "family" : "Damschen", "given" : "E. I.", "non-dropping-particle" : "", "parse-names" : false, "suffix" : "" }, { "dropping-particle" : "", "family" : "Ewers", "given" : "R. M.", "non-dropping-particle" : "", "parse-names" : false, "suffix" : "" }, { "dropping-particle" : "", "family" : "Foster", "given" : "B. L.", "non-dropping-particle" : "", "parse-names" : false, "suffix" : "" }, { "dropping-particle" : "", "family" : "Jenkins", "given" : "C. N.", "non-dropping-particle" : "", "parse-names" : false, "suffix" : "" }, { "dropping-particle" : "", "family" : "King", "given" : "a. J.", "non-dropping-particle" : "", "parse-names" : false, "suffix" : "" }, { "dropping-particle" : "", "family" : "Laurance", "given" : "W. F.", "non-dropping-particle" : "", "parse-names" : false, "suffix" : "" }, { "dropping-particle" : "", "family" : "Levey", "given" : "D. J.", "non-dropping-particle" : "", "parse-names" : false, "suffix" : "" }, { "dropping-particle" : "", "family" : "Margules", "given" : "C. R.", "non-dropping-particle" : "", "parse-names" : false, "suffix" : "" }, { "dropping-particle" : "", "family" : "Melbourne", "given" : "B. a.", "non-dropping-particle" : "", "parse-names" : false, "suffix" : "" }, { "dropping-particle" : "", "family" : "Nicholls", "given" : "a. O.", "non-dropping-particle" : "", "parse-names" : false, "suffix" : "" }, { "dropping-particle" : "", "family" : "Orrock", "given" : "J. L.", "non-dropping-particle" : "", "parse-names" : false, "suffix" : "" }, { "dropping-particle" : "", "family" : "Song", "given" : "D.-X.", "non-dropping-particle" : "", "parse-names" : false, "suffix" : "" }, { "dropping-particle" : "", "family" : "Townshend", "given" : "J. R.", "non-dropping-particle" : "", "parse-names" : false, "suffix" : "" } ], "container-title" : "Science Advances", "id" : "ITEM-1", "issue" : "2", "issued" : { "date-parts" : [ [ "2015" ] ] }, "page" : "1-9", "title" : "Habitat fragmentation and its lasting impact on Earth's ecosystems", "type" : "article-journal", "volume" : "1" }, "uris" : [ "http://www.mendeley.com/documents/?uuid=a6167a8a-4a67-411f-9df7-135e8db863b1" ] } ], "mendeley" : { "formattedCitation" : "(Haddad et al. 2015)", "plainTextFormattedCitation" : "(Haddad et al. 2015)", "previouslyFormattedCitation" : "(Haddad et al. 2015)"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(Haddad et al., 2015)</w:t>
      </w:r>
      <w:r w:rsidRPr="008608AA">
        <w:rPr>
          <w:rFonts w:eastAsiaTheme="majorEastAsia"/>
        </w:rPr>
        <w:fldChar w:fldCharType="end"/>
      </w:r>
      <w:r w:rsidRPr="008608AA">
        <w:rPr>
          <w:rFonts w:eastAsiaTheme="majorEastAsia"/>
        </w:rPr>
        <w:t xml:space="preserve">. Reducing area or increasing isolation decreases both species persistence and species richness </w:t>
      </w:r>
      <w:r w:rsidRPr="008608AA">
        <w:rPr>
          <w:rFonts w:eastAsiaTheme="majorEastAsia"/>
        </w:rPr>
        <w:fldChar w:fldCharType="begin" w:fldLock="1"/>
      </w:r>
      <w:r w:rsidRPr="008608AA">
        <w:rPr>
          <w:rFonts w:eastAsiaTheme="majorEastAsia"/>
        </w:rPr>
        <w:instrText>ADDIN CSL_CITATION { "citationItems" : [ { "id" : "ITEM-1", "itemData" : { "DOI" : "10.1126/sciadv.1500052", "ISBN" : "doi : 10.1126/sciadv.1500052", "ISSN" : "2375-2548", "abstract" : "We conducted an analysis of global forest cover to reveal that 70% of remaining forest is within 1 km of the forest\u2019s edge, subject to the degrading effects of fragmentation. A synthesis of fragmentation experiments spanning multiple biomes and scales, five continents, and 35 years demonstrates that habitat fragmentation reduces biodiversity by 13 to 75% and impairs key ecosystem functions by decreasing biomass and altering nutrient cycles. Effects are greatest in the smallest and most isolated fragments, and they magnify with the passage of time. These findings indicate an urgent need for conservation and restoration measures to improve landscape connectivity, which will reduce extinction rates and help maintain ecosystem services.", "author" : [ { "dropping-particle" : "", "family" : "Haddad", "given" : "N. M.", "non-dropping-particle" : "", "parse-names" : false, "suffix" : "" }, { "dropping-particle" : "", "family" : "Brudvig", "given" : "L. a.", "non-dropping-particle" : "", "parse-names" : false, "suffix" : "" }, { "dropping-particle" : "", "family" : "Clobert", "given" : "J.", "non-dropping-particle" : "", "parse-names" : false, "suffix" : "" }, { "dropping-particle" : "", "family" : "Davies", "given" : "K. F.", "non-dropping-particle" : "", "parse-names" : false, "suffix" : "" }, { "dropping-particle" : "", "family" : "Gonzalez", "given" : "A.", "non-dropping-particle" : "", "parse-names" : false, "suffix" : "" }, { "dropping-particle" : "", "family" : "Holt", "given" : "R. D.", "non-dropping-particle" : "", "parse-names" : false, "suffix" : "" }, { "dropping-particle" : "", "family" : "Lovejoy", "given" : "T. E.", "non-dropping-particle" : "", "parse-names" : false, "suffix" : "" }, { "dropping-particle" : "", "family" : "Sexton", "given" : "J. O.", "non-dropping-particle" : "", "parse-names" : false, "suffix" : "" }, { "dropping-particle" : "", "family" : "Austin", "given" : "M. P.", "non-dropping-particle" : "", "parse-names" : false, "suffix" : "" }, { "dropping-particle" : "", "family" : "Collins", "given" : "C. D.", "non-dropping-particle" : "", "parse-names" : false, "suffix" : "" }, { "dropping-particle" : "", "family" : "Cook", "given" : "W. M.", "non-dropping-particle" : "", "parse-names" : false, "suffix" : "" }, { "dropping-particle" : "", "family" : "Damschen", "given" : "E. I.", "non-dropping-particle" : "", "parse-names" : false, "suffix" : "" }, { "dropping-particle" : "", "family" : "Ewers", "given" : "R. M.", "non-dropping-particle" : "", "parse-names" : false, "suffix" : "" }, { "dropping-particle" : "", "family" : "Foster", "given" : "B. L.", "non-dropping-particle" : "", "parse-names" : false, "suffix" : "" }, { "dropping-particle" : "", "family" : "Jenkins", "given" : "C. N.", "non-dropping-particle" : "", "parse-names" : false, "suffix" : "" }, { "dropping-particle" : "", "family" : "King", "given" : "a. J.", "non-dropping-particle" : "", "parse-names" : false, "suffix" : "" }, { "dropping-particle" : "", "family" : "Laurance", "given" : "W. F.", "non-dropping-particle" : "", "parse-names" : false, "suffix" : "" }, { "dropping-particle" : "", "family" : "Levey", "given" : "D. J.", "non-dropping-particle" : "", "parse-names" : false, "suffix" : "" }, { "dropping-particle" : "", "family" : "Margules", "given" : "C. R.", "non-dropping-particle" : "", "parse-names" : false, "suffix" : "" }, { "dropping-particle" : "", "family" : "Melbourne", "given" : "B. a.", "non-dropping-particle" : "", "parse-names" : false, "suffix" : "" }, { "dropping-particle" : "", "family" : "Nicholls", "given" : "a. O.", "non-dropping-particle" : "", "parse-names" : false, "suffix" : "" }, { "dropping-particle" : "", "family" : "Orrock", "given" : "J. L.", "non-dropping-particle" : "", "parse-names" : false, "suffix" : "" }, { "dropping-particle" : "", "family" : "Song", "given" : "D.-X.", "non-dropping-particle" : "", "parse-names" : false, "suffix" : "" }, { "dropping-particle" : "", "family" : "Townshend", "given" : "J. R.", "non-dropping-particle" : "", "parse-names" : false, "suffix" : "" } ], "container-title" : "Science Advances", "id" : "ITEM-1", "issue" : "2", "issued" : { "date-parts" : [ [ "2015" ] ] }, "page" : "1-9", "title" : "Habitat fragmentation and its lasting impact on Earth's ecosystems", "type" : "article-journal", "volume" : "1" }, "uris" : [ "http://www.mendeley.com/documents/?uuid=a6167a8a-4a67-411f-9df7-135e8db863b1" ] } ], "mendeley" : { "formattedCitation" : "(Haddad et al. 2015)", "plainTextFormattedCitation" : "(Haddad et al. 2015)", "previouslyFormattedCitation" : "(Haddad et al. 2015)"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(Haddad et al., 2015)</w:t>
      </w:r>
      <w:r w:rsidRPr="008608AA">
        <w:rPr>
          <w:rFonts w:eastAsiaTheme="majorEastAsia"/>
        </w:rPr>
        <w:fldChar w:fldCharType="end"/>
      </w:r>
      <w:r w:rsidRPr="008608AA">
        <w:rPr>
          <w:rFonts w:eastAsiaTheme="majorEastAsia"/>
        </w:rPr>
        <w:t>.</w:t>
      </w:r>
    </w:p>
    <w:p w14:paraId="312A8137" w14:textId="095901A7" w:rsidR="001E61A6" w:rsidRPr="008608AA" w:rsidRDefault="001E61A6" w:rsidP="00CC6CB7">
      <w:pPr>
        <w:widowControl w:val="0"/>
        <w:tabs>
          <w:tab w:val="left" w:pos="220"/>
          <w:tab w:val="left" w:pos="720"/>
        </w:tabs>
        <w:autoSpaceDE w:val="0"/>
        <w:autoSpaceDN w:val="0"/>
        <w:adjustRightInd w:val="0"/>
        <w:spacing w:before="120"/>
        <w:rPr>
          <w:rFonts w:eastAsiaTheme="majorEastAsia"/>
        </w:rPr>
      </w:pPr>
      <w:r w:rsidRPr="008608AA">
        <w:rPr>
          <w:rFonts w:eastAsiaTheme="majorEastAsia"/>
        </w:rPr>
        <w:t>Forests covered 1.6 billion hectares of land in the Americas, which is approximately 41% of its land area and 40% of worldwide forest area (Yearbook FAO Statistical, 2013). This forest includes 722 million hectares of relatively undisturbed old-growth forest, 57 million hectares of planted forest, and 818 million hectares of forest that regenerated after human disturbance. From 1990 to 2015, forest area expanded in North America by nearly three million hectares and the Caribbean by more than two million hectares but declined in Central America by nearly seven million hectares and in South America by more than 88 million hectares (Keenan et al., 2015). Approximately 34% of forest area is protected in South America (where the percentage of protected forest area doubled from 1990-2005) and less than 9% of forest area is protected in North America (in accordance with the IUCN definition, excluding categories V and VI)</w:t>
      </w:r>
      <w:r w:rsidRPr="008608AA">
        <w:t xml:space="preserve"> </w:t>
      </w:r>
      <w:r w:rsidRPr="008608AA">
        <w:fldChar w:fldCharType="begin" w:fldLock="1"/>
      </w:r>
      <w:r w:rsidRPr="008608AA">
        <w:instrText>ADDIN CSL_CITATION { "citationItems" : [ { "id" : "ITEM-1", "itemData" : { "DOI" : "10.1016/j.foreco.2015.06.011", "ISBN" : "0378-1127", "ISSN" : "03781127", "abstract" : "The global community has recognized the importance of forests for biodiversity, and has prioritized the preservation of forest biodiversity and ecosystem functions through multiple multilateral agreements and processes such as the Convention on Biodiversity's Aichi Targets and the Millennium Development Goals. The Global Forest Resources Assessment (FRA) provides one mechanism for tracking progress toward such goals in three particular areas: primary forest area, protected forest areas, and areas designated for the conservation of biodiversity. In this paper, we quantify current area and trends in forest areas designated for the conservation of biodiversity, protected forest areas, and primary forests by country and biome; and examine the association between total forest area and measures of protection, per-capita income, and population. The overall findings suggest that countries are increasingly protecting forests of ecological significance at the global scale (7.7% of forests were protected in 1990 rising to 16.3% in 2015), with a strong upward trend in protected areas in the tropical domain (from 12% in 1990 to 26.3% in 2015). However, primary forest area has declined by 2.5% globally and by 10% in the tropics over the period 1990-2015 (using data for countries that reported in all years). Given that many species in the tropics are endemic to primary forests, losses in that climatic domain continue to be of concern, although the rate of decline appears to be slowing.Using multiple regression analysis, we find that a 1% increase in protected area or area designated for biodiversity conservation within a country is associated with an increase in total forest area in that country of about 0.03% (p&lt; 0.05). A 1% within-country increase in population density and per capita GDP are associated with a decrease in forest area of about 0.2% (p&lt; 0.01) and an increase in forest area of about 0.08% (p&lt; 0.05) respectively. Our findings also indicate that, since FRA is used as one mechanism for tracking progress toward goals like the AICHI Biodiversity Targets, country correspondents may require additional assistance toward reporting on primary forest, protected forest, and biodiversity conservation statistics.", "author" : [ { "dropping-particle" : "", "family" : "Morales-Hidalgo", "given" : "David", "non-dropping-particle" : "", "parse-names" : false, "suffix" : "" }, { "dropping-particle" : "", "family" : "Oswalt", "given" : "Sonja N.", "non-dropping-particle" : "", "parse-names" : false, "suffix" : "" }, { "dropping-particle" : "", "family" : "Somanathan", "given" : "E.", "non-dropping-particle" : "", "parse-names" : false, "suffix" : "" } ], "container-title" : "Forest Ecology and Management", "id" : "ITEM-1", "issued" : { "date-parts" : [ [ "2015" ] ] }, "page" : "68-77", "title" : "Status and trends in global primary forest, protected areas, and areas designated for conservation of biodiversity from the Global Forest Resources Assessment 2015", "type" : "article-journal", "volume" : "352" }, "uris" : [ "http://www.mendeley.com/documents/?uuid=85889d73-a050-4b8b-8956-1494afe216c2" ] } ], "mendeley" : { "formattedCitation" : "(Morales-Hidalgo et al. 2015)", "plainTextFormattedCitation" : "(Morales-Hidalgo et al. 2015)", "previouslyFormattedCitation" : "(Morales-Hidalgo et al. 2015)" }, "properties" : { "noteIndex" : 0 }, "schema" : "https://github.com/citation-style-language/schema/raw/master/csl-citation.json" }</w:instrText>
      </w:r>
      <w:r w:rsidRPr="008608AA">
        <w:fldChar w:fldCharType="separate"/>
      </w:r>
      <w:r w:rsidRPr="008608AA">
        <w:rPr>
          <w:noProof/>
        </w:rPr>
        <w:t>(Morales-Hidalgo et al., 2015)</w:t>
      </w:r>
      <w:r w:rsidRPr="008608AA">
        <w:fldChar w:fldCharType="end"/>
      </w:r>
      <w:r w:rsidRPr="008608AA">
        <w:rPr>
          <w:rFonts w:eastAsiaTheme="majorEastAsia"/>
        </w:rPr>
        <w:t xml:space="preserve">. Brazil has a much higher proportion of its forest </w:t>
      </w:r>
      <w:r w:rsidR="004F4EC8" w:rsidRPr="008608AA">
        <w:rPr>
          <w:rFonts w:eastAsiaTheme="majorEastAsia"/>
        </w:rPr>
        <w:t>protected (41.8%, 206 million hectares</w:t>
      </w:r>
      <w:r w:rsidRPr="008608AA">
        <w:rPr>
          <w:rFonts w:eastAsiaTheme="majorEastAsia"/>
        </w:rPr>
        <w:t>) than any other country and the USA has protected the second gre</w:t>
      </w:r>
      <w:r w:rsidR="004F4EC8" w:rsidRPr="008608AA">
        <w:rPr>
          <w:rFonts w:eastAsiaTheme="majorEastAsia"/>
        </w:rPr>
        <w:t>atest forest area (33 million hectares</w:t>
      </w:r>
      <w:r w:rsidRPr="008608AA">
        <w:rPr>
          <w:rFonts w:eastAsiaTheme="majorEastAsia"/>
        </w:rPr>
        <w:t xml:space="preserve">, 10.6% of forests; </w:t>
      </w:r>
      <w:r w:rsidRPr="008608AA">
        <w:rPr>
          <w:rFonts w:eastAsiaTheme="majorEastAsia"/>
        </w:rPr>
        <w:fldChar w:fldCharType="begin" w:fldLock="1"/>
      </w:r>
      <w:r w:rsidRPr="008608AA">
        <w:rPr>
          <w:rFonts w:eastAsiaTheme="majorEastAsia"/>
        </w:rPr>
        <w:instrText>ADDIN CSL_CITATION { "citationItems" : [ { "id" : "ITEM-1", "itemData" : { "DOI" : "10.1016/j.foreco.2015.06.011", "ISBN" : "0378-1127", "ISSN" : "03781127", "abstract" : "The global community has recognized the importance of forests for biodiversity, and has prioritized the preservation of forest biodiversity and ecosystem functions through multiple multilateral agreements and processes such as the Convention on Biodiversity's Aichi Targets and the Millennium Development Goals. The Global Forest Resources Assessment (FRA) provides one mechanism for tracking progress toward such goals in three particular areas: primary forest area, protected forest areas, and areas designated for the conservation of biodiversity. In this paper, we quantify current area and trends in forest areas designated for the conservation of biodiversity, protected forest areas, and primary forests by country and biome; and examine the association between total forest area and measures of protection, per-capita income, and population. The overall findings suggest that countries are increasingly protecting forests of ecological significance at the global scale (7.7% of forests were protected in 1990 rising to 16.3% in 2015), with a strong upward trend in protected areas in the tropical domain (from 12% in 1990 to 26.3% in 2015). However, primary forest area has declined by 2.5% globally and by 10% in the tropics over the period 1990-2015 (using data for countries that reported in all years). Given that many species in the tropics are endemic to primary forests, losses in that climatic domain continue to be of concern, although the rate of decline appears to be slowing.Using multiple regression analysis, we find that a 1% increase in protected area or area designated for biodiversity conservation within a country is associated with an increase in total forest area in that country of about 0.03% (p&lt; 0.05). A 1% within-country increase in population density and per capita GDP are associated with a decrease in forest area of about 0.2% (p&lt; 0.01) and an increase in forest area of about 0.08% (p&lt; 0.05) respectively. Our findings also indicate that, since FRA is used as one mechanism for tracking progress toward goals like the AICHI Biodiversity Targets, country correspondents may require additional assistance toward reporting on primary forest, protected forest, and biodiversity conservation statistics.", "author" : [ { "dropping-particle" : "", "family" : "Morales-Hidalgo", "given" : "David", "non-dropping-particle" : "", "parse-names" : false, "suffix" : "" }, { "dropping-particle" : "", "family" : "Oswalt", "given" : "Sonja N.", "non-dropping-particle" : "", "parse-names" : false, "suffix" : "" }, { "dropping-particle" : "", "family" : "Somanathan", "given" : "E.", "non-dropping-particle" : "", "parse-names" : false, "suffix" : "" } ], "container-title" : "Forest Ecology and Management", "id" : "ITEM-1", "issued" : { "date-parts" : [ [ "2015" ] ] }, "page" : "68-77", "title" : "Status and trends in global primary forest, protected areas, and areas designated for conservation of biodiversity from the Global Forest Resources Assessment 2015", "type" : "article-journal", "volume" : "352" }, "uris" : [ "http://www.mendeley.com/documents/?uuid=85889d73-a050-4b8b-8956-1494afe216c2" ] } ], "mendeley" : { "formattedCitation" : "(Morales-Hidalgo et al. 2015)", "manualFormatting" : "Morales-Hidalgo et al. 2015)", "plainTextFormattedCitation" : "(Morales-Hidalgo et al. 2015)", "previouslyFormattedCitation" : "(Morales-Hidalgo et al. 2015)"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Morales-Hidalgo et al., 2015)</w:t>
      </w:r>
      <w:r w:rsidRPr="008608AA">
        <w:rPr>
          <w:rFonts w:eastAsiaTheme="majorEastAsia"/>
        </w:rPr>
        <w:fldChar w:fldCharType="end"/>
      </w:r>
      <w:r w:rsidRPr="008608AA">
        <w:rPr>
          <w:rFonts w:eastAsiaTheme="majorEastAsia"/>
        </w:rPr>
        <w:t xml:space="preserve">. </w:t>
      </w:r>
    </w:p>
    <w:p w14:paraId="46ABE443" w14:textId="6EB74A06" w:rsidR="001E61A6" w:rsidRPr="008608AA" w:rsidRDefault="001E61A6" w:rsidP="00CC6CB7">
      <w:pPr>
        <w:widowControl w:val="0"/>
        <w:autoSpaceDE w:val="0"/>
        <w:autoSpaceDN w:val="0"/>
        <w:adjustRightInd w:val="0"/>
        <w:spacing w:before="120"/>
      </w:pPr>
      <w:r w:rsidRPr="008608AA">
        <w:rPr>
          <w:rFonts w:eastAsiaTheme="majorEastAsia"/>
        </w:rPr>
        <w:t>Conversion to croplands and pasturelands is the main driver of terrestrial habitat change in the region. In 2013, agriculture covered 1.23 billion hectares of land in the Americas, which is approximately 32% of its land area and 25% of the worldwide agricultural land (Yearbook FAO Statistical, 2013). This agriculture included 828 million hectares of permanent meadows or pastures and rangelands used for livestock grazing (68%), 28 million hectares of permanent crops, and 370 million hectares of arable land (~2%), which includes land covered by temporary crops, pasture, or hay meadows (~30%). Conversion patterns differ among subregions. Most land conversion in Mesoamerica and North America occurred more than one century ago, whereas in South America most occurred within the last century. Since 1961, the area of agricultural land has increased by 13% across the Americas, which is the net result of a 40% increase in South America, a 29% increase in the Caribbean, an 11% increase in Central America, and a 9% decrease in North America. From 2001 to 2013, 17% of new cropland and 57% of new pastureland replaced forests throughout Latin America (Aide et al., 2013). Cropland expansion fro</w:t>
      </w:r>
      <w:r w:rsidR="004F4EC8" w:rsidRPr="008608AA">
        <w:rPr>
          <w:rFonts w:eastAsiaTheme="majorEastAsia"/>
        </w:rPr>
        <w:t>m 2001 to 2013 was less (44.27 m</w:t>
      </w:r>
      <w:r w:rsidR="006E4FAE" w:rsidRPr="008608AA">
        <w:rPr>
          <w:rFonts w:eastAsiaTheme="majorEastAsia"/>
        </w:rPr>
        <w:t xml:space="preserve">illion </w:t>
      </w:r>
      <w:r w:rsidR="00DE2986" w:rsidRPr="008608AA">
        <w:rPr>
          <w:rFonts w:eastAsiaTheme="majorEastAsia"/>
        </w:rPr>
        <w:t>hectares</w:t>
      </w:r>
      <w:r w:rsidR="004F4EC8" w:rsidRPr="008608AA">
        <w:rPr>
          <w:rFonts w:eastAsiaTheme="majorEastAsia"/>
        </w:rPr>
        <w:t>) than pastureland (96.9 m</w:t>
      </w:r>
      <w:r w:rsidR="006E4FAE" w:rsidRPr="008608AA">
        <w:rPr>
          <w:rFonts w:eastAsiaTheme="majorEastAsia"/>
        </w:rPr>
        <w:t xml:space="preserve">illion </w:t>
      </w:r>
      <w:r w:rsidR="00DE2986" w:rsidRPr="008608AA">
        <w:rPr>
          <w:rFonts w:eastAsiaTheme="majorEastAsia"/>
        </w:rPr>
        <w:t>hectares</w:t>
      </w:r>
      <w:r w:rsidRPr="008608AA">
        <w:rPr>
          <w:rFonts w:eastAsiaTheme="majorEastAsia"/>
        </w:rPr>
        <w:t xml:space="preserve">), but 44% of cropland in 2013 was new, versus 27% of pastureland, revealing row crop expansion. Most cropland expansion was into pastureland within agricultural regions of Argentina, Brazil, Bolivia, Paraguay, and Uruguay (Graesser et al., 2015, </w:t>
      </w:r>
      <w:r w:rsidRPr="008608AA">
        <w:rPr>
          <w:rFonts w:eastAsiaTheme="majorEastAsia"/>
        </w:rPr>
        <w:fldChar w:fldCharType="begin" w:fldLock="1"/>
      </w:r>
      <w:r w:rsidRPr="008608AA">
        <w:rPr>
          <w:rFonts w:eastAsiaTheme="majorEastAsia"/>
        </w:rPr>
        <w:instrText>ADDIN CSL_CITATION { "citationItems" : [ { "id" : "ITEM-1", "itemData" : { "abstract" : "En Sudam\u00e9rica ocurrieron, en las \u00faltimas d\u00e9cadas, grandes transformaciones del paisaje. Como consecuencias de mejoras tecnol\u00f3gicas, nuevas condiciones en el mercado y precios internacionales, tanto pastizales como bosques o arbustales fueron transformados, principalmente para la producci\u00f3n de soja con fines de exportaci\u00f3n. A partir de teledetecci\u00f3n y Sistemas de Informaci\u00f3n Geogr\u00e1fica se analizaron series temporales de productos del sensor MODIS y se detectaron los principales sistemas de cultivos de 5 pa\u00edses de Sudam\u00e9rica. Se cartografiaron las \u00e1reas de cultivos anuales para los ciclos productivos 2000/01 y 2010/11, se evaluaron de manera espacialmente expl\u00edcita los cambios ocurridos entre los mencionados ciclos y se elaboraron hip\u00f3tesis a fin de entender dichos procesos de cambios. Se observ\u00f3 un incremento del 43% de la superficie cultivada entre ciclos, con una distribuci\u00f3n espacial heterog\u00e9nea. Los cambios m\u00e1s destacables a nivel regional fueron la disminuci\u00f3n del 66% en la superficie ocupada con cultivos de invierno como pr\u00e1ctica \u00fanica, y los incrementos del 62% y 52% en la superficie de los cultivos de verano y doble cultivos, respectivamente. La metodolog\u00eda planteada fue adecuada para llevar a cabo an\u00e1lisis que combinan una gran extensi\u00f3n de territorio y tiemp", "author" : [ { "dropping-particle" : "", "family" : "VOLANTE", "given" : "J.", "non-dropping-particle" : "", "parse-names" : false, "suffix" : "" }, { "dropping-particle" : "", "family" : "MOSCIARO", "given" : "J.", "non-dropping-particle" : "", "parse-names" : false, "suffix" : "" }, { "dropping-particle" : "", "family" : "MORALES POCLAVA", "given" : "M.", "non-dropping-particle" : "", "parse-names" : false, "suffix" : "" }, { "dropping-particle" : "", "family" : "VALE", "given" : "L.", "non-dropping-particle" : "", "parse-names" : false, "suffix" : "" }, { "dropping-particle" : "", "family" : "CASTRILLO", "given" : "S.", "non-dropping-particle" : "", "parse-names" : false, "suffix" : "" }, { "dropping-particle" : "", "family" : "SAWCHIK", "given" : "J.", "non-dropping-particle" : "", "parse-names" : false, "suffix" : "" }, { "dropping-particle" : "", "family" : "TISCORNIA", "given" : "G.", "non-dropping-particle" : "", "parse-names" : false, "suffix" : "" }, { "dropping-particle" : "", "family" : "FUENTE", "given" : "M.", "non-dropping-particle" : "", "parse-names" : false, "suffix" : "" }, { "dropping-particle" : "", "family" : "MALDONADO", "given" : "I.", "non-dropping-particle" : "", "parse-names" : false, "suffix" : "" }, { "dropping-particle" : "", "family" : "VEGA", "given" : "A.", "non-dropping-particle" : "", "parse-names" : false, "suffix" : "" }, { "dropping-particle" : "", "family" : "TRUJILLO", "given" : "R.", "non-dropping-particle" : "", "parse-names" : false, "suffix" : "" }, { "dropping-particle" : "", "family" : "CORTE\u0301Z", "given" : "L.", "non-dropping-particle" : "", "parse-names" : false, "suffix" : "" }, { "dropping-particle" : "", "family" : "PARUELO", "given" : "J.", "non-dropping-particle" : "", "parse-names" : false, "suffix" : "" } ], "container-title" : "Revista de Investigaciones Agripecurias", "id" : "ITEM-1", "issue" : "2", "issued" : { "date-parts" : [ [ "2015" ] ] }, "page" : "179-191", "title" : "Expansio\u0301n agri\u0301cola en Argentina, Bolivia, Paraguay, Uruguay y Chile entre 2000-2010. Caracterizacio\u0301n espacial mediante series temporales de i\u0301ndices de vegetacio\u0301n", "type" : "article-journal", "volume" : "41" }, "uris" : [ "http://www.mendeley.com/documents/?uuid=05f865c8-10d4-4a2c-8e04-f8e8ed074c15" ] } ], "mendeley" : { "formattedCitation" : "(VOLANTE et al. 2015)", "manualFormatting" : "Volante et al. 2015)", "plainTextFormattedCitation" : "(VOLANTE et al. 2015)", "previouslyFormattedCitation" : "(VOLANTE et al. 2015)"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Volante et al., 2015)</w:t>
      </w:r>
      <w:r w:rsidRPr="008608AA">
        <w:rPr>
          <w:rFonts w:eastAsiaTheme="majorEastAsia"/>
        </w:rPr>
        <w:fldChar w:fldCharType="end"/>
      </w:r>
      <w:r w:rsidRPr="008608AA">
        <w:rPr>
          <w:rFonts w:eastAsiaTheme="majorEastAsia"/>
        </w:rPr>
        <w:t xml:space="preserve">. Commodity crop expansion, for both global and domestic urban markets, follows multiple land change pathways entailing direct and indirect deforestation, and has various social and environmental </w:t>
      </w:r>
      <w:r w:rsidR="006E4FAE" w:rsidRPr="008608AA">
        <w:rPr>
          <w:rFonts w:eastAsiaTheme="majorEastAsia"/>
        </w:rPr>
        <w:t>impacts (Meyfroidt et al., 2014, s</w:t>
      </w:r>
      <w:r w:rsidR="006E1CDF" w:rsidRPr="008608AA">
        <w:rPr>
          <w:rFonts w:eastAsiaTheme="majorEastAsia"/>
        </w:rPr>
        <w:t>ee Chap</w:t>
      </w:r>
      <w:r w:rsidR="006E4FAE" w:rsidRPr="008608AA">
        <w:rPr>
          <w:rFonts w:eastAsiaTheme="majorEastAsia"/>
        </w:rPr>
        <w:t xml:space="preserve">ter 2, </w:t>
      </w:r>
      <w:r w:rsidR="006E1CDF" w:rsidRPr="008608AA">
        <w:rPr>
          <w:rFonts w:eastAsiaTheme="majorEastAsia"/>
        </w:rPr>
        <w:t xml:space="preserve">section </w:t>
      </w:r>
      <w:r w:rsidRPr="008608AA">
        <w:rPr>
          <w:rFonts w:eastAsiaTheme="majorEastAsia"/>
        </w:rPr>
        <w:t xml:space="preserve">2.2.1). </w:t>
      </w:r>
    </w:p>
    <w:p w14:paraId="424A02AF" w14:textId="68C64648" w:rsidR="00501A9B" w:rsidRPr="008608AA" w:rsidRDefault="001E61A6" w:rsidP="00CC6CB7">
      <w:pPr>
        <w:widowControl w:val="0"/>
        <w:tabs>
          <w:tab w:val="left" w:pos="220"/>
          <w:tab w:val="left" w:pos="720"/>
        </w:tabs>
        <w:autoSpaceDE w:val="0"/>
        <w:autoSpaceDN w:val="0"/>
        <w:adjustRightInd w:val="0"/>
        <w:spacing w:before="120"/>
        <w:rPr>
          <w:rFonts w:eastAsiaTheme="majorEastAsia"/>
        </w:rPr>
      </w:pPr>
      <w:r w:rsidRPr="008608AA">
        <w:rPr>
          <w:rFonts w:eastAsiaTheme="majorEastAsia"/>
        </w:rPr>
        <w:t>Agricultural practices associated with land conversion significantly change biogeochemical cycles contributing to pollution of terrestrial and aquatic ecosystems and to climate change (</w:t>
      </w:r>
      <w:r w:rsidR="00B20C8E" w:rsidRPr="008608AA">
        <w:rPr>
          <w:rFonts w:eastAsiaTheme="majorEastAsia"/>
        </w:rPr>
        <w:t>section</w:t>
      </w:r>
      <w:r w:rsidRPr="008608AA">
        <w:rPr>
          <w:rFonts w:eastAsiaTheme="majorEastAsia"/>
        </w:rPr>
        <w:t xml:space="preserve">s 4.4.2 and 4.4.3). Each year, land conversion results in emissions of approximately one billion metric tonnes of carbon (1 Pg C </w:t>
      </w:r>
      <w:r w:rsidR="00FB64ED" w:rsidRPr="008608AA">
        <w:rPr>
          <w:rFonts w:eastAsiaTheme="majorEastAsia"/>
        </w:rPr>
        <w:t xml:space="preserve">per </w:t>
      </w:r>
      <w:r w:rsidRPr="008608AA">
        <w:rPr>
          <w:rFonts w:eastAsiaTheme="majorEastAsia"/>
        </w:rPr>
        <w:t xml:space="preserve">year), which is 10% of emissions from all human activities </w:t>
      </w:r>
      <w:r w:rsidRPr="008608AA">
        <w:rPr>
          <w:rFonts w:eastAsiaTheme="majorEastAsia"/>
        </w:rPr>
        <w:fldChar w:fldCharType="begin" w:fldLock="1"/>
      </w:r>
      <w:r w:rsidRPr="008608AA">
        <w:rPr>
          <w:rFonts w:eastAsiaTheme="majorEastAsia"/>
        </w:rPr>
        <w:instrText>ADDIN CSL_CITATION { "citationItems" : [ { "id" : "ITEM-1", "itemData" : { "DOI" : "10.1038/ngeo1022", "ISBN" : "1752-0894", "ISSN" : "1752-0894", "abstract" : "Emissions of CO2 are the main contributor to anthropogenic climate change. Here we present updated information on their present and near-future estimates. We calculate that global CO2 emissions from fossil fuel burning decreased by 1.3% in 2009 owing to the global financial and economic crisis that started in 2008; this is half the decrease anticipated a year ago1. If economic growth proceeds as expected2, emissions are projected to increase by more than 3% in 2010, approaching the high emissions growth rates that were observed from 2000 to 20081, 3, 4. We estimate that recent CO2 emissions from deforestation and other land-use changes (LUCs) have declined compared with the 1990s, primarily because of reduced rates of deforestation in the tropics5 and a smaller contribution owing to forest regrowth elsewhere.", "author" : [ { "dropping-particle" : "", "family" : "Friedlingstein", "given" : "P.", "non-dropping-particle" : "", "parse-names" : false, "suffix" : "" }, { "dropping-particle" : "", "family" : "Houghton", "given" : "R.a.", "non-dropping-particle" : "", "parse-names" : false, "suffix" : "" }, { "dropping-particle" : "", "family" : "Marland", "given" : "G.", "non-dropping-particle" : "", "parse-names" : false, "suffix" : "" }, { "dropping-particle" : "", "family" : "Hackler", "given" : "J.", "non-dropping-particle" : "", "parse-names" : false, "suffix" : "" }, { "dropping-particle" : "", "family" : "Boden", "given" : "T.a.", "non-dropping-particle" : "", "parse-names" : false, "suffix" : "" }, { "dropping-particle" : "", "family" : "Conway", "given" : "T.J.", "non-dropping-particle" : "", "parse-names" : false, "suffix" : "" }, { "dropping-particle" : "", "family" : "Canadell", "given" : "J.G.", "non-dropping-particle" : "", "parse-names" : false, "suffix" : "" }, { "dropping-particle" : "", "family" : "Raupach", "given" : "M.R.", "non-dropping-particle" : "", "parse-names" : false, "suffix" : "" }, { "dropping-particle" : "", "family" : "Ciais", "given" : "P.", "non-dropping-particle" : "", "parse-names" : false, "suffix" : "" }, { "dropping-particle" : "", "family" : "Qu\u00e9r\u00e9", "given" : "Corinne", "non-dropping-particle" : "Le", "parse-names" : false, "suffix" : "" } ], "container-title" : "Nature Publishing Group", "id" : "ITEM-1", "issue" : "12", "issued" : { "date-parts" : [ [ "2010" ] ] }, "page" : "811-812", "title" : "Update on CO2 emissions", "type" : "article-journal", "volume" : "3" }, "uris" : [ "http://www.mendeley.com/documents/?uuid=a82e4f20-c0b8-4f92-88bd-7320b78efd80" ] } ], "mendeley" : { "formattedCitation" : "(Friedlingstein et al. 2010)", "plainTextFormattedCitation" : "(Friedlingstein et al. 2010)", "previouslyFormattedCitation" : "(Friedlingstein et al. 2010)"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(Friedlingstein et al., 2010)</w:t>
      </w:r>
      <w:r w:rsidRPr="008608AA">
        <w:rPr>
          <w:rFonts w:eastAsiaTheme="majorEastAsia"/>
        </w:rPr>
        <w:fldChar w:fldCharType="end"/>
      </w:r>
      <w:r w:rsidRPr="008608AA">
        <w:rPr>
          <w:rFonts w:eastAsiaTheme="majorEastAsia"/>
        </w:rPr>
        <w:t xml:space="preserve">. Soil carbon losses also diminish crop yields and degrade water quality. Nitrogen fertilization also contributes to climate change by emitting the greenhouse gas of </w:t>
      </w:r>
      <w:r w:rsidR="00A926B9" w:rsidRPr="008608AA">
        <w:rPr>
          <w:rFonts w:eastAsiaTheme="majorEastAsia"/>
        </w:rPr>
        <w:t>nitrous oxide</w:t>
      </w:r>
      <w:r w:rsidRPr="008608AA">
        <w:rPr>
          <w:rFonts w:eastAsiaTheme="majorEastAsia"/>
        </w:rPr>
        <w:t xml:space="preserve"> </w:t>
      </w:r>
      <w:r w:rsidRPr="008608AA">
        <w:rPr>
          <w:rFonts w:eastAsiaTheme="majorEastAsia"/>
        </w:rPr>
        <w:fldChar w:fldCharType="begin" w:fldLock="1"/>
      </w:r>
      <w:r w:rsidRPr="008608AA">
        <w:rPr>
          <w:rFonts w:eastAsiaTheme="majorEastAsia"/>
        </w:rPr>
        <w:instrText>ADDIN CSL_CITATION { "citationItems" : [ { "id" : "ITEM-1", "itemData" : { "DOI" : "10.1111/j.1461-0248.2011.01631.x", "abstract" : "Human alteration of the nitrogen (N) cycle has produced benefits for health and well.being, but excess N has altered many ecosystems and degraded air and water quality. US regulations madate protection of the environment in terms that directly connect to ecosystem services. Here, we review the science quantifying effects of N on key ecosystem services, and compare the cost of N-related impacts of mitigation using the metric of cost per unit of N. Damage costs to the provision of clean air, relefected by impaired human respiratory health, are well characterized and fairly high (e.g. costs of ozone and particulate damages of $28 per kg NOx -N). Damage to services associated with productivity, biodiversity, recreation and clean water are less certain and although generally lower, these costs are quite variable (&lt;2.2-56 per Kg N). In the current Chesapeake Bay restoration effort, for example, the collection of available damage costs clearly exceeds the projected abatement costs to reduce Nloads to the Bay  (8-15 per Kg N). Explicit consideration and accounting of effects on multiple ecosystem services provides decisions-makers an integrated view of N sources, damages and abatement costs to address the significant challenges associated with reducing N pollution. ", "author" : [ { "dropping-particle" : "", "family" : "Compton", "given" : "Jana E", "non-dropping-particle" : "", "parse-names" : false, "suffix" : "" }, { "dropping-particle" : "", "family" : "Harrison", "given" : "John A", "non-dropping-particle" : "", "parse-names" : false, "suffix" : "" }, { "dropping-particle" : "", "family" : "Dennis", "given" : "Robert L", "non-dropping-particle" : "", "parse-names" : false, "suffix" : "" }, { "dropping-particle" : "", "family" : "Greaver", "given" : "Tara L", "non-dropping-particle" : "", "parse-names" : false, "suffix" : "" }, { "dropping-particle" : "", "family" : "Hill", "given" : "Brian H", "non-dropping-particle" : "", "parse-names" : false, "suffix" : "" }, { "dropping-particle" : "", "family" : "Jordan", "given" : "Stephen J", "non-dropping-particle" : "", "parse-names" : false, "suffix" : "" }, { "dropping-particle" : "", "family" : "Walker", "given" : "Henry", "non-dropping-particle" : "", "parse-names" : false, "suffix" : "" }, { "dropping-particle" : "V", "family" : "Campbell", "given" : "Holly", "non-dropping-particle" : "", "parse-names" : false, "suffix" : "" } ], "container-title" : "Ecology Letters", "id" : "ITEM-1", "issued" : { "date-parts" : [ [ "2011" ] ] }, "page" : "804-815", "title" : "Ecosystem services altered b y human changes in the nitrogen cycle: a new perspective for US decision making", "type" : "article-journal", "volume" : "14" }, "uris" : [ "http://www.mendeley.com/documents/?uuid=5cf22fe9-dd69-4539-b92d-064919a5bcb1" ] }, { "id" : "ITEM-2", "itemData" : { "DOI" : "10.1038/472159a", "ISBN" : "0028-0836", "ISSN" : "0028-0836", "PMID" : "21478874", "abstract" : "Curbing nitrogen emissions is a central environmental challenge for the twenty-first century, argue Mark Sutton and his colleagues", "author" : [ { "dropping-particle" : "", "family" : "Sutton", "given" : "Mark a", "non-dropping-particle" : "", "parse-names" : false, "suffix" : "" }, { "dropping-particle" : "", "family" : "Oenema", "given" : "Oene", "non-dropping-particle" : "", "parse-names" : false, "suffix" : "" }, { "dropping-particle" : "", "family" : "Erisman", "given" : "Jan Willem", "non-dropping-particle" : "", "parse-names" : false, "suffix" : "" }, { "dropping-particle" : "", "family" : "Leip", "given" : "Adrian", "non-dropping-particle" : "", "parse-names" : false, "suffix" : "" }, { "dropping-particle" : "", "family" : "Grinsven", "given" : "Hans", "non-dropping-particle" : "van", "parse-names" : false, "suffix" : "" }, { "dropping-particle" : "", "family" : "Winiwarter", "given" : "Wilfried", "non-dropping-particle" : "", "parse-names" : false, "suffix" : "" } ], "container-title" : "Nature", "id" : "ITEM-2", "issue" : "7342", "issued" : { "date-parts" : [ [ "2011" ] ] }, "page" : "159-161", "title" : "Too much of a good thing.", "type" : "article-journal", "volume" : "472" }, "uris" : [ "http://www.mendeley.com/documents/?uuid=5b2216cf-e0fe-4c2d-9abb-ac7d6cb4edce" ] } ], "mendeley" : { "formattedCitation" : "(Compton et al. 2011, Sutton et al. 2011)", "plainTextFormattedCitation" : "(Compton et al. 2011, Sutton et al. 2011)", "previouslyFormattedCitation" : "(Compton et al. 2011, Sutton et al. 2011)" }, "properties" : { "noteIndex" : 0 }, "schema" : "https://github.com/citation-style-language/schema/raw/master/csl-citation.json" }</w:instrText>
      </w:r>
      <w:r w:rsidRPr="008608AA">
        <w:rPr>
          <w:rFonts w:eastAsiaTheme="majorEastAsia"/>
        </w:rPr>
        <w:fldChar w:fldCharType="separate"/>
      </w:r>
      <w:r w:rsidR="00BB1E66" w:rsidRPr="008608AA">
        <w:rPr>
          <w:rFonts w:eastAsiaTheme="majorEastAsia"/>
          <w:noProof/>
        </w:rPr>
        <w:t>(Compton et al., 2011; Sutton et al., 2011;</w:t>
      </w:r>
      <w:r w:rsidRPr="008608AA">
        <w:rPr>
          <w:rFonts w:eastAsiaTheme="majorEastAsia"/>
          <w:noProof/>
        </w:rPr>
        <w:t xml:space="preserve"> Keeler et al., 2016)</w:t>
      </w:r>
      <w:r w:rsidRPr="008608AA">
        <w:rPr>
          <w:rFonts w:eastAsiaTheme="majorEastAsia"/>
        </w:rPr>
        <w:fldChar w:fldCharType="end"/>
      </w:r>
      <w:r w:rsidRPr="008608AA">
        <w:rPr>
          <w:rFonts w:eastAsiaTheme="majorEastAsia"/>
        </w:rPr>
        <w:t xml:space="preserve">. In the Americas, approximately 23 million tonnes of nitrogen fertilizer and 22 million tonnes of phosphorus (phosphate + potash) were consumed in 2013; and about 52 million hectares of land were under irrigation. Increasing anthropogenic nitrogen inputs are also likely driving loss of diversity </w:t>
      </w:r>
      <w:r w:rsidRPr="008608AA">
        <w:rPr>
          <w:rFonts w:eastAsiaTheme="majorEastAsia"/>
        </w:rPr>
        <w:fldChar w:fldCharType="begin" w:fldLock="1"/>
      </w:r>
      <w:r w:rsidRPr="008608AA">
        <w:rPr>
          <w:rFonts w:eastAsiaTheme="majorEastAsia"/>
        </w:rPr>
        <w:instrText>ADDIN CSL_CITATION { "citationItems" : [ { "id" : "ITEM-1", "itemData" : { "DOI" : "10.1890/08-1140.1", "ISBN" : "1051-0761", "ISSN" : "10510761", "PMID" : "20349829", "abstract" : "Atmospheric nitrogen (N) deposition is a recognized threat to plant diversity in temperate and northern parts of Europe and North America. This paper assesses evidence from field experiments for N deposition effects and thresholds for terrestrial plant diversity protection across a latitudinal range of main categories of ecosystems, from arctic and boreal systems to tropical forests. Current thinking on the mechanisms of N deposition effects on plant diversity, the global distribution of G200 ecoregions, and current and future (2030) estimates of atmospheric N-deposition rates are then used to identify the risks to plant diversity in all major ecosystem types now and in the future. This synthesis paper clearly shows that N accumulation is the main driver of changes to species composition across the whole range of different ecosystem types by driving the competitive interactions that lead to composition change and/or making conditions unfavorable for some species. Other effects such as direct toxicity of nitrogen gases and aerosols, long-term negative effects of increased ammonium and ammonia availability, soil-mediated effects of acidification, and secondary stress and disturbance are more ecosystem- and site-specific and often play a supporting role. N deposition effects in mediterranean ecosystems have now been identified, leading to a first estimate of an effect threshold. Importantly, ecosystems thought of as not N limited, such as tropical and subtropical systems, may be more vulnerable in the regeneration phase, in situations where heterogeneity in N availability is reduced by atmospheric N deposition, on sandy soils, or in montane areas. Critical loads are effect thresholds for N deposition, and the critical load concept has helped European governments make progress toward reducing N loads on sensitive ecosystems. More needs to be done in Europe and North America, especially for the more sensitive ecosystem types, including several ecosystems of high conservation importance. The results of this assessment show that the vulnerable regions outside Europe and North America which have not received enough attention are ecoregions in eastern and southern Asia (China, India), an important part of the mediterranean ecoregion (California, southern Europe), and in the coming decades several subtropical and tropical parts of Latin America and Africa. Reductions in plant diversity by increased atmospheric N deposition may be more widespread than first though\u2026", "author" : [ { "dropping-particle" : "", "family" : "Bobbink", "given" : "R.", "non-dropping-particle" : "", "parse-names" : false, "suffix" : "" }, { "dropping-particle" : "", "family" : "Hicks", "given" : "K.", "non-dropping-particle" : "", "parse-names" : false, "suffix" : "" }, { "dropping-particle" : "", "family" : "Galloway", "given" : "J.", "non-dropping-particle" : "", "parse-names" : false, "suffix" : "" }, { "dropping-particle" : "", "family" : "Spranger", "given" : "T.", "non-dropping-particle" : "", "parse-names" : false, "suffix" : "" }, { "dropping-particle" : "", "family" : "Alkemade", "given" : "R.", "non-dropping-particle" : "", "parse-names" : false, "suffix" : "" }, { "dropping-particle" : "", "family" : "Ashmore", "given" : "M.", "non-dropping-particle" : "", "parse-names" : false, "suffix" : "" }, { "dropping-particle" : "", "family" : "Bustamante", "given" : "M.", "non-dropping-particle" : "", "parse-names" : false, "suffix" : "" }, { "dropping-particle" : "", "family" : "Cinderby", "given" : "S.", "non-dropping-particle" : "", "parse-names" : false, "suffix" : "" }, { "dropping-particle" : "", "family" : "Davidson", "given" : "E.", "non-dropping-particle" : "", "parse-names" : false, "suffix" : "" }, { "dropping-particle" : "", "family" : "Dentener", "given" : "F.", "non-dropping-particle" : "", "parse-names" : false, "suffix" : "" }, { "dropping-particle" : "", "family" : "Emmett", "given" : "B.", "non-dropping-particle" : "", "parse-names" : false, "suffix" : "" }, { "dropping-particle" : "", "family" : "Erisman", "given" : "J. W.", "non-dropping-particle" : "", "parse-names" : false, "suffix" : "" }, { "dropping-particle" : "", "family" : "Fenn", "given" : "M.", "non-dropping-particle" : "", "parse-names" : false, "suffix" : "" }, { "dropping-particle" : "", "family" : "Gilliam", "given" : "F.", "non-dropping-particle" : "", "parse-names" : false, "suffix" : "" }, { "dropping-particle" : "", "family" : "Nordin", "given" : "A.", "non-dropping-particle" : "", "parse-names" : false, "suffix" : "" }, { "dropping-particle" : "", "family" : "Pardo", "given" : "L.", "non-dropping-particle" : "", "parse-names" : false, "suffix" : "" }, { "dropping-particle" : "", "family" : "Vries", "given" : "W.", "non-dropping-particle" : "De", "parse-names" : false, "suffix" : "" } ], "container-title" : "Ecological Applications", "id" : "ITEM-1", "issue" : "1", "issued" : { "date-parts" : [ [ "2010" ] ] }, "page" : "30-59", "title" : "Global assessment of nitrogen deposition effects on terrestrial plant diversity: A synthesis", "type" : "article-journal", "volume" : "20" }, "uris" : [ "http://www.mendeley.com/documents/?uuid=1894ccb6-aa04-4047-8d06-a545551faeb4" ] } ], "mendeley" : { "formattedCitation" : "(Bobbink et al. 2010)", "plainTextFormattedCitation" : "(Bobbink et al. 2010)", "previouslyFormattedCitation" : "(Bobbink et al. 2010)"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(Bobbink et al., 2010)</w:t>
      </w:r>
      <w:r w:rsidRPr="008608AA">
        <w:rPr>
          <w:rFonts w:eastAsiaTheme="majorEastAsia"/>
        </w:rPr>
        <w:fldChar w:fldCharType="end"/>
      </w:r>
      <w:r w:rsidRPr="008608AA">
        <w:rPr>
          <w:rFonts w:eastAsiaTheme="majorEastAsia"/>
        </w:rPr>
        <w:t xml:space="preserve"> and polluting freshwater supplies (</w:t>
      </w:r>
      <w:r w:rsidR="00B20C8E" w:rsidRPr="008608AA">
        <w:rPr>
          <w:rFonts w:eastAsiaTheme="majorEastAsia"/>
        </w:rPr>
        <w:t>section</w:t>
      </w:r>
      <w:r w:rsidRPr="008608AA">
        <w:rPr>
          <w:rFonts w:eastAsiaTheme="majorEastAsia"/>
        </w:rPr>
        <w:t xml:space="preserve"> 4.4.2). </w:t>
      </w:r>
      <w:r w:rsidR="00501A9B" w:rsidRPr="008608AA">
        <w:rPr>
          <w:rFonts w:eastAsiaTheme="majorEastAsia"/>
        </w:rPr>
        <w:t>Nutrient imbalances due to agriculture are related to depletion or accumulation depending on the balance between inputs and outputs of nutrients. Nitrogen depletion occurred in the southern parts of South America (</w:t>
      </w:r>
      <w:r w:rsidR="00847F60" w:rsidRPr="008608AA">
        <w:rPr>
          <w:rFonts w:eastAsiaTheme="majorEastAsia"/>
        </w:rPr>
        <w:t>e.g.</w:t>
      </w:r>
      <w:r w:rsidR="00501A9B" w:rsidRPr="008608AA">
        <w:rPr>
          <w:rFonts w:eastAsiaTheme="majorEastAsia"/>
        </w:rPr>
        <w:t xml:space="preserve"> Argentina), the Amazon region, Central America, and some parts of the Midwest of the </w:t>
      </w:r>
      <w:r w:rsidR="00253825" w:rsidRPr="008608AA">
        <w:rPr>
          <w:rFonts w:eastAsiaTheme="majorEastAsia"/>
        </w:rPr>
        <w:t>USA</w:t>
      </w:r>
      <w:r w:rsidR="00501A9B" w:rsidRPr="008608AA">
        <w:rPr>
          <w:rFonts w:eastAsiaTheme="majorEastAsia"/>
        </w:rPr>
        <w:t xml:space="preserve">, partially attributable to the high crop yields (Liu </w:t>
      </w:r>
      <w:r w:rsidR="00221F93" w:rsidRPr="008608AA">
        <w:rPr>
          <w:rFonts w:eastAsiaTheme="majorEastAsia"/>
        </w:rPr>
        <w:t>et al.,</w:t>
      </w:r>
      <w:r w:rsidR="00501A9B" w:rsidRPr="008608AA">
        <w:rPr>
          <w:rFonts w:eastAsiaTheme="majorEastAsia"/>
        </w:rPr>
        <w:t xml:space="preserve"> 2010). Soil nitrogen depletion occurs regardless of how high the nitrogen input once crop nitrogen uptake, along with other nitrogen losses, exceeds the inputs (Liu </w:t>
      </w:r>
      <w:r w:rsidR="00221F93" w:rsidRPr="008608AA">
        <w:rPr>
          <w:rFonts w:eastAsiaTheme="majorEastAsia"/>
        </w:rPr>
        <w:t>et al.,</w:t>
      </w:r>
      <w:r w:rsidR="00501A9B" w:rsidRPr="008608AA">
        <w:rPr>
          <w:rFonts w:eastAsiaTheme="majorEastAsia"/>
        </w:rPr>
        <w:t xml:space="preserve"> 2010). </w:t>
      </w:r>
    </w:p>
    <w:p w14:paraId="567B65EB" w14:textId="18DB058B" w:rsidR="001E61A6" w:rsidRPr="008608AA" w:rsidRDefault="001E61A6" w:rsidP="00CC6CB7">
      <w:pPr>
        <w:widowControl w:val="0"/>
        <w:tabs>
          <w:tab w:val="left" w:pos="220"/>
          <w:tab w:val="left" w:pos="720"/>
        </w:tabs>
        <w:autoSpaceDE w:val="0"/>
        <w:autoSpaceDN w:val="0"/>
        <w:adjustRightInd w:val="0"/>
        <w:spacing w:before="120"/>
        <w:rPr>
          <w:rFonts w:eastAsiaTheme="majorEastAsia"/>
        </w:rPr>
      </w:pPr>
      <w:r w:rsidRPr="008608AA">
        <w:rPr>
          <w:rFonts w:eastAsiaTheme="majorEastAsia"/>
        </w:rPr>
        <w:t>Croplands also affect migratory species through habitat degradation and pesticide use along their migratory routes (e.g. neotropical migratory birds like dicksisels, bobolinks, and Swainson’s hawks) (</w:t>
      </w:r>
      <w:r w:rsidRPr="008608AA">
        <w:rPr>
          <w:rFonts w:eastAsiaTheme="majorEastAsia"/>
        </w:rPr>
        <w:fldChar w:fldCharType="begin" w:fldLock="1"/>
      </w:r>
      <w:r w:rsidRPr="008608AA">
        <w:rPr>
          <w:rFonts w:eastAsiaTheme="majorEastAsia"/>
        </w:rPr>
        <w:instrText>ADDIN CSL_CITATION { "citationItems" : [ { "id" : "ITEM-1", "itemData" : { "DOI" : "doi:10.1201/9781420032505.ch25\\r10.1201/9781420032505.ch25", "ISBN" : "978-1-56670-546-2", "abstract" : "Recent events in Argentina and Venezuela have shown that pesticide issues transcend national borders and that our migratory birds continue to be exposed to potentially damaging pesticides throughout their range. We need to be especially wary of situtations, such as that of the Swainson's hawk or the dickcissel, where a large part of a species' population occupies a small geographical area, either in the course of its migration or on wintering grounds. A localized impact, whether or not pesticide-related, could have serious consequences for the population. Mechanisms are needed to put pressure on the pesticide industry to improve its product stewardship and take action on products shown to be environmentally insound. Currently, the battle against bad pesticides is being fought manufacturer-by-manufacturer and country-by-country, which is wasteful of the meager resources available. On the positive side, the Argentina experience has shown how readily problems can be solved when all stakeholders are willing.", "author" : [ { "dropping-particle" : "", "family" : "Hooper", "given" : "M J", "non-dropping-particle" : "", "parse-names" : false, "suffix" : "" }, { "dropping-particle" : "", "family" : "Mineau", "given" : "P", "non-dropping-particle" : "", "parse-names" : false, "suffix" : "" }, { "dropping-particle" : "", "family" : "Zaccagnini", "given" : "M E", "non-dropping-particle" : "", "parse-names" : false, "suffix" : "" }, { "dropping-particle" : "", "family" : "Woodbridge", "given" : "B", "non-dropping-particle" : "", "parse-names" : false, "suffix" : "" } ], "container-title" : "Handbook of Ecotoxicology", "id" : "ITEM-1", "issue" : "3", "issued" : { "date-parts" : [ [ "2003" ] ] }, "page" : "737-754.", "title" : "Pesticides and international migratory bird conservation.", "type" : "article-journal", "volume" : "10" }, "uris" : [ "http://www.mendeley.com/documents/?uuid=001a554e-9f6c-4209-91d9-8bef8d1bbd36" ] }, { "id" : "ITEM-2", "itemData" : { "DOI" : "10.1890/1051-0761(1999)009[0732:DACDIV]2.0.CO;2", "ISBN" : "1051-0761", "ISSN" : "10510761", "abstract" : "The Dickcissel (Spiza americana) is a neotropical migratory bird that has declined 40% over the years since it was first censused in 1966 throughout its breeding range in North America. The decline has been caused by excessive overwinter mortality resulting from control programs on the wintering range in Venezuela, where the bird is considered to be an agricultural pest. Rice and sorghum farmers kill the birds because they damage crops, but the relationship between the birds and crops has been poorly described. We use demographic, physiological, and ecological data to develop descriptive models that allow us to understand the scope of Dickcissel crop damage. These models show that Dickcissels actually consume relatively small proportions of Venezuela's rice and sorghum production, suggesting that farmers' general perceptions of the magnitude of the problem are exaggerated, even though some individual farmers do suffer greater than average losses. Our data and models can be used as the basis for negotiating a solution to the conflict between farmers and Dickcissels", "author" : [ { "dropping-particle" : "", "family" : "Basili", "given" : "Gianfranco D.", "non-dropping-particle" : "", "parse-names" : false, "suffix" : "" }, { "dropping-particle" : "", "family" : "Temple", "given" : "Stanley A.", "non-dropping-particle" : "", "parse-names" : false, "suffix" : "" } ], "container-title" : "Ecological Applications", "id" : "ITEM-2", "issue" : "2", "issued" : { "date-parts" : [ [ "1999" ] ] }, "page" : "732-739", "title" : "Dickcissels and crop damage in Venezuela: Defining the problem with ecological models", "type" : "article-journal", "volume" : "9" }, "uris" : [ "http://www.mendeley.com/documents/?uuid=4885f5e9-975b-4630-91b1-7561b6b83047" ] }, { "id" : "ITEM-3", "itemData" : { "ISBN" : "1075-4377", "ISSN" : "10754377", "abstract" : "The Bobolink (Dolicbonyx oryzivorus) breeds in temperate North America and migrates in winter to southern South America. During the non-breeding season, this species occupies grasslands, marshes, and rice fields in Paraguay, Bolivia, Brazil and Argentina. Since the 1960's, a population decrease has been noted, largely due to modification of the breeding habitat. It is thought that these changes in habitat and the Bobolink's association with rice crops could be related to their population decline, although information concerning their distribution and ecology during the non-breeding season is scarce. The objective of this study was to asses the value of the rice fields near San Javier (Santa Fe Province) as a non-breeding area for migratory Bobolinks. We present data on abundance and habitat use. Fields surveys were carried out in November 2004 and March 2005. We used circular plot sampling and incidental observations to count Bobolinks in rice fields. Besides, we made interviews to rice farmers to assess their knowledge about the species. While in November no Bobolinks were observed, in March the species was recorded in pairs, small groups (20-100 ind.), and large flocks (1000 to 10,000 ind.) in rice fields, when the rice was in the \"milky stage\". We observed a maximum of approximately 10,000 individuals in a similar to 50 ha rice field. These results demonstrate this species' strong association with the rice crop, in which it finds food and shelter, especially when the rice comes into the milky stage. Interviews confirmed that the Bobolink is considered a pest in rice crops by farmers, who apply various control methods in the area. We recommend that further studies be conducted in the region of San Javier, as well as in other rice areas throughout its non-breeding season range, in order to investigate potential threats to Bobolink populations. Accepted 28 April 2007.", "author" : [ { "dropping-particle" : "", "family" : "Lopez-Lanus", "given" : "Bernab\u00e9", "non-dropping-particle" : "", "parse-names" : false, "suffix" : "" }, { "dropping-particle" : "", "family" : "Roesler", "given" : "I", "non</w:instrText>
      </w:r>
      <w:r w:rsidRPr="00A3137A">
        <w:rPr>
          <w:rFonts w:eastAsiaTheme="majorEastAsia"/>
        </w:rPr>
        <w:instrText>-dropping-particle" : "", "parse-names" : false, "suffix" : "" }, { "dropping-particle" : "", "family" : "Blanco", "given" : "Daniel E", "non-dropping-particle" : "", "parse-names" : false, "suffix" : "" }, { "dropping-particle" : "", "family" : "Petracci", "given" : "P F", "non-dropping-particle" : "", "parse-names" : false, "suffix" : "" }, { "dropping-particle" : "", "family" : "Serra", "given" : "M", "non-dropping-particle" : "", "parse-names" : false, "suffix" : "" }, { "dropping-particle" : "", "family" : "Zaccagnini", "given" : "Mar\u00eda Elena", "non-dropping-particle" : "", "parse-names" : false, "suffix" : "" } ], "container-title" : "Ornitologia Neotropical", "id" : "ITEM-3", "issued" : { "date-parts" : [ [ "2007" ] ] }, "page" : "493-502", "title" : "Bobolink (dolichonyx oryzivorus) numbers and non breeding ecology in the rice fields of San Javier, Santa Fe province, Argentina", "type" : "article-journal", "volume" : "18" }, "uris" : [ "http://www.mendeley.com/documents/?uuid=adec9758-452b-400d-b548-fe367b89f0c3" ] } ], "mendeley" : { "formattedCitation" : "(Basili and Temple 1999, Hooper et al. 2003, Lopez-Lanus et al. 2007)", "plainTextFormattedCitation" : "(Basili and Temple 1999, Hooper et al. 2003, Lopez-Lanus et al. 2007)", "previouslyFormattedCitation" : "(Basili and Temple 1999, Hooper et al. 2003, Lopez-Lanus et al. 2007)" }, "properties" : { "noteIndex" : 0 }, "schema" : "https://github.com/citation-style-language/schema/raw/master/csl-citation.json" }</w:instrText>
      </w:r>
      <w:r w:rsidRPr="008608AA">
        <w:rPr>
          <w:rFonts w:eastAsiaTheme="majorEastAsia"/>
        </w:rPr>
        <w:fldChar w:fldCharType="separate"/>
      </w:r>
      <w:r w:rsidRPr="00A3137A">
        <w:rPr>
          <w:rFonts w:eastAsiaTheme="majorEastAsia"/>
          <w:noProof/>
        </w:rPr>
        <w:t xml:space="preserve">Basili </w:t>
      </w:r>
      <w:r w:rsidR="00BB1E66" w:rsidRPr="00A3137A">
        <w:rPr>
          <w:rFonts w:eastAsiaTheme="majorEastAsia"/>
          <w:noProof/>
        </w:rPr>
        <w:t>&amp;</w:t>
      </w:r>
      <w:r w:rsidRPr="00A3137A">
        <w:rPr>
          <w:rFonts w:eastAsiaTheme="majorEastAsia"/>
          <w:noProof/>
        </w:rPr>
        <w:t xml:space="preserve"> Temple</w:t>
      </w:r>
      <w:r w:rsidR="00BB1E66" w:rsidRPr="00A3137A">
        <w:rPr>
          <w:rFonts w:eastAsiaTheme="majorEastAsia"/>
          <w:noProof/>
        </w:rPr>
        <w:t>, 1999;</w:t>
      </w:r>
      <w:r w:rsidRPr="00A3137A">
        <w:rPr>
          <w:rFonts w:eastAsiaTheme="majorEastAsia"/>
          <w:noProof/>
        </w:rPr>
        <w:t xml:space="preserve"> Hooper et al., 200</w:t>
      </w:r>
      <w:r w:rsidR="008B7E35" w:rsidRPr="00A3137A">
        <w:rPr>
          <w:rFonts w:eastAsiaTheme="majorEastAsia"/>
          <w:noProof/>
        </w:rPr>
        <w:t>2</w:t>
      </w:r>
      <w:r w:rsidR="00BB1E66" w:rsidRPr="00A3137A">
        <w:rPr>
          <w:rFonts w:eastAsiaTheme="majorEastAsia"/>
          <w:noProof/>
        </w:rPr>
        <w:t>;</w:t>
      </w:r>
      <w:r w:rsidRPr="00A3137A">
        <w:rPr>
          <w:rFonts w:eastAsiaTheme="majorEastAsia"/>
          <w:noProof/>
        </w:rPr>
        <w:t xml:space="preserve"> Lopez-Lanus et al., 2007)</w:t>
      </w:r>
      <w:r w:rsidRPr="008608AA">
        <w:rPr>
          <w:rFonts w:eastAsiaTheme="majorEastAsia"/>
        </w:rPr>
        <w:fldChar w:fldCharType="end"/>
      </w:r>
      <w:r w:rsidRPr="00A3137A">
        <w:rPr>
          <w:rFonts w:eastAsiaTheme="majorEastAsia"/>
        </w:rPr>
        <w:t xml:space="preserve">. </w:t>
      </w:r>
      <w:r w:rsidRPr="008608AA">
        <w:rPr>
          <w:rFonts w:eastAsiaTheme="majorEastAsia"/>
        </w:rPr>
        <w:t>Habitat conversion leads to not only many native species losses, but also to gains in some exotic species (</w:t>
      </w:r>
      <w:r w:rsidR="00B20C8E" w:rsidRPr="008608AA">
        <w:rPr>
          <w:rFonts w:eastAsiaTheme="majorEastAsia"/>
        </w:rPr>
        <w:t>section</w:t>
      </w:r>
      <w:r w:rsidRPr="008608AA">
        <w:rPr>
          <w:rFonts w:eastAsiaTheme="majorEastAsia"/>
        </w:rPr>
        <w:t xml:space="preserve"> 4.4.4). Exotic species are often introduced for particular human uses and are not necessarily functionally equivalent to the native species they displace (Wardle et al., 2011). </w:t>
      </w:r>
    </w:p>
    <w:p w14:paraId="5701D6E4" w14:textId="5BBDFECF" w:rsidR="001E61A6" w:rsidRPr="008608AA" w:rsidRDefault="001E61A6" w:rsidP="00CC6CB7">
      <w:pPr>
        <w:widowControl w:val="0"/>
        <w:tabs>
          <w:tab w:val="left" w:pos="220"/>
          <w:tab w:val="left" w:pos="720"/>
        </w:tabs>
        <w:autoSpaceDE w:val="0"/>
        <w:autoSpaceDN w:val="0"/>
        <w:adjustRightInd w:val="0"/>
        <w:spacing w:before="120"/>
        <w:rPr>
          <w:rFonts w:eastAsiaTheme="majorEastAsia"/>
        </w:rPr>
      </w:pPr>
      <w:r w:rsidRPr="008608AA">
        <w:rPr>
          <w:rFonts w:eastAsiaTheme="majorEastAsia"/>
        </w:rPr>
        <w:t>Urbanization can also directly and indirectly threaten biodiversity and servic</w:t>
      </w:r>
      <w:r w:rsidR="008B7E35" w:rsidRPr="008608AA">
        <w:rPr>
          <w:rFonts w:eastAsiaTheme="majorEastAsia"/>
        </w:rPr>
        <w:t>es from surrounding ecosystems.</w:t>
      </w:r>
      <w:r w:rsidRPr="008608AA">
        <w:rPr>
          <w:rFonts w:eastAsiaTheme="majorEastAsia"/>
        </w:rPr>
        <w:t xml:space="preserve"> In 2016, while the degree of urbanization worldwide was around 54%, it was around 80% in the Americas. </w:t>
      </w:r>
      <w:r w:rsidRPr="008608AA">
        <w:t>In Latin America and the Caribbean, the urbanization rate has declined over the past six decades (UN</w:t>
      </w:r>
      <w:r w:rsidR="008B7E35" w:rsidRPr="008608AA">
        <w:t>,</w:t>
      </w:r>
      <w:r w:rsidRPr="008608AA">
        <w:t xml:space="preserve"> 2014). </w:t>
      </w:r>
      <w:r w:rsidRPr="008608AA">
        <w:rPr>
          <w:rFonts w:eastAsia="Calibri"/>
        </w:rPr>
        <w:t xml:space="preserve">Cities in Latin America exhibit extreme social and economic differences, which generate a complex mosaic of urban settlement structures and ecosystem management systems. In addition, conservation of ecosystems and biodiversity, and ecosystem services provisioning, are not prioritized in urban planning (Pauchard </w:t>
      </w:r>
      <w:r w:rsidR="00BB1E66" w:rsidRPr="008608AA">
        <w:rPr>
          <w:rFonts w:eastAsia="Calibri"/>
        </w:rPr>
        <w:t>&amp;</w:t>
      </w:r>
      <w:r w:rsidRPr="008608AA">
        <w:rPr>
          <w:rFonts w:eastAsia="Calibri"/>
        </w:rPr>
        <w:t xml:space="preserve"> Barbosa, 2013).</w:t>
      </w:r>
      <w:r w:rsidRPr="008608AA">
        <w:rPr>
          <w:rFonts w:eastAsiaTheme="majorEastAsia"/>
        </w:rPr>
        <w:t xml:space="preserve"> Direct impacts include land occ</w:t>
      </w:r>
      <w:r w:rsidR="008B7E35" w:rsidRPr="008608AA">
        <w:rPr>
          <w:rFonts w:eastAsiaTheme="majorEastAsia"/>
        </w:rPr>
        <w:t>upation by buildings and roads.</w:t>
      </w:r>
      <w:r w:rsidRPr="008608AA">
        <w:rPr>
          <w:rFonts w:eastAsiaTheme="majorEastAsia"/>
        </w:rPr>
        <w:t xml:space="preserve"> Indirect impacts result from the provisioning of services to urban populations, like food, building materials, energy, water, and other resources. This requires infrastructure such as dams, pipelines, transmission lines, and roads, timber harvesting, and land cover conversion for grazing and croppi</w:t>
      </w:r>
      <w:r w:rsidR="00BB1E66" w:rsidRPr="008608AA">
        <w:rPr>
          <w:rFonts w:eastAsiaTheme="majorEastAsia"/>
        </w:rPr>
        <w:t>ng. (e.g. McDonald et al., 2014;</w:t>
      </w:r>
      <w:r w:rsidRPr="008608AA">
        <w:rPr>
          <w:rFonts w:eastAsiaTheme="majorEastAsia"/>
        </w:rPr>
        <w:t xml:space="preserve"> Bhattacharya et al., 2012). Roads help deliver benefits from where they are supplied to where they are demanded and consumed. However, they also threaten biodiversity </w:t>
      </w:r>
      <w:r w:rsidRPr="008608AA">
        <w:fldChar w:fldCharType="begin" w:fldLock="1"/>
      </w:r>
      <w:r w:rsidRPr="008608AA">
        <w:instrText>ADDIN CSL_CITATION { "citationItems" : [ { "id" : "ITEM-1", "itemData" : { "DOI" : "10.1038/nature13717", "ISBN" : "0028-0836", "ISSN" : "0028-0836", "PMID" : "25162528", "abstract" : "The number and extent of roads will expand dramatically this century. Globally, at least 25 million kilometres of new roads are anticipated by 2050; a 60% increase in the total length of roads over that in 2010. Nine-tenths of all road construction is expected to occur in developing nations, including many regions that sustain exceptional biodiversity and vital ecosystem services. Roads penetrating into wilderness or frontier areas are a major proximate driver of habitat loss and fragmentation, wildfires, overhunting and other environmental degradation, often with irreversible impacts on ecosystems. Unfortunately, much road proliferation is chaotic or poorly planned, and the rate of expansion is so great that it often overwhelms the capacity of environmental planners and managers. Here we present a global scheme for prioritizing road building. This large-scale zoning plan seeks to limit the environmental costs of road expansion while maximizing its benefits for human development, by helping to increase agricultural production, which is an urgent priority given that global food demand could double by mid-century. Our analysis identifies areas with high environmental values where future road building should be avoided if possible, areas where strategic road improvements could promote agricultural development with relatively modest environmental costs, and /`conflict areas/' where road building could have sizeable benefits for agriculture but with serious environmental damage. Our plan provides a template for proactively zoning and prioritizing roads during the most explosive era of road expansion in human history.", "author" : [ { "dropping-particle" : "", "family" : "Laurance", "given" : "William F.", "non-dropping-particle" : "", "parse-names" : false, "suffix" : "" }, { "dropping-particle" : "", "family" : "Clements", "given" : "Gopalasamy Reuben", "non-dropping-particle" : "", "parse-names" : false, "suffix" : "" }, { "dropping-particle" : "", "family" : "Sloan", "given" : "Sean", "non-dropping-particle" : "", "parse-names" : false, "suffix" : "" }, { "dropping-particle" : "", "family" : "O\u2019Connell", "given" : "Christine S.", "non-dropping-particle" : "", "parse-names" : false, "suffix" : "" }, { "dropping-particle" : "", "family" : "Mueller", "given" : "Nathan D.", "non-dropping-particle" : "", "parse-names" : false, "suffix" : "" }, { "dropping-particle" : "", "family" : "Goosem", "given" : "Miriam", "non-dropping-particle" : "", "parse-names" : false, "suffix" : "" }, { "dropping-particle" : "", "family" : "Venter", "given" : "Oscar", "non-dropping-particle" : "", "parse-names" : false, "suffix" : "" }, { "dropping-particle" : "", "family" : "Edwards", "given" : "David P.", "non-dropping-particle" : "", "parse-names" : false, "suffix" : "" }, { "dropping-particle" : "", "family" : "Phalan", "given" : "Ben", "non-dropping-particle" : "", "parse-names" : false, "suffix" : "" }, { "dropping-particle" : "", "family" : "Balmford", "given" : "Andrew", "non-dropping-particle" : "", "parse-names" : false, "suffix" : "" }, { "dropping-particle" : "", "family" : "Ree", "given" : "Rodney", "non-dropping-particle" : "Van Der", "parse-names" : false, "suffix" : "" }, { "dropping-particle" : "", "family" : "Arrea", "given" : "Irene Burgues", "non-dropping-particle" : "", "parse-names" : false, "suffix" : "" } ], "container-title" : "Nature", "id" : "ITEM-1", "issue" : "7517", "issued" : { "date-parts" : [ [ "2014" ] ] }, "page" : "229-232", "title" : "A global strategy for road building", "type" : "article-journal", "volume" : "513" }, "uris" : [ "http://www.mendeley.com/documents/?uuid=5d8aedb2-2fe8-4e2d-b734-b848f8a13b2b" ] } ], "mendeley" : { "formattedCitation" : "(Laurance et al. 2014)", "plainTextFormattedCitation" : "(Laurance et al. 2014)", "previouslyFormattedCitation" : "(Laurance et al. 2014)" }, "properties" : { "noteIndex" : 0 }, "schema" : "https://github.com/citation-style-language/schema/raw/master/csl-citation.json" }</w:instrText>
      </w:r>
      <w:r w:rsidRPr="008608AA">
        <w:fldChar w:fldCharType="separate"/>
      </w:r>
      <w:r w:rsidRPr="008608AA">
        <w:rPr>
          <w:noProof/>
        </w:rPr>
        <w:t>(Laurance et al., 2014)</w:t>
      </w:r>
      <w:r w:rsidRPr="008608AA">
        <w:fldChar w:fldCharType="end"/>
      </w:r>
      <w:r w:rsidRPr="008608AA">
        <w:rPr>
          <w:rFonts w:eastAsiaTheme="majorEastAsia"/>
        </w:rPr>
        <w:t xml:space="preserve"> by fragmenting habitat and facilitating resource extraction activities like cropping; grazing; timber harvesting and extraction of water, minerals, oil, and gas. </w:t>
      </w:r>
      <w:r w:rsidRPr="008608AA">
        <w:t>For example, o</w:t>
      </w:r>
      <w:r w:rsidRPr="008608AA">
        <w:rPr>
          <w:rFonts w:eastAsia="Calibri"/>
        </w:rPr>
        <w:t xml:space="preserve">ver the last 60 years, there have been at least 238 notable oil spills along mangrove shorelines worldwide. In total, at least 5.5 million tonnes of oil has been released into mangrove-lined, coastal waters, oiling possibly up to around 1.94 million </w:t>
      </w:r>
      <w:r w:rsidR="003F55F8" w:rsidRPr="008608AA">
        <w:rPr>
          <w:rFonts w:eastAsia="Calibri"/>
        </w:rPr>
        <w:t>hectares</w:t>
      </w:r>
      <w:r w:rsidRPr="008608AA">
        <w:rPr>
          <w:rFonts w:eastAsia="Calibri"/>
        </w:rPr>
        <w:t xml:space="preserve"> of mangrove habitat and killing at least 126,000 </w:t>
      </w:r>
      <w:r w:rsidR="003F55F8" w:rsidRPr="008608AA">
        <w:rPr>
          <w:rFonts w:eastAsia="Calibri"/>
        </w:rPr>
        <w:t>hectares</w:t>
      </w:r>
      <w:r w:rsidRPr="008608AA">
        <w:rPr>
          <w:rFonts w:eastAsia="Calibri"/>
        </w:rPr>
        <w:t xml:space="preserve"> of mangrove vegetation since 1958 (Duke</w:t>
      </w:r>
      <w:r w:rsidR="00BB1E66" w:rsidRPr="008608AA">
        <w:rPr>
          <w:rFonts w:eastAsia="Calibri"/>
        </w:rPr>
        <w:t>,</w:t>
      </w:r>
      <w:r w:rsidRPr="008608AA">
        <w:rPr>
          <w:rFonts w:eastAsia="Calibri"/>
        </w:rPr>
        <w:t xml:space="preserve"> 2016).</w:t>
      </w:r>
      <w:r w:rsidRPr="008608AA">
        <w:rPr>
          <w:rFonts w:eastAsia="Calibri"/>
          <w:sz w:val="26"/>
          <w:szCs w:val="26"/>
        </w:rPr>
        <w:t xml:space="preserve"> </w:t>
      </w:r>
      <w:r w:rsidRPr="008608AA">
        <w:rPr>
          <w:rFonts w:eastAsiaTheme="majorEastAsia"/>
        </w:rPr>
        <w:t xml:space="preserve">Mangroves and other coastal “blue carbon” ecosystems also have high ecosystem carbon stocks and are undergoing significant conversion at a great cost in terms of greenhouse gas emissions, as well losses of other important ecosystem services (Kauffman et al., 2016). </w:t>
      </w:r>
    </w:p>
    <w:p w14:paraId="7C9DBF97" w14:textId="18A138A7" w:rsidR="001E61A6" w:rsidRPr="008608AA" w:rsidRDefault="001E61A6" w:rsidP="00CC6CB7">
      <w:pPr>
        <w:widowControl w:val="0"/>
        <w:tabs>
          <w:tab w:val="left" w:pos="220"/>
          <w:tab w:val="left" w:pos="720"/>
        </w:tabs>
        <w:autoSpaceDE w:val="0"/>
        <w:autoSpaceDN w:val="0"/>
        <w:adjustRightInd w:val="0"/>
        <w:spacing w:before="120"/>
      </w:pPr>
      <w:r w:rsidRPr="008608AA">
        <w:rPr>
          <w:rFonts w:eastAsia="Calibri"/>
        </w:rPr>
        <w:t xml:space="preserve">Despite declines in the density of species, cities can have unique assemblages of plants and animals and retain some endemic native species, thus providing opportunities for regional and global biodiversity conservation, restoration and education (Aronson et al., 2014). </w:t>
      </w:r>
      <w:r w:rsidRPr="008608AA">
        <w:rPr>
          <w:rFonts w:eastAsiaTheme="majorEastAsia"/>
        </w:rPr>
        <w:t>Habitat conversion has also resulted in increases in food, mineral, timber, and energy production. For example, global cereal production has more than doubled since 1960 (Tilman et al.</w:t>
      </w:r>
      <w:r w:rsidR="009B7D5A" w:rsidRPr="008608AA">
        <w:rPr>
          <w:rFonts w:eastAsiaTheme="majorEastAsia"/>
        </w:rPr>
        <w:t>,</w:t>
      </w:r>
      <w:r w:rsidR="00BB1E66" w:rsidRPr="008608AA">
        <w:rPr>
          <w:rFonts w:eastAsiaTheme="majorEastAsia"/>
        </w:rPr>
        <w:t xml:space="preserve"> 2002;</w:t>
      </w:r>
      <w:r w:rsidRPr="008608AA">
        <w:rPr>
          <w:rFonts w:eastAsiaTheme="majorEastAsia"/>
        </w:rPr>
        <w:t xml:space="preserve"> </w:t>
      </w:r>
      <w:r w:rsidR="00523468" w:rsidRPr="008608AA">
        <w:rPr>
          <w:rFonts w:eastAsiaTheme="majorEastAsia"/>
        </w:rPr>
        <w:t>Wik et al.</w:t>
      </w:r>
      <w:r w:rsidR="00BB1E66" w:rsidRPr="008608AA">
        <w:rPr>
          <w:rFonts w:eastAsiaTheme="majorEastAsia"/>
        </w:rPr>
        <w:t>,</w:t>
      </w:r>
      <w:r w:rsidRPr="008608AA">
        <w:rPr>
          <w:rFonts w:eastAsiaTheme="majorEastAsia"/>
        </w:rPr>
        <w:t xml:space="preserve"> 20</w:t>
      </w:r>
      <w:r w:rsidR="00523468" w:rsidRPr="008608AA">
        <w:rPr>
          <w:rFonts w:eastAsiaTheme="majorEastAsia"/>
        </w:rPr>
        <w:t>08</w:t>
      </w:r>
      <w:r w:rsidRPr="008608AA">
        <w:rPr>
          <w:rFonts w:eastAsiaTheme="majorEastAsia"/>
        </w:rPr>
        <w:t xml:space="preserve">). Few studies have weighed such benefits against the costs of habitat degradation described above. In some cases, however, the financial costs of habitat conversion for non-provisioning ecosystem services, like carbon storage and sequestration, can outweigh the benefits of conversion for supply of provisioning services </w:t>
      </w:r>
      <w:r w:rsidRPr="008608AA">
        <w:rPr>
          <w:rFonts w:eastAsiaTheme="majorEastAsia"/>
        </w:rPr>
        <w:fldChar w:fldCharType="begin" w:fldLock="1"/>
      </w:r>
      <w:r w:rsidRPr="008608AA">
        <w:rPr>
          <w:rFonts w:eastAsiaTheme="majorEastAsia"/>
        </w:rPr>
        <w:instrText>ADDIN CSL_CITATION { "citationItems" : [ { "id" : "ITEM-1", "itemData" : { "DOI" : "10.1890/080023", "ISBN" : "1540-9295", "ISSN" : "15409295", "PMID" : "22855881", "abstract" : "Nature provides a wide range of benefits to people. There is increasing consensus about the importance of incorporating these \"ecosystem services\" into resource management decisions, but quantifying the levels and values of these services has proven difficult. We use a spatially explicit modeling tool, Integrated Valuation of Ecosystem Services and Tradeoffs (InVEST), to predict changes in ecosystem services, biodiversity conservation, and commodity production levels. We apply InVEST to stakeholder-defined scenarios of land-use/land-cover change in the Willamette Basin, Oregon. We found that scenarios that received high scores for a variety of ecosystem services also had high scores for biodiversity, suggesting there is little tradeoff between biodiversity conservation and ecosystem services. Scenarios involving more development had higher commodity production values, but lower levels of biodiversity conservation and ecosystem services. However, including payments for carbon sequestration alleviates this tradeoff. Quantifying ecosystem services in a spatially explicit manner, and analyzing tradeoffs between them, can help to make natural resource decisions more effective, efficient, and defensible.", "author" : [ { "dropping-particle" : "", "family" : "Nelson", "given" : "Erik", "non-dropping-particle" : "", "parse-names" : false, "suffix" : "" }, { "dropping-particle" : "", "family" : "Mendoza", "given" : "Guillermo", "non-dropping-particle" : "", "parse-names" : false, "suffix" : "" }, { "dropping-particle" : "", "family" : "Regetz", "given" : "James", "non-dropping-particle" : "", "parse-names" : false, "suffix" : "" }, { "dropping-particle" : "", "family" : "Polasky", "given" : "Stephen", "non-dropping-particle" : "", "parse-names" : false, "suffix" : "" }, { "dropping-particle" : "", "family" : "Tallis", "given" : "Heather", "non-dropping-particle" : "", "parse-names" : false, "suffix" : "" }, { "dropping-particle" : "", "family" : "Cameron", "given" : "D. Richard", "non-dropping-particle" : "", "parse-names" : false, "suffix" : "" }, { "dropping-particle" : "", "family" : "Chan", "given" : "Kai M A", "non-dropping-particle" : "", "parse-names" : false, "suffix" : "" }, { "dropping-particle" : "", "family" : "Daily", "given" : "Gretchen C.", "non-dropping-particle" : "", "parse-names" : false, "suffix" : "" }, { "dropping-particle" : "", "family" : "Goldstein", "given" : "Joshua", "non-dropping-particle" : "", "parse-names" : false, "suffix" : "" }, { "dropping-particle" : "", "family" : "Kareiva", "given" : "Peter M.", "non-dropping-particle" : "", "parse-names" : false, "suffix" : "" }, { "dropping-particle" : "", "family" : "Lonsdorf", "given" : "Eric", "non-dropping-particle" : "", "parse-names" : false, "suffix" : "" }, { "dropping-particle" : "", "family" : "Naidoo", "given" : "Robin", "non-dropping-particle" : "", "parse-names" : false, "suffix" : "" }, { "dropping-particle" : "", "family" : "Ricketts", "given" : "Taylor H.", "non-dropping-particle" : "", "parse-names" : false, "suffix" : "" }, { "dropping-particle" : "", "family" : "Shaw", "given" : "M. Rebecca", "non-dropping-particle" : "", "parse-names" : false, "suffix" : "" } ], "container-title" : "Frontiers in Ecology and the Environment", "id" : "ITEM-1", "issue" : "1", "issued" : { "date-parts" : [ [ "2009" ] ] }, "page" : "4-11", "title" : "Modeling multiple ecosystem services, biodiversity conservation, commodity production, and tradeoffs at landscape scales", "type" : "article-journal", "volume" : "7" }, "uris" : [ "http://www.mendeley.com/documents/?uuid=f3c0b43a-23d5-43b7-9645-a45d029521f0" ] } ], "mendeley" : { "formattedCitation" : "(Nelson et al. 2009)", "plainTextFormattedCitation" : "(Nelson et al. 2009)", "previouslyFormattedCitation" : "(Nelson et al. 2009)"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(Nelson et al., 2009)</w:t>
      </w:r>
      <w:r w:rsidRPr="008608AA">
        <w:rPr>
          <w:rFonts w:eastAsiaTheme="majorEastAsia"/>
        </w:rPr>
        <w:fldChar w:fldCharType="end"/>
      </w:r>
    </w:p>
    <w:p w14:paraId="4ACC1118" w14:textId="368DA71D" w:rsidR="001E61A6" w:rsidRPr="008608AA" w:rsidRDefault="001E61A6" w:rsidP="00CC6CB7">
      <w:pPr>
        <w:widowControl w:val="0"/>
        <w:tabs>
          <w:tab w:val="left" w:pos="220"/>
          <w:tab w:val="left" w:pos="720"/>
        </w:tabs>
        <w:autoSpaceDE w:val="0"/>
        <w:autoSpaceDN w:val="0"/>
        <w:adjustRightInd w:val="0"/>
        <w:spacing w:before="120"/>
      </w:pPr>
      <w:r w:rsidRPr="008608AA">
        <w:rPr>
          <w:rFonts w:eastAsiaTheme="majorEastAsia"/>
        </w:rPr>
        <w:t>The intensity of land degradation depends on indirect drivers (</w:t>
      </w:r>
      <w:r w:rsidR="00B20C8E" w:rsidRPr="008608AA">
        <w:rPr>
          <w:rFonts w:eastAsiaTheme="majorEastAsia"/>
        </w:rPr>
        <w:t>section</w:t>
      </w:r>
      <w:r w:rsidRPr="008608AA">
        <w:rPr>
          <w:rFonts w:eastAsiaTheme="majorEastAsia"/>
        </w:rPr>
        <w:t xml:space="preserve"> 4.3), like governance (zoning, incentive policies, management policies), social development (education, technology), economic development (markets, trade, technology, land tenure, corporate pressures), and interactions among land degradation and other direct drivers, including climate change and changes in fire regimes. With economic development, human diets have shifted toward more meat and dairy consumption </w:t>
      </w:r>
      <w:r w:rsidRPr="008608AA">
        <w:rPr>
          <w:rFonts w:eastAsiaTheme="majorEastAsia"/>
        </w:rPr>
        <w:fldChar w:fldCharType="begin" w:fldLock="1"/>
      </w:r>
      <w:r w:rsidRPr="008608AA">
        <w:rPr>
          <w:rFonts w:eastAsiaTheme="majorEastAsia"/>
        </w:rPr>
        <w:instrText>ADDIN CSL_CITATION { "citationItems" : [ { "id" : "ITEM-1", "itemData" : { "DOI" : "10.1038/nature10452", "ISBN" : "0028-0836", "ISSN" : "1476-4687", "PMID" : "21993620", "abstract" : "Increasing population and consumption are placing unprecedented demands on agriculture and natural resources. Today, approximately a billion people are chronically malnourished while our agricultural systems are concurrently degrading land, water, biodiversity and climate on a global scale. To meet the world's future food security and sustainability needs, food production must grow substantially while, at the same time, agriculture's environmental footprint must shrink dramatically. Here we analyse solutions to this dilemma, showing that tremendous progress could be made by halting agricultural expansion, closing 'yield gaps' on underperforming lands, increasing cropping efficiency, shifting diets and reducing waste. Together, these strategies could double food production while greatly reducing the environmental impacts of agriculture.", "author" : [ { "dropping-particle" : "", "family" : "Foley", "given" : "Jonathan A", "non-dropping-particle" : "", "parse-names" : false, "suffix" : "" }, { "dropping-particle" : "", "family" : "Ramankutty", "given" : "Navin", "non-dropping-particle" : "", "parse-names" : false, "suffix" : "" }, { "dropping-particle" : "", "family" : "Brauman", "given" : "Kate A.", "non-dropping-particle" : "", "parse-names" : false, "suffix" : "" }, { "dropping-particle" : "", "family" : "Cassidy", "given" : "Emily S.", "non-dropping-particle" : "", "parse-names" : false, "suffix" : "" }, { "dropping-particle" : "", "family" : "Gerber", "given" : "James S.", "non-dropping-particle" : "", "parse-names" : false, "suffix" : "" }, { "dropping-particle" : "", "family" : "Johnston", "given" : "Matt", "non-dropping-particle" : "", "parse-names" : false, "suffix" : "" }, { "dropping-particle" : "", "family" : "Mueller", "given" : "Nathaniel D.", "non-dropping-particle" : "", "parse-names" : false, "suffix" : "" }, { "dropping-particle" : "", "family" : "O'Connell", "given" : "Christine", "non-dropping-particle" : "", "parse-names" : false, "suffix" : "" }, { "dropping-particle" : "", "family" : "Ray", "given" : "Deepak K.", "non-dropping-particle" : "", "parse-names" : false, "suffix" : "" }, { "dropping-particle" : "", "family" : "West", "given" : "Paul C.", "non-dropping-particle" : "", "parse-names" : false, "suffix" : "" }, { "dropping-particle" : "", "family" : "Balzer", "given" : "Christian", "non-dropping-particle" : "", "parse-names" : false, "suffix" : "" }, { "dropping-particle" : "", "family" : "Bennett", "given" : "Elena M", "non-dropping-particle" : "", "parse-names" : false, "suffix" : "" }, { "dropping-particle" : "", "family" : "Carpenter", "given" : "Stephen R.", "non-dropping-particle" : "", "parse-names" : false, "suffix" : "" }, { "dropping-particle" : "", "family" : "Hill", "given" : "Jason", "non-dropping-particle" : "", "parse-names" : false, "suffix" : "" }, { "dropping-particle" : "", "family" : "Monfreda", "given" : "Chad", "non-dropping-particle" : "", "parse-names" : false, "suffix" : "" }, { "dropping-particle" : "", "family" : "Polasky", "given" : "Stephen", "non-dropping-particle" : "", "parse-names" : false, "suffix" : "" }, { "dropping-particle" : "", "family" : "Rockstr\u00f6m", "given" : "Johan", "non-dropping-particle" : "", "parse-names" : false, "suffix" : "" }, { "dropping-particle" : "", "family" : "Sheehan", "given" : "John", "non-dropping-particle" : "", "parse-names" : false, "suffix" : "" }, { "dropping-particle" : "", "family" : "Siebert", "given" : "Stefan", "non-dropping-particle" : "", "parse-names" : false, "suffix" : "" }, { "dropping-particle" : "", "family" : "Tilman", "given" : "David", "non-dropping-particle" : "", "parse-names" : false, "suffix" : "" }, { "dropping-particle" : "", "family" : "Zaks", "given" : "David P. M.", "non-dropping-particle" : "", "parse-names" : false, "suffix" : "" }, { "dropping-particle" : "", "family" : "O\u2019Connell", "given" : "Christine", "non-dropping-particle" : "", "parse-names" : false, "suffix" : "" } ], "container-title" : "Nature", "id" : "ITEM-1", "issue" : "7369", "issued" : { "date-parts" : [ [ "2011" ] ] }, "page" : "337-42", "title" : "Solutions for a cultivated planet", "type" : "article-journal", "volume" : "478" }, "uris" : [ "http://www.mendeley.com/documents/?uuid=6adccb05-a1cd-4aa9-a076-88dbc74dcf48" ] }, { "id" : "ITEM-2", "itemData" : { "DOI" : "10.1073/pnas.1116437108", "ISBN" : "1091-6490 (Electronic)\\r0027-8424 (Linking)", "ISSN" : "1091-6490 (Electronic) 0027-8424 (Linking)", "PMID" : "22106295", "abstract" : "Global food demand is increasing rapidly, as are the environmental impacts of agricultural expansion. Here, we project global demand for crop production in 2050 and evaluate the environmental impacts of alternative ways that this demand might be met. We find that per capita demand for crops, when measured as caloric or protein content of all crops combined, has been a similarly increasing function of per capita real income since 1960. This relationship forecasts a 100-110% increase in global crop demand from 2005 to 2050. Quantitative assessments show that the environmental impacts of meeting this demand depend on how global agriculture expands. If current trends of greater agricultural intensification in richer nations and greater land clearing (extensification) in poorer nations were to continue, ~1 billion ha of land would be cleared globally by 2050, with CO(2)-C equivalent greenhouse gas emissions reaching ~3 Gt y(-1) and N use ~250 Mt y(-1) by then. In contrast, if 2050 crop demand was met by moderate intensification focused on existing croplands of underyielding nations, adaptation and transfer of high-yielding technologies to these croplands, and global technological improvements, our analyses forecast land clearing of only ~0.2 billion ha, greenhouse gas emissions of ~1 Gt y(-1), and global N use of ~225 Mt y(-1). Efficient management practices could substantially lower nitrogen use. Attainment of high yields on existing croplands of underyielding nations is of great importance if global crop demand is to be met with minimal environmental impacts.", "author" : [ { "dropping-particle" : "", "family" : "Tilman", "given" : "D", "non-dropping-particle" : "", "parse-names" : false, "suffix" : "" }, { "dropping-particle" : "", "family" : "Balzer", "given" : "C", "non-dropping-particle" : "", "parse-names" : false, "suffix" : "" }, { "dropping-particle" : "", "family" : "Hill", "given" : "J", "non-dropping-particle" : "", "parse-names" : false, "suffix" : "" }, { "dropping-particle" : "", "family" : "Befort", "given" : "B L", "non-dropping-particle" : "", "parse-names" : false, "suffix" : "" } ], "container-title" : "Proc Natl Acad Sci U S A", "id" : "ITEM-2", "issue" : "50", "issued" : { "date-parts" : [ [ "2011" ] ] }, "page" : "20260-20264", "title" : "Global food demand and the sustainable intensification of agriculture", "type" : "article-journal", "volume" : "108" }, "uris" : [ "http://www.mendeley.com/documents/?uuid=87ffe617-cc36-44d3-9625-d569b3aa1274" ] } ], "mendeley" : { "formattedCitation" : "(Foley et al. 2011, Tilman et al. 2011)", "plainTextFormattedCitation" : "(Foley et al. 2011, Tilman et al. 2011)", "previouslyFormattedCitation" : "(Foley et al. 2011, Tilman et al. 2011)"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(Foley et al., 2011, Tilman et al., 2011)</w:t>
      </w:r>
      <w:r w:rsidRPr="008608AA">
        <w:rPr>
          <w:rFonts w:eastAsiaTheme="majorEastAsia"/>
        </w:rPr>
        <w:fldChar w:fldCharType="end"/>
      </w:r>
      <w:r w:rsidRPr="008608AA">
        <w:rPr>
          <w:rFonts w:eastAsiaTheme="majorEastAsia"/>
        </w:rPr>
        <w:t xml:space="preserve">. Continuing this trend in coming decades would require further pasture expansion, intensification of livestock production, or both. Maintaining or increasing future food, energy and water production without compromising biodiversity and ecosystem services can involve multiple strategies, including land sharing and land sparing (Fisher et al., 2014); closing yield gaps on underperforming lands </w:t>
      </w:r>
      <w:r w:rsidRPr="008608AA">
        <w:rPr>
          <w:rFonts w:eastAsiaTheme="majorEastAsia"/>
        </w:rPr>
        <w:fldChar w:fldCharType="begin" w:fldLock="1"/>
      </w:r>
      <w:r w:rsidRPr="008608AA">
        <w:rPr>
          <w:rFonts w:eastAsiaTheme="majorEastAsia"/>
        </w:rPr>
        <w:instrText>ADDIN CSL_CITATION { "citationItems" : [ { "id" : "ITEM-1", "itemData" : { "DOI" : "10.1038/nature11420", "ISBN" : "0028-0836", "ISSN" : "0028-0836", "PMID" : "22932270", "abstract" : "In the coming decades, a crucial challenge for humanity will be meeting future food demands without undermining further the integrity of the Earth's environmental systems. Agricultural systems are already major forces of global environmental degradation, but population growth and increasing consumption of calorie- and meat-intensive diets are expected to roughly double human food demand by 2050 (ref. 3). Responding to these pressures, there is increasing focus on 'sustainable intensification' as a means to increase yields on underperforming landscapes while simultaneously decreasing the environmental impacts of agricultural systems. However, it is unclear what such efforts might entail for the future of global agricultural landscapes. Here we present a global-scale assessment of intensification prospects from closing 'yield gaps' (differences between observed yields and those attainable in a given region), the spatial patterns of agricultural management practices and yield limitation, and the management changes that may be necessary to achieve increased yields. We find that global yield variability is heavily controlled by fertilizer use, irrigation and climate. Large production increases (45% to 70% for most crops) are possible from closing yield gaps to 100% of attainable yields, and the changes to management practices that are needed to close yield gaps vary considerably by region and current intensity. Furthermore, we find that there are large opportunities to reduce the environmental impact of agriculture by eliminating nutrient overuse, while still allowing an approximately 30% increase in production of major cereals (maize, wheat and rice). Meeting the food security and sustainability challenges of the coming decades is possible, but will require considerable changes in nutrient and water management.", "author" : [ { "dropping-particle" : "", "family" : "Mueller", "given" : "Nathaniel D.", "non-dropping-particle" : "", "parse-names" : false, "suffix" : "" }, { "dropping-particle" : "", "family" : "Gerber", "given" : "James S.", "non-dropping-particle" : "", "parse-names" : false, "suffix" : "" }, { "dropping-particle" : "", "family" : "Johnston", "given" : "Matt", "non-dropping-particle" : "", "parse-names" : false, "suffix" : "" }, { "dropping-particle" : "", "family" : "Ray", "given" : "Deepak K.", "non-dropping-particle" : "", "parse-names" : false, "suffix" : "" }, { "dropping-particle" : "", "family" : "Ramankutty", "given" : "Navin", "non-dropping-particle" : "", "parse-names" : false, "suffix" : "" }, { "dropping-particle" : "", "family" : "Foley", "given" : "Jonathan a.", "non-dropping-particle" : "", "parse-names" : false, "suffix" : "" } ], "container-title" : "Nature", "id" : "ITEM-1", "issue" : "7419", "issued" : { "date-parts" : [ [ "2012" ] ] }, "page" : "254-257", "title" : "Closing yield gaps through nutrient and water management", "type" : "article-journal", "volume" : "490" }, "uris" : [ "http://www.mendeley.com/documents/?uuid=9103d2a1-0356-4972-8f7c-f1eacbdfa10b" ] } ], "mendeley" : { "formattedCitation" : "(Mueller et al. 2012)", "plainTextFormattedCitation" : "(Mueller et al. 2012)", "previouslyFormattedCitation" : "(Mueller et al. 2012)"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(Mueller et al., 2012)</w:t>
      </w:r>
      <w:r w:rsidRPr="008608AA">
        <w:rPr>
          <w:rFonts w:eastAsiaTheme="majorEastAsia"/>
        </w:rPr>
        <w:fldChar w:fldCharType="end"/>
      </w:r>
      <w:r w:rsidRPr="008608AA">
        <w:rPr>
          <w:rFonts w:eastAsiaTheme="majorEastAsia"/>
        </w:rPr>
        <w:t xml:space="preserve">; improving efficiency of agricultural input application, reducing food waste </w:t>
      </w:r>
      <w:r w:rsidRPr="008608AA">
        <w:rPr>
          <w:rFonts w:eastAsiaTheme="majorEastAsia"/>
        </w:rPr>
        <w:fldChar w:fldCharType="begin" w:fldLock="1"/>
      </w:r>
      <w:r w:rsidRPr="008608AA">
        <w:rPr>
          <w:rFonts w:eastAsiaTheme="majorEastAsia"/>
        </w:rPr>
        <w:instrText>ADDIN CSL_CITATION { "citationItems" : [ { "id" : "ITEM-1", "itemData" : { "DOI" : "10.1038/nature10452", "ISBN" : "0028-0836", "ISSN" : "1476-4687", "PMID" : "21993620", "abstract" : "Increasing population and consumption are placing unprecedented demands on agriculture and natural resources. Today, approximately a billion people are chronically malnourished while our agricultural systems are concurrently degrading land, water, biodiversity and climate on a global scale. To meet the world's future food security and sustainability needs, food production must grow substantially while, at the same time, agriculture's environmental footprint must shrink dramatically. Here we analyse solutions to this dilemma, showing that tremendous progress could be made by halting agricultural expansion, closing 'yield gaps' on underperforming lands, increasing cropping efficiency, shifting diets and reducing waste. Together, these strategies could double food production while greatly reducing the environmental impacts of agriculture.", "author" : [ { "dropping-particle" : "", "family" : "Foley", "given" : "Jonathan A", "non-dropping-particle" : "", "parse-names" : false, "suffix" : "" }, { "dropping-particle" : "", "family" : "Ramankutty", "given" : "Navin", "non-dropping-particle" : "", "parse-names" : false, "suffix" : "" }, { "dropping-particle" : "", "family" : "Brauman", "given" : "Kate A.", "non-dropping-particle" : "", "parse-names" : false, "suffix" : "" }, { "dropping-particle" : "", "family" : "Cassidy", "given" : "Emily S.", "non-dropping-particle" : "", "parse-names" : false, "suffix" : "" }, { "dropping-particle" : "", "family" : "Gerber", "given" : "James S.", "non-dropping-particle" : "", "parse-names" : false, "suffix" : "" }, { "dropping-particle" : "", "family" : "Johnston", "given" : "Matt", "non-dropping-particle" : "", "parse-names" : false, "suffix" : "" }, { "dropping-particle" : "", "family" : "Mueller", "given" : "Nathaniel D.", "non-dropping-particle" : "", "parse-names" : false, "suffix" : "" }, { "dropping-particle" : "", "family" : "O'Connell", "given" : "Christine", "non-dropping-particle" : "", "parse-names" : false, "suffix" : "" }, { "dropping-particle" : "", "family" : "Ray", "given" : "Deepak K.", "non-dropping-particle" : "", "parse-names" : false, "suffix" : "" }, { "dropping-particle" : "", "family" : "West", "given" : "Paul C.", "non-dropping-particle" : "", "parse-names" : false, "suffix" : "" }, { "dropping-particle" : "", "family" : "Balzer", "given" : "Christian", "non-dropping-particle" : "", "parse-names" : false, "suffix" : "" }, { "dropping-particle" : "", "family" : "Bennett", "given" : "Elena M", "non-dropping-particle" : "", "parse-names" : false, "suffix" : "" }, { "dropping-particle" : "", "family" : "Carpenter", "given" : "Stephen R.", "non-dropping-particle" : "", "parse-names" : false, "suffix" : "" }, { "dropping-particle" : "", "family" : "Hill", "given" : "Jason", "non-dropping-particle" : "", "parse-names" : false, "suffix" : "" }, { "dropping-particle" : "", "family" : "Monfreda", "given" : "Chad", "non-dropping-particle" : "", "parse-names" : false, "suffix" : "" }, { "dropping-particle" : "", "family" : "Polasky", "given" : "Stephen", "non-dropping-particle" : "", "parse-names" : false, "suffix" : "" }, { "dropping-particle" : "", "family" : "Rockstr\u00f6m", "given" : "Johan", "non-dropping-particle" : "", "parse-names" : false, "suffix" : "" }, { "dropping-particle" : "", "family" : "Sheehan", "given" : "John", "non-dropping-particle" : "", "parse-names" : false, "suffix" : "" }, { "dropping-particle" : "", "family" : "Siebert", "given" : "Stefan", "non-dropping-particle" : "", "parse-names" : false, "suffix" : "" }, { "dropping-particle" : "", "family" : "Tilman", "given" : "David", "non-dropping-particle" : "", "parse-names" : false, "suffix" : "" }, { "dropping-particle" : "", "family" : "Zaks", "given" : "David P. M.", "non-dropping-particle" : "", "parse-names" : false, "suffix" : "" }, { "dropping-particle" : "", "family" : "O\u2019Connell", "given" : "Christine", "non-dropping-particle" : "", "parse-names" : false, "suffix" : "" } ], "container-title" : "Nature", "id" : "ITEM-1", "issue" : "7369", "issued" : { "date-parts" : [ [ "2011" ] ] }, "page" : "337-42", "title" : "Solutions for a cultivated planet", "type" : "article-journal", "volume" : "478" }, "uris" : [ "http://www.mendeley.com/documents/?uuid=6adccb05-a1cd-4aa9-a076-88dbc74dcf48" ] } ], "mendeley" : { "formattedCitation" : "(Foley et al. 2011)", "plainTextFormattedCitation" : "(Foley et al. 2011)", "previouslyFormattedCitation" : "(Foley et al. 2011)"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(Foley et al., 2011)</w:t>
      </w:r>
      <w:r w:rsidRPr="008608AA">
        <w:rPr>
          <w:rFonts w:eastAsiaTheme="majorEastAsia"/>
        </w:rPr>
        <w:fldChar w:fldCharType="end"/>
      </w:r>
      <w:r w:rsidRPr="008608AA">
        <w:rPr>
          <w:rFonts w:eastAsiaTheme="majorEastAsia"/>
        </w:rPr>
        <w:t xml:space="preserve"> and changing diets  </w:t>
      </w:r>
      <w:r w:rsidRPr="008608AA">
        <w:rPr>
          <w:rFonts w:eastAsiaTheme="majorEastAsia"/>
        </w:rPr>
        <w:fldChar w:fldCharType="begin" w:fldLock="1"/>
      </w:r>
      <w:r w:rsidRPr="008608AA">
        <w:rPr>
          <w:rFonts w:eastAsiaTheme="majorEastAsia"/>
        </w:rPr>
        <w:instrText>ADDIN CSL_CITATION { "citationItems" : [ { "id" : "ITEM-1", "itemData" : { "DOI" : "10.1073/pnas.1116437108", "ISBN" : "1091-6490 (Electronic)\\r0027-8424 (Linking)", "ISSN" : "1091-6490 (Electronic) 0027-8424 (Linking)", "PMID" : "22106295", "abstract" : "Global food demand is increasing rapidly, as are the environmental impacts of agricultural expansion. Here, we project global demand for crop production in 2050 and evaluate the environmental impacts of alternative ways that this demand might be met. We find that per capita demand for crops, when measured as caloric or protein content of all crops combined, has been a similarly increasing function of per capita real income since 1960. This relationship forecasts a 100-110% increase in global crop demand from 2005 to 2050. Quantitative assessments show that the environmental impacts of meeting this demand depend on how global agriculture expands. If current trends of greater agricultural intensification in richer nations and greater land clearing (extensification) in poorer nations were to continue, ~1 billion ha of land would be cleared globally by 2050, with CO(2)-C equivalent greenhouse gas emissions reaching ~3 Gt y(-1) and N use ~250 Mt y(-1) by then. In contrast, if 2050 crop demand was met by moderate intensification focused on existing croplands of underyielding nations, adaptation and transfer of high-yielding technologies to these croplands, and global technological improvements, our analyses forecast land clearing of only ~0.2 billion ha, greenhouse gas emissions of ~1 Gt y(-1), and global N use of ~225 Mt y(-1). Efficient management practices could substantially lower nitrogen use. Attainment of high yields on existing croplands of underyielding nations is of great importance if global crop demand is to be met with minimal environmental impacts.", "author" : [ { "dropping-particle" : "", "family" : "Tilman", "given" : "D", "non-dropping-particle" : "", "parse-names" : false, "suffix" : "" }, { "dropping-particle" : "", "family" : "Balzer", "given" : "C", "non-dropping-particle" : "", "parse-names" : false, "suffix" : "" }, { "dropping-particle" : "", "family" : "Hill", "given" : "J", "non-dropping-particle" : "", "parse-names" : false, "suffix" : "" }, { "dropping-particle" : "", "family" : "Befort", "given" : "B L", "non-dropping-particle" : "", "parse-names" : false, "suffix" : "" } ], "container-title" : "Proc Natl Acad Sci U S A", "id" : "ITEM-1", "issue" : "50", "issued" : { "date-parts" : [ [ "2011" ] ] }, "page" : "20260-20264", "title" : "Global food demand and the sustainable intensification of agriculture", "type" : "article-journal", "volume" : "108" }, "uris" : [ "http://www.mendeley.com/documents/?uuid=87ffe617-cc36-44d3-9625-d569b3aa1274" ] }, { "id" : "ITEM-2", "itemData" : { "DOI" : "http://www.nature.com/nature/journal/v515/n7528/full/nature13959.html", "ISBN" : "1476-4687", "ISSN" : "&lt;null&gt;", "PMID" : "25383533", "abstract" : "Diets link environmental and human health. Rising incomes and urbanization are driving a global dietary transition in which traditional diets are replaced by diets higher in refined sugars, refined fats, oils and meats. By 2050 these dietary trends, if unchecked, would be a major contributor to an estimated 80 per cent increase in global agricultural greenhouse gas emissions from food production and to global land clearing. Moreover, these dietary shifts are greatly increasing the incidence of type II diabetes, coronary heart disease and other chronic non-communicable diseases that lower global life expectancies. Alternative diets that offer substantial health benefits could, if widely adopted, reduce global agricultural greenhouse gas emissions, reduce land clearing and resultant species extinctions, and help prevent such diet-related chronic non-communicable diseases. The implementation of dietary solutions to the tightly linked diet-environment-health trilemma is a global challenge, and opportunity, of great environmental and public health importance.", "author" : [ { "dropping-particle" : "", "family" : "Tilman", "given" : "David", "non-dropping-particle" : "", "parse-names" : false, "suffix" : "" }, { "dropping-particle" : "", "family" : "Clark", "given" : "Michael", "non-dropping-particle" : "", "parse-names" : false, "suffix" : "" } ], "container-title" : "Nature", "id" : "ITEM-2", "issue" : "7528", "issued" : { "date-parts" : [ [ "2014" ] ] }, "page" : "518-522", "title" : "Global diets link environmental sustainability and human health", "type" : "article-journal", "volume" : "515" }, "uris" : [ "http://www.mendeley.com/documents/?uuid=fb2c8313-2423-4e86-a2d4-93c241ba64d0" ] } ], "mendeley" : { "formattedCitation" : "(Tilman et al. 2011, Tilman and Clark 2014)", "plainTextFormattedCitation" : "(Tilman et al. 2011, Tilman and Clark 2014)", "previouslyFormattedCitation" : "(Tilman et al. 2011, Tilman and Clark 2014)"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 xml:space="preserve">(Tilman et al., 2011, Tilman </w:t>
      </w:r>
      <w:r w:rsidR="00BB1E66" w:rsidRPr="008608AA">
        <w:rPr>
          <w:rFonts w:eastAsiaTheme="majorEastAsia"/>
          <w:noProof/>
        </w:rPr>
        <w:t>&amp;</w:t>
      </w:r>
      <w:r w:rsidRPr="008608AA">
        <w:rPr>
          <w:rFonts w:eastAsiaTheme="majorEastAsia"/>
          <w:noProof/>
        </w:rPr>
        <w:t xml:space="preserve"> Clark</w:t>
      </w:r>
      <w:r w:rsidR="00BB1E66" w:rsidRPr="008608AA">
        <w:rPr>
          <w:rFonts w:eastAsiaTheme="majorEastAsia"/>
          <w:noProof/>
        </w:rPr>
        <w:t>,</w:t>
      </w:r>
      <w:r w:rsidRPr="008608AA">
        <w:rPr>
          <w:rFonts w:eastAsiaTheme="majorEastAsia"/>
          <w:noProof/>
        </w:rPr>
        <w:t xml:space="preserve"> 2014</w:t>
      </w:r>
      <w:r w:rsidR="00BB1E66" w:rsidRPr="008608AA">
        <w:rPr>
          <w:rFonts w:eastAsiaTheme="majorEastAsia"/>
          <w:noProof/>
        </w:rPr>
        <w:t>;</w:t>
      </w:r>
      <w:r w:rsidRPr="008608AA">
        <w:rPr>
          <w:rFonts w:eastAsiaTheme="majorEastAsia"/>
          <w:noProof/>
        </w:rPr>
        <w:t xml:space="preserve"> </w:t>
      </w:r>
      <w:r w:rsidRPr="008608AA">
        <w:rPr>
          <w:rFonts w:eastAsiaTheme="majorEastAsia"/>
        </w:rPr>
        <w:t>Vranken et al., 2014</w:t>
      </w:r>
      <w:r w:rsidRPr="008608AA">
        <w:rPr>
          <w:rFonts w:eastAsiaTheme="majorEastAsia"/>
          <w:noProof/>
        </w:rPr>
        <w:t>)</w:t>
      </w:r>
      <w:r w:rsidRPr="008608AA">
        <w:rPr>
          <w:rFonts w:eastAsiaTheme="majorEastAsia"/>
        </w:rPr>
        <w:fldChar w:fldCharType="end"/>
      </w:r>
      <w:r w:rsidRPr="008608AA">
        <w:rPr>
          <w:rFonts w:eastAsiaTheme="majorEastAsia"/>
        </w:rPr>
        <w:t xml:space="preserve">. </w:t>
      </w:r>
    </w:p>
    <w:p w14:paraId="11B8AEB2" w14:textId="360366F5" w:rsidR="001E61A6" w:rsidRPr="008608AA" w:rsidRDefault="001E61A6" w:rsidP="00CC6CB7">
      <w:pPr>
        <w:widowControl w:val="0"/>
        <w:tabs>
          <w:tab w:val="left" w:pos="220"/>
          <w:tab w:val="left" w:pos="720"/>
        </w:tabs>
        <w:autoSpaceDE w:val="0"/>
        <w:autoSpaceDN w:val="0"/>
        <w:adjustRightInd w:val="0"/>
        <w:spacing w:before="120"/>
      </w:pPr>
      <w:r w:rsidRPr="008608AA">
        <w:rPr>
          <w:rFonts w:eastAsiaTheme="majorEastAsia"/>
        </w:rPr>
        <w:t xml:space="preserve">After abandonment from human uses, some habitats gradually recover while others fail to do so </w:t>
      </w:r>
      <w:r w:rsidRPr="008608AA">
        <w:rPr>
          <w:rFonts w:eastAsiaTheme="majorEastAsia"/>
        </w:rPr>
        <w:fldChar w:fldCharType="begin" w:fldLock="1"/>
      </w:r>
      <w:r w:rsidRPr="008608AA">
        <w:rPr>
          <w:rFonts w:eastAsiaTheme="majorEastAsia"/>
        </w:rPr>
        <w:instrText>ADDIN CSL_CITATION { "citationItems" : [ { "id" : "ITEM-1", "itemData" : { "DOI" : "10.1126/science.1172460", "ISBN" : "0036-8075", "ISSN" : "1095-9203", "PMID" : "19644076", "abstract" : "Ecological restoration is widely used to reverse the environmental degradation caused by human activities. However, the effectiveness of restoration actions in increasing provision of both biodiversity and ecosystem services has not been evaluated systematically. A meta-analysis of 89 restoration assessments in a wide range of ecosystem types across the globe indicates that ecological restoration increased provision of biodiversity and ecosystem services by 44 and 25%, respectively. However, values of both remained lower in restored versus intact reference ecosystems. Increases in biodiversity and ecosystem service measures after restoration were positively correlated. Results indicate that restoration actions focused on enhancing biodiversity should support increased provision of ecosystem services, particularly in tropical terrestrial biomes.", "author" : [ { "dropping-particle" : "", "family" : "Benayas", "given" : "Rey Jos\u00e9 M", "non-dropping-particle" : "", "parse-names" : false, "suffix" : "" }, { "dropping-particle" : "", "family" : "Newton", "given" : "Adrian C", "non-dropping-particle" : "", "parse-names" : false, "suffix" : "" }, { "dropping-particle" : "", "family" : "Diaz", "given" : "Anita", "non-dropping-particle" : "", "parse-names" : false, "suffix" : "" }, { "dropping-particle" : "", "family" : "Bullock", "given" : "James M", "non-dropping-particle" : "", "parse-names" : false, "suffix" : "" } ], "container-title" : "Science (New York, N.Y.)", "id" : "ITEM-1", "issue" : "5944", "issued" : { "date-parts" : [ [ "2009" ] ] }, "page" : "1121-4", "title" : "Enhancement of biodiversity and ecosystem services by ecological restoration: a meta-analysis.", "type" : "article-journal", "volume" : "325" }, "uris" : [ "http://www.mendeley.com/documents/?uuid=6c88680e-3997-45c0-82e0-f7d94b7ed07a" ] }, { "id" : "ITEM-2", "itemData" : { "DOI" : "10.1371/journal.pone.0005653", "ISBN" : "10.1371/journal.pone.0005653", "ISSN" : "19326203", "PMID" : "19471645", "abstract" : "BACKGROUND: Recent reports on the state of the global environment provide evidence that humankind is inflicting great damage to the very ecosystems that support human livelihoods. The reports further predict that ecosystems will take centuries to recover from damages if they recover at all. Accordingly, there is despair that we are passing on a legacy of irreparable damage to future generations which is entirely inconsistent with principles of sustainability.\\n\\nMETHODOLOGY/PRINCIPAL FINDINGS: We tested the prediction of irreparable harm using a synthesis of recovery times compiled from 240 independent studies reported in the scientific literature. We provide startling evidence that most ecosystems globally can, given human will, recover from very major perturbations on timescales of decades to half-centuries.\\n\\nSIGNIFICANCE/CONCLUSIONS: Accordingly, we find much hope that humankind can transition to more sustainable use of ecosystems.", "author" : [ { "dropping-particle" : "", "family" : "Jones", "given" : "Holly P.", "non-dropping-particle" : "", "parse-names" : false, "suffix" : "" }, { "dropping-particle" : "", "family" : "Schmitz", "given" : "Oswald J.", "non-dropping-particle" : "", "parse-names" : false, "suffix" : "" } ], "container-title" : "PLoS ONE", "id" : "ITEM-2", "issue" : "5", "issued" : { "date-parts" : [ [ "2009" ] ] }, "title" : "Rapid recovery of damaged ecosystems", "type" : "article-journal", "volume" : "4" }, "uris" : [ "http://www.mendeley.com/documents/?uuid=56098bbe-6b0f-4866-9c94-e86e76025d2f" ] }, { "id" : "ITEM-3", "itemData" : { "DOI" : "10.1016/j.agee.2015.01.009", "ISSN" : "01678809", "abstract" : "Landscape transformation due to agriculture affects more than 40% of the planet's land area and is the most important driver of losses of biodiversity and ecosystem services (ES) worldwide. Ecological restoration may significantly reduce these losses, but its effectiveness has not been systematically assessed in agroecosystems at the global level. We quantitatively meta-analyzed the results of 54 studies of how restoration actions reflecting the two contrasting strategies of land sparing and land sharing affect levels of biodiversity and ES in a wide variety of agroecosystems in 20 countries. Restoration increased overall biodiversity of all organism types by an average of 68%. It also increased the supply of many ES, in particular the levels of supporting ES by an average of 42% and levels of regulating ES by an average of 120% relative to levels in the pre-restoration agroecosystem. In fact, restored agroecosystems showed levels of biodiversity and supporting and regulating ES similar to those of reference ecosystems. Recovery levels did not correlate with the time since the last restoration action. Comparison of land sparing and land sharing as restoration strategies showed that while both were associated with similar biodiversity recovery, land sparing led to higher median ES response ratios. Passive and active restoration actions did not differ significantly in the levels of biodiversity or ES recovery. Biodiversity recovery positively correlated with ES recovery. We conclude that ecological restoration of agroecosystems is generally effective and can be recommended as a way to enhance biodiversity and supply of supporting and regulating ES in agricultural landscapes. Whether a land sharing or land sparing strategy is preferable remains an open question, and might be case dependent. Moreover, it is unclear whether crop production on restored land can meet future food production needs.", "author" : [ { "dropping-particle" : "", "family" : "Barral", "given" : "Mar??a Paula", "non-dropping-particle" : "", "parse-names" : false, "suffix" : "" }, { "dropping-particle" : "", "family" : "Rey Benayas", "given" : "Jos?? Mar??a", "non-dropping-particle" : "", "parse-names" : false, "suffix" : "" }, { "dropping-particle" : "", "family" : "Meli", "given" : "Paula", "non-dropping-particle" : "", "parse-names" : false, "suffix" : "" }, { "dropping-particle" : "", "family" : "Maceira", "given" : "Nestor Oscar", "non-dropping-particle" : "", "parse-names" : false, "suffix" : "" } ], "container-title" : "Agriculture, Ecosystems and Environment", "id" : "ITEM-3", "issued" : { "date-parts" : [ [ "2015" ] ] }, "page" : "223-231", "title" : "Quantifying the impacts of ecological restoration on biodiversity and ecosystem services in agroecosystems: A global meta-analysis", "type" : "article-journal", "volume" : "202" }, "uris" : [ "http://www.mendeley.com/documents/?uuid=641bf58d-7995-489a-947b-f85c2d8e93f0" ] } ], "mendeley" : { "formattedCitation" : "(Benayas et al. 2009, Jones and Schmitz 2009, Barral et al. 2015)", "plainTextFormattedCitation" : "(Benayas et al. 2009, Jones and Schmitz 2009, Barral et al. 2015)", "previouslyFormattedCitation" : "(Benayas et al. 2009, Jones and Schmitz 2009, Barral et al. 2015)" }, "properties" : { "noteIndex" : 0 }, "schema" : "https://github.com/citation-style-language/schema/raw/master/csl-citation.json" }</w:instrText>
      </w:r>
      <w:r w:rsidRPr="008608AA">
        <w:rPr>
          <w:rFonts w:eastAsiaTheme="majorEastAsia"/>
        </w:rPr>
        <w:fldChar w:fldCharType="separate"/>
      </w:r>
      <w:r w:rsidR="00BB1E66" w:rsidRPr="008608AA">
        <w:rPr>
          <w:rFonts w:eastAsiaTheme="majorEastAsia"/>
          <w:noProof/>
        </w:rPr>
        <w:t>(Benayas et al., 2009;</w:t>
      </w:r>
      <w:r w:rsidRPr="008608AA">
        <w:rPr>
          <w:rFonts w:eastAsiaTheme="majorEastAsia"/>
          <w:noProof/>
        </w:rPr>
        <w:t xml:space="preserve"> Jones </w:t>
      </w:r>
      <w:r w:rsidR="00BB1E66" w:rsidRPr="008608AA">
        <w:rPr>
          <w:rFonts w:eastAsiaTheme="majorEastAsia"/>
          <w:noProof/>
        </w:rPr>
        <w:t>&amp;</w:t>
      </w:r>
      <w:r w:rsidRPr="008608AA">
        <w:rPr>
          <w:rFonts w:eastAsiaTheme="majorEastAsia"/>
          <w:noProof/>
        </w:rPr>
        <w:t xml:space="preserve"> Schmitz</w:t>
      </w:r>
      <w:r w:rsidR="00BB1E66" w:rsidRPr="008608AA">
        <w:rPr>
          <w:rFonts w:eastAsiaTheme="majorEastAsia"/>
          <w:noProof/>
        </w:rPr>
        <w:t>, 2009;</w:t>
      </w:r>
      <w:r w:rsidRPr="008608AA">
        <w:rPr>
          <w:rFonts w:eastAsiaTheme="majorEastAsia"/>
          <w:noProof/>
        </w:rPr>
        <w:t xml:space="preserve"> Barral et al., 2015)</w:t>
      </w:r>
      <w:r w:rsidRPr="008608AA">
        <w:rPr>
          <w:rFonts w:eastAsiaTheme="majorEastAsia"/>
        </w:rPr>
        <w:fldChar w:fldCharType="end"/>
      </w:r>
      <w:r w:rsidRPr="008608AA">
        <w:rPr>
          <w:rFonts w:eastAsiaTheme="majorEastAsia"/>
        </w:rPr>
        <w:t xml:space="preserve">. Over the past 15 years, total global pasture area decreased by 2%, with much of that land likely abandoned, rather than converted to other agriculture </w:t>
      </w:r>
      <w:r w:rsidRPr="008608AA">
        <w:fldChar w:fldCharType="begin"/>
      </w:r>
      <w:r w:rsidRPr="008608AA">
        <w:instrText xml:space="preserve"> ADDIN EN.CITE &lt;EndNote&gt;&lt;Cite&gt;&lt;Author&gt;Poore&lt;/Author&gt;&lt;Year&gt;2016&lt;/Year&gt;&lt;RecNum&gt;2039&lt;/RecNum&gt;&lt;DisplayText&gt;(Poore 2016)&lt;/DisplayText&gt;&lt;record&gt;&lt;rec-number&gt;2039&lt;/rec-number&gt;&lt;foreign-keys&gt;&lt;key app="EN" db-id="9pdpd99dqzvp05ewdz8x5pefrappvpeepxfw" timestamp="1455572615"&gt;2039&lt;/key&gt;&lt;/foreign-keys&gt;&lt;ref-type name="Journal Article"&gt;17&lt;/ref-type&gt;&lt;contributors&gt;&lt;authors&gt;&lt;author&gt;Poore, Joseph A. C.&lt;/author&gt;&lt;/authors&gt;&lt;/contributors&gt;&lt;titles&gt;&lt;title&gt;Call for conservation: Abandoned pasture&lt;/title&gt;&lt;secondary-title&gt;Science&lt;/secondary-title&gt;&lt;/titles&gt;&lt;periodical&gt;&lt;full-title&gt;Science&lt;/full-title&gt;&lt;/periodical&gt;&lt;pages&gt;132-132&lt;/pages&gt;&lt;volume&gt;351&lt;/volume&gt;&lt;number&gt;6269&lt;/number&gt;&lt;dates&gt;&lt;year&gt;2016&lt;/year&gt;&lt;pub-dates&gt;&lt;date&gt;2016-01-08 00:00:00&lt;/date&gt;&lt;/pub-dates&gt;&lt;/dates&gt;&lt;urls&gt;&lt;related-urls&gt;&lt;url&gt;http://science.sciencemag.org/sci/351/6269/132.1.full.pdf&lt;/url&gt;&lt;/related-urls&gt;&lt;/urls&gt;&lt;electronic-resource-num&gt;10.1126/science.351.6269.132-a&lt;/electronic-resource-num&gt;&lt;/record&gt;&lt;/Cite&gt;&lt;/EndNote&gt;</w:instrText>
      </w:r>
      <w:r w:rsidRPr="008608AA">
        <w:fldChar w:fldCharType="separate"/>
      </w:r>
      <w:r w:rsidRPr="008608AA">
        <w:rPr>
          <w:rFonts w:eastAsiaTheme="majorEastAsia"/>
          <w:noProof/>
        </w:rPr>
        <w:t>(Poore</w:t>
      </w:r>
      <w:r w:rsidR="00BB1E66" w:rsidRPr="008608AA">
        <w:rPr>
          <w:rFonts w:eastAsiaTheme="majorEastAsia"/>
          <w:noProof/>
        </w:rPr>
        <w:t>,</w:t>
      </w:r>
      <w:r w:rsidRPr="008608AA">
        <w:rPr>
          <w:rFonts w:eastAsiaTheme="majorEastAsia"/>
          <w:noProof/>
        </w:rPr>
        <w:t xml:space="preserve"> 2016)</w:t>
      </w:r>
      <w:r w:rsidRPr="008608AA">
        <w:fldChar w:fldCharType="end"/>
      </w:r>
      <w:r w:rsidRPr="008608AA">
        <w:rPr>
          <w:rFonts w:eastAsiaTheme="majorEastAsia"/>
        </w:rPr>
        <w:t xml:space="preserve">. There is substantial potential for biomass recovery of Neotropical secondary forests, with most forests recovering 90% of biomass in less than a century </w:t>
      </w:r>
      <w:r w:rsidRPr="008608AA">
        <w:rPr>
          <w:rFonts w:eastAsiaTheme="majorEastAsia"/>
        </w:rPr>
        <w:fldChar w:fldCharType="begin" w:fldLock="1"/>
      </w:r>
      <w:r w:rsidRPr="008608AA">
        <w:rPr>
          <w:rFonts w:eastAsiaTheme="majorEastAsia"/>
        </w:rPr>
        <w:instrText>ADDIN CSL_CITATION { "citationItems" : [ { "id" : "ITEM-1", "itemData" : { "DOI" : "10.1038/nature16512", "ISBN" : "doi:10.1038/nature16512", "ISSN" : "0028-0836", "PMID" : "26840632", "abstract" : "Land-use change occurs nowhere more rapidly than in the tropics, where the imbalance between deforestation and forest regrowth has large consequences for the global carbon cycle. However, considerable uncertainty remains about the rate of biomass recovery in secondary forests, and how these rates are influenced by climate, landscape, and prior land use. Here we analyse aboveground biomass recovery during secondary succession in 45 forest sites and about 1,500 forest plots covering the major environmental gradients in the Neotropics. The studied secondary forests are highly productive and resilient. Aboveground biomass recovery after 20 years was on average 122 megagrams per hectare (Mg ha(-1)), corresponding to a net carbon uptake of 3.05 Mg C ha(-1) yr(-1), 11 times the uptake rate of old-growth forests. Aboveground biomass stocks took a median time of 66 years to recover to 90% of old-growth values. Aboveground biomass recovery after 20 years varied 11.3-fold (from 20 to 225 Mg ha(-1)) across sites, and this recovery increased with water availability (higher local rainfall and lower climatic water deficit). We present a biomass recovery map of Latin America, which illustrates geographical and climatic variation in carbon sequestration potential during forest regrowth. The map will support policies to minimize forest loss in areas where biomass resilience is naturally low (such as seasonally dry forest regions) and promote forest regeneration and restoration in humid tropical lowland areas with high biomass resilience.", "author" : [ { "dropping-particle" : "", "family" : "Poorter", "given" : "Lourens", "non-dropping-particle" : "", "parse-names" : false, "suffix" : "" }, { "dropping-particle" : "", "family" : "Bongers", "given" : "Frans", "non-dropping-particle" : "", "parse-names" : false, "suffix" : "" }, { "dropping-particle" : "", "family" : "Aide", "given" : "T. Mitchell", "non-dropping-particle" : "", "parse-names" : false, "suffix" : "" }, { "dropping-particle" : "", "family" : "Almeyda Zambrano", "given" : "Ang\u00e9lica M.", "non-dropping-particle" : "", "parse-names" : false, "suffix" : "" }, { "dropping-particle" : "", "family" : "Balvanera", "given" : "Patricia", "non-dropping-particle" : "", "parse-names" : false, "suffix" : "" }, { "dropping-particle" : "", "family" : "Becknell", "given" : "Justin M.", "non-dropping-particle" : "", "parse-names" : false, "suffix" : "" }, { "dropping-particle" : "", "family" : "Boukili", "given" : "Vanessa", "non-dropping-particle" : "", "parse-names" : false, "suffix" : "" }, { "dropping-particle" : "", "family" : "Brancalion", "given" : "Pedro H. S.", "non-dropping-particle" : "", "parse-names" : false, "suffix" : "" }, { "dropping-particle" : "", "family" : "Broadbent", "given" : "Eben N.", "non-dropping-particle" : "", "parse-names" : false, "suffix" : "" }, { "dropping-particle" : "", "family" : "Chazdon", "given" : "Robin L.", "non-dropping-particle" : "", "parse-names" : false, "suffix" : "" }, { "dropping-particle" : "", "family" : "Craven", "given" : "Dylan", "non-dropping-particle" : "", "parse-names" : false, "suffix" : "" }, { "dropping-particle" : "", "family" : "Almeida-Cortez", "given" : "Jarcilene S.", "non-dropping-particle" : "de", "parse-names" : false, "suffix" : "" }, { "dropping-particle" : "", "family" : "Cabral", "given" : "George A. L.", "non-dropping-particle" : "", "parse-names" : false, "suffix" : "" }, { "dropping-particle" : "", "family" : "Jong", "given" : "Ben H. J.", "non-dropping-particle" : "de", "parse-names" : false, "suffix" : "" }, { "dropping-particle" : "", "family" : "Denslow", "given" : "Julie S.", "non-dropping-particle" : "", "parse-names" : false, "suffix" : "" }, { "dropping-particle" : "", "family" : "Dent", "given" : "Daisy H.", "non-dropping-particle" : "", "parse-names" : false, "suffix" : "" }, { "dropping-particle" : "", "family" : "DeWalt", "given" : "Saara J.", "non-dropping-particle" : "", "parse-names" : false, "suffix" : "" }, { "dropping-particle" : "", "family" : "Dupuy", "given" : "Juan M.", "non-dropping-particle" : "", "parse-names" : false, "suffix" : "" }, { "dropping-particle" : "", "family" : "Dur\u00e1n", "given" : "Sandra M.", "non-dropping-particle" : "", "parse-names" : false, "suffix" : "" }, { "dropping-particle" : "", "family" : "Esp\u00edrito-Santo", "given" : "Mario M.", "non-dropping-particle" : "", "parse-names" : false, "suffix" : "" }, { "dropping-particle" : "", "family" : "Fandino", "given" : "Mar\u00eda C.", "non-dropping-particle" : "", "parse-names" : false, "suffix" : "" }, { "dropping-particle" : "", "family" : "C\u00e9sar", "given" : "Ricardo G.", "non-dropping-particle" : "", "parse-names" : false, "suffix" : "" }, { "dropping-particle" : "", "family" : "Hall", "given" : "Jefferson S.", "non-dropping-particle" : "", "parse-names" : false, "suffix" : "" }, { "dropping-particle" : "", "family" : "Hernandez-Stefanoni", "given" : "Jos\u00e9 Luis", "non-dropping-particle" : "", "parse-names" : false, "suffix" : "" }, { "dropping-particle" : "", "family" : "Jakovac", "given" : "Catarina C.", "non-dropping-particle" : "", "parse-names" : false, "suffix" : "" }, { "dropping-particle" : "", "family" : "Junqueira", "given" : "Andr\u00e9 B.", "non-dropping-particle" : "", "parse-names" : false, "suffix" : "" }, { "dropping-particle" : "", "family" : "Kennard", "given" : "Deborah", "non-dropping-particle" : "", "parse-names" : false, "suffix" : "" }, { "dropping-particle" : "", "family" : "Letcher", "given" : "Susan G.", "non-dropping-particle" : "", "parse-names" : false, "suffix" : "" }, { "dropping-particle" : "", "family" : "Licona", "given" : "Juan-Carlos", "non-dropping-particle" : "", "parse-names" : false, "suffix" : "" }, { "dropping-particle" : "", "family" : "Lohbeck", "given" : "Madelon", "non-dropping-particle" : "", "parse-names" : false, "suffix" : "" }, { "dropping-particle" : "", "family" : "Mar\u00edn-Spiotta", "given" : "Erika", "non-dropping-particle" : "", "parse-names" : false, "suffix" : "" }, { "dropping-particle" : "", "family" : "Mart\u00ednez-Ramos", "given" : "Miguel", "non-dropping-particle" : "", "parse-names" : false, "suffix" : "" }, { "dropping-particle" : "", "family" : "Massoca", "given" : "Paulo", "non-dropping-particle" : "", "parse-names" : false, "suffix" : "" }, { "dropping-particle" : "", "family" : "Meave", "given" : "Jorge A.", "non-dropping-particle" : "", "parse-names" : false, "suffix" : "" }, { "dropping-particle" : "", "family" : "Mesquita", "given" : "Rita", "non-dropping-particle" : "", "parse-names" : false, "suffix" : "" }, { "dropping-particle" : "", "family" : "Mora", "given" : "Francisco", "non-dropping-particle" : "", "parse-names" : false, "suffix" : "" }, { "dropping-particle" : "", "family" : "Mu\u00f1oz", "given" : "Rodrigo", "non-dropping-particle" : "", "parse-names" : false, "suffix" : "" }, { "dropping-particle" : "", "family" : "Muscarella", "given" : "Robert", "non-dropping-particle" : "", "parse-names" : false, "suffix" : "" }, { "dropping-particle" : "", "family" : "Nunes", "given" : "Yule R. F.", "non-dropping-particle" : "", "parse-names" : false, "suffix" : "" }, { "dropping-particle" : "", "family" : "Ochoa-Gaona", "given" : "Susana", "non-dropping-particle" : "", "parse-names" : false, "suffix" : "" }, { "dropping-particle" : "", "family" : "Oliveira", "given" : "Alexandre A.", "non-dropping-particle" : "de", "parse-names" : false, "suffix" : "" }, { "dropping-particle" : "", "family" : "Orihuela-Belmonte", "given" : "Edith", "non-dropping-particle" : "", "parse-names" : false, "suffix" : "" }, { "dropping-particle" : "", "family" : "Pe\u00f1a-Claros", "given" : "Marielos", "non-dropping-particle" : "", "parse-names" : false, "suffix" : "" }, { "dropping-particle" : "", "family" : "P\u00e9rez-Garc\u00eda", "given" : "Eduardo A.", "non-dropping-particle" : "", "parse-names" : false, "suffix" : "" }, { "dropping-particle" : "", "family" : "Piotto", "given" : "Daniel", "non-dropping-particle" : "", "parse-names" : false, "suffix" : "" }, { "dropping-particle" : "", "family" : "Powers", "given" : "Jennifer S.", "non-dropping-particle" : "", "parse-names" : false, "suffix" : "" }, { "dropping-particle" : "", "family" : "Rodr\u00edguez-Vel\u00e1zquez", "given" : "Jorge", "non-dropping-particle" : "", "parse-names" : false, "suffix" : "" }, { "dropping-particle" : "", "family" : "Romero-P\u00e9rez", "given" : "I. Eunice", "non-dropping-particle" : "", "parse-names" : false, "suffix" : "" }, { "dropping-particle" : "", "family" : "Ru\u00edz", "given" : "Jorge", "non-dropping-particle" : "", "parse-names" : false, "suffix" : "" }, { "dropping-particle" : "", "family" : "Saldarriaga", "given" : "Juan G.", "non-dropping-particle" : "", "parse-names" : false, "suffix" : "" }, { "dropping-particle" : "", "family" : "Sanchez-Azofeifa", "given" : "Arturo", "non-dropping-particle" : "", "parse-names" : false, "suffix" : "" }, { "dropping-particle" : "", "family" : "Schwartz", "given" : "Naomi B.", "non-dropping-particle" : "", "parse-names" : false, "suffix" : "" }, { "dropping-particle" : "", "family" : "Steininger", "given" : "Marc K.", "non-dropping-particle" : "", "parse-names" : false, "suffix" : "" }, { "dropping-particle" : "", "family" : "Swenson", "given" : "Nathan G.", "non-dropping-particle" : "", "parse-names" : false, "suffix" : "" }, { "dropping-particle" : "", "family" : "Toledo", "given" : "Marisol", "non-dropping-particle" : "", "parse-names" : false, "suffix" : "" }, { "dropping-particle" : "", "family" : "Uriarte", "given" : "Maria", "non-dropping-particle" : "", "parse-names" : false, "suffix" : "" }, { "dropping-particle" : "", "family" : "Breugel", "given" : "Michiel", "non-dropping-particle" : "van", "parse-names" : false, "suffix" : "" }, { "dropping-particle" : "", "family" : "Wal", "given" : "Hans", "non-dropping-particle" : "van der", "parse-names" : false, "suffix" : "" }, { "dropping-particle" : "", "family" : "Veloso", "given" : "Maria D. M.", "non-dropping-particle" : "", "parse-names" : false, "suffix" : "" }, { "dropping-particle" : "", "family" : "Vester", "given" : "Hans F. M.", "non-dropping-particle" : "", "parse-names" : false, "suffix" : "" }, { "dropping-particle" : "", "family" : "Vicentini", "given" : "Alberto", "non-dropping-particle" : "", "parse-names" : false, "suffix" : "" }, { "dropping-particle" : "", "family" : "Vieira", "given" : "Ima C. G.", "non-dropping-particle" : "", "parse-names" : false, "suffix" : "" }, { "dropping-particle" : "", "family" : "Bentos", "given" : "Tony Vizcarra", "non-dropping-particle" : "", "parse-names" : false, "suffix" : "" }, { "dropping-particle" : "", "family" : "Williamson", "given" : "G. Bruce", "non-dropping-particle" : "", "parse-names" : false, "suffix" : "" }, { "dropping-particle" : "", "family" : "Rozendaal", "given" : "Dana\u00eb M. A.", "non-dropping-particle" : "", "parse-names" : false, "suffix" : "" } ], "container-title" : "Nature", "id" : "ITEM-1", "issue" : "7589", "issued" : { "date-parts" : [ [ "2016" ] ] }, "page" : "211-214", "title" : "Biomass resilience of Neotropical secondary forests", "type" : "article-journal", "volume" : "530" }, "uris" : [ "http://www.mendeley.com/documents/?uuid=e1f13de6-42fe-4631-8f6a-06a0bf12fbf1" ] } ], "mendeley" : { "formattedCitation" : "(Poorter et al. 2016)", "plainTextFormattedCitation" : "(Poorter et al. 2016)", "previouslyFormattedCitation" : "(Poorter et al. 2016)"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(Poorter et al., 2016)</w:t>
      </w:r>
      <w:r w:rsidRPr="008608AA">
        <w:rPr>
          <w:rFonts w:eastAsiaTheme="majorEastAsia"/>
        </w:rPr>
        <w:fldChar w:fldCharType="end"/>
      </w:r>
      <w:r w:rsidRPr="008608AA">
        <w:rPr>
          <w:rFonts w:eastAsiaTheme="majorEastAsia"/>
        </w:rPr>
        <w:t xml:space="preserve">. </w:t>
      </w:r>
      <w:r w:rsidRPr="008608AA">
        <w:t xml:space="preserve">Based on well documented evidence of the negative impacts of deforestation on surface water quality </w:t>
      </w:r>
      <w:r w:rsidRPr="008608AA">
        <w:fldChar w:fldCharType="begin" w:fldLock="1"/>
      </w:r>
      <w:r w:rsidRPr="008608AA">
        <w:instrText>ADDIN CSL_CITATION { "citationItems" : [ { "id" : "ITEM-1", "itemData" : { "DOI" : "10.1111/j.1752-1688.2004.tb01046.x", "ISBN" : "1093-474X", "ISSN" : "1093-474X", "PMID" : "10510", "abstract" : "The term flashiness reflects the frequency and rapidity of short term changes in streamflow, especially during runoff events. Flashiness is an important component of a stream's hydrologic regime. A variety of land use and land management changes may lead to increased or decreased flashiness, often to the detriment of aquatic life. This paper presents a newly developed flashiness index, which is based on mean daily flows. The index is calculated by dividing the pathlength of flow oscillations for a time interval (i.e., the sum of the absolute values of day-to-day changes in mean daily flow) by total discharge during that time interval. This index has low interannual variability, relative to most flow regime indicators, and thus greater power to detect trends. Index values were calculated for 515 Midwestern streams for the 27-year period from 1975 through 2001. Statistically significant increases were present in 22 percent of the streams, primarily in the eastern portion of the study area, while decreases were present in 9 percent, primarily in the western portion. Index values tend to decrease with increasing watershed area and with increasing unit area ground water inputs. Area compensated index values often shift at ecoregion boundaries. Potential index applications include evaluation of programs to restore more natural flow regimes.", "author" : [ { "dropping-particle" : "", "family" : "Baker", "given" : "D B", "non-dropping-particle" : "", "parse-names" : false, "suffix" : "" }, { "dropping-particle" : "", "family" : "Richards", "given" : "R P", "non-dropping-particle" : "", "parse-names" : false, "suffix" : "" }, { "dropping-particle" : "", "family" : "Loftus", "given" : "T T", "non-dropping-particle" : "", "parse-names" : false, "suffix" : "" }, { "dropping-particle" : "", "family" : "Kramer", "given" : "J W", "non-dropping-particle" : "", "parse-names" : false, "suffix" : "" } ], "container-title" : "Journal of the American Water Resources Association", "id" : "ITEM-1", "issue" : "2", "issued" : { "date-parts" : [ [ "2004" ] ] }, "page" : "503-522", "title" : "A new flashiness index: Characteristics and applications to midwestern rivers and streams", "type" : "article-journal", "volume" : "40" }, "uris" : [ "http://www.mendeley.com/documents/?uuid=f326d6e0-c68c-431b-b1da-145b38472930" ] }, { "id" : "ITEM-2", "itemData" : { "DOI" : "10.1029/2006WR005486", "ISBN" : "0043-1397", "ISSN" : "00431397", "abstract" : "Past land use changes have greatly impacted global water resources, with often opposing effects on water quantity and quality. Increases in rain-fed cropland (460%) and pastureland (560%) during the past 300 years from forest and grasslands decreased evapotranspiration and increased recharge (two orders of magnitude) and streamflow (one order of magnitude). However, increased water quantity degraded water quality by mobilization of salts, salinization caused by shallow water tables, and fertilizer leaching into underlying aquifers that discharge to streams. Since the 1950s, irrigated agriculture has expanded globally by 174%, accounting for", "author" : [ { "dropping-particle" : "", "family" : "Scanlon", "given" : "Bridget R.", "non-dropping-particle" : "", "parse-names" : false, "suffix" : "" }, { "dropping-particle" : "", "family" : "Jolly", "given" : "Ian", "non-dropping-particle" : "", "parse-names" : false, "suffix" : "" }, { "dropping-particle" : "", "family" : "Sophocleous", "given" : "Marios", "non-dropping-particle" : "", "parse-names" : false, "suffix" : "" }, { "dropping-particle" : "", "family" : "Zhang", "given" : "Lu", "non-dropping-particle" : "", "parse-names" : false, "suffix" : "" } ], "container-title" : "Water Resources Research", "id" : "ITEM-2", "issue" : "3", "issued" : { "date-parts" : [ [ "2007" ] ] }, "title" : "Global impacts of conversions from natural to agricultural ecosystems on water resources: Quantity versus quality", "type" : "article-journal", "volume" : "43" }, "uris" : [ "http://www.mendeley.com/documents/?uuid=94b9cfe5-63da-4f1d-b492-0a2d0f3006b3" ] } ], "mendeley" : { "formattedCitation" : "(Baker et al. 2004, Scanlon et al. 2007)", "plainTextFormattedCitation" : "(Baker et al. 2004, Scanlon et al. 2007)", "previouslyFormattedCitation" : "(Baker et al. 2004, Scanlon et al. 2007)" }, "properties" : { "noteIndex" : 0 }, "schema" : "https://github.com/citation-style-language/schema/raw/master/csl-citation.json" }</w:instrText>
      </w:r>
      <w:r w:rsidRPr="008608AA">
        <w:fldChar w:fldCharType="separate"/>
      </w:r>
      <w:r w:rsidRPr="008608AA">
        <w:rPr>
          <w:noProof/>
        </w:rPr>
        <w:t>(Baker et al., 2004</w:t>
      </w:r>
      <w:r w:rsidR="00BB1E66" w:rsidRPr="008608AA">
        <w:rPr>
          <w:noProof/>
        </w:rPr>
        <w:t>;</w:t>
      </w:r>
      <w:r w:rsidRPr="008608AA">
        <w:rPr>
          <w:noProof/>
        </w:rPr>
        <w:t xml:space="preserve"> Scanlon et al., 2007)</w:t>
      </w:r>
      <w:r w:rsidRPr="008608AA">
        <w:fldChar w:fldCharType="end"/>
      </w:r>
      <w:r w:rsidRPr="008608AA">
        <w:t xml:space="preserve"> it is possible that the reverse of deforestation will improve stream water quality in freshwater systems, especially with active forest restoration.</w:t>
      </w:r>
    </w:p>
    <w:p w14:paraId="7512A87F" w14:textId="0C3092E7" w:rsidR="009C39CE" w:rsidRPr="008608AA" w:rsidRDefault="001E61A6" w:rsidP="00CC6CB7">
      <w:pPr>
        <w:widowControl w:val="0"/>
        <w:tabs>
          <w:tab w:val="left" w:pos="220"/>
          <w:tab w:val="left" w:pos="720"/>
        </w:tabs>
        <w:autoSpaceDE w:val="0"/>
        <w:autoSpaceDN w:val="0"/>
        <w:adjustRightInd w:val="0"/>
        <w:spacing w:before="120"/>
        <w:rPr>
          <w:rFonts w:eastAsiaTheme="majorEastAsia"/>
        </w:rPr>
      </w:pPr>
      <w:r w:rsidRPr="008608AA">
        <w:rPr>
          <w:rFonts w:eastAsiaTheme="majorEastAsia"/>
        </w:rPr>
        <w:t xml:space="preserve">Even with active ecosystem restoration, however, it is rarely possible to fully restore lost biodiversity and ecosystem services </w:t>
      </w:r>
      <w:r w:rsidRPr="008608AA">
        <w:rPr>
          <w:rFonts w:eastAsiaTheme="majorEastAsia"/>
        </w:rPr>
        <w:fldChar w:fldCharType="begin" w:fldLock="1"/>
      </w:r>
      <w:r w:rsidRPr="008608AA">
        <w:rPr>
          <w:rFonts w:eastAsiaTheme="majorEastAsia"/>
        </w:rPr>
        <w:instrText>ADDIN CSL_CITATION { "citationItems" : [ { "id" : "ITEM-1", "itemData" : { "DOI" : "10.1126/science.1172460", "ISBN" : "0036-8075", "ISSN" : "1095-9203", "PMID" : "19644076", "abstract" : "Ecological restoration is widely used to reverse the environmental degradation caused by human activities. However, the effectiveness of restoration actions in increasing provision of both biodiversity and ecosystem services has not been evaluated systematically. A meta-analysis of 89 restoration assessments in a wide range of ecosystem types across the globe indicates that ecological restoration increased provision of biodiversity and ecosystem services by 44 and 25%, respectively. However, values of both remained lower in restored versus intact reference ecosystems. Increases in biodiversity and ecosystem service measures after restoration were positively correlated. Results indicate that restoration actions focused on enhancing biodiversity should support increased provision of ecosystem services, particularly in tropical terrestrial biomes.", "author" : [ { "dropping-particle" : "", "family" : "Benayas", "given" : "Rey Jos\u00e9 M", "non-dropping-particle" : "", "parse-names" : false, "suffix" : "" }, { "dropping-particle" : "", "family" : "Newton", "given" : "Adrian C", "non-dropping-particle" : "", "parse-names" : false, "suffix" : "" }, { "dropping-particle" : "", "family" : "Diaz", "given" : "Anita", "non-dropping-particle" : "", "parse-names" : false, "suffix" : "" }, { "dropping-particle" : "", "family" : "Bullock", "given" : "James M", "non-dropping-particle" : "", "parse-names" : false, "suffix" : "" } ], "container-title" : "Science (New York, N.Y.)", "id" : "ITEM-1", "issue" : "5944", "issued" : { "date-parts" : [ [ "2009" ] ] }, "page" : "1121-4", "title" : "Enhancement of biodiversity and ecosystem services by ecological restoration: a meta-analysis.", "type" : "article-journal", "volume" : "325" }, "uris" : [ "http://www.mendeley.com/documents/?uuid=6c88680e-3997-45c0-82e0-f7d94b7ed07a" ] } ], "mendeley" : { "formattedCitation" : "(Benayas et al. 2009)", "plainTextFormattedCitation" : "(Benayas et al. 2009)", "previouslyFormattedCitation" : "(Benayas et al. 2009)" }, "properties" : { "noteIndex" : 0 }, "schema" : "https://github.com/citation-style-language/schema/raw/master/csl-citation.json" }</w:instrText>
      </w:r>
      <w:r w:rsidRPr="008608AA">
        <w:rPr>
          <w:rFonts w:eastAsiaTheme="majorEastAsia"/>
        </w:rPr>
        <w:fldChar w:fldCharType="separate"/>
      </w:r>
      <w:r w:rsidRPr="008608AA">
        <w:rPr>
          <w:rFonts w:eastAsiaTheme="majorEastAsia"/>
        </w:rPr>
        <w:t>(Benayas et al., 2009)</w:t>
      </w:r>
      <w:r w:rsidRPr="008608AA">
        <w:rPr>
          <w:rFonts w:eastAsiaTheme="majorEastAsia"/>
        </w:rPr>
        <w:fldChar w:fldCharType="end"/>
      </w:r>
      <w:r w:rsidRPr="008608AA">
        <w:rPr>
          <w:rFonts w:eastAsiaTheme="majorEastAsia"/>
        </w:rPr>
        <w:t>. Habitat restoration often significantly increases biodiversity and ecosystem services above levels observed in degraded ecosystems, but levels of biodiversity and ecosystem services in restored ecosystems often remain significantly lower than levels in reference remnant ecosystems. Compared with reference ecosytems, recovering ecosystems exhibit annual deficits of 46–51% for organism abundance, 27–33% for species diversity, 32–42% for carbon cycling and 31–41% for nitrogen cycling (Moreno-Mateos et al., 2017). Although degradation of ecosystems is ongoing, there is also a significant increase in conservation and restoration efforts in the Americas (Wort</w:t>
      </w:r>
      <w:r w:rsidR="004438D6" w:rsidRPr="008608AA">
        <w:rPr>
          <w:rFonts w:eastAsiaTheme="majorEastAsia"/>
        </w:rPr>
        <w:t>ley et al., 2013;</w:t>
      </w:r>
      <w:r w:rsidRPr="008608AA">
        <w:rPr>
          <w:rFonts w:eastAsiaTheme="majorEastAsia"/>
        </w:rPr>
        <w:t xml:space="preserve"> Echeverría et a. 2015). Some examples of restoration of terrestrial and freshwater ecosystems are presented in </w:t>
      </w:r>
      <w:r w:rsidR="00165F74" w:rsidRPr="008608AA">
        <w:rPr>
          <w:rFonts w:eastAsiaTheme="majorEastAsia"/>
        </w:rPr>
        <w:t>Box 4.8 and Box 4.9</w:t>
      </w:r>
      <w:r w:rsidRPr="008608AA">
        <w:rPr>
          <w:rFonts w:eastAsiaTheme="majorEastAsia"/>
        </w:rPr>
        <w:t>.</w:t>
      </w:r>
    </w:p>
    <w:p w14:paraId="67D6F510" w14:textId="6FCAF3A8" w:rsidR="001E61A6" w:rsidRPr="008608AA" w:rsidRDefault="00CC6CB7" w:rsidP="00CC6CB7">
      <w:pPr>
        <w:pStyle w:val="Caption"/>
      </w:pPr>
      <w:bookmarkStart w:id="1466" w:name="_Toc499200380"/>
      <w:bookmarkStart w:id="1467" w:name="_Toc499459223"/>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8</w:t>
      </w:r>
      <w:r w:rsidR="000E562E">
        <w:rPr>
          <w:noProof/>
        </w:rPr>
        <w:fldChar w:fldCharType="end"/>
      </w:r>
      <w:r w:rsidRPr="008608AA">
        <w:t xml:space="preserve">. </w:t>
      </w:r>
      <w:r w:rsidR="001E61A6" w:rsidRPr="008608AA">
        <w:t>Examples of restoration initiatives in the Americas – Great Lakes</w:t>
      </w:r>
      <w:bookmarkEnd w:id="1466"/>
      <w:bookmarkEnd w:id="1467"/>
    </w:p>
    <w:tbl>
      <w:tblPr>
        <w:tblStyle w:val="TableGrid"/>
        <w:tblW w:w="5000" w:type="pct"/>
        <w:tblLook w:val="04A0" w:firstRow="1" w:lastRow="0" w:firstColumn="1" w:lastColumn="0" w:noHBand="0" w:noVBand="1"/>
      </w:tblPr>
      <w:tblGrid>
        <w:gridCol w:w="9487"/>
      </w:tblGrid>
      <w:tr w:rsidR="001E61A6" w:rsidRPr="00A26FD5" w14:paraId="6375BC9D" w14:textId="77777777" w:rsidTr="00165F74">
        <w:tc>
          <w:tcPr>
            <w:tcW w:w="5000" w:type="pct"/>
            <w:shd w:val="clear" w:color="auto" w:fill="auto"/>
          </w:tcPr>
          <w:p w14:paraId="3C845A6D" w14:textId="0A1384FE" w:rsidR="001E61A6" w:rsidRPr="00A26FD5" w:rsidRDefault="001E61A6" w:rsidP="00CC6CB7">
            <w:pPr>
              <w:spacing w:before="120"/>
              <w:rPr>
                <w:szCs w:val="22"/>
              </w:rPr>
            </w:pPr>
            <w:r w:rsidRPr="00A26FD5">
              <w:rPr>
                <w:szCs w:val="22"/>
              </w:rPr>
              <w:t>The five Laurentian Great Lakes – Superior, Huron, Michigan, Erie and Ontario – comprise 20% of the world’s available freshwater supply. The Great Lakes cover an area of about 246 mil</w:t>
            </w:r>
            <w:r w:rsidR="009B7D5A" w:rsidRPr="00A26FD5">
              <w:rPr>
                <w:szCs w:val="22"/>
              </w:rPr>
              <w:t>lion</w:t>
            </w:r>
            <w:r w:rsidRPr="00A26FD5">
              <w:rPr>
                <w:szCs w:val="22"/>
              </w:rPr>
              <w:t xml:space="preserve"> km². The draining basin extends from roughly 41 to 51</w:t>
            </w:r>
            <w:r w:rsidRPr="00A26FD5">
              <w:rPr>
                <w:szCs w:val="22"/>
                <w:vertAlign w:val="superscript"/>
              </w:rPr>
              <w:t xml:space="preserve">o </w:t>
            </w:r>
            <w:r w:rsidRPr="00A26FD5">
              <w:rPr>
                <w:szCs w:val="22"/>
              </w:rPr>
              <w:t>N, and from 75 to 93</w:t>
            </w:r>
            <w:r w:rsidRPr="00A26FD5">
              <w:rPr>
                <w:szCs w:val="22"/>
                <w:vertAlign w:val="superscript"/>
              </w:rPr>
              <w:t>o</w:t>
            </w:r>
            <w:r w:rsidR="009B7D5A" w:rsidRPr="00A26FD5">
              <w:rPr>
                <w:szCs w:val="22"/>
              </w:rPr>
              <w:t xml:space="preserve"> W</w:t>
            </w:r>
            <w:r w:rsidRPr="00A26FD5">
              <w:rPr>
                <w:szCs w:val="22"/>
              </w:rPr>
              <w:t>, and includes parts of eight USA</w:t>
            </w:r>
            <w:r w:rsidR="009B7D5A" w:rsidRPr="00A26FD5">
              <w:rPr>
                <w:szCs w:val="22"/>
              </w:rPr>
              <w:t xml:space="preserve"> </w:t>
            </w:r>
            <w:r w:rsidRPr="00A26FD5">
              <w:rPr>
                <w:szCs w:val="22"/>
              </w:rPr>
              <w:t xml:space="preserve">states and two Canadian provinces. Human activity has had deleterious impacts on the Great Lakes ecosystem. The logging boom of the late 1800s altered the basin’s hydrologic regime. Shipping traffic introduced non-native species and untreated waste discharge of nutrients and other chemical pollutants led to a virtual ecological collapse in the mid-1900s (Rankin, 2002). </w:t>
            </w:r>
          </w:p>
          <w:p w14:paraId="3C8DEBDA" w14:textId="2800850F" w:rsidR="001E61A6" w:rsidRPr="00A26FD5" w:rsidRDefault="001E61A6" w:rsidP="00CC6CB7">
            <w:pPr>
              <w:spacing w:before="120"/>
              <w:rPr>
                <w:szCs w:val="22"/>
              </w:rPr>
            </w:pPr>
            <w:r w:rsidRPr="00A26FD5">
              <w:rPr>
                <w:szCs w:val="22"/>
              </w:rPr>
              <w:t>Since 2009, the Great Lakes have been the focus of a major restoration initiative by the USA government (expenditures of greater than $1</w:t>
            </w:r>
            <w:r w:rsidR="009B7D5A" w:rsidRPr="00A26FD5">
              <w:rPr>
                <w:szCs w:val="22"/>
              </w:rPr>
              <w:t xml:space="preserve"> billion over five</w:t>
            </w:r>
            <w:r w:rsidRPr="00A26FD5">
              <w:rPr>
                <w:szCs w:val="22"/>
              </w:rPr>
              <w:t xml:space="preserve"> yers), targeting invasive species, nonpoint run-off, chemical pollution, and habitat alteration. The current initiative specifically targets key classes of environmental stressors that were identified through a planning process involving numerous government agencies and environmental groups (Allan et al.</w:t>
            </w:r>
            <w:r w:rsidR="009B7D5A" w:rsidRPr="00A26FD5">
              <w:rPr>
                <w:szCs w:val="22"/>
              </w:rPr>
              <w:t>,</w:t>
            </w:r>
            <w:r w:rsidRPr="00A26FD5">
              <w:rPr>
                <w:szCs w:val="22"/>
              </w:rPr>
              <w:t xml:space="preserve"> 2013). For example, Great Lakes Restoration Initiative resources have been used to double the acreage enrolled in agricultural conservation programs in watersheds where phosphorus runoff contributes to harmful algal blooms in western Lake Erie, Saginaw Bay and Green Bay (</w:t>
            </w:r>
            <w:hyperlink r:id="rId977" w:history="1">
              <w:r w:rsidRPr="00A26FD5">
                <w:rPr>
                  <w:rStyle w:val="Hyperlink"/>
                  <w:szCs w:val="22"/>
                </w:rPr>
                <w:t>https://www.glri.us</w:t>
              </w:r>
            </w:hyperlink>
            <w:r w:rsidRPr="00A26FD5">
              <w:rPr>
                <w:szCs w:val="22"/>
              </w:rPr>
              <w:t>).</w:t>
            </w:r>
          </w:p>
          <w:p w14:paraId="2B9DE562" w14:textId="7AFEE3B5" w:rsidR="001E61A6" w:rsidRPr="00A26FD5" w:rsidRDefault="001E61A6" w:rsidP="00CC6CB7">
            <w:pPr>
              <w:widowControl w:val="0"/>
              <w:tabs>
                <w:tab w:val="left" w:pos="220"/>
                <w:tab w:val="left" w:pos="720"/>
              </w:tabs>
              <w:autoSpaceDE w:val="0"/>
              <w:autoSpaceDN w:val="0"/>
              <w:adjustRightInd w:val="0"/>
              <w:spacing w:before="120"/>
              <w:rPr>
                <w:rFonts w:eastAsiaTheme="majorEastAsia"/>
                <w:szCs w:val="22"/>
              </w:rPr>
            </w:pPr>
            <w:r w:rsidRPr="00A26FD5">
              <w:rPr>
                <w:szCs w:val="22"/>
              </w:rPr>
              <w:t>The Great Lakes sand dunes constitute the most extensive freshwater dunes in the world, covering over 1,000 km</w:t>
            </w:r>
            <w:r w:rsidRPr="00A26FD5">
              <w:rPr>
                <w:szCs w:val="22"/>
                <w:vertAlign w:val="superscript"/>
              </w:rPr>
              <w:t xml:space="preserve">2 </w:t>
            </w:r>
            <w:r w:rsidRPr="00A26FD5">
              <w:rPr>
                <w:szCs w:val="22"/>
              </w:rPr>
              <w:t>in Michigan alone (Albert</w:t>
            </w:r>
            <w:r w:rsidR="009B7D5A" w:rsidRPr="00A26FD5">
              <w:rPr>
                <w:szCs w:val="22"/>
              </w:rPr>
              <w:t>,</w:t>
            </w:r>
            <w:r w:rsidRPr="00A26FD5">
              <w:rPr>
                <w:szCs w:val="22"/>
              </w:rPr>
              <w:t xml:space="preserve"> 2000). In the region, traditional dune restoration efforts involving monoculture plantings of </w:t>
            </w:r>
            <w:r w:rsidRPr="00A26FD5">
              <w:rPr>
                <w:i/>
                <w:iCs/>
                <w:szCs w:val="22"/>
              </w:rPr>
              <w:t xml:space="preserve">A. breviligulata </w:t>
            </w:r>
            <w:r w:rsidRPr="00A26FD5">
              <w:rPr>
                <w:szCs w:val="22"/>
              </w:rPr>
              <w:t xml:space="preserve">(American beach grass) restore many measures of diversity and ecosystem function over the past 20-30 years (Emery </w:t>
            </w:r>
            <w:r w:rsidR="009B7D5A" w:rsidRPr="00A26FD5">
              <w:rPr>
                <w:szCs w:val="22"/>
              </w:rPr>
              <w:t>&amp;</w:t>
            </w:r>
            <w:r w:rsidRPr="00A26FD5">
              <w:rPr>
                <w:szCs w:val="22"/>
              </w:rPr>
              <w:t xml:space="preserve"> Rudgers</w:t>
            </w:r>
            <w:r w:rsidR="009B7D5A" w:rsidRPr="00A26FD5">
              <w:rPr>
                <w:szCs w:val="22"/>
              </w:rPr>
              <w:t>,</w:t>
            </w:r>
            <w:r w:rsidRPr="00A26FD5">
              <w:rPr>
                <w:szCs w:val="22"/>
              </w:rPr>
              <w:t xml:space="preserve"> 2009). Plant and insect diversity, vegetation structure (plant biomass and cover), and ecological processes (soil nutrients and mycorrhizal fungi abundance) in restored sites were similar to reference sites. Differences were mostly attributed to the relative age of the sites, where the younger sites supported slightly lower plant diversity and mycorrhizal spore abundance than older sites (Emery </w:t>
            </w:r>
            <w:r w:rsidR="009B7D5A" w:rsidRPr="00A26FD5">
              <w:rPr>
                <w:szCs w:val="22"/>
              </w:rPr>
              <w:t>&amp;</w:t>
            </w:r>
            <w:r w:rsidRPr="00A26FD5">
              <w:rPr>
                <w:szCs w:val="22"/>
              </w:rPr>
              <w:t xml:space="preserve"> Rudgers</w:t>
            </w:r>
            <w:r w:rsidR="009B7D5A" w:rsidRPr="00A26FD5">
              <w:rPr>
                <w:szCs w:val="22"/>
              </w:rPr>
              <w:t>,</w:t>
            </w:r>
            <w:r w:rsidRPr="00A26FD5">
              <w:rPr>
                <w:szCs w:val="22"/>
              </w:rPr>
              <w:t xml:space="preserve"> 2009).</w:t>
            </w:r>
          </w:p>
        </w:tc>
      </w:tr>
    </w:tbl>
    <w:p w14:paraId="68B99028" w14:textId="77777777" w:rsidR="00DE14EE" w:rsidRPr="008608AA" w:rsidRDefault="00DE14EE">
      <w:pPr>
        <w:rPr>
          <w:rFonts w:eastAsia="Times"/>
          <w:b/>
          <w:bCs/>
          <w:sz w:val="20"/>
          <w:lang w:eastAsia="ja-JP"/>
        </w:rPr>
      </w:pPr>
      <w:r w:rsidRPr="008608AA">
        <w:br w:type="page"/>
      </w:r>
    </w:p>
    <w:p w14:paraId="25325B6D" w14:textId="41CB2972" w:rsidR="001E61A6" w:rsidRPr="008608AA" w:rsidRDefault="00CC6CB7" w:rsidP="00CC6CB7">
      <w:pPr>
        <w:pStyle w:val="Caption"/>
      </w:pPr>
      <w:bookmarkStart w:id="1468" w:name="_Toc499200381"/>
      <w:bookmarkStart w:id="1469" w:name="_Toc499459224"/>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9</w:t>
      </w:r>
      <w:r w:rsidR="000E562E">
        <w:rPr>
          <w:noProof/>
        </w:rPr>
        <w:fldChar w:fldCharType="end"/>
      </w:r>
      <w:r w:rsidRPr="008608AA">
        <w:t xml:space="preserve"> </w:t>
      </w:r>
      <w:r w:rsidR="001E61A6" w:rsidRPr="008608AA">
        <w:t>Examples of restoration initiatives in the Americas – Tropical forests and pastures</w:t>
      </w:r>
      <w:bookmarkEnd w:id="1468"/>
      <w:bookmarkEnd w:id="1469"/>
    </w:p>
    <w:tbl>
      <w:tblPr>
        <w:tblStyle w:val="TableGrid"/>
        <w:tblW w:w="5000" w:type="pct"/>
        <w:tblLook w:val="04A0" w:firstRow="1" w:lastRow="0" w:firstColumn="1" w:lastColumn="0" w:noHBand="0" w:noVBand="1"/>
      </w:tblPr>
      <w:tblGrid>
        <w:gridCol w:w="9487"/>
      </w:tblGrid>
      <w:tr w:rsidR="001E61A6" w:rsidRPr="00A26FD5" w14:paraId="03A81FE9" w14:textId="77777777" w:rsidTr="00165F74">
        <w:tc>
          <w:tcPr>
            <w:tcW w:w="5000" w:type="pct"/>
          </w:tcPr>
          <w:p w14:paraId="17EA3DB1" w14:textId="09657DC2" w:rsidR="001E61A6" w:rsidRPr="00A26FD5" w:rsidRDefault="001E61A6" w:rsidP="000D1D96">
            <w:pPr>
              <w:widowControl w:val="0"/>
              <w:tabs>
                <w:tab w:val="left" w:pos="220"/>
                <w:tab w:val="left" w:pos="720"/>
              </w:tabs>
              <w:autoSpaceDE w:val="0"/>
              <w:autoSpaceDN w:val="0"/>
              <w:adjustRightInd w:val="0"/>
              <w:spacing w:before="120"/>
              <w:rPr>
                <w:rFonts w:eastAsiaTheme="majorEastAsia"/>
                <w:szCs w:val="22"/>
              </w:rPr>
            </w:pPr>
            <w:r w:rsidRPr="00A26FD5">
              <w:rPr>
                <w:rFonts w:eastAsiaTheme="majorEastAsia"/>
                <w:szCs w:val="22"/>
              </w:rPr>
              <w:t>The presence of degraded areas, many of them already abandoned, in almost all types of land use, generate further degradation and impacts on natural remnants, like effects on pollinators through uncontrolled application of pesticides. The persistence of these practices will lead to the emergence of additional degraded areas. Two different and coordinated actions could be considered in order to provide potential solutions for these environmental problems: 1) actions to avoid, stop, minimize or reverse the ongoing environmental degradation (e.g. fire management, erosion control, reduction of pesticide use, among others) whi</w:t>
            </w:r>
            <w:r w:rsidR="00212546" w:rsidRPr="00A26FD5">
              <w:rPr>
                <w:rFonts w:eastAsiaTheme="majorEastAsia"/>
                <w:szCs w:val="22"/>
              </w:rPr>
              <w:t>ch could be generically called sustainable management p</w:t>
            </w:r>
            <w:r w:rsidRPr="00A26FD5">
              <w:rPr>
                <w:rFonts w:eastAsiaTheme="majorEastAsia"/>
                <w:szCs w:val="22"/>
              </w:rPr>
              <w:t>ractice, and 2) specific actions for the recovery of already degraded areas, that is, restor</w:t>
            </w:r>
            <w:r w:rsidR="00212546" w:rsidRPr="00A26FD5">
              <w:rPr>
                <w:rFonts w:eastAsiaTheme="majorEastAsia"/>
                <w:szCs w:val="22"/>
              </w:rPr>
              <w:t>ation. Productive and environmental landscape o</w:t>
            </w:r>
            <w:r w:rsidRPr="00A26FD5">
              <w:rPr>
                <w:rFonts w:eastAsiaTheme="majorEastAsia"/>
                <w:szCs w:val="22"/>
              </w:rPr>
              <w:t>ptimization, in addition to the actions forementioned, is also intended to change land-use economic practices, locally increasing productivity, thereby reducing pressures to use areas that have more value for conservation. Effective actions have been taken in many regions o</w:t>
            </w:r>
            <w:r w:rsidR="00212546" w:rsidRPr="00A26FD5">
              <w:rPr>
                <w:rFonts w:eastAsiaTheme="majorEastAsia"/>
                <w:szCs w:val="22"/>
              </w:rPr>
              <w:t>f the world that correspond to sustainable management practices (FAO et al</w:t>
            </w:r>
            <w:r w:rsidR="00134E5B" w:rsidRPr="00A26FD5">
              <w:rPr>
                <w:rFonts w:eastAsiaTheme="majorEastAsia"/>
                <w:szCs w:val="22"/>
              </w:rPr>
              <w:t>.</w:t>
            </w:r>
            <w:r w:rsidR="00212546" w:rsidRPr="00A26FD5">
              <w:rPr>
                <w:rFonts w:eastAsiaTheme="majorEastAsia"/>
                <w:szCs w:val="22"/>
              </w:rPr>
              <w:t>,</w:t>
            </w:r>
            <w:r w:rsidR="004438D6" w:rsidRPr="00A26FD5">
              <w:rPr>
                <w:rFonts w:eastAsiaTheme="majorEastAsia"/>
                <w:szCs w:val="22"/>
              </w:rPr>
              <w:t xml:space="preserve"> 2011; FAO, 2011 and </w:t>
            </w:r>
            <w:r w:rsidR="00212546" w:rsidRPr="00A26FD5">
              <w:rPr>
                <w:rFonts w:eastAsiaTheme="majorEastAsia"/>
                <w:szCs w:val="22"/>
              </w:rPr>
              <w:t>2013), r</w:t>
            </w:r>
            <w:r w:rsidRPr="00A26FD5">
              <w:rPr>
                <w:rFonts w:eastAsiaTheme="majorEastAsia"/>
                <w:szCs w:val="22"/>
              </w:rPr>
              <w:t>ehabilitation (Bu</w:t>
            </w:r>
            <w:r w:rsidR="00212546" w:rsidRPr="00A26FD5">
              <w:rPr>
                <w:rFonts w:eastAsiaTheme="majorEastAsia"/>
                <w:szCs w:val="22"/>
              </w:rPr>
              <w:t>ckingham &amp; Hanson, 2015) and r</w:t>
            </w:r>
            <w:r w:rsidRPr="00A26FD5">
              <w:rPr>
                <w:rFonts w:eastAsiaTheme="majorEastAsia"/>
                <w:szCs w:val="22"/>
              </w:rPr>
              <w:t xml:space="preserve">estoration of degraded areas (Nellemann </w:t>
            </w:r>
            <w:r w:rsidR="00212546" w:rsidRPr="00A26FD5">
              <w:rPr>
                <w:rFonts w:eastAsiaTheme="majorEastAsia"/>
                <w:szCs w:val="22"/>
              </w:rPr>
              <w:t>&amp;</w:t>
            </w:r>
            <w:r w:rsidRPr="00A26FD5">
              <w:rPr>
                <w:rFonts w:eastAsiaTheme="majorEastAsia"/>
                <w:szCs w:val="22"/>
              </w:rPr>
              <w:t xml:space="preserve"> Corcoran</w:t>
            </w:r>
            <w:r w:rsidR="00212546" w:rsidRPr="00A26FD5">
              <w:rPr>
                <w:rFonts w:eastAsiaTheme="majorEastAsia"/>
                <w:szCs w:val="22"/>
              </w:rPr>
              <w:t>,</w:t>
            </w:r>
            <w:r w:rsidR="004438D6" w:rsidRPr="00A26FD5">
              <w:rPr>
                <w:rFonts w:eastAsiaTheme="majorEastAsia"/>
                <w:szCs w:val="22"/>
              </w:rPr>
              <w:t xml:space="preserve"> 2010;</w:t>
            </w:r>
            <w:r w:rsidRPr="00A26FD5">
              <w:rPr>
                <w:rFonts w:eastAsiaTheme="majorEastAsia"/>
                <w:szCs w:val="22"/>
              </w:rPr>
              <w:t xml:space="preserve"> Goosem </w:t>
            </w:r>
            <w:r w:rsidR="004438D6" w:rsidRPr="00A26FD5">
              <w:rPr>
                <w:rFonts w:eastAsiaTheme="majorEastAsia"/>
                <w:szCs w:val="22"/>
              </w:rPr>
              <w:t>&amp;</w:t>
            </w:r>
            <w:r w:rsidRPr="00A26FD5">
              <w:rPr>
                <w:rFonts w:eastAsiaTheme="majorEastAsia"/>
                <w:szCs w:val="22"/>
              </w:rPr>
              <w:t xml:space="preserve"> Tucker</w:t>
            </w:r>
            <w:r w:rsidR="004438D6" w:rsidRPr="00A26FD5">
              <w:rPr>
                <w:rFonts w:eastAsiaTheme="majorEastAsia"/>
                <w:szCs w:val="22"/>
              </w:rPr>
              <w:t>, 2013;</w:t>
            </w:r>
            <w:r w:rsidRPr="00A26FD5">
              <w:rPr>
                <w:rFonts w:eastAsiaTheme="majorEastAsia"/>
                <w:szCs w:val="22"/>
              </w:rPr>
              <w:t xml:space="preserve"> Hanson et al., 2015).</w:t>
            </w:r>
          </w:p>
          <w:p w14:paraId="104D61A8" w14:textId="5D37C92A" w:rsidR="001E61A6" w:rsidRPr="00A26FD5" w:rsidRDefault="001E61A6" w:rsidP="000D1D96">
            <w:pPr>
              <w:widowControl w:val="0"/>
              <w:tabs>
                <w:tab w:val="left" w:pos="220"/>
                <w:tab w:val="left" w:pos="720"/>
              </w:tabs>
              <w:autoSpaceDE w:val="0"/>
              <w:autoSpaceDN w:val="0"/>
              <w:adjustRightInd w:val="0"/>
              <w:spacing w:before="120"/>
              <w:rPr>
                <w:rFonts w:eastAsiaTheme="majorEastAsia"/>
                <w:szCs w:val="22"/>
              </w:rPr>
            </w:pPr>
            <w:r w:rsidRPr="00A26FD5">
              <w:rPr>
                <w:rFonts w:eastAsiaTheme="majorEastAsia"/>
                <w:szCs w:val="22"/>
              </w:rPr>
              <w:t>In the Americas there are already important examples of th</w:t>
            </w:r>
            <w:r w:rsidR="00212546" w:rsidRPr="00A26FD5">
              <w:rPr>
                <w:rFonts w:eastAsiaTheme="majorEastAsia"/>
                <w:szCs w:val="22"/>
              </w:rPr>
              <w:t>e successful implementation of sustainable management practic</w:t>
            </w:r>
            <w:r w:rsidR="004438D6" w:rsidRPr="00A26FD5">
              <w:rPr>
                <w:rFonts w:eastAsiaTheme="majorEastAsia"/>
                <w:szCs w:val="22"/>
              </w:rPr>
              <w:t>es (e.g. ITTO, 2011;</w:t>
            </w:r>
            <w:r w:rsidR="00212546" w:rsidRPr="00A26FD5">
              <w:rPr>
                <w:rFonts w:eastAsiaTheme="majorEastAsia"/>
                <w:szCs w:val="22"/>
              </w:rPr>
              <w:t xml:space="preserve"> Calle et al</w:t>
            </w:r>
            <w:r w:rsidR="00212546" w:rsidRPr="00A26FD5">
              <w:rPr>
                <w:rFonts w:eastAsiaTheme="majorEastAsia"/>
                <w:i/>
                <w:szCs w:val="22"/>
              </w:rPr>
              <w:t>.</w:t>
            </w:r>
            <w:r w:rsidR="00212546" w:rsidRPr="00A26FD5">
              <w:rPr>
                <w:rFonts w:eastAsiaTheme="majorEastAsia"/>
                <w:szCs w:val="22"/>
              </w:rPr>
              <w:t>,</w:t>
            </w:r>
            <w:r w:rsidRPr="00A26FD5">
              <w:rPr>
                <w:rFonts w:eastAsiaTheme="majorEastAsia"/>
                <w:szCs w:val="22"/>
              </w:rPr>
              <w:t xml:space="preserve"> 2012; Calle </w:t>
            </w:r>
            <w:r w:rsidR="004438D6" w:rsidRPr="00A26FD5">
              <w:rPr>
                <w:rFonts w:eastAsiaTheme="majorEastAsia"/>
                <w:szCs w:val="22"/>
              </w:rPr>
              <w:t>&amp;</w:t>
            </w:r>
            <w:r w:rsidRPr="00A26FD5">
              <w:rPr>
                <w:rFonts w:eastAsiaTheme="majorEastAsia"/>
                <w:szCs w:val="22"/>
              </w:rPr>
              <w:t xml:space="preserve"> Murgueitio, 2015; FAO, 2013), rehabilitation (e</w:t>
            </w:r>
            <w:r w:rsidR="007E21E7" w:rsidRPr="00A26FD5">
              <w:rPr>
                <w:rFonts w:eastAsiaTheme="majorEastAsia"/>
                <w:szCs w:val="22"/>
              </w:rPr>
              <w:t>.</w:t>
            </w:r>
            <w:r w:rsidRPr="00A26FD5">
              <w:rPr>
                <w:rFonts w:eastAsiaTheme="majorEastAsia"/>
                <w:szCs w:val="22"/>
              </w:rPr>
              <w:t>g</w:t>
            </w:r>
            <w:r w:rsidR="007E21E7" w:rsidRPr="00A26FD5">
              <w:rPr>
                <w:rFonts w:eastAsiaTheme="majorEastAsia"/>
                <w:szCs w:val="22"/>
              </w:rPr>
              <w:t>.</w:t>
            </w:r>
            <w:r w:rsidRPr="00A26FD5">
              <w:rPr>
                <w:rFonts w:eastAsiaTheme="majorEastAsia"/>
                <w:szCs w:val="22"/>
              </w:rPr>
              <w:t xml:space="preserve"> Brancalion et al</w:t>
            </w:r>
            <w:r w:rsidR="00212546" w:rsidRPr="00A26FD5">
              <w:rPr>
                <w:rFonts w:eastAsiaTheme="majorEastAsia"/>
                <w:szCs w:val="22"/>
              </w:rPr>
              <w:t>., 2012), and restoration (e</w:t>
            </w:r>
            <w:r w:rsidR="007E21E7" w:rsidRPr="00A26FD5">
              <w:rPr>
                <w:rFonts w:eastAsiaTheme="majorEastAsia"/>
                <w:szCs w:val="22"/>
              </w:rPr>
              <w:t>.g. Calvo-Alvarado et al., 2009;</w:t>
            </w:r>
            <w:r w:rsidR="00FB64ED" w:rsidRPr="00A26FD5">
              <w:rPr>
                <w:rFonts w:eastAsiaTheme="majorEastAsia"/>
                <w:szCs w:val="22"/>
              </w:rPr>
              <w:t xml:space="preserve"> Rodrigues et al., 2009, </w:t>
            </w:r>
            <w:r w:rsidRPr="00A26FD5">
              <w:rPr>
                <w:rFonts w:eastAsiaTheme="majorEastAsia"/>
                <w:szCs w:val="22"/>
              </w:rPr>
              <w:t xml:space="preserve">2011; Murcia </w:t>
            </w:r>
            <w:r w:rsidR="00212546" w:rsidRPr="00A26FD5">
              <w:rPr>
                <w:rFonts w:eastAsiaTheme="majorEastAsia"/>
                <w:szCs w:val="22"/>
              </w:rPr>
              <w:t>&amp;</w:t>
            </w:r>
            <w:r w:rsidRPr="00A26FD5">
              <w:rPr>
                <w:rFonts w:eastAsiaTheme="majorEastAsia"/>
                <w:szCs w:val="22"/>
              </w:rPr>
              <w:t xml:space="preserve"> Guariguata, 2014; Hanson et al., 2015). Restoring distinct vegetation types that have very different levels of resilience, species richness and complexity of interactions and are inside landscapes with different degrees of fragmentation have demanded different methods. Although the degree of success achieved for each one varies between vegetation types and socioeconomic conditions considered, there are already examples in Brazil where restoration in large-scale and high-biodiversity tropical forests have been achieved (Rodrigues et al., 2011) and whose principles could be adapted to other vegetation types an</w:t>
            </w:r>
            <w:r w:rsidR="00AF2D3C" w:rsidRPr="00A26FD5">
              <w:rPr>
                <w:rFonts w:eastAsiaTheme="majorEastAsia"/>
                <w:szCs w:val="22"/>
              </w:rPr>
              <w:t>d countries. An example is the intensive silvopastoral systems</w:t>
            </w:r>
            <w:r w:rsidRPr="00A26FD5">
              <w:rPr>
                <w:rFonts w:eastAsiaTheme="majorEastAsia"/>
                <w:szCs w:val="22"/>
              </w:rPr>
              <w:t xml:space="preserve">, which have been </w:t>
            </w:r>
            <w:r w:rsidR="00212546" w:rsidRPr="00A26FD5">
              <w:rPr>
                <w:rFonts w:eastAsiaTheme="majorEastAsia"/>
                <w:szCs w:val="22"/>
              </w:rPr>
              <w:t>implemented in Colombia (Calle et al.</w:t>
            </w:r>
            <w:r w:rsidRPr="00A26FD5">
              <w:rPr>
                <w:rFonts w:eastAsiaTheme="majorEastAsia"/>
                <w:szCs w:val="22"/>
              </w:rPr>
              <w:t xml:space="preserve">, 2012). Livestock grazing, a common practice in the Americas and around the world, results in soil compaction, soil erosion, reduction of water infiltration, and silting of springs and streams. This degraded land condition can maintain very few animals and produces less income. Grazing also favors continuous land abandonment and migration, inducing deforestation to create new pastures. Converting extensive pastures to </w:t>
            </w:r>
            <w:r w:rsidR="00AF2D3C" w:rsidRPr="00A26FD5">
              <w:rPr>
                <w:rFonts w:eastAsiaTheme="majorEastAsia"/>
                <w:szCs w:val="22"/>
              </w:rPr>
              <w:t xml:space="preserve">intensive silvopastoral systems </w:t>
            </w:r>
            <w:r w:rsidRPr="00A26FD5">
              <w:rPr>
                <w:rFonts w:eastAsiaTheme="majorEastAsia"/>
                <w:szCs w:val="22"/>
              </w:rPr>
              <w:t>allowed for, in 4-5 years, increases in production, productivity, and rural incomes and jobs, as well as the elimination of all sources of degradation. This change resulted in increases of environmental services and rural biodiversity and allowed for the release of farm margins to be used for forest restoration or rehabilitation</w:t>
            </w:r>
            <w:r w:rsidR="00AF2D3C" w:rsidRPr="00A26FD5">
              <w:rPr>
                <w:rFonts w:eastAsiaTheme="majorEastAsia"/>
                <w:szCs w:val="22"/>
              </w:rPr>
              <w:t>.</w:t>
            </w:r>
          </w:p>
        </w:tc>
      </w:tr>
    </w:tbl>
    <w:p w14:paraId="417217E6" w14:textId="77777777" w:rsidR="00CC6CB7" w:rsidRPr="008608AA" w:rsidRDefault="00CC6CB7" w:rsidP="00CC6CB7">
      <w:pPr>
        <w:pStyle w:val="Heading4"/>
        <w:numPr>
          <w:ilvl w:val="0"/>
          <w:numId w:val="0"/>
        </w:numPr>
        <w:spacing w:before="120" w:line="240" w:lineRule="auto"/>
      </w:pPr>
    </w:p>
    <w:p w14:paraId="2967EE72" w14:textId="77777777" w:rsidR="001E61A6" w:rsidRPr="008608AA" w:rsidRDefault="001E61A6" w:rsidP="00CC6CB7">
      <w:pPr>
        <w:pStyle w:val="Heading4"/>
        <w:numPr>
          <w:ilvl w:val="0"/>
          <w:numId w:val="0"/>
        </w:numPr>
        <w:spacing w:before="120" w:line="240" w:lineRule="auto"/>
      </w:pPr>
      <w:bookmarkStart w:id="1470" w:name="_Toc517393342"/>
      <w:bookmarkStart w:id="1471" w:name="_Toc517394399"/>
      <w:bookmarkStart w:id="1472" w:name="_Toc517719083"/>
      <w:bookmarkStart w:id="1473" w:name="_Toc517797040"/>
      <w:r w:rsidRPr="008608AA">
        <w:t>North America</w:t>
      </w:r>
      <w:bookmarkEnd w:id="1470"/>
      <w:bookmarkEnd w:id="1471"/>
      <w:bookmarkEnd w:id="1472"/>
      <w:bookmarkEnd w:id="1473"/>
    </w:p>
    <w:p w14:paraId="133365A1" w14:textId="2FDB1E03" w:rsidR="001E61A6" w:rsidRPr="008608AA" w:rsidRDefault="001E61A6" w:rsidP="00CC6CB7">
      <w:pPr>
        <w:autoSpaceDE w:val="0"/>
        <w:autoSpaceDN w:val="0"/>
        <w:adjustRightInd w:val="0"/>
        <w:spacing w:before="120"/>
        <w:rPr>
          <w:rFonts w:eastAsiaTheme="minorEastAsia"/>
        </w:rPr>
      </w:pPr>
      <w:r w:rsidRPr="008608AA">
        <w:t>Oil and gas development in Alaska and Canada has focu</w:t>
      </w:r>
      <w:r w:rsidR="004A5338" w:rsidRPr="008608AA">
        <w:t>sed on t</w:t>
      </w:r>
      <w:r w:rsidRPr="008608AA">
        <w:t>undra in North America since the 1960s (Maki et al., 1992). Its effects on birds and mammals can extend beyond the area occupied by oil and gas industrial infrastructure.</w:t>
      </w:r>
      <w:r w:rsidRPr="008608AA">
        <w:rPr>
          <w:rFonts w:eastAsiaTheme="minorEastAsia"/>
        </w:rPr>
        <w:t xml:space="preserve"> Cameron et al. (2005) found that calving caribou abundance was lower within 4 km of roads in an oil and gas development area and declined exponentially with road density. With increasing infrastructure, high-density calving shifted inland, despite the lower forage biomass there (see also Wolfe et al., 2000). Similarly, passerine bird nests are at greater predation risk within 5 km of infrastructure (Liebezeit </w:t>
      </w:r>
      <w:r w:rsidR="00221F93" w:rsidRPr="008608AA">
        <w:rPr>
          <w:rFonts w:eastAsiaTheme="minorEastAsia"/>
        </w:rPr>
        <w:t>et al.,</w:t>
      </w:r>
      <w:r w:rsidRPr="008608AA">
        <w:rPr>
          <w:rFonts w:eastAsiaTheme="minorEastAsia"/>
        </w:rPr>
        <w:t xml:space="preserve"> 2009; see also Weiser </w:t>
      </w:r>
      <w:r w:rsidR="004A5338" w:rsidRPr="008608AA">
        <w:rPr>
          <w:rFonts w:eastAsiaTheme="minorEastAsia"/>
        </w:rPr>
        <w:t>&amp;</w:t>
      </w:r>
      <w:r w:rsidRPr="008608AA">
        <w:rPr>
          <w:rFonts w:eastAsiaTheme="minorEastAsia"/>
        </w:rPr>
        <w:t xml:space="preserve"> Powell</w:t>
      </w:r>
      <w:r w:rsidR="004A5338" w:rsidRPr="008608AA">
        <w:rPr>
          <w:rFonts w:eastAsiaTheme="minorEastAsia"/>
        </w:rPr>
        <w:t>,</w:t>
      </w:r>
      <w:r w:rsidRPr="008608AA">
        <w:rPr>
          <w:rFonts w:eastAsiaTheme="minorEastAsia"/>
        </w:rPr>
        <w:t xml:space="preserve"> 2010). Substantial tundra habitat changes are expected with climate change that may have substantially greater impacts on habitat than human infrastructure, including increases in shrub-dominated ecosystems and changes in wetland abundance and distribution (</w:t>
      </w:r>
      <w:r w:rsidR="00B20C8E" w:rsidRPr="008608AA">
        <w:rPr>
          <w:rFonts w:eastAsiaTheme="minorEastAsia"/>
        </w:rPr>
        <w:t>section</w:t>
      </w:r>
      <w:r w:rsidRPr="008608AA">
        <w:rPr>
          <w:rFonts w:eastAsiaTheme="minorEastAsia"/>
        </w:rPr>
        <w:t xml:space="preserve"> 4.4.3).</w:t>
      </w:r>
    </w:p>
    <w:p w14:paraId="35CE9FA4" w14:textId="18D1AE41" w:rsidR="001E61A6" w:rsidRPr="008608AA" w:rsidRDefault="001E61A6" w:rsidP="00CC6CB7">
      <w:pPr>
        <w:spacing w:before="120"/>
      </w:pPr>
      <w:r w:rsidRPr="008608AA">
        <w:t>Boreal forest disturbance (tree cover loss), due largely to fire and forestry, was globally the second largest in both absolute and proportional extent from 2000-2010 (Hansen et al., 2013). North America presented the higher overall rate of forest loss in comparison with other boreal coniferous and mountain ecozones in the world. In boreal forest, fire is the primary natural disturbance (see also section 4.5). Fire creates a complex mosaic of stands of varying age, composition, and structure, within which other disturbances and processes interact. Thus, it has been suggested to attenuate the impacts of logging on a managed landscape; logging should create patterns and processes resembling those of fire. However, logging has already shifted forest age-class distributions to younger stands, with a concurrent decrease in old-growth stands, and is quickly forcing the landscape outside of its long-term natural range of variability (Cyr et</w:t>
      </w:r>
      <w:r w:rsidR="00FB64ED" w:rsidRPr="008608AA">
        <w:t xml:space="preserve"> al., 2009). </w:t>
      </w:r>
      <w:r w:rsidRPr="008608AA">
        <w:t xml:space="preserve">Fire severity is a key component of regeneration trajectory (Johnstone </w:t>
      </w:r>
      <w:r w:rsidR="00221F93" w:rsidRPr="008608AA">
        <w:t>et al.,</w:t>
      </w:r>
      <w:r w:rsidRPr="008608AA">
        <w:t xml:space="preserve"> 2010). Increases in boreal fires severity with climate warming may catalyze shifts toward deciduous-dominated forests, altering landscape dynamics and ecosystem services (see also sections 4.4.3 and 4.5). Besides climate impacts, other anthropogenic environmental changes like changes in biogeochemical cycles (</w:t>
      </w:r>
      <w:r w:rsidR="00B20C8E" w:rsidRPr="008608AA">
        <w:t>section</w:t>
      </w:r>
      <w:r w:rsidRPr="008608AA">
        <w:t xml:space="preserve"> 4.4.2) and exotic invasive species (</w:t>
      </w:r>
      <w:r w:rsidR="00B20C8E" w:rsidRPr="008608AA">
        <w:t>section</w:t>
      </w:r>
      <w:r w:rsidRPr="008608AA">
        <w:t xml:space="preserve"> 4.4.4) can interact with heat and drought (Millar </w:t>
      </w:r>
      <w:r w:rsidR="004A5338" w:rsidRPr="008608AA">
        <w:t>&amp;</w:t>
      </w:r>
      <w:r w:rsidRPr="008608AA">
        <w:t xml:space="preserve"> Stephenson</w:t>
      </w:r>
      <w:r w:rsidR="004A5338" w:rsidRPr="008608AA">
        <w:t>,</w:t>
      </w:r>
      <w:r w:rsidRPr="008608AA">
        <w:t xml:space="preserve"> 2015) to negatively affect temperate and boreal forests.</w:t>
      </w:r>
    </w:p>
    <w:p w14:paraId="52CF1B5D" w14:textId="31D5E388" w:rsidR="001E61A6" w:rsidRPr="008608AA" w:rsidRDefault="001E61A6" w:rsidP="00CC6CB7">
      <w:pPr>
        <w:spacing w:before="120"/>
      </w:pPr>
      <w:r w:rsidRPr="008608AA">
        <w:t xml:space="preserve">The traditional fire knowledge </w:t>
      </w:r>
      <w:r w:rsidR="004A5338" w:rsidRPr="008608AA">
        <w:t>of many native A</w:t>
      </w:r>
      <w:r w:rsidRPr="008608AA">
        <w:t>merican cultures of North America was lo</w:t>
      </w:r>
      <w:r w:rsidR="004A5338" w:rsidRPr="008608AA">
        <w:t xml:space="preserve">st during European settlement. </w:t>
      </w:r>
      <w:r w:rsidRPr="008608AA">
        <w:t>Many groups experienced declining the traditional fire knowledge systems abruptly and for several generations as most indigenous peoples in the subregion were forced from their ancestral lands, punished for speaking their native languages, and forbidden to use fire in open native vegetation. Some tribes, however, retained enough traditional fire knowledge although they did not practice traditional burning continuously on the landscape (Huffman</w:t>
      </w:r>
      <w:r w:rsidR="004A5338" w:rsidRPr="008608AA">
        <w:t>,</w:t>
      </w:r>
      <w:r w:rsidRPr="008608AA">
        <w:t xml:space="preserve"> 2013).</w:t>
      </w:r>
    </w:p>
    <w:p w14:paraId="6E598EE2" w14:textId="74CE5DCE" w:rsidR="001E61A6" w:rsidRPr="008608AA" w:rsidRDefault="001E61A6" w:rsidP="00CC6CB7">
      <w:pPr>
        <w:spacing w:before="120"/>
      </w:pPr>
      <w:r w:rsidRPr="008608AA">
        <w:t>Many temperate forests have at some time been used for agriculture. Large-scale deforestation first occurred during the 18</w:t>
      </w:r>
      <w:r w:rsidRPr="008608AA">
        <w:rPr>
          <w:vertAlign w:val="superscript"/>
        </w:rPr>
        <w:t>th</w:t>
      </w:r>
      <w:r w:rsidRPr="008608AA">
        <w:t>-19</w:t>
      </w:r>
      <w:r w:rsidRPr="008608AA">
        <w:rPr>
          <w:vertAlign w:val="superscript"/>
        </w:rPr>
        <w:t>th</w:t>
      </w:r>
      <w:r w:rsidRPr="008608AA">
        <w:t xml:space="preserve"> centuries (Flinn </w:t>
      </w:r>
      <w:r w:rsidR="004A5338" w:rsidRPr="008608AA">
        <w:t>&amp;</w:t>
      </w:r>
      <w:r w:rsidRPr="008608AA">
        <w:t xml:space="preserve"> Vellend</w:t>
      </w:r>
      <w:r w:rsidR="004A5338" w:rsidRPr="008608AA">
        <w:t>,</w:t>
      </w:r>
      <w:r w:rsidRPr="008608AA">
        <w:t xml:space="preserve"> 2005). Particularly across northeastern North America, phases of forest clearance were followed by agricultural use, agricultural abandonment, old-field succession, and then forest regeneration.  Generally, species richness within forest stands (alpha diversity) remains lower in recent compared to ancient forests, even when recent forests are decades or centuries old (Flinn &amp; Vellend</w:t>
      </w:r>
      <w:r w:rsidR="004A5338" w:rsidRPr="008608AA">
        <w:t>,</w:t>
      </w:r>
      <w:r w:rsidRPr="008608AA">
        <w:t xml:space="preserve"> 2005). This biotic homogenization is legacy of human land-use that may endure for decades if not centuries (Leps </w:t>
      </w:r>
      <w:r w:rsidR="004A5338" w:rsidRPr="008608AA">
        <w:t>&amp;</w:t>
      </w:r>
      <w:r w:rsidRPr="008608AA">
        <w:t xml:space="preserve"> Rejmánek</w:t>
      </w:r>
      <w:r w:rsidR="004A5338" w:rsidRPr="008608AA">
        <w:t>,</w:t>
      </w:r>
      <w:r w:rsidR="007E21E7" w:rsidRPr="008608AA">
        <w:t xml:space="preserve"> 1991;</w:t>
      </w:r>
      <w:r w:rsidRPr="008608AA">
        <w:t xml:space="preserve"> Vellend</w:t>
      </w:r>
      <w:r w:rsidR="007E21E7" w:rsidRPr="008608AA">
        <w:t>, 2007; Thompson et al., 2013;</w:t>
      </w:r>
      <w:r w:rsidRPr="008608AA">
        <w:t xml:space="preserve"> Deines et al., 2016). Additionally, fire once shaped many North American ecosystems, but Euro–American settlement and 20th-century fire suppression drastically altered historic fire regimes, shifting forest composition and</w:t>
      </w:r>
      <w:r w:rsidR="007E21E7" w:rsidRPr="008608AA">
        <w:t xml:space="preserve"> structure (McEwan et al., 2011; </w:t>
      </w:r>
      <w:r w:rsidRPr="008608AA">
        <w:t>Ryan et al., 2013).</w:t>
      </w:r>
    </w:p>
    <w:p w14:paraId="7CCB549B" w14:textId="6EB826B7" w:rsidR="001E61A6" w:rsidRPr="008608AA" w:rsidRDefault="001E61A6" w:rsidP="00CC6CB7">
      <w:pPr>
        <w:spacing w:before="120"/>
      </w:pPr>
      <w:r w:rsidRPr="008608AA">
        <w:t xml:space="preserve">Earlier in the 20th century, USA land cover was on a trajectory of forest expansion after agricultural abandonment (Drummond </w:t>
      </w:r>
      <w:r w:rsidR="004A5338" w:rsidRPr="008608AA">
        <w:t>&amp;</w:t>
      </w:r>
      <w:r w:rsidRPr="008608AA">
        <w:t xml:space="preserve"> Loveland</w:t>
      </w:r>
      <w:r w:rsidR="004A5338" w:rsidRPr="008608AA">
        <w:t>,</w:t>
      </w:r>
      <w:r w:rsidRPr="008608AA">
        <w:t xml:space="preserve"> 2010). The expansion of forest cover since 2000 has been offset by forest loss, with forest loss evenly divided among cropland, pasture and urban/subur</w:t>
      </w:r>
      <w:r w:rsidR="00FB64ED" w:rsidRPr="008608AA">
        <w:t xml:space="preserve">ban land (Masek et al., 2011). </w:t>
      </w:r>
      <w:r w:rsidRPr="008608AA">
        <w:t>The potential for forest regeneration has slowed, however, because forest conversion to urban/suburban land is less reversible. In addition, in some regions, like the eastern US</w:t>
      </w:r>
      <w:r w:rsidR="004A5338" w:rsidRPr="008608AA">
        <w:t>A</w:t>
      </w:r>
      <w:r w:rsidRPr="008608AA">
        <w:t xml:space="preserve">, tree cover has declined because forest harvest rates have outpaced reforestation (Drummond </w:t>
      </w:r>
      <w:r w:rsidR="004A5338" w:rsidRPr="008608AA">
        <w:t>&amp;</w:t>
      </w:r>
      <w:r w:rsidRPr="008608AA">
        <w:t xml:space="preserve"> Loveland, 2010, Masek et al., 2011, Hansen et al., 2013). Currently, according to Hansen et al. (2013) the northwestern USA is an area of intensive forestry, </w:t>
      </w:r>
      <w:r w:rsidR="00FB64ED" w:rsidRPr="008608AA">
        <w:t xml:space="preserve">as is all of temperate Canada. </w:t>
      </w:r>
      <w:r w:rsidRPr="008608AA">
        <w:t xml:space="preserve">Land-use pressures significantly impact the extent and condition of eastern USA forests, causing a regional-scale decline in tree cover, mainly from urban expansion. Annual forest loss accelerated from approximately 56,000 </w:t>
      </w:r>
      <w:r w:rsidR="003F55F8" w:rsidRPr="008608AA">
        <w:t>hectares</w:t>
      </w:r>
      <w:r w:rsidRPr="008608AA">
        <w:t xml:space="preserve"> from 1973-1980 to 90,000 </w:t>
      </w:r>
      <w:r w:rsidR="003F55F8" w:rsidRPr="008608AA">
        <w:t>hectares</w:t>
      </w:r>
      <w:r w:rsidRPr="008608AA">
        <w:t xml:space="preserve"> by 1992-2000 (Drummond </w:t>
      </w:r>
      <w:r w:rsidR="004A5338" w:rsidRPr="008608AA">
        <w:t>&amp;</w:t>
      </w:r>
      <w:r w:rsidRPr="008608AA">
        <w:t xml:space="preserve"> Loveland</w:t>
      </w:r>
      <w:r w:rsidR="004A5338" w:rsidRPr="008608AA">
        <w:t>,</w:t>
      </w:r>
      <w:r w:rsidRPr="008608AA">
        <w:t xml:space="preserve"> 2010). </w:t>
      </w:r>
    </w:p>
    <w:p w14:paraId="1F79BCB7" w14:textId="1172FEC6" w:rsidR="001E61A6" w:rsidRPr="008608AA" w:rsidRDefault="001E61A6" w:rsidP="00CC6CB7">
      <w:pPr>
        <w:widowControl w:val="0"/>
        <w:tabs>
          <w:tab w:val="left" w:pos="220"/>
          <w:tab w:val="left" w:pos="720"/>
        </w:tabs>
        <w:autoSpaceDE w:val="0"/>
        <w:autoSpaceDN w:val="0"/>
        <w:adjustRightInd w:val="0"/>
        <w:spacing w:before="120"/>
      </w:pPr>
      <w:r w:rsidRPr="008608AA">
        <w:t>Prairie grasslands dominated central North America for millenn</w:t>
      </w:r>
      <w:r w:rsidR="004A5338" w:rsidRPr="008608AA">
        <w:t>ia, until the mid- to late-1800</w:t>
      </w:r>
      <w:r w:rsidRPr="008608AA">
        <w:t xml:space="preserve">s when European settlers converted them to croplands and rangelands (Ellis et al., 2010). North American grasslands are now some of the planet’s most heavily converted ecosystems (Isbell et al., 2015). As a result of this dramatic habitat loss and fragmentation, these grasslands are rapidly losing plant species (Leach </w:t>
      </w:r>
      <w:r w:rsidR="004A5338" w:rsidRPr="008608AA">
        <w:t>&amp;</w:t>
      </w:r>
      <w:r w:rsidRPr="008608AA">
        <w:t xml:space="preserve"> Givnish</w:t>
      </w:r>
      <w:r w:rsidR="004A5338" w:rsidRPr="008608AA">
        <w:t>,</w:t>
      </w:r>
      <w:r w:rsidR="007E21E7" w:rsidRPr="008608AA">
        <w:t xml:space="preserve"> 1996;</w:t>
      </w:r>
      <w:r w:rsidRPr="008608AA">
        <w:t xml:space="preserve"> Wilsey et al., 2005). Even more notable, nearly all of them have lost their keystone herbivores, including bison and elk. For example</w:t>
      </w:r>
      <w:r w:rsidR="004A5338" w:rsidRPr="008608AA">
        <w:t>, during the mid-1800</w:t>
      </w:r>
      <w:r w:rsidRPr="008608AA">
        <w:t xml:space="preserve">s, bison populations declined from tens of millions to a few thousand individuals (Knapp et al., 1999). Since that time, bison numbers have increased to more than 100,000 individuals in public and private herds that are maintained for prairie restoration or meat production. Rangeland degradation in the west, grassland conversion to croplands, and afforestation of old fields in the east have together caused North American songbirds to sharply decline in recent decades (Brennan </w:t>
      </w:r>
      <w:r w:rsidR="004A5338" w:rsidRPr="008608AA">
        <w:t>&amp;</w:t>
      </w:r>
      <w:r w:rsidRPr="008608AA">
        <w:t xml:space="preserve"> Kuvlesky</w:t>
      </w:r>
      <w:r w:rsidR="004A5338" w:rsidRPr="008608AA">
        <w:t>,</w:t>
      </w:r>
      <w:r w:rsidRPr="008608AA">
        <w:t xml:space="preserve"> 2005). Increased use of prescribed fire and grazing as sources of disturbance, and sowing of seeds to overcome dispersal limitation in fragmented agricultural landscapes, have improved prairie grassland restoration, preventing woody encroachment and restoring native plant diversity (Martin et al., 2005).</w:t>
      </w:r>
    </w:p>
    <w:p w14:paraId="05793A21" w14:textId="00479456" w:rsidR="00272590" w:rsidRPr="008608AA" w:rsidRDefault="001E61A6" w:rsidP="00CC6CB7">
      <w:pPr>
        <w:widowControl w:val="0"/>
        <w:tabs>
          <w:tab w:val="left" w:pos="220"/>
          <w:tab w:val="left" w:pos="720"/>
        </w:tabs>
        <w:autoSpaceDE w:val="0"/>
        <w:autoSpaceDN w:val="0"/>
        <w:adjustRightInd w:val="0"/>
        <w:spacing w:before="120"/>
      </w:pPr>
      <w:r w:rsidRPr="008608AA">
        <w:t xml:space="preserve">A second wave of conversion of remaining fragments of North American grasslands to croplands, including 530,000 </w:t>
      </w:r>
      <w:r w:rsidR="003F55F8" w:rsidRPr="008608AA">
        <w:t>hectares</w:t>
      </w:r>
      <w:r w:rsidRPr="008608AA">
        <w:t xml:space="preserve"> from 2006-2011 in the upper Midwestern USA alone, has resulted from the recent doubling of crop prices following increased demand for biofuel feedstocks. These grasslands escaped conversion until only recently because they are particularly vulnerable to erosion and drought, or because they are adjacent to wetlands (Wright </w:t>
      </w:r>
      <w:r w:rsidR="007E21E7" w:rsidRPr="008608AA">
        <w:t>&amp;</w:t>
      </w:r>
      <w:r w:rsidRPr="008608AA">
        <w:t xml:space="preserve"> Wimberly</w:t>
      </w:r>
      <w:r w:rsidR="007E21E7" w:rsidRPr="008608AA">
        <w:t>,</w:t>
      </w:r>
      <w:r w:rsidRPr="008608AA">
        <w:t xml:space="preserve"> 2013).  </w:t>
      </w:r>
      <w:r w:rsidR="00272590" w:rsidRPr="008608AA">
        <w:t>The relationship between biofuel production and food prices is controversial in the scientific literature and depends on several factors as increased demand, decreased supply, and increased production costs driven by higher energy and fertilizer costs. Disentangling these factors and providing a precise quantification of their contributions is difficult but there is a convergence that analysis should include short and long-run effects, type of crops and technology (first or second-generation biofuels) as different biofuels have different impacts (Rathman et al.</w:t>
      </w:r>
      <w:r w:rsidR="00806A49" w:rsidRPr="008608AA">
        <w:t>,</w:t>
      </w:r>
      <w:r w:rsidR="007E21E7" w:rsidRPr="008608AA">
        <w:t xml:space="preserve"> 2010;</w:t>
      </w:r>
      <w:r w:rsidR="00272590" w:rsidRPr="008608AA">
        <w:t xml:space="preserve"> Ajanovic</w:t>
      </w:r>
      <w:r w:rsidR="00806A49" w:rsidRPr="008608AA">
        <w:t>,</w:t>
      </w:r>
      <w:r w:rsidR="007E21E7" w:rsidRPr="008608AA">
        <w:t xml:space="preserve"> 2011;</w:t>
      </w:r>
      <w:r w:rsidR="00272590" w:rsidRPr="008608AA">
        <w:t xml:space="preserve"> Mueller et al.</w:t>
      </w:r>
      <w:r w:rsidR="00806A49" w:rsidRPr="008608AA">
        <w:t>,</w:t>
      </w:r>
      <w:r w:rsidR="007E21E7" w:rsidRPr="008608AA">
        <w:t xml:space="preserve"> 2011;</w:t>
      </w:r>
      <w:r w:rsidR="00272590" w:rsidRPr="008608AA">
        <w:t xml:space="preserve"> Zilberman et al.</w:t>
      </w:r>
      <w:r w:rsidR="00806A49" w:rsidRPr="008608AA">
        <w:t>,</w:t>
      </w:r>
      <w:r w:rsidR="007E21E7" w:rsidRPr="008608AA">
        <w:t xml:space="preserve"> 2013;</w:t>
      </w:r>
      <w:r w:rsidR="00272590" w:rsidRPr="008608AA">
        <w:t xml:space="preserve"> Koizumi</w:t>
      </w:r>
      <w:r w:rsidR="00806A49" w:rsidRPr="008608AA">
        <w:t>,</w:t>
      </w:r>
      <w:r w:rsidR="007E21E7" w:rsidRPr="008608AA">
        <w:t xml:space="preserve"> 2015;</w:t>
      </w:r>
      <w:r w:rsidR="00272590" w:rsidRPr="008608AA">
        <w:t xml:space="preserve"> Filip et al.</w:t>
      </w:r>
      <w:r w:rsidR="00806A49" w:rsidRPr="008608AA">
        <w:t>,</w:t>
      </w:r>
      <w:r w:rsidR="00272590" w:rsidRPr="008608AA">
        <w:t xml:space="preserve"> 2017).</w:t>
      </w:r>
    </w:p>
    <w:p w14:paraId="4A37CB39" w14:textId="6B01B4B6" w:rsidR="001E61A6" w:rsidRPr="008608AA" w:rsidRDefault="001E61A6" w:rsidP="00CC6CB7">
      <w:pPr>
        <w:widowControl w:val="0"/>
        <w:tabs>
          <w:tab w:val="left" w:pos="220"/>
          <w:tab w:val="left" w:pos="720"/>
        </w:tabs>
        <w:autoSpaceDE w:val="0"/>
        <w:autoSpaceDN w:val="0"/>
        <w:adjustRightInd w:val="0"/>
        <w:spacing w:before="120"/>
      </w:pPr>
      <w:r w:rsidRPr="008608AA">
        <w:t>Drylands in North America (the hot Sonoran, Mojave, and Chihuahuan deserts and the cool Columbia Plateau, Great Basin, and Colorado Plateau deserts) have experienced moderately low to high appropriation of land by humans; degraded to very degraded fire cycles; very high to extremely high habitat fragmentation; and habitat losses between 2000 and 2009 of up to 11% (Hoesktra et al.</w:t>
      </w:r>
      <w:r w:rsidR="00806A49" w:rsidRPr="008608AA">
        <w:t>,</w:t>
      </w:r>
      <w:r w:rsidRPr="008608AA">
        <w:t xml:space="preserve"> 2010). Intensive cropping in many areas has lowered water tables and the amount of fertilized and salinized soil, leading to land abandonment with ensuing invasion by exotic annual grasses and reduced biodiversity and ecosystem function (Gelt</w:t>
      </w:r>
      <w:r w:rsidR="00806A49" w:rsidRPr="008608AA">
        <w:t>,</w:t>
      </w:r>
      <w:r w:rsidRPr="008608AA">
        <w:t xml:space="preserve"> 1993). Most of these lands have been grazed by</w:t>
      </w:r>
      <w:r w:rsidR="00806A49" w:rsidRPr="008608AA">
        <w:t xml:space="preserve"> livestock since the early 1800</w:t>
      </w:r>
      <w:r w:rsidRPr="008608AA">
        <w:t xml:space="preserve">s, and as most current grasses did not evolve with large mammal herds, this grazing has caused native species losses, altering plant and animal community composition, (Mack </w:t>
      </w:r>
      <w:r w:rsidR="00806A49" w:rsidRPr="008608AA">
        <w:t>&amp;</w:t>
      </w:r>
      <w:r w:rsidRPr="008608AA">
        <w:t xml:space="preserve"> Thompson</w:t>
      </w:r>
      <w:r w:rsidR="00806A49" w:rsidRPr="008608AA">
        <w:t>,</w:t>
      </w:r>
      <w:r w:rsidRPr="008608AA">
        <w:t xml:space="preserve"> 1982). Climate change models are predicting higher temperatures and reduced precipitation for North Ameri</w:t>
      </w:r>
      <w:r w:rsidR="007E21E7" w:rsidRPr="008608AA">
        <w:t>can drylands (Cook et al., 2004;</w:t>
      </w:r>
      <w:r w:rsidRPr="008608AA">
        <w:t xml:space="preserve"> Christensen et al., 2007), likely leading to long-term declines in soil moisture, which will negatively affecting shallow-rooted plants (Fernandez </w:t>
      </w:r>
      <w:r w:rsidR="00806A49" w:rsidRPr="008608AA">
        <w:t>&amp;</w:t>
      </w:r>
      <w:r w:rsidRPr="008608AA">
        <w:t xml:space="preserve"> Reynolds</w:t>
      </w:r>
      <w:r w:rsidR="00806A49" w:rsidRPr="008608AA">
        <w:t>,</w:t>
      </w:r>
      <w:r w:rsidR="007E21E7" w:rsidRPr="008608AA">
        <w:t xml:space="preserve"> 2000; Munson et al., 2011;</w:t>
      </w:r>
      <w:r w:rsidRPr="008608AA">
        <w:t xml:space="preserve"> Wertin et al., 2015). Increasing carbon dioxide loss of grass, and altered climate and fire regimes favor woody plant encroachment, further reducing biodiversity and affecting animals that depend on native plants that are lost (Archer et al., 1995). Grasses are vital to these ecosystems; they form the base of the food web, providing forage for livestock and small mammals, promoting soil carbon sequestration, stability and fertility and thus their loss affects ecosystem function (Sala </w:t>
      </w:r>
      <w:r w:rsidR="00FA50CF" w:rsidRPr="008608AA">
        <w:t>&amp;</w:t>
      </w:r>
      <w:r w:rsidRPr="008608AA">
        <w:t xml:space="preserve"> Paruelo</w:t>
      </w:r>
      <w:r w:rsidR="00FA50CF" w:rsidRPr="008608AA">
        <w:t>,</w:t>
      </w:r>
      <w:r w:rsidRPr="008608AA">
        <w:t xml:space="preserve"> 1997). These landscapes are also seeing dramatic increases in soil surface disturbance from recreation and energy and mineral exploration and extraction (Weber et al., 2016). Disturbance of the soil surface compromises the cover and function of biological soil crusts, a community of organisms that are critical to water, nutrient, and carbon cycles in drylands (Weber et al., 2016) and they may not return to their pre-disturbance state or function (Concostrina-Zubiri et al., 2014). Reduction in plant and biocrust cover increases soil erosion, which itself directly drives biodiversity loss and alters ecosystem function. Erosion reduces source soil carbon and nutrients </w:t>
      </w:r>
      <w:r w:rsidRPr="008608AA">
        <w:fldChar w:fldCharType="begin" w:fldLock="1"/>
      </w:r>
      <w:r w:rsidRPr="008608AA">
        <w:instrText>ADDIN CSL_CITATION { "citationItems" : [ { "id" : "ITEM-1", "itemData" : { "DOI" : "10.1038/ngeo133", "ISBN" : "1752-0908", "ISSN" : "1752-0894", "abstract" : "Mineral aerosols from dust are an important influence on climate and on marine and terrestrial biogeochemical cycles. These aerosols are generated from wind erosion of surface soils. The amount of dust emission can therefore be affected by human activities that alter surface sediments. However, changes in regional- and global-scale dust fluxes following the rapid expansion of human populations and settlements over the past two centuries are not well understood. Here we determine the accumulation rates and geochemical properties of alpine lake sediments from the western interior United States for the past 5,000 years. We find that dust load levels increased by 500% above the late Holocene average following the increased western settlement of the United States during the nineteenth century. We suggest that the increased dust deposition is caused by the expansion of livestock grazing in the early twentieth century. The larger dust flux, which persists into the early twenty-first century, results in a more than fivefold increase in inputs of K, Mg, Ca, N and P to the alpine ecosystems, with implications for surface-water alkalinity, aquatic productivity and terrestrial nutrient cycling.", "author" : [ { "dropping-particle" : "", "family" : "Neff", "given" : "J. C.", "non-dropping-particle" : "", "parse-names" : false, "suffix" : "" }, { "dropping-particle" : "", "family" : "Ballantyne", "given" : "a. P.", "non-dropping-particle" : "", "parse-names" : false, "suffix" : "" }, { "dropping-particle" : "", "family" : "Farmer", "given" : "G. L.", "non-dropping-particle" : "", "parse-names" : false, "suffix" : "" }, { "dropping-particle" : "", "family" : "Mahowald", "given" : "N. M.", "non-dropping-particle" : "", "parse-names" : false, "suffix" : "" }, { "dropping-particle" : "", "family" : "Conroy", "given" : "J. L.", "non-dropping-particle" : "", "parse-names" : false, "suffix" : "" }, { "dropping-particle" : "", "family" : "Landry", "given" : "C. C.", "non-dropping-particle" : "", "parse-names" : false, "suffix" : "" }, { "dropping-particle" : "", "family" : "Overpeck", "given" : "J. T.", "non-dropping-particle" : "", "parse-names" : false, "suffix" : "" }, { "dropping-particle" : "", "family" : "Painter", "given" : "T. H.", "non-dropping-particle" : "", "parse-names" : false, "suffix" : "" }, { "dropping-particle" : "", "family" : "Lawrence", "given" : "C. R.", "non-dropping-particle" : "", "parse-names" : false, "suffix" : "" }, { "dropping-particle" : "", "family" : "Reynolds", "given" : "R. L.", "non-dropping-particle" : "", "parse-names" : false, "suffix" : "" } ], "container-title" : "Nature Geoscience", "id" : "ITEM-1", "issue" : "3", "issued" : { "date-parts" : [ [ "2008" ] ] }, "page" : "189-195", "title" : "Increasing eolian dust deposition in the western United States linked to human\u00a0activity", "type" : "article-journal", "volume" : "1" }, "uris" : [ "http://www.mendeley.com/documents/?uuid=97f7073b-39fd-4f41-863a-3fdea5e8355b" ] }, { "id" : "ITEM-2", "itemData" : { "DOI" : "10.1007/978-3-319-30214-0_16", "author" : [ { "dropping-particle" : "", "family" : "Belnap", "given" : "Jayne", "non-dropping-particle" : "", "parse-names" : false, "suffix" : "" }, { "dropping-particle" : "", "family" : "B\u00fcdel", "given" : "Burkhard", "non-dropping-particle" : "", "parse-names" : false, "suffix" : "" } ], "id" : "ITEM-2", "issued" : { "date-parts" : [ [ "2016" ] ] }, "page" : "305-320", "title" : "Biological Soil Crusts as Soil Stabilizers", "type" : "chapter" }, "uris" : [ "http://www.mendeley.com/documents/?uuid=b2b11e26-fe28-33f8-9bf6-ce2002ccb143" ] } ], "mendeley" : { "formattedCitation" : "(Neff et al. 2008, Belnap and B\u00fcdel 2016)", "plainTextFormattedCitation" : "(Neff et al. 2008, Belnap and B\u00fcdel 2016)", "previouslyFormattedCitation" : "(Neff et al. 2008, Belnap and B\u00fcdel 2016)" }, "properties" : { "noteIndex" : 0 }, "schema" : "https://github.com/citation-style-language/schema/raw/master/csl-citation.json" }</w:instrText>
      </w:r>
      <w:r w:rsidRPr="008608AA">
        <w:fldChar w:fldCharType="separate"/>
      </w:r>
      <w:r w:rsidR="00FA50CF" w:rsidRPr="008608AA">
        <w:t>(e.g.</w:t>
      </w:r>
      <w:r w:rsidR="007E21E7" w:rsidRPr="008608AA">
        <w:t xml:space="preserve"> Neff et al., 2008;</w:t>
      </w:r>
      <w:r w:rsidRPr="008608AA">
        <w:t xml:space="preserve"> Belnap </w:t>
      </w:r>
      <w:r w:rsidR="00FA50CF" w:rsidRPr="008608AA">
        <w:t>&amp;</w:t>
      </w:r>
      <w:r w:rsidRPr="008608AA">
        <w:t xml:space="preserve"> Büdel</w:t>
      </w:r>
      <w:r w:rsidR="007E21E7" w:rsidRPr="008608AA">
        <w:t>,</w:t>
      </w:r>
      <w:r w:rsidRPr="008608AA">
        <w:t xml:space="preserve"> 2016</w:t>
      </w:r>
      <w:r w:rsidR="007E21E7" w:rsidRPr="008608AA">
        <w:t>; Weber et al., 2016;</w:t>
      </w:r>
      <w:r w:rsidR="00FA50CF" w:rsidRPr="008608AA">
        <w:t xml:space="preserve"> Ahlström,</w:t>
      </w:r>
      <w:r w:rsidRPr="008608AA">
        <w:t xml:space="preserve"> 2015)</w:t>
      </w:r>
      <w:r w:rsidRPr="008608AA">
        <w:fldChar w:fldCharType="end"/>
      </w:r>
      <w:r w:rsidRPr="008608AA">
        <w:t xml:space="preserve">; increases dust deposition on nearby snowpacks, which reduces the amount of water entering major rivers </w:t>
      </w:r>
      <w:r w:rsidRPr="008608AA">
        <w:fldChar w:fldCharType="begin" w:fldLock="1"/>
      </w:r>
      <w:r w:rsidRPr="008608AA">
        <w:instrText>ADDIN CSL_CITATION { "citationItems" : [ { "id" : "ITEM-1", "itemData" : { "DOI" : "10.1073/pnas.0913139107", "ISBN" : "0027-8424", "ISSN" : "0027-8424", "PMID" : "20855581", "abstract" : "The waters of the Colorado River serve 27 million people in seven states and two countries but are overallocated by more than 10% of the river's historical mean. Climate models project runoff losses of 7-20% from the basin in this century due to human-induced climate change. Recent work has shown however that by the late 1800s, decades prior to allocation of the river's runoff in the 1920s, a fivefold increase in dust loading from anthropogenically disturbed soils in the southwest United States was already decreasing snow albedo and shortening the duration of snow cover by several weeks. The degree to which this increase in radiative forcing by dust in snow has affected timing and magnitude of runoff from the Upper Colorado River Basin (UCRB) is unknown. Here we use the Variable Infiltration Capacity model with postdisturbance and predisturbance impacts of dust on albedo to estimate the impact on runoff from the UCRB across 1916-2003. We find that peak runoff at Lees Ferry, Arizona has occurred on average 3 wk earlier under heavier dust loading and that increases in evapotranspiration from earlier exposure of vegetation and soils decreases annual runoff by more than 1.0 billion cubic meters or \u223c5% of the annual average. The potential to reduce dust loading through surface stabilization in the deserts and restore more persistent snow cover, slow runoff, and increase water resources in the UCRB may represent an important mitigation opportunity to reduce system management tensions and regional impacts of climate change.", "author" : [ { "dropping-particle" : "", "family" : "Painter", "given" : "Thomas H", "non-dropping-particle" : "", "parse-names" : false, "suffix" : "" }, { "dropping-particle" : "", "family" : "Deems", "given" : "Jeffrey S", "non-dropping-particle" : "", "parse-names" : false, "suffix" : "" }, { "dropping-particle" : "", "family" : "Belnap", "given" : "Jayne", "non-dropping-particle" : "", "parse-names" : false, "suffix" : "" }, { "dropping-particle" : "", "family" : "Hamlet", "given" : "Alan F", "non-dropping-particle" : "", "parse-names" : false, "suffix" : "" }, { "dropping-particle" : "", "family" : "Landry", "given" : "Christopher C", "non-dropping-particle" : "", "parse-names" : false, "suffix" : "" }, { "dropping-particle" : "", "family" : "Udall", "given" : "Bradley", "non-dropping-particle" : "", "parse-names" : false, "suffix" : "" } ], "container-title" : "Proceedings of the National Academy of Sciences of the United States of America", "id" : "ITEM-1", "issue" : "40", "issued" : { "date-parts" : [ [ "2010" ] ] }, "page" : "17125-17130", "title" : "Response of Colorado River runoff to dust radiative forcing in snow.", "type" : "article-journal", "volume" : "107" }, "uris" : [ "http://www.mendeley.com/documents/?uuid=fe2fdbd3-ee32-452b-85c4-1514218987fd" ] } ], "mendeley" : { "formattedCitation" : "(Painter et al. 2010)", "plainTextFormattedCitation" : "(Painter et al. 2010)", "previouslyFormattedCitation" : "(Painter et al. 2010)" }, "properties" : { "noteIndex" : 0 }, "schema" : "https://github.com/citation-style-language/schema/raw/master/csl-citation.json" }</w:instrText>
      </w:r>
      <w:r w:rsidRPr="008608AA">
        <w:fldChar w:fldCharType="separate"/>
      </w:r>
      <w:r w:rsidRPr="008608AA">
        <w:t>(Painter et al., 2010)</w:t>
      </w:r>
      <w:r w:rsidRPr="008608AA">
        <w:fldChar w:fldCharType="end"/>
      </w:r>
      <w:r w:rsidRPr="008608AA">
        <w:t>; and threatens human economic, health, and social well-being (Fields et al., 2009). Roads, pipelines, transmission lines, vegetation change, and energy developments continue to heavily fragment and degrade many drylands, especially the Mojave and Great Ba</w:t>
      </w:r>
      <w:r w:rsidR="007E21E7" w:rsidRPr="008608AA">
        <w:t>sin deserts (Knick et al., 2003;</w:t>
      </w:r>
      <w:r w:rsidRPr="008608AA">
        <w:t xml:space="preserve"> Hoesktra et al., 2010). </w:t>
      </w:r>
    </w:p>
    <w:p w14:paraId="597C312F" w14:textId="6F1E8416" w:rsidR="001E61A6" w:rsidRPr="008608AA" w:rsidRDefault="001E61A6" w:rsidP="00CC6CB7">
      <w:pPr>
        <w:autoSpaceDE w:val="0"/>
        <w:autoSpaceDN w:val="0"/>
        <w:adjustRightInd w:val="0"/>
        <w:spacing w:before="120"/>
        <w:rPr>
          <w:rFonts w:eastAsiaTheme="minorEastAsia"/>
        </w:rPr>
      </w:pPr>
      <w:r w:rsidRPr="008608AA">
        <w:rPr>
          <w:rFonts w:eastAsiaTheme="minorEastAsia"/>
        </w:rPr>
        <w:t xml:space="preserve">The wetlands of North America include many different wetland types, ranging from the expansive peatlands of boreal Canada and Alaska to the seasonally flooded marshes of the </w:t>
      </w:r>
      <w:r w:rsidR="00FA50CF" w:rsidRPr="008608AA">
        <w:rPr>
          <w:rFonts w:eastAsiaTheme="minorEastAsia"/>
        </w:rPr>
        <w:t>subtropical Florida Everglades.</w:t>
      </w:r>
      <w:r w:rsidRPr="008608AA">
        <w:rPr>
          <w:rFonts w:eastAsiaTheme="minorEastAsia"/>
        </w:rPr>
        <w:t xml:space="preserve"> Wetlands of North America continue to be threatened by drainage for agriculture and urban development, extreme coastal and river management, water pollution from upstream watersheds, peat mining, waterfowl management, and more recently climate change. From 1780-1980, from 65 to 80% of wetlands in Canada were lost, while 53% of wetlands in the continental USA were lost (M</w:t>
      </w:r>
      <w:r w:rsidR="00FA50CF" w:rsidRPr="008608AA">
        <w:rPr>
          <w:rFonts w:eastAsiaTheme="minorEastAsia"/>
        </w:rPr>
        <w:t xml:space="preserve">itsch </w:t>
      </w:r>
      <w:r w:rsidR="007E21E7" w:rsidRPr="008608AA">
        <w:rPr>
          <w:rFonts w:eastAsiaTheme="minorEastAsia"/>
        </w:rPr>
        <w:t>&amp;</w:t>
      </w:r>
      <w:r w:rsidR="00FA50CF" w:rsidRPr="008608AA">
        <w:rPr>
          <w:rFonts w:eastAsiaTheme="minorEastAsia"/>
        </w:rPr>
        <w:t xml:space="preserve"> Hernandez</w:t>
      </w:r>
      <w:r w:rsidR="007E21E7" w:rsidRPr="008608AA">
        <w:rPr>
          <w:rFonts w:eastAsiaTheme="minorEastAsia"/>
        </w:rPr>
        <w:t>,</w:t>
      </w:r>
      <w:r w:rsidR="00FA50CF" w:rsidRPr="008608AA">
        <w:rPr>
          <w:rFonts w:eastAsiaTheme="minorEastAsia"/>
        </w:rPr>
        <w:t xml:space="preserve"> 2013). The middle Atlantic coastal p</w:t>
      </w:r>
      <w:r w:rsidRPr="008608AA">
        <w:rPr>
          <w:rFonts w:eastAsiaTheme="minorEastAsia"/>
        </w:rPr>
        <w:t>lain experienced vast land cover change compared with other Eastern USA ecoregions, ranking third in the proportion of area changed. Two of the dominant land-cover types, forest and wetlands, experienced considerable net change (USGS</w:t>
      </w:r>
      <w:r w:rsidR="00FA50CF" w:rsidRPr="008608AA">
        <w:rPr>
          <w:rFonts w:eastAsiaTheme="minorEastAsia"/>
        </w:rPr>
        <w:t>,</w:t>
      </w:r>
      <w:r w:rsidRPr="008608AA">
        <w:rPr>
          <w:rFonts w:eastAsiaTheme="minorEastAsia"/>
        </w:rPr>
        <w:t xml:space="preserve"> 2016). Urban development almost always increases in area, as it tends to be permanent, whereas other land-cover types, like forest, agriculture, wetlands, and mechanically disturbed lands, may fluctuate in area as part of cyclic land-use changes (USGS</w:t>
      </w:r>
      <w:r w:rsidR="00FA50CF" w:rsidRPr="008608AA">
        <w:rPr>
          <w:rFonts w:eastAsiaTheme="minorEastAsia"/>
        </w:rPr>
        <w:t>,</w:t>
      </w:r>
      <w:r w:rsidRPr="008608AA">
        <w:rPr>
          <w:rFonts w:eastAsiaTheme="minorEastAsia"/>
        </w:rPr>
        <w:t xml:space="preserve"> 2016).  Probably as a result of enforcing Clean Water Act requirements to mitigate wetland losses, as well as program such as the Wetlands Reserve Program (Wiebusch &amp; Lant</w:t>
      </w:r>
      <w:r w:rsidR="00FA50CF" w:rsidRPr="008608AA">
        <w:rPr>
          <w:rFonts w:eastAsiaTheme="minorEastAsia"/>
        </w:rPr>
        <w:t>,</w:t>
      </w:r>
      <w:r w:rsidRPr="008608AA">
        <w:rPr>
          <w:rFonts w:eastAsiaTheme="minorEastAsia"/>
        </w:rPr>
        <w:t xml:space="preserve"> 2017), wetland restoration and creation may have partially offset losses in rural and suburban areas since the mid-1980s (Mitsch </w:t>
      </w:r>
      <w:r w:rsidR="00FA50CF" w:rsidRPr="008608AA">
        <w:rPr>
          <w:rFonts w:eastAsiaTheme="minorEastAsia"/>
        </w:rPr>
        <w:t>&amp;</w:t>
      </w:r>
      <w:r w:rsidRPr="008608AA">
        <w:rPr>
          <w:rFonts w:eastAsiaTheme="minorEastAsia"/>
        </w:rPr>
        <w:t xml:space="preserve"> Hernandez</w:t>
      </w:r>
      <w:r w:rsidR="00FA50CF" w:rsidRPr="008608AA">
        <w:rPr>
          <w:rFonts w:eastAsiaTheme="minorEastAsia"/>
        </w:rPr>
        <w:t>,</w:t>
      </w:r>
      <w:r w:rsidRPr="008608AA">
        <w:rPr>
          <w:rFonts w:eastAsiaTheme="minorEastAsia"/>
        </w:rPr>
        <w:t xml:space="preserve"> 2013). </w:t>
      </w:r>
    </w:p>
    <w:p w14:paraId="0C77ABFF" w14:textId="58DA5C8B" w:rsidR="001E61A6" w:rsidRPr="008608AA" w:rsidRDefault="001E61A6" w:rsidP="00CC6CB7">
      <w:pPr>
        <w:widowControl w:val="0"/>
        <w:tabs>
          <w:tab w:val="left" w:pos="220"/>
          <w:tab w:val="left" w:pos="720"/>
        </w:tabs>
        <w:autoSpaceDE w:val="0"/>
        <w:autoSpaceDN w:val="0"/>
        <w:adjustRightInd w:val="0"/>
        <w:spacing w:before="120"/>
      </w:pPr>
      <w:r w:rsidRPr="008608AA">
        <w:t>North America contains some of the most urbanized landscapes in the world. In the USA and Canada, approximately 80% of the population is urban (Kaiser Family Foundation</w:t>
      </w:r>
      <w:r w:rsidR="00FA50CF" w:rsidRPr="008608AA">
        <w:t>,</w:t>
      </w:r>
      <w:r w:rsidRPr="008608AA">
        <w:t xml:space="preserve"> 2013 in McPhearson et al.</w:t>
      </w:r>
      <w:r w:rsidR="00FA50CF" w:rsidRPr="008608AA">
        <w:t>,</w:t>
      </w:r>
      <w:r w:rsidRPr="008608AA">
        <w:t xml:space="preserve"> 2013). Population growth combined with economic growth has fueled this recent urban land expansion. Between 1970 and 2000, urban land area expanded annually by 3.31% (Seto et al., 2011), which was</w:t>
      </w:r>
      <w:r w:rsidRPr="008608AA">
        <w:rPr>
          <w:rFonts w:eastAsiaTheme="majorEastAsia"/>
        </w:rPr>
        <w:t xml:space="preserve"> mostly cropland and forest conversion (Alig et al</w:t>
      </w:r>
      <w:r w:rsidR="00FA50CF" w:rsidRPr="008608AA">
        <w:rPr>
          <w:rFonts w:eastAsiaTheme="majorEastAsia"/>
        </w:rPr>
        <w:t>.,</w:t>
      </w:r>
      <w:r w:rsidRPr="008608AA">
        <w:rPr>
          <w:rFonts w:eastAsiaTheme="majorEastAsia"/>
        </w:rPr>
        <w:t xml:space="preserve"> 2004), </w:t>
      </w:r>
      <w:r w:rsidRPr="008608AA">
        <w:t>creating unique challenges for conserving biodiversity and maintaining regional and local ecosystem services.</w:t>
      </w:r>
      <w:r w:rsidRPr="008608AA">
        <w:rPr>
          <w:rFonts w:eastAsiaTheme="majorEastAsia"/>
        </w:rPr>
        <w:t xml:space="preserve"> Urban areas in the USA could increase by 79% by 2025, which would mean that 9.2% of USA land wil</w:t>
      </w:r>
      <w:r w:rsidR="00FA50CF" w:rsidRPr="008608AA">
        <w:rPr>
          <w:rFonts w:eastAsiaTheme="majorEastAsia"/>
        </w:rPr>
        <w:t>l be urban (Alig et al., 2004).</w:t>
      </w:r>
      <w:r w:rsidRPr="008608AA">
        <w:rPr>
          <w:rFonts w:eastAsiaTheme="majorEastAsia"/>
        </w:rPr>
        <w:t xml:space="preserve"> A large portion of this increase is expected in coastal areas where populations will be exposed to issues associated with predicted sea level rise. </w:t>
      </w:r>
      <w:r w:rsidRPr="008608AA">
        <w:t>Changes in development density will have an impact on how populations are distributed and will affect land use and land cover. Some of the projected changes in developed areas will depend on assumptions about changes in household size and how concentrated urban development will be. While higher population density means less land is converted from forests or grasslands, it can result in larger extents of paved areas and an increase in low-density exurban areas, which will lead to a greater area affected by development and increase commuting times and infrastructure costs (Brown et al., 2014).</w:t>
      </w:r>
    </w:p>
    <w:p w14:paraId="18D61228" w14:textId="77777777" w:rsidR="00CC6CB7" w:rsidRPr="008608AA" w:rsidRDefault="00CC6CB7" w:rsidP="00CC6CB7">
      <w:pPr>
        <w:pStyle w:val="Heading4"/>
        <w:numPr>
          <w:ilvl w:val="0"/>
          <w:numId w:val="0"/>
        </w:numPr>
        <w:ind w:left="862" w:hanging="862"/>
      </w:pPr>
    </w:p>
    <w:p w14:paraId="660E19E5" w14:textId="77777777" w:rsidR="001E61A6" w:rsidRPr="008608AA" w:rsidRDefault="001E61A6" w:rsidP="00CC6CB7">
      <w:pPr>
        <w:pStyle w:val="Heading4"/>
        <w:numPr>
          <w:ilvl w:val="0"/>
          <w:numId w:val="0"/>
        </w:numPr>
        <w:ind w:left="862" w:hanging="862"/>
      </w:pPr>
      <w:bookmarkStart w:id="1474" w:name="_Toc517393343"/>
      <w:bookmarkStart w:id="1475" w:name="_Toc517394400"/>
      <w:bookmarkStart w:id="1476" w:name="_Toc517719084"/>
      <w:bookmarkStart w:id="1477" w:name="_Toc517797041"/>
      <w:r w:rsidRPr="008608AA">
        <w:t>Mesoamerica</w:t>
      </w:r>
      <w:bookmarkEnd w:id="1474"/>
      <w:bookmarkEnd w:id="1475"/>
      <w:bookmarkEnd w:id="1476"/>
      <w:bookmarkEnd w:id="1477"/>
    </w:p>
    <w:p w14:paraId="4604523D" w14:textId="4C5E4249" w:rsidR="001E61A6" w:rsidRPr="008608AA" w:rsidRDefault="001E61A6" w:rsidP="00CC6CB7">
      <w:pPr>
        <w:widowControl w:val="0"/>
        <w:tabs>
          <w:tab w:val="left" w:pos="220"/>
          <w:tab w:val="left" w:pos="720"/>
        </w:tabs>
        <w:autoSpaceDE w:val="0"/>
        <w:autoSpaceDN w:val="0"/>
        <w:adjustRightInd w:val="0"/>
        <w:spacing w:before="120"/>
      </w:pPr>
      <w:r w:rsidRPr="008608AA">
        <w:t>Drivers of change in biodiversity and ecosystem function in Mesoamerican drylands</w:t>
      </w:r>
      <w:r w:rsidRPr="008608AA">
        <w:rPr>
          <w:b/>
        </w:rPr>
        <w:t xml:space="preserve"> </w:t>
      </w:r>
      <w:r w:rsidRPr="008608AA">
        <w:t>(Sonoran and Chihuahuan deserts) are similar to those in North America, though they differ in relative importance (CONABIO</w:t>
      </w:r>
      <w:r w:rsidR="00FA50CF" w:rsidRPr="008608AA">
        <w:t>,</w:t>
      </w:r>
      <w:r w:rsidRPr="008608AA">
        <w:t xml:space="preserve"> 2014). Livestock have grazed Mexican deserts and semi-deserts for hundreds of years. Again, lack of resistance to this herbivory has altered plant community composition, decreased native species cover, and altered nutrient, carbon, and hydrologic cycles. (Mack </w:t>
      </w:r>
      <w:r w:rsidR="007E21E7" w:rsidRPr="008608AA">
        <w:t>&amp;</w:t>
      </w:r>
      <w:r w:rsidRPr="008608AA">
        <w:t xml:space="preserve"> Thompson</w:t>
      </w:r>
      <w:r w:rsidR="007E21E7" w:rsidRPr="008608AA">
        <w:t>,</w:t>
      </w:r>
      <w:r w:rsidRPr="008608AA">
        <w:t xml:space="preserve"> 1982). Climate models predict warmer temperatures and reduced precipitation for this region (Cook et al., 2004, Christensen et al., 2007). These changes, along with natural drought will cause loss of grasses and other shallow-rooted plants (Fernandez </w:t>
      </w:r>
      <w:r w:rsidR="007E21E7" w:rsidRPr="008608AA">
        <w:t>&amp;</w:t>
      </w:r>
      <w:r w:rsidRPr="008608AA">
        <w:t xml:space="preserve"> Reynolds</w:t>
      </w:r>
      <w:r w:rsidR="007E21E7" w:rsidRPr="008608AA">
        <w:t>, 2000;</w:t>
      </w:r>
      <w:r w:rsidR="00523468" w:rsidRPr="008608AA">
        <w:t xml:space="preserve"> </w:t>
      </w:r>
      <w:r w:rsidRPr="008608AA">
        <w:t xml:space="preserve">Moreno </w:t>
      </w:r>
      <w:r w:rsidR="007E21E7" w:rsidRPr="008608AA">
        <w:t>&amp;</w:t>
      </w:r>
      <w:r w:rsidRPr="008608AA">
        <w:t xml:space="preserve"> Huber-Sannwald</w:t>
      </w:r>
      <w:r w:rsidR="007E21E7" w:rsidRPr="008608AA">
        <w:t>,</w:t>
      </w:r>
      <w:r w:rsidRPr="008608AA">
        <w:t xml:space="preserve"> 2011) and facilitate woody plant encroachment, which is already underway (Archer et al., 1995). Loss of grasses will reduce food availability for livestock and wildlife, reduce an already limited soil carbon sequestration, reduce limited soil nutrients, alter plant and animal community composition and change ecosystem functions (Sala </w:t>
      </w:r>
      <w:r w:rsidR="007E21E7" w:rsidRPr="008608AA">
        <w:t>&amp;</w:t>
      </w:r>
      <w:r w:rsidRPr="008608AA">
        <w:t xml:space="preserve"> Paruelo</w:t>
      </w:r>
      <w:r w:rsidR="007E21E7" w:rsidRPr="008608AA">
        <w:t>,</w:t>
      </w:r>
      <w:r w:rsidRPr="008608AA">
        <w:t xml:space="preserve"> 1997). Loss of biological soil crusts</w:t>
      </w:r>
      <w:r w:rsidRPr="008608AA">
        <w:rPr>
          <w:rStyle w:val="FootnoteReference"/>
          <w:lang w:val="en-GB"/>
        </w:rPr>
        <w:footnoteReference w:id="35"/>
      </w:r>
      <w:r w:rsidR="00F4570B" w:rsidRPr="008608AA">
        <w:t xml:space="preserve"> </w:t>
      </w:r>
      <w:r w:rsidRPr="008608AA">
        <w:t>and plant cover reduction with soil disturbance negatively influences water, nutrient, and carbon cycles and increases soil erosion in these ecosystems (Weber et al., 2016). Disturbed biological soil crusts may not recover to a pre-disturbance state, altering their ecosystem role (Concostrina-Zubiri et al., 2014). Grazing, cropping, energy and mineral exploration and development, and recreation are the major drivers of land degradation of Mexican deserts and sem</w:t>
      </w:r>
      <w:r w:rsidR="00641A5F" w:rsidRPr="008608AA">
        <w:t>i-deserts (Sarukhan et al., 2015</w:t>
      </w:r>
      <w:r w:rsidR="007E21E7" w:rsidRPr="008608AA">
        <w:t>;</w:t>
      </w:r>
      <w:r w:rsidRPr="008608AA">
        <w:t xml:space="preserve"> Sala et al., 2000). These changes generally result in loss of biological soil crust and plant cover, resulting in soil erosion, which is a major issue in Mexican deserts and semi-desert areas (Balvanera et al., 2009). Hoesktra et al. (2010) report that these areas have experienced moderately low to moderate appropriation of land by humans, fire cycles that are degraded, very high to extremely high fragmentation, and up to 3.3% habitat losses between 2000 and 2009.  </w:t>
      </w:r>
    </w:p>
    <w:p w14:paraId="2ED3C527" w14:textId="77777777" w:rsidR="001E61A6" w:rsidRPr="008608AA" w:rsidRDefault="001E61A6" w:rsidP="00CC6CB7">
      <w:pPr>
        <w:widowControl w:val="0"/>
        <w:tabs>
          <w:tab w:val="left" w:pos="220"/>
          <w:tab w:val="left" w:pos="720"/>
        </w:tabs>
        <w:autoSpaceDE w:val="0"/>
        <w:autoSpaceDN w:val="0"/>
        <w:adjustRightInd w:val="0"/>
        <w:spacing w:before="120"/>
      </w:pPr>
      <w:r w:rsidRPr="008608AA">
        <w:t>Mesoamerican forests are the third largest among the global biodiversity hotspots and are one of the most endangered ecosystems in the tropics (Sánchez-Azofeifa et al., 2014) due to high rates of forest loss and fragmentation (Chacon, 2005).</w:t>
      </w:r>
    </w:p>
    <w:p w14:paraId="0D3F3E97" w14:textId="53BB388A" w:rsidR="001E61A6" w:rsidRPr="008608AA" w:rsidRDefault="001E61A6" w:rsidP="00CC6CB7">
      <w:pPr>
        <w:widowControl w:val="0"/>
        <w:tabs>
          <w:tab w:val="left" w:pos="220"/>
          <w:tab w:val="left" w:pos="720"/>
        </w:tabs>
        <w:autoSpaceDE w:val="0"/>
        <w:autoSpaceDN w:val="0"/>
        <w:adjustRightInd w:val="0"/>
        <w:spacing w:before="120"/>
        <w:rPr>
          <w:rFonts w:eastAsiaTheme="majorEastAsia"/>
        </w:rPr>
      </w:pPr>
      <w:r w:rsidRPr="008608AA">
        <w:t>Drivers of change in Mesoamerican tropical dry forests are both negative and positive, but they still contribute to significant forest loss. Dry forests now exist as fragments of what was once a large, contiguous f</w:t>
      </w:r>
      <w:r w:rsidR="00F4570B" w:rsidRPr="008608AA">
        <w:t>orest extending from Mexico to n</w:t>
      </w:r>
      <w:r w:rsidRPr="008608AA">
        <w:t>orthern Argentina. The timber industry, indigenous fuel–wood extraction, and cattle ranching expansion are the main drivers of dry forest loss (Fajardo et al., 2005</w:t>
      </w:r>
      <w:r w:rsidR="007E21E7" w:rsidRPr="008608AA">
        <w:t xml:space="preserve">; </w:t>
      </w:r>
      <w:r w:rsidRPr="008608AA">
        <w:t>Calvo-Alvarado et al., 2009). These forests now cover 519,597 km</w:t>
      </w:r>
      <w:r w:rsidRPr="008608AA">
        <w:rPr>
          <w:vertAlign w:val="superscript"/>
        </w:rPr>
        <w:t xml:space="preserve">2 </w:t>
      </w:r>
      <w:r w:rsidRPr="008608AA">
        <w:t>across North and South America. Mexico contains the largest extent at 181,461 km</w:t>
      </w:r>
      <w:r w:rsidRPr="008608AA">
        <w:rPr>
          <w:vertAlign w:val="superscript"/>
        </w:rPr>
        <w:t xml:space="preserve">2 </w:t>
      </w:r>
      <w:r w:rsidRPr="008608AA">
        <w:t xml:space="preserve">(38% of the total), although it remains poorly represented within protected areas (Portillo-Quintero </w:t>
      </w:r>
      <w:r w:rsidR="007E21E7" w:rsidRPr="008608AA">
        <w:t>&amp;</w:t>
      </w:r>
      <w:r w:rsidRPr="008608AA">
        <w:t xml:space="preserve"> Sánchez-Azofeifa</w:t>
      </w:r>
      <w:r w:rsidR="007E21E7" w:rsidRPr="008608AA">
        <w:t>,</w:t>
      </w:r>
      <w:r w:rsidRPr="008608AA">
        <w:t xml:space="preserve"> 2010). </w:t>
      </w:r>
    </w:p>
    <w:p w14:paraId="4E50DD07" w14:textId="77777777" w:rsidR="001E61A6" w:rsidRPr="008608AA" w:rsidRDefault="001E61A6" w:rsidP="00CC6CB7">
      <w:pPr>
        <w:spacing w:before="120"/>
      </w:pPr>
      <w:r w:rsidRPr="008608AA">
        <w:t xml:space="preserve">In general, tropical dry forest area in Mexico is declining, with cattle ranching driving most of this deforestation, particularly along the Pacific coast </w:t>
      </w:r>
      <w:r w:rsidRPr="008608AA">
        <w:rPr>
          <w:rFonts w:eastAsiaTheme="majorEastAsia"/>
        </w:rPr>
        <w:t xml:space="preserve">(Sanchez-Azofeifa et al., 2009), even though the forest loss rate in Mexico was halved </w:t>
      </w:r>
      <w:r w:rsidRPr="008608AA">
        <w:t>between 2010 and 2015</w:t>
      </w:r>
      <w:r w:rsidRPr="008608AA">
        <w:rPr>
          <w:rFonts w:eastAsiaTheme="majorEastAsia"/>
        </w:rPr>
        <w:t xml:space="preserve"> </w:t>
      </w:r>
      <w:r w:rsidRPr="008608AA">
        <w:rPr>
          <w:rFonts w:eastAsiaTheme="majorEastAsia"/>
        </w:rPr>
        <w:fldChar w:fldCharType="begin" w:fldLock="1"/>
      </w:r>
      <w:r w:rsidRPr="008608AA">
        <w:rPr>
          <w:rFonts w:eastAsiaTheme="majorEastAsia"/>
        </w:rPr>
        <w:instrText>ADDIN CSL_CITATION { "citationItems" : [ { "id" : "ITEM-1", "itemData" : { "DOI" : "10.1016/j.foreco.2015.06.014", "ISBN" : "0378-1127", "ISSN" : "03781127", "PMID" : "17255001", "abstract" : "The area of land covered by forest and trees is an important indicator of environmental condition. This study presents and analyses results from the Global Forest Resources Assessment 2015 (FRA 2015) of the Food and Agriculture Organization of the United Nations. FRA 2015 was based on responses to surveys by individual countries using a common reporting framework, agreed definitions and reporting standards. Results indicated that total forest area declined by 3%, from 4128Mha in 1990 to 3999Mha in 2015. The annual rate of net forest loss halved from 7.3Mhay&lt;sup&gt;-1&lt;/sup&gt; in the 1990s to 3.3Mhay&lt;sup&gt;-1&lt;/sup&gt; between 2010 and 2015. Natural forest area declined from 3961Mha to 3721Mha between 1990 and 2015, while planted forest (including rubber plantations) increased from 168Mha to 278Mha. From 2010 to 2015, tropical forest area declined at a rate of 5.5Mhay&lt;sup&gt;-1&lt;/sup&gt; - only 58% of the rate in the 1990s - while temperate forest area expanded at a rate of 2.2Mhay&lt;sup&gt;-1&lt;/sup&gt;. Boreal and sub-tropical forest areas showed little net change. Forest area expanded in Europe, North America, the Caribbean, East Asia, and Western-Central Asia, but declined in Central America, South America, South and Southeast Asia and all three regions in Africa. Analysis indicates that, between 1990 and 2015, 13 tropical countries may have either passed through their forest transitions from net forest loss to net forest expansion, or continued along the path of forest expansion that follows these transitions. Comparing FRA 2015 statistics with the findings of global and pan-tropical remote-sensing forest area surveys was challenging, due to differences in assessment periods, the definitions of forest and remote sensing methods. More investment in national and global forest monitoring is needed to provide better support for international initiatives to increase sustainable forest management and reduce forest loss, particularly in tropical countries.", "author" : [ { "dropping-particle" : "", "family" : "Keenan", "given" : "Rodney J.", "non-dropping-particle" : "", "parse-names" : false, "suffix" : "" }, { "dropping-particle" : "", "family" : "Reams", "given" : "Gregory A.", "non-dropping-particle" : "", "parse-names" : false, "suffix" : "" }, { "dropping-particle" : "", "family" : "Achard", "given" : "Fr??d??ric", "non-dropping-particle" : "", "parse-names" : false, "suffix" : "" }, { "dropping-particle" : "V.", "family" : "Freitas", "given" : "Joberto", "non-dropping-particle" : "de", "parse-names" : false, "suffix" : "" }, { "dropping-particle" : "", "family" : "Grainger", "given" : "Alan", "non-dropping-particle" : "", "parse-names" : false, "suffix" : "" }, { "dropping-particle" : "", "family" : "Lindquist", "given" : "Erik", "non-dropping-particle" : "", "parse-names" : false, "suffix" : "" } ], "container-title" : "Forest Ecology and Management", "id" : "ITEM-1", "issued" : { "date-parts" : [ [ "2015" ] ] }, "page" : "9-20", "title" : "Dynamics of global forest area: Results from the FAO Global Forest Resources Assessment 2015", "type" : "article", "volume" : "352" }, "uris" : [ "http://www.mendeley.com/documents/?uuid=871d4fd9-84d3-4e40-8c71-ab8ba8f2e144" ] } ], "mendeley" : { "formattedCitation" : "(Keenan et al. 2015)", "plainTextFormattedCitation" : "(Keenan et al. 2015)", "previouslyFormattedCitation" : "(Keenan et al. 2015)"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(Keenan et al., 2015)</w:t>
      </w:r>
      <w:r w:rsidRPr="008608AA">
        <w:rPr>
          <w:rFonts w:eastAsiaTheme="majorEastAsia"/>
        </w:rPr>
        <w:fldChar w:fldCharType="end"/>
      </w:r>
      <w:r w:rsidRPr="008608AA">
        <w:t>.</w:t>
      </w:r>
      <w:r w:rsidRPr="008608AA">
        <w:rPr>
          <w:rFonts w:eastAsiaTheme="majorEastAsia"/>
        </w:rPr>
        <w:t xml:space="preserve"> </w:t>
      </w:r>
      <w:r w:rsidRPr="008608AA">
        <w:t>Unfortunately, the protected tropical dry forest in Costa Rica represents less than 1% of the total extent of this ecosystem in the Americas and is continentally less significant. Low extent and high fragmentation of dry forests in Guatemala, El Salvador, and Nicaragua mean that these forests are at high risk from human disturbance and deforestation.</w:t>
      </w:r>
    </w:p>
    <w:p w14:paraId="0F3C3BE6" w14:textId="2D4E0273" w:rsidR="001E61A6" w:rsidRPr="008608AA" w:rsidRDefault="001E61A6" w:rsidP="00CC6CB7">
      <w:pPr>
        <w:widowControl w:val="0"/>
        <w:tabs>
          <w:tab w:val="left" w:pos="220"/>
          <w:tab w:val="left" w:pos="720"/>
        </w:tabs>
        <w:autoSpaceDE w:val="0"/>
        <w:autoSpaceDN w:val="0"/>
        <w:adjustRightInd w:val="0"/>
        <w:spacing w:before="120"/>
        <w:rPr>
          <w:rFonts w:eastAsia="Arial"/>
        </w:rPr>
      </w:pPr>
      <w:r w:rsidRPr="008608AA">
        <w:rPr>
          <w:rFonts w:eastAsia="Arial"/>
        </w:rPr>
        <w:t>There are many wetlands and freshwater systems in Mesoamerica that are each integral to a system of life, culture, a means of economic support and habitat. Tourism income represents 20.4% of the foreign earnings in Mesoamerica (Agencia EFE</w:t>
      </w:r>
      <w:r w:rsidR="006E1CDF" w:rsidRPr="008608AA">
        <w:rPr>
          <w:rFonts w:eastAsia="Arial"/>
        </w:rPr>
        <w:t>, 1998</w:t>
      </w:r>
      <w:r w:rsidRPr="008608AA">
        <w:rPr>
          <w:rFonts w:eastAsia="Arial"/>
        </w:rPr>
        <w:t>). The location and topographic complexity of Mesoamerica makes it unique in its water availability, with</w:t>
      </w:r>
      <w:r w:rsidR="00F4570B" w:rsidRPr="008608AA">
        <w:rPr>
          <w:rFonts w:eastAsia="Arial"/>
        </w:rPr>
        <w:t xml:space="preserve"> an average of 27,</w:t>
      </w:r>
      <w:r w:rsidRPr="008608AA">
        <w:rPr>
          <w:rFonts w:eastAsia="Arial"/>
        </w:rPr>
        <w:t>200 m</w:t>
      </w:r>
      <w:r w:rsidRPr="008608AA">
        <w:rPr>
          <w:rFonts w:eastAsia="Arial"/>
          <w:vertAlign w:val="superscript"/>
        </w:rPr>
        <w:t>3</w:t>
      </w:r>
      <w:r w:rsidRPr="008608AA">
        <w:rPr>
          <w:rFonts w:eastAsia="Arial"/>
        </w:rPr>
        <w:t xml:space="preserve"> inhabitants</w:t>
      </w:r>
      <w:r w:rsidR="00F4570B" w:rsidRPr="008608AA">
        <w:rPr>
          <w:rFonts w:eastAsia="Arial"/>
        </w:rPr>
        <w:t xml:space="preserve"> per</w:t>
      </w:r>
      <w:r w:rsidRPr="008608AA">
        <w:rPr>
          <w:rFonts w:eastAsia="Arial"/>
        </w:rPr>
        <w:t xml:space="preserve"> year. The World Meteorological Organization cites that Mesoamerican countries have few real problems with water supply, using on average less than 10% of the available water resources.  However, countries like Mexico, Guatemala and El Salvador experience water shortages (IUCN 1999, </w:t>
      </w:r>
      <w:hyperlink r:id="rId978" w:tgtFrame="_blank" w:history="1">
        <w:r w:rsidRPr="008608AA">
          <w:rPr>
            <w:rStyle w:val="Hyperlink"/>
            <w:rFonts w:eastAsia="Arial"/>
          </w:rPr>
          <w:t>https://portals.iucn.org/library/efiles/documents/1999-012.pdf</w:t>
        </w:r>
      </w:hyperlink>
      <w:r w:rsidRPr="008608AA">
        <w:rPr>
          <w:rFonts w:eastAsia="Arial"/>
        </w:rPr>
        <w:t>). In Mexico, water shortages occur because water resources are not located close to human settlements, producing an imbalance between supply and demand and leading to overexploitation of aquifers and water transfer between basins (Arriaga et al., 2000). According to the National Water Commission Atlas (CONAGUA, 2012), 101 of the 282 most important aquifers are currently overexploited, mainly because of excessive water extraction for agricultural irrigation. These overexploited aquifers provide 49% of subterranean water. The most serious environmental impacts include droughts in semi-arid areas that reduce flow and its timing, saline intrusion into aquifers, and wetlands ecosystem deterioration (Ávila et al., 2005).</w:t>
      </w:r>
    </w:p>
    <w:p w14:paraId="14D29EAE" w14:textId="25984FB4" w:rsidR="001E61A6" w:rsidRPr="008608AA" w:rsidRDefault="001E61A6" w:rsidP="00CC6CB7">
      <w:pPr>
        <w:widowControl w:val="0"/>
        <w:tabs>
          <w:tab w:val="left" w:pos="220"/>
          <w:tab w:val="left" w:pos="720"/>
        </w:tabs>
        <w:autoSpaceDE w:val="0"/>
        <w:autoSpaceDN w:val="0"/>
        <w:adjustRightInd w:val="0"/>
        <w:spacing w:before="120"/>
      </w:pPr>
      <w:r w:rsidRPr="008608AA">
        <w:rPr>
          <w:rFonts w:eastAsia="Arial"/>
        </w:rPr>
        <w:t>Continuous groundwater pumping irreversibly affects natural water discharge flowing into aquatic ecosystems and riparian areas, even those that are far from mining areas. There are several cases in Mexico where the loss of fresh water that previously came from groundwater threatens the ecosystem. Such is the case of wetlands in Xochimilco, springs high Lerma and Aguascalientes, several major lakes in central Mexico (Chap</w:t>
      </w:r>
      <w:r w:rsidR="006F7534" w:rsidRPr="008608AA">
        <w:rPr>
          <w:rFonts w:eastAsia="Arial"/>
        </w:rPr>
        <w:t>ala, Cuitzeo and Patzcuaro) or w</w:t>
      </w:r>
      <w:r w:rsidRPr="008608AA">
        <w:rPr>
          <w:rFonts w:eastAsia="Arial"/>
        </w:rPr>
        <w:t xml:space="preserve">ildlife </w:t>
      </w:r>
      <w:r w:rsidR="006F7534" w:rsidRPr="008608AA">
        <w:rPr>
          <w:rFonts w:eastAsia="Arial"/>
        </w:rPr>
        <w:t>p</w:t>
      </w:r>
      <w:r w:rsidRPr="008608AA">
        <w:rPr>
          <w:rFonts w:eastAsia="Arial"/>
        </w:rPr>
        <w:t xml:space="preserve">rotected </w:t>
      </w:r>
      <w:r w:rsidR="006F7534" w:rsidRPr="008608AA">
        <w:rPr>
          <w:rFonts w:eastAsia="Arial"/>
        </w:rPr>
        <w:t>a</w:t>
      </w:r>
      <w:r w:rsidRPr="008608AA">
        <w:rPr>
          <w:rFonts w:eastAsia="Arial"/>
        </w:rPr>
        <w:t>rea Cuatrociénegas, among many others (Carabias et al., 2010).</w:t>
      </w:r>
    </w:p>
    <w:p w14:paraId="6F1E2E8F" w14:textId="3E8BB214" w:rsidR="001E61A6" w:rsidRPr="008608AA" w:rsidRDefault="001E61A6" w:rsidP="00CC6CB7">
      <w:pPr>
        <w:widowControl w:val="0"/>
        <w:tabs>
          <w:tab w:val="left" w:pos="220"/>
          <w:tab w:val="left" w:pos="720"/>
        </w:tabs>
        <w:autoSpaceDE w:val="0"/>
        <w:autoSpaceDN w:val="0"/>
        <w:adjustRightInd w:val="0"/>
        <w:spacing w:before="120"/>
      </w:pPr>
      <w:r w:rsidRPr="008608AA">
        <w:rPr>
          <w:rFonts w:eastAsia="Arial"/>
        </w:rPr>
        <w:t>In El Estor, a wetland area in Guatemala, only small wetland remnants remain; most wetlands in the area have been transformed to large-scale oil palm, sugar cane, and other crops, displacing communities and causing land conflicts among other problems (Guatemala Ramsar National Report</w:t>
      </w:r>
      <w:r w:rsidR="007E21E7" w:rsidRPr="008608AA">
        <w:rPr>
          <w:rFonts w:eastAsia="Arial"/>
        </w:rPr>
        <w:t>,</w:t>
      </w:r>
      <w:r w:rsidRPr="008608AA">
        <w:rPr>
          <w:rFonts w:eastAsia="Arial"/>
        </w:rPr>
        <w:t xml:space="preserve"> 2015). </w:t>
      </w:r>
    </w:p>
    <w:p w14:paraId="73ED0A60" w14:textId="62C6E3F9" w:rsidR="001E61A6" w:rsidRPr="008608AA" w:rsidRDefault="001E61A6" w:rsidP="00CC6CB7">
      <w:pPr>
        <w:widowControl w:val="0"/>
        <w:tabs>
          <w:tab w:val="left" w:pos="220"/>
          <w:tab w:val="left" w:pos="720"/>
        </w:tabs>
        <w:autoSpaceDE w:val="0"/>
        <w:autoSpaceDN w:val="0"/>
        <w:adjustRightInd w:val="0"/>
        <w:spacing w:before="120"/>
      </w:pPr>
      <w:r w:rsidRPr="008608AA">
        <w:rPr>
          <w:rFonts w:eastAsia="Arial"/>
        </w:rPr>
        <w:t>The Honduras Wetland Inventory (SERNA</w:t>
      </w:r>
      <w:r w:rsidR="007E21E7" w:rsidRPr="008608AA">
        <w:rPr>
          <w:rFonts w:eastAsia="Arial"/>
        </w:rPr>
        <w:t>,</w:t>
      </w:r>
      <w:r w:rsidRPr="008608AA">
        <w:rPr>
          <w:rFonts w:eastAsia="Arial"/>
        </w:rPr>
        <w:t xml:space="preserve"> 2009) notes that the most affected and currently endangered systems in Honduras are humid forests and the freshwater systems within them; due to replacement with monocultures like oil palm and banana or urban lands. Honduras has implemented agreements of understanding with the private sector to carry out international certification and develop programs of good practices considering the policy and strategy of cleaner production for oil palm because it is affecting large areas of wetlands in the country. On the other hand, regulations including subsidies and incentives promoting monocultures in protected areas are under review that will, in some cases, allow for excessive development within these areas (Honduras Ramsar National Report</w:t>
      </w:r>
      <w:r w:rsidR="007E21E7" w:rsidRPr="008608AA">
        <w:rPr>
          <w:rFonts w:eastAsia="Arial"/>
        </w:rPr>
        <w:t>,</w:t>
      </w:r>
      <w:r w:rsidRPr="008608AA">
        <w:rPr>
          <w:rFonts w:eastAsia="Arial"/>
        </w:rPr>
        <w:t xml:space="preserve"> 2015)</w:t>
      </w:r>
    </w:p>
    <w:p w14:paraId="67B3EA67" w14:textId="697ABB12" w:rsidR="001E61A6" w:rsidRPr="008608AA" w:rsidRDefault="001E61A6" w:rsidP="00CC6CB7">
      <w:pPr>
        <w:widowControl w:val="0"/>
        <w:tabs>
          <w:tab w:val="left" w:pos="220"/>
          <w:tab w:val="left" w:pos="720"/>
        </w:tabs>
        <w:autoSpaceDE w:val="0"/>
        <w:autoSpaceDN w:val="0"/>
        <w:adjustRightInd w:val="0"/>
        <w:spacing w:before="120"/>
        <w:rPr>
          <w:rFonts w:eastAsiaTheme="majorEastAsia"/>
        </w:rPr>
      </w:pPr>
      <w:r w:rsidRPr="008608AA">
        <w:rPr>
          <w:rFonts w:eastAsiaTheme="majorEastAsia"/>
        </w:rPr>
        <w:t>Mangroves in Mesoamerica are also threatened by deforestation and aquaculture. Mexico has 5.4% of the global extent of mangroves</w:t>
      </w:r>
      <w:r w:rsidRPr="008608AA">
        <w:rPr>
          <w:rFonts w:eastAsiaTheme="majorEastAsia"/>
          <w:b/>
        </w:rPr>
        <w:t xml:space="preserve"> </w:t>
      </w:r>
      <w:r w:rsidRPr="008608AA">
        <w:t xml:space="preserve">(Giri et al., 2011), </w:t>
      </w:r>
      <w:r w:rsidRPr="008608AA">
        <w:rPr>
          <w:rFonts w:eastAsiaTheme="majorEastAsia"/>
        </w:rPr>
        <w:t>but many of those forests are being replaced with</w:t>
      </w:r>
      <w:r w:rsidRPr="008608AA">
        <w:rPr>
          <w:rFonts w:eastAsiaTheme="majorEastAsia"/>
          <w:b/>
          <w:bCs/>
        </w:rPr>
        <w:t xml:space="preserve"> </w:t>
      </w:r>
      <w:r w:rsidRPr="008608AA">
        <w:rPr>
          <w:rFonts w:eastAsiaTheme="majorEastAsia"/>
        </w:rPr>
        <w:t>shrimp farms, agro-industrial plantations, or tourism enterprises.</w:t>
      </w:r>
      <w:r w:rsidRPr="008608AA">
        <w:rPr>
          <w:rFonts w:eastAsiaTheme="minorEastAsia"/>
          <w:color w:val="343434"/>
        </w:rPr>
        <w:t xml:space="preserve"> </w:t>
      </w:r>
      <w:r w:rsidRPr="008608AA">
        <w:rPr>
          <w:rFonts w:eastAsiaTheme="minorEastAsia"/>
        </w:rPr>
        <w:t xml:space="preserve">The threats to mangroves are similar </w:t>
      </w:r>
      <w:r w:rsidRPr="008608AA">
        <w:rPr>
          <w:rFonts w:eastAsiaTheme="majorEastAsia"/>
        </w:rPr>
        <w:t>along the Nicaraguan Pacific coast, which is unique as it marks the transition from dry to moist</w:t>
      </w:r>
      <w:r w:rsidR="006F7534" w:rsidRPr="008608AA">
        <w:rPr>
          <w:rFonts w:eastAsiaTheme="majorEastAsia"/>
        </w:rPr>
        <w:t>. The total destruction of the Estero Real m</w:t>
      </w:r>
      <w:r w:rsidRPr="008608AA">
        <w:rPr>
          <w:rFonts w:eastAsiaTheme="majorEastAsia"/>
        </w:rPr>
        <w:t>angrove in the Fonseca Gulf (between Nicaragua and El Salvador) is a clear example of the impact of uncontrolled shrimp-farm development in the region.</w:t>
      </w:r>
    </w:p>
    <w:p w14:paraId="3045EE8A" w14:textId="77777777" w:rsidR="00CC6CB7" w:rsidRPr="008608AA" w:rsidRDefault="00CC6CB7" w:rsidP="00CC6CB7">
      <w:pPr>
        <w:widowControl w:val="0"/>
        <w:tabs>
          <w:tab w:val="left" w:pos="220"/>
          <w:tab w:val="left" w:pos="720"/>
        </w:tabs>
        <w:autoSpaceDE w:val="0"/>
        <w:autoSpaceDN w:val="0"/>
        <w:adjustRightInd w:val="0"/>
        <w:spacing w:before="120"/>
        <w:rPr>
          <w:rFonts w:eastAsiaTheme="majorEastAsia"/>
        </w:rPr>
      </w:pPr>
    </w:p>
    <w:p w14:paraId="7C34500D" w14:textId="4895CB46" w:rsidR="001E61A6" w:rsidRPr="008608AA" w:rsidRDefault="001E61A6" w:rsidP="00CC6CB7">
      <w:pPr>
        <w:pStyle w:val="Heading4"/>
        <w:numPr>
          <w:ilvl w:val="0"/>
          <w:numId w:val="0"/>
        </w:numPr>
      </w:pPr>
      <w:bookmarkStart w:id="1478" w:name="_Toc517393344"/>
      <w:bookmarkStart w:id="1479" w:name="_Toc517394401"/>
      <w:bookmarkStart w:id="1480" w:name="_Toc517719085"/>
      <w:bookmarkStart w:id="1481" w:name="_Toc517797042"/>
      <w:r w:rsidRPr="008608AA">
        <w:t>Caribbean</w:t>
      </w:r>
      <w:bookmarkEnd w:id="1478"/>
      <w:bookmarkEnd w:id="1479"/>
      <w:bookmarkEnd w:id="1480"/>
      <w:bookmarkEnd w:id="1481"/>
      <w:r w:rsidRPr="008608AA">
        <w:t xml:space="preserve"> </w:t>
      </w:r>
    </w:p>
    <w:p w14:paraId="7DEFEC5E" w14:textId="71CB49CC" w:rsidR="001E61A6" w:rsidRPr="008608AA" w:rsidRDefault="001E61A6" w:rsidP="00CC6CB7">
      <w:pPr>
        <w:spacing w:before="120"/>
      </w:pPr>
      <w:r w:rsidRPr="008608AA">
        <w:t xml:space="preserve">Humid and dry tropical forests are increasing overall across the Caribbean as agriculture has declined. In Puerto Rico and the Lesser Antilles, forest cover has been increasing since the 1950s (Helmer et al., 2008a,b), starting with emigration to more developed countries after </w:t>
      </w:r>
      <w:r w:rsidR="006F7534" w:rsidRPr="008608AA">
        <w:t>the Second World War</w:t>
      </w:r>
      <w:r w:rsidRPr="008608AA">
        <w:t xml:space="preserve"> and continuing with emigration from rural to urban areas as local economies shifted from agriculture to industry and services.  This shift is largely the result of sugar cane cultivation becoming less profitable due to the rise of mechanized sugar cane cultivation in South America and cessation of European price supports for banana cultivation in the Lesser</w:t>
      </w:r>
      <w:r w:rsidR="00242F32" w:rsidRPr="008608AA">
        <w:t xml:space="preserve"> Antilles (Helmer et al., 2008b;</w:t>
      </w:r>
      <w:r w:rsidRPr="008608AA">
        <w:t xml:space="preserve"> Walters</w:t>
      </w:r>
      <w:r w:rsidR="00242F32" w:rsidRPr="008608AA">
        <w:t>,</w:t>
      </w:r>
      <w:r w:rsidRPr="008608AA">
        <w:t xml:space="preserve"> 2016). In a subset of four islands of the Lesser Antilles, cultivated land area declined 60-100% from 1950-2000, while forest cover increased 50-950% and urban land areas increased 90 to 2400% (Helmer et al., 2008b). Forest recovery will likely continue on islands like St. Kitts, Barbados, and Trinidad, where local government subsidies for sugar cane cultivation stopped only in the last decade (Helmer et al., 2008a, b; Helmer et al., 2012; Walters</w:t>
      </w:r>
      <w:r w:rsidR="00242F32" w:rsidRPr="008608AA">
        <w:t>,</w:t>
      </w:r>
      <w:r w:rsidRPr="008608AA">
        <w:t xml:space="preserve"> 2016).</w:t>
      </w:r>
    </w:p>
    <w:p w14:paraId="784BD6D8" w14:textId="77777777" w:rsidR="001E61A6" w:rsidRPr="008608AA" w:rsidRDefault="001E61A6" w:rsidP="00CC6CB7">
      <w:pPr>
        <w:spacing w:before="120"/>
      </w:pPr>
      <w:r w:rsidRPr="008608AA">
        <w:t xml:space="preserve">Forest recovery is most extensive in the least accessible places: at higher elevations, further from roads and urban centers, and in protected areas (Helmer et al., 2008a; Chai et al., 2009; Newman et al., 2014a). Deforestation and forest fragmentation continue in some places, including for small-scale agriculture where there is underemployment, when coffee prices are high, or in protected areas where protection is not enforced (Chai et al., 2009; Newman et al., 2014 a, b). Haiti, the poorest country in the Caribbean, lost forest cover from 2001-2010 (Alvarez-Berrios et al., 2013). </w:t>
      </w:r>
    </w:p>
    <w:p w14:paraId="107E10B0" w14:textId="7553A9AA" w:rsidR="001E61A6" w:rsidRPr="008608AA" w:rsidRDefault="001E61A6" w:rsidP="00CC6CB7">
      <w:pPr>
        <w:spacing w:before="120"/>
      </w:pPr>
      <w:r w:rsidRPr="008608AA">
        <w:t xml:space="preserve">In the Caribbean, expansion of tourism and urbanization drive land-cover change rather than agriculture and cattle ranching expansion. The attraction of Caribbean islands for the development of exclusive resorts and golf courses targeted at the North American and European markets drives this land-cover change. Such tourism development plus urbanization often most severely impact tropical dry forests on Caribbean islands, because these forests are located at lower elevations and in coastal areas (Helmer et al., 2008b; Portillo-Quintero </w:t>
      </w:r>
      <w:r w:rsidR="00242F32" w:rsidRPr="008608AA">
        <w:t>&amp;</w:t>
      </w:r>
      <w:r w:rsidRPr="008608AA">
        <w:t xml:space="preserve"> Sanchez-Azofeifa</w:t>
      </w:r>
      <w:r w:rsidR="00242F32" w:rsidRPr="008608AA">
        <w:t>,</w:t>
      </w:r>
      <w:r w:rsidRPr="008608AA">
        <w:t xml:space="preserve"> 2010; van Andel et al., 2016). </w:t>
      </w:r>
    </w:p>
    <w:p w14:paraId="4F52D8EC" w14:textId="2975546C" w:rsidR="001E61A6" w:rsidRPr="008608AA" w:rsidRDefault="001E61A6" w:rsidP="00CC6CB7">
      <w:pPr>
        <w:spacing w:before="120"/>
      </w:pPr>
      <w:r w:rsidRPr="008608AA">
        <w:t>Development also affects water quality in freshwater and coastal systems (see 4.4.2). In the Lesser Antilles, much of the urban and residential development is for tourism and for former emigrants returning to retire (Walters</w:t>
      </w:r>
      <w:r w:rsidR="00242F32" w:rsidRPr="008608AA">
        <w:t>,</w:t>
      </w:r>
      <w:r w:rsidRPr="008608AA">
        <w:t xml:space="preserve"> 2016). Mangrove area has declined in the Caribbean from 1980-2010 (Angelelli </w:t>
      </w:r>
      <w:r w:rsidR="00242F32" w:rsidRPr="008608AA">
        <w:t>&amp;</w:t>
      </w:r>
      <w:r w:rsidRPr="008608AA">
        <w:t xml:space="preserve"> Saffache</w:t>
      </w:r>
      <w:r w:rsidR="00242F32" w:rsidRPr="008608AA">
        <w:t>,</w:t>
      </w:r>
      <w:r w:rsidRPr="008608AA">
        <w:t xml:space="preserve"> 2013), and mangrove forests continue to undergo clearing for land development (Schleupner</w:t>
      </w:r>
      <w:r w:rsidR="00242F32" w:rsidRPr="008608AA">
        <w:t>,</w:t>
      </w:r>
      <w:r w:rsidRPr="008608AA">
        <w:t xml:space="preserve"> 2008); although, mangroves have recovered in some places where they were previously cleared for agriculture (Chinea </w:t>
      </w:r>
      <w:r w:rsidR="00242F32" w:rsidRPr="008608AA">
        <w:t>&amp;</w:t>
      </w:r>
      <w:r w:rsidRPr="008608AA">
        <w:t xml:space="preserve"> Agosto</w:t>
      </w:r>
      <w:r w:rsidR="00242F32" w:rsidRPr="008608AA">
        <w:t>,</w:t>
      </w:r>
      <w:r w:rsidRPr="008608AA">
        <w:t xml:space="preserve"> 2007). Cuba alone has 3.1% of the global extension of mangroves (Giri et al., 2011).</w:t>
      </w:r>
    </w:p>
    <w:p w14:paraId="3858BD49" w14:textId="77777777" w:rsidR="001E61A6" w:rsidRPr="008608AA" w:rsidRDefault="001E61A6" w:rsidP="00CC6CB7">
      <w:pPr>
        <w:spacing w:before="120"/>
      </w:pPr>
      <w:r w:rsidRPr="008608AA">
        <w:t xml:space="preserve">Over 180 million people live in or travel to coastal areas of the Caribbean Sea and Gulf of Mexico annually, not counting USA coastal areas. Urban habitats have been changing rapidly in the Caribbean, with unforeseen consequences on the quality of life. An important issue has been the rapid spread of diseases, like those borne by mosquito vectors. For example, in the municipality of San Juan, Puerto Rico, the incidence of dengue fever has increased along with sea surface temperatures and sea level, as more areas for breeding become available along the shoreline and because of increasing rainfall (Mendez-Lazaro et al., 2014). </w:t>
      </w:r>
    </w:p>
    <w:p w14:paraId="3F627468" w14:textId="6CBB9EA0" w:rsidR="001E61A6" w:rsidRPr="008608AA" w:rsidRDefault="001E61A6" w:rsidP="00CC6CB7">
      <w:pPr>
        <w:spacing w:before="120"/>
      </w:pPr>
      <w:r w:rsidRPr="008608AA">
        <w:t xml:space="preserve">Caribbean marine ecosystems are among the most severely impacted globally (Halpern et al., 2007), mainly due to impacts on coastal systems: mangroves, coral reefs, seagrass beds and beaches (see also section 4.4.2). Live coral cover declined by 80% in 25 years in the wider Caribbean to 2001 (Gardner et al., 2003), and further declined following mass coral bleaching in 2005 (Wilkinson </w:t>
      </w:r>
      <w:r w:rsidR="00980148" w:rsidRPr="008608AA">
        <w:t>&amp;</w:t>
      </w:r>
      <w:r w:rsidRPr="008608AA">
        <w:t xml:space="preserve"> Souter, 2008). </w:t>
      </w:r>
    </w:p>
    <w:p w14:paraId="3F18A049" w14:textId="77777777" w:rsidR="001E61A6" w:rsidRPr="008608AA" w:rsidRDefault="001E61A6" w:rsidP="00CC6CB7">
      <w:pPr>
        <w:pStyle w:val="Heading4"/>
        <w:numPr>
          <w:ilvl w:val="0"/>
          <w:numId w:val="0"/>
        </w:numPr>
        <w:spacing w:before="120" w:line="240" w:lineRule="auto"/>
      </w:pPr>
      <w:bookmarkStart w:id="1482" w:name="_Toc517393345"/>
      <w:bookmarkStart w:id="1483" w:name="_Toc517394402"/>
      <w:bookmarkStart w:id="1484" w:name="_Toc517719086"/>
      <w:bookmarkStart w:id="1485" w:name="_Toc517797043"/>
      <w:r w:rsidRPr="008608AA">
        <w:t>South America</w:t>
      </w:r>
      <w:bookmarkEnd w:id="1482"/>
      <w:bookmarkEnd w:id="1483"/>
      <w:bookmarkEnd w:id="1484"/>
      <w:bookmarkEnd w:id="1485"/>
    </w:p>
    <w:p w14:paraId="2EC9D694" w14:textId="73F37743" w:rsidR="001E61A6" w:rsidRPr="008608AA" w:rsidRDefault="001E61A6" w:rsidP="00CC6CB7">
      <w:pPr>
        <w:widowControl w:val="0"/>
        <w:tabs>
          <w:tab w:val="left" w:pos="220"/>
          <w:tab w:val="left" w:pos="720"/>
        </w:tabs>
        <w:autoSpaceDE w:val="0"/>
        <w:autoSpaceDN w:val="0"/>
        <w:adjustRightInd w:val="0"/>
        <w:spacing w:before="120"/>
        <w:rPr>
          <w:rFonts w:eastAsiaTheme="majorEastAsia"/>
        </w:rPr>
      </w:pPr>
      <w:r w:rsidRPr="008608AA">
        <w:rPr>
          <w:rFonts w:eastAsiaTheme="majorEastAsia"/>
        </w:rPr>
        <w:t>Net</w:t>
      </w:r>
      <w:r w:rsidR="00A01A41" w:rsidRPr="008608AA">
        <w:rPr>
          <w:rFonts w:eastAsiaTheme="majorEastAsia"/>
        </w:rPr>
        <w:t xml:space="preserve"> forest loss from 2010 to </w:t>
      </w:r>
      <w:r w:rsidRPr="008608AA">
        <w:rPr>
          <w:rFonts w:eastAsiaTheme="majorEastAsia"/>
        </w:rPr>
        <w:t xml:space="preserve">2015 in South America was dominated by forest loss in Brazil (984,000 </w:t>
      </w:r>
      <w:r w:rsidR="003F55F8" w:rsidRPr="008608AA">
        <w:rPr>
          <w:rFonts w:eastAsiaTheme="majorEastAsia"/>
        </w:rPr>
        <w:t>hectares per year</w:t>
      </w:r>
      <w:r w:rsidRPr="008608AA">
        <w:rPr>
          <w:rFonts w:eastAsiaTheme="majorEastAsia"/>
        </w:rPr>
        <w:t xml:space="preserve">) and, to a lesser extent, Paraguay (325, 000 </w:t>
      </w:r>
      <w:r w:rsidR="003F55F8" w:rsidRPr="008608AA">
        <w:rPr>
          <w:rFonts w:eastAsiaTheme="majorEastAsia"/>
        </w:rPr>
        <w:t>hectares per year</w:t>
      </w:r>
      <w:r w:rsidRPr="008608AA">
        <w:rPr>
          <w:rFonts w:eastAsiaTheme="majorEastAsia"/>
        </w:rPr>
        <w:t xml:space="preserve">), Argentina (297,000 </w:t>
      </w:r>
      <w:r w:rsidR="003F55F8" w:rsidRPr="008608AA">
        <w:rPr>
          <w:rFonts w:eastAsiaTheme="majorEastAsia"/>
        </w:rPr>
        <w:t>hectares per year</w:t>
      </w:r>
      <w:r w:rsidRPr="008608AA">
        <w:rPr>
          <w:rFonts w:eastAsiaTheme="majorEastAsia"/>
        </w:rPr>
        <w:t>), Bolivia (289,000</w:t>
      </w:r>
      <w:r w:rsidR="003F55F8" w:rsidRPr="008608AA">
        <w:rPr>
          <w:rFonts w:eastAsiaTheme="majorEastAsia"/>
        </w:rPr>
        <w:t xml:space="preserve"> hectares per year</w:t>
      </w:r>
      <w:r w:rsidRPr="008608AA">
        <w:rPr>
          <w:rFonts w:eastAsiaTheme="majorEastAsia"/>
        </w:rPr>
        <w:t xml:space="preserve">) and Peru (187,000 </w:t>
      </w:r>
      <w:r w:rsidR="003F55F8" w:rsidRPr="008608AA">
        <w:rPr>
          <w:rFonts w:eastAsiaTheme="majorEastAsia"/>
        </w:rPr>
        <w:t>hectares per year</w:t>
      </w:r>
      <w:r w:rsidRPr="008608AA">
        <w:rPr>
          <w:rFonts w:eastAsiaTheme="majorEastAsia"/>
        </w:rPr>
        <w:t xml:space="preserve">) </w:t>
      </w:r>
      <w:r w:rsidRPr="008608AA">
        <w:fldChar w:fldCharType="begin"/>
      </w:r>
      <w:r w:rsidRPr="008608AA">
        <w:instrText xml:space="preserve"> ADDIN EN.CITE &lt;EndNote&gt;&lt;Cite&gt;&lt;Author&gt;Keenan&lt;/Author&gt;&lt;Year&gt;2015&lt;/Year&gt;&lt;RecNum&gt;1985&lt;/RecNum&gt;&lt;DisplayText&gt;(Keenan et al. 2015)&lt;/DisplayText&gt;&lt;record&gt;&lt;rec-number&gt;1985&lt;/rec-number&gt;&lt;foreign-keys&gt;&lt;key app="EN" db-id="9pdpd99dqzvp05ewdz8x5pefrappvpeepxfw" timestamp="1449409167"&gt;1985&lt;/key&gt;&lt;/foreign-keys&gt;&lt;ref-type name="Journal Article"&gt;17&lt;/ref-type&gt;&lt;contributors&gt;&lt;authors&gt;&lt;author&gt;Keenan, Rodney J.&lt;/author&gt;&lt;author&gt;Reams, Gregory A.&lt;/author&gt;&lt;author&gt;Achard, Frédéric&lt;/author&gt;&lt;author&gt;de Freitas, Joberto V.&lt;/author&gt;&lt;author&gt;Grainger, Alan&lt;/author&gt;&lt;author&gt;Lindquist, Erik&lt;/author&gt;&lt;/authors&gt;&lt;/contributors&gt;&lt;titles&gt;&lt;title&gt;Dynamics of global forest area: Results from the FAO Global Forest Resources Assessment 2015&lt;/title&gt;&lt;secondary-title&gt;Forest Ecology and Management&lt;/secondary-title&gt;&lt;/titles&gt;&lt;periodical&gt;&lt;full-title&gt;Forest Ecology and Management&lt;/full-title&gt;&lt;abbr-1&gt;For Ecol Manag&lt;/abbr-1&gt;&lt;abbr-2&gt;For. Ecol. Manag.&lt;/abbr-2&gt;&lt;/periodical&gt;&lt;pages&gt;9-20&lt;/pages&gt;&lt;volume&gt;352&lt;/volume&gt;&lt;keywords&gt;&lt;keyword&gt;Forest&lt;/keyword&gt;&lt;keyword&gt;Deforestation&lt;/keyword&gt;&lt;keyword&gt;Forest transition&lt;/keyword&gt;&lt;keyword&gt;Land use&lt;/keyword&gt;&lt;keyword&gt;Land cover&lt;/keyword&gt;&lt;keyword&gt;Remote sensing&lt;/keyword&gt;&lt;/keywords&gt;&lt;dates&gt;&lt;year&gt;2015&lt;/year&gt;&lt;pub-dates&gt;&lt;date&gt;9/7/&lt;/date&gt;&lt;/pub-dates&gt;&lt;/dates&gt;&lt;isbn&gt;0378-1127&lt;/isbn&gt;&lt;urls&gt;&lt;related-urls&gt;&lt;url&gt;http://www.sciencedirect.com/science/article/pii/S0378112715003400&lt;/url&gt;&lt;/related-urls&gt;&lt;/urls&gt;&lt;electronic-resource-num&gt;http://dx.doi.org/10.1016/j.foreco.2015.06.014&lt;/electronic-resource-num&gt;&lt;/record&gt;&lt;/Cite&gt;&lt;/EndNote&gt;</w:instrText>
      </w:r>
      <w:r w:rsidRPr="008608AA">
        <w:fldChar w:fldCharType="separate"/>
      </w:r>
      <w:r w:rsidRPr="008608AA">
        <w:rPr>
          <w:rFonts w:eastAsiaTheme="majorEastAsia"/>
        </w:rPr>
        <w:t>(Keenan et al., 2015)</w:t>
      </w:r>
      <w:r w:rsidRPr="008608AA">
        <w:fldChar w:fldCharType="end"/>
      </w:r>
      <w:r w:rsidRPr="008608AA">
        <w:rPr>
          <w:rFonts w:eastAsiaTheme="majorEastAsia"/>
        </w:rPr>
        <w:t xml:space="preserve">. Despite the net loss of forest in South America, there has been a decline in the net rate of forest loss in some countries of the Americas (for example, in Brazil, the net loss rate between 2010 and 2015 was only 40% of that in the 1990s) and forest area increased in other countries in the last five years (for example, in Chile partly due to an increase in planted forest areas) </w:t>
      </w:r>
      <w:r w:rsidRPr="008608AA">
        <w:fldChar w:fldCharType="begin" w:fldLock="1"/>
      </w:r>
      <w:r w:rsidRPr="008608AA">
        <w:instrText>ADDIN CSL_CITATION { "citationItems" : [ { "id" : "ITEM-1", "itemData" : { "DOI" : "10.1016/j.foreco.2015.06.014", "ISBN" : "0378-1127", "ISSN" : "03781127", "PMID" : "17255001", "abstract" : "The area of land covered by forest and trees is an important indicator of environmental condition. This study presents and analyses results from the Global Forest Resources Assessment 2015 (FRA 2015) of the Food and Agriculture Organization of the United Nations. FRA 2015 was based on responses to surveys by individual countries using a common reporting framework, agreed definitions and reporting standards. Results indicated that total forest area declined by 3%, from 4128Mha in 1990 to 3999Mha in 2015. The annual rate of net forest loss halved from 7.3Mhay&lt;sup&gt;-1&lt;/sup&gt; in the 1990s to 3.3Mhay&lt;sup&gt;-1&lt;/sup&gt; between 2010 and 2015. Natural forest area declined from 3961Mha to 3721Mha between 1990 and 2015, while planted forest (including rubber plantations) increased from 168Mha to 278Mha. From 2010 to 2015, tropical forest area declined at a rate of 5.5Mhay&lt;sup&gt;-1&lt;/sup&gt; - only 58% of the rate in the 1990s - while temperate forest area expanded at a rate of 2.2Mhay&lt;sup&gt;-1&lt;/sup&gt;. Boreal and sub-tropical forest areas showed little net change. Forest area expanded in Europe, North America, the Caribbean, East Asia, and Western-Central Asia, but declined in Central America, South America, South and Southeast Asia and all three regions in Africa. Analysis indicates that, between 1990 and 2015, 13 tropical countries may have either passed through their forest transitions from net forest loss to net forest expansion, or continued along the path of forest expansion that follows these transitions. Comparing FRA 2015 statistics with the findings of global and pan-tropical remote-sensing forest area surveys was challenging, due to differences in assessment periods, the definitions of forest and remote sensing methods. More investment in national and global forest monitoring is needed to provide better support for international initiatives to increase sustainable forest management and reduce forest loss, particularly in tropical countries.", "author" : [ { "dropping-particle" : "", "family" : "Keenan", "given" : "Rodney J.", "non-dropping-particle" : "", "parse-names" : false, "suffix" : "" }, { "dropping-particle" : "", "family" : "Reams", "given" : "Gregory A.", "non-dropping-particle" : "", "parse-names" : false, "suffix" : "" }, { "dropping-particle" : "", "family" : "Achard", "given" : "Fr??d??ric", "non-dropping-particle" : "", "parse-names" : false, "suffix" : "" }, { "dropping-particle" : "V.", "family" : "Freitas", "given" : "Joberto", "non-dropping-particle" : "de", "parse-names" : false, "suffix" : "" }, { "dropping-particle" : "", "family" : "Grainger", "given" : "Alan", "non-dropping-particle" : "", "parse-names" : false, "suffix" : "" }, { "dropping-particle" : "", "family" : "Lindquist", "given" : "Erik", "non-dropping-particle" : "", "parse-names" : false, "suffix" : "" } ], "container-title" : "Forest Ecology and Management", "id" : "ITEM-1", "issued" : { "date-parts" : [ [ "2015" ] ] }, "page" : "9-20", "title" : "Dynamics of global forest area: Results from the FAO Global Forest Resources Assessment 2015", "type" : "article", "volume" : "352" }, "uris" : [ "http://www.mendeley.com/documents/?uuid=871d4fd9-84d3-4e40-8c71-ab8ba8f2e144" ] } ], "mendeley" : { "formattedCitation" : "(Keenan et al. 2015)", "plainTextFormattedCitation" : "(Keenan et al. 2015)", "previouslyFormattedCitation" : "(Keenan et al. 2015)" }, "properties" : { "noteIndex" : 0 }, "schema" : "https://github.com/citation-style-language/schema/raw/master/csl-citation.json" }</w:instrText>
      </w:r>
      <w:r w:rsidRPr="008608AA">
        <w:fldChar w:fldCharType="separate"/>
      </w:r>
      <w:r w:rsidRPr="008608AA">
        <w:rPr>
          <w:noProof/>
        </w:rPr>
        <w:t>(Keenan et al., 2015)</w:t>
      </w:r>
      <w:r w:rsidRPr="008608AA">
        <w:fldChar w:fldCharType="end"/>
      </w:r>
      <w:r w:rsidRPr="008608AA">
        <w:rPr>
          <w:rFonts w:eastAsiaTheme="majorEastAsia"/>
        </w:rPr>
        <w:t>.</w:t>
      </w:r>
    </w:p>
    <w:p w14:paraId="1039BF3D" w14:textId="7DF30989" w:rsidR="001E61A6" w:rsidRPr="008608AA" w:rsidRDefault="001E61A6" w:rsidP="00CC6CB7">
      <w:pPr>
        <w:widowControl w:val="0"/>
        <w:autoSpaceDE w:val="0"/>
        <w:autoSpaceDN w:val="0"/>
        <w:adjustRightInd w:val="0"/>
        <w:spacing w:before="120"/>
        <w:rPr>
          <w:rFonts w:eastAsiaTheme="majorEastAsia"/>
        </w:rPr>
      </w:pPr>
      <w:r w:rsidRPr="008608AA">
        <w:rPr>
          <w:rFonts w:eastAsiaTheme="majorEastAsia"/>
        </w:rPr>
        <w:t>Deforestation and degradation of tropical rainforest are important global issues due to their role in carbon emissions, biodiversity loss, and reduction of other ecosystem services (Foley et al</w:t>
      </w:r>
      <w:r w:rsidR="006F7534" w:rsidRPr="008608AA">
        <w:rPr>
          <w:rFonts w:eastAsiaTheme="majorEastAsia"/>
        </w:rPr>
        <w:t>.,</w:t>
      </w:r>
      <w:r w:rsidRPr="008608AA">
        <w:rPr>
          <w:rFonts w:eastAsiaTheme="majorEastAsia"/>
        </w:rPr>
        <w:t xml:space="preserve"> 2007). Of global gross forest cover loss from 2000 to 2012, 32% occurred within tropical rainforests (Hansen et al</w:t>
      </w:r>
      <w:r w:rsidR="00980148" w:rsidRPr="008608AA">
        <w:rPr>
          <w:rFonts w:eastAsiaTheme="majorEastAsia"/>
        </w:rPr>
        <w:t>.,</w:t>
      </w:r>
      <w:r w:rsidRPr="008608AA">
        <w:rPr>
          <w:rFonts w:eastAsiaTheme="majorEastAsia"/>
        </w:rPr>
        <w:t xml:space="preserve"> 2013). Almost half of rainforest loss was found in South America, </w:t>
      </w:r>
      <w:r w:rsidR="006F7534" w:rsidRPr="008608AA">
        <w:rPr>
          <w:rFonts w:eastAsiaTheme="majorEastAsia"/>
        </w:rPr>
        <w:t>primarily in the Amazon basin. Large-scale (e.g.</w:t>
      </w:r>
      <w:r w:rsidRPr="008608AA">
        <w:rPr>
          <w:rFonts w:eastAsiaTheme="majorEastAsia"/>
        </w:rPr>
        <w:t xml:space="preserve"> cattle ranching) and small-scale farming were historically the most significant drivers of deforestation in the Amazon. These farming activities resulted from favorable incentives received by cattle ranchers in the 1960s–1980s. More recently, the establishment of soy farming has become a land-demanding economic activity (Kirby et al., 2006; Rudel et al., 2009). Deforestation influences Amazonian fire regimes because it results in increased sources of ignition, increased forest edge lengths, and alterations of regional climates (Alencar </w:t>
      </w:r>
      <w:r w:rsidR="00221F93" w:rsidRPr="008608AA">
        <w:rPr>
          <w:rFonts w:eastAsiaTheme="majorEastAsia"/>
        </w:rPr>
        <w:t>et al.,</w:t>
      </w:r>
      <w:r w:rsidRPr="008608AA">
        <w:rPr>
          <w:rFonts w:eastAsiaTheme="majorEastAsia"/>
        </w:rPr>
        <w:t xml:space="preserve"> 2015). Droughts linked to the El Niño and human-related activities were associated with large forest fires (Alencar </w:t>
      </w:r>
      <w:r w:rsidR="00221F93" w:rsidRPr="008608AA">
        <w:rPr>
          <w:rFonts w:eastAsiaTheme="majorEastAsia"/>
        </w:rPr>
        <w:t>et al.,</w:t>
      </w:r>
      <w:r w:rsidR="00980148" w:rsidRPr="008608AA">
        <w:rPr>
          <w:rFonts w:eastAsiaTheme="majorEastAsia"/>
        </w:rPr>
        <w:t xml:space="preserve"> 2006;</w:t>
      </w:r>
      <w:r w:rsidRPr="008608AA">
        <w:rPr>
          <w:rFonts w:eastAsiaTheme="majorEastAsia"/>
        </w:rPr>
        <w:t xml:space="preserve"> Morton </w:t>
      </w:r>
      <w:r w:rsidR="00221F93" w:rsidRPr="008608AA">
        <w:rPr>
          <w:rFonts w:eastAsiaTheme="majorEastAsia"/>
        </w:rPr>
        <w:t>et al.,</w:t>
      </w:r>
      <w:r w:rsidRPr="008608AA">
        <w:rPr>
          <w:rFonts w:eastAsiaTheme="majorEastAsia"/>
        </w:rPr>
        <w:t xml:space="preserve"> 2013). If climate change and increased forest degradation continue, fires may burn more frequently and expand to larger areas, perhaps including landscapes that otherwise are fire resistant (Alencar </w:t>
      </w:r>
      <w:r w:rsidR="00221F93" w:rsidRPr="008608AA">
        <w:rPr>
          <w:rFonts w:eastAsiaTheme="majorEastAsia"/>
        </w:rPr>
        <w:t>et al.,</w:t>
      </w:r>
      <w:r w:rsidRPr="008608AA">
        <w:rPr>
          <w:rFonts w:eastAsiaTheme="majorEastAsia"/>
        </w:rPr>
        <w:t xml:space="preserve"> 2015).</w:t>
      </w:r>
    </w:p>
    <w:p w14:paraId="126A47FA" w14:textId="2C9D48DF" w:rsidR="001E61A6" w:rsidRPr="008608AA" w:rsidRDefault="001E61A6" w:rsidP="00CC6CB7">
      <w:pPr>
        <w:widowControl w:val="0"/>
        <w:autoSpaceDE w:val="0"/>
        <w:autoSpaceDN w:val="0"/>
        <w:adjustRightInd w:val="0"/>
        <w:spacing w:before="120"/>
        <w:rPr>
          <w:rFonts w:eastAsiaTheme="majorEastAsia"/>
        </w:rPr>
      </w:pPr>
      <w:r w:rsidRPr="008608AA">
        <w:rPr>
          <w:rFonts w:eastAsiaTheme="majorEastAsia"/>
        </w:rPr>
        <w:t>Together with lowland tropical forests, mountain areas represent an important percentage of South America (Armenteras et al., 2011). Andean forests are particularly susceptible and highly vulnerable to climate change because of their location on steep slopes and because of their altitudinal and climatic gradients (Karmalkar et al., 2008). In addition to climate change, tropical mountains are subject to high pressure from other natural and anthropogenic drivers of change like land use and land cover change, soil erosion, landslides and habitat d</w:t>
      </w:r>
      <w:r w:rsidR="00980148" w:rsidRPr="008608AA">
        <w:rPr>
          <w:rFonts w:eastAsiaTheme="majorEastAsia"/>
        </w:rPr>
        <w:t>estruction (Achard et al., 2002; Bush et al., 2004</w:t>
      </w:r>
      <w:r w:rsidRPr="008608AA">
        <w:rPr>
          <w:rFonts w:eastAsiaTheme="majorEastAsia"/>
        </w:rPr>
        <w:t xml:space="preserve">; </w:t>
      </w:r>
      <w:r w:rsidRPr="008608AA">
        <w:rPr>
          <w:rFonts w:eastAsiaTheme="majorEastAsia"/>
        </w:rPr>
        <w:fldChar w:fldCharType="begin" w:fldLock="1"/>
      </w:r>
      <w:r w:rsidRPr="008608AA">
        <w:rPr>
          <w:rFonts w:eastAsiaTheme="majorEastAsia"/>
        </w:rPr>
        <w:instrText>ADDIN CSL_CITATION { "citationItems" : [ { "id" : "ITEM-1", "itemData" : { "author" : [ { "dropping-particle" : "", "family" : "Grau", "given" : "H. Ricardo", "non-dropping-particle" : "", "parse-names" : false, "suffix" : "" }, { "dropping-particle" : "", "family" : "Aide", "given" : "Mitchell", "non-dropping-particle" : "", "parse-names" : false, "suffix" : "" } ], "container-title" : "Ecology And Society", "id" : "ITEM-1", "issue" : "2", "issued" : { "date-parts" : [ [ "2008" ] ] }, "title" : "Grau and Aide 2008", "type" : "article-journal", "volume" : "13" }, "uris" : [ "http://www.mendeley.com/documents/?uuid=a7de4621-a8e1-3973-bf73-6d8a4fb22f5f" ] } ], "mendeley" : { "formattedCitation" : "(Grau and Aide 2008)", "manualFormatting" : "Grau and Aide 2008)", "plainTextFormattedCitation" : "(Grau and Aide 2008)", "previouslyFormattedCitation" : "(Grau and Aide 2008)"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 xml:space="preserve">Grau </w:t>
      </w:r>
      <w:r w:rsidR="00980148" w:rsidRPr="008608AA">
        <w:rPr>
          <w:rFonts w:eastAsiaTheme="majorEastAsia"/>
          <w:noProof/>
        </w:rPr>
        <w:t>&amp;</w:t>
      </w:r>
      <w:r w:rsidRPr="008608AA">
        <w:rPr>
          <w:rFonts w:eastAsiaTheme="majorEastAsia"/>
          <w:noProof/>
        </w:rPr>
        <w:t xml:space="preserve"> Aide</w:t>
      </w:r>
      <w:r w:rsidR="00980148" w:rsidRPr="008608AA">
        <w:rPr>
          <w:rFonts w:eastAsiaTheme="majorEastAsia"/>
          <w:noProof/>
        </w:rPr>
        <w:t>,</w:t>
      </w:r>
      <w:r w:rsidRPr="008608AA">
        <w:rPr>
          <w:rFonts w:eastAsiaTheme="majorEastAsia"/>
          <w:noProof/>
        </w:rPr>
        <w:t xml:space="preserve"> 2008)</w:t>
      </w:r>
      <w:r w:rsidRPr="008608AA">
        <w:rPr>
          <w:rFonts w:eastAsiaTheme="majorEastAsia"/>
        </w:rPr>
        <w:fldChar w:fldCharType="end"/>
      </w:r>
      <w:r w:rsidRPr="008608AA">
        <w:rPr>
          <w:rFonts w:eastAsiaTheme="majorEastAsia"/>
        </w:rPr>
        <w:t>.</w:t>
      </w:r>
    </w:p>
    <w:p w14:paraId="1257F9DF" w14:textId="536EDC12" w:rsidR="001E61A6" w:rsidRPr="008608AA" w:rsidRDefault="001E61A6" w:rsidP="00CC6CB7">
      <w:pPr>
        <w:spacing w:before="120"/>
      </w:pPr>
      <w:r w:rsidRPr="008608AA">
        <w:t>Together with Mexico, Brazil and Bolivia harbor the largest and best-preserved tropical dry forest fragments. The Chiquitano dry forests of Bolivia and Brazil alone extend over 142,941 km</w:t>
      </w:r>
      <w:r w:rsidRPr="008608AA">
        <w:rPr>
          <w:vertAlign w:val="superscript"/>
        </w:rPr>
        <w:t>2</w:t>
      </w:r>
      <w:r w:rsidRPr="008608AA">
        <w:t xml:space="preserve"> (27.5% of total dry forest area in the region) (Portillo-Quintero </w:t>
      </w:r>
      <w:r w:rsidR="00980148" w:rsidRPr="008608AA">
        <w:t>&amp;</w:t>
      </w:r>
      <w:r w:rsidRPr="008608AA">
        <w:t xml:space="preserve"> Sánchez-Azofeifa, 2010). Of the 23,000 km</w:t>
      </w:r>
      <w:r w:rsidRPr="008608AA">
        <w:rPr>
          <w:vertAlign w:val="superscript"/>
        </w:rPr>
        <w:t>2</w:t>
      </w:r>
      <w:r w:rsidRPr="008608AA">
        <w:t xml:space="preserve"> of dry forest under legal protection, 15,000 km</w:t>
      </w:r>
      <w:r w:rsidRPr="008608AA">
        <w:rPr>
          <w:vertAlign w:val="superscript"/>
        </w:rPr>
        <w:t>2</w:t>
      </w:r>
      <w:r w:rsidRPr="008608AA">
        <w:t xml:space="preserve"> are in Bolivia and Brazil. In fact, Bolivia protects 10,609 km</w:t>
      </w:r>
      <w:r w:rsidRPr="008608AA">
        <w:rPr>
          <w:vertAlign w:val="superscript"/>
        </w:rPr>
        <w:t>2</w:t>
      </w:r>
      <w:r w:rsidRPr="008608AA">
        <w:t xml:space="preserve"> of dry forests, including 7</w:t>
      </w:r>
      <w:r w:rsidR="00A01A41" w:rsidRPr="008608AA">
        <w:t>,</w:t>
      </w:r>
      <w:r w:rsidRPr="008608AA">
        <w:t>600 km</w:t>
      </w:r>
      <w:r w:rsidRPr="008608AA">
        <w:rPr>
          <w:vertAlign w:val="superscript"/>
        </w:rPr>
        <w:t>2</w:t>
      </w:r>
      <w:r w:rsidRPr="008608AA">
        <w:t xml:space="preserve"> in a single park. In other countries, like Ecuador and Peru, however, low extent and high fragmentation of dry forests were observed.</w:t>
      </w:r>
    </w:p>
    <w:p w14:paraId="54198E64" w14:textId="26E5BD86" w:rsidR="001E61A6" w:rsidRPr="008608AA" w:rsidRDefault="001E61A6" w:rsidP="00CC6CB7">
      <w:pPr>
        <w:widowControl w:val="0"/>
        <w:autoSpaceDE w:val="0"/>
        <w:autoSpaceDN w:val="0"/>
        <w:adjustRightInd w:val="0"/>
        <w:spacing w:before="120"/>
        <w:rPr>
          <w:rFonts w:eastAsiaTheme="majorEastAsia"/>
        </w:rPr>
      </w:pPr>
      <w:r w:rsidRPr="008608AA">
        <w:rPr>
          <w:rFonts w:eastAsiaTheme="majorEastAsia"/>
        </w:rPr>
        <w:t>Woodlands and savannas</w:t>
      </w:r>
      <w:r w:rsidRPr="008608AA">
        <w:rPr>
          <w:rFonts w:eastAsiaTheme="majorEastAsia"/>
          <w:b/>
        </w:rPr>
        <w:t xml:space="preserve"> </w:t>
      </w:r>
      <w:r w:rsidRPr="008608AA">
        <w:rPr>
          <w:rFonts w:eastAsiaTheme="majorEastAsia"/>
        </w:rPr>
        <w:t>in South America are a</w:t>
      </w:r>
      <w:r w:rsidRPr="008608AA">
        <w:t>lso under strong conversion rates</w:t>
      </w:r>
      <w:r w:rsidRPr="008608AA">
        <w:rPr>
          <w:rFonts w:eastAsiaTheme="majorEastAsia"/>
        </w:rPr>
        <w:t xml:space="preserve"> related to the expansion of soybean and pasture (Barona et al</w:t>
      </w:r>
      <w:r w:rsidR="00980148" w:rsidRPr="008608AA">
        <w:rPr>
          <w:rFonts w:eastAsiaTheme="majorEastAsia"/>
        </w:rPr>
        <w:t>.,</w:t>
      </w:r>
      <w:r w:rsidRPr="008608AA">
        <w:rPr>
          <w:rFonts w:eastAsiaTheme="majorEastAsia"/>
        </w:rPr>
        <w:t xml:space="preserve"> 2010). The Brazilian Cerrado is the second largest biome in South America and is considered a biodiversity hotspot. By 2010, approximately 50% of the original vegetative cover of the Brazilian Cerrado has been converted. Land use changes in the Cerrado, often coupled with increased fire frequency and invasion of exotic species, have generated profound changes in the vegetation structure and functioning of these ecosystems (Bustamante et al., 2012). Alterations in land cover from natural to rural and urban are also changing stream water chemistry in the Cerrado (Silva et al., 2011).</w:t>
      </w:r>
    </w:p>
    <w:p w14:paraId="73787CE0" w14:textId="7D97F0E4" w:rsidR="001E61A6" w:rsidRDefault="001E61A6" w:rsidP="00CC6CB7">
      <w:pPr>
        <w:widowControl w:val="0"/>
        <w:tabs>
          <w:tab w:val="left" w:pos="220"/>
          <w:tab w:val="left" w:pos="720"/>
        </w:tabs>
        <w:autoSpaceDE w:val="0"/>
        <w:autoSpaceDN w:val="0"/>
        <w:adjustRightInd w:val="0"/>
        <w:spacing w:before="120"/>
        <w:rPr>
          <w:rFonts w:eastAsiaTheme="majorEastAsia"/>
          <w:lang w:val="es-ES"/>
        </w:rPr>
      </w:pPr>
      <w:r w:rsidRPr="008608AA">
        <w:rPr>
          <w:rFonts w:eastAsiaTheme="majorEastAsia"/>
        </w:rPr>
        <w:t>Fire is an important factor in maintaining grassland ecosystems. It prevents woody encroachment, removes dead herbaceous material, and recycles nutrients. Without fire, organic matter and litter would accumulate and tree densities would increase, leading eventually to forested areas. The timing, frequency, and intensity of fires determine specific effects of these events on the functioning of grassland ecosystems. Indigenous people in the Cerrado region have been using fire for multiple purposes (</w:t>
      </w:r>
      <w:r w:rsidRPr="008608AA">
        <w:rPr>
          <w:rFonts w:eastAsiaTheme="majorEastAsia"/>
          <w:b/>
        </w:rPr>
        <w:fldChar w:fldCharType="begin"/>
      </w:r>
      <w:r w:rsidRPr="008608AA">
        <w:rPr>
          <w:rFonts w:eastAsiaTheme="majorEastAsia"/>
        </w:rPr>
        <w:instrText xml:space="preserve"> REF _Ref494457072 \h </w:instrText>
      </w:r>
      <w:r w:rsidRPr="008608AA">
        <w:rPr>
          <w:rFonts w:eastAsiaTheme="majorEastAsia"/>
          <w:b/>
        </w:rPr>
        <w:instrText xml:space="preserve"> \* MERGEFORMAT </w:instrText>
      </w:r>
      <w:r w:rsidRPr="008608AA">
        <w:rPr>
          <w:rFonts w:eastAsiaTheme="majorEastAsia"/>
          <w:b/>
        </w:rPr>
      </w:r>
      <w:r w:rsidRPr="008608AA">
        <w:rPr>
          <w:rFonts w:eastAsiaTheme="majorEastAsia"/>
          <w:b/>
        </w:rPr>
        <w:fldChar w:fldCharType="separate"/>
      </w:r>
      <w:r w:rsidR="00402074" w:rsidRPr="00402074">
        <w:rPr>
          <w:rFonts w:eastAsiaTheme="majorEastAsia"/>
          <w:bCs/>
        </w:rPr>
        <w:t xml:space="preserve">¡Error! </w:t>
      </w:r>
      <w:r w:rsidR="00402074">
        <w:rPr>
          <w:rFonts w:eastAsiaTheme="majorEastAsia"/>
          <w:bCs/>
          <w:lang w:val="es-ES"/>
        </w:rPr>
        <w:t>No se encuentra el origen de la referencia.</w:t>
      </w:r>
      <w:r w:rsidRPr="008608AA">
        <w:rPr>
          <w:rFonts w:eastAsiaTheme="majorEastAsia"/>
          <w:b/>
        </w:rPr>
        <w:fldChar w:fldCharType="end"/>
      </w:r>
      <w:r w:rsidR="00165F74" w:rsidRPr="00A3137A">
        <w:rPr>
          <w:rFonts w:eastAsiaTheme="majorEastAsia"/>
          <w:b/>
          <w:lang w:val="es-ES"/>
        </w:rPr>
        <w:t xml:space="preserve"> </w:t>
      </w:r>
      <w:r w:rsidR="00165F74" w:rsidRPr="00A3137A">
        <w:rPr>
          <w:rFonts w:eastAsiaTheme="majorEastAsia"/>
          <w:lang w:val="es-ES"/>
        </w:rPr>
        <w:t>and Box 4.10)</w:t>
      </w:r>
      <w:r w:rsidRPr="00A3137A">
        <w:rPr>
          <w:rFonts w:eastAsiaTheme="majorEastAsia"/>
          <w:lang w:val="es-ES"/>
        </w:rPr>
        <w:t xml:space="preserve">. </w:t>
      </w:r>
    </w:p>
    <w:p w14:paraId="6858BB9F" w14:textId="00863A85" w:rsidR="00A26FD5" w:rsidRDefault="00A26FD5" w:rsidP="00CC6CB7">
      <w:pPr>
        <w:widowControl w:val="0"/>
        <w:tabs>
          <w:tab w:val="left" w:pos="220"/>
          <w:tab w:val="left" w:pos="720"/>
        </w:tabs>
        <w:autoSpaceDE w:val="0"/>
        <w:autoSpaceDN w:val="0"/>
        <w:adjustRightInd w:val="0"/>
        <w:spacing w:before="120"/>
        <w:rPr>
          <w:rFonts w:eastAsiaTheme="majorEastAsia"/>
          <w:lang w:val="es-ES"/>
        </w:rPr>
      </w:pPr>
    </w:p>
    <w:p w14:paraId="387FBE5C" w14:textId="0242B907" w:rsidR="00A26FD5" w:rsidRDefault="00A26FD5" w:rsidP="00CC6CB7">
      <w:pPr>
        <w:widowControl w:val="0"/>
        <w:tabs>
          <w:tab w:val="left" w:pos="220"/>
          <w:tab w:val="left" w:pos="720"/>
        </w:tabs>
        <w:autoSpaceDE w:val="0"/>
        <w:autoSpaceDN w:val="0"/>
        <w:adjustRightInd w:val="0"/>
        <w:spacing w:before="120"/>
        <w:rPr>
          <w:rFonts w:eastAsiaTheme="majorEastAsia"/>
          <w:lang w:val="es-ES"/>
        </w:rPr>
      </w:pPr>
    </w:p>
    <w:p w14:paraId="54C0FFA8" w14:textId="6D83A3AC" w:rsidR="00A26FD5" w:rsidRDefault="00A26FD5" w:rsidP="00CC6CB7">
      <w:pPr>
        <w:widowControl w:val="0"/>
        <w:tabs>
          <w:tab w:val="left" w:pos="220"/>
          <w:tab w:val="left" w:pos="720"/>
        </w:tabs>
        <w:autoSpaceDE w:val="0"/>
        <w:autoSpaceDN w:val="0"/>
        <w:adjustRightInd w:val="0"/>
        <w:spacing w:before="120"/>
        <w:rPr>
          <w:rFonts w:eastAsiaTheme="majorEastAsia"/>
          <w:lang w:val="es-ES"/>
        </w:rPr>
      </w:pPr>
    </w:p>
    <w:p w14:paraId="6E2B009B" w14:textId="2BCF5125" w:rsidR="00A26FD5" w:rsidRDefault="00A26FD5" w:rsidP="00CC6CB7">
      <w:pPr>
        <w:widowControl w:val="0"/>
        <w:tabs>
          <w:tab w:val="left" w:pos="220"/>
          <w:tab w:val="left" w:pos="720"/>
        </w:tabs>
        <w:autoSpaceDE w:val="0"/>
        <w:autoSpaceDN w:val="0"/>
        <w:adjustRightInd w:val="0"/>
        <w:spacing w:before="120"/>
        <w:rPr>
          <w:rFonts w:eastAsiaTheme="majorEastAsia"/>
          <w:lang w:val="es-ES"/>
        </w:rPr>
      </w:pPr>
    </w:p>
    <w:p w14:paraId="4B68C697" w14:textId="42AC6E9B" w:rsidR="00286530" w:rsidRDefault="00286530" w:rsidP="00CC6CB7">
      <w:pPr>
        <w:widowControl w:val="0"/>
        <w:tabs>
          <w:tab w:val="left" w:pos="220"/>
          <w:tab w:val="left" w:pos="720"/>
        </w:tabs>
        <w:autoSpaceDE w:val="0"/>
        <w:autoSpaceDN w:val="0"/>
        <w:adjustRightInd w:val="0"/>
        <w:spacing w:before="120"/>
        <w:rPr>
          <w:rFonts w:eastAsiaTheme="majorEastAsia"/>
          <w:lang w:val="es-ES"/>
        </w:rPr>
      </w:pPr>
    </w:p>
    <w:p w14:paraId="6C1C1084" w14:textId="77777777" w:rsidR="00286530" w:rsidRDefault="00286530" w:rsidP="00CC6CB7">
      <w:pPr>
        <w:widowControl w:val="0"/>
        <w:tabs>
          <w:tab w:val="left" w:pos="220"/>
          <w:tab w:val="left" w:pos="720"/>
        </w:tabs>
        <w:autoSpaceDE w:val="0"/>
        <w:autoSpaceDN w:val="0"/>
        <w:adjustRightInd w:val="0"/>
        <w:spacing w:before="120"/>
        <w:rPr>
          <w:rFonts w:eastAsiaTheme="majorEastAsia"/>
          <w:lang w:val="es-ES"/>
        </w:rPr>
      </w:pPr>
    </w:p>
    <w:p w14:paraId="5A5B25CE" w14:textId="7B59A23E" w:rsidR="00A26FD5" w:rsidRDefault="00A26FD5" w:rsidP="00CC6CB7">
      <w:pPr>
        <w:widowControl w:val="0"/>
        <w:tabs>
          <w:tab w:val="left" w:pos="220"/>
          <w:tab w:val="left" w:pos="720"/>
        </w:tabs>
        <w:autoSpaceDE w:val="0"/>
        <w:autoSpaceDN w:val="0"/>
        <w:adjustRightInd w:val="0"/>
        <w:spacing w:before="120"/>
        <w:rPr>
          <w:rFonts w:eastAsiaTheme="majorEastAsia"/>
          <w:lang w:val="es-ES"/>
        </w:rPr>
      </w:pPr>
    </w:p>
    <w:p w14:paraId="38B20DCC" w14:textId="406BDD6C" w:rsidR="00A26FD5" w:rsidRDefault="00A26FD5" w:rsidP="00CC6CB7">
      <w:pPr>
        <w:widowControl w:val="0"/>
        <w:tabs>
          <w:tab w:val="left" w:pos="220"/>
          <w:tab w:val="left" w:pos="720"/>
        </w:tabs>
        <w:autoSpaceDE w:val="0"/>
        <w:autoSpaceDN w:val="0"/>
        <w:adjustRightInd w:val="0"/>
        <w:spacing w:before="120"/>
        <w:rPr>
          <w:rFonts w:eastAsiaTheme="majorEastAsia"/>
          <w:lang w:val="es-ES"/>
        </w:rPr>
      </w:pPr>
    </w:p>
    <w:p w14:paraId="051A4856" w14:textId="77777777" w:rsidR="00A26FD5" w:rsidRPr="00A3137A" w:rsidRDefault="00A26FD5" w:rsidP="00CC6CB7">
      <w:pPr>
        <w:widowControl w:val="0"/>
        <w:tabs>
          <w:tab w:val="left" w:pos="220"/>
          <w:tab w:val="left" w:pos="720"/>
        </w:tabs>
        <w:autoSpaceDE w:val="0"/>
        <w:autoSpaceDN w:val="0"/>
        <w:adjustRightInd w:val="0"/>
        <w:spacing w:before="120"/>
        <w:rPr>
          <w:rFonts w:eastAsiaTheme="majorEastAsia"/>
          <w:lang w:val="es-ES"/>
        </w:rPr>
      </w:pPr>
    </w:p>
    <w:p w14:paraId="244F73EB" w14:textId="507A2F6C" w:rsidR="00C16801" w:rsidRPr="008608AA" w:rsidRDefault="00CC6CB7" w:rsidP="00CC6CB7">
      <w:pPr>
        <w:pStyle w:val="Caption"/>
      </w:pPr>
      <w:bookmarkStart w:id="1486" w:name="_Toc494482726"/>
      <w:bookmarkStart w:id="1487" w:name="_Toc499459695"/>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12</w:t>
      </w:r>
      <w:r w:rsidR="000E562E">
        <w:rPr>
          <w:noProof/>
        </w:rPr>
        <w:fldChar w:fldCharType="end"/>
      </w:r>
      <w:r w:rsidRPr="008608AA">
        <w:t xml:space="preserve">. </w:t>
      </w:r>
      <w:r w:rsidR="00A01A41" w:rsidRPr="008608AA">
        <w:t>The different burning regimes u</w:t>
      </w:r>
      <w:r w:rsidR="00C16801" w:rsidRPr="008608AA">
        <w:t xml:space="preserve">sed by </w:t>
      </w:r>
      <w:r w:rsidR="00A01A41" w:rsidRPr="008608AA">
        <w:t xml:space="preserve">the Krahˆo. Source: Mistry </w:t>
      </w:r>
      <w:r w:rsidR="00A01A41" w:rsidRPr="008608AA">
        <w:rPr>
          <w:i/>
        </w:rPr>
        <w:t>et al.</w:t>
      </w:r>
      <w:r w:rsidR="00C16801" w:rsidRPr="008608AA">
        <w:t xml:space="preserve"> </w:t>
      </w:r>
      <w:r w:rsidR="00A01A41" w:rsidRPr="008608AA">
        <w:t>(</w:t>
      </w:r>
      <w:r w:rsidR="00C16801" w:rsidRPr="008608AA">
        <w:t>2005).</w:t>
      </w:r>
      <w:bookmarkEnd w:id="1486"/>
      <w:bookmarkEnd w:id="1487"/>
    </w:p>
    <w:tbl>
      <w:tblPr>
        <w:tblStyle w:val="TableGrid"/>
        <w:tblW w:w="4726" w:type="pct"/>
        <w:tblLook w:val="04A0" w:firstRow="1" w:lastRow="0" w:firstColumn="1" w:lastColumn="0" w:noHBand="0" w:noVBand="1"/>
      </w:tblPr>
      <w:tblGrid>
        <w:gridCol w:w="3685"/>
        <w:gridCol w:w="5282"/>
      </w:tblGrid>
      <w:tr w:rsidR="00C16801" w:rsidRPr="00A26FD5" w14:paraId="12DB3E01" w14:textId="77777777" w:rsidTr="00CC6CB7">
        <w:tc>
          <w:tcPr>
            <w:tcW w:w="5000" w:type="pct"/>
            <w:gridSpan w:val="2"/>
            <w:shd w:val="clear" w:color="auto" w:fill="BFBFBF" w:themeFill="background1" w:themeFillShade="BF"/>
          </w:tcPr>
          <w:p w14:paraId="171EC794" w14:textId="77777777" w:rsidR="00C16801" w:rsidRPr="00A26FD5" w:rsidRDefault="00C16801" w:rsidP="00596E28">
            <w:pPr>
              <w:rPr>
                <w:b/>
                <w:szCs w:val="22"/>
              </w:rPr>
            </w:pPr>
            <w:r w:rsidRPr="00A26FD5">
              <w:rPr>
                <w:b/>
                <w:szCs w:val="22"/>
              </w:rPr>
              <w:t>Burning regimes for different purposes</w:t>
            </w:r>
          </w:p>
        </w:tc>
      </w:tr>
      <w:tr w:rsidR="00C16801" w:rsidRPr="00A26FD5" w14:paraId="5BC5C904" w14:textId="77777777" w:rsidTr="00CC6CB7">
        <w:tc>
          <w:tcPr>
            <w:tcW w:w="2055" w:type="pct"/>
            <w:shd w:val="clear" w:color="auto" w:fill="BFBFBF" w:themeFill="background1" w:themeFillShade="BF"/>
          </w:tcPr>
          <w:p w14:paraId="7FE6598B" w14:textId="77777777" w:rsidR="00C16801" w:rsidRPr="00A26FD5" w:rsidRDefault="00C16801" w:rsidP="00596E28">
            <w:pPr>
              <w:widowControl w:val="0"/>
              <w:autoSpaceDE w:val="0"/>
              <w:autoSpaceDN w:val="0"/>
              <w:adjustRightInd w:val="0"/>
              <w:rPr>
                <w:b/>
                <w:szCs w:val="22"/>
              </w:rPr>
            </w:pPr>
            <w:r w:rsidRPr="00A26FD5">
              <w:rPr>
                <w:b/>
                <w:szCs w:val="22"/>
              </w:rPr>
              <w:t>Protection of roça (swidden plots)</w:t>
            </w:r>
          </w:p>
        </w:tc>
        <w:tc>
          <w:tcPr>
            <w:tcW w:w="2945" w:type="pct"/>
          </w:tcPr>
          <w:p w14:paraId="430617A4" w14:textId="77777777" w:rsidR="00C16801" w:rsidRPr="00A26FD5" w:rsidRDefault="00C16801" w:rsidP="00596E28">
            <w:pPr>
              <w:widowControl w:val="0"/>
              <w:autoSpaceDE w:val="0"/>
              <w:autoSpaceDN w:val="0"/>
              <w:adjustRightInd w:val="0"/>
              <w:rPr>
                <w:szCs w:val="22"/>
              </w:rPr>
            </w:pPr>
            <w:r w:rsidRPr="00A26FD5">
              <w:rPr>
                <w:szCs w:val="22"/>
              </w:rPr>
              <w:t>Early dry season, around April/May</w:t>
            </w:r>
          </w:p>
        </w:tc>
      </w:tr>
      <w:tr w:rsidR="00C16801" w:rsidRPr="00A26FD5" w14:paraId="74313F4F" w14:textId="77777777" w:rsidTr="00CC6CB7">
        <w:tc>
          <w:tcPr>
            <w:tcW w:w="2055" w:type="pct"/>
            <w:shd w:val="clear" w:color="auto" w:fill="BFBFBF" w:themeFill="background1" w:themeFillShade="BF"/>
          </w:tcPr>
          <w:p w14:paraId="4DBD8182" w14:textId="77777777" w:rsidR="00C16801" w:rsidRPr="00A26FD5" w:rsidRDefault="00C16801" w:rsidP="00596E28">
            <w:pPr>
              <w:widowControl w:val="0"/>
              <w:autoSpaceDE w:val="0"/>
              <w:autoSpaceDN w:val="0"/>
              <w:adjustRightInd w:val="0"/>
              <w:rPr>
                <w:b/>
                <w:szCs w:val="22"/>
              </w:rPr>
            </w:pPr>
            <w:r w:rsidRPr="00A26FD5">
              <w:rPr>
                <w:b/>
                <w:szCs w:val="22"/>
              </w:rPr>
              <w:t xml:space="preserve">Protection of certain fruiting trees </w:t>
            </w:r>
          </w:p>
        </w:tc>
        <w:tc>
          <w:tcPr>
            <w:tcW w:w="2945" w:type="pct"/>
          </w:tcPr>
          <w:p w14:paraId="7A1E3702" w14:textId="77777777" w:rsidR="00C16801" w:rsidRPr="00A26FD5" w:rsidRDefault="00C16801" w:rsidP="00596E28">
            <w:pPr>
              <w:widowControl w:val="0"/>
              <w:autoSpaceDE w:val="0"/>
              <w:autoSpaceDN w:val="0"/>
              <w:adjustRightInd w:val="0"/>
              <w:rPr>
                <w:szCs w:val="22"/>
              </w:rPr>
            </w:pPr>
            <w:r w:rsidRPr="00A26FD5">
              <w:rPr>
                <w:szCs w:val="22"/>
              </w:rPr>
              <w:t xml:space="preserve">Early dry season, around April/May </w:t>
            </w:r>
          </w:p>
        </w:tc>
      </w:tr>
      <w:tr w:rsidR="00C16801" w:rsidRPr="00A26FD5" w14:paraId="09467476" w14:textId="77777777" w:rsidTr="00CC6CB7">
        <w:tc>
          <w:tcPr>
            <w:tcW w:w="2055" w:type="pct"/>
            <w:shd w:val="clear" w:color="auto" w:fill="BFBFBF" w:themeFill="background1" w:themeFillShade="BF"/>
          </w:tcPr>
          <w:p w14:paraId="2056B602" w14:textId="77777777" w:rsidR="00C16801" w:rsidRPr="00A26FD5" w:rsidRDefault="00C16801" w:rsidP="00596E28">
            <w:pPr>
              <w:widowControl w:val="0"/>
              <w:autoSpaceDE w:val="0"/>
              <w:autoSpaceDN w:val="0"/>
              <w:adjustRightInd w:val="0"/>
              <w:rPr>
                <w:b/>
                <w:szCs w:val="22"/>
              </w:rPr>
            </w:pPr>
            <w:r w:rsidRPr="00A26FD5">
              <w:rPr>
                <w:b/>
                <w:szCs w:val="22"/>
              </w:rPr>
              <w:t xml:space="preserve">Hunting </w:t>
            </w:r>
          </w:p>
          <w:p w14:paraId="39912B64" w14:textId="77777777" w:rsidR="00C16801" w:rsidRPr="00A26FD5" w:rsidRDefault="00C16801" w:rsidP="00596E28">
            <w:pPr>
              <w:rPr>
                <w:b/>
                <w:szCs w:val="22"/>
              </w:rPr>
            </w:pPr>
          </w:p>
        </w:tc>
        <w:tc>
          <w:tcPr>
            <w:tcW w:w="2945" w:type="pct"/>
          </w:tcPr>
          <w:p w14:paraId="113A6BCE" w14:textId="0CD65AD2" w:rsidR="00C16801" w:rsidRPr="00A26FD5" w:rsidRDefault="00C16801" w:rsidP="00596E28">
            <w:pPr>
              <w:widowControl w:val="0"/>
              <w:autoSpaceDE w:val="0"/>
              <w:autoSpaceDN w:val="0"/>
              <w:adjustRightInd w:val="0"/>
              <w:rPr>
                <w:szCs w:val="22"/>
              </w:rPr>
            </w:pPr>
            <w:r w:rsidRPr="00A26FD5">
              <w:rPr>
                <w:szCs w:val="22"/>
              </w:rPr>
              <w:t xml:space="preserve">April is perceived as the best time—small patches of </w:t>
            </w:r>
            <w:r w:rsidR="00A01A41" w:rsidRPr="00A26FD5">
              <w:rPr>
                <w:szCs w:val="22"/>
              </w:rPr>
              <w:t>Cerrado</w:t>
            </w:r>
            <w:r w:rsidRPr="00A26FD5">
              <w:rPr>
                <w:szCs w:val="22"/>
              </w:rPr>
              <w:t xml:space="preserve"> are burnt over a number of days during a hunting trip </w:t>
            </w:r>
          </w:p>
        </w:tc>
      </w:tr>
      <w:tr w:rsidR="00C16801" w:rsidRPr="00A26FD5" w14:paraId="3C891AC1" w14:textId="77777777" w:rsidTr="00CC6CB7">
        <w:tc>
          <w:tcPr>
            <w:tcW w:w="2055" w:type="pct"/>
            <w:shd w:val="clear" w:color="auto" w:fill="BFBFBF" w:themeFill="background1" w:themeFillShade="BF"/>
          </w:tcPr>
          <w:p w14:paraId="6EEE964D" w14:textId="77777777" w:rsidR="00C16801" w:rsidRPr="00A26FD5" w:rsidRDefault="00C16801" w:rsidP="00596E28">
            <w:pPr>
              <w:widowControl w:val="0"/>
              <w:autoSpaceDE w:val="0"/>
              <w:autoSpaceDN w:val="0"/>
              <w:adjustRightInd w:val="0"/>
              <w:rPr>
                <w:b/>
                <w:szCs w:val="22"/>
              </w:rPr>
            </w:pPr>
            <w:r w:rsidRPr="00A26FD5">
              <w:rPr>
                <w:b/>
                <w:szCs w:val="22"/>
              </w:rPr>
              <w:t xml:space="preserve">Protection of </w:t>
            </w:r>
            <w:r w:rsidRPr="00A26FD5">
              <w:rPr>
                <w:b/>
                <w:i/>
                <w:szCs w:val="22"/>
              </w:rPr>
              <w:t>carrasco</w:t>
            </w:r>
            <w:r w:rsidRPr="00A26FD5">
              <w:rPr>
                <w:b/>
                <w:szCs w:val="22"/>
              </w:rPr>
              <w:t xml:space="preserve"> </w:t>
            </w:r>
          </w:p>
        </w:tc>
        <w:tc>
          <w:tcPr>
            <w:tcW w:w="2945" w:type="pct"/>
          </w:tcPr>
          <w:p w14:paraId="5208F418" w14:textId="77777777" w:rsidR="00C16801" w:rsidRPr="00A26FD5" w:rsidRDefault="00C16801" w:rsidP="00596E28">
            <w:pPr>
              <w:widowControl w:val="0"/>
              <w:autoSpaceDE w:val="0"/>
              <w:autoSpaceDN w:val="0"/>
              <w:adjustRightInd w:val="0"/>
              <w:rPr>
                <w:szCs w:val="22"/>
              </w:rPr>
            </w:pPr>
            <w:r w:rsidRPr="00A26FD5">
              <w:rPr>
                <w:szCs w:val="22"/>
              </w:rPr>
              <w:t xml:space="preserve">Burnt April/May every 5–6 years </w:t>
            </w:r>
          </w:p>
        </w:tc>
      </w:tr>
      <w:tr w:rsidR="00C16801" w:rsidRPr="00A26FD5" w14:paraId="28E53EFB" w14:textId="77777777" w:rsidTr="00CC6CB7">
        <w:tc>
          <w:tcPr>
            <w:tcW w:w="2055" w:type="pct"/>
            <w:shd w:val="clear" w:color="auto" w:fill="BFBFBF" w:themeFill="background1" w:themeFillShade="BF"/>
          </w:tcPr>
          <w:p w14:paraId="72D43660" w14:textId="77777777" w:rsidR="00C16801" w:rsidRPr="00A26FD5" w:rsidRDefault="00C16801" w:rsidP="00596E28">
            <w:pPr>
              <w:widowControl w:val="0"/>
              <w:autoSpaceDE w:val="0"/>
              <w:autoSpaceDN w:val="0"/>
              <w:adjustRightInd w:val="0"/>
              <w:rPr>
                <w:b/>
                <w:szCs w:val="22"/>
              </w:rPr>
            </w:pPr>
            <w:r w:rsidRPr="00A26FD5">
              <w:rPr>
                <w:b/>
                <w:szCs w:val="22"/>
              </w:rPr>
              <w:t xml:space="preserve">Livestock </w:t>
            </w:r>
          </w:p>
        </w:tc>
        <w:tc>
          <w:tcPr>
            <w:tcW w:w="2945" w:type="pct"/>
          </w:tcPr>
          <w:p w14:paraId="52370007" w14:textId="77777777" w:rsidR="00C16801" w:rsidRPr="00A26FD5" w:rsidRDefault="00C16801" w:rsidP="00596E28">
            <w:pPr>
              <w:widowControl w:val="0"/>
              <w:autoSpaceDE w:val="0"/>
              <w:autoSpaceDN w:val="0"/>
              <w:adjustRightInd w:val="0"/>
              <w:rPr>
                <w:szCs w:val="22"/>
              </w:rPr>
            </w:pPr>
            <w:r w:rsidRPr="00A26FD5">
              <w:rPr>
                <w:szCs w:val="22"/>
              </w:rPr>
              <w:t>grazing Pasture burnt in mid-May—small areas burnt each year</w:t>
            </w:r>
          </w:p>
          <w:p w14:paraId="2308EFD3" w14:textId="77777777" w:rsidR="00C16801" w:rsidRPr="00A26FD5" w:rsidRDefault="00C16801" w:rsidP="00596E28">
            <w:pPr>
              <w:rPr>
                <w:szCs w:val="22"/>
              </w:rPr>
            </w:pPr>
          </w:p>
        </w:tc>
      </w:tr>
      <w:tr w:rsidR="00C16801" w:rsidRPr="00A26FD5" w14:paraId="3FB3D359" w14:textId="77777777" w:rsidTr="00CC6CB7">
        <w:tc>
          <w:tcPr>
            <w:tcW w:w="2055" w:type="pct"/>
            <w:shd w:val="clear" w:color="auto" w:fill="BFBFBF" w:themeFill="background1" w:themeFillShade="BF"/>
          </w:tcPr>
          <w:p w14:paraId="7DADE80A" w14:textId="43CDA25B" w:rsidR="00C16801" w:rsidRPr="00A26FD5" w:rsidRDefault="00C16801" w:rsidP="00596E28">
            <w:pPr>
              <w:widowControl w:val="0"/>
              <w:autoSpaceDE w:val="0"/>
              <w:autoSpaceDN w:val="0"/>
              <w:adjustRightInd w:val="0"/>
              <w:rPr>
                <w:b/>
                <w:szCs w:val="22"/>
              </w:rPr>
            </w:pPr>
            <w:r w:rsidRPr="00A26FD5">
              <w:rPr>
                <w:b/>
                <w:szCs w:val="22"/>
              </w:rPr>
              <w:t xml:space="preserve">Protection of areas of </w:t>
            </w:r>
            <w:r w:rsidR="00A01A41" w:rsidRPr="00A26FD5">
              <w:rPr>
                <w:b/>
                <w:i/>
                <w:szCs w:val="22"/>
              </w:rPr>
              <w:t>Cerrado</w:t>
            </w:r>
            <w:r w:rsidRPr="00A26FD5">
              <w:rPr>
                <w:b/>
                <w:szCs w:val="22"/>
              </w:rPr>
              <w:t xml:space="preserve"> from later, more intense fires </w:t>
            </w:r>
          </w:p>
        </w:tc>
        <w:tc>
          <w:tcPr>
            <w:tcW w:w="2945" w:type="pct"/>
          </w:tcPr>
          <w:p w14:paraId="13ABC511" w14:textId="77777777" w:rsidR="00C16801" w:rsidRPr="00A26FD5" w:rsidRDefault="00C16801" w:rsidP="00596E28">
            <w:pPr>
              <w:rPr>
                <w:szCs w:val="22"/>
              </w:rPr>
            </w:pPr>
            <w:r w:rsidRPr="00A26FD5">
              <w:rPr>
                <w:szCs w:val="22"/>
              </w:rPr>
              <w:t>Early to mid dry season</w:t>
            </w:r>
          </w:p>
        </w:tc>
      </w:tr>
      <w:tr w:rsidR="00C16801" w:rsidRPr="00A26FD5" w14:paraId="7A160130" w14:textId="77777777" w:rsidTr="00CC6CB7">
        <w:tc>
          <w:tcPr>
            <w:tcW w:w="2055" w:type="pct"/>
            <w:shd w:val="clear" w:color="auto" w:fill="BFBFBF" w:themeFill="background1" w:themeFillShade="BF"/>
          </w:tcPr>
          <w:p w14:paraId="70BFE3AE" w14:textId="77777777" w:rsidR="00C16801" w:rsidRPr="00A26FD5" w:rsidRDefault="00C16801" w:rsidP="00596E28">
            <w:pPr>
              <w:widowControl w:val="0"/>
              <w:autoSpaceDE w:val="0"/>
              <w:autoSpaceDN w:val="0"/>
              <w:adjustRightInd w:val="0"/>
              <w:rPr>
                <w:b/>
                <w:szCs w:val="22"/>
              </w:rPr>
            </w:pPr>
            <w:r w:rsidRPr="00A26FD5">
              <w:rPr>
                <w:b/>
                <w:szCs w:val="22"/>
              </w:rPr>
              <w:t>Clearing and preparing land for planting</w:t>
            </w:r>
          </w:p>
          <w:p w14:paraId="0C8E8F10" w14:textId="77777777" w:rsidR="00C16801" w:rsidRPr="00A26FD5" w:rsidRDefault="00C16801" w:rsidP="00596E28">
            <w:pPr>
              <w:rPr>
                <w:b/>
                <w:szCs w:val="22"/>
              </w:rPr>
            </w:pPr>
          </w:p>
        </w:tc>
        <w:tc>
          <w:tcPr>
            <w:tcW w:w="2945" w:type="pct"/>
          </w:tcPr>
          <w:p w14:paraId="54130E3C" w14:textId="77777777" w:rsidR="00C16801" w:rsidRPr="00A26FD5" w:rsidRDefault="00C16801" w:rsidP="00596E28">
            <w:pPr>
              <w:widowControl w:val="0"/>
              <w:autoSpaceDE w:val="0"/>
              <w:autoSpaceDN w:val="0"/>
              <w:adjustRightInd w:val="0"/>
              <w:rPr>
                <w:szCs w:val="22"/>
              </w:rPr>
            </w:pPr>
            <w:r w:rsidRPr="00A26FD5">
              <w:rPr>
                <w:szCs w:val="22"/>
              </w:rPr>
              <w:t>Roças are burnt at the very end of August or in September</w:t>
            </w:r>
          </w:p>
        </w:tc>
      </w:tr>
      <w:tr w:rsidR="00C16801" w:rsidRPr="00A26FD5" w14:paraId="386BDC94" w14:textId="77777777" w:rsidTr="00CC6CB7">
        <w:tc>
          <w:tcPr>
            <w:tcW w:w="2055" w:type="pct"/>
            <w:shd w:val="clear" w:color="auto" w:fill="BFBFBF" w:themeFill="background1" w:themeFillShade="BF"/>
          </w:tcPr>
          <w:p w14:paraId="39389622" w14:textId="77777777" w:rsidR="00C16801" w:rsidRPr="00A26FD5" w:rsidRDefault="00C16801" w:rsidP="00596E28">
            <w:pPr>
              <w:widowControl w:val="0"/>
              <w:autoSpaceDE w:val="0"/>
              <w:autoSpaceDN w:val="0"/>
              <w:adjustRightInd w:val="0"/>
              <w:rPr>
                <w:b/>
                <w:szCs w:val="22"/>
              </w:rPr>
            </w:pPr>
            <w:r w:rsidRPr="00A26FD5">
              <w:rPr>
                <w:b/>
                <w:szCs w:val="22"/>
              </w:rPr>
              <w:t xml:space="preserve">Honey extraction </w:t>
            </w:r>
          </w:p>
        </w:tc>
        <w:tc>
          <w:tcPr>
            <w:tcW w:w="2945" w:type="pct"/>
          </w:tcPr>
          <w:p w14:paraId="4AE46E64" w14:textId="77777777" w:rsidR="00C16801" w:rsidRPr="00A26FD5" w:rsidRDefault="00C16801" w:rsidP="00596E28">
            <w:pPr>
              <w:widowControl w:val="0"/>
              <w:autoSpaceDE w:val="0"/>
              <w:autoSpaceDN w:val="0"/>
              <w:adjustRightInd w:val="0"/>
              <w:rPr>
                <w:szCs w:val="22"/>
              </w:rPr>
            </w:pPr>
            <w:r w:rsidRPr="00A26FD5">
              <w:rPr>
                <w:szCs w:val="22"/>
              </w:rPr>
              <w:t xml:space="preserve">September and October </w:t>
            </w:r>
          </w:p>
        </w:tc>
      </w:tr>
      <w:tr w:rsidR="00C16801" w:rsidRPr="00A26FD5" w14:paraId="45836CD9" w14:textId="77777777" w:rsidTr="00CC6CB7">
        <w:tc>
          <w:tcPr>
            <w:tcW w:w="2055" w:type="pct"/>
            <w:shd w:val="clear" w:color="auto" w:fill="BFBFBF" w:themeFill="background1" w:themeFillShade="BF"/>
          </w:tcPr>
          <w:p w14:paraId="1CF9E2F9" w14:textId="77777777" w:rsidR="00C16801" w:rsidRPr="00A26FD5" w:rsidRDefault="00C16801" w:rsidP="00596E28">
            <w:pPr>
              <w:widowControl w:val="0"/>
              <w:autoSpaceDE w:val="0"/>
              <w:autoSpaceDN w:val="0"/>
              <w:adjustRightInd w:val="0"/>
              <w:rPr>
                <w:b/>
                <w:szCs w:val="22"/>
              </w:rPr>
            </w:pPr>
            <w:r w:rsidRPr="00A26FD5">
              <w:rPr>
                <w:b/>
                <w:szCs w:val="22"/>
              </w:rPr>
              <w:t xml:space="preserve">Keep clean and increase visibility </w:t>
            </w:r>
          </w:p>
        </w:tc>
        <w:tc>
          <w:tcPr>
            <w:tcW w:w="2945" w:type="pct"/>
          </w:tcPr>
          <w:p w14:paraId="39852FB1" w14:textId="77777777" w:rsidR="00C16801" w:rsidRPr="00A26FD5" w:rsidRDefault="00C16801" w:rsidP="00596E28">
            <w:pPr>
              <w:widowControl w:val="0"/>
              <w:autoSpaceDE w:val="0"/>
              <w:autoSpaceDN w:val="0"/>
              <w:adjustRightInd w:val="0"/>
              <w:rPr>
                <w:szCs w:val="22"/>
              </w:rPr>
            </w:pPr>
            <w:r w:rsidRPr="00A26FD5">
              <w:rPr>
                <w:szCs w:val="22"/>
              </w:rPr>
              <w:t>Throughout the dry season—fires are set when walking to villages, hunting and travelling to roças</w:t>
            </w:r>
          </w:p>
        </w:tc>
      </w:tr>
      <w:tr w:rsidR="00C16801" w:rsidRPr="00A26FD5" w14:paraId="65544A45" w14:textId="77777777" w:rsidTr="00CC6CB7">
        <w:tc>
          <w:tcPr>
            <w:tcW w:w="2055" w:type="pct"/>
            <w:shd w:val="clear" w:color="auto" w:fill="BFBFBF" w:themeFill="background1" w:themeFillShade="BF"/>
          </w:tcPr>
          <w:p w14:paraId="5DF3889D" w14:textId="77777777" w:rsidR="00C16801" w:rsidRPr="00A26FD5" w:rsidRDefault="00C16801" w:rsidP="00596E28">
            <w:pPr>
              <w:widowControl w:val="0"/>
              <w:autoSpaceDE w:val="0"/>
              <w:autoSpaceDN w:val="0"/>
              <w:adjustRightInd w:val="0"/>
              <w:rPr>
                <w:b/>
                <w:szCs w:val="22"/>
              </w:rPr>
            </w:pPr>
            <w:r w:rsidRPr="00A26FD5">
              <w:rPr>
                <w:b/>
                <w:szCs w:val="22"/>
              </w:rPr>
              <w:t xml:space="preserve">Eliminate pests </w:t>
            </w:r>
          </w:p>
        </w:tc>
        <w:tc>
          <w:tcPr>
            <w:tcW w:w="2945" w:type="pct"/>
          </w:tcPr>
          <w:p w14:paraId="62CCC952" w14:textId="77777777" w:rsidR="00C16801" w:rsidRPr="00A26FD5" w:rsidRDefault="00C16801" w:rsidP="00596E28">
            <w:pPr>
              <w:widowControl w:val="0"/>
              <w:autoSpaceDE w:val="0"/>
              <w:autoSpaceDN w:val="0"/>
              <w:adjustRightInd w:val="0"/>
              <w:rPr>
                <w:szCs w:val="22"/>
              </w:rPr>
            </w:pPr>
            <w:r w:rsidRPr="00A26FD5">
              <w:rPr>
                <w:szCs w:val="22"/>
              </w:rPr>
              <w:t>Throughout dry season</w:t>
            </w:r>
          </w:p>
        </w:tc>
      </w:tr>
      <w:tr w:rsidR="00C16801" w:rsidRPr="00A26FD5" w14:paraId="621B79EF" w14:textId="77777777" w:rsidTr="00CC6CB7">
        <w:tc>
          <w:tcPr>
            <w:tcW w:w="2055" w:type="pct"/>
            <w:shd w:val="clear" w:color="auto" w:fill="BFBFBF" w:themeFill="background1" w:themeFillShade="BF"/>
          </w:tcPr>
          <w:p w14:paraId="6DB22017" w14:textId="77777777" w:rsidR="00C16801" w:rsidRPr="00A26FD5" w:rsidRDefault="00C16801" w:rsidP="00596E28">
            <w:pPr>
              <w:rPr>
                <w:b/>
                <w:szCs w:val="22"/>
              </w:rPr>
            </w:pPr>
            <w:r w:rsidRPr="00A26FD5">
              <w:rPr>
                <w:b/>
                <w:szCs w:val="22"/>
              </w:rPr>
              <w:t xml:space="preserve">Outsider fires </w:t>
            </w:r>
          </w:p>
        </w:tc>
        <w:tc>
          <w:tcPr>
            <w:tcW w:w="2945" w:type="pct"/>
          </w:tcPr>
          <w:p w14:paraId="65860931" w14:textId="77777777" w:rsidR="00C16801" w:rsidRPr="00A26FD5" w:rsidRDefault="00C16801" w:rsidP="00596E28">
            <w:pPr>
              <w:rPr>
                <w:szCs w:val="22"/>
              </w:rPr>
            </w:pPr>
            <w:r w:rsidRPr="00A26FD5">
              <w:rPr>
                <w:szCs w:val="22"/>
              </w:rPr>
              <w:t xml:space="preserve">Occur throughout dry season </w:t>
            </w:r>
          </w:p>
        </w:tc>
      </w:tr>
    </w:tbl>
    <w:p w14:paraId="5321BD8F" w14:textId="0D05D7EB" w:rsidR="00C16801" w:rsidRPr="008608AA" w:rsidRDefault="00CC6CB7" w:rsidP="00CC6CB7">
      <w:pPr>
        <w:pStyle w:val="Caption"/>
      </w:pPr>
      <w:bookmarkStart w:id="1488" w:name="_Toc499200382"/>
      <w:bookmarkStart w:id="1489" w:name="_Toc499459225"/>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10</w:t>
      </w:r>
      <w:r w:rsidR="000E562E">
        <w:rPr>
          <w:noProof/>
        </w:rPr>
        <w:fldChar w:fldCharType="end"/>
      </w:r>
      <w:r w:rsidRPr="008608AA">
        <w:t xml:space="preserve">. </w:t>
      </w:r>
      <w:r w:rsidR="00C16801" w:rsidRPr="008608AA">
        <w:t>Traditional fire management in the South America</w:t>
      </w:r>
      <w:bookmarkEnd w:id="1488"/>
      <w:bookmarkEnd w:id="1489"/>
    </w:p>
    <w:tbl>
      <w:tblPr>
        <w:tblStyle w:val="TableGrid"/>
        <w:tblW w:w="0" w:type="auto"/>
        <w:tblLook w:val="04A0" w:firstRow="1" w:lastRow="0" w:firstColumn="1" w:lastColumn="0" w:noHBand="0" w:noVBand="1"/>
      </w:tblPr>
      <w:tblGrid>
        <w:gridCol w:w="9487"/>
      </w:tblGrid>
      <w:tr w:rsidR="00C16801" w:rsidRPr="00A26FD5" w14:paraId="6FA12AD2" w14:textId="77777777" w:rsidTr="00596E28">
        <w:tc>
          <w:tcPr>
            <w:tcW w:w="9500" w:type="dxa"/>
          </w:tcPr>
          <w:p w14:paraId="5071FAD4" w14:textId="37765883" w:rsidR="00C16801" w:rsidRPr="00A26FD5" w:rsidRDefault="00C16801" w:rsidP="00CC6CB7">
            <w:pPr>
              <w:widowControl w:val="0"/>
              <w:tabs>
                <w:tab w:val="left" w:pos="220"/>
                <w:tab w:val="left" w:pos="720"/>
              </w:tabs>
              <w:autoSpaceDE w:val="0"/>
              <w:autoSpaceDN w:val="0"/>
              <w:adjustRightInd w:val="0"/>
              <w:spacing w:before="120"/>
              <w:rPr>
                <w:rFonts w:eastAsiaTheme="majorEastAsia"/>
                <w:szCs w:val="22"/>
              </w:rPr>
            </w:pPr>
            <w:r w:rsidRPr="00A26FD5">
              <w:rPr>
                <w:rFonts w:eastAsiaTheme="majorEastAsia"/>
                <w:szCs w:val="22"/>
              </w:rPr>
              <w:t>Traditional fire knowledge is as fire-related knowledge, beliefs, and practices that have been developed and applied on specific landscapes for specific purposes by long time inhabitants (Huffman</w:t>
            </w:r>
            <w:r w:rsidR="00980148" w:rsidRPr="00A26FD5">
              <w:rPr>
                <w:rFonts w:eastAsiaTheme="majorEastAsia"/>
                <w:szCs w:val="22"/>
              </w:rPr>
              <w:t>,</w:t>
            </w:r>
            <w:r w:rsidR="00D07ADA" w:rsidRPr="00A26FD5">
              <w:rPr>
                <w:rFonts w:eastAsiaTheme="majorEastAsia"/>
                <w:szCs w:val="22"/>
              </w:rPr>
              <w:t xml:space="preserve"> 2013). </w:t>
            </w:r>
            <w:r w:rsidRPr="00A26FD5">
              <w:rPr>
                <w:rFonts w:eastAsiaTheme="majorEastAsia"/>
                <w:szCs w:val="22"/>
              </w:rPr>
              <w:t>Across the Americas indigenous people have managed fire for different purposes. The articulation of traditional and scientific knowledge can be a valuable strategy for the formulation of environmental policies for effective fire management.</w:t>
            </w:r>
          </w:p>
          <w:p w14:paraId="3FB075BA" w14:textId="087AA563" w:rsidR="00C16801" w:rsidRPr="00A26FD5" w:rsidRDefault="00C16801" w:rsidP="006D1B0B">
            <w:pPr>
              <w:widowControl w:val="0"/>
              <w:tabs>
                <w:tab w:val="left" w:pos="220"/>
                <w:tab w:val="left" w:pos="720"/>
              </w:tabs>
              <w:autoSpaceDE w:val="0"/>
              <w:autoSpaceDN w:val="0"/>
              <w:adjustRightInd w:val="0"/>
              <w:spacing w:before="120"/>
              <w:rPr>
                <w:rFonts w:eastAsiaTheme="majorEastAsia"/>
                <w:szCs w:val="22"/>
              </w:rPr>
            </w:pPr>
            <w:r w:rsidRPr="00A26FD5">
              <w:rPr>
                <w:rFonts w:eastAsiaTheme="majorEastAsia"/>
                <w:szCs w:val="22"/>
              </w:rPr>
              <w:t xml:space="preserve">Indigenous peoples have been using fire in the Cerrado (savannas) of Brazil as a form of management for thousands of years. Mistry et al. (2005) studied the traditional use of fire as a management tool by the Krahˆo </w:t>
            </w:r>
            <w:r w:rsidR="00036F16" w:rsidRPr="00A26FD5">
              <w:rPr>
                <w:rFonts w:eastAsiaTheme="majorEastAsia"/>
                <w:szCs w:val="22"/>
              </w:rPr>
              <w:t>indigenous group living in the n</w:t>
            </w:r>
            <w:r w:rsidRPr="00A26FD5">
              <w:rPr>
                <w:rFonts w:eastAsiaTheme="majorEastAsia"/>
                <w:szCs w:val="22"/>
              </w:rPr>
              <w:t xml:space="preserve">ortheastern region of Tocantins state, Brazil. The results indicate that the Krahˆo burn for a variety of reasons </w:t>
            </w:r>
            <w:r w:rsidRPr="006D1B0B">
              <w:rPr>
                <w:rFonts w:eastAsiaTheme="majorEastAsia"/>
                <w:szCs w:val="22"/>
              </w:rPr>
              <w:t xml:space="preserve">throughout the dry season, thereby producing a mosaic of burned and unburned patches in the landscape </w:t>
            </w:r>
            <w:r w:rsidR="006D1B0B" w:rsidRPr="006D1B0B">
              <w:rPr>
                <w:rFonts w:eastAsiaTheme="majorEastAsia"/>
                <w:szCs w:val="22"/>
              </w:rPr>
              <w:t>Table 4.12</w:t>
            </w:r>
            <w:r w:rsidRPr="006D1B0B">
              <w:rPr>
                <w:rFonts w:eastAsiaTheme="majorEastAsia"/>
                <w:szCs w:val="22"/>
              </w:rPr>
              <w:t>. Similarly, in Canaima National Park, Venezuela, a protected area inhabited by the Pemón people,</w:t>
            </w:r>
            <w:r w:rsidRPr="00A26FD5">
              <w:rPr>
                <w:rFonts w:eastAsiaTheme="majorEastAsia"/>
                <w:szCs w:val="22"/>
              </w:rPr>
              <w:t xml:space="preserve"> ecological studies have revealed that the creation of a mosaic of patches with different fire histories could be used to create firebreaks that reduce the risk of the wildfires that threaten the vulnerable and diverse savanna-forest transition areas (Bilbao et al., 2010). In the Amazon region, particularly along large and small rivers, are numerous patches of Amazonian dark earth (Junqueira </w:t>
            </w:r>
            <w:r w:rsidR="00474EDF" w:rsidRPr="00A26FD5">
              <w:rPr>
                <w:rFonts w:eastAsiaTheme="majorEastAsia"/>
                <w:szCs w:val="22"/>
              </w:rPr>
              <w:t>et al.,</w:t>
            </w:r>
            <w:r w:rsidRPr="00A26FD5">
              <w:rPr>
                <w:rFonts w:eastAsiaTheme="majorEastAsia"/>
                <w:szCs w:val="22"/>
              </w:rPr>
              <w:t xml:space="preserve"> 2010). These are anthropogenic soils associated with archaeological sites, created mostly between 1000 BC and the European conquest around 500 y</w:t>
            </w:r>
            <w:r w:rsidR="00036F16" w:rsidRPr="00A26FD5">
              <w:rPr>
                <w:rFonts w:eastAsiaTheme="majorEastAsia"/>
                <w:szCs w:val="22"/>
              </w:rPr>
              <w:t>ears</w:t>
            </w:r>
            <w:r w:rsidRPr="00A26FD5">
              <w:rPr>
                <w:rFonts w:eastAsiaTheme="majorEastAsia"/>
                <w:szCs w:val="22"/>
              </w:rPr>
              <w:t xml:space="preserve"> ago and managed with the use of fire (Rebellato et al., 2009). Pre-conquest Amazonian peoples used fire for most of their landscape management. Small areas were weeded with wooden digging sticks and wooden machetes, while occasional small trees were cut with stone axes and burned well before being completely dry and/or with low oxygen availability, leaving large amounts of charcoal instead of easily eroded ash (Denevan</w:t>
            </w:r>
            <w:r w:rsidR="00980148" w:rsidRPr="00A26FD5">
              <w:rPr>
                <w:rFonts w:eastAsiaTheme="majorEastAsia"/>
                <w:szCs w:val="22"/>
              </w:rPr>
              <w:t>,</w:t>
            </w:r>
            <w:r w:rsidRPr="00A26FD5">
              <w:rPr>
                <w:rFonts w:eastAsiaTheme="majorEastAsia"/>
                <w:szCs w:val="22"/>
              </w:rPr>
              <w:t xml:space="preserve"> 2004). The combination of fire management and plant cultures improved soil fertility and once a plot was abandoned growth of secondary forests was rapid (Junqueira et al., 2010). </w:t>
            </w:r>
          </w:p>
        </w:tc>
      </w:tr>
    </w:tbl>
    <w:p w14:paraId="705B8273" w14:textId="6D8A1251" w:rsidR="001E61A6" w:rsidRPr="008608AA" w:rsidRDefault="001E61A6" w:rsidP="00CC6CB7">
      <w:pPr>
        <w:widowControl w:val="0"/>
        <w:autoSpaceDE w:val="0"/>
        <w:autoSpaceDN w:val="0"/>
        <w:adjustRightInd w:val="0"/>
        <w:spacing w:before="120"/>
      </w:pPr>
      <w:r w:rsidRPr="008608AA">
        <w:t xml:space="preserve">Similarly, </w:t>
      </w:r>
      <w:r w:rsidR="00036F16" w:rsidRPr="008608AA">
        <w:rPr>
          <w:rFonts w:eastAsiaTheme="majorEastAsia"/>
        </w:rPr>
        <w:t>vegetation cover loss in the d</w:t>
      </w:r>
      <w:r w:rsidRPr="008608AA">
        <w:rPr>
          <w:rFonts w:eastAsiaTheme="majorEastAsia"/>
        </w:rPr>
        <w:t>ry Chaco from 2002 to 2006 was associated to the rapid expansion soybean and planted pastures (Clark et al., 2010). During this period a net loss of 6.9 million hectares of closed-canopy (≥</w:t>
      </w:r>
      <w:r w:rsidR="00036F16" w:rsidRPr="008608AA">
        <w:rPr>
          <w:rFonts w:eastAsiaTheme="majorEastAsia"/>
        </w:rPr>
        <w:t>80% cover) was detected in the d</w:t>
      </w:r>
      <w:r w:rsidRPr="008608AA">
        <w:rPr>
          <w:rFonts w:eastAsiaTheme="majorEastAsia"/>
        </w:rPr>
        <w:t>ry Chaco ecoregion. Some of the loss of woody vegetation can be attributed to forest degradation, where forests have trees and shrubs removed as an intermediate step to agriculture or pastures (Clark et al., 2010).</w:t>
      </w:r>
    </w:p>
    <w:p w14:paraId="01A87755" w14:textId="77777777" w:rsidR="001E61A6" w:rsidRPr="008608AA" w:rsidRDefault="001E61A6" w:rsidP="00CC6CB7">
      <w:pPr>
        <w:widowControl w:val="0"/>
        <w:tabs>
          <w:tab w:val="left" w:pos="220"/>
          <w:tab w:val="left" w:pos="720"/>
        </w:tabs>
        <w:autoSpaceDE w:val="0"/>
        <w:autoSpaceDN w:val="0"/>
        <w:adjustRightInd w:val="0"/>
        <w:spacing w:before="120"/>
      </w:pPr>
      <w:r w:rsidRPr="008608AA">
        <w:rPr>
          <w:rFonts w:eastAsiaTheme="majorEastAsia"/>
        </w:rPr>
        <w:t xml:space="preserve">Change in South American grasslands (distinguished from grasslands found in dryland regions that generally did not evolve with large mammalian herds) has been brought about primarily by conversion of these ecosystems to agriculture. The Río de la Plata grasslands are one of the largest temperate grasslands regions of the world, covering nearly 700,000 km 2 of eastern Argentina, southern Brazil and Uruguay (Paruelo et al., 2007). This region plays a key role in international crop production and land use change rates in some areas and are among the highest detected nowadays. Agricultural activities have undergone important changes during the last 20 years because of technological improvements and new national and international market conditions for commodities (mainly soybean, sunflower, wheat, and maize) (Baldi &amp; Paruelo, 2008). </w:t>
      </w:r>
    </w:p>
    <w:p w14:paraId="36F6AD9A" w14:textId="2B3A2336" w:rsidR="001E61A6" w:rsidRPr="008608AA" w:rsidRDefault="001E61A6" w:rsidP="00CC6CB7">
      <w:pPr>
        <w:widowControl w:val="0"/>
        <w:tabs>
          <w:tab w:val="left" w:pos="220"/>
          <w:tab w:val="left" w:pos="720"/>
        </w:tabs>
        <w:autoSpaceDE w:val="0"/>
        <w:autoSpaceDN w:val="0"/>
        <w:adjustRightInd w:val="0"/>
        <w:spacing w:before="120"/>
      </w:pPr>
      <w:r w:rsidRPr="008608AA">
        <w:rPr>
          <w:rFonts w:eastAsiaTheme="majorEastAsia"/>
        </w:rPr>
        <w:t xml:space="preserve">Wild ungulates are also an essential component of energy and nutrient flows in grassland ecosystems that evolved with grazing. By contrast, domestic livestock generate effects that are disputed as either positive or negative, particularly in relation to different stocking densities, different grassland environments and whether the different environments evolved with large mammalian herds (Mack </w:t>
      </w:r>
      <w:r w:rsidR="00980148" w:rsidRPr="008608AA">
        <w:rPr>
          <w:rFonts w:eastAsiaTheme="majorEastAsia"/>
        </w:rPr>
        <w:t>&amp;</w:t>
      </w:r>
      <w:r w:rsidRPr="008608AA">
        <w:rPr>
          <w:rFonts w:eastAsiaTheme="majorEastAsia"/>
        </w:rPr>
        <w:t xml:space="preserve"> Thompson</w:t>
      </w:r>
      <w:r w:rsidR="00980148" w:rsidRPr="008608AA">
        <w:rPr>
          <w:rFonts w:eastAsiaTheme="majorEastAsia"/>
        </w:rPr>
        <w:t>,</w:t>
      </w:r>
      <w:r w:rsidRPr="008608AA">
        <w:rPr>
          <w:rFonts w:eastAsiaTheme="majorEastAsia"/>
        </w:rPr>
        <w:t xml:space="preserve"> 1982). The economic and environmental sustainability of beef cattle from pasture use and preservation in specific biomes is still not well evaluated. The study of the feasibi</w:t>
      </w:r>
      <w:r w:rsidR="00A8438F" w:rsidRPr="008608AA">
        <w:rPr>
          <w:rFonts w:eastAsiaTheme="majorEastAsia"/>
        </w:rPr>
        <w:t>lity of beef production in the p</w:t>
      </w:r>
      <w:r w:rsidRPr="008608AA">
        <w:rPr>
          <w:rFonts w:eastAsiaTheme="majorEastAsia"/>
        </w:rPr>
        <w:t>ampa biome suggests it is possible to optimize low greenhouse gases emission of beef production with a significant economic return under certain feed conditions. Actually, studies suggest it is possible to obtain beef production increases without the need of new livestock areas, which can contribute to the prope</w:t>
      </w:r>
      <w:r w:rsidR="00A8438F" w:rsidRPr="008608AA">
        <w:rPr>
          <w:rFonts w:eastAsiaTheme="majorEastAsia"/>
        </w:rPr>
        <w:t>r use and preservation of the p</w:t>
      </w:r>
      <w:r w:rsidRPr="008608AA">
        <w:rPr>
          <w:rFonts w:eastAsiaTheme="majorEastAsia"/>
        </w:rPr>
        <w:t>ampa biome (Ruviaro et al., 2016, see also Modernel et al., 2016).</w:t>
      </w:r>
    </w:p>
    <w:p w14:paraId="306ECFDA" w14:textId="77777777" w:rsidR="001E61A6" w:rsidRPr="008608AA" w:rsidRDefault="001E61A6" w:rsidP="00CC6CB7">
      <w:pPr>
        <w:widowControl w:val="0"/>
        <w:tabs>
          <w:tab w:val="left" w:pos="220"/>
          <w:tab w:val="left" w:pos="720"/>
        </w:tabs>
        <w:autoSpaceDE w:val="0"/>
        <w:autoSpaceDN w:val="0"/>
        <w:adjustRightInd w:val="0"/>
        <w:spacing w:before="120"/>
        <w:rPr>
          <w:rFonts w:eastAsiaTheme="majorEastAsia"/>
        </w:rPr>
      </w:pPr>
      <w:r w:rsidRPr="008608AA">
        <w:rPr>
          <w:rFonts w:eastAsiaTheme="majorEastAsia"/>
        </w:rPr>
        <w:t xml:space="preserve">Afforestation of some of the most productive native grasslands of the region is currently undergoing, and might be further promoted by carbon markets (Paruelo et al., 2007) posing a new threat to these ecosystems. Interestingly, grasslands store approximately 34% of the global stock of carbon in terrestrial ecosystems while forests store approximately 39% and agroecosystems approximately 17%. Unlike tropical forests, most of the grassland carbon stocks are in the soil. </w:t>
      </w:r>
    </w:p>
    <w:p w14:paraId="2628BA82" w14:textId="20E6170C" w:rsidR="001E61A6" w:rsidRPr="008608AA" w:rsidRDefault="001E61A6" w:rsidP="00CC6CB7">
      <w:pPr>
        <w:widowControl w:val="0"/>
        <w:tabs>
          <w:tab w:val="left" w:pos="220"/>
          <w:tab w:val="left" w:pos="720"/>
        </w:tabs>
        <w:autoSpaceDE w:val="0"/>
        <w:autoSpaceDN w:val="0"/>
        <w:adjustRightInd w:val="0"/>
        <w:spacing w:before="120"/>
        <w:rPr>
          <w:rFonts w:eastAsiaTheme="majorEastAsia"/>
        </w:rPr>
      </w:pPr>
      <w:r w:rsidRPr="008608AA">
        <w:rPr>
          <w:rFonts w:eastAsiaTheme="majorEastAsia"/>
        </w:rPr>
        <w:t xml:space="preserve">Drylands cover more than 50% of South America. The region possesses tropical, highland, coastal and continental drylands (Cabrera &amp; Willink, 1980). In South America, humans have appropriated much of the Sechura Desert (Peru) for their use, and the habitat is highly fragmented (Hoekstra et al., 2010). Similarly, the Atacama Desert (Chile) has experienced moderate land appropriation for human use and moderately high habitat fragmentation (Hoekstra et al., 2010). In Patagonia, heavy sheep grazing has locally extirpated preferred forage species, thus altering plant community composition and resulting in the endangerment of 76 grass species (Cibils </w:t>
      </w:r>
      <w:r w:rsidR="00980148" w:rsidRPr="008608AA">
        <w:rPr>
          <w:rFonts w:eastAsiaTheme="majorEastAsia"/>
        </w:rPr>
        <w:t>&amp;</w:t>
      </w:r>
      <w:r w:rsidRPr="008608AA">
        <w:rPr>
          <w:rFonts w:eastAsiaTheme="majorEastAsia"/>
        </w:rPr>
        <w:t xml:space="preserve"> Borrelli</w:t>
      </w:r>
      <w:r w:rsidR="00980148" w:rsidRPr="008608AA">
        <w:rPr>
          <w:rFonts w:eastAsiaTheme="majorEastAsia"/>
        </w:rPr>
        <w:t>,</w:t>
      </w:r>
      <w:r w:rsidRPr="008608AA">
        <w:rPr>
          <w:rFonts w:eastAsiaTheme="majorEastAsia"/>
        </w:rPr>
        <w:t xml:space="preserve"> 2005). Aside from grazing, </w:t>
      </w:r>
      <w:r w:rsidRPr="008608AA">
        <w:rPr>
          <w:rFonts w:eastAsiaTheme="majorEastAsia"/>
          <w:bCs/>
          <w:iCs/>
        </w:rPr>
        <w:t>this region</w:t>
      </w:r>
      <w:r w:rsidRPr="008608AA">
        <w:rPr>
          <w:rFonts w:eastAsiaTheme="majorEastAsia"/>
        </w:rPr>
        <w:t xml:space="preserve"> has experienced a relatively low appropriation of land for human use, but has very high habitat fragmentation (Hoekstra et al., 2010). As with the other deserts, it does not have a natural fire cycle. Habitat loss in all three regions has been relatively low (0.1% for Atacama Desert, 0.5% for Sechura Desert, and 1.6% for the Patagonia steppe) (Hoekstra et al., 2010).</w:t>
      </w:r>
    </w:p>
    <w:p w14:paraId="0387DEAD" w14:textId="609F68CA" w:rsidR="001E61A6" w:rsidRPr="008608AA" w:rsidRDefault="001E61A6" w:rsidP="00CC6CB7">
      <w:pPr>
        <w:widowControl w:val="0"/>
        <w:autoSpaceDE w:val="0"/>
        <w:autoSpaceDN w:val="0"/>
        <w:adjustRightInd w:val="0"/>
        <w:spacing w:before="120"/>
      </w:pPr>
      <w:r w:rsidRPr="008608AA">
        <w:rPr>
          <w:rFonts w:eastAsiaTheme="majorEastAsia"/>
        </w:rPr>
        <w:t>From 2001 to 2013, 17% of new cropland and 57% of new pastureland replaced forests throughout Latin America (Aide et al., 2013). Cropland expansion from 2001 to 2013 was less (44.27 M</w:t>
      </w:r>
      <w:r w:rsidR="00A8438F" w:rsidRPr="008608AA">
        <w:rPr>
          <w:rFonts w:eastAsiaTheme="majorEastAsia"/>
        </w:rPr>
        <w:t>illions of hectares</w:t>
      </w:r>
      <w:r w:rsidRPr="008608AA">
        <w:rPr>
          <w:rFonts w:eastAsiaTheme="majorEastAsia"/>
        </w:rPr>
        <w:t xml:space="preserve">) than pastureland (96.9 </w:t>
      </w:r>
      <w:r w:rsidR="00A8438F" w:rsidRPr="008608AA">
        <w:rPr>
          <w:rFonts w:eastAsiaTheme="majorEastAsia"/>
        </w:rPr>
        <w:t>Millions of hectares</w:t>
      </w:r>
      <w:r w:rsidRPr="008608AA">
        <w:rPr>
          <w:rFonts w:eastAsiaTheme="majorEastAsia"/>
        </w:rPr>
        <w:t>), but 44% of the 2013 cropland total was new cropland, versus 27% of the 2013 pastureland total, revealing higher regional expansion rates of row crop agriculture. The majority of cropland expansion was into pastureland within core agricultural regions of Argentina, Brazil, Bolivia, Paraguay, and</w:t>
      </w:r>
      <w:r w:rsidR="00980148" w:rsidRPr="008608AA">
        <w:rPr>
          <w:rFonts w:eastAsiaTheme="majorEastAsia"/>
        </w:rPr>
        <w:t xml:space="preserve"> Uruguay (Graesser et al., 2015;</w:t>
      </w:r>
      <w:r w:rsidRPr="008608AA">
        <w:rPr>
          <w:rFonts w:eastAsiaTheme="majorEastAsia"/>
        </w:rPr>
        <w:t xml:space="preserve"> </w:t>
      </w:r>
      <w:r w:rsidRPr="008608AA">
        <w:rPr>
          <w:rFonts w:eastAsiaTheme="majorEastAsia"/>
        </w:rPr>
        <w:fldChar w:fldCharType="begin" w:fldLock="1"/>
      </w:r>
      <w:r w:rsidRPr="008608AA">
        <w:rPr>
          <w:rFonts w:eastAsiaTheme="majorEastAsia"/>
        </w:rPr>
        <w:instrText>ADDIN CSL_CITATION { "citationItems" : [ { "id" : "ITEM-1", "itemData" : { "abstract" : "En Sudam\u00e9rica ocurrieron, en las \u00faltimas d\u00e9cadas, grandes transformaciones del paisaje. Como consecuencias de mejoras tecnol\u00f3gicas, nuevas condiciones en el mercado y precios internacionales, tanto pastizales como bosques o arbustales fueron transformados, principalmente para la producci\u00f3n de soja con fines de exportaci\u00f3n. A partir de teledetecci\u00f3n y Sistemas de Informaci\u00f3n Geogr\u00e1fica se analizaron series temporales de productos del sensor MODIS y se detectaron los principales sistemas de cultivos de 5 pa\u00edses de Sudam\u00e9rica. Se cartografiaron las \u00e1reas de cultivos anuales para los ciclos productivos 2000/01 y 2010/11, se evaluaron de manera espacialmente expl\u00edcita los cambios ocurridos entre los mencionados ciclos y se elaboraron hip\u00f3tesis a fin de entender dichos procesos de cambios. Se observ\u00f3 un incremento del 43% de la superficie cultivada entre ciclos, con una distribuci\u00f3n espacial heterog\u00e9nea. Los cambios m\u00e1s destacables a nivel regional fueron la disminuci\u00f3n del 66% en la superficie ocupada con cultivos de invierno como pr\u00e1ctica \u00fanica, y los incrementos del 62% y 52% en la superficie de los cultivos de verano y doble cultivos, respectivamente. La metodolog\u00eda planteada fue adecuada para llevar a cabo an\u00e1lisis que combinan una gran extensi\u00f3n de territorio y tiemp", "author" : [ { "dropping-particle" : "", "family" : "VOLANTE", "given" : "J.", "non-dropping-particle" : "", "parse-names" : false, "suffix" : "" }, { "dropping-particle" : "", "family" : "MOSCIARO", "given" : "J.", "non-dropping-particle" : "", "parse-names" : false, "suffix" : "" }, { "dropping-particle" : "", "family" : "MORALES POCLAVA", "given" : "M.", "non-dropping-particle" : "", "parse-names" : false, "suffix" : "" }, { "dropping-particle" : "", "family" : "VALE", "given" : "L.", "non-dropping-particle" : "", "parse-names" : false, "suffix" : "" }, { "dropping-particle" : "", "family" : "CASTRILLO", "given" : "S.", "non-dropping-particle" : "", "parse-names" : false, "suffix" : "" }, { "dropping-particle" : "", "family" : "SAWCHIK", "given" : "J.", "non-dropping-particle" : "", "parse-names" : false, "suffix" : "" }, { "dropping-particle" : "", "family" : "TISCORNIA", "given" : "G.", "non-dropping-particle" : "", "parse-names" : false, "suffix" : "" }, { "dropping-particle" : "", "family" : "FUENTE", "given" : "M.", "non-dropping-particle" : "", "parse-names" : false, "suffix" : "" }, { "dropping-particle" : "", "family" : "MALDONADO", "given" : "I.", "non-dropping-particle" : "", "parse-names" : false, "suffix" : "" }, { "dropping-particle" : "", "family" : "VEGA", "given" : "A.", "non-dropping-particle" : "", "parse-names" : false, "suffix" : "" }, { "dropping-particle" : "", "family" : "TRUJILLO", "given" : "R.", "non-dropping-particle" : "", "parse-names" : false, "suffix" : "" }, { "dropping-particle" : "", "family" : "CORTE\u0301Z", "given" : "L.", "non-dropping-particle" : "", "parse-names" : false, "suffix" : "" }, { "dropping-particle" : "", "family" : "PARUELO", "given" : "J.", "non-dropping-particle" : "", "parse-names" : false, "suffix" : "" } ], "container-title" : "Revista de Investigaciones Agripecurias", "id" : "ITEM-1", "issue" : "2", "issued" : { "date-parts" : [ [ "2015" ] ] }, "page" : "179-191", "title" : "Expansio\u0301n agri\u0301cola en Argentina, Bolivia, Paraguay, Uruguay y Chile entre 2000-2010. Caracterizacio\u0301n espacial mediante series temporales de i\u0301ndices de vegetacio\u0301n", "type" : "article-journal", "volume" : "41" }, "uris" : [ "http://www.mendeley.com/documents/?uuid=05f865c8-10d4-4a2c-8e04-f8e8ed074c15" ] } ], "mendeley" : { "formattedCitation" : "(VOLANTE et al. 2015)", "manualFormatting" : "Volante et al. 2015)", "plainTextFormattedCitation" : "(VOLANTE et al. 2015)", "previouslyFormattedCitation" : "(VOLANTE et al. 2015)"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Volante et al., 2015)</w:t>
      </w:r>
      <w:r w:rsidRPr="008608AA">
        <w:rPr>
          <w:rFonts w:eastAsiaTheme="majorEastAsia"/>
        </w:rPr>
        <w:fldChar w:fldCharType="end"/>
      </w:r>
      <w:r w:rsidRPr="008608AA">
        <w:rPr>
          <w:rFonts w:eastAsiaTheme="majorEastAsia"/>
        </w:rPr>
        <w:t xml:space="preserve">. Commodity crop expansion, for both global and domestic urban markets, follows multiple land change pathways entailing direct and indirect deforestation, and results in various social and environmental impacts (Meyfroidt et al., 2014). </w:t>
      </w:r>
    </w:p>
    <w:p w14:paraId="0E765756" w14:textId="63B25FD2" w:rsidR="001E61A6" w:rsidRDefault="00A8438F" w:rsidP="00CC6CB7">
      <w:pPr>
        <w:widowControl w:val="0"/>
        <w:tabs>
          <w:tab w:val="left" w:pos="220"/>
          <w:tab w:val="left" w:pos="720"/>
        </w:tabs>
        <w:autoSpaceDE w:val="0"/>
        <w:autoSpaceDN w:val="0"/>
        <w:adjustRightInd w:val="0"/>
        <w:spacing w:before="120"/>
        <w:rPr>
          <w:rFonts w:eastAsia="Arial"/>
        </w:rPr>
      </w:pPr>
      <w:r w:rsidRPr="008608AA">
        <w:rPr>
          <w:rFonts w:eastAsia="Arial"/>
        </w:rPr>
        <w:t>Forested wetlands in the w</w:t>
      </w:r>
      <w:r w:rsidR="001E61A6" w:rsidRPr="008608AA">
        <w:rPr>
          <w:rFonts w:eastAsia="Arial"/>
        </w:rPr>
        <w:t>estern Amazon, have declined only moderately in area in recent years but local defore</w:t>
      </w:r>
      <w:r w:rsidRPr="008608AA">
        <w:rPr>
          <w:rFonts w:eastAsia="Arial"/>
        </w:rPr>
        <w:t>station is more intense in the e</w:t>
      </w:r>
      <w:r w:rsidR="001E61A6" w:rsidRPr="008608AA">
        <w:rPr>
          <w:rFonts w:eastAsia="Arial"/>
        </w:rPr>
        <w:t xml:space="preserve">astern Amazon. Habitat loss in that region is mostly concentrated in the vicinity of very large cities and in the Amazon estuary </w:t>
      </w:r>
      <w:r w:rsidR="001E61A6" w:rsidRPr="008608AA">
        <w:rPr>
          <w:rFonts w:eastAsia="Arial"/>
        </w:rPr>
        <w:fldChar w:fldCharType="begin" w:fldLock="1"/>
      </w:r>
      <w:r w:rsidR="001E61A6" w:rsidRPr="008608AA">
        <w:rPr>
          <w:rFonts w:eastAsia="Arial"/>
        </w:rPr>
        <w:instrText>ADDIN CSL_CITATION { "citationItems" : [ { "id" : "ITEM-1", "itemData" : { "DOI" : "10.1016/j.ecolind.2014.09.002", "ISSN" : "1470160X", "abstract" : "The floodplain forests in the Amazon basin suffer from the continued exploitation of natural resources and, after being disturbed, show slow and sometimes irreversible recovery. Our goal was to create an index that could be used to assess the relative level of human disturbance in floodplain forests and determine the relative importance of different types of disturbance on a given site and between sites. The index proposed here (Flooded Forest Anthropization Index - FFAI) assesses human disturbance on a local scale and is composed by 15 indicators divided into three groups that represent different levels of impact: (1) simplification of ecosystems and reduction of local diversity; (2) ecosystem replacement/destruction; (3) disturbances with the potential to impact the ecosystem in both ways. The FFAI proved to be robust and revealed a wide range of values in the evaluated landscapes. The sites classified a priori as more anthropogenic showed significantly higher FFAI values than the less anthropogenic ones (0.14 ?? 0.05 and 0.08 ?? 0.02, respectively, F = 18.9, df = 19, p &lt; 0.0001). The FFAI enabled a comprehensive assessment of human disturbance on a local scale in Amazonian floodplain forests and can be a useful tool for decision makers in choosing priority areas for interventions and for targeting the type of intervention that must be carried out. Although specific to floodplains, the index can be adjusted to be used in other ecosystems.", "author" : [ { "dropping-particle" : "", "family" : "Magalh??es", "given" : "Jos?? Leonardo Lima", "non-dropping-particle" : "", "parse-names" : false, "suffix" : "" }, { "dropping-particle" : "", "family" : "Lopes", "given" : "Maria Aparecida", "non-dropping-particle" : "", "parse-names" : false, "suffix" : "" }, { "dropping-particle" : "De", "family" : "Queiroz", "given" : "Helder Lima", "non-dropping-particle" : "", "parse-names" : false, "suffix" : "" } ], "container-title" : "Ecological Indicators", "id" : "ITEM-1", "issued" : { "date-parts" : [ [ "2015" ] ] }, "page" : "440-447", "title" : "Development of a Flooded Forest Anthropization Index (FFAI) applied to Amazonian areas under pressure from different human activities", "type" : "article-journal", "volume" : "48" }, "uris" : [ "http://www.mendeley.com/documents/?uuid=7ee83804-dd99-48f4-a5d4-76f87006c3b1" ] } ], "mendeley" : { "formattedCitation" : "(Magalh??es et al. 2015)", "manualFormatting" : "( Magalh\u00e3es et al. 2015)", "plainTextFormattedCitation" : "(Magalh??es et al. 2015)", "previouslyFormattedCitation" : "(Magalh??es et al. 2015)" }, "properties" : { "noteIndex" : 0 }, "schema" : "https://github.com/citation-style-language/schema/raw/master/csl-citation.json" }</w:instrText>
      </w:r>
      <w:r w:rsidR="001E61A6" w:rsidRPr="008608AA">
        <w:rPr>
          <w:rFonts w:eastAsia="Arial"/>
        </w:rPr>
        <w:fldChar w:fldCharType="separate"/>
      </w:r>
      <w:r w:rsidR="001E61A6" w:rsidRPr="008608AA">
        <w:rPr>
          <w:rFonts w:eastAsia="Arial"/>
          <w:noProof/>
        </w:rPr>
        <w:t>(Magalhães et al., 2015)</w:t>
      </w:r>
      <w:r w:rsidR="001E61A6" w:rsidRPr="008608AA">
        <w:rPr>
          <w:rFonts w:eastAsia="Arial"/>
        </w:rPr>
        <w:fldChar w:fldCharType="end"/>
      </w:r>
      <w:r w:rsidR="001E61A6" w:rsidRPr="008608AA">
        <w:rPr>
          <w:rFonts w:eastAsia="Arial"/>
        </w:rPr>
        <w:t xml:space="preserve">. The anthropization of these wetlands involves the forest cover removal, or alternatively, sudden changes in forest composition </w:t>
      </w:r>
      <w:r w:rsidR="001E61A6" w:rsidRPr="008608AA">
        <w:rPr>
          <w:rFonts w:eastAsia="Arial"/>
        </w:rPr>
        <w:fldChar w:fldCharType="begin" w:fldLock="1"/>
      </w:r>
      <w:r w:rsidR="001E61A6" w:rsidRPr="008608AA">
        <w:rPr>
          <w:rFonts w:eastAsia="Arial"/>
        </w:rPr>
        <w:instrText>ADDIN CSL_CITATION { "citationItems" : [ { "id" : "ITEM-1", "itemData" : { "DOI" : "http://dx.doi.org/10.1016/j.foreco.2015.05.008", "ISSN" : "0378-1127", "abstract" : "Abstract Enrichment planting of a\u00e7a\u00ed palms (Euterpe oleracea Mart.) has intensified in Amazonian floodplain forests following increases in both domestic and international demand for the a\u00e7a\u00ed palm fruit, now marketed as a \u2018superfood\u2019. The consequences of this expansion for regional biodiversity are poorly understood and herein we aim to evaluate how variation in a\u00e7a\u00ed management intensity in v\u00e1rzea forests influences forest floristic composition and structure. We established 24 (10 \u00d7 100 m) sampling plots in eastern Amazonian forests managed for a\u00e7a\u00ed production and 12 sample plots in unmanaged floodplain forests. We explored variation in community structure (richness, diversity and dominance) mediated by a\u00e7a\u00ed density and habitat characteristics. We measured and identified 3168 trees belonging to 43 families, 119 genera, and 169 species. The current exploitation model practiced by Amazonian riverine communities, maintaining a mean density of 200 stem/ha, led to a loss of over 50% of tree species diversity and a 63% reduction in the number of pioneer species. This translated into a homogenization of the floristic community favoring species of economic interest. We underscore the need for multi-taxon studies to support management plans for economic\u2013ecological zoning in Amazonian v\u00e1rzea forests managed for a\u00e7a\u00ed to prevent broad-scale cryptic biodiversity loss.", "author" : [ { "dropping-particle" : "", "family" : "Freitas", "given" : "Madson Antonio Benjamin", "non-dropping-particle" : "", "parse-names" : false, "suffix" : "" }, { "dropping-particle" : "", "family" : "Vieira", "given" : "Ima C\u00e9lia Guimar\u00e3es", "non-dropping-particle" : "", "parse-names" : false, "suffix" : "" }, { "dropping-particle" : "", "family" : "Albernaz", "given" : "Ana Luisa Kerti Mangabeira", "non-dropping-particle" : "", "parse-names" : false, "suffix" : "" }, { "dropping-particle" : "", "family" : "Magalh\u00e3es", "given" : "Jos\u00e9 Leonardo Lima", "non-dropping-particle" : "", "parse-names" : false, "suffix" : "" }, { "dropping-particle" : "", "family" : "Lees", "given" : "Alexander Charles", "non-dropping-particle" : "", "parse-names" : false, "suffix" : "" } ], "container-title" : "Forest Ecology and Management", "id" : "ITEM-1", "issue" : "0", "issued" : { "date-parts" : [ [ "2015" ] ] }, "page" : "20-27", "title" : "Floristic impoverishment of Amazonian floodplain forests managed for a\u00e7a\u00ed fruit production", "type" : "article-journal", "volume" : "351" }, "uris" : [ "http://www.mendeley.com/documents/?uuid=42452ea4-8410-405c-83a7-64385b280c80" ] } ], "mendeley" : { "formattedCitation" : "(Freitas et al. 2015)", "plainTextFormattedCitation" : "(Freitas et al. 2015)", "previouslyFormattedCitation" : "(Freitas et al. 2015)" }, "properties" : { "noteIndex" : 0 }, "schema" : "https://github.com/citation-style-language/schema/raw/master/csl-citation.json" }</w:instrText>
      </w:r>
      <w:r w:rsidR="001E61A6" w:rsidRPr="008608AA">
        <w:rPr>
          <w:rFonts w:eastAsia="Arial"/>
        </w:rPr>
        <w:fldChar w:fldCharType="separate"/>
      </w:r>
      <w:r w:rsidR="001E61A6" w:rsidRPr="008608AA">
        <w:rPr>
          <w:rFonts w:eastAsia="Arial"/>
          <w:noProof/>
        </w:rPr>
        <w:t>(Freitas et al., 2015)</w:t>
      </w:r>
      <w:r w:rsidR="001E61A6" w:rsidRPr="008608AA">
        <w:rPr>
          <w:rFonts w:eastAsia="Arial"/>
        </w:rPr>
        <w:fldChar w:fldCharType="end"/>
      </w:r>
      <w:r w:rsidR="001E61A6" w:rsidRPr="008608AA">
        <w:rPr>
          <w:rFonts w:eastAsia="Arial"/>
        </w:rPr>
        <w:t xml:space="preserve">. Natural wetland habitats are continually transformed into croplands and pastures </w:t>
      </w:r>
      <w:r w:rsidR="001E61A6" w:rsidRPr="008608AA">
        <w:rPr>
          <w:rFonts w:eastAsia="Arial"/>
        </w:rPr>
        <w:fldChar w:fldCharType="begin" w:fldLock="1"/>
      </w:r>
      <w:r w:rsidR="001E61A6" w:rsidRPr="008608AA">
        <w:rPr>
          <w:rFonts w:eastAsia="Arial"/>
        </w:rPr>
        <w:instrText>ADDIN CSL_CITATION { "citationItems" : [ { "id" : "ITEM-1", "itemData" : { "DOI" : "10.1002/aqc.2386", "ISBN" : "10527613", "ISSN" : "10527613", "abstract" : "1. Although 20% of Brazilian territory is covered by wetlands, wetland inventories are still incomplete. In 1993, Brazil signed the Ramsar Convention but a coherent national policy for the sustainable management and protection of wetlands has yet to be established. 2. Major gaps in the definition of a specific wetland policy are twofold: (1) the lack of standardized criteria by which wetlands are defined and delineated that reflects the specific ecological conditions of the country and (2) the lack of a national classification of wetlands that takes into account specific hydrological conditions and respective plant communities. 3. In recent years, efforts have been made at a regional level to improve public awareness of the ecology of Brazilian wetlands, their benefits to society, and the major threats endangering them. Studies have shown that wetlands play a crucial role in the regional hydrological cycle and provide multiple benefits for local populations. Furthermore, Brazilian wetlands contribute significantly to South American biodiversity. Therefore, wetland conservation and sustainable management should be given high legislative priority. 4. This article provides a synthesis of the current body of knowledge on the distribution, hydrology, and vegetation cover of Brazilian wetlands. Their definition, delineation, and classification at the national level are proposed in order to establish a scientific basis for discussions on a nationalwetland policy thatmandates the sustainablemanagement of Brazil\u2019s extremely diverse and complex wetlands. This goal is particularly urgent in the face of the continuing and dramatic deterioration of wetlands resulting from large-scale agro-industrial expansion, and hydroelectric projects as well as the projected impact of global climate change on hydrological cycles.", "author" : [ { "dropping-particle" : "", "family" : "Junk", "given" : "W. J.", "non-dropping-particle" : "", "parse-names" : false, "suffix" : "" }, { "dropping-particle" : "", "family" : "Piedade", "given" : "M. T F", "non-dropping-particle" : "", "parse-names" : false, "suffix" : "" }, { "dropping-particle" : "", "family" : "Lourival", "given" : "R.", "non-dropping-particle" : "", "parse-names" : false, "suffix" : "" }, { "dropping-particle" : "", "family" : "Wittmann", "given" : "F.", "non-dropping-particle" : "", "parse-names" : false, "suffix" : "" }, { "dropping-particle" : "", "family" : "Kandus", "given" : "P.", "non-dropping-particle" : "", "parse-names" : false, "suffix" : "" }, { "dropping-particle" : "", "family" : "Lacerda", "given" : "L. D.", "non-dropping-particle" : "", "parse-names" : false, "suffix" : "" }, { "dropping-particle" : "", "family" : "Bozelli", "given" : "R. L.", "non-dropping-particle" : "", "parse-names" : false, "suffix" : "" }, { "dropping-particle" : "", "family" : "Esteves", "given" : "F. A.", "non-dropping-particle" : "", "parse-names" : false, "suffix" : "" }, { "dropping-particle" : "", "family" : "Nunes da Cunha", "given" : "C.", "non-dropping-particle" : "", "parse-names" : false, "suffix" : "" }, { "dropping-particle" : "", "family" : "Maltchik", "given" : "L.", "non-dropping-particle" : "", "parse-names" : false, "suffix" : "" }, { "dropping-particle" : "", "family" : "Sch??ngart", "given" : "J.", "non-dropping-particle" : "", "parse-names" : false, "suffix" : "" }, { "dropping-particle" : "", "family" : "Schaeffer-Novelli", "given" : "Y.", "non-dropping-particle" : "", "parse-names" : false, "suffix" : "" }, { "dropping-particle" : "", "family" : "Agostinho", "given" : "A. A.", "non-dropping-particle" : "", "parse-names" : false, "suffix" : "" } ], "container-title" : "Aquatic Conservation: Marine and Freshwater Ecosystems", "id" : "ITEM-1", "issue" : "1", "issued" : { "date-parts" : [ [ "2014" ] ] }, "page" : "5-22", "title" : "Brazilian wetlands: Their definition, delineation, and classification for research, sustainable management, and protection", "type" : "article-journal", "volume" : "24" }, "uris" : [ "http://www.mendeley.com/documents/?uuid=e022a476-059d-4d5f-9b9c-e0092c591e10" ] } ], "mendeley" : { "formattedCitation" : "(Junk et al. 2014)", "plainTextFormattedCitation" : "(Junk et al. 2014)", "previouslyFormattedCitation" : "(Junk et al. 2014)" }, "properties" : { "noteIndex" : 0 }, "schema" : "https://github.com/citation-style-language/schema/raw/master/csl-citation.json" }</w:instrText>
      </w:r>
      <w:r w:rsidR="001E61A6" w:rsidRPr="008608AA">
        <w:rPr>
          <w:rFonts w:eastAsia="Arial"/>
        </w:rPr>
        <w:fldChar w:fldCharType="separate"/>
      </w:r>
      <w:r w:rsidR="001E61A6" w:rsidRPr="008608AA">
        <w:rPr>
          <w:rFonts w:eastAsia="Arial"/>
          <w:noProof/>
        </w:rPr>
        <w:t>(Junk et al., 2014)</w:t>
      </w:r>
      <w:r w:rsidR="001E61A6" w:rsidRPr="008608AA">
        <w:rPr>
          <w:rFonts w:eastAsia="Arial"/>
        </w:rPr>
        <w:fldChar w:fldCharType="end"/>
      </w:r>
      <w:r w:rsidR="001E61A6" w:rsidRPr="008608AA">
        <w:rPr>
          <w:rFonts w:eastAsia="Arial"/>
        </w:rPr>
        <w:t xml:space="preserve">. </w:t>
      </w:r>
    </w:p>
    <w:p w14:paraId="4D12F5A6" w14:textId="77777777" w:rsidR="00A26FD5" w:rsidRPr="008608AA" w:rsidRDefault="00A26FD5" w:rsidP="00CC6CB7">
      <w:pPr>
        <w:widowControl w:val="0"/>
        <w:tabs>
          <w:tab w:val="left" w:pos="220"/>
          <w:tab w:val="left" w:pos="720"/>
        </w:tabs>
        <w:autoSpaceDE w:val="0"/>
        <w:autoSpaceDN w:val="0"/>
        <w:adjustRightInd w:val="0"/>
        <w:spacing w:before="120"/>
      </w:pPr>
    </w:p>
    <w:p w14:paraId="6D013277" w14:textId="785B2B7E" w:rsidR="001E61A6" w:rsidRPr="008608AA" w:rsidRDefault="001E61A6" w:rsidP="00CC6CB7">
      <w:pPr>
        <w:widowControl w:val="0"/>
        <w:tabs>
          <w:tab w:val="left" w:pos="220"/>
          <w:tab w:val="left" w:pos="720"/>
        </w:tabs>
        <w:autoSpaceDE w:val="0"/>
        <w:autoSpaceDN w:val="0"/>
        <w:adjustRightInd w:val="0"/>
        <w:spacing w:before="120"/>
      </w:pPr>
      <w:r w:rsidRPr="008608AA">
        <w:rPr>
          <w:rFonts w:eastAsia="Arial"/>
        </w:rPr>
        <w:t xml:space="preserve">In recent years many new large dams have been planned for the Amazon and its connection to the Andes </w:t>
      </w:r>
      <w:r w:rsidRPr="008608AA">
        <w:rPr>
          <w:rFonts w:eastAsia="Arial"/>
        </w:rPr>
        <w:fldChar w:fldCharType="begin" w:fldLock="1"/>
      </w:r>
      <w:r w:rsidRPr="008608AA">
        <w:rPr>
          <w:rFonts w:eastAsia="Arial"/>
        </w:rPr>
        <w:instrText>ADDIN CSL_CITATION { "citationItems" : [ { "id" : "ITEM-1", "itemData" : { "DOI" : "10.1371/journal.pone.0035126", "ISBN" : "1932-6203", "ISSN" : "19326203", "PMID" : "22529979", "abstract" : "Due to rising energy demands and abundant untapped potential, hydropower projects are rapidly increasing in the Neotropics. This is especially true in the wet and rugged Andean Amazon, where regional governments are prioritizing new hydroelectric dams as the centerpiece of long-term energy plans. However, the current planning for hydropower lacks adequate regional and basin-scale assessment of potential ecological impacts. This lack of strategic planning is particularly problematic given the intimate link between the Andes and Amazonian flood plain, together one of the most species rich zones on Earth. We examined the potential ecological impacts, in terms of river connectivity and forest loss, of the planned proliferation of hydroelectric dams across all Andean tributaries of the Amazon River. Considering data on the full portfolios of existing and planned dams, along with data on roads and transmission line systems, we developed a new conceptual framework to estimate the relative impacts of all planned dams. There are plans for 151 new dams greater than 2 MW over the next 20 years, more than a 300% increase. These dams would include five of the six major Andean tributaries of the Amazon. Our ecological impact analysis classified 47% of the potential new dams as high impact and just 19% as low impact. Sixty percent of the dams would cause the first major break in connectivity between protected Andean headwaters and the lowland Amazon. More than 80% would drive deforestation due to new roads, transmission lines, or inundation. We conclude with a discussion of three major policy implications of these findings. 1) There is a critical need for further strategic regional and basin scale evaluation of dams. 2) There is an urgent need for a strategic plan to maintain Andes-Amazon connectivity. 3) Reconsideration of hydropower as a low-impact energy source in the Neotropics.", "author" : [ { "dropping-particle" : "", "family" : "Finer", "given" : "Matt", "non-dropping-particle" : "", "parse-names" : false, "suffix" : "" }, { "dropping-particle" : "", "family" : "Jenkins", "given" : "Clinton N.", "non-dropping-particle" : "", "parse-names" : false, "suffix" : "" } ], "container-title" : "PLoS ONE", "id" : "ITEM-1", "issue" : "4", "issued" : { "date-parts" : [ [ "2012" ] ] }, "title" : "Proliferation of hydroelectric dams in the andean amazon and implications for andes-amazon connectivity", "type" : "article-journal", "volume" : "7" }, "uris" : [ "http://www.mendeley.com/documents/?uuid=7cfc11a5-ea29-4f8b-bcaf-3d3564296d92" ] } ], "mendeley" : { "formattedCitation" : "(Finer and Jenkins 2012)", "plainTextFormattedCitation" : "(Finer and Jenkins 2012)", "previouslyFormattedCitation" : "(Finer and Jenkins 2012)" }, "properties" : { "noteIndex" : 0 }, "schema" : "https://github.com/citation-style-language/schema/raw/master/csl-citation.json" }</w:instrText>
      </w:r>
      <w:r w:rsidRPr="008608AA">
        <w:rPr>
          <w:rFonts w:eastAsia="Arial"/>
        </w:rPr>
        <w:fldChar w:fldCharType="separate"/>
      </w:r>
      <w:r w:rsidRPr="008608AA">
        <w:rPr>
          <w:rFonts w:eastAsia="Arial"/>
          <w:noProof/>
        </w:rPr>
        <w:t xml:space="preserve">(Finer </w:t>
      </w:r>
      <w:r w:rsidR="00980148" w:rsidRPr="008608AA">
        <w:rPr>
          <w:rFonts w:eastAsia="Arial"/>
          <w:noProof/>
        </w:rPr>
        <w:t>&amp;</w:t>
      </w:r>
      <w:r w:rsidRPr="008608AA">
        <w:rPr>
          <w:rFonts w:eastAsia="Arial"/>
          <w:noProof/>
        </w:rPr>
        <w:t xml:space="preserve"> Jenkins</w:t>
      </w:r>
      <w:r w:rsidR="00980148" w:rsidRPr="008608AA">
        <w:rPr>
          <w:rFonts w:eastAsia="Arial"/>
          <w:noProof/>
        </w:rPr>
        <w:t>, 2012;</w:t>
      </w:r>
      <w:r w:rsidRPr="008608AA">
        <w:rPr>
          <w:rFonts w:eastAsia="Arial"/>
          <w:noProof/>
        </w:rPr>
        <w:t xml:space="preserve"> </w:t>
      </w:r>
      <w:r w:rsidRPr="008608AA">
        <w:rPr>
          <w:rFonts w:eastAsia="Arial"/>
        </w:rPr>
        <w:fldChar w:fldCharType="end"/>
      </w:r>
      <w:r w:rsidRPr="008608AA">
        <w:rPr>
          <w:rFonts w:eastAsia="Arial"/>
        </w:rPr>
        <w:fldChar w:fldCharType="begin" w:fldLock="1"/>
      </w:r>
      <w:r w:rsidRPr="008608AA">
        <w:rPr>
          <w:rFonts w:eastAsia="Arial"/>
        </w:rPr>
        <w:instrText>ADDIN CSL_CITATION { "citationItems" : [ { "id" : "ITEM-1", "itemData" : { "DOI" : "10.1007/s11027-012-9382-6", "ISBN" : "1381-2386\\r1573-1596", "ISSN" : "13812386", "abstract" : "Carbon credit is granted to hydroelectric dams under the United Nations Framework Convention on Climate Change Kyoto Protocol\u2019s Clean Development Mechanism (CDM) under the assumptions that (1) the dams would not be built without CDM funding and (2) over the 7 to 10-year duration of the projects the dams would haveminimal emissions as compared to the fossil fuel-generated electricity they displace. Both of these assumptions are false, especially in the case of tropical dams such as those planned in Amazonia. Brazil\u2019s Teles Pires Dam, now under construction, provides a concrete example indicating the need for reform of CDM regulations by eliminating credit for hydroelectric dams.", "author" : [ { "dropping-particle" : "", "family" : "Fearnside", "given" : "Philip M.", "non-dropping-particle" : "", "parse-names" : false, "suffix" : "" } ], "container-title" : "Mitigation and Adaptation Strategies for Global Change", "id" : "ITEM-1", "issue" : "5", "issued" : { "date-parts" : [ [ "2013" ] ] }, "page" : "691-699", "title" : "Carbon credit for hydroelectric dams as a source of greenhouse-gas emissions: The example of Brazil's Teles Pires Dam", "type" : "article-journal", "volume" : "18" }, "uris" : [ "http://www.mendeley.com/documents/?uuid=dd0a76bb-99ca-4622-8bce-c3a38314f783" ] } ], "mendeley" : { "formattedCitation" : "(Fearnside 2013)", "plainTextFormattedCitation" : "(Fearnside 2013)", "previouslyFormattedCitation" : "(Fearnside 2013)" }, "properties" : { "noteIndex" : 0 }, "schema" : "https://github.com/citation-style-language/schema/raw/master/csl-citation.json" }</w:instrText>
      </w:r>
      <w:r w:rsidRPr="008608AA">
        <w:rPr>
          <w:rFonts w:eastAsia="Arial"/>
        </w:rPr>
        <w:fldChar w:fldCharType="separate"/>
      </w:r>
      <w:r w:rsidRPr="008608AA">
        <w:rPr>
          <w:rFonts w:eastAsia="Arial"/>
          <w:noProof/>
        </w:rPr>
        <w:t>Fearnside</w:t>
      </w:r>
      <w:r w:rsidR="00980148" w:rsidRPr="008608AA">
        <w:rPr>
          <w:rFonts w:eastAsia="Arial"/>
          <w:noProof/>
        </w:rPr>
        <w:t>,</w:t>
      </w:r>
      <w:r w:rsidRPr="008608AA">
        <w:rPr>
          <w:rFonts w:eastAsia="Arial"/>
          <w:noProof/>
        </w:rPr>
        <w:t xml:space="preserve"> 2013)</w:t>
      </w:r>
      <w:r w:rsidRPr="008608AA">
        <w:rPr>
          <w:rFonts w:eastAsia="Arial"/>
        </w:rPr>
        <w:fldChar w:fldCharType="end"/>
      </w:r>
      <w:r w:rsidRPr="008608AA">
        <w:rPr>
          <w:rFonts w:eastAsia="Arial"/>
        </w:rPr>
        <w:t xml:space="preserve">, causing deforestation and habitat loss (mainly riverine habitats, forming wetland patches along the river side) as main impacts (among others) </w:t>
      </w:r>
      <w:r w:rsidRPr="008608AA">
        <w:rPr>
          <w:rFonts w:eastAsia="Arial"/>
        </w:rPr>
        <w:fldChar w:fldCharType="begin" w:fldLock="1"/>
      </w:r>
      <w:r w:rsidRPr="008608AA">
        <w:rPr>
          <w:rFonts w:eastAsia="Arial"/>
        </w:rPr>
        <w:instrText>ADDIN CSL_CITATION { "citationItems" : [ { "id" : "ITEM-1", "itemData" : { "DOI" : "10.1007/s10980-013-9962-1", "ISBN" : "0921-2973", "ISSN" : "09212973", "abstract" : "Analysis of precipitation and river flows for 3 major river basins using coupled climatic and hydrologic models, to perform simulations under several deforestation scenarios. Deforestation (replacement of forests by C4 grasslands) alters evapotranspiration and precipitation, increases the dry-season length and the seasonal amplitude of water flow_____ ABSTRACT: Forests, through the regulation of regional water balances, provide a number of ecosystem services, including water for agriculture, hydroelectric power generation, navigation, industry, fisheries, and human consumption. Large-scale deforestation triggers complex non-linear interactions between the atmosphere and biosphere, which may impair such important ecosystem services. This is the case for the Southwestern Amazon, where three important river basins (Juru\u00e1, Purus, and Madeira) are undergoing significant land-use changes. Here, we investigate the potential impacts of deforestation throughout the Amazon on the seasonal and annual water balances of these river basins using coupled climatic and hydrologic models under several deforestation scenarios. Simulations without climate response to deforestation show an increase in river discharge proportional to the area deforested in each basin, whereas those with climate response produce progressive reductions in mean annual precipitation over all three basins. In this case, deforestation decreases the mean annual discharge of the Juru\u00e1 and Purus rivers, but increases that of the Madeira, because the deforestation-induced reduction in evapotranspiration is large enough to increase runoff and thus offset the reduction in precipitation. The effects of Amazon deforestation on river discharge are scale-dependent and vary across and within river basins. Reduction in precipitation due to deforestation is most severe at the end of the dry season. As a result, deforestation increases the dry-season length and the seasonal amplitude of water flow. These effects may aggravate the economic losses from large droughts and floods, such as those experienced in recent years (2005, 2010 and 2009, 2012, respectively).", "author" : [ { "dropping-particle" : "", "family" : "Lima", "given" : "Let\u00edcia S.", "non-dropping-particle" : "", "parse-names" : false, "suffix" : "" }, { "dropping-particle" : "", "family" : "Coe", "given" : "Michael T.", "non-dropping-particle" : "", "parse-names" : false, "suffix" : "" }, { "dropping-particle" : "", "family" : "Soares Filho", "given" : "Britaldo S.", "non-dropping-parti</w:instrText>
      </w:r>
      <w:r w:rsidRPr="008608AA">
        <w:rPr>
          <w:rFonts w:eastAsia="Arial"/>
          <w:lang w:val="pt-BR"/>
        </w:rPr>
        <w:instrText>cle" : "", "parse-names" : false, "suffix" : "" }, { "dropping-particle" : "V.", "family" : "Cuadra", "given" : "Santiago", "non-dropping-particle" : "", "parse-names" : false, "suffix" : "" }, { "dropping-particle" : "", "family" : "Dias", "given" : "L\u00edvia C P", "non-dropping-particle" : "", "parse-names" : false, "suffix" : "" }, { "dropping-particle" : "", "family" : "Costa", "given" : "Marcos H.", "non-dropping-particle" : "", "parse-names" : false, "suffix" : "" }, { "dropping-particle" : "", "family" : "Lima", "given" : "Leandro S.", "non-dropping-particle" : "", "parse-names" : false, "suffix" : "" }, { "dropping-particle" : "", "family" : "Rodrigues", "given" : "Hermann O.", "non-dropping-particle" : "", "parse-names" : false, "suffix" : "" } ], "container-title" : "Landscape Ecology", "id" : "ITEM-1", "issue" : "2", "issued" : { "date-parts" : [ [ "2014" ] ] }, "page" : "261-274", "title" : "Feedbacks between deforestation, climate, and hydrology in the Southwestern Amazon: Implications for the provision of ecosystem services", "type" : "article-journal", "volume" : "29" }, "uris" : [ "http://www.mendeley.com/documents/?uuid=c80cae0f-d4cc-4eb7-ad15-f5973e783b97" ] } ], "mendeley" : { "formattedCitation" : "(Lima et al. 2014)", "plainTextFormattedCitation" : "(Lima et al. 2014)", "previouslyFormattedCitation" : "(Lima et al. 2014)" }, "properties" : { "noteIndex" : 0 }, "schema" : "https://github.com/citation-style-language/schema/raw/master/csl-citation.json" }</w:instrText>
      </w:r>
      <w:r w:rsidRPr="008608AA">
        <w:rPr>
          <w:rFonts w:eastAsia="Arial"/>
        </w:rPr>
        <w:fldChar w:fldCharType="separate"/>
      </w:r>
      <w:r w:rsidRPr="008608AA">
        <w:rPr>
          <w:rFonts w:eastAsia="Arial"/>
          <w:noProof/>
          <w:lang w:val="pt-BR"/>
        </w:rPr>
        <w:t>(Lima et al., 2014</w:t>
      </w:r>
      <w:r w:rsidRPr="008608AA">
        <w:rPr>
          <w:rFonts w:eastAsia="Arial"/>
        </w:rPr>
        <w:fldChar w:fldCharType="end"/>
      </w:r>
      <w:r w:rsidRPr="008608AA">
        <w:rPr>
          <w:rFonts w:eastAsia="Arial"/>
          <w:lang w:val="pt-BR"/>
        </w:rPr>
        <w:t xml:space="preserve">, </w:t>
      </w:r>
      <w:r w:rsidRPr="008608AA">
        <w:rPr>
          <w:rFonts w:eastAsia="Arial"/>
        </w:rPr>
        <w:fldChar w:fldCharType="begin" w:fldLock="1"/>
      </w:r>
      <w:r w:rsidRPr="008608AA">
        <w:rPr>
          <w:rFonts w:eastAsia="Arial"/>
          <w:lang w:val="pt-BR"/>
        </w:rPr>
        <w:instrText>ADDIN CSL_CITATION { "citationItems" : [ { "id" : "ITEM-1", "itemData" : { "DOI" : "http://dx.doi.org/10.1590/S0100-84042012000200005", "ISBN" : "1806-9959", "ISSN" : "1806-9959", "abstract" : "There is an important pioneer vegetation formation along the Xingu River in the area where the Belo Monte hydroelectric dam is being constructed that is highly adapted to a seasonally fluctuating water levels. The aim of this study was to examine the habitat and flora of the pioneer formations in the Belo Monte area. The area was divided in three sections for study purposes (Reservoir, Low Flow, and Control) that were expected to experience different degrees of impact from the dam project. The calculations of habitat losses were based on satellite imagery classifications, and a total of 111 plots were established in the three areas for vegetation sampling. Habitat losses of the pioneer formations will total 89.7% when the project is fully functional. Forty-five of the 72 recorded species are restricted to single areas. Species richness and diversity were significantly lower in the control area. The completion of the Belo Monte reservoir will result in habitat reductions and will consequently reduce the richness and diversity of pioneer formations. Studies suggest monitoring the populations located in the reduced flow area to determine possible impacts resulting from changes in the regional hydrological cycle caused by the Xingu River dam.", "author" : [ { "dropping-particle" : "", "family" : "Cunha", "given" : "Denise D E Andrade", "non-dropping-particle" : "", "parse-names" : false, "suffix" : "" }, { "dropping-particle" : "", "family" : "Ferreira", "given" : "Leandro Valle", "non-dropping-particle" : "", "parse-names" : false, "suffix" : "" } ], "container-title" : "Brazilian Journal of Botany", "id" : "ITEM-1", "issue" : "2", "issued" : { "date-parts" : [ [ "2012" ] ] }, "page" : "159-167", "title" : "Impacts of the Belo Monte hydroelectric dam construction on pioneer vegetation formations along the Xingu River , Par\u00e1 State , Brazil", "type" : "article-journal", "volume" : "35" }, "uris" : [ "http://www.mendeley.com/documents/?uuid=3c712b77-4c71-44f6-aa2c-e3fcdeeff409" ] } ], "mendeley" : { "formattedCitation" : "(Cunha and Ferreira 2012)", "plainTextFormattedCitation" : "(Cunha and Ferreira 2012)", "previouslyFormattedCitation" : "(Cunha and Ferreira 2012)" }, "properties" : { "noteIndex" : 0 }, "schema" : "https://github.com/citation-style-language/schema/raw/master/csl-citation.json" }</w:instrText>
      </w:r>
      <w:r w:rsidRPr="008608AA">
        <w:rPr>
          <w:rFonts w:eastAsia="Arial"/>
        </w:rPr>
        <w:fldChar w:fldCharType="separate"/>
      </w:r>
      <w:r w:rsidRPr="008608AA">
        <w:rPr>
          <w:rFonts w:eastAsia="Arial"/>
          <w:noProof/>
          <w:lang w:val="pt-BR"/>
        </w:rPr>
        <w:t xml:space="preserve">Cunha </w:t>
      </w:r>
      <w:r w:rsidR="00980148" w:rsidRPr="008608AA">
        <w:rPr>
          <w:rFonts w:eastAsia="Arial"/>
          <w:noProof/>
          <w:lang w:val="pt-BR"/>
        </w:rPr>
        <w:t>&amp;</w:t>
      </w:r>
      <w:r w:rsidRPr="008608AA">
        <w:rPr>
          <w:rFonts w:eastAsia="Arial"/>
          <w:noProof/>
          <w:lang w:val="pt-BR"/>
        </w:rPr>
        <w:t xml:space="preserve"> Ferreira</w:t>
      </w:r>
      <w:r w:rsidR="00980148" w:rsidRPr="008608AA">
        <w:rPr>
          <w:rFonts w:eastAsia="Arial"/>
          <w:noProof/>
          <w:lang w:val="pt-BR"/>
        </w:rPr>
        <w:t>, 2012;</w:t>
      </w:r>
      <w:r w:rsidRPr="008608AA">
        <w:rPr>
          <w:rFonts w:eastAsia="Arial"/>
          <w:noProof/>
          <w:lang w:val="pt-BR"/>
        </w:rPr>
        <w:t xml:space="preserve"> </w:t>
      </w:r>
      <w:r w:rsidRPr="008608AA">
        <w:rPr>
          <w:rFonts w:eastAsia="Arial"/>
        </w:rPr>
        <w:fldChar w:fldCharType="end"/>
      </w:r>
      <w:r w:rsidRPr="008608AA">
        <w:rPr>
          <w:rFonts w:eastAsia="Arial"/>
        </w:rPr>
        <w:fldChar w:fldCharType="begin" w:fldLock="1"/>
      </w:r>
      <w:r w:rsidRPr="008608AA">
        <w:rPr>
          <w:rFonts w:eastAsia="Arial"/>
          <w:lang w:val="pt-BR"/>
        </w:rPr>
        <w:instrText>ADDIN CSL_CITATION { "citationItems" : [ { "id" : "ITEM-1", "itemData" : { "DOI" : "10.1590/S0001-37652013000300012", "ISBN" : "0001-3765", "ISSN" : "00013765", "PMID" : "24068089", "abstract" : "The major rivers of the Amazon River basin and their biota are threatened by the planned construction of large hydroelectric dams that are expected to have strong impacts on floodplain plant communities. The present study presents forest inventories from three floodplain sites colonized by alluvial riparian vegetation in the Tapaj\u00f3s, Xingu and Tocantins River basins in eastern Amazonian. Results indicate that tree species of the highly specialized alluvial riparian vegetation are clearly distinct among the three river basins, although they are not very distinct from each other and environmental constraints are very similar. With only 6 of 74 species occurring in all three inventories, most tree and shrub species are restricted to only one of the rivers, indicating a high degree of local distribution. Different species occupy similar environmental niches, making these fragile riparian formations highly valuable. Conservation plans must consider species complementarily when decisions are made on where to place floodplain forest conservation units to avoid the irreversible loss of unique alluvial riparian vegetation biodiversity.", "author" : [ { "dropping-particle" : "", "family" : "Ferreira", "given" : "Leandro Valle", "non-dropping-particle" : "", "parse-names" : false, "suffix" : "" }, { "dropping-particle" : "", "family" : "Cunha", "given" : "Denise A.", "non-dropping-particle" : "", "parse-names" : false, "suffix" : "" }, { "dropping-particle" : "", "family" : "Chaves", "given" : "Priscilla P.", "non-dropping-particle" : "", "parse-names" : false, "suffix" : "" }, { "dropping-particle" : "", "family" : "Matos", "given" : "Darley C L", "non-dropping-particle" : "", "parse-names" : false, "suffix" : "" }, { "dropping-particle" : "", "family" : "Parolin", "given" : "Pia", "non-dropping-particle" : "", "parse-names" : false, "suffix" : "" } ], "container-title" : "Anais da Academia Brasileira de Ciencias", "id" : "ITEM-1", "issue" : "3", "issued" : { "date-parts" : [ [ "2013" ] ] }, "page" : "1013-1023", "title" : "Impacts of hydroelectric dams on alluvial riparian plant communities in eastern Brazilian Amazonian", "type" : "article-journal", "volume" : "85" }, "uris" : [ "http://www.mendeley.com/documents/?uuid=368815c1-809b-42d2-b58c-2dbb1f35c547" ] } ], "mendeley" : { "formattedCitation" : "(Ferreira et al. 2013)", "plainTextFormattedCitation" : "(Ferreira et al. 2013)", "previouslyFormattedCitation" : "(Ferreira et al. 2013)" }, "properties" : { "noteIndex" : 0 }, "schema" : "https://github.com/citation-style-language/schema/raw/master/csl-citation.json" }</w:instrText>
      </w:r>
      <w:r w:rsidRPr="008608AA">
        <w:rPr>
          <w:rFonts w:eastAsia="Arial"/>
        </w:rPr>
        <w:fldChar w:fldCharType="separate"/>
      </w:r>
      <w:r w:rsidRPr="008608AA">
        <w:rPr>
          <w:rFonts w:eastAsia="Arial"/>
          <w:noProof/>
          <w:lang w:val="pt-BR"/>
        </w:rPr>
        <w:t>Ferreira et al., 2013)</w:t>
      </w:r>
      <w:r w:rsidRPr="008608AA">
        <w:rPr>
          <w:rFonts w:eastAsia="Arial"/>
        </w:rPr>
        <w:fldChar w:fldCharType="end"/>
      </w:r>
      <w:r w:rsidRPr="008608AA">
        <w:rPr>
          <w:rFonts w:eastAsia="Arial"/>
          <w:lang w:val="pt-BR"/>
        </w:rPr>
        <w:t xml:space="preserve">. </w:t>
      </w:r>
      <w:r w:rsidRPr="008608AA">
        <w:rPr>
          <w:rFonts w:eastAsia="Arial"/>
          <w:lang w:val="es-CO"/>
        </w:rPr>
        <w:t xml:space="preserve">Further, dam construction comes with huge social and economic costs involved </w:t>
      </w:r>
      <w:r w:rsidRPr="008608AA">
        <w:rPr>
          <w:rFonts w:eastAsia="Arial"/>
        </w:rPr>
        <w:fldChar w:fldCharType="begin" w:fldLock="1"/>
      </w:r>
      <w:r w:rsidRPr="008608AA">
        <w:rPr>
          <w:rFonts w:eastAsia="Arial"/>
          <w:lang w:val="es-CO"/>
        </w:rPr>
        <w:instrText>ADDIN CSL_CITATION { "citationItems" : [ { "id" : "ITEM-1", "itemData" : { "DOI" : "10.1007/s00267-004-0100-3", "ISBN" : "0364-152X", "ISSN" : "0364152X", "PMID" : "15984060", "abstract" : "Brazil's Samuel Dam, which formed a 540-km2 reservoir in the state of Rond\u00f4nia in 1988, provides lessons for development decisions throughout Amazonia and in other tropical areas. The decision to build the dam was heavily influenced by its role in the political strategies of key decision makers. Samuel illustrates both impacts and benefits of electricity supply and the dilemmas facing decision makers regarding the various options for planned electricity generation. Environmental costs included flooding forest and stimulating illegal logging activity throughout western Amazonia because of an exception opened for Samuel in Brazil's prohibition of export of raw logs. Samuel emitted substantially more greenhouse gases than would have been emitted by generating the same amount of electricity from oil. Contamination of fish in the reservoir resulted from methylation of mercury present in the soil. Social costs of the dam included resettlement of 238 families of farmers; impacts on indigenous people were indirect. Mitigating measures included faunal rescue and creation of a forest reserve. The lessons of Samuel include the need to consider a full range of alternatives prior to making decisions in practice and the i</w:instrText>
      </w:r>
      <w:r w:rsidRPr="008608AA">
        <w:rPr>
          <w:rFonts w:eastAsia="Arial"/>
        </w:rPr>
        <w:instrText>mportance of adhering to the logical sequence of decision making, where information is gathered and compared prior to the decision. It also shows the need to maintain flexibility when the costs and benefits of different alternatives change significantly over the course of the project's planning and execution, as occurred at Samuel.", "author" : [ { "dropping-particle" : "", "family" : "Fearnside", "given" : "Philip M.", "non-dropping-particle" : "", "parse-names" : false, "suffix" : "" } ], "container-title" : "Environmental Management", "id" : "ITEM-1", "issue" : "1", "issued" : { "date-parts" : [ [ "2005" ] ] }, "page" : "1-19", "title" : "Brazil's Samuel Dam: Lessons for hydroelectric development policy and the environment in Amazonia", "type" : "article-journal", "volume" : "35" }, "uris" : [ "http://www.mendeley.com/documents/?uuid=ebb91566-6f3a-40e4-a16d-c53d3153d356" ] }, { "id" : "ITEM-2", "itemData" : { "DOI" : "10.1007/s13280-015-0642-z", "ISSN" : "00447447", "PMID" : "25794814", "abstract" : "Brazil plans to build 43 \u2018\u2018large\u2019\u2019 dams ([30MW) in theTapajo \u00b4s Basin, tenofwhich are priorities for completion by 2022. Impacts include flooding indigenous lands and conservation units. The Tapajo \u00b4s River and two tributaries (the Juruena and Teles Pires Rivers) are also the focus of plans for waterways to transport soybeans fromMatoGrosso toportson the Amazon River. Dams would allow barges to pass rapids and waterfalls. The waterway plans require dams in a continuous chain, including the Chacora \u02dco Dam that would flood 18 700 ha of the Munduruku Indigenous Land. Protections in Brazil\u2019s constitution and legislation and in international conventions are easily neutralized through application of \u2018\u2018security suspensions,\u2019\u2019 as has already occurred during licensing of several dams currently under construction in the Tapajo \u00b4s Basin. Feware aware of \u2018\u2018security suspensions,\u2019\u2019 resulting in little impetus to change these laws.", "author" : [ { "dropping-particle" : "", "family" : "Fearnside", "given" : "Philip M.", "non-dropping-particle" : "", "parse-names" : false, "suffix" : "" } ], "container-title" : "Ambio", "id" : "ITEM-2", "issue" : "5", "issued" : { "date-parts" : [ [ "2015" ] ] }, "page" : "426-439", "title" : "Amazon dams and waterways: Brazil???s Tapaj??s Basin plans", "type" : "article-journal", "volume" : "44" }, "uris" : [ "http://www.mendeley.com/documents/?uuid=6d80d3ca-abfe-474c-a0f1-be567c5f4d5e" ] } ], "mendeley" : { "formattedCitation" : "(Fearnside 2005, 2015)", "plainTextFormattedCitation" : "(Fearnside 2005, 2015)", "previouslyFormattedCitation" : "(Fearnside 2005, 2015)" }, "properties" : { "noteIndex" : 0 }, "schema" : "https://github.com/citation-style-language/schema/raw/master/csl-citation.json" }</w:instrText>
      </w:r>
      <w:r w:rsidRPr="008608AA">
        <w:rPr>
          <w:rFonts w:eastAsia="Arial"/>
        </w:rPr>
        <w:fldChar w:fldCharType="separate"/>
      </w:r>
      <w:r w:rsidR="00980148" w:rsidRPr="008608AA">
        <w:rPr>
          <w:rFonts w:eastAsia="Arial"/>
          <w:noProof/>
        </w:rPr>
        <w:t>(Fearnside 2005 and</w:t>
      </w:r>
      <w:r w:rsidRPr="008608AA">
        <w:rPr>
          <w:rFonts w:eastAsia="Arial"/>
          <w:noProof/>
        </w:rPr>
        <w:t xml:space="preserve"> 2015)</w:t>
      </w:r>
      <w:r w:rsidRPr="008608AA">
        <w:rPr>
          <w:rFonts w:eastAsia="Arial"/>
        </w:rPr>
        <w:fldChar w:fldCharType="end"/>
      </w:r>
      <w:r w:rsidRPr="008608AA">
        <w:rPr>
          <w:rFonts w:eastAsia="Arial"/>
        </w:rPr>
        <w:t xml:space="preserve">.  About 60% of the rural population lives inside várzeas (basin), and all major large cities are inside or on the border of flooded environments. Most timber and a significant part of the beef, fruits and vegetables consumed in urban areas are produced in these wetlands. Additionally, most of the fish consumed come from the white-water rivers and their floodplains </w:t>
      </w:r>
      <w:r w:rsidRPr="008608AA">
        <w:rPr>
          <w:rFonts w:eastAsia="Arial"/>
        </w:rPr>
        <w:fldChar w:fldCharType="begin" w:fldLock="1"/>
      </w:r>
      <w:r w:rsidRPr="008608AA">
        <w:rPr>
          <w:rFonts w:eastAsia="Arial"/>
        </w:rPr>
        <w:instrText>ADDIN CSL_CITATION { "citationItems" : [ { "id" : "ITEM-1", "itemData" : { "DOI" : "10.1007/s11273-012-9268-0", "ISBN" : "1127301292", "ISSN" : "09234861", "abstract" : "Most countries sharing the Amazon basin have signed the Ramsar Convention on Wetlands of International Importance but still lack complete wetland inventories, classification systems, and management plans. Amazonian wetlands vary considerably with respect to hydrology, water and soil fertility, vegetation cover, diversity in plant and animal species and primary and secondary productivity. Here, we propose a classification system of major natural habitats of Amazonian white-water river floodplains (v\u00e1rzeas) based on hydrological, water and soil chemistry and biological parameters. The Amazonian v\u00e1rzea is one of the largest Amazonian wetlands. It is exceptionally rich in plant and animal species and plays important roles in landscape history, evolution, hydrology and biogeochemical cycles of the Amazon basin. Most of Amazonia\u2019s rural population lives in or along the v\u00e1rzea, emphasizing the economic importance of its natural resources. Our classification indicates five major systems, which are subdivided into 10 main habitats and up to 40 functional (vegetation) units of which the most important mesohabitats are described. We understand this classification as a dynamic system, as it is open to the inclusion of future research attempts and habitats without affecting the entire classification system. Our classification may be used for scientific purposes, such as comparative studies on biomass, productivity, biogeochemical cycles and biodiversity. Also, because the classification builds on habitat types and/or vegetation and functional units already distinguished by the local population it may be especially useful in guiding intelligent use of v\u00e1rzea habitat for specific management activities, such as agriculture, animal husbandry, forestry, fisheries, and conservation.", "author" : [ { "dropping-particle" : "", "family" : "Junk", "given" : "Wolfgang J.", "non-dropping-particle" : "", "parse-names" : false, "suffix" : "" }, { "dropping-particle" : "", "family" : "Piedade", "given" : "Maria Teresa Fernandez", "non-dropping-particle" : "", "parse-names" : false, "suffix" : "" }, { "dropping-particle" : "", "family" : "Sch\u00f6ngart", "given" : "Jochen", "non-dropping-particle" : "", "parse-names" : false, "suffix" : "" }, { "dropping-particle" : "", "family" : "Wittmann", "given" : "Florian", "non-dropping-particle" : "", "parse-names" : false, "suffix" : "" } ], "container-title" : "Wetlands Ecology and Management", "id" : "ITEM-1", "issue" : "6", "issued" : { "date-parts" : [ [ "2012" ] ] }, "page" : "461-475", "title" : "A classification of major natural habitats of Amazonian white-water river floodplains (v\u00e1rzeas)", "type" : "article-journal", "volume" : "20" }, "uris" : [ "http://www.mendeley.com/documents/?uuid=a6baf77c-1680-4fa0-bb56-e00e20e2b0b3" ] } ], "mendeley" : { "formattedCitation" : "(Junk et al. 2012)", "plainTextFormattedCitation" : "(Junk et al. 2012)", "previouslyFormattedCitation" : "(Junk et al. 2012)" }, "properties" : { "noteIndex" : 0 }, "schema" : "https://github.com/citation-style-language/schema/raw/master/csl-citation.json" }</w:instrText>
      </w:r>
      <w:r w:rsidRPr="008608AA">
        <w:rPr>
          <w:rFonts w:eastAsia="Arial"/>
        </w:rPr>
        <w:fldChar w:fldCharType="separate"/>
      </w:r>
      <w:r w:rsidRPr="008608AA">
        <w:rPr>
          <w:rFonts w:eastAsia="Arial"/>
          <w:noProof/>
        </w:rPr>
        <w:t>(Junk et al., 2012)</w:t>
      </w:r>
      <w:r w:rsidRPr="008608AA">
        <w:rPr>
          <w:rFonts w:eastAsia="Arial"/>
        </w:rPr>
        <w:fldChar w:fldCharType="end"/>
      </w:r>
      <w:r w:rsidRPr="008608AA">
        <w:rPr>
          <w:rFonts w:eastAsia="Arial"/>
        </w:rPr>
        <w:t xml:space="preserve">. Wetlands also provide other benefits to people </w:t>
      </w:r>
      <w:r w:rsidRPr="008608AA">
        <w:rPr>
          <w:rFonts w:eastAsia="Arial"/>
        </w:rPr>
        <w:fldChar w:fldCharType="begin" w:fldLock="1"/>
      </w:r>
      <w:r w:rsidRPr="008608AA">
        <w:rPr>
          <w:rFonts w:eastAsia="Arial"/>
        </w:rPr>
        <w:instrText>ADDIN CSL_CITATION { "citationItems" : [ { "id" : "ITEM-1", "itemData" : { "DOI" : "10.1111/conl.12008", "ISBN" : "1755-263X", "ISSN" : "1755263X", "abstract" : "The hydrological connectivity of freshwater ecosystems in the Amazon basin makes them highly sensitive to a broad range of anthropogenic activities occur- ring in aquatic and terrestrial systems at local and distant locations. Amazon freshwater ecosystems are suffering escalating impacts caused by expansions in deforestation, pollution, construction of dams and waterways, and over- harvesting of animal and plant species. The natural functions of these ecosys- tems are changing, and their capacity to provide historically important goods and services is declining. Existing management policies\u2014including national water resources legislation, community-based natural resource management schemes, and the protected area network that now epitomizes the Amazon conservation paradigm\u2014cannot adequately curb most impacts. Such manage- ment strategies are intended to conserve terrestrial ecosystems, have design and implementation deficiencies, or fail to account for the hydrologic connec- tivity of freshwater ecosystems. There is an urgent need to shift the Amazon conservation paradigm, broadening its current forest-centric focus to encom- pass the freshwater ecosystems that are vital components of the basin. This is possible by developing a river catchment-based conservation framework for the whole basin that protects both aquatic and terrestrial ecosystems. Introduction", "author" : [ { "dropping-particle" : "", "family" : "Castello", "given" : "Leandro", "non-dropping-particle" : "", "parse-names" : false, "suffix" : "" }, { "dropping-particle" : "", "family" : "Mcgrath", "given" : "David G.", "non-dropping-particle" : "", "parse-names" : false, "suffix" : "" }, { "dropping-particle" : "", "family" : "Hess", "given" : "Laura L.", "non-dropping-particle" : "", "parse-names" : false, "suffix" : "" }, { "dropping-particle" : "", "family" : "Coe", "given" : "Michael T.", "non-dropping-particle" : "", "parse-names" : false, "suffix" : "" }, { "dropping-particle" : "", "family" : "Lefebvre", "given" : "Paul A.", "non-dropping-particle" : "", "parse-names" : false, "suffix" : "" }, { "dropping-particle" : "", "family" : "Petry", "given" : "Paulo", "non-dropping-particle" : "", "parse-names" : false, "suffix" : "" }, { "dropping-particle" : "", "family" : "Macedo", "given" : "Marcia N.", "non-dropping-particle" : "", "parse-names" : false, "suffix" : "" }, { "dropping-particle" : "", "family" : "Ren\u00f3", "given" : "Vivian F.", "non-dropping-particle" : "", "parse-names" : false, "suffix" : "" }, { "dropping-particle" : "", "family" : "Arantes", "given" : "Caroline C.", "non-dropping-particle" : "", "parse-names" : false, "suffix" : "" } ], "container-title" : "Conservation Letters", "id" : "ITEM-1", "issued" : { "date-parts" : [ [ "2013" ] ] }, "title" : "The vulnerability of Amazon freshwater ecosystems", "type" : "article" }, "uris" : [ "http://www.mendeley.com/documents/?uuid=a360993f-25e5-4d89-8d0d-65dd7e11c330" ] }, { "id" : "ITEM-2", "itemData" : { "DOI" : "10.1002/aqc.2386", "ISBN" : "10527613", "ISSN" : "10527613", "abstract" : "1. Although 20% of Brazilian territory is covered by wetlands, wetland inventories are still incomplete. In 1993, Brazil signed the Ramsar Convention but a coherent national policy for the sustainable management and protection of wetlands has yet to be established. 2. Major gaps in the definition of a specific wetland policy are twofold: (1) the lack of standardized criteria by which wetlands are defined and delineated that reflects the specific ecological conditions of the country and (2) the lack of a national classification of wetlands that takes into account specific hydrological conditions and respective plant communities. 3. In recent years, efforts have been made at a regional level to improve public awareness of the ecology of Brazilian wetlands, their benefits to society, and the major threats endangering them. Studies have shown that wetlands play a crucial role in the regional hydrological cycle and provide multiple benefits for local populations. Furthermore, Brazilian wetlands contribute significantly to South American biodiversity. Therefore, wetland conservation and sustainable management should be given high legislative priority. 4. This article provides a synthesis of the current body of knowledge on the distribution, hydrology, and vegetation cover of Brazilian wetlands. Their definition, delineation, and classification at the national level are proposed in order to establish a scientific basis for discussions on a nationalwetland policy thatmandates the sustainablemanagement of Brazil\u2019s extremely diverse and complex wetlands. This goal is particularly urgent in the face of the continuing and dramatic deterioration of wetlands resulting from large-scale agro-industrial expansion, and hydroelectric projects as well as the projected impact of global climate change on hydrological cycles.", "author" : [ { "dropping-particle" : "", "family" : "Junk", "given" : "W. J.", "non-dropping-particle" : "", "parse-names" : false, "suffix" : "" }, { "dropping-particle" : "", "family" : "Piedade", "given" : "M. T F", "non-dropping-particle" : "", "parse-names" : false, "suffix" : "" }, { "dropping-particle" : "", "family" : "Lourival", "given" : "R.", "non-dropping-particle" : "", "parse-names" : false, "suffix" : "" }, { "dropping-particle" : "", "family" : "Wittmann", "given" : "F.", "non-dropping-particle" : "", "parse-names" : false, "suffix" : "" }, { "dropping-particle" : "", "family" : "Kandus", "given" : "P.", "non-dropping-particle" : "", "parse-names" : false, "suffix" : "" }, { "dropping-particle" : "", "family" : "Lacerda", "given" : "L. D.", "non-dropping-particle" : "", "parse-names" : false, "suffix" : "" }, { "dropping-particle" : "", "family" : "Bozelli", "given" : "R. L.", "non-dropping-particle" : "", "parse-names" : false, "suffix" : "" }, { "dropping-particle" : "", "family" : "Esteves", "given" : "F. A.", "non-dropping-particle" : "", "parse-names" : false, "suffix" : "" }, { "dropping-particle" : "", "family" : "Nunes da Cunha", "given" : "C.", "non-dropping-particle" : "", "parse-names" : false, "suffix" : "" }, { "dropping-particle" : "", "family" : "Maltchik", "given" : "L.", "non-dropping-particle" : "", "parse-names" : false, "suffix" : "" }, { "dropping-particle" : "", "family" : "Sch??ngart", "given" : "J.", "non-dropping-particle" : "", "parse-names" : false, "suffix" : "" }, { "dropping-particle" : "", "family" : "Schaeffer-Novelli", "given" : "Y.", "non-dropping-particle" : "", "parse-names" : false, "suffix" : "" }, { "dropping-particle" : "", "family" : "Agostinho", "given" : "A. A.", "non-dropping-particle" : "", "parse-names" : false, "suffix" : "" } ], "container-title" : "Aquatic Conservation: Marine and Freshwater Ecosystems", "id" : "ITEM-2", "issue" : "1", "issued" : { "date-parts" : [ [ "2014" ] ] }, "page" : "5-22", "title" : "Brazilian wetlands: Their definition, delineation, and classification for research, sustainable management, and protection", "type" : "article-journal", "volume" : "24" }, "uris" : [ "http://www.mendeley.com/documents/?uuid=e022a476-059d-4d5f-9b9c-e0092c591e10" ] } ], "mendeley" : { "formattedCitation" : "(Castello et al. 2013&lt;i&gt;b&lt;/i&gt;, Junk et al. 2014)", "plainTextFormattedCitation" : "(Castello et al. 2013b, Junk et al. 2014)", "previouslyFormattedCitation" : "(Castello et al. 2013&lt;i&gt;b&lt;/i&gt;, Junk et al. 2014)" }, "properties" : { "noteIndex" : 0 }, "schema" : "https://github.com/citation-style-language/schema/raw/master/csl-citation.json" }</w:instrText>
      </w:r>
      <w:r w:rsidRPr="008608AA">
        <w:rPr>
          <w:rFonts w:eastAsia="Arial"/>
        </w:rPr>
        <w:fldChar w:fldCharType="separate"/>
      </w:r>
      <w:r w:rsidRPr="008608AA">
        <w:rPr>
          <w:rFonts w:eastAsia="Arial"/>
          <w:noProof/>
        </w:rPr>
        <w:t>(Castello et al., 2013b, Junk et al., 2014)</w:t>
      </w:r>
      <w:r w:rsidRPr="008608AA">
        <w:rPr>
          <w:rFonts w:eastAsia="Arial"/>
        </w:rPr>
        <w:fldChar w:fldCharType="end"/>
      </w:r>
      <w:r w:rsidRPr="008608AA">
        <w:rPr>
          <w:rFonts w:eastAsia="Arial"/>
        </w:rPr>
        <w:t xml:space="preserve">, particularly because they retain nutrient rich sediment that forms new soil, control erosion, and sequester </w:t>
      </w:r>
      <w:r w:rsidR="00A8438F" w:rsidRPr="008608AA">
        <w:rPr>
          <w:rFonts w:eastAsia="Arial"/>
        </w:rPr>
        <w:t>carbon dioxide</w:t>
      </w:r>
      <w:r w:rsidRPr="008608AA">
        <w:rPr>
          <w:rFonts w:eastAsia="Arial"/>
        </w:rPr>
        <w:t>.</w:t>
      </w:r>
    </w:p>
    <w:p w14:paraId="61F9F038" w14:textId="733E0CC5" w:rsidR="001E61A6" w:rsidRPr="008608AA" w:rsidRDefault="001E61A6" w:rsidP="00CC6CB7">
      <w:pPr>
        <w:widowControl w:val="0"/>
        <w:tabs>
          <w:tab w:val="left" w:pos="220"/>
          <w:tab w:val="left" w:pos="720"/>
        </w:tabs>
        <w:autoSpaceDE w:val="0"/>
        <w:autoSpaceDN w:val="0"/>
        <w:adjustRightInd w:val="0"/>
        <w:spacing w:before="120"/>
      </w:pPr>
      <w:r w:rsidRPr="008608AA">
        <w:rPr>
          <w:rFonts w:eastAsia="Arial"/>
        </w:rPr>
        <w:t xml:space="preserve">The intense loss of natural habitats and associated biodiversity is causing the slow degradation of South American wetlands, reducing natures benefits to people by reducing the number of commercial fish species, total fish stocks, and a persistent “fishing-down” process </w:t>
      </w:r>
      <w:r w:rsidRPr="008608AA">
        <w:rPr>
          <w:rFonts w:eastAsia="Arial"/>
        </w:rPr>
        <w:fldChar w:fldCharType="begin" w:fldLock="1"/>
      </w:r>
      <w:r w:rsidRPr="008608AA">
        <w:rPr>
          <w:rFonts w:eastAsia="Arial"/>
        </w:rPr>
        <w:instrText>ADDIN CSL_CITATION { "citationItems" : [ { "id" : "ITEM-1", "itemData" : { "DOI" : "10.1111/conl.12008", "ISBN" : "1755-263X", "ISSN" : "1755263X", "abstract" : "The hydrological connectivity of freshwater ecosystems in the Amazon basin makes them highly sensitive to a broad range of anthropogenic activities occur- ring in aquatic and terrestrial systems at local and distant locations. Amazon freshwater ecosystems are suffering escalating impacts caused by expansions in deforestation, pollution, construction of dams and waterways, and over- harvesting of animal and plant species. The natural functions of these ecosys- tems are changing, and their capacity to provide historically important goods and services is declining. Existing management policies\u2014including national water resources legislation, community-based natural resource management schemes, and the protected area network that now epitomizes the Amazon conservation paradigm\u2014cannot adequately curb most impacts. Such manage- ment strategies are intended to conserve terrestrial ecosystems, have design and implementation deficiencies, or fail to account for the hydrologic connec- tivity of freshwater ecosystems. There is an urgent need to shift the Amazon conservation paradigm, broadening its current forest-centric focus to encom- pass the freshwater ecosystems that are vital components of the basin. This is possible by developing a river catchment-based conservation framework for the whole basin that protects both aquatic and terrestrial ecosystems. Introduction", "author" : [ { "dropping-particle" : "", "family" : "Castello", "given" : "Leandro", "non-dropping-particle" : "", "parse-names" : false, "suffix" : "" }, { "dropping-particle" : "", "family" : "Mcgrath", "given" : "David G.", "non-dropping-particle" : "", "parse-names" : false, "suffix" : "" }, { "dropping-particle" : "", "family" : "Hess", "given" : "Laura L.", "non-dropping-particle" : "", "parse-names" : false, "suffix" : "" }, { "dropping-particle" : "", "family" : "Coe", "given" : "Michael T.", "non-dropping-particle" : "", "parse-names" : false, "suffix" : "" }, { "dropping-particle" : "", "family" : "Lefebvre", "given" : "Paul A.", "non-dropping-particle" : "", "parse-names" : false, "suffix" : "" }, { "dropping-particle" : "", "family" : "Petry", "given" : "Paulo", "non-dropping-particle" : "", "parse-names" : false, "suffix" : "" }, { "dropping-particle" : "", "family" : "Macedo", "given" : "Marcia N.", "non-dropping-particle" : "", "parse-names" : false, "suffix" : "" }, { "dropping-particle" : "", "family" : "Ren\u00f3", "given" : "Vivian F.", "non-dropping-particle" : "", "parse-names" : false, "suffix" : "" }, { "dropping-particle" : "", "family" : "Arantes", "given" : "Caroline C.", "non-dropping-particle" : "", "parse-names" : false, "suffix" : "" } ], "container-title" : "Conservation Letters", "id" : "ITEM-1", "issued" : { "date-parts" : [ [ "2013" ] ] }, "title" : "The vulnerability of Amazon freshwater ecosystems", "type" : "article" }, "uris" : [ "http://www.mendeley.com/documents/?uuid=a360993f-25e5-4d89-8d0d-65dd7e11c330" ] } ], "mendeley" : { "formattedCitation" : "(Castello et al. 2013&lt;i&gt;b&lt;/i&gt;)", "manualFormatting" : "(Castello et al. 2013", "plainTextFormattedCitation" : "(Castello et al. 2013b)", "previouslyFormattedCitation" : "(Castello et al. 2013&lt;i&gt;b&lt;/i&gt;)" }, "properties" : { "noteIndex" : 0 }, "schema" : "https://github.com/citation-style-language/schema/raw/master/csl-citation.json" }</w:instrText>
      </w:r>
      <w:r w:rsidRPr="008608AA">
        <w:rPr>
          <w:rFonts w:eastAsia="Arial"/>
        </w:rPr>
        <w:fldChar w:fldCharType="separate"/>
      </w:r>
      <w:r w:rsidRPr="008608AA">
        <w:rPr>
          <w:rFonts w:eastAsia="Arial"/>
          <w:noProof/>
        </w:rPr>
        <w:t>Castello et al., 2013</w:t>
      </w:r>
      <w:r w:rsidRPr="008608AA">
        <w:rPr>
          <w:rFonts w:eastAsia="Arial"/>
        </w:rPr>
        <w:fldChar w:fldCharType="end"/>
      </w:r>
      <w:r w:rsidR="00980148" w:rsidRPr="008608AA">
        <w:rPr>
          <w:rFonts w:eastAsia="Arial"/>
        </w:rPr>
        <w:t>;</w:t>
      </w:r>
      <w:r w:rsidRPr="008608AA">
        <w:rPr>
          <w:rFonts w:eastAsia="Arial"/>
        </w:rPr>
        <w:t xml:space="preserve"> </w:t>
      </w:r>
      <w:r w:rsidRPr="008608AA">
        <w:rPr>
          <w:rFonts w:eastAsia="Arial"/>
          <w:noProof/>
        </w:rPr>
        <w:t>Cella-Ribeiro et al., 2015</w:t>
      </w:r>
      <w:r w:rsidRPr="008608AA">
        <w:rPr>
          <w:rFonts w:eastAsia="Arial"/>
        </w:rPr>
        <w:t xml:space="preserve">), as well as the loss of </w:t>
      </w:r>
      <w:r w:rsidR="00A8438F" w:rsidRPr="008608AA">
        <w:rPr>
          <w:rFonts w:eastAsia="Arial"/>
        </w:rPr>
        <w:t>carbon dioxide</w:t>
      </w:r>
      <w:r w:rsidRPr="008608AA">
        <w:rPr>
          <w:rFonts w:eastAsia="Arial"/>
        </w:rPr>
        <w:t xml:space="preserve"> sinks where land-use change has been intense </w:t>
      </w:r>
      <w:r w:rsidRPr="008608AA">
        <w:rPr>
          <w:rFonts w:eastAsia="Arial"/>
        </w:rPr>
        <w:fldChar w:fldCharType="begin" w:fldLock="1"/>
      </w:r>
      <w:r w:rsidRPr="008608AA">
        <w:rPr>
          <w:rFonts w:eastAsia="Arial"/>
        </w:rPr>
        <w:instrText>ADDIN CSL_CITATION { "citationItems" : [ { "id" : "ITEM-1", "itemData" : { "DOI" : "10.1007/978-90-481-8725-6_18", "ISBN" : "978-90-481-8725-6", "abstract" : "In this chapter the existing knowledge on biomass in floodplain forests and the compounds that contribute to their net primary production (NPP) are presented and discussed in comparison with data from non-flooded upland (terra firme) forests. Fine litterfall in old-growth floodplain forests are similar to litterfall data from terra firme forests. The few existing estimates of root biomass in nutrient-rich white-water floodplain forests (v\u00e1rzea) indicate lower belowground biomasses in floodplain forests than in terra firme forests due to regular flooding which limits the development of deep roots. Along the chronosequence, C-storage in the aboveground coarse live wood biomass (AGWB) of v\u00e1rzea forests indicates a strong increase during the first 50\u201380 years of successional development, but afterwards no increase in AGWB can be observed. On the other hand C-sequestration in the AGWB of v\u00e1rzea forests declines more than threefold along the successional gradient. In comparison to terra firme forest, the v\u00e1rzea forests have lower C-stocks, but a higher C-sequestration in the AGWB. The estimated aboveground NPP in young successional stages of the central Amazonian v\u00e1rzea is among the highest NPP known for tropical forests, while the NPP of the late succession in the v\u00e1rzea is in the upper range of the NPP of old-growth forests in the terra firme. The available database for nutrient-poor floodplain forests (igap\u00f3) is insufficient to estimate their NPP. Climate-growth relationships of tree-ring chronologies of species from central Amazonian terra firme and floodplain forests indicate opposing signals during El Ni\u00f1o years. During these events large areas of terra firme forests release carbon to the atmosphere due to the warmer and drier climate conditions, while the weakened flood-pulse favours tree growth in the floodplain forests which might therefore sequester parts of the climate-induced carbon emissions of terra firme forests.", "author" : [ { "dropping-particle" : "", "family" : "Sch\u00f6ngart", "given" : "Jochen", "non-dropping-particle" : "", "parse-names" : false, "suffix" : "" }, { "dropping-particle" : "", "family" : "Wittmann", "given" : "Florian", "non-dropping-particle" : "", "parse-names" : false, "suffix" : "" }, { "dropping-particle" : "", "family" : "Worbes", "given" : "Martin", "non-dropping-particle" : "", "parse-names" : false, "suffix" : "" } ], "container-title" : "Amazonian Floodplain Forests: ecophysiology, biodiversity and sustainable management", "id" : "ITEM-1", "issued" : { "date-parts" : [ [ "2010" ] ] }, "page" : "347-388", "title" : "Biomass and net primary production of central Amazonian floodplain forests", "type" : "chapter", "volume" : "210" }, "uris" : [ "http://www.mendeley.com/documents/?uuid=604637e1-b545-4cb1-9cc8-0dccca228ae0" ] }, { "id" : "ITEM-2", "itemData" : { "DOI" : "10.1080/08941920.2015.1014603", "ISBN" : "0894-1920", "ISSN" : "0894-1920", "abstract" : "The question of how smallholders of the Amazon estuary, locally known as cabolcos, have adapted their land use systems to produce resources during booms and busts is analyzed in this article. We draw upon more than 50 years of census data and more than 30 years of remotely sensed land-cover data to reconstruct these dynamics from World War II to the present. We found that smallholders are highly flexible in their land use decisions and livelihood strategies and that such flexibility has helped them to adapt their land-use systems to produce resources in demand during market booms and conserve forests. Smallholder mosaic landscapes contain forest fragments that enhance socioecological resilience to floods and other events produced by changes in the local hydro-climatic regimes due to sea-level rise and other climate-related changes. We argue that flexibility is a tool to reduce livelihood vulnerability by facilitating adaptation to global market and climate driven changes over the long term.", "author" : [ { "dropping-particle" : "", "family" : "Vogt", "given" : "Nathan D", "non-dropping-particle" : "", "parse-names" : false, "suffix" : "" }, { "dropping-particle" : "", "family" : "Pinedo-Vasquez", "given" : "Miguel", "non-dropping-particle" : "", "parse-names" : false, "suffix" : "" }, { "dropping-particle" : "", "family" : "Brond\u00edzio", "given" : "Eduardo S", "non-dropping-particle" : "", "parse-names" : false, "suffix" : "" }, { "dropping-particle" : "", "family" : "Almeida", "given" : "Oriana", "non-dropping-particle" : "", "parse-names" : false, "suffix" : "" }, { "dropping-particle" : "", "family" : "Rivero", "given" : "Sergio", "non-dropping-particle" : "", "parse-names" : false, "suffix" : "" } ], "container-title" : "Society &amp; Natural Resources", "id" : "ITEM-2", "issue" : "10", "issued" : { "date-parts" : [ [ "2015" ] ] }, "page" : "1043-1058", "title" : "Forest Transitions in Mosaic Landscapes: Smallholder's Flexibility in Land-Resource Use Decisions and Livelihood Strategies From World War II to the Present in the Amazon Estuary", "type" : "article-journal", "volume" : "28" }, "uris" : [ "http://www.mendeley.com/documents/?uuid=fc6b3a28-a93e-47ac-9fe4-b07e71e4bdc2" ] } ], "mendeley" : { "formattedCitation" : "(Sch\u00f6ngart et al. 2010, Vogt et al. 2015)", "plainTextFormattedCitation" : "(Sch\u00f6ngart et al. 2010, Vogt et al. 2015)", "previouslyFormattedCitation" : "(Sch\u00f6ngart et al. 2010, Vogt et al. 2015)" }, "properties" : { "noteIndex" : 0 }, "schema" : "https://github.com/citation-style-language/schema/raw/master/csl-citation.json" }</w:instrText>
      </w:r>
      <w:r w:rsidRPr="008608AA">
        <w:rPr>
          <w:rFonts w:eastAsia="Arial"/>
        </w:rPr>
        <w:fldChar w:fldCharType="separate"/>
      </w:r>
      <w:r w:rsidR="00980148" w:rsidRPr="008608AA">
        <w:rPr>
          <w:rFonts w:eastAsia="Arial"/>
          <w:noProof/>
        </w:rPr>
        <w:t>(Schöngart et al., 2010;</w:t>
      </w:r>
      <w:r w:rsidRPr="008608AA">
        <w:rPr>
          <w:rFonts w:eastAsia="Arial"/>
          <w:noProof/>
        </w:rPr>
        <w:t xml:space="preserve"> Vogt et al., 2015)</w:t>
      </w:r>
      <w:r w:rsidRPr="008608AA">
        <w:rPr>
          <w:rFonts w:eastAsia="Arial"/>
        </w:rPr>
        <w:fldChar w:fldCharType="end"/>
      </w:r>
      <w:r w:rsidRPr="008608AA">
        <w:rPr>
          <w:rFonts w:eastAsia="Arial"/>
        </w:rPr>
        <w:t xml:space="preserve">. </w:t>
      </w:r>
    </w:p>
    <w:p w14:paraId="4C819140" w14:textId="77777777" w:rsidR="001E61A6" w:rsidRPr="008608AA" w:rsidRDefault="001E61A6" w:rsidP="00CC6CB7">
      <w:pPr>
        <w:widowControl w:val="0"/>
        <w:tabs>
          <w:tab w:val="left" w:pos="220"/>
          <w:tab w:val="left" w:pos="720"/>
        </w:tabs>
        <w:autoSpaceDE w:val="0"/>
        <w:autoSpaceDN w:val="0"/>
        <w:adjustRightInd w:val="0"/>
        <w:spacing w:before="120"/>
      </w:pPr>
      <w:r w:rsidRPr="008608AA">
        <w:rPr>
          <w:rFonts w:eastAsia="Arial"/>
        </w:rPr>
        <w:t xml:space="preserve">Unregulated markets for timber and fish (Soares-Filho et al., 2006; </w:t>
      </w:r>
      <w:r w:rsidRPr="008608AA">
        <w:rPr>
          <w:rFonts w:eastAsia="Arial"/>
        </w:rPr>
        <w:fldChar w:fldCharType="begin" w:fldLock="1"/>
      </w:r>
      <w:r w:rsidRPr="008608AA">
        <w:rPr>
          <w:rFonts w:eastAsia="Arial"/>
        </w:rPr>
        <w:instrText>ADDIN CSL_CITATION { "citationItems" : [ { "id" : "ITEM-1", "itemData" : { "DOI" : "10.1080/14634980701351023", "ISBN" : "1539-4077", "ISSN" : "1463-4988", "abstract" : "Stretching more than seven million square kilometers, the Amazon River basin is the largest river basin in the world and discharges about one-sixth of all freshwater from the continents to the oceans of the world. The age of this ecosystem, its position near the equator and the enormous diversity of its aquatic habitats, have produced the most diverse fish fauna on the planet. About 2,500 fish species have already been described and it is estimated that more than 1,000 new species remain to be discovered. Knowledge concerning this multitude of fish species is still insufficient, which makes their management and protection difficult. About 50% of the species are thought to occur in the large rivers and connected floodplains and another 50% in headwater streams. Inland fisheries give rise to 450,000 t of fish each year and thus contribute substantially to the protein supply of local populations. However, despite their economic importance, these fisheries receive little attention from the respective governments. The fisheries are highly selective and several stocks of large species with high market value have been over fished. Fish culture is still in its infancy but its development is expected to provide high-quality species during periods of low supply. Over large areas, aquatic habitats are still in near-natural conditions because of the low densities of resident human populations. Nonetheless, over the last few decades, the pressure on aquatic ecosystems and habitats has steadily increased, mainly due to large-scale destruction of natural vegetation cover by agro-industries in the savanna belt (cerrado), small-scale agriculture in the Andean hill slopes, and logging in rain forests. These activities have placed aquatic biodiversity, including fishes, at serious risk. Many headwater species have restricted distributions and are therefore particularly vulnerable to large- scale environmental degradation. Moreover, the construction of large reservoirs for hydroelectric power generation has serious consequences for fish fauna. Currently, about 16.4% of the Amazon River basin is protected, and another 15.2% is under partial protection in indigenous reserves in Brazil. Another 9.1% will be implemented as reserves in the next 10 years in the Brazilian part of the basin. The formulation by the Amazonian countries of a coherent policy that integrates long-term management of the river basin with sustainablemanagement of aquaticandwetlandhabitats, including their\u2026", "author" : [ { "dropping-particle" : "", "family" : "Junk", "given" : "Wolfgang J.", "non-dropping-particle" : "", "parse-names" : false, "suffix" : "" }, { "dropping-particle" : "", "family" : "Soares", "given" : "Maria Gercilia Mota", "non-dropping-particle" : "", "parse-names" : false, "suffix" : "" }, { "dropping-particle" : "", "family" : "Bayley", "given" : "Peter B.", "non-dropping-particle" : "", "parse-names" : false, "suffix" : "" } ], "container-title" : "Aquatic Ecosystem Health &amp; Management", "id" : "ITEM-1", "issue" : "2", "issued" : { "date-parts" : [ [ "2007" ] ] }, "page" : "153-173", "title" : "Freshwater fishes of the Amazon River basin: their biodiversity, fisheries, and habitats", "type" : "article-journal", "volume" : "10" }, "uris" : [ "http://www.mendeley.com/documents/?uuid=a3f7918f-6956-4b0e-b736-1e7ec96e6197" ] } ], "mendeley" : { "formattedCitation" : "(Junk et al. 2007)", "manualFormatting" : "Junk et al. 2007)", "plainTextFormattedCitation" : "(Junk et al. 2007)", "previouslyFormattedCitation" : "(Junk et al. 2007)" }, "properties" : { "noteIndex" : 0 }, "schema" : "https://github.com/citation-style-language/schema/raw/master/csl-citation.json" }</w:instrText>
      </w:r>
      <w:r w:rsidRPr="008608AA">
        <w:rPr>
          <w:rFonts w:eastAsia="Arial"/>
        </w:rPr>
        <w:fldChar w:fldCharType="separate"/>
      </w:r>
      <w:r w:rsidRPr="008608AA">
        <w:rPr>
          <w:rFonts w:eastAsia="Arial"/>
          <w:noProof/>
        </w:rPr>
        <w:t>Junk et al., 2007)</w:t>
      </w:r>
      <w:r w:rsidRPr="008608AA">
        <w:rPr>
          <w:rFonts w:eastAsia="Arial"/>
        </w:rPr>
        <w:fldChar w:fldCharType="end"/>
      </w:r>
      <w:r w:rsidRPr="008608AA">
        <w:rPr>
          <w:rFonts w:eastAsia="Arial"/>
        </w:rPr>
        <w:t xml:space="preserve">, among other natural resources harvested from the Amazonian wetlands, are the main source of illegal pressure on the extraction rates of those resources. Rural-urban migration in the Amazon, closely related to wetlands, has contributed to urban degradation, and also puts pressure on rural exploitation, affecting forest extent, since important rural patterns of consumption are maintained </w:t>
      </w:r>
      <w:r w:rsidRPr="008608AA">
        <w:rPr>
          <w:rFonts w:eastAsia="Arial"/>
        </w:rPr>
        <w:fldChar w:fldCharType="begin" w:fldLock="1"/>
      </w:r>
      <w:r w:rsidRPr="008608AA">
        <w:rPr>
          <w:rFonts w:eastAsia="Arial"/>
        </w:rPr>
        <w:instrText>ADDIN CSL_CITATION { "citationItems" : [ { "id" : "ITEM-1", "itemData" : { "DOI" : "10.1126/science.284.5412.278", "ISBN" : "00368075", "ISSN" : "17083087", "PMID" : "10195886", "abstract" : "Valuation, including economic valuation, functions as a system of cultural projection which imposes a way of thinking and a form of relationship with the environment and reflects particular perceived realities, worldviews mind sets and belief systems. However, it can also serve as a tool for self-reflection and feedback mechanism which helps people rethink their relations to the natural environment and increase knowledge about the consequences of consumption, choices and behavior. Because of the multidimensional and socio-cultural embeddedness of value any exercise of valuation is relative to a given individual or group of people. In a multi-cultural and democratic context of biodiversity valuation, this makes the question of choosing a value articulating institution more important than that of finding a correct value. Economic valuation influences the notion of ownership and property applied to biodiversity and over the long term may change human relationship to the environment in significant ways. Intrinsic values are culturally embedded moral truths. They can be taken into account by choosing the appropriate institutions which allow their articulation in addition to utilitarian values. Valuation processes can be seen as a form of regulatory adaptation by serving as a mechanism to provide feedback in a system where production and consumption, trade and exchange are so distant and complex that they undermine perceptions of the impacts of habits and behavior on the environment. Value change along the commodity chain has implications for the distribution of benefits, affects the level of incentives for conservation and represents an important methodological challenge for economic valuation. Economic valuation may contribute to address our inability, reluctance or ideological intolerance to adjust institutions (also those which are value articulating) to our knowledge of ecosystems, biodiversity and the human being. Economic valuation is a complex, spatial and institutional cross-scale problem. Many efforts focusing on particular parts of ecosystems or species, while effective at one level, lack the scope to control the pressure of commodity markets for land resources surrounding them. As such, and depending on their biophysical context, they may be limited to capturing the linkages and vertical interplay created by a growing functional interdependency of resource use systems nested within larger ecosystems.", "author" : [ { "dropping-particle" : "", "family" : "Padoch", "given" : "Christine", "non-dropping-particle" : "", "parse-names" : false, "suffix" : "" }, { "dropping-particle" : "", "family" : "Brondizio", "given" : "Eduardo", "non-dropping-particle" : "", "parse-names" : false, "suffix" : "" }, { "dropping-particle" : "", "family" : "Costa", "given" : "Sandra", "non-dropping-particle" : "", "parse-names" : false, "suffix" : "" }, { "dropping-particle" : "", "family" : "Pinedo-Vasquez", "given" : "Miguel", "non-dropping-particle" : "", "parse-names" : false, "suffix" : "" }, { "dropping-particle" : "", "family" : "Sears", "given" : "Robin R.", "non-dropping-particle" : "", "parse-names" : false, "suffix" : "" }, { "dropping-particle" : "", "family" : "Siqueria", "given" : "Andrea", "non-dropping-particle" : "", "parse-names" : false, "suffix" : "" } ], "container-title" : "Ecology and Society", "id" : "ITEM-1", "issue" : "2", "issued" : { "date-parts" : [ [ "2008" ] ] }, "title" : "Urban forest and rural cities: Multi-sited households, consumption patterns, and forest resources in Amazonia", "type" : "article-journal", "volume" : "13" }, "uris" : [ "http://www.mendeley.com/documents/?uuid=ee14229c-44a1-4354-b605-ef7a2d8ae07a" ] } ], "mendeley" : { "formattedCitation" : "(Padoch et al. 2008)", "plainTextFormattedCitation" : "(Padoch et al. 2008)", "previouslyFormattedCitation" : "(Padoch et al. 2008)" }, "properties" : { "noteIndex" : 0 }, "schema" : "https://github.com/citation-style-language/schema/raw/master/csl-citation.json" }</w:instrText>
      </w:r>
      <w:r w:rsidRPr="008608AA">
        <w:rPr>
          <w:rFonts w:eastAsia="Arial"/>
        </w:rPr>
        <w:fldChar w:fldCharType="separate"/>
      </w:r>
      <w:r w:rsidRPr="008608AA">
        <w:rPr>
          <w:rFonts w:eastAsia="Arial"/>
          <w:noProof/>
        </w:rPr>
        <w:t>(Padoch et al., 2008)</w:t>
      </w:r>
      <w:r w:rsidRPr="008608AA">
        <w:rPr>
          <w:rFonts w:eastAsia="Arial"/>
        </w:rPr>
        <w:fldChar w:fldCharType="end"/>
      </w:r>
      <w:r w:rsidRPr="008608AA">
        <w:rPr>
          <w:rFonts w:eastAsia="Arial"/>
        </w:rPr>
        <w:t>.</w:t>
      </w:r>
    </w:p>
    <w:p w14:paraId="21AE1639" w14:textId="36BE1686" w:rsidR="001E61A6" w:rsidRPr="008608AA" w:rsidRDefault="001E61A6" w:rsidP="00CC6CB7">
      <w:pPr>
        <w:widowControl w:val="0"/>
        <w:tabs>
          <w:tab w:val="left" w:pos="220"/>
          <w:tab w:val="left" w:pos="720"/>
        </w:tabs>
        <w:autoSpaceDE w:val="0"/>
        <w:autoSpaceDN w:val="0"/>
        <w:adjustRightInd w:val="0"/>
        <w:spacing w:before="120"/>
        <w:rPr>
          <w:rFonts w:eastAsiaTheme="majorEastAsia"/>
        </w:rPr>
      </w:pPr>
      <w:r w:rsidRPr="008608AA">
        <w:rPr>
          <w:rFonts w:eastAsiaTheme="majorEastAsia"/>
        </w:rPr>
        <w:t>The marine areas of South America include almost 30,000 km of coastline and encompass three different oceanic domains—the Caribbean, the Pacific, and the Atlantic (latitude range from 12</w:t>
      </w:r>
      <w:r w:rsidRPr="008608AA">
        <w:rPr>
          <w:rFonts w:eastAsiaTheme="majorEastAsia"/>
          <w:vertAlign w:val="superscript"/>
        </w:rPr>
        <w:t>o</w:t>
      </w:r>
      <w:r w:rsidRPr="008608AA">
        <w:rPr>
          <w:rFonts w:eastAsiaTheme="majorEastAsia"/>
        </w:rPr>
        <w:t>N to 55</w:t>
      </w:r>
      <w:r w:rsidRPr="008608AA">
        <w:rPr>
          <w:rFonts w:eastAsiaTheme="majorEastAsia"/>
          <w:vertAlign w:val="superscript"/>
        </w:rPr>
        <w:t>o</w:t>
      </w:r>
      <w:r w:rsidRPr="008608AA">
        <w:rPr>
          <w:rFonts w:eastAsiaTheme="majorEastAsia"/>
        </w:rPr>
        <w:t>S) (Miloslavich et al., 2011).</w:t>
      </w:r>
      <w:r w:rsidRPr="008608AA">
        <w:rPr>
          <w:rFonts w:eastAsiaTheme="minorEastAsia"/>
        </w:rPr>
        <w:t xml:space="preserve"> </w:t>
      </w:r>
      <w:r w:rsidRPr="008608AA">
        <w:rPr>
          <w:rFonts w:eastAsiaTheme="majorEastAsia"/>
        </w:rPr>
        <w:t xml:space="preserve">Habitat transformation (for infrastructure expansion, aquaculture, agriculture, etc.), and sewage and garbage disposal are among the most recurrent problems in South America coastal zones. As such, these areas undergo fast and frequently drastic transformation. When compared to other tropical regions like Southeast Asia, the importance of aquaculture in South America is relatively small. Nonetheless its importance is growing in countries like Ecuador, where a significant shrimp mariculture industry has developed mostly in mangrove converted areas and salt ponds </w:t>
      </w:r>
      <w:r w:rsidR="00A8438F" w:rsidRPr="008608AA">
        <w:rPr>
          <w:rFonts w:eastAsiaTheme="majorEastAsia"/>
        </w:rPr>
        <w:t>and in Peru and Chile (Humbolt C</w:t>
      </w:r>
      <w:r w:rsidRPr="008608AA">
        <w:rPr>
          <w:rFonts w:eastAsiaTheme="majorEastAsia"/>
        </w:rPr>
        <w:t>urrent region) with the cultivation of introduced salmonid species (Campuzano et al., 2013)</w:t>
      </w:r>
      <w:r w:rsidR="00A8438F" w:rsidRPr="008608AA">
        <w:rPr>
          <w:rFonts w:eastAsiaTheme="majorEastAsia"/>
        </w:rPr>
        <w:t>. In the tropical west Atlantic</w:t>
      </w:r>
      <w:r w:rsidRPr="008608AA">
        <w:rPr>
          <w:rFonts w:eastAsiaTheme="majorEastAsia"/>
        </w:rPr>
        <w:t xml:space="preserve"> major threats are industrial (trawling) and artisanal (line and longline) fishing, urban development, agriculture development, dredging and flow navigation, water pollution (runoff from smaller rivers as in terms of volume the Orinoco and Amazon discharge is relatively pristine), mangrove deforestation, activities related to oil and gas exploitation, port activities, and maritime shipping  (Klein et al., 2009).</w:t>
      </w:r>
    </w:p>
    <w:p w14:paraId="2E97579C" w14:textId="2AD31471" w:rsidR="001E61A6" w:rsidRPr="008608AA" w:rsidRDefault="001E61A6" w:rsidP="00CC6CB7">
      <w:pPr>
        <w:widowControl w:val="0"/>
        <w:tabs>
          <w:tab w:val="left" w:pos="220"/>
          <w:tab w:val="left" w:pos="720"/>
        </w:tabs>
        <w:autoSpaceDE w:val="0"/>
        <w:autoSpaceDN w:val="0"/>
        <w:adjustRightInd w:val="0"/>
        <w:spacing w:before="120"/>
      </w:pPr>
      <w:r w:rsidRPr="008608AA">
        <w:t>Mangroves in South America correspond to 11% of the global mangrove extent (Giri e</w:t>
      </w:r>
      <w:r w:rsidR="00A8438F" w:rsidRPr="008608AA">
        <w:t>t al., 2011). In the Brazilian s</w:t>
      </w:r>
      <w:r w:rsidRPr="008608AA">
        <w:t xml:space="preserve">helf, mangrove ecosystems cover </w:t>
      </w:r>
      <w:r w:rsidR="00A8438F" w:rsidRPr="008608AA">
        <w:t>16 of the 17 Brazilian coastal S</w:t>
      </w:r>
      <w:r w:rsidRPr="008608AA">
        <w:t>tates, representing 85% of the coastline (about 7,300 km), and t</w:t>
      </w:r>
      <w:r w:rsidRPr="008608AA">
        <w:rPr>
          <w:lang w:eastAsia="pt-BR"/>
        </w:rPr>
        <w:t>he extent of mangroves along the Brazilian coastline from east of the Amazon River mouth (Pará) to the Bay of São José (Maranhão) constitutes the largest conti</w:t>
      </w:r>
      <w:r w:rsidR="00B20C8E" w:rsidRPr="008608AA">
        <w:rPr>
          <w:lang w:eastAsia="pt-BR"/>
        </w:rPr>
        <w:t>nuous belt globally (Nascimento</w:t>
      </w:r>
      <w:r w:rsidRPr="008608AA">
        <w:rPr>
          <w:lang w:eastAsia="pt-BR"/>
        </w:rPr>
        <w:t xml:space="preserve"> et al., 2013)</w:t>
      </w:r>
      <w:r w:rsidRPr="008608AA">
        <w:t xml:space="preserve">. Although almost 83% of mangrove areas are protected, human settlements along the coast have dramatically increased, impacting mangroves by diverting freshwater flows and degrading water quality. Mangroves also undergo salt extraction and conversion to agriculture, aquaculture (mainly shrimp farms), or built-up lands, all of which contribute to mangrove degradation and deforestation (Magris </w:t>
      </w:r>
      <w:r w:rsidR="00980148" w:rsidRPr="008608AA">
        <w:t>&amp;</w:t>
      </w:r>
      <w:r w:rsidRPr="008608AA">
        <w:t xml:space="preserve"> Barreto</w:t>
      </w:r>
      <w:r w:rsidR="00980148" w:rsidRPr="008608AA">
        <w:t>,</w:t>
      </w:r>
      <w:r w:rsidRPr="008608AA">
        <w:t xml:space="preserve"> 2010). </w:t>
      </w:r>
      <w:r w:rsidRPr="008608AA">
        <w:rPr>
          <w:rFonts w:eastAsia="Calibri"/>
        </w:rPr>
        <w:t>Despite its value, the mangrove ecosystem is one of the most threatened on the planet. Mangrove</w:t>
      </w:r>
      <w:r w:rsidR="00A8438F" w:rsidRPr="008608AA">
        <w:rPr>
          <w:rFonts w:eastAsia="Calibri"/>
        </w:rPr>
        <w:t>s are being destroyed at rates three to five</w:t>
      </w:r>
      <w:r w:rsidRPr="008608AA">
        <w:rPr>
          <w:rFonts w:eastAsia="Calibri"/>
        </w:rPr>
        <w:t xml:space="preserve"> times greater than average rates of forest loss and over a quarter of the original mangrove cover has already disappeared; this destruction is driven by land conversion for aquaculture and agriculture, coastal development, pollution and overexploitation of mangrove resources. As mangroves become smaller and more fragmented, important ecosystem goods and services will be diminished or lost. The consequences of further mangrove degradation will be particularly severe for the well-being of coastal communities in developing countries, especially where people rely heavily on mangrove goods and services for their daily subsistence and livelihoods (Valiela </w:t>
      </w:r>
      <w:r w:rsidR="00980148" w:rsidRPr="008608AA">
        <w:rPr>
          <w:rFonts w:eastAsia="Calibri"/>
        </w:rPr>
        <w:t>et al., 2001;</w:t>
      </w:r>
      <w:r w:rsidR="00474EDF" w:rsidRPr="008608AA">
        <w:rPr>
          <w:rFonts w:eastAsia="Calibri"/>
        </w:rPr>
        <w:t xml:space="preserve"> Duke et al., 2007;</w:t>
      </w:r>
      <w:r w:rsidRPr="008608AA">
        <w:rPr>
          <w:rFonts w:eastAsia="Calibri"/>
        </w:rPr>
        <w:t xml:space="preserve"> UNEP</w:t>
      </w:r>
      <w:r w:rsidR="00474EDF" w:rsidRPr="008608AA">
        <w:rPr>
          <w:rFonts w:eastAsia="Calibri"/>
        </w:rPr>
        <w:t>,</w:t>
      </w:r>
      <w:r w:rsidRPr="008608AA">
        <w:rPr>
          <w:rFonts w:eastAsia="Calibri"/>
        </w:rPr>
        <w:t xml:space="preserve"> 2014).</w:t>
      </w:r>
      <w:r w:rsidRPr="008608AA">
        <w:t xml:space="preserve"> </w:t>
      </w:r>
    </w:p>
    <w:p w14:paraId="7F08B969" w14:textId="741C0628" w:rsidR="001E61A6" w:rsidRPr="008608AA" w:rsidRDefault="001E61A6" w:rsidP="00CC6CB7">
      <w:pPr>
        <w:widowControl w:val="0"/>
        <w:tabs>
          <w:tab w:val="left" w:pos="220"/>
          <w:tab w:val="left" w:pos="720"/>
        </w:tabs>
        <w:autoSpaceDE w:val="0"/>
        <w:autoSpaceDN w:val="0"/>
        <w:adjustRightInd w:val="0"/>
        <w:spacing w:before="120"/>
      </w:pPr>
      <w:r w:rsidRPr="008608AA">
        <w:t xml:space="preserve">South America’s west coast is home to approximately 40 </w:t>
      </w:r>
      <w:r w:rsidR="00B20C8E" w:rsidRPr="008608AA">
        <w:t xml:space="preserve">million people. In Chile, three </w:t>
      </w:r>
      <w:r w:rsidRPr="008608AA">
        <w:t>quarters of the populat</w:t>
      </w:r>
      <w:r w:rsidR="00A8438F" w:rsidRPr="008608AA">
        <w:t xml:space="preserve">ion lives and works along a 500 </w:t>
      </w:r>
      <w:r w:rsidRPr="008608AA">
        <w:t>kilometer stretch of coastline between Valparaiso and Concepcion, representing 15% of the country’s land area. In the east coast, over 15 million people live in the Buenos Aires-</w:t>
      </w:r>
      <w:r w:rsidR="003E0D07" w:rsidRPr="008608AA">
        <w:t>L</w:t>
      </w:r>
      <w:r w:rsidRPr="008608AA">
        <w:t>a Plata-Montevideo coastal region. The coastal area between Sao Paulo and Rio de Janeiro, Brazil, hosts over 30 million people. Each of these areas continues to grow in population. The marine and inland waters are used for food production, transportation, tourism, and water supply and are important for the economic and social vitality of these communities. These aquatic ecosystems are exposed to resource use and extraction by a range of activities, from oil and gas to fisheries, from urbanization to agriculture. These activities lead to sediment, nutrient, or other pollutant inputs from the watershed (</w:t>
      </w:r>
      <w:r w:rsidR="00A47F44" w:rsidRPr="008608AA">
        <w:t xml:space="preserve">section </w:t>
      </w:r>
      <w:r w:rsidRPr="008608AA">
        <w:t xml:space="preserve">4.4). Many coastal, estuarine, and fresh water systems in the region have in the past seen intense outbreaks of cholera and other water-borne diseases, dengue fever and other mosquito-borne diseases, as well as an increase in the occurrence of harmful algal blooms. Some of these are due to population growth and eutrophication, but climate variability complicates the situation. </w:t>
      </w:r>
    </w:p>
    <w:p w14:paraId="0CBDE4C3" w14:textId="65C663AF" w:rsidR="009C39CE" w:rsidRPr="00A26FD5" w:rsidRDefault="001E61A6" w:rsidP="00CC6CB7">
      <w:pPr>
        <w:pStyle w:val="BodyText"/>
        <w:spacing w:before="120"/>
        <w:rPr>
          <w:szCs w:val="22"/>
          <w:lang w:val="en-US"/>
        </w:rPr>
      </w:pPr>
      <w:r w:rsidRPr="00A26FD5">
        <w:rPr>
          <w:szCs w:val="22"/>
          <w:lang w:val="en-US"/>
        </w:rPr>
        <w:t>An important factor that affects the coasts and shelf environments is riverine discharge. Discharge affects the amount of sediment and nutrients that may be delivered to the coastal zone, and this in part depends on uses of the land in the watershed. As weather patterns of the future are still uncertain, the impact on global coastal systems is also a matter of speculation. Many rivers are intervened by damming, and many have different nutrient inputs due to point and non-point sources of nutrients an</w:t>
      </w:r>
      <w:r w:rsidR="00B20C8E" w:rsidRPr="00A26FD5">
        <w:rPr>
          <w:szCs w:val="22"/>
          <w:lang w:val="en-US"/>
        </w:rPr>
        <w:t>d pollutants (section 4.4.2</w:t>
      </w:r>
      <w:r w:rsidRPr="00A26FD5">
        <w:rPr>
          <w:szCs w:val="22"/>
          <w:lang w:val="en-US"/>
        </w:rPr>
        <w:t>)</w:t>
      </w:r>
    </w:p>
    <w:p w14:paraId="06EB1728" w14:textId="77777777" w:rsidR="005143C5" w:rsidRPr="008608AA" w:rsidRDefault="005143C5" w:rsidP="00CC6CB7">
      <w:pPr>
        <w:pStyle w:val="BodyText"/>
        <w:spacing w:before="120"/>
        <w:rPr>
          <w:rFonts w:ascii="Times New Roman" w:hAnsi="Times New Roman"/>
          <w:sz w:val="24"/>
          <w:lang w:val="en-US"/>
        </w:rPr>
      </w:pPr>
    </w:p>
    <w:p w14:paraId="03D3C9B6" w14:textId="70037542" w:rsidR="001E61A6" w:rsidRPr="008608AA" w:rsidRDefault="001E61A6" w:rsidP="006E413E">
      <w:pPr>
        <w:pStyle w:val="Heading3"/>
      </w:pPr>
      <w:bookmarkStart w:id="1490" w:name="_Toc303803960"/>
      <w:bookmarkStart w:id="1491" w:name="_Toc350507795"/>
      <w:bookmarkStart w:id="1492" w:name="_Toc477160198"/>
      <w:bookmarkStart w:id="1493" w:name="_Toc357244082"/>
      <w:bookmarkStart w:id="1494" w:name="_Toc357981995"/>
      <w:bookmarkStart w:id="1495" w:name="_Toc357985213"/>
      <w:bookmarkStart w:id="1496" w:name="_Toc499459674"/>
      <w:bookmarkStart w:id="1497" w:name="_Toc503293139"/>
      <w:bookmarkStart w:id="1498" w:name="_Toc503293737"/>
      <w:bookmarkStart w:id="1499" w:name="_Toc503293999"/>
      <w:bookmarkStart w:id="1500" w:name="_Toc503863392"/>
      <w:bookmarkStart w:id="1501" w:name="_Toc503863620"/>
      <w:bookmarkStart w:id="1502" w:name="_Toc517393346"/>
      <w:bookmarkStart w:id="1503" w:name="_Toc517394403"/>
      <w:bookmarkStart w:id="1504" w:name="_Toc517719087"/>
      <w:bookmarkStart w:id="1505" w:name="_Toc517797044"/>
      <w:r w:rsidRPr="008608AA">
        <w:t>Pollution and related changes in biogeochemical cycles</w:t>
      </w:r>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r w:rsidRPr="008608AA">
        <w:t xml:space="preserve"> </w:t>
      </w:r>
    </w:p>
    <w:p w14:paraId="6EEDF0E1" w14:textId="77777777" w:rsidR="001E61A6" w:rsidRPr="008608AA" w:rsidRDefault="001E61A6" w:rsidP="00976E9A">
      <w:pPr>
        <w:keepNext/>
        <w:keepLines/>
        <w:spacing w:before="120"/>
        <w:outlineLvl w:val="3"/>
        <w:rPr>
          <w:rFonts w:eastAsiaTheme="majorEastAsia"/>
          <w:b/>
          <w:bCs/>
          <w:iCs/>
        </w:rPr>
      </w:pPr>
      <w:bookmarkStart w:id="1506" w:name="_Toc517393347"/>
      <w:bookmarkStart w:id="1507" w:name="_Toc517394404"/>
      <w:bookmarkStart w:id="1508" w:name="_Toc517719088"/>
      <w:bookmarkStart w:id="1509" w:name="_Toc517797045"/>
      <w:r w:rsidRPr="008608AA">
        <w:rPr>
          <w:rFonts w:eastAsia="Calibri"/>
          <w:b/>
          <w:bCs/>
          <w:iCs/>
        </w:rPr>
        <w:t xml:space="preserve">Nature of the driver, its recent status, and trends </w:t>
      </w:r>
      <w:r w:rsidRPr="008608AA">
        <w:rPr>
          <w:rFonts w:eastAsiaTheme="majorEastAsia"/>
          <w:b/>
          <w:bCs/>
          <w:iCs/>
        </w:rPr>
        <w:t>and what influences its intensity</w:t>
      </w:r>
      <w:bookmarkEnd w:id="1506"/>
      <w:bookmarkEnd w:id="1507"/>
      <w:bookmarkEnd w:id="1508"/>
      <w:bookmarkEnd w:id="1509"/>
    </w:p>
    <w:p w14:paraId="393ED68F" w14:textId="0E40789A" w:rsidR="005143C5" w:rsidRPr="008608AA" w:rsidRDefault="001E61A6" w:rsidP="006E413E">
      <w:pPr>
        <w:spacing w:before="120"/>
        <w:rPr>
          <w:rFonts w:eastAsia="Calibri"/>
        </w:rPr>
      </w:pPr>
      <w:r w:rsidRPr="008608AA">
        <w:rPr>
          <w:rFonts w:eastAsia="Calibri"/>
        </w:rPr>
        <w:t xml:space="preserve">In its pursuit of food, water and civilization, humanity mobilizes chemicals that impact biodiversity and NCP. Pollutants </w:t>
      </w:r>
      <w:r w:rsidR="006E413E" w:rsidRPr="008608AA">
        <w:rPr>
          <w:rFonts w:eastAsia="Calibri"/>
        </w:rPr>
        <w:t>(</w:t>
      </w:r>
      <w:r w:rsidR="006E413E" w:rsidRPr="008608AA">
        <w:rPr>
          <w:rFonts w:eastAsia="Calibri"/>
        </w:rPr>
        <w:fldChar w:fldCharType="begin"/>
      </w:r>
      <w:r w:rsidR="006E413E" w:rsidRPr="008608AA">
        <w:rPr>
          <w:rFonts w:eastAsia="Calibri"/>
        </w:rPr>
        <w:instrText xml:space="preserve"> REF _Ref516933719 \h </w:instrText>
      </w:r>
      <w:r w:rsidR="008608AA">
        <w:rPr>
          <w:rFonts w:eastAsia="Calibri"/>
        </w:rPr>
        <w:instrText xml:space="preserve"> \* MERGEFORMAT </w:instrText>
      </w:r>
      <w:r w:rsidR="006E413E" w:rsidRPr="008608AA">
        <w:rPr>
          <w:rFonts w:eastAsia="Calibri"/>
        </w:rPr>
      </w:r>
      <w:r w:rsidR="006E413E" w:rsidRPr="008608AA">
        <w:rPr>
          <w:rFonts w:eastAsia="Calibri"/>
        </w:rPr>
        <w:fldChar w:fldCharType="separate"/>
      </w:r>
      <w:r w:rsidR="00402074" w:rsidRPr="008608AA">
        <w:t xml:space="preserve">Table </w:t>
      </w:r>
      <w:r w:rsidR="00402074">
        <w:rPr>
          <w:noProof/>
        </w:rPr>
        <w:t>4</w:t>
      </w:r>
      <w:r w:rsidR="00402074" w:rsidRPr="008608AA">
        <w:rPr>
          <w:noProof/>
        </w:rPr>
        <w:t>.</w:t>
      </w:r>
      <w:r w:rsidR="00402074">
        <w:rPr>
          <w:noProof/>
        </w:rPr>
        <w:t>13</w:t>
      </w:r>
      <w:r w:rsidR="006E413E" w:rsidRPr="008608AA">
        <w:rPr>
          <w:rFonts w:eastAsia="Calibri"/>
        </w:rPr>
        <w:fldChar w:fldCharType="end"/>
      </w:r>
      <w:r w:rsidR="006E413E" w:rsidRPr="008608AA">
        <w:rPr>
          <w:rFonts w:eastAsia="Calibri"/>
        </w:rPr>
        <w:t xml:space="preserve">) </w:t>
      </w:r>
      <w:r w:rsidRPr="008608AA">
        <w:rPr>
          <w:rFonts w:eastAsia="Calibri"/>
        </w:rPr>
        <w:t>are a major driver of declinesin freshwater systems, which are now, in many cases, severely degraded (Dudgeon et al., 20</w:t>
      </w:r>
      <w:r w:rsidR="00C16801" w:rsidRPr="008608AA">
        <w:rPr>
          <w:rFonts w:eastAsia="Calibri"/>
        </w:rPr>
        <w:t>06). Besides changing climate (s</w:t>
      </w:r>
      <w:r w:rsidRPr="008608AA">
        <w:rPr>
          <w:rFonts w:eastAsia="Calibri"/>
        </w:rPr>
        <w:t xml:space="preserve">ection 4.4.3), increased concentrations of atmospheric </w:t>
      </w:r>
      <w:r w:rsidR="00E03ED4" w:rsidRPr="008608AA">
        <w:t>carbon dioxide</w:t>
      </w:r>
      <w:r w:rsidRPr="008608AA">
        <w:rPr>
          <w:vertAlign w:val="subscript"/>
        </w:rPr>
        <w:t xml:space="preserve"> </w:t>
      </w:r>
      <w:r w:rsidRPr="008608AA">
        <w:rPr>
          <w:rFonts w:eastAsia="Calibri"/>
        </w:rPr>
        <w:t xml:space="preserve">adversely impacts marine species through ocean acidification. Pollutants also affect biodiversity because their human use to increase food, energy or minerals alters air, water and soil chemistry, or disturbs watersheds, causing soil erosion and sediment movement into water bodies. Other pollutants are toxic to organisms. </w:t>
      </w:r>
      <w:r w:rsidR="005143C5" w:rsidRPr="008608AA">
        <w:rPr>
          <w:rFonts w:eastAsia="Calibri"/>
        </w:rPr>
        <w:br w:type="page"/>
      </w:r>
    </w:p>
    <w:p w14:paraId="3AB9F84D" w14:textId="00F280C6" w:rsidR="001E61A6" w:rsidRPr="008608AA" w:rsidRDefault="006E413E" w:rsidP="006E413E">
      <w:pPr>
        <w:pStyle w:val="Caption"/>
        <w:rPr>
          <w:b w:val="0"/>
          <w:bCs w:val="0"/>
          <w:sz w:val="20"/>
        </w:rPr>
      </w:pPr>
      <w:bookmarkStart w:id="1510" w:name="_Ref516933719"/>
      <w:bookmarkStart w:id="1511" w:name="_Toc499459696"/>
      <w:bookmarkStart w:id="1512" w:name="_Ref516933530"/>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13</w:t>
      </w:r>
      <w:r w:rsidR="000E562E">
        <w:rPr>
          <w:noProof/>
        </w:rPr>
        <w:fldChar w:fldCharType="end"/>
      </w:r>
      <w:bookmarkEnd w:id="1510"/>
      <w:r w:rsidR="001E61A6" w:rsidRPr="008608AA">
        <w:rPr>
          <w:b w:val="0"/>
          <w:bCs w:val="0"/>
          <w:sz w:val="20"/>
        </w:rPr>
        <w:t xml:space="preserve">. </w:t>
      </w:r>
      <w:r w:rsidR="001E61A6" w:rsidRPr="008608AA">
        <w:t>Examples of ubiquitous water pollutants (A) micropollutants; (B) macropollutants and fluxes to world rivers. Source: mod</w:t>
      </w:r>
      <w:r w:rsidR="00EA4952" w:rsidRPr="008608AA">
        <w:t xml:space="preserve">ified from Schwarzenbach </w:t>
      </w:r>
      <w:r w:rsidR="00EA4952" w:rsidRPr="008608AA">
        <w:rPr>
          <w:i/>
        </w:rPr>
        <w:t>et al.</w:t>
      </w:r>
      <w:r w:rsidR="001E61A6" w:rsidRPr="008608AA">
        <w:t xml:space="preserve"> </w:t>
      </w:r>
      <w:r w:rsidR="00EA4952" w:rsidRPr="008608AA">
        <w:t>(</w:t>
      </w:r>
      <w:r w:rsidR="001E61A6" w:rsidRPr="008608AA">
        <w:t>2006</w:t>
      </w:r>
      <w:r w:rsidR="00EA4952" w:rsidRPr="008608AA">
        <w:t>)</w:t>
      </w:r>
      <w:r w:rsidR="001E61A6" w:rsidRPr="008608AA">
        <w:t xml:space="preserve"> and references therein.</w:t>
      </w:r>
      <w:bookmarkEnd w:id="1511"/>
      <w:bookmarkEnd w:id="15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
        <w:gridCol w:w="370"/>
        <w:gridCol w:w="1571"/>
        <w:gridCol w:w="2471"/>
        <w:gridCol w:w="153"/>
        <w:gridCol w:w="284"/>
        <w:gridCol w:w="2504"/>
        <w:gridCol w:w="1074"/>
      </w:tblGrid>
      <w:tr w:rsidR="001E61A6" w:rsidRPr="00360ADC" w14:paraId="2938B4DC" w14:textId="77777777" w:rsidTr="00360ADC">
        <w:trPr>
          <w:trHeight w:val="72"/>
        </w:trPr>
        <w:tc>
          <w:tcPr>
            <w:tcW w:w="745" w:type="pct"/>
            <w:gridSpan w:val="2"/>
            <w:shd w:val="clear" w:color="auto" w:fill="auto"/>
            <w:noWrap/>
            <w:tcMar>
              <w:left w:w="58" w:type="dxa"/>
              <w:right w:w="58" w:type="dxa"/>
            </w:tcMar>
            <w:hideMark/>
          </w:tcPr>
          <w:p w14:paraId="0B777F56" w14:textId="77777777" w:rsidR="001E61A6" w:rsidRPr="00360ADC" w:rsidRDefault="001E61A6" w:rsidP="009C39CE">
            <w:pPr>
              <w:rPr>
                <w:b/>
                <w:sz w:val="20"/>
                <w:szCs w:val="20"/>
              </w:rPr>
            </w:pPr>
            <w:r w:rsidRPr="00360ADC">
              <w:rPr>
                <w:b/>
                <w:sz w:val="20"/>
                <w:szCs w:val="20"/>
              </w:rPr>
              <w:t>A Origin/usage</w:t>
            </w:r>
          </w:p>
        </w:tc>
        <w:tc>
          <w:tcPr>
            <w:tcW w:w="848" w:type="pct"/>
            <w:shd w:val="clear" w:color="auto" w:fill="auto"/>
            <w:noWrap/>
            <w:tcMar>
              <w:left w:w="58" w:type="dxa"/>
              <w:right w:w="58" w:type="dxa"/>
            </w:tcMar>
            <w:hideMark/>
          </w:tcPr>
          <w:p w14:paraId="025CC629" w14:textId="77777777" w:rsidR="001E61A6" w:rsidRPr="00360ADC" w:rsidRDefault="001E61A6" w:rsidP="009C39CE">
            <w:pPr>
              <w:rPr>
                <w:b/>
                <w:sz w:val="20"/>
                <w:szCs w:val="20"/>
              </w:rPr>
            </w:pPr>
            <w:r w:rsidRPr="00360ADC">
              <w:rPr>
                <w:b/>
                <w:sz w:val="20"/>
                <w:szCs w:val="20"/>
              </w:rPr>
              <w:t>Class</w:t>
            </w:r>
          </w:p>
        </w:tc>
        <w:tc>
          <w:tcPr>
            <w:tcW w:w="1325" w:type="pct"/>
            <w:shd w:val="clear" w:color="auto" w:fill="auto"/>
            <w:noWrap/>
            <w:tcMar>
              <w:left w:w="58" w:type="dxa"/>
              <w:right w:w="58" w:type="dxa"/>
            </w:tcMar>
            <w:hideMark/>
          </w:tcPr>
          <w:p w14:paraId="3C2AC40C" w14:textId="77777777" w:rsidR="001E61A6" w:rsidRPr="00360ADC" w:rsidRDefault="001E61A6" w:rsidP="009C39CE">
            <w:pPr>
              <w:rPr>
                <w:b/>
                <w:sz w:val="20"/>
                <w:szCs w:val="20"/>
              </w:rPr>
            </w:pPr>
            <w:r w:rsidRPr="00360ADC">
              <w:rPr>
                <w:b/>
                <w:sz w:val="20"/>
                <w:szCs w:val="20"/>
              </w:rPr>
              <w:t>Selected examples</w:t>
            </w:r>
          </w:p>
        </w:tc>
        <w:tc>
          <w:tcPr>
            <w:tcW w:w="2082" w:type="pct"/>
            <w:gridSpan w:val="4"/>
            <w:shd w:val="clear" w:color="auto" w:fill="auto"/>
            <w:noWrap/>
            <w:tcMar>
              <w:left w:w="58" w:type="dxa"/>
              <w:right w:w="58" w:type="dxa"/>
            </w:tcMar>
            <w:hideMark/>
          </w:tcPr>
          <w:p w14:paraId="4FAFE032" w14:textId="77777777" w:rsidR="001E61A6" w:rsidRPr="00360ADC" w:rsidRDefault="001E61A6" w:rsidP="009C39CE">
            <w:pPr>
              <w:rPr>
                <w:b/>
                <w:sz w:val="20"/>
                <w:szCs w:val="20"/>
              </w:rPr>
            </w:pPr>
            <w:r w:rsidRPr="00360ADC">
              <w:rPr>
                <w:b/>
                <w:sz w:val="20"/>
                <w:szCs w:val="20"/>
              </w:rPr>
              <w:t>Related problems</w:t>
            </w:r>
          </w:p>
        </w:tc>
      </w:tr>
      <w:tr w:rsidR="001E61A6" w:rsidRPr="00360ADC" w14:paraId="0D2C79C1" w14:textId="77777777" w:rsidTr="00360ADC">
        <w:trPr>
          <w:trHeight w:val="72"/>
        </w:trPr>
        <w:tc>
          <w:tcPr>
            <w:tcW w:w="745" w:type="pct"/>
            <w:gridSpan w:val="2"/>
            <w:shd w:val="clear" w:color="auto" w:fill="auto"/>
            <w:noWrap/>
            <w:tcMar>
              <w:left w:w="58" w:type="dxa"/>
              <w:right w:w="58" w:type="dxa"/>
            </w:tcMar>
            <w:hideMark/>
          </w:tcPr>
          <w:p w14:paraId="7F7F1577" w14:textId="77777777" w:rsidR="001E61A6" w:rsidRPr="00360ADC" w:rsidRDefault="001E61A6" w:rsidP="009C39CE">
            <w:pPr>
              <w:rPr>
                <w:sz w:val="20"/>
                <w:szCs w:val="20"/>
              </w:rPr>
            </w:pPr>
            <w:r w:rsidRPr="00360ADC">
              <w:rPr>
                <w:sz w:val="20"/>
                <w:szCs w:val="20"/>
              </w:rPr>
              <w:t>Industrial chemicals</w:t>
            </w:r>
          </w:p>
        </w:tc>
        <w:tc>
          <w:tcPr>
            <w:tcW w:w="848" w:type="pct"/>
            <w:shd w:val="clear" w:color="auto" w:fill="auto"/>
            <w:noWrap/>
            <w:tcMar>
              <w:left w:w="58" w:type="dxa"/>
              <w:right w:w="58" w:type="dxa"/>
            </w:tcMar>
            <w:hideMark/>
          </w:tcPr>
          <w:p w14:paraId="49676340" w14:textId="77777777" w:rsidR="001E61A6" w:rsidRPr="00360ADC" w:rsidRDefault="001E61A6" w:rsidP="009C39CE">
            <w:pPr>
              <w:rPr>
                <w:sz w:val="20"/>
                <w:szCs w:val="20"/>
              </w:rPr>
            </w:pPr>
            <w:r w:rsidRPr="00360ADC">
              <w:rPr>
                <w:sz w:val="20"/>
                <w:szCs w:val="20"/>
              </w:rPr>
              <w:t>Solvents</w:t>
            </w:r>
          </w:p>
        </w:tc>
        <w:tc>
          <w:tcPr>
            <w:tcW w:w="1325" w:type="pct"/>
            <w:shd w:val="clear" w:color="auto" w:fill="auto"/>
            <w:noWrap/>
            <w:tcMar>
              <w:left w:w="58" w:type="dxa"/>
              <w:right w:w="58" w:type="dxa"/>
            </w:tcMar>
            <w:hideMark/>
          </w:tcPr>
          <w:p w14:paraId="1E57732E" w14:textId="77777777" w:rsidR="001E61A6" w:rsidRPr="00360ADC" w:rsidRDefault="001E61A6" w:rsidP="009C39CE">
            <w:pPr>
              <w:rPr>
                <w:sz w:val="20"/>
                <w:szCs w:val="20"/>
              </w:rPr>
            </w:pPr>
            <w:r w:rsidRPr="00360ADC">
              <w:rPr>
                <w:sz w:val="20"/>
                <w:szCs w:val="20"/>
              </w:rPr>
              <w:t>Tetrachloromethane</w:t>
            </w:r>
          </w:p>
        </w:tc>
        <w:tc>
          <w:tcPr>
            <w:tcW w:w="2082" w:type="pct"/>
            <w:gridSpan w:val="4"/>
            <w:shd w:val="clear" w:color="auto" w:fill="auto"/>
            <w:noWrap/>
            <w:tcMar>
              <w:left w:w="58" w:type="dxa"/>
              <w:right w:w="58" w:type="dxa"/>
            </w:tcMar>
            <w:hideMark/>
          </w:tcPr>
          <w:p w14:paraId="1BEA78E4" w14:textId="77777777" w:rsidR="001E61A6" w:rsidRPr="00360ADC" w:rsidRDefault="001E61A6" w:rsidP="009C39CE">
            <w:pPr>
              <w:rPr>
                <w:sz w:val="20"/>
                <w:szCs w:val="20"/>
              </w:rPr>
            </w:pPr>
            <w:r w:rsidRPr="00360ADC">
              <w:rPr>
                <w:sz w:val="20"/>
                <w:szCs w:val="20"/>
              </w:rPr>
              <w:t>Drinking-water contamination</w:t>
            </w:r>
          </w:p>
        </w:tc>
      </w:tr>
      <w:tr w:rsidR="001E61A6" w:rsidRPr="00360ADC" w14:paraId="5E1132CD" w14:textId="77777777" w:rsidTr="00360ADC">
        <w:trPr>
          <w:trHeight w:val="72"/>
        </w:trPr>
        <w:tc>
          <w:tcPr>
            <w:tcW w:w="745" w:type="pct"/>
            <w:gridSpan w:val="2"/>
            <w:shd w:val="clear" w:color="auto" w:fill="auto"/>
            <w:noWrap/>
            <w:tcMar>
              <w:left w:w="58" w:type="dxa"/>
              <w:right w:w="58" w:type="dxa"/>
            </w:tcMar>
            <w:hideMark/>
          </w:tcPr>
          <w:p w14:paraId="7E479A0E"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1BEE0D17" w14:textId="77777777" w:rsidR="001E61A6" w:rsidRPr="00360ADC" w:rsidRDefault="001E61A6" w:rsidP="009C39CE">
            <w:pPr>
              <w:rPr>
                <w:sz w:val="20"/>
                <w:szCs w:val="20"/>
              </w:rPr>
            </w:pPr>
            <w:r w:rsidRPr="00360ADC">
              <w:rPr>
                <w:sz w:val="20"/>
                <w:szCs w:val="20"/>
              </w:rPr>
              <w:t>Intermediates</w:t>
            </w:r>
          </w:p>
        </w:tc>
        <w:tc>
          <w:tcPr>
            <w:tcW w:w="1325" w:type="pct"/>
            <w:shd w:val="clear" w:color="auto" w:fill="auto"/>
            <w:noWrap/>
            <w:tcMar>
              <w:left w:w="58" w:type="dxa"/>
              <w:right w:w="58" w:type="dxa"/>
            </w:tcMar>
            <w:hideMark/>
          </w:tcPr>
          <w:p w14:paraId="1678E487" w14:textId="77777777" w:rsidR="001E61A6" w:rsidRPr="00360ADC" w:rsidRDefault="001E61A6" w:rsidP="009C39CE">
            <w:pPr>
              <w:rPr>
                <w:sz w:val="20"/>
                <w:szCs w:val="20"/>
              </w:rPr>
            </w:pPr>
            <w:r w:rsidRPr="00360ADC">
              <w:rPr>
                <w:sz w:val="20"/>
                <w:szCs w:val="20"/>
              </w:rPr>
              <w:t>Methyl-t-butylether</w:t>
            </w:r>
          </w:p>
        </w:tc>
        <w:tc>
          <w:tcPr>
            <w:tcW w:w="2082" w:type="pct"/>
            <w:gridSpan w:val="4"/>
            <w:shd w:val="clear" w:color="auto" w:fill="auto"/>
            <w:noWrap/>
            <w:tcMar>
              <w:left w:w="58" w:type="dxa"/>
              <w:right w:w="58" w:type="dxa"/>
            </w:tcMar>
            <w:hideMark/>
          </w:tcPr>
          <w:p w14:paraId="36E3D939" w14:textId="77777777" w:rsidR="001E61A6" w:rsidRPr="00360ADC" w:rsidRDefault="001E61A6" w:rsidP="009C39CE">
            <w:pPr>
              <w:rPr>
                <w:sz w:val="20"/>
                <w:szCs w:val="20"/>
              </w:rPr>
            </w:pPr>
          </w:p>
        </w:tc>
      </w:tr>
      <w:tr w:rsidR="001E61A6" w:rsidRPr="00360ADC" w14:paraId="4EC5861C" w14:textId="77777777" w:rsidTr="00360ADC">
        <w:trPr>
          <w:trHeight w:val="72"/>
        </w:trPr>
        <w:tc>
          <w:tcPr>
            <w:tcW w:w="745" w:type="pct"/>
            <w:gridSpan w:val="2"/>
            <w:shd w:val="clear" w:color="auto" w:fill="auto"/>
            <w:noWrap/>
            <w:tcMar>
              <w:left w:w="58" w:type="dxa"/>
              <w:right w:w="58" w:type="dxa"/>
            </w:tcMar>
            <w:hideMark/>
          </w:tcPr>
          <w:p w14:paraId="54D6CD2B"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4F89DDA3" w14:textId="77777777" w:rsidR="001E61A6" w:rsidRPr="00360ADC" w:rsidRDefault="001E61A6" w:rsidP="009C39CE">
            <w:pPr>
              <w:rPr>
                <w:sz w:val="20"/>
                <w:szCs w:val="20"/>
              </w:rPr>
            </w:pPr>
            <w:r w:rsidRPr="00360ADC">
              <w:rPr>
                <w:sz w:val="20"/>
                <w:szCs w:val="20"/>
              </w:rPr>
              <w:t>Petrochemicals</w:t>
            </w:r>
          </w:p>
        </w:tc>
        <w:tc>
          <w:tcPr>
            <w:tcW w:w="1325" w:type="pct"/>
            <w:shd w:val="clear" w:color="auto" w:fill="auto"/>
            <w:noWrap/>
            <w:tcMar>
              <w:left w:w="58" w:type="dxa"/>
              <w:right w:w="58" w:type="dxa"/>
            </w:tcMar>
            <w:hideMark/>
          </w:tcPr>
          <w:p w14:paraId="77088915" w14:textId="77777777" w:rsidR="001E61A6" w:rsidRPr="00360ADC" w:rsidRDefault="001E61A6" w:rsidP="009C39CE">
            <w:pPr>
              <w:rPr>
                <w:sz w:val="20"/>
                <w:szCs w:val="20"/>
              </w:rPr>
            </w:pPr>
            <w:r w:rsidRPr="00360ADC">
              <w:rPr>
                <w:sz w:val="20"/>
                <w:szCs w:val="20"/>
              </w:rPr>
              <w:t>BTEX (benzene, toluene, xylene)</w:t>
            </w:r>
          </w:p>
        </w:tc>
        <w:tc>
          <w:tcPr>
            <w:tcW w:w="2082" w:type="pct"/>
            <w:gridSpan w:val="4"/>
            <w:shd w:val="clear" w:color="auto" w:fill="auto"/>
            <w:noWrap/>
            <w:tcMar>
              <w:left w:w="58" w:type="dxa"/>
              <w:right w:w="58" w:type="dxa"/>
            </w:tcMar>
            <w:hideMark/>
          </w:tcPr>
          <w:p w14:paraId="1D7FE6CA" w14:textId="77777777" w:rsidR="001E61A6" w:rsidRPr="00360ADC" w:rsidRDefault="001E61A6" w:rsidP="009C39CE">
            <w:pPr>
              <w:rPr>
                <w:sz w:val="20"/>
                <w:szCs w:val="20"/>
              </w:rPr>
            </w:pPr>
          </w:p>
        </w:tc>
      </w:tr>
      <w:tr w:rsidR="001E61A6" w:rsidRPr="00360ADC" w14:paraId="0ACCC19E" w14:textId="77777777" w:rsidTr="00360ADC">
        <w:trPr>
          <w:trHeight w:val="72"/>
        </w:trPr>
        <w:tc>
          <w:tcPr>
            <w:tcW w:w="745" w:type="pct"/>
            <w:gridSpan w:val="2"/>
            <w:shd w:val="clear" w:color="auto" w:fill="auto"/>
            <w:noWrap/>
            <w:tcMar>
              <w:left w:w="58" w:type="dxa"/>
              <w:right w:w="58" w:type="dxa"/>
            </w:tcMar>
            <w:hideMark/>
          </w:tcPr>
          <w:p w14:paraId="0AB6B8E4" w14:textId="77777777" w:rsidR="001E61A6" w:rsidRPr="00360ADC" w:rsidRDefault="001E61A6" w:rsidP="009C39CE">
            <w:pPr>
              <w:rPr>
                <w:sz w:val="20"/>
                <w:szCs w:val="20"/>
              </w:rPr>
            </w:pPr>
            <w:r w:rsidRPr="00360ADC">
              <w:rPr>
                <w:sz w:val="20"/>
                <w:szCs w:val="20"/>
              </w:rPr>
              <w:t>Industrial products</w:t>
            </w:r>
          </w:p>
        </w:tc>
        <w:tc>
          <w:tcPr>
            <w:tcW w:w="848" w:type="pct"/>
            <w:shd w:val="clear" w:color="auto" w:fill="auto"/>
            <w:noWrap/>
            <w:tcMar>
              <w:left w:w="58" w:type="dxa"/>
              <w:right w:w="58" w:type="dxa"/>
            </w:tcMar>
            <w:hideMark/>
          </w:tcPr>
          <w:p w14:paraId="1EDFB8B4" w14:textId="77777777" w:rsidR="001E61A6" w:rsidRPr="00360ADC" w:rsidRDefault="001E61A6" w:rsidP="009C39CE">
            <w:pPr>
              <w:rPr>
                <w:sz w:val="20"/>
                <w:szCs w:val="20"/>
              </w:rPr>
            </w:pPr>
            <w:r w:rsidRPr="00360ADC">
              <w:rPr>
                <w:sz w:val="20"/>
                <w:szCs w:val="20"/>
              </w:rPr>
              <w:t>Additives</w:t>
            </w:r>
          </w:p>
        </w:tc>
        <w:tc>
          <w:tcPr>
            <w:tcW w:w="1325" w:type="pct"/>
            <w:shd w:val="clear" w:color="auto" w:fill="auto"/>
            <w:noWrap/>
            <w:tcMar>
              <w:left w:w="58" w:type="dxa"/>
              <w:right w:w="58" w:type="dxa"/>
            </w:tcMar>
            <w:hideMark/>
          </w:tcPr>
          <w:p w14:paraId="07BD9BE0" w14:textId="77777777" w:rsidR="001E61A6" w:rsidRPr="00360ADC" w:rsidRDefault="001E61A6" w:rsidP="009C39CE">
            <w:pPr>
              <w:rPr>
                <w:sz w:val="20"/>
                <w:szCs w:val="20"/>
              </w:rPr>
            </w:pPr>
            <w:r w:rsidRPr="00360ADC">
              <w:rPr>
                <w:sz w:val="20"/>
                <w:szCs w:val="20"/>
              </w:rPr>
              <w:t>Phthalates</w:t>
            </w:r>
          </w:p>
        </w:tc>
        <w:tc>
          <w:tcPr>
            <w:tcW w:w="2082" w:type="pct"/>
            <w:gridSpan w:val="4"/>
            <w:shd w:val="clear" w:color="auto" w:fill="auto"/>
            <w:noWrap/>
            <w:tcMar>
              <w:left w:w="58" w:type="dxa"/>
              <w:right w:w="58" w:type="dxa"/>
            </w:tcMar>
            <w:hideMark/>
          </w:tcPr>
          <w:p w14:paraId="1011829F" w14:textId="77777777" w:rsidR="001E61A6" w:rsidRPr="00360ADC" w:rsidRDefault="001E61A6" w:rsidP="009C39CE">
            <w:pPr>
              <w:rPr>
                <w:sz w:val="20"/>
                <w:szCs w:val="20"/>
              </w:rPr>
            </w:pPr>
          </w:p>
        </w:tc>
      </w:tr>
      <w:tr w:rsidR="001E61A6" w:rsidRPr="00360ADC" w14:paraId="55D5D72D" w14:textId="77777777" w:rsidTr="00360ADC">
        <w:trPr>
          <w:trHeight w:val="72"/>
        </w:trPr>
        <w:tc>
          <w:tcPr>
            <w:tcW w:w="745" w:type="pct"/>
            <w:gridSpan w:val="2"/>
            <w:shd w:val="clear" w:color="auto" w:fill="auto"/>
            <w:noWrap/>
            <w:tcMar>
              <w:left w:w="58" w:type="dxa"/>
              <w:right w:w="58" w:type="dxa"/>
            </w:tcMar>
            <w:hideMark/>
          </w:tcPr>
          <w:p w14:paraId="6C2C722F"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0025603A" w14:textId="77777777" w:rsidR="001E61A6" w:rsidRPr="00360ADC" w:rsidRDefault="001E61A6" w:rsidP="009C39CE">
            <w:pPr>
              <w:rPr>
                <w:sz w:val="20"/>
                <w:szCs w:val="20"/>
              </w:rPr>
            </w:pPr>
            <w:r w:rsidRPr="00360ADC">
              <w:rPr>
                <w:sz w:val="20"/>
                <w:szCs w:val="20"/>
              </w:rPr>
              <w:t>Lubricants</w:t>
            </w:r>
          </w:p>
        </w:tc>
        <w:tc>
          <w:tcPr>
            <w:tcW w:w="1325" w:type="pct"/>
            <w:shd w:val="clear" w:color="auto" w:fill="auto"/>
            <w:noWrap/>
            <w:tcMar>
              <w:left w:w="58" w:type="dxa"/>
              <w:right w:w="58" w:type="dxa"/>
            </w:tcMar>
            <w:hideMark/>
          </w:tcPr>
          <w:p w14:paraId="34E93AF5" w14:textId="77777777" w:rsidR="001E61A6" w:rsidRPr="00360ADC" w:rsidRDefault="001E61A6" w:rsidP="009C39CE">
            <w:pPr>
              <w:rPr>
                <w:sz w:val="20"/>
                <w:szCs w:val="20"/>
              </w:rPr>
            </w:pPr>
            <w:r w:rsidRPr="00360ADC">
              <w:rPr>
                <w:sz w:val="20"/>
                <w:szCs w:val="20"/>
              </w:rPr>
              <w:t>PCBs (polychlorinated biphenyls)</w:t>
            </w:r>
          </w:p>
        </w:tc>
        <w:tc>
          <w:tcPr>
            <w:tcW w:w="2082" w:type="pct"/>
            <w:gridSpan w:val="4"/>
            <w:shd w:val="clear" w:color="auto" w:fill="auto"/>
            <w:noWrap/>
            <w:tcMar>
              <w:left w:w="58" w:type="dxa"/>
              <w:right w:w="58" w:type="dxa"/>
            </w:tcMar>
            <w:hideMark/>
          </w:tcPr>
          <w:p w14:paraId="72879115" w14:textId="77777777" w:rsidR="001E61A6" w:rsidRPr="00360ADC" w:rsidRDefault="001E61A6" w:rsidP="009C39CE">
            <w:pPr>
              <w:rPr>
                <w:sz w:val="20"/>
                <w:szCs w:val="20"/>
              </w:rPr>
            </w:pPr>
            <w:r w:rsidRPr="00360ADC">
              <w:rPr>
                <w:sz w:val="20"/>
                <w:szCs w:val="20"/>
              </w:rPr>
              <w:t>Biomagnification, long-range transport</w:t>
            </w:r>
          </w:p>
        </w:tc>
      </w:tr>
      <w:tr w:rsidR="001E61A6" w:rsidRPr="00360ADC" w14:paraId="2AB6904A" w14:textId="77777777" w:rsidTr="00360ADC">
        <w:trPr>
          <w:trHeight w:val="72"/>
        </w:trPr>
        <w:tc>
          <w:tcPr>
            <w:tcW w:w="745" w:type="pct"/>
            <w:gridSpan w:val="2"/>
            <w:shd w:val="clear" w:color="auto" w:fill="auto"/>
            <w:noWrap/>
            <w:tcMar>
              <w:left w:w="58" w:type="dxa"/>
              <w:right w:w="58" w:type="dxa"/>
            </w:tcMar>
            <w:hideMark/>
          </w:tcPr>
          <w:p w14:paraId="07ACBFA1"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094034A5" w14:textId="77777777" w:rsidR="001E61A6" w:rsidRPr="00360ADC" w:rsidRDefault="001E61A6" w:rsidP="009C39CE">
            <w:pPr>
              <w:rPr>
                <w:sz w:val="20"/>
                <w:szCs w:val="20"/>
              </w:rPr>
            </w:pPr>
            <w:r w:rsidRPr="00360ADC">
              <w:rPr>
                <w:sz w:val="20"/>
                <w:szCs w:val="20"/>
              </w:rPr>
              <w:t>Flame retardants</w:t>
            </w:r>
          </w:p>
        </w:tc>
        <w:tc>
          <w:tcPr>
            <w:tcW w:w="1325" w:type="pct"/>
            <w:shd w:val="clear" w:color="auto" w:fill="auto"/>
            <w:noWrap/>
            <w:tcMar>
              <w:left w:w="58" w:type="dxa"/>
              <w:right w:w="58" w:type="dxa"/>
            </w:tcMar>
            <w:hideMark/>
          </w:tcPr>
          <w:p w14:paraId="7F305768" w14:textId="77777777" w:rsidR="001E61A6" w:rsidRPr="00360ADC" w:rsidRDefault="001E61A6" w:rsidP="009C39CE">
            <w:pPr>
              <w:rPr>
                <w:sz w:val="20"/>
                <w:szCs w:val="20"/>
              </w:rPr>
            </w:pPr>
            <w:r w:rsidRPr="00360ADC">
              <w:rPr>
                <w:sz w:val="20"/>
                <w:szCs w:val="20"/>
              </w:rPr>
              <w:t>Polybrominated diphenylethers</w:t>
            </w:r>
          </w:p>
        </w:tc>
        <w:tc>
          <w:tcPr>
            <w:tcW w:w="2082" w:type="pct"/>
            <w:gridSpan w:val="4"/>
            <w:shd w:val="clear" w:color="auto" w:fill="auto"/>
            <w:noWrap/>
            <w:tcMar>
              <w:left w:w="58" w:type="dxa"/>
              <w:right w:w="58" w:type="dxa"/>
            </w:tcMar>
            <w:hideMark/>
          </w:tcPr>
          <w:p w14:paraId="7C963D32" w14:textId="77777777" w:rsidR="001E61A6" w:rsidRPr="00360ADC" w:rsidRDefault="001E61A6" w:rsidP="009C39CE">
            <w:pPr>
              <w:rPr>
                <w:sz w:val="20"/>
                <w:szCs w:val="20"/>
              </w:rPr>
            </w:pPr>
          </w:p>
        </w:tc>
      </w:tr>
      <w:tr w:rsidR="001E61A6" w:rsidRPr="00360ADC" w14:paraId="16DA4737" w14:textId="77777777" w:rsidTr="00360ADC">
        <w:trPr>
          <w:trHeight w:val="72"/>
        </w:trPr>
        <w:tc>
          <w:tcPr>
            <w:tcW w:w="745" w:type="pct"/>
            <w:gridSpan w:val="2"/>
            <w:shd w:val="clear" w:color="auto" w:fill="auto"/>
            <w:noWrap/>
            <w:tcMar>
              <w:left w:w="58" w:type="dxa"/>
              <w:right w:w="58" w:type="dxa"/>
            </w:tcMar>
            <w:hideMark/>
          </w:tcPr>
          <w:p w14:paraId="38CA3ABA" w14:textId="77777777" w:rsidR="001E61A6" w:rsidRPr="00360ADC" w:rsidRDefault="001E61A6" w:rsidP="009C39CE">
            <w:pPr>
              <w:rPr>
                <w:sz w:val="20"/>
                <w:szCs w:val="20"/>
              </w:rPr>
            </w:pPr>
            <w:r w:rsidRPr="00360ADC">
              <w:rPr>
                <w:sz w:val="20"/>
                <w:szCs w:val="20"/>
              </w:rPr>
              <w:t>Consumer products</w:t>
            </w:r>
          </w:p>
        </w:tc>
        <w:tc>
          <w:tcPr>
            <w:tcW w:w="848" w:type="pct"/>
            <w:shd w:val="clear" w:color="auto" w:fill="auto"/>
            <w:noWrap/>
            <w:tcMar>
              <w:left w:w="58" w:type="dxa"/>
              <w:right w:w="58" w:type="dxa"/>
            </w:tcMar>
            <w:hideMark/>
          </w:tcPr>
          <w:p w14:paraId="413BD53A" w14:textId="77777777" w:rsidR="001E61A6" w:rsidRPr="00360ADC" w:rsidRDefault="001E61A6" w:rsidP="009C39CE">
            <w:pPr>
              <w:rPr>
                <w:sz w:val="20"/>
                <w:szCs w:val="20"/>
              </w:rPr>
            </w:pPr>
            <w:r w:rsidRPr="00360ADC">
              <w:rPr>
                <w:sz w:val="20"/>
                <w:szCs w:val="20"/>
              </w:rPr>
              <w:t>Detergents</w:t>
            </w:r>
          </w:p>
        </w:tc>
        <w:tc>
          <w:tcPr>
            <w:tcW w:w="1325" w:type="pct"/>
            <w:shd w:val="clear" w:color="auto" w:fill="auto"/>
            <w:noWrap/>
            <w:tcMar>
              <w:left w:w="58" w:type="dxa"/>
              <w:right w:w="58" w:type="dxa"/>
            </w:tcMar>
            <w:hideMark/>
          </w:tcPr>
          <w:p w14:paraId="2F6FDBE0" w14:textId="77777777" w:rsidR="001E61A6" w:rsidRPr="00360ADC" w:rsidRDefault="001E61A6" w:rsidP="009C39CE">
            <w:pPr>
              <w:rPr>
                <w:sz w:val="20"/>
                <w:szCs w:val="20"/>
              </w:rPr>
            </w:pPr>
            <w:r w:rsidRPr="00360ADC">
              <w:rPr>
                <w:sz w:val="20"/>
                <w:szCs w:val="20"/>
              </w:rPr>
              <w:t>Nonylphenol ethoxylates</w:t>
            </w:r>
          </w:p>
        </w:tc>
        <w:tc>
          <w:tcPr>
            <w:tcW w:w="2082" w:type="pct"/>
            <w:gridSpan w:val="4"/>
            <w:shd w:val="clear" w:color="auto" w:fill="auto"/>
            <w:noWrap/>
            <w:tcMar>
              <w:left w:w="58" w:type="dxa"/>
              <w:right w:w="58" w:type="dxa"/>
            </w:tcMar>
            <w:hideMark/>
          </w:tcPr>
          <w:p w14:paraId="7152F6FD" w14:textId="77777777" w:rsidR="001E61A6" w:rsidRPr="00360ADC" w:rsidRDefault="001E61A6" w:rsidP="009C39CE">
            <w:pPr>
              <w:rPr>
                <w:sz w:val="20"/>
                <w:szCs w:val="20"/>
              </w:rPr>
            </w:pPr>
            <w:r w:rsidRPr="00360ADC">
              <w:rPr>
                <w:sz w:val="20"/>
                <w:szCs w:val="20"/>
              </w:rPr>
              <w:t xml:space="preserve">Endocrine active transformation product </w:t>
            </w:r>
          </w:p>
        </w:tc>
      </w:tr>
      <w:tr w:rsidR="001E61A6" w:rsidRPr="00360ADC" w14:paraId="54F1B858" w14:textId="77777777" w:rsidTr="00360ADC">
        <w:trPr>
          <w:trHeight w:val="72"/>
        </w:trPr>
        <w:tc>
          <w:tcPr>
            <w:tcW w:w="745" w:type="pct"/>
            <w:gridSpan w:val="2"/>
            <w:shd w:val="clear" w:color="auto" w:fill="auto"/>
            <w:noWrap/>
            <w:tcMar>
              <w:left w:w="58" w:type="dxa"/>
              <w:right w:w="58" w:type="dxa"/>
            </w:tcMar>
            <w:hideMark/>
          </w:tcPr>
          <w:p w14:paraId="4EEAD3D5"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21CD7DD4" w14:textId="77777777" w:rsidR="001E61A6" w:rsidRPr="00360ADC" w:rsidRDefault="001E61A6" w:rsidP="009C39CE">
            <w:pPr>
              <w:rPr>
                <w:sz w:val="20"/>
                <w:szCs w:val="20"/>
              </w:rPr>
            </w:pPr>
            <w:r w:rsidRPr="00360ADC">
              <w:rPr>
                <w:sz w:val="20"/>
                <w:szCs w:val="20"/>
              </w:rPr>
              <w:t>Pharmaceuticals</w:t>
            </w:r>
          </w:p>
        </w:tc>
        <w:tc>
          <w:tcPr>
            <w:tcW w:w="1325" w:type="pct"/>
            <w:shd w:val="clear" w:color="auto" w:fill="auto"/>
            <w:noWrap/>
            <w:tcMar>
              <w:left w:w="58" w:type="dxa"/>
              <w:right w:w="58" w:type="dxa"/>
            </w:tcMar>
            <w:hideMark/>
          </w:tcPr>
          <w:p w14:paraId="6360F39F" w14:textId="77777777" w:rsidR="001E61A6" w:rsidRPr="00360ADC" w:rsidRDefault="001E61A6" w:rsidP="009C39CE">
            <w:pPr>
              <w:rPr>
                <w:sz w:val="20"/>
                <w:szCs w:val="20"/>
              </w:rPr>
            </w:pPr>
            <w:r w:rsidRPr="00360ADC">
              <w:rPr>
                <w:sz w:val="20"/>
                <w:szCs w:val="20"/>
              </w:rPr>
              <w:t>Antibiotics</w:t>
            </w:r>
          </w:p>
        </w:tc>
        <w:tc>
          <w:tcPr>
            <w:tcW w:w="2082" w:type="pct"/>
            <w:gridSpan w:val="4"/>
            <w:shd w:val="clear" w:color="auto" w:fill="auto"/>
            <w:noWrap/>
            <w:tcMar>
              <w:left w:w="58" w:type="dxa"/>
              <w:right w:w="58" w:type="dxa"/>
            </w:tcMar>
            <w:hideMark/>
          </w:tcPr>
          <w:p w14:paraId="196F1127" w14:textId="77777777" w:rsidR="001E61A6" w:rsidRPr="00360ADC" w:rsidRDefault="001E61A6" w:rsidP="009C39CE">
            <w:pPr>
              <w:rPr>
                <w:sz w:val="20"/>
                <w:szCs w:val="20"/>
              </w:rPr>
            </w:pPr>
            <w:r w:rsidRPr="00360ADC">
              <w:rPr>
                <w:sz w:val="20"/>
                <w:szCs w:val="20"/>
              </w:rPr>
              <w:t>Bacterial resistance, nontarget effects</w:t>
            </w:r>
          </w:p>
        </w:tc>
      </w:tr>
      <w:tr w:rsidR="001E61A6" w:rsidRPr="00360ADC" w14:paraId="484A0622" w14:textId="77777777" w:rsidTr="00360ADC">
        <w:trPr>
          <w:trHeight w:val="72"/>
        </w:trPr>
        <w:tc>
          <w:tcPr>
            <w:tcW w:w="745" w:type="pct"/>
            <w:gridSpan w:val="2"/>
            <w:shd w:val="clear" w:color="auto" w:fill="auto"/>
            <w:noWrap/>
            <w:tcMar>
              <w:left w:w="58" w:type="dxa"/>
              <w:right w:w="58" w:type="dxa"/>
            </w:tcMar>
            <w:hideMark/>
          </w:tcPr>
          <w:p w14:paraId="5839E421"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3FF1AFDD" w14:textId="77777777" w:rsidR="001E61A6" w:rsidRPr="00360ADC" w:rsidRDefault="001E61A6" w:rsidP="009C39CE">
            <w:pPr>
              <w:rPr>
                <w:sz w:val="20"/>
                <w:szCs w:val="20"/>
              </w:rPr>
            </w:pPr>
            <w:r w:rsidRPr="00360ADC">
              <w:rPr>
                <w:sz w:val="20"/>
                <w:szCs w:val="20"/>
              </w:rPr>
              <w:t>Hormones</w:t>
            </w:r>
          </w:p>
        </w:tc>
        <w:tc>
          <w:tcPr>
            <w:tcW w:w="1325" w:type="pct"/>
            <w:shd w:val="clear" w:color="auto" w:fill="auto"/>
            <w:noWrap/>
            <w:tcMar>
              <w:left w:w="58" w:type="dxa"/>
              <w:right w:w="58" w:type="dxa"/>
            </w:tcMar>
            <w:hideMark/>
          </w:tcPr>
          <w:p w14:paraId="35F47E03" w14:textId="77777777" w:rsidR="001E61A6" w:rsidRPr="00360ADC" w:rsidRDefault="001E61A6" w:rsidP="009C39CE">
            <w:pPr>
              <w:rPr>
                <w:sz w:val="20"/>
                <w:szCs w:val="20"/>
              </w:rPr>
            </w:pPr>
            <w:r w:rsidRPr="00360ADC">
              <w:rPr>
                <w:sz w:val="20"/>
                <w:szCs w:val="20"/>
              </w:rPr>
              <w:t>Ethinyl estradiol</w:t>
            </w:r>
          </w:p>
        </w:tc>
        <w:tc>
          <w:tcPr>
            <w:tcW w:w="2082" w:type="pct"/>
            <w:gridSpan w:val="4"/>
            <w:shd w:val="clear" w:color="auto" w:fill="auto"/>
            <w:noWrap/>
            <w:tcMar>
              <w:left w:w="58" w:type="dxa"/>
              <w:right w:w="58" w:type="dxa"/>
            </w:tcMar>
            <w:hideMark/>
          </w:tcPr>
          <w:p w14:paraId="7F9312ED" w14:textId="77777777" w:rsidR="001E61A6" w:rsidRPr="00360ADC" w:rsidRDefault="001E61A6" w:rsidP="009C39CE">
            <w:pPr>
              <w:rPr>
                <w:sz w:val="20"/>
                <w:szCs w:val="20"/>
              </w:rPr>
            </w:pPr>
            <w:r w:rsidRPr="00360ADC">
              <w:rPr>
                <w:sz w:val="20"/>
                <w:szCs w:val="20"/>
              </w:rPr>
              <w:t>Feminization of fish</w:t>
            </w:r>
          </w:p>
        </w:tc>
      </w:tr>
      <w:tr w:rsidR="001E61A6" w:rsidRPr="00360ADC" w14:paraId="2B7BD02C" w14:textId="77777777" w:rsidTr="00360ADC">
        <w:trPr>
          <w:trHeight w:val="72"/>
        </w:trPr>
        <w:tc>
          <w:tcPr>
            <w:tcW w:w="745" w:type="pct"/>
            <w:gridSpan w:val="2"/>
            <w:shd w:val="clear" w:color="auto" w:fill="auto"/>
            <w:noWrap/>
            <w:tcMar>
              <w:left w:w="58" w:type="dxa"/>
              <w:right w:w="58" w:type="dxa"/>
            </w:tcMar>
            <w:hideMark/>
          </w:tcPr>
          <w:p w14:paraId="5ADA1FE4"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7D0649FD" w14:textId="77777777" w:rsidR="001E61A6" w:rsidRPr="00360ADC" w:rsidRDefault="001E61A6" w:rsidP="009C39CE">
            <w:pPr>
              <w:rPr>
                <w:sz w:val="20"/>
                <w:szCs w:val="20"/>
              </w:rPr>
            </w:pPr>
            <w:r w:rsidRPr="00360ADC">
              <w:rPr>
                <w:sz w:val="20"/>
                <w:szCs w:val="20"/>
              </w:rPr>
              <w:t>Personal-care products</w:t>
            </w:r>
          </w:p>
        </w:tc>
        <w:tc>
          <w:tcPr>
            <w:tcW w:w="1325" w:type="pct"/>
            <w:shd w:val="clear" w:color="auto" w:fill="auto"/>
            <w:noWrap/>
            <w:tcMar>
              <w:left w:w="58" w:type="dxa"/>
              <w:right w:w="58" w:type="dxa"/>
            </w:tcMar>
            <w:hideMark/>
          </w:tcPr>
          <w:p w14:paraId="755158C8" w14:textId="77777777" w:rsidR="001E61A6" w:rsidRPr="00360ADC" w:rsidRDefault="001E61A6" w:rsidP="009C39CE">
            <w:pPr>
              <w:rPr>
                <w:sz w:val="20"/>
                <w:szCs w:val="20"/>
              </w:rPr>
            </w:pPr>
            <w:r w:rsidRPr="00360ADC">
              <w:rPr>
                <w:sz w:val="20"/>
                <w:szCs w:val="20"/>
              </w:rPr>
              <w:t>Ultraviolet filters</w:t>
            </w:r>
          </w:p>
        </w:tc>
        <w:tc>
          <w:tcPr>
            <w:tcW w:w="2082" w:type="pct"/>
            <w:gridSpan w:val="4"/>
            <w:shd w:val="clear" w:color="auto" w:fill="auto"/>
            <w:noWrap/>
            <w:tcMar>
              <w:left w:w="58" w:type="dxa"/>
              <w:right w:w="58" w:type="dxa"/>
            </w:tcMar>
            <w:hideMark/>
          </w:tcPr>
          <w:p w14:paraId="4CC7E3D2" w14:textId="77777777" w:rsidR="001E61A6" w:rsidRPr="00360ADC" w:rsidRDefault="001E61A6" w:rsidP="009C39CE">
            <w:pPr>
              <w:rPr>
                <w:sz w:val="20"/>
                <w:szCs w:val="20"/>
              </w:rPr>
            </w:pPr>
            <w:r w:rsidRPr="00360ADC">
              <w:rPr>
                <w:sz w:val="20"/>
                <w:szCs w:val="20"/>
              </w:rPr>
              <w:t>Multitude of (partially unknown) effects</w:t>
            </w:r>
          </w:p>
        </w:tc>
      </w:tr>
      <w:tr w:rsidR="001E61A6" w:rsidRPr="00360ADC" w14:paraId="31A3F5D6" w14:textId="77777777" w:rsidTr="00360ADC">
        <w:trPr>
          <w:trHeight w:val="72"/>
        </w:trPr>
        <w:tc>
          <w:tcPr>
            <w:tcW w:w="745" w:type="pct"/>
            <w:gridSpan w:val="2"/>
            <w:shd w:val="clear" w:color="auto" w:fill="auto"/>
            <w:noWrap/>
            <w:tcMar>
              <w:left w:w="58" w:type="dxa"/>
              <w:right w:w="58" w:type="dxa"/>
            </w:tcMar>
            <w:hideMark/>
          </w:tcPr>
          <w:p w14:paraId="47EDFC81" w14:textId="77777777" w:rsidR="001E61A6" w:rsidRPr="00360ADC" w:rsidRDefault="001E61A6" w:rsidP="009C39CE">
            <w:pPr>
              <w:rPr>
                <w:sz w:val="20"/>
                <w:szCs w:val="20"/>
              </w:rPr>
            </w:pPr>
            <w:r w:rsidRPr="00360ADC">
              <w:rPr>
                <w:sz w:val="20"/>
                <w:szCs w:val="20"/>
              </w:rPr>
              <w:t>Biocides</w:t>
            </w:r>
          </w:p>
        </w:tc>
        <w:tc>
          <w:tcPr>
            <w:tcW w:w="848" w:type="pct"/>
            <w:shd w:val="clear" w:color="auto" w:fill="auto"/>
            <w:noWrap/>
            <w:tcMar>
              <w:left w:w="58" w:type="dxa"/>
              <w:right w:w="58" w:type="dxa"/>
            </w:tcMar>
            <w:hideMark/>
          </w:tcPr>
          <w:p w14:paraId="0FFCB682" w14:textId="77777777" w:rsidR="001E61A6" w:rsidRPr="00360ADC" w:rsidRDefault="001E61A6" w:rsidP="009C39CE">
            <w:pPr>
              <w:rPr>
                <w:sz w:val="20"/>
                <w:szCs w:val="20"/>
              </w:rPr>
            </w:pPr>
            <w:r w:rsidRPr="00360ADC">
              <w:rPr>
                <w:sz w:val="20"/>
                <w:szCs w:val="20"/>
              </w:rPr>
              <w:t>Pesticides</w:t>
            </w:r>
          </w:p>
        </w:tc>
        <w:tc>
          <w:tcPr>
            <w:tcW w:w="1325" w:type="pct"/>
            <w:shd w:val="clear" w:color="auto" w:fill="auto"/>
            <w:noWrap/>
            <w:tcMar>
              <w:left w:w="58" w:type="dxa"/>
              <w:right w:w="58" w:type="dxa"/>
            </w:tcMar>
            <w:hideMark/>
          </w:tcPr>
          <w:p w14:paraId="6CF2644D" w14:textId="77777777" w:rsidR="001E61A6" w:rsidRPr="00360ADC" w:rsidRDefault="001E61A6" w:rsidP="009C39CE">
            <w:pPr>
              <w:rPr>
                <w:sz w:val="20"/>
                <w:szCs w:val="20"/>
              </w:rPr>
            </w:pPr>
            <w:r w:rsidRPr="00360ADC">
              <w:rPr>
                <w:rFonts w:eastAsia="Calibri"/>
                <w:sz w:val="20"/>
                <w:szCs w:val="20"/>
              </w:rPr>
              <w:t>Dichlorodiphenyltrichloroethane (DDT)</w:t>
            </w:r>
          </w:p>
        </w:tc>
        <w:tc>
          <w:tcPr>
            <w:tcW w:w="2082" w:type="pct"/>
            <w:gridSpan w:val="4"/>
            <w:shd w:val="clear" w:color="auto" w:fill="auto"/>
            <w:noWrap/>
            <w:tcMar>
              <w:left w:w="58" w:type="dxa"/>
              <w:right w:w="58" w:type="dxa"/>
            </w:tcMar>
            <w:hideMark/>
          </w:tcPr>
          <w:p w14:paraId="29FEDE54" w14:textId="77777777" w:rsidR="001E61A6" w:rsidRPr="00360ADC" w:rsidRDefault="001E61A6" w:rsidP="009C39CE">
            <w:pPr>
              <w:rPr>
                <w:sz w:val="20"/>
                <w:szCs w:val="20"/>
              </w:rPr>
            </w:pPr>
            <w:r w:rsidRPr="00360ADC">
              <w:rPr>
                <w:sz w:val="20"/>
                <w:szCs w:val="20"/>
              </w:rPr>
              <w:t>Toxic effects and persistent metabolites</w:t>
            </w:r>
          </w:p>
        </w:tc>
      </w:tr>
      <w:tr w:rsidR="001E61A6" w:rsidRPr="00360ADC" w14:paraId="5075579E" w14:textId="77777777" w:rsidTr="00360ADC">
        <w:trPr>
          <w:trHeight w:val="72"/>
        </w:trPr>
        <w:tc>
          <w:tcPr>
            <w:tcW w:w="745" w:type="pct"/>
            <w:gridSpan w:val="2"/>
            <w:shd w:val="clear" w:color="auto" w:fill="auto"/>
            <w:noWrap/>
            <w:tcMar>
              <w:left w:w="58" w:type="dxa"/>
              <w:right w:w="58" w:type="dxa"/>
            </w:tcMar>
            <w:hideMark/>
          </w:tcPr>
          <w:p w14:paraId="7A1AEADB"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75B0C4C6" w14:textId="77777777" w:rsidR="001E61A6" w:rsidRPr="00360ADC" w:rsidRDefault="001E61A6" w:rsidP="009C39CE">
            <w:pPr>
              <w:rPr>
                <w:sz w:val="20"/>
                <w:szCs w:val="20"/>
              </w:rPr>
            </w:pPr>
          </w:p>
        </w:tc>
        <w:tc>
          <w:tcPr>
            <w:tcW w:w="1325" w:type="pct"/>
            <w:shd w:val="clear" w:color="auto" w:fill="auto"/>
            <w:noWrap/>
            <w:tcMar>
              <w:left w:w="58" w:type="dxa"/>
              <w:right w:w="58" w:type="dxa"/>
            </w:tcMar>
            <w:hideMark/>
          </w:tcPr>
          <w:p w14:paraId="1979CB74" w14:textId="77777777" w:rsidR="001E61A6" w:rsidRPr="00360ADC" w:rsidRDefault="001E61A6" w:rsidP="009C39CE">
            <w:pPr>
              <w:rPr>
                <w:sz w:val="20"/>
                <w:szCs w:val="20"/>
              </w:rPr>
            </w:pPr>
            <w:r w:rsidRPr="00360ADC">
              <w:rPr>
                <w:sz w:val="20"/>
                <w:szCs w:val="20"/>
              </w:rPr>
              <w:t>Atrazine</w:t>
            </w:r>
          </w:p>
        </w:tc>
        <w:tc>
          <w:tcPr>
            <w:tcW w:w="2082" w:type="pct"/>
            <w:gridSpan w:val="4"/>
            <w:shd w:val="clear" w:color="auto" w:fill="auto"/>
            <w:noWrap/>
            <w:tcMar>
              <w:left w:w="58" w:type="dxa"/>
              <w:right w:w="58" w:type="dxa"/>
            </w:tcMar>
            <w:hideMark/>
          </w:tcPr>
          <w:p w14:paraId="707EEDCA" w14:textId="77777777" w:rsidR="001E61A6" w:rsidRPr="00360ADC" w:rsidRDefault="001E61A6" w:rsidP="009C39CE">
            <w:pPr>
              <w:rPr>
                <w:sz w:val="20"/>
                <w:szCs w:val="20"/>
              </w:rPr>
            </w:pPr>
            <w:r w:rsidRPr="00360ADC">
              <w:rPr>
                <w:sz w:val="20"/>
                <w:szCs w:val="20"/>
              </w:rPr>
              <w:t>Effects on primary producers</w:t>
            </w:r>
          </w:p>
        </w:tc>
      </w:tr>
      <w:tr w:rsidR="001E61A6" w:rsidRPr="00360ADC" w14:paraId="2B8A0E50" w14:textId="77777777" w:rsidTr="00360ADC">
        <w:trPr>
          <w:trHeight w:val="72"/>
        </w:trPr>
        <w:tc>
          <w:tcPr>
            <w:tcW w:w="745" w:type="pct"/>
            <w:gridSpan w:val="2"/>
            <w:shd w:val="clear" w:color="auto" w:fill="auto"/>
            <w:noWrap/>
            <w:tcMar>
              <w:left w:w="58" w:type="dxa"/>
              <w:right w:w="58" w:type="dxa"/>
            </w:tcMar>
            <w:hideMark/>
          </w:tcPr>
          <w:p w14:paraId="40AF1E57"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192BD68F" w14:textId="77777777" w:rsidR="001E61A6" w:rsidRPr="00360ADC" w:rsidRDefault="001E61A6" w:rsidP="009C39CE">
            <w:pPr>
              <w:rPr>
                <w:sz w:val="20"/>
                <w:szCs w:val="20"/>
              </w:rPr>
            </w:pPr>
            <w:r w:rsidRPr="00360ADC">
              <w:rPr>
                <w:sz w:val="20"/>
                <w:szCs w:val="20"/>
              </w:rPr>
              <w:t>Nonagricultural biocides</w:t>
            </w:r>
          </w:p>
        </w:tc>
        <w:tc>
          <w:tcPr>
            <w:tcW w:w="1325" w:type="pct"/>
            <w:shd w:val="clear" w:color="auto" w:fill="auto"/>
            <w:noWrap/>
            <w:tcMar>
              <w:left w:w="58" w:type="dxa"/>
              <w:right w:w="58" w:type="dxa"/>
            </w:tcMar>
            <w:hideMark/>
          </w:tcPr>
          <w:p w14:paraId="41D2F574" w14:textId="77777777" w:rsidR="001E61A6" w:rsidRPr="00360ADC" w:rsidRDefault="001E61A6" w:rsidP="009C39CE">
            <w:pPr>
              <w:rPr>
                <w:sz w:val="20"/>
                <w:szCs w:val="20"/>
              </w:rPr>
            </w:pPr>
            <w:r w:rsidRPr="00360ADC">
              <w:rPr>
                <w:sz w:val="20"/>
                <w:szCs w:val="20"/>
              </w:rPr>
              <w:t>Tributyltin</w:t>
            </w:r>
          </w:p>
        </w:tc>
        <w:tc>
          <w:tcPr>
            <w:tcW w:w="2082" w:type="pct"/>
            <w:gridSpan w:val="4"/>
            <w:shd w:val="clear" w:color="auto" w:fill="auto"/>
            <w:noWrap/>
            <w:tcMar>
              <w:left w:w="58" w:type="dxa"/>
              <w:right w:w="58" w:type="dxa"/>
            </w:tcMar>
            <w:hideMark/>
          </w:tcPr>
          <w:p w14:paraId="551F443F" w14:textId="77777777" w:rsidR="001E61A6" w:rsidRPr="00360ADC" w:rsidRDefault="001E61A6" w:rsidP="009C39CE">
            <w:pPr>
              <w:rPr>
                <w:sz w:val="20"/>
                <w:szCs w:val="20"/>
              </w:rPr>
            </w:pPr>
            <w:r w:rsidRPr="00360ADC">
              <w:rPr>
                <w:sz w:val="20"/>
                <w:szCs w:val="20"/>
              </w:rPr>
              <w:t>Endocrine effects</w:t>
            </w:r>
          </w:p>
        </w:tc>
      </w:tr>
      <w:tr w:rsidR="001E61A6" w:rsidRPr="00360ADC" w14:paraId="32AFBBBE" w14:textId="77777777" w:rsidTr="00360ADC">
        <w:trPr>
          <w:trHeight w:val="72"/>
        </w:trPr>
        <w:tc>
          <w:tcPr>
            <w:tcW w:w="745" w:type="pct"/>
            <w:gridSpan w:val="2"/>
            <w:shd w:val="clear" w:color="auto" w:fill="auto"/>
            <w:noWrap/>
            <w:tcMar>
              <w:left w:w="58" w:type="dxa"/>
              <w:right w:w="58" w:type="dxa"/>
            </w:tcMar>
            <w:hideMark/>
          </w:tcPr>
          <w:p w14:paraId="6A53DC57"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2E38E82C" w14:textId="77777777" w:rsidR="001E61A6" w:rsidRPr="00360ADC" w:rsidRDefault="001E61A6" w:rsidP="009C39CE">
            <w:pPr>
              <w:rPr>
                <w:sz w:val="20"/>
                <w:szCs w:val="20"/>
              </w:rPr>
            </w:pPr>
          </w:p>
        </w:tc>
        <w:tc>
          <w:tcPr>
            <w:tcW w:w="1325" w:type="pct"/>
            <w:shd w:val="clear" w:color="auto" w:fill="auto"/>
            <w:noWrap/>
            <w:tcMar>
              <w:left w:w="58" w:type="dxa"/>
              <w:right w:w="58" w:type="dxa"/>
            </w:tcMar>
            <w:hideMark/>
          </w:tcPr>
          <w:p w14:paraId="582FAF68" w14:textId="77777777" w:rsidR="001E61A6" w:rsidRPr="00360ADC" w:rsidRDefault="001E61A6" w:rsidP="009C39CE">
            <w:pPr>
              <w:rPr>
                <w:sz w:val="20"/>
                <w:szCs w:val="20"/>
              </w:rPr>
            </w:pPr>
            <w:r w:rsidRPr="00360ADC">
              <w:rPr>
                <w:sz w:val="20"/>
                <w:szCs w:val="20"/>
              </w:rPr>
              <w:t>Triclosan</w:t>
            </w:r>
          </w:p>
        </w:tc>
        <w:tc>
          <w:tcPr>
            <w:tcW w:w="2082" w:type="pct"/>
            <w:gridSpan w:val="4"/>
            <w:shd w:val="clear" w:color="auto" w:fill="auto"/>
            <w:noWrap/>
            <w:tcMar>
              <w:left w:w="58" w:type="dxa"/>
              <w:right w:w="58" w:type="dxa"/>
            </w:tcMar>
            <w:hideMark/>
          </w:tcPr>
          <w:p w14:paraId="3869174D" w14:textId="77777777" w:rsidR="001E61A6" w:rsidRPr="00360ADC" w:rsidRDefault="001E61A6" w:rsidP="009C39CE">
            <w:pPr>
              <w:rPr>
                <w:sz w:val="20"/>
                <w:szCs w:val="20"/>
              </w:rPr>
            </w:pPr>
            <w:r w:rsidRPr="00360ADC">
              <w:rPr>
                <w:sz w:val="20"/>
                <w:szCs w:val="20"/>
              </w:rPr>
              <w:t>Nontarget effects, persistent degradation product (methyl-triclosan)</w:t>
            </w:r>
          </w:p>
        </w:tc>
      </w:tr>
      <w:tr w:rsidR="001E61A6" w:rsidRPr="00360ADC" w14:paraId="432FA467" w14:textId="77777777" w:rsidTr="00360ADC">
        <w:trPr>
          <w:trHeight w:val="72"/>
        </w:trPr>
        <w:tc>
          <w:tcPr>
            <w:tcW w:w="745" w:type="pct"/>
            <w:gridSpan w:val="2"/>
            <w:shd w:val="clear" w:color="auto" w:fill="auto"/>
            <w:noWrap/>
            <w:tcMar>
              <w:left w:w="58" w:type="dxa"/>
              <w:right w:w="58" w:type="dxa"/>
            </w:tcMar>
            <w:hideMark/>
          </w:tcPr>
          <w:p w14:paraId="1AC2288A" w14:textId="77777777" w:rsidR="001E61A6" w:rsidRPr="00360ADC" w:rsidRDefault="001E61A6" w:rsidP="009C39CE">
            <w:pPr>
              <w:rPr>
                <w:sz w:val="20"/>
                <w:szCs w:val="20"/>
              </w:rPr>
            </w:pPr>
            <w:r w:rsidRPr="00360ADC">
              <w:rPr>
                <w:sz w:val="20"/>
                <w:szCs w:val="20"/>
              </w:rPr>
              <w:t xml:space="preserve">Geogenic/natural </w:t>
            </w:r>
          </w:p>
        </w:tc>
        <w:tc>
          <w:tcPr>
            <w:tcW w:w="848" w:type="pct"/>
            <w:shd w:val="clear" w:color="auto" w:fill="auto"/>
            <w:noWrap/>
            <w:tcMar>
              <w:left w:w="58" w:type="dxa"/>
              <w:right w:w="58" w:type="dxa"/>
            </w:tcMar>
            <w:hideMark/>
          </w:tcPr>
          <w:p w14:paraId="2599F8AC" w14:textId="77777777" w:rsidR="001E61A6" w:rsidRPr="00360ADC" w:rsidRDefault="001E61A6" w:rsidP="009C39CE">
            <w:pPr>
              <w:rPr>
                <w:sz w:val="20"/>
                <w:szCs w:val="20"/>
              </w:rPr>
            </w:pPr>
            <w:r w:rsidRPr="00360ADC">
              <w:rPr>
                <w:sz w:val="20"/>
                <w:szCs w:val="20"/>
              </w:rPr>
              <w:t>Heavy metals</w:t>
            </w:r>
          </w:p>
        </w:tc>
        <w:tc>
          <w:tcPr>
            <w:tcW w:w="1325" w:type="pct"/>
            <w:shd w:val="clear" w:color="auto" w:fill="auto"/>
            <w:noWrap/>
            <w:tcMar>
              <w:left w:w="58" w:type="dxa"/>
              <w:right w:w="58" w:type="dxa"/>
            </w:tcMar>
            <w:hideMark/>
          </w:tcPr>
          <w:p w14:paraId="1EE59D5A" w14:textId="77777777" w:rsidR="001E61A6" w:rsidRPr="00360ADC" w:rsidRDefault="001E61A6" w:rsidP="009C39CE">
            <w:pPr>
              <w:rPr>
                <w:sz w:val="20"/>
                <w:szCs w:val="20"/>
              </w:rPr>
            </w:pPr>
            <w:r w:rsidRPr="00360ADC">
              <w:rPr>
                <w:sz w:val="20"/>
                <w:szCs w:val="20"/>
              </w:rPr>
              <w:t>Lead, cadmium, mercury</w:t>
            </w:r>
          </w:p>
        </w:tc>
        <w:tc>
          <w:tcPr>
            <w:tcW w:w="2082" w:type="pct"/>
            <w:gridSpan w:val="4"/>
            <w:shd w:val="clear" w:color="auto" w:fill="auto"/>
            <w:noWrap/>
            <w:tcMar>
              <w:left w:w="58" w:type="dxa"/>
              <w:right w:w="58" w:type="dxa"/>
            </w:tcMar>
            <w:hideMark/>
          </w:tcPr>
          <w:p w14:paraId="69D24861" w14:textId="77777777" w:rsidR="001E61A6" w:rsidRPr="00360ADC" w:rsidRDefault="001E61A6" w:rsidP="009C39CE">
            <w:pPr>
              <w:rPr>
                <w:sz w:val="20"/>
                <w:szCs w:val="20"/>
              </w:rPr>
            </w:pPr>
          </w:p>
        </w:tc>
      </w:tr>
      <w:tr w:rsidR="001E61A6" w:rsidRPr="00360ADC" w14:paraId="2D247CA4" w14:textId="77777777" w:rsidTr="00360ADC">
        <w:trPr>
          <w:trHeight w:val="72"/>
        </w:trPr>
        <w:tc>
          <w:tcPr>
            <w:tcW w:w="745" w:type="pct"/>
            <w:gridSpan w:val="2"/>
            <w:shd w:val="clear" w:color="auto" w:fill="auto"/>
            <w:noWrap/>
            <w:tcMar>
              <w:left w:w="58" w:type="dxa"/>
              <w:right w:w="58" w:type="dxa"/>
            </w:tcMar>
            <w:hideMark/>
          </w:tcPr>
          <w:p w14:paraId="15C2E43A"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70BA529E" w14:textId="77777777" w:rsidR="001E61A6" w:rsidRPr="00360ADC" w:rsidRDefault="001E61A6" w:rsidP="009C39CE">
            <w:pPr>
              <w:rPr>
                <w:sz w:val="20"/>
                <w:szCs w:val="20"/>
              </w:rPr>
            </w:pPr>
            <w:r w:rsidRPr="00360ADC">
              <w:rPr>
                <w:sz w:val="20"/>
                <w:szCs w:val="20"/>
              </w:rPr>
              <w:t>Inorganics</w:t>
            </w:r>
          </w:p>
        </w:tc>
        <w:tc>
          <w:tcPr>
            <w:tcW w:w="1325" w:type="pct"/>
            <w:shd w:val="clear" w:color="auto" w:fill="auto"/>
            <w:noWrap/>
            <w:tcMar>
              <w:left w:w="58" w:type="dxa"/>
              <w:right w:w="58" w:type="dxa"/>
            </w:tcMar>
            <w:hideMark/>
          </w:tcPr>
          <w:p w14:paraId="37007787" w14:textId="77777777" w:rsidR="001E61A6" w:rsidRPr="00360ADC" w:rsidRDefault="001E61A6" w:rsidP="009C39CE">
            <w:pPr>
              <w:rPr>
                <w:sz w:val="20"/>
                <w:szCs w:val="20"/>
              </w:rPr>
            </w:pPr>
            <w:r w:rsidRPr="00360ADC">
              <w:rPr>
                <w:sz w:val="20"/>
                <w:szCs w:val="20"/>
              </w:rPr>
              <w:t>Arsenic, selenium, fluoride, uranium</w:t>
            </w:r>
          </w:p>
        </w:tc>
        <w:tc>
          <w:tcPr>
            <w:tcW w:w="2082" w:type="pct"/>
            <w:gridSpan w:val="4"/>
            <w:shd w:val="clear" w:color="auto" w:fill="auto"/>
            <w:noWrap/>
            <w:tcMar>
              <w:left w:w="58" w:type="dxa"/>
              <w:right w:w="58" w:type="dxa"/>
            </w:tcMar>
            <w:hideMark/>
          </w:tcPr>
          <w:p w14:paraId="27F640E6" w14:textId="77777777" w:rsidR="001E61A6" w:rsidRPr="00360ADC" w:rsidRDefault="001E61A6" w:rsidP="009C39CE">
            <w:pPr>
              <w:rPr>
                <w:sz w:val="20"/>
                <w:szCs w:val="20"/>
              </w:rPr>
            </w:pPr>
            <w:r w:rsidRPr="00360ADC">
              <w:rPr>
                <w:sz w:val="20"/>
                <w:szCs w:val="20"/>
              </w:rPr>
              <w:t>Risks for human health</w:t>
            </w:r>
          </w:p>
        </w:tc>
      </w:tr>
      <w:tr w:rsidR="001E61A6" w:rsidRPr="00360ADC" w14:paraId="23FC566D" w14:textId="77777777" w:rsidTr="00360ADC">
        <w:trPr>
          <w:trHeight w:val="72"/>
        </w:trPr>
        <w:tc>
          <w:tcPr>
            <w:tcW w:w="745" w:type="pct"/>
            <w:gridSpan w:val="2"/>
            <w:shd w:val="clear" w:color="auto" w:fill="auto"/>
            <w:noWrap/>
            <w:tcMar>
              <w:left w:w="58" w:type="dxa"/>
              <w:right w:w="58" w:type="dxa"/>
            </w:tcMar>
            <w:hideMark/>
          </w:tcPr>
          <w:p w14:paraId="6BCE652F"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680CB275" w14:textId="77777777" w:rsidR="001E61A6" w:rsidRPr="00360ADC" w:rsidRDefault="001E61A6" w:rsidP="009C39CE">
            <w:pPr>
              <w:rPr>
                <w:sz w:val="20"/>
                <w:szCs w:val="20"/>
              </w:rPr>
            </w:pPr>
            <w:r w:rsidRPr="00360ADC">
              <w:rPr>
                <w:sz w:val="20"/>
                <w:szCs w:val="20"/>
              </w:rPr>
              <w:t>Taste and odor</w:t>
            </w:r>
          </w:p>
        </w:tc>
        <w:tc>
          <w:tcPr>
            <w:tcW w:w="1325" w:type="pct"/>
            <w:shd w:val="clear" w:color="auto" w:fill="auto"/>
            <w:noWrap/>
            <w:tcMar>
              <w:left w:w="58" w:type="dxa"/>
              <w:right w:w="58" w:type="dxa"/>
            </w:tcMar>
            <w:hideMark/>
          </w:tcPr>
          <w:p w14:paraId="4A273268" w14:textId="77777777" w:rsidR="001E61A6" w:rsidRPr="00360ADC" w:rsidRDefault="001E61A6" w:rsidP="009C39CE">
            <w:pPr>
              <w:rPr>
                <w:sz w:val="20"/>
                <w:szCs w:val="20"/>
              </w:rPr>
            </w:pPr>
            <w:r w:rsidRPr="00360ADC">
              <w:rPr>
                <w:sz w:val="20"/>
                <w:szCs w:val="20"/>
              </w:rPr>
              <w:t>Geosmin, methylisoborneol</w:t>
            </w:r>
          </w:p>
        </w:tc>
        <w:tc>
          <w:tcPr>
            <w:tcW w:w="2082" w:type="pct"/>
            <w:gridSpan w:val="4"/>
            <w:shd w:val="clear" w:color="auto" w:fill="auto"/>
            <w:noWrap/>
            <w:tcMar>
              <w:left w:w="58" w:type="dxa"/>
              <w:right w:w="58" w:type="dxa"/>
            </w:tcMar>
            <w:hideMark/>
          </w:tcPr>
          <w:p w14:paraId="5CC59BF1" w14:textId="77777777" w:rsidR="001E61A6" w:rsidRPr="00360ADC" w:rsidRDefault="001E61A6" w:rsidP="009C39CE">
            <w:pPr>
              <w:rPr>
                <w:sz w:val="20"/>
                <w:szCs w:val="20"/>
              </w:rPr>
            </w:pPr>
            <w:r w:rsidRPr="00360ADC">
              <w:rPr>
                <w:sz w:val="20"/>
                <w:szCs w:val="20"/>
              </w:rPr>
              <w:t>Drinking-water–quality problems</w:t>
            </w:r>
          </w:p>
        </w:tc>
      </w:tr>
      <w:tr w:rsidR="001E61A6" w:rsidRPr="00360ADC" w14:paraId="33143D4E" w14:textId="77777777" w:rsidTr="00360ADC">
        <w:trPr>
          <w:trHeight w:val="72"/>
        </w:trPr>
        <w:tc>
          <w:tcPr>
            <w:tcW w:w="745" w:type="pct"/>
            <w:gridSpan w:val="2"/>
            <w:shd w:val="clear" w:color="auto" w:fill="auto"/>
            <w:noWrap/>
            <w:tcMar>
              <w:left w:w="58" w:type="dxa"/>
              <w:right w:w="58" w:type="dxa"/>
            </w:tcMar>
            <w:hideMark/>
          </w:tcPr>
          <w:p w14:paraId="228C6054"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7E5829FD" w14:textId="77777777" w:rsidR="001E61A6" w:rsidRPr="00360ADC" w:rsidRDefault="001E61A6" w:rsidP="009C39CE">
            <w:pPr>
              <w:rPr>
                <w:sz w:val="20"/>
                <w:szCs w:val="20"/>
              </w:rPr>
            </w:pPr>
            <w:r w:rsidRPr="00360ADC">
              <w:rPr>
                <w:sz w:val="20"/>
                <w:szCs w:val="20"/>
              </w:rPr>
              <w:t>Cyanotoxines</w:t>
            </w:r>
          </w:p>
        </w:tc>
        <w:tc>
          <w:tcPr>
            <w:tcW w:w="1325" w:type="pct"/>
            <w:shd w:val="clear" w:color="auto" w:fill="auto"/>
            <w:noWrap/>
            <w:tcMar>
              <w:left w:w="58" w:type="dxa"/>
              <w:right w:w="58" w:type="dxa"/>
            </w:tcMar>
            <w:hideMark/>
          </w:tcPr>
          <w:p w14:paraId="174FC6F3" w14:textId="77777777" w:rsidR="001E61A6" w:rsidRPr="00360ADC" w:rsidRDefault="001E61A6" w:rsidP="009C39CE">
            <w:pPr>
              <w:rPr>
                <w:sz w:val="20"/>
                <w:szCs w:val="20"/>
              </w:rPr>
            </w:pPr>
            <w:r w:rsidRPr="00360ADC">
              <w:rPr>
                <w:sz w:val="20"/>
                <w:szCs w:val="20"/>
              </w:rPr>
              <w:t>Microcystins</w:t>
            </w:r>
          </w:p>
        </w:tc>
        <w:tc>
          <w:tcPr>
            <w:tcW w:w="2082" w:type="pct"/>
            <w:gridSpan w:val="4"/>
            <w:shd w:val="clear" w:color="auto" w:fill="auto"/>
            <w:noWrap/>
            <w:tcMar>
              <w:left w:w="58" w:type="dxa"/>
              <w:right w:w="58" w:type="dxa"/>
            </w:tcMar>
            <w:hideMark/>
          </w:tcPr>
          <w:p w14:paraId="6A900B73" w14:textId="77777777" w:rsidR="001E61A6" w:rsidRPr="00360ADC" w:rsidRDefault="001E61A6" w:rsidP="009C39CE">
            <w:pPr>
              <w:rPr>
                <w:sz w:val="20"/>
                <w:szCs w:val="20"/>
              </w:rPr>
            </w:pPr>
          </w:p>
        </w:tc>
      </w:tr>
      <w:tr w:rsidR="001E61A6" w:rsidRPr="00360ADC" w14:paraId="1862FDA1" w14:textId="77777777" w:rsidTr="00360ADC">
        <w:trPr>
          <w:trHeight w:val="72"/>
        </w:trPr>
        <w:tc>
          <w:tcPr>
            <w:tcW w:w="745" w:type="pct"/>
            <w:gridSpan w:val="2"/>
            <w:shd w:val="clear" w:color="auto" w:fill="auto"/>
            <w:noWrap/>
            <w:tcMar>
              <w:left w:w="58" w:type="dxa"/>
              <w:right w:w="58" w:type="dxa"/>
            </w:tcMar>
            <w:hideMark/>
          </w:tcPr>
          <w:p w14:paraId="2A809CD9"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230DFD90" w14:textId="77777777" w:rsidR="001E61A6" w:rsidRPr="00360ADC" w:rsidRDefault="001E61A6" w:rsidP="009C39CE">
            <w:pPr>
              <w:rPr>
                <w:sz w:val="20"/>
                <w:szCs w:val="20"/>
              </w:rPr>
            </w:pPr>
            <w:r w:rsidRPr="00360ADC">
              <w:rPr>
                <w:sz w:val="20"/>
                <w:szCs w:val="20"/>
              </w:rPr>
              <w:t>Human hormones</w:t>
            </w:r>
          </w:p>
        </w:tc>
        <w:tc>
          <w:tcPr>
            <w:tcW w:w="1325" w:type="pct"/>
            <w:shd w:val="clear" w:color="auto" w:fill="auto"/>
            <w:noWrap/>
            <w:tcMar>
              <w:left w:w="58" w:type="dxa"/>
              <w:right w:w="58" w:type="dxa"/>
            </w:tcMar>
            <w:hideMark/>
          </w:tcPr>
          <w:p w14:paraId="6AC530C9" w14:textId="77777777" w:rsidR="001E61A6" w:rsidRPr="00360ADC" w:rsidRDefault="001E61A6" w:rsidP="009C39CE">
            <w:pPr>
              <w:rPr>
                <w:sz w:val="20"/>
                <w:szCs w:val="20"/>
              </w:rPr>
            </w:pPr>
            <w:r w:rsidRPr="00360ADC">
              <w:rPr>
                <w:sz w:val="20"/>
                <w:szCs w:val="20"/>
              </w:rPr>
              <w:t>Estradiol</w:t>
            </w:r>
          </w:p>
        </w:tc>
        <w:tc>
          <w:tcPr>
            <w:tcW w:w="2082" w:type="pct"/>
            <w:gridSpan w:val="4"/>
            <w:shd w:val="clear" w:color="auto" w:fill="auto"/>
            <w:noWrap/>
            <w:tcMar>
              <w:left w:w="58" w:type="dxa"/>
              <w:right w:w="58" w:type="dxa"/>
            </w:tcMar>
            <w:hideMark/>
          </w:tcPr>
          <w:p w14:paraId="29ED870E" w14:textId="77777777" w:rsidR="001E61A6" w:rsidRPr="00360ADC" w:rsidRDefault="001E61A6" w:rsidP="009C39CE">
            <w:pPr>
              <w:rPr>
                <w:sz w:val="20"/>
                <w:szCs w:val="20"/>
              </w:rPr>
            </w:pPr>
            <w:r w:rsidRPr="00360ADC">
              <w:rPr>
                <w:sz w:val="20"/>
                <w:szCs w:val="20"/>
              </w:rPr>
              <w:t>Feminization of fish</w:t>
            </w:r>
          </w:p>
        </w:tc>
      </w:tr>
      <w:tr w:rsidR="001E61A6" w:rsidRPr="00360ADC" w14:paraId="45F809DD" w14:textId="77777777" w:rsidTr="00360ADC">
        <w:trPr>
          <w:trHeight w:val="72"/>
        </w:trPr>
        <w:tc>
          <w:tcPr>
            <w:tcW w:w="745" w:type="pct"/>
            <w:gridSpan w:val="2"/>
            <w:shd w:val="clear" w:color="auto" w:fill="auto"/>
            <w:noWrap/>
            <w:tcMar>
              <w:left w:w="58" w:type="dxa"/>
              <w:right w:w="58" w:type="dxa"/>
            </w:tcMar>
            <w:hideMark/>
          </w:tcPr>
          <w:p w14:paraId="28A8BF4A" w14:textId="77777777" w:rsidR="001E61A6" w:rsidRPr="00360ADC" w:rsidRDefault="001E61A6" w:rsidP="009C39CE">
            <w:pPr>
              <w:rPr>
                <w:sz w:val="20"/>
                <w:szCs w:val="20"/>
              </w:rPr>
            </w:pPr>
            <w:r w:rsidRPr="00360ADC">
              <w:rPr>
                <w:sz w:val="20"/>
                <w:szCs w:val="20"/>
              </w:rPr>
              <w:t>Disinfection/oxidation</w:t>
            </w:r>
          </w:p>
        </w:tc>
        <w:tc>
          <w:tcPr>
            <w:tcW w:w="848" w:type="pct"/>
            <w:shd w:val="clear" w:color="auto" w:fill="auto"/>
            <w:noWrap/>
            <w:tcMar>
              <w:left w:w="58" w:type="dxa"/>
              <w:right w:w="58" w:type="dxa"/>
            </w:tcMar>
            <w:hideMark/>
          </w:tcPr>
          <w:p w14:paraId="6CBF3D64" w14:textId="77777777" w:rsidR="001E61A6" w:rsidRPr="00360ADC" w:rsidRDefault="001E61A6" w:rsidP="009C39CE">
            <w:pPr>
              <w:rPr>
                <w:sz w:val="20"/>
                <w:szCs w:val="20"/>
              </w:rPr>
            </w:pPr>
            <w:r w:rsidRPr="00360ADC">
              <w:rPr>
                <w:sz w:val="20"/>
                <w:szCs w:val="20"/>
              </w:rPr>
              <w:t>Disinfection by-products</w:t>
            </w:r>
          </w:p>
        </w:tc>
        <w:tc>
          <w:tcPr>
            <w:tcW w:w="1325" w:type="pct"/>
            <w:shd w:val="clear" w:color="auto" w:fill="auto"/>
            <w:noWrap/>
            <w:tcMar>
              <w:left w:w="58" w:type="dxa"/>
              <w:right w:w="58" w:type="dxa"/>
            </w:tcMar>
            <w:hideMark/>
          </w:tcPr>
          <w:p w14:paraId="7FA3186A" w14:textId="77777777" w:rsidR="001E61A6" w:rsidRPr="00360ADC" w:rsidRDefault="001E61A6" w:rsidP="009C39CE">
            <w:pPr>
              <w:rPr>
                <w:sz w:val="20"/>
                <w:szCs w:val="20"/>
              </w:rPr>
            </w:pPr>
            <w:r w:rsidRPr="00360ADC">
              <w:rPr>
                <w:sz w:val="20"/>
                <w:szCs w:val="20"/>
              </w:rPr>
              <w:t>Trihalomethanes, haloacetic acids, bromate</w:t>
            </w:r>
          </w:p>
        </w:tc>
        <w:tc>
          <w:tcPr>
            <w:tcW w:w="2082" w:type="pct"/>
            <w:gridSpan w:val="4"/>
            <w:shd w:val="clear" w:color="auto" w:fill="auto"/>
            <w:noWrap/>
            <w:tcMar>
              <w:left w:w="58" w:type="dxa"/>
              <w:right w:w="58" w:type="dxa"/>
            </w:tcMar>
            <w:hideMark/>
          </w:tcPr>
          <w:p w14:paraId="2EEC9AB6" w14:textId="77777777" w:rsidR="001E61A6" w:rsidRPr="00360ADC" w:rsidRDefault="001E61A6" w:rsidP="009C39CE">
            <w:pPr>
              <w:rPr>
                <w:sz w:val="20"/>
                <w:szCs w:val="20"/>
              </w:rPr>
            </w:pPr>
            <w:r w:rsidRPr="00360ADC">
              <w:rPr>
                <w:sz w:val="20"/>
                <w:szCs w:val="20"/>
              </w:rPr>
              <w:t>Drinking-water–quality, human health</w:t>
            </w:r>
          </w:p>
        </w:tc>
      </w:tr>
      <w:tr w:rsidR="001E61A6" w:rsidRPr="00360ADC" w14:paraId="2F9646ED" w14:textId="77777777" w:rsidTr="00360ADC">
        <w:trPr>
          <w:trHeight w:val="72"/>
        </w:trPr>
        <w:tc>
          <w:tcPr>
            <w:tcW w:w="745" w:type="pct"/>
            <w:gridSpan w:val="2"/>
            <w:shd w:val="clear" w:color="auto" w:fill="auto"/>
            <w:noWrap/>
            <w:tcMar>
              <w:left w:w="58" w:type="dxa"/>
              <w:right w:w="58" w:type="dxa"/>
            </w:tcMar>
            <w:hideMark/>
          </w:tcPr>
          <w:p w14:paraId="579F43A4" w14:textId="77777777" w:rsidR="001E61A6" w:rsidRPr="00360ADC" w:rsidRDefault="001E61A6" w:rsidP="009C39CE">
            <w:pPr>
              <w:rPr>
                <w:sz w:val="20"/>
                <w:szCs w:val="20"/>
              </w:rPr>
            </w:pPr>
            <w:r w:rsidRPr="00360ADC">
              <w:rPr>
                <w:sz w:val="20"/>
                <w:szCs w:val="20"/>
              </w:rPr>
              <w:t xml:space="preserve">Transformation prods. </w:t>
            </w:r>
          </w:p>
        </w:tc>
        <w:tc>
          <w:tcPr>
            <w:tcW w:w="848" w:type="pct"/>
            <w:shd w:val="clear" w:color="auto" w:fill="auto"/>
            <w:noWrap/>
            <w:tcMar>
              <w:left w:w="58" w:type="dxa"/>
              <w:right w:w="58" w:type="dxa"/>
            </w:tcMar>
            <w:hideMark/>
          </w:tcPr>
          <w:p w14:paraId="13F2DB0C" w14:textId="77777777" w:rsidR="001E61A6" w:rsidRPr="00360ADC" w:rsidRDefault="001E61A6" w:rsidP="009C39CE">
            <w:pPr>
              <w:rPr>
                <w:sz w:val="20"/>
                <w:szCs w:val="20"/>
              </w:rPr>
            </w:pPr>
            <w:r w:rsidRPr="00360ADC">
              <w:rPr>
                <w:sz w:val="20"/>
                <w:szCs w:val="20"/>
              </w:rPr>
              <w:t>Metabolites from all above</w:t>
            </w:r>
          </w:p>
        </w:tc>
        <w:tc>
          <w:tcPr>
            <w:tcW w:w="1325" w:type="pct"/>
            <w:shd w:val="clear" w:color="auto" w:fill="auto"/>
            <w:noWrap/>
            <w:tcMar>
              <w:left w:w="58" w:type="dxa"/>
              <w:right w:w="58" w:type="dxa"/>
            </w:tcMar>
            <w:hideMark/>
          </w:tcPr>
          <w:p w14:paraId="66CA277C" w14:textId="77777777" w:rsidR="001E61A6" w:rsidRPr="00360ADC" w:rsidRDefault="001E61A6" w:rsidP="009C39CE">
            <w:pPr>
              <w:rPr>
                <w:sz w:val="20"/>
                <w:szCs w:val="20"/>
              </w:rPr>
            </w:pPr>
            <w:r w:rsidRPr="00360ADC">
              <w:rPr>
                <w:sz w:val="20"/>
                <w:szCs w:val="20"/>
              </w:rPr>
              <w:t>Metabolites of perfluorinated compounds</w:t>
            </w:r>
          </w:p>
        </w:tc>
        <w:tc>
          <w:tcPr>
            <w:tcW w:w="2082" w:type="pct"/>
            <w:gridSpan w:val="4"/>
            <w:shd w:val="clear" w:color="auto" w:fill="auto"/>
            <w:noWrap/>
            <w:tcMar>
              <w:left w:w="58" w:type="dxa"/>
              <w:right w:w="58" w:type="dxa"/>
            </w:tcMar>
            <w:hideMark/>
          </w:tcPr>
          <w:p w14:paraId="7459AEDD" w14:textId="77777777" w:rsidR="001E61A6" w:rsidRPr="00360ADC" w:rsidRDefault="001E61A6" w:rsidP="009C39CE">
            <w:pPr>
              <w:rPr>
                <w:sz w:val="20"/>
                <w:szCs w:val="20"/>
              </w:rPr>
            </w:pPr>
            <w:r w:rsidRPr="00360ADC">
              <w:rPr>
                <w:sz w:val="20"/>
                <w:szCs w:val="20"/>
              </w:rPr>
              <w:t>Bioaccumulation despite low hydrophobicity</w:t>
            </w:r>
          </w:p>
        </w:tc>
      </w:tr>
      <w:tr w:rsidR="001E61A6" w:rsidRPr="00360ADC" w14:paraId="587E5966" w14:textId="77777777" w:rsidTr="00360ADC">
        <w:trPr>
          <w:trHeight w:val="270"/>
        </w:trPr>
        <w:tc>
          <w:tcPr>
            <w:tcW w:w="745" w:type="pct"/>
            <w:gridSpan w:val="2"/>
            <w:shd w:val="clear" w:color="auto" w:fill="auto"/>
            <w:noWrap/>
            <w:tcMar>
              <w:left w:w="58" w:type="dxa"/>
              <w:right w:w="58" w:type="dxa"/>
            </w:tcMar>
            <w:hideMark/>
          </w:tcPr>
          <w:p w14:paraId="332BC8A4" w14:textId="77777777" w:rsidR="001E61A6" w:rsidRPr="00360ADC" w:rsidRDefault="001E61A6" w:rsidP="009C39CE">
            <w:pPr>
              <w:rPr>
                <w:sz w:val="20"/>
                <w:szCs w:val="20"/>
              </w:rPr>
            </w:pPr>
          </w:p>
        </w:tc>
        <w:tc>
          <w:tcPr>
            <w:tcW w:w="848" w:type="pct"/>
            <w:shd w:val="clear" w:color="auto" w:fill="auto"/>
            <w:noWrap/>
            <w:tcMar>
              <w:left w:w="58" w:type="dxa"/>
              <w:right w:w="58" w:type="dxa"/>
            </w:tcMar>
            <w:hideMark/>
          </w:tcPr>
          <w:p w14:paraId="31BD0D8D" w14:textId="77777777" w:rsidR="001E61A6" w:rsidRPr="00360ADC" w:rsidRDefault="001E61A6" w:rsidP="009C39CE">
            <w:pPr>
              <w:rPr>
                <w:sz w:val="20"/>
                <w:szCs w:val="20"/>
              </w:rPr>
            </w:pPr>
          </w:p>
        </w:tc>
        <w:tc>
          <w:tcPr>
            <w:tcW w:w="1325" w:type="pct"/>
            <w:shd w:val="clear" w:color="auto" w:fill="auto"/>
            <w:noWrap/>
            <w:tcMar>
              <w:left w:w="58" w:type="dxa"/>
              <w:right w:w="58" w:type="dxa"/>
            </w:tcMar>
            <w:hideMark/>
          </w:tcPr>
          <w:p w14:paraId="3CBDA91F" w14:textId="77777777" w:rsidR="001E61A6" w:rsidRPr="00360ADC" w:rsidRDefault="001E61A6" w:rsidP="009C39CE">
            <w:pPr>
              <w:rPr>
                <w:sz w:val="20"/>
                <w:szCs w:val="20"/>
              </w:rPr>
            </w:pPr>
            <w:r w:rsidRPr="00360ADC">
              <w:rPr>
                <w:sz w:val="20"/>
                <w:szCs w:val="20"/>
              </w:rPr>
              <w:t>Chloroacetanilide herbicide metabolites</w:t>
            </w:r>
          </w:p>
        </w:tc>
        <w:tc>
          <w:tcPr>
            <w:tcW w:w="2082" w:type="pct"/>
            <w:gridSpan w:val="4"/>
            <w:shd w:val="clear" w:color="auto" w:fill="auto"/>
            <w:noWrap/>
            <w:tcMar>
              <w:left w:w="58" w:type="dxa"/>
              <w:right w:w="58" w:type="dxa"/>
            </w:tcMar>
            <w:hideMark/>
          </w:tcPr>
          <w:p w14:paraId="530DEE5D" w14:textId="77777777" w:rsidR="001E61A6" w:rsidRPr="00360ADC" w:rsidRDefault="001E61A6" w:rsidP="009C39CE">
            <w:pPr>
              <w:rPr>
                <w:sz w:val="20"/>
                <w:szCs w:val="20"/>
              </w:rPr>
            </w:pPr>
            <w:r w:rsidRPr="00360ADC">
              <w:rPr>
                <w:sz w:val="20"/>
                <w:szCs w:val="20"/>
              </w:rPr>
              <w:t>Drinking-water–quality problems</w:t>
            </w:r>
          </w:p>
        </w:tc>
      </w:tr>
      <w:tr w:rsidR="001E61A6" w:rsidRPr="00360ADC" w14:paraId="57211E42" w14:textId="77777777" w:rsidTr="00360ADC">
        <w:trPr>
          <w:trHeight w:val="72"/>
        </w:trPr>
        <w:tc>
          <w:tcPr>
            <w:tcW w:w="572" w:type="pct"/>
          </w:tcPr>
          <w:p w14:paraId="02388250" w14:textId="77777777" w:rsidR="001E61A6" w:rsidRPr="00360ADC" w:rsidRDefault="001E61A6" w:rsidP="009C39CE">
            <w:pPr>
              <w:rPr>
                <w:b/>
                <w:sz w:val="20"/>
                <w:szCs w:val="20"/>
              </w:rPr>
            </w:pPr>
            <w:r w:rsidRPr="00360ADC">
              <w:rPr>
                <w:b/>
                <w:sz w:val="20"/>
                <w:szCs w:val="20"/>
              </w:rPr>
              <w:t xml:space="preserve">B </w:t>
            </w:r>
          </w:p>
        </w:tc>
        <w:tc>
          <w:tcPr>
            <w:tcW w:w="3873" w:type="pct"/>
            <w:gridSpan w:val="6"/>
            <w:shd w:val="clear" w:color="auto" w:fill="auto"/>
            <w:noWrap/>
            <w:vAlign w:val="bottom"/>
          </w:tcPr>
          <w:p w14:paraId="4CEBEBE3" w14:textId="77777777" w:rsidR="001E61A6" w:rsidRPr="00360ADC" w:rsidRDefault="001E61A6" w:rsidP="009C39CE">
            <w:pPr>
              <w:rPr>
                <w:b/>
                <w:sz w:val="20"/>
                <w:szCs w:val="20"/>
              </w:rPr>
            </w:pPr>
            <w:r w:rsidRPr="00360ADC">
              <w:rPr>
                <w:b/>
                <w:sz w:val="20"/>
                <w:szCs w:val="20"/>
              </w:rPr>
              <w:t>Examples of aquatic macropollutants and fluxes or mass of anthropogenic production million metric tons yr</w:t>
            </w:r>
            <w:r w:rsidRPr="00360ADC">
              <w:rPr>
                <w:b/>
                <w:sz w:val="20"/>
                <w:szCs w:val="20"/>
                <w:vertAlign w:val="superscript"/>
              </w:rPr>
              <w:t>-1</w:t>
            </w:r>
          </w:p>
        </w:tc>
        <w:tc>
          <w:tcPr>
            <w:tcW w:w="554" w:type="pct"/>
          </w:tcPr>
          <w:p w14:paraId="11C53F7B" w14:textId="77777777" w:rsidR="001E61A6" w:rsidRPr="00360ADC" w:rsidRDefault="001E61A6" w:rsidP="009C39CE">
            <w:pPr>
              <w:rPr>
                <w:b/>
                <w:sz w:val="20"/>
                <w:szCs w:val="20"/>
              </w:rPr>
            </w:pPr>
          </w:p>
        </w:tc>
      </w:tr>
      <w:tr w:rsidR="001E61A6" w:rsidRPr="00360ADC" w14:paraId="6F67659E" w14:textId="77777777" w:rsidTr="00360ADC">
        <w:trPr>
          <w:trHeight w:val="72"/>
        </w:trPr>
        <w:tc>
          <w:tcPr>
            <w:tcW w:w="572" w:type="pct"/>
          </w:tcPr>
          <w:p w14:paraId="2C92BC3E" w14:textId="77777777" w:rsidR="001E61A6" w:rsidRPr="00360ADC" w:rsidRDefault="001E61A6" w:rsidP="009C39CE">
            <w:pPr>
              <w:rPr>
                <w:sz w:val="20"/>
                <w:szCs w:val="20"/>
              </w:rPr>
            </w:pPr>
          </w:p>
        </w:tc>
        <w:tc>
          <w:tcPr>
            <w:tcW w:w="2409" w:type="pct"/>
            <w:gridSpan w:val="4"/>
            <w:shd w:val="clear" w:color="auto" w:fill="auto"/>
            <w:noWrap/>
            <w:vAlign w:val="bottom"/>
            <w:hideMark/>
          </w:tcPr>
          <w:p w14:paraId="144C7071" w14:textId="77777777" w:rsidR="001E61A6" w:rsidRPr="00360ADC" w:rsidRDefault="001E61A6" w:rsidP="009C39CE">
            <w:pPr>
              <w:rPr>
                <w:sz w:val="20"/>
                <w:szCs w:val="20"/>
              </w:rPr>
            </w:pPr>
            <w:r w:rsidRPr="00360ADC">
              <w:rPr>
                <w:sz w:val="20"/>
                <w:szCs w:val="20"/>
              </w:rPr>
              <w:t>Total inorganic nitrogen fluxes to world rivers (</w:t>
            </w:r>
            <w:r w:rsidRPr="00360ADC">
              <w:rPr>
                <w:rFonts w:ascii="Cambria Math" w:hAnsi="Cambria Math" w:cs="Cambria Math"/>
                <w:sz w:val="20"/>
                <w:szCs w:val="20"/>
              </w:rPr>
              <w:t>∼</w:t>
            </w:r>
            <w:r w:rsidRPr="00360ADC">
              <w:rPr>
                <w:sz w:val="20"/>
                <w:szCs w:val="20"/>
              </w:rPr>
              <w:t>75% anthropogenic)</w:t>
            </w:r>
          </w:p>
        </w:tc>
        <w:tc>
          <w:tcPr>
            <w:tcW w:w="1464" w:type="pct"/>
            <w:gridSpan w:val="2"/>
            <w:shd w:val="clear" w:color="auto" w:fill="auto"/>
            <w:noWrap/>
            <w:vAlign w:val="bottom"/>
            <w:hideMark/>
          </w:tcPr>
          <w:p w14:paraId="53825154" w14:textId="77777777" w:rsidR="001E61A6" w:rsidRPr="00360ADC" w:rsidRDefault="001E61A6" w:rsidP="009C39CE">
            <w:pPr>
              <w:rPr>
                <w:sz w:val="20"/>
                <w:szCs w:val="20"/>
              </w:rPr>
            </w:pPr>
            <w:r w:rsidRPr="00360ADC">
              <w:rPr>
                <w:sz w:val="20"/>
                <w:szCs w:val="20"/>
              </w:rPr>
              <w:t>21</w:t>
            </w:r>
          </w:p>
        </w:tc>
        <w:tc>
          <w:tcPr>
            <w:tcW w:w="554" w:type="pct"/>
          </w:tcPr>
          <w:p w14:paraId="4976D8C9" w14:textId="77777777" w:rsidR="001E61A6" w:rsidRPr="00360ADC" w:rsidRDefault="001E61A6" w:rsidP="009C39CE">
            <w:pPr>
              <w:rPr>
                <w:sz w:val="20"/>
                <w:szCs w:val="20"/>
              </w:rPr>
            </w:pPr>
          </w:p>
        </w:tc>
      </w:tr>
      <w:tr w:rsidR="001E61A6" w:rsidRPr="00360ADC" w14:paraId="0AE4369B" w14:textId="77777777" w:rsidTr="00360ADC">
        <w:trPr>
          <w:trHeight w:val="72"/>
        </w:trPr>
        <w:tc>
          <w:tcPr>
            <w:tcW w:w="572" w:type="pct"/>
          </w:tcPr>
          <w:p w14:paraId="6CB24CFD" w14:textId="77777777" w:rsidR="001E61A6" w:rsidRPr="00360ADC" w:rsidRDefault="001E61A6" w:rsidP="009C39CE">
            <w:pPr>
              <w:rPr>
                <w:sz w:val="20"/>
                <w:szCs w:val="20"/>
              </w:rPr>
            </w:pPr>
          </w:p>
        </w:tc>
        <w:tc>
          <w:tcPr>
            <w:tcW w:w="2409" w:type="pct"/>
            <w:gridSpan w:val="4"/>
            <w:shd w:val="clear" w:color="auto" w:fill="auto"/>
            <w:noWrap/>
            <w:vAlign w:val="bottom"/>
            <w:hideMark/>
          </w:tcPr>
          <w:p w14:paraId="0F408A03" w14:textId="77777777" w:rsidR="001E61A6" w:rsidRPr="00360ADC" w:rsidRDefault="001E61A6" w:rsidP="009C39CE">
            <w:pPr>
              <w:rPr>
                <w:sz w:val="20"/>
                <w:szCs w:val="20"/>
              </w:rPr>
            </w:pPr>
            <w:r w:rsidRPr="00360ADC">
              <w:rPr>
                <w:sz w:val="20"/>
                <w:szCs w:val="20"/>
              </w:rPr>
              <w:t>Total phosphorus fluxes to world rivers (60% anthropogenic)</w:t>
            </w:r>
          </w:p>
        </w:tc>
        <w:tc>
          <w:tcPr>
            <w:tcW w:w="1464" w:type="pct"/>
            <w:gridSpan w:val="2"/>
            <w:shd w:val="clear" w:color="auto" w:fill="auto"/>
            <w:noWrap/>
            <w:vAlign w:val="bottom"/>
            <w:hideMark/>
          </w:tcPr>
          <w:p w14:paraId="39FB518F" w14:textId="77777777" w:rsidR="001E61A6" w:rsidRPr="00360ADC" w:rsidRDefault="001E61A6" w:rsidP="009C39CE">
            <w:pPr>
              <w:rPr>
                <w:sz w:val="20"/>
                <w:szCs w:val="20"/>
              </w:rPr>
            </w:pPr>
            <w:r w:rsidRPr="00360ADC">
              <w:rPr>
                <w:sz w:val="20"/>
                <w:szCs w:val="20"/>
              </w:rPr>
              <w:t>5.6</w:t>
            </w:r>
          </w:p>
        </w:tc>
        <w:tc>
          <w:tcPr>
            <w:tcW w:w="554" w:type="pct"/>
          </w:tcPr>
          <w:p w14:paraId="7974A4D3" w14:textId="77777777" w:rsidR="001E61A6" w:rsidRPr="00360ADC" w:rsidRDefault="001E61A6" w:rsidP="009C39CE">
            <w:pPr>
              <w:rPr>
                <w:sz w:val="20"/>
                <w:szCs w:val="20"/>
              </w:rPr>
            </w:pPr>
          </w:p>
        </w:tc>
      </w:tr>
      <w:tr w:rsidR="001E61A6" w:rsidRPr="00360ADC" w14:paraId="5E6BC671" w14:textId="77777777" w:rsidTr="00360ADC">
        <w:trPr>
          <w:trHeight w:val="72"/>
        </w:trPr>
        <w:tc>
          <w:tcPr>
            <w:tcW w:w="572" w:type="pct"/>
          </w:tcPr>
          <w:p w14:paraId="700F86D6" w14:textId="77777777" w:rsidR="001E61A6" w:rsidRPr="00360ADC" w:rsidRDefault="001E61A6" w:rsidP="009C39CE">
            <w:pPr>
              <w:rPr>
                <w:sz w:val="20"/>
                <w:szCs w:val="20"/>
              </w:rPr>
            </w:pPr>
          </w:p>
        </w:tc>
        <w:tc>
          <w:tcPr>
            <w:tcW w:w="2526" w:type="pct"/>
            <w:gridSpan w:val="5"/>
            <w:shd w:val="clear" w:color="auto" w:fill="auto"/>
            <w:noWrap/>
            <w:vAlign w:val="bottom"/>
            <w:hideMark/>
          </w:tcPr>
          <w:p w14:paraId="1EB4B83B" w14:textId="77777777" w:rsidR="001E61A6" w:rsidRPr="00360ADC" w:rsidRDefault="001E61A6" w:rsidP="009C39CE">
            <w:pPr>
              <w:rPr>
                <w:sz w:val="20"/>
                <w:szCs w:val="20"/>
              </w:rPr>
            </w:pPr>
            <w:r w:rsidRPr="00360ADC">
              <w:rPr>
                <w:sz w:val="20"/>
                <w:szCs w:val="20"/>
              </w:rPr>
              <w:t>Anthropogenic inputs of heavy metals Zn, Cr, Ni, Pb, Cu, Cd, Hg</w:t>
            </w:r>
          </w:p>
        </w:tc>
        <w:tc>
          <w:tcPr>
            <w:tcW w:w="1347" w:type="pct"/>
            <w:shd w:val="clear" w:color="auto" w:fill="auto"/>
            <w:noWrap/>
            <w:vAlign w:val="bottom"/>
            <w:hideMark/>
          </w:tcPr>
          <w:p w14:paraId="160C65E9" w14:textId="77777777" w:rsidR="001E61A6" w:rsidRPr="00360ADC" w:rsidRDefault="001E61A6" w:rsidP="009C39CE">
            <w:pPr>
              <w:rPr>
                <w:sz w:val="20"/>
                <w:szCs w:val="20"/>
              </w:rPr>
            </w:pPr>
            <w:r w:rsidRPr="00360ADC">
              <w:rPr>
                <w:sz w:val="20"/>
                <w:szCs w:val="20"/>
              </w:rPr>
              <w:t>0.3-1</w:t>
            </w:r>
          </w:p>
        </w:tc>
        <w:tc>
          <w:tcPr>
            <w:tcW w:w="554" w:type="pct"/>
          </w:tcPr>
          <w:p w14:paraId="74AE5124" w14:textId="77777777" w:rsidR="001E61A6" w:rsidRPr="00360ADC" w:rsidRDefault="001E61A6" w:rsidP="009C39CE">
            <w:pPr>
              <w:rPr>
                <w:sz w:val="20"/>
                <w:szCs w:val="20"/>
              </w:rPr>
            </w:pPr>
          </w:p>
        </w:tc>
      </w:tr>
      <w:tr w:rsidR="001E61A6" w:rsidRPr="00360ADC" w14:paraId="020E0DD1" w14:textId="77777777" w:rsidTr="00360ADC">
        <w:trPr>
          <w:trHeight w:val="72"/>
        </w:trPr>
        <w:tc>
          <w:tcPr>
            <w:tcW w:w="572" w:type="pct"/>
          </w:tcPr>
          <w:p w14:paraId="67A8BA56" w14:textId="77777777" w:rsidR="001E61A6" w:rsidRPr="00360ADC" w:rsidRDefault="001E61A6" w:rsidP="009C39CE">
            <w:pPr>
              <w:rPr>
                <w:sz w:val="20"/>
                <w:szCs w:val="20"/>
              </w:rPr>
            </w:pPr>
          </w:p>
        </w:tc>
        <w:tc>
          <w:tcPr>
            <w:tcW w:w="2409" w:type="pct"/>
            <w:gridSpan w:val="4"/>
            <w:shd w:val="clear" w:color="auto" w:fill="auto"/>
            <w:noWrap/>
            <w:vAlign w:val="bottom"/>
            <w:hideMark/>
          </w:tcPr>
          <w:p w14:paraId="4F01548D" w14:textId="77777777" w:rsidR="001E61A6" w:rsidRPr="00360ADC" w:rsidRDefault="001E61A6" w:rsidP="009C39CE">
            <w:pPr>
              <w:rPr>
                <w:sz w:val="20"/>
                <w:szCs w:val="20"/>
              </w:rPr>
            </w:pPr>
            <w:r w:rsidRPr="00360ADC">
              <w:rPr>
                <w:sz w:val="20"/>
                <w:szCs w:val="20"/>
              </w:rPr>
              <w:t>Global fertilizer production (2000)</w:t>
            </w:r>
          </w:p>
        </w:tc>
        <w:tc>
          <w:tcPr>
            <w:tcW w:w="1464" w:type="pct"/>
            <w:gridSpan w:val="2"/>
            <w:shd w:val="clear" w:color="auto" w:fill="auto"/>
            <w:noWrap/>
            <w:vAlign w:val="bottom"/>
            <w:hideMark/>
          </w:tcPr>
          <w:p w14:paraId="011580DD" w14:textId="77777777" w:rsidR="001E61A6" w:rsidRPr="00360ADC" w:rsidRDefault="001E61A6" w:rsidP="009C39CE">
            <w:pPr>
              <w:rPr>
                <w:sz w:val="20"/>
                <w:szCs w:val="20"/>
              </w:rPr>
            </w:pPr>
            <w:r w:rsidRPr="00360ADC">
              <w:rPr>
                <w:sz w:val="20"/>
                <w:szCs w:val="20"/>
              </w:rPr>
              <w:t>140</w:t>
            </w:r>
          </w:p>
        </w:tc>
        <w:tc>
          <w:tcPr>
            <w:tcW w:w="554" w:type="pct"/>
          </w:tcPr>
          <w:p w14:paraId="30FD5762" w14:textId="77777777" w:rsidR="001E61A6" w:rsidRPr="00360ADC" w:rsidRDefault="001E61A6" w:rsidP="009C39CE">
            <w:pPr>
              <w:rPr>
                <w:sz w:val="20"/>
                <w:szCs w:val="20"/>
              </w:rPr>
            </w:pPr>
          </w:p>
        </w:tc>
      </w:tr>
      <w:tr w:rsidR="001E61A6" w:rsidRPr="00360ADC" w14:paraId="2367148B" w14:textId="77777777" w:rsidTr="00360ADC">
        <w:trPr>
          <w:trHeight w:val="72"/>
        </w:trPr>
        <w:tc>
          <w:tcPr>
            <w:tcW w:w="572" w:type="pct"/>
          </w:tcPr>
          <w:p w14:paraId="7034C747" w14:textId="77777777" w:rsidR="001E61A6" w:rsidRPr="00360ADC" w:rsidRDefault="001E61A6" w:rsidP="009C39CE">
            <w:pPr>
              <w:rPr>
                <w:sz w:val="20"/>
                <w:szCs w:val="20"/>
              </w:rPr>
            </w:pPr>
          </w:p>
        </w:tc>
        <w:tc>
          <w:tcPr>
            <w:tcW w:w="2409" w:type="pct"/>
            <w:gridSpan w:val="4"/>
            <w:shd w:val="clear" w:color="auto" w:fill="auto"/>
            <w:noWrap/>
            <w:vAlign w:val="bottom"/>
            <w:hideMark/>
          </w:tcPr>
          <w:p w14:paraId="33CDE7C5" w14:textId="77777777" w:rsidR="001E61A6" w:rsidRPr="00360ADC" w:rsidRDefault="001E61A6" w:rsidP="009C39CE">
            <w:pPr>
              <w:rPr>
                <w:sz w:val="20"/>
                <w:szCs w:val="20"/>
              </w:rPr>
            </w:pPr>
            <w:r w:rsidRPr="00360ADC">
              <w:rPr>
                <w:sz w:val="20"/>
                <w:szCs w:val="20"/>
              </w:rPr>
              <w:t>Global pesticide production</w:t>
            </w:r>
          </w:p>
        </w:tc>
        <w:tc>
          <w:tcPr>
            <w:tcW w:w="1464" w:type="pct"/>
            <w:gridSpan w:val="2"/>
            <w:shd w:val="clear" w:color="auto" w:fill="auto"/>
            <w:noWrap/>
            <w:vAlign w:val="bottom"/>
            <w:hideMark/>
          </w:tcPr>
          <w:p w14:paraId="7D4131D3" w14:textId="77777777" w:rsidR="001E61A6" w:rsidRPr="00360ADC" w:rsidRDefault="001E61A6" w:rsidP="009C39CE">
            <w:pPr>
              <w:rPr>
                <w:sz w:val="20"/>
                <w:szCs w:val="20"/>
              </w:rPr>
            </w:pPr>
            <w:r w:rsidRPr="00360ADC">
              <w:rPr>
                <w:sz w:val="20"/>
                <w:szCs w:val="20"/>
              </w:rPr>
              <w:t>5</w:t>
            </w:r>
          </w:p>
        </w:tc>
        <w:tc>
          <w:tcPr>
            <w:tcW w:w="554" w:type="pct"/>
          </w:tcPr>
          <w:p w14:paraId="492173DF" w14:textId="77777777" w:rsidR="001E61A6" w:rsidRPr="00360ADC" w:rsidRDefault="001E61A6" w:rsidP="009C39CE">
            <w:pPr>
              <w:rPr>
                <w:sz w:val="20"/>
                <w:szCs w:val="20"/>
              </w:rPr>
            </w:pPr>
          </w:p>
        </w:tc>
      </w:tr>
      <w:tr w:rsidR="001E61A6" w:rsidRPr="00360ADC" w14:paraId="06F856FA" w14:textId="77777777" w:rsidTr="00360ADC">
        <w:trPr>
          <w:trHeight w:val="72"/>
        </w:trPr>
        <w:tc>
          <w:tcPr>
            <w:tcW w:w="572" w:type="pct"/>
          </w:tcPr>
          <w:p w14:paraId="448BECDE" w14:textId="77777777" w:rsidR="001E61A6" w:rsidRPr="00360ADC" w:rsidRDefault="001E61A6" w:rsidP="009C39CE">
            <w:pPr>
              <w:rPr>
                <w:sz w:val="20"/>
                <w:szCs w:val="20"/>
              </w:rPr>
            </w:pPr>
          </w:p>
        </w:tc>
        <w:tc>
          <w:tcPr>
            <w:tcW w:w="2409" w:type="pct"/>
            <w:gridSpan w:val="4"/>
            <w:shd w:val="clear" w:color="auto" w:fill="auto"/>
            <w:noWrap/>
            <w:vAlign w:val="bottom"/>
            <w:hideMark/>
          </w:tcPr>
          <w:p w14:paraId="470AC85B" w14:textId="77777777" w:rsidR="001E61A6" w:rsidRPr="00360ADC" w:rsidRDefault="001E61A6" w:rsidP="009C39CE">
            <w:pPr>
              <w:rPr>
                <w:sz w:val="20"/>
                <w:szCs w:val="20"/>
              </w:rPr>
            </w:pPr>
            <w:r w:rsidRPr="00360ADC">
              <w:rPr>
                <w:sz w:val="20"/>
                <w:szCs w:val="20"/>
              </w:rPr>
              <w:t>Synthetic organic chemicals production</w:t>
            </w:r>
          </w:p>
        </w:tc>
        <w:tc>
          <w:tcPr>
            <w:tcW w:w="1464" w:type="pct"/>
            <w:gridSpan w:val="2"/>
            <w:shd w:val="clear" w:color="auto" w:fill="auto"/>
            <w:noWrap/>
            <w:vAlign w:val="bottom"/>
            <w:hideMark/>
          </w:tcPr>
          <w:p w14:paraId="03B51E62" w14:textId="77777777" w:rsidR="001E61A6" w:rsidRPr="00360ADC" w:rsidRDefault="001E61A6" w:rsidP="009C39CE">
            <w:pPr>
              <w:rPr>
                <w:sz w:val="20"/>
                <w:szCs w:val="20"/>
              </w:rPr>
            </w:pPr>
            <w:r w:rsidRPr="00360ADC">
              <w:rPr>
                <w:sz w:val="20"/>
                <w:szCs w:val="20"/>
              </w:rPr>
              <w:t>300</w:t>
            </w:r>
          </w:p>
        </w:tc>
        <w:tc>
          <w:tcPr>
            <w:tcW w:w="554" w:type="pct"/>
          </w:tcPr>
          <w:p w14:paraId="565B487A" w14:textId="77777777" w:rsidR="001E61A6" w:rsidRPr="00360ADC" w:rsidRDefault="001E61A6" w:rsidP="009C39CE">
            <w:pPr>
              <w:rPr>
                <w:sz w:val="20"/>
                <w:szCs w:val="20"/>
              </w:rPr>
            </w:pPr>
          </w:p>
        </w:tc>
      </w:tr>
      <w:tr w:rsidR="001E61A6" w:rsidRPr="00360ADC" w14:paraId="57035122" w14:textId="77777777" w:rsidTr="00360ADC">
        <w:trPr>
          <w:trHeight w:val="72"/>
        </w:trPr>
        <w:tc>
          <w:tcPr>
            <w:tcW w:w="572" w:type="pct"/>
          </w:tcPr>
          <w:p w14:paraId="002D6275" w14:textId="77777777" w:rsidR="001E61A6" w:rsidRPr="00360ADC" w:rsidRDefault="001E61A6" w:rsidP="009C39CE">
            <w:pPr>
              <w:rPr>
                <w:sz w:val="20"/>
                <w:szCs w:val="20"/>
              </w:rPr>
            </w:pPr>
          </w:p>
        </w:tc>
        <w:tc>
          <w:tcPr>
            <w:tcW w:w="2409" w:type="pct"/>
            <w:gridSpan w:val="4"/>
            <w:shd w:val="clear" w:color="auto" w:fill="auto"/>
            <w:noWrap/>
            <w:vAlign w:val="bottom"/>
            <w:hideMark/>
          </w:tcPr>
          <w:p w14:paraId="6826C75E" w14:textId="77777777" w:rsidR="001E61A6" w:rsidRPr="00360ADC" w:rsidRDefault="001E61A6" w:rsidP="009C39CE">
            <w:pPr>
              <w:rPr>
                <w:sz w:val="20"/>
                <w:szCs w:val="20"/>
              </w:rPr>
            </w:pPr>
            <w:r w:rsidRPr="00360ADC">
              <w:rPr>
                <w:sz w:val="20"/>
                <w:szCs w:val="20"/>
              </w:rPr>
              <w:t>Oil spills (average 1980-2000)</w:t>
            </w:r>
          </w:p>
        </w:tc>
        <w:tc>
          <w:tcPr>
            <w:tcW w:w="1464" w:type="pct"/>
            <w:gridSpan w:val="2"/>
            <w:shd w:val="clear" w:color="auto" w:fill="auto"/>
            <w:noWrap/>
            <w:vAlign w:val="bottom"/>
            <w:hideMark/>
          </w:tcPr>
          <w:p w14:paraId="32BB4914" w14:textId="77777777" w:rsidR="001E61A6" w:rsidRPr="00360ADC" w:rsidRDefault="001E61A6" w:rsidP="009C39CE">
            <w:pPr>
              <w:rPr>
                <w:sz w:val="20"/>
                <w:szCs w:val="20"/>
              </w:rPr>
            </w:pPr>
            <w:r w:rsidRPr="00360ADC">
              <w:rPr>
                <w:sz w:val="20"/>
                <w:szCs w:val="20"/>
              </w:rPr>
              <w:t>0.4</w:t>
            </w:r>
          </w:p>
        </w:tc>
        <w:tc>
          <w:tcPr>
            <w:tcW w:w="554" w:type="pct"/>
          </w:tcPr>
          <w:p w14:paraId="55EF43A7" w14:textId="77777777" w:rsidR="001E61A6" w:rsidRPr="00360ADC" w:rsidRDefault="001E61A6" w:rsidP="009C39CE">
            <w:pPr>
              <w:rPr>
                <w:sz w:val="20"/>
                <w:szCs w:val="20"/>
              </w:rPr>
            </w:pPr>
          </w:p>
        </w:tc>
      </w:tr>
      <w:tr w:rsidR="001E61A6" w:rsidRPr="00360ADC" w14:paraId="3D13325C" w14:textId="77777777" w:rsidTr="00360ADC">
        <w:trPr>
          <w:trHeight w:val="72"/>
        </w:trPr>
        <w:tc>
          <w:tcPr>
            <w:tcW w:w="572" w:type="pct"/>
          </w:tcPr>
          <w:p w14:paraId="354C5BAC" w14:textId="77777777" w:rsidR="001E61A6" w:rsidRPr="00360ADC" w:rsidRDefault="001E61A6" w:rsidP="009C39CE">
            <w:pPr>
              <w:rPr>
                <w:sz w:val="20"/>
                <w:szCs w:val="20"/>
              </w:rPr>
            </w:pPr>
          </w:p>
        </w:tc>
        <w:tc>
          <w:tcPr>
            <w:tcW w:w="2409" w:type="pct"/>
            <w:gridSpan w:val="4"/>
            <w:shd w:val="clear" w:color="auto" w:fill="auto"/>
            <w:noWrap/>
            <w:vAlign w:val="bottom"/>
          </w:tcPr>
          <w:p w14:paraId="4D65928D" w14:textId="77777777" w:rsidR="001E61A6" w:rsidRPr="00360ADC" w:rsidRDefault="001E61A6" w:rsidP="009C39CE">
            <w:pPr>
              <w:rPr>
                <w:sz w:val="20"/>
                <w:szCs w:val="20"/>
              </w:rPr>
            </w:pPr>
            <w:r w:rsidRPr="00360ADC">
              <w:rPr>
                <w:sz w:val="20"/>
                <w:szCs w:val="20"/>
              </w:rPr>
              <w:t xml:space="preserve">Plastics, Microplastics </w:t>
            </w:r>
          </w:p>
        </w:tc>
        <w:tc>
          <w:tcPr>
            <w:tcW w:w="1464" w:type="pct"/>
            <w:gridSpan w:val="2"/>
            <w:shd w:val="clear" w:color="auto" w:fill="auto"/>
            <w:noWrap/>
            <w:vAlign w:val="bottom"/>
          </w:tcPr>
          <w:p w14:paraId="4CB4067C" w14:textId="77777777" w:rsidR="001E61A6" w:rsidRPr="00360ADC" w:rsidRDefault="001E61A6" w:rsidP="009C39CE">
            <w:pPr>
              <w:rPr>
                <w:sz w:val="20"/>
                <w:szCs w:val="20"/>
                <w:vertAlign w:val="superscript"/>
              </w:rPr>
            </w:pPr>
            <w:r w:rsidRPr="00360ADC">
              <w:rPr>
                <w:sz w:val="20"/>
                <w:szCs w:val="20"/>
              </w:rPr>
              <w:t xml:space="preserve">*5-13 </w:t>
            </w:r>
          </w:p>
        </w:tc>
        <w:tc>
          <w:tcPr>
            <w:tcW w:w="554" w:type="pct"/>
          </w:tcPr>
          <w:p w14:paraId="3169A607" w14:textId="77777777" w:rsidR="001E61A6" w:rsidRPr="00360ADC" w:rsidRDefault="001E61A6" w:rsidP="009C39CE">
            <w:pPr>
              <w:rPr>
                <w:sz w:val="20"/>
                <w:szCs w:val="20"/>
              </w:rPr>
            </w:pPr>
          </w:p>
        </w:tc>
      </w:tr>
    </w:tbl>
    <w:p w14:paraId="247FC8C4" w14:textId="5DF334B0" w:rsidR="001E61A6" w:rsidRPr="008608AA" w:rsidRDefault="001E61A6" w:rsidP="001E61A6">
      <w:pPr>
        <w:rPr>
          <w:noProof/>
          <w:sz w:val="20"/>
          <w:szCs w:val="20"/>
        </w:rPr>
      </w:pPr>
      <w:r w:rsidRPr="008608AA">
        <w:rPr>
          <w:sz w:val="20"/>
          <w:szCs w:val="20"/>
        </w:rPr>
        <w:t xml:space="preserve">*Clark </w:t>
      </w:r>
      <w:r w:rsidRPr="008608AA">
        <w:rPr>
          <w:i/>
          <w:sz w:val="20"/>
          <w:szCs w:val="20"/>
        </w:rPr>
        <w:t>et al.</w:t>
      </w:r>
      <w:r w:rsidRPr="008608AA">
        <w:rPr>
          <w:sz w:val="20"/>
          <w:szCs w:val="20"/>
        </w:rPr>
        <w:t xml:space="preserve"> </w:t>
      </w:r>
      <w:r w:rsidR="00EA4952" w:rsidRPr="008608AA">
        <w:rPr>
          <w:sz w:val="20"/>
          <w:szCs w:val="20"/>
        </w:rPr>
        <w:t>(</w:t>
      </w:r>
      <w:r w:rsidRPr="008608AA">
        <w:rPr>
          <w:sz w:val="20"/>
          <w:szCs w:val="20"/>
        </w:rPr>
        <w:t>2016</w:t>
      </w:r>
      <w:r w:rsidR="00EA4952" w:rsidRPr="008608AA">
        <w:rPr>
          <w:sz w:val="20"/>
          <w:szCs w:val="20"/>
        </w:rPr>
        <w:t>)</w:t>
      </w:r>
    </w:p>
    <w:p w14:paraId="538EF28E" w14:textId="77777777" w:rsidR="006E413E" w:rsidRPr="008608AA" w:rsidRDefault="006E413E" w:rsidP="009C39CE">
      <w:pPr>
        <w:keepNext/>
        <w:keepLines/>
        <w:spacing w:before="120"/>
        <w:outlineLvl w:val="3"/>
        <w:rPr>
          <w:rFonts w:eastAsia="Calibri"/>
          <w:b/>
          <w:bCs/>
          <w:iCs/>
        </w:rPr>
      </w:pPr>
    </w:p>
    <w:p w14:paraId="5545DCC5" w14:textId="77777777" w:rsidR="001E61A6" w:rsidRPr="008608AA" w:rsidRDefault="001E61A6" w:rsidP="009C39CE">
      <w:pPr>
        <w:keepNext/>
        <w:keepLines/>
        <w:spacing w:before="120"/>
        <w:outlineLvl w:val="3"/>
        <w:rPr>
          <w:rFonts w:eastAsia="Calibri"/>
          <w:b/>
          <w:bCs/>
          <w:iCs/>
        </w:rPr>
      </w:pPr>
      <w:bookmarkStart w:id="1513" w:name="_Toc517393348"/>
      <w:bookmarkStart w:id="1514" w:name="_Toc517394405"/>
      <w:bookmarkStart w:id="1515" w:name="_Toc517719089"/>
      <w:bookmarkStart w:id="1516" w:name="_Toc517797046"/>
      <w:r w:rsidRPr="008608AA">
        <w:rPr>
          <w:rFonts w:eastAsia="Calibri"/>
          <w:b/>
          <w:bCs/>
          <w:iCs/>
        </w:rPr>
        <w:t>Ocean acidification, deoxygenation and plastics pollution</w:t>
      </w:r>
      <w:bookmarkEnd w:id="1513"/>
      <w:bookmarkEnd w:id="1514"/>
      <w:bookmarkEnd w:id="1515"/>
      <w:bookmarkEnd w:id="1516"/>
    </w:p>
    <w:p w14:paraId="74335C09" w14:textId="4F12BA12" w:rsidR="001E61A6" w:rsidRPr="008608AA" w:rsidRDefault="001E61A6" w:rsidP="006E413E">
      <w:pPr>
        <w:spacing w:before="120"/>
        <w:rPr>
          <w:rFonts w:eastAsia="Calibri"/>
        </w:rPr>
      </w:pPr>
      <w:r w:rsidRPr="008608AA">
        <w:rPr>
          <w:rFonts w:eastAsia="Calibri"/>
        </w:rPr>
        <w:t xml:space="preserve">As atmospheric </w:t>
      </w:r>
      <w:r w:rsidR="00E03ED4" w:rsidRPr="008608AA">
        <w:t>carbon dioxide</w:t>
      </w:r>
      <w:r w:rsidRPr="008608AA">
        <w:rPr>
          <w:rFonts w:eastAsia="Calibri"/>
        </w:rPr>
        <w:t xml:space="preserve"> increases, mainly from fossil fuel combustion, pH and calcium carbonate saturation in ocean water decrease (Fabry et al., 2008). This is adversely impacting marine ecosystems</w:t>
      </w:r>
      <w:r w:rsidR="00980148" w:rsidRPr="008608AA">
        <w:rPr>
          <w:rFonts w:eastAsia="Calibri"/>
        </w:rPr>
        <w:t xml:space="preserve"> and biota (Cooper et al., 2008; Fabry et al., 2008;</w:t>
      </w:r>
      <w:r w:rsidRPr="008608AA">
        <w:rPr>
          <w:rFonts w:eastAsia="Calibri"/>
        </w:rPr>
        <w:t xml:space="preserve"> Albright </w:t>
      </w:r>
      <w:r w:rsidR="00980148" w:rsidRPr="008608AA">
        <w:rPr>
          <w:rFonts w:eastAsia="Calibri"/>
        </w:rPr>
        <w:t>&amp;</w:t>
      </w:r>
      <w:r w:rsidRPr="008608AA">
        <w:rPr>
          <w:rFonts w:eastAsia="Calibri"/>
        </w:rPr>
        <w:t xml:space="preserve"> Langdon</w:t>
      </w:r>
      <w:r w:rsidR="00980148" w:rsidRPr="008608AA">
        <w:rPr>
          <w:rFonts w:eastAsia="Calibri"/>
        </w:rPr>
        <w:t>, 2011; Anthony et al., 2011; Pandolfi et al., 2011; Bramanti et al., 2013;</w:t>
      </w:r>
      <w:r w:rsidRPr="008608AA">
        <w:rPr>
          <w:rFonts w:eastAsia="Calibri"/>
        </w:rPr>
        <w:t xml:space="preserve"> Courtney et</w:t>
      </w:r>
      <w:r w:rsidR="00980148" w:rsidRPr="008608AA">
        <w:rPr>
          <w:rFonts w:eastAsia="Calibri"/>
        </w:rPr>
        <w:t xml:space="preserve"> al., 2013; Webster et al., 2013;</w:t>
      </w:r>
      <w:r w:rsidRPr="008608AA">
        <w:rPr>
          <w:rFonts w:eastAsia="Calibri"/>
        </w:rPr>
        <w:t xml:space="preserve"> Hall-Spencer et al., 2008). Many marine animals, like plankton, mollusks, sea stars, corals, snails and other groups, extract calcium carbonate from seawater to form their skeletal structures or shells. Ocean acidification reduces the calcium carbonate availability. The ocean is also undergoing deoxygenation. Ocean oxygen content declined 2% since 1960 and with climate chang</w:t>
      </w:r>
      <w:r w:rsidR="00C2266F" w:rsidRPr="008608AA">
        <w:rPr>
          <w:rFonts w:eastAsia="Calibri"/>
        </w:rPr>
        <w:t xml:space="preserve">e could decline an additional 1 to </w:t>
      </w:r>
      <w:r w:rsidRPr="008608AA">
        <w:rPr>
          <w:rFonts w:eastAsia="Calibri"/>
        </w:rPr>
        <w:t xml:space="preserve">7% by 2100. In the upper water column, warmer waters from global climate change drive this deoxygenation by reducing oxygen solubility; at lower depths, reduced mixing is the chief driver. Along coastlines, </w:t>
      </w:r>
      <w:r w:rsidR="00C16801" w:rsidRPr="008608AA">
        <w:rPr>
          <w:rFonts w:eastAsia="Calibri"/>
        </w:rPr>
        <w:t>rivers with large nitrogen and phosphorus</w:t>
      </w:r>
      <w:r w:rsidRPr="008608AA">
        <w:rPr>
          <w:rFonts w:eastAsia="Calibri"/>
        </w:rPr>
        <w:t xml:space="preserve"> loads draining from fertilized agricultural watersheds, or from sewage and atmospheric nitrogen depostion, cause low oxygen levels and hypoxic “dead zones” (Diaz </w:t>
      </w:r>
      <w:r w:rsidR="00980148" w:rsidRPr="008608AA">
        <w:rPr>
          <w:rFonts w:eastAsia="Calibri"/>
        </w:rPr>
        <w:t>&amp;</w:t>
      </w:r>
      <w:r w:rsidRPr="008608AA">
        <w:rPr>
          <w:rFonts w:eastAsia="Calibri"/>
        </w:rPr>
        <w:t xml:space="preserve"> Rosenberg</w:t>
      </w:r>
      <w:r w:rsidR="00980148" w:rsidRPr="008608AA">
        <w:rPr>
          <w:rFonts w:eastAsia="Calibri"/>
        </w:rPr>
        <w:t>, 2008; Rabalais et al., 2014;</w:t>
      </w:r>
      <w:r w:rsidRPr="008608AA">
        <w:rPr>
          <w:rFonts w:eastAsia="Calibri"/>
        </w:rPr>
        <w:t xml:space="preserve"> Schmidko et al., 2017). Hypoxic coastal waters have grown exponentially (Vaquer-Sunyer </w:t>
      </w:r>
      <w:r w:rsidR="00980148" w:rsidRPr="008608AA">
        <w:rPr>
          <w:rFonts w:eastAsia="Calibri"/>
        </w:rPr>
        <w:t>&amp;</w:t>
      </w:r>
      <w:r w:rsidRPr="008608AA">
        <w:rPr>
          <w:rFonts w:eastAsia="Calibri"/>
        </w:rPr>
        <w:t xml:space="preserve"> Dwarte</w:t>
      </w:r>
      <w:r w:rsidR="00980148" w:rsidRPr="008608AA">
        <w:rPr>
          <w:rFonts w:eastAsia="Calibri"/>
        </w:rPr>
        <w:t>,</w:t>
      </w:r>
      <w:r w:rsidRPr="008608AA">
        <w:rPr>
          <w:rFonts w:eastAsia="Calibri"/>
        </w:rPr>
        <w:t xml:space="preserve"> 2008). The intensity and duration of hypoxia controls its impacts on biodiversity. The combination of warmer water, acidification and deoxygenation are likely interacting to negatively impact marine organisms (Bednarsk et al., 2016).</w:t>
      </w:r>
    </w:p>
    <w:p w14:paraId="715EC9BD" w14:textId="32BA0794" w:rsidR="001E61A6" w:rsidRPr="008608AA" w:rsidRDefault="001E61A6" w:rsidP="006E413E">
      <w:pPr>
        <w:spacing w:before="120"/>
        <w:rPr>
          <w:rFonts w:eastAsia="Calibri"/>
        </w:rPr>
      </w:pPr>
      <w:r w:rsidRPr="008608AA">
        <w:rPr>
          <w:rFonts w:eastAsia="Calibri"/>
        </w:rPr>
        <w:t xml:space="preserve">Plastic pollution enters the ocean via rivers, sewage, fishing and other sources. Plastic characteristics, like lower natural resource use and costs, and resistance to degradation, drive consumer plastics use. Although waves and sunlight break plastics to smaller pieces including microplastics (&lt;5 mm), non-bouyant plastics take hundreds of years to degrade </w:t>
      </w:r>
      <w:r w:rsidR="00C2266F" w:rsidRPr="008608AA">
        <w:rPr>
          <w:rFonts w:eastAsia="Calibri"/>
        </w:rPr>
        <w:t xml:space="preserve">in ocean waters and comprise 90 to </w:t>
      </w:r>
      <w:r w:rsidRPr="008608AA">
        <w:rPr>
          <w:rFonts w:eastAsia="Calibri"/>
        </w:rPr>
        <w:t>99% of ocean plastic pollution. Plastics kill or harm biodiversity, from zooplankton, to fish, shellfish, sea turtles, seabirds and marine mammals: animals frequently consume plastics or are suffocated or maimed by them. Impacts on marine wildlife include entanglement, ingestion, and contamination to a wide variety of species. Reductions in plastics use and disposal into the oceans wouold require policy development as well as consumer-driven changes in plastics use and disposal (Wilcox et al</w:t>
      </w:r>
      <w:r w:rsidR="00134E5B" w:rsidRPr="008608AA">
        <w:rPr>
          <w:rFonts w:eastAsia="Calibri"/>
        </w:rPr>
        <w:t>.</w:t>
      </w:r>
      <w:r w:rsidRPr="008608AA">
        <w:rPr>
          <w:rFonts w:eastAsia="Calibri"/>
        </w:rPr>
        <w:t xml:space="preserve">, 2016). Many of the environmental implications of microplastics at sea are still largely unknown, however the number of marine species known to be affected by this contaminant has increased from 247 to 680 (Gall </w:t>
      </w:r>
      <w:r w:rsidR="00980148" w:rsidRPr="008608AA">
        <w:rPr>
          <w:rFonts w:eastAsia="Calibri"/>
        </w:rPr>
        <w:t>&amp;</w:t>
      </w:r>
      <w:r w:rsidR="00D07ADA" w:rsidRPr="008608AA">
        <w:rPr>
          <w:rFonts w:eastAsia="Calibri"/>
        </w:rPr>
        <w:t xml:space="preserve"> Thompson, 2015).</w:t>
      </w:r>
      <w:r w:rsidRPr="008608AA">
        <w:rPr>
          <w:rFonts w:eastAsia="Calibri"/>
        </w:rPr>
        <w:t xml:space="preserve"> Microplastics have a complex effect on marine life. They adsorb legacy persistent organic pollutants and are passed up the food chain to higher trophic levels including to people, exposing humans and animals that consume marine biota to carcinogens and teratogens (toxic to embryos) (Clark et al</w:t>
      </w:r>
      <w:r w:rsidR="00474EDF" w:rsidRPr="008608AA">
        <w:rPr>
          <w:rFonts w:eastAsia="Calibri"/>
        </w:rPr>
        <w:t>.,</w:t>
      </w:r>
      <w:r w:rsidR="00980148" w:rsidRPr="008608AA">
        <w:rPr>
          <w:rFonts w:eastAsia="Calibri"/>
        </w:rPr>
        <w:t xml:space="preserve"> 2016;</w:t>
      </w:r>
      <w:r w:rsidRPr="008608AA">
        <w:rPr>
          <w:rFonts w:eastAsia="Calibri"/>
        </w:rPr>
        <w:t xml:space="preserve"> Worm et al.</w:t>
      </w:r>
      <w:r w:rsidR="00474EDF" w:rsidRPr="008608AA">
        <w:rPr>
          <w:rFonts w:eastAsia="Calibri"/>
        </w:rPr>
        <w:t>,</w:t>
      </w:r>
      <w:r w:rsidRPr="008608AA">
        <w:rPr>
          <w:rFonts w:eastAsia="Calibri"/>
        </w:rPr>
        <w:t xml:space="preserve"> 2017). By fouling boats and fishing nets and equipment, plastic pollution imposes costs to the fishing industry and society for related cleaning</w:t>
      </w:r>
      <w:r w:rsidR="00980148" w:rsidRPr="008608AA">
        <w:rPr>
          <w:rFonts w:eastAsia="Calibri"/>
        </w:rPr>
        <w:t xml:space="preserve"> and rescue (Clark et al., 2016;</w:t>
      </w:r>
      <w:r w:rsidR="00D07ADA" w:rsidRPr="008608AA">
        <w:rPr>
          <w:rFonts w:eastAsia="Calibri"/>
        </w:rPr>
        <w:t xml:space="preserve"> Kershaw et al., 2011).</w:t>
      </w:r>
      <w:r w:rsidRPr="008608AA">
        <w:rPr>
          <w:rFonts w:eastAsia="Calibri"/>
        </w:rPr>
        <w:t xml:space="preserve"> The top 20 countries’ mismanaged plastic waste encompass 83% of the total in 2010 with Brazil in 16th position and the USA in the 20th position in the global ranking (Jambeck </w:t>
      </w:r>
      <w:r w:rsidR="00474EDF" w:rsidRPr="008608AA">
        <w:rPr>
          <w:rFonts w:eastAsia="Calibri"/>
        </w:rPr>
        <w:t>et al.,</w:t>
      </w:r>
      <w:r w:rsidRPr="008608AA">
        <w:rPr>
          <w:rFonts w:eastAsia="Calibri"/>
        </w:rPr>
        <w:t xml:space="preserve"> 2015).</w:t>
      </w:r>
    </w:p>
    <w:p w14:paraId="5C6E5D42" w14:textId="77777777" w:rsidR="001E61A6" w:rsidRPr="008608AA" w:rsidRDefault="001E61A6" w:rsidP="009C39CE">
      <w:pPr>
        <w:keepNext/>
        <w:keepLines/>
        <w:spacing w:before="120"/>
        <w:outlineLvl w:val="3"/>
        <w:rPr>
          <w:rFonts w:eastAsia="Calibri"/>
          <w:b/>
          <w:bCs/>
          <w:iCs/>
        </w:rPr>
      </w:pPr>
      <w:bookmarkStart w:id="1517" w:name="_Toc517393349"/>
      <w:bookmarkStart w:id="1518" w:name="_Toc517394406"/>
      <w:bookmarkStart w:id="1519" w:name="_Toc517719090"/>
      <w:bookmarkStart w:id="1520" w:name="_Toc517797047"/>
      <w:r w:rsidRPr="008608AA">
        <w:rPr>
          <w:rFonts w:eastAsia="Calibri"/>
          <w:b/>
          <w:bCs/>
          <w:iCs/>
        </w:rPr>
        <w:t>Fertilization of Earth with nitrogen, phosphorus and other nutrients from human activities.</w:t>
      </w:r>
      <w:bookmarkEnd w:id="1517"/>
      <w:bookmarkEnd w:id="1518"/>
      <w:bookmarkEnd w:id="1519"/>
      <w:bookmarkEnd w:id="1520"/>
    </w:p>
    <w:p w14:paraId="10FC81B9" w14:textId="46903378" w:rsidR="001E61A6" w:rsidRPr="008608AA" w:rsidRDefault="001E61A6" w:rsidP="006E413E">
      <w:pPr>
        <w:spacing w:before="120"/>
        <w:rPr>
          <w:rFonts w:eastAsia="Calibri"/>
        </w:rPr>
      </w:pPr>
      <w:r w:rsidRPr="008608AA">
        <w:rPr>
          <w:rFonts w:eastAsia="Calibri"/>
        </w:rPr>
        <w:t>Food, fiber and energy production are changing the biogeochemi</w:t>
      </w:r>
      <w:r w:rsidR="00DD5D96" w:rsidRPr="008608AA">
        <w:rPr>
          <w:rFonts w:eastAsia="Calibri"/>
        </w:rPr>
        <w:t>cal cycles of major nutrients (nitrogen, carbon, phosphorus, s</w:t>
      </w:r>
      <w:r w:rsidRPr="008608AA">
        <w:rPr>
          <w:rFonts w:eastAsia="Calibri"/>
        </w:rPr>
        <w:t xml:space="preserve">ulfur). </w:t>
      </w:r>
      <w:r w:rsidR="003A3242" w:rsidRPr="008608AA">
        <w:rPr>
          <w:color w:val="222222"/>
          <w:shd w:val="clear" w:color="auto" w:fill="FFFFFF"/>
        </w:rPr>
        <w:t>The use of nitrogen, phosphate and potash fertilizer is increasing by 1.9% per year in the Americas, contributing to increasing nitrogen deposition onto ecosystems (Figure 4.5). Demand for these agrichemicals will continue to increase, mainly due to increased demand in Latin America</w:t>
      </w:r>
      <w:r w:rsidR="003A3242" w:rsidRPr="008608AA">
        <w:rPr>
          <w:rFonts w:eastAsia="Calibri"/>
        </w:rPr>
        <w:t xml:space="preserve"> </w:t>
      </w:r>
      <w:r w:rsidRPr="008608AA">
        <w:rPr>
          <w:rFonts w:eastAsia="Calibri"/>
        </w:rPr>
        <w:t>(FAO</w:t>
      </w:r>
      <w:r w:rsidR="00980148" w:rsidRPr="008608AA">
        <w:rPr>
          <w:rFonts w:eastAsia="Calibri"/>
        </w:rPr>
        <w:t>, 2011 and</w:t>
      </w:r>
      <w:r w:rsidRPr="008608AA">
        <w:rPr>
          <w:rFonts w:eastAsia="Calibri"/>
        </w:rPr>
        <w:t xml:space="preserve"> 2017). Increased biologically available, reactive nitrogen (all nitrogen forms except molecular nitrogen, N</w:t>
      </w:r>
      <w:r w:rsidRPr="008608AA">
        <w:rPr>
          <w:rFonts w:eastAsia="Calibri"/>
          <w:vertAlign w:val="subscript"/>
        </w:rPr>
        <w:t>2</w:t>
      </w:r>
      <w:r w:rsidRPr="008608AA">
        <w:rPr>
          <w:rFonts w:eastAsia="Calibri"/>
        </w:rPr>
        <w:t>) is the most dramatic</w:t>
      </w:r>
      <w:r w:rsidR="00980148" w:rsidRPr="008608AA">
        <w:rPr>
          <w:rFonts w:eastAsia="Calibri"/>
        </w:rPr>
        <w:t xml:space="preserve"> change (Rockström et al., 2009;</w:t>
      </w:r>
      <w:r w:rsidRPr="008608AA">
        <w:rPr>
          <w:rFonts w:eastAsia="Calibri"/>
        </w:rPr>
        <w:t xml:space="preserve"> Jia </w:t>
      </w:r>
      <w:r w:rsidR="00474EDF" w:rsidRPr="008608AA">
        <w:rPr>
          <w:rFonts w:eastAsia="Calibri"/>
        </w:rPr>
        <w:t>et al.,</w:t>
      </w:r>
      <w:r w:rsidRPr="008608AA">
        <w:rPr>
          <w:rFonts w:eastAsia="Calibri"/>
        </w:rPr>
        <w:t xml:space="preserve"> 2016). Nitrogen is central to ecosystem productivity (LeBauer </w:t>
      </w:r>
      <w:r w:rsidR="00980148" w:rsidRPr="008608AA">
        <w:rPr>
          <w:rFonts w:eastAsia="Calibri"/>
        </w:rPr>
        <w:t>&amp;</w:t>
      </w:r>
      <w:r w:rsidRPr="008608AA">
        <w:rPr>
          <w:rFonts w:eastAsia="Calibri"/>
        </w:rPr>
        <w:t xml:space="preserve"> Treseder</w:t>
      </w:r>
      <w:r w:rsidR="00980148" w:rsidRPr="008608AA">
        <w:rPr>
          <w:rFonts w:eastAsia="Calibri"/>
        </w:rPr>
        <w:t>,</w:t>
      </w:r>
      <w:r w:rsidRPr="008608AA">
        <w:rPr>
          <w:rFonts w:eastAsia="Calibri"/>
        </w:rPr>
        <w:t xml:space="preserve"> 2008; Elser et al., 2009). In terrestrial systems, direct toxicity of nitrogen gases, ozone and aerosols, increased nitrogen availability, soil-dependent acidification, and secondary stress and disturbance, are ecosystem- and site-specific impacts that can contribute to species composition changes and reduced plant d</w:t>
      </w:r>
      <w:r w:rsidR="00980148" w:rsidRPr="008608AA">
        <w:rPr>
          <w:rFonts w:eastAsia="Calibri"/>
        </w:rPr>
        <w:t>iversity (Valliere et al., 2017;</w:t>
      </w:r>
      <w:r w:rsidRPr="008608AA">
        <w:rPr>
          <w:rFonts w:eastAsia="Calibri"/>
        </w:rPr>
        <w:t xml:space="preserve"> Bobbink et al., 2010). Inorganic nitrogen fertilizer use releases reactive nitrogen to the atmosphere. In addition, concentrated animal feeding operations have emerged across the Americas. Animals (pigs, chickens, cows, fish and other animals) are confined, with large amounts of waste and ammonia produced. Applying this manure to agricultural fields can lead to pathogen and nutrient runoff into ground and surface waters. Increasing fossil fuel combustion, particularly coal burning for electricity, has also increased emissions of reactive nitr</w:t>
      </w:r>
      <w:r w:rsidR="00C16801" w:rsidRPr="008608AA">
        <w:rPr>
          <w:rFonts w:eastAsia="Calibri"/>
        </w:rPr>
        <w:t>ogen, including nitric oxide</w:t>
      </w:r>
      <w:r w:rsidR="00DD5D96" w:rsidRPr="008608AA">
        <w:rPr>
          <w:rFonts w:eastAsia="Calibri"/>
        </w:rPr>
        <w:t xml:space="preserve"> and ammonia, and sulfur dioxide</w:t>
      </w:r>
      <w:r w:rsidRPr="008608AA">
        <w:rPr>
          <w:rFonts w:eastAsia="Calibri"/>
        </w:rPr>
        <w:t>. Emissions from large portions of North America have increased by more than 1</w:t>
      </w:r>
      <w:r w:rsidR="00C2266F" w:rsidRPr="008608AA">
        <w:rPr>
          <w:rFonts w:eastAsia="Calibri"/>
        </w:rPr>
        <w:t>,</w:t>
      </w:r>
      <w:r w:rsidRPr="008608AA">
        <w:rPr>
          <w:rFonts w:eastAsia="Calibri"/>
        </w:rPr>
        <w:t>000% (van Aardenne et al., 2001).</w:t>
      </w:r>
    </w:p>
    <w:p w14:paraId="24641F97" w14:textId="77777777" w:rsidR="00D84807" w:rsidRPr="008608AA" w:rsidRDefault="00D84807" w:rsidP="00DE14EE">
      <w:pPr>
        <w:spacing w:before="120"/>
        <w:rPr>
          <w:rFonts w:eastAsia="Calibri"/>
        </w:rPr>
      </w:pPr>
    </w:p>
    <w:p w14:paraId="7576BA61" w14:textId="61BB1C9E" w:rsidR="00D84807" w:rsidRPr="008608AA" w:rsidRDefault="000D1D96" w:rsidP="00D84807">
      <w:pPr>
        <w:spacing w:before="120"/>
        <w:jc w:val="center"/>
        <w:rPr>
          <w:rFonts w:eastAsia="Calibri"/>
        </w:rPr>
      </w:pPr>
      <w:r w:rsidRPr="008608AA">
        <w:rPr>
          <w:rFonts w:eastAsia="Calibri"/>
          <w:noProof/>
          <w:lang w:val="en-GB" w:eastAsia="en-GB"/>
        </w:rPr>
        <w:drawing>
          <wp:inline distT="0" distB="0" distL="0" distR="0" wp14:anchorId="6672B68B" wp14:editId="2BE7E40F">
            <wp:extent cx="5934075" cy="8096250"/>
            <wp:effectExtent l="0" t="0" r="9525" b="0"/>
            <wp:docPr id="2094" name="Imagen 2094" descr="C:\Users\Alejandro Valderrama\Downloads\Fig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3" descr="C:\Users\Alejandro Valderrama\Downloads\Fig4.5.jpg"/>
                    <pic:cNvPicPr>
                      <a:picLocks noChangeAspect="1" noChangeArrowheads="1"/>
                    </pic:cNvPicPr>
                  </pic:nvPicPr>
                  <pic:blipFill rotWithShape="1">
                    <a:blip r:embed="rId979">
                      <a:extLst>
                        <a:ext uri="{28A0092B-C50C-407E-A947-70E740481C1C}">
                          <a14:useLocalDpi xmlns:a14="http://schemas.microsoft.com/office/drawing/2010/main" val="0"/>
                        </a:ext>
                      </a:extLst>
                    </a:blip>
                    <a:srcRect b="5346"/>
                    <a:stretch/>
                  </pic:blipFill>
                  <pic:spPr bwMode="auto">
                    <a:xfrm>
                      <a:off x="0" y="0"/>
                      <a:ext cx="5934075" cy="8096250"/>
                    </a:xfrm>
                    <a:prstGeom prst="rect">
                      <a:avLst/>
                    </a:prstGeom>
                    <a:noFill/>
                    <a:ln>
                      <a:noFill/>
                    </a:ln>
                    <a:extLst>
                      <a:ext uri="{53640926-AAD7-44D8-BBD7-CCE9431645EC}">
                        <a14:shadowObscured xmlns:a14="http://schemas.microsoft.com/office/drawing/2010/main"/>
                      </a:ext>
                    </a:extLst>
                  </pic:spPr>
                </pic:pic>
              </a:graphicData>
            </a:graphic>
          </wp:inline>
        </w:drawing>
      </w:r>
    </w:p>
    <w:p w14:paraId="42095A64" w14:textId="66D901BD" w:rsidR="001E61A6" w:rsidRPr="008608AA" w:rsidRDefault="001E61A6" w:rsidP="00D84807">
      <w:pPr>
        <w:spacing w:before="120"/>
        <w:rPr>
          <w:rFonts w:eastAsia="Calibri"/>
        </w:rPr>
      </w:pPr>
      <w:r w:rsidRPr="008608AA">
        <w:rPr>
          <w:rFonts w:eastAsia="Calibri"/>
        </w:rPr>
        <w:t xml:space="preserve">Nitrogen release can change ecosystem structure and function, affecting plant or microbial community composition, production, soil properties and susceptibility to fire or </w:t>
      </w:r>
      <w:r w:rsidR="00D07ADA" w:rsidRPr="008608AA">
        <w:rPr>
          <w:rFonts w:eastAsia="Calibri"/>
        </w:rPr>
        <w:t xml:space="preserve">disease (Porter et al., 2013). </w:t>
      </w:r>
      <w:r w:rsidRPr="008608AA">
        <w:rPr>
          <w:rFonts w:eastAsia="Calibri"/>
        </w:rPr>
        <w:t>These changes can affect recreation, drinking water quality, timber production, fisheries, wildlife viewing, climate stability, fire risk, and “non-use” values of intact, natural ecosystems (Compton et al., 2011). Runoff from agricultural fields, point sources of municipal waste (from human waste and manufacturing), and urban runoff, can transport nutrients and sediment to rivers and streams. This can increase nutrient (</w:t>
      </w:r>
      <w:r w:rsidR="00C16801" w:rsidRPr="008608AA">
        <w:rPr>
          <w:rFonts w:eastAsia="Calibri"/>
        </w:rPr>
        <w:t>phosphorus, nitrogen, and c</w:t>
      </w:r>
      <w:r w:rsidRPr="008608AA">
        <w:rPr>
          <w:rFonts w:eastAsia="Calibri"/>
        </w:rPr>
        <w:t>arbon) concentrations and promote algal and aquatic vegetation growth causing eutrophication (</w:t>
      </w:r>
      <w:r w:rsidR="00DE14EE" w:rsidRPr="008608AA">
        <w:t>Box 4.17</w:t>
      </w:r>
      <w:r w:rsidR="00DE14EE" w:rsidRPr="008608AA">
        <w:rPr>
          <w:rFonts w:eastAsia="Calibri"/>
        </w:rPr>
        <w:t xml:space="preserve"> and </w:t>
      </w:r>
      <w:r w:rsidR="00165F74" w:rsidRPr="008608AA">
        <w:t>Box 4.20</w:t>
      </w:r>
      <w:r w:rsidRPr="008608AA">
        <w:rPr>
          <w:rFonts w:eastAsia="Calibri"/>
        </w:rPr>
        <w:t>). In aquatic eutrophication, high levels of organic matter from fertilizer and sediment run-off, and organisms decomposing it, deplete water oxygen, killing organisms including fish. It can also shift primary producer communities, alter species composition and decrease plant diversity (</w:t>
      </w:r>
      <w:r w:rsidR="00B63B60" w:rsidRPr="008608AA">
        <w:t>Box 4.17</w:t>
      </w:r>
      <w:r w:rsidRPr="008608AA">
        <w:rPr>
          <w:rFonts w:eastAsia="Calibri"/>
        </w:rPr>
        <w:t xml:space="preserve">). Increased organic matter can also affect drinking water suitability and cause algal blooms that release toxins (Bushaw-Newton </w:t>
      </w:r>
      <w:r w:rsidR="00980148" w:rsidRPr="008608AA">
        <w:rPr>
          <w:rFonts w:eastAsia="Calibri"/>
        </w:rPr>
        <w:t>&amp;</w:t>
      </w:r>
      <w:r w:rsidRPr="008608AA">
        <w:rPr>
          <w:rFonts w:eastAsia="Calibri"/>
        </w:rPr>
        <w:t xml:space="preserve"> Sellner</w:t>
      </w:r>
      <w:r w:rsidR="00980148" w:rsidRPr="008608AA">
        <w:rPr>
          <w:rFonts w:eastAsia="Calibri"/>
        </w:rPr>
        <w:t>, 1999; Lopez et al., 2008;</w:t>
      </w:r>
      <w:r w:rsidRPr="008608AA">
        <w:rPr>
          <w:rFonts w:eastAsia="Calibri"/>
        </w:rPr>
        <w:t xml:space="preserve"> Michalak</w:t>
      </w:r>
      <w:r w:rsidR="00980148" w:rsidRPr="008608AA">
        <w:rPr>
          <w:rFonts w:eastAsia="Calibri"/>
        </w:rPr>
        <w:t>, 2015;</w:t>
      </w:r>
      <w:r w:rsidRPr="008608AA">
        <w:rPr>
          <w:rFonts w:eastAsia="Calibri"/>
        </w:rPr>
        <w:t xml:space="preserve"> Glibert et al., 2006). Urea from fertilizer is also associated with increased paralytic shellfish poisoning along Americas coasts (Glibert et al., </w:t>
      </w:r>
      <w:r w:rsidR="00980148" w:rsidRPr="008608AA">
        <w:rPr>
          <w:rFonts w:eastAsia="Calibri"/>
        </w:rPr>
        <w:t>2006;</w:t>
      </w:r>
      <w:r w:rsidRPr="008608AA">
        <w:rPr>
          <w:rFonts w:eastAsia="Calibri"/>
        </w:rPr>
        <w:t xml:space="preserve"> Glibert</w:t>
      </w:r>
      <w:r w:rsidR="00980148" w:rsidRPr="008608AA">
        <w:rPr>
          <w:rFonts w:eastAsia="Calibri"/>
        </w:rPr>
        <w:t>,</w:t>
      </w:r>
      <w:r w:rsidRPr="008608AA">
        <w:rPr>
          <w:rFonts w:eastAsia="Calibri"/>
        </w:rPr>
        <w:t xml:space="preserve"> 2017).  These nutrient flows increase as per capita GDP, food crop and meat and milk production increase (</w:t>
      </w:r>
      <w:r w:rsidR="00B63B60" w:rsidRPr="008608AA">
        <w:rPr>
          <w:rFonts w:eastAsia="Calibri"/>
        </w:rPr>
        <w:t>Figure 4.6)</w:t>
      </w:r>
      <w:r w:rsidRPr="008608AA">
        <w:rPr>
          <w:rFonts w:eastAsia="Calibri"/>
        </w:rPr>
        <w:t xml:space="preserve">. </w:t>
      </w:r>
    </w:p>
    <w:p w14:paraId="2E249C15" w14:textId="656B8070" w:rsidR="00D84807" w:rsidRPr="008608AA" w:rsidRDefault="000D1D96" w:rsidP="00D84807">
      <w:pPr>
        <w:spacing w:before="120"/>
        <w:jc w:val="center"/>
        <w:rPr>
          <w:rFonts w:eastAsia="Calibri"/>
        </w:rPr>
      </w:pPr>
      <w:r w:rsidRPr="008608AA">
        <w:rPr>
          <w:rFonts w:eastAsia="Calibri"/>
          <w:noProof/>
          <w:lang w:val="en-GB" w:eastAsia="en-GB"/>
        </w:rPr>
        <w:drawing>
          <wp:inline distT="0" distB="0" distL="0" distR="0" wp14:anchorId="1FD2E6C6" wp14:editId="1EBDA8CC">
            <wp:extent cx="5934075" cy="6524625"/>
            <wp:effectExtent l="0" t="0" r="9525" b="9525"/>
            <wp:docPr id="2095" name="Imagen 2095" descr="C:\Users\Alejandro Valderrama\Downloads\Fi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5" descr="C:\Users\Alejandro Valderrama\Downloads\Fig4.6.jpg"/>
                    <pic:cNvPicPr>
                      <a:picLocks noChangeAspect="1" noChangeArrowheads="1"/>
                    </pic:cNvPicPr>
                  </pic:nvPicPr>
                  <pic:blipFill rotWithShape="1">
                    <a:blip r:embed="rId980">
                      <a:extLst>
                        <a:ext uri="{28A0092B-C50C-407E-A947-70E740481C1C}">
                          <a14:useLocalDpi xmlns:a14="http://schemas.microsoft.com/office/drawing/2010/main" val="0"/>
                        </a:ext>
                      </a:extLst>
                    </a:blip>
                    <a:srcRect b="23719"/>
                    <a:stretch/>
                  </pic:blipFill>
                  <pic:spPr bwMode="auto">
                    <a:xfrm>
                      <a:off x="0" y="0"/>
                      <a:ext cx="5934075" cy="6524625"/>
                    </a:xfrm>
                    <a:prstGeom prst="rect">
                      <a:avLst/>
                    </a:prstGeom>
                    <a:noFill/>
                    <a:ln>
                      <a:noFill/>
                    </a:ln>
                    <a:extLst>
                      <a:ext uri="{53640926-AAD7-44D8-BBD7-CCE9431645EC}">
                        <a14:shadowObscured xmlns:a14="http://schemas.microsoft.com/office/drawing/2010/main"/>
                      </a:ext>
                    </a:extLst>
                  </pic:spPr>
                </pic:pic>
              </a:graphicData>
            </a:graphic>
          </wp:inline>
        </w:drawing>
      </w:r>
    </w:p>
    <w:p w14:paraId="319F1763" w14:textId="77777777" w:rsidR="001E61A6" w:rsidRPr="008608AA" w:rsidRDefault="001E61A6" w:rsidP="00D84807">
      <w:pPr>
        <w:spacing w:before="120"/>
        <w:rPr>
          <w:rFonts w:eastAsia="Calibri"/>
        </w:rPr>
      </w:pPr>
      <w:r w:rsidRPr="008608AA">
        <w:rPr>
          <w:rFonts w:eastAsia="Calibri"/>
        </w:rPr>
        <w:t>Rivers and streams naturally carry some uncontaminated sediment. However, increased land disturbance, primarily from agriculture and urbanization, can mobilize excessive amounts of fine sediment into streams. Excessive sedimentation can directly harm organisms. With mussels, for example, it buries adults and juveniles or interrupts respiration or feeding.  In rivers, suspended sediments and sediment deposits may also bury eggs, displace host fish, or disrupt host fish/mussel interactions leading to declines of some species.  Excessive sediment may also block light penetration into water, reducing primary production and causing the need for river channel dredging for ship traffic. Conversely, on many major rivers, dams for hydroelectric power and irrigation water have reduced river sediment loads. Lack of sediment can reduce habitat, excessively scour river channels and banks, and cause losses of coastal wetlands that depend upon a steady sediment supply (Morang et al., 2013).</w:t>
      </w:r>
    </w:p>
    <w:p w14:paraId="3F510F9A" w14:textId="77777777" w:rsidR="001E61A6" w:rsidRPr="008608AA" w:rsidRDefault="001E61A6" w:rsidP="009C39CE">
      <w:pPr>
        <w:keepNext/>
        <w:keepLines/>
        <w:spacing w:before="120"/>
        <w:outlineLvl w:val="3"/>
        <w:rPr>
          <w:rFonts w:eastAsia="Calibri"/>
          <w:b/>
          <w:bCs/>
          <w:iCs/>
        </w:rPr>
      </w:pPr>
      <w:bookmarkStart w:id="1521" w:name="_Toc517393350"/>
      <w:bookmarkStart w:id="1522" w:name="_Toc517394407"/>
      <w:bookmarkStart w:id="1523" w:name="_Toc517719091"/>
      <w:bookmarkStart w:id="1524" w:name="_Toc517797048"/>
      <w:r w:rsidRPr="008608AA">
        <w:rPr>
          <w:rFonts w:eastAsia="Calibri"/>
          <w:b/>
          <w:bCs/>
          <w:iCs/>
        </w:rPr>
        <w:t>Toxicants</w:t>
      </w:r>
      <w:bookmarkEnd w:id="1521"/>
      <w:bookmarkEnd w:id="1522"/>
      <w:bookmarkEnd w:id="1523"/>
      <w:bookmarkEnd w:id="1524"/>
    </w:p>
    <w:p w14:paraId="23D04A3C" w14:textId="5E3A801F" w:rsidR="001E61A6" w:rsidRPr="008608AA" w:rsidRDefault="001E61A6" w:rsidP="00D84807">
      <w:pPr>
        <w:spacing w:before="120"/>
        <w:rPr>
          <w:rFonts w:eastAsia="Calibri"/>
        </w:rPr>
      </w:pPr>
      <w:r w:rsidRPr="008608AA">
        <w:rPr>
          <w:rFonts w:eastAsia="Calibri"/>
        </w:rPr>
        <w:t>Ecosystems throughout the world have experienced low-level exposure to many different tox</w:t>
      </w:r>
      <w:r w:rsidR="005D6F7E" w:rsidRPr="008608AA">
        <w:rPr>
          <w:rFonts w:eastAsia="Calibri"/>
        </w:rPr>
        <w:t>icants due to human activities.</w:t>
      </w:r>
      <w:r w:rsidRPr="008608AA">
        <w:rPr>
          <w:rFonts w:eastAsia="Calibri"/>
        </w:rPr>
        <w:t xml:space="preserve"> Low-level exposure to toxicants may occur via a</w:t>
      </w:r>
      <w:r w:rsidR="005D6F7E" w:rsidRPr="008608AA">
        <w:rPr>
          <w:rFonts w:eastAsia="Calibri"/>
        </w:rPr>
        <w:t xml:space="preserve">ir (e.g. </w:t>
      </w:r>
      <w:r w:rsidRPr="008608AA">
        <w:rPr>
          <w:rFonts w:eastAsia="Calibri"/>
        </w:rPr>
        <w:t>t</w:t>
      </w:r>
      <w:r w:rsidR="005D6F7E" w:rsidRPr="008608AA">
        <w:rPr>
          <w:rFonts w:eastAsia="Calibri"/>
        </w:rPr>
        <w:t>ropospheric ozone), water (e.g.</w:t>
      </w:r>
      <w:r w:rsidRPr="008608AA">
        <w:rPr>
          <w:rFonts w:eastAsia="Calibri"/>
        </w:rPr>
        <w:t xml:space="preserve"> trace metals, methyl mercury, pharmaceut</w:t>
      </w:r>
      <w:r w:rsidR="005D6F7E" w:rsidRPr="008608AA">
        <w:rPr>
          <w:rFonts w:eastAsia="Calibri"/>
        </w:rPr>
        <w:t>icals), soil or sediments (e.g.</w:t>
      </w:r>
      <w:r w:rsidRPr="008608AA">
        <w:rPr>
          <w:rFonts w:eastAsia="Calibri"/>
        </w:rPr>
        <w:t xml:space="preserve"> lead, polycyclic aromatic hydrocarbons), or food (pesticides, microplastics, bioaccumulative toxics). Toxicants released to the air are disseminated the longest distances and affect the most species.</w:t>
      </w:r>
    </w:p>
    <w:p w14:paraId="08BC979F" w14:textId="38D5FF6E" w:rsidR="001E61A6" w:rsidRPr="008608AA" w:rsidRDefault="001E61A6" w:rsidP="00D84807">
      <w:pPr>
        <w:spacing w:before="120"/>
        <w:rPr>
          <w:rFonts w:eastAsia="Calibri"/>
        </w:rPr>
      </w:pPr>
      <w:r w:rsidRPr="008608AA">
        <w:rPr>
          <w:rFonts w:eastAsia="Calibri"/>
        </w:rPr>
        <w:t>Because biota experience toxicants in combination with other stressors (water stress, altered thermal regime, habitat destruction, etc.), toxicant effects are often difficult to ascertain. Much evidence of the adverse effects of low-level toxicant exposure on biodiversity is in the literature on point sources of tra</w:t>
      </w:r>
      <w:r w:rsidR="00D07ADA" w:rsidRPr="008608AA">
        <w:rPr>
          <w:rFonts w:eastAsia="Calibri"/>
        </w:rPr>
        <w:t xml:space="preserve">ce metals to aquatic habitats. </w:t>
      </w:r>
      <w:r w:rsidRPr="008608AA">
        <w:rPr>
          <w:rFonts w:eastAsia="Calibri"/>
        </w:rPr>
        <w:t xml:space="preserve">We have known since the 1980’s that changes in community composition occur at metal concentrations much lower than water quality criteria </w:t>
      </w:r>
      <w:r w:rsidRPr="008608AA">
        <w:rPr>
          <w:rFonts w:eastAsia="Calibri"/>
        </w:rPr>
        <w:fldChar w:fldCharType="begin" w:fldLock="1"/>
      </w:r>
      <w:r w:rsidRPr="008608AA">
        <w:rPr>
          <w:rFonts w:eastAsia="Calibri"/>
        </w:rPr>
        <w:instrText>ADDIN CSL_CITATION { "citationItems" : [ { "id" : "ITEM-1", "itemData" : { "ISSN" : "07307268", "abstract" : "The effects of copper on aquatic insect communities were examined using rock-filled trays colonized in the field for 30 d, transferred to laboratory streams, and dosed with CuSO4. Each stream was randomly assigned to one of three treatments: control (0 &amp;micro;g/L), low dose (15-32 &amp;micro;g/L), and high dose (135-178 &amp;micro;g/L). Experiments were replicated over three seasons. Exposure to copper for 96 h significantly reduced both the total number of individuals and number of taxa during each season, with greatest effects observed in summer. Owing to differences in sensitivity to copper, the percent composition of dominant orders of aquatic insects varied among treatments. The relative abundance of Ephemeroptera decreased in treated streams during each season. The response of other aquatic insects, including Diptera and Plecoptera, varied between seasons, but these groups were generally less sensitive to copper exposure. These results indicate that the artificial substrates employed in this study are amenable to experimental manipulation and will provide a unique opportunity to examine the community responses of aquatic insects to toxicants under environmentally realistic conditions.", "author" : [ { "dropping-particle" : "", "family" : "Clements", "given" : "William H", "non-dropping-particle" : "", "parse-names" : false, "suffix" : "" }, { "dropping-particle" : "", "family" : "Cherry", "given" : "Donald S", "non-dropping-particle" : "", "parse-names" : false, "suffix" : "" }, { "dropping-particle" : "", "family" : "Cairns", "given" : "John", "non-dropping-particle" : "", "parse-names" : false, "suffix" : "" } ], "container-title" : "Environmental Toxicology and Chemistry", "id" : "ITEM-1", "issued" : { "date-parts" : [ [ "1988" ] ] }, "page" : "715\u2013722", "title" : "Structural alterations in aquatic insect communities exposed to copper in laboratory streams", "type" : "article-journal", "volume" : "7" }, "uris" : [ "http://www.mendeley.com/documents/?uuid=a1d744ad-a979-4032-9863-7533480c2cc9" ] }, { "id" : "ITEM-2", "itemData" : { "DOI" : "10.1890/1051-0761(2000)010[0626:HMSBCI]2.0.CO;2", "ISBN" : "1051-0761", "ISSN" : "10510761", "abstract" : "The development of field sampling designs that employ multiple reference and polluted sites has been proposed as an alternative to the traditional upstream vs. down- stream approach used in most biomonitoring studies. Spatially extensive monitoring pro- grams can characterize ecological conditions within an ecoregion and provide the necessary background information to evaluate future changes in water quality. We measured physi- cochemical characteristics, heavy-metal concentrations, and benthic macroinvertebrate com- munity structure at 95 sites in the Southern Rocky Mountain ecoregion in Colorado, USA. Most sites (82%) were selected using a systematic, randomized sampling design. Each site was placed into one of four metal categories (background, low, medium, and high metals), based on the cumulative criterion unit (CCU), which we defined as the ratio of the instream metal concentration to the U.S. Environmental Protection Agency criterion concentration, summed for all metals measured. A CCU of 1.0 represents a conservative estimate of the total metal concentration that, when exceeded, is likely to cause harm to aquatic organisms. Although the CCU was less than 2.0 at most (66.3%) of the sites, values exceeded 10.0 at 13 highly polluted stations. Differences among metal categories were highly significant for most measures of macroinvertebrate abundance and all measures of species richness. We observed the greatest effects on several species of heptageniid mayflies (Ephemeroptera: Heptageniidae), which were highly sensitive to heavy metals and were reduced by ?75% at moderately polluted stations. The influence of taxonomic aggregation on responses to metals was also greatest for mayflies. In general, total abundance of mayflies and abundance of heptageniids were better indicators of metal pollution than abundance of dominant mayfly taxa. We used stepwise multiple-regression analyses to investigate the relationship between benthic community measures and physicochemical characteristics at the 78 randomly se- lected sites. Heavy-metal concentration was the most important predictor of benthic com- munity structure at these sites. Because of the ubiquitous distribution of heavy-metal pol- lution in the Southern Rocky Mountain ecoregion, we conclude that potential effects of heavy metals should be considered when investigating large-scale spatial patterns of benthic macroinvertebrate communities in Colorado\u2019s mountain streams.", "author" : [ { "dropping-particle" : "", "family" : "Clements", "given" : "William H.", "non-dropping-particle" : "", "parse-names" : false, "suffix" : "" }, { "dropping-particle" : "", "family" : "Carlisle", "given" : "Daren M.", "non-dropping-particle" : "", "parse-names" : false, "suffix" : "" }, { "dropping-particle" : "", "family" : "Lazorchak", "given" : "James M.", "non-dropping-particle" : "", "parse-names" : false, "suffix" : "" }, { "dropping-particle" : "", "family" : "Johnson", "given" : "Philip C.", "non-dropping-particle" : "", "parse-names" : false, "suffix" : "" } ], "container-title" : "Ecological Applications", "id" : "ITEM-2", "issue" : "2", "issued" : { "date-parts" : [ [ "2000" ] ] }, "page" : "626-638", "title" : "Heavy metals structure benthic communities in Colorado mountain streams", "type" : "article-journal", "volume" : "10" }, "uris" : [ "http://www.mendeley.com/documents/?uuid=0e84202e-b041-41ce-8f29-df27fedeb679" ] }, { "id" : "ITEM-3", "itemData" : { "DOI" : "10.1021/es401255h", "ISBN" : "0013-936X", "ISSN" : "0013936X", "PMID" : "23734565", "abstract" : "Field surveys of metal-contaminated streams suggest that some aquatic insects, particularly mayflies (Ephemeroptera) and stoneflies (Plecoptera), are highly sensitive to metals. However, results of single species toxicity tests indicate these organisms are quite tolerant, with LC50 values often several orders of magnitude greater than those obtained using standard test organisms (e.g., cladocerans and fathead minnows). Reconciling these differences is a critical research need, particularly since water quality criteria for metals are based primarily on results of single species toxicity tests. In this research we provide evidence based on community-level microcosm experiments to support the hypothesis that some aquatic insects are highly sensitive to metals. We present results of three experiments that quantified effects of Cu and Zn, alone and in combination, on stream insect communities. EC50 values, defined as the metal concentration that reduced abundance of aquatic insects by 50%, were several orders of magnitude lower than previously published values obtained from single species tests. We hypothesize that the short duration of laboratory toxicity tests and the failure to evaluate effects of metals on sensitive early life stages are the primary factors responsible for unrealistically high LC50 values in the literature. We also observed that Cu alone was significantly more toxic to aquatic insects than the combination of Cu and Zn, despite the fact that exposure concentrations represented theoretically similar toxicity levels. Our results suggest that water quality criteria for Zn were protective of most aquatic insects, whereas Cu was highly toxic to some species at concentrations near water quality criteria. Because of the functional significance of aquatic insects in stream ecosystems and their well-established importance as indicators of water quality, reconciling differences between field and laboratory responses and understanding the mechanisms responsible for variation in sensitivity among metals and metal mixtures is of critical importance.", "author" : [ { "dropping-particle" : "", "family" : "Clements", "given" : "William H.", "non-dropping-particle" : "", "parse-names" : false, "suffix" : "" }, { "dropping-particle" : "", "family" : "Cadmus", "given" : "Pete", "non-dropping-particle" : "", "parse-names" : false, "suffix" : "" }, { "dropping-particle" : "", "family" : "Brinkman", "given" : "Stephen F.", "non-dropping-particle" : "", "parse-names" : false, "suffix" : "" } ], "container-title" : "Environmental Science and Technology", "id" : "ITEM-3", "issue" : "13", "issued" : { "date-parts" : [ [ "2013" ] ] }, "page" : "7506-7513", "title" : "Responses of aquatic insects to Cu and Zn in stream microcosms: Understanding differences between single species tests and field responses", "type" : "article-journal", "volume" : "47" }, "uris" : [ "http://www.mendeley.com/documents/?uuid=5c068a12-4540-4384-9667-730e2879ea76" ] } ], "mendeley" : { "formattedCitation" : "(Clements et al. 1988, 2000, 2013)", "plainTextFormattedCitation" : "(Clements et al. 1988, 2000, 2013)", "previouslyFormattedCitation" : "(Clements et al. 1988, 2000, 2013)" }, "properties" : { "noteIndex" : 0 }, "schema" : "https://github.com/citation-style-language/schema/raw/master/csl-citation.json" }</w:instrText>
      </w:r>
      <w:r w:rsidRPr="008608AA">
        <w:rPr>
          <w:rFonts w:eastAsia="Calibri"/>
        </w:rPr>
        <w:fldChar w:fldCharType="separate"/>
      </w:r>
      <w:r w:rsidRPr="008608AA">
        <w:rPr>
          <w:rFonts w:eastAsia="Calibri"/>
        </w:rPr>
        <w:t>(Clements et al., 1988, 2000, 2013)</w:t>
      </w:r>
      <w:r w:rsidRPr="008608AA">
        <w:rPr>
          <w:rFonts w:eastAsia="Calibri"/>
        </w:rPr>
        <w:fldChar w:fldCharType="end"/>
      </w:r>
      <w:r w:rsidR="0059409D" w:rsidRPr="008608AA">
        <w:rPr>
          <w:rFonts w:eastAsia="Calibri"/>
        </w:rPr>
        <w:t>.</w:t>
      </w:r>
      <w:r w:rsidRPr="008608AA">
        <w:rPr>
          <w:rFonts w:eastAsia="Calibri"/>
        </w:rPr>
        <w:t xml:space="preserve"> Restoration of streams contaminated by mine drainage is often unsuccessful because the sediments have accumulated trace metals that continue low-level exposure sufficient to inhibit numerous bottom-dwelling organisms </w:t>
      </w:r>
      <w:r w:rsidRPr="008608AA">
        <w:rPr>
          <w:rFonts w:eastAsia="Calibri"/>
        </w:rPr>
        <w:fldChar w:fldCharType="begin" w:fldLock="1"/>
      </w:r>
      <w:r w:rsidRPr="008608AA">
        <w:rPr>
          <w:rFonts w:eastAsia="Calibri"/>
        </w:rPr>
        <w:instrText>ADDIN CSL_CITATION { "citationItems" : [ { "id" : "ITEM-1", "itemData" : { "DOI" : "10.1111/j.1365-2664.2010.01838.x", "ISBN" : "00218901\\n13652664", "ISSN" : "00218901", "abstract" : "1. Evaluating the effectiveness of stream restoration is often challenging because of the lack of pre-treatment data, narrow focus on physicochemical measures and insufficient post-restoration monitoring. Even when these fundamental elements are present, quantifying restoration success is difficult because of the challenges associated with distinguishing treatment effects from seasonal variation, episodic events and long-term climatic changes. 2. Wereport results of one of themost comprehensive and continuous records of physical, chemical and biological data available to assess restoration success for a streamecosysteminNorthAmerica. Over a 17 year period we measured seasonal and annual changes in metal concentrations, physicochemical characteristics, macroinvertebrate communities, and brown trout Salmo trutta populations in the Arkansas River, ametal-contaminated streaminColorado,USA. 3. Although we observed significant improvements in water quality after treatment, the effective- ness of restoration varied temporally, spatially andamong biological response variables.The fastest recovery was observed at stations where restoration eliminated point sources of metal contamina- tion. Recovery of macroinvertebrates was significantly delayed at some stations because of residual sediment contamination and because extreme seasonal and episodic variation in metal concentra- tions prevented recolonization by sensitive species. 4. Synthesis and applications. Because recovery trajectories after the removal of a stressor are often complex or nonlinear, long-term studies are necessary to assess restoration success within the con- text of episodic events and changes in regional climate. The observed variation in recovery among chemical and biological endpoints highlights the importance of developing objective criteria to assess restoration success. Although the rapid response of macroinvertebrates to reduced metal concentrations is encouraging, we have previously demonstrated that benthic communities from the Arkansas River remained susceptible to other novel anthropogenic stressors. We suggest that the resistance or resilience of benthic macroinvertebrate communities to novel stressors may be effective indicators of restoration success that can account for the non-additive (e.g. synergistic) nat- ure of compound perturbations.", "author" : [ { "dropping-particle" : "", "family" : "Clements", "given" : "William H.", "non-dropping-particle" : "", "parse-names" : false, "suffix" : "" }, { "dropping-particle" : "", "family" : "Vieira", "given" : "N. K M", "non-dropping-particle" : "", "parse-names" : false, "suffix" : "" }, { "dropping-particle" : "", "family" : "Church", "given" : "Stanley E.", "non-dropping-particle" : "", "parse-names" : false, "suffix" : "" } ], "container-title" : "Journal of Applied Ecology", "id" : "ITEM-1", "issue" : "4", "issued" : { "date-parts" : [ [ "2010" ] ] }, "page" : "899-910", "title" : "Quantifying restoration success and recovery in a metal-polluted stream: A 17-year assessment of physicochemical and biological responses", "type" : "article-journal", "volume" : "47" }, "uris" : [ "http://www.mendeley.com/documents/?uuid=64d93a5a-6a3b-4b74-b1da-0eb2b4988863" ] }, { "id" : "ITEM-2", "itemData" : { "DOI" : "10.1899/09-133.1", "ISBN" : "0887-3593", "ISSN" : "0887-3593", "abstract" : "Ecological thresholds have been applied conventionally to characterize relationships between stressors and biological responses. We demonstrated how ecological thresholds can be used to assess recovery in a system where stressors have been removed. We applied a relatively new statistical approach, the significant zero crossings (SiZer) model, which approximates a response function and its derivatives and then shows how these functions vary across the range of an explanatory variable. We applied the model to a long-term macroinvertebrate data set collected from the Arkansas River, a Colorado stream undergoing restoration from historical mining pollution. SiZer analysis identified distinct threshold responses of benthic communities through time and related these shifts to improvements in water quality. With respect to restoration success, a recovery threshold was observed similar to 10 y after clean up was initiated. Recovery trajectories in the Arkansas River were relatively complex, with multiple thresholds, and these responses were strongly influenced by temporal variation in heavy metal concentrations and stream discharge. A unique aspect of SiZer is that it easily handles multiple thresholds and displays significant change points along a predictor variable graphically. In addition, SiZer allows investigators to examine potential thresholds at different levels of resolution and provides a transparent representation of the threshold and how it responds to variability of the data.", "author" : [ { "dropping-particle" : "", "family" : "Clements", "given" : "William H.", "non-dropping-particle" : "", "parse-names" : false, "suffix" : "" }, { "dropping-particle" : "", "family" : "Vieira", "given" : "Nicole K. M.", "non-dropping-particle" : "", "parse-names" : false, "suffix" : "" }, { "dropping-particle" : "", "family" : "Sonderegger", "given" : "Derek L.", "non-dropping-particle" : "", "parse-names" : false, "suffix" : "" } ], "container-title" : "Journal of the North American Benthological Society", "id" : "ITEM-2", "issue" : "3", "issued" : { "date-parts" : [ [ "2010" ] ] }, "page" : "1017-1023", "title" : "Use of ecological thresholds to assess recovery in lotic ecosystems", "type" : "article-journal", "volume" : "29" }, "uris" : [ "http://www.mendeley.com/documents/?uuid=a3d8b905-06a6-4b99-b9e4-37b288673b26" ] } ], "mendeley" : { "formattedCitation" : "(Clements et al. 2010&lt;i&gt;a&lt;/i&gt;, &lt;i&gt;b&lt;/i&gt;)", "plainTextFormattedCitation" : "(Clements et al. 2010a, b)", "previouslyFormattedCitation" : "(Clements et al. 2010&lt;i&gt;a&lt;/i&gt;, &lt;i&gt;b&lt;/i&gt;)" }, "properties" : { "noteIndex" : 0 }, "schema" : "https://github.com/citation-style-language/schema/raw/master/csl-citation.json" }</w:instrText>
      </w:r>
      <w:r w:rsidRPr="008608AA">
        <w:rPr>
          <w:rFonts w:eastAsia="Calibri"/>
        </w:rPr>
        <w:fldChar w:fldCharType="separate"/>
      </w:r>
      <w:r w:rsidRPr="008608AA">
        <w:rPr>
          <w:rFonts w:eastAsia="Calibri"/>
        </w:rPr>
        <w:t>(Clements et al., 2010a, b)</w:t>
      </w:r>
      <w:r w:rsidRPr="008608AA">
        <w:rPr>
          <w:rFonts w:eastAsia="Calibri"/>
        </w:rPr>
        <w:fldChar w:fldCharType="end"/>
      </w:r>
      <w:r w:rsidRPr="008608AA">
        <w:rPr>
          <w:rFonts w:eastAsia="Calibri"/>
        </w:rPr>
        <w:t>.  Metal concentrations below the chronic toxicity values on which water quality criteria are based can inhibit impo</w:t>
      </w:r>
      <w:r w:rsidR="005D6F7E" w:rsidRPr="008608AA">
        <w:rPr>
          <w:rFonts w:eastAsia="Calibri"/>
        </w:rPr>
        <w:t>rtant ecosystem functions (e.g.</w:t>
      </w:r>
      <w:r w:rsidRPr="008608AA">
        <w:rPr>
          <w:rFonts w:eastAsia="Calibri"/>
        </w:rPr>
        <w:t xml:space="preserve"> photosynthesis) </w:t>
      </w:r>
      <w:r w:rsidRPr="008608AA">
        <w:rPr>
          <w:rFonts w:eastAsia="Calibri"/>
        </w:rPr>
        <w:fldChar w:fldCharType="begin" w:fldLock="1"/>
      </w:r>
      <w:r w:rsidRPr="008608AA">
        <w:rPr>
          <w:rFonts w:eastAsia="Calibri"/>
        </w:rPr>
        <w:instrText>ADDIN CSL_CITATION { "citationItems" : [ { "id" : "ITEM-1", "itemData" : { "DOI" : "10.1016/S0380-1330(04)70389-5", "ISBN" : "0380-1330", "ISSN" : "03801330", "abstract" : "Relatively high and constant concentrations of total dissolved Cu (\u00bb12 nM) throughout the surface water of Lake Superior and lower yet more variable concentrations of total dissolved Mn (\u00bb1 nM) present the scenario wherein Cu may inhibit primary productivity by reducing Mn uptake by phytoplankton. Cu enrichment experiments were conducted in the field on water sampled from pelagic and coastal stations in western Lake Superior. Phytoplankton collected from near the metalimnetic chlorophyll maximum in September 2000 and incubated at 15\u00b0C were sensitive to Cu enrichments as low as 5 nM, whereas phytoplankton from the same station and a coastal station sampled in May 2001 showed little Cu sensitivity. The lack of a marked response in May is attributed to the ambient 3\u00b0C water that slowed productivity. Laboratory experiments using the chlorophyte Chlorella and the cyanobacterium Microcystis demonstrated the wide range in phylogenetic responses to a range of Cu2+ at levels of Mn2+ (0.08 and 4.8 nM) naturally present in the water column. Chlorella was resistant to Cu2+ at higher photon flux density (319 vs 54 \u00b5mol photons/m2/s), whereas Microcystis was sensitive to 0.1 nM Cu2+ at low and high irradiance regardless of the concentration of Mn2+. Chlorella growth was enhanced at higher Mn concentrations at both high and low light yet Microcystis growth was not affected by the different concentrations of Mn assayed. Cu was toxic for both organisms at a [Cu2+] = 0.1 nM at 54 \u00b5mol photons/m2/s, regardless of the [Mn2+]. These results suggest that light levels may play a role in determining phytoplankton response to Cu in Lake Superior.", "author" : [ { "dropping-particle" : "", "family" : "Twiss", "given" : "M R", "non-dropping-particle" : "", "parse-names" : false, "suffix" : "" }, { "dropping-particle" : "", "family" : "Rattan", "given" : "K J", "non-dropping-particle" : "", "parse-names" : false, "suffix" : "" }, { "dropping-particle" : "", "family" : "Sherrell", "given" : "R M", "non-dropping-particle" : "", "parse-names" : false, "suffix" : "" }, { "dropping-particle" : "", "family" : "McKay", "given" : "R M L", "non-dropping-particle" : "", "parse-names" : false, "suffix" : "" } ], "container-title" : "J. Great Lakes Res.", "id" : "ITEM-1", "issue" : "1", "issued" : { "date-parts" : [ [ "2004" ] ] }, "page" : "245-255", "title" : "Sensitivity of phytoplankton to copper in Lake Superior", "type" : "article-journal", "volume" : "30" }, "uris" : [ "http://www.mendeley.com/documents/?uuid=9ae1292b-fea6-4362-b6df-ce7681e13ce5" ] }, { "id" : "ITEM-2", "itemData" : { "DOI" : "10.3389/fmicb.2012.00204", "ISBN" : "1664-302X; 1664-302X", "ISSN" : "1664302X", "PMID" : "22701115", "abstract" : "In addition to control by major nutrient elements (nitrogen, phosphorus, and silicon) the productivity and species composition of marine phytoplankton communities are also regulated by a number of trace metal nutrients (iron, zinc, cobalt, manganese, copper, and cadmium). Of these, iron is most limiting to phytoplankton growth and has the greatest effect on algal species diversity. It also plays an important role in limiting di-nitrogen (N(2)) fixation rates, and thus is important in controlling ocean inventories of fixed nitrogen. Because of these effects, iron is thought to play a key role in regulating biological cycles of carbon and nitrogen in the ocean, including the biological transfer of carbon to the deep sea, the so-called biological CO(2) pump, which helps regulate atmospheric CO(2) and CO(2)-linked global warming. Other trace metal nutrients (zinc, cobalt, copper, and manganese) have lesser effects on productivity; but may exert an important influence on the species composition of algal communities because of large differences in metal requirements among species. The interactions between trace metals and ocean plankton are reciprocal: not only do the metals control the plankton, but the plankton regulate the distributions, chemical speciation, and cycling of these metals through cellular uptake and recycling processes, downward flux of biogenic particles, biological release of organic chelators, and mediation of redox reactions. This two way interaction has influenced not only the biology and chemistry of the modern ocean, but has had a profound influence on biogeochemistry of the ocean and earth system as a whole, and on the evolution of marine and terrestrial biology over geologic history.", "author" : [ { "dropping-particle" : "", "family" : "Sunda", "given" : "William G.", "non-dropping-particle" : "", "parse-names" : false, "suffix" : "" } ], "container-title" : "Frontiers in Microbiology", "id" : "ITEM-2", "issue" : "JUN", "issued" : { "date-parts" : [ [ "2012" ] ] }, "page" : "1-22", "title" : "Feedback interactions between trace metal nutrients and phytoplankton in the ocean", "type" : "article-journal", "volume" : "3" }, "uris" : [ "http://www.mendeley.com/documents/?uuid=496f0ed1-cdb8-48d5-a4a1-8d3050c6dcab" ] } ], "mendeley" : { "formattedCitation" : "(Twiss et al. 2004, Sunda 2012)", "plainTextFormattedCitation" : "(Twiss et al. 2004, Sunda 2012)", "previouslyFormattedCitation" : "(Twiss et al. 2004, Sunda 2012)" }, "properties" : { "noteIndex" : 0 }, "schema" : "https://github.com/citation-style-language/schema/raw/master/csl-citation.json" }</w:instrText>
      </w:r>
      <w:r w:rsidRPr="008608AA">
        <w:rPr>
          <w:rFonts w:eastAsia="Calibri"/>
        </w:rPr>
        <w:fldChar w:fldCharType="separate"/>
      </w:r>
      <w:r w:rsidR="0059409D" w:rsidRPr="008608AA">
        <w:rPr>
          <w:rFonts w:eastAsia="Calibri"/>
        </w:rPr>
        <w:t>(Twiss et al., 2004;</w:t>
      </w:r>
      <w:r w:rsidRPr="008608AA">
        <w:rPr>
          <w:rFonts w:eastAsia="Calibri"/>
        </w:rPr>
        <w:t xml:space="preserve"> Sunda</w:t>
      </w:r>
      <w:r w:rsidR="0059409D" w:rsidRPr="008608AA">
        <w:rPr>
          <w:rFonts w:eastAsia="Calibri"/>
        </w:rPr>
        <w:t>,</w:t>
      </w:r>
      <w:r w:rsidRPr="008608AA">
        <w:rPr>
          <w:rFonts w:eastAsia="Calibri"/>
        </w:rPr>
        <w:t xml:space="preserve"> 2012)</w:t>
      </w:r>
      <w:r w:rsidRPr="008608AA">
        <w:rPr>
          <w:rFonts w:eastAsia="Calibri"/>
        </w:rPr>
        <w:fldChar w:fldCharType="end"/>
      </w:r>
      <w:r w:rsidRPr="008608AA">
        <w:rPr>
          <w:rFonts w:eastAsia="Calibri"/>
        </w:rPr>
        <w:t xml:space="preserve">.  These effects of low-level exposure to toxicants are consistent with the observations that abrupt changes in community composition (loss of sensitive species, loss of functional groups, decreased abundance of some species and increases in others) occur at low levels of disturbance, including low levels of pollutants </w:t>
      </w:r>
      <w:r w:rsidRPr="008608AA">
        <w:rPr>
          <w:rFonts w:eastAsia="Calibri"/>
        </w:rPr>
        <w:fldChar w:fldCharType="begin" w:fldLock="1"/>
      </w:r>
      <w:r w:rsidRPr="008608AA">
        <w:rPr>
          <w:rFonts w:eastAsia="Calibri"/>
        </w:rPr>
        <w:instrText>ADDIN CSL_CITATION { "citationItems" : [ { "id" : "ITEM-1", "itemData" : { "DOI" : "10.1899/09-144.1", "ISBN" : "0887-3593", "ISSN" : "0887-3593", "abstract" : "The goal of this paper is to help managers better understand implications of using aggregate community metrics, such as taxon richness or Indices of Biotic Integrity (IBI), for detecting threshold responses to anthropogenic environmental gradients. To illustrate, we offer an alternative analytical approach, Threshold Indicator Taxa ANalysis (TITAN), geared toward identifying synchronous changes in the distribution of multiple taxa as evidence of an ecological community threshold. Our approach underscores the fundamental reality that which taxa are affected by stressors is important, both from a conservation standpoint and because taxon-specific life-history traits help us understand relevant mechanisms. First, we examine macroinvertebrate community response to an impervious cover gradient using a well-studied biomonitoring data set to show that representative community metrics are relatively insensitive to synchronous threshold declines of numerous individual taxa. We then reproduce these response relationships using a simulated community data set with similar properties to demonstrate that linear or wedge-shaped responses of community metrics to anthropogenic gradients can occur as an artifact of aggregating multiple taxa into a single value per sampling unit, despite strong nonlinearity in community response. Our findings do not repudiate the use of community metrics or multimetric indices, but they challenge assumptions that such metrics are capable of accurately reflecting community thresholds across a broad range of anthropogenic gradients. We recommend an alternative analysis framework that begins with characterization of the responses of individual taxa and uses aggregation only after distinguishing the magnitude, direction, and uncertainty in the responses of individual members of the community.", "author" : [ { "dropping-particle" : "", "family" : "King", "given" : "Ryan S.", "non-dropping-particle" : "", "parse-names" : false, "suffix" : "" }, { "dropping-particle" : "", "family" : "Baker", "given" : "Matthew E.", "non-dropping-particle" : "", "parse-names" : false, "suffix" : "" } ], "container-title" : "Journal of the North American Benthological Society", "id" : "ITEM-1", "issue" : "3", "issued" : { "date-parts" : [ [ "2010" ] ] }, "page" : "998-1008", "title" : "Considerations for analyzing ecological community thresholds in response to anthropogenic environmental gradients", "type" : "article-journal", "volume" : "29" }, "uris" : [ "http://www.mendeley.com/documents/?uuid=5a784aa8-626a-45f0-9d0e-3b87305204dd" ] }, { "id" : "ITEM-2", "itemData" : { "DOI" : "10.1899/09-148.1", "ISBN" : "0887-3593", "ISSN" : "0887-3593", "abstract" : "Nonlinear ecological responses to anthropogenic forcing are common, and in some cases, the ecosystem responds by assuming a new stable state. This article is an overview and serves as the introduction to several articles in this BRIDGES cluster that are directed toward managers interested in dealing with nonlinear responses in freshwaters, particularly streams. A threshold or breakpoint occurs where the system responds rapidly to a relatively small change in a driver. The existence of a threshold can signal a change in system configuration to an alternative stable state, although such a change does not occur with all thresholds. In general, a mechanistic understanding of ecological dynamics is required to predict thresholds, where they will occur, and if they are associated with the occurrence of alternative stable states. Thresholds are difficult to predict, although a variety of univariate methods has been used to indicate thresholds in ecological data. When we applied several methods to one type of response variable, the resulting threshold values varied 3-fold, indicating that more research on detection methods is necessary. Numerous case studies suggest that the threshold concept is important in all ecosystems. Managers should be aware that human actions might result in undesirable rapid changes and potentially an unwanted alternative stable state, and that recovery from that state might require far more resources and time than avoiding entering the state in the first place would have required. Given the difficulties in predicting thresholds and alternative states, the precautionary approach to ecosystem management is probably the most prudent.", "author" : [ { "dropping-particle" : "", "family" : "Dodds", "given" : "Walter K.", "non-dropping-particle" : "", "parse-names" : false, "suffix" : "" }, { "dropping-particle" : "", "family" : "Clements", "given" : "William H.", "non-dropping-particle" : "", "parse-names" : false, "suffix" : "" }, { "dropping-particle" : "", "family" : "Gido", "given" : "Keith", "non-dropping-particle" : "", "parse-names" : false, "suffix" : "" }, { "dropping-particle" : "", "family" : "Hilderbrand", "given" : "Robert H.", "non-dropping-particle" : "", "parse-names" : false, "suffix" : "" }, { "dropping-particle" : "", "family" : "King", "given" : "Ryan S.", "non-dropping-particle" : "", "parse-names" : false, "suffix" : "" } ], "container-title" : "Journal of the North American Benthological Society", "id" : "ITEM-2", "issue" : "3", "issued" : { "date-parts" : [ [ "2010" ] ] }, "page" : "988-997", "title" : "Thresholds, breakpoints, and nonlinearity in freshwaters as related to management", "type" : "article-journal", "volume" : "29" }, "uris" : [ "http://www.mendeley.com/documents/?uuid=9db01335-986e-4afe-ad94-a7ca09b96496" ] }, { "id" : "ITEM-3", "itemData" : { "DOI" : "10.1016/S0048-9697(03)00141-4", "ISBN" : "0048-9697", "ISSN" : "00489697", "PMID" : "14630423", "abstract" : "Contaminants such as petroleum hydrocarbons, heavy metals and pesticides can cause direct toxic effects when released into aquatic environments. Sensitive species may be impaired by sublethal effects or decimated by lethality, and this ecological alteration may initiate a trophic cascade or a release from competition that secondarily leads to responses in tolerant species. Contaminants may exert direct effects on keystone facilitator and foundation species, and contaminant-induced changes in nutrient and oxygen dynamics may alter ecosystem function. Thus, populations and communities in nature may be directly and/or indirectly affected by exposure to pollutants. While the direct effects of toxicants usually reduce organism abundance, indirect effects may lead to increased or decreased abundance. Here we review 150 papers that reference indirect toxicant effects in aquatic environments. Studies of accidental contaminant release, chronic contamination and experimental manipulations have identified indirect contaminant effects in pelagic and benthic communities caused by many types of pollutants. Contaminant-induced changes in behavior, competition and predation/grazing rate can alter species abundances or community composition, and enhance, mask or spuriously indicate direct contaminant effects. Trophic cascades were found in 60% of the manipulative studies and, most commonly, primary producers increased in abundance when grazers were selectively eliminated by contaminants. Competitive release may also be common, but is difficult to distinguish from trophic cascades because few experiments are designed to isolate the mechanism(s) causing indirect effects. Indirect contaminant effects may have profound implications in environments with strong trophic cascades such as the freshwater pelagic. In spite of their undesirable environmental influence, contaminants can be useful manipulative tools for the study of trophic and competitive interactions in natural communities. \u00a9 2003 Published by Elsevier Science B.V.", "author" : [ { "dropping-particle" : "", "family" : "Fleeger", "given" : "John W.", "non-dropping-particle" : "", "parse-names" : false, "suffix" : "" }, { "dropping-particle" : "", "family" : "Carman", "given" : "Kevin R.", "non-dropping-particle" : "", "parse-names" : false, "suffix" : "" }, { "dropping-particle" : "", "family" : "Nisbet", "given" : "Roger M.", "non-dropping-particle" : "", "parse-names" : false, "suffix" : "" } ], "container-title" : "Science of the Total Environment", "id" : "ITEM-3", "issue" : "1-3", "issued" : { "date-parts" : [ [ "2003" ] ] }, "page" : "207-233", "title" : "Indirect effects of contaminants in aquatic ecosystems", "type" : "article-journal", "volume" : "317" }, "uris" : [ "http://www.mendeley.com/documents/?uuid=a1d023d6-d0d6-4db4-8a94-0901dae31681" ] } ], "mendeley" : { "formattedCitation" : "(Fleeger et al. 2003, Dodds et al. 2010, King and Baker 2010)", "plainTextFormattedCitation" : "(Fleeger et al. 2003, Dodds et al. 2010, King and Baker 2010)", "previouslyFormattedCitation" : "(Fleeger et al. 2003, Dodds et al. 2010, King and Baker 2010)" }, "properties" : { "noteIndex" : 0 }, "schema" : "https://github.com/citation-style-language/schema/raw/master/csl-citation.json" }</w:instrText>
      </w:r>
      <w:r w:rsidRPr="008608AA">
        <w:rPr>
          <w:rFonts w:eastAsia="Calibri"/>
        </w:rPr>
        <w:fldChar w:fldCharType="separate"/>
      </w:r>
      <w:r w:rsidR="00474EDF" w:rsidRPr="008608AA">
        <w:rPr>
          <w:rFonts w:eastAsia="Calibri"/>
        </w:rPr>
        <w:t>(Fleeger et al., 2003; Dodds et al., 2010;</w:t>
      </w:r>
      <w:r w:rsidRPr="008608AA">
        <w:rPr>
          <w:rFonts w:eastAsia="Calibri"/>
        </w:rPr>
        <w:t xml:space="preserve"> King </w:t>
      </w:r>
      <w:r w:rsidR="00474EDF" w:rsidRPr="008608AA">
        <w:rPr>
          <w:rFonts w:eastAsia="Calibri"/>
        </w:rPr>
        <w:t>&amp;</w:t>
      </w:r>
      <w:r w:rsidRPr="008608AA">
        <w:rPr>
          <w:rFonts w:eastAsia="Calibri"/>
        </w:rPr>
        <w:t xml:space="preserve"> Baker</w:t>
      </w:r>
      <w:r w:rsidR="00474EDF" w:rsidRPr="008608AA">
        <w:rPr>
          <w:rFonts w:eastAsia="Calibri"/>
        </w:rPr>
        <w:t>,</w:t>
      </w:r>
      <w:r w:rsidRPr="008608AA">
        <w:rPr>
          <w:rFonts w:eastAsia="Calibri"/>
        </w:rPr>
        <w:t xml:space="preserve"> 2010)</w:t>
      </w:r>
      <w:r w:rsidRPr="008608AA">
        <w:rPr>
          <w:rFonts w:eastAsia="Calibri"/>
        </w:rPr>
        <w:fldChar w:fldCharType="end"/>
      </w:r>
      <w:r w:rsidRPr="008608AA">
        <w:rPr>
          <w:rFonts w:eastAsia="Calibri"/>
        </w:rPr>
        <w:t xml:space="preserve">.  </w:t>
      </w:r>
    </w:p>
    <w:p w14:paraId="46116E9A" w14:textId="2FA27FDE" w:rsidR="001E61A6" w:rsidRPr="008608AA" w:rsidRDefault="001E61A6" w:rsidP="00D84807">
      <w:pPr>
        <w:spacing w:before="120"/>
        <w:rPr>
          <w:rFonts w:eastAsia="Calibri"/>
        </w:rPr>
      </w:pPr>
      <w:r w:rsidRPr="008608AA">
        <w:rPr>
          <w:rFonts w:eastAsia="Calibri"/>
        </w:rPr>
        <w:t xml:space="preserve">Atmospheric ozone occurs where emissions from fossil fuel combustion (energy utilities, industry, motor vehicle exhaust) or biomass burning interact with vapors from solvents, gasoline or vegetation. Ozone damages plant tissues, decreases plant primary production, and changes plant and insect communities </w:t>
      </w:r>
      <w:r w:rsidRPr="008608AA">
        <w:rPr>
          <w:rFonts w:eastAsia="Calibri"/>
        </w:rPr>
        <w:fldChar w:fldCharType="begin" w:fldLock="1"/>
      </w:r>
      <w:r w:rsidRPr="008608AA">
        <w:rPr>
          <w:rFonts w:eastAsia="Calibri"/>
        </w:rPr>
        <w:instrText>ADDIN CSL_CITATION { "citationItems" : [ { "id" : "ITEM-1", "itemData" : { "DOI" : "10.1111/j.1752-4598.2008.00031.x", "ISBN" : "1752-458X", "ISSN" : "1752458X", "abstract" : "1. Human-induced climate changes threaten the health of forest ecosystems. In particular, carbon dioxide (CO2) and tropospheric ozone (O-3) will likely have significant but opposing impacts on forests and their associated insect communities. Compared with other animal groups, insect communities are expected to be especially sensitive to changes in global climate. 2. This study examined the effects of elevated CO2 and O-3 (eCO(2) and eO(2)) individually and in combination on the abundance, diversity and composition of forest insect communities. Insects were sampled using yellow pan traps in an aggrading aspen-birch forest at the Aspen Free Air CO2 Enrichment (FACE) site in northern Wisconsin, USA. We trapped for 24 h every 10-15 days throughout the summers ( June to September) of 2000-2003. 3. We examined 47 415 insects from 4 orders and 83 families. Elevated CO2 reduced abundance of phloem-feeding herbivores and increased abundance of chewing herbivores, although results were not statistically significant. Enriched CO2 increased numbers of some parasitoids. The effects of eO(3) on insect abundance were generally opposite those of eCO(2). No significant differences in arthropod family richness were found among treatments. However, eCO(2), eO(3), or both significantly affected insect community composition in all years. 4. Carbon dioxide and tropospheric ozone have the potential to alter significantly forest insect communities. Feeding guild may strongly influence insect response to environmental change and may provide the best opportunity to generalise for conservation efforts. Because insect communities influence forest health and ecosystem services, continued research on their response to global change is critically important to forest management and conservation.", "author" : [ { "dropping-particle" : "", "family" : "Hillstrom", "given" : "M L", "non-dropping-particle" : "", "parse-names" : false, "suffix" : "" }, { "dropping-particle" : "", "family" : "Lindroth", "given" : "R L", "non-dropping-particle" : "", "parse-names" : false, "suffix" : "" } ], "container-title" : "Insect Conservation and Diversity", "id" : "ITEM-1", "issue" : "4", "issued" : { "date-parts" : [ [ "2008" ] ] }, "page" : "233-241", "title" : "Elevated atmospheric carbon dioxide and ozone alter forest insect abundance and community composition", "type" : "article-journal", "volume" : "1" }, "uris" : [ "http://www.mendeley.com/documents/?uuid=3e32a673-6947-4a5e-9136-92df7b0ee68a" ] } ], "mendeley" : { "formattedCitation" : "(Hillstrom and Lindroth 2008)", "manualFormatting" : "(Hillstrom and Lindroth 2008", "plainTextFormattedCitation" : "(Hillstrom and Lindroth 2008)", "previouslyFormattedCitation" : "(Hillstrom and Lindroth 2008)" }, "properties" : { "noteIndex" : 0 }, "schema" : "https://github.com/citation-style-language/schema/raw/master/csl-citation.json" }</w:instrText>
      </w:r>
      <w:r w:rsidRPr="008608AA">
        <w:rPr>
          <w:rFonts w:eastAsia="Calibri"/>
        </w:rPr>
        <w:fldChar w:fldCharType="separate"/>
      </w:r>
      <w:r w:rsidRPr="008608AA">
        <w:rPr>
          <w:rFonts w:eastAsia="Calibri"/>
        </w:rPr>
        <w:t xml:space="preserve">(Hillstrom </w:t>
      </w:r>
      <w:r w:rsidR="0059409D" w:rsidRPr="008608AA">
        <w:rPr>
          <w:rFonts w:eastAsia="Calibri"/>
        </w:rPr>
        <w:t>&amp;</w:t>
      </w:r>
      <w:r w:rsidRPr="008608AA">
        <w:rPr>
          <w:rFonts w:eastAsia="Calibri"/>
        </w:rPr>
        <w:t xml:space="preserve"> Lindroth 2008</w:t>
      </w:r>
      <w:r w:rsidRPr="008608AA">
        <w:rPr>
          <w:rFonts w:eastAsia="Calibri"/>
        </w:rPr>
        <w:fldChar w:fldCharType="end"/>
      </w:r>
      <w:r w:rsidRPr="008608AA">
        <w:rPr>
          <w:rFonts w:eastAsia="Calibri"/>
        </w:rPr>
        <w:fldChar w:fldCharType="begin" w:fldLock="1"/>
      </w:r>
      <w:r w:rsidRPr="008608AA">
        <w:rPr>
          <w:rFonts w:eastAsia="Calibri"/>
        </w:rPr>
        <w:instrText>ADDIN CSL_CITATION { "citationItems" : [ { "id" : "ITEM-1", "itemData" : { "DOI" : "10.1111/j.1365-2486.2005.01083.x", "ISBN" : "1354-1013", "ISSN" : "13541013", "abstract" : "The sensitivity of seminatural grasslands to ozone (O-3) pollution is not well known, in spite of the important function of these common ecosystems for agriculture and nature conservation. A 5-year field experiment was carried out at a rural, mid-elevation site at Le Mouret (Switzerland) to investigate the effect of elevated O-3 on yield and species composition of a permanent, extensively managed, species-rich old pasture. Using a free-air fumigation system, circular plots of 7 m diameter were exposed to either ambient air (control plots) or to air containing O-3 of approximately 1.5 x ambient concentrations. The resulting accumulated O-3 exposure over the threshold of 40 ppb for one season ranged from 13.3 to 59.5 ppm h in the elevated O-3 plots, and from 1.0 to 20.7 ppm h in the control plots. Subplots in each ring were harvested three times each year, and harvested biomass was separated into functional groups (FGs) (grasses, legumes, forbs). Productivity in both treatments decreased over time, but the yield of O-3-exposed plots decreased faster than that of the control plots, with the reduction being twice as large by the end of the fifth season. Compared with the ambient air control, loss in annual dry matter yield was 23% after 5 years. The change in annual biomass production because of O-3 stress was accompanied by a change in the fractions of FGs, with the legume fraction showing a strong negative response. Such long-term effects of O-3 stress could have negative implications for the maintenance of biological diversity in rural landscapes across large areas of Europe. The results from this first long-term experiment show that a moderately elevated O-3 level reduces the productivity of intact grasslands during a 5-year exposure under real field conditions.", "author" : [ { "dropping-particle" : "", "family" : "Volk", "given" : "Matthias", "non-dropping-particle" : "", "parse-names" : false, "suffix" : "" }, { "dropping-particle" : "", "family" : "Bungener", "given" : "Patrick", "non-dropping-particle" : "", "parse-names" : false, "suffix" : "" }, { "dropping-particle" : "", "family" : "Contat", "given" : "Fran??ois", "non-dropping-particle" : "", "parse-names" : false, "suffix" : "" }, { "dropping-particle" : "", "family" : "Montani", "given" : "Myrta", "non-dropping-particle" : "", "parse-names" : false, "suffix" : "" }, { "dropping-particle" : "", "family" : "Fuhrer", "given" : "J??rg", "non-dropping-particle" : "", "parse-names" : false, "suffix" : "" } ], "container-title" : "Global Change Biology", "id" : "ITEM-1", "issue" : "1", "issued" : { "date-parts" : [ [ "2006" ] ] }, "page" : "74-83", "title" : "Grassland yield declined by a quarter in 5 years of free-air ozone fumigation", "type" : "article-journal", "volume" : "12" }, "uris" : [ "http://www.mendeley.com/documents/?uuid=e7b7447b-19c0-4897-b095-f18387bade37" ] } ], "mendeley" : { "formattedCitation" : "(Volk et al. 2006)", "manualFormatting" : ", Volk et al. 2006)", "plainTextFormattedCitation" : "(Volk et al. 2006)", "previouslyFormattedCitation" : "(Volk et al. 2006)" }, "properties" : { "noteIndex" : 0 }, "schema" : "https://github.com/citation-style-language/schema/raw/master/csl-citation.json" }</w:instrText>
      </w:r>
      <w:r w:rsidRPr="008608AA">
        <w:rPr>
          <w:rFonts w:eastAsia="Calibri"/>
        </w:rPr>
        <w:fldChar w:fldCharType="separate"/>
      </w:r>
      <w:r w:rsidR="0059409D" w:rsidRPr="008608AA">
        <w:rPr>
          <w:rFonts w:eastAsia="Calibri"/>
        </w:rPr>
        <w:t>;</w:t>
      </w:r>
      <w:r w:rsidRPr="008608AA">
        <w:rPr>
          <w:rFonts w:eastAsia="Calibri"/>
        </w:rPr>
        <w:t xml:space="preserve"> Volk et al., 2006)</w:t>
      </w:r>
      <w:r w:rsidRPr="008608AA">
        <w:rPr>
          <w:rFonts w:eastAsia="Calibri"/>
        </w:rPr>
        <w:fldChar w:fldCharType="end"/>
      </w:r>
      <w:r w:rsidRPr="008608AA">
        <w:rPr>
          <w:rFonts w:eastAsia="Calibri"/>
        </w:rPr>
        <w:t>, but its effects on biodiversity remain poorly studied</w:t>
      </w:r>
      <w:r w:rsidR="005D6F7E" w:rsidRPr="008608AA">
        <w:rPr>
          <w:rFonts w:eastAsia="Calibri"/>
        </w:rPr>
        <w:t>.</w:t>
      </w:r>
      <w:r w:rsidRPr="008608AA">
        <w:rPr>
          <w:rFonts w:eastAsia="Calibri"/>
        </w:rPr>
        <w:t xml:space="preserve"> </w:t>
      </w:r>
    </w:p>
    <w:p w14:paraId="25CCDA7F" w14:textId="3C99238C" w:rsidR="001E61A6" w:rsidRPr="008608AA" w:rsidRDefault="001E61A6" w:rsidP="00D84807">
      <w:pPr>
        <w:spacing w:before="120"/>
        <w:rPr>
          <w:rFonts w:eastAsia="Calibri"/>
        </w:rPr>
      </w:pPr>
      <w:r w:rsidRPr="008608AA">
        <w:rPr>
          <w:rFonts w:eastAsia="Calibri"/>
        </w:rPr>
        <w:t>Major sources of atmospheric mercury include fossil fuel (primarily coal) combustion (the largest source), artisanal gold mining, non-ferrous metal manufacturing, cement production, waste disposal, caustic soda production, and emissions from soils, sediment, water, and biomass burning, including re-emissions from past anthropogenic</w:t>
      </w:r>
      <w:r w:rsidR="0059409D" w:rsidRPr="008608AA">
        <w:rPr>
          <w:rFonts w:eastAsia="Calibri"/>
        </w:rPr>
        <w:t xml:space="preserve"> emissions (Pacnya et al., 2006;</w:t>
      </w:r>
      <w:r w:rsidRPr="008608AA">
        <w:rPr>
          <w:rFonts w:eastAsia="Calibri"/>
        </w:rPr>
        <w:t xml:space="preserve"> Pirrone et al., 2010). Legacy releases from commercial products and contaminated sites contribute to re-e</w:t>
      </w:r>
      <w:r w:rsidR="0059409D" w:rsidRPr="008608AA">
        <w:rPr>
          <w:rFonts w:eastAsia="Calibri"/>
        </w:rPr>
        <w:t>missions (Horowitz et al., 2014;</w:t>
      </w:r>
      <w:r w:rsidRPr="008608AA">
        <w:rPr>
          <w:rFonts w:eastAsia="Calibri"/>
        </w:rPr>
        <w:t xml:space="preserve"> Kocman </w:t>
      </w:r>
      <w:r w:rsidR="00474EDF" w:rsidRPr="008608AA">
        <w:rPr>
          <w:rFonts w:eastAsia="Calibri"/>
        </w:rPr>
        <w:t>et al.,</w:t>
      </w:r>
      <w:r w:rsidRPr="008608AA">
        <w:rPr>
          <w:rFonts w:eastAsia="Calibri"/>
        </w:rPr>
        <w:t xml:space="preserve"> 2013). In the vicinity of past or current mining, at higher latitudes, at mid latitudes with soft water ecosystems, or in regions downwind of coal fired power plants, consumers of aquatic foods may suffer high exposure to methyl mercury (Mahaffey </w:t>
      </w:r>
      <w:r w:rsidR="00474EDF" w:rsidRPr="008608AA">
        <w:rPr>
          <w:rFonts w:eastAsia="Calibri"/>
        </w:rPr>
        <w:t>&amp;</w:t>
      </w:r>
      <w:r w:rsidRPr="008608AA">
        <w:rPr>
          <w:rFonts w:eastAsia="Calibri"/>
        </w:rPr>
        <w:t xml:space="preserve"> Mergler</w:t>
      </w:r>
      <w:r w:rsidR="00474EDF" w:rsidRPr="008608AA">
        <w:rPr>
          <w:rFonts w:eastAsia="Calibri"/>
        </w:rPr>
        <w:t>,</w:t>
      </w:r>
      <w:r w:rsidR="0059409D" w:rsidRPr="008608AA">
        <w:rPr>
          <w:rFonts w:eastAsia="Calibri"/>
        </w:rPr>
        <w:t xml:space="preserve"> 1998;</w:t>
      </w:r>
      <w:r w:rsidRPr="008608AA">
        <w:rPr>
          <w:rFonts w:eastAsia="Calibri"/>
        </w:rPr>
        <w:t xml:space="preserve"> Després et </w:t>
      </w:r>
      <w:r w:rsidR="00474EDF" w:rsidRPr="008608AA">
        <w:rPr>
          <w:rFonts w:eastAsia="Calibri"/>
        </w:rPr>
        <w:t>a</w:t>
      </w:r>
      <w:r w:rsidRPr="008608AA">
        <w:rPr>
          <w:rFonts w:eastAsia="Calibri"/>
        </w:rPr>
        <w:t>l</w:t>
      </w:r>
      <w:r w:rsidR="00474EDF" w:rsidRPr="008608AA">
        <w:rPr>
          <w:rFonts w:eastAsia="Calibri"/>
        </w:rPr>
        <w:t>.,</w:t>
      </w:r>
      <w:r w:rsidR="0059409D" w:rsidRPr="008608AA">
        <w:rPr>
          <w:rFonts w:eastAsia="Calibri"/>
        </w:rPr>
        <w:t xml:space="preserve"> 2005;</w:t>
      </w:r>
      <w:r w:rsidRPr="008608AA">
        <w:rPr>
          <w:rFonts w:eastAsia="Calibri"/>
        </w:rPr>
        <w:t xml:space="preserve"> Fujimora et</w:t>
      </w:r>
      <w:r w:rsidR="00474EDF" w:rsidRPr="008608AA">
        <w:rPr>
          <w:rFonts w:eastAsia="Calibri"/>
        </w:rPr>
        <w:t>.</w:t>
      </w:r>
      <w:r w:rsidRPr="008608AA">
        <w:rPr>
          <w:rFonts w:eastAsia="Calibri"/>
        </w:rPr>
        <w:t>al.</w:t>
      </w:r>
      <w:r w:rsidR="00474EDF" w:rsidRPr="008608AA">
        <w:rPr>
          <w:rFonts w:eastAsia="Calibri"/>
        </w:rPr>
        <w:t>,</w:t>
      </w:r>
      <w:r w:rsidRPr="008608AA">
        <w:rPr>
          <w:rFonts w:eastAsia="Calibri"/>
        </w:rPr>
        <w:t xml:space="preserve"> </w:t>
      </w:r>
      <w:r w:rsidR="0059409D" w:rsidRPr="008608AA">
        <w:rPr>
          <w:rFonts w:eastAsia="Calibri"/>
        </w:rPr>
        <w:t>2012;</w:t>
      </w:r>
      <w:r w:rsidRPr="008608AA">
        <w:rPr>
          <w:rFonts w:eastAsia="Calibri"/>
        </w:rPr>
        <w:t xml:space="preserve"> Driscoll </w:t>
      </w:r>
      <w:r w:rsidR="00474EDF" w:rsidRPr="008608AA">
        <w:rPr>
          <w:rFonts w:eastAsia="Calibri"/>
        </w:rPr>
        <w:t>et al.,</w:t>
      </w:r>
      <w:r w:rsidRPr="008608AA">
        <w:rPr>
          <w:rFonts w:eastAsia="Calibri"/>
        </w:rPr>
        <w:t xml:space="preserve"> 2007). Methyl mercury is a potent neurotoxin, and it is particularly toxic to human and other vertebrate embryos.</w:t>
      </w:r>
    </w:p>
    <w:p w14:paraId="3EE6F7BA" w14:textId="0A440141" w:rsidR="001E61A6" w:rsidRPr="008608AA" w:rsidRDefault="001E61A6" w:rsidP="00D84807">
      <w:pPr>
        <w:spacing w:before="120"/>
        <w:rPr>
          <w:rFonts w:eastAsia="Calibri"/>
        </w:rPr>
      </w:pPr>
      <w:r w:rsidRPr="008608AA">
        <w:rPr>
          <w:rFonts w:eastAsia="Calibri"/>
        </w:rPr>
        <w:t xml:space="preserve">The discovery and development of synthetic herbicides during World War II has increased crop yields, enhanced crop quality, and reduced production and harvesting costs (Coupe et al., 2012). Possible health effects from exposure to pesticides include cancer, reproductive or nervous- system disorders, and acute toxicity. Recent studies suggest that some pesticides disrupt endocrine systems and affect reproduction by interfering with natural hormones (García </w:t>
      </w:r>
      <w:r w:rsidR="00474EDF" w:rsidRPr="008608AA">
        <w:rPr>
          <w:rFonts w:eastAsia="Calibri"/>
        </w:rPr>
        <w:t>et al.,</w:t>
      </w:r>
      <w:r w:rsidR="0059409D" w:rsidRPr="008608AA">
        <w:rPr>
          <w:rFonts w:eastAsia="Calibri"/>
        </w:rPr>
        <w:t xml:space="preserve"> 2017;</w:t>
      </w:r>
      <w:r w:rsidRPr="008608AA">
        <w:rPr>
          <w:rFonts w:eastAsia="Calibri"/>
        </w:rPr>
        <w:t xml:space="preserve"> Gilliom et al., 2006). The amounts, types, and use of pesticides for agriculture change over time, but their worldwide use increases. Persistent organic pollutants, like organochlorine pesticides, polycyclic aromatic hydrocarbons, polychlorinated biphenyl compounds, polybrominated biphenyl ethers, and others, by being semi-volatile and resistant to degradation, are transported in the atmosphere or ocean to remote places where they can bioaccumulat</w:t>
      </w:r>
      <w:r w:rsidR="005D6F7E" w:rsidRPr="008608AA">
        <w:rPr>
          <w:rFonts w:eastAsia="Calibri"/>
        </w:rPr>
        <w:t>e and biomagnify in food webs (s</w:t>
      </w:r>
      <w:r w:rsidRPr="008608AA">
        <w:rPr>
          <w:rFonts w:eastAsia="Calibri"/>
        </w:rPr>
        <w:t>upplementary</w:t>
      </w:r>
      <w:r w:rsidR="005D6F7E" w:rsidRPr="008608AA">
        <w:rPr>
          <w:rFonts w:eastAsia="Calibri"/>
        </w:rPr>
        <w:t xml:space="preserve"> material:</w:t>
      </w:r>
      <w:r w:rsidRPr="008608AA">
        <w:rPr>
          <w:rFonts w:eastAsia="Calibri"/>
        </w:rPr>
        <w:t xml:space="preserve"> </w:t>
      </w:r>
      <w:r w:rsidR="007A1995" w:rsidRPr="008608AA">
        <w:rPr>
          <w:rFonts w:eastAsia="Calibri"/>
        </w:rPr>
        <w:t xml:space="preserve">Box </w:t>
      </w:r>
      <w:r w:rsidR="00871036" w:rsidRPr="008608AA">
        <w:rPr>
          <w:rFonts w:eastAsia="Calibri"/>
        </w:rPr>
        <w:t>4.</w:t>
      </w:r>
      <w:r w:rsidRPr="008608AA">
        <w:t>18 and</w:t>
      </w:r>
      <w:r w:rsidR="007A1995" w:rsidRPr="008608AA">
        <w:t xml:space="preserve"> Box</w:t>
      </w:r>
      <w:r w:rsidRPr="008608AA">
        <w:t xml:space="preserve"> 4. 19</w:t>
      </w:r>
      <w:r w:rsidRPr="008608AA">
        <w:rPr>
          <w:rFonts w:eastAsia="Calibri"/>
        </w:rPr>
        <w:t xml:space="preserve">). Being detectable in most global ecosystems (Bartrons et al., 2016), persistent organic pollutants should always be considered in total toxic burdens. Like methyl mercury, deposition from the atmosphere to water, soils, or sediment can be greater at colder-latitude or montane ecosystems where temperatures are colder or precipitation </w:t>
      </w:r>
      <w:r w:rsidR="0059409D" w:rsidRPr="008608AA">
        <w:rPr>
          <w:rFonts w:eastAsia="Calibri"/>
        </w:rPr>
        <w:t>greater (Macdonald et al., 2000;</w:t>
      </w:r>
      <w:r w:rsidRPr="008608AA">
        <w:rPr>
          <w:rFonts w:eastAsia="Calibri"/>
        </w:rPr>
        <w:t xml:space="preserve"> Blackwell </w:t>
      </w:r>
      <w:r w:rsidR="00474EDF" w:rsidRPr="008608AA">
        <w:rPr>
          <w:rFonts w:eastAsia="Calibri"/>
        </w:rPr>
        <w:t>&amp;</w:t>
      </w:r>
      <w:r w:rsidRPr="008608AA">
        <w:rPr>
          <w:rFonts w:eastAsia="Calibri"/>
        </w:rPr>
        <w:t xml:space="preserve"> Driscoll</w:t>
      </w:r>
      <w:r w:rsidR="0059409D" w:rsidRPr="008608AA">
        <w:rPr>
          <w:rFonts w:eastAsia="Calibri"/>
        </w:rPr>
        <w:t>, 2015;</w:t>
      </w:r>
      <w:r w:rsidRPr="008608AA">
        <w:rPr>
          <w:rFonts w:eastAsia="Calibri"/>
        </w:rPr>
        <w:t xml:space="preserve"> Kirchner et al., 2009). </w:t>
      </w:r>
    </w:p>
    <w:p w14:paraId="4689851B" w14:textId="24C4360D" w:rsidR="00D84807" w:rsidRPr="008608AA" w:rsidRDefault="001E61A6" w:rsidP="00D84807">
      <w:pPr>
        <w:spacing w:before="120"/>
      </w:pPr>
      <w:r w:rsidRPr="008608AA">
        <w:t xml:space="preserve">Agroecology is an alternative to conventional agriculture that builds on local knowledge and innovation, which could complement other agricultural approaches to contribute to sustainable intensification on farms. Organic agriculture comprises 0.8% of North American agriculture (Willer </w:t>
      </w:r>
      <w:r w:rsidR="00474EDF" w:rsidRPr="008608AA">
        <w:t>&amp;</w:t>
      </w:r>
      <w:r w:rsidRPr="008608AA">
        <w:t xml:space="preserve"> Lernoud</w:t>
      </w:r>
      <w:r w:rsidR="00474EDF" w:rsidRPr="008608AA">
        <w:t>,</w:t>
      </w:r>
      <w:r w:rsidRPr="008608AA">
        <w:t xml:space="preserve"> 2016). In much of Latin America, agricultural fields are still managed by small farmers, despite rapid increases in industrial agriculture. Many of them practice diversified agriculture, using hand or animal power and zero or little agricultural chemicals, preserving soils and biodiversity while supplying much of the food for </w:t>
      </w:r>
      <w:r w:rsidR="005D6F7E" w:rsidRPr="008608AA">
        <w:t xml:space="preserve">their countries. Networks like </w:t>
      </w:r>
      <w:r w:rsidR="005D6F7E" w:rsidRPr="008608AA">
        <w:rPr>
          <w:i/>
        </w:rPr>
        <w:t>Campesino a C</w:t>
      </w:r>
      <w:r w:rsidRPr="008608AA">
        <w:rPr>
          <w:i/>
        </w:rPr>
        <w:t>ampesino</w:t>
      </w:r>
      <w:r w:rsidRPr="008608AA">
        <w:t xml:space="preserve"> (Farmer to Farmer) further Agroecology – the science of sustainable agriculture - by promoting exchanges of traditional knowledge and experience among farmers. Perhaps the most famous example of small-scale farmer success is Cuba. Following the Soviet Union collapse in the 1990s and the USA embargo, food production in Cuba collapsed with the loss of imported fertilizers, pesticides, tractors, parts, and petroleum. Cubans dev</w:t>
      </w:r>
      <w:r w:rsidR="005D6F7E" w:rsidRPr="008608AA">
        <w:t>e</w:t>
      </w:r>
      <w:r w:rsidRPr="008608AA">
        <w:t xml:space="preserve">loped alternative methods of growing food. </w:t>
      </w:r>
      <w:r w:rsidRPr="008608AA">
        <w:rPr>
          <w:color w:val="131413"/>
        </w:rPr>
        <w:t>Sustainable agriculture, organic farming, urban gardens, smaller farms, animal traction, and biological pest control all became part of Cuban agriculture. They we</w:t>
      </w:r>
      <w:r w:rsidR="005D6F7E" w:rsidRPr="008608AA">
        <w:rPr>
          <w:color w:val="131413"/>
        </w:rPr>
        <w:t xml:space="preserve">re so successful that from 1996 to </w:t>
      </w:r>
      <w:r w:rsidRPr="008608AA">
        <w:rPr>
          <w:color w:val="131413"/>
        </w:rPr>
        <w:t>2005 Cuba sustained a 4.2% growth in per capita food product</w:t>
      </w:r>
      <w:r w:rsidR="005D6F7E" w:rsidRPr="008608AA">
        <w:rPr>
          <w:color w:val="131413"/>
        </w:rPr>
        <w:t>ion. In southern Brazil in 2008 - 20</w:t>
      </w:r>
      <w:r w:rsidRPr="008608AA">
        <w:rPr>
          <w:color w:val="131413"/>
        </w:rPr>
        <w:t xml:space="preserve">09, conventional maize farmers lost 50% of their crops in a severe drought, but farmers who followed agroecological systems lost just 20% of their maize. In Honduras, soil conservation practices introduced via </w:t>
      </w:r>
      <w:r w:rsidRPr="008608AA">
        <w:rPr>
          <w:i/>
        </w:rPr>
        <w:t>Campesino a Campesino</w:t>
      </w:r>
      <w:r w:rsidRPr="008608AA">
        <w:t xml:space="preserve"> helped triple or quadruple the yields of hillside farmers. Many other examples of successful agroecol</w:t>
      </w:r>
      <w:r w:rsidR="0059409D" w:rsidRPr="008608AA">
        <w:t>ogy exist (Altieri et al., 2012;</w:t>
      </w:r>
      <w:r w:rsidRPr="008608AA">
        <w:t xml:space="preserve"> Altieri </w:t>
      </w:r>
      <w:r w:rsidR="00474EDF" w:rsidRPr="008608AA">
        <w:t>&amp;</w:t>
      </w:r>
      <w:r w:rsidRPr="008608AA">
        <w:t xml:space="preserve"> Funes-Monzote</w:t>
      </w:r>
      <w:r w:rsidR="00474EDF" w:rsidRPr="008608AA">
        <w:t>,</w:t>
      </w:r>
      <w:r w:rsidRPr="008608AA">
        <w:t xml:space="preserve"> 2012).</w:t>
      </w:r>
    </w:p>
    <w:p w14:paraId="165A5104" w14:textId="77777777" w:rsidR="00D84807" w:rsidRPr="008608AA" w:rsidRDefault="00D84807" w:rsidP="00D84807">
      <w:pPr>
        <w:spacing w:before="120"/>
      </w:pPr>
    </w:p>
    <w:p w14:paraId="36D6DD62" w14:textId="77777777" w:rsidR="001E61A6" w:rsidRPr="008608AA" w:rsidRDefault="001E61A6" w:rsidP="00D84807">
      <w:pPr>
        <w:pStyle w:val="Heading4"/>
        <w:numPr>
          <w:ilvl w:val="0"/>
          <w:numId w:val="0"/>
        </w:numPr>
        <w:ind w:left="862" w:hanging="862"/>
      </w:pPr>
      <w:bookmarkStart w:id="1525" w:name="_Toc517393351"/>
      <w:bookmarkStart w:id="1526" w:name="_Toc517394408"/>
      <w:bookmarkStart w:id="1527" w:name="_Toc517719092"/>
      <w:bookmarkStart w:id="1528" w:name="_Toc517797049"/>
      <w:r w:rsidRPr="008608AA">
        <w:t>North America</w:t>
      </w:r>
      <w:bookmarkEnd w:id="1525"/>
      <w:bookmarkEnd w:id="1526"/>
      <w:bookmarkEnd w:id="1527"/>
      <w:bookmarkEnd w:id="1528"/>
    </w:p>
    <w:p w14:paraId="6BF7D30A" w14:textId="584FA1F3" w:rsidR="001E61A6" w:rsidRPr="008608AA" w:rsidRDefault="001E61A6" w:rsidP="00D84807">
      <w:pPr>
        <w:spacing w:before="120"/>
        <w:rPr>
          <w:rFonts w:eastAsia="Calibri"/>
        </w:rPr>
      </w:pPr>
      <w:r w:rsidRPr="008608AA">
        <w:rPr>
          <w:rFonts w:eastAsia="Calibri"/>
        </w:rPr>
        <w:t>Atlantic and Pacific Ocean waters are more aci</w:t>
      </w:r>
      <w:r w:rsidR="005D6F7E" w:rsidRPr="008608AA">
        <w:rPr>
          <w:rFonts w:eastAsia="Calibri"/>
        </w:rPr>
        <w:t>dic since 1991, except for the s</w:t>
      </w:r>
      <w:r w:rsidRPr="008608AA">
        <w:rPr>
          <w:rFonts w:eastAsia="Calibri"/>
        </w:rPr>
        <w:t>ubpola</w:t>
      </w:r>
      <w:r w:rsidR="0059409D" w:rsidRPr="008608AA">
        <w:rPr>
          <w:rFonts w:eastAsia="Calibri"/>
        </w:rPr>
        <w:t>r Pacific (Lauvset et al., 2015; Ríos et al., 2015;</w:t>
      </w:r>
      <w:r w:rsidRPr="008608AA">
        <w:rPr>
          <w:rFonts w:eastAsia="Calibri"/>
        </w:rPr>
        <w:t xml:space="preserve"> Feeley et al., 2012). Arctic Ocean pH trends are not significant, but undersaturation with calcium minerals, colder waters that absorb more </w:t>
      </w:r>
      <w:r w:rsidR="00E03ED4" w:rsidRPr="008608AA">
        <w:t>carbon dioxide</w:t>
      </w:r>
      <w:r w:rsidRPr="008608AA">
        <w:rPr>
          <w:rFonts w:eastAsia="Calibri"/>
        </w:rPr>
        <w:t xml:space="preserve">, and low-alkaline freshwater inputs from rivers and melting sea ice, contribute to North American Arctic Ocean vulnerability to ocean acidification, including the Pacific Arctic, home to one of the world’s largest commercial and subsistence </w:t>
      </w:r>
      <w:r w:rsidR="0059409D" w:rsidRPr="008608AA">
        <w:rPr>
          <w:rFonts w:eastAsia="Calibri"/>
        </w:rPr>
        <w:t>fisheries (Steiner et al., 2014;</w:t>
      </w:r>
      <w:r w:rsidRPr="008608AA">
        <w:rPr>
          <w:rFonts w:eastAsia="Calibri"/>
        </w:rPr>
        <w:t xml:space="preserve"> Mathis et al., 2015). Large areas off the USA Pacific coast are now acidic enough to dissolve the shells of free-swimming snails (sea butterflies/pteropods), which are important in ocean food webs (Bednaršek et al., 2016). Cod larvae are highly sensitive to ocean acidification (Frommel et al., 2012). </w:t>
      </w:r>
    </w:p>
    <w:p w14:paraId="1D6809B1" w14:textId="61AE1C44" w:rsidR="001E61A6" w:rsidRPr="008608AA" w:rsidRDefault="001E61A6" w:rsidP="00D84807">
      <w:pPr>
        <w:spacing w:before="120"/>
        <w:rPr>
          <w:rFonts w:eastAsia="Calibri"/>
        </w:rPr>
      </w:pPr>
      <w:r w:rsidRPr="008608AA">
        <w:rPr>
          <w:rFonts w:eastAsia="Calibri"/>
        </w:rPr>
        <w:t>In the USA ozone pollution from fossil fuel combustion increases human morbidity and mortality (Li et al., 2016). Springtime ozone levels are increasing in North America, which may in part be attributable to Asia (C</w:t>
      </w:r>
      <w:r w:rsidR="00523468" w:rsidRPr="008608AA">
        <w:rPr>
          <w:rFonts w:eastAsia="Calibri"/>
        </w:rPr>
        <w:t>ooper et al., 2010</w:t>
      </w:r>
      <w:r w:rsidR="00172CC8" w:rsidRPr="008608AA">
        <w:rPr>
          <w:rFonts w:eastAsia="Calibri"/>
        </w:rPr>
        <w:t>;</w:t>
      </w:r>
      <w:r w:rsidRPr="008608AA">
        <w:rPr>
          <w:rFonts w:eastAsia="Calibri"/>
        </w:rPr>
        <w:t xml:space="preserve"> Law</w:t>
      </w:r>
      <w:r w:rsidR="00172CC8" w:rsidRPr="008608AA">
        <w:rPr>
          <w:rFonts w:eastAsia="Calibri"/>
        </w:rPr>
        <w:t>,</w:t>
      </w:r>
      <w:r w:rsidRPr="008608AA">
        <w:rPr>
          <w:rFonts w:eastAsia="Calibri"/>
        </w:rPr>
        <w:t xml:space="preserve"> 2010). Emissions from motor vehicles and other fossil fuel combustion are large contributors to atmospheric fine particulate matter (Lee et al., 2003). Particulate matter is associated with premature mortality and lung cancer (Apte et al., 2015). In the USA increased infant mortality from respiratory complications, increasing the odds of sudden infant death syndrome by 25% in some</w:t>
      </w:r>
      <w:r w:rsidR="00172CC8" w:rsidRPr="008608AA">
        <w:rPr>
          <w:rFonts w:eastAsia="Calibri"/>
        </w:rPr>
        <w:t xml:space="preserve"> studies (Woodruff et al., 1997;</w:t>
      </w:r>
      <w:r w:rsidRPr="008608AA">
        <w:rPr>
          <w:rFonts w:eastAsia="Calibri"/>
        </w:rPr>
        <w:t xml:space="preserve"> Son et al.</w:t>
      </w:r>
      <w:r w:rsidR="00172CC8" w:rsidRPr="008608AA">
        <w:rPr>
          <w:rFonts w:eastAsia="Calibri"/>
        </w:rPr>
        <w:t>,</w:t>
      </w:r>
      <w:r w:rsidRPr="008608AA">
        <w:rPr>
          <w:rFonts w:eastAsia="Calibri"/>
        </w:rPr>
        <w:t xml:space="preserve"> 2017). Even where air meets USA standards, rates of low human birthweights increase with increasing air particulate matter (Ebisu </w:t>
      </w:r>
      <w:r w:rsidR="00172CC8" w:rsidRPr="008608AA">
        <w:rPr>
          <w:rFonts w:eastAsia="Calibri"/>
        </w:rPr>
        <w:t>&amp; Bell</w:t>
      </w:r>
      <w:r w:rsidR="0059409D" w:rsidRPr="008608AA">
        <w:rPr>
          <w:rFonts w:eastAsia="Calibri"/>
        </w:rPr>
        <w:t>,</w:t>
      </w:r>
      <w:r w:rsidR="00172CC8" w:rsidRPr="008608AA">
        <w:rPr>
          <w:rFonts w:eastAsia="Calibri"/>
        </w:rPr>
        <w:t xml:space="preserve"> 2012;</w:t>
      </w:r>
      <w:r w:rsidRPr="008608AA">
        <w:rPr>
          <w:rFonts w:eastAsia="Calibri"/>
        </w:rPr>
        <w:t xml:space="preserve"> Hao et al., 2016). Regulations to reduce industrial and other particulate matter release to the atmosphere since the 1970s improved life expectancies in the USA (Pope et al., 2009). </w:t>
      </w:r>
    </w:p>
    <w:p w14:paraId="3B4883DF" w14:textId="28F0F17F" w:rsidR="001E61A6" w:rsidRPr="008608AA" w:rsidRDefault="001E61A6" w:rsidP="00D84807">
      <w:pPr>
        <w:spacing w:before="120"/>
        <w:rPr>
          <w:rFonts w:eastAsia="Calibri"/>
        </w:rPr>
      </w:pPr>
      <w:r w:rsidRPr="008608AA">
        <w:rPr>
          <w:rFonts w:eastAsia="Calibri"/>
        </w:rPr>
        <w:t>Since nitrogen fertilizer production from atmospheric nitrogen gas began with the Haber-Bosch process in the early 1900s, inorganic nitrogen fertilizer use across the USA has increased (Erisman et al., 2008). Agricultural fertilizers, nitrogen deposition and nitrogen-fixing crops dominate reactive nitrogen sources, with limited areas driven by centralized sewage (point sources), manure application or urban run-off (</w:t>
      </w:r>
      <w:r w:rsidR="007A1995" w:rsidRPr="008608AA">
        <w:t>Box 4.17</w:t>
      </w:r>
      <w:r w:rsidRPr="008608AA">
        <w:rPr>
          <w:rFonts w:eastAsia="Calibri"/>
        </w:rPr>
        <w:t>). Ammonia emissions, mainly from fertilizer use, increased 9% in Canada from 1995-2000 (Schindler et al.</w:t>
      </w:r>
      <w:r w:rsidR="00172CC8" w:rsidRPr="008608AA">
        <w:rPr>
          <w:rFonts w:eastAsia="Calibri"/>
        </w:rPr>
        <w:t>,</w:t>
      </w:r>
      <w:r w:rsidR="0059409D" w:rsidRPr="008608AA">
        <w:rPr>
          <w:rFonts w:eastAsia="Calibri"/>
        </w:rPr>
        <w:t xml:space="preserve"> 2006).</w:t>
      </w:r>
      <w:r w:rsidRPr="008608AA">
        <w:rPr>
          <w:rFonts w:eastAsia="Calibri"/>
        </w:rPr>
        <w:t xml:space="preserve"> Where oil is extracted from oil sands in North American prairie grasslands, </w:t>
      </w:r>
      <w:r w:rsidR="0054250A" w:rsidRPr="008608AA">
        <w:rPr>
          <w:rFonts w:eastAsia="Calibri"/>
        </w:rPr>
        <w:t>nitrogen oxides</w:t>
      </w:r>
      <w:r w:rsidRPr="008608AA">
        <w:rPr>
          <w:rFonts w:eastAsia="Calibri"/>
        </w:rPr>
        <w:t xml:space="preserve"> and Sulfur emissions are increasing (McLinden et al., 2015).  In the eastern USA, power plant upgrades through Clean Air Act regulations since the 1970s reduced Sulfur and </w:t>
      </w:r>
      <w:r w:rsidR="0054250A" w:rsidRPr="008608AA">
        <w:rPr>
          <w:rFonts w:eastAsia="Calibri"/>
        </w:rPr>
        <w:t>nitrogen oxides</w:t>
      </w:r>
      <w:r w:rsidRPr="008608AA">
        <w:rPr>
          <w:rFonts w:eastAsia="Calibri"/>
        </w:rPr>
        <w:t xml:space="preserve"> deposition (though ammonia levels are increasing) (Li et al., 2015), reducing acidification of acid-sensitive lakes and rivers (Garmo et al., 2014). Recently low natural gas prices caused USA power plants to use less coal, reducing emissions of </w:t>
      </w:r>
      <w:r w:rsidR="00E03ED4" w:rsidRPr="008608AA">
        <w:t>carbon dioxide</w:t>
      </w:r>
      <w:r w:rsidRPr="008608AA">
        <w:rPr>
          <w:rFonts w:eastAsia="Calibri"/>
        </w:rPr>
        <w:t xml:space="preserve"> (by ~23%), </w:t>
      </w:r>
      <w:r w:rsidR="0054250A" w:rsidRPr="008608AA">
        <w:rPr>
          <w:rFonts w:eastAsia="Calibri"/>
        </w:rPr>
        <w:t>nitrogen oxides</w:t>
      </w:r>
      <w:r w:rsidRPr="008608AA">
        <w:rPr>
          <w:rFonts w:eastAsia="Calibri"/>
        </w:rPr>
        <w:t xml:space="preserve"> and </w:t>
      </w:r>
      <w:r w:rsidR="0054250A" w:rsidRPr="008608AA">
        <w:rPr>
          <w:rFonts w:eastAsia="Calibri"/>
        </w:rPr>
        <w:t>sulfur dioxide</w:t>
      </w:r>
      <w:r w:rsidRPr="008608AA">
        <w:rPr>
          <w:rFonts w:eastAsia="Calibri"/>
        </w:rPr>
        <w:t xml:space="preserve"> (de Gouw et al., 2014). Natural gas is a potent greenhouse gas, however; leaks during its extraction, transportation and storage must be</w:t>
      </w:r>
      <w:r w:rsidR="00565220" w:rsidRPr="008608AA">
        <w:rPr>
          <w:rFonts w:eastAsia="Calibri"/>
        </w:rPr>
        <w:t xml:space="preserve"> minimized (Howarth</w:t>
      </w:r>
      <w:r w:rsidR="0059409D" w:rsidRPr="008608AA">
        <w:rPr>
          <w:rFonts w:eastAsia="Calibri"/>
        </w:rPr>
        <w:t>,</w:t>
      </w:r>
      <w:r w:rsidR="00565220" w:rsidRPr="008608AA">
        <w:rPr>
          <w:rFonts w:eastAsia="Calibri"/>
        </w:rPr>
        <w:t xml:space="preserve"> 2014;</w:t>
      </w:r>
      <w:r w:rsidRPr="008608AA">
        <w:rPr>
          <w:rFonts w:eastAsia="Calibri"/>
        </w:rPr>
        <w:t xml:space="preserve"> Zimmerle et al., 2015).</w:t>
      </w:r>
    </w:p>
    <w:p w14:paraId="67F7E12B" w14:textId="49999DC2" w:rsidR="001E61A6" w:rsidRPr="008608AA" w:rsidRDefault="005D6F7E" w:rsidP="00D84807">
      <w:pPr>
        <w:spacing w:before="120"/>
        <w:rPr>
          <w:rFonts w:eastAsia="Calibri"/>
        </w:rPr>
      </w:pPr>
      <w:r w:rsidRPr="008608AA">
        <w:rPr>
          <w:rFonts w:eastAsia="Calibri"/>
        </w:rPr>
        <w:t>Both nitrogen and s</w:t>
      </w:r>
      <w:r w:rsidR="001E61A6" w:rsidRPr="008608AA">
        <w:rPr>
          <w:rFonts w:eastAsia="Calibri"/>
        </w:rPr>
        <w:t>ulfur atmospheric deposition can affect growth, species composition, biodiversity and ecosystem function in temperate and boreal forests of North America (Pardo et a</w:t>
      </w:r>
      <w:r w:rsidR="00D07ADA" w:rsidRPr="008608AA">
        <w:rPr>
          <w:rFonts w:eastAsia="Calibri"/>
        </w:rPr>
        <w:t>l., 2011).</w:t>
      </w:r>
      <w:r w:rsidR="001E61A6" w:rsidRPr="008608AA">
        <w:rPr>
          <w:rFonts w:eastAsia="Calibri"/>
        </w:rPr>
        <w:t xml:space="preserve"> Nitrogen deposition’s clearest impact on species is to reduce lichen and mycorrhizal diversity. They respond quickly to cha</w:t>
      </w:r>
      <w:r w:rsidR="0013728C" w:rsidRPr="008608AA">
        <w:rPr>
          <w:rFonts w:eastAsia="Calibri"/>
        </w:rPr>
        <w:t xml:space="preserve">nges in nitrogen availability. </w:t>
      </w:r>
      <w:r w:rsidR="001E61A6" w:rsidRPr="008608AA">
        <w:rPr>
          <w:rFonts w:eastAsia="Calibri"/>
        </w:rPr>
        <w:t xml:space="preserve">Where soils lack minerals to neutralize acidic inputs, sulfur deposition has acidified soils, decreasing tree growth and health, and acidified runoff to aquatic ecosystems, affecting aquatic species. Atmospheric nitrogen and Sulfur deposition is also reducing diversity and increasing fire risk in some temperate grasslands and deserts of North America (Pardo et al., 2011), and it can alter diversity and ecosystem function in wetlands and freshwater systems that are naturally low in nitrogen. Nitrogen deposition may be responsible for declines in endangered species in some areas of the USA (Hernández et al., 2016).  </w:t>
      </w:r>
    </w:p>
    <w:p w14:paraId="2B8622B0" w14:textId="3A7121A7" w:rsidR="001E61A6" w:rsidRPr="008608AA" w:rsidRDefault="001E61A6" w:rsidP="00D84807">
      <w:pPr>
        <w:spacing w:before="120"/>
        <w:rPr>
          <w:rFonts w:eastAsia="Calibri"/>
        </w:rPr>
      </w:pPr>
      <w:r w:rsidRPr="008608AA">
        <w:rPr>
          <w:rFonts w:eastAsia="Calibri"/>
        </w:rPr>
        <w:t>In the USA from 1992 to 2011, pesticide concentrations exceeded aquatic-life benchmarks in many rivers and streams in agricultural, urban, and mixed-land use watersheds. The proportions of assessed streams with one or more pesticides that exceeded an aquatic-life benchmark were very similar between the two decades for agricultural (69% during 1992−2001 v</w:t>
      </w:r>
      <w:r w:rsidR="005D6F7E" w:rsidRPr="008608AA">
        <w:rPr>
          <w:rFonts w:eastAsia="Calibri"/>
        </w:rPr>
        <w:t>ersus</w:t>
      </w:r>
      <w:r w:rsidRPr="008608AA">
        <w:rPr>
          <w:rFonts w:eastAsia="Calibri"/>
        </w:rPr>
        <w:t xml:space="preserve"> 61% during 2002−2011) and mixed-land-use streams (45%</w:t>
      </w:r>
      <w:r w:rsidR="005D6F7E" w:rsidRPr="008608AA">
        <w:rPr>
          <w:rFonts w:eastAsia="Calibri"/>
        </w:rPr>
        <w:t xml:space="preserve"> versus</w:t>
      </w:r>
      <w:r w:rsidRPr="008608AA">
        <w:rPr>
          <w:rFonts w:eastAsia="Calibri"/>
        </w:rPr>
        <w:t xml:space="preserve"> 46%). Urban streams, in contrast, increased from 53% during 1992−2011 to 90% during 2002−2011, largely because of fipronil and dichlorvos. The potential for adverse effects on aquatic life is likely greater than these results indicate, because potentially important pesticide compounds were not assessed. Widespread trends in pesticide concentrations, some downward and some upward, occurred in response to shifts in use patterns primarily driven by regulatory changes and new</w:t>
      </w:r>
      <w:r w:rsidR="00565220" w:rsidRPr="008608AA">
        <w:rPr>
          <w:rFonts w:eastAsia="Calibri"/>
        </w:rPr>
        <w:t xml:space="preserve"> pesticide introductions (Stone</w:t>
      </w:r>
      <w:r w:rsidRPr="008608AA">
        <w:rPr>
          <w:rFonts w:eastAsia="Calibri"/>
        </w:rPr>
        <w:t xml:space="preserve"> et al., 2014).</w:t>
      </w:r>
    </w:p>
    <w:p w14:paraId="53ED7B46" w14:textId="4D34C250" w:rsidR="001E61A6" w:rsidRPr="008608AA" w:rsidRDefault="001E61A6" w:rsidP="00D84807">
      <w:pPr>
        <w:spacing w:before="120"/>
        <w:rPr>
          <w:rFonts w:eastAsia="Calibri"/>
        </w:rPr>
      </w:pPr>
      <w:r w:rsidRPr="008608AA">
        <w:rPr>
          <w:rFonts w:eastAsia="Calibri"/>
        </w:rPr>
        <w:t xml:space="preserve">In the USA agricultural use of glyphosate [N-(phosphonomethyl)glycine] has increased from less than 10,000 to more than 70,000 metric tons per year from 1993 to 2006 (active ingredient), primarily due to the introduction of genetically modified crops, particuallry corn and soybean, and is still increasing. In 2009, glyphosate accounted for &gt;80 percent of all herbicide use on more than 31 million </w:t>
      </w:r>
      <w:r w:rsidR="003F55F8" w:rsidRPr="008608AA">
        <w:rPr>
          <w:rFonts w:eastAsia="Calibri"/>
        </w:rPr>
        <w:t>hectares</w:t>
      </w:r>
      <w:r w:rsidRPr="008608AA">
        <w:rPr>
          <w:rFonts w:eastAsia="Calibri"/>
        </w:rPr>
        <w:t xml:space="preserve"> of soybean (by weight of active ingredient). On 31.1 million </w:t>
      </w:r>
      <w:r w:rsidR="003F55F8" w:rsidRPr="008608AA">
        <w:rPr>
          <w:rFonts w:eastAsia="Calibri"/>
        </w:rPr>
        <w:t>hectares</w:t>
      </w:r>
      <w:r w:rsidRPr="008608AA">
        <w:rPr>
          <w:rFonts w:eastAsia="Calibri"/>
        </w:rPr>
        <w:t xml:space="preserve"> of corn, glyphosate accounted for about a third of herbicide use (Coupe </w:t>
      </w:r>
      <w:r w:rsidR="0059409D" w:rsidRPr="008608AA">
        <w:rPr>
          <w:rFonts w:eastAsia="Calibri"/>
        </w:rPr>
        <w:t>&amp;</w:t>
      </w:r>
      <w:r w:rsidRPr="008608AA">
        <w:rPr>
          <w:rFonts w:eastAsia="Calibri"/>
        </w:rPr>
        <w:t xml:space="preserve"> Capel, 2016). Glyphosate is also used in homes, and along rights of way. Glyphosate was considered more “environmentally benign” than herbicides it replaced because it has lower toxicity and mobility or environmental persistence. However, results from &gt;2,000 samples across the USA indicate that glyphosate is more mobile and occurs more widely in the environment than was thought. Glyphosate and aminomethylphosphonic acid (a glyphosate degradation product) were detected in surface water, groundwater, rainfall, soil water, and soil, at concentrations from &lt;0.1 to &gt;100 micrograms per liter. Most concentrations were below adverse effects criteria, however, the effects of chronic low-level exposures to mixtures of pesticides are uncertain. Studies have attributed toxic effects to surfactants or other additives to common glyphosate formulations.</w:t>
      </w:r>
    </w:p>
    <w:p w14:paraId="589F1541" w14:textId="07B2FFE3" w:rsidR="001E61A6" w:rsidRPr="008608AA" w:rsidRDefault="001E61A6" w:rsidP="00D84807">
      <w:pPr>
        <w:spacing w:before="120"/>
        <w:rPr>
          <w:rFonts w:eastAsia="Calibri"/>
        </w:rPr>
      </w:pPr>
      <w:r w:rsidRPr="008608AA">
        <w:rPr>
          <w:rFonts w:eastAsia="Calibri"/>
        </w:rPr>
        <w:t>New classes of pesticides have been developed and introduced and are now widely used, but have documented environmental issues such as the persistent, systemic and neurotoxic neonicotinoids and fipronil, introduced in the early 1990s. Insecticide use has been related to the disappearance of honey bees and other insects and insect eating birds. Neonicotinoids and fipronil are found in nectar and pollen of treated crops such as maize, oilseed rape and sunflower and also in flowers of wild plants growing in farmland. They have also been detected at much higher concentrations in guttation drops exuded by many crops (van Lexmond et al</w:t>
      </w:r>
      <w:r w:rsidR="0059409D" w:rsidRPr="008608AA">
        <w:rPr>
          <w:rFonts w:eastAsia="Calibri"/>
        </w:rPr>
        <w:t>.</w:t>
      </w:r>
      <w:r w:rsidRPr="008608AA">
        <w:rPr>
          <w:rFonts w:eastAsia="Calibri"/>
        </w:rPr>
        <w:t>, 2015).</w:t>
      </w:r>
    </w:p>
    <w:p w14:paraId="69FF3CDF" w14:textId="44DAF55D" w:rsidR="001E61A6" w:rsidRPr="008608AA" w:rsidRDefault="001E61A6" w:rsidP="00D84807">
      <w:pPr>
        <w:spacing w:before="120"/>
        <w:rPr>
          <w:rFonts w:eastAsia="Calibri"/>
        </w:rPr>
      </w:pPr>
      <w:r w:rsidRPr="008608AA">
        <w:rPr>
          <w:rFonts w:eastAsia="Calibri"/>
        </w:rPr>
        <w:t>The Laurentian Great Lakes and Greenland illustrate aspects of persistent organic pollutants in North America (</w:t>
      </w:r>
      <w:r w:rsidR="007A1995" w:rsidRPr="008608AA">
        <w:rPr>
          <w:rFonts w:eastAsia="Calibri"/>
        </w:rPr>
        <w:t>Box 4.18 and Box</w:t>
      </w:r>
      <w:r w:rsidR="0054250A" w:rsidRPr="008608AA">
        <w:rPr>
          <w:rFonts w:eastAsia="Calibri"/>
        </w:rPr>
        <w:t xml:space="preserve"> 4.</w:t>
      </w:r>
      <w:r w:rsidRPr="008608AA">
        <w:t>19</w:t>
      </w:r>
      <w:r w:rsidRPr="008608AA">
        <w:rPr>
          <w:rFonts w:eastAsia="Calibri"/>
        </w:rPr>
        <w:t>). Persistent organic pollutants concentrations in air and fish samples in the North American Great Lakes and in some Arctic Ocean biota have slowly declined in recent decades. Polycyclic aromatic hydrocarbons decreases are from improved emissions controls (Car</w:t>
      </w:r>
      <w:r w:rsidR="00565220" w:rsidRPr="008608AA">
        <w:rPr>
          <w:rFonts w:eastAsia="Calibri"/>
        </w:rPr>
        <w:t>lson et al., 2010;</w:t>
      </w:r>
      <w:r w:rsidRPr="008608AA">
        <w:rPr>
          <w:rFonts w:eastAsia="Calibri"/>
        </w:rPr>
        <w:t xml:space="preserve"> Venier </w:t>
      </w:r>
      <w:r w:rsidR="00565220" w:rsidRPr="008608AA">
        <w:rPr>
          <w:rFonts w:eastAsia="Calibri"/>
        </w:rPr>
        <w:t>&amp;</w:t>
      </w:r>
      <w:r w:rsidRPr="008608AA">
        <w:rPr>
          <w:rFonts w:eastAsia="Calibri"/>
        </w:rPr>
        <w:t xml:space="preserve"> Hites</w:t>
      </w:r>
      <w:r w:rsidR="00565220" w:rsidRPr="008608AA">
        <w:rPr>
          <w:rFonts w:eastAsia="Calibri"/>
        </w:rPr>
        <w:t>,</w:t>
      </w:r>
      <w:r w:rsidRPr="008608AA">
        <w:rPr>
          <w:rFonts w:eastAsia="Calibri"/>
        </w:rPr>
        <w:t xml:space="preserve"> 2010). Since their ban, levels of polybrominated biphenyl ethers, used as fire retardants, have declined in fish, bivalves and bird eggs in San Francisco Bay (Sutton et al., 2014). Persistent organic pollutants persist, however, and new ones are emerging. Across North America, polychlorinated biphenyls in air samples increase along a remote-rural-urban gradient. Lighter congeners are mo</w:t>
      </w:r>
      <w:r w:rsidR="002B507F" w:rsidRPr="008608AA">
        <w:rPr>
          <w:rFonts w:eastAsia="Calibri"/>
        </w:rPr>
        <w:t>re common at higher latitudes. P</w:t>
      </w:r>
      <w:r w:rsidRPr="008608AA">
        <w:rPr>
          <w:rFonts w:eastAsia="Calibri"/>
        </w:rPr>
        <w:t xml:space="preserve">olychlorinated biphenyls loadings have not declined in the Canadian Arctic, as heavier polychlorinated biphenyls are moving northwards more slowly. For </w:t>
      </w:r>
      <w:r w:rsidRPr="008608AA">
        <w:t>polybrominated diphenyl ethers</w:t>
      </w:r>
      <w:r w:rsidRPr="008608AA">
        <w:rPr>
          <w:rFonts w:eastAsia="Calibri"/>
        </w:rPr>
        <w:t xml:space="preserve">, and other emerging persistent organic pollutants, few trends </w:t>
      </w:r>
      <w:r w:rsidR="00565220" w:rsidRPr="008608AA">
        <w:rPr>
          <w:rFonts w:eastAsia="Calibri"/>
        </w:rPr>
        <w:t>have emerged (Shen et al., 2006; Braune et al., 2005;</w:t>
      </w:r>
      <w:r w:rsidRPr="008608AA">
        <w:rPr>
          <w:rFonts w:eastAsia="Calibri"/>
        </w:rPr>
        <w:t xml:space="preserve"> Macdonald et al</w:t>
      </w:r>
      <w:r w:rsidR="00565220" w:rsidRPr="008608AA">
        <w:rPr>
          <w:rFonts w:eastAsia="Calibri"/>
        </w:rPr>
        <w:t>.,</w:t>
      </w:r>
      <w:r w:rsidRPr="008608AA">
        <w:rPr>
          <w:rFonts w:eastAsia="Calibri"/>
        </w:rPr>
        <w:t xml:space="preserve"> 2000).</w:t>
      </w:r>
    </w:p>
    <w:p w14:paraId="7FCF242E" w14:textId="171B4F13" w:rsidR="001E61A6" w:rsidRPr="008608AA" w:rsidRDefault="001E61A6" w:rsidP="00D84807">
      <w:pPr>
        <w:spacing w:before="120"/>
        <w:rPr>
          <w:rFonts w:eastAsia="Calibri"/>
        </w:rPr>
      </w:pPr>
      <w:r w:rsidRPr="008608AA">
        <w:rPr>
          <w:rFonts w:eastAsia="Calibri"/>
        </w:rPr>
        <w:t>In North America, fish mercury levels, even in remote places, are often unsafe for regular consumption by humans and wildlife in North America (Driscoll et al., 20</w:t>
      </w:r>
      <w:r w:rsidR="002B507F" w:rsidRPr="008608AA">
        <w:rPr>
          <w:rFonts w:eastAsia="Calibri"/>
        </w:rPr>
        <w:t>07). Decreased reproduction in common l</w:t>
      </w:r>
      <w:r w:rsidRPr="008608AA">
        <w:rPr>
          <w:rFonts w:eastAsia="Calibri"/>
        </w:rPr>
        <w:t>oons, which are fish-eating birds, is correlated with female</w:t>
      </w:r>
      <w:r w:rsidR="002B507F" w:rsidRPr="008608AA">
        <w:rPr>
          <w:rFonts w:eastAsia="Calibri"/>
        </w:rPr>
        <w:t xml:space="preserve"> tissue mercury</w:t>
      </w:r>
      <w:r w:rsidRPr="008608AA">
        <w:rPr>
          <w:rFonts w:eastAsia="Calibri"/>
        </w:rPr>
        <w:t xml:space="preserve"> levels (Evers et al., 2008). In contaminated areas where fish consumption is high, human populations are at risk (Mahaffey </w:t>
      </w:r>
      <w:r w:rsidR="00565220" w:rsidRPr="008608AA">
        <w:rPr>
          <w:rFonts w:eastAsia="Calibri"/>
        </w:rPr>
        <w:t>&amp; Mergler</w:t>
      </w:r>
      <w:r w:rsidR="0059409D" w:rsidRPr="008608AA">
        <w:rPr>
          <w:rFonts w:eastAsia="Calibri"/>
        </w:rPr>
        <w:t>,</w:t>
      </w:r>
      <w:r w:rsidR="00565220" w:rsidRPr="008608AA">
        <w:rPr>
          <w:rFonts w:eastAsia="Calibri"/>
        </w:rPr>
        <w:t xml:space="preserve"> 1998;</w:t>
      </w:r>
      <w:r w:rsidRPr="008608AA">
        <w:rPr>
          <w:rFonts w:eastAsia="Calibri"/>
        </w:rPr>
        <w:t xml:space="preserve"> Cole et al., 2004). Industrialization increased atmospheric </w:t>
      </w:r>
      <w:r w:rsidR="002B507F" w:rsidRPr="008608AA">
        <w:rPr>
          <w:rFonts w:eastAsia="Calibri"/>
        </w:rPr>
        <w:t>m</w:t>
      </w:r>
      <w:r w:rsidR="0054250A" w:rsidRPr="008608AA">
        <w:rPr>
          <w:rFonts w:eastAsia="Calibri"/>
        </w:rPr>
        <w:t>ercury</w:t>
      </w:r>
      <w:r w:rsidR="002B507F" w:rsidRPr="008608AA">
        <w:rPr>
          <w:rFonts w:eastAsia="Calibri"/>
        </w:rPr>
        <w:t xml:space="preserve"> </w:t>
      </w:r>
      <w:r w:rsidRPr="008608AA">
        <w:rPr>
          <w:rFonts w:eastAsia="Calibri"/>
        </w:rPr>
        <w:t>loads to remote northern lakes in No</w:t>
      </w:r>
      <w:r w:rsidR="00565220" w:rsidRPr="008608AA">
        <w:rPr>
          <w:rFonts w:eastAsia="Calibri"/>
        </w:rPr>
        <w:t>rth America (Swain et al., 1992; Driscoll et al., 2007;</w:t>
      </w:r>
      <w:r w:rsidRPr="008608AA">
        <w:rPr>
          <w:rFonts w:eastAsia="Calibri"/>
        </w:rPr>
        <w:t xml:space="preserve"> Fitzgerald et al., 1998; Durnford et al., 2010). Decreases in USA coal combustion, and environmental regulations, have reduced </w:t>
      </w:r>
      <w:r w:rsidR="002B507F" w:rsidRPr="008608AA">
        <w:rPr>
          <w:rFonts w:eastAsia="Calibri"/>
        </w:rPr>
        <w:t>m</w:t>
      </w:r>
      <w:r w:rsidR="0054250A" w:rsidRPr="008608AA">
        <w:rPr>
          <w:rFonts w:eastAsia="Calibri"/>
        </w:rPr>
        <w:t>ercury</w:t>
      </w:r>
      <w:r w:rsidR="002B507F" w:rsidRPr="008608AA">
        <w:rPr>
          <w:rFonts w:eastAsia="Calibri"/>
        </w:rPr>
        <w:t xml:space="preserve"> loads to the eastern and m</w:t>
      </w:r>
      <w:r w:rsidRPr="008608AA">
        <w:rPr>
          <w:rFonts w:eastAsia="Calibri"/>
        </w:rPr>
        <w:t xml:space="preserve">idwestern USA have decreased, reducing </w:t>
      </w:r>
      <w:r w:rsidR="002B507F" w:rsidRPr="008608AA">
        <w:rPr>
          <w:rFonts w:eastAsia="Calibri"/>
        </w:rPr>
        <w:t>m</w:t>
      </w:r>
      <w:r w:rsidR="0054250A" w:rsidRPr="008608AA">
        <w:rPr>
          <w:rFonts w:eastAsia="Calibri"/>
        </w:rPr>
        <w:t>ercury</w:t>
      </w:r>
      <w:r w:rsidR="002B507F" w:rsidRPr="008608AA">
        <w:rPr>
          <w:rFonts w:eastAsia="Calibri"/>
        </w:rPr>
        <w:t xml:space="preserve"> </w:t>
      </w:r>
      <w:r w:rsidRPr="008608AA">
        <w:rPr>
          <w:rFonts w:eastAsia="Calibri"/>
        </w:rPr>
        <w:t xml:space="preserve">levels in the environment and fish </w:t>
      </w:r>
      <w:r w:rsidRPr="008608AA">
        <w:rPr>
          <w:rFonts w:eastAsia="Calibri"/>
        </w:rPr>
        <w:fldChar w:fldCharType="begin" w:fldLock="1"/>
      </w:r>
      <w:r w:rsidRPr="008608AA">
        <w:rPr>
          <w:rFonts w:eastAsia="Calibri"/>
        </w:rPr>
        <w:instrText>ADDIN CSL_CITATION { "citationItems" : [ { "id" : "ITEM-1", "itemData" : { "DOI" : "10.1021/es9600892", "ISBN" : "0013-936x", "ISSN" : "0013-936X", "author" : [ { "dropping-particle" : "", "family" : "Engstrom", "given" : "D", "non-dropping-particle" : "", "parse-names" : false, "suffix" : "" }, { "dropping-particle" : "", "family" : "Swain", "given" : "E", "non-dropping-particle" : "", "parse-names" : false, "suffix" : "" } ], "container-title" : "Environmental Science &amp; Technology", "id" : "ITEM-1", "issue" : "4", "issued" : { "date-parts" : [ [ "1997" ] ] }, "page" : "960-967", "title" : "Recent decline in atmospheric mercury deposition in the upper Midwest", "type" : "article-journal", "volume" : "31" }, "uris" : [ "http://www.mendeley.com/documents/?uuid=ccfbb08e-0448-48c3-aa77-190f06dc704d" ] }, { "id" : "ITEM-2", "itemData" : { "DOI" : "10.1579/0044-7447(2007)36[33:ROMF]2.0.CO;2", "ISBN" : "00447447", "ISSN" : "0044-7447", "PMID" : "17408189", "abstract" : "In this paper, we synthesize available information on the links between changes in ecosystem loading of inorganic mercury (Hg) and levels of methylmercury (MeHg) in fish. Although it is widely hypothesized that increased Hg load to aquatic ecosystems leads to increases in MeHg in fish, there is limited quantitative data to test this hypothesis. Here we examine the available evidence from a range of sources: studies of ecosystems contaminated by industrial discharges, observations of fish MeHg responses to changes in atmospheric load, studies over space and environmental gradients, and experimental manipulations. A summary of the current understanding of the main processes involved in the transport and transformation from Hg load to MeHg in fish is provided. The role of Hg loading is discussed in context with other factors affecting Hg cycling and bioaccumulation in relation to timing and magnitude of response in fish MeHg. The main conclusion drawn is that changes in Hg loading (increase or decrease) will yield a response in fish MeHg but that the timing and magnitude of the response will vary depending of ecosystem-specific variables and the form of the Hg loaded.", "author" : [ { "dropping-particle" : "", "family" : "Munthe", "given" : "John", "non-dropping-particle" : "", "parse-names" : false, "suffix" : "" }, { "dropping-particle" : "", "family" : "Bodaly", "given" : "R a Drew", "non-dropping-particle" : "", "parse-names" : false, "suffix" : "" }, { "dropping-particle" : "", "family" : "Branfireun", "given" : "Brian a", "non-dropping-particle" : "", "parse-names" : false, "suffix" : "" }, { "dropping-particle" : "", "family" : "Driscoll", "given" : "Charles T", "non-dropping-particle" : "", "parse-names" : false, "suffix" : "" }, { "dropping-particle" : "", "family" : "Gilmour", "given" : "Cynthia C", "non-dropping-particle" : "", "parse-names" : false, "suffix" : "" }, { "dropping-particle" : "", "family" : "Harris", "given" : "Reed", "non-dropping-particle" : "", "parse-names" : false, "suffix" : "" }, { "dropping-particle" : "", "family" : "Horvat", "given" : "Milena", "non-dropping-particle" : "", "parse-names" : false, "suffix" : "" }, { "dropping-particle" : "", "family" : "Lucotte", "given" : "Marc", "non-dropping-particle" : "", "parse-names" : false, "suffix" : "" }, { "dropping-particle" : "", "family" : "Malm", "given" : "Olaf", "non-dropping-particle" : "", "parse-names" : false, "suffix" : "" } ], "container-title" : "Ambio", "id" : "ITEM-2", "issue" : "1", "issued" : { "date-parts" : [ [ "2007" ] ] }, "page" : "33-44", "title" : "Recovery of mercury-contaminated fisheries.", "type" : "article-journal", "volume" : "36" }, "uris" : [ "http://www.mendeley.com/documents/?uuid=4e85177d-fbb9-483b-9289-c117536625e8" ] }, { "id" : "ITEM-3", "itemData" : { "DOI" : "10.1021/acs.est.5b01953", "ISSN" : "15205851", "PMID" : "26148053", "abstract" : "Concentrations of total mercury were measured in muscle of adult bluefish (Pomatomus saltatrix) collected in 2011 off North Carolina and compared with similar measurements made in 1972. Concentrations of mercury decreased by 43% in the fish between the two time periods, with an average rate of decline of about 10% per decade. This reduction is similar to estimated reductions of mercury observed in atmospheric deposition, riverine input, seawater, freshwater lakes, and freshwater fish across northern North America. Eight other studies between 1973 and 2007 confirm the decrease in mercury levels in bluefish captured in the Mid-Atlantic Bight. These findings imply that (1) reductions in the release of mercury across northern North America were reflected rather quickly (decades) in the decline of mercury in adult bluefish; (2) marine predatory fish may have been contaminated by anthropogenic sources of mercury for over 100 years; and (3) if bluefish are surrogates for other predators in the Mid-Atlantic Bight, then a reduction in the intake of mercury by the fish-consuming public has occurred. Finally, with global emissions of mercury continuing to increase, especially from Asia, it is important that long-term monitoring programs be conducted for mercury in marine fish of economic importance.", "author" : [ { "dropping-particle" : "", "family" : "Cross", "given" : "Ford A.", "non-dropping-particle" : "", "parse-names" : false, "suffix" : "" }, { "dropping-particle" : "", "family" : "Evans", "given" : "David W.", "non-dropping-particle" : "", "parse-names" : false, "suffix" : "" }, { "dropping-particle" : "", "family" : "Barber", "given" : "Richard T.", "non-dropping-particle" : "", "parse-names" : false, "suffix" : "" } ], "container-title" : "Environmental Science and Technology", "id" : "ITEM-3", "issue" : "15", "issued" : { "date-parts" : [ [ "2015" ] ] }, "page" : "9064-9072", "title" : "Decadal Declines of Mercury in Adult Bluefish (1972-2011) from the Mid-Atlantic Coast of the U.S.A.", "type" : "article-journal", "volume" : "49" }, "uris" : [ "http://www.mendeley.com/documents/?uuid=9c1706c3-2b2c-4c05-821f-66671cb52c64" ] } ], "mendeley" : { "formattedCitation" : "(Engstrom and Swain 1997, Munthe et al. 2007, Cross et al. 2015)", "plainTextFormattedCitation" : "(Engstrom and Swain 1997, Munthe et al. 2007, Cross et al. 2015)", "previouslyFormattedCitation" : "(Engstrom and Swain 1997, Munthe et al. 2007, Cross et al. 2015)" }, "properties" : { "noteIndex" : 0 }, "schema" : "https://github.com/citation-style-language/schema/raw/master/csl-citation.json" }</w:instrText>
      </w:r>
      <w:r w:rsidRPr="008608AA">
        <w:rPr>
          <w:rFonts w:eastAsia="Calibri"/>
        </w:rPr>
        <w:fldChar w:fldCharType="separate"/>
      </w:r>
      <w:r w:rsidRPr="008608AA">
        <w:rPr>
          <w:rFonts w:eastAsia="Calibri"/>
        </w:rPr>
        <w:t xml:space="preserve">(Engstrom </w:t>
      </w:r>
      <w:r w:rsidR="00565220" w:rsidRPr="008608AA">
        <w:rPr>
          <w:rFonts w:eastAsia="Calibri"/>
        </w:rPr>
        <w:t>&amp;</w:t>
      </w:r>
      <w:r w:rsidRPr="008608AA">
        <w:rPr>
          <w:rFonts w:eastAsia="Calibri"/>
        </w:rPr>
        <w:t xml:space="preserve"> Swain</w:t>
      </w:r>
      <w:r w:rsidR="00565220" w:rsidRPr="008608AA">
        <w:rPr>
          <w:rFonts w:eastAsia="Calibri"/>
        </w:rPr>
        <w:t>, 1997; Evers et al., 2007; Munthe et al., 2007;</w:t>
      </w:r>
      <w:r w:rsidRPr="008608AA">
        <w:rPr>
          <w:rFonts w:eastAsia="Calibri"/>
        </w:rPr>
        <w:t xml:space="preserve"> Cross et al., 2015)</w:t>
      </w:r>
      <w:r w:rsidRPr="008608AA">
        <w:rPr>
          <w:rFonts w:eastAsia="Calibri"/>
        </w:rPr>
        <w:fldChar w:fldCharType="end"/>
      </w:r>
      <w:r w:rsidRPr="008608AA">
        <w:rPr>
          <w:rFonts w:eastAsia="Calibri"/>
        </w:rPr>
        <w:t xml:space="preserve">. However, the decrease in atmospheric </w:t>
      </w:r>
      <w:r w:rsidR="002B507F" w:rsidRPr="008608AA">
        <w:rPr>
          <w:rFonts w:eastAsia="Calibri"/>
        </w:rPr>
        <w:t>m</w:t>
      </w:r>
      <w:r w:rsidR="0054250A" w:rsidRPr="008608AA">
        <w:rPr>
          <w:rFonts w:eastAsia="Calibri"/>
        </w:rPr>
        <w:t>ercury</w:t>
      </w:r>
      <w:r w:rsidR="002B507F" w:rsidRPr="008608AA">
        <w:rPr>
          <w:rFonts w:eastAsia="Calibri"/>
        </w:rPr>
        <w:t xml:space="preserve"> </w:t>
      </w:r>
      <w:r w:rsidRPr="008608AA">
        <w:rPr>
          <w:rFonts w:eastAsia="Calibri"/>
        </w:rPr>
        <w:t xml:space="preserve">deposition in the USA has slowed, particularly in the western and central USA, which is attributed to </w:t>
      </w:r>
      <w:r w:rsidR="002B507F" w:rsidRPr="008608AA">
        <w:rPr>
          <w:rFonts w:eastAsia="Calibri"/>
        </w:rPr>
        <w:t>mercury</w:t>
      </w:r>
      <w:r w:rsidRPr="008608AA">
        <w:rPr>
          <w:rFonts w:eastAsia="Calibri"/>
        </w:rPr>
        <w:t xml:space="preserve"> deposition from elsewhere, possibly China </w:t>
      </w:r>
      <w:r w:rsidRPr="008608AA">
        <w:rPr>
          <w:rFonts w:eastAsia="Calibri"/>
        </w:rPr>
        <w:fldChar w:fldCharType="begin" w:fldLock="1"/>
      </w:r>
      <w:r w:rsidRPr="008608AA">
        <w:rPr>
          <w:rFonts w:eastAsia="Calibri"/>
        </w:rPr>
        <w:instrText>ADDIN CSL_CITATION { "citationItems" : [ { "id" : "ITEM-1", "itemData" : { "DOI" : "10.1016/j.scitotenv.2016.01.061", "ISSN" : "18791026", "PMID" : "26803218", "abstract" : "This study examined the spatial and temporal trends of mercury (Hg) in wet deposition and air concentrations in the United States (U.S.) and Canada between 1997 and 2013. Data were obtained from the National Atmospheric Deposition Program (NADP) and Environment Canada monitoring networks, and other sources. Of the 19 sites with data records from 1997-2013, 53% had significant negative trends in Hg concentration in wet deposition, while no sites had significant positive trends, which is in general agreement with earlier studies that considered NADP data up until about 2010. However, for the time period 2007-2013 (71 sites), 17% and 13% of the sites had significant positive and negative trends, respectively, and for the time period 2008-2013 (81 sites) 30% and 6% of the sites had significant positive and negative trends, respectively. Non-significant positive tendencies were also widespread. Regional trend analyses revealed significant positive trends in Hg concentration in the Rocky Mountains, Plains, and Upper Midwest regions for the recent time periods in addition to significant positive trends in Hg deposition for the continent as a whole. Sulfate concentration trends in wet deposition were negative in all regions, suggesting a lower importance of local Hg sources. The trend in gaseous elemental Hg from short-term datasets merged as one continuous record was broadly consistent with trends in Hg concentration in wet deposition, with the early time period (1998-2007) producing a significantly negative trend (-1.5\u00b10.2%year-1) and the recent time period (2008-2013) displaying a flat slope (-0.3\u00b10.1%year-1, not significant). The observed shift to more positive or less negative trends in Hg wet deposition primarily seen in the Central-Western regions is consistent with the effects of rising Hg emissions from regions outside the U.S. and Canada and the influence of long-range transport in the free troposphere.", "author" : [ { "dropping-particle" : "", "family" : "Weiss-Penzias", "given" : "Peter S.", "non-dropping-particle" : "", "parse-names" : false, "suffix" : "" }, { "dropping-particle" : "", "family" : "Gay", "given" : "David A.", "non-dropping-particle" : "", "parse-names" : false, "suffix" : "" }, { "dropping-particle" : "", "family" : "Brigham", "given" : "Mark E.", "non-dropping-particle" : "", "parse-names" : false, "suffix" : "" }, { "dropping-particle" : "", "family" : "Parsons", "given" : "Matthew T.", "non-dropping-particle" : "", "parse-names" : false, "suffix" : "" }, { "dropping-particle" : "", "family" : "Gustin", "given" : "Mae S.", "non-dropping-particle" : "", "parse-names" : false, "suffix" : "" }, { "dropping-particle" : "", "family" : "Schure", "given" : "Arnout", "non-dropping-particle" : "ter", "parse-names" : false, "suffix" : "" } ], "container-title" : "Science of the Total Environment", "id" : "ITEM-1", "issued" : { "date-parts" : [ [ "2015" ] ] }, "page" : "1-11", "publisher" : "Elsevier B.V.", "title" : "Trends in mercury wet deposition and mercury air concentrations across the U.S. and Canada", "type" : "article-journal" }, "uris" : [ "http://www.mendeley.com/documents/?uuid=27dd7396-5039-4d90-aca6-73da13ab00f5" ] } ], "mendeley" : { "formattedCitation" : "(Weiss-Penzias et al. 2015)", "plainTextFormattedCitation" : "(Weiss-Penzias et al. 2015)", "previouslyFormattedCitation" : "(Weiss-Penzias et al. 2015)" }, "properties" : { "noteIndex" : 0 }, "schema" : "https://github.com/citation-style-language/schema/raw/master/csl-citation.json" }</w:instrText>
      </w:r>
      <w:r w:rsidRPr="008608AA">
        <w:rPr>
          <w:rFonts w:eastAsia="Calibri"/>
        </w:rPr>
        <w:fldChar w:fldCharType="separate"/>
      </w:r>
      <w:r w:rsidRPr="008608AA">
        <w:rPr>
          <w:rFonts w:eastAsia="Calibri"/>
        </w:rPr>
        <w:t>(Weiss-Penzias et al., 2015)</w:t>
      </w:r>
      <w:r w:rsidRPr="008608AA">
        <w:rPr>
          <w:rFonts w:eastAsia="Calibri"/>
        </w:rPr>
        <w:fldChar w:fldCharType="end"/>
      </w:r>
      <w:r w:rsidR="002B507F" w:rsidRPr="008608AA">
        <w:rPr>
          <w:rFonts w:eastAsia="Calibri"/>
        </w:rPr>
        <w:t>. In A</w:t>
      </w:r>
      <w:r w:rsidRPr="008608AA">
        <w:rPr>
          <w:rFonts w:eastAsia="Calibri"/>
        </w:rPr>
        <w:t xml:space="preserve">rctic North America, mercury levels in seabird eggs and feathers, marine mammals and lake sediments are increasing (Braune et al., 2005). Emissions from Asia account for one-third of atmospheric mercury there (Durnford et al., 2010). Total </w:t>
      </w:r>
      <w:r w:rsidR="0054250A" w:rsidRPr="008608AA">
        <w:rPr>
          <w:rFonts w:eastAsia="Calibri"/>
        </w:rPr>
        <w:t>mercury</w:t>
      </w:r>
      <w:r w:rsidRPr="008608AA">
        <w:rPr>
          <w:rFonts w:eastAsia="Calibri"/>
        </w:rPr>
        <w:t xml:space="preserve"> emissions from China increased</w:t>
      </w:r>
      <w:r w:rsidR="002B507F" w:rsidRPr="008608AA">
        <w:rPr>
          <w:rFonts w:eastAsia="Calibri"/>
        </w:rPr>
        <w:t xml:space="preserve"> by about 3% per year from 1995 to </w:t>
      </w:r>
      <w:r w:rsidRPr="008608AA">
        <w:rPr>
          <w:rFonts w:eastAsia="Calibri"/>
        </w:rPr>
        <w:t xml:space="preserve">2003, mostly from increasing coal burning and non-ferrous metal smelting (Wu et al., 2006). </w:t>
      </w:r>
    </w:p>
    <w:p w14:paraId="48ABEB80" w14:textId="29CD1C48" w:rsidR="001E61A6" w:rsidRPr="008608AA" w:rsidRDefault="001E61A6" w:rsidP="00D84807">
      <w:pPr>
        <w:spacing w:before="120"/>
        <w:rPr>
          <w:rFonts w:eastAsia="Calibri"/>
        </w:rPr>
      </w:pPr>
      <w:r w:rsidRPr="008608AA">
        <w:rPr>
          <w:rFonts w:eastAsia="Calibri"/>
        </w:rPr>
        <w:t>The mercury burden in the Arctic marine food web is now 92% from man-made sources (Dietz et al.</w:t>
      </w:r>
      <w:r w:rsidR="00565220" w:rsidRPr="008608AA">
        <w:rPr>
          <w:rFonts w:eastAsia="Calibri"/>
        </w:rPr>
        <w:t>,</w:t>
      </w:r>
      <w:r w:rsidRPr="008608AA">
        <w:rPr>
          <w:rFonts w:eastAsia="Calibri"/>
        </w:rPr>
        <w:t xml:space="preserve"> 2009), increasing an order-of-magnitude since the industrial revolution and accelerating in the 20th century. It may now cause subtle neurological or other toxic effects in many fish-eating Arctic wildlife, including Arctic toothed whales, polar bears, pilot whales, hooded seal, some bird</w:t>
      </w:r>
      <w:r w:rsidR="002B507F" w:rsidRPr="008608AA">
        <w:rPr>
          <w:rFonts w:eastAsia="Calibri"/>
        </w:rPr>
        <w:t xml:space="preserve"> species and landlocked Arctic c</w:t>
      </w:r>
      <w:r w:rsidRPr="008608AA">
        <w:rPr>
          <w:rFonts w:eastAsia="Calibri"/>
        </w:rPr>
        <w:t>har (Dietz et al., 2009). The effects of multiple pollutants, including persistent organic pollutants and mercury, are a concern among Arctic indigenous groups that frequently consume fish, marine mammals or sea bird eggs, particularly where local persistent organic pollutants sources add to background atmospher</w:t>
      </w:r>
      <w:r w:rsidR="00565220" w:rsidRPr="008608AA">
        <w:rPr>
          <w:rFonts w:eastAsia="Calibri"/>
        </w:rPr>
        <w:t>ic burdens (Burger et al., 2007;</w:t>
      </w:r>
      <w:r w:rsidRPr="008608AA">
        <w:rPr>
          <w:rFonts w:eastAsia="Calibri"/>
        </w:rPr>
        <w:t xml:space="preserve"> Hardell et al.</w:t>
      </w:r>
      <w:r w:rsidR="00565220" w:rsidRPr="008608AA">
        <w:rPr>
          <w:rFonts w:eastAsia="Calibri"/>
        </w:rPr>
        <w:t>, 2010; Hoover et al., 2012;</w:t>
      </w:r>
      <w:r w:rsidRPr="008608AA">
        <w:rPr>
          <w:rFonts w:eastAsia="Calibri"/>
        </w:rPr>
        <w:t xml:space="preserve"> Byrne et al., 2015). Lead contamination has also reached the Arctic from coal combustion (McConnell </w:t>
      </w:r>
      <w:r w:rsidR="00565220" w:rsidRPr="008608AA">
        <w:rPr>
          <w:rFonts w:eastAsia="Calibri"/>
        </w:rPr>
        <w:t>&amp;</w:t>
      </w:r>
      <w:r w:rsidRPr="008608AA">
        <w:rPr>
          <w:rFonts w:eastAsia="Calibri"/>
        </w:rPr>
        <w:t xml:space="preserve"> Edwards</w:t>
      </w:r>
      <w:r w:rsidR="00565220" w:rsidRPr="008608AA">
        <w:rPr>
          <w:rFonts w:eastAsia="Calibri"/>
        </w:rPr>
        <w:t>,</w:t>
      </w:r>
      <w:r w:rsidRPr="008608AA">
        <w:rPr>
          <w:rFonts w:eastAsia="Calibri"/>
        </w:rPr>
        <w:t xml:space="preserve"> 2008). Després et al. (2005) detected correlations among tremor amplitude or other neuromotor effects and blood </w:t>
      </w:r>
      <w:r w:rsidR="002B507F" w:rsidRPr="008608AA">
        <w:rPr>
          <w:rFonts w:eastAsia="Calibri"/>
        </w:rPr>
        <w:t>m</w:t>
      </w:r>
      <w:r w:rsidR="0054250A" w:rsidRPr="008608AA">
        <w:rPr>
          <w:rFonts w:eastAsia="Calibri"/>
        </w:rPr>
        <w:t>ercury</w:t>
      </w:r>
      <w:r w:rsidRPr="008608AA">
        <w:rPr>
          <w:rFonts w:eastAsia="Calibri"/>
        </w:rPr>
        <w:t xml:space="preserve"> or lead, in Inuit children in Canada. Although fish consumption increases human blood lipids that reduce cardiovascular risk and increase cognition, mercury exposure diminishes these advantages and increases cardiovascular disease indicators (Virtanen</w:t>
      </w:r>
      <w:r w:rsidR="00565220" w:rsidRPr="008608AA">
        <w:rPr>
          <w:rFonts w:eastAsia="Calibri"/>
        </w:rPr>
        <w:t xml:space="preserve"> et al., 2005; Oken et al., 2005;</w:t>
      </w:r>
      <w:r w:rsidRPr="008608AA">
        <w:rPr>
          <w:rFonts w:eastAsia="Calibri"/>
        </w:rPr>
        <w:t xml:space="preserve"> Guallar et al., 2002). </w:t>
      </w:r>
    </w:p>
    <w:p w14:paraId="067671D5" w14:textId="03038C39" w:rsidR="001E61A6" w:rsidRPr="008608AA" w:rsidRDefault="001E61A6" w:rsidP="00D84807">
      <w:pPr>
        <w:spacing w:before="120"/>
        <w:rPr>
          <w:rFonts w:eastAsia="Calibri"/>
        </w:rPr>
      </w:pPr>
      <w:r w:rsidRPr="008608AA">
        <w:rPr>
          <w:rFonts w:eastAsia="Calibri"/>
        </w:rPr>
        <w:t>Pollution from past and ongoing coal mining, hard-rock mining, and metal-ore smelting, expose humans, fish and wildlife to toxicants (e.g. toxic metals and selenium) across North America; thousands of mines are abandoned, and bankrupcies of mining companies are common, leaving neither public nor private funds available to to mitigate or restore these sites and allowing toxic releases and exposures to continue (Woody et al.</w:t>
      </w:r>
      <w:r w:rsidR="002B781A" w:rsidRPr="008608AA">
        <w:rPr>
          <w:rFonts w:eastAsia="Calibri"/>
        </w:rPr>
        <w:t>, 2010;</w:t>
      </w:r>
      <w:r w:rsidRPr="008608AA">
        <w:rPr>
          <w:rFonts w:eastAsia="Calibri"/>
        </w:rPr>
        <w:t xml:space="preserve"> Palmer et al.</w:t>
      </w:r>
      <w:r w:rsidR="002B781A" w:rsidRPr="008608AA">
        <w:rPr>
          <w:rFonts w:eastAsia="Calibri"/>
        </w:rPr>
        <w:t>, 2010;</w:t>
      </w:r>
      <w:r w:rsidRPr="008608AA">
        <w:rPr>
          <w:rFonts w:eastAsia="Calibri"/>
        </w:rPr>
        <w:t xml:space="preserve"> Lewis et al.</w:t>
      </w:r>
      <w:r w:rsidR="002B781A" w:rsidRPr="008608AA">
        <w:rPr>
          <w:rFonts w:eastAsia="Calibri"/>
        </w:rPr>
        <w:t xml:space="preserve">, 2017; </w:t>
      </w:r>
      <w:r w:rsidRPr="008608AA">
        <w:rPr>
          <w:rFonts w:eastAsia="Calibri"/>
        </w:rPr>
        <w:t>Gorokhovich et al.</w:t>
      </w:r>
      <w:r w:rsidR="002B781A" w:rsidRPr="008608AA">
        <w:rPr>
          <w:rFonts w:eastAsia="Calibri"/>
        </w:rPr>
        <w:t>, 2003;</w:t>
      </w:r>
      <w:r w:rsidRPr="008608AA">
        <w:rPr>
          <w:rFonts w:eastAsia="Calibri"/>
        </w:rPr>
        <w:t xml:space="preserve"> Clements et al.</w:t>
      </w:r>
      <w:r w:rsidR="002B781A" w:rsidRPr="008608AA">
        <w:rPr>
          <w:rFonts w:eastAsia="Calibri"/>
        </w:rPr>
        <w:t>, 2000;</w:t>
      </w:r>
      <w:r w:rsidRPr="008608AA">
        <w:rPr>
          <w:rFonts w:eastAsia="Calibri"/>
        </w:rPr>
        <w:t xml:space="preserve"> Maret </w:t>
      </w:r>
      <w:r w:rsidR="002B781A" w:rsidRPr="008608AA">
        <w:rPr>
          <w:rFonts w:eastAsia="Calibri"/>
        </w:rPr>
        <w:t>&amp;</w:t>
      </w:r>
      <w:r w:rsidRPr="008608AA">
        <w:rPr>
          <w:rFonts w:eastAsia="Calibri"/>
        </w:rPr>
        <w:t xml:space="preserve"> MacCoy</w:t>
      </w:r>
      <w:r w:rsidR="002B781A" w:rsidRPr="008608AA">
        <w:rPr>
          <w:rFonts w:eastAsia="Calibri"/>
        </w:rPr>
        <w:t>, 2002;</w:t>
      </w:r>
      <w:r w:rsidRPr="008608AA">
        <w:rPr>
          <w:rFonts w:eastAsia="Calibri"/>
        </w:rPr>
        <w:t xml:space="preserve"> Mar</w:t>
      </w:r>
      <w:r w:rsidR="004C33B7" w:rsidRPr="008608AA">
        <w:rPr>
          <w:rFonts w:eastAsia="Calibri"/>
        </w:rPr>
        <w:t>et</w:t>
      </w:r>
      <w:r w:rsidRPr="008608AA">
        <w:rPr>
          <w:rFonts w:eastAsia="Calibri"/>
        </w:rPr>
        <w:t xml:space="preserve"> et al.</w:t>
      </w:r>
      <w:r w:rsidR="002B781A" w:rsidRPr="008608AA">
        <w:rPr>
          <w:rFonts w:eastAsia="Calibri"/>
        </w:rPr>
        <w:t>, 2003;</w:t>
      </w:r>
      <w:r w:rsidRPr="008608AA">
        <w:rPr>
          <w:rFonts w:eastAsia="Calibri"/>
        </w:rPr>
        <w:t xml:space="preserve"> Dudka </w:t>
      </w:r>
      <w:r w:rsidR="002B781A" w:rsidRPr="008608AA">
        <w:rPr>
          <w:rFonts w:eastAsia="Calibri"/>
        </w:rPr>
        <w:t>&amp;</w:t>
      </w:r>
      <w:r w:rsidRPr="008608AA">
        <w:rPr>
          <w:rFonts w:eastAsia="Calibri"/>
        </w:rPr>
        <w:t xml:space="preserve"> Adriano</w:t>
      </w:r>
      <w:r w:rsidR="002B781A" w:rsidRPr="008608AA">
        <w:rPr>
          <w:rFonts w:eastAsia="Calibri"/>
        </w:rPr>
        <w:t>, 1997;</w:t>
      </w:r>
      <w:r w:rsidRPr="008608AA">
        <w:rPr>
          <w:rFonts w:eastAsia="Calibri"/>
        </w:rPr>
        <w:t xml:space="preserve"> </w:t>
      </w:r>
      <w:r w:rsidR="00523468" w:rsidRPr="008608AA">
        <w:rPr>
          <w:rFonts w:eastAsia="Calibri"/>
        </w:rPr>
        <w:t>Lovingood et al.</w:t>
      </w:r>
      <w:r w:rsidR="002B781A" w:rsidRPr="008608AA">
        <w:rPr>
          <w:rFonts w:eastAsia="Calibri"/>
        </w:rPr>
        <w:t>, 2004;</w:t>
      </w:r>
      <w:r w:rsidRPr="008608AA">
        <w:rPr>
          <w:rFonts w:eastAsia="Calibri"/>
        </w:rPr>
        <w:t xml:space="preserve"> Surber </w:t>
      </w:r>
      <w:r w:rsidR="002B781A" w:rsidRPr="008608AA">
        <w:rPr>
          <w:rFonts w:eastAsia="Calibri"/>
        </w:rPr>
        <w:t>&amp; Simonton</w:t>
      </w:r>
      <w:r w:rsidR="0059409D" w:rsidRPr="008608AA">
        <w:rPr>
          <w:rFonts w:eastAsia="Calibri"/>
        </w:rPr>
        <w:t>,</w:t>
      </w:r>
      <w:r w:rsidR="002B781A" w:rsidRPr="008608AA">
        <w:rPr>
          <w:rFonts w:eastAsia="Calibri"/>
        </w:rPr>
        <w:t xml:space="preserve"> 2017;</w:t>
      </w:r>
      <w:r w:rsidRPr="008608AA">
        <w:rPr>
          <w:rFonts w:eastAsia="Calibri"/>
        </w:rPr>
        <w:t xml:space="preserve"> Hughes et al.</w:t>
      </w:r>
      <w:r w:rsidR="002B781A" w:rsidRPr="008608AA">
        <w:rPr>
          <w:rFonts w:eastAsia="Calibri"/>
        </w:rPr>
        <w:t>,</w:t>
      </w:r>
      <w:r w:rsidRPr="008608AA">
        <w:rPr>
          <w:rFonts w:eastAsia="Calibri"/>
        </w:rPr>
        <w:t xml:space="preserve"> 2016). Near past lead mining and smelting operations, ground-feeding songbirds are exposed to lead at toxic concentrations (Beyer et al., 2013). The costs to contain pollution from hard rock mining sites in the USA have spiraled upwards from tens of billions of dollars in 1993 </w:t>
      </w:r>
      <w:r w:rsidRPr="008608AA">
        <w:rPr>
          <w:rFonts w:eastAsia="Calibri"/>
        </w:rPr>
        <w:fldChar w:fldCharType="begin" w:fldLock="1"/>
      </w:r>
      <w:r w:rsidRPr="008608AA">
        <w:rPr>
          <w:rFonts w:eastAsia="Calibri"/>
        </w:rPr>
        <w:instrText>ADDIN CSL_CITATION { "citationItems" : [ { "id" : "ITEM-1", "itemData" : { "author" : [ { "dropping-particle" : "", "family" : "Lyon", "given" : "James S", "non-dropping-particle" : "", "parse-names" : false, "suffix" : "" }, { "dropping-particle" : "", "family" : "Hilliard", "given" : "Thomas J", "non-dropping-particle" : "", "parse-names" : false, "suffix" : "" }, { "dropping-particle" : "", "family" : "Bethell", "given" : "Thomas N", "non-dropping-particle" : "", "parse-names" : false, "suffix" : "" } ], "container-title" : "Mineral Policy Center", "id" : "ITEM-1", "issue" : "June", "issued" : { "date-parts" : [ [ "1993" ] ] }, "title" : "Burden of Gilt: The legacy of environmental damage from abandoned mines, and what America should do about it.", "type" : "article-journal" }, "uris" : [ "http://www.mendeley.com/documents/?uuid=3c35d924-5548-4e6c-9d63-589cca0b2b1f" ] } ], "mendeley" : { "formattedCitation" : "(Lyon et al. 1993)", "plainTextFormattedCitation" : "(Lyon et al. 1993)", "previouslyFormattedCitation" : "(Lyon et al. 1993)" }, "properties" : { "noteIndex" : 0 }, "schema" : "https://github.com/citation-style-language/schema/raw/master/csl-citation.json" }</w:instrText>
      </w:r>
      <w:r w:rsidRPr="008608AA">
        <w:rPr>
          <w:rFonts w:eastAsia="Calibri"/>
        </w:rPr>
        <w:fldChar w:fldCharType="separate"/>
      </w:r>
      <w:r w:rsidRPr="008608AA">
        <w:rPr>
          <w:rFonts w:eastAsia="Calibri"/>
        </w:rPr>
        <w:t>(Lyon et al., 1993)</w:t>
      </w:r>
      <w:r w:rsidRPr="008608AA">
        <w:rPr>
          <w:rFonts w:eastAsia="Calibri"/>
        </w:rPr>
        <w:fldChar w:fldCharType="end"/>
      </w:r>
      <w:r w:rsidRPr="008608AA">
        <w:rPr>
          <w:rFonts w:eastAsia="Calibri"/>
        </w:rPr>
        <w:t xml:space="preserve"> to </w:t>
      </w:r>
      <w:r w:rsidR="002B507F" w:rsidRPr="008608AA">
        <w:rPr>
          <w:rFonts w:eastAsia="Calibri"/>
        </w:rPr>
        <w:t>$75 to $240 billion</w:t>
      </w:r>
      <w:r w:rsidRPr="008608AA">
        <w:rPr>
          <w:rFonts w:eastAsia="Calibri"/>
        </w:rPr>
        <w:t xml:space="preserve"> today </w:t>
      </w:r>
      <w:r w:rsidRPr="008608AA">
        <w:rPr>
          <w:rFonts w:eastAsia="Calibri"/>
        </w:rPr>
        <w:fldChar w:fldCharType="begin" w:fldLock="1"/>
      </w:r>
      <w:r w:rsidRPr="008608AA">
        <w:rPr>
          <w:rFonts w:eastAsia="Calibri"/>
        </w:rPr>
        <w:instrText>ADDIN CSL_CITATION { "citationItems" : [ { "id" : "ITEM-1", "itemData" : { "DOI" : "10.1080/03632415.2016.1121742", "ISSN" : "0363-2415", "author" : [ { "dropping-particle" : "", "family" : "Hughes", "given" : "Robert M", "non-dropping-particle" : "", "parse-names" : false, "suffix" : "" }, { "dropping-particle" : "", "family" : "Amezcua", "given" : "Felipe", "non-dropping-particle" : "", "parse-names" : false, "suffix" : "" }, { "dropping-particle" : "", "family" : "Chambers", "given" : "David M.", "non-dropping-particle" : "", "parse-names" : false, "suffix" : "" }, { "dropping-particle" : "", "family" : "Daniel", "given" : "Wesley M.", "non-dropping-particle" : "", "parse-names" : false, "suffix" : "" }, { "dropping-particle" : "", "family" : "Franks", "given" : "James S.", "non-dropping-particle" : "", "parse-names" : false, "suffix" : "" }, { "dropping-particle" : "", "family" : "Franzin", "given" : "William", "non-dropping-particle" : "", "parse-names" : false, "suffix" : "" }, { "dropping-particle" : "", "family" : "MacDonald", "given" : "Donald", "non-dropping-particle" : "", "parse-names" : false, "suffix" : "" }, { "dropping-particle" : "", "family" : "Merriam", "given" : "Eric", "non-dropping-particle" : "", "parse-names" : false, "suffix" : "" }, { "dropping-particle" : "", "family" : "Neall", "given" : "George", "non-dropping-particle" : "", "parse-names" : false, "suffix" : "" }, { "dropping-particle" : "", "family" : "Santos Pompeu", "given" : "Paulo", "non-dropping-particle" : "dos", "parse-names" : false, "suffix" : "" }, { "dropping-particle" : "", "family" : "Reynolds", "given" : "Lou", "non-dropping-particle" : "", "parse-names" : false, "suffix" : "" }, { "dropping-particle" : "", "family" : "Woody", "given" : "Carol Ann", "non-dropping-particle" : "", "parse-names" : false, "suffix" : "" } ], "container-title" : "Fisheries", "id" : "ITEM-1", "issue" : "1", "issued" : { "date-parts" : [ [ "2016" ] ] }, "page" : "12-15", "title" : "AFS Position Paper and Policy on Mining and Fossil Fuel Extraction", "type" : "article-journal", "volume" : "41" }, "uris" : [ "http://www.mendeley.com/documents/?uuid=3076809c-71e5-4fc7-ac7a-b7201c7dd058" ] } ], "mendeley" : { "formattedCitation" : "(Hughes et al. 2016)", "plainTextFormattedCitation" : "(Hughes et al. 2016)", "previouslyFormattedCitation" : "(Hughes et al. 2016)" }, "properties" : { "noteIndex" : 0 }, "schema" : "https://github.com/citation-style-language/schema/raw/master/csl-citation.json" }</w:instrText>
      </w:r>
      <w:r w:rsidRPr="008608AA">
        <w:rPr>
          <w:rFonts w:eastAsia="Calibri"/>
        </w:rPr>
        <w:fldChar w:fldCharType="separate"/>
      </w:r>
      <w:r w:rsidRPr="008608AA">
        <w:rPr>
          <w:rFonts w:eastAsia="Calibri"/>
        </w:rPr>
        <w:t>(Hughes et al., 2016)</w:t>
      </w:r>
      <w:r w:rsidRPr="008608AA">
        <w:rPr>
          <w:rFonts w:eastAsia="Calibri"/>
        </w:rPr>
        <w:fldChar w:fldCharType="end"/>
      </w:r>
      <w:r w:rsidRPr="008608AA">
        <w:rPr>
          <w:rFonts w:eastAsia="Calibri"/>
        </w:rPr>
        <w:t xml:space="preserve">. </w:t>
      </w:r>
    </w:p>
    <w:p w14:paraId="08F9B42D" w14:textId="77777777" w:rsidR="001E61A6" w:rsidRPr="008608AA" w:rsidRDefault="001E61A6" w:rsidP="00D84807">
      <w:pPr>
        <w:pStyle w:val="Heading4"/>
        <w:numPr>
          <w:ilvl w:val="0"/>
          <w:numId w:val="0"/>
        </w:numPr>
        <w:spacing w:before="120" w:line="240" w:lineRule="auto"/>
        <w:rPr>
          <w:szCs w:val="24"/>
        </w:rPr>
      </w:pPr>
      <w:bookmarkStart w:id="1529" w:name="_Toc517393352"/>
      <w:bookmarkStart w:id="1530" w:name="_Toc517394409"/>
      <w:bookmarkStart w:id="1531" w:name="_Toc517719093"/>
      <w:bookmarkStart w:id="1532" w:name="_Toc517797050"/>
      <w:r w:rsidRPr="008608AA">
        <w:rPr>
          <w:szCs w:val="24"/>
        </w:rPr>
        <w:t>Mesoamerica</w:t>
      </w:r>
      <w:bookmarkEnd w:id="1529"/>
      <w:bookmarkEnd w:id="1530"/>
      <w:bookmarkEnd w:id="1531"/>
      <w:bookmarkEnd w:id="1532"/>
    </w:p>
    <w:p w14:paraId="6E81D3DF" w14:textId="47E86B68" w:rsidR="001E61A6" w:rsidRPr="008608AA" w:rsidRDefault="001E61A6" w:rsidP="00D84807">
      <w:pPr>
        <w:spacing w:before="120"/>
        <w:rPr>
          <w:rFonts w:eastAsia="Calibri"/>
        </w:rPr>
      </w:pPr>
      <w:r w:rsidRPr="008608AA">
        <w:rPr>
          <w:rFonts w:eastAsia="Calibri"/>
        </w:rPr>
        <w:t xml:space="preserve">Basin-wide acidification is increasing in oceans surrounding Mesoamerica, with pH decreasing from 1991-2011 (Lauvset et al., 2015; Bates et al., 2014). If increases in atmospheric </w:t>
      </w:r>
      <w:r w:rsidR="00E03ED4" w:rsidRPr="008608AA">
        <w:t>carbon dioxide</w:t>
      </w:r>
      <w:r w:rsidRPr="008608AA">
        <w:rPr>
          <w:rFonts w:eastAsia="Calibri"/>
        </w:rPr>
        <w:t xml:space="preserve"> continue, many Pacific coral reef systems may no longer be viable (Feely et al., 2012). As for nitrogen deposition, studies in Mesoamerica suggest it could affect tropical forest composition by increasing soil nitrate levels that could then al</w:t>
      </w:r>
      <w:r w:rsidR="001D6B00" w:rsidRPr="008608AA">
        <w:rPr>
          <w:rFonts w:eastAsia="Calibri"/>
        </w:rPr>
        <w:t>ter the competitive ability of nitrogen</w:t>
      </w:r>
      <w:r w:rsidRPr="008608AA">
        <w:rPr>
          <w:rFonts w:eastAsia="Calibri"/>
        </w:rPr>
        <w:t>-fixing legumes or alter soil cation exchange capacity, making nutrients like calcium or potass</w:t>
      </w:r>
      <w:r w:rsidR="00C4488F" w:rsidRPr="008608AA">
        <w:rPr>
          <w:rFonts w:eastAsia="Calibri"/>
        </w:rPr>
        <w:t>ium scarcer (Sayer et al., 2012;</w:t>
      </w:r>
      <w:r w:rsidRPr="008608AA">
        <w:rPr>
          <w:rFonts w:eastAsia="Calibri"/>
        </w:rPr>
        <w:t xml:space="preserve"> Hietz et al., 2011). </w:t>
      </w:r>
    </w:p>
    <w:p w14:paraId="05AA14B1" w14:textId="746B5021" w:rsidR="001E61A6" w:rsidRPr="008608AA" w:rsidRDefault="001E61A6" w:rsidP="00D84807">
      <w:pPr>
        <w:spacing w:before="120"/>
        <w:rPr>
          <w:rFonts w:eastAsia="Calibri"/>
        </w:rPr>
      </w:pPr>
      <w:r w:rsidRPr="008608AA">
        <w:rPr>
          <w:rFonts w:eastAsia="Calibri"/>
        </w:rPr>
        <w:t>There are no systematic studies of agricultural chemicals in the Mesoamerica, but it appears that pesticides are frequently found in the environment. For example, glyphosate is the most commonly used pesticide in Mexico, and it was detected in water from all 23 locations sampled in one study, including protected and agricultural areas, and was higher during the dry season</w:t>
      </w:r>
      <w:r w:rsidR="00C4488F" w:rsidRPr="008608AA">
        <w:rPr>
          <w:rFonts w:eastAsia="Calibri"/>
        </w:rPr>
        <w:t xml:space="preserve"> (up to 36.7 ug/L) (Ruiz-Toledo</w:t>
      </w:r>
      <w:r w:rsidRPr="008608AA">
        <w:rPr>
          <w:rFonts w:eastAsia="Calibri"/>
        </w:rPr>
        <w:t xml:space="preserve"> et al., 2014). </w:t>
      </w:r>
    </w:p>
    <w:p w14:paraId="68E87562" w14:textId="77554627" w:rsidR="001E61A6" w:rsidRPr="008608AA" w:rsidRDefault="001E61A6" w:rsidP="00D84807">
      <w:pPr>
        <w:spacing w:before="120"/>
        <w:rPr>
          <w:rFonts w:eastAsia="Calibri"/>
        </w:rPr>
      </w:pPr>
      <w:r w:rsidRPr="008608AA">
        <w:rPr>
          <w:rFonts w:eastAsia="Calibri"/>
        </w:rPr>
        <w:t>Pesticide use in Costa Rica</w:t>
      </w:r>
      <w:r w:rsidR="001D6B00" w:rsidRPr="008608AA">
        <w:rPr>
          <w:rFonts w:eastAsia="Calibri"/>
        </w:rPr>
        <w:t xml:space="preserve"> more than quadrupled from 1977 to </w:t>
      </w:r>
      <w:r w:rsidRPr="008608AA">
        <w:rPr>
          <w:rFonts w:eastAsia="Calibri"/>
        </w:rPr>
        <w:t>2006, from approximately 2,650 metric tons of active ingredient to 11</w:t>
      </w:r>
      <w:r w:rsidR="001D6B00" w:rsidRPr="008608AA">
        <w:rPr>
          <w:rFonts w:eastAsia="Calibri"/>
        </w:rPr>
        <w:t>,600. In a study from late 2005 to 20</w:t>
      </w:r>
      <w:r w:rsidRPr="008608AA">
        <w:rPr>
          <w:rFonts w:eastAsia="Calibri"/>
        </w:rPr>
        <w:t>06, pesticides were measured invarious media througho</w:t>
      </w:r>
      <w:r w:rsidR="00C4488F" w:rsidRPr="008608AA">
        <w:rPr>
          <w:rFonts w:eastAsia="Calibri"/>
        </w:rPr>
        <w:t>ut Costa Rica (Shunthirasingham</w:t>
      </w:r>
      <w:r w:rsidRPr="008608AA">
        <w:rPr>
          <w:rFonts w:eastAsia="Calibri"/>
        </w:rPr>
        <w:t xml:space="preserve"> et al., 2011). Because of the variety of crops grown in Costa Rica (coffee, bananas, rice, and sugar cane) many different pesticides are used and were detected in this program, including some from fog and air samples in remote areas.</w:t>
      </w:r>
    </w:p>
    <w:p w14:paraId="38EC1B73" w14:textId="01F07686" w:rsidR="001E61A6" w:rsidRPr="008608AA" w:rsidRDefault="001E61A6" w:rsidP="00D84807">
      <w:pPr>
        <w:spacing w:before="120"/>
        <w:rPr>
          <w:rFonts w:eastAsia="Calibri"/>
        </w:rPr>
      </w:pPr>
      <w:r w:rsidRPr="008608AA">
        <w:rPr>
          <w:rFonts w:eastAsia="Calibri"/>
        </w:rPr>
        <w:t>In Mesoamerica, past rather than current use appears to drive organochlo</w:t>
      </w:r>
      <w:r w:rsidR="001D6B00" w:rsidRPr="008608AA">
        <w:rPr>
          <w:rFonts w:eastAsia="Calibri"/>
        </w:rPr>
        <w:t xml:space="preserve">rine pesticides contamination. </w:t>
      </w:r>
      <w:r w:rsidRPr="008608AA">
        <w:rPr>
          <w:rFonts w:eastAsia="Calibri"/>
        </w:rPr>
        <w:t>A Costa Rican location with limited past organochlorine pesticides use has low air and soil organochlorine pesti</w:t>
      </w:r>
      <w:r w:rsidR="00C4488F" w:rsidRPr="008608AA">
        <w:rPr>
          <w:rFonts w:eastAsia="Calibri"/>
        </w:rPr>
        <w:t>cides levels (Daly et al., 2007;</w:t>
      </w:r>
      <w:r w:rsidRPr="008608AA">
        <w:rPr>
          <w:rFonts w:eastAsia="Calibri"/>
        </w:rPr>
        <w:t xml:space="preserve"> UNEP</w:t>
      </w:r>
      <w:r w:rsidR="00C4488F" w:rsidRPr="008608AA">
        <w:rPr>
          <w:rFonts w:eastAsia="Calibri"/>
        </w:rPr>
        <w:t>,</w:t>
      </w:r>
      <w:r w:rsidRPr="008608AA">
        <w:rPr>
          <w:rFonts w:eastAsia="Calibri"/>
        </w:rPr>
        <w:t xml:space="preserve"> 2009). Air and soil from four Mesoamerican sites had low polychlorinated biphenyls and </w:t>
      </w:r>
      <w:r w:rsidRPr="008608AA">
        <w:t>polybrominated diphenyl ethers</w:t>
      </w:r>
      <w:r w:rsidRPr="008608AA">
        <w:rPr>
          <w:rFonts w:eastAsia="Calibri"/>
        </w:rPr>
        <w:t xml:space="preserve"> levels (Shen et al., 2006), but in Mexican communities where past agricultural and antimalarial DDT (dichlorodiphenyltrichloroethane) use was high, human exposure to DDT components and dichlorodiphenyldichloroethylene is high. Children had polychlorinated biphenyls in their blood. Risk assessments should consider multiple persistent organic pollutants exposures. Metal mining concessions cover 28% of Mexico and 8% of Mexico’s protected land (Armendariz-Villegas et al., 2015). Limited studies suggest that mercury levels are not elevated in sharks and rays; freshwater and marine forage fish for migratory aquatic raptors; or Pacific coastal water and sediment</w:t>
      </w:r>
      <w:r w:rsidR="00C4488F" w:rsidRPr="008608AA">
        <w:rPr>
          <w:rFonts w:eastAsia="Calibri"/>
        </w:rPr>
        <w:t xml:space="preserve"> (Sandoval-Herrera et al., 2016; Gutierrez-Galindo et al., 2007;</w:t>
      </w:r>
      <w:r w:rsidRPr="008608AA">
        <w:rPr>
          <w:rFonts w:eastAsia="Calibri"/>
        </w:rPr>
        <w:t xml:space="preserve"> Elliot et al., 2015). Soils at former mining sites in Mexico have high mercury levels. (Santos-Santos et al., 2006). Though mercury may be stable in some soils (Gavilán-Garía et al., 2008), it is most toxic when methylated in wet environments, warranting surveys of mercury contamination in nearby waters. Artisanal mining still releases mercury to aquatic environments in Mesoamerica. </w:t>
      </w:r>
    </w:p>
    <w:p w14:paraId="54E5E55D" w14:textId="77777777" w:rsidR="001E61A6" w:rsidRPr="008608AA" w:rsidRDefault="001E61A6" w:rsidP="00D84807">
      <w:pPr>
        <w:pStyle w:val="Heading4"/>
        <w:numPr>
          <w:ilvl w:val="0"/>
          <w:numId w:val="0"/>
        </w:numPr>
        <w:spacing w:before="120" w:line="240" w:lineRule="auto"/>
      </w:pPr>
      <w:bookmarkStart w:id="1533" w:name="_Toc517393353"/>
      <w:bookmarkStart w:id="1534" w:name="_Toc517394410"/>
      <w:bookmarkStart w:id="1535" w:name="_Toc517719094"/>
      <w:bookmarkStart w:id="1536" w:name="_Toc517797051"/>
      <w:r w:rsidRPr="008608AA">
        <w:t>Caribbean</w:t>
      </w:r>
      <w:bookmarkEnd w:id="1533"/>
      <w:bookmarkEnd w:id="1534"/>
      <w:bookmarkEnd w:id="1535"/>
      <w:bookmarkEnd w:id="1536"/>
    </w:p>
    <w:p w14:paraId="129D11C8" w14:textId="3D75EFEA" w:rsidR="001E61A6" w:rsidRPr="008608AA" w:rsidRDefault="001E61A6" w:rsidP="00D84807">
      <w:pPr>
        <w:spacing w:before="120"/>
        <w:rPr>
          <w:rFonts w:eastAsia="Calibri"/>
        </w:rPr>
      </w:pPr>
      <w:r w:rsidRPr="008608AA">
        <w:rPr>
          <w:rFonts w:eastAsia="Calibri"/>
        </w:rPr>
        <w:t xml:space="preserve">Worth almost $2 billion in 2003, the annual net benefit from Caribbean island coral reefs, excluding USA reefs, was more than the </w:t>
      </w:r>
      <w:r w:rsidR="007A1995" w:rsidRPr="008608AA">
        <w:rPr>
          <w:rFonts w:eastAsia="Calibri"/>
        </w:rPr>
        <w:t>GDP</w:t>
      </w:r>
      <w:r w:rsidRPr="008608AA">
        <w:rPr>
          <w:rFonts w:eastAsia="Calibri"/>
        </w:rPr>
        <w:t xml:space="preserve"> of some</w:t>
      </w:r>
      <w:r w:rsidR="00432A5B" w:rsidRPr="008608AA">
        <w:rPr>
          <w:rFonts w:eastAsia="Calibri"/>
        </w:rPr>
        <w:t xml:space="preserve"> e</w:t>
      </w:r>
      <w:r w:rsidRPr="008608AA">
        <w:rPr>
          <w:rFonts w:eastAsia="Calibri"/>
        </w:rPr>
        <w:t>astern Caribbean island nations. The difference between the income they generate and their maintenance cost was almost $50 billion (</w:t>
      </w:r>
      <w:r w:rsidRPr="008608AA">
        <w:rPr>
          <w:rFonts w:eastAsia="Calibri"/>
        </w:rPr>
        <w:fldChar w:fldCharType="begin" w:fldLock="1"/>
      </w:r>
      <w:r w:rsidRPr="008608AA">
        <w:rPr>
          <w:rFonts w:eastAsia="Calibri"/>
        </w:rPr>
        <w:instrText>ADDIN CSL_CITATION { "citationItems" : [ { "id" : "ITEM-1", "itemData" : { "ISBN" : "3126445217", "ISSN" : "3126445217", "PMID" : "679", "abstract" : "Coral reefs are an incredibly valuable ecosystem. Not only are they very important for nature, but they represent a very high value for humankind, supporting millions of people whose lives depend on these natural resources for a source of food and income. Estimates in this report show that coral reefs provide each year nearly US 30 billion in net benefits in goods and services to world economies, including, tourism, fisheries and coastal protection (Table 1). Yet coral reefs are under heavy pressure. Already, 27% is permanently lost and with current trends, a further 30% is at risk of being lost in the coming thirty years. With such devastating levels of destruction, the social and economic implications for the millions of people who depend on coral reefs are of great concern. Over 39% of the world population now live within 100 kilometres of the coast and many people in these areas depend on reefs. Reefs protect coastlines and reef fish provide a source of nutrition and income. Poverty increases and food security decreases as fish stocks are depleted. This drives fishers further toward the use of destructive methods to catch what little there is left. Key causes of coral reef decline have been the over-development of the coastal area and the over-use of coral reef resources. Migration to coastal areas has created a surge in land development leading to clearance of important coastal ecosystems such as mangroves and seagrass beds. Unregulated coastal construction, such as hotels, factories and desalination plants, has increased sedimentation in the coastal waters and is destroying reefs worldwide as light levels in the water column are reduced and reefs are smothered. Untreated sewage and chemical agriculture run-off (e.g. pesticides, herbicides and fertilizers) have caused nutrient loading into coral reef waters, leading to algal blooms and eutrophication. Overfishing and destructive fishing practices have decimated coral reef fish populations and their habitats. In addition, increases in sea surface temperatures associated with global climate change are causing ever more frequent bleaching events. Countries with coral reefs attract millions of SCUBA divers every year, yielding significant economic benefits to the host country. Globally, tourism is estimated to provide US 9.6 billion in annual net benefits and a multiple of this amount in tourism spending (Table 1). These revenue streams in coral reef areas are being threatened by the deterioration of c\u2026", "author" : [ { "dropping-particle" : "", "family" : "Cesar", "given" : "H.", "non-dropping-particle" : "", "parse-names" : false, "suffix" : "" }, { "dropping-particle" : "", "family" : "Burke", "given" : "L.", "non-dropping-particle" : "", "parse-names" : false, "suffix" : "" }, { "dropping-particle" : "", "family" : "Pet-soede", "given" : "L.", "non-dropping-particle" : "", "parse-names" : false, "suffix" : "" } ], "container-title" : "Cesar Environmental Economics Consulting, Arnhem, and WWF-Netherlands", "id" : "ITEM-1", "issued" : { "date-parts" : [ [ "2003" ] ] }, "page" : "23", "title" : "The Economics of Worldwide Coral Reef Degradation", "type" : "article-journal", "volume" : "14" }, "uris" : [ "http://www.mendeley.com/documents/?uuid=0d688b12-3228-40dc-a06d-80c93cb6221e" ] } ], "mendeley" : { "formattedCitation" : "(Cesar et al. 2003)", "manualFormatting" : "Cesar et al. 2003", "plainTextFormattedCitation" : "(Cesar et al. 2003)", "previouslyFormattedCitation" : "(Cesar et al. 2003)" }, "properties" : { "noteIndex" : 0 }, "schema" : "https://github.com/citation-style-language/schema/raw/master/csl-citation.json" }</w:instrText>
      </w:r>
      <w:r w:rsidRPr="008608AA">
        <w:rPr>
          <w:rFonts w:eastAsia="Calibri"/>
        </w:rPr>
        <w:fldChar w:fldCharType="separate"/>
      </w:r>
      <w:r w:rsidRPr="008608AA">
        <w:rPr>
          <w:rFonts w:eastAsia="Calibri"/>
        </w:rPr>
        <w:t>Cesar et al., 2003</w:t>
      </w:r>
      <w:r w:rsidRPr="008608AA">
        <w:rPr>
          <w:rFonts w:eastAsia="Calibri"/>
        </w:rPr>
        <w:fldChar w:fldCharType="end"/>
      </w:r>
      <w:r w:rsidRPr="008608AA">
        <w:rPr>
          <w:rFonts w:eastAsia="Calibri"/>
        </w:rPr>
        <w:t xml:space="preserve">). Forest cover increases on Caribbean islands (section 4.4.1) should reduce sedimentation to coral reefs, but concurrent urbanization could offset those benefits </w:t>
      </w:r>
      <w:r w:rsidRPr="008608AA">
        <w:rPr>
          <w:rFonts w:eastAsia="Calibri"/>
        </w:rPr>
        <w:fldChar w:fldCharType="begin" w:fldLock="1"/>
      </w:r>
      <w:r w:rsidRPr="008608AA">
        <w:rPr>
          <w:rFonts w:eastAsia="Calibri"/>
        </w:rPr>
        <w:instrText>ADDIN CSL_CITATION { "citationItems" : [ { "id" : "ITEM-1", "itemData" : { "DOI" : "10.1016/j.scitotenv.2014.11.016", "ISSN" : "18791026", "PMID" : "25460957", "abstract" : "Anthropogenically enhanced delivery of sediments and other land-based sources of pollution represent well-recognized threats to nearshore coral reef communities worldwide. Land cover change is commonly used as a proxy to document human-induced alterations to sediment and pollutant delivery rates to coral reef bearing waters. In this article, land cover change was assessed for a 69-km2 watershed in Puerto Rico between 1936 and 2004 by aerial photograph interpretation. Forests and sugar cane fields predominated from 1936 through the late 1970s, but while cropland dipped to negligible levels by 2004, net forest cover doubled and built-up areas increased tenfold. The watershed-scale land cover changes documented here mimicked those of the entire Puerto Rican landmass. Sediment yield predictions that rely on the sort of land cover changes reported here inevitably result in declining trends, but anecdotal and scientific evidence in the study watershed and throughout Puerto Rico suggests that sediment and pollutant loading rates still remain high and at potentially threatening levels. The simultaneous reduction in living coral cover that accompanied reforestation and urbanization patterns since the 1970s in our study region is discussed here within the context of the following non-mutually exclusive potential explanations: (a) the inability of land cover change-based assessments to discern spatially-focused, yet highly influential sources of sediment; (b) the potentially secondary role of cropland and forest cover changes in influencing nearshore coral reef conditions relative to other types of stressors like those related to climate change; and (c) the potentially dominant role that urban development may have had in altering marine water quality to the extent of reducing live coral cover. Since identification of the causes for coral reef degradation has proven elusive here and elsewhere, we infer that coral reef management may only be effective when numerous land- and marine-based stressors are simultaneously mitigated.", "author" : [ { "dropping-particle" : "", "family" : "Ramos-Scharr??n", "given" : "Carlos E.", "non-dropping-particle" : "", "parse-names" : false, "suffix" : "" }, { "dropping-particle" : "", "family" : "Torres-Pulliza", "given" : "Damaris", "non-dropping-particle" : "", "parse-names" : false, "suffix" : "" }, { "dropping-particle" : "", "family" : "Hern??ndez-Delgado", "given" : "Edwin A.", "non-dropping-particle" : "", "parse-names" : false, "suffix" : "" } ], "container-title" : "Science of the Total Environment", "id" : "ITEM-1", "issue" : "August 2015", "issued" : { "date-parts" : [ [ "2015" ] ] }, "page" : "241-251", "title" : "Watershed- and island wide-scale land cover changes in Puerto Rico (1930s-2004) and their potential effects on coral reef ecosystems", "type" : "article-journal", "volume" : "506-507" }, "uris" : [ "http://www.mendeley.com/documents/?uuid=3f414550-7fe3-4162-b2b6-98fdd9915ed4" ] } ], "mendeley" : { "formattedCitation" : "(Ramos-Scharr??n et al. 2015)", "plainTextFormattedCitation" : "(Ramos-Scharr??n et al. 2015)", "previouslyFormattedCitation" : "(Ramos-Scharr??n et al. 2015)" }, "properties" : { "noteIndex" : 0 }, "schema" : "https://github.com/citation-style-language/schema/raw/master/csl-citation.json" }</w:instrText>
      </w:r>
      <w:r w:rsidRPr="008608AA">
        <w:rPr>
          <w:rFonts w:eastAsia="Calibri"/>
        </w:rPr>
        <w:fldChar w:fldCharType="separate"/>
      </w:r>
      <w:r w:rsidRPr="008608AA">
        <w:rPr>
          <w:rFonts w:eastAsia="Calibri"/>
        </w:rPr>
        <w:t>(Ramos-Scharron et al., 2015)</w:t>
      </w:r>
      <w:r w:rsidRPr="008608AA">
        <w:rPr>
          <w:rFonts w:eastAsia="Calibri"/>
        </w:rPr>
        <w:fldChar w:fldCharType="end"/>
      </w:r>
      <w:r w:rsidRPr="008608AA">
        <w:rPr>
          <w:rFonts w:eastAsia="Calibri"/>
        </w:rPr>
        <w:t>. Ocean acidification, pollution from human sewage, other nutrient pollution sources, sedimentation and temperature increases all contribute to Caribbean coral reef declines (</w:t>
      </w:r>
      <w:r w:rsidR="007A1995" w:rsidRPr="008608AA">
        <w:t>Box 4.11</w:t>
      </w:r>
      <w:r w:rsidRPr="008608AA">
        <w:rPr>
          <w:rFonts w:eastAsia="Calibri"/>
        </w:rPr>
        <w:t xml:space="preserve">). In addition, decreases in aragonite (calcium carbonate) saturation levels across the region </w:t>
      </w:r>
      <w:r w:rsidR="007A1995" w:rsidRPr="008608AA">
        <w:rPr>
          <w:rFonts w:eastAsia="Calibri"/>
        </w:rPr>
        <w:t>(Figure 4.8</w:t>
      </w:r>
      <w:r w:rsidRPr="008608AA">
        <w:rPr>
          <w:rFonts w:eastAsia="Calibri"/>
        </w:rPr>
        <w:t xml:space="preserve">) </w:t>
      </w:r>
      <w:r w:rsidRPr="008608AA">
        <w:rPr>
          <w:rFonts w:eastAsia="Calibri"/>
        </w:rPr>
        <w:fldChar w:fldCharType="begin" w:fldLock="1"/>
      </w:r>
      <w:r w:rsidRPr="008608AA">
        <w:rPr>
          <w:rFonts w:eastAsia="Calibri"/>
        </w:rPr>
        <w:instrText>ADDIN CSL_CITATION { "citationItems" : [ { "id" : "ITEM-1", "itemData" : { "DOI" : "10.1029/2007JC004629", "ISBN" : "0148-0227", "ISSN" : "21699291", "abstract" : "The global oceans serve as the largest sustained natural sink for increasing atmospheric carbon dioxide (CO2) concentrations. As this CO2 is absorbed by seawater, it not only reacts causing a reduction in seawater pH (or acidification) but also decreases the carbonate mineral saturation state (\u00ce), which plays an important role in calcification for many marine organisms. Ocean acidification could affect some of the most fundamental biological and geochemical processes of the sea in coming decades. Observations obtained in situ from Volunteer Observing Ships and multiple geochemical surveys have been extended using satellite remote sensing and modeled environmental parameters to derive estimates of sea-surface alkalinity (AT) and carbon dioxide partial pressure (pCO2,sw). Pairing estimates of AT and pCO2,sw have permitted characterization of the changes in sea-surface \u00ce, which have transpired over the past decade throughout the Greater Caribbean Region as a consequence of ocean acidification. The results reveal considerable spatial and temporal variability throughout the region. Despite this variability, we observed a strong secular decrease in aragonite saturation state (\u00cearg) at a rate of approximately \u00e2\u02c60.012 \u00c2 0.001 \u00cearg yr\u00e2\u02c61 (r 2 = 0.97, P &lt; 0.001).", "author" : [ { "dropping-particle" : "", "family" : "Gledhill", "given" : "Dwight K.", "non-dropping-particle" : "", "parse-names" : false, "suffix" : "" }, { "dropping-particle" : "", "family" : "Wanninkhof", "given" : "Rik", "non-dropping-particle" : "", "parse-names" : false, "suffix" : "" }, { "dropping-particle" : "", "family" : "Millero", "given" : "Frank K.", "non-dropping-particle" : "", "parse-names" : false, "suffix" : "" }, { "dropping-particle" : "", "family" : "Eakin", "given" : "Mark", "non-dropping-particle" : "", "parse-names" : false, "suffix" : "" } ], "container-title" : "Journal of Geophysical Research: Oceans", "id" : "ITEM-1", "issue" : "10", "issued" : { "date-parts" : [ [ "2008" ] ] }, "page" : "1-11", "title" : "Ocean acidification of the Greater Caribbean Region 1996-2006", "type" : "article-journal", "volume" : "113" }, "uris" : [ "http://www.mendeley.com/documents/?uuid=1d89b200-07c2-4e03-b41f-bf65972d8f14" ] } ], "mendeley" : { "formattedCitation" : "(Gledhill et al. 2008)", "plainTextFormattedCitation" : "(Gledhill et al. 2008)", "previouslyFormattedCitation" : "(Gledhill et al. 2008)" }, "properties" : { "noteIndex" : 0 }, "schema" : "https://github.com/citation-style-language/schema/raw/master/csl-citation.json" }</w:instrText>
      </w:r>
      <w:r w:rsidRPr="008608AA">
        <w:rPr>
          <w:rFonts w:eastAsia="Calibri"/>
        </w:rPr>
        <w:fldChar w:fldCharType="separate"/>
      </w:r>
      <w:r w:rsidRPr="008608AA">
        <w:rPr>
          <w:rFonts w:eastAsia="Calibri"/>
        </w:rPr>
        <w:t>(Gledhill et al., 2008)</w:t>
      </w:r>
      <w:r w:rsidRPr="008608AA">
        <w:rPr>
          <w:rFonts w:eastAsia="Calibri"/>
        </w:rPr>
        <w:fldChar w:fldCharType="end"/>
      </w:r>
      <w:r w:rsidRPr="008608AA">
        <w:rPr>
          <w:rFonts w:eastAsia="Calibri"/>
        </w:rPr>
        <w:t xml:space="preserve"> due to acidification damages coral reef structure </w:t>
      </w:r>
      <w:r w:rsidRPr="008608AA">
        <w:rPr>
          <w:rFonts w:eastAsia="Calibri"/>
        </w:rPr>
        <w:fldChar w:fldCharType="begin" w:fldLock="1"/>
      </w:r>
      <w:r w:rsidRPr="008608AA">
        <w:rPr>
          <w:rFonts w:eastAsia="Calibri"/>
        </w:rPr>
        <w:instrText>ADDIN CSL_CITATION { "citationItems" : [ { "id" : "ITEM-1", "itemData" : { "DOI" : "10.1111/gcb.12008", "ISBN" : "1365-2486", "ISSN" : "13541013", "PMID" : "23504741", "abstract" : "Crustose coralline algae (CCA) are a critical component of coral reefs as they accrete carbonate for reef structure and act as settlement substrata for many invertebrates including corals. CCA host a diversity of microorganisms that can also play a role in coral settlement and metamorphosis processes. Although the sensitivity of CCA to ocean acidification (OA) is well established, the response of their associated microbial communities to reduced pH and increased CO2 was previously not known. Here we investigate the sensitivity of CCA-associated microbial biofilms to OA and determine whether or not OA adversely affects the ability of CCA to induce coral larval metamorphosis. We experimentally exposed the CCA Hydrolithon onkodes to four pH/pCO2 conditions consistent with current IPCC predictions for the next few centuries (pH: 8.1, 7.9, 7.7, 7.5, pCO2 : 464, 822, 1187, 1638\u00a0\u03bcatm). Settlement and metamorphosis of coral larvae was reduced on CCA pre-exposed to pH 7.7 (pCO2 \u00a0=\u00a01187\u00a0\u03bcatm) and below over a 6-week period. Additional experiments demonstrated that low pH treatments did not directly affect the ability of larvae to settle, but instead most likely altered the biochemistry of the CCA or its microbial associates. Detailed microbial community analysis of the CCA revealed diverse bacterial assemblages that altered significantly between pH 8.1 (pCO2 \u00a0=\u00a0464\u00a0\u03bcatm) and pH 7.9 (pCO2 \u00a0=\u00a0822\u00a0\u03bcatm) with this trend continuing at lower pH/higher pCO2 treatments. The shift in microbial community composition primarily comprised changes in the abundance of the dominant microbes between the different pH treatments and the appearance of new (but rare) microbes at pH 7.5. Microbial shifts and the concomitant reduced ability of CCA to induce coral settlement under OA conditions projected to occur by 2100 is a significant concern for the development, maintenance and recovery of reefs globally.", "author" : [ { "dropping-particle" : "", "family" : "Webster", "given" : "Nicole S.", "non-dropping-particle" : "", "parse-names" : false, "suffix" : "" }, { "dropping-particle" : "", "family" : "Uthicke", "given" : "Sven", "non-dropping-particle" : "", "parse-names" : false, "suffix" : "" }, { "dropping-particle" : "", "family" : "Bott\u00e9", "given" : "Emanuelle S.", "non-dropping-particle" : "", "parse-names" : false, "suffix" : "" }, { "dropping-particle" : "", "family" : "Flores", "given" : "Florita", "non-dropping-particle" : "", "parse-names" : false, "suffix" : "" }, { "dropping-particle" : "", "family" : "Negri", "given" : "Andrew P.", "non-dropping-particle" : "", "parse-names" : false, "suffix" : "" } ], "container-title" : "Global Change Biology", "id" : "ITEM-1", "issue" : "1", "issued" : { "date-parts" : [ [ "2013" ] ] }, "page" : "303-315", "title" : "Ocean acidification reduces induction of coral settlement by crustose coralline algae", "type" : "article-journal", "volume" : "19" }, "uris" : [ "http://www.mendeley.com/documents/?uuid=3800a970-a6f5-4845-8896-98c39a078551" ] } ], "mendeley" : { "formattedCitation" : "(Webster et al. 2013)", "plainTextFormattedCitation" : "(Webster et al. 2013)", "previouslyFormattedCitation" : "(Webster et al. 2013)" }, "properties" : { "noteIndex" : 0 }, "schema" : "https://github.com/citation-style-language/schema/raw/master/csl-citation.json" }</w:instrText>
      </w:r>
      <w:r w:rsidRPr="008608AA">
        <w:rPr>
          <w:rFonts w:eastAsia="Calibri"/>
        </w:rPr>
        <w:fldChar w:fldCharType="separate"/>
      </w:r>
      <w:r w:rsidRPr="008608AA">
        <w:rPr>
          <w:rFonts w:eastAsia="Calibri"/>
        </w:rPr>
        <w:t>(Webster et al., 2013)</w:t>
      </w:r>
      <w:r w:rsidRPr="008608AA">
        <w:rPr>
          <w:rFonts w:eastAsia="Calibri"/>
        </w:rPr>
        <w:fldChar w:fldCharType="end"/>
      </w:r>
      <w:r w:rsidRPr="008608AA">
        <w:rPr>
          <w:rFonts w:eastAsia="Calibri"/>
        </w:rPr>
        <w:t>.</w:t>
      </w:r>
    </w:p>
    <w:p w14:paraId="03AF02C3" w14:textId="6F05BAF5" w:rsidR="00DE14EE" w:rsidRPr="008608AA" w:rsidRDefault="001E61A6" w:rsidP="00D84807">
      <w:pPr>
        <w:spacing w:before="120"/>
        <w:rPr>
          <w:rFonts w:eastAsia="Calibri"/>
        </w:rPr>
      </w:pPr>
      <w:r w:rsidRPr="008608AA">
        <w:rPr>
          <w:rFonts w:eastAsia="Calibri"/>
        </w:rPr>
        <w:t>Few studies examine nutrient and sediment in Caribbean rivers and streams, but Puerto Rico provides an example. Beginning in the 1800s, land clearing for agriculture and urban development increased sediment and nutrient fluxes to coral reefs. A study examining sediment flux from different land uses (forest, pasture, cropland, and urban) showed that the sediment flux was higher on disturbed land and depended on the storm hydrograph, previous storms, location in the watershed, and underlying geology (Gellis, 2013). Despite much reforestation since the mid-1940s, sediment transported to river valleys from previous agriculture is still being transported through river systems. Nitrogen and phosphorous concentrations in river waters are within regulatory limits but up to 10 times higer than estimated pre-settlement levels, negatively affecting coral reefs, especially near shores. Nitrogen deposition in in Puerto Rico was associated with more soil nitrates (Cusak et al., 2015). Other anthropogenic sources of nitrogen to Caribbean ecosystems</w:t>
      </w:r>
      <w:r w:rsidR="00432A5B" w:rsidRPr="008608AA">
        <w:rPr>
          <w:rFonts w:eastAsia="Calibri"/>
        </w:rPr>
        <w:t xml:space="preserve"> come from reforestation with molecular nitrogen</w:t>
      </w:r>
      <w:r w:rsidRPr="008608AA">
        <w:rPr>
          <w:rFonts w:eastAsia="Calibri"/>
        </w:rPr>
        <w:t>-fixing trees, including exotic species (Erickson et al., 2015).</w:t>
      </w:r>
    </w:p>
    <w:p w14:paraId="3CEC3D38" w14:textId="2E9EBDF8" w:rsidR="001E61A6" w:rsidRPr="008608AA" w:rsidRDefault="00D84807" w:rsidP="00D84807">
      <w:pPr>
        <w:pStyle w:val="Caption"/>
        <w:rPr>
          <w:b w:val="0"/>
          <w:bCs w:val="0"/>
          <w:szCs w:val="20"/>
        </w:rPr>
      </w:pPr>
      <w:bookmarkStart w:id="1537" w:name="_Toc499200383"/>
      <w:bookmarkStart w:id="1538" w:name="_Toc499459226"/>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11</w:t>
      </w:r>
      <w:r w:rsidR="000E562E">
        <w:rPr>
          <w:noProof/>
        </w:rPr>
        <w:fldChar w:fldCharType="end"/>
      </w:r>
      <w:r w:rsidRPr="008608AA">
        <w:t xml:space="preserve">. </w:t>
      </w:r>
      <w:r w:rsidR="001E61A6" w:rsidRPr="008608AA">
        <w:rPr>
          <w:szCs w:val="20"/>
        </w:rPr>
        <w:t>Regional flattening of Caribbean Sea coral reefs</w:t>
      </w:r>
      <w:bookmarkEnd w:id="1537"/>
      <w:bookmarkEnd w:id="1538"/>
    </w:p>
    <w:tbl>
      <w:tblPr>
        <w:tblStyle w:val="Tabelacomgrade1"/>
        <w:tblW w:w="5000" w:type="pct"/>
        <w:tblLook w:val="04A0" w:firstRow="1" w:lastRow="0" w:firstColumn="1" w:lastColumn="0" w:noHBand="0" w:noVBand="1"/>
      </w:tblPr>
      <w:tblGrid>
        <w:gridCol w:w="9487"/>
      </w:tblGrid>
      <w:tr w:rsidR="001E61A6" w:rsidRPr="00A26FD5" w14:paraId="00E66570" w14:textId="77777777" w:rsidTr="009C39CE">
        <w:tc>
          <w:tcPr>
            <w:tcW w:w="5000" w:type="pct"/>
          </w:tcPr>
          <w:p w14:paraId="4DF57199" w14:textId="5364B39D" w:rsidR="001E61A6" w:rsidRPr="00A26FD5" w:rsidRDefault="001E61A6" w:rsidP="00A345FC">
            <w:pPr>
              <w:jc w:val="both"/>
              <w:rPr>
                <w:rFonts w:eastAsia="Calibri"/>
                <w:sz w:val="22"/>
                <w:szCs w:val="22"/>
              </w:rPr>
            </w:pPr>
            <w:r w:rsidRPr="00A26FD5">
              <w:rPr>
                <w:rFonts w:eastAsia="Calibri"/>
                <w:sz w:val="22"/>
                <w:szCs w:val="22"/>
              </w:rPr>
              <w:t xml:space="preserve">All four subregions of the Americas border the Caribbean Sea. Caribbean coral reefs have undergone a region-wide “flattening”, in which an objective measure of their structural complexity, their “rugosity”, which is directly related to their species diversity (Newman et al., 2015) greatly decreased from 1969 to 2008 (Álvarez-Filip et al., 2009) (see </w:t>
            </w:r>
            <w:r w:rsidR="007A1995" w:rsidRPr="00A26FD5">
              <w:rPr>
                <w:rFonts w:eastAsia="Calibri"/>
                <w:sz w:val="22"/>
                <w:szCs w:val="22"/>
              </w:rPr>
              <w:t>Figure 4.7</w:t>
            </w:r>
            <w:r w:rsidRPr="00A26FD5">
              <w:rPr>
                <w:rFonts w:eastAsia="Calibri"/>
                <w:sz w:val="22"/>
                <w:szCs w:val="22"/>
              </w:rPr>
              <w:t>). Caribbean reefs are among the marine ecosystems most impacted by humans (Halpern</w:t>
            </w:r>
            <w:r w:rsidR="00C4488F" w:rsidRPr="00A26FD5">
              <w:rPr>
                <w:rFonts w:eastAsia="Calibri"/>
                <w:sz w:val="22"/>
                <w:szCs w:val="22"/>
              </w:rPr>
              <w:t>,</w:t>
            </w:r>
            <w:r w:rsidRPr="00A26FD5">
              <w:rPr>
                <w:rFonts w:eastAsia="Calibri"/>
                <w:sz w:val="22"/>
                <w:szCs w:val="22"/>
              </w:rPr>
              <w:t xml:space="preserve"> 2009). Globally, Caribbean coral reefs have the most critically endangered species as a proportion of total species (Carpenter et al., 2008). Models suggest that ocean acidification and warming alone are enough to cause widespread coral mortality and reduced growth (Anthony et al., 2011). Further, overfishing that reduces populations of the fish that graze sponges or algae can also degrade Caribb</w:t>
            </w:r>
            <w:r w:rsidR="00C4488F" w:rsidRPr="00A26FD5">
              <w:rPr>
                <w:rFonts w:eastAsia="Calibri"/>
                <w:sz w:val="22"/>
                <w:szCs w:val="22"/>
              </w:rPr>
              <w:t>ean reefs (Anthony et al., 2011;</w:t>
            </w:r>
            <w:r w:rsidRPr="00A26FD5">
              <w:rPr>
                <w:rFonts w:eastAsia="Calibri"/>
                <w:sz w:val="22"/>
                <w:szCs w:val="22"/>
              </w:rPr>
              <w:t xml:space="preserve"> Loh et al., 2015), and these same models suggest overfishing of the fish that eat algae or elevated nutrient levels will lessen coral reef resilience to ocean acidification or warming (Anthony et al., 2011). Caribbean coral reefs are subject to a variety of other stressors that reduce reef resistance to acidification (Anthony et al., 2011; Woodridge </w:t>
            </w:r>
            <w:r w:rsidR="00C4488F" w:rsidRPr="00A26FD5">
              <w:rPr>
                <w:rFonts w:eastAsia="Calibri"/>
                <w:sz w:val="22"/>
                <w:szCs w:val="22"/>
              </w:rPr>
              <w:t>&amp;</w:t>
            </w:r>
            <w:r w:rsidRPr="00A26FD5">
              <w:rPr>
                <w:rFonts w:eastAsia="Calibri"/>
                <w:sz w:val="22"/>
                <w:szCs w:val="22"/>
              </w:rPr>
              <w:t xml:space="preserve"> Done</w:t>
            </w:r>
            <w:r w:rsidR="00C4488F" w:rsidRPr="00A26FD5">
              <w:rPr>
                <w:rFonts w:eastAsia="Calibri"/>
                <w:sz w:val="22"/>
                <w:szCs w:val="22"/>
              </w:rPr>
              <w:t>,</w:t>
            </w:r>
            <w:r w:rsidRPr="00A26FD5">
              <w:rPr>
                <w:rFonts w:eastAsia="Calibri"/>
                <w:sz w:val="22"/>
                <w:szCs w:val="22"/>
              </w:rPr>
              <w:t xml:space="preserve"> 2009). Pollution sources include sedimentation, which represents a severe disturbance (Fabricius</w:t>
            </w:r>
            <w:r w:rsidR="00C4488F" w:rsidRPr="00A26FD5">
              <w:rPr>
                <w:rFonts w:eastAsia="Calibri"/>
                <w:sz w:val="22"/>
                <w:szCs w:val="22"/>
              </w:rPr>
              <w:t>,</w:t>
            </w:r>
            <w:r w:rsidRPr="00A26FD5">
              <w:rPr>
                <w:rFonts w:eastAsia="Calibri"/>
                <w:sz w:val="22"/>
                <w:szCs w:val="22"/>
              </w:rPr>
              <w:t xml:space="preserve"> 2005), and nutrient-laden runoff including sewage. Reefs are exposed to elevated nitrogen from runoff and discharges off the coast of Mexico when tourist numbers are higher (Sanchez et al., 2013). In experiments, nitrogen enrichment decreases calcification rates including for at least two dominant reef-building Caribbean corals species, and likely contributes to coral overgrowth by algae (Marubini </w:t>
            </w:r>
            <w:r w:rsidR="00C4488F" w:rsidRPr="00A26FD5">
              <w:rPr>
                <w:rFonts w:eastAsia="Calibri"/>
                <w:sz w:val="22"/>
                <w:szCs w:val="22"/>
              </w:rPr>
              <w:t>&amp; Davies</w:t>
            </w:r>
            <w:r w:rsidR="00990DA6" w:rsidRPr="00A26FD5">
              <w:rPr>
                <w:rFonts w:eastAsia="Calibri"/>
                <w:sz w:val="22"/>
                <w:szCs w:val="22"/>
              </w:rPr>
              <w:t>,</w:t>
            </w:r>
            <w:r w:rsidR="00C4488F" w:rsidRPr="00A26FD5">
              <w:rPr>
                <w:rFonts w:eastAsia="Calibri"/>
                <w:sz w:val="22"/>
                <w:szCs w:val="22"/>
              </w:rPr>
              <w:t xml:space="preserve"> 1996;</w:t>
            </w:r>
            <w:r w:rsidRPr="00A26FD5">
              <w:rPr>
                <w:rFonts w:eastAsia="Calibri"/>
                <w:sz w:val="22"/>
                <w:szCs w:val="22"/>
              </w:rPr>
              <w:t xml:space="preserve"> Fabricius</w:t>
            </w:r>
            <w:r w:rsidR="00C4488F" w:rsidRPr="00A26FD5">
              <w:rPr>
                <w:rFonts w:eastAsia="Calibri"/>
                <w:sz w:val="22"/>
                <w:szCs w:val="22"/>
              </w:rPr>
              <w:t>,</w:t>
            </w:r>
            <w:r w:rsidRPr="00A26FD5">
              <w:rPr>
                <w:rFonts w:eastAsia="Calibri"/>
                <w:sz w:val="22"/>
                <w:szCs w:val="22"/>
              </w:rPr>
              <w:t xml:space="preserve"> 2005). Various diseases are also devastating Caribbean</w:t>
            </w:r>
            <w:r w:rsidR="00C4488F" w:rsidRPr="00A26FD5">
              <w:rPr>
                <w:rFonts w:eastAsia="Calibri"/>
                <w:sz w:val="22"/>
                <w:szCs w:val="22"/>
              </w:rPr>
              <w:t xml:space="preserve"> reefs (Sutherland et al., 2004;</w:t>
            </w:r>
            <w:r w:rsidRPr="00A26FD5">
              <w:rPr>
                <w:rFonts w:eastAsia="Calibri"/>
                <w:sz w:val="22"/>
                <w:szCs w:val="22"/>
              </w:rPr>
              <w:t xml:space="preserve"> Carpenter et al., 2008), including one that rapidly spreads and kills a primary reef building species </w:t>
            </w:r>
            <w:r w:rsidR="00990DA6" w:rsidRPr="00A26FD5">
              <w:rPr>
                <w:rFonts w:eastAsia="Calibri"/>
                <w:sz w:val="22"/>
                <w:szCs w:val="22"/>
              </w:rPr>
              <w:t>in the Caribbean, Elkhorn coral</w:t>
            </w:r>
            <w:r w:rsidRPr="00A26FD5">
              <w:rPr>
                <w:rFonts w:eastAsia="Calibri"/>
                <w:sz w:val="22"/>
                <w:szCs w:val="22"/>
              </w:rPr>
              <w:t xml:space="preserve"> (</w:t>
            </w:r>
            <w:r w:rsidRPr="00A26FD5">
              <w:rPr>
                <w:rFonts w:eastAsia="Calibri"/>
                <w:i/>
                <w:sz w:val="22"/>
                <w:szCs w:val="22"/>
              </w:rPr>
              <w:t>Acropora palmata</w:t>
            </w:r>
            <w:r w:rsidRPr="00A26FD5">
              <w:rPr>
                <w:rFonts w:eastAsia="Calibri"/>
                <w:sz w:val="22"/>
                <w:szCs w:val="22"/>
              </w:rPr>
              <w:t>) and that is linked to human</w:t>
            </w:r>
            <w:r w:rsidR="00990DA6" w:rsidRPr="00A26FD5">
              <w:rPr>
                <w:rFonts w:eastAsia="Calibri"/>
                <w:sz w:val="22"/>
                <w:szCs w:val="22"/>
              </w:rPr>
              <w:t xml:space="preserve"> sewage (Patterson et al., 2002;</w:t>
            </w:r>
            <w:r w:rsidRPr="00A26FD5">
              <w:rPr>
                <w:rFonts w:eastAsia="Calibri"/>
                <w:sz w:val="22"/>
                <w:szCs w:val="22"/>
              </w:rPr>
              <w:t xml:space="preserve"> Sutherland et al., 2010).</w:t>
            </w:r>
          </w:p>
          <w:p w14:paraId="1EB146FE" w14:textId="78CE201F" w:rsidR="00A345FC" w:rsidRPr="00A26FD5" w:rsidRDefault="001E61A6" w:rsidP="00A345FC">
            <w:pPr>
              <w:spacing w:before="120" w:after="120"/>
              <w:jc w:val="both"/>
              <w:rPr>
                <w:rFonts w:eastAsia="Calibri"/>
                <w:sz w:val="22"/>
                <w:szCs w:val="22"/>
              </w:rPr>
            </w:pPr>
            <w:r w:rsidRPr="00A26FD5">
              <w:rPr>
                <w:rFonts w:eastAsia="Calibri"/>
                <w:sz w:val="22"/>
                <w:szCs w:val="22"/>
              </w:rPr>
              <w:t xml:space="preserve">Acidification </w:t>
            </w:r>
            <w:r w:rsidR="00432A5B" w:rsidRPr="00A26FD5">
              <w:rPr>
                <w:rFonts w:eastAsia="Calibri"/>
                <w:sz w:val="22"/>
                <w:szCs w:val="22"/>
              </w:rPr>
              <w:t>in the g</w:t>
            </w:r>
            <w:r w:rsidRPr="00A26FD5">
              <w:rPr>
                <w:rFonts w:eastAsia="Calibri"/>
                <w:sz w:val="22"/>
                <w:szCs w:val="22"/>
              </w:rPr>
              <w:t xml:space="preserve">reater Caribbean Sea is demonstrated by a clear long-term decrease in pH and an increase in surface water dissolved </w:t>
            </w:r>
            <w:r w:rsidR="00E03ED4" w:rsidRPr="00A26FD5">
              <w:rPr>
                <w:sz w:val="22"/>
                <w:szCs w:val="22"/>
              </w:rPr>
              <w:t>carbon dioxide</w:t>
            </w:r>
            <w:r w:rsidRPr="00A26FD5">
              <w:rPr>
                <w:rFonts w:eastAsia="Calibri"/>
                <w:sz w:val="22"/>
                <w:szCs w:val="22"/>
              </w:rPr>
              <w:t xml:space="preserve"> between 1996 and 2016 (see Bates et al., 2014; Astor et al., </w:t>
            </w:r>
            <w:r w:rsidR="00432A5B" w:rsidRPr="00A26FD5">
              <w:rPr>
                <w:rFonts w:eastAsia="Calibri"/>
                <w:sz w:val="22"/>
                <w:szCs w:val="22"/>
              </w:rPr>
              <w:t>2013) and a strong decrease in a</w:t>
            </w:r>
            <w:r w:rsidRPr="00A26FD5">
              <w:rPr>
                <w:rFonts w:eastAsia="Calibri"/>
                <w:sz w:val="22"/>
                <w:szCs w:val="22"/>
              </w:rPr>
              <w:t>ragonite (calcium carbonate) saturation levels across the region (</w:t>
            </w:r>
            <w:r w:rsidR="007A1995" w:rsidRPr="00A26FD5">
              <w:rPr>
                <w:rFonts w:eastAsia="Calibri"/>
                <w:sz w:val="22"/>
                <w:szCs w:val="22"/>
              </w:rPr>
              <w:t>Figure 4.8</w:t>
            </w:r>
            <w:r w:rsidRPr="00A26FD5">
              <w:rPr>
                <w:rFonts w:eastAsia="Calibri"/>
                <w:sz w:val="22"/>
                <w:szCs w:val="22"/>
              </w:rPr>
              <w:t xml:space="preserve">) </w:t>
            </w:r>
            <w:r w:rsidRPr="00A26FD5">
              <w:rPr>
                <w:rFonts w:eastAsia="Calibri"/>
                <w:szCs w:val="22"/>
              </w:rPr>
              <w:fldChar w:fldCharType="begin" w:fldLock="1"/>
            </w:r>
            <w:r w:rsidRPr="00A26FD5">
              <w:rPr>
                <w:rFonts w:eastAsia="Calibri"/>
                <w:sz w:val="22"/>
                <w:szCs w:val="22"/>
              </w:rPr>
              <w:instrText>ADDIN CSL_CITATION { "citationItems" : [ { "id" : "ITEM-1", "itemData" : { "DOI" : "10.1029/2007JC004629", "ISBN" : "0148-0227", "ISSN" : "21699291", "abstract" : "The global oceans serve as the largest sustained natural sink for increasing atmospheric carbon dioxide (CO2) concentrations. As this CO2 is absorbed by seawater, it not only reacts causing a reduction in seawater pH (or acidification) but also decreases the carbonate mineral saturation state (\u00ce), which plays an important role in calcification for many marine organisms. Ocean acidification could affect some of the most fundamental biological and geochemical processes of the sea in coming decades. Observations obtained in situ from Volunteer Observing Ships and multiple geochemical surveys have been extended using satellite remote sensing and modeled environmental parameters to derive estimates of sea-surface alkalinity (AT) and carbon dioxide partial pressure (pCO2,sw). Pairing estimates of AT and pCO2,sw have permitted characterization of the changes in sea-surface \u00ce, which have transpired over the past decade throughout the Greater Caribbean Region as a consequence of ocean acidification. The results reveal considerable spatial and temporal variability throughout the region. Despite this variability, we observed a strong secular decrease in aragonite saturation state (\u00cearg) at a rate of approximately \u00e2\u02c60.012 \u00c2 0.001 \u00cearg yr\u00e2\u02c61 (r 2 = 0.97, P &lt; 0.001).", "author" : [ { "dropping-particle" : "", "family" : "Gledhill", "given" : "Dwight K.", "non-dropping-particle" : "", "parse-names" : false, "suffix" : "" }, { "dropping-particle" : "", "family" : "Wanninkhof", "given" : "Rik", "non-dropping-particle" : "", "parse-names" : false, "suffix" : "" }, { "dropping-particle" : "", "family" : "Millero", "given" : "Frank K.", "non-dropping-particle" : "", "parse-names" : false, "suffix" : "" }, { "dropping-particle" : "", "family" : "Eakin", "given" : "Mark", "non-dropping-particle" : "", "parse-names" : false, "suffix" : "" } ], "container-title" : "Journal of Geophysical Research: Oceans", "id" : "ITEM-1", "issue" : "10", "issued" : { "date-parts" : [ [ "2008" ] ] }, "page" : "1-11", "title" : "Ocean acidification of the Greater Caribbean Region 1996-2006", "type" : "article-journal", "volume" : "113" }, "uris" : [ "http://www.mendeley.com/documents/?uuid=1d89b200-07c2-4e03-b41f-bf65972d8f14" ] } ], "mendeley" : { "formattedCitation" : "(Gledhill et al. 2008)", "plainTextFormattedCitation" : "(Gledhill et al. 2008)", "previouslyFormattedCitation" : "(Gledhill et al. 2008)" }, "properties" : { "noteIndex" : 0 }, "schema" : "https://github.com/citation-style-language/schema/raw/master/csl-citation.json" }</w:instrText>
            </w:r>
            <w:r w:rsidRPr="00A26FD5">
              <w:rPr>
                <w:rFonts w:eastAsia="Calibri"/>
                <w:szCs w:val="22"/>
              </w:rPr>
              <w:fldChar w:fldCharType="separate"/>
            </w:r>
            <w:r w:rsidRPr="00A26FD5">
              <w:rPr>
                <w:rFonts w:eastAsia="Calibri"/>
                <w:sz w:val="22"/>
                <w:szCs w:val="22"/>
              </w:rPr>
              <w:t>(Gledhill et al., 2008)</w:t>
            </w:r>
            <w:r w:rsidRPr="00A26FD5">
              <w:rPr>
                <w:rFonts w:eastAsia="Calibri"/>
                <w:szCs w:val="22"/>
              </w:rPr>
              <w:fldChar w:fldCharType="end"/>
            </w:r>
            <w:r w:rsidRPr="00A26FD5">
              <w:rPr>
                <w:rFonts w:eastAsia="Calibri"/>
                <w:sz w:val="22"/>
                <w:szCs w:val="22"/>
              </w:rPr>
              <w:t xml:space="preserve">. Decreases in aragonite saturation due to acidification can inhibit maintenance and recovery of coral reef structure </w:t>
            </w:r>
            <w:r w:rsidRPr="00A26FD5">
              <w:rPr>
                <w:rFonts w:eastAsia="Calibri"/>
                <w:szCs w:val="22"/>
              </w:rPr>
              <w:fldChar w:fldCharType="begin" w:fldLock="1"/>
            </w:r>
            <w:r w:rsidRPr="00A26FD5">
              <w:rPr>
                <w:rFonts w:eastAsia="Calibri"/>
                <w:sz w:val="22"/>
                <w:szCs w:val="22"/>
              </w:rPr>
              <w:instrText>ADDIN CSL_CITATION { "citationItems" : [ { "id" : "ITEM-1", "itemData" : { "DOI" : "10.1111/gcb.12008", "ISBN" : "1365-2486", "ISSN" : "13541013", "PMID" : "23504741", "abstract" : "Crustose coralline algae (CCA) are a critical component of coral reefs as they accrete carbonate for reef structure and act as settlement substrata for many invertebrates including corals. CCA host a diversity of microorganisms that can also play a role in coral settlement and metamorphosis processes. Although the sensitivity of CCA to ocean acidification (OA) is well established, the response of their associated microbial communities to reduced pH and increased CO2 was previously not known. Here we investigate the sensitivity of CCA-associated microbial biofilms to OA and determine whether or not OA adversely affects the ability of CCA to induce coral larval metamorphosis. We experimentally exposed the CCA Hydrolithon onkodes to four pH/pCO2 conditions consistent with current IPCC predictions for the next few centuries (pH: 8.1, 7.9, 7.7, 7.5, pCO2 : 464, 822, 1187, 1638\u00a0\u03bcatm). Settlement and metamorphosis of coral larvae was reduced on CCA pre-exposed to pH 7.7 (pCO2 \u00a0=\u00a01187\u00a0\u03bcatm) and below over a 6-week period. Additional experiments demonstrated that low pH treatments did not directly affect the ability of larvae to settle, but instead most likely altered the biochemistry of the CCA or its microbial associates. Detailed microbial community analysis of the CCA revealed diverse bacterial assemblages that altered significantly between pH 8.1 (pCO2 \u00a0=\u00a0464\u00a0\u03bcatm) and pH 7.9 (pCO2 \u00a0=\u00a0822\u00a0\u03bcatm) with this trend continuing at lower pH/higher pCO2 treatments. The shift in microbial community composition primarily comprised changes in the abundance of the dominant microbes between the different pH treatments and the appearance of new (but rare) microbes at pH 7.5. Microbial shifts and the concomitant reduced ability of CCA to induce coral settlement under OA conditions projected to occur by 2100 is a significant concern for the development, maintenance and recovery of reefs globally.", "author" : [ { "dropping-particle" : "", "family" : "Webster", "given" : "Nicole S.", "non-dropping-particle" : "", "parse-names" : false, "suffix" : "" }, { "dropping-particle" : "", "family" : "Uthicke", "given" : "Sven", "non-dropping-particle" : "", "parse-names" : false, "suffix" : "" }, { "dropping-particle" : "", "family" : "Bott\u00e9", "given" : "Emanuelle S.", "non-dropping-particle" : "", "parse-names" : false, "suffix" : "" }, { "dropping-particle" : "", "family" : "Flores", "given" : "Florita", "non-dropping-particle" : "", "parse-names" : false, "suffix" : "" }, { "dropping-particle" : "", "family" : "Negri", "given" : "Andrew P.", "non-dropping-particle" : "", "parse-names" : false, "suffix" : "" } ], "container-title" : "Global Change Biology", "id" : "ITEM-1", "issue" : "1", "issued" : { "date-parts" : [ [ "2013" ] ] }, "page" : "303-315", "title" : "Ocean acidification reduces induction of coral settlement by crustose coralline algae", "type" : "article-journal", "volume" : "19" }, "uris" : [ "http://www.mendeley.com/documents/?uuid=3800a970-a6f5-4845-8896-98c39a078551" ] } ], "mendeley" : { "formattedCitation" : "(Webster et al. 2013)", "plainTextFormattedCitation" : "(Webster et al. 2013)", "previouslyFormattedCitation" : "(Webster et al. 2013)" }, "properties" : { "noteIndex" : 0 }, "schema" : "https://github.com/citation-style-language/schema/raw/master/csl-citation.json" }</w:instrText>
            </w:r>
            <w:r w:rsidRPr="00A26FD5">
              <w:rPr>
                <w:rFonts w:eastAsia="Calibri"/>
                <w:szCs w:val="22"/>
              </w:rPr>
              <w:fldChar w:fldCharType="separate"/>
            </w:r>
            <w:r w:rsidRPr="00A26FD5">
              <w:rPr>
                <w:rFonts w:eastAsia="Calibri"/>
                <w:sz w:val="22"/>
                <w:szCs w:val="22"/>
              </w:rPr>
              <w:t>(Webster et al., 2013)</w:t>
            </w:r>
            <w:r w:rsidRPr="00A26FD5">
              <w:rPr>
                <w:rFonts w:eastAsia="Calibri"/>
                <w:szCs w:val="22"/>
              </w:rPr>
              <w:fldChar w:fldCharType="end"/>
            </w:r>
            <w:r w:rsidRPr="00A26FD5">
              <w:rPr>
                <w:rFonts w:eastAsia="Calibri"/>
                <w:sz w:val="22"/>
                <w:szCs w:val="22"/>
              </w:rPr>
              <w:t>, and for coral reefs to remain in coastal Caribbean areas, they will have to recover from local- to large-scale physical and other disturbances like those from hurricanes or coral bleaching (Goreau</w:t>
            </w:r>
            <w:r w:rsidR="00990DA6" w:rsidRPr="00A26FD5">
              <w:rPr>
                <w:rFonts w:eastAsia="Calibri"/>
                <w:sz w:val="22"/>
                <w:szCs w:val="22"/>
              </w:rPr>
              <w:t>, 1992;</w:t>
            </w:r>
            <w:r w:rsidRPr="00A26FD5">
              <w:rPr>
                <w:rFonts w:eastAsia="Calibri"/>
                <w:sz w:val="22"/>
                <w:szCs w:val="22"/>
              </w:rPr>
              <w:t xml:space="preserve"> </w:t>
            </w:r>
            <w:r w:rsidRPr="00A26FD5">
              <w:rPr>
                <w:rFonts w:eastAsia="Calibri"/>
                <w:szCs w:val="22"/>
              </w:rPr>
              <w:fldChar w:fldCharType="begin" w:fldLock="1"/>
            </w:r>
            <w:r w:rsidRPr="00A26FD5">
              <w:rPr>
                <w:rFonts w:eastAsia="Calibri"/>
                <w:sz w:val="22"/>
                <w:szCs w:val="22"/>
              </w:rPr>
              <w:instrText>ADDIN CSL_CITATION { "citationItems" : [ { "id" : "ITEM-1", "itemData" : { "DOI" : "10.1126/science.1159196", "ISBN" : "0036-8075", "ISSN" : "0036-8075, 1095-9203", "PMID" : "18653892", "abstract" : "The conservation status of 845 zooxanthellate reef-building coral species was assessed by using International Union for Conservation of Nature Red List Criteria. Of the 704 species that could be assigned conservation status, 32.8% are in categories with elevated risk of extinction. Declines in abundance are associated with bleaching and diseases driven by elevated sea surface temperatures, with extinction risk further exacerbated by local-scale anthropogenic disturbances. The proportion of corals threatened with extinction has increased dramatically in recent decades and exceeds that of most terrestrial groups. The Caribbean has the largest proportion of corals in high extinction risk categories, whereas the Coral Triangle (western Pacific) has the highest proportion of species in all categories of elevated extinction risk. Our results emphasize the widespread plight of coral reefs and the urgent need to enact conservation measures.", "author" : [ { "dropping-particle" : "", "family" : "Carpenter", "given" : "Kent E.", "non-dropping-particle" : "", "parse-names" : false, "suffix" : "" }, { "dropping-particle" : "", "family" : "Abrar", "given" : "Muhammad", "non-dropping-particle" : "", "parse-names" : false, "suffix" : "" }, { "dropping-particle" : "", "family" : "Aeby", "given" : "Greta", "non-dropping-particle" : "", "parse-names" : false, "suffix" : "" }, { "dropping-particle" : "", "family" : "Aronson", "given" : "Richard B.", "non-dropping-particle" : "", "parse-names" : false, "suffix" : "" }, { "dropping-particle" : "", "family" : "Banks", "given" : "Stuart", "non-dropping-particle" : "", "parse-names" : false, "suffix" : "" }, { "dropping-particle" : "", "family" : "Bruckner", "given" : "Andrew", "non-dropping-particle" : "", "parse-names" : false, "suffix" : "" }, { "dropping-particle" : "", "family" : "Chiriboga", "given" : "Angel", "non-dropping-particle" : "", "parse-names" : false, "suffix" : "" }, { "dropping-particle" : "", "family" : "Cort\u00e9s", "given" : "Jorge", "non-dropping-particle" : "", "parse-names" : false, "suffix" : "" }, { "dropping-particle" : "", "family" : "Delbeek", "given" : "J. Charles", "non-dropping-particle" : "", "parse-names" : false, "suffix" : "" }, { "dropping-particle" : "", "family" : "DeVantier", "given" : "Lyndon", "non-dropping-particle" : "", "parse-names" : false, "suffix" : "" }, { "dropping-particle" : "", "family" : "Edgar", "given" : "Graham J.", "non-dropping-particle" : "", "parse-names" : false, "suffix" : "" }, { "dropping-particle" : "", "family" : "Edwards", "given" : "Alasdair J.", "non-dropping-particle" : "", "parse-names" : false, "suffix" : "" }, { "dropping-particle" : "", "family" : "Fenner", "given" : "Douglas", "non-dropping-particle" : "", "parse-names" : false, "suffix" : "" }, { "dropping-particle" : "", "family" : "Guzm\u00e1n", "given" : "H\u00e9ctor M.", "non-dropping-particle" : "", "parse-names" : false, "suffix" : "" }, { "dropping-particle" : "", "family" : "Hoeksema", "given" : "Bert W.", "non-dropping-particle" : "", "parse-names" : false, "suffix" : "" }, { "dropping-particle" : "", "family" : "Hodgson", "given" : "Gregor", "non-dropping-particle" : "", "parse-names" : false, "suffix" : "" }, { "dropping-particle" : "", "family" : "Johan", "given" : "Ofri", "non-dropping-particle" : "", "parse-names" : false, "suffix" : "" }, { "dropping-particle" : "", "family" : "Licuanan", "given" : "Wilfredo Y.", "non-dropping-particle" : "", "parse-names" : false, "suffix" : "" }, { "dropping-particle" : "", "family" : "Livingstone", "given" : "Suzanne R.", "non-dropping-particle" : "", "parse-names" : false, "suffix" : "" }, { "dropping-particle" : "", "family" : "Lovell", "given" : "Edward R.", "non-dropping-particle" : "", "parse-names" : false, "suffix" : "" }, { "dropping-particle" : "", "family" : "Moore", "given" : "Jennifer A.", "non-dropping-particle" : "", "parse-names" : false, "suffix" : "" }, { "dropping-particle" : "", "family" : "Obura", "given" : "David O.", "non-dropping-particle" : "", "parse-names" : false, "suffix" : "" }, { "dropping-particle" : "", "family" : "Ochavillo", "given" : "Domingo", "non-dropping-particle" : "", "parse-names" : false, "suffix" : "" }, { "dropping-particle" : "", "family" : "Polidoro", "given" : "Beth A.", "non-dropping-particle" : "", "parse-names" : false, "suffix" : "" }, { "dropping-particle" : "", "family" : "Precht", "given" : "William F.", "non-dropping-particle" : "", "parse-names" : false, "suffix" : "" }, { "dropping-particle" : "", "family" : "Quibilan", "given" : "Miledel C.", "non-dropping-particle" : "", "parse-names" : false, "suffix" : "" }, { "dropping-particle" : "", "family" : "Reboton", "given" : "Clarissa", "non-dropping-particle" : "", "parse-names" : false, "suffix" : "" }, { "dropping-particle" : "", "family" : "Richards", "given" : "Zoe T.", "non-dropping-particle" : "", "parse-names" : false, "suffix" : "" }, { "dropping-particle" : "", "family" : "Rogers", "given" : "Alex D.", "non-dropping-particle" : "", "parse-names" : false, "suffix" : "" }, { "dropping-particle" : "", "family" : "Sanciangco", "given" : "Jonnell", "non-dropping-particle" : "", "parse-names" : false, "suffix" : "" }, { "dropping-particle" : "", "family" : "Sheppard", "given" : "Anne", "non-dropping-particle" : "", "parse-names" : false, "suffix" : "" }, { "dropping-particle" : "", "family" : "Sheppard", "given" : "Charles", "non-dropping-particle" : "", "parse-names" : false, "suffix" : "" }, { "dropping-particle" : "", "family" : "Smith", "given" : "Jennifer", "non-dropping-particle" : "", "parse-names" : false, "suffix" : "" }, { "dropping-particle" : "", "family" : "Stuart", "given" : "Simon", "non-dropping-particle" : "", "parse-names" : false, "suffix" : "" }, { "dropping-particle" : "", "family" : "Turak", "given" : "Emre", "non-dropping-particle" : "", "parse-names" : false, "suffix" : "" }, { "dropping-particle" : "", "family" : "Veron", "given" : "John E. N.", "non-dropping-particle" : "", "parse-names" : false, "suffix" : "" }, { "dropping-particle" : "", "family" : "Wallace", "given" : "Carden", "non-dropping-particle" : "", "parse-names" : false, "suffix" : "" }, { "dropping-particle" : "", "family" : "Weil", "given" : "Ernesto", "non-dropping-particle" : "", "parse-names" : false, "suffix" : "" }, { "dropping-particle" : "", "family" : "Wood", "given" : "Elizabeth", "non-dropping-particle" : "", "parse-names" : false, "suffix" : "" } ], "container-title" : "Science", "id" : "ITEM-1", "issue" : "5888", "issued" : { "date-parts" : [ [ "2008" ] ] }, "page" : "560-563", "title" : "One-Third of Reef-Building Corals Face Elevated Extinction Risk from Climate Change and Local Impacts", "type" : "article-journal", "volume" : "321" }, "uris" : [ "http://www.mendeley.com/documents/?uuid=c951abca-ac7b-4da9-af95-fa6da0d4b2e9" ] } ], "mendeley" : { "formattedCitation" : "(Carpenter et al. 2008)", "manualFormatting" : "Carpenter et al. 2008)", "plainTextFormattedCitation" : "(Carpenter et al. 2008)", "previouslyFormattedCitation" : "(Carpenter et al. 2008)" }, "properties" : { "noteIndex" : 0 }, "schema" : "https://github.com/citation-style-language/schema/raw/master/csl-citation.json" }</w:instrText>
            </w:r>
            <w:r w:rsidRPr="00A26FD5">
              <w:rPr>
                <w:rFonts w:eastAsia="Calibri"/>
                <w:szCs w:val="22"/>
              </w:rPr>
              <w:fldChar w:fldCharType="separate"/>
            </w:r>
            <w:r w:rsidRPr="00A26FD5">
              <w:rPr>
                <w:rFonts w:eastAsia="Calibri"/>
                <w:sz w:val="22"/>
                <w:szCs w:val="22"/>
              </w:rPr>
              <w:t>Carpenter et al., 2008)</w:t>
            </w:r>
            <w:r w:rsidRPr="00A26FD5">
              <w:rPr>
                <w:rFonts w:eastAsia="Calibri"/>
                <w:szCs w:val="22"/>
              </w:rPr>
              <w:fldChar w:fldCharType="end"/>
            </w:r>
            <w:r w:rsidRPr="00A26FD5">
              <w:rPr>
                <w:rFonts w:eastAsia="Calibri"/>
                <w:sz w:val="22"/>
                <w:szCs w:val="22"/>
              </w:rPr>
              <w:t xml:space="preserve">, both of which can kill coral, and from ocean warming </w:t>
            </w:r>
            <w:r w:rsidRPr="00A26FD5">
              <w:rPr>
                <w:rFonts w:eastAsia="Calibri"/>
                <w:szCs w:val="22"/>
              </w:rPr>
              <w:fldChar w:fldCharType="begin" w:fldLock="1"/>
            </w:r>
            <w:r w:rsidRPr="00A26FD5">
              <w:rPr>
                <w:rFonts w:eastAsia="Calibri"/>
                <w:sz w:val="22"/>
                <w:szCs w:val="22"/>
              </w:rPr>
              <w:instrText>ADDIN CSL_CITATION { "citationItems" : [ { "id" : "ITEM-1", "itemData" : { "DOI" : "10.1016/j.ecolmodel.2008.06.037", "ISBN" : "0304-3800", "ISSN" : "03043800", "abstract" : "Differential susceptibility among reef-building coral species can lead to community shifts and loss of diversity as a result of temperature-induced mass bleaching events. We evaluate environmental influences on coral colony bleaching over an 8-year period in the Florida Keys, USA. Clustered binomial regression is used to develop models incorporating taxon-specific responses to the environment in order to identify conditions and species for which bleaching is likely to be severe. By building three separate models incorporating environment, community composition, and taxon-specific responses to environment, we show observed prevalence of bleaching reflects an interaction between community composition and local environmental conditions. Environmental variables, including elevated sea temperature, solar radiation, and reef depth, explained 90% and 78% of variability in colony bleaching across space and time, respectively. The effects of environmental variables were only partially explained (33% of variability) by corresponding differences in community composition. Taxon-specific models indicated individual coral species responded differently to local environmental conditions and had different sensitivities to temperature-induced bleaching. For many coral species, but not all, bleaching was exacerbated by high solar radiation. A 25% reduction in the probability of bleaching in shallow locations for one species may reflect an ability to acclimatize to local conditions. Overall, model results indicate predictions of coral bleaching require knowledge of not just the environmental conditions or community composition, but the responses of individual species to the environment. Model development provides a useful tool for coral reef management by quantifying the influence of the local environment on individual species bleaching sensitivities, identifying susceptible species, and predicting the likelihood of mass bleaching events with changing environmental conditions.", "author" : [ { "dropping-particle" : "", "family" : "Yee", "given" : "Susan Harrell", "non-dropping-particle" : "", "parse-names" : false, "suffix" : "" }, { "dropping-particle" : "", "family" : "Santavy", "given" : "Deborah L.", "non-dropping-particle" : "", "parse-names" : false, "suffix" : "" }, { "dropping-particle" : "", "family" : "Barron", "given" : "Mace G.", "non-dropping-particle" : "", "parse-names" : false, "suffix" : "" } ], "container-title" : "Ecological Modelling", "id" : "ITEM-1", "issue" : "1-2", "issued" : { "date-parts" : [ [ "2008" ] ] }, "page" : "162-174", "title" : "Comparing environmental influences on coral bleaching across and within species using clustered binomial regression", "type" : "article-journal", "volume" : "218" }, "uris" : [ "http://www.mendeley.com/documents/?uuid=b4690234-c26c-4c8b-a891-0e5895deab4a" ] }, { "id" : "ITEM-2", "itemData" : { "DOI" : "10.1126/science.1204794", "ISBN" : "0036-8075", "ISSN" : "0036-8075, 1095-9203", "PMID" : "21778392", "abstract" : "Many physiological responses in present-day coral reefs to climate change are interpreted as consistent with the imminent disappearance of modern reefs globally because of annual mass bleaching events, carbonate dissolution, and insufficient time for substantial evolutionary responses. Emerging evidence for variability in the coral calcification response to acidification, geographical variation in bleaching susceptibility and recovery, responses to past climate change, and potential rates of adaptation to rapid warming supports an alternative scenario in which reef degradation occurs with greater temporal and spatial heterogeneity than current projections suggest. Reducing uncertainty in projecting coral reef futures requires improved understanding of past responses to rapid climate change; physiological responses to interacting factors, such as temperature, acidification, and nutrients; and the costs and constraints imposed by acclimation and adaptation.", "author" : [ { "dropping-particle" : "", "family" : "Pandolfi", "given" : "John M.", "non-dropping-particle" : "", "parse-names" : false, "suffix" : "" }, { "dropping-particle" : "", "family" : "Connolly", "given" : "Sean R.", "non-dropping-particle" : "", "parse-names" : false, "suffix" : "" }, { "dropping-particle" : "", "family" : "Marshall", "given" : "Dustin J.", "non-dropping-particle" : "", "parse-names" : false, "suffix" : "" }, { "dropping-particle" : "", "family" : "Cohen", "given" : "Anne L.", "non-dropping-particle" : "", "parse-names" : false, "suffix" : "" } ], "container-title" : "Science", "id" : "ITEM-2", "issue" : "6041", "issued" : { "date-parts" : [ [ "2011" ] ] }, "page" : "418-422", "title" : "Projecting Coral Reef Futures Under Global Warming and Ocean Acidification", "type" : "article-journal", "volume" : "333" }, "uris" : [ "http://www.mendeley.com/documents/?uuid=33a89c16-c696-4c01-99d8-1ce5b2a4b389" ] } ], "mendeley" : { "formattedCitation" : "(Yee et al. 2008, Pandolfi et al. 2011)", "plainTextFormattedCitation" : "(Yee et al. 2008, Pandolfi et al. 2011)", "previouslyFormattedCitation" : "(Yee et al. 2008, Pandolfi et al. 2011)" }, "properties" : { "noteIndex" : 0 }, "schema" : "https://github.com/citation-style-language/schema/raw/master/csl-citation.json" }</w:instrText>
            </w:r>
            <w:r w:rsidRPr="00A26FD5">
              <w:rPr>
                <w:rFonts w:eastAsia="Calibri"/>
                <w:szCs w:val="22"/>
              </w:rPr>
              <w:fldChar w:fldCharType="separate"/>
            </w:r>
            <w:r w:rsidR="00990DA6" w:rsidRPr="00A26FD5">
              <w:rPr>
                <w:rFonts w:eastAsia="Calibri"/>
                <w:sz w:val="22"/>
                <w:szCs w:val="22"/>
              </w:rPr>
              <w:t>(Yee et al., 2008;</w:t>
            </w:r>
            <w:r w:rsidRPr="00A26FD5">
              <w:rPr>
                <w:rFonts w:eastAsia="Calibri"/>
                <w:sz w:val="22"/>
                <w:szCs w:val="22"/>
              </w:rPr>
              <w:t xml:space="preserve"> Pandolfi et al., 2011)</w:t>
            </w:r>
            <w:r w:rsidRPr="00A26FD5">
              <w:rPr>
                <w:rFonts w:eastAsia="Calibri"/>
                <w:szCs w:val="22"/>
              </w:rPr>
              <w:fldChar w:fldCharType="end"/>
            </w:r>
            <w:r w:rsidRPr="00A26FD5">
              <w:rPr>
                <w:rFonts w:eastAsia="Calibri"/>
                <w:sz w:val="22"/>
                <w:szCs w:val="22"/>
              </w:rPr>
              <w:t xml:space="preserve">, which leads to bleaching. Increasing atmospheric </w:t>
            </w:r>
            <w:r w:rsidR="00E03ED4" w:rsidRPr="00A26FD5">
              <w:rPr>
                <w:rFonts w:eastAsia="Calibri"/>
                <w:sz w:val="22"/>
                <w:szCs w:val="22"/>
              </w:rPr>
              <w:t>carbon dioxide</w:t>
            </w:r>
            <w:r w:rsidRPr="00A26FD5">
              <w:rPr>
                <w:rFonts w:eastAsia="Calibri"/>
                <w:sz w:val="22"/>
                <w:szCs w:val="22"/>
              </w:rPr>
              <w:t xml:space="preserve"> depresses metabolism, settlement and growth of larvae of the important Caribbean reef-building species </w:t>
            </w:r>
            <w:r w:rsidRPr="00A26FD5">
              <w:rPr>
                <w:rFonts w:eastAsia="Calibri"/>
                <w:i/>
                <w:sz w:val="22"/>
                <w:szCs w:val="22"/>
              </w:rPr>
              <w:t>Porites astreoides</w:t>
            </w:r>
            <w:r w:rsidRPr="00A26FD5">
              <w:rPr>
                <w:rFonts w:eastAsia="Calibri"/>
                <w:sz w:val="22"/>
                <w:szCs w:val="22"/>
              </w:rPr>
              <w:t xml:space="preserve"> (mustard hill coral) </w:t>
            </w:r>
            <w:r w:rsidRPr="00A26FD5">
              <w:rPr>
                <w:rFonts w:eastAsia="Calibri"/>
                <w:szCs w:val="22"/>
              </w:rPr>
              <w:fldChar w:fldCharType="begin" w:fldLock="1"/>
            </w:r>
            <w:r w:rsidRPr="00A26FD5">
              <w:rPr>
                <w:rFonts w:eastAsia="Calibri"/>
                <w:sz w:val="22"/>
                <w:szCs w:val="22"/>
              </w:rPr>
              <w:instrText>ADDIN CSL_CITATION { "citationItems" : [ { "id" : "ITEM-1", "itemData" : { "DOI" : "10.1111/j.1365-2486.2011.02404.x", "ISBN" : "1365-2486", "ISSN" : "13541013", "abstract" : "Abstract Ocean acidification (OA) refers to the increase in acidity (decrease in pH) of the ocean's surface waters resulting from oceanic uptake of atmospheric carbon dioxide (CO2). Mounting experimental evidence suggests that OA threatens numerous marine organisms, including reef-building corals. Coral recruitment is critical to the persistence and resilience of coral reefs and is regulated by several early life processes, including: larval availability (gamete production, fertilization, etc.), larval settlement, postsettlement growth, and survival. Environmental factors that disrupt these early life processes can result in compromised or failed recruitment and profoundly affect future population dynamics. To evaluate the effects of OA on the sexual recruitment of corals, we tested larval metabolism, larval settlement, and postsettlement growth of the common Caribbean coral Porites astreoides at three pCO2 levels: ambient seawater (380\u00a0\u03bcatm) and two pCO2 scenarios that are projected to occur by the middle (560\u00a0\u03bcatm) and end (800\u00a0\u03bcatm) of the century. Our results show that larval metabolism is depressed by 27% and 63% at 560 and 800\u00a0\u03bcatm, respectively, compared with controls. Settlement was reduced by 42\u201345% at 560\u00a0\u03bcatm and 55\u201360% at 800\u00a0\u03bcatm, relative to controls. Results indicate that OA primarily affects settlement via indirect pathways, whereby acidified seawater alters the substrate community composition, limiting the availability of settlement cues. Postsettlement growth decreased by 16% and 35% at 560 and 800\u00a0\u03bcatm, respectively, relative to controls. This study demonstrates that OA has the potential to negatively impact multiple early life history processes of P. astreoides and may contribute to substantial declines in sexual recruitment that are felt at the community and/or ecosystem scale.", "author" : [ { "dropping-particle" : "", "family" : "Albright", "given" : "Rebecca", "non-dropping-particle" : "", "parse-names" : false, "suffix" : "" }, { "dropping-particle" : "", "family" : "Langdon", "given" : "Chris", "non-dropping-particle" : "", "parse-names" : false, "suffix" : "" } ], "container-title" : "Global Change Biology", "id" : "ITEM-1", "issue" : "7", "issued" : { "date-parts" : [ [ "2011" ] ] }, "page" : "2478-2487", "title" : "Ocean acidification impacts multiple early life history processes of the Caribbean coral Porites astreoides", "type" : "article-journal", "volume" : "17" }, "uris" : [ "http://www.mendeley.com/documents/?uuid=0ab183c8-8750-426d-9b5e-9751f471507e" ] } ], "mendeley" : { "formattedCitation" : "(Albright and Langdon 2011)", "plainTextFormattedCitation" : "(Albright and Langdon 2011)", "previouslyFormattedCitation" : "(Albright and Langdon 2011)" }, "properties" : { "noteIndex" : 0 }, "schema" : "https://github.com/citation-style-language/schema/raw/master/csl-citation.json" }</w:instrText>
            </w:r>
            <w:r w:rsidRPr="00A26FD5">
              <w:rPr>
                <w:rFonts w:eastAsia="Calibri"/>
                <w:szCs w:val="22"/>
              </w:rPr>
              <w:fldChar w:fldCharType="separate"/>
            </w:r>
            <w:r w:rsidRPr="00A26FD5">
              <w:rPr>
                <w:rFonts w:eastAsia="Calibri"/>
                <w:sz w:val="22"/>
                <w:szCs w:val="22"/>
              </w:rPr>
              <w:t xml:space="preserve">(Albright </w:t>
            </w:r>
            <w:r w:rsidR="00990DA6" w:rsidRPr="00A26FD5">
              <w:rPr>
                <w:rFonts w:eastAsia="Calibri"/>
                <w:sz w:val="22"/>
                <w:szCs w:val="22"/>
              </w:rPr>
              <w:t>&amp;</w:t>
            </w:r>
            <w:r w:rsidRPr="00A26FD5">
              <w:rPr>
                <w:rFonts w:eastAsia="Calibri"/>
                <w:sz w:val="22"/>
                <w:szCs w:val="22"/>
              </w:rPr>
              <w:t xml:space="preserve"> Langdon</w:t>
            </w:r>
            <w:r w:rsidR="00990DA6" w:rsidRPr="00A26FD5">
              <w:rPr>
                <w:rFonts w:eastAsia="Calibri"/>
                <w:sz w:val="22"/>
                <w:szCs w:val="22"/>
              </w:rPr>
              <w:t>,</w:t>
            </w:r>
            <w:r w:rsidRPr="00A26FD5">
              <w:rPr>
                <w:rFonts w:eastAsia="Calibri"/>
                <w:sz w:val="22"/>
                <w:szCs w:val="22"/>
              </w:rPr>
              <w:t xml:space="preserve"> 2011)</w:t>
            </w:r>
            <w:r w:rsidRPr="00A26FD5">
              <w:rPr>
                <w:rFonts w:eastAsia="Calibri"/>
                <w:szCs w:val="22"/>
              </w:rPr>
              <w:fldChar w:fldCharType="end"/>
            </w:r>
            <w:r w:rsidRPr="00A26FD5">
              <w:rPr>
                <w:rFonts w:eastAsia="Calibri"/>
                <w:sz w:val="22"/>
                <w:szCs w:val="22"/>
              </w:rPr>
              <w:t xml:space="preserve">. Related </w:t>
            </w:r>
            <w:r w:rsidRPr="00A26FD5">
              <w:rPr>
                <w:rFonts w:eastAsia="Calibri"/>
                <w:i/>
                <w:sz w:val="22"/>
                <w:szCs w:val="22"/>
              </w:rPr>
              <w:t>Porites sp.</w:t>
            </w:r>
            <w:r w:rsidRPr="00A26FD5">
              <w:rPr>
                <w:rFonts w:eastAsia="Calibri"/>
                <w:sz w:val="22"/>
                <w:szCs w:val="22"/>
              </w:rPr>
              <w:t xml:space="preserve"> of the Indo-Pacific show declining calcification rates over the past 16 years, and </w:t>
            </w:r>
            <w:r w:rsidRPr="00A26FD5">
              <w:rPr>
                <w:rFonts w:eastAsia="Calibri"/>
                <w:szCs w:val="22"/>
              </w:rPr>
              <w:fldChar w:fldCharType="begin" w:fldLock="1"/>
            </w:r>
            <w:r w:rsidRPr="00A26FD5">
              <w:rPr>
                <w:rFonts w:eastAsia="Calibri"/>
                <w:sz w:val="22"/>
                <w:szCs w:val="22"/>
              </w:rPr>
              <w:instrText>ADDIN CSL_CITATION { "citationItems" : [ { "id" : "ITEM-1", "itemData" : { "DOI" : "10.1111/j.1365-2486.2007.01520.x", "ISBN" : "1354-1013", "ISSN" : "13541013", "PMID" : "20083052005", "abstract" : "Temporal and spatial variation in the growth parameters skeletal density, linear extension and calcification rate in massive Porites from two nearshore regions of the northern Great Barrier Reef (GBR) were examined over a 16-year study period. Calcification rates in massive Porites have declined by approximately 21% in two regions on the GBR similar to 450 km apart. This is a function primarily of a decrease in linear extension (similar to 16%) with a smaller decline in skeletal density (similar to 6%) and contrasts with previous studies on the environmental controls on growth of massive Porites on the GBR. Changes in the growth parameters were linear over time. Averaged across colonies, skeletal density declined over time from 1.32 g cm(-3) (SE = 0.017) in 1988 to 1.25 g cm(-3) (0.013) in 2003, equivalent to 0.36% yr(-1) (0.13). Annual extension declined from 1.52 cm yr(-1) (0.035) to 1.28 cm yr(-1) (0.026), equivalent to 1.02% yr(-1) (0.39). Calcification rates (the product of skeletal density and annual extension) declined from 1.96 g cm(-2) yr(-1) (0.049) to 1.59 g cm(-2) yr(-1) (0.041), equivalent to 1.29% yr(-1) (0.30). Mean annual seawater temperatures had no effect on skeletal density, but a modal effect on annual extension and calcification with maxima at similar to 26.7 degrees C. There were minor differences in the growth parameters between regions. A decline in coral calcification of this magnitude with increasing seawater temperatures is unprecedented in recent centuries based on analysis of growth records from long cores of massive Porites. We discuss the decline in calcification within the context of known environmental controls on coral growth. Although our findings are consistent with studies of the synergistic effect of elevated seawater temperatures and pCO(2) on coral calcification, we conclude that further data on seawater chemistry of the GBR are required to better understand the links between environmental change and effects on coral growth.", "author" : [ { "dropping-particle" : "", "family" : "Cooper", "given" : "Timothy F.", "non-dropping-particle" : "", "parse-names" : false, "suffix" : "" }, { "dropping-particle" : "", "family" : "De'ath", "given" : "Glenn", "non-dropping-particle" : "", "parse-names" : false, "suffix" : "" }, { "dropping-particle" : "", "family" : "Fabricius", "given" : "Katharina E.", "non-dropping-particle" : "", "parse-names" : false, "suffix" : "" }, { "dropping-particle" : "", "family" : "Lough", "given" : "Janice M.", "non-dropping-particle" : "", "parse-names" : false, "suffix" : "" } ], "container-title" : "Global Change Biology", "id" : "ITEM-1", "issue" : "3", "issued" : { "date-parts" : [ [ "2008" ] ] }, "page" : "529-538", "title" : "Declining coral calcification in massive Porites in two nearshore regions of the northern Great Barrier Reef", "type" : "article-journal", "volume" : "14" }, "uris" : [ "http://www.mendeley.com/documents/?uuid=14627e30-c443-4c82-aa02-521598945cfe" ] } ], "mendeley" : { "formattedCitation" : "(Cooper et al. 2008)", "manualFormatting" : "Cooper et al. (2008)", "plainTextFormattedCitation" : "(Cooper et al. 2008)", "previouslyFormattedCitation" : "(Cooper et al. 2008)" }, "properties" : { "noteIndex" : 0 }, "schema" : "https://github.com/citation-style-language/schema/raw/master/csl-citation.json" }</w:instrText>
            </w:r>
            <w:r w:rsidRPr="00A26FD5">
              <w:rPr>
                <w:rFonts w:eastAsia="Calibri"/>
                <w:szCs w:val="22"/>
              </w:rPr>
              <w:fldChar w:fldCharType="separate"/>
            </w:r>
            <w:r w:rsidRPr="00A26FD5">
              <w:rPr>
                <w:rFonts w:eastAsia="Calibri"/>
                <w:sz w:val="22"/>
                <w:szCs w:val="22"/>
              </w:rPr>
              <w:t>Cooper et al. (2008)</w:t>
            </w:r>
            <w:r w:rsidRPr="00A26FD5">
              <w:rPr>
                <w:rFonts w:eastAsia="Calibri"/>
                <w:szCs w:val="22"/>
              </w:rPr>
              <w:fldChar w:fldCharType="end"/>
            </w:r>
            <w:r w:rsidRPr="00A26FD5">
              <w:rPr>
                <w:rFonts w:eastAsia="Calibri"/>
                <w:sz w:val="22"/>
                <w:szCs w:val="22"/>
              </w:rPr>
              <w:t xml:space="preserve"> attribute this change to ocean acidification. Experiments with other Caribbean species, like the reef urchin (</w:t>
            </w:r>
            <w:r w:rsidRPr="00A26FD5">
              <w:rPr>
                <w:rFonts w:eastAsia="Calibri"/>
                <w:i/>
                <w:sz w:val="22"/>
                <w:szCs w:val="22"/>
              </w:rPr>
              <w:t>Echinometra viridis</w:t>
            </w:r>
            <w:r w:rsidRPr="00A26FD5">
              <w:rPr>
                <w:rFonts w:eastAsia="Calibri"/>
                <w:sz w:val="22"/>
                <w:szCs w:val="22"/>
              </w:rPr>
              <w:t xml:space="preserve">), also show impaired calcification of Caribbean reef species </w:t>
            </w:r>
            <w:r w:rsidRPr="00A26FD5">
              <w:rPr>
                <w:rFonts w:eastAsia="Calibri"/>
                <w:szCs w:val="22"/>
              </w:rPr>
              <w:fldChar w:fldCharType="begin" w:fldLock="1"/>
            </w:r>
            <w:r w:rsidRPr="00A26FD5">
              <w:rPr>
                <w:rFonts w:eastAsia="Calibri"/>
                <w:sz w:val="22"/>
                <w:szCs w:val="22"/>
              </w:rPr>
              <w:instrText>ADDIN CSL_CITATION { "citationItems" : [ { "id" : "ITEM-1", "itemData" : { "DOI" : "10.1016/j.jembe.2012.11.013", "author" : [ { "dropping-particle" : "", "family" : "Courtney", "given" : "T", "non-dropping-particle" : "", "parse-names" : false, "suffix" : "" }, { "dropping-particle" : "", "family" : "West", "given" : "I", "non-dropping-particle" : "", "parse-names" : false, "suffix" : "" }, { "dropping-particle" : "", "family" : "Ries", "given" : "J B", "non-dropping-particle" : "", "parse-names" : false, "suffix" : "" } ], "container-title" : "Journal of Experimental Marine Biology and Ecology", "id" : "ITEM-1", "issued" : { "date-parts" : [ [ "2013" ] ] }, "page" : "169-175", "title" : "Author ' s personal copy CO 2 -induced ocean acidi fi cation impairs calci fi cation in the tropical urchin Echinometra viridis Author ' s personal copy", "type" : "article-journal", "volume" : "440" }, "uris" : [ "http://www.mendeley.com/documents/?uuid=cb6c95da-5b54-47fa-816a-6e89847c2435" ] } ], "mendeley" : { "formattedCitation" : "(Courtney et al. 2013)", "plainTextFormattedCitation" : "(Courtney et al. 2013)", "previouslyFormattedCitation" : "(Courtney et al. 2013)" }, "properties" : { "noteIndex" : 0 }, "schema" : "https://github.com/citation-style-language/schema/raw/master/csl-citation.json" }</w:instrText>
            </w:r>
            <w:r w:rsidRPr="00A26FD5">
              <w:rPr>
                <w:rFonts w:eastAsia="Calibri"/>
                <w:szCs w:val="22"/>
              </w:rPr>
              <w:fldChar w:fldCharType="separate"/>
            </w:r>
            <w:r w:rsidRPr="00A26FD5">
              <w:rPr>
                <w:rFonts w:eastAsia="Calibri"/>
                <w:sz w:val="22"/>
                <w:szCs w:val="22"/>
              </w:rPr>
              <w:t>(Courtney et al., 2013)</w:t>
            </w:r>
            <w:r w:rsidRPr="00A26FD5">
              <w:rPr>
                <w:rFonts w:eastAsia="Calibri"/>
                <w:szCs w:val="22"/>
              </w:rPr>
              <w:fldChar w:fldCharType="end"/>
            </w:r>
            <w:r w:rsidRPr="00A26FD5">
              <w:rPr>
                <w:rFonts w:eastAsia="Calibri"/>
                <w:sz w:val="22"/>
                <w:szCs w:val="22"/>
              </w:rPr>
              <w:t>.</w:t>
            </w:r>
            <w:r w:rsidR="00D84807" w:rsidRPr="00A26FD5">
              <w:rPr>
                <w:rFonts w:eastAsia="Calibri"/>
                <w:sz w:val="22"/>
                <w:szCs w:val="22"/>
              </w:rPr>
              <w:t xml:space="preserve"> </w:t>
            </w:r>
          </w:p>
          <w:p w14:paraId="1EC183B4" w14:textId="04FFF287" w:rsidR="001E61A6" w:rsidRPr="00A26FD5" w:rsidRDefault="000D1D96" w:rsidP="00A345FC">
            <w:pPr>
              <w:spacing w:before="120" w:after="120"/>
              <w:jc w:val="center"/>
              <w:rPr>
                <w:b/>
                <w:bCs/>
                <w:sz w:val="22"/>
                <w:szCs w:val="22"/>
              </w:rPr>
            </w:pPr>
            <w:r w:rsidRPr="00A26FD5">
              <w:rPr>
                <w:rFonts w:eastAsia="Calibri"/>
                <w:noProof/>
                <w:szCs w:val="22"/>
                <w:lang w:val="en-GB" w:eastAsia="en-GB"/>
              </w:rPr>
              <w:drawing>
                <wp:inline distT="0" distB="0" distL="0" distR="0" wp14:anchorId="6DB6BC18" wp14:editId="70453D88">
                  <wp:extent cx="5581927" cy="7096125"/>
                  <wp:effectExtent l="0" t="0" r="0" b="0"/>
                  <wp:docPr id="2096" name="Imagen 2096" descr="C:\Users\Alejandro Valderrama\Downloads\Fig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7" descr="C:\Users\Alejandro Valderrama\Downloads\Fig4.7.jpg"/>
                          <pic:cNvPicPr>
                            <a:picLocks noChangeAspect="1" noChangeArrowheads="1"/>
                          </pic:cNvPicPr>
                        </pic:nvPicPr>
                        <pic:blipFill rotWithShape="1">
                          <a:blip r:embed="rId981">
                            <a:extLst>
                              <a:ext uri="{28A0092B-C50C-407E-A947-70E740481C1C}">
                                <a14:useLocalDpi xmlns:a14="http://schemas.microsoft.com/office/drawing/2010/main" val="0"/>
                              </a:ext>
                            </a:extLst>
                          </a:blip>
                          <a:srcRect b="11804"/>
                          <a:stretch/>
                        </pic:blipFill>
                        <pic:spPr bwMode="auto">
                          <a:xfrm>
                            <a:off x="0" y="0"/>
                            <a:ext cx="5581927" cy="70961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2349101" w14:textId="2B56769B" w:rsidR="00A345FC" w:rsidRPr="008608AA" w:rsidRDefault="00A345FC" w:rsidP="00A345FC">
      <w:pPr>
        <w:spacing w:before="120"/>
        <w:jc w:val="center"/>
        <w:rPr>
          <w:rFonts w:eastAsia="Calibri"/>
        </w:rPr>
      </w:pPr>
    </w:p>
    <w:p w14:paraId="2F10D6E0" w14:textId="36C6642F" w:rsidR="000D1D96" w:rsidRPr="008608AA" w:rsidRDefault="000D1D96" w:rsidP="00A345FC">
      <w:pPr>
        <w:spacing w:before="120"/>
        <w:jc w:val="center"/>
        <w:rPr>
          <w:rFonts w:eastAsia="Calibri"/>
        </w:rPr>
      </w:pPr>
      <w:r w:rsidRPr="008608AA">
        <w:rPr>
          <w:rFonts w:eastAsia="Calibri"/>
          <w:noProof/>
          <w:lang w:val="en-GB" w:eastAsia="en-GB"/>
        </w:rPr>
        <w:drawing>
          <wp:inline distT="0" distB="0" distL="0" distR="0" wp14:anchorId="59A50F68" wp14:editId="7A457EAE">
            <wp:extent cx="5934075" cy="4467225"/>
            <wp:effectExtent l="0" t="0" r="9525" b="9525"/>
            <wp:docPr id="2097" name="Imagen 2097" descr="C:\Users\Alejandro Valderrama\Downloads\Fig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9" descr="C:\Users\Alejandro Valderrama\Downloads\Fig4.8.jpg"/>
                    <pic:cNvPicPr>
                      <a:picLocks noChangeAspect="1" noChangeArrowheads="1"/>
                    </pic:cNvPicPr>
                  </pic:nvPicPr>
                  <pic:blipFill rotWithShape="1">
                    <a:blip r:embed="rId982">
                      <a:extLst>
                        <a:ext uri="{28A0092B-C50C-407E-A947-70E740481C1C}">
                          <a14:useLocalDpi xmlns:a14="http://schemas.microsoft.com/office/drawing/2010/main" val="0"/>
                        </a:ext>
                      </a:extLst>
                    </a:blip>
                    <a:srcRect b="47773"/>
                    <a:stretch/>
                  </pic:blipFill>
                  <pic:spPr bwMode="auto">
                    <a:xfrm>
                      <a:off x="0" y="0"/>
                      <a:ext cx="5934075" cy="4467225"/>
                    </a:xfrm>
                    <a:prstGeom prst="rect">
                      <a:avLst/>
                    </a:prstGeom>
                    <a:noFill/>
                    <a:ln>
                      <a:noFill/>
                    </a:ln>
                    <a:extLst>
                      <a:ext uri="{53640926-AAD7-44D8-BBD7-CCE9431645EC}">
                        <a14:shadowObscured xmlns:a14="http://schemas.microsoft.com/office/drawing/2010/main"/>
                      </a:ext>
                    </a:extLst>
                  </pic:spPr>
                </pic:pic>
              </a:graphicData>
            </a:graphic>
          </wp:inline>
        </w:drawing>
      </w:r>
    </w:p>
    <w:p w14:paraId="0F4B296A" w14:textId="65ABD8BC" w:rsidR="001E61A6" w:rsidRPr="008608AA" w:rsidRDefault="001E61A6" w:rsidP="00A345FC">
      <w:pPr>
        <w:spacing w:before="120"/>
        <w:rPr>
          <w:rFonts w:eastAsia="Calibri"/>
        </w:rPr>
      </w:pPr>
      <w:r w:rsidRPr="008608AA">
        <w:rPr>
          <w:rFonts w:eastAsia="Calibri"/>
        </w:rPr>
        <w:t>Caribbean island cloud forests and biota can have high mercury levels (Townsend et al., 2013), suggesting that global atmospheric mercury burdens are affecting them, given that these forests are cooler, wetter and intercept fog. Caribbean cloud forest soils are often waterlogged (Silver et al., 1999), which could spur mercury methylation. As in Mesoamerica, past use of legacy organochlorine pesticides is associated with high concentrations in streams, coastal environments and biota. Past chlordecone use in Martinique and Guadeloupe is associated with current concentrations in freshwater and coastal ecos</w:t>
      </w:r>
      <w:r w:rsidR="00990DA6" w:rsidRPr="008608AA">
        <w:rPr>
          <w:rFonts w:eastAsia="Calibri"/>
        </w:rPr>
        <w:t>ystems (Coat et al., 2006, 2011;</w:t>
      </w:r>
      <w:r w:rsidRPr="008608AA">
        <w:rPr>
          <w:rFonts w:eastAsia="Calibri"/>
        </w:rPr>
        <w:t xml:space="preserve"> Charlotte et al., 2016). Low-level chronic exposure of developing infants and infants to chlordecone negatively impacts infant cognitive and motor developments in Guadeloupe (Dallaire et al., 2012). </w:t>
      </w:r>
    </w:p>
    <w:p w14:paraId="5180724B" w14:textId="77777777" w:rsidR="001E61A6" w:rsidRPr="008608AA" w:rsidRDefault="001E61A6" w:rsidP="00A345FC">
      <w:pPr>
        <w:pStyle w:val="Heading4"/>
        <w:numPr>
          <w:ilvl w:val="0"/>
          <w:numId w:val="0"/>
        </w:numPr>
        <w:spacing w:before="120" w:line="240" w:lineRule="auto"/>
      </w:pPr>
      <w:bookmarkStart w:id="1539" w:name="_Toc517393354"/>
      <w:bookmarkStart w:id="1540" w:name="_Toc517394411"/>
      <w:bookmarkStart w:id="1541" w:name="_Toc517719095"/>
      <w:bookmarkStart w:id="1542" w:name="_Toc517797052"/>
      <w:r w:rsidRPr="008608AA">
        <w:t>South America</w:t>
      </w:r>
      <w:bookmarkEnd w:id="1539"/>
      <w:bookmarkEnd w:id="1540"/>
      <w:bookmarkEnd w:id="1541"/>
      <w:bookmarkEnd w:id="1542"/>
    </w:p>
    <w:p w14:paraId="47AD7638" w14:textId="42F1580F" w:rsidR="001E61A6" w:rsidRPr="008608AA" w:rsidRDefault="001E61A6" w:rsidP="00A345FC">
      <w:pPr>
        <w:spacing w:before="120"/>
        <w:rPr>
          <w:rFonts w:eastAsia="Calibri"/>
        </w:rPr>
      </w:pPr>
      <w:r w:rsidRPr="008608AA">
        <w:rPr>
          <w:rFonts w:eastAsia="Calibri"/>
        </w:rPr>
        <w:t>Ocean acidification is increasing around South America; pH decreased from 1991-2011 in the southern and equatorial Atlantic and P</w:t>
      </w:r>
      <w:r w:rsidR="00350383" w:rsidRPr="008608AA">
        <w:rPr>
          <w:rFonts w:eastAsia="Calibri"/>
        </w:rPr>
        <w:t>acific Oceans and the subpolar s</w:t>
      </w:r>
      <w:r w:rsidRPr="008608AA">
        <w:rPr>
          <w:rFonts w:eastAsia="Calibri"/>
        </w:rPr>
        <w:t>out</w:t>
      </w:r>
      <w:r w:rsidR="00F84FCC" w:rsidRPr="008608AA">
        <w:rPr>
          <w:rFonts w:eastAsia="Calibri"/>
        </w:rPr>
        <w:t>hern Ocean (Lauvset et al., 2015</w:t>
      </w:r>
      <w:r w:rsidRPr="008608AA">
        <w:rPr>
          <w:rFonts w:eastAsia="Calibri"/>
        </w:rPr>
        <w:t xml:space="preserve">). Southern Ocean systems are highly vulnerable to ocean acidification. Colder waters hold more </w:t>
      </w:r>
      <w:r w:rsidR="00E03ED4" w:rsidRPr="008608AA">
        <w:rPr>
          <w:rFonts w:eastAsia="Calibri"/>
        </w:rPr>
        <w:t>carbon dioxide</w:t>
      </w:r>
      <w:r w:rsidRPr="008608AA">
        <w:rPr>
          <w:rFonts w:eastAsia="Calibri"/>
        </w:rPr>
        <w:t xml:space="preserve"> and dissolve more calcium carbonate. Species crit</w:t>
      </w:r>
      <w:r w:rsidR="00350383" w:rsidRPr="008608AA">
        <w:rPr>
          <w:rFonts w:eastAsia="Calibri"/>
        </w:rPr>
        <w:t>ical to the pelagic or benthic s</w:t>
      </w:r>
      <w:r w:rsidRPr="008608AA">
        <w:rPr>
          <w:rFonts w:eastAsia="Calibri"/>
        </w:rPr>
        <w:t>outhern Ocean food web, including Antarctic krill (</w:t>
      </w:r>
      <w:r w:rsidRPr="008608AA">
        <w:rPr>
          <w:rFonts w:eastAsia="Calibri"/>
          <w:i/>
        </w:rPr>
        <w:t>Euphausia superba</w:t>
      </w:r>
      <w:r w:rsidRPr="008608AA">
        <w:rPr>
          <w:rFonts w:eastAsia="Calibri"/>
        </w:rPr>
        <w:t xml:space="preserve">), some pteropods, and benthic marine invertebrates, could collapse from ocean acidification alone, ignoring temperature </w:t>
      </w:r>
      <w:r w:rsidR="00990DA6" w:rsidRPr="008608AA">
        <w:rPr>
          <w:rFonts w:eastAsia="Calibri"/>
        </w:rPr>
        <w:t>changes (Kawaguchi et al., 2013;</w:t>
      </w:r>
      <w:r w:rsidRPr="008608AA">
        <w:rPr>
          <w:rFonts w:eastAsia="Calibri"/>
        </w:rPr>
        <w:t xml:space="preserve"> McNeil </w:t>
      </w:r>
      <w:r w:rsidR="00990DA6" w:rsidRPr="008608AA">
        <w:rPr>
          <w:rFonts w:eastAsia="Calibri"/>
        </w:rPr>
        <w:t>&amp;</w:t>
      </w:r>
      <w:r w:rsidRPr="008608AA">
        <w:rPr>
          <w:rFonts w:eastAsia="Calibri"/>
        </w:rPr>
        <w:t xml:space="preserve"> Matear</w:t>
      </w:r>
      <w:r w:rsidR="00990DA6" w:rsidRPr="008608AA">
        <w:rPr>
          <w:rFonts w:eastAsia="Calibri"/>
        </w:rPr>
        <w:t>, 2008;</w:t>
      </w:r>
      <w:r w:rsidRPr="008608AA">
        <w:rPr>
          <w:rFonts w:eastAsia="Calibri"/>
        </w:rPr>
        <w:t xml:space="preserve"> McClintoc et al., 2009). Experiments show that species from subtropical southern Pacific Ocean waters are vulnerable to ocean acidification (Vargas et al., 2015). Upwelling, rainfall, tides and r</w:t>
      </w:r>
      <w:r w:rsidR="00990DA6" w:rsidRPr="008608AA">
        <w:rPr>
          <w:rFonts w:eastAsia="Calibri"/>
        </w:rPr>
        <w:t>iver flows (Vargas et al., 2016;</w:t>
      </w:r>
      <w:r w:rsidRPr="008608AA">
        <w:rPr>
          <w:rFonts w:eastAsia="Calibri"/>
        </w:rPr>
        <w:t xml:space="preserve"> Manzello</w:t>
      </w:r>
      <w:r w:rsidR="00990DA6" w:rsidRPr="008608AA">
        <w:rPr>
          <w:rFonts w:eastAsia="Calibri"/>
        </w:rPr>
        <w:t>,</w:t>
      </w:r>
      <w:r w:rsidRPr="008608AA">
        <w:rPr>
          <w:rFonts w:eastAsia="Calibri"/>
        </w:rPr>
        <w:t xml:space="preserve"> 2010) affect seawater </w:t>
      </w:r>
      <w:r w:rsidR="00E03ED4" w:rsidRPr="008608AA">
        <w:rPr>
          <w:rFonts w:eastAsia="Calibri"/>
        </w:rPr>
        <w:t>carbon dioxide</w:t>
      </w:r>
      <w:r w:rsidRPr="008608AA">
        <w:rPr>
          <w:rFonts w:eastAsia="Calibri"/>
        </w:rPr>
        <w:t xml:space="preserve"> levels, upwelling around the Galapagos Islands, cause high </w:t>
      </w:r>
      <w:r w:rsidR="00E03ED4" w:rsidRPr="008608AA">
        <w:rPr>
          <w:rFonts w:eastAsia="Calibri"/>
        </w:rPr>
        <w:t>carbon dioxide</w:t>
      </w:r>
      <w:r w:rsidRPr="008608AA">
        <w:rPr>
          <w:rFonts w:eastAsia="Calibri"/>
        </w:rPr>
        <w:t xml:space="preserve"> levels and low calcium carbonate, places its waters near the distributional limits for coral reefs, making them particularly vulnerable to ocean acidification (Manzello</w:t>
      </w:r>
      <w:r w:rsidR="00990DA6" w:rsidRPr="008608AA">
        <w:rPr>
          <w:rFonts w:eastAsia="Calibri"/>
        </w:rPr>
        <w:t>,</w:t>
      </w:r>
      <w:r w:rsidRPr="008608AA">
        <w:rPr>
          <w:rFonts w:eastAsia="Calibri"/>
        </w:rPr>
        <w:t xml:space="preserve"> 2010). </w:t>
      </w:r>
    </w:p>
    <w:p w14:paraId="649D2D6A" w14:textId="6E6B34DB" w:rsidR="001E61A6" w:rsidRPr="008608AA" w:rsidRDefault="001E61A6" w:rsidP="00A345FC">
      <w:pPr>
        <w:spacing w:before="120"/>
        <w:rPr>
          <w:rFonts w:eastAsia="Calibri"/>
        </w:rPr>
      </w:pPr>
      <w:r w:rsidRPr="008608AA">
        <w:rPr>
          <w:rFonts w:eastAsia="Calibri"/>
        </w:rPr>
        <w:t xml:space="preserve">The worldwide need for food and increased rainfall as led to agricultural expansion and change over recent decades in South America. Rapid adoption of genetically modified crops has occurred, particularly glyphosate tolerant soybean and corn and Bt-corn and cotton (De la Casa </w:t>
      </w:r>
      <w:r w:rsidR="00990DA6" w:rsidRPr="008608AA">
        <w:rPr>
          <w:rFonts w:eastAsia="Calibri"/>
        </w:rPr>
        <w:t>&amp;</w:t>
      </w:r>
      <w:r w:rsidRPr="008608AA">
        <w:rPr>
          <w:rFonts w:eastAsia="Calibri"/>
        </w:rPr>
        <w:t xml:space="preserve"> Ovando</w:t>
      </w:r>
      <w:r w:rsidR="00990DA6" w:rsidRPr="008608AA">
        <w:rPr>
          <w:rFonts w:eastAsia="Calibri"/>
        </w:rPr>
        <w:t>, 2014;</w:t>
      </w:r>
      <w:r w:rsidRPr="008608AA">
        <w:rPr>
          <w:rFonts w:eastAsia="Calibri"/>
        </w:rPr>
        <w:t xml:space="preserve"> Brookes </w:t>
      </w:r>
      <w:r w:rsidR="00990DA6" w:rsidRPr="008608AA">
        <w:rPr>
          <w:rFonts w:eastAsia="Calibri"/>
        </w:rPr>
        <w:t>&amp;</w:t>
      </w:r>
      <w:r w:rsidRPr="008608AA">
        <w:rPr>
          <w:rFonts w:eastAsia="Calibri"/>
        </w:rPr>
        <w:t xml:space="preserve"> Barfoot, 2011). Between 1996 and 2009, the area planted to soybeans in Argentina increased by 2</w:t>
      </w:r>
      <w:r w:rsidR="00350383" w:rsidRPr="008608AA">
        <w:rPr>
          <w:rFonts w:eastAsia="Calibri"/>
        </w:rPr>
        <w:t>15% (from 5.9 to 18.6 million hectares</w:t>
      </w:r>
      <w:r w:rsidRPr="008608AA">
        <w:rPr>
          <w:rFonts w:eastAsia="Calibri"/>
        </w:rPr>
        <w:t>) (Lapola et al</w:t>
      </w:r>
      <w:r w:rsidR="00990DA6" w:rsidRPr="008608AA">
        <w:rPr>
          <w:rFonts w:eastAsia="Calibri"/>
        </w:rPr>
        <w:t>.</w:t>
      </w:r>
      <w:r w:rsidRPr="008608AA">
        <w:rPr>
          <w:rFonts w:eastAsia="Calibri"/>
        </w:rPr>
        <w:t>, 2014).</w:t>
      </w:r>
    </w:p>
    <w:p w14:paraId="7CE42AFF" w14:textId="2F66F456" w:rsidR="001E61A6" w:rsidRPr="008608AA" w:rsidRDefault="001E61A6" w:rsidP="00A345FC">
      <w:pPr>
        <w:spacing w:before="120"/>
        <w:rPr>
          <w:rFonts w:eastAsia="Calibri"/>
        </w:rPr>
      </w:pPr>
      <w:r w:rsidRPr="008608AA">
        <w:rPr>
          <w:rFonts w:eastAsia="Calibri"/>
        </w:rPr>
        <w:t>Agriculture has intensified over the same peri</w:t>
      </w:r>
      <w:r w:rsidR="00190561" w:rsidRPr="008608AA">
        <w:rPr>
          <w:rFonts w:eastAsia="Calibri"/>
        </w:rPr>
        <w:t>od, with one field producing two to three</w:t>
      </w:r>
      <w:r w:rsidRPr="008608AA">
        <w:rPr>
          <w:rFonts w:eastAsia="Calibri"/>
        </w:rPr>
        <w:t xml:space="preserve"> crops per year. Water-quality degradation in Brazilian rivers is directly proportional to agricultural extent in watersheds and ripari</w:t>
      </w:r>
      <w:r w:rsidR="000A1FF4" w:rsidRPr="008608AA">
        <w:rPr>
          <w:rFonts w:eastAsia="Calibri"/>
        </w:rPr>
        <w:t>an zones</w:t>
      </w:r>
      <w:r w:rsidRPr="008608AA">
        <w:rPr>
          <w:rFonts w:eastAsia="Calibri"/>
        </w:rPr>
        <w:t xml:space="preserve">. </w:t>
      </w:r>
    </w:p>
    <w:p w14:paraId="585283A1" w14:textId="519508AB" w:rsidR="001E61A6" w:rsidRPr="008608AA" w:rsidRDefault="001E61A6" w:rsidP="00A345FC">
      <w:pPr>
        <w:spacing w:before="120"/>
        <w:rPr>
          <w:rFonts w:eastAsia="Calibri"/>
        </w:rPr>
      </w:pPr>
      <w:r w:rsidRPr="008608AA">
        <w:rPr>
          <w:rFonts w:eastAsia="Calibri"/>
        </w:rPr>
        <w:t>There are no systemic studies of agricultural chemicals in the South American environment, but given the large use of glyphosate on genetically modified soybean it can be assumed that conditions are similar to the USA where glyphosate can be found in every e</w:t>
      </w:r>
      <w:r w:rsidR="00990DA6" w:rsidRPr="008608AA">
        <w:rPr>
          <w:rFonts w:eastAsia="Calibri"/>
        </w:rPr>
        <w:t>nvironmental compartment (Coupe</w:t>
      </w:r>
      <w:r w:rsidRPr="008608AA">
        <w:rPr>
          <w:rFonts w:eastAsia="Calibri"/>
        </w:rPr>
        <w:t xml:space="preserve"> et al.</w:t>
      </w:r>
      <w:r w:rsidR="00990DA6" w:rsidRPr="008608AA">
        <w:rPr>
          <w:rFonts w:eastAsia="Calibri"/>
        </w:rPr>
        <w:t>, 2012; Battaglin et al., 2014;</w:t>
      </w:r>
      <w:r w:rsidRPr="008608AA">
        <w:rPr>
          <w:rFonts w:eastAsia="Calibri"/>
        </w:rPr>
        <w:t xml:space="preserve"> Rios et al., 2010).</w:t>
      </w:r>
    </w:p>
    <w:p w14:paraId="70908F3A" w14:textId="11F735BC" w:rsidR="001E61A6" w:rsidRPr="008608AA" w:rsidRDefault="001E61A6" w:rsidP="00A345FC">
      <w:pPr>
        <w:spacing w:before="120"/>
        <w:rPr>
          <w:rFonts w:eastAsia="Calibri"/>
        </w:rPr>
      </w:pPr>
      <w:r w:rsidRPr="008608AA">
        <w:rPr>
          <w:rFonts w:eastAsia="Calibri"/>
        </w:rPr>
        <w:t xml:space="preserve">Total dissolved nitrogen yields in major South American rivers, including the </w:t>
      </w:r>
      <w:r w:rsidR="00F0314B" w:rsidRPr="008608AA">
        <w:rPr>
          <w:rFonts w:eastAsia="Calibri"/>
        </w:rPr>
        <w:t xml:space="preserve">Río de la </w:t>
      </w:r>
      <w:r w:rsidRPr="008608AA">
        <w:rPr>
          <w:rFonts w:eastAsia="Calibri"/>
        </w:rPr>
        <w:t>Plata and Amazon, are less than many major world rivers. Rivers with the highest total dissolved nitrogen yields in South America pass through heavily populated areas - they lack of municipal and industrial treatment plants. Rivers impacted by agriculture have lower total dissolved nitrogen yields. Water pollution in South America is dominated by municipal and industrial sewage (Bustamente et al</w:t>
      </w:r>
      <w:r w:rsidR="00190561" w:rsidRPr="008608AA">
        <w:rPr>
          <w:rFonts w:eastAsia="Calibri"/>
        </w:rPr>
        <w:t>.,</w:t>
      </w:r>
      <w:r w:rsidRPr="008608AA">
        <w:rPr>
          <w:rFonts w:eastAsia="Calibri"/>
        </w:rPr>
        <w:t xml:space="preserve"> 2015). In all countries of the Amazon and Orinoco River basins, wetlands and major rivers show pollutant impacts on b</w:t>
      </w:r>
      <w:r w:rsidR="00AD129F" w:rsidRPr="008608AA">
        <w:rPr>
          <w:rFonts w:eastAsia="Calibri"/>
        </w:rPr>
        <w:t>iodiversity (Crema et al., 2011; Gomez-Salazar et al., 2012;</w:t>
      </w:r>
      <w:r w:rsidRPr="008608AA">
        <w:rPr>
          <w:rFonts w:eastAsia="Calibri"/>
        </w:rPr>
        <w:t xml:space="preserve"> Lopes </w:t>
      </w:r>
      <w:r w:rsidR="00190561" w:rsidRPr="008608AA">
        <w:rPr>
          <w:rFonts w:eastAsia="Calibri"/>
        </w:rPr>
        <w:t>&amp;</w:t>
      </w:r>
      <w:r w:rsidRPr="008608AA">
        <w:rPr>
          <w:rFonts w:eastAsia="Calibri"/>
        </w:rPr>
        <w:t xml:space="preserve"> Piedade</w:t>
      </w:r>
      <w:r w:rsidR="00AD129F" w:rsidRPr="008608AA">
        <w:rPr>
          <w:rFonts w:eastAsia="Calibri"/>
        </w:rPr>
        <w:t>,</w:t>
      </w:r>
      <w:r w:rsidRPr="008608AA">
        <w:rPr>
          <w:rFonts w:eastAsia="Calibri"/>
        </w:rPr>
        <w:t xml:space="preserve"> 2014). Where Amazonian wetlands</w:t>
      </w:r>
      <w:r w:rsidR="00260800" w:rsidRPr="008608AA">
        <w:rPr>
          <w:rFonts w:eastAsia="Calibri"/>
        </w:rPr>
        <w:t xml:space="preserve"> (forested floodplains, marshes, wet meadows, peatlands, tidal wetlands, etc.) </w:t>
      </w:r>
      <w:r w:rsidRPr="008608AA">
        <w:rPr>
          <w:rFonts w:eastAsia="Calibri"/>
        </w:rPr>
        <w:t>are densely populated, conversion to agriculture, accompanied by fertilizer organic matter loads, cause super or even hypereutrophic areas in the mid-lower course of the Amazonas River (Affonso et al., 2011).  Increased nitrogen availability from agriculture, mining, sewage pollution, shrimp farming and solid waste disposal threaten South American mangroves (Lacerda et al., 2002; Castellanos-Gallindo et al., 2014; Rodr</w:t>
      </w:r>
      <w:r w:rsidR="00AD129F" w:rsidRPr="008608AA">
        <w:rPr>
          <w:rFonts w:eastAsia="Calibri"/>
        </w:rPr>
        <w:t>íguez-Rodríguez et al., 2016) (s</w:t>
      </w:r>
      <w:r w:rsidRPr="008608AA">
        <w:rPr>
          <w:rFonts w:eastAsia="Calibri"/>
        </w:rPr>
        <w:t>upplementary material</w:t>
      </w:r>
      <w:r w:rsidR="00190561" w:rsidRPr="008608AA">
        <w:t xml:space="preserve">: </w:t>
      </w:r>
      <w:r w:rsidR="0093467D" w:rsidRPr="008608AA">
        <w:t>Box 4.20</w:t>
      </w:r>
      <w:r w:rsidRPr="008608AA">
        <w:rPr>
          <w:rFonts w:eastAsia="Calibri"/>
          <w:b/>
        </w:rPr>
        <w:t>).</w:t>
      </w:r>
    </w:p>
    <w:p w14:paraId="74D398CE" w14:textId="6C6EB3A9" w:rsidR="001E61A6" w:rsidRPr="008608AA" w:rsidRDefault="001E61A6" w:rsidP="00A345FC">
      <w:pPr>
        <w:spacing w:before="120"/>
        <w:rPr>
          <w:rFonts w:eastAsia="Calibri"/>
        </w:rPr>
      </w:pPr>
      <w:r w:rsidRPr="008608AA">
        <w:rPr>
          <w:rFonts w:eastAsia="Calibri"/>
        </w:rPr>
        <w:t>Petroleum drilling is incre</w:t>
      </w:r>
      <w:r w:rsidR="00190561" w:rsidRPr="008608AA">
        <w:rPr>
          <w:rFonts w:eastAsia="Calibri"/>
        </w:rPr>
        <w:t>asing in the Amazon;</w:t>
      </w:r>
      <w:r w:rsidRPr="008608AA">
        <w:rPr>
          <w:rFonts w:eastAsia="Calibri"/>
        </w:rPr>
        <w:t xml:space="preserve"> repeated spills contaminate water, sediment and soils with toxic hydrocarbons or metals (Frazer</w:t>
      </w:r>
      <w:r w:rsidR="00AD129F" w:rsidRPr="008608AA">
        <w:rPr>
          <w:rFonts w:eastAsia="Calibri"/>
        </w:rPr>
        <w:t>, 2016;</w:t>
      </w:r>
      <w:r w:rsidRPr="008608AA">
        <w:rPr>
          <w:rFonts w:eastAsia="Calibri"/>
        </w:rPr>
        <w:t xml:space="preserve"> Marínez et al., 2007) in many indigenous communities. This income source is also a public health concern: childhood leukemia and spontaneous abortion are higher among people living near oil drilling, and stream water exceeds allowable limits for petroleum hydrocarbons (San Sebastián </w:t>
      </w:r>
      <w:r w:rsidR="00AD129F" w:rsidRPr="008608AA">
        <w:rPr>
          <w:rFonts w:eastAsia="Calibri"/>
        </w:rPr>
        <w:t>&amp;</w:t>
      </w:r>
      <w:r w:rsidRPr="008608AA">
        <w:rPr>
          <w:rFonts w:eastAsia="Calibri"/>
        </w:rPr>
        <w:t xml:space="preserve"> Hurtig</w:t>
      </w:r>
      <w:r w:rsidR="00AD129F" w:rsidRPr="008608AA">
        <w:rPr>
          <w:rFonts w:eastAsia="Calibri"/>
        </w:rPr>
        <w:t>, 2004;</w:t>
      </w:r>
      <w:r w:rsidRPr="008608AA">
        <w:rPr>
          <w:rFonts w:eastAsia="Calibri"/>
        </w:rPr>
        <w:t xml:space="preserve"> San Sebastián et al., 2002). Despite such concerns, little related research is availa</w:t>
      </w:r>
      <w:r w:rsidR="00AD129F" w:rsidRPr="008608AA">
        <w:rPr>
          <w:rFonts w:eastAsia="Calibri"/>
        </w:rPr>
        <w:t>ble (Orta Martínez et al., 2007;</w:t>
      </w:r>
      <w:r w:rsidRPr="008608AA">
        <w:rPr>
          <w:rFonts w:eastAsia="Calibri"/>
        </w:rPr>
        <w:t xml:space="preserve"> Orta-Martínez </w:t>
      </w:r>
      <w:r w:rsidR="00AD129F" w:rsidRPr="008608AA">
        <w:rPr>
          <w:rFonts w:eastAsia="Calibri"/>
        </w:rPr>
        <w:t>&amp;</w:t>
      </w:r>
      <w:r w:rsidRPr="008608AA">
        <w:rPr>
          <w:rFonts w:eastAsia="Calibri"/>
        </w:rPr>
        <w:t xml:space="preserve"> Finer</w:t>
      </w:r>
      <w:r w:rsidR="00AD129F" w:rsidRPr="008608AA">
        <w:rPr>
          <w:rFonts w:eastAsia="Calibri"/>
        </w:rPr>
        <w:t>,</w:t>
      </w:r>
      <w:r w:rsidRPr="008608AA">
        <w:rPr>
          <w:rFonts w:eastAsia="Calibri"/>
        </w:rPr>
        <w:t xml:space="preserve"> 2010), but water and sediment near oil-related activities can be highly contaminated with polycyclic aromatic hydrocarbons and mutagenic (Reátegui-Zirena et al., 2013), and drilling fluids have high toxic metal concentrations. Oil exploration is a source of spills that affect wetlands (Lopes &amp; Piedade, 2014). In general, metal-polycyclic aromatic hydrocarbons mixtures have a more than additive toxicity effect on aquatic invertebrates (Gauthier et al., 2014).  Oil and dispersants are toxic to Amazonian fish (Pinto et al., 2013). As of 2008, </w:t>
      </w:r>
      <w:r w:rsidR="00190561" w:rsidRPr="008608AA">
        <w:rPr>
          <w:rFonts w:eastAsia="Calibri"/>
        </w:rPr>
        <w:t>around</w:t>
      </w:r>
      <w:r w:rsidRPr="008608AA">
        <w:rPr>
          <w:rFonts w:eastAsia="Calibri"/>
        </w:rPr>
        <w:t>180 concessions for oil exploration or extraction, involving ≥35 companies, cover much of the most species-rich part of the Amazon (Finer et al., 2008), subjecting the area to pollution and opening it to deforestation and hunting (Butt et al., 2013).</w:t>
      </w:r>
    </w:p>
    <w:p w14:paraId="5672AC61" w14:textId="57FDCAD9" w:rsidR="001E61A6" w:rsidRPr="008608AA" w:rsidRDefault="001E61A6" w:rsidP="00A345FC">
      <w:pPr>
        <w:spacing w:before="120"/>
        <w:rPr>
          <w:rFonts w:eastAsia="Calibri"/>
        </w:rPr>
      </w:pPr>
      <w:r w:rsidRPr="008608AA">
        <w:rPr>
          <w:rFonts w:eastAsia="Calibri"/>
        </w:rPr>
        <w:t xml:space="preserve">Amazonian countries are large and increasing sources of </w:t>
      </w:r>
      <w:r w:rsidR="00190561" w:rsidRPr="008608AA">
        <w:rPr>
          <w:rFonts w:eastAsia="Calibri"/>
        </w:rPr>
        <w:t>m</w:t>
      </w:r>
      <w:r w:rsidR="0054250A" w:rsidRPr="008608AA">
        <w:rPr>
          <w:rFonts w:eastAsia="Calibri"/>
        </w:rPr>
        <w:t>ercury</w:t>
      </w:r>
      <w:r w:rsidRPr="008608AA">
        <w:rPr>
          <w:rFonts w:eastAsia="Calibri"/>
        </w:rPr>
        <w:t xml:space="preserve"> emissions from artisanal gold mining (Telmer </w:t>
      </w:r>
      <w:r w:rsidR="00AD129F" w:rsidRPr="008608AA">
        <w:rPr>
          <w:rFonts w:eastAsia="Calibri"/>
        </w:rPr>
        <w:t>&amp;</w:t>
      </w:r>
      <w:r w:rsidRPr="008608AA">
        <w:rPr>
          <w:rFonts w:eastAsia="Calibri"/>
        </w:rPr>
        <w:t xml:space="preserve"> Veiga, 2009). Mining area correlates with gold prices (Swenson et al., 2011) (</w:t>
      </w:r>
      <w:r w:rsidR="00B50ECF" w:rsidRPr="008608AA">
        <w:rPr>
          <w:rFonts w:eastAsia="Calibri"/>
        </w:rPr>
        <w:t>Figure 4.9</w:t>
      </w:r>
      <w:r w:rsidRPr="008608AA">
        <w:rPr>
          <w:rFonts w:eastAsia="Calibri"/>
        </w:rPr>
        <w:t xml:space="preserve">). Although some mercury leaches from soils (Fadini </w:t>
      </w:r>
      <w:r w:rsidR="00AD129F" w:rsidRPr="008608AA">
        <w:rPr>
          <w:rFonts w:eastAsia="Calibri"/>
        </w:rPr>
        <w:t>&amp;</w:t>
      </w:r>
      <w:r w:rsidRPr="008608AA">
        <w:rPr>
          <w:rFonts w:eastAsia="Calibri"/>
        </w:rPr>
        <w:t xml:space="preserve"> Jardim</w:t>
      </w:r>
      <w:r w:rsidR="00AD129F" w:rsidRPr="008608AA">
        <w:rPr>
          <w:rFonts w:eastAsia="Calibri"/>
        </w:rPr>
        <w:t>,</w:t>
      </w:r>
      <w:r w:rsidRPr="008608AA">
        <w:rPr>
          <w:rFonts w:eastAsia="Calibri"/>
        </w:rPr>
        <w:t xml:space="preserve"> 2001), most mercury contamination is anthropogenic, and seasonal flooding disperses it. Higher </w:t>
      </w:r>
      <w:r w:rsidR="00190561" w:rsidRPr="008608AA">
        <w:rPr>
          <w:rFonts w:eastAsia="Calibri"/>
        </w:rPr>
        <w:t>m</w:t>
      </w:r>
      <w:r w:rsidR="0054250A" w:rsidRPr="008608AA">
        <w:rPr>
          <w:rFonts w:eastAsia="Calibri"/>
        </w:rPr>
        <w:t>ercury</w:t>
      </w:r>
      <w:r w:rsidRPr="008608AA">
        <w:rPr>
          <w:rFonts w:eastAsia="Calibri"/>
        </w:rPr>
        <w:t xml:space="preserve"> concentrations occur downstream from mining sites in fish,</w:t>
      </w:r>
      <w:r w:rsidR="00AD129F" w:rsidRPr="008608AA">
        <w:rPr>
          <w:rFonts w:eastAsia="Calibri"/>
        </w:rPr>
        <w:t xml:space="preserve"> sediment and humans (Malm</w:t>
      </w:r>
      <w:r w:rsidR="00183664" w:rsidRPr="008608AA">
        <w:rPr>
          <w:rFonts w:eastAsia="Calibri"/>
        </w:rPr>
        <w:t>,</w:t>
      </w:r>
      <w:r w:rsidR="00AD129F" w:rsidRPr="008608AA">
        <w:rPr>
          <w:rFonts w:eastAsia="Calibri"/>
        </w:rPr>
        <w:t xml:space="preserve"> 1998; Mol et al., 2001; Cordy et al., 2011;</w:t>
      </w:r>
      <w:r w:rsidRPr="008608AA">
        <w:rPr>
          <w:rFonts w:eastAsia="Calibri"/>
        </w:rPr>
        <w:t xml:space="preserve"> Fujimura et al., 2012). Its adverse effects on vertebrate embryos and the human nervous system are well known (e.g. Passos </w:t>
      </w:r>
      <w:r w:rsidR="00AD129F" w:rsidRPr="008608AA">
        <w:rPr>
          <w:rFonts w:eastAsia="Calibri"/>
        </w:rPr>
        <w:t>&amp;</w:t>
      </w:r>
      <w:r w:rsidRPr="008608AA">
        <w:rPr>
          <w:rFonts w:eastAsia="Calibri"/>
        </w:rPr>
        <w:t xml:space="preserve"> Mergler</w:t>
      </w:r>
      <w:r w:rsidR="00AD129F" w:rsidRPr="008608AA">
        <w:rPr>
          <w:rFonts w:eastAsia="Calibri"/>
        </w:rPr>
        <w:t>,</w:t>
      </w:r>
      <w:r w:rsidRPr="008608AA">
        <w:rPr>
          <w:rFonts w:eastAsia="Calibri"/>
        </w:rPr>
        <w:t xml:space="preserve"> 2008).</w:t>
      </w:r>
    </w:p>
    <w:p w14:paraId="01579171" w14:textId="1E2543D3" w:rsidR="00A345FC" w:rsidRPr="008608AA" w:rsidRDefault="000D1D96" w:rsidP="00A345FC">
      <w:pPr>
        <w:keepNext/>
        <w:spacing w:before="120"/>
        <w:jc w:val="center"/>
        <w:rPr>
          <w:bCs/>
        </w:rPr>
      </w:pPr>
      <w:r w:rsidRPr="008608AA">
        <w:rPr>
          <w:bCs/>
          <w:noProof/>
          <w:lang w:val="en-GB" w:eastAsia="en-GB"/>
        </w:rPr>
        <w:drawing>
          <wp:inline distT="0" distB="0" distL="0" distR="0" wp14:anchorId="08134D8D" wp14:editId="0E6382B7">
            <wp:extent cx="5934075" cy="5895975"/>
            <wp:effectExtent l="0" t="0" r="9525" b="9525"/>
            <wp:docPr id="2098" name="Imagen 2098" descr="C:\Users\Alejandro Valderrama\Downloads\Fig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1" descr="C:\Users\Alejandro Valderrama\Downloads\Fig4.9.jpg"/>
                    <pic:cNvPicPr>
                      <a:picLocks noChangeAspect="1" noChangeArrowheads="1"/>
                    </pic:cNvPicPr>
                  </pic:nvPicPr>
                  <pic:blipFill rotWithShape="1">
                    <a:blip r:embed="rId983">
                      <a:extLst>
                        <a:ext uri="{28A0092B-C50C-407E-A947-70E740481C1C}">
                          <a14:useLocalDpi xmlns:a14="http://schemas.microsoft.com/office/drawing/2010/main" val="0"/>
                        </a:ext>
                      </a:extLst>
                    </a:blip>
                    <a:srcRect b="31069"/>
                    <a:stretch/>
                  </pic:blipFill>
                  <pic:spPr bwMode="auto">
                    <a:xfrm>
                      <a:off x="0" y="0"/>
                      <a:ext cx="5934075" cy="5895975"/>
                    </a:xfrm>
                    <a:prstGeom prst="rect">
                      <a:avLst/>
                    </a:prstGeom>
                    <a:noFill/>
                    <a:ln>
                      <a:noFill/>
                    </a:ln>
                    <a:extLst>
                      <a:ext uri="{53640926-AAD7-44D8-BBD7-CCE9431645EC}">
                        <a14:shadowObscured xmlns:a14="http://schemas.microsoft.com/office/drawing/2010/main"/>
                      </a:ext>
                    </a:extLst>
                  </pic:spPr>
                </pic:pic>
              </a:graphicData>
            </a:graphic>
          </wp:inline>
        </w:drawing>
      </w:r>
    </w:p>
    <w:p w14:paraId="5C1DB48C" w14:textId="17734603" w:rsidR="001E61A6" w:rsidRPr="008608AA" w:rsidRDefault="001E61A6" w:rsidP="00A345FC">
      <w:pPr>
        <w:keepNext/>
        <w:spacing w:before="120"/>
        <w:rPr>
          <w:bCs/>
        </w:rPr>
      </w:pPr>
      <w:r w:rsidRPr="008608AA">
        <w:rPr>
          <w:bCs/>
        </w:rPr>
        <w:t xml:space="preserve">In South America also, higher legacy of  persistent organic pollutants levels occur where past use was high. In a Patagonian watershed of Argentina, river water, sediments and wetland soils had higher polychlorinated biphenyls and organochlorine pesticides concentrations near agriculture, urban areas and hydroelectric facilities (Miglioranza et al., 2013), and raptors may have high organochlorine pesticides levels (Martínez-López et al., 2015). In coastal areas, a protected estuary receiving sediment from nearby urban and industrial areas had high polychlorinated biphenyls concentrations (Pozo et al., 2013). Like the Arctic, long-range transport of polychlorinated biphenyls is still increasing in remote mountain lakes in Chile (Pozo et al., 2007). </w:t>
      </w:r>
    </w:p>
    <w:p w14:paraId="43E2C1B2" w14:textId="22F77FE2" w:rsidR="005143C5" w:rsidRDefault="00340B68" w:rsidP="00A345FC">
      <w:pPr>
        <w:keepNext/>
        <w:spacing w:before="120"/>
        <w:rPr>
          <w:color w:val="000000"/>
          <w:shd w:val="clear" w:color="auto" w:fill="FFFFFF"/>
        </w:rPr>
      </w:pPr>
      <w:r w:rsidRPr="008608AA">
        <w:rPr>
          <w:color w:val="000000"/>
          <w:shd w:val="clear" w:color="auto" w:fill="FFFFFF"/>
        </w:rPr>
        <w:t>In air samples from the Cauca valley of Colombia, higher persistent organic pollutants compared with other places in Latin America are presumably associated with the extensive urban and agricultural areas (Álvarez et al. 2016). Sediment cores from the Santos estuary of Brazil show that polycyclic aromatic hydrocarbons increased over time with deve</w:t>
      </w:r>
      <w:r w:rsidR="00564C75">
        <w:rPr>
          <w:color w:val="000000"/>
          <w:shd w:val="clear" w:color="auto" w:fill="FFFFFF"/>
        </w:rPr>
        <w:t>lopment (Martins et al., 2011).</w:t>
      </w:r>
    </w:p>
    <w:p w14:paraId="0BF1D04E" w14:textId="77777777" w:rsidR="00564C75" w:rsidRPr="00564C75" w:rsidRDefault="00564C75" w:rsidP="00A345FC">
      <w:pPr>
        <w:keepNext/>
        <w:spacing w:before="120"/>
        <w:rPr>
          <w:color w:val="000000"/>
          <w:shd w:val="clear" w:color="auto" w:fill="FFFFFF"/>
        </w:rPr>
      </w:pPr>
    </w:p>
    <w:p w14:paraId="7AA44D9A" w14:textId="3C51B024" w:rsidR="001E61A6" w:rsidRPr="008608AA" w:rsidRDefault="001E61A6" w:rsidP="00A345FC">
      <w:pPr>
        <w:pStyle w:val="Heading3"/>
      </w:pPr>
      <w:bookmarkStart w:id="1543" w:name="_Toc350507796"/>
      <w:bookmarkStart w:id="1544" w:name="_Toc477160199"/>
      <w:bookmarkStart w:id="1545" w:name="_Toc357244083"/>
      <w:bookmarkStart w:id="1546" w:name="_Toc357981996"/>
      <w:bookmarkStart w:id="1547" w:name="_Toc357985214"/>
      <w:bookmarkStart w:id="1548" w:name="_Toc499459675"/>
      <w:bookmarkStart w:id="1549" w:name="_Toc503293140"/>
      <w:bookmarkStart w:id="1550" w:name="_Toc503293738"/>
      <w:bookmarkStart w:id="1551" w:name="_Toc503294000"/>
      <w:bookmarkStart w:id="1552" w:name="_Toc503863393"/>
      <w:bookmarkStart w:id="1553" w:name="_Toc503863621"/>
      <w:bookmarkStart w:id="1554" w:name="_Toc517393355"/>
      <w:bookmarkStart w:id="1555" w:name="_Toc517394412"/>
      <w:bookmarkStart w:id="1556" w:name="_Toc517719096"/>
      <w:bookmarkStart w:id="1557" w:name="_Toc517797053"/>
      <w:r w:rsidRPr="008608AA">
        <w:t>Climate Change</w:t>
      </w:r>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p>
    <w:p w14:paraId="0C41F89F" w14:textId="77777777" w:rsidR="001E61A6" w:rsidRPr="008608AA" w:rsidRDefault="001E61A6" w:rsidP="009C39CE">
      <w:pPr>
        <w:keepNext/>
        <w:keepLines/>
        <w:spacing w:before="120"/>
        <w:outlineLvl w:val="3"/>
        <w:rPr>
          <w:rFonts w:eastAsiaTheme="majorEastAsia"/>
          <w:b/>
          <w:bCs/>
          <w:iCs/>
        </w:rPr>
      </w:pPr>
      <w:bookmarkStart w:id="1558" w:name="_Toc517393356"/>
      <w:bookmarkStart w:id="1559" w:name="_Toc517394413"/>
      <w:bookmarkStart w:id="1560" w:name="_Toc517719097"/>
      <w:bookmarkStart w:id="1561" w:name="_Toc517797054"/>
      <w:r w:rsidRPr="008608AA">
        <w:rPr>
          <w:rFonts w:eastAsia="Calibri"/>
          <w:b/>
          <w:bCs/>
          <w:iCs/>
        </w:rPr>
        <w:t xml:space="preserve">Nature of the driver, its recent status and trends, </w:t>
      </w:r>
      <w:r w:rsidRPr="008608AA">
        <w:rPr>
          <w:rFonts w:eastAsiaTheme="majorEastAsia"/>
          <w:b/>
          <w:bCs/>
          <w:iCs/>
        </w:rPr>
        <w:t>and what influences its intensity</w:t>
      </w:r>
      <w:bookmarkEnd w:id="1558"/>
      <w:bookmarkEnd w:id="1559"/>
      <w:bookmarkEnd w:id="1560"/>
      <w:bookmarkEnd w:id="1561"/>
    </w:p>
    <w:p w14:paraId="59EB9FFC" w14:textId="39A43921" w:rsidR="001E61A6" w:rsidRPr="008608AA" w:rsidRDefault="001E61A6" w:rsidP="00A345FC">
      <w:pPr>
        <w:spacing w:before="120"/>
        <w:rPr>
          <w:rFonts w:eastAsia="Calibri"/>
        </w:rPr>
      </w:pPr>
      <w:r w:rsidRPr="008608AA">
        <w:rPr>
          <w:rFonts w:eastAsia="Calibri"/>
          <w:lang w:val="en-AU"/>
        </w:rPr>
        <w:t xml:space="preserve">Climate change is defined as </w:t>
      </w:r>
      <w:r w:rsidRPr="008608AA">
        <w:rPr>
          <w:rFonts w:eastAsia="Calibri"/>
        </w:rPr>
        <w:t>“Any change of climate which is attributed directly or indirectly to human activity that alters the composition of the global atmosphere greenhouse gases (</w:t>
      </w:r>
      <w:r w:rsidR="00E03ED4" w:rsidRPr="008608AA">
        <w:rPr>
          <w:rFonts w:eastAsia="Calibri"/>
        </w:rPr>
        <w:t>carbon dioxide</w:t>
      </w:r>
      <w:r w:rsidRPr="008608AA">
        <w:rPr>
          <w:rFonts w:eastAsia="Calibri"/>
        </w:rPr>
        <w:t xml:space="preserve">, methane, </w:t>
      </w:r>
      <w:r w:rsidR="004874F8" w:rsidRPr="008608AA">
        <w:rPr>
          <w:rFonts w:eastAsia="Calibri"/>
        </w:rPr>
        <w:t>methane</w:t>
      </w:r>
      <w:r w:rsidRPr="008608AA">
        <w:rPr>
          <w:rFonts w:eastAsia="Calibri"/>
        </w:rPr>
        <w:t xml:space="preserve"> and </w:t>
      </w:r>
      <w:r w:rsidR="004874F8" w:rsidRPr="008608AA">
        <w:rPr>
          <w:rFonts w:eastAsia="Calibri"/>
        </w:rPr>
        <w:t>nitrous oxide</w:t>
      </w:r>
      <w:r w:rsidRPr="008608AA">
        <w:rPr>
          <w:rFonts w:eastAsia="Calibri"/>
        </w:rPr>
        <w:t>) over comparable time periods.” (IPCC, 2013).</w:t>
      </w:r>
    </w:p>
    <w:p w14:paraId="3F65778A" w14:textId="3D206342" w:rsidR="001E61A6" w:rsidRPr="008608AA" w:rsidRDefault="001E61A6" w:rsidP="00A345FC">
      <w:pPr>
        <w:spacing w:before="120"/>
        <w:rPr>
          <w:rFonts w:eastAsia="Calibri"/>
        </w:rPr>
      </w:pPr>
      <w:r w:rsidRPr="008608AA">
        <w:rPr>
          <w:rFonts w:eastAsia="Calibri"/>
        </w:rPr>
        <w:t>Earth’s climate, as well as the atmospheric greenhouse gases of its atmosphere, has changed throughout its history. During the pre-industrial period, the ice core shows that the greenhouse gases concentration stayed within well-defined natural limits with a maximum concentration of approximately 300 p</w:t>
      </w:r>
      <w:r w:rsidR="00C96EB6" w:rsidRPr="008608AA">
        <w:rPr>
          <w:rFonts w:eastAsia="Calibri"/>
        </w:rPr>
        <w:t xml:space="preserve">arts </w:t>
      </w:r>
      <w:r w:rsidRPr="008608AA">
        <w:rPr>
          <w:rFonts w:eastAsia="Calibri"/>
        </w:rPr>
        <w:t>p</w:t>
      </w:r>
      <w:r w:rsidR="00C96EB6" w:rsidRPr="008608AA">
        <w:rPr>
          <w:rFonts w:eastAsia="Calibri"/>
        </w:rPr>
        <w:t xml:space="preserve">er </w:t>
      </w:r>
      <w:r w:rsidRPr="008608AA">
        <w:rPr>
          <w:rFonts w:eastAsia="Calibri"/>
        </w:rPr>
        <w:t>m</w:t>
      </w:r>
      <w:r w:rsidR="00C96EB6" w:rsidRPr="008608AA">
        <w:rPr>
          <w:rFonts w:eastAsia="Calibri"/>
        </w:rPr>
        <w:t>illion</w:t>
      </w:r>
      <w:r w:rsidRPr="008608AA">
        <w:rPr>
          <w:rFonts w:eastAsia="Calibri"/>
        </w:rPr>
        <w:t>, 800 p</w:t>
      </w:r>
      <w:r w:rsidR="00C96EB6" w:rsidRPr="008608AA">
        <w:rPr>
          <w:rFonts w:eastAsia="Calibri"/>
        </w:rPr>
        <w:t xml:space="preserve">arts </w:t>
      </w:r>
      <w:r w:rsidRPr="008608AA">
        <w:rPr>
          <w:rFonts w:eastAsia="Calibri"/>
        </w:rPr>
        <w:t>p</w:t>
      </w:r>
      <w:r w:rsidR="00C96EB6" w:rsidRPr="008608AA">
        <w:rPr>
          <w:rFonts w:eastAsia="Calibri"/>
        </w:rPr>
        <w:t xml:space="preserve">er </w:t>
      </w:r>
      <w:r w:rsidRPr="008608AA">
        <w:rPr>
          <w:rFonts w:eastAsia="Calibri"/>
        </w:rPr>
        <w:t>b</w:t>
      </w:r>
      <w:r w:rsidR="00C96EB6" w:rsidRPr="008608AA">
        <w:rPr>
          <w:rFonts w:eastAsia="Calibri"/>
        </w:rPr>
        <w:t>illion</w:t>
      </w:r>
      <w:r w:rsidRPr="008608AA">
        <w:rPr>
          <w:rFonts w:eastAsia="Calibri"/>
        </w:rPr>
        <w:t xml:space="preserve"> and 300 p</w:t>
      </w:r>
      <w:r w:rsidR="00C96EB6" w:rsidRPr="008608AA">
        <w:rPr>
          <w:rFonts w:eastAsia="Calibri"/>
        </w:rPr>
        <w:t xml:space="preserve">arts </w:t>
      </w:r>
      <w:r w:rsidRPr="008608AA">
        <w:rPr>
          <w:rFonts w:eastAsia="Calibri"/>
        </w:rPr>
        <w:t>p</w:t>
      </w:r>
      <w:r w:rsidR="00C96EB6" w:rsidRPr="008608AA">
        <w:rPr>
          <w:rFonts w:eastAsia="Calibri"/>
        </w:rPr>
        <w:t xml:space="preserve">er </w:t>
      </w:r>
      <w:r w:rsidRPr="008608AA">
        <w:rPr>
          <w:rFonts w:eastAsia="Calibri"/>
        </w:rPr>
        <w:t>b</w:t>
      </w:r>
      <w:r w:rsidR="00C96EB6" w:rsidRPr="008608AA">
        <w:rPr>
          <w:rFonts w:eastAsia="Calibri"/>
        </w:rPr>
        <w:t>illion</w:t>
      </w:r>
      <w:r w:rsidRPr="008608AA">
        <w:rPr>
          <w:rFonts w:eastAsia="Calibri"/>
        </w:rPr>
        <w:t xml:space="preserve"> for </w:t>
      </w:r>
      <w:r w:rsidR="00E03ED4" w:rsidRPr="008608AA">
        <w:rPr>
          <w:rFonts w:eastAsia="Calibri"/>
        </w:rPr>
        <w:t>carbon dioxide</w:t>
      </w:r>
      <w:r w:rsidRPr="008608AA">
        <w:rPr>
          <w:rFonts w:eastAsia="Calibri"/>
        </w:rPr>
        <w:t xml:space="preserve">, </w:t>
      </w:r>
      <w:r w:rsidR="004874F8" w:rsidRPr="008608AA">
        <w:rPr>
          <w:rFonts w:eastAsia="Calibri"/>
        </w:rPr>
        <w:t>methane</w:t>
      </w:r>
      <w:r w:rsidRPr="008608AA">
        <w:rPr>
          <w:rFonts w:eastAsia="Calibri"/>
        </w:rPr>
        <w:t xml:space="preserve"> and </w:t>
      </w:r>
      <w:r w:rsidR="004874F8" w:rsidRPr="008608AA">
        <w:rPr>
          <w:rFonts w:eastAsia="Calibri"/>
        </w:rPr>
        <w:t>nitrous oxide</w:t>
      </w:r>
      <w:r w:rsidRPr="008608AA">
        <w:rPr>
          <w:rFonts w:eastAsia="Calibri"/>
        </w:rPr>
        <w:t>, respectively, and a minimum concentration of approximately 180 p</w:t>
      </w:r>
      <w:r w:rsidR="00C96EB6" w:rsidRPr="008608AA">
        <w:rPr>
          <w:rFonts w:eastAsia="Calibri"/>
        </w:rPr>
        <w:t xml:space="preserve">arts </w:t>
      </w:r>
      <w:r w:rsidRPr="008608AA">
        <w:rPr>
          <w:rFonts w:eastAsia="Calibri"/>
        </w:rPr>
        <w:t>p</w:t>
      </w:r>
      <w:r w:rsidR="00C96EB6" w:rsidRPr="008608AA">
        <w:rPr>
          <w:rFonts w:eastAsia="Calibri"/>
        </w:rPr>
        <w:t xml:space="preserve">er </w:t>
      </w:r>
      <w:r w:rsidRPr="008608AA">
        <w:rPr>
          <w:rFonts w:eastAsia="Calibri"/>
        </w:rPr>
        <w:t>m</w:t>
      </w:r>
      <w:r w:rsidR="00C96EB6" w:rsidRPr="008608AA">
        <w:rPr>
          <w:rFonts w:eastAsia="Calibri"/>
        </w:rPr>
        <w:t>illion</w:t>
      </w:r>
      <w:r w:rsidRPr="008608AA">
        <w:rPr>
          <w:rFonts w:eastAsia="Calibri"/>
        </w:rPr>
        <w:t>, 350 p</w:t>
      </w:r>
      <w:r w:rsidR="00C96EB6" w:rsidRPr="008608AA">
        <w:rPr>
          <w:rFonts w:eastAsia="Calibri"/>
        </w:rPr>
        <w:t xml:space="preserve">arts </w:t>
      </w:r>
      <w:r w:rsidRPr="008608AA">
        <w:rPr>
          <w:rFonts w:eastAsia="Calibri"/>
        </w:rPr>
        <w:t>p</w:t>
      </w:r>
      <w:r w:rsidR="00C96EB6" w:rsidRPr="008608AA">
        <w:rPr>
          <w:rFonts w:eastAsia="Calibri"/>
        </w:rPr>
        <w:t xml:space="preserve">er </w:t>
      </w:r>
      <w:r w:rsidRPr="008608AA">
        <w:rPr>
          <w:rFonts w:eastAsia="Calibri"/>
        </w:rPr>
        <w:t>b</w:t>
      </w:r>
      <w:r w:rsidR="00C96EB6" w:rsidRPr="008608AA">
        <w:rPr>
          <w:rFonts w:eastAsia="Calibri"/>
        </w:rPr>
        <w:t>illion</w:t>
      </w:r>
      <w:r w:rsidRPr="008608AA">
        <w:rPr>
          <w:rFonts w:eastAsia="Calibri"/>
        </w:rPr>
        <w:t xml:space="preserve"> and 200</w:t>
      </w:r>
      <w:r w:rsidR="00C96EB6" w:rsidRPr="008608AA">
        <w:rPr>
          <w:rFonts w:eastAsia="Calibri"/>
        </w:rPr>
        <w:t xml:space="preserve"> </w:t>
      </w:r>
      <w:r w:rsidRPr="008608AA">
        <w:rPr>
          <w:rFonts w:eastAsia="Calibri"/>
        </w:rPr>
        <w:t>p</w:t>
      </w:r>
      <w:r w:rsidR="00C96EB6" w:rsidRPr="008608AA">
        <w:rPr>
          <w:rFonts w:eastAsia="Calibri"/>
        </w:rPr>
        <w:t xml:space="preserve">arts </w:t>
      </w:r>
      <w:r w:rsidRPr="008608AA">
        <w:rPr>
          <w:rFonts w:eastAsia="Calibri"/>
        </w:rPr>
        <w:t>p</w:t>
      </w:r>
      <w:r w:rsidR="00C96EB6" w:rsidRPr="008608AA">
        <w:rPr>
          <w:rFonts w:eastAsia="Calibri"/>
        </w:rPr>
        <w:t xml:space="preserve">er </w:t>
      </w:r>
      <w:r w:rsidRPr="008608AA">
        <w:rPr>
          <w:rFonts w:eastAsia="Calibri"/>
        </w:rPr>
        <w:t>m</w:t>
      </w:r>
      <w:r w:rsidR="00C96EB6" w:rsidRPr="008608AA">
        <w:rPr>
          <w:rFonts w:eastAsia="Calibri"/>
        </w:rPr>
        <w:t>illion</w:t>
      </w:r>
      <w:r w:rsidRPr="008608AA">
        <w:rPr>
          <w:rFonts w:eastAsia="Calibri"/>
        </w:rPr>
        <w:t xml:space="preserve">. </w:t>
      </w:r>
    </w:p>
    <w:p w14:paraId="32A7BFAD" w14:textId="15B0FE97" w:rsidR="001E61A6" w:rsidRPr="008608AA" w:rsidRDefault="001E61A6" w:rsidP="00A345FC">
      <w:pPr>
        <w:spacing w:before="120"/>
        <w:rPr>
          <w:rFonts w:eastAsia="Calibri"/>
        </w:rPr>
      </w:pPr>
      <w:r w:rsidRPr="008608AA">
        <w:rPr>
          <w:rFonts w:eastAsia="Calibri"/>
        </w:rPr>
        <w:t xml:space="preserve">The last report of the </w:t>
      </w:r>
      <w:r w:rsidR="00AD129F" w:rsidRPr="008608AA">
        <w:rPr>
          <w:rFonts w:eastAsia="Calibri"/>
        </w:rPr>
        <w:t>Intergovernmental Panel on Climate Change (</w:t>
      </w:r>
      <w:r w:rsidRPr="008608AA">
        <w:rPr>
          <w:rFonts w:eastAsia="Calibri"/>
        </w:rPr>
        <w:t>IPCC</w:t>
      </w:r>
      <w:r w:rsidR="00AD129F" w:rsidRPr="008608AA">
        <w:rPr>
          <w:rFonts w:eastAsia="Calibri"/>
        </w:rPr>
        <w:t>)</w:t>
      </w:r>
      <w:r w:rsidRPr="008608AA">
        <w:rPr>
          <w:rFonts w:eastAsia="Calibri"/>
        </w:rPr>
        <w:t xml:space="preserve"> (IPCC, 2014</w:t>
      </w:r>
      <w:r w:rsidR="000656BE" w:rsidRPr="008608AA">
        <w:rPr>
          <w:rFonts w:eastAsia="Calibri"/>
        </w:rPr>
        <w:t>a</w:t>
      </w:r>
      <w:r w:rsidRPr="008608AA">
        <w:rPr>
          <w:rFonts w:eastAsia="Calibri"/>
        </w:rPr>
        <w:t xml:space="preserve">) indicates that greenhouse gasses from anthropogenic sources have significantly increased since the pre-industrial era because of economic and population growth. This has led to atmospheric concentrations of </w:t>
      </w:r>
      <w:r w:rsidR="00E03ED4" w:rsidRPr="008608AA">
        <w:t>carbon dioxide</w:t>
      </w:r>
      <w:r w:rsidRPr="008608AA">
        <w:rPr>
          <w:rFonts w:eastAsia="Calibri"/>
        </w:rPr>
        <w:t>, methane and nitrous oxide that are unprecedented in at least the last 800,000 years. The IPCC reports that this significant increase in greenhouse gasses has caused a warming of 0.85ºC on average globally (land and ocean surface combined) over the period 1880 to 2012. The most recent report of the World Meteorological Organization stated that the warming has now exceeded 1</w:t>
      </w:r>
      <w:r w:rsidRPr="008608AA">
        <w:rPr>
          <w:rFonts w:eastAsia="Calibri"/>
          <w:vertAlign w:val="superscript"/>
        </w:rPr>
        <w:t>o</w:t>
      </w:r>
      <w:r w:rsidRPr="008608AA">
        <w:rPr>
          <w:rFonts w:eastAsia="Calibri"/>
        </w:rPr>
        <w:t xml:space="preserve">C. </w:t>
      </w:r>
    </w:p>
    <w:p w14:paraId="687121D1" w14:textId="2309120D" w:rsidR="001E61A6" w:rsidRPr="008608AA" w:rsidRDefault="001E61A6" w:rsidP="00A345FC">
      <w:pPr>
        <w:spacing w:before="120"/>
        <w:rPr>
          <w:rFonts w:eastAsia="Calibri"/>
        </w:rPr>
      </w:pPr>
      <w:r w:rsidRPr="008608AA">
        <w:rPr>
          <w:rFonts w:eastAsia="Calibri"/>
        </w:rPr>
        <w:t xml:space="preserve">As shown in </w:t>
      </w:r>
      <w:r w:rsidR="00DC7846" w:rsidRPr="008608AA">
        <w:t>Figure 4.10</w:t>
      </w:r>
      <w:r w:rsidRPr="008608AA">
        <w:rPr>
          <w:rFonts w:eastAsia="Calibri"/>
        </w:rPr>
        <w:t xml:space="preserve">, the economic sectors that contributes the most to greenhouse gasses are the electricity and heat production sector, agriculture, forestry and other land use, the industry sector, and the transport sector (emissions are converted into </w:t>
      </w:r>
      <w:r w:rsidR="00E03ED4" w:rsidRPr="008608AA">
        <w:rPr>
          <w:rFonts w:eastAsia="Calibri"/>
        </w:rPr>
        <w:t>carbon dioxide</w:t>
      </w:r>
      <w:r w:rsidRPr="008608AA">
        <w:rPr>
          <w:rFonts w:eastAsia="Calibri"/>
        </w:rPr>
        <w:t xml:space="preserve">-equivalents based on Global Warming Potential (100) from the IPCC </w:t>
      </w:r>
      <w:r w:rsidR="00AD129F" w:rsidRPr="008608AA">
        <w:rPr>
          <w:rFonts w:eastAsia="Calibri"/>
        </w:rPr>
        <w:t>Second Assessment Report) (</w:t>
      </w:r>
      <w:r w:rsidR="009975BA" w:rsidRPr="008608AA">
        <w:rPr>
          <w:rFonts w:eastAsia="Calibri"/>
        </w:rPr>
        <w:t>IPCC,</w:t>
      </w:r>
      <w:r w:rsidRPr="008608AA">
        <w:rPr>
          <w:rFonts w:eastAsia="Calibri"/>
        </w:rPr>
        <w:t xml:space="preserve"> WGIII, 2014).</w:t>
      </w:r>
    </w:p>
    <w:p w14:paraId="572B4430" w14:textId="385365F2" w:rsidR="001E61A6" w:rsidRPr="008608AA" w:rsidRDefault="001E61A6" w:rsidP="00A345FC">
      <w:pPr>
        <w:spacing w:before="120"/>
        <w:rPr>
          <w:rFonts w:eastAsia="Calibri"/>
        </w:rPr>
      </w:pPr>
      <w:r w:rsidRPr="008608AA">
        <w:rPr>
          <w:rFonts w:eastAsia="Calibri"/>
        </w:rPr>
        <w:t xml:space="preserve">The IPCC developed the </w:t>
      </w:r>
      <w:r w:rsidR="00C96EB6" w:rsidRPr="008608AA">
        <w:rPr>
          <w:rFonts w:eastAsia="Calibri"/>
        </w:rPr>
        <w:t>representative concentration p</w:t>
      </w:r>
      <w:r w:rsidRPr="008608AA">
        <w:rPr>
          <w:rFonts w:eastAsia="Calibri"/>
        </w:rPr>
        <w:t xml:space="preserve">athways (RCPs) as a way of projecting how factors like population size, economic activity, lifestyle, energy use, land use patterns, technology and climate policy, will have an impact in the concentration of </w:t>
      </w:r>
      <w:r w:rsidR="00C96EB6" w:rsidRPr="008608AA">
        <w:rPr>
          <w:rFonts w:eastAsia="Calibri"/>
        </w:rPr>
        <w:t xml:space="preserve">atmospheric greenhouse gasses. </w:t>
      </w:r>
      <w:r w:rsidRPr="008608AA">
        <w:rPr>
          <w:rFonts w:eastAsia="Calibri"/>
        </w:rPr>
        <w:t>There are four RCPs: a stringent mitigation scenario (RCP2.6) (this scenario is based on the goal of maintaining global warming below 2ºC above pre-industrial temperatures), two intermediate scenarios (RCP4.5 and RCP6.0) and one scenario with very high greenhouse gasses emissions (RCP8.5) (IPCCC, 2014b).</w:t>
      </w:r>
    </w:p>
    <w:p w14:paraId="20B1B3AC" w14:textId="77777777" w:rsidR="00A345FC" w:rsidRPr="008608AA" w:rsidRDefault="00A345FC" w:rsidP="00A345FC">
      <w:pPr>
        <w:spacing w:before="120"/>
        <w:rPr>
          <w:rFonts w:eastAsia="Calibri"/>
        </w:rPr>
      </w:pPr>
    </w:p>
    <w:p w14:paraId="5C46A333" w14:textId="07D7A6A7" w:rsidR="00A345FC" w:rsidRPr="008608AA" w:rsidRDefault="000D1D96" w:rsidP="00A345FC">
      <w:pPr>
        <w:spacing w:before="120"/>
        <w:jc w:val="center"/>
        <w:rPr>
          <w:rFonts w:eastAsia="Calibri"/>
        </w:rPr>
      </w:pPr>
      <w:r w:rsidRPr="008608AA">
        <w:rPr>
          <w:rFonts w:eastAsia="Calibri"/>
          <w:noProof/>
          <w:lang w:val="en-GB" w:eastAsia="en-GB"/>
        </w:rPr>
        <w:drawing>
          <wp:inline distT="0" distB="0" distL="0" distR="0" wp14:anchorId="6D00EE88" wp14:editId="0A564096">
            <wp:extent cx="5934075" cy="3476625"/>
            <wp:effectExtent l="0" t="0" r="9525" b="9525"/>
            <wp:docPr id="2099" name="Imagen 2099" descr="C:\Users\Alejandro Valderrama\Downloads\Fig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3" descr="C:\Users\Alejandro Valderrama\Downloads\Fig4.10.jpg"/>
                    <pic:cNvPicPr>
                      <a:picLocks noChangeAspect="1" noChangeArrowheads="1"/>
                    </pic:cNvPicPr>
                  </pic:nvPicPr>
                  <pic:blipFill rotWithShape="1">
                    <a:blip r:embed="rId984">
                      <a:extLst>
                        <a:ext uri="{28A0092B-C50C-407E-A947-70E740481C1C}">
                          <a14:useLocalDpi xmlns:a14="http://schemas.microsoft.com/office/drawing/2010/main" val="0"/>
                        </a:ext>
                      </a:extLst>
                    </a:blip>
                    <a:srcRect b="59354"/>
                    <a:stretch/>
                  </pic:blipFill>
                  <pic:spPr bwMode="auto">
                    <a:xfrm>
                      <a:off x="0" y="0"/>
                      <a:ext cx="5934075" cy="3476625"/>
                    </a:xfrm>
                    <a:prstGeom prst="rect">
                      <a:avLst/>
                    </a:prstGeom>
                    <a:noFill/>
                    <a:ln>
                      <a:noFill/>
                    </a:ln>
                    <a:extLst>
                      <a:ext uri="{53640926-AAD7-44D8-BBD7-CCE9431645EC}">
                        <a14:shadowObscured xmlns:a14="http://schemas.microsoft.com/office/drawing/2010/main"/>
                      </a:ext>
                    </a:extLst>
                  </pic:spPr>
                </pic:pic>
              </a:graphicData>
            </a:graphic>
          </wp:inline>
        </w:drawing>
      </w:r>
    </w:p>
    <w:p w14:paraId="68783B56" w14:textId="17662018" w:rsidR="001E61A6" w:rsidRPr="008608AA" w:rsidRDefault="001E61A6" w:rsidP="00A345FC">
      <w:pPr>
        <w:spacing w:before="120"/>
        <w:rPr>
          <w:rFonts w:eastAsia="Calibri"/>
        </w:rPr>
      </w:pPr>
      <w:r w:rsidRPr="008608AA">
        <w:rPr>
          <w:rFonts w:eastAsia="Calibri"/>
        </w:rPr>
        <w:t>The IPCC (Stocker et al.</w:t>
      </w:r>
      <w:r w:rsidR="00C96EB6" w:rsidRPr="008608AA">
        <w:rPr>
          <w:rFonts w:eastAsia="Calibri"/>
        </w:rPr>
        <w:t>,</w:t>
      </w:r>
      <w:r w:rsidRPr="008608AA">
        <w:rPr>
          <w:rFonts w:eastAsia="Calibri"/>
        </w:rPr>
        <w:t xml:space="preserve"> 2013) reported that in all of these scenarios, except RCP2.6, global surface temperature change for the end of the 21st century is likely to exceed 1.5 °C relative to 1850 to 1900. Furthermore, under two scenarios (RCP6.0 and RCP8.5) it is likely that global surface temperature change will exceed 2°C (the upper limit of the goal of the Paris Agreement), and more likely than not to exceed 2°C for RCP4.5. (IPCC, 2013).</w:t>
      </w:r>
      <w:r w:rsidRPr="008608AA">
        <w:rPr>
          <w:rFonts w:eastAsia="Calibri"/>
          <w:b/>
          <w:bCs/>
          <w:color w:val="910F00"/>
          <w:sz w:val="20"/>
          <w:szCs w:val="20"/>
        </w:rPr>
        <w:t xml:space="preserve"> </w:t>
      </w:r>
    </w:p>
    <w:p w14:paraId="678951B1" w14:textId="77777777" w:rsidR="001E61A6" w:rsidRPr="008608AA" w:rsidRDefault="001E61A6" w:rsidP="00A345FC">
      <w:pPr>
        <w:spacing w:before="120"/>
        <w:rPr>
          <w:rFonts w:eastAsia="Calibri"/>
        </w:rPr>
      </w:pPr>
      <w:r w:rsidRPr="008608AA">
        <w:rPr>
          <w:rFonts w:eastAsia="Calibri"/>
        </w:rPr>
        <w:t>Mean surface temperatures for 2081-2100 relative to 1986-2005 is likely to increase in the following ranges for each scenario: 0.3°C to 1.7°C (RCP2.6), 1.1°C to 2.6°C (RCP4.5), 1.4°C to 3.1°C (RCP6.0), 2.6°C to 4.8°C (RCP8.5) (IPCC, 2013).</w:t>
      </w:r>
    </w:p>
    <w:p w14:paraId="1A0FF262" w14:textId="77777777" w:rsidR="001E61A6" w:rsidRPr="008608AA" w:rsidRDefault="001E61A6" w:rsidP="00A345FC">
      <w:pPr>
        <w:spacing w:before="120"/>
        <w:rPr>
          <w:rFonts w:eastAsia="Calibri"/>
        </w:rPr>
      </w:pPr>
      <w:r w:rsidRPr="008608AA">
        <w:rPr>
          <w:rFonts w:eastAsia="Calibri"/>
        </w:rPr>
        <w:t xml:space="preserve">Moreover, it is very likely that heat waves will occur more often and last longer and that extreme precipitation events, both floods and droughts, will become more intense and frequent in many regions (IPCC, 2013). </w:t>
      </w:r>
    </w:p>
    <w:p w14:paraId="70D24F79" w14:textId="539257F6" w:rsidR="001E61A6" w:rsidRPr="008608AA" w:rsidRDefault="001E61A6" w:rsidP="00A345FC">
      <w:pPr>
        <w:spacing w:before="120"/>
        <w:rPr>
          <w:rFonts w:eastAsia="Calibri"/>
        </w:rPr>
      </w:pPr>
      <w:r w:rsidRPr="008608AA">
        <w:rPr>
          <w:rFonts w:eastAsia="Calibri"/>
        </w:rPr>
        <w:t>The ocean will continue to warm. In the top hundred meters, ocean warming is expected to be about 0.6°C (RCP2.6) to 2.0°C (RCP8.5), and about 0.3°C (RCP2.6) to 0.6°C (RCP8.5) at a depth of about 1</w:t>
      </w:r>
      <w:r w:rsidR="00622B4F" w:rsidRPr="008608AA">
        <w:rPr>
          <w:rFonts w:eastAsia="Calibri"/>
        </w:rPr>
        <w:t>,</w:t>
      </w:r>
      <w:r w:rsidRPr="008608AA">
        <w:rPr>
          <w:rFonts w:eastAsia="Calibri"/>
        </w:rPr>
        <w:t>000 m</w:t>
      </w:r>
      <w:r w:rsidR="00622B4F" w:rsidRPr="008608AA">
        <w:rPr>
          <w:rFonts w:eastAsia="Calibri"/>
        </w:rPr>
        <w:t>eters</w:t>
      </w:r>
      <w:r w:rsidRPr="008608AA">
        <w:rPr>
          <w:rFonts w:eastAsia="Calibri"/>
        </w:rPr>
        <w:t xml:space="preserve"> by the end of the 21st century (IPCC, 2013).</w:t>
      </w:r>
    </w:p>
    <w:p w14:paraId="4F3FC5CC" w14:textId="670A5CF2" w:rsidR="001E61A6" w:rsidRPr="008608AA" w:rsidRDefault="001E61A6" w:rsidP="00A345FC">
      <w:pPr>
        <w:spacing w:before="120"/>
        <w:rPr>
          <w:rFonts w:eastAsia="Calibri"/>
        </w:rPr>
      </w:pPr>
      <w:r w:rsidRPr="008608AA">
        <w:rPr>
          <w:rFonts w:eastAsia="Calibri"/>
        </w:rPr>
        <w:t>Global mean sea level will continue to rise during the 21st century, with the rate of rise very likely exceeding that observed during 1971 to 2010 due to increased ocean warming and increased loss of mass from glaciers and ice sheets. Sea level rise for 2081–2100 relative to 1986–2005 will likely be in the ranges of 0.26 to 0.55 m</w:t>
      </w:r>
      <w:r w:rsidR="00622B4F" w:rsidRPr="008608AA">
        <w:rPr>
          <w:rFonts w:eastAsia="Calibri"/>
        </w:rPr>
        <w:t>eters</w:t>
      </w:r>
      <w:r w:rsidRPr="008608AA">
        <w:rPr>
          <w:rFonts w:eastAsia="Calibri"/>
        </w:rPr>
        <w:t xml:space="preserve"> for RCP2.6, 0.32 to 0.63 m</w:t>
      </w:r>
      <w:r w:rsidR="00622B4F" w:rsidRPr="008608AA">
        <w:rPr>
          <w:rFonts w:eastAsia="Calibri"/>
        </w:rPr>
        <w:t>eters</w:t>
      </w:r>
      <w:r w:rsidRPr="008608AA">
        <w:rPr>
          <w:rFonts w:eastAsia="Calibri"/>
        </w:rPr>
        <w:t xml:space="preserve"> for RCP4.5, 0.33 to 0.63 m</w:t>
      </w:r>
      <w:r w:rsidR="00622B4F" w:rsidRPr="008608AA">
        <w:rPr>
          <w:rFonts w:eastAsia="Calibri"/>
        </w:rPr>
        <w:t>eters</w:t>
      </w:r>
      <w:r w:rsidRPr="008608AA">
        <w:rPr>
          <w:rFonts w:eastAsia="Calibri"/>
        </w:rPr>
        <w:t xml:space="preserve"> for RCP6.0, and 0.45 to 0.82 m</w:t>
      </w:r>
      <w:r w:rsidR="00622B4F" w:rsidRPr="008608AA">
        <w:rPr>
          <w:rFonts w:eastAsia="Calibri"/>
        </w:rPr>
        <w:t>eters</w:t>
      </w:r>
      <w:r w:rsidRPr="008608AA">
        <w:rPr>
          <w:rFonts w:eastAsia="Calibri"/>
        </w:rPr>
        <w:t xml:space="preserve"> for RCP8.5. For RCP8.5, the rise by the year 2100 is 0.52 to 0.98 m</w:t>
      </w:r>
      <w:r w:rsidR="00622B4F" w:rsidRPr="008608AA">
        <w:rPr>
          <w:rFonts w:eastAsia="Calibri"/>
        </w:rPr>
        <w:t>eters</w:t>
      </w:r>
      <w:r w:rsidRPr="008608AA">
        <w:rPr>
          <w:rFonts w:eastAsia="Calibri"/>
        </w:rPr>
        <w:t>, with a rate during 2081 to 2100 of 8 to 16 m</w:t>
      </w:r>
      <w:r w:rsidR="00622B4F" w:rsidRPr="008608AA">
        <w:rPr>
          <w:rFonts w:eastAsia="Calibri"/>
        </w:rPr>
        <w:t>illimeters per year</w:t>
      </w:r>
      <w:r w:rsidRPr="008608AA">
        <w:rPr>
          <w:rFonts w:eastAsia="Calibri"/>
        </w:rPr>
        <w:t xml:space="preserve"> (IPCC, 2013).  </w:t>
      </w:r>
    </w:p>
    <w:p w14:paraId="5C94123A" w14:textId="2ADC4C85" w:rsidR="001E61A6" w:rsidRPr="008608AA" w:rsidRDefault="001E61A6" w:rsidP="00A345FC">
      <w:pPr>
        <w:spacing w:before="120"/>
        <w:rPr>
          <w:rFonts w:eastAsia="Calibri"/>
        </w:rPr>
      </w:pPr>
      <w:r w:rsidRPr="008608AA">
        <w:rPr>
          <w:rFonts w:eastAsia="Calibri"/>
        </w:rPr>
        <w:t xml:space="preserve">Biodiversity is impacted significantly by climate change in a wide range of ways and scales (i.e. ecosystems, species, genes). </w:t>
      </w:r>
      <w:r w:rsidRPr="008608AA">
        <w:rPr>
          <w:rFonts w:eastAsia="Calibri"/>
          <w:lang w:val="en-AU"/>
        </w:rPr>
        <w:fldChar w:fldCharType="begin" w:fldLock="1"/>
      </w:r>
      <w:r w:rsidRPr="008608AA">
        <w:rPr>
          <w:rFonts w:eastAsia="Calibri"/>
          <w:lang w:val="en-AU"/>
        </w:rPr>
        <w:instrText>ADDIN CSL_CITATION { "citationItems" : [ { "id" : "ITEM-1", "itemData" : { "DOI" : "10.1126/science.aaf7671", "ISBN" : "1095-9203 (Electronic)\\r0036-8075 (Linking)", "ISSN" : "0036-8075", "PMID" : "27846577", "abstract" : "Anthropogenic climate change is now in full swing, our global average temperature already having increased by 1\u00b0C from preindustrial levels. Many studies have documented individual impacts of the changing climate that are particular to species or regions, but individual impacts are accumulating and being amplified more broadly. Scheffers et al. review the set of impacts that have been observed across genes, species, and ecosystems to reveal a world already undergoing substantial change. Understanding the causes, consequences, and potential mitigation of these changes will be essential as we move forward into a warming world.Science, this issue p. 10.1126/science.aaf7671 BACKGROUNDClimate change impacts have now been documented across every ecosystem on Earth, despite an average warming of only ~1\u00b0C so far. Here, we describe the full range and scale of climate change effects on global biodiversity that have been observed in natural systems. To do this, we identify a set of core ecological processes (32 in terrestrial and 31 each in marine and freshwater ecosystems) that underpin ecosystem functioning and support services to people. Of the 94 processes considered, 82% show evidence of impact from climate change in the peer-reviewed literature. Examples of observed impacts from meta-analyses and case studies go beyond well-established shifts in species ranges and changes to phenology and population dynamics to include disruptions that scale from the gene to the ecosystem.ADVANCESSpecies are undergoing evolutionary adaptation to temperature extremes, and climate change has substantial impacts on species physiology that include changes in tolerances to high temperatures, shifts in sex ratios in species with temperature-dependent sex determination, and increased metabolic costs of living in a warmer world. These physiological adjustments have observable impacts on morphology, with many species in both aquatic and terrestrial systems shrinking in body size because large surface-to-volume ratios are generally favored under warmer conditions. Other morphological changes include reductions in melanism to improve thermoregulation, and altered wing and bill length in birds.Broader-scale responses to climate change include changes in the phenology, abundance, and distribution of species. Temperate plants are budding and flowering earlier in spring and later in autumn. Comparable adjustments have been observed in marine and freshwater fish spawning events and in the \u2026", "author" : [ { "dropping-particle" : "", "family" : "Scheffers", "given" : "Brett R.", "non-dropping-particle" : "", "parse-names" : false, "suffix" : "" }, { "dropping-particle" : "", "family" : "Meester", "given" : "Luc", "non-dropping-particle" : "De", "parse-names" : false, "suffix" : "" }, { "dropping-particle" : "", "family" : "Bridge", "given" : "Tom C. L.", "non-dropping-particle" : "", "parse-names" : false, "suffix" : "" }, { "dropping-particle" : "", "family" : "Hoffmann", "given" : "Ary A.", "non-dropping-particle" : "", "parse-names" : false, "suffix" : "" }, { "dropping-particle" : "", "family" : "Pandolfi", "given" : "John M.", "non-dropping-particle" : "", "parse-names" : false, "suffix" : "" }, { "dropping-particle" : "", "family" : "Corlett", "given" : "Richard T.", "non-dropping-particle" : "", "parse-names" : false, "suffix" : "" }, { "dropping-particle" : "", "family" : "Butchart", "given" : "Stuart H. M.", "non-dropping-particle" : "", "parse-names" : false, "suffix" : "" }, { "dropping-particle" : "", "family" : "Pearce-Kelly", "given" : "Paul", "non-dropping-particle" : "", "parse-names" : false, "suffix" : "" }, { "dropping-particle" : "", "family" : "Kovacs", "given" : "Kit M.", "non-dropping-particle" : "", "parse-names" : false, "suffix" : "" }, { "dropping-particle" : "", "family" : "Dudgeon", "given" : "David", "non-dropping-particle" : "", "parse-names" : false, "suffix" : "" }, { "dropping-particle" : "", "family" : "Pacifici", "given" : "Michela", "non-dropping-particle" : "", "parse-names" : false, "suffix" : "" }, { "dropping-particle" : "", "family" : "Rondinini", "given" : "Carlo", "non-dropping-particle" : "", "parse-names" : false, "suffix" : "" }, { "dropping-particle" : "", "family" : "Foden", "given" : "Wendy B.", "non-dropping-particle" : "", "parse-names" : false, "suffix" : "" }, { "dropping-particle" : "", "family" : "Martin", "given" : "Tara G.", "non-dropping-particle" : "", "parse-names" : false, "suffix" : "" }, { "dropping-particle" : "", "family" : "Mora", "given" : "Camilo", "non-dropping-particle" : "", "parse-names" : false, "suffix" : "" }, { "dropping-particle" : "", "family" : "Bickford", "given" : "David", "non-dropping-particle" : "", "parse-names" : false, "suffix" : "" }, { "dropping-particle" : "", "family" : "Watson", "given" : "James E. M.", "non-dropping-particle" : "", "parse-names" : false, "suffix" : "" } ], "container-title" : "Science", "id" : "ITEM-1", "issue" : "6313", "issued" : { "date-parts" : [ [ "2016" ] ] }, "page" : "aaf7671", "title" : "The broad footprint of climate change from genes to biomes to people", "type" : "article-journal", "volume" : "354" }, "uris" : [ "http://www.mendeley.com/documents/?uuid=54f282d8-82e8-458b-bba6-9d5ab8ee37c2" ] } ], "mendeley" : { "formattedCitation" : "(Scheffers et al. 2016)", "manualFormatting" : "Scheffers et al. (2016)", "plainTextFormattedCitation" : "(Scheffers et al. 2016)", "previouslyFormattedCitation" : "(Scheffers et al. 2016)" }, "properties" : { "noteIndex" : 0 }, "schema" : "https://github.com/citation-style-language/schema/raw/master/csl-citation.json" }</w:instrText>
      </w:r>
      <w:r w:rsidRPr="008608AA">
        <w:rPr>
          <w:rFonts w:eastAsia="Calibri"/>
          <w:lang w:val="en-AU"/>
        </w:rPr>
        <w:fldChar w:fldCharType="separate"/>
      </w:r>
      <w:r w:rsidRPr="008608AA">
        <w:rPr>
          <w:rFonts w:eastAsia="Calibri"/>
          <w:noProof/>
          <w:lang w:val="en-AU"/>
        </w:rPr>
        <w:t>Scheffers et al. (2016)</w:t>
      </w:r>
      <w:r w:rsidRPr="008608AA">
        <w:rPr>
          <w:rFonts w:eastAsia="Calibri"/>
          <w:lang w:val="en-AU"/>
        </w:rPr>
        <w:fldChar w:fldCharType="end"/>
      </w:r>
      <w:r w:rsidRPr="008608AA">
        <w:rPr>
          <w:rFonts w:eastAsia="Calibri"/>
        </w:rPr>
        <w:t xml:space="preserve"> identified a set of 32 core terrestrial ecological processes and 31 each in marine and freshwater ecosystems that supports ecosystem functions and its capability in providing benefits to people. From this set of 94 processes, the </w:t>
      </w:r>
      <w:r w:rsidRPr="008608AA">
        <w:rPr>
          <w:rFonts w:eastAsia="Calibri"/>
          <w:lang w:val="en-AU"/>
        </w:rPr>
        <w:t xml:space="preserve">authors state that 82% show evidence of impact from climate change like shifts in species ranges, changes in phenology and population dynamics, and disruptions from the gene to the ecosystem scale </w:t>
      </w:r>
      <w:r w:rsidRPr="008608AA">
        <w:rPr>
          <w:rFonts w:eastAsia="Calibri"/>
          <w:lang w:val="en-AU"/>
        </w:rPr>
        <w:fldChar w:fldCharType="begin" w:fldLock="1"/>
      </w:r>
      <w:r w:rsidRPr="008608AA">
        <w:rPr>
          <w:rFonts w:eastAsia="Calibri"/>
          <w:lang w:val="en-AU"/>
        </w:rPr>
        <w:instrText>ADDIN CSL_CITATION { "citationItems" : [ { "id" : "ITEM-1", "itemData" : { "DOI" : "10.1126/science.aaf7671", "ISBN" : "1095-9203 (Electronic)\\r0036-8075 (Linking)", "ISSN" : "0036-8075", "PMID" : "27846577", "abstract" : "Anthropogenic climate change is now in full swing, our global average temperature already having increased by 1\u00b0C from preindustrial levels. Many studies have documented individual impacts of the changing climate that are particular to species or regions, but individual impacts are accumulating and being amplified more broadly. Scheffers et al. review the set of impacts that have been observed across genes, species, and ecosystems to reveal a world already undergoing substantial change. Understanding the causes, consequences, and potential mitigation of these changes will be essential as we move forward into a warming world.Science, this issue p. 10.1126/science.aaf7671 BACKGROUNDClimate change impacts have now been documented across every ecosystem on Earth, despite an average warming of only ~1\u00b0C so far. Here, we describe the full range and scale of climate change effects on global biodiversity that have been observed in natural systems. To do this, we identify a set of core ecological processes (32 in terrestrial and 31 each in marine and freshwater ecosystems) that underpin ecosystem functioning and support services to people. Of the 94 processes considered, 82% show evidence of impact from climate change in the peer-reviewed literature. Examples of observed impacts from meta-analyses and case studies go beyond well-established shifts in species ranges and changes to phenology and population dynamics to include disruptions that scale from the gene to the ecosystem.ADVANCESSpecies are undergoing evolutionary adaptation to temperature extremes, and climate change has substantial impacts on species physiology that include changes in tolerances to high temperatures, shifts in sex ratios in species with temperature-dependent sex determination, and increased metabolic costs of living in a warmer world. These physiological adjustments have observable impacts on morphology, with many species in both aquatic and terrestrial systems shrinking in body size because large surface-to-volume ratios are generally favored under warmer conditions. Other morphological changes include reductions in melanism to improve thermoregulation, and altered wing and bill length in birds.Broader-scale responses to climate change include changes in the phenology, abundance, and distribution of species. Temperate plants are budding and flowering earlier in spring and later in autumn. Comparable adjustments have been observed in marine and freshwater fish spawning events and in the \u2026", "author" : [ { "dropping-particle" : "", "family" : "Scheffers", "given" : "Brett R.", "non-dropping-particle" : "", "parse-names" : false, "suffix" : "" }, { "dropping-particle" : "", "family" : "Meester", "given" : "Luc", "non-dropping-particle" : "De", "parse-names" : false, "suffix" : "" }, { "dropping-particle" : "", "family" : "Bridge", "given" : "Tom C. L.", "non-dropping-particle" : "", "parse-names" : false, "suffix" : "" }, { "dropping-particle" : "", "family" : "Hoffmann", "given" : "Ary A.", "non-dropping-particle" : "", "parse-names" : false, "suffix" : "" }, { "dropping-particle" : "", "family" : "Pandolfi", "given" : "John M.", "non-dropping-particle" : "", "parse-names" : false, "suffix" : "" }, { "dropping-particle" : "", "family" : "Corlett", "given" : "Richard T.", "non-dropping-particle" : "", "parse-names" : false, "suffix" : "" }, { "dropping-particle" : "", "family" : "Butchart", "given" : "Stuart H. M.", "non-dropping-particle" : "", "parse-names" : false, "suffix" : "" }, { "dropping-particle" : "", "family" : "Pearce-Kelly", "given" : "Paul", "non-dropping-particle" : "", "parse-names" : false, "suffix" : "" }, { "dropping-particle" : "", "family" : "Kovacs", "given" : "Kit M.", "non-dropping-particle" : "", "parse-names" : false, "suffix" : "" }, { "dropping-particle" : "", "family" : "Dudgeon", "given" : "David", "non-dropping-particle" : "", "parse-names" : false, "suffix" : "" }, { "dropping-particle" : "", "family" : "Pacifici", "given" : "Michela", "non-dropping-particle" : "", "parse-names" : false, "suffix" : "" }, { "dropping-part</w:instrText>
      </w:r>
      <w:r w:rsidRPr="008608AA">
        <w:rPr>
          <w:rFonts w:eastAsia="Calibri"/>
        </w:rPr>
        <w:instrText>icle" : "", "family" : "Rondinini", "given" : "Carlo", "non-dropping-particle" : "", "parse-names" : false, "suffix" : "" }, { "dropping-particle" : "", "family" : "Foden", "given" : "Wendy B.", "non-dropping-particle" : "", "parse-names" : false, "suffix" : "" }, { "dropping-particle" : "", "family" : "Martin", "given" : "Tara G.", "non-dropping-particle" : "", "parse-names" : false, "suffix" : "" }, { "dropping-particle" : "", "family" : "Mora", "given" : "Camilo", "non-dropping-particle" : "", "parse-names" : false, "suffix" : "" }, { "dropping-particle" : "", "family" : "Bickford", "given" : "David", "non-dropping-particle" : "", "parse-names" : false, "suffix" : "" }, { "dropping-particle" : "", "family" : "Watson", "given" : "James E. M.", "non-dropping-particle" : "", "parse-names" : false, "suffix" : "" } ], "container-title" : "Science", "id" : "ITEM-1", "issue" : "6313", "issued" : { "date-parts" : [ [ "2016" ] ] }, "page" : "aaf7671", "title" : "The broad footprint of climate change from genes to biomes to people", "type" : "article-journal", "volume" : "354" }, "uris" : [ "http://www.mendeley.com/documents/?uuid=54f282d8-82e8-458b-bba6-9d5ab8ee37c2" ] } ], "mendeley" : { "formattedCitation" : "(Scheffers et al. 2016)", "plainTextFormattedCitation" : "(Scheffers et al. 2016)", "previouslyFormattedCitation" : "(Scheffers et al. 2016)" }, "properties" : { "noteIndex" : 0 }, "schema" : "https://github.com/citation-style-language/schema/raw/master/csl-citation.json" }</w:instrText>
      </w:r>
      <w:r w:rsidRPr="008608AA">
        <w:rPr>
          <w:rFonts w:eastAsia="Calibri"/>
          <w:lang w:val="en-AU"/>
        </w:rPr>
        <w:fldChar w:fldCharType="separate"/>
      </w:r>
      <w:r w:rsidRPr="008608AA">
        <w:rPr>
          <w:rFonts w:eastAsia="Calibri"/>
          <w:noProof/>
        </w:rPr>
        <w:t>(Scheffers et al.</w:t>
      </w:r>
      <w:r w:rsidR="009975BA" w:rsidRPr="008608AA">
        <w:rPr>
          <w:rFonts w:eastAsia="Calibri"/>
          <w:noProof/>
        </w:rPr>
        <w:t>,</w:t>
      </w:r>
      <w:r w:rsidRPr="008608AA">
        <w:rPr>
          <w:rFonts w:eastAsia="Calibri"/>
          <w:noProof/>
        </w:rPr>
        <w:t xml:space="preserve"> 2016)</w:t>
      </w:r>
      <w:r w:rsidRPr="008608AA">
        <w:rPr>
          <w:rFonts w:eastAsia="Calibri"/>
          <w:lang w:val="en-AU"/>
        </w:rPr>
        <w:fldChar w:fldCharType="end"/>
      </w:r>
      <w:r w:rsidRPr="008608AA">
        <w:rPr>
          <w:rFonts w:eastAsia="Calibri"/>
        </w:rPr>
        <w:t xml:space="preserve"> (</w:t>
      </w:r>
      <w:r w:rsidR="00DC7846" w:rsidRPr="008608AA">
        <w:t>Figure 4.11</w:t>
      </w:r>
      <w:r w:rsidRPr="008608AA">
        <w:rPr>
          <w:rFonts w:eastAsia="Calibri"/>
        </w:rPr>
        <w:t xml:space="preserve">).  </w:t>
      </w:r>
    </w:p>
    <w:p w14:paraId="378C2339" w14:textId="6B85794E" w:rsidR="001E61A6" w:rsidRPr="008608AA" w:rsidRDefault="001E61A6" w:rsidP="00A345FC">
      <w:pPr>
        <w:spacing w:before="120"/>
        <w:rPr>
          <w:rFonts w:eastAsia="Calibri"/>
        </w:rPr>
      </w:pPr>
      <w:r w:rsidRPr="008608AA">
        <w:rPr>
          <w:rFonts w:eastAsia="Calibri"/>
        </w:rPr>
        <w:t xml:space="preserve">In order to illustrate the impact of climate change on biodiversity, the following is a summary based on the findings of the last report of the IPCC </w:t>
      </w:r>
      <w:r w:rsidR="004874F8" w:rsidRPr="008608AA">
        <w:rPr>
          <w:rFonts w:eastAsia="Calibri"/>
        </w:rPr>
        <w:t>on impacts, adaptation and vulnerability</w:t>
      </w:r>
      <w:r w:rsidRPr="008608AA">
        <w:rPr>
          <w:rFonts w:eastAsia="Calibri"/>
        </w:rPr>
        <w:t>. In general, many terrestrial, freshwater, and marine species have shifted their geographic ranges, seasonal activities, migration patterns, abundances, and species interactions in respons</w:t>
      </w:r>
      <w:r w:rsidR="000656BE" w:rsidRPr="008608AA">
        <w:rPr>
          <w:rFonts w:eastAsia="Calibri"/>
        </w:rPr>
        <w:t>e to climate change (IPCC, 2014a</w:t>
      </w:r>
      <w:r w:rsidRPr="008608AA">
        <w:rPr>
          <w:rFonts w:eastAsia="Calibri"/>
        </w:rPr>
        <w:t xml:space="preserve">). </w:t>
      </w:r>
    </w:p>
    <w:p w14:paraId="1630079E" w14:textId="30C4991F" w:rsidR="001E61A6" w:rsidRPr="008608AA" w:rsidRDefault="001E61A6" w:rsidP="00A345FC">
      <w:pPr>
        <w:spacing w:before="120"/>
        <w:rPr>
          <w:rFonts w:eastAsia="Calibri"/>
          <w:bCs/>
          <w:iCs/>
        </w:rPr>
      </w:pPr>
      <w:r w:rsidRPr="008608AA">
        <w:rPr>
          <w:rFonts w:eastAsia="Calibri"/>
          <w:bCs/>
          <w:iCs/>
        </w:rPr>
        <w:t xml:space="preserve">Certain naturally occurring factors, like the El </w:t>
      </w:r>
      <w:r w:rsidR="004E12B6" w:rsidRPr="008608AA">
        <w:rPr>
          <w:rFonts w:eastAsia="Calibri"/>
          <w:bCs/>
          <w:iCs/>
        </w:rPr>
        <w:t>Niño Southern Oscillation</w:t>
      </w:r>
      <w:r w:rsidRPr="008608AA">
        <w:rPr>
          <w:rFonts w:eastAsia="Calibri"/>
          <w:bCs/>
          <w:iCs/>
        </w:rPr>
        <w:t>, have the potential to exacerbate the effects that climate change is already having in many</w:t>
      </w:r>
      <w:r w:rsidR="00A01A41" w:rsidRPr="008608AA">
        <w:rPr>
          <w:rFonts w:eastAsia="Calibri"/>
          <w:bCs/>
          <w:iCs/>
        </w:rPr>
        <w:t xml:space="preserve"> parts of the Americas region. </w:t>
      </w:r>
      <w:r w:rsidRPr="008608AA">
        <w:rPr>
          <w:rFonts w:eastAsia="Calibri"/>
          <w:bCs/>
          <w:iCs/>
        </w:rPr>
        <w:t>The El Niño Southern Oscillation warming and cooling phases (i.e., El Niño and La Niña, respectively) are known to predictably alter precipitation and temperature patterns both spatially and te</w:t>
      </w:r>
      <w:r w:rsidR="006F7534" w:rsidRPr="008608AA">
        <w:rPr>
          <w:rFonts w:eastAsia="Calibri"/>
          <w:bCs/>
          <w:iCs/>
        </w:rPr>
        <w:t>mporally throughout the region.</w:t>
      </w:r>
      <w:r w:rsidRPr="008608AA">
        <w:rPr>
          <w:rFonts w:eastAsia="Calibri"/>
          <w:bCs/>
          <w:iCs/>
        </w:rPr>
        <w:t xml:space="preserve"> Between December and January, El Niño generally causes wetter conditions in southwestern portions of North America (northwestern Mexico and southwestern USA), northwestern portions of South America (Colombia, Ecuador, and Peru), drier conditions in the Amazon basin, and warmer conditions in southeastern Brazil and the northeastern and northwestern portions of North America (NOAA</w:t>
      </w:r>
      <w:r w:rsidR="009975BA" w:rsidRPr="008608AA">
        <w:rPr>
          <w:rFonts w:eastAsia="Calibri"/>
          <w:bCs/>
          <w:iCs/>
        </w:rPr>
        <w:t>,</w:t>
      </w:r>
      <w:r w:rsidR="002B597C" w:rsidRPr="008608AA">
        <w:rPr>
          <w:rFonts w:eastAsia="Calibri"/>
          <w:bCs/>
          <w:iCs/>
        </w:rPr>
        <w:t xml:space="preserve"> 2016). </w:t>
      </w:r>
      <w:r w:rsidRPr="008608AA">
        <w:rPr>
          <w:rFonts w:eastAsia="Calibri"/>
          <w:bCs/>
          <w:iCs/>
        </w:rPr>
        <w:t>Between June and August, El Niño can be associated with drier and warmer conditions in Central America, wetter conditions in central Chile and the northwestern USA, and warmer conditions on the east and west coasts of central South America (NOAA</w:t>
      </w:r>
      <w:r w:rsidR="00A01A41" w:rsidRPr="008608AA">
        <w:rPr>
          <w:rFonts w:eastAsia="Calibri"/>
          <w:bCs/>
          <w:iCs/>
        </w:rPr>
        <w:t>,</w:t>
      </w:r>
      <w:r w:rsidR="002B597C" w:rsidRPr="008608AA">
        <w:rPr>
          <w:rFonts w:eastAsia="Calibri"/>
          <w:bCs/>
          <w:iCs/>
        </w:rPr>
        <w:t xml:space="preserve"> 2016). </w:t>
      </w:r>
      <w:r w:rsidRPr="008608AA">
        <w:rPr>
          <w:rFonts w:eastAsia="Calibri"/>
          <w:bCs/>
          <w:iCs/>
        </w:rPr>
        <w:t>Consequently, areas experiencing drier conditions as a result of climate change, like the tropical dry forest in Central America (Fuentes-Franco et al., 2015), may experience intensified conditions during El Niño years.</w:t>
      </w:r>
    </w:p>
    <w:p w14:paraId="30A7C1FE" w14:textId="02481AF4" w:rsidR="00A345FC" w:rsidRPr="008608AA" w:rsidRDefault="000D1D96" w:rsidP="00A345FC">
      <w:pPr>
        <w:spacing w:before="240"/>
        <w:jc w:val="center"/>
        <w:rPr>
          <w:rFonts w:eastAsia="Calibri"/>
          <w:bCs/>
          <w:iCs/>
        </w:rPr>
      </w:pPr>
      <w:r w:rsidRPr="008608AA">
        <w:rPr>
          <w:rFonts w:eastAsia="Calibri"/>
          <w:bCs/>
          <w:iCs/>
          <w:noProof/>
          <w:lang w:val="en-GB" w:eastAsia="en-GB"/>
        </w:rPr>
        <w:drawing>
          <wp:inline distT="0" distB="0" distL="0" distR="0" wp14:anchorId="523670FB" wp14:editId="38F44207">
            <wp:extent cx="5934075" cy="5791200"/>
            <wp:effectExtent l="0" t="0" r="9525" b="0"/>
            <wp:docPr id="2100" name="Imagen 2100" descr="C:\Users\Alejandro Valderrama\Downloads\Fig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5" descr="C:\Users\Alejandro Valderrama\Downloads\Fig4.11.jpg"/>
                    <pic:cNvPicPr>
                      <a:picLocks noChangeAspect="1" noChangeArrowheads="1"/>
                    </pic:cNvPicPr>
                  </pic:nvPicPr>
                  <pic:blipFill rotWithShape="1">
                    <a:blip r:embed="rId985">
                      <a:extLst>
                        <a:ext uri="{28A0092B-C50C-407E-A947-70E740481C1C}">
                          <a14:useLocalDpi xmlns:a14="http://schemas.microsoft.com/office/drawing/2010/main" val="0"/>
                        </a:ext>
                      </a:extLst>
                    </a:blip>
                    <a:srcRect b="32294"/>
                    <a:stretch/>
                  </pic:blipFill>
                  <pic:spPr bwMode="auto">
                    <a:xfrm>
                      <a:off x="0" y="0"/>
                      <a:ext cx="5934075" cy="5791200"/>
                    </a:xfrm>
                    <a:prstGeom prst="rect">
                      <a:avLst/>
                    </a:prstGeom>
                    <a:noFill/>
                    <a:ln>
                      <a:noFill/>
                    </a:ln>
                    <a:extLst>
                      <a:ext uri="{53640926-AAD7-44D8-BBD7-CCE9431645EC}">
                        <a14:shadowObscured xmlns:a14="http://schemas.microsoft.com/office/drawing/2010/main"/>
                      </a:ext>
                    </a:extLst>
                  </pic:spPr>
                </pic:pic>
              </a:graphicData>
            </a:graphic>
          </wp:inline>
        </w:drawing>
      </w:r>
    </w:p>
    <w:p w14:paraId="45A0A39D" w14:textId="2EC9ECE4" w:rsidR="001E61A6" w:rsidRPr="008608AA" w:rsidRDefault="001E61A6" w:rsidP="00A345FC">
      <w:pPr>
        <w:spacing w:before="240"/>
        <w:rPr>
          <w:rFonts w:eastAsia="Calibri"/>
          <w:bCs/>
          <w:iCs/>
        </w:rPr>
      </w:pPr>
      <w:r w:rsidRPr="008608AA">
        <w:rPr>
          <w:rFonts w:eastAsia="Calibri"/>
          <w:bCs/>
          <w:iCs/>
        </w:rPr>
        <w:t>Extreme weather events, like coastal storms, can intensify the effects that climate change-related sea-level rise is already</w:t>
      </w:r>
      <w:r w:rsidR="004E12B6" w:rsidRPr="008608AA">
        <w:rPr>
          <w:rFonts w:eastAsia="Calibri"/>
          <w:bCs/>
          <w:iCs/>
        </w:rPr>
        <w:t xml:space="preserve"> having on many coastal areas. </w:t>
      </w:r>
      <w:r w:rsidRPr="008608AA">
        <w:rPr>
          <w:rFonts w:eastAsia="Calibri"/>
          <w:bCs/>
          <w:iCs/>
        </w:rPr>
        <w:t>Specifically, coastal regions that exist in low-lying areas and are already experiencing inundation from sea-level rise are especially vulnerable to storm sur</w:t>
      </w:r>
      <w:r w:rsidR="004E12B6" w:rsidRPr="008608AA">
        <w:rPr>
          <w:rFonts w:eastAsia="Calibri"/>
          <w:bCs/>
          <w:iCs/>
        </w:rPr>
        <w:t>ge from tropical cyclones (i.e.</w:t>
      </w:r>
      <w:r w:rsidRPr="008608AA">
        <w:rPr>
          <w:rFonts w:eastAsia="Calibri"/>
          <w:bCs/>
          <w:iCs/>
        </w:rPr>
        <w:t xml:space="preserve"> hurricanes, typhoons), which increases flooding and land s</w:t>
      </w:r>
      <w:r w:rsidR="002B597C" w:rsidRPr="008608AA">
        <w:rPr>
          <w:rFonts w:eastAsia="Calibri"/>
          <w:bCs/>
          <w:iCs/>
        </w:rPr>
        <w:t xml:space="preserve">ubsidence (Yang et al., 2014). </w:t>
      </w:r>
      <w:r w:rsidRPr="008608AA">
        <w:rPr>
          <w:rFonts w:eastAsia="Calibri"/>
          <w:bCs/>
          <w:iCs/>
        </w:rPr>
        <w:t>Areas in the Americas region that are particularly susceptible to both sea-level rise and tropical cyclones include coastlines and island nations/territories in the Caribbean Sea, Gulf of Mexico, north Atlantic Ocean (along the southeastern coast of the USA), and northeast Pacific Ocean (along the western coast of Mexico).</w:t>
      </w:r>
    </w:p>
    <w:p w14:paraId="3EB196C0" w14:textId="77777777" w:rsidR="001E61A6" w:rsidRPr="008608AA" w:rsidRDefault="001E61A6" w:rsidP="009C39CE">
      <w:pPr>
        <w:keepNext/>
        <w:keepLines/>
        <w:spacing w:before="120"/>
        <w:outlineLvl w:val="3"/>
        <w:rPr>
          <w:rFonts w:eastAsia="Calibri"/>
          <w:b/>
          <w:bCs/>
          <w:iCs/>
        </w:rPr>
      </w:pPr>
      <w:bookmarkStart w:id="1562" w:name="_Toc517393357"/>
      <w:bookmarkStart w:id="1563" w:name="_Toc517394414"/>
      <w:bookmarkStart w:id="1564" w:name="_Toc517719098"/>
      <w:bookmarkStart w:id="1565" w:name="_Toc517797055"/>
      <w:r w:rsidRPr="008608AA">
        <w:rPr>
          <w:rFonts w:eastAsia="Calibri"/>
          <w:b/>
          <w:bCs/>
          <w:iCs/>
        </w:rPr>
        <w:t>Terrestrial and freshwater ecosystems</w:t>
      </w:r>
      <w:bookmarkEnd w:id="1562"/>
      <w:bookmarkEnd w:id="1563"/>
      <w:bookmarkEnd w:id="1564"/>
      <w:bookmarkEnd w:id="1565"/>
    </w:p>
    <w:p w14:paraId="3DF11FFD" w14:textId="4AE35002" w:rsidR="001E61A6" w:rsidRPr="008608AA" w:rsidRDefault="001E61A6" w:rsidP="00A345FC">
      <w:pPr>
        <w:spacing w:before="120"/>
        <w:rPr>
          <w:rFonts w:eastAsia="Calibri"/>
        </w:rPr>
      </w:pPr>
      <w:r w:rsidRPr="008608AA">
        <w:rPr>
          <w:rFonts w:eastAsia="Calibri"/>
        </w:rPr>
        <w:t>Under all the RCP scenarios, the extinction risk of a large fraction of terrestrial and freshwater spe</w:t>
      </w:r>
      <w:r w:rsidR="004E12B6" w:rsidRPr="008608AA">
        <w:rPr>
          <w:rFonts w:eastAsia="Calibri"/>
        </w:rPr>
        <w:t>cies by climate change in the 21</w:t>
      </w:r>
      <w:r w:rsidRPr="008608AA">
        <w:rPr>
          <w:rFonts w:eastAsia="Calibri"/>
        </w:rPr>
        <w:t>st century and beyond is increased by the interaction of other drivers of biodiversity loss like pollution, habitat modification, over exploitation, and invasive species. These ecosystems will be at risk of abrupt and irreversible regional-scale change in the composition, structure, and function under medium- to high-emissions scenarios.</w:t>
      </w:r>
    </w:p>
    <w:p w14:paraId="6664F763" w14:textId="77777777" w:rsidR="001E61A6" w:rsidRPr="008608AA" w:rsidRDefault="001E61A6" w:rsidP="00A345FC">
      <w:pPr>
        <w:spacing w:before="120"/>
        <w:rPr>
          <w:rFonts w:eastAsia="Calibri"/>
        </w:rPr>
      </w:pPr>
      <w:r w:rsidRPr="008608AA">
        <w:rPr>
          <w:rFonts w:eastAsia="Calibri"/>
        </w:rPr>
        <w:t>Climate changes exceeding those projected under RCP2.6 in high-altitude and high-latitude ecosystems will lead to significant changes in species distributions and ecosystems function. The increase in water temperature due to global warming will lead to shifts in freshwater species distributions.</w:t>
      </w:r>
    </w:p>
    <w:p w14:paraId="4A737FEF" w14:textId="509E4590" w:rsidR="001E61A6" w:rsidRPr="008608AA" w:rsidRDefault="001E61A6" w:rsidP="00A345FC">
      <w:pPr>
        <w:spacing w:before="120"/>
        <w:rPr>
          <w:rFonts w:eastAsia="Calibri"/>
          <w:lang w:val="en-AU"/>
        </w:rPr>
      </w:pPr>
      <w:r w:rsidRPr="008608AA">
        <w:rPr>
          <w:rFonts w:eastAsia="Calibri"/>
        </w:rPr>
        <w:t>For the second half of the 21st century, all the RCP scenarios indicate that the composition of communities will change due to a change (decrease or increase) in abundance of some species, and that the seasonal activity of many species will change differentially, causing the disruption of life cycles and interactions between species. In addition, human health will be affected as a consequence of the change in the distribution (in altitude and latitude) and</w:t>
      </w:r>
      <w:r w:rsidRPr="008608AA">
        <w:rPr>
          <w:rFonts w:eastAsia="Calibri"/>
          <w:lang w:val="en-AU"/>
        </w:rPr>
        <w:t>/or abundance of certain organisms that are important disease vectors (in fewer cases the capacity of vectors will be reduced) (IPCC</w:t>
      </w:r>
      <w:r w:rsidR="008E4047" w:rsidRPr="008608AA">
        <w:rPr>
          <w:rFonts w:eastAsia="Calibri"/>
          <w:lang w:val="en-AU"/>
        </w:rPr>
        <w:t>,</w:t>
      </w:r>
      <w:r w:rsidRPr="008608AA">
        <w:rPr>
          <w:rFonts w:eastAsia="Calibri"/>
          <w:lang w:val="en-AU"/>
        </w:rPr>
        <w:t xml:space="preserve"> </w:t>
      </w:r>
      <w:r w:rsidR="000574E4" w:rsidRPr="008608AA">
        <w:rPr>
          <w:rFonts w:eastAsia="Calibri"/>
          <w:lang w:val="en-AU"/>
        </w:rPr>
        <w:t>2014</w:t>
      </w:r>
      <w:r w:rsidR="003426FD" w:rsidRPr="008608AA">
        <w:rPr>
          <w:rFonts w:eastAsia="Calibri"/>
          <w:lang w:val="en-AU"/>
        </w:rPr>
        <w:t>b</w:t>
      </w:r>
      <w:r w:rsidR="000574E4" w:rsidRPr="008608AA">
        <w:rPr>
          <w:rFonts w:eastAsia="Calibri"/>
          <w:lang w:val="en-AU"/>
        </w:rPr>
        <w:t>)</w:t>
      </w:r>
      <w:r w:rsidRPr="008608AA">
        <w:rPr>
          <w:rFonts w:eastAsia="Calibri"/>
          <w:lang w:val="en-AU"/>
        </w:rPr>
        <w:t>.</w:t>
      </w:r>
    </w:p>
    <w:p w14:paraId="4BFFCE0A" w14:textId="4C6D544A" w:rsidR="001E61A6" w:rsidRPr="008608AA" w:rsidRDefault="001E61A6" w:rsidP="00A345FC">
      <w:pPr>
        <w:widowControl w:val="0"/>
        <w:autoSpaceDE w:val="0"/>
        <w:autoSpaceDN w:val="0"/>
        <w:adjustRightInd w:val="0"/>
        <w:spacing w:before="120"/>
      </w:pPr>
      <w:r w:rsidRPr="008608AA">
        <w:t>Climate change will reduce the populations, vigour, and viability of species with spatially restricted populations (e.g. small and insulated habitats and mountaintops). Extinctions of endemic species c</w:t>
      </w:r>
      <w:r w:rsidR="00633B22" w:rsidRPr="008608AA">
        <w:t>ould be as high as 39-43% (i.e.</w:t>
      </w:r>
      <w:r w:rsidRPr="008608AA">
        <w:t xml:space="preserve"> &gt;50,000 plant and vertebrate species) under worst case scenarios (Malcom et al., 2005)</w:t>
      </w:r>
    </w:p>
    <w:p w14:paraId="2F9023C9" w14:textId="77777777" w:rsidR="001E61A6" w:rsidRPr="008608AA" w:rsidRDefault="001E61A6" w:rsidP="009C39CE">
      <w:pPr>
        <w:keepNext/>
        <w:keepLines/>
        <w:spacing w:before="120"/>
        <w:outlineLvl w:val="3"/>
        <w:rPr>
          <w:rFonts w:eastAsia="Calibri"/>
          <w:b/>
          <w:bCs/>
          <w:iCs/>
        </w:rPr>
      </w:pPr>
      <w:bookmarkStart w:id="1566" w:name="_Toc517393358"/>
      <w:bookmarkStart w:id="1567" w:name="_Toc517394415"/>
      <w:bookmarkStart w:id="1568" w:name="_Toc517719099"/>
      <w:bookmarkStart w:id="1569" w:name="_Toc517797056"/>
      <w:r w:rsidRPr="008608AA">
        <w:rPr>
          <w:rFonts w:eastAsia="Calibri"/>
          <w:b/>
          <w:bCs/>
          <w:iCs/>
        </w:rPr>
        <w:t>Marine ecosystems</w:t>
      </w:r>
      <w:bookmarkEnd w:id="1566"/>
      <w:bookmarkEnd w:id="1567"/>
      <w:bookmarkEnd w:id="1568"/>
      <w:bookmarkEnd w:id="1569"/>
    </w:p>
    <w:p w14:paraId="47B99ACE" w14:textId="77777777" w:rsidR="001E61A6" w:rsidRPr="008608AA" w:rsidRDefault="001E61A6" w:rsidP="00A345FC">
      <w:pPr>
        <w:spacing w:before="120"/>
        <w:rPr>
          <w:rFonts w:eastAsia="Calibri"/>
          <w:b/>
        </w:rPr>
      </w:pPr>
      <w:r w:rsidRPr="008608AA">
        <w:rPr>
          <w:rFonts w:eastAsia="Calibri"/>
        </w:rPr>
        <w:t>As in terrestrial and freshwater species, some marine species will change their distribution due to the projected warming of the planet, causing high-latitude invasions and local-extinction rates in the tropics and semi-enclosed seas (Muhling et al., 2015; Liu et al., 2015). The economic dimension of these changes is different across the world, where species richness and fisheries catch potential are projected to increase (on average) at mid and high latitudes, contrary to what would happen in tropical latitudes</w:t>
      </w:r>
      <w:r w:rsidRPr="008608AA">
        <w:rPr>
          <w:rFonts w:eastAsia="Calibri"/>
          <w:b/>
        </w:rPr>
        <w:t>.</w:t>
      </w:r>
    </w:p>
    <w:p w14:paraId="3674A0EF" w14:textId="649AF952" w:rsidR="001E61A6" w:rsidRPr="008608AA" w:rsidRDefault="001E61A6" w:rsidP="00A345FC">
      <w:pPr>
        <w:spacing w:before="120"/>
        <w:rPr>
          <w:rFonts w:eastAsia="Calibri"/>
        </w:rPr>
      </w:pPr>
      <w:r w:rsidRPr="008608AA">
        <w:rPr>
          <w:rFonts w:eastAsia="Calibri"/>
        </w:rPr>
        <w:t>For example, the IPCC (Field et al.</w:t>
      </w:r>
      <w:r w:rsidR="009975BA" w:rsidRPr="008608AA">
        <w:rPr>
          <w:rFonts w:eastAsia="Calibri"/>
        </w:rPr>
        <w:t>,</w:t>
      </w:r>
      <w:r w:rsidRPr="008608AA">
        <w:rPr>
          <w:rFonts w:eastAsia="Calibri"/>
        </w:rPr>
        <w:t xml:space="preserve"> 2014) states that in North America there is going to be a shift in distribution of the northwest Atlantic fish species, changes in mussel beds along the west coast of the </w:t>
      </w:r>
      <w:r w:rsidR="00633B22" w:rsidRPr="008608AA">
        <w:rPr>
          <w:rFonts w:eastAsia="Calibri"/>
        </w:rPr>
        <w:t>USA</w:t>
      </w:r>
      <w:r w:rsidRPr="008608AA">
        <w:rPr>
          <w:rFonts w:eastAsia="Calibri"/>
        </w:rPr>
        <w:t>, and a change in migration and survival of salmon in northeast Pacific. In South America, mangrove degradation on the north coast will be impacted in a minor scale by climate change (pollution and land use are the main drivers of change). In the polar regions, climate change will significantly impact Arctic non-migratory species, the reproductive success of Arctic seabi</w:t>
      </w:r>
      <w:r w:rsidR="00633B22" w:rsidRPr="008608AA">
        <w:rPr>
          <w:rFonts w:eastAsia="Calibri"/>
        </w:rPr>
        <w:t>rds, populations (decrease) of southern o</w:t>
      </w:r>
      <w:r w:rsidRPr="008608AA">
        <w:rPr>
          <w:rFonts w:eastAsia="Calibri"/>
        </w:rPr>
        <w:t>cean seals and seabird populations, thickness of foraminiferal shells (reduction) in southern oceans due to ocean acidification, and the density of krill (reduced) in the Scotia Sea.</w:t>
      </w:r>
    </w:p>
    <w:p w14:paraId="334ED155" w14:textId="14CC6902" w:rsidR="001E61A6" w:rsidRPr="008608AA" w:rsidRDefault="001E61A6" w:rsidP="00A345FC">
      <w:pPr>
        <w:spacing w:before="120"/>
        <w:rPr>
          <w:rFonts w:eastAsia="Calibri"/>
        </w:rPr>
      </w:pPr>
      <w:r w:rsidRPr="008608AA">
        <w:rPr>
          <w:rFonts w:eastAsia="Calibri"/>
        </w:rPr>
        <w:t xml:space="preserve">Three main drivers related to climate change and emissions of </w:t>
      </w:r>
      <w:r w:rsidR="00E03ED4" w:rsidRPr="008608AA">
        <w:t>carbon dioxide</w:t>
      </w:r>
      <w:r w:rsidRPr="008608AA">
        <w:rPr>
          <w:rFonts w:eastAsia="Calibri"/>
        </w:rPr>
        <w:t xml:space="preserve"> will have a negative impact on coastal ecosystems: 1. Sea level rise, which is related to the capacity of animals (e.g. corals) and plants (e.g. mangroves) to keep up with the vertical rise of the sea; 2. Ocean temperature, which has a direct impact on species adjusted to specific and sometimes narrow temperature ranges (e.g. coral bleaching). As a response to warmer temperatures, many marine species change their distributions towards the poles; 3. Ocean acidity, caused by the absorption of </w:t>
      </w:r>
      <w:r w:rsidR="00E03ED4" w:rsidRPr="008608AA">
        <w:t>carbon dioxide</w:t>
      </w:r>
      <w:r w:rsidRPr="008608AA">
        <w:rPr>
          <w:rFonts w:eastAsia="Calibri"/>
        </w:rPr>
        <w:t xml:space="preserve"> that produces carbonic acid. An increase of acidity in seawater diminishes the ability of “calcifiers” (e.g. shellfish, corals) to produce carbonate to make their shells and skeletons.</w:t>
      </w:r>
    </w:p>
    <w:p w14:paraId="71C181EB" w14:textId="77777777" w:rsidR="001E61A6" w:rsidRPr="008608AA" w:rsidRDefault="001E61A6" w:rsidP="00A345FC">
      <w:pPr>
        <w:spacing w:before="120"/>
        <w:rPr>
          <w:rFonts w:eastAsia="Calibri"/>
        </w:rPr>
      </w:pPr>
      <w:r w:rsidRPr="008608AA">
        <w:rPr>
          <w:rFonts w:eastAsia="Calibri"/>
        </w:rPr>
        <w:t>The physical, chemical, and biological properties of the ocean will be altered by climate change, causing a change in the physiological performance of marine biodiversity.</w:t>
      </w:r>
    </w:p>
    <w:p w14:paraId="27A1FE9F" w14:textId="77777777" w:rsidR="001E61A6" w:rsidRPr="008608AA" w:rsidRDefault="001E61A6" w:rsidP="00A345FC">
      <w:pPr>
        <w:spacing w:before="120"/>
        <w:rPr>
          <w:rFonts w:eastAsia="Calibri"/>
        </w:rPr>
      </w:pPr>
      <w:r w:rsidRPr="008608AA">
        <w:rPr>
          <w:rFonts w:eastAsia="Calibri"/>
        </w:rPr>
        <w:t>Shifts in populations, geographic distribution, migration patterns, and phenology of species caused by climate change, have been and will be paralleled by a reduction in their maximum body size. Furthermore, this has caused and will continue causing a change in the interaction between species (e.g. competition and predator-prey dynamics).</w:t>
      </w:r>
    </w:p>
    <w:p w14:paraId="0CB1E31F" w14:textId="77777777" w:rsidR="001E61A6" w:rsidRPr="008608AA" w:rsidRDefault="001E61A6" w:rsidP="00A345FC">
      <w:pPr>
        <w:spacing w:before="120"/>
        <w:rPr>
          <w:rFonts w:eastAsia="Calibri"/>
          <w:lang w:val="en-AU"/>
        </w:rPr>
      </w:pPr>
      <w:r w:rsidRPr="008608AA">
        <w:rPr>
          <w:rFonts w:eastAsia="Calibri"/>
          <w:lang w:val="en-AU"/>
        </w:rPr>
        <w:t xml:space="preserve">Regional changes in the temperature of the atmosphere and the ocean will be accompanied by changes in glacial extent, rainfall, river discharge, wind, ocean currents, and sea level, among many other environmental parameters. There are large fluctuations in ocean conditions in each ocean basin, like the El Niño Southern Oscillation, the North Atlantic Oscillation, and the Atlantic Multidecadal Oscillation, each leading to major changes that have impacts on the coastal zone. There are, on the other hand, very large differences in freshwater supply in different coastal locations, and processes in the watershed, including the balance of different human activities, are different in all watersheds. All of these factors work together in different ways to affect any one coastal habitat. </w:t>
      </w:r>
    </w:p>
    <w:p w14:paraId="1F62C912" w14:textId="77777777" w:rsidR="001E61A6" w:rsidRPr="008608AA" w:rsidRDefault="001E61A6" w:rsidP="00A345FC">
      <w:pPr>
        <w:pStyle w:val="Heading4"/>
        <w:numPr>
          <w:ilvl w:val="0"/>
          <w:numId w:val="0"/>
        </w:numPr>
        <w:spacing w:before="120" w:line="240" w:lineRule="auto"/>
      </w:pPr>
      <w:bookmarkStart w:id="1570" w:name="_Toc517393359"/>
      <w:bookmarkStart w:id="1571" w:name="_Toc517394416"/>
      <w:bookmarkStart w:id="1572" w:name="_Toc517719100"/>
      <w:bookmarkStart w:id="1573" w:name="_Toc517797057"/>
      <w:r w:rsidRPr="008608AA">
        <w:t>North America</w:t>
      </w:r>
      <w:bookmarkEnd w:id="1570"/>
      <w:bookmarkEnd w:id="1571"/>
      <w:bookmarkEnd w:id="1572"/>
      <w:bookmarkEnd w:id="1573"/>
    </w:p>
    <w:p w14:paraId="2BC882D8" w14:textId="60251729" w:rsidR="001E61A6" w:rsidRPr="008608AA" w:rsidRDefault="001E61A6" w:rsidP="00A345FC">
      <w:pPr>
        <w:spacing w:before="120"/>
        <w:rPr>
          <w:rFonts w:eastAsia="Calibri"/>
        </w:rPr>
      </w:pPr>
      <w:r w:rsidRPr="008608AA">
        <w:rPr>
          <w:rFonts w:eastAsia="Calibri"/>
        </w:rPr>
        <w:t>Climate in the Arctic is harsh, characterized b</w:t>
      </w:r>
      <w:r w:rsidR="00633B22" w:rsidRPr="008608AA">
        <w:rPr>
          <w:rFonts w:eastAsia="Calibri"/>
        </w:rPr>
        <w:t>y cold winters and cool summers.</w:t>
      </w:r>
      <w:r w:rsidRPr="008608AA">
        <w:rPr>
          <w:rFonts w:eastAsia="Calibri"/>
        </w:rPr>
        <w:t xml:space="preserve"> Consequently, plant growth is restricted to a relatively short growing season on the order of three months or less during the boreal summer. The tundra</w:t>
      </w:r>
      <w:r w:rsidR="00633B22" w:rsidRPr="008608AA">
        <w:rPr>
          <w:rFonts w:eastAsia="Calibri"/>
        </w:rPr>
        <w:t xml:space="preserve"> </w:t>
      </w:r>
      <w:r w:rsidRPr="008608AA">
        <w:rPr>
          <w:rFonts w:eastAsia="Calibri"/>
        </w:rPr>
        <w:t>biome is home to approximately 1</w:t>
      </w:r>
      <w:r w:rsidR="00633B22" w:rsidRPr="008608AA">
        <w:rPr>
          <w:rFonts w:eastAsia="Calibri"/>
        </w:rPr>
        <w:t>,</w:t>
      </w:r>
      <w:r w:rsidRPr="008608AA">
        <w:rPr>
          <w:rFonts w:eastAsia="Calibri"/>
        </w:rPr>
        <w:t xml:space="preserve">800 species of vascular plants and has less species diversity than more temperate biomes </w:t>
      </w:r>
      <w:r w:rsidRPr="008608AA">
        <w:rPr>
          <w:rFonts w:eastAsia="Calibri"/>
        </w:rPr>
        <w:fldChar w:fldCharType="begin" w:fldLock="1"/>
      </w:r>
      <w:r w:rsidRPr="008608AA">
        <w:rPr>
          <w:rFonts w:eastAsia="Calibri"/>
        </w:rPr>
        <w:instrText>ADDIN CSL_CITATION { "citationItems" : [ { "id" : "ITEM-1", "itemData" : { "author" : [ { "dropping-particle" : "V", "family" : "Callaghan", "given" : "Terry", "non-dropping-particle" : "", "parse-names" : false, "suffix" : "" }, { "dropping-particle" : "", "family" : "Bj\u00f6rn", "given" : "Lars Olof", "non-dropping-particle" : "", "parse-names" : false, "suffix" : "" }, { "dropping-particle" : "", "family" : "Iii", "given" : "F Stuart Chapin", "non-dropping-particle" : "", "parse-names" : false, "suffix" : "" }, { "dropping-particle" : "", "family" : "Chernov", "given" : "Yuri", "non-dropping-particle" : "", "parse-names" : false, "suffix" : "" }, { "dropping-particle" : "", "family" : "Christensen", "given" : "Torben R", "non-dropping-particle" : "", "parse-names" : false, "suffix" : "" }, { "dropping-particle" : "", "family" : "Huntley", "given" : "Brian", "non-dropping-particle" : "", "parse-names" : false, "suffix" : "" }, { "dropping-particle" : "", "family" : "Ims", "given" : "Rolf", "non-dropping-particle" : "", "parse-names" : false, "suffix" : "" }, { "dropping-particle" : "", "family" : "Johansson", "given" : "Margareta", "non-dropping-particle" : "", "parse-names" : false, "suffix" : "" }, { "dropping-particle" : "", "family" : "Riedlinger", "given" : "Dyanna Jolly", "non-dropping-particle" : "", "parse-names" : false, "suffix" : "" }, { "dropping-particle" : "", "family" : "Jonasson", "given" : "Sven", "non-dropping-particle" : "", "parse-names" : false, "suffix" : "" }, { "dropping-particle" : "", "family" : "Matveyeva", "given" : "Nadya", "non-dropping-particle" : "", "parse-names" : false, "suffix" : "" }, { "dropping-particle" : "", "family" : "Oechel", "given" : "Walter", "non-dropping-particle" : "", "parse-names" : false, "suffix" : "" }, { "dropping-particle" : "", "family" : "Panikov", "given" : "Nicolai", "non-dropping-particle" : "", "parse-names" : false, "suffix" : "" }, { "dropping-particle" : "", "family" : "Shaver", "given" : "Gus", "non-dropping-particle" : "", "parse-names" : false, "suffix" : "" } ], "id" : "ITEM-1", "issued" : { "date-parts" : [ [ "2005" ] ] }, "number-of-pages" : "243-352", "title" : "Arctic Tundra and Polar Desert Ecosystems", "type" : "report" }, "uris" : [ "http://www.mendeley.com/documents/?uuid=f86c395c-b70f-4939-b02c-90488cbfde9f" ] } ], "mendeley" : { "formattedCitation" : "(Callaghan et al. 2005)", "manualFormatting" : "(Callaghan et al., 2005)", "plainTextFormattedCitation" : "(Callaghan et al. 2005)", "previouslyFormattedCitation" : "(Callaghan et al. 2005)" }, "properties" : { "noteIndex" : 0 }, "schema" : "https://github.com/citation-style-language/schema/raw/master/csl-citation.json" }</w:instrText>
      </w:r>
      <w:r w:rsidRPr="008608AA">
        <w:rPr>
          <w:rFonts w:eastAsia="Calibri"/>
        </w:rPr>
        <w:fldChar w:fldCharType="separate"/>
      </w:r>
      <w:r w:rsidRPr="008608AA">
        <w:rPr>
          <w:rFonts w:eastAsia="Calibri"/>
          <w:noProof/>
        </w:rPr>
        <w:t>(Callaghan et al., 2005)</w:t>
      </w:r>
      <w:r w:rsidRPr="008608AA">
        <w:rPr>
          <w:rFonts w:eastAsia="Calibri"/>
        </w:rPr>
        <w:fldChar w:fldCharType="end"/>
      </w:r>
      <w:r w:rsidRPr="008608AA">
        <w:rPr>
          <w:rFonts w:eastAsia="Calibri"/>
        </w:rPr>
        <w:t xml:space="preserve"> (see Chapter 3 for more details). Alpine tundra can also occur at high elevations in mountain ranges of North America. </w:t>
      </w:r>
    </w:p>
    <w:p w14:paraId="46506100" w14:textId="77777777" w:rsidR="001E61A6" w:rsidRPr="008608AA" w:rsidRDefault="001E61A6" w:rsidP="00A345FC">
      <w:pPr>
        <w:spacing w:before="120"/>
        <w:rPr>
          <w:rFonts w:eastAsia="Calibri"/>
        </w:rPr>
      </w:pPr>
      <w:r w:rsidRPr="008608AA">
        <w:rPr>
          <w:rFonts w:eastAsia="Calibri"/>
        </w:rPr>
        <w:t xml:space="preserve">Global temperature increases during the twentieth century have been amplified in the Arctic, with mean annual temperature increases approximately twice that of the global increase. For example, over the past 60 years, Alaska has warmed more than twice as rapidly as the rest of the USA, with state-wide average annual air temperature increasing by 1.7 °C and average winter temperature by 3.4 ºC, with substantial year-to-year and regional variability </w:t>
      </w:r>
      <w:r w:rsidRPr="008608AA">
        <w:rPr>
          <w:rFonts w:eastAsia="Calibri"/>
        </w:rPr>
        <w:fldChar w:fldCharType="begin" w:fldLock="1"/>
      </w:r>
      <w:r w:rsidRPr="008608AA">
        <w:rPr>
          <w:rFonts w:eastAsia="Calibri"/>
        </w:rPr>
        <w:instrText>ADDIN CSL_CITATION { "citationItems" : [ { "id" : "ITEM-1", "itemData" : { "DOI" : "10.7930/J00Z7150.On", "author" : [ { "dropping-particle" : "", "family" : "Chapin", "given" : "F.S. III", "non-dropping-particle" : "", "parse-names" : false, "suffix" : "" }, { "dropping-particle" : "", "family" : "Trainor", "given" : "S.F.", "non-dropping-particle" : "", "parse-names" : false, "suffix" : "" }, { "dropping-particle" : "", "family" : "Cochran", "given" : "P.", "non-dropping-particle" : "", "parse-names" : false, "suffix" : "" }, { "dropping-particle" : "", "family" : "Huntington", "given" : "H.", "non-dropping-particle" : "", "parse-names" : false, "suffix" : "" }, { "dropping-particle" : "", "family" : "Markon", "given" : "C.", "non-dropping-particle" : "", "parse-names" : false, "suffix" : "" }, { "dropping-particle" : "", "family" : "McCammon", "given" : "M.", "non-dropping-particle" : "", "parse-names" : false, "suffix" : "" }, { "dropping-particle" : "", "family" : "McGuire", "given" : "A.D.", "non-dropping-particle" : "", "parse-names" : false, "suffix" : "" }, { "dropping-particle" : "", "family" : "Serreze", "given" : "M.", "non-dropping-particle" : "", "parse-names" : false, "suffix" : "" } ], "container-title" : "Climate Change Impacts in the United States: The Third National Climate Assessment", "id" : "ITEM-1", "issued" : { "date-parts" : [ [ "2014" ] ] }, "page" : "514-536", "title" : "Ch. 22: Alaska", "type" : "article-journal" }, "uris" : [ "http://www.mendeley.com/documents/?uuid=43932a88-d5cb-436a-8aa1-05985b81c484" ] } ], "mendeley" : { "formattedCitation" : "(Chapin et al. 2014)", "manualFormatting" : "(Chapin et al., 2014)", "plainTextFormattedCitation" : "(Chapin et al. 2014)", "previouslyFormattedCitation" : "(Chapin et al. 2014)" }, "properties" : { "noteIndex" : 0 }, "schema" : "https://github.com/citation-style-language/schema/raw/master/csl-citation.json" }</w:instrText>
      </w:r>
      <w:r w:rsidRPr="008608AA">
        <w:rPr>
          <w:rFonts w:eastAsia="Calibri"/>
        </w:rPr>
        <w:fldChar w:fldCharType="separate"/>
      </w:r>
      <w:r w:rsidRPr="008608AA">
        <w:rPr>
          <w:rFonts w:eastAsia="Calibri"/>
          <w:noProof/>
        </w:rPr>
        <w:t>(Chapin et al., 2014)</w:t>
      </w:r>
      <w:r w:rsidRPr="008608AA">
        <w:rPr>
          <w:rFonts w:eastAsia="Calibri"/>
        </w:rPr>
        <w:fldChar w:fldCharType="end"/>
      </w:r>
      <w:r w:rsidRPr="008608AA">
        <w:rPr>
          <w:rFonts w:eastAsia="Calibri"/>
        </w:rPr>
        <w:t xml:space="preserve">. The overall warming has involved more extremely hot days and fewer extremely cold days.  </w:t>
      </w:r>
    </w:p>
    <w:p w14:paraId="14A61040" w14:textId="6AD7481F" w:rsidR="001E61A6" w:rsidRPr="008608AA" w:rsidRDefault="001E61A6" w:rsidP="00A345FC">
      <w:pPr>
        <w:spacing w:before="120"/>
        <w:rPr>
          <w:rFonts w:eastAsia="Calibri"/>
        </w:rPr>
      </w:pPr>
      <w:r w:rsidRPr="008608AA">
        <w:rPr>
          <w:rFonts w:eastAsia="Calibri"/>
        </w:rPr>
        <w:t xml:space="preserve">There is increasing evidence that physical and ecological changes are already occurring throughout the tundra biome </w:t>
      </w:r>
      <w:r w:rsidRPr="008608AA">
        <w:rPr>
          <w:rFonts w:eastAsia="Calibri"/>
        </w:rPr>
        <w:fldChar w:fldCharType="begin" w:fldLock="1"/>
      </w:r>
      <w:r w:rsidRPr="008608AA">
        <w:rPr>
          <w:rFonts w:eastAsia="Calibri"/>
        </w:rPr>
        <w:instrText>ADDIN CSL_CITATION { "citationItems" : [ { "id" : "ITEM-1", "itemData" : { "DOI" : "10.1007/s10584-005-5352-2", "author" : [ { "dropping-particle" : "", "family" : "Hinzman", "given" : "Larry D", "non-dropping-particle" : "", "parse-names" : false, "suffix" : "" }, { "dropping-particle" : "", "family" : "Bettez", "given" : "Neil D", "non-dropping-particle" : "", "parse-names" : false, "suffix" : "" }, { "dropping-particle" : "", "family" : "Bolton", "given" : "W Robert", "non-dropping-particle" : "", "parse-names" : false, "suffix" : "" }, { "dropping-particle" : "", "family" : "Chapin", "given" : "F Stuart", "non-dropping-particle" : "", "parse-names" : false, "suffix" : "" }, { "dropping-particle" : "", "family" : "Dyurgerov", "given" : "Mark B", "non-dropping-particle" : "", "parse-names" : false, "suffix" : "" }, { "dropping-particle" : "", "family" : "Fastie", "given" : "Chris L", "non-dropping-particle" : "", "parse-names" : false, "suffix" : "" }, { "dropping-particle" : "", "family" : "Griffith", "given" : "Brad", "non-dropping-particle" : "", "parse-names" : false, "suffix" : "" }, { "dropping-particle" : "", "family" : "Hollister", "given" : "Robert D", "non-dropping-particle" : "", "parse-names" : false, "suffix" : "" }, { "dropping-particle" : "", "family" : "Hope", "given" : "Allen", "non-dropping-particle" : "", "parse-names" : false, "suffix" : "" }, { "dropping-particle" : "", "family" : "Huntington", "given" : "Henry P", "non-dropping-particle" : "", "parse-names" : false, "suffix" : "" }, { "dropping-particle" : "", "family" : "Jensen", "given" : "Anne M", "non-dropping-particle" : "", "parse-names" : false, "suffix" : "" }, { "dropping-particle" : "", "family" : "Jia", "given" : "Gensuo J", "non-dropping-particle" : "", "parse-names" : false, "suffix" : "" }, { "dropping-particle" : "", "family" : "Jorgenson", "given" : "Torre", "non-dropping-particle" : "", "parse-names" : false, "suffix" : "" }, { "dropping-particle" : "", "family" : "Kane", "given" : "Douglas L", "non-dropping-particle" : "", "parse-names" : false, "suffix" : "" }, { "dropping-particle" : "", "family" : "Klein", "given" : "David R", "non-dropping-particle" : "", "parse-names" : false, "suffix" : "" }, { "dropping-particle" : "", "family" : "Kofinas", "given" : "Gary", "non-dropping-particle" : "", "parse-names" : false, "suffix" : "" }, { "dropping-particle" : "", "family" : "Lynch", "given" : "Amanda H", "non-dropping-particle" : "", "parse-names" : false, "suffix" : "" }, { "dropping-particle" : "", "family" : "Lloyd", "given" : "Andrea H", "non-dropping-particle" : "", "parse-names" : false, "suffix" : "" }, { "dropping-particle" : "", "family" : "Mcguire", "given" : "A David", "non-dropping-particle" : "", "parse-names" : false, "suffix" : "" }, { "dropping-particle" : "", "family" : "Nelson", "given" : "Frederick E", "non-dropping-particle" : "", "parse-names" : false, "suffix" : "" }, { "dropping-particle" : "", "family" : "Oechel", "given" : "Walter C", "non-dropping-particle" : "", "parse-names" : false, "suffix" : "" }, { "dropping-particle" : "", "family" : "Osterkamp", "given" : "Thomas E", "non-dropping-particle" : "", "parse-names" : false, "suffix" : "" }, { "dropping-particle" : "", "family" : "Racine", "given" : "Charles H", "non-dropping-particle" : "", "parse-names" : false, "suffix" : "" }, { "dropping-particle" : "", "family" : "Romanovsky", "given" : "Vladimir E", "non-dropping-particle" : "", "parse-names" : false, "suffix" : "" }, { "dropping-particle" : "", "family" : "Stone", "given" : "Robert S", "non-dropping-particle" : "", "parse-names" : false, "suffix" : "" }, { "dropping-particle" : "", "family" : "Stow", "given" : "Douglas A", "non-dropping-particle" : "", "parse-names" : false, "suffix" : "" }, { "dropping-particle" : "", "family" : "Sturm", "given" : "Matthew", "non-dropping-particle" : "", "parse-names" : false, "suffix" : "" }, { "dropping-particle" : "", "family" : "Tweedie", "given" : "Craig E", "non-dropping-particle" : "", "parse-names" : false, "suffix" : "" }, { "dropping-particle" : "", "family" : "Vourlitis", "given" : "George L", "non-dropping-particle" : "", "parse-names" : false, "suffix" : "" }, { "dropping-particle" : "", "family" : "Walker", "given" : "Marilyn D", "non-dropping-particle" : "", "parse-names" : false, "suffix" : "" }, { "dropping-particle" : "", "family" : "Walker", "given" : "Donald A", "non-dropping-particle" : "", "parse-names" : false, "suffix" : "" }, { "dropping-particle" : "", "family" : "Webber", "given" : "Patrick J", "non-dropping-particle" : "", "parse-names" : false, "suffix" : "" }, { "dropping-particle" : "", "family" : "Welker", "given" : "Jeffrey M", "non-dropping-particle" : "", "parse-names" : false, "suffix" : "" }, { "dropping-particle" : "", "family" : "Winker", "given" : "Kevin S", "non-dropping-particle" : "", "parse-names" : false, "suffix" : "" }, { "dropping-particle" : "", "family" : "Yoshikawa", "given" : "Kenji", "non-dropping-particle" : "", "parse-names" : false, "suffix" : "" } ], "id" : "ITEM-1", "issued" : { "date-parts" : [ [ "2005" ] ] }, "page" : "251-298", "title" : "EVIDENCE AND IMPLICATIONS OF RECENT CLIMATE CHANGE IN NORTHERN ALASKA AND OTHER ARCTIC REGIONS A recent synthesis of evidence from marine , terrestrial and atmospheric stud- ies shows that the climate of the Arctic has warmed significantly in the last 30 ", "type" : "article-journal" }, "uris" : [ "http://www.mendeley.com/documents/?uuid=495730a6-6519-4f0c-b852-48429e2dca4c" ] }, { "id" : "ITEM-2", "itemData" : { "DOI" : "10.1146/annurev.energy.31.020105.100253", "author" : [ { "dropping-particle" : "", "family" : "Mcguire", "given" : "A David", "non-dropping-particle" : "", "parse-names" : false, "suffix" : "" }, { "dropping-particle" : "", "family" : "Iii", "given" : "F S Chapin", "non-dropping-particle" : "", "parse-names" : false, "suffix" : "" }, { "dropping-particle" : "", "family" : "Walsh", "given" : "John E", "non-dropping-particle" : "", "parse-names" : false, "suffix" : "" }, { "dropping-particle" : "", "family" : "Wirth", "given" : "Christian", "non-dropping-particle" : "", "parse-names" : false, "suffix" : "" } ], "id" : "ITEM-2", "issued" : { "date-parts" : [ [ "2006" ] ] }, "page" : "61-91", "title" : "I NTEGRATED R EGIONAL C HANGES IN A RCTIC C LIMATE F EEDBACKS : Implications for the Global", "type" : "article-journal" }, "uris" : [ "http://www.mendeley.com/documents/?uuid=a188e268-54b0-4e5a-98be-136ab1b0efe2" ] } ], "mendeley" : { "formattedCitation" : "(Hinzman et al. 2005, Mcguire et al. 2006)", "manualFormatting" : "(Hinzman et al., 2005, McGuire et al., 2006)", "plainTextFormattedCitation" : "(Hinzman et al. 2005, Mcguire et al. 2006)", "previouslyFormattedCitation" : "(Hinzman et al. 2005, Mcguire et al. 2006)" }, "properties" : { "noteIndex" : 0 }, "schema" : "https://github.com/citation-style-language/schema/raw/master/csl-citation.json" }</w:instrText>
      </w:r>
      <w:r w:rsidRPr="008608AA">
        <w:rPr>
          <w:rFonts w:eastAsia="Calibri"/>
        </w:rPr>
        <w:fldChar w:fldCharType="separate"/>
      </w:r>
      <w:r w:rsidR="009975BA" w:rsidRPr="008608AA">
        <w:rPr>
          <w:rFonts w:eastAsia="Calibri"/>
          <w:noProof/>
        </w:rPr>
        <w:t>(Hinzman et al., 2005;</w:t>
      </w:r>
      <w:r w:rsidRPr="008608AA">
        <w:rPr>
          <w:rFonts w:eastAsia="Calibri"/>
          <w:noProof/>
        </w:rPr>
        <w:t xml:space="preserve"> McGuire et al., 2006)</w:t>
      </w:r>
      <w:r w:rsidRPr="008608AA">
        <w:rPr>
          <w:rFonts w:eastAsia="Calibri"/>
        </w:rPr>
        <w:fldChar w:fldCharType="end"/>
      </w:r>
      <w:r w:rsidRPr="008608AA">
        <w:rPr>
          <w:rFonts w:eastAsia="Calibri"/>
        </w:rPr>
        <w:t xml:space="preserve">, and includes increases in photosynthetic activity </w:t>
      </w:r>
      <w:r w:rsidRPr="008608AA">
        <w:rPr>
          <w:rFonts w:eastAsia="Calibri"/>
        </w:rPr>
        <w:fldChar w:fldCharType="begin" w:fldLock="1"/>
      </w:r>
      <w:r w:rsidRPr="008608AA">
        <w:rPr>
          <w:rFonts w:eastAsia="Calibri"/>
        </w:rPr>
        <w:instrText>ADDIN CSL_CITATION { "citationItems" : [ { "id" : "ITEM-1", "itemData" : { "author" : [ { "dropping-particle" : "", "family" : "Bunn", "given" : "Andrew G", "non-dropping-particle" : "", "parse-names" : false, "suffix" : "" }, { "dropping-particle" : "", "family" : "Goetz", "given" : "Scott J", "non-dropping-particle" : "", "parse-names" : false, "suffix" : "" } ], "id" : "ITEM-1", "issue" : "12", "issued" : { "date-parts" : [ [ "2006" ] ] }, "title" : "Trends in Satellite-Observed Circumpolar Photosynthetic Activity from 1982 to 2003 : The Influence of Seasonality , Cover Type , and Vegetation Density", "type" : "article-journal", "volume" : "10" }, "uris" : [ "http://www.mendeley.com/documents/?uuid=b051691c-71f8-402d-bb57-a1a87c1d99f3" ] } ], "mendeley" : { "formattedCitation" : "(Bunn and Goetz 2006)", "plainTextFormattedCitation" : "(Bunn and Goetz 2006)", "previouslyFormattedCitation" : "(Bunn and Goetz 2006)" }, "properties" : { "noteIndex" : 0 }, "schema" : "https://github.com/citation-style-language/schema/raw/master/csl-citation.json" }</w:instrText>
      </w:r>
      <w:r w:rsidRPr="008608AA">
        <w:rPr>
          <w:rFonts w:eastAsia="Calibri"/>
        </w:rPr>
        <w:fldChar w:fldCharType="separate"/>
      </w:r>
      <w:r w:rsidRPr="008608AA">
        <w:rPr>
          <w:rFonts w:eastAsia="Calibri"/>
          <w:noProof/>
        </w:rPr>
        <w:t xml:space="preserve">(Bunn </w:t>
      </w:r>
      <w:r w:rsidR="009975BA" w:rsidRPr="008608AA">
        <w:rPr>
          <w:rFonts w:eastAsia="Calibri"/>
          <w:noProof/>
        </w:rPr>
        <w:t>&amp;</w:t>
      </w:r>
      <w:r w:rsidRPr="008608AA">
        <w:rPr>
          <w:rFonts w:eastAsia="Calibri"/>
          <w:noProof/>
        </w:rPr>
        <w:t xml:space="preserve"> Goetz</w:t>
      </w:r>
      <w:r w:rsidR="009975BA" w:rsidRPr="008608AA">
        <w:rPr>
          <w:rFonts w:eastAsia="Calibri"/>
          <w:noProof/>
        </w:rPr>
        <w:t>,</w:t>
      </w:r>
      <w:r w:rsidRPr="008608AA">
        <w:rPr>
          <w:rFonts w:eastAsia="Calibri"/>
          <w:noProof/>
        </w:rPr>
        <w:t xml:space="preserve"> 2006)</w:t>
      </w:r>
      <w:r w:rsidRPr="008608AA">
        <w:rPr>
          <w:rFonts w:eastAsia="Calibri"/>
        </w:rPr>
        <w:fldChar w:fldCharType="end"/>
      </w:r>
      <w:r w:rsidRPr="008608AA">
        <w:rPr>
          <w:rFonts w:eastAsia="Calibri"/>
        </w:rPr>
        <w:t xml:space="preserve"> and an expansion of shrub tundra at the expense of graminoid tundra </w:t>
      </w:r>
      <w:r w:rsidRPr="008608AA">
        <w:rPr>
          <w:rFonts w:eastAsia="Calibri"/>
        </w:rPr>
        <w:fldChar w:fldCharType="begin" w:fldLock="1"/>
      </w:r>
      <w:r w:rsidRPr="008608AA">
        <w:rPr>
          <w:rFonts w:eastAsia="Calibri"/>
        </w:rPr>
        <w:instrText>ADDIN CSL_CITATION { "citationItems" : [ { "id" : "ITEM-1", "itemData" : { "DOI" : "10.1088/1748-9326/6/4/045509", "author" : [ { "dropping-particle" : "", "family" : "Myers-smith", "given" : "Isla H", "non-dropping-particle" : "", "parse-names" : false, "suffix" : "" }, { "dropping-particle" : "", "family" : "Forbes", "given" : "Bruce C", "non-dropping-particle" : "", "parse-names" : false, "suffix" : "" }, { "dropping-particle" : "", "family" : "Wilmking", "given" : "Martin", "non-dropping-particle" : "", "parse-names" : false, "suffix" : "" }, { "dropping-particle" : "", "family" : "Hallinger", "given" : "Martin", "non-dropping-particle" : "", "parse-names" : false, "suffix" : "" }, { "dropping-particle" : "", "family" : "Lantz", "given" : "Trevor", "non-dropping-particle" : "", "parse-names" : false, "suffix" : "" }, { "dropping-particle" : "", "family" : "Blok", "given" : "Daan", "non-dropping-particle" : "", "parse-names" : false, "suffix" : "" }, { "dropping-particle" : "", "family" : "Tape", "given" : "Ken D", "non-dropping-particle" : "", "parse-names" : false, "suffix" : "" }, { "dropping-particle" : "", "family" : "Macias-fauria", "given" : "Marc", "non-dropping-particle" : "", "parse-names" : false, "suffix" : "" }, { "dropping-particle" : "", "family" : "Sass-klaassen", "given" : "Ute", "non-dropping-particle" : "", "parse-names" : false, "suffix" : "" }, { "dropping-particle" : "", "family" : "Esther", "given" : "L", "non-dropping-particle" : "", "parse-names" : false, "suffix" : "" } ], "id" : "ITEM-1", "issued" : { "date-parts" : [ [ "2011" ] ] }, "title" : "Shrub expansion in tundra ecosystems : dynamics , impacts and research priorities", "type" : "article-journal", "volume" : "045509" }, "uris" : [ "http://www.mendeley.com/documents/?uuid=223f0dc6-a162-4a7b-95bf-f9e65b665ee8" ] } ], "mendeley" : { "formattedCitation" : "(Myers-smith et al. 2011)", "manualFormatting" : "(Myers-smith et al., 2011)", "plainTextFormattedCitation" : "(Myers-smith et al. 2011)", "previouslyFormattedCitation" : "(Myers-smith et al. 2011)" }, "properties" : { "noteIndex" : 0 }, "schema" : "https://github.com/citation-style-language/schema/raw/master/csl-citation.json" }</w:instrText>
      </w:r>
      <w:r w:rsidRPr="008608AA">
        <w:rPr>
          <w:rFonts w:eastAsia="Calibri"/>
        </w:rPr>
        <w:fldChar w:fldCharType="separate"/>
      </w:r>
      <w:r w:rsidRPr="008608AA">
        <w:rPr>
          <w:rFonts w:eastAsia="Calibri"/>
          <w:noProof/>
        </w:rPr>
        <w:t>(Myers-smith et al., 2011)</w:t>
      </w:r>
      <w:r w:rsidRPr="008608AA">
        <w:rPr>
          <w:rFonts w:eastAsia="Calibri"/>
        </w:rPr>
        <w:fldChar w:fldCharType="end"/>
      </w:r>
      <w:r w:rsidRPr="008608AA">
        <w:rPr>
          <w:rFonts w:eastAsia="Calibri"/>
        </w:rPr>
        <w:t>.</w:t>
      </w:r>
    </w:p>
    <w:p w14:paraId="41CA1328" w14:textId="77777777" w:rsidR="001E61A6" w:rsidRPr="008608AA" w:rsidRDefault="001E61A6" w:rsidP="00A345FC">
      <w:pPr>
        <w:spacing w:before="120"/>
        <w:rPr>
          <w:rFonts w:eastAsia="Calibri"/>
        </w:rPr>
      </w:pPr>
      <w:r w:rsidRPr="008608AA">
        <w:rPr>
          <w:rFonts w:eastAsia="Calibri"/>
        </w:rPr>
        <w:t xml:space="preserve">Average annual temperatures in the northern tundra region of Alaska are projected to rise by an additional 2.5 ºC to 5 ºC by the end of this century depending on fossil fuel emissions </w:t>
      </w:r>
      <w:r w:rsidRPr="008608AA">
        <w:rPr>
          <w:rFonts w:eastAsia="Calibri"/>
        </w:rPr>
        <w:fldChar w:fldCharType="begin" w:fldLock="1"/>
      </w:r>
      <w:r w:rsidRPr="008608AA">
        <w:rPr>
          <w:rFonts w:eastAsia="Calibri"/>
        </w:rPr>
        <w:instrText>ADDIN CSL_CITATION { "citationItems" : [ { "id" : "ITEM-1", "itemData" : { "DOI" : "10.7930/J00Z7150.On", "author" : [ { "dropping-particle" : "", "family" : "Chapin", "given" : "F.S. III", "non-dropping-particle" : "", "parse-names" : false, "suffix" : "" }, { "dropping-particle" : "", "family" : "Trainor", "given" : "S.F.", "non-dropping-particle" : "", "parse-names" : false, "suffix" : "" }, { "dropping-particle" : "", "family" : "Cochran", "given" : "P.", "non-dropping-particle" : "", "parse-names" : false, "suffix" : "" }, { "dropping-particle" : "", "family" : "Huntington", "given" : "H.", "non-dropping-particle" : "", "parse-names" : false, "suffix" : "" }, { "dropping-particle" : "", "family" : "Markon", "given" : "C.", "non-dropping-particle" : "", "parse-names" : false, "suffix" : "" }, { "dropping-particle" : "", "family" : "McCammon", "given" : "M.", "non-dropping-particle" : "", "parse-names" : false, "suffix" : "" }, { "dropping-particle" : "", "family" : "McGuire", "given" : "A.D.", "non-dropping-particle" : "", "parse-names" : false, "suffix" : "" }, { "dropping-particle" : "", "family" : "Serreze", "given" : "M.", "non-dropping-particle" : "", "parse-names" : false, "suffix" : "" } ], "container-title" : "Climate Change Impacts in the United States: The Third National Climate Assessment", "id" : "ITEM-1", "issued" : { "date-parts" : [ [ "2014" ] ] }, "page" : "514-536", "title" : "Ch. 22: Alaska", "type" : "article-journal" }, "uris" : [ "http://www.mendeley.com/documents/?uuid=43932a88-d5cb-436a-8aa1-05985b81c484" ] } ], "mendeley" : { "formattedCitation" : "(Chapin et al. 2014)", "manualFormatting" : "(Chapin et al., 2014)", "plainTextFormattedCitation" : "(Chapin et al. 2014)", "previouslyFormattedCitation" : "(Chapin et al. 2014)" }, "properties" : { "noteIndex" : 0 }, "schema" : "https://github.com/citation-style-language/schema/raw/master/csl-citation.json" }</w:instrText>
      </w:r>
      <w:r w:rsidRPr="008608AA">
        <w:rPr>
          <w:rFonts w:eastAsia="Calibri"/>
        </w:rPr>
        <w:fldChar w:fldCharType="separate"/>
      </w:r>
      <w:r w:rsidRPr="008608AA">
        <w:rPr>
          <w:rFonts w:eastAsia="Calibri"/>
          <w:noProof/>
        </w:rPr>
        <w:t>(Chapin et al., 2014)</w:t>
      </w:r>
      <w:r w:rsidRPr="008608AA">
        <w:rPr>
          <w:rFonts w:eastAsia="Calibri"/>
        </w:rPr>
        <w:fldChar w:fldCharType="end"/>
      </w:r>
      <w:r w:rsidRPr="008608AA">
        <w:rPr>
          <w:rFonts w:eastAsia="Calibri"/>
        </w:rPr>
        <w:t xml:space="preserve">. Annual precipitation is projected to increase about 15% to 30% by late this century if global emissions continue to increase </w:t>
      </w:r>
      <w:r w:rsidRPr="008608AA">
        <w:rPr>
          <w:rFonts w:eastAsia="Calibri"/>
        </w:rPr>
        <w:fldChar w:fldCharType="begin" w:fldLock="1"/>
      </w:r>
      <w:r w:rsidRPr="008608AA">
        <w:rPr>
          <w:rFonts w:eastAsia="Calibri"/>
        </w:rPr>
        <w:instrText>ADDIN CSL_CITATION { "citationItems" : [ { "id" : "ITEM-1", "itemData" : { "DOI" : "10.7930/J00Z7150.On", "author" : [ { "dropping-particle" : "", "family" : "Chapin", "given" : "F.S. III", "non-dropping-particle" : "", "parse-names" : false, "suffix" : "" }, { "dropping-particle" : "", "family" : "Trainor", "given" : "S.F.", "non-dropping-particle" : "", "parse-names" : false, "suffix" : "" }, { "dropping-particle" : "", "family" : "Cochran", "given" : "P.", "non-dropping-particle" : "", "parse-names" : false, "suffix" : "" }, { "dropping-particle" : "", "family" : "Huntington", "given" : "H.", "non-dropping-particle" : "", "parse-names" : false, "suffix" : "" }, { "dropping-particle" : "", "family" : "Markon", "given" : "C.", "non-dropping-particle" : "", "parse-names" : false, "suffix" : "" }, { "dropping-particle" : "", "family" : "McCammon", "given" : "M.", "non-dropping-particle" : "", "parse-names" : false, "suffix" : "" }, { "dropping-particle" : "", "family" : "McGuire", "given" : "A.D.", "non-dropping-particle" : "", "parse-names" : false, "suffix" : "" }, { "dropping-particle" : "", "family" : "Serreze", "given" : "M.", "non-dropping-particle" : "", "parse-names" : false, "suffix" : "" } ], "container-title" : "Climate Change Impacts in the United States: The Third National Climate Assessment", "id" : "ITEM-1", "issued" : { "date-parts" : [ [ "2014" ] ] }, "page" : "514-536", "title" : "Ch. 22: Alaska", "type" : "article-journal" }, "uris" : [ "http://www.mendeley.com/documents/?uuid=43932a88-d5cb-436a-8aa1-05985b81c484" ] } ], "mendeley" : { "formattedCitation" : "(Chapin et al. 2014)", "manualFormatting" : "(Chapin et al., 2014)", "plainTextFormattedCitation" : "(Chapin et al. 2014)", "previouslyFormattedCitation" : "(Chapin et al. 2014)" }, "properties" : { "noteIndex" : 0 }, "schema" : "https://github.com/citation-style-language/schema/raw/master/csl-citation.json" }</w:instrText>
      </w:r>
      <w:r w:rsidRPr="008608AA">
        <w:rPr>
          <w:rFonts w:eastAsia="Calibri"/>
        </w:rPr>
        <w:fldChar w:fldCharType="separate"/>
      </w:r>
      <w:r w:rsidRPr="008608AA">
        <w:rPr>
          <w:rFonts w:eastAsia="Calibri"/>
          <w:noProof/>
        </w:rPr>
        <w:t>(Chapin et al., 2014)</w:t>
      </w:r>
      <w:r w:rsidRPr="008608AA">
        <w:rPr>
          <w:rFonts w:eastAsia="Calibri"/>
        </w:rPr>
        <w:fldChar w:fldCharType="end"/>
      </w:r>
      <w:r w:rsidRPr="008608AA">
        <w:rPr>
          <w:rFonts w:eastAsia="Calibri"/>
        </w:rPr>
        <w:t>. However, increases in evaporation due to higher air temperatures and longer growing seasons are expected to reduce water availability.</w:t>
      </w:r>
    </w:p>
    <w:p w14:paraId="004DD04F" w14:textId="03713026" w:rsidR="001E61A6" w:rsidRPr="008608AA" w:rsidRDefault="001E61A6" w:rsidP="00A345FC">
      <w:pPr>
        <w:spacing w:before="120"/>
        <w:rPr>
          <w:rFonts w:eastAsia="Calibri"/>
        </w:rPr>
      </w:pPr>
      <w:r w:rsidRPr="008608AA">
        <w:rPr>
          <w:rFonts w:eastAsia="Calibri"/>
        </w:rPr>
        <w:t>The changes in climate are projected to increase the area occupied by shrub tundra in northern Alaska by 2</w:t>
      </w:r>
      <w:r w:rsidR="00633B22" w:rsidRPr="008608AA">
        <w:rPr>
          <w:rFonts w:eastAsia="Calibri"/>
        </w:rPr>
        <w:t>%</w:t>
      </w:r>
      <w:r w:rsidRPr="008608AA">
        <w:rPr>
          <w:rFonts w:eastAsia="Calibri"/>
        </w:rPr>
        <w:t xml:space="preserve"> to 21% by the end of this century, largely at the expense of graminoid tundra, which is projected to decrease by 8</w:t>
      </w:r>
      <w:r w:rsidR="00633B22" w:rsidRPr="008608AA">
        <w:rPr>
          <w:rFonts w:eastAsia="Calibri"/>
        </w:rPr>
        <w:t>%</w:t>
      </w:r>
      <w:r w:rsidRPr="008608AA">
        <w:rPr>
          <w:rFonts w:eastAsia="Calibri"/>
        </w:rPr>
        <w:t xml:space="preserve"> to 24% </w:t>
      </w:r>
      <w:r w:rsidRPr="008608AA">
        <w:rPr>
          <w:rFonts w:eastAsia="Calibri"/>
        </w:rPr>
        <w:fldChar w:fldCharType="begin" w:fldLock="1"/>
      </w:r>
      <w:r w:rsidRPr="008608AA">
        <w:rPr>
          <w:rFonts w:eastAsia="Calibri"/>
        </w:rPr>
        <w:instrText>ADDIN CSL_CITATION { "citationItems" : [ { "id" : "ITEM-1", "itemData" : { "author" : [ { "dropping-particle" : "", "family" : "Rupp", "given" : "T. Scott", "non-dropping-particle" : "", "parse-names" : false, "suffix" : "" }, { "dropping-particle" : "", "family" : "Duffy", "given" : "Paul", "non-dropping-particle" : "", "parse-names" : false, "suffix" : "" }, { "dropping-particle" : "", "family" : "Leonawicz", "given" : "Matthew", "non-dropping-particle" : "", "parse-names" : false, "suffix" : "" }, { "dropping-particle" : "", "family" : "Lindgren", "given" : "Michael", "non-dropping-particle" : "", "parse-names" : false, "suffix" : "" }, { "dropping-particle" : "", "family" : "Breen", "given" : "Amy", "non-dropping-particle" : "", "parse-names" : false, "suffix" : "" }, { "dropping-particle" : "", "family" : "Kurkowski", "given" : "Tom", "non-dropping-particle" : "", "parse-names" : false, "suffix" : "" }, { "dropping-particle" : "", "family" : "Floyd", "given" : "Angelica", "non-dropping-particle" : "", "parse-names" : false, "suffix" : "" }, { "dropping-particle" : "", "family" : "Bennett", "given" : "Alec", "non-dropping-particle" : "", "parse-names" : false, "suffix" : "" }, { "dropping-particle" : "", "family" : "Krutikov", "given" : "Lena", "non-dropping-particle" : "", "parse-names" : false, "suffix" : "" } ], "container-title" : "Baseline and projected future carbon storage and greenhouse-gas fluxes in ecosystems of Alaska.", "editor" : [ { "dropping-particle" : "", "family" : "Zhu", "given" : "Z.", "non-dropping-particle" : "", "parse-names" : false, "suffix" : "" }, { "dropping-particle" : "", "family" : "McGuire", "given" : "A.D.", "non-dropping-particle" : "", "parse-names" : false, "suffix" : "" } ], "id" : "ITEM-1", "issued" : { "date-parts" : [ [ "2016" ] ] }, "page" : "17-52", "title" : "Chapter 2 . Climate Simulations, Land Cover, and Wildfire", "type" : "chapter" }, "uris" : [ "http://www.mendeley.com/documents/?uuid=96b2a169-322c-46d0-832d-9cfbda5a1503" ] } ], "mendeley" : { "formattedCitation" : "(Rupp et al. 2016)", "manualFormatting" : "(Rupp et al., 2016)", "plainTextFormattedCitation" : "(Rupp et al. 2016)", "previouslyFormattedCitation" : "(Rupp et al. 2016)" }, "properties" : { "noteIndex" : 0 }, "schema" : "https://github.com/citation-style-language/schema/raw/master/csl-citation.json" }</w:instrText>
      </w:r>
      <w:r w:rsidRPr="008608AA">
        <w:rPr>
          <w:rFonts w:eastAsia="Calibri"/>
        </w:rPr>
        <w:fldChar w:fldCharType="separate"/>
      </w:r>
      <w:r w:rsidRPr="008608AA">
        <w:rPr>
          <w:rFonts w:eastAsia="Calibri"/>
          <w:noProof/>
        </w:rPr>
        <w:t>(Rupp et al., 2016)</w:t>
      </w:r>
      <w:r w:rsidRPr="008608AA">
        <w:rPr>
          <w:rFonts w:eastAsia="Calibri"/>
        </w:rPr>
        <w:fldChar w:fldCharType="end"/>
      </w:r>
      <w:r w:rsidRPr="008608AA">
        <w:rPr>
          <w:rFonts w:eastAsia="Calibri"/>
        </w:rPr>
        <w:t>. Treeline is projected to move slightly northward in some climate scenarios (see Chapter 3 for more details). Climate change is also expected to have significant consequences for the</w:t>
      </w:r>
      <w:r w:rsidR="00633B22" w:rsidRPr="008608AA">
        <w:rPr>
          <w:rFonts w:eastAsia="Calibri"/>
        </w:rPr>
        <w:t xml:space="preserve"> distribution and diversity of A</w:t>
      </w:r>
      <w:r w:rsidRPr="008608AA">
        <w:rPr>
          <w:rFonts w:eastAsia="Calibri"/>
        </w:rPr>
        <w:t xml:space="preserve">lpine tundra ecosystems in mountain ranges of North America, as tundra ecosystems may shift to higher elevations and lose biodiversity </w:t>
      </w:r>
      <w:r w:rsidRPr="008608AA">
        <w:rPr>
          <w:rFonts w:eastAsia="Calibri"/>
        </w:rPr>
        <w:fldChar w:fldCharType="begin" w:fldLock="1"/>
      </w:r>
      <w:r w:rsidRPr="008608AA">
        <w:rPr>
          <w:rFonts w:eastAsia="Calibri"/>
        </w:rPr>
        <w:instrText>ADDIN CSL_CITATION { "citationItems" : [ { "id" : "ITEM-1", "itemData" : { "DOI" : "10.1657/1938-4246-46.2.327", "ISBN" : "1938424646", "ISSN" : "1523-0430", "abstract" : "Abstract Climate-based models predict global warming will cause mountain plants to migrate upward with local extirpation of species currently restricted to the highest elevations. Alpine monitoring studies have generally documented changes in alpine plant distributions consistent with these predictions; however, relatively few such studies have been reported from North America. I estimated canopy cover in 71 permanent microplots at two alpine moist-turf sites in Glacier National Park, Montana, U.S.A., three times between 1988 and 2011. Mean annual and summer temperatures were approximately 0.6 and 0.7 \u00b0C higher than the previous four decades, respectively. Plants more restricted to high elevations declined more than species with a broader elevational amplitude during this time. Dicots were more likely to have declined than monocots. These data support predictions and provide information that may help refine climate-envelope models.", "author" : [ { "dropping-particle" : "", "family" : "Lesica", "given" : "Peter", "non-dropping-particle" : "", "parse-names" : false, "suffix" : "" } ], "container-title" : "Arctic, Antarctic, and Alpine Research", "id" : "ITEM-1", "issue" : "2", "issued" : { "date-parts" : [ [ "2014" ] ] }, "page" : "327-332", "title" : "Arctic-Alpine Plants Decline over Two Decades in Glacier National Park, Montana, U.S.A.", "type" : "article-journal", "volume" : "46" }, "uris" : [ "http://www.mendeley.com/documents/?uuid=1ff66763-a00c-4e89-9c8a-dba8b57a4f9d" ] } ], "mendeley" : { "formattedCitation" : "(Lesica 2014)", "plainTextFormattedCitation" : "(Lesica 2014)", "previouslyFormattedCitation" : "(Lesica 2014)" }, "properties" : { "noteIndex" : 0 }, "schema" : "https://github.com/citation-style-language/schema/raw/master/csl-citation.json" }</w:instrText>
      </w:r>
      <w:r w:rsidRPr="008608AA">
        <w:rPr>
          <w:rFonts w:eastAsia="Calibri"/>
        </w:rPr>
        <w:fldChar w:fldCharType="separate"/>
      </w:r>
      <w:r w:rsidRPr="008608AA">
        <w:rPr>
          <w:rFonts w:eastAsia="Calibri"/>
          <w:noProof/>
        </w:rPr>
        <w:t>(Lesica</w:t>
      </w:r>
      <w:r w:rsidR="009975BA" w:rsidRPr="008608AA">
        <w:rPr>
          <w:rFonts w:eastAsia="Calibri"/>
          <w:noProof/>
        </w:rPr>
        <w:t>,</w:t>
      </w:r>
      <w:r w:rsidRPr="008608AA">
        <w:rPr>
          <w:rFonts w:eastAsia="Calibri"/>
          <w:noProof/>
        </w:rPr>
        <w:t xml:space="preserve"> 2014)</w:t>
      </w:r>
      <w:r w:rsidRPr="008608AA">
        <w:rPr>
          <w:rFonts w:eastAsia="Calibri"/>
        </w:rPr>
        <w:fldChar w:fldCharType="end"/>
      </w:r>
      <w:r w:rsidRPr="008608AA">
        <w:rPr>
          <w:rFonts w:eastAsia="Calibri"/>
        </w:rPr>
        <w:t>.</w:t>
      </w:r>
    </w:p>
    <w:p w14:paraId="443D13F5" w14:textId="3D7B209F" w:rsidR="001E61A6" w:rsidRPr="008608AA" w:rsidRDefault="001E61A6" w:rsidP="00A345FC">
      <w:pPr>
        <w:spacing w:before="120"/>
        <w:rPr>
          <w:rFonts w:eastAsia="Calibri"/>
        </w:rPr>
      </w:pPr>
      <w:r w:rsidRPr="008608AA">
        <w:rPr>
          <w:rFonts w:eastAsia="Calibri"/>
        </w:rPr>
        <w:t>Notably, the acceleration in ice sheet loss over the last 18 years was 21.9 ± 1 Gt/yr</w:t>
      </w:r>
      <w:r w:rsidRPr="008608AA">
        <w:rPr>
          <w:rFonts w:eastAsia="Calibri"/>
          <w:vertAlign w:val="superscript"/>
        </w:rPr>
        <w:t>2</w:t>
      </w:r>
      <w:r w:rsidRPr="008608AA">
        <w:rPr>
          <w:rFonts w:eastAsia="Calibri"/>
        </w:rPr>
        <w:t xml:space="preserve"> for Greenland (Rignot et al</w:t>
      </w:r>
      <w:r w:rsidR="009975BA" w:rsidRPr="008608AA">
        <w:rPr>
          <w:rFonts w:eastAsia="Calibri"/>
        </w:rPr>
        <w:t>.</w:t>
      </w:r>
      <w:r w:rsidRPr="008608AA">
        <w:rPr>
          <w:rFonts w:eastAsia="Calibri"/>
        </w:rPr>
        <w:t>, 2011).  In July 2</w:t>
      </w:r>
      <w:r w:rsidR="00633B22" w:rsidRPr="008608AA">
        <w:rPr>
          <w:rFonts w:eastAsia="Calibri"/>
        </w:rPr>
        <w:t>012, over 97% of the Greenland ice s</w:t>
      </w:r>
      <w:r w:rsidRPr="008608AA">
        <w:rPr>
          <w:rFonts w:eastAsia="Calibri"/>
        </w:rPr>
        <w:t>heet experienced surface melt, the first widespread melt during the era of satellite remote sensing. Since Arctic temperatures are expected to rise with climate change, the authors’ results suggest that widesprea</w:t>
      </w:r>
      <w:r w:rsidR="00633B22" w:rsidRPr="008608AA">
        <w:rPr>
          <w:rFonts w:eastAsia="Calibri"/>
        </w:rPr>
        <w:t>d melt events on the Greenland ice s</w:t>
      </w:r>
      <w:r w:rsidRPr="008608AA">
        <w:rPr>
          <w:rFonts w:eastAsia="Calibri"/>
        </w:rPr>
        <w:t xml:space="preserve">heet may begin to occur almost annually by the end of century (Keegana et al., 2014). Lenton (2011) </w:t>
      </w:r>
      <w:r w:rsidRPr="008608AA">
        <w:rPr>
          <w:rFonts w:eastAsia="Calibri"/>
          <w:bCs/>
        </w:rPr>
        <w:t xml:space="preserve">included the irreversible melt of the Greenland ice sheet as one of </w:t>
      </w:r>
      <w:r w:rsidRPr="008608AA">
        <w:rPr>
          <w:rFonts w:eastAsia="Calibri"/>
        </w:rPr>
        <w:t>the eight candidates of human-induced climate change tipping points</w:t>
      </w:r>
      <w:r w:rsidRPr="008608AA">
        <w:rPr>
          <w:rFonts w:eastAsia="Calibri"/>
          <w:bCs/>
        </w:rPr>
        <w:t xml:space="preserve">. Biodiversity and ecosystem services of Greenland are highly vulnerable to anthropogenic climate change (Larsen et al., 2014). </w:t>
      </w:r>
    </w:p>
    <w:p w14:paraId="76336CC1" w14:textId="37EBE8E1" w:rsidR="001E61A6" w:rsidRPr="008608AA" w:rsidRDefault="001E61A6" w:rsidP="00A345FC">
      <w:pPr>
        <w:spacing w:before="120"/>
        <w:rPr>
          <w:rFonts w:eastAsia="Calibri"/>
        </w:rPr>
      </w:pPr>
      <w:r w:rsidRPr="008608AA">
        <w:rPr>
          <w:rFonts w:eastAsia="Calibri"/>
        </w:rPr>
        <w:t xml:space="preserve">Boreal </w:t>
      </w:r>
      <w:r w:rsidR="00AE3491" w:rsidRPr="008608AA">
        <w:rPr>
          <w:rFonts w:eastAsia="Calibri"/>
        </w:rPr>
        <w:t>forests and temperate forests: w</w:t>
      </w:r>
      <w:r w:rsidRPr="008608AA">
        <w:rPr>
          <w:rFonts w:eastAsia="Calibri"/>
        </w:rPr>
        <w:t xml:space="preserve">arming in the boreal forest area of Alaska has occurred throughout the 20th century, with mean annual temperatures increasing between 0.5 and 3.0 ºC in regions south of 60 ºN </w:t>
      </w:r>
      <w:r w:rsidRPr="008608AA">
        <w:rPr>
          <w:rFonts w:eastAsia="Calibri"/>
        </w:rPr>
        <w:fldChar w:fldCharType="begin" w:fldLock="1"/>
      </w:r>
      <w:r w:rsidRPr="008608AA">
        <w:rPr>
          <w:rFonts w:eastAsia="Calibri"/>
        </w:rPr>
        <w:instrText>ADDIN CSL_CITATION { "citationItems" : [ { "id" : "ITEM-1", "itemData" : { "DOI" : "10.1139/er-2013-0042", "ISBN" : "1181-8700\\r1208-6053", "ISSN" : "1208-6053", "abstract" : "Canadian boreal woodlands and forests cover approximately 3.09 \u00d7 106 km2, located within a larger boreal zone characterized by cool summers and long cold winters. Warming since the 1850s, increases in annual mean temperature of at least 2 \u00b0C between 2000 and 2050 are highly probable. Annual mean temperatures across the Canadian boreal zone could be 4\u20135 \u00b0C warmer than today\u2019s by 2100. All aspects of boreal forest ecosystem function are likely to be affected. Further, several potential \u201ctipping elements\u201d \u2014 where exposure to increasing changes in climate may trigger distinct shifts in ecosystem state \u2014 can be identified across the Canadian boreal zone. Approximately 40% of the forested area is underlain by permafrost, some of which is already degrading irreversibly, triggering a process of forest decline and re-establishment lasting several decades, while also releasing significant quantities of greenhouse gases that will amplify the future global warming trend. Warmer temperatures coupled with significant changes in the distribution and timing of annual precipitation are likely to cause serious tree-killing droughts in the west; east of the Great Lakes, however, where precipitation is generally nonlimiting, warming coupled with increasing atmospheric carbon dioxide may stimulate higher forest productivity. Large wildfires, which can cause serious economic losses, are expected to become more frequent, but increases in mean annual area burned will be relatively gradual. The most immediate threats could come from endemic forest insect pests that have the potential for population outbreaks in response to relatively small temperature increases. Quantifying the multiple effects of climate change will be challenging, particularly because there are great uncertainties attached to possible interactions among them, as well as with other land-use pressures. Considerable ingenuity will be needed from forest managers and scientists to address the formidable challenges posed by climate change to boreal ecosystems and develop effective strategies to adapt sustainable forest management practices to the impending changes.", "author" : [ { "dropping-particle" : "", "family" : "Price", "given" : "David T", "non-dropping-particle" : "", "parse-names" : false, "suffix" : "" }, { "dropping-particle" : "", "family" : "Alfaro", "given" : "R I", "non-dropping-particle" : "", "parse-names" : false, "suffix" : "" }, { "dropping-particle" : "", "family" : "Brown", "given" : "K J", "non-dropping-particle" : "", "parse-names" : false, "suffix" : "" }, { "dropping-particle" : "", "family" : "Flannigan", "given" : "M D", "non-dropping-particle" : "", "parse-names" : false, "suffix" : "" }, { "dropping-particle" : "", "family" : "Fleming", "given" : "R A", "non-dropping-particle" : "", "parse-names" : false, "suffix" : "" }, { "dropping-particle" : "", "family" : "Hogg", "given" : "E H", "non-dropping-particle" : "", "parse-names" : false, "suffix" : "" }, { "dropping-particle" : "", "family" : "Girardin", "given" : "M P", "non-dropping-particle" : "", "parse-names" : false, "suffix" : "" }, { "dropping-particle" : "", "family" : "Lakusta", "given" : "T", "non-dropping-particle" : "", "parse-names" : false, "suffix" : "" }, { "dropping-particle" : "", "family" : "Johnston", "given" : "M", "non-dropping-particle" : "", "parse-names" : false, "suffix" : "" }, { "dropping-particle" : "", "family" : "Mckenney", "given" : "D W", "non-dropping-particle" : "", "parse-names" : false, "suffix" : "" }, { "dropping-particle" : "", "family" : "Pedlar", "given" : "J H", "non-dropping-particle" : "", "parse-names" : false, "suffix" : "" }, { "dropping-particle" : "", "family" : "Stratton", "given" : "T", "non-dropping-particle" : "", "parse-names" : false, "suffix" : "" }, { "dropping-particle" : "", "family" : "Sturrock", "given" : "R N", "non-dropping-particle" : "", "parse-names" : false, "suffix" : "" }, { "dropping-particle" : "", "family" : "Thompson", "given" : "I D", "non-dropping-particle" : "", "parse-names" : false, "suffix" : "" }, { "dropping-particle" : "", "family" : "Trofymow", "given" : "J A", "non-dropping-particle" : "", "parse-names" : false, "suffix" : "" }, { "dropping-particle" : "", "family" : "Venier", "given" : "L A", "non-dropping-particle" : "", "parse-names" : false, "suffix" : "" } ], "container-title" : "Environmental Reviews", "id" : "ITEM-1", "issue" : "4", "issued" : { "date-parts" : [ [ "2013" ] ] }, "page" : "322-365", "title" : "Anticipating the consequences of climate change for Canada\u2019s boreal forest ecosystems", "type" : "article-journal", "volume" : "365" }, "uris" : [ "http://www.mendeley.com/documents/?uuid=791eeb9b-7f31-479c-8360-36fe1782b277" ] } ], "mendeley" : { "formattedCitation" : "(Price et al. 2013)", "manualFormatting" : "(Price et al., 2013)", "plainTextFormattedCitation" : "(Price et al. 2013)", "previouslyFormattedCitation" : "(Price et al. 2013)" }, "properties" : { "noteIndex" : 0 }, "schema" : "https://github.com/citation-style-language/schema/raw/master/csl-citation.json" }</w:instrText>
      </w:r>
      <w:r w:rsidRPr="008608AA">
        <w:rPr>
          <w:rFonts w:eastAsia="Calibri"/>
        </w:rPr>
        <w:fldChar w:fldCharType="separate"/>
      </w:r>
      <w:r w:rsidRPr="008608AA">
        <w:rPr>
          <w:rFonts w:eastAsia="Calibri"/>
          <w:noProof/>
        </w:rPr>
        <w:t>(Price et al., 2013)</w:t>
      </w:r>
      <w:r w:rsidRPr="008608AA">
        <w:rPr>
          <w:rFonts w:eastAsia="Calibri"/>
        </w:rPr>
        <w:fldChar w:fldCharType="end"/>
      </w:r>
      <w:r w:rsidRPr="008608AA">
        <w:rPr>
          <w:rFonts w:eastAsia="Calibri"/>
        </w:rPr>
        <w:t xml:space="preserve">. Since 1900, annual precipitation amounts </w:t>
      </w:r>
      <w:r w:rsidR="00633B22" w:rsidRPr="008608AA">
        <w:rPr>
          <w:rFonts w:eastAsia="Calibri"/>
        </w:rPr>
        <w:t xml:space="preserve">appear to have increased by 10% to </w:t>
      </w:r>
      <w:r w:rsidRPr="008608AA">
        <w:rPr>
          <w:rFonts w:eastAsia="Calibri"/>
        </w:rPr>
        <w:t xml:space="preserve">20% throughout much of the boreal zone of Canada, although drought conditions have existed in western Canada since 1995 </w:t>
      </w:r>
      <w:r w:rsidRPr="008608AA">
        <w:rPr>
          <w:rFonts w:eastAsia="Calibri"/>
        </w:rPr>
        <w:fldChar w:fldCharType="begin" w:fldLock="1"/>
      </w:r>
      <w:r w:rsidRPr="008608AA">
        <w:rPr>
          <w:rFonts w:eastAsia="Calibri"/>
        </w:rPr>
        <w:instrText>ADDIN CSL_CITATION { "citationItems" : [ { "id" : "ITEM-1", "itemData" : { "DOI" : "10.1139/er-2013-0042", "ISBN" : "1181-8700\\r1208-6053", "ISSN" : "1208-6053", "abstract" : "Canadian boreal woodlands and forests cover approximately 3.09 \u00d7 106 km2, located within a larger boreal zone characterized by cool summers and long cold winters. Warming since the 1850s, increases in annual mean temperature of at least 2 \u00b0C between 2000 and 2050 are highly probable. Annual mean temperatures across the Canadian boreal zone could be 4\u20135 \u00b0C warmer than today\u2019s by 2100. All aspects of boreal forest ecosystem function are likely to be affected. Further, several potential \u201ctipping elements\u201d \u2014 where exposure to increasing changes in climate may trigger distinct shifts in ecosystem state \u2014 can be identified across the Canadian boreal zone. Approximately 40% of the forested area is underlain by permafrost, some of which is already degrading irreversibly, triggering a process of forest decline and re-establishment lasting several decades, while also releasing significant quantities of greenhouse gases that will amplify the future global warming trend. Warmer temperatures coupled with significant changes in the distribution and timing of annual precipitation are likely to cause serious tree-killing droughts in the west; east of the Great Lakes, however, where precipitation is generally nonlimiting, warming coupled with increasing atmospheric carbon dioxide may stimulate higher forest productivity. Large wildfires, which can cause serious economic losses, are expected to become more frequent, but increases in mean annual area burned will be relatively gradual. The most immediate threats could come from endemic forest insect pests that have the potential for population outbreaks in response to relatively small temperature increases. Quantifying the multiple effects of climate change will be challenging, particularly because there are great uncertainties attached to possible interactions among them, as well as with other land-use pressures. Considerable ingenuity will be needed from forest managers and scientists to address the formidable challenges posed by climate change to boreal ecosystems and develop effective strategies to adapt sustainable forest management practices to the impending changes.", "author" : [ { "dropping-particle" : "", "family" : "Price", "given" : "David T", "non-dropping-particle" : "", "parse-names" : false, "suffix" : "" }, { "dropping-particle" : "", "family" : "Alfaro", "given" : "R I", "non-dropping-particle" : "", "parse-names" : false, "suffix" : "" }, { "dropping-particle" : "", "family" : "Brown", "given" : "K J", "non-dropping-particle" : "", "parse-names" : false, "suffix" : "" }, { "dropping-particle" : "", "family" : "Flannigan", "given" : "M D", "non-dropping-particle" : "", "parse-names" : false, "suffix" : "" }, { "dropping-particle" : "", "family" : "Fleming", "given" : "R A", "non-dropping-particle" : "", "parse-names" : false, "suffix" : "" }, { "dropping-particle" : "", "family" : "Hogg", "given" : "E H", "non-dropping-particle" : "", "parse-names" : false, "suffix" : "" }, { "dropping-particle" : "", "family" : "Girardin", "given" : "M P", "non-dropping-particle" : "", "parse-names" : false, "suffix" : "" }, { "dropping-particle" : "", "family" : "Lakusta", "given" : "T", "non-dropping-particle" : "", "parse-names" : false, "suffix" : "" }, { "dropping-particle" : "", "family" : "Johnston", "given" : "M", "non-dropping-particle" : "", "parse-names" : false, "suffix" : "" }, { "dropping-particle" : "", "family" : "Mckenney", "given" : "D W", "non-dropping-particle" : "", "parse-names" : false, "suffix" : "" }, { "dropping-particle" : "", "family" : "Pedlar", "given" : "J H", "non-dropping-particle" : "", "parse-names" : false, "suffix" : "" }, { "dropping-particle" : "", "family" : "Stratton", "given" : "T", "non-dropping-particle" : "", "parse-names" : false, "suffix" : "" }, { "dropping-particle" : "", "family" : "Sturrock", "given" : "R N", "non-dropping-particle" : "", "parse-names" : false, "suffix" : "" }, { "dropping-particle" : "", "family" : "Thompson", "given" : "I D", "non-dropping-particle" : "", "parse-names" : false, "suffix" : "" }, { "dropping-particle" : "", "family" : "Trofymow", "given" : "J A", "non-dropping-particle" : "", "parse-names" : false, "suffix" : "" }, { "dropping-particle" : "", "family" : "Venier", "given" : "L A", "non-dropping-particle" : "", "parse-names" : false, "suffix" : "" } ], "container-title" : "Environmental Reviews", "id" : "ITEM-1", "issue" : "4", "issued" : { "date-parts" : [ [ "2013" ] ] }, "page" : "322-365", "title" : "Anticipating the consequences of climate change for Canada\u2019s boreal forest ecosystems", "type" : "article-journal", "volume" : "365" }, "uris" : [ "http://www.mendeley.com/documents/?uuid=791eeb9b-7f31-479c-8360-36fe1782b277" ] } ], "mendeley" : { "formattedCitation" : "(Price et al. 2013)", "manualFormatting" : "(Price et al., 2013)", "plainTextFormattedCitation" : "(Price et al. 2013)", "previouslyFormattedCitation" : "(Price et al. 2013)" }, "properties" : { "noteIndex" : 0 }, "schema" : "https://github.com/citation-style-language/schema/raw/master/csl-citation.json" }</w:instrText>
      </w:r>
      <w:r w:rsidRPr="008608AA">
        <w:rPr>
          <w:rFonts w:eastAsia="Calibri"/>
        </w:rPr>
        <w:fldChar w:fldCharType="separate"/>
      </w:r>
      <w:r w:rsidRPr="008608AA">
        <w:rPr>
          <w:rFonts w:eastAsia="Calibri"/>
          <w:noProof/>
        </w:rPr>
        <w:t>(Price et al., 2013)</w:t>
      </w:r>
      <w:r w:rsidRPr="008608AA">
        <w:rPr>
          <w:rFonts w:eastAsia="Calibri"/>
        </w:rPr>
        <w:fldChar w:fldCharType="end"/>
      </w:r>
      <w:r w:rsidRPr="008608AA">
        <w:rPr>
          <w:rFonts w:eastAsia="Calibri"/>
        </w:rPr>
        <w:t xml:space="preserve">. In the temperate zone of North America, warming has also been substantial (~0.9 ºC since 1895, </w:t>
      </w:r>
      <w:r w:rsidRPr="008608AA">
        <w:rPr>
          <w:rFonts w:eastAsia="Calibri"/>
        </w:rPr>
        <w:fldChar w:fldCharType="begin" w:fldLock="1"/>
      </w:r>
      <w:r w:rsidRPr="008608AA">
        <w:rPr>
          <w:rFonts w:eastAsia="Calibri"/>
        </w:rPr>
        <w:instrText>ADDIN CSL_CITATION { "citationItems" : [ { "id" : "ITEM-1", "itemData" : { "ISBN" : "9780160924026", "author" : [ { "dropping-particle" : "", "family" : "Melillo", "given" : "Jerry M.", "non-dropping-particle" : "", "parse-names" : false, "suffix" : "" }, { "dropping-particle" : "", "family" : "Richmond", "given" : "Terese (T.C.)", "non-dropping-particle" : "", "parse-names" : false, "suffix" : "" }, { "dropping-particle" : "", "family" : "Yohe", "given" : "Gary W.", "non-dropping-particle" : "", "parse-names" : false, "suffix" : "" } ], "id" : "ITEM-1", "issued" : { "date-parts" : [ [ "2014" ] ] }, "title" : "Climate Change Impacts in the United States Climate Change Impacts in the United States", "type" : "book" }, "uris" : [ "http://www.mendeley.com/documents/?uuid=5623f6f7-a743-4b7c-9bb9-9554b22b353c" ] } ], "mendeley" : { "formattedCitation" : "(Melillo et al. 2014)", "manualFormatting" : "Melillo et al., 2014)", "plainTextFormattedCitation" : "(Melillo et al. 2014)", "previouslyFormattedCitation" : "(Melillo et al. 2014)" }, "properties" : { "noteIndex" : 0 }, "schema" : "https://github.com/citation-style-language/schema/raw/master/csl-citation.json" }</w:instrText>
      </w:r>
      <w:r w:rsidRPr="008608AA">
        <w:rPr>
          <w:rFonts w:eastAsia="Calibri"/>
        </w:rPr>
        <w:fldChar w:fldCharType="separate"/>
      </w:r>
      <w:r w:rsidRPr="008608AA">
        <w:rPr>
          <w:rFonts w:eastAsia="Calibri"/>
          <w:noProof/>
        </w:rPr>
        <w:t>Melillo et al., 2014)</w:t>
      </w:r>
      <w:r w:rsidRPr="008608AA">
        <w:rPr>
          <w:rFonts w:eastAsia="Calibri"/>
        </w:rPr>
        <w:fldChar w:fldCharType="end"/>
      </w:r>
      <w:r w:rsidRPr="008608AA">
        <w:rPr>
          <w:rFonts w:eastAsia="Calibri"/>
        </w:rPr>
        <w:t>. In recent decades, moisture availability has decreased in the southeast and west, while the northeastern USA has experienced more extreme precipitation events (</w:t>
      </w:r>
      <w:r w:rsidRPr="008608AA">
        <w:rPr>
          <w:rFonts w:eastAsia="Calibri"/>
        </w:rPr>
        <w:fldChar w:fldCharType="begin" w:fldLock="1"/>
      </w:r>
      <w:r w:rsidRPr="008608AA">
        <w:rPr>
          <w:rFonts w:eastAsia="Calibri"/>
        </w:rPr>
        <w:instrText>ADDIN CSL_CITATION { "citationItems" : [ { "id" : "ITEM-1", "itemData" : { "ISBN" : "9780160924026", "author" : [ { "dropping-particle" : "", "family" : "Melillo", "given" : "Jerry M.", "non-dropping-particle" : "", "parse-names" : false, "suffix" : "" }, { "dropping-particle" : "", "family" : "Richmond", "given" : "Terese (T.C.)", "non-dropping-particle" : "", "parse-names" : false, "suffix" : "" }, { "dropping-particle" : "", "family" : "Yohe", "given" : "Gary W.", "non-dropping-particle" : "", "parse-names" : false, "suffix" : "" } ], "id" : "ITEM-1", "issued" : { "date-parts" : [ [ "2014" ] ] }, "title" : "Climate Change Impacts in the United States Climate Change Impacts in the United States", "type" : "book" }, "uris" : [ "http://www.mendeley.com/documents/?uuid=5623f6f7-a743-4b7c-9bb9-9554b22b353c" ] } ], "mendeley" : { "formattedCitation" : "(Melillo et al. 2014)", "manualFormatting" : "Melillo et al., 2014)", "plainTextFormattedCitation" : "(Melillo et al. 2014)", "previouslyFormattedCitation" : "(Melillo et al. 2014)" }, "properties" : { "noteIndex" : 0 }, "schema" : "https://github.com/citation-style-language/schema/raw/master/csl-citation.json" }</w:instrText>
      </w:r>
      <w:r w:rsidRPr="008608AA">
        <w:rPr>
          <w:rFonts w:eastAsia="Calibri"/>
        </w:rPr>
        <w:fldChar w:fldCharType="separate"/>
      </w:r>
      <w:r w:rsidRPr="008608AA">
        <w:rPr>
          <w:rFonts w:eastAsia="Calibri"/>
          <w:noProof/>
        </w:rPr>
        <w:t>Melillo et al., 2014)</w:t>
      </w:r>
      <w:r w:rsidRPr="008608AA">
        <w:rPr>
          <w:rFonts w:eastAsia="Calibri"/>
        </w:rPr>
        <w:fldChar w:fldCharType="end"/>
      </w:r>
      <w:r w:rsidRPr="008608AA">
        <w:rPr>
          <w:rFonts w:eastAsia="Calibri"/>
        </w:rPr>
        <w:t xml:space="preserve">. These changes in climate in recent decades have generally increased tree mortality of both boreal and temperate forests through fire, insect infestations, drought, and disease outbreaks </w:t>
      </w:r>
      <w:r w:rsidRPr="008608AA">
        <w:rPr>
          <w:rFonts w:eastAsia="Calibri"/>
        </w:rPr>
        <w:fldChar w:fldCharType="begin" w:fldLock="1"/>
      </w:r>
      <w:r w:rsidRPr="008608AA">
        <w:rPr>
          <w:rFonts w:eastAsia="Calibri"/>
        </w:rPr>
        <w:instrText>ADDIN CSL_CITATION { "citationItems" : [ { "id" : "ITEM-1", "itemData" : { "DOI" : "10.7930/J0Z60KZC.On", "author" : [ { "dropping-particle" : "", "family" : "Joyce", "given" : "Linda A", "non-dropping-particle" : "", "parse-names" : false, "suffix" : "" }, { "dropping-particle" : "", "family" : "Running", "given" : "DD", "non-dropping-particle" : "", "parse-names" : false, "suffix" : "" }, { "dropping-particle" : "", "family" : "Breshears", "given" : "VH", "non-dropping-particle" : "", "parse-names" : false, "suffix" : "" }, { "dropping-particle" : "", "family" : "Dale", "given" : "RW", "non-dropping-particle" : "", "parse-names" : false, "suffix" : "" }, { "dropping-particle" : "", "family" : "Malmsheimer", "given" : "Robert W", "non-dropping-particle" : "", "parse-names" : false, "suffix" : "" }, { "dropping-particle" : "", "family" : "Sampson", "given" : "B", "non-dropping-particle" : "", "parse-names" : false, "suffix" : "" }, { "dropping-particle" : "", "family" : "Sohngen", "given" : "B", "non-dropping-particle" : "", "parse-names" : false, "suffix" : "" }, { "dropping-particle" : "", "family" : "Woodall", "given" : "Christopher W", "non-dropping-particle" : "", "parse-names" : false, "suffix" : "" } ], "container-title" : "U.S. Global Change Research Program", "id" : "ITEM-1", "issued" : { "date-parts" : [ [ "2014" ] ] }, "page" : "175-194", "title" : "Forests: Climate change impacts in the United States", "type" : "article-journal" }, "uris" : [ "http://www.mendeley.com/documents/?uuid=35a55c7d-f638-439b-8289-d14fe33f0985" ] }, { "id" : "ITEM-2", "itemData" : { "DOI" : "10.1139/er-2013-0042", "ISBN" : "1181-8700\\r1208-6053", "ISSN" : "1208-6053", "abstract" : "Canadian boreal woodlands and forests cover approximately 3.09 \u00d7 106 km2, located within a larger boreal zone characterized by cool summers and long cold winters. Warming since the 1850s, increases in annual mean temperature of at least 2 \u00b0C between 2000 and 2050 are highly probable. Annual mean temperatures across the Canadian boreal zone could be 4\u20135 \u00b0C warmer than today\u2019s by 2100. All aspects of boreal forest ecosystem function are likely to be affected. Further, several potential \u201ctipping elements\u201d \u2014 where exposure to increasing changes in climate may trigger distinct shifts in ecosystem state \u2014 can be identified across the Canadian boreal zone. Approximately 40% of the forested area is underlain by permafrost, some of which is already degrading irreversibly, triggering a process of forest decline and re-establishment lasting several decades, while also releasing significant quantities of greenhouse gases that will amplify the future global warming trend. Warmer temperatures coupled with significant changes in the distribution and timing of annual precipitation are likely to cause serious tree-killing droughts in the west; east of the Great Lakes, however, where precipitation is generally nonlimiting, warming coupled with increasing atmospheric carbon dioxide may stimulate higher forest productivity. Large wildfires, which can cause serious economic losses, are expected to become more frequent, but increases in mean annual area burned will be relatively gradual. The most immediate threats could come from endemic forest insect pests that have the potential for population outbreaks in response to relatively small temperature increases. Quantifying the multiple effects of climate change will be challenging, particularly because there are great uncertainties attached to possible interactions among them, as well as with other land-use pressures. Considerable ingenuity will be needed from forest managers and scientists to address the formidable challenges posed by climate change to boreal ecosystems and develop effective strategies to adapt sustainable forest management practices to the impending changes.", "author" : [ { "dropping-particle" : "", "family" : "Price", "given" : "David T", "non-dropping-particle" : "", "parse-names" : false, "suffix" : "" }, { "dropping-particle" : "", "family" : "Alfaro", "given" : "R I", "non-dropping-particle" : "", "parse-names" : false, "suffix" : "" }, { "dropping-particle" : "", "family" : "Brown", "given" : "K J", "non-dropping-particle" : "", "parse-names" : false, "suffix" : "" }, { "dropping-particle" : "", "family" : "Flannigan", "given" : "M D", "non-dropping-particle" : "", "parse-names" : false, "suffix" : "" }, { "dropping-particle" : "", "family" : "Fleming", "given" : "R A", "non-dropping-particle" : "", "parse-names" : false, "suffix" : "" }, { "dropping-particle" : "", "family" : "Hogg", "given" : "E H", "non-dropping-particle" : "", "parse-names" : false, "suffix" : "" }, { "dropping-particle" : "", "family" : "Girardin", "given" : "M P", "non-dropping-particle" : "", "parse-names" : false, "suffix" : "" }, { "dropping-particle" : "", "family" : "Lakusta", "given" : "T", "non-dropping-particle" : "", "parse-names" : false, "suffix" : "" }, { "dropping-particle" : "", "family" : "Johnston", "given" : "M", "non-dropping-particle" : "", "parse-names" : false, "suffix" : "" }, { "dropping-particle" : "", "family" : "Mckenney", "given" : "D W", "non-dropping-particle" : "", "parse-names" : false, "suffix" : "" }, { "dropping-particle" : "", "family" : "Pedlar", "given" : "J H", "non-dropping-particle" : "", "parse-names" : false, "suffix" : "" }, { "dropping-particle" : "", "family" : "Stratton", "given" : "T", "non-dropping-particle" : "", "parse-names" : false, "suffix" : "" }, { "dropping-particle" : "", "family" : "Sturrock", "given" : "R N", "non-dropping-particle" : "", "parse-names" : false, "suffix" : "" }, { "dropping-particle" : "", "family" : "Thompson", "given" : "I D", "non-dropping-particle" : "", "parse-names" : false, "suffix" : "" }, { "dropping-particle" : "", "family" : "Trofymow", "given" : "J A", "non-dropping-particle" : "", "parse-names" : false, "suffix" : "" }, { "dropping-particle" : "", "family" : "Venier", "given" : "L A", "non-dropping-particle" : "", "parse-names" : false, "suffix" : "" } ], "container-title" : "Environmental Reviews", "id" : "ITEM-2", "issue" : "4", "issued" : { "date-parts" : [ [ "2013" ] ] }, "page" : "322-365", "title" : "Anticipating the consequences of climate change for Canada\u2019s boreal forest ecosystems", "type" : "article-journal", "volume" : "365" }, "uris" : [ "http://www.mendeley.com/documents/?uuid=791eeb9b-7f31-479c-8360-36fe1782b277" ] }, { "id" : "ITEM-3", "itemData" : { "DOI" : "10.7930/J00Z7150.On", "author" : [ { "dropping-particle" : "", "family" : "Chapin", "given" : "F.S. III", "non-dropping-particle" : "", "parse-names" : false, "suffix" : "" }, { "dropping-particle" : "", "family" : "Trainor", "given" : "S.F.", "non-dropping-particle" : "", "parse-names" : false, "suffix" : "" }, { "dropping-particle" : "", "family" : "Cochran", "given" : "P.", "non-dropping-particle" : "", "parse-names" : false, "suffix" : "" }, { "dropping-particle" : "", "family" : "Huntington", "given" : "H.", "non-dropping-particle" : "", "parse-names" : false, "suffix" : "" }, { "dropping-particle" : "", "family" : "Markon", "given" : "C.", "non-dropping-particle" : "", "parse-names" : false, "suffix" : "" }, { "dropping-particle" : "", "family" : "McCammon", "given" : "M.", "non-dropping-particle" : "", "parse-names" : false, "suffix" : "" }, { "dropping-particle" : "", "family" : "McGuire", "given" : "A.D.", "non-dropping-particle" : "", "parse-names" : false, "suffix" : "" }, { "dropping-particle" : "", "family" : "Serreze", "given" : "M.", "non-dropping-particle" : "", "parse-names" : false, "suffix" : "" } ], "container-title" : "Climate Change Impacts in the United States: The Third National Climate Assessment", "id" : "ITEM-3", "issued" : { "date-parts" : [ [ "2014" ] ] }, "page" : "514-536", "title" : "Ch. 22: Alaska", "type" : "article-journal" }, "uris" : [ "http://www.mendeley.com/documents/?uuid=43932a88-d5cb-436a-8aa1-05985b81c484" ] } ], "mendeley" : { "formattedCitation" : "(Price et al. 2013, Chapin et al. 2014, Joyce et al. 2014)", "manualFormatting" : "(Price et al., 2013, Chapin et al., 2014, Joyce et al., 2014)", "plainTextFormattedCitation" : "(Price et al. 2013, Chapin et al. 2014, Joyce et al. 2014)", "previouslyFormattedCitation" : "(Price et al. 2013, Chapin et al. 2014, Joyce et al. 2014)" }, "properties" : { "noteIndex" : 0 }, "schema" : "https://github.com/citation-style-language/schema/raw/master/csl-citation.json" }</w:instrText>
      </w:r>
      <w:r w:rsidRPr="008608AA">
        <w:rPr>
          <w:rFonts w:eastAsia="Calibri"/>
        </w:rPr>
        <w:fldChar w:fldCharType="separate"/>
      </w:r>
      <w:r w:rsidR="009975BA" w:rsidRPr="008608AA">
        <w:rPr>
          <w:rFonts w:eastAsia="Calibri"/>
          <w:noProof/>
        </w:rPr>
        <w:t>(Price et al., 2013; Chapin et al., 2014;</w:t>
      </w:r>
      <w:r w:rsidRPr="008608AA">
        <w:rPr>
          <w:rFonts w:eastAsia="Calibri"/>
          <w:noProof/>
        </w:rPr>
        <w:t xml:space="preserve"> Joyce et al., 2014)</w:t>
      </w:r>
      <w:r w:rsidRPr="008608AA">
        <w:rPr>
          <w:rFonts w:eastAsia="Calibri"/>
        </w:rPr>
        <w:fldChar w:fldCharType="end"/>
      </w:r>
      <w:r w:rsidRPr="008608AA">
        <w:rPr>
          <w:rFonts w:eastAsia="Calibri"/>
        </w:rPr>
        <w:t xml:space="preserve">. </w:t>
      </w:r>
    </w:p>
    <w:p w14:paraId="2DE00CAB" w14:textId="0B87EE78" w:rsidR="001E61A6" w:rsidRPr="008608AA" w:rsidRDefault="001E61A6" w:rsidP="00A345FC">
      <w:pPr>
        <w:spacing w:before="120"/>
        <w:rPr>
          <w:rFonts w:eastAsia="Calibri"/>
        </w:rPr>
      </w:pPr>
      <w:r w:rsidRPr="008608AA">
        <w:rPr>
          <w:rFonts w:eastAsia="Calibri"/>
        </w:rPr>
        <w:t xml:space="preserve">Annual mean temperatures across the Canadian and Alaska boreal zones are projected to be 4 to 5 ºC warmer by 2100 </w:t>
      </w:r>
      <w:r w:rsidRPr="008608AA">
        <w:rPr>
          <w:rFonts w:eastAsia="Calibri"/>
        </w:rPr>
        <w:fldChar w:fldCharType="begin" w:fldLock="1"/>
      </w:r>
      <w:r w:rsidRPr="008608AA">
        <w:rPr>
          <w:rFonts w:eastAsia="Calibri"/>
        </w:rPr>
        <w:instrText>ADDIN CSL_CITATION { "citationItems" : [ { "id" : "ITEM-1", "itemData" : { "DOI" : "10.1139/er-2013-0042", "ISBN" : "1181-8700\\r1208-6053", "ISSN" : "1208-6053", "abstract" : "Canadian boreal woodlands and forests cover approximately 3.09 \u00d7 106 km2, located within a larger boreal zone characterized by cool summers and long cold winters. Warming since the 1850s, increases in annual mean temperature of at least 2 \u00b0C between 2000 and 2050 are highly probable. Annual mean temperatures across the Canadian boreal zone could be 4\u20135 \u00b0C warmer than today\u2019s by 2100. All aspects of boreal forest ecosystem function are likely to be affected. Further, several potential \u201ctipping elements\u201d \u2014 where exposure to increasing changes in climate may trigger distinct shifts in ecosystem state \u2014 can be identified across the Canadian boreal zone. Approximately 40% of the forested area is underlain by permafrost, some of which is already degrading irreversibly, triggering a process of forest decline and re-establishment lasting several decades, while also releasing significant quantities of greenhouse gases that will amplify the future global warming trend. Warmer temperatures coupled with significant changes in the distribution and timing of annual precipitation are likely to cause serious tree-killing droughts in the west; east of the Great Lakes, however, where precipitation is generally nonlimiting, warming coupled with increasing atmospheric carbon dioxide may stimulate higher forest productivity. Large wildfires, which can cause serious economic losses, are expected to become more frequent, but increases in mean annual area burned will be relatively gradual. The most immediate threats could come from endemic forest insect pests that have the potential for population outbreaks in response to relatively small temperature increases. Quantifying the multiple effects of climate change will be challenging, particularly because there are great uncertainties attached to possible interactions among them, as well as with other land-use pressures. Considerable ingenuity will be needed from forest managers and scientists to address the formidable challenges posed by climate change to boreal ecosystems and develop effective strategies to adapt sustainable forest management practices to the impending changes.", "author" : [ { "dropping-particle" : "", "family" : "Price", "given" : "David T", "non-dropping-particle" : "", "parse-names" : false, "suffix" : "" }, { "dropping-particle" : "", "family" : "Alfaro", "given" : "R I", "non-dropping-particle" : "", "parse-names" : false, "suffix" : "" }, { "dropping-particle" : "", "family" : "Brown", "given" : "K J", "non-dropping-particle" : "", "parse-names" : false, "suffix" : "" }, { "dropping-particle" : "", "family" : "Flannigan", "given" : "M D", "non-dropping-particle" : "", "parse-names" : false, "suffix" : "" }, { "dropping-particle" : "", "family" : "Fleming", "given" : "R A", "non-dropping-particle" : "", "parse-names" : false, "suffix" : "" }, { "dropping-particle" : "", "family" : "Hogg", "given" : "E H", "non-dropping-particle" : "", "parse-names" : false, "suffix" : "" }, { "dropping-particle" : "", "family" : "Girardin", "given" : "M P", "non-dropping-particle" : "", "parse-names" : false, "suffix" : "" }, { "dropping-particle" : "", "family" : "Lakusta", "given" : "T", "non-dropping-particle" : "", "parse-names" : false, "suffix" : "" }, { "dropping-particle" : "", "family" : "Johnston", "given" : "M", "non-dropping-particle" : "", "parse-names" : false, "suffix" : "" }, { "dropping-particle" : "", "family" : "Mckenney", "given" : "D W", "non-dropping-particle" : "", "parse-names" : false, "suffix" : "" }, { "dropping-particle" : "", "family" : "Pedlar", "given" : "J H", "non-dropping-particle" : "", "parse-names" : false, "suffix" : "" }, { "dropping-particle" : "", "family" : "Stratton", "given" : "T", "non-dropping-particle" : "", "parse-names" : false, "suffix" : "" }, { "dropping-particle" : "", "family" : "Sturrock", "given" : "R N", "non-dropping-particle" : "", "parse-names" : false, "suffix" : "" }, { "dropping-particle" : "", "family" : "Thompson", "given" : "I D", "non-dropping-particle" : "", "parse-names" : false, "suffix" : "" }, { "dropping-particle" : "", "family" : "Trofymow", "given" : "J A", "non-dropping-particle" : "", "parse-names" : false, "suffix" : "" }, { "dropping-particle" : "", "family" : "Venier", "given" : "L A", "non-dropping-particle" : "", "parse-names" : false, "suffix" : "" } ], "container-title" : "Environmental Reviews", "id" : "ITEM-1", "issue" : "4", "issued" : { "date-parts" : [ [ "2013" ] ] }, "page" : "322-365", "title" : "Anticipating the consequences of climate change for Canada\u2019s boreal forest ecosystems", "type" : "article-journal", "volume" : "365" }, "uris" : [ "http://www.mendeley.com/documents/?uuid=791eeb9b-7f31-479c-8360-36fe1782b277" ] }, { "id" : "ITEM-2", "itemData" : { "DOI" : "10.7930/J00Z7150.On", "author" : [ { "dropping-particle" : "", "family" : "Chapin", "given" : "F.S. III", "non-dropping-particle" : "", "parse-names" : false, "suffix" : "" }, { "dropping-particle" : "", "family" : "Trainor", "given" : "S.F.", "non-dropping-particle" : "", "parse-names" : false, "suffix" : "" }, { "dropping-particle" : "", "family" : "Cochran", "given" : "P.", "non-dropping-particle" : "", "parse-names" : false, "suffix" : "" }, { "dropping-particle" : "", "family" : "Huntington", "given" : "H.", "non-dropping-particle" : "", "parse-names" : false, "suffix" : "" }, { "dropping-particle" : "", "family" : "Markon", "given" : "C.", "non-dropping-particle" : "", "parse-names" : false, "suffix" : "" }, { "dropping-particle" : "", "family" : "McCammon", "given" : "M.", "non-dropping-particle" : "", "parse-names" : false, "suffix" : "" }, { "dropping-particle" : "", "family" : "McGuire", "given" : "A.D.", "non-dropping-particle" : "", "parse-names" : false, "suffix" : "" }, { "dropping-particle" : "", "family" : "Serreze", "given" : "M.", "non-dropping-particle" : "", "parse-names" : false, "suffix" : "" } ], "container-title" : "Climate Change Impacts in the United States: The Third National Climate Assessment", "id" : "ITEM-2", "issued" : { "date-parts" : [ [ "2014" ] ] }, "page" : "514-536", "title" : "Ch. 22: Alaska", "type" : "article-journal" }, "uris" : [ "http://www.mendeley.com/documents/?uuid=43932a88-d5cb-436a-8aa1-05985b81c484" ] } ], "mendeley" : { "formattedCitation" : "(Price et al. 2013, Chapin et al. 2014)", "manualFormatting" : "(Price et al., 2013, Chapin et al., 2014)", "plainTextFormattedCitation" : "(Price et al. 2013, Chapin et al. 2014)", "previouslyFormattedCitation" : "(Price et al. 2013, Chapin et al. 2014)" }, "properties" : { "noteIndex" : 0 }, "schema" : "https://github.com/citation-style-language/schema/raw/master/csl-citation.json" }</w:instrText>
      </w:r>
      <w:r w:rsidRPr="008608AA">
        <w:rPr>
          <w:rFonts w:eastAsia="Calibri"/>
        </w:rPr>
        <w:fldChar w:fldCharType="separate"/>
      </w:r>
      <w:r w:rsidR="009975BA" w:rsidRPr="008608AA">
        <w:rPr>
          <w:rFonts w:eastAsia="Calibri"/>
          <w:noProof/>
        </w:rPr>
        <w:t>(Price et al., 2013;</w:t>
      </w:r>
      <w:r w:rsidRPr="008608AA">
        <w:rPr>
          <w:rFonts w:eastAsia="Calibri"/>
          <w:noProof/>
        </w:rPr>
        <w:t xml:space="preserve"> Chapin et al., 2014)</w:t>
      </w:r>
      <w:r w:rsidRPr="008608AA">
        <w:rPr>
          <w:rFonts w:eastAsia="Calibri"/>
        </w:rPr>
        <w:fldChar w:fldCharType="end"/>
      </w:r>
      <w:r w:rsidRPr="008608AA">
        <w:rPr>
          <w:rFonts w:eastAsia="Calibri"/>
        </w:rPr>
        <w:t xml:space="preserve">. Although annual precipitation is projected to increase in Canada and Alaska, increases in evaporation due to higher air temperatures and longer growing seasons are expected to reduce water availability to these forests. In the temperate zone, another 1 to 2 ºC warming is expected by 2100, with continued reduced water availability in the southeast and western USA </w:t>
      </w:r>
      <w:r w:rsidRPr="008608AA">
        <w:rPr>
          <w:rFonts w:eastAsia="Calibri"/>
        </w:rPr>
        <w:fldChar w:fldCharType="begin" w:fldLock="1"/>
      </w:r>
      <w:r w:rsidRPr="008608AA">
        <w:rPr>
          <w:rFonts w:eastAsia="Calibri"/>
        </w:rPr>
        <w:instrText>ADDIN CSL_CITATION { "citationItems" : [ { "id" : "ITEM-1", "itemData" : { "ISBN" : "9780160924026", "author" : [ { "dropping-particle" : "", "family" : "Melillo", "given" : "Jerry M.", "non-dropping-particle" : "", "parse-names" : false, "suffix" : "" }, { "dropping-particle" : "", "family" : "Richmond", "given" : "Terese (T.C.)", "non-dropping-particle" : "", "parse-names" : false, "suffix" : "" }, { "dropping-particle" : "", "family" : "Yohe", "given" : "Gary W.", "non-dropping-particle" : "", "parse-names" : false, "suffix" : "" } ], "id" : "ITEM-1", "issued" : { "date-parts" : [ [ "2014" ] ] }, "title" : "Climate Change Impacts in the United States Climate Change Impacts in the United States", "type" : "book" }, "uris" : [ "http://www.mendeley.com/documents/?uuid=5623f6f7-a743-4b7c-9bb9-9554b22b353c" ] } ], "mendeley" : { "formattedCitation" : "(Melillo et al. 2014)", "manualFormatting" : "(Melillo et al., 2014)", "plainTextFormattedCitation" : "(Melillo et al. 2014)", "previouslyFormattedCitation" : "(Melillo et al. 2014)" }, "properties" : { "noteIndex" : 0 }, "schema" : "https://github.com/citation-style-language/schema/raw/master/csl-citation.json" }</w:instrText>
      </w:r>
      <w:r w:rsidRPr="008608AA">
        <w:rPr>
          <w:rFonts w:eastAsia="Calibri"/>
        </w:rPr>
        <w:fldChar w:fldCharType="separate"/>
      </w:r>
      <w:r w:rsidRPr="008608AA">
        <w:rPr>
          <w:rFonts w:eastAsia="Calibri"/>
          <w:noProof/>
        </w:rPr>
        <w:t>(Melillo et al., 2014)</w:t>
      </w:r>
      <w:r w:rsidRPr="008608AA">
        <w:rPr>
          <w:rFonts w:eastAsia="Calibri"/>
        </w:rPr>
        <w:fldChar w:fldCharType="end"/>
      </w:r>
      <w:r w:rsidRPr="008608AA">
        <w:rPr>
          <w:rFonts w:eastAsia="Calibri"/>
        </w:rPr>
        <w:t xml:space="preserve">. Although climate envelope models for individual species suggest that these changes could potentially result in substantial shifts in species ranges in response to climate change, they generally do not account for limiting factors such as soil suitability, geographic barriers, and seed dispersal distances, which all limit the rate at which new areas can be colonized (Price et al., 2013). The application of models that do consider these limiting factors indicate that northward migration of boreal forest into tundra regions will be very limited during the remainder of this century (Rupp et al., 2016). However, the projected climate changes for North America are expected to increase the vulnerability of boreal and temperate forest to increased mortality through fire, insect infestations, drought, and disease outbreaks, particularly in areas where water availability is already a concern </w:t>
      </w:r>
      <w:r w:rsidRPr="008608AA">
        <w:rPr>
          <w:rFonts w:eastAsia="Calibri"/>
        </w:rPr>
        <w:fldChar w:fldCharType="begin" w:fldLock="1"/>
      </w:r>
      <w:r w:rsidRPr="008608AA">
        <w:rPr>
          <w:rFonts w:eastAsia="Calibri"/>
        </w:rPr>
        <w:instrText>ADDIN CSL_CITATION { "citationItems" : [ { "id" : "ITEM-1", "itemData" : { "DOI" : "10.7930/J0Z60KZC.On", "author" : [ { "dropping-particle" : "", "family" : "Joyce", "given" : "Linda A", "non-dropping-particle" : "", "parse-names" : false, "suffix" : "" }, { "dropping-particle" : "", "family" : "Running", "given" : "DD", "non-dropping-particle" : "", "parse-names" : false, "suffix" : "" }, { "dropping-particle" : "", "family" : "Breshears", "given" : "VH", "non-dropping-particle" : "", "parse-names" : false, "suffix" : "" }, { "dropping-particle" : "", "family" : "Dale", "given" : "RW", "non-dropping-particle" : "", "parse-names" : false, "suffix" : "" }, { "dropping-particle" : "", "family" : "Malmsheimer", "given" : "Robert W", "non-dropping-particle" : "", "parse-names" : false, "suffix" : "" }, { "dropping-particle" : "", "family" : "Sampson", "given" : "B", "non-dropping-particle" : "", "parse-names" : false, "suffix" : "" }, { "dropping-particle" : "", "family" : "Sohngen", "given" : "B", "non-dropping-particle" : "", "parse-names" : false, "suffix" : "" }, { "dropping-particle" : "", "family" : "Woodall", "given" : "Christopher W", "non-dropping-particle" : "", "parse-names" : false, "suffix" : "" } ], "container-title" : "U.S. Global Change Research Program", "id" : "ITEM-1", "issued" : { "date-parts" : [ [ "2014" ] ] }, "page" : "175-194", "title" : "Forests: Climate change impacts in the United States", "type" : "article-journal" }, "uris" : [ "http://www.mendeley.com/documents/?uuid=35a55c7d-f638-439b-8289-d14fe33f0985" ] }, { "id" : "ITEM-2", "itemData" : { "DOI" : "10.1139/er-2013-0042", "ISBN" : "1181-8700\\r1208-6053", "ISSN" : "1208-6053", "abstract" : "Canadian boreal woodlands and forests cover approximately 3.09 \u00d7 106 km2, located within a larger boreal zone characterized by cool summers and long cold winters. Warming since the 1850s, increases in annual mean temperature of at least 2 \u00b0C between 2000 and 2050 are highly probable. Annual mean temperatures across the Canadian boreal zone could be 4\u20135 \u00b0C warmer than today\u2019s by 2100. All aspects of boreal forest ecosystem function are likely to be affected. Further, several potential \u201ctipping elements\u201d \u2014 where exposure to increasing changes in climate may trigger distinct shifts in ecosystem state \u2014 can be identified across the Canadian boreal zone. Approximately 40% of the forested area is underlain by permafrost, some of which is already degrading irreversibly, triggering a process of forest decline and re-establishment lasting several decades, while also releasing significant quantities of greenhouse gases that will amplify the future global warming trend. Warmer temperatures coupled with significant changes in the distribution and timing of annual precipitation are likely to cause serious tree-killing droughts in the west; east of the Great Lakes, however, where precipitation is generally nonlimiting, warming coupled with increasing atmospheric carbon dioxide may stimulate higher forest productivity. Large wildfires, which can cause serious economic losses, are expected to become more frequent, but increases in mean annual area burned will be relatively gradual. The most immediate threats could come from endemic forest insect pests that have the potential for population outbreaks in response to relatively small temperature increases. Quantifying the multiple effects of climate change will be challenging, particularly because there are great uncertainties attached to possible interactions among them, as well as with other land-use pressures. Considerable ingenuity will be needed from forest managers and scientists to address the formidable challenges posed by climate change to boreal ecosystems and develop effective strategies to adapt sustainable forest management practices to the impending changes.", "author" : [ { "dropping-particle" : "", "family" : "Price", "given" : "David T", "non-dropping-particle" : "", "parse-names" : false, "suffix" : "" }, { "dropping-particle" : "", "family" : "Alfaro", "given" : "R I", "non-dropping-particle" : "", "parse-names" : false, "suffix" : "" }, { "dropping-particle" : "", "family" : "Brown", "given" : "K J", "non-dropping-particle" : "", "parse-names" : false, "suffix" : "" }, { "dropping-particle" : "", "family" : "Flannigan", "given" : "M D", "non-dropping-particle" : "", "parse-names" : false, "suffix" : "" }, { "dropping-particle" : "", "family" : "Fleming", "given" : "R A", "non-dropping-particle" : "", "parse-names" : false, "suffix" : "" }, { "dropping-particle" : "", "family" : "Hogg", "given" : "E H", "non-dropping-particle" : "", "parse-names" : false, "suffix" : "" }, { "dropping-particle" : "", "family" : "Girardin", "given" : "M P", "non-dropping-particle" : "", "parse-names" : false, "suffix" : "" }, { "dropping-particle" : "", "family" : "Lakusta", "given" : "T", "non-dropping-particle" : "", "parse-names" : false, "suffix" : "" }, { "dropping-particle" : "", "family" : "Johnston", "given" : "M", "non-dropping-particle" : "", "parse-names" : false, "suffix" : "" }, { "dropping-particle" : "", "family" : "Mckenney", "given" : "D W", "non-dropping-particle" : "", "parse-names" : false, "suffix" : "" }, { "dropping-particle" : "", "family" : "Pedlar", "given" : "J H", "non-dropping-particle" : "", "parse-names" : false, "suffix" : "" }, { "dropping-particle" : "", "family" : "Stratton", "given" : "T", "non-dropping-particle" : "", "parse-names" : false, "suffix" : "" }, { "dropping-particle" : "", "family" : "Sturrock", "given" : "R N", "non-dropping-particle" : "", "parse-names" : false, "suffix" : "" }, { "dropping-particle" : "", "family" : "Thompson", "given" : "I D", "non-dropping-particle" : "", "parse-names" : false, "suffix" : "" }, { "dropping-particle" : "", "family" : "Trofymow", "given" : "J A", "non-dropping-particle" : "", "parse-names" : false, "suffix" : "" }, { "dropping-particle" : "", "family" : "Venier", "given" : "L A", "non-dropping-particle" : "", "parse-names" : false, "suffix" : "" } ], "container-title" : "Environmental Reviews", "id" : "ITEM-2", "issue" : "4", "issued" : { "date-parts" : [ [ "2013" ] ] }, "page" : "322-365", "title" : "Anticipating the consequences of climate change for Canada\u2019s boreal forest ecosystems", "type" : "article-journal", "volume" : "365" }, "uris" : [ "http://www.mendeley.com/documents/?uuid=791eeb9b-7f31-479c-8360-36fe1782b277" ] }, { "id" : "ITEM-3", "itemData" : { "DOI" : "10.7930/J00Z7150.On", "author" : [ { "dropping-particle" : "", "family" : "Chapin", "given" : "F.S. III", "non-dropping-particle" : "", "parse-names" : false, "suffix" : "" }, { "dropping-particle" : "", "family" : "Trainor", "given" : "S.F.", "non-dropping-particle" : "", "parse-names" : false, "suffix" : "" }, { "dropping-particle" : "", "family" : "Cochran", "given" : "P.", "non-dropping-particle" : "", "parse-names" : false, "suffix" : "" }, { "dropping-particle" : "", "family" : "Huntington", "given" : "H.", "non-dropping-particle" : "", "parse-names" : false, "suffix" : "" }, { "dropping-particle" : "", "family" : "Markon", "given" : "C.", "non-dropping-particle" : "", "parse-names" : false, "suffix" : "" }, { "dropping-particle" : "", "family" : "McCammon", "given" : "M.", "non-dropping-particle" : "", "parse-names" : false, "suffix" : "" }, { "dropping-particle" : "", "family" : "McGuire", "given" : "A.D.", "non-dropping-particle" : "", "parse-names" : false, "suffix" : "" }, { "dropping-particle" : "", "family" : "Serreze", "given" : "M.", "non-dropping-particle" : "", "parse-names" : false, "suffix" : "" } ], "container-title" : "Climate Change Impacts in the United States: The Third National Climate Assessment", "id" : "ITEM-3", "issued" : { "date-parts" : [ [ "2014" ] ] }, "page" : "514-536", "title" : "Ch. 22: Alaska", "type" : "article-journal" }, "uris" : [ "http://www.mendeley.com/documents/?uuid=43932a88-d5cb-436a-8aa1-05985b81c484" ] } ], "mendeley" : { "formattedCitation" : "(Price et al. 2013, Chapin et al. 2014, Joyce et al. 2014)", "manualFormatting" : "(Price et al., 2013, Chapin et al., 2014, Joyce et al., 2014)", "plainTextFormattedCitation" : "(Price et al. 2013, Chapin et al. 2014, Joyce et al. 2014)", "previouslyFormattedCitation" : "(Price et al. 2013, Chapin et al. 2014, Joyce et al. 2014)" }, "properties" : { "noteIndex" : 0 }, "schema" : "https://github.com/citation-style-language/schema/raw/master/csl-citation.json" }</w:instrText>
      </w:r>
      <w:r w:rsidRPr="008608AA">
        <w:rPr>
          <w:rFonts w:eastAsia="Calibri"/>
        </w:rPr>
        <w:fldChar w:fldCharType="separate"/>
      </w:r>
      <w:r w:rsidR="009975BA" w:rsidRPr="008608AA">
        <w:rPr>
          <w:rFonts w:eastAsia="Calibri"/>
          <w:noProof/>
        </w:rPr>
        <w:t>(Price et al., 2013; Chapin et al., 2014;</w:t>
      </w:r>
      <w:r w:rsidRPr="008608AA">
        <w:rPr>
          <w:rFonts w:eastAsia="Calibri"/>
          <w:noProof/>
        </w:rPr>
        <w:t xml:space="preserve"> Joyce et al., 2014)</w:t>
      </w:r>
      <w:r w:rsidRPr="008608AA">
        <w:rPr>
          <w:rFonts w:eastAsia="Calibri"/>
        </w:rPr>
        <w:fldChar w:fldCharType="end"/>
      </w:r>
      <w:r w:rsidR="00BD2C55" w:rsidRPr="008608AA">
        <w:rPr>
          <w:rFonts w:eastAsia="Calibri"/>
        </w:rPr>
        <w:t xml:space="preserve">. </w:t>
      </w:r>
      <w:r w:rsidRPr="008608AA">
        <w:rPr>
          <w:rFonts w:eastAsia="Calibri"/>
        </w:rPr>
        <w:t>For example, the analyses of Rupp et al. (2016) estimate that changes in the fire regime will decrease late successional boreal conifer forest by 8</w:t>
      </w:r>
      <w:r w:rsidR="000151A1" w:rsidRPr="008608AA">
        <w:rPr>
          <w:rFonts w:eastAsia="Calibri"/>
        </w:rPr>
        <w:t>%</w:t>
      </w:r>
      <w:r w:rsidRPr="008608AA">
        <w:rPr>
          <w:rFonts w:eastAsia="Calibri"/>
        </w:rPr>
        <w:t xml:space="preserve"> to 44% by the end of this century, with a concomitant increase in early successional deciduous forest. In lowland forest areas of the boreal zone underlain by ice-rich permafrost, forest mortality could increase because of subsidence and inundation associated with permafrost thaw </w:t>
      </w:r>
      <w:r w:rsidRPr="008608AA">
        <w:rPr>
          <w:rFonts w:eastAsia="Calibri"/>
        </w:rPr>
        <w:fldChar w:fldCharType="begin" w:fldLock="1"/>
      </w:r>
      <w:r w:rsidRPr="008608AA">
        <w:rPr>
          <w:rFonts w:eastAsia="Calibri"/>
        </w:rPr>
        <w:instrText>ADDIN CSL_CITATION { "citationItems" : [ { "id" : "ITEM-1", "itemData" : { "DOI" : "10.1139/er-2013-0042", "ISBN" : "1181-8700\\r1208-6053", "ISSN" : "1208-6053", "abstract" : "Canadian boreal woodlands and forests cover approximately 3.09 \u00d7 106 km2, located within a larger boreal zone characterized by cool summers and long cold winters. Warming since the 1850s, increases in annual mean temperature of at least 2 \u00b0C between 2000 and 2050 are highly probable. Annual mean temperatures across the Canadian boreal zone could be 4\u20135 \u00b0C warmer than today\u2019s by 2100. All aspects of boreal forest ecosystem function are likely to be affected. Further, several potential \u201ctipping elements\u201d \u2014 where exposure to increasing changes in climate may trigger distinct shifts in ecosystem state \u2014 can be identified across the Canadian boreal zone. Approximately 40% of the forested area is underlain by permafrost, some of which is already degrading irreversibly, triggering a process of forest decline and re-establishment lasting several decades, while also releasing significant quantities of greenhouse gases that will amplify the future global warming trend. Warmer temperatures coupled with significant changes in the distribution and timing of annual precipitation are likely to cause serious tree-killing droughts in the west; east of the Great Lakes, however, where precipitation is generally nonlimiting, warming coupled with increasing atmospheric carbon dioxide may stimulate higher forest productivity. Large wildfires, which can cause serious economic losses, are expected to become more frequent, but increases in mean annual area burned will be relatively gradual. The most immediate threats could come from endemic forest insect pests that have the potential for population outbreaks in response to relatively small temperature increases. Quantifying the multiple effects of climate change will be challenging, particularly because there are great uncertainties attached to possible interactions among them, as well as with other land-use pressures. Considerable ingenuity will be needed from forest managers and scientists to address the formidable challenges posed by climate change to boreal ecosystems and develop effective strategies to adapt sustainable forest management practices to the impending changes.", "author" : [ { "dropping-particle" : "", "family" : "Price", "given" : "David T", "non-dropping-particle" : "", "parse-names" : false, "suffix" : "" }, { "dropping-particle" : "", "family" : "Alfaro", "given" : "R I", "non-dropping-particle" : "", "parse-names" : false, "suffix" : "" }, { "dropping-particle" : "", "family" : "Brown", "given" : "K J", "non-dropping-particle" : "", "parse-names" : false, "suffix" : "" }, { "dropping-particle" : "", "family" : "Flannigan", "given" : "M D", "non-dropping-particle" : "", "parse-names" : false, "suffix" : "" }, { "dropping-particle" : "", "family" : "Fleming", "given" : "R A", "non-dropping-particle" : "", "parse-names" : false, "suffix" : "" }, { "dropping-particle" : "", "family" : "Hogg", "given" : "E H", "non-dropping-particle" : "", "parse-names" : false, "suffix" : "" }, { "dropping-particle" : "", "family" : "Girardin", "given" : "M P", "non-dropping-particle" : "", "parse-names" : false, "suffix" : "" }, { "dropping-particle" : "", "family" : "Lakusta", "given" : "T", "non-dropping-particle" : "", "parse-names" : false, "suffix" : "" }, { "dropping-particle" : "", "family" : "Johnston", "given" : "M", "non-dropping-particle" : "", "parse-names" : false, "suffix" : "" }, { "dropping-particle" : "", "family" : "Mckenney", "given" : "D W", "non-dropping-particle" : "", "parse-names" : false, "suffix" : "" }, { "dropping-particle" : "", "family" : "Pedlar", "given" : "J H", "non-dropping-particle" : "", "parse-names" : false, "suffix" : "" }, { "dropping-particle" : "", "family" : "Stratton", "given" : "T", "non-dropping-particle" : "", "parse-names" : false, "suffix" : "" }, { "dropping-particle" : "", "family" : "Sturrock", "given" : "R N", "non-dropping-particle" : "", "parse-names" : false, "suffix" : "" }, { "dropping-particle" : "", "family" : "Thompson", "given" : "I D", "non-dropping-particle" : "", "parse-names" : false, "suffix" : "" }, { "dropping-particle" : "", "family" : "Trofymow", "given" : "J A", "non-dropping-particle" : "", "parse-names" : false, "suffix" : "" }, { "dropping-particle" : "", "family" : "Venier", "given" : "L A", "non-dropping-particle" : "", "parse-names" : false, "suffix" : "" } ], "container-title" : "Environmental Reviews", "id" : "ITEM-1", "issue" : "4", "issued" : { "date-parts" : [ [ "2013" ] ] }, "page" : "322-365", "title" : "Anticipating the consequences of climate change for Canada\u2019s boreal forest ecosystems", "type" : "article-journal", "volume" : "365" }, "uris" : [ "http://www.mendeley.com/documents/?uuid=791eeb9b-7f31-479c-8360-36fe1782b277" ] } ], "mendeley" : { "formattedCitation" : "(Price et al. 2013)", "manualFormatting" : "(Price et al., 2013)", "plainTextFormattedCitation" : "(Price et al. 2013)", "previouslyFormattedCitation" : "(Price et al. 2013)" }, "properties" : { "noteIndex" : 0 }, "schema" : "https://github.com/citation-style-language/schema/raw/master/csl-citation.json" }</w:instrText>
      </w:r>
      <w:r w:rsidRPr="008608AA">
        <w:rPr>
          <w:rFonts w:eastAsia="Calibri"/>
        </w:rPr>
        <w:fldChar w:fldCharType="separate"/>
      </w:r>
      <w:r w:rsidRPr="008608AA">
        <w:rPr>
          <w:rFonts w:eastAsia="Calibri"/>
          <w:noProof/>
        </w:rPr>
        <w:t>(Price et al., 2013)</w:t>
      </w:r>
      <w:r w:rsidRPr="008608AA">
        <w:rPr>
          <w:rFonts w:eastAsia="Calibri"/>
        </w:rPr>
        <w:fldChar w:fldCharType="end"/>
      </w:r>
      <w:r w:rsidRPr="008608AA">
        <w:rPr>
          <w:rFonts w:eastAsia="Calibri"/>
        </w:rPr>
        <w:t xml:space="preserve">. However, in both boreal and temperate forests with well-drained soils and adequate water availability, it is expected that forest productivity may increase </w:t>
      </w:r>
      <w:r w:rsidRPr="008608AA">
        <w:rPr>
          <w:rFonts w:eastAsia="Calibri"/>
        </w:rPr>
        <w:fldChar w:fldCharType="begin" w:fldLock="1"/>
      </w:r>
      <w:r w:rsidRPr="008608AA">
        <w:rPr>
          <w:rFonts w:eastAsia="Calibri"/>
        </w:rPr>
        <w:instrText>ADDIN CSL_CITATION { "citationItems" : [ { "id" : "ITEM-1", "itemData" : { "DOI" : "10.7930/J0Z60KZC.On", "author" : [ { "dropping-particle" : "", "family" : "Joyce", "given" : "Linda A", "non-dropping-particle" : "", "parse-names" : false, "suffix" : "" }, { "dropping-particle" : "", "family" : "Running", "given" : "DD", "non-dropping-particle" : "", "parse-names" : false, "suffix" : "" }, { "dropping-particle" : "", "family" : "Breshears", "given" : "VH", "non-dropping-particle" : "", "parse-names" : false, "suffix" : "" }, { "dropping-particle" : "", "family" : "Dale", "given" : "RW", "non-dropping-particle" : "", "parse-names" : false, "suffix" : "" }, { "dropping-particle" : "", "family" : "Malmsheimer", "given" : "Robert W", "non-dropping-particle" : "", "parse-names" : false, "suffix" : "" }, { "dropping-particle" : "", "family" : "Sampson", "given" : "B", "non-dropping-particle" : "", "parse-names" : false, "suffix" : "" }, { "dropping-particle" : "", "family" : "Sohngen", "given" : "B", "non-dropping-particle" : "", "parse-names" : false, "suffix" : "" }, { "dropping-particle" : "", "family" : "Woodall", "given" : "Christopher W", "non-dropping-particle" : "", "parse-names" : false, "suffix" : "" } ], "container-title" : "U.S. Global Change Research Program", "id" : "ITEM-1", "issued" : { "date-parts" : [ [ "2014" ] ] }, "page" : "175-194", "title" : "Forests: Climate change impacts in the United States", "type" : "article-journal" }, "uris" : [ "http://www.mendeley.com/documents/?uuid=35a55c7d-f638-439b-8289-d14fe33f0985" ] }, { "id" : "ITEM-2", "itemData" : { "DOI" : "10.1139/er-2013-0042", "ISBN" : "1181-8700\\r1208-6053", "ISSN" : "1208-6053", "abstract" : "Canadian boreal woodlands and forests cover approximately 3.09 \u00d7 106 km2, located within a larger boreal zone characterized by cool summers and long cold winters. Warming since the 1850s, increases in annual mean temperature of at least 2 \u00b0C between 2000 and 2050 are highly probable. Annual mean temperatures across the Canadian boreal zone could be 4\u20135 \u00b0C warmer than today\u2019s by 2100. All aspects of boreal forest ecosystem function are likely to be affected. Further, several potential \u201ctipping elements\u201d \u2014 where exposure to increasing changes in climate may trigger distinct shifts in ecosystem state \u2014 can be identified across the Canadian boreal zone. Approximately 40% of the forested area is underlain by permafrost, some of which is already degrading irreversibly, triggering a process of forest decline and re-establishment lasting several decades, while also releasing significant quantities of greenhouse gases that will amplify the future global warming trend. Warmer temperatures coupled with significant changes in the distribution and timing of annual precipitation are likely to cause serious tree-killing droughts in the west; east of the Great Lakes, however, where precipitation is generally nonlimiting, warming coupled with increasing atmospheric carbon dioxide may stimulate higher forest productivity. Large wildfires, which can cause serious economic losses, are expected to become more frequent, but increases in mean annual area burned will be relatively gradual. The most immediate threats could come from endemic forest insect pests that have the potential for population outbreaks in response to relatively small temperature increases. Quantifying the multiple effects of climate change will be challenging, particularly because there are great uncertainties attached to possible interactions among them, as well as with other land-use pressures. Considerable ingenuity will be needed from forest managers and scientists to address the formidable challenges posed by climate change to boreal ecosystems and develop effective strategies to adapt sustainable forest management practices to the impending changes.", "author" : [ { "dropping-particle" : "", "family" : "Price", "given" : "David T", "non-dropping-particle" : "", "parse-names" : false, "suffix" : "" }, { "dropping-particle" : "", "family" : "Alfaro", "given" : "R I", "non-dropping-particle" : "", "parse-names" : false, "suffix" : "" }, { "dropping-particle" : "", "family" : "Brown", "given" : "K J", "non-dropping-particle" : "", "parse-names" : false, "suffix" : "" }, { "dropping-particle" : "", "family" : "Flannigan", "given" : "M D", "non-dropping-particle" : "", "parse-names" : false, "suffix" : "" }, { "dropping-particle" : "", "family" : "Fleming", "given" : "R A", "non-dropping-particle" : "", "parse-names" : false, "suffix" : "" }, { "dropping-particle" : "", "family" : "Hogg", "given" : "E H", "non-dropping-particle" : "", "parse-names" : false, "suffix" : "" }, { "dropping-particle" : "", "family" : "Girardin", "given" : "M P", "non-dropping-particle" : "", "parse-names" : false, "suffix" : "" }, { "dropping-particle" : "", "family" : "Lakusta", "given" : "T", "non-dropping-particle" : "", "parse-names" : false, "suffix" : "" }, { "dropping-particle" : "", "family" : "Johnston", "given" : "M", "non-dropping-particle" : "", "parse-names" : false, "suffix" : "" }, { "dropping-particle" : "", "family" : "Mckenney", "given" : "D W", "non-dropping-particle" : "", "parse-names" : false, "suffix" : "" }, { "dropping-particle" : "", "family" : "Pedlar", "given" : "J H", "non-dropping-particle" : "", "parse-names" : false, "suffix" : "" }, { "dropping-particle" : "", "family" : "Stratton", "given" : "T", "non-dropping-particle" : "", "parse-names" : false, "suffix" : "" }, { "dropping-particle" : "", "family" : "Sturrock", "given" : "R N", "non-dropping-particle" : "", "parse-names" : false, "suffix" : "" }, { "dropping-particle" : "", "family" : "Thompson", "given" : "I D", "non-dropping-particle" : "", "parse-names" : false, "suffix" : "" }, { "dropping-particle" : "", "family" : "Trofymow", "given" : "J A", "non-dropping-particle" : "", "parse-names" : false, "suffix" : "" }, { "dropping-particle" : "", "family" : "Venier", "given" : "L A", "non-dropping-particle" : "", "parse-names" : false, "suffix" : "" } ], "container-title" : "Environmental Reviews", "id" : "ITEM-2", "issue" : "4", "issued" : { "date-parts" : [ [ "2013" ] ] }, "page" : "322-365", "title" : "Anticipating the consequences of climate change for Canada\u2019s boreal forest ecosystems", "type" : "article-journal", "volume" : "365" }, "uris" : [ "http://www.mendeley.com/documents/?uuid=791eeb9b-7f31-479c-8360-36fe1782b277" ] } ], "mendeley" : { "formattedCitation" : "(Price et al. 2013, Joyce et al. 2014)", "manualFormatting" : "(Price et al., 2013, Joyce et al., 2014)", "plainTextFormattedCitation" : "(Price et al. 2013, Joyce et al. 2014)", "previouslyFormattedCitation" : "(Price et al. 2013, Joyce et al. 2014)" }, "properties" : { "noteIndex" : 0 }, "schema" : "https://github.com/citation-style-language/schema/raw/master/csl-citation.json" }</w:instrText>
      </w:r>
      <w:r w:rsidRPr="008608AA">
        <w:rPr>
          <w:rFonts w:eastAsia="Calibri"/>
        </w:rPr>
        <w:fldChar w:fldCharType="separate"/>
      </w:r>
      <w:r w:rsidR="009975BA" w:rsidRPr="008608AA">
        <w:rPr>
          <w:rFonts w:eastAsia="Calibri"/>
          <w:noProof/>
        </w:rPr>
        <w:t>(Price et al., 2013;</w:t>
      </w:r>
      <w:r w:rsidRPr="008608AA">
        <w:rPr>
          <w:rFonts w:eastAsia="Calibri"/>
          <w:noProof/>
        </w:rPr>
        <w:t xml:space="preserve"> Joyce et al., 2014)</w:t>
      </w:r>
      <w:r w:rsidRPr="008608AA">
        <w:rPr>
          <w:rFonts w:eastAsia="Calibri"/>
        </w:rPr>
        <w:fldChar w:fldCharType="end"/>
      </w:r>
      <w:r w:rsidRPr="008608AA">
        <w:rPr>
          <w:rFonts w:eastAsia="Calibri"/>
        </w:rPr>
        <w:t xml:space="preserve">.  </w:t>
      </w:r>
    </w:p>
    <w:p w14:paraId="0752CCF9" w14:textId="6C7A5C14" w:rsidR="001E61A6" w:rsidRPr="008608AA" w:rsidRDefault="001E61A6" w:rsidP="00A345FC">
      <w:pPr>
        <w:spacing w:before="120"/>
        <w:rPr>
          <w:rFonts w:eastAsia="Calibri"/>
        </w:rPr>
      </w:pPr>
      <w:r w:rsidRPr="008608AA">
        <w:rPr>
          <w:rFonts w:eastAsia="Calibri"/>
        </w:rPr>
        <w:t>Increasing temperatures and changes in the amount and timing of precipitation are expected to affect the temperat</w:t>
      </w:r>
      <w:r w:rsidR="009B0DD4" w:rsidRPr="008608AA">
        <w:rPr>
          <w:rFonts w:eastAsia="Calibri"/>
        </w:rPr>
        <w:t xml:space="preserve">e grasslands of North America. </w:t>
      </w:r>
      <w:r w:rsidRPr="008608AA">
        <w:rPr>
          <w:rFonts w:eastAsia="Calibri"/>
        </w:rPr>
        <w:t>However, despite potential increases in aridity, particularly during summer, the fractional cover of green foliage may increase under future climate sc</w:t>
      </w:r>
      <w:r w:rsidR="00AE3491" w:rsidRPr="008608AA">
        <w:rPr>
          <w:rFonts w:eastAsia="Calibri"/>
        </w:rPr>
        <w:t>enarios (Hufkens et al., 2016).</w:t>
      </w:r>
      <w:r w:rsidRPr="008608AA">
        <w:rPr>
          <w:rFonts w:eastAsia="Calibri"/>
        </w:rPr>
        <w:t xml:space="preserve"> This increase is likely to occur from earlier spring green-up and later autumn senescence, which may more than compensate for any reduction of fractional cover during hot, dry summers (Hufkens et al., 2016). </w:t>
      </w:r>
    </w:p>
    <w:p w14:paraId="0E8E1F90" w14:textId="57232388" w:rsidR="001E61A6" w:rsidRPr="008608AA" w:rsidRDefault="001E61A6" w:rsidP="00A345FC">
      <w:pPr>
        <w:spacing w:before="120"/>
        <w:rPr>
          <w:rFonts w:eastAsia="Calibri"/>
        </w:rPr>
      </w:pPr>
      <w:r w:rsidRPr="008608AA">
        <w:rPr>
          <w:rFonts w:eastAsia="Calibri"/>
        </w:rPr>
        <w:t xml:space="preserve">Many of the dryland regions of North America are experiencing changes in climate. The Great Basin, Colorado Plateau, Mojave in the USA and Sonoran Desert in northwestern Mexico and the southwestern USA have experienced a warming trend, particularly during winter and spring, and the freeze-free season has lengthened (Weiss </w:t>
      </w:r>
      <w:r w:rsidR="009975BA" w:rsidRPr="008608AA">
        <w:rPr>
          <w:rFonts w:eastAsia="Calibri"/>
        </w:rPr>
        <w:t>&amp;</w:t>
      </w:r>
      <w:r w:rsidRPr="008608AA">
        <w:rPr>
          <w:rFonts w:eastAsia="Calibri"/>
        </w:rPr>
        <w:t xml:space="preserve"> Overpeck</w:t>
      </w:r>
      <w:r w:rsidR="009975BA" w:rsidRPr="008608AA">
        <w:rPr>
          <w:rFonts w:eastAsia="Calibri"/>
        </w:rPr>
        <w:t>, 2005;</w:t>
      </w:r>
      <w:r w:rsidRPr="008608AA">
        <w:rPr>
          <w:rFonts w:eastAsia="Calibri"/>
        </w:rPr>
        <w:t xml:space="preserve"> Cook </w:t>
      </w:r>
      <w:r w:rsidR="009975BA" w:rsidRPr="008608AA">
        <w:rPr>
          <w:rFonts w:eastAsia="Calibri"/>
        </w:rPr>
        <w:t>&amp;</w:t>
      </w:r>
      <w:r w:rsidRPr="008608AA">
        <w:rPr>
          <w:rFonts w:eastAsia="Calibri"/>
        </w:rPr>
        <w:t xml:space="preserve"> Seager</w:t>
      </w:r>
      <w:r w:rsidR="009975BA" w:rsidRPr="008608AA">
        <w:rPr>
          <w:rFonts w:eastAsia="Calibri"/>
        </w:rPr>
        <w:t>,</w:t>
      </w:r>
      <w:r w:rsidRPr="008608AA">
        <w:rPr>
          <w:rFonts w:eastAsia="Calibri"/>
        </w:rPr>
        <w:t xml:space="preserve"> 2013).  These temperature changes have the potential to shift vegetation types northward and eastward and upward in elevation (Weiss </w:t>
      </w:r>
      <w:r w:rsidR="009975BA" w:rsidRPr="008608AA">
        <w:rPr>
          <w:rFonts w:eastAsia="Calibri"/>
        </w:rPr>
        <w:t>&amp;</w:t>
      </w:r>
      <w:r w:rsidRPr="008608AA">
        <w:rPr>
          <w:rFonts w:eastAsia="Calibri"/>
        </w:rPr>
        <w:t xml:space="preserve"> Overpeck</w:t>
      </w:r>
      <w:r w:rsidR="009975BA" w:rsidRPr="008608AA">
        <w:rPr>
          <w:rFonts w:eastAsia="Calibri"/>
        </w:rPr>
        <w:t>,</w:t>
      </w:r>
      <w:r w:rsidRPr="008608AA">
        <w:rPr>
          <w:rFonts w:eastAsia="Calibri"/>
        </w:rPr>
        <w:t xml:space="preserve"> 2005), having implications for the adjacent deserts (Notaro et al</w:t>
      </w:r>
      <w:r w:rsidR="009975BA" w:rsidRPr="008608AA">
        <w:rPr>
          <w:rFonts w:eastAsia="Calibri"/>
        </w:rPr>
        <w:t>.,</w:t>
      </w:r>
      <w:r w:rsidRPr="008608AA">
        <w:rPr>
          <w:rFonts w:eastAsia="Calibri"/>
        </w:rPr>
        <w:t xml:space="preserve"> 2012).  </w:t>
      </w:r>
    </w:p>
    <w:p w14:paraId="7D5D8624" w14:textId="096A7AA7" w:rsidR="001E61A6" w:rsidRPr="008608AA" w:rsidRDefault="001E61A6" w:rsidP="00A345FC">
      <w:pPr>
        <w:spacing w:before="120"/>
        <w:rPr>
          <w:rFonts w:eastAsia="Calibri"/>
        </w:rPr>
      </w:pPr>
      <w:r w:rsidRPr="008608AA">
        <w:rPr>
          <w:rFonts w:eastAsia="Calibri"/>
        </w:rPr>
        <w:t>W</w:t>
      </w:r>
      <w:r w:rsidR="000151A1" w:rsidRPr="008608AA">
        <w:rPr>
          <w:rFonts w:eastAsia="Calibri"/>
        </w:rPr>
        <w:t>etlands in the Prairie Pothole r</w:t>
      </w:r>
      <w:r w:rsidRPr="008608AA">
        <w:rPr>
          <w:rFonts w:eastAsia="Calibri"/>
        </w:rPr>
        <w:t xml:space="preserve">egion </w:t>
      </w:r>
      <w:r w:rsidR="006D6CF3" w:rsidRPr="008608AA">
        <w:rPr>
          <w:rFonts w:eastAsia="Calibri"/>
        </w:rPr>
        <w:t xml:space="preserve">(freshwater marshes, wet meadows, etc.) </w:t>
      </w:r>
      <w:r w:rsidRPr="008608AA">
        <w:rPr>
          <w:rFonts w:eastAsia="Calibri"/>
        </w:rPr>
        <w:t>are experiencing increased temperatures and variability in precipitation, which may have implications for waterfowl and important ecosystem services.  Projected changes in temperature and precipitation of more than 1.5-2.0 °C may diminish wetland function across the m</w:t>
      </w:r>
      <w:r w:rsidR="000151A1" w:rsidRPr="008608AA">
        <w:rPr>
          <w:rFonts w:eastAsia="Calibri"/>
        </w:rPr>
        <w:t>ajority of the Prairie Pothole r</w:t>
      </w:r>
      <w:r w:rsidRPr="008608AA">
        <w:rPr>
          <w:rFonts w:eastAsia="Calibri"/>
        </w:rPr>
        <w:t xml:space="preserve">egion </w:t>
      </w:r>
      <w:r w:rsidRPr="008608AA">
        <w:rPr>
          <w:rFonts w:eastAsia="Calibri"/>
        </w:rPr>
        <w:fldChar w:fldCharType="begin" w:fldLock="1"/>
      </w:r>
      <w:r w:rsidRPr="008608AA">
        <w:rPr>
          <w:rFonts w:eastAsia="Calibri"/>
        </w:rPr>
        <w:instrText>ADDIN CSL_CITATION { "citationItems" : [ { "id" : "ITEM-1", "itemData" : { "DOI" : "10.1007/s10584-015-1534-8", "ISBN" : "0165-0009", "ISSN" : "15731480", "abstract" : "The response of ecosystems to climate warming is likely to include threshold events when small changes in key environmental drivers produce large changes in an ecosystem. Wetlands of the Prairie Pothole Region (PPR) are especially sensitive to climate variability, yet the possibility that functional changes may occur more rapidly with warming than expected has not been examined or modeled. The productivity and biodiversity of these wetlands are strongly controlled by the speed and completeness of a vegetation cover cycle driven by the wet and dry extremes of climate. Two thresholds involving duration and depth of standing water must be exceeded every few decades or so to complete the cycle and to produce highly functional wetlands. Model experiments at 19 weather stations employing incremental warming scenarios determined that wetland function across most of the PPR would be diminished beyond a climate warming of about 1.5-2.0 A degrees C, a critical temperature threshold range identified in other climate change studies.", "author" : [ { "dropping-particle" : "", "family" : "Carter Johnson", "given" : "W.", "non-dropping-particle" : "", "parse-names" : false, "suffix" : "" }, { "dropping-particle" : "", "family" : "Werner", "given" : "Brett", "non-dropping-particle" : "", "parse-names" : false, "suffix" : "" }, { "dropping-particle" : "", "family" : "Guntenspergen", "given" : "Glenn R.", "non-dropping-particle" : "", "parse-names" : false, "suffix" : "" } ], "container-title" : "Climatic Change", "id" : "ITEM-1", "issue" : "1-2", "issued" : { "date-parts" : [ [ "2016" ] ] }, "page" : "209-223", "title" : "Non-linear responses of glaciated prairie wetlands to climate warming", "type" : "article-journal", "volume" : "134" }, "uris" : [ "http://www.mendeley.com/documents/?uuid=a7f38026-5bb5-4683-8aeb-b6927c0b8f99" ] } ], "mendeley" : { "formattedCitation" : "(Carter Johnson et al. 2016)", "plainTextFormattedCitation" : "(Carter Johnson et al. 2016)" }, "properties" : { "noteIndex" : 0 }, "schema" : "https://github.com/citation-style-language/schema/raw/master/csl-citation.json" }</w:instrText>
      </w:r>
      <w:r w:rsidRPr="008608AA">
        <w:rPr>
          <w:rFonts w:eastAsia="Calibri"/>
        </w:rPr>
        <w:fldChar w:fldCharType="separate"/>
      </w:r>
      <w:r w:rsidR="00F84FCC" w:rsidRPr="008608AA">
        <w:rPr>
          <w:rFonts w:eastAsia="Calibri"/>
          <w:noProof/>
        </w:rPr>
        <w:t>(</w:t>
      </w:r>
      <w:r w:rsidRPr="008608AA">
        <w:rPr>
          <w:rFonts w:eastAsia="Calibri"/>
          <w:noProof/>
        </w:rPr>
        <w:t xml:space="preserve">Johnson </w:t>
      </w:r>
      <w:r w:rsidR="00F84FCC" w:rsidRPr="008608AA">
        <w:rPr>
          <w:rFonts w:eastAsia="Calibri"/>
          <w:noProof/>
        </w:rPr>
        <w:t xml:space="preserve">&amp; </w:t>
      </w:r>
      <w:r w:rsidRPr="008608AA">
        <w:rPr>
          <w:rFonts w:eastAsia="Calibri"/>
          <w:noProof/>
        </w:rPr>
        <w:t xml:space="preserve"> </w:t>
      </w:r>
      <w:r w:rsidR="00F84FCC" w:rsidRPr="008608AA">
        <w:rPr>
          <w:rFonts w:eastAsia="Calibri"/>
          <w:noProof/>
        </w:rPr>
        <w:t xml:space="preserve">Poiani, </w:t>
      </w:r>
      <w:r w:rsidRPr="008608AA">
        <w:rPr>
          <w:rFonts w:eastAsia="Calibri"/>
          <w:noProof/>
        </w:rPr>
        <w:t>2016)</w:t>
      </w:r>
      <w:r w:rsidRPr="008608AA">
        <w:rPr>
          <w:rFonts w:eastAsia="Calibri"/>
        </w:rPr>
        <w:fldChar w:fldCharType="end"/>
      </w:r>
      <w:r w:rsidRPr="008608AA">
        <w:rPr>
          <w:rFonts w:eastAsia="Calibri"/>
        </w:rPr>
        <w:t>.</w:t>
      </w:r>
    </w:p>
    <w:p w14:paraId="07F00114" w14:textId="0E63F4E3" w:rsidR="001E61A6" w:rsidRPr="008608AA" w:rsidRDefault="001E61A6" w:rsidP="00A345FC">
      <w:pPr>
        <w:spacing w:before="120"/>
        <w:rPr>
          <w:rFonts w:eastAsia="Calibri"/>
        </w:rPr>
      </w:pPr>
      <w:r w:rsidRPr="008608AA">
        <w:rPr>
          <w:rFonts w:eastAsia="Calibri"/>
        </w:rPr>
        <w:t>Northern portions of the Everglades in South Florida are dominated by peatlands that depend on adequate amounts of precipitation to balance the constant loss of water through evapotranspiration, but increased periods of drought have the potential to cause large shifts in plant and animal communities (Nungesse</w:t>
      </w:r>
      <w:r w:rsidR="000151A1" w:rsidRPr="008608AA">
        <w:rPr>
          <w:rFonts w:eastAsia="Calibri"/>
        </w:rPr>
        <w:t xml:space="preserve">r et al., 2015). </w:t>
      </w:r>
      <w:r w:rsidRPr="008608AA">
        <w:rPr>
          <w:rFonts w:eastAsia="Calibri"/>
        </w:rPr>
        <w:t xml:space="preserve">In southern portions of the Everglades, plant communities are threatened by increased salinity from sea level rise, which can create physiological drought and a shift from freshwater to saltwater-tolerant species (Nungesser et al., 2015). </w:t>
      </w:r>
      <w:r w:rsidRPr="008608AA">
        <w:rPr>
          <w:rFonts w:eastAsia="Calibri"/>
          <w:color w:val="131413"/>
        </w:rPr>
        <w:t xml:space="preserve">In the Florida region, models and field data indicate that mangrove forests will continue to expand their latitudinal range as temperature and atmospheric </w:t>
      </w:r>
      <w:r w:rsidR="00E03ED4" w:rsidRPr="008608AA">
        <w:rPr>
          <w:rFonts w:eastAsia="Calibri"/>
          <w:color w:val="131413"/>
        </w:rPr>
        <w:t>carbon dioxide</w:t>
      </w:r>
      <w:r w:rsidRPr="008608AA">
        <w:rPr>
          <w:rFonts w:eastAsia="Calibri"/>
          <w:color w:val="131413"/>
        </w:rPr>
        <w:t xml:space="preserve"> concentrations increase (Alongi, 2015).</w:t>
      </w:r>
    </w:p>
    <w:p w14:paraId="1D660242" w14:textId="23B09835" w:rsidR="001E61A6" w:rsidRPr="008608AA" w:rsidRDefault="001E61A6" w:rsidP="00A345FC">
      <w:pPr>
        <w:spacing w:before="120"/>
        <w:rPr>
          <w:rFonts w:eastAsia="Calibri"/>
        </w:rPr>
      </w:pPr>
      <w:r w:rsidRPr="008608AA">
        <w:rPr>
          <w:rFonts w:eastAsia="Calibri"/>
        </w:rPr>
        <w:t xml:space="preserve">Average annual temperatures have increased by as much as 0.25°C per decade since the middle of the twentieth century in some parts of the Great Lakes region of North America </w:t>
      </w:r>
      <w:r w:rsidRPr="008608AA">
        <w:rPr>
          <w:rFonts w:eastAsia="Calibri"/>
        </w:rPr>
        <w:fldChar w:fldCharType="begin" w:fldLock="1"/>
      </w:r>
      <w:r w:rsidRPr="008608AA">
        <w:rPr>
          <w:rFonts w:eastAsia="Calibri"/>
        </w:rPr>
        <w:instrText>ADDIN CSL_CITATION { "citationItems" : [ { "id" : "ITEM-1", "itemData" : { "DOI" : "10.1016/j.jglr.2010.03.012", "ISBN" : "0380-1330", "ISSN" : "03801330", "abstract" : "Assessing regional impacts of climate change begins with development of climate projections at relevant temporal and spatial scales. Here, proven statistical downscaling methods are applied to relatively coarse-scale atmosphere-ocean general circulation model (AOGCM) output to improve the simulation and resolution of spatial and temporal variability in temperature and precipitation across the US Great Lakes region. The absolute magnitude of change expected over the coming century depends on the sensitivity of the climate system to human forcing and on the trajectory of anthropogenic greenhouse gas emissions. Annual temperatures in the region are projected to increase 1.4 ?? 0.6??C over the near-term (2010-2039), by 2.0 ?? 0.7 ??C under lower and 3 ?? 1??C under higher emissions by midcentury (2040-2069), and by 3 ?? 1 ??C under lower and 5.0 ?? 1.2 ??C under higher emissions by end-of-century (2070-2099), relative to the historical reference period 1961-1990. Simulations also highlight seasonal and geographical differences in warming, consistent with recent trends. Increases in winter and spring precipitation of up to 20% under lower and 30% under higher emissions are projected by end-of-century, while projections for summer and fall remain inconsistent. Competing effects of shifting precipitation and warmer temperatures suggest little change in Great Lake levels over much of the century until the end of the century, when net decreases are expected under higher emissions. Overall, these projections suggest the potential for considerable changes to climate in the US Great Lakes region; changes that could be mitigated by reducing global emissions to follow a lower as opposed to a higher emissions trajectory over the coming century. ?? 2010.", "author" : [ { "dropping-particle" : "", "family" : "Hayhoe", "given" : "Katharine", "non-dropping-particle" : "", "parse-names" : false, "suffix" : "" }, { "dropping-particle" : "", "family" : "VanDorn", "given" : "Jeff", "non-dropping-particle" : "", "parse-names" : false, "suffix" : "" }, { "dropping-particle" : "", "family" : "Croley", "given" : "Thomas", "non-dropping-particle" : "", "parse-names" : false, "suffix" : "" }, { "dropping-particle" : "", "family" : "Schlegal", "given" : "Nicole", "non-dropping-particle" : "", "parse-names" : false, "suffix" : "" }, { "dropping-particle" : "", "family" : "Wuebbles", "given" : "D.", "non-dropping-particle" : "", "parse-names" : false, "suffix" : "" } ], "container-title" : "Journal of Great Lakes Research", "id" : "ITEM-1", "issue" : "SUPPL. 2", "issued" : { "date-parts" : [ [ "2010" ] ] }, "page" : "7-21", "publisher" : "Elsevier B.V.", "title" : "Regional climate change projections for Chicago and the US Great Lakes", "type" : "article-journal", "volume" : "36" }, "uris" : [ "http://www.mendeley.com/documents/?uuid=6bcebf20-fb45-4bc5-b4dd-e5957e944caf" ] } ], "mendeley" : { "formattedCitation" : "(Hayhoe et al. 2010)", "manualFormatting" : "(Hayhoe et al., 2010)", "plainTextFormattedCitation" : "(Hayhoe et al. 2010)", "previouslyFormattedCitation" : "(Hayhoe et al. 2010)" }, "properties" : { "noteIndex" : 0 }, "schema" : "https://github.com/citation-style-language/schema/raw/master/csl-citation.json" }</w:instrText>
      </w:r>
      <w:r w:rsidRPr="008608AA">
        <w:rPr>
          <w:rFonts w:eastAsia="Calibri"/>
        </w:rPr>
        <w:fldChar w:fldCharType="separate"/>
      </w:r>
      <w:r w:rsidRPr="008608AA">
        <w:rPr>
          <w:rFonts w:eastAsia="Calibri"/>
          <w:noProof/>
        </w:rPr>
        <w:t>(Hayhoe et al., 2010)</w:t>
      </w:r>
      <w:r w:rsidRPr="008608AA">
        <w:rPr>
          <w:rFonts w:eastAsia="Calibri"/>
        </w:rPr>
        <w:fldChar w:fldCharType="end"/>
      </w:r>
      <w:r w:rsidR="00505692" w:rsidRPr="008608AA">
        <w:rPr>
          <w:rFonts w:eastAsia="Calibri"/>
        </w:rPr>
        <w:t>.</w:t>
      </w:r>
      <w:r w:rsidRPr="008608AA">
        <w:rPr>
          <w:rFonts w:eastAsia="Calibri"/>
        </w:rPr>
        <w:t xml:space="preserve"> Those temperature changes have advanced the timing of spring, lengthened the growing season </w:t>
      </w:r>
      <w:r w:rsidRPr="008608AA">
        <w:rPr>
          <w:rFonts w:eastAsia="Calibri"/>
        </w:rPr>
        <w:fldChar w:fldCharType="begin" w:fldLock="1"/>
      </w:r>
      <w:r w:rsidRPr="008608AA">
        <w:rPr>
          <w:rFonts w:eastAsia="Calibri"/>
        </w:rPr>
        <w:instrText>ADDIN CSL_CITATION { "citationItems" : [ { "id" : "ITEM-1", "itemData" : { "DOI" : "10.1023/A:1013088011223", "ISBN" : "0165-0009", "ISSN" : "01650009", "abstract" : "Using daily minimum air-temperature (T-min) data from the state of Illinois, the dates of spring and fall freezes - and the resulting growing-season length - are examined for trends during the period 1906-1997. Of the stations in the Daily Historical Climate Network, most show trends toward earlier spring freezes; however, trends in fall freezes are not consistent over the station network. Although the time series are highly variable (noisy), results suggest that the growing-season length in Illinois became roughly one week longer during the 20th century. To examine how changing freeze-date statistics relate to changing air-temperature probability distributions, percentiles of T-min for moving 10-year periods were analyzed for trends during the typical times for spring and fall freezes in Illinois (i.e., the months of April and October). The lower portion of the April probability distribution shows substantially larger warming (0.5-0.7 degrees C/100 yrs) than the upper portion of the distribution (0.2-0.3 degrees C/100 yrs), suggesting that although cold events are warming during April, warm events are not warming as fast. Conversely, the lower portion of the October probability distribution shows modest cooling in T-min (-0.2 degrees C/100 yrs for the 10th percentile), while middle and upper portions of the distribution show very large rates of cooling (up to -1.5 degrees C/100 yrs for the 40th-70th percentiles). Analysis of the entire probability distribution provides a more-comprehensive perspective on climatic change than does the traditional focus on central tendency.", "author" : [ { "dropping-particle" : "", "family" : "Robeson", "given" : "Scott M.", "non-dropping-particle" : "", "parse-names" : false, "suffix" : "" } ], "container-title" : "Climatic Change", "id" : "ITEM-1", "issue" : "1-2", "issued" : { "date-parts" : [ [ "2002" ] ] }, "page" : "219-238", "title" : "Increasing growing-season length in Illinois during the 20th century", "type" : "article-journal", "volume" : "52" }, "uris" : [ "http://www.mendeley.com/documents/?uuid=a61ee8be-ad38-42b0-bef7-15c6819934a4" ] } ], "mendeley" : { "formattedCitation" : "(Robeson 2002)", "plainTextFormattedCitation" : "(Robeson 2002)", "previouslyFormattedCitation" : "(Robeson 2002)" }, "properties" : { "noteIndex" : 0 }, "schema" : "https://github.com/citation-style-language/schema/raw/master/csl-citation.json" }</w:instrText>
      </w:r>
      <w:r w:rsidRPr="008608AA">
        <w:rPr>
          <w:rFonts w:eastAsia="Calibri"/>
        </w:rPr>
        <w:fldChar w:fldCharType="separate"/>
      </w:r>
      <w:r w:rsidRPr="008608AA">
        <w:rPr>
          <w:rFonts w:eastAsia="Calibri"/>
          <w:noProof/>
        </w:rPr>
        <w:t>(Robeson</w:t>
      </w:r>
      <w:r w:rsidR="005E0354" w:rsidRPr="008608AA">
        <w:rPr>
          <w:rFonts w:eastAsia="Calibri"/>
          <w:noProof/>
        </w:rPr>
        <w:t>,</w:t>
      </w:r>
      <w:r w:rsidRPr="008608AA">
        <w:rPr>
          <w:rFonts w:eastAsia="Calibri"/>
          <w:noProof/>
        </w:rPr>
        <w:t xml:space="preserve"> 2002)</w:t>
      </w:r>
      <w:r w:rsidRPr="008608AA">
        <w:rPr>
          <w:rFonts w:eastAsia="Calibri"/>
        </w:rPr>
        <w:fldChar w:fldCharType="end"/>
      </w:r>
      <w:r w:rsidRPr="008608AA">
        <w:rPr>
          <w:rFonts w:eastAsia="Calibri"/>
        </w:rPr>
        <w:t xml:space="preserve">, and produced low lake levels </w:t>
      </w:r>
      <w:r w:rsidRPr="008608AA">
        <w:rPr>
          <w:rFonts w:eastAsia="Calibri"/>
        </w:rPr>
        <w:fldChar w:fldCharType="begin" w:fldLock="1"/>
      </w:r>
      <w:r w:rsidRPr="008608AA">
        <w:rPr>
          <w:rFonts w:eastAsia="Calibri"/>
        </w:rPr>
        <w:instrText>ADDIN CSL_CITATION { "citationItems" : [ { "id" : "ITEM-1", "itemData" : { "DOI" : "10.1175/JCLI-D-14-00847.1", "ISSN" : "08948755", "author" : [ { "dropping-particle" : "", "family" : "Notaro", "given" : "Michael", "non-dropping-particle" : "", "parse-names" : false, "suffix" : "" }, { "dropping-particle" : "", "family" : "Bennington", "given" : "Val", "non-dropping-particle" : "", "parse-names" : false, "suffix" : "" }, { "dropping-particle" : "", "family" : "Lofgren", "given" : "Brent", "non-dropping-particle" : "", "parse-names" : false, "suffix" : "" } ], "container-title" : "Journal of Climate", "id" : "ITEM-1", "issued" : { "date-parts" : [ [ "2015" ] ] }, "page" : "9721-9745", "title" : "Dynamical downscaling-based projections of Great Lakes' water levels.", "type" : "article-journal", "volume" : "In Revisio" }, "uris" : [ "http://www.mendeley.com/documents/?uuid=1cae7659-4a96-4c7c-a5c9-94cad4030484" ] } ], "mendeley" : { "formattedCitation" : "(Notaro et al. 2015)", "manualFormatting" : "(Notaro et al., 2015a)", "plainTextFormattedCitation" : "(Notaro et al. 2015)", "previouslyFormattedCitation" : "(Notaro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(Notaro et al., 2015a)</w:t>
      </w:r>
      <w:r w:rsidRPr="008608AA">
        <w:rPr>
          <w:rFonts w:eastAsia="Calibri"/>
        </w:rPr>
        <w:fldChar w:fldCharType="end"/>
      </w:r>
      <w:r w:rsidRPr="008608AA">
        <w:rPr>
          <w:rFonts w:eastAsia="Calibri"/>
        </w:rPr>
        <w:t xml:space="preserve">.  </w:t>
      </w:r>
    </w:p>
    <w:p w14:paraId="6D7154F9" w14:textId="2B8E6303" w:rsidR="001E61A6" w:rsidRPr="008608AA" w:rsidRDefault="001E61A6" w:rsidP="00A345FC">
      <w:pPr>
        <w:spacing w:before="120"/>
        <w:rPr>
          <w:rFonts w:eastAsia="Calibri"/>
        </w:rPr>
      </w:pPr>
      <w:r w:rsidRPr="008608AA">
        <w:rPr>
          <w:rFonts w:eastAsia="Calibri"/>
        </w:rPr>
        <w:t xml:space="preserve">The frequency of heavy rainfall events has nearly doubled since the 1930’s </w:t>
      </w:r>
      <w:r w:rsidRPr="008608AA">
        <w:rPr>
          <w:rFonts w:eastAsia="Calibri"/>
        </w:rPr>
        <w:fldChar w:fldCharType="begin" w:fldLock="1"/>
      </w:r>
      <w:r w:rsidRPr="008608AA">
        <w:rPr>
          <w:rFonts w:eastAsia="Calibri"/>
        </w:rPr>
        <w:instrText>ADDIN CSL_CITATION { "citationItems" : [ { "id" : "ITEM-1", "itemData" : { "abstract" : "Characteristics of heavy rainfall events are important in the design of water-handling structures, agriculture, weather modification, and in monitoring climate change. Traditionally it is assumed that the extreme rainfall time series are stationary with no trends. This assumption may not be true for portions of the Midwestern United States. A newly digitized record of precipitation for 304 sites that extends back to 1901 was used to examine this assumption. Results for the entire Midwest show that stations are more likely to experience their heaviest rainfall events in more recent years. An analysis of the geographic distribution of changes in the annual maximum time series shows areas of increases across the Midwest, The impact of the changes in the annual maximum time series can be significant in determining rainfall frequency values and consequent runoff calculations. These results suggest that rainfall frequency studies should be updated on a regular basis for maximum usefulness.", "author" : [ { "dropping-particle" : "", "family" : "Angel", "given" : "J R", "non-dropping-particle" : "", "parse-names" : false, "suffix" : "" }, { "dropping-particle" : "", "family" : "Huff", "given" : "F A", "non-dropping-particle" : "", "parse-names" : false, "suffix" : "" } ], "container-title" : "Journal of Water Resources Planning and Management - ASCE", "id" : "ITEM-1", "issue" : "4", "issued" : { "date-parts" : [ [ "1997" ] ] }, "page" : "246-249", "title" : "Changes in heavy rainfall in midwestern United States", "type" : "article-journal", "volume" : "123" }, "uris" : [ "http://www.mendeley.com/documents/?uuid=4392a43c-7eec-41dd-bbf7-f46171e1c751" ] }, { "id" : "ITEM-2", "itemData" : { "DOI" : "http://dx.doi.org/10.1175/1520-0442(1999)012&lt;2515:LTTIEP&gt;2.0.CO;2", "ISBN" : "0894-8755", "ISSN" : "0894-8755", "abstract" : "This paper describes the results of an analysis of trends in short duration (1\u20137 days) extreme precipitation events that have a recurrence interval of 1 yr or longer for stations in the United States and Canada. This definition of extreme precipitation was chosen because such events are highly correlated with hydrologic flooding in some U.S. regions. The dominant temporal characteristic of a national event composite index is significant low-frequency variability. There were lengthy periods of a below-average number of events in the 1930s and 1950s and an above-average number of events in the early 1940s, early 1980s, and 1990s. Regional variations often differ substantially from the national composite. A simple linear analysis indicates that the overall trend covering the period 1931\u201396 has been upward at a highly statistically significant rate over the southwest United States and in a broad region from the central Great Plains across the middle Mississippi River and southern Great Lakes basins. The national trend for the United States is upward at a rate of 3% decade?1 for the period 1931\u201396. While the annual trend for Canada is upward for the period 1951\u201393, it is not statistically significant. Although the high statistical significance of the results is partially a consequence of the low frequency during the 1930s and 1950s located in the first half of the record, the latter half of the record exhibits an upward trend nearly identical to the entire record. However, an analysis of a 101-yr record of midwestern stations shows that heavy precipitation event frequencies around the turn of the twentieth century (1896\u20131906) were higher than for other periods of comparable length, except for 1986\u201396. Although data were not available in digital form to extend the analysis back to 1896 for the entire United States, the midwestern analysis shows that interpretation of the recent upward trends must account for the possibility of significant natural forcing of variability on century timescales.", "author" : [ { "dropping-particle" : "", "family" : "Kunkel", "given" : "Kenneth E", "non-dropping-particle" : "", "parse-names" : false, "suffix" : "" }, { "dropping-particle" : "", "family" : "Andsager", "given" : "Karen", "non-dropping-particle" : "", "parse-names" : false, "suffix" : "" }, { "dropping-particle" : "", "family" : "Easterling", "given" : "Dr David R", "non-dropping-particle" : "", "parse-names" : false, "suffix" : "" } ], "container-title" : "Journal of Climate", "id" : "ITEM-2", "issue" : "1998", "issued" : { "date-parts" : [ [ "1999" ] ] }, "page" : "2515-2527", "title" : "Long-Term Trends in Extreme Precipitation Events over the Conterminous United States and Canada", "type" : "article-journal", "volume" : "12" }, "uris" : [ "http://www.mendeley.com/documents/?uuid=4078883c-41a2-4095-a468-d52771fda8f0" ] }, { "id" : "ITEM-3", "itemData" : { "DOI" : "10.1016/j.jhydrol.2011.01.027", "ISBN" : "00221694", "ISSN" : "00221694", "PMID" : "14527570", "abstract" : "Annual maximum daily rainfall time series from 221 rain gages in the Midwest United States with a record of at least 75. years are used to study extreme rainfall from a regional perspective. The main topics of this study are: (i) seasonality of extreme rainfall; (ii) temporal stationarity and long-term persistence of annual maximum daily rainfall; (iii) frequency analyses of annual maximum daily rainfall based on extreme value theory; and (iv) clustering of heavy rainfall events and impact of climate variables on the frequency of occurrence of heavy rainfall events.Annual maximum daily rainfall in the Midwest US exhibits a marked seasonality, with the largest frequencies concentrated in the period May-August. Non-parametric tests are used to examine the validity of the stationarity assumption in terms of both abrupt and slowly varying temporal changes. About 10% of the stations show a change-point in mean and/or variance. Increasing monotonic patterns are detected at 19 stations. Quantile regression analyses suggest that the number of stations with a significant increasing trend tends to decrease for increasing quantiles. Temporal changes in the annual maximum daily rainfall time series are also examined in terms of long-term persistence. Conclusive statements about the presence of long-term persistence in these records are, however, not possible due to the large uncertainties associated with the estimation of the Hurst exponent from a limited sample. Modeling of annual maximum daily rainfall records with the Generalized Extreme Value (GEV) distribution shows well-defined spatial patterns for the location and scale parameters but not for the shape parameter. Examination of the upper tail properties of the annual maximum daily rainfall records points to a heavy tail behavior for most of the stations considered in this study. The largest values of the 100-year annual maximum daily rainfall are found in the area between eastern Kansas, Iowa, and Missouri. Finally, we use the Poisson regression as a framework for the examination of clustering of heavy rainfall. Our results point to a clustering behavior due to temporal fluctuations in the rate of occurrence of the heavy rainfall events, which is modulated by climatic factors representing the influence of both Atlantic and Pacific Oceans. \u00a9 2011 Elsevier B.V.", "author" : [ { "dropping-particle" : "", "family" : "Villarini", "given" : "Gabriele", "non-dropping-particle" : "", "parse-names" : false, "suffix" : "" }, { "dropping-particle" : "", "family" : "Smith", "given" : "James A.", "non-dropping-particle" : "", "parse-names" : false, "suffix" : "" }, { "dropping-particle" : "", "family" : "Baeck", "given" : "Mary Lynn", "non-dropping-particle" : "", "parse-names" : false, "suffix" : "" }, { "dropping-particle" : "", "family" : "Vitolo", "given" : "Renato", "non-dropping-particle" : "", "parse-names" : false, "suffix" : "" }, { "dropping-particle" : "", "family" : "Stephenson", "given" : "David B.", "non-dropping-particle" : "", "parse-names" : false, "suffix" : "" }, { "dropping-particle" : "", "family" : "Krajewski", "given" : "Witold F.", "non-dropping-particle" : "", "parse-names" : false, "suffix" : "" } ], "container-title" : "Journal of Hydrology", "id" : "ITEM-3", "issue" : "1-2", "issued" : { "date-parts" : [ [ "2011" ] ] }, "page" : "103-120", "title" : "On the frequency of heavy rainfall for the Midwest of the United States", "type" : "article-journal", "volume" : "400" }, "uris" : [ "http://www.mendeley.com/documents/?uuid=56c186cc-2ed0-48ee-9421-36243ba79f8e" ] } ], "mendeley" : { "formattedCitation" : "(Angel and Huff 1997, Kunkel et al. 1999, Villarini et al. 2011)", "plainTextFormattedCitation" : "(Angel and Huff 1997, Kunkel et al. 1999, Villarini et al. 2011)", "previouslyFormattedCitation" : "(Angel and Huff 1997, Kunkel et al. 1999, Villarini et al. 2011)" }, "properties" : { "noteIndex" : 0 }, "schema" : "https://github.com/citation-style-language/schema/raw/master/csl-citation.json" }</w:instrText>
      </w:r>
      <w:r w:rsidRPr="008608AA">
        <w:rPr>
          <w:rFonts w:eastAsia="Calibri"/>
        </w:rPr>
        <w:fldChar w:fldCharType="separate"/>
      </w:r>
      <w:r w:rsidRPr="008608AA">
        <w:rPr>
          <w:rFonts w:eastAsia="Calibri"/>
          <w:noProof/>
        </w:rPr>
        <w:t xml:space="preserve">(Angel </w:t>
      </w:r>
      <w:r w:rsidR="005E0354" w:rsidRPr="008608AA">
        <w:rPr>
          <w:rFonts w:eastAsia="Calibri"/>
          <w:noProof/>
        </w:rPr>
        <w:t>&amp;</w:t>
      </w:r>
      <w:r w:rsidRPr="008608AA">
        <w:rPr>
          <w:rFonts w:eastAsia="Calibri"/>
          <w:noProof/>
        </w:rPr>
        <w:t xml:space="preserve"> Huff</w:t>
      </w:r>
      <w:r w:rsidR="005E0354" w:rsidRPr="008608AA">
        <w:rPr>
          <w:rFonts w:eastAsia="Calibri"/>
          <w:noProof/>
        </w:rPr>
        <w:t>, 1997;</w:t>
      </w:r>
      <w:r w:rsidRPr="008608AA">
        <w:rPr>
          <w:rFonts w:eastAsia="Calibri"/>
          <w:noProof/>
        </w:rPr>
        <w:t xml:space="preserve"> Kunkel et al.</w:t>
      </w:r>
      <w:r w:rsidR="005E0354" w:rsidRPr="008608AA">
        <w:rPr>
          <w:rFonts w:eastAsia="Calibri"/>
          <w:noProof/>
        </w:rPr>
        <w:t>, 1999;</w:t>
      </w:r>
      <w:r w:rsidRPr="008608AA">
        <w:rPr>
          <w:rFonts w:eastAsia="Calibri"/>
          <w:noProof/>
        </w:rPr>
        <w:t xml:space="preserve"> Villarini et al.</w:t>
      </w:r>
      <w:r w:rsidR="005E0354" w:rsidRPr="008608AA">
        <w:rPr>
          <w:rFonts w:eastAsia="Calibri"/>
          <w:noProof/>
        </w:rPr>
        <w:t>,</w:t>
      </w:r>
      <w:r w:rsidRPr="008608AA">
        <w:rPr>
          <w:rFonts w:eastAsia="Calibri"/>
          <w:noProof/>
        </w:rPr>
        <w:t xml:space="preserve"> 2011)</w:t>
      </w:r>
      <w:r w:rsidRPr="008608AA">
        <w:rPr>
          <w:rFonts w:eastAsia="Calibri"/>
        </w:rPr>
        <w:fldChar w:fldCharType="end"/>
      </w:r>
      <w:r w:rsidRPr="008608AA">
        <w:rPr>
          <w:rFonts w:eastAsia="Calibri"/>
        </w:rPr>
        <w:t xml:space="preserve"> and is associated with hydrologic</w:t>
      </w:r>
      <w:r w:rsidR="000151A1" w:rsidRPr="008608AA">
        <w:rPr>
          <w:rFonts w:eastAsia="Calibri"/>
        </w:rPr>
        <w:t xml:space="preserve"> flooding in some areas of the m</w:t>
      </w:r>
      <w:r w:rsidRPr="008608AA">
        <w:rPr>
          <w:rFonts w:eastAsia="Calibri"/>
        </w:rPr>
        <w:t xml:space="preserve">idwest </w:t>
      </w:r>
      <w:r w:rsidRPr="008608AA">
        <w:rPr>
          <w:rFonts w:eastAsia="Calibri"/>
        </w:rPr>
        <w:fldChar w:fldCharType="begin" w:fldLock="1"/>
      </w:r>
      <w:r w:rsidRPr="008608AA">
        <w:rPr>
          <w:rFonts w:eastAsia="Calibri"/>
        </w:rPr>
        <w:instrText>ADDIN CSL_CITATION { "citationItems" : [ { "id" : "ITEM-1", "itemData" : { "DOI" : "10.1175/BAMS-D-12-00066.1", "ISBN" : "i1520-0477-94-6-821", "ISSN" : "00030007", "abstract" : "Weather and climate extremes have been varying and changing on many different time scales. In recent decades, heat waves have generally become more frequent across the United States, while cold waves have been decreasing. While this is in keeping with expectations in a warming climate, it turns out that decadal variations in the number of U.S. heat and cold waves do not correlate well with the observed U.S. warming during the last century. Annual peak flow data reveal that river flooding trends on the century scale do not show uniform changes across the country. While flood magnitudes in the Southwest have been decreasing, flood magnitudes in the Northeast and north-central United States have been increasing. Confounding the analysis of trends in river flooding is multiyear and even multidecadal variability likely caused by both large-scale atmospheric circulation changes and basin-scale memory in the form of soil moisture. Droughts also have long-term trends as well as multiyear and decadal variability. Instrumental data indicate that the Dust Bowl of the 1930s and the drought in the 1950s were the most significant twentieth-century droughts in the United States, while tree ring data indicate that the megadroughts over the twelfth century exceeded anything in the twentieth century in both spatial extent and duration. The state of knowledge of the factors that cause heat waves, cold waves, floods, and drought to change is fairly good with heat waves being the best understood.", "author" : [ { "dropping-particle" : "", "family" : "Peterson", "given" : "Thomas C.", "non-dropping-particle" : "", "parse-names" : false, "suffix" : "" }, { "dropping-particle" : "", "family" : "Heim", "given" : "Richard R.", "non-dropping-particle" : "", "parse-names" : false, "suffix" : "" }, { "dropping-particle" : "", "family" : "Hirsch", "given" : "Robert", "non-dropping-particle" : "", "parse-names" : false, "suffix" : "" }, { "dropping-particle" : "", "family" : "Kaiser", "given" : "Dale P.", "non-dropping-particle" : "", "parse-names" : false, "suffix" : "" }, { "dropping-particle" : "", "family" : "Brooks", "given" : "Harold", "non-dropping-particle" : "", "parse-names" : false, "suffix" : "" }, { "dropping-particle" : "", "family" : "Diffenbaugh", "given" : "Noah S.", "non-dropping-particle" : "", "parse-names" : false, "suffix" : "" }, { "dropping-particle" : "", "family" : "Dole", "given" : "Randall M.", "non-dropping-particle" : "", "parse-names" : false, "suffix" : "" }, { "dropping-particle" : "", "family" : "Giovannettone", "given" : "Jason P.", "non-dropping-particle" : "", "parse-names" : false, "suffix" : "" }, { "dropping-particle" : "", "family" : "Guirguis", "given" : "Kristen", "non-dropping-particle" : "", "parse-names" : false, "suffix" : "" }, { "dropping-particle" : "", "family" : "Karl", "given" : "Thomas R.", "non-dropping-particle" : "", "parse-names" : false, "suffix" : "" }, { "dropping-particle" : "", "family" : "Katz", "given" : "Richard W.", "non-dropping-particle" : "", "parse-names" : false, "suffix" : "" }, { "dropping-particle" : "", "family" : "Kunkel", "given" : "Kenneth", "non-dropping-particle" : "", "parse-names" : false, "suffix" : "" }, { "dropping-particle" : "", "family" : "Lettenmaier", "given" : "Dennis", "non-dropping-particle" : "", "parse-names" : false, "suffix" : "" }, { "dropping-particle" : "", "family" : "McCabe", "given" : "Gregory J.", "non-dropping-particle" : "", "parse-names" : false, "suffix" : "" }, { "dropping-particle" : "", "family" : "Paciorek", "given" : "Christopher J.", "non-dropping-particle" : "", "parse-names" : false, "suffix" : "" }, { "dropping-particle" : "", "family" : "Ryberg", "given" : "Karen R.", "non-dropping-particle" : "", "parse-names" : false, "suffix" : "" }, { "dropping-particle" : "", "family" : "Schubert", "given" : "Siegfried", "non-dropping-particle" : "", "parse-names" : false, "suffix" : "" }, { "dropping-particle" : "", "family" : "Silva", "given" : "Viviane B.S.", "non-dropping-particle" : "", "parse-names" : false, "suffix" : "" }, { "dropping-particle" : "", "family" : "Stewart", "given" : "Brooke C.", "non-dropping-particle" : "", "parse-names" : false, "suffix" : "" }, { "dropping-particle" : "V.", "family" : "Vecchia", "given" : "Aldo", "non-dropping-particle" : "", "parse-names" : false, "suffix" : "" }, { "dropping-particle" : "", "family" : "Villarini", "given" : "Gabriele", "non-dropping-particle" : "", "parse-names" : false, "suffix" : "" }, { "dropping-particle" : "", "family" : "Vose", "given" : "Russell S.", "non-dropping-particle" : "", "parse-names" : false, "suffix" : "" }, { "dropping-particle" : "", "family" : "Walsh", "given" : "John", "non-dropping-particle" : "", "parse-names" : false, "suffix" : "" }, { "dropping-particle" : "", "family" : "Wehner", "given" : "Michael", "non-dropping-particle" : "", "parse-names" : false, "suffix" : "" }, { "dropping-particle" : "", "family" : "Wolock", "given" : "David", "non-dropping-particle" : "", "parse-names" : false, "suffix" : "" }, { "dropping-particle" : "", "family" : "Wolter", "given" : "Klaus", "non-dropping-particle" : "", "parse-names" : false, "suffix" : "" }, { "dropping-particle" : "", "family" : "Woodhouse", "given" : "Connie A.", "non-dropping-particle" : "", "parse-names" : false, "suffix" : "" }, { "dropping-particle" : "", "family" : "Wuebbles", "given" : "Donald", "non-dropping-particle" : "", "parse-names" : false, "suffix" : "" } ], "container-title" : "Bulletin of the American Meteorological Society", "id" : "ITEM-1", "issue" : "6", "issued" : { "date-parts" : [ [ "2013" ] ] }, "page" : "821-834", "title" : "Monitoring and understanding changes in heat waves, cold waves, floods, and droughts in the United States: State of knowledge", "type" : "article-journal", "volume" : "94" }, "uris" : [ "http://www.mendeley.com/documents/?uuid=0535395e-9bb2-4eef-a2e2-37c5f6110a34" ] } ], "mendeley" : { "formattedCitation" : "(Peterson et al. 2013)", "plainTextFormattedCitation" : "(Peterson et al. 2013)", "previouslyFormattedCitation" : "(Peterson et al. 2013)" }, "properties" : { "noteIndex" : 0 }, "schema" : "https://github.com/citation-style-language/schema/raw/master/csl-citation.json" }</w:instrText>
      </w:r>
      <w:r w:rsidRPr="008608AA">
        <w:rPr>
          <w:rFonts w:eastAsia="Calibri"/>
        </w:rPr>
        <w:fldChar w:fldCharType="separate"/>
      </w:r>
      <w:r w:rsidRPr="008608AA">
        <w:rPr>
          <w:rFonts w:eastAsia="Calibri"/>
          <w:noProof/>
        </w:rPr>
        <w:t>(Peterson et al.</w:t>
      </w:r>
      <w:r w:rsidR="005E0354" w:rsidRPr="008608AA">
        <w:rPr>
          <w:rFonts w:eastAsia="Calibri"/>
          <w:noProof/>
        </w:rPr>
        <w:t>,</w:t>
      </w:r>
      <w:r w:rsidRPr="008608AA">
        <w:rPr>
          <w:rFonts w:eastAsia="Calibri"/>
          <w:noProof/>
        </w:rPr>
        <w:t xml:space="preserve"> 2013)</w:t>
      </w:r>
      <w:r w:rsidRPr="008608AA">
        <w:rPr>
          <w:rFonts w:eastAsia="Calibri"/>
        </w:rPr>
        <w:fldChar w:fldCharType="end"/>
      </w:r>
      <w:r w:rsidR="00AE3491" w:rsidRPr="008608AA">
        <w:rPr>
          <w:rFonts w:eastAsia="Calibri"/>
        </w:rPr>
        <w:t xml:space="preserve">. </w:t>
      </w:r>
      <w:r w:rsidRPr="008608AA">
        <w:rPr>
          <w:rFonts w:eastAsia="Calibri"/>
        </w:rPr>
        <w:t>Increased lake surface temperatures, frequent and intense cyclones, and reduced ice cover have been associated with more occurrences of lake-ef</w:t>
      </w:r>
      <w:r w:rsidR="005E0354" w:rsidRPr="008608AA">
        <w:rPr>
          <w:rFonts w:eastAsia="Calibri"/>
        </w:rPr>
        <w:t>fect snow (Burnett et al., 2003;</w:t>
      </w:r>
      <w:r w:rsidRPr="008608AA">
        <w:rPr>
          <w:rFonts w:eastAsia="Calibri"/>
        </w:rPr>
        <w:t xml:space="preserve"> Kunkel et al., 2009), which can affect hydrologic systems and species that are sensitive to changing moisture regimes (Davis et al.</w:t>
      </w:r>
      <w:r w:rsidR="005E0354" w:rsidRPr="008608AA">
        <w:rPr>
          <w:rFonts w:eastAsia="Calibri"/>
        </w:rPr>
        <w:t>, 2000;</w:t>
      </w:r>
      <w:r w:rsidR="000151A1" w:rsidRPr="008608AA">
        <w:rPr>
          <w:rFonts w:eastAsia="Calibri"/>
        </w:rPr>
        <w:t xml:space="preserve"> Burnett et al., 2003). </w:t>
      </w:r>
      <w:r w:rsidRPr="008608AA">
        <w:rPr>
          <w:rFonts w:eastAsia="Calibri"/>
        </w:rPr>
        <w:t>Warming lake temperatures have been shown to generate low oxygen conditions in deeper portions of the lakes and extreme precipitation and drought events may play a role in harmful algae growth (Zhou et al., 2015), both affecting fish growth, reproduction, and s</w:t>
      </w:r>
      <w:r w:rsidR="00AE3491" w:rsidRPr="008608AA">
        <w:rPr>
          <w:rFonts w:eastAsia="Calibri"/>
        </w:rPr>
        <w:t xml:space="preserve">urvival (Scavia et al., 2014). </w:t>
      </w:r>
      <w:r w:rsidRPr="008608AA">
        <w:rPr>
          <w:rFonts w:eastAsia="Calibri"/>
        </w:rPr>
        <w:t xml:space="preserve">Additionally, warming lakes have been shown to alter the extent and duration of temperature preferences for some commercially important fish species, potentially intensifying competition and food-web interactions (Cline et al., 2013).  </w:t>
      </w:r>
    </w:p>
    <w:p w14:paraId="2FD5BABC" w14:textId="3D962A50" w:rsidR="001E61A6" w:rsidRPr="008608AA" w:rsidRDefault="001E61A6" w:rsidP="00A345FC">
      <w:pPr>
        <w:spacing w:before="120"/>
        <w:rPr>
          <w:rFonts w:eastAsia="Calibri"/>
        </w:rPr>
      </w:pPr>
      <w:r w:rsidRPr="008608AA">
        <w:rPr>
          <w:rFonts w:eastAsia="Calibri"/>
        </w:rPr>
        <w:t xml:space="preserve">Ice cover in the Great Lakes is projected to continue declining and will eventually be restricted to the northern lake shores in mid- to late winter (Notaro et al., 2015b).  Enhanced evaporation from lack of ice cover will increase lake-effect precipitation, but it will consist primarily of rain due to increasing temperatures (Notaro et al., 2015b).  However, because both precipitation and evaporation over lakes is expected to increase, the influence on lake levels is still unclear (Angel </w:t>
      </w:r>
      <w:r w:rsidR="005E0354" w:rsidRPr="008608AA">
        <w:rPr>
          <w:rFonts w:eastAsia="Calibri"/>
        </w:rPr>
        <w:t>&amp;</w:t>
      </w:r>
      <w:r w:rsidRPr="008608AA">
        <w:rPr>
          <w:rFonts w:eastAsia="Calibri"/>
        </w:rPr>
        <w:t xml:space="preserve"> Kunkel</w:t>
      </w:r>
      <w:r w:rsidR="005E0354" w:rsidRPr="008608AA">
        <w:rPr>
          <w:rFonts w:eastAsia="Calibri"/>
        </w:rPr>
        <w:t>, 2010;</w:t>
      </w:r>
      <w:r w:rsidRPr="008608AA">
        <w:rPr>
          <w:rFonts w:eastAsia="Calibri"/>
        </w:rPr>
        <w:t xml:space="preserve"> Notaro et al., 2015a).</w:t>
      </w:r>
    </w:p>
    <w:p w14:paraId="356995E4" w14:textId="06CE8113" w:rsidR="001E61A6" w:rsidRPr="008608AA" w:rsidRDefault="001E61A6" w:rsidP="00A345FC">
      <w:pPr>
        <w:spacing w:before="120"/>
        <w:rPr>
          <w:rFonts w:eastAsia="Calibri"/>
        </w:rPr>
      </w:pPr>
      <w:r w:rsidRPr="008608AA">
        <w:rPr>
          <w:rFonts w:eastAsiaTheme="majorEastAsia"/>
        </w:rPr>
        <w:t>The pelagic ocean is presenting changes in major wind patterns, ocean currents, temperature, and pH (e.g. Bates et al., 2014; Muller-Karger et al., 2015). For ex</w:t>
      </w:r>
      <w:r w:rsidR="000151A1" w:rsidRPr="008608AA">
        <w:rPr>
          <w:rFonts w:eastAsiaTheme="majorEastAsia"/>
        </w:rPr>
        <w:t>ample, it is expected that the n</w:t>
      </w:r>
      <w:r w:rsidRPr="008608AA">
        <w:rPr>
          <w:rFonts w:eastAsiaTheme="majorEastAsia"/>
        </w:rPr>
        <w:t>orth Atlantic Ocean will continue the warming trend that has been observed there over th</w:t>
      </w:r>
      <w:r w:rsidR="005E0354" w:rsidRPr="008608AA">
        <w:rPr>
          <w:rFonts w:eastAsiaTheme="majorEastAsia"/>
        </w:rPr>
        <w:t xml:space="preserve">e past decade (Liu et al., 2015, </w:t>
      </w:r>
      <w:r w:rsidRPr="008608AA">
        <w:rPr>
          <w:rFonts w:eastAsiaTheme="majorEastAsia"/>
        </w:rPr>
        <w:t xml:space="preserve">2016). These changes are expected to have an impact on suitable habitat of a number of valuable fish and affect fisheries that depend on them </w:t>
      </w:r>
      <w:r w:rsidRPr="008608AA">
        <w:rPr>
          <w:rFonts w:eastAsiaTheme="majorEastAsia"/>
        </w:rPr>
        <w:fldChar w:fldCharType="begin" w:fldLock="1"/>
      </w:r>
      <w:r w:rsidRPr="008608AA">
        <w:rPr>
          <w:rFonts w:eastAsiaTheme="majorEastAsia"/>
        </w:rPr>
        <w:instrText>ADDIN CSL_CITATION { "citationItems" : [ { "id" : "ITEM-1", "itemData" : { "DOI" : "10.1093/icesjms/fsw215", "ISSN" : "10959289", "abstract" : "Climate change is likely to drive complex shifts in the distribution and ecology of marine species. Projections of future changes may vary, however, depending on the biological impact model used. In this study, we compared a correlative species distribution model and a simple mechanistic oxygen balance model for Atlantic bluefin tuna (Thunnus thynnus: ABFT) in the North Atlantic Ocean. Both models gave similar results for the recent historical time period, and suggested that ABFT generally occupy favourable metabolic habitats. Projections from an earth system model showed largely temperature-induced reductions in ABFT habitat in the tropical and sub-tropical Atlantic by 2100. However, the oxygen balance model showed more optimistic results in parts of the subpolar North Atlantic. This was partially due to an inherent ability to extrapolate beyond conditions currently encountered by pelagic longline fishing fleets. Projections included considerable uncertainty due to the simplicity of the biological models, and the coarse spatiotemporal resolution of the analyses. Despite these limitations, our results suggest that climate change is likely to increase metabolic stress on ABFT in sub-tropical habitats, but may improve habitat suitability in subpolar habitats, with implications for spawning and migratory behaviours, and availability to fishing fleets.", "author" : [ { "dropping-particle" : "", "family" : "Muhling", "given" : "Barbara A.", "non-dropping-particle" : "", "parse-names" : false, "suffix" : "" }, { "dropping-particle" : "", "family" : "Brill", "given" : "Richard", "non-dropping-particle" : "", "parse-names" : false, "suffix" : "" }, { "dropping-particle" : "", "family" : "Lamkin", "given" : "John T.", "non-dropping-particle" : "", "parse-names" : false, "suffix" : "" }, { "dropping-particle" : "", "family" : "Roffer", "given" : "Mitchell A.", "non-dropping-particle" : "", "parse-names" : false, "suffix" : "" }, { "dropping-particle" : "", "family" : "Lee", "given" : "Sang Ki", "non-dropping-particle" : "", "parse-names" : false, "suffix" : "" }, { "dropping-particle" : "", "family" : "Liu", "given" : "Yanyun", "non-dropping-particle" : "", "parse-names" : false, "suffix" : "" }, { "dropping-particle" : "", "family" : "Muller-Karger", "given" : "Frank", "non-dropping-particle" : "", "parse-names" : false, "suffix" : "" } ], "container-title" : "ICES Journal of Marine Science", "id" : "ITEM-1", "issue" : "3", "issued" : { "date-parts" : [ [ "2017" ] ] }, "page" : "698-716", "title" : "Projections of future habitat use by Atlantic bluefin tuna: Mechanistic vs. correlative distribution models", "type" : "article-journal", "volume" : "74" }, "uris" : [ "http://www.mendeley.com/documents/?uuid=0cdd1d15-236a-4ad6-b1e7-dc8a03639e84" ] }, { "id" : "ITEM-2", "itemData" : { "DOI" : "10.1016/j.jmarsys.2015.01.010", "ISBN" : "0924-7963", "ISSN" : "09247963", "abstract" : "Increasing water temperatures due to climate change will likely have significant impacts on distributions and life histories of Atlantic tunas. In this study, we combined predictive habitat models with a downscaled climate model to examine potential impacts on adults and larvae of Atlantic bluefin tuna (. Thunnus thynnus) and skipjack tuna (. Katsuwonus pelamis) in the Intra-Americas Sea (IAS). An additional downscaled model covering the 20th century was used to compare habitat fluctuations from natural variability to predicted future changes under two climate change scenarios: Representative Concentration Pathway (RCP) 4.5 (medium-low) and RCP 8.5 (high). Results showed marked temperature-induced habitat losses for both adult and larval bluefin tuna on their northern Gulf of Mexico spawning grounds. In contrast, habitat suitability for skipjack tuna increased as temperatures warmed. Model error was highest for the two skipjack tuna models, particularly at higher temperatures. This work suggests that influences of climate change on highly migratory Atlantic tuna species are likely to be substantial, but strongly species-specific. While impacts on fish populations remain uncertain, these changes in habitat suitability will likely alter the spatial and temporal availability of species to fishing fleets, and challenge equilibrium assumptions of environmental stability, upon which fisheries management benchmarks are based.", "author" : [ { "dropping-particle" : "", "family" : "Muhling", "given" : "Barbara A.", "non-dropping-particle" : "", "parse-names" : false, "suffix" : "" }, { "dropping-particle" : "", "family" : "Liu", "given" : "Yanyun", "non-dropping-particle" : "", "parse-names" : false, "suffix" : "" }, { "dropping-particle" : "", "family" : "Lee", "given" : "Sang Ki", "non-dropping-particle" : "", "parse-names" : false, "suffix" : "" }, { "dropping-particle" : "", "family" : "Lamkin", "given" : "John T.", "non-dropping-particle" : "", "parse-names" : false, "suffix" : "" }, { "dropping-particle" : "", "family" : "Roffer", "given" : "Mitchell A.", "non-dropping-particle" : "", "parse-names" : false, "suffix" : "" }, { "dropping-particle" : "", "family" : "Muller-Karger", "given" : "Frank", "non-dropping-particle" : "", "parse-names" : false, "suffix" : "" }, { "dropping-particle" : "", "family" : "Walter", "given" : "John F.", "non-dropping-particle" : "", "parse-names" : false, "suffix" : "" } ], "container-title" : "Journal of Marine Systems", "id" : "ITEM-2", "issued" : { "date-parts" : [ [ "2015" ] ] }, "page" : "1-13", "title" : "Potential impact of climate change on the Intra-Americas Sea: Part 2. Implications for Atlantic bluefin tuna and skipjack tuna adult and larval habitats", "type" : "article-journal", "volume" : "148" }, "uris" : [ "http://www.mendeley.com/documents/?uuid=bc282924-1df7-451e-8799-57df961a7f7f" ] }, { "id" : "ITEM-3", "itemData" : { "DOI" : "10.1080/10641260802667067", "ISBN" : "1064-1262", "ISSN" : "10641262", "abstract" : "This review provides an examination of the consequences of climate change in the coming century to saltwater sport fishing. We emphasized recreational fisheries in the U. S. Atlantic, but draw from the broader national and international literature where appropriate. Three themes were addressed: (1) climate change in the U. S. Atlantic, with a focus on increases in temperature, precipitation, sea level, the frequency and intensity of storms, and changes in ocean circulation; (2) the response of marine and estuarine fishes to climate change on an individual, population, and community-level; and (3) the response of marine and estuarine recreational fisheries to climate change. In addition, we provide strategies for the future of fisheries assessment and management in response to climate change.", "author" : [ { "dropping-particle" : "", "family" : "Kerr", "given" : "L A", "non-dropping-particle" : "", "parse-names" : false, "suffix" : "" }, { "dropping-particle" : "", "family" : "Connelly", "given" : "W J", "non-dropping-particle" : "", "parse-names" : false, "suffix" : "" }, { "dropping-particle" : "", "family" : "Martino", "given" : "E J", "non-dropping-particle" : "", "parse-names" : false, "suffix" : "" }, { "dropping-particle" : "", "family" : "Peer", "given" : "A C", "non-dropping-particle" : "", "parse-names" : false, "suffix" : "" }, { "dropping-particle" : "", "family" : "Woodland", "given" : "R J", "non-dropping-particle" : "", "parse-names" : false, "suffix" : "" }, { "dropping-particle" : "", "family" : "Secor", "given" : "D H", "non-dropping-particle" : "", "parse-names" : false, "suffix" : "" } ], "container-title" : "Reviews in Fisheries Science", "id" : "ITEM-3", "issue" : "2", "issued" : { "date-parts" : [ [ "2009" ] ] }, "page" : "267-289", "title" : "Climate Change in the U. S. Atlantic Affecting Recreational Fisheries", "type" : "article-journal", "volume" : "17" }, "uris" : [ "http://www.mendeley.com/documents/?uuid=d141abfa-a78b-4d50-bf98-e707feae4ba6" ] }, { "id" : "ITEM-4", "itemData" : { "DOI" : "10.1890/08-1863.1", "ISBN" : "1051-0761", "ISSN" : "1051-0761", "PMID" : "20405799", "abstract" : "Marine fisheries management strives to maintain sustainable populations while allowing exploitation. However, well-intentioned management plans may not meet this balance as most do not include the effect of climate change. Ocean temperatures are expected to increase through the 21st century, which will have far-reaching and complex impacts on marine fisheries. To begin to quantify these impacts for one coastal fishery along the east coast of the United States, we develop a coupled climate-population model for Atlantic croaker (Micropogonias undulatus). The model is based on a mechanistic hypothesis: recruitment is determined by temperature-driven, overwinter mortality of juveniles in their estuarine habitats. Temperature forecasts were obtained from 14 general circulation models simulating three CO2 emission scenarios. An ensemble-based approach was used in which a multimodel average was calculated for a given CO2 emission scenario to forecast the response of the population. The coupled model indicates that both exploitation and climate change significantly affect abundance and distribution of Atlantic croaker. At current levels of fishing, the average (2010-2100) spawning biomass of the population is forecast to increase by 60-100%. Similarly, the center of the population is forecast to shift 50 100 km northward. A yield analysis, which is used to calculate benchmarks for fishery management, indicates that the maximum sustainable yield will increase by 30 100%. Our results demonstrate that climate effects on fisheries must be identified, understood, and incorporated into the scientific advice provided to managers if sustainable exploitation is to be achieved in a changing climate.", "author" : [ { "dropping-particle" : "", "family" : "Hare", "given" : "Jonathan A.", "non-dropping-particle" : "", "parse-names" : false, "suffix" : "" }, { "dropping-particle" : "", "family" : "Alexander", "given" : "Michael A.", "non-dropping-particle" : "", "parse-names" : false, "suffix" : "" }, { "dropping-particle" : "", "family" : "Fogarty", "given" : "Michael J.", "non-dropping-particle" : "", "parse-names" : false, "suffix" : "" }, { "dropping-particle" : "", "family" : "Williams", "given" : "Erik H.", "non-dropping-particle" : "", "parse-names" : false, "suffix" : "" }, { "dropping-particle" : "", "family" : "Scott", "given" : "James D.", "non-dropping-particle" : "", "parse-names" : false, "suffix" : "" } ], "container-title" : "Ecological Applications", "id" : "ITEM-4", "issue" : "2", "issued" : { "date-parts" : [ [ "2010" ] ] }, "page" : "452-464", "title" : "Forecasting the dynamics of a coastal fishery species using a coupled climate\u2013population model", "type" : "article-journal", "volume" : "20" }, "uris" : [ "http://www.mendeley.com/documents/?uuid=d73b83b7-2b9d-4204-b5e8-99eb405cc8c3" ] }, { "id" : "ITEM-5", "itemData" : { "DOI" : "10.1111/j.1365-2486.2010.02229.x", "ISBN" : "1365-2486", "ISSN" : "13541013", "abstract" : "The objectives of this work were to examine the past, current and potential influence of global climate change on the spatial distribution of some commercially exploited fish and to evaluate a recently proposed new ecological niche model (ENM) called nonparametric probabilistic ecological niche model (NPPEN). This new technique is based on a modified version of the test called Multiple Response Permutation Procedure (MRPP) using the generalized Mahalanobis distance. The technique was applied in the extratropical regions of the North Atlantic Ocean on eight commercially exploited fish species using three environmental parameters (sea surface temperature, bathymetry and sea surface salinity). The numerical procedure and the model allowed a better characterization of the niche (sensu Hutchinson) and an improved modelling of the spatial distribution of the species. Furthermore, the technique appeared to be robust to incomplete or bimodal training sets. Despite some potential limitations related to the choice of the climatic scenarios (A2 and B2), the type of physical model (ECHAM 4) and the absence of consideration of biotic interactions, modelled changes in species distribution explained some current observed shifts in dominance that occurred in the North Atlantic sector, and particularly in the North Sea. Although projected changes suggest a poleward movement of species, our results indicate that some species may not be able to track their climatic envelope and that climate change may have a prominent influence on fish distribution during this century. The phenomenon is likely to trigger locally major changes in the dominance of species with likely implications for socio-economical systems. In this way, ENMs might provide a new management tool against which</w:instrText>
      </w:r>
      <w:r w:rsidRPr="008608AA">
        <w:rPr>
          <w:rFonts w:eastAsiaTheme="majorEastAsia"/>
          <w:lang w:val="fr-CA"/>
        </w:rPr>
        <w:instrText xml:space="preserve"> changes in the resource might be better anticipated. biogeography climate change ecological niche ecological niche modelling marine fish distribution projections", "author" : [ { "dropping-particle" : "", "family" : "Lenoir", "given" : "Sylvain", "non-dropping-particle" : "", "parse-names" : false, "suffix" : "" }, { "dropping-particle" : "", "family" : "Beaugrand", "given" : "Gregory", "non-dropping-particle" : "", "parse-names" : false, "suffix" : "" }, { "dropping-particle" : "", "family" : "Lecuyer", "given" : "\u00c9ric", "non-dropping-particle" : "", "parse-names" : false, "suffix" : "" } ], "container-title" : "Global Change Biology", "id" : "ITEM-5", "issue" : "1", "issued" : { "date-parts" : [ [ "2011" ] ] }, "page" : "115-129", "title" : "Modelled spatial distribution of marine fish and projected modifications in the North Atlantic Ocean", "type" : "article-journal", "volume" : "17" }, "uris" : [ "http://www.mendeley.com/documents/?uuid=c2dc9791-668a-4168-8ff2-5c2f55734079" ] } ], "mendeley" : { "formattedCitation" : "(Kerr et al. 2009, Hare et al. 2010, Lenoir et al. 2011, Muhling et al. 2015, 2017)", "plainTextFormattedCitation" : "(Kerr et al. 2009, Hare et al. 2010, Lenoir et al. 2011, Muhling et al. 2015, 2017)", "previouslyFormattedCitation" : "(Kerr et al. 2009, Hare et al. 2010, Lenoir et al. 2011, Muhling et al. 2015, 2017)"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lang w:val="fr-CA"/>
        </w:rPr>
        <w:t>(Kerr et al.</w:t>
      </w:r>
      <w:r w:rsidR="005E0354" w:rsidRPr="008608AA">
        <w:rPr>
          <w:rFonts w:eastAsiaTheme="majorEastAsia"/>
          <w:noProof/>
          <w:lang w:val="fr-CA"/>
        </w:rPr>
        <w:t>, 2009;</w:t>
      </w:r>
      <w:r w:rsidRPr="008608AA">
        <w:rPr>
          <w:rFonts w:eastAsiaTheme="majorEastAsia"/>
          <w:noProof/>
          <w:lang w:val="fr-CA"/>
        </w:rPr>
        <w:t xml:space="preserve"> Hare et al. 2010, Lenoir et al.</w:t>
      </w:r>
      <w:r w:rsidR="005E0354" w:rsidRPr="008608AA">
        <w:rPr>
          <w:rFonts w:eastAsiaTheme="majorEastAsia"/>
          <w:noProof/>
          <w:lang w:val="fr-CA"/>
        </w:rPr>
        <w:t>, 2011;</w:t>
      </w:r>
      <w:r w:rsidRPr="008608AA">
        <w:rPr>
          <w:rFonts w:eastAsiaTheme="majorEastAsia"/>
          <w:noProof/>
          <w:lang w:val="fr-CA"/>
        </w:rPr>
        <w:t xml:space="preserve"> Muhling et al.</w:t>
      </w:r>
      <w:r w:rsidR="005E0354" w:rsidRPr="008608AA">
        <w:rPr>
          <w:rFonts w:eastAsiaTheme="majorEastAsia"/>
          <w:noProof/>
          <w:lang w:val="fr-CA"/>
        </w:rPr>
        <w:t>,</w:t>
      </w:r>
      <w:r w:rsidRPr="008608AA">
        <w:rPr>
          <w:rFonts w:eastAsiaTheme="majorEastAsia"/>
          <w:noProof/>
          <w:lang w:val="fr-CA"/>
        </w:rPr>
        <w:t xml:space="preserve"> 2015, 2017)</w:t>
      </w:r>
      <w:r w:rsidRPr="008608AA">
        <w:rPr>
          <w:rFonts w:eastAsiaTheme="majorEastAsia"/>
        </w:rPr>
        <w:fldChar w:fldCharType="end"/>
      </w:r>
      <w:r w:rsidRPr="008608AA">
        <w:rPr>
          <w:rFonts w:eastAsiaTheme="majorEastAsia"/>
          <w:lang w:val="fr-CA"/>
        </w:rPr>
        <w:t xml:space="preserve">. </w:t>
      </w:r>
      <w:r w:rsidRPr="008608AA">
        <w:rPr>
          <w:rFonts w:eastAsiaTheme="majorEastAsia"/>
        </w:rPr>
        <w:t xml:space="preserve">Warming off the Alaska coast since the late 1970s triggered a </w:t>
      </w:r>
      <w:r w:rsidR="000151A1" w:rsidRPr="008608AA">
        <w:rPr>
          <w:rFonts w:eastAsiaTheme="majorEastAsia"/>
        </w:rPr>
        <w:t>decline in forage species (e.g.</w:t>
      </w:r>
      <w:r w:rsidRPr="008608AA">
        <w:rPr>
          <w:rFonts w:eastAsiaTheme="majorEastAsia"/>
        </w:rPr>
        <w:t xml:space="preserve"> shrimp and capelin) and an increase in high-trophic level groundfish </w:t>
      </w:r>
      <w:r w:rsidRPr="008608AA">
        <w:rPr>
          <w:rFonts w:eastAsiaTheme="majorEastAsia"/>
        </w:rPr>
        <w:fldChar w:fldCharType="begin" w:fldLock="1"/>
      </w:r>
      <w:r w:rsidRPr="008608AA">
        <w:rPr>
          <w:rFonts w:eastAsiaTheme="majorEastAsia"/>
        </w:rPr>
        <w:instrText>ADDIN CSL_CITATION { "citationItems" : [ { "id" : "ITEM-1", "itemData" : { "DOI" : "10.3354/meps189117", "ISBN" : "0171-8630", "ISSN" : "01718630", "PMID" : "4762696", "abstract" : "shift in ocean climate during the late 1970s triggered a reorganization of community structure in the Gulf of Alaska ecosystem, as evidenced in changing catch composition on long-term (1953 to 1997) small-mesh trawl surveys. Forage species such as pandalid shrimp and capelin declined because of recruitment failure and predation, and populations have not yet recovered. Total trawl catch biomass declined &gt;SO% and remained low through the 1980s. In contrast, recruitment of high trophiclevel groundfish improved during the 1980s, yielding a &gt;250% increase in catch biomass during the 1990s. This trophic reorganization apparently had negative effects on piscivorous sea birds and marine mammals.", "author" : [ { "dropping-particle" : "", "family" : "Anderson", "given" : "Paul J.", "non-dropping-particle" : "", "parse-names" : false, "suffix" : "" }, { "dropping-particle" : "", "family" : "Piatt", "given" : "John F.", "non-dropping-particle" : "", "parse-names" : false, "suffix" : "" } ], "container-title" : "Marine Ecology Progress Series", "id" : "ITEM-1", "issued" : { "date-parts" : [ [ "1999" ] ] }, "page" : "117-123", "title" : "Community reorganization in the Gulf of Alaska following ocean climate regime shift", "type" : "article-journal", "volume" : "189" }, "uris" : [ "http://www.mendeley.com/documents/?uuid=3c63da31-5a94-4f64-8b2f-873bb1b236f2" ] } ], "mendeley" : { "formattedCitation" : "(Anderson and Piatt 1999)", "plainTextFormattedCitation" : "(Anderson and Piatt 1999)", "previouslyFormattedCitation" : "(Anderson and Piatt 1999)"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 xml:space="preserve">(Anderson </w:t>
      </w:r>
      <w:r w:rsidR="00C85F9E" w:rsidRPr="008608AA">
        <w:rPr>
          <w:rFonts w:eastAsiaTheme="majorEastAsia"/>
          <w:noProof/>
        </w:rPr>
        <w:t>&amp;</w:t>
      </w:r>
      <w:r w:rsidRPr="008608AA">
        <w:rPr>
          <w:rFonts w:eastAsiaTheme="majorEastAsia"/>
          <w:noProof/>
        </w:rPr>
        <w:t xml:space="preserve"> Piatt</w:t>
      </w:r>
      <w:r w:rsidR="00C85F9E" w:rsidRPr="008608AA">
        <w:rPr>
          <w:rFonts w:eastAsiaTheme="majorEastAsia"/>
          <w:noProof/>
        </w:rPr>
        <w:t>,</w:t>
      </w:r>
      <w:r w:rsidRPr="008608AA">
        <w:rPr>
          <w:rFonts w:eastAsiaTheme="majorEastAsia"/>
          <w:noProof/>
        </w:rPr>
        <w:t xml:space="preserve"> 1999)</w:t>
      </w:r>
      <w:r w:rsidRPr="008608AA">
        <w:rPr>
          <w:rFonts w:eastAsiaTheme="majorEastAsia"/>
        </w:rPr>
        <w:fldChar w:fldCharType="end"/>
      </w:r>
      <w:r w:rsidRPr="008608AA">
        <w:rPr>
          <w:rFonts w:eastAsiaTheme="majorEastAsia"/>
        </w:rPr>
        <w:t xml:space="preserve">.  This community reorganization negatively affected seabirds, marine mammals, and other species that depend on forage species </w:t>
      </w:r>
      <w:r w:rsidRPr="008608AA">
        <w:rPr>
          <w:rFonts w:eastAsiaTheme="majorEastAsia"/>
        </w:rPr>
        <w:fldChar w:fldCharType="begin" w:fldLock="1"/>
      </w:r>
      <w:r w:rsidRPr="008608AA">
        <w:rPr>
          <w:rFonts w:eastAsiaTheme="majorEastAsia"/>
        </w:rPr>
        <w:instrText>ADDIN CSL_CITATION { "citationItems" : [ { "id" : "ITEM-1", "itemData" : { "DOI" : "10.3354/meps189117", "ISBN" : "0171-8630", "ISSN" : "01718630", "PMID" : "4762696", "abstract" : "shift in ocean climate during the late 1970s triggered a reorganization of community structure in the Gulf of Alaska ecosystem, as evidenced in changing catch composition on long-term (1953 to 1997) small-mesh trawl surveys. Forage species such as pandalid shrimp and capelin declined because of recruitment failure and predation, and populations have not yet recovered. Total trawl catch biomass declined &gt;SO% and remained low through the 1980s. In contrast, recruitment of high trophiclevel groundfish improved during the 1980s, yielding a &gt;250% increase in catch biomass during the 1990s. This trophic reorganization apparently had negative effects on piscivorous sea birds and marine mammals.", "author" : [ { "dropping-particle" : "", "family" : "Anderson", "given" : "Paul J.", "non-dropping-particle" : "", "parse-names" : false, "suffix" : "" }, { "dropping-particle" : "", "family" : "Piatt", "given" : "John F.", "non-dropping-particle" : "", "parse-names" : false, "suffix" : "" } ], "container-title" : "Marine Ecology Progress Series", "id" : "ITEM-1", "issued" : { "date-parts" : [ [ "1999" ] ] }, "page" : "117-123", "title" : "Community reorganization in the Gulf of Alaska following ocean climate regime shift", "type" : "article-journal", "volume" : "189" }, "uris" : [ "http://www.mendeley.com/documents/?uuid=3c63da31-5a94-4f64-8b2f-873bb1b236f2" ] } ], "mendeley" : { "formattedCitation" : "(Anderson and Piatt 1999)", "plainTextFormattedCitation" : "(Anderson and Piatt 1999)", "previouslyFormattedCitation" : "(Anderson and Piatt 1999)"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 xml:space="preserve">(Anderson </w:t>
      </w:r>
      <w:r w:rsidR="00C85F9E" w:rsidRPr="008608AA">
        <w:rPr>
          <w:rFonts w:eastAsiaTheme="majorEastAsia"/>
          <w:noProof/>
        </w:rPr>
        <w:t>&amp;</w:t>
      </w:r>
      <w:r w:rsidRPr="008608AA">
        <w:rPr>
          <w:rFonts w:eastAsiaTheme="majorEastAsia"/>
          <w:noProof/>
        </w:rPr>
        <w:t xml:space="preserve"> Piatt</w:t>
      </w:r>
      <w:r w:rsidR="00C85F9E" w:rsidRPr="008608AA">
        <w:rPr>
          <w:rFonts w:eastAsiaTheme="majorEastAsia"/>
          <w:noProof/>
        </w:rPr>
        <w:t>,</w:t>
      </w:r>
      <w:r w:rsidRPr="008608AA">
        <w:rPr>
          <w:rFonts w:eastAsiaTheme="majorEastAsia"/>
          <w:noProof/>
        </w:rPr>
        <w:t xml:space="preserve"> 1999)</w:t>
      </w:r>
      <w:r w:rsidRPr="008608AA">
        <w:rPr>
          <w:rFonts w:eastAsiaTheme="majorEastAsia"/>
        </w:rPr>
        <w:fldChar w:fldCharType="end"/>
      </w:r>
      <w:r w:rsidRPr="008608AA">
        <w:rPr>
          <w:rFonts w:eastAsiaTheme="majorEastAsia"/>
        </w:rPr>
        <w:t xml:space="preserve">.  A </w:t>
      </w:r>
      <w:r w:rsidR="000151A1" w:rsidRPr="008608AA">
        <w:rPr>
          <w:rFonts w:eastAsia="Calibri"/>
        </w:rPr>
        <w:t>warm-water anomaly (i.e.</w:t>
      </w:r>
      <w:r w:rsidRPr="008608AA">
        <w:rPr>
          <w:rFonts w:eastAsia="Calibri"/>
        </w:rPr>
        <w:t xml:space="preserve"> “the blob”) was detected off the Alaska coast during the winter of 2013-2014, with near-surface temperatures 2.5°C greater than normal that eventually stretched south to Baha, California </w:t>
      </w:r>
      <w:r w:rsidRPr="008608AA">
        <w:rPr>
          <w:rFonts w:eastAsia="Calibri"/>
        </w:rPr>
        <w:fldChar w:fldCharType="begin" w:fldLock="1"/>
      </w:r>
      <w:r w:rsidRPr="008608AA">
        <w:rPr>
          <w:rFonts w:eastAsia="Calibri"/>
        </w:rPr>
        <w:instrText>ADDIN CSL_CITATION { "citationItems" : [ { "id" : "ITEM-1", "itemData" : { "DOI" : "10.1002/2015GL063306", "ISBN" : "1944-8007", "ISSN" : "19448007", "abstract" : "Strongly positive temperature anomalies developed in the NE Pacific Ocean during the boreal winter of 2013\u20132014. Based on a mixed layer temperature budget, these anomalies were caused by lower than normal rates of the loss of heat from the ocean to the atmosphere and of relatively weak cold advection in the upper ocean. Both of these mechanisms can be attributed to an unusually strong and persistent weather pattern featuring much higher than normal sea level pressure over the waters of interest. This anomaly was the greatest observed in this region since at least the 1980s. The region of warm sea surface temperature anomalies subsequently expanded and reached coastal waters in spring and summer 2014. Impacts on fisheries and regional weather are discussed. It is found that sea surface temperature anomalies in this region affect air temperatures downwind in Washington state.", "author" : [ { "dropping-particle" : "", "family" : "Bond", "given" : "Nicholas A.", "non-dropping-particle" : "", "parse-names" : false, "suffix" : "" }, { "dropping-particle" : "", "family" : "Cronin", "given" : "Meghan F.", "non-dropping-particle" : "", "parse-names" : false, "suffix" : "" }, { "dropping-particle" : "", "family" : "Freeland", "given" : "Howard", "non-dropping-particle" : "", "parse-names" : false, "suffix" : "" }, { "dropping-particle" : "", "family" : "Mantua", "given" : "Nathan", "non-dropping-particle" : "", "parse-names" : false, "suffix" : "" } ], "container-title" : "Geophysical Research Letters", "id" : "ITEM-1", "issue" : "9", "issued" : { "date-parts" : [ [ "2015" ] ] }, "page" : "3414-3420", "title" : "Causes and impacts of the 2014 warm anomaly in the NE Pacific", "type" : "article-journal", "volume" : "42" }, "uris" : [ "http://www.mendeley.com/documents/?uuid=260bd2c1-14a4-46f1-a4ff-7fd26c188544" ] }, { "id" : "ITEM-2", "itemData" : { "DOI" : "10.5670/oceanog.2016.32", "ISBN" : "1042-8275", "ISSN" : "10428275", "abstract" : "A large patch of anomalously warm water (nicknamed \u201cthe Blob\u201d) appeared off the coast of Alaska in the winter of 2013\u20132014 and subsequently stretched south to Baja California. This northeastern Pacific warm-water anomaly persisted through the end of 2015. Scientists and the public alike noted widespread changes in the biological structure and composition of both openocean and coastal ecosystems. Changes included geographical shifts of species such as tropical copepods, pelagic red crabs, and tuna; closures of commercially important fisheries; and mass strandings of marine mammals and seabirds. The ecological responses to these physical changes have been sparsely quantified and are largely unknown. Here, we provide a bottom-up summary of some of the biological changes observed in and around the areas affected by the Blob.", "author" : [ { "dropping-particle" : "", "family" : "Cavole", "given" : "Leticia", "non-dropping-particle" : "", "parse-names" : false, "suffix" : "" }, { "dropping-particle" : "", "family" : "Demko", "given" : "Alyssa", "non-dropping-particle" : "", "parse-names" : false, "suffix" : "" }, { "dropping-particle" : "", "family" : "Diner", "given" : "Rachel", "non-dropping-particle" : "", "parse-names" : false, "suffix" : "" }, { "dropping-particle" : "", "family" : "Giddings", "given" : "Ashlyn", "non-dropping-particle" : "", "parse-names" : false, "suffix" : "" }, { "dropping-particle" : "", "family" : "Koester", "given" : "Irina", "non-dropping-particle" : "", "parse-names" : false, "suffix" : "" }, { "dropping-particle" : "", "family" : "Pagniello", "given" : "Camille", "non-dropping-particle" : "", "parse-names" : false, "suffix" : "" }, { "dropping-particle" : "", "family" : "Paulsen", "given" : "May-Linn", "non-dropping-particle" : "", "parse-names" : false, "suffix" : "" }, { "dropping-particle" : "", "family" : "Ramirez-Valdez", "given" : "Arturo", "non-dropping-particle" : "", "parse-names" : false, "suffix" : "" }, { "dropping-particle" : "", "family" : "Schwenck", "given" : "Sarah", "non-dropping-particle" : "", "parse-names" : false, "suffix" : "" }, { "dropping-particle" : "", "family" : "Yen", "given" : "Nicole", "non-dropping-particle" : "", "parse-names" : false, "suffix" : "" }, { "dropping-particle" : "", "family" : "Zill", "given" : "Michelle", "non-dropping-particle" : "", "parse-names" : false, "suffix" : "" }, { "dropping-particle" : "", "family" : "Franks", "given" : "Peter", "non-dropping-particle" : "", "parse-names" : false, "suffix" : "" } ], "container-title" : "Oceanography", "id" : "ITEM-2", "issue" : "2", "issued" : { "date-parts" : [ [ "2016" ] ] }, "title" : "Biological Impacts of the 2013\u20132015 Warm-Water Anomaly in the Northeast Pacific: Winners, Losers, and the Future", "type" : "article-journal", "volume" : "29" }, "uris" : [ "http://www.mendeley.com/documents/?uuid=162a5ac2-16d6-415c-9bca-dd5803c73586" ] } ], "mendeley" : { "formattedCitation" : "(Bond et al. 2015, Cavole et al. 2016)", "plainTextFormattedCitation" : "(Bond et al. 2015, Cavole et al. 2016)", "previouslyFormattedCitation" : "(Bond et al. 2015, Cavole et al. 2016)" }, "properties" : { "noteIndex" : 0 }, "schema" : "https://github.com/citation-style-language/schema/raw/master/csl-citation.json" }</w:instrText>
      </w:r>
      <w:r w:rsidRPr="008608AA">
        <w:rPr>
          <w:rFonts w:eastAsia="Calibri"/>
        </w:rPr>
        <w:fldChar w:fldCharType="separate"/>
      </w:r>
      <w:r w:rsidRPr="008608AA">
        <w:rPr>
          <w:rFonts w:eastAsia="Calibri"/>
          <w:noProof/>
        </w:rPr>
        <w:t>(Bond et al.</w:t>
      </w:r>
      <w:r w:rsidR="00C85F9E" w:rsidRPr="008608AA">
        <w:rPr>
          <w:rFonts w:eastAsia="Calibri"/>
          <w:noProof/>
        </w:rPr>
        <w:t>, 2015;</w:t>
      </w:r>
      <w:r w:rsidRPr="008608AA">
        <w:rPr>
          <w:rFonts w:eastAsia="Calibri"/>
          <w:noProof/>
        </w:rPr>
        <w:t xml:space="preserve"> Cavole et al.</w:t>
      </w:r>
      <w:r w:rsidR="00C85F9E" w:rsidRPr="008608AA">
        <w:rPr>
          <w:rFonts w:eastAsia="Calibri"/>
          <w:noProof/>
        </w:rPr>
        <w:t>,</w:t>
      </w:r>
      <w:r w:rsidRPr="008608AA">
        <w:rPr>
          <w:rFonts w:eastAsia="Calibri"/>
          <w:noProof/>
        </w:rPr>
        <w:t xml:space="preserve"> 2016)</w:t>
      </w:r>
      <w:r w:rsidRPr="008608AA">
        <w:rPr>
          <w:rFonts w:eastAsia="Calibri"/>
        </w:rPr>
        <w:fldChar w:fldCharType="end"/>
      </w:r>
      <w:r w:rsidR="00AE3491" w:rsidRPr="008608AA">
        <w:rPr>
          <w:rFonts w:eastAsia="Calibri"/>
        </w:rPr>
        <w:t>.</w:t>
      </w:r>
      <w:r w:rsidRPr="008608AA">
        <w:rPr>
          <w:rFonts w:eastAsia="Calibri"/>
        </w:rPr>
        <w:t xml:space="preserve"> The cause of the anomaly is believed to be the result of reduced heat exchange between the ocean and the atmosphere and weak horizontal advection in the upper ocean, which may have been triggered by a much higher than normal sea level pressure </w:t>
      </w:r>
      <w:r w:rsidRPr="008608AA">
        <w:rPr>
          <w:rFonts w:eastAsia="Calibri"/>
        </w:rPr>
        <w:fldChar w:fldCharType="begin" w:fldLock="1"/>
      </w:r>
      <w:r w:rsidRPr="008608AA">
        <w:rPr>
          <w:rFonts w:eastAsia="Calibri"/>
        </w:rPr>
        <w:instrText>ADDIN CSL_CITATION { "citationItems" : [ { "id" : "ITEM-1", "itemData" : { "DOI" : "10.1002/2015GL063306", "ISBN" : "1944-8007", "ISSN" : "19448007", "abstract" : "Strongly positive temperature anomalies developed in the NE Pacific Ocean during the boreal winter of 2013\u20132014. Based on a mixed layer temperature budget, these anomalies were caused by lower than normal rates of the loss of heat from the ocean to the atmosphere and of relatively weak cold advection in the upper ocean. Both of these mechanisms can be attributed to an unusually strong and persistent weather pattern featuring much higher than normal sea level pressure over the waters of interest. This anomaly was the greatest observed in this region since at least the 1980s. The region of warm sea surface temperature anomalies subsequently expanded and reached coastal waters in spring and summer 2014. Impacts on fisheries and regional weather are discussed. It is found that sea surface temperature anomalies in this region affect air temperatures downwind in Washington state.", "author" : [ { "dropping-particle" : "", "family" : "Bond", "given" : "Nicholas A.", "non-dropping-particle" : "", "parse-names" : false, "suffix" : "" }, { "dropping-particle" : "", "family" : "Cronin", "given" : "Meghan F.", "non-dropping-particle" : "", "parse-names" : false, "suffix" : "" }, { "dropping-particle" : "", "family" : "Freeland", "given" : "Howard", "non-dropping-particle" : "", "parse-names" : false, "suffix" : "" }, { "dropping-particle" : "", "family" : "Mantua", "given" : "Nathan", "non-dropping-particle" : "", "parse-names" : false, "suffix" : "" } ], "container-title" : "Geophysical Research Letters", "id" : "ITEM-1", "issue" : "9", "issued" : { "date-parts" : [ [ "2015" ] ] }, "page" : "3414-3420", "title" : "Causes and impacts of the 2014 warm anomaly in the NE Pacific", "type" : "article-journal", "volume" : "42" }, "uris" : [ "http://www.mendeley.com/documents/?uuid=260bd2c1-14a4-46f1-a4ff-7fd26c188544" ] } ], "mendeley" : { "formattedCitation" : "(Bond et al. 2015)", "plainTextFormattedCitation" : "(Bond et al. 2015)", "previouslyFormattedCitation" : "(Bond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(Bond et al.</w:t>
      </w:r>
      <w:r w:rsidR="00C85F9E" w:rsidRPr="008608AA">
        <w:rPr>
          <w:rFonts w:eastAsia="Calibri"/>
          <w:noProof/>
        </w:rPr>
        <w:t>,</w:t>
      </w:r>
      <w:r w:rsidRPr="008608AA">
        <w:rPr>
          <w:rFonts w:eastAsia="Calibri"/>
          <w:noProof/>
        </w:rPr>
        <w:t xml:space="preserve"> 2015)</w:t>
      </w:r>
      <w:r w:rsidRPr="008608AA">
        <w:rPr>
          <w:rFonts w:eastAsia="Calibri"/>
        </w:rPr>
        <w:fldChar w:fldCharType="end"/>
      </w:r>
      <w:r w:rsidR="00AE3491" w:rsidRPr="008608AA">
        <w:rPr>
          <w:rFonts w:eastAsia="Calibri"/>
        </w:rPr>
        <w:t xml:space="preserve">. </w:t>
      </w:r>
      <w:r w:rsidRPr="008608AA">
        <w:rPr>
          <w:rFonts w:eastAsia="Calibri"/>
        </w:rPr>
        <w:t xml:space="preserve">The anomaly negatively affected commercially-important fisheries, including tuna, and was responsible for marine mammal and seabird strandings </w:t>
      </w:r>
      <w:r w:rsidRPr="008608AA">
        <w:rPr>
          <w:rFonts w:eastAsia="Calibri"/>
        </w:rPr>
        <w:fldChar w:fldCharType="begin" w:fldLock="1"/>
      </w:r>
      <w:r w:rsidRPr="008608AA">
        <w:rPr>
          <w:rFonts w:eastAsia="Calibri"/>
        </w:rPr>
        <w:instrText>ADDIN CSL_CITATION { "citationItems" : [ { "id" : "ITEM-1", "itemData" : { "DOI" : "10.5670/oceanog.2016.32", "ISBN" : "1042-8275", "ISSN" : "10428275", "abstract" : "A large patch of anomalously warm water (nicknamed \u201cthe Blob\u201d) appeared off the coast of Alaska in the winter of 2013\u20132014 and subsequently stretched south to Baja California. This northeastern Pacific warm-water anomaly persisted through the end of 2015. Scientists and the public alike noted widespread changes in the biological structure and composition of both openocean and coastal ecosystems. Changes included geographical shifts of species such as tropical copepods, pelagic red crabs, and tuna; closures of commercially important fisheries; and mass strandings of marine mammals and seabirds. The ecological responses to these physical changes have been sparsely quantified and are largely unknown. Here, we provide a bottom-up summary of some of the biological changes observed in and around the areas affected by the Blob.", "author" : [ { "dropping-particle" : "", "family" : "Cavole", "given" : "Leticia", "non-dropping-particle" : "", "parse-names" : false, "suffix" : "" }, { "dropping-particle" : "", "family" : "Demko", "given" : "Alyssa", "non-dropping-particle" : "", "parse-names" : false, "suffix" : "" }, { "dropping-particle" : "", "family" : "Diner", "given" : "Rachel", "non-dropping-particle" : "", "parse-names" : false, "suffix" : "" }, { "dropping-particle" : "", "family" : "Giddings", "given" : "Ashlyn", "non-dropping-particle" : "", "parse-names" : false, "suffix" : "" }, { "dropping-particle" : "", "family" : "Koester", "given" : "Irina", "non-dropping-particle" : "", "parse-names" : false, "suffix" : "" }, { "dropping-particle" : "", "family" : "Pagniello", "given" : "Camille", "non-dropping-particle" : "", "parse-names" : false, "suffix" : "" }, { "dropping-particle" : "", "family" : "Paulsen", "given" : "May-Linn", "non-dropping-particle" : "", "parse-names" : false, "suffix" : "" }, { "dropping-particle" : "", "family" : "Ramirez-Valdez", "given" : "Arturo", "non-dropping-particle" : "", "parse-names" : false, "suffix" : "" }, { "dropping-particle" : "", "family" : "Schwenck", "given" : "Sarah", "non-dropping-particle" : "", "parse-names" : false, "suffix" : "" }, { "dropping-particle" : "", "family" : "Yen", "given" : "Nicole", "non-dropping-particle" : "", "parse-names" : false, "suffix" : "" }, { "dropping-particle" : "", "family" : "Zill", "given" : "Michelle", "non-dropping-particle" : "", "parse-names" : false, "suffix" : "" }, { "dropping-particle" : "", "family" : "Franks", "given" : "Peter", "non-dropping-particle" : "", "parse-names" : false, "suffix" : "" } ], "container-title" : "Oceanography", "id" : "ITEM-1", "issue" : "2", "issued" : { "date-parts" : [ [ "2016" ] ] }, "title" : "Biological Impacts of the 2013\u20132015 Warm-Water Anomaly in the Northeast Pacific: Winners, Losers, and the Future", "type" : "article-journal", "volume" : "29" }, "uris" : [ "http://www.mendeley.com/documents/?uuid=162a5ac2-16d6-415c-9bca-dd5803c73586" ] } ], "mendeley" : { "formattedCitation" : "(Cavole et al. 2016)", "plainTextFormattedCitation" : "(Cavole et al. 2016)", "previouslyFormattedCitation" : "(Cavole et al. 2016)" }, "properties" : { "noteIndex" : 0 }, "schema" : "https://github.com/citation-style-language/schema/raw/master/csl-citation.json" }</w:instrText>
      </w:r>
      <w:r w:rsidRPr="008608AA">
        <w:rPr>
          <w:rFonts w:eastAsia="Calibri"/>
        </w:rPr>
        <w:fldChar w:fldCharType="separate"/>
      </w:r>
      <w:r w:rsidRPr="008608AA">
        <w:rPr>
          <w:rFonts w:eastAsia="Calibri"/>
          <w:noProof/>
        </w:rPr>
        <w:t>(Cavole et al.</w:t>
      </w:r>
      <w:r w:rsidR="00C85F9E" w:rsidRPr="008608AA">
        <w:rPr>
          <w:rFonts w:eastAsia="Calibri"/>
          <w:noProof/>
        </w:rPr>
        <w:t>,</w:t>
      </w:r>
      <w:r w:rsidRPr="008608AA">
        <w:rPr>
          <w:rFonts w:eastAsia="Calibri"/>
          <w:noProof/>
        </w:rPr>
        <w:t xml:space="preserve"> 2016)</w:t>
      </w:r>
      <w:r w:rsidRPr="008608AA">
        <w:rPr>
          <w:rFonts w:eastAsia="Calibri"/>
        </w:rPr>
        <w:fldChar w:fldCharType="end"/>
      </w:r>
      <w:r w:rsidRPr="008608AA">
        <w:rPr>
          <w:rFonts w:eastAsia="Calibri"/>
        </w:rPr>
        <w:t xml:space="preserve">.  </w:t>
      </w:r>
    </w:p>
    <w:p w14:paraId="2EA80C45" w14:textId="77777777" w:rsidR="001E61A6" w:rsidRPr="008608AA" w:rsidRDefault="001E61A6" w:rsidP="00A345FC">
      <w:pPr>
        <w:pStyle w:val="Heading4"/>
        <w:numPr>
          <w:ilvl w:val="0"/>
          <w:numId w:val="0"/>
        </w:numPr>
        <w:spacing w:before="120" w:line="240" w:lineRule="auto"/>
        <w:rPr>
          <w:rFonts w:eastAsia="Calibri"/>
          <w:b w:val="0"/>
          <w:bCs/>
          <w:iCs/>
          <w:lang w:val="en-US"/>
        </w:rPr>
      </w:pPr>
      <w:bookmarkStart w:id="1574" w:name="_Toc517393360"/>
      <w:bookmarkStart w:id="1575" w:name="_Toc517394417"/>
      <w:bookmarkStart w:id="1576" w:name="_Toc517719101"/>
      <w:bookmarkStart w:id="1577" w:name="_Toc517797058"/>
      <w:r w:rsidRPr="008608AA">
        <w:t>Mesoamerica</w:t>
      </w:r>
      <w:bookmarkEnd w:id="1574"/>
      <w:bookmarkEnd w:id="1575"/>
      <w:bookmarkEnd w:id="1576"/>
      <w:bookmarkEnd w:id="1577"/>
    </w:p>
    <w:p w14:paraId="7FEB6EA1" w14:textId="2C740FC9" w:rsidR="001E61A6" w:rsidRPr="008608AA" w:rsidRDefault="001E61A6" w:rsidP="00A345FC">
      <w:pPr>
        <w:spacing w:before="120"/>
        <w:rPr>
          <w:rFonts w:eastAsia="Calibri"/>
        </w:rPr>
      </w:pPr>
      <w:r w:rsidRPr="008608AA">
        <w:rPr>
          <w:rFonts w:eastAsia="Calibri"/>
        </w:rPr>
        <w:t xml:space="preserve">Precipitation is projected to decline during the wet season throughout the region and mountainous areas in Costa Rica and Panama, which generally receive a large amount of orographic moisture, will see a decline in precipitation </w:t>
      </w:r>
      <w:r w:rsidRPr="008608AA">
        <w:rPr>
          <w:rFonts w:eastAsia="Calibri"/>
        </w:rPr>
        <w:fldChar w:fldCharType="begin" w:fldLock="1"/>
      </w:r>
      <w:r w:rsidRPr="008608AA">
        <w:rPr>
          <w:rFonts w:eastAsia="Calibri"/>
        </w:rPr>
        <w:instrText>ADDIN CSL_CITATION { "citationItems" : [ { "id" : "ITEM-1", "itemData" : { "DOI" : "10.1007/s00382-011-1099-9", "ISBN" : "0930757514320894SUEarthandEnvironmentalScience", "ISSN" : "09307575", "PMID" : "20121836", "abstract" : "Central America has high biodiversity, it harbors high-value ecosystems and its important to provide regional climate change information to assist in adaptation and mitigation work in the region. Here we study climate change projections for Central America and Mexico using a regional climate model. The model evaluation shows its success in simulating spatial and temporal variability of temperature and precipitation and also in capturing regional climate features such as the bimodal annual cycle of precipitation and the Caribbean low-level jet. A variety of climate regimes within the model domain are also better identified in the regional model simulation due to improved resolution of topographic features. Although, the model suffers from large precipitation biases, it shows improvements over the coarse-resolution driving model in simulating precipitation amounts. The model shows a dry bias in the wet season and a wet bias in the dry season suggesting that its unable to capture the full range of precipitation variability. Projected warming under the A2 scenario is higher in the wet season than that in the dry season with the Yucatan Peninsula experiencing highest warming. A large reduction in precipitation in the wet season is projected for the region, whereas parts of Central America that receive a considerable amount of moisture in the form of orographic precipitation show significant decreases in precipitation in the dry season. Projected climatic changes can have detrimental impacts on biodiversity as they are spatially similar, but far greater in magnitude, than those observed during the El Ni\u00f1o events in recent decades that adversely affected species in the region.", "author" : [ { "dropping-particle" : "V.", "family" : "Karmalkar", "given" : "Ambarish", "non-dropping-particle" : "", "parse-names" : false, "suffix" : "" }, { "dropping-particle" : "", "family" : "Bradley", "given" : "Raymond S.", "non-dropping-particle" : "", "parse-names" : false, "suffix" : "" }, { "dropping-particle" : "", "family" : "Diaz", "given" : "Henry F.", "non-dropping-particle" : "", "parse-names" : false, "suffix" : "" } ], "container-title" : "Climate Dynamics", "id" : "ITEM-1", "issue" : "3", "issued" : { "date-parts" : [ [ "2011" ] ] }, "page" : "605-629", "title" : "Climate change in Central America and Mexico: Regional climate model validation and climate change projections", "type" : "article-journal", "volume" : "37" }, "uris" : [ "http://www.mendeley.com/documents/?uuid=445c5f54-f716-4926-bd22-94a456c2ac68" ] } ], "mendeley" : { "formattedCitation" : "(Karmalkar et al. 2011)", "manualFormatting" : "(Karmalkar et al., 2011)", "plainTextFormattedCitation" : "(Karmalkar et al. 2011)", "previouslyFormattedCitation" : "(Karmalkar et al. 2011)" }, "properties" : { "noteIndex" : 0 }, "schema" : "https://github.com/citation-style-language/schema/raw/master/csl-citation.json" }</w:instrText>
      </w:r>
      <w:r w:rsidRPr="008608AA">
        <w:rPr>
          <w:rFonts w:eastAsia="Calibri"/>
        </w:rPr>
        <w:fldChar w:fldCharType="separate"/>
      </w:r>
      <w:r w:rsidRPr="008608AA">
        <w:rPr>
          <w:rFonts w:eastAsia="Calibri"/>
          <w:noProof/>
        </w:rPr>
        <w:t>(Karmalkar et al., 2011)</w:t>
      </w:r>
      <w:r w:rsidRPr="008608AA">
        <w:rPr>
          <w:rFonts w:eastAsia="Calibri"/>
        </w:rPr>
        <w:fldChar w:fldCharType="end"/>
      </w:r>
      <w:r w:rsidR="000151A1" w:rsidRPr="008608AA">
        <w:rPr>
          <w:rFonts w:eastAsia="Calibri"/>
        </w:rPr>
        <w:t>.</w:t>
      </w:r>
      <w:r w:rsidRPr="008608AA">
        <w:rPr>
          <w:rFonts w:eastAsia="Calibri"/>
        </w:rPr>
        <w:t xml:space="preserve"> Differential warming of the Pacific and Atlantic sea surface temperatures, which causes a stronger Caribbean low level jet, will lead to drier conditions in Mexico and Central America (as much as 50% drier) during summer </w:t>
      </w:r>
      <w:r w:rsidRPr="008608AA">
        <w:rPr>
          <w:rFonts w:eastAsia="Calibri"/>
        </w:rPr>
        <w:fldChar w:fldCharType="begin" w:fldLock="1"/>
      </w:r>
      <w:r w:rsidRPr="008608AA">
        <w:rPr>
          <w:rFonts w:eastAsia="Calibri"/>
        </w:rPr>
        <w:instrText>ADDIN CSL_CITATION { "citationItems" : [ { "id" : "ITEM-1", "itemData" : { "DOI" : "10.1007/s00382-014-2258-6", "ISSN" : "0930-7575", "author" : [ { "dropping-particle" : "", "family" : "Fuentes-Franco", "given" : "Ramon", "non-dropping-particle" : "", "parse-names" : false, "suffix" : "" }, { "dropping-particle" : "", "family" : "Giorgi", "given" : "Filippo", "non-dropping-particle" : "", "parse-names" : false, "suffix" : "" }, { "dropping-particle" : "", "family" : "Coppola", "given" : "Erika", "non-dropping-particle" : "", "parse-names" : false, "suffix" : "" }, { "dropping-particle" : "", "family" : "Pavia", "given" : "Edgar", "non-dropping-particle" : "", "parse-names" : false, "suffix" : "" }, { "dropping-particle" : "", "family" : "Graef", "given" : "Federico", "non-dropping-particle" : "", "parse-names" : false, "suffix" : "" } ], "container-title" : "Climate Dynamics", "id" : "ITEM-1", "issue" : "1-2", "issued" : { "date-parts" : [ [ "2015" ] ] }, "page" : "425-440", "publisher" : "Springer Berlin Heidelberg", "title" : "Inter-annual variability of precipitation over Southern Mexico and Central America and its relationship to Sea Surface Temperature from RegCM4 CORDEX projections", "type" : "article-journal", "volume" : "45" }, "uris" : [ "http://www.mendeley.com/documents/?uuid=7d0899f6-828f-4ed9-b5cc-2ec5f20ba216" ] } ], "mendeley" : { "formattedCitation" : "(Fuentes-Franco et al. 2015)", "manualFormatting" : "(Fuentes-Franco et al., 2015)", "plainTextFormattedCitation" : "(Fuentes-Franco et al. 2015)", "previouslyFormattedCitation" : "(Fuentes-Franco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(Fuentes-Franco et al., 2015)</w:t>
      </w:r>
      <w:r w:rsidRPr="008608AA">
        <w:rPr>
          <w:rFonts w:eastAsia="Calibri"/>
        </w:rPr>
        <w:fldChar w:fldCharType="end"/>
      </w:r>
      <w:r w:rsidRPr="008608AA">
        <w:rPr>
          <w:rFonts w:eastAsia="Calibri"/>
        </w:rPr>
        <w:t xml:space="preserve"> and has the potential to lead to</w:t>
      </w:r>
      <w:r w:rsidR="00C85F9E" w:rsidRPr="008608AA">
        <w:rPr>
          <w:rFonts w:eastAsia="Calibri"/>
        </w:rPr>
        <w:t xml:space="preserve"> water stress in many regions. </w:t>
      </w:r>
      <w:r w:rsidRPr="008608AA">
        <w:rPr>
          <w:rFonts w:eastAsia="Calibri"/>
        </w:rPr>
        <w:t xml:space="preserve">Additionally, severe and extended dry seasons are likely to lead to forest species turnover and loss of many tree species </w:t>
      </w:r>
      <w:r w:rsidRPr="008608AA">
        <w:rPr>
          <w:rFonts w:eastAsia="Calibri"/>
        </w:rPr>
        <w:fldChar w:fldCharType="begin" w:fldLock="1"/>
      </w:r>
      <w:r w:rsidRPr="008608AA">
        <w:rPr>
          <w:rFonts w:eastAsia="Calibri"/>
        </w:rPr>
        <w:instrText>ADDIN CSL_CITATION { "citationItems" : [ { "id" : "ITEM-1", "itemData" : { "DOI" : "10.1023/A:1005395806800", "ISBN" : "0165-0009", "ISSN" : "01650009", "abstract" : "CO2 concentration is increasing, temperature is likely to rise, and precipitation patterns might change. Of these potential climatic shifts, it is precipitation that will have the most impact on tropical forests, and seasonal patterns of rainfall and drought will probably be more important than the total quantity of precipitation. Many tree species are limited in distribution by their inability to survive drought. In a 50 ha forest plot at Barro Colorado Island in Panama (BCI), nearly all tree and shrub species associated with moist microhabitats are declining in abundance due to a decline in rainfall and lengthening dry seasons. This information forms the basis for a simple, general prediction: drying trends can rapidly remove drought-sensitive species from a forest. If the drying trend continues at BCI, the invasion of drought-tolerant species would be anticipated, but computer models predict that it could take 500 or more years for tree species to invade and become established. Predicting climate-induced changes in tropical forest also requires geographic information on tree distribution relative to precipitation patterns. In central Panama, species with the most restricted ranges are those from areas with a short dry season (10-14 weeks): 26-39% of the tree species in these wet regions do not occur where it is drier. In comparison, just 11-19% of species from the drier side of Panama (18 week dry season) are restricted to the dry region. From this information, I predict that a four-week extension of the dry season could eliminate 25% of the species locally; a nine-week extension in very wet regions could cause 40% extinction. Since drier forests are more deciduous than wetter forests, satellite images that monitor deciduousness might provide a way to assess long-term forest changes caused by changes in drought patterns. I predict that increasing rainfall and shorter dry seasons would not cause major extinction in tropical forest, but that drying trends are a much greater concern. Longer dry seasons may cause considerable local extinction of tree species and rapid forest change, and they will also tend to exacerbate direct human damage, which tends to favor drought-adapted and invasive tree species in favor of moisture-demanding ones.", "author" : [ { "dropping-particle" : "", "family" : "Condit", "given" : "R", "non-dropping-particle" : "", "parse-names" : false, "suffix" : "" } ], "container-title" : "Climatic change", "id" : "ITEM-1", "issued" : { "date-parts" : [ [ "1998" ] ] }, "page" : "413-427", "title" : "Ecological implications of changes in drought patterns: Shifts in forest composition in Panama", "type" : "article-journal", "volume" : "39" }, "uris" : [ "http://www.mendeley.com/documents/?uuid=bd450695-0e7c-4f89-a311-bb7b02c23558" ] } ], "mendeley" : { "formattedCitation" : "(Condit 1998)", "plainTextFormattedCitation" : "(Condit 1998)", "previouslyFormattedCitation" : "(Condit 1998)" }, "properties" : { "noteIndex" : 0 }, "schema" : "https://github.com/citation-style-language/schema/raw/master/csl-citation.json" }</w:instrText>
      </w:r>
      <w:r w:rsidRPr="008608AA">
        <w:rPr>
          <w:rFonts w:eastAsia="Calibri"/>
        </w:rPr>
        <w:fldChar w:fldCharType="separate"/>
      </w:r>
      <w:r w:rsidRPr="008608AA">
        <w:rPr>
          <w:rFonts w:eastAsia="Calibri"/>
          <w:noProof/>
        </w:rPr>
        <w:t>(Condit</w:t>
      </w:r>
      <w:r w:rsidR="00C85F9E" w:rsidRPr="008608AA">
        <w:rPr>
          <w:rFonts w:eastAsia="Calibri"/>
          <w:noProof/>
        </w:rPr>
        <w:t>,</w:t>
      </w:r>
      <w:r w:rsidRPr="008608AA">
        <w:rPr>
          <w:rFonts w:eastAsia="Calibri"/>
          <w:noProof/>
        </w:rPr>
        <w:t xml:space="preserve"> 1998)</w:t>
      </w:r>
      <w:r w:rsidRPr="008608AA">
        <w:rPr>
          <w:rFonts w:eastAsia="Calibri"/>
        </w:rPr>
        <w:fldChar w:fldCharType="end"/>
      </w:r>
      <w:r w:rsidRPr="008608AA">
        <w:rPr>
          <w:rFonts w:eastAsia="Calibri"/>
        </w:rPr>
        <w:t xml:space="preserve">.  However, </w:t>
      </w:r>
      <w:r w:rsidRPr="008608AA">
        <w:rPr>
          <w:rFonts w:eastAsia="Calibri"/>
        </w:rPr>
        <w:fldChar w:fldCharType="begin" w:fldLock="1"/>
      </w:r>
      <w:r w:rsidRPr="008608AA">
        <w:rPr>
          <w:rFonts w:eastAsia="Calibri"/>
        </w:rPr>
        <w:instrText>ADDIN CSL_CITATION { "citationItems" : [ { "id" : "ITEM-1", "itemData" : { "DOI" : "10.1111/gcb.13090", "ISSN" : "13652486", "PMID" : "26367278", "abstract" : "Assuming that co-distributed species are exposed to similar environmental conditions, ecological niche models (ENMs) of bird and plant species inhabiting tropical dry forests (TDFs) in Mexico were developed to evaluate future projections of their distribution for the years 2050 and 2070. We used ENM-based predictions and climatic data for two Global Climate Models, considering two Representative Concentration Pathway scenarios (RCP4.5 / RCP8.5). We also evaluated the effects of habitat loss and the importance of the Mexican system of Protected Areas (PAs) on the projected models for a more detailed prediction of TDFs and to identify hotspots that require conservation actions. We identified four major distributional areas: the main one located along the Pacific Coast (from Sonora to Chiapas, including the Cape and Baj\u00edo regions, and the Balsas river basin), and three isolated areas: the Yucat\u00e1n peninsula, central Veracruz, and southern Tamaulipas. When considering the effect of habitat loss, a significant reduction (~61%) of the TDFs predicted area occurred, whereas climate change models suggested (in comparison to the present distribution model) an increase in area of 3.0-10.0% and 3.0-9.0% for 2050 and 2070, respectively. In future scenarios, TDFs will occupy areas above its current average elevational distribution that are outside of its present geographical range. Our findings show that TDFs may persist in Mexican territory until the middle of the XXI century; however, the challenges about long-term conservation are partially addressed (only 7% unaffected within the Mexican network of PAs) with the current Mexican PAs network. Based on our ENM approach, we suggests that a combination of models of species inhabiting present TDFs and taking into account change scenarios represent an invaluable tool in order to create new PAs and ecological corridors, as a response to the increasing levels of habitat destruction and the effects of climate change on this ecosystem. This article is protected by copyright. All rights reserved.", "author" : [ { "dropping-particle" : "", "family" : "Prieto-Torres", "given" : "David A.", "non-dropping-particle" : "", "parse-names" : false, "suffix" : "" }, { "dropping-particle" : "", "family" : "Navarro-Sig??enza", "given" : "Adolfo G.", "non-dropping-particle" : "", "parse-names" : false, "suffix" : "" }, { "dropping-particle" : "", "family" : "Santiago-Alarcon", "given" : "Diego", "non-dropping-particle" : "", "parse-names" : false, "suffix" : "" }, { "dropping-particle" : "", "family" : "Rojas-Soto", "given" : "Octavio R.", "non-dropping-particle" : "", "parse-names" : false, "suffix" : "" } ], "container-title" : "Global Change Biology", "id" : "ITEM-1", "issued" : { "date-parts" : [ [ "2015" ] ] }, "page" : "364-379", "title" : "Response of the endangered tropical dry forests to climate change and the role of Mexican Protected Areas for their conservation", "type" : "article-journal" }, "uris" : [ "http://www.mendeley.com/documents/?uuid=135b3218-1d14-451f-b62f-66de76d60cf5" ] } ], "mendeley" : { "formattedCitation" : "(Prieto-Torres et al. 2015)", "manualFormatting" : "(Prieto-Torres et al., 2015)", "plainTextFormattedCitation" : "(Prieto-Torres et al. 2015)", "previouslyFormattedCitation" : "(Prieto-Torres et al. 2015)" }, "properties" : { "noteIndex" : 0 }, "schema" : "https://github.com/citation-style-language/schema/raw/master/csl-citation.json" }</w:instrText>
      </w:r>
      <w:r w:rsidRPr="008608AA">
        <w:rPr>
          <w:rFonts w:eastAsia="Calibri"/>
        </w:rPr>
        <w:fldChar w:fldCharType="separate"/>
      </w:r>
      <w:r w:rsidR="00C85F9E" w:rsidRPr="008608AA">
        <w:rPr>
          <w:rFonts w:eastAsia="Calibri"/>
          <w:noProof/>
        </w:rPr>
        <w:t>Prieto-Torres et al.</w:t>
      </w:r>
      <w:r w:rsidRPr="008608AA">
        <w:rPr>
          <w:rFonts w:eastAsia="Calibri"/>
          <w:noProof/>
        </w:rPr>
        <w:t xml:space="preserve"> (2015)</w:t>
      </w:r>
      <w:r w:rsidRPr="008608AA">
        <w:rPr>
          <w:rFonts w:eastAsia="Calibri"/>
        </w:rPr>
        <w:fldChar w:fldCharType="end"/>
      </w:r>
      <w:r w:rsidRPr="008608AA">
        <w:rPr>
          <w:rFonts w:eastAsia="Calibri"/>
        </w:rPr>
        <w:t xml:space="preserve"> found that while tropical dry forests are projected to decline in many areas of Mexico, they may increase in other areas by moving upward in elevation.</w:t>
      </w:r>
    </w:p>
    <w:p w14:paraId="06002634" w14:textId="162FB4A0" w:rsidR="001E61A6" w:rsidRPr="008608AA" w:rsidRDefault="001E61A6" w:rsidP="00A345FC">
      <w:pPr>
        <w:spacing w:before="120"/>
        <w:rPr>
          <w:rFonts w:eastAsia="Calibri"/>
        </w:rPr>
      </w:pPr>
      <w:r w:rsidRPr="008608AA">
        <w:rPr>
          <w:rFonts w:eastAsia="Calibri"/>
        </w:rPr>
        <w:t xml:space="preserve">Changes in temperature and precipitation have the potential to affect the climate-sensitive cloud forests of Mesoamerica by causing biodiversity loss and shifts from the unique ecosystems to lower-altitude </w:t>
      </w:r>
      <w:r w:rsidR="000151A1" w:rsidRPr="008608AA">
        <w:rPr>
          <w:rFonts w:eastAsia="Calibri"/>
        </w:rPr>
        <w:t>vegetation types (Foster</w:t>
      </w:r>
      <w:r w:rsidR="00C85F9E" w:rsidRPr="008608AA">
        <w:rPr>
          <w:rFonts w:eastAsia="Calibri"/>
        </w:rPr>
        <w:t>,</w:t>
      </w:r>
      <w:r w:rsidR="000151A1" w:rsidRPr="008608AA">
        <w:rPr>
          <w:rFonts w:eastAsia="Calibri"/>
        </w:rPr>
        <w:t xml:space="preserve"> 2001).</w:t>
      </w:r>
      <w:r w:rsidRPr="008608AA">
        <w:rPr>
          <w:rFonts w:eastAsia="Calibri"/>
        </w:rPr>
        <w:t xml:space="preserve"> Additionally, climate changes may result in changes in cloud formations, which are already being observed in certain parts of Costa Rica (Foster</w:t>
      </w:r>
      <w:r w:rsidR="00C85F9E" w:rsidRPr="008608AA">
        <w:rPr>
          <w:rFonts w:eastAsia="Calibri"/>
        </w:rPr>
        <w:t>,</w:t>
      </w:r>
      <w:r w:rsidRPr="008608AA">
        <w:rPr>
          <w:rFonts w:eastAsia="Calibri"/>
        </w:rPr>
        <w:t xml:space="preserve"> 2001). Although sea evaporation is likely to increase with increasing sea surface temperatures, pumping more water into the atmosphere, cloud formation is expected to increase in height, which will alter the relative humidity and amount of sunlight the forests are exposed to (Foster</w:t>
      </w:r>
      <w:r w:rsidR="00C85F9E" w:rsidRPr="008608AA">
        <w:rPr>
          <w:rFonts w:eastAsia="Calibri"/>
        </w:rPr>
        <w:t>,</w:t>
      </w:r>
      <w:r w:rsidRPr="008608AA">
        <w:rPr>
          <w:rFonts w:eastAsia="Calibri"/>
        </w:rPr>
        <w:t xml:space="preserve"> 2001).  The total area of cloud forests in Mexico is expected to decline by as much as 70% by </w:t>
      </w:r>
      <w:r w:rsidR="000151A1" w:rsidRPr="008608AA">
        <w:rPr>
          <w:rFonts w:eastAsia="Calibri"/>
        </w:rPr>
        <w:t>2080 (Ponce-Reyes et al.</w:t>
      </w:r>
      <w:r w:rsidR="00C85F9E" w:rsidRPr="008608AA">
        <w:rPr>
          <w:rFonts w:eastAsia="Calibri"/>
        </w:rPr>
        <w:t>,</w:t>
      </w:r>
      <w:r w:rsidR="000151A1" w:rsidRPr="008608AA">
        <w:rPr>
          <w:rFonts w:eastAsia="Calibri"/>
        </w:rPr>
        <w:t xml:space="preserve"> 2013).</w:t>
      </w:r>
      <w:r w:rsidRPr="008608AA">
        <w:rPr>
          <w:rFonts w:eastAsia="Calibri"/>
        </w:rPr>
        <w:t xml:space="preserve"> However, models suggest that minimizing land-use change and developing protected areas in remaining cloud forests may promote dispersal and allow some species to persist despite changes to clim</w:t>
      </w:r>
      <w:r w:rsidR="000151A1" w:rsidRPr="008608AA">
        <w:rPr>
          <w:rFonts w:eastAsia="Calibri"/>
        </w:rPr>
        <w:t>ate (Ponce-Reyes et al.</w:t>
      </w:r>
      <w:r w:rsidR="00C85F9E" w:rsidRPr="008608AA">
        <w:rPr>
          <w:rFonts w:eastAsia="Calibri"/>
        </w:rPr>
        <w:t>,</w:t>
      </w:r>
      <w:r w:rsidR="000151A1" w:rsidRPr="008608AA">
        <w:rPr>
          <w:rFonts w:eastAsia="Calibri"/>
        </w:rPr>
        <w:t xml:space="preserve"> 2013). </w:t>
      </w:r>
      <w:r w:rsidRPr="008608AA">
        <w:rPr>
          <w:rFonts w:eastAsia="Calibri"/>
        </w:rPr>
        <w:t xml:space="preserve">In addition, protected areas can have other benefits, such as the ability to capture and reduce </w:t>
      </w:r>
      <w:r w:rsidR="00E03ED4" w:rsidRPr="008608AA">
        <w:t>carbon dioxide</w:t>
      </w:r>
      <w:r w:rsidRPr="008608AA">
        <w:rPr>
          <w:rFonts w:eastAsia="Calibri"/>
        </w:rPr>
        <w:t xml:space="preserve"> emissions into the atmosphere </w:t>
      </w:r>
      <w:r w:rsidRPr="008608AA">
        <w:rPr>
          <w:rFonts w:eastAsia="Calibri"/>
        </w:rPr>
        <w:fldChar w:fldCharType="begin" w:fldLock="1"/>
      </w:r>
      <w:r w:rsidRPr="008608AA">
        <w:rPr>
          <w:rFonts w:eastAsia="Calibri"/>
        </w:rPr>
        <w:instrText>ADDIN CSL_CITATION { "citationItems" : [ { "id" : "ITEM-1", "itemData" : { "ISSN" : "02531151", "abstract" : "La Habana", "author" : [ { "dropping-particle" : "", "family" : "Botero", "given" : "Eduardo Uribe", "non-dropping-particle" : "", "parse-names" : false, "suffix" : "" } ], "id" : "ITEM-1", "issued" : { "date-parts" : [ [ "2015" ] ] }, "number-of-pages" : "85", "publisher-place" : "Santiago", "title" : "El cambio clim\u00e1tico y sus efectos en la biodiversidad en Am\u00e9rica Latina", "type" : "report" }, "uris" : [ "http://www.mendeley.com/documents/?uuid=b81ec745-79b4-4949-a7d7-523e6dc1d421" ] } ], "mendeley" : { "formattedCitation" : "(Botero 2015)", "plainTextFormattedCitation" : "(Botero 2015)", "previouslyFormattedCitation" : "(Botero 2015)" }, "properties" : { "noteIndex" : 0 }, "schema" : "https://github.com/citation-style-language/schema/raw/master/csl-citation.json" }</w:instrText>
      </w:r>
      <w:r w:rsidRPr="008608AA">
        <w:rPr>
          <w:rFonts w:eastAsia="Calibri"/>
        </w:rPr>
        <w:fldChar w:fldCharType="separate"/>
      </w:r>
      <w:r w:rsidR="00C77C98" w:rsidRPr="008608AA">
        <w:rPr>
          <w:rFonts w:eastAsia="Calibri"/>
          <w:noProof/>
        </w:rPr>
        <w:t>(Uribe</w:t>
      </w:r>
      <w:r w:rsidR="00C85F9E" w:rsidRPr="008608AA">
        <w:rPr>
          <w:rFonts w:eastAsia="Calibri"/>
          <w:noProof/>
        </w:rPr>
        <w:t>,</w:t>
      </w:r>
      <w:r w:rsidRPr="008608AA">
        <w:rPr>
          <w:rFonts w:eastAsia="Calibri"/>
          <w:noProof/>
        </w:rPr>
        <w:t xml:space="preserve"> 2015)</w:t>
      </w:r>
      <w:r w:rsidRPr="008608AA">
        <w:rPr>
          <w:rFonts w:eastAsia="Calibri"/>
        </w:rPr>
        <w:fldChar w:fldCharType="end"/>
      </w:r>
      <w:r w:rsidRPr="008608AA">
        <w:rPr>
          <w:rFonts w:eastAsia="Calibri"/>
        </w:rPr>
        <w:t>.</w:t>
      </w:r>
    </w:p>
    <w:p w14:paraId="4EC65B5A" w14:textId="24E01111" w:rsidR="001E61A6" w:rsidRPr="008608AA" w:rsidRDefault="001E61A6" w:rsidP="00A345FC">
      <w:pPr>
        <w:spacing w:before="120"/>
        <w:rPr>
          <w:rFonts w:eastAsia="Calibri"/>
        </w:rPr>
      </w:pPr>
      <w:r w:rsidRPr="008608AA">
        <w:rPr>
          <w:rFonts w:eastAsia="Calibri"/>
        </w:rPr>
        <w:t>The Mesoamerican tropical dry forests</w:t>
      </w:r>
      <w:r w:rsidRPr="008608AA">
        <w:rPr>
          <w:rFonts w:eastAsia="Calibri"/>
          <w:i/>
          <w:u w:val="single"/>
        </w:rPr>
        <w:t xml:space="preserve"> </w:t>
      </w:r>
      <w:r w:rsidRPr="008608AA">
        <w:rPr>
          <w:rFonts w:eastAsia="Calibri"/>
        </w:rPr>
        <w:t xml:space="preserve">are experiencing increased warming </w:t>
      </w:r>
      <w:r w:rsidRPr="008608AA">
        <w:rPr>
          <w:rFonts w:eastAsia="Calibri"/>
        </w:rPr>
        <w:fldChar w:fldCharType="begin" w:fldLock="1"/>
      </w:r>
      <w:r w:rsidRPr="008608AA">
        <w:rPr>
          <w:rFonts w:eastAsia="Calibri"/>
        </w:rPr>
        <w:instrText>ADDIN CSL_CITATION { "citationItems" : [ { "id" : "ITEM-1", "itemData" : { "DOI" : "10.1029/2005JD006119", "ISBN" : "0148-0227", "ISSN" : "0148-0227", "abstract" : "In November 2004, a regional climate change workshop was held in Guatemala with the goal of analyzing how climate extremes had changed in the region. Scientists from Central America and northern South America brought long-term daily temperature and precipitation time series from meteorological stations in their countries to the workshop. After undergoing careful quality control procedures and a homogeneity assessment, the data were used to calculate a suite of climate change indices over the 1961\u20132003 period. Analysis of these indices reveals a general warming trend in the region. The occurrence of extreme warm maximum and minimum temperatures has increased while extremely cold temperature events have decreased. Precipitation indices, despite the large and expected spatial variability, indicate that although no significant increases in the total amount are found, rainfall events are intensifying and the contribution of wet and very wet days are enlarging. Temperature and precipitation indices were correlated with northern and equatorial Atlantic and Pacific Ocean sea surface temperatures. However, those indices having the largest significant trends (percentage of warm days, precipitation intensity, and contribution from very wet days) have low correlations to El Nin\u02dco\u2013Southern Oscillation. Additionally, precipitation indices show a higher correlation with tropical Atlantic sea surface temperatures", "author" : [ { "dropping-particle" : "", "family" : "Aguilar", "given" : "E.", "non-dropping-particle" : "", "parse-names" : false, "suffix" : "" }, { "dropping-particle" : "", "family" : "Peterson", "given" : "T. C.", "non-dropping-particle" : "", "parse-names" : false, "suffix" : "" }, { "dropping-particle" : "", "family" : "Obando", "given" : "P. Ram\u00edrez", "non-dropping-particle" : "", "parse-names" : false, "suffix" : "" }, { "dropping-particle" : "", "family" : "Frutos", "given" : "R.", "non-dropping-particle" : "", "parse-names" : false, "suffix" : "" }, { "dropping-particle" : "", "family" : "Retana", "given" : "J. A.", "non-dropping-particle" : "", "parse-names" : false, "suffix" : "" }, { "dropping-particle" : "", "family" : "Solera", "given" : "M.", "non-dropping-particle" : "", "parse-names" : false, "suffix" : "" }, { "dropping-particle" : "", "family" : "Soley", "given" : "J.", "non-dropping-particle" : "", "parse-names" : false, "suffix" : "" }, { "dropping-particle" : "", "family" : "Garc\u00eda", "given" : "I. Gonz\u00e1lez", "non-dropping-particle" : "", "parse-names" : false, "suffix" : "" }, { "dropping-particle" : "", "family" : "Araujo", "given" : "R. M.", "non-dropping-particle" : "", "parse-names" : false, "suffix" : "" }, { "dropping-particle" : "", "family" : "Santos", "given" : "A. Rosa", "non-dropping-particle" : "", "parse-names" : false, "suffix" : "" }, { "dropping-particle" : "", "family" : "Valle", "given" : "V. E.", "non-dropping-particle" : "", "parse-names" : false, "suffix" : "" }, { "dropping-particle" : "", "family" : "Brunet", "given" : "M.", "non-dropping-particle" : "", "parse-names" : false, "suffix" : "" }, { "dropping-particle" : "", "family" : "Aguilar", "given" : "L.", "non-dropping-particle" : "", "parse-names" : false, "suffix" : "" }, { "dropping-particle" : "", "family" : "\u00c1lvarez", "given" : "L.", "non-dropping-particle" : "", "parse-names" : false, "suffix" : "" }, { "dropping-particle" : "", "family" : "Bautista", "given" : "M.", "non-dropping-particle" : "", "parse-names" : false, "suffix" : "" }, { "dropping-particle" : "", "family" : "Casta\u00f1\u00f3n", "given" : "C.", "non-dropping-particle" : "", "parse-names" : false, "suffix" : "" }, { "dropping-particle" : "", "family" : "Herrera", "given" : "L.", "non-dropping-particle" : "", "parse-names" : false, "suffix" : "" }, { "dropping-particle" : "", "family" : "Ruano", "given" : "E.", "non-dropping-particle" : "", "parse-names" : false, "suffix" : "" }, { "dropping-particle" : "", "family" : "Sinay", "given" : "J. J.", "non-dropping-particle" : "", "parse-names" : false, "suffix" : "" }, { "dropping-particle" : "", "family" : "S\u00e1nchez", "given" : "E.", "non-dropping-particle" : "", "parse-names" : false, "suffix" : "" }, { "dropping-particle" : "", "family" : "Oviedo", "given" : "G. I. Hern\u00e1ndez", "non-dropping-particle" : "", "parse-names" : false, "suffix" : "" }, { "dropping-particle" : "", "family" : "Obed", "given" : "F.", "non-dropping-particle" : "", "parse-names" : false, "suffix" : "" }, { "dropping-particle" : "", "family" : "Salgado", "given" : "J. E.", "non-dropping-particle" : "", "parse-names" : false, "suffix" : "" }, { "dropping-particle" : "", "family" : "V\u00e1zquez", "given" : "J. L.", "non-dropping-particle" : "", "parse-names" : false, "suffix" : "" }, { "dropping-particle" : "", "family" : "Baca", "given" : "M.", "non-dropping-particle" : "", "parse-names" : false, "suffix" : "" }, { "dropping-particle" : "", "family" : "Guti\u00e9rrez", "given" : "M.", "non-dropping-particle" : "", "parse-names" : false, "suffix" : "" }, { "dropping-particle" : "", "family" : "Centella", "given" : "C.", "non-dropping-particle" : "", "parse-names" : false, "suffix" : "" }, { "dropping-particle" : "", "family" : "Espinosa", "given" : "J.", "non-dropping-particle" : "", "parse-names" : false, "suffix" : "" }, { "dropping-particle" : "", "family" : "Mart\u00ednez", "given" : "D.", "non-dropping-particle" : "", "parse-names" : false, "suffix" : "" }, { "dropping-particle" : "", "family" : "Olmedo", "given" : "B.", "non-dropping-particle" : "", "parse-names" : false, "suffix" : "" }, { "dropping-particle" : "", "family" : "Espinoza", "given" : "C. E. Ojeda", "non-dropping-particle" : "", "parse-names" : false, "suffix" : "" }, { "dropping-particle" : "", "family" : "N\u00fa\u00f1ez", "given" : "R.", "non-dropping-particle" : "", "parse-names" : false, "suffix" : "" }, { "dropping-particle" : "", "family" : "Haylock", "given" : "M.", "non-dropping-particle" : "", "parse-names" : false, "suffix" : "" }, { "dropping-particle" : "", "family" : "Benavides", "given" : "H.", "non-dropping-particle" : "", "parse-names" : false, "suffix" : "" }, { "dropping-particle" : "", "family" : "Mayorga", "given" : "R.", "non-dropping-particle" : "", "parse-names" : false, "suffix" : "" } ], "container-title" : "Journal of Geophysical Research", "id" : "ITEM-1", "issue" : "D23", "issued" : { "date-parts" : [ [ "2005" ] ] }, "page" : "1-15", "title" : "Changes in precipitation and temperature extremes in Central America and northern South America, 1961\u20132003", "type" : "article-journal", "volume" : "110" }, "uris" : [ "http://www.mendeley.com/documents/?uuid=cf8b6a8d-5c1b-4213-b8c6-1f49720dd1a4" ] }, { "id" : "ITEM-2", "itemData" : { "DOI" : "10.1007/s00382-011-1099-9", "ISBN" : "0930757514320894SUEarthandEnvironmentalScience", "ISSN" : "09307575", "PMID" : "20121836", "abstract" : "Central America has high biodiversity, it harbors high-value ecosystems and its important to provide regional climate change information to assist in adaptation and mitigation work in the region. Here we study climate change projections for Central America and Mexico using a regional climate model. The model evaluation shows its success in simulating spatial and temporal variability of temperature and precipitation and also in capturing regional climate features such as the bimodal annual cycle of precipitation and the Caribbean low-level jet. A variety of climate regimes within the model domain are also better identified in the regional model simulation due to improved resolution of topographic features. Although, the model suffers from large precipitation biases, it shows improvements over the coarse-resolution driving model in simulating precipitation amounts. The model shows a dry bias in the wet season and a wet bias in the dry season suggesting that its unable to capture the full range of precipitation variability. Projected warming under the A2 scenario is higher in the wet season than that in the dry season with the Yucatan Peninsula experiencing highest warming. A large reduction in precipitation in the wet season is projected for the region, whereas parts of Central America that receive a considerable amount of moisture in the form of orographic precipitation show significant decreases in precipitation in the dry season. Projected climatic changes can have detrimental impacts on biodiversity as they are spatially similar, but far greater in magnitude, than those observed during the El Ni\u00f1o events in recent decades that adversely affected species in the region.", "author" : [ { "dropping-particle" : "V.", "family" : "Karmalkar", "given" : "Ambarish", "non-dropping-particle" : "", "parse-names" : false, "suffix" : "" }, { "dropping-particle" : "", "family" : "Bradley", "given" : "Raymond S.", "non-dropping-particle" : "", "parse-names" : false, "suffix" : "" }, { "dropping-particle" : "", "family" : "Diaz", "given" : "Henry F.", "non-dropping-particle" : "", "parse-names" : false, "suffix" : "" } ], "container-title" : "Climate Dynamics", "id" : "ITEM-2", "issue" : "3", "issued" : { "date-parts" : [ [ "2011" ] ] }, "page" : "605-629", "title" : "Climate change in Central America and Mexico: Regional climate model validation and climate change projections", "type" : "article-journal", "volume" : "37" }, "uris" : [ "http://www.mendeley.com/documents/?uuid=445c5f54-f716-4926-bd22-94a456c2ac68" ] } ], "mendeley" : { "formattedCitation" : "(Aguilar et al. 2005, Karmalkar et al. 2011)", "manualFormatting" : "(Aguilar et al., 2005, Karmalkar et al., 2011)", "plainTextFormattedCitation" : "(Aguilar et al. 2005, Karmalkar et al. 2011)", "previouslyFormattedCitation" : "(Aguilar et al. 2005, Karmalkar et al. 2011)" }, "properties" : { "noteIndex" : 0 }, "schema" : "https://github.com/citation-style-language/schema/raw/master/csl-citation.json" }</w:instrText>
      </w:r>
      <w:r w:rsidRPr="008608AA">
        <w:rPr>
          <w:rFonts w:eastAsia="Calibri"/>
        </w:rPr>
        <w:fldChar w:fldCharType="separate"/>
      </w:r>
      <w:r w:rsidRPr="008608AA">
        <w:rPr>
          <w:rFonts w:eastAsia="Calibri"/>
          <w:noProof/>
        </w:rPr>
        <w:t>(Aguilar et al., 2005, Karmalkar et al., 2011)</w:t>
      </w:r>
      <w:r w:rsidRPr="008608AA">
        <w:rPr>
          <w:rFonts w:eastAsia="Calibri"/>
        </w:rPr>
        <w:fldChar w:fldCharType="end"/>
      </w:r>
      <w:r w:rsidR="000151A1" w:rsidRPr="008608AA">
        <w:rPr>
          <w:rFonts w:eastAsia="Calibri"/>
        </w:rPr>
        <w:t>.</w:t>
      </w:r>
      <w:r w:rsidRPr="008608AA">
        <w:rPr>
          <w:rFonts w:eastAsia="Calibri"/>
        </w:rPr>
        <w:t xml:space="preserve"> Between 1961 and 2003, the percentage of warm minimum and maximum temperatures have increased by 1.7% and 2.5% per decade, respectively, whereas the percentage of cool minimum and maximum temperatures have decreased by 2.4% and 2.2% per decade, respectively </w:t>
      </w:r>
      <w:r w:rsidRPr="008608AA">
        <w:rPr>
          <w:rFonts w:eastAsia="Calibri"/>
        </w:rPr>
        <w:fldChar w:fldCharType="begin" w:fldLock="1"/>
      </w:r>
      <w:r w:rsidRPr="008608AA">
        <w:rPr>
          <w:rFonts w:eastAsia="Calibri"/>
        </w:rPr>
        <w:instrText>ADDIN CSL_CITATION { "citationItems" : [ { "id" : "ITEM-1", "itemData" : { "DOI" : "10.1029/2005JD006119", "ISBN" : "0148-0227", "ISSN" : "0148-0227", "abstract" : "In November 2004, a regional climate change workshop was held in Guatemala with the goal of analyzing how climate extremes had changed in the region. Scientists from Central America and northern South America brought long-term daily temperature and precipitation time series from meteorological stations in their countries to the workshop. After undergoing careful quality control procedures and a homogeneity assessment, the data were used to calculate a suite of climate change indices over the 1961\u20132003 period. Analysis of these indices reveals a general warming trend in the region. The occurrence of extreme warm maximum and minimum temperatures has increased while extremely cold temperature events have decreased. Precipitation indices, despite the large and expected spatial variability, indicate that although no significant increases in the total amount are found, rainfall events are intensifying and the contribution of wet and very wet days are enlarging. Temperature and precipitation indices were correlated with northern and equatorial Atlantic and Pacific Ocean sea surface temperatures. However, those indices having the largest significant trends (percentage of warm days, precipitation intensity, and contribution from very wet days) have low correlations to El Nin\u02dco\u2013Southern Oscillation. Additionally, precipitation indices show a higher correlation with tropical Atlantic sea surface temperatures", "author" : [ { "dropping-particle" : "", "family" : "Aguilar", "given" : "E.", "non-dropping-particle" : "", "parse-names" : false, "suffix" : "" }, { "dropping-particle" : "", "family" : "Peterson", "given" : "T. C.", "non-dropping-particle" : "", "parse-names" : false, "suffix" : "" }, { "dropping-particle" : "", "family" : "Obando", "given" : "P. Ram\u00edrez", "non-dropping-particle" : "", "parse-names" : false, "suffix" : "" }, { "dropping-particle" : "", "family" : "Frutos", "given" : "R.", "non-dropping-particle" : "", "parse-names" : false, "suffix" : "" }, { "dropping-particle" : "", "family" : "Retana", "given" : "J. A.", "non-dropping-particle" : "", "parse-names" : false, "suffix" : "" }, { "dropping-particle" : "", "family" : "Solera", "given" : "M.", "non-dropping-particle" : "", "parse-names" : false, "suffix" : "" }, { "dropping-particle" : "", "family" : "Soley", "given" : "J.", "non-dropping-particle" : "", "parse-names" : false, "suffix" : "" }, { "dropping-particle" : "", "family" : "Garc\u00eda", "given" : "I. Gonz\u00e1lez", "non-dropping-particle" : "", "parse-names" : false, "suffix" : "" }, { "dropping-particle" : "", "family" : "Araujo", "given" : "R. M.", "non-dropping-particle" : "", "parse-names" : false, "suffix" : "" }, { "dropping-particle" : "", "family" : "Santos", "given" : "A. Rosa", "non-dropping-particle" : "", "parse-names" : false, "suffix" : "" }, { "dropping-particle" : "", "family" : "Valle", "given" : "V. E.", "non-dropping-particle" : "", "parse-names" : false, "suffix" : "" }, { "dropping-particle" : "", "family" : "Brunet", "given" : "M.", "non-dropping-particle" : "", "parse-names" : false, "suffix" : "" }, { "dropping-particle" : "", "family" : "Aguilar", "given" : "L.", "non-dropping-particle" : "", "parse-names" : false, "suffix" : "" }, { "dropping-particle" : "", "family" : "\u00c1lvarez", "given" : "L.", "non-dropping-particle" : "", "parse-names" : false, "suffix" : "" }, { "dropping-particle" : "", "family" : "Bautista", "given" : "M.", "non-dropping-particle" : "", "parse-names" : false, "suffix" : "" }, { "dropping-particle" : "", "family" : "Casta\u00f1\u00f3n", "given" : "C.", "non-dropping-particle" : "", "parse-names" : false, "suffix" : "" }, { "dropping-particle" : "", "family" : "Herrera", "given" : "L.", "non-dropping-particle" : "", "parse-names" : false, "suffix" : "" }, { "dropping-particle" : "", "family" : "Ruano", "given" : "E.", "non-dropping-particle" : "", "parse-names" : false, "suffix" : "" }, { "dropping-particle" : "", "family" : "Sinay", "given" : "J. J.", "non-dropping-particle" : "", "parse-names" : false, "suffix" : "" }, { "dropping-particle" : "", "family" : "S\u00e1nchez", "given" : "E.", "non-dropping-particle" : "", "parse-names" : false, "suffix" : "" }, { "dropping-particle" : "", "family" : "Oviedo", "given" : "G. I. Hern\u00e1ndez", "non-dropping-particle" : "", "parse-names" : false, "suffix" : "" }, { "dropping-particle" : "", "family" : "Obed", "given" : "F.", "non-dropping-particle" : "", "parse-names" : false, "suffix" : "" }, { "dropping-particle" : "", "family" : "Salgado", "given" : "J. E.", "non-dropping-particle" : "", "parse-names" : false, "suffix" : "" }, { "dropping-particle" : "", "family" : "V\u00e1zquez", "given" : "J. L.", "non-dropping-particle" : "", "parse-names" : false, "suffix" : "" }, { "dropping-particle" : "", "family" : "Baca", "given" : "M.", "non-dropping-particle" : "", "parse-names" : false, "suffix" : "" }, { "dropping-particle" : "", "family" : "Guti\u00e9rrez", "given" : "M.", "non-dropping-particle" : "", "parse-names" : false, "suffix" : "" }, { "dropping-particle" : "", "family" : "Centella", "given" : "C.", "non-dropping-particle" : "", "parse-names" : false, "suffix" : "" }, { "dropping-particle" : "", "family" : "Espinosa", "given" : "J.", "non-dropping-particle" : "", "parse-names" : false, "suffix" : "" }, { "dropping-particle" : "", "family" : "Mart\u00ednez", "given" : "D.", "non-dropping-particle" : "", "parse-names" : false, "suffix" : "" }, { "dropping-particle" : "", "family" : "Olmedo", "given" : "B.", "non-dropping-particle" : "", "parse-names" : false, "suffix" : "" }, { "dropping-particle" : "", "family" : "Espinoza", "given" : "C. E. Ojeda", "non-dropping-particle" : "", "parse-names" : false, "suffix" : "" }, { "dropping-particle" : "", "family" : "N\u00fa\u00f1ez", "given" : "R.", "non-dropping-particle" : "", "parse-names" : false, "suffix" : "" }, { "dropping-particle" : "", "family" : "Haylock", "given" : "M.", "non-dropping-particle" : "", "parse-names" : false, "suffix" : "" }, { "dropping-particle" : "", "family" : "Benavides", "given" : "H.", "non-dropping-particle" : "", "parse-names" : false, "suffix" : "" }, { "dropping-particle" : "", "family" : "Mayorga", "given" : "R.", "non-dropping-particle" : "", "parse-names" : false, "suffix" : "" } ], "container-title" : "Journal of Geophysical Research", "id" : "ITEM-1", "issue" : "D23", "issued" : { "date-parts" : [ [ "2005" ] ] }, "page" : "1-15", "title" : "Changes in precipitation and temperature extremes in Central America and northern South America, 1961\u20132003", "type" : "article-journal", "volume" : "110" }, "uris" : [ "http://www.mendeley.com/documents/?uuid=cf8b6a8d-5c1b-4213-b8c6-1f49720dd1a4" ] } ], "mendeley" : { "formattedCitation" : "(Aguilar et al. 2005)", "manualFormatting" : "(Aguilar et al., 2005)", "plainTextFormattedCitation" : "(Aguilar et al. 2005)", "previouslyFormattedCitation" : "(Aguilar et al. 2005)" }, "properties" : { "noteIndex" : 0 }, "schema" : "https://github.com/citation-style-language/schema/raw/master/csl-citation.json" }</w:instrText>
      </w:r>
      <w:r w:rsidRPr="008608AA">
        <w:rPr>
          <w:rFonts w:eastAsia="Calibri"/>
        </w:rPr>
        <w:fldChar w:fldCharType="separate"/>
      </w:r>
      <w:r w:rsidRPr="008608AA">
        <w:rPr>
          <w:rFonts w:eastAsia="Calibri"/>
          <w:noProof/>
        </w:rPr>
        <w:t>(Aguilar et al., 2005)</w:t>
      </w:r>
      <w:r w:rsidRPr="008608AA">
        <w:rPr>
          <w:rFonts w:eastAsia="Calibri"/>
        </w:rPr>
        <w:fldChar w:fldCharType="end"/>
      </w:r>
      <w:r w:rsidR="000151A1" w:rsidRPr="008608AA">
        <w:rPr>
          <w:rFonts w:eastAsia="Calibri"/>
        </w:rPr>
        <w:t>.</w:t>
      </w:r>
      <w:r w:rsidRPr="008608AA">
        <w:rPr>
          <w:rFonts w:eastAsia="Calibri"/>
        </w:rPr>
        <w:t xml:space="preserve"> Most of the precipitation in the tropical dry forests occurs during the summer </w:t>
      </w:r>
      <w:r w:rsidRPr="008608AA">
        <w:rPr>
          <w:rFonts w:eastAsia="Calibri"/>
        </w:rPr>
        <w:fldChar w:fldCharType="begin" w:fldLock="1"/>
      </w:r>
      <w:r w:rsidRPr="008608AA">
        <w:rPr>
          <w:rFonts w:eastAsia="Calibri"/>
        </w:rPr>
        <w:instrText>ADDIN CSL_CITATION { "citationItems" : [ { "id" : "ITEM-1", "itemData" : { "DOI" : "10.1007/s00382-014-2258-6", "ISSN" : "0930-7575", "author" : [ { "dropping-particle" : "", "family" : "Fuentes-Franco", "given" : "Ramon", "non-dropping-particle" : "", "parse-names" : false, "suffix" : "" }, { "dropping-particle" : "", "family" : "Giorgi", "given" : "Filippo", "non-dropping-particle" : "", "parse-names" : false, "suffix" : "" }, { "dropping-particle" : "", "family" : "Coppola", "given" : "Erika", "non-dropping-particle" : "", "parse-names" : false, "suffix" : "" }, { "dropping-particle" : "", "family" : "Pavia", "given" : "Edgar", "non-dropping-particle" : "", "parse-names" : false, "suffix" : "" }, { "dropping-particle" : "", "family" : "Graef", "given" : "Federico", "non-dropping-particle" : "", "parse-names" : false, "suffix" : "" } ], "container-title" : "Climate Dynamics", "id" : "ITEM-1", "issue" : "1-2", "issued" : { "date-parts" : [ [ "2015" ] ] }, "page" : "425-440", "publisher" : "Springer Berlin Heidelberg", "title" : "Inter-annual variability of precipitation over Southern Mexico and Central America and its relationship to Sea Surface Temperature from RegCM4 CORDEX projections", "type" : "article-journal", "volume" : "45" }, "uris" : [ "http://www.mendeley.com/documents/?uuid=7d0899f6-828f-4ed9-b5cc-2ec5f20ba216" ] } ], "mendeley" : { "formattedCitation" : "(Fuentes-Franco et al. 2015)", "manualFormatting" : "(Fuentes-Franco et al., 2015)", "plainTextFormattedCitation" : "(Fuentes-Franco et al. 2015)", "previouslyFormattedCitation" : "(Fuentes-Franco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(Fuentes-Franco et al., 2015)</w:t>
      </w:r>
      <w:r w:rsidRPr="008608AA">
        <w:rPr>
          <w:rFonts w:eastAsia="Calibri"/>
        </w:rPr>
        <w:fldChar w:fldCharType="end"/>
      </w:r>
      <w:r w:rsidRPr="008608AA">
        <w:rPr>
          <w:rFonts w:eastAsia="Calibri"/>
        </w:rPr>
        <w:t xml:space="preserve"> and is likely an important factor in the distribution of tropical tree species richness </w:t>
      </w:r>
      <w:r w:rsidRPr="008608AA">
        <w:rPr>
          <w:rFonts w:eastAsia="Calibri"/>
        </w:rPr>
        <w:fldChar w:fldCharType="begin" w:fldLock="1"/>
      </w:r>
      <w:r w:rsidRPr="008608AA">
        <w:rPr>
          <w:rFonts w:eastAsia="Calibri"/>
        </w:rPr>
        <w:instrText>ADDIN CSL_CITATION { "citationItems" : [ { "id" : "ITEM-1", "itemData" : { "DOI" : "10.1016/j.rse.2015.04.016", "ISBN" : "00344257", "ISSN" : "00344257", "abstract" : "We used imaging spectroscopy to perform a top-down mesoscale analysis of tropical tree species richness across a bioclimatic gradient in Panama. The expressed precipitation gradient from the wet Caribbean side to the dry Pacific side makes Panama an excellent study area for performing a mesoscale assessment of climate effects on tropical tree species richness. Spatial patterns in local spectral variability (expressed as the coefficient of variation) and spectral similarity (expressed as the spectral similarity index) were used as proxies for species area curves and species distance decay curves. Our analysis revealed significant spectral changes along the precipitation gradient. Highest spectral diversity was observed for moist forest sites while lowest diversity was observed for the driest forest sites. Most of the spectral variation came from changes in the visible (VIS) and shortwave-infrared (SWIR) reflectance. Variation in the VIS was significantly higher for the dry compared to the moist and wet forests, while the opposite was true for the NIR and SWIR reflectance. Our spectral mesoscale analysis extends previous results suggesting that niche differentiation with respect to soil water availability is a direct determinant of both local- and regional-scale distributions of tropical trees. A next step would be to test the accuracy and scalability of our results with lower spatial resolution spectrometer data, simulating the observing conditions that will be achieved with future satellite missions such as the European Union's EnMap and NASA's HyspIRI missions.", "author" : [ { "dropping-particle" : "", "family" : "Somers", "given" : "Ben", "non-dropping-particle" : "", "parse-names" : false, "suffix" : "" }, { "dropping-particle" : "", "family" : "Asner", "given" : "Gregory P.", "non-dropping-particle" : "", "parse-names" : false, "suffix" : "" }, { "dropping-particle" : "", "family" : "Martin", "given" : "Roberta E.", "non-dropping-particle" : "", "parse-names" : false, "suffix" : "" }, { "dropping-particle" : "", "family" : "Anderson", "given" : "Christopher B.", "non-dropping-particle" : "", "parse-names" : false, "suffix" : "" }, { "dropping-particle" : "", "family" : "Knapp", "given" : "David E.", "non-dropping-particle" : "", "parse-names" : false, "suffix" : "" }, { "dropping-particle" : "", "family" : "Wright", "given" : "S. Joseph", "non-dropping-particle" : "", "parse-names" : false, "suffix" : "" }, { "dropping-particle" : "", "family" : "Kerchove", "given" : "Ruben", "non-dropping-particle" : "Van De", "parse-names" : false, "suffix" : "" } ], "container-title" : "Remote Sensing of Environment", "id" : "ITEM-1", "issued" : { "date-parts" : [ [ "2015" ] ] }, "page" : "111-120", "publisher" : "Elsevier Inc.", "title" : "Mesoscale assessment of changes in tropical tree species richness across a bioclimatic gradient in Panama using airborne imaging spectroscopy", "type" : "article-journal", "volume" : "167" }, "uris" : [ "http://www.mendeley.com/documents/?uuid=93d7ee1a-8047-40d2-a23a-0ae21bd7b8e3" ] } ], "mendeley" : { "formattedCitation" : "(Somers et al. 2015)", "manualFormatting" : "(Somers et al., 2015)", "plainTextFormattedCitation" : "(Somers et al. 2015)", "previouslyFormattedCitation" : "(Somers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(Somers et al., 2015)</w:t>
      </w:r>
      <w:r w:rsidRPr="008608AA">
        <w:rPr>
          <w:rFonts w:eastAsia="Calibri"/>
        </w:rPr>
        <w:fldChar w:fldCharType="end"/>
      </w:r>
      <w:r w:rsidR="000151A1" w:rsidRPr="008608AA">
        <w:rPr>
          <w:rFonts w:eastAsia="Calibri"/>
        </w:rPr>
        <w:t>.</w:t>
      </w:r>
      <w:r w:rsidRPr="008608AA">
        <w:rPr>
          <w:rFonts w:eastAsia="Calibri"/>
        </w:rPr>
        <w:t xml:space="preserve"> Although no trend in the amount of precipitation has been observed, the intensity of rainfall events has increased over the last 40 years </w:t>
      </w:r>
      <w:r w:rsidRPr="008608AA">
        <w:rPr>
          <w:rFonts w:eastAsia="Calibri"/>
        </w:rPr>
        <w:fldChar w:fldCharType="begin" w:fldLock="1"/>
      </w:r>
      <w:r w:rsidRPr="008608AA">
        <w:rPr>
          <w:rFonts w:eastAsia="Calibri"/>
        </w:rPr>
        <w:instrText>ADDIN CSL_CITATION { "citationItems" : [ { "id" : "ITEM-1", "itemData" : { "DOI" : "10.1029/2005JD006119", "ISBN" : "0148-0227", "ISSN" : "0148-0227", "abstract" : "In November 2004, a regional climate change workshop was held in Guatemala with the goal of analyzing how climate extremes had changed in the region. Scientists from Central America and northern South America brought long-term daily temperature and precipitation time series from meteorological stations in their countries to the workshop. After undergoing careful quality control procedures and a homogeneity assessment, the data were used to calculate a suite of climate change indices over the 1961\u20132003 period. Analysis of these indices reveals a general warming trend in the region. The occurrence of extreme warm maximum and minimum temperatures has increased while extremely cold temperature events have decreased. Precipitation indices, despite the large and expected spatial variability, indicate that although no significant increases in the total amount are found, rainfall events are intensifying and the contribution of wet and very wet days are enlarging. Temperature and precipitation indices were correlated with northern and equatorial Atlantic and Pacific Ocean sea surface temperatures. However, those indices having the largest significant trends (percentage of warm days, precipitation intensity, and contribution from very wet days) have low correlations to El Nin\u02dco\u2013Southern Oscillation. Additionally, precipitation indices show a higher correlation with tropical Atlantic sea surface temperatures", "author" : [ { "dropping-particle" : "", "family" : "Aguilar", "given" : "E.", "non-dropping-particle" : "", "parse-names" : false, "suffix" : "" }, { "dropping-particle" : "", "family" : "Peterson", "given" : "T. C.", "non-dropping-particle" : "", "parse-names" : false, "suffix" : "" }, { "dropping-particle" : "", "family" : "Obando", "given" : "P. Ram\u00edrez", "non-dropping-particle" : "", "parse-names" : false, "suffix" : "" }, { "dropping-particle" : "", "family" : "Frutos", "given" : "R.", "non-dropping-particle" : "", "parse-names" : false, "suffix" : "" }, { "dropping-particle" : "", "family" : "Retana", "given" : "J. A.", "non-dropping-particle" : "", "parse-names" : false, "suffix" : "" }, { "dropping-particle" : "", "family" : "Solera", "given" : "M.", "non-dropping-particle" : "", "parse-names" : false, "suffix" : "" }, { "dropping-particle" : "", "family" : "Soley", "given" : "J.", "non-dropping-particle" : "", "parse-names" : false, "suffix" : "" }, { "dropping-particle" : "", "family" : "Garc\u00eda", "given" : "I. Gonz\u00e1lez", "non-dropping-particle" : "", "parse-names" : false, "suffix" : "" }, { "dropping-particle" : "", "family" : "Araujo", "given" : "R. M.", "non-dropping-particle" : "", "parse-names" : false, "suffix" : "" }, { "dropping-particle" : "", "family" : "Santos", "given" : "A. Rosa", "non-dropping-particle" : "", "parse-names" : false, "suffix" : "" }, { "dropping-particle" : "", "family" : "Valle", "given" : "V. E.", "non-dropping-particle" : "", "parse-names" : false, "suffix" : "" }, { "dropping-particle" : "", "family" : "Brunet", "given" : "M.", "non-dropping-particle" : "", "parse-names" : false, "suffix" : "" }, { "dropping-particle" : "", "family" : "Aguilar", "given" : "L.", "non-dropping-particle" : "", "parse-names" : false, "suffix" : "" }, { "dropping-particle" : "", "family" : "\u00c1lvarez", "given" : "L.", "non-dropping-particle" : "", "parse-names" : false, "suffix" : "" }, { "dropping-particle" : "", "family" : "Bautista", "given" : "M.", "non-dropping-particle" : "", "parse-names" : false, "suffix" : "" }, { "dropping-particle" : "", "family" : "Casta\u00f1\u00f3n", "given" : "C.", "non-dropping-particle" : "", "parse-names" : false, "suffix" : "" }, { "dropping-particle" : "", "family" : "Herrera", "given" : "L.", "non-dropping-particle" : "", "parse-names" : false, "suffix" : "" }, { "dropping-particle" : "", "family" : "Ruano", "given" : "E.", "non-dropping-particle" : "", "parse-names" : false, "suffix" : "" }, { "dropping-particle" : "", "family" : "Sinay", "given" : "J. J.", "non-dropping-particle" : "", "parse-names" : false, "suffix" : "" }, { "dropping-particle" : "", "family" : "S\u00e1nchez", "given" : "E.", "non-dropping-particle" : "", "parse-names" : false, "suffix" : "" }, { "dropping-particle" : "", "family" : "Oviedo", "given" : "G. I. Hern\u00e1ndez", "non-dropping-particle" : "", "parse-names" : false, "suffix" : "" }, { "dropping-particle" : "", "family" : "Obed", "given" : "F.", "non-dropping-particle" : "", "parse-names" : false, "suffix" : "" }, { "dropping-particle" : "", "family" : "Salgado", "given" : "J. E.", "non-dropping-particle" : "", "parse-names" : false, "suffix" : "" }, { "dropping-particle" : "", "family" : "V\u00e1zquez", "given" : "J. L.", "non-dropping-particle" : "", "parse-names" : false, "suffix" : "" }, { "dropping-particle" : "", "family" : "Baca", "given" : "M.", "non-dropping-particle" : "", "parse-names" : false, "suffix" : "" }, { "dropping-particle" : "", "family" : "Guti\u00e9rrez", "given" : "M.", "non-dropping-particle" : "", "parse-names" : false, "suffix" : "" }, { "dropping-particle" : "", "family" : "Centella", "given" : "C.", "non-dropping-particle" : "", "parse-names" : false, "suffix" : "" }, { "dropping-particle" : "", "family" : "Espinosa", "given" : "J.", "non-dropping-particle" : "", "parse-names" : false, "suffix" : "" }, { "dropping-particle" : "", "family" : "Mart\u00ednez", "given" : "D.", "non-dropping-particle" : "", "parse-names" : false, "suffix" : "" }, { "dropping-particle" : "", "family" : "Olmedo", "given" : "B.", "non-dropping-particle" : "", "parse-names" : false, "suffix" : "" }, { "dropping-particle" : "", "family" : "Espinoza", "given" : "C. E. Ojeda", "non-dropping-particle" : "", "parse-names" : false, "suffix" : "" }, { "dropping-particle" : "", "family" : "N\u00fa\u00f1ez", "given" : "R.", "non-dropping-particle" : "", "parse-names" : false, "suffix" : "" }, { "dropping-particle" : "", "family" : "Haylock", "given" : "M.", "non-dropping-particle" : "", "parse-names" : false, "suffix" : "" }, { "dropping-particle" : "", "family" : "Benavides", "given" : "H.", "non-dropping-particle" : "", "parse-names" : false, "suffix" : "" }, { "dropping-particle" : "", "family" : "Mayorga", "given" : "R.", "non-dropping-particle" : "", "parse-names" : false, "suffix" : "" } ], "container-title" : "Journal of Geophysical Research", "id" : "ITEM-1", "issue" : "D23", "issued" : { "date-parts" : [ [ "2005" ] ] }, "page" : "1-15", "title" : "Changes in precipitation and temperature extremes in Central America and northern South America, 1961\u20132003", "type" : "article-journal", "volume" : "110" }, "uris" : [ "http://www.mendeley.com/documents/?uuid=cf8b6a8d-5c1b-4213-b8c6-1f49720dd1a4" ] } ], "mendeley" : { "formattedCitation" : "(Aguilar et al. 2005)", "manualFormatting" : "(Aguilar et al., 2005)", "plainTextFormattedCitation" : "(Aguilar et al. 2005)", "previouslyFormattedCitation" : "(Aguilar et al. 2005)" }, "properties" : { "noteIndex" : 0 }, "schema" : "https://github.com/citation-style-language/schema/raw/master/csl-citation.json" }</w:instrText>
      </w:r>
      <w:r w:rsidRPr="008608AA">
        <w:rPr>
          <w:rFonts w:eastAsia="Calibri"/>
        </w:rPr>
        <w:fldChar w:fldCharType="separate"/>
      </w:r>
      <w:r w:rsidRPr="008608AA">
        <w:rPr>
          <w:rFonts w:eastAsia="Calibri"/>
          <w:noProof/>
        </w:rPr>
        <w:t>(Aguilar et al., 2005)</w:t>
      </w:r>
      <w:r w:rsidRPr="008608AA">
        <w:rPr>
          <w:rFonts w:eastAsia="Calibri"/>
        </w:rPr>
        <w:fldChar w:fldCharType="end"/>
      </w:r>
      <w:r w:rsidRPr="008608AA">
        <w:rPr>
          <w:rFonts w:eastAsia="Calibri"/>
        </w:rPr>
        <w:t xml:space="preserve">.  </w:t>
      </w:r>
    </w:p>
    <w:p w14:paraId="2AAB69F5" w14:textId="54649083" w:rsidR="001E61A6" w:rsidRPr="008608AA" w:rsidRDefault="001E61A6" w:rsidP="00A345FC">
      <w:pPr>
        <w:spacing w:before="120"/>
        <w:rPr>
          <w:rFonts w:eastAsia="Calibri"/>
        </w:rPr>
      </w:pPr>
      <w:r w:rsidRPr="008608AA">
        <w:rPr>
          <w:rFonts w:eastAsia="Calibri"/>
        </w:rPr>
        <w:fldChar w:fldCharType="begin" w:fldLock="1"/>
      </w:r>
      <w:r w:rsidRPr="008608AA">
        <w:rPr>
          <w:rFonts w:eastAsia="Calibri"/>
        </w:rPr>
        <w:instrText>ADDIN CSL_CITATION { "citationItems" : [ { "id" : "ITEM-1", "itemData" : { "DOI" : "10.1007/s00382-011-1099-9", "ISBN" : "0930757514320894SUEarthandEnvironmentalScience", "ISSN" : "09307575", "PMID" : "20121836", "abstract" : "Central America has high biodiversity, it harbors high-value ecosystems and its important to provide regional climate change information to assist in adaptation and mitigation work in the region. Here we study climate change projections for Central America and Mexico using a regional climate model. The model evaluation shows its success in simulating spatial and temporal variability of temperature and precipitation and also in capturing regional climate features such as the bimodal annual cycle of precipitation and the Caribbean low-level jet. A variety of climate regimes within the model domain are also better identified in the regional model simulation due to improved resolution of topographic features. Although, the model suffers from large precipitation biases, it shows improvements over the coarse-resolution driving model in simulating precipitation amounts. The model shows a dry bias in the wet season and a wet bias in the dry season suggesting that its unable to capture the full range of precipitation variability. Projected warming under the A2 scenario is higher in the wet season than that in the dry season with the Yucatan Peninsula experiencing highest warming. A large reduction in precipitation in the wet season is projected for the region, whereas parts of Central America that receive a considerable amount of moisture in the form of orographic precipitation show significant decreases in precipitation in the dry season. Projected climatic changes can have detrimental impacts on biodiversity as they are spatially similar, but far greater in magnitude, than those observed during the El Ni\u00f1o events in recent decades that adversely affected species in the region.", "author" : [ { "dropping-particle" : "V.", "family" : "Karmalkar", "given" : "Ambarish", "non-dropping-particle" : "", "parse-names" : false, "suffix" : "" }, { "dropping-particle" : "", "family" : "Bradley", "given" : "Raymond S.", "non-dropping-particle" : "", "parse-names" : false, "suffix" : "" }, { "dropping-particle" : "", "family" : "Diaz", "given" : "Henry F.", "non-dropping-particle" : "", "parse-names" : false, "suffix" : "" } ], "container-title" : "Climate Dynamics", "id" : "ITEM-1", "issue" : "3", "issued" : { "date-parts" : [ [ "2011" ] ] }, "page" : "605-629", "title" : "Climate change in Central America and Mexico: Regional climate model validation and climate change projections", "type" : "article-journal", "volume" : "37" }, "uris" : [ "http://www.mendeley.com/documents/?uuid=445c5f54-f716-4926-bd22-94a456c2ac68" ] } ], "mendeley" : { "formattedCitation" : "(Karmalkar et al. 2011)", "manualFormatting" : "Karmalkar et al. (2011)", "plainTextFormattedCitation" : "(Karmalkar et al. 2011)", "previouslyFormattedCitation" : "(Karmalkar et al. 2011)" }, "properties" : { "noteIndex" : 0 }, "schema" : "https://github.com/citation-style-language/schema/raw/master/csl-citation.json" }</w:instrText>
      </w:r>
      <w:r w:rsidRPr="008608AA">
        <w:rPr>
          <w:rFonts w:eastAsia="Calibri"/>
        </w:rPr>
        <w:fldChar w:fldCharType="separate"/>
      </w:r>
      <w:r w:rsidRPr="008608AA">
        <w:rPr>
          <w:rFonts w:eastAsia="Calibri"/>
          <w:noProof/>
        </w:rPr>
        <w:t>Karmalkar et al. (2011)</w:t>
      </w:r>
      <w:r w:rsidRPr="008608AA">
        <w:rPr>
          <w:rFonts w:eastAsia="Calibri"/>
        </w:rPr>
        <w:fldChar w:fldCharType="end"/>
      </w:r>
      <w:r w:rsidRPr="008608AA">
        <w:rPr>
          <w:rFonts w:eastAsia="Calibri"/>
        </w:rPr>
        <w:t xml:space="preserve"> projected that warming in the region will vary both spatially and temporally, with higher temperatures in the Yucatan Peninsula and during the wet season.  Increased temperatures in the tropical dry forest has implications for carbon sequestration, as carbon uptake is likely to decline substantially under warming conditions </w:t>
      </w:r>
      <w:r w:rsidRPr="008608AA">
        <w:rPr>
          <w:rFonts w:eastAsia="Calibri"/>
        </w:rPr>
        <w:fldChar w:fldCharType="begin" w:fldLock="1"/>
      </w:r>
      <w:r w:rsidRPr="008608AA">
        <w:rPr>
          <w:rFonts w:eastAsia="Calibri"/>
        </w:rPr>
        <w:instrText>ADDIN CSL_CITATION { "citationItems" : [ { "id" : "ITEM-1", "itemData" : { "DOI" : "10.1016/j.ecocom.2015.09.004", "ISSN" : "1476945X", "author" : [ { "dropping-particle" : "", "family" : "Dai", "given" : "Z.", "non-dropping-particle" : "", "parse-names" : false, "suffix" : "" }, { "dropping-particle" : "", "family" : "Johnson", "given" : "K.D.", "non-dropping-particle" : "", "parse-names" : false, "suffix" : "" }, { "dropping-particle" : "", "family" : "Birdsey", "given" : "R.A.", "non-dropping-particle" : "", "parse-names" : false, "suffix" : "" }, { "dropping-particle" : "", "family" : "Hernandez-Stefanoni", "given" : "J.L.", "non-dropping-particle" : "", "parse-names" : false, "suffix" : "" }, { "dropping-particle" : "", "family" : "Dupuy", "given" : "J.M.", "non-dropping-particle" : "", "parse-names" : false, "suffix" : "" } ], "container-title" : "Ecological Complexity", "id" : "ITEM-1", "issue" : "November", "issued" : { "date-parts" : [ [ "2015" ] ] }, "page" : "46-56", "publisher" : "Elsevier B.V.", "title" : "Assessing the effect of climate change on carbon sequestration in a Mexican dry forest in the Yucatan Peninsula", "type" : "article-journal", "volume" : "24" }, "uris" : [ "http://www.mendeley.com/documents/?uuid=845289f1-9b67-4d09-8d3e-9e5f99e60fa4" ] } ], "mendeley" : { "formattedCitation" : "(Dai et al. 2015)", "manualFormatting" : "(Dai et al., 2015)", "plainTextFormattedCitation" : "(Dai et al. 2015)", "previouslyFormattedCitation" : "(Dai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(Dai et al., 2015)</w:t>
      </w:r>
      <w:r w:rsidRPr="008608AA">
        <w:rPr>
          <w:rFonts w:eastAsia="Calibri"/>
        </w:rPr>
        <w:fldChar w:fldCharType="end"/>
      </w:r>
      <w:r w:rsidRPr="008608AA">
        <w:rPr>
          <w:rFonts w:eastAsia="Calibri"/>
        </w:rPr>
        <w:t xml:space="preserve">.  Additionally, because understory microsite variability is low in some portions of the tropical dry forests, future warming could have serious implications for neotropical birds </w:t>
      </w:r>
      <w:r w:rsidRPr="008608AA">
        <w:rPr>
          <w:rFonts w:eastAsia="Calibri"/>
        </w:rPr>
        <w:fldChar w:fldCharType="begin" w:fldLock="1"/>
      </w:r>
      <w:r w:rsidRPr="008608AA">
        <w:rPr>
          <w:rFonts w:eastAsia="Calibri"/>
        </w:rPr>
        <w:instrText>ADDIN CSL_CITATION { "citationItems" : [ { "id" : "ITEM-1", "itemData" : { "DOI" : "10.1016/j.biocon.2014.11.013", "ISBN" : "0006-3207", "ISSN" : "00063207", "abstract" : "Local abiotic conditions (microclimates) vary spatially and selection of favorable microclimates within a habitat can influence an animal's energy budgets, behavior, and ultimately, fitness. Insectivorous birds that inhabit the understory of tropical forests may be especially sensitive to environmental variation and may select habitat based on microclimatic (e.g. temperature, humidity, light) conditions. Sensitivity to microclimate could contribute to the population declines of understory insectivores in response to forest fragmentation or degradation, which changes the physical structure of the forest, thereby increasing light intensity and temperature and decreasing humidity. To understand the role of microclimates in the habitat selection of understory insectivores, we characterized the microclimatic associations of nine species of understory insectivores at three sites along a precipitation gradient and across seasons in central Panama. We compared the distributions of microclimates selected by birds with microclimates at randomly chosen points within their home ranges to test for microclimate selectivity. We predicted that: (1) birds would select microclimates that are more humid, cooler, and less bright than random microclimates, (2) selectivity would be greater in hotter, drier habitats and (3) selectivity would be greatest in the dry season. We found no evidence of selectivity for the nine species we sampled on a seasonal or spatial basis. Microclimate variation was minimal in the forest understory at all sites, particularly in the wet season. Understory insectivores did not use microhabitats characterized by high light intensity, and may be sensitive to light, though the mechanism remains unclear. The lack of microclimate variation in the understory of tropical forests may have serious fitness consequences for understory insectivores due to increasing temperatures associated with climate change coupled with a lack of thermal refugia.", "author" : [ { "dropping-particle" : "", "family" : "Pollock", "given" : "Henry S.", "non-dropping-particle" : "", "parse-names" : false, "suffix" : "" }, { "dropping-particle" : "", "family" : "Cheviron", "given" : "Zachary A.", "non-dropping-particle" : "", "parse-names" : false, "suffix" : "" }, { "dropping-particle" : "", "family" : "Agin", "given" : "T. J.", "non-dropping-particle" : "", "parse-names" : false, "suffix" : "" }, { "dropping-particle" : "", "family" : "Brawn", "given" : "Jeffrey D.", "non-dropping-particle" : "", "parse-names" : false, "suffix" : "" } ], "container-title" : "Biological Conservation", "id" : "ITEM-1", "issued" : { "date-parts" : [ [ "2015" ] ] }, "page" : "116-125", "publisher" : "Elsevier Ltd", "title" : "Absence of microclimate selectivity in insectivorous birds of the Neotropical forest understory", "type" : "article-journal", "volume" : "188" }, "uris" : [ "http://www.mendeley.com/documents/?uuid=2abe746b-833b-4966-9d68-231a6a4e8fa6" ] } ], "mendeley" : { "formattedCitation" : "(Pollock et al. 2015)", "manualFormatting" : "(Pollock et al., 2015)", "plainTextFormattedCitation" : "(Pollock et al. 2015)", "previouslyFormattedCitation" : "(Pollock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(Pollock et al., 2015)</w:t>
      </w:r>
      <w:r w:rsidRPr="008608AA">
        <w:rPr>
          <w:rFonts w:eastAsia="Calibri"/>
        </w:rPr>
        <w:fldChar w:fldCharType="end"/>
      </w:r>
      <w:r w:rsidR="000151A1" w:rsidRPr="008608AA">
        <w:rPr>
          <w:rFonts w:eastAsia="Calibri"/>
        </w:rPr>
        <w:t xml:space="preserve">. </w:t>
      </w:r>
      <w:r w:rsidRPr="008608AA">
        <w:rPr>
          <w:rFonts w:eastAsia="Calibri"/>
        </w:rPr>
        <w:t xml:space="preserve">A temperature increase &gt;3°C has the potential to cause a 15% decline in potential species richness (Golicher et al., 2012) (see Chapter 3 for more details).  </w:t>
      </w:r>
    </w:p>
    <w:p w14:paraId="0D0CA2D1" w14:textId="4CA1D29E" w:rsidR="001E61A6" w:rsidRPr="008608AA" w:rsidRDefault="001E61A6" w:rsidP="00A345FC">
      <w:pPr>
        <w:spacing w:before="120"/>
        <w:rPr>
          <w:rFonts w:eastAsia="Calibri"/>
        </w:rPr>
      </w:pPr>
      <w:r w:rsidRPr="008608AA">
        <w:rPr>
          <w:rFonts w:eastAsia="Calibri"/>
        </w:rPr>
        <w:t xml:space="preserve">Most wetlands in Mexico are found along the Gulf of Mexico or Pacific Ocean </w:t>
      </w:r>
      <w:r w:rsidRPr="008608AA">
        <w:rPr>
          <w:rFonts w:eastAsia="Calibri"/>
        </w:rPr>
        <w:fldChar w:fldCharType="begin" w:fldLock="1"/>
      </w:r>
      <w:r w:rsidRPr="008608AA">
        <w:rPr>
          <w:rFonts w:eastAsia="Calibri"/>
        </w:rPr>
        <w:instrText>ADDIN CSL_CITATION { "citationItems" : [ { "id" : "ITEM-1", "itemData" : { "DOI" : "10.1007/s00027-012-0262-7", "ISBN" : "1015-1621", "ISSN" : "10151621", "abstract" : "North and Central America has a combined total of 2.5 million km2 of wetlands, with 51 % in Canada, 46 % in the USA, and the remainder in subtropical and tropical Mexico and Central America. Loss rates are well known for the conterminous USA and for parts of Canada but poorly understood for Mexico and Central America. Wetlands of North America continue to be threatened due to drainage for agriculture and urban development, extreme coastal and river management, water pollution from upstream watersheds, peat mining, waterfowl management, and more recently climate change. Human use of wetlands in this region are many, including receiving ecosystem services such as water purification, flood regulation, climate regulation, and direct provisioning benefits for many cultures living in and among wetlands, especially in the Louisiana Delta and in Mexico and Central America. Climate change affects will cause wetland impacts on coastal wetlands due to sea level rise and on inland wetlands due to changes in precipitation, air temperature, and river discharges. Wetlands, in turn, have a major role in the storage of carbon in boreal regions of Canada and with carbon sequestration in temperate and tropical wetlands of the Americas.", "author" : [ { "dropping-particle" : "", "family" : "Mitsch", "given" : "William J.", "non-dropping-particle" : "", "parse-names" : false, "suffix" : "" }, { "dropping-particle" : "", "family" : "Hernandez", "given" : "Maria E.", "non-dropping-particle" : "", "parse-names" : false, "suffix" : "" } ], "container-title" : "Aquatic Sciences", "id" : "ITEM-1", "issue" : "1", "issued" : { "date-parts" : [ [ "2013" ] ] }, "page" : "133-149", "title" : "Landscape and climate change threats to wetlands of North and Central America", "type" : "article-journal", "volume" : "75" }, "uris" : [ "http://www.mendeley.com/documents/?uuid=638bfd69-408e-4292-bbcd-a356c6a12c38" ] } ], "mendeley" : { "formattedCitation" : "(Mitsch and Hernandez 2013)", "plainTextFormattedCitation" : "(Mitsch and Hernandez 2013)", "previouslyFormattedCitation" : "(Mitsch and Hernandez 2013)" }, "properties" : { "noteIndex" : 0 }, "schema" : "https://github.com/citation-style-language/schema/raw/master/csl-citation.json" }</w:instrText>
      </w:r>
      <w:r w:rsidRPr="008608AA">
        <w:rPr>
          <w:rFonts w:eastAsia="Calibri"/>
        </w:rPr>
        <w:fldChar w:fldCharType="separate"/>
      </w:r>
      <w:r w:rsidRPr="008608AA">
        <w:rPr>
          <w:rFonts w:eastAsia="Calibri"/>
          <w:noProof/>
        </w:rPr>
        <w:t xml:space="preserve">(Mitsch </w:t>
      </w:r>
      <w:r w:rsidR="00C85F9E" w:rsidRPr="008608AA">
        <w:rPr>
          <w:rFonts w:eastAsia="Calibri"/>
          <w:noProof/>
        </w:rPr>
        <w:t>&amp;</w:t>
      </w:r>
      <w:r w:rsidRPr="008608AA">
        <w:rPr>
          <w:rFonts w:eastAsia="Calibri"/>
          <w:noProof/>
        </w:rPr>
        <w:t xml:space="preserve"> Hernandez</w:t>
      </w:r>
      <w:r w:rsidR="00C85F9E" w:rsidRPr="008608AA">
        <w:rPr>
          <w:rFonts w:eastAsia="Calibri"/>
          <w:noProof/>
        </w:rPr>
        <w:t>,</w:t>
      </w:r>
      <w:r w:rsidRPr="008608AA">
        <w:rPr>
          <w:rFonts w:eastAsia="Calibri"/>
          <w:noProof/>
        </w:rPr>
        <w:t xml:space="preserve"> 2013)</w:t>
      </w:r>
      <w:r w:rsidRPr="008608AA">
        <w:rPr>
          <w:rFonts w:eastAsia="Calibri"/>
        </w:rPr>
        <w:fldChar w:fldCharType="end"/>
      </w:r>
      <w:r w:rsidR="000151A1" w:rsidRPr="008608AA">
        <w:rPr>
          <w:rFonts w:eastAsia="Calibri"/>
        </w:rPr>
        <w:t>.</w:t>
      </w:r>
      <w:r w:rsidRPr="008608AA">
        <w:rPr>
          <w:rFonts w:eastAsia="Calibri"/>
        </w:rPr>
        <w:t xml:space="preserve"> Similarly, mangrove swamps are common on both coastlines in Central America </w:t>
      </w:r>
      <w:r w:rsidRPr="008608AA">
        <w:rPr>
          <w:rFonts w:eastAsia="Calibri"/>
        </w:rPr>
        <w:fldChar w:fldCharType="begin" w:fldLock="1"/>
      </w:r>
      <w:r w:rsidRPr="008608AA">
        <w:rPr>
          <w:rFonts w:eastAsia="Calibri"/>
        </w:rPr>
        <w:instrText>ADDIN CSL_CITATION { "citationItems" : [ { "id" : "ITEM-1", "itemData" : { "DOI" : "10.1007/s00027-012-0262-7", "ISBN" : "1015-1621", "ISSN" : "10151621", "abstract" : "North and Central America has a combined total of 2.5 million km2 of wetlands, with 51 % in Canada, 46 % in the USA, and the remainder in subtropical and tropical Mexico and Central America. Loss rates are well known for the conterminous USA and for parts of Canada but poorly understood for Mexico and Central America. Wetlands of North America continue to be threatened due to drainage for agriculture and urban development, extreme coastal and river management, water pollution from upstream watersheds, peat mining, waterfowl management, and more recently climate change. Human use of wetlands in this region are many, including receiving ecosystem services such as water purification, flood regulation, climate regulation, and direct provisioning benefits for many cultures living in and among wetlands, especially in the Louisiana Delta and in Mexico and Central America. Climate change affects will cause wetland impacts on coastal wetlands due to sea level rise and on inland wetlands due to changes in precipitation, air temperature, and river discharges. Wetlands, in turn, have a major role in the storage of carbon in boreal regions of Canada and with carbon sequestration in temperate and tropical wetlands of the Americas.", "author" : [ { "dropping-particle" : "", "family" : "Mitsch", "given" : "William J.", "non-dropping-particle" : "", "parse-names" : false, "suffix" : "" }, { "dropping-particle" : "", "family" : "Hernandez", "given" : "Maria E.", "non-dropping-particle" : "", "parse-names" : false, "suffix" : "" } ], "container-title" : "Aquatic Sciences", "id" : "ITEM-1", "issue" : "1", "issued" : { "date-parts" : [ [ "2013" ] ] }, "page" : "133-149", "title" : "Landscape and climate change threats to wetlands of North and Central America", "type" : "article-journal", "volume" : "75" }, "uris" : [ "http://www.mendeley.com/documents/?uuid=638bfd69-408e-4292-bbcd-a356c6a12c38" ] } ], "mendeley" : { "formattedCitation" : "(Mitsch and Hernandez 2013)", "plainTextFormattedCitation" : "(Mitsch and Hernandez 2013)", "previouslyFormattedCitation" : "(Mitsch and Hernandez 2013)" }, "properties" : { "noteIndex" : 0 }, "schema" : "https://github.com/citation-style-language/schema/raw/master/csl-citation.json" }</w:instrText>
      </w:r>
      <w:r w:rsidRPr="008608AA">
        <w:rPr>
          <w:rFonts w:eastAsia="Calibri"/>
        </w:rPr>
        <w:fldChar w:fldCharType="separate"/>
      </w:r>
      <w:r w:rsidRPr="008608AA">
        <w:rPr>
          <w:rFonts w:eastAsia="Calibri"/>
          <w:noProof/>
        </w:rPr>
        <w:t xml:space="preserve">(Mitsch </w:t>
      </w:r>
      <w:r w:rsidR="00C85F9E" w:rsidRPr="008608AA">
        <w:rPr>
          <w:rFonts w:eastAsia="Calibri"/>
          <w:noProof/>
        </w:rPr>
        <w:t>&amp;</w:t>
      </w:r>
      <w:r w:rsidRPr="008608AA">
        <w:rPr>
          <w:rFonts w:eastAsia="Calibri"/>
          <w:noProof/>
        </w:rPr>
        <w:t xml:space="preserve"> Hernandez</w:t>
      </w:r>
      <w:r w:rsidR="00C85F9E" w:rsidRPr="008608AA">
        <w:rPr>
          <w:rFonts w:eastAsia="Calibri"/>
          <w:noProof/>
        </w:rPr>
        <w:t>,</w:t>
      </w:r>
      <w:r w:rsidRPr="008608AA">
        <w:rPr>
          <w:rFonts w:eastAsia="Calibri"/>
          <w:noProof/>
        </w:rPr>
        <w:t xml:space="preserve"> 2013)</w:t>
      </w:r>
      <w:r w:rsidRPr="008608AA">
        <w:rPr>
          <w:rFonts w:eastAsia="Calibri"/>
        </w:rPr>
        <w:fldChar w:fldCharType="end"/>
      </w:r>
      <w:r w:rsidR="000151A1" w:rsidRPr="008608AA">
        <w:rPr>
          <w:rFonts w:eastAsia="Calibri"/>
        </w:rPr>
        <w:t>.</w:t>
      </w:r>
      <w:r w:rsidRPr="008608AA">
        <w:rPr>
          <w:rFonts w:eastAsia="Calibri"/>
        </w:rPr>
        <w:t xml:space="preserve"> Consequently, sea level rise is by far one of the largest concerns with regards to climate change impacts on wetland resources in those regions </w:t>
      </w:r>
      <w:r w:rsidRPr="008608AA">
        <w:rPr>
          <w:rFonts w:eastAsia="Calibri"/>
        </w:rPr>
        <w:fldChar w:fldCharType="begin" w:fldLock="1"/>
      </w:r>
      <w:r w:rsidRPr="008608AA">
        <w:rPr>
          <w:rFonts w:eastAsia="Calibri"/>
        </w:rPr>
        <w:instrText>ADDIN CSL_CITATION { "citationItems" : [ { "id" : "ITEM-1", "itemData" : { "DOI" : "10.1007/s00027-012-0262-7", "ISBN" : "1015-1621", "ISSN" : "10151621", "abstract" : "North and Central America has a combined total of 2.5 million km2 of wetlands, with 51 % in Canada, 46 % in the USA, and the remainder in subtropical and tropical Mexico and Central America. Loss rates are well known for the conterminous USA and for parts of Canada but poorly understood for Mexico and Central America. Wetlands of North America continue to be threatened due to drainage for agriculture and urban development, extreme coastal and river management, water pollution from upstream watersheds, peat mining, waterfowl management, and more recently climate change. Human use of wetlands in this region are many, including receiving ecosystem services such as water purification, flood regulation, climate regulation, and direct provisioning benefits for many cultures living in and among wetlands, especially in the Louisiana Delta and in Mexico and Central America. Climate change affects will cause wetland impacts on coastal wetlands due to sea level rise and on inland wetlands due to changes in precipitation, air temperature, and river discharges. Wetlands, in turn, have a major role in the storage of carbon in boreal regions of Canada and with carbon sequestration in temperate and tropical wetlands of the Americas.", "author" : [ { "dropping-particle" : "", "family" : "Mitsch", "given" : "William J.", "non-dropping-particle" : "", "parse-names" : false, "suffix" : "" }, { "dropping-particle" : "", "family" : "Hernandez", "given" : "Maria E.", "non-dropping-particle" : "", "parse-names" : false, "suffix" : "" } ], "container-title" : "Aquatic Sciences", "id" : "ITEM-1", "issue" : "1", "issued" : { "date-parts" : [ [ "2013" ] ] }, "page" : "133-149", "title" : "Landscape and climate change threats to wetlands of North and Central America", "type" : "article-journal", "volume" : "75" }, "uris" : [ "http://www.mendeley.com/documents/?uuid=638bfd69-408e-4292-bbcd-a356c6a12c38" ] } ], "mendeley" : { "formattedCitation" : "(Mitsch and Hernandez 2013)", "plainTextFormattedCitation" : "(Mitsch and Hernandez 2013)", "previouslyFormattedCitation" : "(Mitsch and Hernandez 2013)" }, "properties" : { "noteIndex" : 0 }, "schema" : "https://github.com/citation-style-language/schema/raw/master/csl-citation.json" }</w:instrText>
      </w:r>
      <w:r w:rsidRPr="008608AA">
        <w:rPr>
          <w:rFonts w:eastAsia="Calibri"/>
        </w:rPr>
        <w:fldChar w:fldCharType="separate"/>
      </w:r>
      <w:r w:rsidRPr="008608AA">
        <w:rPr>
          <w:rFonts w:eastAsia="Calibri"/>
          <w:noProof/>
        </w:rPr>
        <w:t xml:space="preserve">(Mitsch </w:t>
      </w:r>
      <w:r w:rsidR="00C85F9E" w:rsidRPr="008608AA">
        <w:rPr>
          <w:rFonts w:eastAsia="Calibri"/>
          <w:noProof/>
        </w:rPr>
        <w:t>&amp;</w:t>
      </w:r>
      <w:r w:rsidRPr="008608AA">
        <w:rPr>
          <w:rFonts w:eastAsia="Calibri"/>
          <w:noProof/>
        </w:rPr>
        <w:t xml:space="preserve"> Hernandez</w:t>
      </w:r>
      <w:r w:rsidR="00C85F9E" w:rsidRPr="008608AA">
        <w:rPr>
          <w:rFonts w:eastAsia="Calibri"/>
          <w:noProof/>
        </w:rPr>
        <w:t>,</w:t>
      </w:r>
      <w:r w:rsidRPr="008608AA">
        <w:rPr>
          <w:rFonts w:eastAsia="Calibri"/>
          <w:noProof/>
        </w:rPr>
        <w:t xml:space="preserve"> 2013)</w:t>
      </w:r>
      <w:r w:rsidRPr="008608AA">
        <w:rPr>
          <w:rFonts w:eastAsia="Calibri"/>
        </w:rPr>
        <w:fldChar w:fldCharType="end"/>
      </w:r>
      <w:r w:rsidR="000151A1" w:rsidRPr="008608AA">
        <w:rPr>
          <w:rFonts w:eastAsia="Calibri"/>
        </w:rPr>
        <w:t xml:space="preserve">. </w:t>
      </w:r>
      <w:r w:rsidRPr="008608AA">
        <w:rPr>
          <w:rFonts w:eastAsia="Calibri"/>
        </w:rPr>
        <w:t xml:space="preserve">The effects of sea level rise on mangrove ecosystems, for example, could have implications for fish, mollusks, and aquatic mammals </w:t>
      </w:r>
      <w:r w:rsidRPr="008608AA">
        <w:rPr>
          <w:rFonts w:eastAsia="Calibri"/>
        </w:rPr>
        <w:fldChar w:fldCharType="begin" w:fldLock="1"/>
      </w:r>
      <w:r w:rsidRPr="008608AA">
        <w:rPr>
          <w:rFonts w:eastAsia="Calibri"/>
        </w:rPr>
        <w:instrText>ADDIN CSL_CITATION { "citationItems" : [ { "id" : "ITEM-1", "itemData" : { "ISSN" : "02531151", "abstract" : "La Habana", "author" : [ { "dropping-particle" : "", "family" : "Botero", "given" : "Eduardo Uribe", "non-dropping-particle" : "", "parse-names" : false, "suffix" : "" } ], "id" : "ITEM-1", "issued" : { "date-parts" : [ [ "2015" ] ] }, "number-of-pages" : "85", "publisher-place" : "Santiago", "title" : "El cambio clim\u00e1tico y sus efectos en la biodiversidad en Am\u00e9rica Latina", "type" : "report" }, "uris" : [ "http://www.mendeley.com/documents/?uuid=b81ec745-79b4-4949-a7d7-523e6dc1d421" ] } ], "mendeley" : { "formattedCitation" : "(Botero 2015)", "plainTextFormattedCitation" : "(Botero 2015)", "previouslyFormattedCitation" : "(Botero 2015)" }, "properties" : { "noteIndex" : 0 }, "schema" : "https://github.com/citation-style-language/schema/raw/master/csl-citation.json" }</w:instrText>
      </w:r>
      <w:r w:rsidRPr="008608AA">
        <w:rPr>
          <w:rFonts w:eastAsia="Calibri"/>
        </w:rPr>
        <w:fldChar w:fldCharType="separate"/>
      </w:r>
      <w:r w:rsidRPr="008608AA">
        <w:rPr>
          <w:rFonts w:eastAsia="Calibri"/>
          <w:noProof/>
        </w:rPr>
        <w:t>(Botero</w:t>
      </w:r>
      <w:r w:rsidR="00C85F9E" w:rsidRPr="008608AA">
        <w:rPr>
          <w:rFonts w:eastAsia="Calibri"/>
          <w:noProof/>
        </w:rPr>
        <w:t>,</w:t>
      </w:r>
      <w:r w:rsidRPr="008608AA">
        <w:rPr>
          <w:rFonts w:eastAsia="Calibri"/>
          <w:noProof/>
        </w:rPr>
        <w:t xml:space="preserve"> 2015)</w:t>
      </w:r>
      <w:r w:rsidRPr="008608AA">
        <w:rPr>
          <w:rFonts w:eastAsia="Calibri"/>
        </w:rPr>
        <w:fldChar w:fldCharType="end"/>
      </w:r>
      <w:r w:rsidRPr="008608AA">
        <w:rPr>
          <w:rFonts w:eastAsia="Calibri"/>
        </w:rPr>
        <w:t xml:space="preserve">. However, feedbacks between plant growth and geomorphology may allow for wetlands to maintain stability and resist the negative impacts of sea level rise. This resiliency likely depends on human interference, such as groundwater withdrawal or artificial drainage of wetland soils, which can lead to more rapid subsidence </w:t>
      </w:r>
      <w:r w:rsidRPr="008608AA">
        <w:rPr>
          <w:rFonts w:eastAsia="Calibri"/>
        </w:rPr>
        <w:fldChar w:fldCharType="begin" w:fldLock="1"/>
      </w:r>
      <w:r w:rsidRPr="008608AA">
        <w:rPr>
          <w:rFonts w:eastAsia="Calibri"/>
        </w:rPr>
        <w:instrText>ADDIN CSL_CITATION { "citationItems" : [ { "id" : "ITEM-1", "itemData" : { "DOI" : "10.1038/nature12856", "ISBN" : "0028-0836; 1476-4687", "ISSN" : "0028-0836", "PMID" : "24305148", "abstract" : "Coastal populations and wetlands have been intertwined for centuries, whereby humans both influence and depend on the extensive ecosystem services that wetlands provide. Although coastal wetlands have long been considered vulnerable to sea-level rise, recent work has identified fascinating feedbacks between plant growth and geomorphology that allow wetlands to actively resist the deleterious effects of sea-level rise. Humans alter the strength of these feedbacks by changing the climate, nutrient inputs, sediment delivery and subsidence rates. Whether wetlands continue to survive sea-level rise depends largely on how human impacts interact with rapid sea-level rise, and socio-economic factors that influence transgression into adjacent uplands.", "author" : [ { "dropping-particle" : "", "family" : "Kirwan", "given" : "Matthew L.", "non-dropping-particle" : "", "parse-names" : false, "suffix" : "" }, { "dropping-particle" : "", "family" : "Megonigal", "given" : "J. Patrick", "non-dropping-particle" : "", "parse-names" : false, "suffix" : "" } ], "container-title" : "Nature", "id" : "ITEM-1", "issue" : "7478", "issued" : { "date-parts" : [ [ "2013" ] ] }, "page" : "53-60", "title" : "Tidal wetland stability in the face of human impacts and sea-level rise", "type" : "article-journal", "volume" : "504" }, "uris" : [ "http://www.mendeley.com/documents/?uuid=64426a23-e3ad-4688-969b-714b1eedb380" ] } ], "mendeley" : { "formattedCitation" : "(Kirwan and Megonigal 2013)", "plainTextFormattedCitation" : "(Kirwan and Megonigal 2013)", "previouslyFormattedCitation" : "(Kirwan and Megonigal 2013)" }, "properties" : { "noteIndex" : 0 }, "schema" : "https://github.com/citation-style-language/schema/raw/master/csl-citation.json" }</w:instrText>
      </w:r>
      <w:r w:rsidRPr="008608AA">
        <w:rPr>
          <w:rFonts w:eastAsia="Calibri"/>
        </w:rPr>
        <w:fldChar w:fldCharType="separate"/>
      </w:r>
      <w:r w:rsidRPr="008608AA">
        <w:rPr>
          <w:rFonts w:eastAsia="Calibri"/>
          <w:noProof/>
        </w:rPr>
        <w:t xml:space="preserve">(Kirwan </w:t>
      </w:r>
      <w:r w:rsidR="00C85F9E" w:rsidRPr="008608AA">
        <w:rPr>
          <w:rFonts w:eastAsia="Calibri"/>
          <w:noProof/>
        </w:rPr>
        <w:t>&amp;</w:t>
      </w:r>
      <w:r w:rsidRPr="008608AA">
        <w:rPr>
          <w:rFonts w:eastAsia="Calibri"/>
          <w:noProof/>
        </w:rPr>
        <w:t xml:space="preserve"> Megonigal</w:t>
      </w:r>
      <w:r w:rsidR="00C85F9E" w:rsidRPr="008608AA">
        <w:rPr>
          <w:rFonts w:eastAsia="Calibri"/>
          <w:noProof/>
        </w:rPr>
        <w:t>,</w:t>
      </w:r>
      <w:r w:rsidRPr="008608AA">
        <w:rPr>
          <w:rFonts w:eastAsia="Calibri"/>
          <w:noProof/>
        </w:rPr>
        <w:t xml:space="preserve"> 2013)</w:t>
      </w:r>
      <w:r w:rsidRPr="008608AA">
        <w:rPr>
          <w:rFonts w:eastAsia="Calibri"/>
        </w:rPr>
        <w:fldChar w:fldCharType="end"/>
      </w:r>
      <w:r w:rsidR="000151A1" w:rsidRPr="008608AA">
        <w:rPr>
          <w:rFonts w:eastAsia="Calibri"/>
        </w:rPr>
        <w:t xml:space="preserve">. </w:t>
      </w:r>
      <w:r w:rsidRPr="008608AA">
        <w:rPr>
          <w:rFonts w:eastAsia="Calibri"/>
        </w:rPr>
        <w:t xml:space="preserve">Additionally, the construction of dams and reservoirs may prevent sediments needed for wetland building from reaching coastal areas, which can minimize the likelihood for wetland sustainability under sea level rise </w:t>
      </w:r>
      <w:r w:rsidRPr="008608AA">
        <w:rPr>
          <w:rFonts w:eastAsia="Calibri"/>
        </w:rPr>
        <w:fldChar w:fldCharType="begin" w:fldLock="1"/>
      </w:r>
      <w:r w:rsidRPr="008608AA">
        <w:rPr>
          <w:rFonts w:eastAsia="Calibri"/>
        </w:rPr>
        <w:instrText>ADDIN CSL_CITATION { "citationItems" : [ { "id" : "ITEM-1", "itemData" : { "DOI" : "10.1038/nature12856", "ISBN" : "0028-0836; 1476-4687", "ISSN" : "0028-0836", "PMID" : "24305148", "abstract" : "Coastal populations and wetlands have been intertwined for centuries, whereby humans both influence and depend on the extensive ecosystem services that wetlands provide. Although coastal wetlands have long been considered vulnerable to sea-level rise, recent work has identified fascinating feedbacks between plant growth and geomorphology that allow wetlands to actively resist the deleterious effects of sea-level rise. Humans alter the strength of these feedbacks by changing the climate, nutrient inputs, sediment delivery and subsidence rates. Whether wetlands continue to survive sea-level rise depends largely on how human impacts interact with rapid sea-level rise, and socio-economic factors that influence transgression into adjacent uplands.", "author" : [ { "dropping-particle" : "", "family" : "Kirwan", "given" : "Matthew L.", "non-dropping-particle" : "", "parse-names" : false, "suffix" : "" }, { "dropping-particle" : "", "family" : "Megonigal", "given" : "J. Patrick", "non-dropping-particle" : "", "parse-names" : false, "suffix" : "" } ], "container-title" : "Nature", "id" : "ITEM-1", "issue" : "7478", "issued" : { "date-parts" : [ [ "2013" ] ] }, "page" : "53-60", "title" : "Tidal wetland stability in the face of human impacts and sea-level rise", "type" : "article-journal", "volume" : "504" }, "uris" : [ "http://www.mendeley.com/documents/?uuid=64426a23-e3ad-4688-969b-714b1eedb380" ] } ], "mendeley" : { "formattedCitation" : "(Kirwan and Megonigal 2013)", "plainTextFormattedCitation" : "(Kirwan and Megonigal 2013)", "previouslyFormattedCitation" : "(Kirwan and Megonigal 2013)" }, "properties" : { "noteIndex" : 0 }, "schema" : "https://github.com/citation-style-language/schema/raw/master/csl-citation.json" }</w:instrText>
      </w:r>
      <w:r w:rsidRPr="008608AA">
        <w:rPr>
          <w:rFonts w:eastAsia="Calibri"/>
        </w:rPr>
        <w:fldChar w:fldCharType="separate"/>
      </w:r>
      <w:r w:rsidRPr="008608AA">
        <w:rPr>
          <w:rFonts w:eastAsia="Calibri"/>
          <w:noProof/>
        </w:rPr>
        <w:t xml:space="preserve">(Kirwan </w:t>
      </w:r>
      <w:r w:rsidR="00C85F9E" w:rsidRPr="008608AA">
        <w:rPr>
          <w:rFonts w:eastAsia="Calibri"/>
          <w:noProof/>
        </w:rPr>
        <w:t>&amp;</w:t>
      </w:r>
      <w:r w:rsidRPr="008608AA">
        <w:rPr>
          <w:rFonts w:eastAsia="Calibri"/>
          <w:noProof/>
        </w:rPr>
        <w:t xml:space="preserve"> Megonigal</w:t>
      </w:r>
      <w:r w:rsidR="00C85F9E" w:rsidRPr="008608AA">
        <w:rPr>
          <w:rFonts w:eastAsia="Calibri"/>
          <w:noProof/>
        </w:rPr>
        <w:t>,</w:t>
      </w:r>
      <w:r w:rsidRPr="008608AA">
        <w:rPr>
          <w:rFonts w:eastAsia="Calibri"/>
          <w:noProof/>
        </w:rPr>
        <w:t xml:space="preserve"> 2013)</w:t>
      </w:r>
      <w:r w:rsidRPr="008608AA">
        <w:rPr>
          <w:rFonts w:eastAsia="Calibri"/>
        </w:rPr>
        <w:fldChar w:fldCharType="end"/>
      </w:r>
      <w:r w:rsidRPr="008608AA">
        <w:rPr>
          <w:rFonts w:eastAsia="Calibri"/>
        </w:rPr>
        <w:t>.</w:t>
      </w:r>
    </w:p>
    <w:p w14:paraId="38CED1FD" w14:textId="77777777" w:rsidR="001E61A6" w:rsidRPr="008608AA" w:rsidRDefault="001E61A6" w:rsidP="00A345FC">
      <w:pPr>
        <w:pStyle w:val="Heading4"/>
        <w:numPr>
          <w:ilvl w:val="0"/>
          <w:numId w:val="0"/>
        </w:numPr>
        <w:spacing w:before="120" w:line="240" w:lineRule="auto"/>
      </w:pPr>
      <w:bookmarkStart w:id="1578" w:name="_Toc517393361"/>
      <w:bookmarkStart w:id="1579" w:name="_Toc517394418"/>
      <w:bookmarkStart w:id="1580" w:name="_Toc517719102"/>
      <w:bookmarkStart w:id="1581" w:name="_Toc517797059"/>
      <w:r w:rsidRPr="008608AA">
        <w:t>Caribbean</w:t>
      </w:r>
      <w:bookmarkEnd w:id="1578"/>
      <w:bookmarkEnd w:id="1579"/>
      <w:bookmarkEnd w:id="1580"/>
      <w:bookmarkEnd w:id="1581"/>
    </w:p>
    <w:p w14:paraId="715ABB3D" w14:textId="683F5FEE" w:rsidR="001E61A6" w:rsidRPr="008608AA" w:rsidRDefault="001E61A6" w:rsidP="00A345FC">
      <w:pPr>
        <w:spacing w:before="120"/>
        <w:rPr>
          <w:rFonts w:eastAsia="Calibri"/>
        </w:rPr>
      </w:pPr>
      <w:r w:rsidRPr="008608AA">
        <w:rPr>
          <w:rFonts w:eastAsia="Calibri"/>
        </w:rPr>
        <w:t xml:space="preserve">Most insular ecosystems in the Caribbean Sea have experienced a warming trend in recent decades, with increases in both daily minimum and maximum temperatures </w:t>
      </w:r>
      <w:r w:rsidRPr="008608AA">
        <w:rPr>
          <w:rFonts w:eastAsia="Calibri"/>
        </w:rPr>
        <w:fldChar w:fldCharType="begin" w:fldLock="1"/>
      </w:r>
      <w:r w:rsidRPr="008608AA">
        <w:rPr>
          <w:rFonts w:eastAsia="Calibri"/>
        </w:rPr>
        <w:instrText>ADDIN CSL_CITATION { "citationItems" : [ { "id" : "ITEM-1", "itemData" : { "DOI" : "10.1016/S0187-6236(13)71076-2", "ISBN" : "0187-6236", "ISSN" : "01876236", "abstract" : "Los cambios clim\u00e1ticos observados y proyectados tienen implicaciones socioecon\u00f3micas importantes para las islas del Caribe. El objetivo de este art\u00edculo es presentar informaci\u00f3n esencial sobre el cambio clim\u00e1tico \u2014basada en estudios previos, observaciones disponibles y simulaciones de modelos clim\u00e1ticos\u2014 a escalas espaciales relevantes para las islas caribe\u00f1as. Se utilizan datos del modelo general de circulaci\u00f3n (GCM) incluidos en el Proyecto de Comparaci\u00f3n de Modelos Acoplados fase 3 (CMIP3), as\u00ed como del modelo clim\u00e1tico regional (RCM) del Centro Hadley del Reino Unido, para aportar tanto informaci\u00f3n actual como informaci\u00f3n basada en proyecciones sobre precipitaciones y temperatura en estados insulares espec\u00edfcos. Se utilizan observaciones reticuladas de estaciones y datos satelitales para estudiar el clima del siglo XX y evaluar el desempe\u00f1o de los modelos clim\u00e1ticos. Con un enfoque centrado en la precipitaci\u00f3n, tambi\u00e9n se analizan factores como la temperatura superficial del mar, la presi\u00f3n al nivel del mar y los vientos que influyen en las variaciones estacionales de la precipitaci\u00f3n. La media del ensamble del CMIP3 y el RCM captan satisfactoriamente las peculiaridades de la circulaci\u00f3n atmosf\u00e9rica de gran escala en la regi\u00f3n, pero no as\u00ed el ciclo estacional bimodal caracter\u00edstico de la precipitaci\u00f3n. La aridez en \u00e9pocas de lluvias prevista en escenarios de cambio clim\u00e1tico en la regi\u00f3n se ha abordado en estudios previos, pero la magnitud de la variaci\u00f3n es muy incierta en las simulaciones tanto del GCM como del RCM. La disminuci\u00f3n proyectada es mayor al inicio de la temporada de lluvias y suprime la sequ\u00eda del medio verano en el Caribe occidental. Las simulaciones del RCM muestran avances respecto del GCM, sobre todo por sus mejores representaciones de la extensi\u00f3n territorial, pero su desempe\u00f1o depende en gran medida de la conducci\u00f3n del GCM. El presente estudio destaca la necesidad de contar con observaciones de alta resoluci\u00f3n y comparar simulaciones de modelos clim\u00e1ticos para entender a fondo el cambio clim\u00e1tico y su impacto en las peque\u00f1as islas del Caribe. Observed and projected changes in climate have serious socio-economic implications for the Caribbean islands. This article attempts to present basic climate change information\u2014based on previous studies, available observations and climate model simulations\u2014at spatial scales relevant for islands in the Caribbean. We use the General Circulation Model (GCM) data included in the Coupled Model I\u2026", "author" : [ { "dropping-particle" : "V.", "family" : "Karmalkar", "given" : "Ambarish", "non-dropping-particle" : "", "parse-names" : false, "suffix" : "" }, { "dropping-particle" : "", "family" : "Taylor", "given" : "Michael A.", "non-dropping-particle" : "", "parse-names" : false, "suffix" : "" }, { "dropping-particle" : "", "family" : "Campbell", "given" : "Jayaka", "non-dropping-particle" : "", "parse-names" : false, "suffix" : "" }, { "dropping-particle" : "", "family" : "Stephenson", "given" : "Tannecia", "non-dropping-particle" : "", "parse-names" : false, "suffix" : "" }, { "dropping-particle" : "", "family" : "New", "given" : "Mark", "non-dropping-particle" : "", "parse-names" : false, "suffix" : "" }, { "dropping-particle" : "", "family" : "Centella", "given" : "Abel", "non-dropping-particle" : "", "parse-names" : false, "suffix" : "" }, { "dropping-particle" : "", "family" : "Benzanilla", "given" : "Arnoldo", "non-dropping-particle" : "", "parse-names" : false, "suffix" : "" }, { "dropping-particle" : "", "family" : "Charlery", "given" : "John", "non-dropping-particle" : "", "parse-names" : false, "suffix" : "" } ], "container-title" : "Atmosfera", "id" : "ITEM-1", "issue" : "2", "issued" : { "date-parts" : [ [ "2013" ] ] }, "page" : "283-309", "publisher" : "Elsevier", "title" : "A review of observed and projected changes in climate for the islands in the Caribbean", "type" : "article-journal", "volume" : "26" }, "uris" : [ "http://www.mendeley.com/documents/?uuid=29eca330-0607-4081-b680-65ba92a63363" ] } ], "mendeley" : { "formattedCitation" : "(Karmalkar et al. 2013)", "manualFormatting" : "(Karmalkar et al., 2013)", "plainTextFormattedCitation" : "(Karmalkar et al. 2013)", "previouslyFormattedCitation" : "(Karmalkar et al. 2013)" }, "properties" : { "noteIndex" : 0 }, "schema" : "https://github.com/citation-style-language/schema/raw/master/csl-citation.json" }</w:instrText>
      </w:r>
      <w:r w:rsidRPr="008608AA">
        <w:rPr>
          <w:rFonts w:eastAsia="Calibri"/>
        </w:rPr>
        <w:fldChar w:fldCharType="separate"/>
      </w:r>
      <w:r w:rsidRPr="008608AA">
        <w:rPr>
          <w:rFonts w:eastAsia="Calibri"/>
          <w:noProof/>
        </w:rPr>
        <w:t>(Karmalkar et al., 2013)</w:t>
      </w:r>
      <w:r w:rsidRPr="008608AA">
        <w:rPr>
          <w:rFonts w:eastAsia="Calibri"/>
        </w:rPr>
        <w:fldChar w:fldCharType="end"/>
      </w:r>
      <w:r w:rsidR="000151A1" w:rsidRPr="008608AA">
        <w:rPr>
          <w:rFonts w:eastAsia="Calibri"/>
        </w:rPr>
        <w:t xml:space="preserve">. </w:t>
      </w:r>
      <w:r w:rsidRPr="008608AA">
        <w:rPr>
          <w:rFonts w:eastAsia="Calibri"/>
        </w:rPr>
        <w:t xml:space="preserve">However, those trends vary by region as Puerto Rico has experienced an increase in daily minimum temperatures, but a decrease in daily maximum temperatures </w:t>
      </w:r>
      <w:r w:rsidRPr="008608AA">
        <w:rPr>
          <w:rFonts w:eastAsia="Calibri"/>
        </w:rPr>
        <w:fldChar w:fldCharType="begin" w:fldLock="1"/>
      </w:r>
      <w:r w:rsidRPr="008608AA">
        <w:rPr>
          <w:rFonts w:eastAsia="Calibri"/>
        </w:rPr>
        <w:instrText>ADDIN CSL_CITATION { "citationItems" : [ { "id" : "ITEM-1", "itemData" : { "DOI" : "10.1175/EI-D-14-0023.1", "ISSN" : "10873562", "abstract" : "AbstractAs is true of many tropical regions, northeastern Puerto Rico is an ecologically sensitive area with biological life that is highly elevation dependent on precipitation and temperature. Climate change has the potential to increase the risk of losing endemic species and habitats. Consequently, it is important to explore the pattern of trends in precipitation and temperature along an elevation gradient. Statistical derivatives of a frequently sampled dataset of precipitation and temperature at 20 sites along an elevation gradient of 1000 m in northeastern Puerto Rico were examined for trends from 2001 to 2013 with nonparametric methods accounting for annual periodic variations such as yearly weather cycles. Overall daily precipitation had an increasing trend of around 0.1 mm day?1 yr?1. The driest months of the annual dry, early, and late rainfall seasons showed a small increasing trend in the precipitation (around 0.1 mm day?1 yr?1). There was strong evidence that precipitation in the driest months of each rainfall season increased faster at higher elevations (0.02 mm day?1 more increase for 100-m elevation gain) and some evidence for the same pattern in precipitation in all months of the year but at half the rate. Temperature had a positive trend in the daily minimum (around 0.02\u00b0C yr?1) and a negative trend in the daily maximum whose size is likely an order of magnitude larger than the size of the daily minimum trend. Physical mechanisms behind the trends may be related to climate change; longer-term studies will need to be undertaken in order to assess the future climatic trajectory of tropical forests.", "author" : [ { "dropping-particle" : "", "family" : "Beusekom", "given" : "Ashley E.", "non-dropping-particle" : "Van", "parse-names" : false, "suffix" : "" }, { "dropping-particle" : "", "family" : "Gonzalez", "given" : "Grizelle", "non-dropping-particle" : "", "parse-names" : false, "suffix" : "" }, { "dropping-particle" : "", "family" : "Rivera", "given" : "Maria M.", "non-dropping-particle" : "", "parse-names" : false, "suffix" : "" } ], "container-title" : "Earth Interactions", "id" : "ITEM-1", "issue" : "3", "issued" : { "date-parts" : [ [ "2015" ] ] }, "page" : "3-33", "title" : "Short-term precipitation and temperature trends along an elevation?? gradient in northeastern puerto rico", "type" : "article-journal", "volume" : "19" }, "uris" : [ "http://www.mendeley.com/documents/?uuid=228aa756-9c7b-4cd4-beb1-4ea559170ee6" ] } ], "mendeley" : { "formattedCitation" : "(Van Beusekom et al. 2015)", "manualFormatting" : "(Van Beusekom et al., 2015)", "plainTextFormattedCitation" : "(Van Beusekom et al. 2015)", "previouslyFormattedCitation" : "(Van Beusekom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(Van Beusekom et al., 2015)</w:t>
      </w:r>
      <w:r w:rsidRPr="008608AA">
        <w:rPr>
          <w:rFonts w:eastAsia="Calibri"/>
        </w:rPr>
        <w:fldChar w:fldCharType="end"/>
      </w:r>
      <w:r w:rsidRPr="008608AA">
        <w:rPr>
          <w:rFonts w:eastAsia="Calibri"/>
        </w:rPr>
        <w:t xml:space="preserve">. </w:t>
      </w:r>
    </w:p>
    <w:p w14:paraId="40CDF551" w14:textId="48F17BF6" w:rsidR="001E61A6" w:rsidRPr="008608AA" w:rsidRDefault="001E61A6" w:rsidP="00A345FC">
      <w:pPr>
        <w:spacing w:before="120"/>
        <w:rPr>
          <w:rFonts w:eastAsia="Calibri"/>
        </w:rPr>
      </w:pPr>
      <w:r w:rsidRPr="008608AA">
        <w:rPr>
          <w:rFonts w:eastAsia="Calibri"/>
        </w:rPr>
        <w:t xml:space="preserve">Ecosystems found in Caribbean regions may be particularly vulnerable to rising sea levels; </w:t>
      </w:r>
      <w:r w:rsidRPr="008608AA">
        <w:rPr>
          <w:rFonts w:eastAsia="Calibri"/>
        </w:rPr>
        <w:fldChar w:fldCharType="begin" w:fldLock="1"/>
      </w:r>
      <w:r w:rsidRPr="008608AA">
        <w:rPr>
          <w:rFonts w:eastAsia="Calibri"/>
        </w:rPr>
        <w:instrText>ADDIN CSL_CITATION { "citationItems" : [ { "id" : "ITEM-1", "itemData" : { "DOI" : "10.1111/geb.12093", "ISBN" : "1466-8238", "ISSN" : "1466822X", "abstract" : "ABSTRACT Aim Despite considerable attention to climate change, no global assessment of the consequences of sea level rise is available for insular ecosystems. Yet, over 180,000 islands world-wide contain 20% of the world\u2019s biodiversity. We investigated the consequences of sea level rise for the 10 insular biodiversity hotspots world-wide and their endemic species. This assessment is crucial to identify areas with the highest risk of inundation and the number of endemic species at risk of potential extinction. Location Ten insular biodiversity hotspots including the Caribbean islands, the Japanese islands, the Philippines, the East Melanesian islands, Polynesia- Micronesia, Sundaland, Wallacea, New Caledonia, New Zealand and Madagascar and the Indian Ocean islands (i.e. 4447 islands). Methods We investigated four scenarios of projected sea level rise (1, 2, 3 and 6m) on these islands. For each scenario, we assessed the number of islands that would be entirely and partially submerged by overlying precise digital elevation model and island data.We estimated the number of endemic species for each taxon (i.e. plants, birds, reptiles, mammals, amphibians and fishes) potentially affected by insular habitat submersion using the endemic\u2013area relationship. Results Between 6 and 19% of the 4447 islands would be entirely submerged under considered scenarios (1\u20136m of sea level rise). Three hotspots displayed the most significant loss of insular habitat: the Caribbean islands, the Philippines and Sundaland, representing a potential threat for 300 endemic species. Main conclusions With the current estimates of global sea level rise of at least 1m by 2100, large parts of ecosystems of low-lying islands are at high risk of becoming submerged, leading to significant habitat loss world-wide. Therefore, the threat posed by sea level rise requires specific policies that prioritize insular biota on islands at risk as a result of near future sea level rise. Keywords", "author" : [ { "dropping-particle" : "", "family" : "Bellard", "given" : "C\u00e9line", "non-dropping-particle" : "", "parse-names" : false, "suffix" : "" }, { "dropping-particle" : "", "family" : "Leclerc", "given" : "Camille", "non-dropping-particle" : "", "parse-names" : false, "suffix" : "" }, { "dropping-particle" : "", "family" : "Courchamp", "given" : "Franck", "non-dropping-particle" : "", "parse-names" : false, "suffix" : "" } ], "container-title" : "Global Ecology and Biogeography", "id" : "ITEM-1", "issue" : "2", "issued" : { "date-parts" : [ [ "2014" ] ] }, "page" : "203-212", "title" : "Impact of sea level rise on the 10 insular biodiversity hotspots", "type" : "article-journal", "volume" : "23" }, "uris" : [ "http://www.mendeley.com/documents/?uuid=0dfdc5a8-95aa-496c-82f0-77755d0c1974" ] } ], "mendeley" : { "formattedCitation" : "(Bellard et al. 2014)", "manualFormatting" : "Bellard et al. (2014)", "plainTextFormattedCitation" : "(Bellard et al. 2014)", "previouslyFormattedCitation" : "(Bellard et al. 2014)" }, "properties" : { "noteIndex" : 0 }, "schema" : "https://github.com/citation-style-language/schema/raw/master/csl-citation.json" }</w:instrText>
      </w:r>
      <w:r w:rsidRPr="008608AA">
        <w:rPr>
          <w:rFonts w:eastAsia="Calibri"/>
        </w:rPr>
        <w:fldChar w:fldCharType="separate"/>
      </w:r>
      <w:r w:rsidRPr="008608AA">
        <w:rPr>
          <w:rFonts w:eastAsia="Calibri"/>
          <w:noProof/>
        </w:rPr>
        <w:t>Bellard et al. (2014)</w:t>
      </w:r>
      <w:r w:rsidRPr="008608AA">
        <w:rPr>
          <w:rFonts w:eastAsia="Calibri"/>
        </w:rPr>
        <w:fldChar w:fldCharType="end"/>
      </w:r>
      <w:r w:rsidRPr="008608AA">
        <w:rPr>
          <w:rFonts w:eastAsia="Calibri"/>
        </w:rPr>
        <w:t xml:space="preserve"> projected that 63 out of 723 Caribbean islands would be completely submerged with 1 m of sea-level rise and 356 islands submerged with 6 meters of sea-level rise, which may have implications for hundreds of endemic s</w:t>
      </w:r>
      <w:r w:rsidR="000151A1" w:rsidRPr="008608AA">
        <w:rPr>
          <w:rFonts w:eastAsia="Calibri"/>
        </w:rPr>
        <w:t xml:space="preserve">pecies inhabiting the islands. </w:t>
      </w:r>
      <w:r w:rsidRPr="008608AA">
        <w:rPr>
          <w:rFonts w:eastAsia="Calibri"/>
        </w:rPr>
        <w:t xml:space="preserve">Additionally, tropical cyclones  are expected to increase in intensity (as well as frequency of intense storms) as a result of climate change </w:t>
      </w:r>
      <w:r w:rsidRPr="008608AA">
        <w:rPr>
          <w:rFonts w:eastAsia="Calibri"/>
        </w:rPr>
        <w:fldChar w:fldCharType="begin" w:fldLock="1"/>
      </w:r>
      <w:r w:rsidRPr="008608AA">
        <w:rPr>
          <w:rFonts w:eastAsia="Calibri"/>
        </w:rPr>
        <w:instrText>ADDIN CSL_CITATION { "citationItems" : [ { "id" : "ITEM-1", "itemData" : { "author" : [ { "dropping-particle" : "", "family" : "Michener", "given" : "William K.", "non-dropping-particle" : "", "parse-names" : false, "suffix" : "" }, { "dropping-particle" : "", "family" : "Blood", "given" : "Elizabeth R.", "non-dropping-particle" : "", "parse-names" : false, "suffix" : "" }, { "dropping-particle" : "", "family" : "Bildstein", "given" : "Keith L.", "non-dropping-particle" : "", "parse-names" : false, "suffix" : "" }, { "dropping-particle" : "", "family" : "Brinson", "given" : "Mark M.", "non-dropping-particle" : "", "parse-names" : false, "suffix" : "" }, { "dropping-particle" : "", "family" : "Gardner", "given" : "Leonard R.", "non-dropping-particle" : "", "parse-names" : false, "suffix" : "" } ], "container-title" : "Ecological Applications", "id" : "ITEM-1", "issue" : "June 1994", "issued" : { "date-parts" : [ [ "1997" ] ] }, "page" : "770-801", "title" : "Climate Change , Hurricanes and Tropical Storms , and Rising Sea Level in Coastal Wetlands", "type" : "article-journal", "volume" : "7" }, "uris" : [ "http://www.mendeley.com/documents/?uuid=3be5fdb9-90c7-43f3-beca-c4f8f5b5f9c6" ] }, { "id" : "ITEM-2", "itemData" : { "DOI" : "10.1007/s10113-015-0854-6", "ISSN" : "1436-3798", "abstract" : "This paper synthesizes what is known about the physical and biophysical impacts of climate change and their consequences for societies and development under different levels of global warming in Latin", "author" : [ { "dropping-particle" : "", "family" : "Reyer", "given" : "Christopher P O", "non-dropping-particle" : "", "parse-names" : false, "suffix" : "" }, { "dropping-particle" : "", "family" : "Adams", "given" : "Sophie", "non-dropping-particle" : "", "parse-names" : false, "suffix" : "" }, { "dropping-particle" : "", "family" : "Albrecht", "given" : "Torsten", "non-dropping-particle" : "", "parse-names" : false, "suffix" : "" }, { "dropping-particle" : "", "family" : "Baarsch", "given" : "Florent", "non-dropping-particle" : "", "parse-names" : false, "suffix" : "" }, { "dropping-particle" : "", "family" : "Boit", "given" : "Alice", "non-dropping-particle" : "", "parse-names" : false, "suffix" : "" }, { "dropping-particle" : "", "family" : "Trujillo", "given" : "Nella Canales", "non-dropping-particle" : "", "parse-names" : false, "suffix" : "" }, { "dropping-particle" : "", "family" : "Cartsburg", "given" : "Matti", "non-dropping-particle" : "", "parse-names" : false, "suffix" : "" }, { "dropping-particle" : "", "family" : "Coumou", "given" : "Dim", "non-dropping-particle" : "", "parse-names" : false, "suffix" : "" }, { "dropping-particle" : "", "family" : "Eden", "given" : "Alexander", "non-dropping-particle" : "", "parse-names" : false, "suffix" : "" }, { "dropping-particle" : "", "family" : "Fernandes", "given" : "Erick", "non-dropping-particle" : "", "parse-names" : false, "suffix" : "" }, { "dropping-particle" : "", "family" : "Langerwisch", "given" : "Fanny", "non-dropping-particle" : "", "parse-names" : false, "suffix" : "" }, { "dropping-particle" : "", "family" : "Marcus", "given" : "Rachel", "non-dropping-particle" : "", "parse-names" : false, "suffix" : "" }, { "dropping-particle" : "", "family" : "Mengel", "given" : "Matthias", "non-dropping-particle" : "", "parse-names" : false, "suffix" : "" }, { "dropping-particle" : "", "family" : "Mira-Salama", "given" : "Daniel", "non-dropping-particle" : "", "parse-names" : false, "suffix" : "" }, { "dropping-particle" : "", "family" : "Perette", "given" : "Mah\u00e9", "non-dropping-particle" : "", "parse-names" : false, "suffix" : "" }, { "dropping-particle" : "", "family" : "Pereznieto", "given" : "Paola", "non-dropping-particle" : "", "parse-names" : false, "suffix" : "" }, { "dropping-particle" : "", "family" : "Ramirez-Villegas", "given" : "Julian", "non-dropping-particle" : "", "parse-names" : false, "suffix" : "" }, { "dropping-particle" : "", "family" : "Reinhardt", "given" : "Julia", "non-dropping-particle" : "", "parse-names" : false, "suffix" : "" }, { "dropping-particle" : "", "family" : "Robinson", "given" : "Alexander", "non-dropping-particle" : "", "parse-names" : false, "suffix" : "" }, { "dropping-particle" : "", "family" : "Rocha", "given" : "Marcia", "non-dropping-particle" : "", "parse-names" : false, "suffix" : "" }, { "dropping-particle" : "", "family" : "Sakschewski", "given" : "Boris", "non-dropping-particle" : "", "parse-names" : false, "suffix" : "" }, { "dropping-particle" : "", "family" : "Schaeffer", "given" : "Michiel", "non-dropping-particle" : "", "parse-names" : false, "suffix" : "" }, { "dropping-particle" : "", "family" : "Schleussner", "given" : "Carl-Friedrich", "non-dropping-particle" : "", "parse-names" : false, "suffix" : "" }, { "dropping-particle" : "", "family" : "Serdeczny", "given" : "Olivia", "non-dropping-particle" : "", "parse-names" : false, "suffix" : "" }, { "dropping-particle" : "", "family" : "Thonicke", "given" : "Kirsten", "non-dropping-particle" : "", "parse-names" : false, "suffix" : "" } ], "container-title" : "Regional Environmental Change", "id" : "ITEM-2", "issued" : { "date-parts" : [ [ "2015" ] ] }, "page" : "1-21", "title" : "Climate change impacts in Latin America and the Caribbean and their implications for development", "type" : "article-journal" }, "uris" : [ "http://www.mendeley.com/documents/?uuid=ab7bf892-8962-451d-96bd-564e353d5bec" ] } ], "mendeley" : { "formattedCitation" : "(Michener et al. 1997, Reyer et al. 2015)", "plainTextFormattedCitation" : "(Michener et al. 1997, Reyer et al. 2015)", "previouslyFormattedCitation" : "(Michener et al. 1997, Reyer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(Michener et al.</w:t>
      </w:r>
      <w:r w:rsidR="00C85F9E" w:rsidRPr="008608AA">
        <w:rPr>
          <w:rFonts w:eastAsia="Calibri"/>
          <w:noProof/>
        </w:rPr>
        <w:t>,</w:t>
      </w:r>
      <w:r w:rsidRPr="008608AA">
        <w:rPr>
          <w:rFonts w:eastAsia="Calibri"/>
          <w:noProof/>
        </w:rPr>
        <w:t xml:space="preserve"> 1997</w:t>
      </w:r>
      <w:r w:rsidR="00C85F9E" w:rsidRPr="008608AA">
        <w:rPr>
          <w:rFonts w:eastAsia="Calibri"/>
          <w:noProof/>
        </w:rPr>
        <w:t>;</w:t>
      </w:r>
      <w:r w:rsidRPr="008608AA">
        <w:rPr>
          <w:rFonts w:eastAsia="Calibri"/>
          <w:noProof/>
        </w:rPr>
        <w:t xml:space="preserve"> Reyer et al.</w:t>
      </w:r>
      <w:r w:rsidR="00C85F9E" w:rsidRPr="008608AA">
        <w:rPr>
          <w:rFonts w:eastAsia="Calibri"/>
          <w:noProof/>
        </w:rPr>
        <w:t>,</w:t>
      </w:r>
      <w:r w:rsidRPr="008608AA">
        <w:rPr>
          <w:rFonts w:eastAsia="Calibri"/>
          <w:noProof/>
        </w:rPr>
        <w:t xml:space="preserve"> 2015)</w:t>
      </w:r>
      <w:r w:rsidRPr="008608AA">
        <w:rPr>
          <w:rFonts w:eastAsia="Calibri"/>
        </w:rPr>
        <w:fldChar w:fldCharType="end"/>
      </w:r>
      <w:r w:rsidR="000151A1" w:rsidRPr="008608AA">
        <w:rPr>
          <w:rFonts w:eastAsia="Calibri"/>
        </w:rPr>
        <w:t xml:space="preserve">. </w:t>
      </w:r>
      <w:r w:rsidRPr="008608AA">
        <w:rPr>
          <w:rFonts w:eastAsia="Calibri"/>
        </w:rPr>
        <w:t xml:space="preserve">Some regions of the Caribbean may receive a large proportion of their annual rainfall from hurricanes </w:t>
      </w:r>
      <w:r w:rsidRPr="008608AA">
        <w:rPr>
          <w:rFonts w:eastAsia="Calibri"/>
        </w:rPr>
        <w:fldChar w:fldCharType="begin" w:fldLock="1"/>
      </w:r>
      <w:r w:rsidRPr="008608AA">
        <w:rPr>
          <w:rFonts w:eastAsia="Calibri"/>
        </w:rPr>
        <w:instrText>ADDIN CSL_CITATION { "citationItems" : [ { "id" : "ITEM-1", "itemData" : { "author" : [ { "dropping-particle" : "", "family" : "Scatena", "given" : "F. N.", "non-dropping-particle" : "", "parse-names" : false, "suffix" : "" }, { "dropping-particle" : "", "family" : "Larsen", "given" : "M. C.", "non-dropping-particle" : "", "parse-names" : false, "suffix" : "" } ], "container-title" : "Biotropica", "id" : "ITEM-1", "issue" : "4a", "issued" : { "date-parts" : [ [ "1991" ] ] }, "page" : "317-323", "title" : "Physical aspects of Hurricane Hugo in Puerto Rico", "type" : "article-journal", "volume" : "23" }, "uris" : [ "http://www.mendeley.com/documents/?uuid=b8c1f032-9f4c-4982-ad67-b499ac792fa7" ] } ], "mendeley" : { "formattedCitation" : "(Scatena and Larsen 1991)", "plainTextFormattedCitation" : "(Scatena and Larsen 1991)", "previouslyFormattedCitation" : "(Scatena and Larsen 1991)" }, "properties" : { "noteIndex" : 0 }, "schema" : "https://github.com/citation-style-language/schema/raw/master/csl-citation.json" }</w:instrText>
      </w:r>
      <w:r w:rsidRPr="008608AA">
        <w:rPr>
          <w:rFonts w:eastAsia="Calibri"/>
        </w:rPr>
        <w:fldChar w:fldCharType="separate"/>
      </w:r>
      <w:r w:rsidRPr="008608AA">
        <w:rPr>
          <w:rFonts w:eastAsia="Calibri"/>
          <w:noProof/>
        </w:rPr>
        <w:t xml:space="preserve">(Scatena </w:t>
      </w:r>
      <w:r w:rsidR="00C85F9E" w:rsidRPr="008608AA">
        <w:rPr>
          <w:rFonts w:eastAsia="Calibri"/>
          <w:noProof/>
        </w:rPr>
        <w:t>&amp;</w:t>
      </w:r>
      <w:r w:rsidRPr="008608AA">
        <w:rPr>
          <w:rFonts w:eastAsia="Calibri"/>
          <w:noProof/>
        </w:rPr>
        <w:t xml:space="preserve"> Larsen</w:t>
      </w:r>
      <w:r w:rsidR="00C85F9E" w:rsidRPr="008608AA">
        <w:rPr>
          <w:rFonts w:eastAsia="Calibri"/>
          <w:noProof/>
        </w:rPr>
        <w:t>,</w:t>
      </w:r>
      <w:r w:rsidRPr="008608AA">
        <w:rPr>
          <w:rFonts w:eastAsia="Calibri"/>
          <w:noProof/>
        </w:rPr>
        <w:t xml:space="preserve"> 1991)</w:t>
      </w:r>
      <w:r w:rsidRPr="008608AA">
        <w:rPr>
          <w:rFonts w:eastAsia="Calibri"/>
        </w:rPr>
        <w:fldChar w:fldCharType="end"/>
      </w:r>
      <w:r w:rsidRPr="008608AA">
        <w:rPr>
          <w:rFonts w:eastAsia="Calibri"/>
        </w:rPr>
        <w:t xml:space="preserve">, which may be important given </w:t>
      </w:r>
      <w:r w:rsidR="000151A1" w:rsidRPr="008608AA">
        <w:rPr>
          <w:rFonts w:eastAsia="Calibri"/>
        </w:rPr>
        <w:t xml:space="preserve">droughts increased between 1950 and </w:t>
      </w:r>
      <w:r w:rsidRPr="008608AA">
        <w:rPr>
          <w:rFonts w:eastAsia="Calibri"/>
        </w:rPr>
        <w:t xml:space="preserve">2010 </w:t>
      </w:r>
      <w:r w:rsidRPr="008608AA">
        <w:rPr>
          <w:rFonts w:eastAsia="Calibri"/>
        </w:rPr>
        <w:fldChar w:fldCharType="begin" w:fldLock="1"/>
      </w:r>
      <w:r w:rsidRPr="008608AA">
        <w:rPr>
          <w:rFonts w:eastAsia="Calibri"/>
        </w:rPr>
        <w:instrText>ADDIN CSL_CITATION { "citationItems" : [ { "id" : "ITEM-1", "itemData" : { "DOI" : "10.1038/nclimate1633", "ISBN" : "1758-678X", "ISSN" : "1758-678X", "PMID" : "5860533", "abstract" : "Historical records of precipitation, streamflow and drought indices all show increased aridity since 1950 over many land areas(1,2). Analyses of model-simulated soil moisture(3,4), drought indices(1,5,6) and precipitation-minus-evaporation(7) suggest increased risk of drought in the twenty-first century. There are, however, large differences in the observed and model-simulated drying patterns(1,2,6). Reconciling these differences is necessary before the model predictions can be trusted. Previous studies(8-12) show that changes in sea surface temperatures have large influences on land precipitation and the inability of the coupled models to reproduce many observed regional precipitation changes is linked to the lack of the observed, largely natural change patterns in sea surface temperatures in coupled model simulations(13). Here I show that the models reproduce not only the influence of El Nino-Southern Oscillation on drought over land, but also the observed global mean aridity trend from 1923 to 2010. Regional differences in observed and model-simulated aridity changes result mainly from natural variations in tropical sea surface temperatures that are often not captured by the coupled models. The unforced natural variations vary among model runs owing to different initial conditions and thus are irreproducible. I conclude that the observed global aridity changes up to 2010 are consistent with model predictions, which suggest severe and widespread droughts in the next 30-90 years over many land areas resulting from either decreased precipitation and/or increased evaporation.", "author" : [ { "dropping-particle" : "", "family" : "Dai", "given" : "Aiguo", "non-dropping-particle" : "", "parse-names" : false, "suffix" : "" } ], "container-title" : "Nature Climate Change", "id" : "ITEM-1", "issue" : "1", "issued" : { "date-parts" : [ [ "2012" ] ] }, "page" : "52-58", "title" : "Increasing drought under global warming in observations and models", "type" : "article-journal", "volume" : "3" }, "uris" : [ "http://www.mendeley.com/documents/?uuid=346ec6cf-9c29-47ed-b222-98fae8368213" ] } ], "mendeley" : { "formattedCitation" : "(Dai 2012)", "plainTextFormattedCitation" : "(Dai 2012)", "previouslyFormattedCitation" : "(Dai 2012)" }, "properties" : { "noteIndex" : 0 }, "schema" : "https://github.com/citation-style-language/schema/raw/master/csl-citation.json" }</w:instrText>
      </w:r>
      <w:r w:rsidRPr="008608AA">
        <w:rPr>
          <w:rFonts w:eastAsia="Calibri"/>
        </w:rPr>
        <w:fldChar w:fldCharType="separate"/>
      </w:r>
      <w:r w:rsidRPr="008608AA">
        <w:rPr>
          <w:rFonts w:eastAsia="Calibri"/>
          <w:noProof/>
        </w:rPr>
        <w:t>(Dai</w:t>
      </w:r>
      <w:r w:rsidR="00C85F9E" w:rsidRPr="008608AA">
        <w:rPr>
          <w:rFonts w:eastAsia="Calibri"/>
          <w:noProof/>
        </w:rPr>
        <w:t>,</w:t>
      </w:r>
      <w:r w:rsidRPr="008608AA">
        <w:rPr>
          <w:rFonts w:eastAsia="Calibri"/>
          <w:noProof/>
        </w:rPr>
        <w:t xml:space="preserve"> 2012)</w:t>
      </w:r>
      <w:r w:rsidRPr="008608AA">
        <w:rPr>
          <w:rFonts w:eastAsia="Calibri"/>
        </w:rPr>
        <w:fldChar w:fldCharType="end"/>
      </w:r>
      <w:r w:rsidR="000151A1" w:rsidRPr="008608AA">
        <w:rPr>
          <w:rFonts w:eastAsia="Calibri"/>
        </w:rPr>
        <w:t>.</w:t>
      </w:r>
      <w:r w:rsidRPr="008608AA">
        <w:rPr>
          <w:rFonts w:eastAsia="Calibri"/>
        </w:rPr>
        <w:t xml:space="preserve"> The frequency of droughts is also expected to increase in the future </w:t>
      </w:r>
      <w:r w:rsidRPr="008608AA">
        <w:rPr>
          <w:rFonts w:eastAsia="Calibri"/>
        </w:rPr>
        <w:fldChar w:fldCharType="begin" w:fldLock="1"/>
      </w:r>
      <w:r w:rsidRPr="008608AA">
        <w:rPr>
          <w:rFonts w:eastAsia="Calibri"/>
        </w:rPr>
        <w:instrText>ADDIN CSL_CITATION { "citationItems" : [ { "id" : "ITEM-1", "itemData" : { "DOI" : "10.1007/s10113-015-0854-6", "ISSN" : "1436-3798", "abstract" : "This paper synthesizes what is known about the physical and biophysical impacts of climate change and their consequences for societies and development under different levels of global warming in Latin", "author" : [ { "dropping-particle" : "", "family" : "Reyer", "given" : "Christopher P O", "non-dropping-particle" : "", "parse-names" : false, "suffix" : "" }, { "dropping-particle" : "", "family" : "Adams", "given" : "Sophie", "non-dropping-particle" : "", "parse-names" : false, "suffix" : "" }, { "dropping-particle" : "", "family" : "Albrecht", "given" : "Torsten", "non-dropping-particle" : "", "parse-names" : false, "suffix" : "" }, { "dropping-particle" : "", "family" : "Baarsch", "given" : "Florent", "non-dropping-particle" : "", "parse-names" : false, "suffix" : "" }, { "dropping-particle" : "", "family" : "Boit", "given" : "Alice", "non-dropping-particle" : "", "parse-names" : false, "suffix" : "" }, { "dropping-particle" : "", "family" : "Trujillo", "given" : "Nella Canales", "non-dropping-particle" : "", "parse-names" : false, "suffix" : "" }, { "dropping-particle" : "", "family" : "Cartsburg", "given" : "Matti", "non-dropping-particle" : "", "parse-names" : false, "suffix" : "" }, { "dropping-particle" : "", "family" : "Coumou", "given" : "Dim", "non-dropping-particle" : "", "parse-names" : false, "suffix" : "" }, { "dropping-particle" : "", "family" : "Eden", "given" : "Alexander", "non-dropping-particle" : "", "parse-names" : false, "suffix" : "" }, { "dropping-particle" : "", "family" : "Fernandes", "given" : "Erick", "non-dropping-particle" : "", "parse-names" : false, "suffix" : "" }, { "dropping-particle" : "", "family" : "Langerwisch", "given" : "Fanny", "non-dropping-particle" : "", "parse-names" : false, "suffix" : "" }, { "dropping-particle" : "", "family" : "Marcus", "given" : "Rachel", "non-dropping-particle" : "", "parse-names" : false, "suffix" : "" }, { "dropping-particle" : "", "family" : "Mengel", "given" : "Matthias", "non-dropping-particle" : "", "parse-names" : false, "suffix" : "" }, { "dropping-particle" : "", "family" : "Mira-Salama", "given" : "Daniel", "non-dropping-particle" : "", "parse-names" : false, "suffix" : "" }, { "dropping-particle" : "", "family" : "Perette", "given" : "Mah\u00e9", "non-dropping-particle" : "", "parse-names" : false, "suffix" : "" }, { "dropping-particle" : "", "family" : "Pereznieto", "given" : "Paola", "non-dropping-particle" : "", "parse-names" : false, "suffix" : "" }, { "dropping-particle" : "", "family" : "Ramirez-Villegas", "given" : "Julian", "non-dropping-particle" : "", "parse-names" : false, "suffix" : "" }, { "dropping-particle" : "", "family" : "Reinhardt", "given" : "Julia", "non-dropping-particle" : "", "parse-names" : false, "suffix" : "" }, { "dropping-particle" : "", "family" : "Robinson", "given" : "Alexander", "non-dropping-particle" : "", "parse-names" : false, "suffix" : "" }, { "dropping-particle" : "", "family" : "Rocha", "given" : "Marcia", "non-dropping-particle" : "", "parse-names" : false, "suffix" : "" }, { "dropping-particle" : "", "family" : "Sakschewski", "given" : "Boris", "non-dropping-particle" : "", "parse-names" : false, "suffix" : "" }, { "dropping-particle" : "", "family" : "Schaeffer", "given" : "Michiel", "non-dropping-particle" : "", "parse-names" : false, "suffix" : "" }, { "dropping-particle" : "", "family" : "Schleussner", "given" : "Carl-Friedrich", "non-dropping-particle" : "", "parse-names" : false, "suffix" : "" }, { "dropping-particle" : "", "family" : "Serdeczny", "given" : "Olivia", "non-dropping-particle" : "", "parse-names" : false, "suffix" : "" }, { "dropping-particle" : "", "family" : "Thonicke", "given" : "Kirsten", "non-dropping-particle" : "", "parse-names" : false, "suffix" : "" } ], "container-title" : "Regional Environmental Change", "id" : "ITEM-1", "issued" : { "date-parts" : [ [ "2015" ] ] }, "page" : "1-21", "title" : "Climate change impacts in Latin America and the Caribbean and their implications for development", "type" : "article-journal" }, "uris" : [ "http://www.mendeley.com/documents/?uuid=ab7bf892-8962-451d-96bd-564e353d5bec" ] } ], "mendeley" : { "formattedCitation" : "(Reyer et al. 2015)", "plainTextFormattedCitation" : "(Reyer et al. 2015)", "previouslyFormattedCitation" : "(Reyer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(Reyer et al.</w:t>
      </w:r>
      <w:r w:rsidR="00C85F9E" w:rsidRPr="008608AA">
        <w:rPr>
          <w:rFonts w:eastAsia="Calibri"/>
          <w:noProof/>
        </w:rPr>
        <w:t>,</w:t>
      </w:r>
      <w:r w:rsidRPr="008608AA">
        <w:rPr>
          <w:rFonts w:eastAsia="Calibri"/>
          <w:noProof/>
        </w:rPr>
        <w:t xml:space="preserve"> 2015)</w:t>
      </w:r>
      <w:r w:rsidRPr="008608AA">
        <w:rPr>
          <w:rFonts w:eastAsia="Calibri"/>
        </w:rPr>
        <w:fldChar w:fldCharType="end"/>
      </w:r>
      <w:r w:rsidR="00AE3491" w:rsidRPr="008608AA">
        <w:rPr>
          <w:rFonts w:eastAsia="Calibri"/>
        </w:rPr>
        <w:t>.</w:t>
      </w:r>
      <w:r w:rsidRPr="008608AA">
        <w:rPr>
          <w:rFonts w:eastAsia="Calibri"/>
        </w:rPr>
        <w:t xml:space="preserve"> </w:t>
      </w:r>
      <w:r w:rsidRPr="008608AA">
        <w:rPr>
          <w:rFonts w:eastAsia="Calibri"/>
          <w:noProof/>
        </w:rPr>
        <w:fldChar w:fldCharType="begin" w:fldLock="1"/>
      </w:r>
      <w:r w:rsidRPr="008608AA">
        <w:rPr>
          <w:rFonts w:eastAsia="Calibri"/>
          <w:noProof/>
        </w:rPr>
        <w:instrText>ADDIN CSL_CITATION { "citationItems" : [ { "id" : "ITEM-1", "itemData" : { "DOI" : "10.1016/S0187-6236(13)71076-2", "ISBN" : "0187-6236", "ISSN" : "01876236", "abstract" : "Los cambios clim\u00e1ticos observados y proyectados tienen implicaciones socioecon\u00f3micas importantes para las islas del Caribe. El objetivo de este art\u00edculo es presentar informaci\u00f3n esencial sobre el cambio clim\u00e1tico \u2014basada en estudios previos, observaciones disponibles y simulaciones de modelos clim\u00e1ticos\u2014 a escalas espaciales relevantes para las islas caribe\u00f1as. Se utilizan datos del modelo general de circulaci\u00f3n (GCM) incluidos en el Proyecto de Comparaci\u00f3n de Modelos Acoplados fase 3 (CMIP3), as\u00ed como del modelo clim\u00e1tico regional (RCM) del Centro Hadley del Reino Unido, para aportar tanto informaci\u00f3n actual como informaci\u00f3n basada en proyecciones sobre precipitaciones y temperatura en estados insulares espec\u00edfcos. Se utilizan observaciones reticuladas de estaciones y datos satelitales para estudiar el clima del siglo XX y evaluar el desempe\u00f1o de los modelos clim\u00e1ticos. Con un enfoque centrado en la precipitaci\u00f3n, tambi\u00e9n se analizan factores como la temperatura superficial del mar, la presi\u00f3n al nivel del mar y los vientos que influyen en las variaciones estacionales de la precipitaci\u00f3n. La media del ensamble del CMIP3 y el RCM captan satisfactoriamente las peculiaridades de la circulaci\u00f3n atmosf\u00e9rica de gran escala en la regi\u00f3n, pero no as\u00ed el ciclo estacional bimodal caracter\u00edstico de la precipitaci\u00f3n. La aridez en \u00e9pocas de lluvias prevista en escenarios de cambio clim\u00e1tico en la regi\u00f3n se ha abordado en estudios previos, pero la magnitud de la variaci\u00f3n es muy incierta en las simulaciones tanto del GCM como del RCM. La disminuci\u00f3n proyectada es mayor al inicio de la temporada de lluvias y suprime la sequ\u00eda del medio verano en el Caribe occidental. Las simulaciones del RCM muestran avances respecto del GCM, sobre todo por sus mejores representaciones de la extensi\u00f3n territorial, pero su desempe\u00f1o depende en gran medida de la conducci\u00f3n del GCM. El presente estudio destaca la necesidad de contar con observaciones de alta resoluci\u00f3n y comparar simulaciones de modelos clim\u00e1ticos para entender a fondo el cambio clim\u00e1tico y su impacto en las peque\u00f1as islas del Caribe. Observed and projected changes in climate have serious socio-economic implications for the Caribbean islands. This article attempts to present basic climate change information\u2014based on previous studies, available observations and climate model simulations\u2014at spatial scales relevant for islands in the Caribbean. We use the General Circulation Model (GCM) data included in the Coupled Model I\u2026", "author" : [ { "dropping-particle" : "V.", "family" : "Karmalkar", "given" : "Ambarish", "non-dropping-particle" : "", "parse-names" : false, "suffix" : "" }, { "dropping-particle" : "", "family" : "Taylor", "given" : "Michael A.", "non-dropping-particle" : "", "parse-names" : false, "suffix" : "" }, { "dropping-particle" : "", "family" : "Campbell", "given" : "Jayaka", "non-dropping-particle" : "", "parse-names" : false, "suffix" : "" }, { "dropping-particle" : "", "family" : "Stephenson", "given" : "Tannecia", "non-dropping-particle" : "", "parse-names" : false, "suffix" : "" }, { "dropping-particle" : "", "family" : "New", "given" : "Mark", "non-dropping-particle" : "", "parse-names" : false, "suffix" : "" }, { "dropping-particle" : "", "family" : "Centella", "given" : "Abel", "non-dropping-particle" : "", "parse-names" : false, "suffix" : "" }, { "dropping-particle" : "", "family" : "Benzanilla", "given" : "Arnoldo", "non-dropping-particle" : "", "parse-names" : false, "suffix" : "" }, { "dropping-particle" : "", "family" : "Charlery", "given" : "John", "non-dropping-particle" : "", "parse-names" : false, "suffix" : "" } ], "container-title" : "Atmosfera", "id" : "ITEM-1", "issue" : "2", "issued" : { "date-parts" : [ [ "2013" ] ] }, "page" : "283-309", "publisher" : "Elsevier", "title" : "A review of observed and projected changes in climate for the islands in the Caribbean", "type" : "article-journal", "volume" : "26" }, "uris" : [ "http://www.mendeley.com/documents/?uuid=29eca330-0607-4081-b680-65ba92a63363" ] } ], "mendeley" : { "formattedCitation" : "(Karmalkar et al. 2013)", "manualFormatting" : "Karmalkar et al. (2013)", "plainTextFormattedCitation" : "(Karmalkar et al. 2013)", "previouslyFormattedCitation" : "(Karmalkar et al. 2013)" }, "properties" : { "noteIndex" : 0 }, "schema" : "https://github.com/citation-style-language/schema/raw/master/csl-citation.json" }</w:instrText>
      </w:r>
      <w:r w:rsidRPr="008608AA">
        <w:rPr>
          <w:rFonts w:eastAsia="Calibri"/>
          <w:noProof/>
        </w:rPr>
        <w:fldChar w:fldCharType="separate"/>
      </w:r>
      <w:r w:rsidRPr="008608AA">
        <w:rPr>
          <w:rFonts w:eastAsia="Calibri"/>
          <w:noProof/>
        </w:rPr>
        <w:t>Karmalkar et al. (2013)</w:t>
      </w:r>
      <w:r w:rsidRPr="008608AA">
        <w:rPr>
          <w:rFonts w:eastAsia="Calibri"/>
          <w:noProof/>
        </w:rPr>
        <w:fldChar w:fldCharType="end"/>
      </w:r>
      <w:r w:rsidRPr="008608AA">
        <w:rPr>
          <w:rFonts w:eastAsia="Calibri"/>
          <w:noProof/>
        </w:rPr>
        <w:t xml:space="preserve"> estimated that precipitation is likely to decline by 5.7% to 24.6% (depending on the m</w:t>
      </w:r>
      <w:r w:rsidR="000151A1" w:rsidRPr="008608AA">
        <w:rPr>
          <w:rFonts w:eastAsia="Calibri"/>
          <w:noProof/>
        </w:rPr>
        <w:t xml:space="preserve">odel) between the years of 2080 and 2089 compared with 1970 and </w:t>
      </w:r>
      <w:r w:rsidRPr="008608AA">
        <w:rPr>
          <w:rFonts w:eastAsia="Calibri"/>
          <w:noProof/>
        </w:rPr>
        <w:t xml:space="preserve">1989.  Reduced preciptitation, along with warmer temperatures, have the potential increase evapotranspiration and drought risk </w:t>
      </w:r>
      <w:r w:rsidRPr="008608AA">
        <w:rPr>
          <w:rFonts w:eastAsia="Calibri"/>
          <w:noProof/>
        </w:rPr>
        <w:fldChar w:fldCharType="begin" w:fldLock="1"/>
      </w:r>
      <w:r w:rsidRPr="008608AA">
        <w:rPr>
          <w:rFonts w:eastAsia="Calibri"/>
          <w:noProof/>
        </w:rPr>
        <w:instrText>ADDIN CSL_CITATION { "citationItems" : [ { "id" : "ITEM-1", "itemData" : { "DOI" : "10.1007/s10113-015-0854-6", "ISSN" : "1436-3798", "abstract" : "This paper synthesizes what is known about the physical and biophysical impacts of climate change and their consequences for societies and development under different levels of global warming in Latin", "author" : [ { "dropping-particle" : "", "family" : "Reyer", "given" : "Christopher P O", "non-dropping-particle" : "", "parse-names" : false, "suffix" : "" }, { "dropping-particle" : "", "family" : "Adams", "given" : "Sophie", "non-dropping-particle" : "", "parse-names" : false, "suffix" : "" }, { "dropping-particle" : "", "family" : "Albrecht", "given" : "Torsten", "non-dropping-particle" : "", "parse-names" : false, "suffix" : "" }, { "dropping-particle" : "", "family" : "Baarsch", "given" : "Florent", "non-dropping-particle" : "", "parse-names" : false, "suffix" : "" }, { "dropping-particle" : "", "family" : "Boit", "given" : "Alice", "non-dropping-particle" : "", "parse-names" : false, "suffix" : "" }, { "dropping-particle" : "", "family" : "Trujillo", "given" : "Nella Canales", "non-dropping-particle" : "", "parse-names" : false, "suffix" : "" }, { "dropping-particle" : "", "family" : "Cartsburg", "given" : "Matti", "non-dropping-particle" : "", "parse-names" : false, "suffix" : "" }, { "dropping-particle" : "", "family" : "Coumou", "given" : "Dim", "non-dropping-particle" : "", "parse-names" : false, "suffix" : "" }, { "dropping-particle" : "", "family" : "Eden", "given" : "Alexander", "non-dropping-particle" : "", "parse-names" : false, "suffix" : "" }, { "dropping-particle" : "", "family" : "Fernandes", "given" : "Erick", "non-dropping-particle" : "", "parse-names" : false, "suffix" : "" }, { "dropping-particle" : "", "family" : "Langerwisch", "given" : "Fanny", "non-dropping-particle" : "", "parse-names" : false, "suffix" : "" }, { "dropping-particle" : "", "family" : "Marcus", "given" : "Rachel", "non-dropping-particle" : "", "parse-names" : false, "suffix" : "" }, { "dropping-particle" : "", "family" : "Mengel", "given" : "Matthias", "non-dropping-particle" : "", "parse-names" : false, "suffix" : "" }, { "dropping-particle" : "", "family" : "Mira-Salama", "given" : "Daniel", "non-dropping-particle" : "", "parse-names" : false, "suffix" : "" }, { "dropping-particle" : "", "family" : "Perette", "given" : "Mah\u00e9", "non-dropping-particle" : "", "parse-names" : false, "suffix" : "" }, { "dropping-particle" : "", "family" : "Pereznieto", "given" : "Paola", "non-dropping-particle" : "", "parse-names" : false, "suffix" : "" }, { "dropping-particle" : "", "family" : "Ramirez-Villegas", "given" : "Julian", "non-dropping-particle" : "", "parse-names" : false, "suffix" : "" }, { "dropping-particle" : "", "family" : "Reinhardt", "given" : "Julia", "non-dropping-particle" : "", "parse-names" : false, "suffix" : "" }, { "dropping-particle" : "", "family" : "Robinson", "given" : "Alexander", "non-dropping-particle" : "", "parse-names" : false, "suffix" : "" }, { "dropping-particle" : "", "family" : "Rocha", "given" : "Marcia", "non-dropping-particle" : "", "parse-names" : false, "suffix" : "" }, { "dropping-particle" : "", "family" : "Sakschewski", "given" : "Boris", "non-dropping-particle" : "", "parse-names" : false, "suffix" : "" }, { "dropping-particle" : "", "family" : "Schaeffer", "given" : "Michiel", "non-dropping-particle" : "", "parse-names" : false, "suffix" : "" }, { "dropping-particle" : "", "family" : "Schleussner", "given" : "Carl-Friedrich", "non-dropping-particle" : "", "parse-names" : false, "suffix" : "" }, { "dropping-particle" : "", "family" : "Serdeczny", "given" : "Olivia", "non-dropping-particle" : "", "parse-names" : false, "suffix" : "" }, { "dropping-particle" : "", "family" : "Thonicke", "given" : "Kirsten", "non-dropping-particle" : "", "parse-names" : false, "suffix" : "" } ], "container-title" : "Regional Environmental Change", "id" : "ITEM-1", "issued" : { "date-parts" : [ [ "2015" ] ] }, "page" : "1-21", "title" : "Climate change impacts in Latin America and the Caribbean and their implications for development", "type" : "article-journal" }, "uris" : [ "http://www.mendeley.com/documents/?uuid=ab7bf892-8962-451d-96bd-564e353d5bec" ] } ], "mendeley" : { "formattedCitation" : "(Reyer et al. 2015)", "plainTextFormattedCitation" : "(Reyer et al. 2015)", "previouslyFormattedCitation" : "(Reyer et al. 2015)" }, "properties" : { "noteIndex" : 0 }, "schema" : "https://github.com/citation-style-language/schema/raw/master/csl-citation.json" }</w:instrText>
      </w:r>
      <w:r w:rsidRPr="008608AA">
        <w:rPr>
          <w:rFonts w:eastAsia="Calibri"/>
          <w:noProof/>
        </w:rPr>
        <w:fldChar w:fldCharType="separate"/>
      </w:r>
      <w:r w:rsidRPr="008608AA">
        <w:rPr>
          <w:rFonts w:eastAsia="Calibri"/>
          <w:noProof/>
        </w:rPr>
        <w:t>(Reyer et al.</w:t>
      </w:r>
      <w:r w:rsidR="00C85F9E" w:rsidRPr="008608AA">
        <w:rPr>
          <w:rFonts w:eastAsia="Calibri"/>
          <w:noProof/>
        </w:rPr>
        <w:t>,</w:t>
      </w:r>
      <w:r w:rsidRPr="008608AA">
        <w:rPr>
          <w:rFonts w:eastAsia="Calibri"/>
          <w:noProof/>
        </w:rPr>
        <w:t xml:space="preserve"> 2015)</w:t>
      </w:r>
      <w:r w:rsidRPr="008608AA">
        <w:rPr>
          <w:rFonts w:eastAsia="Calibri"/>
          <w:noProof/>
        </w:rPr>
        <w:fldChar w:fldCharType="end"/>
      </w:r>
      <w:r w:rsidRPr="008608AA">
        <w:rPr>
          <w:rFonts w:eastAsia="Calibri"/>
          <w:noProof/>
        </w:rPr>
        <w:t>.</w:t>
      </w:r>
    </w:p>
    <w:p w14:paraId="3848FC78" w14:textId="77777777" w:rsidR="001E61A6" w:rsidRPr="008608AA" w:rsidRDefault="001E61A6" w:rsidP="00A345FC">
      <w:pPr>
        <w:spacing w:before="120"/>
        <w:rPr>
          <w:rFonts w:eastAsia="Calibri"/>
        </w:rPr>
      </w:pPr>
      <w:r w:rsidRPr="008608AA">
        <w:rPr>
          <w:rFonts w:eastAsia="Calibri"/>
        </w:rPr>
        <w:t xml:space="preserve">The region’s forests and terrestrial biodiversity are also threatened by climate change (see Chapter 3 for details). While hurricanes are part of the Caribbean’s “normal” environment and ecosystems have adapted to them, the repeated and compounding impacts of frequent extreme weather events has been shown to reduce their ability for recovery. The flash floods and mudslides that caused the many fatalities during the devastating 2008 hurricane season in Haiti, would probably not have been so severe had the mountains not been deforested. Protecting forests and improving their resilience will be an important adaptation strategy both for the conservation of biodiversity and for the future wellbeing of Caribbean communities (Day, 2009). </w:t>
      </w:r>
    </w:p>
    <w:p w14:paraId="630A4B7A" w14:textId="32347AB3" w:rsidR="001E61A6" w:rsidRPr="008608AA" w:rsidRDefault="001E61A6" w:rsidP="00A345FC">
      <w:pPr>
        <w:widowControl w:val="0"/>
        <w:tabs>
          <w:tab w:val="left" w:pos="220"/>
          <w:tab w:val="left" w:pos="720"/>
        </w:tabs>
        <w:autoSpaceDE w:val="0"/>
        <w:autoSpaceDN w:val="0"/>
        <w:adjustRightInd w:val="0"/>
        <w:spacing w:before="120"/>
        <w:rPr>
          <w:rFonts w:eastAsiaTheme="majorEastAsia"/>
        </w:rPr>
      </w:pPr>
      <w:r w:rsidRPr="008608AA">
        <w:rPr>
          <w:rFonts w:eastAsiaTheme="majorEastAsia"/>
        </w:rPr>
        <w:t>Warming of coastal areas has had marked impacts on the population, diversity, and health of coral reef resources in the Caribbean Sea and Gulf of Mexico (Eakin et al., 2010; Vega-Rodriguez et al., 201</w:t>
      </w:r>
      <w:r w:rsidR="000151A1" w:rsidRPr="008608AA">
        <w:rPr>
          <w:rFonts w:eastAsiaTheme="majorEastAsia"/>
        </w:rPr>
        <w:t xml:space="preserve">5; van Hooidonk et al., 2015). </w:t>
      </w:r>
      <w:r w:rsidRPr="008608AA">
        <w:rPr>
          <w:rFonts w:eastAsiaTheme="majorEastAsia"/>
        </w:rPr>
        <w:t>Increased water temperatures have the potential to affect fi</w:t>
      </w:r>
      <w:r w:rsidR="000151A1" w:rsidRPr="008608AA">
        <w:rPr>
          <w:rFonts w:eastAsiaTheme="majorEastAsia"/>
        </w:rPr>
        <w:t>sheries in Caribbean countries.</w:t>
      </w:r>
      <w:r w:rsidRPr="008608AA">
        <w:rPr>
          <w:rFonts w:eastAsiaTheme="majorEastAsia"/>
        </w:rPr>
        <w:t xml:space="preserve"> </w:t>
      </w:r>
      <w:r w:rsidRPr="008608AA">
        <w:rPr>
          <w:rFonts w:eastAsiaTheme="majorEastAsia"/>
        </w:rPr>
        <w:fldChar w:fldCharType="begin" w:fldLock="1"/>
      </w:r>
      <w:r w:rsidRPr="008608AA">
        <w:rPr>
          <w:rFonts w:eastAsiaTheme="majorEastAsia"/>
        </w:rPr>
        <w:instrText>ADDIN CSL_CITATION { "citationItems" : [ { "id" : "ITEM-1", "itemData" : { "DOI" : "10.1111/j.1365-2486.2009.01995.x", "ISBN" : "1354-1013", "ISSN" : "13541013", "abstract" : "Previous projection of climate change impacts on global food supply focuses solely on production from terrestrial biomes, ignoring the large contribution of animal protein from marine capture fisheries. Here, we project changes in global catch potential for 1066 species of exploited marine fish and invertebrates from 2005 to 2055 under climate change scenarios. We show that climate change may lead to large-scale redistribution of global catch potential, with an average of 30-70% increase in high-latitude regions and a drop of up to 40% in the tropics. Moreover, maximum catch potential declines considerably in the southward margins of semienclosed seas while it increases in poleward tips of continental shelf margins. Such changes are most apparent in the Pacific Ocean. Among the 20 most important fishing Exclusive Economic Zone (EEZ) regions in terms of their total landings, EEZ regions with the highest increase in catch potential by 2055 include Norway, Greenland, the United States (Alaska) and Russia (Asia). On the contrary, EEZ regions with the biggest loss in maximum catch potential include Indonesia, the United States (excluding Alaska and Hawaii), Chile and China. Many highly impacted regions, particularly those in the tropics, are socioeconomically vulnerable to these changes. Thus, our results indicate the need to develop adaptation policy that could minimize climate change impacts through fisheries. The study also provides information that may be useful to evaluate fisheries management options under climate change.", "author" : [ { "dropping-particle" : "", "family" : "Cheung", "given" : "William W L", "non-dropping-particle" : "", "parse-names" : false, "suffix" : "" }, { "dropping-particle" : "", "family" : "Lam", "given" : "Vicky W Y", "non-dropping-particle" : "", "parse-names" : false, "suffix" : "" }, { "dropping-particle" : "", "family" : "Sarmiento", "given" : "Jorge L.", "non-dropping-particle" : "", "parse-names" : false, "suffix" : "" }, { "dropping-particle" : "", "family" : "Kearney", "given" : "Kelly", "non-dropping-particle" : "", "parse-names" : false, "suffix" : "" }, { "dropping-particle" : "", "family" : "Watson", "given" : "Reg", "non-dropping-particle" : "", "parse-names" : false, "suffix" : "" }, { "dropping-particle" : "", "family" : "Zeller", "given" : "Dirk", "non-dropping-particle" : "", "parse-names" : false, "suffix" : "" }, { "dropping-particle" : "", "family" : "Pauly", "given" : "Daniel", "non-dropping-particle" : "", "parse-names" : false, "suffix" : "" } ], "container-title" : "Global Change Biology", "id" : "ITEM-1", "issue" : "1", "issued" : { "date-parts" : [ [ "2010" ] ] }, "page" : "24-35", "title" : "Large-scale redistribution of maximum fisheries catch potential in the global ocean under climate change", "type" : "article-journal", "volume" : "16" }, "uris" : [ "http://www.mendeley.com/documents/?uuid=1493d35e-79fe-41c4-96b0-7cb3e30325db" ] } ], "mendeley" : { "formattedCitation" : "(Cheung et al. 2010)", "manualFormatting" : "Cheung et al. (2010)", "plainTextFormattedCitation" : "(Cheung et al. 2010)", "previouslyFormattedCitation" : "(Cheung et al. 2010)" }, "properties" : { "noteIndex" : 0 }, "schema" : "https://github.com/citation-style-language/schema/raw/master/csl-citation.json" }</w:instrText>
      </w:r>
      <w:r w:rsidRPr="008608AA">
        <w:rPr>
          <w:rFonts w:eastAsiaTheme="majorEastAsia"/>
        </w:rPr>
        <w:fldChar w:fldCharType="separate"/>
      </w:r>
      <w:r w:rsidRPr="008608AA">
        <w:rPr>
          <w:rFonts w:eastAsiaTheme="majorEastAsia"/>
          <w:noProof/>
        </w:rPr>
        <w:t>Cheung et al. (2010)</w:t>
      </w:r>
      <w:r w:rsidRPr="008608AA">
        <w:rPr>
          <w:rFonts w:eastAsiaTheme="majorEastAsia"/>
        </w:rPr>
        <w:fldChar w:fldCharType="end"/>
      </w:r>
      <w:r w:rsidRPr="008608AA">
        <w:rPr>
          <w:rFonts w:eastAsiaTheme="majorEastAsia"/>
        </w:rPr>
        <w:t xml:space="preserve"> estimated that catch potential off Caribbean coasts may decrease as much as 5% to 50% between 2050 (2°C of warming) and 2100 (4°C of warming).  </w:t>
      </w:r>
    </w:p>
    <w:p w14:paraId="1CFE76E4" w14:textId="512A5034" w:rsidR="001E61A6" w:rsidRPr="008608AA" w:rsidRDefault="001E61A6" w:rsidP="00A345FC">
      <w:pPr>
        <w:spacing w:before="120"/>
        <w:rPr>
          <w:rFonts w:eastAsia="Calibri"/>
        </w:rPr>
      </w:pPr>
      <w:r w:rsidRPr="008608AA">
        <w:rPr>
          <w:rFonts w:eastAsia="Calibri"/>
        </w:rPr>
        <w:t>The global net value of the coral reefs of the Caribbean Sea services related with fishery, coastal protection, tourism, and biodiversity,</w:t>
      </w:r>
      <w:r w:rsidR="000151A1" w:rsidRPr="008608AA">
        <w:rPr>
          <w:rFonts w:eastAsia="Calibri"/>
        </w:rPr>
        <w:t xml:space="preserve"> were estimated $29,800 million per </w:t>
      </w:r>
      <w:r w:rsidRPr="008608AA">
        <w:rPr>
          <w:rFonts w:eastAsia="Calibri"/>
        </w:rPr>
        <w:t xml:space="preserve">year. Currently two thirds of the Caribbean coral reefs are impacted detrimentally by human activities, including climate change, (GEO 4, UNEP, 2007). </w:t>
      </w:r>
    </w:p>
    <w:p w14:paraId="6923CE0F" w14:textId="2BA29EE4" w:rsidR="001E61A6" w:rsidRPr="008608AA" w:rsidRDefault="001E61A6" w:rsidP="00A345FC">
      <w:pPr>
        <w:spacing w:before="120"/>
        <w:rPr>
          <w:rFonts w:eastAsia="Calibri"/>
        </w:rPr>
      </w:pPr>
      <w:r w:rsidRPr="008608AA">
        <w:rPr>
          <w:rFonts w:eastAsia="Calibri"/>
        </w:rPr>
        <w:t xml:space="preserve">Mass coral bleaching events have also become more frequent and more severe in recent years as a result of increasing sea surface temperatures and aragonite saturation, in particular the widespread and catastrophic bleaching event of 2005 in the Caribbean. This is presenting a new challenge to islands dependent on reefs for fisheries, dive tourism and coastal protection (Day, 2009).  By 2050, with 1.5°C to 2°C, there is 20-40% to 60-80% probability, respectively, that coral reefs in the Caribbean and western Atlantic will undergo yearly bleaching events </w:t>
      </w:r>
      <w:r w:rsidRPr="008608AA">
        <w:rPr>
          <w:rFonts w:eastAsia="Calibri"/>
        </w:rPr>
        <w:fldChar w:fldCharType="begin" w:fldLock="1"/>
      </w:r>
      <w:r w:rsidRPr="008608AA">
        <w:rPr>
          <w:rFonts w:eastAsia="Calibri"/>
        </w:rPr>
        <w:instrText>ADDIN CSL_CITATION { "citationItems" : [ { "id" : "ITEM-1", "itemData" : { "DOI" : "10.1007/s00338-011-0866-8", "ISBN" : "0033801108668", "ISSN" : "07224028", "abstract" : "One-third of the world\u2019s coral reefs have disappeared over the last 30 years, and a further third is under threat today from various stress factors. The main global stress factors on coral reefs have been identified as changes in sea surface temperature (SST) and changes in surface seawater aragonite saturation (\u03a9 arag ). Here, we use a climate model of intermediate complexity, which includes an ocean general circulation model and a fully coupled carbon cycle, in conjunction with present-day observations of inter-annual SST variability to investigate three IPCC representative concentration pathways (RCP 3PD, RCP 4.5, and RCP 8.5), and their impact on the environmental stressors of coral reefs related to open ocean SST and open ocean \u03a9 arag over the next 400 years. Our simulations show that for the RCP 4.5 and 8.5 scenarios, the threshold of 3.3 for zonal and annual mean \u03a9 arag would be crossed in the first half of this century. By year 2030, 66\u201385% of the reef locations considered in this study would experience severe bleaching events at least once every 10 years. Regardless of the concentration pathway, virtually every reef considered in this study (&amp;gt;97%) would experience severe thermal stress by year 2050. In all our simulations, changes in surface seawater aragonite saturation lead changes in temperatures.", "author" : [ { "dropping-particle" : "", "family" : "Meissner", "given" : "K. J.", "non-dropping-particle" : "", "parse-names" : false, "suffix" : "" }, { "dropping-particle" : "", "family" : "Lippmann", "given" : "T.", "non-dropping-particle" : "", "parse-names" : false, "suffix" : "" }, { "dropping-particle" : "Sen", "family" : "Gupta", "given" : "A.", "non-dropping-particle" : "", "parse-names" : false, "suffix" : "" } ], "container-title" : "Coral Reefs", "id" : "ITEM-1", "issue" : "2", "issued" : { "date-parts" : [ [ "2012" ] ] }, "page" : "309-319", "title" : "Large-scale stress factors affecting coral reefs: Open ocean sea surface temperature and surface seawater aragonite saturation over the next 400 years", "type" : "article-journal", "volume" : "31" }, "uris" : [ "http://www.mendeley.com/documents/?uuid=553e55c8-db53-494a-afb4-98ffb898c0d2" ] } ], "mendeley" : { "formattedCitation" : "(Meissner et al. 2012)", "plainTextFormattedCitation" : "(Meissner et al. 2012)", "previouslyFormattedCitation" : "(Meissner et al. 2012)" }, "properties" : { "noteIndex" : 0 }, "schema" : "https://github.com/citation-style-language/schema/raw/master/csl-citation.json" }</w:instrText>
      </w:r>
      <w:r w:rsidRPr="008608AA">
        <w:rPr>
          <w:rFonts w:eastAsia="Calibri"/>
        </w:rPr>
        <w:fldChar w:fldCharType="separate"/>
      </w:r>
      <w:r w:rsidRPr="008608AA">
        <w:rPr>
          <w:rFonts w:eastAsia="Calibri"/>
          <w:noProof/>
        </w:rPr>
        <w:t>(Meissner et al.</w:t>
      </w:r>
      <w:r w:rsidR="00C85F9E" w:rsidRPr="008608AA">
        <w:rPr>
          <w:rFonts w:eastAsia="Calibri"/>
          <w:noProof/>
        </w:rPr>
        <w:t>,</w:t>
      </w:r>
      <w:r w:rsidRPr="008608AA">
        <w:rPr>
          <w:rFonts w:eastAsia="Calibri"/>
          <w:noProof/>
        </w:rPr>
        <w:t xml:space="preserve"> 2012)</w:t>
      </w:r>
      <w:r w:rsidRPr="008608AA">
        <w:rPr>
          <w:rFonts w:eastAsia="Calibri"/>
        </w:rPr>
        <w:fldChar w:fldCharType="end"/>
      </w:r>
      <w:r w:rsidRPr="008608AA">
        <w:rPr>
          <w:rFonts w:eastAsia="Calibri"/>
        </w:rPr>
        <w:t xml:space="preserve">. Nearly all coral reefs are expected to undergo severe bleaching by 2100, with exception to areas with upwellings </w:t>
      </w:r>
      <w:r w:rsidRPr="008608AA">
        <w:rPr>
          <w:rFonts w:eastAsia="Calibri"/>
        </w:rPr>
        <w:fldChar w:fldCharType="begin" w:fldLock="1"/>
      </w:r>
      <w:r w:rsidRPr="008608AA">
        <w:rPr>
          <w:rFonts w:eastAsia="Calibri"/>
        </w:rPr>
        <w:instrText>ADDIN CSL_CITATION { "citationItems" : [ { "id" : "ITEM-1", "itemData" : { "DOI" : "10.1007/s00338-011-0866-8", "ISBN" : "0033801108668", "ISSN" : "07224028", "abstract" : "One-third of the world\u2019s coral reefs have disappeared over the last 30 years, and a further third is under threat today from various stress factors. The main global stress factors on coral reefs have been identified as changes in sea surface temperature (SST) and changes in surface seawater aragonite saturation (\u03a9 arag ). Here, we use a climate model of intermediate complexity, which includes an ocean general circulation model and a fully coupled carbon cycle, in conjunction with present-day observations of inter-annual SST variability to investigate three IPCC representative concentration pathways (RCP 3PD, RCP 4.5, and RCP 8.5), and their impact on the environmental stressors of coral reefs related to open ocean SST and open ocean \u03a9 arag over the next 400 years. Our simulations show that for the RCP 4.5 and 8.5 scenarios, the threshold of 3.3 for zonal and annual mean \u03a9 arag would be crossed in the first half of this century. By year 2030, 66\u201385% of the reef locations considered in this study would experience severe bleaching events at least once every 10 years. Regardless of the concentration pathway, virtually every reef considered in this study (&amp;gt;97%) would experience severe thermal stress by year 2050. In all our simulations, changes in surface seawater aragonite saturation lead changes in temperatures.", "author" : [ { "dropping-particle" : "", "family" : "Meissner", "given" : "K. J.", "non-dropping-particle" : "", "parse-names" : false, "suffix" : "" }, { "dropping-particle" : "", "family" : "Lippmann", "given" : "T.", "non-dropping-particle" : "", "parse-names" : false, "suffix" : "" }, { "dropping-particle" : "Sen", "family" : "Gupta", "given" : "A.", "non-dropping-particle" : "", "parse-names" : false, "suffix" : "" } ], "container-title" : "Coral Reefs", "id" : "ITEM-1", "issue" : "2", "issued" : { "date-parts" : [ [ "2012" ] ] }, "page" : "309-319", "title" : "Large-scale stress factors affecting coral reefs: Open ocean sea surface temperature and surface seawater aragonite saturation over the next 400 years", "type" : "article-journal", "volume" : "31" }, "uris" : [ "http://www.mendeley.com/documents/?uuid=553e55c8-db53-494a-afb4-98ffb898c0d2" ] } ], "mendeley" : { "formattedCitation" : "(Meissner et al. 2012)", "plainTextFormattedCitation" : "(Meissner et al. 2012)", "previouslyFormattedCitation" : "(Meissner et al. 2012)" }, "properties" : { "noteIndex" : 0 }, "schema" : "https://github.com/citation-style-language/schema/raw/master/csl-citation.json" }</w:instrText>
      </w:r>
      <w:r w:rsidRPr="008608AA">
        <w:rPr>
          <w:rFonts w:eastAsia="Calibri"/>
        </w:rPr>
        <w:fldChar w:fldCharType="separate"/>
      </w:r>
      <w:r w:rsidRPr="008608AA">
        <w:rPr>
          <w:rFonts w:eastAsia="Calibri"/>
          <w:noProof/>
        </w:rPr>
        <w:t>(Meissner et al.</w:t>
      </w:r>
      <w:r w:rsidR="00C85F9E" w:rsidRPr="008608AA">
        <w:rPr>
          <w:rFonts w:eastAsia="Calibri"/>
          <w:noProof/>
        </w:rPr>
        <w:t>,</w:t>
      </w:r>
      <w:r w:rsidRPr="008608AA">
        <w:rPr>
          <w:rFonts w:eastAsia="Calibri"/>
          <w:noProof/>
        </w:rPr>
        <w:t xml:space="preserve"> 2012)</w:t>
      </w:r>
      <w:r w:rsidRPr="008608AA">
        <w:rPr>
          <w:rFonts w:eastAsia="Calibri"/>
        </w:rPr>
        <w:fldChar w:fldCharType="end"/>
      </w:r>
      <w:r w:rsidRPr="008608AA">
        <w:rPr>
          <w:rFonts w:eastAsia="Calibri"/>
        </w:rPr>
        <w:t xml:space="preserve">.  </w:t>
      </w:r>
    </w:p>
    <w:p w14:paraId="1DA50F5C" w14:textId="77777777" w:rsidR="001E61A6" w:rsidRPr="008608AA" w:rsidRDefault="001E61A6" w:rsidP="00A345FC">
      <w:pPr>
        <w:spacing w:before="120"/>
        <w:rPr>
          <w:rFonts w:eastAsia="Calibri"/>
        </w:rPr>
      </w:pPr>
      <w:r w:rsidRPr="008608AA">
        <w:rPr>
          <w:rFonts w:eastAsia="Calibri"/>
        </w:rPr>
        <w:t>The IPCC (2014) considers the small island states, like those of the Caribbean, to be among the most vulnerable to the projected impacts of climate change, like rising sea levels, intensifying storms, mass coral bleaching events, ocean acidification, and potential water and food shortages.</w:t>
      </w:r>
    </w:p>
    <w:p w14:paraId="604B0434" w14:textId="77777777" w:rsidR="001E61A6" w:rsidRPr="008608AA" w:rsidRDefault="001E61A6" w:rsidP="00A345FC">
      <w:pPr>
        <w:pStyle w:val="Heading4"/>
        <w:numPr>
          <w:ilvl w:val="0"/>
          <w:numId w:val="0"/>
        </w:numPr>
        <w:spacing w:before="120" w:line="240" w:lineRule="auto"/>
      </w:pPr>
      <w:bookmarkStart w:id="1582" w:name="_Toc517393362"/>
      <w:bookmarkStart w:id="1583" w:name="_Toc517394419"/>
      <w:bookmarkStart w:id="1584" w:name="_Toc517719103"/>
      <w:bookmarkStart w:id="1585" w:name="_Toc517797060"/>
      <w:r w:rsidRPr="008608AA">
        <w:t>South America</w:t>
      </w:r>
      <w:bookmarkEnd w:id="1582"/>
      <w:bookmarkEnd w:id="1583"/>
      <w:bookmarkEnd w:id="1584"/>
      <w:bookmarkEnd w:id="1585"/>
    </w:p>
    <w:p w14:paraId="38ED192E" w14:textId="17A47E94" w:rsidR="001E61A6" w:rsidRPr="008608AA" w:rsidRDefault="001E61A6" w:rsidP="00A345FC">
      <w:pPr>
        <w:spacing w:before="120"/>
        <w:rPr>
          <w:rFonts w:eastAsia="Calibri"/>
        </w:rPr>
      </w:pPr>
      <w:r w:rsidRPr="008608AA">
        <w:rPr>
          <w:rFonts w:eastAsia="Calibri"/>
        </w:rPr>
        <w:t>Although the Amazon basin has experienced periodic war</w:t>
      </w:r>
      <w:r w:rsidR="00C45D57" w:rsidRPr="008608AA">
        <w:rPr>
          <w:rFonts w:eastAsia="Calibri"/>
        </w:rPr>
        <w:t>ming and cooling since the 1900</w:t>
      </w:r>
      <w:r w:rsidRPr="008608AA">
        <w:rPr>
          <w:rFonts w:eastAsia="Calibri"/>
        </w:rPr>
        <w:t>s, which may be associated with the Pacific Decadal Oscillation (</w:t>
      </w:r>
      <w:r w:rsidRPr="008608AA">
        <w:rPr>
          <w:rFonts w:eastAsia="Calibri"/>
        </w:rPr>
        <w:fldChar w:fldCharType="begin" w:fldLock="1"/>
      </w:r>
      <w:r w:rsidRPr="008608AA">
        <w:rPr>
          <w:rFonts w:eastAsia="Calibri"/>
        </w:rPr>
        <w:instrText>ADDIN CSL_CITATION { "citationItems" : [ { "id" : "ITEM-1", "itemData" : { "DOI" : "10.1002/2014GB005080.Received", "author" : [ { "dropping-particle" : "", "family" : "Gloor", "given" : "M", "non-dropping-particle" : "", "parse-names" : false, "suffix" : "" }, { "dropping-particle" : "", "family" : "Barichivich", "given" : "J", "non-dropping-particle" : "", "parse-names" : false, "suffix" : "" }, { "dropping-particle" : "", "family" : "Ziv", "given" : "G", "non-dropping-particle" : "", "parse-names" : false, "suffix" : "" }, { "dropping-particle" : "", "family" : "Brienen", "given" : "R", "non-dropping-particle" : "", "parse-names" : false, "suffix" : "" }, { "dropping-particle" : "", "family" : "Sch\u00f6ngart", "given" : "J", "non-dropping-particle" : "", "parse-names" : false, "suffix" : "" }, { "dropping-particle" : "", "family" : "Peylin", "given" : "P", "non-dropping-particle" : "", "parse-names" : false, "suffix" : "" } ], "id" : "ITEM-1", "issued" : { "date-parts" : [ [ "2015" ] ] }, "title" : "Recent Amazon climate as background for possible ongoing Special Section :", "type" : "article-journal" }, "uris" : [ "http://www.mendeley.com/documents/?uuid=66618b84-d9e4-441d-bbb0-365d63a0d606" ] }, { "id" : "ITEM-2", "itemData" : { "DOI" : "10.1098/rstb.2003.1433", "ISBN" : "0962-8436", "ISSN" : "0962-8436", "PMID" : "15212087", "abstract" : "We present an analysis of the mean climate and climatic trends of tropical rainforest regions over the period 1960-1998, with the aid of explicit maps of forest cover and climatological databases. Until the mid-1970s most regions showed little trend in temperature, and the western Amazon experienced a net cooling probably associated with an interdecadal oscillation. Since the mid-1970s, all tropical rainforest regions have experienced a strong warming at a mean rate of 0.26 +/- 0.05 degrees C per decade, in synchrony with a global rise in temperature that has been attributed to the anthropogenic greenhouse effect. Over the study period, precipitation appears to have declined in tropical rainforest regions at a rate of 1.0 +/- 0.8% per decade (p &lt; 5%), declining sharply in northern tropical Africa (at 3-4% per decade), declining marginally in tropical Asia and showing no significant trend in Amazonia. There is no evidence so far of a decline in precipitation in eastern Amazonia, a region thought vulnerable to climate-change-induced drying. The strong drying trend in Africa suggests that this should be a priority study region for understanding the impact of drought on tropical rainforests. We develop and use a dry-season index to study variations in the length and intensity of the dry season. Only African and Indian tropical rainforests appear to have seen a significant increase in dry-season intensity. In terms of interannual variability, the El Ni\u00f1o-Southern Oscillation (ENSO) is the primary driver of temperature variations across the tropics and of precipitation fluctuations for large areas of the Americas and southeast Asia. The relation between ENSO and tropical African precipitation appears less direct.", "author" : [ { "dropping-particle" : "", "family" : "Malhi", "given" : "Yadvinder", "non-dropping-particle" : "", "parse-names" : false, "suffix" : "" }, { "dropping-particle" : "", "family" : "Wright", "given" : "James", "non-dropping-particle" : "", "parse-names" : false, "suffix" : "" } ], "container-title" : "Philosophical transactions of the Royal Society of London. Series B, Biological sciences", "id" : "ITEM-2", "issue" : "1443", "issued" : { "date-parts" : [ [ "2004" ] ] }, "page" : "311-29", "title" : "Spatial patterns and recent trends in the climate of tropical rainforest regions.", "type" : "article-journal", "volume" : "359" }, "uris" : [ "http://www.mendeley.com/documents/?uuid=f77bb4ef-d1d5-4efd-abb0-8333110a6c17" ] } ], "mendeley" : { "formattedCitation" : "(Malhi and Wright 2004, Gloor et al. 2015)", "manualFormatting" : "Malhi and Wright 2004, Gloor et al., 2015)", "plainTextFormattedCitation" : "(Malhi and Wright 2004, Gloor et al. 2015)", "previouslyFormattedCitation" : "(Malhi and Wright 2004, Gloor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 xml:space="preserve">Malhi </w:t>
      </w:r>
      <w:r w:rsidR="00183764" w:rsidRPr="008608AA">
        <w:rPr>
          <w:rFonts w:eastAsia="Calibri"/>
          <w:noProof/>
        </w:rPr>
        <w:t>&amp;</w:t>
      </w:r>
      <w:r w:rsidRPr="008608AA">
        <w:rPr>
          <w:rFonts w:eastAsia="Calibri"/>
          <w:noProof/>
        </w:rPr>
        <w:t xml:space="preserve"> Wright</w:t>
      </w:r>
      <w:r w:rsidR="00183764" w:rsidRPr="008608AA">
        <w:rPr>
          <w:rFonts w:eastAsia="Calibri"/>
          <w:noProof/>
        </w:rPr>
        <w:t>, 2004;</w:t>
      </w:r>
      <w:r w:rsidRPr="008608AA">
        <w:rPr>
          <w:rFonts w:eastAsia="Calibri"/>
          <w:noProof/>
        </w:rPr>
        <w:t xml:space="preserve"> Gloor et al., 2015)</w:t>
      </w:r>
      <w:r w:rsidRPr="008608AA">
        <w:rPr>
          <w:rFonts w:eastAsia="Calibri"/>
        </w:rPr>
        <w:fldChar w:fldCharType="end"/>
      </w:r>
      <w:r w:rsidRPr="008608AA">
        <w:rPr>
          <w:rFonts w:eastAsia="Calibri"/>
        </w:rPr>
        <w:t>, annual mean temperature has st</w:t>
      </w:r>
      <w:r w:rsidR="00C45D57" w:rsidRPr="008608AA">
        <w:rPr>
          <w:rFonts w:eastAsia="Calibri"/>
        </w:rPr>
        <w:t>eadily increased since the 1970</w:t>
      </w:r>
      <w:r w:rsidRPr="008608AA">
        <w:rPr>
          <w:rFonts w:eastAsia="Calibri"/>
        </w:rPr>
        <w:t xml:space="preserve">s </w:t>
      </w:r>
      <w:r w:rsidRPr="008608AA">
        <w:rPr>
          <w:rFonts w:eastAsia="Calibri"/>
        </w:rPr>
        <w:fldChar w:fldCharType="begin" w:fldLock="1"/>
      </w:r>
      <w:r w:rsidRPr="008608AA">
        <w:rPr>
          <w:rFonts w:eastAsia="Calibri"/>
        </w:rPr>
        <w:instrText>ADDIN CSL_CITATION { "citationItems" : [ { "id" : "ITEM-1", "itemData" : { "DOI" : "10.1098/rstb.2003.1433", "ISBN" : "0962-8436", "ISSN" : "0962-8436", "PMID" : "15212087", "abstract" : "We present an analysis of the mean climate and climatic trends of tropical rainforest regions over the period 1960-1998, with the aid of explicit maps of forest cover and climatological databases. Until the mid-1970s most regions showed little trend in temperature, and the western Amazon experienced a net cooling probably associated with an interdecadal oscillation. Since the mid-1970s, all tropical rainforest regions have experienced a strong warming at a mean rate of 0.26 +/- 0.05 degrees C per decade, in synchrony with a global rise in temperature that has been attributed to the anthropogenic greenhouse effect. Over the study period, precipitation appears to have declined in tropical rainforest regions at a rate of 1.0 +/- 0.8% per decade (p &lt; 5%), declining sharply in northern tropical Africa (at 3-4% per decade), declining marginally in tropical Asia and showing no significant trend in Amazonia. There is no evidence so far of a decline in precipitation in eastern Amazonia, a region thought vulnerable to climate-change-induced drying. The strong drying trend in Africa suggests that this should be a priority study region for understanding the impact of drought on tropical rainforests. We develop and use a dry-season index to study variations in the length and intensity of the dry season. Only African and Indian tropical rainforests appear to have seen a significant increase in dry-season intensity. In terms of interannual variability, the El Ni\u00f1o-Southern Oscillation (ENSO) is the primary driver of temperature variations across the tropics and of precipitation fluctuations for large areas of the Americas and southeast Asia. The relation between ENSO and tropical African precipitation appears less direct.", "author" : [ { "dropping-particle" : "", "family" : "Malhi", "given" : "Yadvinder", "non-dropping-particle" : "", "parse-names" : false, "suffix" : "" }, { "dropping-particle" : "", "family" : "Wright", "given" : "James", "non-dropping-particle" : "", "parse-names" : false, "suffix" : "" } ], "container-title" : "Philosophical transactions of the Royal Society of London. Series B, Biological sciences", "id" : "ITEM-1", "issue" : "1443", "issued" : { "date-parts" : [ [ "2004" ] ] }, "page" : "311-29", "title" : "Spatial patterns and recent trends in the climate of tropical rainforest regions.", "type" : "article-journal", "volume" : "359" }, "uris" : [ "http://www.mendeley.com/documents/?uuid=f77bb4ef-d1d5-4efd-abb0-8333110a6c17" ] }, { "id" : "ITEM-2", "itemData" : { "DOI" : "10.1175/1520-0442(1998)011&lt;1105:SATVIT&gt;2.0.CO;2", "ISBN" : "0894-8755", "ISSN" : "0894-8755", "abstract" : "Monthly average surface air temperature records from 17 stations in the Brazilian Amazon from 1913 to 1995 were used to compute annual air temperature means. The data were converted into temperature anomalies, as the differences between annual mean temperatures and the mean temperature of a reference period (1958\u201385). By averaging the anomalies, an increasing trend of 0.56\ue038C century\ue0321 found for the Southern Hemisphere of 0.57\ue038C century\ue0321 showed that the trend became significant in the late 1960s to early 1970s. was observed, which is similar to the trend . The results of two nonparametrical statistical tests", "author" : [ { "dropping-particle" : "", "family" : "Victoria", "given" : "R. L", "non-dropping-particle" : "", "parse-names" : false, "suffix" : "" }, { "dropping-particle" : "", "family" : "Martinelli", "given" : "L. a", "non-dropping-particle" : "", "parse-names" : false, "suffix" : "" }, { "dropping-particle" : "", "family" : "Moraes", "given" : "M.", "non-dropping-particle" : "", "parse-names" : false, "suffix" : "" }, { "dropping-particle" : "V", "family" : "Ballester", "given" : "M.", "non-dropping-particle" : "", "parse-names" : false, "suffix" : "" }, { "dropping-particle" : "V", "family" : "Krusche", "given" : "a.", "non-dropping-particle" : "", "parse-names" : false, "suffix" : "" }, { "dropping-particle" : "", "family" : "Pellegrino", "given" : "G", "non-dropping-particle" : "", "parse-names" : false, "suffix" : "" }, { "dropping-particle" : "", "family" : "Almeida", "given" : "R. M. B", "non-dropping-particle" : "", "parse-names" : false, "suffix" : "" }, { "dropping-particle" : "", "family" : "Richey", "given" : "J. E", "non-dropping-particle" : "", "parse-names" : false, "suffix" : "" } ], "container-title" : "Journal of Climate", "id" : "ITEM-2", "issued" : { "date-parts" : [ [ "1998" ] ] }, "page" : "1105-1110", "title" : "Surface Air Temperature Variations in the Amazon Region and Its Borders during This Century", "type" : "article-journal", "volume" : "11" }, "uris" : [ "http://www.mendeley.com/documents/?uuid=96c86a71-f2f9-4c53-be0f-efd0c951a81a" ] }, { "id" : "ITEM-3", "itemData" : { "DOI" : "10.1175/JCLI3589.1", "ISBN" : "08948755 (ISSN)", "ISSN" : "08948755", "abstract" : "A workshop on enhancing climate change indices in South America was held in Macei\u00f3, Brazil, in August 2004. Scientists from eight southern countries brought daily climatological data from their region for a meticulous assessment of data quality and homogeneity, and for the preparation of climate change indices that can be used for analyses of changes in climate extremes. This study presents an examination of the trends over 1960-2000 in the indices of daily temperature extremes. The results indicate no consistent changes in the indices based on daily maximum temperature while significant trends were found in the indices based on daily minimum temperature. Significant increasing trends in the percentage of warm nights and decreasing trends in the percentage of cold nights were observed at many stations. It seems that this warming is mostly due to more warm nights and fewer cold nights during the summer (December-February) and fall (March-May). The stations with significant trends appear to be located closer to the west and east coasts of South America. \u00a9 2005 American Meteorological Society.", "author" : [ { "dropping-particle" : "", "family" : "Vincent", "given" : "Lucie A.", "non-dropping-particle" : "", "parse-names" : false, "suffix" : "" }, { "dropping-particle" : "", "family" : "Peterson", "given" : "T. C.", "non-dropping-particle" : "", "parse-names" : false, "suffix" : "" }, { "dropping-particle" : "", "family" : "Barros", "given" : "V. R.", "non-dropping-particle" : "", "parse-names" : false, "suffix" : "" }, { "dropping-particle" : "", "family" : "Marino", "given" : "M. B.", "non-dropping-particle" : "", "parse-names" : false, "suffix" : "" }, { "dropping-particle" : "", "family" : "Rusticucci", "given" : "M.", "non-dropping-particle" : "", "parse-names" : false, "suffix" : "" }, { "dropping-particle" : "", "family" : "Carrasco", "given" : "G.", "non-dropping-particle" : "", "parse-names" : false, "suffix" : "" }, { "dropping-particle" : "", "family" : "Ramirez", "given" : "E.", "non-dropping-particle" : "", "parse-names" : false, "suffix" : "" }, { "dropping-particle" : "", "family" : "Alves", "given" : "L. M.", "non-dropping-particle" : "", "parse-names" : false, "suffix" : "" }, { "dropping-particle" : "", "family" : "Ambrizzi", "given" : "T.", "non-dropping-particle" : "", "parse-names" : false, "suffix" : "" }, { "dropping-particle" : "", "family" : "Berlato", "given" : "M. A.", "non-dropping-particle" : "", "parse-names" : false, "suffix" : "" }, { "dropping-particle" : "", "family" : "Grimm", "given" : "A. M.", "non-dropping-particle" : "", "parse-names" : false, "suffix" : "" }, { "dropping-particle" : "", "family" : "Marengo", "given" : "J. A.", "non-dropping-particle" : "", "parse-names" : false, "suffix" : "" }, { "dropping-particle" : "", "family" : "Molion", "given" : "L.", "non-dropping-particle" : "", "parse-names" : false, "suffix" : "" }, { "dropping-particle" : "", "family" : "Moncunill", "given" : "D. F.", "non-dropping-particle" : "", "parse-names" : false, "suffix" : "" }, { "dropping-particle" : "", "family" : "Rebello", "given" : "E.", "non-dropping-particle" : "", "parse-names" : false, "suffix" : "" }, { "dropping-particle" : "", "family" : "Anuncia\u00e7\u00e3o", "given" : "Y. M T", "non-dropping-particle" : "", "parse-names" : false, "suffix" : "" }, { "dropping-particle" : "", "family" : "Quintana", "given" : "J.", "non-dropping-particle" : "", "parse-names" : false, "suffix" : "" }, { "dropping-particle" : "", "family" : "Santos", "given" : "J. L.", "non-dropping-particle" : "", "parse-names" : false, "suffix" : "" }, { "dropping-particle" : "", "family" : "Baez", "given" : "J.", "non-dropping-particle" : "", "parse-names" : false, "suffix" : "" }, { "dropping-particle" : "", "family" : "Coronel", "given" : "G.", "non-dropping-particle" : "", "parse-names" : false, "suffix" : "" }, { "dropping-particle" : "", "family" : "Garcia", "given" : "J.", "non-dropping-particle" : "", "parse-names" : false, "suffix" : "" }, { "dropping-particle" : "", "family" : "Trebejo", "given" : "I.", "non-dropping-particle" : "", "parse-names" : false, "suffix" : "" }, { "dropping-particle" : "", "family" : "Bidegain", "given" : "M.", "non-dropping-particle" : "", "parse-names" : false, "suffix" : "" }, { "dropping-particle" : "", "family" : "Haylock", "given" : "M. R.", "non-dropping-particle" : "", "parse-names" : false, "suffix" : "" }, { "dropping-particle" : "", "family" : "Karoly", "given" : "D.", "non-dropping-particle" : "", "parse-names" : false, "suffix" : "" } ], "container-title" : "Journal of Climate", "id" : "ITEM-3", "issue" : "23", "issued" : { "date-parts" : [ [ "2005" ] ] }, "page" : "5011-5023", "title" : "Observed trends in indices of daily temperature extremes in South America 1960-2000", "type" : "article-journal", "volume" : "18" }, "uris" : [ "http://www.mendeley.com/documents/?uuid=ab221e7e-bc44-430f-8a88-ada7ecfc0073" ] } ], "mendeley" : { "formattedCitation" : "(Victoria et al. 1998, Malhi and Wright 2004, Vincent et al. 2005)", "manualFormatting" : "(Victoria et al., 1998, Malhi and Wright 2004, Vincent et al., 2005)", "plainTextFormattedCitation" : "(Victoria et al. 1998, Malhi and Wright 2004, Vincent et al. 2005)", "previouslyFormattedCitation" : "(Victoria et al. 1998, Malhi and Wright 2004, Vincent et al. 2005)" }, "properties" : { "noteIndex" : 0 }, "schema" : "https://github.com/citation-style-language/schema/raw/master/csl-citation.json" }</w:instrText>
      </w:r>
      <w:r w:rsidRPr="008608AA">
        <w:rPr>
          <w:rFonts w:eastAsia="Calibri"/>
        </w:rPr>
        <w:fldChar w:fldCharType="separate"/>
      </w:r>
      <w:r w:rsidRPr="008608AA">
        <w:rPr>
          <w:rFonts w:eastAsia="Calibri"/>
          <w:noProof/>
        </w:rPr>
        <w:t xml:space="preserve">(Victoria et al., 1998, Malhi </w:t>
      </w:r>
      <w:r w:rsidR="00183764" w:rsidRPr="008608AA">
        <w:rPr>
          <w:rFonts w:eastAsia="Calibri"/>
          <w:noProof/>
        </w:rPr>
        <w:t>&amp;</w:t>
      </w:r>
      <w:r w:rsidRPr="008608AA">
        <w:rPr>
          <w:rFonts w:eastAsia="Calibri"/>
          <w:noProof/>
        </w:rPr>
        <w:t xml:space="preserve"> Wright</w:t>
      </w:r>
      <w:r w:rsidR="00183764" w:rsidRPr="008608AA">
        <w:rPr>
          <w:rFonts w:eastAsia="Calibri"/>
          <w:noProof/>
        </w:rPr>
        <w:t>, 2004;</w:t>
      </w:r>
      <w:r w:rsidRPr="008608AA">
        <w:rPr>
          <w:rFonts w:eastAsia="Calibri"/>
          <w:noProof/>
        </w:rPr>
        <w:t xml:space="preserve"> Vincent et al., 2005)</w:t>
      </w:r>
      <w:r w:rsidRPr="008608AA">
        <w:rPr>
          <w:rFonts w:eastAsia="Calibri"/>
        </w:rPr>
        <w:fldChar w:fldCharType="end"/>
      </w:r>
      <w:r w:rsidRPr="008608AA">
        <w:rPr>
          <w:rFonts w:eastAsia="Calibri"/>
        </w:rPr>
        <w:t xml:space="preserve"> and is more intense during the dry season than the wet season </w:t>
      </w:r>
      <w:r w:rsidRPr="008608AA">
        <w:rPr>
          <w:rFonts w:eastAsia="Calibri"/>
        </w:rPr>
        <w:fldChar w:fldCharType="begin" w:fldLock="1"/>
      </w:r>
      <w:r w:rsidRPr="008608AA">
        <w:rPr>
          <w:rFonts w:eastAsia="Calibri"/>
        </w:rPr>
        <w:instrText>ADDIN CSL_CITATION { "citationItems" : [ { "id" : "ITEM-1", "itemData" : { "DOI" : "10.1002/2014GB005080.Received", "author" : [ { "dropping-particle" : "", "family" : "Gloor", "given" : "M", "non-dropping-particle" : "", "parse-names" : false, "suffix" : "" }, { "dropping-particle" : "", "family" : "Barichivich", "given" : "J", "non-dropping-particle" : "", "parse-names" : false, "suffix" : "" }, { "dropping-particle" : "", "family" : "Ziv", "given" : "G", "non-dropping-particle" : "", "parse-names" : false, "suffix" : "" }, { "dropping-particle" : "", "family" : "Brienen", "given" : "R", "non-dropping-particle" : "", "parse-names" : false, "suffix" : "" }, { "dropping-particle" : "", "family" : "Sch\u00f6ngart", "given" : "J", "non-dropping-particle" : "", "parse-names" : false, "suffix" : "" }, { "dropping-particle" : "", "family" : "Peylin", "given" : "P", "non-dropping-particle" : "", "parse-names" : false, "suffix" : "" } ], "id" : "ITEM-1", "issued" : { "date-parts" : [ [ "2015" ] ] }, "title" : "Recent Amazon climate as background for possible ongoing Special Section :", "type" : "article-journal" }, "uris" : [ "http://www.mendeley.com/documents/?uuid=66618b84-d9e4-441d-bbb0-365d63a0d606" ] } ], "mendeley" : { "formattedCitation" : "(Gloor et al. 2015)", "manualFormatting" : "(Gloor et al., 2015)", "plainTextFormattedCitation" : "(Gloor et al. 2015)", "previouslyFormattedCitation" : "(Gloor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(Gloor et al., 2015)</w:t>
      </w:r>
      <w:r w:rsidRPr="008608AA">
        <w:rPr>
          <w:rFonts w:eastAsia="Calibri"/>
        </w:rPr>
        <w:fldChar w:fldCharType="end"/>
      </w:r>
      <w:r w:rsidR="00C45D57" w:rsidRPr="008608AA">
        <w:rPr>
          <w:rFonts w:eastAsia="Calibri"/>
        </w:rPr>
        <w:t xml:space="preserve">. </w:t>
      </w:r>
      <w:r w:rsidRPr="008608AA">
        <w:rPr>
          <w:rFonts w:eastAsia="Calibri"/>
        </w:rPr>
        <w:t xml:space="preserve">Trends in long-term precipitation patterns and their link to climate change (as opposed to Pacific Decadal Oscillation and El Niño Southern Oscillation) are less clear </w:t>
      </w:r>
      <w:r w:rsidRPr="008608AA">
        <w:rPr>
          <w:rFonts w:eastAsia="Calibri"/>
        </w:rPr>
        <w:fldChar w:fldCharType="begin" w:fldLock="1"/>
      </w:r>
      <w:r w:rsidRPr="008608AA">
        <w:rPr>
          <w:rFonts w:eastAsia="Calibri"/>
        </w:rPr>
        <w:instrText>ADDIN CSL_CITATION { "citationItems" : [ { "id" : "ITEM-1", "itemData" : { "DOI" : "10.1007/s00704-009-0133-x", "ISBN" : "0177-798X", "ISSN" : "0177798X", "abstract" : "Rainfall series at 18 stations along the major rivers of the Brazilian Amazon Basin, having data since 1920s or 1930s, are analyzed to verify if there are appreciable long-term trends. Annual, rainy-season, and dry-season rainfalls are individually analyzed for each station and for the region as a whole. Some stations showed positive trends and some negative trends. The trends in the annual rainfall are significant at only six stations, five of which reporting increasing trends (Barcelos, Belem, Manaus, Rio Branco, and Soure stations) and just one (Itaituba station) reporting decreasing trend. The climatological values of rainfall before and after 1970 show significant differences at six stations (Barcelos, Belem, Benjamin Constant, Iaurete, Itaituba, and Soure). The region as a whole shows an insignificant and weak downward trend; therefore, we cannot affirm that the rainfall in the Brazilian Amazon basin is experiencing a significant change, except at a few individual stations. Subregions with upward and downward trends are interspersed in space from the far eastern Amazon to western Amazon. Most of the seasonal trends follow the annual trends, thus, indicating a certain consistency in the datasets and analysis.", "author" : [ { "dropping-particle" : "", "family" : "Satyamurty", "given" : "Prakki", "non-dropping-particle" : "", "parse-names" : false, "suffix" : "" }, { "dropping-particle" : "", "family" : "Castro", "given" : "Aline Anderson", "non-dropping-particle" : "De", "parse-names" : false, "suffix" : "" }, { "dropping-particle" : "", "family" : "Tota", "given" : "Julio", "non-dropping-particle" : "", "parse-names" : false, "suffix" : "" }, { "dropping-particle" : "", "family" : "Silva Gularte", "given" : "Lucia Eliane", "non-dropping-particle" : "Da", "parse-names" : false, "suffix" : "" }, { "dropping-particle" : "", "family" : "Manzi", "given" : "Antonio Ocimar", "non-dropping-particle" : "", "parse-names" : false, "suffix" : "" } ], "container-title" : "Theoretical and Applied Climatology", "id" : "ITEM-1", "issue" : "1-2", "issued" : { "date-parts" : [ [ "2010" ] ] }, "page" : "139-148", "title" : "Rainfall trends in the Brazilian Amazon Basin in the past eight decades", "type" : "article-journal", "volume" : "99" }, "uris" : [ "http://www.mendeley.com/documents/?uuid=7c5fd606-8b24-4fc1-a510-3be89567a264" ] }, { "id" : "ITEM-2", "itemData" : { "DOI" : "10.1007/s00704-004-0045-8", "ISSN" : "0177-798X", "author" : [ { "dropping-particle" : "", "family" : "Marengo", "given" : "J. A.", "non-dropping-particle" : "", "parse-names" : false, "suffix" : "" } ], "container-title" : "Theoretical and Applied Climatology", "id" : "ITEM-2", "issue" : "1-3", "issued" : { "date-parts" : [ [ "2004", "6", "27" ] ] }, "page" : "79-96", "title" : "Interdecadal variability and trends of rainfall across the Amazon basin", "type" : "article-journal", "volume" : "78" }, "uris" : [ "http://www.mendeley.com/documents/?uuid=a70a1746-24e1-3c3d-8aaf-1c20b865421c" ] } ], "mendeley" : { "formattedCitation" : "(Marengo 2004, Satyamurty et al. 2010)", "manualFormatting" : "(Marengo 2004, Satyamurty et al., 2010)", "plainTextFormattedCitation" : "(Marengo 2004, Satyamurty et al. 2010)", "previouslyFormattedCitation" : "(Marengo 2004, Satyamurty et al. 2010)" }, "properties" : { "noteIndex" : 0 }, "schema" : "https://github.com/citation-style-language/schema/raw/master/csl-citation.json" }</w:instrText>
      </w:r>
      <w:r w:rsidRPr="008608AA">
        <w:rPr>
          <w:rFonts w:eastAsia="Calibri"/>
        </w:rPr>
        <w:fldChar w:fldCharType="separate"/>
      </w:r>
      <w:r w:rsidRPr="008608AA">
        <w:rPr>
          <w:rFonts w:eastAsia="Calibri"/>
          <w:noProof/>
        </w:rPr>
        <w:t>(Marengo</w:t>
      </w:r>
      <w:r w:rsidR="00183764" w:rsidRPr="008608AA">
        <w:rPr>
          <w:rFonts w:eastAsia="Calibri"/>
          <w:noProof/>
        </w:rPr>
        <w:t>, 2004;</w:t>
      </w:r>
      <w:r w:rsidRPr="008608AA">
        <w:rPr>
          <w:rFonts w:eastAsia="Calibri"/>
          <w:noProof/>
        </w:rPr>
        <w:t xml:space="preserve"> Satyamurty et al., 2010)</w:t>
      </w:r>
      <w:r w:rsidRPr="008608AA">
        <w:rPr>
          <w:rFonts w:eastAsia="Calibri"/>
        </w:rPr>
        <w:fldChar w:fldCharType="end"/>
      </w:r>
      <w:r w:rsidR="00C45D57" w:rsidRPr="008608AA">
        <w:rPr>
          <w:rFonts w:eastAsia="Calibri"/>
        </w:rPr>
        <w:t xml:space="preserve">. </w:t>
      </w:r>
      <w:r w:rsidRPr="008608AA">
        <w:rPr>
          <w:rFonts w:eastAsia="Calibri"/>
        </w:rPr>
        <w:t xml:space="preserve">However, Gloor et al. (2015) showed that although annual net rainfall has increased in the area, the amount of rainfall during the dry season </w:t>
      </w:r>
      <w:r w:rsidR="00C45D57" w:rsidRPr="008608AA">
        <w:rPr>
          <w:rFonts w:eastAsia="Calibri"/>
        </w:rPr>
        <w:t xml:space="preserve">has decreased since the 1970s. </w:t>
      </w:r>
      <w:r w:rsidRPr="008608AA">
        <w:rPr>
          <w:rFonts w:eastAsia="Calibri"/>
        </w:rPr>
        <w:t xml:space="preserve">Those trends are concerning given that droughts in the tropical forests have been associated with reduced vegetation growth and browning </w:t>
      </w:r>
      <w:r w:rsidRPr="008608AA">
        <w:rPr>
          <w:rFonts w:eastAsia="Calibri"/>
        </w:rPr>
        <w:fldChar w:fldCharType="begin" w:fldLock="1"/>
      </w:r>
      <w:r w:rsidRPr="008608AA">
        <w:rPr>
          <w:rFonts w:eastAsia="Calibri"/>
        </w:rPr>
        <w:instrText>ADDIN CSL_CITATION { "citationItems" : [ { "id" : "ITEM-1", "itemData" : { "DOI" : "10.1016/j.rse.2015.10.015", "ISSN" : "00344257", "abstract" : "Seasonality and drought in Amazon rainforests have been controversially discussed in the literature, partially due to a limited ability of current remote sensing techniques to detect its impacts on tropical vegetation. We use a multi-angle remote sensing approach to determine changes in vegetation structure from differences in directional scattering (anisotropy) observed by the Moderate Resolution Imaging Spectroradiometer (MODIS) with data atmospherically corrected by the Multi-Angle Implementation Atmospheric Correction Algorithm (MAIAC). Our results show a strong linear relationship between anisotropy and field (r2=0.70) and LiDAR (r2=0.88) based estimates of LAI even in dense canopies (LAI\u22647m2m-2). This allowed us to obtain improved estimates of vegetation structure from optical remote sensing. We used anisotropy to analyze Amazon seasonality based on spatially explicit estimates of onset and length of dry season obtained from the Tropical Rainfall Measurement Mission (TRMM). An increase in vegetation greening was observed during the beginning of dry season (across ~7% of the basin), which was followed by a decline (browning) later during the dry season (across ~5% of the basin). Anomalies in vegetation browning were particularly strong during the 2005 and 2010 drought years (~10% of the basin). We show that the magnitude of seasonal changes can be significantly affected by regional differences in onset and duration of the dry season. Seasonal changes were much less pronounced when assuming a fixed dry season from June through September across the Amazon Basin. Our findings reconcile remote sensing studies with field based observations and model results as they provide a sounder basis for the argument that tropical vegetation growth increases during the beginning of the dry season, but declines after extended drought periods. The multi-angle approach used in this work may help quantify drought tolerance and seasonality in the Amazonian forests.", "author" : [ { "dropping-particle" : "", "family" : "Moura", "given" : "Yhasmin Mendes", "non-dropping-particle" : "de", "parse-names" : false, "suffix" : "" }, { "dropping-particle" : "", "family" : "Hilker", "given" : "Thomas", "non-dropping-particle" : "", "parse-names" : false, "suffix" : "" }, { "dropping-particle" : "", "family" : "Lyapustin", "given" : "Alexei I.", "non-dropping-particle" : "", "parse-names" : false, "suffix" : "" }, { "dropping-particle" : "", "family" : "Galv\u00e3o", "given" : "L\u00eanio Soares", "non-dropping-particle" : "", "parse-names" : false, "suffix" : "" }, { "dropping-particle" : "", "family" : "Santos", "given" : "Jo\u00e3o Roberto", "non-dropping-particle" : "dos", "parse-names" : false, "suffix" : "" }, { "dropping-particle" : "", "family" : "Anderson", "given" : "Liana O.", "non-dropping-particle" : "", "parse-names" : false, "suffix" : "" }, { "dropping-particle" : "", "family" : "Sousa", "given" : "C\u00e9lio Helder Resende", "non-dropping-particle" : "de", "parse-names" : false, "suffix" : "" }, { "dropping-particle" : "", "family" : "Arai", "given" : "Egidio", "non-dropping-particle" : "", "parse-names" : false, "suffix" : "" } ], "container-title" : "Remote Sensing of Environment", "id" : "ITEM-1", "issued" : { "date-parts" : [ [ "2015" ] ] }, "page" : "278-290", "publisher" : "Elsevier Inc.", "title" : "Seasonality and drought effects of Amazonian forests observed from multi-angle satellite data", "type" : "article-journal", "volume" : "171" }, "uris" : [ "http://www.mendeley.com/documents/?uuid=c384aa69-61d2-4ebc-9f93-628a1b5aa2f4" ] } ], "mendeley" : { "formattedCitation" : "(de Moura et al. 2015)", "manualFormatting" : "(de Moura et al., 2015)", "plainTextFormattedCitation" : "(de Moura et al. 2015)", "previouslyFormattedCitation" : "(de Moura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(de Moura et al., 2015)</w:t>
      </w:r>
      <w:r w:rsidRPr="008608AA">
        <w:rPr>
          <w:rFonts w:eastAsia="Calibri"/>
        </w:rPr>
        <w:fldChar w:fldCharType="end"/>
      </w:r>
      <w:r w:rsidRPr="008608AA">
        <w:rPr>
          <w:rFonts w:eastAsia="Calibri"/>
        </w:rPr>
        <w:t xml:space="preserve">, slow canopy recovery times </w:t>
      </w:r>
      <w:r w:rsidRPr="008608AA">
        <w:rPr>
          <w:rFonts w:eastAsia="Calibri"/>
        </w:rPr>
        <w:fldChar w:fldCharType="begin" w:fldLock="1"/>
      </w:r>
      <w:r w:rsidRPr="008608AA">
        <w:rPr>
          <w:rFonts w:eastAsia="Calibri"/>
        </w:rPr>
        <w:instrText>ADDIN CSL_CITATION { "citationItems" : [ { "id" : "ITEM-1", "itemData" : { "DOI" : "10.1073/pnas.1204651110", "ISBN" : "0027-8424", "ISSN" : "1091-6490", "PMID" : "23267086", "abstract" : "Recent Amazonian droughts have drawn attention to the vulnerability of tropical forests to climate perturbations. Satellite and in situ observations have shown an increase in fire occurrence during drought years and tree mortality following severe droughts, but to date there has been no assessment of long-term impacts of these droughts across landscapes in Amazonia. Here, we use satellite microwave observations of rainfall and canopy backscatter to show that more than 70 million hectares of forest in western Amazonia experienced a strong water deficit during the dry season of 2005 and a closely corresponding decline in canopy structure and moisture. Remarkably, and despite the gradual recovery in total rainfall in subsequent years, the decrease in canopy backscatter persisted until the next major drought, in 2010. The decline in backscatter is attributed to changes in structure and water content associated with the forest upper canopy. The persistence of low backscatter supports the slow recovery (&gt;4 y) of forest canopy structure after the severe drought in 2005. The result suggests that the occurrence of droughts in Amazonia at 5-10 y frequency may lead to persistent alteration of the forest canopy.", "author" : [ { "dropping-particle" : "", "family" : "Saatchi", "given" : "Sassan", "non-dropping-particle" : "", "parse-names" : false, "suffix" : "" }, { "dropping-particle" : "", "family" : "Asefi-Najafabady", "given" : "Salvi", "non-dropping-particle" : "", "parse-names" : false, "suffix" : "" }, { "dropping-particle" : "", "family" : "Malhi", "given" : "Yadvinder", "non-dropping-particle" : "", "parse-names" : false, "suffix" : "" }, { "dropping-particle" : "", "family" : "Arag\u00e3o", "given" : "Luiz E O C", "non-dropping-particle" : "", "parse-names" : false, "suffix" : "" }, { "dropping-particle" : "", "family" : "Anderson", "given" : "Liana O", "non-dropping-particle" : "", "parse-names" : false, "suffix" : "" }, { "dropping-particle" : "", "family" : "Myneni", "given" : "Ranga B", "non-dropping-particle" : "", "parse-names" : false, "suffix" : "" }, { "dropping-particle" : "", "family" : "Nemani", "given" : "Ramakrishna", "non-dropping-particle" : "", "parse-names" : false, "suffix" : "" } ], "container-title" : "Proceedings of the National Academy of Sciences of the United States of America", "id" : "ITEM-1", "issue" : "2", "issued" : { "date-parts" : [ [ "2013" ] ] }, "page" : "565-70", "title" : "Persistent effects of a severe drought on Amazonian forest canopy", "type" : "article-journal", "volume" : "110" }, "uris" : [ "http://www.mendeley.com/documents/?uuid=0efba8a6-c0a8-4de8-8d1e-a43485f6e7b0" ] } ], "mendeley" : { "formattedCitation" : "(Saatchi et al. 2013)", "manualFormatting" : "(Saatchi et al., 2013)", "plainTextFormattedCitation" : "(Saatchi et al. 2013)", "previouslyFormattedCitation" : "(Saatchi et al. 2013)" }, "properties" : { "noteIndex" : 0 }, "schema" : "https://github.com/citation-style-language/schema/raw/master/csl-citation.json" }</w:instrText>
      </w:r>
      <w:r w:rsidRPr="008608AA">
        <w:rPr>
          <w:rFonts w:eastAsia="Calibri"/>
        </w:rPr>
        <w:fldChar w:fldCharType="separate"/>
      </w:r>
      <w:r w:rsidRPr="008608AA">
        <w:rPr>
          <w:rFonts w:eastAsia="Calibri"/>
          <w:noProof/>
        </w:rPr>
        <w:t>(Saatchi et al., 2013)</w:t>
      </w:r>
      <w:r w:rsidRPr="008608AA">
        <w:rPr>
          <w:rFonts w:eastAsia="Calibri"/>
        </w:rPr>
        <w:fldChar w:fldCharType="end"/>
      </w:r>
      <w:r w:rsidRPr="008608AA">
        <w:rPr>
          <w:rFonts w:eastAsia="Calibri"/>
        </w:rPr>
        <w:t xml:space="preserve">, reduced above ground live biomass </w:t>
      </w:r>
      <w:r w:rsidRPr="008608AA">
        <w:rPr>
          <w:rFonts w:eastAsia="Calibri"/>
        </w:rPr>
        <w:fldChar w:fldCharType="begin" w:fldLock="1"/>
      </w:r>
      <w:r w:rsidRPr="008608AA">
        <w:rPr>
          <w:rFonts w:eastAsia="Calibri"/>
        </w:rPr>
        <w:instrText>ADDIN CSL_CITATION { "citationItems" : [ { "id" : "ITEM-1", "itemData" : { "DOI" : "10.1073/pnas.1204651110", "ISBN" : "0027-8424", "ISSN" : "1091-6490", "PMID" : "23267086", "abstract" : "Recent Amazonian droughts have drawn attention to the vulnerability of tropical forests to climate perturbations. Satellite and in situ observations have shown an increase in fire occurrence during drought years and tree mortality following severe droughts, but to date there has been no assessment of long-term impacts of these droughts across landscapes in Amazonia. Here, we use satellite microwave observations of rainfall and canopy backscatter to show that more than 70 million hectares of forest in western Amazonia experienced a strong water deficit during the dry season of 2005 and a closely corresponding decline in canopy structure and moisture. Remarkably, and despite the gradual recovery in total rainfall in subsequent years, the decrease in canopy backscatter persisted until the next major drought, in 2010. The decline in backscatter is attributed to changes in structure and water content associated with the forest upper canopy. The persistence of low backscatter supports the slow recovery (&gt;4 y) of forest canopy structure after the severe drought in 2005. The result suggests that the occurrence of droughts in Amazonia at 5-10 y frequency may lead to persistent alteration of the forest canopy.", "author" : [ { "dropping-particle" : "", "family" : "Saatchi", "given" : "Sassan", "non-dropping-particle" : "", "parse-names" : false, "suffix" : "" }, { "dropping-particle" : "", "family" : "Asefi-Najafabady", "given" : "Salvi", "non-dropping-particle" : "", "parse-names" : false, "suffix" : "" }, { "dropping-particle" : "", "family" : "Malhi", "given" : "Yadvinder", "non-dropping-particle" : "", "parse-names" : false, "suffix" : "" }, { "dropping-particle" : "", "family" : "Arag\u00e3o", "given" : "Luiz E O C", "non-dropping-particle" : "", "parse-names" : false, "suffix" : "" }, { "dropping-particle" : "", "family" : "Anderson", "given" : "Liana O", "non-dropping-particle" : "", "parse-names" : false, "suffix" : "" }, { "dropping-particle" : "", "family" : "Myneni", "given" : "Ranga B", "non-dropping-particle" : "", "parse-names" : false, "suffix" : "" }, { "dropping-particle" : "", "family" : "Nemani", "given" : "Ramakrishna", "non-dropping-particle" : "", "parse-names" : false, "suffix" : "" } ], "container-title" : "Proceedings of the National Academy of Sciences of the United States of America", "id" : "ITEM-1", "issue" : "2", "issued" : { "date-parts" : [ [ "2013" ] ] }, "page" : "565-70", "title" : "Persistent effects of a severe drought on Amazonian forest canopy", "type" : "article-journal", "volume" : "110" }, "uris" : [ "http://www.mendeley.com/documents/?uuid=0efba8a6-c0a8-4de8-8d1e-a43485f6e7b0" ] } ], "mendeley" : { "formattedCitation" : "(Saatchi et al. 2013)", "manualFormatting" : "(Saatchi et al., 2013)", "plainTextFormattedCitation" : "(Saatchi et al. 2013)", "previouslyFormattedCitation" : "(Saatchi et al. 2013)" }, "properties" : { "noteIndex" : 0 }, "schema" : "https://github.com/citation-style-language/schema/raw/master/csl-citation.json" }</w:instrText>
      </w:r>
      <w:r w:rsidRPr="008608AA">
        <w:rPr>
          <w:rFonts w:eastAsia="Calibri"/>
        </w:rPr>
        <w:fldChar w:fldCharType="separate"/>
      </w:r>
      <w:r w:rsidRPr="008608AA">
        <w:rPr>
          <w:rFonts w:eastAsia="Calibri"/>
          <w:noProof/>
        </w:rPr>
        <w:t>(Saatchi et al., 2013)</w:t>
      </w:r>
      <w:r w:rsidRPr="008608AA">
        <w:rPr>
          <w:rFonts w:eastAsia="Calibri"/>
        </w:rPr>
        <w:fldChar w:fldCharType="end"/>
      </w:r>
      <w:r w:rsidRPr="008608AA">
        <w:rPr>
          <w:rFonts w:eastAsia="Calibri"/>
        </w:rPr>
        <w:t xml:space="preserve">, and accelerated tree mortality over large areas </w:t>
      </w:r>
      <w:r w:rsidRPr="008608AA">
        <w:rPr>
          <w:rFonts w:eastAsia="Calibri"/>
        </w:rPr>
        <w:fldChar w:fldCharType="begin" w:fldLock="1"/>
      </w:r>
      <w:r w:rsidRPr="008608AA">
        <w:rPr>
          <w:rFonts w:eastAsia="Calibri"/>
        </w:rPr>
        <w:instrText>ADDIN CSL_CITATION { "citationItems" : [ { "id" : "ITEM-1", "itemData" : { "author" : [ { "dropping-particle" : "", "family" : "Phillips", "given" : "Oliver L", "non-dropping-particle" : "", "parse-names" : false, "suffix" : "" }, { "dropping-particle" : "", "family" : "Arag\u00e3o", "given" : "Luiz E O C", "non-dropping-particle" : "", "parse-names" : false, "suffix" : "" }, { "dropping-particle" : "", "family" : "Lewis", "given" : "Simon L", "non-dropping-particle" : "", "parse-names" : false, "suffix" : "" }, { "dropping-particle" : "", "family" : "Fisher", "given" : "Joshua B", "non-dropping-particle" : "", "parse-names" : false, "suffix" : "" }, { "dropping-particle" : "", "family" : "Lloyd", "given" : "Jon", "non-dropping-particle" : "", "parse-names" : false, "suffix" : "" }, { "dropping-particle" : "", "family" : "L\u00f3pez-gonz\u00e1lez", "given" : "Gabriela", "non-dropping-particle" : "", "parse-names" : false, "suffix" : "" }, { "dropping-particle" : "", "family" : "Malhi", "given" : "Yadvinder", "non-dropping-particle" : "", "parse-names" : false, "suffix" : "" }, { "dropping-particle" : "", "family" : "Monteagudo", "given" : "Abel", "non-dropping-particle" : "", "parse-names" : false, "suffix" : "" }, { "dropping-particle" : "", "family" : "Peacock", "given" : "Julie", "non-dropping-particle" : "", "parse-names" : false, "suffix" : "" }, { "dropping-particle" : "", "family" : "Quesada", "given" : "Carlos A", "non-dropping-particle" : "", "parse-names" : false, "suffix" : "" }, { "dropping-particle" : "Van Der", "family" : "Heijden", "given" : "Geertje", "non-dropping-particle" : "", "parse-names" : false, "suffix" : "" }, { "dropping-particle" : "", "family" : "Almeida", "given" : "Samuel", "non-dropping-particle" : "", "parse-names" : false, "suffix" : "" }, { "dropping-particle" : "", "family" : "Amaral", "given" : "I\u00eada", "non-dropping-particle" : "", "parse-names" : false, "suffix" : "" }, { "dropping-particle" : "", "family" : "Arroyo", "given" : "Luzmila", "non-dropping-particle" : "", "parse-names" : false, "suffix" : "" }, { "dropping-particle" : "", "family" : "Aymard", "given" : "Gerardo", "non-dropping-particle" : "", "parse-names" : false, "suffix" : "" }, { "dropping-particle" : "", "family" : "Tim", "given" : "R", "non-dropping-particle" : "", "parse-names" : false, "suffix" : "" }, { "dropping-particle" : "", "family" : "B\u00e1nki", "given" : "Olaf", "non-dropping-particle" : "", "parse-names" : false, "suffix" : "" }, { "dropping-particle" : "", "family" : "Blanc", "given" : "Lilian", "non-dropping-particle" : "", "parse-names" : false, "suffix" : "" }, { "dropping-particle" : "", "family" : "Bonal", "given" : "Damien", "non-dropping-particle" : "", "parse-names" : false, "suffix" : "" }, { "dropping-particle" : "", "family" : "Brando", "given" : "Paulo", "non-dropping-particle" : "", "parse-names" : false, "suffix" : "" }, { "dropping-particle" : "", "family" : "Chave", "given" : "Jerome", "non-dropping-particle" : "", "parse-names" : false, "suffix" : "" }, { "dropping-particle" : "", "family" : "Cristina", "given" : "\u00c1tila", "non-dropping-particle" : "", "parse-names" : false, "suffix" : "" }, { "dropping-particle" : "De", "family" : "Oliveira", "given" : "Alves", "non-dropping-particle" : "", "parse-names" : false, "suffix" : "" }, { "dropping-particle" : "", "family" : "Cardozo", "given" : "Nallaret D\u00e1vila", "non-dropping-particle" : "", "parse-names" : false, "suffix" : "" }, { "dropping-particle" : "", "family" : "Czimczik", "given" : "Claudia I", "non-dropping-particle" : "", "parse-names" : false, "suffix" : "" }, { "dropping-particle" : "", "family" : "Science", "given" : "Source", "non-dropping-particle" : "", "parse-names" : false, "suffix" : "" }, { "dropping-particle" : "", "family" : "Series", "given" : "New", "non-dropping-particle" : "", "parse-names" : false, "suffix" : "" }, { "dropping-particle" : "", "family" : "Mar", "given" : "No", "non-dropping-particle" : "", "parse-names" : false, "suffix" : "" }, { "dropping-particle" : "", "family" : "Phillips", "given" : "Oliver L", "non-dropping-particle" : "", "parse-names" : false, "suffix" : "" }, { "dropping-particle" : "", "family" : "Aragao", "given" : "Luiz E C", "non-dropping-particle" : "", "parse-names" : false, "suffix" : "" }, { "dropping-particle" : "", "family" : "Lewis", "given" : "Simon L", "non-dropping-particle" : "", "parse-names" : false, "suffix" : "" }, { "dropping-particle" : "", "family" : "Fisher", "given" : "Joshua B", "non-dropping-particle" : "", "parse-names" : false, "suffix" : "" }, { "dropping-particle" : "", "family" : "Lloyd", "given" : "Jon", "non-dropping-particle" : "", "parse-names" : false, "suffix" : "" }, { "dropping-particle" : "", "family" : "Lopez-gonzalez", "given" : "Ga", "non-dropping-particle" : "", "parse-names" : false, "suffix" : "" }, { "dropping-particle" : "", "family" : "Malhi", "given" : "Yadvinder", "non-dropping-particle" : "", "parse-names" : false, "suffix" : "" }, { "dropping-particle" : "", "family" : "Monteagudo", "given" : "Abel", "non-dropping-particle" : "", "parse-names" : false, "suffix" : "" }, { "dropping-particle" : "", "family" : "Peacock", "given" : "Julie", "non-dropping-particle" : "", "parse-names" : false, "suffix" : "" }, { "dropping-particle" : "Der", "family" : "Heijden", "given" : "Van", "non-dropping-particle" : "", "parse-names" : false, "suffix" : "" }, { "dropping-particle" : "", "family" : "Baker", "given" : "Tim R", "non-dropping-particle" : "", "parse-names" : false, "suffix" : "" }, { "dropping-particle" : "", "family" : "Ba", "given" : "Olaf", "non-dropping-particle" : "", "parse-names" : false, "suffix" : "" }, { "dropping-particle" : "", "family" : "Cristina", "given" : "Atila", "non-dropping-particle" : "", "parse-names" : false, "suffix" : "" }, { "dropping-particle" : "", "family" : "Chave", "given" : "Jerome", "non-dropping-particle" : "", "parse-names" : false, "suffix" : "" }, { "dropping-particle" : "", "family" : "Blanc", "given" : "Lilian", "non-dropping-particle" : "", "parse-names" : false, "suffix" : "" }, { "dropping-particle" : "", "family" : "Gloor", "given" : "Emanuel", "non-dropping-particle" : "", "parse-names" : false, "suffix" : "" }, { "dropping-particle" : "", "family" : "Higuchi", "given" : "Niro", "non-dropping-particle" : "", "parse-names" : false, "suffix" : "" }, { "dropping-particle" : "", "family" : "Jimenez", "given" : "Eliana", "non-dropping-particle" : "", "parse-names" : false, "suffix" : "" }, { "dropping-particle" : "", "family" : "Lloyd", "given" : "Gareth", "non-dropping-particle" : "", "parse-names" : false, "suffix" : "" }, { "dropping-particle" : "", "family" : "Meir", "given" : "Patrick", "non-dropping-particle" : "", "parse-names" : false, "suffix" : "" }, { "dropping-particle" : "", "family" : "Chao", "given" : "Kuo-jung", "non-dropping-particle" : "", "parse-names" : false, "suffix" : "" }, { "dropping-particle" : "", "family" : "Erwin", "given" : "Terry", "non-dropping-particle" : "", "parse-names" : false, "suffix" : "" }, { "dropping-particle" : "Di", "family" : "Fiore", "given" : "Anthony", "non-dropping-particle" : "", "parse-names" : false, "suffix" : "" }, { "dropping-particle" : "", "family" : "C", "given" : "Euridice Honorio", "non-dropping-particle" : "", "parse-names" : false, "suffix" : "" }, { "dropping-particle" : "", "family" : "Keeling", "given" : "Helen", "non-dropping-particle" : "", "parse-names" : false, "suffix" : "" }, { "dropping-particle" : "", "family" : "Killeen", "given" : "Tim", "non-dropping-particle" : "", "parse-names" : false, "suffix" : "" }, { "dropping-particle" : "", "family" : "Laurance", "given" : "William F", "non-dropping-particle" : "", "parse-names" : false, "suffix" : "" }, { "dropping-particle" : "", "family" : "Cruz", "given" : "Antonio Pena", "non-dropping-particle" : "", "parse-names" : false, "suffix" : "" }, { "dropping-particle" : "", "family" : "Pitman", "given" : "Nigel C A", "non-dropping-particle" : "", "parse-names" : false, "suffix" : "" } ], "container-title" : "Science", "id" : "ITEM-1", "issued" : { "date-parts" : [ [ "2009" ] ] }, "page" : "1344-1347", "title" : "Drought Sensitivity of the Amazon Rainforest", "type" : "article-journal", "volume" : "323" }, "uris" : [ "http://www.mendeley.com/documents/?uuid=627f1ed2-500d-4fe9-b4cb-a338963670cf" ] } ], "mendeley" : { "formattedCitation" : "(Phillips et al. 2009)", "manualFormatting" : "(Phillips et al., 2009)", "plainTextFormattedCitation" : "(Phillips et al. 2009)", "previouslyFormattedCitation" : "(Phillips et al. 2009)" }, "properties" : { "noteIndex" : 0 }, "schema" : "https://github.com/citation-style-language/schema/raw/master/csl-citation.json" }</w:instrText>
      </w:r>
      <w:r w:rsidRPr="008608AA">
        <w:rPr>
          <w:rFonts w:eastAsia="Calibri"/>
        </w:rPr>
        <w:fldChar w:fldCharType="separate"/>
      </w:r>
      <w:r w:rsidRPr="008608AA">
        <w:rPr>
          <w:rFonts w:eastAsia="Calibri"/>
          <w:noProof/>
        </w:rPr>
        <w:t>(Phillips et al., 2009)</w:t>
      </w:r>
      <w:r w:rsidRPr="008608AA">
        <w:rPr>
          <w:rFonts w:eastAsia="Calibri"/>
        </w:rPr>
        <w:fldChar w:fldCharType="end"/>
      </w:r>
      <w:r w:rsidR="00C45D57" w:rsidRPr="008608AA">
        <w:rPr>
          <w:rFonts w:eastAsia="Calibri"/>
        </w:rPr>
        <w:t>.</w:t>
      </w:r>
      <w:r w:rsidRPr="008608AA">
        <w:rPr>
          <w:rFonts w:eastAsia="Calibri"/>
        </w:rPr>
        <w:t xml:space="preserve"> During the wet season, the frequency of heavy rainfall events and severity of Amazon flood pulses ha</w:t>
      </w:r>
      <w:r w:rsidR="00183764" w:rsidRPr="008608AA">
        <w:rPr>
          <w:rFonts w:eastAsia="Calibri"/>
        </w:rPr>
        <w:t>s increased (Donat et al., 2013;</w:t>
      </w:r>
      <w:r w:rsidRPr="008608AA">
        <w:rPr>
          <w:rFonts w:eastAsia="Calibri"/>
        </w:rPr>
        <w:t xml:space="preserve"> </w:t>
      </w:r>
      <w:r w:rsidRPr="008608AA">
        <w:rPr>
          <w:rFonts w:eastAsia="Calibri"/>
        </w:rPr>
        <w:fldChar w:fldCharType="begin" w:fldLock="1"/>
      </w:r>
      <w:r w:rsidRPr="008608AA">
        <w:rPr>
          <w:rFonts w:eastAsia="Calibri"/>
        </w:rPr>
        <w:instrText>ADDIN CSL_CITATION { "citationItems" : [ { "id" : "ITEM-1", "itemData" : { "DOI" : "10.1002/2014GB005080.Received", "author" : [ { "dropping-particle" : "", "family" : "Gloor", "given" : "M", "non-dropping-particle" : "", "parse-names" : false, "suffix" : "" }, { "dropping-particle" : "", "family" : "Barichivich", "given" : "J", "non-dropping-particle" : "", "parse-names" : false, "suffix" : "" }, { "dropping-particle" : "", "family" : "Ziv", "given" : "G", "non-dropping-particle" : "", "parse-names" : false, "suffix" : "" }, { "dropping-particle" : "", "family" : "Brienen", "given" : "R", "non-dropping-particle" : "", "parse-names" : false, "suffix" : "" }, { "dropping-particle" : "", "family" : "Sch\u00f6ngart", "given" : "J", "non-dropping-particle" : "", "parse-names" : false, "suffix" : "" }, { "dropping-particle" : "", "family" : "Peylin", "given" : "P", "non-dropping-particle" : "", "parse-names" : false, "suffix" : "" } ], "id" : "ITEM-1", "issued" : { "date-parts" : [ [ "2015" ] ] }, "title" : "Recent Amazon climate as background for possible ongoing Special Section :", "type" : "article-journal" }, "uris" : [ "http://www.mendeley.com/documents/?uuid=66618b84-d9e4-441d-bbb0-365d63a0d606" ] } ], "mendeley" : { "formattedCitation" : "(Gloor et al. 2015)", "manualFormatting" : "Gloor et al., 2015)", "plainTextFormattedCitation" : "(Gloor et al. 2015)", "previouslyFormattedCitation" : "(Gloor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Gloor et al., 2015)</w:t>
      </w:r>
      <w:r w:rsidRPr="008608AA">
        <w:rPr>
          <w:rFonts w:eastAsia="Calibri"/>
        </w:rPr>
        <w:fldChar w:fldCharType="end"/>
      </w:r>
      <w:r w:rsidRPr="008608AA">
        <w:rPr>
          <w:rFonts w:eastAsia="Calibri"/>
        </w:rPr>
        <w:t xml:space="preserve">, potentially affecting the ecology of floodplain and swamp forests in the Amazon basin.  </w:t>
      </w:r>
    </w:p>
    <w:p w14:paraId="7AEBCED4" w14:textId="44FCF767" w:rsidR="001E61A6" w:rsidRPr="008608AA" w:rsidRDefault="001E61A6" w:rsidP="00A345FC">
      <w:pPr>
        <w:spacing w:before="120"/>
        <w:rPr>
          <w:rFonts w:eastAsia="Calibri"/>
        </w:rPr>
      </w:pPr>
      <w:r w:rsidRPr="008608AA">
        <w:rPr>
          <w:rFonts w:eastAsia="Calibri"/>
        </w:rPr>
        <w:t xml:space="preserve">Climate projections suggest that both temperature and precipitation trends are likely to continue, with a substantial lengthening of the dry season by the end of the twenty-first century </w:t>
      </w:r>
      <w:r w:rsidRPr="008608AA">
        <w:rPr>
          <w:rFonts w:eastAsia="Calibri"/>
        </w:rPr>
        <w:fldChar w:fldCharType="begin" w:fldLock="1"/>
      </w:r>
      <w:r w:rsidRPr="008608AA">
        <w:rPr>
          <w:rFonts w:eastAsia="Calibri"/>
        </w:rPr>
        <w:instrText>ADDIN CSL_CITATION { "citationItems" : [ { "id" : "ITEM-1", "itemData" : { "DOI" : "10.1038/nclimate2658", "ISSN" : "1758-678X", "abstract" : "The vulnerability of Amazonian rainforest, and the ecological services it provides, depends on an adequate supply of dry-season water, either as precipitation or stored soil moisture. How the rain-bearing South American monsoon will evolve across the twenty-first century is thus a question of major interest. Extensive savanization, with its loss of forest carbon stock and uptake capacity, is an extreme although very uncertain scenario. We show that the contrasting rainfall projections simulated for Amazonia by 36 global climate models (GCMs) can be reproduced with empirical precipitation models, calibrated with historical GCM data as functions of the large-scale circulation. A set of these simple models was therefore calibrated with observations and used to constrain the GCM simulations. In agreement with the current hydrologic trends, the resulting projection towards the end of the twenty-first century is for a strengthening of the monsoon seasonal cycle, and a dry-season lengthening in southern Amazonia. With this approach, the increase in the area subjected to lengthy - savannah-prone - dry seasons is substantially larger than the GCM-simulated one. Our results confirm the dominant picture shown by the state-of-the-art GCMs, but suggest that the \u00e2 \u20ac model democracy'view of these impacts can be significantly underestimated.", "author" : [ { "dropping-particle" : "", "family" : "Boisier", "given" : "Juan P.", "non-dropping-particle" : "", "parse-names" : false, "suffix" : "" }, { "dropping-particle" : "", "family" : "Ciais", "given" : "Philippe", "non-dropping-particle" : "", "parse-names" : false, "suffix" : "" }, { "dropping-particle" : "", "family" : "Ducharne", "given" : "Agn\u00e8s", "non-dropping-particle" : "", "parse-names" : false, "suffix" : "" }, { "dropping-particle" : "", "family" : "Guimberteau", "given" : "Matthieu", "non-dropping-particle" : "", "parse-names" : false, "suffix" : "" } ], "container-title" : "Nature Climate Change", "id" : "ITEM-1", "issue" : "7", "issued" : { "date-parts" : [ [ "2015" ] ] }, "page" : "656-660", "title" : "Projected strengthening of Amazonian dry season by constrained climate model simulations", "type" : "article-journal", "volume" : "5" }, "uris" : [ "http://www.mendeley.com/documents/?uuid=cb8b199c-6069-49a5-80f6-333b4fca9816" ] } ], "mendeley" : { "formattedCitation" : "(Boisier et al. 2015)", "manualFormatting" : "(Boisier et al., 2015)", "plainTextFormattedCitation" : "(Boisier et al. 2015)", "previouslyFormattedCitation" : "(Boisier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(Boisier et al., 2015)</w:t>
      </w:r>
      <w:r w:rsidRPr="008608AA">
        <w:rPr>
          <w:rFonts w:eastAsia="Calibri"/>
        </w:rPr>
        <w:fldChar w:fldCharType="end"/>
      </w:r>
      <w:r w:rsidR="00AE3491" w:rsidRPr="008608AA">
        <w:rPr>
          <w:rFonts w:eastAsia="Calibri"/>
        </w:rPr>
        <w:t>.</w:t>
      </w:r>
      <w:r w:rsidRPr="008608AA">
        <w:rPr>
          <w:rFonts w:eastAsia="Calibri"/>
        </w:rPr>
        <w:t xml:space="preserve"> Those conditions have the potential to prevent the tropical forest distribution from moving upslope (staying restricted to wet areas) and persisting along ecotones, and could eventually cause it to convert to savannah-type vegetation in eastern portions of the basin </w:t>
      </w:r>
      <w:r w:rsidRPr="008608AA">
        <w:rPr>
          <w:rFonts w:eastAsia="Calibri"/>
        </w:rPr>
        <w:fldChar w:fldCharType="begin" w:fldLock="1"/>
      </w:r>
      <w:r w:rsidRPr="008608AA">
        <w:rPr>
          <w:rFonts w:eastAsia="Calibri"/>
        </w:rPr>
        <w:instrText>ADDIN CSL_CITATION { "citationItems" : [ { "id" : "ITEM-1", "itemData" : { "DOI" : "10.1007/s12229-014-9149-8", "ISSN" : "00068101", "abstract" : "Climate change is strong in the Amazon basin. Climate models consistently predict widespread warmer and drier conditions by the end of the 21st century. As a consequence, water stress will increase throughout the region. We here review current understanding of the impact of climate change on forests\u2019 distribution patterns, species diversity and ecosystem functioning of lowland rainforests in the Amazon basin. We reviewed 192 studies that provide empirical evidence, historical information and theoreticalmodels. Over millions of years rainforests expansions and contractions have been accompanied by changes in the diversity and productivity of forests. In the future, drought will produce forest contractions along the forest edges and the savanna ecotone, causing an extensive savannization, particularly in the east. In terms of diversity, warming will reduce plant species survival by decreasing their productivity, but extinctions may also occur as a result of vegetation disequilibrium, as many plants, dispersal and pollinator species will fail to track changing climate; mild drought kills understory trees and severe drought may eliminate canopy trees as well. Severe droughts will thus produce directional changes in species composition, although these shifts may vary among forests on different soil types. In terms of ecosystem function- ing, droughts will reduce root growth and standing biomass and may shift the Amazonian Physiological and ecological responses to warming and the feedback between vegetation and climate are still not completely understood. In particular, experimental assays that allow direct conclusions on the response of Amazonian plants to the predicted climatic conditions are needed. Such studies could make possible more reliable estimates of future climatic and vegetation responses. forest from being CO2 sinks to become CO2 sources.", "author" : [ { "dropping-particle" : "", "family" : "Olivares", "given" : "Ingrid", "non-dropping-particle" : "", "parse-names" : false, "suffix" : "" }, { "dropping-particle" : "", "family" : "Svenning", "given" : "Jens Christian", "non-dropping-particle" : "", "parse-names" : false, "suffix" : "" }, { "dropping-particle" : "", "family" : "Bodegom", "given" : "Peter M.", "non-dropping-particle" : "van", "parse-names" : false, "suffix" : "" }, { "dropping-particle" : "", "family" : "Balslev", "given" : "Henrik", "non-dropping-particle" : "", "parse-names" : false, "suffix" : "" } ], "container-title" : "Botanical Review", "id" : "ITEM-1", "issue" : "1", "issued" : { "date-parts" : [ [ "2015" ] ] }, "page" : "42-69", "title" : "Effects of Warming and Drought on the Vegetation and Plant Diversity in the Amazon Basin", "type" : "article-journal", "volume" : "81" }, "uris" : [ "http://www.mendeley.com/documents/?uuid=2c33d0af-f9d7-4605-b516-063e378143c1" ] } ], "mendeley" : { "formattedCitation" : "(Olivares et al. 2015)", "manualFormatting" : "(Olivares et al., 2015)", "plainTextFormattedCitation" : "(Olivares et al. 2015)", "previouslyFormattedCitation" : "(Olivares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(Olivares et al., 2015)</w:t>
      </w:r>
      <w:r w:rsidRPr="008608AA">
        <w:rPr>
          <w:rFonts w:eastAsia="Calibri"/>
        </w:rPr>
        <w:fldChar w:fldCharType="end"/>
      </w:r>
      <w:r w:rsidR="00C45D57" w:rsidRPr="008608AA">
        <w:rPr>
          <w:rFonts w:eastAsia="Calibri"/>
        </w:rPr>
        <w:t>.</w:t>
      </w:r>
      <w:r w:rsidRPr="008608AA">
        <w:rPr>
          <w:rFonts w:eastAsia="Calibri"/>
        </w:rPr>
        <w:t xml:space="preserve"> Additionally, species richness and plant productivity are likely to decline, altering the Amazon basin from a carbon sink to a source </w:t>
      </w:r>
      <w:r w:rsidRPr="008608AA">
        <w:rPr>
          <w:rFonts w:eastAsia="Calibri"/>
        </w:rPr>
        <w:fldChar w:fldCharType="begin" w:fldLock="1"/>
      </w:r>
      <w:r w:rsidRPr="008608AA">
        <w:rPr>
          <w:rFonts w:eastAsia="Calibri"/>
        </w:rPr>
        <w:instrText>ADDIN CSL_CITATION { "citationItems" : [ { "id" : "ITEM-1", "itemData" : { "DOI" : "10.1007/s12229-014-9149-8", "ISSN" : "00068101", "abstract" : "Climate change is strong in the Amazon basin. Climate models consistently predict widespread warmer and drier conditions by the end of the 21st century. As a consequence, water stress will increase throughout the region. We here review current understanding of the impact of climate change on forests\u2019 distribution patterns, species diversity and ecosystem functioning of lowland rainforests in the Amazon basin. We reviewed 192 studies that provide empirical evidence, historical information and theoreticalmodels. Over millions of years rainforests expansions and contractions have been accompanied by changes in the diversity and productivity of forests. In the future, drought will produce forest contractions along the forest edges and the savanna ecotone, causing an extensive savannization, particularly in the east. In terms of diversity, warming will reduce plant species survival by decreasing their productivity, but extinctions may also occur as a result of vegetation disequilibrium, as many plants, dispersal and pollinator species will fail to track changing climate; mild drought kills understory trees and severe drought may eliminate canopy trees as well. Severe droughts will thus produce directional changes in species composition, although these shifts may vary among forests on different soil types. In terms of ecosystem function- ing, droughts will reduce root growth and standing biomass and may shift the Amazonian Physiological and ecological responses to warming and the feedback between vegetation and climate are still not completely understood. In particular, experimental assays that allow direct conclusions on the response of Amazonian plants to the predicted climatic conditions are needed. Such studies could make possible more reliable estimates of future climatic and vegetation responses. forest from being CO2 sinks to become CO2 sources.", "author" : [ { "dropping-particle" : "", "family" : "Olivares", "given" : "Ingrid", "non-dropping-particle" : "", "parse-names" : false, "suffix" : "" }, { "dropping-particle" : "", "family" : "Svenning", "given" : "Jens Christian", "non-dropping-particle" : "", "parse-names" : false, "suffix" : "" }, { "dropping-particle" : "", "family" : "Bodegom", "given" : "Peter M.", "non-dropping-particle" : "van", "parse-names" : false, "suffix" : "" }, { "dropping-particle" : "", "family" : "Balslev", "given" : "Henrik", "non-dropping-particle" : "", "parse-names" : false, "suffix" : "" } ], "container-title" : "Botanical Review", "id" : "ITEM-1", "issue" : "1", "issued" : { "date-parts" : [ [ "2015" ] ] }, "page" : "42-69", "title" : "Effects of Warming and Drought on the Vegetation and Plant Diversity in the Amazon Basin", "type" : "article-journal", "volume" : "81" }, "uris" : [ "http://www.mendeley.com/documents/?uuid=2c33d0af-f9d7-4605-b516-063e378143c1" ] } ], "mendeley" : { "formattedCitation" : "(Olivares et al. 2015)", "manualFormatting" : "(Olivares et al., 2015)", "plainTextFormattedCitation" : "(Olivares et al. 2015)", "previouslyFormattedCitation" : "(Olivares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(Olivares et al., 2015)</w:t>
      </w:r>
      <w:r w:rsidRPr="008608AA">
        <w:rPr>
          <w:rFonts w:eastAsia="Calibri"/>
        </w:rPr>
        <w:fldChar w:fldCharType="end"/>
      </w:r>
      <w:r w:rsidR="00C45D57" w:rsidRPr="008608AA">
        <w:rPr>
          <w:rFonts w:eastAsia="Calibri"/>
        </w:rPr>
        <w:t>.</w:t>
      </w:r>
      <w:r w:rsidRPr="008608AA">
        <w:rPr>
          <w:rFonts w:eastAsia="Calibri"/>
        </w:rPr>
        <w:t xml:space="preserve"> Finally, the severity of wet-season flood pulses is projected to increase and may have implications for movement and reproduction of many Amazon River-associated species </w:t>
      </w:r>
      <w:r w:rsidRPr="008608AA">
        <w:rPr>
          <w:rFonts w:eastAsia="Calibri"/>
        </w:rPr>
        <w:fldChar w:fldCharType="begin" w:fldLock="1"/>
      </w:r>
      <w:r w:rsidRPr="008608AA">
        <w:rPr>
          <w:rFonts w:eastAsia="Calibri"/>
        </w:rPr>
        <w:instrText>ADDIN CSL_CITATION { "citationItems" : [ { "id" : "ITEM-1", "itemData" : { "DOI" : "10.1088/1748-9326/11/1/014013", "ISBN" : "1748-9318", "ISSN" : "1748-9326", "abstract" : "The impact of a changing climate on the Amazon basin is a subject of intensive research because of its rich biodiversity and the significant role of rainforests in carbon cycling. Climate change has also a direct hydrological impact, and increasing efforts have focused on understanding the hydrological dynamics at continental and subregional scales, such as the Western Amazon. New projections from the Coupled Model Inter-comparison Project Phase 5 ensemble indicate consistent climatic warming and increasing seasonality of precipitation in the Peruvian Amazon basin. Here we use a distributed land surface model to quantify the potential impact of this change in the climate on the hydrological regime of the upper Amazon river. Using extreme value analysis, historical and future projections of the annual minimum, mean, and maximum river flows are produced for a range of return periods between 1 and 100 yr. We show that the RCP 4.5 and 8.5 scenarios of climate change project an increased severity of the wet season flood pulse (7.5% and 12% increases respectively for the 100 yr return floods). These findings agree with previously projected increases in high extremes under the Special Report on Emissions Scenarios climate projections, and are important to highlight due to the potential consequences on reproductive processes of in-stream species, swamp forest ecology, and socio-economy in the floodplain, amidst a growing literature that more strongly emphasises future droughts and their impact on the viability of the rainforest system over greater Amazonia.", "author" : [ { "dropping-particle" : "", "family" : "Zulkafli", "given" : "Zed", "non-dropping-particle" : "", "parse-names" : false, "suffix" : "" }, { "dropping-particle" : "", "family" : "Buytaert", "given" : "Wouter", "non-dropping-particle" : "", "parse-names" : false, "suffix" : "" }, { "dropping-particle" : "", "family" : "Manz", "given" : "Bastian", "non-dropping-particle" : "", "parse-names" : false, "suffix" : "" }, { "dropping-particle" : "", "family" : "Rosas", "given" : "Claudia V\u00e9liz", "non-dropping-particle" : "", "parse-names" : false, "suffix" : "" }, { "dropping-particle" : "", "family" : "Willems", "given" : "Patrick", "non-dropping-particle" : "", "parse-names" : false, "suffix" : "" }, { "dropping-particle" : "", "family" : "Lavado-Casimiro", "given" : "Waldo", "non-dropping-particle" : "", "parse-names" : false, "suffix" : "" }, { "dropping-particle" : "", "family" : "Guyot", "given" : "Jean-Loup", "non-dropping-particle" : "", "parse-names" : false, "suffix" : "" }, { "dropping-particle" : "", "family" : "Santini", "given" : "William", "non-dropping-particle" : "", "parse-names" : false, "suffix" : "" } ], "container-title" : "Environmental Research Letters", "id" : "ITEM-1", "issue" : "1", "issued" : { "date-parts" : [ [ "2016" ] ] }, "page" : "014013", "title" : "Projected increases in the annual flood pulse of the Western Amazon", "type" : "article-journal", "volume" : "11" }, "uris" : [ "http://www.mendeley.com/documents/?uuid=993ef4d7-1db2-46b9-9447-c2287cbe7482" ] } ], "mendeley" : { "formattedCitation" : "(Zulkafli et al. 2016)", "manualFormatting" : "(Zulkafli et al., 2016)", "plainTextFormattedCitation" : "(Zulkafli et al. 2016)", "previouslyFormattedCitation" : "(Zulkafli et al. 2016)" }, "properties" : { "noteIndex" : 0 }, "schema" : "https://github.com/citation-style-language/schema/raw/master/csl-citation.json" }</w:instrText>
      </w:r>
      <w:r w:rsidRPr="008608AA">
        <w:rPr>
          <w:rFonts w:eastAsia="Calibri"/>
        </w:rPr>
        <w:fldChar w:fldCharType="separate"/>
      </w:r>
      <w:r w:rsidRPr="008608AA">
        <w:rPr>
          <w:rFonts w:eastAsia="Calibri"/>
          <w:noProof/>
        </w:rPr>
        <w:t>(Zulkafli et al., 2016)</w:t>
      </w:r>
      <w:r w:rsidRPr="008608AA">
        <w:rPr>
          <w:rFonts w:eastAsia="Calibri"/>
        </w:rPr>
        <w:fldChar w:fldCharType="end"/>
      </w:r>
      <w:r w:rsidRPr="008608AA">
        <w:rPr>
          <w:rFonts w:eastAsia="Calibri"/>
        </w:rPr>
        <w:t>.</w:t>
      </w:r>
    </w:p>
    <w:p w14:paraId="436A820B" w14:textId="77777777" w:rsidR="001E61A6" w:rsidRPr="008608AA" w:rsidRDefault="001E61A6" w:rsidP="00A345FC">
      <w:pPr>
        <w:spacing w:before="120"/>
        <w:rPr>
          <w:rFonts w:eastAsia="Calibri"/>
        </w:rPr>
      </w:pPr>
      <w:r w:rsidRPr="008608AA">
        <w:rPr>
          <w:rFonts w:eastAsia="Calibri"/>
        </w:rPr>
        <w:t>There is no climatic assessment devoted exclusively to the Amazonian wetlands. However, the IPCC Regional Assessment for Central and South America (Magrin et al., 2014) covers the entire distribution of this environment. Based exclusively on this assessment in the northern part of South America, some inferences can be drawn in regard of these wetlands. The trends are:</w:t>
      </w:r>
    </w:p>
    <w:p w14:paraId="680BB08B" w14:textId="77777777" w:rsidR="001E61A6" w:rsidRPr="008608AA" w:rsidRDefault="001E61A6" w:rsidP="00B33BD5">
      <w:pPr>
        <w:numPr>
          <w:ilvl w:val="0"/>
          <w:numId w:val="25"/>
        </w:numPr>
        <w:spacing w:before="120"/>
        <w:rPr>
          <w:rFonts w:eastAsia="Calibri"/>
        </w:rPr>
      </w:pPr>
      <w:r w:rsidRPr="008608AA">
        <w:rPr>
          <w:rFonts w:eastAsia="Calibri"/>
        </w:rPr>
        <w:t xml:space="preserve">Temperatures: In general terms, with the exception of interior Venezuela, 30% to 50% increase in temperature is expected in northern South America, representing +5°C to +7°C. And for the period of 2071 to 2100 another increase from +4°C to +5°C is expected  </w:t>
      </w:r>
      <w:r w:rsidRPr="008608AA">
        <w:rPr>
          <w:rFonts w:eastAsia="Calibri"/>
        </w:rPr>
        <w:fldChar w:fldCharType="begin" w:fldLock="1"/>
      </w:r>
      <w:r w:rsidRPr="008608AA">
        <w:rPr>
          <w:rFonts w:eastAsia="Calibri"/>
        </w:rPr>
        <w:instrText>ADDIN CSL_CITATION { "citationItems" : [ { "id" : "ITEM-1", "itemData" : { "DOI" : "10.1007/s00382-011-1155-5", "ISSN" : "0930-7575", "author" : [ { "dropping-particle" : "", "family" : "Marengo", "given" : "Jose A.", "non-dropping-particle" : "", "parse-names" : false, "suffix" : "" }, { "dropping-particle" : "", "family" : "Chou", "given" : "Sin Chan", "non-dropping-particle" : "", "parse-names" : false, "suffix" : "" }, { "dropping-particle" : "", "family" : "Kay", "given" : "Gillian", "non-dropping-particle" : "", "parse-names" : false, "suffix" : "" }, { "dropping-particle" : "", "family" : "Alves", "given" : "Lincoln M.", "non-dropping-particle" : "", "parse-names" : false, "suffix" : "" }, { "dropping-particle" : "", "family" : "Pesquero", "given" : "Jos\u00e9 F.", "non-dropping-particle" : "", "parse-names" : false, "suffix" : "" }, { "dropping-particle" : "", "family" : "Soares", "given" : "Wagner R.", "non-dropping-particle" : "", "parse-names" : false, "suffix" : "" }, { "dropping-particle" : "", "family" : "Santos", "given" : "Daniel C.", "non-dropping-particle" : "", "parse-names" : false, "suffix" : "" }, { "dropping-particle" : "", "family" : "Lyra", "given" : "Andr\u00e9 A.", "non-dropping-particle" : "", "parse-names" : false, "suffix" : "" }, { "dropping-particle" : "", "family" : "Sueiro", "given" : "Gustavo", "non-dropping-particle" : "", "parse-names" : false, "suffix" : "" }, { "dropping-particle" : "", "family" : "Betts", "given" : "Richard", "non-dropping-particle" : "", "parse-names" : false, "suffix" : "" }, { "dropping-particle" : "", "family" : "Chagas", "given" : "Diego J.", "non-dropping-particle" : "", "parse-names" : false, "suffix" : "" }, { "dropping-particle" : "", "family" : "Gomes", "given" : "Jorge L.", "non-dropping-particle" : "", "parse-names" : false, "suffix" : "" }, { "dropping-particle" : "", "family" : "Bustamante", "given" : "Josiane F.", "non-dropping-particle" : "", "parse-names" : false, "suffix" : "" }, { "dropping-particle" : "", "family" : "Tavares", "given" : "Priscila", "non-dropping-particle" : "", "parse-names" : false, "suffix" : "" } ], "container-title" : "Climate Dynamics", "id" : "ITEM-1", "issue" : "9-10", "issued" : { "date-parts" : [ [ "2012", "5", "10" ] ] }, "page" : "1829-1848", "publisher" : "Springer-Verlag", "title" : "Development of regional future climate change scenarios in South America using the Eta CPTEC/HadCM3 climate change projections: climatology and regional analyses for the Amazon, S\u00e3o Francisco and the Paran\u00e1 River basins", "type" : "article-journal", "volume" : "38" }, "uris" : [ "http://www.mendeley.com/documents/?uuid=9adab29d-375f-300e-ba4b-558491b1a466" ] } ], "mendeley" : { "formattedCitation" : "(Marengo et al. 2012)", "manualFormatting" : "(Marengo et al., 2012)", "plainTextFormattedCitation" : "(Marengo et al. 2012)", "previouslyFormattedCitation" : "(Marengo et al. 2012)" }, "properties" : { "noteIndex" : 0 }, "schema" : "https://github.com/citation-style-language/schema/raw/master/csl-citation.json" }</w:instrText>
      </w:r>
      <w:r w:rsidRPr="008608AA">
        <w:rPr>
          <w:rFonts w:eastAsia="Calibri"/>
        </w:rPr>
        <w:fldChar w:fldCharType="separate"/>
      </w:r>
      <w:r w:rsidRPr="008608AA">
        <w:rPr>
          <w:rFonts w:eastAsia="Calibri"/>
          <w:noProof/>
        </w:rPr>
        <w:t>(Marengo et al., 2012)</w:t>
      </w:r>
      <w:r w:rsidRPr="008608AA">
        <w:rPr>
          <w:rFonts w:eastAsia="Calibri"/>
        </w:rPr>
        <w:fldChar w:fldCharType="end"/>
      </w:r>
      <w:r w:rsidRPr="008608AA">
        <w:rPr>
          <w:rFonts w:eastAsia="Calibri"/>
        </w:rPr>
        <w:t>. This problem is exacerbated in urban environments, even in small island developing states (Mendez-Lazaro et al., 2017).</w:t>
      </w:r>
    </w:p>
    <w:p w14:paraId="2380A874" w14:textId="3F08F8A0" w:rsidR="001E61A6" w:rsidRPr="008608AA" w:rsidRDefault="001E61A6" w:rsidP="00B33BD5">
      <w:pPr>
        <w:numPr>
          <w:ilvl w:val="0"/>
          <w:numId w:val="25"/>
        </w:numPr>
        <w:spacing w:before="120"/>
        <w:rPr>
          <w:rFonts w:eastAsia="Calibri"/>
        </w:rPr>
      </w:pPr>
      <w:r w:rsidRPr="008608AA">
        <w:rPr>
          <w:rFonts w:eastAsia="Calibri"/>
        </w:rPr>
        <w:t>Precipitation: In general, an increase from 30% to 50% in precipitation is expected in northern South America. However, while a decreas</w:t>
      </w:r>
      <w:r w:rsidR="00C45D57" w:rsidRPr="008608AA">
        <w:rPr>
          <w:rFonts w:eastAsia="Calibri"/>
        </w:rPr>
        <w:t>e of 20% to 30% in rainfall in central and e</w:t>
      </w:r>
      <w:r w:rsidRPr="008608AA">
        <w:rPr>
          <w:rFonts w:eastAsia="Calibri"/>
        </w:rPr>
        <w:t xml:space="preserve">astern Amazonia, is expected, an increase </w:t>
      </w:r>
      <w:r w:rsidR="00C45D57" w:rsidRPr="008608AA">
        <w:rPr>
          <w:rFonts w:eastAsia="Calibri"/>
        </w:rPr>
        <w:t>from 10% to 30% in rainfall in w</w:t>
      </w:r>
      <w:r w:rsidRPr="008608AA">
        <w:rPr>
          <w:rFonts w:eastAsia="Calibri"/>
        </w:rPr>
        <w:t xml:space="preserve">estern Amazonia is expected </w:t>
      </w:r>
      <w:r w:rsidRPr="008608AA">
        <w:rPr>
          <w:rFonts w:eastAsia="Calibri"/>
        </w:rPr>
        <w:fldChar w:fldCharType="begin" w:fldLock="1"/>
      </w:r>
      <w:r w:rsidRPr="008608AA">
        <w:rPr>
          <w:rFonts w:eastAsia="Calibri"/>
        </w:rPr>
        <w:instrText>ADDIN CSL_CITATION { "citationItems" : [ { "id" : "ITEM-1", "itemData" : { "DOI" : "10.3354/cr00728", "ISBN" : "0936-577X", "ISSN" : "0936577X", "abstract" : "Climatic changes induced by anthropogenic increases in atmospheric concentrations of greenhouse gases could have substantial effects on human health and the dynamics of vector-borne diseases. In order to assess such impacts, climate change information is needed at the regional scale. In the present paper we provide a discussion of the tools and methodologies available today to produce regional climate change information along with a review of the more robust regional climate change patterns indicated by the latest-generation model simulations. We also present an analysis of the uncertainties underlying the simulation of climate change. The discussion is presented within the context of the use of climate change scenarios at the global to regional scale for studies of human health and disease impacts.", "author" : [ { "dropping-particle" : "", "family" : "Giorgi", "given" : "F.", "non-dropping-particle" : "", "parse-names" : false, "suffix" : "" }, { "dropping-particle" : "", "family" : "Diffenbaugh", "given" : "N.", "non-dropping-particle" : "", "parse-names" : false, "suffix" : "" } ], "container-title" : "Climate Research", "id" : "ITEM-1", "issue" : "2", "issued" : { "date-parts" : [ [ "2008" ] ] }, "page" : "141-151", "title" : "Developing regional climate change scenarios for use in assessment of effects on human health and disease", "type" : "article", "volume" : "36" }, "uris" : [ "http://www.mendeley.com/documents/?uuid=f179742e-f0ff-40dc-8766-352c3205d66b" ] }, { "id" : "ITEM-2", "itemData" : { "DOI" : "10.1127/0941-2948/2010/0467", "ISBN" : "09412948 (ISSN)", "ISSN" : "09412948", "abstract" : "Responses of precipitation seasonal means and extremes over South America in a downscaling of a climate change scenario are assessed with the Rossby Centre Regional Atmospheric Model (RCA). The anthropogenic warming under AlB scenario influences more on the likelihood of occurrence of severe extreme events like heavy precipitation and dry spells than on the mean seasonal precipitation. The risk of extreme precipitation increases in the La Plata Basin with a factor of 1.5-2.5 during all seasons and in the northwestern part of the continent with a factor 1.5-3 in summer, while it decreases in central and northeastern Brazil during winter and spring. The maximum amount of 5-days precipitation increases by up to 50 % in La Plata Basin, indicating risks of flooding. Over central Brazil and the Bolivian lowland, where present 5-days precipitation is higher, the increases are similar in magnitude and could cause less impacts. In southern Amazonia, northeastern Brazil and the Amazon basin, the maximum number of consecutive dry days increases and mean winter and spring precipitation decreases, indicating a longer dry season. In the La Plata Basin, there is no clear pattern of change for the dry spell duration. \u00a9 Gebr\u00fcder Borntraeger, Stuttgart 2010.", "author" : [ { "dropping-particle" : "", "family" : "Sarensson", "given" : "Anna A.", "non-dropping-particle" : "", "parse-names" : false, "suffix" : "" }, { "dropping-particle" : "", "family" : "Menendez", "given" : "Claudio G.", "non-dropping-particle" : "", "parse-names" : false, "suffix" : "" }, { "dropping-particle" : "", "family" : "Ruscica", "given" : "Romina", "non-dropping-particle" : "", "parse-names" : false, "suffix" : "" }, { "dropping-particle" : "", "family" : "Alexander", "given" : "Peter", "non-dropping-particle" : "", "parse-names" : false, "suffix" : "" }, { "dropping-particle" : "", "family" : "Samuelsson", "given" : "Patrick", "non-dropping-particle" : "", "parse-names" : false, "suffix" : "" }, { "dropping-particle" : "", "family" : "Willen", "given" : "Ulrika", "non-dropping-particle" : "", "parse-names" : false, "suffix" : "" } ], "container-title" : "Meteorologische Zeitschrift", "id" : "ITEM-2", "issue" : "4", "issued" : { "date-parts" : [ [ "2010" ] ] }, "page" : "347-355", "title" : "Projected precipitation changes in South America: A dynamical downscaling within CLARIS", "type" : "paper-conference", "volume" : "19" }, "uris" : [ "http://www.mendeley.com/documents/?uuid=5a788897-7b06-4e92-a3c1-5060382da50c" ] }, { "id" : "ITEM-3", "itemData" : { "DOI" : "10.1007/s00704-009-0193-y", "ISBN" : "0177-798X", "ISSN" : "0177798X", "abstract" : "Several studies have been devoted to dynamic and statistical downscaling for both climate variability and climate change. This paper introduces an application of temporal neural networks for downscaling global climate model output and autocorrelation functions. This method is proposed for downscaling daily precipitation time series for a region in the Amazon Basin. The downscaling models were developed and validated using IPCC AR4 model output and observed daily precipitation. In this paper, five AOGCMs for the twentieth century (20C3M 1970--1999) and three SRES scenarios (A2, A1B, and B1) were used. The performance in downscaling of the temporal neural network was compared to that of an autocorrelation statistical downscaling model with emphasis on its ability to reproduce the observed climate variability and tendency for the period 1970--1999. The model test results indicate that the neural network model significantly outperforms the statistical models for the downscaling of daily precipitation variability.", "author" : [ { "dropping-particle" : "", "family" : "Mendes", "given" : "David", "non-dropping-particle" : "", "parse-names" : false, "suffix" : "" }, { "dropping-particle" : "", "family" : "Marengo", "given" : "Jos\u00e9 A.", "non-dropping-particle" : "", "parse-names" : false, "suffix" : "" } ], "container-title" : "Theoretical and Applied Climatology", "id" : "ITEM-3", "issue" : "3", "issued" : { "date-parts" : [ [ "2010" ] ] }, "page" : "413-421", "title" : "Temporal downscaling: A comparison between artificial neural network and autocorrelation techniques over the Amazon Basin in present and future climate change scenarios", "type" : "article-journal", "volume" : "100" }, "uris" : [ "http://www.mendeley.com/documents/?uuid=7eb7c646-7607-4fa5-8c4b-753ffd740e44" ] }, { "id" : "ITEM-4", "itemData" : { "DOI" : "10.1007/s00382-011-1155-5", "ISSN" : "0930-7575", "author" : [ { "dropping-particle" : "", "family" : "Marengo", "given" : "Jose A.", "non-dropping-particle" : "", "parse-names" : false, "suffix" : "" }, { "dropping-particle" : "", "family" : "Chou", "given" : "Sin Chan", "non-dropping-particle" : "", "parse-names" : false, "suffix" : "" }, { "dropping-particle" : "", "family" : "Kay", "given" : "Gillian", "non-dropping-particle" : "", "parse-names" : false, "suffix" : "" }, { "dropping-particle" : "", "family" : "Alves", "given" : "Lincoln M.", "non-dropping-particle" : "", "parse-names" : false, "suffix" : "" }, { "dropping-particle" : "", "family" : "Pesquero", "given" : "Jos\u00e9 F.", "non-dropping-particle" : "", "parse-names" : false, "suffix" : "" }, { "dropping-particle" : "", "family" : "Soares", "given" : "Wagner R.", "non-dropping-particle" : "", "parse-names" : false, "suffix" : "" }, { "dropping-particle" : "", "family" : "Santos", "given" : "Daniel C.", "non-dropping-particle" : "", "parse-names" : false, "suffix" : "" }, { "dropping-particle" : "", "family" : "Lyra", "given" : "Andr\u00e9 A.", "non-dropping-particle" : "", "parse-names" : false, "suffix" : "" }, { "dropping-particle" : "", "family" : "Sueiro", "given" : "Gustavo", "non-dropping-particle" : "", "parse-names" : false, "suffix" : "" }, { "dropping-particle" : "", "family" : "Betts", "given" : "Richard", "non-dropping-particle" : "", "parse-names" : false, "suffix" : "" }, { "dropping-particle" : "", "family" : "Chagas", "given" : "Diego J.", "non-dropping-particle" : "", "parse-names" : false, "suffix" : "" }, { "dropping-particle" : "", "family" : "Gomes", "given" : "Jorge L.", "non-dropping-particle" : "", "parse-names" : false, "suffix" : "" }, { "dropping-particle" : "", "family" : "Bustamante", "given" : "Josiane F.", "non-dropping-particle" : "", "parse-names" : false, "suffix" : "" }, { "dropping-particle" : "", "family" : "Tavares", "given" : "Priscila", "non-dropping-particle" : "", "parse-names" : false, "suffix" : "" } ], "container-title" : "Climate Dynamics", "id" : "ITEM-4", "issue" : "9-10", "issued" : { "date-parts" : [ [ "2012", "5", "10" ] ] }, "page" : "1829-1848", "publisher" : "Springer-Verlag", "title" : "Development of regional future climate change scenarios in South America using the Eta CPTEC/HadCM3 climate change projections: climatology and regional analyses for the Amazon, S\u00e3o Francisco and the Paran\u00e1 River basins", "type" : "article-journal", "volume" : "38" }, "uris" : [ "http://www.mendeley.com/documents/?uuid=9adab29d-375f-300e-ba4b-558491b1a466" ] } ], "mendeley" : { "formattedCitation" : "(Giorgi and Diffenbaugh 2008, Mendes and Marengo 2010, Sarensson et al. 2010, Marengo et al. 2012)", "manualFormatting" : "(Giorgi and Diffenbaugh 2008, Mendes and Marengo 2010, Sorensson et al., 2010, Marengo et al., 2012)", "plainTextFormattedCitation" : "(Giorgi and Diffenbaugh 2008, Mendes and Marengo 2010, Sarensson et al. 2010, Marengo et al. 2012)", "previouslyFormattedCitation" : "(Giorgi and Diffenbaugh 2008, Mendes and Marengo 2010, Sarensson et al. 2010, Marengo et al. 2012)" }, "properties" : { "noteIndex" : 0 }, "schema" : "https://github.com/citation-style-language/schema/raw/master/csl-citation.json" }</w:instrText>
      </w:r>
      <w:r w:rsidRPr="008608AA">
        <w:rPr>
          <w:rFonts w:eastAsia="Calibri"/>
        </w:rPr>
        <w:fldChar w:fldCharType="separate"/>
      </w:r>
      <w:r w:rsidRPr="008608AA">
        <w:rPr>
          <w:rFonts w:eastAsia="Calibri"/>
          <w:noProof/>
        </w:rPr>
        <w:t xml:space="preserve">(Giorgi </w:t>
      </w:r>
      <w:r w:rsidR="00F95B46" w:rsidRPr="008608AA">
        <w:rPr>
          <w:rFonts w:eastAsia="Calibri"/>
          <w:noProof/>
        </w:rPr>
        <w:t>&amp;</w:t>
      </w:r>
      <w:r w:rsidRPr="008608AA">
        <w:rPr>
          <w:rFonts w:eastAsia="Calibri"/>
          <w:noProof/>
        </w:rPr>
        <w:t xml:space="preserve"> Diffenbaugh</w:t>
      </w:r>
      <w:r w:rsidR="00F95B46" w:rsidRPr="008608AA">
        <w:rPr>
          <w:rFonts w:eastAsia="Calibri"/>
          <w:noProof/>
        </w:rPr>
        <w:t>, 2008;</w:t>
      </w:r>
      <w:r w:rsidRPr="008608AA">
        <w:rPr>
          <w:rFonts w:eastAsia="Calibri"/>
          <w:noProof/>
        </w:rPr>
        <w:t xml:space="preserve"> Mendes </w:t>
      </w:r>
      <w:r w:rsidR="00F95B46" w:rsidRPr="008608AA">
        <w:rPr>
          <w:rFonts w:eastAsia="Calibri"/>
          <w:noProof/>
        </w:rPr>
        <w:t>&amp;</w:t>
      </w:r>
      <w:r w:rsidRPr="008608AA">
        <w:rPr>
          <w:rFonts w:eastAsia="Calibri"/>
          <w:noProof/>
        </w:rPr>
        <w:t xml:space="preserve"> Marengo</w:t>
      </w:r>
      <w:r w:rsidR="00F95B46" w:rsidRPr="008608AA">
        <w:rPr>
          <w:rFonts w:eastAsia="Calibri"/>
          <w:noProof/>
        </w:rPr>
        <w:t>, 2010; Sorensson et al., 2010;</w:t>
      </w:r>
      <w:r w:rsidRPr="008608AA">
        <w:rPr>
          <w:rFonts w:eastAsia="Calibri"/>
          <w:noProof/>
        </w:rPr>
        <w:t xml:space="preserve"> Marengo et al., 2012)</w:t>
      </w:r>
      <w:r w:rsidRPr="008608AA">
        <w:rPr>
          <w:rFonts w:eastAsia="Calibri"/>
        </w:rPr>
        <w:fldChar w:fldCharType="end"/>
      </w:r>
      <w:r w:rsidRPr="008608AA">
        <w:rPr>
          <w:rFonts w:eastAsia="Calibri"/>
        </w:rPr>
        <w:t>.</w:t>
      </w:r>
      <w:r w:rsidR="00C45D57" w:rsidRPr="008608AA">
        <w:rPr>
          <w:rFonts w:eastAsia="Calibri"/>
        </w:rPr>
        <w:t xml:space="preserve"> This increase in rainfall for w</w:t>
      </w:r>
      <w:r w:rsidRPr="008608AA">
        <w:rPr>
          <w:rFonts w:eastAsia="Calibri"/>
        </w:rPr>
        <w:t>estern Amazonia will be observed both in summer and winter. This, in turn, will deeply affect flooding patter</w:t>
      </w:r>
      <w:r w:rsidR="00C45D57" w:rsidRPr="008608AA">
        <w:rPr>
          <w:rFonts w:eastAsia="Calibri"/>
        </w:rPr>
        <w:t>ns in wetlands in northern and w</w:t>
      </w:r>
      <w:r w:rsidRPr="008608AA">
        <w:rPr>
          <w:rFonts w:eastAsia="Calibri"/>
        </w:rPr>
        <w:t xml:space="preserve">estern Amazonia. Effects of precipitation on current flows, rivers discharge and potential flooding was observed for most of the large rivers </w:t>
      </w:r>
      <w:r w:rsidRPr="008608AA">
        <w:rPr>
          <w:rFonts w:eastAsia="Calibri"/>
        </w:rPr>
        <w:fldChar w:fldCharType="begin" w:fldLock="1"/>
      </w:r>
      <w:r w:rsidRPr="008608AA">
        <w:rPr>
          <w:rFonts w:eastAsia="Calibri"/>
        </w:rPr>
        <w:instrText>ADDIN CSL_CITATION { "citationItems" : [ { "id" : "ITEM-1", "itemData" : { "DOI" : "10.1175/2008JCLI2592.1", "ISBN" : "0894-8755", "ISSN" : "08948755", "PMID" : "39984168", "abstract" : "A new data set of historical monthly streamflow at the farthest downstream stations for world\u2019s 925 largest ocean-reaching rivers has been created for community use. Available new gauge records are added to a network of gauges that covers ~80 \u00b4 106 km2 or ~80% of global ocean-draining land areas and accounts for about 73% of global total runoff. For most of the large rivers, the record for 1948-2004 is fairly complete. Data gaps in the records are filled through linear regression using streamflow simulated by a land surface model (CLM3) forced with observed precipitation and other atmospheric forcings that is significantly (and often strongly) correlated with the observed streamflow for most rivers. Compared with previous studies, the new data set has improved homogeneity and enables more reliable assessments of decadal and long-term changes in continental freshwater discharge into the oceans. The model-simulated runoff ratio over drainage areas with and without gauge records is used to estimate the contribution from the areas not monitored by the gauges in deriving the total discharge into the global oceans. Results reveal large variations in yearly streamflow for most of world\u2019s large rivers and for continental discharge, but only about one-third of the top 200 rivers (including the Congo, Mississippi, Yenisey, Paran\u00e1, Ganges, Columbia, Uruguay, and Niger) show statistically significant trends during 1948-2004, with the rivers having downward trends (45) out-numbering those with upward trends (19). The interannual variations are correlated with the El Ni\u00f1o-Southern Oscillation (ENSO) events for discharge into the Atlantic, Pacific, Indian, and global ocean as a whole. For ocean basins other than the Arctic, and for the global ocean as a whole, the discharge data show small or downward trends, which are statistically significant for the Pacific (-10.1 km3 yr-1) and Indian Ocean (-5.4 km3 yr-1). Precipitation is a major driver for the discharge trends and large interannual to decadal variations. Comparisons with the CLM3 simulation suggest that direct human influence on annual streamflow is likely small compared with climatic forcing during 1948-2004 for 3 most of world\u2019s major rivers. For the Arctic drainage areas, upward trends in streamflow are not accompanied by increasing precipitation, especially over Siberia, based on available data, although recent surface warming and associated downward trends in snow cover and soil-ice content over the norther\u2026", "author" : [ { "dropping-particle" : "", "family" : "Dai", "given" : "Aiguo", "non-dropping-particle" : "", "parse-names" : false, "suffix" : "" }, { "dropping-particle" : "", "family" : "Qian", "given" : "Taotao", "non-dropping-particle" : "", "parse-names" : false, "suffix" : "" }, { "dropping-particle" : "", "family" : "Trenberth", "given" : "Kevin E.", "non-dropping-particle" : "", "parse-names" : false, "suffix" : "" }, { "dropping-particle" : "", "family" : "Milliman", "given" : "John D.", "non-dropping-particle" : "", "parse-names" : false, "suffix" : "" } ], "container-title" : "Journal of Climate", "id" : "ITEM-1", "issue" : "10", "issued" : { "date-parts" : [ [ "2009" ] ] }, "page" : "2773-2792", "title" : "Changes in continental freshwater discharge from 1948 to 2004", "type" : "article-journal", "volume" : "22" }, "uris" : [ "http://www.mendeley.com/documents/?uuid=eb99e1bd-36fa-4c2d-a07d-279841f53c1c" ] } ], "mendeley" : { "formattedCitation" : "(Dai et al. 2009)", "manualFormatting" : "(Dai et al., 2009)", "plainTextFormattedCitation" : "(Dai et al. 2009)", "previouslyFormattedCitation" : "(Dai et al. 2009)" }, "properties" : { "noteIndex" : 0 }, "schema" : "https://github.com/citation-style-language/schema/raw/master/csl-citation.json" }</w:instrText>
      </w:r>
      <w:r w:rsidRPr="008608AA">
        <w:rPr>
          <w:rFonts w:eastAsia="Calibri"/>
        </w:rPr>
        <w:fldChar w:fldCharType="separate"/>
      </w:r>
      <w:r w:rsidRPr="008608AA">
        <w:rPr>
          <w:rFonts w:eastAsia="Calibri"/>
          <w:noProof/>
        </w:rPr>
        <w:t>(Dai et al., 2009</w:t>
      </w:r>
      <w:r w:rsidR="00F95B46" w:rsidRPr="008608AA">
        <w:rPr>
          <w:rFonts w:eastAsia="Calibri"/>
          <w:noProof/>
        </w:rPr>
        <w:t>;</w:t>
      </w:r>
      <w:r w:rsidR="00C45D57" w:rsidRPr="008608AA">
        <w:rPr>
          <w:rFonts w:eastAsia="Calibri"/>
          <w:noProof/>
        </w:rPr>
        <w:t xml:space="preserve"> </w:t>
      </w:r>
      <w:r w:rsidRPr="008608AA">
        <w:rPr>
          <w:rFonts w:eastAsia="Calibri"/>
        </w:rPr>
        <w:fldChar w:fldCharType="end"/>
      </w:r>
      <w:r w:rsidRPr="008608AA">
        <w:rPr>
          <w:rFonts w:eastAsia="Calibri"/>
        </w:rPr>
        <w:t xml:space="preserve">Dai et al., 2004) </w:t>
      </w:r>
    </w:p>
    <w:p w14:paraId="19CB2975" w14:textId="162B3436" w:rsidR="001E61A6" w:rsidRPr="008608AA" w:rsidRDefault="001E61A6" w:rsidP="00B33BD5">
      <w:pPr>
        <w:numPr>
          <w:ilvl w:val="0"/>
          <w:numId w:val="25"/>
        </w:numPr>
        <w:spacing w:before="120"/>
        <w:rPr>
          <w:rFonts w:eastAsia="Calibri"/>
        </w:rPr>
      </w:pPr>
      <w:r w:rsidRPr="008608AA">
        <w:rPr>
          <w:rFonts w:eastAsia="Calibri"/>
        </w:rPr>
        <w:t>Sea level: In coastal areas an increase in sea level is expected, with increase in flood probabilities (&gt;40%). Impacts of flooding can be costly and coastal communities should evaluate possible solutions to cope with this problem (Marengo et al., 2017). Extreme events: Longer dry periods, or consecutive dry days, are expected for the region, with an increase of up to 8% (or 5 more dry d</w:t>
      </w:r>
      <w:r w:rsidR="00C45D57" w:rsidRPr="008608AA">
        <w:rPr>
          <w:rFonts w:eastAsia="Calibri"/>
        </w:rPr>
        <w:t>ays). Heavier precipitation in northern and w</w:t>
      </w:r>
      <w:r w:rsidRPr="008608AA">
        <w:rPr>
          <w:rFonts w:eastAsia="Calibri"/>
        </w:rPr>
        <w:t xml:space="preserve">estern Amazonia (from 1 to 10mm) is also expected. </w:t>
      </w:r>
    </w:p>
    <w:p w14:paraId="220233A4" w14:textId="246E32C2" w:rsidR="001E61A6" w:rsidRPr="008608AA" w:rsidRDefault="001E61A6" w:rsidP="00A345FC">
      <w:pPr>
        <w:spacing w:before="120"/>
        <w:rPr>
          <w:rFonts w:eastAsia="Calibri"/>
        </w:rPr>
      </w:pPr>
      <w:r w:rsidRPr="008608AA">
        <w:rPr>
          <w:rFonts w:eastAsia="Calibri"/>
        </w:rPr>
        <w:t>All impact analysis available indicates that these extreme events and the trends of climate change in Amazonian wetlands and rivers will be very strong (Marengo &amp; Espinoza, 2016). Extreme events will be more frequent and more intense, and floods and droughts will impact both natural and human systems in the region. Although with a large range o</w:t>
      </w:r>
      <w:r w:rsidR="00C45D57" w:rsidRPr="008608AA">
        <w:rPr>
          <w:rFonts w:eastAsia="Calibri"/>
        </w:rPr>
        <w:t>f uncertainty, wetlands in the northern and w</w:t>
      </w:r>
      <w:r w:rsidRPr="008608AA">
        <w:rPr>
          <w:rFonts w:eastAsia="Calibri"/>
        </w:rPr>
        <w:t>estern Amazonia may experience more freq</w:t>
      </w:r>
      <w:r w:rsidR="00C45D57" w:rsidRPr="008608AA">
        <w:rPr>
          <w:rFonts w:eastAsia="Calibri"/>
        </w:rPr>
        <w:t>uent floods, while wetlands in e</w:t>
      </w:r>
      <w:r w:rsidRPr="008608AA">
        <w:rPr>
          <w:rFonts w:eastAsia="Calibri"/>
        </w:rPr>
        <w:t xml:space="preserve">astern Amazonia might be under more intense and severe droughts. These effects might cause great changes on the biota of all wetlands affected. Intense floods can bring losses in crops (inundation of small farms and gardens), in local and regional fisheries, and even in human lives. Intense droughts are associated with fire incidence, and additional aerosol emissions, public health problems, and other losses in agriculture and fisheries (Marengo &amp; Espinoza, 2016).  </w:t>
      </w:r>
    </w:p>
    <w:p w14:paraId="4983CEA7" w14:textId="27CE6BF3" w:rsidR="001E61A6" w:rsidRPr="008608AA" w:rsidRDefault="001E61A6" w:rsidP="00A345FC">
      <w:pPr>
        <w:spacing w:before="120"/>
        <w:rPr>
          <w:rFonts w:eastAsia="Calibri"/>
        </w:rPr>
      </w:pPr>
      <w:r w:rsidRPr="008608AA">
        <w:rPr>
          <w:rFonts w:eastAsia="Calibri"/>
        </w:rPr>
        <w:t xml:space="preserve">Most areas in the Andes Mountains have experienced a warming trend </w:t>
      </w:r>
      <w:r w:rsidRPr="008608AA">
        <w:rPr>
          <w:rFonts w:eastAsia="Calibri"/>
        </w:rPr>
        <w:fldChar w:fldCharType="begin" w:fldLock="1"/>
      </w:r>
      <w:r w:rsidRPr="008608AA">
        <w:rPr>
          <w:rFonts w:eastAsia="Calibri"/>
        </w:rPr>
        <w:instrText>ADDIN CSL_CITATION { "citationItems" : [ { "id" : "ITEM-1", "itemData" : { "DOI" : "10.1002/2015JD023126.Received", "author" : [ { "dropping-particle" : "", "family" : "Vuille", "given" : "Mathias", "non-dropping-particle" : "", "parse-names" : false, "suffix" : "" }, { "dropping-particle" : "", "family" : "Franquist", "given" : "Eric", "non-dropping-particle" : "", "parse-names" : false, "suffix" : "" }, { "dropping-particle" : "", "family" : "Garreaud", "given" : "Ren\u00e9", "non-dropping-particle" : "", "parse-names" : false, "suffix" : "" }, { "dropping-particle" : "", "family" : "Sven", "given" : "Waldo", "non-dropping-particle" : "", "parse-names" : false, "suffix" : "" }, { "dropping-particle" : "", "family" : "Casimiro", "given" : "Lavado", "non-dropping-particle" : "", "parse-names" : false, "suffix" : "" }, { "dropping-particle" : "", "family" : "C\u00e1ceres", "given" : "Bolivar", "non-dropping-particle" : "", "parse-names" : false, "suffix" : "" } ], "id" : "ITEM-1", "issued" : { "date-parts" : [ [ "2015" ] ] }, "title" : "Journal of Geophysical Research : Atmospheres", "type" : "article-journal" }, "uris" : [ "http://www.mendeley.com/documents/?uuid=65e544c8-48ca-4e94-a4b9-7d145f1a8146" ] } ], "mendeley" : { "formattedCitation" : "(Vuille et al. 2015)", "manualFormatting" : "(Vuille et al., 2015)", "plainTextFormattedCitation" : "(Vuille et al. 2015)", "previouslyFormattedCitation" : "(Vuille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(Vuille et al., 2015)</w:t>
      </w:r>
      <w:r w:rsidRPr="008608AA">
        <w:rPr>
          <w:rFonts w:eastAsia="Calibri"/>
        </w:rPr>
        <w:fldChar w:fldCharType="end"/>
      </w:r>
      <w:r w:rsidRPr="008608AA">
        <w:rPr>
          <w:rFonts w:eastAsia="Calibri"/>
        </w:rPr>
        <w:t xml:space="preserve">, particularly during winter </w:t>
      </w:r>
      <w:r w:rsidRPr="008608AA">
        <w:rPr>
          <w:rFonts w:eastAsia="Calibri"/>
        </w:rPr>
        <w:fldChar w:fldCharType="begin" w:fldLock="1"/>
      </w:r>
      <w:r w:rsidRPr="008608AA">
        <w:rPr>
          <w:rFonts w:eastAsia="Calibri"/>
        </w:rPr>
        <w:instrText>ADDIN CSL_CITATION { "citationItems" : [ { "id" : "ITEM-1", "itemData" : { "DOI" : "10.1002/wcc.316", "ISSN" : "17577799", "abstract" : "In most of Argentina, the warming since 1901 was a little lower than the global average, although with strong trends in temperature extremes and in heat waves during the most recent decades. There was a remarkable increase in precipitation over most of subtropical Argentina, especially since 1960. This has favored agriculture yields and the extension of crop lands into semiarid regions, but this increase also came with more frequent heavy rainfalls and consequent flooding of rural and urban areas. Since the early 1970s, the main rivers of the Plata Basin have increased their mean flows, but this was attributable not only to increased precipitation, but also to land use changes. In contrast, over the Andes Mountains, reduced rainfall and increased temperature has led to glaciers receding and reduced river flows. Climate projections for the first half of this century maintain observed trends and raise additional concerns that in most cases can be dealt with timely adaptation policies. However, by the end of this century, under an extreme emissions scenario, the projected warming reaches 3.5\u00b0C in the north of the country with respect to present\u2010day conditions. There is insufficient knowledge to assume that this warming would not create severe damages to the people and the economy of Argentina. Because of the damages and casualties that heat waves and extreme precipitation events are already producing, the first and most urgent adaptation required is to reinforce early warning systems and contingency planning to cope with climatic extremes and their consequences on health. WIREs Clim Change 2015, 6:151\u2013169. doi: 10.1002/wcc.316 Fig: CMIP5 multi\u2010model ensemble mean of annual precipitation (mm day\u22121) for the near\u2010term (2016\u20132035) left, and long\u2010term (2081\u20132100) right relative to 1986\u20132005 under RCP4.5 top and RCP8.5 bottom.", "author" : [ { "dropping-particle" : "", "family" : "Barros", "given" : "Vicente Ricardo", "non-dropping-particle" : "", "parse-names" : false, "suffix" : "" }, { "dropping-particle" : "", "family" : "Boninsegna", "given" : "Jos\u00e9 Armando", "non-dropping-particle" : "", "parse-names" : false, "suffix" : "" }, { "dropping-particle" : "", "family" : "Camilloni", "given" : "In\u00e9s Angela", "non-dropping-particle" : "", "parse-names" : false, "suffix" : "" }, { "dropping-particle" : "", "family" : "Chidiak", "given" : "Martina", "non-dropping-particle" : "", "parse-names" : false, "suffix" : "" }, { "dropping-particle" : "", "family" : "Magr\u00edn", "given" : "Graciela Odilia", "non-dropping-particle" : "", "parse-names" : false, "suffix" : "" }, { "dropping-particle" : "", "family" : "Rusticucci", "given" : "Matilde", "non-dropping-particle" : "", "parse-names" : false, "suffix" : "" } ], "container-title" : "Wiley Interdisciplinary Reviews: Climate Change", "id" : "ITEM-1", "issue" : "2", "issued" : { "date-parts" : [ [ "2015" ] ] }, "page" : "151-169", "title" : "Climate change in Argentina: Trends, projections, impacts and adaptation", "type" : "article-journal", "volume" : "6" }, "uris" : [ "http://www.mendeley.com/documents/?uuid=ff0d4ad9-7712-4b87-a035-c1b60d76fb63" ] } ], "mendeley" : { "formattedCitation" : "(Barros et al. 2015)", "manualFormatting" : "(Barros et al., 2015)", "plainTextFormattedCitation" : "(Barros et al. 2015)", "previouslyFormattedCitation" : "(Barros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(Barros et al., 2015)</w:t>
      </w:r>
      <w:r w:rsidRPr="008608AA">
        <w:rPr>
          <w:rFonts w:eastAsia="Calibri"/>
        </w:rPr>
        <w:fldChar w:fldCharType="end"/>
      </w:r>
      <w:r w:rsidR="00C45D57" w:rsidRPr="008608AA">
        <w:rPr>
          <w:rFonts w:eastAsia="Calibri"/>
        </w:rPr>
        <w:t xml:space="preserve">. </w:t>
      </w:r>
      <w:r w:rsidRPr="008608AA">
        <w:rPr>
          <w:rFonts w:eastAsia="Calibri"/>
        </w:rPr>
        <w:t xml:space="preserve">Magrin et al. (2014; and references therein) showed that temperatures have increased by 0.1°C to 0.6°C per decade across different regions of the Andes since the 1950s and 1960s. The warming conditions have caused many of the Andean glaciers to retreat, creating a loss of important water reserves </w:t>
      </w:r>
      <w:r w:rsidRPr="008608AA">
        <w:rPr>
          <w:rFonts w:eastAsia="Calibri"/>
        </w:rPr>
        <w:fldChar w:fldCharType="begin" w:fldLock="1"/>
      </w:r>
      <w:r w:rsidRPr="008608AA">
        <w:rPr>
          <w:rFonts w:eastAsia="Calibri"/>
        </w:rPr>
        <w:instrText>ADDIN CSL_CITATION { "citationItems" : [ { "id" : "ITEM-1", "itemData" : { "DOI" : "10.1002/wcc.316", "ISSN" : "17577799", "abstract" : "In most of Argentina, the warming since 1901 was a little lower than the global average, although with strong trends in temperature extremes and in heat waves during the most recent decades. There was a remarkable increase in precipitation over most of subtropical Argentina, especially since 1960. This has favored agriculture yields and the extension of crop lands into semiarid regions, but this increase also came with more frequent heavy rainfalls and consequent flooding of rural and urban areas. Since the early 1970s, the main rivers of the Plata Basin have increased their mean flows, but this was attributable not only to increased precipitation, but also to land use changes. In contrast, over the Andes Mountains, reduced rainfall and increased temperature has led to glaciers receding and reduced river flows. Climate projections for the first half of this century maintain observed trends and raise additional concerns that in most cases can be dealt with timely adaptation policies. However, by the end of this century, under an extreme emissions scenario, the projected warming reaches 3.5\u00b0C in the north of the country with respect to present\u2010day conditions. There is insufficient knowledge to assume that this warming would not create severe damages to the people and the economy of Argentina. Because of the damages and casualties that heat waves and extreme precipitation events are already producing, the first and most urgent adaptation required is to reinforce early warning systems and contingency planning to cope with climatic extremes and their consequences on health. WIREs Clim Change 2015, 6:151\u2013169. doi: 10.1002/wcc.316 Fig: CMIP5 multi\u2010model ensemble mean of annual precipitation (mm day\u22121) for the near\u2010term (2016\u20132035) left, and long\u2010term (2081\u20132100) right relative to 1986\u20132005 under RCP4.5 top and RCP8.5 bottom.", "author" : [ { "dropping-particle" : "", "family" : "Barros", "given" : "Vicente Ricardo", "non-dropping-particle" : "", "parse-names" : false, "suffix" : "" }, { "dropping-particle" : "", "family" : "Boninsegna", "given" : "Jos\u00e9 Armando", "non-dropping-particle" : "", "parse-names" : false, "suffix" : "" }, { "dropping-particle" : "", "family" : "Camilloni", "given" : "In\u00e9s Angela", "non-dropping-particle" : "", "parse-names" : false, "suffix" : "" }, { "dropping-particle" : "", "family" : "Chidiak", "given" : "Martina", "non-dropping-particle" : "", "parse-names" : false, "suffix" : "" }, { "dropping-particle" : "", "family" : "Magr\u00edn", "given" : "Graciela Odilia", "non-dropping-particle" : "", "parse-names" : false, "suffix" : "" }, { "dropping-particle" : "", "family" : "Rusticucci", "given" : "Matilde", "non-dropping-particle" : "", "parse-names" : false, "suffix" : "" } ], "container-title" : "Wiley Interdisciplinary Reviews: Climate Change", "id" : "ITEM-1", "issue" : "2", "issued" : { "date-parts" : [ [ "2015" ] ] }, "page" : "151-169", "title" : "Climate change in Argentina: Trends, projections, impacts and adaptation", "type" : "article-journal", "volume" : "6" }, "uris" : [ "http://www.mendeley.com/documents/?uuid=ff0d4ad9-7712-4b87-a035-c1b60d76fb63" ] } ], "mendeley" : { "formattedCitation" : "(Barros et al. 2015)", "manualFormatting" : "(Barros et al., 2015)", "plainTextFormattedCitation" : "(Barros et al. 2015)", "previouslyFormattedCitation" : "(Barros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(Barros et al., 2015)</w:t>
      </w:r>
      <w:r w:rsidRPr="008608AA">
        <w:rPr>
          <w:rFonts w:eastAsia="Calibri"/>
        </w:rPr>
        <w:fldChar w:fldCharType="end"/>
      </w:r>
      <w:r w:rsidR="00C45D57" w:rsidRPr="008608AA">
        <w:rPr>
          <w:rFonts w:eastAsia="Calibri"/>
        </w:rPr>
        <w:t xml:space="preserve">. </w:t>
      </w:r>
      <w:r w:rsidRPr="008608AA">
        <w:rPr>
          <w:rFonts w:eastAsia="Calibri"/>
        </w:rPr>
        <w:t xml:space="preserve">Additionally, snow is melting earlier in the spring and has affected the timing of maximum stream flows, which are peaking as much as a month earlier in recent years than when compared to the early twentieth century </w:t>
      </w:r>
      <w:r w:rsidRPr="008608AA">
        <w:rPr>
          <w:rFonts w:eastAsia="Calibri"/>
        </w:rPr>
        <w:fldChar w:fldCharType="begin" w:fldLock="1"/>
      </w:r>
      <w:r w:rsidRPr="008608AA">
        <w:rPr>
          <w:rFonts w:eastAsia="Calibri"/>
        </w:rPr>
        <w:instrText>ADDIN CSL_CITATION { "citationItems" : [ { "id" : "ITEM-1", "itemData" : { "DOI" : "10.1002/wcc.316", "ISSN" : "17577799", "abstract" : "In most of Argentina, the warming since 1901 was a little lower than the global average, although with strong trends in temperature extremes and in heat waves during the most recent decades. There was a remarkable increase in precipitation over most of subtropical Argentina, especially since 1960. This has favored agriculture yields and the extension of crop lands into semiarid regions, but this increase also came with more frequent heavy rainfalls and consequent flooding of rural and urban areas. Since the early 1970s, the main rivers of the Plata Basin have increased their mean flows, but this was attributable not only to increased precipitation, but also to land use changes. In contrast, over the Andes Mountains, reduced rainfall and increased temperature has led to glaciers receding and reduced river flows. Climate projections for the first half of this century maintain observed trends and raise additional concerns that in most cases can be dealt with timely adaptation policies. However, by the end of this century, under an extreme emissions scenario, the projected warming reaches 3.5\u00b0C in the north of the country with respect to present\u2010day conditions. There is insufficient knowledge to assume that this warming would not create severe damages to the people and the economy of Argentina. Because of the damages and casualties that heat waves and extreme precipitation events are already producing, the first and most urgent adaptation required is to reinforce early warning systems and contingency planning to cope with climatic extremes and their consequences on health. WIREs Clim Change 2015, 6:151\u2013169. doi: 10.1002/wcc.316 Fig: CMIP5 multi\u2010model ensemble mean of annual precipitation (mm day\u22121) for the near\u2010term (2016\u20132035) left, and long\u2010term (2081\u20132100) right relative to 1986\u20132005 under RCP4.5 top and RCP8.5 bottom.", "author" : [ { "dropping-particle" : "", "family" : "Barros", "given" : "Vicente Ricardo", "non-dropping-particle" : "", "parse-names" : false, "suffix" : "" }, { "dropping-particle" : "", "family" : "Boninsegna", "given" : "Jos\u00e9 Armando", "non-dropping-particle" : "", "parse-names" : false, "suffix" : "" }, { "dropping-particle" : "", "family" : "Camilloni", "given" : "In\u00e9s Angela", "non-dropping-particle" : "", "parse-names" : false, "suffix" : "" }, { "dropping-particle" : "", "family" : "Chidiak", "given" : "Martina", "non-dropping-particle" : "", "parse-names" : false, "suffix" : "" }, { "dropping-particle" : "", "family" : "Magr\u00edn", "given" : "Graciela Odilia", "non-dropping-particle" : "", "parse-names" : false, "suffix" : "" }, { "dropping-particle" : "", "family" : "Rusticucci", "given" : "Matilde", "non-dropping-particle" : "", "parse-names" : false, "suffix" : "" } ], "container-title" : "Wiley Interdisciplinary Reviews: Climate Change", "id" : "ITEM-1", "issue" : "2", "issued" : { "date-parts" : [ [ "2015" ] ] }, "page" : "151-169", "title" : "Climate change in Argentina: Trends, projections, impacts and adaptation", "type" : "article-journal", "volume" : "6" }, "uris" : [ "http://www.mendeley.com/documents/?uuid=ff0d4ad9-7712-4b87-a035-c1b60d76fb63" ] } ], "mendeley" : { "formattedCitation" : "(Barros et al. 2015)", "manualFormatting" : "(Barros et al., 2015)", "plainTextFormattedCitation" : "(Barros et al. 2015)", "previouslyFormattedCitation" : "(Barros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(Barros et al., 2015)</w:t>
      </w:r>
      <w:r w:rsidRPr="008608AA">
        <w:rPr>
          <w:rFonts w:eastAsia="Calibri"/>
        </w:rPr>
        <w:fldChar w:fldCharType="end"/>
      </w:r>
      <w:r w:rsidR="00C45D57" w:rsidRPr="008608AA">
        <w:rPr>
          <w:rFonts w:eastAsia="Calibri"/>
        </w:rPr>
        <w:t xml:space="preserve">. </w:t>
      </w:r>
      <w:r w:rsidRPr="008608AA">
        <w:rPr>
          <w:rFonts w:eastAsia="Calibri"/>
        </w:rPr>
        <w:t xml:space="preserve">Reduced river flows in Argentina have suggested a decrease in precipitation </w:t>
      </w:r>
      <w:r w:rsidRPr="008608AA">
        <w:rPr>
          <w:rFonts w:eastAsia="Calibri"/>
        </w:rPr>
        <w:fldChar w:fldCharType="begin" w:fldLock="1"/>
      </w:r>
      <w:r w:rsidRPr="008608AA">
        <w:rPr>
          <w:rFonts w:eastAsia="Calibri"/>
        </w:rPr>
        <w:instrText>ADDIN CSL_CITATION { "citationItems" : [ { "id" : "ITEM-1", "itemData" : { "DOI" : "10.1002/wcc.316", "ISSN" : "17577799", "abstract" : "In most of Argentina, the warming since 1901 was a little lower than the global average, although with strong trends in temperature extremes and in heat waves during the most recent decades. There was a remarkable increase in precipitation over most of subtropical Argentina, especially since 1960. This has favored agriculture yields and the extension of crop lands into semiarid regions, but this increase also came with more frequent heavy rainfalls and consequent flooding of rural and urban areas. Since the early 1970s, the main rivers of the Plata Basin have increased their mean flows, but this was attributable not only to increased precipitation, but also to land use changes. In contrast, over the Andes Mountains, reduced rainfall and increased temperature has led to glaciers receding and reduced river flows. Climate projections for the first half of this century maintain observed trends and raise additional concerns that in most cases can be dealt with timely adaptation policies. However, by the end of this century, under an extreme emissions scenario, the projected warming reaches 3.5\u00b0C in the north of the country with respect to present\u2010day conditions. There is insufficient knowledge to assume that this warming would not create severe damages to the people and the economy of Argentina. Because of the damages and casualties that heat waves and extreme precipitation events are already producing, the first and most urgent adaptation required is to reinforce early warning systems and contingency planning to cope with climatic extremes and their consequences on health. WIREs Clim Change 2015, 6:151\u2013169. doi: 10.1002/wcc.316 Fig: CMIP5 multi\u2010model ensemble mean of annual precipitation (mm day\u22121) for the near\u2010term (2016\u20132035) left, and long\u2010term (2081\u20132100) right relative to 1986\u20132005 under RCP4.5 top and RCP8.5 bottom.", "author" : [ { "dropping-particle" : "", "family" : "Barros", "given" : "Vicente Ricardo", "non-dropping-particle" : "", "parse-names" : false, "suffix" : "" }, { "dropping-particle" : "", "family" : "Boninsegna", "given" : "Jos\u00e9 Armando", "non-dropping-particle" : "", "parse-names" : false, "suffix" : "" }, { "dropping-particle" : "", "family" : "Camilloni", "given" : "In\u00e9s Angela", "non-dropping-particle" : "", "parse-names" : false, "suffix" : "" }, { "dropping-particle" : "", "family" : "Chidiak", "given" : "Martina", "non-dropping-particle" : "", "parse-names" : false, "suffix" : "" }, { "dropping-particle" : "", "family" : "Magr\u00edn", "given" : "Graciela Odilia", "non-dropping-particle" : "", "parse-names" : false, "suffix" : "" }, { "dropping-particle" : "", "family" : "Rusticucci", "given" : "Matilde", "non-dropping-particle" : "", "parse-names" : false, "suffix" : "" } ], "container-title" : "Wiley Interdisciplinary Reviews: Climate Change", "id" : "ITEM-1", "issue" : "2", "issued" : { "date-parts" : [ [ "2015" ] ] }, "page" : "151-169", "title" : "Climate change in Argentina: Trends, projections, impacts and adaptation", "type" : "article-journal", "volume" : "6" }, "uris" : [ "http://www.mendeley.com/documents/?uuid=ff0d4ad9-7712-4b87-a035-c1b60d76fb63" ] } ], "mendeley" : { "formattedCitation" : "(Barros et al. 2015)", "manualFormatting" : "(Barros et al., 2015)", "plainTextFormattedCitation" : "(Barros et al. 2015)", "previouslyFormattedCitation" : "(Barros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(Barros et al., 2015)</w:t>
      </w:r>
      <w:r w:rsidRPr="008608AA">
        <w:rPr>
          <w:rFonts w:eastAsia="Calibri"/>
        </w:rPr>
        <w:fldChar w:fldCharType="end"/>
      </w:r>
      <w:r w:rsidRPr="008608AA">
        <w:rPr>
          <w:rFonts w:eastAsia="Calibri"/>
        </w:rPr>
        <w:t xml:space="preserve">, but the precipitation trends are less clear in other regions of the Andes Mountains </w:t>
      </w:r>
      <w:r w:rsidRPr="008608AA">
        <w:rPr>
          <w:rFonts w:eastAsia="Calibri"/>
        </w:rPr>
        <w:fldChar w:fldCharType="begin" w:fldLock="1"/>
      </w:r>
      <w:r w:rsidRPr="008608AA">
        <w:rPr>
          <w:rFonts w:eastAsia="Calibri"/>
        </w:rPr>
        <w:instrText>ADDIN CSL_CITATION { "citationItems" : [ { "id" : "ITEM-1", "itemData" : { "DOI" : "10.1002/joc.1863", "ISBN" : "1097-0088", "ISSN" : "08998418", "PMID" : "23739423", "abstract" : "Using the PRECIS regional climate modeling system this study analyses the distribution of extremes of temperature and precipitation in South America in the recent past (1961\u20131990) and in a future (2071\u20132100) climate under the IPCC SRES A2 and B2 emissions scenarios. The results show that for the present climate the model simulates well the spatial distribution of extreme temperature and rainfall events when compared with observations, with temperature the more realistic. The observations over the region are far from comprehensive which compromises the assessment of model quality. In all the future climate scenarios considered all parts of the region would experience significant and often different changes in rainfall and temperature extremes. In the future, the occurrence of warm nights is projected to be more frequent in the entire tropical South America while the occurrence of cold night events is likely to decrease. Significant changes in rainfall extremes and dry spells are also projected. These include increased intensity of extreme precipitation events over most of Southeastern South America and western Amazonia consistent with projected increasing trends in total rainfall in these regions. In Northeast Brazil and eastern Amazonia smaller or no changes are seen in projected rainfall intensity though significant changes are seen in the frequency of consecutive dry days. Copyright \u00a9 2009 Royal Meteorological Society", "author" : [ { "dropping-particle" : "", "family" : "Marengo", "given" : "J. A.", "non-dropping-particle" : "", "parse-names" : false, "suffix" : "" }, { "dropping-particle" : "", "family" : "Jones", "given" : "R.", "non-dropping-particle" : "", "parse-names" : false, "suffix" : "" }, { "dropping-particle" : "", "family" : "Alves", "given" : "L. M.", "non-dropping-particle" : "", "parse-names" : false, "suffix" : "" }, { "dropping-particle" : "", "family" : "Valverde", "given" : "M. C.", "non-dropping-particle" : "", "parse-names" : false, "suffix" : "" } ], "container-title" : "International Journal of Climatology", "id" : "ITEM-1", "issue" : "15", "issued" : { "date-parts" : [ [ "2009" ] ] }, "page" : "2241-2255", "title" : "Future change of temperature and precipitation extremes in south america as derived from the precis regional climate modeling system", "type" : "article-journal", "volume" : "29" }, "uris" : [ "http://www.mendeley.com/documents/?uuid=d3c17d4e-f1c1-4476-974a-a11119434ca2" ] } ], "mendeley" : { "formattedCitation" : "(Marengo et al. 2009)", "manualFormatting" : "(Marengo et al., 2009)", "plainTextFormattedCitation" : "(Marengo et al. 2009)", "previouslyFormattedCitation" : "(Marengo et al. 2009)" }, "properties" : { "noteIndex" : 0 }, "schema" : "https://github.com/citation-style-language/schema/raw/master/csl-citation.json" }</w:instrText>
      </w:r>
      <w:r w:rsidRPr="008608AA">
        <w:rPr>
          <w:rFonts w:eastAsia="Calibri"/>
        </w:rPr>
        <w:fldChar w:fldCharType="separate"/>
      </w:r>
      <w:r w:rsidRPr="008608AA">
        <w:rPr>
          <w:rFonts w:eastAsia="Calibri"/>
          <w:noProof/>
        </w:rPr>
        <w:t>(Marengo et al., 2009)</w:t>
      </w:r>
      <w:r w:rsidRPr="008608AA">
        <w:rPr>
          <w:rFonts w:eastAsia="Calibri"/>
        </w:rPr>
        <w:fldChar w:fldCharType="end"/>
      </w:r>
      <w:r w:rsidRPr="008608AA">
        <w:rPr>
          <w:rFonts w:eastAsia="Calibri"/>
        </w:rPr>
        <w:t xml:space="preserve">. </w:t>
      </w:r>
      <w:r w:rsidRPr="008608AA">
        <w:rPr>
          <w:rFonts w:eastAsia="Calibri"/>
        </w:rPr>
        <w:fldChar w:fldCharType="begin" w:fldLock="1"/>
      </w:r>
      <w:r w:rsidRPr="008608AA">
        <w:rPr>
          <w:rFonts w:eastAsia="Calibri"/>
        </w:rPr>
        <w:instrText>ADDIN CSL_CITATION { "citationItems" : [ { "id" : "ITEM-1", "itemData" : { "DOI" : "10.1007/978-94-015-1252-7_5", "abstract" : "Linear trend analysis of observational data combined with model diagnostics from an atmospheric general circulation model are employed to search for potential mechanisms related to the observed glacier retreat in the tropical Andes between 1950 and 1998. Observational evidence indicates that changes in precipitation amount or cloud cover over the last decades are minor in most regions and are therefore rather unlikely to have caused the observed retreat. The only exception is in southern Peru and western Bolivia where there is a general tendency toward slightly drier conditions. Near-surface temperature on the other hand has increased significantly throughout most of the tropi- cal Andes. The temperature increase variesmarkedly between the eastern and western Andean slopes with a much larger temperature increase to the west. Simulations with the ECHAM-4 model, forced with observed global sea surface temperatures (SST) realistically reproduce the observed warming trend as well as the spatial trend pattern. Model results further suggest that a significant fraction of the observed warming can be traced to a concurrent rise in SST in the equatorial Pacific and that the markedly different trends in cloud cover to the east and west of the Andes contributed to the weaker warming east of the Andes in the model. The observed increase in relative humidity, derived from CRU 05 data, is also apparent in the model simulations, but on a regional scale the results between model and observations vary significantly. It is argued that changes in temperature and humidity are the primary cause for the observed glacier retreat during the 2nd half of the 20th century in the tropical Andes.", "author" : [ { "dropping-particle" : "", "family" : "Vuille", "given" : "Mathias", "non-dropping-particle" : "", "parse-names" : false, "suffix" : "" }, { "dropping-particle" : "", "family" : "Bradley", "given" : "Raymond S.", "non-dropping-particle" : "", "parse-names" : false, "suffix" : "" }, { "dropping-particle" : "", "family" : "Werner", "given" : "Mart\u00edn", "non-dropping-particle" : "", "parse-names" : false, "suffix" : "" }, { "dropping-particle" : "", "family" : "Keimig", "given" : "Frank", "non-dropping-particle" : "", "parse-names" : false, "suffix" : "" } ], "container-title" : "Climatic Change", "id" : "ITEM-1", "issued" : { "date-parts" : [ [ "2003" ] ] }, "page" : "75-99", "title" : "20Th Century Climate Change in the Tropical Andes : Observations and Model Results", "type" : "article-journal", "volume" : "59" }, "uris" : [ "http://www.mendeley.com/documents/?uuid=a5df0e1c-5046-4921-9922-e6d063dc36ff" ] } ], "mendeley" : { "formattedCitation" : "(Vuille et al. 2003)", "manualFormatting" : "Vuille et al. (2003)", "plainTextFormattedCitation" : "(Vuille et al. 2003)", "previouslyFormattedCitation" : "(Vuille et al. 2003)" }, "properties" : { "noteIndex" : 0 }, "schema" : "https://github.com/citation-style-language/schema/raw/master/csl-citation.json" }</w:instrText>
      </w:r>
      <w:r w:rsidRPr="008608AA">
        <w:rPr>
          <w:rFonts w:eastAsia="Calibri"/>
        </w:rPr>
        <w:fldChar w:fldCharType="separate"/>
      </w:r>
      <w:r w:rsidRPr="008608AA">
        <w:rPr>
          <w:rFonts w:eastAsia="Calibri"/>
          <w:noProof/>
        </w:rPr>
        <w:t>Vuille et al. (2003)</w:t>
      </w:r>
      <w:r w:rsidRPr="008608AA">
        <w:rPr>
          <w:rFonts w:eastAsia="Calibri"/>
        </w:rPr>
        <w:fldChar w:fldCharType="end"/>
      </w:r>
      <w:r w:rsidRPr="008608AA">
        <w:rPr>
          <w:rFonts w:eastAsia="Calibri"/>
        </w:rPr>
        <w:t xml:space="preserve"> found that precipitation was greater north of approximately 11°S, whereas stations found south of that mark showed decreasing precipitation between 1959 and 1994. </w:t>
      </w:r>
    </w:p>
    <w:p w14:paraId="609BBFB9" w14:textId="045DE500" w:rsidR="001E61A6" w:rsidRPr="008608AA" w:rsidRDefault="001E61A6" w:rsidP="00A345FC">
      <w:pPr>
        <w:spacing w:before="120"/>
        <w:rPr>
          <w:rFonts w:eastAsia="Calibri"/>
        </w:rPr>
      </w:pPr>
      <w:r w:rsidRPr="008608AA">
        <w:rPr>
          <w:rFonts w:eastAsia="Calibri"/>
        </w:rPr>
        <w:t xml:space="preserve">Projected temperatures suggest increases of 2.0-3.5°C by the end of the </w:t>
      </w:r>
      <w:r w:rsidR="00C45D57" w:rsidRPr="008608AA">
        <w:rPr>
          <w:rFonts w:eastAsia="Calibri"/>
        </w:rPr>
        <w:t>21st</w:t>
      </w:r>
      <w:r w:rsidRPr="008608AA">
        <w:rPr>
          <w:rFonts w:eastAsia="Calibri"/>
        </w:rPr>
        <w:t xml:space="preserve"> century, which has the potential to cause glaciers to retreat substantially or disappear altogether </w:t>
      </w:r>
      <w:r w:rsidRPr="008608AA">
        <w:rPr>
          <w:rFonts w:eastAsia="Calibri"/>
        </w:rPr>
        <w:fldChar w:fldCharType="begin" w:fldLock="1"/>
      </w:r>
      <w:r w:rsidRPr="008608AA">
        <w:rPr>
          <w:rFonts w:eastAsia="Calibri"/>
        </w:rPr>
        <w:instrText>ADDIN CSL_CITATION { "citationItems" : [ { "id" : "ITEM-1", "itemData" : { "DOI" : "10.1002/wcc.316", "ISSN" : "17577799", "abstract" : "In most of Argentina, the warming since 1901 was a little lower than the global average, although with strong trends in temperature extremes and in heat waves during the most recent decades. There was a remarkable increase in precipitation over most of subtropical Argentina, especially since 1960. This has favored agriculture yields and the extension of crop lands into semiarid regions, but this increase also came with more frequent heavy rainfalls and consequent flooding of rural and urban areas. Since the early 1970s, the main rivers of the Plata Basin have increased their mean flows, but this was attributable not only to increased precipitation, but also to land use changes. In contrast, over the Andes Mountains, reduced rainfall and increased temperature has led to glaciers receding and reduced river flows. Climate projections for the first half of this century maintain observed trends and raise additional concerns that in most cases can be dealt with timely adaptation policies. However, by the end of this century, under an extreme emissions scenario, the projected warming reaches 3.5\u00b0C in the north of the country with respect to present\u2010day conditions. There is insufficient knowledge to assume that this warming would not create severe damages to the people and the economy of Argentina. Because of the damages and casualties that heat waves and extreme precipitation events are already producing, the first and most urgent adaptation required is to reinforce early warning systems and contingency planning to cope with climatic extremes and their consequences on health. WIREs Clim Change 2015, 6:151\u2013169. doi: 10.1002/wcc.316 Fig: CMIP5 multi\u2010model ensemble mean of annual precipitation (mm day\u22121) for the near\u2010term (2016\u20132035) left, and long\u2010term (2081\u20132100) right relative to 1986\u20132005 under RCP4.5 top and RCP8.5 bottom.", "author" : [ { "dropping-particle" : "", "family" : "Barros", "given" : "Vicente Ricardo", "non-dropping-particle" : "", "parse-names" : false, "suffix" : "" }, { "dropping-particle" : "", "family" : "Boninsegna", "given" : "Jos\u00e9 Armando", "non-dropping-particle" : "", "parse-names" : false, "suffix" : "" }, { "dropping-particle" : "", "family" : "Camilloni", "given" : "In\u00e9s Angela", "non-dropping-particle" : "", "parse-names" : false, "suffix" : "" }, { "dropping-particle" : "", "family" : "Chidiak", "given" : "Martina", "non-dropping-particle" : "", "parse-names" : false, "suffix" : "" }, { "dropping-particle" : "", "family" : "Magr\u00edn", "given" : "Graciela Odilia", "non-dropping-particle" : "", "parse-names" : false, "suffix" : "" }, { "dropping-particle" : "", "family" : "Rusticucci", "given" : "Matilde", "non-dropping-particle" : "", "parse-names" : false, "suffix" : "" } ], "container-title" : "Wiley Interdisciplinary Reviews: Climate Change", "id" : "ITEM-1", "issue" : "2", "issued" : { "date-parts" : [ [ "2015" ] ] }, "page" : "151-169", "title" : "Climate change in Argentina: Trends, projections, impacts and adaptation", "type" : "article-journal", "volume" : "6" }, "uris" : [ "http://www.mendeley.com/documents/?uuid=ff0d4ad9-7712-4b87-a035-c1b60d76fb63" ] } ], "mendeley" : { "formattedCitation" : "(Barros et al. 2015)", "manualFormatting" : "(Barros et al., 2015)", "plainTextFormattedCitation" : "(Barros et al. 2015)", "previouslyFormattedCitation" : "(Barros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(Barros et al., 2015)</w:t>
      </w:r>
      <w:r w:rsidRPr="008608AA">
        <w:rPr>
          <w:rFonts w:eastAsia="Calibri"/>
        </w:rPr>
        <w:fldChar w:fldCharType="end"/>
      </w:r>
      <w:r w:rsidRPr="008608AA">
        <w:rPr>
          <w:rFonts w:eastAsia="Calibri"/>
        </w:rPr>
        <w:t>.  Precipitation is most likely going to increase between the latitudes of 5°N and 20°S, particularly in northern Peru where precipitation could increase as much as 70% (Marengo et al.</w:t>
      </w:r>
      <w:r w:rsidR="004C2EB9" w:rsidRPr="008608AA">
        <w:rPr>
          <w:rFonts w:eastAsia="Calibri"/>
        </w:rPr>
        <w:t>,</w:t>
      </w:r>
      <w:r w:rsidRPr="008608AA">
        <w:rPr>
          <w:rFonts w:eastAsia="Calibri"/>
        </w:rPr>
        <w:t xml:space="preserve"> 2011).  However, precipitation is most likely going to decrease (as much as 10%) in the subtropical Andes south to Patagonia an</w:t>
      </w:r>
      <w:r w:rsidR="00C45D57" w:rsidRPr="008608AA">
        <w:rPr>
          <w:rFonts w:eastAsia="Calibri"/>
        </w:rPr>
        <w:t>d on the a</w:t>
      </w:r>
      <w:r w:rsidRPr="008608AA">
        <w:rPr>
          <w:rFonts w:eastAsia="Calibri"/>
        </w:rPr>
        <w:t>ltiplano (Marengo et al.</w:t>
      </w:r>
      <w:r w:rsidR="004C2EB9" w:rsidRPr="008608AA">
        <w:rPr>
          <w:rFonts w:eastAsia="Calibri"/>
        </w:rPr>
        <w:t>,</w:t>
      </w:r>
      <w:r w:rsidRPr="008608AA">
        <w:rPr>
          <w:rFonts w:eastAsia="Calibri"/>
        </w:rPr>
        <w:t xml:space="preserve"> 2011). Additionally, Andes snowfall will be less common in the mountains of Argentina and melt earlier in the spring, affecting the amount of water available for summer irrigation </w:t>
      </w:r>
      <w:r w:rsidRPr="008608AA">
        <w:rPr>
          <w:rFonts w:eastAsia="Calibri"/>
        </w:rPr>
        <w:fldChar w:fldCharType="begin" w:fldLock="1"/>
      </w:r>
      <w:r w:rsidRPr="008608AA">
        <w:rPr>
          <w:rFonts w:eastAsia="Calibri"/>
        </w:rPr>
        <w:instrText>ADDIN CSL_CITATION { "citationItems" : [ { "id" : "ITEM-1", "itemData" : { "DOI" : "10.1002/wcc.316", "ISSN" : "17577799", "abstract" : "In most of Argentina, the warming since 1901 was a little lower than the global average, although with strong trends in temperature extremes and in heat waves during the most recent decades. There was a remarkable increase in precipitation over most of subtropical Argentina, especially since 1960. This has favored agriculture yields and the extension of crop lands into semiarid regions, but this increase also came with more frequent heavy rainfalls and consequent flooding of rural and urban areas. Since the early 1970s, the main rivers of the Plata Basin have increased their mean flows, but this was attributable not only to increased precipitation, but also to land use changes. In contrast, over the Andes Mountains, reduced rainfall and increased temperature has led to glaciers receding and reduced river flows. Climate projections for the first half of this century maintain observed trends and raise additional concerns that in most cases can be dealt with timely adaptation policies. However, by the end of this century, under an extreme emissions scenario, the projected warming reaches 3.5\u00b0C in the north of the country with respect to present\u2010day conditions. There is insufficient knowledge to assume that this warming would not create severe damages to the people and the economy of Argentina. Because of the damages and casualties that heat waves and extreme precipitation events are already producing, the first and most urgent adaptation required is to reinforce early warning systems and contingency planning to cope with climatic extremes and their consequences on health. WIREs Clim Change 2015, 6:151\u2013169. doi: 10.1002/wcc.316 Fig: CMIP5 multi\u2010model ensemble mean of annual precipitation (mm day\u22121) for the near\u2010term (2016\u20132035) left, and long\u2010term (2081\u20132100) right relative to 1986\u20132005 under RCP4.5 top and RCP8.5 bottom.", "author" : [ { "dropping-particle" : "", "family" : "Barros", "given" : "Vicente Ricardo", "non-dropping-particle" : "", "parse-names" : false, "suffix" : "" }, { "dropping-particle" : "", "family" : "Boninsegna", "given" : "Jos\u00e9 Armando", "non-dropping-particle" : "", "parse-names" : false, "suffix" : "" }, { "dropping-particle" : "", "family" : "Camilloni", "given" : "In\u00e9s Angela", "non-dropping-particle" : "", "parse-names" : false, "suffix" : "" }, { "dropping-particle" : "", "family" : "Chidiak", "given" : "Martina", "non-dropping-particle" : "", "parse-names" : false, "suffix" : "" }, { "dropping-particle" : "", "family" : "Magr\u00edn", "given" : "Graciela Odilia", "non-dropping-particle" : "", "parse-names" : false, "suffix" : "" }, { "dropping-particle" : "", "family" : "Rusticucci", "given" : "Matilde", "non-dropping-particle" : "", "parse-names" : false, "suffix" : "" } ], "container-title" : "Wiley Interdisciplinary Reviews: Climate Change", "id" : "ITEM-1", "issue" : "2", "issued" : { "date-parts" : [ [ "2015" ] ] }, "page" : "151-169", "title" : "Climate change in Argentina: Trends, projections, impacts and adaptation", "type" : "article-journal", "volume" : "6" }, "uris" : [ "http://www.mendeley.com/documents/?uuid=ff0d4ad9-7712-4b87-a035-c1b60d76fb63" ] } ], "mendeley" : { "formattedCitation" : "(Barros et al. 2015)", "manualFormatting" : "(Barros et al., 2015)", "plainTextFormattedCitation" : "(Barros et al. 2015)", "previouslyFormattedCitation" : "(Barros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(Barros et al., 2015)</w:t>
      </w:r>
      <w:r w:rsidRPr="008608AA">
        <w:rPr>
          <w:rFonts w:eastAsia="Calibri"/>
        </w:rPr>
        <w:fldChar w:fldCharType="end"/>
      </w:r>
      <w:r w:rsidR="00C45D57" w:rsidRPr="008608AA">
        <w:rPr>
          <w:rFonts w:eastAsia="Calibri"/>
        </w:rPr>
        <w:t xml:space="preserve">. </w:t>
      </w:r>
      <w:r w:rsidRPr="008608AA">
        <w:rPr>
          <w:rFonts w:eastAsia="Calibri"/>
        </w:rPr>
        <w:t xml:space="preserve">Important tropical Andes ecosystems, like páramos, punas, and evergreen montane forests, are projected to undergo a large amount of species turnover or loss of species richness </w:t>
      </w:r>
      <w:r w:rsidRPr="008608AA">
        <w:rPr>
          <w:rFonts w:eastAsia="Calibri"/>
        </w:rPr>
        <w:fldChar w:fldCharType="begin" w:fldLock="1"/>
      </w:r>
      <w:r w:rsidRPr="008608AA">
        <w:rPr>
          <w:rFonts w:eastAsia="Calibri"/>
        </w:rPr>
        <w:instrText>ADDIN CSL_CITATION { "citationItems" : [ { "id" : "ITEM-1", "itemData" : { "DOI" : "10.1016/j.jnc.2014.03.007", "ISBN" : "1617-1381; 1618-1093", "ISSN" : "16171381", "abstract" : "Biodiversity in the Tropical Andes is under continuous threat from anthropogenic activities. Projected changes in climate will likely exacerbate this situation. Using species distribution models, we assess possible future changes in the diversity and climatic niche size of an unprecedented number of species for the region. We modeled a broad range of taxa (11,012 species of birds and vascular plants), including both endemic and widespread species and provide a comprehensive estimation of climate change impacts on the Andes. We find that if no dispersal is assumed, by 2050s, more than 50% of the species studied are projected to undergo reductions of at least 45% in their climatic niche, whilst 10% of species could be extinct. Even assuming unlimited dispersal, most of the Andean endemics (comprising ~5% of our dataset) would become severely threatened (&gt;50% climatic niche loss). While some areas appear to be climatically stable (e.g. Pichincha and Imbabura in Ecuador; and Nari\u00f1o, Cauca, Valle del Cauca and Putumayo in Colombia) and hence depict little diversity loss and/or potential species gains, major negative impacts were also observed. Tropical high Andean grasslands (p\u00e1ramos and punas) and evergreen montane forests, two key ecosystems for the provision of environmental services in the region, are projected to experience negative changes in species richness and high rates of species turnover. Adapting to these impacts would require a landscape-network based approach to conservation, including protected areas, their buffer zones and corridors. A central aspect of such network is the implementation of an integrated landscape management approach based on sustainable management and restoration practices covering wider areas than currently contemplated. \u00a9 2014 Elsevier GmbH.", "author" : [ { "dropping-particle" : "", "family" : "Ramirez-Villegas", "given" : "Julian", "non-dropping-particle" : "", "parse-names" : false, "suffix" : "" }, { "dropping-particle" : "", "family" : "Cuesta", "given" : "Francisco", "non-dropping-particle" : "", "parse-names" : false, "suffix" : "" }, { "dropping-particle" : "", "family" : "Devenish", "given" : "Christian", "non-dropping-particle" : "", "parse-names" : false, "suffix" : "" }, { "dropping-particle" : "", "family" : "Peralvo", "given" : "Manuel", "non-dropping-particle" : "", "parse-names" : false, "suffix" : "" }, { "dropping-particle" : "", "family" : "Jarvis", "given" : "Andy", "non-dropping-particle" : "", "parse-names" : false, "suffix" : "" }, { "dropping-particle" : "", "family" : "Arnillas", "given" : "Carlos Alberto", "non-dropping-particle" : "", "parse-names" : false, "suffix" : "" } ], "container-title" : "Journal for Nature Conservation", "id" : "ITEM-1", "issue" : "5", "issued" : { "date-parts" : [ [ "2014" ] ] }, "page" : "391-404", "publisher" : "Elsevier GmbH.", "title" : "Using species distributions models for designing conservation strategies of Tropical Andean biodiversity under climate change", "type" : "article-journal", "volume" : "22" }, "uris" : [ "http://www.mendeley.com/documents/?uuid=a7a9f7a4-c47c-46e7-b4a6-fe1d09914f08" ] } ], "mendeley" : { "formattedCitation" : "(Ramirez-Villegas et al. 2014)", "manualFormatting" : "(Ramirez-Villegas et al., 2014)", "plainTextFormattedCitation" : "(Ramirez-Villegas et al. 2014)", "previouslyFormattedCitation" : "(Ramirez-Villegas et al. 2014)" }, "properties" : { "noteIndex" : 0 }, "schema" : "https://github.com/citation-style-language/schema/raw/master/csl-citation.json" }</w:instrText>
      </w:r>
      <w:r w:rsidRPr="008608AA">
        <w:rPr>
          <w:rFonts w:eastAsia="Calibri"/>
        </w:rPr>
        <w:fldChar w:fldCharType="separate"/>
      </w:r>
      <w:r w:rsidRPr="008608AA">
        <w:rPr>
          <w:rFonts w:eastAsia="Calibri"/>
          <w:noProof/>
        </w:rPr>
        <w:t>(Ramirez-Villegas et al., 2014)</w:t>
      </w:r>
      <w:r w:rsidRPr="008608AA">
        <w:rPr>
          <w:rFonts w:eastAsia="Calibri"/>
        </w:rPr>
        <w:fldChar w:fldCharType="end"/>
      </w:r>
      <w:r w:rsidR="00EE6343" w:rsidRPr="008608AA">
        <w:rPr>
          <w:rFonts w:eastAsia="Calibri"/>
        </w:rPr>
        <w:t xml:space="preserve">. </w:t>
      </w:r>
      <w:r w:rsidRPr="008608AA">
        <w:rPr>
          <w:rFonts w:eastAsia="Calibri"/>
        </w:rPr>
        <w:t xml:space="preserve">The páramo grasslands, glaciers, and cryoturbated areas, which are found at the highest elevations, may be at greatest risk </w:t>
      </w:r>
      <w:r w:rsidRPr="008608AA">
        <w:rPr>
          <w:rFonts w:eastAsia="Calibri"/>
        </w:rPr>
        <w:fldChar w:fldCharType="begin" w:fldLock="1"/>
      </w:r>
      <w:r w:rsidRPr="008608AA">
        <w:rPr>
          <w:rFonts w:eastAsia="Calibri"/>
        </w:rPr>
        <w:instrText>ADDIN CSL_CITATION { "citationItems" : [ { "id" : "ITEM-1", "itemData" : { "DOI" : "10.1371/journal.pone.0063634", "ISBN" : "1932-6203", "ISSN" : "19326203", "PMID" : "23667651", "abstract" : "Observations and projections for mountain regions show a strong tendency towards upslope displacement of their biomes under future climate conditions. Because of their climatic and topographic heterogeneity, a more complex response is expected for biodiversity hotspots such as tropical mountain regions. This study analyzes potential changes in the distribution of biomes in the Tropical Andes and identifies target areas for conservation. Biome distribution models were developed using logistic regressions. These models were then coupled to an ensemble of 8 global climate models to project future distribution of the Andean biomes and their uncertainties. We analysed projected changes in extent and elevational range and identified regions most prone to change. Our results show a heterogeneous response to climate change. Although the wetter biomes exhibit an upslope displacement of both the upper and the lower boundaries as expected, most dry biomes tend to show downslope expansion. Despite important losses being projected for several biomes, projections suggest that between 74.8% and 83.1% of the current total Tropical Andes will remain stable, depending on the emission scenario and time horizon. Between 3.3% and 7.6% of the study area is projected to change, mostly towards an increase in vertical structure. For the remaining area (13.1%-17.4%), there is no agreement between model projections. These results challenge the common believe that climate change will lead to an upslope displacement of biome boundaries in mountain regions. Instead, our models project diverging responses, including downslope expansion and large areas projected to remain stable. Lastly, a significant part of the area expected to change is already affected by land use changes, which has important implications for management. This, and the inclusion of a comprehensive uncertainty analysis, will help to inform conservation strategies in the Tropical Andes, and to guide similar assessments for other tropical mountains.", "author" : [ { "dropping-particle" : "", "family" : "Tovar", "given" : "Carolina", "non-dropping-particle" : "", "parse-names" : false, "suffix" : "" }, { "dropping-particle" : "", "family" : "Arnillas", "given" : "Carlos Alberto", "non-dropping-particle" : "", "parse-names" : false, "suffix" : "" }, { "dropping-particle" : "", "family" : "Cuesta", "given" : "Francisco", "non-dropping-particle" : "", "parse-names" : false, "suffix" : "" }, { "dropping-particle" : "", "family" : "Buytaert", "given" : "Wouter", "non-dropping-particle" : "", "parse-names" : false, "suffix" : "" } ], "container-title" : "PLoS ONE", "id" : "ITEM-1", "issue" : "5", "issued" : { "date-parts" : [ [ "2013" ] ] }, "title" : "Diverging Responses of Tropical Andean Biomes under Future Climate Conditions", "type" : "article-journal", "volume" : "8" }, "uris" : [ "http://www.mendeley.com/documents/?uuid=f9180e88-ba2c-4846-a9b5-adee17ad9244" ] } ], "mendeley" : { "formattedCitation" : "(Tovar et al. 2013)", "manualFormatting" : "(Tovar et al., 2013)", "plainTextFormattedCitation" : "(Tovar et al. 2013)", "previouslyFormattedCitation" : "(Tovar et al. 2013)" }, "properties" : { "noteIndex" : 0 }, "schema" : "https://github.com/citation-style-language/schema/raw/master/csl-citation.json" }</w:instrText>
      </w:r>
      <w:r w:rsidRPr="008608AA">
        <w:rPr>
          <w:rFonts w:eastAsia="Calibri"/>
        </w:rPr>
        <w:fldChar w:fldCharType="separate"/>
      </w:r>
      <w:r w:rsidRPr="008608AA">
        <w:rPr>
          <w:rFonts w:eastAsia="Calibri"/>
          <w:noProof/>
        </w:rPr>
        <w:t>(Tovar et al., 2013)</w:t>
      </w:r>
      <w:r w:rsidRPr="008608AA">
        <w:rPr>
          <w:rFonts w:eastAsia="Calibri"/>
        </w:rPr>
        <w:fldChar w:fldCharType="end"/>
      </w:r>
      <w:r w:rsidR="00C45D57" w:rsidRPr="008608AA">
        <w:rPr>
          <w:rFonts w:eastAsia="Calibri"/>
        </w:rPr>
        <w:t>.</w:t>
      </w:r>
      <w:r w:rsidRPr="008608AA">
        <w:rPr>
          <w:rFonts w:eastAsia="Calibri"/>
        </w:rPr>
        <w:t xml:space="preserve"> Species found in the cloud forests of the Andes may be at risk of extinction due to observed upward shifts in ecotones, which could serve as barriers to species migration (Lutz et al., 2013) (see Chapter 3 for more details).</w:t>
      </w:r>
    </w:p>
    <w:p w14:paraId="5216FAFE" w14:textId="3CF4DCAE" w:rsidR="001E61A6" w:rsidRPr="008608AA" w:rsidRDefault="001E61A6" w:rsidP="00A345FC">
      <w:pPr>
        <w:spacing w:before="120"/>
        <w:rPr>
          <w:rFonts w:eastAsia="Calibri"/>
        </w:rPr>
      </w:pPr>
      <w:r w:rsidRPr="008608AA">
        <w:rPr>
          <w:rFonts w:eastAsia="Calibri"/>
        </w:rPr>
        <w:t xml:space="preserve">The Brazilian Cerrado, a large area of tropical dry forest, savanna, and grasslands found on the Brazilian Central Plateau, has been trending warmer, with an annual maximum temperature increase of 0.79°C between 1980 and 2004 </w:t>
      </w:r>
      <w:r w:rsidRPr="008608AA">
        <w:rPr>
          <w:rFonts w:eastAsia="Calibri"/>
        </w:rPr>
        <w:fldChar w:fldCharType="begin" w:fldLock="1"/>
      </w:r>
      <w:r w:rsidRPr="008608AA">
        <w:rPr>
          <w:rFonts w:eastAsia="Calibri"/>
        </w:rPr>
        <w:instrText>ADDIN CSL_CITATION { "citationItems" : [ { "id" : "ITEM-1", "itemData" : { "DOI" : "10.1590/S0102-77862014000100002", "ISSN" : "0102-7786", "abstract" : "The main objective of this study is to provide information on trends, in local scale, using records of daily temperature and precipitation of a single weather station in an ecological reserve of the savanna biome in Federal District/Brazil, analyzing different extreme climatic indices. The extreme temperature indices have identified that the days are getting warmer and the nights are cooler at local scale. Thus, the local diurnal temperature range is increasing. The results also evidence that the number of days with heavy precipitation is decreasing, but the precipitation indices presented high variability and suggest the importance of further studies related to changes in land use and urbanization. The locally obtained temperature results point to changes in South America.", "author" : [ { "dropping-particle" : "", "family" : "Santos", "given" : "Carlos Antonio", "non-dropping-particle" : "", "parse-names" : false, "suffix" : "" } ], "container-title" : "Revista Brasileira de Meteorologia", "id" : "ITEM-1", "issue" : "1", "issued" : { "date-parts" : [ [ "2014" ] ] }, "page" : "13-20", "title" : "Recent changes in temperature and precipitation extremes in an ecological reserve in federal district, Brazil", "type" : "article-journal", "volume" : "29" }, "uris" : [ "http://www.mendeley.com/documents/?uuid=a0f63393-626b-40b7-83f4-43f06d969e9b" ] } ], "mendeley" : { "formattedCitation" : "(Santos 2014)", "plainTextFormattedCitation" : "(Santos 2014)", "previouslyFormattedCitation" : "(Santos 2014)" }, "properties" : { "noteIndex" : 0 }, "schema" : "https://github.com/citation-style-language/schema/raw/master/csl-citation.json" }</w:instrText>
      </w:r>
      <w:r w:rsidRPr="008608AA">
        <w:rPr>
          <w:rFonts w:eastAsia="Calibri"/>
        </w:rPr>
        <w:fldChar w:fldCharType="separate"/>
      </w:r>
      <w:r w:rsidRPr="008608AA">
        <w:rPr>
          <w:rFonts w:eastAsia="Calibri"/>
          <w:noProof/>
        </w:rPr>
        <w:t>(Santos</w:t>
      </w:r>
      <w:r w:rsidR="00EE6343" w:rsidRPr="008608AA">
        <w:rPr>
          <w:rFonts w:eastAsia="Calibri"/>
          <w:noProof/>
        </w:rPr>
        <w:t>,</w:t>
      </w:r>
      <w:r w:rsidRPr="008608AA">
        <w:rPr>
          <w:rFonts w:eastAsia="Calibri"/>
          <w:noProof/>
        </w:rPr>
        <w:t xml:space="preserve"> 2014)</w:t>
      </w:r>
      <w:r w:rsidRPr="008608AA">
        <w:rPr>
          <w:rFonts w:eastAsia="Calibri"/>
        </w:rPr>
        <w:fldChar w:fldCharType="end"/>
      </w:r>
      <w:r w:rsidR="006870B5" w:rsidRPr="008608AA">
        <w:rPr>
          <w:rFonts w:eastAsia="Calibri"/>
        </w:rPr>
        <w:t>.</w:t>
      </w:r>
      <w:r w:rsidRPr="008608AA">
        <w:rPr>
          <w:rFonts w:eastAsia="Calibri"/>
        </w:rPr>
        <w:t xml:space="preserve"> Additionally, the number of days with temperatures &gt;25°C </w:t>
      </w:r>
      <w:r w:rsidR="006870B5" w:rsidRPr="008608AA">
        <w:rPr>
          <w:rFonts w:eastAsia="Calibri"/>
        </w:rPr>
        <w:t xml:space="preserve">increased at a rate of 4.4 days per </w:t>
      </w:r>
      <w:r w:rsidRPr="008608AA">
        <w:rPr>
          <w:rFonts w:eastAsia="Calibri"/>
        </w:rPr>
        <w:t xml:space="preserve">year during that same time period </w:t>
      </w:r>
      <w:r w:rsidRPr="008608AA">
        <w:rPr>
          <w:rFonts w:eastAsia="Calibri"/>
        </w:rPr>
        <w:fldChar w:fldCharType="begin" w:fldLock="1"/>
      </w:r>
      <w:r w:rsidRPr="008608AA">
        <w:rPr>
          <w:rFonts w:eastAsia="Calibri"/>
        </w:rPr>
        <w:instrText>ADDIN CSL_CITATION { "citationItems" : [ { "id" : "ITEM-1", "itemData" : { "DOI" : "10.1590/S0102-77862014000100002", "ISSN" : "0102-7786", "abstract" : "The main objective of this study is to provide information on trends, in local scale, using records of daily temperature and precipitation of a single weather station in an ecological reserve of the savanna biome in Federal District/Brazil, analyzing different extreme climatic indices. The extreme temperature indices have identified that the days are getting warmer and the nights are cooler at local scale. Thus, the local diurnal temperature range is increasing. The results also evidence that the number of days with heavy precipitation is decreasing, but the precipitation indices presented high variability and suggest the importance of further studies related to changes in land use and urbanization. The locally obtained temperature results point to changes in South America.", "author" : [ { "dropping-particle" : "", "family" : "Santos", "given" : "Carlos Antonio", "non-dropping-particle" : "", "parse-names" : false, "suffix" : "" } ], "container-title" : "Revista Brasileira de Meteorologia", "id" : "ITEM-1", "issue" : "1", "issued" : { "date-parts" : [ [ "2014" ] ] }, "page" : "13-20", "title" : "Recent changes in temperature and precipitation extremes in an ecological reserve in federal district, Brazil", "type" : "article-journal", "volume" : "29" }, "uris" : [ "http://www.mendeley.com/documents/?uuid=a0f63393-626b-40b7-83f4-43f06d969e9b" ] } ], "mendeley" : { "formattedCitation" : "(Santos 2014)", "plainTextFormattedCitation" : "(Santos 2014)", "previouslyFormattedCitation" : "(Santos 2014)" }, "properties" : { "noteIndex" : 0 }, "schema" : "https://github.com/citation-style-language/schema/raw/master/csl-citation.json" }</w:instrText>
      </w:r>
      <w:r w:rsidRPr="008608AA">
        <w:rPr>
          <w:rFonts w:eastAsia="Calibri"/>
        </w:rPr>
        <w:fldChar w:fldCharType="separate"/>
      </w:r>
      <w:r w:rsidRPr="008608AA">
        <w:rPr>
          <w:rFonts w:eastAsia="Calibri"/>
          <w:noProof/>
        </w:rPr>
        <w:t>(Santos</w:t>
      </w:r>
      <w:r w:rsidR="00EE6343" w:rsidRPr="008608AA">
        <w:rPr>
          <w:rFonts w:eastAsia="Calibri"/>
          <w:noProof/>
        </w:rPr>
        <w:t>,</w:t>
      </w:r>
      <w:r w:rsidRPr="008608AA">
        <w:rPr>
          <w:rFonts w:eastAsia="Calibri"/>
          <w:noProof/>
        </w:rPr>
        <w:t xml:space="preserve"> 2014)</w:t>
      </w:r>
      <w:r w:rsidRPr="008608AA">
        <w:rPr>
          <w:rFonts w:eastAsia="Calibri"/>
        </w:rPr>
        <w:fldChar w:fldCharType="end"/>
      </w:r>
      <w:r w:rsidR="006870B5" w:rsidRPr="008608AA">
        <w:rPr>
          <w:rFonts w:eastAsia="Calibri"/>
        </w:rPr>
        <w:t xml:space="preserve">. </w:t>
      </w:r>
      <w:r w:rsidRPr="008608AA">
        <w:rPr>
          <w:rFonts w:eastAsia="Calibri"/>
        </w:rPr>
        <w:t>Precipitation trends are less clear, with the exception of the number of days with heavy precipitation (&gt;10mm), which</w:t>
      </w:r>
      <w:r w:rsidR="006870B5" w:rsidRPr="008608AA">
        <w:rPr>
          <w:rFonts w:eastAsia="Calibri"/>
        </w:rPr>
        <w:t xml:space="preserve"> showed a decrease of 0.43 days per </w:t>
      </w:r>
      <w:r w:rsidRPr="008608AA">
        <w:rPr>
          <w:rFonts w:eastAsia="Calibri"/>
        </w:rPr>
        <w:t xml:space="preserve">year between 1980 and 2004 </w:t>
      </w:r>
      <w:r w:rsidRPr="008608AA">
        <w:rPr>
          <w:rFonts w:eastAsia="Calibri"/>
        </w:rPr>
        <w:fldChar w:fldCharType="begin" w:fldLock="1"/>
      </w:r>
      <w:r w:rsidRPr="008608AA">
        <w:rPr>
          <w:rFonts w:eastAsia="Calibri"/>
        </w:rPr>
        <w:instrText>ADDIN CSL_CITATION { "citationItems" : [ { "id" : "ITEM-1", "itemData" : { "DOI" : "10.1590/S0102-77862014000100002", "ISSN" : "0102-7786", "abstract" : "The main objective of this study is to provide information on trends, in local scale, using records of daily temperature and precipitation of a single weather station in an ecological reserve of the savanna biome in Federal District/Brazil, analyzing different extreme climatic indices. The extreme temperature indices have identified that the days are getting warmer and the nights are cooler at local scale. Thus, the local diurnal temperature range is increasing. The results also evidence that the number of days with heavy precipitation is decreasing, but the precipitation indices presented high variability and suggest the importance of further studies related to changes in land use and urbanization. The locally obtained temperature results point to changes in South America.", "author" : [ { "dropping-particle" : "", "family" : "Santos", "given" : "Carlos Antonio", "non-dropping-particle" : "", "parse-names" : false, "suffix" : "" } ], "container-title" : "Revista Brasileira de Meteorologia", "id" : "ITEM-1", "issue" : "1", "issued" : { "date-parts" : [ [ "2014" ] ] }, "page" : "13-20", "title" : "Recent changes in temperature and precipitation extremes in an ecological reserve in federal district, Brazil", "type" : "article-journal", "volume" : "29" }, "uris" : [ "http://www.mendeley.com/documents/?uuid=a0f63393-626b-40b7-83f4-43f06d969e9b" ] } ], "mendeley" : { "formattedCitation" : "(Santos 2014)", "plainTextFormattedCitation" : "(Santos 2014)", "previouslyFormattedCitation" : "(Santos 2014)" }, "properties" : { "noteIndex" : 0 }, "schema" : "https://github.com/citation-style-language/schema/raw/master/csl-citation.json" }</w:instrText>
      </w:r>
      <w:r w:rsidRPr="008608AA">
        <w:rPr>
          <w:rFonts w:eastAsia="Calibri"/>
        </w:rPr>
        <w:fldChar w:fldCharType="separate"/>
      </w:r>
      <w:r w:rsidRPr="008608AA">
        <w:rPr>
          <w:rFonts w:eastAsia="Calibri"/>
          <w:noProof/>
        </w:rPr>
        <w:t>(Santos 2014)</w:t>
      </w:r>
      <w:r w:rsidRPr="008608AA">
        <w:rPr>
          <w:rFonts w:eastAsia="Calibri"/>
        </w:rPr>
        <w:fldChar w:fldCharType="end"/>
      </w:r>
      <w:r w:rsidR="006870B5" w:rsidRPr="008608AA">
        <w:rPr>
          <w:rFonts w:eastAsia="Calibri"/>
        </w:rPr>
        <w:t xml:space="preserve">. </w:t>
      </w:r>
      <w:r w:rsidRPr="008608AA">
        <w:rPr>
          <w:rFonts w:eastAsia="Calibri"/>
        </w:rPr>
        <w:t>Projected temperature increases may increase as much as 2.5°C to 5.5°C over tropical and subtropical latitudes and precipitation is expected to decrease during most seasons (with exception to winter)</w:t>
      </w:r>
      <w:r w:rsidR="006870B5" w:rsidRPr="008608AA">
        <w:rPr>
          <w:rFonts w:eastAsia="Calibri"/>
        </w:rPr>
        <w:t xml:space="preserve"> by the end of the 21st </w:t>
      </w:r>
      <w:r w:rsidRPr="008608AA">
        <w:rPr>
          <w:rFonts w:eastAsia="Calibri"/>
        </w:rPr>
        <w:t xml:space="preserve">century </w:t>
      </w:r>
      <w:r w:rsidRPr="008608AA">
        <w:rPr>
          <w:rFonts w:eastAsia="Calibri"/>
        </w:rPr>
        <w:fldChar w:fldCharType="begin" w:fldLock="1"/>
      </w:r>
      <w:r w:rsidRPr="008608AA">
        <w:rPr>
          <w:rFonts w:eastAsia="Calibri"/>
        </w:rPr>
        <w:instrText>ADDIN CSL_CITATION { "citationItems" : [ { "id" : "ITEM-1", "itemData" : { "DOI" : "10.20937/ATM.2016.29.01.04", "ISBN" : "3559", "ISSN" : "01876236", "abstract" : "RESUMEN Este trabajo eval\u00faa las proyecciones de cambio clim\u00e1tico del modelo regional MM5 para fines del siglo veintiuno en el escenario de emisi\u00f3n SRES A2 en el sur de Sudam\u00e9rica. El modelo proyecta: (i) aumento de la precipitaci\u00f3n en el centro de Argentina, Uruguay y sur de Brasil en verano y oto\u00f1o; (ii) disminuci\u00f3n de la precipitaci\u00f3n en la mayor parte de la regi\u00f3n de estudio en invierno y primavera; (iii) marcada reducci\u00f3n de la precipitaci\u00f3n en el centro y sur de Chile durante todo el a\u00f1o. En general, el aumento de temperatura proyectado depende de la \u00e9poca y la regi\u00f3n examinada; particularmente es m\u00e1ximo en latitudes tropicales y subtropicales en primavera y en altas latitudes en verano. El modelo MM5 proyecta: (i) aumento de la variabilidad interanual de la precipitaci\u00f3n en el centro de Argentina y Uruguay independientemente de la \u00e9poca del a\u00f1o; (ii) una leve disminuci\u00f3n de la variabilidad interanual de la temperatura en la mayor parte de territorio argentino para verano e invierno; (iii) un leve aumento de la variabilidad interanual de la tempera-tura en las estaciones intermedias; con valores mayores en el centro de Chile en oto\u00f1o y en el centro norte de Argentina en primavera. De la evaluaci\u00f3n de cu\u00e1n robustas son las proyecciones clim\u00e1ticas regionales, puede concluirse que la relaci\u00f3n se\u00f1al-ruido es alta para la temperatura y baja para la precipitaci\u00f3n. Por lo tanto, el modelo MM5 es una herramienta de mucha utilidad para la generaci\u00f3n y evaluaci\u00f3n de escenarios regionales de cambio clim\u00e1tico en el sur de Sudam\u00e9rica, en especial para la temperatura. Esto constituye un punto de partida para realizar estudios relacionados con el impacto del cambio clim\u00e1tico. ABSTRACT This work focuses on evaluating the climate change projected by the end of the 21st century under the SRES A2 emission scenario over southern South America using the regional model MM5. The model projects: (i) an increase of precipitation over central Argentina, Uruguay and southern Brazil during summer and fall; (ii) a decrease in precipitation over most of the study domain during winter and spring; (iii) an important decrease in precipitation over central and southern Chile, through the year. In general, the projected temperature in-crease depends on the season and the examined area; particularly, it is highest over tropical and subtropical latitudes in spring and over high latitudes in summer. The MM5 model projects: (i) an increase of the inter-annual precipitation variability o\u2026", "author" : [ { "dropping-particle" : "", "family" : "Cabr\u00e9", "given" : "Mar\u00eda Fernanda", "non-dropping-particle" : "", "parse-names" : false, "suffix" : "" }, { "dropping-particle" : "", "family" : "Solman", "given" : "Silvina", "non-dropping-particle" : "", "parse-names" : false, "suffix" : "" }, { "dropping-particle" : "", "family" : "N\u00fa\u00f1ez", "given" : "Mario", "non-dropping-particle" : "", "parse-names" : false, "suffix" : "" } ], "container-title" : "Atmosfera", "id" : "ITEM-1", "issue" : "1", "issued" : { "date-parts" : [ [ "2016" ] ] }, "page" : "35-60", "title" : "Regional climate change scenarios over southern South America for future climate (2080-2099) using the MM5 Model. Mean, interannual variability and uncertainties", "type" : "article-journal", "volume" : "29" }, "uris" : [ "http://www.mendeley.com/documents/?uuid=3ec3d710-f771-4f97-84b4-ecf50c9df073" ] } ], "mendeley" : { "formattedCitation" : "(Cabr\u00e9 et al. 2016)", "plainTextFormattedCitation" : "(Cabr\u00e9 et al. 2016)", "previouslyFormattedCitation" : "(Cabr\u00e9 et al. 2016)" }, "properties" : { "noteIndex" : 0 }, "schema" : "https://github.com/citation-style-language/schema/raw/master/csl-citation.json" }</w:instrText>
      </w:r>
      <w:r w:rsidRPr="008608AA">
        <w:rPr>
          <w:rFonts w:eastAsia="Calibri"/>
        </w:rPr>
        <w:fldChar w:fldCharType="separate"/>
      </w:r>
      <w:r w:rsidRPr="008608AA">
        <w:rPr>
          <w:rFonts w:eastAsia="Calibri"/>
          <w:noProof/>
        </w:rPr>
        <w:t>(Cabré et al.</w:t>
      </w:r>
      <w:r w:rsidR="00EE6343" w:rsidRPr="008608AA">
        <w:rPr>
          <w:rFonts w:eastAsia="Calibri"/>
          <w:noProof/>
        </w:rPr>
        <w:t>,</w:t>
      </w:r>
      <w:r w:rsidRPr="008608AA">
        <w:rPr>
          <w:rFonts w:eastAsia="Calibri"/>
          <w:noProof/>
        </w:rPr>
        <w:t xml:space="preserve"> 2016)</w:t>
      </w:r>
      <w:r w:rsidRPr="008608AA">
        <w:rPr>
          <w:rFonts w:eastAsia="Calibri"/>
        </w:rPr>
        <w:fldChar w:fldCharType="end"/>
      </w:r>
      <w:r w:rsidR="006870B5" w:rsidRPr="008608AA">
        <w:rPr>
          <w:rFonts w:eastAsia="Calibri"/>
        </w:rPr>
        <w:t>.</w:t>
      </w:r>
      <w:r w:rsidRPr="008608AA">
        <w:rPr>
          <w:rFonts w:eastAsia="Calibri"/>
        </w:rPr>
        <w:t xml:space="preserve"> This warming trend along with reduced precipitation </w:t>
      </w:r>
      <w:r w:rsidRPr="008608AA">
        <w:rPr>
          <w:rFonts w:eastAsia="Calibri"/>
        </w:rPr>
        <w:fldChar w:fldCharType="begin" w:fldLock="1"/>
      </w:r>
      <w:r w:rsidRPr="008608AA">
        <w:rPr>
          <w:rFonts w:eastAsia="Calibri"/>
        </w:rPr>
        <w:instrText>ADDIN CSL_CITATION { "citationItems" : [ { "id" : "ITEM-1", "itemData" : { "DOI" : "10.1002/joc.1863", "ISBN" : "1097-0088", "ISSN" : "08998418", "PMID" : "23739423", "abstract" : "Using the PRECIS regional climate modeling system this study analyses the distribution of extremes of temperature and precipitation in South America in the recent past (1961\u20131990) and in a future (2071\u20132100) climate under the IPCC SRES A2 and B2 emissions scenarios. The results show that for the present climate the model simulates well the spatial distribution of extreme temperature and rainfall events when compared with observations, with temperature the more realistic. The observations over the region are far from comprehensive which compromises the assessment of model quality. In all the future climate scenarios considered all parts of the region would experience significant and often different changes in rainfall and temperature extremes. In the future, the occurrence of warm nights is projected to be more frequent in the entire tropical South America while the occurrence of cold night events is likely to decrease. Significant changes in rainfall extremes and dry spells are also projected. These include increased intensity of extreme precipitation events over most of Southeastern South America and western Amazonia consistent with projected increasing trends in total rainfall in these regions. In Northeast Brazil and eastern Amazonia smaller or no changes are seen in projected rainfall intensity though significant changes are seen in the frequency of consecutive dry days. Copyright \u00a9 2009 Royal Meteorological Society", "author" : [ { "dropping-particle" : "", "family" : "Marengo", "given" : "J. A.", "non-dropping-particle" : "", "parse-names" : false, "suffix" : "" }, { "dropping-particle" : "", "family" : "Jones", "given" : "R.", "non-dropping-particle" : "", "parse-names" : false, "suffix" : "" }, { "dropping-particle" : "", "family" : "Alves", "given" : "L. M.", "non-dropping-particle" : "", "parse-names" : false, "suffix" : "" }, { "dropping-particle" : "", "family" : "Valverde", "given" : "M. C.", "non-dropping-particle" : "", "parse-names" : false, "suffix" : "" } ], "container-title" : "International Journal of Climatology", "id" : "ITEM-1", "issue" : "15", "issued" : { "date-parts" : [ [ "2009" ] ] }, "page" : "2241-2255", "title" : "Future change of temperature and precipitation extremes in south america as derived from the precis regional climate modeling system", "type" : "article-journal", "volume" : "29" }, "uris" : [ "http://www.mendeley.com/documents/?uuid=d3c17d4e-f1c1-4476-974a-a11119434ca2" ] } ], "mendeley" : { "formattedCitation" : "(Marengo et al. 2009)", "manualFormatting" : "(Marengo et al., 2009)", "plainTextFormattedCitation" : "(Marengo et al. 2009)", "previouslyFormattedCitation" : "(Marengo et al. 2009)" }, "properties" : { "noteIndex" : 0 }, "schema" : "https://github.com/citation-style-language/schema/raw/master/csl-citation.json" }</w:instrText>
      </w:r>
      <w:r w:rsidRPr="008608AA">
        <w:rPr>
          <w:rFonts w:eastAsia="Calibri"/>
        </w:rPr>
        <w:fldChar w:fldCharType="separate"/>
      </w:r>
      <w:r w:rsidRPr="008608AA">
        <w:rPr>
          <w:rFonts w:eastAsia="Calibri"/>
          <w:noProof/>
        </w:rPr>
        <w:t>(Marengo et al., 2009)</w:t>
      </w:r>
      <w:r w:rsidRPr="008608AA">
        <w:rPr>
          <w:rFonts w:eastAsia="Calibri"/>
        </w:rPr>
        <w:fldChar w:fldCharType="end"/>
      </w:r>
      <w:r w:rsidRPr="008608AA">
        <w:rPr>
          <w:rFonts w:eastAsia="Calibri"/>
        </w:rPr>
        <w:t xml:space="preserve"> could have implications for fire activity.  Fire is an important factor in the grassland regions of the Cerrado, and has increased in frequency since European settlement </w:t>
      </w:r>
      <w:r w:rsidRPr="008608AA">
        <w:rPr>
          <w:rFonts w:eastAsia="Calibri"/>
        </w:rPr>
        <w:fldChar w:fldCharType="begin" w:fldLock="1"/>
      </w:r>
      <w:r w:rsidRPr="008608AA">
        <w:rPr>
          <w:rFonts w:eastAsia="Calibri"/>
        </w:rPr>
        <w:instrText>ADDIN CSL_CITATION { "citationItems" : [ { "id" : "ITEM-1", "itemData" : { "DOI" : "10.4996/fireecology.0701024", "ISBN" : "1933-9747", "ISSN" : "19339747", "abstract" : "Humans have been changing the natural fire regimes in most Brazilian vegetation types for over 4000 years. Natural lightning fires can easily happen in savannas and grasslands, but they are rare in the moist rainforests. Today, anthropogenic fires are frequent in both the fire-adapted cerrado (Brazilian savanna) and the fire-sensitive rainforest. In this paper, I compare two very different biomes concerning their susceptibilities and responses to fire: the Amazon rainforest and the cerrado. I present an overview of their fire history, espe- cially regarding human-made fires for land management, and pull together information about the use of fire by indigenous peoples in the cerrado and the Amazon, as this informa- tion is very fragmented. Accordingly, I describe how fire regimes have changed in these biomes over time due to agricultural practices and the consequences of the current altered fire regimes. After European settlement, fire frequency greatly increased in the cerrado, especially related to cattle ranching, and more recently in the more seasonal landscapes in the Amazon. In cerrado natural preserves, however, managers try to keep fire away, but wildfires eventually come and develop into destructive events. Actions to reduce biodiver- sity loss and environmental deterioration due to inappropriate fire management are neces- sary and should be very distinct in both areas: in the Amazon they would include the devel- opment of policies to stimulate fire-free, small-scale agricultural projects, and in the cerra- do, sustainable use of fire for cattle ranching is possible but the regimes must be fitted to local specific features in order to avoid land degradation. In cerrado conservation areas, proper fire management programs based on scientific knowledge and the incorporation of the traditional expertise of indigenous peoples are needed to maintain the biological diver- sity, to maintain the ecological processes, and to reduce wildfires.", "author" : [ { "dropping-particle" : "", "family" : "Pivello", "given" : "V\u00e2nia R.", "non-dropping-particle" : "", "parse-names" : false, "suffix" : "" } ], "container-title" : "Fire Ecology", "id" : "ITEM-1", "issue" : "1", "issued" : { "date-parts" : [ [ "2011" ] ] }, "page" : "24-39", "title" : "The use of fire in the cerrado and Amazonian rainforests of Brazil: Past and present", "type" : "article-journal", "volume" : "7" }, "uris" : [ "http://www.mendeley.com/documents/?uuid=c09d02ab-5e67-4f8a-be43-0acb6add5dff" ] } ], "mendeley" : { "formattedCitation" : "(Pivello 2011)", "plainTextFormattedCitation" : "(Pivello 2011)", "previouslyFormattedCitation" : "(Pivello 2011)" }, "properties" : { "noteIndex" : 0 }, "schema" : "https://github.com/citation-style-language/schema/raw/master/csl-citation.json" }</w:instrText>
      </w:r>
      <w:r w:rsidRPr="008608AA">
        <w:rPr>
          <w:rFonts w:eastAsia="Calibri"/>
        </w:rPr>
        <w:fldChar w:fldCharType="separate"/>
      </w:r>
      <w:r w:rsidRPr="008608AA">
        <w:rPr>
          <w:rFonts w:eastAsia="Calibri"/>
          <w:noProof/>
        </w:rPr>
        <w:t>(Pivello</w:t>
      </w:r>
      <w:r w:rsidR="00EE6343" w:rsidRPr="008608AA">
        <w:rPr>
          <w:rFonts w:eastAsia="Calibri"/>
          <w:noProof/>
        </w:rPr>
        <w:t>,</w:t>
      </w:r>
      <w:r w:rsidRPr="008608AA">
        <w:rPr>
          <w:rFonts w:eastAsia="Calibri"/>
          <w:noProof/>
        </w:rPr>
        <w:t xml:space="preserve"> 2011)</w:t>
      </w:r>
      <w:r w:rsidRPr="008608AA">
        <w:rPr>
          <w:rFonts w:eastAsia="Calibri"/>
        </w:rPr>
        <w:fldChar w:fldCharType="end"/>
      </w:r>
      <w:r w:rsidR="006870B5" w:rsidRPr="008608AA">
        <w:rPr>
          <w:rFonts w:eastAsia="Calibri"/>
        </w:rPr>
        <w:t>.</w:t>
      </w:r>
      <w:r w:rsidRPr="008608AA">
        <w:rPr>
          <w:rFonts w:eastAsia="Calibri"/>
        </w:rPr>
        <w:t xml:space="preserve"> Although fire is often anthropogenic in nature, it can occur naturally through lightning strikes and is particularly destructive in areas where fire is actively suppressed, having important implications for biodiversity </w:t>
      </w:r>
      <w:r w:rsidRPr="008608AA">
        <w:rPr>
          <w:rFonts w:eastAsia="Calibri"/>
        </w:rPr>
        <w:fldChar w:fldCharType="begin" w:fldLock="1"/>
      </w:r>
      <w:r w:rsidRPr="008608AA">
        <w:rPr>
          <w:rFonts w:eastAsia="Calibri"/>
        </w:rPr>
        <w:instrText>ADDIN CSL_CITATION { "citationItems" : [ { "id" : "ITEM-1", "itemData" : { "DOI" : "10.4996/fireecology.0701024", "ISBN" : "1933-9747", "ISSN" : "19339747", "abstract" : "Humans have been changing the natural fire regimes in most Brazilian vegetation types for over 4000 years. Natural lightning fires can easily happen in savannas and grasslands, but they are rare in the moist rainforests. Today, anthropogenic fires are frequent in both the fire-adapted cerrado (Brazilian savanna) and the fire-sensitive rainforest. In this paper, I compare two very different biomes concerning their susceptibilities and responses to fire: the Amazon rainforest and the cerrado. I present an overview of their fire history, espe- cially regarding human-made fires for land management, and pull together information about the use of fire by indigenous peoples in the cerrado and the Amazon, as this informa- tion is very fragmented. Accordingly, I describe how fire regimes have changed in these biomes over time due to agricultural practices and the consequences of the current altered fire regimes. After European settlement, fire frequency greatly increased in the cerrado, especially related to cattle ranching, and more recently in the more seasonal landscapes in the Amazon. In cerrado natural preserves, however, managers try to keep fire away, but wildfires eventually come and develop into destructive events. Actions to reduce biodiver- sity loss and environmental deterioration due to inappropriate fire management are neces- sary and should be very distinct in both areas: in the Amazon they would include the devel- opment of policies to stimulate fire-free, small-scale agricultural projects, and in the cerra- do, sustainable use of fire for cattle ranching is possible but the regimes must be fitted to local specific features in order to avoid land degradation. In cerrado conservation areas, proper fire management programs based on scientific knowledge and the incorporation of the traditional expertise of indigenous peoples are needed to maintain the biological diver- sity, to maintain the ecological processes, and to reduce wildfires.", "author" : [ { "dropping-particle" : "", "family" : "Pivello", "given" : "V\u00e2nia R.", "non-dropping-particle" : "", "parse-names" : false, "suffix" : "" } ], "container-title" : "Fire Ecology", "id" : "ITEM-1", "issue" : "1", "issued" : { "date-parts" : [ [ "2011" ] ] }, "page" : "24-39", "title" : "The use of fire in the cerrado and Amazonian rainforests of Brazil: Past and present", "type" : "article-journal", "volume" : "7" }, "uris" : [ "http://www.mendeley.com/documents/?uuid=c09d02ab-5e67-4f8a-be43-0acb6add5dff" ] } ], "mendeley" : { "formattedCitation" : "(Pivello 2011)", "plainTextFormattedCitation" : "(Pivello 2011)", "previouslyFormattedCitation" : "(Pivello 2011)" }, "properties" : { "noteIndex" : 0 }, "schema" : "https://github.com/citation-style-language/schema/raw/master/csl-citation.json" }</w:instrText>
      </w:r>
      <w:r w:rsidRPr="008608AA">
        <w:rPr>
          <w:rFonts w:eastAsia="Calibri"/>
        </w:rPr>
        <w:fldChar w:fldCharType="separate"/>
      </w:r>
      <w:r w:rsidRPr="008608AA">
        <w:rPr>
          <w:rFonts w:eastAsia="Calibri"/>
          <w:noProof/>
        </w:rPr>
        <w:t>(Pivello</w:t>
      </w:r>
      <w:r w:rsidR="00EE6343" w:rsidRPr="008608AA">
        <w:rPr>
          <w:rFonts w:eastAsia="Calibri"/>
          <w:noProof/>
        </w:rPr>
        <w:t>,</w:t>
      </w:r>
      <w:r w:rsidRPr="008608AA">
        <w:rPr>
          <w:rFonts w:eastAsia="Calibri"/>
          <w:noProof/>
        </w:rPr>
        <w:t xml:space="preserve"> 2011)</w:t>
      </w:r>
      <w:r w:rsidRPr="008608AA">
        <w:rPr>
          <w:rFonts w:eastAsia="Calibri"/>
        </w:rPr>
        <w:fldChar w:fldCharType="end"/>
      </w:r>
      <w:r w:rsidRPr="008608AA">
        <w:rPr>
          <w:rFonts w:eastAsia="Calibri"/>
        </w:rPr>
        <w:t>. For example, small mammal communities, which play important roles in a varie</w:t>
      </w:r>
      <w:r w:rsidR="00EE6343" w:rsidRPr="008608AA">
        <w:rPr>
          <w:rFonts w:eastAsia="Calibri"/>
        </w:rPr>
        <w:t>ty of ecosystem processes (e.g.</w:t>
      </w:r>
      <w:r w:rsidRPr="008608AA">
        <w:rPr>
          <w:rFonts w:eastAsia="Calibri"/>
        </w:rPr>
        <w:t xml:space="preserve"> plant composition, soil structure; </w:t>
      </w:r>
      <w:r w:rsidRPr="008608AA">
        <w:rPr>
          <w:rFonts w:eastAsia="Calibri"/>
        </w:rPr>
        <w:fldChar w:fldCharType="begin" w:fldLock="1"/>
      </w:r>
      <w:r w:rsidRPr="008608AA">
        <w:rPr>
          <w:rFonts w:eastAsia="Calibri"/>
        </w:rPr>
        <w:instrText>ADDIN CSL_CITATION { "citationItems" : [ { "id" : "ITEM-1", "itemData" : { "abstract" : "ABSTRACT.--Small mammals regarded as \u201cpests\u201d should not be viewed separately\u2019from other components in the ecosystem. Small mammals have significant influences on vegetation and soils, exert predatory pressure on other animals, and provide food for predators. Future management efforts should include consideration of these diverse influences.", "author" : [ { "dropping-particle" : "", "family" : "Sieg", "given" : "C.H.", "non-dropping-particle" : "", "parse-names" : false, "suffix" : "" } ], "container-title" : "Great Plains Wildlife Damage Control Workshop", "id" : "ITEM-1", "issued" : { "date-parts" : [ [ "1987" ] ] }, "page" : "88-92", "title" : "Small mammals: pests or vital components of the ecosystem", "type" : "article-journal", "volume" : "97" }, "uris" : [ "http://www.mendeley.com/documents/?uuid=b98af9bf-1ef3-4eca-b61a-358200cc0cfd" ] } ], "mendeley" : { "formattedCitation" : "(Sieg 1987)", "manualFormatting" : "Sieg 1987)", "plainTextFormattedCitation" : "(Sieg 1987)", "previouslyFormattedCitation" : "(Sieg 1987)" }, "properties" : { "noteIndex" : 0 }, "schema" : "https://github.com/citation-style-language/schema/raw/master/csl-citation.json" }</w:instrText>
      </w:r>
      <w:r w:rsidRPr="008608AA">
        <w:rPr>
          <w:rFonts w:eastAsia="Calibri"/>
        </w:rPr>
        <w:fldChar w:fldCharType="separate"/>
      </w:r>
      <w:r w:rsidRPr="008608AA">
        <w:rPr>
          <w:rFonts w:eastAsia="Calibri"/>
          <w:noProof/>
        </w:rPr>
        <w:t>Sieg</w:t>
      </w:r>
      <w:r w:rsidR="00EE6343" w:rsidRPr="008608AA">
        <w:rPr>
          <w:rFonts w:eastAsia="Calibri"/>
          <w:noProof/>
        </w:rPr>
        <w:t>,</w:t>
      </w:r>
      <w:r w:rsidRPr="008608AA">
        <w:rPr>
          <w:rFonts w:eastAsia="Calibri"/>
          <w:noProof/>
        </w:rPr>
        <w:t xml:space="preserve"> 1987)</w:t>
      </w:r>
      <w:r w:rsidRPr="008608AA">
        <w:rPr>
          <w:rFonts w:eastAsia="Calibri"/>
        </w:rPr>
        <w:fldChar w:fldCharType="end"/>
      </w:r>
      <w:r w:rsidRPr="008608AA">
        <w:rPr>
          <w:rFonts w:eastAsia="Calibri"/>
        </w:rPr>
        <w:t xml:space="preserve">, have shown to be sensitive to severe fires, particularly in the savanna woodland regions of the Cerrado (“Cerradão”; </w:t>
      </w:r>
      <w:r w:rsidRPr="008608AA">
        <w:rPr>
          <w:rFonts w:eastAsia="Calibri"/>
        </w:rPr>
        <w:fldChar w:fldCharType="begin" w:fldLock="1"/>
      </w:r>
      <w:r w:rsidRPr="008608AA">
        <w:rPr>
          <w:rFonts w:eastAsia="Calibri"/>
        </w:rPr>
        <w:instrText>ADDIN CSL_CITATION { "citationItems" : [ { "id" : "ITEM-1", "itemData" : { "DOI" : "10.1093/jmammal/gyv038", "ISSN" : "15451542", "abstract" : "Fire is a major form of disturbance in terrestrial ecosystems, mainly in\\ntropical savannas. In these ecosystems, the effects of large wildfires\\nare potentially high on small and relatively less mobile animals, like\\nsmall mammals. We investigated the effects of an extensive wildfire\\n(approximate to 6,240 ha) in September 2011 on populations of 2\\narboreal-scansorial small mammals-the gracile mouse opossum,\\nGracilinanus agilis, and the long-tailed climbing mouse, Rhipidomys\\nmacrurus-in 4 savanna woodland patches (1 burned, 3 unburned) of the\\nhighly threatened Brazilian Cerrado. We assessed population densities\\nfrom 2009 to 2013 and for G. agilis, we estimated apparent survival and\\nrecapture probabilities with Cormack-Jolly-Seber models. Both species\\nshowed strong, negative fire responses, including sudden collapse and\\nslow recovery (at least more than 1 year). These observed responses were\\nprobably a consequence of both the phytophysiognomic features of the\\nhabitat and severity of the fire with the resulting changes on the\\nvertical structure of vegetation. The studied species of Cerrado\\nforested formations were not as resilient to fire disturbance as typical\\nspecies from savanna or temperate woodlands. As a consequence of human\\nactivities and climate changes, fire events are predicted to become\\nlarger and more frequent in the Brazilian Cerrado. Therefore, it is\\nimperative to create new management strategies to protect forested\\nphysiognomies from fire, especially cerradao, which is very fire\\nsensitive and has a limited and scattered distribution in the landscape.", "author" : [ { "dropping-particle" : "", "family" : "Mendonca", "given" : "A. F.", "non-dropping-particle" : "", "parse-names" : false, "suffix" : "" }, { "dropping-particle" : "", "family" : "Armond", "given" : "Thaiz", "non-dropping-particle" : "", "parse-names" : false, "suffix" : "" }, { "dropping-particle" : "", "family" : "Camargo", "given" : "Anna Carla L", "non-dropping-particle" : "", "parse-names" : false, "suffix" : "" }, { "dropping-particle" : "", "family" : "Camargo", "given" : "Nicholas F.", "non-dropping-particle" : "", "parse-names" : false, "suffix" : "" }, { "dropping-particle" : "", "family" : "Ribeiro", "given" : "Juliana F.", "non-dropping-particle" : "", "parse-names" : false, "suffix" : "" }, { "dropping-particle" : "", "family" : "Zangrandi", "given" : "Priscilla L.", "non-dropping-particle" : "", "parse-names" : false, "suffix" : "" }, { "dropping-particle" : "", "family" : "Vieira", "given" : "Emerson M.", "non-dropping-particle" : "", "parse-names" : false, "suffix" : "" } ], "container-title" : "Journal of Mammalogy", "id" : "ITEM-1", "issue" : "2", "issued" : { "date-parts" : [ [ "2015" ] ] }, "page" : "368-379", "title" : "Effects of an extensive fire on arboreal small mammal populations in a neotropical savanna woodland", "type" : "article-journal", "volume" : "96" }, "uris" : [ "http://www.mendeley.com/documents/?uuid=96c02037-4590-4188-a656-e160add1c5ed" ] } ], "mendeley" : { "formattedCitation" : "(Mendonca et al. 2015)", "manualFormatting" : "Mendonca et al., 2015)", "plainTextFormattedCitation" : "(Mendonca et al. 2015)", "previouslyFormattedCitation" : "(Mendonca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Mendonca et al., 2015)</w:t>
      </w:r>
      <w:r w:rsidRPr="008608AA">
        <w:rPr>
          <w:rFonts w:eastAsia="Calibri"/>
        </w:rPr>
        <w:fldChar w:fldCharType="end"/>
      </w:r>
      <w:r w:rsidRPr="008608AA">
        <w:rPr>
          <w:rFonts w:eastAsia="Calibri"/>
        </w:rPr>
        <w:t xml:space="preserve">. Although sustainable use of fire is appropriate in the </w:t>
      </w:r>
      <w:r w:rsidR="00A01A41" w:rsidRPr="008608AA">
        <w:rPr>
          <w:rFonts w:eastAsia="Calibri"/>
        </w:rPr>
        <w:t>Cerrado</w:t>
      </w:r>
      <w:r w:rsidRPr="008608AA">
        <w:rPr>
          <w:rFonts w:eastAsia="Calibri"/>
        </w:rPr>
        <w:t xml:space="preserve">, careful management is needed to avoid land degradation and loss of biological diversity and ecosystem processes </w:t>
      </w:r>
      <w:r w:rsidRPr="008608AA">
        <w:rPr>
          <w:rFonts w:eastAsia="Calibri"/>
        </w:rPr>
        <w:fldChar w:fldCharType="begin" w:fldLock="1"/>
      </w:r>
      <w:r w:rsidRPr="008608AA">
        <w:rPr>
          <w:rFonts w:eastAsia="Calibri"/>
        </w:rPr>
        <w:instrText>ADDIN CSL_CITATION { "citationItems" : [ { "id" : "ITEM-1", "itemData" : { "DOI" : "10.4996/fireecology.0701024", "ISBN" : "1933-9747", "ISSN" : "19339747", "abstract" : "Humans have been changing the natural fire regimes in most Brazilian vegetation types for over 4000 years. Natural lightning fires can easily happen in savannas and grasslands, but they are rare in the moist rainforests. Today, anthropogenic fires are frequent in both the fire-adapted cerrado (Brazilian savanna) and the fire-sensitive rainforest. In this paper, I compare two very different biomes concerning their susceptibilities and responses to fire: the Amazon rainforest and the cerrado. I present an overview of their fire history, espe- cially regarding human-made fires for land management, and pull together information about the use of fire by indigenous peoples in the cerrado and the Amazon, as this informa- tion is very fragmented. Accordingly, I describe how fire regimes have changed in these biomes over time due to agricultural practices and the consequences of the current altered fire regimes. After European settlement, fire frequency greatly increased in the cerrado, especially related to cattle ranching, and more recently in the more seasonal landscapes in the Amazon. In cerrado natural preserves, however, managers try to keep fire away, but wildfires eventually come and develop into destructive events. Actions to reduce biodiver- sity loss and environmental deterioration due to inappropriate fire management are neces- sary and should be very distinct in both areas: in the Amazon they would include the devel- opment of policies to stimulate fire-free, small-scale agricultural projects, and in the cerra- do, sustainable use of fire for cattle ranching is possible but the regimes must be fitted to local specific features in order to avoid land degradation. In cerrado conservation areas, proper fire management programs based on scientific knowledge and the incorporation of the traditional expertise of indigenous peoples are needed to maintain the biological diver- sity, to maintain the ecological processes, and to reduce wildfires.", "author" : [ { "dropping-particle" : "", "family" : "Pivello", "given" : "V\u00e2nia R.", "non-dropping-particle" : "", "parse-names" : false, "suffix" : "" } ], "container-title" : "Fire Ecology", "id" : "ITEM-1", "issue" : "1", "issued" : { "date-parts" : [ [ "2011" ] ] }, "page" : "24-39", "title" : "The use of fire in the cerrado and Amazonian rainforests of Brazil: Past and present", "type" : "article-journal", "volume" : "7" }, "uris" : [ "http://www.mendeley.com/documents/?uuid=c09d02ab-5e67-4f8a-be43-0acb6add5dff" ] } ], "mendeley" : { "formattedCitation" : "(Pivello 2011)", "plainTextFormattedCitation" : "(Pivello 2011)", "previouslyFormattedCitation" : "(Pivello 2011)" }, "properties" : { "noteIndex" : 0 }, "schema" : "https://github.com/citation-style-language/schema/raw/master/csl-citation.json" }</w:instrText>
      </w:r>
      <w:r w:rsidRPr="008608AA">
        <w:rPr>
          <w:rFonts w:eastAsia="Calibri"/>
        </w:rPr>
        <w:fldChar w:fldCharType="separate"/>
      </w:r>
      <w:r w:rsidRPr="008608AA">
        <w:rPr>
          <w:rFonts w:eastAsia="Calibri"/>
          <w:noProof/>
        </w:rPr>
        <w:t>(Pivello</w:t>
      </w:r>
      <w:r w:rsidR="00EE6343" w:rsidRPr="008608AA">
        <w:rPr>
          <w:rFonts w:eastAsia="Calibri"/>
          <w:noProof/>
        </w:rPr>
        <w:t>,</w:t>
      </w:r>
      <w:r w:rsidRPr="008608AA">
        <w:rPr>
          <w:rFonts w:eastAsia="Calibri"/>
          <w:noProof/>
        </w:rPr>
        <w:t xml:space="preserve"> 2011)</w:t>
      </w:r>
      <w:r w:rsidRPr="008608AA">
        <w:rPr>
          <w:rFonts w:eastAsia="Calibri"/>
        </w:rPr>
        <w:fldChar w:fldCharType="end"/>
      </w:r>
      <w:r w:rsidRPr="008608AA">
        <w:rPr>
          <w:rFonts w:eastAsia="Calibri"/>
        </w:rPr>
        <w:t>.</w:t>
      </w:r>
    </w:p>
    <w:p w14:paraId="56A7B37F" w14:textId="69E47C46" w:rsidR="001E61A6" w:rsidRPr="008608AA" w:rsidRDefault="001E61A6" w:rsidP="00A345FC">
      <w:pPr>
        <w:spacing w:before="120"/>
        <w:rPr>
          <w:rFonts w:eastAsia="Calibri"/>
        </w:rPr>
      </w:pPr>
      <w:r w:rsidRPr="008608AA">
        <w:rPr>
          <w:rFonts w:eastAsia="Calibri"/>
        </w:rPr>
        <w:t xml:space="preserve">Many tropical grasslands have been targeted for reforestation to help offset </w:t>
      </w:r>
      <w:r w:rsidR="00E03ED4" w:rsidRPr="008608AA">
        <w:t>carbon dioxide</w:t>
      </w:r>
      <w:r w:rsidRPr="008608AA">
        <w:rPr>
          <w:rFonts w:eastAsia="Calibri"/>
        </w:rPr>
        <w:t xml:space="preserve"> emissions.  However, not all grassland regions are the result of deforestation and converting them to plantations has the potential to cause substantial losses in biodiversity (Bond, 2016).</w:t>
      </w:r>
    </w:p>
    <w:p w14:paraId="7A9DE514" w14:textId="4922B2C5" w:rsidR="001E61A6" w:rsidRPr="008608AA" w:rsidRDefault="001E61A6" w:rsidP="00A345FC">
      <w:pPr>
        <w:spacing w:before="120"/>
        <w:rPr>
          <w:rFonts w:eastAsia="Calibri"/>
        </w:rPr>
      </w:pPr>
      <w:r w:rsidRPr="008608AA">
        <w:rPr>
          <w:rFonts w:eastAsia="Calibri"/>
        </w:rPr>
        <w:t>Temperature ar</w:t>
      </w:r>
      <w:r w:rsidR="003E0D07" w:rsidRPr="008608AA">
        <w:rPr>
          <w:rFonts w:eastAsia="Calibri"/>
        </w:rPr>
        <w:t>e expected to increase in the Rí</w:t>
      </w:r>
      <w:r w:rsidRPr="008608AA">
        <w:rPr>
          <w:rFonts w:eastAsia="Calibri"/>
        </w:rPr>
        <w:t xml:space="preserve">o de la Plata grasslands, particularly during spring </w:t>
      </w:r>
      <w:r w:rsidRPr="008608AA">
        <w:rPr>
          <w:rFonts w:eastAsia="Calibri"/>
        </w:rPr>
        <w:fldChar w:fldCharType="begin" w:fldLock="1"/>
      </w:r>
      <w:r w:rsidRPr="008608AA">
        <w:rPr>
          <w:rFonts w:eastAsia="Calibri"/>
        </w:rPr>
        <w:instrText>ADDIN CSL_CITATION { "citationItems" : [ { "id" : "ITEM-1", "itemData" : { "DOI" : "10.20937/ATM.2016.29.01.04", "ISBN" : "3559", "ISSN" : "01876236", "abstract" : "RESUMEN Este trabajo eval\u00faa las proyecciones de cambio clim\u00e1tico del modelo regional MM5 para fines del siglo veintiuno en el escenario de emisi\u00f3n SRES A2 en el sur de Sudam\u00e9rica. El modelo proyecta: (i) aumento de la precipitaci\u00f3n en el centro de Argentina, Uruguay y sur de Brasil en verano y oto\u00f1o; (ii) disminuci\u00f3n de la precipitaci\u00f3n en la mayor parte de la regi\u00f3n de estudio en invierno y primavera; (iii) marcada reducci\u00f3n de la precipitaci\u00f3n en el centro y sur de Chile durante todo el a\u00f1o. En general, el aumento de temperatura proyectado depende de la \u00e9poca y la regi\u00f3n examinada; particularmente es m\u00e1ximo en latitudes tropicales y subtropicales en primavera y en altas latitudes en verano. El modelo MM5 proyecta: (i) aumento de la variabilidad interanual de la precipitaci\u00f3n en el centro de Argentina y Uruguay independientemente de la \u00e9poca del a\u00f1o; (ii) una leve disminuci\u00f3n de la variabilidad interanual de la temperatura en la mayor parte de territorio argentino para verano e invierno; (iii) un leve aumento de la variabilidad interanual de la tempera-tura en las estaciones intermedias; con valores mayores en el centro de Chile en oto\u00f1o y en el centro norte de Argentina en primavera. De la evaluaci\u00f3n de cu\u00e1n robustas son las proyecciones clim\u00e1ticas regionales, puede concluirse que la relaci\u00f3n se\u00f1al-ruido es alta para la temperatura y baja para la precipitaci\u00f3n. Por lo tanto, el modelo MM5 es una herramienta de mucha utilidad para la generaci\u00f3n y evaluaci\u00f3n de escenarios regionales de cambio clim\u00e1tico en el sur de Sudam\u00e9rica, en especial para la temperatura. Esto constituye un punto de partida para realizar estudios relacionados con el impacto del cambio clim\u00e1tico. ABSTRACT This work focuses on evaluating the climate change projected by the end of the 21st century under the SRES A2 emission scenario over southern South America using the regional model MM5. The model projects: (i) an increase of precipitation over central Argentina, Uruguay and southern Brazil during summer and fall; (ii) a decrease in precipitation over most of the study domain during winter and spring; (iii) an important decrease in precipitation over central and southern Chile, through the year. In general, the projected temperature in-crease depends on the season and the examined area; particularly, it is highest over tropical and subtropical latitudes in spring and over high latitudes in summer. The MM5 model projects: (i) an increase of the inter-annual precipitation variability o\u2026", "author" : [ { "dropping-particle" : "", "family" : "Cabr\u00e9", "given" : "Mar\u00eda Fernanda", "non-dropping-particle" : "", "parse-names" : false, "suffix" : "" }, { "dropping-particle" : "", "family" : "Solman", "given" : "Silvina", "non-dropping-particle" : "", "parse-names" : false, "suffix" : "" }, { "dropping-particle" : "", "family" : "N\u00fa\u00f1ez", "given" : "Mario", "non-dropping-particle" : "", "parse-names" : false, "suffix" : "" } ], "container-title" : "Atmosfera", "id" : "ITEM-1", "issue" : "1", "issued" : { "date-parts" : [ [ "2016" ] ] }, "page" : "35-60", "title" : "Regional climate change scenarios over southern South America for future climate (2080-2099) using the MM5 Model. Mean, interannual variability and uncertainties", "type" : "article-journal", "volume" : "29" }, "uris" : [ "http://www.mendeley.com/documents/?uuid=3ec3d710-f771-4f97-84b4-ecf50c9df073" ] } ], "mendeley" : { "formattedCitation" : "(Cabr\u00e9 et al. 2016)", "plainTextFormattedCitation" : "(Cabr\u00e9 et al. 2016)", "previouslyFormattedCitation" : "(Cabr\u00e9 et al. 2016)" }, "properties" : { "noteIndex" : 0 }, "schema" : "https://github.com/citation-style-language/schema/raw/master/csl-citation.json" }</w:instrText>
      </w:r>
      <w:r w:rsidRPr="008608AA">
        <w:rPr>
          <w:rFonts w:eastAsia="Calibri"/>
        </w:rPr>
        <w:fldChar w:fldCharType="separate"/>
      </w:r>
      <w:r w:rsidRPr="008608AA">
        <w:rPr>
          <w:rFonts w:eastAsia="Calibri"/>
          <w:noProof/>
        </w:rPr>
        <w:t>(Cabré et al.</w:t>
      </w:r>
      <w:r w:rsidR="00EE6343" w:rsidRPr="008608AA">
        <w:rPr>
          <w:rFonts w:eastAsia="Calibri"/>
          <w:noProof/>
        </w:rPr>
        <w:t>,</w:t>
      </w:r>
      <w:r w:rsidRPr="008608AA">
        <w:rPr>
          <w:rFonts w:eastAsia="Calibri"/>
          <w:noProof/>
        </w:rPr>
        <w:t xml:space="preserve"> 2016)</w:t>
      </w:r>
      <w:r w:rsidRPr="008608AA">
        <w:rPr>
          <w:rFonts w:eastAsia="Calibri"/>
        </w:rPr>
        <w:fldChar w:fldCharType="end"/>
      </w:r>
      <w:r w:rsidRPr="008608AA">
        <w:rPr>
          <w:rFonts w:eastAsia="Calibri"/>
        </w:rPr>
        <w:t xml:space="preserve">.  Although precipitation in many areas of the region has been linked with El Niño Southern Oscillation </w:t>
      </w:r>
      <w:r w:rsidRPr="008608AA">
        <w:rPr>
          <w:rFonts w:eastAsia="Calibri"/>
        </w:rPr>
        <w:fldChar w:fldCharType="begin" w:fldLock="1"/>
      </w:r>
      <w:r w:rsidRPr="008608AA">
        <w:rPr>
          <w:rFonts w:eastAsia="Calibri"/>
        </w:rPr>
        <w:instrText>ADDIN CSL_CITATION { "citationItems" : [ { "id" : "ITEM-1", "itemData" : { "DOI" : "10.1175/1520-0493(1987)115&lt;1606:GARSPP&gt;2.0.CO;2", "ISBN" : "0027-0644", "ISSN" : "0027-0644", "abstract" : "Abstract We investigate the \u201ctypical\u201d global and large-scale regional precipitation patterns that are associated with the El Ni\u00f1o/Southern Oscillation (ENSO). Monthly precipitation time series from over 1700 stations are analyzed using an empirical method designed to identify regions of the globe that have precipitation variations associated with ENSO. Monthly mean ranked precipitation composites are computed over idealized 2-year ENSO episodes for all stations that include data for at least five ENSOs. The amplitude and phase of the Arm harmonic fitted to the 24-month composite values are plotted in the form of a vector for each station. When plotted on a global map, these vectors reveal both the regions of spatially coherent ENSO-related precipitation and the phase of this signal in relation to the evolution of the composite episode. Time cries of precipitation for the coherent regions identified in the harmonic vector map are examined to determine the magnitudes of the ENSO-related precipitation and th...", "author" : [ { "dropping-particle" : "", "family" : "Ropelewski", "given" : "C. F.", "non-dropping-particle" : "", "parse-names" : false, "suffix" : "" }, { "dropping-particle" : "", "family" : "Halpert", "given" : "M. S.", "non-dropping-particle" : "", "parse-names" : false, "suffix" : "" } ], "container-title" : "Monthly Weather Review", "id" : "ITEM-1", "issue" : "8", "issued" : { "date-parts" : [ [ "1987" ] ] }, "page" : "1606-1626", "title" : "Global and Regional Scale Precipitation Patterns Associated with the El Ni\u00f1o/Southern Oscillation", "type" : "article", "volume" : "115" }, "uris" : [ "http://www.mendeley.com/documents/?uuid=d3dca667-b513-40fb-90d7-07365c18cac3" ] } ], "mendeley" : { "formattedCitation" : "(Ropelewski and Halpert 1987)", "plainTextFormattedCitation" : "(Ropelewski and Halpert 1987)", "previouslyFormattedCitation" : "(Ropelewski and Halpert 1987)" }, "properties" : { "noteIndex" : 0 }, "schema" : "https://github.com/citation-style-language/schema/raw/master/csl-citation.json" }</w:instrText>
      </w:r>
      <w:r w:rsidRPr="008608AA">
        <w:rPr>
          <w:rFonts w:eastAsia="Calibri"/>
        </w:rPr>
        <w:fldChar w:fldCharType="separate"/>
      </w:r>
      <w:r w:rsidRPr="008608AA">
        <w:rPr>
          <w:rFonts w:eastAsia="Calibri"/>
          <w:noProof/>
        </w:rPr>
        <w:t xml:space="preserve">(Ropelewski </w:t>
      </w:r>
      <w:r w:rsidR="00EE6343" w:rsidRPr="008608AA">
        <w:rPr>
          <w:rFonts w:eastAsia="Calibri"/>
          <w:noProof/>
        </w:rPr>
        <w:t>&amp;</w:t>
      </w:r>
      <w:r w:rsidRPr="008608AA">
        <w:rPr>
          <w:rFonts w:eastAsia="Calibri"/>
          <w:noProof/>
        </w:rPr>
        <w:t xml:space="preserve"> Halpert</w:t>
      </w:r>
      <w:r w:rsidR="00EE6343" w:rsidRPr="008608AA">
        <w:rPr>
          <w:rFonts w:eastAsia="Calibri"/>
          <w:noProof/>
        </w:rPr>
        <w:t>,</w:t>
      </w:r>
      <w:r w:rsidRPr="008608AA">
        <w:rPr>
          <w:rFonts w:eastAsia="Calibri"/>
          <w:noProof/>
        </w:rPr>
        <w:t xml:space="preserve"> 1987)</w:t>
      </w:r>
      <w:r w:rsidRPr="008608AA">
        <w:rPr>
          <w:rFonts w:eastAsia="Calibri"/>
        </w:rPr>
        <w:fldChar w:fldCharType="end"/>
      </w:r>
      <w:r w:rsidRPr="008608AA">
        <w:rPr>
          <w:rFonts w:eastAsia="Calibri"/>
        </w:rPr>
        <w:t xml:space="preserve">, trends suggest that rainfall has increased in Uruguay, Paraguay, northern Argentina, and southern Brazil between 1960 and 2000 </w:t>
      </w:r>
      <w:r w:rsidRPr="008608AA">
        <w:rPr>
          <w:rFonts w:eastAsia="Calibri"/>
        </w:rPr>
        <w:fldChar w:fldCharType="begin" w:fldLock="1"/>
      </w:r>
      <w:r w:rsidRPr="008608AA">
        <w:rPr>
          <w:rFonts w:eastAsia="Calibri"/>
        </w:rPr>
        <w:instrText>ADDIN CSL_CITATION { "citationItems" : [ { "id" : "ITEM-1", "itemData" : { "DOI" : "10.1175/JCLI3695.1", "ISBN" : "0894-8755", "ISSN" : "08948755", "PMID" : "7754995", "abstract" : "A weeklong workshop in Brazil in August 2004 provided the opportunity for 28 scientists from southern South America to examine daily rainfall observations to determine changes in both total and extreme rainfall. Twelve annual indices of daily rainfall were calculated over the period 1960 to 2000, examining changes to both the entire distribution as well as the extremes. Maps of trends in the 12 rainfall indices showed large regions of coherent change, with many stations showing statistically significant changes in some of the indices. The pattern of trends for the extremes was generally the same as that for total annual rainfall, with a change to wetter conditions in Ecuador and northern Peru and the region of southern Brazil, Paraguay, Uruguay, and northern and central Argentina. A decrease was observed in southern Peru and southern Chile, with the latter showing significant decreases in many indices. A canonical correlation analysis between each of the indices and sea surface temperatures (SSTs) revealed two large-scale patterns that have contributed to the observed trends in the rainfall indices. A coupled pattern with ENSO-like SST loadings and rainfall loadings showing similarities with the pattern of the observed trend reveals that the change to a generally more negative Southern Oscillation index (SOI) has had an important effect on regional rainfall trends. A significant decrease in many of the rainfall indices at several stations in southern Chile and Argentina can be explained by a canonical pattern reflecting a weakening of the continental trough leading to a Southward shift in storm tracks. This latter signal is a change that has been seen at similar latitudes in other parts of the Southern Hemisphere. A similar analysis was carried out for eastern Brazil using gridded indices calculated from 354 stations from the Global Historical Climatology Network (GHCN) database. The observed trend toward wetter conditions in the southwest and drier conditions in the northeast could again be explained by changes in ENSO.", "author" : [ { "dropping-particle" : "", "family" : "Haylock", "given" : "Malcolm R.", "non-dropping-particle" : "", "parse-names" : false, "suffix" : "" }, { "dropping-particle" : "", "family" : "Peterson", "given" : "T. C.", "non-dropping-particle" : "", "parse-names" : false, "suffix" : "" }, { "dropping-particle" : "", "family" : "Alves", "given" : "L. M.", "non-dropping-particle" : "", "parse-names" : false, "suffix" : "" }, { "dropping-particle" : "", "family" : "Ambrizzi", "given" : "T.", "non-dropping-particle" : "", "parse-names" : false, "suffix" : "" }, { "dropping-particle" : "", "family" : "Anuncia\u00e7\u00e3o", "given" : "Y. M T", "non-dropping-particle" : "", "parse-names" : false, "suffix" : "" }, { "dropping-particle" : "", "family" : "Baez", "given" : "J.", "non-dropping-particle" : "", "parse-names" : false, "suffix" : "" }, { "dropping-particle" : "", "family" : "Barros", "given" : "V. R.", "non-dropping-particle" : "", "parse-names" : false, "suffix" : "" }, { "dropping-particle" : "", "family" : "Berlato", "given" : "M. A.", "non-dropping-particle" : "", "parse-names" : false, "suffix" : "" }, { "dropping-particle" : "", "family" : "Bidegain", "given" : "M.", "non-dropping-particle" : "", "parse-names" : false, "suffix" : "" }, { "dropping-particle" : "", "family" : "Coronel", "given" : "G.", "non-dropping-particle" : "", "parse-names" : false, "suffix" : "" }, { "dropping-particle" : "", "family" : "Corradi", "given" : "V.", "non-dropping-particle" : "", "parse-names" : false, "suffix" : "" }, { "dropping-particle" : "", "family" : "Garcia", "given" : "V. J.", "non-dropping-particle" : "", "parse-names" : false, "suffix" : "" }, { "dropping-particle" : "", "family" : "Grimm", "given" : "A. M.", "non-dropping-particle" : "", "parse-names" : false, "suffix" : "" }, { "dropping-particle" : "", "family" : "Karoly", "given" : "D.", "non-dropping-particle" : "", "parse-names" : false, "suffix" : "" }, { "dropping-particle" : "", "family" : "Marengo", "given" : "J. A.", "non-dropping-particle" : "", "parse-names" : false, "suffix" : "" }, { "dropping-particle" : "", "family" : "Marino", "given" : "M. B.", "non-dropping-particle" : "", "parse-names" : false, "suffix" : "" }, { "dropping-particle" : "", "family" : "Moncunill", "given" : "D. F.", "non-dropping-particle" : "", "parse-names" : false, "suffix" : "" }, { "dropping-particle" : "", "family" : "Nechet", "given" : "D.", "non-dropping-particle" : "", "parse-names" : false, "suffix" : "" }, { "dropping-particle" : "", "family" : "Quintana", "given" : "J.", "non-dropping-particle" : "", "parse-names" : false, "suffix" : "" }, { "dropping-particle" : "", "family" : "Rebello", "given" : "E.", "non-dropping-particle" : "", "parse-names" : false, "suffix" : "" }, { "dropping-particle" : "", "family" : "Rusticucci", "given" : "M.", "non-dropping-particle" : "", "parse-names" : false, "suffix" : "" }, { "dropping-particle" : "", "family" : "Santos", "given" : "J. L.", "non-dropping-particle" : "", "parse-names" : false, "suffix" : "" }, { "dropping-particle" : "", "family" : "Trebejo", "given" : "I.", "non-dropping-particle" : "", "parse-names" : false, "suffix" : "" }, { "dropping-particle" : "", "family" : "Vincent", "given" : "L. A.", "non-dropping-particle" : "", "parse-names" : false, "suffix" : "" } ], "container-title" : "Journal of Climate", "id" : "ITEM-1", "issue" : "8", "issued" : { "date-parts" : [ [ "2006" ] ] }, "page" : "1490-1512", "title" : "Trends in total and extreme South American rainfall in 1960-2000 and links with sea surface temperature", "type" : "article-journal", "volume" : "19" }, "uris" : [ "http://www.mendeley.com/documents/?uuid=16ffdbdb-16d8-4129-ae6f-bb81c20a758c" ] } ], "mendeley" : { "formattedCitation" : "(Haylock et al. 2006)", "manualFormatting" : "(Haylock et al., 2006)", "plainTextFormattedCitation" : "(Haylock et al. 2006)", "previouslyFormattedCitation" : "(Haylock et al. 2006)" }, "properties" : { "noteIndex" : 0 }, "schema" : "https://github.com/citation-style-language/schema/raw/master/csl-citation.json" }</w:instrText>
      </w:r>
      <w:r w:rsidRPr="008608AA">
        <w:rPr>
          <w:rFonts w:eastAsia="Calibri"/>
        </w:rPr>
        <w:fldChar w:fldCharType="separate"/>
      </w:r>
      <w:r w:rsidRPr="008608AA">
        <w:rPr>
          <w:rFonts w:eastAsia="Calibri"/>
          <w:noProof/>
        </w:rPr>
        <w:t>(Haylock et al., 2006)</w:t>
      </w:r>
      <w:r w:rsidRPr="008608AA">
        <w:rPr>
          <w:rFonts w:eastAsia="Calibri"/>
        </w:rPr>
        <w:fldChar w:fldCharType="end"/>
      </w:r>
      <w:r w:rsidR="006870B5" w:rsidRPr="008608AA">
        <w:rPr>
          <w:rFonts w:eastAsia="Calibri"/>
        </w:rPr>
        <w:t xml:space="preserve">. </w:t>
      </w:r>
      <w:r w:rsidRPr="008608AA">
        <w:rPr>
          <w:rFonts w:eastAsia="Calibri"/>
        </w:rPr>
        <w:t xml:space="preserve">However, </w:t>
      </w:r>
      <w:r w:rsidRPr="008608AA">
        <w:rPr>
          <w:rFonts w:eastAsia="Calibri"/>
        </w:rPr>
        <w:fldChar w:fldCharType="begin" w:fldLock="1"/>
      </w:r>
      <w:r w:rsidRPr="008608AA">
        <w:rPr>
          <w:rFonts w:eastAsia="Calibri"/>
        </w:rPr>
        <w:instrText>ADDIN CSL_CITATION { "citationItems" : [ { "id" : "ITEM-1", "itemData" : { "DOI" : "10.1175/JCLI3695.1", "ISBN" : "0894-8755", "ISSN" : "08948755", "PMID" : "7754995", "abstract" : "A weeklong workshop in Brazil in August 2004 provided the opportunity for 28 scientists from southern South America to examine daily rainfall observations to determine changes in both total and extreme rainfall. Twelve annual indices of daily rainfall were calculated over the period 1960 to 2000, examining changes to both the entire distribution as well as the extremes. Maps of trends in the 12 rainfall indices showed large regions of coherent change, with many stations showing statistically significant changes in some of the indices. The pattern of trends for the extremes was generally the same as that for total annual rainfall, with a change to wetter conditions in Ecuador and northern Peru and the region of southern Brazil, Paraguay, Uruguay, and northern and central Argentina. A decrease was observed in southern Peru and southern Chile, with the latter showing significant decreases in many indices. A canonical correlation analysis between each of the indices and sea surface temperatures (SSTs) revealed two large-scale patterns that have contributed to the observed trends in the rainfall indices. A coupled pattern with ENSO-like SST loadings and rainfall loadings showing similarities with the pattern of the observed trend reveals that the change to a generally more negative Southern Oscillation index (SOI) has had an important effect on regional rainfall trends. A significant decrease in many of the rainfall indices at several stations in southern Chile and Argentina can be explained by a canonical pattern reflecting a weakening of the continental trough leading to a Southward shift in storm tracks. This latter signal is a change that has been seen at similar latitudes in other parts of the Southern Hemisphere. A similar analysis was carried out for eastern Brazil using gridded indices calculated from 354 stations from the Global Historical Climatology Network (GHCN) database. The observed trend toward wetter conditions in the southwest and drier conditions in the northeast could again be explained by changes in ENSO.", "author" : [ { "dropping-particle" : "", "family" : "Haylock", "given" : "Malcolm R.", "non-dropping-particle" : "", "parse-names" : false, "suffix" : "" }, { "dropping-particle" : "", "family" : "Peterson", "given" : "T. C.", "non-dropping-particle" : "", "parse-names" : false, "suffix" : "" }, { "dropping-particle" : "", "family" : "Alves", "given" : "L. M.", "non-dropping-particle" : "", "parse-names" : false, "suffix" : "" }, { "dropping-particle" : "", "family" : "Ambrizzi", "given" : "T.", "non-dropping-particle" : "", "parse-names" : false, "suffix" : "" }, { "dropping-particle" : "", "family" : "Anuncia\u00e7\u00e3o", "given" : "Y. M T", "non-dropping-particle" : "", "parse-names" : false, "suffix" : "" }, { "dropping-particle" : "", "family" : "Baez", "given" : "J.", "non-dropping-particle" : "", "parse-names" : false, "suffix" : "" }, { "dropping-particle" : "", "family" : "Barros", "given" : "V. R.", "non-dropping-particle" : "", "parse-names" : false, "suffix" : "" }, { "dropping-particle" : "", "family" : "Berlato", "given" : "M. A.", "non-dropping-particle" : "", "parse-names" : false, "suffix" : "" }, { "dropping-particle" : "", "family" : "Bidegain", "given" : "M.", "non-dropping-particle" : "", "parse-names" : false, "suffix" : "" }, { "dropping-particle" : "", "family" : "Coronel", "given" : "G.", "non-dropping-particle" : "", "parse-names" : false, "suffix" : "" }, { "dropping-particle" : "", "family" : "Corradi", "given" : "V.", "non-dropping-particle" : "", "parse-names" : false, "suffix" : "" }, { "dropping-particle" : "", "family" : "Garcia", "given" : "V. J.", "non-dropping-particle" : "", "parse-names" : false, "suffix" : "" }, { "dropping-particle" : "", "family" : "Grimm", "given" : "A. M.", "non-dropping-particle" : "", "parse-names" : false, "suffix" : "" }, { "dropping-particle" : "", "family" : "Karoly", "given" : "D.", "non-dropping-particle" : "", "parse-names" : false, "suffix" : "" }, { "dropping-particle" : "", "family" : "Marengo", "given" : "J. A.", "non-dropping-particle" : "", "parse-names" : false, "suffix" : "" }, { "dropping-particle" : "", "family" : "Marino", "given" : "M. B.", "non-dropping-particle" : "", "parse-names" : false, "suffix" : "" }, { "dropping-particle" : "", "family" : "Moncunill", "given" : "D. F.", "non-dropping-particle" : "", "parse-names" : false, "suffix" : "" }, { "dropping-particle" : "", "family" : "Nechet", "given" : "D.", "non-dropping-particle" : "", "parse-names" : false, "suffix" : "" }, { "dropping-particle" : "", "family" : "Quintana", "given" : "J.", "non-dropping-particle" : "", "parse-names" : false, "suffix" : "" }, { "dropping-particle" : "", "family" : "Rebello", "given" : "E.", "non-dropping-particle" : "", "parse-names" : false, "suffix" : "" }, { "dropping-particle" : "", "family" : "Rusticucci", "given" : "M.", "non-dropping-particle" : "", "parse-names" : false, "suffix" : "" }, { "dropping-particle" : "", "family" : "Santos", "given" : "J. L.", "non-dropping-particle" : "", "parse-names" : false, "suffix" : "" }, { "dropping-particle" : "", "family" : "Trebejo", "given" : "I.", "non-dropping-particle" : "", "parse-names" : false, "suffix" : "" }, { "dropping-particle" : "", "family" : "Vincent", "given" : "L. A.", "non-dropping-particle" : "", "parse-names" : false, "suffix" : "" } ], "container-title" : "Journal of Climate", "id" : "ITEM-1", "issue" : "8", "issued" : { "date-parts" : [ [ "2006" ] ] }, "page" : "1490-1512", "title" : "Trends in total and extreme South American rainfall in 1960-2000 and links with sea surface temperature", "type" : "article-journal", "volume" : "19" }, "uris" : [ "http://www.mendeley.com/documents/?uuid=16ffdbdb-16d8-4129-ae6f-bb81c20a758c" ] } ], "mendeley" : { "formattedCitation" : "(Haylock et al. 2006)", "manualFormatting" : "Haylock et al. (2006)", "plainTextFormattedCitation" : "(Haylock et al. 2006)", "previouslyFormattedCitation" : "(Haylock et al. 2006)" }, "properties" : { "noteIndex" : 0 }, "schema" : "https://github.com/citation-style-language/schema/raw/master/csl-citation.json" }</w:instrText>
      </w:r>
      <w:r w:rsidRPr="008608AA">
        <w:rPr>
          <w:rFonts w:eastAsia="Calibri"/>
        </w:rPr>
        <w:fldChar w:fldCharType="separate"/>
      </w:r>
      <w:r w:rsidRPr="008608AA">
        <w:rPr>
          <w:rFonts w:eastAsia="Calibri"/>
          <w:noProof/>
        </w:rPr>
        <w:t>Haylock et al. (2006)</w:t>
      </w:r>
      <w:r w:rsidRPr="008608AA">
        <w:rPr>
          <w:rFonts w:eastAsia="Calibri"/>
        </w:rPr>
        <w:fldChar w:fldCharType="end"/>
      </w:r>
      <w:r w:rsidRPr="008608AA">
        <w:rPr>
          <w:rFonts w:eastAsia="Calibri"/>
        </w:rPr>
        <w:t xml:space="preserve"> found that those precipitation trends closely align with a trend towards a more negative southern oscillation index, suggesting that more frequent El Niño Southern Oscillation-like events are responsible for re</w:t>
      </w:r>
      <w:r w:rsidR="006870B5" w:rsidRPr="008608AA">
        <w:rPr>
          <w:rFonts w:eastAsia="Calibri"/>
        </w:rPr>
        <w:t xml:space="preserve">cent changes in precipitation. </w:t>
      </w:r>
      <w:r w:rsidRPr="008608AA">
        <w:rPr>
          <w:rFonts w:eastAsia="Calibri"/>
        </w:rPr>
        <w:t xml:space="preserve">Rainfall is expected to increase in southern Brazil, particularly in summer and fall, and will decrease during winter and spring </w:t>
      </w:r>
      <w:r w:rsidRPr="008608AA">
        <w:rPr>
          <w:rFonts w:eastAsia="Calibri"/>
        </w:rPr>
        <w:fldChar w:fldCharType="begin" w:fldLock="1"/>
      </w:r>
      <w:r w:rsidRPr="008608AA">
        <w:rPr>
          <w:rFonts w:eastAsia="Calibri"/>
        </w:rPr>
        <w:instrText>ADDIN CSL_CITATION { "citationItems" : [ { "id" : "ITEM-1", "itemData" : { "DOI" : "10.20937/ATM.2016.29.01.04", "ISBN" : "3559", "ISSN" : "01876236", "abstract" : "RESUMEN Este trabajo eval\u00faa las proyecciones de cambio clim\u00e1tico del modelo regional MM5 para fines del siglo veintiuno en el escenario de emisi\u00f3n SRES A2 en el sur de Sudam\u00e9rica. El modelo proyecta: (i) aumento de la precipitaci\u00f3n en el centro de Argentina, Uruguay y sur de Brasil en verano y oto\u00f1o; (ii) disminuci\u00f3n de la precipitaci\u00f3n en la mayor parte de la regi\u00f3n de estudio en invierno y primavera; (iii) marcada reducci\u00f3n de la precipitaci\u00f3n en el centro y sur de Chile durante todo el a\u00f1o. En general, el aumento de temperatura proyectado depende de la \u00e9poca y la regi\u00f3n examinada; particularmente es m\u00e1ximo en latitudes tropicales y subtropicales en primavera y en altas latitudes en verano. El modelo MM5 proyecta: (i) aumento de la variabilidad interanual de la precipitaci\u00f3n en el centro de Argentina y Uruguay independientemente de la \u00e9poca del a\u00f1o; (ii) una leve disminuci\u00f3n de la variabilidad interanual de la temperatura en la mayor parte de territorio argentino para verano e invierno; (iii) un leve aumento de la variabilidad interanual de la tempera-tura en las estaciones intermedias; con valores mayores en el centro de Chile en oto\u00f1o y en el centro norte de Argentina en primavera. De la evaluaci\u00f3n de cu\u00e1n robustas son las proyecciones clim\u00e1ticas regionales, puede concluirse que la relaci\u00f3n se\u00f1al-ruido es alta para la temperatura y baja para la precipitaci\u00f3n. Por lo tanto, el modelo MM5 es una herramienta de mucha utilidad para la generaci\u00f3n y evaluaci\u00f3n de escenarios regionales de cambio clim\u00e1tico en el sur de Sudam\u00e9rica, en especial para la temperatura. Esto constituye un punto de partida para realizar estudios relacionados con el impacto del cambio clim\u00e1tico. ABSTRACT This work focuses on evaluating the climate change projected by the end of the 21st century under the SRES A2 emission scenario over southern South America using the regional model MM5. The model projects: (i) an increase of precipitation over central Argentina, Uruguay and southern Brazil during summer and fall; (ii) a decrease in precipitation over most of the study domain during winter and spring; (iii) an important decrease in precipitation over central and southern Chile, through the year. In general, the projected temperature in-crease depends on the season and the examined area; particularly, it is highest over tropical and subtropical latitudes in spring and over high latitudes in summer. The MM5 model projects: (i) an increase of the inter-annual precipitation variability o\u2026", "author" : [ { "dropping-particle" : "", "family" : "Cabr\u00e9", "given" : "Mar\u00eda Fernanda", "non-dropping-particle" : "", "parse-names" : false, "suffix" : "" }, { "dropping-particle" : "", "family" : "Solman", "given" : "Silvina", "non-dropping-particle" : "", "parse-names" : false, "suffix" : "" }, { "dropping-particle" : "", "family" : "N\u00fa\u00f1ez", "given" : "Mario", "non-dropping-particle" : "", "parse-names" : false, "suffix" : "" } ], "container-title" : "Atmosfera", "id" : "ITEM-1", "issue" : "1", "issued" : { "date-parts" : [ [ "2016" ] ] }, "page" : "35-60", "title" : "Regional climate change scenarios over southern South America for future climate (2080-2099) using the MM5 Model. Mean, interannual variability and uncertainties", "type" : "article-journal", "volume" : "29" }, "uris" : [ "http://www.mendeley.com/documents/?uuid=3ec3d710-f771-4f97-84b4-ecf50c9df073" ] } ], "mendeley" : { "formattedCitation" : "(Cabr\u00e9 et al. 2016)", "plainTextFormattedCitation" : "(Cabr\u00e9 et al. 2016)", "previouslyFormattedCitation" : "(Cabr\u00e9 et al. 2016)" }, "properties" : { "noteIndex" : 0 }, "schema" : "https://github.com/citation-style-language/schema/raw/master/csl-citation.json" }</w:instrText>
      </w:r>
      <w:r w:rsidRPr="008608AA">
        <w:rPr>
          <w:rFonts w:eastAsia="Calibri"/>
        </w:rPr>
        <w:fldChar w:fldCharType="separate"/>
      </w:r>
      <w:r w:rsidRPr="008608AA">
        <w:rPr>
          <w:rFonts w:eastAsia="Calibri"/>
          <w:noProof/>
        </w:rPr>
        <w:t>(Cabré et al.</w:t>
      </w:r>
      <w:r w:rsidR="00EE6343" w:rsidRPr="008608AA">
        <w:rPr>
          <w:rFonts w:eastAsia="Calibri"/>
          <w:noProof/>
        </w:rPr>
        <w:t>,</w:t>
      </w:r>
      <w:r w:rsidRPr="008608AA">
        <w:rPr>
          <w:rFonts w:eastAsia="Calibri"/>
          <w:noProof/>
        </w:rPr>
        <w:t xml:space="preserve"> 2016)</w:t>
      </w:r>
      <w:r w:rsidRPr="008608AA">
        <w:rPr>
          <w:rFonts w:eastAsia="Calibri"/>
        </w:rPr>
        <w:fldChar w:fldCharType="end"/>
      </w:r>
      <w:r w:rsidR="006870B5" w:rsidRPr="008608AA">
        <w:rPr>
          <w:rFonts w:eastAsia="Calibri"/>
        </w:rPr>
        <w:t xml:space="preserve">. </w:t>
      </w:r>
      <w:r w:rsidRPr="008608AA">
        <w:rPr>
          <w:rFonts w:eastAsia="Calibri"/>
        </w:rPr>
        <w:t>Precipitation is associated with net primary productivity in some area</w:t>
      </w:r>
      <w:r w:rsidR="003E0D07" w:rsidRPr="008608AA">
        <w:rPr>
          <w:rFonts w:eastAsia="Calibri"/>
        </w:rPr>
        <w:t>s of the Rí</w:t>
      </w:r>
      <w:r w:rsidRPr="008608AA">
        <w:rPr>
          <w:rFonts w:eastAsia="Calibri"/>
        </w:rPr>
        <w:t xml:space="preserve">o de la Plata region, particularly in native forests and afforested areas, but other land use activities can interact with climate factors and cause carbon storage to decline </w:t>
      </w:r>
      <w:r w:rsidRPr="008608AA">
        <w:rPr>
          <w:rFonts w:eastAsia="Calibri"/>
        </w:rPr>
        <w:fldChar w:fldCharType="begin" w:fldLock="1"/>
      </w:r>
      <w:r w:rsidRPr="008608AA">
        <w:rPr>
          <w:rFonts w:eastAsia="Calibri"/>
        </w:rPr>
        <w:instrText>ADDIN CSL_CITATION { "citationItems" : [ { "id" : "ITEM-1", "itemData" : { "DOI" : "10.1890/ES15-00085.1", "ISSN" : "2150-8925", "abstract" : "Carbon gains are a key aspect of ecosystem functioning since they represent the energy available for upper trophic levels. Carbon gains (or primary production) are strongly correlated with other ecosystem attributes such as secondary production and they are also the support for the provision of many ecosystem services. Given the documented dependency of primary production on precipitation, we expect that altered precipitation regimes, such as those projected by climate models, will have a significant impact on carbon gains. Land use and land cover changes are also expected to have a significant impact on the dynamics of carbon gains. We generated a spectral database of the fraction of photosynthetically active radiation intercepted by vegetation (fPAR), in order to study long-term trends (i.e., decades) in carbon gains and its spatial and temporal relationships with precipitation and land cover patterns in Uruguay, which is part of the Rio de la Plata Grasslands, one of the largest temperate grasslands bi...", "author" : [ { "dropping-particle" : "", "family" : "Texeira", "given" : "Marcos", "non-dropping-particle" : "", "parse-names" : false, "suffix" : "" }, { "dropping-particle" : "", "family" : "Oyarzabal", "given" : "Mariano", "non-dropping-particle" : "", "parse-names" : false, "suffix" : "" }, { "dropping-particle" : "", "family" : "Pineiro", "given" : "Gervasio", "non-dropping-particle" : "", "parse-names" : false, "suffix" : "" }, { "dropping-particle" : "", "family" : "Baeza", "given" : "Santiago", "non-dropping-particle" : "", "parse-names" : false, "suffix" : "" }, { "dropping-particle" : "", "family" : "Paruelo", "given" : "Jose Maria", "non-dropping-particle" : "", "parse-names" : false, "suffix" : "" } ], "container-title" : "Ecosphere", "id" : "ITEM-1", "issue" : "10", "issued" : { "date-parts" : [ [ "2015" ] ] }, "page" : "art196", "title" : "Land cover and precipitation controls over long-term trends in carbon gains in the grassland biome of South America", "type" : "article-journal", "volume" : "6" }, "uris" : [ "http://www.mendeley.com/documents/?uuid=c721551a-2fde-47c1-a8a1-2c383b612104" ] } ], "mendeley" : { "formattedCitation" : "(Texeira et al. 2015)", "manualFormatting" : "(Texeira et al., 2015)", "plainTextFormattedCitation" : "(Texeira et al. 2015)", "previouslyFormattedCitation" : "(Texeira et al. 2015)" }, "properties" : { "noteIndex" : 0 }, "schema" : "https://github.com/citation-style-language/schema/raw/master/csl-citation.json" }</w:instrText>
      </w:r>
      <w:r w:rsidRPr="008608AA">
        <w:rPr>
          <w:rFonts w:eastAsia="Calibri"/>
        </w:rPr>
        <w:fldChar w:fldCharType="separate"/>
      </w:r>
      <w:r w:rsidRPr="008608AA">
        <w:rPr>
          <w:rFonts w:eastAsia="Calibri"/>
          <w:noProof/>
        </w:rPr>
        <w:t>(Texeira et al., 2015)</w:t>
      </w:r>
      <w:r w:rsidRPr="008608AA">
        <w:rPr>
          <w:rFonts w:eastAsia="Calibri"/>
        </w:rPr>
        <w:fldChar w:fldCharType="end"/>
      </w:r>
      <w:r w:rsidRPr="008608AA">
        <w:rPr>
          <w:rFonts w:eastAsia="Calibri"/>
        </w:rPr>
        <w:t xml:space="preserve">. An increase in precipitation may cause flooding, erosion, and increased nutrient runoff, which can affect biological communities in pampean rivers and streams by increasing the number of species that better tolerate turbid and enriched environments </w:t>
      </w:r>
      <w:r w:rsidRPr="008608AA">
        <w:rPr>
          <w:rFonts w:eastAsia="Calibri"/>
        </w:rPr>
        <w:fldChar w:fldCharType="begin" w:fldLock="1"/>
      </w:r>
      <w:r w:rsidRPr="008608AA">
        <w:rPr>
          <w:rFonts w:eastAsia="Calibri"/>
        </w:rPr>
        <w:instrText>ADDIN CSL_CITATION { "citationItems" : [ { "id" : "ITEM-1", "itemData" : { "DOI" : "10.1007/s10750-010-0319-3", "ISBN" : "0018-8158", "ISSN" : "00188158", "PMID" : "3038", "abstract" : "The rivers and streams in the pampean plains are characterized by a low flow rate due to the low slope of the surrounding terrain, high levels of suspended solids, silty sediment in the benthos, and reduced rithron; the riparian forest of this region has been replaced by low-altitude grasslands. Many of these environments contain a wide coverage of aquatic reeds, both submerged and floating, making the pampas limologically extraordinary. These terrains have undergone a gradual transformation in response to the progress of urbanization and agricultural activity in recent years with a resulting loss of biodiversity, leaving only few sites that continue to reflect the original characteristics of the region. Because of human activities in combination with the global climate change, variations have occurred in biological communities that are reflected in the structure and function of populations and assemblages of algae, macrophytes, and invertebrate fauna or in the eutrophication of affected ecosystems. The objective of this article is to describe the principal limnologic characteristics of the streams that traverse the Buenos Aires Province and relate these features with the predicted future global changes for the area under study. Considering the future climate-change scenarios proposed for the pampean region, the projected increment in rainfall will affect the biological communities. Higher rainfall may enhance the erosion and generate floodings; increasing the transport of sediments, nutrients, and contaminants to the ocean and affecting the degree of water mineralization. Changes in discharge and turbidity may affect light penetration in the water column as well as its residence time. The modifications in the use of the soil will probably favor the input of nutrients. This latter effect will favor autotrophy, particularly by those species capable of generating strategies for surviving in more turbid and enriched environments. An accelerated eutrophication will change the composition of the consumers in preference to herbivores and detritivores. The increase in global population projected for the next years will demand more food, and this situation coupled with the new scenarios of climate change will lead to profound socioeconomic changes in the pampean area, implying an increase in demand for water resources and land uses. \u00a9 2010 Springer Science+Business Media B.V.", "author" : [ { "dropping-particle" : "", "family" : "Cap??tulo", "given" : "Alberto Rodrigues", "non-dropping-particle" : "", "parse-names" : false, "suffix" : "" }, { "dropping-particle" : "", "family" : "G??mez", "given" : "Nora", "non-dropping-particle" : "", "parse-names" : false, "suffix" : "" }, { "dropping-particle" : "", "family" : "Giorgi", "given" : "Adonis", "non-dropping-particle" : "", "parse-names" : false, "suffix" : "" }, { "dropping-particle" : "", "family" : "Feijo??", "given" : "Claudia", "non-dropping-particle" : "", "parse-names" : false, "suffix" : "" } ], "container-title" : "Hydrobiologia", "id" : "ITEM-1", "issue" : "1", "issued" : { "date-parts" : [ [ "2010" ] ] }, "page" : "53-70", "title" : "Global changes in pampean lowland streams (Argentina): Implications for biodiversity and functioning", "type" : "article-journal", "volume" : "657" }, "uris" : [ "http://www.mendeley.com/documents/?uuid=91312e2e-d5c3-4abc-99cf-b91688b72326" ] } ], "mendeley" : { "formattedCitation" : "(Cap??tulo et al. 2010)", "manualFormatting" : "(Capitulo et al., 2010)", "plainTextFormattedCitation" : "(Cap??tulo et al. 2010)", "previouslyFormattedCitation" : "(Cap??tulo et al. 2010)" }, "properties" : { "noteIndex" : 0 }, "schema" : "https://github.com/citation-style-language/schema/raw/master/csl-citation.json" }</w:instrText>
      </w:r>
      <w:r w:rsidRPr="008608AA">
        <w:rPr>
          <w:rFonts w:eastAsia="Calibri"/>
        </w:rPr>
        <w:fldChar w:fldCharType="separate"/>
      </w:r>
      <w:r w:rsidRPr="008608AA">
        <w:rPr>
          <w:rFonts w:eastAsia="Calibri"/>
          <w:noProof/>
        </w:rPr>
        <w:t>(Capitulo et al., 2010)</w:t>
      </w:r>
      <w:r w:rsidRPr="008608AA">
        <w:rPr>
          <w:rFonts w:eastAsia="Calibri"/>
        </w:rPr>
        <w:fldChar w:fldCharType="end"/>
      </w:r>
      <w:r w:rsidRPr="008608AA">
        <w:rPr>
          <w:rFonts w:eastAsia="Calibri"/>
        </w:rPr>
        <w:t>.</w:t>
      </w:r>
    </w:p>
    <w:p w14:paraId="166A1738" w14:textId="5CAD8FAE" w:rsidR="001E61A6" w:rsidRPr="008608AA" w:rsidRDefault="001E61A6" w:rsidP="00A345FC">
      <w:pPr>
        <w:spacing w:before="120"/>
        <w:rPr>
          <w:rFonts w:eastAsia="Calibri"/>
        </w:rPr>
      </w:pPr>
      <w:r w:rsidRPr="008608AA">
        <w:rPr>
          <w:rFonts w:eastAsia="Calibri"/>
        </w:rPr>
        <w:t>Climate change is likely to have a substantial impact on mangrove ecosystems (Ellison</w:t>
      </w:r>
      <w:r w:rsidR="00EE6343" w:rsidRPr="008608AA">
        <w:rPr>
          <w:rFonts w:eastAsia="Calibri"/>
        </w:rPr>
        <w:t>,</w:t>
      </w:r>
      <w:r w:rsidRPr="008608AA">
        <w:rPr>
          <w:rFonts w:eastAsia="Calibri"/>
        </w:rPr>
        <w:t xml:space="preserve"> 2015), through processes including sea level rise, changing ocean currents, increased storminess, increased temperature, changes in precipitation, and increased </w:t>
      </w:r>
      <w:r w:rsidR="00E03ED4" w:rsidRPr="008608AA">
        <w:rPr>
          <w:rFonts w:eastAsia="Calibri"/>
        </w:rPr>
        <w:t>carbon dioxide</w:t>
      </w:r>
      <w:r w:rsidRPr="008608AA">
        <w:rPr>
          <w:rFonts w:eastAsia="Calibri"/>
        </w:rPr>
        <w:t>. Exposure to disturbances induces dynamism on annual and decadal scales that is reflected in changes in the populations, biomass, and spatial distribution of the mangrove ecosystem (Schaeffer-Novelli et al., 2016). Sea level rise is likely to influence mangroves in all regions, although local impacts are likely to be more varied. Mangroves are likely to be less affected by sea level rise in areas with high sediment availability, uplifting or stable coasts, high productivity, and large tidal ranges (Ward et al., 2016), as well as along wet tropical coasts and/or in areas adjacent to significant river input (Alongi</w:t>
      </w:r>
      <w:r w:rsidR="00EE6343" w:rsidRPr="008608AA">
        <w:rPr>
          <w:rFonts w:eastAsia="Calibri"/>
        </w:rPr>
        <w:t>,</w:t>
      </w:r>
      <w:r w:rsidRPr="008608AA">
        <w:rPr>
          <w:rFonts w:eastAsia="Calibri"/>
        </w:rPr>
        <w:t xml:space="preserve"> 2008), like the Amazon estuary and Parnaiba delta. </w:t>
      </w:r>
    </w:p>
    <w:p w14:paraId="7F0988FF" w14:textId="77777777" w:rsidR="001E61A6" w:rsidRPr="008608AA" w:rsidRDefault="001E61A6" w:rsidP="00A345FC">
      <w:pPr>
        <w:spacing w:before="120"/>
        <w:rPr>
          <w:rFonts w:eastAsia="Calibri"/>
        </w:rPr>
      </w:pPr>
      <w:r w:rsidRPr="008608AA">
        <w:rPr>
          <w:rFonts w:eastAsia="Calibri"/>
        </w:rPr>
        <w:t>These factors combined with increased temperatures at the latitudinal extremes of mangrove distribution, a predicted increase in the strength and frequency of El Niño events that lead to below normal rainfall and a decrease in extreme precipitation events in most of tropical South America, and a resultant decrease in the cooling and drying influence of the Humboldt Current in western South America, could provide an increase in the distribution of mangroves within South America. However, in semiarid regions of South America, where mangroves typically occur in estuaries, and irrigation and damming are more prevalent, mangroves are likely to suffer from increases in salt-stress and resultant decreases in productivity combined with decreases in sediment input (Ward et al., 2016).</w:t>
      </w:r>
    </w:p>
    <w:p w14:paraId="18FC7222" w14:textId="77777777" w:rsidR="00B50ECF" w:rsidRPr="008608AA" w:rsidRDefault="001E61A6" w:rsidP="00B50ECF">
      <w:pPr>
        <w:keepNext/>
        <w:keepLines/>
        <w:spacing w:before="120"/>
        <w:outlineLvl w:val="3"/>
        <w:rPr>
          <w:rFonts w:eastAsia="Calibri"/>
          <w:b/>
          <w:bCs/>
          <w:iCs/>
        </w:rPr>
      </w:pPr>
      <w:bookmarkStart w:id="1586" w:name="_Toc517393363"/>
      <w:bookmarkStart w:id="1587" w:name="_Toc517394420"/>
      <w:bookmarkStart w:id="1588" w:name="_Toc517719104"/>
      <w:bookmarkStart w:id="1589" w:name="_Toc517797061"/>
      <w:r w:rsidRPr="008608AA">
        <w:rPr>
          <w:rFonts w:eastAsia="Calibri"/>
          <w:b/>
          <w:bCs/>
          <w:iCs/>
        </w:rPr>
        <w:t>Climate change mitigation and adaptation strategies</w:t>
      </w:r>
      <w:bookmarkEnd w:id="1586"/>
      <w:bookmarkEnd w:id="1587"/>
      <w:bookmarkEnd w:id="1588"/>
      <w:bookmarkEnd w:id="1589"/>
      <w:r w:rsidRPr="008608AA">
        <w:rPr>
          <w:rFonts w:eastAsia="Calibri"/>
          <w:b/>
          <w:bCs/>
          <w:iCs/>
        </w:rPr>
        <w:t xml:space="preserve"> </w:t>
      </w:r>
    </w:p>
    <w:p w14:paraId="541D2D8B" w14:textId="7A8BA47C" w:rsidR="001E61A6" w:rsidRPr="008608AA" w:rsidRDefault="001E61A6" w:rsidP="00A345FC">
      <w:pPr>
        <w:spacing w:before="120"/>
        <w:rPr>
          <w:rFonts w:eastAsia="Calibri"/>
        </w:rPr>
      </w:pPr>
      <w:r w:rsidRPr="008608AA">
        <w:rPr>
          <w:rFonts w:eastAsia="Calibri"/>
        </w:rPr>
        <w:t>Because of the substantial increase of atmospheric greenhouse gases in recent decades, it is important to identify actions that may reduce emissi</w:t>
      </w:r>
      <w:r w:rsidR="006870B5" w:rsidRPr="008608AA">
        <w:rPr>
          <w:rFonts w:eastAsia="Calibri"/>
        </w:rPr>
        <w:t>ons through mitigation efforts.</w:t>
      </w:r>
      <w:r w:rsidRPr="008608AA">
        <w:rPr>
          <w:rFonts w:eastAsia="Calibri"/>
        </w:rPr>
        <w:t xml:space="preserve"> Many mitigation policies have already been impl</w:t>
      </w:r>
      <w:r w:rsidR="006870B5" w:rsidRPr="008608AA">
        <w:rPr>
          <w:rFonts w:eastAsia="Calibri"/>
        </w:rPr>
        <w:t>emented in the Americas region.</w:t>
      </w:r>
      <w:r w:rsidRPr="008608AA">
        <w:rPr>
          <w:rFonts w:eastAsia="Calibri"/>
        </w:rPr>
        <w:t xml:space="preserve"> For example, although no national climate legislation exists, a variety of policies and measures that lower emissions have been implemented at multiple governmental levels in the US</w:t>
      </w:r>
      <w:r w:rsidR="006870B5" w:rsidRPr="008608AA">
        <w:rPr>
          <w:rFonts w:eastAsia="Calibri"/>
        </w:rPr>
        <w:t>A</w:t>
      </w:r>
      <w:r w:rsidRPr="008608AA">
        <w:rPr>
          <w:rFonts w:eastAsia="Calibri"/>
        </w:rPr>
        <w:t xml:space="preserve"> (U</w:t>
      </w:r>
      <w:r w:rsidR="006870B5" w:rsidRPr="008608AA">
        <w:rPr>
          <w:rFonts w:eastAsia="Calibri"/>
        </w:rPr>
        <w:t>.</w:t>
      </w:r>
      <w:r w:rsidRPr="008608AA">
        <w:rPr>
          <w:rFonts w:eastAsia="Calibri"/>
        </w:rPr>
        <w:t>S. Nati</w:t>
      </w:r>
      <w:r w:rsidR="006870B5" w:rsidRPr="008608AA">
        <w:rPr>
          <w:rFonts w:eastAsia="Calibri"/>
        </w:rPr>
        <w:t>onal Climate Assessment</w:t>
      </w:r>
      <w:r w:rsidR="00EE6343" w:rsidRPr="008608AA">
        <w:rPr>
          <w:rFonts w:eastAsia="Calibri"/>
        </w:rPr>
        <w:t>,</w:t>
      </w:r>
      <w:r w:rsidR="006870B5" w:rsidRPr="008608AA">
        <w:rPr>
          <w:rFonts w:eastAsia="Calibri"/>
        </w:rPr>
        <w:t xml:space="preserve"> 2014). </w:t>
      </w:r>
      <w:r w:rsidRPr="008608AA">
        <w:rPr>
          <w:rFonts w:eastAsia="Calibri"/>
        </w:rPr>
        <w:t>Additionally, developing countries, like Brazil, are also making strides with regards to mitigation, pledging to reduce greenhouse gas emissions by as much as 40% below 2005 levels by 2030 (Brazil Intended Nationally Determined Contribution</w:t>
      </w:r>
      <w:r w:rsidR="00EE6343" w:rsidRPr="008608AA">
        <w:rPr>
          <w:rFonts w:eastAsia="Calibri"/>
        </w:rPr>
        <w:t>,</w:t>
      </w:r>
      <w:r w:rsidRPr="008608AA">
        <w:rPr>
          <w:rFonts w:eastAsia="Calibri"/>
        </w:rPr>
        <w:t xml:space="preserve"> 2015). Some communities are taking the important step of talking about possible impacts of sea level rise, for </w:t>
      </w:r>
      <w:r w:rsidR="006870B5" w:rsidRPr="008608AA">
        <w:rPr>
          <w:rFonts w:eastAsia="Calibri"/>
        </w:rPr>
        <w:t>example (Marengo et al., 2017).</w:t>
      </w:r>
      <w:r w:rsidRPr="008608AA">
        <w:rPr>
          <w:rFonts w:eastAsia="Calibri"/>
        </w:rPr>
        <w:t xml:space="preserve"> However, because climate change is a global issue, it is important that countries work collaboratively to develop emission reduction strategies as opposed to each country approaching the problem independently (IPCC</w:t>
      </w:r>
      <w:r w:rsidR="00EE6343" w:rsidRPr="008608AA">
        <w:rPr>
          <w:rFonts w:eastAsia="Calibri"/>
        </w:rPr>
        <w:t>,</w:t>
      </w:r>
      <w:r w:rsidRPr="008608AA">
        <w:rPr>
          <w:rFonts w:eastAsia="Calibri"/>
        </w:rPr>
        <w:t xml:space="preserve"> 2014</w:t>
      </w:r>
      <w:r w:rsidR="000656BE" w:rsidRPr="008608AA">
        <w:rPr>
          <w:rFonts w:eastAsia="Calibri"/>
        </w:rPr>
        <w:t>a</w:t>
      </w:r>
      <w:r w:rsidRPr="008608AA">
        <w:rPr>
          <w:rFonts w:eastAsia="Calibri"/>
        </w:rPr>
        <w:t>).</w:t>
      </w:r>
    </w:p>
    <w:p w14:paraId="7E690575" w14:textId="5A3232B0" w:rsidR="001E61A6" w:rsidRPr="008608AA" w:rsidRDefault="001E61A6" w:rsidP="00A345FC">
      <w:pPr>
        <w:spacing w:before="120"/>
        <w:rPr>
          <w:rFonts w:eastAsia="Calibri"/>
        </w:rPr>
      </w:pPr>
      <w:r w:rsidRPr="008608AA">
        <w:rPr>
          <w:rFonts w:eastAsia="Calibri"/>
        </w:rPr>
        <w:t>Mitigation can also refer to enhancing the capacity for carbon storage in regions that may be able to remove greenhouse gases fr</w:t>
      </w:r>
      <w:r w:rsidR="00C7559D" w:rsidRPr="008608AA">
        <w:rPr>
          <w:rFonts w:eastAsia="Calibri"/>
        </w:rPr>
        <w:t>om the atmosphere (IPCC</w:t>
      </w:r>
      <w:r w:rsidR="00EE6343" w:rsidRPr="008608AA">
        <w:rPr>
          <w:rFonts w:eastAsia="Calibri"/>
        </w:rPr>
        <w:t>,</w:t>
      </w:r>
      <w:r w:rsidR="00C7559D" w:rsidRPr="008608AA">
        <w:rPr>
          <w:rFonts w:eastAsia="Calibri"/>
        </w:rPr>
        <w:t xml:space="preserve"> 2014</w:t>
      </w:r>
      <w:r w:rsidR="000656BE" w:rsidRPr="008608AA">
        <w:rPr>
          <w:rFonts w:eastAsia="Calibri"/>
        </w:rPr>
        <w:t>a</w:t>
      </w:r>
      <w:r w:rsidR="00C7559D" w:rsidRPr="008608AA">
        <w:rPr>
          <w:rFonts w:eastAsia="Calibri"/>
        </w:rPr>
        <w:t>). </w:t>
      </w:r>
      <w:r w:rsidRPr="008608AA">
        <w:rPr>
          <w:rFonts w:eastAsia="Calibri"/>
        </w:rPr>
        <w:t xml:space="preserve">Both oceans and vegetated regions have the potential to serve as </w:t>
      </w:r>
      <w:r w:rsidR="00E03ED4" w:rsidRPr="008608AA">
        <w:t>carbon dioxide</w:t>
      </w:r>
      <w:r w:rsidRPr="008608AA">
        <w:rPr>
          <w:rFonts w:eastAsia="Calibri"/>
        </w:rPr>
        <w:t xml:space="preserve"> sinks, and improving our understanding of the various physical and biological processes that can increase carbon uptake will assist with developing better estimate</w:t>
      </w:r>
      <w:r w:rsidR="00C7559D" w:rsidRPr="008608AA">
        <w:rPr>
          <w:rFonts w:eastAsia="Calibri"/>
        </w:rPr>
        <w:t>s of potential carbon offsets. </w:t>
      </w:r>
      <w:r w:rsidRPr="008608AA">
        <w:rPr>
          <w:rFonts w:eastAsia="Calibri"/>
        </w:rPr>
        <w:t xml:space="preserve">For example, it is well known that </w:t>
      </w:r>
      <w:r w:rsidR="00C7559D" w:rsidRPr="008608AA">
        <w:rPr>
          <w:rFonts w:eastAsia="Calibri"/>
        </w:rPr>
        <w:t>vegetated coastal regions (e.g.</w:t>
      </w:r>
      <w:r w:rsidRPr="008608AA">
        <w:rPr>
          <w:rFonts w:eastAsia="Calibri"/>
        </w:rPr>
        <w:t xml:space="preserve"> salt marshes, mangroves) can be important regions for carbon sequestration, but recent work has indicated that microalgae may also sequester substantial amounts of carbon and is able to deliver it to sediments and the deep sea for long-term storage (</w:t>
      </w:r>
      <w:r w:rsidR="00C7559D" w:rsidRPr="008608AA">
        <w:rPr>
          <w:rFonts w:eastAsia="Calibri"/>
        </w:rPr>
        <w:t xml:space="preserve">Krause-Jensen </w:t>
      </w:r>
      <w:r w:rsidR="00EE6343" w:rsidRPr="008608AA">
        <w:rPr>
          <w:rFonts w:eastAsia="Calibri"/>
        </w:rPr>
        <w:t>&amp;</w:t>
      </w:r>
      <w:r w:rsidR="00C7559D" w:rsidRPr="008608AA">
        <w:rPr>
          <w:rFonts w:eastAsia="Calibri"/>
        </w:rPr>
        <w:t xml:space="preserve"> Duarte</w:t>
      </w:r>
      <w:r w:rsidR="00EE6343" w:rsidRPr="008608AA">
        <w:rPr>
          <w:rFonts w:eastAsia="Calibri"/>
        </w:rPr>
        <w:t>,</w:t>
      </w:r>
      <w:r w:rsidR="00C7559D" w:rsidRPr="008608AA">
        <w:rPr>
          <w:rFonts w:eastAsia="Calibri"/>
        </w:rPr>
        <w:t xml:space="preserve"> 2016).</w:t>
      </w:r>
      <w:r w:rsidRPr="008608AA">
        <w:rPr>
          <w:rFonts w:eastAsia="Calibri"/>
        </w:rPr>
        <w:t xml:space="preserve"> Similarly, calculating more accurate carbon offsets in forests requires consideration of both the ability to regulate greenhouse gases, as well as regulation of water and energy (Anderson-Taixeira et al., 2012).</w:t>
      </w:r>
    </w:p>
    <w:p w14:paraId="1E036326" w14:textId="7D162E37" w:rsidR="001E61A6" w:rsidRPr="008608AA" w:rsidRDefault="001E61A6" w:rsidP="00A345FC">
      <w:pPr>
        <w:spacing w:before="120"/>
        <w:rPr>
          <w:rFonts w:eastAsia="Calibri"/>
        </w:rPr>
      </w:pPr>
      <w:r w:rsidRPr="008608AA">
        <w:rPr>
          <w:rFonts w:eastAsia="Calibri"/>
        </w:rPr>
        <w:t xml:space="preserve">Although mitigation is critical for reducing greenhouse gas emissions, the IPCC has warned that projected climate change is expected to affect human and natural systems despite the scale of mitigation policies that are adopted in </w:t>
      </w:r>
      <w:r w:rsidR="00C7559D" w:rsidRPr="008608AA">
        <w:rPr>
          <w:rFonts w:eastAsia="Calibri"/>
        </w:rPr>
        <w:t>the next few years (IPCC</w:t>
      </w:r>
      <w:r w:rsidR="00EE6343" w:rsidRPr="008608AA">
        <w:rPr>
          <w:rFonts w:eastAsia="Calibri"/>
        </w:rPr>
        <w:t>,</w:t>
      </w:r>
      <w:r w:rsidR="00C7559D" w:rsidRPr="008608AA">
        <w:rPr>
          <w:rFonts w:eastAsia="Calibri"/>
        </w:rPr>
        <w:t xml:space="preserve"> 2007).</w:t>
      </w:r>
      <w:r w:rsidRPr="008608AA">
        <w:rPr>
          <w:rFonts w:eastAsia="Calibri"/>
        </w:rPr>
        <w:t xml:space="preserve"> Therefore, developing and implementing effective adaptation strategies will be needed to minimize those potential clim</w:t>
      </w:r>
      <w:r w:rsidR="00C7559D" w:rsidRPr="008608AA">
        <w:rPr>
          <w:rFonts w:eastAsia="Calibri"/>
        </w:rPr>
        <w:t>ate change impacts (IPCC</w:t>
      </w:r>
      <w:r w:rsidR="00EE6343" w:rsidRPr="008608AA">
        <w:rPr>
          <w:rFonts w:eastAsia="Calibri"/>
        </w:rPr>
        <w:t>,</w:t>
      </w:r>
      <w:r w:rsidR="00C7559D" w:rsidRPr="008608AA">
        <w:rPr>
          <w:rFonts w:eastAsia="Calibri"/>
        </w:rPr>
        <w:t xml:space="preserve"> 2007).</w:t>
      </w:r>
      <w:r w:rsidRPr="008608AA">
        <w:rPr>
          <w:rFonts w:eastAsia="Calibri"/>
        </w:rPr>
        <w:t xml:space="preserve"> Adaptation planning is occurring in both the public and private sectors throughout</w:t>
      </w:r>
      <w:r w:rsidR="00C7559D" w:rsidRPr="008608AA">
        <w:rPr>
          <w:rFonts w:eastAsia="Calibri"/>
        </w:rPr>
        <w:t xml:space="preserve"> many regions of the Americas. </w:t>
      </w:r>
      <w:r w:rsidRPr="008608AA">
        <w:rPr>
          <w:rFonts w:eastAsia="Calibri"/>
        </w:rPr>
        <w:t>For example, many municipalities in North America are considering incremental changes to their planning efforts as a result of climate change and some regions in Central and South America are considering ecosystem-based approaches, such as developi</w:t>
      </w:r>
      <w:r w:rsidR="00C7559D" w:rsidRPr="008608AA">
        <w:rPr>
          <w:rFonts w:eastAsia="Calibri"/>
        </w:rPr>
        <w:t>ng protected areas (IPCC</w:t>
      </w:r>
      <w:r w:rsidR="00EE6343" w:rsidRPr="008608AA">
        <w:rPr>
          <w:rFonts w:eastAsia="Calibri"/>
        </w:rPr>
        <w:t>,</w:t>
      </w:r>
      <w:r w:rsidR="00C7559D" w:rsidRPr="008608AA">
        <w:rPr>
          <w:rFonts w:eastAsia="Calibri"/>
        </w:rPr>
        <w:t xml:space="preserve"> 2014</w:t>
      </w:r>
      <w:r w:rsidR="000656BE" w:rsidRPr="008608AA">
        <w:rPr>
          <w:rFonts w:eastAsia="Calibri"/>
        </w:rPr>
        <w:t>a</w:t>
      </w:r>
      <w:r w:rsidR="00C7559D" w:rsidRPr="008608AA">
        <w:rPr>
          <w:rFonts w:eastAsia="Calibri"/>
        </w:rPr>
        <w:t>).</w:t>
      </w:r>
      <w:r w:rsidRPr="008608AA">
        <w:rPr>
          <w:rFonts w:eastAsia="Calibri"/>
        </w:rPr>
        <w:t xml:space="preserve"> Despite increased recognition of the importance of adaptation planning in response to climate change, few measures have actually been implemented on the ground (IPCC</w:t>
      </w:r>
      <w:r w:rsidR="00EE6343" w:rsidRPr="008608AA">
        <w:rPr>
          <w:rFonts w:eastAsia="Calibri"/>
        </w:rPr>
        <w:t>,</w:t>
      </w:r>
      <w:r w:rsidRPr="008608AA">
        <w:rPr>
          <w:rFonts w:eastAsia="Calibri"/>
        </w:rPr>
        <w:t xml:space="preserve"> 2014</w:t>
      </w:r>
      <w:r w:rsidR="000656BE" w:rsidRPr="008608AA">
        <w:rPr>
          <w:rFonts w:eastAsia="Calibri"/>
        </w:rPr>
        <w:t>a</w:t>
      </w:r>
      <w:r w:rsidR="00C7559D" w:rsidRPr="008608AA">
        <w:rPr>
          <w:rFonts w:eastAsia="Calibri"/>
        </w:rPr>
        <w:t>). </w:t>
      </w:r>
      <w:r w:rsidRPr="008608AA">
        <w:rPr>
          <w:rFonts w:eastAsia="Calibri"/>
        </w:rPr>
        <w:t>Barriers to implementation include limited funding, policy and legal impediments, and difficulty in anticipating climate related changes at local scales (U.S. National Climate Assessment</w:t>
      </w:r>
      <w:r w:rsidR="00EE6343" w:rsidRPr="008608AA">
        <w:rPr>
          <w:rFonts w:eastAsia="Calibri"/>
        </w:rPr>
        <w:t>,</w:t>
      </w:r>
      <w:r w:rsidRPr="008608AA">
        <w:rPr>
          <w:rFonts w:eastAsia="Calibri"/>
        </w:rPr>
        <w:t xml:space="preserve"> 2014). </w:t>
      </w:r>
    </w:p>
    <w:p w14:paraId="4388891D" w14:textId="5F39DCF2" w:rsidR="00F57F61" w:rsidRPr="008608AA" w:rsidRDefault="001E61A6" w:rsidP="00A345FC">
      <w:pPr>
        <w:spacing w:before="120"/>
        <w:rPr>
          <w:rFonts w:eastAsia="Calibri"/>
        </w:rPr>
      </w:pPr>
      <w:r w:rsidRPr="008608AA">
        <w:rPr>
          <w:rFonts w:eastAsia="Calibri"/>
        </w:rPr>
        <w:t>The majority of adaptation planning is focused on risk and water management and the importance of ecosystem-based adaptation is only recently</w:t>
      </w:r>
      <w:r w:rsidR="00C7559D" w:rsidRPr="008608AA">
        <w:rPr>
          <w:rFonts w:eastAsia="Calibri"/>
        </w:rPr>
        <w:t xml:space="preserve"> being recognized (IPCC</w:t>
      </w:r>
      <w:r w:rsidR="00EE6343" w:rsidRPr="008608AA">
        <w:rPr>
          <w:rFonts w:eastAsia="Calibri"/>
        </w:rPr>
        <w:t>,</w:t>
      </w:r>
      <w:r w:rsidR="00C7559D" w:rsidRPr="008608AA">
        <w:rPr>
          <w:rFonts w:eastAsia="Calibri"/>
        </w:rPr>
        <w:t xml:space="preserve"> 2014</w:t>
      </w:r>
      <w:r w:rsidR="000656BE" w:rsidRPr="008608AA">
        <w:rPr>
          <w:rFonts w:eastAsia="Calibri"/>
        </w:rPr>
        <w:t>a</w:t>
      </w:r>
      <w:r w:rsidR="00C7559D" w:rsidRPr="008608AA">
        <w:rPr>
          <w:rFonts w:eastAsia="Calibri"/>
        </w:rPr>
        <w:t>). </w:t>
      </w:r>
      <w:r w:rsidRPr="008608AA">
        <w:rPr>
          <w:rFonts w:eastAsia="Calibri"/>
        </w:rPr>
        <w:t>Vignola et al. (2009) found that developing countries, in particular, depend heavily on ecosystem services and it is critical that they be mainstreamed into natio</w:t>
      </w:r>
      <w:r w:rsidR="00C7559D" w:rsidRPr="008608AA">
        <w:rPr>
          <w:rFonts w:eastAsia="Calibri"/>
        </w:rPr>
        <w:t>nal and international adaptation policies.</w:t>
      </w:r>
      <w:r w:rsidRPr="008608AA">
        <w:rPr>
          <w:rFonts w:eastAsia="Calibri"/>
        </w:rPr>
        <w:t xml:space="preserve"> Additionally, those authors suggested that adaptation needs to be more closely linked with mitigation to ensure certain mitigation policies are less likely to have negative impacts on the well-being of certain communities (Vignola et al., 2009). Ongoing monitoring is therefore crucial to develop a better understanding of, and adaptation to future changes. This will also allow for more effective incorporation of ecosystems into spatial planning, including disaster risk reduction strategies (UNEP</w:t>
      </w:r>
      <w:r w:rsidR="00EE6343" w:rsidRPr="008608AA">
        <w:rPr>
          <w:rFonts w:eastAsia="Calibri"/>
        </w:rPr>
        <w:t>,</w:t>
      </w:r>
      <w:r w:rsidRPr="008608AA">
        <w:rPr>
          <w:rFonts w:eastAsia="Calibri"/>
        </w:rPr>
        <w:t xml:space="preserve"> 2014). Indigenous and local knowledge also contribute to climate change mitigation and adaptation as presented in</w:t>
      </w:r>
      <w:r w:rsidR="00B50ECF" w:rsidRPr="008608AA">
        <w:rPr>
          <w:rFonts w:eastAsia="Calibri"/>
        </w:rPr>
        <w:t xml:space="preserve"> Box 4.12.</w:t>
      </w:r>
    </w:p>
    <w:p w14:paraId="1D669B15" w14:textId="486F6A64" w:rsidR="001E61A6" w:rsidRPr="008608AA" w:rsidRDefault="00A345FC" w:rsidP="00A345FC">
      <w:pPr>
        <w:pStyle w:val="Caption"/>
        <w:rPr>
          <w:b w:val="0"/>
          <w:bCs w:val="0"/>
        </w:rPr>
      </w:pPr>
      <w:bookmarkStart w:id="1590" w:name="_Toc499200384"/>
      <w:bookmarkStart w:id="1591" w:name="_Toc499459227"/>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12</w:t>
      </w:r>
      <w:r w:rsidR="000E562E">
        <w:rPr>
          <w:noProof/>
        </w:rPr>
        <w:fldChar w:fldCharType="end"/>
      </w:r>
      <w:r w:rsidRPr="008608AA">
        <w:t xml:space="preserve">. </w:t>
      </w:r>
      <w:r w:rsidR="001E61A6" w:rsidRPr="008608AA">
        <w:t>Indigenous and traditional knowledge on climate change</w:t>
      </w:r>
      <w:bookmarkEnd w:id="1590"/>
      <w:bookmarkEnd w:id="1591"/>
    </w:p>
    <w:tbl>
      <w:tblPr>
        <w:tblStyle w:val="Tabelacomgrade1"/>
        <w:tblW w:w="5000" w:type="pct"/>
        <w:tblLook w:val="04A0" w:firstRow="1" w:lastRow="0" w:firstColumn="1" w:lastColumn="0" w:noHBand="0" w:noVBand="1"/>
      </w:tblPr>
      <w:tblGrid>
        <w:gridCol w:w="9487"/>
      </w:tblGrid>
      <w:tr w:rsidR="001E61A6" w:rsidRPr="00A26FD5" w14:paraId="11B56EF9" w14:textId="77777777" w:rsidTr="00360A20">
        <w:tc>
          <w:tcPr>
            <w:tcW w:w="5000" w:type="pct"/>
          </w:tcPr>
          <w:p w14:paraId="04584795" w14:textId="77777777" w:rsidR="001E61A6" w:rsidRPr="00A26FD5" w:rsidRDefault="001E61A6" w:rsidP="00360A20">
            <w:pPr>
              <w:autoSpaceDE w:val="0"/>
              <w:autoSpaceDN w:val="0"/>
              <w:adjustRightInd w:val="0"/>
              <w:spacing w:before="120"/>
              <w:jc w:val="both"/>
              <w:rPr>
                <w:sz w:val="22"/>
                <w:szCs w:val="22"/>
                <w:lang w:val="en-AU"/>
              </w:rPr>
            </w:pPr>
            <w:r w:rsidRPr="00A26FD5">
              <w:rPr>
                <w:sz w:val="22"/>
                <w:szCs w:val="22"/>
                <w:lang w:val="en-AU"/>
              </w:rPr>
              <w:t xml:space="preserve">The Millennium Ecosystems Assessment (2005) considers the traditional knowledge, or practitioners’ knowledge held by local resource managers, can be of equal or greater value for ecosystem management, not only the formal scientific information.   </w:t>
            </w:r>
          </w:p>
          <w:p w14:paraId="49BEC62B" w14:textId="77777777" w:rsidR="001E61A6" w:rsidRPr="00A26FD5" w:rsidRDefault="001E61A6" w:rsidP="00360A20">
            <w:pPr>
              <w:autoSpaceDE w:val="0"/>
              <w:autoSpaceDN w:val="0"/>
              <w:adjustRightInd w:val="0"/>
              <w:spacing w:before="120"/>
              <w:jc w:val="both"/>
              <w:rPr>
                <w:sz w:val="22"/>
                <w:szCs w:val="22"/>
                <w:lang w:val="en-AU"/>
              </w:rPr>
            </w:pPr>
            <w:r w:rsidRPr="00A26FD5">
              <w:rPr>
                <w:sz w:val="22"/>
                <w:szCs w:val="22"/>
                <w:lang w:val="en-AU"/>
              </w:rPr>
              <w:t>For North America, the government agencies incorporated the indigenous communities into established initiatives to develop no-regrets and co-benefits climate change adaptation strategies. Rural and indigenous community members possess valuable local and experiential knowledge regarding NCP (Romero-Lankao, 2014).</w:t>
            </w:r>
          </w:p>
          <w:p w14:paraId="36C52B73" w14:textId="188EA586" w:rsidR="001E61A6" w:rsidRPr="00A26FD5" w:rsidRDefault="001E61A6" w:rsidP="00360A20">
            <w:pPr>
              <w:autoSpaceDE w:val="0"/>
              <w:autoSpaceDN w:val="0"/>
              <w:adjustRightInd w:val="0"/>
              <w:spacing w:before="120"/>
              <w:jc w:val="both"/>
              <w:rPr>
                <w:sz w:val="22"/>
                <w:szCs w:val="22"/>
                <w:lang w:val="en-AU"/>
              </w:rPr>
            </w:pPr>
            <w:r w:rsidRPr="00A26FD5">
              <w:rPr>
                <w:sz w:val="22"/>
                <w:szCs w:val="22"/>
                <w:lang w:val="en-AU"/>
              </w:rPr>
              <w:t>For the Caribbean islands, the preservation of the traditional knowledge of biodiversity is crucial to the sustainable use of NCP. The loss of such traditional knowledge, for example that related to medicine plants and agriculture, has had a direct negative effect on biodiversity and on the degradation of ecosystems (Suárez et al</w:t>
            </w:r>
            <w:r w:rsidR="00EE6343" w:rsidRPr="00A26FD5">
              <w:rPr>
                <w:sz w:val="22"/>
                <w:szCs w:val="22"/>
                <w:lang w:val="en-AU"/>
              </w:rPr>
              <w:t>.</w:t>
            </w:r>
            <w:r w:rsidRPr="00A26FD5">
              <w:rPr>
                <w:sz w:val="22"/>
                <w:szCs w:val="22"/>
                <w:lang w:val="en-AU"/>
              </w:rPr>
              <w:t>, 2008). There is continuing strong support for the incorporation of indigenous knowledge into adaptation planning on small islands (Nurse et al</w:t>
            </w:r>
            <w:r w:rsidR="00EE6343" w:rsidRPr="00A26FD5">
              <w:rPr>
                <w:sz w:val="22"/>
                <w:szCs w:val="22"/>
                <w:lang w:val="en-AU"/>
              </w:rPr>
              <w:t>.,</w:t>
            </w:r>
            <w:r w:rsidRPr="00A26FD5">
              <w:rPr>
                <w:sz w:val="22"/>
                <w:szCs w:val="22"/>
                <w:lang w:val="en-AU"/>
              </w:rPr>
              <w:t xml:space="preserve"> 2014).</w:t>
            </w:r>
          </w:p>
          <w:p w14:paraId="4520ADB9" w14:textId="67C040FA" w:rsidR="001E61A6" w:rsidRPr="00A26FD5" w:rsidRDefault="001E61A6" w:rsidP="00360A20">
            <w:pPr>
              <w:autoSpaceDE w:val="0"/>
              <w:autoSpaceDN w:val="0"/>
              <w:adjustRightInd w:val="0"/>
              <w:spacing w:before="120"/>
              <w:jc w:val="both"/>
              <w:rPr>
                <w:sz w:val="22"/>
                <w:szCs w:val="22"/>
                <w:lang w:val="en-AU"/>
              </w:rPr>
            </w:pPr>
            <w:r w:rsidRPr="00A26FD5">
              <w:rPr>
                <w:sz w:val="22"/>
                <w:szCs w:val="22"/>
                <w:lang w:val="en-AU"/>
              </w:rPr>
              <w:t>There is a growing acknowledgement that indigenous and traditional knowledge has the potential to bring solutions to face the rapidly changing climate and that land ownership and authority of indigenous groups can help better manage many natural areas and reduce deforestation of the Cen</w:t>
            </w:r>
            <w:r w:rsidR="00C7559D" w:rsidRPr="00A26FD5">
              <w:rPr>
                <w:sz w:val="22"/>
                <w:szCs w:val="22"/>
                <w:lang w:val="en-AU"/>
              </w:rPr>
              <w:t>tral and South American region.</w:t>
            </w:r>
            <w:r w:rsidRPr="00A26FD5">
              <w:rPr>
                <w:sz w:val="22"/>
                <w:szCs w:val="22"/>
                <w:lang w:val="en-AU"/>
              </w:rPr>
              <w:t xml:space="preserve"> Linking indigenous knowledge with scientific knowledge is crucial for the adaptation process, currently there is limited scientific literature discussing that subject (Magrin et al</w:t>
            </w:r>
            <w:r w:rsidR="00EE6343" w:rsidRPr="00A26FD5">
              <w:rPr>
                <w:sz w:val="22"/>
                <w:szCs w:val="22"/>
                <w:lang w:val="en-AU"/>
              </w:rPr>
              <w:t>.</w:t>
            </w:r>
            <w:r w:rsidRPr="00A26FD5">
              <w:rPr>
                <w:sz w:val="22"/>
                <w:szCs w:val="22"/>
                <w:lang w:val="en-AU"/>
              </w:rPr>
              <w:t>, 2014). The concept of “mother earth” (madre tierra in Spanish) as a living system has emerged in different forms  in recent years, as a key sacred entity on the view of indigenous nations and as a system that may be affected by and also resilient to climate change.</w:t>
            </w:r>
          </w:p>
        </w:tc>
      </w:tr>
    </w:tbl>
    <w:p w14:paraId="3F46BF33" w14:textId="439732F3" w:rsidR="00A345FC" w:rsidRPr="008608AA" w:rsidRDefault="001E61A6" w:rsidP="00A345FC">
      <w:pPr>
        <w:spacing w:before="240"/>
        <w:rPr>
          <w:rFonts w:eastAsia="Calibri"/>
        </w:rPr>
      </w:pPr>
      <w:r w:rsidRPr="008608AA">
        <w:rPr>
          <w:rFonts w:eastAsia="Calibri"/>
        </w:rPr>
        <w:t>Climate change is a central element of the Aichi targets of the CBD Strategic Plan for 2011-2020 (</w:t>
      </w:r>
      <w:r w:rsidR="00DC7846" w:rsidRPr="008608AA">
        <w:t>Box 4.13</w:t>
      </w:r>
      <w:r w:rsidRPr="008608AA">
        <w:rPr>
          <w:rFonts w:eastAsia="Calibri"/>
        </w:rPr>
        <w:t>).</w:t>
      </w:r>
    </w:p>
    <w:p w14:paraId="53B96008" w14:textId="53827723" w:rsidR="001E61A6" w:rsidRPr="008608AA" w:rsidRDefault="00A345FC" w:rsidP="00A345FC">
      <w:pPr>
        <w:pStyle w:val="Caption"/>
        <w:rPr>
          <w:b w:val="0"/>
          <w:bCs w:val="0"/>
          <w:szCs w:val="22"/>
        </w:rPr>
      </w:pPr>
      <w:bookmarkStart w:id="1592" w:name="_Toc499200385"/>
      <w:bookmarkStart w:id="1593" w:name="_Toc499459228"/>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13</w:t>
      </w:r>
      <w:r w:rsidR="000E562E">
        <w:rPr>
          <w:noProof/>
        </w:rPr>
        <w:fldChar w:fldCharType="end"/>
      </w:r>
      <w:r w:rsidRPr="008608AA">
        <w:t xml:space="preserve">. </w:t>
      </w:r>
      <w:r w:rsidR="001E61A6" w:rsidRPr="008608AA">
        <w:rPr>
          <w:szCs w:val="22"/>
        </w:rPr>
        <w:t>Climate change and the Aichi targets of the CBD Strategic Plan for 2011-2020</w:t>
      </w:r>
      <w:bookmarkEnd w:id="1592"/>
      <w:bookmarkEnd w:id="1593"/>
    </w:p>
    <w:tbl>
      <w:tblPr>
        <w:tblStyle w:val="Tabelacomgrade1"/>
        <w:tblW w:w="0" w:type="auto"/>
        <w:tblLook w:val="04A0" w:firstRow="1" w:lastRow="0" w:firstColumn="1" w:lastColumn="0" w:noHBand="0" w:noVBand="1"/>
      </w:tblPr>
      <w:tblGrid>
        <w:gridCol w:w="9487"/>
      </w:tblGrid>
      <w:tr w:rsidR="001E61A6" w:rsidRPr="00A26FD5" w14:paraId="5D93294A" w14:textId="77777777" w:rsidTr="001E61A6">
        <w:tc>
          <w:tcPr>
            <w:tcW w:w="9500" w:type="dxa"/>
          </w:tcPr>
          <w:p w14:paraId="09A5EFBF" w14:textId="6CA80F68" w:rsidR="001E61A6" w:rsidRPr="00A26FD5" w:rsidRDefault="001E61A6" w:rsidP="009C39CE">
            <w:pPr>
              <w:spacing w:before="120"/>
              <w:jc w:val="both"/>
              <w:rPr>
                <w:sz w:val="22"/>
                <w:szCs w:val="22"/>
                <w:lang w:val="en-AU"/>
              </w:rPr>
            </w:pPr>
            <w:r w:rsidRPr="00A26FD5">
              <w:rPr>
                <w:sz w:val="22"/>
                <w:szCs w:val="22"/>
                <w:lang w:val="en-AU"/>
              </w:rPr>
              <w:t>The CBD recognizes the urgency of addressing climate change in order to halt the rate of biodiversity loss, and this is reflected in its Strategic Plan for 2011-2020. Because of the broad impact of climate change, this driver is covered and/or impacted indirectly by many of the</w:t>
            </w:r>
            <w:r w:rsidR="00C7559D" w:rsidRPr="00A26FD5">
              <w:rPr>
                <w:sz w:val="22"/>
                <w:szCs w:val="22"/>
                <w:lang w:val="en-AU"/>
              </w:rPr>
              <w:t xml:space="preserve"> Aichi targets of the Plan, in t</w:t>
            </w:r>
            <w:r w:rsidRPr="00A26FD5">
              <w:rPr>
                <w:sz w:val="22"/>
                <w:szCs w:val="22"/>
                <w:lang w:val="en-AU"/>
              </w:rPr>
              <w:t xml:space="preserve">argets like number 5 on the half of natural habitats rate loss, number 11 on terrestrial and coastal and marine areas protection and number 14 on the restoration and protection of ecosystem services, to mention a few. The achievement of these targets will help to mitigate and adapt to climate change, both from an anthropocentric and biodiversity perspective. </w:t>
            </w:r>
          </w:p>
          <w:p w14:paraId="3DEB27E3" w14:textId="6C1F5A83" w:rsidR="001E61A6" w:rsidRPr="00A26FD5" w:rsidRDefault="00C7559D" w:rsidP="009C39CE">
            <w:pPr>
              <w:spacing w:before="120"/>
              <w:jc w:val="both"/>
              <w:rPr>
                <w:sz w:val="22"/>
                <w:szCs w:val="22"/>
                <w:lang w:val="en-AU"/>
              </w:rPr>
            </w:pPr>
            <w:r w:rsidRPr="00A26FD5">
              <w:rPr>
                <w:sz w:val="22"/>
                <w:szCs w:val="22"/>
                <w:lang w:val="en-AU"/>
              </w:rPr>
              <w:t>Nevertheless, t</w:t>
            </w:r>
            <w:r w:rsidR="001E61A6" w:rsidRPr="00A26FD5">
              <w:rPr>
                <w:sz w:val="22"/>
                <w:szCs w:val="22"/>
                <w:lang w:val="en-AU"/>
              </w:rPr>
              <w:t>argets 10 and 15 refers directly to climate change.</w:t>
            </w:r>
          </w:p>
          <w:p w14:paraId="0165FD78" w14:textId="48B3EC01" w:rsidR="001E61A6" w:rsidRPr="00A26FD5" w:rsidRDefault="00C7559D" w:rsidP="009C39CE">
            <w:pPr>
              <w:spacing w:before="120"/>
              <w:jc w:val="both"/>
              <w:rPr>
                <w:sz w:val="22"/>
                <w:szCs w:val="22"/>
                <w:lang w:val="en-AU"/>
              </w:rPr>
            </w:pPr>
            <w:r w:rsidRPr="00A26FD5">
              <w:rPr>
                <w:sz w:val="22"/>
                <w:szCs w:val="22"/>
                <w:lang w:val="en-AU"/>
              </w:rPr>
              <w:t>Aichi t</w:t>
            </w:r>
            <w:r w:rsidR="001E61A6" w:rsidRPr="00A26FD5">
              <w:rPr>
                <w:sz w:val="22"/>
                <w:szCs w:val="22"/>
                <w:lang w:val="en-AU"/>
              </w:rPr>
              <w:t>arget 10: By 2015, the multiple anthropogenic pressures on coral reefs, and other vulnerable ecosystems impacted by climate change or ocean acidification are minimized, so as to maintain their integrity and functioning. The aim of the target is to reduce the impact of other drivers (like the ones covered in this chapter) on vulnerable ecosystems in order to make them more resilient to the unavoidable effects of climate chang</w:t>
            </w:r>
            <w:r w:rsidRPr="00A26FD5">
              <w:rPr>
                <w:sz w:val="22"/>
                <w:szCs w:val="22"/>
                <w:lang w:val="en-AU"/>
              </w:rPr>
              <w:t>e. This target has a link with t</w:t>
            </w:r>
            <w:r w:rsidR="001E61A6" w:rsidRPr="00A26FD5">
              <w:rPr>
                <w:sz w:val="22"/>
                <w:szCs w:val="22"/>
                <w:lang w:val="en-AU"/>
              </w:rPr>
              <w:t>arget 12 on the conserva</w:t>
            </w:r>
            <w:r w:rsidRPr="00A26FD5">
              <w:rPr>
                <w:sz w:val="22"/>
                <w:szCs w:val="22"/>
                <w:lang w:val="en-AU"/>
              </w:rPr>
              <w:t>tion of endangered species and t</w:t>
            </w:r>
            <w:r w:rsidR="001E61A6" w:rsidRPr="00A26FD5">
              <w:rPr>
                <w:sz w:val="22"/>
                <w:szCs w:val="22"/>
                <w:lang w:val="en-AU"/>
              </w:rPr>
              <w:t>arget 15 on ecosystems re</w:t>
            </w:r>
            <w:r w:rsidRPr="00A26FD5">
              <w:rPr>
                <w:sz w:val="22"/>
                <w:szCs w:val="22"/>
                <w:lang w:val="en-AU"/>
              </w:rPr>
              <w:t>silience and carbon stocks</w:t>
            </w:r>
            <w:r w:rsidRPr="00A26FD5">
              <w:rPr>
                <w:sz w:val="22"/>
                <w:szCs w:val="22"/>
                <w:vertAlign w:val="superscript"/>
                <w:lang w:val="en-AU"/>
              </w:rPr>
              <w:t>1</w:t>
            </w:r>
            <w:r w:rsidR="001E61A6" w:rsidRPr="00A26FD5">
              <w:rPr>
                <w:sz w:val="22"/>
                <w:szCs w:val="22"/>
                <w:lang w:val="en-AU"/>
              </w:rPr>
              <w:t>.</w:t>
            </w:r>
          </w:p>
          <w:p w14:paraId="40B99B71" w14:textId="0694A5B9" w:rsidR="001E61A6" w:rsidRPr="00A26FD5" w:rsidRDefault="00C7559D" w:rsidP="009C39CE">
            <w:pPr>
              <w:widowControl w:val="0"/>
              <w:pBdr>
                <w:top w:val="nil"/>
                <w:left w:val="nil"/>
                <w:bottom w:val="nil"/>
                <w:right w:val="nil"/>
                <w:between w:val="nil"/>
              </w:pBdr>
              <w:tabs>
                <w:tab w:val="left" w:pos="1247"/>
                <w:tab w:val="left" w:pos="1814"/>
                <w:tab w:val="left" w:pos="2381"/>
                <w:tab w:val="left" w:pos="2948"/>
                <w:tab w:val="left" w:pos="3515"/>
              </w:tabs>
              <w:autoSpaceDE w:val="0"/>
              <w:autoSpaceDN w:val="0"/>
              <w:adjustRightInd w:val="0"/>
              <w:spacing w:before="120" w:after="120"/>
              <w:jc w:val="both"/>
              <w:rPr>
                <w:color w:val="000000"/>
                <w:sz w:val="22"/>
                <w:szCs w:val="22"/>
                <w:lang w:val="en-GB"/>
              </w:rPr>
            </w:pPr>
            <w:r w:rsidRPr="00A26FD5">
              <w:rPr>
                <w:sz w:val="22"/>
                <w:szCs w:val="22"/>
                <w:lang w:val="en-AU"/>
              </w:rPr>
              <w:t>Aichi t</w:t>
            </w:r>
            <w:r w:rsidR="001E61A6" w:rsidRPr="00A26FD5">
              <w:rPr>
                <w:sz w:val="22"/>
                <w:szCs w:val="22"/>
                <w:lang w:val="en-AU"/>
              </w:rPr>
              <w:t>arget 15: By 2020, ecosystem resilience and the contribution of biodiversity to carbon stocks have been enhanced, through conservation and restoration, including restoration of at least 15 per cent of degraded ecosystems, thereby contributing to climate change mitigation and adaptation and to combating desertification. Carbon sequestration refers in this target to the carbon taken and stored in biomass and soils of ecosystems like tropical forests, mangroves, wetland</w:t>
            </w:r>
            <w:r w:rsidR="00091E23" w:rsidRPr="00A26FD5">
              <w:rPr>
                <w:sz w:val="22"/>
                <w:szCs w:val="22"/>
                <w:lang w:val="en-AU"/>
              </w:rPr>
              <w:t xml:space="preserve">s, peatlands and seagrass beds. </w:t>
            </w:r>
            <w:r w:rsidR="001E61A6" w:rsidRPr="00A26FD5">
              <w:rPr>
                <w:sz w:val="22"/>
                <w:szCs w:val="22"/>
                <w:lang w:val="en-AU"/>
              </w:rPr>
              <w:t>Therefore, a key mitigation strategy is to recover these ecosystems that have been degraded, damag</w:t>
            </w:r>
            <w:r w:rsidRPr="00A26FD5">
              <w:rPr>
                <w:sz w:val="22"/>
                <w:szCs w:val="22"/>
                <w:lang w:val="en-AU"/>
              </w:rPr>
              <w:t>ed or destroyed</w:t>
            </w:r>
            <w:r w:rsidRPr="00A26FD5">
              <w:rPr>
                <w:sz w:val="22"/>
                <w:szCs w:val="22"/>
                <w:vertAlign w:val="superscript"/>
                <w:lang w:val="en-AU"/>
              </w:rPr>
              <w:t>2</w:t>
            </w:r>
            <w:r w:rsidRPr="00A26FD5">
              <w:rPr>
                <w:sz w:val="22"/>
                <w:szCs w:val="22"/>
                <w:lang w:val="en-AU"/>
              </w:rPr>
              <w:t>.</w:t>
            </w:r>
          </w:p>
          <w:p w14:paraId="2B8D1665" w14:textId="4908CBA6" w:rsidR="001E61A6" w:rsidRPr="00A26FD5" w:rsidRDefault="00C7559D" w:rsidP="009C39CE">
            <w:pPr>
              <w:spacing w:before="120"/>
              <w:jc w:val="both"/>
              <w:rPr>
                <w:sz w:val="22"/>
                <w:szCs w:val="22"/>
                <w:lang w:val="en-AU"/>
              </w:rPr>
            </w:pPr>
            <w:r w:rsidRPr="00A26FD5">
              <w:rPr>
                <w:sz w:val="22"/>
                <w:szCs w:val="22"/>
                <w:vertAlign w:val="superscript"/>
                <w:lang w:val="en-AU"/>
              </w:rPr>
              <w:t>1</w:t>
            </w:r>
            <w:r w:rsidR="001E61A6" w:rsidRPr="00A26FD5">
              <w:rPr>
                <w:sz w:val="22"/>
                <w:szCs w:val="22"/>
                <w:lang w:val="en-AU"/>
              </w:rPr>
              <w:t xml:space="preserve">CBD. Quick guide to the Aichi Biodiversity Targets, pressures on vulnerable ecosystems reduced. Available at: </w:t>
            </w:r>
            <w:hyperlink r:id="rId986" w:history="1">
              <w:r w:rsidR="001E61A6" w:rsidRPr="00A26FD5">
                <w:rPr>
                  <w:color w:val="0000FF"/>
                  <w:sz w:val="22"/>
                  <w:szCs w:val="22"/>
                  <w:u w:val="single"/>
                  <w:lang w:val="en-AU"/>
                </w:rPr>
                <w:t>https://www.cbd.int/doc/strategic-plan/targets/T10-quick-guide-en.pdf</w:t>
              </w:r>
            </w:hyperlink>
            <w:r w:rsidR="001E61A6" w:rsidRPr="00A26FD5">
              <w:rPr>
                <w:sz w:val="22"/>
                <w:szCs w:val="22"/>
                <w:lang w:val="en-AU"/>
              </w:rPr>
              <w:t xml:space="preserve"> Accessed on 11/16/2016</w:t>
            </w:r>
            <w:r w:rsidRPr="00A26FD5">
              <w:rPr>
                <w:sz w:val="22"/>
                <w:szCs w:val="22"/>
                <w:lang w:val="en-AU"/>
              </w:rPr>
              <w:t>.</w:t>
            </w:r>
          </w:p>
          <w:p w14:paraId="5EA0E58D" w14:textId="6A1CA936" w:rsidR="001E61A6" w:rsidRPr="00A26FD5" w:rsidRDefault="00C7559D" w:rsidP="009C39CE">
            <w:pPr>
              <w:spacing w:before="120"/>
              <w:jc w:val="both"/>
              <w:rPr>
                <w:sz w:val="22"/>
                <w:szCs w:val="22"/>
                <w:lang w:val="en-AU"/>
              </w:rPr>
            </w:pPr>
            <w:r w:rsidRPr="00A26FD5">
              <w:rPr>
                <w:sz w:val="22"/>
                <w:szCs w:val="22"/>
                <w:vertAlign w:val="superscript"/>
                <w:lang w:val="en-AU"/>
              </w:rPr>
              <w:t>2</w:t>
            </w:r>
            <w:r w:rsidR="000574E4" w:rsidRPr="00A26FD5">
              <w:rPr>
                <w:sz w:val="22"/>
                <w:szCs w:val="22"/>
                <w:lang w:val="en-AU"/>
              </w:rPr>
              <w:t>CBD</w:t>
            </w:r>
            <w:r w:rsidR="001E61A6" w:rsidRPr="00A26FD5">
              <w:rPr>
                <w:sz w:val="22"/>
                <w:szCs w:val="22"/>
                <w:lang w:val="en-AU"/>
              </w:rPr>
              <w:t xml:space="preserve">. Quick guide to the Aichi Biodiversity Targets, ecosystems restored and resilience enhanced. Available at: </w:t>
            </w:r>
            <w:hyperlink r:id="rId987" w:history="1">
              <w:r w:rsidR="001E61A6" w:rsidRPr="00A26FD5">
                <w:rPr>
                  <w:rStyle w:val="Hyperlink"/>
                  <w:sz w:val="22"/>
                  <w:szCs w:val="22"/>
                  <w:lang w:val="en-AU"/>
                </w:rPr>
                <w:t>https://www.cbd.int/doc/strategic-plan/targets/T15-quick-guide-en.pdf Accessed on 11/16/2016</w:t>
              </w:r>
            </w:hyperlink>
            <w:r w:rsidRPr="00A26FD5">
              <w:rPr>
                <w:rStyle w:val="Hyperlink"/>
                <w:sz w:val="22"/>
                <w:szCs w:val="22"/>
                <w:lang w:val="en-AU"/>
              </w:rPr>
              <w:t>.</w:t>
            </w:r>
          </w:p>
        </w:tc>
      </w:tr>
    </w:tbl>
    <w:p w14:paraId="74242010" w14:textId="77777777" w:rsidR="00A345FC" w:rsidRPr="008608AA" w:rsidRDefault="00A345FC" w:rsidP="008B3BCD">
      <w:bookmarkStart w:id="1594" w:name="_Toc350507797"/>
      <w:bookmarkStart w:id="1595" w:name="_Toc477160200"/>
      <w:bookmarkStart w:id="1596" w:name="_Toc357244084"/>
      <w:bookmarkStart w:id="1597" w:name="_Toc357981997"/>
      <w:bookmarkStart w:id="1598" w:name="_Toc357985215"/>
      <w:bookmarkStart w:id="1599" w:name="_Toc499459676"/>
      <w:bookmarkStart w:id="1600" w:name="_Toc503293141"/>
      <w:bookmarkStart w:id="1601" w:name="_Toc503293739"/>
      <w:bookmarkStart w:id="1602" w:name="_Toc503294001"/>
      <w:bookmarkStart w:id="1603" w:name="_Toc503863394"/>
      <w:bookmarkStart w:id="1604" w:name="_Toc503863622"/>
    </w:p>
    <w:p w14:paraId="7706E964" w14:textId="77777777" w:rsidR="00A345FC" w:rsidRPr="008608AA" w:rsidRDefault="001E61A6" w:rsidP="00A345FC">
      <w:pPr>
        <w:pStyle w:val="Heading3"/>
      </w:pPr>
      <w:bookmarkStart w:id="1605" w:name="_Toc517393364"/>
      <w:bookmarkStart w:id="1606" w:name="_Toc517394421"/>
      <w:bookmarkStart w:id="1607" w:name="_Toc517719105"/>
      <w:bookmarkStart w:id="1608" w:name="_Toc517797062"/>
      <w:r w:rsidRPr="008608AA">
        <w:t>Biological Invasions</w:t>
      </w:r>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p>
    <w:p w14:paraId="35ACA77C" w14:textId="5F34A7D3" w:rsidR="001E61A6" w:rsidRPr="008608AA" w:rsidRDefault="001E61A6" w:rsidP="00A345FC">
      <w:pPr>
        <w:pStyle w:val="Heading3"/>
        <w:numPr>
          <w:ilvl w:val="0"/>
          <w:numId w:val="0"/>
        </w:numPr>
      </w:pPr>
      <w:bookmarkStart w:id="1609" w:name="_Toc517393365"/>
      <w:bookmarkStart w:id="1610" w:name="_Toc517394422"/>
      <w:bookmarkStart w:id="1611" w:name="_Toc517719106"/>
      <w:bookmarkStart w:id="1612" w:name="_Toc517797063"/>
      <w:r w:rsidRPr="008608AA">
        <w:t>Nature of the driver, its recent status and trend, and factors that influence its intensity</w:t>
      </w:r>
      <w:bookmarkEnd w:id="1609"/>
      <w:bookmarkEnd w:id="1610"/>
      <w:bookmarkEnd w:id="1611"/>
      <w:bookmarkEnd w:id="1612"/>
    </w:p>
    <w:p w14:paraId="3BA20069" w14:textId="3D8CD344" w:rsidR="001E61A6" w:rsidRPr="008608AA" w:rsidRDefault="001E61A6" w:rsidP="00A345FC">
      <w:pPr>
        <w:spacing w:before="120"/>
        <w:rPr>
          <w:bCs/>
        </w:rPr>
      </w:pPr>
      <w:r w:rsidRPr="008608AA">
        <w:rPr>
          <w:bCs/>
        </w:rPr>
        <w:t>Invasive alien species have gone from scientific curiosity to a real societal concern due to their ecological, social, and economic impacts (Mack et al., 2000). Invasive plants and animals cause changes in the composition and function of ecosystems, affecting biodiversity, ecosystem services, and human welfare. invasive alien species have become a major component of global change and pose a serious threat to local and global biodiversity (Hobbs</w:t>
      </w:r>
      <w:r w:rsidR="00EE6343" w:rsidRPr="008608AA">
        <w:rPr>
          <w:bCs/>
        </w:rPr>
        <w:t>, 2000; Mack et al., 2000;</w:t>
      </w:r>
      <w:r w:rsidRPr="008608AA">
        <w:rPr>
          <w:bCs/>
        </w:rPr>
        <w:t xml:space="preserve"> Vilà </w:t>
      </w:r>
      <w:r w:rsidR="00EE6343" w:rsidRPr="008608AA">
        <w:rPr>
          <w:bCs/>
        </w:rPr>
        <w:t>&amp;</w:t>
      </w:r>
      <w:r w:rsidRPr="008608AA">
        <w:rPr>
          <w:bCs/>
        </w:rPr>
        <w:t xml:space="preserve"> Ibañez</w:t>
      </w:r>
      <w:r w:rsidR="00EE6343" w:rsidRPr="008608AA">
        <w:rPr>
          <w:bCs/>
        </w:rPr>
        <w:t>,</w:t>
      </w:r>
      <w:r w:rsidRPr="008608AA">
        <w:rPr>
          <w:bCs/>
        </w:rPr>
        <w:t xml:space="preserve"> 2011).</w:t>
      </w:r>
    </w:p>
    <w:p w14:paraId="50F6971B" w14:textId="53137A31" w:rsidR="001E61A6" w:rsidRPr="008608AA" w:rsidRDefault="001E61A6" w:rsidP="00A345FC">
      <w:pPr>
        <w:spacing w:before="120"/>
        <w:rPr>
          <w:bCs/>
        </w:rPr>
      </w:pPr>
      <w:r w:rsidRPr="008608AA">
        <w:rPr>
          <w:bCs/>
        </w:rPr>
        <w:t>For a species to become an invasive species, it must successfully transit three di</w:t>
      </w:r>
      <w:r w:rsidR="003426FD" w:rsidRPr="008608AA">
        <w:rPr>
          <w:bCs/>
        </w:rPr>
        <w:t>stinct stages, often called the “</w:t>
      </w:r>
      <w:r w:rsidRPr="008608AA">
        <w:rPr>
          <w:bCs/>
        </w:rPr>
        <w:t>invasion process</w:t>
      </w:r>
      <w:r w:rsidR="003426FD" w:rsidRPr="008608AA">
        <w:rPr>
          <w:bCs/>
        </w:rPr>
        <w:t>”</w:t>
      </w:r>
      <w:r w:rsidR="00EE6343" w:rsidRPr="008608AA">
        <w:rPr>
          <w:bCs/>
        </w:rPr>
        <w:t xml:space="preserve"> (Blackburn et al., 2014;</w:t>
      </w:r>
      <w:r w:rsidRPr="008608AA">
        <w:rPr>
          <w:bCs/>
        </w:rPr>
        <w:t xml:space="preserve"> Canning-Clode, 2015). The firs</w:t>
      </w:r>
      <w:r w:rsidR="003426FD" w:rsidRPr="008608AA">
        <w:rPr>
          <w:bCs/>
        </w:rPr>
        <w:t>t stage of this process is the “</w:t>
      </w:r>
      <w:r w:rsidRPr="008608AA">
        <w:rPr>
          <w:bCs/>
        </w:rPr>
        <w:t>transport phase</w:t>
      </w:r>
      <w:r w:rsidR="003426FD" w:rsidRPr="008608AA">
        <w:rPr>
          <w:bCs/>
        </w:rPr>
        <w:t>”</w:t>
      </w:r>
      <w:r w:rsidRPr="008608AA">
        <w:rPr>
          <w:bCs/>
        </w:rPr>
        <w:t xml:space="preserve"> where individuals of a species are transported (intentionally or unintentionally) from their native range and released outside their native range</w:t>
      </w:r>
      <w:r w:rsidR="003426FD" w:rsidRPr="008608AA">
        <w:rPr>
          <w:bCs/>
        </w:rPr>
        <w:t>. These individuals are termed “</w:t>
      </w:r>
      <w:r w:rsidRPr="008608AA">
        <w:rPr>
          <w:bCs/>
        </w:rPr>
        <w:t>non-native</w:t>
      </w:r>
      <w:r w:rsidR="003426FD" w:rsidRPr="008608AA">
        <w:rPr>
          <w:bCs/>
        </w:rPr>
        <w:t>”</w:t>
      </w:r>
      <w:r w:rsidRPr="008608AA">
        <w:rPr>
          <w:bCs/>
        </w:rPr>
        <w:t xml:space="preserve"> (</w:t>
      </w:r>
      <w:r w:rsidR="003426FD" w:rsidRPr="008608AA">
        <w:rPr>
          <w:bCs/>
        </w:rPr>
        <w:t>synonymous term with the terms “</w:t>
      </w:r>
      <w:r w:rsidRPr="008608AA">
        <w:rPr>
          <w:bCs/>
        </w:rPr>
        <w:t>non-indigenous</w:t>
      </w:r>
      <w:r w:rsidR="003426FD" w:rsidRPr="008608AA">
        <w:rPr>
          <w:bCs/>
        </w:rPr>
        <w:t>”, “exotic”, and “alien”</w:t>
      </w:r>
      <w:r w:rsidRPr="008608AA">
        <w:rPr>
          <w:bCs/>
        </w:rPr>
        <w:t>).  Second, these individuals may establish a viab</w:t>
      </w:r>
      <w:r w:rsidR="003426FD" w:rsidRPr="008608AA">
        <w:rPr>
          <w:bCs/>
        </w:rPr>
        <w:t>le self-sustaining population (“establishment phase”) and become “naturalized”</w:t>
      </w:r>
      <w:r w:rsidRPr="008608AA">
        <w:rPr>
          <w:bCs/>
        </w:rPr>
        <w:t xml:space="preserve"> species in the new environment. In the third and final stage, a naturalized non-native population might increase in abundance an</w:t>
      </w:r>
      <w:r w:rsidR="003426FD" w:rsidRPr="008608AA">
        <w:rPr>
          <w:bCs/>
        </w:rPr>
        <w:t>d expand its geographic range (“spread phase”</w:t>
      </w:r>
      <w:r w:rsidRPr="008608AA">
        <w:rPr>
          <w:bCs/>
        </w:rPr>
        <w:t>), with the potential to alter the environment in which they have become established, causing</w:t>
      </w:r>
      <w:r w:rsidR="003426FD" w:rsidRPr="008608AA">
        <w:rPr>
          <w:bCs/>
        </w:rPr>
        <w:t xml:space="preserve"> ecological and economic harm (“impact phase”</w:t>
      </w:r>
      <w:r w:rsidRPr="008608AA">
        <w:rPr>
          <w:bCs/>
        </w:rPr>
        <w:t xml:space="preserve">) and becoming what is </w:t>
      </w:r>
      <w:r w:rsidR="003426FD" w:rsidRPr="008608AA">
        <w:rPr>
          <w:bCs/>
        </w:rPr>
        <w:t>considered an “invasive species”</w:t>
      </w:r>
      <w:r w:rsidRPr="008608AA">
        <w:rPr>
          <w:bCs/>
        </w:rPr>
        <w:t>. This report uses the definition of invasive alien species of the CBD (see Deliverable 3b on invasive alien species), which defines the term (</w:t>
      </w:r>
      <w:hyperlink r:id="rId988" w:history="1">
        <w:r w:rsidRPr="008608AA">
          <w:rPr>
            <w:rStyle w:val="Hyperlink"/>
            <w:bCs/>
          </w:rPr>
          <w:t>https://www.cbd.int/invasive/terms.shtm</w:t>
        </w:r>
      </w:hyperlink>
      <w:r w:rsidRPr="008608AA">
        <w:rPr>
          <w:bCs/>
        </w:rPr>
        <w:t>l) as “plants, animals, pathogens and other organisms that are non-native to an ecosystem, and which may cause economic or environmental harm or adversely affect human health. In particular, they impact adversely upon biodiversity, including decline or elimination of native species - through competition, predation, or transmission of pathogens - and the disruption of local ecosystems and ecosystem functions.”</w:t>
      </w:r>
    </w:p>
    <w:p w14:paraId="1F0FD448" w14:textId="77777777" w:rsidR="001E61A6" w:rsidRPr="008608AA" w:rsidRDefault="001E61A6" w:rsidP="00A92173">
      <w:pPr>
        <w:pStyle w:val="Heading4"/>
        <w:numPr>
          <w:ilvl w:val="0"/>
          <w:numId w:val="0"/>
        </w:numPr>
        <w:spacing w:before="120" w:line="240" w:lineRule="auto"/>
      </w:pPr>
      <w:bookmarkStart w:id="1613" w:name="_Toc517393366"/>
      <w:bookmarkStart w:id="1614" w:name="_Toc517394423"/>
      <w:bookmarkStart w:id="1615" w:name="_Toc517719107"/>
      <w:bookmarkStart w:id="1616" w:name="_Toc517797064"/>
      <w:r w:rsidRPr="008608AA">
        <w:t>Invasive alien species as drivers and passengers of global change</w:t>
      </w:r>
      <w:bookmarkEnd w:id="1613"/>
      <w:bookmarkEnd w:id="1614"/>
      <w:bookmarkEnd w:id="1615"/>
      <w:bookmarkEnd w:id="1616"/>
    </w:p>
    <w:p w14:paraId="3D4F9018" w14:textId="6770CA53" w:rsidR="001E61A6" w:rsidRPr="008608AA" w:rsidRDefault="001E61A6" w:rsidP="00A92173">
      <w:pPr>
        <w:spacing w:before="120"/>
        <w:rPr>
          <w:bCs/>
        </w:rPr>
      </w:pPr>
      <w:r w:rsidRPr="008608AA">
        <w:rPr>
          <w:bCs/>
        </w:rPr>
        <w:t xml:space="preserve">Unlike other drivers of biodiversity, biological invasions are considered both drivers and passengers of human-driven global change (MacDougall </w:t>
      </w:r>
      <w:r w:rsidR="00EE6343" w:rsidRPr="008608AA">
        <w:rPr>
          <w:bCs/>
        </w:rPr>
        <w:t>&amp;</w:t>
      </w:r>
      <w:r w:rsidRPr="008608AA">
        <w:rPr>
          <w:bCs/>
        </w:rPr>
        <w:t xml:space="preserve"> Turkington</w:t>
      </w:r>
      <w:r w:rsidR="00EE6343" w:rsidRPr="008608AA">
        <w:rPr>
          <w:bCs/>
        </w:rPr>
        <w:t>,</w:t>
      </w:r>
      <w:r w:rsidRPr="008608AA">
        <w:rPr>
          <w:bCs/>
        </w:rPr>
        <w:t xml:space="preserve"> 2005). Biological invasions are by definition caused by the human movement of species and their magnitudes are highly associated with the intensity of changes caused by human activities (Mack </w:t>
      </w:r>
      <w:r w:rsidR="00EE6343" w:rsidRPr="008608AA">
        <w:rPr>
          <w:bCs/>
        </w:rPr>
        <w:t>&amp;</w:t>
      </w:r>
      <w:r w:rsidRPr="008608AA">
        <w:rPr>
          <w:bCs/>
        </w:rPr>
        <w:t xml:space="preserve"> Lonsdale, 2001).  Some invasive alien species may be considered passengers of global change because they only persist in an ecosystem through continued human disturbance (e.g. some European weeds associated to roadsides; Seipel et al., 2011). However, many invasive alien species also cause substantial alterations to biodiversity and ecosystem function (e.g. plants increase fire regimes or top-predators). Thus, estimating and forecasting the effects of invasive alien species on biodiversity and ecosystem services has an additional layer of complexity compared to other drivers of global change.</w:t>
      </w:r>
      <w:r w:rsidRPr="008608AA">
        <w:rPr>
          <w:b/>
          <w:bCs/>
        </w:rPr>
        <w:t xml:space="preserve"> </w:t>
      </w:r>
    </w:p>
    <w:p w14:paraId="3057BC91" w14:textId="435F1905" w:rsidR="001E61A6" w:rsidRPr="008608AA" w:rsidRDefault="001E61A6" w:rsidP="00A92173">
      <w:pPr>
        <w:spacing w:before="120"/>
        <w:rPr>
          <w:bCs/>
        </w:rPr>
      </w:pPr>
      <w:r w:rsidRPr="008608AA">
        <w:rPr>
          <w:bCs/>
        </w:rPr>
        <w:t>Invasive alien species may act synergistically with each other or with other forces of global change (e.g. climate and land use change) to produce more intense consequences for biodiver</w:t>
      </w:r>
      <w:r w:rsidR="00EE6343" w:rsidRPr="008608AA">
        <w:rPr>
          <w:bCs/>
        </w:rPr>
        <w:t>sity and NCP (Sala et al., 2000;</w:t>
      </w:r>
      <w:r w:rsidRPr="008608AA">
        <w:rPr>
          <w:bCs/>
        </w:rPr>
        <w:t xml:space="preserve"> Newbold et al., 2015). Land use changes have long been recognized as a main promoter of invasive alien species across taxa (Hobbs</w:t>
      </w:r>
      <w:r w:rsidR="00EE6343" w:rsidRPr="008608AA">
        <w:rPr>
          <w:bCs/>
        </w:rPr>
        <w:t>,</w:t>
      </w:r>
      <w:r w:rsidRPr="008608AA">
        <w:rPr>
          <w:bCs/>
        </w:rPr>
        <w:t xml:space="preserve"> 2000). Changes in the dominant cover type cause shifts in species composition creating important opportunities for invasive alien species that are well adapted to human disturbances (Didham et al., 2007). From tropical to cold environments, land use changes are associated with roads and other human corridors, which are the main route for dispersal of invasive plants and animals (Seipel et al., 2012). In the last two decades, climate change has been shown to promote invasive alien species by disrupting ecosystems, but also by changing conditions so that they are more suitable to the invader than to the native community (Bellard et al., 2012).</w:t>
      </w:r>
    </w:p>
    <w:p w14:paraId="30E9C3F8" w14:textId="048A2C74" w:rsidR="001E61A6" w:rsidRPr="008608AA" w:rsidRDefault="001E61A6" w:rsidP="00A92173">
      <w:pPr>
        <w:spacing w:before="120"/>
        <w:rPr>
          <w:bCs/>
        </w:rPr>
      </w:pPr>
      <w:r w:rsidRPr="008608AA">
        <w:rPr>
          <w:bCs/>
        </w:rPr>
        <w:t>The movement of species by humans and its successful naturalization has increased exponentially in the last two centuries (Seebens et al.</w:t>
      </w:r>
      <w:r w:rsidR="00EE6343" w:rsidRPr="008608AA">
        <w:rPr>
          <w:bCs/>
        </w:rPr>
        <w:t>,</w:t>
      </w:r>
      <w:r w:rsidRPr="008608AA">
        <w:rPr>
          <w:bCs/>
        </w:rPr>
        <w:t xml:space="preserve"> 2017). In the Americas, the onset of biological invasions is marked by the arrival of Europeans in the 1500s, which resulted in the massive introduction of non-native species, and the reduction of the natural biogeographical barriers of a continent that had been isolated for thousands of years (i.e. since last glaciation). The influx of non-native species caused by European colonization is still visible today as most invasive alien species in Mediterranean and Temperate regions of the continent are from Eurasia. For example, naturalized plants in Chile and California are mostly Eurasian species (Jimenez et al., 2008). Increase in trade and connectivity, in the last two centuries, and especially since the 1900s, have facilitated the arrival of non-native species from other continents including Australia, Asia and Africa (Jimenez et al., 2008; Van Kleunen et al.</w:t>
      </w:r>
      <w:r w:rsidR="00EE6343" w:rsidRPr="008608AA">
        <w:rPr>
          <w:bCs/>
        </w:rPr>
        <w:t>,</w:t>
      </w:r>
      <w:r w:rsidRPr="008608AA">
        <w:rPr>
          <w:bCs/>
        </w:rPr>
        <w:t xml:space="preserve"> 2015). </w:t>
      </w:r>
    </w:p>
    <w:p w14:paraId="130FCAE7" w14:textId="7DB079CC" w:rsidR="001E61A6" w:rsidRPr="008608AA" w:rsidRDefault="001E61A6" w:rsidP="00A92173">
      <w:pPr>
        <w:spacing w:before="120"/>
        <w:rPr>
          <w:bCs/>
        </w:rPr>
      </w:pPr>
      <w:r w:rsidRPr="008608AA">
        <w:rPr>
          <w:bCs/>
        </w:rPr>
        <w:t>The introduction of new non-native species into the Americas is expected to continue with increasing trade and transportation by land, sea and air, increasing biological invasions and their potential impacts on biodiversity and NCP in the Americas (Early et al</w:t>
      </w:r>
      <w:r w:rsidR="00EE6343" w:rsidRPr="008608AA">
        <w:rPr>
          <w:bCs/>
        </w:rPr>
        <w:t>.,</w:t>
      </w:r>
      <w:r w:rsidRPr="008608AA">
        <w:rPr>
          <w:bCs/>
        </w:rPr>
        <w:t xml:space="preserve"> 2016). Furthermore, the consequences of recent additions of non-native species to the Americas may not yet be visible because it takes time for species to reach high population numbers and wide distributions to cause detectable ecological or economic impacts (i.e. “invasion debt”, Essl et al., 2011).</w:t>
      </w:r>
    </w:p>
    <w:p w14:paraId="5FE7B02C" w14:textId="34FB8AC5" w:rsidR="001E61A6" w:rsidRPr="008608AA" w:rsidRDefault="001E61A6" w:rsidP="00A92173">
      <w:pPr>
        <w:spacing w:before="120"/>
        <w:rPr>
          <w:bCs/>
        </w:rPr>
      </w:pPr>
      <w:r w:rsidRPr="008608AA">
        <w:rPr>
          <w:bCs/>
        </w:rPr>
        <w:t xml:space="preserve">Significant knowledge gaps of invasive species in the Americas exist (Pysek et al., 2008). While countries such as the </w:t>
      </w:r>
      <w:r w:rsidR="00E424A5" w:rsidRPr="008608AA">
        <w:rPr>
          <w:bCs/>
        </w:rPr>
        <w:t>USA</w:t>
      </w:r>
      <w:r w:rsidRPr="008608AA">
        <w:rPr>
          <w:bCs/>
        </w:rPr>
        <w:t xml:space="preserve"> and Canada have been leaders in recording and studying invasive species, most countries in the Americas have only recently directed efforts to record invasive alien species and their impacts (Pysek et al., 2008; Pauchard et al., 2010). Auspiciously, national inventories of invasive species and research on invasive species and their impacts is now being promoted across the Americas to reduce this knowledge gap (e.g. Mexico, Chile, Brazil, Argentina; Zenni et al.</w:t>
      </w:r>
      <w:r w:rsidR="00EE6343" w:rsidRPr="008608AA">
        <w:rPr>
          <w:bCs/>
        </w:rPr>
        <w:t>,</w:t>
      </w:r>
      <w:r w:rsidRPr="008608AA">
        <w:rPr>
          <w:bCs/>
        </w:rPr>
        <w:t xml:space="preserve"> 2017).</w:t>
      </w:r>
    </w:p>
    <w:p w14:paraId="565E60EC" w14:textId="77777777" w:rsidR="001E61A6" w:rsidRPr="008608AA" w:rsidRDefault="001E61A6" w:rsidP="00A92173">
      <w:pPr>
        <w:spacing w:before="120"/>
        <w:rPr>
          <w:bCs/>
        </w:rPr>
      </w:pPr>
      <w:r w:rsidRPr="008608AA">
        <w:rPr>
          <w:bCs/>
        </w:rPr>
        <w:t>In the following sections, we review some of the most relevant impacts causes by invasive species in each of the regions of the Americas and their main ecosystem units and we emphasize their role as drivers of changes in biodiversity and their interactions with other drivers of global change.</w:t>
      </w:r>
    </w:p>
    <w:p w14:paraId="7DB92EDF" w14:textId="77777777" w:rsidR="001E61A6" w:rsidRPr="008608AA" w:rsidRDefault="001E61A6" w:rsidP="00A92173">
      <w:pPr>
        <w:pStyle w:val="Heading4"/>
        <w:numPr>
          <w:ilvl w:val="0"/>
          <w:numId w:val="0"/>
        </w:numPr>
        <w:spacing w:before="120" w:line="240" w:lineRule="auto"/>
      </w:pPr>
      <w:bookmarkStart w:id="1617" w:name="_Toc517393367"/>
      <w:bookmarkStart w:id="1618" w:name="_Toc517394424"/>
      <w:bookmarkStart w:id="1619" w:name="_Toc517719108"/>
      <w:bookmarkStart w:id="1620" w:name="_Toc517797065"/>
      <w:r w:rsidRPr="008608AA">
        <w:t>North America</w:t>
      </w:r>
      <w:bookmarkEnd w:id="1617"/>
      <w:bookmarkEnd w:id="1618"/>
      <w:bookmarkEnd w:id="1619"/>
      <w:bookmarkEnd w:id="1620"/>
    </w:p>
    <w:p w14:paraId="44482BDB" w14:textId="3F595BC8" w:rsidR="001E61A6" w:rsidRPr="008608AA" w:rsidRDefault="001E61A6" w:rsidP="00A92173">
      <w:pPr>
        <w:spacing w:before="120"/>
        <w:rPr>
          <w:bCs/>
        </w:rPr>
      </w:pPr>
      <w:r w:rsidRPr="008608AA">
        <w:rPr>
          <w:bCs/>
        </w:rPr>
        <w:t>North America is one of the most invaded regions of the world and one of the most studied in terms of the numbers and impacts of biological invasions (Jeschke &amp; Strayer</w:t>
      </w:r>
      <w:r w:rsidR="00EE6343" w:rsidRPr="008608AA">
        <w:rPr>
          <w:bCs/>
        </w:rPr>
        <w:t>,</w:t>
      </w:r>
      <w:r w:rsidRPr="008608AA">
        <w:rPr>
          <w:bCs/>
        </w:rPr>
        <w:t xml:space="preserve"> 2005; Pysek et al., 2009). Since the 1500s, trade and land use change drivers, in this region, has consistently promoted the establishment of some of the most damaging plant and animal invasive alien species (Stohlgren et al., 2006). The advance of the chestnut rust that decimated the natural populations of the American chestnut (</w:t>
      </w:r>
      <w:r w:rsidRPr="008608AA">
        <w:rPr>
          <w:bCs/>
          <w:i/>
        </w:rPr>
        <w:t>Castanea dentata</w:t>
      </w:r>
      <w:r w:rsidRPr="008608AA">
        <w:rPr>
          <w:bCs/>
        </w:rPr>
        <w:t>) exemplifies the magnitude of the species, community and ecosystem level impacts of biological invasions in North America (Jacobs et al., 2013). Reductions of plant diversity caused by direct competition between native and non-native plants have been extensively reported in grasslands of North America (Vilà et al., 2003). Plant invasions have also caused enormous changes in ecosystems processes such as hydrological and fire regimes. For example, cheatgrass (</w:t>
      </w:r>
      <w:r w:rsidRPr="008608AA">
        <w:rPr>
          <w:bCs/>
          <w:i/>
        </w:rPr>
        <w:t>Bromus tectorum</w:t>
      </w:r>
      <w:r w:rsidRPr="008608AA">
        <w:rPr>
          <w:bCs/>
        </w:rPr>
        <w:t xml:space="preserve">) invasion in arid grasslands has resulted in more frequent and more damaging fires (Pawlak et al., 2014). In addition, some of the most well-known examples of animal invasions have occurred in North America. Vertebrate predators such as rats (e.g. </w:t>
      </w:r>
      <w:r w:rsidRPr="008608AA">
        <w:rPr>
          <w:bCs/>
          <w:i/>
        </w:rPr>
        <w:t>Rattus rattus</w:t>
      </w:r>
      <w:r w:rsidRPr="008608AA">
        <w:rPr>
          <w:bCs/>
        </w:rPr>
        <w:t>), carps (</w:t>
      </w:r>
      <w:r w:rsidRPr="008608AA">
        <w:rPr>
          <w:bCs/>
          <w:i/>
        </w:rPr>
        <w:t>Cyprinidae</w:t>
      </w:r>
      <w:r w:rsidRPr="008608AA">
        <w:rPr>
          <w:bCs/>
        </w:rPr>
        <w:t xml:space="preserve"> spp.), and snakes (e.g. </w:t>
      </w:r>
      <w:r w:rsidRPr="008608AA">
        <w:rPr>
          <w:bCs/>
          <w:i/>
        </w:rPr>
        <w:t>Python bivittatus</w:t>
      </w:r>
      <w:r w:rsidRPr="008608AA">
        <w:rPr>
          <w:bCs/>
        </w:rPr>
        <w:t xml:space="preserve">) have substantially altered native animal populations driving some to near extinction (Dorcas et al., 2012). Non-native insects, such as ants and mosquitoes, have had a large impact on human well-being (Juliano </w:t>
      </w:r>
      <w:r w:rsidR="00EE6343" w:rsidRPr="008608AA">
        <w:rPr>
          <w:bCs/>
        </w:rPr>
        <w:t>&amp;</w:t>
      </w:r>
      <w:r w:rsidRPr="008608AA">
        <w:rPr>
          <w:bCs/>
        </w:rPr>
        <w:t xml:space="preserve"> Lounibos, 2005).</w:t>
      </w:r>
    </w:p>
    <w:p w14:paraId="1FC73A5E" w14:textId="0F2F4B0B" w:rsidR="001E61A6" w:rsidRPr="008608AA" w:rsidRDefault="00E424A5" w:rsidP="00A92173">
      <w:pPr>
        <w:spacing w:before="120"/>
        <w:rPr>
          <w:bCs/>
        </w:rPr>
      </w:pPr>
      <w:r w:rsidRPr="008608AA">
        <w:rPr>
          <w:bCs/>
        </w:rPr>
        <w:t>Tundra and mountain g</w:t>
      </w:r>
      <w:r w:rsidR="001E61A6" w:rsidRPr="008608AA">
        <w:rPr>
          <w:bCs/>
        </w:rPr>
        <w:t>rasslands show relatively low number of plant invasions because of the climatic barrier and the relatively low levels of human disturbances (Pauchard et al., 2009; Bellard et al., 2013). However, some species, mostly European ruderals, are widely distributed in mountains and alpine ecosystems (Alexander et al., 2016). Because of the low abundance and frequency, few impacts have been reported of these plant invasions. Similarly, other taxa invasions have been scarcely reported in these cold ecosystems, partly because the lack of surveys and studies. Climate change and increasing human pressure will likely change this scenario, also causing unexpected shifts in native species distributions (Pauchard et al., 2016).</w:t>
      </w:r>
    </w:p>
    <w:p w14:paraId="3916D867" w14:textId="674FB50C" w:rsidR="001E61A6" w:rsidRPr="008608AA" w:rsidRDefault="001E61A6" w:rsidP="00A92173">
      <w:pPr>
        <w:spacing w:before="120"/>
        <w:rPr>
          <w:bCs/>
        </w:rPr>
      </w:pPr>
      <w:r w:rsidRPr="008608AA">
        <w:rPr>
          <w:bCs/>
        </w:rPr>
        <w:t xml:space="preserve">Boreal and temperate forests and woodlands pose a significant barrier to plant invasions because of the high competition for light (Martin et al., 2008). Thus, most ruderal plant invaders, which invade roadsides and disturbed areas, are not able to succeed in the forest understory (Martin </w:t>
      </w:r>
      <w:r w:rsidR="00E424A5" w:rsidRPr="008608AA">
        <w:rPr>
          <w:bCs/>
        </w:rPr>
        <w:t>et al., 2008). Nonetheless, in e</w:t>
      </w:r>
      <w:r w:rsidRPr="008608AA">
        <w:rPr>
          <w:bCs/>
        </w:rPr>
        <w:t>astern North America, species that are shade tolerant are now entering forested areas. For example, garlic mustard (</w:t>
      </w:r>
      <w:r w:rsidRPr="008608AA">
        <w:rPr>
          <w:bCs/>
          <w:i/>
        </w:rPr>
        <w:t>Alliara petiolata</w:t>
      </w:r>
      <w:r w:rsidRPr="008608AA">
        <w:rPr>
          <w:bCs/>
        </w:rPr>
        <w:t>) is now occupying deciduous forests generating monospecific patches and displacing native understory species (Kurtz &amp; Hansen</w:t>
      </w:r>
      <w:r w:rsidR="00EE6343" w:rsidRPr="008608AA">
        <w:rPr>
          <w:bCs/>
        </w:rPr>
        <w:t>,</w:t>
      </w:r>
      <w:r w:rsidR="00091E23" w:rsidRPr="008608AA">
        <w:rPr>
          <w:bCs/>
        </w:rPr>
        <w:t xml:space="preserve"> 2014). </w:t>
      </w:r>
      <w:r w:rsidRPr="008608AA">
        <w:rPr>
          <w:bCs/>
        </w:rPr>
        <w:t>On the other hand, these forests have been heavily impacted by animals and pathogens. For example, earthworms are now considered a major driver of change in temperate forests (Bohlen et al., 2004). Inva</w:t>
      </w:r>
      <w:r w:rsidR="00E424A5" w:rsidRPr="008608AA">
        <w:rPr>
          <w:bCs/>
        </w:rPr>
        <w:t>sive insects, such wooly a</w:t>
      </w:r>
      <w:r w:rsidRPr="008608AA">
        <w:rPr>
          <w:bCs/>
        </w:rPr>
        <w:t>delgids, have deva</w:t>
      </w:r>
      <w:r w:rsidR="00E424A5" w:rsidRPr="008608AA">
        <w:rPr>
          <w:bCs/>
        </w:rPr>
        <w:t>stated forests in eastern USA</w:t>
      </w:r>
      <w:r w:rsidRPr="008608AA">
        <w:rPr>
          <w:bCs/>
        </w:rPr>
        <w:t>, having broad range impacts including indirect impacts on fish in streams due to loss of shading (Ellison et al.</w:t>
      </w:r>
      <w:r w:rsidR="00EE6343" w:rsidRPr="008608AA">
        <w:rPr>
          <w:bCs/>
        </w:rPr>
        <w:t>,</w:t>
      </w:r>
      <w:r w:rsidRPr="008608AA">
        <w:rPr>
          <w:bCs/>
        </w:rPr>
        <w:t xml:space="preserve"> 2005).</w:t>
      </w:r>
    </w:p>
    <w:p w14:paraId="3C78C05C" w14:textId="147BD56B" w:rsidR="001E61A6" w:rsidRPr="008608AA" w:rsidRDefault="00E424A5" w:rsidP="00A92173">
      <w:pPr>
        <w:spacing w:before="120"/>
        <w:rPr>
          <w:bCs/>
        </w:rPr>
      </w:pPr>
      <w:r w:rsidRPr="008608AA">
        <w:rPr>
          <w:bCs/>
        </w:rPr>
        <w:t>Temperate g</w:t>
      </w:r>
      <w:r w:rsidR="001E61A6" w:rsidRPr="008608AA">
        <w:rPr>
          <w:bCs/>
        </w:rPr>
        <w:t xml:space="preserve">rasslands have suffered extreme transformations in North America, being replaced by agricultural lands or when maintained, have gone intense grazing pressure and heavy disturbance (e.g. plowing). Thus, the remaining grasslands in North America are being intensively affected by plant invasions. Ruderal species of Eurasian origin such as </w:t>
      </w:r>
      <w:r w:rsidR="001E61A6" w:rsidRPr="008608AA">
        <w:rPr>
          <w:bCs/>
          <w:i/>
        </w:rPr>
        <w:t>Centaurea</w:t>
      </w:r>
      <w:r w:rsidR="001E61A6" w:rsidRPr="008608AA">
        <w:rPr>
          <w:bCs/>
        </w:rPr>
        <w:t xml:space="preserve"> spp. </w:t>
      </w:r>
      <w:r w:rsidR="001E61A6" w:rsidRPr="008608AA">
        <w:rPr>
          <w:bCs/>
          <w:i/>
        </w:rPr>
        <w:t>Euphorbia</w:t>
      </w:r>
      <w:r w:rsidR="001E61A6" w:rsidRPr="008608AA">
        <w:rPr>
          <w:bCs/>
        </w:rPr>
        <w:t xml:space="preserve"> spp. and </w:t>
      </w:r>
      <w:r w:rsidR="001E61A6" w:rsidRPr="008608AA">
        <w:rPr>
          <w:bCs/>
          <w:i/>
        </w:rPr>
        <w:t>Bromus</w:t>
      </w:r>
      <w:r w:rsidR="001E61A6" w:rsidRPr="008608AA">
        <w:rPr>
          <w:bCs/>
        </w:rPr>
        <w:t xml:space="preserve"> spp. have replaced native grasses and herbs across the North American grasslands (Stohlgren et al., 1999). Their impacts not only include changes in plant cover but also long-term shifts in soil processes, food webs and fire regimes (Simberloff et al., 2013). </w:t>
      </w:r>
    </w:p>
    <w:p w14:paraId="7F785432" w14:textId="21798DB3" w:rsidR="001E61A6" w:rsidRPr="008608AA" w:rsidRDefault="001E61A6" w:rsidP="00A92173">
      <w:pPr>
        <w:spacing w:before="120"/>
        <w:rPr>
          <w:bCs/>
        </w:rPr>
      </w:pPr>
      <w:r w:rsidRPr="008608AA">
        <w:rPr>
          <w:bCs/>
        </w:rPr>
        <w:t>Mediterranean forests, woodlands and scrub in North America are one of the hotspots for invasive plant species (Seabloom et al., 2006). The high level of trade and human-caused disturbance in this area, and the close climatic match with Mediterranean Europe are responsible for the high levels of invasive plant species</w:t>
      </w:r>
      <w:r w:rsidRPr="008608AA">
        <w:rPr>
          <w:b/>
          <w:bCs/>
        </w:rPr>
        <w:t xml:space="preserve"> </w:t>
      </w:r>
      <w:r w:rsidRPr="008608AA">
        <w:rPr>
          <w:bCs/>
        </w:rPr>
        <w:t xml:space="preserve">(Seabloom et al., 2006). Some of these species have caused irreversible ecosystem change by replacing native species and creating a positive feedback with fire (see example of </w:t>
      </w:r>
      <w:r w:rsidRPr="008608AA">
        <w:rPr>
          <w:bCs/>
          <w:i/>
        </w:rPr>
        <w:t>Bromus</w:t>
      </w:r>
      <w:r w:rsidRPr="008608AA">
        <w:rPr>
          <w:bCs/>
        </w:rPr>
        <w:t xml:space="preserve"> above). Fungi pathogens have also affected the health of these ecosystems (e.g. Oak Death, Rizzo </w:t>
      </w:r>
      <w:r w:rsidR="00EE6343" w:rsidRPr="008608AA">
        <w:rPr>
          <w:bCs/>
        </w:rPr>
        <w:t>&amp;</w:t>
      </w:r>
      <w:r w:rsidRPr="008608AA">
        <w:rPr>
          <w:bCs/>
        </w:rPr>
        <w:t xml:space="preserve"> Gargelotto</w:t>
      </w:r>
      <w:r w:rsidR="00EE6343" w:rsidRPr="008608AA">
        <w:rPr>
          <w:bCs/>
        </w:rPr>
        <w:t>,</w:t>
      </w:r>
      <w:r w:rsidRPr="008608AA">
        <w:rPr>
          <w:bCs/>
        </w:rPr>
        <w:t xml:space="preserve"> 2003).</w:t>
      </w:r>
    </w:p>
    <w:p w14:paraId="46430D02" w14:textId="14B2940D" w:rsidR="001E61A6" w:rsidRPr="008608AA" w:rsidRDefault="001E61A6" w:rsidP="00A92173">
      <w:pPr>
        <w:spacing w:before="120"/>
        <w:rPr>
          <w:bCs/>
        </w:rPr>
      </w:pPr>
      <w:r w:rsidRPr="008608AA">
        <w:rPr>
          <w:bCs/>
        </w:rPr>
        <w:t>Drylands and deserts in North America have been invaded by non-native grasses, shrubs and trees. Invasive species capable of standing desert conditions have thrived in the shrubland and grassland vegetation competing directly for water with native species and creating a continuous fuel layer that promotes more intense and larger fires (Brooks &amp; Chambers</w:t>
      </w:r>
      <w:r w:rsidR="00EE6343" w:rsidRPr="008608AA">
        <w:rPr>
          <w:bCs/>
        </w:rPr>
        <w:t>,</w:t>
      </w:r>
      <w:r w:rsidRPr="008608AA">
        <w:rPr>
          <w:bCs/>
        </w:rPr>
        <w:t xml:space="preserve"> 2011). </w:t>
      </w:r>
      <w:r w:rsidRPr="008608AA">
        <w:rPr>
          <w:bCs/>
          <w:i/>
        </w:rPr>
        <w:t>Tamarix</w:t>
      </w:r>
      <w:r w:rsidRPr="008608AA">
        <w:rPr>
          <w:bCs/>
        </w:rPr>
        <w:t xml:space="preserve"> invasion in riparian corridors have displaced native riparian vegetation and altered ecosystem structure (Merritt &amp; Poff</w:t>
      </w:r>
      <w:r w:rsidR="00EE6343" w:rsidRPr="008608AA">
        <w:rPr>
          <w:bCs/>
        </w:rPr>
        <w:t>,</w:t>
      </w:r>
      <w:r w:rsidRPr="008608AA">
        <w:rPr>
          <w:bCs/>
        </w:rPr>
        <w:t xml:space="preserve"> 2010).</w:t>
      </w:r>
    </w:p>
    <w:p w14:paraId="1556CF89" w14:textId="10BF94EB" w:rsidR="001E61A6" w:rsidRPr="008608AA" w:rsidRDefault="001E61A6" w:rsidP="00A92173">
      <w:pPr>
        <w:spacing w:before="120"/>
        <w:rPr>
          <w:bCs/>
        </w:rPr>
      </w:pPr>
      <w:r w:rsidRPr="008608AA">
        <w:rPr>
          <w:bCs/>
        </w:rPr>
        <w:t>Wetlands in North America show the highest levels of plant invasions due to the intense purposeful or accidental introductions of aquatic plants (Batzer &amp; Baldwin</w:t>
      </w:r>
      <w:r w:rsidR="00EE6343" w:rsidRPr="008608AA">
        <w:rPr>
          <w:bCs/>
        </w:rPr>
        <w:t>,</w:t>
      </w:r>
      <w:r w:rsidRPr="008608AA">
        <w:rPr>
          <w:bCs/>
        </w:rPr>
        <w:t xml:space="preserve"> 2012). Many of these invasive aquatic plants have profound environmental and economic costs such as </w:t>
      </w:r>
      <w:r w:rsidRPr="008608AA">
        <w:rPr>
          <w:bCs/>
          <w:i/>
        </w:rPr>
        <w:t>Eichornia crassipes</w:t>
      </w:r>
      <w:r w:rsidRPr="008608AA">
        <w:rPr>
          <w:bCs/>
        </w:rPr>
        <w:t xml:space="preserve">, </w:t>
      </w:r>
      <w:r w:rsidRPr="008608AA">
        <w:rPr>
          <w:bCs/>
          <w:i/>
        </w:rPr>
        <w:t>Phragmites australis</w:t>
      </w:r>
      <w:r w:rsidRPr="008608AA">
        <w:rPr>
          <w:bCs/>
        </w:rPr>
        <w:t xml:space="preserve">, </w:t>
      </w:r>
      <w:r w:rsidRPr="008608AA">
        <w:rPr>
          <w:bCs/>
          <w:i/>
        </w:rPr>
        <w:t>Lythrum salicaria,</w:t>
      </w:r>
      <w:r w:rsidRPr="008608AA">
        <w:rPr>
          <w:bCs/>
        </w:rPr>
        <w:t xml:space="preserve"> and </w:t>
      </w:r>
      <w:r w:rsidRPr="008608AA">
        <w:rPr>
          <w:bCs/>
          <w:i/>
        </w:rPr>
        <w:t>Egeria densa</w:t>
      </w:r>
      <w:r w:rsidRPr="008608AA">
        <w:rPr>
          <w:bCs/>
        </w:rPr>
        <w:t xml:space="preserve">. </w:t>
      </w:r>
    </w:p>
    <w:p w14:paraId="3E646B06" w14:textId="1024ABC0" w:rsidR="001E61A6" w:rsidRPr="008608AA" w:rsidRDefault="001E61A6" w:rsidP="00A92173">
      <w:pPr>
        <w:spacing w:before="120"/>
        <w:rPr>
          <w:bCs/>
        </w:rPr>
      </w:pPr>
      <w:r w:rsidRPr="008608AA">
        <w:rPr>
          <w:bCs/>
        </w:rPr>
        <w:t>In freshwater systems, the</w:t>
      </w:r>
      <w:r w:rsidR="00E424A5" w:rsidRPr="008608AA">
        <w:rPr>
          <w:bCs/>
        </w:rPr>
        <w:t xml:space="preserve"> z</w:t>
      </w:r>
      <w:r w:rsidRPr="008608AA">
        <w:rPr>
          <w:bCs/>
        </w:rPr>
        <w:t>ebra mussel (</w:t>
      </w:r>
      <w:r w:rsidRPr="008608AA">
        <w:rPr>
          <w:bCs/>
          <w:i/>
        </w:rPr>
        <w:t>Dreissena polymorpha</w:t>
      </w:r>
      <w:r w:rsidRPr="008608AA">
        <w:rPr>
          <w:bCs/>
        </w:rPr>
        <w:t>), originally (1988) affected the Great Lakes area, but has now spread to all of the large navigable rivers in the eastern USA, extending along the Illinois River to the Mississippi River and into the Caribbean (Benson et al</w:t>
      </w:r>
      <w:r w:rsidRPr="008608AA">
        <w:rPr>
          <w:bCs/>
          <w:i/>
        </w:rPr>
        <w:t xml:space="preserve">., </w:t>
      </w:r>
      <w:r w:rsidRPr="008608AA">
        <w:rPr>
          <w:bCs/>
        </w:rPr>
        <w:t>2017). Human activities are important vectors of transport of this species between aquatic systems (Johnson &amp; Padilla</w:t>
      </w:r>
      <w:r w:rsidR="00EE6343" w:rsidRPr="008608AA">
        <w:rPr>
          <w:bCs/>
        </w:rPr>
        <w:t>,</w:t>
      </w:r>
      <w:r w:rsidRPr="008608AA">
        <w:rPr>
          <w:bCs/>
        </w:rPr>
        <w:t xml:space="preserve"> 1996), which is notorious for their biofouling capabilities by colonizing different human aquatic infrastructure (e.g. water supplies for hydroelectric and nuclear power plants, public water plants and other industrial facilities), </w:t>
      </w:r>
      <w:r w:rsidRPr="008608AA">
        <w:rPr>
          <w:rStyle w:val="alt-edited"/>
        </w:rPr>
        <w:t>causing high economic costs</w:t>
      </w:r>
      <w:r w:rsidRPr="008608AA">
        <w:rPr>
          <w:bCs/>
        </w:rPr>
        <w:t xml:space="preserve"> and having profound effects on the aquatic ecosystems they invade (Griffiths et al</w:t>
      </w:r>
      <w:r w:rsidRPr="008608AA">
        <w:rPr>
          <w:bCs/>
          <w:i/>
        </w:rPr>
        <w:t xml:space="preserve">., </w:t>
      </w:r>
      <w:r w:rsidR="00EE6343" w:rsidRPr="008608AA">
        <w:rPr>
          <w:bCs/>
        </w:rPr>
        <w:t>1991;</w:t>
      </w:r>
      <w:r w:rsidRPr="008608AA">
        <w:rPr>
          <w:bCs/>
        </w:rPr>
        <w:t xml:space="preserve"> Pimmentel et al</w:t>
      </w:r>
      <w:r w:rsidR="00EE6343" w:rsidRPr="008608AA">
        <w:rPr>
          <w:bCs/>
        </w:rPr>
        <w:t>., 2000;</w:t>
      </w:r>
      <w:r w:rsidRPr="008608AA">
        <w:rPr>
          <w:bCs/>
        </w:rPr>
        <w:t xml:space="preserve"> Bykova et al</w:t>
      </w:r>
      <w:r w:rsidRPr="008608AA">
        <w:rPr>
          <w:bCs/>
          <w:i/>
        </w:rPr>
        <w:t xml:space="preserve">., </w:t>
      </w:r>
      <w:r w:rsidR="00EE6343" w:rsidRPr="008608AA">
        <w:rPr>
          <w:bCs/>
        </w:rPr>
        <w:t>2006;</w:t>
      </w:r>
      <w:r w:rsidRPr="008608AA">
        <w:rPr>
          <w:bCs/>
        </w:rPr>
        <w:t xml:space="preserve"> Ward &amp; Ricciardi</w:t>
      </w:r>
      <w:r w:rsidR="00EE6343" w:rsidRPr="008608AA">
        <w:rPr>
          <w:bCs/>
        </w:rPr>
        <w:t>,</w:t>
      </w:r>
      <w:r w:rsidRPr="008608AA">
        <w:rPr>
          <w:bCs/>
        </w:rPr>
        <w:t xml:space="preserve"> 2007). Invasive fish, such as round goby (</w:t>
      </w:r>
      <w:r w:rsidRPr="008608AA">
        <w:rPr>
          <w:bCs/>
          <w:i/>
        </w:rPr>
        <w:t>Neogobius melanostomus</w:t>
      </w:r>
      <w:r w:rsidRPr="008608AA">
        <w:rPr>
          <w:bCs/>
        </w:rPr>
        <w:t>) or Asian carp (</w:t>
      </w:r>
      <w:r w:rsidRPr="008608AA">
        <w:rPr>
          <w:bCs/>
          <w:i/>
        </w:rPr>
        <w:t>Cyprinus carpio</w:t>
      </w:r>
      <w:r w:rsidRPr="008608AA">
        <w:rPr>
          <w:bCs/>
        </w:rPr>
        <w:t>), have also impacted freshwater ecosystems and reduced native fish populations (Kolar et al.</w:t>
      </w:r>
      <w:r w:rsidR="00B23558" w:rsidRPr="008608AA">
        <w:rPr>
          <w:bCs/>
        </w:rPr>
        <w:t>,</w:t>
      </w:r>
      <w:r w:rsidRPr="008608AA">
        <w:rPr>
          <w:bCs/>
        </w:rPr>
        <w:t xml:space="preserve"> 2007; Freedman et al.</w:t>
      </w:r>
      <w:r w:rsidR="00B23558" w:rsidRPr="008608AA">
        <w:rPr>
          <w:bCs/>
        </w:rPr>
        <w:t>,</w:t>
      </w:r>
      <w:r w:rsidRPr="008608AA">
        <w:rPr>
          <w:bCs/>
        </w:rPr>
        <w:t xml:space="preserve"> 2012; Kornis et al., 2013).</w:t>
      </w:r>
    </w:p>
    <w:p w14:paraId="2D6A9E1F" w14:textId="621F6C1D" w:rsidR="001E61A6" w:rsidRPr="008608AA" w:rsidRDefault="001E61A6" w:rsidP="00A92173">
      <w:pPr>
        <w:spacing w:before="120"/>
        <w:rPr>
          <w:bCs/>
        </w:rPr>
      </w:pPr>
      <w:r w:rsidRPr="008608AA">
        <w:rPr>
          <w:bCs/>
        </w:rPr>
        <w:t>In coastal ecosystems of North America, 298 non-indigenous species of invertebrates and algae have been recorded as naturalized (Ruiz et al</w:t>
      </w:r>
      <w:r w:rsidRPr="008608AA">
        <w:rPr>
          <w:bCs/>
          <w:i/>
        </w:rPr>
        <w:t xml:space="preserve">., </w:t>
      </w:r>
      <w:r w:rsidRPr="008608AA">
        <w:rPr>
          <w:bCs/>
        </w:rPr>
        <w:t>2000). Most non-indigenous species are crustaceans and molluscs and have resulted from ballast water, inferring that source regions of non-indigenous species differ among coasts, corresponding to local and global trade patterns. Further, at least 100 species of non-indigenous fish and 200 species of non-indigenous vascular plants are known to be established within North America coastal area (Ruiz et al</w:t>
      </w:r>
      <w:r w:rsidRPr="008608AA">
        <w:rPr>
          <w:bCs/>
          <w:i/>
        </w:rPr>
        <w:t xml:space="preserve">., </w:t>
      </w:r>
      <w:r w:rsidRPr="008608AA">
        <w:rPr>
          <w:bCs/>
        </w:rPr>
        <w:t>2000). North American mangroves are considered to be protected from invasions due to the harsh hydrological and edaphic conditions in which they grow. However, there is an increasing number of invasive species being reported in mangrove ecosystems associated to anthropogenic and natural disturbances (Lugo</w:t>
      </w:r>
      <w:r w:rsidR="00286265" w:rsidRPr="008608AA">
        <w:rPr>
          <w:bCs/>
        </w:rPr>
        <w:t>,</w:t>
      </w:r>
      <w:r w:rsidRPr="008608AA">
        <w:rPr>
          <w:bCs/>
        </w:rPr>
        <w:t xml:space="preserve"> 1998), including the Brazilian pepper </w:t>
      </w:r>
      <w:r w:rsidRPr="008608AA">
        <w:rPr>
          <w:bCs/>
          <w:i/>
          <w:iCs/>
        </w:rPr>
        <w:t>Schinus terebinthifolius</w:t>
      </w:r>
      <w:r w:rsidR="00E424A5" w:rsidRPr="008608AA">
        <w:rPr>
          <w:bCs/>
        </w:rPr>
        <w:t xml:space="preserve"> r</w:t>
      </w:r>
      <w:r w:rsidRPr="008608AA">
        <w:rPr>
          <w:bCs/>
        </w:rPr>
        <w:t>addi (Anacardiaceae) in Florida (Ferriter</w:t>
      </w:r>
      <w:r w:rsidR="00286265" w:rsidRPr="008608AA">
        <w:rPr>
          <w:bCs/>
        </w:rPr>
        <w:t>,</w:t>
      </w:r>
      <w:r w:rsidRPr="008608AA">
        <w:rPr>
          <w:bCs/>
        </w:rPr>
        <w:t xml:space="preserve"> 1997) and the Indo-Pacific lionfish </w:t>
      </w:r>
      <w:r w:rsidRPr="008608AA">
        <w:rPr>
          <w:bCs/>
          <w:i/>
          <w:iCs/>
        </w:rPr>
        <w:t xml:space="preserve">Pterois volitans </w:t>
      </w:r>
      <w:r w:rsidRPr="008608AA">
        <w:rPr>
          <w:bCs/>
        </w:rPr>
        <w:t xml:space="preserve">(Linnaeus, 1758) (Scorpaenidae) from North Carolina to Caribbean (Barbour et al., 2010). </w:t>
      </w:r>
    </w:p>
    <w:p w14:paraId="6E40D60A" w14:textId="77777777" w:rsidR="001E61A6" w:rsidRPr="008608AA" w:rsidRDefault="001E61A6" w:rsidP="00A92173">
      <w:pPr>
        <w:spacing w:before="120"/>
        <w:rPr>
          <w:bCs/>
        </w:rPr>
      </w:pPr>
      <w:r w:rsidRPr="008608AA">
        <w:rPr>
          <w:bCs/>
        </w:rPr>
        <w:t>Urban sprawl in North America is a major driver of landscape</w:t>
      </w:r>
      <w:r w:rsidR="00360A20" w:rsidRPr="008608AA">
        <w:rPr>
          <w:bCs/>
        </w:rPr>
        <w:t xml:space="preserve"> change</w:t>
      </w:r>
      <w:r w:rsidRPr="008608AA">
        <w:rPr>
          <w:bCs/>
        </w:rPr>
        <w:t xml:space="preserve"> and cities are a contributing source of invasive species to the surrounding rural or natural matrix. Ornamental plants, pets and pests have higher chances to adapt and invade natural systems as the propagule pressure (i.e. events of introduction) increases. Insects such as the argentine ants have also exploited human disturbances around cities (Holway et al., 2002).</w:t>
      </w:r>
    </w:p>
    <w:p w14:paraId="4860221D" w14:textId="77777777" w:rsidR="001E61A6" w:rsidRPr="008608AA" w:rsidRDefault="001E61A6" w:rsidP="00A92173">
      <w:pPr>
        <w:pStyle w:val="Heading4"/>
        <w:numPr>
          <w:ilvl w:val="0"/>
          <w:numId w:val="0"/>
        </w:numPr>
        <w:spacing w:before="120" w:line="240" w:lineRule="auto"/>
      </w:pPr>
      <w:bookmarkStart w:id="1621" w:name="_Toc517393368"/>
      <w:bookmarkStart w:id="1622" w:name="_Toc517394425"/>
      <w:bookmarkStart w:id="1623" w:name="_Toc517719109"/>
      <w:bookmarkStart w:id="1624" w:name="_Toc517797066"/>
      <w:r w:rsidRPr="008608AA">
        <w:t>Mesoamerica and the Caribbean</w:t>
      </w:r>
      <w:bookmarkEnd w:id="1621"/>
      <w:bookmarkEnd w:id="1622"/>
      <w:bookmarkEnd w:id="1623"/>
      <w:bookmarkEnd w:id="1624"/>
    </w:p>
    <w:p w14:paraId="2B097C57" w14:textId="3B45E02B" w:rsidR="001E61A6" w:rsidRPr="008608AA" w:rsidRDefault="001E61A6" w:rsidP="00A92173">
      <w:pPr>
        <w:spacing w:before="120"/>
        <w:rPr>
          <w:bCs/>
        </w:rPr>
      </w:pPr>
      <w:r w:rsidRPr="008608AA">
        <w:rPr>
          <w:bCs/>
        </w:rPr>
        <w:t>As of 2006, Mexico’s National Commission for the Knowledge and Use of Biodiversity identified at least 800 invasive species in Mexico, in</w:t>
      </w:r>
      <w:r w:rsidR="00E424A5" w:rsidRPr="008608AA">
        <w:rPr>
          <w:bCs/>
        </w:rPr>
        <w:t>cluding 665 plants, 77 fishes, 2</w:t>
      </w:r>
      <w:r w:rsidRPr="008608AA">
        <w:rPr>
          <w:bCs/>
        </w:rPr>
        <w:t xml:space="preserve"> </w:t>
      </w:r>
      <w:r w:rsidR="00E424A5" w:rsidRPr="008608AA">
        <w:rPr>
          <w:bCs/>
        </w:rPr>
        <w:t>amphibians, 8 reptiles, 30 birds and six</w:t>
      </w:r>
      <w:r w:rsidRPr="008608AA">
        <w:rPr>
          <w:bCs/>
        </w:rPr>
        <w:t xml:space="preserve"> mammals, with significant ecological and economic impacts.</w:t>
      </w:r>
    </w:p>
    <w:p w14:paraId="25F3EC39" w14:textId="233841DF" w:rsidR="001E61A6" w:rsidRPr="008608AA" w:rsidRDefault="001E61A6" w:rsidP="00A92173">
      <w:pPr>
        <w:spacing w:before="120"/>
        <w:rPr>
          <w:bCs/>
        </w:rPr>
      </w:pPr>
      <w:r w:rsidRPr="008608AA">
        <w:rPr>
          <w:bCs/>
        </w:rPr>
        <w:t>Buffel grass (</w:t>
      </w:r>
      <w:r w:rsidRPr="008608AA">
        <w:rPr>
          <w:bCs/>
          <w:i/>
          <w:iCs/>
        </w:rPr>
        <w:t>Pennisetum ciliare</w:t>
      </w:r>
      <w:r w:rsidRPr="008608AA">
        <w:rPr>
          <w:bCs/>
        </w:rPr>
        <w:t xml:space="preserve">) has invaded many of the drylands in Mexico (Marshall et al., 2012) after being introduced in the 1970s into Sonora from the </w:t>
      </w:r>
      <w:r w:rsidR="00E424A5" w:rsidRPr="008608AA">
        <w:rPr>
          <w:bCs/>
        </w:rPr>
        <w:t>USA</w:t>
      </w:r>
      <w:r w:rsidRPr="008608AA">
        <w:rPr>
          <w:bCs/>
        </w:rPr>
        <w:t xml:space="preserve"> to bolster the cattle industry (Cox et al., 1988; De La Barrera </w:t>
      </w:r>
      <w:r w:rsidR="00286265" w:rsidRPr="008608AA">
        <w:rPr>
          <w:bCs/>
        </w:rPr>
        <w:t>&amp;</w:t>
      </w:r>
      <w:r w:rsidRPr="008608AA">
        <w:rPr>
          <w:bCs/>
        </w:rPr>
        <w:t xml:space="preserve"> Castellanos, 2007; Franklin et al., 2006). From 1973 to 2000, Buffel grass pastures in Mexico increased from 7,700 </w:t>
      </w:r>
      <w:r w:rsidR="003F55F8" w:rsidRPr="008608AA">
        <w:rPr>
          <w:bCs/>
        </w:rPr>
        <w:t>hectares</w:t>
      </w:r>
      <w:r w:rsidRPr="008608AA">
        <w:rPr>
          <w:bCs/>
        </w:rPr>
        <w:t xml:space="preserve"> to 140,000 </w:t>
      </w:r>
      <w:r w:rsidR="003F55F8" w:rsidRPr="008608AA">
        <w:rPr>
          <w:bCs/>
        </w:rPr>
        <w:t>hectares</w:t>
      </w:r>
      <w:r w:rsidRPr="008608AA">
        <w:rPr>
          <w:bCs/>
        </w:rPr>
        <w:t xml:space="preserve"> (Franklin et al., 2006). It is estimated to cover 53% of Sonora and up to 12% of Mexico overall (Arriaga et al., 2004). Buffel grass invasion can devastate local ecosystems by increasing wildfire regimes, soil erosion rates, ground surface temperatures and supply of vital resources to surrounding life forms, compromising biodiversity (D’antonio </w:t>
      </w:r>
      <w:r w:rsidR="00286265" w:rsidRPr="008608AA">
        <w:rPr>
          <w:bCs/>
        </w:rPr>
        <w:t>&amp;</w:t>
      </w:r>
      <w:r w:rsidRPr="008608AA">
        <w:rPr>
          <w:bCs/>
        </w:rPr>
        <w:t xml:space="preserve"> Vitousek, 1992). Buffel grass is also present in Central American countries like Nicaragua, El Salvador, Honduras, and, Panama (Global Biodiversity Information Facility, 2011).</w:t>
      </w:r>
    </w:p>
    <w:p w14:paraId="19BA1FA6" w14:textId="56A84608" w:rsidR="001E61A6" w:rsidRPr="008608AA" w:rsidRDefault="001E61A6" w:rsidP="00A92173">
      <w:pPr>
        <w:spacing w:before="120"/>
        <w:rPr>
          <w:b/>
          <w:bCs/>
        </w:rPr>
      </w:pPr>
      <w:r w:rsidRPr="008608AA">
        <w:rPr>
          <w:bCs/>
        </w:rPr>
        <w:t>The southern Yucatán peninsular region is the largest continuous expanse of tropical forests remaining in Central America and Mexico, it has been identified as a hotspot of forest and biotic diversity loss (Achard et al., 1998). Bracken fern (</w:t>
      </w:r>
      <w:r w:rsidRPr="008608AA">
        <w:rPr>
          <w:bCs/>
          <w:i/>
        </w:rPr>
        <w:t>Pteridium aquilinum</w:t>
      </w:r>
      <w:r w:rsidRPr="008608AA">
        <w:rPr>
          <w:bCs/>
        </w:rPr>
        <w:t xml:space="preserve"> (L.) Kuhn) invasion have spread under agriculture cultivation (Schneider</w:t>
      </w:r>
      <w:r w:rsidR="00286265" w:rsidRPr="008608AA">
        <w:rPr>
          <w:bCs/>
        </w:rPr>
        <w:t>,</w:t>
      </w:r>
      <w:r w:rsidRPr="008608AA">
        <w:rPr>
          <w:bCs/>
        </w:rPr>
        <w:t xml:space="preserve"> 2006). Frequent fires and land clearance for agriculture have facilitated the replacement of secondary vegetation with bracken fern (Schneider </w:t>
      </w:r>
      <w:r w:rsidR="00286265" w:rsidRPr="008608AA">
        <w:rPr>
          <w:bCs/>
        </w:rPr>
        <w:t>&amp;</w:t>
      </w:r>
      <w:r w:rsidRPr="008608AA">
        <w:rPr>
          <w:bCs/>
        </w:rPr>
        <w:t xml:space="preserve"> Nelun Fernando, 2010). The feral pig (</w:t>
      </w:r>
      <w:r w:rsidRPr="008608AA">
        <w:rPr>
          <w:bCs/>
          <w:i/>
          <w:iCs/>
        </w:rPr>
        <w:t>Sus scrofa</w:t>
      </w:r>
      <w:r w:rsidRPr="008608AA">
        <w:rPr>
          <w:bCs/>
        </w:rPr>
        <w:t>), from the same species as the European wild pig, has invaded the Coco’s Island Marine</w:t>
      </w:r>
      <w:r w:rsidR="00E424A5" w:rsidRPr="008608AA">
        <w:rPr>
          <w:bCs/>
        </w:rPr>
        <w:t xml:space="preserve"> and Land Conservation Area, a national p</w:t>
      </w:r>
      <w:r w:rsidRPr="008608AA">
        <w:rPr>
          <w:bCs/>
        </w:rPr>
        <w:t>ark in the Costa Rican Pacific (Hernández et al., 2002). Because of their rooting activity, these animals alter approximately 20% of the island surface each year, leading up to eight times the erosion in the affected area. These animals also eat fruits, earthworms, roots, stems and leaves, reducing the layer of organic material in leaf litter and plant cover.</w:t>
      </w:r>
      <w:r w:rsidRPr="008608AA">
        <w:rPr>
          <w:b/>
          <w:bCs/>
        </w:rPr>
        <w:t xml:space="preserve"> </w:t>
      </w:r>
    </w:p>
    <w:p w14:paraId="145CEE16" w14:textId="5D0FB806" w:rsidR="001E61A6" w:rsidRPr="008608AA" w:rsidRDefault="001E61A6" w:rsidP="00A92173">
      <w:pPr>
        <w:spacing w:before="120"/>
        <w:rPr>
          <w:bCs/>
        </w:rPr>
      </w:pPr>
      <w:r w:rsidRPr="008608AA">
        <w:rPr>
          <w:bCs/>
        </w:rPr>
        <w:t xml:space="preserve">Invasive insects are also wide spread throughout Mesoamerica. The Mediterranean fruit fly </w:t>
      </w:r>
      <w:r w:rsidRPr="008608AA">
        <w:rPr>
          <w:bCs/>
          <w:i/>
          <w:iCs/>
        </w:rPr>
        <w:t>(Ceratitis capilata)</w:t>
      </w:r>
      <w:r w:rsidRPr="008608AA">
        <w:rPr>
          <w:bCs/>
        </w:rPr>
        <w:t xml:space="preserve">, heads the list of invasive alien species of economic importance in the Mesoamerican region, and is considered a genuine pest affecting all Central American countries. This insect, which entered the region in 1955, attacks fruit and fills it with worms. As a result, some fruit exports from Central America to the </w:t>
      </w:r>
      <w:r w:rsidR="00E424A5" w:rsidRPr="008608AA">
        <w:rPr>
          <w:bCs/>
        </w:rPr>
        <w:t>USA</w:t>
      </w:r>
      <w:r w:rsidRPr="008608AA">
        <w:rPr>
          <w:bCs/>
        </w:rPr>
        <w:t xml:space="preserve"> were suspended. Fruit trade with Europe and Japan has also been affected. </w:t>
      </w:r>
    </w:p>
    <w:p w14:paraId="4C26801B" w14:textId="2C589266" w:rsidR="001E61A6" w:rsidRPr="008608AA" w:rsidRDefault="001E61A6" w:rsidP="00A92173">
      <w:pPr>
        <w:spacing w:before="120"/>
        <w:rPr>
          <w:bCs/>
          <w:i/>
          <w:iCs/>
        </w:rPr>
      </w:pPr>
      <w:r w:rsidRPr="008608AA">
        <w:rPr>
          <w:bCs/>
        </w:rPr>
        <w:t xml:space="preserve">In freshwater ecosystems, African cichlid fish, </w:t>
      </w:r>
      <w:r w:rsidRPr="008608AA">
        <w:rPr>
          <w:bCs/>
          <w:i/>
        </w:rPr>
        <w:t xml:space="preserve">Oreochromis </w:t>
      </w:r>
      <w:r w:rsidRPr="008608AA">
        <w:rPr>
          <w:bCs/>
        </w:rPr>
        <w:t>spp., were accidentally introduced in Lake Chichancanab two decades ago, in the central Yucatán Peninsula</w:t>
      </w:r>
      <w:r w:rsidR="00E424A5" w:rsidRPr="008608AA">
        <w:rPr>
          <w:bCs/>
        </w:rPr>
        <w:t xml:space="preserve"> in Mexico</w:t>
      </w:r>
      <w:r w:rsidRPr="008608AA">
        <w:rPr>
          <w:bCs/>
        </w:rPr>
        <w:t xml:space="preserve">, causing change in the native fish diversity and in the transmission of endemic trematodes to the piscivorous birds (Strecker, 2006). Nile tilapia </w:t>
      </w:r>
      <w:r w:rsidRPr="008608AA">
        <w:rPr>
          <w:bCs/>
          <w:i/>
          <w:iCs/>
        </w:rPr>
        <w:t>(Oreochromis niloticus)</w:t>
      </w:r>
      <w:r w:rsidRPr="008608AA">
        <w:rPr>
          <w:bCs/>
        </w:rPr>
        <w:t xml:space="preserve"> is currently found in the Apoyo, Nicaragua and Managua lakes (Nicaragua), Caño Negro Wildlife Refuge, and Lake Arenal (Costa Rica). This species has resulted in a decline of approximately 80% in the biomass of native cichlidic fish in Lake Nicaragua and has displaced native fish in Caño Negro due to increased competition and predation.</w:t>
      </w:r>
    </w:p>
    <w:p w14:paraId="7C0D7BE6" w14:textId="77777777" w:rsidR="001E61A6" w:rsidRPr="008608AA" w:rsidRDefault="001E61A6" w:rsidP="00A92173">
      <w:pPr>
        <w:spacing w:before="120"/>
        <w:rPr>
          <w:bCs/>
        </w:rPr>
      </w:pPr>
      <w:r w:rsidRPr="008608AA">
        <w:rPr>
          <w:bCs/>
        </w:rPr>
        <w:t>Introduced fish species often result in alteration of food webs. Two exotic fish, common carp (</w:t>
      </w:r>
      <w:r w:rsidRPr="008608AA">
        <w:rPr>
          <w:bCs/>
          <w:i/>
        </w:rPr>
        <w:t>Cyprinus carpio</w:t>
      </w:r>
      <w:r w:rsidRPr="008608AA">
        <w:rPr>
          <w:bCs/>
        </w:rPr>
        <w:t>) and tilapia (</w:t>
      </w:r>
      <w:r w:rsidRPr="008608AA">
        <w:rPr>
          <w:bCs/>
          <w:i/>
        </w:rPr>
        <w:t>Oreochromis niloticus</w:t>
      </w:r>
      <w:r w:rsidRPr="008608AA">
        <w:rPr>
          <w:bCs/>
        </w:rPr>
        <w:t>), were introduced for aquaculture more than 20 years ago into the Xochimilco wetlands, Mexico City and now dominate the system in terms of biomass and numbers. Over this period, wild populations of the microendemic axolotl salamander (</w:t>
      </w:r>
      <w:r w:rsidRPr="008608AA">
        <w:rPr>
          <w:bCs/>
          <w:i/>
        </w:rPr>
        <w:t>Ambystoma mexicanum</w:t>
      </w:r>
      <w:r w:rsidRPr="008608AA">
        <w:rPr>
          <w:bCs/>
        </w:rPr>
        <w:t>) have been dramatically reduced (Zambrano et al., 2010).</w:t>
      </w:r>
    </w:p>
    <w:p w14:paraId="2C571C91" w14:textId="08F472D4" w:rsidR="001E61A6" w:rsidRPr="008608AA" w:rsidRDefault="001E61A6" w:rsidP="00A92173">
      <w:pPr>
        <w:spacing w:before="120"/>
        <w:rPr>
          <w:bCs/>
        </w:rPr>
      </w:pPr>
      <w:r w:rsidRPr="008608AA">
        <w:rPr>
          <w:bCs/>
        </w:rPr>
        <w:t>In the Mexican Caribbean, the Indo-Pacific lionfish (</w:t>
      </w:r>
      <w:r w:rsidRPr="008608AA">
        <w:rPr>
          <w:bCs/>
          <w:i/>
        </w:rPr>
        <w:t>Pterois volitans</w:t>
      </w:r>
      <w:r w:rsidRPr="008608AA">
        <w:rPr>
          <w:bCs/>
        </w:rPr>
        <w:t>) has become a species of great concern because of their predatory habits and rapid proliferation throughout the Mesoamerican Barrier Reef, the second largest continuous reef system in the world (Valdez-Moreno et al., 2012). Having few predators, this invasive predatory fish can greatly reduce native fish biomass and is a threat to the marine environment throughout the region (Green et al., 2012)</w:t>
      </w:r>
      <w:r w:rsidR="00966647" w:rsidRPr="008608AA">
        <w:rPr>
          <w:bCs/>
        </w:rPr>
        <w:t xml:space="preserve"> (Box 4.21)</w:t>
      </w:r>
      <w:r w:rsidRPr="008608AA">
        <w:rPr>
          <w:bCs/>
        </w:rPr>
        <w:t xml:space="preserve">. </w:t>
      </w:r>
    </w:p>
    <w:p w14:paraId="24EFC3D0" w14:textId="1319BEFB" w:rsidR="001E61A6" w:rsidRPr="008608AA" w:rsidRDefault="001E61A6" w:rsidP="00A92173">
      <w:pPr>
        <w:spacing w:before="120"/>
        <w:rPr>
          <w:bCs/>
        </w:rPr>
      </w:pPr>
      <w:r w:rsidRPr="008608AA">
        <w:rPr>
          <w:bCs/>
        </w:rPr>
        <w:t>The seaweed flora of California, USA and Baja California, Mexico is highly diverse and is now being threatened by invasive spec</w:t>
      </w:r>
      <w:r w:rsidR="00091E23" w:rsidRPr="008608AA">
        <w:rPr>
          <w:bCs/>
        </w:rPr>
        <w:t>ies that are largely introduced</w:t>
      </w:r>
      <w:r w:rsidRPr="008608AA">
        <w:rPr>
          <w:bCs/>
        </w:rPr>
        <w:t xml:space="preserve"> unintentionally. Most of the 29 non-native seaweed species that have been recorded, originated in Asia and have been introduced within the last 30 years. The vectors that bring these plants or their propagules to the California and Baja California coasts (international shipping (e.g. ballast water) and shellfish aquaculture) may have not changed drastically in the last decades, but the conditions for the establishment of non-native species seem to have improved. Climate change, including the frequency and severity of El Niño Southern Oscillation events, may be responsible for creating space, diminishing competition, and permitting the persistence and spread of non-nativ</w:t>
      </w:r>
      <w:r w:rsidR="00286265" w:rsidRPr="008608AA">
        <w:rPr>
          <w:bCs/>
        </w:rPr>
        <w:t xml:space="preserve">e species (Miller et al., 2011; </w:t>
      </w:r>
      <w:r w:rsidRPr="008608AA">
        <w:rPr>
          <w:bCs/>
        </w:rPr>
        <w:t>Kaplanis &amp; Smith</w:t>
      </w:r>
      <w:r w:rsidR="00286265" w:rsidRPr="008608AA">
        <w:rPr>
          <w:bCs/>
        </w:rPr>
        <w:t>,</w:t>
      </w:r>
      <w:r w:rsidRPr="008608AA">
        <w:rPr>
          <w:bCs/>
        </w:rPr>
        <w:t xml:space="preserve"> 2016). </w:t>
      </w:r>
    </w:p>
    <w:p w14:paraId="1D37D3F0" w14:textId="5F9CA890" w:rsidR="001E61A6" w:rsidRPr="008608AA" w:rsidRDefault="001E61A6" w:rsidP="00A92173">
      <w:pPr>
        <w:spacing w:before="120"/>
        <w:rPr>
          <w:bCs/>
        </w:rPr>
      </w:pPr>
      <w:r w:rsidRPr="008608AA">
        <w:rPr>
          <w:bCs/>
        </w:rPr>
        <w:t>In the Caribbean islands, humans have introduced many plant and ani</w:t>
      </w:r>
      <w:r w:rsidR="00286265" w:rsidRPr="008608AA">
        <w:rPr>
          <w:bCs/>
        </w:rPr>
        <w:t>mal species (Kairo et al., 2003;</w:t>
      </w:r>
      <w:r w:rsidRPr="008608AA">
        <w:rPr>
          <w:bCs/>
        </w:rPr>
        <w:t xml:space="preserve"> Rojas </w:t>
      </w:r>
      <w:r w:rsidR="00286265" w:rsidRPr="008608AA">
        <w:rPr>
          <w:bCs/>
        </w:rPr>
        <w:t>&amp;</w:t>
      </w:r>
      <w:r w:rsidRPr="008608AA">
        <w:rPr>
          <w:bCs/>
        </w:rPr>
        <w:t xml:space="preserve"> Acevedo</w:t>
      </w:r>
      <w:r w:rsidR="00286265" w:rsidRPr="008608AA">
        <w:rPr>
          <w:bCs/>
        </w:rPr>
        <w:t xml:space="preserve">, 2015; van der Burg et al., 2012; </w:t>
      </w:r>
      <w:r w:rsidRPr="008608AA">
        <w:rPr>
          <w:bCs/>
        </w:rPr>
        <w:t xml:space="preserve">Jenkins et al., 2014), and non-native species have often become ubiquitous there. Caribbean terrestrial ecosystems have been heavily invaded by plants and animals. For example, forest inventories of various Caribbean islands, based on plots or remote sensing, have found that forests dominated by non-native tree species are extensive (Chinea </w:t>
      </w:r>
      <w:r w:rsidR="00286265" w:rsidRPr="008608AA">
        <w:rPr>
          <w:bCs/>
        </w:rPr>
        <w:t>&amp; Helmer, 2003; Brandeis et al., 2009;</w:t>
      </w:r>
      <w:r w:rsidRPr="008608AA">
        <w:rPr>
          <w:bCs/>
        </w:rPr>
        <w:t xml:space="preserve"> Helmer et al., 2012), although some of these new tree communities may have a beneficial role. For example, early successional species often dominate and catalyze understory colonization by native tree species (Parrotta</w:t>
      </w:r>
      <w:r w:rsidR="00286265" w:rsidRPr="008608AA">
        <w:rPr>
          <w:bCs/>
        </w:rPr>
        <w:t>, 1992; Parrotta et al., 1997;</w:t>
      </w:r>
      <w:r w:rsidRPr="008608AA">
        <w:rPr>
          <w:bCs/>
        </w:rPr>
        <w:t xml:space="preserve"> Wolf </w:t>
      </w:r>
      <w:r w:rsidR="00286265" w:rsidRPr="008608AA">
        <w:rPr>
          <w:bCs/>
        </w:rPr>
        <w:t>&amp;</w:t>
      </w:r>
      <w:r w:rsidRPr="008608AA">
        <w:rPr>
          <w:bCs/>
        </w:rPr>
        <w:t xml:space="preserve"> van Bloem</w:t>
      </w:r>
      <w:r w:rsidR="00286265" w:rsidRPr="008608AA">
        <w:rPr>
          <w:bCs/>
        </w:rPr>
        <w:t>,</w:t>
      </w:r>
      <w:r w:rsidRPr="008608AA">
        <w:rPr>
          <w:bCs/>
        </w:rPr>
        <w:t xml:space="preserve"> 2012), or when legumes or nutrient-rich leaves attract insects that provide more forage for insectivorous birds. Shade-tolerant non-native species, however, can be common in forest understories (Brown et al., 2006) and could permanently change species composition by effectively competing with late successional native species.</w:t>
      </w:r>
    </w:p>
    <w:p w14:paraId="01CA5BB5" w14:textId="270BB01B" w:rsidR="001E61A6" w:rsidRPr="008608AA" w:rsidRDefault="001E61A6" w:rsidP="00A92173">
      <w:pPr>
        <w:spacing w:before="120"/>
        <w:rPr>
          <w:b/>
          <w:bCs/>
        </w:rPr>
      </w:pPr>
      <w:r w:rsidRPr="008608AA">
        <w:rPr>
          <w:bCs/>
        </w:rPr>
        <w:t xml:space="preserve">The </w:t>
      </w:r>
      <w:r w:rsidRPr="008608AA">
        <w:rPr>
          <w:bCs/>
          <w:iCs/>
        </w:rPr>
        <w:t>marabú</w:t>
      </w:r>
      <w:r w:rsidRPr="008608AA">
        <w:rPr>
          <w:bCs/>
        </w:rPr>
        <w:t>, (</w:t>
      </w:r>
      <w:r w:rsidRPr="008608AA">
        <w:rPr>
          <w:bCs/>
          <w:i/>
          <w:iCs/>
        </w:rPr>
        <w:t>Dichrostachys cinerea L.</w:t>
      </w:r>
      <w:r w:rsidRPr="008608AA">
        <w:rPr>
          <w:bCs/>
        </w:rPr>
        <w:t xml:space="preserve">), an invasive Fabaceae, has invaded almost 800,000 hectares of Cuba’s forests (Hernández et al., 2002). This thorny bush grows in forests and abandoned agricultural fields, leaving infested areas unproductive. Nowadays, </w:t>
      </w:r>
      <w:r w:rsidRPr="008608AA">
        <w:rPr>
          <w:bCs/>
          <w:iCs/>
        </w:rPr>
        <w:t xml:space="preserve">marabú </w:t>
      </w:r>
      <w:r w:rsidRPr="008608AA">
        <w:rPr>
          <w:bCs/>
        </w:rPr>
        <w:t xml:space="preserve">has become Cuba’s primary problem with respect to invasive alien species, in terms of both economic and environmental impacts. Environmentally, the most serious damage is inflicted on fields (livestock) and on forest plantations. Lands invaded by </w:t>
      </w:r>
      <w:r w:rsidRPr="008608AA">
        <w:rPr>
          <w:bCs/>
          <w:iCs/>
        </w:rPr>
        <w:t xml:space="preserve">marabú </w:t>
      </w:r>
      <w:r w:rsidRPr="008608AA">
        <w:rPr>
          <w:bCs/>
        </w:rPr>
        <w:t xml:space="preserve">remain unusable and thorny, impassable for livestock and human beings. In its juvenile state, </w:t>
      </w:r>
      <w:r w:rsidRPr="008608AA">
        <w:rPr>
          <w:bCs/>
          <w:iCs/>
        </w:rPr>
        <w:t>marabú</w:t>
      </w:r>
      <w:r w:rsidRPr="008608AA" w:rsidDel="007A3B5B">
        <w:rPr>
          <w:bCs/>
        </w:rPr>
        <w:t xml:space="preserve"> </w:t>
      </w:r>
      <w:r w:rsidRPr="008608AA">
        <w:rPr>
          <w:bCs/>
        </w:rPr>
        <w:t xml:space="preserve">is practically impenetrable since it forms extremely dense thickets up to five meters high. In the case of forest plantations, this invasive bush is highly expensive to control. The country spends millions of </w:t>
      </w:r>
      <w:r w:rsidR="004F4EC8" w:rsidRPr="008608AA">
        <w:rPr>
          <w:bCs/>
        </w:rPr>
        <w:t xml:space="preserve">USA </w:t>
      </w:r>
      <w:r w:rsidRPr="008608AA">
        <w:rPr>
          <w:bCs/>
        </w:rPr>
        <w:t xml:space="preserve">dollars a year to combat this species, but its great capacity for reproducing through seeds, trunks and roots makes it very difficult to eliminate. More information on invasive species in Cuba is presented in </w:t>
      </w:r>
      <w:r w:rsidR="00A32C07" w:rsidRPr="008608AA">
        <w:rPr>
          <w:bCs/>
        </w:rPr>
        <w:t xml:space="preserve">supplementary material: </w:t>
      </w:r>
      <w:r w:rsidR="00DC7846" w:rsidRPr="008608AA">
        <w:rPr>
          <w:bCs/>
        </w:rPr>
        <w:t>Box 4.22</w:t>
      </w:r>
      <w:r w:rsidRPr="008608AA">
        <w:rPr>
          <w:bCs/>
        </w:rPr>
        <w:t xml:space="preserve">. </w:t>
      </w:r>
    </w:p>
    <w:p w14:paraId="4B2CE71A" w14:textId="37FE11CB" w:rsidR="001E61A6" w:rsidRPr="008608AA" w:rsidRDefault="001E61A6" w:rsidP="00A92173">
      <w:pPr>
        <w:spacing w:before="120"/>
        <w:rPr>
          <w:bCs/>
        </w:rPr>
      </w:pPr>
      <w:r w:rsidRPr="008608AA">
        <w:rPr>
          <w:bCs/>
        </w:rPr>
        <w:t>Many of the problems of Mesoamerican invaders in ocean ecosystems are repeated throughout the Caribbean. The Indo-Pacific lionfish (</w:t>
      </w:r>
      <w:r w:rsidRPr="008608AA">
        <w:rPr>
          <w:bCs/>
          <w:i/>
        </w:rPr>
        <w:t xml:space="preserve">Pterois volitans </w:t>
      </w:r>
      <w:r w:rsidRPr="008608AA">
        <w:rPr>
          <w:bCs/>
        </w:rPr>
        <w:t>and</w:t>
      </w:r>
      <w:r w:rsidRPr="008608AA">
        <w:rPr>
          <w:bCs/>
          <w:i/>
        </w:rPr>
        <w:t xml:space="preserve"> P. miles</w:t>
      </w:r>
      <w:r w:rsidRPr="008608AA">
        <w:rPr>
          <w:bCs/>
        </w:rPr>
        <w:t>) waslikely introduced in the USA state of Florida through aquarium releases, and has quickly spread to all tropical and subtropical coastal waters of the western Atlantic Ocean and Caribbean Sea (Schofield</w:t>
      </w:r>
      <w:r w:rsidR="00286265" w:rsidRPr="008608AA">
        <w:rPr>
          <w:bCs/>
        </w:rPr>
        <w:t>,</w:t>
      </w:r>
      <w:r w:rsidRPr="008608AA">
        <w:rPr>
          <w:bCs/>
        </w:rPr>
        <w:t xml:space="preserve"> 2010). In fact, this species may be the most damaging marine fish invasion to date (Hixon et al., 2016) (Supplementary material, </w:t>
      </w:r>
      <w:r w:rsidR="00877F5D" w:rsidRPr="008608AA">
        <w:rPr>
          <w:bCs/>
        </w:rPr>
        <w:t xml:space="preserve">Box 4.21 </w:t>
      </w:r>
      <w:r w:rsidRPr="008608AA">
        <w:rPr>
          <w:bCs/>
        </w:rPr>
        <w:t xml:space="preserve">and Mesoamerica section above). </w:t>
      </w:r>
    </w:p>
    <w:p w14:paraId="14AA9AB4" w14:textId="77777777" w:rsidR="001E61A6" w:rsidRPr="008608AA" w:rsidRDefault="001E61A6" w:rsidP="00A92173">
      <w:pPr>
        <w:pStyle w:val="Heading4"/>
        <w:numPr>
          <w:ilvl w:val="0"/>
          <w:numId w:val="0"/>
        </w:numPr>
        <w:spacing w:before="120" w:line="240" w:lineRule="auto"/>
      </w:pPr>
      <w:bookmarkStart w:id="1625" w:name="_Toc517393369"/>
      <w:bookmarkStart w:id="1626" w:name="_Toc517394426"/>
      <w:bookmarkStart w:id="1627" w:name="_Toc517719110"/>
      <w:bookmarkStart w:id="1628" w:name="_Toc517797067"/>
      <w:r w:rsidRPr="008608AA">
        <w:t>South America</w:t>
      </w:r>
      <w:bookmarkEnd w:id="1625"/>
      <w:bookmarkEnd w:id="1626"/>
      <w:bookmarkEnd w:id="1627"/>
      <w:bookmarkEnd w:id="1628"/>
    </w:p>
    <w:p w14:paraId="6FFDB617" w14:textId="1DCD5282" w:rsidR="001E61A6" w:rsidRPr="008608AA" w:rsidRDefault="001E61A6" w:rsidP="00A92173">
      <w:pPr>
        <w:spacing w:before="120"/>
        <w:rPr>
          <w:bCs/>
        </w:rPr>
      </w:pPr>
      <w:r w:rsidRPr="008608AA">
        <w:rPr>
          <w:bCs/>
        </w:rPr>
        <w:t xml:space="preserve">South America, due to its relative isolation, was until recently, considered to be relatively less affected by biological invasions (Speziale et al., 2012). However, evidence has shown that biological invasions are occurring in ecosystems that were considered protected, such as the Andes mountains (Pauchard et al., 2009), the Amazon basin (Silvério et al., 2013), and the </w:t>
      </w:r>
      <w:r w:rsidR="00A32C07" w:rsidRPr="008608AA">
        <w:rPr>
          <w:bCs/>
        </w:rPr>
        <w:t>Patagonian s</w:t>
      </w:r>
      <w:r w:rsidRPr="008608AA">
        <w:rPr>
          <w:bCs/>
        </w:rPr>
        <w:t>outh Atlantic coast (Oresanz et al.</w:t>
      </w:r>
      <w:r w:rsidR="00286265" w:rsidRPr="008608AA">
        <w:rPr>
          <w:bCs/>
        </w:rPr>
        <w:t>,</w:t>
      </w:r>
      <w:r w:rsidRPr="008608AA">
        <w:rPr>
          <w:bCs/>
        </w:rPr>
        <w:t xml:space="preserve"> 2002). These large and diverse ecosystems harbor a number of invasive species, including some of the world’s worst invaders (Speziale et al., 2012). The mongoose (</w:t>
      </w:r>
      <w:r w:rsidRPr="008608AA">
        <w:rPr>
          <w:bCs/>
          <w:i/>
          <w:iCs/>
        </w:rPr>
        <w:t>Herpestes javanicus</w:t>
      </w:r>
      <w:r w:rsidRPr="008608AA">
        <w:rPr>
          <w:bCs/>
        </w:rPr>
        <w:t xml:space="preserve">), introduced as a predator of rats and snakes, spread preying on endemic fauna and transmitting rabies and leptospirosis (Ziller et al., 2005). Other introduced species act as ecosystem engineers, transforming and threatening complete ecosystems (Speziale et al., 2012), as well as changing their services (e.g. beavers </w:t>
      </w:r>
      <w:r w:rsidRPr="008608AA">
        <w:rPr>
          <w:bCs/>
          <w:i/>
        </w:rPr>
        <w:t>Castor canadienses</w:t>
      </w:r>
      <w:r w:rsidRPr="008608AA">
        <w:rPr>
          <w:bCs/>
        </w:rPr>
        <w:t xml:space="preserve">; Anderson et al., 2006 and </w:t>
      </w:r>
      <w:r w:rsidR="002B3B79" w:rsidRPr="008608AA">
        <w:rPr>
          <w:bCs/>
        </w:rPr>
        <w:t>Box 4.23</w:t>
      </w:r>
      <w:r w:rsidR="00A32C07" w:rsidRPr="008608AA">
        <w:rPr>
          <w:bCs/>
        </w:rPr>
        <w:t xml:space="preserve"> in s</w:t>
      </w:r>
      <w:r w:rsidRPr="008608AA">
        <w:rPr>
          <w:bCs/>
        </w:rPr>
        <w:t xml:space="preserve">upplementary material and </w:t>
      </w:r>
      <w:r w:rsidRPr="008608AA">
        <w:rPr>
          <w:bCs/>
          <w:i/>
        </w:rPr>
        <w:t xml:space="preserve">Limnoperna fortunei, </w:t>
      </w:r>
      <w:r w:rsidRPr="008608AA">
        <w:rPr>
          <w:bCs/>
        </w:rPr>
        <w:t xml:space="preserve">Boltovskoy et al. 2015 and </w:t>
      </w:r>
      <w:r w:rsidR="002B3B79" w:rsidRPr="008608AA">
        <w:t>Box 4.24</w:t>
      </w:r>
      <w:r w:rsidR="00A32C07" w:rsidRPr="008608AA">
        <w:rPr>
          <w:bCs/>
        </w:rPr>
        <w:t>, in s</w:t>
      </w:r>
      <w:r w:rsidRPr="008608AA">
        <w:rPr>
          <w:bCs/>
        </w:rPr>
        <w:t xml:space="preserve">upplementary material). Crop species with important commercial value, have also become invasive. Pines (Pinaceae family) for example, used widely as a forestry cultivar, are invasive in both temperate and tropical regions because they have been planted extensively and have biological attributes that promote their invasiveness (Pauchard et al., 2015). </w:t>
      </w:r>
    </w:p>
    <w:p w14:paraId="733F943A" w14:textId="695114F2" w:rsidR="001E61A6" w:rsidRPr="008608AA" w:rsidRDefault="001E61A6" w:rsidP="00A92173">
      <w:pPr>
        <w:spacing w:before="120"/>
        <w:rPr>
          <w:bCs/>
        </w:rPr>
      </w:pPr>
      <w:r w:rsidRPr="008608AA">
        <w:rPr>
          <w:bCs/>
        </w:rPr>
        <w:t>Invasive species in South America come from all continents, although Europe is a major donor of invasive species, especially for plants (Van Kleunen et al., 2015). Undoubtedly, the number of new introductions is increasing annually because of intensified trade and transport routes which is diversifying the source of invasions (Speziale et al., 2012). Harbors, roads, airports, and cities are major sources for the entry of new species. For example, big metropolitan areas such as Sao Paulo, Santiago, or Buenos Aires are centers for the introduction of new invaders (e.g. Masi et al., 2010). Also, the increase human footprint in the landscape (</w:t>
      </w:r>
      <w:r w:rsidR="00B20C8E" w:rsidRPr="008608AA">
        <w:rPr>
          <w:bCs/>
        </w:rPr>
        <w:t>section</w:t>
      </w:r>
      <w:r w:rsidRPr="008608AA">
        <w:rPr>
          <w:bCs/>
        </w:rPr>
        <w:t xml:space="preserve"> 4.4.1), and the introduction of new species for cultivation, is increasing the chances for new invasions. </w:t>
      </w:r>
    </w:p>
    <w:p w14:paraId="69266948" w14:textId="1E205B33" w:rsidR="001E61A6" w:rsidRPr="008608AA" w:rsidRDefault="001E61A6" w:rsidP="00A92173">
      <w:pPr>
        <w:spacing w:before="120"/>
        <w:rPr>
          <w:bCs/>
        </w:rPr>
      </w:pPr>
      <w:r w:rsidRPr="008608AA">
        <w:rPr>
          <w:bCs/>
        </w:rPr>
        <w:t>Invasive species can also come from within the same country. For example, introduced marmosets in southeastern Brazil have been reported as a potential threat to local biodiversity. Marmosets compete with other primate species and birds for resources (Lyra-Neves et al., 2007), depredate birds and eggs (Galetti et al., 2009), hybridize with conspecifics (Begotti &amp; Landesmann</w:t>
      </w:r>
      <w:r w:rsidR="00286265" w:rsidRPr="008608AA">
        <w:rPr>
          <w:bCs/>
        </w:rPr>
        <w:t>,</w:t>
      </w:r>
      <w:r w:rsidRPr="008608AA">
        <w:rPr>
          <w:bCs/>
        </w:rPr>
        <w:t xml:space="preserve"> 2008), and transport new pathogens (Sales et al., 2010).</w:t>
      </w:r>
    </w:p>
    <w:p w14:paraId="01A1E4DF" w14:textId="5E275E07" w:rsidR="001E61A6" w:rsidRPr="008608AA" w:rsidRDefault="001E61A6" w:rsidP="00A92173">
      <w:pPr>
        <w:spacing w:before="120"/>
        <w:rPr>
          <w:bCs/>
        </w:rPr>
      </w:pPr>
      <w:r w:rsidRPr="008608AA">
        <w:rPr>
          <w:bCs/>
        </w:rPr>
        <w:t xml:space="preserve">Tropical and subtropical humid and dry forests are one of the most extensive ecosystems in South America and are being impacted by several species that mostly originated from other tropical areas in Asia and Africa. While many tropical forests appear to be substantially free of invasive species, some species are able to invade mainland forest ecosystems where canopy structure is naturally open, rainforests are fragmented or disturbed, or forests are exploited for crops or timber (Denslow </w:t>
      </w:r>
      <w:r w:rsidR="00286265" w:rsidRPr="008608AA">
        <w:rPr>
          <w:bCs/>
        </w:rPr>
        <w:t>&amp;</w:t>
      </w:r>
      <w:r w:rsidRPr="008608AA">
        <w:rPr>
          <w:bCs/>
        </w:rPr>
        <w:t xml:space="preserve"> DeWalt</w:t>
      </w:r>
      <w:r w:rsidR="00286265" w:rsidRPr="008608AA">
        <w:rPr>
          <w:bCs/>
        </w:rPr>
        <w:t>,</w:t>
      </w:r>
      <w:r w:rsidRPr="008608AA">
        <w:rPr>
          <w:bCs/>
        </w:rPr>
        <w:t xml:space="preserve"> 2008). In addition, fires reportedly interact with grass invasion through a positive feedback cycle, causing a decline in tree cover, facilitating grass invasions, and increasing the likelihood of future fires. In the tropical dry forests of Bolivia, grasses have invaded the forest where disturbance coincides with seed dispersal by motor vehicles involved in logging activities (Veldman </w:t>
      </w:r>
      <w:r w:rsidR="00286265" w:rsidRPr="008608AA">
        <w:rPr>
          <w:bCs/>
        </w:rPr>
        <w:t>&amp;</w:t>
      </w:r>
      <w:r w:rsidRPr="008608AA">
        <w:rPr>
          <w:bCs/>
        </w:rPr>
        <w:t xml:space="preserve"> Putz</w:t>
      </w:r>
      <w:r w:rsidR="00286265" w:rsidRPr="008608AA">
        <w:rPr>
          <w:bCs/>
        </w:rPr>
        <w:t>,</w:t>
      </w:r>
      <w:r w:rsidRPr="008608AA">
        <w:rPr>
          <w:bCs/>
        </w:rPr>
        <w:t xml:space="preserve"> 2010). In the tropical and subtropical forests of Brazil, some of the most invasive plants known by their ability to outcompete native species, are </w:t>
      </w:r>
      <w:r w:rsidRPr="008608AA">
        <w:rPr>
          <w:bCs/>
          <w:i/>
        </w:rPr>
        <w:t>Artocarpus heterophyllus</w:t>
      </w:r>
      <w:r w:rsidRPr="008608AA">
        <w:rPr>
          <w:bCs/>
        </w:rPr>
        <w:t xml:space="preserve"> and </w:t>
      </w:r>
      <w:r w:rsidRPr="008608AA">
        <w:rPr>
          <w:bCs/>
          <w:i/>
        </w:rPr>
        <w:t>Hedychium coronarium</w:t>
      </w:r>
      <w:r w:rsidRPr="008608AA">
        <w:rPr>
          <w:bCs/>
        </w:rPr>
        <w:t xml:space="preserve"> in tropical ombrophilous forest, </w:t>
      </w:r>
      <w:r w:rsidRPr="008608AA">
        <w:rPr>
          <w:bCs/>
          <w:i/>
        </w:rPr>
        <w:t>Hovenia dulcis</w:t>
      </w:r>
      <w:r w:rsidRPr="008608AA">
        <w:rPr>
          <w:bCs/>
        </w:rPr>
        <w:t xml:space="preserve"> in subtropical ombrophilous forest and subtropical semi-deciduous forest, </w:t>
      </w:r>
      <w:r w:rsidRPr="008608AA">
        <w:rPr>
          <w:bCs/>
          <w:i/>
        </w:rPr>
        <w:t>Pinus taeda</w:t>
      </w:r>
      <w:r w:rsidRPr="008608AA">
        <w:rPr>
          <w:bCs/>
        </w:rPr>
        <w:t xml:space="preserve"> and </w:t>
      </w:r>
      <w:r w:rsidRPr="008608AA">
        <w:rPr>
          <w:bCs/>
          <w:i/>
        </w:rPr>
        <w:t>Pinus elliottii</w:t>
      </w:r>
      <w:r w:rsidRPr="008608AA">
        <w:rPr>
          <w:bCs/>
        </w:rPr>
        <w:t xml:space="preserve"> in subtropical ombrophilous forest and steppe, and </w:t>
      </w:r>
      <w:r w:rsidRPr="008608AA">
        <w:rPr>
          <w:bCs/>
          <w:i/>
        </w:rPr>
        <w:t>Tecoma stans</w:t>
      </w:r>
      <w:r w:rsidRPr="008608AA">
        <w:rPr>
          <w:bCs/>
        </w:rPr>
        <w:t xml:space="preserve"> in tropical and subtropical semi-deciduous forest (Zenni </w:t>
      </w:r>
      <w:r w:rsidR="00286265" w:rsidRPr="008608AA">
        <w:rPr>
          <w:bCs/>
        </w:rPr>
        <w:t>&amp;</w:t>
      </w:r>
      <w:r w:rsidRPr="008608AA">
        <w:rPr>
          <w:bCs/>
        </w:rPr>
        <w:t xml:space="preserve"> Ziller</w:t>
      </w:r>
      <w:r w:rsidR="00286265" w:rsidRPr="008608AA">
        <w:rPr>
          <w:bCs/>
        </w:rPr>
        <w:t>,</w:t>
      </w:r>
      <w:r w:rsidRPr="008608AA">
        <w:rPr>
          <w:bCs/>
        </w:rPr>
        <w:t xml:space="preserve"> 2011). Tropical forest biotas are susceptible to taxonomic homogenization (i.e. increasing levels of similarity and reduce biotic differentiation) due to the increase of some generalist invaders that replace more specialized native species (e.g. the Atlantic forest of northeast Brazil, Lôbo et al.</w:t>
      </w:r>
      <w:r w:rsidR="00286265" w:rsidRPr="008608AA">
        <w:rPr>
          <w:bCs/>
        </w:rPr>
        <w:t>,</w:t>
      </w:r>
      <w:r w:rsidRPr="008608AA">
        <w:rPr>
          <w:bCs/>
        </w:rPr>
        <w:t xml:space="preserve"> 2011). </w:t>
      </w:r>
      <w:r w:rsidRPr="008608AA">
        <w:rPr>
          <w:b/>
          <w:bCs/>
        </w:rPr>
        <w:t xml:space="preserve"> </w:t>
      </w:r>
    </w:p>
    <w:p w14:paraId="3AD60033" w14:textId="3092D3DB" w:rsidR="001E61A6" w:rsidRPr="008608AA" w:rsidRDefault="001E61A6" w:rsidP="00A92173">
      <w:pPr>
        <w:spacing w:before="120"/>
        <w:rPr>
          <w:bCs/>
        </w:rPr>
      </w:pPr>
      <w:r w:rsidRPr="008608AA">
        <w:rPr>
          <w:bCs/>
        </w:rPr>
        <w:t>Mediterranean forests, woodlands and scrub are one of the invasion hotspots of South America because of their high human footprint and climatic similarities with biomes in Europe and North America. Ruderal agricultural weeds, native to the Mediterranean region of Europe, are widely distributed and invade natural ecosystems, increasing homogenization and affecting ecosystem dynamics (e.g. intensifying fire regimes)</w:t>
      </w:r>
      <w:r w:rsidR="005B265A" w:rsidRPr="008608AA">
        <w:rPr>
          <w:bCs/>
        </w:rPr>
        <w:t xml:space="preserve"> (Jimenez et al., 2008; Castro</w:t>
      </w:r>
      <w:r w:rsidRPr="008608AA">
        <w:rPr>
          <w:bCs/>
        </w:rPr>
        <w:t xml:space="preserve"> et al., 2005). Animal invasions are also affecting the processes of this ecosystem. For example, the European rabbit (</w:t>
      </w:r>
      <w:r w:rsidRPr="008608AA">
        <w:rPr>
          <w:bCs/>
          <w:i/>
          <w:iCs/>
        </w:rPr>
        <w:t>Oryctolagus cuniculus)</w:t>
      </w:r>
      <w:r w:rsidRPr="008608AA">
        <w:rPr>
          <w:bCs/>
        </w:rPr>
        <w:t xml:space="preserve"> exerts a profound herbivore pressure in the Mediterranean scrub (Camus et al., 2008, Iriarte et al.</w:t>
      </w:r>
      <w:r w:rsidR="00286265" w:rsidRPr="008608AA">
        <w:rPr>
          <w:bCs/>
        </w:rPr>
        <w:t>,</w:t>
      </w:r>
      <w:r w:rsidRPr="008608AA">
        <w:rPr>
          <w:bCs/>
        </w:rPr>
        <w:t xml:space="preserve"> 2005).</w:t>
      </w:r>
    </w:p>
    <w:p w14:paraId="3ED27F6B" w14:textId="2E56B585" w:rsidR="001E61A6" w:rsidRPr="008608AA" w:rsidRDefault="00A32C07" w:rsidP="00A92173">
      <w:pPr>
        <w:spacing w:before="120"/>
        <w:rPr>
          <w:bCs/>
        </w:rPr>
      </w:pPr>
      <w:r w:rsidRPr="008608AA">
        <w:rPr>
          <w:bCs/>
        </w:rPr>
        <w:t>Tropical s</w:t>
      </w:r>
      <w:r w:rsidR="001E61A6" w:rsidRPr="008608AA">
        <w:rPr>
          <w:bCs/>
        </w:rPr>
        <w:t>avannas and grasslands have been heavily affected by invasive African grasses. African grasses are used for pasture improvement, recovery of degraded areas, and slope cover along highway and railway embankments (Reis et al., 2003; Martins</w:t>
      </w:r>
      <w:r w:rsidR="00286265" w:rsidRPr="008608AA">
        <w:rPr>
          <w:bCs/>
        </w:rPr>
        <w:t>,</w:t>
      </w:r>
      <w:r w:rsidR="001E61A6" w:rsidRPr="008608AA">
        <w:rPr>
          <w:bCs/>
        </w:rPr>
        <w:t xml:space="preserve"> 2006). Invasive grasses have been identified as a degradation driver of Colombian wetlands (Ricaurte et al</w:t>
      </w:r>
      <w:r w:rsidRPr="008608AA">
        <w:rPr>
          <w:bCs/>
        </w:rPr>
        <w:t>., 2014), while in the Cerrado b</w:t>
      </w:r>
      <w:r w:rsidR="001E61A6" w:rsidRPr="008608AA">
        <w:rPr>
          <w:bCs/>
        </w:rPr>
        <w:t>iome of Brazil, they constitute a serious problem because they invade open areas (Pivello</w:t>
      </w:r>
      <w:r w:rsidR="00286265" w:rsidRPr="008608AA">
        <w:rPr>
          <w:bCs/>
        </w:rPr>
        <w:t>,</w:t>
      </w:r>
      <w:r w:rsidR="001E61A6" w:rsidRPr="008608AA">
        <w:rPr>
          <w:bCs/>
        </w:rPr>
        <w:t xml:space="preserve"> 2014). Molasses grass (</w:t>
      </w:r>
      <w:r w:rsidR="001E61A6" w:rsidRPr="008608AA">
        <w:rPr>
          <w:bCs/>
          <w:i/>
        </w:rPr>
        <w:t>Melinis minutiflora</w:t>
      </w:r>
      <w:r w:rsidR="001E61A6" w:rsidRPr="008608AA">
        <w:rPr>
          <w:bCs/>
        </w:rPr>
        <w:t xml:space="preserve"> P. Beauv.) accumulates more biomass than do most other species of the herbaceous stratum vegetation native to the Cerrado (Rossi et al., 2014). The effect of invasive grass cover is especially high on the </w:t>
      </w:r>
      <w:r w:rsidR="00A01A41" w:rsidRPr="008608AA">
        <w:rPr>
          <w:bCs/>
        </w:rPr>
        <w:t>Cerrado</w:t>
      </w:r>
      <w:r w:rsidR="001E61A6" w:rsidRPr="008608AA">
        <w:rPr>
          <w:bCs/>
        </w:rPr>
        <w:t xml:space="preserve">-specialist species, whose proportion has consistently declined with increasing invasive dominance. Thus, invasive grasses reduce the floristic uniqueness of pristine vegetation physiognomies (Almeida-Neto et al., 2010). In savannas and grasslands, invasive trees have become problematic. For example, the invasion by </w:t>
      </w:r>
      <w:r w:rsidR="001E61A6" w:rsidRPr="008608AA">
        <w:rPr>
          <w:bCs/>
          <w:i/>
          <w:iCs/>
        </w:rPr>
        <w:t>Pinus elliottii</w:t>
      </w:r>
      <w:r w:rsidR="001E61A6" w:rsidRPr="008608AA">
        <w:rPr>
          <w:bCs/>
        </w:rPr>
        <w:t xml:space="preserve"> is one of the most serious threats to the remaining native </w:t>
      </w:r>
      <w:r w:rsidR="00A01A41" w:rsidRPr="008608AA">
        <w:rPr>
          <w:bCs/>
        </w:rPr>
        <w:t>Cerrado</w:t>
      </w:r>
      <w:r w:rsidR="001E61A6" w:rsidRPr="008608AA">
        <w:rPr>
          <w:bCs/>
        </w:rPr>
        <w:t xml:space="preserve"> vegetation causing biodiversity losses (Abreu </w:t>
      </w:r>
      <w:r w:rsidR="00286265" w:rsidRPr="008608AA">
        <w:rPr>
          <w:bCs/>
        </w:rPr>
        <w:t>&amp;</w:t>
      </w:r>
      <w:r w:rsidR="001E61A6" w:rsidRPr="008608AA">
        <w:rPr>
          <w:bCs/>
        </w:rPr>
        <w:t xml:space="preserve"> Durigan</w:t>
      </w:r>
      <w:r w:rsidR="00286265" w:rsidRPr="008608AA">
        <w:rPr>
          <w:bCs/>
        </w:rPr>
        <w:t>,</w:t>
      </w:r>
      <w:r w:rsidR="001E61A6" w:rsidRPr="008608AA">
        <w:rPr>
          <w:bCs/>
        </w:rPr>
        <w:t xml:space="preserve"> 2011).</w:t>
      </w:r>
    </w:p>
    <w:p w14:paraId="2C6EF77A" w14:textId="31D173F6" w:rsidR="001E61A6" w:rsidRPr="008608AA" w:rsidRDefault="00A32C07" w:rsidP="00A92173">
      <w:pPr>
        <w:spacing w:before="120"/>
        <w:rPr>
          <w:bCs/>
        </w:rPr>
      </w:pPr>
      <w:r w:rsidRPr="008608AA">
        <w:rPr>
          <w:bCs/>
        </w:rPr>
        <w:t>Temperate g</w:t>
      </w:r>
      <w:r w:rsidR="001E61A6" w:rsidRPr="008608AA">
        <w:rPr>
          <w:bCs/>
        </w:rPr>
        <w:t>rasslands</w:t>
      </w:r>
      <w:r w:rsidR="002B3B79" w:rsidRPr="008608AA">
        <w:rPr>
          <w:bCs/>
        </w:rPr>
        <w:t xml:space="preserve"> in </w:t>
      </w:r>
      <w:r w:rsidR="001E61A6" w:rsidRPr="008608AA">
        <w:rPr>
          <w:bCs/>
        </w:rPr>
        <w:t xml:space="preserve">South America are highly threatened by invasive species because of their long history of agriculture and livestock usage that has causedinvasive species to become widely distributed. For example, in the Argentina pampas, introduced forage grasses, such as </w:t>
      </w:r>
      <w:r w:rsidR="001E61A6" w:rsidRPr="008608AA">
        <w:rPr>
          <w:bCs/>
          <w:i/>
        </w:rPr>
        <w:t>Festuca arundinacea</w:t>
      </w:r>
      <w:r w:rsidR="001E61A6" w:rsidRPr="008608AA">
        <w:rPr>
          <w:bCs/>
        </w:rPr>
        <w:t xml:space="preserve"> and </w:t>
      </w:r>
      <w:r w:rsidR="001E61A6" w:rsidRPr="008608AA">
        <w:rPr>
          <w:bCs/>
          <w:i/>
        </w:rPr>
        <w:t>Lolium multiflorum</w:t>
      </w:r>
      <w:r w:rsidR="001E61A6" w:rsidRPr="008608AA">
        <w:rPr>
          <w:bCs/>
        </w:rPr>
        <w:t xml:space="preserve">, and weedy forbs such as </w:t>
      </w:r>
      <w:r w:rsidR="001E61A6" w:rsidRPr="008608AA">
        <w:rPr>
          <w:bCs/>
          <w:i/>
        </w:rPr>
        <w:t>Carduus acanthoides</w:t>
      </w:r>
      <w:r w:rsidR="001E61A6" w:rsidRPr="008608AA">
        <w:rPr>
          <w:bCs/>
        </w:rPr>
        <w:t>, heavily dominate secondary grasslands on former arable fields (Tognetti et al., 2010) and invade native grassland remnants grazed b</w:t>
      </w:r>
      <w:r w:rsidR="00286265" w:rsidRPr="008608AA">
        <w:rPr>
          <w:bCs/>
        </w:rPr>
        <w:t>y cattle (Perelman et al., 2007;</w:t>
      </w:r>
      <w:r w:rsidR="001E61A6" w:rsidRPr="008608AA">
        <w:rPr>
          <w:bCs/>
        </w:rPr>
        <w:t xml:space="preserve"> Tognetti &amp; Chaneton</w:t>
      </w:r>
      <w:r w:rsidR="00286265" w:rsidRPr="008608AA">
        <w:rPr>
          <w:bCs/>
        </w:rPr>
        <w:t>,</w:t>
      </w:r>
      <w:r w:rsidR="001E61A6" w:rsidRPr="008608AA">
        <w:rPr>
          <w:bCs/>
        </w:rPr>
        <w:t xml:space="preserve"> 2015). </w:t>
      </w:r>
    </w:p>
    <w:p w14:paraId="3818C15D" w14:textId="77777777" w:rsidR="001E61A6" w:rsidRPr="008608AA" w:rsidRDefault="001E61A6" w:rsidP="00A92173">
      <w:pPr>
        <w:spacing w:before="120"/>
        <w:rPr>
          <w:bCs/>
        </w:rPr>
      </w:pPr>
      <w:r w:rsidRPr="008608AA">
        <w:rPr>
          <w:bCs/>
        </w:rPr>
        <w:t xml:space="preserve">Drylands and deserts of South America show relatively low numbers of invasive plant species (Fuentes et al., 2013). However, some succulent plant invaders such as </w:t>
      </w:r>
      <w:r w:rsidRPr="008608AA">
        <w:rPr>
          <w:bCs/>
          <w:i/>
        </w:rPr>
        <w:t>Mesembryanthemum</w:t>
      </w:r>
      <w:r w:rsidRPr="008608AA">
        <w:rPr>
          <w:bCs/>
        </w:rPr>
        <w:t xml:space="preserve"> spp are invading desert islands in northern Chile (Madrigal-González et al., 2013) and invasive animals such as rabbits and feral goats are having a strong effect on vegetation and overall ecosystem dynamics (Meserve et al., 2016).</w:t>
      </w:r>
    </w:p>
    <w:p w14:paraId="28BECF8C" w14:textId="56F3551A" w:rsidR="001E61A6" w:rsidRPr="008608AA" w:rsidRDefault="001E61A6" w:rsidP="00A92173">
      <w:pPr>
        <w:spacing w:before="120"/>
        <w:rPr>
          <w:bCs/>
        </w:rPr>
      </w:pPr>
      <w:r w:rsidRPr="008608AA">
        <w:rPr>
          <w:bCs/>
        </w:rPr>
        <w:t xml:space="preserve">Temperate and boreal forests and woodlands have a relatively low area in South America (see Chapter 3 for more details). However, they show a high level of endemism and represent the most southern forests in the world (Rozzi et al., 2008). These forests are being invaded by herbs, shrubs, and trees mostly brought to Chile for agricultural use, erosion control, forestry, and ornamental use (Pauchard et al., 2015). For example, </w:t>
      </w:r>
      <w:r w:rsidRPr="008608AA">
        <w:rPr>
          <w:bCs/>
          <w:i/>
        </w:rPr>
        <w:t>Acacia</w:t>
      </w:r>
      <w:r w:rsidRPr="008608AA">
        <w:rPr>
          <w:bCs/>
        </w:rPr>
        <w:t xml:space="preserve"> and </w:t>
      </w:r>
      <w:r w:rsidRPr="008608AA">
        <w:rPr>
          <w:bCs/>
          <w:i/>
        </w:rPr>
        <w:t>Pinus</w:t>
      </w:r>
      <w:r w:rsidRPr="008608AA">
        <w:rPr>
          <w:bCs/>
        </w:rPr>
        <w:t xml:space="preserve"> species arewidely used in forestry, and are a problem in the temperate forests of south-central Chile where they outcompete native vegetation and increase fire regimes (Fuentes-Ramirez et al., 2011; Le Maitre et al., 2011; Langdon et al.</w:t>
      </w:r>
      <w:r w:rsidR="00286265" w:rsidRPr="008608AA">
        <w:rPr>
          <w:bCs/>
        </w:rPr>
        <w:t>,</w:t>
      </w:r>
      <w:r w:rsidRPr="008608AA">
        <w:rPr>
          <w:bCs/>
        </w:rPr>
        <w:t xml:space="preserve"> 2010; Cobar-Carranza et al.</w:t>
      </w:r>
      <w:r w:rsidR="00286265" w:rsidRPr="008608AA">
        <w:rPr>
          <w:bCs/>
        </w:rPr>
        <w:t>,</w:t>
      </w:r>
      <w:r w:rsidRPr="008608AA">
        <w:rPr>
          <w:bCs/>
        </w:rPr>
        <w:t xml:space="preserve"> 2015). Several invasive vertebrates are also invading these forests (e.g. wild boar, red deer, mink; Iriarte et al. 2005), with the most damaging being the North American beaver, which has decimated forests (i.e. cutting and flooding) in the southern tip of the continent (Anderson et al., 2006; see</w:t>
      </w:r>
      <w:r w:rsidR="00EE70C9" w:rsidRPr="008608AA">
        <w:rPr>
          <w:bCs/>
        </w:rPr>
        <w:t xml:space="preserve"> </w:t>
      </w:r>
      <w:r w:rsidR="00596E28" w:rsidRPr="008608AA">
        <w:rPr>
          <w:bCs/>
        </w:rPr>
        <w:t>Box 4.23</w:t>
      </w:r>
      <w:r w:rsidR="00286265" w:rsidRPr="008608AA">
        <w:rPr>
          <w:bCs/>
        </w:rPr>
        <w:t>, s</w:t>
      </w:r>
      <w:r w:rsidRPr="008608AA">
        <w:rPr>
          <w:bCs/>
        </w:rPr>
        <w:t>upplementary material).</w:t>
      </w:r>
    </w:p>
    <w:p w14:paraId="3B2D01A1" w14:textId="4B233E92" w:rsidR="001E61A6" w:rsidRPr="008608AA" w:rsidRDefault="00124E51" w:rsidP="00A92173">
      <w:pPr>
        <w:spacing w:before="120"/>
        <w:rPr>
          <w:bCs/>
        </w:rPr>
      </w:pPr>
      <w:r w:rsidRPr="008608AA">
        <w:rPr>
          <w:bCs/>
        </w:rPr>
        <w:t>Although</w:t>
      </w:r>
      <w:r w:rsidR="001E61A6" w:rsidRPr="008608AA">
        <w:rPr>
          <w:bCs/>
        </w:rPr>
        <w:t xml:space="preserve"> </w:t>
      </w:r>
      <w:r w:rsidR="00A32C07" w:rsidRPr="008608AA">
        <w:rPr>
          <w:bCs/>
        </w:rPr>
        <w:t>tundra and mountain g</w:t>
      </w:r>
      <w:r w:rsidR="001E61A6" w:rsidRPr="008608AA">
        <w:rPr>
          <w:bCs/>
        </w:rPr>
        <w:t xml:space="preserve">rasslands are considered less invaded than lowland ecosystems, recent evidence shows that there is an increasing number of invasive plant species being established at higher elevations in the Andes (Pauchard et al., 2009; Alexander et al., 2016). Species, such as </w:t>
      </w:r>
      <w:r w:rsidR="001E61A6" w:rsidRPr="008608AA">
        <w:rPr>
          <w:bCs/>
          <w:i/>
        </w:rPr>
        <w:t>Taraxacum officinale</w:t>
      </w:r>
      <w:r w:rsidR="001E61A6" w:rsidRPr="008608AA">
        <w:rPr>
          <w:bCs/>
        </w:rPr>
        <w:t>, may have important impacts on pollination, reaching high elevations beyond the treeline (Muñoz et al., 2005). As climate warming progresses, there is a greater chance of higher latitude and elevation plant invasions (Lembrecht et al., 2015).</w:t>
      </w:r>
    </w:p>
    <w:p w14:paraId="48A45A2D" w14:textId="56C08D34" w:rsidR="001E61A6" w:rsidRPr="008608AA" w:rsidRDefault="001E61A6" w:rsidP="00A92173">
      <w:pPr>
        <w:spacing w:before="120"/>
        <w:rPr>
          <w:bCs/>
        </w:rPr>
      </w:pPr>
      <w:r w:rsidRPr="008608AA">
        <w:rPr>
          <w:bCs/>
        </w:rPr>
        <w:t>Freshwater ecosystems are suffering strong transformation due to invasive species. For example,</w:t>
      </w:r>
      <w:r w:rsidRPr="008608AA">
        <w:rPr>
          <w:bCs/>
          <w:u w:val="single"/>
        </w:rPr>
        <w:t xml:space="preserve"> </w:t>
      </w:r>
      <w:r w:rsidRPr="008608AA">
        <w:rPr>
          <w:bCs/>
          <w:i/>
        </w:rPr>
        <w:t>Limnoperna</w:t>
      </w:r>
      <w:r w:rsidRPr="008608AA">
        <w:rPr>
          <w:bCs/>
          <w:i/>
          <w:iCs/>
        </w:rPr>
        <w:t xml:space="preserve"> fortunei,</w:t>
      </w:r>
      <w:r w:rsidR="00124E51" w:rsidRPr="008608AA">
        <w:rPr>
          <w:bCs/>
        </w:rPr>
        <w:t xml:space="preserve"> commonly known as golden mussel</w:t>
      </w:r>
      <w:r w:rsidRPr="008608AA">
        <w:rPr>
          <w:bCs/>
        </w:rPr>
        <w:t xml:space="preserve">, have invaded major rivers of the </w:t>
      </w:r>
      <w:r w:rsidR="003E0D07" w:rsidRPr="008608AA">
        <w:rPr>
          <w:bCs/>
        </w:rPr>
        <w:t>Río de l</w:t>
      </w:r>
      <w:r w:rsidRPr="008608AA">
        <w:rPr>
          <w:bCs/>
        </w:rPr>
        <w:t>a Plata basin and associated tributary basins via ballast water. Because of the ecological effects caused in aquatic ecosystems and expenses incurred in industrial infrastructure, it is considered a high priority aquatic invasive species to be addressed at the regional level (Boltovskoy</w:t>
      </w:r>
      <w:r w:rsidR="00286265" w:rsidRPr="008608AA">
        <w:rPr>
          <w:bCs/>
        </w:rPr>
        <w:t>,</w:t>
      </w:r>
      <w:r w:rsidRPr="008608AA">
        <w:rPr>
          <w:bCs/>
        </w:rPr>
        <w:t xml:space="preserve"> 2015) (see</w:t>
      </w:r>
      <w:r w:rsidRPr="008608AA">
        <w:t xml:space="preserve"> </w:t>
      </w:r>
      <w:r w:rsidR="00D9098F" w:rsidRPr="008608AA">
        <w:t>Box 4.24</w:t>
      </w:r>
      <w:r w:rsidR="00A32C07" w:rsidRPr="008608AA">
        <w:rPr>
          <w:bCs/>
        </w:rPr>
        <w:t>, s</w:t>
      </w:r>
      <w:r w:rsidRPr="008608AA">
        <w:rPr>
          <w:bCs/>
        </w:rPr>
        <w:t xml:space="preserve">upplementary material). </w:t>
      </w:r>
      <w:r w:rsidRPr="008608AA">
        <w:rPr>
          <w:bCs/>
          <w:i/>
        </w:rPr>
        <w:t>Lithobates catesbeianus</w:t>
      </w:r>
      <w:r w:rsidRPr="008608AA">
        <w:rPr>
          <w:bCs/>
        </w:rPr>
        <w:t xml:space="preserve"> native frog from the southeast of USA has colonized more than 75% of South America where it has been reported to be a highly effective predator, competitor, and vector of amphibian diseases (Laufer et al.</w:t>
      </w:r>
      <w:r w:rsidR="00286265" w:rsidRPr="008608AA">
        <w:rPr>
          <w:bCs/>
        </w:rPr>
        <w:t>,</w:t>
      </w:r>
      <w:r w:rsidRPr="008608AA">
        <w:rPr>
          <w:bCs/>
        </w:rPr>
        <w:t xml:space="preserve"> 2017). Climate change may have a potential synergistic effect on the invasion of this</w:t>
      </w:r>
      <w:r w:rsidR="00116391" w:rsidRPr="008608AA">
        <w:rPr>
          <w:bCs/>
        </w:rPr>
        <w:t xml:space="preserve"> frog throughout the Atlantic forest biodiversity h</w:t>
      </w:r>
      <w:r w:rsidRPr="008608AA">
        <w:rPr>
          <w:bCs/>
        </w:rPr>
        <w:t xml:space="preserve">otspot (Nori et al., 2011). </w:t>
      </w:r>
      <w:r w:rsidRPr="008608AA">
        <w:t xml:space="preserve">The microalgae </w:t>
      </w:r>
      <w:r w:rsidRPr="008608AA">
        <w:rPr>
          <w:i/>
        </w:rPr>
        <w:t>Didymosphenia geminata</w:t>
      </w:r>
      <w:r w:rsidRPr="008608AA">
        <w:t>, an invasive freshwater benthic diatom native</w:t>
      </w:r>
      <w:r w:rsidR="00116391" w:rsidRPr="008608AA">
        <w:t xml:space="preserve"> to rivers of the Circumboreal r</w:t>
      </w:r>
      <w:r w:rsidRPr="008608AA">
        <w:t>egion of Europe, was reported in Argentinean and Chilean freshwater rivers. Thisalgae has been characterized as one of the most aggressive invasions in recent history, resulting in severe ecological and economic impacts due to the velocity of expansion and the number of rivers affected (Jaramillo et al.</w:t>
      </w:r>
      <w:r w:rsidR="00F16020" w:rsidRPr="008608AA">
        <w:t>,</w:t>
      </w:r>
      <w:r w:rsidRPr="008608AA">
        <w:t xml:space="preserve"> 2015).</w:t>
      </w:r>
    </w:p>
    <w:p w14:paraId="64243E45" w14:textId="2A6A23D1" w:rsidR="001E61A6" w:rsidRPr="008608AA" w:rsidRDefault="001E61A6" w:rsidP="00A92173">
      <w:pPr>
        <w:spacing w:before="120"/>
        <w:rPr>
          <w:bCs/>
        </w:rPr>
      </w:pPr>
      <w:r w:rsidRPr="008608AA">
        <w:rPr>
          <w:bCs/>
        </w:rPr>
        <w:t>In marine ecosystems</w:t>
      </w:r>
      <w:r w:rsidRPr="008608AA">
        <w:rPr>
          <w:b/>
          <w:bCs/>
        </w:rPr>
        <w:t xml:space="preserve"> </w:t>
      </w:r>
      <w:r w:rsidRPr="008608AA">
        <w:rPr>
          <w:bCs/>
        </w:rPr>
        <w:t>of South America during the decades 1990-2000, ballast water, biofouling, and aquaculture vectors moved several coastal marine species from distant biogeographic provinces (e.g. Indo-Pacific and Asia) to coastal environments of</w:t>
      </w:r>
      <w:r w:rsidR="00F16020" w:rsidRPr="008608AA">
        <w:rPr>
          <w:bCs/>
        </w:rPr>
        <w:t xml:space="preserve"> America (Orensanz et al., 2002;</w:t>
      </w:r>
      <w:r w:rsidRPr="008608AA">
        <w:rPr>
          <w:bCs/>
        </w:rPr>
        <w:t xml:space="preserve"> Salles &amp; Correa da Silva Luz de Souza</w:t>
      </w:r>
      <w:r w:rsidR="00F16020" w:rsidRPr="008608AA">
        <w:rPr>
          <w:bCs/>
        </w:rPr>
        <w:t>,</w:t>
      </w:r>
      <w:r w:rsidRPr="008608AA">
        <w:rPr>
          <w:bCs/>
        </w:rPr>
        <w:t xml:space="preserve"> 2004). These species have become invasive, resulting in negative effects on ecosystem services provided by various aquatic ecosystems. The golden mussel (</w:t>
      </w:r>
      <w:r w:rsidRPr="008608AA">
        <w:rPr>
          <w:bCs/>
          <w:i/>
        </w:rPr>
        <w:t>Limnoperna fortunei</w:t>
      </w:r>
      <w:r w:rsidRPr="008608AA">
        <w:rPr>
          <w:bCs/>
        </w:rPr>
        <w:t>) in the</w:t>
      </w:r>
      <w:r w:rsidR="003E0D07" w:rsidRPr="008608AA">
        <w:rPr>
          <w:bCs/>
        </w:rPr>
        <w:t xml:space="preserve"> Río de l</w:t>
      </w:r>
      <w:r w:rsidRPr="008608AA">
        <w:rPr>
          <w:bCs/>
        </w:rPr>
        <w:t>a Plata basin have modified the provision of freshwater services (potable and industrial uses) (Boltovskoy</w:t>
      </w:r>
      <w:r w:rsidR="00F16020" w:rsidRPr="008608AA">
        <w:rPr>
          <w:bCs/>
        </w:rPr>
        <w:t>,</w:t>
      </w:r>
      <w:r w:rsidRPr="008608AA">
        <w:rPr>
          <w:bCs/>
        </w:rPr>
        <w:t xml:space="preserve"> 2015) and food services (malacological resources) due to effects of predation on native malacofauna by </w:t>
      </w:r>
      <w:r w:rsidRPr="008608AA">
        <w:rPr>
          <w:bCs/>
          <w:i/>
        </w:rPr>
        <w:t>Rapana venosa</w:t>
      </w:r>
      <w:r w:rsidR="003E0D07" w:rsidRPr="008608AA">
        <w:rPr>
          <w:bCs/>
        </w:rPr>
        <w:t xml:space="preserve"> in the Rí</w:t>
      </w:r>
      <w:r w:rsidRPr="008608AA">
        <w:rPr>
          <w:bCs/>
        </w:rPr>
        <w:t>o de la Plata (Brugnoliet al., 2014) (</w:t>
      </w:r>
      <w:r w:rsidR="00D9098F" w:rsidRPr="008608AA">
        <w:rPr>
          <w:bCs/>
        </w:rPr>
        <w:t>Bo</w:t>
      </w:r>
      <w:r w:rsidR="00116391" w:rsidRPr="008608AA">
        <w:rPr>
          <w:bCs/>
        </w:rPr>
        <w:t>x</w:t>
      </w:r>
      <w:r w:rsidR="00D9098F" w:rsidRPr="008608AA">
        <w:rPr>
          <w:bCs/>
        </w:rPr>
        <w:t xml:space="preserve"> 4.25</w:t>
      </w:r>
      <w:r w:rsidR="00116391" w:rsidRPr="008608AA">
        <w:rPr>
          <w:bCs/>
        </w:rPr>
        <w:t>, s</w:t>
      </w:r>
      <w:r w:rsidRPr="008608AA">
        <w:rPr>
          <w:bCs/>
        </w:rPr>
        <w:t>upplementary material). Finally, the Indo-Pacific lionfish (</w:t>
      </w:r>
      <w:r w:rsidRPr="008608AA">
        <w:rPr>
          <w:bCs/>
          <w:i/>
        </w:rPr>
        <w:t>Pterois volitans</w:t>
      </w:r>
      <w:r w:rsidRPr="008608AA">
        <w:rPr>
          <w:bCs/>
        </w:rPr>
        <w:t xml:space="preserve"> and </w:t>
      </w:r>
      <w:r w:rsidRPr="008608AA">
        <w:rPr>
          <w:bCs/>
          <w:i/>
        </w:rPr>
        <w:t>P. miles</w:t>
      </w:r>
      <w:r w:rsidRPr="008608AA">
        <w:rPr>
          <w:bCs/>
        </w:rPr>
        <w:t>) affects food (fisheries) and cultural (tourism, recre</w:t>
      </w:r>
      <w:r w:rsidR="00116391" w:rsidRPr="008608AA">
        <w:rPr>
          <w:bCs/>
        </w:rPr>
        <w:t>ation: diving) services at the n</w:t>
      </w:r>
      <w:r w:rsidRPr="008608AA">
        <w:rPr>
          <w:bCs/>
        </w:rPr>
        <w:t>orth coast of South America (Colombia, Venezuela) due to predation o</w:t>
      </w:r>
      <w:r w:rsidR="00116391" w:rsidRPr="008608AA">
        <w:rPr>
          <w:bCs/>
        </w:rPr>
        <w:t>f indigenous fish fauna of mega</w:t>
      </w:r>
      <w:r w:rsidRPr="008608AA">
        <w:rPr>
          <w:bCs/>
        </w:rPr>
        <w:t>diverse coastal marine ecosystems (e.g. coral reefs) (</w:t>
      </w:r>
      <w:r w:rsidR="00D9098F" w:rsidRPr="008608AA">
        <w:rPr>
          <w:bCs/>
        </w:rPr>
        <w:t>Box 4.21</w:t>
      </w:r>
      <w:r w:rsidR="00116391" w:rsidRPr="008608AA">
        <w:rPr>
          <w:bCs/>
        </w:rPr>
        <w:t>, s</w:t>
      </w:r>
      <w:r w:rsidRPr="008608AA">
        <w:rPr>
          <w:bCs/>
        </w:rPr>
        <w:t>upplementary material). However, because of euryhaline and eurythermal features of this species, their expansion has not been</w:t>
      </w:r>
      <w:r w:rsidR="00116391" w:rsidRPr="008608AA">
        <w:rPr>
          <w:bCs/>
        </w:rPr>
        <w:t xml:space="preserve"> </w:t>
      </w:r>
      <w:r w:rsidRPr="008608AA">
        <w:rPr>
          <w:bCs/>
        </w:rPr>
        <w:t>con</w:t>
      </w:r>
      <w:r w:rsidR="00116391" w:rsidRPr="008608AA">
        <w:rPr>
          <w:bCs/>
        </w:rPr>
        <w:t>strained by the Amazon-Orinoco p</w:t>
      </w:r>
      <w:r w:rsidRPr="008608AA">
        <w:rPr>
          <w:bCs/>
        </w:rPr>
        <w:t xml:space="preserve">lume (Luizet al., 2013), being recently reported in the southeastern coast of Brazil (Ferreira et al., 2015). </w:t>
      </w:r>
    </w:p>
    <w:p w14:paraId="5D75D9AC" w14:textId="6DA5916E" w:rsidR="001E61A6" w:rsidRPr="008608AA" w:rsidRDefault="001E61A6" w:rsidP="00A92173">
      <w:pPr>
        <w:spacing w:before="120"/>
        <w:rPr>
          <w:bCs/>
        </w:rPr>
      </w:pPr>
      <w:r w:rsidRPr="008608AA">
        <w:rPr>
          <w:bCs/>
        </w:rPr>
        <w:t>In the marine environments off Patagonian shelf and Chilean Pacific coast, a series of biological invasions including algae, mollusks, hydroids, bryozoans, ascidiaceans, and crustaceans (at least 41 invasive alien species) occurred with severe consequences for local biodiversity with econo</w:t>
      </w:r>
      <w:r w:rsidR="00F16020" w:rsidRPr="008608AA">
        <w:rPr>
          <w:bCs/>
        </w:rPr>
        <w:t>mic impact (Bigattiet al., 2008;</w:t>
      </w:r>
      <w:r w:rsidRPr="008608AA">
        <w:rPr>
          <w:bCs/>
        </w:rPr>
        <w:t xml:space="preserve"> Orensanz et</w:t>
      </w:r>
      <w:r w:rsidR="00F16020" w:rsidRPr="008608AA">
        <w:rPr>
          <w:bCs/>
        </w:rPr>
        <w:t xml:space="preserve"> al., 2002;</w:t>
      </w:r>
      <w:r w:rsidRPr="008608AA">
        <w:rPr>
          <w:bCs/>
        </w:rPr>
        <w:t xml:space="preserve"> </w:t>
      </w:r>
      <w:r w:rsidRPr="008608AA">
        <w:rPr>
          <w:rFonts w:eastAsia="Calibri"/>
        </w:rPr>
        <w:t xml:space="preserve">Penchaszadeh </w:t>
      </w:r>
      <w:r w:rsidRPr="008608AA">
        <w:rPr>
          <w:bCs/>
        </w:rPr>
        <w:t xml:space="preserve">et al., 2005). </w:t>
      </w:r>
      <w:r w:rsidRPr="008608AA">
        <w:rPr>
          <w:bCs/>
          <w:i/>
        </w:rPr>
        <w:t>Undaria pinnatifida</w:t>
      </w:r>
      <w:r w:rsidRPr="008608AA">
        <w:rPr>
          <w:bCs/>
        </w:rPr>
        <w:t xml:space="preserve"> is a successful invasive seaweed widespread along the coast of Patagonia. Its presence is associated with a dramatic decrease in species richness and diversity of native seaweeds (Casas et al., 20</w:t>
      </w:r>
      <w:r w:rsidR="00F16020" w:rsidRPr="008608AA">
        <w:rPr>
          <w:bCs/>
        </w:rPr>
        <w:t>04;</w:t>
      </w:r>
      <w:r w:rsidRPr="008608AA">
        <w:rPr>
          <w:bCs/>
        </w:rPr>
        <w:t xml:space="preserve"> Irigoyen et al.</w:t>
      </w:r>
      <w:r w:rsidR="00F16020" w:rsidRPr="008608AA">
        <w:rPr>
          <w:bCs/>
        </w:rPr>
        <w:t>,</w:t>
      </w:r>
      <w:r w:rsidRPr="008608AA">
        <w:rPr>
          <w:bCs/>
        </w:rPr>
        <w:t xml:space="preserve"> 2011). For Brazilian shelves, Lopes et al. (2009) have compiled information on the threat of invasive species. Currently, 66 invasive species have been recorded for the marine environment in Brazil from the following groups: phytoplankton (3), macroalgae (10), zooplankton (10), zoobenthos (38), fish (4), and pelagic bacteria (1) with different ecological and economics impacts in marine Brazilian ecosystems (Lopes et al</w:t>
      </w:r>
      <w:r w:rsidR="00F16020" w:rsidRPr="008608AA">
        <w:rPr>
          <w:bCs/>
        </w:rPr>
        <w:t>.,</w:t>
      </w:r>
      <w:r w:rsidRPr="008608AA">
        <w:rPr>
          <w:bCs/>
        </w:rPr>
        <w:t xml:space="preserve"> 2009).</w:t>
      </w:r>
    </w:p>
    <w:p w14:paraId="0D2C77F3" w14:textId="60243296" w:rsidR="001E61A6" w:rsidRPr="008608AA" w:rsidRDefault="001E61A6" w:rsidP="00B82C51">
      <w:pPr>
        <w:pStyle w:val="Heading3"/>
      </w:pPr>
      <w:bookmarkStart w:id="1629" w:name="_Toc499459677"/>
      <w:bookmarkStart w:id="1630" w:name="_Toc503293142"/>
      <w:bookmarkStart w:id="1631" w:name="_Toc503293740"/>
      <w:bookmarkStart w:id="1632" w:name="_Toc503294002"/>
      <w:bookmarkStart w:id="1633" w:name="_Toc503863395"/>
      <w:bookmarkStart w:id="1634" w:name="_Toc503863623"/>
      <w:bookmarkStart w:id="1635" w:name="_Toc517393370"/>
      <w:bookmarkStart w:id="1636" w:name="_Toc517394427"/>
      <w:bookmarkStart w:id="1637" w:name="_Toc517719111"/>
      <w:bookmarkStart w:id="1638" w:name="_Toc517797068"/>
      <w:r w:rsidRPr="008608AA">
        <w:t>Overexploitation</w:t>
      </w:r>
      <w:bookmarkEnd w:id="1629"/>
      <w:bookmarkEnd w:id="1630"/>
      <w:bookmarkEnd w:id="1631"/>
      <w:bookmarkEnd w:id="1632"/>
      <w:bookmarkEnd w:id="1633"/>
      <w:bookmarkEnd w:id="1634"/>
      <w:bookmarkEnd w:id="1635"/>
      <w:bookmarkEnd w:id="1636"/>
      <w:bookmarkEnd w:id="1637"/>
      <w:bookmarkEnd w:id="1638"/>
    </w:p>
    <w:p w14:paraId="7E025E4B" w14:textId="77777777" w:rsidR="001E61A6" w:rsidRPr="008608AA" w:rsidRDefault="001E61A6" w:rsidP="009C39CE">
      <w:pPr>
        <w:keepNext/>
        <w:keepLines/>
        <w:spacing w:before="120"/>
        <w:outlineLvl w:val="3"/>
        <w:rPr>
          <w:rFonts w:eastAsia="Calibri"/>
          <w:b/>
          <w:bCs/>
          <w:iCs/>
        </w:rPr>
      </w:pPr>
      <w:bookmarkStart w:id="1639" w:name="_Toc517393371"/>
      <w:bookmarkStart w:id="1640" w:name="_Toc517394428"/>
      <w:bookmarkStart w:id="1641" w:name="_Toc517719112"/>
      <w:bookmarkStart w:id="1642" w:name="_Toc517797069"/>
      <w:r w:rsidRPr="008608AA">
        <w:rPr>
          <w:rFonts w:eastAsia="Calibri"/>
          <w:b/>
          <w:bCs/>
          <w:iCs/>
        </w:rPr>
        <w:t>Nature of the driver, its recent status and trend, and factors that influence its intensity</w:t>
      </w:r>
      <w:bookmarkEnd w:id="1639"/>
      <w:bookmarkEnd w:id="1640"/>
      <w:bookmarkEnd w:id="1641"/>
      <w:bookmarkEnd w:id="1642"/>
    </w:p>
    <w:p w14:paraId="3BE86C37" w14:textId="67E79DA1" w:rsidR="001E61A6" w:rsidRPr="008608AA" w:rsidRDefault="001E61A6" w:rsidP="00B82C51">
      <w:pPr>
        <w:spacing w:before="120"/>
      </w:pPr>
      <w:r w:rsidRPr="008608AA">
        <w:t xml:space="preserve">Overharvesting, or overexploitation, occurs when humans extract more of a natural resource </w:t>
      </w:r>
      <w:r w:rsidR="00116391" w:rsidRPr="008608AA">
        <w:t>than can be replaced naturally.</w:t>
      </w:r>
      <w:r w:rsidRPr="008608AA">
        <w:t xml:space="preserve"> This unsustainable practice threatens biodiversity and can degrade ecosystem services by reducing species populations below natural self-sustaining levels and disrupting ecosystem func</w:t>
      </w:r>
      <w:r w:rsidR="00116391" w:rsidRPr="008608AA">
        <w:t>tions and species interactions.</w:t>
      </w:r>
      <w:r w:rsidRPr="008608AA">
        <w:t xml:space="preserve"> Overharvesting can happen in hunting, fishing, logging, groundwater mining, overgrazing, or the collection of wild plants and animals for medicine, d</w:t>
      </w:r>
      <w:r w:rsidR="00116391" w:rsidRPr="008608AA">
        <w:t>ecoration or for the pet trade.</w:t>
      </w:r>
      <w:r w:rsidRPr="008608AA">
        <w:t xml:space="preserve"> Harvested species are used as food, building and other industrial materials, medicines, fibers for clothing, ornamental items, as well as in other social and cultural aspects. </w:t>
      </w:r>
    </w:p>
    <w:p w14:paraId="5E8C5551" w14:textId="4308CD73" w:rsidR="001E61A6" w:rsidRPr="008608AA" w:rsidRDefault="001E61A6" w:rsidP="00B82C51">
      <w:pPr>
        <w:spacing w:before="120"/>
      </w:pPr>
      <w:r w:rsidRPr="008608AA">
        <w:t>Growing human populations, rising incomes, consumer demand, expanding markets, and improved technology al</w:t>
      </w:r>
      <w:r w:rsidR="00116391" w:rsidRPr="008608AA">
        <w:t>l contribute to overharvesting.</w:t>
      </w:r>
      <w:r w:rsidRPr="008608AA">
        <w:t xml:space="preserve"> Individuals, communities or corporations that have open and unregulated access to public goods like forests, aquifers, fisheries, and grazing lands can overexploit a shared resource to maximize short-term profits until it eventually becomes unavailable for the whole (Hardin</w:t>
      </w:r>
      <w:r w:rsidR="00F16020" w:rsidRPr="008608AA">
        <w:t>,</w:t>
      </w:r>
      <w:r w:rsidRPr="008608AA">
        <w:t xml:space="preserve"> 1968). Harvesting natural resources is an essential part of livelihoods and economies of all worldviews. When people act in their own self-interests, they tend to consume as much of a scarce resource as possible, leading to overharvesting and in some cases extinction or resource depletio</w:t>
      </w:r>
      <w:r w:rsidR="00116391" w:rsidRPr="008608AA">
        <w:t>n. Early examples include, the Steller’s sea c</w:t>
      </w:r>
      <w:r w:rsidRPr="008608AA">
        <w:t>ow (</w:t>
      </w:r>
      <w:r w:rsidRPr="008608AA">
        <w:rPr>
          <w:i/>
        </w:rPr>
        <w:t>Hydrodamalisgigas</w:t>
      </w:r>
      <w:r w:rsidRPr="008608AA">
        <w:t>), once found throughout the Bering Sea, was hunted into extinction within 27 years of discovery for it</w:t>
      </w:r>
      <w:r w:rsidR="00116391" w:rsidRPr="008608AA">
        <w:t>s meat, fat, and hide; and the passenger p</w:t>
      </w:r>
      <w:r w:rsidRPr="008608AA">
        <w:t>igeon (</w:t>
      </w:r>
      <w:r w:rsidRPr="008608AA">
        <w:rPr>
          <w:i/>
        </w:rPr>
        <w:t>Ectopistesmigratorius</w:t>
      </w:r>
      <w:r w:rsidRPr="008608AA">
        <w:t>), once considered the most abundant bird species on the planet, was hunted to extinction over a few decades throughout North America (Bucher</w:t>
      </w:r>
      <w:r w:rsidR="00F16020" w:rsidRPr="008608AA">
        <w:t>,</w:t>
      </w:r>
      <w:r w:rsidRPr="008608AA">
        <w:t xml:space="preserve"> 1992). There are many examples linking extinction to joint effects of harvesting and habitat change as extensive areas in eastern North America were converted to agriculture and urbanization.</w:t>
      </w:r>
    </w:p>
    <w:p w14:paraId="6D12AC91" w14:textId="39E28D55" w:rsidR="001E61A6" w:rsidRPr="008608AA" w:rsidRDefault="001E61A6" w:rsidP="00B82C51">
      <w:pPr>
        <w:spacing w:before="120"/>
      </w:pPr>
      <w:r w:rsidRPr="008608AA">
        <w:t>Overexploitation of species often leads to cascading effects with sometimes irreversible impacts on trophic-level functions and can negatively affect the structure, dynamics, or quality of an ecosystem. This is particularly true if a habitat loses an apex predator which can result in a dramatic increase in the population of a prey species. In turn, the unchecked prey can overexploit their own food resources to their own demise and impact other species (Frank et al</w:t>
      </w:r>
      <w:r w:rsidR="00F16020" w:rsidRPr="008608AA">
        <w:t>.</w:t>
      </w:r>
      <w:r w:rsidRPr="008608AA">
        <w:t xml:space="preserve">, 2005; Borrvall </w:t>
      </w:r>
      <w:r w:rsidR="00F16020" w:rsidRPr="008608AA">
        <w:t>&amp;</w:t>
      </w:r>
      <w:r w:rsidRPr="008608AA">
        <w:t xml:space="preserve"> Eben</w:t>
      </w:r>
      <w:r w:rsidR="00596E28" w:rsidRPr="008608AA">
        <w:t>man, 2006; Heithaus et al</w:t>
      </w:r>
      <w:r w:rsidR="00F16020" w:rsidRPr="008608AA">
        <w:t>.</w:t>
      </w:r>
      <w:r w:rsidR="00596E28" w:rsidRPr="008608AA">
        <w:t>, 2008</w:t>
      </w:r>
      <w:r w:rsidRPr="008608AA">
        <w:t>). Fishing down the food chain, where larger predatory fish, such as cod, tuna, and grouper, are targeted first, followed by smaller fish in the food chain, causes trophic level dysfunction (Pauly et al</w:t>
      </w:r>
      <w:r w:rsidR="00F16020" w:rsidRPr="008608AA">
        <w:t>.</w:t>
      </w:r>
      <w:r w:rsidRPr="008608AA">
        <w:t xml:space="preserve">, 1998). Some species require a sufficient density of individuals to reproduce and when reduced to smaller populations, they become vulnerable, suffering from lower genetic diversity and an increased likelihood of being eliminated by natural disasters or diseases (Lacy, 2000). </w:t>
      </w:r>
    </w:p>
    <w:p w14:paraId="007332C3" w14:textId="360EE150" w:rsidR="001E61A6" w:rsidRPr="008608AA" w:rsidRDefault="001E61A6" w:rsidP="00B82C51">
      <w:pPr>
        <w:spacing w:before="120"/>
      </w:pPr>
      <w:r w:rsidRPr="008608AA">
        <w:t>When a species in not able to reproduce faster than it is harvested, it becomes increasingly rare which can drive its price higher in the illegal wildlife trade. This in turn, increases the incentive to extract which can cause the population to eventually collapse (Brook et al.</w:t>
      </w:r>
      <w:r w:rsidR="00F16020" w:rsidRPr="008608AA">
        <w:t>,</w:t>
      </w:r>
      <w:r w:rsidRPr="008608AA">
        <w:t xml:space="preserve"> 2008). Wildlife trade poses the challenge of separating legal from illegal trade (Broad et al</w:t>
      </w:r>
      <w:r w:rsidR="00F16020" w:rsidRPr="008608AA">
        <w:t>.</w:t>
      </w:r>
      <w:r w:rsidRPr="008608AA">
        <w:t>, 2003) and governments can deter such illegal trade by measures such as policies that strengthen enforcement, curb the demand, and expand international cooperation to stop the illegal trade.</w:t>
      </w:r>
    </w:p>
    <w:p w14:paraId="5E6F0E86" w14:textId="6321B1D1" w:rsidR="001E61A6" w:rsidRPr="008608AA" w:rsidRDefault="001E61A6" w:rsidP="00B82C51">
      <w:pPr>
        <w:spacing w:before="120"/>
      </w:pPr>
      <w:r w:rsidRPr="008608AA">
        <w:t xml:space="preserve">Many countries are responding by implementing strategies that mitigate or avoid negative impacts of overharvesting such as strengthening management regulations and enforcement, providing incentives to fishermen, foresters and others to become long term stewards of the resource, through the establishment of effectively managed protected areas and no-take zones, as well as strengthening institutions and regulations to eliminate illegal wildlife trade and put in place sound practices to regulate legal exports/imports of </w:t>
      </w:r>
      <w:r w:rsidR="00116391" w:rsidRPr="008608AA">
        <w:t xml:space="preserve">vulnerable species. </w:t>
      </w:r>
      <w:r w:rsidRPr="008608AA">
        <w:t xml:space="preserve">Tenure rights and other means of co-management are also ways in which local communities can have more say over their natural resources and long-term conservation. For example, </w:t>
      </w:r>
      <w:r w:rsidR="00596E28" w:rsidRPr="008608AA">
        <w:t xml:space="preserve">territorial user rights in fisheries, </w:t>
      </w:r>
      <w:r w:rsidRPr="008608AA">
        <w:t>such as those set up in Chile for the small scale artisanal fishing sector, provide incentives to maximize economic benefits and encourage greater stewardship of the resource to</w:t>
      </w:r>
      <w:r w:rsidR="002E4D99" w:rsidRPr="008608AA">
        <w:t xml:space="preserve"> local communities. Individual transferable q</w:t>
      </w:r>
      <w:r w:rsidRPr="008608AA">
        <w:t>uotas or other catch share strategies can also be applied to larger scale fisheries to prevent collapses and restore declining fisheries although critics point to them being exclusionary and involve trade-offs, such as changes in fleet capacity, employment, and aggregation of fishery shares (Costello et al</w:t>
      </w:r>
      <w:r w:rsidR="00F16020" w:rsidRPr="008608AA">
        <w:t>.</w:t>
      </w:r>
      <w:r w:rsidRPr="008608AA">
        <w:t>, 2008). However, many States have implemented measures to manage the potentially disruptive effects of individual transferable quotas. These practices should be accompanied with investments in sustainable alternative livelihoods and wide-spread education that can inspire conservation of local habitats and species and promotes the ability of local institutions to implement and sustain conservation programs.</w:t>
      </w:r>
    </w:p>
    <w:p w14:paraId="658D008C" w14:textId="77777777" w:rsidR="001E61A6" w:rsidRPr="008608AA" w:rsidRDefault="001E61A6" w:rsidP="009C39CE">
      <w:pPr>
        <w:keepNext/>
        <w:keepLines/>
        <w:spacing w:before="120"/>
        <w:outlineLvl w:val="3"/>
        <w:rPr>
          <w:rFonts w:eastAsia="Calibri"/>
          <w:b/>
          <w:bCs/>
          <w:iCs/>
        </w:rPr>
      </w:pPr>
      <w:bookmarkStart w:id="1643" w:name="_Toc517393372"/>
      <w:bookmarkStart w:id="1644" w:name="_Toc517394429"/>
      <w:bookmarkStart w:id="1645" w:name="_Toc517719113"/>
      <w:bookmarkStart w:id="1646" w:name="_Toc517797070"/>
      <w:r w:rsidRPr="008608AA">
        <w:rPr>
          <w:rFonts w:eastAsia="Calibri"/>
          <w:b/>
          <w:bCs/>
          <w:iCs/>
        </w:rPr>
        <w:t>Terrestrial</w:t>
      </w:r>
      <w:bookmarkEnd w:id="1643"/>
      <w:bookmarkEnd w:id="1644"/>
      <w:bookmarkEnd w:id="1645"/>
      <w:bookmarkEnd w:id="1646"/>
    </w:p>
    <w:p w14:paraId="6D5AE64E" w14:textId="09FC35A9" w:rsidR="001E61A6" w:rsidRPr="008608AA" w:rsidRDefault="001E61A6" w:rsidP="00B82C51">
      <w:pPr>
        <w:spacing w:before="120"/>
      </w:pPr>
      <w:r w:rsidRPr="008608AA">
        <w:t>Overharvesting of terrestrial species and resources is often driven by the pursuit of quick short-term gains without regard to the long-term effects. Illegal logging, for example, can include overharvesting of large tracks of forests or the selling of rare wood species. It is pervasive throughout Mesoamerica and South America and impacts many different stakeholders and communities that rely on timber for their livelihoods (Richards et al.</w:t>
      </w:r>
      <w:r w:rsidR="00F16020" w:rsidRPr="008608AA">
        <w:t>,</w:t>
      </w:r>
      <w:r w:rsidRPr="008608AA">
        <w:t xml:space="preserve"> 2003). Capital-endowed actors as well as poor forest dwellers may drive overharvesting, albeit for different reasons (Pokorny et al</w:t>
      </w:r>
      <w:r w:rsidR="00F16020" w:rsidRPr="008608AA">
        <w:t>.</w:t>
      </w:r>
      <w:r w:rsidRPr="008608AA">
        <w:t>, 2016). Poor governance, corruption, and rampant demands for space to carry out socio-economic activities (e.g. cattle grazing) contribute to the problem. Curbing this problem is difficult. For example, in the Amazon region, timber companies, as well as illegal harvesters, seeking to adopt sustainable practices face challenges such as high investment costs, large transport distances, lack of capacity, and resources to implement environmental regulations (Pokorny et al</w:t>
      </w:r>
      <w:r w:rsidR="00F16020" w:rsidRPr="008608AA">
        <w:t>.</w:t>
      </w:r>
      <w:r w:rsidRPr="008608AA">
        <w:t>, 2016). The pattern of deforestation can be exacerbated once timber companies provide road access and infrastructure to previously intact areas, allowing small landholders to continue to overharvest with often no management or enforcement.</w:t>
      </w:r>
    </w:p>
    <w:p w14:paraId="53422A4F" w14:textId="0EA35FDD" w:rsidR="001E61A6" w:rsidRPr="008608AA" w:rsidRDefault="001E61A6" w:rsidP="00B82C51">
      <w:pPr>
        <w:spacing w:before="120"/>
      </w:pPr>
      <w:r w:rsidRPr="008608AA">
        <w:t xml:space="preserve">Unsustainable hunting and collection of species driven by market demand is another contributing factor of overharvesting. The animal diversity that Central and South America holds and the limited enforcement of wildlife trading laws creates a magnet for wildlife traffickers and the lucrative exotic pet trade. However, the sustainability level of harvest for the majority of species is unknown. Birds are the most trafficked for pets, but reptiles like iguanas, snakes, and turtles are highly valued as pets as well as for their skin, shells, </w:t>
      </w:r>
      <w:r w:rsidR="00116391" w:rsidRPr="008608AA">
        <w:t>and eggs (Shirey et al</w:t>
      </w:r>
      <w:r w:rsidR="00F16020" w:rsidRPr="008608AA">
        <w:t>.</w:t>
      </w:r>
      <w:r w:rsidR="00116391" w:rsidRPr="008608AA">
        <w:t xml:space="preserve">, 2013). </w:t>
      </w:r>
      <w:r w:rsidRPr="008608AA">
        <w:t>Amphibians, scorpions, spiders, and insects are also collected (Ripple et al</w:t>
      </w:r>
      <w:r w:rsidR="00F16020" w:rsidRPr="008608AA">
        <w:t>.</w:t>
      </w:r>
      <w:r w:rsidRPr="008608AA">
        <w:t>, 2015; Broad et al</w:t>
      </w:r>
      <w:r w:rsidR="00F16020" w:rsidRPr="008608AA">
        <w:t>.</w:t>
      </w:r>
      <w:r w:rsidRPr="008608AA">
        <w:t>, 2003). Products are often sold for ornaments and furnishings include coral, turtle and mollusk shells, and reptile skins (Shirey et al</w:t>
      </w:r>
      <w:r w:rsidR="00F16020" w:rsidRPr="008608AA">
        <w:t>.</w:t>
      </w:r>
      <w:r w:rsidRPr="008608AA">
        <w:t>, 2013), many other products are sold as traditional “medicine” especially to Asian countries. In addition to the pe</w:t>
      </w:r>
      <w:r w:rsidR="004F4EC8" w:rsidRPr="008608AA">
        <w:t>t trade, there is an estimated eight</w:t>
      </w:r>
      <w:r w:rsidRPr="008608AA">
        <w:t xml:space="preserve"> million people in South America that rely regularly on bushmeat as a source of protein in their diets. While this represents only 1.4</w:t>
      </w:r>
      <w:r w:rsidR="00116391" w:rsidRPr="008608AA">
        <w:t>%</w:t>
      </w:r>
      <w:r w:rsidRPr="008608AA">
        <w:t xml:space="preserve"> to 2.2% of the total continental population, these people are likely to be some of the poorest in the r</w:t>
      </w:r>
      <w:r w:rsidR="00116391" w:rsidRPr="008608AA">
        <w:t xml:space="preserve">egion (Wilkie </w:t>
      </w:r>
      <w:r w:rsidR="00F16020" w:rsidRPr="008608AA">
        <w:t>&amp;</w:t>
      </w:r>
      <w:r w:rsidR="00116391" w:rsidRPr="008608AA">
        <w:t xml:space="preserve"> Godoy</w:t>
      </w:r>
      <w:r w:rsidR="00F16020" w:rsidRPr="008608AA">
        <w:t>,</w:t>
      </w:r>
      <w:r w:rsidR="00116391" w:rsidRPr="008608AA">
        <w:t xml:space="preserve"> 2001). </w:t>
      </w:r>
      <w:r w:rsidRPr="008608AA">
        <w:t>The distinction between subsistence and commercial use is often unclear and more research is needed on subsistence vs non-subsistence harvesting and how much of subsistence harvesting is optional but local (i.e. they have other sources but choose to eat bushmeat when available).</w:t>
      </w:r>
    </w:p>
    <w:p w14:paraId="2C5DE8CD" w14:textId="07FEFC14" w:rsidR="001E61A6" w:rsidRPr="008608AA" w:rsidRDefault="001E61A6" w:rsidP="00B82C51">
      <w:pPr>
        <w:spacing w:before="120"/>
      </w:pPr>
      <w:r w:rsidRPr="008608AA">
        <w:t>Plants and fungi provide people with food, medicine, building materials, and as raw materi</w:t>
      </w:r>
      <w:r w:rsidR="003814F9" w:rsidRPr="008608AA">
        <w:t xml:space="preserve">als for making other products. </w:t>
      </w:r>
      <w:r w:rsidRPr="008608AA">
        <w:t>Some species are highly valued for their beauty or medicinal value. Thousands of medicinal and aromatic plants that are collected in the Americas are used in the international trade and are valued at o</w:t>
      </w:r>
      <w:r w:rsidR="003814F9" w:rsidRPr="008608AA">
        <w:t>ver $1.3 billion (Lange</w:t>
      </w:r>
      <w:r w:rsidR="00F16020" w:rsidRPr="008608AA">
        <w:t>,</w:t>
      </w:r>
      <w:r w:rsidR="003814F9" w:rsidRPr="008608AA">
        <w:t xml:space="preserve"> 1998). </w:t>
      </w:r>
      <w:r w:rsidRPr="008608AA">
        <w:t>Many species of ornamental plants, like flowers, orchids, tree ferns, bromeliads, cycads, palms, and cacti, are commercially overexploited in both legal and illegal markets. For example, orchids throughout North and South America are one of the best-selling in the legal horticultural trade but are also traded illegally and make up 70% of all species listed by the Convention on the International Trade in Endangered Species (CITES). Research conducted by Hinsley et al</w:t>
      </w:r>
      <w:r w:rsidR="00F16020" w:rsidRPr="008608AA">
        <w:t>.</w:t>
      </w:r>
      <w:r w:rsidRPr="008608AA">
        <w:t xml:space="preserve"> (2015) in the Americas indicates that two key consumer groups purchasing rare plants are either serious hobbyists, who prefer rare species, or mass market buyers whose preferences are based on aesthetic attributes.</w:t>
      </w:r>
    </w:p>
    <w:p w14:paraId="29B8BA9E" w14:textId="77777777" w:rsidR="001E61A6" w:rsidRPr="008608AA" w:rsidRDefault="001E61A6" w:rsidP="009C39CE">
      <w:pPr>
        <w:keepNext/>
        <w:keepLines/>
        <w:spacing w:before="120"/>
        <w:outlineLvl w:val="3"/>
        <w:rPr>
          <w:rFonts w:eastAsia="Calibri"/>
          <w:b/>
          <w:bCs/>
          <w:iCs/>
        </w:rPr>
      </w:pPr>
      <w:bookmarkStart w:id="1647" w:name="_Toc517393373"/>
      <w:bookmarkStart w:id="1648" w:name="_Toc517394430"/>
      <w:bookmarkStart w:id="1649" w:name="_Toc517719114"/>
      <w:bookmarkStart w:id="1650" w:name="_Toc517797071"/>
      <w:r w:rsidRPr="008608AA">
        <w:rPr>
          <w:rFonts w:eastAsia="Calibri"/>
          <w:b/>
          <w:bCs/>
          <w:iCs/>
        </w:rPr>
        <w:t>Freshwater resources</w:t>
      </w:r>
      <w:bookmarkEnd w:id="1647"/>
      <w:bookmarkEnd w:id="1648"/>
      <w:bookmarkEnd w:id="1649"/>
      <w:bookmarkEnd w:id="1650"/>
    </w:p>
    <w:p w14:paraId="2EDC1771" w14:textId="3087A7C8" w:rsidR="001E61A6" w:rsidRPr="008608AA" w:rsidRDefault="001E61A6" w:rsidP="00B82C51">
      <w:pPr>
        <w:spacing w:before="120"/>
      </w:pPr>
      <w:r w:rsidRPr="008608AA">
        <w:t xml:space="preserve">The Americas show wide variation in overexploitation of surface and groundwater resources. Large portions of South and Central America, Canada, and Alaska are relatively water secure, while the western half of the USA, nearly all of Mexico and the Caribbean, and coastal portions of South America all experience seasonal and dry year water depletion </w:t>
      </w:r>
      <w:r w:rsidRPr="008608AA">
        <w:fldChar w:fldCharType="begin" w:fldLock="1"/>
      </w:r>
      <w:r w:rsidRPr="008608AA">
        <w:instrText>ADDIN CSL_CITATION { "citationItems" : [ { "id" : "ITEM-1", "itemData" : { "DOI" : "10.12952/journal.elementa.000083", "author" : [ { "dropping-particle" : "", "family" : "Brauman", "given" : "Kate A", "non-dropping-particle" : "", "parse-names" : false, "suffix" : "" }, { "dropping-particle" : "", "family" : "Richter", "given" : "Brian D", "non-dropping-particle" : "", "parse-names" : false, "suffix" : "" }, { "dropping-particle" : "", "family" : "Postel", "given" : "Sandra", "non-dropping-particle" : "", "parse-names" : false, "suffix" : "" }, { "dropping-particle" : "", "family" : "Malsy", "given" : "Marcus", "non-dropping-particle" : "", "parse-names" : false, "suffix" : "" }, { "dropping-particle" : "", "family" : "Fl\u00f6rke", "given" : "Martina", "non-dropping-particle" : "", "parse-names" : false, "suffix" : "" } ], "id" : "ITEM-1", "issued" : { "date-parts" : [ [ "2015" ] ] }, "page" : "1-12", "title" : "Water depletion : An improved metric for incorporating seasonal and dry-year water scarcity into water risk assessments", "type" : "article-journal" }, "uris" : [ "http://www.mendeley.com/documents/?uuid=651acf1a-18d4-4baf-8178-f83eda483c55" ] } ], "mendeley" : { "formattedCitation" : "(Brauman, Richter, Postel, Malsy, &amp; Fl\u00f6rke, 2015)", "plainTextFormattedCitation" : "(Brauman, Richter, Postel, Malsy, &amp; Fl\u00f6rke, 2015)", "previouslyFormattedCitation" : "(Brauman, Richter, Postel, Malsy, &amp; Fl\u00f6rke, 2015)" }, "properties" : { "noteIndex" : 0 }, "schema" : "https://github.com/citation-style-language/schema/raw/master/csl-citation.json" }</w:instrText>
      </w:r>
      <w:r w:rsidRPr="008608AA">
        <w:fldChar w:fldCharType="separate"/>
      </w:r>
      <w:r w:rsidRPr="008608AA">
        <w:t>(Brauman et al</w:t>
      </w:r>
      <w:r w:rsidR="00F16020" w:rsidRPr="008608AA">
        <w:t>.</w:t>
      </w:r>
      <w:r w:rsidRPr="008608AA">
        <w:t>, 2015)</w:t>
      </w:r>
      <w:r w:rsidRPr="008608AA">
        <w:fldChar w:fldCharType="end"/>
      </w:r>
      <w:r w:rsidRPr="008608AA">
        <w:t>.</w:t>
      </w:r>
      <w:r w:rsidR="003814F9" w:rsidRPr="008608AA">
        <w:t xml:space="preserve"> </w:t>
      </w:r>
      <w:r w:rsidRPr="008608AA">
        <w:t xml:space="preserve">Climate change is expected to exacerbate water shortages in many parts of the Americas </w:t>
      </w:r>
      <w:r w:rsidRPr="008608AA">
        <w:fldChar w:fldCharType="begin" w:fldLock="1"/>
      </w:r>
      <w:r w:rsidRPr="008608AA">
        <w:instrText>ADDIN CSL_CITATION { "citationItems" : [ { "id" : "ITEM-1", "itemData" : { "ISBN" : "9789280729559", "abstract" : "The GEO LAC 3 is the third comprehensive environmental assessment of the status and perspectives of the environment in the Latin American and Caribbean region. It is the result of a series of structured consultative process, with a solid scientific basis that analyze, in an impartial manner, the state of the environment, principal environmental impacts, and the motivating forces and pressures for environmental change. It presents action options for decision-makers and additional regionallevel actors concerned about the state of the environment. The regional-level consultations and reviews were carried out in 2007-2008, using an interdisciplinary and trans-sectoral framework that strengthened the relevance and scientific, methodological, and technical rigor of the final reportChapter III. Relationships between Environmental Change and Human Well-Being in Latin America and the Caribbean: Using two iconic ecosystems of the region, this chapter presents an analysis of ecosystem vulnerability and the impact of environmental changes of the well-being of human beings.", "author" : [ { "dropping-particle" : "", "family" : "UNEP", "given" : "", "non-dropping-particle" : "", "parse-names" : false, "suffix" : "" } ], "container-title" : "Relations between Environmental Changes and Human WellBeing in Latin America and the Caribbean", "id" : "ITEM-1", "issued" : { "date-parts" : [ [ "2010" ] ] }, "number-of-pages" : "375", "title" : "Latin America and the Caribbean: Environmental outlook", "type" : "book" }, "uris" : [ "http://www.mendeley.com/documents/?uuid=4df1a5dd-f3bb-41b5-8800-4cd68e92dedf" ] } ], "mendeley" : { "formattedCitation" : "(UNEP, 2010)", "plainTextFormattedCitation" : "(UNEP, 2010)", "previouslyFormattedCitation" : "(UNEP, 2010)" }, "properties" : { "noteIndex" : 0 }, "schema" : "https://github.com/citation-style-language/schema/raw/master/csl-citation.json" }</w:instrText>
      </w:r>
      <w:r w:rsidRPr="008608AA">
        <w:fldChar w:fldCharType="separate"/>
      </w:r>
      <w:r w:rsidR="00F16020" w:rsidRPr="008608AA">
        <w:t>(UNEP, 2010;</w:t>
      </w:r>
      <w:r w:rsidRPr="008608AA">
        <w:t xml:space="preserve"> IPCC</w:t>
      </w:r>
      <w:r w:rsidR="00F16020" w:rsidRPr="008608AA">
        <w:t>,</w:t>
      </w:r>
      <w:r w:rsidRPr="008608AA">
        <w:t xml:space="preserve"> </w:t>
      </w:r>
      <w:r w:rsidR="003814F9" w:rsidRPr="008608AA">
        <w:t>2014a</w:t>
      </w:r>
      <w:r w:rsidRPr="008608AA">
        <w:t>)</w:t>
      </w:r>
      <w:r w:rsidRPr="008608AA">
        <w:fldChar w:fldCharType="end"/>
      </w:r>
      <w:r w:rsidRPr="008608AA">
        <w:t>.</w:t>
      </w:r>
    </w:p>
    <w:p w14:paraId="4C7C0DEF" w14:textId="2828BE00" w:rsidR="001E61A6" w:rsidRPr="008608AA" w:rsidRDefault="001E61A6" w:rsidP="00B82C51">
      <w:pPr>
        <w:spacing w:before="120"/>
      </w:pPr>
      <w:r w:rsidRPr="008608AA">
        <w:t>Surface water depletion can have visible impacts as streams dry up, but groundwater depletion is no less serious and can</w:t>
      </w:r>
      <w:r w:rsidR="003814F9" w:rsidRPr="008608AA">
        <w:t xml:space="preserve"> have longer-term consequences.</w:t>
      </w:r>
      <w:r w:rsidRPr="008608AA">
        <w:t xml:space="preserve"> Sustained groundwater pumping can lead to drying up of wells, reduction of water in streams and lakes, deterioration of water quality, increased pumping costs, and land subsidence </w:t>
      </w:r>
      <w:r w:rsidRPr="008608AA">
        <w:fldChar w:fldCharType="begin" w:fldLock="1"/>
      </w:r>
      <w:r w:rsidRPr="008608AA">
        <w:instrText>ADDIN CSL_CITATION { "citationItems" : [ { "id" : "ITEM-1", "itemData" : { "DOI" : "10.1111/gwat.12306", "ISSN" : "0017467X", "abstract" : "A natural consequence of groundwater withdrawals is the removal of water from subsurface storage, but the overall rates and magnitude of groundwater depletion in the United States are not well characterized. This study evaluates long- term cumulative depletion volumes in 40 separate aquifers or areas and one land use category in the United States, bringing together information from the literature and from new analy- ses. Depletion is directly calculated using calibrated ground- water models, analytical approaches, or volumetric budget analyses for multiple aquifer systems. Estimated groundwater depletion in the United States during 1900\u20132008 totals approx- imately 1,000 cubic kilometers (km3 ). Furthermore, the rate of groundwater depletion has increased markedly since about 1950, with maximum rates occurring during the most recent period (2000\u20132008) when the depletion rate averaged almost 25 km3 per year (compared to 9.2 km3 per year averaged over the 1900\u20132008 timeframe). Introduction", "author" : [ { "dropping-particle" : "", "family" : "Konikow", "given" : "Leonard F.", "non-dropping-particle" : "", "parse-names" : false, "suffix" : "" } ], "container-title" : "Scientific Investigations Report 2013 \u2013 5079", "id" : "ITEM-1", "issued" : { "date-parts" : [ [ "2013" ] ] }, "page" : "75", "title" : "Groundwater Depletion in the United States ( 1900 \u2013 2008 )", "type" : "article-journal" }, "uris" : [ "http://www.mendeley.com/documents/?uuid=5795f51c-64cd-4827-ac88-e494124f119b" ] } ], "mendeley" : { "formattedCitation" : "(Konikow, 2013)", "plainTextFormattedCitation" : "(Konikow, 2013)", "previouslyFormattedCitation" : "(Konikow, 2013)" }, "properties" : { "noteIndex" : 0 }, "schema" : "https://github.com/citation-style-language/schema/raw/master/csl-citation.json" }</w:instrText>
      </w:r>
      <w:r w:rsidRPr="008608AA">
        <w:fldChar w:fldCharType="separate"/>
      </w:r>
      <w:r w:rsidRPr="008608AA">
        <w:t>(Konikow</w:t>
      </w:r>
      <w:r w:rsidR="00F16020" w:rsidRPr="008608AA">
        <w:t>,</w:t>
      </w:r>
      <w:r w:rsidRPr="008608AA">
        <w:t xml:space="preserve"> 2013)</w:t>
      </w:r>
      <w:r w:rsidRPr="008608AA">
        <w:fldChar w:fldCharType="end"/>
      </w:r>
      <w:r w:rsidRPr="008608AA">
        <w:t>.</w:t>
      </w:r>
      <w:r w:rsidR="003814F9" w:rsidRPr="008608AA">
        <w:t xml:space="preserve"> </w:t>
      </w:r>
      <w:r w:rsidRPr="008608AA">
        <w:t>Depletion of ground water in the USA is a serious problem as aquifers provide drinking water for about half the total population and nearly all rural population as well as providing over 50 billion gallons per day for agricultural needs. The cumulative depletion of groundwater in the USA between 1900 and 2008 was about 1,000 km</w:t>
      </w:r>
      <w:r w:rsidRPr="008608AA">
        <w:rPr>
          <w:vertAlign w:val="superscript"/>
        </w:rPr>
        <w:t>3</w:t>
      </w:r>
      <w:r w:rsidRPr="008608AA">
        <w:t xml:space="preserve">—equivalent to about twice the water volume of Lake Erie </w:t>
      </w:r>
      <w:r w:rsidRPr="008608AA">
        <w:fldChar w:fldCharType="begin" w:fldLock="1"/>
      </w:r>
      <w:r w:rsidRPr="008608AA">
        <w:instrText>ADDIN CSL_CITATION { "citationItems" : [ { "id" : "ITEM-1", "itemData" : { "DOI" : "10.1111/gwat.12306", "ISSN" : "0017467X", "abstract" : "A natural consequence of groundwater withdrawals is the removal of water from subsurface storage, but the overall rates and magnitude of groundwater depletion in the United States are not well characterized. This study evaluates long- term cumulative depletion volumes in 40 separate aquifers or areas and one land use category in the United States, bringing together information from the literature and from new analy- ses. Depletion is directly calculated using calibrated ground- water models, analytical approaches, or volumetric budget analyses for multiple aquifer systems. Estimated groundwater depletion in the United States during 1900\u20132008 totals approx- imately 1,000 cubic kilometers (km3 ). Furthermore, the rate of groundwater depletion has increased markedly since about 1950, with maximum rates occurring during the most recent period (2000\u20132008) when the depletion rate averaged almost 25 km3 per year (compared to 9.2 km3 per year averaged over the 1900\u20132008 timeframe). Introduction", "author" : [ { "dropping-particle" : "", "family" : "Konikow", "given" : "Leonard F.", "non-dropping-particle" : "", "parse-names" : false, "suffix" : "" } ], "container-title" : "Scientific Investigations Report 2013 \u2013 5079", "id" : "ITEM-1", "issued" : { "date-parts" : [ [ "2013" ] ] }, "page" : "75", "title" : "Groundwater Depletion in the United States ( 1900 \u2013 2008 )", "type" : "article-journal" }, "uris" : [ "http://www.mendeley.com/documents/?uuid=5795f51c-64cd-4827-ac88-e494124f119b" ] } ], "mendeley" : { "formattedCitation" : "(Konikow, 2013)", "plainTextFormattedCitation" : "(Konikow, 2013)", "previouslyFormattedCitation" : "(Konikow, 2013)" }, "properties" : { "noteIndex" : 0 }, "schema" : "https://github.com/citation-style-language/schema/raw/master/csl-citation.json" }</w:instrText>
      </w:r>
      <w:r w:rsidRPr="008608AA">
        <w:fldChar w:fldCharType="separate"/>
      </w:r>
      <w:r w:rsidRPr="008608AA">
        <w:t>(Konikow</w:t>
      </w:r>
      <w:r w:rsidR="00F16020" w:rsidRPr="008608AA">
        <w:t>,</w:t>
      </w:r>
      <w:r w:rsidRPr="008608AA">
        <w:t xml:space="preserve"> 2013)</w:t>
      </w:r>
      <w:r w:rsidRPr="008608AA">
        <w:fldChar w:fldCharType="end"/>
      </w:r>
      <w:r w:rsidRPr="008608AA">
        <w:t>.</w:t>
      </w:r>
    </w:p>
    <w:p w14:paraId="4E2F7964" w14:textId="238AA139" w:rsidR="001E61A6" w:rsidRPr="008608AA" w:rsidRDefault="001E61A6" w:rsidP="00B82C51">
      <w:pPr>
        <w:spacing w:before="120"/>
      </w:pPr>
      <w:r w:rsidRPr="008608AA">
        <w:t xml:space="preserve">Irrigation is by far the largest source of water consumption globally and in the Americas.  Domestic use is the second largest consumer in North and Central America, while in South America livestock production is slightly higher </w:t>
      </w:r>
      <w:r w:rsidRPr="008608AA">
        <w:fldChar w:fldCharType="begin" w:fldLock="1"/>
      </w:r>
      <w:r w:rsidRPr="008608AA">
        <w:instrText>ADDIN CSL_CITATION { "citationItems" : [ { "id" : "ITEM-1", "itemData" : { "DOI" : "10.12952/journal.elementa.000083", "author" : [ { "dropping-particle" : "", "family" : "Brauman", "given" : "Kate A", "non-dropping-particle" : "", "parse-names" : false, "suffix" : "" }, { "dropping-particle" : "", "family" : "Richter", "given" : "Brian D", "non-dropping-particle" : "", "parse-names" : false, "suffix" : "" }, { "dropping-particle" : "", "family" : "Postel", "given" : "Sandra", "non-dropping-particle" : "", "parse-names" : false, "suffix" : "" }, { "dropping-particle" : "", "family" : "Malsy", "given" : "Marcus", "non-dropping-particle" : "", "parse-names" : false, "suffix" : "" }, { "dropping-particle" : "", "family" : "Fl\u00f6rke", "given" : "Martina", "non-dropping-particle" : "", "parse-names" : false, "suffix" : "" } ], "id" : "ITEM-1", "issued" : { "date-parts" : [ [ "2015" ] ] }, "page" : "1-12", "title" : "Water depletion : An improved metric for incorporating seasonal and dry-year water scarcity into water risk assessments", "type" : "article-journal" }, "uris" : [ "http://www.mendeley.com/documents/?uuid=651acf1a-18d4-4baf-8178-f83eda483c55" ] } ], "mendeley" : { "formattedCitation" : "(Brauman et al., 2015)", "plainTextFormattedCitation" : "(Brauman et al., 2015)", "previouslyFormattedCitation" : "(Brauman et al., 2015)" }, "properties" : { "noteIndex" : 0 }, "schema" : "https://github.com/citation-style-language/schema/raw/master/csl-citation.json" }</w:instrText>
      </w:r>
      <w:r w:rsidRPr="008608AA">
        <w:fldChar w:fldCharType="separate"/>
      </w:r>
      <w:r w:rsidRPr="008608AA">
        <w:t>(Brauman et al</w:t>
      </w:r>
      <w:r w:rsidR="00134E5B" w:rsidRPr="008608AA">
        <w:t>.</w:t>
      </w:r>
      <w:r w:rsidRPr="008608AA">
        <w:t>, 2015)</w:t>
      </w:r>
      <w:r w:rsidRPr="008608AA">
        <w:fldChar w:fldCharType="end"/>
      </w:r>
      <w:r w:rsidRPr="008608AA">
        <w:t>.</w:t>
      </w:r>
      <w:r w:rsidR="003814F9" w:rsidRPr="008608AA">
        <w:t xml:space="preserve"> </w:t>
      </w:r>
      <w:r w:rsidRPr="008608AA">
        <w:t xml:space="preserve">Overharvest of water in general has implications not only for human communities, both in terms of water quality and quantity, but also for aquatic and even terrestrial species whose life cycles are adapted to natural flow regimes </w:t>
      </w:r>
      <w:r w:rsidRPr="008608AA">
        <w:fldChar w:fldCharType="begin" w:fldLock="1"/>
      </w:r>
      <w:r w:rsidRPr="008608AA">
        <w:instrText>ADDIN CSL_CITATION { "citationItems" : [ { "id" : "ITEM-1", "itemData" : { "DOI" : "10.2307/1313099", "ISBN" : "0006-3568", "ISSN" : "00063568", "PMID" : "4348741", "abstract" : "The ecological integrity of river ecosystems depends on their natural dynamic character The", "author" : [ { "dropping-particle" : "", "family" : "Poff", "given" : "N Leroy", "non-dropping-particle" : "", "parse-names" : false, "suffix" : "" }, { "dropping-particle" : "", "family" : "Allan", "given" : "J David", "non-dropping-particle" : "", "parse-names" : false, "suffix" : "" }, { "dropping-particle" : "", "family" : "Bain", "given" : "Mark B", "non-dropping-particle" : "", "parse-names" : false, "suffix" : "" }, { "dropping-particle" : "", "family" : "Karr", "given" : "James R", "non-dropping-particle" : "", "parse-names" : false, "suffix" : "" }, { "dropping-particle" : "", "family" : "Prestegaard", "given" : "Karen L", "non-dropping-particle" : "", "parse-names" : false, "suffix" : "" }, { "dropping-particle" : "", "family" : "Richter", "given" : "Brian D", "non-dropping-particle" : "", "parse-names" : false, "suffix" : "" }, { "dropping-particle" : "", "family" : "Sparks", "given" : "Richard E", "non-dropping-particle" : "", "parse-names" : false, "suffix" : "" }, { "dropping-particle" : "", "family" : "Stromberg", "given" : "Julie C", "non-dropping-particle" : "", "parse-names" : false, "suffix" : "" } ], "container-title" : "BioScience", "id" : "ITEM-1", "issue" : "11", "issued" : { "date-parts" : [ [ "1997" ] ] }, "page" : "769-784", "title" : "The Natural Flow Regime", "type" : "article-journal", "volume" : "47" }, "uris" : [ "http://www.mendeley.com/documents/?uuid=fb3fc880-f10d-4100-81e9-2739cc88554a" ] } ], "mendeley" : { "formattedCitation" : "(Poff et al., 1997)", "plainTextFormattedCitation" : "(Poff et al., 1997)", "previouslyFormattedCitation" : "(Poff et al., 1997)" }, "properties" : { "noteIndex" : 0 }, "schema" : "https://github.com/citation-style-language/schema/raw/master/csl-citation.json" }</w:instrText>
      </w:r>
      <w:r w:rsidRPr="008608AA">
        <w:fldChar w:fldCharType="separate"/>
      </w:r>
      <w:r w:rsidRPr="008608AA">
        <w:t>(Poff et al</w:t>
      </w:r>
      <w:r w:rsidR="00134E5B" w:rsidRPr="008608AA">
        <w:t>.</w:t>
      </w:r>
      <w:r w:rsidRPr="008608AA">
        <w:t>, 1997)</w:t>
      </w:r>
      <w:r w:rsidRPr="008608AA">
        <w:fldChar w:fldCharType="end"/>
      </w:r>
      <w:r w:rsidRPr="008608AA">
        <w:t>.</w:t>
      </w:r>
    </w:p>
    <w:p w14:paraId="0E50DCEE" w14:textId="382B9327" w:rsidR="001E61A6" w:rsidRPr="008608AA" w:rsidRDefault="001E61A6" w:rsidP="00B82C51">
      <w:pPr>
        <w:spacing w:before="120"/>
      </w:pPr>
      <w:r w:rsidRPr="008608AA">
        <w:t>Impacts to species from overexploitation of water largely track where that overexploitat</w:t>
      </w:r>
      <w:r w:rsidR="003814F9" w:rsidRPr="008608AA">
        <w:t xml:space="preserve">ion is greatest. </w:t>
      </w:r>
      <w:r w:rsidRPr="008608AA">
        <w:t xml:space="preserve">An analysis of species </w:t>
      </w:r>
      <w:r w:rsidR="002E4D99" w:rsidRPr="008608AA">
        <w:t xml:space="preserve">listed as extinct through vulnerable </w:t>
      </w:r>
      <w:r w:rsidRPr="008608AA">
        <w:t>in the IUCN Red List finds that only 5% of assessed species associated with South American inland wetlands are threatened by water abstraction, whereas the numbers rise to 17% in Mesoamerica and 32% in North America (IUCN Re</w:t>
      </w:r>
      <w:r w:rsidR="003814F9" w:rsidRPr="008608AA">
        <w:t xml:space="preserve">d List, 2016). </w:t>
      </w:r>
      <w:r w:rsidRPr="008608AA">
        <w:t>These numbers should be interpreted with caution, given that comprehensive species assessments are lac</w:t>
      </w:r>
      <w:r w:rsidR="006A7CB5" w:rsidRPr="008608AA">
        <w:t>king for much of Latin America.</w:t>
      </w:r>
      <w:r w:rsidRPr="008608AA">
        <w:t xml:space="preserve"> Overharvesting of freshwater species in the Americas is considered in general less of a threat to biodiversity and ecosystem services than the degradation and alteration of the habitats in which those species live </w:t>
      </w:r>
      <w:r w:rsidRPr="008608AA">
        <w:fldChar w:fldCharType="begin" w:fldLock="1"/>
      </w:r>
      <w:r w:rsidRPr="008608AA">
        <w:instrText>ADDIN CSL_CITATION { "citationItems" : [ { "id" : "ITEM-1", "itemData" : { "DOI" : "10.1098/rstb.2010.0168", "abstract" : "5 FAO Regional Office for Asia and the Pacific, 39 Pra Athit Road, Bangkok 10900, Thailand 6 Aquae Sulis Limited (ASL), Midway House, Turleigh, Bradford-on-Avon, Wiltshire BA15 2LR, UK The reported annual yield from inland capture fisheries in 2008 was over 10 million tonnes, although real catches are probably considerably higher than this. Inland fisheries are extremely com-plex, and in many cases poorly understood. The numerous water bodies and small rivers are inhabited by a wide range of species and several types of fisher community with diversified livelihood strategies for whom inland fisheries are extremely important. Many drivers affect the fisheries, including internal fisheries management practices. There are also many drivers from outside the fishery that influence the state and functioning of the environment as well as the social and econ-omic framework within which the fishery is pursued. The drivers affecting the various types of inland water, rivers, lakes, reservoirs and wetlands may differ, particularly with regard to ecosystem function. Many of these depend on land-use practices and demand for water which conflict with the sustainability of the fishery. Climate change is also exacerbating many of these factors. The future of inland fisheries varies between continents. In Asia and Africa the resources are very intensely exploited and there is probably little room for expansion; it is here that resources are most at risk. Inland fisheries are less heavily exploited in South and Central America, and in the North and South temperate zones inland fisheries are mostly oriented to recreation rather than food production.", "author" : [ { "dropping-particle" : "", "family" : "Welcomme", "given" : "Robin L.", "non-dropping-particle" : "", "parse-names" : false, "suffix" : "" }, { "dropping-particle" : "", "family" : "Cowx", "given" : "Ian G.", "non-dropping-particle" : "", "parse-names" : false, "suffix" : "" }, { "dropping-particle" : "", "family" : "Coates", "given" : "David", "non-dropping-particle" : "", "parse-names" : false, "suffix" : "" }, { "dropping-particle" : "", "family" : "B\u00e9n\u00e9", "given" : "Christophe", "non-dropping-particle" : "", "parse-names" : false, "suffix" : "" }, { "dropping-particle" : "", "family" : "Funge-Smith", "given" : "Simon", "non-dropping-particle" : "", "parse-names" : false, "suffix" : "" }, { "dropping-particle" : "", "family" : "Halls", "given" : "Ashley", "non-dropping-particle" : "", "parse-names" : false, "suffix" : "" }, { "dropping-particle" : "", "family" : "Lorenzen", "given" : "Kai", "non-dropping-particle" : "", "parse-names" : false, "suffix" : "" } ], "id" : "ITEM-1", "issued" : { "date-parts" : [ [ "2011" ] ] }, "title" : "Inland capture fisheries", "type" : "article-journal" }, "uris" : [ "http://www.mendeley.com/documents/?uuid=a1c64f8a-59ab-364b-98b8-94d3bae67610" ] } ], "mendeley" : { "formattedCitation" : "(Robin L. Welcomme et al., 2011)", "plainTextFormattedCitation" : "(Robin L. Welcomme et al., 2011)", "previouslyFormattedCitation" : "(Robin L. Welcomme et al., 2011)" }, "properties" : { "noteIndex" : 0 }, "schema" : "https://github.com/citation-style-language/schema/raw/master/csl-citation.json" }</w:instrText>
      </w:r>
      <w:r w:rsidRPr="008608AA">
        <w:fldChar w:fldCharType="separate"/>
      </w:r>
      <w:r w:rsidRPr="008608AA">
        <w:t>(Welcomme et al., 2011)</w:t>
      </w:r>
      <w:r w:rsidRPr="008608AA">
        <w:fldChar w:fldCharType="end"/>
      </w:r>
      <w:r w:rsidR="003814F9" w:rsidRPr="008608AA">
        <w:t>.</w:t>
      </w:r>
      <w:r w:rsidRPr="008608AA">
        <w:t xml:space="preserve"> However, overharvest can combine with those impacts, which include but are not limited to changes to hydrology, connectivity, and water quality, to impair species and services further </w:t>
      </w:r>
      <w:r w:rsidRPr="008608AA">
        <w:fldChar w:fldCharType="begin" w:fldLock="1"/>
      </w:r>
      <w:r w:rsidRPr="008608AA">
        <w:instrText>ADDIN CSL_CITATION { "citationItems" : [ { "id" : "ITEM-1", "itemData" : { "DOI" : "10.1641/0006-3568(2005)055[1041:OOIW]2.0.CO;2", "author" : [ { "dropping-particle" : "", "family" : "Allan", "given" : "J David", "non-dropping-particle" : "", "parse-names" : false, "suffix" : "" }, { "dropping-particle" : "", "family" : "Abell", "given" : "Robin", "non-dropping-particle" : "", "parse-names" : false, "suffix" : "" }, { "dropping-particle" : "", "family" : "Hogan", "given" : "Zeb", "non-dropping-particle" : "", "parse-names" : false, "suffix" : "" }, { "dropping-particle" : "", "family" : "Revenga", "given" : "Carmen", "non-dropping-particle" : "", "parse-names" : false, "suffix" : "" }, { "dropping-particle" : "", "family" : "Taylor", "given" : "Brad W", "non-dropping-particle" : "", "parse-names" : false, "suffix" : "" }, { "dropping-particle" : "", "family" : "Welcomme", "given" : "Robin L", "non-dropping-particle" : "", "parse-names" : false, "suffix" : "" }, { "dropping-particle" : "", "family" : "Winemiller", "given" : "Kirk", "non-dropping-particle" : "", "parse-names" : false, "suffix" : "" } ], "container-title" : "Source: BioScience", "id" : "ITEM-1", "issue" : "12", "issued" : { "date-parts" : [ [ "2005" ] ] }, "page" : "1041-1051", "title" : "Overfishing of Inland Waters", "type" : "article-journal", "volume" : "55" }, "uris" : [ "http://www.mendeley.com/documents/?uuid=a52c58b4-8ea2-39cf-9b51-645ab5bc05dc" ] } ], "mendeley" : { "formattedCitation" : "(Allan et al., 2005)", "plainTextFormattedCitation" : "(Allan et al., 2005)", "previouslyFormattedCitation" : "(Allan et al., 2005)" }, "properties" : { "noteIndex" : 0 }, "schema" : "https://github.com/citation-style-language/schema/raw/master/csl-citation.json" }</w:instrText>
      </w:r>
      <w:r w:rsidRPr="008608AA">
        <w:fldChar w:fldCharType="separate"/>
      </w:r>
      <w:r w:rsidRPr="008608AA">
        <w:t>(Allan et al</w:t>
      </w:r>
      <w:r w:rsidR="00F16020" w:rsidRPr="008608AA">
        <w:t>.</w:t>
      </w:r>
      <w:r w:rsidRPr="008608AA">
        <w:t>, 2005)</w:t>
      </w:r>
      <w:r w:rsidRPr="008608AA">
        <w:fldChar w:fldCharType="end"/>
      </w:r>
      <w:r w:rsidRPr="008608AA">
        <w:t>.</w:t>
      </w:r>
    </w:p>
    <w:p w14:paraId="4F3843A4" w14:textId="77777777" w:rsidR="001E61A6" w:rsidRPr="008608AA" w:rsidRDefault="001E61A6" w:rsidP="009C39CE">
      <w:pPr>
        <w:keepNext/>
        <w:keepLines/>
        <w:spacing w:before="120"/>
        <w:outlineLvl w:val="3"/>
        <w:rPr>
          <w:rFonts w:eastAsia="Calibri"/>
          <w:b/>
          <w:bCs/>
          <w:iCs/>
        </w:rPr>
      </w:pPr>
      <w:bookmarkStart w:id="1651" w:name="_Toc517393374"/>
      <w:bookmarkStart w:id="1652" w:name="_Toc517394431"/>
      <w:bookmarkStart w:id="1653" w:name="_Toc517719115"/>
      <w:bookmarkStart w:id="1654" w:name="_Toc517797072"/>
      <w:r w:rsidRPr="008608AA">
        <w:rPr>
          <w:rFonts w:eastAsia="Calibri"/>
          <w:b/>
          <w:bCs/>
          <w:iCs/>
        </w:rPr>
        <w:t>Freshwater species</w:t>
      </w:r>
      <w:bookmarkEnd w:id="1651"/>
      <w:bookmarkEnd w:id="1652"/>
      <w:bookmarkEnd w:id="1653"/>
      <w:bookmarkEnd w:id="1654"/>
    </w:p>
    <w:p w14:paraId="3C87D8B9" w14:textId="78EA15E1" w:rsidR="001E61A6" w:rsidRPr="008608AA" w:rsidRDefault="001E61A6" w:rsidP="00B82C51">
      <w:pPr>
        <w:spacing w:before="120"/>
      </w:pPr>
      <w:r w:rsidRPr="008608AA">
        <w:t xml:space="preserve">Globally, most inland fisheries are comprised of small-scale fishers, whose catches are underreported by as much as a factor of two </w:t>
      </w:r>
      <w:r w:rsidRPr="008608AA">
        <w:fldChar w:fldCharType="begin" w:fldLock="1"/>
      </w:r>
      <w:r w:rsidRPr="008608AA">
        <w:instrText>ADDIN CSL_CITATION { "citationItems" : [ { "id" : "ITEM-1", "itemData" : { "author" : [ { "dropping-particle" : "", "family" : "Coates", "given" : "D.", "non-dropping-particle" : "", "parse-names" : false, "suffix" : "" } ], "id" : "ITEM-1", "issued" : { "date-parts" : [ [ "1995" ] ] }, "title" : "Inland capture fisheries and enhancement: Status, constraints, and prospects for food security. Paper presented at the Government of Japan/FAO International Conference on Sustainable Contribution of Fisheries to Food Security, Kyoto, Japan 4\u20139 December 19", "type" : "article" }, "uris" : [ "http://www.mendeley.com/documents/?uuid=c7092684-2ecd-4113-87d2-ff127b5058a9" ] } ], "mendeley" : { "formattedCitation" : "(Coates, 1995)", "plainTextFormattedCitation" : "(Coates, 1995)", "previouslyFormattedCitation" : "(Coates, 1995)" }, "properties" : { "noteIndex" : 0 }, "schema" : "https://github.com/citation-style-language/schema/raw/master/csl-citation.json" }</w:instrText>
      </w:r>
      <w:r w:rsidRPr="008608AA">
        <w:fldChar w:fldCharType="separate"/>
      </w:r>
      <w:r w:rsidRPr="008608AA">
        <w:t>(Coates</w:t>
      </w:r>
      <w:r w:rsidR="00F16020" w:rsidRPr="008608AA">
        <w:t>, 1995;</w:t>
      </w:r>
      <w:r w:rsidRPr="008608AA">
        <w:t xml:space="preserve"> Mills et al.</w:t>
      </w:r>
      <w:r w:rsidR="00F16020" w:rsidRPr="008608AA">
        <w:t>,</w:t>
      </w:r>
      <w:r w:rsidRPr="008608AA">
        <w:t xml:space="preserve"> 2011)</w:t>
      </w:r>
      <w:r w:rsidRPr="008608AA">
        <w:fldChar w:fldCharType="end"/>
      </w:r>
      <w:r w:rsidRPr="008608AA">
        <w:t>.</w:t>
      </w:r>
      <w:r w:rsidR="003814F9" w:rsidRPr="008608AA">
        <w:t xml:space="preserve"> </w:t>
      </w:r>
      <w:r w:rsidRPr="008608AA">
        <w:t xml:space="preserve">Even with underreporting the level of fisheries exploitation in Latin America has been judged to be lower than in Africa and Asia; however, specific fisheries show signs of overharvest </w:t>
      </w:r>
      <w:r w:rsidRPr="008608AA">
        <w:fldChar w:fldCharType="begin" w:fldLock="1"/>
      </w:r>
      <w:r w:rsidRPr="008608AA">
        <w:instrText>ADDIN CSL_CITATION { "citationItems" : [ { "id" : "ITEM-1", "itemData" : { "DOI" : "10.1098/rstb.2010.0168", "abstract" : "5 FAO Regional Office for Asia and the Pacific, 39 Pra Athit Road, Bangkok 10900, Thailand 6 Aquae Sulis Limited (ASL), Midway House, Turleigh, Bradford-on-Avon, Wiltshire BA15 2LR, UK The reported annual yield from inland capture fisheries in 2008 was over 10 million tonnes, although real catches are probably considerably higher than this. Inland fisheries are extremely com-plex, and in many cases poorly understood. The numerous water bodies and small rivers are inhabited by a wide range of species and several types of fisher community with diversified livelihood strategies for whom inland fisheries are extremely important. Many drivers affect the fisheries, including internal fisheries management practices. There are also many drivers from outside the fishery that influence the state and functioning of the environment as well as the social and econ-omic framework within which the fishery is pursued. The drivers affecting the various types of inland water, rivers, lakes, reservoirs and wetlands may differ, particularly with regard to ecosystem function. Many of these depend on land-use practices and demand for water which conflict with the sustainability of the fishery. Climate change is also exacerbating many of these factors. The future of inland fisheries varies between continents. In Asia and Africa the resources are very intensely exploited and there is probably little room for expansion; it is here that resources are most at risk. Inland fisheries are less heavily exploited in South and Central America, and in the North and South temperate zones inland fisheries are mostly oriented to recreation rather than food production.", "author" : [ { "dropping-particle" : "", "family" : "Welcomme", "given" : "Robin L.", "non-dropping-particle" : "", "parse-names" : false, "suffix" : "" }, { "dropping-particle" : "", "family" : "Cowx", "given" : "Ian G.", "non-dropping-particle" : "", "parse-names" : false, "suffix" : "" }, { "dropping-particle" : "", "family" : "Coates", "given" : "David", "non-dropping-particle" : "", "parse-names" : false, "suffix" : "" }, { "dropping-particle" : "", "family" : "B\u00e9n\u00e9", "given" : "Christophe", "non-dropping-particle" : "", "parse-names" : false, "suffix" : "" }, { "dropping-particle" : "", "family" : "Funge-Smith", "given" : "Simon", "non-dropping-particle" : "", "parse-names" : false, "suffix" : "" }, { "dropping-particle" : "", "family" : "Halls", "given" : "Ashley", "non-dropping-particle" : "", "parse-names" : false, "suffix" : "" }, { "dropping-particle" : "", "family" : "Lorenzen", "given" : "Kai", "non-dropping-particle" : "", "parse-names" : false, "suffix" : "" } ], "id" : "ITEM-1", "issued" : { "date-parts" : [ [ "2011" ] ] }, "title" : "Inland capture fisheries", "type" : "article-journal" }, "uris" : [ "http://www.mendeley.com/documents/?uuid=a1c64f8a-59ab-364b-98b8-94d3bae67610" ] } ], "mendeley" : { "formattedCitation" : "(Robin L. Welcomme et al., 2011)", "plainTextFormattedCitation" : "(Robin L. Welcomme et al., 2011)", "previouslyFormattedCitation" : "(Robin L. Welcomme et al., 2011)" }, "properties" : { "noteIndex" : 0 }, "schema" : "https://github.com/citation-style-language/schema/raw/master/csl-citation.json" }</w:instrText>
      </w:r>
      <w:r w:rsidRPr="008608AA">
        <w:fldChar w:fldCharType="separate"/>
      </w:r>
      <w:r w:rsidRPr="008608AA">
        <w:t>(Welcomme et al</w:t>
      </w:r>
      <w:r w:rsidR="00F16020" w:rsidRPr="008608AA">
        <w:t>.</w:t>
      </w:r>
      <w:r w:rsidRPr="008608AA">
        <w:t>, 2011; Muller-Karger et al., 2017)</w:t>
      </w:r>
      <w:r w:rsidRPr="008608AA">
        <w:fldChar w:fldCharType="end"/>
      </w:r>
      <w:r w:rsidRPr="008608AA">
        <w:t>. For instance, overfishing of valuable freshwater fish species and turtles has been documented in tributaries of the Amazon (Alho et al., 2015). In general, national governments have underinvested in monitoring inland fisheries because those fisheries a</w:t>
      </w:r>
      <w:r w:rsidR="003814F9" w:rsidRPr="008608AA">
        <w:t xml:space="preserve">re assumed to be of low value. </w:t>
      </w:r>
      <w:r w:rsidRPr="008608AA">
        <w:t xml:space="preserve">Consequently, the range of threats to those fisheries, including overexploitation, are poorly documented </w:t>
      </w:r>
      <w:r w:rsidRPr="008608AA">
        <w:fldChar w:fldCharType="begin" w:fldLock="1"/>
      </w:r>
      <w:r w:rsidRPr="008608AA">
        <w:instrText>ADDIN CSL_CITATION { "citationItems" : [ { "id" : "ITEM-1", "itemData" : { "author" : [ { "dropping-particle" : "", "family" : "FAO Committee on Fisheries", "given" : "", "non-dropping-particle" : "", "parse-names" : false, "suffix" : "" } ], "id" : "ITEM-1", "issued" : { "date-parts" : [ [ "2014" ] ] }, "title" : "Inland Fisheries: Issues, Developments and Needs", "type" : "report" }, "uris" : [ "http://www.mendeley.com/documents/?uuid=3606341b-acd9-31cd-9132-df33e3284b79" ] } ], "mendeley" : { "formattedCitation" : "(FAO Committee on Fisheries, 2014)", "plainTextFormattedCitation" : "(FAO Committee on Fisheries, 2014)", "previouslyFormattedCitation" : "(FAO Committee on Fisheries, 2014)" }, "properties" : { "noteIndex" : 0 }, "schema" : "https://github.com/citation-style-language/schema/raw/master/csl-citation.json" }</w:instrText>
      </w:r>
      <w:r w:rsidRPr="008608AA">
        <w:fldChar w:fldCharType="separate"/>
      </w:r>
      <w:r w:rsidRPr="008608AA">
        <w:t>(FAO Committee on Fisheries, 2014)</w:t>
      </w:r>
      <w:r w:rsidRPr="008608AA">
        <w:fldChar w:fldCharType="end"/>
      </w:r>
      <w:r w:rsidRPr="008608AA">
        <w:t>.</w:t>
      </w:r>
    </w:p>
    <w:p w14:paraId="42920B7F" w14:textId="02864605" w:rsidR="001E61A6" w:rsidRPr="008608AA" w:rsidRDefault="001E61A6" w:rsidP="00B82C51">
      <w:pPr>
        <w:spacing w:before="120"/>
      </w:pPr>
      <w:r w:rsidRPr="008608AA">
        <w:t>Cascading effects of freshwater overharvesting are numerous</w:t>
      </w:r>
      <w:r w:rsidR="003814F9" w:rsidRPr="008608AA">
        <w:t xml:space="preserve"> and include the phenomenon of “fishing down”,</w:t>
      </w:r>
      <w:r w:rsidRPr="008608AA">
        <w:t xml:space="preserve"> in which exploitation leads to depletion of high-value, large-bodied fish species and the consequent reduction of mean body size of harvested species </w:t>
      </w:r>
      <w:r w:rsidRPr="008608AA">
        <w:fldChar w:fldCharType="begin" w:fldLock="1"/>
      </w:r>
      <w:r w:rsidRPr="008608AA">
        <w:instrText>ADDIN CSL_CITATION { "citationItems" : [ { "id" : "ITEM-1", "itemData" : { "DOI" : "10.1046/j.1365-2400.1999.00137.x", "ISBN" : "0969-997X", "ISSN" : "0969997X", "abstract" : "The fauna of inland waters, especially in the tropics, consist of complex assemblages of numerous species, which are not accessible to analysis by conventional stock assessment methods. The formulation of policies for management and conservation requires alternative models which are capable of predicting the ways in which such assemblages change in response to fishing or other stresses. Historically, models which group species according to simple parameters have proved adequate to provide the level of advice needed to indicate ecosystem health and sustainability of yield from the fishery. Such models have received relatively little attention, and can be profitably further developed and refined. The present review concludes that, out of the various explanatory variables, the mean length of fish caught is one of the most significant together with the numbers of species in the catch and the time taken for catches in fluctuating systems to respond to floods. More complex indicators are based on emergent characteristics of the system such as the production:biomass or predator:prey ratios. Three major strategies are identified for management based on responses of fish assemblages to increases in effort.", "author" : [ { "dropping-particle" : "", "family" : "Welcomme", "given" : "R. L.", "non-dropping-particle" : "", "parse-names" : false, "suffix" : "" } ], "container-title" : "Fisheries Management and Ecology", "id" : "ITEM-1", "issue" : "1", "issued" : { "date-parts" : [ [ "1999" ] ] }, "page" : "1-19", "title" : "A review of a model for qualitative evaluation of exploitation levels in multi-species fisheries", "type" : "article-journal", "volume" : "6" }, "uris" : [ "http://www.mendeley.com/documents/?uuid=c24773d1-e940-4c47-9e8e-6f9238831bed" ] } ], "mendeley" : { "formattedCitation" : "(R. L. Welcomme, 1999)", "plainTextFormattedCitation" : "(R. L. Welcomme, 1999)", "previouslyFormattedCitation" : "(R. L. Welcomme, 1999)" }, "properties" : { "noteIndex" : 0 }, "schema" : "https://github.com/citation-style-language/schema/raw/master/csl-citation.json" }</w:instrText>
      </w:r>
      <w:r w:rsidRPr="008608AA">
        <w:fldChar w:fldCharType="separate"/>
      </w:r>
      <w:r w:rsidRPr="008608AA">
        <w:t>(Welcomme</w:t>
      </w:r>
      <w:r w:rsidR="00F16020" w:rsidRPr="008608AA">
        <w:t>, 1999;</w:t>
      </w:r>
      <w:r w:rsidRPr="008608AA">
        <w:t xml:space="preserve"> Pauly </w:t>
      </w:r>
      <w:r w:rsidR="00124E51" w:rsidRPr="008608AA">
        <w:t>&amp;</w:t>
      </w:r>
      <w:r w:rsidRPr="008608AA">
        <w:t xml:space="preserve"> Palomares, 2005)</w:t>
      </w:r>
      <w:r w:rsidRPr="008608AA">
        <w:fldChar w:fldCharType="end"/>
      </w:r>
      <w:r w:rsidRPr="008608AA">
        <w:t xml:space="preserve">. This has been documented in the Amazon and elsewhere, with implications for food web structure, water quality, and nutrient cycles; these changes, in turn, have been implicated in the ecological extinction of species like manatees </w:t>
      </w:r>
      <w:r w:rsidRPr="008608AA">
        <w:fldChar w:fldCharType="begin" w:fldLock="1"/>
      </w:r>
      <w:r w:rsidRPr="008608AA">
        <w:instrText>ADDIN CSL_CITATION { "citationItems" : [ { "id" : "ITEM-1", "itemData" : { "DOI" : "10.1111/conl.12008", "ISBN" : "1755-263X", "ISSN" : "1755263X", "abstract" : "The hydrological connectivity of freshwater ecosystems in the Amazon basin makes them highly sensitive to a broad range of anthropogenic activities occur- ring in aquatic and terrestrial systems at local and distant locations. Amazon freshwater ecosystems are suffering escalating impacts caused by expansions in deforestation, pollution, construction of dams and waterways, and over- harvesting of animal and plant species. The natural functions of these ecosys- tems are changing, and their capacity to provide historically important goods and services is declining. Existing management policies\u2014including national water resources legislation, community-based natural resource management schemes, and the protected area network that now epitomizes the Amazon conservation paradigm\u2014cannot adequately curb most impacts. Such manage- ment strategies are intended to conserve terrestrial ecosystems, have design and implementation deficiencies, or fail to account for the hydrologic connec- tivity of freshwater ecosystems. There is an urgent need to shift the Amazon conservation paradigm, broadening its current forest-centric focus to encom- pass the freshwater ecosystems that are vital components of the basin. This is possible by developing a river catchment-based conservation framework for the whole basin that protects both aquatic and terrestrial ecosystems. Introduction", "author" : [ { "dropping-particle" : "", "family" : "Castello", "given" : "Leandro", "non-dropping-particle" : "", "parse-names" : false, "suffix" : "" }, { "dropping-particle" : "", "family" : "Mcgrath", "given" : "David G.", "non-dropping-particle" : "", "parse-names" : false, "suffix" : "" }, { "dropping-particle" : "", "family" : "Hess", "given" : "Laura L.", "non-dropping-particle" : "", "parse-names" : false, "suffix" : "" }, { "dropping-particle" : "", "family" : "Coe", "given" : "Michael T.", "non-dropping-particle" : "", "parse-names" : false, "suffix" : "" }, { "dropping-particle" : "", "family" : "Lefebvre", "given" : "Paul A.", "non-dropping-particle" : "", "parse-names" : false, "suffix" : "" }, { "dropping-particle" : "", "family" : "Petry", "given" : "Paulo", "non-dropping-particle" : "", "parse-names" : false, "suffix" : "" }, { "dropping-particle" : "", "family" : "Macedo", "given" : "Marcia N.", "non-dropping-particle" : "", "parse-names" : false, "suffix" : "" }, { "dropping-particle" : "", "family" : "Ren\u00f3", "given" : "Vivian F.", "non-dropping-particle" : "", "parse-names" : false, "suffix" : "" }, { "dropping-particle" : "", "family" : "Arantes", "given" : "Caroline C.", "non-dropping-particle" : "", "parse-names" : false, "suffix" : "" } ], "container-title" : "Conservation Letters", "id" : "ITEM-1", "issued" : { "date-parts" : [ [ "2013" ] ] }, "title" : "The vulnerability of Amazon freshwater ecosystems", "type" : "article" }, "uris" : [ "http://www.mendeley.com/documents/?uuid=9df2b79c-8372-3281-9e1d-a89d298796a9" ] } ], "mendeley" : { "formattedCitation" : "(Castello et al., 2013)", "plainTextFormattedCitation" : "(Castello et al., 2013)", "previouslyFormattedCitation" : "(Castello et al., 2013)" }, "properties" : { "noteIndex" : 0 }, "schema" : "https://github.com/citation-style-language/schema/raw/master/csl-citation.json" }</w:instrText>
      </w:r>
      <w:r w:rsidRPr="008608AA">
        <w:fldChar w:fldCharType="separate"/>
      </w:r>
      <w:r w:rsidRPr="008608AA">
        <w:t>(Castello et al</w:t>
      </w:r>
      <w:r w:rsidR="00F16020" w:rsidRPr="008608AA">
        <w:t>.</w:t>
      </w:r>
      <w:r w:rsidRPr="008608AA">
        <w:t>, 2013</w:t>
      </w:r>
      <w:r w:rsidRPr="008608AA">
        <w:fldChar w:fldCharType="end"/>
      </w:r>
      <w:r w:rsidRPr="008608AA">
        <w:t xml:space="preserve">; </w:t>
      </w:r>
      <w:r w:rsidRPr="008608AA">
        <w:fldChar w:fldCharType="begin" w:fldLock="1"/>
      </w:r>
      <w:r w:rsidRPr="008608AA">
        <w:instrText>ADDIN CSL_CITATION { "citationItems" : [ { "id" : "ITEM-1", "itemData" : { "DOI" : "10.1002/aqc.2491", "ISSN" : "10990755", "abstract" : "1. Science and policy worldwide are influenced by predictions from bioeconomic theory that fishing cannot lead fish populations to extinction because fishing effort inevitably moves away from depleted resources. Yet such predictions contradict evidence of fishing-induced extinctions and in particular a model, called \u2018fishing-down\u2019, that explains historical reductions in mean size of harvested species in tropical multispecies fisheries through the gradual depletion and extinction of large-bodied species. 2. This study analysed data on fisheries for Arapaima spp., the most historically important and overexploited fishes of the Amazon Basin, to evaluate whether they supported bioeconomic or fishing-down predictions. The evaluation was based on census data on arapaima populations and interview data from 182 fishers with respect to fishing practices and management regulations, which were collected in 81 fishing communities covering 1040km2 of Amazonian floodplains. 3. Arapaima populations were found to be \u2018depleted\u2019 in 76% of the fishing communities, \u2018overexploited\u2019 in 17%, \u2018well-managed\u2019 in 5%, and \u2018unfished\u2019 in only 2%. Population densities were zero (i.e. locally extinct) in 19% of the communities. Twenty-three per cent of the fishers in each community harvested arapaima regardless of population status. Similarly, the percentage of the catch in compliance with the size regulation did not vary with population status, but compliance with the season regulation in communities with \u2018overexploited\u2019 or \u2018depleted\u2019 populations (72%) was lower than in communities with \u2018well-managed\u2019 or \u2018unfished\u2019 populations (97%). 4. These results support fishing-down predictions that fishing pressure continues to occur even when fish populations are depleted. The fishing-down process appeared to occur because of low gear selectivity and larger body-size of target species as well as high species value and low fishing costs. These results and available data elsewhere suggest that fishing-induced extinctions are more common than previously thought, endangering biodiversity and ecosystem functioning. Such extinctions are probably going unnoticed because high levels of illegal fishing, geographic heterogeneity, and data scarcity make their identification difficult", "author" : [ { "dropping-particle" : "", "family" : "Castello", "given" : "Leandro", "non-dropping-particle" : "", "parse-names" : false, "suffix" : "" }, { "dropping-particle" : "", "family" : "Arantes", "given" : "Caroline Chaves", "non-dropping-particle" : "", "parse-names" : false, "suffix" : "" }, { "dropping-particle" : "", "family" : "Mcgrath", "given" : "David Gibbs", "non-dropping-particle" : "", "parse-names" : false, "suffix" : "" }, { "dropping-particle" : "", "family" : "Stewart", "given" : "Donald James", "non-dropping-particle" : "", "parse-names" : false, "suffix" : "" }, { "dropping-particle" : "", "family" : "Sousa", "given" : "Fabio Sarmento", "non-dropping-particle" : "De", "parse-names" : false, "suffix" : "" } ], "container-title" : "Aquatic Conservation: Marine and Freshwater Ecosystems", "id" : "ITEM-1", "issued" : { "date-parts" : [ [ "2015" ] ] }, "title" : "Understanding fishing-induced extinctions in the Amazon", "type" : "article-journal" }, "uris" : [ "http://www.mendeley.com/documents/?uuid=a14343fa-8883-33e2-889d-465803a69465" ] } ], "mendeley" : { "formattedCitation" : "(Castello, Arantes, Mcgrath, Stewart, &amp; De Sousa, 2015)", "plainTextFormattedCitation" : "(Castello, Arantes, Mcgrath, Stewart, &amp; De Sousa, 2015)", "previouslyFormattedCitation" : "(Castello, Arantes, Mcgrath, Stewart, &amp; De Sousa, 2015)" }, "properties" : { "noteIndex" : 0 }, "schema" : "https://github.com/citation-style-language/schema/raw/master/csl-citation.json" }</w:instrText>
      </w:r>
      <w:r w:rsidRPr="008608AA">
        <w:fldChar w:fldCharType="separate"/>
      </w:r>
      <w:r w:rsidRPr="008608AA">
        <w:t>Castello et al</w:t>
      </w:r>
      <w:r w:rsidR="00F16020" w:rsidRPr="008608AA">
        <w:t>.</w:t>
      </w:r>
      <w:r w:rsidRPr="008608AA">
        <w:t>, 2015)</w:t>
      </w:r>
      <w:r w:rsidRPr="008608AA">
        <w:fldChar w:fldCharType="end"/>
      </w:r>
      <w:r w:rsidRPr="008608AA">
        <w:t>.</w:t>
      </w:r>
    </w:p>
    <w:p w14:paraId="77CFDC41" w14:textId="77777777" w:rsidR="001E61A6" w:rsidRPr="008608AA" w:rsidRDefault="001E61A6" w:rsidP="009C39CE">
      <w:pPr>
        <w:keepNext/>
        <w:keepLines/>
        <w:spacing w:before="120"/>
        <w:outlineLvl w:val="3"/>
        <w:rPr>
          <w:rFonts w:eastAsia="Calibri"/>
          <w:b/>
          <w:bCs/>
          <w:iCs/>
        </w:rPr>
      </w:pPr>
      <w:bookmarkStart w:id="1655" w:name="_Toc517393375"/>
      <w:bookmarkStart w:id="1656" w:name="_Toc517394432"/>
      <w:bookmarkStart w:id="1657" w:name="_Toc517719116"/>
      <w:bookmarkStart w:id="1658" w:name="_Toc517797073"/>
      <w:r w:rsidRPr="008608AA">
        <w:rPr>
          <w:rFonts w:eastAsia="Calibri"/>
          <w:b/>
          <w:bCs/>
          <w:iCs/>
        </w:rPr>
        <w:t>Marine</w:t>
      </w:r>
      <w:bookmarkEnd w:id="1655"/>
      <w:bookmarkEnd w:id="1656"/>
      <w:bookmarkEnd w:id="1657"/>
      <w:bookmarkEnd w:id="1658"/>
    </w:p>
    <w:p w14:paraId="7C4190A3" w14:textId="35CA00B2" w:rsidR="001E61A6" w:rsidRPr="008608AA" w:rsidRDefault="001E61A6" w:rsidP="00B82C51">
      <w:pPr>
        <w:spacing w:before="120"/>
      </w:pPr>
      <w:r w:rsidRPr="008608AA">
        <w:t>The most significant driver of overharvesting in the marine environment is fishing. With population growth and incomes rising, the demand for seafood continues to grow for both human consumption and feed for livestock and aquaculture. Fishing remains a key source of food and employment for millions of people in the Americas and a significant factor in regional economies.  About 2.4 million fishers and 10% of the world’s motorized fishing vessels are in the Americas (FAO</w:t>
      </w:r>
      <w:r w:rsidR="00F16020" w:rsidRPr="008608AA">
        <w:t>,</w:t>
      </w:r>
      <w:r w:rsidRPr="008608AA">
        <w:t xml:space="preserve"> 2016c), landing 18.5 million metric tons of seafood in 2013 (FAO, 2016b). From 1961 to 2013, the per capita annual seafood consumption in the Americas rose 26% from 7.9 to 10.7 </w:t>
      </w:r>
      <w:r w:rsidR="006A7CB5" w:rsidRPr="008608AA">
        <w:t>kg (FAO, 2016a). Different large marine e</w:t>
      </w:r>
      <w:r w:rsidRPr="008608AA">
        <w:t xml:space="preserve">cosystems of the Americas (Sherman et al., 2005; Sherman </w:t>
      </w:r>
      <w:r w:rsidR="00BA115A" w:rsidRPr="008608AA">
        <w:t>&amp;</w:t>
      </w:r>
      <w:r w:rsidRPr="008608AA">
        <w:t xml:space="preserve"> Hamukuaya, 2016) show different top-down pressures and strong regional differences in oceanographic properties which shape the diversity and abundance of the catch within these regions (Muller-Karger et al., 2017).</w:t>
      </w:r>
      <w:r w:rsidR="006A7CB5" w:rsidRPr="008608AA">
        <w:t xml:space="preserve"> </w:t>
      </w:r>
      <w:r w:rsidRPr="008608AA">
        <w:t>The adoption of more efficient fishing technologies has also contributed to the rapid depletion of fish stocks, the endangerment of charismatic marine species, and the loss and degradation of marine habitats. An estimated 34% of the assessed stocks in geographic areas surrounding the Americas (FAO regions 67, 77, 87, 21, 31, and 41) were deemed overexploited in 2009 (FAO</w:t>
      </w:r>
      <w:r w:rsidR="00BA115A" w:rsidRPr="008608AA">
        <w:t>,</w:t>
      </w:r>
      <w:r w:rsidRPr="008608AA">
        <w:t xml:space="preserve"> 2011)</w:t>
      </w:r>
      <w:r w:rsidRPr="008608AA">
        <w:rPr>
          <w:sz w:val="20"/>
        </w:rPr>
        <w:t xml:space="preserve">. </w:t>
      </w:r>
      <w:r w:rsidRPr="008608AA">
        <w:t>However, the adoption of fishing technologies has been documented to have positive effects as well, such as much lower bycatches and less habitat impacts.</w:t>
      </w:r>
    </w:p>
    <w:p w14:paraId="7A56B41F" w14:textId="77777777" w:rsidR="001E61A6" w:rsidRPr="008608AA" w:rsidRDefault="001E61A6" w:rsidP="00B82C51">
      <w:pPr>
        <w:spacing w:before="120"/>
      </w:pPr>
      <w:r w:rsidRPr="008608AA">
        <w:t>Invertebrates like squids, shrimps, lobsters, crabs, oysters, and sea cucumbers account for roughly 20% – 3.7 million tons – of the seafood caught in the Americas in 2013 (FishStatJ, 2016). Many of these fisheries and their habitats are at risk from overexploitation. For example, 85% of the world’s oyster reefs have disappeared since the late 19th century, largely due to habitat degradation, with many formerly prolific reefs rendered “functionally extinct.” Overharvesting is the main cause of oyster reef loss, however direct habitat loss is also a significant problem caused by commercial ship traffic, pollution, and aquaculture, among others. Other invertebrates, like seas cucumbers, have plummeted across the Americas due to high demand from Asian markets.</w:t>
      </w:r>
    </w:p>
    <w:p w14:paraId="6B4913A7" w14:textId="65A652BD" w:rsidR="001E61A6" w:rsidRPr="008608AA" w:rsidRDefault="001E61A6" w:rsidP="00B82C51">
      <w:pPr>
        <w:spacing w:before="120"/>
      </w:pPr>
      <w:r w:rsidRPr="008608AA">
        <w:t>A consequence of fishing is the unintended catch of fish and other marine organisms, also known as bycatch. Hundreds of thousands of sea turtles, seabirds, whales, dolphins, and porpoises die globally each year from being caught as bycatch in regular fishing operations. As many as 200,000 loggerhead turtles and 50,000 critically endangered leatherbacks were killed as bycatch on longlines in 2000 (Lewison et al</w:t>
      </w:r>
      <w:r w:rsidR="00BA115A" w:rsidRPr="008608AA">
        <w:t>.</w:t>
      </w:r>
      <w:r w:rsidRPr="008608AA">
        <w:t>, 2004); longlining is also estimated to kill between 160,000 to 320,000 seabirds annually (Anderson et al</w:t>
      </w:r>
      <w:r w:rsidR="00BA115A" w:rsidRPr="008608AA">
        <w:t>.</w:t>
      </w:r>
      <w:r w:rsidRPr="008608AA">
        <w:t xml:space="preserve">, 2011). Several studies report that the use of bycatch reduction devices can successfully reduce bycatch species while maintaining target catch rates (Favaro </w:t>
      </w:r>
      <w:r w:rsidR="00BA115A" w:rsidRPr="008608AA">
        <w:t>&amp;</w:t>
      </w:r>
      <w:r w:rsidRPr="008608AA">
        <w:t xml:space="preserve"> Côté</w:t>
      </w:r>
      <w:r w:rsidR="00BA115A" w:rsidRPr="008608AA">
        <w:t>,</w:t>
      </w:r>
      <w:r w:rsidRPr="008608AA">
        <w:t xml:space="preserve"> 2013; Pelc et al</w:t>
      </w:r>
      <w:r w:rsidR="00BA115A" w:rsidRPr="008608AA">
        <w:t>.,</w:t>
      </w:r>
      <w:r w:rsidRPr="008608AA">
        <w:t xml:space="preserve"> 2015). The vaquita, a small porpoise in Mexico’s Gulf of California, have been driven towards extinction as they are killed after getting entangled in gillnets used to catch shrimp and other fish; only 30 are estimated to remain (Morell, 2017).</w:t>
      </w:r>
    </w:p>
    <w:p w14:paraId="6D83DA63" w14:textId="414C484C" w:rsidR="001E61A6" w:rsidRPr="008608AA" w:rsidRDefault="001E61A6" w:rsidP="00B82C51">
      <w:pPr>
        <w:spacing w:before="120"/>
      </w:pPr>
      <w:r w:rsidRPr="008608AA">
        <w:t>Sharks and rays are severely overfished globally, with an estimated 97 million caught each year either in direct target fisheries or as bycatch in other fisheries (Clarke et al</w:t>
      </w:r>
      <w:r w:rsidR="00BA115A" w:rsidRPr="008608AA">
        <w:t>.</w:t>
      </w:r>
      <w:r w:rsidRPr="008608AA">
        <w:t>, 2013). One-quarter of the 1,041 assessed sharks, rays, and chimaeras are threatened under the IUCN Red List criteria due to overfishing, however nearly half are considered too data-deficient to be classified. Many shark species are pelagic and migratory—some with a circumglobal distribution across temperate and tropical oceans—meaning that overharvesting of sharks in the Americas contribute to a global problem. Only 23 sharks and rays had been listed under CITES up to 2016, when an additional 13 species of sharks and rays were listed. Trade restrictions on listed species and bans on shark finning have increased during the last decade, however they have not significantly reduced shark mortality or risk to threatened species (Davidson et al</w:t>
      </w:r>
      <w:r w:rsidR="00BA115A" w:rsidRPr="008608AA">
        <w:t>.</w:t>
      </w:r>
      <w:r w:rsidRPr="008608AA">
        <w:t xml:space="preserve">, </w:t>
      </w:r>
      <w:r w:rsidR="006A7CB5" w:rsidRPr="008608AA">
        <w:t>2016). Some countries, such as T</w:t>
      </w:r>
      <w:r w:rsidRPr="008608AA">
        <w:t>he Bahamas, have implemented a national ban on the harvest of sharks, protecting more than 40 species of sharks.</w:t>
      </w:r>
    </w:p>
    <w:p w14:paraId="765DF761" w14:textId="509D22F0" w:rsidR="001E61A6" w:rsidRPr="008608AA" w:rsidRDefault="001E61A6" w:rsidP="00B82C51">
      <w:pPr>
        <w:spacing w:before="120"/>
      </w:pPr>
      <w:r w:rsidRPr="008608AA">
        <w:t xml:space="preserve">Additional drivers of overharvesting in the America’s marine environment include hunting, aquarium trade, medicinal use, and entanglement in fishing and marine gears. Turtles, narwhals, and corals are harvested for ornamental and jewellery making, and live fish, corals, and invertebrates are harvested for the aquarium and pet trade. Some species like sea horses are also targeted for traditional medicinal use primarily in Asian markets. Direct harvest of non-fish species, like seals, otters and whales, has seen a reduction since the peak of these industries almost a century ago, but some of these species continue to be harvested, particularly in Canada. An estimated 308,000 whales and dolphins die each year from the consequences of entanglement in fishing gear, laceration, infection, and starvation) (International Whaling Commission </w:t>
      </w:r>
      <w:hyperlink r:id="rId989" w:history="1">
        <w:r w:rsidR="00504AD7" w:rsidRPr="008608AA">
          <w:rPr>
            <w:rStyle w:val="Hyperlink"/>
          </w:rPr>
          <w:t>https://iwc.int/entanglement</w:t>
        </w:r>
      </w:hyperlink>
      <w:r w:rsidRPr="008608AA">
        <w:t xml:space="preserve">).  </w:t>
      </w:r>
    </w:p>
    <w:p w14:paraId="0DE84857" w14:textId="77777777" w:rsidR="001E61A6" w:rsidRPr="008608AA" w:rsidRDefault="001E61A6" w:rsidP="00B82C51">
      <w:pPr>
        <w:pStyle w:val="Heading4"/>
        <w:numPr>
          <w:ilvl w:val="0"/>
          <w:numId w:val="0"/>
        </w:numPr>
        <w:spacing w:before="120" w:line="240" w:lineRule="auto"/>
      </w:pPr>
      <w:bookmarkStart w:id="1659" w:name="_Toc517393376"/>
      <w:bookmarkStart w:id="1660" w:name="_Toc517394433"/>
      <w:bookmarkStart w:id="1661" w:name="_Toc517719117"/>
      <w:bookmarkStart w:id="1662" w:name="_Toc517797074"/>
      <w:r w:rsidRPr="008608AA">
        <w:t>North America</w:t>
      </w:r>
      <w:bookmarkEnd w:id="1659"/>
      <w:bookmarkEnd w:id="1660"/>
      <w:bookmarkEnd w:id="1661"/>
      <w:bookmarkEnd w:id="1662"/>
    </w:p>
    <w:p w14:paraId="232BEE13" w14:textId="77777777" w:rsidR="001E61A6" w:rsidRPr="008608AA" w:rsidRDefault="001E61A6" w:rsidP="009C39CE">
      <w:pPr>
        <w:spacing w:before="120"/>
        <w:rPr>
          <w:b/>
        </w:rPr>
      </w:pPr>
      <w:r w:rsidRPr="008608AA">
        <w:rPr>
          <w:b/>
        </w:rPr>
        <w:t>Terrestrial</w:t>
      </w:r>
    </w:p>
    <w:p w14:paraId="675918C8" w14:textId="56DEEE94" w:rsidR="001E61A6" w:rsidRPr="008608AA" w:rsidRDefault="001E61A6" w:rsidP="00B82C51">
      <w:pPr>
        <w:spacing w:before="120"/>
      </w:pPr>
      <w:r w:rsidRPr="008608AA">
        <w:t>An example of an overharvested plant in North America is American ginseng (</w:t>
      </w:r>
      <w:r w:rsidRPr="008608AA">
        <w:rPr>
          <w:i/>
          <w:iCs/>
        </w:rPr>
        <w:t>Panax</w:t>
      </w:r>
      <w:r w:rsidR="00504AD7" w:rsidRPr="008608AA">
        <w:rPr>
          <w:i/>
          <w:iCs/>
        </w:rPr>
        <w:t xml:space="preserve"> </w:t>
      </w:r>
      <w:r w:rsidRPr="008608AA">
        <w:rPr>
          <w:i/>
          <w:iCs/>
        </w:rPr>
        <w:t>quinquefolius</w:t>
      </w:r>
      <w:r w:rsidRPr="008608AA">
        <w:t>), a species found in the temperate eastern forests and is prized for its medicinal properties that has received increased scientific and commercial attention.</w:t>
      </w:r>
      <w:r w:rsidRPr="008608AA">
        <w:rPr>
          <w:b/>
        </w:rPr>
        <w:t xml:space="preserve"> </w:t>
      </w:r>
      <w:r w:rsidRPr="008608AA">
        <w:t>Due to the plant’s very specialized growing environment and demand in the commercial market, it has started to reach an endangered status in some areas (McGraw et al</w:t>
      </w:r>
      <w:r w:rsidR="00BA115A" w:rsidRPr="008608AA">
        <w:t>.</w:t>
      </w:r>
      <w:r w:rsidRPr="008608AA">
        <w:t>, 2010). Acts, such as the Endangered Species Act, have succeeded in reducing the harvest of rare species, preventing the extinction of hundreds of additional American wildlife species since 1973 (Adkins</w:t>
      </w:r>
      <w:r w:rsidR="00BA115A" w:rsidRPr="008608AA">
        <w:t>,</w:t>
      </w:r>
      <w:r w:rsidRPr="008608AA">
        <w:t xml:space="preserve"> 2016).</w:t>
      </w:r>
    </w:p>
    <w:p w14:paraId="60188E3D" w14:textId="77777777" w:rsidR="001E61A6" w:rsidRPr="008608AA" w:rsidRDefault="001E61A6" w:rsidP="009C39CE">
      <w:pPr>
        <w:spacing w:before="120"/>
        <w:rPr>
          <w:b/>
        </w:rPr>
      </w:pPr>
      <w:r w:rsidRPr="008608AA">
        <w:rPr>
          <w:b/>
        </w:rPr>
        <w:t>Freshwater</w:t>
      </w:r>
    </w:p>
    <w:p w14:paraId="2915B558" w14:textId="7B7A006E" w:rsidR="001E61A6" w:rsidRPr="008608AA" w:rsidRDefault="001E61A6" w:rsidP="00B82C51">
      <w:pPr>
        <w:spacing w:before="120"/>
      </w:pPr>
      <w:r w:rsidRPr="008608AA">
        <w:t xml:space="preserve">While loss of spawning beds and pollution contributed, overfishing in the Great Lakes is a good example of inland surface water overharvesting that has caused whitefish, walleye, and sturgeon populations to decline. Recreational fisheries are also poorly documented, by and large; in Canada, however, the collapse of four inland fisheries has been associated with recreational fishing </w:t>
      </w:r>
      <w:r w:rsidRPr="008608AA">
        <w:fldChar w:fldCharType="begin" w:fldLock="1"/>
      </w:r>
      <w:r w:rsidRPr="008608AA">
        <w:instrText>ADDIN CSL_CITATION { "citationItems" : [ { "id" : "ITEM-1", "itemData" : { "ISSN" : "2070-6065", "author" : [ { "dropping-particle" : "", "family" : "Cooke", "given" : "S.J.", "non-dropping-particle" : "", "parse-names" : false, "suffix" : "" }, { "dropping-particle" : "", "family" : "Cowx", "given" : "I.G.", "non-dropping-particle" : "", "parse-names" : false, "suffix" : "" } ], "id" : "ITEM-1", "issued" : { "date-parts" : [ [ "2004" ] ] }, "title" : "REVIEW OF THE STATE OF THE WORLD FISHERY RESOURCES: INLAND FISHERIES", "type" : "report" }, "uris" : [ "http://www.mendeley.com/documents/?uuid=dbaff255-dfd5-390e-b743-f2a040a48437" ] } ], "mendeley" : { "formattedCitation" : "(Cooke &amp; Cowx, 2004)", "plainTextFormattedCitation" : "(Cooke &amp; Cowx, 2004)", "previouslyFormattedCitation" : "(Cooke &amp; Cowx, 2004)" }, "properties" : { "noteIndex" : 0 }, "schema" : "https://github.com/citation-style-language/schema/raw/master/csl-citation.json" }</w:instrText>
      </w:r>
      <w:r w:rsidRPr="008608AA">
        <w:fldChar w:fldCharType="separate"/>
      </w:r>
      <w:r w:rsidRPr="008608AA">
        <w:t xml:space="preserve">(Cooke </w:t>
      </w:r>
      <w:r w:rsidR="00BA115A" w:rsidRPr="008608AA">
        <w:t>&amp;</w:t>
      </w:r>
      <w:r w:rsidRPr="008608AA">
        <w:t xml:space="preserve"> Cowx, 2004)</w:t>
      </w:r>
      <w:r w:rsidRPr="008608AA">
        <w:fldChar w:fldCharType="end"/>
      </w:r>
      <w:r w:rsidRPr="008608AA">
        <w:t xml:space="preserve">. Within coastal and inland rivers, the well-documented decline of Pacific salmon and other anadromous fish species as a result of overfishing, dams, and other threats has led to cascading effects including the loss of nutrient inputs to terrestrial systems </w:t>
      </w:r>
      <w:r w:rsidRPr="008608AA">
        <w:fldChar w:fldCharType="begin" w:fldLock="1"/>
      </w:r>
      <w:r w:rsidRPr="008608AA">
        <w:instrText>ADDIN CSL_CITATION { "citationItems" : [ { "id" : "ITEM-1", "itemData" : { "DOI" : "10.1641/0006-3568(2005)055[1041:OOIW]2.0.CO;2", "author" : [ { "dropping-particle" : "", "family" : "Allan", "given" : "J David", "non-dropping-particle" : "", "parse-names" : false, "suffix" : "" }, { "dropping-particle" : "", "family" : "Abell", "given" : "Robin", "non-dropping-particle" : "", "parse-names" : false, "suffix" : "" }, { "dropping-particle" : "", "family" : "Hogan", "given" : "Zeb", "non-dropping-particle" : "", "parse-names" : false, "suffix" : "" }, { "dropping-particle" : "", "family" : "Revenga", "given" : "Carmen", "non-dropping-particle" : "", "parse-names" : false, "suffix" : "" }, { "dropping-particle" : "", "family" : "Taylor", "given" : "Brad W", "non-dropping-particle" : "", "parse-names" : false, "suffix" : "" }, { "dropping-particle" : "", "family" : "Welcomme", "given" : "Robin L", "non-dropping-particle" : "", "parse-names" : false, "suffix" : "" }, { "dropping-particle" : "", "family" : "Winemiller", "given" : "Kirk", "non-dropping-particle" : "", "parse-names" : false, "suffix" : "" } ], "container-title" : "Source: BioScience", "id" : "ITEM-1", "issue" : "12", "issued" : { "date-parts" : [ [ "2005" ] ] }, "page" : "1041-1051", "title" : "Overfishing of Inland Waters", "type" : "article-journal", "volume" : "55" }, "uris" : [ "http://www.mendeley.com/documents/?uuid=a52c58b4-8ea2-39cf-9b51-645ab5bc05dc" ] } ], "mendeley" : { "formattedCitation" : "(Allan et al., 2005)", "plainTextFormattedCitation" : "(Allan et al., 2005)", "previouslyFormattedCitation" : "(Allan et al., 2005)" }, "properties" : { "noteIndex" : 0 }, "schema" : "https://github.com/citation-style-language/schema/raw/master/csl-citation.json" }</w:instrText>
      </w:r>
      <w:r w:rsidRPr="008608AA">
        <w:fldChar w:fldCharType="separate"/>
      </w:r>
      <w:r w:rsidRPr="008608AA">
        <w:t>(Marcarelli et al.</w:t>
      </w:r>
      <w:r w:rsidR="00BA115A" w:rsidRPr="008608AA">
        <w:t>,</w:t>
      </w:r>
      <w:r w:rsidRPr="008608AA">
        <w:t xml:space="preserve"> 2014)</w:t>
      </w:r>
      <w:r w:rsidRPr="008608AA">
        <w:fldChar w:fldCharType="end"/>
      </w:r>
      <w:r w:rsidRPr="008608AA">
        <w:t>. Four native freshwater turtle species (</w:t>
      </w:r>
      <w:r w:rsidRPr="008608AA">
        <w:rPr>
          <w:i/>
          <w:iCs/>
        </w:rPr>
        <w:t>Chelydra serpentine</w:t>
      </w:r>
      <w:r w:rsidRPr="008608AA">
        <w:t xml:space="preserve">, </w:t>
      </w:r>
      <w:r w:rsidRPr="008608AA">
        <w:rPr>
          <w:i/>
          <w:iCs/>
        </w:rPr>
        <w:t>Apalone</w:t>
      </w:r>
      <w:r w:rsidR="00504AD7" w:rsidRPr="008608AA">
        <w:rPr>
          <w:i/>
          <w:iCs/>
        </w:rPr>
        <w:t xml:space="preserve"> </w:t>
      </w:r>
      <w:r w:rsidRPr="008608AA">
        <w:rPr>
          <w:i/>
          <w:iCs/>
        </w:rPr>
        <w:t>ferox</w:t>
      </w:r>
      <w:r w:rsidRPr="008608AA">
        <w:t xml:space="preserve">, </w:t>
      </w:r>
      <w:r w:rsidRPr="008608AA">
        <w:rPr>
          <w:i/>
          <w:iCs/>
        </w:rPr>
        <w:t>Apalone</w:t>
      </w:r>
      <w:r w:rsidR="00504AD7" w:rsidRPr="008608AA">
        <w:rPr>
          <w:i/>
          <w:iCs/>
        </w:rPr>
        <w:t xml:space="preserve"> </w:t>
      </w:r>
      <w:r w:rsidRPr="008608AA">
        <w:rPr>
          <w:i/>
          <w:iCs/>
        </w:rPr>
        <w:t>mutica</w:t>
      </w:r>
      <w:r w:rsidRPr="008608AA">
        <w:t xml:space="preserve">, and </w:t>
      </w:r>
      <w:r w:rsidRPr="008608AA">
        <w:rPr>
          <w:i/>
          <w:iCs/>
        </w:rPr>
        <w:t>Apalone</w:t>
      </w:r>
      <w:r w:rsidR="00504AD7" w:rsidRPr="008608AA">
        <w:rPr>
          <w:i/>
          <w:iCs/>
        </w:rPr>
        <w:t xml:space="preserve"> </w:t>
      </w:r>
      <w:r w:rsidRPr="008608AA">
        <w:rPr>
          <w:i/>
          <w:iCs/>
        </w:rPr>
        <w:t>spinifera</w:t>
      </w:r>
      <w:r w:rsidRPr="008608AA">
        <w:t xml:space="preserve">) now require increased protection driven by trade to Asia </w:t>
      </w:r>
      <w:r w:rsidRPr="008608AA">
        <w:fldChar w:fldCharType="begin" w:fldLock="1"/>
      </w:r>
      <w:r w:rsidRPr="008608AA">
        <w:instrText>ADDIN CSL_CITATION { "citationItems" : [ { "id" : "ITEM-1", "itemData" : { "DOI" : "10.1017/CBO9781107415324.004", "ISBN" : "9788578110796", "ISSN" : "1098-6596", "PMID" : "25246403", "author" : [ { "dropping-particle" : "", "family" : "U.S. Department of the Interior Fish and Wildlife Service", "given" : "", "non-dropping-particle" : "", "parse-names" : false, "suffix" : "" } ], "container-title" : "Notice of Intent to Include Four Native U.S. Freshwater Turtle Species in Appendix III of the Convention on International Trade in Endangered Species of Wild Fauna and Flora (CITES)", "id" : "ITEM-1", "issued" : { "date-parts" : [ [ "2014" ] ] }, "page" : "1-35", "title" : "No Title No Title", "type" : "legislation" }, "uris" : [ "http://www.mendeley.com/documents/?uuid=fc3eb2d4-522d-44cc-913c-c894d89ca58a" ] } ], "mendeley" : { "formattedCitation" : "(U.S. Department of the Interior Fish and Wildlife Service, 2014)", "plainTextFormattedCitation" : "(U.S. Department of the Interior Fish and Wildlife Service, 2014)", "previouslyFormattedCitation" : "(U.S. Department of the Interior Fish and Wildlife Service, 2014)" }, "properties" : { "noteIndex" : 0 }, "schema" : "https://github.com/citation-style-language/schema/raw/master/csl-citation.json" }</w:instrText>
      </w:r>
      <w:r w:rsidRPr="008608AA">
        <w:fldChar w:fldCharType="separate"/>
      </w:r>
      <w:r w:rsidRPr="008608AA">
        <w:t>(USFW, 2014)</w:t>
      </w:r>
      <w:r w:rsidRPr="008608AA">
        <w:fldChar w:fldCharType="end"/>
      </w:r>
      <w:r w:rsidRPr="008608AA">
        <w:t>.</w:t>
      </w:r>
    </w:p>
    <w:p w14:paraId="40DABC1F" w14:textId="77777777" w:rsidR="001E61A6" w:rsidRPr="008608AA" w:rsidRDefault="001E61A6" w:rsidP="009C39CE">
      <w:pPr>
        <w:spacing w:before="120"/>
        <w:rPr>
          <w:b/>
        </w:rPr>
      </w:pPr>
      <w:r w:rsidRPr="008608AA">
        <w:rPr>
          <w:b/>
        </w:rPr>
        <w:t>Marine</w:t>
      </w:r>
    </w:p>
    <w:p w14:paraId="226FD239" w14:textId="1EF8DF3A" w:rsidR="001E61A6" w:rsidRPr="008608AA" w:rsidRDefault="001E61A6" w:rsidP="00B82C51">
      <w:pPr>
        <w:spacing w:before="120"/>
      </w:pPr>
      <w:r w:rsidRPr="008608AA">
        <w:t>In North America, fishing remains the primary driver of overharvesting in the marine environment. In the USA, fish stocks are generally well-managed, at least at the federal level. For the 233 stocks with known status only 16% are overharvested, while overharvesting occurs in only 9% of the 313 stocks with known status (NOAA</w:t>
      </w:r>
      <w:r w:rsidR="00BA115A" w:rsidRPr="008608AA">
        <w:t>,</w:t>
      </w:r>
      <w:r w:rsidRPr="008608AA">
        <w:t xml:space="preserve"> 2016). Several overharvested species have been well-documented, like the collapse of t</w:t>
      </w:r>
      <w:r w:rsidR="005E312B" w:rsidRPr="008608AA">
        <w:t>he Atlantic cod of the Scotian b</w:t>
      </w:r>
      <w:r w:rsidRPr="008608AA">
        <w:t>ank, which provides a classic example of overharvesting that resulted in the closure of a 9,600 square miles area in 1994 (Frank et al</w:t>
      </w:r>
      <w:r w:rsidR="00BA115A" w:rsidRPr="008608AA">
        <w:t>.</w:t>
      </w:r>
      <w:r w:rsidRPr="008608AA">
        <w:t>, 2005). There has been a reduction in the direct harvest of marine mammals that have historically been overharvested, like seals, otters, and whales since the peak of these industries almost a century ago. For example, sea otter (</w:t>
      </w:r>
      <w:r w:rsidRPr="008608AA">
        <w:rPr>
          <w:i/>
        </w:rPr>
        <w:t>Enhydra</w:t>
      </w:r>
      <w:r w:rsidR="005E312B" w:rsidRPr="008608AA">
        <w:rPr>
          <w:i/>
        </w:rPr>
        <w:t xml:space="preserve"> </w:t>
      </w:r>
      <w:r w:rsidRPr="008608AA">
        <w:rPr>
          <w:i/>
        </w:rPr>
        <w:t>lutris</w:t>
      </w:r>
      <w:r w:rsidRPr="008608AA">
        <w:t>) hunts peaked in the middle of the 1800s when the species was almost driven to extinction by the fur trade. Sea otters were listed under the U.S. Endangered Species Act in 1977 and designated endangered in Canada in 1978, and most of their historical range has been reoccupied, but their numbers are still considered low in some areas (Bodkin, 2014). For oyster reefs, overharvesting remains a serious problem as about three-quarters of the world’s remaining wild oyster reefs are found in just five locations in North America, however only in one of these regions — the Gulf of Mexico — are oyster populations deemed relatively healthy as of 2011 (Beck et al</w:t>
      </w:r>
      <w:r w:rsidR="00BA115A" w:rsidRPr="008608AA">
        <w:t>.</w:t>
      </w:r>
      <w:r w:rsidRPr="008608AA">
        <w:t>, 2011).</w:t>
      </w:r>
    </w:p>
    <w:p w14:paraId="1CF94A63" w14:textId="06BF9028" w:rsidR="00921F6C" w:rsidRPr="008608AA" w:rsidRDefault="001E61A6" w:rsidP="00B82C51">
      <w:pPr>
        <w:spacing w:before="120"/>
      </w:pPr>
      <w:r w:rsidRPr="008608AA">
        <w:t xml:space="preserve">Several policies have reduced or eliminated the harvesting of selected species like the U.S. Marine Mammal Protection Act of 1972 that established a moratorium on the taking of marine mammals in USA waters and the USA passed the Endangered Species Act (1973) that restricts harvests of critically imperilled species. In 1973, CITES was established to ensure that international trade of animals and plants does not threaten their survival in the wild. Canada and the USA often use allocation of fishing rights and use of protected areas to manage fisheries in federal waters, with agencies establishing quotas using robust stock assessments and monitoring programs. Examples of overharvesting in North America Artic and Greenland are presented in </w:t>
      </w:r>
      <w:r w:rsidR="008A1BB6" w:rsidRPr="008608AA">
        <w:t>Box 4.14.</w:t>
      </w:r>
    </w:p>
    <w:p w14:paraId="5F1481E6" w14:textId="3C24A264" w:rsidR="001E61A6" w:rsidRPr="008608AA" w:rsidRDefault="00B82C51" w:rsidP="00B82C51">
      <w:pPr>
        <w:pStyle w:val="Caption"/>
        <w:rPr>
          <w:b w:val="0"/>
          <w:bCs w:val="0"/>
        </w:rPr>
      </w:pPr>
      <w:bookmarkStart w:id="1663" w:name="_Toc499200386"/>
      <w:bookmarkStart w:id="1664" w:name="_Toc499459229"/>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14</w:t>
      </w:r>
      <w:r w:rsidR="000E562E">
        <w:rPr>
          <w:noProof/>
        </w:rPr>
        <w:fldChar w:fldCharType="end"/>
      </w:r>
      <w:r w:rsidRPr="008608AA">
        <w:t xml:space="preserve">. </w:t>
      </w:r>
      <w:r w:rsidR="001E61A6" w:rsidRPr="008608AA">
        <w:t>Overharvesting in North America Artic and Greenland</w:t>
      </w:r>
      <w:bookmarkEnd w:id="1663"/>
      <w:bookmarkEnd w:id="1664"/>
    </w:p>
    <w:tbl>
      <w:tblPr>
        <w:tblStyle w:val="TableGrid"/>
        <w:tblW w:w="0" w:type="auto"/>
        <w:tblLook w:val="04A0" w:firstRow="1" w:lastRow="0" w:firstColumn="1" w:lastColumn="0" w:noHBand="0" w:noVBand="1"/>
      </w:tblPr>
      <w:tblGrid>
        <w:gridCol w:w="9487"/>
      </w:tblGrid>
      <w:tr w:rsidR="001E61A6" w:rsidRPr="00A26FD5" w14:paraId="5BA0E82F" w14:textId="77777777" w:rsidTr="001E61A6">
        <w:tc>
          <w:tcPr>
            <w:tcW w:w="9500" w:type="dxa"/>
          </w:tcPr>
          <w:p w14:paraId="30C8465F" w14:textId="745E327C" w:rsidR="001E61A6" w:rsidRPr="00A26FD5" w:rsidRDefault="001E61A6" w:rsidP="00B82C51">
            <w:pPr>
              <w:spacing w:before="120"/>
              <w:rPr>
                <w:szCs w:val="22"/>
              </w:rPr>
            </w:pPr>
            <w:r w:rsidRPr="00A26FD5">
              <w:rPr>
                <w:szCs w:val="22"/>
              </w:rPr>
              <w:t>Several fisheries studies in northeastern Canada and Greenland observe species overharvesting which can lead to cascading effects and modification of food webs (Jørgensen et al</w:t>
            </w:r>
            <w:r w:rsidR="00BA115A" w:rsidRPr="00A26FD5">
              <w:rPr>
                <w:szCs w:val="22"/>
              </w:rPr>
              <w:t>.,</w:t>
            </w:r>
            <w:r w:rsidRPr="00A26FD5">
              <w:rPr>
                <w:szCs w:val="22"/>
              </w:rPr>
              <w:t xml:space="preserve"> 2014; Shelton </w:t>
            </w:r>
            <w:r w:rsidR="00BA115A" w:rsidRPr="00A26FD5">
              <w:rPr>
                <w:szCs w:val="22"/>
              </w:rPr>
              <w:t>&amp;</w:t>
            </w:r>
            <w:r w:rsidRPr="00A26FD5">
              <w:rPr>
                <w:szCs w:val="22"/>
              </w:rPr>
              <w:t xml:space="preserve"> Morgan</w:t>
            </w:r>
            <w:r w:rsidR="00BA115A" w:rsidRPr="00A26FD5">
              <w:rPr>
                <w:szCs w:val="22"/>
              </w:rPr>
              <w:t>,</w:t>
            </w:r>
            <w:r w:rsidRPr="00A26FD5">
              <w:rPr>
                <w:szCs w:val="22"/>
              </w:rPr>
              <w:t xml:space="preserve"> 2014; Munden</w:t>
            </w:r>
            <w:r w:rsidR="00BA115A" w:rsidRPr="00A26FD5">
              <w:rPr>
                <w:szCs w:val="22"/>
              </w:rPr>
              <w:t>,</w:t>
            </w:r>
            <w:r w:rsidRPr="00A26FD5">
              <w:rPr>
                <w:szCs w:val="22"/>
              </w:rPr>
              <w:t xml:space="preserve"> 2013). Overexploited fish species include Atlantic cod (</w:t>
            </w:r>
            <w:r w:rsidRPr="00A26FD5">
              <w:rPr>
                <w:i/>
                <w:szCs w:val="22"/>
              </w:rPr>
              <w:t>Gadus morhua</w:t>
            </w:r>
            <w:r w:rsidRPr="00A26FD5">
              <w:rPr>
                <w:szCs w:val="22"/>
              </w:rPr>
              <w:t>), Atlantic halibut (</w:t>
            </w:r>
            <w:r w:rsidRPr="00A26FD5">
              <w:rPr>
                <w:i/>
                <w:szCs w:val="22"/>
              </w:rPr>
              <w:t>Hippoglossus hippoglossus</w:t>
            </w:r>
            <w:r w:rsidRPr="00A26FD5">
              <w:rPr>
                <w:szCs w:val="22"/>
              </w:rPr>
              <w:t>), redfish (</w:t>
            </w:r>
            <w:r w:rsidRPr="00A26FD5">
              <w:rPr>
                <w:i/>
                <w:szCs w:val="22"/>
              </w:rPr>
              <w:t>Sebastes mentella</w:t>
            </w:r>
            <w:r w:rsidRPr="00A26FD5">
              <w:rPr>
                <w:szCs w:val="22"/>
              </w:rPr>
              <w:t>), Atlantic wolfish (</w:t>
            </w:r>
            <w:r w:rsidRPr="00A26FD5">
              <w:rPr>
                <w:i/>
                <w:szCs w:val="22"/>
              </w:rPr>
              <w:t>Anarhichas lupus</w:t>
            </w:r>
            <w:r w:rsidRPr="00A26FD5">
              <w:rPr>
                <w:szCs w:val="22"/>
              </w:rPr>
              <w:t>), starry ray (</w:t>
            </w:r>
            <w:r w:rsidRPr="00A26FD5">
              <w:rPr>
                <w:i/>
                <w:szCs w:val="22"/>
              </w:rPr>
              <w:t>Rujuradiuta</w:t>
            </w:r>
            <w:r w:rsidRPr="00A26FD5">
              <w:rPr>
                <w:szCs w:val="22"/>
              </w:rPr>
              <w:t>), and American plaice (</w:t>
            </w:r>
            <w:r w:rsidRPr="00A26FD5">
              <w:rPr>
                <w:i/>
                <w:szCs w:val="22"/>
              </w:rPr>
              <w:t>Hippoglossoides platessoides</w:t>
            </w:r>
            <w:r w:rsidRPr="00A26FD5">
              <w:rPr>
                <w:szCs w:val="22"/>
              </w:rPr>
              <w:t>). Deep-sea fish species are particularly vulnerable to overexploitation as they mature late and have a low fecundity and slow growth rate (Jorgensen et al</w:t>
            </w:r>
            <w:r w:rsidR="00BA115A" w:rsidRPr="00A26FD5">
              <w:rPr>
                <w:szCs w:val="22"/>
              </w:rPr>
              <w:t>.,</w:t>
            </w:r>
            <w:r w:rsidRPr="00A26FD5">
              <w:rPr>
                <w:szCs w:val="22"/>
              </w:rPr>
              <w:t xml:space="preserve"> 2014). Barkley (2015) reports two key datasets to develop sustainabl</w:t>
            </w:r>
            <w:r w:rsidR="005E312B" w:rsidRPr="00A26FD5">
              <w:rPr>
                <w:szCs w:val="22"/>
              </w:rPr>
              <w:t>e harvest levels for Greenland h</w:t>
            </w:r>
            <w:r w:rsidRPr="00A26FD5">
              <w:rPr>
                <w:szCs w:val="22"/>
              </w:rPr>
              <w:t>alibut (</w:t>
            </w:r>
            <w:r w:rsidRPr="00A26FD5">
              <w:rPr>
                <w:i/>
                <w:szCs w:val="22"/>
              </w:rPr>
              <w:t>Reinhardtius</w:t>
            </w:r>
            <w:r w:rsidRPr="00A26FD5">
              <w:rPr>
                <w:szCs w:val="22"/>
              </w:rPr>
              <w:t xml:space="preserve"> </w:t>
            </w:r>
            <w:r w:rsidRPr="00A26FD5">
              <w:rPr>
                <w:i/>
                <w:szCs w:val="22"/>
              </w:rPr>
              <w:t>hippoglossoide</w:t>
            </w:r>
            <w:r w:rsidRPr="00A26FD5">
              <w:rPr>
                <w:szCs w:val="22"/>
              </w:rPr>
              <w:t>s) in the Canadian Arctic and understanding the stock connectivity between inshore and offshore environments as well as examining capture induced s</w:t>
            </w:r>
            <w:r w:rsidR="005E312B" w:rsidRPr="00A26FD5">
              <w:rPr>
                <w:szCs w:val="22"/>
              </w:rPr>
              <w:t>tress metabolites in Greenland h</w:t>
            </w:r>
            <w:r w:rsidRPr="00A26FD5">
              <w:rPr>
                <w:szCs w:val="22"/>
              </w:rPr>
              <w:t>alibut c</w:t>
            </w:r>
            <w:r w:rsidR="005E312B" w:rsidRPr="00A26FD5">
              <w:rPr>
                <w:szCs w:val="22"/>
              </w:rPr>
              <w:t>aught in a trawl and Greenland s</w:t>
            </w:r>
            <w:r w:rsidRPr="00A26FD5">
              <w:rPr>
                <w:szCs w:val="22"/>
              </w:rPr>
              <w:t>harks (</w:t>
            </w:r>
            <w:r w:rsidRPr="00A26FD5">
              <w:rPr>
                <w:i/>
                <w:szCs w:val="22"/>
              </w:rPr>
              <w:t>Somniosus microcephalus</w:t>
            </w:r>
            <w:r w:rsidRPr="00A26FD5">
              <w:rPr>
                <w:szCs w:val="22"/>
              </w:rPr>
              <w:t>) caught as bycatch on bottom longlines.</w:t>
            </w:r>
          </w:p>
          <w:p w14:paraId="0E4080FB" w14:textId="5B52A518" w:rsidR="001E61A6" w:rsidRPr="00A26FD5" w:rsidRDefault="001E61A6" w:rsidP="00B82C51">
            <w:pPr>
              <w:spacing w:before="120"/>
              <w:rPr>
                <w:szCs w:val="22"/>
              </w:rPr>
            </w:pPr>
            <w:r w:rsidRPr="00A26FD5">
              <w:rPr>
                <w:szCs w:val="22"/>
              </w:rPr>
              <w:t>Mortality of non-target species, or bycatch, is a fisheries management problem that can be solved with innovative fishing gear and practices. Traditional fishing gears, like trawls, not only contribute to bycatch, but can greatly modify marine habitat. FAO (2016c) reports that 35% of landings are bycatch with at least 8% being thrown back into the sea. In Newfoundland, Munden (2013) found that impacts of bycatch and habitat alteration can be mitigated through gear modification. She found that a modified shrimp trawl can reduce contact area by 39% while increasing shrimp harvesting by 23%. A change in the type of gangions can lead to a significant reduction in shark bycatch without negatively impacting commercial catches of turbot (</w:t>
            </w:r>
            <w:r w:rsidRPr="00A26FD5">
              <w:rPr>
                <w:i/>
                <w:szCs w:val="22"/>
              </w:rPr>
              <w:t>Scophthalmus maximus</w:t>
            </w:r>
            <w:r w:rsidRPr="00A26FD5">
              <w:rPr>
                <w:szCs w:val="22"/>
              </w:rPr>
              <w:t>). In Davis Strait, West Greenland, one of the world’s largest cold-water shrimp fisheries, with an annual catch of about 80</w:t>
            </w:r>
            <w:r w:rsidR="005E312B" w:rsidRPr="00A26FD5">
              <w:rPr>
                <w:szCs w:val="22"/>
              </w:rPr>
              <w:t>,000 ton</w:t>
            </w:r>
            <w:r w:rsidRPr="00A26FD5">
              <w:rPr>
                <w:szCs w:val="22"/>
              </w:rPr>
              <w:t>s, bottom trawls have excessively modified bottom habitats and commun</w:t>
            </w:r>
            <w:r w:rsidR="005E312B" w:rsidRPr="00A26FD5">
              <w:rPr>
                <w:szCs w:val="22"/>
              </w:rPr>
              <w:t xml:space="preserve">ity structures (UNEP, 2004). </w:t>
            </w:r>
            <w:r w:rsidRPr="00A26FD5">
              <w:rPr>
                <w:szCs w:val="22"/>
              </w:rPr>
              <w:t>Jorgensen et al</w:t>
            </w:r>
            <w:r w:rsidR="00BA115A" w:rsidRPr="00A26FD5">
              <w:rPr>
                <w:szCs w:val="22"/>
              </w:rPr>
              <w:t>.</w:t>
            </w:r>
            <w:r w:rsidRPr="00A26FD5">
              <w:rPr>
                <w:szCs w:val="22"/>
              </w:rPr>
              <w:t xml:space="preserve"> (2014) studied nine bycatch species from bottom-trawl surveys of Greenland halibut over a 24-year period and found that four populations showed a significant reduction in mean weight of individuals that was significantly correlated with increases in fishing effort. </w:t>
            </w:r>
          </w:p>
        </w:tc>
      </w:tr>
    </w:tbl>
    <w:p w14:paraId="6A2DE913" w14:textId="77777777" w:rsidR="00A26FD5" w:rsidRDefault="00A26FD5" w:rsidP="00B82C51">
      <w:pPr>
        <w:pStyle w:val="Heading4"/>
        <w:numPr>
          <w:ilvl w:val="0"/>
          <w:numId w:val="0"/>
        </w:numPr>
        <w:spacing w:before="120" w:line="240" w:lineRule="auto"/>
      </w:pPr>
      <w:bookmarkStart w:id="1665" w:name="_Toc517393377"/>
      <w:bookmarkStart w:id="1666" w:name="_Toc517394434"/>
      <w:bookmarkStart w:id="1667" w:name="_Toc517719118"/>
    </w:p>
    <w:p w14:paraId="46F84C75" w14:textId="15334014" w:rsidR="001E61A6" w:rsidRPr="008608AA" w:rsidRDefault="001E61A6" w:rsidP="00B82C51">
      <w:pPr>
        <w:pStyle w:val="Heading4"/>
        <w:numPr>
          <w:ilvl w:val="0"/>
          <w:numId w:val="0"/>
        </w:numPr>
        <w:spacing w:before="120" w:line="240" w:lineRule="auto"/>
      </w:pPr>
      <w:bookmarkStart w:id="1668" w:name="_Toc517797075"/>
      <w:r w:rsidRPr="008608AA">
        <w:t>Mesoamerica</w:t>
      </w:r>
      <w:bookmarkEnd w:id="1665"/>
      <w:bookmarkEnd w:id="1666"/>
      <w:bookmarkEnd w:id="1667"/>
      <w:bookmarkEnd w:id="1668"/>
    </w:p>
    <w:p w14:paraId="3E9A083C" w14:textId="77777777" w:rsidR="001E61A6" w:rsidRPr="008608AA" w:rsidRDefault="001E61A6" w:rsidP="009C39CE">
      <w:pPr>
        <w:spacing w:before="120"/>
        <w:rPr>
          <w:rFonts w:eastAsia="Calibri"/>
          <w:b/>
        </w:rPr>
      </w:pPr>
      <w:r w:rsidRPr="008608AA">
        <w:rPr>
          <w:rFonts w:eastAsia="Calibri"/>
          <w:b/>
        </w:rPr>
        <w:t>Terrestrial</w:t>
      </w:r>
    </w:p>
    <w:p w14:paraId="363AB692" w14:textId="55C66E2A" w:rsidR="001E61A6" w:rsidRPr="008608AA" w:rsidRDefault="001E61A6" w:rsidP="00B82C51">
      <w:pPr>
        <w:spacing w:before="120"/>
      </w:pPr>
      <w:r w:rsidRPr="008608AA">
        <w:t>Mesoamerica provides an important corridor for many Neotropical migrant bird species and home to rare and charismatic species like the scarlet parrot, ocelot, beaded lizard, river turtle, and the iconic jaguar that are threa</w:t>
      </w:r>
      <w:r w:rsidR="005E312B" w:rsidRPr="008608AA">
        <w:t>tened by the illegal pet trade.</w:t>
      </w:r>
      <w:r w:rsidRPr="008608AA">
        <w:t xml:space="preserve"> Butterflies, reptile leather, shark fin are also popular items on the black market. In the tropical dry and humid forests, several valuable tree species like mahogany and black rosewood are increasingly in demand and being cut and smuggled into markets in India and China by organized crime (</w:t>
      </w:r>
      <w:r w:rsidR="00BA115A" w:rsidRPr="008608AA">
        <w:t>Dudley et al., 2014;</w:t>
      </w:r>
      <w:r w:rsidRPr="008608AA">
        <w:t xml:space="preserve"> Blaser et al., 2015). In 2016, rosewood specie</w:t>
      </w:r>
      <w:r w:rsidR="005E312B" w:rsidRPr="008608AA">
        <w:t xml:space="preserve">s have been included in CITES. </w:t>
      </w:r>
      <w:r w:rsidRPr="008608AA">
        <w:t>The southern border of the USA is also a hot zone for wildlife smuggling based on the nearly 50,000 illegal shipments of wildlife and wildlife products that were seized at ports of entry from 2005 through 2014. This included nearly 55,000 live animals and three million pounds of wildlife products (Defenders of Wildlife, 2016)</w:t>
      </w:r>
    </w:p>
    <w:p w14:paraId="057AD18A" w14:textId="77777777" w:rsidR="001E61A6" w:rsidRPr="008608AA" w:rsidRDefault="001E61A6" w:rsidP="009C39CE">
      <w:pPr>
        <w:spacing w:before="120"/>
        <w:rPr>
          <w:rFonts w:eastAsia="Calibri"/>
          <w:b/>
        </w:rPr>
      </w:pPr>
      <w:r w:rsidRPr="008608AA">
        <w:rPr>
          <w:rFonts w:eastAsia="Calibri"/>
          <w:b/>
        </w:rPr>
        <w:t>Marine</w:t>
      </w:r>
    </w:p>
    <w:p w14:paraId="53C54E15" w14:textId="6DF14131" w:rsidR="001E61A6" w:rsidRPr="008608AA" w:rsidRDefault="001E61A6" w:rsidP="00B82C51">
      <w:pPr>
        <w:spacing w:before="120"/>
      </w:pPr>
      <w:r w:rsidRPr="008608AA">
        <w:t>While most high migratory species are assessed and well-managed through multinational efforts in Mesoamerica, many coastal fish stocks are considered to be overfished or declining (FAO, 2011). Examples of locally overfished species groups throughout Mesoamerica include crabs, sea-spiders, and shrimp, as well as various demersal fish (croakers, snappers, groupers) that form a large portion of the bycatch from shrimp fisheries (FAO, 2011). The vaquita have also become overfished to endangerment in recent years after becoming entangled bycatch in gillnets set for the totoaba, a large white fish (Morell, 2017). The overharvesting of sea turtles continues to be a problem as all seven species of sea turtles are threatened by the sale of meat, jewelry, and leather products. Their eggs are sold on a thriving Central American market as a male aphrodisiac. Heavy exploitation of sea turtles in the Mexican and Caribbean regions began in the 15th century. In the 1970s, sea turtles were added to Appendix I of CITES, banning commercial trade between member states. Despite CITES and U.S. Endangered Species Act listing, sea turtles are still declining. Turtles also die in huge numbers entangled in the nets of fishers. Another species threatened by trade and illegal harvest is Mexico’s totoaba, an endangered fish endemic to the Gulf of California. Totoaba are valued for its swim bladders, used to make a specialty soup, and individual fish can be sold for $10,000 to $20,000 apiece in the Asian market (Neme, 2016). Sea cucumbers also remain overexploited throughout Mesoamerica, driven by lucrative export markets to Asian countries (Purcell et al</w:t>
      </w:r>
      <w:r w:rsidR="00BA115A" w:rsidRPr="008608AA">
        <w:t>.</w:t>
      </w:r>
      <w:r w:rsidRPr="008608AA">
        <w:t>, 2013). Effective fisheries management regulations and capacity are lacking in many parts of Mesoamerica. In cases where management systems do exist, they are often jeopardized by data deficiencies, a lack of enforcement and monitoring, and corruption. Lack of effective management has led to de facto open access and overfishing.</w:t>
      </w:r>
    </w:p>
    <w:p w14:paraId="53516940" w14:textId="77777777" w:rsidR="001E61A6" w:rsidRPr="008608AA" w:rsidRDefault="001E61A6" w:rsidP="00B82C51">
      <w:pPr>
        <w:pStyle w:val="Heading4"/>
        <w:numPr>
          <w:ilvl w:val="0"/>
          <w:numId w:val="0"/>
        </w:numPr>
        <w:spacing w:before="120" w:line="240" w:lineRule="auto"/>
      </w:pPr>
      <w:bookmarkStart w:id="1669" w:name="_Toc517393378"/>
      <w:bookmarkStart w:id="1670" w:name="_Toc517394435"/>
      <w:bookmarkStart w:id="1671" w:name="_Toc517719119"/>
      <w:bookmarkStart w:id="1672" w:name="_Toc517797076"/>
      <w:r w:rsidRPr="008608AA">
        <w:t>Caribbean</w:t>
      </w:r>
      <w:bookmarkEnd w:id="1669"/>
      <w:bookmarkEnd w:id="1670"/>
      <w:bookmarkEnd w:id="1671"/>
      <w:bookmarkEnd w:id="1672"/>
    </w:p>
    <w:p w14:paraId="753F8C1F" w14:textId="77777777" w:rsidR="001E61A6" w:rsidRPr="008608AA" w:rsidRDefault="001E61A6" w:rsidP="009C39CE">
      <w:pPr>
        <w:spacing w:before="120"/>
        <w:rPr>
          <w:rFonts w:eastAsia="Calibri"/>
          <w:b/>
        </w:rPr>
      </w:pPr>
      <w:r w:rsidRPr="008608AA">
        <w:rPr>
          <w:rFonts w:eastAsia="Calibri"/>
          <w:b/>
        </w:rPr>
        <w:t>Marine</w:t>
      </w:r>
    </w:p>
    <w:p w14:paraId="21EF733B" w14:textId="2B0C0048" w:rsidR="001E61A6" w:rsidRPr="008608AA" w:rsidRDefault="001E61A6" w:rsidP="00B82C51">
      <w:pPr>
        <w:spacing w:before="120"/>
      </w:pPr>
      <w:r w:rsidRPr="008608AA">
        <w:t xml:space="preserve">According to the </w:t>
      </w:r>
      <w:r w:rsidR="002F71C9" w:rsidRPr="008608AA">
        <w:t>FAO</w:t>
      </w:r>
      <w:r w:rsidRPr="008608AA">
        <w:t>, the Caribbean Sea (FAO area 31) has the highest proportion of overfished stocks in the world, about 54% in 2009 (FAO, 2011). Long-term catch data suggest that fish catches in the Caribbean increased by about 800% since 1950, and have been declining since 2001. Conclusions about the recent declines in fish landings as indicators of the status of fish stocks can only be made with very low certainty as the fish landings data comprise multiple fish species across many trophic levels, data sources have changed over the years, and landings from artisanal fishers are thought to be unreported. However, it is likely that the declining trend in fish landings indicate decreases in the size of fish stocks across the region (Agard et al</w:t>
      </w:r>
      <w:r w:rsidR="00BA115A" w:rsidRPr="008608AA">
        <w:t>.</w:t>
      </w:r>
      <w:r w:rsidRPr="008608AA">
        <w:t xml:space="preserve">, 2007). </w:t>
      </w:r>
    </w:p>
    <w:p w14:paraId="59D13FC9" w14:textId="146E3E2A" w:rsidR="00921F6C" w:rsidRPr="008608AA" w:rsidRDefault="001E61A6" w:rsidP="00B82C51">
      <w:pPr>
        <w:spacing w:before="120"/>
      </w:pPr>
      <w:r w:rsidRPr="008608AA">
        <w:rPr>
          <w:rFonts w:eastAsia="Calibri"/>
        </w:rPr>
        <w:t>Overfishing is affecting virtually all Atlantic coral reefs and particularly in the Caribbean, with almost 70% of reefs at medium or high risk (Burke et al., 2011). Atlantic reefs have some of the lowest recorded fish biomass measures within reef habitats in the world – largely from overfishing (Burke et al., 2011; Jackson et al</w:t>
      </w:r>
      <w:r w:rsidR="00BA115A" w:rsidRPr="008608AA">
        <w:rPr>
          <w:rFonts w:eastAsia="Calibri"/>
        </w:rPr>
        <w:t>.</w:t>
      </w:r>
      <w:r w:rsidRPr="008608AA">
        <w:rPr>
          <w:rFonts w:eastAsia="Calibri"/>
        </w:rPr>
        <w:t>, 2014). While the Caribbean only supplies a small percentage of the global trade in marine ornamental species, the environmental and biological impacts of the industry are well recognized. At least 16 Caribbean countries have export markets for ornamental reef fish, with the biggest markets being the USA, the European Union, and Japan. The impacts of the ornamental reef fish industry include the overharvesting of key species, coral reef degradation associated with gear impacts and from use of cyanide and other poisons, changes in the ecology of the reefs due to focused collection of specific trophic groups like herbivores, and loss of biodiversity due to removal of rare species (Bruckner</w:t>
      </w:r>
      <w:r w:rsidR="00BA115A" w:rsidRPr="008608AA">
        <w:rPr>
          <w:rFonts w:eastAsia="Calibri"/>
        </w:rPr>
        <w:t>,</w:t>
      </w:r>
      <w:r w:rsidRPr="008608AA">
        <w:rPr>
          <w:rFonts w:eastAsia="Calibri"/>
        </w:rPr>
        <w:t xml:space="preserve"> 2005).</w:t>
      </w:r>
      <w:r w:rsidR="002F71C9" w:rsidRPr="008608AA">
        <w:rPr>
          <w:rFonts w:eastAsia="Calibri"/>
        </w:rPr>
        <w:t xml:space="preserve"> </w:t>
      </w:r>
      <w:r w:rsidRPr="008608AA">
        <w:rPr>
          <w:rFonts w:eastAsia="Calibri"/>
        </w:rPr>
        <w:t>While less than 1% of the stony corals that have been reported to CITES database originate from the western Atlantic reefs, the USA and most Caribbean nations have prohibited the trade of stony corals. Hundreds of other genera of invertebrates, including echinoderms, sponges, molluscs and crustaceans are also collected and exported from the western Atlantic, primarily for the aquarium trade (Bruckner</w:t>
      </w:r>
      <w:r w:rsidR="00BA115A" w:rsidRPr="008608AA">
        <w:rPr>
          <w:rFonts w:eastAsia="Calibri"/>
        </w:rPr>
        <w:t>,</w:t>
      </w:r>
      <w:r w:rsidRPr="008608AA">
        <w:rPr>
          <w:rFonts w:eastAsia="Calibri"/>
        </w:rPr>
        <w:t xml:space="preserve"> 2005). An additional ca</w:t>
      </w:r>
      <w:r w:rsidR="002F71C9" w:rsidRPr="008608AA">
        <w:rPr>
          <w:rFonts w:eastAsia="Calibri"/>
        </w:rPr>
        <w:t>se study on queen conch in the w</w:t>
      </w:r>
      <w:r w:rsidRPr="008608AA">
        <w:rPr>
          <w:rFonts w:eastAsia="Calibri"/>
        </w:rPr>
        <w:t xml:space="preserve">ider Caribbean is explained in </w:t>
      </w:r>
      <w:r w:rsidR="008A1BB6" w:rsidRPr="008608AA">
        <w:t>Box 4.15.</w:t>
      </w:r>
    </w:p>
    <w:p w14:paraId="61B79E4A" w14:textId="37F6B1E7" w:rsidR="001E61A6" w:rsidRPr="008608AA" w:rsidRDefault="00B82C51" w:rsidP="00B82C51">
      <w:pPr>
        <w:pStyle w:val="Caption"/>
        <w:rPr>
          <w:b w:val="0"/>
          <w:bCs w:val="0"/>
        </w:rPr>
      </w:pPr>
      <w:bookmarkStart w:id="1673" w:name="_Toc499200387"/>
      <w:bookmarkStart w:id="1674" w:name="_Toc499459230"/>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15</w:t>
      </w:r>
      <w:r w:rsidR="000E562E">
        <w:rPr>
          <w:noProof/>
        </w:rPr>
        <w:fldChar w:fldCharType="end"/>
      </w:r>
      <w:r w:rsidRPr="008608AA">
        <w:t xml:space="preserve">.  </w:t>
      </w:r>
      <w:r w:rsidR="002F71C9" w:rsidRPr="008608AA">
        <w:t>Overharvesting of queen conch in the w</w:t>
      </w:r>
      <w:r w:rsidR="001E61A6" w:rsidRPr="008608AA">
        <w:t>ider Caribbean</w:t>
      </w:r>
      <w:bookmarkEnd w:id="1673"/>
      <w:bookmarkEnd w:id="1674"/>
    </w:p>
    <w:tbl>
      <w:tblPr>
        <w:tblStyle w:val="TableGrid"/>
        <w:tblW w:w="5000" w:type="pct"/>
        <w:tblLook w:val="04A0" w:firstRow="1" w:lastRow="0" w:firstColumn="1" w:lastColumn="0" w:noHBand="0" w:noVBand="1"/>
      </w:tblPr>
      <w:tblGrid>
        <w:gridCol w:w="9487"/>
      </w:tblGrid>
      <w:tr w:rsidR="001E61A6" w:rsidRPr="00A26FD5" w14:paraId="1B3A026E" w14:textId="77777777" w:rsidTr="00360A20">
        <w:tc>
          <w:tcPr>
            <w:tcW w:w="5000" w:type="pct"/>
          </w:tcPr>
          <w:p w14:paraId="5C4059F1" w14:textId="33AB3AD8" w:rsidR="001E61A6" w:rsidRPr="00A26FD5" w:rsidRDefault="001E61A6" w:rsidP="00B82C51">
            <w:pPr>
              <w:spacing w:before="120"/>
              <w:rPr>
                <w:rFonts w:eastAsia="Calibri"/>
                <w:szCs w:val="22"/>
              </w:rPr>
            </w:pPr>
            <w:r w:rsidRPr="00A26FD5">
              <w:rPr>
                <w:rFonts w:eastAsia="Calibri"/>
                <w:szCs w:val="22"/>
              </w:rPr>
              <w:t>With a life span of up to 40 years, the queen conch (</w:t>
            </w:r>
            <w:r w:rsidRPr="00A26FD5">
              <w:rPr>
                <w:rFonts w:eastAsia="Calibri"/>
                <w:i/>
                <w:szCs w:val="22"/>
              </w:rPr>
              <w:t>Strombus</w:t>
            </w:r>
            <w:r w:rsidRPr="00A26FD5">
              <w:rPr>
                <w:rFonts w:eastAsia="Calibri"/>
                <w:szCs w:val="22"/>
              </w:rPr>
              <w:t xml:space="preserve"> </w:t>
            </w:r>
            <w:r w:rsidRPr="00A26FD5">
              <w:rPr>
                <w:rFonts w:eastAsia="Calibri"/>
                <w:i/>
                <w:szCs w:val="22"/>
              </w:rPr>
              <w:t>gigas</w:t>
            </w:r>
            <w:r w:rsidRPr="00A26FD5">
              <w:rPr>
                <w:rFonts w:eastAsia="Calibri"/>
                <w:szCs w:val="22"/>
              </w:rPr>
              <w:t xml:space="preserve">) is a unique marine mollusc found in tropical waters throughout the wider Caribbean, Bermuda and the Gulf of Mexico. Its shell is emblematic of the oceans it inhabits with many cultures </w:t>
            </w:r>
            <w:r w:rsidR="002F71C9" w:rsidRPr="00A26FD5">
              <w:rPr>
                <w:rFonts w:eastAsia="Calibri"/>
                <w:szCs w:val="22"/>
              </w:rPr>
              <w:t>referring to conch shells as a “</w:t>
            </w:r>
            <w:r w:rsidRPr="00A26FD5">
              <w:rPr>
                <w:rFonts w:eastAsia="Calibri"/>
                <w:szCs w:val="22"/>
              </w:rPr>
              <w:t>megaphone</w:t>
            </w:r>
            <w:r w:rsidR="002F71C9" w:rsidRPr="00A26FD5">
              <w:rPr>
                <w:rFonts w:eastAsia="Calibri"/>
                <w:szCs w:val="22"/>
              </w:rPr>
              <w:t>”</w:t>
            </w:r>
            <w:r w:rsidRPr="00A26FD5">
              <w:rPr>
                <w:rFonts w:eastAsia="Calibri"/>
                <w:szCs w:val="22"/>
              </w:rPr>
              <w:t xml:space="preserve"> for hearing the ocean’s sound. In addition to the ornamental use of its shell, conch shells are used in jewelry making.The meat is consumed throughout the Caribbean and exported as a seafood product to the US</w:t>
            </w:r>
            <w:r w:rsidR="002F71C9" w:rsidRPr="00A26FD5">
              <w:rPr>
                <w:rFonts w:eastAsia="Calibri"/>
                <w:szCs w:val="22"/>
              </w:rPr>
              <w:t>A</w:t>
            </w:r>
            <w:r w:rsidRPr="00A26FD5">
              <w:rPr>
                <w:rFonts w:eastAsia="Calibri"/>
                <w:szCs w:val="22"/>
              </w:rPr>
              <w:t>, France and other countries. Live queen conch are also sold in the aquarium trade. Because of its slow growth and density requirements to reproduce, queen conch are easily overharvested and the Americas have plenty of cases where this overharvesting is evident (Appeldoorn et al., 2011).</w:t>
            </w:r>
          </w:p>
          <w:p w14:paraId="2BC76352" w14:textId="555B4D90" w:rsidR="001E61A6" w:rsidRPr="00A26FD5" w:rsidRDefault="001E61A6" w:rsidP="00306514">
            <w:pPr>
              <w:spacing w:before="120"/>
              <w:rPr>
                <w:rFonts w:eastAsia="Calibri"/>
                <w:szCs w:val="22"/>
              </w:rPr>
            </w:pPr>
            <w:r w:rsidRPr="00A26FD5">
              <w:rPr>
                <w:rFonts w:eastAsia="Calibri"/>
                <w:szCs w:val="22"/>
              </w:rPr>
              <w:t xml:space="preserve">In the USA, Florida’s queen conch fishery collapsed in the 1970s and today both recreational and commercial harvests of queen conch are prohibited in the State. Demand for queen conch however remains high. Since the 1980s, commercial catch has increased in response to international market demand, especially from the USA, which imported approximately 80% of the annual queen conch catch in 2004 (Paris et al., 2008). Regulatory measures to manage queen conch stocks in the region vary considerably throughout the Caribbean (Berg </w:t>
            </w:r>
            <w:r w:rsidR="00BA115A" w:rsidRPr="00A26FD5">
              <w:rPr>
                <w:rFonts w:eastAsia="Calibri"/>
                <w:szCs w:val="22"/>
              </w:rPr>
              <w:t>&amp;</w:t>
            </w:r>
            <w:r w:rsidRPr="00A26FD5">
              <w:rPr>
                <w:rFonts w:eastAsia="Calibri"/>
                <w:szCs w:val="22"/>
              </w:rPr>
              <w:t xml:space="preserve"> Olsen</w:t>
            </w:r>
            <w:r w:rsidR="00BA115A" w:rsidRPr="00A26FD5">
              <w:rPr>
                <w:rFonts w:eastAsia="Calibri"/>
                <w:szCs w:val="22"/>
              </w:rPr>
              <w:t>,</w:t>
            </w:r>
            <w:r w:rsidRPr="00A26FD5">
              <w:rPr>
                <w:rFonts w:eastAsia="Calibri"/>
                <w:szCs w:val="22"/>
              </w:rPr>
              <w:t xml:space="preserve"> 1989; Chakalall </w:t>
            </w:r>
            <w:r w:rsidR="00BA115A" w:rsidRPr="00A26FD5">
              <w:rPr>
                <w:rFonts w:eastAsia="Calibri"/>
                <w:szCs w:val="22"/>
              </w:rPr>
              <w:t>&amp;</w:t>
            </w:r>
            <w:r w:rsidRPr="00A26FD5">
              <w:rPr>
                <w:rFonts w:eastAsia="Calibri"/>
                <w:szCs w:val="22"/>
              </w:rPr>
              <w:t xml:space="preserve"> Cochrane</w:t>
            </w:r>
            <w:r w:rsidR="00BA115A" w:rsidRPr="00A26FD5">
              <w:rPr>
                <w:rFonts w:eastAsia="Calibri"/>
                <w:szCs w:val="22"/>
              </w:rPr>
              <w:t>,</w:t>
            </w:r>
            <w:r w:rsidRPr="00A26FD5">
              <w:rPr>
                <w:rFonts w:eastAsia="Calibri"/>
                <w:szCs w:val="22"/>
              </w:rPr>
              <w:t xml:space="preserve"> 1997). Some countries have minimum size restrictions on harvested conchs; others have closed seasons, harvest quotas, gear restrictions, spatial closures, or a combination of these; however in management response at all levels, from regional to local, has been slow in tackling overexploitation (Appeldoorn et al., 2011). In 1992, queen conch became the first large-scale fisheries product regulated under Appendix II of CITES. Appendix II includes species that are not necessarily threatened with extinction, but unless trade is strictly controlled, may become extinct. Despite CITES listing, conservation actions and management policies, few countries report substantial recovery of queen conch populations, which may be due to reduced densities that limit reproduction (Stoner </w:t>
            </w:r>
            <w:r w:rsidR="00BA115A" w:rsidRPr="00A26FD5">
              <w:rPr>
                <w:rFonts w:eastAsia="Calibri"/>
                <w:szCs w:val="22"/>
              </w:rPr>
              <w:t>&amp;</w:t>
            </w:r>
            <w:r w:rsidRPr="00A26FD5">
              <w:rPr>
                <w:rFonts w:eastAsia="Calibri"/>
                <w:szCs w:val="22"/>
              </w:rPr>
              <w:t xml:space="preserve"> Ray</w:t>
            </w:r>
            <w:r w:rsidR="00BA115A" w:rsidRPr="00A26FD5">
              <w:rPr>
                <w:rFonts w:eastAsia="Calibri"/>
                <w:szCs w:val="22"/>
              </w:rPr>
              <w:t>,</w:t>
            </w:r>
            <w:r w:rsidRPr="00A26FD5">
              <w:rPr>
                <w:rFonts w:eastAsia="Calibri"/>
                <w:szCs w:val="22"/>
              </w:rPr>
              <w:t xml:space="preserve"> 1996; Stoner</w:t>
            </w:r>
            <w:r w:rsidR="00BA115A" w:rsidRPr="00A26FD5">
              <w:rPr>
                <w:rFonts w:eastAsia="Calibri"/>
                <w:szCs w:val="22"/>
              </w:rPr>
              <w:t>,</w:t>
            </w:r>
            <w:r w:rsidR="00306514" w:rsidRPr="00A26FD5">
              <w:rPr>
                <w:rFonts w:eastAsia="Calibri"/>
                <w:szCs w:val="22"/>
              </w:rPr>
              <w:t xml:space="preserve"> 1997</w:t>
            </w:r>
            <w:r w:rsidRPr="00A26FD5">
              <w:rPr>
                <w:rFonts w:eastAsia="Calibri"/>
                <w:szCs w:val="22"/>
              </w:rPr>
              <w:t>; Paris et al., 2008). More science, monitoring and management action will be required to put conch on the path to recovery and it will take time, resources and political will to achieve sustainability of this emblematic species.</w:t>
            </w:r>
          </w:p>
        </w:tc>
      </w:tr>
    </w:tbl>
    <w:p w14:paraId="7F457690" w14:textId="77777777" w:rsidR="00A26FD5" w:rsidRDefault="00A26FD5" w:rsidP="00B82C51">
      <w:pPr>
        <w:pStyle w:val="Heading4"/>
        <w:numPr>
          <w:ilvl w:val="0"/>
          <w:numId w:val="0"/>
        </w:numPr>
        <w:spacing w:before="120" w:line="240" w:lineRule="auto"/>
      </w:pPr>
      <w:bookmarkStart w:id="1675" w:name="_Toc517393379"/>
      <w:bookmarkStart w:id="1676" w:name="_Toc517394436"/>
      <w:bookmarkStart w:id="1677" w:name="_Toc517719120"/>
    </w:p>
    <w:p w14:paraId="7C63B799" w14:textId="4CD41564" w:rsidR="001E61A6" w:rsidRPr="008608AA" w:rsidRDefault="001E61A6" w:rsidP="00B82C51">
      <w:pPr>
        <w:pStyle w:val="Heading4"/>
        <w:numPr>
          <w:ilvl w:val="0"/>
          <w:numId w:val="0"/>
        </w:numPr>
        <w:spacing w:before="120" w:line="240" w:lineRule="auto"/>
      </w:pPr>
      <w:bookmarkStart w:id="1678" w:name="_Toc517797077"/>
      <w:r w:rsidRPr="008608AA">
        <w:t>South America</w:t>
      </w:r>
      <w:bookmarkEnd w:id="1675"/>
      <w:bookmarkEnd w:id="1676"/>
      <w:bookmarkEnd w:id="1677"/>
      <w:bookmarkEnd w:id="1678"/>
    </w:p>
    <w:p w14:paraId="18875741" w14:textId="77777777" w:rsidR="001E61A6" w:rsidRPr="008608AA" w:rsidRDefault="001E61A6" w:rsidP="009C39CE">
      <w:pPr>
        <w:spacing w:before="120"/>
        <w:rPr>
          <w:b/>
        </w:rPr>
      </w:pPr>
      <w:r w:rsidRPr="008608AA">
        <w:rPr>
          <w:b/>
        </w:rPr>
        <w:t>Terrestrial</w:t>
      </w:r>
    </w:p>
    <w:p w14:paraId="1B2B1708" w14:textId="5DD82535" w:rsidR="001E61A6" w:rsidRPr="008608AA" w:rsidRDefault="001E61A6" w:rsidP="00B82C51">
      <w:pPr>
        <w:spacing w:before="120"/>
      </w:pPr>
      <w:r w:rsidRPr="008608AA">
        <w:t>South America is home to a multitude of species that are highly prized for the pet trade, bush meat, and traditional medicines. Many of these species are harvested by indigenous peoples and sold to traffickers. The wildlife trade affects endangered and valuable birds, mammals, reptiles and amphibians, fish, and rare trees and plants. Some bird species, like the blue-throated macaw (</w:t>
      </w:r>
      <w:r w:rsidRPr="008608AA">
        <w:rPr>
          <w:i/>
        </w:rPr>
        <w:t>Ara glaucogularis</w:t>
      </w:r>
      <w:r w:rsidRPr="008608AA">
        <w:t>) are prized for their brilliant color and command a high dollar price on the illegal pet trade. Estimates of annual bushmeat consumption for the Brazilian Amazon are estimated at 89,000 tons (Peres</w:t>
      </w:r>
      <w:r w:rsidR="00BA115A" w:rsidRPr="008608AA">
        <w:t>,</w:t>
      </w:r>
      <w:r w:rsidRPr="008608AA">
        <w:t xml:space="preserve"> 2000 in Ripple et al</w:t>
      </w:r>
      <w:r w:rsidR="00BA115A" w:rsidRPr="008608AA">
        <w:t>.</w:t>
      </w:r>
      <w:r w:rsidRPr="008608AA">
        <w:t>, 2015). In remote forest areas, eating bushmeat may be a matter of survival, being often the main (or only) source of animal protein available. When wild fish is available</w:t>
      </w:r>
      <w:r w:rsidR="002F71C9" w:rsidRPr="008608AA">
        <w:t xml:space="preserve"> the role of bushmeat in people’</w:t>
      </w:r>
      <w:r w:rsidRPr="008608AA">
        <w:t>s diets may drop, thereby their consumption seems to be closely linked to both availability and/or prices (e.g. Rushton et al</w:t>
      </w:r>
      <w:r w:rsidR="00BA115A" w:rsidRPr="008608AA">
        <w:t>.</w:t>
      </w:r>
      <w:r w:rsidRPr="008608AA">
        <w:t>, 2005 in Peru; Nasi et al</w:t>
      </w:r>
      <w:r w:rsidR="00BA115A" w:rsidRPr="008608AA">
        <w:t>.</w:t>
      </w:r>
      <w:r w:rsidRPr="008608AA">
        <w:t>, 2011). As a cascade effect, a decline in one wild resource may drive up an unsustainable exploitation of the other (Brashares et al</w:t>
      </w:r>
      <w:r w:rsidR="00BA115A" w:rsidRPr="008608AA">
        <w:t>.</w:t>
      </w:r>
      <w:r w:rsidRPr="008608AA">
        <w:t>, 2004; Nasi et al</w:t>
      </w:r>
      <w:r w:rsidR="00BA115A" w:rsidRPr="008608AA">
        <w:t>.</w:t>
      </w:r>
      <w:r w:rsidRPr="008608AA">
        <w:t>, 2008 in Nasi et al</w:t>
      </w:r>
      <w:r w:rsidR="00BA115A" w:rsidRPr="008608AA">
        <w:t>.</w:t>
      </w:r>
      <w:r w:rsidRPr="008608AA">
        <w:t>, 2011). Nevertheless, for richer sectors of society, bushmeat is harvested for sports hunters and as a novelty food for tourist in high-end restaurants in the region.</w:t>
      </w:r>
    </w:p>
    <w:p w14:paraId="5F1F4D25" w14:textId="77777777" w:rsidR="001E61A6" w:rsidRPr="008608AA" w:rsidRDefault="001E61A6" w:rsidP="009C39CE">
      <w:pPr>
        <w:spacing w:before="120"/>
        <w:rPr>
          <w:b/>
        </w:rPr>
      </w:pPr>
      <w:r w:rsidRPr="008608AA">
        <w:rPr>
          <w:b/>
        </w:rPr>
        <w:t>Freshwater</w:t>
      </w:r>
    </w:p>
    <w:p w14:paraId="4EDF69F8" w14:textId="35E21938" w:rsidR="001E61A6" w:rsidRPr="008608AA" w:rsidRDefault="001E61A6" w:rsidP="00B82C51">
      <w:pPr>
        <w:spacing w:before="120"/>
      </w:pPr>
      <w:r w:rsidRPr="008608AA">
        <w:t>Manatees (</w:t>
      </w:r>
      <w:r w:rsidRPr="008608AA">
        <w:rPr>
          <w:i/>
        </w:rPr>
        <w:t>Trichechus inunguis</w:t>
      </w:r>
      <w:r w:rsidRPr="008608AA">
        <w:t>) and giant otters (</w:t>
      </w:r>
      <w:r w:rsidRPr="008608AA">
        <w:rPr>
          <w:i/>
        </w:rPr>
        <w:t>Pteronura brasiliensis</w:t>
      </w:r>
      <w:r w:rsidRPr="008608AA">
        <w:t xml:space="preserve">) are the most demanded aquatic species of mammals found in wetlands with very high demand as food and leather, respectively. Caimans (black giant caiman, </w:t>
      </w:r>
      <w:r w:rsidRPr="008608AA">
        <w:rPr>
          <w:i/>
        </w:rPr>
        <w:t>Melanosuchus niger</w:t>
      </w:r>
      <w:r w:rsidRPr="008608AA">
        <w:t xml:space="preserve">, and spectacled caiman, </w:t>
      </w:r>
      <w:r w:rsidRPr="008608AA">
        <w:rPr>
          <w:i/>
        </w:rPr>
        <w:t>Caiman</w:t>
      </w:r>
      <w:r w:rsidRPr="008608AA">
        <w:t xml:space="preserve"> spp.), the Orinoco crocodile (</w:t>
      </w:r>
      <w:r w:rsidRPr="008608AA">
        <w:rPr>
          <w:i/>
        </w:rPr>
        <w:t>Crocodylu sintermedius</w:t>
      </w:r>
      <w:r w:rsidRPr="008608AA">
        <w:t xml:space="preserve">) and river turtles (mainly the Amazon giant turtle – </w:t>
      </w:r>
      <w:r w:rsidRPr="008608AA">
        <w:rPr>
          <w:i/>
        </w:rPr>
        <w:t>Podocnemis expansa</w:t>
      </w:r>
      <w:r w:rsidRPr="008608AA">
        <w:t>) are under strong harvesting pressure in the wetlands. While caimans are still found in healthy and very abundant populations in more remote areas, clear of human interference, river turtles struggle to resist to very high harvest rates (Seijas et al</w:t>
      </w:r>
      <w:r w:rsidR="00BA115A" w:rsidRPr="008608AA">
        <w:t>.</w:t>
      </w:r>
      <w:r w:rsidRPr="008608AA">
        <w:t xml:space="preserve">, 2010; </w:t>
      </w:r>
      <w:r w:rsidRPr="008608AA">
        <w:fldChar w:fldCharType="begin" w:fldLock="1"/>
      </w:r>
      <w:r w:rsidRPr="008608AA">
        <w:instrText>ADDIN CSL_CITATION { "citationItems" : [ { "id" : "ITEM-1", "itemData" : { "author" : [ { "dropping-particle" : "", "family" : "Turtle Conservation Coalition", "given" : "", "non-dropping-particle" : "", "parse-names" : false, "suffix" : "" } ], "id" : "ITEM-1", "issued" : { "date-parts" : [ [ "2011" ] ] }, "title" : "Top_25+_Turtles_in_Trouble_2011", "type" : "report" }, "uris" : [ "http://www.mendeley.com/documents/?uuid=1ece351e-d584-3f7f-9f30-4650a7634134" ] } ], "mendeley" : { "formattedCitation" : "(Turtle Conservation Coalition, 2011)", "plainTextFormattedCitation" : "(Turtle Conservation Coalition, 2011)", "previouslyFormattedCitation" : "(Turtle Conservation Coalition, 2011)" }, "properties" : { "noteIndex" : 0 }, "schema" : "https://github.com/citation-style-language/schema/raw/master/csl-citation.json" }</w:instrText>
      </w:r>
      <w:r w:rsidRPr="008608AA">
        <w:fldChar w:fldCharType="separate"/>
      </w:r>
      <w:r w:rsidRPr="008608AA">
        <w:t>Turtle Conservation Coalition</w:t>
      </w:r>
      <w:r w:rsidR="00BA115A" w:rsidRPr="008608AA">
        <w:t>,</w:t>
      </w:r>
      <w:r w:rsidRPr="008608AA">
        <w:t xml:space="preserve"> 2011)</w:t>
      </w:r>
      <w:r w:rsidRPr="008608AA">
        <w:fldChar w:fldCharType="end"/>
      </w:r>
      <w:r w:rsidR="002F71C9" w:rsidRPr="008608AA">
        <w:t>.</w:t>
      </w:r>
      <w:r w:rsidRPr="008608AA">
        <w:t xml:space="preserve"> In the Amazon and Pantanal, the overexploitation of large frugivorous fish may affect the dispersal of seeds within wetlands covering 15% of South America by area (Correa et al</w:t>
      </w:r>
      <w:r w:rsidR="00BA115A" w:rsidRPr="008608AA">
        <w:t>.</w:t>
      </w:r>
      <w:r w:rsidRPr="008608AA">
        <w:t>, 2015). Ornamental fish are caught in large numbers in the Amazon, and there is evidence of overharvest of species like the cardinal tetra (</w:t>
      </w:r>
      <w:r w:rsidRPr="008608AA">
        <w:rPr>
          <w:i/>
        </w:rPr>
        <w:t>Paracheirodon axelrodi</w:t>
      </w:r>
      <w:r w:rsidRPr="008608AA">
        <w:t xml:space="preserve"> ) </w:t>
      </w:r>
      <w:r w:rsidRPr="008608AA">
        <w:fldChar w:fldCharType="begin" w:fldLock="1"/>
      </w:r>
      <w:r w:rsidRPr="008608AA">
        <w:instrText>ADDIN CSL_CITATION { "citationItems" : [ { "id" : "ITEM-1", "itemData" : { "abstract" : "The theme of the mare 2009 Conference, 'Living with Uncertainty and Adapting to Change', is well suited to Latin American reality when thinking of the uncertainties of fisheries and the economically poor livelihoods of people in riverine and coastal areas. Currently, there are multiple pressures on those liveli-hoods, many of which come from imposed conservation restrictions by govern-mental environmental agencies or by industrial fishing. Artisanal fishing in Latin America is economically important, since it contributes to about a half of national catches for most countries, and it guarantees the subsistence and protein intake of riverine and coastal livelihoods. In order to manage aquatic resources in Latin America, attention to its particularities is needed, including an understanding of the: 1) local level of communities; 2) their geographic dispersion; 3) pre-existing local rules regarding the use of resources; 4) lack of data on aquatic resources; 5) significant body of available local ecological knowledge; and, 6) current levels of poverty and social needs. Moreover, this study addresses the absence of data on natural resources in most Latin American countries, and as a consequence, the problem of detecting overfishing which has been one obstacle in the man-agement of natural resources. Considering those aspects, different approaches to co-management are highlighted in this study, since they are useful for the under-standing of the different contexts where co-management is developed. Historical accounts by fishermen are much needed in fisheries that lack a baseline: such relevance increases the importance of participatory approaches in management and the necessity to rely on the use of local knowledge. Cooperatives and Reserves are illustrated, covering marine and freshwater systems. A Brazilian case com-paring ecological-historical management processes in the Atlantic Forest coast to Amazonian reserve movements serves to illustrate the need for a temporal understanding of management systems. One of these reserves, the 'Sustainable Development Reserve' in Brazil, is illustrated as a form to include livelihoods in the management process. Finally, the challenges that the management fishery resources in Latin America are faced are analyzed in this study, including the importance of turning attractive management for the poor, taking into considera-tion the subtractability of managed resources, and the questionable legitimacy of some institutions.", "author" : [ { "dropping-particle" : "", "family" : "Begossi", "given" : "Alpina", "non-dropping-particle" : "", "parse-names" : false, "suffix" : "" } ], "id" : "ITEM-1", "issue" : "2", "issued" : { "date-parts" : [ [ "2010" ] ] }, "page" : "7-31", "title" : "Small-scale fisheries in Latin America: Management Models and Challenges", "type" : "article-journal", "volume" : "9" }, "uris" : [ "http://www.mendeley.com/documents/?uuid=96d89c96-4511-309b-b1f6-611d68d6e4b4" ] } ], "mendeley" : { "formattedCitation" : "(Begossi, 2010)", "plainTextFormattedCitation" : "(Begossi, 2010)", "previouslyFormattedCitation" : "(Begossi, 2010)" }, "properties" : { "noteIndex" : 0 }, "schema" : "https://github.com/citation-style-language/schema/raw/master/csl-citation.json" }</w:instrText>
      </w:r>
      <w:r w:rsidRPr="008608AA">
        <w:fldChar w:fldCharType="separate"/>
      </w:r>
      <w:r w:rsidRPr="008608AA">
        <w:t>(Begossi</w:t>
      </w:r>
      <w:r w:rsidR="00BA115A" w:rsidRPr="008608AA">
        <w:t>,</w:t>
      </w:r>
      <w:r w:rsidRPr="008608AA">
        <w:t xml:space="preserve"> 2010)</w:t>
      </w:r>
      <w:r w:rsidRPr="008608AA">
        <w:fldChar w:fldCharType="end"/>
      </w:r>
      <w:r w:rsidRPr="008608AA">
        <w:t>.</w:t>
      </w:r>
    </w:p>
    <w:p w14:paraId="6BF12DA7" w14:textId="0F388D5E" w:rsidR="001E61A6" w:rsidRPr="008608AA" w:rsidRDefault="001E61A6" w:rsidP="00B82C51">
      <w:pPr>
        <w:spacing w:before="120"/>
        <w:rPr>
          <w:b/>
        </w:rPr>
      </w:pPr>
      <w:r w:rsidRPr="008608AA">
        <w:t>Even though Amazonian wetland forests are the most diverse in the world (Wittmann et al., 2006) and exploited for timber for many decades (Castello et al., 2013), quite a small number (N=14) of tree species were considered especially vulnerable (Ribeiro</w:t>
      </w:r>
      <w:r w:rsidR="00BA115A" w:rsidRPr="008608AA">
        <w:t>,</w:t>
      </w:r>
      <w:r w:rsidRPr="008608AA">
        <w:t xml:space="preserve"> 2007). Forest products for manufacturing and construction include timber, rattan and bamboo for furniture, plant oils and gums, dyes, resins and latex (Shirey et al</w:t>
      </w:r>
      <w:r w:rsidR="00BA115A" w:rsidRPr="008608AA">
        <w:t>.</w:t>
      </w:r>
      <w:r w:rsidRPr="008608AA">
        <w:t>, 2013). Some species, lik</w:t>
      </w:r>
      <w:r w:rsidR="002F71C9" w:rsidRPr="008608AA">
        <w:t>e m</w:t>
      </w:r>
      <w:r w:rsidRPr="008608AA">
        <w:t>ahogany (</w:t>
      </w:r>
      <w:r w:rsidRPr="008608AA">
        <w:rPr>
          <w:i/>
        </w:rPr>
        <w:t>Swietenia macrophylla</w:t>
      </w:r>
      <w:r w:rsidRPr="008608AA">
        <w:t>), are highly valued commercially for its beauty, durability, and color. It is estimated that approximately 58 million hect</w:t>
      </w:r>
      <w:r w:rsidR="002F71C9" w:rsidRPr="008608AA">
        <w:t>ares (21%) of mahogany’</w:t>
      </w:r>
      <w:r w:rsidRPr="008608AA">
        <w:t>s historic range had been lost to forest conversion by 2001 (Grogan et al</w:t>
      </w:r>
      <w:r w:rsidR="00BA115A" w:rsidRPr="008608AA">
        <w:t>.</w:t>
      </w:r>
      <w:r w:rsidRPr="008608AA">
        <w:t>, 2010). Commercial exploitation has sometimes led to traditional medicines becoming unavailable to the indigenous peoples that have relied on them for centuries or millennia. The fate of remaining mahogany stocks in South America will depend on transforming current forest management practices into sustainable production systems. Given the potential costs and benefits associated with trade, the challenges suggest that a collaborative approach between agencies, nurseries, and plant collectors is needed to regulate the trade of listed plants. There is a substantial international trade and demand for products like Brazil nuts, palm hearts, pine nuts, mushrooms and spices (Shirey et al</w:t>
      </w:r>
      <w:r w:rsidR="00BA115A" w:rsidRPr="008608AA">
        <w:t>.</w:t>
      </w:r>
      <w:r w:rsidRPr="008608AA">
        <w:t>, 2013). In regulating commercial trade, policymakers and conservation biologists may want to consider potential risks and benefits of private efforts to recover species (Shirey et al</w:t>
      </w:r>
      <w:r w:rsidR="00BA115A" w:rsidRPr="008608AA">
        <w:t>.</w:t>
      </w:r>
      <w:r w:rsidRPr="008608AA">
        <w:t xml:space="preserve">, 2013). More details on overharvesting in Amazonian wetlands are presented in </w:t>
      </w:r>
      <w:r w:rsidR="008A1BB6" w:rsidRPr="008608AA">
        <w:t>Box 4.16.</w:t>
      </w:r>
    </w:p>
    <w:p w14:paraId="1E71425A" w14:textId="1809205A" w:rsidR="001E61A6" w:rsidRPr="008608AA" w:rsidRDefault="00B82C51" w:rsidP="00B82C51">
      <w:pPr>
        <w:pStyle w:val="Caption"/>
        <w:rPr>
          <w:b w:val="0"/>
          <w:bCs w:val="0"/>
          <w:lang w:val="es-CO"/>
        </w:rPr>
      </w:pPr>
      <w:bookmarkStart w:id="1679" w:name="_Toc499200388"/>
      <w:bookmarkStart w:id="1680" w:name="_Toc499459231"/>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16</w:t>
      </w:r>
      <w:r w:rsidR="000E562E">
        <w:rPr>
          <w:noProof/>
        </w:rPr>
        <w:fldChar w:fldCharType="end"/>
      </w:r>
      <w:r w:rsidRPr="008608AA">
        <w:t xml:space="preserve">. </w:t>
      </w:r>
      <w:r w:rsidR="001E61A6" w:rsidRPr="008608AA">
        <w:rPr>
          <w:lang w:val="es-CO"/>
        </w:rPr>
        <w:t>Amazonian wetlands</w:t>
      </w:r>
      <w:bookmarkEnd w:id="1679"/>
      <w:bookmarkEnd w:id="1680"/>
    </w:p>
    <w:tbl>
      <w:tblPr>
        <w:tblStyle w:val="TableGrid"/>
        <w:tblW w:w="5000" w:type="pct"/>
        <w:tblLook w:val="04A0" w:firstRow="1" w:lastRow="0" w:firstColumn="1" w:lastColumn="0" w:noHBand="0" w:noVBand="1"/>
      </w:tblPr>
      <w:tblGrid>
        <w:gridCol w:w="9487"/>
      </w:tblGrid>
      <w:tr w:rsidR="001E61A6" w:rsidRPr="00A26FD5" w14:paraId="1AA55CEA" w14:textId="77777777" w:rsidTr="00596E28">
        <w:tc>
          <w:tcPr>
            <w:tcW w:w="5000" w:type="pct"/>
          </w:tcPr>
          <w:p w14:paraId="7A0B32B6" w14:textId="5F38A6D1" w:rsidR="001E61A6" w:rsidRPr="00A26FD5" w:rsidRDefault="001E61A6" w:rsidP="00B82C51">
            <w:pPr>
              <w:spacing w:before="120"/>
              <w:rPr>
                <w:szCs w:val="22"/>
              </w:rPr>
            </w:pPr>
            <w:r w:rsidRPr="00A26FD5">
              <w:rPr>
                <w:szCs w:val="22"/>
              </w:rPr>
              <w:t>In general, overexploitation of Amazonian wetland species has two types: timber species and fish species. Main reasons include strong market pressures from an increasing affluent urban population, unregulation of markets, and adoption of unsustainable techniques of extraction and/or production of resources, reduction of stocks, depletion and even extinctions. The Amazon human population is very dependent on local fisheries for their animal protein intake. Fish consumption is among the highest in the world. And almost 50% of the fished species exploited (and more than 60% of the biomass estimate of 450,000 tons produced annually) is directly related to the Amazonian wetlands, where they use either as spawning grounds or as nurseries to larval stages. As a very selective activity, this fishery exploits only a small fraction of the local fish diversity. Consequently, many stocks of the larger species exploited are already overfished, mainly in the more populated areas of the Amazonian wetlands (Junk et al</w:t>
            </w:r>
            <w:r w:rsidR="00BA115A" w:rsidRPr="00A26FD5">
              <w:rPr>
                <w:szCs w:val="22"/>
              </w:rPr>
              <w:t>.</w:t>
            </w:r>
            <w:r w:rsidRPr="00A26FD5">
              <w:rPr>
                <w:szCs w:val="22"/>
              </w:rPr>
              <w:t xml:space="preserve">, 2007). Although almost two hundred species of fish are of commercial value, </w:t>
            </w:r>
            <w:r w:rsidR="002F71C9" w:rsidRPr="00A26FD5">
              <w:rPr>
                <w:szCs w:val="22"/>
              </w:rPr>
              <w:t xml:space="preserve">fish yields are dominated by 18 to </w:t>
            </w:r>
            <w:r w:rsidRPr="00A26FD5">
              <w:rPr>
                <w:szCs w:val="22"/>
              </w:rPr>
              <w:t>20 species only. There was a reduction in the mean maximum body length of the main species harvested in 1895 (circa 206 cm) to the main species harvested in 2007 (circa 79 cm). From the group of species harvested in the early 19th century, three are now endangered. From the 18 species dominating yields nowadays, one is endangered and four were found to be overexploited in at least one region of the Amazon basin (Castello et al</w:t>
            </w:r>
            <w:r w:rsidR="00BA115A" w:rsidRPr="00A26FD5">
              <w:rPr>
                <w:szCs w:val="22"/>
              </w:rPr>
              <w:t>.</w:t>
            </w:r>
            <w:r w:rsidRPr="00A26FD5">
              <w:rPr>
                <w:szCs w:val="22"/>
              </w:rPr>
              <w:t>, 2013). Modern technologies allow fishermen to explore more distant places, to travel longer and further, and to catch and store a higher amount of fish biomass.</w:t>
            </w:r>
          </w:p>
        </w:tc>
      </w:tr>
    </w:tbl>
    <w:p w14:paraId="3B972593" w14:textId="77777777" w:rsidR="001E61A6" w:rsidRPr="008608AA" w:rsidRDefault="001E61A6" w:rsidP="008A1BB6">
      <w:pPr>
        <w:spacing w:before="240"/>
        <w:rPr>
          <w:rFonts w:eastAsia="Calibri"/>
          <w:b/>
        </w:rPr>
      </w:pPr>
      <w:r w:rsidRPr="008608AA">
        <w:rPr>
          <w:rFonts w:eastAsia="Calibri"/>
          <w:b/>
        </w:rPr>
        <w:t>Marine</w:t>
      </w:r>
    </w:p>
    <w:p w14:paraId="308958B0" w14:textId="67F36204" w:rsidR="001E61A6" w:rsidRPr="008608AA" w:rsidRDefault="001E61A6" w:rsidP="00B82C51">
      <w:pPr>
        <w:spacing w:before="120"/>
      </w:pPr>
      <w:r w:rsidRPr="008608AA">
        <w:t xml:space="preserve">While just over 27% of assessed fish stocks on the Pacific coast of South America are considered overexploited, roughly 69% of assessed fish stocks are overfished on the Atlantic coast. Conversely, 59% of unassessed stocks on the Pacific coast of South America are estimated to be overexploited, while 53% of assessed fish stocks are estimated to be overfished on the Atlantic coast (FAO, 2011; Hilborn </w:t>
      </w:r>
      <w:r w:rsidR="00994FEE" w:rsidRPr="008608AA">
        <w:t>&amp;</w:t>
      </w:r>
      <w:r w:rsidRPr="008608AA">
        <w:t xml:space="preserve"> Ovando, 2014).</w:t>
      </w:r>
    </w:p>
    <w:p w14:paraId="201C1B13" w14:textId="77777777" w:rsidR="001E61A6" w:rsidRPr="008608AA" w:rsidRDefault="001E61A6" w:rsidP="00B82C51">
      <w:pPr>
        <w:spacing w:before="120"/>
      </w:pPr>
      <w:r w:rsidRPr="008608AA">
        <w:t>The Humboldt Current moves cold Antarctic waters along the western coast of South America and drives upwelling of nutrient-rich water, making the coastal shelf one of the most productive marine environments in the world. Large environmental variations are known to cause large year-to-year fluctuations as well as longer-term changes in fish abundance and total production of the main exploited species (FAO, 2011). The world’s largest fishery by volume, the anchoveta, is targeted mainly by Peru and Chile. Overfishing played a major role in the collapse of the anchoveta fishery in 1973, 1983, and again in 1998, however it is also recognized that environmental conditions also significantly influenced the decline (FAO, 2016). More recently, the adoption of an individual quota system for the industrial sector of the fleet and other management measures have contributed to reducing the excess industrial fishing capacity for anchoveta. The small and medium scale sector still need reforms, but the fishery is considered by fisheries scientists to be managed within sustainable limits.</w:t>
      </w:r>
    </w:p>
    <w:p w14:paraId="71477826" w14:textId="447DD0DA" w:rsidR="001E61A6" w:rsidRPr="008608AA" w:rsidRDefault="001E61A6" w:rsidP="00B82C51">
      <w:pPr>
        <w:spacing w:before="120"/>
        <w:rPr>
          <w:b/>
        </w:rPr>
      </w:pPr>
      <w:r w:rsidRPr="008608AA">
        <w:t>Additionally, local populations of sea urchins, clams, scallops, and other shellfishes have been overexploited in some areas (FAO</w:t>
      </w:r>
      <w:r w:rsidR="00994FEE" w:rsidRPr="008608AA">
        <w:t>,</w:t>
      </w:r>
      <w:r w:rsidRPr="008608AA">
        <w:t xml:space="preserve"> 2011). As coastal stocks decline, commercial fishers continue to move further offshore in search of higher trophic-level species that are more valuable. Lack of effective fisheries management has also led to illegal, unreported, and unregulated fishing, and exploitation by foreign fleets. The bycatch of seabirds, marine mammals, and sea turtles is thought to be significant in both southwest Atlantic and southeast Pacific for gillnet and driftnet fishing gears, although there are large data gaps in the existing knowledge its extent and contribution to the overexploitation of marine species (Wiedenfeld et al</w:t>
      </w:r>
      <w:r w:rsidR="00994FEE" w:rsidRPr="008608AA">
        <w:t>.</w:t>
      </w:r>
      <w:r w:rsidRPr="008608AA">
        <w:t>, 2015).</w:t>
      </w:r>
    </w:p>
    <w:p w14:paraId="5DD9383F" w14:textId="41D0D889" w:rsidR="001E61A6" w:rsidRPr="008608AA" w:rsidRDefault="001E61A6" w:rsidP="00B82C51">
      <w:pPr>
        <w:spacing w:before="120"/>
      </w:pPr>
      <w:r w:rsidRPr="008608AA">
        <w:t xml:space="preserve">In the Americas, incorporation of traditional values, knowledge, and social taboos within indigenous communities is increasingly being recognized as a fundamental part of effective resource management (Colding </w:t>
      </w:r>
      <w:r w:rsidR="00994FEE" w:rsidRPr="008608AA">
        <w:t>&amp;</w:t>
      </w:r>
      <w:r w:rsidRPr="008608AA">
        <w:t xml:space="preserve"> Folke</w:t>
      </w:r>
      <w:r w:rsidR="00994FEE" w:rsidRPr="008608AA">
        <w:t>, 2001;</w:t>
      </w:r>
      <w:r w:rsidRPr="008608AA">
        <w:t xml:space="preserve"> Heyman et al.</w:t>
      </w:r>
      <w:r w:rsidR="00994FEE" w:rsidRPr="008608AA">
        <w:t>, 2001;</w:t>
      </w:r>
      <w:r w:rsidRPr="008608AA">
        <w:t xml:space="preserve"> Moller et al.</w:t>
      </w:r>
      <w:r w:rsidR="00994FEE" w:rsidRPr="008608AA">
        <w:t>, 2004;</w:t>
      </w:r>
      <w:r w:rsidRPr="008608AA">
        <w:t xml:space="preserve"> Fraser et al.</w:t>
      </w:r>
      <w:r w:rsidR="00994FEE" w:rsidRPr="008608AA">
        <w:t>, 2006;</w:t>
      </w:r>
      <w:r w:rsidRPr="008608AA">
        <w:t xml:space="preserve"> Herrmann</w:t>
      </w:r>
      <w:r w:rsidR="00994FEE" w:rsidRPr="008608AA">
        <w:t>,</w:t>
      </w:r>
      <w:r w:rsidRPr="008608AA">
        <w:t xml:space="preserve"> 2006). Trends are towards participatory, inclusive, community-based approaches to conservation (Berkes</w:t>
      </w:r>
      <w:r w:rsidR="00994FEE" w:rsidRPr="008608AA">
        <w:t>,</w:t>
      </w:r>
      <w:r w:rsidRPr="008608AA">
        <w:t xml:space="preserve"> 2007) that provides a sense of ownership and promotes self-management. Traditional ecological knowledge within indigenous communities accumulates across multiple generations and is learned through years of observations in nature (Drew</w:t>
      </w:r>
      <w:r w:rsidR="00994FEE" w:rsidRPr="008608AA">
        <w:t>,</w:t>
      </w:r>
      <w:r w:rsidRPr="008608AA">
        <w:t xml:space="preserve"> 2005). Invaluable local insight provides a deep understanding of the critical balance to maintain ecological integrity within an environment and it fosters shared responsibilities between locals and the science community. Moller et al</w:t>
      </w:r>
      <w:r w:rsidR="00994FEE" w:rsidRPr="008608AA">
        <w:t>.</w:t>
      </w:r>
      <w:r w:rsidRPr="008608AA">
        <w:t xml:space="preserve"> (2004) suggest that by combination traditional ecological knowledge and science, insight can be gained into prey population dynamics as well sustainable wildlife harvests. By doing so, partnerships and community buy in is garnered and indigenous users develop their own adaptive management actions which are often more effective since they have greater investment in having a sustainable resource.</w:t>
      </w:r>
    </w:p>
    <w:p w14:paraId="4E2F5BD5" w14:textId="77777777" w:rsidR="00B82C51" w:rsidRPr="008608AA" w:rsidRDefault="00B82C51" w:rsidP="00B82C51">
      <w:pPr>
        <w:spacing w:before="120"/>
      </w:pPr>
    </w:p>
    <w:p w14:paraId="714FBF32" w14:textId="2F82F64B" w:rsidR="001E61A6" w:rsidRPr="008608AA" w:rsidRDefault="001E61A6" w:rsidP="00B82C51">
      <w:pPr>
        <w:pStyle w:val="Heading2"/>
      </w:pPr>
      <w:bookmarkStart w:id="1681" w:name="_Toc357244086"/>
      <w:bookmarkStart w:id="1682" w:name="_Toc357981999"/>
      <w:bookmarkStart w:id="1683" w:name="_Toc357985217"/>
      <w:bookmarkStart w:id="1684" w:name="_Toc499459678"/>
      <w:bookmarkStart w:id="1685" w:name="_Toc503293143"/>
      <w:bookmarkStart w:id="1686" w:name="_Toc503293741"/>
      <w:bookmarkStart w:id="1687" w:name="_Toc503294003"/>
      <w:bookmarkStart w:id="1688" w:name="_Toc503863396"/>
      <w:bookmarkStart w:id="1689" w:name="_Toc503863624"/>
      <w:bookmarkStart w:id="1690" w:name="_Toc517393380"/>
      <w:bookmarkStart w:id="1691" w:name="_Toc517394437"/>
      <w:bookmarkStart w:id="1692" w:name="_Toc517719121"/>
      <w:bookmarkStart w:id="1693" w:name="_Toc517797078"/>
      <w:bookmarkStart w:id="1694" w:name="_Toc350507799"/>
      <w:bookmarkStart w:id="1695" w:name="_Toc477160202"/>
      <w:r w:rsidRPr="008608AA">
        <w:t>Direct natural drivers</w:t>
      </w:r>
      <w:bookmarkEnd w:id="1681"/>
      <w:bookmarkEnd w:id="1682"/>
      <w:bookmarkEnd w:id="1683"/>
      <w:bookmarkEnd w:id="1684"/>
      <w:bookmarkEnd w:id="1685"/>
      <w:bookmarkEnd w:id="1686"/>
      <w:bookmarkEnd w:id="1687"/>
      <w:bookmarkEnd w:id="1688"/>
      <w:bookmarkEnd w:id="1689"/>
      <w:bookmarkEnd w:id="1690"/>
      <w:bookmarkEnd w:id="1691"/>
      <w:bookmarkEnd w:id="1692"/>
      <w:bookmarkEnd w:id="1693"/>
      <w:r w:rsidRPr="008608AA">
        <w:t xml:space="preserve"> </w:t>
      </w:r>
    </w:p>
    <w:p w14:paraId="1B66DA1A" w14:textId="77777777" w:rsidR="001E61A6" w:rsidRPr="008608AA" w:rsidRDefault="001E61A6" w:rsidP="00B82C51">
      <w:pPr>
        <w:pStyle w:val="Heading3"/>
        <w:numPr>
          <w:ilvl w:val="0"/>
          <w:numId w:val="0"/>
        </w:numPr>
        <w:ind w:left="720" w:hanging="720"/>
      </w:pPr>
      <w:bookmarkStart w:id="1696" w:name="_Toc517393381"/>
      <w:bookmarkStart w:id="1697" w:name="_Toc517394438"/>
      <w:bookmarkStart w:id="1698" w:name="_Toc517719122"/>
      <w:bookmarkStart w:id="1699" w:name="_Toc517797079"/>
      <w:r w:rsidRPr="008608AA">
        <w:t xml:space="preserve">Nature of the driver, its recent status, and trends </w:t>
      </w:r>
      <w:r w:rsidRPr="008608AA">
        <w:rPr>
          <w:rFonts w:eastAsiaTheme="majorEastAsia"/>
        </w:rPr>
        <w:t>and what influences its intensity</w:t>
      </w:r>
      <w:bookmarkEnd w:id="1696"/>
      <w:bookmarkEnd w:id="1697"/>
      <w:bookmarkEnd w:id="1698"/>
      <w:bookmarkEnd w:id="1699"/>
    </w:p>
    <w:p w14:paraId="53C9D184" w14:textId="0A9D2962" w:rsidR="001E61A6" w:rsidRPr="008608AA" w:rsidRDefault="001E61A6" w:rsidP="00B82C51">
      <w:pPr>
        <w:spacing w:before="120"/>
      </w:pPr>
      <w:r w:rsidRPr="008608AA">
        <w:t>Direct natural drivers of biodiversity loss include large environmental disturbances. Effects of disturbance on biodiversity have been studied in many ecosystems (Dornelas</w:t>
      </w:r>
      <w:r w:rsidR="00994FEE" w:rsidRPr="008608AA">
        <w:t>,</w:t>
      </w:r>
      <w:r w:rsidRPr="008608AA">
        <w:t xml:space="preserve"> 2010; Vega-Rodriguez et al., 2015). The types of disturbance include everything from single tree-falls (Brokaw</w:t>
      </w:r>
      <w:r w:rsidR="00994FEE" w:rsidRPr="008608AA">
        <w:t>,</w:t>
      </w:r>
      <w:r w:rsidRPr="008608AA">
        <w:t xml:space="preserve"> 1985) to ecological catastrophes (Hughes</w:t>
      </w:r>
      <w:r w:rsidR="00994FEE" w:rsidRPr="008608AA">
        <w:t>,</w:t>
      </w:r>
      <w:r w:rsidRPr="008608AA">
        <w:t xml:space="preserve"> 1994). </w:t>
      </w:r>
    </w:p>
    <w:p w14:paraId="00778608" w14:textId="61FB1B9A" w:rsidR="001E61A6" w:rsidRPr="008608AA" w:rsidRDefault="001E61A6" w:rsidP="00B82C51">
      <w:pPr>
        <w:spacing w:before="120"/>
      </w:pPr>
      <w:r w:rsidRPr="008608AA">
        <w:t>Natural disturbances are caused by natural climatic, geologic, and biological fluctuations. Large, severe disturbances are often considered natural disasters, because they can threaten human life and have striking short-term effects on plant and animal populations (Lindenmayer et al., 2009). They are often event-triggered by natural hazards that overwhelm local response capacity and seriously affect the social and economic development of a region (</w:t>
      </w:r>
      <w:r w:rsidR="00F90429" w:rsidRPr="008608AA">
        <w:t>United Nations &amp; The World Bank</w:t>
      </w:r>
      <w:r w:rsidRPr="008608AA">
        <w:t xml:space="preserve">, 2010). </w:t>
      </w:r>
    </w:p>
    <w:p w14:paraId="045D828E" w14:textId="77777777" w:rsidR="001E61A6" w:rsidRPr="008608AA" w:rsidRDefault="001E61A6" w:rsidP="00B82C51">
      <w:pPr>
        <w:spacing w:before="120"/>
      </w:pPr>
      <w:r w:rsidRPr="008608AA">
        <w:t>Globally, natural hazards are classified as: geophysical (e.g. earthquake, volcano, mass movement; meteorological (short-lived/small to meso scale atmospheric processes, e.g. storms); hydrological (e.g. flood, wet mass movement, climatological (long-lived/meso to macro scale processes, e.g. extreme temperature, drought, wildfire), or biological (e.g. epidemic, insect infestation, animal stampede) (Guha et al., 2014). Biological disasters are not included in this assessment.</w:t>
      </w:r>
    </w:p>
    <w:p w14:paraId="1266240F" w14:textId="196338D0" w:rsidR="001E61A6" w:rsidRPr="008608AA" w:rsidRDefault="001E61A6" w:rsidP="00B82C51">
      <w:pPr>
        <w:spacing w:before="120"/>
      </w:pPr>
      <w:r w:rsidRPr="008608AA">
        <w:t>Sources of risk are both natural and man-made. Ecos</w:t>
      </w:r>
      <w:r w:rsidR="000E2329" w:rsidRPr="008608AA">
        <w:t>ystem structure can ameliorate “natural”</w:t>
      </w:r>
      <w:r w:rsidRPr="008608AA">
        <w:t xml:space="preserve"> hazards and disruptive natural events. For example, vegetative structure can reduce potentially catastrophic effects of storms, floods, and droughts through its storage capacity and surface resistance whilecoral reefs can reduce wave energy and protect adjacent coastlines from storm damage (de Groot et al</w:t>
      </w:r>
      <w:r w:rsidR="00994FEE" w:rsidRPr="008608AA">
        <w:t>.,</w:t>
      </w:r>
      <w:r w:rsidRPr="008608AA">
        <w:t xml:space="preserve"> 2002). Forests and riparian wetlands or coastal ecosystems like vegetated dunes, mangroves, coral reefs and sea-grass, reduce exposure to natural hazards by acting as natural buffers and protective barriers that, reducing the impacts of extreme natural events like landslides, tidal waves </w:t>
      </w:r>
      <w:r w:rsidR="00994FEE" w:rsidRPr="008608AA">
        <w:t>or tsunamis (Welle et al., 2012;</w:t>
      </w:r>
      <w:r w:rsidRPr="008608AA">
        <w:t xml:space="preserve"> </w:t>
      </w:r>
      <w:r w:rsidRPr="008608AA">
        <w:fldChar w:fldCharType="begin" w:fldLock="1"/>
      </w:r>
      <w:r w:rsidRPr="008608AA">
        <w:instrText>ADDIN CSL_CITATION { "citationItems" : [ { "id" : "ITEM-1", "itemData" : { "id" : "ITEM-1", "issued" : { "date-parts" : [ [ "0" ] ] }, "title" : "Rodil et al. 2015", "type" : "article-journal" }, "uris" : [ "http://www.mendeley.com/documents/?uuid=0176e46f-d0c6-3118-86f1-31a5aa691431" ] } ], "mendeley" : { "formattedCitation" : "(Rodil et al. 2015 n.d.)", "manualFormatting" : "(Rodil et al. 2015", "plainTextFormattedCitation" : "(Rodil et al. 2015 n.d.)", "previouslyFormattedCitation" : "(Rodil et al. 2015 n.d.)" }, "properties" : { "noteIndex" : 0 }, "schema" : "https://github.com/citation-style-language/schema/raw/master/csl-citation.json" }</w:instrText>
      </w:r>
      <w:r w:rsidRPr="008608AA">
        <w:fldChar w:fldCharType="separate"/>
      </w:r>
      <w:r w:rsidRPr="008608AA">
        <w:t>Rodil et al., 2015</w:t>
      </w:r>
      <w:r w:rsidRPr="008608AA">
        <w:fldChar w:fldCharType="end"/>
      </w:r>
      <w:r w:rsidRPr="008608AA">
        <w:t xml:space="preserve">). Consequently, environmental degradation directly magnifies the risk natural hazards by destroying natural barriers, leaveing human settlements and socioeconomic activities more vulnerable.  </w:t>
      </w:r>
    </w:p>
    <w:p w14:paraId="73820156" w14:textId="6DFF0669" w:rsidR="001E61A6" w:rsidRPr="008608AA" w:rsidRDefault="001E61A6" w:rsidP="00B82C51">
      <w:pPr>
        <w:spacing w:before="120"/>
      </w:pPr>
      <w:r w:rsidRPr="008608AA">
        <w:t>Climate change is predicted to increase the frequency of high-intensity storms in selected ocean basins d</w:t>
      </w:r>
      <w:r w:rsidR="00F90429" w:rsidRPr="008608AA">
        <w:t xml:space="preserve">epending on the climate model. </w:t>
      </w:r>
      <w:r w:rsidRPr="008608AA">
        <w:t xml:space="preserve">The majority of tropical hurricanes damage from climate change tends to be concentrated in North America and the Caribbean–Central American region (Mendelsohn et al., 2012). Increasing water temperatures along the Pacific coast through strong El Niño conditions and global warming can increase hurricane intensity. Although rare, more subtropical hurricanes have </w:t>
      </w:r>
      <w:r w:rsidR="00F90429" w:rsidRPr="008608AA">
        <w:t>developed in the S</w:t>
      </w:r>
      <w:r w:rsidRPr="008608AA">
        <w:t>outh Atlantic Ocean near Brazil. Changes in global atmospheric circulation patterns accompaning La Niña are responsible for weather extremes in parts of the world that are typically opposite to the El Niño changes.</w:t>
      </w:r>
    </w:p>
    <w:p w14:paraId="5D7A2F6A" w14:textId="77777777" w:rsidR="001E61A6" w:rsidRPr="008608AA" w:rsidRDefault="001E61A6" w:rsidP="00B82C51">
      <w:pPr>
        <w:spacing w:before="120"/>
      </w:pPr>
      <w:r w:rsidRPr="008608AA">
        <w:t xml:space="preserve">The Americas suffered from 74 natural disasters in 2013 (Guha-Sapir et al., 2014). Hydrological disasters (43.2%) and meteorological disasters (31.1%) occurred most often, followed by climatological (20.3%) and geophysical (5.4%) disasters. Globally, the Americas (22.2%) was only second after Asia (40.7%) in experiencing natural disasters in 2013. The nature of the risk, however, is different for different </w:t>
      </w:r>
      <w:r w:rsidR="007C45FD" w:rsidRPr="008608AA">
        <w:t>sub</w:t>
      </w:r>
      <w:r w:rsidRPr="008608AA">
        <w:t xml:space="preserve">regions of the Americas as presented below. </w:t>
      </w:r>
    </w:p>
    <w:p w14:paraId="3379EC92" w14:textId="73365ADD" w:rsidR="001E61A6" w:rsidRPr="008608AA" w:rsidRDefault="001E61A6" w:rsidP="00B82C51">
      <w:pPr>
        <w:pStyle w:val="Heading4"/>
        <w:numPr>
          <w:ilvl w:val="0"/>
          <w:numId w:val="0"/>
        </w:numPr>
        <w:spacing w:before="120" w:line="240" w:lineRule="auto"/>
      </w:pPr>
      <w:bookmarkStart w:id="1700" w:name="_Toc517393382"/>
      <w:bookmarkStart w:id="1701" w:name="_Toc517394439"/>
      <w:bookmarkStart w:id="1702" w:name="_Toc517719123"/>
      <w:bookmarkStart w:id="1703" w:name="_Toc517797080"/>
      <w:r w:rsidRPr="008608AA">
        <w:t>North America</w:t>
      </w:r>
      <w:bookmarkEnd w:id="1700"/>
      <w:bookmarkEnd w:id="1701"/>
      <w:bookmarkEnd w:id="1702"/>
      <w:bookmarkEnd w:id="1703"/>
    </w:p>
    <w:p w14:paraId="67756891" w14:textId="7F555F8C" w:rsidR="001E61A6" w:rsidRPr="008608AA" w:rsidRDefault="001E61A6" w:rsidP="00B82C51">
      <w:pPr>
        <w:spacing w:before="120"/>
      </w:pPr>
      <w:r w:rsidRPr="008608AA">
        <w:t>North America has a vast range of natural disasters per year with hurricanes</w:t>
      </w:r>
      <w:r w:rsidR="00F90429" w:rsidRPr="008608AA">
        <w:t xml:space="preserve"> being one of the most common. </w:t>
      </w:r>
      <w:r w:rsidRPr="008608AA">
        <w:t>The prevailing winds in the tropical latitudes of the Northern Hemisphere, where tropical hurricanes typically form, blow from east to west directing hurricanes to the eastern and southern coasts of the USA the islands of the Caribbean, Central America, and Mexico (see</w:t>
      </w:r>
      <w:r w:rsidR="00F90429" w:rsidRPr="008608AA">
        <w:t xml:space="preserve"> next sections). Hurricanes on e</w:t>
      </w:r>
      <w:r w:rsidRPr="008608AA">
        <w:t xml:space="preserve">astern coasts can venture much further north due to the influence </w:t>
      </w:r>
      <w:r w:rsidR="00F90429" w:rsidRPr="008608AA">
        <w:t>of warm waters of the Gulf s</w:t>
      </w:r>
      <w:r w:rsidRPr="008608AA">
        <w:t>tream. The west coast of Central America and Mexico are often affected by severe topical storms in the Pacific Ocean, or storms that cross from the Atlantic to the Pacific Ocean. Hurricanes, tornadoes, and other ecological disturbances alter structure and create periodic forest clearings. Hurricane Katrina (a category 5 storm) was the second costliest d</w:t>
      </w:r>
      <w:r w:rsidR="00F90429" w:rsidRPr="008608AA">
        <w:t xml:space="preserve">isaster, with total losses of </w:t>
      </w:r>
      <w:r w:rsidRPr="008608AA">
        <w:t xml:space="preserve">$140 billion (in </w:t>
      </w:r>
      <w:r w:rsidR="00994FEE" w:rsidRPr="008608AA">
        <w:t xml:space="preserve">US </w:t>
      </w:r>
      <w:r w:rsidRPr="008608AA">
        <w:t xml:space="preserve">2010 values) (Wirtz et al., 2014). The aftermath resulted in an estimated loss of 320 million trees in Louisiana and Mississippi in 2005 </w:t>
      </w:r>
      <w:r w:rsidRPr="008608AA">
        <w:fldChar w:fldCharType="begin" w:fldLock="1"/>
      </w:r>
      <w:r w:rsidRPr="008608AA">
        <w:instrText>ADDIN CSL_CITATION { "citationItems" : [ { "id" : "ITEM-1", "itemData" : { "author" : [ { "dropping-particle" : "", "family" : "Hanson, C., Yonavjak, L., Clarke, C., Minnemeyer, S., Boisrobert, L., Leach, A., Schleeweis", "given" : "K.", "non-dropping-particle" : "", "parse-names" : false, "suffix" : "" } ], "id" : "ITEM-1", "issued" : { "date-parts" : [ [ "2010" ] ] }, "number-of-pages" : "p. 73", "publisher-place" : "Washington, DC", "title" : "Southern Forests for the Future", "type" : "report" }, "uris" : [ "http://www.mendeley.com/documents/?uuid=13b1bebb-5f3e-3839-8ce7-1e03f6bd5850" ] } ], "mendeley" : { "formattedCitation" : "(Hanson, C., Yonavjak, L., Clarke, C., Minnemeyer, S., Boisrobert, L., Leach, A., Schleeweis 2010)", "manualFormatting" : "(Hanson et al. 2010)", "plainTextFormattedCitation" : "(Hanson, C., Yonavjak, L., Clarke, C., Minnemeyer, S., Boisrobert, L., Leach, A., Schleeweis 2010)", "previouslyFormattedCitation" : "(Hanson, C., Yonavjak, L., Clarke, C., Minnemeyer, S., Boisrobert, L., Leach, A., Schleeweis 2010)" }, "properties" : { "noteIndex" : 0 }, "schema" : "https://github.com/citation-style-language/schema/raw/master/csl-citation.json" }</w:instrText>
      </w:r>
      <w:r w:rsidRPr="008608AA">
        <w:fldChar w:fldCharType="separate"/>
      </w:r>
      <w:r w:rsidRPr="008608AA">
        <w:t>(Hanson et al., 2010)</w:t>
      </w:r>
      <w:r w:rsidRPr="008608AA">
        <w:fldChar w:fldCharType="end"/>
      </w:r>
      <w:r w:rsidRPr="008608AA">
        <w:t xml:space="preserve">. Florida, in particular, is one of the most hurricane-prone areas in the USA </w:t>
      </w:r>
      <w:r w:rsidRPr="008608AA">
        <w:fldChar w:fldCharType="begin" w:fldLock="1"/>
      </w:r>
      <w:r w:rsidRPr="008608AA">
        <w:instrText>ADDIN CSL_CITATION { "citationItems" : [ { "id" : "ITEM-1", "itemData" : { "author" : [ { "dropping-particle" : "", "family" : "Leatherman, S., Defraene", "given" : "N.", "non-dropping-particle" : "", "parse-names" : false, "suffix" : "" } ], "id" : "ITEM-1", "issued" : { "date-parts" : [ [ "2006" ] ] }, "publisher-place" : " Miami, Florida.", "title" : "10 Most Hurricane Vulnerable Areas.", "type" : "report" }, "uris" : [ "http://www.mendeley.com/documents/?uuid=9f76ea54-c15b-3d53-b241-98f01d903ce8" ] } ], "mendeley" : { "formattedCitation" : "(Leatherman, S., Defraene 2006)", "manualFormatting" : "(Leatherman and Defraene 2006)", "plainTextFormattedCitation" : "(Leatherman, S., Defraene 2006)", "previouslyFormattedCitation" : "(Leatherman, S., Defraene 2006)" }, "properties" : { "noteIndex" : 0 }, "schema" : "https://github.com/citation-style-language/schema/raw/master/csl-citation.json" }</w:instrText>
      </w:r>
      <w:r w:rsidRPr="008608AA">
        <w:fldChar w:fldCharType="separate"/>
      </w:r>
      <w:r w:rsidRPr="008608AA">
        <w:t xml:space="preserve">(Leatherman </w:t>
      </w:r>
      <w:r w:rsidR="00994FEE" w:rsidRPr="008608AA">
        <w:t>&amp;</w:t>
      </w:r>
      <w:r w:rsidRPr="008608AA">
        <w:t xml:space="preserve"> Defraene</w:t>
      </w:r>
      <w:r w:rsidR="00994FEE" w:rsidRPr="008608AA">
        <w:t>,</w:t>
      </w:r>
      <w:r w:rsidRPr="008608AA">
        <w:t xml:space="preserve"> 2006)</w:t>
      </w:r>
      <w:r w:rsidRPr="008608AA">
        <w:fldChar w:fldCharType="end"/>
      </w:r>
      <w:r w:rsidR="00F90429" w:rsidRPr="008608AA">
        <w:t>.</w:t>
      </w:r>
      <w:r w:rsidRPr="008608AA">
        <w:t xml:space="preserve"> </w:t>
      </w:r>
      <w:r w:rsidRPr="008608AA">
        <w:fldChar w:fldCharType="begin" w:fldLock="1"/>
      </w:r>
      <w:r w:rsidRPr="008608AA">
        <w:instrText>ADDIN CSL_CITATION { "citationItems" : [ { "id" : "ITEM-1", "itemData" : { "id" : "ITEM-1", "issued" : { "date-parts" : [ [ "0" ] ] }, "title" : "Delphin et al 2013 hurricane and C losses", "type" : "article-journal" }, "uris" : [ "http://www.mendeley.com/documents/?uuid=01459253-4524-3a33-be11-344b8b87255a" ] } ], "mendeley" : { "formattedCitation" : "(Delphin et al 2013 hurricane and C losses n.d.)", "manualFormatting" : "Delphin et al (2013)", "plainTextFormattedCitation" : "(Delphin et al 2013 hurricane and C losses n.d.)", "previouslyFormattedCitation" : "(Delphin et al 2013 hurricane and C losses n.d.)" }, "properties" : { "noteIndex" : 0 }, "schema" : "https://github.com/citation-style-language/schema/raw/master/csl-citation.json" }</w:instrText>
      </w:r>
      <w:r w:rsidRPr="008608AA">
        <w:fldChar w:fldCharType="separate"/>
      </w:r>
      <w:r w:rsidRPr="008608AA">
        <w:t>Delphin et al</w:t>
      </w:r>
      <w:r w:rsidR="00994FEE" w:rsidRPr="008608AA">
        <w:t>.</w:t>
      </w:r>
      <w:r w:rsidRPr="008608AA">
        <w:t xml:space="preserve"> (2013)</w:t>
      </w:r>
      <w:r w:rsidRPr="008608AA">
        <w:fldChar w:fldCharType="end"/>
      </w:r>
      <w:r w:rsidRPr="008608AA">
        <w:t xml:space="preserve"> project major hurricane-related losses in two key ecosystem services over time: aboveground carbon storage and timber volume. Other ecosystem services that are at risk due to impacts of severe storms include storm protection from coral reef and mangroves, and other benefits obtained from low-lying coastal habitats. In the west coast of the US</w:t>
      </w:r>
      <w:r w:rsidR="00F90429" w:rsidRPr="008608AA">
        <w:t>A</w:t>
      </w:r>
      <w:r w:rsidRPr="008608AA">
        <w:t>, major landslides have been associated with El Nino events, especially in California State, mainly from intense rainfall (Godt et al., 1999).</w:t>
      </w:r>
    </w:p>
    <w:p w14:paraId="1E39601D" w14:textId="77777777" w:rsidR="001E61A6" w:rsidRPr="008608AA" w:rsidRDefault="001E61A6" w:rsidP="00B82C51">
      <w:pPr>
        <w:spacing w:before="120"/>
      </w:pPr>
      <w:r w:rsidRPr="008608AA">
        <w:t xml:space="preserve">Earthquake and volcanic events occur along plate boundaries in the west coast. Volcanic eruptions are active in the hot spot zone of Hawaii and in the North Pacific region including volcanoes in Alaska, the Aleutian Islands, and the Kamchatkan Peninsula. </w:t>
      </w:r>
    </w:p>
    <w:p w14:paraId="1A28FF6C" w14:textId="2C56C8B7" w:rsidR="001E61A6" w:rsidRPr="008608AA" w:rsidRDefault="001E61A6" w:rsidP="00B82C51">
      <w:pPr>
        <w:spacing w:before="120"/>
      </w:pPr>
      <w:r w:rsidRPr="008608AA">
        <w:t>Severe forest fires occur in western North America where conditions are drier. Fires are a natural and important disturbance in many temperate forests, but natural fire regime can be changed by poor forestry management, invasive specie</w:t>
      </w:r>
      <w:r w:rsidR="00F90429" w:rsidRPr="008608AA">
        <w:t>s, encroachment, and by humans.</w:t>
      </w:r>
      <w:r w:rsidRPr="008608AA">
        <w:t xml:space="preserve"> In North America, fire suppression in some areas, has contributed to the decline of grizzly bear (</w:t>
      </w:r>
      <w:r w:rsidRPr="008608AA">
        <w:rPr>
          <w:i/>
          <w:iCs/>
        </w:rPr>
        <w:t>Ursus arctos horribilis</w:t>
      </w:r>
      <w:r w:rsidRPr="008608AA">
        <w:t xml:space="preserve">) numbers (Contreras </w:t>
      </w:r>
      <w:r w:rsidRPr="008608AA">
        <w:rPr>
          <w:iCs/>
        </w:rPr>
        <w:t xml:space="preserve">et al., </w:t>
      </w:r>
      <w:r w:rsidRPr="008608AA">
        <w:t>1986). Fires promote and maintain many important berry-producing shrubs and forbs, which are important food source for bears, as well as providing habitat for insects and, in some cases, carrion. Some of the largest fires in the world occur in boreal forests. Fire return times in natural forests vary greatly, from 40 years in some Jack pine (</w:t>
      </w:r>
      <w:r w:rsidRPr="008608AA">
        <w:rPr>
          <w:i/>
          <w:iCs/>
        </w:rPr>
        <w:t>Pinus banksian</w:t>
      </w:r>
      <w:r w:rsidRPr="008608AA">
        <w:t>a) ecosystems in central Canada, to 300 years, depending on climate (van Wagner</w:t>
      </w:r>
      <w:r w:rsidR="00994FEE" w:rsidRPr="008608AA">
        <w:t>,</w:t>
      </w:r>
      <w:r w:rsidRPr="008608AA">
        <w:t xml:space="preserve"> 1978). Most boreal conifers and broad-leaved deciduous trees suffer high mortality even at low fire intensities, owing to canopy architecture, low foliar moisture, and thin bark (Johnson</w:t>
      </w:r>
      <w:r w:rsidR="00994FEE" w:rsidRPr="008608AA">
        <w:t>,</w:t>
      </w:r>
      <w:r w:rsidRPr="008608AA">
        <w:t xml:space="preserve"> 1992). Generally, the ability of post-fire boreal forest to regenerate is high, but frequent high intensity fires can offset this balance. Weather and climate are determinants for behavior and severity of wildfires, along with fuel properties, topography </w:t>
      </w:r>
      <w:r w:rsidRPr="008608AA">
        <w:fldChar w:fldCharType="begin" w:fldLock="1"/>
      </w:r>
      <w:r w:rsidRPr="008608AA">
        <w:instrText>ADDIN CSL_CITATION { "citationItems" : [ { "id" : "ITEM-1", "itemData" : { "author" : [ { "dropping-particle" : "", "family" : "Pyne, S., Andrews, P.L., Laven", "given" : "R.D.", "non-dropping-particle" : "", "parse-names" : false, "suffix" : "" } ], "id" : "ITEM-1", "issued" : { "date-parts" : [ [ "1996" ] ] }, "number-of-pages" : "p. 769.", "publisher" : "John Wiley &amp; Sons, Inc, ", "title" : "Introduction to Wildland Fire.", "type" : "book" }, "uris" : [ "http://www.mendeley.com/documents/?uuid=082ed08e-d259-32ae-a09b-1c9eba20b7b7" ] } ], "mendeley" : { "formattedCitation" : "(Pyne, S., Andrews, P.L., Laven 1996)", "manualFormatting" : "(Pyne et al. 1996)", "plainTextFormattedCitation" : "(Pyne, S., Andrews, P.L., Laven 1996)", "previouslyFormattedCitation" : "(Pyne, S., Andrews, P.L., Laven 1996)" }, "properties" : { "noteIndex" : 0 }, "schema" : "https://github.com/citation-style-language/schema/raw/master/csl-citation.json" }</w:instrText>
      </w:r>
      <w:r w:rsidRPr="008608AA">
        <w:fldChar w:fldCharType="separate"/>
      </w:r>
      <w:r w:rsidRPr="008608AA">
        <w:t>(Pyne et al., 1996)</w:t>
      </w:r>
      <w:r w:rsidRPr="008608AA">
        <w:fldChar w:fldCharType="end"/>
      </w:r>
      <w:r w:rsidRPr="008608AA">
        <w:t xml:space="preserve">, and the effects of climate variability which are apparent as summer temperatures increase and many regions </w:t>
      </w:r>
      <w:r w:rsidR="00C72A0B" w:rsidRPr="008608AA">
        <w:t xml:space="preserve">experience long-term droughts. </w:t>
      </w:r>
      <w:r w:rsidRPr="008608AA">
        <w:t>Under warm and dry conditions, a fire season becomes longer, and fires are easier to ignite and spread. In addition, the spread of annual invasive grasses has led to much larger, more frequent</w:t>
      </w:r>
      <w:r w:rsidR="00C72A0B" w:rsidRPr="008608AA">
        <w:t xml:space="preserve"> fires in dryland regions (e.g.</w:t>
      </w:r>
      <w:r w:rsidRPr="008608AA">
        <w:t xml:space="preserve"> </w:t>
      </w:r>
      <w:r w:rsidRPr="008608AA">
        <w:fldChar w:fldCharType="begin" w:fldLock="1"/>
      </w:r>
      <w:r w:rsidRPr="008608AA">
        <w:instrText>ADDIN CSL_CITATION { "citationItems" : [ { "id" : "ITEM-1", "itemData" : { "ISBN" : "9780520246058", "abstract" : "&lt;p&gt;The southeastern deserts bioregion (desert bioregion) occupies the southeastern 27% of California (110,283 km&amp;#xb2; or 27,251,610 ac) (Miles and Goudy 1997) (Map 16.1). The desert bioregion is within the basin and range geomorphic province of western North America, and includes two ecoregional provinces comprised of five ecological sections. The American Semi-Desert and Desert Province (hot-desert province) includes the Mojave Desert, Sonoran Desert, and Colorado Desert sections in the southern 83% of the desert bioregion (Table 16.1). The Intermountain Semi-Desert Province (cold-desert province) includes the Southeastern Great Basin and Mono sections in the northern 17% of the desert bioregion.&lt;/p&gt;&lt;p&gt;The geomorphology&lt;/p&gt;", "author" : [ { "dropping-particle" : "", "family" : "BROOKS", "given" : "MATTHEW L", "non-dropping-particle" : "", "parse-names" : false, "suffix" : "" }, { "dropping-particle" : "", "family" : "MINNICH", "given" : "RICHARD A", "non-dropping-particle" : "", "parse-names" : false, "suffix" : "" }, { "dropping-particle" : "", "family" : "Agee", "given" : "James K", "non-dropping-particle" : "", "parse-names" : false, "suffix" : "" } ], "container-title" : "Fire in California&amp;#x2019;s Ecosystems", "edition" : "1", "id" : "ITEM-1", "issued" : { "date-parts" : [ [ "2006" ] ] }, "page" : "391-414", "publisher" : "University of California Press", "title" : "Southeastern Deserts Bioregion", "type" : "chapter" }, "uris" : [ "http://www.mendeley.com/documents/?uuid=1d25e98f-1593-44a4-a925-1c45ccd3175b" ] } ], "mendeley" : { "formattedCitation" : "(BROOKS et al. 2006)", "manualFormatting" : "Brooks and Minnich 2006)", "plainTextFormattedCitation" : "(BROOKS et al. 2006)", "previouslyFormattedCitation" : "(BROOKS et al. 2006)" }, "properties" : { "noteIndex" : 0 }, "schema" : "https://github.com/citation-style-language/schema/raw/master/csl-citation.json" }</w:instrText>
      </w:r>
      <w:r w:rsidRPr="008608AA">
        <w:fldChar w:fldCharType="separate"/>
      </w:r>
      <w:r w:rsidRPr="008608AA">
        <w:t xml:space="preserve">Brooks </w:t>
      </w:r>
      <w:r w:rsidR="00994FEE" w:rsidRPr="008608AA">
        <w:t>&amp;</w:t>
      </w:r>
      <w:r w:rsidRPr="008608AA">
        <w:t xml:space="preserve"> Minnich</w:t>
      </w:r>
      <w:r w:rsidR="00994FEE" w:rsidRPr="008608AA">
        <w:t>,</w:t>
      </w:r>
      <w:r w:rsidRPr="008608AA">
        <w:t xml:space="preserve"> 2006)</w:t>
      </w:r>
      <w:r w:rsidRPr="008608AA">
        <w:fldChar w:fldCharType="end"/>
      </w:r>
      <w:r w:rsidRPr="008608AA">
        <w:t>. La Niña favors slighty higher than normal temperatures in a broad area covering the southern Rock</w:t>
      </w:r>
      <w:r w:rsidR="00C72A0B" w:rsidRPr="008608AA">
        <w:t>ies and Great Plains, the Ohio valley, the southeast, and the mid-Atlantic S</w:t>
      </w:r>
      <w:r w:rsidRPr="008608AA">
        <w:t xml:space="preserve">tates. </w:t>
      </w:r>
    </w:p>
    <w:p w14:paraId="31DB7F44" w14:textId="77777777" w:rsidR="001E61A6" w:rsidRPr="008608AA" w:rsidRDefault="001E61A6" w:rsidP="00B82C51">
      <w:pPr>
        <w:pStyle w:val="Heading4"/>
        <w:numPr>
          <w:ilvl w:val="0"/>
          <w:numId w:val="0"/>
        </w:numPr>
        <w:spacing w:before="120" w:line="240" w:lineRule="auto"/>
      </w:pPr>
      <w:bookmarkStart w:id="1704" w:name="_Toc517393383"/>
      <w:bookmarkStart w:id="1705" w:name="_Toc517394440"/>
      <w:bookmarkStart w:id="1706" w:name="_Toc517719124"/>
      <w:bookmarkStart w:id="1707" w:name="_Toc517797081"/>
      <w:r w:rsidRPr="008608AA">
        <w:t>Mesoamerica</w:t>
      </w:r>
      <w:bookmarkEnd w:id="1704"/>
      <w:bookmarkEnd w:id="1705"/>
      <w:bookmarkEnd w:id="1706"/>
      <w:bookmarkEnd w:id="1707"/>
      <w:r w:rsidRPr="008608AA">
        <w:t xml:space="preserve"> </w:t>
      </w:r>
    </w:p>
    <w:p w14:paraId="4CAE33E9" w14:textId="6DF9716E" w:rsidR="001E61A6" w:rsidRPr="008608AA" w:rsidRDefault="001E61A6" w:rsidP="00B82C51">
      <w:pPr>
        <w:spacing w:before="120"/>
      </w:pPr>
      <w:r w:rsidRPr="008608AA">
        <w:t>Mesoamerica also faces a variety of natural disasters, with 31% caused by floods, 26% by wind storms, 19% by earthquakes and 8% by volca</w:t>
      </w:r>
      <w:r w:rsidR="00C72A0B" w:rsidRPr="008608AA">
        <w:t>noes (Charveriat et al., 2000).</w:t>
      </w:r>
      <w:r w:rsidRPr="008608AA">
        <w:t xml:space="preserve"> Rainfall-induced disasters rank first among all natural disasters in Central America. In Central America and the Caribbean, storms that develop along the intertropical convergence zone and the subtropical high-pressure zone, dominate the weather. In Mesoamerica, it is common for two or more countries to be struck by the same rainfall event. For example, Hurricane Mitch in 1998 affected the enti</w:t>
      </w:r>
      <w:r w:rsidR="00C72A0B" w:rsidRPr="008608AA">
        <w:t>re region, killing more than 18,</w:t>
      </w:r>
      <w:r w:rsidRPr="008608AA">
        <w:t>000 people (Guinea Barrientos et al., 2015). In tropical semi-deciduous forest on the Yucatan Peninsula, Mexico, species richness of bees declined after hurricane Hurricane Dean (2007), with a loss of 40% of the species present beforehand, however the native bee community returned to previous species diversity levels just two months after the hurricane, probably due to the rapid recovery of the vegetation (Ramírez et al.</w:t>
      </w:r>
      <w:r w:rsidR="00994FEE" w:rsidRPr="008608AA">
        <w:t>,</w:t>
      </w:r>
      <w:r w:rsidRPr="008608AA">
        <w:t xml:space="preserve"> 2016).</w:t>
      </w:r>
    </w:p>
    <w:p w14:paraId="520A542D" w14:textId="46E16D84" w:rsidR="001E61A6" w:rsidRPr="008608AA" w:rsidRDefault="001E61A6" w:rsidP="00B82C51">
      <w:pPr>
        <w:spacing w:before="120"/>
      </w:pPr>
      <w:r w:rsidRPr="008608AA">
        <w:t xml:space="preserve">El Niño years are associated with intense droughts and an increase in wildfires. In Mexico, during El Niño of 1998 near to 849,632 </w:t>
      </w:r>
      <w:r w:rsidR="003F55F8" w:rsidRPr="008608AA">
        <w:t>hectares</w:t>
      </w:r>
      <w:r w:rsidRPr="008608AA">
        <w:t xml:space="preserve"> were affected for 14,445 fires (Delgadillo</w:t>
      </w:r>
      <w:r w:rsidR="00994FEE" w:rsidRPr="008608AA">
        <w:t>,</w:t>
      </w:r>
      <w:r w:rsidRPr="008608AA">
        <w:t xml:space="preserve"> 1999). While the El Niño of 2005 registered 9,709 fires in Mexico that affected 276,089 </w:t>
      </w:r>
      <w:r w:rsidR="003F55F8" w:rsidRPr="008608AA">
        <w:t>hectares</w:t>
      </w:r>
      <w:r w:rsidRPr="008608AA">
        <w:t xml:space="preserve"> (Villers &amp; Hernández, 2007).</w:t>
      </w:r>
    </w:p>
    <w:p w14:paraId="714C16B7" w14:textId="5738BB12" w:rsidR="001E61A6" w:rsidRPr="008608AA" w:rsidRDefault="001E61A6" w:rsidP="00B82C51">
      <w:pPr>
        <w:spacing w:before="120"/>
      </w:pPr>
      <w:r w:rsidRPr="008608AA">
        <w:t xml:space="preserve">There is also a great deal of seismic activity in the region due to the presence of several </w:t>
      </w:r>
      <w:hyperlink r:id="rId990" w:history="1">
        <w:r w:rsidRPr="008608AA">
          <w:rPr>
            <w:rStyle w:val="Hyperlink"/>
            <w:color w:val="auto"/>
            <w:u w:val="none"/>
          </w:rPr>
          <w:t>active geologic faults</w:t>
        </w:r>
      </w:hyperlink>
      <w:r w:rsidRPr="008608AA">
        <w:t xml:space="preserve"> within the </w:t>
      </w:r>
      <w:hyperlink r:id="rId991" w:history="1">
        <w:r w:rsidRPr="008608AA">
          <w:rPr>
            <w:rStyle w:val="Hyperlink"/>
            <w:color w:val="auto"/>
            <w:u w:val="none"/>
          </w:rPr>
          <w:t>Central America Volcanic Arc</w:t>
        </w:r>
      </w:hyperlink>
      <w:r w:rsidRPr="008608AA">
        <w:t>. Volcanic eruptions and earthquakes occur frequently that have resulted in the loss of lives and property and impacted natural ecosystems.</w:t>
      </w:r>
    </w:p>
    <w:p w14:paraId="0F10588E" w14:textId="77777777" w:rsidR="001E61A6" w:rsidRPr="008608AA" w:rsidRDefault="001E61A6" w:rsidP="00B82C51">
      <w:pPr>
        <w:pStyle w:val="Heading4"/>
        <w:numPr>
          <w:ilvl w:val="0"/>
          <w:numId w:val="0"/>
        </w:numPr>
        <w:spacing w:before="120" w:line="240" w:lineRule="auto"/>
      </w:pPr>
      <w:bookmarkStart w:id="1708" w:name="_Toc517393384"/>
      <w:bookmarkStart w:id="1709" w:name="_Toc517394441"/>
      <w:bookmarkStart w:id="1710" w:name="_Toc517719125"/>
      <w:bookmarkStart w:id="1711" w:name="_Toc517797082"/>
      <w:r w:rsidRPr="008608AA">
        <w:t>Caribbean</w:t>
      </w:r>
      <w:bookmarkEnd w:id="1708"/>
      <w:bookmarkEnd w:id="1709"/>
      <w:bookmarkEnd w:id="1710"/>
      <w:bookmarkEnd w:id="1711"/>
    </w:p>
    <w:p w14:paraId="0121EC9F" w14:textId="557DE735" w:rsidR="001E61A6" w:rsidRPr="008608AA" w:rsidRDefault="001E61A6" w:rsidP="00B82C51">
      <w:pPr>
        <w:spacing w:before="120"/>
      </w:pPr>
      <w:r w:rsidRPr="008608AA">
        <w:t xml:space="preserve">In the Caribbean, windstorms constitute more than half of disasters while flooding is the second most common disaster. Floods are a function of climate, hydrology, and soil characteristics and are usually associated with hurricanes and other tropical storms which generate heavy rainfall. Small Island Developing States of the Caribbean are particularly vulnerable. The region experiences regular annual losses due to natural </w:t>
      </w:r>
      <w:r w:rsidR="00C72A0B" w:rsidRPr="008608AA">
        <w:t xml:space="preserve">hazard events in the order of </w:t>
      </w:r>
      <w:r w:rsidRPr="008608AA">
        <w:t>$3 billion (Collymore</w:t>
      </w:r>
      <w:r w:rsidR="00994FEE" w:rsidRPr="008608AA">
        <w:t>,</w:t>
      </w:r>
      <w:r w:rsidRPr="008608AA">
        <w:t xml:space="preserve"> 2011). In Haiti, a devastating earthquake struck the island in 2010, killing more than 300,000 people. The human impact of the earthquake was immense primarily because it occurred in a large urban area with many poorly-constructed buildings (Zephyr</w:t>
      </w:r>
      <w:r w:rsidR="00994FEE" w:rsidRPr="008608AA">
        <w:t>,</w:t>
      </w:r>
      <w:r w:rsidRPr="008608AA">
        <w:t xml:space="preserve"> 2011). Geology and climate contribute to the prevalence of landslides in the Caribbean. Weather patterns, deforestation in some places, and increasing population density are among the major causes of landslides in the region (Holcombe et al.</w:t>
      </w:r>
      <w:r w:rsidR="00994FEE" w:rsidRPr="008608AA">
        <w:t>,</w:t>
      </w:r>
      <w:r w:rsidRPr="008608AA">
        <w:t xml:space="preserve"> 2012). Droughts have also negatively affected the economic and social sectors of several Caribbean states and are often related to the El Niño Southern Oscillation. Some countries in the region, like Guyana in 1997 and Cuba between 2004-2006 and 2015-2017, experience severe droughts that direct influence biodiversity and ecosystem services. The Caribbean and eastern Central America are also prone to disturbance due to tsunamis, which have historically caused substantial loss of life and property in many countries of the region (Henson et al., 2006)</w:t>
      </w:r>
    </w:p>
    <w:p w14:paraId="0D7F499C" w14:textId="20F07E61" w:rsidR="001E61A6" w:rsidRPr="008608AA" w:rsidRDefault="001E61A6" w:rsidP="00B82C51">
      <w:pPr>
        <w:spacing w:before="120"/>
      </w:pPr>
      <w:r w:rsidRPr="008608AA">
        <w:t xml:space="preserve">Huge and very rare catastrophes affecting entire regions are likely to remain imprinted in the structure of local biological communities for millennia (Brooks </w:t>
      </w:r>
      <w:r w:rsidR="00994FEE" w:rsidRPr="008608AA">
        <w:t>&amp;</w:t>
      </w:r>
      <w:r w:rsidRPr="008608AA">
        <w:t xml:space="preserve"> Smith, 2001). The increasing frequency and range of natural disasters which, when coupled with the intensified vulnerability in the Caribbean, demonstrates the need for sustained regional efforts to reduce vulnerability to climatic and environmental hazards there. Given that the Caribbean coastal zones are at the heart of the tourism industry in the region, the economy and well-being of many countries is immensely vulnerable to natural disasters.</w:t>
      </w:r>
    </w:p>
    <w:p w14:paraId="6737A1D7" w14:textId="77777777" w:rsidR="001E61A6" w:rsidRPr="008608AA" w:rsidRDefault="001E61A6" w:rsidP="00B82C51">
      <w:pPr>
        <w:pStyle w:val="Heading4"/>
        <w:numPr>
          <w:ilvl w:val="0"/>
          <w:numId w:val="0"/>
        </w:numPr>
        <w:spacing w:before="120" w:line="240" w:lineRule="auto"/>
      </w:pPr>
      <w:bookmarkStart w:id="1712" w:name="_Toc517393385"/>
      <w:bookmarkStart w:id="1713" w:name="_Toc517394442"/>
      <w:bookmarkStart w:id="1714" w:name="_Toc517719126"/>
      <w:bookmarkStart w:id="1715" w:name="_Toc517797083"/>
      <w:r w:rsidRPr="008608AA">
        <w:t>South America</w:t>
      </w:r>
      <w:bookmarkEnd w:id="1712"/>
      <w:bookmarkEnd w:id="1713"/>
      <w:bookmarkEnd w:id="1714"/>
      <w:bookmarkEnd w:id="1715"/>
    </w:p>
    <w:p w14:paraId="5C4894FA" w14:textId="301ABA0A" w:rsidR="001E61A6" w:rsidRPr="008608AA" w:rsidRDefault="001E61A6" w:rsidP="00B82C51">
      <w:pPr>
        <w:spacing w:before="120"/>
      </w:pPr>
      <w:r w:rsidRPr="008608AA">
        <w:t>In South America, between 1904 and 2011, 966 natural disasters were recorded, 735 of which of hydrometeorological nature. The most common events were floods and earthquake</w:t>
      </w:r>
      <w:r w:rsidR="00C72A0B" w:rsidRPr="008608AA">
        <w:t>s corresponding to more than 55</w:t>
      </w:r>
      <w:r w:rsidRPr="008608AA">
        <w:t>% of the calamitous occurrences in South America, however droughts and floods affected the largest number of people in the period (Nunes</w:t>
      </w:r>
      <w:r w:rsidR="00994FEE" w:rsidRPr="008608AA">
        <w:t>,</w:t>
      </w:r>
      <w:r w:rsidRPr="008608AA">
        <w:t xml:space="preserve"> 2011). El Niño events have resulted in higher rainfall in Peru, Ecuador, Argentina, Paraguay and Southern Brazil. The hydrological system in the region also contributes to flooding risk. The major drainage divide is far to the west along the crest of the Andes. West from this divide, in the mountainous regions, slopes of the riverbeds are very steep, which, in the event of storms, increases risk of flash flooding, the most dangerous types of flooding. </w:t>
      </w:r>
    </w:p>
    <w:p w14:paraId="67881123" w14:textId="77777777" w:rsidR="001E61A6" w:rsidRPr="008608AA" w:rsidRDefault="001E61A6" w:rsidP="00B82C51">
      <w:pPr>
        <w:spacing w:before="120"/>
      </w:pPr>
      <w:r w:rsidRPr="008608AA">
        <w:t xml:space="preserve">Landslides are also common in the region due to the nature of soils and steep topography and usually occur in connection with earthquakes, volcanoes, wildfires, and floods. Andean soils are relatively young and are subject to great erosion by water and winds because of the steep gradients of much of the land. Along the Andean mountain chain, landslides produce serious damage with widespread environmental and economical effects for Andean countries </w:t>
      </w:r>
      <w:r w:rsidRPr="008608AA">
        <w:fldChar w:fldCharType="begin" w:fldLock="1"/>
      </w:r>
      <w:r w:rsidRPr="008608AA">
        <w:instrText>ADDIN CSL_CITATION { "citationItems" : [ { "id" : "ITEM-1", "itemData" : { "id" : "ITEM-1", "issued" : { "date-parts" : [ [ "0" ] ] }, "title" : "Lozano et al. 2005", "type" : "article-journal" }, "uris" : [ "http://www.mendeley.com/documents/?uuid=fbf2d3cd-125c-3837-adfd-ae088c3bb6da" ] } ], "mendeley" : { "formattedCitation" : "(Lozano et al. 2005 n.d.)", "manualFormatting" : "(Lozano et al. 2005)", "plainTextFormattedCitation" : "(Lozano et al. 2005 n.d.)", "previouslyFormattedCitation" : "(Lozano et al. 2005 n.d.)" }, "properties" : { "noteIndex" : 0 }, "schema" : "https://github.com/citation-style-language/schema/raw/master/csl-citation.json" }</w:instrText>
      </w:r>
      <w:r w:rsidRPr="008608AA">
        <w:fldChar w:fldCharType="separate"/>
      </w:r>
      <w:r w:rsidRPr="008608AA">
        <w:t>(Lozano et al., 2006)</w:t>
      </w:r>
      <w:r w:rsidRPr="008608AA">
        <w:fldChar w:fldCharType="end"/>
      </w:r>
      <w:r w:rsidRPr="008608AA">
        <w:t xml:space="preserve">. Landslides may have severe and long-lasting negative effects on natural and human-dominated ecosystems, but they may also influence ecosystems in positive ways. For example, landslides play a key role in the dynamics of mountainscapes and creating suitable habitat patches for some species (Restrepo et al., 2009). </w:t>
      </w:r>
    </w:p>
    <w:p w14:paraId="6A064F24" w14:textId="35742CFF" w:rsidR="001E61A6" w:rsidRPr="008608AA" w:rsidRDefault="001E61A6" w:rsidP="00B82C51">
      <w:pPr>
        <w:spacing w:before="120"/>
      </w:pPr>
      <w:r w:rsidRPr="008608AA">
        <w:t>With a current total of 204, South America has more active volcanoes than any other region of the world. The volcanic eruption of Puyehue-Cordón Caulle volcanic complex in Chile in</w:t>
      </w:r>
      <w:r w:rsidR="00C72A0B" w:rsidRPr="008608AA">
        <w:t xml:space="preserve"> 2011 dispersed about 100 million</w:t>
      </w:r>
      <w:r w:rsidRPr="008608AA">
        <w:t xml:space="preserve"> tons of pyroclastic materials. Impacts included changes in the reproduction and the body condition of a population of a lizard population (Boretto et al., 2014), increased mortality of honeybees (</w:t>
      </w:r>
      <w:r w:rsidRPr="008608AA">
        <w:rPr>
          <w:i/>
        </w:rPr>
        <w:t>Apis mellifera</w:t>
      </w:r>
      <w:r w:rsidRPr="008608AA">
        <w:t>) (Martínez et al. 2013), and reduced availability of forage by 90</w:t>
      </w:r>
      <w:r w:rsidR="00C72A0B" w:rsidRPr="008608AA">
        <w:t>%</w:t>
      </w:r>
      <w:r w:rsidRPr="008608AA">
        <w:t xml:space="preserve"> to 100% (Siffredi et al., 2011). </w:t>
      </w:r>
    </w:p>
    <w:p w14:paraId="0F1719B5" w14:textId="77777777" w:rsidR="001E61A6" w:rsidRPr="008608AA" w:rsidRDefault="001E61A6" w:rsidP="00B82C51">
      <w:pPr>
        <w:spacing w:before="120"/>
      </w:pPr>
      <w:r w:rsidRPr="008608AA">
        <w:t xml:space="preserve">Seismic activity is significant along the South American portion of the Ring of Fire. </w:t>
      </w:r>
      <w:r w:rsidRPr="008608AA">
        <w:fldChar w:fldCharType="begin" w:fldLock="1"/>
      </w:r>
      <w:r w:rsidRPr="008608AA">
        <w:instrText>ADDIN CSL_CITATION { "citationItems" : [ { "id" : "ITEM-1", "itemData" : { "id" : "ITEM-1", "issued" : { "date-parts" : [ [ "0" ] ] }, "title" : "Jaramillo et al. 2012", "type" : "article-journal" }, "uris" : [ "http://www.mendeley.com/documents/?uuid=87ec527e-5436-34bf-a596-defb7f28ca74" ] } ], "mendeley" : { "formattedCitation" : "(Jaramillo et al. 2012 n.d.)", "manualFormatting" : "Jaramillo et al. (2012)", "plainTextFormattedCitation" : "(Jaramillo et al. 2012 n.d.)", "previouslyFormattedCitation" : "(Jaramillo et al. 2012 n.d.)" }, "properties" : { "noteIndex" : 0 }, "schema" : "https://github.com/citation-style-language/schema/raw/master/csl-citation.json" }</w:instrText>
      </w:r>
      <w:r w:rsidRPr="008608AA">
        <w:fldChar w:fldCharType="separate"/>
      </w:r>
      <w:r w:rsidRPr="008608AA">
        <w:t>Jaramillo et al. (2012)</w:t>
      </w:r>
      <w:r w:rsidRPr="008608AA">
        <w:fldChar w:fldCharType="end"/>
      </w:r>
      <w:r w:rsidRPr="008608AA">
        <w:t xml:space="preserve"> provided the first quantification of earthquake and tsunami effects on sandy beach ecosystems after Chile’s 2010 Mw 8.8 earthquake which indicated that ecological responses of beach ecosystems were strongly affected by the magnitude of land-level change. </w:t>
      </w:r>
    </w:p>
    <w:p w14:paraId="0441F160" w14:textId="78612863" w:rsidR="001E61A6" w:rsidRPr="008608AA" w:rsidRDefault="001E61A6" w:rsidP="00B82C51">
      <w:pPr>
        <w:spacing w:before="120"/>
      </w:pPr>
      <w:r w:rsidRPr="008608AA">
        <w:t>Seasonal drought occurs in climates that have well-defined annual rainy and dry seasons. However, there are important and severe drought and precipitation changes that are not seasonal and can l</w:t>
      </w:r>
      <w:r w:rsidR="00C72A0B" w:rsidRPr="008608AA">
        <w:t>ast months to years. The arid (n</w:t>
      </w:r>
      <w:r w:rsidRPr="008608AA">
        <w:t>orth</w:t>
      </w:r>
      <w:r w:rsidR="00C72A0B" w:rsidRPr="008608AA">
        <w:t>east Brazil, Mexico) and cold (s</w:t>
      </w:r>
      <w:r w:rsidRPr="008608AA">
        <w:t>outh Chile) climate zones in the region have a higher propensity to drought episodes. Forest fires are associated with the dry season and drought conditions.</w:t>
      </w:r>
    </w:p>
    <w:p w14:paraId="70D5A153" w14:textId="12E96435" w:rsidR="001E61A6" w:rsidRPr="008608AA" w:rsidRDefault="001E61A6" w:rsidP="00B82C51">
      <w:pPr>
        <w:pStyle w:val="Heading2"/>
      </w:pPr>
      <w:bookmarkStart w:id="1716" w:name="_Toc499459679"/>
      <w:bookmarkStart w:id="1717" w:name="_Toc503293144"/>
      <w:bookmarkStart w:id="1718" w:name="_Toc503293742"/>
      <w:bookmarkStart w:id="1719" w:name="_Toc503294004"/>
      <w:bookmarkStart w:id="1720" w:name="_Toc503863397"/>
      <w:bookmarkStart w:id="1721" w:name="_Toc503863625"/>
      <w:bookmarkStart w:id="1722" w:name="_Toc517393386"/>
      <w:bookmarkStart w:id="1723" w:name="_Toc517394443"/>
      <w:bookmarkStart w:id="1724" w:name="_Toc517719127"/>
      <w:bookmarkStart w:id="1725" w:name="_Toc517797084"/>
      <w:r w:rsidRPr="008608AA">
        <w:t>Interactions between direct drivers</w:t>
      </w:r>
      <w:bookmarkEnd w:id="1716"/>
      <w:bookmarkEnd w:id="1717"/>
      <w:bookmarkEnd w:id="1718"/>
      <w:bookmarkEnd w:id="1719"/>
      <w:bookmarkEnd w:id="1720"/>
      <w:bookmarkEnd w:id="1721"/>
      <w:bookmarkEnd w:id="1722"/>
      <w:bookmarkEnd w:id="1723"/>
      <w:bookmarkEnd w:id="1724"/>
      <w:bookmarkEnd w:id="1725"/>
    </w:p>
    <w:p w14:paraId="36CB549E" w14:textId="5236E115" w:rsidR="008A1BB6" w:rsidRPr="008608AA" w:rsidRDefault="001E61A6" w:rsidP="00B82C51">
      <w:pPr>
        <w:spacing w:before="120"/>
      </w:pPr>
      <w:r w:rsidRPr="008608AA">
        <w:t xml:space="preserve">Although biodiversity may also change due to natural causes (section 4.5), anthropogenic drivers dominate current change in the Americas. </w:t>
      </w:r>
      <w:r w:rsidRPr="007362F1">
        <w:t xml:space="preserve">As presented in </w:t>
      </w:r>
      <w:r w:rsidR="007362F1">
        <w:t xml:space="preserve">Figure 4.12 </w:t>
      </w:r>
      <w:r w:rsidRPr="007362F1">
        <w:t>in</w:t>
      </w:r>
      <w:r w:rsidRPr="008608AA">
        <w:t xml:space="preserve"> all four subregions of the Americas, multiple drivers such as habitat loss and fragmentation, changes in biogeochemical cycles and pollution, climate change, overexploitation and invasive species increasingly threaten biodiversity, ecosystem services, and their benefits to society. </w:t>
      </w:r>
    </w:p>
    <w:p w14:paraId="6139C194" w14:textId="77777777" w:rsidR="00B82C51" w:rsidRPr="008608AA" w:rsidRDefault="00B82C51" w:rsidP="008A1BB6">
      <w:pPr>
        <w:rPr>
          <w:sz w:val="18"/>
          <w:szCs w:val="18"/>
        </w:rPr>
      </w:pPr>
    </w:p>
    <w:p w14:paraId="22F69D65" w14:textId="02E5C6C6" w:rsidR="00B82C51" w:rsidRPr="008608AA" w:rsidRDefault="00A04C10" w:rsidP="008A1BB6">
      <w:pPr>
        <w:rPr>
          <w:sz w:val="18"/>
          <w:szCs w:val="18"/>
        </w:rPr>
      </w:pPr>
      <w:r w:rsidRPr="008608AA">
        <w:rPr>
          <w:noProof/>
          <w:sz w:val="18"/>
          <w:szCs w:val="18"/>
          <w:lang w:val="en-GB" w:eastAsia="en-GB"/>
        </w:rPr>
        <w:drawing>
          <wp:inline distT="0" distB="0" distL="0" distR="0" wp14:anchorId="388B5355" wp14:editId="650C5928">
            <wp:extent cx="5934075" cy="7620000"/>
            <wp:effectExtent l="0" t="0" r="9525" b="0"/>
            <wp:docPr id="2101" name="Imagen 2101" descr="C:\Users\Alejandro Valderrama\Downloads\Fig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2" descr="C:\Users\Alejandro Valderrama\Downloads\Fig4.12.jpg"/>
                    <pic:cNvPicPr>
                      <a:picLocks noChangeAspect="1" noChangeArrowheads="1"/>
                    </pic:cNvPicPr>
                  </pic:nvPicPr>
                  <pic:blipFill rotWithShape="1">
                    <a:blip r:embed="rId992">
                      <a:extLst>
                        <a:ext uri="{28A0092B-C50C-407E-A947-70E740481C1C}">
                          <a14:useLocalDpi xmlns:a14="http://schemas.microsoft.com/office/drawing/2010/main" val="0"/>
                        </a:ext>
                      </a:extLst>
                    </a:blip>
                    <a:srcRect b="10913"/>
                    <a:stretch/>
                  </pic:blipFill>
                  <pic:spPr bwMode="auto">
                    <a:xfrm>
                      <a:off x="0" y="0"/>
                      <a:ext cx="5934075" cy="7620000"/>
                    </a:xfrm>
                    <a:prstGeom prst="rect">
                      <a:avLst/>
                    </a:prstGeom>
                    <a:noFill/>
                    <a:ln>
                      <a:noFill/>
                    </a:ln>
                    <a:extLst>
                      <a:ext uri="{53640926-AAD7-44D8-BBD7-CCE9431645EC}">
                        <a14:shadowObscured xmlns:a14="http://schemas.microsoft.com/office/drawing/2010/main"/>
                      </a:ext>
                    </a:extLst>
                  </pic:spPr>
                </pic:pic>
              </a:graphicData>
            </a:graphic>
          </wp:inline>
        </w:drawing>
      </w:r>
      <w:r w:rsidR="00B82C51" w:rsidRPr="008608AA">
        <w:rPr>
          <w:sz w:val="18"/>
          <w:szCs w:val="18"/>
        </w:rPr>
        <w:br w:type="textWrapping" w:clear="all"/>
      </w:r>
    </w:p>
    <w:p w14:paraId="6CF469D4" w14:textId="414D2637" w:rsidR="00B82C51" w:rsidRPr="008608AA" w:rsidRDefault="00A04C10" w:rsidP="00B82C51">
      <w:pPr>
        <w:spacing w:before="240"/>
        <w:jc w:val="center"/>
      </w:pPr>
      <w:r w:rsidRPr="008608AA">
        <w:rPr>
          <w:noProof/>
          <w:lang w:val="en-GB" w:eastAsia="en-GB"/>
        </w:rPr>
        <w:drawing>
          <wp:inline distT="0" distB="0" distL="0" distR="0" wp14:anchorId="74DD002E" wp14:editId="3BF842BA">
            <wp:extent cx="6011011" cy="3752602"/>
            <wp:effectExtent l="0" t="0" r="8890" b="635"/>
            <wp:docPr id="2102" name="Imagen 2102" descr="C:\Users\Alejandro Valderrama\Downloads\Fig4.12_p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4" descr="C:\Users\Alejandro Valderrama\Downloads\Fig4.12_pag2.jpg"/>
                    <pic:cNvPicPr>
                      <a:picLocks noChangeAspect="1" noChangeArrowheads="1"/>
                    </pic:cNvPicPr>
                  </pic:nvPicPr>
                  <pic:blipFill rotWithShape="1">
                    <a:blip r:embed="rId993">
                      <a:extLst>
                        <a:ext uri="{28A0092B-C50C-407E-A947-70E740481C1C}">
                          <a14:useLocalDpi xmlns:a14="http://schemas.microsoft.com/office/drawing/2010/main" val="0"/>
                        </a:ext>
                      </a:extLst>
                    </a:blip>
                    <a:srcRect l="5202" r="8116" b="58190"/>
                    <a:stretch/>
                  </pic:blipFill>
                  <pic:spPr bwMode="auto">
                    <a:xfrm>
                      <a:off x="0" y="0"/>
                      <a:ext cx="6020237" cy="3758362"/>
                    </a:xfrm>
                    <a:prstGeom prst="rect">
                      <a:avLst/>
                    </a:prstGeom>
                    <a:noFill/>
                    <a:ln>
                      <a:noFill/>
                    </a:ln>
                    <a:extLst>
                      <a:ext uri="{53640926-AAD7-44D8-BBD7-CCE9431645EC}">
                        <a14:shadowObscured xmlns:a14="http://schemas.microsoft.com/office/drawing/2010/main"/>
                      </a:ext>
                    </a:extLst>
                  </pic:spPr>
                </pic:pic>
              </a:graphicData>
            </a:graphic>
          </wp:inline>
        </w:drawing>
      </w:r>
    </w:p>
    <w:p w14:paraId="64EDDA20" w14:textId="14D02829" w:rsidR="008A1BB6" w:rsidRPr="008608AA" w:rsidRDefault="001E61A6" w:rsidP="00B82C51">
      <w:pPr>
        <w:spacing w:before="240"/>
      </w:pPr>
      <w:r w:rsidRPr="008608AA">
        <w:t>The analysis of status and trends of the different drivers indicates that habitat degradation has been the largest threat to freshwater, marine, and terrestrial biodiversity in the Americas. The net</w:t>
      </w:r>
      <w:r w:rsidRPr="008608AA">
        <w:rPr>
          <w:bCs/>
        </w:rPr>
        <w:t xml:space="preserve"> change in local diversity (for both species richness and total abundance) caused by land use and related pressures by 2005 is highlighted in</w:t>
      </w:r>
      <w:r w:rsidRPr="008608AA">
        <w:t xml:space="preserve"> </w:t>
      </w:r>
      <w:r w:rsidR="007362F1">
        <w:t xml:space="preserve">Figure 4.13 </w:t>
      </w:r>
      <w:r w:rsidRPr="007362F1">
        <w:t>(Newbold et al.</w:t>
      </w:r>
      <w:r w:rsidR="00994FEE" w:rsidRPr="007362F1">
        <w:t>,</w:t>
      </w:r>
      <w:r w:rsidRPr="007362F1">
        <w:t xml:space="preserve"> 2015). </w:t>
      </w:r>
      <w:r w:rsidRPr="008608AA">
        <w:t>All four subregions showed critical areas with significant loss of biodiversity in association to habitat degradation. As presented in section 4.4.1 and further discussed in the following section, indirect drivers such as agriculture expansion, energy demand, and urbanization are linked to extensive changes in natural landscapes.</w:t>
      </w:r>
    </w:p>
    <w:p w14:paraId="77079419" w14:textId="67502C8A" w:rsidR="001E61A6" w:rsidRPr="008608AA" w:rsidRDefault="001E61A6" w:rsidP="00B82C51">
      <w:pPr>
        <w:spacing w:before="120"/>
      </w:pPr>
      <w:r w:rsidRPr="008608AA">
        <w:t>Over time, however, it is expected that the relative importance of direct drivers will change and the effects of climate change are expected to significantly increase (Alkemade et al., 2009). The importance of the drivers of biodiversity change differs across realms, with land-use change being a dominant driver in terrestrial systems, and overexploitation in marine systems, while climate change is ubiquitous across all realms (Pereira et al.</w:t>
      </w:r>
      <w:r w:rsidR="00994FEE" w:rsidRPr="008608AA">
        <w:t>,</w:t>
      </w:r>
      <w:r w:rsidRPr="008608AA">
        <w:t xml:space="preserve"> 2010). A meta-analysis of 1,319 studies that quantified the effects of habitat loss on biological populations (different taxa, landscapes, land-uses, geographic locations and climate) pointed out the magnitude of these effects depends on current climatic conditions and historical rates of climate change (Mantyka-Pringle et al.</w:t>
      </w:r>
      <w:r w:rsidR="00994FEE" w:rsidRPr="008608AA">
        <w:t>,</w:t>
      </w:r>
      <w:r w:rsidRPr="008608AA">
        <w:t xml:space="preserve"> 2012). Current maximum temperature was the most important determinant of habitat loss and fragmentation effects with mean precipitation change over the last 100 years of secondary importance (Mantyka-Pringle et al.</w:t>
      </w:r>
      <w:r w:rsidR="00994FEE" w:rsidRPr="008608AA">
        <w:t>,</w:t>
      </w:r>
      <w:r w:rsidRPr="008608AA">
        <w:t xml:space="preserve"> 2012).</w:t>
      </w:r>
    </w:p>
    <w:p w14:paraId="78C98920" w14:textId="335A868E" w:rsidR="001E61A6" w:rsidRPr="008608AA" w:rsidRDefault="001E61A6" w:rsidP="00B82C51">
      <w:pPr>
        <w:spacing w:before="120"/>
      </w:pPr>
      <w:r w:rsidRPr="008608AA">
        <w:t>Climate change will have far-reaching impacts on biodiversity, including increasing extinction rates. Besides exposure to climate change, there are biological differences between species that may significantly increase or reduce their vulnerability. Species that are both highly vulnerable and threatened by climate change, and the regions in which they are concentrated, deserve particular conservation attention to reduce both threats and climate change adaptation interventions (Foden et al.</w:t>
      </w:r>
      <w:r w:rsidR="00994FEE" w:rsidRPr="008608AA">
        <w:t>,</w:t>
      </w:r>
      <w:r w:rsidRPr="008608AA">
        <w:t xml:space="preserve"> 2013). For example, the Amazon and Mesoamerica emerge as regions of high climate change vulnerability for both birds and amphibians, due to the large overall numbers and proportions of these groups that exist there (Foden et al</w:t>
      </w:r>
      <w:r w:rsidR="00994FEE" w:rsidRPr="008608AA">
        <w:t>.,</w:t>
      </w:r>
      <w:r w:rsidRPr="008608AA">
        <w:t xml:space="preserve"> 2013). </w:t>
      </w:r>
    </w:p>
    <w:p w14:paraId="308A56C6" w14:textId="77777777" w:rsidR="00B82C51" w:rsidRPr="008608AA" w:rsidRDefault="00B82C51" w:rsidP="00B82C51">
      <w:pPr>
        <w:spacing w:before="120"/>
      </w:pPr>
    </w:p>
    <w:p w14:paraId="191672BC" w14:textId="77777777" w:rsidR="00B82C51" w:rsidRPr="008608AA" w:rsidRDefault="00B82C51" w:rsidP="008A1BB6">
      <w:pPr>
        <w:spacing w:before="240"/>
      </w:pPr>
    </w:p>
    <w:p w14:paraId="586D82CF" w14:textId="75F0802D" w:rsidR="00B82C51" w:rsidRPr="008608AA" w:rsidRDefault="00A04C10" w:rsidP="00B82C51">
      <w:pPr>
        <w:spacing w:before="240"/>
        <w:jc w:val="center"/>
      </w:pPr>
      <w:r w:rsidRPr="008608AA">
        <w:rPr>
          <w:noProof/>
          <w:lang w:val="en-GB" w:eastAsia="en-GB"/>
        </w:rPr>
        <w:drawing>
          <wp:inline distT="0" distB="0" distL="0" distR="0" wp14:anchorId="6F00A3DD" wp14:editId="06668987">
            <wp:extent cx="5934075" cy="4762500"/>
            <wp:effectExtent l="0" t="0" r="9525" b="0"/>
            <wp:docPr id="2103" name="Imagen 2103" descr="C:\Users\Alejandro Valderrama\Downloads\Fig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6" descr="C:\Users\Alejandro Valderrama\Downloads\Fig4.13.jpg"/>
                    <pic:cNvPicPr>
                      <a:picLocks noChangeAspect="1" noChangeArrowheads="1"/>
                    </pic:cNvPicPr>
                  </pic:nvPicPr>
                  <pic:blipFill rotWithShape="1">
                    <a:blip r:embed="rId994">
                      <a:extLst>
                        <a:ext uri="{28A0092B-C50C-407E-A947-70E740481C1C}">
                          <a14:useLocalDpi xmlns:a14="http://schemas.microsoft.com/office/drawing/2010/main" val="0"/>
                        </a:ext>
                      </a:extLst>
                    </a:blip>
                    <a:srcRect b="44321"/>
                    <a:stretch/>
                  </pic:blipFill>
                  <pic:spPr bwMode="auto">
                    <a:xfrm>
                      <a:off x="0" y="0"/>
                      <a:ext cx="5934075" cy="4762500"/>
                    </a:xfrm>
                    <a:prstGeom prst="rect">
                      <a:avLst/>
                    </a:prstGeom>
                    <a:noFill/>
                    <a:ln>
                      <a:noFill/>
                    </a:ln>
                    <a:extLst>
                      <a:ext uri="{53640926-AAD7-44D8-BBD7-CCE9431645EC}">
                        <a14:shadowObscured xmlns:a14="http://schemas.microsoft.com/office/drawing/2010/main"/>
                      </a:ext>
                    </a:extLst>
                  </pic:spPr>
                </pic:pic>
              </a:graphicData>
            </a:graphic>
          </wp:inline>
        </w:drawing>
      </w:r>
    </w:p>
    <w:p w14:paraId="669E8F2D" w14:textId="095AC6BF" w:rsidR="001E61A6" w:rsidRPr="008608AA" w:rsidRDefault="001E61A6" w:rsidP="004B74E6">
      <w:pPr>
        <w:spacing w:before="240"/>
      </w:pPr>
      <w:r w:rsidRPr="008608AA">
        <w:t>Future impacts of climate change are also related to different mitigation strategies, especially those related to land-based carbon sequestration</w:t>
      </w:r>
      <w:r w:rsidR="007362F1">
        <w:t xml:space="preserve"> Figure 4.4</w:t>
      </w:r>
      <w:r w:rsidRPr="008608AA">
        <w:t xml:space="preserve"> shows h</w:t>
      </w:r>
      <w:r w:rsidRPr="008608AA">
        <w:rPr>
          <w:bCs/>
        </w:rPr>
        <w:t xml:space="preserve">istorical and future estimates of net change in local diversity from 1500-2095, based on estimates of land-use intensity and human population density from </w:t>
      </w:r>
      <w:r w:rsidRPr="008608AA">
        <w:t xml:space="preserve">the four </w:t>
      </w:r>
      <w:r w:rsidR="00736D6B" w:rsidRPr="008608AA">
        <w:t>IPCC</w:t>
      </w:r>
      <w:r w:rsidRPr="008608AA">
        <w:t xml:space="preserve"> RCP scenarios, which correspond to different intensities of global climate change (Newbold et al.</w:t>
      </w:r>
      <w:r w:rsidR="00994FEE" w:rsidRPr="008608AA">
        <w:t>,</w:t>
      </w:r>
      <w:r w:rsidRPr="008608AA">
        <w:t xml:space="preserve"> 2015). Studies that addressed the interactions between land use and climate change (e.g. Oliver </w:t>
      </w:r>
      <w:r w:rsidR="00994FEE" w:rsidRPr="008608AA">
        <w:t>&amp;</w:t>
      </w:r>
      <w:r w:rsidRPr="008608AA">
        <w:t xml:space="preserve"> Morecroft</w:t>
      </w:r>
      <w:r w:rsidR="00994FEE" w:rsidRPr="008608AA">
        <w:t>, 2014;</w:t>
      </w:r>
      <w:r w:rsidRPr="008608AA">
        <w:t xml:space="preserve"> Jantz et al.</w:t>
      </w:r>
      <w:r w:rsidR="00994FEE" w:rsidRPr="008608AA">
        <w:t>,</w:t>
      </w:r>
      <w:r w:rsidRPr="008608AA">
        <w:t xml:space="preserve"> 2015) indicate the loss of natural vegetation cover generally decrease as mitigation efforts increase (RCP scenarios). The worst biodiversity outcomes arise from the scenario with the most dramatic climate change (MESSAGE 8.5) </w:t>
      </w:r>
      <w:r w:rsidR="007362F1">
        <w:t xml:space="preserve">Figure 4.14 </w:t>
      </w:r>
      <w:r w:rsidRPr="008608AA">
        <w:t>in which rapid human population growth drives widespread agricultural expansion, even though the projections omit direct climate effects on local assemblages. Recent trends in greenhouse gasses emissions most closely match this scenario (Newbold et al.</w:t>
      </w:r>
      <w:r w:rsidR="00994FEE" w:rsidRPr="008608AA">
        <w:t>,</w:t>
      </w:r>
      <w:r w:rsidRPr="008608AA">
        <w:t xml:space="preserve"> 2015). </w:t>
      </w:r>
    </w:p>
    <w:p w14:paraId="6BE7A99B" w14:textId="0414D14F" w:rsidR="001E61A6" w:rsidRPr="008608AA" w:rsidRDefault="001E61A6" w:rsidP="004B74E6">
      <w:pPr>
        <w:spacing w:before="120"/>
      </w:pPr>
      <w:r w:rsidRPr="008608AA">
        <w:t>In addition, concurrent effects of climate and land use changes can further increase the already dramatic rates of biological invasions. Projections using multiple species distribution models, several global climate models, and land cover change scenarios, evaluated the vulnerability of biomes to 100 of the world’s worst invasive species and highlighted the need to consider both climate and land use change when focusing on biological invasions (Bellard et al.</w:t>
      </w:r>
      <w:r w:rsidR="00994FEE" w:rsidRPr="008608AA">
        <w:t>,</w:t>
      </w:r>
      <w:r w:rsidRPr="008608AA">
        <w:t xml:space="preserve"> 2013). Analysis of the future vulnerability of various biome types to these invasive alien species indicated northeastern North America as one of the three global future hotspots of invasion. Southern Brazil could be affected at a lower rate (20–40 invasive alien species) (Bellard et al.</w:t>
      </w:r>
      <w:r w:rsidR="00994FEE" w:rsidRPr="008608AA">
        <w:t>,</w:t>
      </w:r>
      <w:r w:rsidRPr="008608AA">
        <w:t xml:space="preserve"> 2013).</w:t>
      </w:r>
    </w:p>
    <w:p w14:paraId="31628D9B" w14:textId="3EFCA0C9" w:rsidR="001E61A6" w:rsidRPr="008608AA" w:rsidRDefault="001E61A6" w:rsidP="004B74E6">
      <w:pPr>
        <w:spacing w:before="120"/>
      </w:pPr>
      <w:r w:rsidRPr="008608AA">
        <w:t>The recognition of the interactions between direct drivers and conservation efforts implies that not only strategies focusing on a single driver might be inadequate, but also there are opportunities to align biodiversity conservation and mitigation. The cumulative and synergistic effects of drivers reinforces the need of effective adaptation strategies and policies to better safeguard protected areas under multiple drivers of change, especially since land use changes, invasives, and climate are expected to impact ecosystem function and biodiversity significantly (Hansen et al.</w:t>
      </w:r>
      <w:r w:rsidR="00994FEE" w:rsidRPr="008608AA">
        <w:t>,</w:t>
      </w:r>
      <w:r w:rsidRPr="008608AA">
        <w:t xml:space="preserve"> 2014). Future trends and scenarios are developed in Chapter 5 and governance and policy options in Chapter 6.</w:t>
      </w:r>
    </w:p>
    <w:p w14:paraId="7F0E368D" w14:textId="77777777" w:rsidR="004B74E6" w:rsidRPr="008608AA" w:rsidRDefault="004B74E6" w:rsidP="004B74E6">
      <w:pPr>
        <w:spacing w:before="120"/>
      </w:pPr>
    </w:p>
    <w:p w14:paraId="2CDF352C" w14:textId="18354F67" w:rsidR="001E61A6" w:rsidRPr="008608AA" w:rsidRDefault="00A04C10" w:rsidP="004B74E6">
      <w:pPr>
        <w:spacing w:before="120"/>
        <w:jc w:val="center"/>
      </w:pPr>
      <w:r w:rsidRPr="008608AA">
        <w:rPr>
          <w:noProof/>
          <w:lang w:val="en-GB" w:eastAsia="en-GB"/>
        </w:rPr>
        <w:drawing>
          <wp:inline distT="0" distB="0" distL="0" distR="0" wp14:anchorId="5914E33A" wp14:editId="731F7BA4">
            <wp:extent cx="5934075" cy="6915150"/>
            <wp:effectExtent l="0" t="0" r="9525" b="0"/>
            <wp:docPr id="2104" name="Imagen 2104" descr="C:\Users\Alejandro Valderrama\Downloads\Fig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8" descr="C:\Users\Alejandro Valderrama\Downloads\Fig4.14.jpg"/>
                    <pic:cNvPicPr>
                      <a:picLocks noChangeAspect="1" noChangeArrowheads="1"/>
                    </pic:cNvPicPr>
                  </pic:nvPicPr>
                  <pic:blipFill rotWithShape="1">
                    <a:blip r:embed="rId968">
                      <a:extLst>
                        <a:ext uri="{28A0092B-C50C-407E-A947-70E740481C1C}">
                          <a14:useLocalDpi xmlns:a14="http://schemas.microsoft.com/office/drawing/2010/main" val="0"/>
                        </a:ext>
                      </a:extLst>
                    </a:blip>
                    <a:srcRect b="19154"/>
                    <a:stretch/>
                  </pic:blipFill>
                  <pic:spPr bwMode="auto">
                    <a:xfrm>
                      <a:off x="0" y="0"/>
                      <a:ext cx="5934075" cy="6915150"/>
                    </a:xfrm>
                    <a:prstGeom prst="rect">
                      <a:avLst/>
                    </a:prstGeom>
                    <a:noFill/>
                    <a:ln>
                      <a:noFill/>
                    </a:ln>
                    <a:extLst>
                      <a:ext uri="{53640926-AAD7-44D8-BBD7-CCE9431645EC}">
                        <a14:shadowObscured xmlns:a14="http://schemas.microsoft.com/office/drawing/2010/main"/>
                      </a:ext>
                    </a:extLst>
                  </pic:spPr>
                </pic:pic>
              </a:graphicData>
            </a:graphic>
          </wp:inline>
        </w:drawing>
      </w:r>
    </w:p>
    <w:p w14:paraId="7574757F" w14:textId="77777777" w:rsidR="004B74E6" w:rsidRPr="008608AA" w:rsidRDefault="004B74E6" w:rsidP="008B3BCD">
      <w:bookmarkStart w:id="1726" w:name="_Toc499459680"/>
      <w:bookmarkStart w:id="1727" w:name="_Toc503293145"/>
      <w:bookmarkStart w:id="1728" w:name="_Toc503293743"/>
      <w:bookmarkStart w:id="1729" w:name="_Toc503294005"/>
      <w:bookmarkStart w:id="1730" w:name="_Toc503863398"/>
      <w:bookmarkStart w:id="1731" w:name="_Toc503863626"/>
    </w:p>
    <w:p w14:paraId="1E70F9F4" w14:textId="44F4913C" w:rsidR="001E61A6" w:rsidRPr="008608AA" w:rsidRDefault="001E61A6" w:rsidP="004B74E6">
      <w:pPr>
        <w:pStyle w:val="Heading2"/>
      </w:pPr>
      <w:bookmarkStart w:id="1732" w:name="_Toc517393387"/>
      <w:bookmarkStart w:id="1733" w:name="_Toc517394444"/>
      <w:bookmarkStart w:id="1734" w:name="_Toc517719128"/>
      <w:bookmarkStart w:id="1735" w:name="_Toc517797085"/>
      <w:r w:rsidRPr="008608AA">
        <w:t>Effects of indirect drivers on direct drivers</w:t>
      </w:r>
      <w:bookmarkEnd w:id="1726"/>
      <w:bookmarkEnd w:id="1727"/>
      <w:bookmarkEnd w:id="1728"/>
      <w:bookmarkEnd w:id="1729"/>
      <w:bookmarkEnd w:id="1730"/>
      <w:bookmarkEnd w:id="1731"/>
      <w:bookmarkEnd w:id="1732"/>
      <w:bookmarkEnd w:id="1733"/>
      <w:bookmarkEnd w:id="1734"/>
      <w:bookmarkEnd w:id="1735"/>
      <w:r w:rsidRPr="008608AA">
        <w:t xml:space="preserve"> </w:t>
      </w:r>
    </w:p>
    <w:p w14:paraId="6F31D044" w14:textId="77777777" w:rsidR="001E61A6" w:rsidRPr="008608AA" w:rsidRDefault="001E61A6" w:rsidP="004B74E6">
      <w:pPr>
        <w:spacing w:before="120"/>
      </w:pPr>
      <w:r w:rsidRPr="008608AA">
        <w:t xml:space="preserve">Changes in the behaviour and values of individuals, institutions and organizations are a prerequisite for sustainable development which is a means to reduce environmental degradation and improve the quality of life within generations as well as between generations. Therefore, the identification of drivers of change, especially indirect drivers, would contribute to discerning the characteristics that need to be targeted in order to achieve sustainable development. </w:t>
      </w:r>
    </w:p>
    <w:p w14:paraId="650FBD9B" w14:textId="77777777" w:rsidR="001E61A6" w:rsidRPr="008608AA" w:rsidRDefault="001E61A6" w:rsidP="004B74E6">
      <w:pPr>
        <w:spacing w:before="120"/>
      </w:pPr>
      <w:r w:rsidRPr="008608AA">
        <w:t>In the Americas, the usage and exploitation of available natural resources are expected to intensify. The indirect drivers behind this are demographic, economic, socio-political, cultural, scientific, and technological advances among others (section 4.3.). The understanding of causal dependencies between human activities and their various impacts on ecosystems is a major challenge for science and requires integration of knowledge across different ecosystem components, linking physical, chemical and biological aspects with existing and emerging anthropogenic stressors. Likewise, an effective response to these interacting threats involves a better understanding of governance systems (section 4.3) and ecological processes that affect the resilience of the biota and ecosystems including the identification of early warnings of change, tipping points and the characteristics of species, communities and ecosystems that underpin ecological resilience.</w:t>
      </w:r>
    </w:p>
    <w:p w14:paraId="27E9DBB8" w14:textId="6C819D6F" w:rsidR="001E61A6" w:rsidRPr="008608AA" w:rsidRDefault="001E61A6" w:rsidP="004B74E6">
      <w:pPr>
        <w:spacing w:before="120"/>
      </w:pPr>
      <w:r w:rsidRPr="008608AA">
        <w:t>The cumulative effects of multiple stressors may not be additive but may be magnified by their interactions (synergy) and can lead to critical thresholds and transitions of ecological systems (Cotê et al.</w:t>
      </w:r>
      <w:r w:rsidR="008A3074" w:rsidRPr="008608AA">
        <w:t>,</w:t>
      </w:r>
      <w:r w:rsidRPr="008608AA">
        <w:t xml:space="preserve"> 2016). Synergistic interactions are caused by amplifying feedbacks</w:t>
      </w:r>
      <w:r w:rsidR="003A46B7" w:rsidRPr="008608AA">
        <w:t xml:space="preserve"> and can provoke unpredictable “ecological surprises”</w:t>
      </w:r>
      <w:r w:rsidRPr="008608AA">
        <w:t xml:space="preserve"> that can accelerate biodiversity loss and impair the functioning of ecosystems. The conservation implications of synergies are that cascading impacts of co-occurring stressors will degrade ecosystems faster and more severely. For example, the unforeseen crash of the Peruvian anchovy populations is proposed to have resulted from the interaction between El Niño driven warming and reduced productivity, in combination with overfishing (Jackson et al.</w:t>
      </w:r>
      <w:r w:rsidR="008A3074" w:rsidRPr="008608AA">
        <w:t>,</w:t>
      </w:r>
      <w:r w:rsidRPr="008608AA">
        <w:t xml:space="preserve"> 2001). </w:t>
      </w:r>
    </w:p>
    <w:p w14:paraId="78457268" w14:textId="2442BBE2" w:rsidR="00194363" w:rsidRPr="008608AA" w:rsidRDefault="001E61A6" w:rsidP="004B74E6">
      <w:pPr>
        <w:widowControl w:val="0"/>
        <w:autoSpaceDE w:val="0"/>
        <w:autoSpaceDN w:val="0"/>
        <w:adjustRightInd w:val="0"/>
        <w:spacing w:before="120"/>
      </w:pPr>
      <w:r w:rsidRPr="008608AA">
        <w:t>The Americas, and in particular South American, has a major role in the global trade of products where cultivation involves deforestation and vegetation clearing in the producing countries. These products are referred to as forest and biodiversity risk commodities (Henders et al., 2015), such as beef, soybeans, maize, cotton, cocoa, coffee and timber products. There is a large potential to increase South America’s role in the trade of a number of others like palm oil and biofuels. The Americas account for the vast majority of global soy exports, for about two thirds of global maize exports and for about one third of bovine meat exports (</w:t>
      </w:r>
      <w:r w:rsidR="003A46B7" w:rsidRPr="008608AA">
        <w:t>Table 4.14</w:t>
      </w:r>
      <w:r w:rsidR="002E4D99" w:rsidRPr="008608AA">
        <w:t xml:space="preserve"> and Chapter 2, section </w:t>
      </w:r>
      <w:r w:rsidRPr="008608AA">
        <w:t>2.2.1). This reliance on land-based export commodities, paired with the relative abundance of arable land currently sustaining natural vegetation, clearly poses a threat to the preservation of the remaining n</w:t>
      </w:r>
      <w:r w:rsidR="003A46B7" w:rsidRPr="008608AA">
        <w:t>atural areas.</w:t>
      </w:r>
      <w:r w:rsidRPr="008608AA">
        <w:t xml:space="preserve"> It has been hypothesized that in order to increase food security globally more trade liberalization is crucial, but that it would also lead to more environmental pressures in some regions across Latin America (Flachsbarth et al.</w:t>
      </w:r>
      <w:r w:rsidR="008A3074" w:rsidRPr="008608AA">
        <w:t>,</w:t>
      </w:r>
      <w:r w:rsidRPr="008608AA">
        <w:t xml:space="preserve"> 2015). The global trade network has </w:t>
      </w:r>
      <w:r w:rsidR="003A46B7" w:rsidRPr="008608AA">
        <w:t>increased enormously since 1950</w:t>
      </w:r>
      <w:r w:rsidRPr="008608AA">
        <w:t>s in terms of the total value of exchanged goods. The technological development of means of transportations (e.g. large-scale transport of goods by airplanes, transcontinental containerships) has decreased the time necessary for transport, greatly expanded the type and value of goods transported. Increases in trading activity will cause substantial increases in invasion levels within a few decades, particularly in emerging economies (Seebens et al.</w:t>
      </w:r>
      <w:r w:rsidR="008A3074" w:rsidRPr="008608AA">
        <w:t>,</w:t>
      </w:r>
      <w:r w:rsidRPr="008608AA">
        <w:t xml:space="preserve"> 2013). These countries show most pronounced growth of naturalized plant numbers compared to countries with similar trade value increases (Seebens et al.</w:t>
      </w:r>
      <w:r w:rsidR="008A3074" w:rsidRPr="008608AA">
        <w:t>,</w:t>
      </w:r>
      <w:r w:rsidRPr="008608AA">
        <w:t xml:space="preserve"> 2013) and most of these economies coincide with regions of megadiversity (Brooks et al., 2006), rich in endemic and rare species. </w:t>
      </w:r>
    </w:p>
    <w:p w14:paraId="03F437CC" w14:textId="5D828A4D" w:rsidR="003A46B7" w:rsidRPr="008608AA" w:rsidRDefault="00194363" w:rsidP="004B74E6">
      <w:pPr>
        <w:spacing w:before="120"/>
      </w:pPr>
      <w:r w:rsidRPr="008608AA">
        <w:t>The Americas experienced an early and intense urbanization process. While urbanization rates will be highest in China and India, it is in Central and South America where the largest number of species will be affected (Seto et al</w:t>
      </w:r>
      <w:r w:rsidR="008A3074" w:rsidRPr="008608AA">
        <w:t>.,</w:t>
      </w:r>
      <w:r w:rsidRPr="008608AA">
        <w:t xml:space="preserve"> 2012). Urban land-cover change threatens biodiversity and affects ecosystem productivity through loss of habitat, biomass, and carbon storage. Even relatively small decreases in habitat can cause extinction rates to rise disproportionately in already diminished and severely fragment</w:t>
      </w:r>
      <w:r w:rsidR="003A46B7" w:rsidRPr="008608AA">
        <w:t>ed habitats, like the Atlantic f</w:t>
      </w:r>
      <w:r w:rsidRPr="008608AA">
        <w:t xml:space="preserve">orest hotspots in South America (Seto et al., 2012). Coastal regions and islands are particularly under pressure to increase their </w:t>
      </w:r>
      <w:r w:rsidR="003A46B7" w:rsidRPr="008608AA">
        <w:t xml:space="preserve">urban footprint. </w:t>
      </w:r>
      <w:r w:rsidRPr="008608AA">
        <w:t>The projected urban expansion in the Caribbean islands is relatively small in total area, but they are home to a significant proportion of endemic plants and invertebrates (Chapter 3)</w:t>
      </w:r>
      <w:r w:rsidR="003A46B7" w:rsidRPr="008608AA">
        <w:t>.</w:t>
      </w:r>
      <w:r w:rsidRPr="008608AA">
        <w:t xml:space="preserve"> </w:t>
      </w:r>
    </w:p>
    <w:p w14:paraId="29757013" w14:textId="4B0D465B" w:rsidR="001E61A6" w:rsidRPr="008608AA" w:rsidRDefault="001E61A6" w:rsidP="004B74E6">
      <w:pPr>
        <w:spacing w:before="120"/>
      </w:pPr>
      <w:r w:rsidRPr="008608AA">
        <w:t>Energy production and agriculture are related to pollution and changes in biogeochemi</w:t>
      </w:r>
      <w:r w:rsidR="00194363" w:rsidRPr="008608AA">
        <w:t>cal cycles of major nutrients (nitrogen, carbon, phosphorus, sulfur</w:t>
      </w:r>
      <w:r w:rsidRPr="008608AA">
        <w:t>). Atmospheric ozone occurs where emissions from fossil fuel combustion (energy utilities, industry, motor vehicle exhaust) or biomass burning interact with vapors from solvents, gasoline or vegetation. Emissions from motor vehicles and other fossil fuel combustion are also large contributors to atmospheric fine particulate matter a human health hazard. The geographic distribution of atmospheric nitrogen deposition is related to fossil fuel combustion for utilities, industry and transportation. The levels of nutrients in rivers are expected to increase in the Americas, particularly as per capita GDP, food crop, meat and milk production increase. Widespread trends in pesticide concentrations, some downward and some upward, occur in response to shifts in use patterns primarily driven by regulatory changes and introductions of new pesticides or crops, but the use of pesticides is projected to increase. Urban systems, via runoff and treated and untreated sewage, add more nutrients, sediment and organic matter to aquatic systems.</w:t>
      </w:r>
    </w:p>
    <w:p w14:paraId="19594346" w14:textId="2A471ECC" w:rsidR="001E61A6" w:rsidRPr="008608AA" w:rsidRDefault="001E61A6" w:rsidP="004B74E6">
      <w:pPr>
        <w:spacing w:before="120"/>
      </w:pPr>
      <w:r w:rsidRPr="008608AA">
        <w:t xml:space="preserve">Even places with low human density are subjected to pollution from human activities. Pollution from past mining and smelting exposes wildlife to toxic metal contamination across the Americas. Lead contamination has also reached the Arctic from coal combustion and Amazonian countries are among the largest sources of </w:t>
      </w:r>
      <w:r w:rsidR="003A46B7" w:rsidRPr="008608AA">
        <w:t>m</w:t>
      </w:r>
      <w:r w:rsidR="0054250A" w:rsidRPr="008608AA">
        <w:t>ercury</w:t>
      </w:r>
      <w:r w:rsidRPr="008608AA">
        <w:t xml:space="preserve"> emissions from artisanal gold mining in the Americas. Major sources of atmospheric mercury also include fossil fuel, non-ferrous metal manufacturing, cement production, waste disposal and caustic soda production and emissions from soils, sediment, water, and biomass burning, which include re-emissions from sites that have legacy contamination issues. Toxic releases from these sites may continue due to weak environmental laws or enforcement, poor public understanding of the continuing environmental effects of these sites, and a lack of public or private funds.</w:t>
      </w:r>
    </w:p>
    <w:p w14:paraId="7BD325FC" w14:textId="6C0EC0E5" w:rsidR="004B74E6" w:rsidRPr="008608AA" w:rsidRDefault="001E61A6" w:rsidP="004B74E6">
      <w:pPr>
        <w:spacing w:before="120"/>
      </w:pPr>
      <w:r w:rsidRPr="008608AA">
        <w:t>The interactions between drivers presented in this chapter can be further examined using freshwater and wetland ecosystems throughout the Americas as case studies. These units of analysis appear particularly threatened in the qualitative approach presented in</w:t>
      </w:r>
      <w:r w:rsidR="007362F1">
        <w:t xml:space="preserve"> Figure 4.12</w:t>
      </w:r>
      <w:r w:rsidRPr="008608AA">
        <w:t xml:space="preserve"> and their analyses can provide a means for understanding the interactions of multiple drivers with greater clarity.</w:t>
      </w:r>
    </w:p>
    <w:p w14:paraId="72956DBE" w14:textId="77777777" w:rsidR="004B74E6" w:rsidRPr="008608AA" w:rsidRDefault="004B74E6" w:rsidP="004B74E6">
      <w:pPr>
        <w:spacing w:before="120"/>
      </w:pPr>
    </w:p>
    <w:p w14:paraId="31259FFA" w14:textId="6E652011" w:rsidR="001E61A6" w:rsidRPr="008608AA" w:rsidRDefault="001E61A6" w:rsidP="004B74E6">
      <w:pPr>
        <w:pStyle w:val="Heading4"/>
        <w:numPr>
          <w:ilvl w:val="0"/>
          <w:numId w:val="0"/>
        </w:numPr>
        <w:ind w:left="862" w:hanging="862"/>
      </w:pPr>
      <w:bookmarkStart w:id="1736" w:name="_Toc517393388"/>
      <w:bookmarkStart w:id="1737" w:name="_Toc517394445"/>
      <w:bookmarkStart w:id="1738" w:name="_Toc517719129"/>
      <w:bookmarkStart w:id="1739" w:name="_Toc517797086"/>
      <w:r w:rsidRPr="008608AA">
        <w:t>Freshwater and wetland ecosystems as examples of interactions</w:t>
      </w:r>
      <w:bookmarkEnd w:id="1736"/>
      <w:bookmarkEnd w:id="1737"/>
      <w:bookmarkEnd w:id="1738"/>
      <w:bookmarkEnd w:id="1739"/>
      <w:r w:rsidRPr="008608AA">
        <w:t xml:space="preserve"> </w:t>
      </w:r>
    </w:p>
    <w:p w14:paraId="0B770427" w14:textId="093EAFFD" w:rsidR="001E61A6" w:rsidRPr="008608AA" w:rsidRDefault="001E61A6" w:rsidP="004B74E6">
      <w:pPr>
        <w:spacing w:before="120"/>
      </w:pPr>
      <w:r w:rsidRPr="008608AA">
        <w:t>Freshwater is an essential resource for human life and for many natural systems that support human well-being. Human alteration of rivers, lakes and wetlands has followed economic development (Revenga et al.</w:t>
      </w:r>
      <w:r w:rsidR="008A3074" w:rsidRPr="008608AA">
        <w:t>,</w:t>
      </w:r>
      <w:r w:rsidRPr="008608AA">
        <w:t xml:space="preserve"> 2005).</w:t>
      </w:r>
      <w:r w:rsidRPr="008608AA">
        <w:rPr>
          <w:sz w:val="18"/>
          <w:szCs w:val="18"/>
        </w:rPr>
        <w:t xml:space="preserve"> </w:t>
      </w:r>
      <w:r w:rsidRPr="008608AA">
        <w:t>Most freshwaters have been altered in multiple ways, and changes in any particular freshwater system usually have multiple causes. Water management is also a vast subject embracing such diverse topics as water markets, political conflict over water, connections between water and social development (Carpenter et al.</w:t>
      </w:r>
      <w:r w:rsidR="002E211A" w:rsidRPr="008608AA">
        <w:t>,</w:t>
      </w:r>
      <w:r w:rsidRPr="008608AA">
        <w:t xml:space="preserve"> 2011).</w:t>
      </w:r>
    </w:p>
    <w:p w14:paraId="6FE706D6" w14:textId="3F0112D0" w:rsidR="001E61A6" w:rsidRPr="008608AA" w:rsidRDefault="001E61A6" w:rsidP="004B74E6">
      <w:pPr>
        <w:spacing w:before="120"/>
      </w:pPr>
      <w:r w:rsidRPr="008608AA">
        <w:t>A global assessment of patterns of freshwater species diversity, threat and endemism (Collen et al.</w:t>
      </w:r>
      <w:r w:rsidR="002E211A" w:rsidRPr="008608AA">
        <w:t>,</w:t>
      </w:r>
      <w:r w:rsidRPr="008608AA">
        <w:t xml:space="preserve"> 2014), indicated that three processes predominantly threatened freshwater species: habitat loss/degradation, water pollution and over-exploitation.</w:t>
      </w:r>
      <w:r w:rsidRPr="008608AA">
        <w:rPr>
          <w:sz w:val="18"/>
          <w:szCs w:val="18"/>
        </w:rPr>
        <w:t xml:space="preserve"> </w:t>
      </w:r>
      <w:r w:rsidRPr="008608AA">
        <w:t>Of these, habitat loss/degradation was the most prevalent, affecting more than 80% of threatened species. The main indirect drivers of habitat loss and degradation were conversion to agriculture, logging, urbanization, and infrastructure development (particularly the building of dams). Dams disrupt the ecological connectivity of rivers, whereas water storage in reservoirs and release patterns affect quantity, quality, and timing of downstream flows. Consequences are influenced by interactions between different threat processes (for example, water pollution can be caused by chemical run-off from intensive agriculture or manufacturing, sedimentation by logged riparian habitat, and domestic waste water by urban expansion). On the top of these drivers climate change affects will cause impacts on freshwater and wetland ecosystems due to sea level rise, changes in precipitation, air temperature, and river discharges.</w:t>
      </w:r>
    </w:p>
    <w:p w14:paraId="0CFE2234" w14:textId="0A49851D" w:rsidR="001E61A6" w:rsidRPr="008608AA" w:rsidRDefault="001E61A6" w:rsidP="004B74E6">
      <w:pPr>
        <w:spacing w:before="120"/>
      </w:pPr>
      <w:r w:rsidRPr="008608AA">
        <w:t>The Americas are particularly rich in terms of freshwater resources. In South A</w:t>
      </w:r>
      <w:r w:rsidR="003A46B7" w:rsidRPr="008608AA">
        <w:t>merica, about 30% of the planet’</w:t>
      </w:r>
      <w:r w:rsidRPr="008608AA">
        <w:t>s freshwaters flow through the Amazon, the Parana-</w:t>
      </w:r>
      <w:r w:rsidR="003E0D07" w:rsidRPr="008608AA">
        <w:t>Rí</w:t>
      </w:r>
      <w:r w:rsidR="003A46B7" w:rsidRPr="008608AA">
        <w:t xml:space="preserve">o de la </w:t>
      </w:r>
      <w:r w:rsidRPr="008608AA">
        <w:t>Plata and the Orinoco watershed. In North America, the G</w:t>
      </w:r>
      <w:r w:rsidR="003A46B7" w:rsidRPr="008608AA">
        <w:t xml:space="preserve">reat Lakes shared by the USA </w:t>
      </w:r>
      <w:r w:rsidRPr="008608AA">
        <w:t>and Canada span more than 1,200 kilometers from west to east and represent 84% of North America's surface freshwater and about 21% of the world's supply of surface freshwater. The Americas have also significant areas of wetlands. In South America, the exact size of the wetland area is not known but may comprise as much as 20% of the sub-continent, with river floodplains and intermittent interfluvial wetlands as the most prominent types (Junk, 2013). North and Central America has a combined total of 2.5 million km</w:t>
      </w:r>
      <w:r w:rsidRPr="008608AA">
        <w:rPr>
          <w:vertAlign w:val="superscript"/>
        </w:rPr>
        <w:t>2</w:t>
      </w:r>
      <w:r w:rsidRPr="008608AA">
        <w:t xml:space="preserve"> of wetlands, with 51 % in Canada, 46 % in the USA, and the remainder in subtropical and tropical Mexico and Central America (Mitsch </w:t>
      </w:r>
      <w:r w:rsidR="002E211A" w:rsidRPr="008608AA">
        <w:t>&amp;</w:t>
      </w:r>
      <w:r w:rsidRPr="008608AA">
        <w:t xml:space="preserve"> Hernandez, 2013). Along the Caribbean coast and in addition to coral reefs, saltwater wetlands such as mangroves and seagrass beds are the dominant ecosystems. </w:t>
      </w:r>
    </w:p>
    <w:p w14:paraId="0C72CC15" w14:textId="16ADF405" w:rsidR="001E61A6" w:rsidRPr="008608AA" w:rsidRDefault="001E61A6" w:rsidP="004B74E6">
      <w:pPr>
        <w:spacing w:before="120"/>
      </w:pPr>
      <w:r w:rsidRPr="008608AA">
        <w:t>Because streams, rivers, and groundwater integrate the landscape, providing a conduit for the transfer of energy and material from terrestrial habitats into freshwater systems and ultimately to the oceans, they are particularly vulnerable to environmental impacts from land use change. Wetlands are also not isolated, but are connected to their surroundings as they are often located at the transition zone between upland and open water, wetlands can be affected by activities and conditions in both terrestrial and aquatic areas. Land use influences sediment, hydrologic, and nutrient regimes, which in turn influence aquatic biota and ecological processes in freshwaters. Land use change occurs largely through human actions affected by economic incentives and regulation. These changes can have both direct and indirect effects on freshwater ecosystems - the former have imm</w:t>
      </w:r>
      <w:r w:rsidR="00E93408" w:rsidRPr="008608AA">
        <w:t>ediate ecological impacts (e.g.</w:t>
      </w:r>
      <w:r w:rsidRPr="008608AA">
        <w:t xml:space="preserve"> destruction of wildlife habitats), while the latter have impacts that are transmitted via altered flow or sediment transport patterns (e.g. lower productivity due to increasing turbidity) (Palmer et al.</w:t>
      </w:r>
      <w:r w:rsidR="002E211A" w:rsidRPr="008608AA">
        <w:t>,</w:t>
      </w:r>
      <w:r w:rsidRPr="008608AA">
        <w:t xml:space="preserve">  2002). Conversely, on many major rivers the need for hydroelectric power, flood control, and water for irrigation has led to the building of large dams that reduced the amount of sediment carried by those rivers. </w:t>
      </w:r>
    </w:p>
    <w:p w14:paraId="2B0BF508" w14:textId="77777777" w:rsidR="001E61A6" w:rsidRPr="008608AA" w:rsidRDefault="001E61A6" w:rsidP="004B74E6">
      <w:pPr>
        <w:pStyle w:val="Heading4"/>
        <w:numPr>
          <w:ilvl w:val="0"/>
          <w:numId w:val="0"/>
        </w:numPr>
        <w:spacing w:before="120" w:line="240" w:lineRule="auto"/>
      </w:pPr>
      <w:bookmarkStart w:id="1740" w:name="_Toc517393389"/>
      <w:bookmarkStart w:id="1741" w:name="_Toc517394446"/>
      <w:bookmarkStart w:id="1742" w:name="_Toc517719130"/>
      <w:bookmarkStart w:id="1743" w:name="_Toc517797087"/>
      <w:r w:rsidRPr="008608AA">
        <w:t>North America – The Mississippi Basin</w:t>
      </w:r>
      <w:bookmarkEnd w:id="1740"/>
      <w:bookmarkEnd w:id="1741"/>
      <w:bookmarkEnd w:id="1742"/>
      <w:bookmarkEnd w:id="1743"/>
    </w:p>
    <w:p w14:paraId="04C3FE9D" w14:textId="4DAC8D98" w:rsidR="001E61A6" w:rsidRPr="008608AA" w:rsidRDefault="001E61A6" w:rsidP="004B74E6">
      <w:pPr>
        <w:spacing w:before="120"/>
      </w:pPr>
      <w:r w:rsidRPr="008608AA">
        <w:t>The Mississippi River watershed is the fourth largest in the world and the largest in North America at 3.2 million km</w:t>
      </w:r>
      <w:r w:rsidRPr="008608AA">
        <w:rPr>
          <w:vertAlign w:val="superscript"/>
        </w:rPr>
        <w:t>2</w:t>
      </w:r>
      <w:r w:rsidRPr="008608AA">
        <w:t xml:space="preserve"> and includes all or parts of 31 USA states and two Canadian Provinces. Communities up and down the river use the Mississippi to obtain freshwater and to discharge their i</w:t>
      </w:r>
      <w:r w:rsidR="00E93408" w:rsidRPr="008608AA">
        <w:t>ndustrial and municipal waste. </w:t>
      </w:r>
      <w:r w:rsidRPr="008608AA">
        <w:t>The Missouri River, one of the major tributaries of the basin, has had a long history of anthropogenic modification with considerable impacts on river and riparian ecology, form, and function (Skalak et al</w:t>
      </w:r>
      <w:r w:rsidR="002E211A" w:rsidRPr="008608AA">
        <w:t>.,</w:t>
      </w:r>
      <w:r w:rsidRPr="008608AA">
        <w:t xml:space="preserve"> 2013). During the 20th century, several large dam-building efforts in the basin served the needs for irrigation, flood control, navigation, and the generation of hydroelectric power. Agriculture has been the dominant land use for nearly 200 years in the Mississippi basin, and has altered the hydrologic cycle and energy budget of the region. The basin produces 92% of the USA agricul</w:t>
      </w:r>
      <w:r w:rsidR="00F0314B" w:rsidRPr="008608AA">
        <w:t>tural exports, 78% of the world’</w:t>
      </w:r>
      <w:r w:rsidRPr="008608AA">
        <w:t>s exports in feed grains and soybeans, and most of the livestock and hogs produced nationally. Sixty percent of all grain exported from the USA is shipped on the Mississippi River through the Port of New Orleans and other ports in southern Louisiana.</w:t>
      </w:r>
    </w:p>
    <w:p w14:paraId="6E0B842E" w14:textId="2A34E69F" w:rsidR="001E61A6" w:rsidRPr="008608AA" w:rsidRDefault="001E61A6" w:rsidP="004B74E6">
      <w:pPr>
        <w:spacing w:before="120"/>
      </w:pPr>
      <w:r w:rsidRPr="008608AA">
        <w:t>Changes in the watershed and management practices impact the wetlands of Mississippi Delta and the Gulf of Mexico. As the Mississippi River reaches the last phase of its journey to the Gulf of Mexico in southeastern Louisiana, it enters one of the most wetland-rich regions of the world. The total amount of freshwater and saltwater wetlands has been decreasing at a rapid rate in coastal Louisiana, amounting to a total wetland loss of between 66 and 90 km</w:t>
      </w:r>
      <w:r w:rsidRPr="008608AA">
        <w:rPr>
          <w:vertAlign w:val="superscript"/>
        </w:rPr>
        <w:t>2</w:t>
      </w:r>
      <w:r w:rsidR="00F0314B" w:rsidRPr="008608AA">
        <w:t xml:space="preserve"> per year</w:t>
      </w:r>
      <w:r w:rsidRPr="008608AA">
        <w:t xml:space="preserve"> and has been attributed to both natural and artificial causes (Dunbar et al.</w:t>
      </w:r>
      <w:r w:rsidR="002E211A" w:rsidRPr="008608AA">
        <w:t>,</w:t>
      </w:r>
      <w:r w:rsidRPr="008608AA">
        <w:t xml:space="preserve"> 1992). The Mississippi River Basin accounts for 90% of the freshwater inflow to the Gulf of Mexico (Rabalais et al.</w:t>
      </w:r>
      <w:r w:rsidR="002E211A" w:rsidRPr="008608AA">
        <w:t>,</w:t>
      </w:r>
      <w:r w:rsidRPr="008608AA">
        <w:t xml:space="preserve"> 1996). Nitrate–nitrogen concentrations and fluxes from the Mississippi River Basin </w:t>
      </w:r>
      <w:r w:rsidR="00F0314B" w:rsidRPr="008608AA">
        <w:t>increased dramatically in the 20th c</w:t>
      </w:r>
      <w:r w:rsidRPr="008608AA">
        <w:t>entury, particularly in the decades after 1950, when nitrogen fertilizer came into increasing use. Artificial drainage and other hydrologic changes to the landscape, atmospheric deposition of nitrates, runoff and domestic wastewater discharges from cities and suburbs, and point discharges from feedlots and other sites of intensive agricultural activity are also contributing factors to the input of nutrients into the Gulf.</w:t>
      </w:r>
    </w:p>
    <w:p w14:paraId="4ADACCED" w14:textId="7F616CA2" w:rsidR="001E61A6" w:rsidRPr="008608AA" w:rsidRDefault="001E61A6" w:rsidP="004B74E6">
      <w:pPr>
        <w:pStyle w:val="Heading4"/>
        <w:numPr>
          <w:ilvl w:val="0"/>
          <w:numId w:val="0"/>
        </w:numPr>
        <w:spacing w:before="120" w:line="240" w:lineRule="auto"/>
        <w:rPr>
          <w:lang w:val="es-CO"/>
        </w:rPr>
      </w:pPr>
      <w:bookmarkStart w:id="1744" w:name="_Toc517393390"/>
      <w:bookmarkStart w:id="1745" w:name="_Toc517394447"/>
      <w:bookmarkStart w:id="1746" w:name="_Toc517719131"/>
      <w:bookmarkStart w:id="1747" w:name="_Toc517797088"/>
      <w:r w:rsidRPr="008608AA">
        <w:rPr>
          <w:lang w:val="es-CO"/>
        </w:rPr>
        <w:t xml:space="preserve">South America </w:t>
      </w:r>
      <w:r w:rsidR="00F0314B" w:rsidRPr="008608AA">
        <w:rPr>
          <w:lang w:val="es-CO"/>
        </w:rPr>
        <w:t>–</w:t>
      </w:r>
      <w:r w:rsidRPr="008608AA">
        <w:rPr>
          <w:lang w:val="es-CO"/>
        </w:rPr>
        <w:t xml:space="preserve"> </w:t>
      </w:r>
      <w:r w:rsidR="00F0314B" w:rsidRPr="008608AA">
        <w:rPr>
          <w:lang w:val="es-CO"/>
        </w:rPr>
        <w:t>Río de l</w:t>
      </w:r>
      <w:r w:rsidRPr="008608AA">
        <w:rPr>
          <w:lang w:val="es-CO"/>
        </w:rPr>
        <w:t>a Plata Basin</w:t>
      </w:r>
      <w:bookmarkEnd w:id="1744"/>
      <w:bookmarkEnd w:id="1745"/>
      <w:bookmarkEnd w:id="1746"/>
      <w:bookmarkEnd w:id="1747"/>
    </w:p>
    <w:p w14:paraId="3128D766" w14:textId="5D3DD5C5" w:rsidR="00244148" w:rsidRPr="008608AA" w:rsidRDefault="00244148" w:rsidP="004B74E6">
      <w:pPr>
        <w:spacing w:before="120"/>
        <w:rPr>
          <w:lang w:eastAsia="es-ES"/>
        </w:rPr>
      </w:pPr>
      <w:r w:rsidRPr="008608AA">
        <w:rPr>
          <w:lang w:eastAsia="es-ES"/>
        </w:rPr>
        <w:t>The La Plata River Basin is one of the most important river basins of the world. Draining approximately one-fifth of the South American continent, extending over some 3.1 million km</w:t>
      </w:r>
      <w:r w:rsidRPr="008608AA">
        <w:rPr>
          <w:vertAlign w:val="superscript"/>
          <w:lang w:eastAsia="es-ES"/>
        </w:rPr>
        <w:t>2</w:t>
      </w:r>
      <w:r w:rsidRPr="008608AA">
        <w:rPr>
          <w:lang w:eastAsia="es-ES"/>
        </w:rPr>
        <w:t>, and conveys water from central portions of the continent to the south-western Atlantic Ocean. The La Plata River system is recognized as among those watersheds of the world having the highest numbers of endemic fishes and birds but also the highest numbers of major dams. The La Plata Basin represents an important concentration of economic development in southern and central South America (Tucci &amp; Clarke, 1998). Thirty-one large dams and fifty-seven large cities, each with populations in excess of 100,000 including the capital cities of Argentina, Brazil, Paraguay, and Uruguay, are to be found within this Basin. The rivers of the La Plata River Basin are subject to pressures that have modified, and can further modify the quantity and quality of their waters (Cuya et al., 2013). The consequences of these pressures are not restricted to specific countries, but are of a transboundary character. Before 1960, the Plata River Basin was almost undeveloped. The regulation of the Paraná (a large tributary of the La Plata in Brazil) for hydroelectricity has been increasing since the early 1970s. Water in reservoirs of the upper Paraná Basin currently comprises more than 70 % of the mean annual discharge at its confluence with the Paraguay River. The expansion of hydroelectric generation in the upper basin brought with it an increase in industry, agriculture, transport and settlements. These in turn increased deforestation, soil erosion, degraded water quality and reduced fisheries opportunities in both the upper and lower basins (FAO, 2016).  These pressures are expected to increase in the future as the Basin countries continue to enlarge their agricultural and industrial bases, and provision of services, to improve the living standards of their increasing populations (Cuya et al., 2013). The basin has the second greatest number of planned dams in the world: 27 large dams, of which 6 are under construction. The national governments of the basin are planning a massive navigation and hydroelectric dam project (</w:t>
      </w:r>
      <w:r w:rsidRPr="008608AA">
        <w:rPr>
          <w:i/>
          <w:iCs/>
          <w:lang w:eastAsia="es-ES"/>
        </w:rPr>
        <w:t>Hidrovia</w:t>
      </w:r>
      <w:r w:rsidRPr="008608AA">
        <w:rPr>
          <w:lang w:eastAsia="es-ES"/>
        </w:rPr>
        <w:t xml:space="preserve">) to facilitate expansion of the export of soybean, timber, iron ore and other commodities during the dry season. </w:t>
      </w:r>
    </w:p>
    <w:p w14:paraId="43613A5E" w14:textId="77777777" w:rsidR="004B74E6" w:rsidRPr="008608AA" w:rsidRDefault="00244148" w:rsidP="004B74E6">
      <w:pPr>
        <w:rPr>
          <w:rFonts w:ascii="Cambria" w:hAnsi="Cambria"/>
          <w:lang w:eastAsia="es-ES"/>
        </w:rPr>
      </w:pPr>
      <w:r w:rsidRPr="008608AA">
        <w:rPr>
          <w:rFonts w:ascii="Cambria" w:hAnsi="Cambria"/>
          <w:lang w:eastAsia="es-ES"/>
        </w:rPr>
        <w:t> </w:t>
      </w:r>
    </w:p>
    <w:p w14:paraId="2A644FF7" w14:textId="04090464" w:rsidR="001E61A6" w:rsidRPr="008608AA" w:rsidRDefault="001E61A6" w:rsidP="004B74E6">
      <w:pPr>
        <w:pStyle w:val="Heading4"/>
        <w:numPr>
          <w:ilvl w:val="0"/>
          <w:numId w:val="0"/>
        </w:numPr>
        <w:ind w:left="862" w:hanging="862"/>
        <w:rPr>
          <w:rFonts w:ascii="Cambria" w:hAnsi="Cambria"/>
          <w:lang w:eastAsia="es-ES"/>
        </w:rPr>
      </w:pPr>
      <w:bookmarkStart w:id="1748" w:name="_Toc517393391"/>
      <w:bookmarkStart w:id="1749" w:name="_Toc517394448"/>
      <w:bookmarkStart w:id="1750" w:name="_Toc517719132"/>
      <w:bookmarkStart w:id="1751" w:name="_Toc517797089"/>
      <w:r w:rsidRPr="008608AA">
        <w:t>Central America and the Caribbean</w:t>
      </w:r>
      <w:bookmarkEnd w:id="1748"/>
      <w:bookmarkEnd w:id="1749"/>
      <w:bookmarkEnd w:id="1750"/>
      <w:bookmarkEnd w:id="1751"/>
    </w:p>
    <w:p w14:paraId="655C919E" w14:textId="4320EACC" w:rsidR="001E61A6" w:rsidRPr="008608AA" w:rsidRDefault="001E61A6" w:rsidP="004B74E6">
      <w:pPr>
        <w:spacing w:before="120"/>
      </w:pPr>
      <w:r w:rsidRPr="008608AA">
        <w:t>Tropical rivers of Central America are highly heterogeneous systems, ranging from fast-flowing mountain torrents in areas of high relief to slow-moving rivers that meander through lowland environments. Relative to rivers in neighboring North and South America, the narrowness of the isthmus means that Central American rivers are shorter in length, carry a substantially lower volume of water as they drain smaller basins, and generally are closely connected to marine environments. Central American rivers contain hundreds of species of fishes and shrimp, including many migratory species that depend on a natural flow regime and upstream-downstream connectivity for survival. Human populations derive most water for consumptive uses from surface waters. Rivers provide a source of food, income, and building materials, serve as transportation routes, and have strong linkages to the cultural identity of rural people. Regionally, hydropowe</w:t>
      </w:r>
      <w:r w:rsidR="00873159" w:rsidRPr="008608AA">
        <w:t>r accounts for approximately 50</w:t>
      </w:r>
      <w:r w:rsidRPr="008608AA">
        <w:t>% of ne</w:t>
      </w:r>
      <w:r w:rsidR="00873159" w:rsidRPr="008608AA">
        <w:t>t electricity generation and 42</w:t>
      </w:r>
      <w:r w:rsidRPr="008608AA">
        <w:t>% of total installed generation capacity (Anderson</w:t>
      </w:r>
      <w:r w:rsidR="002E211A" w:rsidRPr="008608AA">
        <w:t>,</w:t>
      </w:r>
      <w:r w:rsidRPr="008608AA">
        <w:t xml:space="preserve"> 2013). Central America has experienced a proliferation of hydropower dams in recent years, a trend that began with the construction of a fe</w:t>
      </w:r>
      <w:r w:rsidR="00873159" w:rsidRPr="008608AA">
        <w:t>w large dams in the 1980s (e.g.</w:t>
      </w:r>
      <w:r w:rsidR="005412A9" w:rsidRPr="008608AA">
        <w:t xml:space="preserve"> Arenal dam in Costa Rica, El Cajó</w:t>
      </w:r>
      <w:r w:rsidRPr="008608AA">
        <w:t xml:space="preserve">n in Honduras, and Chixoy in Guatemala), that accelerated with the privatization of electricity generation in the 1990s, and that has continued into the 21st century. </w:t>
      </w:r>
    </w:p>
    <w:p w14:paraId="2B4B40E7" w14:textId="06074061" w:rsidR="001E61A6" w:rsidRPr="008608AA" w:rsidRDefault="001E61A6" w:rsidP="004B74E6">
      <w:pPr>
        <w:spacing w:before="120"/>
      </w:pPr>
      <w:r w:rsidRPr="008608AA">
        <w:t>Population growth, an increase in rural electrification, and rising electricity consumption (estimated at 4.2% regionally in 2011) and reduced availability of domestic fossil fuel sources are important drivers of hydropower development in Central America. Expansion plans for the period 2012–2027 include many new hydropower developments in Central America, including large dams as well as small and medium-sized dams. Although a critical source of electricity, existing dams in Central America have been linked to declines in migratory and sensitive fish species, compromising other ecosystem services, and having negative impacts on population health and well</w:t>
      </w:r>
      <w:r w:rsidR="005412A9" w:rsidRPr="008608AA">
        <w:t>-</w:t>
      </w:r>
      <w:r w:rsidRPr="008608AA">
        <w:t>being. In the Caribbean, erosion, sedimentation, pollution, water nutrient enrichment, saltwater intrusion, and loss of biodiversity have been identified as the most significant factors affecting wetlands. The causes of these impacts include deforestation, tourism, urban development, industry, agriculture, damming and diversion of rivers, and dredging for navigation. In addition, natural and human enhanced phenomena such as tropical storms and hurricanes, sea level rise, and global warming also threaten these valuable ecosystems.</w:t>
      </w:r>
    </w:p>
    <w:p w14:paraId="0105A3FB" w14:textId="77777777" w:rsidR="001E61A6" w:rsidRPr="008608AA" w:rsidRDefault="001E61A6" w:rsidP="004B74E6">
      <w:pPr>
        <w:pStyle w:val="Heading3"/>
        <w:numPr>
          <w:ilvl w:val="0"/>
          <w:numId w:val="0"/>
        </w:numPr>
        <w:ind w:left="720" w:hanging="720"/>
        <w:rPr>
          <w:lang w:val="en-US"/>
        </w:rPr>
      </w:pPr>
      <w:bookmarkStart w:id="1752" w:name="_Toc517393392"/>
      <w:bookmarkStart w:id="1753" w:name="_Toc517394449"/>
      <w:bookmarkStart w:id="1754" w:name="_Toc517719133"/>
      <w:bookmarkStart w:id="1755" w:name="_Toc517797090"/>
      <w:r w:rsidRPr="008608AA">
        <w:rPr>
          <w:lang w:val="en-US"/>
        </w:rPr>
        <w:t>The challenge of matching scales: drivers, ecological and social responses</w:t>
      </w:r>
      <w:bookmarkEnd w:id="1752"/>
      <w:bookmarkEnd w:id="1753"/>
      <w:bookmarkEnd w:id="1754"/>
      <w:bookmarkEnd w:id="1755"/>
    </w:p>
    <w:p w14:paraId="5070814A" w14:textId="07698C10" w:rsidR="001E61A6" w:rsidRPr="008608AA" w:rsidRDefault="001E61A6" w:rsidP="004B74E6">
      <w:pPr>
        <w:widowControl w:val="0"/>
        <w:autoSpaceDE w:val="0"/>
        <w:autoSpaceDN w:val="0"/>
        <w:adjustRightInd w:val="0"/>
        <w:spacing w:before="120"/>
      </w:pPr>
      <w:r w:rsidRPr="008608AA">
        <w:t xml:space="preserve">Systematic conservation planning must also ensure that not only biodiversity but also the supporting ecological processes are protected at a relevant and appropriate scale (Possingham </w:t>
      </w:r>
      <w:r w:rsidR="002E211A" w:rsidRPr="008608AA">
        <w:t>&amp; Wilson</w:t>
      </w:r>
      <w:r w:rsidRPr="008608AA">
        <w:t xml:space="preserve">, 2005). Drivers interact across spatial, temporal, and organizational scales. Studies indicate that different drivers of biodiversity-ecosystem function relationships occur at small plot scales (species identities, composition) and large landscape scales (biomass, species richness) as well as in short and long temporal scales. These results imply that not all relationships and findings obtained by studies at small spatial and short temporal scales can necessarily be translated to larger or longer scales that have relevance for political decisions and conservation biology (Brose </w:t>
      </w:r>
      <w:r w:rsidR="002E211A" w:rsidRPr="008608AA">
        <w:t>&amp;</w:t>
      </w:r>
      <w:r w:rsidRPr="008608AA">
        <w:t xml:space="preserve"> Hillebrand, 2016). Global trends (e.g</w:t>
      </w:r>
      <w:r w:rsidR="005412A9" w:rsidRPr="008608AA">
        <w:t>.</w:t>
      </w:r>
      <w:r w:rsidRPr="008608AA">
        <w:t xml:space="preserve"> climate change or globalization) can influence regional contexts and local ecosystem management while changes in national regulations might influence responses of different stakeholders to global change (Nelson et al.</w:t>
      </w:r>
      <w:r w:rsidR="002E211A" w:rsidRPr="008608AA">
        <w:t>,</w:t>
      </w:r>
      <w:r w:rsidRPr="008608AA">
        <w:t xml:space="preserve"> 2006). Changes in ecosystem services also feed back to the drivers of change (e.g</w:t>
      </w:r>
      <w:r w:rsidR="005412A9" w:rsidRPr="008608AA">
        <w:t>.</w:t>
      </w:r>
      <w:r w:rsidRPr="008608AA">
        <w:t xml:space="preserve"> altered ecosystems create new opportunities and constraints on land use) (Nelson et al.</w:t>
      </w:r>
      <w:r w:rsidR="002E211A" w:rsidRPr="008608AA">
        <w:t>,</w:t>
      </w:r>
      <w:r w:rsidRPr="008608AA">
        <w:t xml:space="preserve"> 2006). </w:t>
      </w:r>
    </w:p>
    <w:p w14:paraId="071CDB10" w14:textId="44E7EAE7" w:rsidR="001E61A6" w:rsidRPr="008608AA" w:rsidRDefault="001E61A6" w:rsidP="004B74E6">
      <w:pPr>
        <w:widowControl w:val="0"/>
        <w:autoSpaceDE w:val="0"/>
        <w:autoSpaceDN w:val="0"/>
        <w:adjustRightInd w:val="0"/>
        <w:spacing w:before="120"/>
      </w:pPr>
      <w:r w:rsidRPr="008608AA">
        <w:t>Some effects of drivers</w:t>
      </w:r>
      <w:r w:rsidR="005412A9" w:rsidRPr="008608AA">
        <w:t xml:space="preserve"> emerge in the short-term (e.g.</w:t>
      </w:r>
      <w:r w:rsidRPr="008608AA">
        <w:t xml:space="preserve"> land use, deforestation), while other</w:t>
      </w:r>
      <w:r w:rsidR="005412A9" w:rsidRPr="008608AA">
        <w:t>s mainly in the long-term (e.g.</w:t>
      </w:r>
      <w:r w:rsidRPr="008608AA">
        <w:t xml:space="preserve"> climate change, changes in biogeochemical cycles). Long-term impacts of anthropogenic drivers of environmental change on ecosystem functioning can strongly depend on how such drivers gradually decrease biodiversity and restructure communities (Isbell et al., 2013). Current models do not account for potentially important indirect effects of habitat destruction on ecosystem services resulting from changes in biodiversity that occur within nearby remaining ecosystem fragments, even though many species could be lost from such fragments (Isbell et al., 2015). </w:t>
      </w:r>
    </w:p>
    <w:p w14:paraId="790CB852" w14:textId="0CDD95EE" w:rsidR="001E61A6" w:rsidRPr="008608AA" w:rsidRDefault="001E61A6" w:rsidP="004B74E6">
      <w:pPr>
        <w:spacing w:before="120"/>
      </w:pPr>
      <w:r w:rsidRPr="008608AA">
        <w:t xml:space="preserve">Socio-ecological systems are characterized by causal relationships between their different components (Fischer </w:t>
      </w:r>
      <w:r w:rsidR="002E211A" w:rsidRPr="008608AA">
        <w:t>&amp;</w:t>
      </w:r>
      <w:r w:rsidRPr="008608AA">
        <w:t xml:space="preserve"> Christopher</w:t>
      </w:r>
      <w:r w:rsidR="002E211A" w:rsidRPr="008608AA">
        <w:t>,</w:t>
      </w:r>
      <w:r w:rsidRPr="008608AA">
        <w:t xml:space="preserve"> 2007) </w:t>
      </w:r>
      <w:r w:rsidR="007362F1">
        <w:t>Figure 4.15a</w:t>
      </w:r>
      <w:r w:rsidRPr="008608AA">
        <w:t xml:space="preserve"> and environmental problems can originate from the relationships between stakeholders, from the inefficiency of institutional arrangements in implementing regulation, from social inequality or from the inadequacy of policy actions for a given social context (Maxim et al., 2009). In addition, uncertainty is intrinsic to complex biological and social systems (Maxim et al., 2009). In the case of the Americas, reducing uncertainties through the improvement of integrated monitoring networks will enhance the ability to respond to environmental changes in the different subregions and improve the understanding of potential interactions of multiple drivers and scales and how the interactive effects of change drivers might impact (positively or negatively) ecosystem in the future.</w:t>
      </w:r>
    </w:p>
    <w:p w14:paraId="780814E0" w14:textId="0CB95C3C" w:rsidR="001E61A6" w:rsidRPr="008608AA" w:rsidRDefault="001E61A6" w:rsidP="004B74E6">
      <w:pPr>
        <w:spacing w:before="120"/>
      </w:pPr>
      <w:r w:rsidRPr="008608AA">
        <w:t xml:space="preserve">The </w:t>
      </w:r>
      <w:r w:rsidR="007362F1">
        <w:t>Figure 4.15b</w:t>
      </w:r>
      <w:r w:rsidRPr="008608AA">
        <w:t xml:space="preserve"> represents the mismatches in the spatial and temporal scales at which the relationships between anthropogenic drivers, biodiversity, and ecosystem functions and services (Isbell et al.</w:t>
      </w:r>
      <w:r w:rsidR="002E211A" w:rsidRPr="008608AA">
        <w:t>,</w:t>
      </w:r>
      <w:r w:rsidRPr="008608AA">
        <w:t xml:space="preserve"> 2017). These mismatches pose a challenge to link the cascading effects of human activities on biodiversity, ecosystems and ecosystem services. Furthermore, the scales at which knowledge is available for some of the relationships do not yet align with the scales at which policies and other decisions are often made. </w:t>
      </w:r>
    </w:p>
    <w:p w14:paraId="63CB146C" w14:textId="77777777" w:rsidR="004B74E6" w:rsidRPr="008608AA" w:rsidRDefault="004B74E6" w:rsidP="00360A20">
      <w:pPr>
        <w:spacing w:before="120"/>
      </w:pPr>
    </w:p>
    <w:p w14:paraId="2B18F81F" w14:textId="7ADFF61E" w:rsidR="004B74E6" w:rsidRPr="008608AA" w:rsidRDefault="00A04C10" w:rsidP="004B74E6">
      <w:pPr>
        <w:spacing w:before="240"/>
        <w:jc w:val="center"/>
      </w:pPr>
      <w:r w:rsidRPr="008608AA">
        <w:rPr>
          <w:noProof/>
          <w:lang w:val="en-GB" w:eastAsia="en-GB"/>
        </w:rPr>
        <w:drawing>
          <wp:inline distT="0" distB="0" distL="0" distR="0" wp14:anchorId="40DB6BA5" wp14:editId="4F92D746">
            <wp:extent cx="5934075" cy="4886325"/>
            <wp:effectExtent l="0" t="0" r="9525" b="9525"/>
            <wp:docPr id="2105" name="Imagen 2105" descr="C:\Users\Alejandro Valderrama\Downloads\Fig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0" descr="C:\Users\Alejandro Valderrama\Downloads\Fig4.15.jpg"/>
                    <pic:cNvPicPr>
                      <a:picLocks noChangeAspect="1" noChangeArrowheads="1"/>
                    </pic:cNvPicPr>
                  </pic:nvPicPr>
                  <pic:blipFill rotWithShape="1">
                    <a:blip r:embed="rId995">
                      <a:extLst>
                        <a:ext uri="{28A0092B-C50C-407E-A947-70E740481C1C}">
                          <a14:useLocalDpi xmlns:a14="http://schemas.microsoft.com/office/drawing/2010/main" val="0"/>
                        </a:ext>
                      </a:extLst>
                    </a:blip>
                    <a:srcRect b="42873"/>
                    <a:stretch/>
                  </pic:blipFill>
                  <pic:spPr bwMode="auto">
                    <a:xfrm>
                      <a:off x="0" y="0"/>
                      <a:ext cx="5934075" cy="4886325"/>
                    </a:xfrm>
                    <a:prstGeom prst="rect">
                      <a:avLst/>
                    </a:prstGeom>
                    <a:noFill/>
                    <a:ln>
                      <a:noFill/>
                    </a:ln>
                    <a:extLst>
                      <a:ext uri="{53640926-AAD7-44D8-BBD7-CCE9431645EC}">
                        <a14:shadowObscured xmlns:a14="http://schemas.microsoft.com/office/drawing/2010/main"/>
                      </a:ext>
                    </a:extLst>
                  </pic:spPr>
                </pic:pic>
              </a:graphicData>
            </a:graphic>
          </wp:inline>
        </w:drawing>
      </w:r>
    </w:p>
    <w:p w14:paraId="7AFA47AA" w14:textId="77777777" w:rsidR="00A04C10" w:rsidRPr="008608AA" w:rsidRDefault="00A04C10" w:rsidP="004B74E6">
      <w:pPr>
        <w:spacing w:before="240"/>
        <w:jc w:val="center"/>
      </w:pPr>
    </w:p>
    <w:p w14:paraId="6E9C30A7" w14:textId="35978A33" w:rsidR="00A04C10" w:rsidRPr="008608AA" w:rsidRDefault="00A04C10" w:rsidP="004B74E6">
      <w:pPr>
        <w:spacing w:before="240"/>
        <w:jc w:val="center"/>
      </w:pPr>
      <w:r w:rsidRPr="008608AA">
        <w:rPr>
          <w:noProof/>
          <w:lang w:val="en-GB" w:eastAsia="en-GB"/>
        </w:rPr>
        <w:drawing>
          <wp:inline distT="0" distB="0" distL="0" distR="0" wp14:anchorId="616CE24C" wp14:editId="669CADA3">
            <wp:extent cx="6019800" cy="4781550"/>
            <wp:effectExtent l="0" t="0" r="0" b="0"/>
            <wp:docPr id="2106" name="Imagen 2106" descr="C:\Users\Alejandro Valderrama\Downloads\Fig4.15_p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4" descr="C:\Users\Alejandro Valderrama\Downloads\Fig4.15_pag2.jpg"/>
                    <pic:cNvPicPr>
                      <a:picLocks noChangeAspect="1" noChangeArrowheads="1"/>
                    </pic:cNvPicPr>
                  </pic:nvPicPr>
                  <pic:blipFill rotWithShape="1">
                    <a:blip r:embed="rId996">
                      <a:extLst>
                        <a:ext uri="{28A0092B-C50C-407E-A947-70E740481C1C}">
                          <a14:useLocalDpi xmlns:a14="http://schemas.microsoft.com/office/drawing/2010/main" val="0"/>
                        </a:ext>
                      </a:extLst>
                    </a:blip>
                    <a:srcRect b="38631"/>
                    <a:stretch/>
                  </pic:blipFill>
                  <pic:spPr bwMode="auto">
                    <a:xfrm>
                      <a:off x="0" y="0"/>
                      <a:ext cx="6019800" cy="4781550"/>
                    </a:xfrm>
                    <a:prstGeom prst="rect">
                      <a:avLst/>
                    </a:prstGeom>
                    <a:noFill/>
                    <a:ln>
                      <a:noFill/>
                    </a:ln>
                    <a:extLst>
                      <a:ext uri="{53640926-AAD7-44D8-BBD7-CCE9431645EC}">
                        <a14:shadowObscured xmlns:a14="http://schemas.microsoft.com/office/drawing/2010/main"/>
                      </a:ext>
                    </a:extLst>
                  </pic:spPr>
                </pic:pic>
              </a:graphicData>
            </a:graphic>
          </wp:inline>
        </w:drawing>
      </w:r>
    </w:p>
    <w:p w14:paraId="5AC7669B" w14:textId="77F3936D" w:rsidR="001E61A6" w:rsidRPr="008608AA" w:rsidRDefault="005412A9" w:rsidP="004B74E6">
      <w:pPr>
        <w:spacing w:before="240"/>
      </w:pPr>
      <w:r w:rsidRPr="008608AA">
        <w:t>The Aichi 2020 t</w:t>
      </w:r>
      <w:r w:rsidR="001E61A6" w:rsidRPr="008608AA">
        <w:t xml:space="preserve">argets, under the CBD, endeavor to halt the loss of biodiversity by 2020, in order to ensure that ecosystems continue to provide essential services. The present evaluation of the status and trends of the multiple drivers of change for the different units of analysis in the Americas shows that most of the Aichi targets will be not achieved without significant policy interventions. This analysis is in accordance with a study at the global scale of the many impediments for the accomplishment of the Aichi targets </w:t>
      </w:r>
      <w:r w:rsidR="00C05AA8" w:rsidRPr="008608AA">
        <w:t>that indicated 15 of the Aichi t</w:t>
      </w:r>
      <w:r w:rsidR="001E61A6" w:rsidRPr="008608AA">
        <w:t xml:space="preserve">argets as unlikely to be delivered; three likely to be delivered in part; and two in full (Hill et al., 2015). </w:t>
      </w:r>
    </w:p>
    <w:p w14:paraId="2EB81EDA" w14:textId="77777777" w:rsidR="001E61A6" w:rsidRPr="008608AA" w:rsidRDefault="001E61A6" w:rsidP="004B74E6">
      <w:pPr>
        <w:spacing w:before="120"/>
      </w:pPr>
      <w:r w:rsidRPr="008608AA">
        <w:t xml:space="preserve">Understanding and managing ecosystem-service delivery is of key importance for human wellbeing (Chapter 2). Development, poverty eradication, and biodiversity conservation are key areas of focus of the United Nations SDG. The initiative adopted in 2015 by more then 150 world leaders set targets to be achieved by 2030 as part of a new sustainable development agenda and reinforces the demand for integrated analyses of indirect and direct drivers of biodiversity and ecosystem changes. This agenda is particularly relevant to Mesoamerica and South America whose countries still show social inequality allied to economies highly dependent on the export of natural resources and agricultural commodities. </w:t>
      </w:r>
    </w:p>
    <w:p w14:paraId="6884632A" w14:textId="5E9CDA87" w:rsidR="001E61A6" w:rsidRPr="008608AA" w:rsidRDefault="001E61A6" w:rsidP="004B74E6">
      <w:pPr>
        <w:spacing w:before="120"/>
      </w:pPr>
      <w:r w:rsidRPr="008608AA">
        <w:t xml:space="preserve">The rapidly increasing dependency on biodiversity-risk commodities, which are expanding mostly at the expense of existing natural vegetation, is currently not accompanied by comprehensive governance policies and land planning (Lemos </w:t>
      </w:r>
      <w:r w:rsidR="002E211A" w:rsidRPr="008608AA">
        <w:t>&amp;</w:t>
      </w:r>
      <w:r w:rsidRPr="008608AA">
        <w:t xml:space="preserve"> Agrawal, 2006). Efforts to revise this situation face a variety of challenges. The increased globalization of the world economy has catalyzed rapid growth and the complexity of international trade, leading to a disconnection and physical separation of the places of production, transformation and consumption of land-based products. This disconnectedness strongly hampers socio-environmental governance and the implementation of regulatory frameworks, beyond the intrinsic difficulties to govern sectors already in rapid transition driven by increasing global demand for food, fuel, feed and fiber</w:t>
      </w:r>
      <w:r w:rsidR="007362F1">
        <w:t xml:space="preserve"> Figure </w:t>
      </w:r>
      <w:r w:rsidR="007362F1" w:rsidRPr="007362F1">
        <w:t>4.16</w:t>
      </w:r>
      <w:r w:rsidRPr="007362F1">
        <w:t>. As</w:t>
      </w:r>
      <w:r w:rsidRPr="008608AA">
        <w:t xml:space="preserve"> a result, natural resource use policies often come in place only when fundamental shifts in the land-use system are already underway and interventions become costly and have limited influence. Furthermore, while benefits from trade of agricultural commodities are easily measured and perceived by those in the supply chain and production countries as a whole, the associated externalities have so far been poorly understood and/or poorly translated into economic costs in future years. </w:t>
      </w:r>
    </w:p>
    <w:p w14:paraId="322965CC" w14:textId="094790AE" w:rsidR="001E61A6" w:rsidRDefault="001E61A6" w:rsidP="004B74E6">
      <w:pPr>
        <w:spacing w:before="120"/>
      </w:pPr>
      <w:r w:rsidRPr="008608AA">
        <w:t>The application of the knowledge of ecological and socio-ecological processes to the sustainable management of natural systems is the foundation to build resilience to future environmental change. In the different units of analysis, increasing and diverse exploitation of natural resources demands the development of different regional and national legislative initiatives aimed at protection and restoration of biodiversity and ecosystems and further adequate and sustainable management of nature (see Chapter 6). Policies and strategies could reduce the anthropogenic impacts on biodiversity by modifying the trends of drivers and underlying causes. The integration of biodiversity protection into other sectoral policies might enhance the chances for effective political action. Planning of measures to prevent and mitigate biodiversity loss, like habitat preservation, restoring degraded landscapes, maintaining or creating connectivity, avoiding overharvest, reducing fire risk and control of greenhouse gasses emissions, should consider the need to manage multiple drivers simultaneously over longer terms (Brook et al., 2008). Usually, conservation plans are developed for regions that encompass only one environmental realm (terrestrial, freshwater or marine) because of logistical, institutional and political constraints</w:t>
      </w:r>
      <w:r w:rsidR="004C33B7" w:rsidRPr="008608AA">
        <w:t xml:space="preserve"> (Beger</w:t>
      </w:r>
      <w:r w:rsidRPr="008608AA">
        <w:t xml:space="preserve"> et al.</w:t>
      </w:r>
      <w:r w:rsidR="002E211A" w:rsidRPr="008608AA">
        <w:t>,</w:t>
      </w:r>
      <w:r w:rsidRPr="008608AA">
        <w:t xml:space="preserve"> 2010). However, as shown above for freshwater and wetland ecosystems, these realms often interact through processes that form, utilize and maintain interfaces or connections, which are essential for the persistence of some species and ecosystem functions. These linkages must be also considered in policy framing processes as well as the analysis of values and human behavior that </w:t>
      </w:r>
      <w:r w:rsidR="00A04C10" w:rsidRPr="008608AA">
        <w:t>induce, are affected by or resp</w:t>
      </w:r>
      <w:r w:rsidRPr="008608AA">
        <w:t>nd to the changes in environmental conditions.</w:t>
      </w:r>
    </w:p>
    <w:p w14:paraId="1986212E" w14:textId="77777777" w:rsidR="00A26FD5" w:rsidRPr="008608AA" w:rsidRDefault="00A26FD5" w:rsidP="004B74E6">
      <w:pPr>
        <w:spacing w:before="120"/>
      </w:pPr>
    </w:p>
    <w:p w14:paraId="79331F6B" w14:textId="068D8FAA" w:rsidR="001E61A6" w:rsidRPr="008608AA" w:rsidRDefault="00A04C10" w:rsidP="004B74E6">
      <w:pPr>
        <w:spacing w:before="120"/>
        <w:jc w:val="center"/>
      </w:pPr>
      <w:bookmarkStart w:id="1756" w:name="_Toc310884849"/>
      <w:bookmarkStart w:id="1757" w:name="_Toc330470864"/>
      <w:bookmarkEnd w:id="1694"/>
      <w:bookmarkEnd w:id="1695"/>
      <w:r w:rsidRPr="008608AA">
        <w:rPr>
          <w:noProof/>
          <w:lang w:val="en-GB" w:eastAsia="en-GB"/>
        </w:rPr>
        <w:drawing>
          <wp:inline distT="0" distB="0" distL="0" distR="0" wp14:anchorId="0CB44A7A" wp14:editId="732BA6E9">
            <wp:extent cx="5934075" cy="4276725"/>
            <wp:effectExtent l="0" t="0" r="9525" b="9525"/>
            <wp:docPr id="2107" name="Imagen 2107" descr="C:\Users\Alejandro Valderrama\Downloads\Fig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6" descr="C:\Users\Alejandro Valderrama\Downloads\Fig4.16.jpg"/>
                    <pic:cNvPicPr>
                      <a:picLocks noChangeAspect="1" noChangeArrowheads="1"/>
                    </pic:cNvPicPr>
                  </pic:nvPicPr>
                  <pic:blipFill rotWithShape="1">
                    <a:blip r:embed="rId997">
                      <a:extLst>
                        <a:ext uri="{28A0092B-C50C-407E-A947-70E740481C1C}">
                          <a14:useLocalDpi xmlns:a14="http://schemas.microsoft.com/office/drawing/2010/main" val="0"/>
                        </a:ext>
                      </a:extLst>
                    </a:blip>
                    <a:srcRect b="50000"/>
                    <a:stretch/>
                  </pic:blipFill>
                  <pic:spPr bwMode="auto">
                    <a:xfrm>
                      <a:off x="0" y="0"/>
                      <a:ext cx="5934075" cy="4276725"/>
                    </a:xfrm>
                    <a:prstGeom prst="rect">
                      <a:avLst/>
                    </a:prstGeom>
                    <a:noFill/>
                    <a:ln>
                      <a:noFill/>
                    </a:ln>
                    <a:extLst>
                      <a:ext uri="{53640926-AAD7-44D8-BBD7-CCE9431645EC}">
                        <a14:shadowObscured xmlns:a14="http://schemas.microsoft.com/office/drawing/2010/main"/>
                      </a:ext>
                    </a:extLst>
                  </pic:spPr>
                </pic:pic>
              </a:graphicData>
            </a:graphic>
          </wp:inline>
        </w:drawing>
      </w:r>
    </w:p>
    <w:p w14:paraId="394943AF" w14:textId="77777777" w:rsidR="001E61A6" w:rsidRPr="008608AA" w:rsidRDefault="001E61A6" w:rsidP="001E61A6">
      <w:pPr>
        <w:rPr>
          <w:rFonts w:asciiTheme="majorHAnsi" w:hAnsiTheme="majorHAnsi"/>
          <w:sz w:val="16"/>
          <w:szCs w:val="16"/>
        </w:rPr>
        <w:sectPr w:rsidR="001E61A6" w:rsidRPr="008608AA" w:rsidSect="006F7DC0">
          <w:pgSz w:w="11907" w:h="16839" w:code="9"/>
          <w:pgMar w:top="907" w:right="992" w:bottom="1418" w:left="1418" w:header="720" w:footer="539" w:gutter="0"/>
          <w:cols w:space="708"/>
          <w:docGrid w:linePitch="360"/>
        </w:sectPr>
      </w:pPr>
    </w:p>
    <w:p w14:paraId="4AB65522" w14:textId="5BE9D4B3" w:rsidR="001E61A6" w:rsidRPr="008608AA" w:rsidRDefault="004B74E6" w:rsidP="004B74E6">
      <w:pPr>
        <w:pStyle w:val="Caption"/>
      </w:pPr>
      <w:bookmarkStart w:id="1758" w:name="_Toc494482728"/>
      <w:bookmarkStart w:id="1759" w:name="_Toc499459697"/>
      <w:bookmarkStart w:id="1760" w:name="_Hlk494358071"/>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14</w:t>
      </w:r>
      <w:r w:rsidR="000E562E">
        <w:rPr>
          <w:noProof/>
        </w:rPr>
        <w:fldChar w:fldCharType="end"/>
      </w:r>
      <w:r w:rsidR="001E61A6" w:rsidRPr="008608AA">
        <w:t>. Weight of the Americas in the global exports of key bodiversity-risk commodities (as percentage of global exports), 2015.</w:t>
      </w:r>
      <w:bookmarkEnd w:id="1758"/>
      <w:bookmarkEnd w:id="1759"/>
    </w:p>
    <w:p w14:paraId="4FECDAE8" w14:textId="57A11912" w:rsidR="001E61A6" w:rsidRPr="008608AA" w:rsidRDefault="001E61A6" w:rsidP="001E61A6"/>
    <w:tbl>
      <w:tblPr>
        <w:tblStyle w:val="TableGrid"/>
        <w:tblW w:w="5000" w:type="pct"/>
        <w:tblLook w:val="04A0" w:firstRow="1" w:lastRow="0" w:firstColumn="1" w:lastColumn="0" w:noHBand="0" w:noVBand="1"/>
      </w:tblPr>
      <w:tblGrid>
        <w:gridCol w:w="1245"/>
        <w:gridCol w:w="967"/>
        <w:gridCol w:w="1230"/>
        <w:gridCol w:w="859"/>
        <w:gridCol w:w="664"/>
        <w:gridCol w:w="780"/>
        <w:gridCol w:w="847"/>
        <w:gridCol w:w="838"/>
        <w:gridCol w:w="812"/>
        <w:gridCol w:w="725"/>
        <w:gridCol w:w="806"/>
        <w:gridCol w:w="705"/>
        <w:gridCol w:w="748"/>
        <w:gridCol w:w="922"/>
        <w:gridCol w:w="1088"/>
        <w:gridCol w:w="1268"/>
      </w:tblGrid>
      <w:tr w:rsidR="001E61A6" w:rsidRPr="008608AA" w14:paraId="391F1970" w14:textId="77777777" w:rsidTr="004B74E6">
        <w:tc>
          <w:tcPr>
            <w:tcW w:w="429" w:type="pct"/>
            <w:shd w:val="clear" w:color="auto" w:fill="BFBFBF" w:themeFill="background1" w:themeFillShade="BF"/>
            <w:vAlign w:val="center"/>
          </w:tcPr>
          <w:bookmarkEnd w:id="1760"/>
          <w:p w14:paraId="4C96E327" w14:textId="77777777" w:rsidR="001E61A6" w:rsidRPr="008608AA" w:rsidRDefault="001E61A6" w:rsidP="004B74E6">
            <w:pPr>
              <w:jc w:val="center"/>
              <w:rPr>
                <w:b/>
                <w:sz w:val="16"/>
                <w:szCs w:val="16"/>
              </w:rPr>
            </w:pPr>
            <w:r w:rsidRPr="008608AA">
              <w:rPr>
                <w:b/>
                <w:sz w:val="16"/>
                <w:szCs w:val="16"/>
              </w:rPr>
              <w:t>COUNTRY</w:t>
            </w:r>
          </w:p>
        </w:tc>
        <w:tc>
          <w:tcPr>
            <w:tcW w:w="333" w:type="pct"/>
            <w:shd w:val="clear" w:color="auto" w:fill="BFBFBF" w:themeFill="background1" w:themeFillShade="BF"/>
            <w:vAlign w:val="center"/>
          </w:tcPr>
          <w:p w14:paraId="53952615" w14:textId="77777777" w:rsidR="001E61A6" w:rsidRPr="008608AA" w:rsidRDefault="001E61A6" w:rsidP="004B74E6">
            <w:pPr>
              <w:jc w:val="center"/>
              <w:rPr>
                <w:b/>
                <w:bCs/>
                <w:sz w:val="16"/>
                <w:szCs w:val="16"/>
              </w:rPr>
            </w:pPr>
            <w:r w:rsidRPr="008608AA">
              <w:rPr>
                <w:b/>
                <w:bCs/>
                <w:sz w:val="16"/>
                <w:szCs w:val="16"/>
              </w:rPr>
              <w:t>Agricult.</w:t>
            </w:r>
          </w:p>
          <w:p w14:paraId="1BE2E872" w14:textId="1F9B2504" w:rsidR="001E61A6" w:rsidRPr="008608AA" w:rsidRDefault="002D2C47" w:rsidP="004B74E6">
            <w:pPr>
              <w:jc w:val="center"/>
              <w:rPr>
                <w:b/>
                <w:bCs/>
                <w:sz w:val="16"/>
                <w:szCs w:val="16"/>
              </w:rPr>
            </w:pPr>
            <w:r w:rsidRPr="008608AA">
              <w:rPr>
                <w:b/>
                <w:bCs/>
                <w:sz w:val="16"/>
                <w:szCs w:val="16"/>
              </w:rPr>
              <w:t>p</w:t>
            </w:r>
            <w:r w:rsidR="001E61A6" w:rsidRPr="008608AA">
              <w:rPr>
                <w:b/>
                <w:bCs/>
                <w:sz w:val="16"/>
                <w:szCs w:val="16"/>
              </w:rPr>
              <w:t>roducts*</w:t>
            </w:r>
          </w:p>
        </w:tc>
        <w:tc>
          <w:tcPr>
            <w:tcW w:w="424" w:type="pct"/>
            <w:shd w:val="clear" w:color="auto" w:fill="BFBFBF" w:themeFill="background1" w:themeFillShade="BF"/>
            <w:vAlign w:val="center"/>
          </w:tcPr>
          <w:p w14:paraId="6AFC17B5" w14:textId="02B57596" w:rsidR="001E61A6" w:rsidRPr="008608AA" w:rsidRDefault="001E61A6" w:rsidP="002D2C47">
            <w:pPr>
              <w:jc w:val="center"/>
              <w:rPr>
                <w:b/>
                <w:bCs/>
                <w:sz w:val="16"/>
                <w:szCs w:val="16"/>
              </w:rPr>
            </w:pPr>
            <w:r w:rsidRPr="008608AA">
              <w:rPr>
                <w:b/>
                <w:bCs/>
                <w:sz w:val="16"/>
                <w:szCs w:val="16"/>
              </w:rPr>
              <w:t xml:space="preserve">Total </w:t>
            </w:r>
            <w:r w:rsidR="002D2C47" w:rsidRPr="008608AA">
              <w:rPr>
                <w:b/>
                <w:bCs/>
                <w:sz w:val="16"/>
                <w:szCs w:val="16"/>
              </w:rPr>
              <w:t>m</w:t>
            </w:r>
            <w:r w:rsidRPr="008608AA">
              <w:rPr>
                <w:b/>
                <w:bCs/>
                <w:sz w:val="16"/>
                <w:szCs w:val="16"/>
              </w:rPr>
              <w:t xml:space="preserve">erchandise </w:t>
            </w:r>
            <w:r w:rsidR="002D2C47" w:rsidRPr="008608AA">
              <w:rPr>
                <w:b/>
                <w:bCs/>
                <w:sz w:val="16"/>
                <w:szCs w:val="16"/>
              </w:rPr>
              <w:t>t</w:t>
            </w:r>
            <w:r w:rsidRPr="008608AA">
              <w:rPr>
                <w:b/>
                <w:bCs/>
                <w:sz w:val="16"/>
                <w:szCs w:val="16"/>
              </w:rPr>
              <w:t>rade*</w:t>
            </w:r>
          </w:p>
        </w:tc>
        <w:tc>
          <w:tcPr>
            <w:tcW w:w="296" w:type="pct"/>
            <w:shd w:val="clear" w:color="auto" w:fill="BFBFBF" w:themeFill="background1" w:themeFillShade="BF"/>
            <w:vAlign w:val="center"/>
          </w:tcPr>
          <w:p w14:paraId="642660BB" w14:textId="77777777" w:rsidR="001E61A6" w:rsidRPr="008608AA" w:rsidRDefault="001E61A6" w:rsidP="004B74E6">
            <w:pPr>
              <w:jc w:val="center"/>
              <w:rPr>
                <w:b/>
                <w:sz w:val="16"/>
                <w:szCs w:val="16"/>
              </w:rPr>
            </w:pPr>
            <w:r w:rsidRPr="008608AA">
              <w:rPr>
                <w:b/>
                <w:sz w:val="16"/>
                <w:szCs w:val="16"/>
              </w:rPr>
              <w:t>Soy beans**</w:t>
            </w:r>
          </w:p>
        </w:tc>
        <w:tc>
          <w:tcPr>
            <w:tcW w:w="229" w:type="pct"/>
            <w:shd w:val="clear" w:color="auto" w:fill="BFBFBF" w:themeFill="background1" w:themeFillShade="BF"/>
            <w:vAlign w:val="center"/>
          </w:tcPr>
          <w:p w14:paraId="2F59C804" w14:textId="3626F70F" w:rsidR="001E61A6" w:rsidRPr="008608AA" w:rsidRDefault="001E61A6" w:rsidP="004B74E6">
            <w:pPr>
              <w:jc w:val="center"/>
              <w:rPr>
                <w:b/>
                <w:sz w:val="16"/>
                <w:szCs w:val="16"/>
              </w:rPr>
            </w:pPr>
            <w:r w:rsidRPr="008608AA">
              <w:rPr>
                <w:b/>
                <w:sz w:val="16"/>
                <w:szCs w:val="16"/>
              </w:rPr>
              <w:t>Soy oil**</w:t>
            </w:r>
          </w:p>
        </w:tc>
        <w:tc>
          <w:tcPr>
            <w:tcW w:w="269" w:type="pct"/>
            <w:shd w:val="clear" w:color="auto" w:fill="BFBFBF" w:themeFill="background1" w:themeFillShade="BF"/>
            <w:vAlign w:val="center"/>
          </w:tcPr>
          <w:p w14:paraId="225B1261" w14:textId="77777777" w:rsidR="001E61A6" w:rsidRPr="008608AA" w:rsidRDefault="001E61A6" w:rsidP="004B74E6">
            <w:pPr>
              <w:jc w:val="center"/>
              <w:rPr>
                <w:b/>
                <w:sz w:val="16"/>
                <w:szCs w:val="16"/>
              </w:rPr>
            </w:pPr>
            <w:r w:rsidRPr="008608AA">
              <w:rPr>
                <w:b/>
                <w:sz w:val="16"/>
                <w:szCs w:val="16"/>
              </w:rPr>
              <w:t>Soy meal**</w:t>
            </w:r>
          </w:p>
        </w:tc>
        <w:tc>
          <w:tcPr>
            <w:tcW w:w="292" w:type="pct"/>
            <w:shd w:val="clear" w:color="auto" w:fill="BFBFBF" w:themeFill="background1" w:themeFillShade="BF"/>
            <w:vAlign w:val="center"/>
          </w:tcPr>
          <w:p w14:paraId="1ADCCD4F" w14:textId="77777777" w:rsidR="001E61A6" w:rsidRPr="008608AA" w:rsidRDefault="001E61A6" w:rsidP="004B74E6">
            <w:pPr>
              <w:jc w:val="center"/>
              <w:rPr>
                <w:b/>
                <w:sz w:val="16"/>
                <w:szCs w:val="16"/>
              </w:rPr>
            </w:pPr>
            <w:r w:rsidRPr="008608AA">
              <w:rPr>
                <w:b/>
                <w:sz w:val="16"/>
                <w:szCs w:val="16"/>
              </w:rPr>
              <w:t>Meat of bovine animals; fresh or chilled**</w:t>
            </w:r>
          </w:p>
        </w:tc>
        <w:tc>
          <w:tcPr>
            <w:tcW w:w="289" w:type="pct"/>
            <w:shd w:val="clear" w:color="auto" w:fill="BFBFBF" w:themeFill="background1" w:themeFillShade="BF"/>
            <w:vAlign w:val="center"/>
          </w:tcPr>
          <w:p w14:paraId="23BD20C6" w14:textId="0FE0CED2" w:rsidR="001E61A6" w:rsidRPr="008608AA" w:rsidRDefault="001E61A6" w:rsidP="004B74E6">
            <w:pPr>
              <w:jc w:val="center"/>
              <w:rPr>
                <w:b/>
                <w:sz w:val="16"/>
                <w:szCs w:val="16"/>
              </w:rPr>
            </w:pPr>
            <w:r w:rsidRPr="008608AA">
              <w:rPr>
                <w:b/>
                <w:sz w:val="16"/>
                <w:szCs w:val="16"/>
              </w:rPr>
              <w:t>Meat of bovine animals, frozen**</w:t>
            </w:r>
          </w:p>
        </w:tc>
        <w:tc>
          <w:tcPr>
            <w:tcW w:w="280" w:type="pct"/>
            <w:shd w:val="clear" w:color="auto" w:fill="BFBFBF" w:themeFill="background1" w:themeFillShade="BF"/>
            <w:vAlign w:val="center"/>
          </w:tcPr>
          <w:p w14:paraId="299F13F0" w14:textId="77777777" w:rsidR="001E61A6" w:rsidRPr="008608AA" w:rsidRDefault="001E61A6" w:rsidP="004B74E6">
            <w:pPr>
              <w:jc w:val="center"/>
              <w:rPr>
                <w:b/>
                <w:sz w:val="16"/>
                <w:szCs w:val="16"/>
              </w:rPr>
            </w:pPr>
            <w:r w:rsidRPr="008608AA">
              <w:rPr>
                <w:b/>
                <w:sz w:val="16"/>
                <w:szCs w:val="16"/>
              </w:rPr>
              <w:t>Maize**</w:t>
            </w:r>
          </w:p>
        </w:tc>
        <w:tc>
          <w:tcPr>
            <w:tcW w:w="250" w:type="pct"/>
            <w:shd w:val="clear" w:color="auto" w:fill="BFBFBF" w:themeFill="background1" w:themeFillShade="BF"/>
            <w:vAlign w:val="center"/>
          </w:tcPr>
          <w:p w14:paraId="56CCA704" w14:textId="77777777" w:rsidR="001E61A6" w:rsidRPr="008608AA" w:rsidRDefault="001E61A6" w:rsidP="004B74E6">
            <w:pPr>
              <w:jc w:val="center"/>
              <w:rPr>
                <w:b/>
                <w:sz w:val="16"/>
                <w:szCs w:val="16"/>
              </w:rPr>
            </w:pPr>
            <w:r w:rsidRPr="008608AA">
              <w:rPr>
                <w:b/>
                <w:sz w:val="16"/>
                <w:szCs w:val="16"/>
              </w:rPr>
              <w:t>Maize flour**</w:t>
            </w:r>
          </w:p>
        </w:tc>
        <w:tc>
          <w:tcPr>
            <w:tcW w:w="278" w:type="pct"/>
            <w:shd w:val="clear" w:color="auto" w:fill="BFBFBF" w:themeFill="background1" w:themeFillShade="BF"/>
            <w:vAlign w:val="center"/>
          </w:tcPr>
          <w:p w14:paraId="04303393" w14:textId="77777777" w:rsidR="001E61A6" w:rsidRPr="008608AA" w:rsidRDefault="001E61A6" w:rsidP="004B74E6">
            <w:pPr>
              <w:jc w:val="center"/>
              <w:rPr>
                <w:b/>
                <w:sz w:val="16"/>
                <w:szCs w:val="16"/>
              </w:rPr>
            </w:pPr>
            <w:r w:rsidRPr="008608AA">
              <w:rPr>
                <w:b/>
                <w:sz w:val="16"/>
                <w:szCs w:val="16"/>
              </w:rPr>
              <w:t>Cocoa beans**</w:t>
            </w:r>
          </w:p>
        </w:tc>
        <w:tc>
          <w:tcPr>
            <w:tcW w:w="243" w:type="pct"/>
            <w:shd w:val="clear" w:color="auto" w:fill="BFBFBF" w:themeFill="background1" w:themeFillShade="BF"/>
            <w:vAlign w:val="center"/>
          </w:tcPr>
          <w:p w14:paraId="48375030" w14:textId="3E6B15FF" w:rsidR="001E61A6" w:rsidRPr="008608AA" w:rsidRDefault="001E61A6" w:rsidP="004B74E6">
            <w:pPr>
              <w:jc w:val="center"/>
              <w:rPr>
                <w:b/>
                <w:sz w:val="16"/>
                <w:szCs w:val="16"/>
              </w:rPr>
            </w:pPr>
            <w:r w:rsidRPr="008608AA">
              <w:rPr>
                <w:b/>
                <w:sz w:val="16"/>
                <w:szCs w:val="16"/>
              </w:rPr>
              <w:t>Cocoa butter, fat and oil**</w:t>
            </w:r>
          </w:p>
        </w:tc>
        <w:tc>
          <w:tcPr>
            <w:tcW w:w="258" w:type="pct"/>
            <w:shd w:val="clear" w:color="auto" w:fill="BFBFBF" w:themeFill="background1" w:themeFillShade="BF"/>
            <w:vAlign w:val="center"/>
          </w:tcPr>
          <w:p w14:paraId="0D0C2DB6" w14:textId="77777777" w:rsidR="001E61A6" w:rsidRPr="008608AA" w:rsidRDefault="001E61A6" w:rsidP="004B74E6">
            <w:pPr>
              <w:jc w:val="center"/>
              <w:rPr>
                <w:b/>
                <w:sz w:val="16"/>
                <w:szCs w:val="16"/>
              </w:rPr>
            </w:pPr>
            <w:r w:rsidRPr="008608AA">
              <w:rPr>
                <w:b/>
                <w:sz w:val="16"/>
                <w:szCs w:val="16"/>
              </w:rPr>
              <w:t>Cocoa paste**</w:t>
            </w:r>
          </w:p>
        </w:tc>
        <w:tc>
          <w:tcPr>
            <w:tcW w:w="318" w:type="pct"/>
            <w:shd w:val="clear" w:color="auto" w:fill="BFBFBF" w:themeFill="background1" w:themeFillShade="BF"/>
            <w:vAlign w:val="center"/>
          </w:tcPr>
          <w:p w14:paraId="274264A7" w14:textId="77777777" w:rsidR="001E61A6" w:rsidRPr="008608AA" w:rsidRDefault="001E61A6" w:rsidP="004B74E6">
            <w:pPr>
              <w:jc w:val="center"/>
              <w:rPr>
                <w:b/>
                <w:sz w:val="16"/>
                <w:szCs w:val="16"/>
              </w:rPr>
            </w:pPr>
            <w:r w:rsidRPr="008608AA">
              <w:rPr>
                <w:b/>
                <w:sz w:val="16"/>
                <w:szCs w:val="16"/>
              </w:rPr>
              <w:t>Cotton***</w:t>
            </w:r>
          </w:p>
        </w:tc>
        <w:tc>
          <w:tcPr>
            <w:tcW w:w="375" w:type="pct"/>
            <w:shd w:val="clear" w:color="auto" w:fill="BFBFBF" w:themeFill="background1" w:themeFillShade="BF"/>
            <w:vAlign w:val="center"/>
          </w:tcPr>
          <w:p w14:paraId="391C23B9" w14:textId="2D37AAF5" w:rsidR="001E61A6" w:rsidRPr="008608AA" w:rsidRDefault="001E61A6" w:rsidP="004B74E6">
            <w:pPr>
              <w:jc w:val="center"/>
              <w:rPr>
                <w:b/>
                <w:sz w:val="16"/>
                <w:szCs w:val="16"/>
              </w:rPr>
            </w:pPr>
            <w:r w:rsidRPr="008608AA">
              <w:rPr>
                <w:b/>
                <w:sz w:val="16"/>
                <w:szCs w:val="16"/>
              </w:rPr>
              <w:t>Wood in the rough or roughly squared****</w:t>
            </w:r>
          </w:p>
        </w:tc>
        <w:tc>
          <w:tcPr>
            <w:tcW w:w="438" w:type="pct"/>
            <w:shd w:val="clear" w:color="auto" w:fill="BFBFBF" w:themeFill="background1" w:themeFillShade="BF"/>
            <w:vAlign w:val="center"/>
          </w:tcPr>
          <w:p w14:paraId="07934DDF" w14:textId="4BA6523E" w:rsidR="001E61A6" w:rsidRPr="008608AA" w:rsidRDefault="001E61A6" w:rsidP="004B74E6">
            <w:pPr>
              <w:jc w:val="center"/>
              <w:rPr>
                <w:b/>
                <w:sz w:val="16"/>
                <w:szCs w:val="16"/>
              </w:rPr>
            </w:pPr>
            <w:r w:rsidRPr="008608AA">
              <w:rPr>
                <w:b/>
                <w:sz w:val="16"/>
                <w:szCs w:val="16"/>
              </w:rPr>
              <w:t>Wood sawn or chipped lengthwise****</w:t>
            </w:r>
          </w:p>
        </w:tc>
      </w:tr>
      <w:tr w:rsidR="001E61A6" w:rsidRPr="008608AA" w14:paraId="6A0A145D" w14:textId="77777777" w:rsidTr="005C080D">
        <w:tc>
          <w:tcPr>
            <w:tcW w:w="429" w:type="pct"/>
            <w:vAlign w:val="bottom"/>
          </w:tcPr>
          <w:p w14:paraId="791FA4B7" w14:textId="77777777" w:rsidR="001E61A6" w:rsidRPr="008608AA" w:rsidRDefault="001E61A6" w:rsidP="001E61A6">
            <w:pPr>
              <w:rPr>
                <w:sz w:val="16"/>
                <w:szCs w:val="16"/>
              </w:rPr>
            </w:pPr>
            <w:r w:rsidRPr="008608AA">
              <w:rPr>
                <w:sz w:val="16"/>
                <w:szCs w:val="16"/>
              </w:rPr>
              <w:t>Argentina</w:t>
            </w:r>
          </w:p>
        </w:tc>
        <w:tc>
          <w:tcPr>
            <w:tcW w:w="333" w:type="pct"/>
            <w:vAlign w:val="bottom"/>
          </w:tcPr>
          <w:p w14:paraId="4DFF082D" w14:textId="77777777" w:rsidR="001E61A6" w:rsidRPr="008608AA" w:rsidRDefault="001E61A6" w:rsidP="001E61A6">
            <w:pPr>
              <w:rPr>
                <w:sz w:val="16"/>
                <w:szCs w:val="16"/>
              </w:rPr>
            </w:pPr>
            <w:r w:rsidRPr="008608AA">
              <w:rPr>
                <w:sz w:val="16"/>
                <w:szCs w:val="16"/>
              </w:rPr>
              <w:t>2,87</w:t>
            </w:r>
          </w:p>
        </w:tc>
        <w:tc>
          <w:tcPr>
            <w:tcW w:w="424" w:type="pct"/>
            <w:vAlign w:val="bottom"/>
          </w:tcPr>
          <w:p w14:paraId="4BE97E63" w14:textId="77777777" w:rsidR="001E61A6" w:rsidRPr="008608AA" w:rsidRDefault="001E61A6" w:rsidP="001E61A6">
            <w:pPr>
              <w:rPr>
                <w:sz w:val="16"/>
                <w:szCs w:val="16"/>
              </w:rPr>
            </w:pPr>
            <w:r w:rsidRPr="008608AA">
              <w:rPr>
                <w:sz w:val="16"/>
                <w:szCs w:val="16"/>
              </w:rPr>
              <w:t>0,43</w:t>
            </w:r>
          </w:p>
        </w:tc>
        <w:tc>
          <w:tcPr>
            <w:tcW w:w="296" w:type="pct"/>
            <w:vAlign w:val="bottom"/>
          </w:tcPr>
          <w:p w14:paraId="57A28636" w14:textId="77777777" w:rsidR="001E61A6" w:rsidRPr="008608AA" w:rsidRDefault="001E61A6" w:rsidP="001E61A6">
            <w:pPr>
              <w:rPr>
                <w:sz w:val="16"/>
                <w:szCs w:val="16"/>
              </w:rPr>
            </w:pPr>
            <w:r w:rsidRPr="008608AA">
              <w:rPr>
                <w:sz w:val="16"/>
                <w:szCs w:val="16"/>
              </w:rPr>
              <w:t>8,87</w:t>
            </w:r>
          </w:p>
        </w:tc>
        <w:tc>
          <w:tcPr>
            <w:tcW w:w="229" w:type="pct"/>
            <w:vAlign w:val="bottom"/>
          </w:tcPr>
          <w:p w14:paraId="1103B530" w14:textId="77777777" w:rsidR="001E61A6" w:rsidRPr="008608AA" w:rsidRDefault="001E61A6" w:rsidP="001E61A6">
            <w:pPr>
              <w:rPr>
                <w:sz w:val="16"/>
                <w:szCs w:val="16"/>
              </w:rPr>
            </w:pPr>
            <w:r w:rsidRPr="008608AA">
              <w:rPr>
                <w:sz w:val="16"/>
                <w:szCs w:val="16"/>
              </w:rPr>
              <w:t>44,03</w:t>
            </w:r>
          </w:p>
        </w:tc>
        <w:tc>
          <w:tcPr>
            <w:tcW w:w="269" w:type="pct"/>
            <w:vAlign w:val="bottom"/>
          </w:tcPr>
          <w:p w14:paraId="564AB7AC" w14:textId="77777777" w:rsidR="001E61A6" w:rsidRPr="008608AA" w:rsidRDefault="001E61A6" w:rsidP="001E61A6">
            <w:pPr>
              <w:rPr>
                <w:sz w:val="16"/>
                <w:szCs w:val="16"/>
              </w:rPr>
            </w:pPr>
            <w:r w:rsidRPr="008608AA">
              <w:rPr>
                <w:sz w:val="16"/>
                <w:szCs w:val="16"/>
              </w:rPr>
              <w:t>39,66</w:t>
            </w:r>
          </w:p>
        </w:tc>
        <w:tc>
          <w:tcPr>
            <w:tcW w:w="292" w:type="pct"/>
            <w:vAlign w:val="bottom"/>
          </w:tcPr>
          <w:p w14:paraId="0B751508" w14:textId="77777777" w:rsidR="001E61A6" w:rsidRPr="008608AA" w:rsidRDefault="001E61A6" w:rsidP="001E61A6">
            <w:pPr>
              <w:rPr>
                <w:sz w:val="16"/>
                <w:szCs w:val="16"/>
              </w:rPr>
            </w:pPr>
            <w:r w:rsidRPr="008608AA">
              <w:rPr>
                <w:sz w:val="16"/>
                <w:szCs w:val="16"/>
              </w:rPr>
              <w:t>1,52</w:t>
            </w:r>
          </w:p>
        </w:tc>
        <w:tc>
          <w:tcPr>
            <w:tcW w:w="289" w:type="pct"/>
            <w:vAlign w:val="bottom"/>
          </w:tcPr>
          <w:p w14:paraId="25B49BB1" w14:textId="77777777" w:rsidR="001E61A6" w:rsidRPr="008608AA" w:rsidRDefault="001E61A6" w:rsidP="001E61A6">
            <w:pPr>
              <w:rPr>
                <w:sz w:val="16"/>
                <w:szCs w:val="16"/>
              </w:rPr>
            </w:pPr>
            <w:r w:rsidRPr="008608AA">
              <w:rPr>
                <w:sz w:val="16"/>
                <w:szCs w:val="16"/>
              </w:rPr>
              <w:t>1,41</w:t>
            </w:r>
          </w:p>
        </w:tc>
        <w:tc>
          <w:tcPr>
            <w:tcW w:w="280" w:type="pct"/>
            <w:vAlign w:val="bottom"/>
          </w:tcPr>
          <w:p w14:paraId="1CC5893B" w14:textId="77777777" w:rsidR="001E61A6" w:rsidRPr="008608AA" w:rsidRDefault="001E61A6" w:rsidP="001E61A6">
            <w:pPr>
              <w:rPr>
                <w:sz w:val="16"/>
                <w:szCs w:val="16"/>
              </w:rPr>
            </w:pPr>
            <w:r w:rsidRPr="008608AA">
              <w:rPr>
                <w:sz w:val="16"/>
                <w:szCs w:val="16"/>
              </w:rPr>
              <w:t>11,48</w:t>
            </w:r>
          </w:p>
        </w:tc>
        <w:tc>
          <w:tcPr>
            <w:tcW w:w="250" w:type="pct"/>
            <w:vAlign w:val="bottom"/>
          </w:tcPr>
          <w:p w14:paraId="612E4B30" w14:textId="77777777" w:rsidR="001E61A6" w:rsidRPr="008608AA" w:rsidRDefault="001E61A6" w:rsidP="001E61A6">
            <w:pPr>
              <w:rPr>
                <w:sz w:val="16"/>
                <w:szCs w:val="16"/>
              </w:rPr>
            </w:pPr>
            <w:r w:rsidRPr="008608AA">
              <w:rPr>
                <w:sz w:val="16"/>
                <w:szCs w:val="16"/>
              </w:rPr>
              <w:t>0,18</w:t>
            </w:r>
          </w:p>
        </w:tc>
        <w:tc>
          <w:tcPr>
            <w:tcW w:w="278" w:type="pct"/>
            <w:vAlign w:val="bottom"/>
          </w:tcPr>
          <w:p w14:paraId="48075777" w14:textId="77777777" w:rsidR="001E61A6" w:rsidRPr="008608AA" w:rsidRDefault="001E61A6" w:rsidP="001E61A6">
            <w:pPr>
              <w:rPr>
                <w:sz w:val="16"/>
                <w:szCs w:val="16"/>
              </w:rPr>
            </w:pPr>
            <w:r w:rsidRPr="008608AA">
              <w:rPr>
                <w:sz w:val="16"/>
                <w:szCs w:val="16"/>
              </w:rPr>
              <w:t>0,00</w:t>
            </w:r>
          </w:p>
        </w:tc>
        <w:tc>
          <w:tcPr>
            <w:tcW w:w="243" w:type="pct"/>
            <w:vAlign w:val="bottom"/>
          </w:tcPr>
          <w:p w14:paraId="5CB340B4" w14:textId="77777777" w:rsidR="001E61A6" w:rsidRPr="008608AA" w:rsidRDefault="001E61A6" w:rsidP="001E61A6">
            <w:pPr>
              <w:rPr>
                <w:sz w:val="16"/>
                <w:szCs w:val="16"/>
              </w:rPr>
            </w:pPr>
            <w:r w:rsidRPr="008608AA">
              <w:rPr>
                <w:sz w:val="16"/>
                <w:szCs w:val="16"/>
              </w:rPr>
              <w:t>0,00</w:t>
            </w:r>
          </w:p>
        </w:tc>
        <w:tc>
          <w:tcPr>
            <w:tcW w:w="258" w:type="pct"/>
            <w:vAlign w:val="bottom"/>
          </w:tcPr>
          <w:p w14:paraId="63C61660" w14:textId="77777777" w:rsidR="001E61A6" w:rsidRPr="008608AA" w:rsidRDefault="001E61A6" w:rsidP="001E61A6">
            <w:pPr>
              <w:rPr>
                <w:sz w:val="16"/>
                <w:szCs w:val="16"/>
              </w:rPr>
            </w:pPr>
            <w:r w:rsidRPr="008608AA">
              <w:rPr>
                <w:sz w:val="16"/>
                <w:szCs w:val="16"/>
              </w:rPr>
              <w:t>0,00</w:t>
            </w:r>
          </w:p>
        </w:tc>
        <w:tc>
          <w:tcPr>
            <w:tcW w:w="318" w:type="pct"/>
            <w:vAlign w:val="bottom"/>
          </w:tcPr>
          <w:p w14:paraId="41554AAD" w14:textId="77777777" w:rsidR="001E61A6" w:rsidRPr="008608AA" w:rsidRDefault="001E61A6" w:rsidP="001E61A6">
            <w:pPr>
              <w:rPr>
                <w:sz w:val="16"/>
                <w:szCs w:val="16"/>
              </w:rPr>
            </w:pPr>
            <w:r w:rsidRPr="008608AA">
              <w:rPr>
                <w:sz w:val="16"/>
                <w:szCs w:val="16"/>
              </w:rPr>
              <w:t>0,02</w:t>
            </w:r>
          </w:p>
        </w:tc>
        <w:tc>
          <w:tcPr>
            <w:tcW w:w="375" w:type="pct"/>
            <w:vAlign w:val="bottom"/>
          </w:tcPr>
          <w:p w14:paraId="001E949C" w14:textId="77777777" w:rsidR="001E61A6" w:rsidRPr="008608AA" w:rsidRDefault="001E61A6" w:rsidP="001E61A6">
            <w:pPr>
              <w:rPr>
                <w:sz w:val="16"/>
                <w:szCs w:val="16"/>
              </w:rPr>
            </w:pPr>
            <w:r w:rsidRPr="008608AA">
              <w:rPr>
                <w:sz w:val="16"/>
                <w:szCs w:val="16"/>
              </w:rPr>
              <w:t>0,00</w:t>
            </w:r>
          </w:p>
        </w:tc>
        <w:tc>
          <w:tcPr>
            <w:tcW w:w="438" w:type="pct"/>
            <w:vAlign w:val="bottom"/>
          </w:tcPr>
          <w:p w14:paraId="3037DC45" w14:textId="77777777" w:rsidR="001E61A6" w:rsidRPr="008608AA" w:rsidRDefault="001E61A6" w:rsidP="001E61A6">
            <w:pPr>
              <w:rPr>
                <w:sz w:val="16"/>
                <w:szCs w:val="16"/>
              </w:rPr>
            </w:pPr>
            <w:r w:rsidRPr="008608AA">
              <w:rPr>
                <w:sz w:val="16"/>
                <w:szCs w:val="16"/>
              </w:rPr>
              <w:t>0,10</w:t>
            </w:r>
          </w:p>
        </w:tc>
      </w:tr>
      <w:tr w:rsidR="001E61A6" w:rsidRPr="008608AA" w14:paraId="18C23CED" w14:textId="77777777" w:rsidTr="005C080D">
        <w:tc>
          <w:tcPr>
            <w:tcW w:w="429" w:type="pct"/>
            <w:vAlign w:val="bottom"/>
          </w:tcPr>
          <w:p w14:paraId="1FBC1F16" w14:textId="77777777" w:rsidR="001E61A6" w:rsidRPr="008608AA" w:rsidRDefault="001E61A6" w:rsidP="001E61A6">
            <w:pPr>
              <w:rPr>
                <w:sz w:val="16"/>
                <w:szCs w:val="16"/>
              </w:rPr>
            </w:pPr>
            <w:r w:rsidRPr="008608AA">
              <w:rPr>
                <w:sz w:val="16"/>
                <w:szCs w:val="16"/>
              </w:rPr>
              <w:t>Aruba</w:t>
            </w:r>
          </w:p>
        </w:tc>
        <w:tc>
          <w:tcPr>
            <w:tcW w:w="333" w:type="pct"/>
            <w:vAlign w:val="bottom"/>
          </w:tcPr>
          <w:p w14:paraId="0F0146AB" w14:textId="77777777" w:rsidR="001E61A6" w:rsidRPr="008608AA" w:rsidRDefault="001E61A6" w:rsidP="001E61A6">
            <w:pPr>
              <w:rPr>
                <w:sz w:val="16"/>
                <w:szCs w:val="16"/>
              </w:rPr>
            </w:pPr>
            <w:r w:rsidRPr="008608AA">
              <w:rPr>
                <w:sz w:val="16"/>
                <w:szCs w:val="16"/>
              </w:rPr>
              <w:t>0,01</w:t>
            </w:r>
          </w:p>
        </w:tc>
        <w:tc>
          <w:tcPr>
            <w:tcW w:w="424" w:type="pct"/>
            <w:vAlign w:val="bottom"/>
          </w:tcPr>
          <w:p w14:paraId="3F00C006" w14:textId="77777777" w:rsidR="001E61A6" w:rsidRPr="008608AA" w:rsidRDefault="001E61A6" w:rsidP="001E61A6">
            <w:pPr>
              <w:rPr>
                <w:sz w:val="16"/>
                <w:szCs w:val="16"/>
              </w:rPr>
            </w:pPr>
            <w:r w:rsidRPr="008608AA">
              <w:rPr>
                <w:sz w:val="16"/>
                <w:szCs w:val="16"/>
              </w:rPr>
              <w:t>0</w:t>
            </w:r>
          </w:p>
        </w:tc>
        <w:tc>
          <w:tcPr>
            <w:tcW w:w="296" w:type="pct"/>
            <w:vAlign w:val="bottom"/>
          </w:tcPr>
          <w:p w14:paraId="1AD37EF9" w14:textId="77777777" w:rsidR="001E61A6" w:rsidRPr="008608AA" w:rsidRDefault="001E61A6" w:rsidP="001E61A6">
            <w:pPr>
              <w:rPr>
                <w:sz w:val="16"/>
                <w:szCs w:val="16"/>
              </w:rPr>
            </w:pPr>
            <w:r w:rsidRPr="008608AA">
              <w:rPr>
                <w:sz w:val="16"/>
                <w:szCs w:val="16"/>
              </w:rPr>
              <w:t>0,00</w:t>
            </w:r>
          </w:p>
        </w:tc>
        <w:tc>
          <w:tcPr>
            <w:tcW w:w="229" w:type="pct"/>
            <w:vAlign w:val="bottom"/>
          </w:tcPr>
          <w:p w14:paraId="3EBAD34D" w14:textId="77777777" w:rsidR="001E61A6" w:rsidRPr="008608AA" w:rsidRDefault="001E61A6" w:rsidP="001E61A6">
            <w:pPr>
              <w:rPr>
                <w:sz w:val="16"/>
                <w:szCs w:val="16"/>
              </w:rPr>
            </w:pPr>
            <w:r w:rsidRPr="008608AA">
              <w:rPr>
                <w:sz w:val="16"/>
                <w:szCs w:val="16"/>
              </w:rPr>
              <w:t>0,00</w:t>
            </w:r>
          </w:p>
        </w:tc>
        <w:tc>
          <w:tcPr>
            <w:tcW w:w="269" w:type="pct"/>
            <w:vAlign w:val="bottom"/>
          </w:tcPr>
          <w:p w14:paraId="2048F755" w14:textId="77777777" w:rsidR="001E61A6" w:rsidRPr="008608AA" w:rsidRDefault="001E61A6" w:rsidP="001E61A6">
            <w:pPr>
              <w:rPr>
                <w:sz w:val="16"/>
                <w:szCs w:val="16"/>
              </w:rPr>
            </w:pPr>
            <w:r w:rsidRPr="008608AA">
              <w:rPr>
                <w:sz w:val="16"/>
                <w:szCs w:val="16"/>
              </w:rPr>
              <w:t>0,00</w:t>
            </w:r>
          </w:p>
        </w:tc>
        <w:tc>
          <w:tcPr>
            <w:tcW w:w="292" w:type="pct"/>
            <w:vAlign w:val="bottom"/>
          </w:tcPr>
          <w:p w14:paraId="2A4540DC" w14:textId="77777777" w:rsidR="001E61A6" w:rsidRPr="008608AA" w:rsidRDefault="001E61A6" w:rsidP="001E61A6">
            <w:pPr>
              <w:rPr>
                <w:sz w:val="16"/>
                <w:szCs w:val="16"/>
              </w:rPr>
            </w:pPr>
            <w:r w:rsidRPr="008608AA">
              <w:rPr>
                <w:sz w:val="16"/>
                <w:szCs w:val="16"/>
              </w:rPr>
              <w:t>0,00</w:t>
            </w:r>
          </w:p>
        </w:tc>
        <w:tc>
          <w:tcPr>
            <w:tcW w:w="289" w:type="pct"/>
            <w:vAlign w:val="bottom"/>
          </w:tcPr>
          <w:p w14:paraId="3DD60E9D" w14:textId="77777777" w:rsidR="001E61A6" w:rsidRPr="008608AA" w:rsidRDefault="001E61A6" w:rsidP="001E61A6">
            <w:pPr>
              <w:rPr>
                <w:sz w:val="16"/>
                <w:szCs w:val="16"/>
              </w:rPr>
            </w:pPr>
            <w:r w:rsidRPr="008608AA">
              <w:rPr>
                <w:sz w:val="16"/>
                <w:szCs w:val="16"/>
              </w:rPr>
              <w:t>0,00</w:t>
            </w:r>
          </w:p>
        </w:tc>
        <w:tc>
          <w:tcPr>
            <w:tcW w:w="280" w:type="pct"/>
            <w:vAlign w:val="bottom"/>
          </w:tcPr>
          <w:p w14:paraId="57FB7CF1" w14:textId="77777777" w:rsidR="001E61A6" w:rsidRPr="008608AA" w:rsidRDefault="001E61A6" w:rsidP="001E61A6">
            <w:pPr>
              <w:rPr>
                <w:sz w:val="16"/>
                <w:szCs w:val="16"/>
              </w:rPr>
            </w:pPr>
            <w:r w:rsidRPr="008608AA">
              <w:rPr>
                <w:sz w:val="16"/>
                <w:szCs w:val="16"/>
              </w:rPr>
              <w:t>0,00</w:t>
            </w:r>
          </w:p>
        </w:tc>
        <w:tc>
          <w:tcPr>
            <w:tcW w:w="250" w:type="pct"/>
            <w:vAlign w:val="bottom"/>
          </w:tcPr>
          <w:p w14:paraId="65F51692" w14:textId="77777777" w:rsidR="001E61A6" w:rsidRPr="008608AA" w:rsidRDefault="001E61A6" w:rsidP="001E61A6">
            <w:pPr>
              <w:rPr>
                <w:sz w:val="16"/>
                <w:szCs w:val="16"/>
              </w:rPr>
            </w:pPr>
            <w:r w:rsidRPr="008608AA">
              <w:rPr>
                <w:sz w:val="16"/>
                <w:szCs w:val="16"/>
              </w:rPr>
              <w:t>0,00</w:t>
            </w:r>
          </w:p>
        </w:tc>
        <w:tc>
          <w:tcPr>
            <w:tcW w:w="278" w:type="pct"/>
            <w:vAlign w:val="bottom"/>
          </w:tcPr>
          <w:p w14:paraId="066FC3E5" w14:textId="77777777" w:rsidR="001E61A6" w:rsidRPr="008608AA" w:rsidRDefault="001E61A6" w:rsidP="001E61A6">
            <w:pPr>
              <w:rPr>
                <w:sz w:val="16"/>
                <w:szCs w:val="16"/>
              </w:rPr>
            </w:pPr>
            <w:r w:rsidRPr="008608AA">
              <w:rPr>
                <w:sz w:val="16"/>
                <w:szCs w:val="16"/>
              </w:rPr>
              <w:t>0,00</w:t>
            </w:r>
          </w:p>
        </w:tc>
        <w:tc>
          <w:tcPr>
            <w:tcW w:w="243" w:type="pct"/>
            <w:vAlign w:val="bottom"/>
          </w:tcPr>
          <w:p w14:paraId="08BAEE67" w14:textId="77777777" w:rsidR="001E61A6" w:rsidRPr="008608AA" w:rsidRDefault="001E61A6" w:rsidP="001E61A6">
            <w:pPr>
              <w:rPr>
                <w:sz w:val="16"/>
                <w:szCs w:val="16"/>
              </w:rPr>
            </w:pPr>
            <w:r w:rsidRPr="008608AA">
              <w:rPr>
                <w:sz w:val="16"/>
                <w:szCs w:val="16"/>
              </w:rPr>
              <w:t>0,00</w:t>
            </w:r>
          </w:p>
        </w:tc>
        <w:tc>
          <w:tcPr>
            <w:tcW w:w="258" w:type="pct"/>
            <w:vAlign w:val="bottom"/>
          </w:tcPr>
          <w:p w14:paraId="0658A077" w14:textId="77777777" w:rsidR="001E61A6" w:rsidRPr="008608AA" w:rsidRDefault="001E61A6" w:rsidP="001E61A6">
            <w:pPr>
              <w:rPr>
                <w:sz w:val="16"/>
                <w:szCs w:val="16"/>
              </w:rPr>
            </w:pPr>
            <w:r w:rsidRPr="008608AA">
              <w:rPr>
                <w:sz w:val="16"/>
                <w:szCs w:val="16"/>
              </w:rPr>
              <w:t>0,00</w:t>
            </w:r>
          </w:p>
        </w:tc>
        <w:tc>
          <w:tcPr>
            <w:tcW w:w="318" w:type="pct"/>
            <w:vAlign w:val="bottom"/>
          </w:tcPr>
          <w:p w14:paraId="1110ADCE" w14:textId="77777777" w:rsidR="001E61A6" w:rsidRPr="008608AA" w:rsidRDefault="001E61A6" w:rsidP="001E61A6">
            <w:pPr>
              <w:rPr>
                <w:sz w:val="16"/>
                <w:szCs w:val="16"/>
              </w:rPr>
            </w:pPr>
            <w:r w:rsidRPr="008608AA">
              <w:rPr>
                <w:sz w:val="16"/>
                <w:szCs w:val="16"/>
              </w:rPr>
              <w:t>0,00</w:t>
            </w:r>
          </w:p>
        </w:tc>
        <w:tc>
          <w:tcPr>
            <w:tcW w:w="375" w:type="pct"/>
            <w:vAlign w:val="bottom"/>
          </w:tcPr>
          <w:p w14:paraId="47E870A2" w14:textId="77777777" w:rsidR="001E61A6" w:rsidRPr="008608AA" w:rsidRDefault="001E61A6" w:rsidP="001E61A6">
            <w:pPr>
              <w:rPr>
                <w:sz w:val="16"/>
                <w:szCs w:val="16"/>
              </w:rPr>
            </w:pPr>
            <w:r w:rsidRPr="008608AA">
              <w:rPr>
                <w:sz w:val="16"/>
                <w:szCs w:val="16"/>
              </w:rPr>
              <w:t>0,00</w:t>
            </w:r>
          </w:p>
        </w:tc>
        <w:tc>
          <w:tcPr>
            <w:tcW w:w="438" w:type="pct"/>
            <w:vAlign w:val="bottom"/>
          </w:tcPr>
          <w:p w14:paraId="3B35C48E" w14:textId="77777777" w:rsidR="001E61A6" w:rsidRPr="008608AA" w:rsidRDefault="001E61A6" w:rsidP="001E61A6">
            <w:pPr>
              <w:rPr>
                <w:sz w:val="16"/>
                <w:szCs w:val="16"/>
              </w:rPr>
            </w:pPr>
            <w:r w:rsidRPr="008608AA">
              <w:rPr>
                <w:sz w:val="16"/>
                <w:szCs w:val="16"/>
              </w:rPr>
              <w:t>0,00</w:t>
            </w:r>
          </w:p>
        </w:tc>
      </w:tr>
      <w:tr w:rsidR="001E61A6" w:rsidRPr="008608AA" w14:paraId="5AE9AE77" w14:textId="77777777" w:rsidTr="005C080D">
        <w:tc>
          <w:tcPr>
            <w:tcW w:w="429" w:type="pct"/>
            <w:vAlign w:val="bottom"/>
          </w:tcPr>
          <w:p w14:paraId="6EA8128E" w14:textId="77777777" w:rsidR="001E61A6" w:rsidRPr="008608AA" w:rsidRDefault="001E61A6" w:rsidP="001E61A6">
            <w:pPr>
              <w:rPr>
                <w:sz w:val="16"/>
                <w:szCs w:val="16"/>
              </w:rPr>
            </w:pPr>
            <w:r w:rsidRPr="008608AA">
              <w:rPr>
                <w:sz w:val="16"/>
                <w:szCs w:val="16"/>
              </w:rPr>
              <w:t>Belize</w:t>
            </w:r>
          </w:p>
        </w:tc>
        <w:tc>
          <w:tcPr>
            <w:tcW w:w="333" w:type="pct"/>
            <w:vAlign w:val="bottom"/>
          </w:tcPr>
          <w:p w14:paraId="40DCD636" w14:textId="77777777" w:rsidR="001E61A6" w:rsidRPr="008608AA" w:rsidRDefault="001E61A6" w:rsidP="001E61A6">
            <w:pPr>
              <w:rPr>
                <w:sz w:val="16"/>
                <w:szCs w:val="16"/>
              </w:rPr>
            </w:pPr>
            <w:r w:rsidRPr="008608AA">
              <w:rPr>
                <w:sz w:val="16"/>
                <w:szCs w:val="16"/>
              </w:rPr>
              <w:t>0,01</w:t>
            </w:r>
          </w:p>
        </w:tc>
        <w:tc>
          <w:tcPr>
            <w:tcW w:w="424" w:type="pct"/>
            <w:vAlign w:val="bottom"/>
          </w:tcPr>
          <w:p w14:paraId="73129C92" w14:textId="77777777" w:rsidR="001E61A6" w:rsidRPr="008608AA" w:rsidRDefault="001E61A6" w:rsidP="001E61A6">
            <w:pPr>
              <w:rPr>
                <w:sz w:val="16"/>
                <w:szCs w:val="16"/>
              </w:rPr>
            </w:pPr>
            <w:r w:rsidRPr="008608AA">
              <w:rPr>
                <w:sz w:val="16"/>
                <w:szCs w:val="16"/>
              </w:rPr>
              <w:t>0,00</w:t>
            </w:r>
          </w:p>
        </w:tc>
        <w:tc>
          <w:tcPr>
            <w:tcW w:w="296" w:type="pct"/>
            <w:vAlign w:val="bottom"/>
          </w:tcPr>
          <w:p w14:paraId="2C0D8DC4" w14:textId="77777777" w:rsidR="001E61A6" w:rsidRPr="008608AA" w:rsidRDefault="001E61A6" w:rsidP="001E61A6">
            <w:pPr>
              <w:rPr>
                <w:sz w:val="16"/>
                <w:szCs w:val="16"/>
              </w:rPr>
            </w:pPr>
            <w:r w:rsidRPr="008608AA">
              <w:rPr>
                <w:sz w:val="16"/>
                <w:szCs w:val="16"/>
              </w:rPr>
              <w:t>0,00</w:t>
            </w:r>
          </w:p>
        </w:tc>
        <w:tc>
          <w:tcPr>
            <w:tcW w:w="229" w:type="pct"/>
            <w:vAlign w:val="bottom"/>
          </w:tcPr>
          <w:p w14:paraId="1F047471" w14:textId="77777777" w:rsidR="001E61A6" w:rsidRPr="008608AA" w:rsidRDefault="001E61A6" w:rsidP="001E61A6">
            <w:pPr>
              <w:rPr>
                <w:sz w:val="16"/>
                <w:szCs w:val="16"/>
              </w:rPr>
            </w:pPr>
            <w:r w:rsidRPr="008608AA">
              <w:rPr>
                <w:sz w:val="16"/>
                <w:szCs w:val="16"/>
              </w:rPr>
              <w:t>0,00</w:t>
            </w:r>
          </w:p>
        </w:tc>
        <w:tc>
          <w:tcPr>
            <w:tcW w:w="269" w:type="pct"/>
            <w:vAlign w:val="bottom"/>
          </w:tcPr>
          <w:p w14:paraId="08F3DD88" w14:textId="77777777" w:rsidR="001E61A6" w:rsidRPr="008608AA" w:rsidRDefault="001E61A6" w:rsidP="001E61A6">
            <w:pPr>
              <w:rPr>
                <w:sz w:val="16"/>
                <w:szCs w:val="16"/>
              </w:rPr>
            </w:pPr>
            <w:r w:rsidRPr="008608AA">
              <w:rPr>
                <w:sz w:val="16"/>
                <w:szCs w:val="16"/>
              </w:rPr>
              <w:t>0,00</w:t>
            </w:r>
          </w:p>
        </w:tc>
        <w:tc>
          <w:tcPr>
            <w:tcW w:w="292" w:type="pct"/>
            <w:vAlign w:val="bottom"/>
          </w:tcPr>
          <w:p w14:paraId="0E867304" w14:textId="77777777" w:rsidR="001E61A6" w:rsidRPr="008608AA" w:rsidRDefault="001E61A6" w:rsidP="001E61A6">
            <w:pPr>
              <w:rPr>
                <w:sz w:val="16"/>
                <w:szCs w:val="16"/>
              </w:rPr>
            </w:pPr>
            <w:r w:rsidRPr="008608AA">
              <w:rPr>
                <w:sz w:val="16"/>
                <w:szCs w:val="16"/>
              </w:rPr>
              <w:t>0,00</w:t>
            </w:r>
          </w:p>
        </w:tc>
        <w:tc>
          <w:tcPr>
            <w:tcW w:w="289" w:type="pct"/>
            <w:vAlign w:val="bottom"/>
          </w:tcPr>
          <w:p w14:paraId="56F7144D" w14:textId="77777777" w:rsidR="001E61A6" w:rsidRPr="008608AA" w:rsidRDefault="001E61A6" w:rsidP="001E61A6">
            <w:pPr>
              <w:rPr>
                <w:sz w:val="16"/>
                <w:szCs w:val="16"/>
              </w:rPr>
            </w:pPr>
            <w:r w:rsidRPr="008608AA">
              <w:rPr>
                <w:sz w:val="16"/>
                <w:szCs w:val="16"/>
              </w:rPr>
              <w:t>0,00</w:t>
            </w:r>
          </w:p>
        </w:tc>
        <w:tc>
          <w:tcPr>
            <w:tcW w:w="280" w:type="pct"/>
            <w:vAlign w:val="bottom"/>
          </w:tcPr>
          <w:p w14:paraId="5FD2C27C" w14:textId="77777777" w:rsidR="001E61A6" w:rsidRPr="008608AA" w:rsidRDefault="001E61A6" w:rsidP="001E61A6">
            <w:pPr>
              <w:rPr>
                <w:sz w:val="16"/>
                <w:szCs w:val="16"/>
              </w:rPr>
            </w:pPr>
            <w:r w:rsidRPr="008608AA">
              <w:rPr>
                <w:sz w:val="16"/>
                <w:szCs w:val="16"/>
              </w:rPr>
              <w:t>0,00</w:t>
            </w:r>
          </w:p>
        </w:tc>
        <w:tc>
          <w:tcPr>
            <w:tcW w:w="250" w:type="pct"/>
            <w:vAlign w:val="bottom"/>
          </w:tcPr>
          <w:p w14:paraId="337BFA32" w14:textId="77777777" w:rsidR="001E61A6" w:rsidRPr="008608AA" w:rsidRDefault="001E61A6" w:rsidP="001E61A6">
            <w:pPr>
              <w:rPr>
                <w:sz w:val="16"/>
                <w:szCs w:val="16"/>
              </w:rPr>
            </w:pPr>
            <w:r w:rsidRPr="008608AA">
              <w:rPr>
                <w:sz w:val="16"/>
                <w:szCs w:val="16"/>
              </w:rPr>
              <w:t>0,02</w:t>
            </w:r>
          </w:p>
        </w:tc>
        <w:tc>
          <w:tcPr>
            <w:tcW w:w="278" w:type="pct"/>
            <w:vAlign w:val="bottom"/>
          </w:tcPr>
          <w:p w14:paraId="363A2043" w14:textId="77777777" w:rsidR="001E61A6" w:rsidRPr="008608AA" w:rsidRDefault="001E61A6" w:rsidP="001E61A6">
            <w:pPr>
              <w:rPr>
                <w:sz w:val="16"/>
                <w:szCs w:val="16"/>
              </w:rPr>
            </w:pPr>
            <w:r w:rsidRPr="008608AA">
              <w:rPr>
                <w:sz w:val="16"/>
                <w:szCs w:val="16"/>
              </w:rPr>
              <w:t>0,01</w:t>
            </w:r>
          </w:p>
        </w:tc>
        <w:tc>
          <w:tcPr>
            <w:tcW w:w="243" w:type="pct"/>
            <w:vAlign w:val="bottom"/>
          </w:tcPr>
          <w:p w14:paraId="6EF48AD8" w14:textId="77777777" w:rsidR="001E61A6" w:rsidRPr="008608AA" w:rsidRDefault="001E61A6" w:rsidP="001E61A6">
            <w:pPr>
              <w:rPr>
                <w:sz w:val="16"/>
                <w:szCs w:val="16"/>
              </w:rPr>
            </w:pPr>
            <w:r w:rsidRPr="008608AA">
              <w:rPr>
                <w:sz w:val="16"/>
                <w:szCs w:val="16"/>
              </w:rPr>
              <w:t>0,00</w:t>
            </w:r>
          </w:p>
        </w:tc>
        <w:tc>
          <w:tcPr>
            <w:tcW w:w="258" w:type="pct"/>
            <w:vAlign w:val="bottom"/>
          </w:tcPr>
          <w:p w14:paraId="367F7EE0" w14:textId="77777777" w:rsidR="001E61A6" w:rsidRPr="008608AA" w:rsidRDefault="001E61A6" w:rsidP="001E61A6">
            <w:pPr>
              <w:rPr>
                <w:sz w:val="16"/>
                <w:szCs w:val="16"/>
              </w:rPr>
            </w:pPr>
            <w:r w:rsidRPr="008608AA">
              <w:rPr>
                <w:sz w:val="16"/>
                <w:szCs w:val="16"/>
              </w:rPr>
              <w:t>0,00</w:t>
            </w:r>
          </w:p>
        </w:tc>
        <w:tc>
          <w:tcPr>
            <w:tcW w:w="318" w:type="pct"/>
            <w:vAlign w:val="bottom"/>
          </w:tcPr>
          <w:p w14:paraId="54331B56" w14:textId="77777777" w:rsidR="001E61A6" w:rsidRPr="008608AA" w:rsidRDefault="001E61A6" w:rsidP="001E61A6">
            <w:pPr>
              <w:rPr>
                <w:sz w:val="16"/>
                <w:szCs w:val="16"/>
              </w:rPr>
            </w:pPr>
            <w:r w:rsidRPr="008608AA">
              <w:rPr>
                <w:sz w:val="16"/>
                <w:szCs w:val="16"/>
              </w:rPr>
              <w:t>0,00</w:t>
            </w:r>
          </w:p>
        </w:tc>
        <w:tc>
          <w:tcPr>
            <w:tcW w:w="375" w:type="pct"/>
            <w:vAlign w:val="bottom"/>
          </w:tcPr>
          <w:p w14:paraId="47AC826A" w14:textId="77777777" w:rsidR="001E61A6" w:rsidRPr="008608AA" w:rsidRDefault="001E61A6" w:rsidP="001E61A6">
            <w:pPr>
              <w:rPr>
                <w:sz w:val="16"/>
                <w:szCs w:val="16"/>
              </w:rPr>
            </w:pPr>
            <w:r w:rsidRPr="008608AA">
              <w:rPr>
                <w:sz w:val="16"/>
                <w:szCs w:val="16"/>
              </w:rPr>
              <w:t>0,00</w:t>
            </w:r>
          </w:p>
        </w:tc>
        <w:tc>
          <w:tcPr>
            <w:tcW w:w="438" w:type="pct"/>
            <w:vAlign w:val="bottom"/>
          </w:tcPr>
          <w:p w14:paraId="401403FC" w14:textId="77777777" w:rsidR="001E61A6" w:rsidRPr="008608AA" w:rsidRDefault="001E61A6" w:rsidP="001E61A6">
            <w:pPr>
              <w:rPr>
                <w:sz w:val="16"/>
                <w:szCs w:val="16"/>
              </w:rPr>
            </w:pPr>
            <w:r w:rsidRPr="008608AA">
              <w:rPr>
                <w:sz w:val="16"/>
                <w:szCs w:val="16"/>
              </w:rPr>
              <w:t>0,01</w:t>
            </w:r>
          </w:p>
        </w:tc>
      </w:tr>
      <w:tr w:rsidR="001E61A6" w:rsidRPr="008608AA" w14:paraId="2BB3FD5F" w14:textId="77777777" w:rsidTr="005C080D">
        <w:tc>
          <w:tcPr>
            <w:tcW w:w="429" w:type="pct"/>
            <w:vAlign w:val="bottom"/>
          </w:tcPr>
          <w:p w14:paraId="51D6F5DA" w14:textId="77777777" w:rsidR="001E61A6" w:rsidRPr="008608AA" w:rsidRDefault="001E61A6" w:rsidP="001E61A6">
            <w:pPr>
              <w:rPr>
                <w:sz w:val="16"/>
                <w:szCs w:val="16"/>
              </w:rPr>
            </w:pPr>
            <w:r w:rsidRPr="008608AA">
              <w:rPr>
                <w:sz w:val="16"/>
                <w:szCs w:val="16"/>
              </w:rPr>
              <w:t>Bolivia (Plurinational State of)</w:t>
            </w:r>
          </w:p>
        </w:tc>
        <w:tc>
          <w:tcPr>
            <w:tcW w:w="333" w:type="pct"/>
            <w:vAlign w:val="bottom"/>
          </w:tcPr>
          <w:p w14:paraId="3EA2983E" w14:textId="77777777" w:rsidR="001E61A6" w:rsidRPr="008608AA" w:rsidRDefault="001E61A6" w:rsidP="001E61A6">
            <w:pPr>
              <w:rPr>
                <w:sz w:val="16"/>
                <w:szCs w:val="16"/>
              </w:rPr>
            </w:pPr>
            <w:r w:rsidRPr="008608AA">
              <w:rPr>
                <w:sz w:val="16"/>
                <w:szCs w:val="16"/>
              </w:rPr>
              <w:t>0,14</w:t>
            </w:r>
          </w:p>
        </w:tc>
        <w:tc>
          <w:tcPr>
            <w:tcW w:w="424" w:type="pct"/>
            <w:vAlign w:val="bottom"/>
          </w:tcPr>
          <w:p w14:paraId="7EB75983" w14:textId="77777777" w:rsidR="001E61A6" w:rsidRPr="008608AA" w:rsidRDefault="001E61A6" w:rsidP="001E61A6">
            <w:pPr>
              <w:rPr>
                <w:sz w:val="16"/>
                <w:szCs w:val="16"/>
              </w:rPr>
            </w:pPr>
            <w:r w:rsidRPr="008608AA">
              <w:rPr>
                <w:sz w:val="16"/>
                <w:szCs w:val="16"/>
              </w:rPr>
              <w:t>0,06</w:t>
            </w:r>
          </w:p>
        </w:tc>
        <w:tc>
          <w:tcPr>
            <w:tcW w:w="296" w:type="pct"/>
            <w:vAlign w:val="bottom"/>
          </w:tcPr>
          <w:p w14:paraId="5AF1F25F" w14:textId="77777777" w:rsidR="001E61A6" w:rsidRPr="008608AA" w:rsidRDefault="001E61A6" w:rsidP="001E61A6">
            <w:pPr>
              <w:rPr>
                <w:sz w:val="16"/>
                <w:szCs w:val="16"/>
              </w:rPr>
            </w:pPr>
            <w:r w:rsidRPr="008608AA">
              <w:rPr>
                <w:sz w:val="16"/>
                <w:szCs w:val="16"/>
              </w:rPr>
              <w:t>0,01</w:t>
            </w:r>
          </w:p>
        </w:tc>
        <w:tc>
          <w:tcPr>
            <w:tcW w:w="229" w:type="pct"/>
            <w:vAlign w:val="bottom"/>
          </w:tcPr>
          <w:p w14:paraId="0EEC030D" w14:textId="77777777" w:rsidR="001E61A6" w:rsidRPr="008608AA" w:rsidRDefault="001E61A6" w:rsidP="001E61A6">
            <w:pPr>
              <w:rPr>
                <w:sz w:val="16"/>
                <w:szCs w:val="16"/>
              </w:rPr>
            </w:pPr>
            <w:r w:rsidRPr="008608AA">
              <w:rPr>
                <w:sz w:val="16"/>
                <w:szCs w:val="16"/>
              </w:rPr>
              <w:t>3,04</w:t>
            </w:r>
          </w:p>
        </w:tc>
        <w:tc>
          <w:tcPr>
            <w:tcW w:w="269" w:type="pct"/>
            <w:vAlign w:val="bottom"/>
          </w:tcPr>
          <w:p w14:paraId="0F3DC9B7" w14:textId="77777777" w:rsidR="001E61A6" w:rsidRPr="008608AA" w:rsidRDefault="001E61A6" w:rsidP="001E61A6">
            <w:pPr>
              <w:rPr>
                <w:sz w:val="16"/>
                <w:szCs w:val="16"/>
              </w:rPr>
            </w:pPr>
            <w:r w:rsidRPr="008608AA">
              <w:rPr>
                <w:sz w:val="16"/>
                <w:szCs w:val="16"/>
              </w:rPr>
              <w:t>2,31</w:t>
            </w:r>
          </w:p>
        </w:tc>
        <w:tc>
          <w:tcPr>
            <w:tcW w:w="292" w:type="pct"/>
            <w:vAlign w:val="bottom"/>
          </w:tcPr>
          <w:p w14:paraId="5070299A" w14:textId="77777777" w:rsidR="001E61A6" w:rsidRPr="008608AA" w:rsidRDefault="001E61A6" w:rsidP="001E61A6">
            <w:pPr>
              <w:rPr>
                <w:sz w:val="16"/>
                <w:szCs w:val="16"/>
              </w:rPr>
            </w:pPr>
            <w:r w:rsidRPr="008608AA">
              <w:rPr>
                <w:sz w:val="16"/>
                <w:szCs w:val="16"/>
              </w:rPr>
              <w:t>0,02</w:t>
            </w:r>
          </w:p>
        </w:tc>
        <w:tc>
          <w:tcPr>
            <w:tcW w:w="289" w:type="pct"/>
            <w:vAlign w:val="bottom"/>
          </w:tcPr>
          <w:p w14:paraId="79F8D4A8" w14:textId="77777777" w:rsidR="001E61A6" w:rsidRPr="008608AA" w:rsidRDefault="001E61A6" w:rsidP="001E61A6">
            <w:pPr>
              <w:rPr>
                <w:sz w:val="16"/>
                <w:szCs w:val="16"/>
              </w:rPr>
            </w:pPr>
            <w:r w:rsidRPr="008608AA">
              <w:rPr>
                <w:sz w:val="16"/>
                <w:szCs w:val="16"/>
              </w:rPr>
              <w:t>0,02</w:t>
            </w:r>
          </w:p>
        </w:tc>
        <w:tc>
          <w:tcPr>
            <w:tcW w:w="280" w:type="pct"/>
            <w:vAlign w:val="bottom"/>
          </w:tcPr>
          <w:p w14:paraId="5A031775" w14:textId="77777777" w:rsidR="001E61A6" w:rsidRPr="008608AA" w:rsidRDefault="001E61A6" w:rsidP="001E61A6">
            <w:pPr>
              <w:rPr>
                <w:sz w:val="16"/>
                <w:szCs w:val="16"/>
              </w:rPr>
            </w:pPr>
            <w:r w:rsidRPr="008608AA">
              <w:rPr>
                <w:sz w:val="16"/>
                <w:szCs w:val="16"/>
              </w:rPr>
              <w:t>0,07</w:t>
            </w:r>
          </w:p>
        </w:tc>
        <w:tc>
          <w:tcPr>
            <w:tcW w:w="250" w:type="pct"/>
            <w:vAlign w:val="bottom"/>
          </w:tcPr>
          <w:p w14:paraId="43A7C908" w14:textId="77777777" w:rsidR="001E61A6" w:rsidRPr="008608AA" w:rsidRDefault="001E61A6" w:rsidP="001E61A6">
            <w:pPr>
              <w:rPr>
                <w:sz w:val="16"/>
                <w:szCs w:val="16"/>
              </w:rPr>
            </w:pPr>
            <w:r w:rsidRPr="008608AA">
              <w:rPr>
                <w:sz w:val="16"/>
                <w:szCs w:val="16"/>
              </w:rPr>
              <w:t>0,00</w:t>
            </w:r>
          </w:p>
        </w:tc>
        <w:tc>
          <w:tcPr>
            <w:tcW w:w="278" w:type="pct"/>
            <w:vAlign w:val="bottom"/>
          </w:tcPr>
          <w:p w14:paraId="16D81678" w14:textId="77777777" w:rsidR="001E61A6" w:rsidRPr="008608AA" w:rsidRDefault="001E61A6" w:rsidP="001E61A6">
            <w:pPr>
              <w:rPr>
                <w:sz w:val="16"/>
                <w:szCs w:val="16"/>
              </w:rPr>
            </w:pPr>
            <w:r w:rsidRPr="008608AA">
              <w:rPr>
                <w:sz w:val="16"/>
                <w:szCs w:val="16"/>
              </w:rPr>
              <w:t>0,01</w:t>
            </w:r>
          </w:p>
        </w:tc>
        <w:tc>
          <w:tcPr>
            <w:tcW w:w="243" w:type="pct"/>
            <w:vAlign w:val="bottom"/>
          </w:tcPr>
          <w:p w14:paraId="7AE2B5E8" w14:textId="77777777" w:rsidR="001E61A6" w:rsidRPr="008608AA" w:rsidRDefault="001E61A6" w:rsidP="001E61A6">
            <w:pPr>
              <w:rPr>
                <w:sz w:val="16"/>
                <w:szCs w:val="16"/>
              </w:rPr>
            </w:pPr>
            <w:r w:rsidRPr="008608AA">
              <w:rPr>
                <w:sz w:val="16"/>
                <w:szCs w:val="16"/>
              </w:rPr>
              <w:t>0,01</w:t>
            </w:r>
          </w:p>
        </w:tc>
        <w:tc>
          <w:tcPr>
            <w:tcW w:w="258" w:type="pct"/>
            <w:vAlign w:val="bottom"/>
          </w:tcPr>
          <w:p w14:paraId="66698DF3" w14:textId="77777777" w:rsidR="001E61A6" w:rsidRPr="008608AA" w:rsidRDefault="001E61A6" w:rsidP="001E61A6">
            <w:pPr>
              <w:rPr>
                <w:sz w:val="16"/>
                <w:szCs w:val="16"/>
              </w:rPr>
            </w:pPr>
            <w:r w:rsidRPr="008608AA">
              <w:rPr>
                <w:sz w:val="16"/>
                <w:szCs w:val="16"/>
              </w:rPr>
              <w:t>0,00</w:t>
            </w:r>
          </w:p>
        </w:tc>
        <w:tc>
          <w:tcPr>
            <w:tcW w:w="318" w:type="pct"/>
            <w:vAlign w:val="bottom"/>
          </w:tcPr>
          <w:p w14:paraId="7A77891A" w14:textId="77777777" w:rsidR="001E61A6" w:rsidRPr="008608AA" w:rsidRDefault="001E61A6" w:rsidP="001E61A6">
            <w:pPr>
              <w:rPr>
                <w:sz w:val="16"/>
                <w:szCs w:val="16"/>
              </w:rPr>
            </w:pPr>
            <w:r w:rsidRPr="008608AA">
              <w:rPr>
                <w:sz w:val="16"/>
                <w:szCs w:val="16"/>
              </w:rPr>
              <w:t>0,00</w:t>
            </w:r>
          </w:p>
        </w:tc>
        <w:tc>
          <w:tcPr>
            <w:tcW w:w="375" w:type="pct"/>
            <w:vAlign w:val="bottom"/>
          </w:tcPr>
          <w:p w14:paraId="56D3A4E1" w14:textId="77777777" w:rsidR="001E61A6" w:rsidRPr="008608AA" w:rsidRDefault="001E61A6" w:rsidP="001E61A6">
            <w:pPr>
              <w:rPr>
                <w:sz w:val="16"/>
                <w:szCs w:val="16"/>
              </w:rPr>
            </w:pPr>
            <w:r w:rsidRPr="008608AA">
              <w:rPr>
                <w:sz w:val="16"/>
                <w:szCs w:val="16"/>
              </w:rPr>
              <w:t>0,01</w:t>
            </w:r>
          </w:p>
        </w:tc>
        <w:tc>
          <w:tcPr>
            <w:tcW w:w="438" w:type="pct"/>
            <w:vAlign w:val="bottom"/>
          </w:tcPr>
          <w:p w14:paraId="10691E16" w14:textId="77777777" w:rsidR="001E61A6" w:rsidRPr="008608AA" w:rsidRDefault="001E61A6" w:rsidP="001E61A6">
            <w:pPr>
              <w:rPr>
                <w:sz w:val="16"/>
                <w:szCs w:val="16"/>
              </w:rPr>
            </w:pPr>
            <w:r w:rsidRPr="008608AA">
              <w:rPr>
                <w:sz w:val="16"/>
                <w:szCs w:val="16"/>
              </w:rPr>
              <w:t>0,04</w:t>
            </w:r>
          </w:p>
        </w:tc>
      </w:tr>
      <w:tr w:rsidR="001E61A6" w:rsidRPr="008608AA" w14:paraId="34135DE3" w14:textId="77777777" w:rsidTr="005C080D">
        <w:tc>
          <w:tcPr>
            <w:tcW w:w="429" w:type="pct"/>
            <w:vAlign w:val="bottom"/>
          </w:tcPr>
          <w:p w14:paraId="330BF503" w14:textId="77777777" w:rsidR="001E61A6" w:rsidRPr="008608AA" w:rsidRDefault="001E61A6" w:rsidP="001E61A6">
            <w:pPr>
              <w:rPr>
                <w:sz w:val="16"/>
                <w:szCs w:val="16"/>
              </w:rPr>
            </w:pPr>
            <w:r w:rsidRPr="008608AA">
              <w:rPr>
                <w:sz w:val="16"/>
                <w:szCs w:val="16"/>
              </w:rPr>
              <w:t>Brazil</w:t>
            </w:r>
          </w:p>
        </w:tc>
        <w:tc>
          <w:tcPr>
            <w:tcW w:w="333" w:type="pct"/>
            <w:vAlign w:val="bottom"/>
          </w:tcPr>
          <w:p w14:paraId="6CC34336" w14:textId="77777777" w:rsidR="001E61A6" w:rsidRPr="008608AA" w:rsidRDefault="001E61A6" w:rsidP="001E61A6">
            <w:pPr>
              <w:rPr>
                <w:sz w:val="16"/>
                <w:szCs w:val="16"/>
              </w:rPr>
            </w:pPr>
            <w:r w:rsidRPr="008608AA">
              <w:rPr>
                <w:sz w:val="16"/>
                <w:szCs w:val="16"/>
              </w:rPr>
              <w:t>6,01</w:t>
            </w:r>
          </w:p>
        </w:tc>
        <w:tc>
          <w:tcPr>
            <w:tcW w:w="424" w:type="pct"/>
            <w:vAlign w:val="bottom"/>
          </w:tcPr>
          <w:p w14:paraId="19F667A1" w14:textId="77777777" w:rsidR="001E61A6" w:rsidRPr="008608AA" w:rsidRDefault="001E61A6" w:rsidP="001E61A6">
            <w:pPr>
              <w:rPr>
                <w:sz w:val="16"/>
                <w:szCs w:val="16"/>
              </w:rPr>
            </w:pPr>
            <w:r w:rsidRPr="008608AA">
              <w:rPr>
                <w:sz w:val="16"/>
                <w:szCs w:val="16"/>
              </w:rPr>
              <w:t>1,29</w:t>
            </w:r>
          </w:p>
        </w:tc>
        <w:tc>
          <w:tcPr>
            <w:tcW w:w="296" w:type="pct"/>
            <w:vAlign w:val="bottom"/>
          </w:tcPr>
          <w:p w14:paraId="1CF24C74" w14:textId="77777777" w:rsidR="001E61A6" w:rsidRPr="008608AA" w:rsidRDefault="001E61A6" w:rsidP="001E61A6">
            <w:pPr>
              <w:rPr>
                <w:sz w:val="16"/>
                <w:szCs w:val="16"/>
              </w:rPr>
            </w:pPr>
            <w:r w:rsidRPr="008608AA">
              <w:rPr>
                <w:sz w:val="16"/>
                <w:szCs w:val="16"/>
              </w:rPr>
              <w:t>41,37</w:t>
            </w:r>
          </w:p>
        </w:tc>
        <w:tc>
          <w:tcPr>
            <w:tcW w:w="229" w:type="pct"/>
            <w:vAlign w:val="bottom"/>
          </w:tcPr>
          <w:p w14:paraId="166BC420" w14:textId="77777777" w:rsidR="001E61A6" w:rsidRPr="008608AA" w:rsidRDefault="001E61A6" w:rsidP="001E61A6">
            <w:pPr>
              <w:rPr>
                <w:sz w:val="16"/>
                <w:szCs w:val="16"/>
              </w:rPr>
            </w:pPr>
            <w:r w:rsidRPr="008608AA">
              <w:rPr>
                <w:sz w:val="16"/>
                <w:szCs w:val="16"/>
              </w:rPr>
              <w:t>13,13</w:t>
            </w:r>
          </w:p>
        </w:tc>
        <w:tc>
          <w:tcPr>
            <w:tcW w:w="269" w:type="pct"/>
            <w:vAlign w:val="bottom"/>
          </w:tcPr>
          <w:p w14:paraId="3F4FCC21" w14:textId="77777777" w:rsidR="001E61A6" w:rsidRPr="008608AA" w:rsidRDefault="001E61A6" w:rsidP="001E61A6">
            <w:pPr>
              <w:rPr>
                <w:sz w:val="16"/>
                <w:szCs w:val="16"/>
              </w:rPr>
            </w:pPr>
            <w:r w:rsidRPr="008608AA">
              <w:rPr>
                <w:sz w:val="16"/>
                <w:szCs w:val="16"/>
              </w:rPr>
              <w:t>22,09</w:t>
            </w:r>
          </w:p>
        </w:tc>
        <w:tc>
          <w:tcPr>
            <w:tcW w:w="292" w:type="pct"/>
            <w:vAlign w:val="bottom"/>
          </w:tcPr>
          <w:p w14:paraId="7356D2EB" w14:textId="77777777" w:rsidR="001E61A6" w:rsidRPr="008608AA" w:rsidRDefault="001E61A6" w:rsidP="001E61A6">
            <w:pPr>
              <w:rPr>
                <w:sz w:val="16"/>
                <w:szCs w:val="16"/>
              </w:rPr>
            </w:pPr>
            <w:r w:rsidRPr="008608AA">
              <w:rPr>
                <w:sz w:val="16"/>
                <w:szCs w:val="16"/>
              </w:rPr>
              <w:t>3,22</w:t>
            </w:r>
          </w:p>
        </w:tc>
        <w:tc>
          <w:tcPr>
            <w:tcW w:w="289" w:type="pct"/>
            <w:vAlign w:val="bottom"/>
          </w:tcPr>
          <w:p w14:paraId="64E685C4" w14:textId="77777777" w:rsidR="001E61A6" w:rsidRPr="008608AA" w:rsidRDefault="001E61A6" w:rsidP="001E61A6">
            <w:pPr>
              <w:rPr>
                <w:sz w:val="16"/>
                <w:szCs w:val="16"/>
              </w:rPr>
            </w:pPr>
            <w:r w:rsidRPr="008608AA">
              <w:rPr>
                <w:sz w:val="16"/>
                <w:szCs w:val="16"/>
              </w:rPr>
              <w:t>17,79</w:t>
            </w:r>
          </w:p>
        </w:tc>
        <w:tc>
          <w:tcPr>
            <w:tcW w:w="280" w:type="pct"/>
            <w:vAlign w:val="bottom"/>
          </w:tcPr>
          <w:p w14:paraId="7AA6AEE7" w14:textId="77777777" w:rsidR="001E61A6" w:rsidRPr="008608AA" w:rsidRDefault="001E61A6" w:rsidP="001E61A6">
            <w:pPr>
              <w:rPr>
                <w:sz w:val="16"/>
                <w:szCs w:val="16"/>
              </w:rPr>
            </w:pPr>
            <w:r w:rsidRPr="008608AA">
              <w:rPr>
                <w:sz w:val="16"/>
                <w:szCs w:val="16"/>
              </w:rPr>
              <w:t>19,84</w:t>
            </w:r>
          </w:p>
        </w:tc>
        <w:tc>
          <w:tcPr>
            <w:tcW w:w="250" w:type="pct"/>
            <w:vAlign w:val="bottom"/>
          </w:tcPr>
          <w:p w14:paraId="6790DA0A" w14:textId="77777777" w:rsidR="001E61A6" w:rsidRPr="008608AA" w:rsidRDefault="001E61A6" w:rsidP="001E61A6">
            <w:pPr>
              <w:rPr>
                <w:sz w:val="16"/>
                <w:szCs w:val="16"/>
              </w:rPr>
            </w:pPr>
            <w:r w:rsidRPr="008608AA">
              <w:rPr>
                <w:sz w:val="16"/>
                <w:szCs w:val="16"/>
              </w:rPr>
              <w:t>17,78</w:t>
            </w:r>
          </w:p>
        </w:tc>
        <w:tc>
          <w:tcPr>
            <w:tcW w:w="278" w:type="pct"/>
            <w:vAlign w:val="bottom"/>
          </w:tcPr>
          <w:p w14:paraId="3B0990DE" w14:textId="77777777" w:rsidR="001E61A6" w:rsidRPr="008608AA" w:rsidRDefault="001E61A6" w:rsidP="001E61A6">
            <w:pPr>
              <w:rPr>
                <w:sz w:val="16"/>
                <w:szCs w:val="16"/>
              </w:rPr>
            </w:pPr>
            <w:r w:rsidRPr="008608AA">
              <w:rPr>
                <w:sz w:val="16"/>
                <w:szCs w:val="16"/>
              </w:rPr>
              <w:t>0,27</w:t>
            </w:r>
          </w:p>
        </w:tc>
        <w:tc>
          <w:tcPr>
            <w:tcW w:w="243" w:type="pct"/>
            <w:vAlign w:val="bottom"/>
          </w:tcPr>
          <w:p w14:paraId="79076950" w14:textId="77777777" w:rsidR="001E61A6" w:rsidRPr="008608AA" w:rsidRDefault="001E61A6" w:rsidP="001E61A6">
            <w:pPr>
              <w:rPr>
                <w:sz w:val="16"/>
                <w:szCs w:val="16"/>
              </w:rPr>
            </w:pPr>
            <w:r w:rsidRPr="008608AA">
              <w:rPr>
                <w:sz w:val="16"/>
                <w:szCs w:val="16"/>
              </w:rPr>
              <w:t>3,66</w:t>
            </w:r>
          </w:p>
        </w:tc>
        <w:tc>
          <w:tcPr>
            <w:tcW w:w="258" w:type="pct"/>
            <w:vAlign w:val="bottom"/>
          </w:tcPr>
          <w:p w14:paraId="2C602C02" w14:textId="77777777" w:rsidR="001E61A6" w:rsidRPr="008608AA" w:rsidRDefault="001E61A6" w:rsidP="001E61A6">
            <w:pPr>
              <w:rPr>
                <w:sz w:val="16"/>
                <w:szCs w:val="16"/>
              </w:rPr>
            </w:pPr>
            <w:r w:rsidRPr="008608AA">
              <w:rPr>
                <w:sz w:val="16"/>
                <w:szCs w:val="16"/>
              </w:rPr>
              <w:t>1,15</w:t>
            </w:r>
          </w:p>
        </w:tc>
        <w:tc>
          <w:tcPr>
            <w:tcW w:w="318" w:type="pct"/>
            <w:vAlign w:val="bottom"/>
          </w:tcPr>
          <w:p w14:paraId="00850BA4" w14:textId="77777777" w:rsidR="001E61A6" w:rsidRPr="008608AA" w:rsidRDefault="001E61A6" w:rsidP="001E61A6">
            <w:pPr>
              <w:rPr>
                <w:sz w:val="16"/>
                <w:szCs w:val="16"/>
              </w:rPr>
            </w:pPr>
            <w:r w:rsidRPr="008608AA">
              <w:rPr>
                <w:sz w:val="16"/>
                <w:szCs w:val="16"/>
              </w:rPr>
              <w:t>0,54</w:t>
            </w:r>
          </w:p>
        </w:tc>
        <w:tc>
          <w:tcPr>
            <w:tcW w:w="375" w:type="pct"/>
            <w:vAlign w:val="bottom"/>
          </w:tcPr>
          <w:p w14:paraId="0B1C4DED" w14:textId="77777777" w:rsidR="001E61A6" w:rsidRPr="008608AA" w:rsidRDefault="001E61A6" w:rsidP="001E61A6">
            <w:pPr>
              <w:rPr>
                <w:sz w:val="16"/>
                <w:szCs w:val="16"/>
              </w:rPr>
            </w:pPr>
            <w:r w:rsidRPr="008608AA">
              <w:rPr>
                <w:sz w:val="16"/>
                <w:szCs w:val="16"/>
              </w:rPr>
              <w:t>0,13</w:t>
            </w:r>
          </w:p>
        </w:tc>
        <w:tc>
          <w:tcPr>
            <w:tcW w:w="438" w:type="pct"/>
            <w:vAlign w:val="bottom"/>
          </w:tcPr>
          <w:p w14:paraId="57E62B2E" w14:textId="77777777" w:rsidR="001E61A6" w:rsidRPr="008608AA" w:rsidRDefault="001E61A6" w:rsidP="001E61A6">
            <w:pPr>
              <w:rPr>
                <w:sz w:val="16"/>
                <w:szCs w:val="16"/>
              </w:rPr>
            </w:pPr>
            <w:r w:rsidRPr="008608AA">
              <w:rPr>
                <w:sz w:val="16"/>
                <w:szCs w:val="16"/>
              </w:rPr>
              <w:t>1,53</w:t>
            </w:r>
          </w:p>
        </w:tc>
      </w:tr>
      <w:tr w:rsidR="001E61A6" w:rsidRPr="008608AA" w14:paraId="3278CDC4" w14:textId="77777777" w:rsidTr="005C080D">
        <w:tc>
          <w:tcPr>
            <w:tcW w:w="429" w:type="pct"/>
            <w:vAlign w:val="bottom"/>
          </w:tcPr>
          <w:p w14:paraId="6605AB46" w14:textId="77777777" w:rsidR="001E61A6" w:rsidRPr="008608AA" w:rsidRDefault="001E61A6" w:rsidP="001E61A6">
            <w:pPr>
              <w:rPr>
                <w:sz w:val="16"/>
                <w:szCs w:val="16"/>
              </w:rPr>
            </w:pPr>
            <w:r w:rsidRPr="008608AA">
              <w:rPr>
                <w:sz w:val="16"/>
                <w:szCs w:val="16"/>
              </w:rPr>
              <w:t>Canada</w:t>
            </w:r>
          </w:p>
        </w:tc>
        <w:tc>
          <w:tcPr>
            <w:tcW w:w="333" w:type="pct"/>
            <w:vAlign w:val="bottom"/>
          </w:tcPr>
          <w:p w14:paraId="02888628" w14:textId="77777777" w:rsidR="001E61A6" w:rsidRPr="008608AA" w:rsidRDefault="001E61A6" w:rsidP="001E61A6">
            <w:pPr>
              <w:rPr>
                <w:sz w:val="16"/>
                <w:szCs w:val="16"/>
              </w:rPr>
            </w:pPr>
            <w:r w:rsidRPr="008608AA">
              <w:rPr>
                <w:sz w:val="16"/>
                <w:szCs w:val="16"/>
              </w:rPr>
              <w:t>3,22</w:t>
            </w:r>
          </w:p>
        </w:tc>
        <w:tc>
          <w:tcPr>
            <w:tcW w:w="424" w:type="pct"/>
            <w:vAlign w:val="bottom"/>
          </w:tcPr>
          <w:p w14:paraId="4A8F6B52" w14:textId="77777777" w:rsidR="001E61A6" w:rsidRPr="008608AA" w:rsidRDefault="001E61A6" w:rsidP="001E61A6">
            <w:pPr>
              <w:rPr>
                <w:sz w:val="16"/>
                <w:szCs w:val="16"/>
              </w:rPr>
            </w:pPr>
            <w:r w:rsidRPr="008608AA">
              <w:rPr>
                <w:sz w:val="16"/>
                <w:szCs w:val="16"/>
              </w:rPr>
              <w:t>2,44</w:t>
            </w:r>
          </w:p>
        </w:tc>
        <w:tc>
          <w:tcPr>
            <w:tcW w:w="296" w:type="pct"/>
            <w:vAlign w:val="bottom"/>
          </w:tcPr>
          <w:p w14:paraId="7B150ADF" w14:textId="77777777" w:rsidR="001E61A6" w:rsidRPr="008608AA" w:rsidRDefault="001E61A6" w:rsidP="001E61A6">
            <w:pPr>
              <w:rPr>
                <w:sz w:val="16"/>
                <w:szCs w:val="16"/>
              </w:rPr>
            </w:pPr>
            <w:r w:rsidRPr="008608AA">
              <w:rPr>
                <w:sz w:val="16"/>
                <w:szCs w:val="16"/>
              </w:rPr>
              <w:t>3,23</w:t>
            </w:r>
          </w:p>
        </w:tc>
        <w:tc>
          <w:tcPr>
            <w:tcW w:w="229" w:type="pct"/>
            <w:vAlign w:val="bottom"/>
          </w:tcPr>
          <w:p w14:paraId="714EF4EF" w14:textId="77777777" w:rsidR="001E61A6" w:rsidRPr="008608AA" w:rsidRDefault="001E61A6" w:rsidP="001E61A6">
            <w:pPr>
              <w:rPr>
                <w:sz w:val="16"/>
                <w:szCs w:val="16"/>
              </w:rPr>
            </w:pPr>
            <w:r w:rsidRPr="008608AA">
              <w:rPr>
                <w:sz w:val="16"/>
                <w:szCs w:val="16"/>
              </w:rPr>
              <w:t>1,21</w:t>
            </w:r>
          </w:p>
        </w:tc>
        <w:tc>
          <w:tcPr>
            <w:tcW w:w="269" w:type="pct"/>
            <w:vAlign w:val="bottom"/>
          </w:tcPr>
          <w:p w14:paraId="7D1772A0" w14:textId="77777777" w:rsidR="001E61A6" w:rsidRPr="008608AA" w:rsidRDefault="001E61A6" w:rsidP="001E61A6">
            <w:pPr>
              <w:rPr>
                <w:sz w:val="16"/>
                <w:szCs w:val="16"/>
              </w:rPr>
            </w:pPr>
            <w:r w:rsidRPr="008608AA">
              <w:rPr>
                <w:sz w:val="16"/>
                <w:szCs w:val="16"/>
              </w:rPr>
              <w:t>0,34</w:t>
            </w:r>
          </w:p>
        </w:tc>
        <w:tc>
          <w:tcPr>
            <w:tcW w:w="292" w:type="pct"/>
            <w:vAlign w:val="bottom"/>
          </w:tcPr>
          <w:p w14:paraId="0795636F" w14:textId="77777777" w:rsidR="001E61A6" w:rsidRPr="008608AA" w:rsidRDefault="001E61A6" w:rsidP="001E61A6">
            <w:pPr>
              <w:rPr>
                <w:sz w:val="16"/>
                <w:szCs w:val="16"/>
              </w:rPr>
            </w:pPr>
            <w:r w:rsidRPr="008608AA">
              <w:rPr>
                <w:sz w:val="16"/>
                <w:szCs w:val="16"/>
              </w:rPr>
              <w:t>5,90</w:t>
            </w:r>
          </w:p>
        </w:tc>
        <w:tc>
          <w:tcPr>
            <w:tcW w:w="289" w:type="pct"/>
            <w:vAlign w:val="bottom"/>
          </w:tcPr>
          <w:p w14:paraId="09143DD1" w14:textId="77777777" w:rsidR="001E61A6" w:rsidRPr="008608AA" w:rsidRDefault="001E61A6" w:rsidP="001E61A6">
            <w:pPr>
              <w:rPr>
                <w:sz w:val="16"/>
                <w:szCs w:val="16"/>
              </w:rPr>
            </w:pPr>
            <w:r w:rsidRPr="008608AA">
              <w:rPr>
                <w:sz w:val="16"/>
                <w:szCs w:val="16"/>
              </w:rPr>
              <w:t>1,13</w:t>
            </w:r>
          </w:p>
        </w:tc>
        <w:tc>
          <w:tcPr>
            <w:tcW w:w="280" w:type="pct"/>
            <w:vAlign w:val="bottom"/>
          </w:tcPr>
          <w:p w14:paraId="68944002" w14:textId="77777777" w:rsidR="001E61A6" w:rsidRPr="008608AA" w:rsidRDefault="001E61A6" w:rsidP="001E61A6">
            <w:pPr>
              <w:rPr>
                <w:sz w:val="16"/>
                <w:szCs w:val="16"/>
              </w:rPr>
            </w:pPr>
            <w:r w:rsidRPr="008608AA">
              <w:rPr>
                <w:sz w:val="16"/>
                <w:szCs w:val="16"/>
              </w:rPr>
              <w:t>0,41</w:t>
            </w:r>
          </w:p>
        </w:tc>
        <w:tc>
          <w:tcPr>
            <w:tcW w:w="250" w:type="pct"/>
            <w:vAlign w:val="bottom"/>
          </w:tcPr>
          <w:p w14:paraId="1A6878B3" w14:textId="77777777" w:rsidR="001E61A6" w:rsidRPr="008608AA" w:rsidRDefault="001E61A6" w:rsidP="001E61A6">
            <w:pPr>
              <w:rPr>
                <w:sz w:val="16"/>
                <w:szCs w:val="16"/>
              </w:rPr>
            </w:pPr>
            <w:r w:rsidRPr="008608AA">
              <w:rPr>
                <w:sz w:val="16"/>
                <w:szCs w:val="16"/>
              </w:rPr>
              <w:t>0,10</w:t>
            </w:r>
          </w:p>
        </w:tc>
        <w:tc>
          <w:tcPr>
            <w:tcW w:w="278" w:type="pct"/>
            <w:vAlign w:val="bottom"/>
          </w:tcPr>
          <w:p w14:paraId="34EB3B0D" w14:textId="77777777" w:rsidR="001E61A6" w:rsidRPr="008608AA" w:rsidRDefault="001E61A6" w:rsidP="001E61A6">
            <w:pPr>
              <w:rPr>
                <w:sz w:val="16"/>
                <w:szCs w:val="16"/>
              </w:rPr>
            </w:pPr>
            <w:r w:rsidRPr="008608AA">
              <w:rPr>
                <w:sz w:val="16"/>
                <w:szCs w:val="16"/>
              </w:rPr>
              <w:t>0,05</w:t>
            </w:r>
          </w:p>
        </w:tc>
        <w:tc>
          <w:tcPr>
            <w:tcW w:w="243" w:type="pct"/>
            <w:vAlign w:val="bottom"/>
          </w:tcPr>
          <w:p w14:paraId="3F453B43" w14:textId="77777777" w:rsidR="001E61A6" w:rsidRPr="008608AA" w:rsidRDefault="001E61A6" w:rsidP="001E61A6">
            <w:pPr>
              <w:rPr>
                <w:sz w:val="16"/>
                <w:szCs w:val="16"/>
              </w:rPr>
            </w:pPr>
            <w:r w:rsidRPr="008608AA">
              <w:rPr>
                <w:sz w:val="16"/>
                <w:szCs w:val="16"/>
              </w:rPr>
              <w:t>0,20</w:t>
            </w:r>
          </w:p>
        </w:tc>
        <w:tc>
          <w:tcPr>
            <w:tcW w:w="258" w:type="pct"/>
            <w:vAlign w:val="bottom"/>
          </w:tcPr>
          <w:p w14:paraId="5DFF5580" w14:textId="77777777" w:rsidR="001E61A6" w:rsidRPr="008608AA" w:rsidRDefault="001E61A6" w:rsidP="001E61A6">
            <w:pPr>
              <w:rPr>
                <w:sz w:val="16"/>
                <w:szCs w:val="16"/>
              </w:rPr>
            </w:pPr>
            <w:r w:rsidRPr="008608AA">
              <w:rPr>
                <w:sz w:val="16"/>
                <w:szCs w:val="16"/>
              </w:rPr>
              <w:t>0,51</w:t>
            </w:r>
          </w:p>
        </w:tc>
        <w:tc>
          <w:tcPr>
            <w:tcW w:w="318" w:type="pct"/>
            <w:vAlign w:val="bottom"/>
          </w:tcPr>
          <w:p w14:paraId="277FF960" w14:textId="77777777" w:rsidR="001E61A6" w:rsidRPr="008608AA" w:rsidRDefault="001E61A6" w:rsidP="001E61A6">
            <w:pPr>
              <w:rPr>
                <w:sz w:val="16"/>
                <w:szCs w:val="16"/>
              </w:rPr>
            </w:pPr>
            <w:r w:rsidRPr="008608AA">
              <w:rPr>
                <w:sz w:val="16"/>
                <w:szCs w:val="16"/>
              </w:rPr>
              <w:t>0,01</w:t>
            </w:r>
          </w:p>
        </w:tc>
        <w:tc>
          <w:tcPr>
            <w:tcW w:w="375" w:type="pct"/>
            <w:vAlign w:val="bottom"/>
          </w:tcPr>
          <w:p w14:paraId="738EA499" w14:textId="77777777" w:rsidR="001E61A6" w:rsidRPr="008608AA" w:rsidRDefault="001E61A6" w:rsidP="001E61A6">
            <w:pPr>
              <w:rPr>
                <w:sz w:val="16"/>
                <w:szCs w:val="16"/>
              </w:rPr>
            </w:pPr>
            <w:r w:rsidRPr="008608AA">
              <w:rPr>
                <w:sz w:val="16"/>
                <w:szCs w:val="16"/>
              </w:rPr>
              <w:t>5,06</w:t>
            </w:r>
          </w:p>
        </w:tc>
        <w:tc>
          <w:tcPr>
            <w:tcW w:w="438" w:type="pct"/>
            <w:vAlign w:val="bottom"/>
          </w:tcPr>
          <w:p w14:paraId="424D81C9" w14:textId="77777777" w:rsidR="001E61A6" w:rsidRPr="008608AA" w:rsidRDefault="001E61A6" w:rsidP="001E61A6">
            <w:pPr>
              <w:rPr>
                <w:sz w:val="16"/>
                <w:szCs w:val="16"/>
              </w:rPr>
            </w:pPr>
            <w:r w:rsidRPr="008608AA">
              <w:rPr>
                <w:sz w:val="16"/>
                <w:szCs w:val="16"/>
              </w:rPr>
              <w:t>0,00</w:t>
            </w:r>
          </w:p>
        </w:tc>
      </w:tr>
      <w:tr w:rsidR="001E61A6" w:rsidRPr="008608AA" w14:paraId="07DAA7BC" w14:textId="77777777" w:rsidTr="005C080D">
        <w:tc>
          <w:tcPr>
            <w:tcW w:w="429" w:type="pct"/>
            <w:vAlign w:val="bottom"/>
          </w:tcPr>
          <w:p w14:paraId="5F7AB88F" w14:textId="77777777" w:rsidR="001E61A6" w:rsidRPr="008608AA" w:rsidRDefault="001E61A6" w:rsidP="001E61A6">
            <w:pPr>
              <w:rPr>
                <w:sz w:val="16"/>
                <w:szCs w:val="16"/>
              </w:rPr>
            </w:pPr>
            <w:r w:rsidRPr="008608AA">
              <w:rPr>
                <w:sz w:val="16"/>
                <w:szCs w:val="16"/>
              </w:rPr>
              <w:t>Chile</w:t>
            </w:r>
          </w:p>
        </w:tc>
        <w:tc>
          <w:tcPr>
            <w:tcW w:w="333" w:type="pct"/>
            <w:vAlign w:val="bottom"/>
          </w:tcPr>
          <w:p w14:paraId="0207366C" w14:textId="77777777" w:rsidR="001E61A6" w:rsidRPr="008608AA" w:rsidRDefault="001E61A6" w:rsidP="001E61A6">
            <w:pPr>
              <w:rPr>
                <w:sz w:val="16"/>
                <w:szCs w:val="16"/>
              </w:rPr>
            </w:pPr>
            <w:r w:rsidRPr="008608AA">
              <w:rPr>
                <w:sz w:val="16"/>
                <w:szCs w:val="16"/>
              </w:rPr>
              <w:t>0,83</w:t>
            </w:r>
          </w:p>
        </w:tc>
        <w:tc>
          <w:tcPr>
            <w:tcW w:w="424" w:type="pct"/>
            <w:vAlign w:val="bottom"/>
          </w:tcPr>
          <w:p w14:paraId="69BF72FF" w14:textId="77777777" w:rsidR="001E61A6" w:rsidRPr="008608AA" w:rsidRDefault="001E61A6" w:rsidP="001E61A6">
            <w:pPr>
              <w:rPr>
                <w:sz w:val="16"/>
                <w:szCs w:val="16"/>
              </w:rPr>
            </w:pPr>
            <w:r w:rsidRPr="008608AA">
              <w:rPr>
                <w:sz w:val="16"/>
                <w:szCs w:val="16"/>
              </w:rPr>
              <w:t>0,41</w:t>
            </w:r>
          </w:p>
        </w:tc>
        <w:tc>
          <w:tcPr>
            <w:tcW w:w="296" w:type="pct"/>
            <w:vAlign w:val="bottom"/>
          </w:tcPr>
          <w:p w14:paraId="70AB8F75" w14:textId="77777777" w:rsidR="001E61A6" w:rsidRPr="008608AA" w:rsidRDefault="001E61A6" w:rsidP="001E61A6">
            <w:pPr>
              <w:rPr>
                <w:sz w:val="16"/>
                <w:szCs w:val="16"/>
              </w:rPr>
            </w:pPr>
            <w:r w:rsidRPr="008608AA">
              <w:rPr>
                <w:sz w:val="16"/>
                <w:szCs w:val="16"/>
              </w:rPr>
              <w:t>0,00</w:t>
            </w:r>
          </w:p>
        </w:tc>
        <w:tc>
          <w:tcPr>
            <w:tcW w:w="229" w:type="pct"/>
            <w:vAlign w:val="bottom"/>
          </w:tcPr>
          <w:p w14:paraId="00AB5ECA" w14:textId="77777777" w:rsidR="001E61A6" w:rsidRPr="008608AA" w:rsidRDefault="001E61A6" w:rsidP="001E61A6">
            <w:pPr>
              <w:rPr>
                <w:sz w:val="16"/>
                <w:szCs w:val="16"/>
              </w:rPr>
            </w:pPr>
            <w:r w:rsidRPr="008608AA">
              <w:rPr>
                <w:sz w:val="16"/>
                <w:szCs w:val="16"/>
              </w:rPr>
              <w:t>0,00</w:t>
            </w:r>
          </w:p>
        </w:tc>
        <w:tc>
          <w:tcPr>
            <w:tcW w:w="269" w:type="pct"/>
            <w:vAlign w:val="bottom"/>
          </w:tcPr>
          <w:p w14:paraId="4960126C" w14:textId="77777777" w:rsidR="001E61A6" w:rsidRPr="008608AA" w:rsidRDefault="001E61A6" w:rsidP="001E61A6">
            <w:pPr>
              <w:rPr>
                <w:sz w:val="16"/>
                <w:szCs w:val="16"/>
              </w:rPr>
            </w:pPr>
            <w:r w:rsidRPr="008608AA">
              <w:rPr>
                <w:sz w:val="16"/>
                <w:szCs w:val="16"/>
              </w:rPr>
              <w:t>0,00</w:t>
            </w:r>
          </w:p>
        </w:tc>
        <w:tc>
          <w:tcPr>
            <w:tcW w:w="292" w:type="pct"/>
            <w:vAlign w:val="bottom"/>
          </w:tcPr>
          <w:p w14:paraId="05AF8511" w14:textId="77777777" w:rsidR="001E61A6" w:rsidRPr="008608AA" w:rsidRDefault="001E61A6" w:rsidP="001E61A6">
            <w:pPr>
              <w:rPr>
                <w:sz w:val="16"/>
                <w:szCs w:val="16"/>
              </w:rPr>
            </w:pPr>
            <w:r w:rsidRPr="008608AA">
              <w:rPr>
                <w:sz w:val="16"/>
                <w:szCs w:val="16"/>
              </w:rPr>
              <w:t>0,07</w:t>
            </w:r>
          </w:p>
        </w:tc>
        <w:tc>
          <w:tcPr>
            <w:tcW w:w="289" w:type="pct"/>
            <w:vAlign w:val="bottom"/>
          </w:tcPr>
          <w:p w14:paraId="39909539" w14:textId="77777777" w:rsidR="001E61A6" w:rsidRPr="008608AA" w:rsidRDefault="001E61A6" w:rsidP="001E61A6">
            <w:pPr>
              <w:rPr>
                <w:sz w:val="16"/>
                <w:szCs w:val="16"/>
              </w:rPr>
            </w:pPr>
            <w:r w:rsidRPr="008608AA">
              <w:rPr>
                <w:sz w:val="16"/>
                <w:szCs w:val="16"/>
              </w:rPr>
              <w:t>0,11</w:t>
            </w:r>
          </w:p>
        </w:tc>
        <w:tc>
          <w:tcPr>
            <w:tcW w:w="280" w:type="pct"/>
            <w:vAlign w:val="bottom"/>
          </w:tcPr>
          <w:p w14:paraId="7AB98073" w14:textId="77777777" w:rsidR="001E61A6" w:rsidRPr="008608AA" w:rsidRDefault="001E61A6" w:rsidP="001E61A6">
            <w:pPr>
              <w:rPr>
                <w:sz w:val="16"/>
                <w:szCs w:val="16"/>
              </w:rPr>
            </w:pPr>
            <w:r w:rsidRPr="008608AA">
              <w:rPr>
                <w:sz w:val="16"/>
                <w:szCs w:val="16"/>
              </w:rPr>
              <w:t>0,01</w:t>
            </w:r>
          </w:p>
        </w:tc>
        <w:tc>
          <w:tcPr>
            <w:tcW w:w="250" w:type="pct"/>
            <w:vAlign w:val="bottom"/>
          </w:tcPr>
          <w:p w14:paraId="3981A653" w14:textId="77777777" w:rsidR="001E61A6" w:rsidRPr="008608AA" w:rsidRDefault="001E61A6" w:rsidP="001E61A6">
            <w:pPr>
              <w:rPr>
                <w:sz w:val="16"/>
                <w:szCs w:val="16"/>
              </w:rPr>
            </w:pPr>
            <w:r w:rsidRPr="008608AA">
              <w:rPr>
                <w:sz w:val="16"/>
                <w:szCs w:val="16"/>
              </w:rPr>
              <w:t>0,00</w:t>
            </w:r>
          </w:p>
        </w:tc>
        <w:tc>
          <w:tcPr>
            <w:tcW w:w="278" w:type="pct"/>
            <w:vAlign w:val="bottom"/>
          </w:tcPr>
          <w:p w14:paraId="3DD6A362" w14:textId="77777777" w:rsidR="001E61A6" w:rsidRPr="008608AA" w:rsidRDefault="001E61A6" w:rsidP="001E61A6">
            <w:pPr>
              <w:rPr>
                <w:sz w:val="16"/>
                <w:szCs w:val="16"/>
              </w:rPr>
            </w:pPr>
            <w:r w:rsidRPr="008608AA">
              <w:rPr>
                <w:sz w:val="16"/>
                <w:szCs w:val="16"/>
              </w:rPr>
              <w:t>0,00</w:t>
            </w:r>
          </w:p>
        </w:tc>
        <w:tc>
          <w:tcPr>
            <w:tcW w:w="243" w:type="pct"/>
            <w:vAlign w:val="bottom"/>
          </w:tcPr>
          <w:p w14:paraId="6E46A949" w14:textId="77777777" w:rsidR="001E61A6" w:rsidRPr="008608AA" w:rsidRDefault="001E61A6" w:rsidP="001E61A6">
            <w:pPr>
              <w:rPr>
                <w:sz w:val="16"/>
                <w:szCs w:val="16"/>
              </w:rPr>
            </w:pPr>
            <w:r w:rsidRPr="008608AA">
              <w:rPr>
                <w:sz w:val="16"/>
                <w:szCs w:val="16"/>
              </w:rPr>
              <w:t>0,00</w:t>
            </w:r>
          </w:p>
        </w:tc>
        <w:tc>
          <w:tcPr>
            <w:tcW w:w="258" w:type="pct"/>
            <w:vAlign w:val="bottom"/>
          </w:tcPr>
          <w:p w14:paraId="27D948B0" w14:textId="77777777" w:rsidR="001E61A6" w:rsidRPr="008608AA" w:rsidRDefault="001E61A6" w:rsidP="001E61A6">
            <w:pPr>
              <w:rPr>
                <w:sz w:val="16"/>
                <w:szCs w:val="16"/>
              </w:rPr>
            </w:pPr>
            <w:r w:rsidRPr="008608AA">
              <w:rPr>
                <w:sz w:val="16"/>
                <w:szCs w:val="16"/>
              </w:rPr>
              <w:t>0,00</w:t>
            </w:r>
          </w:p>
        </w:tc>
        <w:tc>
          <w:tcPr>
            <w:tcW w:w="318" w:type="pct"/>
            <w:vAlign w:val="bottom"/>
          </w:tcPr>
          <w:p w14:paraId="55C64275" w14:textId="77777777" w:rsidR="001E61A6" w:rsidRPr="008608AA" w:rsidRDefault="001E61A6" w:rsidP="001E61A6">
            <w:pPr>
              <w:rPr>
                <w:sz w:val="16"/>
                <w:szCs w:val="16"/>
              </w:rPr>
            </w:pPr>
            <w:r w:rsidRPr="008608AA">
              <w:rPr>
                <w:sz w:val="16"/>
                <w:szCs w:val="16"/>
              </w:rPr>
              <w:t>0,01</w:t>
            </w:r>
          </w:p>
        </w:tc>
        <w:tc>
          <w:tcPr>
            <w:tcW w:w="375" w:type="pct"/>
            <w:vAlign w:val="bottom"/>
          </w:tcPr>
          <w:p w14:paraId="31F05706" w14:textId="77777777" w:rsidR="001E61A6" w:rsidRPr="008608AA" w:rsidRDefault="001E61A6" w:rsidP="001E61A6">
            <w:pPr>
              <w:rPr>
                <w:sz w:val="16"/>
                <w:szCs w:val="16"/>
              </w:rPr>
            </w:pPr>
            <w:r w:rsidRPr="008608AA">
              <w:rPr>
                <w:sz w:val="16"/>
                <w:szCs w:val="16"/>
              </w:rPr>
              <w:t>0,07</w:t>
            </w:r>
          </w:p>
        </w:tc>
        <w:tc>
          <w:tcPr>
            <w:tcW w:w="438" w:type="pct"/>
            <w:vAlign w:val="bottom"/>
          </w:tcPr>
          <w:p w14:paraId="6C4756D2" w14:textId="77777777" w:rsidR="001E61A6" w:rsidRPr="008608AA" w:rsidRDefault="001E61A6" w:rsidP="001E61A6">
            <w:pPr>
              <w:rPr>
                <w:sz w:val="16"/>
                <w:szCs w:val="16"/>
              </w:rPr>
            </w:pPr>
            <w:r w:rsidRPr="008608AA">
              <w:rPr>
                <w:sz w:val="16"/>
                <w:szCs w:val="16"/>
              </w:rPr>
              <w:t>3,22</w:t>
            </w:r>
          </w:p>
        </w:tc>
      </w:tr>
      <w:tr w:rsidR="001E61A6" w:rsidRPr="008608AA" w14:paraId="3C3C7A5F" w14:textId="77777777" w:rsidTr="005C080D">
        <w:tc>
          <w:tcPr>
            <w:tcW w:w="429" w:type="pct"/>
            <w:vAlign w:val="bottom"/>
          </w:tcPr>
          <w:p w14:paraId="6A618B12" w14:textId="77777777" w:rsidR="001E61A6" w:rsidRPr="008608AA" w:rsidRDefault="001E61A6" w:rsidP="001E61A6">
            <w:pPr>
              <w:rPr>
                <w:sz w:val="16"/>
                <w:szCs w:val="16"/>
              </w:rPr>
            </w:pPr>
            <w:r w:rsidRPr="008608AA">
              <w:rPr>
                <w:sz w:val="16"/>
                <w:szCs w:val="16"/>
              </w:rPr>
              <w:t>Colombia</w:t>
            </w:r>
          </w:p>
        </w:tc>
        <w:tc>
          <w:tcPr>
            <w:tcW w:w="333" w:type="pct"/>
            <w:vAlign w:val="bottom"/>
          </w:tcPr>
          <w:p w14:paraId="3B211F16" w14:textId="77777777" w:rsidR="001E61A6" w:rsidRPr="008608AA" w:rsidRDefault="001E61A6" w:rsidP="001E61A6">
            <w:pPr>
              <w:rPr>
                <w:sz w:val="16"/>
                <w:szCs w:val="16"/>
              </w:rPr>
            </w:pPr>
            <w:r w:rsidRPr="008608AA">
              <w:rPr>
                <w:sz w:val="16"/>
                <w:szCs w:val="16"/>
              </w:rPr>
              <w:t>0,46</w:t>
            </w:r>
          </w:p>
        </w:tc>
        <w:tc>
          <w:tcPr>
            <w:tcW w:w="424" w:type="pct"/>
            <w:vAlign w:val="bottom"/>
          </w:tcPr>
          <w:p w14:paraId="00B257E7" w14:textId="77777777" w:rsidR="001E61A6" w:rsidRPr="008608AA" w:rsidRDefault="001E61A6" w:rsidP="001E61A6">
            <w:pPr>
              <w:rPr>
                <w:sz w:val="16"/>
                <w:szCs w:val="16"/>
              </w:rPr>
            </w:pPr>
            <w:r w:rsidRPr="008608AA">
              <w:rPr>
                <w:sz w:val="16"/>
                <w:szCs w:val="16"/>
              </w:rPr>
              <w:t>0,31</w:t>
            </w:r>
          </w:p>
        </w:tc>
        <w:tc>
          <w:tcPr>
            <w:tcW w:w="296" w:type="pct"/>
            <w:vAlign w:val="bottom"/>
          </w:tcPr>
          <w:p w14:paraId="54E2E247" w14:textId="77777777" w:rsidR="001E61A6" w:rsidRPr="008608AA" w:rsidRDefault="001E61A6" w:rsidP="001E61A6">
            <w:pPr>
              <w:rPr>
                <w:sz w:val="16"/>
                <w:szCs w:val="16"/>
              </w:rPr>
            </w:pPr>
            <w:r w:rsidRPr="008608AA">
              <w:rPr>
                <w:sz w:val="16"/>
                <w:szCs w:val="16"/>
              </w:rPr>
              <w:t>0,00</w:t>
            </w:r>
          </w:p>
        </w:tc>
        <w:tc>
          <w:tcPr>
            <w:tcW w:w="229" w:type="pct"/>
            <w:vAlign w:val="bottom"/>
          </w:tcPr>
          <w:p w14:paraId="1F0FA1D3" w14:textId="77777777" w:rsidR="001E61A6" w:rsidRPr="008608AA" w:rsidRDefault="001E61A6" w:rsidP="001E61A6">
            <w:pPr>
              <w:rPr>
                <w:sz w:val="16"/>
                <w:szCs w:val="16"/>
              </w:rPr>
            </w:pPr>
            <w:r w:rsidRPr="008608AA">
              <w:rPr>
                <w:sz w:val="16"/>
                <w:szCs w:val="16"/>
              </w:rPr>
              <w:t>0,00</w:t>
            </w:r>
          </w:p>
        </w:tc>
        <w:tc>
          <w:tcPr>
            <w:tcW w:w="269" w:type="pct"/>
            <w:vAlign w:val="bottom"/>
          </w:tcPr>
          <w:p w14:paraId="35BFED66" w14:textId="77777777" w:rsidR="001E61A6" w:rsidRPr="008608AA" w:rsidRDefault="001E61A6" w:rsidP="001E61A6">
            <w:pPr>
              <w:rPr>
                <w:sz w:val="16"/>
                <w:szCs w:val="16"/>
              </w:rPr>
            </w:pPr>
            <w:r w:rsidRPr="008608AA">
              <w:rPr>
                <w:sz w:val="16"/>
                <w:szCs w:val="16"/>
              </w:rPr>
              <w:t>0,00</w:t>
            </w:r>
          </w:p>
        </w:tc>
        <w:tc>
          <w:tcPr>
            <w:tcW w:w="292" w:type="pct"/>
            <w:vAlign w:val="bottom"/>
          </w:tcPr>
          <w:p w14:paraId="1F03426A" w14:textId="77777777" w:rsidR="001E61A6" w:rsidRPr="008608AA" w:rsidRDefault="001E61A6" w:rsidP="001E61A6">
            <w:pPr>
              <w:rPr>
                <w:sz w:val="16"/>
                <w:szCs w:val="16"/>
              </w:rPr>
            </w:pPr>
            <w:r w:rsidRPr="008608AA">
              <w:rPr>
                <w:sz w:val="16"/>
                <w:szCs w:val="16"/>
              </w:rPr>
              <w:t>0,05</w:t>
            </w:r>
          </w:p>
        </w:tc>
        <w:tc>
          <w:tcPr>
            <w:tcW w:w="289" w:type="pct"/>
            <w:vAlign w:val="bottom"/>
          </w:tcPr>
          <w:p w14:paraId="5B17A69C" w14:textId="77777777" w:rsidR="001E61A6" w:rsidRPr="008608AA" w:rsidRDefault="001E61A6" w:rsidP="001E61A6">
            <w:pPr>
              <w:rPr>
                <w:sz w:val="16"/>
                <w:szCs w:val="16"/>
              </w:rPr>
            </w:pPr>
            <w:r w:rsidRPr="008608AA">
              <w:rPr>
                <w:sz w:val="16"/>
                <w:szCs w:val="16"/>
              </w:rPr>
              <w:t>0,15</w:t>
            </w:r>
          </w:p>
        </w:tc>
        <w:tc>
          <w:tcPr>
            <w:tcW w:w="280" w:type="pct"/>
            <w:vAlign w:val="bottom"/>
          </w:tcPr>
          <w:p w14:paraId="355FA12A" w14:textId="77777777" w:rsidR="001E61A6" w:rsidRPr="008608AA" w:rsidRDefault="001E61A6" w:rsidP="001E61A6">
            <w:pPr>
              <w:rPr>
                <w:sz w:val="16"/>
                <w:szCs w:val="16"/>
              </w:rPr>
            </w:pPr>
            <w:r w:rsidRPr="008608AA">
              <w:rPr>
                <w:sz w:val="16"/>
                <w:szCs w:val="16"/>
              </w:rPr>
              <w:t>0,00</w:t>
            </w:r>
          </w:p>
        </w:tc>
        <w:tc>
          <w:tcPr>
            <w:tcW w:w="250" w:type="pct"/>
            <w:vAlign w:val="bottom"/>
          </w:tcPr>
          <w:p w14:paraId="30B690B7" w14:textId="77777777" w:rsidR="001E61A6" w:rsidRPr="008608AA" w:rsidRDefault="001E61A6" w:rsidP="001E61A6">
            <w:pPr>
              <w:rPr>
                <w:sz w:val="16"/>
                <w:szCs w:val="16"/>
              </w:rPr>
            </w:pPr>
            <w:r w:rsidRPr="008608AA">
              <w:rPr>
                <w:sz w:val="16"/>
                <w:szCs w:val="16"/>
              </w:rPr>
              <w:t>1,71</w:t>
            </w:r>
          </w:p>
        </w:tc>
        <w:tc>
          <w:tcPr>
            <w:tcW w:w="278" w:type="pct"/>
            <w:vAlign w:val="bottom"/>
          </w:tcPr>
          <w:p w14:paraId="66DA88C1" w14:textId="77777777" w:rsidR="001E61A6" w:rsidRPr="008608AA" w:rsidRDefault="001E61A6" w:rsidP="001E61A6">
            <w:pPr>
              <w:rPr>
                <w:sz w:val="16"/>
                <w:szCs w:val="16"/>
              </w:rPr>
            </w:pPr>
            <w:r w:rsidRPr="008608AA">
              <w:rPr>
                <w:sz w:val="16"/>
                <w:szCs w:val="16"/>
              </w:rPr>
              <w:t>0,55</w:t>
            </w:r>
          </w:p>
        </w:tc>
        <w:tc>
          <w:tcPr>
            <w:tcW w:w="243" w:type="pct"/>
            <w:vAlign w:val="bottom"/>
          </w:tcPr>
          <w:p w14:paraId="68BD50DE" w14:textId="77777777" w:rsidR="001E61A6" w:rsidRPr="008608AA" w:rsidRDefault="001E61A6" w:rsidP="001E61A6">
            <w:pPr>
              <w:rPr>
                <w:sz w:val="16"/>
                <w:szCs w:val="16"/>
              </w:rPr>
            </w:pPr>
            <w:r w:rsidRPr="008608AA">
              <w:rPr>
                <w:sz w:val="16"/>
                <w:szCs w:val="16"/>
              </w:rPr>
              <w:t>0,36</w:t>
            </w:r>
          </w:p>
        </w:tc>
        <w:tc>
          <w:tcPr>
            <w:tcW w:w="258" w:type="pct"/>
            <w:vAlign w:val="bottom"/>
          </w:tcPr>
          <w:p w14:paraId="41D43F0C" w14:textId="77777777" w:rsidR="001E61A6" w:rsidRPr="008608AA" w:rsidRDefault="001E61A6" w:rsidP="001E61A6">
            <w:pPr>
              <w:rPr>
                <w:sz w:val="16"/>
                <w:szCs w:val="16"/>
              </w:rPr>
            </w:pPr>
            <w:r w:rsidRPr="008608AA">
              <w:rPr>
                <w:sz w:val="16"/>
                <w:szCs w:val="16"/>
              </w:rPr>
              <w:t>0,29</w:t>
            </w:r>
          </w:p>
        </w:tc>
        <w:tc>
          <w:tcPr>
            <w:tcW w:w="318" w:type="pct"/>
            <w:vAlign w:val="bottom"/>
          </w:tcPr>
          <w:p w14:paraId="06838681" w14:textId="77777777" w:rsidR="001E61A6" w:rsidRPr="008608AA" w:rsidRDefault="001E61A6" w:rsidP="001E61A6">
            <w:pPr>
              <w:rPr>
                <w:sz w:val="16"/>
                <w:szCs w:val="16"/>
              </w:rPr>
            </w:pPr>
            <w:r w:rsidRPr="008608AA">
              <w:rPr>
                <w:sz w:val="16"/>
                <w:szCs w:val="16"/>
              </w:rPr>
              <w:t>0,01</w:t>
            </w:r>
          </w:p>
        </w:tc>
        <w:tc>
          <w:tcPr>
            <w:tcW w:w="375" w:type="pct"/>
            <w:vAlign w:val="bottom"/>
          </w:tcPr>
          <w:p w14:paraId="7ECBBFDA" w14:textId="77777777" w:rsidR="001E61A6" w:rsidRPr="008608AA" w:rsidRDefault="001E61A6" w:rsidP="001E61A6">
            <w:pPr>
              <w:rPr>
                <w:sz w:val="16"/>
                <w:szCs w:val="16"/>
              </w:rPr>
            </w:pPr>
            <w:r w:rsidRPr="008608AA">
              <w:rPr>
                <w:sz w:val="16"/>
                <w:szCs w:val="16"/>
              </w:rPr>
              <w:t>0,05</w:t>
            </w:r>
          </w:p>
        </w:tc>
        <w:tc>
          <w:tcPr>
            <w:tcW w:w="438" w:type="pct"/>
            <w:vAlign w:val="bottom"/>
          </w:tcPr>
          <w:p w14:paraId="698C08DA" w14:textId="77777777" w:rsidR="001E61A6" w:rsidRPr="008608AA" w:rsidRDefault="001E61A6" w:rsidP="001E61A6">
            <w:pPr>
              <w:rPr>
                <w:sz w:val="16"/>
                <w:szCs w:val="16"/>
              </w:rPr>
            </w:pPr>
            <w:r w:rsidRPr="008608AA">
              <w:rPr>
                <w:sz w:val="16"/>
                <w:szCs w:val="16"/>
              </w:rPr>
              <w:t>0,00</w:t>
            </w:r>
          </w:p>
        </w:tc>
      </w:tr>
      <w:tr w:rsidR="001E61A6" w:rsidRPr="008608AA" w14:paraId="60DA3593" w14:textId="77777777" w:rsidTr="005C080D">
        <w:tc>
          <w:tcPr>
            <w:tcW w:w="429" w:type="pct"/>
            <w:vAlign w:val="bottom"/>
          </w:tcPr>
          <w:p w14:paraId="772F6CEB" w14:textId="77777777" w:rsidR="001E61A6" w:rsidRPr="008608AA" w:rsidRDefault="001E61A6" w:rsidP="001E61A6">
            <w:pPr>
              <w:rPr>
                <w:sz w:val="16"/>
                <w:szCs w:val="16"/>
              </w:rPr>
            </w:pPr>
            <w:r w:rsidRPr="008608AA">
              <w:rPr>
                <w:sz w:val="16"/>
                <w:szCs w:val="16"/>
              </w:rPr>
              <w:t>Costa Rica</w:t>
            </w:r>
          </w:p>
        </w:tc>
        <w:tc>
          <w:tcPr>
            <w:tcW w:w="333" w:type="pct"/>
            <w:vAlign w:val="bottom"/>
          </w:tcPr>
          <w:p w14:paraId="71726E7A" w14:textId="77777777" w:rsidR="001E61A6" w:rsidRPr="008608AA" w:rsidRDefault="001E61A6" w:rsidP="001E61A6">
            <w:pPr>
              <w:rPr>
                <w:sz w:val="16"/>
                <w:szCs w:val="16"/>
              </w:rPr>
            </w:pPr>
            <w:r w:rsidRPr="008608AA">
              <w:rPr>
                <w:sz w:val="16"/>
                <w:szCs w:val="16"/>
              </w:rPr>
              <w:t>0,28</w:t>
            </w:r>
          </w:p>
        </w:tc>
        <w:tc>
          <w:tcPr>
            <w:tcW w:w="424" w:type="pct"/>
            <w:vAlign w:val="bottom"/>
          </w:tcPr>
          <w:p w14:paraId="4E0528F1" w14:textId="77777777" w:rsidR="001E61A6" w:rsidRPr="008608AA" w:rsidRDefault="001E61A6" w:rsidP="001E61A6">
            <w:pPr>
              <w:rPr>
                <w:sz w:val="16"/>
                <w:szCs w:val="16"/>
              </w:rPr>
            </w:pPr>
            <w:r w:rsidRPr="008608AA">
              <w:rPr>
                <w:sz w:val="16"/>
                <w:szCs w:val="16"/>
              </w:rPr>
              <w:t>0,06</w:t>
            </w:r>
          </w:p>
        </w:tc>
        <w:tc>
          <w:tcPr>
            <w:tcW w:w="296" w:type="pct"/>
            <w:vAlign w:val="bottom"/>
          </w:tcPr>
          <w:p w14:paraId="370091AC" w14:textId="77777777" w:rsidR="001E61A6" w:rsidRPr="008608AA" w:rsidRDefault="001E61A6" w:rsidP="001E61A6">
            <w:pPr>
              <w:rPr>
                <w:sz w:val="16"/>
                <w:szCs w:val="16"/>
              </w:rPr>
            </w:pPr>
            <w:r w:rsidRPr="008608AA">
              <w:rPr>
                <w:sz w:val="16"/>
                <w:szCs w:val="16"/>
              </w:rPr>
              <w:t>0,00</w:t>
            </w:r>
          </w:p>
        </w:tc>
        <w:tc>
          <w:tcPr>
            <w:tcW w:w="229" w:type="pct"/>
            <w:vAlign w:val="bottom"/>
          </w:tcPr>
          <w:p w14:paraId="2BE15172" w14:textId="77777777" w:rsidR="001E61A6" w:rsidRPr="008608AA" w:rsidRDefault="001E61A6" w:rsidP="001E61A6">
            <w:pPr>
              <w:rPr>
                <w:sz w:val="16"/>
                <w:szCs w:val="16"/>
              </w:rPr>
            </w:pPr>
            <w:r w:rsidRPr="008608AA">
              <w:rPr>
                <w:sz w:val="16"/>
                <w:szCs w:val="16"/>
              </w:rPr>
              <w:t>0,07</w:t>
            </w:r>
          </w:p>
        </w:tc>
        <w:tc>
          <w:tcPr>
            <w:tcW w:w="269" w:type="pct"/>
            <w:vAlign w:val="bottom"/>
          </w:tcPr>
          <w:p w14:paraId="7DFE53B5" w14:textId="77777777" w:rsidR="001E61A6" w:rsidRPr="008608AA" w:rsidRDefault="001E61A6" w:rsidP="001E61A6">
            <w:pPr>
              <w:rPr>
                <w:sz w:val="16"/>
                <w:szCs w:val="16"/>
              </w:rPr>
            </w:pPr>
            <w:r w:rsidRPr="008608AA">
              <w:rPr>
                <w:sz w:val="16"/>
                <w:szCs w:val="16"/>
              </w:rPr>
              <w:t>0,00</w:t>
            </w:r>
          </w:p>
        </w:tc>
        <w:tc>
          <w:tcPr>
            <w:tcW w:w="292" w:type="pct"/>
            <w:vAlign w:val="bottom"/>
          </w:tcPr>
          <w:p w14:paraId="20DE4A08" w14:textId="77777777" w:rsidR="001E61A6" w:rsidRPr="008608AA" w:rsidRDefault="001E61A6" w:rsidP="001E61A6">
            <w:pPr>
              <w:rPr>
                <w:sz w:val="16"/>
                <w:szCs w:val="16"/>
              </w:rPr>
            </w:pPr>
            <w:r w:rsidRPr="008608AA">
              <w:rPr>
                <w:sz w:val="16"/>
                <w:szCs w:val="16"/>
              </w:rPr>
              <w:t>0,16</w:t>
            </w:r>
          </w:p>
        </w:tc>
        <w:tc>
          <w:tcPr>
            <w:tcW w:w="289" w:type="pct"/>
            <w:vAlign w:val="bottom"/>
          </w:tcPr>
          <w:p w14:paraId="0ACAD161" w14:textId="77777777" w:rsidR="001E61A6" w:rsidRPr="008608AA" w:rsidRDefault="001E61A6" w:rsidP="001E61A6">
            <w:pPr>
              <w:rPr>
                <w:sz w:val="16"/>
                <w:szCs w:val="16"/>
              </w:rPr>
            </w:pPr>
            <w:r w:rsidRPr="008608AA">
              <w:rPr>
                <w:sz w:val="16"/>
                <w:szCs w:val="16"/>
              </w:rPr>
              <w:t>0,18</w:t>
            </w:r>
          </w:p>
        </w:tc>
        <w:tc>
          <w:tcPr>
            <w:tcW w:w="280" w:type="pct"/>
            <w:vAlign w:val="bottom"/>
          </w:tcPr>
          <w:p w14:paraId="21CF19C2" w14:textId="77777777" w:rsidR="001E61A6" w:rsidRPr="008608AA" w:rsidRDefault="001E61A6" w:rsidP="001E61A6">
            <w:pPr>
              <w:rPr>
                <w:sz w:val="16"/>
                <w:szCs w:val="16"/>
              </w:rPr>
            </w:pPr>
            <w:r w:rsidRPr="008608AA">
              <w:rPr>
                <w:sz w:val="16"/>
                <w:szCs w:val="16"/>
              </w:rPr>
              <w:t>0,00</w:t>
            </w:r>
          </w:p>
        </w:tc>
        <w:tc>
          <w:tcPr>
            <w:tcW w:w="250" w:type="pct"/>
            <w:vAlign w:val="bottom"/>
          </w:tcPr>
          <w:p w14:paraId="211BDEB3" w14:textId="77777777" w:rsidR="001E61A6" w:rsidRPr="008608AA" w:rsidRDefault="001E61A6" w:rsidP="001E61A6">
            <w:pPr>
              <w:rPr>
                <w:sz w:val="16"/>
                <w:szCs w:val="16"/>
              </w:rPr>
            </w:pPr>
            <w:r w:rsidRPr="008608AA">
              <w:rPr>
                <w:sz w:val="16"/>
                <w:szCs w:val="16"/>
              </w:rPr>
              <w:t>0,24</w:t>
            </w:r>
          </w:p>
        </w:tc>
        <w:tc>
          <w:tcPr>
            <w:tcW w:w="278" w:type="pct"/>
            <w:vAlign w:val="bottom"/>
          </w:tcPr>
          <w:p w14:paraId="453B4DD9" w14:textId="77777777" w:rsidR="001E61A6" w:rsidRPr="008608AA" w:rsidRDefault="001E61A6" w:rsidP="001E61A6">
            <w:pPr>
              <w:rPr>
                <w:sz w:val="16"/>
                <w:szCs w:val="16"/>
              </w:rPr>
            </w:pPr>
            <w:r w:rsidRPr="008608AA">
              <w:rPr>
                <w:sz w:val="16"/>
                <w:szCs w:val="16"/>
              </w:rPr>
              <w:t>0,01</w:t>
            </w:r>
          </w:p>
        </w:tc>
        <w:tc>
          <w:tcPr>
            <w:tcW w:w="243" w:type="pct"/>
            <w:vAlign w:val="bottom"/>
          </w:tcPr>
          <w:p w14:paraId="0F2648FD" w14:textId="77777777" w:rsidR="001E61A6" w:rsidRPr="008608AA" w:rsidRDefault="001E61A6" w:rsidP="001E61A6">
            <w:pPr>
              <w:rPr>
                <w:sz w:val="16"/>
                <w:szCs w:val="16"/>
              </w:rPr>
            </w:pPr>
            <w:r w:rsidRPr="008608AA">
              <w:rPr>
                <w:sz w:val="16"/>
                <w:szCs w:val="16"/>
              </w:rPr>
              <w:t>0,01</w:t>
            </w:r>
          </w:p>
        </w:tc>
        <w:tc>
          <w:tcPr>
            <w:tcW w:w="258" w:type="pct"/>
            <w:vAlign w:val="bottom"/>
          </w:tcPr>
          <w:p w14:paraId="4ACACC81" w14:textId="77777777" w:rsidR="001E61A6" w:rsidRPr="008608AA" w:rsidRDefault="001E61A6" w:rsidP="001E61A6">
            <w:pPr>
              <w:rPr>
                <w:sz w:val="16"/>
                <w:szCs w:val="16"/>
              </w:rPr>
            </w:pPr>
            <w:r w:rsidRPr="008608AA">
              <w:rPr>
                <w:sz w:val="16"/>
                <w:szCs w:val="16"/>
              </w:rPr>
              <w:t>0,00</w:t>
            </w:r>
          </w:p>
        </w:tc>
        <w:tc>
          <w:tcPr>
            <w:tcW w:w="318" w:type="pct"/>
            <w:vAlign w:val="bottom"/>
          </w:tcPr>
          <w:p w14:paraId="61144C59" w14:textId="77777777" w:rsidR="001E61A6" w:rsidRPr="008608AA" w:rsidRDefault="001E61A6" w:rsidP="001E61A6">
            <w:pPr>
              <w:rPr>
                <w:sz w:val="16"/>
                <w:szCs w:val="16"/>
              </w:rPr>
            </w:pPr>
            <w:r w:rsidRPr="008608AA">
              <w:rPr>
                <w:sz w:val="16"/>
                <w:szCs w:val="16"/>
              </w:rPr>
              <w:t>0,01</w:t>
            </w:r>
          </w:p>
        </w:tc>
        <w:tc>
          <w:tcPr>
            <w:tcW w:w="375" w:type="pct"/>
            <w:vAlign w:val="bottom"/>
          </w:tcPr>
          <w:p w14:paraId="62C1EA37" w14:textId="77777777" w:rsidR="001E61A6" w:rsidRPr="008608AA" w:rsidRDefault="001E61A6" w:rsidP="001E61A6">
            <w:pPr>
              <w:rPr>
                <w:sz w:val="16"/>
                <w:szCs w:val="16"/>
              </w:rPr>
            </w:pPr>
            <w:r w:rsidRPr="008608AA">
              <w:rPr>
                <w:sz w:val="16"/>
                <w:szCs w:val="16"/>
              </w:rPr>
              <w:t>0,07</w:t>
            </w:r>
          </w:p>
        </w:tc>
        <w:tc>
          <w:tcPr>
            <w:tcW w:w="438" w:type="pct"/>
            <w:vAlign w:val="bottom"/>
          </w:tcPr>
          <w:p w14:paraId="444331CC" w14:textId="77777777" w:rsidR="001E61A6" w:rsidRPr="008608AA" w:rsidRDefault="001E61A6" w:rsidP="001E61A6">
            <w:pPr>
              <w:rPr>
                <w:sz w:val="16"/>
                <w:szCs w:val="16"/>
              </w:rPr>
            </w:pPr>
            <w:r w:rsidRPr="008608AA">
              <w:rPr>
                <w:sz w:val="16"/>
                <w:szCs w:val="16"/>
              </w:rPr>
              <w:t>0,22</w:t>
            </w:r>
          </w:p>
        </w:tc>
      </w:tr>
      <w:tr w:rsidR="001E61A6" w:rsidRPr="008608AA" w14:paraId="5672E788" w14:textId="77777777" w:rsidTr="005C080D">
        <w:tc>
          <w:tcPr>
            <w:tcW w:w="429" w:type="pct"/>
            <w:vAlign w:val="bottom"/>
          </w:tcPr>
          <w:p w14:paraId="2E4639C5" w14:textId="77777777" w:rsidR="001E61A6" w:rsidRPr="008608AA" w:rsidRDefault="001E61A6" w:rsidP="001E61A6">
            <w:pPr>
              <w:rPr>
                <w:sz w:val="16"/>
                <w:szCs w:val="16"/>
              </w:rPr>
            </w:pPr>
            <w:r w:rsidRPr="008608AA">
              <w:rPr>
                <w:sz w:val="16"/>
                <w:szCs w:val="16"/>
              </w:rPr>
              <w:t>Dominican Rep.</w:t>
            </w:r>
          </w:p>
        </w:tc>
        <w:tc>
          <w:tcPr>
            <w:tcW w:w="333" w:type="pct"/>
            <w:vAlign w:val="bottom"/>
          </w:tcPr>
          <w:p w14:paraId="57230D96" w14:textId="77777777" w:rsidR="001E61A6" w:rsidRPr="008608AA" w:rsidRDefault="001E61A6" w:rsidP="001E61A6">
            <w:pPr>
              <w:rPr>
                <w:sz w:val="16"/>
                <w:szCs w:val="16"/>
              </w:rPr>
            </w:pPr>
            <w:r w:rsidRPr="008608AA">
              <w:rPr>
                <w:sz w:val="16"/>
                <w:szCs w:val="16"/>
              </w:rPr>
              <w:t>0,12</w:t>
            </w:r>
          </w:p>
        </w:tc>
        <w:tc>
          <w:tcPr>
            <w:tcW w:w="424" w:type="pct"/>
            <w:vAlign w:val="bottom"/>
          </w:tcPr>
          <w:p w14:paraId="76CD1738" w14:textId="77777777" w:rsidR="001E61A6" w:rsidRPr="008608AA" w:rsidRDefault="001E61A6" w:rsidP="001E61A6">
            <w:pPr>
              <w:rPr>
                <w:sz w:val="16"/>
                <w:szCs w:val="16"/>
              </w:rPr>
            </w:pPr>
            <w:r w:rsidRPr="008608AA">
              <w:rPr>
                <w:sz w:val="16"/>
                <w:szCs w:val="16"/>
              </w:rPr>
              <w:t>0,05</w:t>
            </w:r>
          </w:p>
        </w:tc>
        <w:tc>
          <w:tcPr>
            <w:tcW w:w="296" w:type="pct"/>
            <w:vAlign w:val="bottom"/>
          </w:tcPr>
          <w:p w14:paraId="3500B67B" w14:textId="77777777" w:rsidR="001E61A6" w:rsidRPr="008608AA" w:rsidRDefault="001E61A6" w:rsidP="001E61A6">
            <w:pPr>
              <w:rPr>
                <w:sz w:val="16"/>
                <w:szCs w:val="16"/>
              </w:rPr>
            </w:pPr>
            <w:r w:rsidRPr="008608AA">
              <w:rPr>
                <w:sz w:val="16"/>
                <w:szCs w:val="16"/>
              </w:rPr>
              <w:t>0,00</w:t>
            </w:r>
          </w:p>
        </w:tc>
        <w:tc>
          <w:tcPr>
            <w:tcW w:w="229" w:type="pct"/>
            <w:vAlign w:val="bottom"/>
          </w:tcPr>
          <w:p w14:paraId="77655F54" w14:textId="77777777" w:rsidR="001E61A6" w:rsidRPr="008608AA" w:rsidRDefault="001E61A6" w:rsidP="001E61A6">
            <w:pPr>
              <w:rPr>
                <w:sz w:val="16"/>
                <w:szCs w:val="16"/>
              </w:rPr>
            </w:pPr>
            <w:r w:rsidRPr="008608AA">
              <w:rPr>
                <w:sz w:val="16"/>
                <w:szCs w:val="16"/>
              </w:rPr>
              <w:t>0,05</w:t>
            </w:r>
          </w:p>
        </w:tc>
        <w:tc>
          <w:tcPr>
            <w:tcW w:w="269" w:type="pct"/>
            <w:vAlign w:val="bottom"/>
          </w:tcPr>
          <w:p w14:paraId="070700C5" w14:textId="77777777" w:rsidR="001E61A6" w:rsidRPr="008608AA" w:rsidRDefault="001E61A6" w:rsidP="001E61A6">
            <w:pPr>
              <w:rPr>
                <w:sz w:val="16"/>
                <w:szCs w:val="16"/>
              </w:rPr>
            </w:pPr>
            <w:r w:rsidRPr="008608AA">
              <w:rPr>
                <w:sz w:val="16"/>
                <w:szCs w:val="16"/>
              </w:rPr>
              <w:t>0,00</w:t>
            </w:r>
          </w:p>
        </w:tc>
        <w:tc>
          <w:tcPr>
            <w:tcW w:w="292" w:type="pct"/>
            <w:vAlign w:val="bottom"/>
          </w:tcPr>
          <w:p w14:paraId="32B544BB" w14:textId="77777777" w:rsidR="001E61A6" w:rsidRPr="008608AA" w:rsidRDefault="001E61A6" w:rsidP="001E61A6">
            <w:pPr>
              <w:rPr>
                <w:sz w:val="16"/>
                <w:szCs w:val="16"/>
              </w:rPr>
            </w:pPr>
            <w:r w:rsidRPr="008608AA">
              <w:rPr>
                <w:sz w:val="16"/>
                <w:szCs w:val="16"/>
              </w:rPr>
              <w:t>0,00</w:t>
            </w:r>
          </w:p>
        </w:tc>
        <w:tc>
          <w:tcPr>
            <w:tcW w:w="289" w:type="pct"/>
            <w:vAlign w:val="bottom"/>
          </w:tcPr>
          <w:p w14:paraId="6F1A987E" w14:textId="77777777" w:rsidR="001E61A6" w:rsidRPr="008608AA" w:rsidRDefault="001E61A6" w:rsidP="001E61A6">
            <w:pPr>
              <w:rPr>
                <w:sz w:val="16"/>
                <w:szCs w:val="16"/>
              </w:rPr>
            </w:pPr>
            <w:r w:rsidRPr="008608AA">
              <w:rPr>
                <w:sz w:val="16"/>
                <w:szCs w:val="16"/>
              </w:rPr>
              <w:t>0,01</w:t>
            </w:r>
          </w:p>
        </w:tc>
        <w:tc>
          <w:tcPr>
            <w:tcW w:w="280" w:type="pct"/>
            <w:vAlign w:val="bottom"/>
          </w:tcPr>
          <w:p w14:paraId="6A58FC74" w14:textId="77777777" w:rsidR="001E61A6" w:rsidRPr="008608AA" w:rsidRDefault="001E61A6" w:rsidP="001E61A6">
            <w:pPr>
              <w:rPr>
                <w:sz w:val="16"/>
                <w:szCs w:val="16"/>
              </w:rPr>
            </w:pPr>
            <w:r w:rsidRPr="008608AA">
              <w:rPr>
                <w:sz w:val="16"/>
                <w:szCs w:val="16"/>
              </w:rPr>
              <w:t>0,00</w:t>
            </w:r>
          </w:p>
        </w:tc>
        <w:tc>
          <w:tcPr>
            <w:tcW w:w="250" w:type="pct"/>
            <w:vAlign w:val="bottom"/>
          </w:tcPr>
          <w:p w14:paraId="72D9D085" w14:textId="77777777" w:rsidR="001E61A6" w:rsidRPr="008608AA" w:rsidRDefault="001E61A6" w:rsidP="001E61A6">
            <w:pPr>
              <w:rPr>
                <w:sz w:val="16"/>
                <w:szCs w:val="16"/>
              </w:rPr>
            </w:pPr>
            <w:r w:rsidRPr="008608AA">
              <w:rPr>
                <w:sz w:val="16"/>
                <w:szCs w:val="16"/>
              </w:rPr>
              <w:t>2,12</w:t>
            </w:r>
          </w:p>
        </w:tc>
        <w:tc>
          <w:tcPr>
            <w:tcW w:w="278" w:type="pct"/>
            <w:vAlign w:val="bottom"/>
          </w:tcPr>
          <w:p w14:paraId="29216B1D" w14:textId="77777777" w:rsidR="001E61A6" w:rsidRPr="008608AA" w:rsidRDefault="001E61A6" w:rsidP="001E61A6">
            <w:pPr>
              <w:rPr>
                <w:sz w:val="16"/>
                <w:szCs w:val="16"/>
              </w:rPr>
            </w:pPr>
            <w:r w:rsidRPr="008608AA">
              <w:rPr>
                <w:sz w:val="16"/>
                <w:szCs w:val="16"/>
              </w:rPr>
              <w:t>3,17</w:t>
            </w:r>
          </w:p>
        </w:tc>
        <w:tc>
          <w:tcPr>
            <w:tcW w:w="243" w:type="pct"/>
            <w:vAlign w:val="bottom"/>
          </w:tcPr>
          <w:p w14:paraId="0217077D" w14:textId="77777777" w:rsidR="001E61A6" w:rsidRPr="008608AA" w:rsidRDefault="001E61A6" w:rsidP="001E61A6">
            <w:pPr>
              <w:rPr>
                <w:sz w:val="16"/>
                <w:szCs w:val="16"/>
              </w:rPr>
            </w:pPr>
            <w:r w:rsidRPr="008608AA">
              <w:rPr>
                <w:sz w:val="16"/>
                <w:szCs w:val="16"/>
              </w:rPr>
              <w:t>0,17</w:t>
            </w:r>
          </w:p>
        </w:tc>
        <w:tc>
          <w:tcPr>
            <w:tcW w:w="258" w:type="pct"/>
            <w:vAlign w:val="bottom"/>
          </w:tcPr>
          <w:p w14:paraId="4886F29E" w14:textId="77777777" w:rsidR="001E61A6" w:rsidRPr="008608AA" w:rsidRDefault="001E61A6" w:rsidP="001E61A6">
            <w:pPr>
              <w:rPr>
                <w:sz w:val="16"/>
                <w:szCs w:val="16"/>
              </w:rPr>
            </w:pPr>
            <w:r w:rsidRPr="008608AA">
              <w:rPr>
                <w:sz w:val="16"/>
                <w:szCs w:val="16"/>
              </w:rPr>
              <w:t>0,02</w:t>
            </w:r>
          </w:p>
        </w:tc>
        <w:tc>
          <w:tcPr>
            <w:tcW w:w="318" w:type="pct"/>
            <w:vAlign w:val="bottom"/>
          </w:tcPr>
          <w:p w14:paraId="7C1677AE" w14:textId="77777777" w:rsidR="001E61A6" w:rsidRPr="008608AA" w:rsidRDefault="001E61A6" w:rsidP="001E61A6">
            <w:pPr>
              <w:rPr>
                <w:sz w:val="16"/>
                <w:szCs w:val="16"/>
              </w:rPr>
            </w:pPr>
            <w:r w:rsidRPr="008608AA">
              <w:rPr>
                <w:sz w:val="16"/>
                <w:szCs w:val="16"/>
              </w:rPr>
              <w:t>0,07</w:t>
            </w:r>
          </w:p>
        </w:tc>
        <w:tc>
          <w:tcPr>
            <w:tcW w:w="375" w:type="pct"/>
            <w:vAlign w:val="bottom"/>
          </w:tcPr>
          <w:p w14:paraId="04FA4EB8" w14:textId="77777777" w:rsidR="001E61A6" w:rsidRPr="008608AA" w:rsidRDefault="001E61A6" w:rsidP="001E61A6">
            <w:pPr>
              <w:rPr>
                <w:sz w:val="16"/>
                <w:szCs w:val="16"/>
              </w:rPr>
            </w:pPr>
            <w:r w:rsidRPr="008608AA">
              <w:rPr>
                <w:sz w:val="16"/>
                <w:szCs w:val="16"/>
              </w:rPr>
              <w:t>0,01</w:t>
            </w:r>
          </w:p>
        </w:tc>
        <w:tc>
          <w:tcPr>
            <w:tcW w:w="438" w:type="pct"/>
            <w:vAlign w:val="bottom"/>
          </w:tcPr>
          <w:p w14:paraId="11AA89BE" w14:textId="77777777" w:rsidR="001E61A6" w:rsidRPr="008608AA" w:rsidRDefault="001E61A6" w:rsidP="001E61A6">
            <w:pPr>
              <w:rPr>
                <w:sz w:val="16"/>
                <w:szCs w:val="16"/>
              </w:rPr>
            </w:pPr>
            <w:r w:rsidRPr="008608AA">
              <w:rPr>
                <w:sz w:val="16"/>
                <w:szCs w:val="16"/>
              </w:rPr>
              <w:t>0,00</w:t>
            </w:r>
          </w:p>
        </w:tc>
      </w:tr>
      <w:tr w:rsidR="001E61A6" w:rsidRPr="008608AA" w14:paraId="08BBFDF5" w14:textId="77777777" w:rsidTr="005C080D">
        <w:tc>
          <w:tcPr>
            <w:tcW w:w="429" w:type="pct"/>
            <w:vAlign w:val="bottom"/>
          </w:tcPr>
          <w:p w14:paraId="11293E60" w14:textId="77777777" w:rsidR="001E61A6" w:rsidRPr="008608AA" w:rsidRDefault="001E61A6" w:rsidP="001E61A6">
            <w:pPr>
              <w:rPr>
                <w:sz w:val="16"/>
                <w:szCs w:val="16"/>
              </w:rPr>
            </w:pPr>
            <w:r w:rsidRPr="008608AA">
              <w:rPr>
                <w:sz w:val="16"/>
                <w:szCs w:val="16"/>
              </w:rPr>
              <w:t>Ecuador</w:t>
            </w:r>
          </w:p>
        </w:tc>
        <w:tc>
          <w:tcPr>
            <w:tcW w:w="333" w:type="pct"/>
            <w:vAlign w:val="bottom"/>
          </w:tcPr>
          <w:p w14:paraId="764AA6EA" w14:textId="77777777" w:rsidR="001E61A6" w:rsidRPr="008608AA" w:rsidRDefault="001E61A6" w:rsidP="001E61A6">
            <w:pPr>
              <w:rPr>
                <w:sz w:val="16"/>
                <w:szCs w:val="16"/>
              </w:rPr>
            </w:pPr>
            <w:r w:rsidRPr="008608AA">
              <w:rPr>
                <w:sz w:val="16"/>
                <w:szCs w:val="16"/>
              </w:rPr>
              <w:t>0,35</w:t>
            </w:r>
          </w:p>
        </w:tc>
        <w:tc>
          <w:tcPr>
            <w:tcW w:w="424" w:type="pct"/>
            <w:vAlign w:val="bottom"/>
          </w:tcPr>
          <w:p w14:paraId="28F24822" w14:textId="77777777" w:rsidR="001E61A6" w:rsidRPr="008608AA" w:rsidRDefault="001E61A6" w:rsidP="001E61A6">
            <w:pPr>
              <w:rPr>
                <w:sz w:val="16"/>
                <w:szCs w:val="16"/>
              </w:rPr>
            </w:pPr>
            <w:r w:rsidRPr="008608AA">
              <w:rPr>
                <w:sz w:val="16"/>
                <w:szCs w:val="16"/>
              </w:rPr>
              <w:t>0,13</w:t>
            </w:r>
          </w:p>
        </w:tc>
        <w:tc>
          <w:tcPr>
            <w:tcW w:w="296" w:type="pct"/>
            <w:vAlign w:val="bottom"/>
          </w:tcPr>
          <w:p w14:paraId="71C61432" w14:textId="77777777" w:rsidR="001E61A6" w:rsidRPr="008608AA" w:rsidRDefault="001E61A6" w:rsidP="001E61A6">
            <w:pPr>
              <w:rPr>
                <w:sz w:val="16"/>
                <w:szCs w:val="16"/>
              </w:rPr>
            </w:pPr>
            <w:r w:rsidRPr="008608AA">
              <w:rPr>
                <w:sz w:val="16"/>
                <w:szCs w:val="16"/>
              </w:rPr>
              <w:t>0,00</w:t>
            </w:r>
          </w:p>
        </w:tc>
        <w:tc>
          <w:tcPr>
            <w:tcW w:w="229" w:type="pct"/>
            <w:vAlign w:val="bottom"/>
          </w:tcPr>
          <w:p w14:paraId="5701A5D1" w14:textId="77777777" w:rsidR="001E61A6" w:rsidRPr="008608AA" w:rsidRDefault="001E61A6" w:rsidP="001E61A6">
            <w:pPr>
              <w:rPr>
                <w:sz w:val="16"/>
                <w:szCs w:val="16"/>
              </w:rPr>
            </w:pPr>
            <w:r w:rsidRPr="008608AA">
              <w:rPr>
                <w:sz w:val="16"/>
                <w:szCs w:val="16"/>
              </w:rPr>
              <w:t>0,00</w:t>
            </w:r>
          </w:p>
        </w:tc>
        <w:tc>
          <w:tcPr>
            <w:tcW w:w="269" w:type="pct"/>
            <w:vAlign w:val="bottom"/>
          </w:tcPr>
          <w:p w14:paraId="7543333E" w14:textId="77777777" w:rsidR="001E61A6" w:rsidRPr="008608AA" w:rsidRDefault="001E61A6" w:rsidP="001E61A6">
            <w:pPr>
              <w:rPr>
                <w:sz w:val="16"/>
                <w:szCs w:val="16"/>
              </w:rPr>
            </w:pPr>
            <w:r w:rsidRPr="008608AA">
              <w:rPr>
                <w:sz w:val="16"/>
                <w:szCs w:val="16"/>
              </w:rPr>
              <w:t>0,00</w:t>
            </w:r>
          </w:p>
        </w:tc>
        <w:tc>
          <w:tcPr>
            <w:tcW w:w="292" w:type="pct"/>
            <w:vAlign w:val="bottom"/>
          </w:tcPr>
          <w:p w14:paraId="2E11B614" w14:textId="77777777" w:rsidR="001E61A6" w:rsidRPr="008608AA" w:rsidRDefault="001E61A6" w:rsidP="001E61A6">
            <w:pPr>
              <w:rPr>
                <w:sz w:val="16"/>
                <w:szCs w:val="16"/>
              </w:rPr>
            </w:pPr>
            <w:r w:rsidRPr="008608AA">
              <w:rPr>
                <w:sz w:val="16"/>
                <w:szCs w:val="16"/>
              </w:rPr>
              <w:t>0,00</w:t>
            </w:r>
          </w:p>
        </w:tc>
        <w:tc>
          <w:tcPr>
            <w:tcW w:w="289" w:type="pct"/>
            <w:vAlign w:val="bottom"/>
          </w:tcPr>
          <w:p w14:paraId="7882EE1C" w14:textId="77777777" w:rsidR="001E61A6" w:rsidRPr="008608AA" w:rsidRDefault="001E61A6" w:rsidP="001E61A6">
            <w:pPr>
              <w:rPr>
                <w:sz w:val="16"/>
                <w:szCs w:val="16"/>
              </w:rPr>
            </w:pPr>
            <w:r w:rsidRPr="008608AA">
              <w:rPr>
                <w:sz w:val="16"/>
                <w:szCs w:val="16"/>
              </w:rPr>
              <w:t>0,00</w:t>
            </w:r>
          </w:p>
        </w:tc>
        <w:tc>
          <w:tcPr>
            <w:tcW w:w="280" w:type="pct"/>
            <w:vAlign w:val="bottom"/>
          </w:tcPr>
          <w:p w14:paraId="51F5A800" w14:textId="77777777" w:rsidR="001E61A6" w:rsidRPr="008608AA" w:rsidRDefault="001E61A6" w:rsidP="001E61A6">
            <w:pPr>
              <w:rPr>
                <w:sz w:val="16"/>
                <w:szCs w:val="16"/>
              </w:rPr>
            </w:pPr>
            <w:r w:rsidRPr="008608AA">
              <w:rPr>
                <w:sz w:val="16"/>
                <w:szCs w:val="16"/>
              </w:rPr>
              <w:t>0,00</w:t>
            </w:r>
          </w:p>
        </w:tc>
        <w:tc>
          <w:tcPr>
            <w:tcW w:w="250" w:type="pct"/>
            <w:vAlign w:val="bottom"/>
          </w:tcPr>
          <w:p w14:paraId="583ADD58" w14:textId="77777777" w:rsidR="001E61A6" w:rsidRPr="008608AA" w:rsidRDefault="001E61A6" w:rsidP="001E61A6">
            <w:pPr>
              <w:rPr>
                <w:sz w:val="16"/>
                <w:szCs w:val="16"/>
              </w:rPr>
            </w:pPr>
            <w:r w:rsidRPr="008608AA">
              <w:rPr>
                <w:sz w:val="16"/>
                <w:szCs w:val="16"/>
              </w:rPr>
              <w:t>0,00</w:t>
            </w:r>
          </w:p>
        </w:tc>
        <w:tc>
          <w:tcPr>
            <w:tcW w:w="278" w:type="pct"/>
            <w:vAlign w:val="bottom"/>
          </w:tcPr>
          <w:p w14:paraId="654A4E89" w14:textId="77777777" w:rsidR="001E61A6" w:rsidRPr="008608AA" w:rsidRDefault="001E61A6" w:rsidP="001E61A6">
            <w:pPr>
              <w:rPr>
                <w:sz w:val="16"/>
                <w:szCs w:val="16"/>
              </w:rPr>
            </w:pPr>
            <w:r w:rsidRPr="008608AA">
              <w:rPr>
                <w:sz w:val="16"/>
                <w:szCs w:val="16"/>
              </w:rPr>
              <w:t>9,41</w:t>
            </w:r>
          </w:p>
        </w:tc>
        <w:tc>
          <w:tcPr>
            <w:tcW w:w="243" w:type="pct"/>
            <w:vAlign w:val="bottom"/>
          </w:tcPr>
          <w:p w14:paraId="6EB3C83D" w14:textId="77777777" w:rsidR="001E61A6" w:rsidRPr="008608AA" w:rsidRDefault="001E61A6" w:rsidP="001E61A6">
            <w:pPr>
              <w:rPr>
                <w:sz w:val="16"/>
                <w:szCs w:val="16"/>
              </w:rPr>
            </w:pPr>
            <w:r w:rsidRPr="008608AA">
              <w:rPr>
                <w:sz w:val="16"/>
                <w:szCs w:val="16"/>
              </w:rPr>
              <w:t>0,70</w:t>
            </w:r>
          </w:p>
        </w:tc>
        <w:tc>
          <w:tcPr>
            <w:tcW w:w="258" w:type="pct"/>
            <w:vAlign w:val="bottom"/>
          </w:tcPr>
          <w:p w14:paraId="0215D0A3" w14:textId="77777777" w:rsidR="001E61A6" w:rsidRPr="008608AA" w:rsidRDefault="001E61A6" w:rsidP="001E61A6">
            <w:pPr>
              <w:rPr>
                <w:sz w:val="16"/>
                <w:szCs w:val="16"/>
              </w:rPr>
            </w:pPr>
            <w:r w:rsidRPr="008608AA">
              <w:rPr>
                <w:sz w:val="16"/>
                <w:szCs w:val="16"/>
              </w:rPr>
              <w:t>1,47</w:t>
            </w:r>
          </w:p>
        </w:tc>
        <w:tc>
          <w:tcPr>
            <w:tcW w:w="318" w:type="pct"/>
            <w:vAlign w:val="bottom"/>
          </w:tcPr>
          <w:p w14:paraId="19F1B617" w14:textId="77777777" w:rsidR="001E61A6" w:rsidRPr="008608AA" w:rsidRDefault="001E61A6" w:rsidP="001E61A6">
            <w:pPr>
              <w:rPr>
                <w:sz w:val="16"/>
                <w:szCs w:val="16"/>
              </w:rPr>
            </w:pPr>
            <w:r w:rsidRPr="008608AA">
              <w:rPr>
                <w:sz w:val="16"/>
                <w:szCs w:val="16"/>
              </w:rPr>
              <w:t>0,01</w:t>
            </w:r>
          </w:p>
        </w:tc>
        <w:tc>
          <w:tcPr>
            <w:tcW w:w="375" w:type="pct"/>
            <w:vAlign w:val="bottom"/>
          </w:tcPr>
          <w:p w14:paraId="68E33EA9" w14:textId="77777777" w:rsidR="001E61A6" w:rsidRPr="008608AA" w:rsidRDefault="001E61A6" w:rsidP="001E61A6">
            <w:pPr>
              <w:rPr>
                <w:sz w:val="16"/>
                <w:szCs w:val="16"/>
              </w:rPr>
            </w:pPr>
            <w:r w:rsidRPr="008608AA">
              <w:rPr>
                <w:sz w:val="16"/>
                <w:szCs w:val="16"/>
              </w:rPr>
              <w:t>0,18</w:t>
            </w:r>
          </w:p>
        </w:tc>
        <w:tc>
          <w:tcPr>
            <w:tcW w:w="438" w:type="pct"/>
            <w:vAlign w:val="bottom"/>
          </w:tcPr>
          <w:p w14:paraId="70E7D3F9" w14:textId="77777777" w:rsidR="001E61A6" w:rsidRPr="008608AA" w:rsidRDefault="001E61A6" w:rsidP="001E61A6">
            <w:pPr>
              <w:rPr>
                <w:sz w:val="16"/>
                <w:szCs w:val="16"/>
              </w:rPr>
            </w:pPr>
            <w:r w:rsidRPr="008608AA">
              <w:rPr>
                <w:sz w:val="16"/>
                <w:szCs w:val="16"/>
              </w:rPr>
              <w:t>0,07</w:t>
            </w:r>
          </w:p>
        </w:tc>
      </w:tr>
      <w:tr w:rsidR="001E61A6" w:rsidRPr="008608AA" w14:paraId="18AF466C" w14:textId="77777777" w:rsidTr="005C080D">
        <w:tc>
          <w:tcPr>
            <w:tcW w:w="429" w:type="pct"/>
            <w:vAlign w:val="bottom"/>
          </w:tcPr>
          <w:p w14:paraId="2F0A5547" w14:textId="77777777" w:rsidR="001E61A6" w:rsidRPr="008608AA" w:rsidRDefault="001E61A6" w:rsidP="001E61A6">
            <w:pPr>
              <w:rPr>
                <w:sz w:val="16"/>
                <w:szCs w:val="16"/>
              </w:rPr>
            </w:pPr>
            <w:r w:rsidRPr="008608AA">
              <w:rPr>
                <w:sz w:val="16"/>
                <w:szCs w:val="16"/>
              </w:rPr>
              <w:t>El Salvador</w:t>
            </w:r>
          </w:p>
        </w:tc>
        <w:tc>
          <w:tcPr>
            <w:tcW w:w="333" w:type="pct"/>
            <w:vAlign w:val="bottom"/>
          </w:tcPr>
          <w:p w14:paraId="3A766441" w14:textId="77777777" w:rsidR="001E61A6" w:rsidRPr="008608AA" w:rsidRDefault="001E61A6" w:rsidP="001E61A6">
            <w:pPr>
              <w:rPr>
                <w:sz w:val="16"/>
                <w:szCs w:val="16"/>
              </w:rPr>
            </w:pPr>
            <w:r w:rsidRPr="008608AA">
              <w:rPr>
                <w:sz w:val="16"/>
                <w:szCs w:val="16"/>
              </w:rPr>
              <w:t>0,08</w:t>
            </w:r>
          </w:p>
        </w:tc>
        <w:tc>
          <w:tcPr>
            <w:tcW w:w="424" w:type="pct"/>
            <w:vAlign w:val="bottom"/>
          </w:tcPr>
          <w:p w14:paraId="6AF0D4D2" w14:textId="77777777" w:rsidR="001E61A6" w:rsidRPr="008608AA" w:rsidRDefault="001E61A6" w:rsidP="001E61A6">
            <w:pPr>
              <w:rPr>
                <w:sz w:val="16"/>
                <w:szCs w:val="16"/>
              </w:rPr>
            </w:pPr>
            <w:r w:rsidRPr="008608AA">
              <w:rPr>
                <w:sz w:val="16"/>
                <w:szCs w:val="16"/>
              </w:rPr>
              <w:t>0,03</w:t>
            </w:r>
          </w:p>
        </w:tc>
        <w:tc>
          <w:tcPr>
            <w:tcW w:w="296" w:type="pct"/>
            <w:vAlign w:val="bottom"/>
          </w:tcPr>
          <w:p w14:paraId="342179DF" w14:textId="77777777" w:rsidR="001E61A6" w:rsidRPr="008608AA" w:rsidRDefault="001E61A6" w:rsidP="001E61A6">
            <w:pPr>
              <w:rPr>
                <w:sz w:val="16"/>
                <w:szCs w:val="16"/>
              </w:rPr>
            </w:pPr>
            <w:r w:rsidRPr="008608AA">
              <w:rPr>
                <w:sz w:val="16"/>
                <w:szCs w:val="16"/>
              </w:rPr>
              <w:t>0,00</w:t>
            </w:r>
          </w:p>
        </w:tc>
        <w:tc>
          <w:tcPr>
            <w:tcW w:w="229" w:type="pct"/>
            <w:vAlign w:val="bottom"/>
          </w:tcPr>
          <w:p w14:paraId="034D23FA" w14:textId="77777777" w:rsidR="001E61A6" w:rsidRPr="008608AA" w:rsidRDefault="001E61A6" w:rsidP="001E61A6">
            <w:pPr>
              <w:rPr>
                <w:sz w:val="16"/>
                <w:szCs w:val="16"/>
              </w:rPr>
            </w:pPr>
            <w:r w:rsidRPr="008608AA">
              <w:rPr>
                <w:sz w:val="16"/>
                <w:szCs w:val="16"/>
              </w:rPr>
              <w:t>0,01</w:t>
            </w:r>
          </w:p>
        </w:tc>
        <w:tc>
          <w:tcPr>
            <w:tcW w:w="269" w:type="pct"/>
            <w:vAlign w:val="bottom"/>
          </w:tcPr>
          <w:p w14:paraId="4169D7A1" w14:textId="77777777" w:rsidR="001E61A6" w:rsidRPr="008608AA" w:rsidRDefault="001E61A6" w:rsidP="001E61A6">
            <w:pPr>
              <w:rPr>
                <w:sz w:val="16"/>
                <w:szCs w:val="16"/>
              </w:rPr>
            </w:pPr>
            <w:r w:rsidRPr="008608AA">
              <w:rPr>
                <w:sz w:val="16"/>
                <w:szCs w:val="16"/>
              </w:rPr>
              <w:t>0,00</w:t>
            </w:r>
          </w:p>
        </w:tc>
        <w:tc>
          <w:tcPr>
            <w:tcW w:w="292" w:type="pct"/>
            <w:vAlign w:val="bottom"/>
          </w:tcPr>
          <w:p w14:paraId="148222F8" w14:textId="77777777" w:rsidR="001E61A6" w:rsidRPr="008608AA" w:rsidRDefault="001E61A6" w:rsidP="001E61A6">
            <w:pPr>
              <w:rPr>
                <w:sz w:val="16"/>
                <w:szCs w:val="16"/>
              </w:rPr>
            </w:pPr>
            <w:r w:rsidRPr="008608AA">
              <w:rPr>
                <w:sz w:val="16"/>
                <w:szCs w:val="16"/>
              </w:rPr>
              <w:t>0,00</w:t>
            </w:r>
          </w:p>
        </w:tc>
        <w:tc>
          <w:tcPr>
            <w:tcW w:w="289" w:type="pct"/>
            <w:vAlign w:val="bottom"/>
          </w:tcPr>
          <w:p w14:paraId="5F8448A7" w14:textId="77777777" w:rsidR="001E61A6" w:rsidRPr="008608AA" w:rsidRDefault="001E61A6" w:rsidP="001E61A6">
            <w:pPr>
              <w:rPr>
                <w:sz w:val="16"/>
                <w:szCs w:val="16"/>
              </w:rPr>
            </w:pPr>
            <w:r w:rsidRPr="008608AA">
              <w:rPr>
                <w:sz w:val="16"/>
                <w:szCs w:val="16"/>
              </w:rPr>
              <w:t>0,00</w:t>
            </w:r>
          </w:p>
        </w:tc>
        <w:tc>
          <w:tcPr>
            <w:tcW w:w="280" w:type="pct"/>
            <w:vAlign w:val="bottom"/>
          </w:tcPr>
          <w:p w14:paraId="70E41039" w14:textId="77777777" w:rsidR="001E61A6" w:rsidRPr="008608AA" w:rsidRDefault="001E61A6" w:rsidP="001E61A6">
            <w:pPr>
              <w:rPr>
                <w:sz w:val="16"/>
                <w:szCs w:val="16"/>
              </w:rPr>
            </w:pPr>
            <w:r w:rsidRPr="008608AA">
              <w:rPr>
                <w:sz w:val="16"/>
                <w:szCs w:val="16"/>
              </w:rPr>
              <w:t>0,00</w:t>
            </w:r>
          </w:p>
        </w:tc>
        <w:tc>
          <w:tcPr>
            <w:tcW w:w="250" w:type="pct"/>
            <w:vAlign w:val="bottom"/>
          </w:tcPr>
          <w:p w14:paraId="784F4793" w14:textId="77777777" w:rsidR="001E61A6" w:rsidRPr="008608AA" w:rsidRDefault="001E61A6" w:rsidP="001E61A6">
            <w:pPr>
              <w:rPr>
                <w:sz w:val="16"/>
                <w:szCs w:val="16"/>
              </w:rPr>
            </w:pPr>
            <w:r w:rsidRPr="008608AA">
              <w:rPr>
                <w:sz w:val="16"/>
                <w:szCs w:val="16"/>
              </w:rPr>
              <w:t>6,76</w:t>
            </w:r>
          </w:p>
        </w:tc>
        <w:tc>
          <w:tcPr>
            <w:tcW w:w="278" w:type="pct"/>
            <w:vAlign w:val="bottom"/>
          </w:tcPr>
          <w:p w14:paraId="1479CFC3" w14:textId="77777777" w:rsidR="001E61A6" w:rsidRPr="008608AA" w:rsidRDefault="001E61A6" w:rsidP="001E61A6">
            <w:pPr>
              <w:rPr>
                <w:sz w:val="16"/>
                <w:szCs w:val="16"/>
              </w:rPr>
            </w:pPr>
            <w:r w:rsidRPr="008608AA">
              <w:rPr>
                <w:sz w:val="16"/>
                <w:szCs w:val="16"/>
              </w:rPr>
              <w:t>0,00</w:t>
            </w:r>
          </w:p>
        </w:tc>
        <w:tc>
          <w:tcPr>
            <w:tcW w:w="243" w:type="pct"/>
            <w:vAlign w:val="bottom"/>
          </w:tcPr>
          <w:p w14:paraId="20241AF9" w14:textId="77777777" w:rsidR="001E61A6" w:rsidRPr="008608AA" w:rsidRDefault="001E61A6" w:rsidP="001E61A6">
            <w:pPr>
              <w:rPr>
                <w:sz w:val="16"/>
                <w:szCs w:val="16"/>
              </w:rPr>
            </w:pPr>
            <w:r w:rsidRPr="008608AA">
              <w:rPr>
                <w:sz w:val="16"/>
                <w:szCs w:val="16"/>
              </w:rPr>
              <w:t>0,00</w:t>
            </w:r>
          </w:p>
        </w:tc>
        <w:tc>
          <w:tcPr>
            <w:tcW w:w="258" w:type="pct"/>
            <w:vAlign w:val="bottom"/>
          </w:tcPr>
          <w:p w14:paraId="242B7F9A" w14:textId="77777777" w:rsidR="001E61A6" w:rsidRPr="008608AA" w:rsidRDefault="001E61A6" w:rsidP="001E61A6">
            <w:pPr>
              <w:rPr>
                <w:sz w:val="16"/>
                <w:szCs w:val="16"/>
              </w:rPr>
            </w:pPr>
            <w:r w:rsidRPr="008608AA">
              <w:rPr>
                <w:sz w:val="16"/>
                <w:szCs w:val="16"/>
              </w:rPr>
              <w:t>0,00</w:t>
            </w:r>
          </w:p>
        </w:tc>
        <w:tc>
          <w:tcPr>
            <w:tcW w:w="318" w:type="pct"/>
            <w:vAlign w:val="bottom"/>
          </w:tcPr>
          <w:p w14:paraId="33CAF2D0" w14:textId="77777777" w:rsidR="001E61A6" w:rsidRPr="008608AA" w:rsidRDefault="001E61A6" w:rsidP="001E61A6">
            <w:pPr>
              <w:rPr>
                <w:sz w:val="16"/>
                <w:szCs w:val="16"/>
              </w:rPr>
            </w:pPr>
            <w:r w:rsidRPr="008608AA">
              <w:rPr>
                <w:sz w:val="16"/>
                <w:szCs w:val="16"/>
              </w:rPr>
              <w:t>0,02</w:t>
            </w:r>
          </w:p>
        </w:tc>
        <w:tc>
          <w:tcPr>
            <w:tcW w:w="375" w:type="pct"/>
            <w:vAlign w:val="bottom"/>
          </w:tcPr>
          <w:p w14:paraId="0BD1F46D" w14:textId="77777777" w:rsidR="001E61A6" w:rsidRPr="008608AA" w:rsidRDefault="001E61A6" w:rsidP="001E61A6">
            <w:pPr>
              <w:rPr>
                <w:sz w:val="16"/>
                <w:szCs w:val="16"/>
              </w:rPr>
            </w:pPr>
            <w:r w:rsidRPr="008608AA">
              <w:rPr>
                <w:sz w:val="16"/>
                <w:szCs w:val="16"/>
              </w:rPr>
              <w:t>0,01</w:t>
            </w:r>
          </w:p>
        </w:tc>
        <w:tc>
          <w:tcPr>
            <w:tcW w:w="438" w:type="pct"/>
            <w:vAlign w:val="bottom"/>
          </w:tcPr>
          <w:p w14:paraId="109AAB6E" w14:textId="77777777" w:rsidR="001E61A6" w:rsidRPr="008608AA" w:rsidRDefault="001E61A6" w:rsidP="001E61A6">
            <w:pPr>
              <w:rPr>
                <w:sz w:val="16"/>
                <w:szCs w:val="16"/>
              </w:rPr>
            </w:pPr>
            <w:r w:rsidRPr="008608AA">
              <w:rPr>
                <w:sz w:val="16"/>
                <w:szCs w:val="16"/>
              </w:rPr>
              <w:t>0,00</w:t>
            </w:r>
          </w:p>
        </w:tc>
      </w:tr>
      <w:tr w:rsidR="001E61A6" w:rsidRPr="008608AA" w14:paraId="55DF7D3A" w14:textId="77777777" w:rsidTr="005C080D">
        <w:tc>
          <w:tcPr>
            <w:tcW w:w="429" w:type="pct"/>
            <w:vAlign w:val="bottom"/>
          </w:tcPr>
          <w:p w14:paraId="172D5E33" w14:textId="77777777" w:rsidR="001E61A6" w:rsidRPr="008608AA" w:rsidRDefault="001E61A6" w:rsidP="001E61A6">
            <w:pPr>
              <w:rPr>
                <w:sz w:val="16"/>
                <w:szCs w:val="16"/>
              </w:rPr>
            </w:pPr>
            <w:r w:rsidRPr="008608AA">
              <w:rPr>
                <w:sz w:val="16"/>
                <w:szCs w:val="16"/>
              </w:rPr>
              <w:t>Guatemala</w:t>
            </w:r>
          </w:p>
        </w:tc>
        <w:tc>
          <w:tcPr>
            <w:tcW w:w="333" w:type="pct"/>
            <w:vAlign w:val="bottom"/>
          </w:tcPr>
          <w:p w14:paraId="42839083" w14:textId="77777777" w:rsidR="001E61A6" w:rsidRPr="008608AA" w:rsidRDefault="001E61A6" w:rsidP="001E61A6">
            <w:pPr>
              <w:rPr>
                <w:sz w:val="16"/>
                <w:szCs w:val="16"/>
              </w:rPr>
            </w:pPr>
            <w:r w:rsidRPr="008608AA">
              <w:rPr>
                <w:sz w:val="16"/>
                <w:szCs w:val="16"/>
              </w:rPr>
              <w:t>0,34</w:t>
            </w:r>
          </w:p>
        </w:tc>
        <w:tc>
          <w:tcPr>
            <w:tcW w:w="424" w:type="pct"/>
            <w:vAlign w:val="bottom"/>
          </w:tcPr>
          <w:p w14:paraId="4C4BBE17" w14:textId="77777777" w:rsidR="001E61A6" w:rsidRPr="008608AA" w:rsidRDefault="001E61A6" w:rsidP="001E61A6">
            <w:pPr>
              <w:rPr>
                <w:sz w:val="16"/>
                <w:szCs w:val="16"/>
              </w:rPr>
            </w:pPr>
            <w:r w:rsidRPr="008608AA">
              <w:rPr>
                <w:sz w:val="16"/>
                <w:szCs w:val="16"/>
              </w:rPr>
              <w:t>0,05</w:t>
            </w:r>
          </w:p>
        </w:tc>
        <w:tc>
          <w:tcPr>
            <w:tcW w:w="296" w:type="pct"/>
            <w:vAlign w:val="bottom"/>
          </w:tcPr>
          <w:p w14:paraId="10C863A8" w14:textId="77777777" w:rsidR="001E61A6" w:rsidRPr="008608AA" w:rsidRDefault="001E61A6" w:rsidP="001E61A6">
            <w:pPr>
              <w:rPr>
                <w:sz w:val="16"/>
                <w:szCs w:val="16"/>
              </w:rPr>
            </w:pPr>
            <w:r w:rsidRPr="008608AA">
              <w:rPr>
                <w:sz w:val="16"/>
                <w:szCs w:val="16"/>
              </w:rPr>
              <w:t>0,00</w:t>
            </w:r>
          </w:p>
        </w:tc>
        <w:tc>
          <w:tcPr>
            <w:tcW w:w="229" w:type="pct"/>
            <w:vAlign w:val="bottom"/>
          </w:tcPr>
          <w:p w14:paraId="72A3DBB3" w14:textId="77777777" w:rsidR="001E61A6" w:rsidRPr="008608AA" w:rsidRDefault="001E61A6" w:rsidP="001E61A6">
            <w:pPr>
              <w:rPr>
                <w:sz w:val="16"/>
                <w:szCs w:val="16"/>
              </w:rPr>
            </w:pPr>
            <w:r w:rsidRPr="008608AA">
              <w:rPr>
                <w:sz w:val="16"/>
                <w:szCs w:val="16"/>
              </w:rPr>
              <w:t>0,03</w:t>
            </w:r>
          </w:p>
        </w:tc>
        <w:tc>
          <w:tcPr>
            <w:tcW w:w="269" w:type="pct"/>
            <w:vAlign w:val="bottom"/>
          </w:tcPr>
          <w:p w14:paraId="133060A9" w14:textId="77777777" w:rsidR="001E61A6" w:rsidRPr="008608AA" w:rsidRDefault="001E61A6" w:rsidP="001E61A6">
            <w:pPr>
              <w:rPr>
                <w:sz w:val="16"/>
                <w:szCs w:val="16"/>
              </w:rPr>
            </w:pPr>
            <w:r w:rsidRPr="008608AA">
              <w:rPr>
                <w:sz w:val="16"/>
                <w:szCs w:val="16"/>
              </w:rPr>
              <w:t>0,00</w:t>
            </w:r>
          </w:p>
        </w:tc>
        <w:tc>
          <w:tcPr>
            <w:tcW w:w="292" w:type="pct"/>
            <w:vAlign w:val="bottom"/>
          </w:tcPr>
          <w:p w14:paraId="41F8E5F9" w14:textId="77777777" w:rsidR="001E61A6" w:rsidRPr="008608AA" w:rsidRDefault="001E61A6" w:rsidP="001E61A6">
            <w:pPr>
              <w:rPr>
                <w:sz w:val="16"/>
                <w:szCs w:val="16"/>
              </w:rPr>
            </w:pPr>
            <w:r w:rsidRPr="008608AA">
              <w:rPr>
                <w:sz w:val="16"/>
                <w:szCs w:val="16"/>
              </w:rPr>
              <w:t>0,01</w:t>
            </w:r>
          </w:p>
        </w:tc>
        <w:tc>
          <w:tcPr>
            <w:tcW w:w="289" w:type="pct"/>
            <w:vAlign w:val="bottom"/>
          </w:tcPr>
          <w:p w14:paraId="049B4C3D" w14:textId="77777777" w:rsidR="001E61A6" w:rsidRPr="008608AA" w:rsidRDefault="001E61A6" w:rsidP="001E61A6">
            <w:pPr>
              <w:rPr>
                <w:sz w:val="16"/>
                <w:szCs w:val="16"/>
              </w:rPr>
            </w:pPr>
            <w:r w:rsidRPr="008608AA">
              <w:rPr>
                <w:sz w:val="16"/>
                <w:szCs w:val="16"/>
              </w:rPr>
              <w:t>0,02</w:t>
            </w:r>
          </w:p>
        </w:tc>
        <w:tc>
          <w:tcPr>
            <w:tcW w:w="280" w:type="pct"/>
            <w:vAlign w:val="bottom"/>
          </w:tcPr>
          <w:p w14:paraId="54C87E46" w14:textId="77777777" w:rsidR="001E61A6" w:rsidRPr="008608AA" w:rsidRDefault="001E61A6" w:rsidP="001E61A6">
            <w:pPr>
              <w:rPr>
                <w:sz w:val="16"/>
                <w:szCs w:val="16"/>
              </w:rPr>
            </w:pPr>
            <w:r w:rsidRPr="008608AA">
              <w:rPr>
                <w:sz w:val="16"/>
                <w:szCs w:val="16"/>
              </w:rPr>
              <w:t>0,01</w:t>
            </w:r>
          </w:p>
        </w:tc>
        <w:tc>
          <w:tcPr>
            <w:tcW w:w="250" w:type="pct"/>
            <w:vAlign w:val="bottom"/>
          </w:tcPr>
          <w:p w14:paraId="2AA13386" w14:textId="77777777" w:rsidR="001E61A6" w:rsidRPr="008608AA" w:rsidRDefault="001E61A6" w:rsidP="001E61A6">
            <w:pPr>
              <w:rPr>
                <w:sz w:val="16"/>
                <w:szCs w:val="16"/>
              </w:rPr>
            </w:pPr>
            <w:r w:rsidRPr="008608AA">
              <w:rPr>
                <w:sz w:val="16"/>
                <w:szCs w:val="16"/>
              </w:rPr>
              <w:t>1,53</w:t>
            </w:r>
          </w:p>
        </w:tc>
        <w:tc>
          <w:tcPr>
            <w:tcW w:w="278" w:type="pct"/>
            <w:vAlign w:val="bottom"/>
          </w:tcPr>
          <w:p w14:paraId="05426B55" w14:textId="77777777" w:rsidR="001E61A6" w:rsidRPr="008608AA" w:rsidRDefault="001E61A6" w:rsidP="001E61A6">
            <w:pPr>
              <w:rPr>
                <w:sz w:val="16"/>
                <w:szCs w:val="16"/>
              </w:rPr>
            </w:pPr>
            <w:r w:rsidRPr="008608AA">
              <w:rPr>
                <w:sz w:val="16"/>
                <w:szCs w:val="16"/>
              </w:rPr>
              <w:t>0,00</w:t>
            </w:r>
          </w:p>
        </w:tc>
        <w:tc>
          <w:tcPr>
            <w:tcW w:w="243" w:type="pct"/>
            <w:vAlign w:val="bottom"/>
          </w:tcPr>
          <w:p w14:paraId="601C5293" w14:textId="77777777" w:rsidR="001E61A6" w:rsidRPr="008608AA" w:rsidRDefault="001E61A6" w:rsidP="001E61A6">
            <w:pPr>
              <w:rPr>
                <w:sz w:val="16"/>
                <w:szCs w:val="16"/>
              </w:rPr>
            </w:pPr>
            <w:r w:rsidRPr="008608AA">
              <w:rPr>
                <w:sz w:val="16"/>
                <w:szCs w:val="16"/>
              </w:rPr>
              <w:t>0,00</w:t>
            </w:r>
          </w:p>
        </w:tc>
        <w:tc>
          <w:tcPr>
            <w:tcW w:w="258" w:type="pct"/>
            <w:vAlign w:val="bottom"/>
          </w:tcPr>
          <w:p w14:paraId="3998C22C" w14:textId="77777777" w:rsidR="001E61A6" w:rsidRPr="008608AA" w:rsidRDefault="001E61A6" w:rsidP="001E61A6">
            <w:pPr>
              <w:rPr>
                <w:sz w:val="16"/>
                <w:szCs w:val="16"/>
              </w:rPr>
            </w:pPr>
            <w:r w:rsidRPr="008608AA">
              <w:rPr>
                <w:sz w:val="16"/>
                <w:szCs w:val="16"/>
              </w:rPr>
              <w:t>0,00</w:t>
            </w:r>
          </w:p>
        </w:tc>
        <w:tc>
          <w:tcPr>
            <w:tcW w:w="318" w:type="pct"/>
            <w:vAlign w:val="bottom"/>
          </w:tcPr>
          <w:p w14:paraId="345DD39F" w14:textId="77777777" w:rsidR="001E61A6" w:rsidRPr="008608AA" w:rsidRDefault="001E61A6" w:rsidP="001E61A6">
            <w:pPr>
              <w:rPr>
                <w:sz w:val="16"/>
                <w:szCs w:val="16"/>
              </w:rPr>
            </w:pPr>
            <w:r w:rsidRPr="008608AA">
              <w:rPr>
                <w:sz w:val="16"/>
                <w:szCs w:val="16"/>
              </w:rPr>
              <w:t>0,02</w:t>
            </w:r>
          </w:p>
        </w:tc>
        <w:tc>
          <w:tcPr>
            <w:tcW w:w="375" w:type="pct"/>
            <w:vAlign w:val="bottom"/>
          </w:tcPr>
          <w:p w14:paraId="0E8C591A" w14:textId="77777777" w:rsidR="001E61A6" w:rsidRPr="008608AA" w:rsidRDefault="001E61A6" w:rsidP="001E61A6">
            <w:pPr>
              <w:rPr>
                <w:sz w:val="16"/>
                <w:szCs w:val="16"/>
              </w:rPr>
            </w:pPr>
            <w:r w:rsidRPr="008608AA">
              <w:rPr>
                <w:sz w:val="16"/>
                <w:szCs w:val="16"/>
              </w:rPr>
              <w:t>0,01</w:t>
            </w:r>
          </w:p>
        </w:tc>
        <w:tc>
          <w:tcPr>
            <w:tcW w:w="438" w:type="pct"/>
            <w:vAlign w:val="bottom"/>
          </w:tcPr>
          <w:p w14:paraId="3942E1DC" w14:textId="77777777" w:rsidR="001E61A6" w:rsidRPr="008608AA" w:rsidRDefault="001E61A6" w:rsidP="001E61A6">
            <w:pPr>
              <w:rPr>
                <w:sz w:val="16"/>
                <w:szCs w:val="16"/>
              </w:rPr>
            </w:pPr>
            <w:r w:rsidRPr="008608AA">
              <w:rPr>
                <w:sz w:val="16"/>
                <w:szCs w:val="16"/>
              </w:rPr>
              <w:t>0,05</w:t>
            </w:r>
          </w:p>
        </w:tc>
      </w:tr>
      <w:tr w:rsidR="001E61A6" w:rsidRPr="008608AA" w14:paraId="3D5B671E" w14:textId="77777777" w:rsidTr="005C080D">
        <w:tc>
          <w:tcPr>
            <w:tcW w:w="429" w:type="pct"/>
            <w:vAlign w:val="bottom"/>
          </w:tcPr>
          <w:p w14:paraId="79D3FEC5" w14:textId="77777777" w:rsidR="001E61A6" w:rsidRPr="008608AA" w:rsidRDefault="001E61A6" w:rsidP="001E61A6">
            <w:pPr>
              <w:rPr>
                <w:sz w:val="16"/>
                <w:szCs w:val="16"/>
              </w:rPr>
            </w:pPr>
            <w:r w:rsidRPr="008608AA">
              <w:rPr>
                <w:sz w:val="16"/>
                <w:szCs w:val="16"/>
              </w:rPr>
              <w:t>Honduras</w:t>
            </w:r>
          </w:p>
        </w:tc>
        <w:tc>
          <w:tcPr>
            <w:tcW w:w="333" w:type="pct"/>
            <w:vAlign w:val="bottom"/>
          </w:tcPr>
          <w:p w14:paraId="54E1D090" w14:textId="77777777" w:rsidR="001E61A6" w:rsidRPr="008608AA" w:rsidRDefault="001E61A6" w:rsidP="001E61A6">
            <w:pPr>
              <w:rPr>
                <w:sz w:val="16"/>
                <w:szCs w:val="16"/>
              </w:rPr>
            </w:pPr>
            <w:r w:rsidRPr="008608AA">
              <w:rPr>
                <w:sz w:val="16"/>
                <w:szCs w:val="16"/>
              </w:rPr>
              <w:t>0,14</w:t>
            </w:r>
          </w:p>
        </w:tc>
        <w:tc>
          <w:tcPr>
            <w:tcW w:w="424" w:type="pct"/>
            <w:vAlign w:val="bottom"/>
          </w:tcPr>
          <w:p w14:paraId="760B0E09" w14:textId="77777777" w:rsidR="001E61A6" w:rsidRPr="008608AA" w:rsidRDefault="001E61A6" w:rsidP="001E61A6">
            <w:pPr>
              <w:rPr>
                <w:sz w:val="16"/>
                <w:szCs w:val="16"/>
              </w:rPr>
            </w:pPr>
            <w:r w:rsidRPr="008608AA">
              <w:rPr>
                <w:sz w:val="16"/>
                <w:szCs w:val="16"/>
              </w:rPr>
              <w:t>0,04</w:t>
            </w:r>
          </w:p>
        </w:tc>
        <w:tc>
          <w:tcPr>
            <w:tcW w:w="296" w:type="pct"/>
            <w:vAlign w:val="bottom"/>
          </w:tcPr>
          <w:p w14:paraId="2126546D" w14:textId="77777777" w:rsidR="001E61A6" w:rsidRPr="008608AA" w:rsidRDefault="001E61A6" w:rsidP="001E61A6">
            <w:pPr>
              <w:rPr>
                <w:sz w:val="16"/>
                <w:szCs w:val="16"/>
              </w:rPr>
            </w:pPr>
            <w:r w:rsidRPr="008608AA">
              <w:rPr>
                <w:sz w:val="16"/>
                <w:szCs w:val="16"/>
              </w:rPr>
              <w:t>na</w:t>
            </w:r>
          </w:p>
        </w:tc>
        <w:tc>
          <w:tcPr>
            <w:tcW w:w="229" w:type="pct"/>
            <w:vAlign w:val="bottom"/>
          </w:tcPr>
          <w:p w14:paraId="56819577" w14:textId="77777777" w:rsidR="001E61A6" w:rsidRPr="008608AA" w:rsidRDefault="001E61A6" w:rsidP="001E61A6">
            <w:pPr>
              <w:rPr>
                <w:sz w:val="16"/>
                <w:szCs w:val="16"/>
              </w:rPr>
            </w:pPr>
            <w:r w:rsidRPr="008608AA">
              <w:rPr>
                <w:sz w:val="16"/>
                <w:szCs w:val="16"/>
              </w:rPr>
              <w:t>na</w:t>
            </w:r>
          </w:p>
        </w:tc>
        <w:tc>
          <w:tcPr>
            <w:tcW w:w="269" w:type="pct"/>
            <w:vAlign w:val="bottom"/>
          </w:tcPr>
          <w:p w14:paraId="444FD517" w14:textId="77777777" w:rsidR="001E61A6" w:rsidRPr="008608AA" w:rsidRDefault="001E61A6" w:rsidP="001E61A6">
            <w:pPr>
              <w:rPr>
                <w:sz w:val="16"/>
                <w:szCs w:val="16"/>
              </w:rPr>
            </w:pPr>
            <w:r w:rsidRPr="008608AA">
              <w:rPr>
                <w:sz w:val="16"/>
                <w:szCs w:val="16"/>
              </w:rPr>
              <w:t>na</w:t>
            </w:r>
          </w:p>
        </w:tc>
        <w:tc>
          <w:tcPr>
            <w:tcW w:w="292" w:type="pct"/>
            <w:vAlign w:val="bottom"/>
          </w:tcPr>
          <w:p w14:paraId="45AEAB8C" w14:textId="77777777" w:rsidR="001E61A6" w:rsidRPr="008608AA" w:rsidRDefault="001E61A6" w:rsidP="001E61A6">
            <w:pPr>
              <w:rPr>
                <w:sz w:val="16"/>
                <w:szCs w:val="16"/>
              </w:rPr>
            </w:pPr>
            <w:r w:rsidRPr="008608AA">
              <w:rPr>
                <w:sz w:val="16"/>
                <w:szCs w:val="16"/>
              </w:rPr>
              <w:t>na</w:t>
            </w:r>
          </w:p>
        </w:tc>
        <w:tc>
          <w:tcPr>
            <w:tcW w:w="289" w:type="pct"/>
            <w:vAlign w:val="bottom"/>
          </w:tcPr>
          <w:p w14:paraId="58F7EBAE" w14:textId="77777777" w:rsidR="001E61A6" w:rsidRPr="008608AA" w:rsidRDefault="001E61A6" w:rsidP="001E61A6">
            <w:pPr>
              <w:rPr>
                <w:sz w:val="16"/>
                <w:szCs w:val="16"/>
              </w:rPr>
            </w:pPr>
            <w:r w:rsidRPr="008608AA">
              <w:rPr>
                <w:sz w:val="16"/>
                <w:szCs w:val="16"/>
              </w:rPr>
              <w:t>na</w:t>
            </w:r>
          </w:p>
        </w:tc>
        <w:tc>
          <w:tcPr>
            <w:tcW w:w="280" w:type="pct"/>
            <w:vAlign w:val="bottom"/>
          </w:tcPr>
          <w:p w14:paraId="3A19598A" w14:textId="77777777" w:rsidR="001E61A6" w:rsidRPr="008608AA" w:rsidRDefault="001E61A6" w:rsidP="001E61A6">
            <w:pPr>
              <w:rPr>
                <w:sz w:val="16"/>
                <w:szCs w:val="16"/>
              </w:rPr>
            </w:pPr>
            <w:r w:rsidRPr="008608AA">
              <w:rPr>
                <w:sz w:val="16"/>
                <w:szCs w:val="16"/>
              </w:rPr>
              <w:t>na</w:t>
            </w:r>
          </w:p>
        </w:tc>
        <w:tc>
          <w:tcPr>
            <w:tcW w:w="250" w:type="pct"/>
            <w:vAlign w:val="bottom"/>
          </w:tcPr>
          <w:p w14:paraId="798CC91D" w14:textId="77777777" w:rsidR="001E61A6" w:rsidRPr="008608AA" w:rsidRDefault="001E61A6" w:rsidP="001E61A6">
            <w:pPr>
              <w:rPr>
                <w:sz w:val="16"/>
                <w:szCs w:val="16"/>
              </w:rPr>
            </w:pPr>
            <w:r w:rsidRPr="008608AA">
              <w:rPr>
                <w:sz w:val="16"/>
                <w:szCs w:val="16"/>
              </w:rPr>
              <w:t>na</w:t>
            </w:r>
          </w:p>
        </w:tc>
        <w:tc>
          <w:tcPr>
            <w:tcW w:w="278" w:type="pct"/>
            <w:vAlign w:val="bottom"/>
          </w:tcPr>
          <w:p w14:paraId="290C5067" w14:textId="77777777" w:rsidR="001E61A6" w:rsidRPr="008608AA" w:rsidRDefault="001E61A6" w:rsidP="001E61A6">
            <w:pPr>
              <w:rPr>
                <w:sz w:val="16"/>
                <w:szCs w:val="16"/>
              </w:rPr>
            </w:pPr>
            <w:r w:rsidRPr="008608AA">
              <w:rPr>
                <w:sz w:val="16"/>
                <w:szCs w:val="16"/>
              </w:rPr>
              <w:t>na</w:t>
            </w:r>
          </w:p>
        </w:tc>
        <w:tc>
          <w:tcPr>
            <w:tcW w:w="243" w:type="pct"/>
            <w:vAlign w:val="bottom"/>
          </w:tcPr>
          <w:p w14:paraId="5875446D" w14:textId="77777777" w:rsidR="001E61A6" w:rsidRPr="008608AA" w:rsidRDefault="001E61A6" w:rsidP="001E61A6">
            <w:pPr>
              <w:rPr>
                <w:sz w:val="16"/>
                <w:szCs w:val="16"/>
              </w:rPr>
            </w:pPr>
            <w:r w:rsidRPr="008608AA">
              <w:rPr>
                <w:sz w:val="16"/>
                <w:szCs w:val="16"/>
              </w:rPr>
              <w:t>na</w:t>
            </w:r>
          </w:p>
        </w:tc>
        <w:tc>
          <w:tcPr>
            <w:tcW w:w="258" w:type="pct"/>
            <w:vAlign w:val="bottom"/>
          </w:tcPr>
          <w:p w14:paraId="25CEEE9A" w14:textId="77777777" w:rsidR="001E61A6" w:rsidRPr="008608AA" w:rsidRDefault="001E61A6" w:rsidP="001E61A6">
            <w:pPr>
              <w:rPr>
                <w:sz w:val="16"/>
                <w:szCs w:val="16"/>
              </w:rPr>
            </w:pPr>
            <w:r w:rsidRPr="008608AA">
              <w:rPr>
                <w:sz w:val="16"/>
                <w:szCs w:val="16"/>
              </w:rPr>
              <w:t>na</w:t>
            </w:r>
          </w:p>
        </w:tc>
        <w:tc>
          <w:tcPr>
            <w:tcW w:w="318" w:type="pct"/>
            <w:vAlign w:val="bottom"/>
          </w:tcPr>
          <w:p w14:paraId="0EA45E18" w14:textId="77777777" w:rsidR="001E61A6" w:rsidRPr="008608AA" w:rsidRDefault="001E61A6" w:rsidP="001E61A6">
            <w:pPr>
              <w:rPr>
                <w:sz w:val="16"/>
                <w:szCs w:val="16"/>
              </w:rPr>
            </w:pPr>
            <w:r w:rsidRPr="008608AA">
              <w:rPr>
                <w:sz w:val="16"/>
                <w:szCs w:val="16"/>
              </w:rPr>
              <w:t>na</w:t>
            </w:r>
          </w:p>
        </w:tc>
        <w:tc>
          <w:tcPr>
            <w:tcW w:w="375" w:type="pct"/>
            <w:vAlign w:val="bottom"/>
          </w:tcPr>
          <w:p w14:paraId="52BA7185" w14:textId="77777777" w:rsidR="001E61A6" w:rsidRPr="008608AA" w:rsidRDefault="001E61A6" w:rsidP="001E61A6">
            <w:pPr>
              <w:rPr>
                <w:sz w:val="16"/>
                <w:szCs w:val="16"/>
              </w:rPr>
            </w:pPr>
            <w:r w:rsidRPr="008608AA">
              <w:rPr>
                <w:sz w:val="16"/>
                <w:szCs w:val="16"/>
              </w:rPr>
              <w:t>na</w:t>
            </w:r>
          </w:p>
        </w:tc>
        <w:tc>
          <w:tcPr>
            <w:tcW w:w="438" w:type="pct"/>
            <w:vAlign w:val="bottom"/>
          </w:tcPr>
          <w:p w14:paraId="55A1DB00" w14:textId="77777777" w:rsidR="001E61A6" w:rsidRPr="008608AA" w:rsidRDefault="001E61A6" w:rsidP="001E61A6">
            <w:pPr>
              <w:rPr>
                <w:sz w:val="16"/>
                <w:szCs w:val="16"/>
              </w:rPr>
            </w:pPr>
            <w:r w:rsidRPr="008608AA">
              <w:rPr>
                <w:sz w:val="16"/>
                <w:szCs w:val="16"/>
              </w:rPr>
              <w:t>na</w:t>
            </w:r>
          </w:p>
        </w:tc>
      </w:tr>
      <w:tr w:rsidR="001E61A6" w:rsidRPr="008608AA" w14:paraId="71B45E88" w14:textId="77777777" w:rsidTr="005C080D">
        <w:tc>
          <w:tcPr>
            <w:tcW w:w="429" w:type="pct"/>
            <w:vAlign w:val="bottom"/>
          </w:tcPr>
          <w:p w14:paraId="768FB4C0" w14:textId="77777777" w:rsidR="001E61A6" w:rsidRPr="008608AA" w:rsidRDefault="001E61A6" w:rsidP="001E61A6">
            <w:pPr>
              <w:rPr>
                <w:sz w:val="16"/>
                <w:szCs w:val="16"/>
              </w:rPr>
            </w:pPr>
            <w:r w:rsidRPr="008608AA">
              <w:rPr>
                <w:sz w:val="16"/>
                <w:szCs w:val="16"/>
              </w:rPr>
              <w:t>Jamaica</w:t>
            </w:r>
          </w:p>
        </w:tc>
        <w:tc>
          <w:tcPr>
            <w:tcW w:w="333" w:type="pct"/>
            <w:vAlign w:val="bottom"/>
          </w:tcPr>
          <w:p w14:paraId="02161534" w14:textId="77777777" w:rsidR="001E61A6" w:rsidRPr="008608AA" w:rsidRDefault="001E61A6" w:rsidP="001E61A6">
            <w:pPr>
              <w:rPr>
                <w:sz w:val="16"/>
                <w:szCs w:val="16"/>
              </w:rPr>
            </w:pPr>
            <w:r w:rsidRPr="008608AA">
              <w:rPr>
                <w:sz w:val="16"/>
                <w:szCs w:val="16"/>
              </w:rPr>
              <w:t>0,02</w:t>
            </w:r>
          </w:p>
        </w:tc>
        <w:tc>
          <w:tcPr>
            <w:tcW w:w="424" w:type="pct"/>
            <w:vAlign w:val="bottom"/>
          </w:tcPr>
          <w:p w14:paraId="24380B4A" w14:textId="77777777" w:rsidR="001E61A6" w:rsidRPr="008608AA" w:rsidRDefault="001E61A6" w:rsidP="001E61A6">
            <w:pPr>
              <w:rPr>
                <w:sz w:val="16"/>
                <w:szCs w:val="16"/>
              </w:rPr>
            </w:pPr>
            <w:r w:rsidRPr="008608AA">
              <w:rPr>
                <w:sz w:val="16"/>
                <w:szCs w:val="16"/>
              </w:rPr>
              <w:t>0,01</w:t>
            </w:r>
          </w:p>
        </w:tc>
        <w:tc>
          <w:tcPr>
            <w:tcW w:w="296" w:type="pct"/>
            <w:vAlign w:val="bottom"/>
          </w:tcPr>
          <w:p w14:paraId="1515CD7C" w14:textId="77777777" w:rsidR="001E61A6" w:rsidRPr="008608AA" w:rsidRDefault="001E61A6" w:rsidP="001E61A6">
            <w:pPr>
              <w:rPr>
                <w:sz w:val="16"/>
                <w:szCs w:val="16"/>
              </w:rPr>
            </w:pPr>
            <w:r w:rsidRPr="008608AA">
              <w:rPr>
                <w:sz w:val="16"/>
                <w:szCs w:val="16"/>
              </w:rPr>
              <w:t>0,00</w:t>
            </w:r>
          </w:p>
        </w:tc>
        <w:tc>
          <w:tcPr>
            <w:tcW w:w="229" w:type="pct"/>
            <w:vAlign w:val="bottom"/>
          </w:tcPr>
          <w:p w14:paraId="0078CFFD" w14:textId="77777777" w:rsidR="001E61A6" w:rsidRPr="008608AA" w:rsidRDefault="001E61A6" w:rsidP="001E61A6">
            <w:pPr>
              <w:rPr>
                <w:sz w:val="16"/>
                <w:szCs w:val="16"/>
              </w:rPr>
            </w:pPr>
            <w:r w:rsidRPr="008608AA">
              <w:rPr>
                <w:sz w:val="16"/>
                <w:szCs w:val="16"/>
              </w:rPr>
              <w:t>0,00</w:t>
            </w:r>
          </w:p>
        </w:tc>
        <w:tc>
          <w:tcPr>
            <w:tcW w:w="269" w:type="pct"/>
            <w:vAlign w:val="bottom"/>
          </w:tcPr>
          <w:p w14:paraId="35CFCA65" w14:textId="77777777" w:rsidR="001E61A6" w:rsidRPr="008608AA" w:rsidRDefault="001E61A6" w:rsidP="001E61A6">
            <w:pPr>
              <w:rPr>
                <w:sz w:val="16"/>
                <w:szCs w:val="16"/>
              </w:rPr>
            </w:pPr>
            <w:r w:rsidRPr="008608AA">
              <w:rPr>
                <w:sz w:val="16"/>
                <w:szCs w:val="16"/>
              </w:rPr>
              <w:t>0,00</w:t>
            </w:r>
          </w:p>
        </w:tc>
        <w:tc>
          <w:tcPr>
            <w:tcW w:w="292" w:type="pct"/>
            <w:vAlign w:val="bottom"/>
          </w:tcPr>
          <w:p w14:paraId="7F9441FB" w14:textId="77777777" w:rsidR="001E61A6" w:rsidRPr="008608AA" w:rsidRDefault="001E61A6" w:rsidP="001E61A6">
            <w:pPr>
              <w:rPr>
                <w:sz w:val="16"/>
                <w:szCs w:val="16"/>
              </w:rPr>
            </w:pPr>
            <w:r w:rsidRPr="008608AA">
              <w:rPr>
                <w:sz w:val="16"/>
                <w:szCs w:val="16"/>
              </w:rPr>
              <w:t>0,00</w:t>
            </w:r>
          </w:p>
        </w:tc>
        <w:tc>
          <w:tcPr>
            <w:tcW w:w="289" w:type="pct"/>
            <w:vAlign w:val="bottom"/>
          </w:tcPr>
          <w:p w14:paraId="75B435D0" w14:textId="77777777" w:rsidR="001E61A6" w:rsidRPr="008608AA" w:rsidRDefault="001E61A6" w:rsidP="001E61A6">
            <w:pPr>
              <w:rPr>
                <w:sz w:val="16"/>
                <w:szCs w:val="16"/>
              </w:rPr>
            </w:pPr>
            <w:r w:rsidRPr="008608AA">
              <w:rPr>
                <w:sz w:val="16"/>
                <w:szCs w:val="16"/>
              </w:rPr>
              <w:t>0,00</w:t>
            </w:r>
          </w:p>
        </w:tc>
        <w:tc>
          <w:tcPr>
            <w:tcW w:w="280" w:type="pct"/>
            <w:vAlign w:val="bottom"/>
          </w:tcPr>
          <w:p w14:paraId="1D8161AE" w14:textId="77777777" w:rsidR="001E61A6" w:rsidRPr="008608AA" w:rsidRDefault="001E61A6" w:rsidP="001E61A6">
            <w:pPr>
              <w:rPr>
                <w:sz w:val="16"/>
                <w:szCs w:val="16"/>
              </w:rPr>
            </w:pPr>
            <w:r w:rsidRPr="008608AA">
              <w:rPr>
                <w:sz w:val="16"/>
                <w:szCs w:val="16"/>
              </w:rPr>
              <w:t>0,00</w:t>
            </w:r>
          </w:p>
        </w:tc>
        <w:tc>
          <w:tcPr>
            <w:tcW w:w="250" w:type="pct"/>
            <w:vAlign w:val="bottom"/>
          </w:tcPr>
          <w:p w14:paraId="078D0018" w14:textId="77777777" w:rsidR="001E61A6" w:rsidRPr="008608AA" w:rsidRDefault="001E61A6" w:rsidP="001E61A6">
            <w:pPr>
              <w:rPr>
                <w:sz w:val="16"/>
                <w:szCs w:val="16"/>
              </w:rPr>
            </w:pPr>
            <w:r w:rsidRPr="008608AA">
              <w:rPr>
                <w:sz w:val="16"/>
                <w:szCs w:val="16"/>
              </w:rPr>
              <w:t>0,00</w:t>
            </w:r>
          </w:p>
        </w:tc>
        <w:tc>
          <w:tcPr>
            <w:tcW w:w="278" w:type="pct"/>
            <w:vAlign w:val="bottom"/>
          </w:tcPr>
          <w:p w14:paraId="47494ED1" w14:textId="77777777" w:rsidR="001E61A6" w:rsidRPr="008608AA" w:rsidRDefault="001E61A6" w:rsidP="001E61A6">
            <w:pPr>
              <w:rPr>
                <w:sz w:val="16"/>
                <w:szCs w:val="16"/>
              </w:rPr>
            </w:pPr>
            <w:r w:rsidRPr="008608AA">
              <w:rPr>
                <w:sz w:val="16"/>
                <w:szCs w:val="16"/>
              </w:rPr>
              <w:t>0,01</w:t>
            </w:r>
          </w:p>
        </w:tc>
        <w:tc>
          <w:tcPr>
            <w:tcW w:w="243" w:type="pct"/>
            <w:vAlign w:val="bottom"/>
          </w:tcPr>
          <w:p w14:paraId="6261874F" w14:textId="77777777" w:rsidR="001E61A6" w:rsidRPr="008608AA" w:rsidRDefault="001E61A6" w:rsidP="001E61A6">
            <w:pPr>
              <w:rPr>
                <w:sz w:val="16"/>
                <w:szCs w:val="16"/>
              </w:rPr>
            </w:pPr>
            <w:r w:rsidRPr="008608AA">
              <w:rPr>
                <w:sz w:val="16"/>
                <w:szCs w:val="16"/>
              </w:rPr>
              <w:t>0,00</w:t>
            </w:r>
          </w:p>
        </w:tc>
        <w:tc>
          <w:tcPr>
            <w:tcW w:w="258" w:type="pct"/>
            <w:vAlign w:val="bottom"/>
          </w:tcPr>
          <w:p w14:paraId="5290C44E" w14:textId="77777777" w:rsidR="001E61A6" w:rsidRPr="008608AA" w:rsidRDefault="001E61A6" w:rsidP="001E61A6">
            <w:pPr>
              <w:rPr>
                <w:sz w:val="16"/>
                <w:szCs w:val="16"/>
              </w:rPr>
            </w:pPr>
            <w:r w:rsidRPr="008608AA">
              <w:rPr>
                <w:sz w:val="16"/>
                <w:szCs w:val="16"/>
              </w:rPr>
              <w:t>0,00</w:t>
            </w:r>
          </w:p>
        </w:tc>
        <w:tc>
          <w:tcPr>
            <w:tcW w:w="318" w:type="pct"/>
            <w:vAlign w:val="bottom"/>
          </w:tcPr>
          <w:p w14:paraId="16C7BFAD" w14:textId="77777777" w:rsidR="001E61A6" w:rsidRPr="008608AA" w:rsidRDefault="001E61A6" w:rsidP="001E61A6">
            <w:pPr>
              <w:rPr>
                <w:sz w:val="16"/>
                <w:szCs w:val="16"/>
              </w:rPr>
            </w:pPr>
            <w:r w:rsidRPr="008608AA">
              <w:rPr>
                <w:sz w:val="16"/>
                <w:szCs w:val="16"/>
              </w:rPr>
              <w:t>0,00</w:t>
            </w:r>
          </w:p>
        </w:tc>
        <w:tc>
          <w:tcPr>
            <w:tcW w:w="375" w:type="pct"/>
            <w:vAlign w:val="bottom"/>
          </w:tcPr>
          <w:p w14:paraId="08111370" w14:textId="77777777" w:rsidR="001E61A6" w:rsidRPr="008608AA" w:rsidRDefault="001E61A6" w:rsidP="001E61A6">
            <w:pPr>
              <w:rPr>
                <w:sz w:val="16"/>
                <w:szCs w:val="16"/>
              </w:rPr>
            </w:pPr>
            <w:r w:rsidRPr="008608AA">
              <w:rPr>
                <w:sz w:val="16"/>
                <w:szCs w:val="16"/>
              </w:rPr>
              <w:t>0,00</w:t>
            </w:r>
          </w:p>
        </w:tc>
        <w:tc>
          <w:tcPr>
            <w:tcW w:w="438" w:type="pct"/>
            <w:vAlign w:val="bottom"/>
          </w:tcPr>
          <w:p w14:paraId="12235D06" w14:textId="77777777" w:rsidR="001E61A6" w:rsidRPr="008608AA" w:rsidRDefault="001E61A6" w:rsidP="001E61A6">
            <w:pPr>
              <w:rPr>
                <w:sz w:val="16"/>
                <w:szCs w:val="16"/>
              </w:rPr>
            </w:pPr>
            <w:r w:rsidRPr="008608AA">
              <w:rPr>
                <w:sz w:val="16"/>
                <w:szCs w:val="16"/>
              </w:rPr>
              <w:t>0,00</w:t>
            </w:r>
          </w:p>
        </w:tc>
      </w:tr>
      <w:tr w:rsidR="001E61A6" w:rsidRPr="008608AA" w14:paraId="28BFE018" w14:textId="77777777" w:rsidTr="005C080D">
        <w:tc>
          <w:tcPr>
            <w:tcW w:w="429" w:type="pct"/>
            <w:vAlign w:val="bottom"/>
          </w:tcPr>
          <w:p w14:paraId="2F9B7FD1" w14:textId="77777777" w:rsidR="001E61A6" w:rsidRPr="008608AA" w:rsidRDefault="001E61A6" w:rsidP="001E61A6">
            <w:pPr>
              <w:rPr>
                <w:sz w:val="16"/>
                <w:szCs w:val="16"/>
              </w:rPr>
            </w:pPr>
            <w:r w:rsidRPr="008608AA">
              <w:rPr>
                <w:sz w:val="16"/>
                <w:szCs w:val="16"/>
              </w:rPr>
              <w:t>Mexico</w:t>
            </w:r>
          </w:p>
        </w:tc>
        <w:tc>
          <w:tcPr>
            <w:tcW w:w="333" w:type="pct"/>
            <w:vAlign w:val="bottom"/>
          </w:tcPr>
          <w:p w14:paraId="7B834ADD" w14:textId="77777777" w:rsidR="001E61A6" w:rsidRPr="008608AA" w:rsidRDefault="001E61A6" w:rsidP="001E61A6">
            <w:pPr>
              <w:rPr>
                <w:sz w:val="16"/>
                <w:szCs w:val="16"/>
              </w:rPr>
            </w:pPr>
            <w:r w:rsidRPr="008608AA">
              <w:rPr>
                <w:sz w:val="16"/>
                <w:szCs w:val="16"/>
              </w:rPr>
              <w:t>1,67</w:t>
            </w:r>
          </w:p>
        </w:tc>
        <w:tc>
          <w:tcPr>
            <w:tcW w:w="424" w:type="pct"/>
            <w:vAlign w:val="bottom"/>
          </w:tcPr>
          <w:p w14:paraId="76DC0D99" w14:textId="77777777" w:rsidR="001E61A6" w:rsidRPr="008608AA" w:rsidRDefault="001E61A6" w:rsidP="001E61A6">
            <w:pPr>
              <w:rPr>
                <w:sz w:val="16"/>
                <w:szCs w:val="16"/>
              </w:rPr>
            </w:pPr>
            <w:r w:rsidRPr="008608AA">
              <w:rPr>
                <w:sz w:val="16"/>
                <w:szCs w:val="16"/>
              </w:rPr>
              <w:t>2,02</w:t>
            </w:r>
          </w:p>
        </w:tc>
        <w:tc>
          <w:tcPr>
            <w:tcW w:w="296" w:type="pct"/>
            <w:vAlign w:val="bottom"/>
          </w:tcPr>
          <w:p w14:paraId="73029699" w14:textId="77777777" w:rsidR="001E61A6" w:rsidRPr="008608AA" w:rsidRDefault="001E61A6" w:rsidP="001E61A6">
            <w:pPr>
              <w:rPr>
                <w:sz w:val="16"/>
                <w:szCs w:val="16"/>
              </w:rPr>
            </w:pPr>
            <w:r w:rsidRPr="008608AA">
              <w:rPr>
                <w:sz w:val="16"/>
                <w:szCs w:val="16"/>
              </w:rPr>
              <w:t>0,00</w:t>
            </w:r>
          </w:p>
        </w:tc>
        <w:tc>
          <w:tcPr>
            <w:tcW w:w="229" w:type="pct"/>
            <w:vAlign w:val="bottom"/>
          </w:tcPr>
          <w:p w14:paraId="45585AB3" w14:textId="77777777" w:rsidR="001E61A6" w:rsidRPr="008608AA" w:rsidRDefault="001E61A6" w:rsidP="001E61A6">
            <w:pPr>
              <w:rPr>
                <w:sz w:val="16"/>
                <w:szCs w:val="16"/>
              </w:rPr>
            </w:pPr>
            <w:r w:rsidRPr="008608AA">
              <w:rPr>
                <w:sz w:val="16"/>
                <w:szCs w:val="16"/>
              </w:rPr>
              <w:t>0,02</w:t>
            </w:r>
          </w:p>
        </w:tc>
        <w:tc>
          <w:tcPr>
            <w:tcW w:w="269" w:type="pct"/>
            <w:vAlign w:val="bottom"/>
          </w:tcPr>
          <w:p w14:paraId="699C6D40" w14:textId="77777777" w:rsidR="001E61A6" w:rsidRPr="008608AA" w:rsidRDefault="001E61A6" w:rsidP="001E61A6">
            <w:pPr>
              <w:rPr>
                <w:sz w:val="16"/>
                <w:szCs w:val="16"/>
              </w:rPr>
            </w:pPr>
            <w:r w:rsidRPr="008608AA">
              <w:rPr>
                <w:sz w:val="16"/>
                <w:szCs w:val="16"/>
              </w:rPr>
              <w:t>0,02</w:t>
            </w:r>
          </w:p>
        </w:tc>
        <w:tc>
          <w:tcPr>
            <w:tcW w:w="292" w:type="pct"/>
            <w:vAlign w:val="bottom"/>
          </w:tcPr>
          <w:p w14:paraId="3118237E" w14:textId="77777777" w:rsidR="001E61A6" w:rsidRPr="008608AA" w:rsidRDefault="001E61A6" w:rsidP="001E61A6">
            <w:pPr>
              <w:rPr>
                <w:sz w:val="16"/>
                <w:szCs w:val="16"/>
              </w:rPr>
            </w:pPr>
            <w:r w:rsidRPr="008608AA">
              <w:rPr>
                <w:sz w:val="16"/>
                <w:szCs w:val="16"/>
              </w:rPr>
              <w:t>3,78</w:t>
            </w:r>
          </w:p>
        </w:tc>
        <w:tc>
          <w:tcPr>
            <w:tcW w:w="289" w:type="pct"/>
            <w:vAlign w:val="bottom"/>
          </w:tcPr>
          <w:p w14:paraId="06165A31" w14:textId="77777777" w:rsidR="001E61A6" w:rsidRPr="008608AA" w:rsidRDefault="001E61A6" w:rsidP="001E61A6">
            <w:pPr>
              <w:rPr>
                <w:sz w:val="16"/>
                <w:szCs w:val="16"/>
              </w:rPr>
            </w:pPr>
            <w:r w:rsidRPr="008608AA">
              <w:rPr>
                <w:sz w:val="16"/>
                <w:szCs w:val="16"/>
              </w:rPr>
              <w:t>0,45</w:t>
            </w:r>
          </w:p>
        </w:tc>
        <w:tc>
          <w:tcPr>
            <w:tcW w:w="280" w:type="pct"/>
            <w:vAlign w:val="bottom"/>
          </w:tcPr>
          <w:p w14:paraId="228EACDF" w14:textId="77777777" w:rsidR="001E61A6" w:rsidRPr="008608AA" w:rsidRDefault="001E61A6" w:rsidP="001E61A6">
            <w:pPr>
              <w:rPr>
                <w:sz w:val="16"/>
                <w:szCs w:val="16"/>
              </w:rPr>
            </w:pPr>
            <w:r w:rsidRPr="008608AA">
              <w:rPr>
                <w:sz w:val="16"/>
                <w:szCs w:val="16"/>
              </w:rPr>
              <w:t>0,51</w:t>
            </w:r>
          </w:p>
        </w:tc>
        <w:tc>
          <w:tcPr>
            <w:tcW w:w="250" w:type="pct"/>
            <w:vAlign w:val="bottom"/>
          </w:tcPr>
          <w:p w14:paraId="568A9AC9" w14:textId="77777777" w:rsidR="001E61A6" w:rsidRPr="008608AA" w:rsidRDefault="001E61A6" w:rsidP="001E61A6">
            <w:pPr>
              <w:rPr>
                <w:sz w:val="16"/>
                <w:szCs w:val="16"/>
              </w:rPr>
            </w:pPr>
            <w:r w:rsidRPr="008608AA">
              <w:rPr>
                <w:sz w:val="16"/>
                <w:szCs w:val="16"/>
              </w:rPr>
              <w:t>13,20</w:t>
            </w:r>
          </w:p>
        </w:tc>
        <w:tc>
          <w:tcPr>
            <w:tcW w:w="278" w:type="pct"/>
            <w:vAlign w:val="bottom"/>
          </w:tcPr>
          <w:p w14:paraId="1E60FE91" w14:textId="77777777" w:rsidR="001E61A6" w:rsidRPr="008608AA" w:rsidRDefault="001E61A6" w:rsidP="001E61A6">
            <w:pPr>
              <w:rPr>
                <w:sz w:val="16"/>
                <w:szCs w:val="16"/>
              </w:rPr>
            </w:pPr>
            <w:r w:rsidRPr="008608AA">
              <w:rPr>
                <w:sz w:val="16"/>
                <w:szCs w:val="16"/>
              </w:rPr>
              <w:t>0,01</w:t>
            </w:r>
          </w:p>
        </w:tc>
        <w:tc>
          <w:tcPr>
            <w:tcW w:w="243" w:type="pct"/>
            <w:vAlign w:val="bottom"/>
          </w:tcPr>
          <w:p w14:paraId="0A12C996" w14:textId="77777777" w:rsidR="001E61A6" w:rsidRPr="008608AA" w:rsidRDefault="001E61A6" w:rsidP="001E61A6">
            <w:pPr>
              <w:rPr>
                <w:sz w:val="16"/>
                <w:szCs w:val="16"/>
              </w:rPr>
            </w:pPr>
            <w:r w:rsidRPr="008608AA">
              <w:rPr>
                <w:sz w:val="16"/>
                <w:szCs w:val="16"/>
              </w:rPr>
              <w:t>0,65</w:t>
            </w:r>
          </w:p>
        </w:tc>
        <w:tc>
          <w:tcPr>
            <w:tcW w:w="258" w:type="pct"/>
            <w:vAlign w:val="bottom"/>
          </w:tcPr>
          <w:p w14:paraId="0DCC28DB" w14:textId="77777777" w:rsidR="001E61A6" w:rsidRPr="008608AA" w:rsidRDefault="001E61A6" w:rsidP="001E61A6">
            <w:pPr>
              <w:rPr>
                <w:sz w:val="16"/>
                <w:szCs w:val="16"/>
              </w:rPr>
            </w:pPr>
            <w:r w:rsidRPr="008608AA">
              <w:rPr>
                <w:sz w:val="16"/>
                <w:szCs w:val="16"/>
              </w:rPr>
              <w:t>0,01</w:t>
            </w:r>
          </w:p>
        </w:tc>
        <w:tc>
          <w:tcPr>
            <w:tcW w:w="318" w:type="pct"/>
            <w:vAlign w:val="bottom"/>
          </w:tcPr>
          <w:p w14:paraId="6C481739" w14:textId="77777777" w:rsidR="001E61A6" w:rsidRPr="008608AA" w:rsidRDefault="001E61A6" w:rsidP="001E61A6">
            <w:pPr>
              <w:rPr>
                <w:sz w:val="16"/>
                <w:szCs w:val="16"/>
              </w:rPr>
            </w:pPr>
            <w:r w:rsidRPr="008608AA">
              <w:rPr>
                <w:sz w:val="16"/>
                <w:szCs w:val="16"/>
              </w:rPr>
              <w:t>0,10</w:t>
            </w:r>
          </w:p>
        </w:tc>
        <w:tc>
          <w:tcPr>
            <w:tcW w:w="375" w:type="pct"/>
            <w:vAlign w:val="bottom"/>
          </w:tcPr>
          <w:p w14:paraId="24AFD25B" w14:textId="77777777" w:rsidR="001E61A6" w:rsidRPr="008608AA" w:rsidRDefault="001E61A6" w:rsidP="001E61A6">
            <w:pPr>
              <w:rPr>
                <w:sz w:val="16"/>
                <w:szCs w:val="16"/>
              </w:rPr>
            </w:pPr>
            <w:r w:rsidRPr="008608AA">
              <w:rPr>
                <w:sz w:val="16"/>
                <w:szCs w:val="16"/>
              </w:rPr>
              <w:t>0,07</w:t>
            </w:r>
          </w:p>
        </w:tc>
        <w:tc>
          <w:tcPr>
            <w:tcW w:w="438" w:type="pct"/>
            <w:vAlign w:val="bottom"/>
          </w:tcPr>
          <w:p w14:paraId="0825AF39" w14:textId="77777777" w:rsidR="001E61A6" w:rsidRPr="008608AA" w:rsidRDefault="001E61A6" w:rsidP="001E61A6">
            <w:pPr>
              <w:rPr>
                <w:sz w:val="16"/>
                <w:szCs w:val="16"/>
              </w:rPr>
            </w:pPr>
            <w:r w:rsidRPr="008608AA">
              <w:rPr>
                <w:sz w:val="16"/>
                <w:szCs w:val="16"/>
              </w:rPr>
              <w:t>0,03</w:t>
            </w:r>
          </w:p>
        </w:tc>
      </w:tr>
      <w:tr w:rsidR="001E61A6" w:rsidRPr="008608AA" w14:paraId="0699D858" w14:textId="77777777" w:rsidTr="005C080D">
        <w:tc>
          <w:tcPr>
            <w:tcW w:w="429" w:type="pct"/>
            <w:vAlign w:val="bottom"/>
          </w:tcPr>
          <w:p w14:paraId="6404D002" w14:textId="77777777" w:rsidR="001E61A6" w:rsidRPr="008608AA" w:rsidRDefault="001E61A6" w:rsidP="001E61A6">
            <w:pPr>
              <w:rPr>
                <w:sz w:val="16"/>
                <w:szCs w:val="16"/>
              </w:rPr>
            </w:pPr>
            <w:r w:rsidRPr="008608AA">
              <w:rPr>
                <w:sz w:val="16"/>
                <w:szCs w:val="16"/>
              </w:rPr>
              <w:t>Nicaragua</w:t>
            </w:r>
          </w:p>
        </w:tc>
        <w:tc>
          <w:tcPr>
            <w:tcW w:w="333" w:type="pct"/>
            <w:vAlign w:val="bottom"/>
          </w:tcPr>
          <w:p w14:paraId="27ACCE05" w14:textId="77777777" w:rsidR="001E61A6" w:rsidRPr="008608AA" w:rsidRDefault="001E61A6" w:rsidP="001E61A6">
            <w:pPr>
              <w:rPr>
                <w:sz w:val="16"/>
                <w:szCs w:val="16"/>
              </w:rPr>
            </w:pPr>
            <w:r w:rsidRPr="008608AA">
              <w:rPr>
                <w:sz w:val="16"/>
                <w:szCs w:val="16"/>
              </w:rPr>
              <w:t>0,12</w:t>
            </w:r>
          </w:p>
        </w:tc>
        <w:tc>
          <w:tcPr>
            <w:tcW w:w="424" w:type="pct"/>
            <w:vAlign w:val="bottom"/>
          </w:tcPr>
          <w:p w14:paraId="2B6861DF" w14:textId="77777777" w:rsidR="001E61A6" w:rsidRPr="008608AA" w:rsidRDefault="001E61A6" w:rsidP="001E61A6">
            <w:pPr>
              <w:rPr>
                <w:sz w:val="16"/>
                <w:szCs w:val="16"/>
              </w:rPr>
            </w:pPr>
            <w:r w:rsidRPr="008608AA">
              <w:rPr>
                <w:sz w:val="16"/>
                <w:szCs w:val="16"/>
              </w:rPr>
              <w:t>0,01</w:t>
            </w:r>
          </w:p>
        </w:tc>
        <w:tc>
          <w:tcPr>
            <w:tcW w:w="296" w:type="pct"/>
            <w:vAlign w:val="bottom"/>
          </w:tcPr>
          <w:p w14:paraId="5E7F697F" w14:textId="77777777" w:rsidR="001E61A6" w:rsidRPr="008608AA" w:rsidRDefault="001E61A6" w:rsidP="001E61A6">
            <w:pPr>
              <w:rPr>
                <w:sz w:val="16"/>
                <w:szCs w:val="16"/>
              </w:rPr>
            </w:pPr>
            <w:r w:rsidRPr="008608AA">
              <w:rPr>
                <w:sz w:val="16"/>
                <w:szCs w:val="16"/>
              </w:rPr>
              <w:t>0,00</w:t>
            </w:r>
          </w:p>
        </w:tc>
        <w:tc>
          <w:tcPr>
            <w:tcW w:w="229" w:type="pct"/>
            <w:vAlign w:val="bottom"/>
          </w:tcPr>
          <w:p w14:paraId="58FF23E6" w14:textId="77777777" w:rsidR="001E61A6" w:rsidRPr="008608AA" w:rsidRDefault="001E61A6" w:rsidP="001E61A6">
            <w:pPr>
              <w:rPr>
                <w:sz w:val="16"/>
                <w:szCs w:val="16"/>
              </w:rPr>
            </w:pPr>
            <w:r w:rsidRPr="008608AA">
              <w:rPr>
                <w:sz w:val="16"/>
                <w:szCs w:val="16"/>
              </w:rPr>
              <w:t>0,15</w:t>
            </w:r>
          </w:p>
        </w:tc>
        <w:tc>
          <w:tcPr>
            <w:tcW w:w="269" w:type="pct"/>
            <w:vAlign w:val="bottom"/>
          </w:tcPr>
          <w:p w14:paraId="4F110492" w14:textId="77777777" w:rsidR="001E61A6" w:rsidRPr="008608AA" w:rsidRDefault="001E61A6" w:rsidP="001E61A6">
            <w:pPr>
              <w:rPr>
                <w:sz w:val="16"/>
                <w:szCs w:val="16"/>
              </w:rPr>
            </w:pPr>
            <w:r w:rsidRPr="008608AA">
              <w:rPr>
                <w:sz w:val="16"/>
                <w:szCs w:val="16"/>
              </w:rPr>
              <w:t>0,00</w:t>
            </w:r>
          </w:p>
        </w:tc>
        <w:tc>
          <w:tcPr>
            <w:tcW w:w="292" w:type="pct"/>
            <w:vAlign w:val="bottom"/>
          </w:tcPr>
          <w:p w14:paraId="5AE942F5" w14:textId="77777777" w:rsidR="001E61A6" w:rsidRPr="008608AA" w:rsidRDefault="001E61A6" w:rsidP="001E61A6">
            <w:pPr>
              <w:rPr>
                <w:sz w:val="16"/>
                <w:szCs w:val="16"/>
              </w:rPr>
            </w:pPr>
            <w:r w:rsidRPr="008608AA">
              <w:rPr>
                <w:sz w:val="16"/>
                <w:szCs w:val="16"/>
              </w:rPr>
              <w:t>0,84</w:t>
            </w:r>
          </w:p>
        </w:tc>
        <w:tc>
          <w:tcPr>
            <w:tcW w:w="289" w:type="pct"/>
            <w:vAlign w:val="bottom"/>
          </w:tcPr>
          <w:p w14:paraId="41BA9CC0" w14:textId="77777777" w:rsidR="001E61A6" w:rsidRPr="008608AA" w:rsidRDefault="001E61A6" w:rsidP="001E61A6">
            <w:pPr>
              <w:rPr>
                <w:sz w:val="16"/>
                <w:szCs w:val="16"/>
              </w:rPr>
            </w:pPr>
            <w:r w:rsidRPr="008608AA">
              <w:rPr>
                <w:sz w:val="16"/>
                <w:szCs w:val="16"/>
              </w:rPr>
              <w:t>1,15</w:t>
            </w:r>
          </w:p>
        </w:tc>
        <w:tc>
          <w:tcPr>
            <w:tcW w:w="280" w:type="pct"/>
            <w:vAlign w:val="bottom"/>
          </w:tcPr>
          <w:p w14:paraId="2F1C533C" w14:textId="77777777" w:rsidR="001E61A6" w:rsidRPr="008608AA" w:rsidRDefault="001E61A6" w:rsidP="001E61A6">
            <w:pPr>
              <w:rPr>
                <w:sz w:val="16"/>
                <w:szCs w:val="16"/>
              </w:rPr>
            </w:pPr>
            <w:r w:rsidRPr="008608AA">
              <w:rPr>
                <w:sz w:val="16"/>
                <w:szCs w:val="16"/>
              </w:rPr>
              <w:t>0,00</w:t>
            </w:r>
          </w:p>
        </w:tc>
        <w:tc>
          <w:tcPr>
            <w:tcW w:w="250" w:type="pct"/>
            <w:vAlign w:val="bottom"/>
          </w:tcPr>
          <w:p w14:paraId="6CB1E455" w14:textId="77777777" w:rsidR="001E61A6" w:rsidRPr="008608AA" w:rsidRDefault="001E61A6" w:rsidP="001E61A6">
            <w:pPr>
              <w:rPr>
                <w:sz w:val="16"/>
                <w:szCs w:val="16"/>
              </w:rPr>
            </w:pPr>
            <w:r w:rsidRPr="008608AA">
              <w:rPr>
                <w:sz w:val="16"/>
                <w:szCs w:val="16"/>
              </w:rPr>
              <w:t>0,00</w:t>
            </w:r>
          </w:p>
        </w:tc>
        <w:tc>
          <w:tcPr>
            <w:tcW w:w="278" w:type="pct"/>
            <w:vAlign w:val="bottom"/>
          </w:tcPr>
          <w:p w14:paraId="7F919247" w14:textId="77777777" w:rsidR="001E61A6" w:rsidRPr="008608AA" w:rsidRDefault="001E61A6" w:rsidP="001E61A6">
            <w:pPr>
              <w:rPr>
                <w:sz w:val="16"/>
                <w:szCs w:val="16"/>
              </w:rPr>
            </w:pPr>
            <w:r w:rsidRPr="008608AA">
              <w:rPr>
                <w:sz w:val="16"/>
                <w:szCs w:val="16"/>
              </w:rPr>
              <w:t>0,16</w:t>
            </w:r>
          </w:p>
        </w:tc>
        <w:tc>
          <w:tcPr>
            <w:tcW w:w="243" w:type="pct"/>
            <w:vAlign w:val="bottom"/>
          </w:tcPr>
          <w:p w14:paraId="0EA5A24F" w14:textId="77777777" w:rsidR="001E61A6" w:rsidRPr="008608AA" w:rsidRDefault="001E61A6" w:rsidP="001E61A6">
            <w:pPr>
              <w:rPr>
                <w:sz w:val="16"/>
                <w:szCs w:val="16"/>
              </w:rPr>
            </w:pPr>
            <w:r w:rsidRPr="008608AA">
              <w:rPr>
                <w:sz w:val="16"/>
                <w:szCs w:val="16"/>
              </w:rPr>
              <w:t>0,00</w:t>
            </w:r>
          </w:p>
        </w:tc>
        <w:tc>
          <w:tcPr>
            <w:tcW w:w="258" w:type="pct"/>
            <w:vAlign w:val="bottom"/>
          </w:tcPr>
          <w:p w14:paraId="03507590" w14:textId="77777777" w:rsidR="001E61A6" w:rsidRPr="008608AA" w:rsidRDefault="001E61A6" w:rsidP="001E61A6">
            <w:pPr>
              <w:rPr>
                <w:sz w:val="16"/>
                <w:szCs w:val="16"/>
              </w:rPr>
            </w:pPr>
            <w:r w:rsidRPr="008608AA">
              <w:rPr>
                <w:sz w:val="16"/>
                <w:szCs w:val="16"/>
              </w:rPr>
              <w:t>0,00</w:t>
            </w:r>
          </w:p>
        </w:tc>
        <w:tc>
          <w:tcPr>
            <w:tcW w:w="318" w:type="pct"/>
            <w:vAlign w:val="bottom"/>
          </w:tcPr>
          <w:p w14:paraId="40BAC604" w14:textId="77777777" w:rsidR="001E61A6" w:rsidRPr="008608AA" w:rsidRDefault="001E61A6" w:rsidP="001E61A6">
            <w:pPr>
              <w:rPr>
                <w:sz w:val="16"/>
                <w:szCs w:val="16"/>
              </w:rPr>
            </w:pPr>
            <w:r w:rsidRPr="008608AA">
              <w:rPr>
                <w:sz w:val="16"/>
                <w:szCs w:val="16"/>
              </w:rPr>
              <w:t>0,00</w:t>
            </w:r>
          </w:p>
        </w:tc>
        <w:tc>
          <w:tcPr>
            <w:tcW w:w="375" w:type="pct"/>
            <w:vAlign w:val="bottom"/>
          </w:tcPr>
          <w:p w14:paraId="584B63D7" w14:textId="77777777" w:rsidR="001E61A6" w:rsidRPr="008608AA" w:rsidRDefault="001E61A6" w:rsidP="001E61A6">
            <w:pPr>
              <w:rPr>
                <w:sz w:val="16"/>
                <w:szCs w:val="16"/>
              </w:rPr>
            </w:pPr>
            <w:r w:rsidRPr="008608AA">
              <w:rPr>
                <w:sz w:val="16"/>
                <w:szCs w:val="16"/>
              </w:rPr>
              <w:t>0,00</w:t>
            </w:r>
          </w:p>
        </w:tc>
        <w:tc>
          <w:tcPr>
            <w:tcW w:w="438" w:type="pct"/>
            <w:vAlign w:val="bottom"/>
          </w:tcPr>
          <w:p w14:paraId="5F421E86" w14:textId="77777777" w:rsidR="001E61A6" w:rsidRPr="008608AA" w:rsidRDefault="001E61A6" w:rsidP="001E61A6">
            <w:pPr>
              <w:rPr>
                <w:sz w:val="16"/>
                <w:szCs w:val="16"/>
              </w:rPr>
            </w:pPr>
            <w:r w:rsidRPr="008608AA">
              <w:rPr>
                <w:sz w:val="16"/>
                <w:szCs w:val="16"/>
              </w:rPr>
              <w:t>0,02</w:t>
            </w:r>
          </w:p>
        </w:tc>
      </w:tr>
      <w:tr w:rsidR="001E61A6" w:rsidRPr="008608AA" w14:paraId="33835F70" w14:textId="77777777" w:rsidTr="005C080D">
        <w:tc>
          <w:tcPr>
            <w:tcW w:w="429" w:type="pct"/>
            <w:vAlign w:val="bottom"/>
          </w:tcPr>
          <w:p w14:paraId="570D5D64" w14:textId="77777777" w:rsidR="001E61A6" w:rsidRPr="008608AA" w:rsidRDefault="001E61A6" w:rsidP="001E61A6">
            <w:pPr>
              <w:rPr>
                <w:sz w:val="16"/>
                <w:szCs w:val="16"/>
              </w:rPr>
            </w:pPr>
            <w:r w:rsidRPr="008608AA">
              <w:rPr>
                <w:sz w:val="16"/>
                <w:szCs w:val="16"/>
              </w:rPr>
              <w:t>Panama</w:t>
            </w:r>
          </w:p>
        </w:tc>
        <w:tc>
          <w:tcPr>
            <w:tcW w:w="333" w:type="pct"/>
            <w:vAlign w:val="bottom"/>
          </w:tcPr>
          <w:p w14:paraId="36C4B2B9" w14:textId="77777777" w:rsidR="001E61A6" w:rsidRPr="008608AA" w:rsidRDefault="001E61A6" w:rsidP="001E61A6">
            <w:pPr>
              <w:rPr>
                <w:sz w:val="16"/>
                <w:szCs w:val="16"/>
              </w:rPr>
            </w:pPr>
            <w:r w:rsidRPr="008608AA">
              <w:rPr>
                <w:sz w:val="16"/>
                <w:szCs w:val="16"/>
              </w:rPr>
              <w:t>0,02</w:t>
            </w:r>
          </w:p>
        </w:tc>
        <w:tc>
          <w:tcPr>
            <w:tcW w:w="424" w:type="pct"/>
            <w:vAlign w:val="bottom"/>
          </w:tcPr>
          <w:p w14:paraId="3309448A" w14:textId="77777777" w:rsidR="001E61A6" w:rsidRPr="008608AA" w:rsidRDefault="001E61A6" w:rsidP="001E61A6">
            <w:pPr>
              <w:rPr>
                <w:sz w:val="16"/>
                <w:szCs w:val="16"/>
              </w:rPr>
            </w:pPr>
            <w:r w:rsidRPr="008608AA">
              <w:rPr>
                <w:sz w:val="16"/>
                <w:szCs w:val="16"/>
              </w:rPr>
              <w:t>0,00</w:t>
            </w:r>
          </w:p>
        </w:tc>
        <w:tc>
          <w:tcPr>
            <w:tcW w:w="296" w:type="pct"/>
            <w:vAlign w:val="bottom"/>
          </w:tcPr>
          <w:p w14:paraId="05973A1A" w14:textId="77777777" w:rsidR="001E61A6" w:rsidRPr="008608AA" w:rsidRDefault="001E61A6" w:rsidP="001E61A6">
            <w:pPr>
              <w:rPr>
                <w:sz w:val="16"/>
                <w:szCs w:val="16"/>
              </w:rPr>
            </w:pPr>
            <w:r w:rsidRPr="008608AA">
              <w:rPr>
                <w:sz w:val="16"/>
                <w:szCs w:val="16"/>
              </w:rPr>
              <w:t>0,00</w:t>
            </w:r>
          </w:p>
        </w:tc>
        <w:tc>
          <w:tcPr>
            <w:tcW w:w="229" w:type="pct"/>
            <w:vAlign w:val="bottom"/>
          </w:tcPr>
          <w:p w14:paraId="159CB45D" w14:textId="77777777" w:rsidR="001E61A6" w:rsidRPr="008608AA" w:rsidRDefault="001E61A6" w:rsidP="001E61A6">
            <w:pPr>
              <w:rPr>
                <w:sz w:val="16"/>
                <w:szCs w:val="16"/>
              </w:rPr>
            </w:pPr>
            <w:r w:rsidRPr="008608AA">
              <w:rPr>
                <w:sz w:val="16"/>
                <w:szCs w:val="16"/>
              </w:rPr>
              <w:t>0,00</w:t>
            </w:r>
          </w:p>
        </w:tc>
        <w:tc>
          <w:tcPr>
            <w:tcW w:w="269" w:type="pct"/>
            <w:vAlign w:val="bottom"/>
          </w:tcPr>
          <w:p w14:paraId="37C0211D" w14:textId="77777777" w:rsidR="001E61A6" w:rsidRPr="008608AA" w:rsidRDefault="001E61A6" w:rsidP="001E61A6">
            <w:pPr>
              <w:rPr>
                <w:sz w:val="16"/>
                <w:szCs w:val="16"/>
              </w:rPr>
            </w:pPr>
            <w:r w:rsidRPr="008608AA">
              <w:rPr>
                <w:sz w:val="16"/>
                <w:szCs w:val="16"/>
              </w:rPr>
              <w:t>0,00</w:t>
            </w:r>
          </w:p>
        </w:tc>
        <w:tc>
          <w:tcPr>
            <w:tcW w:w="292" w:type="pct"/>
            <w:vAlign w:val="bottom"/>
          </w:tcPr>
          <w:p w14:paraId="60C31A65" w14:textId="77777777" w:rsidR="001E61A6" w:rsidRPr="008608AA" w:rsidRDefault="001E61A6" w:rsidP="001E61A6">
            <w:pPr>
              <w:rPr>
                <w:sz w:val="16"/>
                <w:szCs w:val="16"/>
              </w:rPr>
            </w:pPr>
            <w:r w:rsidRPr="008608AA">
              <w:rPr>
                <w:sz w:val="16"/>
                <w:szCs w:val="16"/>
              </w:rPr>
              <w:t>0,03</w:t>
            </w:r>
          </w:p>
        </w:tc>
        <w:tc>
          <w:tcPr>
            <w:tcW w:w="289" w:type="pct"/>
            <w:vAlign w:val="bottom"/>
          </w:tcPr>
          <w:p w14:paraId="37D86BC2" w14:textId="77777777" w:rsidR="001E61A6" w:rsidRPr="008608AA" w:rsidRDefault="001E61A6" w:rsidP="001E61A6">
            <w:pPr>
              <w:rPr>
                <w:sz w:val="16"/>
                <w:szCs w:val="16"/>
              </w:rPr>
            </w:pPr>
            <w:r w:rsidRPr="008608AA">
              <w:rPr>
                <w:sz w:val="16"/>
                <w:szCs w:val="16"/>
              </w:rPr>
              <w:t>0,06</w:t>
            </w:r>
          </w:p>
        </w:tc>
        <w:tc>
          <w:tcPr>
            <w:tcW w:w="280" w:type="pct"/>
            <w:vAlign w:val="bottom"/>
          </w:tcPr>
          <w:p w14:paraId="04AACDDE" w14:textId="77777777" w:rsidR="001E61A6" w:rsidRPr="008608AA" w:rsidRDefault="001E61A6" w:rsidP="001E61A6">
            <w:pPr>
              <w:rPr>
                <w:sz w:val="16"/>
                <w:szCs w:val="16"/>
              </w:rPr>
            </w:pPr>
            <w:r w:rsidRPr="008608AA">
              <w:rPr>
                <w:sz w:val="16"/>
                <w:szCs w:val="16"/>
              </w:rPr>
              <w:t>0,00</w:t>
            </w:r>
          </w:p>
        </w:tc>
        <w:tc>
          <w:tcPr>
            <w:tcW w:w="250" w:type="pct"/>
            <w:vAlign w:val="bottom"/>
          </w:tcPr>
          <w:p w14:paraId="27A86FB4" w14:textId="77777777" w:rsidR="001E61A6" w:rsidRPr="008608AA" w:rsidRDefault="001E61A6" w:rsidP="001E61A6">
            <w:pPr>
              <w:rPr>
                <w:sz w:val="16"/>
                <w:szCs w:val="16"/>
              </w:rPr>
            </w:pPr>
            <w:r w:rsidRPr="008608AA">
              <w:rPr>
                <w:sz w:val="16"/>
                <w:szCs w:val="16"/>
              </w:rPr>
              <w:t>0,00</w:t>
            </w:r>
          </w:p>
        </w:tc>
        <w:tc>
          <w:tcPr>
            <w:tcW w:w="278" w:type="pct"/>
            <w:vAlign w:val="bottom"/>
          </w:tcPr>
          <w:p w14:paraId="03D20CC2" w14:textId="77777777" w:rsidR="001E61A6" w:rsidRPr="008608AA" w:rsidRDefault="001E61A6" w:rsidP="001E61A6">
            <w:pPr>
              <w:rPr>
                <w:sz w:val="16"/>
                <w:szCs w:val="16"/>
              </w:rPr>
            </w:pPr>
            <w:r w:rsidRPr="008608AA">
              <w:rPr>
                <w:sz w:val="16"/>
                <w:szCs w:val="16"/>
              </w:rPr>
              <w:t>0,02</w:t>
            </w:r>
          </w:p>
        </w:tc>
        <w:tc>
          <w:tcPr>
            <w:tcW w:w="243" w:type="pct"/>
            <w:vAlign w:val="bottom"/>
          </w:tcPr>
          <w:p w14:paraId="2C402314" w14:textId="77777777" w:rsidR="001E61A6" w:rsidRPr="008608AA" w:rsidRDefault="001E61A6" w:rsidP="001E61A6">
            <w:pPr>
              <w:rPr>
                <w:sz w:val="16"/>
                <w:szCs w:val="16"/>
              </w:rPr>
            </w:pPr>
            <w:r w:rsidRPr="008608AA">
              <w:rPr>
                <w:sz w:val="16"/>
                <w:szCs w:val="16"/>
              </w:rPr>
              <w:t>0,01</w:t>
            </w:r>
          </w:p>
        </w:tc>
        <w:tc>
          <w:tcPr>
            <w:tcW w:w="258" w:type="pct"/>
            <w:vAlign w:val="bottom"/>
          </w:tcPr>
          <w:p w14:paraId="338E7D60" w14:textId="77777777" w:rsidR="001E61A6" w:rsidRPr="008608AA" w:rsidRDefault="001E61A6" w:rsidP="001E61A6">
            <w:pPr>
              <w:rPr>
                <w:sz w:val="16"/>
                <w:szCs w:val="16"/>
              </w:rPr>
            </w:pPr>
            <w:r w:rsidRPr="008608AA">
              <w:rPr>
                <w:sz w:val="16"/>
                <w:szCs w:val="16"/>
              </w:rPr>
              <w:t>0,00</w:t>
            </w:r>
          </w:p>
        </w:tc>
        <w:tc>
          <w:tcPr>
            <w:tcW w:w="318" w:type="pct"/>
            <w:vAlign w:val="bottom"/>
          </w:tcPr>
          <w:p w14:paraId="7C6C8DCF" w14:textId="77777777" w:rsidR="001E61A6" w:rsidRPr="008608AA" w:rsidRDefault="001E61A6" w:rsidP="001E61A6">
            <w:pPr>
              <w:rPr>
                <w:sz w:val="16"/>
                <w:szCs w:val="16"/>
              </w:rPr>
            </w:pPr>
            <w:r w:rsidRPr="008608AA">
              <w:rPr>
                <w:sz w:val="16"/>
                <w:szCs w:val="16"/>
              </w:rPr>
              <w:t>0,00</w:t>
            </w:r>
          </w:p>
        </w:tc>
        <w:tc>
          <w:tcPr>
            <w:tcW w:w="375" w:type="pct"/>
            <w:vAlign w:val="bottom"/>
          </w:tcPr>
          <w:p w14:paraId="6B893868" w14:textId="77777777" w:rsidR="001E61A6" w:rsidRPr="008608AA" w:rsidRDefault="001E61A6" w:rsidP="001E61A6">
            <w:pPr>
              <w:rPr>
                <w:sz w:val="16"/>
                <w:szCs w:val="16"/>
              </w:rPr>
            </w:pPr>
            <w:r w:rsidRPr="008608AA">
              <w:rPr>
                <w:sz w:val="16"/>
                <w:szCs w:val="16"/>
              </w:rPr>
              <w:t>0,14</w:t>
            </w:r>
          </w:p>
        </w:tc>
        <w:tc>
          <w:tcPr>
            <w:tcW w:w="438" w:type="pct"/>
            <w:vAlign w:val="bottom"/>
          </w:tcPr>
          <w:p w14:paraId="0A45D184" w14:textId="77777777" w:rsidR="001E61A6" w:rsidRPr="008608AA" w:rsidRDefault="001E61A6" w:rsidP="001E61A6">
            <w:pPr>
              <w:rPr>
                <w:sz w:val="16"/>
                <w:szCs w:val="16"/>
              </w:rPr>
            </w:pPr>
            <w:r w:rsidRPr="008608AA">
              <w:rPr>
                <w:sz w:val="16"/>
                <w:szCs w:val="16"/>
              </w:rPr>
              <w:t>0,05</w:t>
            </w:r>
          </w:p>
        </w:tc>
      </w:tr>
      <w:tr w:rsidR="001E61A6" w:rsidRPr="008608AA" w14:paraId="3FB60699" w14:textId="77777777" w:rsidTr="005C080D">
        <w:tc>
          <w:tcPr>
            <w:tcW w:w="429" w:type="pct"/>
            <w:vAlign w:val="bottom"/>
          </w:tcPr>
          <w:p w14:paraId="51F12527" w14:textId="77777777" w:rsidR="001E61A6" w:rsidRPr="008608AA" w:rsidRDefault="001E61A6" w:rsidP="001E61A6">
            <w:pPr>
              <w:rPr>
                <w:sz w:val="16"/>
                <w:szCs w:val="16"/>
              </w:rPr>
            </w:pPr>
            <w:r w:rsidRPr="008608AA">
              <w:rPr>
                <w:sz w:val="16"/>
                <w:szCs w:val="16"/>
              </w:rPr>
              <w:t>Paraguay</w:t>
            </w:r>
          </w:p>
        </w:tc>
        <w:tc>
          <w:tcPr>
            <w:tcW w:w="333" w:type="pct"/>
            <w:vAlign w:val="bottom"/>
          </w:tcPr>
          <w:p w14:paraId="2B2B1E5D" w14:textId="77777777" w:rsidR="001E61A6" w:rsidRPr="008608AA" w:rsidRDefault="001E61A6" w:rsidP="001E61A6">
            <w:pPr>
              <w:rPr>
                <w:sz w:val="16"/>
                <w:szCs w:val="16"/>
              </w:rPr>
            </w:pPr>
            <w:r w:rsidRPr="008608AA">
              <w:rPr>
                <w:sz w:val="16"/>
                <w:szCs w:val="16"/>
              </w:rPr>
              <w:t>0,42</w:t>
            </w:r>
          </w:p>
        </w:tc>
        <w:tc>
          <w:tcPr>
            <w:tcW w:w="424" w:type="pct"/>
            <w:vAlign w:val="bottom"/>
          </w:tcPr>
          <w:p w14:paraId="30389D6B" w14:textId="77777777" w:rsidR="001E61A6" w:rsidRPr="008608AA" w:rsidRDefault="001E61A6" w:rsidP="001E61A6">
            <w:pPr>
              <w:rPr>
                <w:sz w:val="16"/>
                <w:szCs w:val="16"/>
              </w:rPr>
            </w:pPr>
            <w:r w:rsidRPr="008608AA">
              <w:rPr>
                <w:sz w:val="16"/>
                <w:szCs w:val="16"/>
              </w:rPr>
              <w:t>0,05</w:t>
            </w:r>
          </w:p>
        </w:tc>
        <w:tc>
          <w:tcPr>
            <w:tcW w:w="296" w:type="pct"/>
            <w:vAlign w:val="bottom"/>
          </w:tcPr>
          <w:p w14:paraId="06FBDE3A" w14:textId="77777777" w:rsidR="001E61A6" w:rsidRPr="008608AA" w:rsidRDefault="001E61A6" w:rsidP="001E61A6">
            <w:pPr>
              <w:rPr>
                <w:sz w:val="16"/>
                <w:szCs w:val="16"/>
              </w:rPr>
            </w:pPr>
            <w:r w:rsidRPr="008608AA">
              <w:rPr>
                <w:sz w:val="16"/>
                <w:szCs w:val="16"/>
              </w:rPr>
              <w:t>3,48</w:t>
            </w:r>
          </w:p>
        </w:tc>
        <w:tc>
          <w:tcPr>
            <w:tcW w:w="229" w:type="pct"/>
            <w:vAlign w:val="bottom"/>
          </w:tcPr>
          <w:p w14:paraId="07890E12" w14:textId="77777777" w:rsidR="001E61A6" w:rsidRPr="008608AA" w:rsidRDefault="001E61A6" w:rsidP="001E61A6">
            <w:pPr>
              <w:rPr>
                <w:sz w:val="16"/>
                <w:szCs w:val="16"/>
              </w:rPr>
            </w:pPr>
            <w:r w:rsidRPr="008608AA">
              <w:rPr>
                <w:sz w:val="16"/>
                <w:szCs w:val="16"/>
              </w:rPr>
              <w:t>5,49</w:t>
            </w:r>
          </w:p>
        </w:tc>
        <w:tc>
          <w:tcPr>
            <w:tcW w:w="269" w:type="pct"/>
            <w:vAlign w:val="bottom"/>
          </w:tcPr>
          <w:p w14:paraId="2FED8874" w14:textId="77777777" w:rsidR="001E61A6" w:rsidRPr="008608AA" w:rsidRDefault="001E61A6" w:rsidP="001E61A6">
            <w:pPr>
              <w:rPr>
                <w:sz w:val="16"/>
                <w:szCs w:val="16"/>
              </w:rPr>
            </w:pPr>
            <w:r w:rsidRPr="008608AA">
              <w:rPr>
                <w:sz w:val="16"/>
                <w:szCs w:val="16"/>
              </w:rPr>
              <w:t>3,72</w:t>
            </w:r>
          </w:p>
        </w:tc>
        <w:tc>
          <w:tcPr>
            <w:tcW w:w="292" w:type="pct"/>
            <w:vAlign w:val="bottom"/>
          </w:tcPr>
          <w:p w14:paraId="4698A1A8" w14:textId="77777777" w:rsidR="001E61A6" w:rsidRPr="008608AA" w:rsidRDefault="001E61A6" w:rsidP="001E61A6">
            <w:pPr>
              <w:rPr>
                <w:sz w:val="16"/>
                <w:szCs w:val="16"/>
              </w:rPr>
            </w:pPr>
            <w:r w:rsidRPr="008608AA">
              <w:rPr>
                <w:sz w:val="16"/>
                <w:szCs w:val="16"/>
              </w:rPr>
              <w:t>2,57</w:t>
            </w:r>
          </w:p>
        </w:tc>
        <w:tc>
          <w:tcPr>
            <w:tcW w:w="289" w:type="pct"/>
            <w:vAlign w:val="bottom"/>
          </w:tcPr>
          <w:p w14:paraId="687E89DD" w14:textId="77777777" w:rsidR="001E61A6" w:rsidRPr="008608AA" w:rsidRDefault="001E61A6" w:rsidP="001E61A6">
            <w:pPr>
              <w:rPr>
                <w:sz w:val="16"/>
                <w:szCs w:val="16"/>
              </w:rPr>
            </w:pPr>
            <w:r w:rsidRPr="008608AA">
              <w:rPr>
                <w:sz w:val="16"/>
                <w:szCs w:val="16"/>
              </w:rPr>
              <w:t>3,30</w:t>
            </w:r>
          </w:p>
        </w:tc>
        <w:tc>
          <w:tcPr>
            <w:tcW w:w="280" w:type="pct"/>
            <w:vAlign w:val="bottom"/>
          </w:tcPr>
          <w:p w14:paraId="597BC956" w14:textId="77777777" w:rsidR="001E61A6" w:rsidRPr="008608AA" w:rsidRDefault="001E61A6" w:rsidP="001E61A6">
            <w:pPr>
              <w:rPr>
                <w:sz w:val="16"/>
                <w:szCs w:val="16"/>
              </w:rPr>
            </w:pPr>
            <w:r w:rsidRPr="008608AA">
              <w:rPr>
                <w:sz w:val="16"/>
                <w:szCs w:val="16"/>
              </w:rPr>
              <w:t>2,25</w:t>
            </w:r>
          </w:p>
        </w:tc>
        <w:tc>
          <w:tcPr>
            <w:tcW w:w="250" w:type="pct"/>
            <w:vAlign w:val="bottom"/>
          </w:tcPr>
          <w:p w14:paraId="7CE7D137" w14:textId="77777777" w:rsidR="001E61A6" w:rsidRPr="008608AA" w:rsidRDefault="001E61A6" w:rsidP="001E61A6">
            <w:pPr>
              <w:rPr>
                <w:sz w:val="16"/>
                <w:szCs w:val="16"/>
              </w:rPr>
            </w:pPr>
            <w:r w:rsidRPr="008608AA">
              <w:rPr>
                <w:sz w:val="16"/>
                <w:szCs w:val="16"/>
              </w:rPr>
              <w:t>0,00</w:t>
            </w:r>
          </w:p>
        </w:tc>
        <w:tc>
          <w:tcPr>
            <w:tcW w:w="278" w:type="pct"/>
            <w:vAlign w:val="bottom"/>
          </w:tcPr>
          <w:p w14:paraId="6452172D" w14:textId="77777777" w:rsidR="001E61A6" w:rsidRPr="008608AA" w:rsidRDefault="001E61A6" w:rsidP="001E61A6">
            <w:pPr>
              <w:rPr>
                <w:sz w:val="16"/>
                <w:szCs w:val="16"/>
              </w:rPr>
            </w:pPr>
            <w:r w:rsidRPr="008608AA">
              <w:rPr>
                <w:sz w:val="16"/>
                <w:szCs w:val="16"/>
              </w:rPr>
              <w:t>0,00</w:t>
            </w:r>
          </w:p>
        </w:tc>
        <w:tc>
          <w:tcPr>
            <w:tcW w:w="243" w:type="pct"/>
            <w:vAlign w:val="bottom"/>
          </w:tcPr>
          <w:p w14:paraId="3C4FFE47" w14:textId="77777777" w:rsidR="001E61A6" w:rsidRPr="008608AA" w:rsidRDefault="001E61A6" w:rsidP="001E61A6">
            <w:pPr>
              <w:rPr>
                <w:sz w:val="16"/>
                <w:szCs w:val="16"/>
              </w:rPr>
            </w:pPr>
            <w:r w:rsidRPr="008608AA">
              <w:rPr>
                <w:sz w:val="16"/>
                <w:szCs w:val="16"/>
              </w:rPr>
              <w:t>0,00</w:t>
            </w:r>
          </w:p>
        </w:tc>
        <w:tc>
          <w:tcPr>
            <w:tcW w:w="258" w:type="pct"/>
            <w:vAlign w:val="bottom"/>
          </w:tcPr>
          <w:p w14:paraId="63DAB6F8" w14:textId="77777777" w:rsidR="001E61A6" w:rsidRPr="008608AA" w:rsidRDefault="001E61A6" w:rsidP="001E61A6">
            <w:pPr>
              <w:rPr>
                <w:sz w:val="16"/>
                <w:szCs w:val="16"/>
              </w:rPr>
            </w:pPr>
            <w:r w:rsidRPr="008608AA">
              <w:rPr>
                <w:sz w:val="16"/>
                <w:szCs w:val="16"/>
              </w:rPr>
              <w:t>0,00</w:t>
            </w:r>
          </w:p>
        </w:tc>
        <w:tc>
          <w:tcPr>
            <w:tcW w:w="318" w:type="pct"/>
            <w:vAlign w:val="bottom"/>
          </w:tcPr>
          <w:p w14:paraId="58AA2561" w14:textId="77777777" w:rsidR="001E61A6" w:rsidRPr="008608AA" w:rsidRDefault="001E61A6" w:rsidP="001E61A6">
            <w:pPr>
              <w:rPr>
                <w:sz w:val="16"/>
                <w:szCs w:val="16"/>
              </w:rPr>
            </w:pPr>
            <w:r w:rsidRPr="008608AA">
              <w:rPr>
                <w:sz w:val="16"/>
                <w:szCs w:val="16"/>
              </w:rPr>
              <w:t>0,00</w:t>
            </w:r>
          </w:p>
        </w:tc>
        <w:tc>
          <w:tcPr>
            <w:tcW w:w="375" w:type="pct"/>
            <w:vAlign w:val="bottom"/>
          </w:tcPr>
          <w:p w14:paraId="1268D98D" w14:textId="77777777" w:rsidR="001E61A6" w:rsidRPr="008608AA" w:rsidRDefault="001E61A6" w:rsidP="001E61A6">
            <w:pPr>
              <w:rPr>
                <w:sz w:val="16"/>
                <w:szCs w:val="16"/>
              </w:rPr>
            </w:pPr>
            <w:r w:rsidRPr="008608AA">
              <w:rPr>
                <w:sz w:val="16"/>
                <w:szCs w:val="16"/>
              </w:rPr>
              <w:t>0,01</w:t>
            </w:r>
          </w:p>
        </w:tc>
        <w:tc>
          <w:tcPr>
            <w:tcW w:w="438" w:type="pct"/>
            <w:vAlign w:val="bottom"/>
          </w:tcPr>
          <w:p w14:paraId="5B6EAB7F" w14:textId="77777777" w:rsidR="001E61A6" w:rsidRPr="008608AA" w:rsidRDefault="001E61A6" w:rsidP="001E61A6">
            <w:pPr>
              <w:rPr>
                <w:sz w:val="16"/>
                <w:szCs w:val="16"/>
              </w:rPr>
            </w:pPr>
            <w:r w:rsidRPr="008608AA">
              <w:rPr>
                <w:sz w:val="16"/>
                <w:szCs w:val="16"/>
              </w:rPr>
              <w:t>0,03</w:t>
            </w:r>
          </w:p>
        </w:tc>
      </w:tr>
      <w:tr w:rsidR="001E61A6" w:rsidRPr="008608AA" w14:paraId="571C995B" w14:textId="77777777" w:rsidTr="005C080D">
        <w:tc>
          <w:tcPr>
            <w:tcW w:w="429" w:type="pct"/>
            <w:vAlign w:val="bottom"/>
          </w:tcPr>
          <w:p w14:paraId="4527DECB" w14:textId="77777777" w:rsidR="001E61A6" w:rsidRPr="008608AA" w:rsidRDefault="001E61A6" w:rsidP="001E61A6">
            <w:pPr>
              <w:rPr>
                <w:sz w:val="16"/>
                <w:szCs w:val="16"/>
              </w:rPr>
            </w:pPr>
            <w:r w:rsidRPr="008608AA">
              <w:rPr>
                <w:sz w:val="16"/>
                <w:szCs w:val="16"/>
              </w:rPr>
              <w:t>Peru</w:t>
            </w:r>
          </w:p>
        </w:tc>
        <w:tc>
          <w:tcPr>
            <w:tcW w:w="333" w:type="pct"/>
            <w:vAlign w:val="bottom"/>
          </w:tcPr>
          <w:p w14:paraId="259AE8F7" w14:textId="77777777" w:rsidR="001E61A6" w:rsidRPr="008608AA" w:rsidRDefault="001E61A6" w:rsidP="001E61A6">
            <w:pPr>
              <w:rPr>
                <w:sz w:val="16"/>
                <w:szCs w:val="16"/>
              </w:rPr>
            </w:pPr>
            <w:r w:rsidRPr="008608AA">
              <w:rPr>
                <w:sz w:val="16"/>
                <w:szCs w:val="16"/>
              </w:rPr>
              <w:t>0,30</w:t>
            </w:r>
          </w:p>
        </w:tc>
        <w:tc>
          <w:tcPr>
            <w:tcW w:w="424" w:type="pct"/>
            <w:vAlign w:val="bottom"/>
          </w:tcPr>
          <w:p w14:paraId="42E80FB1" w14:textId="77777777" w:rsidR="001E61A6" w:rsidRPr="008608AA" w:rsidRDefault="001E61A6" w:rsidP="001E61A6">
            <w:pPr>
              <w:rPr>
                <w:sz w:val="16"/>
                <w:szCs w:val="16"/>
              </w:rPr>
            </w:pPr>
            <w:r w:rsidRPr="008608AA">
              <w:rPr>
                <w:sz w:val="16"/>
                <w:szCs w:val="16"/>
              </w:rPr>
              <w:t>0,22</w:t>
            </w:r>
          </w:p>
        </w:tc>
        <w:tc>
          <w:tcPr>
            <w:tcW w:w="296" w:type="pct"/>
            <w:vAlign w:val="bottom"/>
          </w:tcPr>
          <w:p w14:paraId="5BAEC979" w14:textId="77777777" w:rsidR="001E61A6" w:rsidRPr="008608AA" w:rsidRDefault="001E61A6" w:rsidP="001E61A6">
            <w:pPr>
              <w:rPr>
                <w:sz w:val="16"/>
                <w:szCs w:val="16"/>
              </w:rPr>
            </w:pPr>
            <w:r w:rsidRPr="008608AA">
              <w:rPr>
                <w:sz w:val="16"/>
                <w:szCs w:val="16"/>
              </w:rPr>
              <w:t>0,00</w:t>
            </w:r>
          </w:p>
        </w:tc>
        <w:tc>
          <w:tcPr>
            <w:tcW w:w="229" w:type="pct"/>
            <w:vAlign w:val="bottom"/>
          </w:tcPr>
          <w:p w14:paraId="5B740E6F" w14:textId="77777777" w:rsidR="001E61A6" w:rsidRPr="008608AA" w:rsidRDefault="001E61A6" w:rsidP="001E61A6">
            <w:pPr>
              <w:rPr>
                <w:sz w:val="16"/>
                <w:szCs w:val="16"/>
              </w:rPr>
            </w:pPr>
            <w:r w:rsidRPr="008608AA">
              <w:rPr>
                <w:sz w:val="16"/>
                <w:szCs w:val="16"/>
              </w:rPr>
              <w:t>0,00</w:t>
            </w:r>
          </w:p>
        </w:tc>
        <w:tc>
          <w:tcPr>
            <w:tcW w:w="269" w:type="pct"/>
            <w:vAlign w:val="bottom"/>
          </w:tcPr>
          <w:p w14:paraId="0E5A8C3F" w14:textId="77777777" w:rsidR="001E61A6" w:rsidRPr="008608AA" w:rsidRDefault="001E61A6" w:rsidP="001E61A6">
            <w:pPr>
              <w:rPr>
                <w:sz w:val="16"/>
                <w:szCs w:val="16"/>
              </w:rPr>
            </w:pPr>
            <w:r w:rsidRPr="008608AA">
              <w:rPr>
                <w:sz w:val="16"/>
                <w:szCs w:val="16"/>
              </w:rPr>
              <w:t>0,00</w:t>
            </w:r>
          </w:p>
        </w:tc>
        <w:tc>
          <w:tcPr>
            <w:tcW w:w="292" w:type="pct"/>
            <w:vAlign w:val="bottom"/>
          </w:tcPr>
          <w:p w14:paraId="42C31126" w14:textId="77777777" w:rsidR="001E61A6" w:rsidRPr="008608AA" w:rsidRDefault="001E61A6" w:rsidP="001E61A6">
            <w:pPr>
              <w:rPr>
                <w:sz w:val="16"/>
                <w:szCs w:val="16"/>
              </w:rPr>
            </w:pPr>
            <w:r w:rsidRPr="008608AA">
              <w:rPr>
                <w:sz w:val="16"/>
                <w:szCs w:val="16"/>
              </w:rPr>
              <w:t>0,00</w:t>
            </w:r>
          </w:p>
        </w:tc>
        <w:tc>
          <w:tcPr>
            <w:tcW w:w="289" w:type="pct"/>
            <w:vAlign w:val="bottom"/>
          </w:tcPr>
          <w:p w14:paraId="5075A47D" w14:textId="77777777" w:rsidR="001E61A6" w:rsidRPr="008608AA" w:rsidRDefault="001E61A6" w:rsidP="001E61A6">
            <w:pPr>
              <w:rPr>
                <w:sz w:val="16"/>
                <w:szCs w:val="16"/>
              </w:rPr>
            </w:pPr>
            <w:r w:rsidRPr="008608AA">
              <w:rPr>
                <w:sz w:val="16"/>
                <w:szCs w:val="16"/>
              </w:rPr>
              <w:t>0,00</w:t>
            </w:r>
          </w:p>
        </w:tc>
        <w:tc>
          <w:tcPr>
            <w:tcW w:w="280" w:type="pct"/>
            <w:vAlign w:val="bottom"/>
          </w:tcPr>
          <w:p w14:paraId="4C342667" w14:textId="77777777" w:rsidR="001E61A6" w:rsidRPr="008608AA" w:rsidRDefault="001E61A6" w:rsidP="001E61A6">
            <w:pPr>
              <w:rPr>
                <w:sz w:val="16"/>
                <w:szCs w:val="16"/>
              </w:rPr>
            </w:pPr>
            <w:r w:rsidRPr="008608AA">
              <w:rPr>
                <w:sz w:val="16"/>
                <w:szCs w:val="16"/>
              </w:rPr>
              <w:t>0,01</w:t>
            </w:r>
          </w:p>
        </w:tc>
        <w:tc>
          <w:tcPr>
            <w:tcW w:w="250" w:type="pct"/>
            <w:vAlign w:val="bottom"/>
          </w:tcPr>
          <w:p w14:paraId="07B212D7" w14:textId="77777777" w:rsidR="001E61A6" w:rsidRPr="008608AA" w:rsidRDefault="001E61A6" w:rsidP="001E61A6">
            <w:pPr>
              <w:rPr>
                <w:sz w:val="16"/>
                <w:szCs w:val="16"/>
              </w:rPr>
            </w:pPr>
            <w:r w:rsidRPr="008608AA">
              <w:rPr>
                <w:sz w:val="16"/>
                <w:szCs w:val="16"/>
              </w:rPr>
              <w:t>0,02</w:t>
            </w:r>
          </w:p>
        </w:tc>
        <w:tc>
          <w:tcPr>
            <w:tcW w:w="278" w:type="pct"/>
            <w:vAlign w:val="bottom"/>
          </w:tcPr>
          <w:p w14:paraId="55897847" w14:textId="77777777" w:rsidR="001E61A6" w:rsidRPr="008608AA" w:rsidRDefault="001E61A6" w:rsidP="001E61A6">
            <w:pPr>
              <w:rPr>
                <w:sz w:val="16"/>
                <w:szCs w:val="16"/>
              </w:rPr>
            </w:pPr>
            <w:r w:rsidRPr="008608AA">
              <w:rPr>
                <w:sz w:val="16"/>
                <w:szCs w:val="16"/>
              </w:rPr>
              <w:t>2,36</w:t>
            </w:r>
          </w:p>
        </w:tc>
        <w:tc>
          <w:tcPr>
            <w:tcW w:w="243" w:type="pct"/>
            <w:vAlign w:val="bottom"/>
          </w:tcPr>
          <w:p w14:paraId="15D82226" w14:textId="77777777" w:rsidR="001E61A6" w:rsidRPr="008608AA" w:rsidRDefault="001E61A6" w:rsidP="001E61A6">
            <w:pPr>
              <w:rPr>
                <w:sz w:val="16"/>
                <w:szCs w:val="16"/>
              </w:rPr>
            </w:pPr>
            <w:r w:rsidRPr="008608AA">
              <w:rPr>
                <w:sz w:val="16"/>
                <w:szCs w:val="16"/>
              </w:rPr>
              <w:t>0,94</w:t>
            </w:r>
          </w:p>
        </w:tc>
        <w:tc>
          <w:tcPr>
            <w:tcW w:w="258" w:type="pct"/>
            <w:vAlign w:val="bottom"/>
          </w:tcPr>
          <w:p w14:paraId="1FA2C3EE" w14:textId="77777777" w:rsidR="001E61A6" w:rsidRPr="008608AA" w:rsidRDefault="001E61A6" w:rsidP="001E61A6">
            <w:pPr>
              <w:rPr>
                <w:sz w:val="16"/>
                <w:szCs w:val="16"/>
              </w:rPr>
            </w:pPr>
            <w:r w:rsidRPr="008608AA">
              <w:rPr>
                <w:sz w:val="16"/>
                <w:szCs w:val="16"/>
              </w:rPr>
              <w:t>0,31</w:t>
            </w:r>
          </w:p>
        </w:tc>
        <w:tc>
          <w:tcPr>
            <w:tcW w:w="318" w:type="pct"/>
            <w:vAlign w:val="bottom"/>
          </w:tcPr>
          <w:p w14:paraId="424336CF" w14:textId="77777777" w:rsidR="001E61A6" w:rsidRPr="008608AA" w:rsidRDefault="001E61A6" w:rsidP="001E61A6">
            <w:pPr>
              <w:rPr>
                <w:sz w:val="16"/>
                <w:szCs w:val="16"/>
              </w:rPr>
            </w:pPr>
            <w:r w:rsidRPr="008608AA">
              <w:rPr>
                <w:sz w:val="16"/>
                <w:szCs w:val="16"/>
              </w:rPr>
              <w:t>0,03</w:t>
            </w:r>
          </w:p>
        </w:tc>
        <w:tc>
          <w:tcPr>
            <w:tcW w:w="375" w:type="pct"/>
            <w:vAlign w:val="bottom"/>
          </w:tcPr>
          <w:p w14:paraId="279A89A1" w14:textId="77777777" w:rsidR="001E61A6" w:rsidRPr="008608AA" w:rsidRDefault="001E61A6" w:rsidP="001E61A6">
            <w:pPr>
              <w:rPr>
                <w:sz w:val="16"/>
                <w:szCs w:val="16"/>
              </w:rPr>
            </w:pPr>
            <w:r w:rsidRPr="008608AA">
              <w:rPr>
                <w:sz w:val="16"/>
                <w:szCs w:val="16"/>
              </w:rPr>
              <w:t>0,00</w:t>
            </w:r>
          </w:p>
        </w:tc>
        <w:tc>
          <w:tcPr>
            <w:tcW w:w="438" w:type="pct"/>
            <w:vAlign w:val="bottom"/>
          </w:tcPr>
          <w:p w14:paraId="6E9EA493" w14:textId="77777777" w:rsidR="001E61A6" w:rsidRPr="008608AA" w:rsidRDefault="001E61A6" w:rsidP="001E61A6">
            <w:pPr>
              <w:rPr>
                <w:sz w:val="16"/>
                <w:szCs w:val="16"/>
              </w:rPr>
            </w:pPr>
            <w:r w:rsidRPr="008608AA">
              <w:rPr>
                <w:sz w:val="16"/>
                <w:szCs w:val="16"/>
              </w:rPr>
              <w:t>0,10</w:t>
            </w:r>
          </w:p>
        </w:tc>
      </w:tr>
      <w:tr w:rsidR="001E61A6" w:rsidRPr="008608AA" w14:paraId="4C2FFE14" w14:textId="77777777" w:rsidTr="005C080D">
        <w:tc>
          <w:tcPr>
            <w:tcW w:w="429" w:type="pct"/>
            <w:vAlign w:val="bottom"/>
          </w:tcPr>
          <w:p w14:paraId="7F341EEE" w14:textId="77777777" w:rsidR="001E61A6" w:rsidRPr="008608AA" w:rsidRDefault="001E61A6" w:rsidP="001E61A6">
            <w:pPr>
              <w:rPr>
                <w:sz w:val="16"/>
                <w:szCs w:val="16"/>
              </w:rPr>
            </w:pPr>
            <w:r w:rsidRPr="008608AA">
              <w:rPr>
                <w:sz w:val="16"/>
                <w:szCs w:val="16"/>
              </w:rPr>
              <w:t>Uruguay</w:t>
            </w:r>
          </w:p>
        </w:tc>
        <w:tc>
          <w:tcPr>
            <w:tcW w:w="333" w:type="pct"/>
            <w:vAlign w:val="bottom"/>
          </w:tcPr>
          <w:p w14:paraId="0D939FBA" w14:textId="77777777" w:rsidR="001E61A6" w:rsidRPr="008608AA" w:rsidRDefault="001E61A6" w:rsidP="001E61A6">
            <w:pPr>
              <w:rPr>
                <w:sz w:val="16"/>
                <w:szCs w:val="16"/>
              </w:rPr>
            </w:pPr>
            <w:r w:rsidRPr="008608AA">
              <w:rPr>
                <w:sz w:val="16"/>
                <w:szCs w:val="16"/>
              </w:rPr>
              <w:t>0,44</w:t>
            </w:r>
          </w:p>
        </w:tc>
        <w:tc>
          <w:tcPr>
            <w:tcW w:w="424" w:type="pct"/>
            <w:vAlign w:val="bottom"/>
          </w:tcPr>
          <w:p w14:paraId="7363616F" w14:textId="77777777" w:rsidR="001E61A6" w:rsidRPr="008608AA" w:rsidRDefault="001E61A6" w:rsidP="001E61A6">
            <w:pPr>
              <w:rPr>
                <w:sz w:val="16"/>
                <w:szCs w:val="16"/>
              </w:rPr>
            </w:pPr>
            <w:r w:rsidRPr="008608AA">
              <w:rPr>
                <w:sz w:val="16"/>
                <w:szCs w:val="16"/>
              </w:rPr>
              <w:t>0,05</w:t>
            </w:r>
          </w:p>
        </w:tc>
        <w:tc>
          <w:tcPr>
            <w:tcW w:w="296" w:type="pct"/>
            <w:vAlign w:val="bottom"/>
          </w:tcPr>
          <w:p w14:paraId="469DC860" w14:textId="77777777" w:rsidR="001E61A6" w:rsidRPr="008608AA" w:rsidRDefault="001E61A6" w:rsidP="001E61A6">
            <w:pPr>
              <w:rPr>
                <w:sz w:val="16"/>
                <w:szCs w:val="16"/>
              </w:rPr>
            </w:pPr>
            <w:r w:rsidRPr="008608AA">
              <w:rPr>
                <w:sz w:val="16"/>
                <w:szCs w:val="16"/>
              </w:rPr>
              <w:t>2,31</w:t>
            </w:r>
          </w:p>
        </w:tc>
        <w:tc>
          <w:tcPr>
            <w:tcW w:w="229" w:type="pct"/>
            <w:vAlign w:val="bottom"/>
          </w:tcPr>
          <w:p w14:paraId="2E1CD7D4" w14:textId="77777777" w:rsidR="001E61A6" w:rsidRPr="008608AA" w:rsidRDefault="001E61A6" w:rsidP="001E61A6">
            <w:pPr>
              <w:rPr>
                <w:sz w:val="16"/>
                <w:szCs w:val="16"/>
              </w:rPr>
            </w:pPr>
            <w:r w:rsidRPr="008608AA">
              <w:rPr>
                <w:sz w:val="16"/>
                <w:szCs w:val="16"/>
              </w:rPr>
              <w:t>0,00</w:t>
            </w:r>
          </w:p>
        </w:tc>
        <w:tc>
          <w:tcPr>
            <w:tcW w:w="269" w:type="pct"/>
            <w:vAlign w:val="bottom"/>
          </w:tcPr>
          <w:p w14:paraId="2390A866" w14:textId="77777777" w:rsidR="001E61A6" w:rsidRPr="008608AA" w:rsidRDefault="001E61A6" w:rsidP="001E61A6">
            <w:pPr>
              <w:rPr>
                <w:sz w:val="16"/>
                <w:szCs w:val="16"/>
              </w:rPr>
            </w:pPr>
            <w:r w:rsidRPr="008608AA">
              <w:rPr>
                <w:sz w:val="16"/>
                <w:szCs w:val="16"/>
              </w:rPr>
              <w:t>0,02</w:t>
            </w:r>
          </w:p>
        </w:tc>
        <w:tc>
          <w:tcPr>
            <w:tcW w:w="292" w:type="pct"/>
            <w:vAlign w:val="bottom"/>
          </w:tcPr>
          <w:p w14:paraId="7F99165C" w14:textId="77777777" w:rsidR="001E61A6" w:rsidRPr="008608AA" w:rsidRDefault="001E61A6" w:rsidP="001E61A6">
            <w:pPr>
              <w:rPr>
                <w:sz w:val="16"/>
                <w:szCs w:val="16"/>
              </w:rPr>
            </w:pPr>
            <w:r w:rsidRPr="008608AA">
              <w:rPr>
                <w:sz w:val="16"/>
                <w:szCs w:val="16"/>
              </w:rPr>
              <w:t>1,10</w:t>
            </w:r>
          </w:p>
        </w:tc>
        <w:tc>
          <w:tcPr>
            <w:tcW w:w="289" w:type="pct"/>
            <w:vAlign w:val="bottom"/>
          </w:tcPr>
          <w:p w14:paraId="2EFBC84D" w14:textId="77777777" w:rsidR="001E61A6" w:rsidRPr="008608AA" w:rsidRDefault="001E61A6" w:rsidP="001E61A6">
            <w:pPr>
              <w:rPr>
                <w:sz w:val="16"/>
                <w:szCs w:val="16"/>
              </w:rPr>
            </w:pPr>
            <w:r w:rsidRPr="008608AA">
              <w:rPr>
                <w:sz w:val="16"/>
                <w:szCs w:val="16"/>
              </w:rPr>
              <w:t>4,06</w:t>
            </w:r>
          </w:p>
        </w:tc>
        <w:tc>
          <w:tcPr>
            <w:tcW w:w="280" w:type="pct"/>
            <w:vAlign w:val="bottom"/>
          </w:tcPr>
          <w:p w14:paraId="0C3FF5A3" w14:textId="77777777" w:rsidR="001E61A6" w:rsidRPr="008608AA" w:rsidRDefault="001E61A6" w:rsidP="001E61A6">
            <w:pPr>
              <w:rPr>
                <w:sz w:val="16"/>
                <w:szCs w:val="16"/>
              </w:rPr>
            </w:pPr>
            <w:r w:rsidRPr="008608AA">
              <w:rPr>
                <w:sz w:val="16"/>
                <w:szCs w:val="16"/>
              </w:rPr>
              <w:t>0,00</w:t>
            </w:r>
          </w:p>
        </w:tc>
        <w:tc>
          <w:tcPr>
            <w:tcW w:w="250" w:type="pct"/>
            <w:vAlign w:val="bottom"/>
          </w:tcPr>
          <w:p w14:paraId="0CBF2285" w14:textId="77777777" w:rsidR="001E61A6" w:rsidRPr="008608AA" w:rsidRDefault="001E61A6" w:rsidP="001E61A6">
            <w:pPr>
              <w:rPr>
                <w:sz w:val="16"/>
                <w:szCs w:val="16"/>
              </w:rPr>
            </w:pPr>
            <w:r w:rsidRPr="008608AA">
              <w:rPr>
                <w:sz w:val="16"/>
                <w:szCs w:val="16"/>
              </w:rPr>
              <w:t>0,00</w:t>
            </w:r>
          </w:p>
        </w:tc>
        <w:tc>
          <w:tcPr>
            <w:tcW w:w="278" w:type="pct"/>
            <w:vAlign w:val="bottom"/>
          </w:tcPr>
          <w:p w14:paraId="1B9BF38D" w14:textId="77777777" w:rsidR="001E61A6" w:rsidRPr="008608AA" w:rsidRDefault="001E61A6" w:rsidP="001E61A6">
            <w:pPr>
              <w:rPr>
                <w:sz w:val="16"/>
                <w:szCs w:val="16"/>
              </w:rPr>
            </w:pPr>
            <w:r w:rsidRPr="008608AA">
              <w:rPr>
                <w:sz w:val="16"/>
                <w:szCs w:val="16"/>
              </w:rPr>
              <w:t>0,00</w:t>
            </w:r>
          </w:p>
        </w:tc>
        <w:tc>
          <w:tcPr>
            <w:tcW w:w="243" w:type="pct"/>
            <w:vAlign w:val="bottom"/>
          </w:tcPr>
          <w:p w14:paraId="48DB3AA5" w14:textId="77777777" w:rsidR="001E61A6" w:rsidRPr="008608AA" w:rsidRDefault="001E61A6" w:rsidP="001E61A6">
            <w:pPr>
              <w:rPr>
                <w:sz w:val="16"/>
                <w:szCs w:val="16"/>
              </w:rPr>
            </w:pPr>
            <w:r w:rsidRPr="008608AA">
              <w:rPr>
                <w:sz w:val="16"/>
                <w:szCs w:val="16"/>
              </w:rPr>
              <w:t>0,00</w:t>
            </w:r>
          </w:p>
        </w:tc>
        <w:tc>
          <w:tcPr>
            <w:tcW w:w="258" w:type="pct"/>
            <w:vAlign w:val="bottom"/>
          </w:tcPr>
          <w:p w14:paraId="1D659E4A" w14:textId="77777777" w:rsidR="001E61A6" w:rsidRPr="008608AA" w:rsidRDefault="001E61A6" w:rsidP="001E61A6">
            <w:pPr>
              <w:rPr>
                <w:sz w:val="16"/>
                <w:szCs w:val="16"/>
              </w:rPr>
            </w:pPr>
            <w:r w:rsidRPr="008608AA">
              <w:rPr>
                <w:sz w:val="16"/>
                <w:szCs w:val="16"/>
              </w:rPr>
              <w:t>0,00</w:t>
            </w:r>
          </w:p>
        </w:tc>
        <w:tc>
          <w:tcPr>
            <w:tcW w:w="318" w:type="pct"/>
            <w:vAlign w:val="bottom"/>
          </w:tcPr>
          <w:p w14:paraId="5E764842" w14:textId="77777777" w:rsidR="001E61A6" w:rsidRPr="008608AA" w:rsidRDefault="001E61A6" w:rsidP="001E61A6">
            <w:pPr>
              <w:rPr>
                <w:sz w:val="16"/>
                <w:szCs w:val="16"/>
              </w:rPr>
            </w:pPr>
            <w:r w:rsidRPr="008608AA">
              <w:rPr>
                <w:sz w:val="16"/>
                <w:szCs w:val="16"/>
              </w:rPr>
              <w:t>0,00</w:t>
            </w:r>
          </w:p>
        </w:tc>
        <w:tc>
          <w:tcPr>
            <w:tcW w:w="375" w:type="pct"/>
            <w:vAlign w:val="bottom"/>
          </w:tcPr>
          <w:p w14:paraId="7ABF01D6" w14:textId="77777777" w:rsidR="001E61A6" w:rsidRPr="008608AA" w:rsidRDefault="001E61A6" w:rsidP="001E61A6">
            <w:pPr>
              <w:rPr>
                <w:sz w:val="16"/>
                <w:szCs w:val="16"/>
              </w:rPr>
            </w:pPr>
            <w:r w:rsidRPr="008608AA">
              <w:rPr>
                <w:sz w:val="16"/>
                <w:szCs w:val="16"/>
              </w:rPr>
              <w:t>6,29</w:t>
            </w:r>
          </w:p>
        </w:tc>
        <w:tc>
          <w:tcPr>
            <w:tcW w:w="438" w:type="pct"/>
            <w:vAlign w:val="bottom"/>
          </w:tcPr>
          <w:p w14:paraId="0CB6643C" w14:textId="77777777" w:rsidR="001E61A6" w:rsidRPr="008608AA" w:rsidRDefault="001E61A6" w:rsidP="001E61A6">
            <w:pPr>
              <w:rPr>
                <w:sz w:val="16"/>
                <w:szCs w:val="16"/>
              </w:rPr>
            </w:pPr>
            <w:r w:rsidRPr="008608AA">
              <w:rPr>
                <w:sz w:val="16"/>
                <w:szCs w:val="16"/>
              </w:rPr>
              <w:t>0,22</w:t>
            </w:r>
          </w:p>
        </w:tc>
      </w:tr>
      <w:tr w:rsidR="001E61A6" w:rsidRPr="008608AA" w14:paraId="669F0794" w14:textId="77777777" w:rsidTr="005C080D">
        <w:tc>
          <w:tcPr>
            <w:tcW w:w="429" w:type="pct"/>
            <w:vAlign w:val="bottom"/>
          </w:tcPr>
          <w:p w14:paraId="68332C84" w14:textId="77777777" w:rsidR="001E61A6" w:rsidRPr="008608AA" w:rsidRDefault="001E61A6" w:rsidP="001E61A6">
            <w:pPr>
              <w:rPr>
                <w:sz w:val="16"/>
                <w:szCs w:val="16"/>
              </w:rPr>
            </w:pPr>
            <w:r w:rsidRPr="008608AA">
              <w:rPr>
                <w:sz w:val="16"/>
                <w:szCs w:val="16"/>
              </w:rPr>
              <w:t>USA</w:t>
            </w:r>
          </w:p>
        </w:tc>
        <w:tc>
          <w:tcPr>
            <w:tcW w:w="333" w:type="pct"/>
            <w:vAlign w:val="bottom"/>
          </w:tcPr>
          <w:p w14:paraId="0E3FA956" w14:textId="77777777" w:rsidR="001E61A6" w:rsidRPr="008608AA" w:rsidRDefault="001E61A6" w:rsidP="001E61A6">
            <w:pPr>
              <w:rPr>
                <w:sz w:val="16"/>
                <w:szCs w:val="16"/>
              </w:rPr>
            </w:pPr>
            <w:r w:rsidRPr="008608AA">
              <w:rPr>
                <w:sz w:val="16"/>
                <w:szCs w:val="16"/>
              </w:rPr>
              <w:t>10,57</w:t>
            </w:r>
          </w:p>
        </w:tc>
        <w:tc>
          <w:tcPr>
            <w:tcW w:w="424" w:type="pct"/>
            <w:vAlign w:val="bottom"/>
          </w:tcPr>
          <w:p w14:paraId="3B4FF281" w14:textId="77777777" w:rsidR="001E61A6" w:rsidRPr="008608AA" w:rsidRDefault="001E61A6" w:rsidP="001E61A6">
            <w:pPr>
              <w:rPr>
                <w:sz w:val="16"/>
                <w:szCs w:val="16"/>
              </w:rPr>
            </w:pPr>
            <w:r w:rsidRPr="008608AA">
              <w:rPr>
                <w:sz w:val="16"/>
                <w:szCs w:val="16"/>
              </w:rPr>
              <w:t>8,39</w:t>
            </w:r>
          </w:p>
        </w:tc>
        <w:tc>
          <w:tcPr>
            <w:tcW w:w="296" w:type="pct"/>
            <w:vAlign w:val="bottom"/>
          </w:tcPr>
          <w:p w14:paraId="0517036D" w14:textId="77777777" w:rsidR="001E61A6" w:rsidRPr="008608AA" w:rsidRDefault="001E61A6" w:rsidP="001E61A6">
            <w:pPr>
              <w:rPr>
                <w:sz w:val="16"/>
                <w:szCs w:val="16"/>
              </w:rPr>
            </w:pPr>
            <w:r w:rsidRPr="008608AA">
              <w:rPr>
                <w:sz w:val="16"/>
                <w:szCs w:val="16"/>
              </w:rPr>
              <w:t>36,73</w:t>
            </w:r>
          </w:p>
        </w:tc>
        <w:tc>
          <w:tcPr>
            <w:tcW w:w="229" w:type="pct"/>
            <w:vAlign w:val="bottom"/>
          </w:tcPr>
          <w:p w14:paraId="5EEB27CA" w14:textId="77777777" w:rsidR="001E61A6" w:rsidRPr="008608AA" w:rsidRDefault="001E61A6" w:rsidP="001E61A6">
            <w:pPr>
              <w:rPr>
                <w:sz w:val="16"/>
                <w:szCs w:val="16"/>
              </w:rPr>
            </w:pPr>
            <w:r w:rsidRPr="008608AA">
              <w:rPr>
                <w:sz w:val="16"/>
                <w:szCs w:val="16"/>
              </w:rPr>
              <w:t>7,53</w:t>
            </w:r>
          </w:p>
        </w:tc>
        <w:tc>
          <w:tcPr>
            <w:tcW w:w="269" w:type="pct"/>
            <w:vAlign w:val="bottom"/>
          </w:tcPr>
          <w:p w14:paraId="7E625D40" w14:textId="77777777" w:rsidR="001E61A6" w:rsidRPr="008608AA" w:rsidRDefault="001E61A6" w:rsidP="001E61A6">
            <w:pPr>
              <w:rPr>
                <w:sz w:val="16"/>
                <w:szCs w:val="16"/>
              </w:rPr>
            </w:pPr>
            <w:r w:rsidRPr="008608AA">
              <w:rPr>
                <w:sz w:val="16"/>
                <w:szCs w:val="16"/>
              </w:rPr>
              <w:t>13,92</w:t>
            </w:r>
          </w:p>
        </w:tc>
        <w:tc>
          <w:tcPr>
            <w:tcW w:w="292" w:type="pct"/>
            <w:vAlign w:val="bottom"/>
          </w:tcPr>
          <w:p w14:paraId="1EA05D88" w14:textId="77777777" w:rsidR="001E61A6" w:rsidRPr="008608AA" w:rsidRDefault="001E61A6" w:rsidP="001E61A6">
            <w:pPr>
              <w:rPr>
                <w:sz w:val="16"/>
                <w:szCs w:val="16"/>
              </w:rPr>
            </w:pPr>
            <w:r w:rsidRPr="008608AA">
              <w:rPr>
                <w:sz w:val="16"/>
                <w:szCs w:val="16"/>
              </w:rPr>
              <w:t>8,56</w:t>
            </w:r>
          </w:p>
        </w:tc>
        <w:tc>
          <w:tcPr>
            <w:tcW w:w="289" w:type="pct"/>
            <w:vAlign w:val="bottom"/>
          </w:tcPr>
          <w:p w14:paraId="0930F8DC" w14:textId="77777777" w:rsidR="001E61A6" w:rsidRPr="008608AA" w:rsidRDefault="001E61A6" w:rsidP="001E61A6">
            <w:pPr>
              <w:rPr>
                <w:sz w:val="16"/>
                <w:szCs w:val="16"/>
              </w:rPr>
            </w:pPr>
            <w:r w:rsidRPr="008608AA">
              <w:rPr>
                <w:sz w:val="16"/>
                <w:szCs w:val="16"/>
              </w:rPr>
              <w:t>7,57</w:t>
            </w:r>
          </w:p>
        </w:tc>
        <w:tc>
          <w:tcPr>
            <w:tcW w:w="280" w:type="pct"/>
            <w:vAlign w:val="bottom"/>
          </w:tcPr>
          <w:p w14:paraId="36C7CA38" w14:textId="77777777" w:rsidR="001E61A6" w:rsidRPr="008608AA" w:rsidRDefault="001E61A6" w:rsidP="001E61A6">
            <w:pPr>
              <w:rPr>
                <w:sz w:val="16"/>
                <w:szCs w:val="16"/>
              </w:rPr>
            </w:pPr>
            <w:r w:rsidRPr="008608AA">
              <w:rPr>
                <w:sz w:val="16"/>
                <w:szCs w:val="16"/>
              </w:rPr>
              <w:t>30,63</w:t>
            </w:r>
          </w:p>
        </w:tc>
        <w:tc>
          <w:tcPr>
            <w:tcW w:w="250" w:type="pct"/>
            <w:vAlign w:val="bottom"/>
          </w:tcPr>
          <w:p w14:paraId="29A585F6" w14:textId="77777777" w:rsidR="001E61A6" w:rsidRPr="008608AA" w:rsidRDefault="001E61A6" w:rsidP="001E61A6">
            <w:pPr>
              <w:rPr>
                <w:sz w:val="16"/>
                <w:szCs w:val="16"/>
              </w:rPr>
            </w:pPr>
            <w:r w:rsidRPr="008608AA">
              <w:rPr>
                <w:sz w:val="16"/>
                <w:szCs w:val="16"/>
              </w:rPr>
              <w:t>16,71</w:t>
            </w:r>
          </w:p>
        </w:tc>
        <w:tc>
          <w:tcPr>
            <w:tcW w:w="278" w:type="pct"/>
            <w:vAlign w:val="bottom"/>
          </w:tcPr>
          <w:p w14:paraId="4E10EA02" w14:textId="77777777" w:rsidR="001E61A6" w:rsidRPr="008608AA" w:rsidRDefault="001E61A6" w:rsidP="001E61A6">
            <w:pPr>
              <w:rPr>
                <w:sz w:val="16"/>
                <w:szCs w:val="16"/>
              </w:rPr>
            </w:pPr>
            <w:r w:rsidRPr="008608AA">
              <w:rPr>
                <w:sz w:val="16"/>
                <w:szCs w:val="16"/>
              </w:rPr>
              <w:t>0,62</w:t>
            </w:r>
          </w:p>
        </w:tc>
        <w:tc>
          <w:tcPr>
            <w:tcW w:w="243" w:type="pct"/>
            <w:vAlign w:val="bottom"/>
          </w:tcPr>
          <w:p w14:paraId="79EE3F0A" w14:textId="77777777" w:rsidR="001E61A6" w:rsidRPr="008608AA" w:rsidRDefault="001E61A6" w:rsidP="001E61A6">
            <w:pPr>
              <w:rPr>
                <w:sz w:val="16"/>
                <w:szCs w:val="16"/>
              </w:rPr>
            </w:pPr>
            <w:r w:rsidRPr="008608AA">
              <w:rPr>
                <w:sz w:val="16"/>
                <w:szCs w:val="16"/>
              </w:rPr>
              <w:t>3,35</w:t>
            </w:r>
          </w:p>
        </w:tc>
        <w:tc>
          <w:tcPr>
            <w:tcW w:w="258" w:type="pct"/>
            <w:vAlign w:val="bottom"/>
          </w:tcPr>
          <w:p w14:paraId="43F56D8D" w14:textId="77777777" w:rsidR="001E61A6" w:rsidRPr="008608AA" w:rsidRDefault="001E61A6" w:rsidP="001E61A6">
            <w:pPr>
              <w:rPr>
                <w:sz w:val="16"/>
                <w:szCs w:val="16"/>
              </w:rPr>
            </w:pPr>
            <w:r w:rsidRPr="008608AA">
              <w:rPr>
                <w:sz w:val="16"/>
                <w:szCs w:val="16"/>
              </w:rPr>
              <w:t>3,08</w:t>
            </w:r>
          </w:p>
        </w:tc>
        <w:tc>
          <w:tcPr>
            <w:tcW w:w="318" w:type="pct"/>
            <w:vAlign w:val="bottom"/>
          </w:tcPr>
          <w:p w14:paraId="39788B12" w14:textId="77777777" w:rsidR="001E61A6" w:rsidRPr="008608AA" w:rsidRDefault="001E61A6" w:rsidP="001E61A6">
            <w:pPr>
              <w:rPr>
                <w:sz w:val="16"/>
                <w:szCs w:val="16"/>
              </w:rPr>
            </w:pPr>
            <w:r w:rsidRPr="008608AA">
              <w:rPr>
                <w:sz w:val="16"/>
                <w:szCs w:val="16"/>
              </w:rPr>
              <w:t>2,19</w:t>
            </w:r>
          </w:p>
        </w:tc>
        <w:tc>
          <w:tcPr>
            <w:tcW w:w="375" w:type="pct"/>
            <w:vAlign w:val="bottom"/>
          </w:tcPr>
          <w:p w14:paraId="607C0B00" w14:textId="77777777" w:rsidR="001E61A6" w:rsidRPr="008608AA" w:rsidRDefault="001E61A6" w:rsidP="001E61A6">
            <w:pPr>
              <w:rPr>
                <w:sz w:val="16"/>
                <w:szCs w:val="16"/>
              </w:rPr>
            </w:pPr>
            <w:r w:rsidRPr="008608AA">
              <w:rPr>
                <w:sz w:val="16"/>
                <w:szCs w:val="16"/>
              </w:rPr>
              <w:t>16,37</w:t>
            </w:r>
          </w:p>
        </w:tc>
        <w:tc>
          <w:tcPr>
            <w:tcW w:w="438" w:type="pct"/>
            <w:vAlign w:val="bottom"/>
          </w:tcPr>
          <w:p w14:paraId="11BEFA8F" w14:textId="77777777" w:rsidR="001E61A6" w:rsidRPr="008608AA" w:rsidRDefault="001E61A6" w:rsidP="001E61A6">
            <w:pPr>
              <w:rPr>
                <w:sz w:val="16"/>
                <w:szCs w:val="16"/>
              </w:rPr>
            </w:pPr>
            <w:r w:rsidRPr="008608AA">
              <w:rPr>
                <w:sz w:val="16"/>
                <w:szCs w:val="16"/>
              </w:rPr>
              <w:t>0,00</w:t>
            </w:r>
          </w:p>
        </w:tc>
      </w:tr>
      <w:tr w:rsidR="001E61A6" w:rsidRPr="008608AA" w14:paraId="601EA01A" w14:textId="77777777" w:rsidTr="005C080D">
        <w:tc>
          <w:tcPr>
            <w:tcW w:w="429" w:type="pct"/>
            <w:vAlign w:val="bottom"/>
          </w:tcPr>
          <w:p w14:paraId="7DF2AB7A" w14:textId="77777777" w:rsidR="001E61A6" w:rsidRPr="008608AA" w:rsidRDefault="001E61A6" w:rsidP="001E61A6">
            <w:pPr>
              <w:rPr>
                <w:sz w:val="16"/>
                <w:szCs w:val="16"/>
              </w:rPr>
            </w:pPr>
            <w:r w:rsidRPr="008608AA">
              <w:rPr>
                <w:sz w:val="16"/>
                <w:szCs w:val="16"/>
              </w:rPr>
              <w:t>Venezuela (Bolivarian Republic of)</w:t>
            </w:r>
          </w:p>
        </w:tc>
        <w:tc>
          <w:tcPr>
            <w:tcW w:w="333" w:type="pct"/>
            <w:vAlign w:val="bottom"/>
          </w:tcPr>
          <w:p w14:paraId="61A96B0B" w14:textId="77777777" w:rsidR="001E61A6" w:rsidRPr="008608AA" w:rsidRDefault="001E61A6" w:rsidP="001E61A6">
            <w:pPr>
              <w:rPr>
                <w:sz w:val="16"/>
                <w:szCs w:val="16"/>
              </w:rPr>
            </w:pPr>
            <w:r w:rsidRPr="008608AA">
              <w:rPr>
                <w:sz w:val="16"/>
                <w:szCs w:val="16"/>
              </w:rPr>
              <w:t>0,00</w:t>
            </w:r>
          </w:p>
        </w:tc>
        <w:tc>
          <w:tcPr>
            <w:tcW w:w="424" w:type="pct"/>
            <w:vAlign w:val="bottom"/>
          </w:tcPr>
          <w:p w14:paraId="3B7C6B6C" w14:textId="77777777" w:rsidR="001E61A6" w:rsidRPr="008608AA" w:rsidRDefault="001E61A6" w:rsidP="001E61A6">
            <w:pPr>
              <w:rPr>
                <w:sz w:val="16"/>
                <w:szCs w:val="16"/>
              </w:rPr>
            </w:pPr>
            <w:r w:rsidRPr="008608AA">
              <w:rPr>
                <w:sz w:val="16"/>
                <w:szCs w:val="16"/>
              </w:rPr>
              <w:t>0,47</w:t>
            </w:r>
          </w:p>
        </w:tc>
        <w:tc>
          <w:tcPr>
            <w:tcW w:w="296" w:type="pct"/>
            <w:vAlign w:val="bottom"/>
          </w:tcPr>
          <w:p w14:paraId="2F31F3B0" w14:textId="77777777" w:rsidR="001E61A6" w:rsidRPr="008608AA" w:rsidRDefault="001E61A6" w:rsidP="001E61A6">
            <w:pPr>
              <w:rPr>
                <w:sz w:val="16"/>
                <w:szCs w:val="16"/>
              </w:rPr>
            </w:pPr>
            <w:r w:rsidRPr="008608AA">
              <w:rPr>
                <w:sz w:val="16"/>
                <w:szCs w:val="16"/>
              </w:rPr>
              <w:t>na</w:t>
            </w:r>
          </w:p>
        </w:tc>
        <w:tc>
          <w:tcPr>
            <w:tcW w:w="229" w:type="pct"/>
            <w:vAlign w:val="bottom"/>
          </w:tcPr>
          <w:p w14:paraId="2A5E7E88" w14:textId="77777777" w:rsidR="001E61A6" w:rsidRPr="008608AA" w:rsidRDefault="001E61A6" w:rsidP="001E61A6">
            <w:pPr>
              <w:rPr>
                <w:sz w:val="16"/>
                <w:szCs w:val="16"/>
              </w:rPr>
            </w:pPr>
            <w:r w:rsidRPr="008608AA">
              <w:rPr>
                <w:sz w:val="16"/>
                <w:szCs w:val="16"/>
              </w:rPr>
              <w:t>na</w:t>
            </w:r>
          </w:p>
        </w:tc>
        <w:tc>
          <w:tcPr>
            <w:tcW w:w="269" w:type="pct"/>
            <w:vAlign w:val="bottom"/>
          </w:tcPr>
          <w:p w14:paraId="0628E7D9" w14:textId="77777777" w:rsidR="001E61A6" w:rsidRPr="008608AA" w:rsidRDefault="001E61A6" w:rsidP="001E61A6">
            <w:pPr>
              <w:rPr>
                <w:sz w:val="16"/>
                <w:szCs w:val="16"/>
              </w:rPr>
            </w:pPr>
            <w:r w:rsidRPr="008608AA">
              <w:rPr>
                <w:sz w:val="16"/>
                <w:szCs w:val="16"/>
              </w:rPr>
              <w:t>na</w:t>
            </w:r>
          </w:p>
        </w:tc>
        <w:tc>
          <w:tcPr>
            <w:tcW w:w="292" w:type="pct"/>
            <w:vAlign w:val="bottom"/>
          </w:tcPr>
          <w:p w14:paraId="6A532B66" w14:textId="77777777" w:rsidR="001E61A6" w:rsidRPr="008608AA" w:rsidRDefault="001E61A6" w:rsidP="001E61A6">
            <w:pPr>
              <w:rPr>
                <w:sz w:val="16"/>
                <w:szCs w:val="16"/>
              </w:rPr>
            </w:pPr>
            <w:r w:rsidRPr="008608AA">
              <w:rPr>
                <w:sz w:val="16"/>
                <w:szCs w:val="16"/>
              </w:rPr>
              <w:t>na</w:t>
            </w:r>
          </w:p>
        </w:tc>
        <w:tc>
          <w:tcPr>
            <w:tcW w:w="289" w:type="pct"/>
            <w:vAlign w:val="bottom"/>
          </w:tcPr>
          <w:p w14:paraId="13B4D168" w14:textId="77777777" w:rsidR="001E61A6" w:rsidRPr="008608AA" w:rsidRDefault="001E61A6" w:rsidP="001E61A6">
            <w:pPr>
              <w:rPr>
                <w:sz w:val="16"/>
                <w:szCs w:val="16"/>
              </w:rPr>
            </w:pPr>
            <w:r w:rsidRPr="008608AA">
              <w:rPr>
                <w:sz w:val="16"/>
                <w:szCs w:val="16"/>
              </w:rPr>
              <w:t>na</w:t>
            </w:r>
          </w:p>
        </w:tc>
        <w:tc>
          <w:tcPr>
            <w:tcW w:w="280" w:type="pct"/>
            <w:vAlign w:val="bottom"/>
          </w:tcPr>
          <w:p w14:paraId="1AD24518" w14:textId="77777777" w:rsidR="001E61A6" w:rsidRPr="008608AA" w:rsidRDefault="001E61A6" w:rsidP="001E61A6">
            <w:pPr>
              <w:rPr>
                <w:sz w:val="16"/>
                <w:szCs w:val="16"/>
              </w:rPr>
            </w:pPr>
            <w:r w:rsidRPr="008608AA">
              <w:rPr>
                <w:sz w:val="16"/>
                <w:szCs w:val="16"/>
              </w:rPr>
              <w:t>na</w:t>
            </w:r>
          </w:p>
        </w:tc>
        <w:tc>
          <w:tcPr>
            <w:tcW w:w="250" w:type="pct"/>
            <w:vAlign w:val="bottom"/>
          </w:tcPr>
          <w:p w14:paraId="0FB17A0C" w14:textId="77777777" w:rsidR="001E61A6" w:rsidRPr="008608AA" w:rsidRDefault="001E61A6" w:rsidP="001E61A6">
            <w:pPr>
              <w:rPr>
                <w:sz w:val="16"/>
                <w:szCs w:val="16"/>
              </w:rPr>
            </w:pPr>
            <w:r w:rsidRPr="008608AA">
              <w:rPr>
                <w:sz w:val="16"/>
                <w:szCs w:val="16"/>
              </w:rPr>
              <w:t>na</w:t>
            </w:r>
          </w:p>
        </w:tc>
        <w:tc>
          <w:tcPr>
            <w:tcW w:w="278" w:type="pct"/>
            <w:vAlign w:val="bottom"/>
          </w:tcPr>
          <w:p w14:paraId="26A3C70C" w14:textId="77777777" w:rsidR="001E61A6" w:rsidRPr="008608AA" w:rsidRDefault="001E61A6" w:rsidP="001E61A6">
            <w:pPr>
              <w:rPr>
                <w:sz w:val="16"/>
                <w:szCs w:val="16"/>
              </w:rPr>
            </w:pPr>
            <w:r w:rsidRPr="008608AA">
              <w:rPr>
                <w:sz w:val="16"/>
                <w:szCs w:val="16"/>
              </w:rPr>
              <w:t>na</w:t>
            </w:r>
          </w:p>
        </w:tc>
        <w:tc>
          <w:tcPr>
            <w:tcW w:w="243" w:type="pct"/>
            <w:vAlign w:val="bottom"/>
          </w:tcPr>
          <w:p w14:paraId="7417E309" w14:textId="77777777" w:rsidR="001E61A6" w:rsidRPr="008608AA" w:rsidRDefault="001E61A6" w:rsidP="001E61A6">
            <w:pPr>
              <w:rPr>
                <w:sz w:val="16"/>
                <w:szCs w:val="16"/>
              </w:rPr>
            </w:pPr>
            <w:r w:rsidRPr="008608AA">
              <w:rPr>
                <w:sz w:val="16"/>
                <w:szCs w:val="16"/>
              </w:rPr>
              <w:t>na</w:t>
            </w:r>
          </w:p>
        </w:tc>
        <w:tc>
          <w:tcPr>
            <w:tcW w:w="258" w:type="pct"/>
            <w:vAlign w:val="bottom"/>
          </w:tcPr>
          <w:p w14:paraId="536DBBA4" w14:textId="77777777" w:rsidR="001E61A6" w:rsidRPr="008608AA" w:rsidRDefault="001E61A6" w:rsidP="001E61A6">
            <w:pPr>
              <w:rPr>
                <w:sz w:val="16"/>
                <w:szCs w:val="16"/>
              </w:rPr>
            </w:pPr>
            <w:r w:rsidRPr="008608AA">
              <w:rPr>
                <w:sz w:val="16"/>
                <w:szCs w:val="16"/>
              </w:rPr>
              <w:t>na</w:t>
            </w:r>
          </w:p>
        </w:tc>
        <w:tc>
          <w:tcPr>
            <w:tcW w:w="318" w:type="pct"/>
            <w:vAlign w:val="bottom"/>
          </w:tcPr>
          <w:p w14:paraId="33C467A8" w14:textId="77777777" w:rsidR="001E61A6" w:rsidRPr="008608AA" w:rsidRDefault="001E61A6" w:rsidP="001E61A6">
            <w:pPr>
              <w:rPr>
                <w:sz w:val="16"/>
                <w:szCs w:val="16"/>
              </w:rPr>
            </w:pPr>
            <w:r w:rsidRPr="008608AA">
              <w:rPr>
                <w:sz w:val="16"/>
                <w:szCs w:val="16"/>
              </w:rPr>
              <w:t>na</w:t>
            </w:r>
          </w:p>
        </w:tc>
        <w:tc>
          <w:tcPr>
            <w:tcW w:w="375" w:type="pct"/>
            <w:vAlign w:val="bottom"/>
          </w:tcPr>
          <w:p w14:paraId="10C97326" w14:textId="77777777" w:rsidR="001E61A6" w:rsidRPr="008608AA" w:rsidRDefault="001E61A6" w:rsidP="001E61A6">
            <w:pPr>
              <w:rPr>
                <w:sz w:val="16"/>
                <w:szCs w:val="16"/>
              </w:rPr>
            </w:pPr>
            <w:r w:rsidRPr="008608AA">
              <w:rPr>
                <w:sz w:val="16"/>
                <w:szCs w:val="16"/>
              </w:rPr>
              <w:t>na</w:t>
            </w:r>
          </w:p>
        </w:tc>
        <w:tc>
          <w:tcPr>
            <w:tcW w:w="438" w:type="pct"/>
            <w:vAlign w:val="bottom"/>
          </w:tcPr>
          <w:p w14:paraId="1B53277D" w14:textId="77777777" w:rsidR="001E61A6" w:rsidRPr="008608AA" w:rsidRDefault="001E61A6" w:rsidP="001E61A6">
            <w:pPr>
              <w:rPr>
                <w:sz w:val="16"/>
                <w:szCs w:val="16"/>
              </w:rPr>
            </w:pPr>
            <w:r w:rsidRPr="008608AA">
              <w:rPr>
                <w:sz w:val="16"/>
                <w:szCs w:val="16"/>
              </w:rPr>
              <w:t>na</w:t>
            </w:r>
          </w:p>
        </w:tc>
      </w:tr>
      <w:tr w:rsidR="001E61A6" w:rsidRPr="008608AA" w14:paraId="0306D4D7" w14:textId="77777777" w:rsidTr="005C080D">
        <w:tc>
          <w:tcPr>
            <w:tcW w:w="429" w:type="pct"/>
            <w:vAlign w:val="bottom"/>
          </w:tcPr>
          <w:p w14:paraId="11F10068" w14:textId="77777777" w:rsidR="001E61A6" w:rsidRPr="008608AA" w:rsidRDefault="001E61A6" w:rsidP="001E61A6">
            <w:pPr>
              <w:rPr>
                <w:b/>
                <w:bCs/>
                <w:sz w:val="16"/>
                <w:szCs w:val="16"/>
              </w:rPr>
            </w:pPr>
            <w:r w:rsidRPr="008608AA">
              <w:rPr>
                <w:b/>
                <w:bCs/>
                <w:sz w:val="16"/>
                <w:szCs w:val="16"/>
              </w:rPr>
              <w:t>TOTAL VS WORLD</w:t>
            </w:r>
          </w:p>
        </w:tc>
        <w:tc>
          <w:tcPr>
            <w:tcW w:w="333" w:type="pct"/>
          </w:tcPr>
          <w:p w14:paraId="65A94C07" w14:textId="77777777" w:rsidR="001E61A6" w:rsidRPr="008608AA" w:rsidRDefault="001E61A6" w:rsidP="001E61A6">
            <w:pPr>
              <w:rPr>
                <w:b/>
                <w:bCs/>
                <w:sz w:val="16"/>
                <w:szCs w:val="16"/>
              </w:rPr>
            </w:pPr>
            <w:r w:rsidRPr="008608AA">
              <w:rPr>
                <w:b/>
                <w:bCs/>
                <w:sz w:val="16"/>
                <w:szCs w:val="16"/>
              </w:rPr>
              <w:t>28,45</w:t>
            </w:r>
          </w:p>
          <w:p w14:paraId="2AD695DD" w14:textId="77777777" w:rsidR="001E61A6" w:rsidRPr="008608AA" w:rsidRDefault="001E61A6" w:rsidP="001E61A6">
            <w:pPr>
              <w:rPr>
                <w:sz w:val="16"/>
                <w:szCs w:val="16"/>
              </w:rPr>
            </w:pPr>
          </w:p>
        </w:tc>
        <w:tc>
          <w:tcPr>
            <w:tcW w:w="424" w:type="pct"/>
            <w:vAlign w:val="bottom"/>
          </w:tcPr>
          <w:p w14:paraId="054019A7" w14:textId="77777777" w:rsidR="001E61A6" w:rsidRPr="008608AA" w:rsidRDefault="001E61A6" w:rsidP="001E61A6">
            <w:pPr>
              <w:rPr>
                <w:b/>
                <w:bCs/>
                <w:sz w:val="16"/>
                <w:szCs w:val="16"/>
              </w:rPr>
            </w:pPr>
            <w:r w:rsidRPr="008608AA">
              <w:rPr>
                <w:b/>
                <w:bCs/>
                <w:sz w:val="16"/>
                <w:szCs w:val="16"/>
              </w:rPr>
              <w:t>16,54</w:t>
            </w:r>
          </w:p>
        </w:tc>
        <w:tc>
          <w:tcPr>
            <w:tcW w:w="296" w:type="pct"/>
            <w:vAlign w:val="bottom"/>
          </w:tcPr>
          <w:p w14:paraId="0724D165" w14:textId="77777777" w:rsidR="001E61A6" w:rsidRPr="008608AA" w:rsidRDefault="001E61A6" w:rsidP="001E61A6">
            <w:pPr>
              <w:rPr>
                <w:b/>
                <w:bCs/>
                <w:sz w:val="16"/>
                <w:szCs w:val="16"/>
              </w:rPr>
            </w:pPr>
            <w:r w:rsidRPr="008608AA">
              <w:rPr>
                <w:b/>
                <w:bCs/>
                <w:sz w:val="16"/>
                <w:szCs w:val="16"/>
              </w:rPr>
              <w:t>96,01</w:t>
            </w:r>
          </w:p>
        </w:tc>
        <w:tc>
          <w:tcPr>
            <w:tcW w:w="229" w:type="pct"/>
            <w:vAlign w:val="bottom"/>
          </w:tcPr>
          <w:p w14:paraId="2A81CC3C" w14:textId="77777777" w:rsidR="001E61A6" w:rsidRPr="008608AA" w:rsidRDefault="001E61A6" w:rsidP="001E61A6">
            <w:pPr>
              <w:rPr>
                <w:b/>
                <w:bCs/>
                <w:sz w:val="16"/>
                <w:szCs w:val="16"/>
              </w:rPr>
            </w:pPr>
            <w:r w:rsidRPr="008608AA">
              <w:rPr>
                <w:b/>
                <w:bCs/>
                <w:sz w:val="16"/>
                <w:szCs w:val="16"/>
              </w:rPr>
              <w:t>74,78</w:t>
            </w:r>
          </w:p>
        </w:tc>
        <w:tc>
          <w:tcPr>
            <w:tcW w:w="269" w:type="pct"/>
            <w:vAlign w:val="bottom"/>
          </w:tcPr>
          <w:p w14:paraId="5084EAA5" w14:textId="77777777" w:rsidR="001E61A6" w:rsidRPr="008608AA" w:rsidRDefault="001E61A6" w:rsidP="001E61A6">
            <w:pPr>
              <w:rPr>
                <w:b/>
                <w:bCs/>
                <w:sz w:val="16"/>
                <w:szCs w:val="16"/>
              </w:rPr>
            </w:pPr>
            <w:r w:rsidRPr="008608AA">
              <w:rPr>
                <w:b/>
                <w:bCs/>
                <w:sz w:val="16"/>
                <w:szCs w:val="16"/>
              </w:rPr>
              <w:t>82,09</w:t>
            </w:r>
          </w:p>
        </w:tc>
        <w:tc>
          <w:tcPr>
            <w:tcW w:w="292" w:type="pct"/>
            <w:vAlign w:val="bottom"/>
          </w:tcPr>
          <w:p w14:paraId="162A9569" w14:textId="77777777" w:rsidR="001E61A6" w:rsidRPr="008608AA" w:rsidRDefault="001E61A6" w:rsidP="001E61A6">
            <w:pPr>
              <w:rPr>
                <w:b/>
                <w:bCs/>
                <w:sz w:val="16"/>
                <w:szCs w:val="16"/>
              </w:rPr>
            </w:pPr>
            <w:r w:rsidRPr="008608AA">
              <w:rPr>
                <w:b/>
                <w:bCs/>
                <w:sz w:val="16"/>
                <w:szCs w:val="16"/>
              </w:rPr>
              <w:t>27,81</w:t>
            </w:r>
          </w:p>
        </w:tc>
        <w:tc>
          <w:tcPr>
            <w:tcW w:w="289" w:type="pct"/>
            <w:vAlign w:val="bottom"/>
          </w:tcPr>
          <w:p w14:paraId="7AB28BF9" w14:textId="77777777" w:rsidR="001E61A6" w:rsidRPr="008608AA" w:rsidRDefault="001E61A6" w:rsidP="001E61A6">
            <w:pPr>
              <w:rPr>
                <w:b/>
                <w:bCs/>
                <w:sz w:val="16"/>
                <w:szCs w:val="16"/>
              </w:rPr>
            </w:pPr>
            <w:r w:rsidRPr="008608AA">
              <w:rPr>
                <w:b/>
                <w:bCs/>
                <w:sz w:val="16"/>
                <w:szCs w:val="16"/>
              </w:rPr>
              <w:t>37,41</w:t>
            </w:r>
          </w:p>
        </w:tc>
        <w:tc>
          <w:tcPr>
            <w:tcW w:w="280" w:type="pct"/>
            <w:vAlign w:val="bottom"/>
          </w:tcPr>
          <w:p w14:paraId="2EB0BD74" w14:textId="77777777" w:rsidR="001E61A6" w:rsidRPr="008608AA" w:rsidRDefault="001E61A6" w:rsidP="001E61A6">
            <w:pPr>
              <w:rPr>
                <w:b/>
                <w:bCs/>
                <w:sz w:val="16"/>
                <w:szCs w:val="16"/>
              </w:rPr>
            </w:pPr>
            <w:r w:rsidRPr="008608AA">
              <w:rPr>
                <w:b/>
                <w:bCs/>
                <w:sz w:val="16"/>
                <w:szCs w:val="16"/>
              </w:rPr>
              <w:t>65,23</w:t>
            </w:r>
          </w:p>
        </w:tc>
        <w:tc>
          <w:tcPr>
            <w:tcW w:w="250" w:type="pct"/>
            <w:vAlign w:val="bottom"/>
          </w:tcPr>
          <w:p w14:paraId="4D60D77E" w14:textId="77777777" w:rsidR="001E61A6" w:rsidRPr="008608AA" w:rsidRDefault="001E61A6" w:rsidP="001E61A6">
            <w:pPr>
              <w:rPr>
                <w:b/>
                <w:bCs/>
                <w:sz w:val="16"/>
                <w:szCs w:val="16"/>
              </w:rPr>
            </w:pPr>
            <w:r w:rsidRPr="008608AA">
              <w:rPr>
                <w:b/>
                <w:bCs/>
                <w:sz w:val="16"/>
                <w:szCs w:val="16"/>
              </w:rPr>
              <w:t>60,37</w:t>
            </w:r>
          </w:p>
        </w:tc>
        <w:tc>
          <w:tcPr>
            <w:tcW w:w="278" w:type="pct"/>
            <w:vAlign w:val="bottom"/>
          </w:tcPr>
          <w:p w14:paraId="1737DA23" w14:textId="77777777" w:rsidR="001E61A6" w:rsidRPr="008608AA" w:rsidRDefault="001E61A6" w:rsidP="001E61A6">
            <w:pPr>
              <w:rPr>
                <w:b/>
                <w:bCs/>
                <w:sz w:val="16"/>
                <w:szCs w:val="16"/>
              </w:rPr>
            </w:pPr>
            <w:r w:rsidRPr="008608AA">
              <w:rPr>
                <w:b/>
                <w:bCs/>
                <w:sz w:val="16"/>
                <w:szCs w:val="16"/>
              </w:rPr>
              <w:t>16,65</w:t>
            </w:r>
          </w:p>
        </w:tc>
        <w:tc>
          <w:tcPr>
            <w:tcW w:w="243" w:type="pct"/>
            <w:vAlign w:val="bottom"/>
          </w:tcPr>
          <w:p w14:paraId="54B830A1" w14:textId="77777777" w:rsidR="001E61A6" w:rsidRPr="008608AA" w:rsidRDefault="001E61A6" w:rsidP="001E61A6">
            <w:pPr>
              <w:rPr>
                <w:b/>
                <w:bCs/>
                <w:sz w:val="16"/>
                <w:szCs w:val="16"/>
              </w:rPr>
            </w:pPr>
            <w:r w:rsidRPr="008608AA">
              <w:rPr>
                <w:b/>
                <w:bCs/>
                <w:sz w:val="16"/>
                <w:szCs w:val="16"/>
              </w:rPr>
              <w:t>10,05</w:t>
            </w:r>
          </w:p>
        </w:tc>
        <w:tc>
          <w:tcPr>
            <w:tcW w:w="258" w:type="pct"/>
            <w:vAlign w:val="bottom"/>
          </w:tcPr>
          <w:p w14:paraId="392E6801" w14:textId="77777777" w:rsidR="001E61A6" w:rsidRPr="008608AA" w:rsidRDefault="001E61A6" w:rsidP="001E61A6">
            <w:pPr>
              <w:rPr>
                <w:b/>
                <w:bCs/>
                <w:sz w:val="16"/>
                <w:szCs w:val="16"/>
              </w:rPr>
            </w:pPr>
            <w:r w:rsidRPr="008608AA">
              <w:rPr>
                <w:b/>
                <w:bCs/>
                <w:sz w:val="16"/>
                <w:szCs w:val="16"/>
              </w:rPr>
              <w:t>6,86</w:t>
            </w:r>
          </w:p>
        </w:tc>
        <w:tc>
          <w:tcPr>
            <w:tcW w:w="318" w:type="pct"/>
            <w:vAlign w:val="bottom"/>
          </w:tcPr>
          <w:p w14:paraId="4458CE32" w14:textId="77777777" w:rsidR="001E61A6" w:rsidRPr="008608AA" w:rsidRDefault="001E61A6" w:rsidP="001E61A6">
            <w:pPr>
              <w:rPr>
                <w:b/>
                <w:bCs/>
                <w:sz w:val="16"/>
                <w:szCs w:val="16"/>
              </w:rPr>
            </w:pPr>
            <w:r w:rsidRPr="008608AA">
              <w:rPr>
                <w:b/>
                <w:bCs/>
                <w:sz w:val="16"/>
                <w:szCs w:val="16"/>
              </w:rPr>
              <w:t>3,04</w:t>
            </w:r>
          </w:p>
        </w:tc>
        <w:tc>
          <w:tcPr>
            <w:tcW w:w="375" w:type="pct"/>
            <w:vAlign w:val="bottom"/>
          </w:tcPr>
          <w:p w14:paraId="1DEB3A38" w14:textId="77777777" w:rsidR="001E61A6" w:rsidRPr="008608AA" w:rsidRDefault="001E61A6" w:rsidP="001E61A6">
            <w:pPr>
              <w:rPr>
                <w:b/>
                <w:bCs/>
                <w:sz w:val="16"/>
                <w:szCs w:val="16"/>
              </w:rPr>
            </w:pPr>
            <w:r w:rsidRPr="008608AA">
              <w:rPr>
                <w:b/>
                <w:bCs/>
                <w:sz w:val="16"/>
                <w:szCs w:val="16"/>
              </w:rPr>
              <w:t>28,49</w:t>
            </w:r>
          </w:p>
        </w:tc>
        <w:tc>
          <w:tcPr>
            <w:tcW w:w="438" w:type="pct"/>
            <w:vAlign w:val="bottom"/>
          </w:tcPr>
          <w:p w14:paraId="642538F4" w14:textId="77777777" w:rsidR="001E61A6" w:rsidRPr="008608AA" w:rsidRDefault="001E61A6" w:rsidP="001E61A6">
            <w:pPr>
              <w:rPr>
                <w:b/>
                <w:bCs/>
                <w:sz w:val="16"/>
                <w:szCs w:val="16"/>
              </w:rPr>
            </w:pPr>
            <w:r w:rsidRPr="008608AA">
              <w:rPr>
                <w:b/>
                <w:bCs/>
                <w:sz w:val="16"/>
                <w:szCs w:val="16"/>
              </w:rPr>
              <w:t>5,69</w:t>
            </w:r>
          </w:p>
        </w:tc>
      </w:tr>
    </w:tbl>
    <w:p w14:paraId="381FFAAC" w14:textId="77777777" w:rsidR="001E61A6" w:rsidRPr="008608AA" w:rsidRDefault="001E61A6" w:rsidP="001E61A6">
      <w:pPr>
        <w:rPr>
          <w:sz w:val="16"/>
          <w:szCs w:val="16"/>
        </w:rPr>
      </w:pPr>
    </w:p>
    <w:p w14:paraId="3DE065AA" w14:textId="65596BDD" w:rsidR="001E61A6" w:rsidRPr="008608AA" w:rsidRDefault="001E61A6" w:rsidP="001E61A6">
      <w:pPr>
        <w:rPr>
          <w:szCs w:val="18"/>
        </w:rPr>
      </w:pPr>
      <w:r w:rsidRPr="008608AA">
        <w:rPr>
          <w:sz w:val="20"/>
          <w:szCs w:val="16"/>
        </w:rPr>
        <w:t xml:space="preserve">*FAOSTAT </w:t>
      </w:r>
      <w:r w:rsidR="001A11EB" w:rsidRPr="008608AA">
        <w:rPr>
          <w:sz w:val="20"/>
          <w:szCs w:val="16"/>
        </w:rPr>
        <w:t xml:space="preserve">(2013), </w:t>
      </w:r>
      <w:r w:rsidRPr="008608AA">
        <w:rPr>
          <w:sz w:val="20"/>
          <w:szCs w:val="16"/>
        </w:rPr>
        <w:t xml:space="preserve"> % of US</w:t>
      </w:r>
      <w:r w:rsidR="0053612E" w:rsidRPr="008608AA">
        <w:rPr>
          <w:sz w:val="20"/>
          <w:szCs w:val="16"/>
        </w:rPr>
        <w:t xml:space="preserve">A </w:t>
      </w:r>
      <w:r w:rsidRPr="008608AA">
        <w:rPr>
          <w:sz w:val="20"/>
          <w:szCs w:val="16"/>
        </w:rPr>
        <w:t>D</w:t>
      </w:r>
      <w:r w:rsidR="0053612E" w:rsidRPr="008608AA">
        <w:rPr>
          <w:sz w:val="20"/>
          <w:szCs w:val="16"/>
        </w:rPr>
        <w:t>ollars</w:t>
      </w:r>
      <w:r w:rsidRPr="008608AA">
        <w:rPr>
          <w:sz w:val="20"/>
          <w:szCs w:val="16"/>
        </w:rPr>
        <w:t xml:space="preserve"> value </w:t>
      </w:r>
      <w:r w:rsidR="0053612E" w:rsidRPr="008608AA">
        <w:rPr>
          <w:sz w:val="20"/>
          <w:szCs w:val="16"/>
        </w:rPr>
        <w:t>versus w</w:t>
      </w:r>
      <w:r w:rsidRPr="008608AA">
        <w:rPr>
          <w:sz w:val="20"/>
          <w:szCs w:val="16"/>
        </w:rPr>
        <w:t xml:space="preserve">orld, **COMTRADE </w:t>
      </w:r>
      <w:r w:rsidR="001A11EB" w:rsidRPr="008608AA">
        <w:rPr>
          <w:sz w:val="20"/>
          <w:szCs w:val="16"/>
        </w:rPr>
        <w:t>(</w:t>
      </w:r>
      <w:r w:rsidRPr="008608AA">
        <w:rPr>
          <w:sz w:val="20"/>
          <w:szCs w:val="16"/>
        </w:rPr>
        <w:t>2015</w:t>
      </w:r>
      <w:r w:rsidR="001A11EB" w:rsidRPr="008608AA">
        <w:rPr>
          <w:sz w:val="20"/>
          <w:szCs w:val="16"/>
        </w:rPr>
        <w:t>)</w:t>
      </w:r>
      <w:r w:rsidRPr="008608AA">
        <w:rPr>
          <w:sz w:val="20"/>
          <w:szCs w:val="16"/>
        </w:rPr>
        <w:t xml:space="preserve">, % of weight </w:t>
      </w:r>
      <w:r w:rsidR="0053612E" w:rsidRPr="008608AA">
        <w:rPr>
          <w:sz w:val="20"/>
          <w:szCs w:val="16"/>
        </w:rPr>
        <w:t>versus w</w:t>
      </w:r>
      <w:r w:rsidRPr="008608AA">
        <w:rPr>
          <w:sz w:val="20"/>
          <w:szCs w:val="16"/>
        </w:rPr>
        <w:t xml:space="preserve">orld, ***COMTRADE </w:t>
      </w:r>
      <w:r w:rsidR="001A11EB" w:rsidRPr="008608AA">
        <w:rPr>
          <w:sz w:val="20"/>
          <w:szCs w:val="16"/>
        </w:rPr>
        <w:t>(</w:t>
      </w:r>
      <w:r w:rsidRPr="008608AA">
        <w:rPr>
          <w:sz w:val="20"/>
          <w:szCs w:val="16"/>
        </w:rPr>
        <w:t>2015</w:t>
      </w:r>
      <w:r w:rsidR="001A11EB" w:rsidRPr="008608AA">
        <w:rPr>
          <w:sz w:val="20"/>
          <w:szCs w:val="16"/>
        </w:rPr>
        <w:t>)</w:t>
      </w:r>
      <w:r w:rsidRPr="008608AA">
        <w:rPr>
          <w:sz w:val="20"/>
          <w:szCs w:val="16"/>
        </w:rPr>
        <w:t>, % of US</w:t>
      </w:r>
      <w:r w:rsidR="0053612E" w:rsidRPr="008608AA">
        <w:rPr>
          <w:sz w:val="20"/>
          <w:szCs w:val="16"/>
        </w:rPr>
        <w:t xml:space="preserve">A </w:t>
      </w:r>
      <w:r w:rsidRPr="008608AA">
        <w:rPr>
          <w:sz w:val="20"/>
          <w:szCs w:val="16"/>
        </w:rPr>
        <w:t>D</w:t>
      </w:r>
      <w:r w:rsidR="0053612E" w:rsidRPr="008608AA">
        <w:rPr>
          <w:sz w:val="20"/>
          <w:szCs w:val="16"/>
        </w:rPr>
        <w:t>ollars</w:t>
      </w:r>
      <w:r w:rsidRPr="008608AA">
        <w:rPr>
          <w:sz w:val="20"/>
          <w:szCs w:val="16"/>
        </w:rPr>
        <w:t xml:space="preserve"> value </w:t>
      </w:r>
      <w:r w:rsidR="0053612E" w:rsidRPr="008608AA">
        <w:rPr>
          <w:sz w:val="20"/>
          <w:szCs w:val="16"/>
        </w:rPr>
        <w:t>versus w</w:t>
      </w:r>
      <w:r w:rsidRPr="008608AA">
        <w:rPr>
          <w:sz w:val="20"/>
          <w:szCs w:val="16"/>
        </w:rPr>
        <w:t xml:space="preserve">orld, ***COMTRADE </w:t>
      </w:r>
      <w:r w:rsidR="001A11EB" w:rsidRPr="008608AA">
        <w:rPr>
          <w:sz w:val="20"/>
          <w:szCs w:val="16"/>
        </w:rPr>
        <w:t>(</w:t>
      </w:r>
      <w:r w:rsidRPr="008608AA">
        <w:rPr>
          <w:sz w:val="20"/>
          <w:szCs w:val="16"/>
        </w:rPr>
        <w:t>2015</w:t>
      </w:r>
      <w:r w:rsidR="001A11EB" w:rsidRPr="008608AA">
        <w:rPr>
          <w:sz w:val="20"/>
          <w:szCs w:val="16"/>
        </w:rPr>
        <w:t>)</w:t>
      </w:r>
      <w:r w:rsidRPr="008608AA">
        <w:rPr>
          <w:sz w:val="20"/>
          <w:szCs w:val="16"/>
        </w:rPr>
        <w:t xml:space="preserve">, % of m3 volume </w:t>
      </w:r>
      <w:r w:rsidR="0053612E" w:rsidRPr="008608AA">
        <w:rPr>
          <w:sz w:val="20"/>
          <w:szCs w:val="16"/>
        </w:rPr>
        <w:t>versus w</w:t>
      </w:r>
      <w:r w:rsidRPr="008608AA">
        <w:rPr>
          <w:sz w:val="20"/>
          <w:szCs w:val="16"/>
        </w:rPr>
        <w:t>orld</w:t>
      </w:r>
    </w:p>
    <w:p w14:paraId="415927D1" w14:textId="236CEBAD" w:rsidR="001E61A6" w:rsidRPr="008608AA" w:rsidRDefault="001E61A6" w:rsidP="001E61A6">
      <w:pPr>
        <w:rPr>
          <w:rFonts w:eastAsia="Calibri"/>
        </w:rPr>
        <w:sectPr w:rsidR="001E61A6" w:rsidRPr="008608AA" w:rsidSect="004B74E6">
          <w:pgSz w:w="16839" w:h="11907" w:orient="landscape" w:code="9"/>
          <w:pgMar w:top="992" w:right="1418" w:bottom="1418" w:left="907" w:header="720" w:footer="539" w:gutter="0"/>
          <w:cols w:space="708"/>
          <w:docGrid w:linePitch="360"/>
        </w:sectPr>
      </w:pPr>
    </w:p>
    <w:p w14:paraId="14595964" w14:textId="77777777" w:rsidR="001E61A6" w:rsidRPr="008608AA" w:rsidRDefault="001E61A6" w:rsidP="004B74E6">
      <w:pPr>
        <w:pStyle w:val="Heading2"/>
      </w:pPr>
      <w:bookmarkStart w:id="1761" w:name="_Toc350507800"/>
      <w:bookmarkStart w:id="1762" w:name="_Toc477160203"/>
      <w:bookmarkStart w:id="1763" w:name="_Toc357244088"/>
      <w:bookmarkStart w:id="1764" w:name="_Toc357982001"/>
      <w:bookmarkStart w:id="1765" w:name="_Toc357985219"/>
      <w:bookmarkStart w:id="1766" w:name="_Toc499459681"/>
      <w:bookmarkStart w:id="1767" w:name="_Toc503293146"/>
      <w:bookmarkStart w:id="1768" w:name="_Toc503293744"/>
      <w:bookmarkStart w:id="1769" w:name="_Toc503294006"/>
      <w:bookmarkStart w:id="1770" w:name="_Toc503863399"/>
      <w:bookmarkStart w:id="1771" w:name="_Toc503863627"/>
      <w:bookmarkStart w:id="1772" w:name="_Toc517393393"/>
      <w:bookmarkStart w:id="1773" w:name="_Toc517394450"/>
      <w:bookmarkStart w:id="1774" w:name="_Toc517719134"/>
      <w:bookmarkStart w:id="1775" w:name="_Toc517797091"/>
      <w:r w:rsidRPr="008608AA">
        <w:t>Gaps in knowledge and data</w:t>
      </w:r>
      <w:bookmarkEnd w:id="1756"/>
      <w:bookmarkEnd w:id="1757"/>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p>
    <w:p w14:paraId="42C70A59" w14:textId="1A0C3AA0" w:rsidR="001E61A6" w:rsidRDefault="001E61A6" w:rsidP="00A26FD5">
      <w:pPr>
        <w:pStyle w:val="BodyText"/>
        <w:rPr>
          <w:lang w:val="en-US"/>
        </w:rPr>
      </w:pPr>
      <w:r w:rsidRPr="008608AA">
        <w:rPr>
          <w:lang w:val="en-US"/>
        </w:rPr>
        <w:t>Relevant information on indirect drivers is extremely limite</w:t>
      </w:r>
      <w:r w:rsidR="0053612E" w:rsidRPr="008608AA">
        <w:rPr>
          <w:lang w:val="en-US"/>
        </w:rPr>
        <w:t>d at environmental scales (e.g.</w:t>
      </w:r>
      <w:r w:rsidRPr="008608AA">
        <w:rPr>
          <w:lang w:val="en-US"/>
        </w:rPr>
        <w:t xml:space="preserve"> habitats, ecosystems, biomes), which in many cases may be more relevant </w:t>
      </w:r>
      <w:r w:rsidR="0053612E" w:rsidRPr="008608AA">
        <w:rPr>
          <w:lang w:val="en-US"/>
        </w:rPr>
        <w:t>than institutional scales (e.g.</w:t>
      </w:r>
      <w:r w:rsidRPr="008608AA">
        <w:rPr>
          <w:lang w:val="en-US"/>
        </w:rPr>
        <w:t xml:space="preserve"> administrative, municipalities, provinces, co</w:t>
      </w:r>
      <w:r w:rsidR="0053612E" w:rsidRPr="008608AA">
        <w:rPr>
          <w:lang w:val="en-US"/>
        </w:rPr>
        <w:t xml:space="preserve">untries) for IPBES assessments. </w:t>
      </w:r>
      <w:r w:rsidRPr="008608AA">
        <w:rPr>
          <w:lang w:val="en-US"/>
        </w:rPr>
        <w:t>In addition, internationally comparable data on indirect drivers are not always available for all countries and regions of the Americas being particularly limited for small economies.</w:t>
      </w:r>
    </w:p>
    <w:p w14:paraId="6231D315" w14:textId="77777777" w:rsidR="00A26FD5" w:rsidRPr="008608AA" w:rsidRDefault="00A26FD5" w:rsidP="00A26FD5">
      <w:pPr>
        <w:pStyle w:val="BodyText"/>
        <w:rPr>
          <w:lang w:val="en-US"/>
        </w:rPr>
      </w:pPr>
    </w:p>
    <w:p w14:paraId="68E4DAEF" w14:textId="30E8767E" w:rsidR="001E61A6" w:rsidRDefault="001E61A6" w:rsidP="00A26FD5">
      <w:pPr>
        <w:pStyle w:val="BodyText"/>
        <w:rPr>
          <w:lang w:val="en-US"/>
        </w:rPr>
      </w:pPr>
      <w:r w:rsidRPr="008608AA">
        <w:rPr>
          <w:lang w:val="en-US"/>
        </w:rPr>
        <w:t xml:space="preserve">The mechanisms by which direct drivers </w:t>
      </w:r>
      <w:r w:rsidR="0053612E" w:rsidRPr="008608AA">
        <w:rPr>
          <w:lang w:val="en-US"/>
        </w:rPr>
        <w:t xml:space="preserve">interact are poorly understood. </w:t>
      </w:r>
      <w:r w:rsidRPr="008608AA">
        <w:rPr>
          <w:lang w:val="en-US"/>
        </w:rPr>
        <w:t xml:space="preserve">The mechanisms include interactions between demographic parameters, evolutionary trade-offs and synergies and threshold effects of population size and patch occupancy on population persistence. Understanding how multiple drivers of global change interact to impact biodiversity and ecosystem services requires a multiscale approach as drivers act at from global to local scales, and their interactions have </w:t>
      </w:r>
      <w:r w:rsidRPr="00360ADC">
        <w:rPr>
          <w:lang w:val="en-US"/>
        </w:rPr>
        <w:t>emergent</w:t>
      </w:r>
      <w:r w:rsidRPr="008608AA">
        <w:rPr>
          <w:lang w:val="en-US"/>
        </w:rPr>
        <w:t xml:space="preserve"> properties (i.e. change with the scale). The lack of appropriate research is partially due to limited data availability and analytical issues in addressing interaction effects.</w:t>
      </w:r>
    </w:p>
    <w:p w14:paraId="61167F29" w14:textId="77777777" w:rsidR="00A26FD5" w:rsidRPr="008608AA" w:rsidRDefault="00A26FD5" w:rsidP="00A26FD5">
      <w:pPr>
        <w:pStyle w:val="BodyText"/>
        <w:rPr>
          <w:lang w:val="en-US"/>
        </w:rPr>
      </w:pPr>
    </w:p>
    <w:p w14:paraId="2EB00487" w14:textId="69ABB4D5" w:rsidR="001E61A6" w:rsidRPr="008608AA" w:rsidRDefault="001E61A6" w:rsidP="00A26FD5">
      <w:pPr>
        <w:pStyle w:val="BodyText"/>
        <w:rPr>
          <w:lang w:val="en-US"/>
        </w:rPr>
      </w:pPr>
      <w:r w:rsidRPr="008608AA">
        <w:rPr>
          <w:lang w:val="en-US"/>
        </w:rPr>
        <w:t>In the case of the Americas, for some regions, there is still substantial uncertainty associated to spatial and temporal magnitude of the drivers (e.g. area and spatial distribution of the different land-use classes and infrastructure maps, measurements and model forecasts for climate and nitrogen deposition, distribution of invasive species). For example, studies that quantify the impacts of invasive species on biodiversity and ecosystems are still very scarse, especially outside North America. In addition, there is very little information on the effects of nitrogen deposition on tropical forests, woodlands, savannas and grasslands (Bobbink et al., 2010). Likewise, in contrast to North America, no systematic surveys exist for pollutants, including agricultural chemicals, persistent organic pollutants and mercury, in South America, the Caribbean and Mesoamerica. Another major difficult to assess the effects of pesticides on biodiversity and ecosystem services is just knowing what pesticides are used, when and how much as well as having little information on the environmental occurr</w:t>
      </w:r>
      <w:r w:rsidR="0053612E" w:rsidRPr="008608AA">
        <w:rPr>
          <w:lang w:val="en-US"/>
        </w:rPr>
        <w:t xml:space="preserve">ence of these same pesticides. </w:t>
      </w:r>
      <w:r w:rsidRPr="008608AA">
        <w:rPr>
          <w:lang w:val="en-US"/>
        </w:rPr>
        <w:t>Regarding climate change, the degree to which climate change in tundra and boreal ecosystems will promote fires and droughts is not well-documented considering that these disturbances have major consequences for species productivity and dynamics in t</w:t>
      </w:r>
      <w:r w:rsidR="002E211A" w:rsidRPr="008608AA">
        <w:rPr>
          <w:lang w:val="en-US"/>
        </w:rPr>
        <w:t>his region (Abbott et al., 2016;</w:t>
      </w:r>
      <w:r w:rsidRPr="008608AA">
        <w:rPr>
          <w:lang w:val="en-US"/>
        </w:rPr>
        <w:t xml:space="preserve"> Pastick et al., 2017). </w:t>
      </w:r>
    </w:p>
    <w:p w14:paraId="31AA72A1" w14:textId="4E7D99BD" w:rsidR="001E61A6" w:rsidRPr="008608AA" w:rsidRDefault="001E61A6" w:rsidP="00A26FD5">
      <w:pPr>
        <w:pStyle w:val="BodyText"/>
        <w:rPr>
          <w:lang w:val="en-US"/>
        </w:rPr>
      </w:pPr>
      <w:r w:rsidRPr="008608AA">
        <w:rPr>
          <w:lang w:val="en-US"/>
        </w:rPr>
        <w:t>For some ecosystems, lack of consistent information on drivers of change is observed in all subregions of the Americas. Trends in land condition, and drivers of those trends, remain unstudied or understudied</w:t>
      </w:r>
      <w:r w:rsidRPr="008608AA">
        <w:rPr>
          <w:color w:val="18376A"/>
          <w:lang w:val="en-US" w:eastAsia="en-US"/>
        </w:rPr>
        <w:t xml:space="preserve"> </w:t>
      </w:r>
      <w:r w:rsidRPr="008608AA">
        <w:rPr>
          <w:lang w:val="en-US"/>
        </w:rPr>
        <w:t xml:space="preserve">in most dryland areas across the Americas. </w:t>
      </w:r>
      <w:r w:rsidRPr="008608AA">
        <w:rPr>
          <w:lang w:val="en-AU"/>
        </w:rPr>
        <w:t xml:space="preserve">Coastal aquatic and pelagic ocean biodiversity also remains poorly characterized throughout the Americas. Understanding how sensitive areas change in relation to regional- to global-scale processes, a </w:t>
      </w:r>
      <w:r w:rsidRPr="00360ADC">
        <w:rPr>
          <w:lang w:val="en-US"/>
        </w:rPr>
        <w:t>mechanism</w:t>
      </w:r>
      <w:r w:rsidRPr="008608AA">
        <w:rPr>
          <w:lang w:val="en-AU"/>
        </w:rPr>
        <w:t xml:space="preserve"> to communicate the needs of people making decisions about local resources to scientists, and pathways to deliver scientific knowledge to decision makers remain prioritary needs for the region. At this time it is not possible to make a generalized statement of impacts of global changes in physical ocean dynamics and atmospheric </w:t>
      </w:r>
      <w:r w:rsidR="00E03ED4" w:rsidRPr="008608AA">
        <w:rPr>
          <w:lang w:val="en-AU"/>
        </w:rPr>
        <w:t>carbon dioxide</w:t>
      </w:r>
      <w:r w:rsidRPr="008608AA">
        <w:rPr>
          <w:lang w:val="en-AU"/>
        </w:rPr>
        <w:t xml:space="preserve"> concentrations on coastal ecology. </w:t>
      </w:r>
      <w:r w:rsidRPr="008608AA">
        <w:rPr>
          <w:lang w:val="en-US"/>
        </w:rPr>
        <w:t>Another major unknown is the fate of plastic pollution in coastal regions of the Americas, as the amount of plastic pollution on the ocean surface is much less than the amount that is released to oceans, yet we know that many plastics can take hundreds of years to degrade (Clark et al., 2016).</w:t>
      </w:r>
    </w:p>
    <w:p w14:paraId="72FC5E2E" w14:textId="77777777" w:rsidR="001E61A6" w:rsidRPr="008608AA" w:rsidRDefault="001E61A6" w:rsidP="00A26FD5">
      <w:pPr>
        <w:pStyle w:val="BodyText"/>
        <w:rPr>
          <w:lang w:val="en-AU"/>
        </w:rPr>
      </w:pPr>
      <w:r w:rsidRPr="008608AA">
        <w:rPr>
          <w:lang w:val="en-AU"/>
        </w:rPr>
        <w:t>A major limitation in the study and management of coastal zones around the world has been the lack of a capacity to collect, handle, and process repeated, frequent observations of aquatic and nearby wetland resources in an integrated manner to enable the detection of changes in the chemistry and in the diversity of wetland and aquatic organisms.</w:t>
      </w:r>
    </w:p>
    <w:p w14:paraId="56B606CB" w14:textId="4A57C927" w:rsidR="001E61A6" w:rsidRPr="008608AA" w:rsidRDefault="001E61A6" w:rsidP="00A26FD5">
      <w:pPr>
        <w:pStyle w:val="BodyText"/>
        <w:rPr>
          <w:lang w:val="en-GB"/>
        </w:rPr>
      </w:pPr>
      <w:r w:rsidRPr="008608AA">
        <w:rPr>
          <w:lang w:val="en-GB"/>
        </w:rPr>
        <w:t>Regarding American mangroves, more data o</w:t>
      </w:r>
      <w:r w:rsidR="0053612E" w:rsidRPr="008608AA">
        <w:rPr>
          <w:lang w:val="en-GB"/>
        </w:rPr>
        <w:t>n consequences of nitrogen and phosphorus</w:t>
      </w:r>
      <w:r w:rsidRPr="008608AA">
        <w:rPr>
          <w:lang w:val="en-GB"/>
        </w:rPr>
        <w:t xml:space="preserve"> enrichment to nutrient cycling rates, fluxes and stocks, sediment microbial communities structure and functioning, and the resulting primary productivity in the different types of mangroves are needed, especially in underrepresented areas like South America (Reis et al., 2017). Information </w:t>
      </w:r>
      <w:r w:rsidRPr="00360ADC">
        <w:rPr>
          <w:lang w:val="en-US"/>
        </w:rPr>
        <w:t>about</w:t>
      </w:r>
      <w:r w:rsidRPr="008608AA">
        <w:rPr>
          <w:lang w:val="en-GB"/>
        </w:rPr>
        <w:t xml:space="preserve"> oil contamination effects on sediment microbial communities and the effects of bioremediation techniques on microbial diversity in mangroves are a</w:t>
      </w:r>
      <w:r w:rsidR="002E211A" w:rsidRPr="008608AA">
        <w:rPr>
          <w:lang w:val="en-GB"/>
        </w:rPr>
        <w:t>lso needed (Santos et al., 2011;</w:t>
      </w:r>
      <w:r w:rsidRPr="008608AA">
        <w:rPr>
          <w:lang w:val="en-GB"/>
        </w:rPr>
        <w:t xml:space="preserve"> Machado </w:t>
      </w:r>
      <w:r w:rsidR="002E211A" w:rsidRPr="008608AA">
        <w:rPr>
          <w:lang w:val="en-GB"/>
        </w:rPr>
        <w:t>&amp;</w:t>
      </w:r>
      <w:r w:rsidRPr="008608AA">
        <w:rPr>
          <w:lang w:val="en-GB"/>
        </w:rPr>
        <w:t xml:space="preserve"> Lacerda</w:t>
      </w:r>
      <w:r w:rsidR="002E211A" w:rsidRPr="008608AA">
        <w:rPr>
          <w:lang w:val="en-GB"/>
        </w:rPr>
        <w:t>,</w:t>
      </w:r>
      <w:r w:rsidRPr="008608AA">
        <w:rPr>
          <w:lang w:val="en-GB"/>
        </w:rPr>
        <w:t xml:space="preserve"> 2004). </w:t>
      </w:r>
    </w:p>
    <w:p w14:paraId="202F6BCB" w14:textId="77777777" w:rsidR="001E61A6" w:rsidRPr="008608AA" w:rsidRDefault="001E61A6" w:rsidP="00A26FD5">
      <w:pPr>
        <w:pStyle w:val="BodyText"/>
        <w:rPr>
          <w:lang w:val="en-US"/>
        </w:rPr>
      </w:pPr>
      <w:r w:rsidRPr="008608AA">
        <w:rPr>
          <w:lang w:val="en-US"/>
        </w:rPr>
        <w:t xml:space="preserve">Improved management for overharvested species requires inventories, </w:t>
      </w:r>
      <w:r w:rsidRPr="00360ADC">
        <w:rPr>
          <w:lang w:val="en-US"/>
        </w:rPr>
        <w:t>baselines</w:t>
      </w:r>
      <w:r w:rsidRPr="008608AA">
        <w:rPr>
          <w:lang w:val="en-US"/>
        </w:rPr>
        <w:t>, and monitoring knowledge of targeted species. Managers need to know population densities, sizes and trends, breeding and migration patterns, and ecological conditions they require. Understanding the threats that are causing their decline (e.g. trade markets) as well as traditional values and knowledge will assist both management and enforcement.</w:t>
      </w:r>
    </w:p>
    <w:p w14:paraId="1B46D953" w14:textId="6D71B8CA" w:rsidR="00667BFE" w:rsidRPr="008608AA" w:rsidRDefault="001E61A6" w:rsidP="00A26FD5">
      <w:pPr>
        <w:pStyle w:val="BodyText"/>
        <w:rPr>
          <w:lang w:val="en-US"/>
        </w:rPr>
      </w:pPr>
      <w:r w:rsidRPr="008608AA">
        <w:rPr>
          <w:lang w:val="en-US"/>
        </w:rPr>
        <w:t>There are active efforts to organize partnerships and collaborations to observe biodiversity and ecosystem characteristics in the Americas. Specifically, a series of Biodiversity Observation Network efforts are being organized under the Group on Earth Observations with some of these are at the country level. Networks of regional observation systems that collaborate and share information, and that work jointly to understand biodiversity and ecosystems could provide support to existing national programs and contribute to address United Nations</w:t>
      </w:r>
      <w:r w:rsidR="00412EEB" w:rsidRPr="008608AA">
        <w:rPr>
          <w:lang w:val="en-US"/>
        </w:rPr>
        <w:t xml:space="preserve"> </w:t>
      </w:r>
      <w:r w:rsidRPr="008608AA">
        <w:rPr>
          <w:lang w:val="en-US"/>
        </w:rPr>
        <w:t>SDG.</w:t>
      </w:r>
    </w:p>
    <w:p w14:paraId="3ECAFE57" w14:textId="77777777" w:rsidR="004B74E6" w:rsidRPr="008608AA" w:rsidRDefault="004B74E6" w:rsidP="00667BFE">
      <w:pPr>
        <w:pStyle w:val="BodyText"/>
        <w:spacing w:before="120"/>
        <w:rPr>
          <w:rFonts w:ascii="Times New Roman" w:hAnsi="Times New Roman" w:cs="Times New Roman"/>
          <w:szCs w:val="22"/>
          <w:lang w:val="en-US"/>
        </w:rPr>
      </w:pPr>
    </w:p>
    <w:p w14:paraId="7F091870" w14:textId="77777777" w:rsidR="001E61A6" w:rsidRPr="008608AA" w:rsidRDefault="001E61A6" w:rsidP="004B74E6">
      <w:pPr>
        <w:pStyle w:val="Heading2"/>
      </w:pPr>
      <w:bookmarkStart w:id="1776" w:name="_Toc350507801"/>
      <w:bookmarkStart w:id="1777" w:name="_Toc477160204"/>
      <w:bookmarkStart w:id="1778" w:name="_Toc357244089"/>
      <w:bookmarkStart w:id="1779" w:name="_Toc357982002"/>
      <w:bookmarkStart w:id="1780" w:name="_Toc357985220"/>
      <w:bookmarkStart w:id="1781" w:name="_Toc499459682"/>
      <w:bookmarkStart w:id="1782" w:name="_Toc503293147"/>
      <w:bookmarkStart w:id="1783" w:name="_Toc503293745"/>
      <w:bookmarkStart w:id="1784" w:name="_Toc503294007"/>
      <w:bookmarkStart w:id="1785" w:name="_Toc503863400"/>
      <w:bookmarkStart w:id="1786" w:name="_Toc503863628"/>
      <w:bookmarkStart w:id="1787" w:name="_Toc517393394"/>
      <w:bookmarkStart w:id="1788" w:name="_Toc517394451"/>
      <w:bookmarkStart w:id="1789" w:name="_Toc517719135"/>
      <w:bookmarkStart w:id="1790" w:name="_Toc517797092"/>
      <w:r w:rsidRPr="008608AA">
        <w:t>Supplementary material</w:t>
      </w:r>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r w:rsidRPr="008608AA">
        <w:t xml:space="preserve">  </w:t>
      </w:r>
    </w:p>
    <w:p w14:paraId="1AFB87CA" w14:textId="2FD46927" w:rsidR="001E61A6" w:rsidRPr="008608AA" w:rsidRDefault="004B74E6" w:rsidP="004B74E6">
      <w:pPr>
        <w:pStyle w:val="Caption"/>
        <w:rPr>
          <w:szCs w:val="22"/>
        </w:rPr>
      </w:pPr>
      <w:bookmarkStart w:id="1791" w:name="_Toc499200389"/>
      <w:bookmarkStart w:id="1792" w:name="_Toc499459232"/>
      <w:bookmarkStart w:id="1793" w:name="_Hlk494358087"/>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17</w:t>
      </w:r>
      <w:r w:rsidR="000E562E">
        <w:rPr>
          <w:noProof/>
        </w:rPr>
        <w:fldChar w:fldCharType="end"/>
      </w:r>
      <w:r w:rsidRPr="008608AA">
        <w:t xml:space="preserve">. </w:t>
      </w:r>
      <w:r w:rsidR="001E61A6" w:rsidRPr="008608AA">
        <w:rPr>
          <w:szCs w:val="22"/>
        </w:rPr>
        <w:t>Nutrient pollution in the Mississippi River and Gulf of Mexico</w:t>
      </w:r>
      <w:bookmarkEnd w:id="1791"/>
      <w:bookmarkEnd w:id="1792"/>
    </w:p>
    <w:tbl>
      <w:tblPr>
        <w:tblStyle w:val="TableGrid"/>
        <w:tblW w:w="5000" w:type="pct"/>
        <w:tblLook w:val="04A0" w:firstRow="1" w:lastRow="0" w:firstColumn="1" w:lastColumn="0" w:noHBand="0" w:noVBand="1"/>
      </w:tblPr>
      <w:tblGrid>
        <w:gridCol w:w="9487"/>
      </w:tblGrid>
      <w:tr w:rsidR="001E61A6" w:rsidRPr="00A26FD5" w14:paraId="3A2900A8" w14:textId="77777777" w:rsidTr="005C080D">
        <w:tc>
          <w:tcPr>
            <w:tcW w:w="5000" w:type="pct"/>
          </w:tcPr>
          <w:bookmarkEnd w:id="1793"/>
          <w:p w14:paraId="3E95079B" w14:textId="25366A4B" w:rsidR="001E61A6" w:rsidRPr="00A26FD5" w:rsidRDefault="001E61A6" w:rsidP="004B74E6">
            <w:pPr>
              <w:pStyle w:val="BodyText"/>
              <w:spacing w:before="120"/>
              <w:rPr>
                <w:rFonts w:cs="Times New Roman"/>
                <w:szCs w:val="22"/>
                <w:lang w:val="en-GB"/>
              </w:rPr>
            </w:pPr>
            <w:r w:rsidRPr="00A26FD5">
              <w:rPr>
                <w:rFonts w:cs="Times New Roman"/>
                <w:szCs w:val="22"/>
                <w:lang w:val="en-GB"/>
              </w:rPr>
              <w:t>Run</w:t>
            </w:r>
            <w:r w:rsidR="00C656B6" w:rsidRPr="00A26FD5">
              <w:rPr>
                <w:rFonts w:cs="Times New Roman"/>
                <w:szCs w:val="22"/>
                <w:lang w:val="en-GB"/>
              </w:rPr>
              <w:t>-</w:t>
            </w:r>
            <w:r w:rsidRPr="00A26FD5">
              <w:rPr>
                <w:rFonts w:cs="Times New Roman"/>
                <w:szCs w:val="22"/>
                <w:lang w:val="en-GB"/>
              </w:rPr>
              <w:t>off from fields used for food and fiber production, point sources of municipal waste (from human waste and manufacturing), as well asand urban run</w:t>
            </w:r>
            <w:r w:rsidR="00C656B6" w:rsidRPr="00A26FD5">
              <w:rPr>
                <w:rFonts w:cs="Times New Roman"/>
                <w:szCs w:val="22"/>
                <w:lang w:val="en-GB"/>
              </w:rPr>
              <w:t>-</w:t>
            </w:r>
            <w:r w:rsidRPr="00A26FD5">
              <w:rPr>
                <w:rFonts w:cs="Times New Roman"/>
                <w:szCs w:val="22"/>
                <w:lang w:val="en-GB"/>
              </w:rPr>
              <w:t xml:space="preserve">off, can transport nutrients and sediment to rivers and streams. This can increase nutrient </w:t>
            </w:r>
            <w:r w:rsidR="00DD5D96" w:rsidRPr="00A26FD5">
              <w:rPr>
                <w:rFonts w:eastAsia="Calibri" w:cs="Times New Roman"/>
                <w:szCs w:val="22"/>
                <w:lang w:val="en-US"/>
              </w:rPr>
              <w:t xml:space="preserve">(phosphorus, nitrogen, and carbon) </w:t>
            </w:r>
            <w:r w:rsidRPr="00A26FD5">
              <w:rPr>
                <w:rFonts w:cs="Times New Roman"/>
                <w:szCs w:val="22"/>
                <w:lang w:val="en-GB"/>
              </w:rPr>
              <w:t>concentrations and promote algal and aquatic vegetation growth causing eutrophication.</w:t>
            </w:r>
          </w:p>
          <w:p w14:paraId="76519A20" w14:textId="5FB9FA14" w:rsidR="001E61A6" w:rsidRPr="00A26FD5" w:rsidRDefault="001E61A6" w:rsidP="004B74E6">
            <w:pPr>
              <w:pStyle w:val="BodyText"/>
              <w:spacing w:before="120"/>
              <w:rPr>
                <w:rFonts w:cs="Times New Roman"/>
                <w:szCs w:val="22"/>
                <w:lang w:val="en-GB"/>
              </w:rPr>
            </w:pPr>
            <w:r w:rsidRPr="00A26FD5">
              <w:rPr>
                <w:rFonts w:cs="Times New Roman"/>
                <w:szCs w:val="22"/>
                <w:lang w:val="en-GB"/>
              </w:rPr>
              <w:t xml:space="preserve">Over the last 30 years a hypoxic zone in the northern Gulf of Mexico has been measured each summer. This is an area along the Louisiana-Texas coast in which water near the bottom of the Gulf </w:t>
            </w:r>
            <w:r w:rsidR="00C656B6" w:rsidRPr="00A26FD5">
              <w:rPr>
                <w:rFonts w:cs="Times New Roman"/>
                <w:szCs w:val="22"/>
                <w:lang w:val="en-GB"/>
              </w:rPr>
              <w:t>contains less than two</w:t>
            </w:r>
            <w:r w:rsidRPr="00A26FD5">
              <w:rPr>
                <w:rFonts w:cs="Times New Roman"/>
                <w:szCs w:val="22"/>
                <w:lang w:val="en-GB"/>
              </w:rPr>
              <w:t xml:space="preserve"> parts per million of dissolved oxygen. Hypoxia can cause fish to leave the area disrupting fisheries and can cause stress or death to bottom dwelling organisms that can’t move out of the hypoxic zone. Hypoxia is believed to be caused primarily by excess nutrients </w:t>
            </w:r>
            <w:r w:rsidR="00C656B6" w:rsidRPr="00A26FD5">
              <w:rPr>
                <w:rFonts w:cs="Times New Roman"/>
                <w:szCs w:val="22"/>
                <w:lang w:val="en-GB"/>
              </w:rPr>
              <w:t>delivered from the Mississippi r</w:t>
            </w:r>
            <w:r w:rsidRPr="00A26FD5">
              <w:rPr>
                <w:rFonts w:cs="Times New Roman"/>
                <w:szCs w:val="22"/>
                <w:lang w:val="en-GB"/>
              </w:rPr>
              <w:t>iver in combination with seasonal stratification of Gulf waters. Excess nutrients promote algal and attendant zooplankton growth. The associated organic matter sinks to the bottom where it decomposes, consuming available oxygen. Stratification of fresh and saline waters prevents oxygen replenishment by mixing of oxygen-rich surface water with oxygen-depleted bottom water. Despite scientific concern, serious debate and billions of dollars used to ameliorate the offsite movement o</w:t>
            </w:r>
            <w:r w:rsidR="00C656B6" w:rsidRPr="00A26FD5">
              <w:rPr>
                <w:rFonts w:cs="Times New Roman"/>
                <w:szCs w:val="22"/>
                <w:lang w:val="en-GB"/>
              </w:rPr>
              <w:t>f nutrients in the Mississippi river b</w:t>
            </w:r>
            <w:r w:rsidRPr="00A26FD5">
              <w:rPr>
                <w:rFonts w:cs="Times New Roman"/>
                <w:szCs w:val="22"/>
                <w:lang w:val="en-GB"/>
              </w:rPr>
              <w:t>asin over the past 20 years, the amount of nutrients being d</w:t>
            </w:r>
            <w:r w:rsidR="00C656B6" w:rsidRPr="00A26FD5">
              <w:rPr>
                <w:rFonts w:cs="Times New Roman"/>
                <w:szCs w:val="22"/>
                <w:lang w:val="en-GB"/>
              </w:rPr>
              <w:t>ischarged from the Mississippi r</w:t>
            </w:r>
            <w:r w:rsidRPr="00A26FD5">
              <w:rPr>
                <w:rFonts w:cs="Times New Roman"/>
                <w:szCs w:val="22"/>
                <w:lang w:val="en-GB"/>
              </w:rPr>
              <w:t xml:space="preserve">iver into the Gulf of Mexico has not decreased (Sprague et al., 2011). </w:t>
            </w:r>
          </w:p>
          <w:p w14:paraId="3392AF24" w14:textId="78A85A1C" w:rsidR="001E61A6" w:rsidRPr="00A26FD5" w:rsidRDefault="00C656B6" w:rsidP="004B74E6">
            <w:pPr>
              <w:pStyle w:val="BodyText"/>
              <w:spacing w:before="120"/>
              <w:rPr>
                <w:rFonts w:cs="Times New Roman"/>
                <w:szCs w:val="22"/>
                <w:lang w:val="en-GB"/>
              </w:rPr>
            </w:pPr>
            <w:r w:rsidRPr="00A26FD5">
              <w:rPr>
                <w:rFonts w:cs="Times New Roman"/>
                <w:szCs w:val="22"/>
                <w:lang w:val="en-GB"/>
              </w:rPr>
              <w:t>Shorebirds like the i</w:t>
            </w:r>
            <w:r w:rsidR="001E61A6" w:rsidRPr="00A26FD5">
              <w:rPr>
                <w:rFonts w:cs="Times New Roman"/>
                <w:szCs w:val="22"/>
                <w:lang w:val="en-GB"/>
              </w:rPr>
              <w:t>nterior least tern and piping plover preferred habitat is sparsely vegetated sandbars along rivers or lakes</w:t>
            </w:r>
            <w:r w:rsidR="00882F21" w:rsidRPr="00A26FD5">
              <w:rPr>
                <w:rFonts w:cs="Times New Roman"/>
                <w:szCs w:val="22"/>
                <w:lang w:val="en-GB"/>
              </w:rPr>
              <w:t xml:space="preserve"> and reservoir shorelines. The i</w:t>
            </w:r>
            <w:r w:rsidR="001E61A6" w:rsidRPr="00A26FD5">
              <w:rPr>
                <w:rFonts w:cs="Times New Roman"/>
                <w:szCs w:val="22"/>
                <w:lang w:val="en-GB"/>
              </w:rPr>
              <w:t>nterior least tern was put on the Endangered Species List in the USA in 1985 and it was widely believed that river engineering threatened the species continu</w:t>
            </w:r>
            <w:r w:rsidRPr="00A26FD5">
              <w:rPr>
                <w:rFonts w:cs="Times New Roman"/>
                <w:szCs w:val="22"/>
                <w:lang w:val="en-GB"/>
              </w:rPr>
              <w:t>ed existence especially in the lower Mississippi river. In 2013, a G</w:t>
            </w:r>
            <w:r w:rsidR="001E61A6" w:rsidRPr="00A26FD5">
              <w:rPr>
                <w:rFonts w:cs="Times New Roman"/>
                <w:szCs w:val="22"/>
                <w:lang w:val="en-GB"/>
              </w:rPr>
              <w:t>overnme</w:t>
            </w:r>
            <w:r w:rsidRPr="00A26FD5">
              <w:rPr>
                <w:rFonts w:cs="Times New Roman"/>
                <w:szCs w:val="22"/>
                <w:lang w:val="en-GB"/>
              </w:rPr>
              <w:t>nt report recommended that the i</w:t>
            </w:r>
            <w:r w:rsidR="001E61A6" w:rsidRPr="00A26FD5">
              <w:rPr>
                <w:rFonts w:cs="Times New Roman"/>
                <w:szCs w:val="22"/>
                <w:lang w:val="en-GB"/>
              </w:rPr>
              <w:t>nterior least tern be removed from the list of plants and animals protected by the</w:t>
            </w:r>
            <w:r w:rsidR="001371D9" w:rsidRPr="00A26FD5">
              <w:rPr>
                <w:rFonts w:cs="Times New Roman"/>
                <w:szCs w:val="22"/>
                <w:lang w:val="en-GB"/>
              </w:rPr>
              <w:t xml:space="preserve"> Endangered Species Act</w:t>
            </w:r>
            <w:r w:rsidR="001E61A6" w:rsidRPr="00A26FD5">
              <w:rPr>
                <w:rFonts w:cs="Times New Roman"/>
                <w:szCs w:val="22"/>
                <w:lang w:val="en-GB"/>
              </w:rPr>
              <w:t>. Much of the credit for this has been given to two Federal agencies, The Fish and Wildlife Service and the Army Corps of Engineers who have specific differing responsibilit</w:t>
            </w:r>
            <w:r w:rsidRPr="00A26FD5">
              <w:rPr>
                <w:rFonts w:cs="Times New Roman"/>
                <w:szCs w:val="22"/>
                <w:lang w:val="en-GB"/>
              </w:rPr>
              <w:t>ies in manging the Mississippi river b</w:t>
            </w:r>
            <w:r w:rsidR="001E61A6" w:rsidRPr="00A26FD5">
              <w:rPr>
                <w:rFonts w:cs="Times New Roman"/>
                <w:szCs w:val="22"/>
                <w:lang w:val="en-GB"/>
              </w:rPr>
              <w:t>asin, but decided to cooperate in order to achieve objectives of flood control, navigation, and biodiversity (Nielsen</w:t>
            </w:r>
            <w:r w:rsidR="002E211A" w:rsidRPr="00A26FD5">
              <w:rPr>
                <w:rFonts w:cs="Times New Roman"/>
                <w:szCs w:val="22"/>
                <w:lang w:val="en-GB"/>
              </w:rPr>
              <w:t>,</w:t>
            </w:r>
            <w:r w:rsidR="001E61A6" w:rsidRPr="00A26FD5">
              <w:rPr>
                <w:rFonts w:cs="Times New Roman"/>
                <w:szCs w:val="22"/>
                <w:lang w:val="en-GB"/>
              </w:rPr>
              <w:t xml:space="preserve"> 2014). </w:t>
            </w:r>
          </w:p>
          <w:p w14:paraId="1D55D91D" w14:textId="592DE64F" w:rsidR="001E61A6" w:rsidRPr="00A26FD5" w:rsidRDefault="001E61A6" w:rsidP="004B74E6">
            <w:pPr>
              <w:pStyle w:val="BodyText"/>
              <w:spacing w:before="120"/>
              <w:rPr>
                <w:rFonts w:cs="Times New Roman"/>
                <w:szCs w:val="22"/>
                <w:lang w:val="en-GB"/>
              </w:rPr>
            </w:pPr>
            <w:r w:rsidRPr="00A26FD5">
              <w:rPr>
                <w:rFonts w:cs="Times New Roman"/>
                <w:szCs w:val="22"/>
                <w:lang w:val="en-GB"/>
              </w:rPr>
              <w:t>On</w:t>
            </w:r>
            <w:r w:rsidR="00882F21" w:rsidRPr="00A26FD5">
              <w:rPr>
                <w:rFonts w:cs="Times New Roman"/>
                <w:szCs w:val="22"/>
                <w:lang w:val="en-GB"/>
              </w:rPr>
              <w:t>e of the major improvements to i</w:t>
            </w:r>
            <w:r w:rsidRPr="00A26FD5">
              <w:rPr>
                <w:rFonts w:cs="Times New Roman"/>
                <w:szCs w:val="22"/>
                <w:lang w:val="en-GB"/>
              </w:rPr>
              <w:t>nterior least tern habitat came from a slight modification to the m</w:t>
            </w:r>
            <w:r w:rsidR="00882F21" w:rsidRPr="00A26FD5">
              <w:rPr>
                <w:rFonts w:cs="Times New Roman"/>
                <w:szCs w:val="22"/>
                <w:lang w:val="en-GB"/>
              </w:rPr>
              <w:t>any engineered dikes along the lower Mississippi r</w:t>
            </w:r>
            <w:r w:rsidRPr="00A26FD5">
              <w:rPr>
                <w:rFonts w:cs="Times New Roman"/>
                <w:szCs w:val="22"/>
                <w:lang w:val="en-GB"/>
              </w:rPr>
              <w:t xml:space="preserve">iver which are used to focus the current into the main channel. Many of this dikes had notches built into them that allow some water through and creates backwater </w:t>
            </w:r>
            <w:r w:rsidR="00882F21" w:rsidRPr="00A26FD5">
              <w:rPr>
                <w:rFonts w:cs="Times New Roman"/>
                <w:szCs w:val="22"/>
                <w:lang w:val="en-GB"/>
              </w:rPr>
              <w:t>for fish habitat and keeps the i</w:t>
            </w:r>
            <w:r w:rsidRPr="00A26FD5">
              <w:rPr>
                <w:rFonts w:cs="Times New Roman"/>
                <w:szCs w:val="22"/>
                <w:lang w:val="en-GB"/>
              </w:rPr>
              <w:t>nterior least tern sand bars, isolated from shore and away from mam</w:t>
            </w:r>
            <w:r w:rsidR="00882F21" w:rsidRPr="00A26FD5">
              <w:rPr>
                <w:rFonts w:cs="Times New Roman"/>
                <w:szCs w:val="22"/>
                <w:lang w:val="en-GB"/>
              </w:rPr>
              <w:t xml:space="preserve">malian predators. Now, </w:t>
            </w:r>
            <w:r w:rsidR="00EA3CC1" w:rsidRPr="00A26FD5">
              <w:rPr>
                <w:rFonts w:cs="Times New Roman"/>
                <w:szCs w:val="22"/>
                <w:lang w:val="en-GB"/>
              </w:rPr>
              <w:t>as Paul Hartfield, from Jackson, Mississippi, says “</w:t>
            </w:r>
            <w:r w:rsidR="00882F21" w:rsidRPr="00A26FD5">
              <w:rPr>
                <w:rFonts w:cs="Times New Roman"/>
                <w:szCs w:val="22"/>
                <w:lang w:val="en-GB"/>
              </w:rPr>
              <w:t>the i</w:t>
            </w:r>
            <w:r w:rsidRPr="00A26FD5">
              <w:rPr>
                <w:rFonts w:cs="Times New Roman"/>
                <w:szCs w:val="22"/>
                <w:lang w:val="en-GB"/>
              </w:rPr>
              <w:t>nterior least tern is one of the m</w:t>
            </w:r>
            <w:r w:rsidR="00882F21" w:rsidRPr="00A26FD5">
              <w:rPr>
                <w:rFonts w:cs="Times New Roman"/>
                <w:szCs w:val="22"/>
                <w:lang w:val="en-GB"/>
              </w:rPr>
              <w:t>ost abundant shorebirds in the lower Mississippi r</w:t>
            </w:r>
            <w:r w:rsidRPr="00A26FD5">
              <w:rPr>
                <w:rFonts w:cs="Times New Roman"/>
                <w:szCs w:val="22"/>
                <w:lang w:val="en-GB"/>
              </w:rPr>
              <w:t>iver</w:t>
            </w:r>
            <w:r w:rsidR="00EA3CC1" w:rsidRPr="00A26FD5">
              <w:rPr>
                <w:rFonts w:cs="Times New Roman"/>
                <w:szCs w:val="22"/>
                <w:lang w:val="en-GB"/>
              </w:rPr>
              <w:t>” (Nielsen</w:t>
            </w:r>
            <w:r w:rsidR="002E211A" w:rsidRPr="00A26FD5">
              <w:rPr>
                <w:rFonts w:cs="Times New Roman"/>
                <w:szCs w:val="22"/>
                <w:lang w:val="en-GB"/>
              </w:rPr>
              <w:t>,</w:t>
            </w:r>
            <w:r w:rsidR="00EA3CC1" w:rsidRPr="00A26FD5">
              <w:rPr>
                <w:rFonts w:cs="Times New Roman"/>
                <w:szCs w:val="22"/>
                <w:lang w:val="en-GB"/>
              </w:rPr>
              <w:t xml:space="preserve"> 2014)</w:t>
            </w:r>
            <w:r w:rsidRPr="00A26FD5">
              <w:rPr>
                <w:rFonts w:cs="Times New Roman"/>
                <w:szCs w:val="22"/>
                <w:lang w:val="en-GB"/>
              </w:rPr>
              <w:t>.</w:t>
            </w:r>
          </w:p>
          <w:p w14:paraId="3EEFB31F" w14:textId="77777777" w:rsidR="00A04C10" w:rsidRPr="00A26FD5" w:rsidRDefault="001E61A6" w:rsidP="004B74E6">
            <w:pPr>
              <w:pStyle w:val="BodyText"/>
              <w:spacing w:before="120"/>
              <w:rPr>
                <w:rFonts w:cs="Times New Roman"/>
                <w:szCs w:val="22"/>
                <w:lang w:val="en-GB"/>
              </w:rPr>
            </w:pPr>
            <w:r w:rsidRPr="00A26FD5">
              <w:rPr>
                <w:rFonts w:cs="Times New Roman"/>
                <w:szCs w:val="22"/>
                <w:lang w:val="en-GB"/>
              </w:rPr>
              <w:t>Nutrient and organic matter pollution from human sewage, urban runoff and agriculture are also a major concern in Central and South America and the Caribbean. Most municipal wastewater in South America is not treated, and rivers and estuaries draining lands with large urban areas or extensive agriculture, like the Río de la Plata, exhibit relatively high concentrations of dissolved nitrogen and organic matter (Bustamante et a</w:t>
            </w:r>
            <w:r w:rsidR="002E211A" w:rsidRPr="00A26FD5">
              <w:rPr>
                <w:rFonts w:cs="Times New Roman"/>
                <w:szCs w:val="22"/>
                <w:lang w:val="en-GB"/>
              </w:rPr>
              <w:t>l., 2015; Mekonnen et al., 2015;</w:t>
            </w:r>
            <w:r w:rsidRPr="00A26FD5">
              <w:rPr>
                <w:rFonts w:cs="Times New Roman"/>
                <w:szCs w:val="22"/>
                <w:lang w:val="en-GB"/>
              </w:rPr>
              <w:t xml:space="preserve"> Venturini et al., 2015). Eutrophic zones are also found in the Amazon river basin.</w:t>
            </w:r>
          </w:p>
          <w:p w14:paraId="0176E9A2" w14:textId="0CB792B1" w:rsidR="001E61A6" w:rsidRPr="00A26FD5" w:rsidRDefault="00A04C10" w:rsidP="00A04C10">
            <w:pPr>
              <w:rPr>
                <w:szCs w:val="22"/>
                <w:lang w:val="en-GB"/>
              </w:rPr>
            </w:pPr>
            <w:r w:rsidRPr="00A26FD5">
              <w:rPr>
                <w:noProof/>
                <w:szCs w:val="22"/>
                <w:lang w:val="en-GB" w:eastAsia="en-GB"/>
              </w:rPr>
              <w:drawing>
                <wp:inline distT="0" distB="0" distL="0" distR="0" wp14:anchorId="6E0E9799" wp14:editId="69467207">
                  <wp:extent cx="5934075" cy="2924175"/>
                  <wp:effectExtent l="0" t="0" r="9525" b="9525"/>
                  <wp:docPr id="2108" name="Imagen 2108" descr="C:\Users\Alejandro Valderrama\Downloads\Fig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7" descr="C:\Users\Alejandro Valderrama\Downloads\Fig4.17.jpg"/>
                          <pic:cNvPicPr>
                            <a:picLocks noChangeAspect="1" noChangeArrowheads="1"/>
                          </pic:cNvPicPr>
                        </pic:nvPicPr>
                        <pic:blipFill rotWithShape="1">
                          <a:blip r:embed="rId998">
                            <a:extLst>
                              <a:ext uri="{28A0092B-C50C-407E-A947-70E740481C1C}">
                                <a14:useLocalDpi xmlns:a14="http://schemas.microsoft.com/office/drawing/2010/main" val="0"/>
                              </a:ext>
                            </a:extLst>
                          </a:blip>
                          <a:srcRect b="65813"/>
                          <a:stretch/>
                        </pic:blipFill>
                        <pic:spPr bwMode="auto">
                          <a:xfrm>
                            <a:off x="0" y="0"/>
                            <a:ext cx="5934075" cy="2924175"/>
                          </a:xfrm>
                          <a:prstGeom prst="rect">
                            <a:avLst/>
                          </a:prstGeom>
                          <a:noFill/>
                          <a:ln>
                            <a:noFill/>
                          </a:ln>
                          <a:extLst>
                            <a:ext uri="{53640926-AAD7-44D8-BBD7-CCE9431645EC}">
                              <a14:shadowObscured xmlns:a14="http://schemas.microsoft.com/office/drawing/2010/main"/>
                            </a:ext>
                          </a:extLst>
                        </pic:spPr>
                      </pic:pic>
                    </a:graphicData>
                  </a:graphic>
                </wp:inline>
              </w:drawing>
            </w:r>
          </w:p>
          <w:p w14:paraId="49ED92E4" w14:textId="1E97E1A9" w:rsidR="001E61A6" w:rsidRPr="00A26FD5" w:rsidRDefault="00D50CF3" w:rsidP="00D50CF3">
            <w:pPr>
              <w:pStyle w:val="BodyText"/>
              <w:spacing w:before="120"/>
              <w:rPr>
                <w:rFonts w:cs="Times New Roman"/>
                <w:szCs w:val="22"/>
                <w:lang w:val="en-GB"/>
              </w:rPr>
            </w:pPr>
            <w:r w:rsidRPr="00A26FD5">
              <w:rPr>
                <w:rFonts w:cs="Times New Roman"/>
                <w:szCs w:val="22"/>
                <w:lang w:val="en-GB"/>
              </w:rPr>
              <w:t xml:space="preserve">     </w:t>
            </w:r>
            <w:bookmarkStart w:id="1794" w:name="_Toc479939974"/>
            <w:bookmarkStart w:id="1795" w:name="_Toc357444603"/>
            <w:bookmarkStart w:id="1796" w:name="_Toc357444719"/>
            <w:bookmarkStart w:id="1797" w:name="_Toc357444861"/>
            <w:r w:rsidR="001E61A6" w:rsidRPr="00A26FD5">
              <w:rPr>
                <w:rFonts w:cs="Times New Roman"/>
                <w:noProof/>
                <w:szCs w:val="22"/>
                <w:lang w:val="es-ES" w:eastAsia="es-ES"/>
              </w:rPr>
              <w:t xml:space="preserve"> </w:t>
            </w:r>
            <w:bookmarkEnd w:id="1794"/>
            <w:bookmarkEnd w:id="1795"/>
            <w:bookmarkEnd w:id="1796"/>
            <w:bookmarkEnd w:id="1797"/>
          </w:p>
        </w:tc>
      </w:tr>
    </w:tbl>
    <w:p w14:paraId="26B7D04C" w14:textId="24CF5144" w:rsidR="001E61A6" w:rsidRPr="008608AA" w:rsidRDefault="00D50CF3" w:rsidP="00A04C10">
      <w:pPr>
        <w:pStyle w:val="Caption"/>
        <w:rPr>
          <w:szCs w:val="22"/>
        </w:rPr>
      </w:pPr>
      <w:bookmarkStart w:id="1798" w:name="_Toc499459233"/>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18</w:t>
      </w:r>
      <w:r w:rsidR="000E562E">
        <w:rPr>
          <w:noProof/>
        </w:rPr>
        <w:fldChar w:fldCharType="end"/>
      </w:r>
      <w:r w:rsidRPr="008608AA">
        <w:t xml:space="preserve">. </w:t>
      </w:r>
      <w:r w:rsidR="001E61A6" w:rsidRPr="008608AA">
        <w:rPr>
          <w:szCs w:val="22"/>
        </w:rPr>
        <w:t>Organochlorine contaminant effects on bald Eagles in the Laurentian Great Lakes</w:t>
      </w:r>
      <w:bookmarkEnd w:id="1798"/>
    </w:p>
    <w:tbl>
      <w:tblPr>
        <w:tblStyle w:val="Tabelacomgrade1"/>
        <w:tblW w:w="9493" w:type="dxa"/>
        <w:tblLook w:val="04A0" w:firstRow="1" w:lastRow="0" w:firstColumn="1" w:lastColumn="0" w:noHBand="0" w:noVBand="1"/>
      </w:tblPr>
      <w:tblGrid>
        <w:gridCol w:w="9493"/>
      </w:tblGrid>
      <w:tr w:rsidR="005C080D" w:rsidRPr="00A26FD5" w14:paraId="0775C015" w14:textId="77777777" w:rsidTr="00A26FD5">
        <w:trPr>
          <w:trHeight w:val="5740"/>
        </w:trPr>
        <w:tc>
          <w:tcPr>
            <w:tcW w:w="9493" w:type="dxa"/>
          </w:tcPr>
          <w:p w14:paraId="74BEB252" w14:textId="3BEE626F" w:rsidR="005C080D" w:rsidRPr="00A26FD5" w:rsidRDefault="005C080D" w:rsidP="005C080D">
            <w:pPr>
              <w:pBdr>
                <w:top w:val="nil"/>
                <w:left w:val="nil"/>
                <w:bottom w:val="nil"/>
                <w:right w:val="nil"/>
                <w:between w:val="nil"/>
              </w:pBdr>
              <w:tabs>
                <w:tab w:val="left" w:pos="1247"/>
                <w:tab w:val="left" w:pos="1814"/>
                <w:tab w:val="left" w:pos="2381"/>
                <w:tab w:val="left" w:pos="2948"/>
                <w:tab w:val="left" w:pos="3515"/>
              </w:tabs>
              <w:spacing w:before="240" w:after="120"/>
              <w:jc w:val="both"/>
              <w:rPr>
                <w:rFonts w:eastAsia="Calibri"/>
                <w:sz w:val="22"/>
                <w:szCs w:val="22"/>
                <w:lang w:val="en-GB"/>
              </w:rPr>
            </w:pPr>
            <w:r w:rsidRPr="00A26FD5">
              <w:rPr>
                <w:rFonts w:eastAsia="Calibri"/>
                <w:sz w:val="22"/>
                <w:szCs w:val="22"/>
              </w:rPr>
              <w:t>Bald eagles (</w:t>
            </w:r>
            <w:r w:rsidRPr="00A26FD5">
              <w:rPr>
                <w:rFonts w:eastAsia="Calibri"/>
                <w:i/>
                <w:sz w:val="22"/>
                <w:szCs w:val="22"/>
              </w:rPr>
              <w:t>Haliaeetus leucocephalus</w:t>
            </w:r>
            <w:r w:rsidRPr="00A26FD5">
              <w:rPr>
                <w:rFonts w:eastAsia="Calibri"/>
                <w:sz w:val="22"/>
                <w:szCs w:val="22"/>
              </w:rPr>
              <w:t>) have been treated as bioindicator species in the recovery of the Laurentian Great Lakes from organochlorine contamination. As studies documented in early</w:t>
            </w:r>
            <w:r w:rsidR="002E211A" w:rsidRPr="00A26FD5">
              <w:rPr>
                <w:rFonts w:eastAsia="Calibri"/>
                <w:sz w:val="22"/>
                <w:szCs w:val="22"/>
              </w:rPr>
              <w:t xml:space="preserve"> studies (Mitchell et al., 1953; Wurster et al., 1965;</w:t>
            </w:r>
            <w:r w:rsidRPr="00A26FD5">
              <w:rPr>
                <w:rFonts w:eastAsia="Calibri"/>
                <w:sz w:val="22"/>
                <w:szCs w:val="22"/>
              </w:rPr>
              <w:t xml:space="preserve"> Wurster </w:t>
            </w:r>
            <w:r w:rsidR="002E211A" w:rsidRPr="00A26FD5">
              <w:rPr>
                <w:rFonts w:eastAsia="Calibri"/>
                <w:sz w:val="22"/>
                <w:szCs w:val="22"/>
              </w:rPr>
              <w:t>&amp;</w:t>
            </w:r>
            <w:r w:rsidRPr="00A26FD5">
              <w:rPr>
                <w:rFonts w:eastAsia="Calibri"/>
                <w:sz w:val="22"/>
                <w:szCs w:val="22"/>
              </w:rPr>
              <w:t xml:space="preserve"> Wingate</w:t>
            </w:r>
            <w:r w:rsidR="002E211A" w:rsidRPr="00A26FD5">
              <w:rPr>
                <w:rFonts w:eastAsia="Calibri"/>
                <w:sz w:val="22"/>
                <w:szCs w:val="22"/>
              </w:rPr>
              <w:t>,</w:t>
            </w:r>
            <w:r w:rsidRPr="00A26FD5">
              <w:rPr>
                <w:rFonts w:eastAsia="Calibri"/>
                <w:sz w:val="22"/>
                <w:szCs w:val="22"/>
              </w:rPr>
              <w:t xml:space="preserve"> 1968) in addition to acute toxicity to songbirds, offspring of certain bird populations suffered from eggshell thinning when adults were exposed to commercial DDT. Commercial DDT is a mixture of compounds including dichlorodiphenyldichloroethylene, a much more potent toxicant towards avia</w:t>
            </w:r>
            <w:r w:rsidR="00F535EC" w:rsidRPr="00A26FD5">
              <w:rPr>
                <w:rFonts w:eastAsia="Calibri"/>
                <w:sz w:val="22"/>
                <w:szCs w:val="22"/>
              </w:rPr>
              <w:t xml:space="preserve">n populations than DDT itself. </w:t>
            </w:r>
            <w:r w:rsidRPr="00A26FD5">
              <w:rPr>
                <w:rFonts w:eastAsia="Calibri"/>
                <w:sz w:val="22"/>
                <w:szCs w:val="22"/>
              </w:rPr>
              <w:t xml:space="preserve">Migration surveys showed drastic declines of bald eagles from the 1940s-1960s. The species almost became extinct (Farmer et al., 2008), but populations have shown recovery since the 1970s. </w:t>
            </w:r>
          </w:p>
          <w:p w14:paraId="52CBF544" w14:textId="7DCD70E9" w:rsidR="005C080D" w:rsidRPr="00A26FD5" w:rsidRDefault="005C080D" w:rsidP="005C080D">
            <w:pPr>
              <w:pBdr>
                <w:top w:val="nil"/>
                <w:left w:val="nil"/>
                <w:bottom w:val="nil"/>
                <w:right w:val="nil"/>
                <w:between w:val="nil"/>
              </w:pBdr>
              <w:tabs>
                <w:tab w:val="left" w:pos="1247"/>
                <w:tab w:val="left" w:pos="1814"/>
                <w:tab w:val="left" w:pos="2381"/>
                <w:tab w:val="left" w:pos="2948"/>
                <w:tab w:val="left" w:pos="3515"/>
              </w:tabs>
              <w:spacing w:before="240" w:after="120"/>
              <w:jc w:val="both"/>
              <w:rPr>
                <w:rFonts w:eastAsia="Calibri"/>
                <w:sz w:val="22"/>
                <w:szCs w:val="22"/>
              </w:rPr>
            </w:pPr>
            <w:r w:rsidRPr="00A26FD5">
              <w:rPr>
                <w:rFonts w:eastAsia="Calibri"/>
                <w:sz w:val="22"/>
                <w:szCs w:val="22"/>
              </w:rPr>
              <w:t>The recovery of the bald eagle population in the Great Lakes was not uniform, however (Bowerman et al., 1995). Bald eagles nesting along the shores of the lakes and rivers open to spawning runs of anadromous fishes from the Great Lakes continued to exhibit impaired reproduction due to continued exposure to contaminants through consumption of contaminated fish. Total polychlorinated biphenyls, dichlorodiphenyldichloroethylene and also 2,3,7,8-tetrachlordibenzo-dioxin equivalents (TCDD-EQ; http://www.dioxinfacts.org/tri_dioxin_data/sitedata/test3/def.html) in fishes were shown to represent a significant hazard to bald eagles living along these shorelines or near the rivers. Bowerman et al. (1998) attributed the recovery of the bald eagle population along the Great Lakes to immigration of healthy individuals from interior regions. This conclusion was supported by findings that the reproduction rate of bald eagles nesting along Lake Superior’s shore was significantly less than that in neighboring inland regions in Wisconsin and other inland Great Lakes sites (Dykstra et al.</w:t>
            </w:r>
            <w:r w:rsidR="002E211A" w:rsidRPr="00A26FD5">
              <w:rPr>
                <w:rFonts w:eastAsia="Calibri"/>
                <w:sz w:val="22"/>
                <w:szCs w:val="22"/>
              </w:rPr>
              <w:t>,</w:t>
            </w:r>
            <w:r w:rsidRPr="00A26FD5">
              <w:rPr>
                <w:rFonts w:eastAsia="Calibri"/>
                <w:sz w:val="22"/>
                <w:szCs w:val="22"/>
              </w:rPr>
              <w:t xml:space="preserve"> 1998). It was concluded that the low productivity of Lake Superior eagles was at least partly attributable to low food availability, but another factor, possibly polychlorinated biphenyls, could also have contributed to low productivity. Dykstra et al. (2001) further showed that bald eagle populations nesting on the shores of Green Bay, Lake Michigan, where concentrations of polychlorinated biphenyls are high, due to the historical presence of numerous pulp and paper mills, had reproductive rates significantly lower than those of neighboring eagles nesting inland (0.55 </w:t>
            </w:r>
            <w:r w:rsidR="00F535EC" w:rsidRPr="00A26FD5">
              <w:rPr>
                <w:rFonts w:eastAsia="Calibri"/>
                <w:sz w:val="22"/>
                <w:szCs w:val="22"/>
              </w:rPr>
              <w:t>versus</w:t>
            </w:r>
            <w:r w:rsidRPr="00A26FD5">
              <w:rPr>
                <w:rFonts w:eastAsia="Calibri"/>
                <w:sz w:val="22"/>
                <w:szCs w:val="22"/>
              </w:rPr>
              <w:t xml:space="preserve"> 1.1 young per occupied territory). It was concluded that organochlorine contaminants caused all or most of the depression in reproductive rates of Green Bay bald eagles. </w:t>
            </w:r>
          </w:p>
          <w:p w14:paraId="758D06BE" w14:textId="75300D32" w:rsidR="005C080D" w:rsidRPr="00A26FD5" w:rsidRDefault="005C080D" w:rsidP="005C080D">
            <w:pPr>
              <w:pBdr>
                <w:top w:val="nil"/>
                <w:left w:val="nil"/>
                <w:bottom w:val="nil"/>
                <w:right w:val="nil"/>
                <w:between w:val="nil"/>
              </w:pBdr>
              <w:tabs>
                <w:tab w:val="left" w:pos="1247"/>
                <w:tab w:val="left" w:pos="1814"/>
                <w:tab w:val="left" w:pos="2381"/>
                <w:tab w:val="left" w:pos="2948"/>
                <w:tab w:val="left" w:pos="3515"/>
              </w:tabs>
              <w:spacing w:before="240" w:after="120"/>
              <w:jc w:val="both"/>
              <w:rPr>
                <w:rFonts w:eastAsia="Calibri"/>
                <w:sz w:val="22"/>
                <w:szCs w:val="22"/>
                <w:lang w:val="en-GB"/>
              </w:rPr>
            </w:pPr>
            <w:r w:rsidRPr="00A26FD5">
              <w:rPr>
                <w:rFonts w:eastAsia="Calibri"/>
                <w:sz w:val="22"/>
                <w:szCs w:val="22"/>
              </w:rPr>
              <w:t>More recently bald eagle populations have recovered. Although other contaminants, including methylmercury (Depew et al., 2013), may have subletha</w:t>
            </w:r>
            <w:r w:rsidR="00F535EC" w:rsidRPr="00A26FD5">
              <w:rPr>
                <w:rFonts w:eastAsia="Calibri"/>
                <w:sz w:val="22"/>
                <w:szCs w:val="22"/>
              </w:rPr>
              <w:t>l or lethal effects, Dykstra et al. (</w:t>
            </w:r>
            <w:r w:rsidRPr="00A26FD5">
              <w:rPr>
                <w:rFonts w:eastAsia="Calibri"/>
                <w:sz w:val="22"/>
                <w:szCs w:val="22"/>
              </w:rPr>
              <w:t xml:space="preserve">2005) found that concentrations of polychlorinated biphenyls and dichlorodiphenyldichloroethylene decreased significantly in bald eagle nestling blood plasma from Lake Superior from 1989-2001. Mean concentrations were near or below threshold concentrations for reproduction impairment, and reproductive rate and contaminant concentrations were not correlated, suggesting that polychlorinated biphenyls and dichlorodiphenyldichloroethylene no longer limited Lake Superior eagle population reproduction. </w:t>
            </w:r>
          </w:p>
          <w:p w14:paraId="59897F94" w14:textId="77777777" w:rsidR="005C080D" w:rsidRDefault="00A04C10" w:rsidP="00156F2A">
            <w:pPr>
              <w:spacing w:before="240"/>
              <w:jc w:val="center"/>
              <w:rPr>
                <w:rFonts w:eastAsia="Calibri"/>
                <w:sz w:val="22"/>
                <w:szCs w:val="22"/>
              </w:rPr>
            </w:pPr>
            <w:r w:rsidRPr="00A26FD5">
              <w:rPr>
                <w:noProof/>
                <w:szCs w:val="22"/>
                <w:lang w:val="en-GB" w:eastAsia="en-GB"/>
              </w:rPr>
              <w:drawing>
                <wp:inline distT="0" distB="0" distL="0" distR="0" wp14:anchorId="126B0001" wp14:editId="66492894">
                  <wp:extent cx="3971925" cy="3066606"/>
                  <wp:effectExtent l="0" t="0" r="0" b="635"/>
                  <wp:docPr id="2109" name="Imagen 2109" descr="C:\Users\Alejandro Valderrama\Downloads\Fig4.18 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9" descr="C:\Users\Alejandro Valderrama\Downloads\Fig4.18 Box.jpg"/>
                          <pic:cNvPicPr>
                            <a:picLocks noChangeAspect="1" noChangeArrowheads="1"/>
                          </pic:cNvPicPr>
                        </pic:nvPicPr>
                        <pic:blipFill rotWithShape="1">
                          <a:blip r:embed="rId999">
                            <a:extLst>
                              <a:ext uri="{28A0092B-C50C-407E-A947-70E740481C1C}">
                                <a14:useLocalDpi xmlns:a14="http://schemas.microsoft.com/office/drawing/2010/main" val="0"/>
                              </a:ext>
                            </a:extLst>
                          </a:blip>
                          <a:srcRect b="46436"/>
                          <a:stretch/>
                        </pic:blipFill>
                        <pic:spPr bwMode="auto">
                          <a:xfrm>
                            <a:off x="0" y="0"/>
                            <a:ext cx="3973911" cy="3068139"/>
                          </a:xfrm>
                          <a:prstGeom prst="rect">
                            <a:avLst/>
                          </a:prstGeom>
                          <a:noFill/>
                          <a:ln>
                            <a:noFill/>
                          </a:ln>
                          <a:extLst>
                            <a:ext uri="{53640926-AAD7-44D8-BBD7-CCE9431645EC}">
                              <a14:shadowObscured xmlns:a14="http://schemas.microsoft.com/office/drawing/2010/main"/>
                            </a:ext>
                          </a:extLst>
                        </pic:spPr>
                      </pic:pic>
                    </a:graphicData>
                  </a:graphic>
                </wp:inline>
              </w:drawing>
            </w:r>
          </w:p>
          <w:p w14:paraId="0532C329" w14:textId="33122105" w:rsidR="00360ADC" w:rsidRPr="00A26FD5" w:rsidRDefault="00360ADC" w:rsidP="00156F2A">
            <w:pPr>
              <w:spacing w:before="240"/>
              <w:jc w:val="center"/>
              <w:rPr>
                <w:rFonts w:eastAsia="Calibri"/>
                <w:sz w:val="22"/>
                <w:szCs w:val="22"/>
              </w:rPr>
            </w:pPr>
          </w:p>
        </w:tc>
      </w:tr>
    </w:tbl>
    <w:p w14:paraId="1F28D628" w14:textId="77777777" w:rsidR="00667BFE" w:rsidRPr="008608AA" w:rsidRDefault="00667BFE" w:rsidP="005C080D">
      <w:pPr>
        <w:pStyle w:val="Caption"/>
        <w:spacing w:before="120" w:beforeAutospacing="0"/>
        <w:rPr>
          <w:szCs w:val="22"/>
        </w:rPr>
      </w:pPr>
      <w:bookmarkStart w:id="1799" w:name="_Toc499459234"/>
    </w:p>
    <w:p w14:paraId="00431807" w14:textId="3B4279C6" w:rsidR="00667BFE" w:rsidRPr="008608AA" w:rsidRDefault="00667BFE">
      <w:pPr>
        <w:rPr>
          <w:rFonts w:eastAsia="Times"/>
          <w:b/>
          <w:bCs/>
          <w:sz w:val="20"/>
          <w:lang w:eastAsia="ja-JP"/>
        </w:rPr>
      </w:pPr>
      <w:r w:rsidRPr="008608AA">
        <w:br w:type="page"/>
      </w:r>
    </w:p>
    <w:p w14:paraId="55EB9F15" w14:textId="6C818673" w:rsidR="001E61A6" w:rsidRPr="008608AA" w:rsidRDefault="00D50CF3" w:rsidP="00D50CF3">
      <w:pPr>
        <w:pStyle w:val="Caption"/>
        <w:rPr>
          <w:szCs w:val="22"/>
        </w:rPr>
      </w:pPr>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19</w:t>
      </w:r>
      <w:r w:rsidR="000E562E">
        <w:rPr>
          <w:noProof/>
        </w:rPr>
        <w:fldChar w:fldCharType="end"/>
      </w:r>
      <w:r w:rsidRPr="008608AA">
        <w:t xml:space="preserve">. </w:t>
      </w:r>
      <w:r w:rsidR="001E61A6" w:rsidRPr="008608AA">
        <w:rPr>
          <w:szCs w:val="22"/>
        </w:rPr>
        <w:t>Pollution in Greenland</w:t>
      </w:r>
      <w:bookmarkEnd w:id="1799"/>
    </w:p>
    <w:tbl>
      <w:tblPr>
        <w:tblStyle w:val="Tabelacomgrade1"/>
        <w:tblW w:w="0" w:type="auto"/>
        <w:tblLook w:val="04A0" w:firstRow="1" w:lastRow="0" w:firstColumn="1" w:lastColumn="0" w:noHBand="0" w:noVBand="1"/>
      </w:tblPr>
      <w:tblGrid>
        <w:gridCol w:w="9487"/>
      </w:tblGrid>
      <w:tr w:rsidR="001E61A6" w:rsidRPr="00A26FD5" w14:paraId="1CF96417" w14:textId="77777777" w:rsidTr="001E61A6">
        <w:tc>
          <w:tcPr>
            <w:tcW w:w="9500" w:type="dxa"/>
          </w:tcPr>
          <w:p w14:paraId="4B42BDAC" w14:textId="05A51981" w:rsidR="001E61A6" w:rsidRPr="00A26FD5" w:rsidRDefault="001E61A6" w:rsidP="00D50CF3">
            <w:pPr>
              <w:spacing w:before="120"/>
              <w:jc w:val="both"/>
              <w:rPr>
                <w:sz w:val="22"/>
                <w:szCs w:val="22"/>
              </w:rPr>
            </w:pPr>
            <w:r w:rsidRPr="00A26FD5">
              <w:rPr>
                <w:sz w:val="22"/>
                <w:szCs w:val="22"/>
              </w:rPr>
              <w:t>Mining within Greenland is limited but related issues with pollution can occur. For example, the Black Angel mine in Maarnorilik, West Greenland, one of the richest zinc mines in the world, operated from 1973 to 1990 and restarted in 2009, has contaminated nearby water</w:t>
            </w:r>
            <w:r w:rsidR="001C09CE" w:rsidRPr="00A26FD5">
              <w:rPr>
                <w:sz w:val="22"/>
                <w:szCs w:val="22"/>
              </w:rPr>
              <w:t>s with heavy metals especially zi</w:t>
            </w:r>
            <w:r w:rsidRPr="00A26FD5">
              <w:rPr>
                <w:sz w:val="22"/>
                <w:szCs w:val="22"/>
              </w:rPr>
              <w:t>n</w:t>
            </w:r>
            <w:r w:rsidR="001C09CE" w:rsidRPr="00A26FD5">
              <w:rPr>
                <w:sz w:val="22"/>
                <w:szCs w:val="22"/>
              </w:rPr>
              <w:t>c, lead</w:t>
            </w:r>
            <w:r w:rsidRPr="00A26FD5">
              <w:rPr>
                <w:sz w:val="22"/>
                <w:szCs w:val="22"/>
              </w:rPr>
              <w:t xml:space="preserve">, and </w:t>
            </w:r>
            <w:r w:rsidR="001C09CE" w:rsidRPr="00A26FD5">
              <w:rPr>
                <w:sz w:val="22"/>
                <w:szCs w:val="22"/>
              </w:rPr>
              <w:t>m</w:t>
            </w:r>
            <w:r w:rsidR="0054250A" w:rsidRPr="00A26FD5">
              <w:rPr>
                <w:sz w:val="22"/>
                <w:szCs w:val="22"/>
              </w:rPr>
              <w:t>ercury</w:t>
            </w:r>
            <w:r w:rsidRPr="00A26FD5">
              <w:rPr>
                <w:sz w:val="22"/>
                <w:szCs w:val="22"/>
              </w:rPr>
              <w:t>, plus others. But 30</w:t>
            </w:r>
            <w:r w:rsidR="00387C50" w:rsidRPr="00A26FD5">
              <w:rPr>
                <w:sz w:val="22"/>
                <w:szCs w:val="22"/>
              </w:rPr>
              <w:t xml:space="preserve"> </w:t>
            </w:r>
            <w:r w:rsidRPr="00A26FD5">
              <w:rPr>
                <w:sz w:val="22"/>
                <w:szCs w:val="22"/>
              </w:rPr>
              <w:t>km from the mine heavy metals are not elevated (Perner et al.</w:t>
            </w:r>
            <w:r w:rsidR="002E211A" w:rsidRPr="00A26FD5">
              <w:rPr>
                <w:sz w:val="22"/>
                <w:szCs w:val="22"/>
              </w:rPr>
              <w:t>,</w:t>
            </w:r>
            <w:r w:rsidRPr="00A26FD5">
              <w:rPr>
                <w:sz w:val="22"/>
                <w:szCs w:val="22"/>
              </w:rPr>
              <w:t xml:space="preserve"> 2010).</w:t>
            </w:r>
          </w:p>
          <w:p w14:paraId="5A734F8B" w14:textId="4D9FEFAD" w:rsidR="001E61A6" w:rsidRPr="00A26FD5" w:rsidRDefault="00387C50" w:rsidP="00D50CF3">
            <w:pPr>
              <w:spacing w:before="120"/>
              <w:jc w:val="both"/>
              <w:rPr>
                <w:sz w:val="22"/>
                <w:szCs w:val="22"/>
              </w:rPr>
            </w:pPr>
            <w:r w:rsidRPr="00A26FD5">
              <w:rPr>
                <w:sz w:val="22"/>
                <w:szCs w:val="22"/>
              </w:rPr>
              <w:t>In 2004 - 20</w:t>
            </w:r>
            <w:r w:rsidR="001E61A6" w:rsidRPr="00A26FD5">
              <w:rPr>
                <w:sz w:val="22"/>
                <w:szCs w:val="22"/>
              </w:rPr>
              <w:t xml:space="preserve">05 air samples were collected from a site in Nuuk, in Southwestern Greenland and analyzed for a suite of persistent organic pollutants. The results from the study indicate that a number of persistent organic pollutants were detected in the air in significant quantities; these included alpha and gamma hexacholorhexane, cis- and trans- chlordane, dieldrin, and degradants of DDT. </w:t>
            </w:r>
          </w:p>
          <w:p w14:paraId="14BF5C18" w14:textId="6E1E0E0B" w:rsidR="001E61A6" w:rsidRPr="00A26FD5" w:rsidRDefault="001E61A6" w:rsidP="00D50CF3">
            <w:pPr>
              <w:spacing w:before="120"/>
              <w:jc w:val="both"/>
              <w:rPr>
                <w:sz w:val="22"/>
                <w:szCs w:val="22"/>
              </w:rPr>
            </w:pPr>
            <w:r w:rsidRPr="00A26FD5">
              <w:rPr>
                <w:sz w:val="22"/>
                <w:szCs w:val="22"/>
              </w:rPr>
              <w:t>There were several studies, in two locations in Greenland that examined the long-term trends in persistent organic</w:t>
            </w:r>
            <w:r w:rsidR="00387C50" w:rsidRPr="00A26FD5">
              <w:rPr>
                <w:sz w:val="22"/>
                <w:szCs w:val="22"/>
              </w:rPr>
              <w:t xml:space="preserve"> pollutants in biota including ringed s</w:t>
            </w:r>
            <w:r w:rsidRPr="00A26FD5">
              <w:rPr>
                <w:sz w:val="22"/>
                <w:szCs w:val="22"/>
              </w:rPr>
              <w:t>eal, seabirds, and fish. In Greenland, there were no upwards trends in concentrations for any persistent organic pollutants, most had decreasing concentrations, although not all were statistically</w:t>
            </w:r>
            <w:r w:rsidR="002E211A" w:rsidRPr="00A26FD5">
              <w:rPr>
                <w:sz w:val="22"/>
                <w:szCs w:val="22"/>
              </w:rPr>
              <w:t xml:space="preserve"> significant (Hung et al., 2005;</w:t>
            </w:r>
            <w:r w:rsidRPr="00A26FD5">
              <w:rPr>
                <w:sz w:val="22"/>
                <w:szCs w:val="22"/>
              </w:rPr>
              <w:t xml:space="preserve"> Rigét et al., 2010).</w:t>
            </w:r>
          </w:p>
          <w:p w14:paraId="0C3CBAF8" w14:textId="1912D381" w:rsidR="001E61A6" w:rsidRPr="00A26FD5" w:rsidRDefault="001E61A6" w:rsidP="00D50CF3">
            <w:pPr>
              <w:spacing w:before="120"/>
              <w:jc w:val="both"/>
              <w:rPr>
                <w:sz w:val="22"/>
                <w:szCs w:val="22"/>
              </w:rPr>
            </w:pPr>
            <w:r w:rsidRPr="00A26FD5">
              <w:rPr>
                <w:sz w:val="22"/>
                <w:szCs w:val="22"/>
              </w:rPr>
              <w:t xml:space="preserve">In another study that examined 17 </w:t>
            </w:r>
            <w:r w:rsidR="00387C50" w:rsidRPr="00A26FD5">
              <w:rPr>
                <w:sz w:val="22"/>
                <w:szCs w:val="22"/>
              </w:rPr>
              <w:t>whitetail eagles found dead in W</w:t>
            </w:r>
            <w:r w:rsidRPr="00A26FD5">
              <w:rPr>
                <w:sz w:val="22"/>
                <w:szCs w:val="22"/>
              </w:rPr>
              <w:t>estern Greenland from 1997 to 2009 all had detectable levels of persistent organic pollutants and methoxylated polybrominated diphenyl ethers in different tissues. The majority of the chemicals were found in muscle tissue and the largest portion of sum of the chemicals was polybrominated biphenyl ethers with over 50% of the totals, followed by components of DDT. Collectively the concentrations in the birds did not reach known toxic levels, but some individual birds did have levels that would be considered toxic (Jaspers et al., 2013)</w:t>
            </w:r>
          </w:p>
          <w:p w14:paraId="10DD830E" w14:textId="24F31A4E" w:rsidR="001E61A6" w:rsidRPr="00A26FD5" w:rsidRDefault="001E61A6" w:rsidP="004C33B7">
            <w:pPr>
              <w:spacing w:before="120"/>
              <w:jc w:val="both"/>
              <w:rPr>
                <w:sz w:val="22"/>
                <w:szCs w:val="22"/>
              </w:rPr>
            </w:pPr>
            <w:r w:rsidRPr="00A26FD5">
              <w:rPr>
                <w:sz w:val="22"/>
                <w:szCs w:val="22"/>
              </w:rPr>
              <w:t xml:space="preserve">In Greenland, pregnant Inuit women, women of child-bearing age and infants have high mercury and persistent organic pollutants levels in maternal blood and hair; maternal blood </w:t>
            </w:r>
            <w:r w:rsidR="00387C50" w:rsidRPr="00A26FD5">
              <w:rPr>
                <w:sz w:val="22"/>
                <w:szCs w:val="22"/>
              </w:rPr>
              <w:t>m</w:t>
            </w:r>
            <w:r w:rsidR="0054250A" w:rsidRPr="00A26FD5">
              <w:rPr>
                <w:sz w:val="22"/>
                <w:szCs w:val="22"/>
              </w:rPr>
              <w:t>ercury</w:t>
            </w:r>
            <w:r w:rsidRPr="00A26FD5">
              <w:rPr>
                <w:sz w:val="22"/>
                <w:szCs w:val="22"/>
              </w:rPr>
              <w:t xml:space="preserve"> levels exceed guidelines and are much greater compared with most Europeans; and </w:t>
            </w:r>
            <w:r w:rsidR="00387C50" w:rsidRPr="00A26FD5">
              <w:rPr>
                <w:sz w:val="22"/>
                <w:szCs w:val="22"/>
              </w:rPr>
              <w:t>m</w:t>
            </w:r>
            <w:r w:rsidR="0054250A" w:rsidRPr="00A26FD5">
              <w:rPr>
                <w:sz w:val="22"/>
                <w:szCs w:val="22"/>
              </w:rPr>
              <w:t>ercury</w:t>
            </w:r>
            <w:r w:rsidRPr="00A26FD5">
              <w:rPr>
                <w:sz w:val="22"/>
                <w:szCs w:val="22"/>
              </w:rPr>
              <w:t xml:space="preserve"> levels increase with increasing marine mammal consumption (Bjerregaard </w:t>
            </w:r>
            <w:r w:rsidR="002E211A" w:rsidRPr="00A26FD5">
              <w:rPr>
                <w:sz w:val="22"/>
                <w:szCs w:val="22"/>
              </w:rPr>
              <w:t>&amp;</w:t>
            </w:r>
            <w:r w:rsidRPr="00A26FD5">
              <w:rPr>
                <w:sz w:val="22"/>
                <w:szCs w:val="22"/>
              </w:rPr>
              <w:t xml:space="preserve"> Hansen</w:t>
            </w:r>
            <w:r w:rsidR="002E211A" w:rsidRPr="00A26FD5">
              <w:rPr>
                <w:sz w:val="22"/>
                <w:szCs w:val="22"/>
              </w:rPr>
              <w:t>, 2000; Dietz et al., 2013; Visnjevec et al., 2014;</w:t>
            </w:r>
            <w:r w:rsidRPr="00A26FD5">
              <w:rPr>
                <w:sz w:val="22"/>
                <w:szCs w:val="22"/>
              </w:rPr>
              <w:t xml:space="preserve"> Weihe et al., 2002). The combined evidence suggests </w:t>
            </w:r>
            <w:r w:rsidR="00387C50" w:rsidRPr="00A26FD5">
              <w:rPr>
                <w:sz w:val="22"/>
                <w:szCs w:val="22"/>
              </w:rPr>
              <w:t>m</w:t>
            </w:r>
            <w:r w:rsidR="0054250A" w:rsidRPr="00A26FD5">
              <w:rPr>
                <w:sz w:val="22"/>
                <w:szCs w:val="22"/>
              </w:rPr>
              <w:t>ercury</w:t>
            </w:r>
            <w:r w:rsidRPr="00A26FD5">
              <w:rPr>
                <w:sz w:val="22"/>
                <w:szCs w:val="22"/>
              </w:rPr>
              <w:t xml:space="preserve"> exposure is causing subtle neurobehavioral deficits in children (Weihe et al., 2002). In the Faroe </w:t>
            </w:r>
            <w:r w:rsidR="00387C50" w:rsidRPr="00A26FD5">
              <w:rPr>
                <w:sz w:val="22"/>
                <w:szCs w:val="22"/>
              </w:rPr>
              <w:t>Islands, which are also in the n</w:t>
            </w:r>
            <w:r w:rsidRPr="00A26FD5">
              <w:rPr>
                <w:sz w:val="22"/>
                <w:szCs w:val="22"/>
              </w:rPr>
              <w:t xml:space="preserve">orth Atlantic, modeling suggests that </w:t>
            </w:r>
            <w:r w:rsidR="00387C50" w:rsidRPr="00A26FD5">
              <w:rPr>
                <w:sz w:val="22"/>
                <w:szCs w:val="22"/>
              </w:rPr>
              <w:t>m</w:t>
            </w:r>
            <w:r w:rsidR="0054250A" w:rsidRPr="00A26FD5">
              <w:rPr>
                <w:sz w:val="22"/>
                <w:szCs w:val="22"/>
              </w:rPr>
              <w:t>ercury</w:t>
            </w:r>
            <w:r w:rsidRPr="00A26FD5">
              <w:rPr>
                <w:sz w:val="22"/>
                <w:szCs w:val="22"/>
              </w:rPr>
              <w:t xml:space="preserve"> inputs would have to decline by ~50% to achieve safe Inuit exposure levels (Booth </w:t>
            </w:r>
            <w:r w:rsidR="00E0141B" w:rsidRPr="00A26FD5">
              <w:rPr>
                <w:sz w:val="22"/>
                <w:szCs w:val="22"/>
              </w:rPr>
              <w:t>&amp;</w:t>
            </w:r>
            <w:r w:rsidRPr="00A26FD5">
              <w:rPr>
                <w:sz w:val="22"/>
                <w:szCs w:val="22"/>
              </w:rPr>
              <w:t xml:space="preserve"> Zeller</w:t>
            </w:r>
            <w:r w:rsidR="00E0141B" w:rsidRPr="00A26FD5">
              <w:rPr>
                <w:sz w:val="22"/>
                <w:szCs w:val="22"/>
              </w:rPr>
              <w:t>,</w:t>
            </w:r>
            <w:r w:rsidRPr="00A26FD5">
              <w:rPr>
                <w:sz w:val="22"/>
                <w:szCs w:val="22"/>
              </w:rPr>
              <w:t xml:space="preserve"> 2005), which is about the portion of the global environmental mercury burden that has man-made origins (Berg</w:t>
            </w:r>
            <w:r w:rsidR="004C33B7" w:rsidRPr="00A26FD5">
              <w:rPr>
                <w:sz w:val="22"/>
                <w:szCs w:val="22"/>
              </w:rPr>
              <w:t>an</w:t>
            </w:r>
            <w:r w:rsidRPr="00A26FD5">
              <w:rPr>
                <w:sz w:val="22"/>
                <w:szCs w:val="22"/>
              </w:rPr>
              <w:t xml:space="preserve"> et</w:t>
            </w:r>
            <w:r w:rsidR="002E211A" w:rsidRPr="00A26FD5">
              <w:rPr>
                <w:sz w:val="22"/>
                <w:szCs w:val="22"/>
              </w:rPr>
              <w:t xml:space="preserve"> </w:t>
            </w:r>
            <w:r w:rsidRPr="00A26FD5">
              <w:rPr>
                <w:sz w:val="22"/>
                <w:szCs w:val="22"/>
              </w:rPr>
              <w:t>al.</w:t>
            </w:r>
            <w:r w:rsidR="002E211A" w:rsidRPr="00A26FD5">
              <w:rPr>
                <w:sz w:val="22"/>
                <w:szCs w:val="22"/>
              </w:rPr>
              <w:t>,</w:t>
            </w:r>
            <w:r w:rsidRPr="00A26FD5">
              <w:rPr>
                <w:sz w:val="22"/>
                <w:szCs w:val="22"/>
              </w:rPr>
              <w:t xml:space="preserve"> 1999). Polar bears in Greenland also have </w:t>
            </w:r>
            <w:r w:rsidR="00387C50" w:rsidRPr="00A26FD5">
              <w:rPr>
                <w:sz w:val="22"/>
                <w:szCs w:val="22"/>
              </w:rPr>
              <w:t>m</w:t>
            </w:r>
            <w:r w:rsidR="0054250A" w:rsidRPr="00A26FD5">
              <w:rPr>
                <w:sz w:val="22"/>
                <w:szCs w:val="22"/>
              </w:rPr>
              <w:t>ercury</w:t>
            </w:r>
            <w:r w:rsidRPr="00A26FD5">
              <w:rPr>
                <w:sz w:val="22"/>
                <w:szCs w:val="22"/>
              </w:rPr>
              <w:t xml:space="preserve"> levels in tissues that are high enough to be toxic. As in other Arctic biota, Greenland birds of prey have been exposed to steadily increasing levels of </w:t>
            </w:r>
            <w:r w:rsidR="00387C50" w:rsidRPr="00A26FD5">
              <w:rPr>
                <w:sz w:val="22"/>
                <w:szCs w:val="22"/>
              </w:rPr>
              <w:t>m</w:t>
            </w:r>
            <w:r w:rsidR="0054250A" w:rsidRPr="00A26FD5">
              <w:rPr>
                <w:sz w:val="22"/>
                <w:szCs w:val="22"/>
              </w:rPr>
              <w:t>ercury</w:t>
            </w:r>
            <w:r w:rsidRPr="00A26FD5">
              <w:rPr>
                <w:sz w:val="22"/>
                <w:szCs w:val="22"/>
              </w:rPr>
              <w:t xml:space="preserve">, beginning with the industrial revolution and through the 10th century, as indicated by feather </w:t>
            </w:r>
            <w:r w:rsidR="00387C50" w:rsidRPr="00A26FD5">
              <w:rPr>
                <w:sz w:val="22"/>
                <w:szCs w:val="22"/>
              </w:rPr>
              <w:t>m</w:t>
            </w:r>
            <w:r w:rsidR="0054250A" w:rsidRPr="00A26FD5">
              <w:rPr>
                <w:sz w:val="22"/>
                <w:szCs w:val="22"/>
              </w:rPr>
              <w:t>ercury</w:t>
            </w:r>
            <w:r w:rsidRPr="00A26FD5">
              <w:rPr>
                <w:sz w:val="22"/>
                <w:szCs w:val="22"/>
              </w:rPr>
              <w:t xml:space="preserve"> levels. A few samples from the late 20th century suggest recent declines in </w:t>
            </w:r>
            <w:r w:rsidR="00387C50" w:rsidRPr="00A26FD5">
              <w:rPr>
                <w:sz w:val="22"/>
                <w:szCs w:val="22"/>
              </w:rPr>
              <w:t>m</w:t>
            </w:r>
            <w:r w:rsidR="0054250A" w:rsidRPr="00A26FD5">
              <w:rPr>
                <w:sz w:val="22"/>
                <w:szCs w:val="22"/>
              </w:rPr>
              <w:t>ercury</w:t>
            </w:r>
            <w:r w:rsidRPr="00A26FD5">
              <w:rPr>
                <w:sz w:val="22"/>
                <w:szCs w:val="22"/>
              </w:rPr>
              <w:t xml:space="preserve"> (Dietz et al., 2006).</w:t>
            </w:r>
          </w:p>
        </w:tc>
      </w:tr>
    </w:tbl>
    <w:p w14:paraId="36B26E69" w14:textId="77777777" w:rsidR="00360ADC" w:rsidRDefault="00360ADC" w:rsidP="00D50CF3">
      <w:pPr>
        <w:pStyle w:val="Caption"/>
      </w:pPr>
      <w:bookmarkStart w:id="1800" w:name="_Toc499459235"/>
      <w:bookmarkStart w:id="1801" w:name="_Hlk494358099"/>
      <w:bookmarkStart w:id="1802" w:name="_Toc479939976"/>
    </w:p>
    <w:p w14:paraId="4709539B" w14:textId="77777777" w:rsidR="00360ADC" w:rsidRDefault="00360ADC" w:rsidP="00D50CF3">
      <w:pPr>
        <w:pStyle w:val="Caption"/>
      </w:pPr>
    </w:p>
    <w:p w14:paraId="6ED2CB65" w14:textId="77777777" w:rsidR="00360ADC" w:rsidRDefault="00360ADC" w:rsidP="00D50CF3">
      <w:pPr>
        <w:pStyle w:val="Caption"/>
      </w:pPr>
    </w:p>
    <w:p w14:paraId="327CCEEA" w14:textId="77777777" w:rsidR="00360ADC" w:rsidRDefault="00360ADC" w:rsidP="00D50CF3">
      <w:pPr>
        <w:pStyle w:val="Caption"/>
      </w:pPr>
    </w:p>
    <w:p w14:paraId="29FFEC25" w14:textId="77777777" w:rsidR="00360ADC" w:rsidRDefault="00360ADC" w:rsidP="00D50CF3">
      <w:pPr>
        <w:pStyle w:val="Caption"/>
      </w:pPr>
    </w:p>
    <w:p w14:paraId="7B785E26" w14:textId="77777777" w:rsidR="00360ADC" w:rsidRDefault="00360ADC" w:rsidP="00D50CF3">
      <w:pPr>
        <w:pStyle w:val="Caption"/>
      </w:pPr>
    </w:p>
    <w:p w14:paraId="0F827A48" w14:textId="77777777" w:rsidR="00360ADC" w:rsidRDefault="00360ADC" w:rsidP="00D50CF3">
      <w:pPr>
        <w:pStyle w:val="Caption"/>
      </w:pPr>
    </w:p>
    <w:p w14:paraId="2DC1FCA9" w14:textId="77777777" w:rsidR="00360ADC" w:rsidRDefault="00360ADC" w:rsidP="00D50CF3">
      <w:pPr>
        <w:pStyle w:val="Caption"/>
      </w:pPr>
    </w:p>
    <w:p w14:paraId="5081EE2C" w14:textId="24AEF893" w:rsidR="001E61A6" w:rsidRPr="008608AA" w:rsidRDefault="00D50CF3" w:rsidP="00D50CF3">
      <w:pPr>
        <w:pStyle w:val="Caption"/>
        <w:rPr>
          <w:szCs w:val="22"/>
        </w:rPr>
      </w:pPr>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20</w:t>
      </w:r>
      <w:r w:rsidR="000E562E">
        <w:rPr>
          <w:noProof/>
        </w:rPr>
        <w:fldChar w:fldCharType="end"/>
      </w:r>
      <w:r w:rsidRPr="008608AA">
        <w:t xml:space="preserve">. </w:t>
      </w:r>
      <w:r w:rsidR="001E61A6" w:rsidRPr="008608AA">
        <w:rPr>
          <w:szCs w:val="22"/>
        </w:rPr>
        <w:t>Pollution of South American mangroves</w:t>
      </w:r>
      <w:bookmarkEnd w:id="1800"/>
    </w:p>
    <w:tbl>
      <w:tblPr>
        <w:tblStyle w:val="TableGrid"/>
        <w:tblW w:w="0" w:type="auto"/>
        <w:tblLook w:val="04A0" w:firstRow="1" w:lastRow="0" w:firstColumn="1" w:lastColumn="0" w:noHBand="0" w:noVBand="1"/>
      </w:tblPr>
      <w:tblGrid>
        <w:gridCol w:w="9487"/>
      </w:tblGrid>
      <w:tr w:rsidR="001E61A6" w:rsidRPr="00A26FD5" w14:paraId="07636AD9" w14:textId="77777777" w:rsidTr="001E61A6">
        <w:tc>
          <w:tcPr>
            <w:tcW w:w="9500" w:type="dxa"/>
          </w:tcPr>
          <w:bookmarkEnd w:id="1801"/>
          <w:p w14:paraId="239ADED6" w14:textId="3DB54ABB" w:rsidR="001E61A6" w:rsidRPr="00A26FD5" w:rsidRDefault="001E61A6" w:rsidP="005761F8">
            <w:pPr>
              <w:pStyle w:val="BodyText"/>
              <w:spacing w:before="120"/>
              <w:rPr>
                <w:rFonts w:cs="Times New Roman"/>
                <w:szCs w:val="22"/>
                <w:lang w:val="en-GB"/>
              </w:rPr>
            </w:pPr>
            <w:r w:rsidRPr="00A26FD5">
              <w:rPr>
                <w:rFonts w:cs="Times New Roman"/>
                <w:szCs w:val="22"/>
                <w:lang w:val="en-GB"/>
              </w:rPr>
              <w:t>South American mangroves are threatened by human-induced a</w:t>
            </w:r>
            <w:r w:rsidR="00494044" w:rsidRPr="00A26FD5">
              <w:rPr>
                <w:rFonts w:cs="Times New Roman"/>
                <w:szCs w:val="22"/>
                <w:lang w:val="en-GB"/>
              </w:rPr>
              <w:t>lterations in the nitrogen and phosphorus</w:t>
            </w:r>
            <w:r w:rsidRPr="00A26FD5">
              <w:rPr>
                <w:rFonts w:cs="Times New Roman"/>
                <w:szCs w:val="22"/>
                <w:lang w:val="en-GB"/>
              </w:rPr>
              <w:t xml:space="preserve"> cycles. Increased nitrogen availability originating from agriculture and mining activities, sewage pollution, and also from shrimp farming and direct solid waste disposal that take place in South American mangroves (Lacerda et al., 2002; Castellanos-Gallindo et al., 2014; Rodríguez-Rodríguez et al., 2016) can lead to intensification of nitrogen cycling in mangrove sediment with direct effects on ecosystem functioning and also potential indirect effects on ecosystem structure and biodiversity. As a consequence of anthropogenic nitrogen enrichment, mangroves may increase </w:t>
            </w:r>
            <w:r w:rsidR="00494044" w:rsidRPr="00A26FD5">
              <w:rPr>
                <w:rFonts w:cs="Times New Roman"/>
                <w:szCs w:val="22"/>
                <w:lang w:val="en-GB"/>
              </w:rPr>
              <w:t>nitrous oxyde</w:t>
            </w:r>
            <w:r w:rsidRPr="00A26FD5">
              <w:rPr>
                <w:rFonts w:cs="Times New Roman"/>
                <w:szCs w:val="22"/>
                <w:lang w:val="en-GB"/>
              </w:rPr>
              <w:t xml:space="preserve"> fluxes to the atmosphere, also contributing to global warming (Reis et al., 2017). Phosphorous enrichment may also extensive affect nutrient cycling in mangrove sediment by modifying physic</w:t>
            </w:r>
            <w:r w:rsidR="00494044" w:rsidRPr="00A26FD5">
              <w:rPr>
                <w:rFonts w:cs="Times New Roman"/>
                <w:szCs w:val="22"/>
                <w:lang w:val="en-GB"/>
              </w:rPr>
              <w:t>al and chemical conditions and phosphorus</w:t>
            </w:r>
            <w:r w:rsidRPr="00A26FD5">
              <w:rPr>
                <w:rFonts w:cs="Times New Roman"/>
                <w:szCs w:val="22"/>
                <w:lang w:val="en-GB"/>
              </w:rPr>
              <w:t xml:space="preserve"> fractionation, and by increasing microbial activity and organic matter decomposition in sediment (Nóbrega et al., 2014). Other pollutants affecting mangroves in South America are oil spills (Lacerda </w:t>
            </w:r>
            <w:r w:rsidR="005761F8" w:rsidRPr="00A26FD5">
              <w:rPr>
                <w:rFonts w:cs="Times New Roman"/>
                <w:szCs w:val="22"/>
                <w:lang w:val="en-GB"/>
              </w:rPr>
              <w:t>&amp;</w:t>
            </w:r>
            <w:r w:rsidRPr="00A26FD5">
              <w:rPr>
                <w:rFonts w:cs="Times New Roman"/>
                <w:szCs w:val="22"/>
                <w:lang w:val="en-GB"/>
              </w:rPr>
              <w:t xml:space="preserve"> Kjerfve</w:t>
            </w:r>
            <w:r w:rsidR="005761F8" w:rsidRPr="00A26FD5">
              <w:rPr>
                <w:rFonts w:cs="Times New Roman"/>
                <w:szCs w:val="22"/>
                <w:lang w:val="en-GB"/>
              </w:rPr>
              <w:t>,</w:t>
            </w:r>
            <w:r w:rsidRPr="00A26FD5">
              <w:rPr>
                <w:rFonts w:cs="Times New Roman"/>
                <w:szCs w:val="22"/>
                <w:lang w:val="en-GB"/>
              </w:rPr>
              <w:t xml:space="preserve"> 1999; Lacerda et al., 2002) and toxic metals (Machado </w:t>
            </w:r>
            <w:r w:rsidR="005761F8" w:rsidRPr="00A26FD5">
              <w:rPr>
                <w:rFonts w:cs="Times New Roman"/>
                <w:szCs w:val="22"/>
                <w:lang w:val="en-GB"/>
              </w:rPr>
              <w:t>&amp;</w:t>
            </w:r>
            <w:r w:rsidRPr="00A26FD5">
              <w:rPr>
                <w:rFonts w:cs="Times New Roman"/>
                <w:szCs w:val="22"/>
                <w:lang w:val="en-GB"/>
              </w:rPr>
              <w:t xml:space="preserve"> Lacerda</w:t>
            </w:r>
            <w:r w:rsidR="005761F8" w:rsidRPr="00A26FD5">
              <w:rPr>
                <w:rFonts w:cs="Times New Roman"/>
                <w:szCs w:val="22"/>
                <w:lang w:val="en-GB"/>
              </w:rPr>
              <w:t>,</w:t>
            </w:r>
            <w:r w:rsidRPr="00A26FD5">
              <w:rPr>
                <w:rFonts w:cs="Times New Roman"/>
                <w:szCs w:val="22"/>
                <w:lang w:val="en-GB"/>
              </w:rPr>
              <w:t xml:space="preserve"> 2004). In general, consequences of oil spills to mangroves include trees defoliation and leaf deformation, mortality of seedlings and trees, bioaccumulation of toxic compounds, and reduction in faunal density, which can persist over many years after the spill (Lacerda et al., 2002). Oil spills were also reported to affect the structure and biodiversity of microbial and fungal communi</w:t>
            </w:r>
            <w:r w:rsidR="005761F8" w:rsidRPr="00A26FD5">
              <w:rPr>
                <w:rFonts w:cs="Times New Roman"/>
                <w:szCs w:val="22"/>
                <w:lang w:val="en-GB"/>
              </w:rPr>
              <w:t>ties in mangrove sediment (e.g. Taketani et al., 2010;</w:t>
            </w:r>
            <w:r w:rsidRPr="00A26FD5">
              <w:rPr>
                <w:rFonts w:cs="Times New Roman"/>
                <w:szCs w:val="22"/>
                <w:lang w:val="en-GB"/>
              </w:rPr>
              <w:t xml:space="preserve"> Fasanella et al., 2012). Enhanced trace metal availability due to engineering works at watersheds and input of waste from urban and industrial centers and aquaculture and agriculture areas has favored trace metals trapping and sto</w:t>
            </w:r>
            <w:r w:rsidR="005761F8" w:rsidRPr="00A26FD5">
              <w:rPr>
                <w:rFonts w:cs="Times New Roman"/>
                <w:szCs w:val="22"/>
                <w:lang w:val="en-GB"/>
              </w:rPr>
              <w:t>rage in mangrove sediment (e.g.</w:t>
            </w:r>
            <w:r w:rsidRPr="00A26FD5">
              <w:rPr>
                <w:rFonts w:cs="Times New Roman"/>
                <w:szCs w:val="22"/>
                <w:lang w:val="en-GB"/>
              </w:rPr>
              <w:t xml:space="preserve"> Machado </w:t>
            </w:r>
            <w:r w:rsidR="005761F8" w:rsidRPr="00A26FD5">
              <w:rPr>
                <w:rFonts w:cs="Times New Roman"/>
                <w:szCs w:val="22"/>
                <w:lang w:val="en-GB"/>
              </w:rPr>
              <w:t>&amp;</w:t>
            </w:r>
            <w:r w:rsidRPr="00A26FD5">
              <w:rPr>
                <w:rFonts w:cs="Times New Roman"/>
                <w:szCs w:val="22"/>
                <w:lang w:val="en-GB"/>
              </w:rPr>
              <w:t xml:space="preserve"> Lacerda</w:t>
            </w:r>
            <w:r w:rsidR="005761F8" w:rsidRPr="00A26FD5">
              <w:rPr>
                <w:rFonts w:cs="Times New Roman"/>
                <w:szCs w:val="22"/>
                <w:lang w:val="en-GB"/>
              </w:rPr>
              <w:t>, 2004; Lacerda et al., 2011;</w:t>
            </w:r>
            <w:r w:rsidRPr="00A26FD5">
              <w:rPr>
                <w:rFonts w:cs="Times New Roman"/>
                <w:szCs w:val="22"/>
                <w:lang w:val="en-GB"/>
              </w:rPr>
              <w:t xml:space="preserve"> Costa et al., 2013). While the retention of such elements within mangrove sediments may contribute to the reduction of metal transfer to surrounding coastal areas, it may also cause negative effects on mangrove plants and animals, with special concerns on transfer within food chains, and transfer to man through fisheries (Machado </w:t>
            </w:r>
            <w:r w:rsidR="005761F8" w:rsidRPr="00A26FD5">
              <w:rPr>
                <w:rFonts w:cs="Times New Roman"/>
                <w:szCs w:val="22"/>
                <w:lang w:val="en-GB"/>
              </w:rPr>
              <w:t>&amp;</w:t>
            </w:r>
            <w:r w:rsidRPr="00A26FD5">
              <w:rPr>
                <w:rFonts w:cs="Times New Roman"/>
                <w:szCs w:val="22"/>
                <w:lang w:val="en-GB"/>
              </w:rPr>
              <w:t xml:space="preserve"> Lacerda</w:t>
            </w:r>
            <w:r w:rsidR="005761F8" w:rsidRPr="00A26FD5">
              <w:rPr>
                <w:rFonts w:cs="Times New Roman"/>
                <w:szCs w:val="22"/>
                <w:lang w:val="en-GB"/>
              </w:rPr>
              <w:t>,</w:t>
            </w:r>
            <w:r w:rsidRPr="00A26FD5">
              <w:rPr>
                <w:rFonts w:cs="Times New Roman"/>
                <w:szCs w:val="22"/>
                <w:lang w:val="en-GB"/>
              </w:rPr>
              <w:t xml:space="preserve"> 2004).</w:t>
            </w:r>
          </w:p>
        </w:tc>
      </w:tr>
      <w:bookmarkEnd w:id="1802"/>
    </w:tbl>
    <w:p w14:paraId="3EDB2189" w14:textId="214AB188" w:rsidR="00040D2C" w:rsidRPr="008608AA" w:rsidRDefault="00040D2C"/>
    <w:p w14:paraId="78740263" w14:textId="48134D17" w:rsidR="001E61A6" w:rsidRPr="008608AA" w:rsidRDefault="00D50CF3" w:rsidP="00D50CF3">
      <w:pPr>
        <w:pStyle w:val="Caption"/>
        <w:rPr>
          <w:szCs w:val="22"/>
        </w:rPr>
      </w:pPr>
      <w:bookmarkStart w:id="1803" w:name="_Toc499459236"/>
      <w:bookmarkStart w:id="1804" w:name="_Hlk494358106"/>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21</w:t>
      </w:r>
      <w:r w:rsidR="000E562E">
        <w:rPr>
          <w:noProof/>
        </w:rPr>
        <w:fldChar w:fldCharType="end"/>
      </w:r>
      <w:r w:rsidRPr="008608AA">
        <w:t xml:space="preserve">. </w:t>
      </w:r>
      <w:r w:rsidR="001E61A6" w:rsidRPr="008608AA">
        <w:rPr>
          <w:szCs w:val="22"/>
        </w:rPr>
        <w:t xml:space="preserve">Case study: </w:t>
      </w:r>
      <w:r w:rsidR="001E61A6" w:rsidRPr="008608AA">
        <w:rPr>
          <w:i/>
          <w:szCs w:val="22"/>
        </w:rPr>
        <w:t>Pterois volitans</w:t>
      </w:r>
      <w:r w:rsidR="001E61A6" w:rsidRPr="008608AA">
        <w:rPr>
          <w:szCs w:val="22"/>
        </w:rPr>
        <w:t xml:space="preserve"> (Linnaeus 1758) and </w:t>
      </w:r>
      <w:r w:rsidR="001E61A6" w:rsidRPr="008608AA">
        <w:rPr>
          <w:i/>
          <w:szCs w:val="22"/>
        </w:rPr>
        <w:t>P. miles</w:t>
      </w:r>
      <w:r w:rsidR="001E61A6" w:rsidRPr="008608AA">
        <w:rPr>
          <w:szCs w:val="22"/>
        </w:rPr>
        <w:t xml:space="preserve"> (Bennett 1828) Family Scorpaenidae</w:t>
      </w:r>
      <w:bookmarkEnd w:id="1803"/>
    </w:p>
    <w:tbl>
      <w:tblPr>
        <w:tblStyle w:val="TableGrid"/>
        <w:tblW w:w="0" w:type="auto"/>
        <w:tblLook w:val="04A0" w:firstRow="1" w:lastRow="0" w:firstColumn="1" w:lastColumn="0" w:noHBand="0" w:noVBand="1"/>
      </w:tblPr>
      <w:tblGrid>
        <w:gridCol w:w="9487"/>
      </w:tblGrid>
      <w:tr w:rsidR="001E61A6" w:rsidRPr="00A26FD5" w14:paraId="4A7E2AA5" w14:textId="77777777" w:rsidTr="001E61A6">
        <w:tc>
          <w:tcPr>
            <w:tcW w:w="9500" w:type="dxa"/>
          </w:tcPr>
          <w:bookmarkEnd w:id="1804"/>
          <w:p w14:paraId="158C82AF" w14:textId="09C2D17F" w:rsidR="001E61A6" w:rsidRPr="00A26FD5" w:rsidRDefault="001E61A6" w:rsidP="00D50CF3">
            <w:pPr>
              <w:spacing w:before="120"/>
              <w:rPr>
                <w:szCs w:val="22"/>
              </w:rPr>
            </w:pPr>
            <w:r w:rsidRPr="00A26FD5">
              <w:rPr>
                <w:szCs w:val="22"/>
              </w:rPr>
              <w:t>The Indo-Pacific lionfish is the first nonnative m</w:t>
            </w:r>
            <w:r w:rsidR="00494044" w:rsidRPr="00A26FD5">
              <w:rPr>
                <w:szCs w:val="22"/>
              </w:rPr>
              <w:t>arine fish to establish in the western n</w:t>
            </w:r>
            <w:r w:rsidRPr="00A26FD5">
              <w:rPr>
                <w:szCs w:val="22"/>
              </w:rPr>
              <w:t>orth Atlantic and Caribbean Sea. The lionfish invasion is predicted to be the most ecologically impacting marine invasion ever recorded (Albins &amp; Hixon, 2011). Invasive lionfish prey on a wide range of native fish species (Côté et al., 2013) due to a suite of predatory characteristics and behaviors that have no parallel in the Atlantic (Albins &amp; Lyons</w:t>
            </w:r>
            <w:r w:rsidR="005761F8" w:rsidRPr="00A26FD5">
              <w:rPr>
                <w:szCs w:val="22"/>
              </w:rPr>
              <w:t>, 2012;</w:t>
            </w:r>
            <w:r w:rsidRPr="00A26FD5">
              <w:rPr>
                <w:szCs w:val="22"/>
              </w:rPr>
              <w:t xml:space="preserve"> Albins &amp; Hixon</w:t>
            </w:r>
            <w:r w:rsidR="005761F8" w:rsidRPr="00A26FD5">
              <w:rPr>
                <w:szCs w:val="22"/>
              </w:rPr>
              <w:t>,</w:t>
            </w:r>
            <w:r w:rsidRPr="00A26FD5">
              <w:rPr>
                <w:szCs w:val="22"/>
              </w:rPr>
              <w:t xml:space="preserve"> 2013). Field experiments have demonstrated that lionfish reduced recruitment of native species in coral reef patches, including important functional groups like parrotfishes (Albins &amp; Hixon, 2008</w:t>
            </w:r>
            <w:r w:rsidR="005761F8" w:rsidRPr="00A26FD5">
              <w:rPr>
                <w:szCs w:val="22"/>
              </w:rPr>
              <w:t>;</w:t>
            </w:r>
            <w:r w:rsidRPr="00A26FD5">
              <w:rPr>
                <w:szCs w:val="22"/>
              </w:rPr>
              <w:t xml:space="preserve"> Green et al., 2012). The reduction in the abundance of native fishes caused by lionfish in controlled experiments was 2.5 times greater than the one caused by a similarly sized native predator (Albins</w:t>
            </w:r>
            <w:r w:rsidR="005761F8" w:rsidRPr="00A26FD5">
              <w:rPr>
                <w:szCs w:val="22"/>
              </w:rPr>
              <w:t>,</w:t>
            </w:r>
            <w:r w:rsidRPr="00A26FD5">
              <w:rPr>
                <w:szCs w:val="22"/>
              </w:rPr>
              <w:t xml:space="preserve"> 2013), suggesting that lionfish can outcompete native predators. The first confirmed record of lionfish occurrence in the USA was a specimen taken 1985 (Morris &amp; Akins</w:t>
            </w:r>
            <w:r w:rsidR="005761F8" w:rsidRPr="00A26FD5">
              <w:rPr>
                <w:szCs w:val="22"/>
              </w:rPr>
              <w:t>,</w:t>
            </w:r>
            <w:r w:rsidRPr="00A26FD5">
              <w:rPr>
                <w:szCs w:val="22"/>
              </w:rPr>
              <w:t xml:space="preserve"> 2009). Whitfield et al. (2002) documented the presence and likely establishment of the Indo-Pacific lionfish </w:t>
            </w:r>
            <w:r w:rsidRPr="00A26FD5">
              <w:rPr>
                <w:i/>
                <w:szCs w:val="22"/>
              </w:rPr>
              <w:t>Pterois volitans</w:t>
            </w:r>
            <w:r w:rsidRPr="00A26FD5">
              <w:rPr>
                <w:szCs w:val="22"/>
              </w:rPr>
              <w:t xml:space="preserve"> in the western Atlantic. They postulated that the source of the introduction was the marine aquarium trade. Lionfish specime</w:t>
            </w:r>
            <w:r w:rsidR="00494044" w:rsidRPr="00A26FD5">
              <w:rPr>
                <w:szCs w:val="22"/>
              </w:rPr>
              <w:t>ns are now found along the USA east c</w:t>
            </w:r>
            <w:r w:rsidRPr="00A26FD5">
              <w:rPr>
                <w:szCs w:val="22"/>
              </w:rPr>
              <w:t>oast from Cape Hatteras, North Carolin</w:t>
            </w:r>
            <w:r w:rsidR="00494044" w:rsidRPr="00A26FD5">
              <w:rPr>
                <w:szCs w:val="22"/>
              </w:rPr>
              <w:t>a, to Florida, and in Bermuda, T</w:t>
            </w:r>
            <w:r w:rsidRPr="00A26FD5">
              <w:rPr>
                <w:szCs w:val="22"/>
              </w:rPr>
              <w:t>he Bahamas, and the Caribbean throughout, treats including the Turks and Caicos, Haiti, Cuba, Dominican Republic, Puerto Rico, St. Croix, Beli</w:t>
            </w:r>
            <w:r w:rsidR="005761F8" w:rsidRPr="00A26FD5">
              <w:rPr>
                <w:szCs w:val="22"/>
              </w:rPr>
              <w:t>ze, and Mexico (Schofield, 2009;</w:t>
            </w:r>
            <w:r w:rsidRPr="00A26FD5">
              <w:rPr>
                <w:szCs w:val="22"/>
              </w:rPr>
              <w:t xml:space="preserve"> Schofield</w:t>
            </w:r>
            <w:r w:rsidR="005761F8" w:rsidRPr="00A26FD5">
              <w:rPr>
                <w:szCs w:val="22"/>
              </w:rPr>
              <w:t>, 2010;</w:t>
            </w:r>
            <w:r w:rsidRPr="00A26FD5">
              <w:rPr>
                <w:szCs w:val="22"/>
              </w:rPr>
              <w:t xml:space="preserve"> Betancur et al., 2011). In less than 30 years, lionfish have dramatically expanded their non-native distribution range to an area of roughly 7.3 million km</w:t>
            </w:r>
            <w:r w:rsidRPr="00A26FD5">
              <w:rPr>
                <w:szCs w:val="22"/>
                <w:vertAlign w:val="superscript"/>
              </w:rPr>
              <w:t>2</w:t>
            </w:r>
            <w:r w:rsidRPr="00A26FD5">
              <w:rPr>
                <w:szCs w:val="22"/>
              </w:rPr>
              <w:t>, encompassing the eastern coast of the USA, Bermuda, the entire Caribbean region and the Gulf of Mexico (Schofield</w:t>
            </w:r>
            <w:r w:rsidR="005761F8" w:rsidRPr="00A26FD5">
              <w:rPr>
                <w:szCs w:val="22"/>
              </w:rPr>
              <w:t>,</w:t>
            </w:r>
            <w:r w:rsidRPr="00A26FD5">
              <w:rPr>
                <w:szCs w:val="22"/>
              </w:rPr>
              <w:t xml:space="preserve"> 2010). Because of euryhaline and eurythermal features of this species, its expansion was not con</w:t>
            </w:r>
            <w:r w:rsidR="00494044" w:rsidRPr="00A26FD5">
              <w:rPr>
                <w:szCs w:val="22"/>
              </w:rPr>
              <w:t>strained by the Amazon-Orinoco p</w:t>
            </w:r>
            <w:r w:rsidRPr="00A26FD5">
              <w:rPr>
                <w:szCs w:val="22"/>
              </w:rPr>
              <w:t>lume (Luiz et al., 2013) and it was recently reported almost in the southeastern coast of Brazil expanding its distribution range to the Atlantic coast of South America (Ferrerira et al., 2015)</w:t>
            </w:r>
          </w:p>
        </w:tc>
      </w:tr>
    </w:tbl>
    <w:p w14:paraId="4E63331D" w14:textId="77777777" w:rsidR="00360ADC" w:rsidRDefault="00360ADC" w:rsidP="00D50CF3">
      <w:pPr>
        <w:pStyle w:val="Caption"/>
      </w:pPr>
      <w:bookmarkStart w:id="1805" w:name="_Toc499459237"/>
      <w:bookmarkStart w:id="1806" w:name="_Hlk494358113"/>
    </w:p>
    <w:p w14:paraId="069CA9D6" w14:textId="17ED7BC6" w:rsidR="001E61A6" w:rsidRPr="008608AA" w:rsidRDefault="00D50CF3" w:rsidP="00D50CF3">
      <w:pPr>
        <w:pStyle w:val="Caption"/>
        <w:rPr>
          <w:szCs w:val="22"/>
        </w:rPr>
      </w:pPr>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22</w:t>
      </w:r>
      <w:r w:rsidR="000E562E">
        <w:rPr>
          <w:noProof/>
        </w:rPr>
        <w:fldChar w:fldCharType="end"/>
      </w:r>
      <w:r w:rsidRPr="008608AA">
        <w:t xml:space="preserve">. </w:t>
      </w:r>
      <w:r w:rsidR="001E61A6" w:rsidRPr="008608AA">
        <w:rPr>
          <w:szCs w:val="22"/>
        </w:rPr>
        <w:t xml:space="preserve">Impacts of invasive alien species </w:t>
      </w:r>
      <w:r w:rsidR="001E61A6" w:rsidRPr="008608AA">
        <w:rPr>
          <w:i/>
          <w:szCs w:val="22"/>
        </w:rPr>
        <w:t>Clarias</w:t>
      </w:r>
      <w:r w:rsidR="001E61A6" w:rsidRPr="008608AA">
        <w:rPr>
          <w:szCs w:val="22"/>
        </w:rPr>
        <w:t xml:space="preserve"> sp. on populations of freshwater fish in the biosphere Reserve Cienaga de Zapata, Cuba</w:t>
      </w:r>
      <w:bookmarkEnd w:id="1805"/>
    </w:p>
    <w:tbl>
      <w:tblPr>
        <w:tblStyle w:val="TableGrid"/>
        <w:tblW w:w="0" w:type="auto"/>
        <w:tblLook w:val="04A0" w:firstRow="1" w:lastRow="0" w:firstColumn="1" w:lastColumn="0" w:noHBand="0" w:noVBand="1"/>
      </w:tblPr>
      <w:tblGrid>
        <w:gridCol w:w="9487"/>
      </w:tblGrid>
      <w:tr w:rsidR="001E61A6" w:rsidRPr="00A26FD5" w14:paraId="2B846FEE" w14:textId="77777777" w:rsidTr="001E61A6">
        <w:tc>
          <w:tcPr>
            <w:tcW w:w="9500" w:type="dxa"/>
          </w:tcPr>
          <w:bookmarkEnd w:id="1806"/>
          <w:p w14:paraId="432C3096" w14:textId="77777777" w:rsidR="001E61A6" w:rsidRPr="00A26FD5" w:rsidRDefault="001E61A6" w:rsidP="00D50CF3">
            <w:pPr>
              <w:spacing w:before="120"/>
              <w:rPr>
                <w:i/>
                <w:iCs/>
                <w:szCs w:val="22"/>
              </w:rPr>
            </w:pPr>
            <w:r w:rsidRPr="00A26FD5">
              <w:rPr>
                <w:szCs w:val="22"/>
              </w:rPr>
              <w:t xml:space="preserve">Biosphere Reserve Cienaga de Zapata, is the largest wetland in the Caribbean islands and is home to high biodiversity in the presence of many local endemic. As 75% of the territory is flooded, water regime is the main ecological factor that determines the characteristics of its complex ecosystems (ACC-ICGC, 1993) .The physical, geographical and hydrological characteristics, together with the periodic floods that occur in rainy periods, and the incidence of major hurricanes, have influenced the introduction and rapid increase of two exotic and invasive species of the genus </w:t>
            </w:r>
            <w:r w:rsidRPr="00A26FD5">
              <w:rPr>
                <w:i/>
                <w:szCs w:val="22"/>
              </w:rPr>
              <w:t>Clarias</w:t>
            </w:r>
            <w:r w:rsidRPr="00A26FD5">
              <w:rPr>
                <w:szCs w:val="22"/>
              </w:rPr>
              <w:t xml:space="preserve"> (</w:t>
            </w:r>
            <w:r w:rsidRPr="00A26FD5">
              <w:rPr>
                <w:i/>
                <w:szCs w:val="22"/>
              </w:rPr>
              <w:t xml:space="preserve">Clarias macrocephalus </w:t>
            </w:r>
            <w:r w:rsidRPr="00A26FD5">
              <w:rPr>
                <w:szCs w:val="22"/>
              </w:rPr>
              <w:t>and</w:t>
            </w:r>
            <w:r w:rsidRPr="00A26FD5">
              <w:rPr>
                <w:i/>
                <w:szCs w:val="22"/>
              </w:rPr>
              <w:t xml:space="preserve"> Clarias gariepinus</w:t>
            </w:r>
            <w:r w:rsidRPr="00A26FD5">
              <w:rPr>
                <w:szCs w:val="22"/>
              </w:rPr>
              <w:t xml:space="preserve">), being more abundant </w:t>
            </w:r>
            <w:r w:rsidRPr="00A26FD5">
              <w:rPr>
                <w:i/>
                <w:szCs w:val="22"/>
              </w:rPr>
              <w:t>C. gariepinus</w:t>
            </w:r>
            <w:r w:rsidRPr="00A26FD5">
              <w:rPr>
                <w:szCs w:val="22"/>
              </w:rPr>
              <w:t>. This is an omnivorous species with high fertility, rapid growth and high resistance to diseases, and stress management, justifying its rapid distribution in the natural environment.</w:t>
            </w:r>
          </w:p>
          <w:p w14:paraId="1150CD07" w14:textId="7095D932" w:rsidR="001E61A6" w:rsidRPr="00A26FD5" w:rsidRDefault="001E61A6" w:rsidP="00D50CF3">
            <w:pPr>
              <w:spacing w:before="120"/>
              <w:rPr>
                <w:i/>
                <w:iCs/>
                <w:szCs w:val="22"/>
              </w:rPr>
            </w:pPr>
            <w:r w:rsidRPr="00A26FD5">
              <w:rPr>
                <w:szCs w:val="22"/>
              </w:rPr>
              <w:t xml:space="preserve">Studies for more than a decade (2003-2014) on the impact of the species on wetland biodiversity are based on the results of the analysis of stomach contents. These results showed that </w:t>
            </w:r>
            <w:r w:rsidRPr="00A26FD5">
              <w:rPr>
                <w:i/>
                <w:szCs w:val="22"/>
              </w:rPr>
              <w:t>C. gariepinus</w:t>
            </w:r>
            <w:r w:rsidRPr="00A26FD5">
              <w:rPr>
                <w:szCs w:val="22"/>
              </w:rPr>
              <w:t xml:space="preserve"> feeding was mainly composed of fish in the first two years of sampling, predominantly the endemic, </w:t>
            </w:r>
            <w:r w:rsidR="00494044" w:rsidRPr="00A26FD5">
              <w:rPr>
                <w:szCs w:val="22"/>
              </w:rPr>
              <w:t>b</w:t>
            </w:r>
            <w:r w:rsidRPr="00A26FD5">
              <w:rPr>
                <w:szCs w:val="22"/>
              </w:rPr>
              <w:t>iajaca criolla (</w:t>
            </w:r>
            <w:r w:rsidRPr="00A26FD5">
              <w:rPr>
                <w:i/>
                <w:szCs w:val="22"/>
              </w:rPr>
              <w:t>Nandopsis</w:t>
            </w:r>
            <w:r w:rsidR="00494044" w:rsidRPr="00A26FD5">
              <w:rPr>
                <w:i/>
                <w:szCs w:val="22"/>
              </w:rPr>
              <w:t xml:space="preserve"> </w:t>
            </w:r>
            <w:r w:rsidRPr="00A26FD5">
              <w:rPr>
                <w:i/>
                <w:szCs w:val="22"/>
              </w:rPr>
              <w:t>tetracantus</w:t>
            </w:r>
            <w:r w:rsidRPr="00A26FD5">
              <w:rPr>
                <w:szCs w:val="22"/>
              </w:rPr>
              <w:t xml:space="preserve">) accounted for 12.5% of the diet. This species was not found in the stomach contents in the later years. Simultaneously, the analysis of the variation in the composition of catching fish companions showed that in less than two years, fish populations with some degree of endemism began to decline drastically and only introduced species maintain their populations. Importantly, from 2002, specimens of the genus </w:t>
            </w:r>
            <w:r w:rsidRPr="00A26FD5">
              <w:rPr>
                <w:i/>
                <w:szCs w:val="22"/>
              </w:rPr>
              <w:t>Clarias</w:t>
            </w:r>
            <w:r w:rsidRPr="00A26FD5">
              <w:rPr>
                <w:szCs w:val="22"/>
              </w:rPr>
              <w:t xml:space="preserve"> were the most abundant in catches. </w:t>
            </w:r>
          </w:p>
          <w:p w14:paraId="63D6338C" w14:textId="052815DE" w:rsidR="001E61A6" w:rsidRPr="00A26FD5" w:rsidRDefault="001E61A6" w:rsidP="00D50CF3">
            <w:pPr>
              <w:spacing w:before="120"/>
              <w:rPr>
                <w:szCs w:val="22"/>
              </w:rPr>
            </w:pPr>
            <w:r w:rsidRPr="00A26FD5">
              <w:rPr>
                <w:szCs w:val="22"/>
              </w:rPr>
              <w:t xml:space="preserve">Today, populations of </w:t>
            </w:r>
            <w:r w:rsidR="00494044" w:rsidRPr="00A26FD5">
              <w:rPr>
                <w:szCs w:val="22"/>
              </w:rPr>
              <w:t>b</w:t>
            </w:r>
            <w:r w:rsidRPr="00A26FD5">
              <w:rPr>
                <w:szCs w:val="22"/>
              </w:rPr>
              <w:t xml:space="preserve">iajaca criolla have declined substantially in the wetland, proving to be rare in the lakes and rivers. Studies by Perez </w:t>
            </w:r>
            <w:r w:rsidR="00E0141B" w:rsidRPr="00A26FD5">
              <w:rPr>
                <w:szCs w:val="22"/>
              </w:rPr>
              <w:t>&amp;</w:t>
            </w:r>
            <w:r w:rsidRPr="00A26FD5">
              <w:rPr>
                <w:szCs w:val="22"/>
              </w:rPr>
              <w:t xml:space="preserve"> Duarte in 1990 linked the decline in populations of </w:t>
            </w:r>
            <w:r w:rsidR="00494044" w:rsidRPr="00A26FD5">
              <w:rPr>
                <w:szCs w:val="22"/>
              </w:rPr>
              <w:t xml:space="preserve">biajaca criolla </w:t>
            </w:r>
            <w:r w:rsidRPr="00A26FD5">
              <w:rPr>
                <w:szCs w:val="22"/>
              </w:rPr>
              <w:t>in Cuba with the introduction of other exotic species such as trout (</w:t>
            </w:r>
            <w:r w:rsidRPr="00A26FD5">
              <w:rPr>
                <w:i/>
                <w:szCs w:val="22"/>
              </w:rPr>
              <w:t>Micropterus salmoides</w:t>
            </w:r>
            <w:r w:rsidRPr="00A26FD5">
              <w:rPr>
                <w:szCs w:val="22"/>
              </w:rPr>
              <w:t>) and sunfish (</w:t>
            </w:r>
            <w:r w:rsidRPr="00A26FD5">
              <w:rPr>
                <w:i/>
                <w:szCs w:val="22"/>
              </w:rPr>
              <w:t>Lepomis macrochirus</w:t>
            </w:r>
            <w:r w:rsidRPr="00A26FD5">
              <w:rPr>
                <w:szCs w:val="22"/>
              </w:rPr>
              <w:t xml:space="preserve">). However, in 1979 the </w:t>
            </w:r>
            <w:r w:rsidR="00494044" w:rsidRPr="00A26FD5">
              <w:rPr>
                <w:szCs w:val="22"/>
              </w:rPr>
              <w:t>biajaca criolla</w:t>
            </w:r>
            <w:r w:rsidRPr="00A26FD5">
              <w:rPr>
                <w:szCs w:val="22"/>
              </w:rPr>
              <w:t xml:space="preserve"> represented 46.7% of the population of fish in Laguna del Tesoro, while 24.3% and 20.6% were trout and sunfish, respectively. It is with the arrival of specimens of the genus </w:t>
            </w:r>
            <w:r w:rsidRPr="00A26FD5">
              <w:rPr>
                <w:i/>
                <w:szCs w:val="22"/>
              </w:rPr>
              <w:t>Clarias</w:t>
            </w:r>
            <w:r w:rsidRPr="00A26FD5">
              <w:rPr>
                <w:szCs w:val="22"/>
              </w:rPr>
              <w:t xml:space="preserve"> that the effects on this Cuban endemic species of freshwater fish (meat is of great commercial value), belonging the family Cichlidae became stronger (Howell Rivero </w:t>
            </w:r>
            <w:r w:rsidR="00FC6F20" w:rsidRPr="00A26FD5">
              <w:rPr>
                <w:szCs w:val="22"/>
              </w:rPr>
              <w:t>&amp;</w:t>
            </w:r>
            <w:r w:rsidRPr="00A26FD5">
              <w:rPr>
                <w:szCs w:val="22"/>
              </w:rPr>
              <w:t xml:space="preserve"> Rivas, 1940; Vales et al., 1998).</w:t>
            </w:r>
          </w:p>
        </w:tc>
      </w:tr>
    </w:tbl>
    <w:p w14:paraId="704461E5" w14:textId="77777777" w:rsidR="005C080D" w:rsidRPr="008608AA" w:rsidRDefault="005C080D">
      <w:pPr>
        <w:rPr>
          <w:rFonts w:eastAsia="Times"/>
          <w:b/>
          <w:bCs/>
          <w:lang w:eastAsia="ja-JP"/>
        </w:rPr>
      </w:pPr>
      <w:bookmarkStart w:id="1807" w:name="_Toc499459238"/>
      <w:r w:rsidRPr="008608AA">
        <w:br w:type="page"/>
      </w:r>
    </w:p>
    <w:p w14:paraId="0A6C74D9" w14:textId="151BCE79" w:rsidR="001E61A6" w:rsidRPr="008608AA" w:rsidRDefault="00D50CF3" w:rsidP="00D50CF3">
      <w:pPr>
        <w:pStyle w:val="Caption"/>
        <w:rPr>
          <w:szCs w:val="22"/>
        </w:rPr>
      </w:pPr>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23</w:t>
      </w:r>
      <w:r w:rsidR="000E562E">
        <w:rPr>
          <w:noProof/>
        </w:rPr>
        <w:fldChar w:fldCharType="end"/>
      </w:r>
      <w:r w:rsidRPr="008608AA">
        <w:t xml:space="preserve">. </w:t>
      </w:r>
      <w:r w:rsidR="001E61A6" w:rsidRPr="008608AA">
        <w:rPr>
          <w:szCs w:val="22"/>
        </w:rPr>
        <w:t>More than an invasive ecosystem e</w:t>
      </w:r>
      <w:r w:rsidR="00494044" w:rsidRPr="008608AA">
        <w:rPr>
          <w:szCs w:val="22"/>
        </w:rPr>
        <w:t>ngineer: introduced beavers in s</w:t>
      </w:r>
      <w:r w:rsidR="001E61A6" w:rsidRPr="008608AA">
        <w:rPr>
          <w:szCs w:val="22"/>
        </w:rPr>
        <w:t>outhern Patagonia as a social-ecological system</w:t>
      </w:r>
      <w:bookmarkEnd w:id="1807"/>
    </w:p>
    <w:tbl>
      <w:tblPr>
        <w:tblStyle w:val="TableGrid"/>
        <w:tblW w:w="0" w:type="auto"/>
        <w:tblLook w:val="04A0" w:firstRow="1" w:lastRow="0" w:firstColumn="1" w:lastColumn="0" w:noHBand="0" w:noVBand="1"/>
      </w:tblPr>
      <w:tblGrid>
        <w:gridCol w:w="9487"/>
      </w:tblGrid>
      <w:tr w:rsidR="001E61A6" w:rsidRPr="00A26FD5" w14:paraId="6AAFEA5C" w14:textId="77777777" w:rsidTr="001E61A6">
        <w:tc>
          <w:tcPr>
            <w:tcW w:w="9500" w:type="dxa"/>
          </w:tcPr>
          <w:p w14:paraId="7DCB569C" w14:textId="6E83C620" w:rsidR="001E61A6" w:rsidRPr="00A26FD5" w:rsidRDefault="001E61A6" w:rsidP="00D50CF3">
            <w:pPr>
              <w:spacing w:before="120"/>
              <w:rPr>
                <w:szCs w:val="22"/>
              </w:rPr>
            </w:pPr>
            <w:r w:rsidRPr="00A26FD5">
              <w:rPr>
                <w:szCs w:val="22"/>
              </w:rPr>
              <w:t xml:space="preserve">In the 1940s and </w:t>
            </w:r>
            <w:r w:rsidR="00FC6F20" w:rsidRPr="00A26FD5">
              <w:rPr>
                <w:szCs w:val="22"/>
              </w:rPr>
              <w:t>19</w:t>
            </w:r>
            <w:r w:rsidRPr="00A26FD5">
              <w:rPr>
                <w:szCs w:val="22"/>
              </w:rPr>
              <w:t>50s, government and private initiatives brought various exotic species to Patagonia, including Canadian beavers (</w:t>
            </w:r>
            <w:r w:rsidRPr="00A26FD5">
              <w:rPr>
                <w:i/>
                <w:iCs/>
                <w:szCs w:val="22"/>
              </w:rPr>
              <w:t>Castor canadensis</w:t>
            </w:r>
            <w:r w:rsidRPr="00A26FD5">
              <w:rPr>
                <w:szCs w:val="22"/>
              </w:rPr>
              <w:t>), American mink (</w:t>
            </w:r>
            <w:r w:rsidRPr="00A26FD5">
              <w:rPr>
                <w:i/>
                <w:iCs/>
                <w:szCs w:val="22"/>
              </w:rPr>
              <w:t>Neovison vison</w:t>
            </w:r>
            <w:r w:rsidRPr="00A26FD5">
              <w:rPr>
                <w:szCs w:val="22"/>
              </w:rPr>
              <w:t>), muskrats (</w:t>
            </w:r>
            <w:r w:rsidRPr="00A26FD5">
              <w:rPr>
                <w:i/>
                <w:iCs/>
                <w:szCs w:val="22"/>
              </w:rPr>
              <w:t>Ondatra zibethicus</w:t>
            </w:r>
            <w:r w:rsidRPr="00A26FD5">
              <w:rPr>
                <w:szCs w:val="22"/>
              </w:rPr>
              <w:t>), red deer (</w:t>
            </w:r>
            <w:r w:rsidRPr="00A26FD5">
              <w:rPr>
                <w:i/>
                <w:iCs/>
                <w:szCs w:val="22"/>
              </w:rPr>
              <w:t>Cervus elaphus</w:t>
            </w:r>
            <w:r w:rsidRPr="00A26FD5">
              <w:rPr>
                <w:szCs w:val="22"/>
              </w:rPr>
              <w:t>) and European rabbits (</w:t>
            </w:r>
            <w:r w:rsidRPr="00A26FD5">
              <w:rPr>
                <w:i/>
                <w:iCs/>
                <w:szCs w:val="22"/>
              </w:rPr>
              <w:t>Oryctolagus cuniculus</w:t>
            </w:r>
            <w:r w:rsidRPr="00A26FD5">
              <w:rPr>
                <w:szCs w:val="22"/>
              </w:rPr>
              <w:t xml:space="preserve">) (Ballari </w:t>
            </w:r>
            <w:r w:rsidRPr="00A26FD5">
              <w:rPr>
                <w:iCs/>
                <w:szCs w:val="22"/>
              </w:rPr>
              <w:t>et al</w:t>
            </w:r>
            <w:r w:rsidRPr="00A26FD5">
              <w:rPr>
                <w:i/>
                <w:iCs/>
                <w:szCs w:val="22"/>
              </w:rPr>
              <w:t>.,</w:t>
            </w:r>
            <w:r w:rsidRPr="00A26FD5">
              <w:rPr>
                <w:iCs/>
                <w:szCs w:val="22"/>
              </w:rPr>
              <w:t>2016</w:t>
            </w:r>
            <w:r w:rsidRPr="00A26FD5">
              <w:rPr>
                <w:szCs w:val="22"/>
              </w:rPr>
              <w:t xml:space="preserve">). The re-construction of this ecological landscape was largely driven by a cultural </w:t>
            </w:r>
            <w:r w:rsidR="00164113" w:rsidRPr="00A26FD5">
              <w:rPr>
                <w:szCs w:val="22"/>
              </w:rPr>
              <w:t>“mindscape” that valued Northern H</w:t>
            </w:r>
            <w:r w:rsidRPr="00A26FD5">
              <w:rPr>
                <w:szCs w:val="22"/>
              </w:rPr>
              <w:t>emisphere species over local ones, conceiving these introductions as a way to “enhance” the fauna, “develop” the region or bring “p</w:t>
            </w:r>
            <w:r w:rsidR="00164113" w:rsidRPr="00A26FD5">
              <w:rPr>
                <w:szCs w:val="22"/>
              </w:rPr>
              <w:t>rogress” to a remote area (e.g.</w:t>
            </w:r>
            <w:r w:rsidRPr="00A26FD5">
              <w:rPr>
                <w:szCs w:val="22"/>
              </w:rPr>
              <w:t xml:space="preserve"> Sucesos Argentinos) (Anonymous,1946).</w:t>
            </w:r>
          </w:p>
          <w:p w14:paraId="7CC69E32" w14:textId="5D787658" w:rsidR="001E61A6" w:rsidRPr="00A26FD5" w:rsidRDefault="001E61A6" w:rsidP="00D50CF3">
            <w:pPr>
              <w:spacing w:before="120"/>
              <w:rPr>
                <w:szCs w:val="22"/>
              </w:rPr>
            </w:pPr>
            <w:r w:rsidRPr="00A26FD5">
              <w:rPr>
                <w:szCs w:val="22"/>
              </w:rPr>
              <w:t xml:space="preserve">Since the late 1990s, ecological research has mostly quantified the negative impacts of introduced invasive species and focused on emblematic or problematic cases like the beaver (Anderson </w:t>
            </w:r>
            <w:r w:rsidR="00FC6F20" w:rsidRPr="00A26FD5">
              <w:rPr>
                <w:szCs w:val="22"/>
              </w:rPr>
              <w:t>&amp;</w:t>
            </w:r>
            <w:r w:rsidRPr="00A26FD5">
              <w:rPr>
                <w:szCs w:val="22"/>
              </w:rPr>
              <w:t xml:space="preserve"> Valenzuela</w:t>
            </w:r>
            <w:r w:rsidR="00FC6F20" w:rsidRPr="00A26FD5">
              <w:rPr>
                <w:szCs w:val="22"/>
              </w:rPr>
              <w:t>,</w:t>
            </w:r>
            <w:r w:rsidRPr="00A26FD5">
              <w:rPr>
                <w:szCs w:val="22"/>
              </w:rPr>
              <w:t xml:space="preserve"> 2014). For example, the biological invasion by beavers has been shown to be a significant transformation of sub-Antarctic forests in the Holocene. As an invasive ecosystem engineer, the beaver creates novel ecosystems conformed by meadows and ponds that reorganize biotic communities and facilitate the spread of other exotic flora and fauna, but they also provide habitat for native waterfowl and fish (Anderson </w:t>
            </w:r>
            <w:r w:rsidRPr="00A26FD5">
              <w:rPr>
                <w:iCs/>
                <w:szCs w:val="22"/>
              </w:rPr>
              <w:t>et al.,</w:t>
            </w:r>
            <w:r w:rsidRPr="00A26FD5">
              <w:rPr>
                <w:i/>
                <w:iCs/>
                <w:szCs w:val="22"/>
              </w:rPr>
              <w:t xml:space="preserve"> </w:t>
            </w:r>
            <w:r w:rsidRPr="00A26FD5">
              <w:rPr>
                <w:szCs w:val="22"/>
              </w:rPr>
              <w:t xml:space="preserve">2014). However, unlike the northern hemisphere, southern Patagonian forests in particular are not resilient to beaver impacts, and therefore, they require active restoration measures to ameliorate beaver impacts (Wallem </w:t>
            </w:r>
            <w:r w:rsidRPr="00A26FD5">
              <w:rPr>
                <w:iCs/>
                <w:szCs w:val="22"/>
              </w:rPr>
              <w:t>et al.,</w:t>
            </w:r>
            <w:r w:rsidRPr="00A26FD5">
              <w:rPr>
                <w:i/>
                <w:iCs/>
                <w:szCs w:val="22"/>
              </w:rPr>
              <w:t xml:space="preserve"> </w:t>
            </w:r>
            <w:r w:rsidRPr="00A26FD5">
              <w:rPr>
                <w:szCs w:val="22"/>
              </w:rPr>
              <w:t>2010). This ecological information motivated Argentine and Chilean decision-makers to agree to eradicate beavers and restore degraded ecosystems. However, it quickly became apparent that achieving these goals required understanding not only ecological dimensions, but also social aspects of this system. Although global images of Patagonia tend to project it as an unsullied wilderness, but it has a long history of human habitation and a modern social context that is quite complex (Moss</w:t>
            </w:r>
            <w:r w:rsidR="00E0141B" w:rsidRPr="00A26FD5">
              <w:rPr>
                <w:szCs w:val="22"/>
              </w:rPr>
              <w:t>,</w:t>
            </w:r>
            <w:r w:rsidRPr="00A26FD5">
              <w:rPr>
                <w:szCs w:val="22"/>
              </w:rPr>
              <w:t xml:space="preserve"> 2008). In the case of beavers, an eradication program must recognize that the Tierra del Fuego Archipelago is one biogeographic unit, but it is administered by two</w:t>
            </w:r>
            <w:r w:rsidR="00164113" w:rsidRPr="00A26FD5">
              <w:rPr>
                <w:szCs w:val="22"/>
              </w:rPr>
              <w:t xml:space="preserve"> nations with different political</w:t>
            </w:r>
            <w:r w:rsidRPr="00A26FD5">
              <w:rPr>
                <w:szCs w:val="22"/>
              </w:rPr>
              <w:t xml:space="preserve">-administrative systems. Furthermore, different social groups within each country understand their relationship with beavers differently. For example, while environmental managers in southern Patagonia rank invasive species as a primary threat to ecosystems, the 98% of residents who live in cities do not perceive them as a priority problem (Zagarola </w:t>
            </w:r>
            <w:r w:rsidRPr="00A26FD5">
              <w:rPr>
                <w:iCs/>
                <w:szCs w:val="22"/>
              </w:rPr>
              <w:t>et al.,</w:t>
            </w:r>
            <w:r w:rsidRPr="00A26FD5">
              <w:rPr>
                <w:i/>
                <w:iCs/>
                <w:szCs w:val="22"/>
              </w:rPr>
              <w:t xml:space="preserve"> </w:t>
            </w:r>
            <w:r w:rsidRPr="00A26FD5">
              <w:rPr>
                <w:szCs w:val="22"/>
              </w:rPr>
              <w:t>2014). Indeed, the novel social context of beavers includes the fact that they have become a symbol for various tourism enterprises and companies, particularly in Argentina. This social syste</w:t>
            </w:r>
            <w:r w:rsidR="00164113" w:rsidRPr="00A26FD5">
              <w:rPr>
                <w:szCs w:val="22"/>
              </w:rPr>
              <w:t>m includes not only two nation-S</w:t>
            </w:r>
            <w:r w:rsidRPr="00A26FD5">
              <w:rPr>
                <w:szCs w:val="22"/>
              </w:rPr>
              <w:t xml:space="preserve">tates, but diverse stakeholders and social groups that have multi-relationships and perspectives with this multi-natural ecosystem (Santo </w:t>
            </w:r>
            <w:r w:rsidRPr="00A26FD5">
              <w:rPr>
                <w:iCs/>
                <w:szCs w:val="22"/>
              </w:rPr>
              <w:t>et al.,</w:t>
            </w:r>
            <w:r w:rsidRPr="00A26FD5">
              <w:rPr>
                <w:i/>
                <w:iCs/>
                <w:szCs w:val="22"/>
              </w:rPr>
              <w:t xml:space="preserve"> </w:t>
            </w:r>
            <w:r w:rsidRPr="00A26FD5">
              <w:rPr>
                <w:szCs w:val="22"/>
              </w:rPr>
              <w:t>2015). Incorporating this complexity of human and environmental factors means reconceiving biological invasions and restoration ecology as social-ecological systems for both research and management, but achieving this recognition has literally taken decades. By recognizing the social-ecological dimensions of invasive exotic species, not just their "biological invasion", ecologists would be better positioned to effectively and efficiently address these and other problems in association with not only other academic disciplines, but other social actors that are part of the study and management of environmental issues.</w:t>
            </w:r>
          </w:p>
        </w:tc>
      </w:tr>
    </w:tbl>
    <w:p w14:paraId="7910D301" w14:textId="77777777" w:rsidR="00360ADC" w:rsidRDefault="00360ADC" w:rsidP="00D50CF3">
      <w:pPr>
        <w:pStyle w:val="Caption"/>
      </w:pPr>
      <w:bookmarkStart w:id="1808" w:name="_Toc499459239"/>
      <w:bookmarkStart w:id="1809" w:name="_Hlk494358126"/>
    </w:p>
    <w:p w14:paraId="2A637664" w14:textId="77777777" w:rsidR="00360ADC" w:rsidRDefault="00360ADC" w:rsidP="00D50CF3">
      <w:pPr>
        <w:pStyle w:val="Caption"/>
      </w:pPr>
    </w:p>
    <w:p w14:paraId="72946081" w14:textId="77777777" w:rsidR="00360ADC" w:rsidRDefault="00360ADC" w:rsidP="00D50CF3">
      <w:pPr>
        <w:pStyle w:val="Caption"/>
      </w:pPr>
    </w:p>
    <w:p w14:paraId="47CDEC2A" w14:textId="77777777" w:rsidR="00360ADC" w:rsidRDefault="00360ADC" w:rsidP="00D50CF3">
      <w:pPr>
        <w:pStyle w:val="Caption"/>
      </w:pPr>
    </w:p>
    <w:p w14:paraId="61889A9E" w14:textId="26008383" w:rsidR="00360ADC" w:rsidRDefault="00360ADC" w:rsidP="00D50CF3">
      <w:pPr>
        <w:pStyle w:val="Caption"/>
      </w:pPr>
    </w:p>
    <w:p w14:paraId="7CC1F581" w14:textId="77777777" w:rsidR="00086223" w:rsidRPr="00086223" w:rsidRDefault="00086223" w:rsidP="00086223">
      <w:pPr>
        <w:rPr>
          <w:lang w:val="en-GB" w:eastAsia="ja-JP"/>
        </w:rPr>
      </w:pPr>
    </w:p>
    <w:p w14:paraId="5DDB13A7" w14:textId="77777777" w:rsidR="00360ADC" w:rsidRDefault="00360ADC" w:rsidP="00D50CF3">
      <w:pPr>
        <w:pStyle w:val="Caption"/>
      </w:pPr>
    </w:p>
    <w:p w14:paraId="23AE37CE" w14:textId="48FFBC6C" w:rsidR="001E61A6" w:rsidRPr="008608AA" w:rsidRDefault="00D50CF3" w:rsidP="00D50CF3">
      <w:pPr>
        <w:pStyle w:val="Caption"/>
      </w:pPr>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24</w:t>
      </w:r>
      <w:r w:rsidR="000E562E">
        <w:rPr>
          <w:noProof/>
        </w:rPr>
        <w:fldChar w:fldCharType="end"/>
      </w:r>
      <w:r w:rsidRPr="008608AA">
        <w:t xml:space="preserve">. </w:t>
      </w:r>
      <w:r w:rsidR="001E61A6" w:rsidRPr="008608AA">
        <w:t xml:space="preserve">Case study: </w:t>
      </w:r>
      <w:r w:rsidR="001E61A6" w:rsidRPr="008608AA">
        <w:rPr>
          <w:i/>
        </w:rPr>
        <w:t>Limnoperna fortunei</w:t>
      </w:r>
      <w:r w:rsidR="001E61A6" w:rsidRPr="008608AA">
        <w:t xml:space="preserve"> (Dunker</w:t>
      </w:r>
      <w:r w:rsidR="00FC6F20" w:rsidRPr="008608AA">
        <w:t>,</w:t>
      </w:r>
      <w:r w:rsidR="001E61A6" w:rsidRPr="008608AA">
        <w:t xml:space="preserve"> 1857)</w:t>
      </w:r>
      <w:bookmarkEnd w:id="1808"/>
    </w:p>
    <w:tbl>
      <w:tblPr>
        <w:tblStyle w:val="TableGrid"/>
        <w:tblW w:w="0" w:type="auto"/>
        <w:tblLook w:val="04A0" w:firstRow="1" w:lastRow="0" w:firstColumn="1" w:lastColumn="0" w:noHBand="0" w:noVBand="1"/>
      </w:tblPr>
      <w:tblGrid>
        <w:gridCol w:w="9487"/>
      </w:tblGrid>
      <w:tr w:rsidR="001E61A6" w:rsidRPr="004948F4" w14:paraId="1F24EEE8" w14:textId="77777777" w:rsidTr="001E61A6">
        <w:tc>
          <w:tcPr>
            <w:tcW w:w="9500" w:type="dxa"/>
          </w:tcPr>
          <w:bookmarkEnd w:id="1809"/>
          <w:p w14:paraId="6D9F9BB2" w14:textId="6173BD0B" w:rsidR="001E61A6" w:rsidRPr="004948F4" w:rsidRDefault="001E61A6" w:rsidP="00D50CF3">
            <w:pPr>
              <w:spacing w:before="120"/>
              <w:rPr>
                <w:sz w:val="20"/>
                <w:szCs w:val="20"/>
              </w:rPr>
            </w:pPr>
            <w:r w:rsidRPr="004948F4">
              <w:rPr>
                <w:rFonts w:eastAsiaTheme="majorEastAsia"/>
                <w:sz w:val="20"/>
                <w:szCs w:val="20"/>
              </w:rPr>
              <w:t>This mussel species, commonly known as the golden mussel, is na</w:t>
            </w:r>
            <w:r w:rsidR="00164113" w:rsidRPr="004948F4">
              <w:rPr>
                <w:rFonts w:eastAsiaTheme="majorEastAsia"/>
                <w:sz w:val="20"/>
                <w:szCs w:val="20"/>
              </w:rPr>
              <w:t>tive to the freshwater systems s</w:t>
            </w:r>
            <w:r w:rsidRPr="004948F4">
              <w:rPr>
                <w:rFonts w:eastAsiaTheme="majorEastAsia"/>
                <w:sz w:val="20"/>
                <w:szCs w:val="20"/>
              </w:rPr>
              <w:t>outheast China. Because of the ecological effects caused in aquatic ecosystems and expenses incurred in industrial infrastructure concerned is considered as aquatic invasive species and environmental issues at regional level (Darrigran</w:t>
            </w:r>
            <w:r w:rsidR="00FC6F20" w:rsidRPr="004948F4">
              <w:rPr>
                <w:rFonts w:eastAsiaTheme="majorEastAsia"/>
                <w:sz w:val="20"/>
                <w:szCs w:val="20"/>
              </w:rPr>
              <w:t>,</w:t>
            </w:r>
            <w:r w:rsidRPr="004948F4">
              <w:rPr>
                <w:rFonts w:eastAsiaTheme="majorEastAsia"/>
                <w:sz w:val="20"/>
                <w:szCs w:val="20"/>
              </w:rPr>
              <w:t xml:space="preserve"> 2002). It was accidentally introduced to the region of the </w:t>
            </w:r>
            <w:r w:rsidR="00164113" w:rsidRPr="004948F4">
              <w:rPr>
                <w:rFonts w:eastAsiaTheme="majorEastAsia"/>
                <w:sz w:val="20"/>
                <w:szCs w:val="20"/>
              </w:rPr>
              <w:t>Río de la Plata basin</w:t>
            </w:r>
            <w:r w:rsidRPr="004948F4">
              <w:rPr>
                <w:rFonts w:eastAsiaTheme="majorEastAsia"/>
                <w:sz w:val="20"/>
                <w:szCs w:val="20"/>
              </w:rPr>
              <w:t xml:space="preserve"> in 1991 through ballast water and first reported on the coast of </w:t>
            </w:r>
            <w:r w:rsidR="003E0D07" w:rsidRPr="004948F4">
              <w:rPr>
                <w:rFonts w:eastAsiaTheme="majorEastAsia"/>
                <w:sz w:val="20"/>
                <w:szCs w:val="20"/>
              </w:rPr>
              <w:t>Rí</w:t>
            </w:r>
            <w:r w:rsidRPr="004948F4">
              <w:rPr>
                <w:rFonts w:eastAsiaTheme="majorEastAsia"/>
                <w:sz w:val="20"/>
                <w:szCs w:val="20"/>
              </w:rPr>
              <w:t>o de la Plata, Buenos Aires (Pastorino et al., 1993, Darrigran &amp; Pastorino</w:t>
            </w:r>
            <w:r w:rsidR="00FC6F20" w:rsidRPr="004948F4">
              <w:rPr>
                <w:rFonts w:eastAsiaTheme="majorEastAsia"/>
                <w:sz w:val="20"/>
                <w:szCs w:val="20"/>
              </w:rPr>
              <w:t>,</w:t>
            </w:r>
            <w:r w:rsidRPr="004948F4">
              <w:rPr>
                <w:rFonts w:eastAsiaTheme="majorEastAsia"/>
                <w:sz w:val="20"/>
                <w:szCs w:val="20"/>
              </w:rPr>
              <w:t xml:space="preserve"> 1995). Currently</w:t>
            </w:r>
            <w:r w:rsidR="00164113" w:rsidRPr="004948F4">
              <w:rPr>
                <w:rFonts w:eastAsiaTheme="majorEastAsia"/>
                <w:sz w:val="20"/>
                <w:szCs w:val="20"/>
              </w:rPr>
              <w:t>,</w:t>
            </w:r>
            <w:r w:rsidRPr="004948F4">
              <w:rPr>
                <w:rFonts w:eastAsiaTheme="majorEastAsia"/>
                <w:sz w:val="20"/>
                <w:szCs w:val="20"/>
              </w:rPr>
              <w:t xml:space="preserve"> it has a rapid ascent up the </w:t>
            </w:r>
            <w:r w:rsidR="003E0D07" w:rsidRPr="004948F4">
              <w:rPr>
                <w:rFonts w:eastAsiaTheme="majorEastAsia"/>
                <w:sz w:val="20"/>
                <w:szCs w:val="20"/>
              </w:rPr>
              <w:t>Río de la Plata b</w:t>
            </w:r>
            <w:r w:rsidRPr="004948F4">
              <w:rPr>
                <w:rFonts w:eastAsiaTheme="majorEastAsia"/>
                <w:sz w:val="20"/>
                <w:szCs w:val="20"/>
              </w:rPr>
              <w:t xml:space="preserve">asin (feed rates of 250 km </w:t>
            </w:r>
            <w:r w:rsidR="00164113" w:rsidRPr="004948F4">
              <w:rPr>
                <w:rFonts w:eastAsiaTheme="majorEastAsia"/>
                <w:sz w:val="20"/>
                <w:szCs w:val="20"/>
              </w:rPr>
              <w:t>per year</w:t>
            </w:r>
            <w:r w:rsidR="003E0D07" w:rsidRPr="004948F4">
              <w:rPr>
                <w:rFonts w:eastAsiaTheme="majorEastAsia"/>
                <w:sz w:val="20"/>
                <w:szCs w:val="20"/>
              </w:rPr>
              <w:t>), invading major rivers (Rí</w:t>
            </w:r>
            <w:r w:rsidRPr="004948F4">
              <w:rPr>
                <w:rFonts w:eastAsiaTheme="majorEastAsia"/>
                <w:sz w:val="20"/>
                <w:szCs w:val="20"/>
              </w:rPr>
              <w:t xml:space="preserve">o de la Plata, Uruguay, Parana, Paraguay, Tiete) and smaller water systems </w:t>
            </w:r>
            <w:r w:rsidR="00164113" w:rsidRPr="004948F4">
              <w:rPr>
                <w:rFonts w:eastAsiaTheme="majorEastAsia"/>
                <w:sz w:val="20"/>
                <w:szCs w:val="20"/>
              </w:rPr>
              <w:t xml:space="preserve">in basins Guaíba, Tramandaí (south east </w:t>
            </w:r>
            <w:r w:rsidRPr="004948F4">
              <w:rPr>
                <w:rFonts w:eastAsiaTheme="majorEastAsia"/>
                <w:sz w:val="20"/>
                <w:szCs w:val="20"/>
              </w:rPr>
              <w:t>Brazil), Laguna de los Patos-Mirim (Brazil-Uruguay), Mar Chiquita (Argentina</w:t>
            </w:r>
            <w:r w:rsidR="00164113" w:rsidRPr="004948F4">
              <w:rPr>
                <w:rFonts w:eastAsiaTheme="majorEastAsia"/>
                <w:sz w:val="20"/>
                <w:szCs w:val="20"/>
              </w:rPr>
              <w:t>-central) or Laguna del Sauce (e</w:t>
            </w:r>
            <w:r w:rsidRPr="004948F4">
              <w:rPr>
                <w:rFonts w:eastAsiaTheme="majorEastAsia"/>
                <w:sz w:val="20"/>
                <w:szCs w:val="20"/>
              </w:rPr>
              <w:t>a</w:t>
            </w:r>
            <w:r w:rsidR="00164113" w:rsidRPr="004948F4">
              <w:rPr>
                <w:rFonts w:eastAsiaTheme="majorEastAsia"/>
                <w:sz w:val="20"/>
                <w:szCs w:val="20"/>
              </w:rPr>
              <w:t>st coast Urugua</w:t>
            </w:r>
            <w:r w:rsidR="00306514" w:rsidRPr="004948F4">
              <w:rPr>
                <w:rFonts w:eastAsiaTheme="majorEastAsia"/>
                <w:sz w:val="20"/>
                <w:szCs w:val="20"/>
              </w:rPr>
              <w:t>y) (de Olive</w:t>
            </w:r>
            <w:r w:rsidRPr="004948F4">
              <w:rPr>
                <w:rFonts w:eastAsiaTheme="majorEastAsia"/>
                <w:sz w:val="20"/>
                <w:szCs w:val="20"/>
              </w:rPr>
              <w:t>r</w:t>
            </w:r>
            <w:r w:rsidR="00306514" w:rsidRPr="004948F4">
              <w:rPr>
                <w:rFonts w:eastAsiaTheme="majorEastAsia"/>
                <w:sz w:val="20"/>
                <w:szCs w:val="20"/>
              </w:rPr>
              <w:t>i</w:t>
            </w:r>
            <w:r w:rsidRPr="004948F4">
              <w:rPr>
                <w:rFonts w:eastAsiaTheme="majorEastAsia"/>
                <w:sz w:val="20"/>
                <w:szCs w:val="20"/>
              </w:rPr>
              <w:t xml:space="preserve">a et al., 2015). It is currently in aquatic environments from five countries in South America: Argentina, Brazil, Bolivia, Paraguay and Uruguay, identified as the main vector of invasion commercial navigation on the waterway of the </w:t>
            </w:r>
            <w:r w:rsidR="00164113" w:rsidRPr="004948F4">
              <w:rPr>
                <w:rFonts w:eastAsiaTheme="majorEastAsia"/>
                <w:sz w:val="20"/>
                <w:szCs w:val="20"/>
              </w:rPr>
              <w:t>Río de la Plata b</w:t>
            </w:r>
            <w:r w:rsidRPr="004948F4">
              <w:rPr>
                <w:rFonts w:eastAsiaTheme="majorEastAsia"/>
                <w:sz w:val="20"/>
                <w:szCs w:val="20"/>
              </w:rPr>
              <w:t xml:space="preserve">asin (Karatayev et al., 2006). Since its arrival to the region, it was found associated with a variety of natural and artificial substrates consolidated, increasing its population abundances, causing changes in the benthic communities and in the eating habits of native fish. It generates further problems macrofouling (settlement and colonization of organisms greater than 50 </w:t>
            </w:r>
            <w:r w:rsidR="00164113" w:rsidRPr="004948F4">
              <w:rPr>
                <w:rFonts w:eastAsiaTheme="majorEastAsia"/>
                <w:sz w:val="20"/>
                <w:szCs w:val="20"/>
              </w:rPr>
              <w:t>micrometre</w:t>
            </w:r>
            <w:r w:rsidRPr="004948F4">
              <w:rPr>
                <w:rFonts w:eastAsiaTheme="majorEastAsia"/>
                <w:sz w:val="20"/>
                <w:szCs w:val="20"/>
              </w:rPr>
              <w:t xml:space="preserve"> on artificial substrates) in hydraulic systems of companies and industries that use different branches water resources in their production cycles (Boltovskoy &amp; Correa</w:t>
            </w:r>
            <w:r w:rsidR="00FC6F20" w:rsidRPr="004948F4">
              <w:rPr>
                <w:rFonts w:eastAsiaTheme="majorEastAsia"/>
                <w:sz w:val="20"/>
                <w:szCs w:val="20"/>
              </w:rPr>
              <w:t>,</w:t>
            </w:r>
            <w:r w:rsidRPr="004948F4">
              <w:rPr>
                <w:rFonts w:eastAsiaTheme="majorEastAsia"/>
                <w:sz w:val="20"/>
                <w:szCs w:val="20"/>
              </w:rPr>
              <w:t xml:space="preserve"> 2014). Among the effects caused are clogging of filters, disablement of hydraulic sensors, damages to pumps or decreased uptake diameter line pipe for cooling water, irrigation, or water purification. These effects cause overhead in major water purification water plants, nuclear, hydroelectric plants, refineries, steel mills and agro-industrial plants (aquaculture, forestry, food), due to maintenance, structural modifications, as well as management plans and population control (Brugnoli et al., 2006</w:t>
            </w:r>
            <w:r w:rsidR="00FC6F20" w:rsidRPr="004948F4">
              <w:rPr>
                <w:rFonts w:eastAsiaTheme="majorEastAsia"/>
                <w:sz w:val="20"/>
                <w:szCs w:val="20"/>
              </w:rPr>
              <w:t>;</w:t>
            </w:r>
            <w:r w:rsidR="00164113" w:rsidRPr="004948F4">
              <w:rPr>
                <w:rFonts w:eastAsiaTheme="majorEastAsia"/>
                <w:sz w:val="20"/>
                <w:szCs w:val="20"/>
              </w:rPr>
              <w:t xml:space="preserve"> </w:t>
            </w:r>
            <w:r w:rsidR="00FC6F20" w:rsidRPr="004948F4">
              <w:rPr>
                <w:rFonts w:eastAsiaTheme="majorEastAsia"/>
                <w:sz w:val="20"/>
                <w:szCs w:val="20"/>
              </w:rPr>
              <w:t>Boltovskoy &amp; Correa, 2014;</w:t>
            </w:r>
            <w:r w:rsidRPr="004948F4">
              <w:rPr>
                <w:rFonts w:eastAsiaTheme="majorEastAsia"/>
                <w:sz w:val="20"/>
                <w:szCs w:val="20"/>
              </w:rPr>
              <w:t xml:space="preserve"> Boltovskoy et al., 2015).</w:t>
            </w:r>
          </w:p>
        </w:tc>
      </w:tr>
    </w:tbl>
    <w:p w14:paraId="52E364D6" w14:textId="343110AE" w:rsidR="001E61A6" w:rsidRPr="008608AA" w:rsidRDefault="00D50CF3" w:rsidP="00D50CF3">
      <w:pPr>
        <w:pStyle w:val="Caption"/>
      </w:pPr>
      <w:bookmarkStart w:id="1810" w:name="_Toc499459240"/>
      <w:bookmarkStart w:id="1811" w:name="_Hlk494358133"/>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4</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25</w:t>
      </w:r>
      <w:r w:rsidR="000E562E">
        <w:rPr>
          <w:noProof/>
        </w:rPr>
        <w:fldChar w:fldCharType="end"/>
      </w:r>
      <w:r w:rsidRPr="008608AA">
        <w:t xml:space="preserve">. </w:t>
      </w:r>
      <w:r w:rsidR="001E61A6" w:rsidRPr="008608AA">
        <w:t xml:space="preserve">Case study: </w:t>
      </w:r>
      <w:r w:rsidR="001E61A6" w:rsidRPr="008608AA">
        <w:rPr>
          <w:i/>
        </w:rPr>
        <w:t>Rapana venosa</w:t>
      </w:r>
      <w:r w:rsidR="001E61A6" w:rsidRPr="008608AA">
        <w:t xml:space="preserve"> (Valenciennes</w:t>
      </w:r>
      <w:r w:rsidR="00FC6F20" w:rsidRPr="008608AA">
        <w:t>,</w:t>
      </w:r>
      <w:r w:rsidR="001E61A6" w:rsidRPr="008608AA">
        <w:t xml:space="preserve"> 1846)</w:t>
      </w:r>
      <w:bookmarkEnd w:id="1810"/>
    </w:p>
    <w:tbl>
      <w:tblPr>
        <w:tblStyle w:val="TableGrid"/>
        <w:tblW w:w="5000" w:type="pct"/>
        <w:tblLook w:val="04A0" w:firstRow="1" w:lastRow="0" w:firstColumn="1" w:lastColumn="0" w:noHBand="0" w:noVBand="1"/>
      </w:tblPr>
      <w:tblGrid>
        <w:gridCol w:w="9487"/>
      </w:tblGrid>
      <w:tr w:rsidR="005C080D" w:rsidRPr="004948F4" w14:paraId="6930AC04" w14:textId="77777777" w:rsidTr="000B56DC">
        <w:tc>
          <w:tcPr>
            <w:tcW w:w="5000" w:type="pct"/>
          </w:tcPr>
          <w:p w14:paraId="78A037A3" w14:textId="26C39308" w:rsidR="005C080D" w:rsidRPr="004948F4" w:rsidRDefault="005C080D" w:rsidP="00D50CF3">
            <w:pPr>
              <w:spacing w:before="120"/>
              <w:rPr>
                <w:sz w:val="20"/>
                <w:szCs w:val="20"/>
              </w:rPr>
            </w:pPr>
            <w:r w:rsidRPr="004948F4">
              <w:rPr>
                <w:sz w:val="20"/>
                <w:szCs w:val="20"/>
              </w:rPr>
              <w:t xml:space="preserve">The </w:t>
            </w:r>
            <w:r w:rsidR="00164113" w:rsidRPr="004948F4">
              <w:rPr>
                <w:sz w:val="20"/>
                <w:szCs w:val="20"/>
              </w:rPr>
              <w:t>snail r</w:t>
            </w:r>
            <w:r w:rsidRPr="004948F4">
              <w:rPr>
                <w:sz w:val="20"/>
                <w:szCs w:val="20"/>
              </w:rPr>
              <w:t>apana is native to the Sea of Japan, Yellow Sea, Bohai Sea and the Sea of China to Taiwan (Mann et al., 2004). In 1947, it was described for the first time outside of its original range in the Black Sea and then subsequently reported in the Azov, Aegean, Adriatic Seas and North America (Pastorino et al., 2000, Mann et al., 2004, Kerckhof et al., 2006). It is a predator of molluscs subtidal, usually feeding on bivalves of economic interest such as oysters, mussels and clams (Harding &amp; Mann</w:t>
            </w:r>
            <w:r w:rsidR="00FC6F20" w:rsidRPr="004948F4">
              <w:rPr>
                <w:sz w:val="20"/>
                <w:szCs w:val="20"/>
              </w:rPr>
              <w:t>, 1999;</w:t>
            </w:r>
            <w:r w:rsidRPr="004948F4">
              <w:rPr>
                <w:sz w:val="20"/>
                <w:szCs w:val="20"/>
              </w:rPr>
              <w:t xml:space="preserve"> Savini &amp; Occhipinti-Ambrogi</w:t>
            </w:r>
            <w:r w:rsidR="00FC6F20" w:rsidRPr="004948F4">
              <w:rPr>
                <w:sz w:val="20"/>
                <w:szCs w:val="20"/>
              </w:rPr>
              <w:t>, 2006; Giberto et al., 2011;</w:t>
            </w:r>
            <w:r w:rsidRPr="004948F4">
              <w:rPr>
                <w:sz w:val="20"/>
                <w:szCs w:val="20"/>
              </w:rPr>
              <w:t xml:space="preserve"> Lanfranconi et al., 2013).</w:t>
            </w:r>
          </w:p>
          <w:p w14:paraId="35835683" w14:textId="491E5FC8" w:rsidR="005C080D" w:rsidRPr="004948F4" w:rsidRDefault="005C080D" w:rsidP="00D50CF3">
            <w:pPr>
              <w:spacing w:before="120"/>
              <w:rPr>
                <w:sz w:val="20"/>
                <w:szCs w:val="20"/>
              </w:rPr>
            </w:pPr>
            <w:r w:rsidRPr="004948F4">
              <w:rPr>
                <w:sz w:val="20"/>
                <w:szCs w:val="20"/>
              </w:rPr>
              <w:t>It was first recorded in South America</w:t>
            </w:r>
            <w:r w:rsidR="00164113" w:rsidRPr="004948F4">
              <w:rPr>
                <w:sz w:val="20"/>
                <w:szCs w:val="20"/>
              </w:rPr>
              <w:t xml:space="preserve"> </w:t>
            </w:r>
            <w:r w:rsidRPr="004948F4">
              <w:rPr>
                <w:sz w:val="20"/>
                <w:szCs w:val="20"/>
              </w:rPr>
              <w:t>in 1999 in the Río de la Plata, Argentinian coast (Bay Samborombón) (Pastorino et al., 2000). A decade after its first records outside Samborombón Bay, the species expanded its distribution to all muddy bottoms of the subtidal mixohaline zone of the Río de la Plata (Giberto et al., 2006). For the Uruguayan coas</w:t>
            </w:r>
            <w:r w:rsidR="003E0D07" w:rsidRPr="004948F4">
              <w:rPr>
                <w:sz w:val="20"/>
                <w:szCs w:val="20"/>
              </w:rPr>
              <w:t>t of the Río de l</w:t>
            </w:r>
            <w:r w:rsidRPr="004948F4">
              <w:rPr>
                <w:sz w:val="20"/>
                <w:szCs w:val="20"/>
              </w:rPr>
              <w:t>a Plata, Scarabino et al. (1999) reported on the coast of Maldonado; meanwhile, Carranza et al. (2007) describe its distribu</w:t>
            </w:r>
            <w:r w:rsidR="003E0D07" w:rsidRPr="004948F4">
              <w:rPr>
                <w:sz w:val="20"/>
                <w:szCs w:val="20"/>
              </w:rPr>
              <w:t>tion in the outer area of the Rí</w:t>
            </w:r>
            <w:r w:rsidRPr="004948F4">
              <w:rPr>
                <w:sz w:val="20"/>
                <w:szCs w:val="20"/>
              </w:rPr>
              <w:t>o de la Plata. Currently, it presents its limit of this distribution in the Bay of Maldonado-Punta del</w:t>
            </w:r>
            <w:r w:rsidR="00FC6F20" w:rsidRPr="004948F4">
              <w:rPr>
                <w:sz w:val="20"/>
                <w:szCs w:val="20"/>
              </w:rPr>
              <w:t xml:space="preserve"> Este (Lanfranconi et al., 2009;</w:t>
            </w:r>
            <w:r w:rsidRPr="004948F4">
              <w:rPr>
                <w:sz w:val="20"/>
                <w:szCs w:val="20"/>
              </w:rPr>
              <w:t xml:space="preserve"> Carranza et al., 2010).</w:t>
            </w:r>
          </w:p>
          <w:p w14:paraId="0A9AA175" w14:textId="1052AA10" w:rsidR="005C080D" w:rsidRPr="004948F4" w:rsidRDefault="005C080D" w:rsidP="00D50CF3">
            <w:pPr>
              <w:spacing w:before="120"/>
              <w:rPr>
                <w:sz w:val="20"/>
                <w:szCs w:val="20"/>
              </w:rPr>
            </w:pPr>
            <w:r w:rsidRPr="004948F4">
              <w:rPr>
                <w:sz w:val="20"/>
                <w:szCs w:val="20"/>
              </w:rPr>
              <w:t>Pe</w:t>
            </w:r>
            <w:r w:rsidR="00164113" w:rsidRPr="004948F4">
              <w:rPr>
                <w:sz w:val="20"/>
                <w:szCs w:val="20"/>
              </w:rPr>
              <w:t>rception of local communities: c</w:t>
            </w:r>
            <w:r w:rsidRPr="004948F4">
              <w:rPr>
                <w:sz w:val="20"/>
                <w:szCs w:val="20"/>
              </w:rPr>
              <w:t>onducting a study with a multidisciplinary approach involving biologists, sociologists and consultation</w:t>
            </w:r>
            <w:r w:rsidR="00164113" w:rsidRPr="004948F4">
              <w:rPr>
                <w:sz w:val="20"/>
                <w:szCs w:val="20"/>
              </w:rPr>
              <w:t xml:space="preserve"> of fisherfolk (mussel) in the south e</w:t>
            </w:r>
            <w:r w:rsidRPr="004948F4">
              <w:rPr>
                <w:sz w:val="20"/>
                <w:szCs w:val="20"/>
              </w:rPr>
              <w:t xml:space="preserve">ast of Uruguay coast, allowed to highlight the importance of considering local knowledge with stakeholders involved daily with the impact of invasive species on fishery resources (Brugnoli et al., 2014). The "empirical" knowledge, largely consolidates existing scientific knowledge concerning </w:t>
            </w:r>
            <w:r w:rsidRPr="004948F4">
              <w:rPr>
                <w:i/>
                <w:sz w:val="20"/>
                <w:szCs w:val="20"/>
              </w:rPr>
              <w:t>R. venosa</w:t>
            </w:r>
            <w:r w:rsidRPr="004948F4">
              <w:rPr>
                <w:sz w:val="20"/>
                <w:szCs w:val="20"/>
              </w:rPr>
              <w:t xml:space="preserve"> and, in certain cases, brings new questions for future research. Both approaches (scientific-community local) agree on the dates of the first observations of the snail to the area as well as observation of mucous trail left by its movement. This empirical knowledge as well as information collected in the field by local people, is sometimes prescinded by the academy. However, it could play an important role in monitoring programs that include early warning, monitoring of abundance and distribution, as well as the identification of direct or indirect effects on the native fauna caused by invading organisms like </w:t>
            </w:r>
            <w:r w:rsidRPr="004948F4">
              <w:rPr>
                <w:i/>
                <w:sz w:val="20"/>
                <w:szCs w:val="20"/>
              </w:rPr>
              <w:t>R. venosa</w:t>
            </w:r>
          </w:p>
        </w:tc>
      </w:tr>
    </w:tbl>
    <w:p w14:paraId="373E6916" w14:textId="77777777" w:rsidR="000B56DC" w:rsidRPr="008608AA" w:rsidRDefault="000B56DC">
      <w:pPr>
        <w:rPr>
          <w:rFonts w:eastAsia="Calibri"/>
          <w:b/>
        </w:rPr>
      </w:pPr>
      <w:bookmarkStart w:id="1812" w:name="_Toc330470866"/>
      <w:bookmarkStart w:id="1813" w:name="_Toc350507802"/>
      <w:bookmarkStart w:id="1814" w:name="_Toc477160205"/>
      <w:bookmarkStart w:id="1815" w:name="_Toc357244090"/>
      <w:bookmarkStart w:id="1816" w:name="_Toc357982003"/>
      <w:bookmarkStart w:id="1817" w:name="_Toc357985221"/>
      <w:bookmarkStart w:id="1818" w:name="_Toc499459683"/>
      <w:bookmarkStart w:id="1819" w:name="_Toc503293148"/>
      <w:bookmarkStart w:id="1820" w:name="_Toc503293746"/>
      <w:bookmarkStart w:id="1821" w:name="_Toc503294008"/>
      <w:bookmarkStart w:id="1822" w:name="_Toc503863401"/>
      <w:bookmarkStart w:id="1823" w:name="_Toc503863629"/>
      <w:r w:rsidRPr="008608AA">
        <w:br w:type="page"/>
      </w:r>
    </w:p>
    <w:p w14:paraId="0B43FD3B" w14:textId="6367A405" w:rsidR="005C080D" w:rsidRPr="008608AA" w:rsidRDefault="00A26FD5" w:rsidP="00D50CF3">
      <w:pPr>
        <w:pStyle w:val="Heading2"/>
      </w:pPr>
      <w:bookmarkStart w:id="1824" w:name="_Toc517393395"/>
      <w:bookmarkStart w:id="1825" w:name="_Toc517394452"/>
      <w:bookmarkStart w:id="1826" w:name="_Toc517719136"/>
      <w:r>
        <w:t xml:space="preserve"> </w:t>
      </w:r>
      <w:bookmarkStart w:id="1827" w:name="_Toc517797093"/>
      <w:r w:rsidR="005C080D" w:rsidRPr="008608AA">
        <w:t>References</w:t>
      </w:r>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p>
    <w:bookmarkEnd w:id="1811"/>
    <w:p w14:paraId="0AC1AAA4" w14:textId="19CD43BC" w:rsidR="001E61A6" w:rsidRPr="008608AA" w:rsidRDefault="001E61A6" w:rsidP="001E61A6">
      <w:pPr>
        <w:rPr>
          <w:noProof/>
        </w:rPr>
      </w:pPr>
    </w:p>
    <w:p w14:paraId="0312C5C6" w14:textId="77777777" w:rsidR="00787E9A" w:rsidRPr="008608AA" w:rsidRDefault="00787E9A" w:rsidP="00787E9A">
      <w:pPr>
        <w:ind w:left="709" w:hanging="709"/>
      </w:pPr>
      <w:r w:rsidRPr="008608AA">
        <w:t>Abbott, B. W., Jones, J., Schuur, E., Chapin III, F. S., Bowden, W., Bret-Harte, M., Epstein, H., Flannigan, M., Harms, T., Hollingworth, T., Mack, M., McGuire, A. D., Natali, S., Rocha, A., Tank, S., Turetsky, M., Vonk, J. E., Wickland, K. P., Aiken, G. R., Alexander, H., Amon, R. M. W., Welker, J., &amp; Zimov, S. (2016). Biomass offsets little or none of permafrost carbon release from soils, streams, and wildfire: an expert assessment. Environmental Research Letters, 11(3), 34014. https://doi.org/10.1088/1748-9326/11/3/034014</w:t>
      </w:r>
    </w:p>
    <w:p w14:paraId="0239FF9F" w14:textId="77777777" w:rsidR="00787E9A" w:rsidRPr="008608AA" w:rsidRDefault="00787E9A" w:rsidP="00787E9A">
      <w:pPr>
        <w:ind w:left="709" w:hanging="709"/>
        <w:rPr>
          <w:lang w:val="es-CO"/>
        </w:rPr>
      </w:pPr>
      <w:r w:rsidRPr="008608AA">
        <w:t xml:space="preserve">Abreu, R. C. R. de, &amp; Durigan, G. (2011). Changes in the plant community of a Brazilian grassland savannah after 22 years of invasion by Pinus elliottii Engelm. </w:t>
      </w:r>
      <w:r w:rsidRPr="008608AA">
        <w:rPr>
          <w:i/>
          <w:lang w:val="es-CO"/>
        </w:rPr>
        <w:t>Plant Ecology &amp; Diversity</w:t>
      </w:r>
      <w:r w:rsidRPr="008608AA">
        <w:rPr>
          <w:lang w:val="es-CO"/>
        </w:rPr>
        <w:t xml:space="preserve">, 4(2–3), 269–278. </w:t>
      </w:r>
      <w:hyperlink r:id="rId1000" w:history="1">
        <w:r w:rsidRPr="008608AA">
          <w:rPr>
            <w:lang w:val="es-CO"/>
          </w:rPr>
          <w:t>https://doi.org/10.1080/17550874.2011.594101</w:t>
        </w:r>
      </w:hyperlink>
      <w:r w:rsidRPr="008608AA">
        <w:rPr>
          <w:lang w:val="es-CO"/>
        </w:rPr>
        <w:t>.</w:t>
      </w:r>
    </w:p>
    <w:p w14:paraId="06101D35" w14:textId="77777777" w:rsidR="00787E9A" w:rsidRPr="008608AA" w:rsidRDefault="00787E9A" w:rsidP="00787E9A">
      <w:pPr>
        <w:ind w:left="709" w:hanging="709"/>
        <w:rPr>
          <w:lang w:val="es-CO"/>
        </w:rPr>
      </w:pPr>
      <w:r w:rsidRPr="008608AA">
        <w:rPr>
          <w:lang w:val="es-CO"/>
        </w:rPr>
        <w:t>ACC-ICGC. (1993). Estudio Geográfico Integral. Ciénaga de Zapata. Publicaciones del Servicio de Información y Traducciones, La Habana, Cuba.</w:t>
      </w:r>
    </w:p>
    <w:p w14:paraId="333D2556" w14:textId="77777777" w:rsidR="00787E9A" w:rsidRPr="008608AA" w:rsidRDefault="00787E9A" w:rsidP="00787E9A">
      <w:pPr>
        <w:ind w:left="709" w:hanging="709"/>
      </w:pPr>
      <w:r w:rsidRPr="008608AA">
        <w:t>Achard, F., Eva, H. D., Stibig, H. J., Mayaux, P., Gallego, J., Richards, T., &amp; Malingreau, J. P. (2002). Determination of deforestation rates of the world's humid tropical forests. </w:t>
      </w:r>
      <w:r w:rsidRPr="008608AA">
        <w:rPr>
          <w:i/>
        </w:rPr>
        <w:t>Science, </w:t>
      </w:r>
      <w:r w:rsidRPr="008608AA">
        <w:t>297(5583), (pp. 999-1002).</w:t>
      </w:r>
    </w:p>
    <w:p w14:paraId="4BCE1119" w14:textId="77777777" w:rsidR="00787E9A" w:rsidRPr="008608AA" w:rsidRDefault="00787E9A" w:rsidP="00787E9A">
      <w:pPr>
        <w:ind w:left="709" w:hanging="709"/>
      </w:pPr>
      <w:r w:rsidRPr="008608AA">
        <w:t xml:space="preserve">Achard, F., Eva, H., Glinni, A., Mayaux, P., Richards, T., &amp; Stibig, H. J. (1998). Identification of deforestation hot spot areas in the humid tropics. </w:t>
      </w:r>
      <w:r w:rsidRPr="008608AA">
        <w:rPr>
          <w:i/>
        </w:rPr>
        <w:t>Trees Publication Series B</w:t>
      </w:r>
      <w:r w:rsidRPr="008608AA">
        <w:t>, 4,  (pp.1–81).</w:t>
      </w:r>
    </w:p>
    <w:p w14:paraId="3B72C955" w14:textId="77777777" w:rsidR="00787E9A" w:rsidRPr="008608AA" w:rsidRDefault="00787E9A" w:rsidP="00787E9A">
      <w:pPr>
        <w:ind w:left="709" w:hanging="709"/>
      </w:pPr>
      <w:r w:rsidRPr="008608AA">
        <w:t xml:space="preserve">Adkins, Collette. (2016). The US Endangered Species Act: a powerful tool to protect biodiversity (if we use it). </w:t>
      </w:r>
      <w:r w:rsidRPr="008608AA">
        <w:rPr>
          <w:i/>
        </w:rPr>
        <w:t>Biodiversity</w:t>
      </w:r>
      <w:r w:rsidRPr="008608AA">
        <w:t>, 17.3 (2016). (pp. 101-103).</w:t>
      </w:r>
    </w:p>
    <w:p w14:paraId="3DA28A8F" w14:textId="77777777" w:rsidR="00787E9A" w:rsidRPr="008608AA" w:rsidRDefault="00787E9A" w:rsidP="00787E9A">
      <w:pPr>
        <w:ind w:left="709" w:hanging="709"/>
      </w:pPr>
      <w:r w:rsidRPr="008608AA">
        <w:t xml:space="preserve">Affonso, A G., Barbosa, C., &amp; Novo, E. M. L. M. (2011). Water quality changes in floodplain lakes due to the Amazon River flood pulse: Lago Grande de Curuaí (Pará). </w:t>
      </w:r>
      <w:r w:rsidRPr="008608AA">
        <w:rPr>
          <w:i/>
        </w:rPr>
        <w:t>Brazilian journal of biology</w:t>
      </w:r>
      <w:r w:rsidRPr="008608AA">
        <w:t xml:space="preserve">  (Revista brasleira de biologia), 71:601–10. &lt;http://www.ncbi.nlm.nih.gov/pubmed/21881783&gt;.</w:t>
      </w:r>
    </w:p>
    <w:p w14:paraId="1FAA7122" w14:textId="77777777" w:rsidR="00787E9A" w:rsidRPr="008608AA" w:rsidRDefault="00787E9A" w:rsidP="00787E9A">
      <w:pPr>
        <w:ind w:left="709" w:hanging="709"/>
        <w:rPr>
          <w:lang w:val="es-CO"/>
        </w:rPr>
      </w:pPr>
      <w:r w:rsidRPr="008608AA">
        <w:t xml:space="preserve">Agard, J., Cropper, A., Aquing, P., Attzs, M., Arias, F., Beltran, J., Bennett, E., Carnegie, R., Clauzel, S., Corredor, J., &amp; Creary, M. (2007). </w:t>
      </w:r>
      <w:r w:rsidRPr="008608AA">
        <w:rPr>
          <w:lang w:val="es-CO"/>
        </w:rPr>
        <w:t xml:space="preserve">Caribbean Sea ecosystem assessment (CARSEA). </w:t>
      </w:r>
      <w:r w:rsidRPr="008608AA">
        <w:rPr>
          <w:i/>
          <w:lang w:val="es-CO"/>
        </w:rPr>
        <w:t>Caribbean Mar Stud</w:t>
      </w:r>
      <w:r w:rsidRPr="008608AA">
        <w:rPr>
          <w:lang w:val="es-CO"/>
        </w:rPr>
        <w:t>, 8, (pp.1-85).</w:t>
      </w:r>
    </w:p>
    <w:p w14:paraId="68C2EF61" w14:textId="77777777" w:rsidR="00787E9A" w:rsidRPr="008608AA" w:rsidRDefault="00787E9A" w:rsidP="00787E9A">
      <w:pPr>
        <w:ind w:left="709" w:hanging="709"/>
      </w:pPr>
      <w:r w:rsidRPr="008608AA">
        <w:rPr>
          <w:lang w:val="es-CO"/>
        </w:rPr>
        <w:t xml:space="preserve">Agencia EFE. (1998). Anuario Iberoamericano. Agencia EFE / ANUARIO. </w:t>
      </w:r>
      <w:r w:rsidRPr="008608AA">
        <w:t>Madrid . 503 p.</w:t>
      </w:r>
    </w:p>
    <w:p w14:paraId="196647C3" w14:textId="77777777" w:rsidR="00787E9A" w:rsidRPr="008608AA" w:rsidRDefault="00787E9A" w:rsidP="00787E9A">
      <w:pPr>
        <w:ind w:left="709" w:hanging="709"/>
      </w:pPr>
      <w:r w:rsidRPr="008608AA">
        <w:t xml:space="preserve">Agnew, D. J., Gutiérrez, N. L., Stern-Pirlot, A., &amp; Hoggarth, D. D. (2014). The MSC experience: Developing an operational certification standard and a market incentive to improve fishery sustainability. </w:t>
      </w:r>
      <w:r w:rsidRPr="008608AA">
        <w:rPr>
          <w:i/>
        </w:rPr>
        <w:t>ICES Journal of Marine Science</w:t>
      </w:r>
      <w:r w:rsidRPr="008608AA">
        <w:t xml:space="preserve">, 71(2), (pp. 216–225). </w:t>
      </w:r>
    </w:p>
    <w:p w14:paraId="03DBD06C" w14:textId="77777777" w:rsidR="00787E9A" w:rsidRPr="008608AA" w:rsidRDefault="00787E9A" w:rsidP="00787E9A">
      <w:pPr>
        <w:ind w:left="709" w:hanging="709"/>
      </w:pPr>
      <w:r w:rsidRPr="008608AA">
        <w:fldChar w:fldCharType="begin" w:fldLock="1"/>
      </w:r>
      <w:r w:rsidRPr="008608AA">
        <w:instrText xml:space="preserve">ADDIN Mendeley Bibliography CSL_BIBLIOGRAPHY </w:instrText>
      </w:r>
      <w:r w:rsidRPr="008608AA">
        <w:fldChar w:fldCharType="separate"/>
      </w:r>
      <w:r w:rsidRPr="008608AA">
        <w:t xml:space="preserve">Seebens, H., Blackburn, T. M., Dyer, E. E., Genovesi, P., Hulme, P. E., Jeschke, J. M., Pagad, S., Pyšek, P., Winter, M., Arianoutsou, M., Bacher, S., Blasius, B., Brundu, G., Capinha, C., Celesti-Grapow, L., Dawson, W., Dullinger, S., Fuentes, N., Jäger, H., Kartesz, J., Kenis, M., Kreft, H., Kühn, I., Lenzner, B., Liebhold, A., Mosena, A., Moser, D., Nishino, M., Pearman, D., Pergl, J., Rabitsch, W., Rojas-Sandoval, J., Roques, A., Rorke, S., Rossinelli, S., Roy, H. E., Scalera, R., Schindler, S., Štajerová, K., Tokarska-Guzik, B., van Kleunen, M., Walker, K., Weigelt, P., Yamanaka, T., &amp; Essl, F. (2017). No saturation in the accumulation of alien species worldwide. </w:t>
      </w:r>
      <w:r w:rsidRPr="008608AA">
        <w:rPr>
          <w:i/>
        </w:rPr>
        <w:t>Nature Communications,</w:t>
      </w:r>
      <w:r w:rsidRPr="008608AA">
        <w:t xml:space="preserve"> 8, 14435. https://doi.org/10.1038/ncomms14435</w:t>
      </w:r>
    </w:p>
    <w:p w14:paraId="22D764C7" w14:textId="77777777" w:rsidR="00787E9A" w:rsidRPr="008608AA" w:rsidRDefault="00787E9A" w:rsidP="00787E9A">
      <w:pPr>
        <w:ind w:left="709" w:hanging="709"/>
      </w:pPr>
      <w:r w:rsidRPr="008608AA">
        <w:fldChar w:fldCharType="end"/>
      </w:r>
      <w:r w:rsidRPr="008608AA">
        <w:t xml:space="preserve">Ahlström, A., Raupach, M. R., Schurgers, G., Smith, B., Arneth, A., Jung, M., Reichstein, M., Canadell, J. G., Friedlingstein, P., Jain, A. K., &amp; Kato, E. (2015). The dominant role of semi-arid ecosystems in the trend and variability of the land CO2 sink. </w:t>
      </w:r>
      <w:r w:rsidRPr="008608AA">
        <w:rPr>
          <w:i/>
        </w:rPr>
        <w:t>Science,</w:t>
      </w:r>
      <w:r w:rsidRPr="008608AA">
        <w:t xml:space="preserve"> 348, (pp. 895–899).</w:t>
      </w:r>
    </w:p>
    <w:p w14:paraId="3C41D9D8" w14:textId="77777777" w:rsidR="00787E9A" w:rsidRPr="008608AA" w:rsidRDefault="00787E9A" w:rsidP="00787E9A">
      <w:pPr>
        <w:ind w:left="709" w:hanging="709"/>
      </w:pPr>
      <w:r w:rsidRPr="008608AA">
        <w:t xml:space="preserve">Aide, T. M., Clark, M. L., Grau, H. R., Lopez-Carr, D., Levy, M. A., Redo, D., Bonilla-Moheno, M., Riner, G., Andrade-Nuñez, M. J., &amp; Muñiz, M. (2013). Deforestation and reforestation of Latin America and the Caribbean (2001 – 2010). </w:t>
      </w:r>
      <w:r w:rsidRPr="008608AA">
        <w:rPr>
          <w:i/>
        </w:rPr>
        <w:t>Biotropica</w:t>
      </w:r>
      <w:r w:rsidRPr="008608AA">
        <w:t>, 45(2), (pp. 262–271). https://doi.org/10.1111/j.1744-7429.2012.00908.x</w:t>
      </w:r>
    </w:p>
    <w:p w14:paraId="454F0C1C" w14:textId="77777777" w:rsidR="00787E9A" w:rsidRPr="008608AA" w:rsidRDefault="00787E9A" w:rsidP="00787E9A">
      <w:pPr>
        <w:ind w:left="709" w:hanging="709"/>
      </w:pPr>
      <w:r w:rsidRPr="008608AA">
        <w:t xml:space="preserve">Ajanovic, A. (2011). Biofuels versus food production: does biofuels production increase food prices? </w:t>
      </w:r>
      <w:r w:rsidRPr="008608AA">
        <w:rPr>
          <w:i/>
        </w:rPr>
        <w:t>Energy</w:t>
      </w:r>
      <w:r w:rsidRPr="008608AA">
        <w:t>, 36(4), (pp. 2070-2076).</w:t>
      </w:r>
    </w:p>
    <w:p w14:paraId="04906372" w14:textId="77777777" w:rsidR="00787E9A" w:rsidRPr="008608AA" w:rsidRDefault="00787E9A" w:rsidP="00787E9A">
      <w:pPr>
        <w:ind w:left="709" w:hanging="709"/>
      </w:pPr>
      <w:r w:rsidRPr="008608AA">
        <w:t xml:space="preserve">Filip, O., Janda, K., Kristoufek, L., &amp; Zilberman, D. (2017). Food versus fuel: An updated and expanded evidence. </w:t>
      </w:r>
      <w:r w:rsidRPr="008608AA">
        <w:rPr>
          <w:i/>
        </w:rPr>
        <w:t>Energy Economics</w:t>
      </w:r>
      <w:r w:rsidRPr="008608AA">
        <w:t>.</w:t>
      </w:r>
    </w:p>
    <w:p w14:paraId="3243B4A7" w14:textId="77777777" w:rsidR="00787E9A" w:rsidRPr="008608AA" w:rsidRDefault="00787E9A" w:rsidP="00787E9A">
      <w:pPr>
        <w:ind w:left="709" w:hanging="709"/>
      </w:pPr>
      <w:r w:rsidRPr="008608AA">
        <w:t>Albert, D. (2000). Borne of the wind: an introduction to the ecology of Michigan sand dunes. Michigan Natural Features Inventory, East Lansing, Michigan.</w:t>
      </w:r>
    </w:p>
    <w:p w14:paraId="6A7632E6" w14:textId="77777777" w:rsidR="00787E9A" w:rsidRPr="008608AA" w:rsidRDefault="00787E9A" w:rsidP="00787E9A">
      <w:pPr>
        <w:ind w:left="709" w:hanging="709"/>
      </w:pPr>
      <w:r w:rsidRPr="008608AA">
        <w:t>Albins, M. A. &amp; Hixon, M. A. (2013). Worst-case scenario: potential long-term effects of invasive predatory lionfish (</w:t>
      </w:r>
      <w:r w:rsidRPr="008608AA">
        <w:rPr>
          <w:i/>
        </w:rPr>
        <w:t>Pterois volitans</w:t>
      </w:r>
      <w:r w:rsidRPr="008608AA">
        <w:t xml:space="preserve">) on Atlantic and Caribbean coral-reef communities. </w:t>
      </w:r>
      <w:r w:rsidRPr="008608AA">
        <w:rPr>
          <w:i/>
        </w:rPr>
        <w:t>Environmental Biology of Fishes,</w:t>
      </w:r>
      <w:r w:rsidRPr="008608AA">
        <w:t xml:space="preserve"> 96(10-11), (pp.1151-1157) DOI: 10.1007/s10641-011-9795-1.</w:t>
      </w:r>
    </w:p>
    <w:p w14:paraId="538B7F4A" w14:textId="77777777" w:rsidR="00787E9A" w:rsidRPr="008608AA" w:rsidRDefault="00787E9A" w:rsidP="00787E9A">
      <w:pPr>
        <w:ind w:left="709" w:hanging="709"/>
      </w:pPr>
      <w:r w:rsidRPr="008608AA">
        <w:t xml:space="preserve">Albins, M. A. (2013). Effects of invasive Pacific red lionfish </w:t>
      </w:r>
      <w:r w:rsidRPr="008608AA">
        <w:rPr>
          <w:i/>
        </w:rPr>
        <w:t>Pterois volitans</w:t>
      </w:r>
      <w:r w:rsidRPr="008608AA">
        <w:t xml:space="preserve"> versus a native predator on Bahamian coral-reef fish communities. </w:t>
      </w:r>
      <w:r w:rsidRPr="008608AA">
        <w:rPr>
          <w:i/>
        </w:rPr>
        <w:t>Biol Invasions,</w:t>
      </w:r>
      <w:r w:rsidRPr="008608AA">
        <w:t xml:space="preserve"> 15, (pp. 29−43).</w:t>
      </w:r>
    </w:p>
    <w:p w14:paraId="299F1CA4" w14:textId="77777777" w:rsidR="00787E9A" w:rsidRPr="008608AA" w:rsidRDefault="00787E9A" w:rsidP="00787E9A">
      <w:pPr>
        <w:ind w:left="709" w:hanging="709"/>
      </w:pPr>
      <w:r w:rsidRPr="008608AA">
        <w:t xml:space="preserve">Albins, M. A. &amp; Hixon, M. A.  (2008). Invasive Indo-Pacific lionfish </w:t>
      </w:r>
      <w:r w:rsidRPr="008608AA">
        <w:rPr>
          <w:i/>
        </w:rPr>
        <w:t>Pterois volitans</w:t>
      </w:r>
      <w:r w:rsidRPr="008608AA">
        <w:t xml:space="preserve"> reduce recruitment of Atlantic coral-reef fishes. </w:t>
      </w:r>
      <w:r w:rsidRPr="008608AA">
        <w:rPr>
          <w:i/>
        </w:rPr>
        <w:t xml:space="preserve">Marine Ecology Progress Series, </w:t>
      </w:r>
      <w:r w:rsidRPr="008608AA">
        <w:t>367, (pp. 233–238).</w:t>
      </w:r>
    </w:p>
    <w:p w14:paraId="581A827D" w14:textId="77777777" w:rsidR="00787E9A" w:rsidRPr="008608AA" w:rsidRDefault="00787E9A" w:rsidP="00787E9A">
      <w:pPr>
        <w:ind w:left="709" w:hanging="709"/>
      </w:pPr>
      <w:r w:rsidRPr="008608AA">
        <w:t>Albins, M. A. &amp; Hixon, M. A.  (2011). Worst case scenario: Potential long-term effects of invasive predatory lionfish (</w:t>
      </w:r>
      <w:r w:rsidRPr="008608AA">
        <w:rPr>
          <w:i/>
        </w:rPr>
        <w:t>Pterois volitans</w:t>
      </w:r>
      <w:r w:rsidRPr="008608AA">
        <w:t xml:space="preserve">) on Atlantic and Caribbean coralreef communities. </w:t>
      </w:r>
      <w:r w:rsidRPr="008608AA">
        <w:rPr>
          <w:i/>
        </w:rPr>
        <w:t>Environmental Biology of Fishes</w:t>
      </w:r>
      <w:r w:rsidRPr="008608AA">
        <w:t>, Volume 96, Issue 10–11, (pp. 1151–1157)</w:t>
      </w:r>
    </w:p>
    <w:p w14:paraId="0C0CD71F" w14:textId="77777777" w:rsidR="00787E9A" w:rsidRPr="008608AA" w:rsidRDefault="00787E9A" w:rsidP="00787E9A">
      <w:pPr>
        <w:ind w:left="709" w:hanging="709"/>
      </w:pPr>
      <w:r w:rsidRPr="008608AA">
        <w:t xml:space="preserve"> DOI 10.1007/s10641-011- 9795-1.</w:t>
      </w:r>
    </w:p>
    <w:p w14:paraId="63A56E57" w14:textId="77777777" w:rsidR="00787E9A" w:rsidRPr="008608AA" w:rsidRDefault="00787E9A" w:rsidP="00787E9A">
      <w:pPr>
        <w:ind w:left="709" w:hanging="709"/>
      </w:pPr>
      <w:r w:rsidRPr="008608AA">
        <w:t xml:space="preserve">Albins, M. A. &amp; Lyons, P. J. (2012). Invasive red lionfish </w:t>
      </w:r>
      <w:r w:rsidRPr="008608AA">
        <w:rPr>
          <w:i/>
        </w:rPr>
        <w:t>Pterois volitans</w:t>
      </w:r>
      <w:r w:rsidRPr="008608AA">
        <w:t xml:space="preserve"> blow directed jets of water at prey fish. </w:t>
      </w:r>
      <w:r w:rsidRPr="008608AA">
        <w:rPr>
          <w:i/>
        </w:rPr>
        <w:t>Marine Ecology Progress Series</w:t>
      </w:r>
      <w:r w:rsidRPr="008608AA">
        <w:t>, 448, (pp. 1−5).</w:t>
      </w:r>
    </w:p>
    <w:p w14:paraId="5C86F4A4" w14:textId="77777777" w:rsidR="00787E9A" w:rsidRPr="008608AA" w:rsidRDefault="00787E9A" w:rsidP="00787E9A">
      <w:pPr>
        <w:ind w:left="709" w:hanging="709"/>
      </w:pPr>
      <w:r w:rsidRPr="008608AA">
        <w:t xml:space="preserve">Albright, R., &amp; Langdon, C. (2011). Ocean acidification impacts multiple early life history processes of the Caribbean coral </w:t>
      </w:r>
      <w:r w:rsidRPr="008608AA">
        <w:rPr>
          <w:i/>
        </w:rPr>
        <w:t>Porites astreoides</w:t>
      </w:r>
      <w:r w:rsidRPr="008608AA">
        <w:t xml:space="preserve">. </w:t>
      </w:r>
      <w:r w:rsidRPr="008608AA">
        <w:rPr>
          <w:i/>
        </w:rPr>
        <w:t>Global Change Biology,</w:t>
      </w:r>
      <w:r w:rsidRPr="008608AA">
        <w:t xml:space="preserve"> 17, (pp. 2478–2487).</w:t>
      </w:r>
    </w:p>
    <w:p w14:paraId="40642D24" w14:textId="77777777" w:rsidR="00787E9A" w:rsidRPr="008608AA" w:rsidRDefault="00787E9A" w:rsidP="00787E9A">
      <w:pPr>
        <w:ind w:left="709" w:hanging="709"/>
      </w:pPr>
      <w:r w:rsidRPr="008608AA">
        <w:t>Alcamo, J., Vuuren, D. Van, Cramer, W., Alder, J., Bennett, E., Carpenter, S., Christensen, V., Foley, J., Masui, T., Morita, T., Neill, B. O., Peterson, G., Ringler, C., Schulze, K., Bouwman, L., Eickhout, B., Floerke, M., Lal, R., Takahashi, K., Editors, R., Tan, B., Hammond, A., &amp; Field, C. (2005). Changes in ecosystem services and their drivers across the scenarios. Ecosystems and Human Well-Being: Scenarios, Volume 2 (2), (pp. 297–373).</w:t>
      </w:r>
    </w:p>
    <w:p w14:paraId="5E2497B1" w14:textId="77777777" w:rsidR="00787E9A" w:rsidRPr="008608AA" w:rsidRDefault="00787E9A" w:rsidP="00787E9A">
      <w:pPr>
        <w:ind w:left="709" w:hanging="709"/>
      </w:pPr>
      <w:r w:rsidRPr="008608AA">
        <w:t>Alencar, A. A., Brando, P. M., Asner, G. P., &amp; Putz, F. E. (2015). Landscape fragmentation, severe drought, and the new Amazon forest fire regime. </w:t>
      </w:r>
      <w:r w:rsidRPr="008608AA">
        <w:rPr>
          <w:i/>
        </w:rPr>
        <w:t>Ecological applications, </w:t>
      </w:r>
      <w:r w:rsidRPr="008608AA">
        <w:t>25(6), (pp. 1493-1505).</w:t>
      </w:r>
    </w:p>
    <w:p w14:paraId="3CDC446E" w14:textId="77777777" w:rsidR="00787E9A" w:rsidRPr="008608AA" w:rsidRDefault="00787E9A" w:rsidP="00787E9A">
      <w:pPr>
        <w:ind w:left="709" w:hanging="709"/>
      </w:pPr>
      <w:r w:rsidRPr="008608AA">
        <w:t xml:space="preserve">Alencar, A., Nepstad, D., &amp; Vera Diaz, M. C. (2006). Forest understory fire in the Brazilian Amazon in ENSO and non-ENSO years: area burned and committed carbon emissions. </w:t>
      </w:r>
      <w:r w:rsidRPr="008608AA">
        <w:rPr>
          <w:i/>
        </w:rPr>
        <w:t>Earth Interactions</w:t>
      </w:r>
      <w:r w:rsidRPr="008608AA">
        <w:t xml:space="preserve"> 10, (pp.1–17).</w:t>
      </w:r>
    </w:p>
    <w:p w14:paraId="693A15B6" w14:textId="77777777" w:rsidR="00787E9A" w:rsidRPr="008608AA" w:rsidRDefault="00787E9A" w:rsidP="00787E9A">
      <w:pPr>
        <w:ind w:left="709" w:hanging="709"/>
      </w:pPr>
      <w:r w:rsidRPr="008608AA">
        <w:t xml:space="preserve">Alexander, C., Bynum, N., Johnson, E., King, U., Mustonen, T., Neofotis, P., Oettlé, N., Rosenzweig, C., Sakakibara, C., Shadrin, V., Vicarelli, M., Waterhouse, J., &amp; Weeks, B. (2011). Linking Indigenous and scientific knowledge of climate change. </w:t>
      </w:r>
      <w:r w:rsidRPr="008608AA">
        <w:rPr>
          <w:i/>
        </w:rPr>
        <w:t>BioScience,</w:t>
      </w:r>
      <w:r w:rsidRPr="008608AA">
        <w:t xml:space="preserve"> 61(6), 477–484. https://doi.org/10.1525/bio.2011.61.6.10</w:t>
      </w:r>
    </w:p>
    <w:p w14:paraId="745FDA94" w14:textId="77777777" w:rsidR="00787E9A" w:rsidRPr="008608AA" w:rsidRDefault="00787E9A" w:rsidP="00787E9A">
      <w:pPr>
        <w:ind w:left="709" w:hanging="709"/>
        <w:rPr>
          <w:lang w:val="es-CO"/>
        </w:rPr>
      </w:pPr>
      <w:r w:rsidRPr="008608AA">
        <w:t xml:space="preserve">Alexander, J. M., Lembrechts, J. J., Cavieres, L. A., Daehler, C., Haider, S., Kueffer, C., Liu, G., McDougall, K., Milbau, A., Pauchard, A., Rew, L. J., &amp; Seipel, T. (2016). Plant invasions into mountains and alpine ecosystems: current status and future challenges. </w:t>
      </w:r>
      <w:r w:rsidRPr="008608AA">
        <w:rPr>
          <w:i/>
          <w:lang w:val="es-CO"/>
        </w:rPr>
        <w:t>Alpine Botany</w:t>
      </w:r>
      <w:r w:rsidRPr="008608AA">
        <w:rPr>
          <w:lang w:val="es-CO"/>
        </w:rPr>
        <w:t>, 126(2), (pp. 89–103). https://doi.org/10.1007/s00035-016-0172-8</w:t>
      </w:r>
    </w:p>
    <w:p w14:paraId="1C515C73" w14:textId="77777777" w:rsidR="00787E9A" w:rsidRPr="008608AA" w:rsidRDefault="00787E9A" w:rsidP="00787E9A">
      <w:pPr>
        <w:ind w:left="709" w:hanging="709"/>
      </w:pPr>
      <w:r w:rsidRPr="008608AA">
        <w:rPr>
          <w:lang w:val="es-CO"/>
        </w:rPr>
        <w:t xml:space="preserve">Alho, C., Reis, R., Aquino, P., 2015. </w:t>
      </w:r>
      <w:r w:rsidRPr="008608AA">
        <w:t xml:space="preserve">Amazonian freshwater habitats experiencing environmental and socioeconomic threats affecting subsistence fisheries. </w:t>
      </w:r>
      <w:r w:rsidRPr="008608AA">
        <w:rPr>
          <w:i/>
        </w:rPr>
        <w:t>Ambio</w:t>
      </w:r>
      <w:r w:rsidRPr="008608AA">
        <w:t xml:space="preserve">,  44,  (pp. 412–425). </w:t>
      </w:r>
    </w:p>
    <w:p w14:paraId="785464D7" w14:textId="77777777" w:rsidR="00787E9A" w:rsidRPr="008608AA" w:rsidRDefault="00787E9A" w:rsidP="00787E9A">
      <w:pPr>
        <w:ind w:left="709" w:hanging="709"/>
      </w:pPr>
      <w:r w:rsidRPr="008608AA">
        <w:t>Alig, R. J., Kline, J. D., &amp; Lichtenstein, M. (2004). Urbanization on the US landscape: looking ahead in the 21st century. </w:t>
      </w:r>
      <w:r w:rsidRPr="008608AA">
        <w:rPr>
          <w:i/>
        </w:rPr>
        <w:t>Landscape and urban planning, </w:t>
      </w:r>
      <w:r w:rsidRPr="008608AA">
        <w:t>69(2), (pp. 219-234).</w:t>
      </w:r>
    </w:p>
    <w:p w14:paraId="58AD8DBB" w14:textId="77777777" w:rsidR="00787E9A" w:rsidRPr="008608AA" w:rsidRDefault="00787E9A" w:rsidP="00787E9A">
      <w:pPr>
        <w:ind w:left="709" w:hanging="709"/>
      </w:pPr>
      <w:r w:rsidRPr="008608AA">
        <w:t>Alkemade, R., van Oorschot, M., Miles, L., Nellemann, C., Bakkenes, M., &amp; Ten Brink, B. (2009). GLOBIO3: a framework to investigate options for reducing global terrestrial biodiversity loss. </w:t>
      </w:r>
      <w:r w:rsidRPr="008608AA">
        <w:rPr>
          <w:i/>
        </w:rPr>
        <w:t>Ecosystems</w:t>
      </w:r>
      <w:r w:rsidRPr="008608AA">
        <w:t>, 12(3), (pp. 374-390).</w:t>
      </w:r>
    </w:p>
    <w:p w14:paraId="15232211" w14:textId="77777777" w:rsidR="00787E9A" w:rsidRPr="008608AA" w:rsidRDefault="00787E9A" w:rsidP="00787E9A">
      <w:pPr>
        <w:ind w:left="709" w:hanging="709"/>
      </w:pPr>
      <w:r w:rsidRPr="008608AA">
        <w:t xml:space="preserve">Allan, J. D., McIntyre, P. B., Smith, S. D. P., Halpern, B. S., Boyer, G. L., Buchsbaum, A., Burton, G. A., Campbell, L. M., Chadderton, W. L., Ciborowski, J. J. H., Doran, P. J., Eder, T., Infante, D. M., Johnson, L. B., Joseph, C. A., Marino, A. L., Prusevich, A., Read, J. G., Rose, J. B., Rutherford, E. S., Sowa, S. P., &amp; Steinman, A. D. (2013). Joint analysis of stressors and ecosystem services to enhance restoration effectiveness. </w:t>
      </w:r>
      <w:r w:rsidRPr="008608AA">
        <w:rPr>
          <w:i/>
        </w:rPr>
        <w:t>Proceedings of the National Academy of Sciences of the United States of America</w:t>
      </w:r>
      <w:r w:rsidRPr="008608AA">
        <w:t>, 110(1), (pp. 372–377). https://doi.org/10.1073/pnas.1213841110</w:t>
      </w:r>
    </w:p>
    <w:p w14:paraId="7FDEA590" w14:textId="77777777" w:rsidR="00787E9A" w:rsidRPr="008608AA" w:rsidRDefault="00787E9A" w:rsidP="00787E9A">
      <w:pPr>
        <w:ind w:left="709" w:hanging="709"/>
      </w:pPr>
      <w:r w:rsidRPr="008608AA">
        <w:t xml:space="preserve">Allan, J. D., Abell, R. Hogan, Z., Revenga, C., Taylor, B. W., Welcomme, R. L., &amp; Winemiller, K. (2005). Overfishing of Inland Waters. </w:t>
      </w:r>
      <w:r w:rsidRPr="008608AA">
        <w:rPr>
          <w:i/>
        </w:rPr>
        <w:t>BioScience</w:t>
      </w:r>
      <w:r w:rsidRPr="008608AA">
        <w:t xml:space="preserve"> 55, (pp. 1041–1051).</w:t>
      </w:r>
    </w:p>
    <w:p w14:paraId="1B8278C8" w14:textId="77777777" w:rsidR="00787E9A" w:rsidRPr="008608AA" w:rsidRDefault="00787E9A" w:rsidP="00787E9A">
      <w:pPr>
        <w:ind w:left="709" w:hanging="709"/>
      </w:pPr>
      <w:r w:rsidRPr="008608AA">
        <w:t xml:space="preserve">Almeida-Neto, M., Prado, P. I., &amp; Lewinsohn, T. M. (2011). Phytophagous insect fauna tracks host plant responses to exotic grass invasion. </w:t>
      </w:r>
      <w:r w:rsidRPr="008608AA">
        <w:rPr>
          <w:i/>
        </w:rPr>
        <w:t>Oecologia</w:t>
      </w:r>
      <w:r w:rsidRPr="008608AA">
        <w:t>, 165(4), (pp. 1051–1062). https://doi.org/10.1007/s00442-010-1783-1</w:t>
      </w:r>
    </w:p>
    <w:p w14:paraId="776040AF" w14:textId="77777777" w:rsidR="00787E9A" w:rsidRPr="008608AA" w:rsidRDefault="00787E9A" w:rsidP="00787E9A">
      <w:pPr>
        <w:ind w:left="709" w:hanging="709"/>
      </w:pPr>
      <w:r w:rsidRPr="008608AA">
        <w:t xml:space="preserve">Alongi, D. M. (2008). Mangrove forests: resilience, protection from tsunamis, and responses to global climate change. </w:t>
      </w:r>
      <w:r w:rsidRPr="008608AA">
        <w:rPr>
          <w:i/>
        </w:rPr>
        <w:t>Estuarine, Coastal and Shelf Science,</w:t>
      </w:r>
      <w:r w:rsidRPr="008608AA">
        <w:t xml:space="preserve"> 76, (pp. 1-13).</w:t>
      </w:r>
    </w:p>
    <w:p w14:paraId="429E63F9" w14:textId="77777777" w:rsidR="00787E9A" w:rsidRPr="008608AA" w:rsidRDefault="00787E9A" w:rsidP="00787E9A">
      <w:pPr>
        <w:ind w:left="709" w:hanging="709"/>
      </w:pPr>
      <w:r w:rsidRPr="008608AA">
        <w:t xml:space="preserve">Alongi, D. M. 2015. The impact of climate change on mangrove forests. </w:t>
      </w:r>
      <w:r w:rsidRPr="008608AA">
        <w:rPr>
          <w:i/>
        </w:rPr>
        <w:t>Current Climate Change Reports,</w:t>
      </w:r>
      <w:r w:rsidRPr="008608AA">
        <w:t xml:space="preserve"> 1, (pp. 30-39).</w:t>
      </w:r>
    </w:p>
    <w:p w14:paraId="516E1E99" w14:textId="77777777" w:rsidR="00787E9A" w:rsidRPr="008608AA" w:rsidRDefault="00787E9A" w:rsidP="00787E9A">
      <w:pPr>
        <w:ind w:left="709" w:hanging="709"/>
      </w:pPr>
      <w:r w:rsidRPr="008608AA">
        <w:t>Altieri, M.A., &amp; Funes-Monzote, F. R. (2012). The paradox of Cuban agriculture. </w:t>
      </w:r>
      <w:r w:rsidRPr="008608AA">
        <w:rPr>
          <w:i/>
        </w:rPr>
        <w:t>Monthly Review</w:t>
      </w:r>
      <w:r w:rsidRPr="008608AA">
        <w:t>, 63(8), (p.23).</w:t>
      </w:r>
    </w:p>
    <w:p w14:paraId="0898B6F1" w14:textId="77777777" w:rsidR="00787E9A" w:rsidRPr="008608AA" w:rsidRDefault="00787E9A" w:rsidP="00787E9A">
      <w:pPr>
        <w:ind w:left="709" w:hanging="709"/>
      </w:pPr>
      <w:r w:rsidRPr="008608AA">
        <w:t>Altieri, M.A., Funes-Monzote, F.R., &amp; Petersen, P. (2012). Agroecologically efficient agricultural systems for smallholder farmers: contributions to food sovereignty. </w:t>
      </w:r>
      <w:r w:rsidRPr="008608AA">
        <w:rPr>
          <w:i/>
        </w:rPr>
        <w:t>Agronomy for Sustainable Development</w:t>
      </w:r>
      <w:r w:rsidRPr="008608AA">
        <w:t>, 32(1), (pp.1-13).</w:t>
      </w:r>
    </w:p>
    <w:p w14:paraId="65AEE97B" w14:textId="77777777" w:rsidR="00787E9A" w:rsidRPr="008608AA" w:rsidRDefault="00787E9A" w:rsidP="00787E9A">
      <w:pPr>
        <w:ind w:left="709" w:hanging="709"/>
      </w:pPr>
      <w:r w:rsidRPr="008608AA">
        <w:t>Álvarez-Berríos, N. L., Redo, D. J., Aide, T. M., Clark, M. L., &amp; Grau, R. (2013). Land Change in the Greater Antilles between 2001 and 2010. </w:t>
      </w:r>
      <w:r w:rsidRPr="008608AA">
        <w:rPr>
          <w:i/>
        </w:rPr>
        <w:t>Land</w:t>
      </w:r>
      <w:r w:rsidRPr="008608AA">
        <w:t>, 2(2), (pp. 81-107).</w:t>
      </w:r>
    </w:p>
    <w:p w14:paraId="023FFACA" w14:textId="77777777" w:rsidR="00787E9A" w:rsidRPr="008608AA" w:rsidRDefault="00787E9A" w:rsidP="00787E9A">
      <w:pPr>
        <w:ind w:left="709" w:hanging="709"/>
      </w:pPr>
      <w:r w:rsidRPr="008608AA">
        <w:t xml:space="preserve">Alvarez-Filip, L., Dulvy, N. K., Gill, J. A., Côté, I. M., &amp; Watkinson, A. R. (2009). Flattening of Caribbean coral reefs: region-wide declines in architectural complexity. </w:t>
      </w:r>
      <w:r w:rsidRPr="008608AA">
        <w:rPr>
          <w:i/>
        </w:rPr>
        <w:t xml:space="preserve">Proceedings. Biological sciences / The Royal Society </w:t>
      </w:r>
      <w:r w:rsidRPr="008608AA">
        <w:t>276 (1669), (pp. 3019–25). doi: 10.1098/rspb.2009.0339</w:t>
      </w:r>
    </w:p>
    <w:p w14:paraId="6B84C875" w14:textId="77777777" w:rsidR="00787E9A" w:rsidRPr="008608AA" w:rsidRDefault="00787E9A" w:rsidP="00787E9A">
      <w:pPr>
        <w:ind w:left="709" w:hanging="709"/>
      </w:pPr>
    </w:p>
    <w:p w14:paraId="600B2FBC" w14:textId="77777777" w:rsidR="00787E9A" w:rsidRPr="008608AA" w:rsidRDefault="00787E9A" w:rsidP="00787E9A">
      <w:pPr>
        <w:ind w:left="709" w:hanging="709"/>
      </w:pPr>
      <w:r w:rsidRPr="008608AA">
        <w:t xml:space="preserve">Anderson, C. B., Griffith, C. R., Rosemond, A. D., Rozzi, R., &amp; Dollenz, O. (2006). The effects of invasive North American beavers on riparian plant communities in Cape Horn, Chile: Do exotic beavers engineer differently in sub-Antarctic ecosystems? </w:t>
      </w:r>
      <w:r w:rsidRPr="008608AA">
        <w:rPr>
          <w:i/>
        </w:rPr>
        <w:t>Biological Conservation</w:t>
      </w:r>
      <w:r w:rsidRPr="008608AA">
        <w:t>, 128(4), (pp. 467–474). https://doi.org/10.1016/j.biocon.2005.10.011</w:t>
      </w:r>
    </w:p>
    <w:p w14:paraId="28331A30" w14:textId="77777777" w:rsidR="00787E9A" w:rsidRPr="008608AA" w:rsidRDefault="00787E9A" w:rsidP="00787E9A">
      <w:pPr>
        <w:ind w:left="709" w:hanging="709"/>
        <w:rPr>
          <w:lang w:val="es-CO"/>
        </w:rPr>
      </w:pPr>
      <w:r w:rsidRPr="008608AA">
        <w:t>Anderson, C.B. &amp; Valenzuela, A.E.J.  (2014). Do what I say, not what I do. Are we linking research and decision-making about invasive species in Patagonia? </w:t>
      </w:r>
      <w:r w:rsidRPr="008608AA">
        <w:rPr>
          <w:i/>
          <w:lang w:val="es-CO"/>
        </w:rPr>
        <w:t>Ecología Austral, </w:t>
      </w:r>
      <w:r w:rsidRPr="008608AA">
        <w:rPr>
          <w:lang w:val="es-CO"/>
        </w:rPr>
        <w:t>24, (pp. 193-202). </w:t>
      </w:r>
    </w:p>
    <w:p w14:paraId="4B806393" w14:textId="77777777" w:rsidR="00787E9A" w:rsidRPr="008608AA" w:rsidRDefault="00787E9A" w:rsidP="00787E9A">
      <w:pPr>
        <w:ind w:left="709" w:hanging="709"/>
      </w:pPr>
      <w:r w:rsidRPr="008608AA">
        <w:rPr>
          <w:lang w:val="es-CO"/>
        </w:rPr>
        <w:t>Anderson, C.B., Lencinas, M.V., Valenzuela, A.E.J., Simononok, M.P., Wallem, P.K., &amp; Martinez P., G. (2014). </w:t>
      </w:r>
      <w:r w:rsidRPr="008608AA">
        <w:t>Ecosystem engineering by an invasive species, the beaver, increases landscape-level ecosystem function but does not affect biodiversity in Tierra del Fuego’s freshwater systems. </w:t>
      </w:r>
      <w:r w:rsidRPr="008608AA">
        <w:rPr>
          <w:i/>
        </w:rPr>
        <w:t>Diversity and Distributions</w:t>
      </w:r>
      <w:r w:rsidRPr="008608AA">
        <w:t>, 20, (pp. 214–222). </w:t>
      </w:r>
    </w:p>
    <w:p w14:paraId="1778EAD4" w14:textId="77777777" w:rsidR="00787E9A" w:rsidRPr="008608AA" w:rsidRDefault="00787E9A" w:rsidP="00787E9A">
      <w:pPr>
        <w:ind w:left="709" w:hanging="709"/>
      </w:pPr>
      <w:r w:rsidRPr="008608AA">
        <w:t>Anderson, E. P. (2013). Hydropower development and ecosystem services in Central America. Inter-American Development Bank. Technical note No. IDB-TN-513</w:t>
      </w:r>
    </w:p>
    <w:p w14:paraId="14D57420" w14:textId="77777777" w:rsidR="00787E9A" w:rsidRPr="008608AA" w:rsidRDefault="00787E9A" w:rsidP="00787E9A">
      <w:pPr>
        <w:ind w:left="709" w:hanging="709"/>
      </w:pPr>
      <w:r w:rsidRPr="008608AA">
        <w:t xml:space="preserve">Anderson, O. R. J., Small, C. J., Croxall, J. P., Dunn, E. K., Sullivan, B. J., Yates, O., &amp; Black, A. (2011). Global seabird bycatch in longline fisheries. </w:t>
      </w:r>
      <w:r w:rsidRPr="008608AA">
        <w:rPr>
          <w:i/>
        </w:rPr>
        <w:t>Endangered Species Research,</w:t>
      </w:r>
      <w:r w:rsidRPr="008608AA">
        <w:t xml:space="preserve"> 14 (pp.91–106).</w:t>
      </w:r>
    </w:p>
    <w:p w14:paraId="5BD4B070" w14:textId="77777777" w:rsidR="00787E9A" w:rsidRPr="008608AA" w:rsidRDefault="00787E9A" w:rsidP="00787E9A">
      <w:pPr>
        <w:ind w:left="709" w:hanging="709"/>
      </w:pPr>
      <w:r w:rsidRPr="008608AA">
        <w:t xml:space="preserve">Anderson, O. J.,  &amp; Piatt, J. F. (1999). Community reorganization in the Gulf of Alaska following ocean climate regime shift. </w:t>
      </w:r>
      <w:r w:rsidRPr="008608AA">
        <w:rPr>
          <w:i/>
        </w:rPr>
        <w:t>Marine Ecology Progress Series</w:t>
      </w:r>
      <w:r w:rsidRPr="008608AA">
        <w:t>, vol. 189, (pp. 117-123).</w:t>
      </w:r>
    </w:p>
    <w:p w14:paraId="0981971A" w14:textId="77777777" w:rsidR="00787E9A" w:rsidRPr="008608AA" w:rsidRDefault="00787E9A" w:rsidP="00787E9A">
      <w:pPr>
        <w:ind w:left="709" w:hanging="709"/>
      </w:pPr>
      <w:r w:rsidRPr="008608AA">
        <w:t xml:space="preserve">Anderson-Teixeira, K. J., Snyder, P. K., Twine, T. E., Cuadra, S. V., Costa, M. H., &amp; Delucia, E. H. (2012). Climate-regulation services of natural and agricultural ecoregions of the Americas. </w:t>
      </w:r>
      <w:r w:rsidRPr="008608AA">
        <w:rPr>
          <w:i/>
        </w:rPr>
        <w:t>Nature Climate Change</w:t>
      </w:r>
      <w:r w:rsidRPr="008608AA">
        <w:t xml:space="preserve"> 2, (pp. 177–181).</w:t>
      </w:r>
    </w:p>
    <w:p w14:paraId="4B8E6ED3" w14:textId="77777777" w:rsidR="00787E9A" w:rsidRPr="008608AA" w:rsidRDefault="00787E9A" w:rsidP="00787E9A">
      <w:pPr>
        <w:ind w:left="709" w:hanging="709"/>
      </w:pPr>
      <w:r w:rsidRPr="008608AA">
        <w:t xml:space="preserve">Angel, J. R., &amp; Huff, F. A. (1997). Changes in heavy rainfall in midwestern U.S. </w:t>
      </w:r>
      <w:r w:rsidRPr="008608AA">
        <w:rPr>
          <w:i/>
        </w:rPr>
        <w:t>Journal of Water Resources Planning and Management</w:t>
      </w:r>
      <w:r w:rsidRPr="008608AA">
        <w:t xml:space="preserve"> - ASCE 123 (4), (pp.246–249). https://doi.org/10.1061/(ASCE)0733-9496(1997)123:4(246)</w:t>
      </w:r>
    </w:p>
    <w:p w14:paraId="323E7F34" w14:textId="77777777" w:rsidR="00787E9A" w:rsidRPr="008608AA" w:rsidRDefault="00787E9A" w:rsidP="00787E9A">
      <w:pPr>
        <w:ind w:left="709" w:hanging="709"/>
      </w:pPr>
      <w:r w:rsidRPr="008608AA">
        <w:t xml:space="preserve">Angel, J. R., &amp; Kunkel, K. E. (2010). The response of Great Lakes water levels to future climate scenarios with an emphasis on Lake Michigan-Huron. </w:t>
      </w:r>
      <w:r w:rsidRPr="008608AA">
        <w:rPr>
          <w:i/>
        </w:rPr>
        <w:t>Journal of Great Lakes Research</w:t>
      </w:r>
      <w:r w:rsidRPr="008608AA">
        <w:t xml:space="preserve"> 36, (pp. 51–58). http://dx.doi.org/10.1016/j.jglr.2009.09.006.</w:t>
      </w:r>
    </w:p>
    <w:p w14:paraId="22A2AC9C" w14:textId="77777777" w:rsidR="00787E9A" w:rsidRPr="008608AA" w:rsidRDefault="00787E9A" w:rsidP="00787E9A">
      <w:pPr>
        <w:ind w:left="709" w:hanging="709"/>
      </w:pPr>
      <w:r w:rsidRPr="008608AA">
        <w:t>Angelelli, P., &amp; Saffache, P. (2013). Some remarks on mangroves in the Lesser Antilles. </w:t>
      </w:r>
      <w:r w:rsidRPr="008608AA">
        <w:rPr>
          <w:i/>
        </w:rPr>
        <w:t>Revista de Gestão Costeira Integrada (Journal of Integrated Coastal Zone Management)</w:t>
      </w:r>
      <w:r w:rsidRPr="008608AA">
        <w:t>, 13(4).</w:t>
      </w:r>
    </w:p>
    <w:p w14:paraId="55C4916C" w14:textId="77777777" w:rsidR="00787E9A" w:rsidRPr="008608AA" w:rsidRDefault="00787E9A" w:rsidP="00787E9A">
      <w:pPr>
        <w:ind w:left="709" w:hanging="709"/>
      </w:pPr>
      <w:r w:rsidRPr="008608AA">
        <w:t xml:space="preserve">Anonymous. </w:t>
      </w:r>
      <w:r w:rsidRPr="008608AA">
        <w:rPr>
          <w:lang w:val="es-CO"/>
        </w:rPr>
        <w:t>(1946). Viaje al Sur. </w:t>
      </w:r>
      <w:r w:rsidRPr="008608AA">
        <w:rPr>
          <w:i/>
          <w:lang w:val="es-CO"/>
        </w:rPr>
        <w:t>Sucesos Argentinos,</w:t>
      </w:r>
      <w:r w:rsidRPr="008608AA">
        <w:rPr>
          <w:lang w:val="es-CO"/>
        </w:rPr>
        <w:t xml:space="preserve"> 432. </w:t>
      </w:r>
      <w:r w:rsidRPr="008608AA">
        <w:t>Government Newsreel. Buenos Aires.</w:t>
      </w:r>
    </w:p>
    <w:p w14:paraId="710BB146" w14:textId="77777777" w:rsidR="00787E9A" w:rsidRPr="008608AA" w:rsidRDefault="00787E9A" w:rsidP="00787E9A">
      <w:pPr>
        <w:ind w:left="709" w:hanging="709"/>
      </w:pPr>
      <w:r w:rsidRPr="008608AA">
        <w:t xml:space="preserve">Anthony, K. R. N., Maynard, J. A. , Diaz-Pulido, G., Mumby, P. J., Marshall, P. A., Cao, L., &amp; Hoegh-Guldberg, O. (2011). Ocean acidification and warming will lower coral reef resilience. </w:t>
      </w:r>
      <w:r w:rsidRPr="008608AA">
        <w:rPr>
          <w:i/>
        </w:rPr>
        <w:t>Global Change Biology,</w:t>
      </w:r>
      <w:r w:rsidRPr="008608AA">
        <w:t xml:space="preserve"> 17, (pp. 1798–1808).</w:t>
      </w:r>
    </w:p>
    <w:p w14:paraId="689CD0D9" w14:textId="77777777" w:rsidR="00787E9A" w:rsidRPr="008608AA" w:rsidRDefault="00787E9A" w:rsidP="00787E9A">
      <w:pPr>
        <w:ind w:left="709" w:hanging="709"/>
      </w:pPr>
      <w:r w:rsidRPr="008608AA">
        <w:t>Appeldoorn, R. S., Gonzalez, E. C., Glazer, R., &amp; Prada, M. (2011). Applying EBM to queen conch fisheries in the Caribbean. (pp.177–186). In: Fanning, L., Maho, R., &amp; McConney, P. (editors). Towards Marine Ecosystem-based Management in the Caribbean.</w:t>
      </w:r>
    </w:p>
    <w:p w14:paraId="63050FF0" w14:textId="77777777" w:rsidR="00787E9A" w:rsidRPr="008608AA" w:rsidRDefault="00787E9A" w:rsidP="00787E9A">
      <w:pPr>
        <w:ind w:left="709" w:hanging="709"/>
      </w:pPr>
      <w:r w:rsidRPr="008608AA">
        <w:t>Apte, J. S., Marshall, J. D., Cohen, A. J., &amp; Brauer, M., (2015). Addressing global mortality from ambient PM2. 5. </w:t>
      </w:r>
      <w:r w:rsidRPr="008608AA">
        <w:rPr>
          <w:i/>
        </w:rPr>
        <w:t>Environmental science &amp; technology</w:t>
      </w:r>
      <w:r w:rsidRPr="008608AA">
        <w:t>, 49(13), (pp.8057-8066).</w:t>
      </w:r>
    </w:p>
    <w:p w14:paraId="544154BC" w14:textId="77777777" w:rsidR="00787E9A" w:rsidRPr="00CE0821" w:rsidRDefault="00787E9A" w:rsidP="00787E9A">
      <w:pPr>
        <w:ind w:left="709" w:hanging="709"/>
        <w:rPr>
          <w:lang w:val="es-CO"/>
        </w:rPr>
      </w:pPr>
      <w:r w:rsidRPr="008608AA">
        <w:t xml:space="preserve">Archer, S., Schimel, D. S., &amp; Holland, E. A. (1995). Mechanisms of shrubland expansion: land use, climate or CO2? </w:t>
      </w:r>
      <w:r w:rsidRPr="00CE0821">
        <w:rPr>
          <w:i/>
          <w:lang w:val="es-CO"/>
        </w:rPr>
        <w:t>Climatic Change</w:t>
      </w:r>
      <w:r w:rsidRPr="00CE0821">
        <w:rPr>
          <w:lang w:val="es-CO"/>
        </w:rPr>
        <w:t>, 29(1), (pp. 91–99). https://doi.org/10.1007/BF01091640</w:t>
      </w:r>
    </w:p>
    <w:p w14:paraId="695C955F" w14:textId="77777777" w:rsidR="00787E9A" w:rsidRPr="008608AA" w:rsidRDefault="00787E9A" w:rsidP="00787E9A">
      <w:pPr>
        <w:ind w:left="709" w:hanging="709"/>
        <w:rPr>
          <w:lang w:val="es-CO"/>
        </w:rPr>
      </w:pPr>
      <w:r w:rsidRPr="00CE0821">
        <w:rPr>
          <w:lang w:val="es-CO"/>
        </w:rPr>
        <w:t xml:space="preserve">Armendáriz-Villegas, E. J., Covarrubias-García, M. D. L. A., Troyo-Diéguez, E. , Lagunes, E., Arreola-Lizárraga, A., Nieto-Garibay, A., Beltrán-Morales, L.F., &amp; Ortega-Rubio, A. (2015). </w:t>
      </w:r>
      <w:r w:rsidRPr="008608AA">
        <w:t>Metal mining and natural protected areas in Mexico: Geographic overlaps and environmental implications. </w:t>
      </w:r>
      <w:r w:rsidRPr="008608AA">
        <w:rPr>
          <w:i/>
          <w:lang w:val="es-CO"/>
        </w:rPr>
        <w:t>Environmental Science and Policy</w:t>
      </w:r>
      <w:r w:rsidRPr="008608AA">
        <w:rPr>
          <w:lang w:val="es-CO"/>
        </w:rPr>
        <w:t>, 48, (pp. 9-19).</w:t>
      </w:r>
    </w:p>
    <w:p w14:paraId="1FDB5EFD" w14:textId="77777777" w:rsidR="00787E9A" w:rsidRPr="008608AA" w:rsidRDefault="00787E9A" w:rsidP="00787E9A">
      <w:pPr>
        <w:ind w:left="709" w:hanging="709"/>
      </w:pPr>
      <w:r w:rsidRPr="008608AA">
        <w:rPr>
          <w:lang w:val="es-CO"/>
        </w:rPr>
        <w:t xml:space="preserve">Armenteras-Pascual, D., Retana-Alumbreros, J., Molowny-Horas, R., Roman-Cuesta, R. M., Gonzalez-Alonso, F., &amp; Morales-Rivas, M. (2011). </w:t>
      </w:r>
      <w:r w:rsidRPr="008608AA">
        <w:t>Characterising fire spatial pattern interactions with climate and vegetation in Colombia. </w:t>
      </w:r>
      <w:r w:rsidRPr="008608AA">
        <w:rPr>
          <w:i/>
        </w:rPr>
        <w:t>Agricultural and Forest Meteorology</w:t>
      </w:r>
      <w:r w:rsidRPr="008608AA">
        <w:t>, 151(3), (pp. 279-289).</w:t>
      </w:r>
    </w:p>
    <w:p w14:paraId="3DD7E4F4" w14:textId="77777777" w:rsidR="00787E9A" w:rsidRPr="008608AA" w:rsidRDefault="00787E9A" w:rsidP="00787E9A">
      <w:pPr>
        <w:ind w:left="709" w:hanging="709"/>
      </w:pPr>
      <w:r w:rsidRPr="008608AA">
        <w:t xml:space="preserve">Armitage, D., De Loë, R., &amp; Plummer, R. (2012). Environmental governance and its implications for conservation practice. </w:t>
      </w:r>
      <w:r w:rsidRPr="008608AA">
        <w:rPr>
          <w:i/>
        </w:rPr>
        <w:t>Conservation Letters</w:t>
      </w:r>
      <w:r w:rsidRPr="008608AA">
        <w:t>, 5(4),  (pp. 245–255). http://doi.org/10.1111/j.1755-263X.2012.00238.x</w:t>
      </w:r>
    </w:p>
    <w:p w14:paraId="1E7744B3" w14:textId="77777777" w:rsidR="00787E9A" w:rsidRPr="008608AA" w:rsidRDefault="00787E9A" w:rsidP="00787E9A">
      <w:pPr>
        <w:ind w:left="709" w:hanging="709"/>
      </w:pPr>
      <w:r w:rsidRPr="008608AA">
        <w:t xml:space="preserve">Aronson, M. F. J., La Sorte, F. A., Nilon, C. H., Katti, M., Goddard, M. A., Lepczyk, C. A., Warren, P. S., Williams, N. S. G., Cilliers, S., Clarkson, B., Dobbs, C., Dolan, R., Hedblom, M., Klotz, S., Kooijmans, J. L., Kuhn, I., MacGregor-Fors, I., McDonnell, M., Mortberg, U., Pysek, P., Siebert, S., Sushinsky, J., Werner, P., &amp; Winter, M. (2014). A global analysis of the impacts of urbanization on bird and plant diversity reveals key anthropogenic drivers. </w:t>
      </w:r>
      <w:r w:rsidRPr="008608AA">
        <w:rPr>
          <w:i/>
        </w:rPr>
        <w:t>Proceedings of the Royal Society B: Biological Sciences</w:t>
      </w:r>
      <w:r w:rsidRPr="008608AA">
        <w:t>, 281(20133330). https://doi.org/10.1098/rspb.2013.3330</w:t>
      </w:r>
    </w:p>
    <w:p w14:paraId="60935B9F" w14:textId="77777777" w:rsidR="00787E9A" w:rsidRPr="008608AA" w:rsidRDefault="00787E9A" w:rsidP="00787E9A">
      <w:pPr>
        <w:ind w:left="709" w:hanging="709"/>
      </w:pPr>
      <w:r w:rsidRPr="008608AA">
        <w:t>Arriaga, L. (2000). Types and causes of tree mortality in a tropical montane cloud forest of Tamaulipas, Mexico. </w:t>
      </w:r>
      <w:r w:rsidRPr="008608AA">
        <w:rPr>
          <w:i/>
        </w:rPr>
        <w:t>Journal of Tropical Ecology</w:t>
      </w:r>
      <w:r w:rsidRPr="008608AA">
        <w:t>, 16(5), (PP. 623-636).</w:t>
      </w:r>
    </w:p>
    <w:p w14:paraId="102EBF60" w14:textId="77777777" w:rsidR="00787E9A" w:rsidRPr="008608AA" w:rsidRDefault="00787E9A" w:rsidP="00787E9A">
      <w:pPr>
        <w:ind w:left="709" w:hanging="709"/>
      </w:pPr>
      <w:r w:rsidRPr="008608AA">
        <w:t xml:space="preserve">Arriaga, L., Castellanos, A. E., Moreno, E., &amp; Alarcon, J. (2004). Potential ecological distribution of alien invasive species and risk assessment: a case study of buffel grass in arid regions of Mexico. </w:t>
      </w:r>
      <w:r w:rsidRPr="008608AA">
        <w:rPr>
          <w:i/>
        </w:rPr>
        <w:t>Conservation Biology</w:t>
      </w:r>
      <w:r w:rsidRPr="008608AA">
        <w:t>, 18(6), (PP. 1504–1514). https://doi.org/DOI 10.1111/j.1523-1739.2004.00166.x</w:t>
      </w:r>
    </w:p>
    <w:p w14:paraId="6C708CD4" w14:textId="77777777" w:rsidR="00787E9A" w:rsidRPr="008608AA" w:rsidRDefault="00787E9A" w:rsidP="00787E9A">
      <w:pPr>
        <w:ind w:left="709" w:hanging="709"/>
      </w:pPr>
      <w:r w:rsidRPr="008608AA">
        <w:t xml:space="preserve">Arsel, M., Hogenboom, B., &amp; Pellegrini, L. (2016). The extractive imperative and the boom in environmental conflicts at the end of the progressive cycle in Latin America. </w:t>
      </w:r>
      <w:r w:rsidRPr="008608AA">
        <w:rPr>
          <w:i/>
        </w:rPr>
        <w:t>Extractive Industries and Society</w:t>
      </w:r>
      <w:r w:rsidRPr="008608AA">
        <w:t xml:space="preserve">, 3(4), 877–879. </w:t>
      </w:r>
    </w:p>
    <w:p w14:paraId="34D7A1BE" w14:textId="77777777" w:rsidR="00787E9A" w:rsidRPr="008608AA" w:rsidRDefault="00787E9A" w:rsidP="00787E9A">
      <w:pPr>
        <w:ind w:left="709" w:hanging="709"/>
      </w:pPr>
      <w:r w:rsidRPr="008608AA">
        <w:t xml:space="preserve">Astor, Y. M., Lorenzoni, L .B., Thunell, R., Varela, R., Muller-Karger, F., Troccoli, L., Taylor, G. T., Scranton, M. I., Tappa, E., &amp; Rueda, D. (2013). Interannual variability in sea surface temperature and fCO2 changes in the Cariaco Basin. </w:t>
      </w:r>
      <w:r w:rsidRPr="008608AA">
        <w:rPr>
          <w:i/>
        </w:rPr>
        <w:t>Deep-Sea Research II, special issue of Ocean Biogeochemistry Time Series Research</w:t>
      </w:r>
      <w:r w:rsidRPr="008608AA">
        <w:t>. Doi 10.1016/j.dsr2.2013.01.002.</w:t>
      </w:r>
    </w:p>
    <w:p w14:paraId="4F64D242" w14:textId="77777777" w:rsidR="00787E9A" w:rsidRPr="008608AA" w:rsidRDefault="00787E9A" w:rsidP="00787E9A">
      <w:pPr>
        <w:ind w:left="709" w:hanging="709"/>
      </w:pPr>
      <w:r w:rsidRPr="008608AA">
        <w:t xml:space="preserve">Avcı, D., &amp; Fernández-Salvador, C. (2016). Territorial dynamics and local resistance: Two mining conflicts in Ecuador compared. </w:t>
      </w:r>
      <w:r w:rsidRPr="008608AA">
        <w:rPr>
          <w:i/>
        </w:rPr>
        <w:t>Extractive Industries and Society</w:t>
      </w:r>
      <w:r w:rsidRPr="008608AA">
        <w:t>, 3(4), (PP. 912–921). http://doi.org/10.1016/j.exis.2016.10.007</w:t>
      </w:r>
    </w:p>
    <w:p w14:paraId="69E31ED1" w14:textId="77777777" w:rsidR="00787E9A" w:rsidRPr="008608AA" w:rsidRDefault="00787E9A" w:rsidP="00787E9A">
      <w:pPr>
        <w:ind w:left="709" w:hanging="709"/>
      </w:pPr>
      <w:r w:rsidRPr="008608AA">
        <w:rPr>
          <w:lang w:val="es-CO"/>
        </w:rPr>
        <w:t xml:space="preserve">Ávila, S., Muñoz, C., Jaramillo, L., Martínez, A. (2005). Un análisis del subsidio a la tarifa 09 Gaceta Ecológica, 75, abril-junio, Secretaría de Medio Ambiente y Recursos Naturales Distrito Federal, México. </w:t>
      </w:r>
      <w:r w:rsidRPr="008608AA">
        <w:t xml:space="preserve">(pp. 65-76) </w:t>
      </w:r>
    </w:p>
    <w:p w14:paraId="492226E5" w14:textId="77777777" w:rsidR="00787E9A" w:rsidRPr="008608AA" w:rsidRDefault="00787E9A" w:rsidP="00787E9A">
      <w:pPr>
        <w:ind w:left="709" w:hanging="709"/>
      </w:pPr>
      <w:r w:rsidRPr="008608AA">
        <w:t xml:space="preserve">Baker, D. B., Richards, R. P., Loftus, T. T., &amp; Kramer. J. W. (2004). A new flashiness index: Characteristics and applications to midwestern rivers and streams. </w:t>
      </w:r>
      <w:r w:rsidRPr="008608AA">
        <w:rPr>
          <w:i/>
        </w:rPr>
        <w:t>Journal of the American Water Resources Association</w:t>
      </w:r>
      <w:r w:rsidRPr="008608AA">
        <w:t>, 40, (pp. 503–522).</w:t>
      </w:r>
    </w:p>
    <w:p w14:paraId="3E3AF968" w14:textId="77777777" w:rsidR="00787E9A" w:rsidRPr="008608AA" w:rsidRDefault="00787E9A" w:rsidP="00787E9A">
      <w:pPr>
        <w:ind w:left="709" w:hanging="709"/>
      </w:pPr>
      <w:r w:rsidRPr="008608AA">
        <w:t>Baldi, G., &amp; Paruelo, J. (2008). Land-use and land cover dynamics in South American temperate grasslands. </w:t>
      </w:r>
      <w:r w:rsidRPr="008608AA">
        <w:rPr>
          <w:i/>
        </w:rPr>
        <w:t>Ecology and Society</w:t>
      </w:r>
      <w:r w:rsidRPr="008608AA">
        <w:t>, 13(2).</w:t>
      </w:r>
    </w:p>
    <w:p w14:paraId="777ED8EE" w14:textId="77777777" w:rsidR="00787E9A" w:rsidRPr="00CE0821" w:rsidRDefault="00787E9A" w:rsidP="00787E9A">
      <w:pPr>
        <w:ind w:left="709" w:hanging="709"/>
        <w:rPr>
          <w:lang w:val="es-CO"/>
        </w:rPr>
      </w:pPr>
      <w:r w:rsidRPr="008608AA">
        <w:t>Ballari, S.A.,  Anderson , C. B. &amp; Valenzuela, A. E. J. (2016). Invasive exotic mammal research and management in the Southern Cone. </w:t>
      </w:r>
      <w:r w:rsidRPr="00CE0821">
        <w:rPr>
          <w:i/>
          <w:lang w:val="es-CO"/>
        </w:rPr>
        <w:t>Mammal Review</w:t>
      </w:r>
      <w:r w:rsidRPr="00CE0821">
        <w:rPr>
          <w:lang w:val="es-CO"/>
        </w:rPr>
        <w:t>, 46, (pp. 229-240). </w:t>
      </w:r>
    </w:p>
    <w:p w14:paraId="58550D9B" w14:textId="77777777" w:rsidR="00787E9A" w:rsidRPr="008608AA" w:rsidRDefault="00787E9A" w:rsidP="00787E9A">
      <w:pPr>
        <w:ind w:left="709" w:hanging="709"/>
      </w:pPr>
      <w:r w:rsidRPr="00CE0821">
        <w:rPr>
          <w:lang w:val="es-CO"/>
        </w:rPr>
        <w:t xml:space="preserve">Balvanera, P., Cotler, H., Aburto, O., Aguilar, A., Aguilera, M., Aluja, M., Andrade, A., Arroyo, I., Ashworth, L., Astier, L., Ávila, P., Bitrán, D., Camargo, T., Campo, J., Cárdenas, B., Casas, A., Díaz-Fleischer, F.,  Etchevers, J., Ghillardi, A., González-Padilla, E.,  • Guevara, A., Lazos, E., López, C., López, R., Martínez, J., Masera, O., Mazari, M., Nadal, A., Pérez-Salicrup, D.,   Pérez-Gil, R., Quesada, M., Ramos-Elorduy, J., Robles, A., Rodríguez, H., Rull, J. Suzán, G., Vergara, C., Xolalpa, S., Zambrano, L.,  &amp; Zarco, A. (2009). </w:t>
      </w:r>
      <w:r w:rsidRPr="008608AA">
        <w:rPr>
          <w:lang w:val="es-CO"/>
        </w:rPr>
        <w:t>Estado y tendencias de los servicios ecosistémicos. </w:t>
      </w:r>
      <w:r w:rsidRPr="008608AA">
        <w:rPr>
          <w:i/>
          <w:lang w:val="es-CO"/>
        </w:rPr>
        <w:t>Capital natural de México</w:t>
      </w:r>
      <w:r w:rsidRPr="008608AA">
        <w:rPr>
          <w:lang w:val="es-CO"/>
        </w:rPr>
        <w:t xml:space="preserve">, 2, (pp. 185-245). </w:t>
      </w:r>
      <w:r w:rsidRPr="008608AA">
        <w:t>Retrieved from http://www.biodiversidad.gob.mx/pais/pdf/CapNatMex/Vol%20II/II04_EdoTendenciasServiciosEcosistemicos.pdf</w:t>
      </w:r>
    </w:p>
    <w:p w14:paraId="51F7E9EB" w14:textId="77777777" w:rsidR="00787E9A" w:rsidRPr="008608AA" w:rsidRDefault="00787E9A" w:rsidP="00787E9A">
      <w:pPr>
        <w:ind w:left="709" w:hanging="709"/>
        <w:rPr>
          <w:lang w:val="es-CO"/>
        </w:rPr>
      </w:pPr>
      <w:r w:rsidRPr="008608AA">
        <w:rPr>
          <w:lang w:val="es-CO"/>
        </w:rPr>
        <w:t>Barbarán, F. R., Rojas, L., &amp; Arias, H. M. (2015). Sostenibilidad institucional y social de la expansión de la frontera agropecuaria. </w:t>
      </w:r>
      <w:r w:rsidRPr="008608AA">
        <w:rPr>
          <w:i/>
          <w:lang w:val="es-CO"/>
        </w:rPr>
        <w:t>Revibec: revista de la Red Iberoamericana de Economia Ecológica</w:t>
      </w:r>
      <w:r w:rsidRPr="008608AA">
        <w:rPr>
          <w:lang w:val="es-CO"/>
        </w:rPr>
        <w:t>, 24,  (pp. 0021-37).</w:t>
      </w:r>
    </w:p>
    <w:p w14:paraId="2ED5CAD1" w14:textId="77777777" w:rsidR="00787E9A" w:rsidRPr="008608AA" w:rsidRDefault="00787E9A" w:rsidP="00787E9A">
      <w:pPr>
        <w:ind w:left="709" w:hanging="709"/>
      </w:pPr>
      <w:r w:rsidRPr="008608AA">
        <w:t xml:space="preserve">Barbaran, F. (2015). Biodiversity values and payment for ecosystem services in Argentina: Who pays? IUCN Commission on Environmental, Economic and Social Policy (CEESP). </w:t>
      </w:r>
      <w:r w:rsidRPr="008608AA">
        <w:rPr>
          <w:i/>
        </w:rPr>
        <w:t>CEESP Newsletter</w:t>
      </w:r>
      <w:r w:rsidRPr="008608AA">
        <w:t>, 1515. http://iucn.org/union/commissions/ceesp/?21652</w:t>
      </w:r>
    </w:p>
    <w:p w14:paraId="5AD283B9" w14:textId="77777777" w:rsidR="00787E9A" w:rsidRPr="008608AA" w:rsidRDefault="00787E9A" w:rsidP="00787E9A">
      <w:pPr>
        <w:ind w:left="709" w:hanging="709"/>
      </w:pPr>
      <w:r w:rsidRPr="008608AA">
        <w:t xml:space="preserve">Barbour, A. B., Montgomery, M. L., Adamson, A. A., Díaz-Ferguson, E., &amp; Silliman, B. R. (2010). Mangrove use by the invasive lionfish Pterois volitans. </w:t>
      </w:r>
      <w:r w:rsidRPr="008608AA">
        <w:rPr>
          <w:i/>
        </w:rPr>
        <w:t>Marine Ecology Progress Series</w:t>
      </w:r>
      <w:r w:rsidRPr="008608AA">
        <w:t>, 401, (pp. 291–294). https://doi.org/10.3354/meps08373</w:t>
      </w:r>
    </w:p>
    <w:p w14:paraId="59143B34" w14:textId="77777777" w:rsidR="00787E9A" w:rsidRPr="008608AA" w:rsidRDefault="00787E9A" w:rsidP="00787E9A">
      <w:pPr>
        <w:ind w:left="709" w:hanging="709"/>
      </w:pPr>
      <w:r w:rsidRPr="008608AA">
        <w:t>Barkley, A. N. (2015). Implications of developing deep-sea Arctic fisheries for Greenland Halibut (</w:t>
      </w:r>
      <w:r w:rsidRPr="008608AA">
        <w:rPr>
          <w:i/>
        </w:rPr>
        <w:t>Reinhardtius hippoglossoides</w:t>
      </w:r>
      <w:r w:rsidRPr="008608AA">
        <w:t xml:space="preserve">): Inshore stock connectivity and capture induced stress of ecologically important fish species. University of Windsor. </w:t>
      </w:r>
      <w:r w:rsidRPr="008608AA">
        <w:rPr>
          <w:i/>
        </w:rPr>
        <w:t>Electronic Theses and Dissertations.</w:t>
      </w:r>
      <w:r w:rsidRPr="008608AA">
        <w:t xml:space="preserve"> Paper 5429.</w:t>
      </w:r>
    </w:p>
    <w:p w14:paraId="7830226A" w14:textId="77777777" w:rsidR="00787E9A" w:rsidRPr="008608AA" w:rsidRDefault="00787E9A" w:rsidP="00787E9A">
      <w:pPr>
        <w:ind w:left="709" w:hanging="709"/>
      </w:pPr>
      <w:r w:rsidRPr="008608AA">
        <w:t>Barona, E., Ramankutty, N., Hyman, G., &amp; Coomes, O. T. (2010). The role of pasture and soybean in deforestation of the Brazilian Amazon. </w:t>
      </w:r>
      <w:r w:rsidRPr="008608AA">
        <w:rPr>
          <w:i/>
        </w:rPr>
        <w:t>Environmental Research Letters</w:t>
      </w:r>
      <w:r w:rsidRPr="008608AA">
        <w:t>, 5(2), 024002.</w:t>
      </w:r>
    </w:p>
    <w:p w14:paraId="69A52541" w14:textId="77777777" w:rsidR="00787E9A" w:rsidRPr="008608AA" w:rsidRDefault="00787E9A" w:rsidP="00787E9A">
      <w:pPr>
        <w:ind w:left="709" w:hanging="709"/>
      </w:pPr>
      <w:r w:rsidRPr="008608AA">
        <w:t xml:space="preserve">Barral, M. P., Rey Benayas, J. M., Meli, P. &amp; Maceira, N. O.  (2015). Quantifying the impacts of ecological restoration on biodiversity and ecosystem services in agroecosystems: A global meta-analysis. </w:t>
      </w:r>
      <w:r w:rsidRPr="008608AA">
        <w:rPr>
          <w:i/>
        </w:rPr>
        <w:t>Agriculture, Ecosystems and Environment,</w:t>
      </w:r>
      <w:r w:rsidRPr="008608AA">
        <w:t xml:space="preserve"> 202, (pp.223–231).</w:t>
      </w:r>
    </w:p>
    <w:p w14:paraId="7F932C6A" w14:textId="77777777" w:rsidR="00787E9A" w:rsidRPr="008608AA" w:rsidRDefault="00787E9A" w:rsidP="00787E9A">
      <w:pPr>
        <w:ind w:left="709" w:hanging="709"/>
      </w:pPr>
      <w:r w:rsidRPr="008608AA">
        <w:t xml:space="preserve">Barros, V. R., Boninsegna, J. A. Camilloni, I. A., Chidiak, M., Magrín, G. O., &amp; Rusticucci, M. (2015). Climate change in Argentina: Trends, projections, impacts and adaptation. Wiley Interdisciplinary Reviews. </w:t>
      </w:r>
      <w:r w:rsidRPr="008608AA">
        <w:rPr>
          <w:i/>
        </w:rPr>
        <w:t xml:space="preserve">Climate Change, </w:t>
      </w:r>
      <w:r w:rsidRPr="008608AA">
        <w:t xml:space="preserve"> 6, (pp.151–169).</w:t>
      </w:r>
    </w:p>
    <w:p w14:paraId="4C1BDDBC" w14:textId="77777777" w:rsidR="00787E9A" w:rsidRPr="008608AA" w:rsidRDefault="00787E9A" w:rsidP="00787E9A">
      <w:pPr>
        <w:ind w:left="709" w:hanging="709"/>
      </w:pPr>
      <w:r w:rsidRPr="008608AA">
        <w:t>Bartrons, M., Catalan, J. &amp; Penuelas, J. (2016). Spatial and temporal trends of organic pollutants in vegetation from remote and rural areas. </w:t>
      </w:r>
      <w:r w:rsidRPr="008608AA">
        <w:rPr>
          <w:i/>
        </w:rPr>
        <w:t>Scientific reports</w:t>
      </w:r>
      <w:r w:rsidRPr="008608AA">
        <w:t>, 6.</w:t>
      </w:r>
    </w:p>
    <w:p w14:paraId="64165F9E" w14:textId="77777777" w:rsidR="00787E9A" w:rsidRPr="008608AA" w:rsidRDefault="00787E9A" w:rsidP="00787E9A">
      <w:pPr>
        <w:ind w:left="709" w:hanging="709"/>
      </w:pPr>
      <w:r w:rsidRPr="008608AA">
        <w:t>Basili, G. D., &amp; Temple, S. A. (1999). Dickcissels and crop damage in Venezuela: defining the problem with ecological models. </w:t>
      </w:r>
      <w:r w:rsidRPr="008608AA">
        <w:rPr>
          <w:i/>
        </w:rPr>
        <w:t>Ecological applications</w:t>
      </w:r>
      <w:r w:rsidRPr="008608AA">
        <w:t>, 9(2), (pp. 732-739).</w:t>
      </w:r>
    </w:p>
    <w:p w14:paraId="495F26EF" w14:textId="77777777" w:rsidR="00787E9A" w:rsidRPr="008608AA" w:rsidRDefault="00787E9A" w:rsidP="00787E9A">
      <w:pPr>
        <w:ind w:left="709" w:hanging="709"/>
      </w:pPr>
      <w:r w:rsidRPr="008608AA">
        <w:t xml:space="preserve">Bates, N., Astor, Y., Church, M., Currie, K., Dore, J., Gonaález-Dávila, M., Lorenzoni, L., Muller-Karger, F., Olafsson, J., &amp; Santa-Casiano, M. (2014). A time-series view of changing ocean chemistry due to ocean uptake of anthropogenic CO2 and ocean acidification. </w:t>
      </w:r>
      <w:r w:rsidRPr="008608AA">
        <w:rPr>
          <w:i/>
        </w:rPr>
        <w:t>Oceanography</w:t>
      </w:r>
      <w:r w:rsidRPr="008608AA">
        <w:t>, 27(1), (pp. 126–141). https://doi.org/10.5670/oceanog.2014.16</w:t>
      </w:r>
    </w:p>
    <w:p w14:paraId="6265864C" w14:textId="77777777" w:rsidR="00787E9A" w:rsidRPr="008608AA" w:rsidRDefault="00787E9A" w:rsidP="00787E9A">
      <w:pPr>
        <w:ind w:left="709" w:hanging="709"/>
      </w:pPr>
      <w:r w:rsidRPr="008608AA">
        <w:t>Battaglin, W. A., Meyer, M. T., Kuivila, K. M. &amp; Dietze, J. E. (2014). Glyphosate and its degradation product AMPA occur frequently and widely in US soils, surface water, groundwater, and precipitation. </w:t>
      </w:r>
      <w:r w:rsidRPr="008608AA">
        <w:rPr>
          <w:i/>
        </w:rPr>
        <w:t>JAWRA Journal of the American Water Resources Association</w:t>
      </w:r>
      <w:r w:rsidRPr="008608AA">
        <w:t>, 50(2), (pp.275-290).</w:t>
      </w:r>
    </w:p>
    <w:p w14:paraId="6BDE0BE4" w14:textId="77777777" w:rsidR="00787E9A" w:rsidRPr="008608AA" w:rsidRDefault="00787E9A" w:rsidP="00787E9A">
      <w:pPr>
        <w:ind w:left="709" w:hanging="709"/>
      </w:pPr>
      <w:r w:rsidRPr="008608AA">
        <w:t>Batzer, D. P., &amp; Baldwin, A. H. (2012). Wetland habitats of North America: ecology and conservation concerns. In: Wetland Habitats of North America: Ecology and Conservation Issues, 405. https://doi.org/10.1899/32.1.BR.359.1</w:t>
      </w:r>
    </w:p>
    <w:p w14:paraId="407B1474" w14:textId="77777777" w:rsidR="00787E9A" w:rsidRPr="008608AA" w:rsidRDefault="00787E9A" w:rsidP="00787E9A">
      <w:pPr>
        <w:ind w:left="709" w:hanging="709"/>
      </w:pPr>
      <w:r w:rsidRPr="008608AA">
        <w:t>Batzer, D. P. &amp; Baldwin, A. H. (2012). Wetlands habitats of North America: Ecology and conservation concerns. Univ. California Press, ISBN- 978-0520-27164-7. (pp. 387).</w:t>
      </w:r>
    </w:p>
    <w:p w14:paraId="4CCC6BE6" w14:textId="77777777" w:rsidR="00787E9A" w:rsidRPr="008608AA" w:rsidRDefault="00787E9A" w:rsidP="00787E9A">
      <w:pPr>
        <w:ind w:left="709" w:hanging="709"/>
      </w:pPr>
      <w:r w:rsidRPr="008608AA">
        <w:t xml:space="preserve">Baud, M., Castro, F. de, &amp; Hogenboom, B. (2011). Environmental governance in Latin America: Towards an integrative research agenda. </w:t>
      </w:r>
      <w:r w:rsidRPr="008608AA">
        <w:rPr>
          <w:i/>
        </w:rPr>
        <w:t>European Review of Latin American and Caribbean Studies</w:t>
      </w:r>
      <w:r w:rsidRPr="008608AA">
        <w:t>, 90, (pp. 79–88). http://doi.org/10.18352/erlacs.9749</w:t>
      </w:r>
    </w:p>
    <w:p w14:paraId="59543483" w14:textId="77777777" w:rsidR="00787E9A" w:rsidRPr="008608AA" w:rsidRDefault="00787E9A" w:rsidP="00787E9A">
      <w:pPr>
        <w:ind w:left="709" w:hanging="709"/>
      </w:pPr>
      <w:r w:rsidRPr="008608AA">
        <w:t xml:space="preserve">Bauhardt, C. (2014). Solutions to the crisis? The green new deal, degrowth, and the solidarity economy: Alternatives to the capitalist growth economy from an ecofeminist economics perspective. </w:t>
      </w:r>
      <w:r w:rsidRPr="008608AA">
        <w:rPr>
          <w:i/>
        </w:rPr>
        <w:t>Ecological Economics</w:t>
      </w:r>
      <w:r w:rsidRPr="008608AA">
        <w:t>, 102, (pp. 60–68). http://doi.org/10.1016/j.ecolecon.2014.03.015</w:t>
      </w:r>
    </w:p>
    <w:p w14:paraId="0E6F7D41" w14:textId="77777777" w:rsidR="00787E9A" w:rsidRPr="008608AA" w:rsidRDefault="00787E9A" w:rsidP="00787E9A">
      <w:pPr>
        <w:ind w:left="709" w:hanging="709"/>
      </w:pPr>
      <w:r w:rsidRPr="008608AA">
        <w:t xml:space="preserve">Beck, M. W., Brumbaugh, R. D., Airoldi, L., Carranza, A., Coen, L. D., Crawford, C., Defeo, O., Edgar, G. J., Hancock, B., Kay, M. C., Lenihan, H. S., Luckenbach, M. W., Toropova, C. L., Zhang, G. &amp; Guo, X.  (2011). Oyster reefs at risk and recommendations for conservation, restoration, and management. </w:t>
      </w:r>
      <w:r w:rsidRPr="008608AA">
        <w:rPr>
          <w:i/>
        </w:rPr>
        <w:t>BioScience</w:t>
      </w:r>
      <w:r w:rsidRPr="008608AA">
        <w:t xml:space="preserve"> 61, (pp. 107–116).</w:t>
      </w:r>
    </w:p>
    <w:p w14:paraId="6624DD29" w14:textId="77777777" w:rsidR="00787E9A" w:rsidRPr="008608AA" w:rsidRDefault="00787E9A" w:rsidP="00787E9A">
      <w:pPr>
        <w:ind w:left="709" w:hanging="709"/>
      </w:pPr>
      <w:r w:rsidRPr="008608AA">
        <w:t xml:space="preserve">Bednaršek, N., Harvey, C. J., Kaplan, I. C., Feely, R. A., &amp; Možina, J. (2016). Pteropods on the edge: Cumulative effects of ocean acidification, warming, and deoxygenation. </w:t>
      </w:r>
      <w:r w:rsidRPr="008608AA">
        <w:rPr>
          <w:i/>
        </w:rPr>
        <w:t>Progress in Oceanography</w:t>
      </w:r>
      <w:r w:rsidRPr="008608AA">
        <w:t>, 145, (pp. 1–24). https://doi.org/10.1016/j.pocean.2016.04.002</w:t>
      </w:r>
    </w:p>
    <w:p w14:paraId="2F4550BA" w14:textId="77777777" w:rsidR="00787E9A" w:rsidRPr="008608AA" w:rsidRDefault="00787E9A" w:rsidP="00787E9A">
      <w:pPr>
        <w:ind w:left="709" w:hanging="709"/>
      </w:pPr>
      <w:r w:rsidRPr="008608AA">
        <w:t xml:space="preserve">Beger, M., Grantham, H. S., Pressey, R. L., Wilson, K. A., Peterson, E. L., Dorfman, D., Mumby, P. J., Lourival, R., Brumbaugh, D. R., &amp; Possingham, H. P. (2010). Conservation planning for connectivity across marine, freshwater, and terrestrial realms. </w:t>
      </w:r>
      <w:r w:rsidRPr="008608AA">
        <w:rPr>
          <w:i/>
        </w:rPr>
        <w:t>Biological Conservation,</w:t>
      </w:r>
      <w:r w:rsidRPr="008608AA">
        <w:t xml:space="preserve"> 143(3), (pp. 565–575) . https://doi.org/10.1016/j.biocon.2009.11.006</w:t>
      </w:r>
    </w:p>
    <w:p w14:paraId="1136B974" w14:textId="77777777" w:rsidR="00787E9A" w:rsidRPr="008608AA" w:rsidRDefault="00787E9A" w:rsidP="00787E9A">
      <w:pPr>
        <w:ind w:left="709" w:hanging="709"/>
      </w:pPr>
      <w:r w:rsidRPr="008608AA">
        <w:t xml:space="preserve">Begossi, A. 2010. Small-scale fisheries in Latin America. </w:t>
      </w:r>
      <w:r w:rsidRPr="008608AA">
        <w:rPr>
          <w:i/>
        </w:rPr>
        <w:t>Management models and challenges</w:t>
      </w:r>
      <w:r w:rsidRPr="008608AA">
        <w:t>, 9, (pp. 7–31).</w:t>
      </w:r>
    </w:p>
    <w:p w14:paraId="7B754E5C" w14:textId="77777777" w:rsidR="00787E9A" w:rsidRPr="008608AA" w:rsidRDefault="00787E9A" w:rsidP="00787E9A">
      <w:pPr>
        <w:ind w:left="709" w:hanging="709"/>
      </w:pPr>
      <w:r w:rsidRPr="008608AA">
        <w:rPr>
          <w:lang w:val="es-CO"/>
        </w:rPr>
        <w:t>Begotti, R., &amp; Landesmann, L. (2008). Predação de ninhos por um grupo híbrido de sagüis (</w:t>
      </w:r>
      <w:r w:rsidRPr="008608AA">
        <w:rPr>
          <w:i/>
          <w:lang w:val="es-CO"/>
        </w:rPr>
        <w:t>Callithrix Jacchus</w:t>
      </w:r>
      <w:r w:rsidRPr="008608AA">
        <w:rPr>
          <w:lang w:val="es-CO"/>
        </w:rPr>
        <w:t xml:space="preserve">/Penicillata) Introduzidos em área urbana: implicações para a estrutura da comunidade. </w:t>
      </w:r>
      <w:r w:rsidRPr="008608AA">
        <w:rPr>
          <w:i/>
        </w:rPr>
        <w:t>Neotropical,</w:t>
      </w:r>
      <w:r w:rsidRPr="008608AA">
        <w:t xml:space="preserve"> 15(1), (pp. 28–29) . https://doi.org/10.1896/044.015.0107</w:t>
      </w:r>
    </w:p>
    <w:p w14:paraId="5E4C1A9A" w14:textId="77777777" w:rsidR="00787E9A" w:rsidRPr="008608AA" w:rsidRDefault="00787E9A" w:rsidP="00787E9A">
      <w:pPr>
        <w:ind w:left="709" w:hanging="709"/>
      </w:pPr>
      <w:r w:rsidRPr="008608AA">
        <w:t>Bellard, C., Leclerc, C., &amp; Courchamp, F. (2014). Impact of sea level rise on the 10 insular biodiversity hotspots. </w:t>
      </w:r>
      <w:r w:rsidRPr="008608AA">
        <w:rPr>
          <w:i/>
        </w:rPr>
        <w:t>Global Ecology and Biogeography</w:t>
      </w:r>
      <w:r w:rsidRPr="008608AA">
        <w:t>, 23(2), (pp. 203-212).</w:t>
      </w:r>
    </w:p>
    <w:p w14:paraId="28A57777" w14:textId="77777777" w:rsidR="00787E9A" w:rsidRPr="008608AA" w:rsidRDefault="00787E9A" w:rsidP="00787E9A">
      <w:pPr>
        <w:ind w:left="709" w:hanging="709"/>
      </w:pPr>
      <w:r w:rsidRPr="008608AA">
        <w:t xml:space="preserve">Bellard, C., Thuiller, W., Leroy, B., Genovesi, P., Bakkenes, M., &amp; Courchamp, F. (2013). Will climate change promote future invasions? </w:t>
      </w:r>
      <w:r w:rsidRPr="008608AA">
        <w:rPr>
          <w:i/>
        </w:rPr>
        <w:t>Global Change Biology</w:t>
      </w:r>
      <w:r w:rsidRPr="008608AA">
        <w:t>, 19(12), (pp. 3740–3748).</w:t>
      </w:r>
    </w:p>
    <w:p w14:paraId="6EE4CAD2" w14:textId="77777777" w:rsidR="00787E9A" w:rsidRPr="008608AA" w:rsidRDefault="00787E9A" w:rsidP="00787E9A">
      <w:pPr>
        <w:ind w:left="709" w:hanging="709"/>
      </w:pPr>
    </w:p>
    <w:p w14:paraId="5A45DC23" w14:textId="77777777" w:rsidR="00787E9A" w:rsidRPr="008608AA" w:rsidRDefault="00787E9A" w:rsidP="00787E9A">
      <w:pPr>
        <w:ind w:left="709" w:hanging="709"/>
      </w:pPr>
      <w:r w:rsidRPr="008608AA">
        <w:t xml:space="preserve">Belnap J., &amp; Büdel B. (2016) Biological soil crusts as soil stabilizers. In: Weber B., Büdel B., &amp; Belnap J. (eds) Biological soil crusts: an organizing principle in drylands. </w:t>
      </w:r>
      <w:r w:rsidRPr="008608AA">
        <w:rPr>
          <w:i/>
        </w:rPr>
        <w:t>Ecological Studies (Analysis and Synthesis),</w:t>
      </w:r>
      <w:r w:rsidRPr="008608AA">
        <w:t xml:space="preserve"> vol 226. (pp. 305–320) Springer, Cham. &lt;http://link.springer.com/10.1007/978-3-319-30214-0_16&gt;. Accessed 5 Jun 2016. </w:t>
      </w:r>
    </w:p>
    <w:p w14:paraId="451B22AD" w14:textId="77777777" w:rsidR="00787E9A" w:rsidRPr="008608AA" w:rsidRDefault="00787E9A" w:rsidP="00787E9A">
      <w:pPr>
        <w:ind w:left="709" w:hanging="709"/>
      </w:pPr>
    </w:p>
    <w:p w14:paraId="3D0E1945" w14:textId="77777777" w:rsidR="00787E9A" w:rsidRPr="008608AA" w:rsidRDefault="00787E9A" w:rsidP="00787E9A">
      <w:pPr>
        <w:ind w:left="709" w:hanging="709"/>
      </w:pPr>
      <w:r w:rsidRPr="008608AA">
        <w:t xml:space="preserve">Benayas, R. J. M., Newton, A. C., Diaz, A., &amp; Bullock, J. M. (2009). Enhancement of biodiversity and ecosystem services by ecological restoration: a meta-analysis. </w:t>
      </w:r>
      <w:r w:rsidRPr="008608AA">
        <w:rPr>
          <w:i/>
        </w:rPr>
        <w:t>Science</w:t>
      </w:r>
      <w:r w:rsidRPr="008608AA">
        <w:t>, (New York, N.Y.) 325, (pp. 1121–4). &lt;http://www.ncbi.nlm.nih.gov/pubmed/19644076&gt;.</w:t>
      </w:r>
    </w:p>
    <w:p w14:paraId="60EC3E69" w14:textId="77777777" w:rsidR="00787E9A" w:rsidRPr="008608AA" w:rsidRDefault="00787E9A" w:rsidP="00787E9A">
      <w:pPr>
        <w:ind w:left="709" w:hanging="709"/>
      </w:pPr>
      <w:r w:rsidRPr="008608AA">
        <w:t xml:space="preserve">Benson, A., Raikow, D., Larson, J., Fusaro, A., &amp; Bogdanoff, A. (2017). </w:t>
      </w:r>
      <w:r w:rsidRPr="008608AA">
        <w:rPr>
          <w:i/>
        </w:rPr>
        <w:t>Dreissena polymorpha</w:t>
      </w:r>
      <w:r w:rsidRPr="008608AA">
        <w:t xml:space="preserve"> (Pallas, 1771) USGS Nonindigenous Aquatic Species Database, Gainesville, FL.</w:t>
      </w:r>
    </w:p>
    <w:p w14:paraId="622333E2" w14:textId="77777777" w:rsidR="00787E9A" w:rsidRPr="008608AA" w:rsidRDefault="00787E9A" w:rsidP="00787E9A">
      <w:pPr>
        <w:ind w:left="709" w:hanging="709"/>
      </w:pPr>
      <w:r w:rsidRPr="008608AA">
        <w:t>Berg, Jr C. J., &amp; Olsen, D. A. (1989). Conservation and management of queen conch (</w:t>
      </w:r>
      <w:r w:rsidRPr="008608AA">
        <w:rPr>
          <w:i/>
        </w:rPr>
        <w:t>Strombus gigas</w:t>
      </w:r>
      <w:r w:rsidRPr="008608AA">
        <w:t>) fisheries in the Caribbean. In: Caddy, J.F. (ed.), Marine invertebrate fisheries: Their assessment and management, (pp. 421-442). John Wiley, NY.</w:t>
      </w:r>
    </w:p>
    <w:p w14:paraId="7B8A5AF6" w14:textId="77777777" w:rsidR="00787E9A" w:rsidRPr="008608AA" w:rsidRDefault="00787E9A" w:rsidP="00787E9A">
      <w:pPr>
        <w:ind w:left="709" w:hanging="709"/>
      </w:pPr>
    </w:p>
    <w:p w14:paraId="05D084DC" w14:textId="77777777" w:rsidR="00787E9A" w:rsidRPr="008608AA" w:rsidRDefault="00787E9A" w:rsidP="00787E9A">
      <w:pPr>
        <w:ind w:left="709" w:hanging="709"/>
      </w:pPr>
      <w:r w:rsidRPr="008608AA">
        <w:t xml:space="preserve">Bergan, T., Gallardo, L., &amp; Rodhe, H. (1999). Mercury in the global troposphere: A three-dimensional model study. </w:t>
      </w:r>
      <w:r w:rsidRPr="008608AA">
        <w:rPr>
          <w:i/>
        </w:rPr>
        <w:t>Atmospheric Environment</w:t>
      </w:r>
      <w:r w:rsidRPr="008608AA">
        <w:t>, 33(10), (pp. 1575–1585). https://doi.org/10.1016/S1352-2310(98)00370-7</w:t>
      </w:r>
    </w:p>
    <w:p w14:paraId="2B859835" w14:textId="77777777" w:rsidR="00787E9A" w:rsidRPr="008608AA" w:rsidRDefault="00787E9A" w:rsidP="00787E9A">
      <w:pPr>
        <w:ind w:left="709" w:hanging="709"/>
      </w:pPr>
    </w:p>
    <w:p w14:paraId="3F2CEA24" w14:textId="77777777" w:rsidR="00787E9A" w:rsidRPr="008608AA" w:rsidRDefault="00787E9A" w:rsidP="00787E9A">
      <w:pPr>
        <w:ind w:left="709" w:hanging="709"/>
      </w:pPr>
      <w:r w:rsidRPr="008608AA">
        <w:t>Berkes, F. (2007). Community-based conservation in a globalized world. </w:t>
      </w:r>
      <w:r w:rsidRPr="008608AA">
        <w:rPr>
          <w:i/>
        </w:rPr>
        <w:t>Proceedings of the National academy of sciences</w:t>
      </w:r>
      <w:r w:rsidRPr="008608AA">
        <w:t>, 104(39), (pp. 15188-15193).</w:t>
      </w:r>
    </w:p>
    <w:p w14:paraId="391F4C75" w14:textId="77777777" w:rsidR="00787E9A" w:rsidRPr="008608AA" w:rsidRDefault="00787E9A" w:rsidP="00787E9A">
      <w:pPr>
        <w:ind w:left="709" w:hanging="709"/>
      </w:pPr>
      <w:r w:rsidRPr="008608AA">
        <w:t xml:space="preserve">Betancur-R., R., Hines, A., Acero P., A., Ortí, G., Wilbur, A. E., &amp; Freshwater, D. W. (2011). Reconstructing the lionfish invasion: insights into Greater Caribbean biogeography. </w:t>
      </w:r>
      <w:r w:rsidRPr="008608AA">
        <w:rPr>
          <w:i/>
        </w:rPr>
        <w:t>Journal of Biogeography</w:t>
      </w:r>
      <w:r w:rsidRPr="008608AA">
        <w:t>, 38(7), (pp. 1281–1293). https://doi.org/10.1111/j.1365-2699.2011.02496.x</w:t>
      </w:r>
    </w:p>
    <w:p w14:paraId="00C4F522" w14:textId="77777777" w:rsidR="00787E9A" w:rsidRPr="008608AA" w:rsidRDefault="00787E9A" w:rsidP="00787E9A">
      <w:pPr>
        <w:ind w:left="709" w:hanging="709"/>
      </w:pPr>
      <w:r w:rsidRPr="008608AA">
        <w:t xml:space="preserve">Beyer, W.N., Franson, J.C., French, J.B., May, T., Rattner, B.A., Shearn-Bochsler, V.I., Warner, S.E., Weber, J., &amp; Mosby, D. (2013). Toxic exposure of songbirds to lead in the Southeast Missouri Lead Mining District. </w:t>
      </w:r>
      <w:r w:rsidRPr="008608AA">
        <w:rPr>
          <w:i/>
        </w:rPr>
        <w:t>Archives of environmental contamination and toxicology</w:t>
      </w:r>
      <w:r w:rsidRPr="008608AA">
        <w:t>, 65(3), (pp.598-610).</w:t>
      </w:r>
    </w:p>
    <w:p w14:paraId="1EFCB78D" w14:textId="77777777" w:rsidR="00787E9A" w:rsidRPr="008608AA" w:rsidRDefault="00787E9A" w:rsidP="00787E9A">
      <w:pPr>
        <w:ind w:left="709" w:hanging="709"/>
      </w:pPr>
      <w:r w:rsidRPr="008608AA">
        <w:t xml:space="preserve">Bhattacharya, A., Romani, M., &amp; Stern, N.  (2012). Infrastructure for development: meeting the challenge. In: Centre for Climate Change Economics and Policy, vol. 15. www.cccep.ac.uk/Publications/Policy/docs/PP-infrastructure-for-development-meeting-the-challenge.pdf. </w:t>
      </w:r>
    </w:p>
    <w:p w14:paraId="601A576A" w14:textId="77777777" w:rsidR="00787E9A" w:rsidRPr="008608AA" w:rsidRDefault="00787E9A" w:rsidP="00787E9A">
      <w:pPr>
        <w:ind w:left="709" w:hanging="709"/>
      </w:pPr>
    </w:p>
    <w:p w14:paraId="6D9875E1" w14:textId="77777777" w:rsidR="00787E9A" w:rsidRPr="008608AA" w:rsidRDefault="00787E9A" w:rsidP="00787E9A">
      <w:pPr>
        <w:ind w:left="709" w:hanging="709"/>
        <w:rPr>
          <w:lang w:val="es-CO"/>
        </w:rPr>
      </w:pPr>
      <w:r w:rsidRPr="00CE0821">
        <w:t xml:space="preserve">Bigatti G., &amp; Penchaszadeh P.E. (2008). </w:t>
      </w:r>
      <w:r w:rsidRPr="008608AA">
        <w:rPr>
          <w:lang w:val="es-CO"/>
        </w:rPr>
        <w:t>Invertebrados del Mar Patagónico, diagnóstico de la problemática actual y potencial de su conservación y manejo. In: Estado de Conservación del Mar Patagónico y áreas de influencia [on-line]. Puerto Madryn, Argentina: Edición del Foro. (pp 105–133). http://www.marpatagonico. org/libro/articulo.php?id = bigatti-penchaszdeh-invertebrados.</w:t>
      </w:r>
    </w:p>
    <w:p w14:paraId="0CEF1E58" w14:textId="77777777" w:rsidR="00787E9A" w:rsidRPr="008608AA" w:rsidRDefault="00787E9A" w:rsidP="00787E9A">
      <w:pPr>
        <w:ind w:left="709" w:hanging="709"/>
      </w:pPr>
      <w:r w:rsidRPr="00CE0821">
        <w:rPr>
          <w:lang w:val="es-CO"/>
        </w:rPr>
        <w:t xml:space="preserve">Bilbao, B. A., Leal, A. V., &amp; Méndez, C. L. (2010). </w:t>
      </w:r>
      <w:r w:rsidRPr="008608AA">
        <w:t>Indigenous use of fire and forest loss in Canaima National Park, Venezuela. Assessment of and tools for alternative strategies of fire management in Pemón indigenous lands. </w:t>
      </w:r>
      <w:r w:rsidRPr="008608AA">
        <w:rPr>
          <w:i/>
        </w:rPr>
        <w:t>Human Ecology</w:t>
      </w:r>
      <w:r w:rsidRPr="008608AA">
        <w:t>, 38(5), (pp. 663-673).</w:t>
      </w:r>
    </w:p>
    <w:p w14:paraId="4C6BD522" w14:textId="77777777" w:rsidR="00787E9A" w:rsidRPr="008608AA" w:rsidRDefault="00787E9A" w:rsidP="00787E9A">
      <w:pPr>
        <w:ind w:left="709" w:hanging="709"/>
      </w:pPr>
      <w:r w:rsidRPr="008608AA">
        <w:t xml:space="preserve">Bingham, H., Fitzsimons, J. A., Redford, K. H., Brent, A., Bezaury-creel, J., &amp; Cumming, T. L. (2017). Privately protected areas: advances and challenges in guidance, policy and documentation. </w:t>
      </w:r>
      <w:r w:rsidRPr="008608AA">
        <w:rPr>
          <w:i/>
        </w:rPr>
        <w:t>Parks</w:t>
      </w:r>
      <w:r w:rsidRPr="008608AA">
        <w:t>, 23(1).</w:t>
      </w:r>
    </w:p>
    <w:p w14:paraId="5FDC57E9" w14:textId="77777777" w:rsidR="00787E9A" w:rsidRPr="008608AA" w:rsidRDefault="00787E9A" w:rsidP="00787E9A">
      <w:pPr>
        <w:ind w:left="709" w:hanging="709"/>
      </w:pPr>
      <w:r w:rsidRPr="008608AA">
        <w:t>Bjerregaard, P., &amp; Hansen, J.C. (2000). Organochlorines and heavy metals in pregnant women from the Disko Bay area in Greenland. </w:t>
      </w:r>
      <w:r w:rsidRPr="008608AA">
        <w:rPr>
          <w:i/>
        </w:rPr>
        <w:t>Science of the total environment</w:t>
      </w:r>
      <w:r w:rsidRPr="008608AA">
        <w:t>, 245(1), (pp.195-202).</w:t>
      </w:r>
    </w:p>
    <w:p w14:paraId="23256854" w14:textId="77777777" w:rsidR="00787E9A" w:rsidRPr="008608AA" w:rsidRDefault="00787E9A" w:rsidP="00787E9A">
      <w:pPr>
        <w:ind w:left="709" w:hanging="709"/>
      </w:pPr>
      <w:r w:rsidRPr="008608AA">
        <w:t xml:space="preserve">Blackburn, T. M., Essl, F., Evans, T., Hulme, P. E., Jeschke, J. M., Kühn, I., Kumschick, S., Marková, Z., Mrugała, A., Nentwig, W., Pergl, J., Pyšek, P., Rabitsch, W., Ricciardi, A., Richardson, D. M., Sendek, A., Vilà, M., Wilson, J. R. U., Winter, M., Genovesi, P., &amp; Bacher, S. (2014). A Unified Classification of Alien Species Based on the Magnitude of their Environmental Impacts. </w:t>
      </w:r>
      <w:r w:rsidRPr="008608AA">
        <w:rPr>
          <w:i/>
        </w:rPr>
        <w:t>PLoS Biology</w:t>
      </w:r>
      <w:r w:rsidRPr="008608AA">
        <w:t>, 12(5), e1001850. https://doi.org/10.1371/journal.pbio.1001850</w:t>
      </w:r>
    </w:p>
    <w:p w14:paraId="6D201A75" w14:textId="77777777" w:rsidR="00787E9A" w:rsidRPr="008608AA" w:rsidRDefault="00787E9A" w:rsidP="00787E9A">
      <w:pPr>
        <w:ind w:left="709" w:hanging="709"/>
      </w:pPr>
      <w:r w:rsidRPr="008608AA">
        <w:t>Blackwell, B.D., &amp; Driscoll, C.T. (2015). Deposition of mercury in forests along a montane elevation gradient. </w:t>
      </w:r>
      <w:r w:rsidRPr="008608AA">
        <w:rPr>
          <w:i/>
        </w:rPr>
        <w:t>Environmental science &amp; technology</w:t>
      </w:r>
      <w:r w:rsidRPr="008608AA">
        <w:t>, 49(9), (pp.5363-5370).</w:t>
      </w:r>
    </w:p>
    <w:p w14:paraId="03A3E056" w14:textId="77777777" w:rsidR="00787E9A" w:rsidRPr="008608AA" w:rsidRDefault="00787E9A" w:rsidP="00787E9A">
      <w:pPr>
        <w:ind w:left="709" w:hanging="709"/>
      </w:pPr>
      <w:r w:rsidRPr="008608AA">
        <w:t>Blaser, J., &amp; Zabel, A. (2015). Forest crime in the tropics. </w:t>
      </w:r>
      <w:r w:rsidRPr="008608AA">
        <w:rPr>
          <w:i/>
        </w:rPr>
        <w:t>Tropical forestry handbook</w:t>
      </w:r>
      <w:r w:rsidRPr="008608AA">
        <w:t>. Springer, Berlin, Heidelberg. </w:t>
      </w:r>
    </w:p>
    <w:p w14:paraId="40E1F106" w14:textId="77777777" w:rsidR="00787E9A" w:rsidRPr="008608AA" w:rsidRDefault="00787E9A" w:rsidP="00787E9A">
      <w:pPr>
        <w:ind w:left="709" w:hanging="709"/>
      </w:pPr>
      <w:r w:rsidRPr="008608AA">
        <w:t>Bobbink, R., Hicks, K., Galloway, J., Spranger, T., Alkemade, R., Ashmore, M., Bustamante, M., Cinderby, S., Davidson, E., Dentener, F. and Emmett, B. (2010). Global assessment of nitrogen deposition effects on terrestrial plant diversity: a synthesis. </w:t>
      </w:r>
      <w:r w:rsidRPr="008608AA">
        <w:rPr>
          <w:i/>
        </w:rPr>
        <w:t>Ecological applications</w:t>
      </w:r>
      <w:r w:rsidRPr="008608AA">
        <w:t>, 20(1), (pp.30-59).</w:t>
      </w:r>
    </w:p>
    <w:p w14:paraId="36E84C58" w14:textId="77777777" w:rsidR="00787E9A" w:rsidRPr="008608AA" w:rsidRDefault="00787E9A" w:rsidP="00787E9A">
      <w:pPr>
        <w:ind w:left="709" w:hanging="709"/>
      </w:pPr>
      <w:r w:rsidRPr="008608AA">
        <w:t xml:space="preserve">Bohlen, P. P. J., Scheu, S., Hale, C. M., McLean, M. A., Migge, S., Groffman, P. M., &amp; Parkinson, D. (2004). Non-native invasive earthworms as agents of change in northern temperate forests. </w:t>
      </w:r>
      <w:r w:rsidRPr="008608AA">
        <w:rPr>
          <w:i/>
        </w:rPr>
        <w:t>Frontiers in Ecology and the Environment</w:t>
      </w:r>
      <w:r w:rsidRPr="008608AA">
        <w:t>, 2(8), (pp. 427–435). https://doi.org/10.1890/1540-9295(2004)002[0427:NIEAAO]2.0.CO;2</w:t>
      </w:r>
    </w:p>
    <w:p w14:paraId="08C5ABA8" w14:textId="77777777" w:rsidR="00787E9A" w:rsidRPr="008608AA" w:rsidRDefault="00787E9A" w:rsidP="00787E9A">
      <w:pPr>
        <w:ind w:left="709" w:hanging="709"/>
      </w:pPr>
      <w:r w:rsidRPr="00A3137A">
        <w:rPr>
          <w:lang w:val="fr-FR"/>
        </w:rPr>
        <w:t xml:space="preserve">Boisier, J. P., Ciais, P., Ducharne, A., &amp; Guimberteau, M. (2015). </w:t>
      </w:r>
      <w:r w:rsidRPr="008608AA">
        <w:t xml:space="preserve">Projected strengthening of Amazonian dry season by constrained climate model simulations. </w:t>
      </w:r>
      <w:r w:rsidRPr="008608AA">
        <w:rPr>
          <w:i/>
        </w:rPr>
        <w:t>Nature Climate Change</w:t>
      </w:r>
      <w:r w:rsidRPr="008608AA">
        <w:t xml:space="preserve"> 5, (pp.656–660). &lt;http://www.scopus.com/inward/record.url?eid=2-s2.0-84932110744&amp;partnerID=tZOtx3y1&gt;.</w:t>
      </w:r>
    </w:p>
    <w:p w14:paraId="2256FDC9" w14:textId="77777777" w:rsidR="00787E9A" w:rsidRPr="008608AA" w:rsidRDefault="00787E9A" w:rsidP="00787E9A">
      <w:pPr>
        <w:ind w:left="709" w:hanging="709"/>
      </w:pPr>
      <w:r w:rsidRPr="008608AA">
        <w:t xml:space="preserve">Boltovskoty, D., &amp; N. Correa. (2014). Ecosystem impacts of the invasive bivalve </w:t>
      </w:r>
      <w:r w:rsidRPr="008608AA">
        <w:rPr>
          <w:i/>
        </w:rPr>
        <w:t>Limnoperna fortunei</w:t>
      </w:r>
      <w:r w:rsidRPr="008608AA">
        <w:t xml:space="preserve"> (golden mussel) in South America. </w:t>
      </w:r>
      <w:r w:rsidRPr="008608AA">
        <w:rPr>
          <w:i/>
        </w:rPr>
        <w:t>Hydrobiologia</w:t>
      </w:r>
      <w:r w:rsidRPr="008608AA">
        <w:t>,746 (1), (pp. 81-95). DOI 10.1007/s10750-014-1882-9.</w:t>
      </w:r>
    </w:p>
    <w:p w14:paraId="7E52D2DF" w14:textId="77777777" w:rsidR="00787E9A" w:rsidRPr="008608AA" w:rsidRDefault="00787E9A" w:rsidP="00787E9A">
      <w:pPr>
        <w:ind w:left="709" w:hanging="709"/>
      </w:pPr>
      <w:r w:rsidRPr="008608AA">
        <w:t xml:space="preserve">Boltovskoy, D. (ed.). (2015). Larval Development of </w:t>
      </w:r>
      <w:r w:rsidRPr="008608AA">
        <w:rPr>
          <w:i/>
        </w:rPr>
        <w:t>Limnoperna fortunei</w:t>
      </w:r>
      <w:r w:rsidRPr="008608AA">
        <w:t xml:space="preserve">. In: D. Boltovskoy (Ed.), </w:t>
      </w:r>
      <w:r w:rsidRPr="008608AA">
        <w:rPr>
          <w:i/>
        </w:rPr>
        <w:t>Limnoperna fortunei</w:t>
      </w:r>
      <w:r w:rsidRPr="008608AA">
        <w:t xml:space="preserve">: The ecology, distribution and control of a swiftly spreading invasive fouling mussel (pp. 43–53). Cham: Springer International Publishing. </w:t>
      </w:r>
    </w:p>
    <w:p w14:paraId="4A70A075" w14:textId="77777777" w:rsidR="00787E9A" w:rsidRPr="008608AA" w:rsidRDefault="00787E9A" w:rsidP="00787E9A">
      <w:pPr>
        <w:ind w:left="709" w:hanging="709"/>
      </w:pPr>
      <w:r w:rsidRPr="008608AA">
        <w:t xml:space="preserve">Boltovskoy, D. (ed.). (2015). </w:t>
      </w:r>
      <w:r w:rsidRPr="008608AA">
        <w:rPr>
          <w:i/>
        </w:rPr>
        <w:t>Limnoperna fortunei</w:t>
      </w:r>
      <w:r w:rsidRPr="008608AA">
        <w:t>, Invading nature - springer Series in Invasion Ecology 10, DOI 10.1007/978-3-319-13494-9_2</w:t>
      </w:r>
    </w:p>
    <w:p w14:paraId="5DC894A0" w14:textId="77777777" w:rsidR="00787E9A" w:rsidRPr="008608AA" w:rsidRDefault="00787E9A" w:rsidP="00787E9A">
      <w:pPr>
        <w:ind w:left="709" w:hanging="709"/>
      </w:pPr>
      <w:r w:rsidRPr="008608AA">
        <w:t>Bond, N. A., Cronin, M. F., Freeland, H., &amp; Mantua, N. (2015). Causes and impacts of the 2014 warm anomaly in the NE Pacific. </w:t>
      </w:r>
      <w:r w:rsidRPr="008608AA">
        <w:rPr>
          <w:i/>
        </w:rPr>
        <w:t>Geophysical Research Letters</w:t>
      </w:r>
      <w:r w:rsidRPr="008608AA">
        <w:t>, 42(9), (pp. 3414-3420).</w:t>
      </w:r>
    </w:p>
    <w:p w14:paraId="72FA9C15" w14:textId="77777777" w:rsidR="00787E9A" w:rsidRPr="008608AA" w:rsidRDefault="00787E9A" w:rsidP="00787E9A">
      <w:pPr>
        <w:ind w:left="709" w:hanging="709"/>
      </w:pPr>
      <w:r w:rsidRPr="008608AA">
        <w:t>Bond, W. J. (2016). Ancient grasslands at risk. </w:t>
      </w:r>
      <w:r w:rsidRPr="008608AA">
        <w:rPr>
          <w:i/>
        </w:rPr>
        <w:t>Science</w:t>
      </w:r>
      <w:r w:rsidRPr="008608AA">
        <w:t>, 351(6269), (pp.120-122).</w:t>
      </w:r>
    </w:p>
    <w:p w14:paraId="1342C94B" w14:textId="77777777" w:rsidR="00787E9A" w:rsidRPr="008608AA" w:rsidRDefault="00787E9A" w:rsidP="00787E9A">
      <w:pPr>
        <w:ind w:left="709" w:hanging="709"/>
      </w:pPr>
      <w:r w:rsidRPr="008608AA">
        <w:t>Booth, S., &amp; Zeller, D. (2005). Mercury, food webs, and marine mammals: implications of diet and climate change for human health. </w:t>
      </w:r>
      <w:r w:rsidRPr="008608AA">
        <w:rPr>
          <w:i/>
        </w:rPr>
        <w:t>Environmental Health Perspectives</w:t>
      </w:r>
      <w:r w:rsidRPr="008608AA">
        <w:t>, 113(5), (pp. 521-526).</w:t>
      </w:r>
    </w:p>
    <w:p w14:paraId="0430F8DF" w14:textId="77777777" w:rsidR="00787E9A" w:rsidRPr="008608AA" w:rsidRDefault="00787E9A" w:rsidP="00787E9A">
      <w:pPr>
        <w:ind w:left="709" w:hanging="709"/>
      </w:pPr>
      <w:r w:rsidRPr="008608AA">
        <w:t>Boretto, J. G., Pacher, N., Giunta, D., Gallucci, G. L., Alfie, V., &amp; De Carli, P. (2014). Comparative clinical study of locking screws versus smooth locking pegs in volar plating of distal radius fractures. </w:t>
      </w:r>
      <w:r w:rsidRPr="008608AA">
        <w:rPr>
          <w:i/>
        </w:rPr>
        <w:t>Journal of Hand Surgery</w:t>
      </w:r>
      <w:r w:rsidRPr="008608AA">
        <w:t xml:space="preserve"> (European Volume), 39(7), (pp.755-760).</w:t>
      </w:r>
    </w:p>
    <w:p w14:paraId="65C84672" w14:textId="77777777" w:rsidR="00787E9A" w:rsidRPr="008608AA" w:rsidRDefault="00787E9A" w:rsidP="00787E9A">
      <w:pPr>
        <w:ind w:left="709" w:hanging="709"/>
      </w:pPr>
      <w:r w:rsidRPr="008608AA">
        <w:t xml:space="preserve">Borrvall, C., &amp; Ebenman, B. (2006). Early onset of secondary extinctions in ecological communities following the loss of top predators. </w:t>
      </w:r>
      <w:r w:rsidRPr="008608AA">
        <w:rPr>
          <w:i/>
        </w:rPr>
        <w:t>Ecology Letters,</w:t>
      </w:r>
      <w:r w:rsidRPr="008608AA">
        <w:t xml:space="preserve"> 9, (pp. 435–442).</w:t>
      </w:r>
    </w:p>
    <w:p w14:paraId="4F436F89" w14:textId="77777777" w:rsidR="00787E9A" w:rsidRPr="008608AA" w:rsidRDefault="00787E9A" w:rsidP="00787E9A">
      <w:pPr>
        <w:ind w:left="709" w:hanging="709"/>
      </w:pPr>
      <w:r w:rsidRPr="008608AA">
        <w:t xml:space="preserve">Bowerman, W. W., Best, D. A., Grubb, T. G., Zimmerman, G. M., &amp; Giesy, J. P. (1998). Trends of contaminants and effects in bald eagles of the Great Lakes Basin. </w:t>
      </w:r>
      <w:r w:rsidRPr="008608AA">
        <w:rPr>
          <w:i/>
        </w:rPr>
        <w:t>Environmental Monitoring and Assessment,</w:t>
      </w:r>
      <w:r w:rsidRPr="008608AA">
        <w:t xml:space="preserve"> 53, (pp.197–212).</w:t>
      </w:r>
    </w:p>
    <w:p w14:paraId="691AB8BA" w14:textId="77777777" w:rsidR="00787E9A" w:rsidRPr="00CE0821" w:rsidRDefault="00787E9A" w:rsidP="00787E9A">
      <w:pPr>
        <w:ind w:left="709" w:hanging="709"/>
        <w:rPr>
          <w:lang w:val="es-CO"/>
        </w:rPr>
      </w:pPr>
      <w:r w:rsidRPr="008608AA">
        <w:t xml:space="preserve">Bowerman, W. W., Giesy, J. R., Best, D. A., &amp; Kramer, V. J. (1995). A review of factors affecting productivity of bald eagles in the great lakes region : implications for recovery. </w:t>
      </w:r>
      <w:r w:rsidRPr="00CE0821">
        <w:rPr>
          <w:i/>
          <w:lang w:val="es-CO"/>
        </w:rPr>
        <w:t>Environmental health perspectives</w:t>
      </w:r>
      <w:r w:rsidRPr="00CE0821">
        <w:rPr>
          <w:lang w:val="es-CO"/>
        </w:rPr>
        <w:t>, 103, (pp. 51–59).</w:t>
      </w:r>
    </w:p>
    <w:p w14:paraId="412DAF3B" w14:textId="77777777" w:rsidR="00787E9A" w:rsidRPr="008608AA" w:rsidRDefault="00787E9A" w:rsidP="00787E9A">
      <w:pPr>
        <w:ind w:left="709" w:hanging="709"/>
        <w:rPr>
          <w:lang w:val="es-CO"/>
        </w:rPr>
      </w:pPr>
      <w:r w:rsidRPr="00CE0821">
        <w:rPr>
          <w:lang w:val="es-CO"/>
        </w:rPr>
        <w:t xml:space="preserve">Bramanti, L., Movilla, J., Guron, M., Calvo, E., Gori, A., Dominguez-Carrió, C., Grinyó, J., Lopez-Sanz, A., Martinez-Quintana, A., Pelejero, C., Ziveri, P., &amp; Rossi, S. (2013). </w:t>
      </w:r>
      <w:r w:rsidRPr="008608AA">
        <w:t>Detrimental effects of ocean acidification on the economically important Mediterranean red coral (</w:t>
      </w:r>
      <w:r w:rsidRPr="008608AA">
        <w:rPr>
          <w:i/>
        </w:rPr>
        <w:t>Corallium rubrum</w:t>
      </w:r>
      <w:r w:rsidRPr="008608AA">
        <w:t xml:space="preserve">). </w:t>
      </w:r>
      <w:r w:rsidRPr="008608AA">
        <w:rPr>
          <w:i/>
          <w:lang w:val="es-CO"/>
        </w:rPr>
        <w:t>Global Change Biology,</w:t>
      </w:r>
      <w:r w:rsidRPr="008608AA">
        <w:rPr>
          <w:lang w:val="es-CO"/>
        </w:rPr>
        <w:t xml:space="preserve"> 19, (pp.1897–1908).</w:t>
      </w:r>
    </w:p>
    <w:p w14:paraId="10A84759" w14:textId="77777777" w:rsidR="00787E9A" w:rsidRPr="008608AA" w:rsidRDefault="00787E9A" w:rsidP="00787E9A">
      <w:pPr>
        <w:ind w:left="709" w:hanging="709"/>
        <w:rPr>
          <w:lang w:val="es-CO"/>
        </w:rPr>
      </w:pPr>
      <w:r w:rsidRPr="008608AA">
        <w:rPr>
          <w:lang w:val="es-CO"/>
        </w:rPr>
        <w:t xml:space="preserve">Brancalion, P. H. S., Viani, R. A. G., Rodrigues, R. R., &amp; Gandolfi, S. (2012). Avaliação e monitoramento de áreas em processo de restauração. Martins, </w:t>
      </w:r>
      <w:r w:rsidRPr="008608AA">
        <w:rPr>
          <w:i/>
          <w:lang w:val="es-CO"/>
        </w:rPr>
        <w:t>SV Restauração ecológica de ecossistemas degradados</w:t>
      </w:r>
      <w:r w:rsidRPr="008608AA">
        <w:rPr>
          <w:lang w:val="es-CO"/>
        </w:rPr>
        <w:t>, 1, (pp. 262-293).</w:t>
      </w:r>
    </w:p>
    <w:p w14:paraId="22C5DDCD" w14:textId="77777777" w:rsidR="00787E9A" w:rsidRPr="008608AA" w:rsidRDefault="00787E9A" w:rsidP="00787E9A">
      <w:pPr>
        <w:ind w:left="709" w:hanging="709"/>
      </w:pPr>
      <w:r w:rsidRPr="008608AA">
        <w:rPr>
          <w:lang w:val="es-CO"/>
        </w:rPr>
        <w:t xml:space="preserve">Brandeis, T. J., Helmer, E. H., Marcano-Vega, H., &amp; Lugo, A. E. (2009). </w:t>
      </w:r>
      <w:r w:rsidRPr="008608AA">
        <w:t xml:space="preserve">Climate shapes the novel plant communities that form after deforestation in Puerto Rico and the U.S. Virgin Islands. </w:t>
      </w:r>
      <w:r w:rsidRPr="008608AA">
        <w:rPr>
          <w:i/>
        </w:rPr>
        <w:t>Forest Ecology and Management</w:t>
      </w:r>
      <w:r w:rsidRPr="008608AA">
        <w:t>, 258(7), (pp. 1704–1718). https://doi.org/10.1016/j.foreco.2009.07.030</w:t>
      </w:r>
    </w:p>
    <w:p w14:paraId="1BDACB5B" w14:textId="77777777" w:rsidR="00787E9A" w:rsidRPr="008608AA" w:rsidRDefault="00787E9A" w:rsidP="00787E9A">
      <w:pPr>
        <w:ind w:left="709" w:hanging="709"/>
      </w:pPr>
      <w:r w:rsidRPr="008608AA">
        <w:t xml:space="preserve">Brashares, J. S., Arcese, P., Sam, M. K., Coppolillo, P. B., Sinclair, A. R. E., &amp; Balmford, A.  (2004). Bushmeat hunting, wildlife declines, and fish supply in West Africa. </w:t>
      </w:r>
      <w:r w:rsidRPr="008608AA">
        <w:rPr>
          <w:i/>
        </w:rPr>
        <w:t>Science</w:t>
      </w:r>
      <w:r w:rsidRPr="008608AA">
        <w:t>, 1180, (pp.1180–1183).</w:t>
      </w:r>
    </w:p>
    <w:p w14:paraId="33B81948" w14:textId="77777777" w:rsidR="00787E9A" w:rsidRPr="008608AA" w:rsidRDefault="00787E9A" w:rsidP="00787E9A">
      <w:pPr>
        <w:ind w:left="709" w:hanging="709"/>
      </w:pPr>
      <w:r w:rsidRPr="008608AA">
        <w:t>Brauman, K. A., Richter, B. D., Postel, S., Malsy, M., &amp; Flörke, M. (2015). Water depletion : An improved metric for incorporating seasonal and dry-year water scarcity into water risk assessments. 1–12.</w:t>
      </w:r>
    </w:p>
    <w:p w14:paraId="38AEB3FA" w14:textId="77777777" w:rsidR="00787E9A" w:rsidRPr="008608AA" w:rsidRDefault="00787E9A" w:rsidP="00787E9A">
      <w:pPr>
        <w:ind w:left="709" w:hanging="709"/>
      </w:pPr>
      <w:r w:rsidRPr="008608AA">
        <w:t>Braune, B. M., Outridge, P. M., Fisk, A., Muir, D. C. G., Helm, P. A., Hobbs, K., Hoekstra, P. F., Kuzyk, Z.A., Kwan, M., Letcher, R. J., &amp; Lockhart, W.L. (2005). Persistent organic pollutants and mercury in marine biota of the Canadian Arctic: an overview of spatial and temporal trends. </w:t>
      </w:r>
      <w:r w:rsidRPr="008608AA">
        <w:rPr>
          <w:i/>
        </w:rPr>
        <w:t>Science of the Total Environment</w:t>
      </w:r>
      <w:r w:rsidRPr="008608AA">
        <w:t>, 351, (pp.4-56).</w:t>
      </w:r>
    </w:p>
    <w:p w14:paraId="213B48FA" w14:textId="77777777" w:rsidR="00787E9A" w:rsidRPr="008608AA" w:rsidRDefault="00787E9A" w:rsidP="00787E9A">
      <w:pPr>
        <w:ind w:left="709" w:hanging="709"/>
      </w:pPr>
      <w:r w:rsidRPr="008608AA">
        <w:t xml:space="preserve">Brennan, L. A., &amp; Kuvlesky Jr, W. P. (2005). North American grassland birds: an unfolding conservation crisis? </w:t>
      </w:r>
      <w:r w:rsidRPr="008608AA">
        <w:rPr>
          <w:i/>
        </w:rPr>
        <w:t>Journal of Wildlife Management</w:t>
      </w:r>
      <w:r w:rsidRPr="008608AA">
        <w:t>, 69(1), (pp. 1-13).</w:t>
      </w:r>
    </w:p>
    <w:p w14:paraId="7A6B5969" w14:textId="77777777" w:rsidR="00787E9A" w:rsidRPr="008608AA" w:rsidRDefault="00787E9A" w:rsidP="00787E9A">
      <w:pPr>
        <w:ind w:left="709" w:hanging="709"/>
      </w:pPr>
      <w:r w:rsidRPr="008608AA">
        <w:t>Broad, S., Mulliken, T., &amp; Roe, D. (2003). The nature and extent of legal and illegal trade in wildlife. (pp. 3–22). In: Oldfield, S. (ed.). The trade in wildlife: regulation for conservation. Earthscan, London.</w:t>
      </w:r>
    </w:p>
    <w:p w14:paraId="03521300" w14:textId="77777777" w:rsidR="00787E9A" w:rsidRPr="008608AA" w:rsidRDefault="00787E9A" w:rsidP="00787E9A">
      <w:pPr>
        <w:ind w:left="709" w:hanging="709"/>
      </w:pPr>
      <w:r w:rsidRPr="008608AA">
        <w:t>Brokaw, N. V. (1985). Gap</w:t>
      </w:r>
      <w:r w:rsidRPr="008608AA">
        <w:rPr>
          <w:rFonts w:ascii="Cambria Math" w:hAnsi="Cambria Math" w:cs="Cambria Math"/>
        </w:rPr>
        <w:t>‐</w:t>
      </w:r>
      <w:r w:rsidRPr="008608AA">
        <w:t>phase regeneration in a tropical forest. </w:t>
      </w:r>
      <w:r w:rsidRPr="008608AA">
        <w:rPr>
          <w:i/>
        </w:rPr>
        <w:t>Ecology</w:t>
      </w:r>
      <w:r w:rsidRPr="008608AA">
        <w:t>, 66(3), (pp. 682-687).</w:t>
      </w:r>
    </w:p>
    <w:p w14:paraId="7EAF923B" w14:textId="77777777" w:rsidR="00787E9A" w:rsidRPr="008608AA" w:rsidRDefault="00787E9A" w:rsidP="00787E9A">
      <w:pPr>
        <w:ind w:left="709" w:hanging="709"/>
      </w:pPr>
      <w:r w:rsidRPr="008608AA">
        <w:t>Brook, B.W., Sodhi, N.S. &amp; Bradshaw, C.J. (2008). Synergies among extinction drivers under global change. </w:t>
      </w:r>
      <w:r w:rsidRPr="008608AA">
        <w:rPr>
          <w:i/>
        </w:rPr>
        <w:t>Trends in ecology &amp; evolution</w:t>
      </w:r>
      <w:r w:rsidRPr="008608AA">
        <w:t>, 23(8), (pp.453-460).</w:t>
      </w:r>
    </w:p>
    <w:p w14:paraId="3089DA39" w14:textId="77777777" w:rsidR="00787E9A" w:rsidRPr="008608AA" w:rsidRDefault="00787E9A" w:rsidP="00787E9A">
      <w:pPr>
        <w:ind w:left="709" w:hanging="709"/>
      </w:pPr>
      <w:r w:rsidRPr="008608AA">
        <w:t xml:space="preserve">Brookes, G. &amp; Barfoot, P. (2007). Global impact of biotech crops: Socio-economic and environmental effects in the first ten years of commercial use. </w:t>
      </w:r>
      <w:r w:rsidRPr="008608AA">
        <w:rPr>
          <w:i/>
        </w:rPr>
        <w:t>The journal of agribiotechnology management &amp; economics</w:t>
      </w:r>
      <w:r w:rsidRPr="008608AA">
        <w:t>, 9(3).</w:t>
      </w:r>
    </w:p>
    <w:p w14:paraId="33857FC5" w14:textId="77777777" w:rsidR="00787E9A" w:rsidRPr="008608AA" w:rsidRDefault="00787E9A" w:rsidP="00787E9A">
      <w:pPr>
        <w:ind w:left="709" w:hanging="709"/>
      </w:pPr>
      <w:r w:rsidRPr="008608AA">
        <w:t xml:space="preserve">Brooks &amp; Smith (2001) Caribbean catastrophes. </w:t>
      </w:r>
      <w:r w:rsidRPr="008608AA">
        <w:rPr>
          <w:i/>
        </w:rPr>
        <w:t>Science</w:t>
      </w:r>
      <w:r w:rsidRPr="008608AA">
        <w:t>, 294, (pp.1469–1470). DOI: 10.1126/science.1066927.</w:t>
      </w:r>
    </w:p>
    <w:p w14:paraId="238371D9" w14:textId="77777777" w:rsidR="00787E9A" w:rsidRPr="008608AA" w:rsidRDefault="00787E9A" w:rsidP="00787E9A">
      <w:pPr>
        <w:ind w:left="709" w:hanging="709"/>
      </w:pPr>
      <w:r w:rsidRPr="008608AA">
        <w:t xml:space="preserve">Brooks, M. L., &amp; Chambers, J. C. (2011). Resistance to invasion and resilience to fire in desert shrublands of North America. </w:t>
      </w:r>
      <w:r w:rsidRPr="008608AA">
        <w:rPr>
          <w:i/>
        </w:rPr>
        <w:t>Rangeland Ecology &amp; Management</w:t>
      </w:r>
      <w:r w:rsidRPr="008608AA">
        <w:t>, 64(5), (pp. 431–438). https://doi.org/10.2111/REM-D-09-00165.1</w:t>
      </w:r>
    </w:p>
    <w:p w14:paraId="04B35E0A" w14:textId="77777777" w:rsidR="00787E9A" w:rsidRPr="008608AA" w:rsidRDefault="00787E9A" w:rsidP="00787E9A">
      <w:pPr>
        <w:ind w:left="709" w:hanging="709"/>
      </w:pPr>
      <w:r w:rsidRPr="008608AA">
        <w:t>Brooks, M. L., Minnich, R. A.,  &amp; Agee, J. K. (2006). Southeastern Deserts Bioregion. (pp. 391–414). In: Sugihara, N.G., Van Wagtendonk, j. W., Shaffer, K. E., Fites-Kaufman, J., Thoe, A.E. Fire in California’s Ecosystems. First edition. University of California Press. http://www.jstor.org/stable/10.1525/j.ctt1pnb25.21.</w:t>
      </w:r>
    </w:p>
    <w:p w14:paraId="702B4EB1" w14:textId="77777777" w:rsidR="00787E9A" w:rsidRPr="008608AA" w:rsidRDefault="00787E9A" w:rsidP="00787E9A">
      <w:pPr>
        <w:ind w:left="709" w:hanging="709"/>
      </w:pPr>
      <w:r w:rsidRPr="008608AA">
        <w:t xml:space="preserve">Brooks, T. M., Mittermeier, R. A., da Fonseca, G. A. B., Gerlach, J., Hoffmann, M., Lamoreux, J. F., Mittermeier, C. G., Pilgrim, J. D., &amp; Rodrigues, A. S. L. (2006). Global Biodiversity Conservation Priorities. </w:t>
      </w:r>
      <w:r w:rsidRPr="008608AA">
        <w:rPr>
          <w:i/>
        </w:rPr>
        <w:t>Science</w:t>
      </w:r>
      <w:r w:rsidRPr="008608AA">
        <w:t>, 313(5783), (pp. 58–61). https://doi.org/10.1126/science.1127609</w:t>
      </w:r>
    </w:p>
    <w:p w14:paraId="4876CAD2" w14:textId="77777777" w:rsidR="00787E9A" w:rsidRPr="008608AA" w:rsidRDefault="00787E9A" w:rsidP="00787E9A">
      <w:pPr>
        <w:ind w:left="709" w:hanging="709"/>
      </w:pPr>
      <w:r w:rsidRPr="008608AA">
        <w:t xml:space="preserve">Brose, U., &amp; Hillebrand, H. (2016). Biodiversity and ecosystem functioning in dynamic landscapes. </w:t>
      </w:r>
      <w:r w:rsidRPr="008608AA">
        <w:rPr>
          <w:i/>
        </w:rPr>
        <w:t xml:space="preserve">Philosophical Transactions of the Royal Society of London. Series B, </w:t>
      </w:r>
      <w:r w:rsidRPr="008608AA">
        <w:t>Biological Sciences, 371: 20150267.</w:t>
      </w:r>
    </w:p>
    <w:p w14:paraId="104FB122" w14:textId="77777777" w:rsidR="00787E9A" w:rsidRPr="008608AA" w:rsidRDefault="00787E9A" w:rsidP="00787E9A">
      <w:pPr>
        <w:ind w:left="709" w:hanging="709"/>
      </w:pPr>
      <w:r w:rsidRPr="008608AA">
        <w:t>Brown, D. G., Polsky, C. Bolstad, P., Brody, S. D., Hulse, D., Kroh, R. Loveland, T. R., &amp; Thomson, A. (2014): Ch. 13: Land Use and Land Cover Change. Climate Change Impacts in the United States. In: Melillo, J. M. Richmond, T.T.C., &amp; Yohe, G. W. (eds) .The Third National Climate Assessment. U.S. Global Change Research Program, (pp. 318-332). doi:10.7930/J05Q4T1Q.</w:t>
      </w:r>
    </w:p>
    <w:p w14:paraId="5C4B2CD5" w14:textId="77777777" w:rsidR="00787E9A" w:rsidRPr="008608AA" w:rsidRDefault="00787E9A" w:rsidP="00787E9A">
      <w:pPr>
        <w:ind w:left="709" w:hanging="709"/>
      </w:pPr>
      <w:r w:rsidRPr="008608AA">
        <w:t xml:space="preserve">Brown, K. A., Scatena, F. N., &amp; Gurevitch, J. (2006). Effects of an invasive tree on community structure and diversity in a tropical forest in Puerto Rico. </w:t>
      </w:r>
      <w:r w:rsidRPr="008608AA">
        <w:rPr>
          <w:i/>
        </w:rPr>
        <w:t>Forest Ecology and Management</w:t>
      </w:r>
      <w:r w:rsidRPr="008608AA">
        <w:t>, 226(1–3), (pp. 145–152). https://doi.org/10.1016/j.foreco.2006.01.031</w:t>
      </w:r>
    </w:p>
    <w:p w14:paraId="4B03CC28" w14:textId="77777777" w:rsidR="00787E9A" w:rsidRPr="008608AA" w:rsidRDefault="00787E9A" w:rsidP="00787E9A">
      <w:pPr>
        <w:ind w:left="709" w:hanging="709"/>
      </w:pPr>
      <w:r w:rsidRPr="008608AA">
        <w:t xml:space="preserve">Bruckner, A. W. (2005). The importance of ornamental reef fish trade in the wider Caribbean. </w:t>
      </w:r>
      <w:r w:rsidRPr="008608AA">
        <w:rPr>
          <w:i/>
        </w:rPr>
        <w:t>International Journal of Tropical Biology and Conservation</w:t>
      </w:r>
      <w:r w:rsidRPr="008608AA">
        <w:t xml:space="preserve"> 53, (pp. 127–138).</w:t>
      </w:r>
    </w:p>
    <w:p w14:paraId="6BBC0022" w14:textId="77777777" w:rsidR="00787E9A" w:rsidRPr="008608AA" w:rsidRDefault="00787E9A" w:rsidP="00787E9A">
      <w:pPr>
        <w:ind w:left="709" w:hanging="709"/>
        <w:rPr>
          <w:lang w:val="es-CO"/>
        </w:rPr>
      </w:pPr>
      <w:r w:rsidRPr="008608AA">
        <w:t xml:space="preserve">Brugnoli, E., Clemente, J., Riestra, G., Boccardi, L. &amp; Borthagaray, A. (2006). </w:t>
      </w:r>
      <w:r w:rsidRPr="008608AA">
        <w:rPr>
          <w:lang w:val="es-CO"/>
        </w:rPr>
        <w:t>Especies acuáticas exóticas en Uruguay: situación, problemática y gestión. In: Menafra, R., Rodríguez, L., Scarabino, F. &amp; Conde, D. (eds.). Bases para la conservación y manejo de la costa uruguaya</w:t>
      </w:r>
      <w:r w:rsidRPr="008608AA">
        <w:rPr>
          <w:i/>
          <w:lang w:val="es-CO"/>
        </w:rPr>
        <w:t>. Vida Silvestre Uruguay</w:t>
      </w:r>
      <w:r w:rsidRPr="008608AA">
        <w:rPr>
          <w:lang w:val="es-CO"/>
        </w:rPr>
        <w:t>. (pp. 351-362).</w:t>
      </w:r>
    </w:p>
    <w:p w14:paraId="265DFDE2" w14:textId="77777777" w:rsidR="00787E9A" w:rsidRPr="008608AA" w:rsidRDefault="00787E9A" w:rsidP="00787E9A">
      <w:pPr>
        <w:ind w:left="709" w:hanging="709"/>
        <w:rPr>
          <w:lang w:val="es-CO"/>
        </w:rPr>
      </w:pPr>
      <w:r w:rsidRPr="008608AA">
        <w:rPr>
          <w:lang w:val="es-CO"/>
        </w:rPr>
        <w:t xml:space="preserve">Brugnoli, E., Giberto, D. A., Lanfranconi, A., Schiariti, A., Aguilera, F., Bremec, C. S., Barrero, G., &amp; Muniz, P. (2013). El gastópodo invasor </w:t>
      </w:r>
      <w:r w:rsidRPr="008608AA">
        <w:rPr>
          <w:i/>
          <w:lang w:val="es-CO"/>
        </w:rPr>
        <w:t>Rapana venosa</w:t>
      </w:r>
      <w:r w:rsidRPr="008608AA">
        <w:rPr>
          <w:lang w:val="es-CO"/>
        </w:rPr>
        <w:t xml:space="preserve"> (Valenciennes 1846) y sus posibles efectos en el sistema costero estuarial del Río de la Plata. In: Problemática de los ambientes costeros (pp. 1–19).</w:t>
      </w:r>
    </w:p>
    <w:p w14:paraId="7EE17F5F" w14:textId="77777777" w:rsidR="00787E9A" w:rsidRPr="008608AA" w:rsidRDefault="00787E9A" w:rsidP="00787E9A">
      <w:pPr>
        <w:ind w:left="709" w:hanging="709"/>
      </w:pPr>
      <w:r w:rsidRPr="008608AA">
        <w:rPr>
          <w:lang w:val="es-CO"/>
        </w:rPr>
        <w:t xml:space="preserve">Brugnoli, E., Giberto, D., Lanfranconi, A., Schiariti, A., Aguilera, F., Bremec, C.S., Barrero, G., &amp; Muniz, P. (2014). El gasterópodo invasor </w:t>
      </w:r>
      <w:r w:rsidRPr="008608AA">
        <w:rPr>
          <w:i/>
          <w:lang w:val="es-CO"/>
        </w:rPr>
        <w:t>Rapana venosa</w:t>
      </w:r>
      <w:r w:rsidRPr="008608AA">
        <w:rPr>
          <w:lang w:val="es-CO"/>
        </w:rPr>
        <w:t xml:space="preserve"> (Valenciennes 1846) y sus posibles efectos en el ecosistema costero estuarial del Río de la Plata. In: Nuevas miradas a la problemática de los ambientes costeros. Sur de Brasil, Uruguay y Argentina. Compilador y Revisor, Gosso, C. DIRAC, Facultad de Ciencias, Montevideo. </w:t>
      </w:r>
      <w:r w:rsidRPr="008608AA">
        <w:t xml:space="preserve">(pp. 211-228).  </w:t>
      </w:r>
    </w:p>
    <w:p w14:paraId="2BE0492A" w14:textId="77777777" w:rsidR="00787E9A" w:rsidRPr="008608AA" w:rsidRDefault="00787E9A" w:rsidP="00787E9A">
      <w:pPr>
        <w:ind w:left="709" w:hanging="709"/>
      </w:pPr>
      <w:r w:rsidRPr="008608AA">
        <w:t>Bucher, E. H. (1992). The causes of extinction of the passenger pigeon. </w:t>
      </w:r>
      <w:r w:rsidRPr="008608AA">
        <w:rPr>
          <w:i/>
        </w:rPr>
        <w:t>Current ornithology </w:t>
      </w:r>
      <w:r w:rsidRPr="008608AA">
        <w:t>(pp. 1-36). Springer US.</w:t>
      </w:r>
    </w:p>
    <w:p w14:paraId="5663883A" w14:textId="77777777" w:rsidR="00787E9A" w:rsidRPr="008608AA" w:rsidRDefault="00787E9A" w:rsidP="00787E9A">
      <w:pPr>
        <w:ind w:left="709" w:hanging="709"/>
      </w:pPr>
      <w:r w:rsidRPr="008608AA">
        <w:t xml:space="preserve">Bulte, E. H., Damania, R., &amp; López, R. (2007). On the gains of committing to inefficiency: Corruption, deforestation and low land productivity in Latin America. </w:t>
      </w:r>
      <w:r w:rsidRPr="008608AA">
        <w:rPr>
          <w:i/>
        </w:rPr>
        <w:t>Journal of Environmental Economics and Management</w:t>
      </w:r>
      <w:r w:rsidRPr="008608AA">
        <w:t>, 54, (pp. 277–295). http://doi.org/10.1016/j.jeem.2007.05.002</w:t>
      </w:r>
    </w:p>
    <w:p w14:paraId="436E0D36" w14:textId="77777777" w:rsidR="00787E9A" w:rsidRPr="008608AA" w:rsidRDefault="00787E9A" w:rsidP="00787E9A">
      <w:pPr>
        <w:ind w:left="709" w:hanging="709"/>
      </w:pPr>
      <w:r w:rsidRPr="00A3137A">
        <w:rPr>
          <w:lang w:val="fr-FR"/>
        </w:rPr>
        <w:t xml:space="preserve">Bunn, A. G., &amp; Goetz, S. J. (2006). </w:t>
      </w:r>
      <w:r w:rsidRPr="008608AA">
        <w:t xml:space="preserve">Trends in satellite-observed circumpolar photosynthetic activity from 1982 to 2003 : The influence of seasonality, cover type , and vegetation density. </w:t>
      </w:r>
      <w:r w:rsidRPr="008608AA">
        <w:rPr>
          <w:i/>
        </w:rPr>
        <w:t>Earth Interactions</w:t>
      </w:r>
      <w:r w:rsidRPr="008608AA">
        <w:t>, 10 (12).</w:t>
      </w:r>
    </w:p>
    <w:p w14:paraId="6FFD98EC" w14:textId="77777777" w:rsidR="00787E9A" w:rsidRPr="008608AA" w:rsidRDefault="00787E9A" w:rsidP="00787E9A">
      <w:pPr>
        <w:ind w:left="709" w:hanging="709"/>
      </w:pPr>
      <w:r w:rsidRPr="008608AA">
        <w:t>Burger, J., Gochfeld, M., Jeitner, C., Burke, S., Stamm, T., Snigaroff, R., Snigaroff, D., Patrick, R. and Weston, J., 2007. Mercury levels and potential risk from subsistence foods from the Aleutians. </w:t>
      </w:r>
      <w:r w:rsidRPr="008608AA">
        <w:rPr>
          <w:i/>
        </w:rPr>
        <w:t>Science of the Total Environment</w:t>
      </w:r>
      <w:r w:rsidRPr="008608AA">
        <w:t>, 384(1), (pp.93-1059.</w:t>
      </w:r>
    </w:p>
    <w:p w14:paraId="6EE07A6F" w14:textId="77777777" w:rsidR="00787E9A" w:rsidRPr="008608AA" w:rsidRDefault="00787E9A" w:rsidP="00787E9A">
      <w:pPr>
        <w:ind w:left="709" w:hanging="709"/>
      </w:pPr>
      <w:r w:rsidRPr="008608AA">
        <w:t>Burke, L., Reytar, K., Spalding, M., &amp; Perry, A. (2011). Reefs at risk revisited. Washington, D.C. www.wri.org.</w:t>
      </w:r>
    </w:p>
    <w:p w14:paraId="34C5F953" w14:textId="77777777" w:rsidR="00787E9A" w:rsidRPr="008608AA" w:rsidRDefault="00787E9A" w:rsidP="00787E9A">
      <w:pPr>
        <w:ind w:left="709" w:hanging="709"/>
      </w:pPr>
      <w:r w:rsidRPr="008608AA">
        <w:t xml:space="preserve">Burnett, A. W., Kirby, M. E., Mullins, H. T., &amp; Patterson, W. P. (2003). Increasing Great Lake-effect snowfall during the twentieth century: A regional response to global warming? </w:t>
      </w:r>
      <w:r w:rsidRPr="008608AA">
        <w:rPr>
          <w:i/>
        </w:rPr>
        <w:t>Journal of Climate</w:t>
      </w:r>
      <w:r w:rsidRPr="008608AA">
        <w:t>, 16, (pp. 3535–3542).</w:t>
      </w:r>
    </w:p>
    <w:p w14:paraId="29FAA884" w14:textId="77777777" w:rsidR="00787E9A" w:rsidRPr="008608AA" w:rsidRDefault="00787E9A" w:rsidP="00787E9A">
      <w:pPr>
        <w:ind w:left="709" w:hanging="709"/>
      </w:pPr>
      <w:r w:rsidRPr="008608AA">
        <w:t>Bush, M. B., Silman, M. R., &amp; Urrego, D. H. (2004). 48,000 years of climate and forest change in a biodiversity hot spot. </w:t>
      </w:r>
      <w:r w:rsidRPr="008608AA">
        <w:rPr>
          <w:i/>
        </w:rPr>
        <w:t>Science</w:t>
      </w:r>
      <w:r w:rsidRPr="008608AA">
        <w:t>, 303(5659), (pp.827-829).</w:t>
      </w:r>
    </w:p>
    <w:p w14:paraId="101F8EBF" w14:textId="77777777" w:rsidR="00787E9A" w:rsidRPr="008608AA" w:rsidRDefault="00787E9A" w:rsidP="00787E9A">
      <w:pPr>
        <w:ind w:left="709" w:hanging="709"/>
      </w:pPr>
      <w:r w:rsidRPr="008608AA">
        <w:t xml:space="preserve">Bush, S. R., Toonen, H., Oosterveer, P., &amp; Mol, A. P. J. (2013). The “devil’s triangle” of MSC certification: Balancing credibility, accessibility and continuous improvement. </w:t>
      </w:r>
      <w:r w:rsidRPr="008608AA">
        <w:rPr>
          <w:i/>
        </w:rPr>
        <w:t>Marine Policy</w:t>
      </w:r>
      <w:r w:rsidRPr="008608AA">
        <w:t>, 37(1), (pp. 288–293). http://doi.org/10.1016/j.marpol.2012.05.011</w:t>
      </w:r>
    </w:p>
    <w:p w14:paraId="25B3F11B" w14:textId="77777777" w:rsidR="00787E9A" w:rsidRPr="008608AA" w:rsidRDefault="00787E9A" w:rsidP="00787E9A">
      <w:pPr>
        <w:ind w:left="709" w:hanging="709"/>
      </w:pPr>
      <w:r w:rsidRPr="008608AA">
        <w:t>Bushaw-Newton, K. I., &amp; Sellner, K. G. (1999). Harmful algal blooms. NOAA´s state of the coast report. Silver Spring. MD: National Oceanic and Atmospheric Administration.</w:t>
      </w:r>
    </w:p>
    <w:p w14:paraId="033569BC" w14:textId="77777777" w:rsidR="00787E9A" w:rsidRPr="008608AA" w:rsidRDefault="00787E9A" w:rsidP="00787E9A">
      <w:pPr>
        <w:ind w:left="709" w:hanging="709"/>
      </w:pPr>
      <w:r w:rsidRPr="008608AA">
        <w:t xml:space="preserve">Bustamante, M. M. C., Martinelli, L. A., Pérez, T., Rasse, R., Ometto, J. P. H. B., Siqueira P., F., Machado L., S. R., &amp; Marquina, S. (2015). Nitrogen management challenges in major watersheds of South America. </w:t>
      </w:r>
      <w:r w:rsidRPr="008608AA">
        <w:rPr>
          <w:i/>
        </w:rPr>
        <w:t>Environmental Research Letters</w:t>
      </w:r>
      <w:r w:rsidRPr="008608AA">
        <w:t xml:space="preserve"> 10, 065007. IOP Publishing. &lt;http://stacks.iop.org/1748-9326/10/i=6/a=065007?key=crossref.879056f1355a6f61ce40d257c1205aed&gt;.</w:t>
      </w:r>
    </w:p>
    <w:p w14:paraId="33260B5E" w14:textId="77777777" w:rsidR="00787E9A" w:rsidRPr="008608AA" w:rsidRDefault="00787E9A" w:rsidP="00787E9A">
      <w:pPr>
        <w:ind w:left="709" w:hanging="709"/>
      </w:pPr>
      <w:r w:rsidRPr="008608AA">
        <w:rPr>
          <w:lang w:val="es-CO"/>
        </w:rPr>
        <w:t xml:space="preserve">Bustamante, M. M. C., Nardoto, G. B., Pinto, A. S., Resende, J. C. F., Takahashi, F. S. C., &amp; Vieira, L. C. G. (2012). </w:t>
      </w:r>
      <w:r w:rsidRPr="008608AA">
        <w:t xml:space="preserve">Potential impacts of climate change on biogeochemical functioning of Cerrado ecosystems. </w:t>
      </w:r>
      <w:r w:rsidRPr="008608AA">
        <w:rPr>
          <w:i/>
        </w:rPr>
        <w:t>Brazilian Journal of Biology</w:t>
      </w:r>
      <w:r w:rsidRPr="008608AA">
        <w:t>, 72(3), (pp. 655-671).</w:t>
      </w:r>
    </w:p>
    <w:p w14:paraId="558EE639" w14:textId="77777777" w:rsidR="00787E9A" w:rsidRPr="008608AA" w:rsidRDefault="00787E9A" w:rsidP="00787E9A">
      <w:pPr>
        <w:ind w:left="709" w:hanging="709"/>
      </w:pPr>
      <w:r w:rsidRPr="008608AA">
        <w:t>Butt, N., Beyer, H.L., Bennett, J.R., Biggs, D., Maggini, R., Mills, M., Renwick, A.R., Seabrook, L.M., &amp; Possingham, H.P. (2013). Biodiversity risks from fossil fuel extraction. </w:t>
      </w:r>
      <w:r w:rsidRPr="008608AA">
        <w:rPr>
          <w:i/>
        </w:rPr>
        <w:t>Science</w:t>
      </w:r>
      <w:r w:rsidRPr="008608AA">
        <w:t>, 342(6157), (pp.425-426).</w:t>
      </w:r>
    </w:p>
    <w:p w14:paraId="6622F7B7" w14:textId="77777777" w:rsidR="00787E9A" w:rsidRPr="008608AA" w:rsidRDefault="00787E9A" w:rsidP="00787E9A">
      <w:pPr>
        <w:ind w:left="709" w:hanging="709"/>
      </w:pPr>
      <w:r w:rsidRPr="008608AA">
        <w:t>Bykova, O., Laursen, A., Bostan, V., Bautista, J., &amp; McCarthy, L. (2006). Do zebra mussels (</w:t>
      </w:r>
      <w:r w:rsidRPr="008608AA">
        <w:rPr>
          <w:i/>
        </w:rPr>
        <w:t>Dreissena polymorpha</w:t>
      </w:r>
      <w:r w:rsidRPr="008608AA">
        <w:t xml:space="preserve">) alter lake water chemistry in a way that favours Microcystis growth? </w:t>
      </w:r>
      <w:r w:rsidRPr="008608AA">
        <w:rPr>
          <w:i/>
        </w:rPr>
        <w:t>Science of the Total Environment</w:t>
      </w:r>
      <w:r w:rsidRPr="008608AA">
        <w:t>, 371(1–3), (pp. 362–372). https://doi.org/10.1016/j.scitotenv.2006.08.022</w:t>
      </w:r>
    </w:p>
    <w:p w14:paraId="66860D9B" w14:textId="77777777" w:rsidR="00787E9A" w:rsidRPr="008608AA" w:rsidRDefault="00787E9A" w:rsidP="00787E9A">
      <w:pPr>
        <w:ind w:left="709" w:hanging="709"/>
      </w:pPr>
      <w:r w:rsidRPr="008608AA">
        <w:t>Byrne, S., Miller, P., Waghiyi, V., Buck, C.L., von Hippel, F.A., &amp; Carpenter, D.O. (2015). Persistent organochlorine pesticide exposure related to a formerly used defense site on St. Lawrence Island, Alaska: data from sentinel fish and human sera. </w:t>
      </w:r>
      <w:r w:rsidRPr="008608AA">
        <w:rPr>
          <w:i/>
        </w:rPr>
        <w:t>Journal of Toxicology and Environmental Health</w:t>
      </w:r>
      <w:r w:rsidRPr="008608AA">
        <w:t>, Part A, 78(15), (pp.976-992).</w:t>
      </w:r>
    </w:p>
    <w:p w14:paraId="3FC4E340" w14:textId="77777777" w:rsidR="00787E9A" w:rsidRPr="008608AA" w:rsidRDefault="00787E9A" w:rsidP="00787E9A">
      <w:pPr>
        <w:ind w:left="709" w:hanging="709"/>
        <w:rPr>
          <w:lang w:val="es-CO"/>
        </w:rPr>
      </w:pPr>
      <w:r w:rsidRPr="008608AA">
        <w:t xml:space="preserve">Cabré, M. F., Solman, S., &amp; Núñez, M. (2016). Regional climate change scenarios over southern South America for future climate (2080-2099) using the MM5 Model. </w:t>
      </w:r>
      <w:r w:rsidRPr="008608AA">
        <w:rPr>
          <w:lang w:val="es-CO"/>
        </w:rPr>
        <w:t>Mean, interannual variability and uncertainties. </w:t>
      </w:r>
      <w:r w:rsidRPr="008608AA">
        <w:rPr>
          <w:i/>
          <w:lang w:val="es-CO"/>
        </w:rPr>
        <w:t>Atmósfera</w:t>
      </w:r>
      <w:r w:rsidRPr="008608AA">
        <w:rPr>
          <w:lang w:val="es-CO"/>
        </w:rPr>
        <w:t>, 29(1), (pp. 35-60).</w:t>
      </w:r>
    </w:p>
    <w:p w14:paraId="7F4EF652" w14:textId="77777777" w:rsidR="00787E9A" w:rsidRPr="008608AA" w:rsidRDefault="00787E9A" w:rsidP="00787E9A">
      <w:pPr>
        <w:ind w:left="709" w:hanging="709"/>
      </w:pPr>
      <w:r w:rsidRPr="008608AA">
        <w:rPr>
          <w:lang w:val="es-CO"/>
        </w:rPr>
        <w:t xml:space="preserve">Cabrera, A.L., &amp; Willink, A. (1980) Biogeografía de América Latina, Serie Biología, Monografía 13. </w:t>
      </w:r>
      <w:r w:rsidRPr="008608AA">
        <w:t>(p. 117). OEA, Washington, DC.</w:t>
      </w:r>
    </w:p>
    <w:p w14:paraId="134CB375" w14:textId="77777777" w:rsidR="00787E9A" w:rsidRPr="008608AA" w:rsidRDefault="00787E9A" w:rsidP="00787E9A">
      <w:pPr>
        <w:ind w:left="709" w:hanging="709"/>
      </w:pPr>
      <w:r w:rsidRPr="008608AA">
        <w:t>Callaghan, T. V, L. O. Björn, F. S. C. Iii, Y. Chernov, T. R. Christensen, B. Huntley, R. Ims, M. Johansson, D. J. Riedlinger, S. Jonasson, N. Matveyeva, W. Oechel, N. Panikov, and G. Shaver. 2005. Arctic Tundra and Polar Desert Ecosystems.</w:t>
      </w:r>
    </w:p>
    <w:p w14:paraId="008D592A" w14:textId="77777777" w:rsidR="00787E9A" w:rsidRPr="008608AA" w:rsidRDefault="00787E9A" w:rsidP="00787E9A">
      <w:pPr>
        <w:ind w:left="709" w:hanging="709"/>
        <w:rPr>
          <w:lang w:val="es-CO"/>
        </w:rPr>
      </w:pPr>
      <w:r w:rsidRPr="008608AA">
        <w:t>Calvo-Alvarado, J., McLennan, B., Sánchez-Azofeifa, A., &amp; Garvin, T. (2009). Deforestation and forest restoration in Guanacaste, Costa Rica: Putting conservation policies in context. </w:t>
      </w:r>
      <w:r w:rsidRPr="008608AA">
        <w:rPr>
          <w:i/>
          <w:lang w:val="es-CO"/>
        </w:rPr>
        <w:t>Forest Ecology and Management</w:t>
      </w:r>
      <w:r w:rsidRPr="008608AA">
        <w:rPr>
          <w:lang w:val="es-CO"/>
        </w:rPr>
        <w:t>, 258(6), (pp. 931-940).</w:t>
      </w:r>
    </w:p>
    <w:p w14:paraId="49A24293" w14:textId="77777777" w:rsidR="00787E9A" w:rsidRPr="008608AA" w:rsidRDefault="00787E9A" w:rsidP="00787E9A">
      <w:pPr>
        <w:ind w:left="709" w:hanging="709"/>
      </w:pPr>
      <w:r w:rsidRPr="008608AA">
        <w:rPr>
          <w:lang w:val="es-CO"/>
        </w:rPr>
        <w:t xml:space="preserve">Calle, Z., &amp; Murgueitio, E. (2015) Ganaderos aliados de la biodiversidad en el Magdalena Medio. </w:t>
      </w:r>
      <w:r w:rsidRPr="008608AA">
        <w:rPr>
          <w:i/>
        </w:rPr>
        <w:t>Carta Fedegan</w:t>
      </w:r>
      <w:r w:rsidRPr="008608AA">
        <w:t xml:space="preserve"> ,149, (pp. 80-85).</w:t>
      </w:r>
    </w:p>
    <w:p w14:paraId="70E0E295" w14:textId="77777777" w:rsidR="00787E9A" w:rsidRPr="008608AA" w:rsidRDefault="00787E9A" w:rsidP="00787E9A">
      <w:pPr>
        <w:ind w:left="709" w:hanging="709"/>
      </w:pPr>
      <w:r w:rsidRPr="008608AA">
        <w:t xml:space="preserve">Calle, Z., Murgueitio, E., &amp; Chará J. (2012) Integrating forestry, cattle-ranching and landscape restoration. </w:t>
      </w:r>
      <w:r w:rsidRPr="008608AA">
        <w:rPr>
          <w:i/>
        </w:rPr>
        <w:t>Unasylva</w:t>
      </w:r>
      <w:r w:rsidRPr="008608AA">
        <w:t>, 239 (63), (pp. 31-40).</w:t>
      </w:r>
    </w:p>
    <w:p w14:paraId="7E6169FB" w14:textId="77777777" w:rsidR="00787E9A" w:rsidRPr="00CE0821" w:rsidRDefault="00787E9A" w:rsidP="00787E9A">
      <w:pPr>
        <w:ind w:left="709" w:hanging="709"/>
        <w:rPr>
          <w:lang w:val="es-CO"/>
        </w:rPr>
      </w:pPr>
      <w:r w:rsidRPr="008608AA">
        <w:t xml:space="preserve">Cameron, R.D., Smith, W.T., White, R.G., &amp; Griffith, D.B. (2005). Central Arctic caribou and petroleum development: Distributional, nutritional, and reproductive implications. </w:t>
      </w:r>
      <w:r w:rsidRPr="00CE0821">
        <w:rPr>
          <w:i/>
          <w:lang w:val="es-CO"/>
        </w:rPr>
        <w:t>Arctic</w:t>
      </w:r>
      <w:r w:rsidRPr="00CE0821">
        <w:rPr>
          <w:lang w:val="es-CO"/>
        </w:rPr>
        <w:t xml:space="preserve">, 58, (pp. 1-9). </w:t>
      </w:r>
    </w:p>
    <w:p w14:paraId="7A2BCC20" w14:textId="77777777" w:rsidR="00787E9A" w:rsidRPr="008608AA" w:rsidRDefault="00787E9A" w:rsidP="00787E9A">
      <w:pPr>
        <w:ind w:left="709" w:hanging="709"/>
      </w:pPr>
      <w:r w:rsidRPr="00CE0821">
        <w:rPr>
          <w:lang w:val="es-CO"/>
        </w:rPr>
        <w:t xml:space="preserve">Campuzano, F. J., Mateus, M. D., Leitão, P. C., Leitão, P. C., Marín, V. H., Delgado, L. E., Tironi, A., Pierini, J. O., Sampaio, A. F. P., Almeida, P., &amp; Neves, R. J. (2013). </w:t>
      </w:r>
      <w:r w:rsidRPr="008608AA">
        <w:t xml:space="preserve">Integrated coastal zone management in South America: A look at three contrasting systems. </w:t>
      </w:r>
      <w:r w:rsidRPr="008608AA">
        <w:rPr>
          <w:i/>
        </w:rPr>
        <w:t>Ocean and Coastal Management</w:t>
      </w:r>
      <w:r w:rsidRPr="008608AA">
        <w:t>, 72, (pp. 22–35). https://doi.org/10.1016/j.ocecoaman.2011.08.002</w:t>
      </w:r>
    </w:p>
    <w:p w14:paraId="7D42D0E5" w14:textId="77777777" w:rsidR="00787E9A" w:rsidRPr="008608AA" w:rsidRDefault="00787E9A" w:rsidP="00787E9A">
      <w:pPr>
        <w:ind w:left="709" w:hanging="709"/>
      </w:pPr>
      <w:r w:rsidRPr="008608AA">
        <w:rPr>
          <w:lang w:val="es-CO"/>
        </w:rPr>
        <w:t xml:space="preserve">Camus, P., Castro, S., &amp; Jaksic, F. (2008). El conejo europeo en chile: historia de una invasión biológica. </w:t>
      </w:r>
      <w:r w:rsidRPr="008608AA">
        <w:t>Historia, II, (pp. 305–339). https://doi.org/10.4067/S0717-71942008000200001</w:t>
      </w:r>
    </w:p>
    <w:p w14:paraId="0754E957" w14:textId="77777777" w:rsidR="00787E9A" w:rsidRPr="008608AA" w:rsidRDefault="00787E9A" w:rsidP="00787E9A">
      <w:pPr>
        <w:ind w:left="709" w:hanging="709"/>
        <w:rPr>
          <w:lang w:val="es-CO"/>
        </w:rPr>
      </w:pPr>
      <w:r w:rsidRPr="008608AA">
        <w:t xml:space="preserve">Canning-Clode, J. (Ed.) (2015). Biological invasions in changing ecosystems vectors, ecological impacts, management and predictions. </w:t>
      </w:r>
      <w:r w:rsidRPr="008608AA">
        <w:rPr>
          <w:lang w:val="es-CO"/>
        </w:rPr>
        <w:t>De Gruyter.</w:t>
      </w:r>
    </w:p>
    <w:p w14:paraId="5F8863BA" w14:textId="77777777" w:rsidR="00787E9A" w:rsidRPr="008608AA" w:rsidRDefault="00787E9A" w:rsidP="00787E9A">
      <w:pPr>
        <w:ind w:left="709" w:hanging="709"/>
        <w:rPr>
          <w:lang w:val="es-CO"/>
        </w:rPr>
      </w:pPr>
      <w:r w:rsidRPr="008608AA">
        <w:rPr>
          <w:lang w:val="es-CO"/>
        </w:rPr>
        <w:t>Carabias, J., Sarukhán, J., de la Maza, J., &amp; Galindo, C. (2010). Patrimonio natural de México. Cien casos de éxito. Comisión Nacional para el Conocimiento y Uso de la Biodiversidad, México.</w:t>
      </w:r>
    </w:p>
    <w:p w14:paraId="0E66CE75" w14:textId="77777777" w:rsidR="00787E9A" w:rsidRPr="008608AA" w:rsidRDefault="00787E9A" w:rsidP="00787E9A">
      <w:pPr>
        <w:ind w:left="709" w:hanging="709"/>
      </w:pPr>
      <w:r w:rsidRPr="008608AA">
        <w:t xml:space="preserve">Cardozo, M. (2011). Economic displacement and local attitude towards protected area establishment in the Peruvian Amazon. </w:t>
      </w:r>
      <w:r w:rsidRPr="008608AA">
        <w:rPr>
          <w:i/>
        </w:rPr>
        <w:t>Geoforum</w:t>
      </w:r>
      <w:r w:rsidRPr="008608AA">
        <w:t>, 42(5), (pp. 603–614). http://doi.org/10.1016/j.geoforum.2011.04.008</w:t>
      </w:r>
    </w:p>
    <w:p w14:paraId="190B29F6" w14:textId="77777777" w:rsidR="00787E9A" w:rsidRPr="008608AA" w:rsidRDefault="00787E9A" w:rsidP="00787E9A">
      <w:pPr>
        <w:ind w:left="709" w:hanging="709"/>
      </w:pPr>
      <w:r w:rsidRPr="008608AA">
        <w:t>Carlson, D.L., Vault, D.S.D., &amp; Swackhamer, D.L. (2010). On the rate of decline of persistent organic contaminants in lake trout (</w:t>
      </w:r>
      <w:r w:rsidRPr="008608AA">
        <w:rPr>
          <w:i/>
        </w:rPr>
        <w:t>Salvelinus namaycush</w:t>
      </w:r>
      <w:r w:rsidRPr="008608AA">
        <w:t>) from the Great Lakes, 1970− 2003. </w:t>
      </w:r>
      <w:r w:rsidRPr="008608AA">
        <w:rPr>
          <w:i/>
        </w:rPr>
        <w:t>Environmental science &amp; technology</w:t>
      </w:r>
      <w:r w:rsidRPr="008608AA">
        <w:t>, 44(6), (pp.2004-2010).</w:t>
      </w:r>
    </w:p>
    <w:p w14:paraId="5C557278" w14:textId="77777777" w:rsidR="00787E9A" w:rsidRPr="008608AA" w:rsidRDefault="00787E9A" w:rsidP="00787E9A">
      <w:pPr>
        <w:ind w:left="709" w:hanging="709"/>
      </w:pPr>
      <w:r w:rsidRPr="008608AA">
        <w:t xml:space="preserve">Carothers, C. (2015). Fisheries privatization, social transitions, and well-being in Kodiak, Alaska. </w:t>
      </w:r>
      <w:r w:rsidRPr="008608AA">
        <w:rPr>
          <w:i/>
        </w:rPr>
        <w:t>Marine Policy</w:t>
      </w:r>
      <w:r w:rsidRPr="008608AA">
        <w:t>, 61, (pp. 313–322). http://doi.org/10.1016/j.marpol.2014.11.019</w:t>
      </w:r>
    </w:p>
    <w:p w14:paraId="551556F6" w14:textId="77777777" w:rsidR="00787E9A" w:rsidRPr="008608AA" w:rsidRDefault="00787E9A" w:rsidP="00787E9A">
      <w:pPr>
        <w:ind w:left="709" w:hanging="709"/>
      </w:pPr>
      <w:r w:rsidRPr="008608AA">
        <w:t xml:space="preserve">Carpenter, K. E., Abrar, M., Aeby, G., Aronson, R. B., Banks, S., Bruckner, A., Chiriboga, A., Cortés, J., Delbeek, J. C., DeVantier, L., Edgar, G. J., Edwards, A. J., Fenner, D., Guzmán, H. M., Hoeksema, B. W., Hodgson, G., Johan, O., Licuanan, W. Y., Livingstone, S. R., Lovell, E. R., Moore, J. A., Obura, D. O., Ochavillo, D., Polidoro, B. A., Precht, W. F., Quibilan, M. C., Reboton, C., Richards, Z. T., Rogers, A. D., Sanciangco, J., Sheppard, A., Sheppard, C., Smith,  J., Stuart, S., Turak, E., Veron, J. E. N., Wallace, C., Weil, E., &amp; Wood, E. (2008). One-third of reef-building corals face elevated extinction risk from climate change and local impacts. </w:t>
      </w:r>
      <w:r w:rsidRPr="008608AA">
        <w:rPr>
          <w:i/>
        </w:rPr>
        <w:t>Science</w:t>
      </w:r>
      <w:r w:rsidRPr="008608AA">
        <w:t xml:space="preserve">, 32, (pp. 560–563). </w:t>
      </w:r>
    </w:p>
    <w:p w14:paraId="2EB5EE64" w14:textId="77777777" w:rsidR="00787E9A" w:rsidRPr="008608AA" w:rsidRDefault="00787E9A" w:rsidP="00787E9A">
      <w:pPr>
        <w:ind w:left="709" w:hanging="709"/>
      </w:pPr>
      <w:r w:rsidRPr="008608AA">
        <w:t xml:space="preserve">Carpenter, S. R., Bennett, E. M., &amp; Peterson, G. D. (2006). Scenarios for ecosystem services: An overview. </w:t>
      </w:r>
      <w:r w:rsidRPr="008608AA">
        <w:rPr>
          <w:i/>
        </w:rPr>
        <w:t>Ecology and Society</w:t>
      </w:r>
      <w:r w:rsidRPr="008608AA">
        <w:t>, volume 11.</w:t>
      </w:r>
    </w:p>
    <w:p w14:paraId="14872FB3" w14:textId="77777777" w:rsidR="00787E9A" w:rsidRPr="008608AA" w:rsidRDefault="00787E9A" w:rsidP="00787E9A">
      <w:pPr>
        <w:ind w:left="709" w:hanging="709"/>
      </w:pPr>
      <w:r w:rsidRPr="008608AA">
        <w:t>Carpenter, S. R., Stanley, E. H., &amp; Vander Zanden, M. J. (2011). State of the world's freshwater ecosystems: physical, chemical, and biological changes. </w:t>
      </w:r>
      <w:r w:rsidRPr="008608AA">
        <w:rPr>
          <w:i/>
        </w:rPr>
        <w:t>Annual review of Environment and Resources</w:t>
      </w:r>
      <w:r w:rsidRPr="008608AA">
        <w:t>, 36, (pp. 75-99).</w:t>
      </w:r>
    </w:p>
    <w:p w14:paraId="213D9070" w14:textId="77777777" w:rsidR="00787E9A" w:rsidRPr="008608AA" w:rsidRDefault="00787E9A" w:rsidP="00787E9A">
      <w:pPr>
        <w:ind w:left="709" w:hanging="709"/>
      </w:pPr>
      <w:r w:rsidRPr="008608AA">
        <w:t xml:space="preserve">Carranza, A., de Mello, C., Ligrone, A., González, S., Píriz, P., &amp; Scarabino, F. (2010). Observations on the invading gastropod </w:t>
      </w:r>
      <w:r w:rsidRPr="008608AA">
        <w:rPr>
          <w:i/>
        </w:rPr>
        <w:t>Rapana venosa</w:t>
      </w:r>
      <w:r w:rsidRPr="008608AA">
        <w:t xml:space="preserve"> in Punta del Este, Maldonado Bay, Uruguay. </w:t>
      </w:r>
      <w:r w:rsidRPr="008608AA">
        <w:rPr>
          <w:i/>
        </w:rPr>
        <w:t>Biological Invasions</w:t>
      </w:r>
      <w:r w:rsidRPr="008608AA">
        <w:t xml:space="preserve">, 12(5), (pp. 995-998). </w:t>
      </w:r>
    </w:p>
    <w:p w14:paraId="51DAEB2F" w14:textId="77777777" w:rsidR="00787E9A" w:rsidRPr="008608AA" w:rsidRDefault="00787E9A" w:rsidP="00787E9A">
      <w:pPr>
        <w:ind w:left="709" w:hanging="709"/>
      </w:pPr>
      <w:r w:rsidRPr="008608AA">
        <w:t xml:space="preserve">Carranza, A., Scarabino, F., &amp; Ortega, L. (2007). Distribution of large benthic gastropods in the Uruguayan continental shelf and Río de la Plata estuary. </w:t>
      </w:r>
      <w:r w:rsidRPr="008608AA">
        <w:rPr>
          <w:i/>
        </w:rPr>
        <w:t>Journal of Coastal Research</w:t>
      </w:r>
      <w:r w:rsidRPr="008608AA">
        <w:t>, 24, (pp. 161-168).</w:t>
      </w:r>
    </w:p>
    <w:p w14:paraId="567D4363" w14:textId="77777777" w:rsidR="00787E9A" w:rsidRPr="008608AA" w:rsidRDefault="00787E9A" w:rsidP="00787E9A">
      <w:pPr>
        <w:ind w:left="709" w:hanging="709"/>
      </w:pPr>
      <w:r w:rsidRPr="008608AA">
        <w:t xml:space="preserve">Casas, G., Scrosati, R., &amp; Luz Piriz, M. (2004). The invasive kelp </w:t>
      </w:r>
      <w:r w:rsidRPr="008608AA">
        <w:rPr>
          <w:i/>
        </w:rPr>
        <w:t>Undaria pinnatifida</w:t>
      </w:r>
      <w:r w:rsidRPr="008608AA">
        <w:t xml:space="preserve"> (Phaeophyceae, Laminariales) reduces native seaweed diversity in Nuevo Gulf (Patagonia, Argentina). </w:t>
      </w:r>
      <w:r w:rsidRPr="008608AA">
        <w:rPr>
          <w:i/>
        </w:rPr>
        <w:t>Biological Invasions</w:t>
      </w:r>
      <w:r w:rsidRPr="008608AA">
        <w:t xml:space="preserve">, 6(4), (pp. 411–416). </w:t>
      </w:r>
    </w:p>
    <w:p w14:paraId="1E8F1A96" w14:textId="77777777" w:rsidR="00787E9A" w:rsidRPr="008608AA" w:rsidRDefault="00787E9A" w:rsidP="00787E9A">
      <w:pPr>
        <w:ind w:left="709" w:hanging="709"/>
      </w:pPr>
      <w:r w:rsidRPr="008608AA">
        <w:t xml:space="preserve">Castellanos-Gallindo, G. A., Cantera, J. R., Saint-Paul, U., &amp; Ferrol-Schulte, D. (2014). Threats to mangrove social-ecological systems in the most luxuriant coastal forests of the Neotropics. </w:t>
      </w:r>
      <w:r w:rsidRPr="008608AA">
        <w:rPr>
          <w:i/>
        </w:rPr>
        <w:t>Biodiversersity and Conservation,</w:t>
      </w:r>
      <w:r w:rsidRPr="008608AA">
        <w:t xml:space="preserve"> 24, (701-704).</w:t>
      </w:r>
    </w:p>
    <w:p w14:paraId="72FBBC5D" w14:textId="77777777" w:rsidR="00787E9A" w:rsidRPr="008608AA" w:rsidRDefault="00787E9A" w:rsidP="00787E9A">
      <w:pPr>
        <w:ind w:left="709" w:hanging="709"/>
      </w:pPr>
      <w:r w:rsidRPr="008608AA">
        <w:t>Castello, L., Arantes, C. C., Mcgrath, D. G., Stewart, D. J., &amp; De Sousa, F. S. (2015). Understanding fishing-induced extinctions in the Amazon. Aquatic Conservation: Marine and Freshwater Ecosystems, 25(5). https://doi.org/10.1002/aqc.2491</w:t>
      </w:r>
    </w:p>
    <w:p w14:paraId="3E762DC0" w14:textId="77777777" w:rsidR="00787E9A" w:rsidRPr="008608AA" w:rsidRDefault="00787E9A" w:rsidP="00787E9A">
      <w:pPr>
        <w:ind w:left="709" w:hanging="709"/>
      </w:pPr>
      <w:r w:rsidRPr="008608AA">
        <w:t xml:space="preserve">Castello, L., McGrath, D. G., Hess, L. L., Coe, M. T., Lefebvre, P. A., Petry, P., Macedo, M. N., Renó, V. F., &amp; Arantes, C. C. (2013a). The vulnerability of Amazon freshwater ecosystems. </w:t>
      </w:r>
      <w:r w:rsidRPr="008608AA">
        <w:rPr>
          <w:i/>
        </w:rPr>
        <w:t>Conservation Letters,</w:t>
      </w:r>
      <w:r w:rsidRPr="008608AA">
        <w:t xml:space="preserve"> 6, (pp. 217–229).</w:t>
      </w:r>
    </w:p>
    <w:p w14:paraId="56C6033A" w14:textId="77777777" w:rsidR="00787E9A" w:rsidRPr="008608AA" w:rsidRDefault="00787E9A" w:rsidP="00787E9A">
      <w:pPr>
        <w:ind w:left="709" w:hanging="709"/>
      </w:pPr>
      <w:r w:rsidRPr="008608AA">
        <w:t xml:space="preserve">Castello, L., McGrath, D. G., Hess, L. L., Coe, M. T., Lefebvre, P. A., Petry, P., Macedo, M. N., </w:t>
      </w:r>
      <w:r w:rsidRPr="008608AA">
        <w:rPr>
          <w:i/>
        </w:rPr>
        <w:t>Renó, V. F., &amp; Arantes, C. C. 2013b. The vulnerability of Amazon freshwater ecosystems. Conservation Letters</w:t>
      </w:r>
      <w:r w:rsidRPr="008608AA">
        <w:t>, 0 (2013) (pp. 1–13).</w:t>
      </w:r>
    </w:p>
    <w:p w14:paraId="0576B82B" w14:textId="77777777" w:rsidR="00787E9A" w:rsidRPr="008608AA" w:rsidRDefault="00787E9A" w:rsidP="00787E9A">
      <w:pPr>
        <w:ind w:left="709" w:hanging="709"/>
      </w:pPr>
      <w:r w:rsidRPr="008608AA">
        <w:t xml:space="preserve">Castro, S. A., Figueroa, J. A., Muñoz-Schick, M., &amp; Jaksic, F. M. (2005). Minimum residence time, biogeographical origin, and life cycle as determinants of the geographical extent of naturalized plants in continental Chile. </w:t>
      </w:r>
      <w:r w:rsidRPr="008608AA">
        <w:rPr>
          <w:i/>
        </w:rPr>
        <w:t>Diversity and Distributions</w:t>
      </w:r>
      <w:r w:rsidRPr="008608AA">
        <w:t>, 11(3), (pp. 183–191). https://doi.org/10.1111/j.1366-9516.2005.00145.x</w:t>
      </w:r>
    </w:p>
    <w:p w14:paraId="3683F2E8" w14:textId="77777777" w:rsidR="00787E9A" w:rsidRPr="00CE0821" w:rsidRDefault="00787E9A" w:rsidP="00787E9A">
      <w:pPr>
        <w:ind w:left="709" w:hanging="709"/>
        <w:rPr>
          <w:lang w:val="es-CO"/>
        </w:rPr>
      </w:pPr>
      <w:r w:rsidRPr="008608AA">
        <w:t xml:space="preserve">Cavole, L. M., Demko, A.M., Diner, R. E., Giddings, A., Koester, I., Pagniello, C. M. L. S., Paulsen, M.-L., Ramirez-Valdez, A., Schwenck, S. M., Yen, N.K., Zill, M. E., &amp; Franks, P.J.S. (2016). Biological impacts of the 2013–2015 warm-water anomaly in the Northeast Pacific: Winners, losers, and the future. </w:t>
      </w:r>
      <w:r w:rsidRPr="00CE0821">
        <w:rPr>
          <w:i/>
          <w:lang w:val="es-CO"/>
        </w:rPr>
        <w:t>Oceanography</w:t>
      </w:r>
      <w:r w:rsidRPr="00CE0821">
        <w:rPr>
          <w:lang w:val="es-CO"/>
        </w:rPr>
        <w:t xml:space="preserve">, 29(2), (pp. 273–285) http://dx.doi.org/10.5670/oceanog.2016.32 </w:t>
      </w:r>
    </w:p>
    <w:p w14:paraId="7F0A8B57" w14:textId="77777777" w:rsidR="00787E9A" w:rsidRPr="008608AA" w:rsidRDefault="00787E9A" w:rsidP="00787E9A">
      <w:pPr>
        <w:ind w:left="709" w:hanging="709"/>
        <w:rPr>
          <w:lang w:val="es-CO"/>
        </w:rPr>
      </w:pPr>
      <w:r w:rsidRPr="00CE0821">
        <w:rPr>
          <w:lang w:val="es-CO"/>
        </w:rPr>
        <w:t xml:space="preserve">Cella-Ribeiro, A., Assakawa, L. F., Torrente-Vilara, G., Zuanon, J., Leite, R. G., Doria, C., &amp; Duponchelle, F. (2015). </w:t>
      </w:r>
      <w:r w:rsidRPr="008608AA">
        <w:t xml:space="preserve">Temporal and spatial distribution of young </w:t>
      </w:r>
      <w:r w:rsidRPr="008608AA">
        <w:rPr>
          <w:i/>
        </w:rPr>
        <w:t>Brachyplatystoma</w:t>
      </w:r>
      <w:r w:rsidRPr="008608AA">
        <w:t xml:space="preserve"> spp. (Siluriformes: Pimelodidae) along the rapids stretch of the Madeira River (Brazil) before the construction of two hydroelectric dams. </w:t>
      </w:r>
      <w:r w:rsidRPr="008608AA">
        <w:rPr>
          <w:i/>
          <w:lang w:val="es-CO"/>
        </w:rPr>
        <w:t>Journal of Fish Biolog,y</w:t>
      </w:r>
      <w:r w:rsidRPr="008608AA">
        <w:rPr>
          <w:lang w:val="es-CO"/>
        </w:rPr>
        <w:t xml:space="preserve"> 86, (pp.1429–1437).</w:t>
      </w:r>
    </w:p>
    <w:p w14:paraId="5290795F" w14:textId="77777777" w:rsidR="00787E9A" w:rsidRPr="008608AA" w:rsidRDefault="00787E9A" w:rsidP="00787E9A">
      <w:pPr>
        <w:ind w:left="709" w:hanging="709"/>
        <w:rPr>
          <w:lang w:val="es-CO"/>
        </w:rPr>
      </w:pPr>
      <w:r w:rsidRPr="008608AA">
        <w:rPr>
          <w:lang w:val="es-CO"/>
        </w:rPr>
        <w:t>CEPAL (2014).  Panorama Social de América  Latina. Comisión Económica para América Latina y el Caribe. Santiago, Chile.</w:t>
      </w:r>
    </w:p>
    <w:p w14:paraId="0B8D1997" w14:textId="77777777" w:rsidR="00787E9A" w:rsidRPr="008608AA" w:rsidRDefault="00787E9A" w:rsidP="00787E9A">
      <w:pPr>
        <w:ind w:left="709" w:hanging="709"/>
        <w:rPr>
          <w:lang w:val="es-CO"/>
        </w:rPr>
      </w:pPr>
      <w:r w:rsidRPr="008608AA">
        <w:rPr>
          <w:lang w:val="es-CO"/>
        </w:rPr>
        <w:t>CEPAL (2015).  Balance Preliminar de las Economías de América Latina y el Caribe. Comisión Económica para América Latina y el Caribe. Santiago, Chile.</w:t>
      </w:r>
    </w:p>
    <w:p w14:paraId="3F1B74CC" w14:textId="77777777" w:rsidR="00787E9A" w:rsidRPr="008608AA" w:rsidRDefault="00787E9A" w:rsidP="00787E9A">
      <w:pPr>
        <w:ind w:left="709" w:hanging="709"/>
        <w:rPr>
          <w:lang w:val="es-CO"/>
        </w:rPr>
      </w:pPr>
      <w:r w:rsidRPr="008608AA">
        <w:rPr>
          <w:lang w:val="es-CO"/>
        </w:rPr>
        <w:t>CEPAL (2016). CEPAL apoya visibilidad estadística y participación de los pueblos indígenas en la Agenda 2030. Santiago, Chile, 15 julio 2016.</w:t>
      </w:r>
    </w:p>
    <w:p w14:paraId="1B5C7FC4" w14:textId="77777777" w:rsidR="00787E9A" w:rsidRPr="008608AA" w:rsidRDefault="00787E9A" w:rsidP="00787E9A">
      <w:pPr>
        <w:ind w:left="709" w:hanging="709"/>
        <w:rPr>
          <w:lang w:val="es-CO"/>
        </w:rPr>
      </w:pPr>
      <w:r w:rsidRPr="008608AA">
        <w:rPr>
          <w:lang w:val="es-CO"/>
        </w:rPr>
        <w:t>CEPAL (2016). Balance preliminar de las economías de América Latina y el Caribe, Santiago, Chile.</w:t>
      </w:r>
    </w:p>
    <w:p w14:paraId="469E4AE2" w14:textId="77777777" w:rsidR="00787E9A" w:rsidRPr="008608AA" w:rsidRDefault="00787E9A" w:rsidP="00787E9A">
      <w:pPr>
        <w:ind w:left="709" w:hanging="709"/>
        <w:rPr>
          <w:lang w:val="es-CO"/>
        </w:rPr>
      </w:pPr>
      <w:r w:rsidRPr="008608AA">
        <w:rPr>
          <w:lang w:val="es-CO"/>
        </w:rPr>
        <w:t>CEPAL (2017). Balance preliminar de las economías de América Latina y el Caribe, Santiago, Chile.</w:t>
      </w:r>
    </w:p>
    <w:p w14:paraId="41ABA149" w14:textId="77777777" w:rsidR="00787E9A" w:rsidRPr="008608AA" w:rsidRDefault="00787E9A" w:rsidP="00787E9A">
      <w:pPr>
        <w:ind w:left="709" w:hanging="709"/>
        <w:rPr>
          <w:lang w:val="es-CO"/>
        </w:rPr>
      </w:pPr>
    </w:p>
    <w:p w14:paraId="7057378C" w14:textId="77777777" w:rsidR="00787E9A" w:rsidRPr="008608AA" w:rsidRDefault="00787E9A" w:rsidP="00787E9A">
      <w:pPr>
        <w:ind w:left="709" w:hanging="709"/>
        <w:rPr>
          <w:lang w:val="es-CO"/>
        </w:rPr>
      </w:pPr>
    </w:p>
    <w:p w14:paraId="5CFAE161" w14:textId="77777777" w:rsidR="00787E9A" w:rsidRPr="008608AA" w:rsidRDefault="00787E9A" w:rsidP="00787E9A">
      <w:pPr>
        <w:ind w:left="709" w:hanging="709"/>
      </w:pPr>
      <w:r w:rsidRPr="008608AA">
        <w:t>Cesar, H., Burke, L., &amp; Pet-soede, L. (2003). The economics of worldwide coral reef degradation. cesar environmental economics consulting, Arnhem, and WWF-Netherlands 14:23. &lt;http://eprints.eriub.org/48/&gt;.</w:t>
      </w:r>
    </w:p>
    <w:p w14:paraId="1FA53941" w14:textId="77777777" w:rsidR="00787E9A" w:rsidRPr="008608AA" w:rsidRDefault="00787E9A" w:rsidP="00787E9A">
      <w:pPr>
        <w:ind w:left="709" w:hanging="709"/>
      </w:pPr>
      <w:r w:rsidRPr="008608AA">
        <w:t xml:space="preserve">Chacon, C. Fostering conservation of key priority sites and rural development in Central America: the role of private protected areas. </w:t>
      </w:r>
      <w:r w:rsidRPr="008608AA">
        <w:rPr>
          <w:i/>
        </w:rPr>
        <w:t>Parks</w:t>
      </w:r>
      <w:r w:rsidRPr="008608AA">
        <w:t>, 15 (2005), (pp. 39-47)</w:t>
      </w:r>
    </w:p>
    <w:p w14:paraId="2092457C" w14:textId="77777777" w:rsidR="00787E9A" w:rsidRPr="008608AA" w:rsidRDefault="00787E9A" w:rsidP="00787E9A">
      <w:pPr>
        <w:ind w:left="709" w:hanging="709"/>
      </w:pPr>
      <w:r w:rsidRPr="008608AA">
        <w:t>Chai, S. L., Tanner, E., &amp; McLaren, K. (2009). High rates of forest clearance and fragmentation pre-and post-National Park establishment: The case of a Jamaican montane rainforest. </w:t>
      </w:r>
      <w:r w:rsidRPr="008608AA">
        <w:rPr>
          <w:i/>
        </w:rPr>
        <w:t>Biological Conservation</w:t>
      </w:r>
      <w:r w:rsidRPr="008608AA">
        <w:t>, 142(11), (pp. 2484-2492).</w:t>
      </w:r>
    </w:p>
    <w:p w14:paraId="26807BD7" w14:textId="77777777" w:rsidR="00787E9A" w:rsidRPr="008608AA" w:rsidRDefault="00787E9A" w:rsidP="00787E9A">
      <w:pPr>
        <w:ind w:left="709" w:hanging="709"/>
      </w:pPr>
      <w:r w:rsidRPr="008608AA">
        <w:t xml:space="preserve">Chakalall, B., &amp; Cochrane, K. L. (1997). The queen conch fishery in the Caribbean - an approach to responsible fisheries management. (pp. 531–554) In: </w:t>
      </w:r>
      <w:r w:rsidRPr="008608AA">
        <w:rPr>
          <w:i/>
        </w:rPr>
        <w:t>Proceedings of the 49th Gulf and Caribbean Fisheries Institute</w:t>
      </w:r>
      <w:r w:rsidRPr="008608AA">
        <w:t>.</w:t>
      </w:r>
    </w:p>
    <w:p w14:paraId="2A1BC01F" w14:textId="77777777" w:rsidR="00787E9A" w:rsidRPr="00A3137A" w:rsidRDefault="00787E9A" w:rsidP="00787E9A">
      <w:pPr>
        <w:ind w:left="709" w:hanging="709"/>
        <w:rPr>
          <w:lang w:val="fr-FR"/>
        </w:rPr>
      </w:pPr>
      <w:r w:rsidRPr="008608AA">
        <w:t xml:space="preserve">Chapin, F. S. I., Trainor, S. F., Cochran, P., Huntington, H., Markon, C., McCammon, M., McGuire, A. D., &amp; Serreze. M. (2014). Ch. 22: Alaska. climate change impacts in the U.S. In:  The Third National Climate Assessment. </w:t>
      </w:r>
      <w:r w:rsidRPr="00A3137A">
        <w:rPr>
          <w:lang w:val="fr-FR"/>
        </w:rPr>
        <w:t>(pp. 514–536). http://nca2014.globalchange.gov/report/regions/alaska.</w:t>
      </w:r>
    </w:p>
    <w:p w14:paraId="05A63703" w14:textId="77777777" w:rsidR="00787E9A" w:rsidRPr="008608AA" w:rsidRDefault="00787E9A" w:rsidP="00787E9A">
      <w:pPr>
        <w:ind w:left="709" w:hanging="709"/>
      </w:pPr>
      <w:r w:rsidRPr="00A3137A">
        <w:rPr>
          <w:lang w:val="fr-FR"/>
        </w:rPr>
        <w:t xml:space="preserve">Charlotte, D. R., Yolande, B. N., Cordonnier, S., &amp; Claude, B. (2016). </w:t>
      </w:r>
      <w:r w:rsidRPr="008608AA">
        <w:t xml:space="preserve">The invasive lionfish, </w:t>
      </w:r>
      <w:r w:rsidRPr="008608AA">
        <w:rPr>
          <w:i/>
        </w:rPr>
        <w:t>Pterois volitans</w:t>
      </w:r>
      <w:r w:rsidRPr="008608AA">
        <w:t>, used as a sentinel species to assess the organochlorine pollution by chlordecone in Guadeloupe (Lesser Antilles). </w:t>
      </w:r>
      <w:r w:rsidRPr="008608AA">
        <w:rPr>
          <w:i/>
        </w:rPr>
        <w:t>Marine pollution bulletin</w:t>
      </w:r>
      <w:r w:rsidRPr="008608AA">
        <w:t>, 107(1), (pp.102-106).</w:t>
      </w:r>
    </w:p>
    <w:p w14:paraId="54992815" w14:textId="77777777" w:rsidR="00787E9A" w:rsidRPr="008608AA" w:rsidRDefault="00787E9A" w:rsidP="00787E9A">
      <w:pPr>
        <w:ind w:left="709" w:hanging="709"/>
      </w:pPr>
      <w:r w:rsidRPr="008608AA">
        <w:t>Charvériat, C. (2000). Natural disasters in Latin America and the Caribbean: An overview of risk. Inter-Americas Development Bank. Working paper # 434.</w:t>
      </w:r>
    </w:p>
    <w:p w14:paraId="12A39E19" w14:textId="77777777" w:rsidR="00787E9A" w:rsidRPr="008608AA" w:rsidRDefault="00787E9A" w:rsidP="00787E9A">
      <w:pPr>
        <w:ind w:left="709" w:hanging="709"/>
      </w:pPr>
      <w:r w:rsidRPr="008608AA">
        <w:t xml:space="preserve">Cheung, W. W. L., Lam, V. W. Y., Sarmiento, J. L., Kearney, K., Watson, R., Zeller, D., &amp; Pauly, D. (2010). Large-scale redistribution of maximum fisheries catch potential in the global ocean under climate change. </w:t>
      </w:r>
      <w:r w:rsidRPr="008608AA">
        <w:rPr>
          <w:i/>
        </w:rPr>
        <w:t>Global Change Biology,</w:t>
      </w:r>
      <w:r w:rsidRPr="008608AA">
        <w:t xml:space="preserve"> 16, (pp. 24–35).</w:t>
      </w:r>
    </w:p>
    <w:p w14:paraId="29F4F136" w14:textId="77777777" w:rsidR="00787E9A" w:rsidRPr="008608AA" w:rsidRDefault="00787E9A" w:rsidP="00787E9A">
      <w:pPr>
        <w:ind w:left="709" w:hanging="709"/>
      </w:pPr>
      <w:r w:rsidRPr="008608AA">
        <w:t>Chinea, J. D., &amp; Agosto, R. (2007). Forests surrounding the Joyuda Lagoon, Puerto Rico: 67 years of change. </w:t>
      </w:r>
      <w:r w:rsidRPr="008608AA">
        <w:rPr>
          <w:i/>
        </w:rPr>
        <w:t>Caribbean Journal of Science</w:t>
      </w:r>
      <w:r w:rsidRPr="008608AA">
        <w:t>, 43(1), (pp. 142-147).</w:t>
      </w:r>
    </w:p>
    <w:p w14:paraId="34D66D13" w14:textId="77777777" w:rsidR="00787E9A" w:rsidRPr="008608AA" w:rsidRDefault="00787E9A" w:rsidP="00787E9A">
      <w:pPr>
        <w:ind w:left="709" w:hanging="709"/>
      </w:pPr>
      <w:r w:rsidRPr="008608AA">
        <w:t xml:space="preserve">Chinea, J. D., &amp; Helmer, E. H. (2003). Diversity and composition of tropical secondary forests recovering from large-scale clearing: Results from the 1990 inventory in Puerto Rico. </w:t>
      </w:r>
      <w:r w:rsidRPr="008608AA">
        <w:rPr>
          <w:i/>
        </w:rPr>
        <w:t>Forest Ecology and Management</w:t>
      </w:r>
      <w:r w:rsidRPr="008608AA">
        <w:t>, 180(1–3), (pp. 227–240). https://doi.org/10.1016/S0378-1127(02)00565-0</w:t>
      </w:r>
    </w:p>
    <w:p w14:paraId="21233E2E" w14:textId="77777777" w:rsidR="00787E9A" w:rsidRPr="008608AA" w:rsidRDefault="00787E9A" w:rsidP="00787E9A">
      <w:pPr>
        <w:ind w:left="709" w:hanging="709"/>
      </w:pPr>
      <w:r w:rsidRPr="008608AA">
        <w:t>Christensen, J. H., &amp; Christensen, O. B. (2007). A summary of the PRUDENCE model projections of changes in European climate by the end of this century. </w:t>
      </w:r>
      <w:r w:rsidRPr="008608AA">
        <w:rPr>
          <w:i/>
        </w:rPr>
        <w:t>Climatic change</w:t>
      </w:r>
      <w:r w:rsidRPr="008608AA">
        <w:t>, 81, (pp. 7-30).</w:t>
      </w:r>
    </w:p>
    <w:p w14:paraId="6015411A" w14:textId="77777777" w:rsidR="00787E9A" w:rsidRPr="008608AA" w:rsidRDefault="00787E9A" w:rsidP="00787E9A">
      <w:pPr>
        <w:ind w:left="709" w:hanging="709"/>
      </w:pPr>
      <w:r w:rsidRPr="008608AA">
        <w:t>Cibils, A. F., &amp; Borrelli, P. R. (2005). Grasslands of Patagonia. </w:t>
      </w:r>
      <w:r w:rsidRPr="008608AA">
        <w:rPr>
          <w:i/>
        </w:rPr>
        <w:t>Grasslands of the world</w:t>
      </w:r>
      <w:r w:rsidRPr="008608AA">
        <w:t>, (pp. 121-170).</w:t>
      </w:r>
    </w:p>
    <w:p w14:paraId="2A6F6CD8" w14:textId="77777777" w:rsidR="00787E9A" w:rsidRPr="008608AA" w:rsidRDefault="00787E9A" w:rsidP="00787E9A">
      <w:pPr>
        <w:ind w:left="709" w:hanging="709"/>
      </w:pPr>
      <w:r w:rsidRPr="008608AA">
        <w:t>Clark, J.R., Cole, M., Lindeque, P.K., Fileman, E., Blackford, J., Lewis, C., Lenton, T.M., &amp; Galloway, T.S. (2016). Marine microplastic debris: a targeted plan for understanding and quantifying interactions with marine life. </w:t>
      </w:r>
      <w:r w:rsidRPr="008608AA">
        <w:rPr>
          <w:i/>
        </w:rPr>
        <w:t>Frontiers in Ecology and the Environment</w:t>
      </w:r>
      <w:r w:rsidRPr="008608AA">
        <w:t>, 14(6), (pp.317-324).</w:t>
      </w:r>
    </w:p>
    <w:p w14:paraId="0FAF719D" w14:textId="77777777" w:rsidR="00787E9A" w:rsidRPr="008608AA" w:rsidRDefault="00787E9A" w:rsidP="00787E9A">
      <w:pPr>
        <w:ind w:left="709" w:hanging="709"/>
      </w:pPr>
      <w:r w:rsidRPr="008608AA">
        <w:t xml:space="preserve">Clark, M. L., Aide, T. M., Grau, H. R., &amp; Riner, G. (2010). A scalable approach to mapping annual land cover at 250 m using MODIS time series data: A case study in the Dry Chaco ecoregion of South America. </w:t>
      </w:r>
      <w:r w:rsidRPr="008608AA">
        <w:rPr>
          <w:i/>
        </w:rPr>
        <w:t>Remote Sensing of Environment</w:t>
      </w:r>
      <w:r w:rsidRPr="008608AA">
        <w:t>, 114(11), (pp. 2816-2832).</w:t>
      </w:r>
    </w:p>
    <w:p w14:paraId="58A65107" w14:textId="77777777" w:rsidR="00787E9A" w:rsidRPr="00A3137A" w:rsidRDefault="00787E9A" w:rsidP="00787E9A">
      <w:pPr>
        <w:ind w:left="709" w:hanging="709"/>
        <w:rPr>
          <w:lang w:val="fr-FR"/>
        </w:rPr>
      </w:pPr>
      <w:r w:rsidRPr="008608AA">
        <w:t xml:space="preserve">Clarke, S. C., Harley, S. J., Hoyle, S. D., &amp; Rice, J. S. (2013). Population Trends in Pacific Oceanic Sharks and the Utility of Regulations on Shark Finning. </w:t>
      </w:r>
      <w:r w:rsidRPr="00A3137A">
        <w:rPr>
          <w:i/>
          <w:lang w:val="fr-FR"/>
        </w:rPr>
        <w:t>Conservation Biolog,y</w:t>
      </w:r>
      <w:r w:rsidRPr="00A3137A">
        <w:rPr>
          <w:lang w:val="fr-FR"/>
        </w:rPr>
        <w:t xml:space="preserve"> 27, (pp.197–209).</w:t>
      </w:r>
    </w:p>
    <w:p w14:paraId="7F7F4DD5" w14:textId="77777777" w:rsidR="00787E9A" w:rsidRPr="008608AA" w:rsidRDefault="00787E9A" w:rsidP="00787E9A">
      <w:pPr>
        <w:ind w:left="709" w:hanging="709"/>
      </w:pPr>
      <w:r w:rsidRPr="00A3137A">
        <w:rPr>
          <w:lang w:val="fr-FR"/>
        </w:rPr>
        <w:t xml:space="preserve">Clements, E. A., &amp; Fernandes B. M. (2013). </w:t>
      </w:r>
      <w:r w:rsidRPr="008608AA">
        <w:t xml:space="preserve">Land grabbing, agribusiness and the peasantry in Brazil and Mozambique. </w:t>
      </w:r>
      <w:r w:rsidRPr="008608AA">
        <w:rPr>
          <w:i/>
        </w:rPr>
        <w:t>Agrarian South: Journal of Political Economy</w:t>
      </w:r>
      <w:r w:rsidRPr="008608AA">
        <w:t xml:space="preserve"> 2(1), (pp. 41-69).</w:t>
      </w:r>
    </w:p>
    <w:p w14:paraId="51D9F1D8" w14:textId="77777777" w:rsidR="00787E9A" w:rsidRPr="008608AA" w:rsidRDefault="00787E9A" w:rsidP="00787E9A">
      <w:pPr>
        <w:ind w:left="709" w:hanging="709"/>
      </w:pPr>
      <w:r w:rsidRPr="008608AA">
        <w:t xml:space="preserve">Clements, W. H., Carlisle, D. M., Lazorchak, J. M., &amp; Johnson, P. C. (2000). Heavy metals structure benthic communities in Colorado mountain streams. </w:t>
      </w:r>
      <w:r w:rsidRPr="008608AA">
        <w:rPr>
          <w:i/>
        </w:rPr>
        <w:t>Ecological Applications</w:t>
      </w:r>
      <w:r w:rsidRPr="008608AA">
        <w:t>, 10, (pp. 626–638).</w:t>
      </w:r>
    </w:p>
    <w:p w14:paraId="311FC2E9" w14:textId="77777777" w:rsidR="00787E9A" w:rsidRPr="008608AA" w:rsidRDefault="00787E9A" w:rsidP="00787E9A">
      <w:pPr>
        <w:ind w:left="709" w:hanging="709"/>
      </w:pPr>
      <w:r w:rsidRPr="008608AA">
        <w:t xml:space="preserve">Clements, W. H., Cherry, D. S., &amp; Cairns, J. (1988). Structural alterations in aquatic insect communities exposed to copper in laboratory streams. </w:t>
      </w:r>
      <w:r w:rsidRPr="008608AA">
        <w:rPr>
          <w:i/>
        </w:rPr>
        <w:t>Environmental Toxicology and Chemistry</w:t>
      </w:r>
      <w:r w:rsidRPr="008608AA">
        <w:t>, 7, (pp. 715–722). http://dx.doi.org/10.1897/1552-8618(1988)7[715:SAIAIC]2.0.CO;2.</w:t>
      </w:r>
    </w:p>
    <w:p w14:paraId="2A853D83" w14:textId="77777777" w:rsidR="00787E9A" w:rsidRPr="008608AA" w:rsidRDefault="00787E9A" w:rsidP="00787E9A">
      <w:pPr>
        <w:ind w:left="709" w:hanging="709"/>
      </w:pPr>
      <w:r w:rsidRPr="00A3137A">
        <w:rPr>
          <w:lang w:val="fr-FR"/>
        </w:rPr>
        <w:t xml:space="preserve">Clements, W. H., Vieira, N. K. M., &amp; Sonderegger, D. L. (2010b). </w:t>
      </w:r>
      <w:r w:rsidRPr="008608AA">
        <w:t xml:space="preserve">Use of ecological thresholds to assess recovery in lotic ecosystems. </w:t>
      </w:r>
      <w:r w:rsidRPr="008608AA">
        <w:rPr>
          <w:i/>
        </w:rPr>
        <w:t>Journal of the North American Benthological Society</w:t>
      </w:r>
      <w:r w:rsidRPr="008608AA">
        <w:t>, 29, (pp. 1017–1023).</w:t>
      </w:r>
    </w:p>
    <w:p w14:paraId="54958E66" w14:textId="77777777" w:rsidR="00787E9A" w:rsidRPr="008608AA" w:rsidRDefault="00787E9A" w:rsidP="00787E9A">
      <w:pPr>
        <w:ind w:left="709" w:hanging="709"/>
      </w:pPr>
      <w:r w:rsidRPr="008608AA">
        <w:t xml:space="preserve">Clements, W. H., Vieira, N. K. M., &amp; Church, S. E. (2010a). Quantifying restoration success and recovery in a metal-polluted stream: A 17-year assessment of physicochemical and biological responses. </w:t>
      </w:r>
      <w:r w:rsidRPr="008608AA">
        <w:rPr>
          <w:i/>
        </w:rPr>
        <w:t>Journal of Applied Ecology</w:t>
      </w:r>
      <w:r w:rsidRPr="008608AA">
        <w:t>, 47, (pp. 899–910).</w:t>
      </w:r>
    </w:p>
    <w:p w14:paraId="0884C7A9" w14:textId="77777777" w:rsidR="00787E9A" w:rsidRPr="008608AA" w:rsidRDefault="00787E9A" w:rsidP="00787E9A">
      <w:pPr>
        <w:ind w:left="709" w:hanging="709"/>
      </w:pPr>
      <w:r w:rsidRPr="008608AA">
        <w:t xml:space="preserve">Clements, W. H., Cadmus, P.,  &amp; Brinkman. S. F. (2013). Responses of aquatic insects to Cu and Zn in stream microcosms: Understanding differences between single species tests and field responses. </w:t>
      </w:r>
      <w:r w:rsidRPr="008608AA">
        <w:rPr>
          <w:i/>
        </w:rPr>
        <w:t>Environmental Science and Technology</w:t>
      </w:r>
      <w:r w:rsidRPr="008608AA">
        <w:t>, 47, (pp. 7506–7513).</w:t>
      </w:r>
    </w:p>
    <w:p w14:paraId="68EC4162" w14:textId="77777777" w:rsidR="00787E9A" w:rsidRPr="008608AA" w:rsidRDefault="00787E9A" w:rsidP="00787E9A">
      <w:pPr>
        <w:ind w:left="709" w:hanging="709"/>
      </w:pPr>
      <w:r w:rsidRPr="008608AA">
        <w:t xml:space="preserve">Cline, T. J., Bennington, V, &amp; Kitchell, J. F. (2013). Climate change expands the spatial extent and duration of preferred thermal habitat for Lake Superior fishes. </w:t>
      </w:r>
      <w:r w:rsidRPr="008608AA">
        <w:rPr>
          <w:i/>
        </w:rPr>
        <w:t>PLoS ONE</w:t>
      </w:r>
      <w:r w:rsidRPr="008608AA">
        <w:t>, 8 (4) doi:10.1371/journal.pone.0062279</w:t>
      </w:r>
    </w:p>
    <w:p w14:paraId="4A954623" w14:textId="77777777" w:rsidR="00787E9A" w:rsidRPr="008608AA" w:rsidRDefault="00787E9A" w:rsidP="00787E9A">
      <w:pPr>
        <w:ind w:left="709" w:hanging="709"/>
      </w:pPr>
      <w:r w:rsidRPr="008608AA">
        <w:t>.</w:t>
      </w:r>
    </w:p>
    <w:p w14:paraId="5BB07804" w14:textId="77777777" w:rsidR="00787E9A" w:rsidRPr="008608AA" w:rsidRDefault="00787E9A" w:rsidP="00787E9A">
      <w:pPr>
        <w:ind w:left="709" w:hanging="709"/>
      </w:pPr>
      <w:r w:rsidRPr="008608AA">
        <w:t>Coat, S., Bocquené, G., &amp; Godard, E. (2006). Contamination of some aquatic species with the organochlorine pesticide chlordecone in Martinique. </w:t>
      </w:r>
      <w:r w:rsidRPr="008608AA">
        <w:rPr>
          <w:i/>
        </w:rPr>
        <w:t>Aquatic Living Resources</w:t>
      </w:r>
      <w:r w:rsidRPr="008608AA">
        <w:t>, 19(2), (pp.181-187).</w:t>
      </w:r>
    </w:p>
    <w:p w14:paraId="1BF92059" w14:textId="77777777" w:rsidR="00787E9A" w:rsidRPr="008608AA" w:rsidRDefault="00787E9A" w:rsidP="00787E9A">
      <w:pPr>
        <w:ind w:left="709" w:hanging="709"/>
      </w:pPr>
      <w:r w:rsidRPr="008608AA">
        <w:t>Coat, S., Monti, D., Legendre, P., Bouchon, C., Massat, F., &amp; Lepoint, G. (2011). Organochlorine pollution in tropical rivers (Guadeloupe): role of ecological factors in food web bioaccumulation. </w:t>
      </w:r>
      <w:r w:rsidRPr="008608AA">
        <w:rPr>
          <w:i/>
        </w:rPr>
        <w:t>Environmental Pollution</w:t>
      </w:r>
      <w:r w:rsidRPr="008608AA">
        <w:t>, 159(6), (pp.1692-1701).</w:t>
      </w:r>
    </w:p>
    <w:p w14:paraId="3F5AC994" w14:textId="77777777" w:rsidR="00787E9A" w:rsidRPr="008608AA" w:rsidRDefault="00787E9A" w:rsidP="00787E9A">
      <w:pPr>
        <w:ind w:left="709" w:hanging="709"/>
      </w:pPr>
      <w:r w:rsidRPr="008608AA">
        <w:t>Coates, D. (1995). Inland capture fisheries and enhancement: Status, constraints, and prospects for food security. Paper presented at the Government of Japan/FAO International Conference on Sustainable Contribution of Fisheries to Food Security, Kyoto, Japan 4–9 December 19.</w:t>
      </w:r>
    </w:p>
    <w:p w14:paraId="18F4050A" w14:textId="77777777" w:rsidR="00787E9A" w:rsidRPr="008608AA" w:rsidRDefault="00787E9A" w:rsidP="00787E9A">
      <w:pPr>
        <w:ind w:left="709" w:hanging="709"/>
      </w:pPr>
      <w:r w:rsidRPr="008608AA">
        <w:rPr>
          <w:lang w:val="es-CO"/>
        </w:rPr>
        <w:t xml:space="preserve">Cóbar-Carranza, A. J., García, R. A., Pauchard, A., &amp; Peña, E. (2014). </w:t>
      </w:r>
      <w:r w:rsidRPr="008608AA">
        <w:t xml:space="preserve">Effect of Pinus contorta invasion on forest fuel properties and its potential implications on the fire regime of Araucaria araucana and Nothofagus antarctica forests. </w:t>
      </w:r>
      <w:r w:rsidRPr="008608AA">
        <w:rPr>
          <w:i/>
        </w:rPr>
        <w:t>Biological Invasions</w:t>
      </w:r>
      <w:r w:rsidRPr="008608AA">
        <w:t>, 16(11), (pp. 2273–2291). https://doi.org/10.1007/s10530-014-0663-8</w:t>
      </w:r>
    </w:p>
    <w:p w14:paraId="6472150A" w14:textId="77777777" w:rsidR="00787E9A" w:rsidRPr="008608AA" w:rsidRDefault="00787E9A" w:rsidP="00787E9A">
      <w:pPr>
        <w:ind w:left="709" w:hanging="709"/>
      </w:pPr>
      <w:r w:rsidRPr="008608AA">
        <w:t>Colding, J., &amp; Folke, C. (2001). Social taboos:“invisible” systems of local resource management and biological conservation. </w:t>
      </w:r>
      <w:r w:rsidRPr="008608AA">
        <w:rPr>
          <w:i/>
        </w:rPr>
        <w:t>Ecological applications</w:t>
      </w:r>
      <w:r w:rsidRPr="008608AA">
        <w:t>, 11(2), (pp. 584-600).</w:t>
      </w:r>
    </w:p>
    <w:p w14:paraId="079E1A9F" w14:textId="77777777" w:rsidR="00787E9A" w:rsidRPr="008608AA" w:rsidRDefault="00787E9A" w:rsidP="00787E9A">
      <w:pPr>
        <w:ind w:left="709" w:hanging="709"/>
      </w:pPr>
      <w:r w:rsidRPr="008608AA">
        <w:t>Cole, D. C., Kearney, J., Sanin, L. H., Leblanc, A., &amp; Weber, J. P. (2004). Blood mercury levels among Ontario anglers and sport-fish eaters. </w:t>
      </w:r>
      <w:r w:rsidRPr="008608AA">
        <w:rPr>
          <w:i/>
        </w:rPr>
        <w:t>Environmental Research</w:t>
      </w:r>
      <w:r w:rsidRPr="008608AA">
        <w:t>, 95(3), (pp.305-314).</w:t>
      </w:r>
    </w:p>
    <w:p w14:paraId="576FEE26" w14:textId="77777777" w:rsidR="00787E9A" w:rsidRPr="008608AA" w:rsidRDefault="00787E9A" w:rsidP="00787E9A">
      <w:pPr>
        <w:ind w:left="709" w:hanging="709"/>
      </w:pPr>
      <w:r w:rsidRPr="008608AA">
        <w:t xml:space="preserve">Collen, B., Whitton, F., Dyer, E. E., Baillie, J. E. M., Cumberlidge, N., Darwall, W. R. T., Pollock, C., Richman, N. I., Soulsby, A. M., &amp; Böhm, M. (2014). Global patterns of freshwater species diversity, threat and endemism. </w:t>
      </w:r>
      <w:r w:rsidRPr="008608AA">
        <w:rPr>
          <w:i/>
        </w:rPr>
        <w:t>Global Ecology and Biogeography</w:t>
      </w:r>
      <w:r w:rsidRPr="008608AA">
        <w:t>, 23(1), (pp. 40–51). https://doi.org/10.1111/geb.12096</w:t>
      </w:r>
    </w:p>
    <w:p w14:paraId="7C0FFDF8" w14:textId="77777777" w:rsidR="00787E9A" w:rsidRPr="008608AA" w:rsidRDefault="00787E9A" w:rsidP="00787E9A">
      <w:pPr>
        <w:ind w:left="709" w:hanging="709"/>
      </w:pPr>
      <w:r w:rsidRPr="008608AA">
        <w:t xml:space="preserve">Collymore, J.  (2011) Disaster management in the Caribbean: Perspectives on institutional capacity reform and development, </w:t>
      </w:r>
      <w:r w:rsidRPr="008608AA">
        <w:rPr>
          <w:i/>
        </w:rPr>
        <w:t>Environmental Hazards</w:t>
      </w:r>
      <w:r w:rsidRPr="008608AA">
        <w:t>, 10:1, (pp. 6-22)</w:t>
      </w:r>
    </w:p>
    <w:p w14:paraId="0C8F0EF4" w14:textId="77777777" w:rsidR="00787E9A" w:rsidRPr="008608AA" w:rsidRDefault="00787E9A" w:rsidP="00787E9A">
      <w:pPr>
        <w:ind w:left="709" w:hanging="709"/>
        <w:rPr>
          <w:lang w:val="es-CO"/>
        </w:rPr>
      </w:pPr>
      <w:r w:rsidRPr="008608AA">
        <w:t xml:space="preserve">Compton, J. E., Harrison, J. A., Dennis, R. L., Greaver, T. L., Hill, B. H., Jordan, S. J., Walker, H., &amp; Campbell, H. V. (2011). Ecosystem services altered b y human changes in the nitrogen cycle: a new perspective for US decision making. </w:t>
      </w:r>
      <w:r w:rsidRPr="008608AA">
        <w:rPr>
          <w:i/>
          <w:lang w:val="es-CO"/>
        </w:rPr>
        <w:t>Ecology Letters,</w:t>
      </w:r>
      <w:r w:rsidRPr="008608AA">
        <w:rPr>
          <w:lang w:val="es-CO"/>
        </w:rPr>
        <w:t xml:space="preserve"> 14, (pp. 804–815).</w:t>
      </w:r>
    </w:p>
    <w:p w14:paraId="673D63DB" w14:textId="77777777" w:rsidR="00787E9A" w:rsidRPr="008608AA" w:rsidRDefault="00787E9A" w:rsidP="00787E9A">
      <w:pPr>
        <w:ind w:left="709" w:hanging="709"/>
        <w:rPr>
          <w:lang w:val="es-CO"/>
        </w:rPr>
      </w:pPr>
      <w:r w:rsidRPr="008608AA">
        <w:rPr>
          <w:lang w:val="es-CO"/>
        </w:rPr>
        <w:t xml:space="preserve">CONABIO. (2014). Sistema de información sobre especies invasoras en México. Comisión Nacional para el Conocimiento y Uso de la Biodiversidad. 23 de febrero de 2016. </w:t>
      </w:r>
      <w:hyperlink r:id="rId1001" w:history="1">
        <w:r w:rsidRPr="008608AA">
          <w:rPr>
            <w:lang w:val="es-CO"/>
          </w:rPr>
          <w:t>URL:http://www.biodiversidad.gob.mx/invasoras</w:t>
        </w:r>
      </w:hyperlink>
    </w:p>
    <w:p w14:paraId="392CB1C2" w14:textId="77777777" w:rsidR="00787E9A" w:rsidRPr="008608AA" w:rsidRDefault="00787E9A" w:rsidP="00787E9A">
      <w:pPr>
        <w:ind w:left="709" w:hanging="709"/>
        <w:rPr>
          <w:lang w:val="es-CO"/>
        </w:rPr>
      </w:pPr>
      <w:r w:rsidRPr="008608AA">
        <w:rPr>
          <w:lang w:val="es-CO"/>
        </w:rPr>
        <w:t>CONAGUA -Comisión Nacional del Agua. (2012). Atlas del agua en México  ISBN: 978-607-8246-29-8</w:t>
      </w:r>
    </w:p>
    <w:p w14:paraId="02AC3A38" w14:textId="77777777" w:rsidR="00787E9A" w:rsidRPr="008608AA" w:rsidRDefault="00787E9A" w:rsidP="00787E9A">
      <w:pPr>
        <w:ind w:left="709" w:hanging="709"/>
      </w:pPr>
      <w:r w:rsidRPr="008608AA">
        <w:rPr>
          <w:lang w:val="es-CO"/>
        </w:rPr>
        <w:t xml:space="preserve">Concostrina-Zubiri, L., Pescador, D. S., Martínez, I., &amp; Escudero, A. (2014). </w:t>
      </w:r>
      <w:r w:rsidRPr="008608AA">
        <w:t>Climate and small scale factors determine functional diversity shifts of biological soil crusts in Iberian drylands. </w:t>
      </w:r>
      <w:r w:rsidRPr="008608AA">
        <w:rPr>
          <w:i/>
        </w:rPr>
        <w:t>Biodiversity and conservation</w:t>
      </w:r>
      <w:r w:rsidRPr="008608AA">
        <w:t>, 23(7), (pp.1757-1770).</w:t>
      </w:r>
    </w:p>
    <w:p w14:paraId="2442288C" w14:textId="77777777" w:rsidR="00787E9A" w:rsidRPr="008608AA" w:rsidRDefault="00787E9A" w:rsidP="00787E9A">
      <w:pPr>
        <w:ind w:left="709" w:hanging="709"/>
      </w:pPr>
      <w:r w:rsidRPr="008608AA">
        <w:t xml:space="preserve">Condit, R. 1998. Ecological implications of changes in drought patterns: Shifts in forest composition in Panama. </w:t>
      </w:r>
      <w:r w:rsidRPr="008608AA">
        <w:rPr>
          <w:i/>
        </w:rPr>
        <w:t>Climatic change</w:t>
      </w:r>
      <w:r w:rsidRPr="008608AA">
        <w:t xml:space="preserve"> 39, (pp. 413–427).</w:t>
      </w:r>
    </w:p>
    <w:p w14:paraId="191A512A" w14:textId="77777777" w:rsidR="00787E9A" w:rsidRPr="008608AA" w:rsidRDefault="00787E9A" w:rsidP="00787E9A">
      <w:pPr>
        <w:ind w:left="709" w:hanging="709"/>
      </w:pPr>
      <w:r w:rsidRPr="008608AA">
        <w:t>Contreras, L. C. (1986). Bioenergetics and distribution of fossorial Spalacopus cyanus (Rodentia): thermal stress, or cost of burrowing. </w:t>
      </w:r>
      <w:r w:rsidRPr="008608AA">
        <w:rPr>
          <w:i/>
        </w:rPr>
        <w:t>Physiological Zoology</w:t>
      </w:r>
      <w:r w:rsidRPr="008608AA">
        <w:t>, 59(1), (pp. 20-28).</w:t>
      </w:r>
    </w:p>
    <w:p w14:paraId="21A87B9F" w14:textId="77777777" w:rsidR="00787E9A" w:rsidRPr="008608AA" w:rsidRDefault="00787E9A" w:rsidP="00787E9A">
      <w:pPr>
        <w:ind w:left="709" w:hanging="709"/>
      </w:pPr>
      <w:r w:rsidRPr="008608AA">
        <w:t xml:space="preserve">Cook, B. I., &amp; Seager, R. (2013). The response of the North American Monsoon to increased greenhouse gas forcing. </w:t>
      </w:r>
      <w:r w:rsidRPr="008608AA">
        <w:rPr>
          <w:i/>
        </w:rPr>
        <w:t>Journal of Geophysical Research: Atmospheres</w:t>
      </w:r>
      <w:r w:rsidRPr="008608AA">
        <w:t xml:space="preserve"> 118, (pp.1-10), doi:10.1002/jgrd.50111.</w:t>
      </w:r>
    </w:p>
    <w:p w14:paraId="579B418D" w14:textId="77777777" w:rsidR="00787E9A" w:rsidRPr="008608AA" w:rsidRDefault="00787E9A" w:rsidP="00787E9A">
      <w:pPr>
        <w:ind w:left="709" w:hanging="709"/>
      </w:pPr>
      <w:r w:rsidRPr="008608AA">
        <w:t>Cook, E. R., Woodhouse, C. A., Eakin, C. M., Meko, D. M., &amp; Stahle, D. W. (2004). Long-term aridity changes in the western United States. </w:t>
      </w:r>
      <w:r w:rsidRPr="008608AA">
        <w:rPr>
          <w:i/>
        </w:rPr>
        <w:t>Science</w:t>
      </w:r>
      <w:r w:rsidRPr="008608AA">
        <w:t>, 306(5698), (pp. 1015-1018).</w:t>
      </w:r>
    </w:p>
    <w:p w14:paraId="7A2EA04D" w14:textId="77777777" w:rsidR="00787E9A" w:rsidRPr="008608AA" w:rsidRDefault="00787E9A" w:rsidP="00787E9A">
      <w:pPr>
        <w:ind w:left="709" w:hanging="709"/>
      </w:pPr>
      <w:r w:rsidRPr="008608AA">
        <w:t>Cooke, S. J., &amp; Cowx, I. G. (2004). Review of the state of the world fishery resources: inland fisheries.</w:t>
      </w:r>
    </w:p>
    <w:p w14:paraId="69C8A142" w14:textId="77777777" w:rsidR="00787E9A" w:rsidRPr="008608AA" w:rsidRDefault="00787E9A" w:rsidP="00787E9A">
      <w:pPr>
        <w:ind w:left="709" w:hanging="709"/>
      </w:pPr>
      <w:r w:rsidRPr="008608AA">
        <w:t xml:space="preserve">Cooper, T. F., De’ath, G., Fabricius, K. E., &amp; Lough, J. M. (2008). Declining coral calcification in massive Porites in two nearshore regions of the northern Great Barrier Reef. </w:t>
      </w:r>
      <w:r w:rsidRPr="008608AA">
        <w:rPr>
          <w:i/>
        </w:rPr>
        <w:t>Global Change Biology</w:t>
      </w:r>
      <w:r w:rsidRPr="008608AA">
        <w:t>, 14, (pp. 529–538).</w:t>
      </w:r>
    </w:p>
    <w:p w14:paraId="50DF4169" w14:textId="77777777" w:rsidR="00787E9A" w:rsidRPr="008608AA" w:rsidRDefault="00787E9A" w:rsidP="00787E9A">
      <w:pPr>
        <w:ind w:left="709" w:hanging="709"/>
        <w:rPr>
          <w:lang w:val="es-CO"/>
        </w:rPr>
      </w:pPr>
      <w:r w:rsidRPr="008608AA">
        <w:t xml:space="preserve">Cooper, O.R., Parrish, D.D., Stohl, A., Trainer, M., Nédélec, P., Thouret, V., Cammas, J.P., Oltmans, S.J., Johnson, B.J., Tarasick, D., Leblanc, T., McDermid, I.S., Jaffe, D., Gao, R., Stith, J., Ryerson, T., Aikin, K., Campos, T., Weinheimer, A., &amp; Avery, M.A. (2010). Increasing springtime ozone mixing ratios in the free troposphere over western North America. </w:t>
      </w:r>
      <w:r w:rsidRPr="008608AA">
        <w:rPr>
          <w:i/>
          <w:lang w:val="es-CO"/>
        </w:rPr>
        <w:t>Nature</w:t>
      </w:r>
      <w:r w:rsidRPr="008608AA">
        <w:rPr>
          <w:lang w:val="es-CO"/>
        </w:rPr>
        <w:t>, 463, (pp. 344-348), 10.1038/nature08708</w:t>
      </w:r>
    </w:p>
    <w:p w14:paraId="1FDD2A38" w14:textId="77777777" w:rsidR="00787E9A" w:rsidRPr="008608AA" w:rsidRDefault="00787E9A" w:rsidP="00787E9A">
      <w:pPr>
        <w:ind w:left="709" w:hanging="709"/>
      </w:pPr>
      <w:r w:rsidRPr="008608AA">
        <w:rPr>
          <w:lang w:val="es-CO"/>
        </w:rPr>
        <w:t xml:space="preserve">Cordy, P., Veiga, M. M., Salih, I., Al-Saadi, S., Console, S., Garcia, O., Mesa, L. A., Velásquez-López, P. C., &amp; Roeser, M. (2011). </w:t>
      </w:r>
      <w:r w:rsidRPr="008608AA">
        <w:t xml:space="preserve">Mercury contamination from artisanal gold mining in Antioquia, Colombia: The world’s highest per capita mercury pollution. </w:t>
      </w:r>
      <w:r w:rsidRPr="008608AA">
        <w:rPr>
          <w:i/>
        </w:rPr>
        <w:t xml:space="preserve">Science of the Total Environment,  </w:t>
      </w:r>
      <w:r w:rsidRPr="008608AA">
        <w:t>410-411, (pp. 154–160). Elsevier B.V. http://dx.doi.org/10.1016/j.scitotenv.2011.09.006.</w:t>
      </w:r>
    </w:p>
    <w:p w14:paraId="02A96E5B" w14:textId="77777777" w:rsidR="00787E9A" w:rsidRPr="008608AA" w:rsidRDefault="00787E9A" w:rsidP="00787E9A">
      <w:pPr>
        <w:ind w:left="709" w:hanging="709"/>
      </w:pPr>
      <w:r w:rsidRPr="008608AA">
        <w:rPr>
          <w:lang w:val="es-CO"/>
        </w:rPr>
        <w:t xml:space="preserve">Correa, S. B., Araujo, J. K., Penha, J. M. F., Nunes da Cunha, C, Stevenson, P. R., &amp; Anderson, J. T. (2015). </w:t>
      </w:r>
      <w:r w:rsidRPr="008608AA">
        <w:t xml:space="preserve">Overfishing disrupts an ancient mutualism between frugivorous fishes and plants in Neotropical wetlands. </w:t>
      </w:r>
      <w:r w:rsidRPr="008608AA">
        <w:rPr>
          <w:i/>
        </w:rPr>
        <w:t>Biological Conservation,</w:t>
      </w:r>
      <w:r w:rsidRPr="008608AA">
        <w:t xml:space="preserve"> 191, (pp. 159–167).</w:t>
      </w:r>
    </w:p>
    <w:p w14:paraId="38FB3B87" w14:textId="77777777" w:rsidR="00787E9A" w:rsidRPr="008608AA" w:rsidRDefault="00787E9A" w:rsidP="00787E9A">
      <w:pPr>
        <w:ind w:left="709" w:hanging="709"/>
      </w:pPr>
      <w:r w:rsidRPr="008608AA">
        <w:t xml:space="preserve">Coscieme, L., Pulselli, F. M., Niccolucci, V., Patrizi, N., &amp; Sutton, P. C. (2016). Accounting for “land-grabbing” from a biocapacity viewpoint. </w:t>
      </w:r>
      <w:r w:rsidRPr="008608AA">
        <w:rPr>
          <w:i/>
        </w:rPr>
        <w:t>Science of the Total Environment</w:t>
      </w:r>
      <w:r w:rsidRPr="008608AA">
        <w:t>, 539, (pp. 551–559). http://doi.org/10.1016/j.scitotenv.2015.09.021</w:t>
      </w:r>
    </w:p>
    <w:p w14:paraId="192772CE" w14:textId="77777777" w:rsidR="00787E9A" w:rsidRPr="008608AA" w:rsidRDefault="00787E9A" w:rsidP="00787E9A">
      <w:pPr>
        <w:ind w:left="709" w:hanging="709"/>
      </w:pPr>
      <w:r w:rsidRPr="008608AA">
        <w:rPr>
          <w:lang w:val="es-CO"/>
        </w:rPr>
        <w:t xml:space="preserve">Costa, B. G. B, Soares, T. M., Torres, R. F., &amp; Lacerda, L. D. (2013). </w:t>
      </w:r>
      <w:r w:rsidRPr="008608AA">
        <w:t xml:space="preserve">Mercury distribution in a mangrove tidal creek affected by intensive shrimp farming. </w:t>
      </w:r>
      <w:r w:rsidRPr="008608AA">
        <w:rPr>
          <w:i/>
        </w:rPr>
        <w:t>Bulletin of Environmental Contamination and Toxicology</w:t>
      </w:r>
      <w:r w:rsidRPr="008608AA">
        <w:t>, 90:, (pp. 537-541).</w:t>
      </w:r>
    </w:p>
    <w:p w14:paraId="196BFB44" w14:textId="77777777" w:rsidR="00787E9A" w:rsidRPr="008608AA" w:rsidRDefault="00787E9A" w:rsidP="00787E9A">
      <w:pPr>
        <w:ind w:left="709" w:hanging="709"/>
      </w:pPr>
      <w:r w:rsidRPr="008608AA">
        <w:t xml:space="preserve">Costello, C., Gaines, S. D., &amp; Lynham, J. (2008). Can catch shares prevent fisheries collapse? </w:t>
      </w:r>
      <w:r w:rsidRPr="008608AA">
        <w:rPr>
          <w:i/>
        </w:rPr>
        <w:t>Science,</w:t>
      </w:r>
      <w:r w:rsidRPr="008608AA">
        <w:t xml:space="preserve"> 321.5896, (pp. 1678-1681).</w:t>
      </w:r>
    </w:p>
    <w:p w14:paraId="5E931C8B" w14:textId="77777777" w:rsidR="00787E9A" w:rsidRPr="008608AA" w:rsidRDefault="00787E9A" w:rsidP="00787E9A">
      <w:pPr>
        <w:ind w:left="709" w:hanging="709"/>
      </w:pPr>
      <w:r w:rsidRPr="008608AA">
        <w:t>Côté, I. M., Darling, E. S., &amp; Brown, C. J. (2016). Interactions among ecosystem stressors and their importance in conservation.  </w:t>
      </w:r>
      <w:r w:rsidRPr="008608AA">
        <w:rPr>
          <w:i/>
        </w:rPr>
        <w:t>Proceedings of the Royal Society of London. Series B</w:t>
      </w:r>
      <w:r w:rsidRPr="008608AA">
        <w:t xml:space="preserve">, </w:t>
      </w:r>
      <w:r w:rsidRPr="008608AA">
        <w:rPr>
          <w:i/>
        </w:rPr>
        <w:t>Biological Sciences</w:t>
      </w:r>
      <w:r w:rsidRPr="008608AA">
        <w:t>,  Vol. 283, No. 1824, February (pp. 20152592). The Royal Society.</w:t>
      </w:r>
    </w:p>
    <w:p w14:paraId="4CBAED37" w14:textId="77777777" w:rsidR="00787E9A" w:rsidRPr="008608AA" w:rsidRDefault="00787E9A" w:rsidP="00787E9A">
      <w:pPr>
        <w:ind w:left="709" w:hanging="709"/>
      </w:pPr>
      <w:r w:rsidRPr="008608AA">
        <w:t xml:space="preserve">Côté, I.M, Gree, S.J., Morris, J.A. Jr., Akins, J.L., &amp; Steinke, D. (2013). Diet richness of invasive Indo-Pacific lionfish revealed by DNA barcoding. </w:t>
      </w:r>
      <w:r w:rsidRPr="008608AA">
        <w:rPr>
          <w:i/>
        </w:rPr>
        <w:t xml:space="preserve">Marine Ecology Progress Series, </w:t>
      </w:r>
      <w:r w:rsidRPr="008608AA">
        <w:t xml:space="preserve"> 472, (pp. 249−256).</w:t>
      </w:r>
    </w:p>
    <w:p w14:paraId="3A2B4653" w14:textId="77777777" w:rsidR="00787E9A" w:rsidRPr="008608AA" w:rsidRDefault="00787E9A" w:rsidP="00787E9A">
      <w:pPr>
        <w:ind w:left="709" w:hanging="709"/>
      </w:pPr>
      <w:r w:rsidRPr="008608AA">
        <w:t xml:space="preserve">Coupe, R. H., &amp; Capel, P. D. (2016). Trends in pesticide use on soybean, corn and cotton since the introduction of major genetically modified crops in the United States. </w:t>
      </w:r>
      <w:r w:rsidRPr="008608AA">
        <w:rPr>
          <w:i/>
        </w:rPr>
        <w:t>Pest Management Science</w:t>
      </w:r>
      <w:r w:rsidRPr="008608AA">
        <w:t xml:space="preserve"> 72, (pp. 1013–1022).</w:t>
      </w:r>
    </w:p>
    <w:p w14:paraId="2935B4D9" w14:textId="77777777" w:rsidR="00787E9A" w:rsidRPr="008608AA" w:rsidRDefault="00787E9A" w:rsidP="00787E9A">
      <w:pPr>
        <w:ind w:left="709" w:hanging="709"/>
      </w:pPr>
      <w:r w:rsidRPr="008608AA">
        <w:t xml:space="preserve">Coupe, R. H., Barlow, J. R. B., &amp; Capel, P. D. (2012). Complexity of human and ecosystem interactions in an agricultural landscape. </w:t>
      </w:r>
      <w:r w:rsidRPr="008608AA">
        <w:rPr>
          <w:i/>
        </w:rPr>
        <w:t xml:space="preserve">Environmental Development, </w:t>
      </w:r>
      <w:r w:rsidRPr="008608AA">
        <w:t>4, (pp. 88–104).</w:t>
      </w:r>
    </w:p>
    <w:p w14:paraId="0C67A261" w14:textId="77777777" w:rsidR="00787E9A" w:rsidRPr="008608AA" w:rsidRDefault="00787E9A" w:rsidP="00787E9A">
      <w:pPr>
        <w:ind w:left="709" w:hanging="709"/>
      </w:pPr>
      <w:r w:rsidRPr="008608AA">
        <w:t xml:space="preserve">Courtney, T., Westfield, I., &amp; Ries, J. B. (2013). CO 2 -induced ocean acidification impairs calcification in the tropical urchin </w:t>
      </w:r>
      <w:r w:rsidRPr="008608AA">
        <w:rPr>
          <w:i/>
        </w:rPr>
        <w:t>Echinometra viridis</w:t>
      </w:r>
      <w:r w:rsidRPr="008608AA">
        <w:t xml:space="preserve">. </w:t>
      </w:r>
      <w:r w:rsidRPr="008608AA">
        <w:rPr>
          <w:i/>
        </w:rPr>
        <w:t>Journal of Experimental Marine Biology and Ecology,</w:t>
      </w:r>
      <w:r w:rsidRPr="008608AA">
        <w:t xml:space="preserve"> 440, (pp.169–175).</w:t>
      </w:r>
    </w:p>
    <w:p w14:paraId="7ECD29E4" w14:textId="77777777" w:rsidR="00787E9A" w:rsidRPr="008608AA" w:rsidRDefault="00787E9A" w:rsidP="00787E9A">
      <w:pPr>
        <w:ind w:left="709" w:hanging="709"/>
      </w:pPr>
      <w:r w:rsidRPr="008608AA">
        <w:t xml:space="preserve">Cox, J. R., Martin-R, M. H., Ibarra-F, F. A., Fourie, J. H., Rethman, N. F. G., &amp; Wilcox, D. G. (1988). The influence of climate and soils on the distribution of four African grasses. </w:t>
      </w:r>
      <w:r w:rsidRPr="008608AA">
        <w:rPr>
          <w:i/>
        </w:rPr>
        <w:t>Journal of Range Management</w:t>
      </w:r>
      <w:r w:rsidRPr="008608AA">
        <w:t>, 41(March), (pp. 127–139). https://doi.org/10.2307/3898948</w:t>
      </w:r>
    </w:p>
    <w:p w14:paraId="1FCD1B0C" w14:textId="77777777" w:rsidR="00787E9A" w:rsidRPr="008608AA" w:rsidRDefault="00787E9A" w:rsidP="00787E9A">
      <w:pPr>
        <w:ind w:left="709" w:hanging="709"/>
      </w:pPr>
      <w:r w:rsidRPr="008608AA">
        <w:t>Cox, O.N., &amp; Clements, W.H. (2013). An integrated assessment of polycyclic aromatic hydrocarbons (PAHs) and benthic macroinvertebrate communities in Isle Royale National Park. </w:t>
      </w:r>
      <w:r w:rsidRPr="008608AA">
        <w:rPr>
          <w:i/>
        </w:rPr>
        <w:t>Journal of Great Lakes Research</w:t>
      </w:r>
      <w:r w:rsidRPr="008608AA">
        <w:t>, 39(1), (pp.74-82).</w:t>
      </w:r>
    </w:p>
    <w:p w14:paraId="1A9361B8" w14:textId="77777777" w:rsidR="00787E9A" w:rsidRPr="008608AA" w:rsidRDefault="00787E9A" w:rsidP="00787E9A">
      <w:pPr>
        <w:ind w:left="709" w:hanging="709"/>
        <w:rPr>
          <w:lang w:val="es-CO"/>
        </w:rPr>
      </w:pPr>
      <w:r w:rsidRPr="008608AA">
        <w:t xml:space="preserve">Crabbé, A., &amp; Leroy, P. (2008). The handbook of environmental policy evaluation. </w:t>
      </w:r>
      <w:r w:rsidRPr="008608AA">
        <w:rPr>
          <w:lang w:val="es-CO"/>
        </w:rPr>
        <w:t>London: Earthscan.</w:t>
      </w:r>
    </w:p>
    <w:p w14:paraId="231898D3" w14:textId="77777777" w:rsidR="00787E9A" w:rsidRPr="008608AA" w:rsidRDefault="00787E9A" w:rsidP="00787E9A">
      <w:pPr>
        <w:ind w:left="709" w:hanging="709"/>
      </w:pPr>
      <w:r w:rsidRPr="008608AA">
        <w:rPr>
          <w:lang w:val="es-CO"/>
        </w:rPr>
        <w:t xml:space="preserve">Crema, L. C., Biudes, J. F. V. , &amp; Camargo, A. F. M. (2011). </w:t>
      </w:r>
      <w:r w:rsidRPr="008608AA">
        <w:t xml:space="preserve">Effect of Urucu oil (Brazilian Amazon) on the biomass of the aquatic macrophyte </w:t>
      </w:r>
      <w:r w:rsidRPr="008608AA">
        <w:rPr>
          <w:i/>
        </w:rPr>
        <w:t>Eichhornia crassipes</w:t>
      </w:r>
      <w:r w:rsidRPr="008608AA">
        <w:t xml:space="preserve"> (Mart.) Solms (Pontederiaceae). </w:t>
      </w:r>
      <w:r w:rsidRPr="008608AA">
        <w:rPr>
          <w:i/>
        </w:rPr>
        <w:t>Acta Limnologica Brasiliensia</w:t>
      </w:r>
      <w:r w:rsidRPr="008608AA">
        <w:t xml:space="preserve">, 23, (pp. 406–411). </w:t>
      </w:r>
    </w:p>
    <w:p w14:paraId="01ABAD59" w14:textId="77777777" w:rsidR="00787E9A" w:rsidRPr="00A3137A" w:rsidRDefault="00787E9A" w:rsidP="00787E9A">
      <w:pPr>
        <w:ind w:left="709" w:hanging="709"/>
        <w:rPr>
          <w:lang w:val="fr-FR"/>
        </w:rPr>
      </w:pPr>
      <w:r w:rsidRPr="008608AA">
        <w:t>Cross, F.A., Evans, D.W., &amp; Barber, R.T. (2015). Decadal declines of mercury in adult bluefish (1972–2011) from the mid-Atlantic coast of the USA. </w:t>
      </w:r>
      <w:r w:rsidRPr="00A3137A">
        <w:rPr>
          <w:i/>
          <w:lang w:val="fr-FR"/>
        </w:rPr>
        <w:t>Environmental science &amp; technology</w:t>
      </w:r>
      <w:r w:rsidRPr="00A3137A">
        <w:rPr>
          <w:lang w:val="fr-FR"/>
        </w:rPr>
        <w:t>, 49(15), (pp.9064-9072).</w:t>
      </w:r>
    </w:p>
    <w:p w14:paraId="3225E8E1" w14:textId="77777777" w:rsidR="00787E9A" w:rsidRPr="008608AA" w:rsidRDefault="00787E9A" w:rsidP="00787E9A">
      <w:pPr>
        <w:ind w:left="709" w:hanging="709"/>
      </w:pPr>
      <w:r w:rsidRPr="00A3137A">
        <w:rPr>
          <w:lang w:val="fr-FR"/>
        </w:rPr>
        <w:t xml:space="preserve">Cubbage, F., Diaz, D., Yapura, P., &amp; Dube, F. (2010). </w:t>
      </w:r>
      <w:r w:rsidRPr="008608AA">
        <w:t xml:space="preserve">Impacts of forest management certification in Argentina and Chile. </w:t>
      </w:r>
      <w:r w:rsidRPr="008608AA">
        <w:rPr>
          <w:i/>
        </w:rPr>
        <w:t>Forest Policy and Economics</w:t>
      </w:r>
      <w:r w:rsidRPr="008608AA">
        <w:t>, 12(7), (pp. 497–504). http://doi.org/10.1016/j.forpol.2010.06.004</w:t>
      </w:r>
    </w:p>
    <w:p w14:paraId="7363C665" w14:textId="77777777" w:rsidR="00787E9A" w:rsidRPr="008608AA" w:rsidRDefault="00787E9A" w:rsidP="00787E9A">
      <w:pPr>
        <w:ind w:left="709" w:hanging="709"/>
      </w:pPr>
      <w:r w:rsidRPr="008608AA">
        <w:rPr>
          <w:lang w:val="es-CO"/>
        </w:rPr>
        <w:t xml:space="preserve">Cunha, D. D. A., &amp; Ferreira, L. V. (2012). </w:t>
      </w:r>
      <w:r w:rsidRPr="008608AA">
        <w:t>Impacts of the Belo Monte hydroelectric dam construction on pioneer vegetation formations along the Xingu River, Pará State, Brazil. </w:t>
      </w:r>
      <w:r w:rsidRPr="008608AA">
        <w:rPr>
          <w:i/>
        </w:rPr>
        <w:t>Brazilian Journal of Botany</w:t>
      </w:r>
      <w:r w:rsidRPr="008608AA">
        <w:t>, 35(2), (pp. 159-167).</w:t>
      </w:r>
    </w:p>
    <w:p w14:paraId="55BF0C8C" w14:textId="77777777" w:rsidR="00787E9A" w:rsidRPr="008608AA" w:rsidRDefault="00787E9A" w:rsidP="00787E9A">
      <w:pPr>
        <w:ind w:left="709" w:hanging="709"/>
      </w:pPr>
      <w:r w:rsidRPr="008608AA">
        <w:t>Cusack, D.F., Lee, J.K., McCleery, T.L., &amp; LeCroy, C.S. (2015). Exotic grasses and nitrate enrichment alter soil carbon cycling along an urban–rural tropical forest gradient. </w:t>
      </w:r>
      <w:r w:rsidRPr="008608AA">
        <w:rPr>
          <w:i/>
        </w:rPr>
        <w:t>Global change biology</w:t>
      </w:r>
      <w:r w:rsidRPr="008608AA">
        <w:t>, 21(12), (pp.4481-4496).</w:t>
      </w:r>
    </w:p>
    <w:p w14:paraId="1D513A71" w14:textId="77777777" w:rsidR="00787E9A" w:rsidRPr="008608AA" w:rsidRDefault="00787E9A" w:rsidP="00787E9A">
      <w:pPr>
        <w:ind w:left="709" w:hanging="709"/>
      </w:pPr>
      <w:r w:rsidRPr="008608AA">
        <w:t>Cyr, D., Gauthier, S., Bergeron, Y., &amp; Carcaillet, C. (2009). Forest management is driving the eastern North American boreal forest outside its natural range of variability. </w:t>
      </w:r>
      <w:r w:rsidRPr="008608AA">
        <w:rPr>
          <w:i/>
        </w:rPr>
        <w:t>Frontiers in Ecology and the Environment</w:t>
      </w:r>
      <w:r w:rsidRPr="008608AA">
        <w:t>, 7(10), (pp. 519-524).</w:t>
      </w:r>
    </w:p>
    <w:p w14:paraId="503BC3E3" w14:textId="77777777" w:rsidR="00787E9A" w:rsidRPr="008608AA" w:rsidRDefault="00787E9A" w:rsidP="00787E9A">
      <w:pPr>
        <w:ind w:left="709" w:hanging="709"/>
      </w:pPr>
      <w:r w:rsidRPr="008608AA">
        <w:t xml:space="preserve">D’Antonio, C. M., &amp; Vitousek, P. M. (1992). Biological Invasions by Exotic Grasses, the Grass/Fire Cycle, and Global Change. </w:t>
      </w:r>
      <w:r w:rsidRPr="008608AA">
        <w:rPr>
          <w:i/>
        </w:rPr>
        <w:t>Annual Review of Ecology and Systematics</w:t>
      </w:r>
      <w:r w:rsidRPr="008608AA">
        <w:t>, 23(1), (pp. 63–87). https://doi.org/10.1146/annurev.es.23.110192.000431</w:t>
      </w:r>
    </w:p>
    <w:p w14:paraId="1FD6B635" w14:textId="77777777" w:rsidR="00787E9A" w:rsidRPr="008608AA" w:rsidRDefault="00787E9A" w:rsidP="00787E9A">
      <w:pPr>
        <w:ind w:left="709" w:hanging="709"/>
      </w:pPr>
      <w:r w:rsidRPr="008608AA">
        <w:t xml:space="preserve">Dai, A., Qian, T., Trenberth, K. E., &amp; Milliman, J. D. (2009). Changes in continental freshwater discharge from 1948 to 2004. </w:t>
      </w:r>
      <w:r w:rsidRPr="008608AA">
        <w:rPr>
          <w:i/>
        </w:rPr>
        <w:t>Journal of Climate</w:t>
      </w:r>
      <w:r w:rsidRPr="008608AA">
        <w:t>, 22, (pp.2773–2792).</w:t>
      </w:r>
    </w:p>
    <w:p w14:paraId="0B18C176" w14:textId="77777777" w:rsidR="00787E9A" w:rsidRPr="008608AA" w:rsidRDefault="00787E9A" w:rsidP="00787E9A">
      <w:pPr>
        <w:ind w:left="709" w:hanging="709"/>
      </w:pPr>
      <w:r w:rsidRPr="008608AA">
        <w:t xml:space="preserve">Dai, Z., Johnson, K. D., Birdsey, R. A., Hernandez-Stefanoni, J. L., &amp; Dupuy, J. M. (2015). Assessing the effect of climate change on carbon sequestration in a Mexican dry forest in the Yucatan Peninsula. </w:t>
      </w:r>
      <w:r w:rsidRPr="008608AA">
        <w:rPr>
          <w:i/>
        </w:rPr>
        <w:t xml:space="preserve">Ecological Complexity, </w:t>
      </w:r>
      <w:r w:rsidRPr="008608AA">
        <w:t xml:space="preserve"> 24, (pp. 46–56). Elsevier B.V. http://linkinghub.elsevier.com/retrieve/pii/S1476945X15001002.</w:t>
      </w:r>
    </w:p>
    <w:p w14:paraId="4FC273CE" w14:textId="77777777" w:rsidR="00787E9A" w:rsidRPr="008608AA" w:rsidRDefault="00787E9A" w:rsidP="00787E9A">
      <w:pPr>
        <w:ind w:left="709" w:hanging="709"/>
      </w:pPr>
      <w:r w:rsidRPr="008608AA">
        <w:t xml:space="preserve">Dai, A., Trenberth, K. E., &amp; Qian, T. (2004). A Global Dataset of Palmer Drought Severity Index for 1870–2002: Relationship with Soil Moisture and Effects of Surface Warming. </w:t>
      </w:r>
      <w:r w:rsidRPr="008608AA">
        <w:rPr>
          <w:i/>
        </w:rPr>
        <w:t>Journal of Hydrometeorolog</w:t>
      </w:r>
      <w:r w:rsidRPr="008608AA">
        <w:t xml:space="preserve">y, 5, (pp. 1117–1130). </w:t>
      </w:r>
    </w:p>
    <w:p w14:paraId="71E1788E" w14:textId="77777777" w:rsidR="00787E9A" w:rsidRPr="00A3137A" w:rsidRDefault="00787E9A" w:rsidP="00787E9A">
      <w:pPr>
        <w:ind w:left="709" w:hanging="709"/>
        <w:rPr>
          <w:lang w:val="fr-FR"/>
        </w:rPr>
      </w:pPr>
      <w:r w:rsidRPr="008608AA">
        <w:t>Daly, G.L., Lei, Y.D., Teixeira, C., Muir, D.C., Castillo, L.E., Jantunen, L.M., &amp; Wania, F., 2007. Organochlorine pesticides in the soils and atmosphere of Costa Rica. </w:t>
      </w:r>
      <w:r w:rsidRPr="00A3137A">
        <w:rPr>
          <w:i/>
          <w:lang w:val="fr-FR"/>
        </w:rPr>
        <w:t>Environmental science &amp; technology</w:t>
      </w:r>
      <w:r w:rsidRPr="00A3137A">
        <w:rPr>
          <w:lang w:val="fr-FR"/>
        </w:rPr>
        <w:t>, 41(4), pp.1124-1130.</w:t>
      </w:r>
    </w:p>
    <w:p w14:paraId="71DACDCE" w14:textId="77777777" w:rsidR="00787E9A" w:rsidRPr="008608AA" w:rsidRDefault="00787E9A" w:rsidP="00787E9A">
      <w:pPr>
        <w:ind w:left="709" w:hanging="709"/>
      </w:pPr>
      <w:r w:rsidRPr="00A3137A">
        <w:rPr>
          <w:lang w:val="fr-FR"/>
        </w:rPr>
        <w:t xml:space="preserve">Dallaire, R., Muckle, G., Rouget, F., Kadhel, P., Bataille, H., Guldner, L., Seurin, S., Chajès, V., Monfort, C, Boucher, O., Pierre Thomé, J., Jacobson, S. W., Multigner, L. , &amp; Cordier S. (2012). </w:t>
      </w:r>
      <w:r w:rsidRPr="008608AA">
        <w:t xml:space="preserve">Cognitive, visual, and motor development of 7-month-old Guadeloupean infants exposed to chlordecone. </w:t>
      </w:r>
      <w:r w:rsidRPr="008608AA">
        <w:rPr>
          <w:i/>
        </w:rPr>
        <w:t>Environmental Research</w:t>
      </w:r>
      <w:r w:rsidRPr="008608AA">
        <w:t>, 118, (pp. 79–85).</w:t>
      </w:r>
    </w:p>
    <w:p w14:paraId="7216392A" w14:textId="77777777" w:rsidR="00787E9A" w:rsidRPr="008608AA" w:rsidRDefault="00787E9A" w:rsidP="00787E9A">
      <w:pPr>
        <w:ind w:left="709" w:hanging="709"/>
      </w:pPr>
      <w:r w:rsidRPr="008608AA">
        <w:t xml:space="preserve">Darrigran, G. &amp; Pastorino, G. (1995). The recent introduction of asiatic bivalve, Limnoperna fortunei (Mytilidae) in to South America. </w:t>
      </w:r>
      <w:r w:rsidRPr="008608AA">
        <w:rPr>
          <w:i/>
        </w:rPr>
        <w:t>The Veliger,</w:t>
      </w:r>
      <w:r w:rsidRPr="008608AA">
        <w:t xml:space="preserve"> 38, (pp. 183-187)</w:t>
      </w:r>
    </w:p>
    <w:p w14:paraId="599BFEA9" w14:textId="77777777" w:rsidR="00787E9A" w:rsidRPr="008608AA" w:rsidRDefault="00787E9A" w:rsidP="00787E9A">
      <w:pPr>
        <w:ind w:left="709" w:hanging="709"/>
      </w:pPr>
      <w:r w:rsidRPr="008608AA">
        <w:t xml:space="preserve">Darrigran, G. (2002). Potential impact of filter-feeding invaders on temperate inland freshwater   environments. </w:t>
      </w:r>
      <w:r w:rsidRPr="008608AA">
        <w:rPr>
          <w:i/>
        </w:rPr>
        <w:t xml:space="preserve">Biological Invasions, </w:t>
      </w:r>
      <w:r w:rsidRPr="008608AA">
        <w:t>4 (pp.145-156).</w:t>
      </w:r>
    </w:p>
    <w:p w14:paraId="508583B8" w14:textId="77777777" w:rsidR="00787E9A" w:rsidRPr="008608AA" w:rsidRDefault="00787E9A" w:rsidP="00787E9A">
      <w:pPr>
        <w:ind w:left="709" w:hanging="709"/>
      </w:pPr>
      <w:r w:rsidRPr="008608AA">
        <w:t xml:space="preserve">Davidson, L.N., Krawchuk, M.A., &amp; Dulvy, N.K.  (2016). Why have global shark and ray landings declined: improved management or overfishing? </w:t>
      </w:r>
      <w:r w:rsidRPr="008608AA">
        <w:rPr>
          <w:i/>
        </w:rPr>
        <w:t>Fish and Fisheries</w:t>
      </w:r>
      <w:r w:rsidRPr="008608AA">
        <w:t>, 17(2), (pp.438-458).</w:t>
      </w:r>
    </w:p>
    <w:p w14:paraId="2D1AFA05" w14:textId="77777777" w:rsidR="00787E9A" w:rsidRPr="008608AA" w:rsidRDefault="00787E9A" w:rsidP="00787E9A">
      <w:pPr>
        <w:ind w:left="709" w:hanging="709"/>
      </w:pPr>
      <w:r w:rsidRPr="008608AA">
        <w:t xml:space="preserve">Davis, M., Douglas, C., Calcote, R., Cole, K. L., Green Winkler, M., &amp; Flakne, R. (2000). Holocene climate in the Western Great Lakes national park and lakeshores: implications for future climate change. </w:t>
      </w:r>
      <w:r w:rsidRPr="008608AA">
        <w:rPr>
          <w:i/>
        </w:rPr>
        <w:t xml:space="preserve">Conservation Biology, </w:t>
      </w:r>
      <w:r w:rsidRPr="008608AA">
        <w:t>14, (pp.968–983).</w:t>
      </w:r>
    </w:p>
    <w:p w14:paraId="7EF652ED" w14:textId="77777777" w:rsidR="00787E9A" w:rsidRPr="008608AA" w:rsidRDefault="00787E9A" w:rsidP="00787E9A">
      <w:pPr>
        <w:ind w:left="709" w:hanging="709"/>
      </w:pPr>
      <w:r w:rsidRPr="008608AA">
        <w:t>Day. O. (2009). The impacts of climate change on biodiversity in Caribbean islands: what we know, what we need to know, and building capacity for effective adaptation. CANARI Technical Report, 386, (pp. 28) ISBN 1-890792-12-8 http://www.canari.org/macarthurclimatechange.html</w:t>
      </w:r>
    </w:p>
    <w:p w14:paraId="4AD84861" w14:textId="77777777" w:rsidR="00787E9A" w:rsidRPr="008608AA" w:rsidRDefault="00787E9A" w:rsidP="00787E9A">
      <w:pPr>
        <w:ind w:left="709" w:hanging="709"/>
      </w:pPr>
      <w:r w:rsidRPr="00CE0821">
        <w:rPr>
          <w:lang w:val="es-CO"/>
        </w:rPr>
        <w:t xml:space="preserve">De Castro, F., Hagenboom, B., &amp; Baud, M. (2016). </w:t>
      </w:r>
      <w:r w:rsidRPr="008608AA">
        <w:rPr>
          <w:lang w:val="es-CO"/>
        </w:rPr>
        <w:t xml:space="preserve">Gobernanza ambiental en América Latina. </w:t>
      </w:r>
      <w:r w:rsidRPr="008608AA">
        <w:t>Buenos Aires: CLASCO.</w:t>
      </w:r>
    </w:p>
    <w:p w14:paraId="665D9BDC" w14:textId="77777777" w:rsidR="00787E9A" w:rsidRPr="008608AA" w:rsidRDefault="00787E9A" w:rsidP="00787E9A">
      <w:pPr>
        <w:ind w:left="709" w:hanging="709"/>
      </w:pPr>
      <w:r w:rsidRPr="008608AA">
        <w:t xml:space="preserve">De Gouw, J.A., Parrish, D.D., Frost, G.J., &amp;Trainer, M. (2014). Reduced emissions of CO2, NOx, and SO2 from US power plants owing to switch from coal to natural gas with combined cycle technology. </w:t>
      </w:r>
      <w:r w:rsidRPr="008608AA">
        <w:rPr>
          <w:i/>
        </w:rPr>
        <w:t>Earth's Future</w:t>
      </w:r>
      <w:r w:rsidRPr="008608AA">
        <w:t>, 2(2), (pp.75-82).</w:t>
      </w:r>
    </w:p>
    <w:p w14:paraId="303132F8" w14:textId="77777777" w:rsidR="00787E9A" w:rsidRPr="008608AA" w:rsidRDefault="00787E9A" w:rsidP="00787E9A">
      <w:pPr>
        <w:ind w:left="709" w:hanging="709"/>
      </w:pPr>
    </w:p>
    <w:p w14:paraId="6A7D2B15" w14:textId="77777777" w:rsidR="00787E9A" w:rsidRPr="008608AA" w:rsidRDefault="00787E9A" w:rsidP="00787E9A">
      <w:pPr>
        <w:ind w:left="709" w:hanging="709"/>
      </w:pPr>
      <w:r w:rsidRPr="008608AA">
        <w:t>de Oliveria, M.D., Campos, M.C.S., Paolucci, E.M., Mansur, M.C., Hamilton, S.K. 2015. Colonization and Spread of Limnoperna fortunei in South America. In D. Boltovskoy (ed.),Limnoperna fortunei, Invading Nature - Springer Series in Invasion Ecology 10, DOI 10.1007/978-3-319-13494-9_19. Springer International Publishing Switzerland. pp 333-355.</w:t>
      </w:r>
    </w:p>
    <w:p w14:paraId="5EEAC069" w14:textId="77777777" w:rsidR="00787E9A" w:rsidRPr="008608AA" w:rsidRDefault="00787E9A" w:rsidP="00787E9A">
      <w:pPr>
        <w:ind w:left="709" w:hanging="709"/>
      </w:pPr>
    </w:p>
    <w:p w14:paraId="6EE458AE" w14:textId="77777777" w:rsidR="00787E9A" w:rsidRPr="008608AA" w:rsidRDefault="00787E9A" w:rsidP="00787E9A">
      <w:pPr>
        <w:ind w:left="709" w:hanging="709"/>
      </w:pPr>
      <w:r w:rsidRPr="008608AA">
        <w:t>De Groot, R. S., Wilson, M. A., &amp; Boumans, R. M. (2002). A typology for the classification, description and valuation of ecosystem functions, goods and services. </w:t>
      </w:r>
      <w:r w:rsidRPr="008608AA">
        <w:rPr>
          <w:i/>
        </w:rPr>
        <w:t>Ecological economics</w:t>
      </w:r>
      <w:r w:rsidRPr="008608AA">
        <w:t>, 41(3), (pp. 393-408).</w:t>
      </w:r>
    </w:p>
    <w:p w14:paraId="492AF190" w14:textId="77777777" w:rsidR="00787E9A" w:rsidRPr="008608AA" w:rsidRDefault="00787E9A" w:rsidP="00787E9A">
      <w:pPr>
        <w:ind w:left="709" w:hanging="709"/>
      </w:pPr>
      <w:r w:rsidRPr="008608AA">
        <w:t>de la Barrera, E., &amp; Castellanos, A. (2007). High temperature effects on gas exchange for the invasive buffel grass (</w:t>
      </w:r>
      <w:r w:rsidRPr="008608AA">
        <w:rPr>
          <w:i/>
        </w:rPr>
        <w:t>Pennisetum ciliare</w:t>
      </w:r>
      <w:r w:rsidRPr="008608AA">
        <w:t xml:space="preserve"> [L.] Link). </w:t>
      </w:r>
      <w:r w:rsidRPr="008608AA">
        <w:rPr>
          <w:i/>
        </w:rPr>
        <w:t>Weed Biology and Management</w:t>
      </w:r>
      <w:r w:rsidRPr="008608AA">
        <w:t>, 7(2), (pp. 128–131). https://doi.org/10.1111/j.1445-6664.2007.00248.x</w:t>
      </w:r>
    </w:p>
    <w:p w14:paraId="0F81FFF3" w14:textId="77777777" w:rsidR="00787E9A" w:rsidRPr="008608AA" w:rsidRDefault="00787E9A" w:rsidP="00787E9A">
      <w:pPr>
        <w:ind w:left="709" w:hanging="709"/>
      </w:pPr>
      <w:r w:rsidRPr="008608AA">
        <w:rPr>
          <w:lang w:val="es-CO"/>
        </w:rPr>
        <w:t xml:space="preserve">De la Casa, A.C., &amp; Ovando, G.G. (2014). </w:t>
      </w:r>
      <w:r w:rsidRPr="008608AA">
        <w:t>Climate change and its impact on agricultural potential in the central region of Argentina between 1941 and 2010. </w:t>
      </w:r>
      <w:r w:rsidRPr="008608AA">
        <w:rPr>
          <w:i/>
        </w:rPr>
        <w:t>Agricultural and forest meteorology</w:t>
      </w:r>
      <w:r w:rsidRPr="008608AA">
        <w:t>, 195, (pp.1-11).</w:t>
      </w:r>
    </w:p>
    <w:p w14:paraId="0944D091" w14:textId="77777777" w:rsidR="00787E9A" w:rsidRPr="008608AA" w:rsidRDefault="00787E9A" w:rsidP="00787E9A">
      <w:pPr>
        <w:ind w:left="709" w:hanging="709"/>
      </w:pPr>
      <w:r w:rsidRPr="008608AA">
        <w:t xml:space="preserve">de Moura, Y. M., Hilker, T., Lyapustin, A. I., Galvão, L. S., dos Santos, J. R., Anderson, L. O., de Sousa, C. H. R., &amp; Arai, E. (2015). Seasonality and drought effects of Amazonian forests observed from multi-angle satellite data. </w:t>
      </w:r>
      <w:r w:rsidRPr="008608AA">
        <w:rPr>
          <w:i/>
        </w:rPr>
        <w:t>Remote Sensing of Environment,</w:t>
      </w:r>
      <w:r w:rsidRPr="008608AA">
        <w:t xml:space="preserve"> 171 (pp. 278–290).</w:t>
      </w:r>
    </w:p>
    <w:p w14:paraId="30020280" w14:textId="77777777" w:rsidR="00787E9A" w:rsidRPr="008608AA" w:rsidRDefault="00787E9A" w:rsidP="00787E9A">
      <w:pPr>
        <w:ind w:left="709" w:hanging="709"/>
      </w:pPr>
      <w:r w:rsidRPr="008608AA">
        <w:t xml:space="preserve">Defenders of Wildlife. (2016). Trends in Wildlife Imports from Latin America Deined Entry into the United States. </w:t>
      </w:r>
      <w:r w:rsidRPr="008608AA">
        <w:rPr>
          <w:i/>
        </w:rPr>
        <w:t>Fact Sheet</w:t>
      </w:r>
      <w:r w:rsidRPr="008608AA">
        <w:t>, Washington DC.</w:t>
      </w:r>
    </w:p>
    <w:p w14:paraId="5826A856" w14:textId="77777777" w:rsidR="00787E9A" w:rsidRPr="008608AA" w:rsidRDefault="00787E9A" w:rsidP="00787E9A">
      <w:pPr>
        <w:ind w:left="709" w:hanging="709"/>
        <w:rPr>
          <w:lang w:val="es-CO"/>
        </w:rPr>
      </w:pPr>
      <w:r w:rsidRPr="008608AA">
        <w:t>Deines, J. M., Williams, D., Hamlin, Q., &amp; McLachlan, J. S. (2016). Changes in forest composition in Ohio between Euro-American settlement and the present. </w:t>
      </w:r>
      <w:r w:rsidRPr="008608AA">
        <w:rPr>
          <w:i/>
          <w:lang w:val="es-CO"/>
        </w:rPr>
        <w:t>The American Midland Naturalist</w:t>
      </w:r>
      <w:r w:rsidRPr="008608AA">
        <w:rPr>
          <w:lang w:val="es-CO"/>
        </w:rPr>
        <w:t>, 176(2), (pp.247-271).</w:t>
      </w:r>
    </w:p>
    <w:p w14:paraId="5E14E227" w14:textId="77777777" w:rsidR="00787E9A" w:rsidRPr="008608AA" w:rsidRDefault="00787E9A" w:rsidP="00787E9A">
      <w:pPr>
        <w:ind w:left="709" w:hanging="709"/>
        <w:rPr>
          <w:lang w:val="es-CO"/>
        </w:rPr>
      </w:pPr>
      <w:r w:rsidRPr="008608AA">
        <w:rPr>
          <w:lang w:val="es-CO"/>
        </w:rPr>
        <w:t>Delgadillo M.J., Aguilar O.T., &amp; Rodríguez V.D. (1999). Los aspectos económicos y sociales de El Niño. (181-210 pp). In: Magaña Rueda, V. O. (edit.) Los impactos de El Niño en México. Dirección de protección civil, Secretaria de Gobernación, México.</w:t>
      </w:r>
    </w:p>
    <w:p w14:paraId="6234D61F" w14:textId="77777777" w:rsidR="00787E9A" w:rsidRPr="008608AA" w:rsidRDefault="00787E9A" w:rsidP="00787E9A">
      <w:pPr>
        <w:ind w:left="709" w:hanging="709"/>
      </w:pPr>
      <w:r w:rsidRPr="008608AA">
        <w:rPr>
          <w:lang w:val="es-CO"/>
        </w:rPr>
        <w:t xml:space="preserve">Delmas, M. A., &amp; Young O.R. (eds). </w:t>
      </w:r>
      <w:r w:rsidRPr="008608AA">
        <w:t>(2009). Governance for the Environment. New York, Cambridge University Press..</w:t>
      </w:r>
    </w:p>
    <w:p w14:paraId="200748F1" w14:textId="77777777" w:rsidR="00787E9A" w:rsidRPr="008608AA" w:rsidRDefault="00787E9A" w:rsidP="00787E9A">
      <w:pPr>
        <w:ind w:left="709" w:hanging="709"/>
      </w:pPr>
      <w:r w:rsidRPr="008608AA">
        <w:t>Delphin, S., Escobedo, F. J., Abd-Elrahman, A., &amp; Cropper, W. (2013). Mapping potential carbon and timber losses from hurricanes using a decision tree and ecosystem services driver model. </w:t>
      </w:r>
      <w:r w:rsidRPr="008608AA">
        <w:rPr>
          <w:i/>
        </w:rPr>
        <w:t>Journal of environmental management</w:t>
      </w:r>
      <w:r w:rsidRPr="008608AA">
        <w:t>, 129, (pp. 599-607).</w:t>
      </w:r>
    </w:p>
    <w:p w14:paraId="52860BAF" w14:textId="77777777" w:rsidR="00787E9A" w:rsidRPr="008608AA" w:rsidRDefault="00787E9A" w:rsidP="00787E9A">
      <w:pPr>
        <w:ind w:left="709" w:hanging="709"/>
      </w:pPr>
      <w:r w:rsidRPr="008608AA">
        <w:t>Denevan, W. M. (2004). Semi-intensive pre-European cultivation and the origins of anthropogenic dark earths in Amazonia. In: Amazonian dark earths: explorations in space and time (pp. 135-143). Springer Berlin, Heidelberg.</w:t>
      </w:r>
    </w:p>
    <w:p w14:paraId="7B7B1302" w14:textId="77777777" w:rsidR="00787E9A" w:rsidRPr="008608AA" w:rsidRDefault="00787E9A" w:rsidP="00787E9A">
      <w:pPr>
        <w:ind w:left="709" w:hanging="709"/>
      </w:pPr>
      <w:r w:rsidRPr="008608AA">
        <w:t xml:space="preserve">Denslow, J. S., &amp; DeWalt, S. J. (2008). Exotic plant invasions in tropical forests: patterns and hypotheses. </w:t>
      </w:r>
      <w:r w:rsidRPr="008608AA">
        <w:rPr>
          <w:i/>
        </w:rPr>
        <w:t>Tropical Forest Community Ecology</w:t>
      </w:r>
      <w:r w:rsidRPr="008608AA">
        <w:t>, (August), (pp. 409–426).</w:t>
      </w:r>
    </w:p>
    <w:p w14:paraId="3B953D25" w14:textId="77777777" w:rsidR="00787E9A" w:rsidRPr="00A3137A" w:rsidRDefault="00787E9A" w:rsidP="00787E9A">
      <w:pPr>
        <w:ind w:left="709" w:hanging="709"/>
        <w:rPr>
          <w:lang w:val="fr-FR"/>
        </w:rPr>
      </w:pPr>
      <w:r w:rsidRPr="008608AA">
        <w:t xml:space="preserve">Depew, D. C., Burgess, N. M.,  &amp; Campbell, L. M. (2013). Spatial patterns of methylmercury risks to common loons and piscivorous fish in Canada. </w:t>
      </w:r>
      <w:r w:rsidRPr="00A3137A">
        <w:rPr>
          <w:i/>
          <w:lang w:val="fr-FR"/>
        </w:rPr>
        <w:t>Environmental Science and Technology</w:t>
      </w:r>
      <w:r w:rsidRPr="00A3137A">
        <w:rPr>
          <w:lang w:val="fr-FR"/>
        </w:rPr>
        <w:t>, 47, (pp. 13093–13103).</w:t>
      </w:r>
    </w:p>
    <w:p w14:paraId="67579360" w14:textId="77777777" w:rsidR="00787E9A" w:rsidRPr="008608AA" w:rsidRDefault="00787E9A" w:rsidP="00787E9A">
      <w:pPr>
        <w:ind w:left="709" w:hanging="709"/>
      </w:pPr>
      <w:r w:rsidRPr="00A3137A">
        <w:rPr>
          <w:lang w:val="fr-FR"/>
        </w:rPr>
        <w:t xml:space="preserve">Després, C., Beuter, A., Richer, F., Poitras, K., Veilleux, A., Ayotte, P., Dewailly, E., Saint-Amour, D., &amp; Muckle, G. (2005). </w:t>
      </w:r>
      <w:r w:rsidRPr="008608AA">
        <w:t>Neuromotor functions in Inuit preschool children exposed to Pb, PCBs, and Hg. </w:t>
      </w:r>
      <w:r w:rsidRPr="008608AA">
        <w:rPr>
          <w:i/>
        </w:rPr>
        <w:t>Neurotoxicology and Teratology</w:t>
      </w:r>
      <w:r w:rsidRPr="008608AA">
        <w:t>, 27(2), (pp.245-257).</w:t>
      </w:r>
    </w:p>
    <w:p w14:paraId="25BDA909" w14:textId="77777777" w:rsidR="00787E9A" w:rsidRPr="008608AA" w:rsidRDefault="00787E9A" w:rsidP="00787E9A">
      <w:pPr>
        <w:ind w:left="709" w:hanging="709"/>
      </w:pPr>
      <w:r w:rsidRPr="008608AA">
        <w:t xml:space="preserve">Di Minin, E., &amp; Toivonen, T. (2015). Global Protected Area Expansion: Creating More than Paper Parks. </w:t>
      </w:r>
      <w:r w:rsidRPr="008608AA">
        <w:rPr>
          <w:i/>
        </w:rPr>
        <w:t>BioScience</w:t>
      </w:r>
      <w:r w:rsidRPr="008608AA">
        <w:t>, 65(7), (pp. 637–638). http://doi.org/10.1093/biosci/biv064</w:t>
      </w:r>
    </w:p>
    <w:p w14:paraId="780A8BF8" w14:textId="77777777" w:rsidR="00787E9A" w:rsidRPr="008608AA" w:rsidRDefault="00787E9A" w:rsidP="00787E9A">
      <w:pPr>
        <w:ind w:left="709" w:hanging="709"/>
      </w:pPr>
      <w:r w:rsidRPr="008608AA">
        <w:t>Diaz, R.J., &amp; Rosenberg, R. (2008). Spreading dead zones and consequences for marine ecosystems. </w:t>
      </w:r>
      <w:r w:rsidRPr="008608AA">
        <w:rPr>
          <w:i/>
        </w:rPr>
        <w:t>Science</w:t>
      </w:r>
      <w:r w:rsidRPr="008608AA">
        <w:t>, 321(5891), (pp.926-929).</w:t>
      </w:r>
    </w:p>
    <w:p w14:paraId="47A890CB" w14:textId="77777777" w:rsidR="00787E9A" w:rsidRPr="008608AA" w:rsidRDefault="00787E9A" w:rsidP="00787E9A">
      <w:pPr>
        <w:ind w:left="709" w:hanging="709"/>
      </w:pPr>
      <w:r w:rsidRPr="008608AA">
        <w:t xml:space="preserve">Didham, R. K., Tylianakis, J. M., Gemmell, N. J., Rand, T. A., &amp; Ewers, R. M. (2007). Interactive effects of habitat modification and species invasion on native species decline. </w:t>
      </w:r>
      <w:r w:rsidRPr="008608AA">
        <w:rPr>
          <w:i/>
        </w:rPr>
        <w:t>Trends in Ecology and Evolution</w:t>
      </w:r>
      <w:r w:rsidRPr="008608AA">
        <w:t xml:space="preserve">, 22(9), (pp. 489–496). </w:t>
      </w:r>
    </w:p>
    <w:p w14:paraId="28C7A493" w14:textId="77777777" w:rsidR="00787E9A" w:rsidRPr="008608AA" w:rsidRDefault="00787E9A" w:rsidP="00787E9A">
      <w:pPr>
        <w:ind w:left="709" w:hanging="709"/>
      </w:pPr>
      <w:r w:rsidRPr="008608AA">
        <w:t xml:space="preserve">Dietz, R., Outridge, P. M., &amp; Hobson, K. A. (2009)Anthropogenic contributions to mercury levels in present-day Arctic animals—a review. </w:t>
      </w:r>
      <w:r w:rsidRPr="008608AA">
        <w:rPr>
          <w:i/>
        </w:rPr>
        <w:t>Science of the Total Environment</w:t>
      </w:r>
      <w:r w:rsidRPr="008608AA">
        <w:t>. Dec 1;407(24), (pp.6120-31).</w:t>
      </w:r>
    </w:p>
    <w:p w14:paraId="0E01534D" w14:textId="77777777" w:rsidR="00787E9A" w:rsidRPr="008608AA" w:rsidRDefault="00787E9A" w:rsidP="00787E9A">
      <w:pPr>
        <w:ind w:left="709" w:hanging="709"/>
      </w:pPr>
      <w:r w:rsidRPr="008608AA">
        <w:t>Dietz, R., Riget, F.F., Boertmann, D., Sonne, C., Olsen, M.T., Fjeldså, J., Falk, K., Kirkegaard, M., Egevang, C., Asmund, G., &amp;Wille, F. (2006). Time trends of mercury in feathers of West Greenland birds of prey during 1851− 2003. </w:t>
      </w:r>
      <w:r w:rsidRPr="008608AA">
        <w:rPr>
          <w:i/>
        </w:rPr>
        <w:t>Environmental science &amp; technology</w:t>
      </w:r>
      <w:r w:rsidRPr="008608AA">
        <w:t>, 40(19), (pp.5911-5916).</w:t>
      </w:r>
    </w:p>
    <w:p w14:paraId="63E577C7" w14:textId="77777777" w:rsidR="00787E9A" w:rsidRPr="008608AA" w:rsidRDefault="00787E9A" w:rsidP="00787E9A">
      <w:pPr>
        <w:ind w:left="709" w:hanging="709"/>
      </w:pPr>
      <w:r w:rsidRPr="008608AA">
        <w:t>Dietz, R., Sonne, C., Basu, N., Braune, B., O'Hara, T., Letcher, R.J., Scheuhammer, T., Andersen, M., Andreasen, C., Andriashek, D., &amp; Asmund, G. (2013). What are the toxicological effects of mercury in Arctic biota? </w:t>
      </w:r>
      <w:r w:rsidRPr="008608AA">
        <w:rPr>
          <w:i/>
        </w:rPr>
        <w:t>Science of the Total Environment</w:t>
      </w:r>
      <w:r w:rsidRPr="008608AA">
        <w:t>, 443, (pp.775-790).</w:t>
      </w:r>
    </w:p>
    <w:p w14:paraId="75310015" w14:textId="77777777" w:rsidR="00787E9A" w:rsidRPr="008608AA" w:rsidRDefault="00787E9A" w:rsidP="00787E9A">
      <w:pPr>
        <w:ind w:left="709" w:hanging="709"/>
      </w:pPr>
      <w:r w:rsidRPr="008608AA">
        <w:t>Dodds, W.K., Clements, W.H., Gido, K., Hilderbrand, R.H., King, R.S. (2010). Thresholds, breakpoints, and nonlinearity in freshwaters as related to management. </w:t>
      </w:r>
      <w:r w:rsidRPr="008608AA">
        <w:rPr>
          <w:i/>
        </w:rPr>
        <w:t>Journal of the North American Benthological Society</w:t>
      </w:r>
      <w:r w:rsidRPr="008608AA">
        <w:t>, 29(3), (pp.988-997).</w:t>
      </w:r>
    </w:p>
    <w:p w14:paraId="73DD09F4" w14:textId="77777777" w:rsidR="00787E9A" w:rsidRPr="008608AA" w:rsidRDefault="00787E9A" w:rsidP="00787E9A">
      <w:pPr>
        <w:ind w:left="709" w:hanging="709"/>
      </w:pPr>
      <w:r w:rsidRPr="008608AA">
        <w:t xml:space="preserve">Donat, M. G., Alexander, L. V., Yang, H., Durre, I., Vose, R., Dunn, R. J. H., Willett, K. M., Aguilar, E., Brunet, M., Caesar, J. , Hewitson, B., Jack, C. , Klein Tank, A. M. G., Kruger, A. C., Marengo, J., Peterson, T. C., Renom, M., Oria Rojas, C., Rusticucci, M., Salinger, J., Elrayah, A. S., Sekele, S. S., Srivastava, A. K., Trewin, B., Villarroel, C., Vincent, L. A., Zhai, P., Zhang, X., &amp; Kitching, S. (2013). Updated analyses of temperature and precipitation extreme indices since the beginning of the twentieth century: The HadEX2 dataset. </w:t>
      </w:r>
      <w:r w:rsidRPr="008608AA">
        <w:rPr>
          <w:i/>
        </w:rPr>
        <w:t>Journal of Geophysical Research Atmospheres</w:t>
      </w:r>
      <w:r w:rsidRPr="008608AA">
        <w:t>, 118, (pp. 2098–2118).</w:t>
      </w:r>
    </w:p>
    <w:p w14:paraId="01D3DE3D" w14:textId="77777777" w:rsidR="00787E9A" w:rsidRPr="008608AA" w:rsidRDefault="00787E9A" w:rsidP="00787E9A">
      <w:pPr>
        <w:ind w:left="709" w:hanging="709"/>
      </w:pPr>
      <w:r w:rsidRPr="008608AA">
        <w:t xml:space="preserve">Dorcas, M. E., Willson, J. D., Reed, R. N., Snow, R. W., Rochford, M. R., Miller, M. A., Meshaka, W. E., Andreadis, P. T., Mazzotti, F. J., Romagosa, C. M., &amp; Hart, K. M. (2012). Severe mammal declines coincide with proliferation of invasive Burmese pythons in Everglades National Park. </w:t>
      </w:r>
      <w:r w:rsidRPr="008608AA">
        <w:rPr>
          <w:i/>
        </w:rPr>
        <w:t>Proceedings of the National Academy of Sciences</w:t>
      </w:r>
      <w:r w:rsidRPr="008608AA">
        <w:t>, 109(7), (pp. 2418–2422). https://doi.org/10.1073/pnas.1115226109</w:t>
      </w:r>
    </w:p>
    <w:p w14:paraId="380182BB" w14:textId="77777777" w:rsidR="00787E9A" w:rsidRPr="008608AA" w:rsidRDefault="00787E9A" w:rsidP="00787E9A">
      <w:pPr>
        <w:ind w:left="709" w:hanging="709"/>
      </w:pPr>
      <w:r w:rsidRPr="008608AA">
        <w:t>Dornelas, M. (2010). Disturbance and change in biodiversity. </w:t>
      </w:r>
      <w:r w:rsidRPr="008608AA">
        <w:rPr>
          <w:i/>
        </w:rPr>
        <w:t>Philosophical Transactions of the Royal Society of London B: Biological Sciences</w:t>
      </w:r>
      <w:r w:rsidRPr="008608AA">
        <w:t>, 365(1558), (pp. 3719-3727).</w:t>
      </w:r>
    </w:p>
    <w:p w14:paraId="2D011F19" w14:textId="77777777" w:rsidR="00787E9A" w:rsidRPr="008608AA" w:rsidRDefault="00787E9A" w:rsidP="00787E9A">
      <w:pPr>
        <w:ind w:left="709" w:hanging="709"/>
      </w:pPr>
      <w:r w:rsidRPr="008608AA">
        <w:t>Drew, J. A. (2005). Use of traditional ecological knowledge in marine conservation. </w:t>
      </w:r>
      <w:r w:rsidRPr="008608AA">
        <w:rPr>
          <w:i/>
        </w:rPr>
        <w:t>Conservation biology</w:t>
      </w:r>
      <w:r w:rsidRPr="008608AA">
        <w:t>, 19(4), (pp. 1286-1293).</w:t>
      </w:r>
    </w:p>
    <w:p w14:paraId="1F12C06D" w14:textId="77777777" w:rsidR="00787E9A" w:rsidRPr="008608AA" w:rsidRDefault="00787E9A" w:rsidP="00787E9A">
      <w:pPr>
        <w:ind w:left="709" w:hanging="709"/>
      </w:pPr>
      <w:r w:rsidRPr="008608AA">
        <w:t xml:space="preserve">Driscoll, C. T., Han, Y. J., Chen, C. Y., Evers, D. C., Lambert, K. F., Holsen, T. M., Kamman, N. C., &amp; Munson, R. K. (2007). Mercury contamination in forest and freshwater ecosystems in the northeastern United States. </w:t>
      </w:r>
      <w:r w:rsidRPr="008608AA">
        <w:rPr>
          <w:i/>
        </w:rPr>
        <w:t>Bioscience</w:t>
      </w:r>
      <w:r w:rsidRPr="008608AA">
        <w:t xml:space="preserve">, 57, (pp.17–28). </w:t>
      </w:r>
    </w:p>
    <w:p w14:paraId="2D6CCDDF" w14:textId="77777777" w:rsidR="00787E9A" w:rsidRPr="008608AA" w:rsidRDefault="00787E9A" w:rsidP="00787E9A">
      <w:pPr>
        <w:ind w:left="709" w:hanging="709"/>
      </w:pPr>
      <w:r w:rsidRPr="008608AA">
        <w:t>Drummond, M. A., &amp; Loveland, T. R. (2010). Land-use pressure and a transition to forest-cover loss in the eastern United States. B</w:t>
      </w:r>
      <w:r w:rsidRPr="008608AA">
        <w:rPr>
          <w:i/>
        </w:rPr>
        <w:t>ioScience</w:t>
      </w:r>
      <w:r w:rsidRPr="008608AA">
        <w:t>, 60(4), (pp. 286-298).</w:t>
      </w:r>
    </w:p>
    <w:p w14:paraId="4222A74C" w14:textId="77777777" w:rsidR="00787E9A" w:rsidRPr="008608AA" w:rsidRDefault="00787E9A" w:rsidP="00787E9A">
      <w:pPr>
        <w:ind w:left="709" w:hanging="709"/>
      </w:pPr>
      <w:r w:rsidRPr="008608AA">
        <w:t xml:space="preserve">Dudgeon, D., Arthington, A. H., Gessner, M. O., Kawabata, Z., Knowler, D. J., Lévêque, C., Naiman, R. J., Prieur-Richard, A. H., Soto, D., Stiassny, M. L. J., &amp; Sullivan, C. A. (2006). Freshwater biodiversity: importance, threats, status and conservation challenges. </w:t>
      </w:r>
      <w:r w:rsidRPr="008608AA">
        <w:rPr>
          <w:i/>
        </w:rPr>
        <w:t>Biological Reviews of the Cambridge Philosophical Society,</w:t>
      </w:r>
      <w:r w:rsidRPr="008608AA">
        <w:t xml:space="preserve"> 81, (pp. 163–82). http://www.ncbi.nlm.nih.gov/pubmed/16336747.</w:t>
      </w:r>
    </w:p>
    <w:p w14:paraId="4678ECCB" w14:textId="77777777" w:rsidR="00787E9A" w:rsidRPr="008608AA" w:rsidRDefault="00787E9A" w:rsidP="00787E9A">
      <w:pPr>
        <w:ind w:left="709" w:hanging="709"/>
      </w:pPr>
      <w:r w:rsidRPr="008608AA">
        <w:rPr>
          <w:lang w:val="es-CO"/>
        </w:rPr>
        <w:t xml:space="preserve">Dudka, S., &amp; Adriano, D.C. (1997). </w:t>
      </w:r>
      <w:r w:rsidRPr="008608AA">
        <w:t xml:space="preserve">Environmental Impacts of Metal Ore Mining and Processing: A Review. </w:t>
      </w:r>
      <w:r w:rsidRPr="008608AA">
        <w:rPr>
          <w:i/>
        </w:rPr>
        <w:t>Journal of Environmental Quality</w:t>
      </w:r>
      <w:r w:rsidRPr="008608AA">
        <w:t>, 26, (pp. 590-602), 10.2134/jeq1997.00472425002600030003x</w:t>
      </w:r>
    </w:p>
    <w:p w14:paraId="28210DF3" w14:textId="77777777" w:rsidR="00787E9A" w:rsidRPr="008608AA" w:rsidRDefault="00787E9A" w:rsidP="00787E9A">
      <w:pPr>
        <w:ind w:left="709" w:hanging="709"/>
      </w:pPr>
      <w:r w:rsidRPr="008608AA">
        <w:t>Dudley, N., Jeanrenaud, J.P., &amp; Sullivan, F. (2014). Bad harvest: The timber trade and the degradation of global forests. Routledge,.</w:t>
      </w:r>
    </w:p>
    <w:p w14:paraId="1720F3D4" w14:textId="77777777" w:rsidR="00787E9A" w:rsidRPr="008608AA" w:rsidRDefault="00787E9A" w:rsidP="00787E9A">
      <w:pPr>
        <w:ind w:left="709" w:hanging="709"/>
      </w:pPr>
      <w:r w:rsidRPr="008608AA">
        <w:t xml:space="preserve">Duke, N. C. (2016). Oil spill impacts on mangroves: recommendations for operational planning and action based on a global review. </w:t>
      </w:r>
      <w:r w:rsidRPr="008608AA">
        <w:rPr>
          <w:i/>
        </w:rPr>
        <w:t>Marine Pollution Bulletin,</w:t>
      </w:r>
      <w:r w:rsidRPr="008608AA">
        <w:t xml:space="preserve"> 109, (pp. 700–715).</w:t>
      </w:r>
    </w:p>
    <w:p w14:paraId="6636C99B" w14:textId="77777777" w:rsidR="00787E9A" w:rsidRPr="008608AA" w:rsidRDefault="00787E9A" w:rsidP="00787E9A">
      <w:pPr>
        <w:ind w:left="709" w:hanging="709"/>
      </w:pPr>
      <w:r w:rsidRPr="008608AA">
        <w:t xml:space="preserve">Duke, N. C., Meynecke, J. 0., Dittmann, A. M., Ellison, A. M., Anger, K., Berger, U., Cannicci, S., Diele, K., Ewel, K. C., Field, C. D., Koedam, N., Lee, S.Y., Marchand, C., Nordhaus, I., &amp; Dahdouh-Guebas, F. (2007). A world without mangroves? </w:t>
      </w:r>
      <w:r w:rsidRPr="008608AA">
        <w:rPr>
          <w:i/>
        </w:rPr>
        <w:t>Science</w:t>
      </w:r>
      <w:r w:rsidRPr="008608AA">
        <w:t>, 317, (pp.41-42).</w:t>
      </w:r>
    </w:p>
    <w:p w14:paraId="5EE124FC" w14:textId="77777777" w:rsidR="00787E9A" w:rsidRPr="008608AA" w:rsidRDefault="00787E9A" w:rsidP="00787E9A">
      <w:pPr>
        <w:ind w:left="709" w:hanging="709"/>
      </w:pPr>
      <w:r w:rsidRPr="008608AA">
        <w:t>Dunbar, J.B., Britsch, L.D., &amp; Kemp, III, E.B. (1992). Land Loss Rates: Report 3, Louisiana Coastal Plain, Technical Report GL-90-2, U.S. Army Corps of Engineers District, New Orleans, LA, 28 p.</w:t>
      </w:r>
    </w:p>
    <w:p w14:paraId="7E54C40A" w14:textId="77777777" w:rsidR="00787E9A" w:rsidRPr="008608AA" w:rsidRDefault="00787E9A" w:rsidP="00787E9A">
      <w:pPr>
        <w:ind w:left="709" w:hanging="709"/>
      </w:pPr>
      <w:r w:rsidRPr="008608AA">
        <w:rPr>
          <w:lang w:val="es-CO"/>
        </w:rPr>
        <w:t xml:space="preserve">Durnford, D., Dastoor, A., Figueras-Nieto, D., &amp; Ryjkov, A. (2010). </w:t>
      </w:r>
      <w:r w:rsidRPr="008608AA">
        <w:t>Long range transport of mercury to the Arctic and across Canada. </w:t>
      </w:r>
      <w:r w:rsidRPr="008608AA">
        <w:rPr>
          <w:i/>
        </w:rPr>
        <w:t>Atmospheric Chemistry and Physics</w:t>
      </w:r>
      <w:r w:rsidRPr="008608AA">
        <w:t>, 10(13), (pp.6063-6086).</w:t>
      </w:r>
    </w:p>
    <w:p w14:paraId="14F1B470" w14:textId="77777777" w:rsidR="00787E9A" w:rsidRPr="008608AA" w:rsidRDefault="00787E9A" w:rsidP="00787E9A">
      <w:pPr>
        <w:ind w:left="709" w:hanging="709"/>
      </w:pPr>
      <w:r w:rsidRPr="008608AA">
        <w:t>Dutfield, G. (2003). Intellectual Property Rights and the Life Science Industries: A Twentieth Century History, Burlington, VT: Ashgate.</w:t>
      </w:r>
    </w:p>
    <w:p w14:paraId="17A3E975" w14:textId="77777777" w:rsidR="00787E9A" w:rsidRPr="008608AA" w:rsidRDefault="00787E9A" w:rsidP="00787E9A">
      <w:pPr>
        <w:ind w:left="709" w:hanging="709"/>
      </w:pPr>
      <w:r w:rsidRPr="008608AA">
        <w:t xml:space="preserve">Dykstra, C. R., Meyer, M. W., Warnke, D. K., Karasov, W. H., Anderson, D. E., Bowerman,  IV W. W., &amp; Giesy, J. P. (1998). Low reproductive rates of Lake Superior Bald Eagles: low food delivery rates or environmental contaminants? </w:t>
      </w:r>
      <w:r w:rsidRPr="008608AA">
        <w:rPr>
          <w:i/>
        </w:rPr>
        <w:t>Journal of Great Lakes Research,</w:t>
      </w:r>
      <w:r w:rsidRPr="008608AA">
        <w:t xml:space="preserve"> 24, (pp. 32–44). </w:t>
      </w:r>
    </w:p>
    <w:p w14:paraId="063FECE6" w14:textId="77777777" w:rsidR="00787E9A" w:rsidRPr="008608AA" w:rsidRDefault="00787E9A" w:rsidP="00787E9A">
      <w:pPr>
        <w:ind w:left="709" w:hanging="709"/>
      </w:pPr>
      <w:r w:rsidRPr="008608AA">
        <w:t xml:space="preserve">Dykstra, C. R., Meyer, M. W., Stromborg, K. L., Warnke, D. K., Bowerman, IV W. W., &amp; Best, D. A. (2001). Association of low reproductive rates and high contaminant levels in bald eagles on Green Bay, Lake Michigan. </w:t>
      </w:r>
      <w:r w:rsidRPr="008608AA">
        <w:rPr>
          <w:i/>
        </w:rPr>
        <w:t>Journal of Great Lakes Research,</w:t>
      </w:r>
      <w:r w:rsidRPr="008608AA">
        <w:t xml:space="preserve"> 27, (pp. 239–251). </w:t>
      </w:r>
    </w:p>
    <w:p w14:paraId="5D6FDA4B" w14:textId="77777777" w:rsidR="00787E9A" w:rsidRPr="008608AA" w:rsidRDefault="00787E9A" w:rsidP="00787E9A">
      <w:pPr>
        <w:ind w:left="709" w:hanging="709"/>
      </w:pPr>
      <w:r w:rsidRPr="008608AA">
        <w:t xml:space="preserve">Dykstra, C. R., Meyer, M. W., Rasmussen, P. W., &amp; Warnke, D. K. (2005). Contaminant concentrations and reproductive rate of Lake Superior bald eagles, 1989-2001. </w:t>
      </w:r>
      <w:r w:rsidRPr="008608AA">
        <w:rPr>
          <w:i/>
        </w:rPr>
        <w:t>Journal of Great Lakes Research,</w:t>
      </w:r>
      <w:r w:rsidRPr="008608AA">
        <w:t xml:space="preserve"> 31, (pp. 227–235). </w:t>
      </w:r>
    </w:p>
    <w:p w14:paraId="27164591" w14:textId="77777777" w:rsidR="00787E9A" w:rsidRPr="008608AA" w:rsidRDefault="00787E9A" w:rsidP="00787E9A">
      <w:pPr>
        <w:ind w:left="709" w:hanging="709"/>
      </w:pPr>
      <w:r w:rsidRPr="008608AA">
        <w:t xml:space="preserve">Eakin, C. M., Nim C. J., Brainard, R. E., Aubrecht, C. E., Gledhill, D. K.,  Muller-Karger, F., Mumby, P. J., Skirving, W. J., Strong, A. E., Wang, M., Weeks, S., W., Wentz, F., &amp; Ziskin, D. (2010). Monitoring coral reefs from space. </w:t>
      </w:r>
      <w:r w:rsidRPr="008608AA">
        <w:rPr>
          <w:i/>
        </w:rPr>
        <w:t>The Oceanography Society Magazine</w:t>
      </w:r>
      <w:r w:rsidRPr="008608AA">
        <w:t>, Special Volume: The Future of Oceanography From Space. December 2010. (pp. 119-133).</w:t>
      </w:r>
    </w:p>
    <w:p w14:paraId="1C7788BF" w14:textId="77777777" w:rsidR="00787E9A" w:rsidRPr="008608AA" w:rsidRDefault="00787E9A" w:rsidP="00787E9A">
      <w:pPr>
        <w:ind w:left="709" w:hanging="709"/>
      </w:pPr>
      <w:r w:rsidRPr="008608AA">
        <w:t xml:space="preserve">Early, R., Bradley, B. A., Dukes, J. S., Lawler, J. J., Olden, J. D., Blumenthal, D. M., Gonzalez, P., Grosholz, E. D., Ibañez, I., Miller, L. P., Sorte, C. J. B., &amp; Tatem, A. J. (2016). Global threats from invasive alien species in the twenty-first century and national response capacities. </w:t>
      </w:r>
      <w:r w:rsidRPr="008608AA">
        <w:rPr>
          <w:i/>
        </w:rPr>
        <w:t>Nature Communications</w:t>
      </w:r>
      <w:r w:rsidRPr="008608AA">
        <w:t>, 7. https://doi.org/10.1038/ncomms12485</w:t>
      </w:r>
    </w:p>
    <w:p w14:paraId="30C5BC4A" w14:textId="77777777" w:rsidR="00787E9A" w:rsidRPr="008608AA" w:rsidRDefault="00787E9A" w:rsidP="00787E9A">
      <w:pPr>
        <w:ind w:left="709" w:hanging="709"/>
      </w:pPr>
      <w:r w:rsidRPr="008608AA">
        <w:t>Ebisu, K., &amp; Bell, M.L. (2012). Airborne PM2. 5 chemical components and low birth weight in the northeastern and mid-Atlantic regions of the United States. </w:t>
      </w:r>
      <w:r w:rsidRPr="008608AA">
        <w:rPr>
          <w:i/>
        </w:rPr>
        <w:t>Environmental health perspectives</w:t>
      </w:r>
      <w:r w:rsidRPr="008608AA">
        <w:t>, 120(12), (pp.1746).</w:t>
      </w:r>
    </w:p>
    <w:p w14:paraId="2CD51F80" w14:textId="77777777" w:rsidR="00787E9A" w:rsidRPr="008608AA" w:rsidRDefault="00787E9A" w:rsidP="00787E9A">
      <w:pPr>
        <w:ind w:left="709" w:hanging="709"/>
      </w:pPr>
      <w:r w:rsidRPr="008608AA">
        <w:t>Echeverría, C., Smith</w:t>
      </w:r>
      <w:r w:rsidRPr="008608AA">
        <w:rPr>
          <w:rFonts w:ascii="Cambria Math" w:hAnsi="Cambria Math" w:cs="Cambria Math"/>
        </w:rPr>
        <w:t>‐</w:t>
      </w:r>
      <w:r w:rsidRPr="008608AA">
        <w:t>Ramírez, C., Aronson, J., &amp; Barrera</w:t>
      </w:r>
      <w:r w:rsidRPr="008608AA">
        <w:rPr>
          <w:rFonts w:ascii="Cambria Math" w:hAnsi="Cambria Math" w:cs="Cambria Math"/>
        </w:rPr>
        <w:t>‐</w:t>
      </w:r>
      <w:r w:rsidRPr="008608AA">
        <w:t>Cataño, J. I. (2015). Good news from Latin America and the Caribbean: national and international restoration networks are moving ahead. </w:t>
      </w:r>
      <w:r w:rsidRPr="008608AA">
        <w:rPr>
          <w:i/>
        </w:rPr>
        <w:t>Restoration Ecology</w:t>
      </w:r>
      <w:r w:rsidRPr="008608AA">
        <w:t>, 23(1), (pp. 1-3).</w:t>
      </w:r>
    </w:p>
    <w:p w14:paraId="07264952" w14:textId="77777777" w:rsidR="00787E9A" w:rsidRPr="008608AA" w:rsidRDefault="00787E9A" w:rsidP="00787E9A">
      <w:pPr>
        <w:ind w:left="709" w:hanging="709"/>
      </w:pPr>
      <w:r w:rsidRPr="008608AA">
        <w:t>Economic Commission for Latin America and the Caribbean (ECLAC) (2014). Compacts for Equality Towards a Sustainable Future. Thirty-fifth Session of ECLAC, Lima, 5-9 May 2014</w:t>
      </w:r>
    </w:p>
    <w:p w14:paraId="62D77DC4" w14:textId="77777777" w:rsidR="00787E9A" w:rsidRPr="008608AA" w:rsidRDefault="00787E9A" w:rsidP="00787E9A">
      <w:pPr>
        <w:ind w:left="709" w:hanging="709"/>
      </w:pPr>
      <w:r w:rsidRPr="008608AA">
        <w:t>Elliott, J.E., Kirk, D.A., Elliott, K.H., Dorzinsky, J., Lee, S., Inzunza, E.R., Cheng, K.M., Scheuhammer, T., &amp; Shaw, P. (2015). Mercury in forage fish from Mexico and Central America: implications for fish-eating birds. </w:t>
      </w:r>
      <w:r w:rsidRPr="008608AA">
        <w:rPr>
          <w:i/>
        </w:rPr>
        <w:t>Archives of environmental contamination and toxicology</w:t>
      </w:r>
      <w:r w:rsidRPr="008608AA">
        <w:t>, 69(4), (pp.375-389).</w:t>
      </w:r>
    </w:p>
    <w:p w14:paraId="0000C424" w14:textId="77777777" w:rsidR="00787E9A" w:rsidRPr="008608AA" w:rsidRDefault="00787E9A" w:rsidP="00787E9A">
      <w:pPr>
        <w:ind w:left="709" w:hanging="709"/>
      </w:pPr>
      <w:r w:rsidRPr="008608AA">
        <w:t xml:space="preserve">Ellis, E. C., Goldewijk, K. K., Siebert, S., Lightman, D., &amp; Ramankutty, N. (2010). Anthropogenic transformation of the biomes, 1700 to 2000. </w:t>
      </w:r>
      <w:r w:rsidRPr="008608AA">
        <w:rPr>
          <w:i/>
        </w:rPr>
        <w:t>Global Ecology and Biogeography</w:t>
      </w:r>
      <w:r w:rsidRPr="008608AA">
        <w:t>, 19, (pp. 589–606).</w:t>
      </w:r>
    </w:p>
    <w:p w14:paraId="387136D3" w14:textId="77777777" w:rsidR="00787E9A" w:rsidRPr="008608AA" w:rsidRDefault="00787E9A" w:rsidP="00787E9A">
      <w:pPr>
        <w:ind w:left="709" w:hanging="709"/>
      </w:pPr>
      <w:r w:rsidRPr="008608AA">
        <w:t xml:space="preserve">Ellison, C., Bank, M. S., Clinton, B. D., Colburn, E. A., Elliott, K., Ford, C. R., &amp; Foster, D. R. (2005). Loss of Foundation Species. Consequences for the Structure and Dynamics of Forested Ecosystems. </w:t>
      </w:r>
      <w:r w:rsidRPr="008608AA">
        <w:rPr>
          <w:i/>
        </w:rPr>
        <w:t>Fronteers in Ecology and the Environment,</w:t>
      </w:r>
      <w:r w:rsidRPr="008608AA">
        <w:t xml:space="preserve"> 3(9), (pp. 479-486) https://doi.org/10.2307/3868635</w:t>
      </w:r>
    </w:p>
    <w:p w14:paraId="6A511AC3" w14:textId="77777777" w:rsidR="00787E9A" w:rsidRPr="008608AA" w:rsidRDefault="00787E9A" w:rsidP="00787E9A">
      <w:pPr>
        <w:ind w:left="709" w:hanging="709"/>
      </w:pPr>
      <w:r w:rsidRPr="008608AA">
        <w:t xml:space="preserve">Ellison, J. (2015). Vulnerability assessment of mangroves to climate change and sea-level rise impacts. </w:t>
      </w:r>
      <w:r w:rsidRPr="008608AA">
        <w:rPr>
          <w:i/>
        </w:rPr>
        <w:t>Wetlands Ecology and Management,</w:t>
      </w:r>
      <w:r w:rsidRPr="008608AA">
        <w:t xml:space="preserve"> 23, (pp.115-137).</w:t>
      </w:r>
    </w:p>
    <w:p w14:paraId="447C97DC" w14:textId="77777777" w:rsidR="00787E9A" w:rsidRPr="008608AA" w:rsidRDefault="00787E9A" w:rsidP="00787E9A">
      <w:pPr>
        <w:ind w:left="709" w:hanging="709"/>
      </w:pPr>
      <w:r w:rsidRPr="008608AA">
        <w:t>Elser, J.J., Andersen, T., Baron, J.S., Bergström, A.K., Jansson, M., Kyle, M., Nydick, K.R., Steger, L., &amp; Hessen, D.O., (2009). Shifts in lake N: P stoichiometry and nutrient limitation driven by atmospheric nitrogen deposition. </w:t>
      </w:r>
      <w:r w:rsidRPr="008608AA">
        <w:rPr>
          <w:i/>
        </w:rPr>
        <w:t>Science</w:t>
      </w:r>
      <w:r w:rsidRPr="008608AA">
        <w:t>, 326(5954), (pp.835-837).</w:t>
      </w:r>
    </w:p>
    <w:p w14:paraId="7ADAB7C6" w14:textId="77777777" w:rsidR="00787E9A" w:rsidRPr="008608AA" w:rsidRDefault="00787E9A" w:rsidP="00787E9A">
      <w:pPr>
        <w:ind w:left="709" w:hanging="709"/>
      </w:pPr>
      <w:r w:rsidRPr="008608AA">
        <w:t>Emery, S. M., &amp; Rudgers, J. A. (2009, August). PS 73-168: Evaluating dune restorations in the Great Lakes region. In: The 94th ESA Annual Meeting.</w:t>
      </w:r>
    </w:p>
    <w:p w14:paraId="33C91380" w14:textId="77777777" w:rsidR="00787E9A" w:rsidRPr="008608AA" w:rsidRDefault="00787E9A" w:rsidP="00787E9A">
      <w:pPr>
        <w:ind w:left="709" w:hanging="709"/>
      </w:pPr>
      <w:r w:rsidRPr="008608AA">
        <w:t xml:space="preserve">Engstrom, D., &amp; Swain, E. (1997). Recent decline in atmospheric mercury deposition in the upper Midwest. </w:t>
      </w:r>
      <w:r w:rsidRPr="008608AA">
        <w:rPr>
          <w:i/>
        </w:rPr>
        <w:t>Environmental Science &amp; Technology,</w:t>
      </w:r>
      <w:r w:rsidRPr="008608AA">
        <w:t xml:space="preserve"> 31, (pp. 960–967).</w:t>
      </w:r>
    </w:p>
    <w:p w14:paraId="43FDF6FB" w14:textId="77777777" w:rsidR="00787E9A" w:rsidRPr="008608AA" w:rsidRDefault="00787E9A" w:rsidP="00787E9A">
      <w:pPr>
        <w:ind w:left="709" w:hanging="709"/>
      </w:pPr>
      <w:r w:rsidRPr="008608AA">
        <w:t>Erickson, H.E., Helmer, E.H., Brandeis, T.J., &amp; Lugo, A.E. (2014). Controls on fallen leaf chemistry and forest floor element masses in native and novel forests across a tropical island. </w:t>
      </w:r>
      <w:r w:rsidRPr="008608AA">
        <w:rPr>
          <w:i/>
        </w:rPr>
        <w:t>Ecosphere</w:t>
      </w:r>
      <w:r w:rsidRPr="008608AA">
        <w:t>, 5(4), (pp.1-28).</w:t>
      </w:r>
    </w:p>
    <w:p w14:paraId="00F8E117" w14:textId="77777777" w:rsidR="00787E9A" w:rsidRPr="008608AA" w:rsidRDefault="00787E9A" w:rsidP="00787E9A">
      <w:pPr>
        <w:ind w:left="709" w:hanging="709"/>
      </w:pPr>
      <w:r w:rsidRPr="008608AA">
        <w:t>Erisman, J.W., Sutton, M.A., Galloway, J., Klimont, Z., &amp; Winiwarter, W. (2008). How a century of ammonia synthesis changed the world. </w:t>
      </w:r>
      <w:r w:rsidRPr="008608AA">
        <w:rPr>
          <w:i/>
        </w:rPr>
        <w:t>Nature Geoscience</w:t>
      </w:r>
      <w:r w:rsidRPr="008608AA">
        <w:t>, 1(10), (pp.636).</w:t>
      </w:r>
    </w:p>
    <w:p w14:paraId="66DFE407" w14:textId="77777777" w:rsidR="00787E9A" w:rsidRPr="008608AA" w:rsidRDefault="00787E9A" w:rsidP="00787E9A">
      <w:pPr>
        <w:ind w:left="709" w:hanging="709"/>
      </w:pPr>
      <w:r w:rsidRPr="00A3137A">
        <w:rPr>
          <w:lang w:val="fr-FR"/>
        </w:rPr>
        <w:t xml:space="preserve">Essl, F., Mang, T., &amp; Moser, D. (2011). </w:t>
      </w:r>
      <w:r w:rsidRPr="008608AA">
        <w:t xml:space="preserve">Ancient and recent alien species in temperate forests: steady state and time lags. </w:t>
      </w:r>
      <w:r w:rsidRPr="008608AA">
        <w:rPr>
          <w:i/>
        </w:rPr>
        <w:t>Biological Invasions</w:t>
      </w:r>
      <w:r w:rsidRPr="008608AA">
        <w:t xml:space="preserve">, 14(7), (pp. 1331–1342). </w:t>
      </w:r>
    </w:p>
    <w:p w14:paraId="363BD4FC" w14:textId="77777777" w:rsidR="00787E9A" w:rsidRPr="008608AA" w:rsidRDefault="00787E9A" w:rsidP="00787E9A">
      <w:pPr>
        <w:ind w:left="709" w:hanging="709"/>
      </w:pPr>
      <w:r w:rsidRPr="008608AA">
        <w:t>ETC Group (2008) Who owns nature? Corporate power and the final frontier in the commodification of life, Issue No. 100, November 2008, https://www.panna.org/sites/default/files/etc_WhoOwnsNature.pdf</w:t>
      </w:r>
    </w:p>
    <w:p w14:paraId="306690D4" w14:textId="77777777" w:rsidR="00787E9A" w:rsidRPr="008608AA" w:rsidRDefault="00787E9A" w:rsidP="00787E9A">
      <w:pPr>
        <w:ind w:left="709" w:hanging="709"/>
      </w:pPr>
      <w:r w:rsidRPr="008608AA">
        <w:t>Evers, D.C., Han, Y.J., Driscoll, C.T., Kamman, N.C., Goodale, M.W., Lambert, K.F., Holsen, T.M., Chen, C.Y., Clair, T.A., &amp; Butler, T. (2007). Biological mercury hotspots in the northeastern United States and southeastern Canada. </w:t>
      </w:r>
      <w:r w:rsidRPr="008608AA">
        <w:rPr>
          <w:i/>
        </w:rPr>
        <w:t>AIBS Bulletin</w:t>
      </w:r>
      <w:r w:rsidRPr="008608AA">
        <w:t>, 57(1), (pp.29-43).</w:t>
      </w:r>
    </w:p>
    <w:p w14:paraId="69CEE137" w14:textId="77777777" w:rsidR="00787E9A" w:rsidRPr="008608AA" w:rsidRDefault="00787E9A" w:rsidP="00787E9A">
      <w:pPr>
        <w:ind w:left="709" w:hanging="709"/>
      </w:pPr>
      <w:r w:rsidRPr="008608AA">
        <w:t>Evers, D.C., Savoy, L.J., DeSorbo, C.R., Yates, D.E., Hanson, W., Taylor, K.M., Siegel, L.S., Cooley, J.H., Bank, M.S., Major, A., &amp; Munney, K. (2008). Adverse effects from environmental mercury loads on breeding common loons. </w:t>
      </w:r>
      <w:r w:rsidRPr="008608AA">
        <w:rPr>
          <w:i/>
        </w:rPr>
        <w:t>Ecotoxicology</w:t>
      </w:r>
      <w:r w:rsidRPr="008608AA">
        <w:t>, 17(2), (pp.69-81).</w:t>
      </w:r>
    </w:p>
    <w:p w14:paraId="40A2F0C5" w14:textId="77777777" w:rsidR="00787E9A" w:rsidRPr="008608AA" w:rsidRDefault="00787E9A" w:rsidP="00787E9A">
      <w:pPr>
        <w:ind w:left="709" w:hanging="709"/>
      </w:pPr>
      <w:r w:rsidRPr="008608AA">
        <w:t xml:space="preserve">Fabricius, K. E. (2005). Effects of terrestrial runoff on the ecology of corals and coral reefs: Review and synthesis. </w:t>
      </w:r>
      <w:r w:rsidRPr="008608AA">
        <w:rPr>
          <w:i/>
        </w:rPr>
        <w:t>Marine Pollution Bulletin,</w:t>
      </w:r>
      <w:r w:rsidRPr="008608AA">
        <w:t xml:space="preserve"> 50, (pp.125–146).</w:t>
      </w:r>
    </w:p>
    <w:p w14:paraId="45FB7DB9" w14:textId="77777777" w:rsidR="00787E9A" w:rsidRPr="008608AA" w:rsidRDefault="00787E9A" w:rsidP="00787E9A">
      <w:pPr>
        <w:ind w:left="709" w:hanging="709"/>
      </w:pPr>
      <w:r w:rsidRPr="008608AA">
        <w:t xml:space="preserve">Fabry, V. J., Seibel, B. A., Feely, R. A.,  &amp; Orr, J. C.  (2008). Impacts of ocean acidification on marine fauna and ecosystem processes. </w:t>
      </w:r>
      <w:r w:rsidRPr="008608AA">
        <w:rPr>
          <w:i/>
        </w:rPr>
        <w:t xml:space="preserve">ICES Journal Of Marine Sciences, </w:t>
      </w:r>
      <w:r w:rsidRPr="008608AA">
        <w:t xml:space="preserve"> 65, (pp. 414–432).</w:t>
      </w:r>
    </w:p>
    <w:p w14:paraId="5C12F8F9" w14:textId="77777777" w:rsidR="00787E9A" w:rsidRPr="008608AA" w:rsidRDefault="00787E9A" w:rsidP="00787E9A">
      <w:pPr>
        <w:ind w:left="709" w:hanging="709"/>
        <w:rPr>
          <w:lang w:val="es-CO"/>
        </w:rPr>
      </w:pPr>
      <w:r w:rsidRPr="008608AA">
        <w:t xml:space="preserve">Fadini, P. S., &amp; Jardim, W. F. (2001). Is the Negro River Basin (Amazon) impacted by naturally occurring mercury? </w:t>
      </w:r>
      <w:r w:rsidRPr="008608AA">
        <w:rPr>
          <w:i/>
          <w:lang w:val="es-CO"/>
        </w:rPr>
        <w:t>Science of the Total Environment</w:t>
      </w:r>
      <w:r w:rsidRPr="008608AA">
        <w:rPr>
          <w:lang w:val="es-CO"/>
        </w:rPr>
        <w:t>, 275, (pp.71–82).</w:t>
      </w:r>
    </w:p>
    <w:p w14:paraId="5EE64F55" w14:textId="77777777" w:rsidR="00787E9A" w:rsidRPr="008608AA" w:rsidRDefault="00787E9A" w:rsidP="00787E9A">
      <w:pPr>
        <w:ind w:left="709" w:hanging="709"/>
        <w:rPr>
          <w:lang w:val="es-CO"/>
        </w:rPr>
      </w:pPr>
      <w:r w:rsidRPr="008608AA">
        <w:rPr>
          <w:lang w:val="es-CO"/>
        </w:rPr>
        <w:t xml:space="preserve">Fajardo, L., González, V., Nassar, J. M., Lacabana, P., Portillo Q, C. A., Carrasquel, F., &amp; Rodríguez, J. P. (2005). </w:t>
      </w:r>
      <w:r w:rsidRPr="008608AA">
        <w:t xml:space="preserve">Tropical dry forests of Venezuela: Characterization and current conservation status. </w:t>
      </w:r>
      <w:r w:rsidRPr="008608AA">
        <w:rPr>
          <w:i/>
          <w:lang w:val="es-CO"/>
        </w:rPr>
        <w:t>Biotropica</w:t>
      </w:r>
      <w:r w:rsidRPr="008608AA">
        <w:rPr>
          <w:lang w:val="es-CO"/>
        </w:rPr>
        <w:t xml:space="preserve">, 37(4), (pp. 531–546). </w:t>
      </w:r>
      <w:hyperlink r:id="rId1002" w:history="1">
        <w:r w:rsidRPr="008608AA">
          <w:rPr>
            <w:lang w:val="es-CO"/>
          </w:rPr>
          <w:t>https://doi.org/10.1111/j.1744-7429.2005.00071.x</w:t>
        </w:r>
      </w:hyperlink>
    </w:p>
    <w:p w14:paraId="447E58C7" w14:textId="77777777" w:rsidR="00787E9A" w:rsidRPr="008608AA" w:rsidRDefault="00787E9A" w:rsidP="00787E9A">
      <w:pPr>
        <w:ind w:left="709" w:hanging="709"/>
        <w:rPr>
          <w:lang w:val="es-CO"/>
        </w:rPr>
      </w:pPr>
      <w:r w:rsidRPr="008608AA">
        <w:rPr>
          <w:lang w:val="es-CO"/>
        </w:rPr>
        <w:t xml:space="preserve">FAO (1996). Enseñanzas de la revolución verde: hacia una nueva revolución verde. </w:t>
      </w:r>
      <w:r w:rsidRPr="008608AA">
        <w:rPr>
          <w:i/>
          <w:lang w:val="es-CO"/>
        </w:rPr>
        <w:t>Documentos ténicos de referencia</w:t>
      </w:r>
      <w:r w:rsidRPr="008608AA">
        <w:rPr>
          <w:lang w:val="es-CO"/>
        </w:rPr>
        <w:t xml:space="preserve">. Roma: </w:t>
      </w:r>
      <w:hyperlink r:id="rId1003" w:history="1">
        <w:r w:rsidRPr="008608AA">
          <w:rPr>
            <w:lang w:val="es-CO"/>
          </w:rPr>
          <w:t>http://www.fao.org/docrep/003/w2612s/w2612s06.htm</w:t>
        </w:r>
      </w:hyperlink>
    </w:p>
    <w:p w14:paraId="3E20AF86" w14:textId="77777777" w:rsidR="00787E9A" w:rsidRPr="008608AA" w:rsidRDefault="00787E9A" w:rsidP="00787E9A">
      <w:pPr>
        <w:ind w:left="709" w:hanging="709"/>
      </w:pPr>
      <w:r w:rsidRPr="008608AA">
        <w:t>FAO Committee on Fisheries. (2014). Inland Fisheries: Issues, Developments and Needs.</w:t>
      </w:r>
    </w:p>
    <w:p w14:paraId="06FA6A5F" w14:textId="77777777" w:rsidR="00787E9A" w:rsidRPr="008608AA" w:rsidRDefault="00787E9A" w:rsidP="00787E9A">
      <w:pPr>
        <w:ind w:left="709" w:hanging="709"/>
      </w:pPr>
      <w:r w:rsidRPr="008608AA">
        <w:t>FAO. (2011). Review of the state of world marine fishery resources. FAO Fisheries and Aquaculture Technical Paper.</w:t>
      </w:r>
    </w:p>
    <w:p w14:paraId="4FCF64F3" w14:textId="77777777" w:rsidR="00787E9A" w:rsidRPr="008608AA" w:rsidRDefault="00787E9A" w:rsidP="00787E9A">
      <w:pPr>
        <w:ind w:left="709" w:hanging="709"/>
      </w:pPr>
      <w:r w:rsidRPr="008608AA">
        <w:t>FAO (2011) Why Invest in Sustainable Mountain Development? Rome, IT, 83pp. (ISBN 978-92-5-107012-3).</w:t>
      </w:r>
    </w:p>
    <w:p w14:paraId="62609F15" w14:textId="77777777" w:rsidR="00787E9A" w:rsidRPr="008608AA" w:rsidRDefault="00787E9A" w:rsidP="00787E9A">
      <w:pPr>
        <w:ind w:left="709" w:hanging="709"/>
      </w:pPr>
      <w:r w:rsidRPr="008608AA">
        <w:t>FAO, GEF &amp; TerrAfrica (2011) Transboundary agro-ecosystem management project for the Kagera river basin. FAO Publications, Roma IT, (pp. 8).</w:t>
      </w:r>
    </w:p>
    <w:p w14:paraId="2FC3DC8B" w14:textId="77777777" w:rsidR="00787E9A" w:rsidRPr="008608AA" w:rsidRDefault="00787E9A" w:rsidP="00787E9A">
      <w:pPr>
        <w:ind w:left="709" w:hanging="709"/>
      </w:pPr>
      <w:r w:rsidRPr="008608AA">
        <w:t>FAO (2013) FAO Success Stories on Climate Smart Agriculture.  FAO Publications, Roma IT, 28pp.</w:t>
      </w:r>
    </w:p>
    <w:p w14:paraId="07F09A44" w14:textId="77777777" w:rsidR="00787E9A" w:rsidRPr="008608AA" w:rsidRDefault="00787E9A" w:rsidP="00787E9A">
      <w:pPr>
        <w:ind w:left="709" w:hanging="709"/>
      </w:pPr>
      <w:r w:rsidRPr="008608AA">
        <w:t>FAO. (2016a). FAOSTAT Database. Food and Agriculture Organization of the United Nations. Cited 14 December 2016. http://faostat3.fao.org/home/E</w:t>
      </w:r>
    </w:p>
    <w:p w14:paraId="345AC70B" w14:textId="77777777" w:rsidR="00787E9A" w:rsidRPr="008608AA" w:rsidRDefault="00787E9A" w:rsidP="00787E9A">
      <w:pPr>
        <w:ind w:left="709" w:hanging="709"/>
      </w:pPr>
      <w:r w:rsidRPr="008608AA">
        <w:t>FAO. 2016b. FishStatJ - software for fishery statistical time series. Cited 14 December 2016. http://www.fao.org/fishery/</w:t>
      </w:r>
    </w:p>
    <w:p w14:paraId="1992CE82" w14:textId="77777777" w:rsidR="00787E9A" w:rsidRPr="008608AA" w:rsidRDefault="00787E9A" w:rsidP="00787E9A">
      <w:pPr>
        <w:ind w:left="709" w:hanging="709"/>
      </w:pPr>
      <w:r w:rsidRPr="008608AA">
        <w:t>FAO. 2016c. The State of World Fisheries and Aquaculture. Food and Agriculture Organization of the United Nations.</w:t>
      </w:r>
    </w:p>
    <w:p w14:paraId="30091F14" w14:textId="77777777" w:rsidR="00787E9A" w:rsidRPr="008608AA" w:rsidRDefault="00787E9A" w:rsidP="00787E9A">
      <w:pPr>
        <w:ind w:left="709" w:hanging="709"/>
      </w:pPr>
      <w:r w:rsidRPr="008608AA">
        <w:t xml:space="preserve">Farmer, C. J., Goodrich, L. J., Inzunza, E. R. &amp; Smith, J. P. (2008). Conservation status of North America’s birds of prey. </w:t>
      </w:r>
      <w:r w:rsidRPr="008608AA">
        <w:rPr>
          <w:i/>
        </w:rPr>
        <w:t>State of North America’s Birds of Prey</w:t>
      </w:r>
      <w:r w:rsidRPr="008608AA">
        <w:t>, (pp. 303–420).</w:t>
      </w:r>
    </w:p>
    <w:p w14:paraId="68FA118A" w14:textId="77777777" w:rsidR="00787E9A" w:rsidRPr="00A3137A" w:rsidRDefault="00787E9A" w:rsidP="00787E9A">
      <w:pPr>
        <w:ind w:left="709" w:hanging="709"/>
        <w:rPr>
          <w:lang w:val="fr-FR"/>
        </w:rPr>
      </w:pPr>
      <w:r w:rsidRPr="008608AA">
        <w:rPr>
          <w:lang w:val="es-CO"/>
        </w:rPr>
        <w:t xml:space="preserve">Fasanella, C. C., Dias, A. C. F. , Rigonato, J., Fiore, M. F., Soares Jr,  F. L., Melo, I. S., Pizzirani-Kleiner, A. A., van Elsas, J. D., &amp; Andreote, F. D.( 2012). </w:t>
      </w:r>
      <w:r w:rsidRPr="008608AA">
        <w:t xml:space="preserve">The selection exerted by oil contamination on mangrove fungal communities. </w:t>
      </w:r>
      <w:r w:rsidRPr="00A3137A">
        <w:rPr>
          <w:i/>
          <w:lang w:val="fr-FR"/>
        </w:rPr>
        <w:t>Water, Air, &amp; Soil Pollution,</w:t>
      </w:r>
      <w:r w:rsidRPr="00A3137A">
        <w:rPr>
          <w:lang w:val="fr-FR"/>
        </w:rPr>
        <w:t xml:space="preserve"> 223:¡, (pp. 4233-4243).</w:t>
      </w:r>
    </w:p>
    <w:p w14:paraId="5C7FBBB7" w14:textId="77777777" w:rsidR="00787E9A" w:rsidRPr="008608AA" w:rsidRDefault="00787E9A" w:rsidP="00787E9A">
      <w:pPr>
        <w:ind w:left="709" w:hanging="709"/>
      </w:pPr>
      <w:r w:rsidRPr="00A3137A">
        <w:rPr>
          <w:lang w:val="fr-FR"/>
        </w:rPr>
        <w:t xml:space="preserve">Brett, F, &amp; Côté, I. M. (2015). </w:t>
      </w:r>
      <w:r w:rsidRPr="008608AA">
        <w:t>Do by</w:t>
      </w:r>
      <w:r w:rsidRPr="008608AA">
        <w:rPr>
          <w:rFonts w:ascii="Cambria Math" w:hAnsi="Cambria Math" w:cs="Cambria Math"/>
        </w:rPr>
        <w:t>‐</w:t>
      </w:r>
      <w:r w:rsidRPr="008608AA">
        <w:t>catch reduction devices in longline fisheries reduce capture of sharks and rays? A global meta</w:t>
      </w:r>
      <w:r w:rsidRPr="008608AA">
        <w:rPr>
          <w:rFonts w:ascii="Cambria Math" w:hAnsi="Cambria Math" w:cs="Cambria Math"/>
        </w:rPr>
        <w:t>‐</w:t>
      </w:r>
      <w:r w:rsidRPr="008608AA">
        <w:t xml:space="preserve">analysis. </w:t>
      </w:r>
      <w:r w:rsidRPr="008608AA">
        <w:rPr>
          <w:i/>
        </w:rPr>
        <w:t>Fish and Fisheries</w:t>
      </w:r>
      <w:r w:rsidRPr="008608AA">
        <w:t>, 16.2 (pp. 300-309).</w:t>
      </w:r>
    </w:p>
    <w:p w14:paraId="2B513A7E" w14:textId="77777777" w:rsidR="00787E9A" w:rsidRPr="008608AA" w:rsidRDefault="00787E9A" w:rsidP="00787E9A">
      <w:pPr>
        <w:ind w:left="709" w:hanging="709"/>
      </w:pPr>
      <w:r w:rsidRPr="008608AA">
        <w:t xml:space="preserve">Fearnside, P. M. (2005). Brazil’s Samuel Dam: Lessons for hydroelectric development policy and the environment in Amazonia. </w:t>
      </w:r>
      <w:r w:rsidRPr="008608AA">
        <w:rPr>
          <w:i/>
        </w:rPr>
        <w:t>Environmental Management,</w:t>
      </w:r>
      <w:r w:rsidRPr="008608AA">
        <w:t xml:space="preserve"> 35, (pp.1–19).</w:t>
      </w:r>
    </w:p>
    <w:p w14:paraId="663DB389" w14:textId="77777777" w:rsidR="00787E9A" w:rsidRPr="008608AA" w:rsidRDefault="00787E9A" w:rsidP="00787E9A">
      <w:pPr>
        <w:ind w:left="709" w:hanging="709"/>
      </w:pPr>
      <w:r w:rsidRPr="008608AA">
        <w:t xml:space="preserve">Fearnside, P. M. (2013). Carbon credit for hydroelectric dams as a source of greenhouse-gas emissions: The example of Brazil’s Teles Pires Dam. </w:t>
      </w:r>
      <w:r w:rsidRPr="008608AA">
        <w:rPr>
          <w:i/>
        </w:rPr>
        <w:t>Mitigation and Adaptation Strategies for Global Chan</w:t>
      </w:r>
      <w:r w:rsidRPr="008608AA">
        <w:t>ge 18, (pp. 691–699).</w:t>
      </w:r>
    </w:p>
    <w:p w14:paraId="681D7EB6" w14:textId="77777777" w:rsidR="00787E9A" w:rsidRPr="008608AA" w:rsidRDefault="00787E9A" w:rsidP="00787E9A">
      <w:pPr>
        <w:ind w:left="709" w:hanging="709"/>
      </w:pPr>
      <w:r w:rsidRPr="008608AA">
        <w:t>Fearnside, P. M. (2015). Amazon dams and waterways: Brazil???s Tapaj??s Basin plans. Ambio 44:426–439.</w:t>
      </w:r>
    </w:p>
    <w:p w14:paraId="4E92F431" w14:textId="77777777" w:rsidR="00787E9A" w:rsidRPr="008608AA" w:rsidRDefault="00787E9A" w:rsidP="00787E9A">
      <w:pPr>
        <w:ind w:left="709" w:hanging="709"/>
      </w:pPr>
      <w:r w:rsidRPr="008608AA">
        <w:t>Feely, R.A., Sabine, C.L., Byrne, R.H., Millero, F.J., Dickson, A.G., Wanninkhof, R., Murata, A., Miller, L.A. and Greeley, D., 2012. Decadal changes in the aragonite and calcite saturation state of the Pacific Ocean. Global Biogeochemical Cycles, 26(3).</w:t>
      </w:r>
    </w:p>
    <w:p w14:paraId="76AEE11A" w14:textId="77777777" w:rsidR="00787E9A" w:rsidRPr="008608AA" w:rsidRDefault="00787E9A" w:rsidP="00787E9A">
      <w:pPr>
        <w:ind w:left="709" w:hanging="709"/>
        <w:rPr>
          <w:lang w:val="es-CO"/>
        </w:rPr>
      </w:pPr>
      <w:r w:rsidRPr="008608AA">
        <w:t>Fernández, R. J., &amp; Reynolds, J. F. (2000). Potential growth and drought tolerance of eight desert grasses: lack of a trade-off?. </w:t>
      </w:r>
      <w:r w:rsidRPr="008608AA">
        <w:rPr>
          <w:lang w:val="es-CO"/>
        </w:rPr>
        <w:t>Oecologia, 123(1), 90-98.</w:t>
      </w:r>
    </w:p>
    <w:p w14:paraId="2DFE9277" w14:textId="77777777" w:rsidR="00787E9A" w:rsidRPr="008608AA" w:rsidRDefault="00787E9A" w:rsidP="00787E9A">
      <w:pPr>
        <w:ind w:left="709" w:hanging="709"/>
      </w:pPr>
      <w:r w:rsidRPr="008608AA">
        <w:rPr>
          <w:lang w:val="es-CO"/>
        </w:rPr>
        <w:t xml:space="preserve">Ferraro, P. J., Hanauer, M. M., Miteva, D. A., Nelson, J. L., &amp; Pattanayak, S. K. (2015). </w:t>
      </w:r>
      <w:r w:rsidRPr="008608AA">
        <w:t>Estimating the impacts of conservation on ecosystem services and poverty by integrating modeling and evaluation, 112(24). http://doi.org/10.1073/pnas.1406487112</w:t>
      </w:r>
    </w:p>
    <w:p w14:paraId="1A45A7FD" w14:textId="77777777" w:rsidR="00787E9A" w:rsidRPr="008608AA" w:rsidRDefault="00787E9A" w:rsidP="00787E9A">
      <w:pPr>
        <w:ind w:left="709" w:hanging="709"/>
      </w:pPr>
      <w:r w:rsidRPr="00CE0821">
        <w:rPr>
          <w:lang w:val="es-CO"/>
        </w:rPr>
        <w:t xml:space="preserve">Ferreira, C. E. L., Luiz, O. J., Floeter, S. R., Lucena, M. B., Barbosa, M. C., Rocha, C. R., &amp; Rocha, L. A. (2015). </w:t>
      </w:r>
      <w:r w:rsidRPr="008608AA">
        <w:t xml:space="preserve">First record of invasive lionfish (Pterois volitans) for the Brazilian coast. PLoS ONE, 10(4), 1–5. </w:t>
      </w:r>
    </w:p>
    <w:p w14:paraId="7D4A56B2" w14:textId="77777777" w:rsidR="00787E9A" w:rsidRPr="008608AA" w:rsidRDefault="00787E9A" w:rsidP="00787E9A">
      <w:pPr>
        <w:ind w:left="709" w:hanging="709"/>
      </w:pPr>
      <w:r w:rsidRPr="008608AA">
        <w:t>Ferreira, L. V., D. A. Cunha, P. P. Chaves, D. C. L. Matos, and P. Parolin. 2013. Impacts of hydroelectric dams on alluvial riparian plant communities in eastern Brazilian Amazonian. Anais da Academia Brasileira de Ciencias 85:1013–1023.</w:t>
      </w:r>
    </w:p>
    <w:p w14:paraId="27ECD6F0" w14:textId="77777777" w:rsidR="00787E9A" w:rsidRPr="008608AA" w:rsidRDefault="00787E9A" w:rsidP="00787E9A">
      <w:pPr>
        <w:ind w:left="709" w:hanging="709"/>
      </w:pPr>
      <w:r w:rsidRPr="008608AA">
        <w:t xml:space="preserve">Ferriter, A., editor. 1997. Brazilian pepper management plan for Florida: a report from The Florida Exotic Pest Plant Council's Brazilian pepper task force. </w:t>
      </w:r>
      <w:hyperlink r:id="rId1004" w:history="1">
        <w:r w:rsidRPr="008608AA">
          <w:t>http://www.fleppc.org/Manage_Plans/schinus.pdf.</w:t>
        </w:r>
      </w:hyperlink>
    </w:p>
    <w:p w14:paraId="43FE7ACC" w14:textId="77777777" w:rsidR="00787E9A" w:rsidRPr="008608AA" w:rsidRDefault="00787E9A" w:rsidP="00787E9A">
      <w:pPr>
        <w:ind w:left="709" w:hanging="709"/>
      </w:pPr>
      <w:r w:rsidRPr="008608AA">
        <w:t>Field, C.B., V.R. Barros, D.J. Dokken, K.J. Mach, M.D. Mastrandrea, T.E. Bilir, M. Chatterjee, K.L. Ebi, Y.O. Estrada, R.C. Genova, B. Girma, E.S. Kissel, A.N. Levy, S. MacCracken,</w:t>
      </w:r>
      <w:r w:rsidRPr="008608AA">
        <w:rPr>
          <w:rFonts w:ascii="MS Mincho" w:eastAsia="MS Mincho" w:hAnsi="MS Mincho" w:cs="MS Mincho" w:hint="eastAsia"/>
        </w:rPr>
        <w:t> </w:t>
      </w:r>
      <w:r w:rsidRPr="008608AA">
        <w:t xml:space="preserve">P.R. Mastrandrea, and L.L. White (eds.) Summary for policymakers. In: Climate Change 2014: Impacts, Adaptation, and Vulnerability. Part A: Global and Sectoral Aspects. Contribution of Working Group II to the Fifth Assessment Report of the Intergovernmental Panel on Climate Change. Cambridge University Press, Cambridge, United Kingdom and New York, NY, USA, pp. 1-32. </w:t>
      </w:r>
    </w:p>
    <w:p w14:paraId="14B9B423" w14:textId="77777777" w:rsidR="00787E9A" w:rsidRPr="008608AA" w:rsidRDefault="00787E9A" w:rsidP="00787E9A">
      <w:pPr>
        <w:ind w:left="709" w:hanging="709"/>
      </w:pPr>
      <w:r w:rsidRPr="008608AA">
        <w:t>Field, J. P., Breshears, D. D., &amp; Whicker, J. J. (2009). Toward a more holistic perspective of soil erosion: why aeolian research needs to explicitly consider fluvial processes and interactions. Aeolian Research, 1(1), 9-1</w:t>
      </w:r>
    </w:p>
    <w:p w14:paraId="334055E4" w14:textId="77777777" w:rsidR="00787E9A" w:rsidRPr="008608AA" w:rsidRDefault="00787E9A" w:rsidP="00787E9A">
      <w:pPr>
        <w:ind w:left="709" w:hanging="709"/>
      </w:pPr>
      <w:r w:rsidRPr="008608AA">
        <w:t>Finer, M., &amp; Jenkins, C. N. (2012). Proliferation of hydroelectric dams in the Andean Amazon and implications for Andes-Amazon connectivity. Plos one, 7(4), e35126.</w:t>
      </w:r>
    </w:p>
    <w:p w14:paraId="462BE7FD" w14:textId="77777777" w:rsidR="00787E9A" w:rsidRPr="008608AA" w:rsidRDefault="00787E9A" w:rsidP="00787E9A">
      <w:pPr>
        <w:ind w:left="709" w:hanging="709"/>
      </w:pPr>
      <w:r w:rsidRPr="008608AA">
        <w:t>Finer, M., Jenkins, C.N., Pimm, S.L., Keane, B. and Ross, C., 2008. Oil and gas projects in the western Amazon: threats to wilderness, biodiversity, and indigenous peoples. PloS one, 3(8), p.e2932.</w:t>
      </w:r>
    </w:p>
    <w:p w14:paraId="1D6FBEC9" w14:textId="77777777" w:rsidR="00787E9A" w:rsidRPr="008608AA" w:rsidRDefault="00787E9A" w:rsidP="00787E9A">
      <w:pPr>
        <w:ind w:left="709" w:hanging="709"/>
      </w:pPr>
      <w:r w:rsidRPr="008608AA">
        <w:t>Fischer, Joern, David J. Abson, Van Butsic, M. Jahi Chappell, Johan Ekroos, Jan Hanspach, Tobias Kuemmerle, Henrik G. Smith, and Henrik Wehrden. "Land sparing versus land sharing: moving forward." Conservation Letters 7, no. 3 (2014): 149-157.</w:t>
      </w:r>
    </w:p>
    <w:p w14:paraId="62F6F1BF" w14:textId="77777777" w:rsidR="00787E9A" w:rsidRPr="008608AA" w:rsidRDefault="00787E9A" w:rsidP="00787E9A">
      <w:pPr>
        <w:ind w:left="709" w:hanging="709"/>
      </w:pPr>
      <w:r w:rsidRPr="008608AA">
        <w:t>Fisher, B., &amp; Christopher, T. (2007). Poverty and biodiversity: measuring the overlap of human poverty and the biodiversity hotspots. Ecological Economics, 62(1), 93-101.</w:t>
      </w:r>
    </w:p>
    <w:p w14:paraId="36A5063A" w14:textId="77777777" w:rsidR="00787E9A" w:rsidRPr="008608AA" w:rsidRDefault="00787E9A" w:rsidP="00787E9A">
      <w:pPr>
        <w:ind w:left="709" w:hanging="709"/>
      </w:pPr>
      <w:r w:rsidRPr="008608AA">
        <w:t>Fitzgerald, W.F., Engstrom, D.R., Mason, R.P. and Nater, E.A., 1998. The case for atmospheric mercury contamination in remote areas. Environmental science &amp; technology, 32(1), pp.1-7.</w:t>
      </w:r>
    </w:p>
    <w:p w14:paraId="73ECB0BD" w14:textId="77777777" w:rsidR="00787E9A" w:rsidRPr="008608AA" w:rsidRDefault="00787E9A" w:rsidP="00787E9A">
      <w:pPr>
        <w:ind w:left="709" w:hanging="709"/>
      </w:pPr>
      <w:r w:rsidRPr="008608AA">
        <w:t>Flachsbarth, I., Willaarts, B., Xie, H., Pitois, G., Mueller, N. D., Ringler, C., &amp; Garrido, A. (2015). The role of Latin America’s land and water resources for global food security: environmental trade-offs of future food production pathways. PloS one, 10(1), e0116733.</w:t>
      </w:r>
    </w:p>
    <w:p w14:paraId="5A454269" w14:textId="77777777" w:rsidR="00787E9A" w:rsidRPr="008608AA" w:rsidRDefault="00787E9A" w:rsidP="00787E9A">
      <w:pPr>
        <w:ind w:left="709" w:hanging="709"/>
      </w:pPr>
      <w:r w:rsidRPr="008608AA">
        <w:t>Fleeger, J. W., K. R. Carman, and R. M. Nisbet. 2003. Indirect effects of contaminants in aquatic ecosystems. Science of the Total Environment 317:207–233.</w:t>
      </w:r>
    </w:p>
    <w:p w14:paraId="2E11AACF" w14:textId="77777777" w:rsidR="00787E9A" w:rsidRPr="008608AA" w:rsidRDefault="00787E9A" w:rsidP="00787E9A">
      <w:pPr>
        <w:ind w:left="709" w:hanging="709"/>
      </w:pPr>
      <w:r w:rsidRPr="008608AA">
        <w:t>Flinn, K. M., &amp; Vellend, M. (2005). Recovery of forest plant communities in post</w:t>
      </w:r>
      <w:r w:rsidRPr="008608AA">
        <w:rPr>
          <w:rFonts w:ascii="Cambria Math" w:hAnsi="Cambria Math" w:cs="Cambria Math"/>
        </w:rPr>
        <w:t>‐</w:t>
      </w:r>
      <w:r w:rsidRPr="008608AA">
        <w:t>agricultural landscapes. Frontiers in Ecology and the Environment, 3(5), 243-250.</w:t>
      </w:r>
    </w:p>
    <w:p w14:paraId="76D299EB" w14:textId="77777777" w:rsidR="00787E9A" w:rsidRPr="008608AA" w:rsidRDefault="00787E9A" w:rsidP="00787E9A">
      <w:pPr>
        <w:ind w:left="709" w:hanging="709"/>
      </w:pPr>
      <w:r w:rsidRPr="008608AA">
        <w:t>Foden, W. B., Butchart, S. H. M., Stuart, S. N., Vié, J.-C., Akçakaya, H. R., Angulo, A., DeVantier, L. M., Gutsche, A., Turak, E., Cao, L., Donner, S. D., Katariya, V., Bernard, R., Holland, R. A., Hughes, A. F., O’Hanlon, S. E., Garnett, S. T., Şekercioğlu, Ç. H., &amp; Mace, G. M. (2013). Identifying the World’s Most Climate Change Vulnerable Species: A Systematic Trait-Based Assessment of all Birds, Amphibians and Corals. PLoS ONE, 8(6), e65427. https://doi.org/10.1371/journal.pone.0065427</w:t>
      </w:r>
    </w:p>
    <w:p w14:paraId="0867BA98" w14:textId="77777777" w:rsidR="00787E9A" w:rsidRPr="008608AA" w:rsidRDefault="00787E9A" w:rsidP="00787E9A">
      <w:pPr>
        <w:ind w:left="709" w:hanging="709"/>
      </w:pPr>
      <w:r w:rsidRPr="008608AA">
        <w:t>Foley, J. A., Asner, G. P., Costa, M. H., Coe, M. T., DeFries, R., Gibbs, H. K., Howard, E. A., Olson, S., Patz, J., Ramankutty, N., &amp; Snyder, P. (2007). Amazonia revealed: Forest degradation and loss of ecosystem goods and services in the Amazon Basin. Frontiers in Ecology and the Environment, 5(1), 25–32. https://doi.org/10.1890/1540-9295(2007)5[25:ARFDAL]2.0.CO;2</w:t>
      </w:r>
    </w:p>
    <w:p w14:paraId="0E6E1431" w14:textId="77777777" w:rsidR="00787E9A" w:rsidRPr="008608AA" w:rsidRDefault="00787E9A" w:rsidP="00787E9A">
      <w:pPr>
        <w:ind w:left="709" w:hanging="709"/>
      </w:pPr>
      <w:r w:rsidRPr="008608AA">
        <w:t xml:space="preserve">Foley, J. A., N. Ramankutty, K. A. Brauman, E. S. Cassidy, J. S. Gerber, M. Johnston, N. D. Mueller, C. O’Connell, D. K. Ray, P. C. West, C. Balzer, E. M. Bennett, S. R. Carpenter, J. Hill, C. Monfreda, S. Polasky, J. Rockström, J. Sheehan, S. Siebert, D. Tilman, D. P. M. Zaks, and C. O’Connell. 2011. Solutions for a cultivated planet. Nature 478:337–42. </w:t>
      </w:r>
    </w:p>
    <w:p w14:paraId="30094D68" w14:textId="77777777" w:rsidR="00787E9A" w:rsidRPr="008608AA" w:rsidRDefault="00787E9A" w:rsidP="00787E9A">
      <w:pPr>
        <w:ind w:left="709" w:hanging="709"/>
      </w:pPr>
      <w:r w:rsidRPr="008608AA">
        <w:t>Ford, James D., et al. (2016). “Including indigenous knowledge and experience in IPCC assessment reports”, in Nature Climate Change. Perspective.  Published online: 24 March 2016 | DOI: 10.1038/NCLIMATE2954.</w:t>
      </w:r>
    </w:p>
    <w:p w14:paraId="6FEB4BB2" w14:textId="77777777" w:rsidR="00787E9A" w:rsidRPr="008608AA" w:rsidRDefault="00787E9A" w:rsidP="00787E9A">
      <w:pPr>
        <w:ind w:left="709" w:hanging="709"/>
      </w:pPr>
      <w:r w:rsidRPr="008608AA">
        <w:t>Foster, P. (2001). The potential negative impacts of global climate change on tropical montane cloud forests. Earth-Science Reviews, 55(1), 73-106.</w:t>
      </w:r>
    </w:p>
    <w:p w14:paraId="30C3DF5B" w14:textId="77777777" w:rsidR="00787E9A" w:rsidRPr="008608AA" w:rsidRDefault="00787E9A" w:rsidP="00787E9A">
      <w:pPr>
        <w:ind w:left="709" w:hanging="709"/>
      </w:pPr>
      <w:r w:rsidRPr="008608AA">
        <w:t>Foure, J., A. Benassy-Quere, L. Fontagne (2012). The Great Shift: Macroeconomic projections for the World Economy at the 2050 Horizon, G-MonD, Paris School of Economics. Working Paper No. 23, February 2012, pp. 70-72. </w:t>
      </w:r>
    </w:p>
    <w:p w14:paraId="655C6AEA" w14:textId="77777777" w:rsidR="00787E9A" w:rsidRPr="008608AA" w:rsidRDefault="00787E9A" w:rsidP="00787E9A">
      <w:pPr>
        <w:ind w:left="709" w:hanging="709"/>
      </w:pPr>
      <w:r w:rsidRPr="008608AA">
        <w:t>Fowler, C. (1994) Unnatural Selection: Technology, Politics and Plant Evolution (Yverdon: Gordon and Breach).</w:t>
      </w:r>
    </w:p>
    <w:p w14:paraId="257E9071" w14:textId="77777777" w:rsidR="00787E9A" w:rsidRPr="008608AA" w:rsidRDefault="00787E9A" w:rsidP="00787E9A">
      <w:pPr>
        <w:ind w:left="709" w:hanging="709"/>
      </w:pPr>
      <w:r w:rsidRPr="008608AA">
        <w:t>Frank, K. T., Petrie, B., Choi, J. S., &amp; Leggett, W. C. (2005). Trophic cascades in a formerly cod-dominated ecosystem. Science, 308(5728), 1621-1623.</w:t>
      </w:r>
    </w:p>
    <w:p w14:paraId="0377F514" w14:textId="77777777" w:rsidR="00787E9A" w:rsidRPr="008608AA" w:rsidRDefault="00787E9A" w:rsidP="00787E9A">
      <w:pPr>
        <w:ind w:left="709" w:hanging="709"/>
      </w:pPr>
      <w:r w:rsidRPr="008608AA">
        <w:t>Franklin, K. A., Lyons, K., Nagler, P. L., Lampkin, D., Glenn, E. P., Molina-Freaner, F., Markow, T., &amp; Huete, A. R. (2006). Buffelgrass (Pennisetum ciliare) land conversion and productivity in the plains of Sonora, Mexico. Biological Conservation, 127(1), 62–71. https://doi.org/10.1016/j.biocon.2005.07.018</w:t>
      </w:r>
    </w:p>
    <w:p w14:paraId="2C01B252" w14:textId="77777777" w:rsidR="00787E9A" w:rsidRPr="008608AA" w:rsidRDefault="00787E9A" w:rsidP="00787E9A">
      <w:pPr>
        <w:ind w:left="709" w:hanging="709"/>
      </w:pPr>
      <w:r w:rsidRPr="008608AA">
        <w:t>Fraser, B., 2016. Oil in the forest. Science, 353(6300), pp.641-643.</w:t>
      </w:r>
    </w:p>
    <w:p w14:paraId="5822B427" w14:textId="77777777" w:rsidR="00787E9A" w:rsidRPr="008608AA" w:rsidRDefault="00787E9A" w:rsidP="00787E9A">
      <w:pPr>
        <w:ind w:left="709" w:hanging="709"/>
      </w:pPr>
      <w:r w:rsidRPr="008608AA">
        <w:t>Fraser, D., Coon, T., Prince, M., Dion, R., &amp; Bernatchez, L. (2006). Integrating traditional and evolutionary knowledge in biodiversity conservation: a population level case study. Ecology and Society, 11(2).</w:t>
      </w:r>
    </w:p>
    <w:p w14:paraId="46661721" w14:textId="77777777" w:rsidR="00787E9A" w:rsidRPr="008608AA" w:rsidRDefault="00787E9A" w:rsidP="00787E9A">
      <w:pPr>
        <w:ind w:left="709" w:hanging="709"/>
      </w:pPr>
      <w:r w:rsidRPr="008608AA">
        <w:t>Freedman, J.A., Butler, S. E. &amp; D. H. Wahl. 2012. Impacts of Invasive Asian Carps on Native Food Webs. Final Project Report – Illinois-Indiana Sea Grant. Kaskaskia Biological Station, Illinois Natural History Survey, University of Illinois at Urbana-Champaign, 18p. </w:t>
      </w:r>
    </w:p>
    <w:p w14:paraId="55923A75" w14:textId="77777777" w:rsidR="00787E9A" w:rsidRPr="008608AA" w:rsidRDefault="00787E9A" w:rsidP="00787E9A">
      <w:pPr>
        <w:ind w:left="709" w:hanging="709"/>
      </w:pPr>
      <w:r w:rsidRPr="008608AA">
        <w:t>Freitas, M. A. B., I. C. G. Vieira, A. L. K. M. Albernaz, J. L. L. Magalhães, and A. C. Lees. 2015. Floristic impoverishment of Amazonian floodplain forests managed for açaí fruit production. Forest Ecology and Management 351:20–27. &lt;http://www.sciencedirect.com/science/article/pii/S0378112715002777&gt;.</w:t>
      </w:r>
    </w:p>
    <w:p w14:paraId="65D982CD" w14:textId="77777777" w:rsidR="00787E9A" w:rsidRPr="008608AA" w:rsidRDefault="00787E9A" w:rsidP="00787E9A">
      <w:pPr>
        <w:ind w:left="709" w:hanging="709"/>
      </w:pPr>
      <w:r w:rsidRPr="008608AA">
        <w:t>Friis, C., Nielsen, J. Ø., Otero, I., Haberl, H., Niewöhner, J., &amp; Hostert, P. (2016). From teleconnection to telecoupling: taking stock of an emerging framework in land system science. Journal of Land Use Science, 11(2), 131-153.</w:t>
      </w:r>
    </w:p>
    <w:p w14:paraId="647BECAE" w14:textId="77777777" w:rsidR="00787E9A" w:rsidRPr="008608AA" w:rsidRDefault="00787E9A" w:rsidP="00787E9A">
      <w:pPr>
        <w:ind w:left="709" w:hanging="709"/>
      </w:pPr>
      <w:r w:rsidRPr="008608AA">
        <w:t>Frommel, A.Y., Maneja, R., Lowe, D., Malzahn, A.M., Geffen, A.J., Folkvord, A., Piatkowski, U., Reusch, T.B. and Clemmesen, C., 2012. Severe tissue damage in Atlantic cod larvae under increasing ocean acidification. Nature Climate Change, 2(1), p.42.</w:t>
      </w:r>
    </w:p>
    <w:p w14:paraId="0133B2DF" w14:textId="77777777" w:rsidR="00787E9A" w:rsidRPr="008608AA" w:rsidRDefault="00787E9A" w:rsidP="00787E9A">
      <w:pPr>
        <w:ind w:left="709" w:hanging="709"/>
      </w:pPr>
      <w:r w:rsidRPr="008608AA">
        <w:t>Fuentes-Franco, R., F. Giorgi, E. Coppola, E. Pavia, and F. Graef. 2015. Inter-annual variability of precipitation over Southern Mexico and Central America and its relationship to Sea Surface Temperature from RegCM4 CORDEX projections. Climate Dynamics 45:425–440. Springer Berlin Heidelberg. &lt;http://dx.doi.org/10.1007/s00382-014-2258-6&gt;.</w:t>
      </w:r>
    </w:p>
    <w:p w14:paraId="3761B874" w14:textId="77777777" w:rsidR="00787E9A" w:rsidRPr="008608AA" w:rsidRDefault="00787E9A" w:rsidP="00787E9A">
      <w:pPr>
        <w:ind w:left="709" w:hanging="709"/>
      </w:pPr>
      <w:r w:rsidRPr="00CE0821">
        <w:rPr>
          <w:lang w:val="es-CO"/>
        </w:rPr>
        <w:t xml:space="preserve">Fuentes-Ramírez, A., Pauchard, A., Cavieres, L. A., &amp; García, R. A. (2011). </w:t>
      </w:r>
      <w:r w:rsidRPr="008608AA">
        <w:t>Survival and growth of Acacia dealbata vs. native trees across an invasion front in south-central Chile. Forest Ecology and Management, 261(6), 1003–1009. https://doi.org/10.1016/j.foreco.2010.12.018</w:t>
      </w:r>
    </w:p>
    <w:p w14:paraId="3AEE10C2" w14:textId="77777777" w:rsidR="00787E9A" w:rsidRPr="008608AA" w:rsidRDefault="00787E9A" w:rsidP="00787E9A">
      <w:pPr>
        <w:ind w:left="709" w:hanging="709"/>
      </w:pPr>
      <w:r w:rsidRPr="008608AA">
        <w:t>Fuentes, N., Pauchard, A., Sánchez, P., Esquivel, J., &amp; Marticorena, A. (2013). A new comprehensive database of alien plant species in Chile based on herbarium records. Biological Invasions, 15(4), 847–858. https://doi.org/10.1007/s10530-012-0334-6</w:t>
      </w:r>
    </w:p>
    <w:p w14:paraId="5A05C6E1" w14:textId="77777777" w:rsidR="00787E9A" w:rsidRPr="008608AA" w:rsidRDefault="00787E9A" w:rsidP="00787E9A">
      <w:pPr>
        <w:ind w:left="709" w:hanging="709"/>
      </w:pPr>
      <w:r w:rsidRPr="008608AA">
        <w:t>Fujimura, M., Matsuyama, A., Harvard, J.P., Bourdineaud, J.P. and Nakamura, K., 2012. Mercury contamination in humans in Upper Maroni, French Guiana between 2004 and 2009. Bulletin of environmental contamination and toxicology, 88(2), pp.135-139.</w:t>
      </w:r>
    </w:p>
    <w:p w14:paraId="2AAB8EDD" w14:textId="77777777" w:rsidR="00787E9A" w:rsidRPr="008608AA" w:rsidRDefault="00787E9A" w:rsidP="00787E9A">
      <w:pPr>
        <w:ind w:left="709" w:hanging="709"/>
      </w:pPr>
      <w:r w:rsidRPr="008608AA">
        <w:t>Galetti, M., Bovendorp, R. S., Fadini, R. F., Gussoni, C. O. a., Rodrigues, M., Alvarez, A. D., Guimarães Jr, P. R., &amp; Alves, K. (2009). Hyper abundant mesopredators and bird extinction in an Atlantic forest island. Zoologia, 26(2), 288–298. https://doi.org/10.1590/S1984-46702009000200011</w:t>
      </w:r>
    </w:p>
    <w:p w14:paraId="1294880F" w14:textId="77777777" w:rsidR="00787E9A" w:rsidRPr="00CE0821" w:rsidRDefault="00787E9A" w:rsidP="00787E9A">
      <w:pPr>
        <w:ind w:left="709" w:hanging="709"/>
        <w:rPr>
          <w:lang w:val="es-CO"/>
        </w:rPr>
      </w:pPr>
      <w:r w:rsidRPr="008608AA">
        <w:t xml:space="preserve">Gall, S. C., and R. C. Thompson, 2015, The impact of debris on marine life. </w:t>
      </w:r>
      <w:r w:rsidRPr="00CE0821">
        <w:rPr>
          <w:lang w:val="es-CO"/>
        </w:rPr>
        <w:t>Mar. Pollut. Bull. 92:170–179. doi: 10.1016/j.marpolbul.2014.12.041</w:t>
      </w:r>
    </w:p>
    <w:p w14:paraId="67345DC5" w14:textId="77777777" w:rsidR="00787E9A" w:rsidRPr="008608AA" w:rsidRDefault="00787E9A" w:rsidP="00787E9A">
      <w:pPr>
        <w:ind w:left="709" w:hanging="709"/>
      </w:pPr>
      <w:r w:rsidRPr="00CE0821">
        <w:rPr>
          <w:lang w:val="es-CO"/>
        </w:rPr>
        <w:t xml:space="preserve">García-Frapolli, E., Ramos-Fernández, G., Galicia, E., &amp; Serrano, A. (2009). </w:t>
      </w:r>
      <w:r w:rsidRPr="008608AA">
        <w:t>Land Use Policy The complex reality of biodiversity conservation through Natural Protected Area policy: Three cases from the Yucatan Peninsula, Mexico, 26, 715–722. http://doi.org/10.1016/j.landusepol.2008.09.008</w:t>
      </w:r>
    </w:p>
    <w:p w14:paraId="5EFE42DB" w14:textId="77777777" w:rsidR="00787E9A" w:rsidRPr="008608AA" w:rsidRDefault="00787E9A" w:rsidP="00787E9A">
      <w:pPr>
        <w:ind w:left="709" w:hanging="709"/>
      </w:pPr>
      <w:r w:rsidRPr="008608AA">
        <w:rPr>
          <w:lang w:val="es-CO"/>
        </w:rPr>
        <w:t xml:space="preserve">García, J., Ventura, M. I., Requena, M., Hernández, A. F., Parrón, T., &amp; Alarcón, R. (2017). </w:t>
      </w:r>
      <w:r w:rsidRPr="008608AA">
        <w:t>Association of reproductive disorders and male congenital anomalies with environmental exposure to endocrine active pesticides. Reproductive Toxicology, 71, 95-100.</w:t>
      </w:r>
    </w:p>
    <w:p w14:paraId="5B57A1CD" w14:textId="77777777" w:rsidR="00787E9A" w:rsidRPr="008608AA" w:rsidRDefault="00787E9A" w:rsidP="00787E9A">
      <w:pPr>
        <w:ind w:left="709" w:hanging="709"/>
      </w:pPr>
      <w:r w:rsidRPr="008608AA">
        <w:t>Gardner, T. A., Côté, I. M., Gill, J. A., Grant, A., &amp; Watkinson, A. R. (2003). Long-term region-wide declines in Caribbean corals. Science, 301(5635), 958-960.</w:t>
      </w:r>
    </w:p>
    <w:p w14:paraId="4BE711EF" w14:textId="77777777" w:rsidR="00787E9A" w:rsidRPr="008608AA" w:rsidRDefault="00787E9A" w:rsidP="00787E9A">
      <w:pPr>
        <w:ind w:left="709" w:hanging="709"/>
      </w:pPr>
      <w:r w:rsidRPr="008608AA">
        <w:t>Garmo, Ø.A., Skjelkvåle, B.L., de Wit, H.A., Colombo, L., Curtis, C., Fölster, J., Hoffmann, A., Hruška, J., Høgåsen, T., Jeffries, D.S. and Keller, W.B., 2014. Trends in surface water chemistry in acidified areas in Europe and North America from 1990 to 2008. Water, Air, &amp; Soil Pollution, 225(3), p.1880.</w:t>
      </w:r>
    </w:p>
    <w:p w14:paraId="7AA7DD34" w14:textId="77777777" w:rsidR="00787E9A" w:rsidRPr="00CE0821" w:rsidRDefault="00787E9A" w:rsidP="00787E9A">
      <w:pPr>
        <w:ind w:left="709" w:hanging="709"/>
        <w:rPr>
          <w:lang w:val="es-CO"/>
        </w:rPr>
      </w:pPr>
      <w:r w:rsidRPr="008608AA">
        <w:t xml:space="preserve">Gauthier, P. T., W. P. Norwood, E. E. Prepas, and G. G. Pyle. 2014. Metal-PAH mixtures in the aquatic environment: A review of co-toxic mechanisms leading to more-than-additive outcomes. </w:t>
      </w:r>
      <w:r w:rsidRPr="00CE0821">
        <w:rPr>
          <w:lang w:val="es-CO"/>
        </w:rPr>
        <w:t>Aquatic Toxicology 154:253–269.</w:t>
      </w:r>
    </w:p>
    <w:p w14:paraId="14DE1CDD" w14:textId="77777777" w:rsidR="00787E9A" w:rsidRPr="008608AA" w:rsidRDefault="00787E9A" w:rsidP="00787E9A">
      <w:pPr>
        <w:ind w:left="709" w:hanging="709"/>
      </w:pPr>
      <w:r w:rsidRPr="00CE0821">
        <w:rPr>
          <w:lang w:val="es-CO"/>
        </w:rPr>
        <w:t xml:space="preserve">Gavilán-García, I., Santos-Santos, E., Tovar-Gálvez, L.R., Gavilán-García, A., Suárez, S. and Olmos, J., 2008. </w:t>
      </w:r>
      <w:r w:rsidRPr="008608AA">
        <w:t>Mercury speciation in contaminated soils from old mining activities in Mexico using a chemical selective extraction. Journal of the Mexican Chemical Society, 52(4), pp.263-271.</w:t>
      </w:r>
    </w:p>
    <w:p w14:paraId="2805FF43" w14:textId="77777777" w:rsidR="00787E9A" w:rsidRPr="008608AA" w:rsidRDefault="00787E9A" w:rsidP="00787E9A">
      <w:pPr>
        <w:ind w:left="709" w:hanging="709"/>
      </w:pPr>
      <w:r w:rsidRPr="008608AA">
        <w:t>Gellis, A.C., 2013. Factors influencing storm-generated suspended-sediment concentrations and loads in four basins of contrasting land use, humid-tropical Puerto Rico. Catena, 104, pp.39-57.</w:t>
      </w:r>
    </w:p>
    <w:p w14:paraId="091E70EE" w14:textId="77777777" w:rsidR="00787E9A" w:rsidRPr="008608AA" w:rsidRDefault="00787E9A" w:rsidP="00787E9A">
      <w:pPr>
        <w:ind w:left="709" w:hanging="709"/>
      </w:pPr>
      <w:r w:rsidRPr="008608AA">
        <w:t xml:space="preserve">Giberto, D.A., Bremec, C.S., Schejter, L., Schiariti, A., Mianzan, H. and  E. Acha. 2006. The invasive Rapa Whelk Rapana venosa (Valenciennes, 1846): status and potential ecological impacts in the Río de la Plata estuary, Argentina-Uruguay. Journal of Shellfish Research, 25(3): 919-924. </w:t>
      </w:r>
    </w:p>
    <w:p w14:paraId="6FDF07CA" w14:textId="77777777" w:rsidR="00787E9A" w:rsidRPr="008608AA" w:rsidRDefault="00787E9A" w:rsidP="00787E9A">
      <w:pPr>
        <w:ind w:left="709" w:hanging="709"/>
      </w:pPr>
      <w:r w:rsidRPr="008608AA">
        <w:t>Giberto, D.A., Schiariti, A. and C.S. Bremec. 2011. Diet and daily consumption rates of Rapana venosa (Valenciennes, 1846) (Gastropoda: Muricidae) from the Río de la Plata (Argentina-Uruguay). Journal of Shellfish Research, 30(2): 349-358.</w:t>
      </w:r>
    </w:p>
    <w:p w14:paraId="5A3ACC76" w14:textId="77777777" w:rsidR="00787E9A" w:rsidRPr="008608AA" w:rsidRDefault="00787E9A" w:rsidP="00787E9A">
      <w:pPr>
        <w:ind w:left="709" w:hanging="709"/>
      </w:pPr>
      <w:r w:rsidRPr="008608AA">
        <w:t>Gilliom, R. J., J. E. Barbash, C. G. Crawford, P. a. Hamilton, J. D. Martin, N. Nakagaki, L. H. Nowell, J. C. Scott, P. E. Stackelberg, G. P. Thelin, and D. M. Wolock. 2006. Pesticides in the Nation’s Streams and Groundwater, 1992–2001: U.S Geological Survey. Circular 1291. &lt;http://pubs.usgs.gov/circ/2005/1291/pdf/circ1291.pdf&gt;.</w:t>
      </w:r>
    </w:p>
    <w:p w14:paraId="1CC2C348" w14:textId="77777777" w:rsidR="00787E9A" w:rsidRPr="008608AA" w:rsidRDefault="00787E9A" w:rsidP="00787E9A">
      <w:pPr>
        <w:ind w:left="709" w:hanging="709"/>
      </w:pPr>
      <w:r w:rsidRPr="008608AA">
        <w:t>Giorgi, F., and N. Diffenbaugh. 2008. Developing regional climate change scenarios for use in assessment of effects on human health and disease. Climate Research. Volume 36.</w:t>
      </w:r>
    </w:p>
    <w:p w14:paraId="76CA50A8" w14:textId="77777777" w:rsidR="00787E9A" w:rsidRPr="008608AA" w:rsidRDefault="00787E9A" w:rsidP="00787E9A">
      <w:pPr>
        <w:ind w:left="709" w:hanging="709"/>
      </w:pPr>
      <w:r w:rsidRPr="008608AA">
        <w:t>Giri, C., E. Ochieng, L. L. Tieszen, Z. Zhu, A. Singh, T. Loveland, J. Masek, and D. Duke. 2011. Status and distribution of mangrove forests of the world using earth observation satellite data. Global Ecology and Biogeography 20:154–159.</w:t>
      </w:r>
    </w:p>
    <w:p w14:paraId="4A854361" w14:textId="77777777" w:rsidR="00787E9A" w:rsidRPr="008608AA" w:rsidRDefault="00787E9A" w:rsidP="00787E9A">
      <w:pPr>
        <w:ind w:left="709" w:hanging="709"/>
      </w:pPr>
      <w:r w:rsidRPr="008608AA">
        <w:t>Gledhill, D. K., R. Wanninkhof, F. K. Millero, and M. Eakin. 2008. Ocean acidification of the Greater Caribbean Region 1996-2006. Journal of Geophysical Research: Oceans 113:1–11.</w:t>
      </w:r>
    </w:p>
    <w:p w14:paraId="7576ADF0" w14:textId="77777777" w:rsidR="00787E9A" w:rsidRPr="008608AA" w:rsidRDefault="00787E9A" w:rsidP="00787E9A">
      <w:pPr>
        <w:ind w:left="709" w:hanging="709"/>
      </w:pPr>
      <w:r w:rsidRPr="008608AA">
        <w:t>Glibert, P. M. (2017). Eutrophication, harmful algae and biodiversity—Challenging paradigms in a world of complex nutrient changes. Marine Pollution Bulletin.</w:t>
      </w:r>
    </w:p>
    <w:p w14:paraId="64FBB7E3" w14:textId="77777777" w:rsidR="00787E9A" w:rsidRPr="008608AA" w:rsidRDefault="00787E9A" w:rsidP="00787E9A">
      <w:pPr>
        <w:ind w:left="709" w:hanging="709"/>
      </w:pPr>
      <w:r w:rsidRPr="008608AA">
        <w:t>Glibert, P.M., Harrison, J., Heil, C. and Seitzinger, S., 2006. Escalating worldwide use of urea–a global change contributing to coastal eutrophication. Biogeochemistry, 77(3), pp.441-463.</w:t>
      </w:r>
    </w:p>
    <w:p w14:paraId="27CA684B" w14:textId="77777777" w:rsidR="00787E9A" w:rsidRPr="008608AA" w:rsidRDefault="00787E9A" w:rsidP="00787E9A">
      <w:pPr>
        <w:ind w:left="709" w:hanging="709"/>
      </w:pPr>
      <w:r w:rsidRPr="008608AA">
        <w:t>Global Biodiversity Information Facility. (2011). GBIF Position Paper on Data Hosting Infraestructure for Primary Biodiversity Data. Version 1.0.</w:t>
      </w:r>
    </w:p>
    <w:p w14:paraId="1B0FBD25" w14:textId="77777777" w:rsidR="00787E9A" w:rsidRPr="008608AA" w:rsidRDefault="00787E9A" w:rsidP="00787E9A">
      <w:pPr>
        <w:ind w:left="709" w:hanging="709"/>
      </w:pPr>
      <w:r w:rsidRPr="008608AA">
        <w:t>Global Environmental Outlook GEO 4, UNEP, 2007, United Nations Environmental Programme. ISBN: 978-92-807-2838-5. 540pp.</w:t>
      </w:r>
    </w:p>
    <w:p w14:paraId="45D7FB40" w14:textId="77777777" w:rsidR="00787E9A" w:rsidRPr="008608AA" w:rsidRDefault="00787E9A" w:rsidP="00787E9A">
      <w:pPr>
        <w:ind w:left="709" w:hanging="709"/>
      </w:pPr>
      <w:r w:rsidRPr="008608AA">
        <w:t>Global Footprint Network (GFN). http://data.footprintnetwork.org/countryMetrics.html?cn=all&amp;yr=. Date accessed: June 10, 2017.</w:t>
      </w:r>
    </w:p>
    <w:p w14:paraId="09CE92AE" w14:textId="77777777" w:rsidR="00787E9A" w:rsidRPr="008608AA" w:rsidRDefault="00787E9A" w:rsidP="00787E9A">
      <w:pPr>
        <w:ind w:left="709" w:hanging="709"/>
      </w:pPr>
      <w:r w:rsidRPr="008608AA">
        <w:t>Gloor, M., J. Barichivich, G. Ziv, R. Brienen, J. Schöngart, and P. Peylin. 2015. Recent Amazon climate as background for possible ongoing Special Section :</w:t>
      </w:r>
    </w:p>
    <w:p w14:paraId="54DDDB2D" w14:textId="77777777" w:rsidR="00787E9A" w:rsidRPr="008608AA" w:rsidRDefault="00787E9A" w:rsidP="00787E9A">
      <w:pPr>
        <w:ind w:left="709" w:hanging="709"/>
      </w:pPr>
      <w:r w:rsidRPr="008608AA">
        <w:t>Godar, J., Suavet, C., Gardner, T. A., Dawkins, E., &amp; Meyfroidt, P. (2016). Balancing detail and scale in assessing transparency to improve the governance of agricultural commodity supply chains. Environmental Research Letters, 11(3), 035015.</w:t>
      </w:r>
    </w:p>
    <w:p w14:paraId="5E2E2F81" w14:textId="77777777" w:rsidR="00787E9A" w:rsidRPr="008608AA" w:rsidRDefault="00787E9A" w:rsidP="00787E9A">
      <w:pPr>
        <w:ind w:left="709" w:hanging="709"/>
      </w:pPr>
      <w:r w:rsidRPr="008608AA">
        <w:t xml:space="preserve">Godt, J. W., Arnal, C. H., Baum, R. L., Brien, D., Coe, J. A., De Mouthe, J., </w:t>
      </w:r>
      <w:r w:rsidRPr="008608AA">
        <w:rPr>
          <w:rFonts w:eastAsiaTheme="minorEastAsia"/>
        </w:rPr>
        <w:t>Ellis, W., Graymer, R. W., Harp, E. L., Hillhouse, J. W., Houdre, N., Howell, D. G., Jayko, A. S., Lajoie, K. R., Morrissey, M. M., Ramsey, D. W., Savage, W. Z., Schuster, R. L., Wieczorek, G.F., &amp; Wilson, R.  C.</w:t>
      </w:r>
      <w:r w:rsidRPr="008608AA">
        <w:t xml:space="preserve"> (1999). Maps showing locations of damaging landslides caused by El Niño rainstorms, winter season 1997-98, San Francisco Bay region, California. Retrieved from pubs.usgs.gov/mf/1999/mf-2325</w:t>
      </w:r>
    </w:p>
    <w:p w14:paraId="2CE13FC1" w14:textId="77777777" w:rsidR="00787E9A" w:rsidRPr="008608AA" w:rsidRDefault="00787E9A" w:rsidP="00787E9A">
      <w:pPr>
        <w:ind w:left="709" w:hanging="709"/>
        <w:rPr>
          <w:lang w:val="es-CO"/>
        </w:rPr>
      </w:pPr>
      <w:r w:rsidRPr="008608AA">
        <w:t>Golicher, D. J., Cayuela, L., &amp; Newton, A. C. (2012). Effects of climate change on the potential species richness of Mesoamerican forests. </w:t>
      </w:r>
      <w:r w:rsidRPr="008608AA">
        <w:rPr>
          <w:lang w:val="es-CO"/>
        </w:rPr>
        <w:t>Biotropica, 44(3), 284-293.</w:t>
      </w:r>
    </w:p>
    <w:p w14:paraId="5857AB6C" w14:textId="77777777" w:rsidR="00787E9A" w:rsidRPr="008608AA" w:rsidRDefault="00787E9A" w:rsidP="00787E9A">
      <w:pPr>
        <w:ind w:left="709" w:hanging="709"/>
      </w:pPr>
      <w:r w:rsidRPr="008608AA">
        <w:rPr>
          <w:lang w:val="es-CO"/>
        </w:rPr>
        <w:t xml:space="preserve">Gomez-Salazar, C., F. Trujillo, M. Portocarrero-Aya, and H. Whitehead. </w:t>
      </w:r>
      <w:r w:rsidRPr="008608AA">
        <w:t>2012. Population, density estimates, and conservation of river dolphins (Inia and Sotalia) in the Amazon and Orinoco river basins. Marine Mammal Science 28:124–153.</w:t>
      </w:r>
    </w:p>
    <w:p w14:paraId="3658460C" w14:textId="77777777" w:rsidR="00787E9A" w:rsidRPr="008608AA" w:rsidRDefault="00787E9A" w:rsidP="00787E9A">
      <w:pPr>
        <w:ind w:left="709" w:hanging="709"/>
      </w:pPr>
      <w:r w:rsidRPr="008608AA">
        <w:t>Goosem, S. P., &amp; Tucker, N. I. (2013). Repairing the rainforest. Wet tropics management authority.</w:t>
      </w:r>
    </w:p>
    <w:p w14:paraId="7383FED7" w14:textId="77777777" w:rsidR="00787E9A" w:rsidRPr="008608AA" w:rsidRDefault="00787E9A" w:rsidP="00787E9A">
      <w:pPr>
        <w:ind w:left="709" w:hanging="709"/>
      </w:pPr>
      <w:r w:rsidRPr="008608AA">
        <w:t>Goreau, T. J. (1992). Bleaching and reef community change in Jamaica: 1951–1991. American Zoologist, 32(6), 683-695.</w:t>
      </w:r>
    </w:p>
    <w:p w14:paraId="29D47F0F" w14:textId="77777777" w:rsidR="00787E9A" w:rsidRPr="008608AA" w:rsidRDefault="00787E9A" w:rsidP="00787E9A">
      <w:pPr>
        <w:ind w:left="709" w:hanging="709"/>
      </w:pPr>
      <w:r w:rsidRPr="008608AA">
        <w:t>Gorenflo, L. J., Romaine, S., Mittermeier, R. A., &amp; Walker-Painemilla, K. (2012). Co-occurrence of linguistic and biological diversity in biodiversity hotspots and high biodiversity wilderness areas. Proceedings of the National Academy of Sciences, 109(21), 8032-8037.</w:t>
      </w:r>
    </w:p>
    <w:p w14:paraId="581B2D27" w14:textId="77777777" w:rsidR="00787E9A" w:rsidRPr="00A3137A" w:rsidRDefault="00787E9A" w:rsidP="00787E9A">
      <w:pPr>
        <w:ind w:left="709" w:hanging="709"/>
        <w:rPr>
          <w:lang w:val="fr-FR"/>
        </w:rPr>
      </w:pPr>
      <w:r w:rsidRPr="008608AA">
        <w:t xml:space="preserve">Gorokhovich, Y., Voros, A., Reid, M., &amp; Mignone, E. (2003). Prioritizing Abandoned Coal Mine Reclamation Projects Within the Contiguous United States Using Geographic Information System Extrapolation. </w:t>
      </w:r>
      <w:r w:rsidRPr="00A3137A">
        <w:rPr>
          <w:lang w:val="fr-FR"/>
        </w:rPr>
        <w:t>Environmental Management, 32, 527-534, 10.1007/s00267-003-3043-1</w:t>
      </w:r>
    </w:p>
    <w:p w14:paraId="25A00EAE" w14:textId="77777777" w:rsidR="00787E9A" w:rsidRPr="008608AA" w:rsidRDefault="00787E9A" w:rsidP="00787E9A">
      <w:pPr>
        <w:ind w:left="709" w:hanging="709"/>
      </w:pPr>
      <w:r w:rsidRPr="00A3137A">
        <w:rPr>
          <w:lang w:val="fr-FR"/>
        </w:rPr>
        <w:t xml:space="preserve">Graesser, J., Aide, T. M., Grau, H. R., &amp; Ramankutty, N. (2015). </w:t>
      </w:r>
      <w:r w:rsidRPr="008608AA">
        <w:t>Cropland/pastureland dynamics and the slowdown of deforestation in Latin America. Environmental Research Letters, 10(3), 034017.</w:t>
      </w:r>
    </w:p>
    <w:p w14:paraId="085FF711" w14:textId="77777777" w:rsidR="00787E9A" w:rsidRPr="008608AA" w:rsidRDefault="00787E9A" w:rsidP="00787E9A">
      <w:pPr>
        <w:ind w:left="709" w:hanging="709"/>
      </w:pPr>
      <w:r w:rsidRPr="008608AA">
        <w:t>Grau, H. R., and M. Aide. 2008. Grau and Aide 2008. Ecology And Society 13.</w:t>
      </w:r>
    </w:p>
    <w:p w14:paraId="6495F016" w14:textId="77777777" w:rsidR="00787E9A" w:rsidRPr="008608AA" w:rsidRDefault="00787E9A" w:rsidP="00787E9A">
      <w:pPr>
        <w:ind w:left="709" w:hanging="709"/>
      </w:pPr>
      <w:r w:rsidRPr="008608AA">
        <w:t>Green, S., Akins, J., Maljkovic, A., &amp; Côté, I. (2012). Invasive Lionfish Drive Atlantic Coral Reed Fish Declines. PLoS ONE, 7(3), e32596. https://doi.org/10.1371/journal.pone.0032596</w:t>
      </w:r>
    </w:p>
    <w:p w14:paraId="67285C93" w14:textId="77777777" w:rsidR="00787E9A" w:rsidRPr="008608AA" w:rsidRDefault="00787E9A" w:rsidP="00787E9A">
      <w:pPr>
        <w:ind w:left="709" w:hanging="709"/>
      </w:pPr>
      <w:r w:rsidRPr="008608AA">
        <w:t>Green, S., Akins, J.L., Maljkovic, A, and I.M. Coˆ té. 2012. Invasive Lionfish Drive Atlantic Coral Reef Fish Declines. PLoS ONE  7:3 e32596.</w:t>
      </w:r>
    </w:p>
    <w:p w14:paraId="1274526A" w14:textId="77777777" w:rsidR="00787E9A" w:rsidRPr="008608AA" w:rsidRDefault="00787E9A" w:rsidP="00787E9A">
      <w:pPr>
        <w:ind w:left="709" w:hanging="709"/>
      </w:pPr>
      <w:r w:rsidRPr="008608AA">
        <w:t>Griffiths, R. W., Schloesser, D. W., Leach, J. H., &amp; Kovalak, W. P. (1991). Distribution and Dispersal of the Zebra Mussel ( Dreissena polymorpha ) in the Great Lakes Region. Canadian Journal of Fisheries and Aquatic Sciences, 48(8), 1381–1388. https://doi.org/10.1139/f91-165</w:t>
      </w:r>
    </w:p>
    <w:p w14:paraId="138A6C46" w14:textId="77777777" w:rsidR="00787E9A" w:rsidRPr="008608AA" w:rsidRDefault="00787E9A" w:rsidP="00787E9A">
      <w:pPr>
        <w:ind w:left="709" w:hanging="709"/>
      </w:pPr>
      <w:r w:rsidRPr="008608AA">
        <w:t>Grogan, J., A. G. Blundell, R. M. Landis, A. Youatt, R. E. Gullison, M. Martinez, R. Kometter, M. Lentini, and R. E. Rice. 2010. Over-harvesting driven by consumer demand leads to population decline: big-leaf mahogany in South America. Conservation Letters 3:12–20.</w:t>
      </w:r>
    </w:p>
    <w:p w14:paraId="40688302" w14:textId="77777777" w:rsidR="00787E9A" w:rsidRPr="008608AA" w:rsidRDefault="00787E9A" w:rsidP="00787E9A">
      <w:pPr>
        <w:ind w:left="709" w:hanging="709"/>
      </w:pPr>
      <w:r w:rsidRPr="008608AA">
        <w:t>Guallar, E., Sanz-Gallardo, M.I., Veer, P.V.T., Bode, P., Aro, A., Gómez-Aracena, J., Kark, J.D., Riemersma, R.A., Martín-Moreno, J.M. and Kok, F.J., 2002. Mercury, fish oils, and the risk of myocardial infarction. New England Journal of Medicine, 347(22), pp.1747-1754.</w:t>
      </w:r>
    </w:p>
    <w:p w14:paraId="0476CBCE" w14:textId="77777777" w:rsidR="00787E9A" w:rsidRPr="008608AA" w:rsidRDefault="00787E9A" w:rsidP="00787E9A">
      <w:pPr>
        <w:ind w:left="709" w:hanging="709"/>
      </w:pPr>
      <w:r w:rsidRPr="008608AA">
        <w:t>Guatemala Ramsar National Report 2015  </w:t>
      </w:r>
      <w:hyperlink r:id="rId1005" w:tgtFrame="_blank" w:history="1">
        <w:r w:rsidRPr="008608AA">
          <w:t>http://www.ramsar.org/sites/default/files/documents/library/cop12nrfguatemala_20140903final.pdf</w:t>
        </w:r>
      </w:hyperlink>
    </w:p>
    <w:p w14:paraId="5C755CC6" w14:textId="77777777" w:rsidR="00787E9A" w:rsidRPr="008608AA" w:rsidRDefault="00787E9A" w:rsidP="00787E9A">
      <w:pPr>
        <w:ind w:left="709" w:hanging="709"/>
      </w:pPr>
      <w:r w:rsidRPr="008608AA">
        <w:t>Gudynas, E. (2011). Buen Vivir: Today’s tomorrow. Development, 54(4), 441–447. http://doi.org/10.1057/dev.2011.86</w:t>
      </w:r>
    </w:p>
    <w:p w14:paraId="1D7507F3" w14:textId="77777777" w:rsidR="00787E9A" w:rsidRPr="008608AA" w:rsidRDefault="00787E9A" w:rsidP="00787E9A">
      <w:pPr>
        <w:ind w:left="709" w:hanging="709"/>
      </w:pPr>
      <w:r w:rsidRPr="008608AA">
        <w:t>Guha-Sapir D, Hoyois Ph., Below.R. Annual Disaster Statistical Review 2013:The Numbers and Trends. Brussels: CRED; 2014</w:t>
      </w:r>
    </w:p>
    <w:p w14:paraId="2DBEBDF6" w14:textId="77777777" w:rsidR="00787E9A" w:rsidRPr="008608AA" w:rsidRDefault="00787E9A" w:rsidP="00787E9A">
      <w:pPr>
        <w:ind w:left="709" w:hanging="709"/>
      </w:pPr>
      <w:r w:rsidRPr="008608AA">
        <w:t>Guha, S., &amp; Bhattacharya, S. (2014). Non-parametric Non-stationary Modeling of Spatio-Temporal Data Through State Space Approach. arXiv preprint arXiv:1405.6531.</w:t>
      </w:r>
    </w:p>
    <w:p w14:paraId="098A4131" w14:textId="77777777" w:rsidR="00787E9A" w:rsidRPr="008608AA" w:rsidRDefault="00787E9A" w:rsidP="00787E9A">
      <w:pPr>
        <w:ind w:left="709" w:hanging="709"/>
      </w:pPr>
      <w:r w:rsidRPr="008608AA">
        <w:t>Guinea Barrientos, H. E., Swain, A., Wallin, M. B., &amp; Nyberg, L. (2015). Disaster management cooperation in central america: the case of rainfall</w:t>
      </w:r>
      <w:r w:rsidRPr="008608AA">
        <w:rPr>
          <w:rFonts w:ascii="Cambria Math" w:hAnsi="Cambria Math" w:cs="Cambria Math"/>
        </w:rPr>
        <w:t>‐</w:t>
      </w:r>
      <w:r w:rsidRPr="008608AA">
        <w:t>induced natural disasters. Geografiska Annaler: Series A, Physical Geography, 97(1), 85-96.</w:t>
      </w:r>
    </w:p>
    <w:p w14:paraId="17F39878" w14:textId="77777777" w:rsidR="00787E9A" w:rsidRPr="008608AA" w:rsidRDefault="00787E9A" w:rsidP="00787E9A">
      <w:pPr>
        <w:ind w:left="709" w:hanging="709"/>
      </w:pPr>
      <w:r w:rsidRPr="008608AA">
        <w:t>Gutiérrez-Galindo, E.A., Casas-Beltrán, D.A., Muñoz-Barbosa, A., Macías-Zamora, J.V., Segovia-Zavala, J.A., Orozco-Borbon, M.V. and Daessle, L.W., 2007. Spatial distribution and enrichment of mercury in surface sediments off the northwest coast of Baja California, Mexico. Ciencias Marinas, 33(4), pp.473-482.</w:t>
      </w:r>
    </w:p>
    <w:p w14:paraId="772CF8C0" w14:textId="77777777" w:rsidR="00787E9A" w:rsidRPr="008608AA" w:rsidRDefault="00787E9A" w:rsidP="00787E9A">
      <w:pPr>
        <w:ind w:left="709" w:hanging="709"/>
      </w:pPr>
      <w:r w:rsidRPr="008608AA">
        <w:t>Haddad, N. M., L. a. Brudvig, J. Clobert, K. F. Davies, A. Gonzalez, R. D. Holt, T. E. Lovejoy, J. O. Sexton, M. P. Austin, C. D. Collins, W. M. Cook, E. I. Damschen, R. M. Ewers, B. L. Foster, C. N. Jenkins,  a. J. King, W. F. Laurance, D. J. Levey, C. R. Margules, B. a. Melbourne,  a. O. Nicholls, J. L. Orrock, D.-X. Song, and J. R. Townshend. 2015. Habitat fragmentation and its lasting impact on Earth’s ecosystems. Science Advances 1:1–9. &lt;http://advances.sciencemag.org/content/1/2/e1500052.abstract&gt;.</w:t>
      </w:r>
    </w:p>
    <w:p w14:paraId="134FD0B1" w14:textId="77777777" w:rsidR="00787E9A" w:rsidRPr="008608AA" w:rsidRDefault="00787E9A" w:rsidP="00787E9A">
      <w:pPr>
        <w:ind w:left="709" w:hanging="709"/>
      </w:pPr>
      <w:r w:rsidRPr="008608AA">
        <w:t>Hall-Spencer, J.M., Rodolfo-Metalpa, R., Martin, S., Ransome, E., Fine, M., Turner, S.M., Rowley, S.J., Tedesco, D. and Buia, M.C., 2008. Volcanic carbon dioxide vents show ecosystem effects of ocean acidification. Nature, 454(7200), pp.96-99.</w:t>
      </w:r>
    </w:p>
    <w:p w14:paraId="7805E25A" w14:textId="77777777" w:rsidR="00787E9A" w:rsidRPr="008608AA" w:rsidRDefault="00787E9A" w:rsidP="00787E9A">
      <w:pPr>
        <w:ind w:left="709" w:hanging="709"/>
      </w:pPr>
      <w:r w:rsidRPr="008608AA">
        <w:t>Halpern, B. S. 2009. A Global Map of Human Impact on. 948:948–953.</w:t>
      </w:r>
    </w:p>
    <w:p w14:paraId="14C97E8D" w14:textId="77777777" w:rsidR="00787E9A" w:rsidRPr="008608AA" w:rsidRDefault="00787E9A" w:rsidP="00787E9A">
      <w:pPr>
        <w:ind w:left="709" w:hanging="709"/>
      </w:pPr>
      <w:r w:rsidRPr="00A3137A">
        <w:rPr>
          <w:lang w:val="fr-FR"/>
        </w:rPr>
        <w:t xml:space="preserve">Halpern, B. S., Selkoe, K. A., Micheli, F., &amp; Kappel, C. V. (2007). </w:t>
      </w:r>
      <w:r w:rsidRPr="008608AA">
        <w:t>Evaluating and ranking the vulnerability of global marine ecosystems to anthropogenic threats. Conservation Biology, 21(5), 1301-1315.</w:t>
      </w:r>
    </w:p>
    <w:p w14:paraId="11089169" w14:textId="77777777" w:rsidR="00787E9A" w:rsidRPr="008608AA" w:rsidRDefault="00787E9A" w:rsidP="00787E9A">
      <w:pPr>
        <w:ind w:left="709" w:hanging="709"/>
      </w:pPr>
      <w:r w:rsidRPr="008608AA">
        <w:t>Hansen, A. J., Piekielek, N., Davis, C., Haas, J., Theobald, D. M., Gross, J. E., Monahan, W. B., Olliff, T., &amp; Running, S. W. (2014). Exposure of U.S. National Parks to land use and climate change 1900-2100. Ecological Applications : A Publication of the Ecological Society of America, 24(3), 484–502. Retrieved from http://www.ncbi.nlm.nih.gov/pubmed/24834735</w:t>
      </w:r>
    </w:p>
    <w:p w14:paraId="10BF26BD" w14:textId="77777777" w:rsidR="00787E9A" w:rsidRPr="008608AA" w:rsidRDefault="00787E9A" w:rsidP="00787E9A">
      <w:pPr>
        <w:ind w:left="709" w:hanging="709"/>
      </w:pPr>
      <w:r w:rsidRPr="008608AA">
        <w:t>Hansen, M. C., Potapov, P. V., Moore, R., Hancher, M., Turubanova, S. A., Tyukavina, A., Thau, D., Stehman, S. V., Goetz, S. J., Loveland, T. R., Kommareddy, A., Egorov, A., Chini, L., Justice, C. O., &amp; Townshend, J. R. G. (2013). High-resolution global maps of 21st-century forest cover change. Science, 342(6160), 850–853. https://doi.org/10.1126/science.1244693</w:t>
      </w:r>
    </w:p>
    <w:p w14:paraId="103DDFFA" w14:textId="77777777" w:rsidR="00787E9A" w:rsidRPr="008608AA" w:rsidRDefault="00787E9A" w:rsidP="00787E9A">
      <w:pPr>
        <w:ind w:left="709" w:hanging="709"/>
      </w:pPr>
      <w:r w:rsidRPr="008608AA">
        <w:t>Hanski, I., G. a Zurita, M. I. Bellocq, and J. Rybicki. 2013. Species-fragmented area relationship. PNAS 110:12715–20.</w:t>
      </w:r>
    </w:p>
    <w:p w14:paraId="30C63FF4" w14:textId="77777777" w:rsidR="00787E9A" w:rsidRPr="008608AA" w:rsidRDefault="00787E9A" w:rsidP="00787E9A">
      <w:pPr>
        <w:ind w:left="709" w:hanging="709"/>
      </w:pPr>
      <w:r w:rsidRPr="008608AA">
        <w:t>Hanson, C., Yonavjak, L., Clarke, C., Minnemeyer, S., Boisrobert, L., Leach, A., Schleeweis, K. 2010. Southern Forests for the Future. Washington, DC.</w:t>
      </w:r>
    </w:p>
    <w:p w14:paraId="40904E14" w14:textId="77777777" w:rsidR="00787E9A" w:rsidRPr="008608AA" w:rsidRDefault="00787E9A" w:rsidP="00787E9A">
      <w:pPr>
        <w:ind w:left="709" w:hanging="709"/>
      </w:pPr>
      <w:r w:rsidRPr="008608AA">
        <w:t>Hanson, C.; Buckingham, K.  DeWitt, S. and Laestadius, L. (2015) The Restoration Diagnostic: A Method for Developing Forest Landscape Restoration Strategies by Rapidly Assessing the status of Key Success Factors.  WRI, IUCN, Washington, DC, USA, 90pp. (ISBN: 978-1-56973-875-7)</w:t>
      </w:r>
    </w:p>
    <w:p w14:paraId="7B103851" w14:textId="77777777" w:rsidR="00787E9A" w:rsidRPr="008608AA" w:rsidRDefault="00787E9A" w:rsidP="00787E9A">
      <w:pPr>
        <w:ind w:left="709" w:hanging="709"/>
      </w:pPr>
      <w:r w:rsidRPr="008608AA">
        <w:t>Hao, Y., Strosnider, H., Balluz, L. and Qualters, J.R., 2016. Geographic variation in the association between ambient fine particulate matter (PM2. 5) and term low birth weight in the United States. Environmental health perspectives, 124(2), p.250.</w:t>
      </w:r>
    </w:p>
    <w:p w14:paraId="384D8093" w14:textId="77777777" w:rsidR="00787E9A" w:rsidRPr="008608AA" w:rsidRDefault="00787E9A" w:rsidP="00787E9A">
      <w:pPr>
        <w:ind w:left="709" w:hanging="709"/>
      </w:pPr>
      <w:r w:rsidRPr="008608AA">
        <w:t>Hardell, S., Tilander, H., Welfinger-Smith, G., Burger, J. and Carpenter, D.O., 2010. Levels of polychlorinated biphenyls (PCBs) and three organochlorine pesticides in fish from the Aleutian Islands of Alaska. PloS one, 5(8), p.e12396.</w:t>
      </w:r>
    </w:p>
    <w:p w14:paraId="104A58B4" w14:textId="77777777" w:rsidR="00787E9A" w:rsidRPr="008608AA" w:rsidRDefault="00787E9A" w:rsidP="00787E9A">
      <w:pPr>
        <w:ind w:left="709" w:hanging="709"/>
      </w:pPr>
      <w:r w:rsidRPr="008608AA">
        <w:t xml:space="preserve">Hardin, Garrett. "The Tragedy of the Commons'(1968) 162." Science 1243 (1968). </w:t>
      </w:r>
    </w:p>
    <w:p w14:paraId="0F39A7F1" w14:textId="77777777" w:rsidR="00787E9A" w:rsidRPr="008608AA" w:rsidRDefault="00787E9A" w:rsidP="00787E9A">
      <w:pPr>
        <w:ind w:left="709" w:hanging="709"/>
      </w:pPr>
      <w:r w:rsidRPr="008608AA">
        <w:t>Harding, J.M. and Mann, R. 1999. Observations on the biology of the Veined Rapa whelk, Rapana venosa (Valenciennes, 1846) in the Chesapeake Bay. Journal of Shellfish Research, 18(1): 9-18.</w:t>
      </w:r>
    </w:p>
    <w:p w14:paraId="31EC8505" w14:textId="77777777" w:rsidR="00787E9A" w:rsidRPr="008608AA" w:rsidRDefault="00787E9A" w:rsidP="00787E9A">
      <w:pPr>
        <w:ind w:left="709" w:hanging="709"/>
      </w:pPr>
      <w:r w:rsidRPr="008608AA">
        <w:t>Hare, J. A., Alexander, M. A., Fogarty, M. J., Williams, E. H., &amp; Scott, J. D. (2010). Forecasting the dynamics of a coastal fishery species using a coupled climate–population model. Ecological Applications, 20(2), 452–464. https://doi.org/10.1890/08-1863.1</w:t>
      </w:r>
    </w:p>
    <w:p w14:paraId="59B7DAB2" w14:textId="77777777" w:rsidR="00787E9A" w:rsidRPr="008608AA" w:rsidRDefault="00787E9A" w:rsidP="00787E9A">
      <w:pPr>
        <w:ind w:left="709" w:hanging="709"/>
      </w:pPr>
      <w:r w:rsidRPr="008608AA">
        <w:t>Harmon, D., &amp; Loh, J. (2010). The index of linguistic diversity: A new quantitative measure of trends in the status of the world's languages.</w:t>
      </w:r>
    </w:p>
    <w:p w14:paraId="7D4DBC3F" w14:textId="77777777" w:rsidR="00787E9A" w:rsidRPr="008608AA" w:rsidRDefault="00787E9A" w:rsidP="00787E9A">
      <w:pPr>
        <w:ind w:left="709" w:hanging="709"/>
      </w:pPr>
      <w:r w:rsidRPr="008608AA">
        <w:t xml:space="preserve">Hayhoe, K., J. VanDorn, T. Croley, N. Schlegal, and D. Wuebbles. 2010. Regional climate change projections for Chicago and the US Great Lakes. Journal of Great Lakes Research 36:7–21. </w:t>
      </w:r>
    </w:p>
    <w:p w14:paraId="2A3BB812" w14:textId="77777777" w:rsidR="00787E9A" w:rsidRPr="008608AA" w:rsidRDefault="00787E9A" w:rsidP="00787E9A">
      <w:pPr>
        <w:ind w:left="709" w:hanging="709"/>
      </w:pPr>
      <w:r w:rsidRPr="008608AA">
        <w:t xml:space="preserve">Hebblewhite, M. (2017). Billion-dollar boreal woodland caribou and the biodiversity impacts of the global oil and gas industry. Biological Conservation, 206, 102–111. </w:t>
      </w:r>
    </w:p>
    <w:p w14:paraId="501155B1" w14:textId="77777777" w:rsidR="00787E9A" w:rsidRPr="008608AA" w:rsidRDefault="00787E9A" w:rsidP="00787E9A">
      <w:pPr>
        <w:ind w:left="709" w:hanging="709"/>
      </w:pPr>
      <w:r w:rsidRPr="008608AA">
        <w:t>Heithaus, M. R., A. Frid, A. J. Wirsing, and B. Worm. 2008. Predicting ecological consequences of marine top predator declines. Trends in Ecology &amp; Evolution 23:202–210.</w:t>
      </w:r>
    </w:p>
    <w:p w14:paraId="44114842" w14:textId="77777777" w:rsidR="00787E9A" w:rsidRPr="008608AA" w:rsidRDefault="00787E9A" w:rsidP="00787E9A">
      <w:pPr>
        <w:ind w:left="709" w:hanging="709"/>
      </w:pPr>
      <w:r w:rsidRPr="008608AA">
        <w:t>Helmer, E. H., T. A. Kennaway, D. H. Pedreros, M. L. Clark, H. Marcano-Vega, L. L. Tieszen, T. R. Ruzycki, S. R. Schill, and C. M. S. Carrington. 2008. Land cover and forest formation distributions for St. Kitts, Nevis, St. Eustatius, Grenada and Barbados from decision tree classification of cloud-cleared satellite imagery. Caribbean Journal of Science 44:175–198.</w:t>
      </w:r>
    </w:p>
    <w:p w14:paraId="660DE776" w14:textId="77777777" w:rsidR="00787E9A" w:rsidRPr="008608AA" w:rsidRDefault="00787E9A" w:rsidP="00787E9A">
      <w:pPr>
        <w:ind w:left="709" w:hanging="709"/>
      </w:pPr>
      <w:r w:rsidRPr="008608AA">
        <w:t>Helmer, E. H., T. J. Brandeis, A. E. Lugo, and T. Kennaway. 2008. Factors influencing spatial pattern in tropical forest clearance and stand age: Implications for carbon storage and species diversity. Journal of Geophysical Research: Biogeosciences 113.</w:t>
      </w:r>
    </w:p>
    <w:p w14:paraId="3E7591C1" w14:textId="77777777" w:rsidR="00787E9A" w:rsidRPr="008608AA" w:rsidRDefault="00787E9A" w:rsidP="00787E9A">
      <w:pPr>
        <w:ind w:left="709" w:hanging="709"/>
      </w:pPr>
      <w:r w:rsidRPr="008608AA">
        <w:t>Helmer, E.H., Ruzycki, T.S., Benner, J., Voggesser, S.M., Scobie, B.P., Park, C., Fanning, D.W. and Ramnarine, S., 2012. Detailed maps of tropical forest types are within reach: Forest tree communities for Trinidad and Tobago mapped with multiseason Landsat and multiseason fine-resolution imagery. Forest Ecology and Management, 279, pp.147-166.</w:t>
      </w:r>
    </w:p>
    <w:p w14:paraId="3F656491" w14:textId="77777777" w:rsidR="00787E9A" w:rsidRPr="008608AA" w:rsidRDefault="00787E9A" w:rsidP="00787E9A">
      <w:pPr>
        <w:ind w:left="709" w:hanging="709"/>
      </w:pPr>
      <w:r w:rsidRPr="008608AA">
        <w:t>Henders, S., Persson, U. M., &amp; Kastner, T. (2015). Trading forests: land-use change and carbon emissions embodied in production and exports of forest-risk commodities. Environmental Research Letters, 10(12), 125012.</w:t>
      </w:r>
    </w:p>
    <w:p w14:paraId="2FCFE525" w14:textId="77777777" w:rsidR="00787E9A" w:rsidRPr="008608AA" w:rsidRDefault="00787E9A" w:rsidP="00787E9A">
      <w:pPr>
        <w:ind w:left="709" w:hanging="709"/>
      </w:pPr>
      <w:r w:rsidRPr="008608AA">
        <w:t xml:space="preserve">Henson, Joshua I., Frank Muller-Karger, Doug Wilson, Steven L. Morey, George A. Maul, Mark Luther and Christine Kranenburg. 2006. Strategic Geographic Positioning of Sea Level Gauges to Aid in Early Detection of Tsunamis in the Intra-Americas Sea. Science of Tsunami Hazards. Vol. 25, No. 3. pages 173-207. </w:t>
      </w:r>
    </w:p>
    <w:p w14:paraId="55968772" w14:textId="77777777" w:rsidR="00787E9A" w:rsidRPr="008608AA" w:rsidRDefault="00787E9A" w:rsidP="00787E9A">
      <w:pPr>
        <w:ind w:left="709" w:hanging="709"/>
      </w:pPr>
      <w:r w:rsidRPr="008608AA">
        <w:t>Hernández, D. L., D. M. Vallano, E. S. Zavaleta, Z. Tzankova, J. R. Pasari, S. Weiss, P. C. Selmants, and C. Morozumi. 2016. Nitrogen Pollution Is Linked to US Listed Species Declines. BioScience 66:213–222.</w:t>
      </w:r>
    </w:p>
    <w:p w14:paraId="0AD6F370" w14:textId="77777777" w:rsidR="00787E9A" w:rsidRPr="008608AA" w:rsidRDefault="00787E9A" w:rsidP="00787E9A">
      <w:pPr>
        <w:ind w:left="709" w:hanging="709"/>
        <w:rPr>
          <w:lang w:val="es-CO"/>
        </w:rPr>
      </w:pPr>
      <w:r w:rsidRPr="008608AA">
        <w:rPr>
          <w:lang w:val="es-CO"/>
        </w:rPr>
        <w:t>Hernández, G.; Lahmann, E.; Pérez-Gil, R. (2002) Invasores en Mesoamérica y El Caribe (Invasives in Mesoamerica and the Caribbean). -- 1. ed. -- San José, C.R. : UICN,. http://www.issg.org/pdf/publications/GISP/Resources/Mesoamerica.pdf</w:t>
      </w:r>
    </w:p>
    <w:p w14:paraId="7345CD0D" w14:textId="77777777" w:rsidR="00787E9A" w:rsidRPr="008608AA" w:rsidRDefault="00787E9A" w:rsidP="00787E9A">
      <w:pPr>
        <w:ind w:left="709" w:hanging="709"/>
      </w:pPr>
      <w:r w:rsidRPr="008608AA">
        <w:t>Herrmann, T. M. (2006). Indigenous knowledge and management of Araucaria araucana forest in the Chilean Andes: implications for native forest conservation. Biodiversity and Conservation, 15(2), 647-662.</w:t>
      </w:r>
    </w:p>
    <w:p w14:paraId="57D862DC" w14:textId="77777777" w:rsidR="00787E9A" w:rsidRPr="008608AA" w:rsidRDefault="00787E9A" w:rsidP="00787E9A">
      <w:pPr>
        <w:ind w:left="709" w:hanging="709"/>
      </w:pPr>
      <w:r w:rsidRPr="008608AA">
        <w:t>Heyman, W. D., Graham, R. T., Kjerfve, B., &amp; Johannes, R. E. (2001). Whale sharks Rhincodon typus aggregate to feed on fish spawn in Belize. Marine Ecology Progress Series, 215, 275-282.</w:t>
      </w:r>
    </w:p>
    <w:p w14:paraId="23556492" w14:textId="77777777" w:rsidR="00787E9A" w:rsidRPr="008608AA" w:rsidRDefault="00787E9A" w:rsidP="00787E9A">
      <w:pPr>
        <w:ind w:left="709" w:hanging="709"/>
      </w:pPr>
      <w:r w:rsidRPr="008608AA">
        <w:t>Hietz, P., Turner, B.L., Wanek, W., Richter, A., Nock, C.A. and Wright, S.J., 2011. Long-term change in the nitrogen cycle of tropical forests. Science, 334(6056), pp.664-666.</w:t>
      </w:r>
    </w:p>
    <w:p w14:paraId="1DFFF5EE" w14:textId="77777777" w:rsidR="00787E9A" w:rsidRPr="008608AA" w:rsidRDefault="00787E9A" w:rsidP="00787E9A">
      <w:pPr>
        <w:ind w:left="709" w:hanging="709"/>
      </w:pPr>
      <w:r w:rsidRPr="008608AA">
        <w:t>Hilborn, R. and Ovando, D., 2014. Reflections on the success of traditional fisheries management. ICES Journal of Marine Science, 71(5), pp.1040-1046.</w:t>
      </w:r>
    </w:p>
    <w:p w14:paraId="7F8A6A79" w14:textId="77777777" w:rsidR="00787E9A" w:rsidRPr="008608AA" w:rsidRDefault="00787E9A" w:rsidP="00787E9A">
      <w:pPr>
        <w:ind w:left="709" w:hanging="709"/>
      </w:pPr>
      <w:r w:rsidRPr="008608AA">
        <w:t>Hill, R., Dyer, G. A., Lozada-Ellison, L. M., Gimona, A., Martín-Ortega, J., Munoz-Rojas, J., &amp; Gordon, I. J. (2015). A social–ecological systems analysis of impediments to delivery of the Aichi 2020 Targets and potentially more effective pathways to the conservation of biodiversity. Global Environmental Change, 34, 22-34.</w:t>
      </w:r>
    </w:p>
    <w:p w14:paraId="7C239AF1" w14:textId="77777777" w:rsidR="00787E9A" w:rsidRPr="008608AA" w:rsidRDefault="00787E9A" w:rsidP="00787E9A">
      <w:pPr>
        <w:ind w:left="709" w:hanging="709"/>
      </w:pPr>
      <w:r w:rsidRPr="008608AA">
        <w:t>Hillstrom, M. L., and R. L. Lindroth. 2008. Elevated atmospheric carbon dioxide and ozone alter forest insect abundance and community composition. Insect Conservation and Diversity 1:233–241. &lt;&lt;Go to ISI&gt;://000262759300006&gt;.</w:t>
      </w:r>
    </w:p>
    <w:p w14:paraId="7CFBFA78" w14:textId="77777777" w:rsidR="00787E9A" w:rsidRPr="008608AA" w:rsidRDefault="00787E9A" w:rsidP="00787E9A">
      <w:pPr>
        <w:ind w:left="709" w:hanging="709"/>
      </w:pPr>
      <w:r w:rsidRPr="008608AA">
        <w:t>Hinsley, A., D. Verissimo, and D. L. Roberts. 2015. Heterogeneity in consumer preferences for orchids in international trade and the potential for the use of market research methods to study demand for wildlife. Biological Conservation 190:80–86.</w:t>
      </w:r>
    </w:p>
    <w:p w14:paraId="69C4D596" w14:textId="77777777" w:rsidR="00787E9A" w:rsidRPr="008608AA" w:rsidRDefault="00787E9A" w:rsidP="00787E9A">
      <w:pPr>
        <w:ind w:left="709" w:hanging="709"/>
      </w:pPr>
      <w:r w:rsidRPr="008608AA">
        <w:t>Hinzman, L. D., N. D. Bettez, W. R. Bolton, F. S. Chapin, M. B. Dyurgerov, C. L. Fastie, B. Griffith, R. D. Hollister, A. Hope, H. P. Huntington, A. M. Jensen, G. J. Jia, T. Jorgenson, D. L. Kane, D. R. Klein, G. Kofinas, A. H. Lynch, A. H. Lloyd, A. D. Mcguire, F. E. Nelson, W. C. Oechel, T. E. Osterkamp, C. H. Racine, V. E. Romanovsky, R. S. Stone, D. A. Stow, M. Sturm, C. E. Tweedie, G. L. Vourlitis, M. D. Walker, D. A. Walker, P. J. Webber, J. M. Welker, K. S. Winker, and K. Yoshikawa. 2005. EVIDENCE AND IMPLICATIONS OF RECENT CLIMATE CHANGE IN NORTHERN ALASKA AND OTHER ARCTIC REGIONS A recent synthesis of evidence from marine , terrestrial and atmospheric stud- ies shows that the climate of the Arctic has warmed significantly in the last 30 . 251–298.</w:t>
      </w:r>
    </w:p>
    <w:p w14:paraId="3F42CF68" w14:textId="77777777" w:rsidR="00787E9A" w:rsidRPr="008608AA" w:rsidRDefault="00787E9A" w:rsidP="00787E9A">
      <w:pPr>
        <w:ind w:left="709" w:hanging="709"/>
      </w:pPr>
      <w:r w:rsidRPr="008608AA">
        <w:t xml:space="preserve">Hixon, M. A., Green, S. J., Albins, M. A., Akins, J. L., &amp; Morris, J. A. (2016). Lionfish: A major marine invasion. Marine Ecology Progress Series, 558(November), 161–165. </w:t>
      </w:r>
    </w:p>
    <w:p w14:paraId="011BA28D" w14:textId="77777777" w:rsidR="00787E9A" w:rsidRPr="008608AA" w:rsidRDefault="00787E9A" w:rsidP="00787E9A">
      <w:pPr>
        <w:ind w:left="709" w:hanging="709"/>
      </w:pPr>
      <w:r w:rsidRPr="008608AA">
        <w:t xml:space="preserve">Hobbs, R. J. (2000). Land-use changes and invasions. In Invasive species in a changing world (pp. 55–64). </w:t>
      </w:r>
    </w:p>
    <w:p w14:paraId="1C379F91" w14:textId="77777777" w:rsidR="00787E9A" w:rsidRPr="008608AA" w:rsidRDefault="00787E9A" w:rsidP="00787E9A">
      <w:pPr>
        <w:ind w:left="709" w:hanging="709"/>
      </w:pPr>
      <w:r w:rsidRPr="008608AA">
        <w:t>Hodgson, D. L. (2002). Introduction: Comparative perspectives on the indigenous rights movement in Africa and the Americas. American Anthropologist, 104(4), 1037-1049.</w:t>
      </w:r>
    </w:p>
    <w:p w14:paraId="1CF134D4" w14:textId="77777777" w:rsidR="00787E9A" w:rsidRPr="008608AA" w:rsidRDefault="00787E9A" w:rsidP="00787E9A">
      <w:pPr>
        <w:ind w:left="709" w:hanging="709"/>
      </w:pPr>
      <w:r w:rsidRPr="008608AA">
        <w:t>Hoekstra JM, Molnar JL, Jennings M, Revenga C, Spalding MD, Boucher TM, Robertson JC, Heibel TJ, Ellison K (2010) The Atlas of Global Conservation: Changes, Challenges, and Opportunities to Make a Difference (ed. Molnar JL). Berkeley: University of California Press.</w:t>
      </w:r>
    </w:p>
    <w:p w14:paraId="6C845C00" w14:textId="77777777" w:rsidR="00787E9A" w:rsidRPr="008608AA" w:rsidRDefault="00787E9A" w:rsidP="00787E9A">
      <w:pPr>
        <w:ind w:left="709" w:hanging="709"/>
      </w:pPr>
      <w:r w:rsidRPr="008608AA">
        <w:t>Hoekstra, J. M., T. M. Boucher, T. H. Ricketts, and C. Roberts. 2005. Confronting a biome crisis: Global disparities of habitat loss and protection. Ecology Letters 8:23–29.</w:t>
      </w:r>
    </w:p>
    <w:p w14:paraId="2CCA704A" w14:textId="77777777" w:rsidR="00787E9A" w:rsidRPr="008608AA" w:rsidRDefault="00787E9A" w:rsidP="00787E9A">
      <w:pPr>
        <w:ind w:left="709" w:hanging="709"/>
      </w:pPr>
      <w:r w:rsidRPr="008608AA">
        <w:t xml:space="preserve">Holcombe, E., Smith, S., Wright, E. et al. Nat Hazards (2012) 61: 351. </w:t>
      </w:r>
    </w:p>
    <w:p w14:paraId="6D42818D" w14:textId="77777777" w:rsidR="00787E9A" w:rsidRPr="008608AA" w:rsidRDefault="00787E9A" w:rsidP="00787E9A">
      <w:pPr>
        <w:ind w:left="709" w:hanging="709"/>
      </w:pPr>
      <w:r w:rsidRPr="008608AA">
        <w:t xml:space="preserve">Holway, D. A., Lach, L., Suarez, A. V., Tsutsui, N. D., &amp; Case, T. J. (2002). The Causes and Consequences of Ant Invasions. Annual Review of Ecology and Systematics, 33(1), 181–233. </w:t>
      </w:r>
    </w:p>
    <w:p w14:paraId="2B70E0AE" w14:textId="77777777" w:rsidR="00787E9A" w:rsidRPr="00CE0821" w:rsidRDefault="00787E9A" w:rsidP="00787E9A">
      <w:pPr>
        <w:ind w:left="709" w:hanging="709"/>
      </w:pPr>
      <w:r w:rsidRPr="00CE0821">
        <w:t>Honduras Ramsar National Report 2015  </w:t>
      </w:r>
      <w:hyperlink r:id="rId1006" w:tgtFrame="_blank" w:history="1">
        <w:r w:rsidRPr="00CE0821">
          <w:t>http://www.ramsar.org/sites/default/files/documents/library/cop12_nr_honduras.pdf</w:t>
        </w:r>
      </w:hyperlink>
    </w:p>
    <w:p w14:paraId="246840C4" w14:textId="77777777" w:rsidR="00787E9A" w:rsidRPr="008608AA" w:rsidRDefault="00787E9A" w:rsidP="00787E9A">
      <w:pPr>
        <w:ind w:left="709" w:hanging="709"/>
      </w:pPr>
      <w:r w:rsidRPr="008608AA">
        <w:t>Hooper, M.. P. Mineau, M. E. Zaccagnini and B. Woodbridge  (2002). Pesticides and International Migratory Bird Conservation. Chapter 25, Pag. 737-753, in D.J. Hoffman, B.A. Rattnes, G.A. Burton and J. Cairns Jr. (Eds). Handbook of Ecotoxicology. Lewis Publishers, CRC Press, Boca Raton. FloridaHoover, E., Cook, K., Plain, R., Sanchez, K., Waghiyi, V., Miller, P., Dufault, R., Sislin, C. and Carpenter, D.O., 2012. Indigenous peoples of North America: environmental exposures and reproductive justice. Environmental Health Perspectives, 120(12), p.1645.</w:t>
      </w:r>
    </w:p>
    <w:p w14:paraId="4E89529A" w14:textId="77777777" w:rsidR="00787E9A" w:rsidRPr="008608AA" w:rsidRDefault="00787E9A" w:rsidP="00787E9A">
      <w:pPr>
        <w:ind w:left="709" w:hanging="709"/>
      </w:pPr>
      <w:r w:rsidRPr="008608AA">
        <w:t xml:space="preserve">Hoover, E., Cook, K., Plain, R., Sanchez, K., Waghiyi, V., Miller, P., Dufault, R., Sislin, C., and Carpenter, D, (2012). Indigenous Peoples of North America: Environmental Exposures and Reproductive Justice. Environ Health Perspect, Vol 12, issue 12, 1645-49. DOI:10.1289/ehp.1205422.         </w:t>
      </w:r>
    </w:p>
    <w:p w14:paraId="0532CF04" w14:textId="77777777" w:rsidR="00787E9A" w:rsidRPr="008608AA" w:rsidRDefault="00787E9A" w:rsidP="00787E9A">
      <w:pPr>
        <w:ind w:left="709" w:hanging="709"/>
      </w:pPr>
      <w:r w:rsidRPr="008608AA">
        <w:t>Horowitz, H.M., Jacob, D.J., Amos, H.M., Streets, D.G. and Sunderland, E.M., 2014. Historical mercury releases from commercial products: Global environmental implications. Environmental science &amp; technology, 48(17), pp.10242-10250.</w:t>
      </w:r>
    </w:p>
    <w:p w14:paraId="093C839B" w14:textId="77777777" w:rsidR="00787E9A" w:rsidRPr="008608AA" w:rsidRDefault="00787E9A" w:rsidP="00787E9A">
      <w:pPr>
        <w:ind w:left="709" w:hanging="709"/>
      </w:pPr>
      <w:r w:rsidRPr="008608AA">
        <w:t>Howarth, R.W., 2014. A bridge to nowhere: methane emissions and the greenhouse gas footprint of natural gas. Energy Science &amp; Engineering, 2(2), pp.47-60.</w:t>
      </w:r>
    </w:p>
    <w:p w14:paraId="719178CB" w14:textId="77777777" w:rsidR="00787E9A" w:rsidRPr="008608AA" w:rsidRDefault="00787E9A" w:rsidP="00787E9A">
      <w:pPr>
        <w:ind w:left="709" w:hanging="709"/>
      </w:pPr>
      <w:r w:rsidRPr="008608AA">
        <w:t xml:space="preserve">Howell Rivero, L., &amp; Rivas, L. R. (1940). </w:t>
      </w:r>
      <w:r w:rsidRPr="008608AA">
        <w:rPr>
          <w:lang w:val="es-CO"/>
        </w:rPr>
        <w:t>Algunas consideraciones sobre los ciclidos de Cuba. </w:t>
      </w:r>
      <w:r w:rsidRPr="008608AA">
        <w:t>Mem Soc. Cub. Hist. Nat, 14(4), 373-395</w:t>
      </w:r>
    </w:p>
    <w:p w14:paraId="74D3F961" w14:textId="77777777" w:rsidR="00787E9A" w:rsidRPr="008608AA" w:rsidRDefault="00787E9A" w:rsidP="00787E9A">
      <w:pPr>
        <w:ind w:left="709" w:hanging="709"/>
      </w:pPr>
      <w:r w:rsidRPr="008608AA">
        <w:t>Huffman, M. (2013). The many elements of traditional fire knowledge: synthesis, classification, and aids to cross-cultural problem solving in fire-dependent systems around the world. Ecology and Society, 18(4).</w:t>
      </w:r>
    </w:p>
    <w:p w14:paraId="03130557" w14:textId="77777777" w:rsidR="00787E9A" w:rsidRPr="008608AA" w:rsidRDefault="00787E9A" w:rsidP="00787E9A">
      <w:pPr>
        <w:ind w:left="709" w:hanging="709"/>
      </w:pPr>
      <w:r w:rsidRPr="008608AA">
        <w:t>Hufkens, K., Keenan, T. F., Flanagan, L. B., Scott, R. L., Bernacchi, C. J., Joo, E., Brunsell, N. A., Verfaillie, J., &amp; Richardson, A. D. (2016). Productivity of North American grasslands is increased under future climate scenarios despite rising aridity. Nature Climate Change, 6(7), 710–714. https://doi.org/10.1038/nclimate2942</w:t>
      </w:r>
    </w:p>
    <w:p w14:paraId="0BC07AE7" w14:textId="77777777" w:rsidR="00787E9A" w:rsidRPr="008608AA" w:rsidRDefault="00787E9A" w:rsidP="00787E9A">
      <w:pPr>
        <w:ind w:left="709" w:hanging="709"/>
      </w:pPr>
    </w:p>
    <w:p w14:paraId="7237AE68" w14:textId="77777777" w:rsidR="00787E9A" w:rsidRPr="008608AA" w:rsidRDefault="00787E9A" w:rsidP="00787E9A">
      <w:pPr>
        <w:ind w:left="709" w:hanging="709"/>
      </w:pPr>
      <w:r w:rsidRPr="008608AA">
        <w:t>Hughes, R. M., Amezcua, F., Chambers, D. M., Daniel, W. M., Franks, J. S., Franzin, W., MacDonald, D., Merriam, E., Neall, G., dos Santos Pompeu, P., Reynolds, L., &amp; Woody, C. A. (2016). AFS Position Paper and Policy on Mining and Fossil Fuel Extraction. Fisheries, 41(1), 12–15. https://doi.org/10.1080/03632415.2016.1121742</w:t>
      </w:r>
    </w:p>
    <w:p w14:paraId="5D2ACF58" w14:textId="77777777" w:rsidR="00787E9A" w:rsidRPr="008608AA" w:rsidRDefault="00787E9A" w:rsidP="00787E9A">
      <w:pPr>
        <w:ind w:left="709" w:hanging="709"/>
      </w:pPr>
    </w:p>
    <w:p w14:paraId="4E615289" w14:textId="77777777" w:rsidR="00787E9A" w:rsidRPr="008608AA" w:rsidRDefault="00787E9A" w:rsidP="00787E9A">
      <w:pPr>
        <w:ind w:left="709" w:hanging="709"/>
      </w:pPr>
      <w:r w:rsidRPr="008608AA">
        <w:t>Hughes, T. P. (1994). Catastrophes, phase shifts, and large-scale degradation of a Caribbean coral reef. Science-AAAS-Weekly Paper Edition, 265(5178), 1547-1551.</w:t>
      </w:r>
    </w:p>
    <w:p w14:paraId="06A83D5F" w14:textId="77777777" w:rsidR="00787E9A" w:rsidRPr="008608AA" w:rsidRDefault="00787E9A" w:rsidP="00787E9A">
      <w:pPr>
        <w:ind w:left="709" w:hanging="709"/>
      </w:pPr>
      <w:r w:rsidRPr="008608AA">
        <w:t>Hung, H., Blanchard, P., Halsall, C.J., Bidleman, T.F., Stern, G.A., Fellin, P., Muir, D.C.G., Barrie, L.A., Jantunen, L.M., Helm, P.A. and Ma, J., 2005. Temporal and spatial variabilities of atmospheric polychlorinated biphenyls (PCBs), organochlorine (OC) pesticides and polycyclic aromatic hydrocarbons (PAHs) in the Canadian Arctic: Results from a decade of monitoring. Science of the Total Environment, 342(1), pp.119-144.</w:t>
      </w:r>
    </w:p>
    <w:p w14:paraId="7F4712B1" w14:textId="77777777" w:rsidR="00787E9A" w:rsidRPr="008608AA" w:rsidRDefault="00787E9A" w:rsidP="00787E9A">
      <w:pPr>
        <w:ind w:left="709" w:hanging="709"/>
      </w:pPr>
      <w:r w:rsidRPr="008608AA">
        <w:t>IAWG, U. (2013). Technical support document: Technical update of the social cost of carbon for regulatory impact analysis under executive order 12866. Interagency Working Group on Social Cost of Carbon, United States Government, Washington, DC.</w:t>
      </w:r>
    </w:p>
    <w:p w14:paraId="64A4FE72" w14:textId="77777777" w:rsidR="00787E9A" w:rsidRPr="008608AA" w:rsidRDefault="00787E9A" w:rsidP="00787E9A">
      <w:pPr>
        <w:ind w:left="709" w:hanging="709"/>
      </w:pPr>
      <w:r w:rsidRPr="008608AA">
        <w:t>IEA. (2015). Key World Energy Statistics. International Energy Agency, Paris: OECD/IEA.</w:t>
      </w:r>
    </w:p>
    <w:p w14:paraId="28C235DB" w14:textId="77777777" w:rsidR="00787E9A" w:rsidRPr="008608AA" w:rsidRDefault="00787E9A" w:rsidP="00787E9A">
      <w:pPr>
        <w:ind w:left="709" w:hanging="709"/>
      </w:pPr>
      <w:r w:rsidRPr="008608AA">
        <w:t>IEA. (2016). Key World Energy Statistics. International Energy Agency, Paris: OECD/IEA.</w:t>
      </w:r>
    </w:p>
    <w:p w14:paraId="3D98CF40" w14:textId="77777777" w:rsidR="00787E9A" w:rsidRPr="008608AA" w:rsidRDefault="00787E9A" w:rsidP="00787E9A">
      <w:pPr>
        <w:ind w:left="709" w:hanging="709"/>
      </w:pPr>
      <w:r w:rsidRPr="008608AA">
        <w:t xml:space="preserve">Ibañez, M., &amp; Blackman, A. (2016). Is Eco-Certification a Win-Win for Developing Country Agriculture? Organic Coffee Certification in Colombia. World Development, 82, 14-27. </w:t>
      </w:r>
    </w:p>
    <w:p w14:paraId="2A53A909" w14:textId="77777777" w:rsidR="00787E9A" w:rsidRPr="008608AA" w:rsidRDefault="00787E9A" w:rsidP="00787E9A">
      <w:pPr>
        <w:ind w:left="709" w:hanging="709"/>
        <w:rPr>
          <w:rFonts w:eastAsiaTheme="minorEastAsia"/>
        </w:rPr>
      </w:pPr>
      <w:r w:rsidRPr="008608AA">
        <w:rPr>
          <w:rFonts w:eastAsiaTheme="minorEastAsia"/>
        </w:rPr>
        <w:t xml:space="preserve">International Monetary Fund (IMF). 2014. World Economic Outlook: Legacies, Clouds, Uncertainties. Washington (October). </w:t>
      </w:r>
      <w:r w:rsidRPr="008608AA">
        <w:t>www.imf.org</w:t>
      </w:r>
    </w:p>
    <w:p w14:paraId="66888F7D" w14:textId="77777777" w:rsidR="00787E9A" w:rsidRPr="008608AA" w:rsidRDefault="00787E9A" w:rsidP="00787E9A">
      <w:pPr>
        <w:ind w:left="709" w:hanging="709"/>
        <w:rPr>
          <w:rFonts w:eastAsiaTheme="minorEastAsia"/>
        </w:rPr>
      </w:pPr>
      <w:r w:rsidRPr="008608AA">
        <w:rPr>
          <w:rFonts w:eastAsiaTheme="minorEastAsia"/>
        </w:rPr>
        <w:t xml:space="preserve">International Monetary Fund (IMF). (2015). World Economic Outlook: Adjusting to Lower Commodity Prices. Washington (October). </w:t>
      </w:r>
      <w:r w:rsidRPr="008608AA">
        <w:t>www.imf.org</w:t>
      </w:r>
    </w:p>
    <w:p w14:paraId="1FF5AAB8" w14:textId="77777777" w:rsidR="00787E9A" w:rsidRPr="008608AA" w:rsidRDefault="00787E9A" w:rsidP="00787E9A">
      <w:pPr>
        <w:ind w:left="709" w:hanging="709"/>
        <w:rPr>
          <w:rFonts w:eastAsiaTheme="minorEastAsia"/>
        </w:rPr>
      </w:pPr>
      <w:r w:rsidRPr="008608AA">
        <w:rPr>
          <w:rFonts w:eastAsiaTheme="minorEastAsia"/>
        </w:rPr>
        <w:t xml:space="preserve">International Monetary Fund (IMF). (2016). World Economic Outlook: Subdued Demand: Symptoms and Remedies. Washington, October. </w:t>
      </w:r>
      <w:r w:rsidRPr="008608AA">
        <w:t>www.imf.org</w:t>
      </w:r>
    </w:p>
    <w:p w14:paraId="2EA3156F" w14:textId="77777777" w:rsidR="00787E9A" w:rsidRPr="008608AA" w:rsidRDefault="00787E9A" w:rsidP="00787E9A">
      <w:pPr>
        <w:ind w:left="709" w:hanging="709"/>
        <w:rPr>
          <w:rFonts w:eastAsiaTheme="minorEastAsia"/>
        </w:rPr>
      </w:pPr>
      <w:r w:rsidRPr="008608AA">
        <w:rPr>
          <w:rFonts w:eastAsiaTheme="minorEastAsia"/>
        </w:rPr>
        <w:t xml:space="preserve">International Monetary Fund (IMF). 2017. Seeking Sustainable Growth: Short-Term Recovery, Long-Term Challenges. Washington, DC, October. </w:t>
      </w:r>
      <w:r w:rsidRPr="008608AA">
        <w:t>www.imf.org</w:t>
      </w:r>
    </w:p>
    <w:p w14:paraId="417A0CD4" w14:textId="77777777" w:rsidR="00787E9A" w:rsidRPr="00CE0821" w:rsidRDefault="00787E9A" w:rsidP="00787E9A">
      <w:pPr>
        <w:ind w:left="709" w:hanging="709"/>
        <w:rPr>
          <w:lang w:val="es-CO"/>
        </w:rPr>
      </w:pPr>
      <w:r w:rsidRPr="008608AA">
        <w:t xml:space="preserve">International Tropical Timber Organization  (ITTO). (2011). 25 Success stories - Illustrating ITTO’s 25-year quest to sustain tropical forests. </w:t>
      </w:r>
      <w:r w:rsidRPr="00CE0821">
        <w:rPr>
          <w:lang w:val="es-CO"/>
        </w:rPr>
        <w:t>Yokohama, Japan, 62pp. (ISBN 4-902045-89-3)</w:t>
      </w:r>
    </w:p>
    <w:p w14:paraId="024B0220" w14:textId="77777777" w:rsidR="00787E9A" w:rsidRPr="008608AA" w:rsidRDefault="00787E9A" w:rsidP="00787E9A">
      <w:pPr>
        <w:ind w:left="709" w:hanging="709"/>
        <w:rPr>
          <w:lang w:val="es-CO"/>
        </w:rPr>
      </w:pPr>
      <w:r w:rsidRPr="00CE0821">
        <w:rPr>
          <w:lang w:val="es-CO"/>
        </w:rPr>
        <w:t xml:space="preserve">Inoue, C. Y. A., &amp; Moreira, P. F. (2016). </w:t>
      </w:r>
      <w:r w:rsidRPr="008608AA">
        <w:t xml:space="preserve">Many worlds, many nature(s), one planet: indigenous knowledge in the Anthropocene. </w:t>
      </w:r>
      <w:r w:rsidRPr="008608AA">
        <w:rPr>
          <w:lang w:val="es-CO"/>
        </w:rPr>
        <w:t xml:space="preserve">Revista Brasileira de Política Internacional, 59(2), 1–19. </w:t>
      </w:r>
    </w:p>
    <w:p w14:paraId="129D48B0" w14:textId="77777777" w:rsidR="00787E9A" w:rsidRPr="008608AA" w:rsidRDefault="00787E9A" w:rsidP="00787E9A">
      <w:pPr>
        <w:ind w:left="709" w:hanging="709"/>
      </w:pPr>
      <w:r w:rsidRPr="008608AA">
        <w:rPr>
          <w:lang w:val="es-CO"/>
        </w:rPr>
        <w:t xml:space="preserve">Intergovernmental Panel on Climate Change. </w:t>
      </w:r>
      <w:r w:rsidRPr="008608AA">
        <w:t>2014. Climate Change 2014 Synthesis Report Summary Chapter for Policymakers. IPCC.</w:t>
      </w:r>
    </w:p>
    <w:p w14:paraId="36FA5138" w14:textId="77777777" w:rsidR="00787E9A" w:rsidRPr="008608AA" w:rsidRDefault="00787E9A" w:rsidP="00787E9A">
      <w:pPr>
        <w:ind w:left="709" w:hanging="709"/>
      </w:pPr>
      <w:r w:rsidRPr="008608AA">
        <w:t>IPBES (2016). The methodological assessment report on scenarios and models of biodiversity and ecosystem services. Ferrier, S., Ninan, K. N., Leadley, P., Alkemade, R., Acosta, L. A., Akçakaya, H. R., Brotons, L., Cheung, W. W. L., Christensen, V., Harhash, K. A., Kabubo-Mariara, J., Lundquist, C., Obersteiner, M., Pereira, H. M., Peterson, G., Pichs-Madruga, R., Ravindranath, N., Rondinini C., &amp; Wintle, B.A.  (eds.). Secretariat of the Intergovernmental. Science-Policy Platform on Biodiversity and Ecosystem Services, Bonn, Germany</w:t>
      </w:r>
    </w:p>
    <w:p w14:paraId="3C0AB48D" w14:textId="77777777" w:rsidR="00787E9A" w:rsidRPr="008608AA" w:rsidRDefault="00787E9A" w:rsidP="00787E9A">
      <w:pPr>
        <w:ind w:left="709" w:hanging="709"/>
      </w:pPr>
      <w:r w:rsidRPr="008608AA">
        <w:t>IPCC, (2014a). Climate Change 2014: Impacts, Adaptation, and Vulnerability. Part A: Global and Sectoral Aspects. Contribution of Working Group II to the Fifth Assessment Report of the Intergovernmental Panel on Climate Change [Field, C.B., V.R. Barros, D.J. Dokken, K.J. Mach, M.D. Mastrandrea, T.E. Bilir, M. Chatterjee, K.L. Ebi, Y.O. Estrada, R.C. Genova, B. Girma, E.S. Kissel, A.N. Levy, S. MacCracken, P.R. Mastrandrea, and L.L.White (eds.)]. Cambridge University Press, Cambridge, United Kingdom and New York, NY, USA, 1132 pp.</w:t>
      </w:r>
    </w:p>
    <w:p w14:paraId="01BD4B96" w14:textId="77777777" w:rsidR="00787E9A" w:rsidRPr="008608AA" w:rsidRDefault="00787E9A" w:rsidP="00787E9A">
      <w:pPr>
        <w:ind w:left="709" w:hanging="709"/>
      </w:pPr>
      <w:r w:rsidRPr="008608AA">
        <w:t>IPCC, (2014b). Summary for policymakers. In: Climate Change 2014: Impacts, Adaptation, and Vulnerability. Part A: Global and Sectoral Aspects. Contribution of Working Group II to the Fifth Assessment Report of the Intergovernmental Panel on Climate Change [Field, C.B., V.R. Barros, D.J. Dokken, K.J. Mach, M.D. Mastrandrea, T.E. Bilir, M. Chatterjee, K.L. Ebi, Y.O. Estrada, R.C. Genova, B. Girma, E.S. Kissel, A.N. Levy, S. MacCracken, P.R. Mastrandrea, and L.L. White (eds.)]. Cambridge University Press, Cambridge, United Kingdom and New York, NY, USA, pp. 1-32.</w:t>
      </w:r>
    </w:p>
    <w:p w14:paraId="56095C1C" w14:textId="77777777" w:rsidR="00787E9A" w:rsidRPr="008608AA" w:rsidRDefault="00787E9A" w:rsidP="00787E9A">
      <w:pPr>
        <w:ind w:left="709" w:hanging="709"/>
        <w:rPr>
          <w:lang w:val="es-CO"/>
        </w:rPr>
      </w:pPr>
      <w:r w:rsidRPr="008608AA">
        <w:t xml:space="preserve"> </w:t>
      </w:r>
      <w:r w:rsidRPr="008608AA">
        <w:rPr>
          <w:lang w:val="es-CO"/>
        </w:rPr>
        <w:t xml:space="preserve">Iriarte, J. A., Lobos, G. A., &amp; Jaksic, F. M. (2005). </w:t>
      </w:r>
      <w:r w:rsidRPr="008608AA">
        <w:t xml:space="preserve">Invasive vertebrate species in Chile and their control and monitoring by governmental agencies. </w:t>
      </w:r>
      <w:r w:rsidRPr="008608AA">
        <w:rPr>
          <w:lang w:val="es-CO"/>
        </w:rPr>
        <w:t xml:space="preserve">Revista Chilena de Historia Natural, 78(1), 143–154. </w:t>
      </w:r>
    </w:p>
    <w:p w14:paraId="401F74DE" w14:textId="77777777" w:rsidR="00787E9A" w:rsidRPr="008608AA" w:rsidRDefault="00787E9A" w:rsidP="00787E9A">
      <w:pPr>
        <w:ind w:left="709" w:hanging="709"/>
      </w:pPr>
      <w:r w:rsidRPr="008608AA">
        <w:rPr>
          <w:lang w:val="es-CO"/>
        </w:rPr>
        <w:t xml:space="preserve">Irigoyen, A. J., Trobbiani, G., Sgarlatta, M. P., &amp; Raffo, M. P. (2011). </w:t>
      </w:r>
      <w:r w:rsidRPr="008608AA">
        <w:t xml:space="preserve">Effects of the alien algae Undaria pinnatifida (Phaeophyceae, Laminariales) on the diversity and abundance of benthic macrofauna in Golfo Nuevo (Patagonia, Argentina): Potential implications for local food webs. Biological Invasions, 13(7), 1521–1532. </w:t>
      </w:r>
    </w:p>
    <w:p w14:paraId="11D33933" w14:textId="77777777" w:rsidR="00787E9A" w:rsidRPr="008608AA" w:rsidRDefault="00787E9A" w:rsidP="00787E9A">
      <w:pPr>
        <w:ind w:left="709" w:hanging="709"/>
      </w:pPr>
      <w:r w:rsidRPr="008608AA">
        <w:t>Isbell, F., D. Tilman, S. Polasky, and M. Loreau. 2015. The biodiversity-dependent ecosystem service debt. Ecology Letters. Volume 18.</w:t>
      </w:r>
    </w:p>
    <w:p w14:paraId="6F46171E" w14:textId="77777777" w:rsidR="00787E9A" w:rsidRPr="008608AA" w:rsidRDefault="00787E9A" w:rsidP="00787E9A">
      <w:pPr>
        <w:ind w:left="709" w:hanging="709"/>
      </w:pPr>
      <w:r w:rsidRPr="008608AA">
        <w:t>Isbell, F., Gonzalez, A., Loreau, M., Cowles, J., Díaz, S., Hector, A., Mace, G. M., Wardle, D. A., O’Connor, M. I., Duffy, J. E., Turnbull, L. A., Thompson, P. L., &amp; Larigauderie, A. (2017). Linking the influence and dependence of people on biodiversity across scales. Nature, 546(7656), 65–72. https://doi.org/10.1038/nature22899</w:t>
      </w:r>
    </w:p>
    <w:p w14:paraId="6EF1BF93" w14:textId="77777777" w:rsidR="00787E9A" w:rsidRPr="008608AA" w:rsidRDefault="00787E9A" w:rsidP="00787E9A">
      <w:pPr>
        <w:ind w:left="709" w:hanging="709"/>
      </w:pPr>
      <w:r w:rsidRPr="008608AA">
        <w:t>Isbell, F., Reich, P. B., Tilman, D., Hobbie, S. E., Polasky, S., &amp; Binder, S. (2013). Nutrient enrichment, biodiversity loss, and consequent declines in ecosystem productivity. Proceedings of the National Academy of Sciences, 110(29), 11911-11916.</w:t>
      </w:r>
    </w:p>
    <w:p w14:paraId="4B4F56F9" w14:textId="77777777" w:rsidR="00787E9A" w:rsidRPr="008608AA" w:rsidRDefault="00787E9A" w:rsidP="00787E9A">
      <w:pPr>
        <w:ind w:left="709" w:hanging="709"/>
      </w:pPr>
      <w:r w:rsidRPr="008608AA">
        <w:t>IUCN, (2016). The IUCN Red List of Threatened Species. Version 2016. &lt;</w:t>
      </w:r>
      <w:hyperlink r:id="rId1007" w:history="1">
        <w:r w:rsidRPr="008608AA">
          <w:t>www.iucnredlist.org</w:t>
        </w:r>
      </w:hyperlink>
      <w:r w:rsidRPr="008608AA">
        <w:t>&gt;. Downloaded on 12 May 2016.</w:t>
      </w:r>
    </w:p>
    <w:p w14:paraId="3DC86FF0" w14:textId="77777777" w:rsidR="00787E9A" w:rsidRPr="008608AA" w:rsidRDefault="00787E9A" w:rsidP="00787E9A">
      <w:pPr>
        <w:ind w:left="709" w:hanging="709"/>
      </w:pPr>
      <w:r w:rsidRPr="008608AA">
        <w:t>Jackson, J. B. C., Donovan, M. K., Cramer, K. L., &amp; Lam, V. V. (2014). Status and trends of Caribbean coral reefs. Gland: Global Coral Reef Monitoring Network, IUCN. Available at http://cmsdata. iucn. org/downloads/caribbean_coral_reefs___status_report_1970_2012. pdf.</w:t>
      </w:r>
    </w:p>
    <w:p w14:paraId="4D7B3017" w14:textId="77777777" w:rsidR="00787E9A" w:rsidRPr="008608AA" w:rsidRDefault="00787E9A" w:rsidP="00787E9A">
      <w:pPr>
        <w:ind w:left="709" w:hanging="709"/>
      </w:pPr>
      <w:r w:rsidRPr="008608AA">
        <w:t>Jackson, J. B. C., Kirby, M. X., Berger, W. H., Bjorndal, K. A., Botsford, L. W., Bourque, B. J., Bradbury, R. H., Cooke, R., Erlandson, J., Estes, J. A., Hughes, T. P., Kidwell, S., Lange, C. B., Lenihan, H. S., Pandolfi, J. M., Peterson, C. H., Steneck, R. S., Tegner, M. J., &amp; Warner, R. R. (2001). Historical Overfishing and the Recent Collapse of Coastal Ecosystems. Science, 293(5530), 629 LP-637. Retrieved from http://science.sciencemag.org/content/293/5530/629.abstract</w:t>
      </w:r>
    </w:p>
    <w:p w14:paraId="09F0BD66" w14:textId="77777777" w:rsidR="00787E9A" w:rsidRPr="008608AA" w:rsidRDefault="00787E9A" w:rsidP="00787E9A">
      <w:pPr>
        <w:ind w:left="709" w:hanging="709"/>
      </w:pPr>
      <w:r w:rsidRPr="008608AA">
        <w:t xml:space="preserve">Jacobs, D. F., Dalgleish, H. J., &amp; Nelson, C. D. (2013). A conceptual framework for restoration of threatened plants: The effective model of American chestnut (Castanea dentata) reintroduction. New Phytologist, 197(2), 378–393. </w:t>
      </w:r>
    </w:p>
    <w:p w14:paraId="739E99C4" w14:textId="77777777" w:rsidR="00787E9A" w:rsidRPr="008608AA" w:rsidRDefault="00787E9A" w:rsidP="00787E9A">
      <w:pPr>
        <w:ind w:left="709" w:hanging="709"/>
      </w:pPr>
      <w:r w:rsidRPr="008608AA">
        <w:t>Jambeck, J. R., Geyer, R., Wilcox, C., Siegler, T. R., Perryman, M., Andrady, A., Narayan, R., &amp; Law, K. L. (2015). Marine pollution. Plastic waste inputs from land into the ocean. Science (New York, N.Y.), 347(6223), 768–771. https://doi.org/10.1126/science.1260352</w:t>
      </w:r>
    </w:p>
    <w:p w14:paraId="267DD862" w14:textId="77777777" w:rsidR="00787E9A" w:rsidRPr="008608AA" w:rsidRDefault="00787E9A" w:rsidP="00787E9A">
      <w:pPr>
        <w:ind w:left="709" w:hanging="709"/>
      </w:pPr>
      <w:r w:rsidRPr="008608AA">
        <w:t>Jantz, S. M., Barker, B., Brooks, T. M., Chini, L. P., Huang, Q., Moore, R. M., Noel, J., &amp; Hurtt, G. C. (2015). Future habitat loss and extinctions driven by land-use change in biodiversity hotspots under four scenarios of climate-change mitigation. Conservation Biology, 29(4), 1122–1131. https://doi.org/10.1111/cobi.12549</w:t>
      </w:r>
    </w:p>
    <w:p w14:paraId="44E2FBE5" w14:textId="77777777" w:rsidR="00787E9A" w:rsidRPr="008608AA" w:rsidRDefault="00787E9A" w:rsidP="00787E9A">
      <w:pPr>
        <w:ind w:left="709" w:hanging="709"/>
        <w:rPr>
          <w:lang w:val="es-CO"/>
        </w:rPr>
      </w:pPr>
      <w:r w:rsidRPr="008608AA">
        <w:t xml:space="preserve">Jaramillo, A., Osman, D., Caputo, L. &amp; L. Cardenas . 2015. Molecular evidence of a Didymosphenia geminata (Bacillariophyceae) invasion in Chilean freshwater systems. </w:t>
      </w:r>
      <w:r w:rsidRPr="008608AA">
        <w:rPr>
          <w:lang w:val="es-CO"/>
        </w:rPr>
        <w:t>Harmful Algae 49 117–123 </w:t>
      </w:r>
    </w:p>
    <w:p w14:paraId="52E6674B" w14:textId="77777777" w:rsidR="00787E9A" w:rsidRPr="008608AA" w:rsidRDefault="00787E9A" w:rsidP="00787E9A">
      <w:pPr>
        <w:ind w:left="709" w:hanging="709"/>
      </w:pPr>
      <w:r w:rsidRPr="008608AA">
        <w:rPr>
          <w:lang w:val="es-CO"/>
        </w:rPr>
        <w:t xml:space="preserve">Jaramillo, E., Dugan, J. E., Hubbard, D. M., Melnick, D., Manzano, M., Duarte, C., Campos, C., &amp; Sanchez, R. (2012). </w:t>
      </w:r>
      <w:r w:rsidRPr="008608AA">
        <w:t>Ecological implications of extreme events: Footprints of the 2010 earthquake along the Chilean coast. PLoS ONE, 7(5). https://doi.org/10.1371/journal.pone.0035348</w:t>
      </w:r>
    </w:p>
    <w:p w14:paraId="6C157FAF" w14:textId="77777777" w:rsidR="00787E9A" w:rsidRPr="00A3137A" w:rsidRDefault="00787E9A" w:rsidP="00787E9A">
      <w:pPr>
        <w:ind w:left="709" w:hanging="709"/>
        <w:rPr>
          <w:lang w:val="fr-FR"/>
        </w:rPr>
      </w:pPr>
      <w:r w:rsidRPr="008608AA">
        <w:t>Jaspers, V.L.B., Sonne, C., Soler-Rodriguez, F., Boertmann, D., Dietz, R., Eens, M., Rasmussen, L.M. and Covaci, A., 2013. Persistent organic pollutants and methoxylated polybrominated diphenyl ethers in different tissues of white-tailed eagles (Haliaeetus albicilla) from West Greenland. </w:t>
      </w:r>
      <w:r w:rsidRPr="00A3137A">
        <w:rPr>
          <w:lang w:val="fr-FR"/>
        </w:rPr>
        <w:t>Environmental pollution, 175, pp.137-146.</w:t>
      </w:r>
    </w:p>
    <w:p w14:paraId="0FD05BCE" w14:textId="77777777" w:rsidR="00787E9A" w:rsidRPr="008608AA" w:rsidRDefault="00787E9A" w:rsidP="00787E9A">
      <w:pPr>
        <w:ind w:left="709" w:hanging="709"/>
      </w:pPr>
      <w:r w:rsidRPr="00A3137A">
        <w:rPr>
          <w:lang w:val="fr-FR"/>
        </w:rPr>
        <w:t xml:space="preserve">Jenkins, C. N., Pimm, S. L., &amp; Joppa, L. N. (2013). </w:t>
      </w:r>
      <w:r w:rsidRPr="008608AA">
        <w:t xml:space="preserve">Global patterns of terrestrial vertebrate diversity and conservation. Proceedings of the National Academy of Sciences, 110(28), E2602–E2610. </w:t>
      </w:r>
    </w:p>
    <w:p w14:paraId="475EB1CC" w14:textId="77777777" w:rsidR="00787E9A" w:rsidRPr="008608AA" w:rsidRDefault="00787E9A" w:rsidP="00787E9A">
      <w:pPr>
        <w:ind w:left="709" w:hanging="709"/>
      </w:pPr>
      <w:r w:rsidRPr="008608AA">
        <w:t>Jeschke, J. M., &amp; Strayer, D. L. (2005). Invasion success of vertebrates in Europe and North America. Proceedings of the National Academy of Sciences of the United States of America, 102(20), 7198-7202.</w:t>
      </w:r>
    </w:p>
    <w:p w14:paraId="16D7AF49" w14:textId="77777777" w:rsidR="00787E9A" w:rsidRPr="008608AA" w:rsidRDefault="00787E9A" w:rsidP="00787E9A">
      <w:pPr>
        <w:ind w:left="709" w:hanging="709"/>
      </w:pPr>
      <w:r w:rsidRPr="008608AA">
        <w:t>Jetoo, S., Thorn, A., Friedman, K., Gosman, S., &amp; Krantzberg, G. (2015). Governance and geopolitics as drivers of change in the Great Lakes—St. Lawrence basin. Journal of Great Lakes Research, 41(1), 108-118.</w:t>
      </w:r>
    </w:p>
    <w:p w14:paraId="6B6C44A1" w14:textId="77777777" w:rsidR="00787E9A" w:rsidRPr="00CE0821" w:rsidRDefault="00787E9A" w:rsidP="00787E9A">
      <w:pPr>
        <w:ind w:left="709" w:hanging="709"/>
        <w:rPr>
          <w:lang w:val="es-CO"/>
        </w:rPr>
      </w:pPr>
      <w:r w:rsidRPr="008608AA">
        <w:t>Jia, Y., Yu, G., Gao, Y., He, N., Wang, Q., Jiao, C., &amp; Zuo, Y. (2016). Global inorganic nitrogen dry deposition inferred from ground-and space-based measurements. </w:t>
      </w:r>
      <w:r w:rsidRPr="00CE0821">
        <w:rPr>
          <w:lang w:val="es-CO"/>
        </w:rPr>
        <w:t>Scientific reports, 6.</w:t>
      </w:r>
    </w:p>
    <w:p w14:paraId="3391CEC6" w14:textId="77777777" w:rsidR="00787E9A" w:rsidRPr="008608AA" w:rsidRDefault="00787E9A" w:rsidP="00787E9A">
      <w:pPr>
        <w:ind w:left="709" w:hanging="709"/>
      </w:pPr>
      <w:r w:rsidRPr="00CE0821">
        <w:rPr>
          <w:lang w:val="es-CO"/>
        </w:rPr>
        <w:t xml:space="preserve">Jiménez, A., Pauchard, A., Cavieres, L. A., Marticorena, A., &amp; Bustamante, R. O. (2008). </w:t>
      </w:r>
      <w:r w:rsidRPr="008608AA">
        <w:t xml:space="preserve">Do climatically similar regions contain similar alien floras? A comparison between the mediterranean areas of central Chile and California. Journal of Biogeography, 35(4), 614–624. </w:t>
      </w:r>
    </w:p>
    <w:p w14:paraId="7BB64630" w14:textId="77777777" w:rsidR="00787E9A" w:rsidRPr="008608AA" w:rsidRDefault="00787E9A" w:rsidP="00787E9A">
      <w:pPr>
        <w:ind w:left="709" w:hanging="709"/>
      </w:pPr>
    </w:p>
    <w:p w14:paraId="1AAF8B7D" w14:textId="77777777" w:rsidR="00787E9A" w:rsidRPr="008608AA" w:rsidRDefault="00787E9A" w:rsidP="00787E9A">
      <w:pPr>
        <w:ind w:left="709" w:hanging="709"/>
      </w:pPr>
      <w:r w:rsidRPr="008608AA">
        <w:t>Johnson, J. W., Oelkers, E. H., &amp; Helgeson, H. C. (1992). SUPCRT92: A software package for calculating the standard molal thermodynamic properties of minerals, gases, aqueous species, and reactions from 1 to 5000 bar and 0 to 1000 C. Computers &amp; Geosciences, 18(7), 899-947.</w:t>
      </w:r>
    </w:p>
    <w:p w14:paraId="5B86EB30" w14:textId="77777777" w:rsidR="00787E9A" w:rsidRPr="008608AA" w:rsidRDefault="00787E9A" w:rsidP="00787E9A">
      <w:pPr>
        <w:ind w:left="709" w:hanging="709"/>
      </w:pPr>
      <w:r w:rsidRPr="008608AA">
        <w:t xml:space="preserve">Johnson, L. E., &amp; Padilla, D. K. (1996). Geogaphic spread of exotic species. Ecological lessons and opportunities from the invasion of the zebra mussel Dreissena polymorpha. Biological Conservation, 78(96), 23–33. </w:t>
      </w:r>
    </w:p>
    <w:p w14:paraId="61F973CA" w14:textId="77777777" w:rsidR="00787E9A" w:rsidRPr="008608AA" w:rsidRDefault="00787E9A" w:rsidP="00787E9A">
      <w:pPr>
        <w:ind w:left="709" w:hanging="709"/>
      </w:pPr>
      <w:r w:rsidRPr="008608AA">
        <w:t>Johnson, W. C., &amp; Poiani, K. A. (2016). Climate Change Effects on Prairie Pothole Wetlands: Findings from a Twenty-five Year Numerical Modeling Project. Wetlands, 36(S2), 273–285. https://doi.org/10.1007/s13157-016-0790-3</w:t>
      </w:r>
    </w:p>
    <w:p w14:paraId="39DC070B" w14:textId="77777777" w:rsidR="00787E9A" w:rsidRPr="008608AA" w:rsidRDefault="00787E9A" w:rsidP="00787E9A">
      <w:pPr>
        <w:ind w:left="709" w:hanging="709"/>
      </w:pPr>
    </w:p>
    <w:p w14:paraId="4906F1BC" w14:textId="77777777" w:rsidR="00787E9A" w:rsidRPr="008608AA" w:rsidRDefault="00787E9A" w:rsidP="00787E9A">
      <w:pPr>
        <w:ind w:left="709" w:hanging="709"/>
      </w:pPr>
      <w:r w:rsidRPr="008608AA">
        <w:t>Johnstone, J. F., Hollingsworth, T. N., Chapin, F. S., &amp; Mack, M. C. (2010). Changes in fire regime break the legacy lock on successional trajectories in Alaskan boreal forest. Global Change Biology, 16(4), 1281-1295.</w:t>
      </w:r>
    </w:p>
    <w:p w14:paraId="2A7490BD" w14:textId="77777777" w:rsidR="00787E9A" w:rsidRPr="008608AA" w:rsidRDefault="00787E9A" w:rsidP="00787E9A">
      <w:pPr>
        <w:ind w:left="709" w:hanging="709"/>
      </w:pPr>
      <w:r w:rsidRPr="008608AA">
        <w:t>Jones, H. P., and O. J. Schmitz. 2009. Rapid recovery of damaged ecosystems. PLoS ONE 4.</w:t>
      </w:r>
    </w:p>
    <w:p w14:paraId="54E17B86" w14:textId="77777777" w:rsidR="00787E9A" w:rsidRPr="008608AA" w:rsidRDefault="00787E9A" w:rsidP="00787E9A">
      <w:pPr>
        <w:ind w:left="709" w:hanging="709"/>
      </w:pPr>
      <w:r w:rsidRPr="008608AA">
        <w:t>Jones, N., McGinlay, J., &amp; Dimitrakopoulos, P. G. (2017). Improving social impact assessment of protected areas: A review of the literature and directions for future research. Environmental Impact Assessment Review, 64, 1–7. http://doi.org/10.1016/j.eiar.2016.12.007</w:t>
      </w:r>
    </w:p>
    <w:p w14:paraId="694CADDA" w14:textId="77777777" w:rsidR="00787E9A" w:rsidRPr="008608AA" w:rsidRDefault="00787E9A" w:rsidP="00787E9A">
      <w:pPr>
        <w:ind w:left="709" w:hanging="709"/>
      </w:pPr>
      <w:r w:rsidRPr="008608AA">
        <w:t>Jørgensen, O. A., Bastardie, F., and Eigaard, O. R. 2014. Impact of deep-sea fishery for Greenland halibut (Reinhardtius hippoglossoides) on noncommercial fish species off West Greenland. – ICES Journal of Marine Science, 71: 845–852.</w:t>
      </w:r>
    </w:p>
    <w:p w14:paraId="3DB66CCC" w14:textId="77777777" w:rsidR="00787E9A" w:rsidRPr="00A3137A" w:rsidRDefault="00787E9A" w:rsidP="00787E9A">
      <w:pPr>
        <w:ind w:left="709" w:hanging="709"/>
        <w:rPr>
          <w:lang w:val="fr-FR"/>
        </w:rPr>
      </w:pPr>
      <w:r w:rsidRPr="008608AA">
        <w:t xml:space="preserve">Joyce, L. A., D. Running, V. Breshears, R. Dale, R. W. Malmsheimer, B. Sampson, B. Sohngen, and C. W. Woodall. 2014. Forests: Climate change impacts in the United States. U.S. Global Change Research Program 175–194. </w:t>
      </w:r>
      <w:r w:rsidRPr="00A3137A">
        <w:rPr>
          <w:lang w:val="fr-FR"/>
        </w:rPr>
        <w:t>&lt;http://nca2014.globalchange.gov/report/our-changing-climate/introduction&gt;.</w:t>
      </w:r>
    </w:p>
    <w:p w14:paraId="1A789777" w14:textId="77777777" w:rsidR="00787E9A" w:rsidRPr="008608AA" w:rsidRDefault="00787E9A" w:rsidP="00787E9A">
      <w:pPr>
        <w:ind w:left="709" w:hanging="709"/>
      </w:pPr>
      <w:r w:rsidRPr="00A3137A">
        <w:rPr>
          <w:lang w:val="fr-FR"/>
        </w:rPr>
        <w:t xml:space="preserve">Juliano, S. A., &amp; Philip Lounibos, L. (2005). </w:t>
      </w:r>
      <w:r w:rsidRPr="008608AA">
        <w:t xml:space="preserve">Ecology of invasive mosquitoes: Effects on resident species and on human health. Ecology Letters, 8(5), 558–574. </w:t>
      </w:r>
    </w:p>
    <w:p w14:paraId="1F578367" w14:textId="77777777" w:rsidR="00787E9A" w:rsidRPr="008608AA" w:rsidRDefault="00787E9A" w:rsidP="00787E9A">
      <w:pPr>
        <w:ind w:left="709" w:hanging="709"/>
      </w:pPr>
      <w:r w:rsidRPr="008608AA">
        <w:t>Junk, W. J. (2013). Current state of knowledge regarding South America wetlands and their future under global climate change. Aquatic Sciences, 75(1), 113-131.</w:t>
      </w:r>
    </w:p>
    <w:p w14:paraId="7B58D1B8" w14:textId="77777777" w:rsidR="00787E9A" w:rsidRPr="008608AA" w:rsidRDefault="00787E9A" w:rsidP="00787E9A">
      <w:pPr>
        <w:ind w:left="709" w:hanging="709"/>
      </w:pPr>
      <w:r w:rsidRPr="008608AA">
        <w:t>Junk, W. J., M. G. M. Soares, and P. B. Bayley. 2007. Freshwater fishes of the Amazon River basin: their biodiversity, fisheries, and habitats. Aquatic Ecosystem Health &amp; Management 10:153–173. Karatayev, A.Y., Padilla, D., Minchin, D. , Boltovskoy, D. &amp; L.B. Burlakova. 2007. Changes in global economies and trade : the potential spread of exotic freshwater bivalves. Biological Invasions 9: 161-180.</w:t>
      </w:r>
    </w:p>
    <w:p w14:paraId="19726EBE" w14:textId="77777777" w:rsidR="00787E9A" w:rsidRPr="008608AA" w:rsidRDefault="00787E9A" w:rsidP="00787E9A">
      <w:pPr>
        <w:ind w:left="709" w:hanging="709"/>
      </w:pPr>
      <w:r w:rsidRPr="008608AA">
        <w:t>Junk, W. J., M. T. F. Piedade, J. Schöngart, and F. Wittmann. 2012. A classification of major natural habitats of Amazonian white-water river floodplains (várzeas). Wetlands Ecology and Management 20:461–475.</w:t>
      </w:r>
    </w:p>
    <w:p w14:paraId="560F1BE8" w14:textId="77777777" w:rsidR="00787E9A" w:rsidRPr="008608AA" w:rsidRDefault="00787E9A" w:rsidP="00787E9A">
      <w:pPr>
        <w:ind w:left="709" w:hanging="709"/>
      </w:pPr>
      <w:r w:rsidRPr="008608AA">
        <w:t>Junk, W. J., M. T. F. Piedade, R. Lourival, F. Wittmann, P. Kandus, L. D. Lacerda, R. L. Bozelli, F. A. Esteves, C. Nunes da Cunha, L. Maltchik, J. Sch??ngart, Y. Schaeffer-Novelli, and A. A. Agostinho. 2014. Brazilian wetlands: Their definition, delineation, and classification for research, sustainable management, and protection. Aquatic Conservation: Marine and Freshwater Ecosystems 24:5–22.</w:t>
      </w:r>
    </w:p>
    <w:p w14:paraId="1CAE658E" w14:textId="77777777" w:rsidR="00787E9A" w:rsidRPr="008608AA" w:rsidRDefault="00787E9A" w:rsidP="00787E9A">
      <w:pPr>
        <w:ind w:left="709" w:hanging="709"/>
      </w:pPr>
      <w:r w:rsidRPr="008608AA">
        <w:t>Junqueira, A. B., Shepard, G. H., &amp; Clement, C. R. (2010). Secondary forests on anthropogenic soils in Brazilian Amazonia conserve agrobiodiversity. Biodiversity and Conservation, 19(7), 1933-1961.</w:t>
      </w:r>
    </w:p>
    <w:p w14:paraId="697ABCFE" w14:textId="77777777" w:rsidR="00787E9A" w:rsidRPr="008608AA" w:rsidRDefault="00787E9A" w:rsidP="00787E9A">
      <w:pPr>
        <w:ind w:left="709" w:hanging="709"/>
      </w:pPr>
      <w:r w:rsidRPr="008608AA">
        <w:t>Kairo, M., Ali, B., Cheesman, O., Haysom, K., &amp; Murphy, S. (2003). Invasive species threats in the Caribbean region: report to the Nature Conservancy.</w:t>
      </w:r>
    </w:p>
    <w:p w14:paraId="24B15642" w14:textId="77777777" w:rsidR="00787E9A" w:rsidRPr="008608AA" w:rsidRDefault="00787E9A" w:rsidP="00787E9A">
      <w:pPr>
        <w:ind w:left="709" w:hanging="709"/>
      </w:pPr>
      <w:r w:rsidRPr="008608AA">
        <w:t>Kaiser Family Foundation. (2013). Global health facts – Urban population (Percent of total population living in urban areas). </w:t>
      </w:r>
      <w:hyperlink r:id="rId1008" w:tgtFrame="_blank" w:history="1">
        <w:r w:rsidRPr="008608AA">
          <w:t>http://kff.org/global-indicator/urban-population/</w:t>
        </w:r>
      </w:hyperlink>
      <w:r w:rsidRPr="008608AA">
        <w:t>. Accessed 10 July 2013.</w:t>
      </w:r>
    </w:p>
    <w:p w14:paraId="4246F0BA" w14:textId="77777777" w:rsidR="00787E9A" w:rsidRPr="008608AA" w:rsidRDefault="00787E9A" w:rsidP="00787E9A">
      <w:pPr>
        <w:ind w:left="709" w:hanging="709"/>
      </w:pPr>
      <w:r w:rsidRPr="008608AA">
        <w:t>Kaplanis, N. J., Harris, J. L., &amp; Smith, J. E. (2016). Distribution patterns of the non-native seaweeds Sargassum horneri (Turner) C. Agardh and Undaria pinnatifida (Harvey) Suringar on the San Diego and Pacific coast of North America. Aquatic Invasions, 11(2), 111–124. https://doi.org/10.3391/ai.2016.11.2.01</w:t>
      </w:r>
    </w:p>
    <w:p w14:paraId="368DE5BD" w14:textId="77777777" w:rsidR="00787E9A" w:rsidRPr="008608AA" w:rsidRDefault="00787E9A" w:rsidP="00787E9A">
      <w:pPr>
        <w:ind w:left="709" w:hanging="709"/>
      </w:pPr>
      <w:r w:rsidRPr="008608AA">
        <w:t>Karatayev, A.Y., Padilla, D., Minchin, D. , Boltovskoy, D. &amp; L.B. Burlakova. 2007. Changes in global economies and trade : the potential spread of exotic freshwater bivalves. Biological Invasions 9: 161-180.</w:t>
      </w:r>
    </w:p>
    <w:p w14:paraId="7CB35926" w14:textId="77777777" w:rsidR="00787E9A" w:rsidRPr="008608AA" w:rsidRDefault="00787E9A" w:rsidP="00787E9A">
      <w:pPr>
        <w:ind w:left="709" w:hanging="709"/>
      </w:pPr>
      <w:r w:rsidRPr="008608AA">
        <w:t>Karmalkar, A. V., Bradley, R. S., &amp; Diaz, H. F. (2008). Climate change scenario for Costa Rican montane forests. Geophysical Research Letters, 35(11).</w:t>
      </w:r>
    </w:p>
    <w:p w14:paraId="077010AD" w14:textId="77777777" w:rsidR="00787E9A" w:rsidRPr="008608AA" w:rsidRDefault="00787E9A" w:rsidP="00787E9A">
      <w:pPr>
        <w:ind w:left="709" w:hanging="709"/>
      </w:pPr>
      <w:r w:rsidRPr="008608AA">
        <w:t>Karmalkar, A. V., R. S. Bradley, and H. F. Diaz. 2011. Climate change in Central America and Mexico: Regional climate model validation and climate change projections. Climate Dynamics 37:605–629.</w:t>
      </w:r>
    </w:p>
    <w:p w14:paraId="713C78B6" w14:textId="77777777" w:rsidR="00787E9A" w:rsidRPr="008608AA" w:rsidRDefault="00787E9A" w:rsidP="00787E9A">
      <w:pPr>
        <w:ind w:left="709" w:hanging="709"/>
      </w:pPr>
      <w:r w:rsidRPr="008608AA">
        <w:t>Kastner, T., Erb, K. H., &amp; Haberl, H. (2015). Global human appropriation of net primary production for biomass consumption in the European Union, 1986–2007. Journal of Industrial Ecology, 19(5), 825-836.</w:t>
      </w:r>
    </w:p>
    <w:p w14:paraId="37EFE357" w14:textId="77777777" w:rsidR="00787E9A" w:rsidRPr="008608AA" w:rsidRDefault="00787E9A" w:rsidP="00787E9A">
      <w:pPr>
        <w:ind w:left="709" w:hanging="709"/>
      </w:pPr>
      <w:r w:rsidRPr="008608AA">
        <w:t>Kauffman, J. B., Trejo, H. H., Garcia, M. D. C. J., Heider, C., &amp; Contreras, W. M. (2016). Carbon stocks of mangroves and losses arising from their conversion to cattle pastures in the Pantanos de Centla, Mexico. Wetlands Ecology and Management, 24(2), 203-216.</w:t>
      </w:r>
    </w:p>
    <w:p w14:paraId="08F158F3" w14:textId="77777777" w:rsidR="00787E9A" w:rsidRPr="008608AA" w:rsidRDefault="00787E9A" w:rsidP="00787E9A">
      <w:pPr>
        <w:ind w:left="709" w:hanging="709"/>
      </w:pPr>
      <w:r w:rsidRPr="008608AA">
        <w:t>Kaufmann, D., Kraay., &amp; A Mastruzzi, M. (2007a). Worldwide Governance Indicators Project: Answering the Critics World Bank Policy Research Working Paper No. 4149. Available at SSRN: </w:t>
      </w:r>
      <w:hyperlink r:id="rId1009" w:tgtFrame="_blank" w:history="1">
        <w:r w:rsidRPr="008608AA">
          <w:t>https://ssrn.com/abstract=965077</w:t>
        </w:r>
      </w:hyperlink>
    </w:p>
    <w:p w14:paraId="2DEE1BAD" w14:textId="77777777" w:rsidR="00787E9A" w:rsidRPr="008608AA" w:rsidRDefault="00787E9A" w:rsidP="00787E9A">
      <w:pPr>
        <w:ind w:left="709" w:hanging="709"/>
      </w:pPr>
      <w:r w:rsidRPr="008608AA">
        <w:t>Kawaguchi, S., Ishida, A., King, R., Raymond, B., Waller, N., Constable, A., Nicol, S., Wakita, M. and Ishimatsu, A., 2013. Risk maps for Antarctic krill under projected Southern Ocean acidification. Nature Climate Change, 3(9), p.843.</w:t>
      </w:r>
    </w:p>
    <w:p w14:paraId="22A87492" w14:textId="77777777" w:rsidR="00787E9A" w:rsidRPr="008608AA" w:rsidRDefault="00787E9A" w:rsidP="00787E9A">
      <w:pPr>
        <w:ind w:left="709" w:hanging="709"/>
      </w:pPr>
      <w:r w:rsidRPr="008608AA">
        <w:t xml:space="preserve">Keegana, K.M., Mary R. Alberta, Joseph R. McConnellb, and Ian Bakera.  Climate change and forest fires synergistically drive widespread melt events of the Greenland Ice Sheet. | PNAS | June 3, 2014 | vol. 111 | no. 22 pp.7964–7967 </w:t>
      </w:r>
    </w:p>
    <w:p w14:paraId="338CCBC6" w14:textId="77777777" w:rsidR="00787E9A" w:rsidRPr="008608AA" w:rsidRDefault="00787E9A" w:rsidP="00787E9A">
      <w:pPr>
        <w:ind w:left="709" w:hanging="709"/>
      </w:pPr>
      <w:r w:rsidRPr="008608AA">
        <w:t>Keeler B.L., Gourevitch J.D., Polasky S., Isbell F., Tessum C.W., Hill J.D. et al. (2016). The social costs of nitrogen. Science Advances, 2, e1600219</w:t>
      </w:r>
    </w:p>
    <w:p w14:paraId="3B723064" w14:textId="77777777" w:rsidR="00787E9A" w:rsidRPr="008608AA" w:rsidRDefault="00787E9A" w:rsidP="00787E9A">
      <w:pPr>
        <w:ind w:left="709" w:hanging="709"/>
      </w:pPr>
      <w:r w:rsidRPr="008608AA">
        <w:t>Keenan, R. J., G. A. Reams, F. Achard, J. V. de Freitas, A. Grainger, and E. Lindquist. 2015. Dynamics of global forest area: Results from the FAO Global Forest Resources Assessment 2015. Forest Ecology and Management. Volume 352.</w:t>
      </w:r>
    </w:p>
    <w:p w14:paraId="26B72E6B" w14:textId="77777777" w:rsidR="00787E9A" w:rsidRPr="008608AA" w:rsidRDefault="00787E9A" w:rsidP="00787E9A">
      <w:pPr>
        <w:ind w:left="709" w:hanging="709"/>
      </w:pPr>
      <w:r w:rsidRPr="008608AA">
        <w:t>Kerr, L. A., Secor, D. H., &amp; Piccoli, P. M. (2009). Partial migration of fishes as exemplified by the estuarine-dependent white perch. Fisheries, 34(3), 114-123.</w:t>
      </w:r>
    </w:p>
    <w:p w14:paraId="5C7C7A4A" w14:textId="77777777" w:rsidR="00787E9A" w:rsidRPr="008608AA" w:rsidRDefault="00787E9A" w:rsidP="00787E9A">
      <w:pPr>
        <w:ind w:left="709" w:hanging="709"/>
      </w:pPr>
      <w:r w:rsidRPr="008608AA">
        <w:t xml:space="preserve">Kerckhof F, Vink RJ, Nieweg DC and Post JN. 2006. The veined whelk Rapana venosa has reached the North Sea. Aquatic Invasions, 1: 35-37. </w:t>
      </w:r>
    </w:p>
    <w:p w14:paraId="2E6C444C" w14:textId="77777777" w:rsidR="00787E9A" w:rsidRPr="008608AA" w:rsidRDefault="00787E9A" w:rsidP="00787E9A">
      <w:pPr>
        <w:ind w:left="709" w:hanging="709"/>
      </w:pPr>
      <w:r w:rsidRPr="008608AA">
        <w:t>Kershaw, P., Katsuhiko, S., Lee, S. and Woodring, D., 2011. Plastic debris in the ocean. United Nations Environment Programme.</w:t>
      </w:r>
    </w:p>
    <w:p w14:paraId="0A84E22B" w14:textId="77777777" w:rsidR="00787E9A" w:rsidRPr="008608AA" w:rsidRDefault="00787E9A" w:rsidP="00787E9A">
      <w:pPr>
        <w:ind w:left="709" w:hanging="709"/>
      </w:pPr>
      <w:r w:rsidRPr="008608AA">
        <w:t>King, R. S., and M. E. Baker. 2010. Considerations for analyzing ecological community thresholds in response to anthropogenic environmental gradients. Journal of the North American Benthological Society 29:998–1008.</w:t>
      </w:r>
    </w:p>
    <w:p w14:paraId="26E534D5" w14:textId="77777777" w:rsidR="00787E9A" w:rsidRPr="008608AA" w:rsidRDefault="00787E9A" w:rsidP="00787E9A">
      <w:pPr>
        <w:ind w:left="709" w:hanging="709"/>
      </w:pPr>
      <w:r w:rsidRPr="008608AA">
        <w:t>Kirby, K. R., Laurance, W. F., Albernaz, A. K., Schroth, G., Fearnside, P. M., Bergen, S., Venticinque, E. M., &amp; da Costa, C. (2006). The future of deforestation in the Brazilian Amazon. Futures, 38(4), 432–453. https://doi.org/10.1016/j.futures.2005.07.011</w:t>
      </w:r>
    </w:p>
    <w:p w14:paraId="4228A579" w14:textId="77777777" w:rsidR="00787E9A" w:rsidRPr="008608AA" w:rsidRDefault="00787E9A" w:rsidP="00787E9A">
      <w:pPr>
        <w:ind w:left="709" w:hanging="709"/>
      </w:pPr>
      <w:r w:rsidRPr="008608AA">
        <w:t>Kirchner, M., Faus-Kessler, T., Jakobi, G., Levy, W., Henkelmann, B., Bernhöft, S., Kotalik, J., Zsolnay, A., Bassan, R., Belis, C. and Kräuchi, N., 2009. Vertical distribution of organochlorine pesticides in humus along Alpine altitudinal profiles in relation to ambiental parameters. Environmental pollution, 157(12), pp.3238-3247.</w:t>
      </w:r>
    </w:p>
    <w:p w14:paraId="2C60E17C" w14:textId="77777777" w:rsidR="00787E9A" w:rsidRPr="008608AA" w:rsidRDefault="00787E9A" w:rsidP="00787E9A">
      <w:pPr>
        <w:ind w:left="709" w:hanging="709"/>
        <w:rPr>
          <w:lang w:val="es-CO"/>
        </w:rPr>
      </w:pPr>
      <w:r w:rsidRPr="008608AA">
        <w:t>Kirwan, M. L., &amp; Megonigal, J. P. (2013). Tidal wetland stability in the face of human impacts and sea-level rise. </w:t>
      </w:r>
      <w:r w:rsidRPr="008608AA">
        <w:rPr>
          <w:lang w:val="es-CO"/>
        </w:rPr>
        <w:t>Nature, 504(7478), 53-60.</w:t>
      </w:r>
    </w:p>
    <w:p w14:paraId="1BB71350" w14:textId="77777777" w:rsidR="00787E9A" w:rsidRPr="008608AA" w:rsidRDefault="00787E9A" w:rsidP="00787E9A">
      <w:pPr>
        <w:ind w:left="709" w:hanging="709"/>
        <w:rPr>
          <w:lang w:val="es-CO"/>
        </w:rPr>
      </w:pPr>
      <w:r w:rsidRPr="008608AA">
        <w:rPr>
          <w:lang w:val="es-CO"/>
        </w:rPr>
        <w:t>Klein E, Cardenas JJ, Esclasans D (2009) Prioridades de conservacio´n de la biodiversidad marina del Frente Atla´ntico y Golfo de Paria.</w:t>
      </w:r>
    </w:p>
    <w:p w14:paraId="596C9F8E" w14:textId="77777777" w:rsidR="00787E9A" w:rsidRPr="008608AA" w:rsidRDefault="00787E9A" w:rsidP="00787E9A">
      <w:pPr>
        <w:ind w:left="709" w:hanging="709"/>
      </w:pPr>
      <w:r w:rsidRPr="008608AA">
        <w:t>Knapp, A. K., Blair, J. M., Briggs, J. M., Collins, S. L., Hartnett, D. C., Johnson, L. C., &amp; Towne, E. G. (1999). The keystone role of bison in North American tallgrass prairie: Bison increase habitat heterogeneity and alter a broad array of plant, community, and ecosystem processes. BioScience, 49(1), 39-50.</w:t>
      </w:r>
    </w:p>
    <w:p w14:paraId="3731ECF8" w14:textId="77777777" w:rsidR="00787E9A" w:rsidRPr="008608AA" w:rsidRDefault="00787E9A" w:rsidP="00787E9A">
      <w:pPr>
        <w:ind w:left="709" w:hanging="709"/>
      </w:pPr>
      <w:r w:rsidRPr="008608AA">
        <w:t>Knick, S. T., Dobkin, D. S., Rotenberry, J. T., Schroeder, M. A., &amp; Vander Haegen, W. M. (2003). Teetering on the edge or too late? Conservation and research issues for avifauna of sagebrush habitats. The Condor, 105(4), 611-634.</w:t>
      </w:r>
    </w:p>
    <w:p w14:paraId="115CAC88" w14:textId="77777777" w:rsidR="00787E9A" w:rsidRPr="008608AA" w:rsidRDefault="00787E9A" w:rsidP="00787E9A">
      <w:pPr>
        <w:ind w:left="709" w:hanging="709"/>
      </w:pPr>
      <w:r w:rsidRPr="008608AA">
        <w:t xml:space="preserve">Kocman, D., Horvat, M., Pirrone, N. and Cinnirella, S., 2013. Contribution of contaminated sites to the global mercury budget. Environmental research, 125, pp.160-170. </w:t>
      </w:r>
    </w:p>
    <w:p w14:paraId="2B5386FE" w14:textId="77777777" w:rsidR="00787E9A" w:rsidRPr="008608AA" w:rsidRDefault="00787E9A" w:rsidP="00787E9A">
      <w:pPr>
        <w:ind w:left="709" w:hanging="709"/>
      </w:pPr>
      <w:r w:rsidRPr="008608AA">
        <w:t>Koizumi, T. (2015). Biofuels and food security. Renewable and Sustainable Energy Reviews, 52, 829-841.</w:t>
      </w:r>
    </w:p>
    <w:p w14:paraId="3E6E90D8" w14:textId="77777777" w:rsidR="00787E9A" w:rsidRPr="008608AA" w:rsidRDefault="00787E9A" w:rsidP="00787E9A">
      <w:pPr>
        <w:ind w:left="709" w:hanging="709"/>
      </w:pPr>
      <w:r w:rsidRPr="008608AA">
        <w:t>Kolar, C. S., Chapman, D.C. , Courtenay, W. R. Jr, Housel, Ch. M., Williams, J.D. and D. P. Jennings. 2007. Bigheaded carps: a biological synopsis and environmental risk assessment. American Fisheries Society Special Publication 33. ISBN-13: 978-1-888569-79-7. 204 pp.</w:t>
      </w:r>
    </w:p>
    <w:p w14:paraId="32B78EC1" w14:textId="77777777" w:rsidR="00787E9A" w:rsidRPr="008608AA" w:rsidRDefault="00787E9A" w:rsidP="00787E9A">
      <w:pPr>
        <w:ind w:left="709" w:hanging="709"/>
      </w:pPr>
      <w:r w:rsidRPr="008608AA">
        <w:t>Konikow, L. F. 2013. Groundwater Depletion in the United States ( 1900 – 2008 ). Scientific Investigations Report 2013 – 5079 75.</w:t>
      </w:r>
    </w:p>
    <w:p w14:paraId="46EC4540" w14:textId="77777777" w:rsidR="00787E9A" w:rsidRPr="008608AA" w:rsidRDefault="00787E9A" w:rsidP="00787E9A">
      <w:pPr>
        <w:ind w:left="709" w:hanging="709"/>
      </w:pPr>
      <w:r w:rsidRPr="008608AA">
        <w:t xml:space="preserve">Kornis, M. S., Sharma, S., &amp; Jake Vander Zanden, M. (2013). Invasion success and impact of an invasive fish, round goby, in Great Lakes tributaries. Diversity and Distributions, 19(2), 184–198. </w:t>
      </w:r>
      <w:hyperlink r:id="rId1010" w:history="1">
        <w:r w:rsidRPr="008608AA">
          <w:t>https://doi.org/10.1111/ddi.12001</w:t>
        </w:r>
      </w:hyperlink>
    </w:p>
    <w:p w14:paraId="7129787F" w14:textId="77777777" w:rsidR="00787E9A" w:rsidRPr="008608AA" w:rsidRDefault="00787E9A" w:rsidP="00787E9A">
      <w:pPr>
        <w:ind w:left="709" w:hanging="709"/>
      </w:pPr>
      <w:r w:rsidRPr="008608AA">
        <w:t>Krause-Jensen, D., &amp; Duarte, C. M. (2016). Substantial role of macroalgae in marine carbon sequestration. Nature Geoscience, 9(10), 737-742.</w:t>
      </w:r>
    </w:p>
    <w:p w14:paraId="5F008E94" w14:textId="77777777" w:rsidR="00787E9A" w:rsidRPr="008608AA" w:rsidRDefault="00787E9A" w:rsidP="00787E9A">
      <w:pPr>
        <w:ind w:left="709" w:hanging="709"/>
      </w:pPr>
      <w:r w:rsidRPr="008608AA">
        <w:t>Kreuter, U. P., Iwaasa, A. D., Theodori, G. L., Ansley, R. J., Jackson, R. B., Fraser, L. H., Naeth, M. A., McGillivray, S., &amp; Moya, E. G. (2016, September 15). State of knowledge about energy development impacts on North American rangelands: An integrative approach. Journal of Environmental Management. Academic Press. https://doi.org/10.1016/j.jenvman.2016.05.007</w:t>
      </w:r>
    </w:p>
    <w:p w14:paraId="336ABA14" w14:textId="77777777" w:rsidR="00787E9A" w:rsidRPr="008608AA" w:rsidRDefault="00787E9A" w:rsidP="00787E9A">
      <w:pPr>
        <w:ind w:left="709" w:hanging="709"/>
      </w:pPr>
      <w:r w:rsidRPr="008608AA">
        <w:t xml:space="preserve">Kunkel, K. E., K. Andsager, and D. D. R. Easterling. 1999. Long-Term Trends in Extreme Precipitation Events over the Conterminous United States and Canada. Journal of Climate 12:2515–2527. </w:t>
      </w:r>
    </w:p>
    <w:p w14:paraId="207163D7" w14:textId="77777777" w:rsidR="00787E9A" w:rsidRPr="008608AA" w:rsidRDefault="00787E9A" w:rsidP="00787E9A">
      <w:pPr>
        <w:ind w:left="709" w:hanging="709"/>
      </w:pPr>
      <w:r w:rsidRPr="008608AA">
        <w:t>Kunkel, K. E., M. Palecki, L. Ensor, K. G. Hubbard, D. Robinson, K. Redmond, and D. Easterling. 2009. Trends in twentieth-century U.S. snowfall using a quality-controlled dataset. Journal of Atmospheric and Oceanic Technology 26:33–44.</w:t>
      </w:r>
    </w:p>
    <w:p w14:paraId="390FE907" w14:textId="77777777" w:rsidR="00787E9A" w:rsidRPr="008608AA" w:rsidRDefault="00787E9A" w:rsidP="00787E9A">
      <w:pPr>
        <w:ind w:left="709" w:hanging="709"/>
      </w:pPr>
      <w:r w:rsidRPr="008608AA">
        <w:t>Kurtz, C., &amp; Hansen, M. (2014). An Assessment of Garlic Mustard in Northern U. S. forests., (Nrcs), 1–5.</w:t>
      </w:r>
    </w:p>
    <w:p w14:paraId="326B74AE" w14:textId="77777777" w:rsidR="00787E9A" w:rsidRPr="008608AA" w:rsidRDefault="00787E9A" w:rsidP="00787E9A">
      <w:pPr>
        <w:ind w:left="709" w:hanging="709"/>
      </w:pPr>
      <w:r w:rsidRPr="008608AA">
        <w:t xml:space="preserve">Lacerda, L. D., and B. Kjerfve. 1999. Conservation and management of latin american mangroves. Pages 183-194 in. W. Salomons, R. K. Turner, L. D. Lacerda, and S. Ramachandran, editors. Perspectives on integrated coastal zone management. </w:t>
      </w:r>
    </w:p>
    <w:p w14:paraId="5F680775" w14:textId="77777777" w:rsidR="00787E9A" w:rsidRPr="008608AA" w:rsidRDefault="00787E9A" w:rsidP="00787E9A">
      <w:pPr>
        <w:ind w:left="709" w:hanging="709"/>
      </w:pPr>
      <w:r w:rsidRPr="00CE0821">
        <w:t xml:space="preserve">Lacerda, L. D., J. E. Conde, B. Kjerfve, R. Alvarez-León, C. Alarcón, and J. Polanía. </w:t>
      </w:r>
      <w:r w:rsidRPr="008608AA">
        <w:t>2002. American mangroves. Pages 1-62 in. L. D. Lacerda, editor. Mangrove ecosystems: function and management.</w:t>
      </w:r>
    </w:p>
    <w:p w14:paraId="34F301F3" w14:textId="77777777" w:rsidR="00787E9A" w:rsidRPr="008608AA" w:rsidRDefault="00787E9A" w:rsidP="00787E9A">
      <w:pPr>
        <w:ind w:left="709" w:hanging="709"/>
      </w:pPr>
      <w:r w:rsidRPr="008608AA">
        <w:t>Lacerda, L. D., T. M. Soares, B. G. B. Costa, and M. D. P. Godoy. 2011. Mercury emission factors from intensive shrimp aquaculture and their relative importance to the Jaguaribe River Estuary, NE Brazil. Bulletin of Environmental Contamination and Toxicology 87:657-661.</w:t>
      </w:r>
    </w:p>
    <w:p w14:paraId="699E9713" w14:textId="77777777" w:rsidR="00787E9A" w:rsidRPr="008608AA" w:rsidRDefault="00787E9A" w:rsidP="00787E9A">
      <w:pPr>
        <w:ind w:left="709" w:hanging="709"/>
      </w:pPr>
      <w:r w:rsidRPr="008608AA">
        <w:t>Lacy, R. C. (2000). Considering threats to the viability of small populations using individual-b. Ecological Bulletins, (48), 39–51.</w:t>
      </w:r>
    </w:p>
    <w:p w14:paraId="04169EE7" w14:textId="77777777" w:rsidR="00787E9A" w:rsidRPr="008608AA" w:rsidRDefault="00787E9A" w:rsidP="00787E9A">
      <w:pPr>
        <w:ind w:left="709" w:hanging="709"/>
      </w:pPr>
      <w:r w:rsidRPr="008608AA">
        <w:t>Lammam, Ch. and  H. MacIntyre (2016). An Introduction to the State of Poverty in Canada, Fraser Institute, January 2016: fraserinstitute.org</w:t>
      </w:r>
    </w:p>
    <w:p w14:paraId="72DAC614" w14:textId="77777777" w:rsidR="00787E9A" w:rsidRPr="008608AA" w:rsidRDefault="00787E9A" w:rsidP="00787E9A">
      <w:pPr>
        <w:ind w:left="709" w:hanging="709"/>
      </w:pPr>
      <w:r w:rsidRPr="00A3137A">
        <w:rPr>
          <w:lang w:val="fr-FR"/>
        </w:rPr>
        <w:t xml:space="preserve">Lammers, P., Richter, T., Lux, M., Ratsimbazafy, J., &amp; Mantilla-Contreras, J. (2017). </w:t>
      </w:r>
      <w:r w:rsidRPr="008608AA">
        <w:t>The challenges of community-based conservation in developing countries—A case study from Lake Alaotra, Madagascar. Journal for Nature Conservation, in press. http://doi.org/10.1016/j.jnnfm.2006.12.005</w:t>
      </w:r>
    </w:p>
    <w:p w14:paraId="4DEDD604" w14:textId="77777777" w:rsidR="00787E9A" w:rsidRPr="008608AA" w:rsidRDefault="00787E9A" w:rsidP="00787E9A">
      <w:pPr>
        <w:ind w:left="709" w:hanging="709"/>
      </w:pPr>
      <w:r w:rsidRPr="008608AA">
        <w:t xml:space="preserve">Lanfranconi, .A, Hutton, M., Brugnoli, E. and P. Muniz. 2009. New record of the alien mollusc Rapana venosa (Valenciennes 1846) in the Uruguayan coastal zone of Río de la Plata. Pan-American Journal of Aquatic Sciences, 4: 216-221. </w:t>
      </w:r>
    </w:p>
    <w:p w14:paraId="38382EE5" w14:textId="77777777" w:rsidR="00787E9A" w:rsidRPr="008608AA" w:rsidRDefault="00787E9A" w:rsidP="00787E9A">
      <w:pPr>
        <w:ind w:left="709" w:hanging="709"/>
      </w:pPr>
      <w:r w:rsidRPr="008608AA">
        <w:t>Lanfranconi, A., Brugnoli, E. and P. Muniz. 2013. Preliminary estimates of consumption rates of Rapana venosa (Gastropoda,Muricidae); a new threat to mollusk biodiversity in the Río de la Plata. Aquatic Invasions 8(4): 437-442.</w:t>
      </w:r>
    </w:p>
    <w:p w14:paraId="5E6BE00E" w14:textId="77777777" w:rsidR="00787E9A" w:rsidRPr="008608AA" w:rsidRDefault="00787E9A" w:rsidP="00787E9A">
      <w:pPr>
        <w:ind w:left="709" w:hanging="709"/>
      </w:pPr>
      <w:r w:rsidRPr="008608AA">
        <w:t>Langbein, L., &amp; Knack, S. (2010). The Worldwide Governance Indicators: Six, One, or None? Journal of Development Studies, 46(2), 350–370. http://doi.org/10.1080/00220380902952399</w:t>
      </w:r>
    </w:p>
    <w:p w14:paraId="6B7F6342" w14:textId="77777777" w:rsidR="00787E9A" w:rsidRPr="008608AA" w:rsidRDefault="00787E9A" w:rsidP="00787E9A">
      <w:pPr>
        <w:ind w:left="709" w:hanging="709"/>
      </w:pPr>
      <w:r w:rsidRPr="008608AA">
        <w:t>Langdon, B., Pauchard, A., &amp; Aguayo, M. (2010). Pinus contorta invasion in the Chilean Patagonia: Local patterns in a global context. Biological Invasions, 12(12), 3961–3971. https://doi.org/10.1007/s10530-010-9817-5</w:t>
      </w:r>
    </w:p>
    <w:p w14:paraId="110FC394" w14:textId="77777777" w:rsidR="00787E9A" w:rsidRPr="008608AA" w:rsidRDefault="00787E9A" w:rsidP="00787E9A">
      <w:pPr>
        <w:ind w:left="709" w:hanging="709"/>
      </w:pPr>
      <w:r w:rsidRPr="008608AA">
        <w:t>Lange, D. 1998. Europe’s medicinal and aromatic plants: their use, trade and conservation. Europe’s Medicinal and Aromatic Plants: their Use, Trade and Conservation.</w:t>
      </w:r>
    </w:p>
    <w:p w14:paraId="24CECE1F" w14:textId="77777777" w:rsidR="00787E9A" w:rsidRPr="008608AA" w:rsidRDefault="00787E9A" w:rsidP="00787E9A">
      <w:pPr>
        <w:ind w:left="709" w:hanging="709"/>
      </w:pPr>
      <w:r w:rsidRPr="008608AA">
        <w:t>Lapola, D.M., Martinelli, L.A., Peres, C.A., Ometto, J.P., Ferreira, M.E., Nobre, C.A., Aguiar, A.P.D., Bustamante, M.M., Cardoso, M.F., Costa, M.H. and Joly, C.A., 2014. Pervasive transition of the Brazilian land-use system. Nature climate change, 4(1), p.27.</w:t>
      </w:r>
    </w:p>
    <w:p w14:paraId="2CC64E6F" w14:textId="77777777" w:rsidR="00787E9A" w:rsidRPr="008608AA" w:rsidRDefault="00787E9A" w:rsidP="00787E9A">
      <w:pPr>
        <w:ind w:left="709" w:hanging="709"/>
      </w:pPr>
      <w:r w:rsidRPr="008608AA">
        <w:t>Larsen, J.N., O.A. Anisimov, A. Constable, A.B. Hollowed, N. Maynard, P. Prestrud, T.D. Prowse, and J.M.R. Stone, 2014: Polar regions. In: Climate Change 2014: Impacts, Adaptation, and Vulnerability. Part B: Regional Aspects. Contribution of Working Group II to the Fifth Assessment Report of the Intergovernmental Panel on Climate Change [Barros, V.R., C.B. Field, D.J. Dokken, M.D. Mastrandrea, K.J. Mach, T.E. Bilir, M. Chatterjee, K.L. Ebi, Y.O. Estrada, R.C. Genova, B. Girma, E.S. Kissel, A.N. Levy, S. MacCracken, P.R. Mastrandrea, and L.L. White (eds.)]. Cambridge University Press Cambridge, United Kingdom and New York, NY, USA, pp. 1567-1612.</w:t>
      </w:r>
    </w:p>
    <w:p w14:paraId="4EBBC3A0" w14:textId="77777777" w:rsidR="00787E9A" w:rsidRPr="008608AA" w:rsidRDefault="00787E9A" w:rsidP="00787E9A">
      <w:pPr>
        <w:ind w:left="709" w:hanging="709"/>
      </w:pPr>
      <w:r w:rsidRPr="008608AA">
        <w:rPr>
          <w:lang w:val="es-CO"/>
        </w:rPr>
        <w:t>Laufer, G., Gobel, N., Borteiro, C., Soutullo, A., Martínez-Debat, C. &amp; R. O de Sa. 2017. </w:t>
      </w:r>
      <w:r w:rsidRPr="008608AA">
        <w:t xml:space="preserve">Current status of American bullfrog, Lithobates catesbeianus, invasion in Uruguay and exploration of chytrid infection. Biol Invasions. </w:t>
      </w:r>
    </w:p>
    <w:p w14:paraId="144CC006" w14:textId="77777777" w:rsidR="00787E9A" w:rsidRPr="008608AA" w:rsidRDefault="00787E9A" w:rsidP="00787E9A">
      <w:pPr>
        <w:ind w:left="709" w:hanging="709"/>
      </w:pPr>
      <w:r w:rsidRPr="008608AA">
        <w:t>Laurance, W. F. (2004). The perils of payoff: corruption as a threat to global biodiversity. Trends in Ecology and Evolution, 19(8), 0–2.</w:t>
      </w:r>
    </w:p>
    <w:p w14:paraId="5F6F530F" w14:textId="77777777" w:rsidR="00787E9A" w:rsidRPr="008608AA" w:rsidRDefault="00787E9A" w:rsidP="00787E9A">
      <w:pPr>
        <w:ind w:left="709" w:hanging="709"/>
      </w:pPr>
      <w:r w:rsidRPr="008608AA">
        <w:t xml:space="preserve">Laurance, W. F., G. R. Clements, S. Sloan, C. S. O’Connell, N. D. Mueller, M. Goosem, O. Venter, D. P. Edwards, B. Phalan, A. Balmford, R. Van Der Ree, and I. B. Arrea. 2014. A global strategy for road building. Nature 513:229–232. </w:t>
      </w:r>
    </w:p>
    <w:p w14:paraId="4CD25F15" w14:textId="77777777" w:rsidR="00787E9A" w:rsidRPr="008608AA" w:rsidRDefault="00787E9A" w:rsidP="00787E9A">
      <w:pPr>
        <w:ind w:left="709" w:hanging="709"/>
      </w:pPr>
      <w:r w:rsidRPr="008608AA">
        <w:t>Lauvset, S.K., Gruber, N., Landschützer, P., Olsen, A. &amp; Tjiputra, J., 2015. Trends and drivers in global surface ocean pH over the past 3 decades. Biogeosciences, 12(5), p.1285.</w:t>
      </w:r>
    </w:p>
    <w:p w14:paraId="3D969367" w14:textId="77777777" w:rsidR="00787E9A" w:rsidRPr="008608AA" w:rsidRDefault="00787E9A" w:rsidP="00787E9A">
      <w:pPr>
        <w:ind w:left="709" w:hanging="709"/>
      </w:pPr>
    </w:p>
    <w:p w14:paraId="54A1AA09" w14:textId="77777777" w:rsidR="00787E9A" w:rsidRPr="00A3137A" w:rsidRDefault="00787E9A" w:rsidP="00787E9A">
      <w:pPr>
        <w:ind w:left="709" w:hanging="709"/>
        <w:rPr>
          <w:lang w:val="fr-FR"/>
        </w:rPr>
      </w:pPr>
      <w:r w:rsidRPr="008608AA">
        <w:t>Law, K., 2010. Atmospheric chemistry: More ozone over North America. </w:t>
      </w:r>
      <w:r w:rsidRPr="00A3137A">
        <w:rPr>
          <w:lang w:val="fr-FR"/>
        </w:rPr>
        <w:t>Nature, 463(7279), pp.307-308.</w:t>
      </w:r>
    </w:p>
    <w:p w14:paraId="59051062" w14:textId="77777777" w:rsidR="00787E9A" w:rsidRPr="008608AA" w:rsidRDefault="00787E9A" w:rsidP="00787E9A">
      <w:pPr>
        <w:ind w:left="709" w:hanging="709"/>
      </w:pPr>
      <w:r w:rsidRPr="00A3137A">
        <w:rPr>
          <w:lang w:val="fr-FR"/>
        </w:rPr>
        <w:t xml:space="preserve">Le Maitre, D. C., Gaertner, M., Marchante, E., Ens, E. J., Holmes, P. M., Pauchard, A., O’Farrell, P. J., Rogers, A. M., Blanchard, R., Blignaut, J., &amp; Richardson, D. M. (2011). </w:t>
      </w:r>
      <w:r w:rsidRPr="008608AA">
        <w:t>Impacts of invasive Australian acacias: Implications for management and restoration. Diversity and Distributions, 17(5), 1015–1029. https://doi.org/10.1111/j.1472-4642.2011.00816.x</w:t>
      </w:r>
    </w:p>
    <w:p w14:paraId="325255C5" w14:textId="77777777" w:rsidR="00787E9A" w:rsidRPr="008608AA" w:rsidRDefault="00787E9A" w:rsidP="00787E9A">
      <w:pPr>
        <w:ind w:left="709" w:hanging="709"/>
      </w:pPr>
      <w:r w:rsidRPr="008608AA">
        <w:t>Leach, M. K., and T. J. Givnish. (1996). Ecological determinants of species loss in remnant prairies. Science 273 : 1555 – 1558.</w:t>
      </w:r>
    </w:p>
    <w:p w14:paraId="1BB13C10" w14:textId="77777777" w:rsidR="00787E9A" w:rsidRPr="008608AA" w:rsidRDefault="00787E9A" w:rsidP="00787E9A">
      <w:pPr>
        <w:ind w:left="709" w:hanging="709"/>
      </w:pPr>
      <w:r w:rsidRPr="008608AA">
        <w:t>Leadley, P.W., Krug, C.B., Alkemade, R., Pereira, H.M., Sumaila U.R., Walpole, M., Marques, A., Newbold, T., Teh, L.S.L, van Kolck, J., Bellard, C., Januchowski-Hartley, S.R. and Mumby, P.J. (2014). Progress towards the Aichi Biodiversity Targets: An Assessment of Biodiversity Trends, Policy Scenarios and Key Actions. Secretariat of the Convention on Biological Diversity, Montreal, Canada. Technical Series 78, 500 pages</w:t>
      </w:r>
    </w:p>
    <w:p w14:paraId="7959EEF3" w14:textId="77777777" w:rsidR="00787E9A" w:rsidRPr="008608AA" w:rsidRDefault="00787E9A" w:rsidP="00787E9A">
      <w:pPr>
        <w:ind w:left="709" w:hanging="709"/>
      </w:pPr>
      <w:r w:rsidRPr="008608AA">
        <w:t>Leatherman, S., Defraene, N. (2006). 10 Most Hurricane Vulnerable Areas.  Miami, Florida. &lt;http://www.fema.gov/ emergency/reports/2006/nat112006.shtm.&gt;.</w:t>
      </w:r>
    </w:p>
    <w:p w14:paraId="0A30E8E0" w14:textId="77777777" w:rsidR="00787E9A" w:rsidRPr="008608AA" w:rsidRDefault="00787E9A" w:rsidP="00787E9A">
      <w:pPr>
        <w:ind w:left="709" w:hanging="709"/>
      </w:pPr>
      <w:r w:rsidRPr="008608AA">
        <w:t>LeBauer, D.S. and Treseder, K.K., 2008. Nitrogen limitation of net primary productivity in terrestrial ecosystems is globally distributed. Ecology, 89(2), pp.371-379.</w:t>
      </w:r>
    </w:p>
    <w:p w14:paraId="116291F3" w14:textId="77777777" w:rsidR="00787E9A" w:rsidRPr="00A3137A" w:rsidRDefault="00787E9A" w:rsidP="00787E9A">
      <w:pPr>
        <w:ind w:left="709" w:hanging="709"/>
        <w:rPr>
          <w:lang w:val="fr-FR"/>
        </w:rPr>
      </w:pPr>
      <w:r w:rsidRPr="008608AA">
        <w:t>Lee, P.K., Brook, J.R., Dabek-Zlotorzynska, E. and Mabury, S.A., 2003. Identification of the major sources contributing to PM2. 5 observed in Toronto. </w:t>
      </w:r>
      <w:r w:rsidRPr="00A3137A">
        <w:rPr>
          <w:lang w:val="fr-FR"/>
        </w:rPr>
        <w:t>Environmental science &amp; technology, 37(21), pp.4831-4840.</w:t>
      </w:r>
    </w:p>
    <w:p w14:paraId="0D85D014" w14:textId="77777777" w:rsidR="00787E9A" w:rsidRPr="008608AA" w:rsidRDefault="00787E9A" w:rsidP="00787E9A">
      <w:pPr>
        <w:ind w:left="709" w:hanging="709"/>
      </w:pPr>
      <w:r w:rsidRPr="00A3137A">
        <w:rPr>
          <w:lang w:val="fr-FR"/>
        </w:rPr>
        <w:t xml:space="preserve">Lembrechts, J. J., Milbau, A., &amp; Nijs, I. (2015). </w:t>
      </w:r>
      <w:r w:rsidRPr="008608AA">
        <w:t>Trade-off between competition and facilitation defines gap colonization in mountains. AoB Plants, 1–13. https://doi.org/10.1093/aobpla/plv128</w:t>
      </w:r>
    </w:p>
    <w:p w14:paraId="618C369A" w14:textId="77777777" w:rsidR="00787E9A" w:rsidRPr="008608AA" w:rsidRDefault="00787E9A" w:rsidP="00787E9A">
      <w:pPr>
        <w:ind w:left="709" w:hanging="709"/>
      </w:pPr>
      <w:r w:rsidRPr="008608AA">
        <w:t>Lemos, M. C., and A. Agrawal. 2006. Environmental governance. Annual Review of Environment and Resources 31:297–325.</w:t>
      </w:r>
    </w:p>
    <w:p w14:paraId="5B1799A5" w14:textId="77777777" w:rsidR="00787E9A" w:rsidRPr="008608AA" w:rsidRDefault="00787E9A" w:rsidP="00787E9A">
      <w:pPr>
        <w:ind w:left="709" w:hanging="709"/>
      </w:pPr>
      <w:r w:rsidRPr="008608AA">
        <w:t>Lenton. T. M.  2011.  Early warning of climate tipping points. Review article. Nature Climate Change| VOL 1 | JULY 2011 | www.nature.com/natureclimatechange. DOI: 10.1038/NCLIMATE1143</w:t>
      </w:r>
    </w:p>
    <w:p w14:paraId="336E37C4" w14:textId="77777777" w:rsidR="00787E9A" w:rsidRPr="008608AA" w:rsidRDefault="00787E9A" w:rsidP="00787E9A">
      <w:pPr>
        <w:ind w:left="709" w:hanging="709"/>
      </w:pPr>
      <w:r w:rsidRPr="008608AA">
        <w:t>Lenoir, S., Beaugrand, G., &amp; Lecuyer, É. (2011). Modelled spatial distribution of marine fish and projected modifications in the North Atlantic Ocean. Global Change Biology, 17(1), 115–129. https://doi.org/10.1111/j.1365-2486.2010.02229.x</w:t>
      </w:r>
    </w:p>
    <w:p w14:paraId="265E3877" w14:textId="77777777" w:rsidR="00787E9A" w:rsidRPr="008608AA" w:rsidRDefault="00787E9A" w:rsidP="00787E9A">
      <w:pPr>
        <w:ind w:left="709" w:hanging="709"/>
      </w:pPr>
    </w:p>
    <w:p w14:paraId="07A8F40B" w14:textId="77777777" w:rsidR="00787E9A" w:rsidRPr="008608AA" w:rsidRDefault="00787E9A" w:rsidP="00787E9A">
      <w:pPr>
        <w:ind w:left="709" w:hanging="709"/>
      </w:pPr>
      <w:r w:rsidRPr="008608AA">
        <w:t>Lepš, J., &amp; Rejmánek, M. (1991). Convergence or divergence: what should we expect from vegetation succession?. Oikos, 261-264.</w:t>
      </w:r>
    </w:p>
    <w:p w14:paraId="77A6F00E" w14:textId="77777777" w:rsidR="00787E9A" w:rsidRPr="008608AA" w:rsidRDefault="00787E9A" w:rsidP="00787E9A">
      <w:pPr>
        <w:ind w:left="709" w:hanging="709"/>
      </w:pPr>
      <w:r w:rsidRPr="008608AA">
        <w:t>Lesica P (2014) Arctic-alpine plants decline over two decades in Glacier National Park, Montana, U.S.A. Arctic Antarctic and Alpine Research, 46, 327-332.</w:t>
      </w:r>
    </w:p>
    <w:p w14:paraId="5A5453C7" w14:textId="77777777" w:rsidR="00787E9A" w:rsidRPr="008608AA" w:rsidRDefault="00787E9A" w:rsidP="00787E9A">
      <w:pPr>
        <w:ind w:left="709" w:hanging="709"/>
      </w:pPr>
      <w:r w:rsidRPr="008608AA">
        <w:t>Lewis, J., Hoover, J., &amp; MacKenzie, D. (2017). Mining and Environmental Health Disparities in Native American Communities. Current Environmental Health Reports, 4, 130-141, 10.1007/s40572-017-0140-5</w:t>
      </w:r>
    </w:p>
    <w:p w14:paraId="701EDB85" w14:textId="77777777" w:rsidR="00787E9A" w:rsidRPr="008608AA" w:rsidRDefault="00787E9A" w:rsidP="00787E9A">
      <w:pPr>
        <w:ind w:left="709" w:hanging="709"/>
      </w:pPr>
    </w:p>
    <w:p w14:paraId="6AD88289" w14:textId="77777777" w:rsidR="00787E9A" w:rsidRPr="008608AA" w:rsidRDefault="00787E9A" w:rsidP="00787E9A">
      <w:pPr>
        <w:ind w:left="709" w:hanging="709"/>
      </w:pPr>
      <w:r w:rsidRPr="008608AA">
        <w:t>Lewison, R. L., S. A. Freeman, and L. B. Crowder. 2004. Quantifying the effects of fisheries on threatened species-loggerhead &amp; leatherback turtles. Ecology Letters 7:221–231.</w:t>
      </w:r>
    </w:p>
    <w:p w14:paraId="0F14C07A" w14:textId="77777777" w:rsidR="00787E9A" w:rsidRPr="008608AA" w:rsidRDefault="00787E9A" w:rsidP="00787E9A">
      <w:pPr>
        <w:ind w:left="709" w:hanging="709"/>
      </w:pPr>
      <w:r w:rsidRPr="008608AA">
        <w:t>Li, C., Balluz, L.S., Vaidyanathan, A., Wen, X.J., Hao, Y. and Qualters, J.R., 2016. Long-Term Exposure to Ozone and Life Expectancy in the United States, 2002 to 2008. Medicine, 95(7).</w:t>
      </w:r>
    </w:p>
    <w:p w14:paraId="2A28C1CB" w14:textId="77777777" w:rsidR="00787E9A" w:rsidRPr="008608AA" w:rsidRDefault="00787E9A" w:rsidP="00787E9A">
      <w:pPr>
        <w:ind w:left="709" w:hanging="709"/>
        <w:rPr>
          <w:lang w:val="es-CO"/>
        </w:rPr>
      </w:pPr>
      <w:r w:rsidRPr="008608AA">
        <w:t xml:space="preserve">Liebezeit, J.R., S.J. Kendall, S. Brown, C.B. Johnson, P. Martin, T.L. McDonald, D.C. Payer, C.L. Rea, B. Streever, A.M. Wildman, and S. Zack. 2009. Influence of human development and predators on nest survival of tundra birds, Arctic Coastal Plain, Alaska. </w:t>
      </w:r>
      <w:r w:rsidRPr="008608AA">
        <w:rPr>
          <w:lang w:val="es-CO"/>
        </w:rPr>
        <w:t>Ecological Applications 19:1628-1644.</w:t>
      </w:r>
    </w:p>
    <w:p w14:paraId="789F486F" w14:textId="77777777" w:rsidR="00787E9A" w:rsidRPr="008608AA" w:rsidRDefault="00787E9A" w:rsidP="00787E9A">
      <w:pPr>
        <w:ind w:left="709" w:hanging="709"/>
      </w:pPr>
      <w:r w:rsidRPr="008608AA">
        <w:rPr>
          <w:lang w:val="es-CO"/>
        </w:rPr>
        <w:t xml:space="preserve">Lima, L. S., Coe, M. T., Soares Filho, B. S., Cuadra, S. V., Dias, L. C. P., Costa, M. H., Lima, L. S., &amp; Rodrigues, H. O. (2014). </w:t>
      </w:r>
      <w:r w:rsidRPr="008608AA">
        <w:t>Feedbacks between deforestation, climate, and hydrology in the Southwestern Amazon: Implications for the provision of ecosystem services. Landscape Ecology, 29(2), 261–274. https://doi.org/10.1007/s10980-013-9962-1</w:t>
      </w:r>
    </w:p>
    <w:p w14:paraId="11AAB34D" w14:textId="77777777" w:rsidR="00787E9A" w:rsidRPr="008608AA" w:rsidRDefault="00787E9A" w:rsidP="00787E9A">
      <w:pPr>
        <w:ind w:left="709" w:hanging="709"/>
      </w:pPr>
      <w:r w:rsidRPr="008608AA">
        <w:t>Lindenmayer, D. B., &amp; Likens, G. E. (2009). Adaptive monitoring: a new paradigm for long-term research and monitoring. Trends in Ecology &amp; Evolution, 24(9), 482-486.</w:t>
      </w:r>
    </w:p>
    <w:p w14:paraId="5CAD56E1" w14:textId="77777777" w:rsidR="00787E9A" w:rsidRPr="008608AA" w:rsidRDefault="00787E9A" w:rsidP="00787E9A">
      <w:pPr>
        <w:ind w:left="709" w:hanging="709"/>
      </w:pPr>
      <w:r w:rsidRPr="008608AA">
        <w:t>Liu, J., Hull, V., Batistella, M., DeFries, R., Dietz, T., Fu, F., Hertel, T. W., Izaurralde, R. C., Lambin, E. F., Li, S., Martinelli, L. A., McConnell, W. J., Moran, E. F., Naylor, R., Ouyang, Z., Polenske, K. R., Reenberg, A., de Miranda Rocha, G., Simmons, C. S., Verburg, P. H., Vitousek, P. M., Zhang, F., &amp; Zhu, C. (2013). Framing Sustainability in a Telecoupled World. Ecology and Society, 18(2), art26. https://doi.org/10.5751/ES-05873-180226</w:t>
      </w:r>
    </w:p>
    <w:p w14:paraId="00EAE1A4" w14:textId="77777777" w:rsidR="00787E9A" w:rsidRPr="008608AA" w:rsidRDefault="00787E9A" w:rsidP="00787E9A">
      <w:pPr>
        <w:ind w:left="709" w:hanging="709"/>
      </w:pPr>
      <w:r w:rsidRPr="008608AA">
        <w:t>Liu, J., You, L., Amini, M., Obersteiner, M., Herrero, M., Zehnder, A. J., &amp; Yang, H. (2010). A high-resolution assessment on global nitrogen flows in cropland. Proceedings of the National Academy of Sciences, 107(17), 8035-8040.</w:t>
      </w:r>
    </w:p>
    <w:p w14:paraId="4DDEF345" w14:textId="77777777" w:rsidR="00787E9A" w:rsidRPr="008608AA" w:rsidRDefault="00787E9A" w:rsidP="00787E9A">
      <w:pPr>
        <w:ind w:left="709" w:hanging="709"/>
      </w:pPr>
      <w:r w:rsidRPr="008608AA">
        <w:t xml:space="preserve">Liu, Y., S.-K. Lee, D. B. Enfield, B. A. Muhling, J. T. Lamkin, F. E. Muller-Karger, and M. A. Roffer, 2015: Potential impact of climate change on the Intra-Americas Seas: Part-1. A dynamic downscaling of the CMIP5 model projections. J. Marine Syst., 148, 56-69, doi:10.1016/j.jmarsys.2015.01.007. </w:t>
      </w:r>
    </w:p>
    <w:p w14:paraId="7D277BB9" w14:textId="77777777" w:rsidR="00787E9A" w:rsidRPr="008608AA" w:rsidRDefault="00787E9A" w:rsidP="00787E9A">
      <w:pPr>
        <w:ind w:left="709" w:hanging="709"/>
      </w:pPr>
      <w:r w:rsidRPr="008608AA">
        <w:t>Liu, Y., S.-K. Lee, D. B. Enfield, B. A. Muhling, J. T. Lamkin, F. E. Muller-Karger, and M. A. Roffer, 2016: Past and future climate variability in the Intra-Americas Sea and its impact on the marine ecosystem and fisheries, US CLIVAR Variations, Vol. 14, No. 1, 27-32.</w:t>
      </w:r>
    </w:p>
    <w:p w14:paraId="6EC275D2" w14:textId="77777777" w:rsidR="00787E9A" w:rsidRPr="008608AA" w:rsidRDefault="00787E9A" w:rsidP="00787E9A">
      <w:pPr>
        <w:ind w:left="709" w:hanging="709"/>
      </w:pPr>
      <w:r w:rsidRPr="008608AA">
        <w:t>Liverman, D. M., &amp; Vilas, S. (2006). Neoliberalism and the Environment in Latin America. Annual Review of Environment and Resources, 31(1), 327–363. http://doi.org/10.1146/annurev.energy.29.102403.140729</w:t>
      </w:r>
    </w:p>
    <w:p w14:paraId="352EDED1" w14:textId="77777777" w:rsidR="00787E9A" w:rsidRPr="008608AA" w:rsidRDefault="00787E9A" w:rsidP="00787E9A">
      <w:pPr>
        <w:ind w:left="709" w:hanging="709"/>
      </w:pPr>
      <w:r w:rsidRPr="008608AA">
        <w:rPr>
          <w:lang w:val="es-CO"/>
        </w:rPr>
        <w:t xml:space="preserve">Lôbo, D., Leão, T., Melo, F. P. L., Santos, A. M. M., &amp; Tabarelli, M. (2011). </w:t>
      </w:r>
      <w:r w:rsidRPr="008608AA">
        <w:t>Forest fragmentation drives Atlantic forest of northeastern Brazil to biotic homogenization. Diversity and Distributions, 17(2), 287–296. https://doi.org/10.1111/j.1472-4642.2010.00739.x</w:t>
      </w:r>
    </w:p>
    <w:p w14:paraId="6226D68F" w14:textId="77777777" w:rsidR="00787E9A" w:rsidRPr="008608AA" w:rsidRDefault="00787E9A" w:rsidP="00787E9A">
      <w:pPr>
        <w:ind w:left="709" w:hanging="709"/>
        <w:rPr>
          <w:lang w:val="es-CO"/>
        </w:rPr>
      </w:pPr>
      <w:r w:rsidRPr="008608AA">
        <w:t xml:space="preserve">Loh, T.-L., S. E. McMurray, T. P. Henkel, J. Vicente, and J. R. Pawlik. 2015. Indirect effects of overfishing on Caribbean reefs: sponges overgrow reef-building corals. </w:t>
      </w:r>
      <w:r w:rsidRPr="008608AA">
        <w:rPr>
          <w:lang w:val="es-CO"/>
        </w:rPr>
        <w:t>PeerJ 3:e901. &lt;http://www.pubmedcentral.nih.gov/articlerender.fcgi?artid=4419544&amp;tool=pmcentrez&amp;rendertype=abstract&gt;.</w:t>
      </w:r>
    </w:p>
    <w:p w14:paraId="0702159A" w14:textId="77777777" w:rsidR="00787E9A" w:rsidRPr="008608AA" w:rsidRDefault="00787E9A" w:rsidP="00787E9A">
      <w:pPr>
        <w:ind w:left="709" w:hanging="709"/>
      </w:pPr>
      <w:r w:rsidRPr="008608AA">
        <w:t xml:space="preserve">Lopes, A., and M. T. F. Piedade. 2014. Experimental study on the survival of the water hyacinth (Eichhornia crassipes (Mart.) Solms--Pontederiaceae) under different oil doses and times of exposure. Environmental science and pollution research international 21:13503–11. </w:t>
      </w:r>
    </w:p>
    <w:p w14:paraId="76036CC4" w14:textId="77777777" w:rsidR="00787E9A" w:rsidRPr="008608AA" w:rsidRDefault="00787E9A" w:rsidP="00787E9A">
      <w:pPr>
        <w:ind w:left="709" w:hanging="709"/>
        <w:rPr>
          <w:lang w:val="es-CO"/>
        </w:rPr>
      </w:pPr>
      <w:r w:rsidRPr="008608AA">
        <w:t xml:space="preserve">Lopes, R. M., Coradin, L., Beck, V., &amp; Rimoldi, D. (2009). </w:t>
      </w:r>
      <w:r w:rsidRPr="008608AA">
        <w:rPr>
          <w:lang w:val="es-CO"/>
        </w:rPr>
        <w:t xml:space="preserve">Informe sobre as Espécies Exóticas Invasoras Marinhas no Brasil. Brasília, Ministério do Meio Ambiente, Série Biodiversidade (Vol. 33). </w:t>
      </w:r>
    </w:p>
    <w:p w14:paraId="7C708167" w14:textId="77777777" w:rsidR="00787E9A" w:rsidRPr="008608AA" w:rsidRDefault="00787E9A" w:rsidP="00787E9A">
      <w:pPr>
        <w:ind w:left="709" w:hanging="709"/>
      </w:pPr>
      <w:r w:rsidRPr="008608AA">
        <w:rPr>
          <w:lang w:val="es-CO"/>
        </w:rPr>
        <w:t xml:space="preserve">Lopez-Lanus, B., I. Roesler, D. E. Blanco, P. F. Petracci, M. Serra, and M. E. Zaccagnini. </w:t>
      </w:r>
      <w:r w:rsidRPr="008608AA">
        <w:t>2007. Bobolink (dolichonyx oryzivorus) numbers and non breeding ecology in the rice fields of San Javier, Santa Fe province, Argentina. Ornitologia Neotropical 18:493–502. &lt;&lt;Go to ISI&gt;://000252231000002&gt;.</w:t>
      </w:r>
    </w:p>
    <w:p w14:paraId="03214355" w14:textId="77777777" w:rsidR="00787E9A" w:rsidRPr="008608AA" w:rsidRDefault="00787E9A" w:rsidP="00787E9A">
      <w:pPr>
        <w:ind w:left="709" w:hanging="709"/>
      </w:pPr>
      <w:r w:rsidRPr="008608AA">
        <w:t>Lopez, C.B., Jewett, E.B., Dortch, Q., Walton, B.T., Hundell, H. K. 2008. Scientific Assessment of Marine Harmful Algal Blooms. Interagency Working Group on Harmful Algal Blooms, Hypoxia, and Human Health of the Joint Sucommittee on Ocean Science and Technology.</w:t>
      </w:r>
    </w:p>
    <w:p w14:paraId="2E20D18C" w14:textId="77777777" w:rsidR="00787E9A" w:rsidRPr="008608AA" w:rsidRDefault="00787E9A" w:rsidP="00787E9A">
      <w:pPr>
        <w:ind w:left="709" w:hanging="709"/>
      </w:pPr>
      <w:r w:rsidRPr="008608AA">
        <w:t xml:space="preserve">Lovingood, T., Parker, B., Smith, T. N., Canes, H., Fennell, F., Cofer, D., &amp; Reilly, T. (2004). Nationwide identification of hardrock mining sites. Office of Inspector General (OIG) of the US Environmental Protection Agency, Washington, DC, </w:t>
      </w:r>
      <w:r w:rsidRPr="008608AA">
        <w:rPr>
          <w:rFonts w:ascii="Cambria Math" w:hAnsi="Cambria Math" w:cs="Cambria Math"/>
        </w:rPr>
        <w:t>〈</w:t>
      </w:r>
      <w:r w:rsidRPr="008608AA">
        <w:t xml:space="preserve"> http://www. epa. gov/oig/reports/2004/20040331-2004-p-00005. pdf</w:t>
      </w:r>
      <w:r w:rsidRPr="008608AA">
        <w:rPr>
          <w:rFonts w:ascii="Cambria Math" w:hAnsi="Cambria Math" w:cs="Cambria Math"/>
        </w:rPr>
        <w:t>〉</w:t>
      </w:r>
      <w:r w:rsidRPr="008608AA">
        <w:t xml:space="preserve"> (Nov. 1, 2012).</w:t>
      </w:r>
    </w:p>
    <w:p w14:paraId="3C13AE25" w14:textId="77777777" w:rsidR="00787E9A" w:rsidRPr="008608AA" w:rsidRDefault="00787E9A" w:rsidP="00787E9A">
      <w:pPr>
        <w:ind w:left="709" w:hanging="709"/>
      </w:pPr>
    </w:p>
    <w:p w14:paraId="5A0C9A74" w14:textId="77777777" w:rsidR="00787E9A" w:rsidRPr="008608AA" w:rsidRDefault="00787E9A" w:rsidP="00787E9A">
      <w:pPr>
        <w:ind w:left="709" w:hanging="709"/>
      </w:pPr>
      <w:r w:rsidRPr="008608AA">
        <w:t>Lozano, P., Bussmann, R. W., &amp; Küppers, M. (2006). Landslides as ecosystem disturbance-their implications and importance in Southern Ecuador. Lyonia, 9, 75-81.</w:t>
      </w:r>
    </w:p>
    <w:p w14:paraId="308E4C40" w14:textId="77777777" w:rsidR="00787E9A" w:rsidRPr="00A3137A" w:rsidRDefault="00787E9A" w:rsidP="00787E9A">
      <w:pPr>
        <w:ind w:left="709" w:hanging="709"/>
        <w:rPr>
          <w:lang w:val="fr-FR"/>
        </w:rPr>
      </w:pPr>
      <w:r w:rsidRPr="008608AA">
        <w:t xml:space="preserve">Lugo, A. E. 1998. Mangrove forests: A tough system to invade but an easy one to rehabilitate. </w:t>
      </w:r>
      <w:r w:rsidRPr="00A3137A">
        <w:rPr>
          <w:lang w:val="fr-FR"/>
        </w:rPr>
        <w:t>Marine Pollution Bulletin 37:427–430.</w:t>
      </w:r>
    </w:p>
    <w:p w14:paraId="5E10139B" w14:textId="77777777" w:rsidR="00787E9A" w:rsidRPr="008608AA" w:rsidRDefault="00787E9A" w:rsidP="00787E9A">
      <w:pPr>
        <w:ind w:left="709" w:hanging="709"/>
      </w:pPr>
      <w:r w:rsidRPr="00A3137A">
        <w:rPr>
          <w:lang w:val="fr-FR"/>
        </w:rPr>
        <w:t xml:space="preserve">Luiz, O. J., Floeter, S. R., Rocha, L. A., &amp; Ferreira, C. E. L. (2013). </w:t>
      </w:r>
      <w:r w:rsidRPr="008608AA">
        <w:t xml:space="preserve">Perspectives for the lionfish invasion in the South Atlantic: Are Brazilian reefs protected by the currents? Marine Ecology Progress Series, 485, 1–7. </w:t>
      </w:r>
    </w:p>
    <w:p w14:paraId="29CD11C7" w14:textId="77777777" w:rsidR="00787E9A" w:rsidRPr="008608AA" w:rsidRDefault="00787E9A" w:rsidP="00787E9A">
      <w:pPr>
        <w:ind w:left="709" w:hanging="709"/>
      </w:pPr>
      <w:r w:rsidRPr="008608AA">
        <w:t>Lutz, D. A., R. L. Powell, and M. R. Silman. 2013. Four Decades of Andean Timberline Migration and Implications for Biodiversity Loss with Climate Change. PLoS ONE 8:e74496.</w:t>
      </w:r>
    </w:p>
    <w:p w14:paraId="3B2FCB6C" w14:textId="77777777" w:rsidR="00787E9A" w:rsidRPr="008608AA" w:rsidRDefault="00787E9A" w:rsidP="00787E9A">
      <w:pPr>
        <w:ind w:left="709" w:hanging="709"/>
        <w:rPr>
          <w:lang w:val="es-CO"/>
        </w:rPr>
      </w:pPr>
      <w:r w:rsidRPr="008608AA">
        <w:t xml:space="preserve">Lyon, J. S., T. J. Hilliard, and T. N. Bethell. 1993. Burden of Gilt: The legacy of environmental damage from abandoned mines, and what America should do about it. </w:t>
      </w:r>
      <w:r w:rsidRPr="008608AA">
        <w:rPr>
          <w:lang w:val="es-CO"/>
        </w:rPr>
        <w:t>Mineral Policy Center.</w:t>
      </w:r>
    </w:p>
    <w:p w14:paraId="339BB6B1" w14:textId="77777777" w:rsidR="00787E9A" w:rsidRPr="008608AA" w:rsidRDefault="00787E9A" w:rsidP="00787E9A">
      <w:pPr>
        <w:ind w:left="709" w:hanging="709"/>
        <w:rPr>
          <w:lang w:val="es-CO"/>
        </w:rPr>
      </w:pPr>
      <w:r w:rsidRPr="008608AA">
        <w:rPr>
          <w:lang w:val="es-CO"/>
        </w:rPr>
        <w:t xml:space="preserve">Lyra-Neves, R. M. De, Oliveira, M. a. B., Telino-Júnior, W. R., &amp; Santos, E. M. Dos. (2007). Comportamentos interespecíficos entre Callithrix jacchus (Linnaeus) (Primates, Callitrichidae) e algumas aves de Mata Atlântica, Pernambuco, Brasil. Revista Brasileira de Zoologia, 24(3), 709–716. </w:t>
      </w:r>
    </w:p>
    <w:p w14:paraId="77BC7093" w14:textId="77777777" w:rsidR="00787E9A" w:rsidRPr="008608AA" w:rsidRDefault="00787E9A" w:rsidP="00787E9A">
      <w:pPr>
        <w:ind w:left="709" w:hanging="709"/>
      </w:pPr>
      <w:r w:rsidRPr="008608AA">
        <w:rPr>
          <w:lang w:val="es-CO"/>
        </w:rPr>
        <w:t xml:space="preserve">Macdonald, R.W., Barrie, L.A., Bidleman, T.F., Diamond, M.L., Gregor, D.J., Semkin, R.G., Strachan, W.M.J., Li, Y.F., Wania, F., Alaee, M. and Alexeeva, L.B., 2000. </w:t>
      </w:r>
      <w:r w:rsidRPr="008608AA">
        <w:t>Contaminants in the Canadian Arctic: 5 years of progress in understanding sources, occurrence and pathways. Science of the Total Environment, 254(2), pp.93-234.</w:t>
      </w:r>
    </w:p>
    <w:p w14:paraId="1337B429" w14:textId="77777777" w:rsidR="00787E9A" w:rsidRPr="008608AA" w:rsidRDefault="00787E9A" w:rsidP="00787E9A">
      <w:pPr>
        <w:ind w:left="709" w:hanging="709"/>
      </w:pPr>
      <w:r w:rsidRPr="008608AA">
        <w:t xml:space="preserve">MacDougall, A. S., &amp; Turkington, R. (2005). Are invasive species the drivers or passengers of change in degraded ecosystems? Ecology, 86(1), 42–55. </w:t>
      </w:r>
    </w:p>
    <w:p w14:paraId="5B074D01" w14:textId="77777777" w:rsidR="00787E9A" w:rsidRPr="008608AA" w:rsidRDefault="00787E9A" w:rsidP="00787E9A">
      <w:pPr>
        <w:ind w:left="709" w:hanging="709"/>
      </w:pPr>
      <w:r w:rsidRPr="008608AA">
        <w:t xml:space="preserve">Machado, W., and L. D. Lacerda. 2004. Overview of the biogeochemical controls and concerns with trace metal accumulation in mangrove sediments. Pages 319-334 in. L. D. Lacerda, R. E. Santelli, E. Duursma, and J. J. Abrao, editors. Environmental geochemistry in tropical and subtropical environments. </w:t>
      </w:r>
    </w:p>
    <w:p w14:paraId="4221FD79" w14:textId="77777777" w:rsidR="00787E9A" w:rsidRPr="008608AA" w:rsidRDefault="00787E9A" w:rsidP="00787E9A">
      <w:pPr>
        <w:ind w:left="709" w:hanging="709"/>
      </w:pPr>
      <w:r w:rsidRPr="008608AA">
        <w:t>Mack, R. N., &amp; Lonsdale, W. M. (2001). Humans as Global Plant Dispersers: Getting More Than We Bargained For: Current introductions of species for aesthetic purposes present the largest single challenge for predicting which plant immigrants will become future pests. BioScience, 51(2), 95-102.</w:t>
      </w:r>
    </w:p>
    <w:p w14:paraId="2D05EA31" w14:textId="77777777" w:rsidR="00787E9A" w:rsidRPr="008608AA" w:rsidRDefault="00787E9A" w:rsidP="00787E9A">
      <w:pPr>
        <w:ind w:left="709" w:hanging="709"/>
      </w:pPr>
      <w:r w:rsidRPr="008608AA">
        <w:t>Mack, R. N., &amp; Thompson, J. N. (1982). Evolution in steppe with few large, hooved mammals. The American Naturalist, 119(6), 757-773.</w:t>
      </w:r>
    </w:p>
    <w:p w14:paraId="56F62E78" w14:textId="77777777" w:rsidR="00787E9A" w:rsidRPr="008608AA" w:rsidRDefault="00787E9A" w:rsidP="00787E9A">
      <w:pPr>
        <w:ind w:left="709" w:hanging="709"/>
      </w:pPr>
      <w:r w:rsidRPr="008608AA">
        <w:t xml:space="preserve">Mack, R., Simberloff, D., Lonsdale, W., Evans, H., Clout, M., &amp; Bazzaz, F. (2000). Biotic Invasions: Causes, Epidemiology, Global Consequences, and Control. Ecological Applications, 10(3), 689–710. </w:t>
      </w:r>
    </w:p>
    <w:p w14:paraId="3D61952D" w14:textId="77777777" w:rsidR="00787E9A" w:rsidRPr="008608AA" w:rsidRDefault="00787E9A" w:rsidP="00787E9A">
      <w:pPr>
        <w:ind w:left="709" w:hanging="709"/>
      </w:pPr>
      <w:r w:rsidRPr="008608AA">
        <w:rPr>
          <w:lang w:val="es-CO"/>
        </w:rPr>
        <w:t xml:space="preserve">Madrigal-González, J., Cea, A. P., Sánchez-Fernández, L. A., Martínez-Tillería, K. P., Calderón, J. E., &amp; Gutiérrez, J. R. (2013). </w:t>
      </w:r>
      <w:r w:rsidRPr="008608AA">
        <w:t>Facilitation of the non-native annual plant Mesembryanthemum crystallinum (Aizoaceae) by the endemic cactus Eulychnia acida (Cactaceae) in the Atacama Desert. Biological Invasions, 15(7), 1439–1447. https://doi.org/10.1007/s10530-012-0382-y</w:t>
      </w:r>
    </w:p>
    <w:p w14:paraId="63A4A22F" w14:textId="77777777" w:rsidR="00787E9A" w:rsidRPr="008608AA" w:rsidRDefault="00787E9A" w:rsidP="00787E9A">
      <w:pPr>
        <w:ind w:left="709" w:hanging="709"/>
      </w:pPr>
      <w:r w:rsidRPr="008608AA">
        <w:t>Maffi, L. (2005). Linguistic, cultural, and biological diversity. Annu. Rev. Anthropol., 34, 599-617.</w:t>
      </w:r>
    </w:p>
    <w:p w14:paraId="3DEEBFD0" w14:textId="77777777" w:rsidR="00787E9A" w:rsidRPr="008608AA" w:rsidRDefault="00787E9A" w:rsidP="00787E9A">
      <w:pPr>
        <w:ind w:left="709" w:hanging="709"/>
      </w:pPr>
      <w:r w:rsidRPr="008608AA">
        <w:t>Magalhães, J. L. L., M. A. Lopes, and H. L. De Queiroz. 2015. Development of a Flooded Forest Anthropization Index (FFAI) applied to Amazonian areas under pressure from different human activities. Ecological Indicators 48:440–447.</w:t>
      </w:r>
    </w:p>
    <w:p w14:paraId="0B416722" w14:textId="77777777" w:rsidR="00787E9A" w:rsidRPr="008608AA" w:rsidRDefault="00787E9A" w:rsidP="00787E9A">
      <w:pPr>
        <w:ind w:left="709" w:hanging="709"/>
      </w:pPr>
      <w:r w:rsidRPr="008608AA">
        <w:t>Magrin, G.O., J.A. Marengo, J.-P. Boulanger, M.S. Buckeridge, E. Castellanos, G. Poveda, F.R. Scarano, and S. Vicuña, 2014: Central and South America. In: Climate Change 2014: Impacts, Adaptation, and Vulnerability. Part B: Regional Aspects. Contribution of Working Group II to the Fifth Assessment Report of the Intergovernmental Panel on Climate Change [Barros, V.R., C.B. Field, D.J. Dokken, M.D. Mastrandrea, K.J. Mach, T.E. Bilir, M. Chatterjee, K.L. Ebi, Y.O. Estrada, R.C. Genova, B. Girma, E.S. Kissel, A.N. Levy, S. MacCracken, P.R. Mastrandrea, and L.L. White (eds.)]. Cambridge University Press, Cambridge, United Kingdom and New York, NY, USA, pp. 1499-1566.</w:t>
      </w:r>
    </w:p>
    <w:p w14:paraId="671E2B49" w14:textId="77777777" w:rsidR="00787E9A" w:rsidRPr="008608AA" w:rsidRDefault="00787E9A" w:rsidP="00787E9A">
      <w:pPr>
        <w:ind w:left="709" w:hanging="709"/>
      </w:pPr>
      <w:r w:rsidRPr="00CE0821">
        <w:rPr>
          <w:lang w:val="es-CO"/>
        </w:rPr>
        <w:t xml:space="preserve">Magris, R. A., &amp; Barreto, R. (2010). </w:t>
      </w:r>
      <w:r w:rsidRPr="008608AA">
        <w:t>Mapping and assessment of protection of mangrove habitats in Brazil. Pan-American Journal of Aquatic Sciences, 5(4), 546-56.</w:t>
      </w:r>
    </w:p>
    <w:p w14:paraId="0B6F889B" w14:textId="77777777" w:rsidR="00787E9A" w:rsidRPr="008608AA" w:rsidRDefault="00787E9A" w:rsidP="00787E9A">
      <w:pPr>
        <w:ind w:left="709" w:hanging="709"/>
      </w:pPr>
      <w:r w:rsidRPr="008608AA">
        <w:t>Mahaffey, K.R. and Mergler, D., 1998. Blood levels of total and organic mercury in residents of the upper St. Lawrence River basin, Quebec: association with age, gender, and fish consumption. Environmental research, 77(2), pp.104-114.</w:t>
      </w:r>
    </w:p>
    <w:p w14:paraId="50D86A2A" w14:textId="77777777" w:rsidR="00787E9A" w:rsidRPr="008608AA" w:rsidRDefault="00787E9A" w:rsidP="00787E9A">
      <w:pPr>
        <w:ind w:left="709" w:hanging="709"/>
      </w:pPr>
      <w:r w:rsidRPr="008608AA">
        <w:t>Maki, A.W. 1992. Annual review of measured risks: The environmental impacts of the Prudhoe Bay, Alaska, oil field. Environmental Toxicology and Chemistry 11:1691-1707.</w:t>
      </w:r>
    </w:p>
    <w:p w14:paraId="196DAE84" w14:textId="77777777" w:rsidR="00787E9A" w:rsidRPr="008608AA" w:rsidRDefault="00787E9A" w:rsidP="00787E9A">
      <w:pPr>
        <w:ind w:left="709" w:hanging="709"/>
      </w:pPr>
      <w:r w:rsidRPr="008608AA">
        <w:t xml:space="preserve">Malcom, J.R., Liu, C., Neilson, R.P., Hansen, L., Hannah, L. 2005. Global warming and extinctions of endemic species from biodiversity hotspots. Conservation Biology Volume 20, No. 2, 538–548 </w:t>
      </w:r>
    </w:p>
    <w:p w14:paraId="1FCCCEF4" w14:textId="77777777" w:rsidR="00787E9A" w:rsidRPr="008608AA" w:rsidRDefault="00787E9A" w:rsidP="00787E9A">
      <w:pPr>
        <w:ind w:left="709" w:hanging="709"/>
      </w:pPr>
      <w:r w:rsidRPr="008608AA">
        <w:t>Malhi, Y., and J. Wright. 2004. Spatial patterns and recent trends in the climate of tropical rainforest regions. Philosophical transactions of the Royal Society of London. Series B, Biological sciences 359:311–29.</w:t>
      </w:r>
    </w:p>
    <w:p w14:paraId="0F2C27AF" w14:textId="77777777" w:rsidR="00787E9A" w:rsidRPr="008608AA" w:rsidRDefault="00787E9A" w:rsidP="00787E9A">
      <w:pPr>
        <w:ind w:left="709" w:hanging="709"/>
      </w:pPr>
      <w:r w:rsidRPr="008608AA">
        <w:t xml:space="preserve">Malm, O. 1998. Gold mining as a source of mercury exposure in the Brazilian Amazon. Environmental research 77:73–8. </w:t>
      </w:r>
    </w:p>
    <w:p w14:paraId="2BFB0B2A" w14:textId="77777777" w:rsidR="00787E9A" w:rsidRPr="008608AA" w:rsidRDefault="00787E9A" w:rsidP="00787E9A">
      <w:pPr>
        <w:ind w:left="709" w:hanging="709"/>
      </w:pPr>
      <w:r w:rsidRPr="008608AA">
        <w:t>Mann R, Occhipinti A &amp; Harding JM (eds.). 2004. Alien Species Alert: Rapana venosa (veined whelk). ICES Cooperative Research Report, no 264, 14 pp.</w:t>
      </w:r>
    </w:p>
    <w:p w14:paraId="58E812A3" w14:textId="77777777" w:rsidR="00787E9A" w:rsidRPr="008608AA" w:rsidRDefault="00787E9A" w:rsidP="00787E9A">
      <w:pPr>
        <w:ind w:left="709" w:hanging="709"/>
      </w:pPr>
      <w:r w:rsidRPr="008608AA">
        <w:t>Mantyka</w:t>
      </w:r>
      <w:r w:rsidRPr="008608AA">
        <w:rPr>
          <w:rFonts w:ascii="Cambria Math" w:hAnsi="Cambria Math" w:cs="Cambria Math"/>
        </w:rPr>
        <w:t>‐</w:t>
      </w:r>
      <w:r w:rsidRPr="008608AA">
        <w:t>Pringle, C. S., Martin, T. G., &amp; Rhodes, J. R. (2012). Interactions between climate and habitat loss effects on biodiversity: a systematic review and meta</w:t>
      </w:r>
      <w:r w:rsidRPr="008608AA">
        <w:rPr>
          <w:rFonts w:ascii="Cambria Math" w:hAnsi="Cambria Math" w:cs="Cambria Math"/>
        </w:rPr>
        <w:t>‐</w:t>
      </w:r>
      <w:r w:rsidRPr="008608AA">
        <w:t>analysis. Global Change Biology, 18(4), 1239-1252.</w:t>
      </w:r>
    </w:p>
    <w:p w14:paraId="5A1FE2E3" w14:textId="77777777" w:rsidR="00787E9A" w:rsidRPr="008608AA" w:rsidRDefault="00787E9A" w:rsidP="00787E9A">
      <w:pPr>
        <w:ind w:left="709" w:hanging="709"/>
      </w:pPr>
      <w:r w:rsidRPr="008608AA">
        <w:t>Manuschevich, D. (2016). Neoliberalization of forestry discourses in Chile. Forest Policy and Economics, 69, 21–30. http://doi.org/10.1016/j.forpol.2016.03.006</w:t>
      </w:r>
    </w:p>
    <w:p w14:paraId="144FF8FB" w14:textId="77777777" w:rsidR="00787E9A" w:rsidRPr="008608AA" w:rsidRDefault="00787E9A" w:rsidP="00787E9A">
      <w:pPr>
        <w:ind w:left="709" w:hanging="709"/>
      </w:pPr>
      <w:r w:rsidRPr="008608AA">
        <w:t>Manzello, D.P., 2010. Ocean acidification hotspots: spatiotemporal dynamics of the seawater CO2 system of eastern Pacific coral reefs. Limnology and Oceanography, 55(1), pp.239-248.</w:t>
      </w:r>
    </w:p>
    <w:p w14:paraId="5B0F78D8" w14:textId="77777777" w:rsidR="00787E9A" w:rsidRPr="008608AA" w:rsidRDefault="00787E9A" w:rsidP="00787E9A">
      <w:pPr>
        <w:ind w:left="709" w:hanging="709"/>
      </w:pPr>
      <w:r w:rsidRPr="008608AA">
        <w:t>Marchese, C. (2015). Biodiversity hotspots: A shortcut for a more complicated concept. Global Ecology and Conservation, 3, 297-309.</w:t>
      </w:r>
    </w:p>
    <w:p w14:paraId="7B9BD121" w14:textId="77777777" w:rsidR="00787E9A" w:rsidRPr="008608AA" w:rsidRDefault="00787E9A" w:rsidP="00787E9A">
      <w:pPr>
        <w:ind w:left="709" w:hanging="709"/>
      </w:pPr>
      <w:r w:rsidRPr="008608AA">
        <w:t>Marengo, J. A. 2004. Interdecadal variability and trends of rainfall across the Amazon basin. Theoretical and Applied Climatology 78. &lt;http://link.springer.com/10.1007/s00704-004-0045-8&gt;. Accessed 6 Jun 2016.</w:t>
      </w:r>
    </w:p>
    <w:p w14:paraId="23B2D6F3" w14:textId="77777777" w:rsidR="00787E9A" w:rsidRPr="008608AA" w:rsidRDefault="00787E9A" w:rsidP="00787E9A">
      <w:pPr>
        <w:ind w:left="709" w:hanging="709"/>
      </w:pPr>
      <w:r w:rsidRPr="008608AA">
        <w:rPr>
          <w:lang w:val="es-CO"/>
        </w:rPr>
        <w:t xml:space="preserve">Marengo, J. A., &amp; Espinoza, J. C. (2016). </w:t>
      </w:r>
      <w:r w:rsidRPr="008608AA">
        <w:t>Extreme seasonal droughts and floods in Amazonia: causes, trends and impacts. International Journal of Climatology, 36(3), 1033-1050.</w:t>
      </w:r>
    </w:p>
    <w:p w14:paraId="1EECFAC7" w14:textId="77777777" w:rsidR="00787E9A" w:rsidRPr="008608AA" w:rsidRDefault="00787E9A" w:rsidP="00787E9A">
      <w:pPr>
        <w:ind w:left="709" w:hanging="709"/>
      </w:pPr>
      <w:r w:rsidRPr="008608AA">
        <w:t>Marengo, J. A., R. Jones, L. M. Alves, and M. C. Valverde. 2009. Future change of temperature and precipitation extremes in south america as derived from the precis regional climate modeling system. International Journal of Climatology 29:2241–2255.</w:t>
      </w:r>
    </w:p>
    <w:p w14:paraId="045D5740" w14:textId="77777777" w:rsidR="00787E9A" w:rsidRPr="008608AA" w:rsidRDefault="00787E9A" w:rsidP="00787E9A">
      <w:pPr>
        <w:ind w:left="709" w:hanging="709"/>
      </w:pPr>
      <w:r w:rsidRPr="008608AA">
        <w:t xml:space="preserve">Marengo, J. A., J. D. Pabón, A. Díaz, G. Rosas, E. Montealegre, M. Villacis, and S. Solman. 2011. Climate Change : Evidence and Future Scenarios for the Andean Region. Pages 110–127 in S. K. Herzog, R. Martinez, P. M. Jørgensen, and H. Tiessen, editors. Climate Change an Biodiversity in the Tropical Andes. Inter-American Institute for Global Change Research (IAI) and Scientific Committee on Problems of the Environment (SCOPE). </w:t>
      </w:r>
    </w:p>
    <w:p w14:paraId="0BE8D326" w14:textId="77777777" w:rsidR="00787E9A" w:rsidRPr="008608AA" w:rsidRDefault="00787E9A" w:rsidP="00787E9A">
      <w:pPr>
        <w:ind w:left="709" w:hanging="709"/>
      </w:pPr>
      <w:r w:rsidRPr="00CE0821">
        <w:t xml:space="preserve">Marengo, J. A., S. C. Chou, G. Kay, L. M. Alves, J. F. Pesquero, W. R. Soares, D. C. Santos, A. A. Lyra, G. Sueiro, R. Betts, D. J. Chagas, J. L. Gomes, J. F. Bustamante, and P. Tavares. </w:t>
      </w:r>
      <w:r w:rsidRPr="008608AA">
        <w:t>2012. Development of regional future climate change scenarios in South America using the Eta CPTEC/HadCM3 climate change projections: climatology and regional analyses for the Amazon, São Francisco and the Paraná River basins. Climate Dynamics 38:1829–1848. Springer-Verlag.</w:t>
      </w:r>
    </w:p>
    <w:p w14:paraId="7DF90250" w14:textId="77777777" w:rsidR="00787E9A" w:rsidRPr="008608AA" w:rsidRDefault="00787E9A" w:rsidP="00787E9A">
      <w:pPr>
        <w:ind w:left="709" w:hanging="709"/>
      </w:pPr>
      <w:r w:rsidRPr="008608AA">
        <w:t>Marengo, J. A., Nunes, L. H., Souza, C. R. G., Harari, J., Muller-Karger, F., Greco, R., Hosokawa, E. K., Tabuchi, E. K., Merrill, S. B., Reynolds, C. J., Pelling, M., Alves, L. M., Aragão, L. E., Chou, S. C., Moreira, F., Paterson, S., Lockman, J. T., &amp; Gray, A. G. (2017). A globally deployable strategy for co-development of adaptation preferences to sea-level rise: the public participation case of Santos, Brazil. Natural Hazards, 88(1), 39–53. https://doi.org/10.1007/s11069-017-2855-x</w:t>
      </w:r>
    </w:p>
    <w:p w14:paraId="54DAA907" w14:textId="77777777" w:rsidR="00787E9A" w:rsidRPr="008608AA" w:rsidRDefault="00787E9A" w:rsidP="00787E9A">
      <w:pPr>
        <w:ind w:left="709" w:hanging="709"/>
      </w:pPr>
      <w:r w:rsidRPr="008608AA">
        <w:t>Maret T.R. &amp; MacCoy D.E. (2002). Fish Assemblages and Environmental Variables Associated with Hard Rock Mining in the Coeur d'Alene River Basin, Idaho. Transactions of the American Fisheries Society, 131, 865-884, doi:10.1577/1548-8659(2002)131&lt;0865:FAAEVA&gt;2.0.CO;2</w:t>
      </w:r>
    </w:p>
    <w:p w14:paraId="63935605" w14:textId="77777777" w:rsidR="00787E9A" w:rsidRPr="008608AA" w:rsidRDefault="00787E9A" w:rsidP="00787E9A">
      <w:pPr>
        <w:ind w:left="709" w:hanging="709"/>
      </w:pPr>
      <w:r w:rsidRPr="008608AA">
        <w:t>Maret, T. R., Cain, D. J., MacCoy, D. E., &amp; Short, T.M. (2003). Response of benthic invertebrate assemblages to metal exposure and bioaccumulation associated with hard-rock mining in northwestern streams, USA. Journal of the North American Benthological Society, 22, 598-620, 10.2307/1468356</w:t>
      </w:r>
    </w:p>
    <w:p w14:paraId="2657EDE9" w14:textId="77777777" w:rsidR="00787E9A" w:rsidRPr="008608AA" w:rsidRDefault="00787E9A" w:rsidP="00787E9A">
      <w:pPr>
        <w:ind w:left="709" w:hanging="709"/>
      </w:pPr>
    </w:p>
    <w:p w14:paraId="164ED34C" w14:textId="77777777" w:rsidR="00787E9A" w:rsidRPr="008608AA" w:rsidRDefault="00787E9A" w:rsidP="00787E9A">
      <w:pPr>
        <w:ind w:left="709" w:hanging="709"/>
      </w:pPr>
      <w:r w:rsidRPr="008608AA">
        <w:t>Marshall, V. M., Lewis, M. M., &amp; Ostendorf, B. (2012). Buffel grass (Cenchrus ciliaris) as an invader and threat to biodiversity in arid environments: A review. Journal of Arid Environments, 78, 1–12. https://doi.org/10.1016/j.jaridenv.2011.11.005</w:t>
      </w:r>
    </w:p>
    <w:p w14:paraId="690CC14E" w14:textId="77777777" w:rsidR="00787E9A" w:rsidRPr="008608AA" w:rsidRDefault="00787E9A" w:rsidP="00787E9A">
      <w:pPr>
        <w:ind w:left="709" w:hanging="709"/>
      </w:pPr>
      <w:r w:rsidRPr="008608AA">
        <w:t>Martin, L. M., Moloney, K. A., &amp; Wilsey, B. J. (2005). An assessment of grassland restoration success using species diversity components. Journal of Applied Ecology, 42(2), 327-336.</w:t>
      </w:r>
    </w:p>
    <w:p w14:paraId="2960BE1B" w14:textId="77777777" w:rsidR="00787E9A" w:rsidRPr="008608AA" w:rsidRDefault="00787E9A" w:rsidP="00787E9A">
      <w:pPr>
        <w:ind w:left="709" w:hanging="709"/>
      </w:pPr>
      <w:r w:rsidRPr="008608AA">
        <w:t>Martin, P. H., Canham, C. D., &amp; Marks, P. L. (2009). Why forests appear resistant to exotic plant invasions: Intentional introductions, stand dynamics, and the role of shade tolerance. Frontiers in Ecology and the Environment, 7(3), 142–149. https://doi.org/10.1890/070096</w:t>
      </w:r>
    </w:p>
    <w:p w14:paraId="7F69D371" w14:textId="77777777" w:rsidR="00787E9A" w:rsidRPr="008608AA" w:rsidRDefault="00787E9A" w:rsidP="00787E9A">
      <w:pPr>
        <w:ind w:left="709" w:hanging="709"/>
      </w:pPr>
      <w:r w:rsidRPr="008608AA">
        <w:t>Martínez AS, Masciocchi M, Villacide JM, Huerta G, Daneri L, Bruchhausen A, Rozas G, Corley JC (2013) Ashes in the air: the effects of volcanic ash emissions on plant–pollinator relationships and possible consequences for apiculture. Apidologie 44: 268–277</w:t>
      </w:r>
    </w:p>
    <w:p w14:paraId="19E19AC0" w14:textId="77777777" w:rsidR="00787E9A" w:rsidRPr="008608AA" w:rsidRDefault="00787E9A" w:rsidP="00787E9A">
      <w:pPr>
        <w:ind w:left="709" w:hanging="709"/>
      </w:pPr>
      <w:r w:rsidRPr="008608AA">
        <w:t>Martínez, M.O., Napolitano, D.A., MacLennan, G.J., O’Callaghan, C., Ciborowski, S. and Fabregas, X., 2007. Impacts of petroleum activities for the Achuar people of the Peruvian Amazon: summary of existing evidence and research gaps. Environmental Research Letters, 2(4), p.045006.</w:t>
      </w:r>
    </w:p>
    <w:p w14:paraId="7EFA8599" w14:textId="77777777" w:rsidR="00787E9A" w:rsidRPr="008608AA" w:rsidRDefault="00787E9A" w:rsidP="00787E9A">
      <w:pPr>
        <w:ind w:left="709" w:hanging="709"/>
      </w:pPr>
      <w:r w:rsidRPr="008608AA">
        <w:t>Martínez-Alier, J. (2014). The environmentalism of the poor. Geoforum, 54, 239–241. http://doi.org/10.1016/j.geoforum.2013.04.019</w:t>
      </w:r>
    </w:p>
    <w:p w14:paraId="6BE43438" w14:textId="77777777" w:rsidR="00787E9A" w:rsidRPr="008608AA" w:rsidRDefault="00787E9A" w:rsidP="00787E9A">
      <w:pPr>
        <w:ind w:left="709" w:hanging="709"/>
      </w:pPr>
      <w:r w:rsidRPr="008608AA">
        <w:t xml:space="preserve">Martínez, V., &amp; Castillo, O. L. (2016). The political ecology of hydropower: Social justice and conflict in Colombian hydroelectricity development. Energy Research and Social Science, 22, 69–78. </w:t>
      </w:r>
    </w:p>
    <w:p w14:paraId="2CB42914" w14:textId="77777777" w:rsidR="00787E9A" w:rsidRPr="008608AA" w:rsidRDefault="00787E9A" w:rsidP="00787E9A">
      <w:pPr>
        <w:ind w:left="709" w:hanging="709"/>
        <w:rPr>
          <w:lang w:val="es-CO"/>
        </w:rPr>
      </w:pPr>
      <w:r w:rsidRPr="008608AA">
        <w:t xml:space="preserve">Martínez-López, E., Espín, S., Barbar, F., Lambertucci, S.A., Gómez-Ramírez, P. and García-Fernández, A.J., 2015. Contaminants in the southern tip of South America: Analysis of organochlorine compounds in feathers of avian scavengers from Argentinean Patagonia. </w:t>
      </w:r>
      <w:r w:rsidRPr="008608AA">
        <w:rPr>
          <w:lang w:val="es-CO"/>
        </w:rPr>
        <w:t>Ecotoxicology and environmental safety, 115, pp.83-92.</w:t>
      </w:r>
    </w:p>
    <w:p w14:paraId="1698AAED" w14:textId="77777777" w:rsidR="00787E9A" w:rsidRPr="008608AA" w:rsidRDefault="00787E9A" w:rsidP="00787E9A">
      <w:pPr>
        <w:ind w:left="709" w:hanging="709"/>
        <w:rPr>
          <w:lang w:val="es-CO"/>
        </w:rPr>
      </w:pPr>
      <w:r w:rsidRPr="008608AA">
        <w:rPr>
          <w:lang w:val="es-CO"/>
        </w:rPr>
        <w:t>Martins, C. R. (2006). Caracterização e manejo da gramínea Melinis minutiflora P. Beauv. (capim-gordura): uma espécie invasora do Cerrado.</w:t>
      </w:r>
    </w:p>
    <w:p w14:paraId="79E20496" w14:textId="77777777" w:rsidR="00787E9A" w:rsidRPr="008608AA" w:rsidRDefault="00787E9A" w:rsidP="00787E9A">
      <w:pPr>
        <w:ind w:left="709" w:hanging="709"/>
      </w:pPr>
      <w:r w:rsidRPr="00CE0821">
        <w:t xml:space="preserve">Martins, C.C., Bícego, M.C., Mahiques, M.M., Figueira, R.C., Tessler, M.G. and Montone, R.C., 2011. </w:t>
      </w:r>
      <w:r w:rsidRPr="008608AA">
        <w:t>Polycyclic aromatic hydrocarbons (PAHs) in a large South American industrial coastal area (Santos Estuary, Southeastern Brazil): sources and depositional history. Marine pollution bulletin, 63(5), pp.452-458.</w:t>
      </w:r>
    </w:p>
    <w:p w14:paraId="6ED6DB10" w14:textId="77777777" w:rsidR="00787E9A" w:rsidRPr="008608AA" w:rsidRDefault="00787E9A" w:rsidP="00787E9A">
      <w:pPr>
        <w:ind w:left="709" w:hanging="709"/>
      </w:pPr>
      <w:r w:rsidRPr="008608AA">
        <w:t>Marubini, F. and Davies, P.S., 1996. Nitrate increases zooxanthellae population density and reduces skeletogenesis in corals. Marine Biology, 127(2), pp.319-328.</w:t>
      </w:r>
    </w:p>
    <w:p w14:paraId="439ED64B" w14:textId="77777777" w:rsidR="00787E9A" w:rsidRPr="008608AA" w:rsidRDefault="00787E9A" w:rsidP="00787E9A">
      <w:pPr>
        <w:ind w:left="709" w:hanging="709"/>
      </w:pPr>
      <w:r w:rsidRPr="008608AA">
        <w:t>Mascia, M. B., Pailler, S., Krithivasan, R., Roshchanka, V., Burns, D., Mlotha, M. J., Murray, D. R., &amp; Peng, N. (2014). Protected area downgrading, downsizing, and degazettement (PADDD) in Africa, Asia, and Latin America and the Caribbean, 1900-2010. Biological Conservation, 169, 355–361. https://doi.org/10.1016/j.biocon.2013.11.021</w:t>
      </w:r>
    </w:p>
    <w:p w14:paraId="3F8FE139" w14:textId="77777777" w:rsidR="00787E9A" w:rsidRPr="008608AA" w:rsidRDefault="00787E9A" w:rsidP="00787E9A">
      <w:pPr>
        <w:ind w:left="709" w:hanging="709"/>
      </w:pPr>
      <w:r w:rsidRPr="008608AA">
        <w:t>Masek, J. G., Cohen, W. B., Leckie, D., Wulder, M. A., Vargas, R., de Jong, B., Healey, S., Law, B., Birdsey, R., Houghton, R. A., Mildrexler, D., Goward, S., &amp; Smith, W. B. (2011). Recent rates of forest harvest and conversion in North America. Journal of Geophysical Research, 116(G4), G00K03. https://doi.org/10.1029/2010JG001471</w:t>
      </w:r>
    </w:p>
    <w:p w14:paraId="0DC029B7" w14:textId="77777777" w:rsidR="00787E9A" w:rsidRPr="008608AA" w:rsidRDefault="00787E9A" w:rsidP="00787E9A">
      <w:pPr>
        <w:ind w:left="709" w:hanging="709"/>
      </w:pPr>
      <w:r w:rsidRPr="008608AA">
        <w:t>Masi, E., Pino, F. A., Santos, M. das G. S., Genehr, L., Albuquerque, J. O. M., Bancher, A. M., &amp; Alves, J. C. M. (2010). Socioeconomic and environmental risk factors for urban rodent infestation in Sao Paulo, Brazil. Journal of Pest Science, 83(3), 231–241. https://doi.org/10.1007/s10340-010-0290-9</w:t>
      </w:r>
    </w:p>
    <w:p w14:paraId="200D1B70" w14:textId="77777777" w:rsidR="00787E9A" w:rsidRPr="008608AA" w:rsidRDefault="00787E9A" w:rsidP="00787E9A">
      <w:pPr>
        <w:ind w:left="709" w:hanging="709"/>
      </w:pPr>
      <w:r w:rsidRPr="008608AA">
        <w:t>Mathis, J.T., Cross, J.N., Evans, W. and Doney, S.C., 2015. Ocean acidification in the surface waters of the Pacific-Arctic boundary regions. Oceanography, 28(2), pp.122-135.</w:t>
      </w:r>
    </w:p>
    <w:p w14:paraId="31E255E1" w14:textId="77777777" w:rsidR="00787E9A" w:rsidRPr="008608AA" w:rsidRDefault="00787E9A" w:rsidP="00787E9A">
      <w:pPr>
        <w:ind w:left="709" w:hanging="709"/>
      </w:pPr>
      <w:r w:rsidRPr="008608AA">
        <w:t>Maxim, L., Spangenberg, J. H., &amp; O'Connor, M. (2009). An analysis of risks for biodiversity under the DPSIR framework. Ecological Economics, 69(1), 12-23.</w:t>
      </w:r>
    </w:p>
    <w:p w14:paraId="5305696F" w14:textId="77777777" w:rsidR="00787E9A" w:rsidRPr="008608AA" w:rsidRDefault="00787E9A" w:rsidP="00787E9A">
      <w:pPr>
        <w:ind w:left="709" w:hanging="709"/>
      </w:pPr>
      <w:r w:rsidRPr="008608AA">
        <w:t>McClintock, J.B., Angus, R.A., Mcdonald, M.R., Amsler, C.D., Catledge, S.A. and Vohra, Y.K., 2009. Rapid dissolution of shells of weakly calcified Antarctic benthic macroorganisms indicates high vulnerability to ocean acidification. Antarctic Science, 21(5), pp.449-456.</w:t>
      </w:r>
    </w:p>
    <w:p w14:paraId="11AAB938" w14:textId="77777777" w:rsidR="00787E9A" w:rsidRPr="008608AA" w:rsidRDefault="00787E9A" w:rsidP="00787E9A">
      <w:pPr>
        <w:ind w:left="709" w:hanging="709"/>
      </w:pPr>
      <w:r w:rsidRPr="008608AA">
        <w:t>McConnell, J.R. and Edwards, R., 2008. Coal burning leaves toxic heavy metal legacy in the Arctic. Proceedings of the National Academy of Sciences, 105(34), pp.12140-12144.</w:t>
      </w:r>
    </w:p>
    <w:p w14:paraId="5D90506A" w14:textId="77777777" w:rsidR="00787E9A" w:rsidRPr="008608AA" w:rsidRDefault="00787E9A" w:rsidP="00787E9A">
      <w:pPr>
        <w:ind w:left="709" w:hanging="709"/>
      </w:pPr>
      <w:r w:rsidRPr="008608AA">
        <w:t>McDonald, R.I., Weber, K., Padowski, J., Flörke, M., Schneider, C., Green, P.A., Gleeson, T., Eckman, S., Lehner, B., Balk, D. and Boucher, T., 2014. Water on an urban planet: Urbanization and the reach of urban water infrastructure. Global Environmental Change, 27, pp.96-105.</w:t>
      </w:r>
    </w:p>
    <w:p w14:paraId="0469DFC2" w14:textId="77777777" w:rsidR="00787E9A" w:rsidRPr="008608AA" w:rsidRDefault="00787E9A" w:rsidP="00787E9A">
      <w:pPr>
        <w:ind w:left="709" w:hanging="709"/>
      </w:pPr>
      <w:r w:rsidRPr="008608AA">
        <w:t>McEwan, R. W., Dyer, J. M., &amp; Pederson, N. (2011). Multiple interacting ecosystem drivers: toward an encompassing hypothesis of oak forest dynamics across eastern North America. Ecography, 34(2), 244-256.</w:t>
      </w:r>
    </w:p>
    <w:p w14:paraId="6CB9C282" w14:textId="77777777" w:rsidR="00787E9A" w:rsidRPr="008608AA" w:rsidRDefault="00787E9A" w:rsidP="00787E9A">
      <w:pPr>
        <w:ind w:left="709" w:hanging="709"/>
      </w:pPr>
      <w:r w:rsidRPr="008608AA">
        <w:t>McGraw, J. B., S. Souther, and A. E. Lubbers. 2010. Rates of Harvest and Compliance with Regulations in Natural Populations of American Ginseng (Panax quinquefolius L.). Natural Areas Journal 30:202–210.</w:t>
      </w:r>
    </w:p>
    <w:p w14:paraId="2D67D570" w14:textId="77777777" w:rsidR="00787E9A" w:rsidRPr="008608AA" w:rsidRDefault="00787E9A" w:rsidP="00787E9A">
      <w:pPr>
        <w:ind w:left="709" w:hanging="709"/>
      </w:pPr>
      <w:r w:rsidRPr="008608AA">
        <w:t>Mcguire, A. D., F. S. C. Iii, J. E. Walsh, and C. Wirth. 2006. Integrated regional changes in Arctic climate f eedbacks : Implications for the Global. 61–91.</w:t>
      </w:r>
    </w:p>
    <w:p w14:paraId="0373E5DC" w14:textId="77777777" w:rsidR="00787E9A" w:rsidRPr="008608AA" w:rsidRDefault="00787E9A" w:rsidP="00787E9A">
      <w:pPr>
        <w:ind w:left="709" w:hanging="709"/>
      </w:pPr>
      <w:r w:rsidRPr="008608AA">
        <w:t>McLinden, C.A., Fioletov, V., Krotkov, N.A., Li, C., Boersma, K.F. and Adams, C., 2015. A decade of change in NO2 and SO2 over the Canadian oil sands as seen from space. Environmental science &amp; technology, 50(1), pp.331-337.</w:t>
      </w:r>
    </w:p>
    <w:p w14:paraId="1045D6EE" w14:textId="77777777" w:rsidR="00787E9A" w:rsidRPr="008608AA" w:rsidRDefault="00787E9A" w:rsidP="00787E9A">
      <w:pPr>
        <w:ind w:left="709" w:hanging="709"/>
      </w:pPr>
      <w:r w:rsidRPr="008608AA">
        <w:t>McNeil, B.I., &amp; Matear, R.J. (2008). Southern Ocean acidification: A tipping point at 450-ppm atmospheric CO&lt;sub&gt;2&lt;/sub&gt;. Proceedings of the National Academy of Sciences, 105, 18860-18864, 10.1073/pnas.0806318105</w:t>
      </w:r>
    </w:p>
    <w:p w14:paraId="6253302A" w14:textId="77777777" w:rsidR="00787E9A" w:rsidRPr="008608AA" w:rsidRDefault="00787E9A" w:rsidP="00787E9A">
      <w:pPr>
        <w:ind w:left="709" w:hanging="709"/>
      </w:pPr>
      <w:r w:rsidRPr="008608AA">
        <w:t>McNeish, John-Andrew. "Extraction, protest and indigeneity in Bolivia: the TIPNIS effect." Latin American and Caribbean Ethnic Studies 8.2 (2013): 221-242.</w:t>
      </w:r>
    </w:p>
    <w:p w14:paraId="2C6BB4F1" w14:textId="77777777" w:rsidR="00787E9A" w:rsidRPr="008608AA" w:rsidRDefault="00787E9A" w:rsidP="00787E9A">
      <w:pPr>
        <w:ind w:left="709" w:hanging="709"/>
      </w:pPr>
      <w:r w:rsidRPr="008608AA">
        <w:t>McPhearson T., Auch R., Alberti M. (2013) Regional Assessment of North America: Urbanization Trends, Biodiversity Patterns, and Ecosystem Services. In: Elmqvist T. et al. (eds) Urbanization, Biodiversity and Ecosystem Services: Challenges and Opportunities. Springer, Dordrecht</w:t>
      </w:r>
    </w:p>
    <w:p w14:paraId="3B095ACA" w14:textId="77777777" w:rsidR="00787E9A" w:rsidRPr="008608AA" w:rsidRDefault="00787E9A" w:rsidP="00787E9A">
      <w:pPr>
        <w:ind w:left="709" w:hanging="709"/>
      </w:pPr>
      <w:r w:rsidRPr="008608AA">
        <w:t>Meissner, K. J., Lippmann, T., &amp; Gupta, A. S. (2012). Large-scale stress factors affecting coral reefs: open ocean sea surface temperature and surface seawater aragonite saturation over the next 400 years. Coral Reefs, 31(2), 309-319.</w:t>
      </w:r>
    </w:p>
    <w:p w14:paraId="70ECDE08" w14:textId="77777777" w:rsidR="00787E9A" w:rsidRPr="008608AA" w:rsidRDefault="00787E9A" w:rsidP="00787E9A">
      <w:pPr>
        <w:ind w:left="709" w:hanging="709"/>
      </w:pPr>
      <w:r w:rsidRPr="008608AA">
        <w:t>Mekonnen, M. M., M. Pahlow, M. M. Aldaya, E. Zarate, and A. Y. Hoekstra. 2015. Sustainability, efficiency and equitability of water consumption and pollution in latin America and the Caribbean. Sustainability (Switzerland) 7:2086–2112.</w:t>
      </w:r>
    </w:p>
    <w:p w14:paraId="4A0ED344" w14:textId="77777777" w:rsidR="00787E9A" w:rsidRPr="008608AA" w:rsidRDefault="00787E9A" w:rsidP="00787E9A">
      <w:pPr>
        <w:ind w:left="709" w:hanging="709"/>
      </w:pPr>
      <w:r w:rsidRPr="008608AA">
        <w:t>Melillo, J. M., T. (T. C. . Richmond, and G. W. Yohe. 2014. Climate Change Impacts in the United States.</w:t>
      </w:r>
    </w:p>
    <w:p w14:paraId="35CBA302" w14:textId="77777777" w:rsidR="00787E9A" w:rsidRPr="008608AA" w:rsidRDefault="00787E9A" w:rsidP="00787E9A">
      <w:pPr>
        <w:ind w:left="709" w:hanging="709"/>
      </w:pPr>
      <w:r w:rsidRPr="008608AA">
        <w:t>Mendelsohn, R., Emanuel, K., Chonabayashi, S., &amp; Bakkensen, L. (2012). The impact of climate change on global tropical cyclone damage. Nature climate change, 2(3), 205-209.</w:t>
      </w:r>
    </w:p>
    <w:p w14:paraId="60394C41" w14:textId="77777777" w:rsidR="00787E9A" w:rsidRPr="008608AA" w:rsidRDefault="00787E9A" w:rsidP="00787E9A">
      <w:pPr>
        <w:ind w:left="709" w:hanging="709"/>
      </w:pPr>
      <w:r w:rsidRPr="008608AA">
        <w:t>Mendes, D., and J. A. Marengo. 2010. Temporal downscaling: A comparison between artificial neural network and autocorrelation techniques over the Amazon Basin in present and future climate change scenarios. Theoretical and Applied Climatology 100:413–421.</w:t>
      </w:r>
    </w:p>
    <w:p w14:paraId="112F533A" w14:textId="77777777" w:rsidR="00787E9A" w:rsidRPr="008608AA" w:rsidRDefault="00787E9A" w:rsidP="00787E9A">
      <w:pPr>
        <w:ind w:left="709" w:hanging="709"/>
      </w:pPr>
      <w:r w:rsidRPr="008608AA">
        <w:t>Méndez-Lázaro, P., Muller-Karger, F.E., Otis, D., McCarthy, Matthew J., and Rodríguez, Ernesto. 2017. A heat vulnerability index to improve urban public health management in San Juan, Puerto Rico. International Journal of Biometeorology. doi:10.1007/s00484-017-1319-z.</w:t>
      </w:r>
    </w:p>
    <w:p w14:paraId="5F9883FA" w14:textId="77777777" w:rsidR="00787E9A" w:rsidRPr="008608AA" w:rsidRDefault="00787E9A" w:rsidP="00787E9A">
      <w:pPr>
        <w:ind w:left="709" w:hanging="709"/>
      </w:pPr>
      <w:r w:rsidRPr="008608AA">
        <w:t>Méndez-Lázaro, P., Nieves-Santiango, A., &amp; Miranda-Bermúdez, J. (2014). Trends in total rainfall, heavy rain events, and number of dry days in San Juan, Puerto Rico, 1955-2009. Ecology and Society, 19(2).</w:t>
      </w:r>
    </w:p>
    <w:p w14:paraId="790BF897" w14:textId="77777777" w:rsidR="00787E9A" w:rsidRPr="008608AA" w:rsidRDefault="00787E9A" w:rsidP="00787E9A">
      <w:pPr>
        <w:ind w:left="709" w:hanging="709"/>
      </w:pPr>
      <w:r w:rsidRPr="008608AA">
        <w:t>Mendonça, A. F., T. Armond, A. C. L. Camargo, N. F. Camargo, J. F. Ribeiro, P. L. Zangrandi, and E. M. Vieira. 2015. Effects of an extensive fire on arboreal small mammal populations in a neotropical savanna woodland. Journal of Mammalogy 96:368–379.</w:t>
      </w:r>
    </w:p>
    <w:p w14:paraId="5B4CB2D6" w14:textId="77777777" w:rsidR="00787E9A" w:rsidRPr="008608AA" w:rsidRDefault="00787E9A" w:rsidP="00787E9A">
      <w:pPr>
        <w:ind w:left="709" w:hanging="709"/>
      </w:pPr>
      <w:r w:rsidRPr="008608AA">
        <w:t>Merritt, D. M., &amp; Leroy Poff, N. (2010). Shifting dominance of riparian Populus and Tamarix along gradients of flow alteration in western North American rivers. Ecological Applications, 20(1), 135–152. https://doi.org/10.1890/08-2251.1</w:t>
      </w:r>
    </w:p>
    <w:p w14:paraId="2875B0DB" w14:textId="77777777" w:rsidR="00787E9A" w:rsidRPr="008608AA" w:rsidRDefault="00787E9A" w:rsidP="00787E9A">
      <w:pPr>
        <w:ind w:left="709" w:hanging="709"/>
      </w:pPr>
      <w:r w:rsidRPr="008608AA">
        <w:t>Meserve, P. L., Kelt, D. A., Gutiérrez, J. R., Previtali, M. A., &amp; Milstead, W. B. (2016). Biotic interactions and community dynamics in the semiarid thorn scrub of Bosque Fray Jorge National Park, north-central Chile: A paradigm revisited. Journal of Arid Environments, 126, 81–88. https://doi.org/10.1016/j.jaridenv.2015.08.016</w:t>
      </w:r>
    </w:p>
    <w:p w14:paraId="460E97BA" w14:textId="77777777" w:rsidR="00787E9A" w:rsidRPr="008608AA" w:rsidRDefault="00787E9A" w:rsidP="00787E9A">
      <w:pPr>
        <w:ind w:left="709" w:hanging="709"/>
      </w:pPr>
      <w:r w:rsidRPr="008608AA">
        <w:t>Meyfroidt, P., Carlson, K. M., Fagan, M. E., Gutiérrez-Vélez, V. H., Macedo, M. N., Curran, L. M., DeFries, R. S., Dyer, G. A., Gibbs, H. K., Lambin, E. F., Morton, D. C., &amp; Robiglio, V. (2014). Multiple pathways of commodity crop expansion in tropical forest landscapes. Environmental Research Letters, 9(7), 74012. https://doi.org/10.1088/1748-9326/9/7/074012</w:t>
      </w:r>
    </w:p>
    <w:p w14:paraId="38DF9010" w14:textId="77777777" w:rsidR="00787E9A" w:rsidRPr="008608AA" w:rsidRDefault="00787E9A" w:rsidP="00787E9A">
      <w:pPr>
        <w:ind w:left="709" w:hanging="709"/>
      </w:pPr>
      <w:r w:rsidRPr="008608AA">
        <w:t>Michalak, A.M., Anderson, E.J., Beletsky, D., Boland, S., Bosch, N.S., Bridgeman, T.B., Chaffin, J.D., Cho, K., Confesor, R., Daloğlu, I. and DePinto, J.V., 2013. Record-setting algal bloom in Lake Erie caused by agricultural and meteorological trends consistent with expected future conditions. Proceedings of the National Academy of Sciences, 110(16), pp.6448-6452.</w:t>
      </w:r>
    </w:p>
    <w:p w14:paraId="73A69950" w14:textId="77777777" w:rsidR="00787E9A" w:rsidRPr="008608AA" w:rsidRDefault="00787E9A" w:rsidP="00787E9A">
      <w:pPr>
        <w:ind w:left="709" w:hanging="709"/>
      </w:pPr>
      <w:r w:rsidRPr="008608AA">
        <w:t>Michener, W. K., E. R. Blood, K. L. Bildstein, M. M. Brinson, and L. R. Gardner. 1997. Climate Change , Hurricanes and Tropical Storms , and Rising Sea Level in Coastal Wetlands. Ecological Applications 7:770–801.</w:t>
      </w:r>
    </w:p>
    <w:p w14:paraId="59549AA8" w14:textId="77777777" w:rsidR="00787E9A" w:rsidRPr="008608AA" w:rsidRDefault="00787E9A" w:rsidP="00787E9A">
      <w:pPr>
        <w:ind w:left="709" w:hanging="709"/>
      </w:pPr>
      <w:r w:rsidRPr="008608AA">
        <w:t>Middeldorp, N., Morales, C., &amp; van der Haar, G. (2016). Social mobilisation and violence at the mining frontier: The case of Honduras. Extractive Industries and Society, 3(4), 930–938. http://doi.org/10.1016/j.exis.2016.10.008</w:t>
      </w:r>
    </w:p>
    <w:p w14:paraId="1DBDFDF8" w14:textId="77777777" w:rsidR="00787E9A" w:rsidRPr="008608AA" w:rsidRDefault="00787E9A" w:rsidP="00787E9A">
      <w:pPr>
        <w:ind w:left="709" w:hanging="709"/>
      </w:pPr>
      <w:r w:rsidRPr="008608AA">
        <w:t>Miglioranza, K.S., Gonzalez, M., Ondarza, P.M., Shimabukuro, V.M., Isla, F.I., Fillmann, G., Aizpún, J.E. and Moreno, V.J., 2013. Assessment of Argentinean Patagonia pollution: PBDEs, OCPs and PCBs in different matrices from the Río Negro basin. Science of the Total Environment, 452, pp.275-285.</w:t>
      </w:r>
    </w:p>
    <w:p w14:paraId="1CC4CBE4" w14:textId="77777777" w:rsidR="00787E9A" w:rsidRPr="008608AA" w:rsidRDefault="00787E9A" w:rsidP="00787E9A">
      <w:pPr>
        <w:ind w:left="709" w:hanging="709"/>
      </w:pPr>
      <w:r w:rsidRPr="008608AA">
        <w:t>Millar, C. I., &amp; Stephenson, N. L. (2015). Temperate forest health in an era of emerging megadisturbance. Science, 349(6250), 823-826.</w:t>
      </w:r>
    </w:p>
    <w:p w14:paraId="44CEB787" w14:textId="77777777" w:rsidR="00787E9A" w:rsidRPr="008608AA" w:rsidRDefault="00787E9A" w:rsidP="00787E9A">
      <w:pPr>
        <w:ind w:left="709" w:hanging="709"/>
      </w:pPr>
      <w:r w:rsidRPr="008608AA">
        <w:t xml:space="preserve">Millennium Ecosystem Assessment,(MEA) 2005. Ecosystems and Human Well-being: Synthesis. Island Press, Washington, DC. Copyright © 2005 World Resources Institute 139 pp </w:t>
      </w:r>
    </w:p>
    <w:p w14:paraId="49639DBE" w14:textId="77777777" w:rsidR="00787E9A" w:rsidRPr="008608AA" w:rsidRDefault="00787E9A" w:rsidP="00787E9A">
      <w:pPr>
        <w:ind w:left="709" w:hanging="709"/>
      </w:pPr>
      <w:r w:rsidRPr="008608AA">
        <w:t xml:space="preserve">Miller, K. A., Aguilar-Rosas, L. E., &amp; Pedroche, F. F. (2011). </w:t>
      </w:r>
      <w:r w:rsidRPr="008608AA">
        <w:rPr>
          <w:lang w:val="es-CO"/>
        </w:rPr>
        <w:t xml:space="preserve">A review of non-native seaweeds from California, USA and Baja California, Mexico = Reseña de algas marinas no nativas de California, EUA y Baja California, México. </w:t>
      </w:r>
      <w:r w:rsidRPr="008608AA">
        <w:t>Hidrobiológica, 21(3), 365–379. Retrieved from http://www.vliz.be/en/imis?module=ref&amp;refid=218235</w:t>
      </w:r>
    </w:p>
    <w:p w14:paraId="0DA76ADA" w14:textId="77777777" w:rsidR="00787E9A" w:rsidRPr="008608AA" w:rsidRDefault="00787E9A" w:rsidP="00787E9A">
      <w:pPr>
        <w:ind w:left="709" w:hanging="709"/>
      </w:pPr>
      <w:r w:rsidRPr="008608AA">
        <w:t>Miller, M. J. (2011). Persistent Illegal Logging in Costa Rica: The Role of Corruption Among Forestry Regulators. http://doi.org/10.1177/1070496510394319</w:t>
      </w:r>
    </w:p>
    <w:p w14:paraId="6ABAE517" w14:textId="77777777" w:rsidR="00787E9A" w:rsidRPr="008608AA" w:rsidRDefault="00787E9A" w:rsidP="00787E9A">
      <w:pPr>
        <w:ind w:left="709" w:hanging="709"/>
      </w:pPr>
      <w:r w:rsidRPr="008608AA">
        <w:t>Mills, D.J., Westlund, L., de Graaf, G., Kura, Y., Willman, R. and Kelleher, K., 2011. Under-reported and undervalued: small-scale fisheries in the developing world. Small-scale fisheries management: frameworks and approaches for the developing world, pp.1-15.</w:t>
      </w:r>
    </w:p>
    <w:p w14:paraId="1EF39087" w14:textId="77777777" w:rsidR="00787E9A" w:rsidRPr="008608AA" w:rsidRDefault="00787E9A" w:rsidP="00787E9A">
      <w:pPr>
        <w:ind w:left="709" w:hanging="709"/>
      </w:pPr>
      <w:r w:rsidRPr="008608AA">
        <w:rPr>
          <w:lang w:val="es-CO"/>
        </w:rPr>
        <w:t xml:space="preserve">Miloslavich, P., Martín, A., Klein, E., Díaz, Y., Lasso, C. A., Cárdenas, J. J., &amp; Lasso-Alcalá, O. M. (2011). </w:t>
      </w:r>
      <w:r w:rsidRPr="008608AA">
        <w:t>Biodiversity and Conservation of the Estuarine and Marine Ecosystems of the Venezuelan Orinoco Delta. In Ecosystems Biodiversity. InTech.</w:t>
      </w:r>
    </w:p>
    <w:p w14:paraId="00FC5779" w14:textId="77777777" w:rsidR="00787E9A" w:rsidRPr="008608AA" w:rsidRDefault="00787E9A" w:rsidP="00787E9A">
      <w:pPr>
        <w:ind w:left="709" w:hanging="709"/>
      </w:pPr>
      <w:r w:rsidRPr="008608AA">
        <w:t>Mistry, J., A. Berardi, V. Andrade, T. Kraho, P. Krah ˆ o, and O. Leonardos. ˆ 2005. Indigenous fire management in the cerrado of Brazil: the case of the Kraho of Tocant ˆ ´ıns. Human Ecology 33:365–386.</w:t>
      </w:r>
    </w:p>
    <w:p w14:paraId="6BB47AEC" w14:textId="77777777" w:rsidR="00787E9A" w:rsidRPr="008608AA" w:rsidRDefault="00787E9A" w:rsidP="00787E9A">
      <w:pPr>
        <w:ind w:left="709" w:hanging="709"/>
      </w:pPr>
      <w:r w:rsidRPr="008608AA">
        <w:t>Mitchell, R.T., Blagbrough, H.P. and VanEtten, R.C., 1953. The effects of DDT upon the survival and growth of nestling songbirds. The Journal of Wildlife Management, 17(1), pp.45-54.</w:t>
      </w:r>
    </w:p>
    <w:p w14:paraId="05DC91E5" w14:textId="77777777" w:rsidR="00787E9A" w:rsidRPr="008608AA" w:rsidRDefault="00787E9A" w:rsidP="00787E9A">
      <w:pPr>
        <w:ind w:left="709" w:hanging="709"/>
      </w:pPr>
      <w:r w:rsidRPr="008608AA">
        <w:t>Mitsch, W. J., &amp; Hernandez, M. E. (2013). Landscape and climate change threats to wetlands of North and Central America. Aquatic sciences, 75(1), 133-149.</w:t>
      </w:r>
    </w:p>
    <w:p w14:paraId="79D5BB41" w14:textId="77777777" w:rsidR="00787E9A" w:rsidRPr="008608AA" w:rsidRDefault="00787E9A" w:rsidP="00787E9A">
      <w:pPr>
        <w:ind w:left="709" w:hanging="709"/>
      </w:pPr>
      <w:r w:rsidRPr="008608AA">
        <w:t>Modernel, P., Rossing, W. A., Corbeels, M., Dogliotti, S., Picasso, V., &amp; Tittonell, P. (2016). Land use change and ecosystem service provision in Pampas and Campos grasslands of southern South America. Environmental Research Letters, 11(11), 113002.</w:t>
      </w:r>
    </w:p>
    <w:p w14:paraId="177DAE3E" w14:textId="77777777" w:rsidR="00787E9A" w:rsidRPr="008608AA" w:rsidRDefault="00787E9A" w:rsidP="00787E9A">
      <w:pPr>
        <w:ind w:left="709" w:hanging="709"/>
      </w:pPr>
      <w:r w:rsidRPr="008608AA">
        <w:t>Mol, J. H., J. S. Ramlal, C. Lietar, and M. Verloo. 2001. Mercury Contamination in Freshwater, Estuarine, and Marine Fishes in Relation to Small-Scale Gold Mining in Suriname, South America. Environmental Research Section A 86:183–197. &lt;http://www.idealibrary.com&gt;.</w:t>
      </w:r>
    </w:p>
    <w:p w14:paraId="4B923D4A" w14:textId="77777777" w:rsidR="00787E9A" w:rsidRPr="008608AA" w:rsidRDefault="00787E9A" w:rsidP="00787E9A">
      <w:pPr>
        <w:ind w:left="709" w:hanging="709"/>
      </w:pPr>
      <w:r w:rsidRPr="008608AA">
        <w:t>Molinos-Senante, M., &amp; Sala-Garrido, R. (2015). The impact of privatization approaches on the productivity growth of the water industry: A case study of Chile. Environmental Science &amp; Policy, 50, 166–179. http://doi.org/http://dx.doi.org/10.1016/j.envsci.2015.02.015</w:t>
      </w:r>
    </w:p>
    <w:p w14:paraId="444625A3" w14:textId="77777777" w:rsidR="00787E9A" w:rsidRPr="008608AA" w:rsidRDefault="00787E9A" w:rsidP="00787E9A">
      <w:pPr>
        <w:ind w:left="709" w:hanging="709"/>
      </w:pPr>
      <w:r w:rsidRPr="008608AA">
        <w:t>Moller, H., Berkes, F., Lyver, P. O. B., &amp; Kislalioglu, M. (2004). Combining science and traditional ecological knowledge: monitoring populations for co-management. Ecology and society, 9(3).</w:t>
      </w:r>
    </w:p>
    <w:p w14:paraId="521EAB51" w14:textId="77777777" w:rsidR="00787E9A" w:rsidRPr="008608AA" w:rsidRDefault="00787E9A" w:rsidP="00787E9A">
      <w:pPr>
        <w:ind w:left="709" w:hanging="709"/>
      </w:pPr>
      <w:r w:rsidRPr="008608AA">
        <w:t>Morales-Hidalgo, D., S. N. Oswalt, and E. Somanathan. 2015. Status and trends in global primary forest, protected areas, and areas designated for conservation of biodiversity from the Global Forest Resources Assessment 2015. Forest Ecology and Management 352:68–77.</w:t>
      </w:r>
    </w:p>
    <w:p w14:paraId="7D9F18BD" w14:textId="77777777" w:rsidR="00787E9A" w:rsidRPr="008608AA" w:rsidRDefault="00787E9A" w:rsidP="00787E9A">
      <w:pPr>
        <w:ind w:left="709" w:hanging="709"/>
      </w:pPr>
      <w:r w:rsidRPr="008608AA">
        <w:t>Morang, A., J.D. Rosati, and D.B. King, 2013. Regional Sediment Processes, Sediment Supply, and their Impact on the Louisiana Coast. Journal of Coastal Research 63, 141-165.</w:t>
      </w:r>
    </w:p>
    <w:p w14:paraId="5B851474" w14:textId="77777777" w:rsidR="00787E9A" w:rsidRPr="008608AA" w:rsidRDefault="00787E9A" w:rsidP="00787E9A">
      <w:pPr>
        <w:ind w:left="709" w:hanging="709"/>
      </w:pPr>
      <w:r w:rsidRPr="008608AA">
        <w:t>Morell, V. 2017. World's most endangered marine mammal down to 30. Science (Wash.) 355(6325): 558-559. </w:t>
      </w:r>
      <w:hyperlink r:id="rId1011" w:tgtFrame="_blank" w:history="1">
        <w:r w:rsidRPr="008608AA">
          <w:t>hdl.handle.net/10.1126/science.355.6325.558</w:t>
        </w:r>
      </w:hyperlink>
    </w:p>
    <w:p w14:paraId="1B6E817B" w14:textId="77777777" w:rsidR="00787E9A" w:rsidRPr="008608AA" w:rsidRDefault="00787E9A" w:rsidP="00787E9A">
      <w:pPr>
        <w:ind w:left="709" w:hanging="709"/>
      </w:pPr>
      <w:r w:rsidRPr="008608AA">
        <w:t>Moreno, T. A., &amp; Huber-Sannwald, E. (2011). Impacts of drought on agriculture in Northern Mexico. In Coping with Global Environmental Change, Disasters and Security (pp. 875-891). Springer, Berlin, Heidelberg.</w:t>
      </w:r>
    </w:p>
    <w:p w14:paraId="796A0F44" w14:textId="77777777" w:rsidR="00787E9A" w:rsidRPr="008608AA" w:rsidRDefault="00787E9A" w:rsidP="00787E9A">
      <w:pPr>
        <w:ind w:left="709" w:hanging="709"/>
      </w:pPr>
      <w:r w:rsidRPr="008608AA">
        <w:t>Moreno-Mateos, D., Barbier, E. B., Jones, P. C., Jones, H. P., Aronson, J., López-López, J. A., McCrackin, M. L., Meli, P., Montoya, D., &amp; Rey Benayas, J. M. (2017). Anthropogenic ecosystem disturbance and the recovery debt. Nature Communications, 8, 14163. https://doi.org/10.1038/ncomms14163</w:t>
      </w:r>
    </w:p>
    <w:p w14:paraId="74D89DC2" w14:textId="77777777" w:rsidR="00787E9A" w:rsidRPr="008608AA" w:rsidRDefault="00787E9A" w:rsidP="00787E9A">
      <w:pPr>
        <w:ind w:left="709" w:hanging="709"/>
      </w:pPr>
      <w:r w:rsidRPr="008608AA">
        <w:t>Morris, J.A.J. and J.L. Akins JL. 2009. Feeding ecology of invasive lionfish (Pterois volitans) in the Bahamian Archipelago. Environmental Biology of Fishes 86: 389–398.</w:t>
      </w:r>
    </w:p>
    <w:p w14:paraId="352917A2" w14:textId="77777777" w:rsidR="00787E9A" w:rsidRPr="008608AA" w:rsidRDefault="00787E9A" w:rsidP="00787E9A">
      <w:pPr>
        <w:ind w:left="709" w:hanging="709"/>
      </w:pPr>
      <w:r w:rsidRPr="008608AA">
        <w:t>Morton, D. C., Y. Le Page, R. DeFries, J. G. Collatz, and G. C. Hurtt. 2013. Understorey fire frequency and the fate of burned forest in southern Amazonia. Philosophical Transactions</w:t>
      </w:r>
    </w:p>
    <w:p w14:paraId="047C7AF2" w14:textId="77777777" w:rsidR="00787E9A" w:rsidRPr="008608AA" w:rsidRDefault="00787E9A" w:rsidP="00787E9A">
      <w:pPr>
        <w:ind w:left="709" w:hanging="709"/>
      </w:pPr>
      <w:r w:rsidRPr="008608AA">
        <w:t>Moss, C. 2008. Patagonia. A cultural history. Signal Books. Oxford. 299 pp. </w:t>
      </w:r>
    </w:p>
    <w:p w14:paraId="36854844" w14:textId="77777777" w:rsidR="00787E9A" w:rsidRPr="008608AA" w:rsidRDefault="00787E9A" w:rsidP="00787E9A">
      <w:pPr>
        <w:ind w:left="709" w:hanging="709"/>
      </w:pPr>
      <w:r w:rsidRPr="008608AA">
        <w:t>Mueller, N. D., J. S. Gerber, M. Johnston, D. K. Ray, N. Ramankutty, and J. a. Foley. 2012. Closing yield gaps through nutrient and water management. Nature 490:254–257. &lt;http://dx.doi.org/10.1038/nature11420&gt;.</w:t>
      </w:r>
    </w:p>
    <w:p w14:paraId="323234F1" w14:textId="77777777" w:rsidR="00787E9A" w:rsidRPr="008608AA" w:rsidRDefault="00787E9A" w:rsidP="00787E9A">
      <w:pPr>
        <w:ind w:left="709" w:hanging="709"/>
      </w:pPr>
      <w:r w:rsidRPr="008608AA">
        <w:t>Muhling, B. A., Lamkin, J. T., Alemany, F., García, A., Farley, J., Ingram, G. W., Berastegui, D. A., Reglero, P., &amp; Carrion, R. L. (2017). Reproduction and larval biology in tunas, and the importance of restricted area spawning grounds. Reviews in Fish Biology and Fisheries, 27(4), 697–732. https://doi.org/10.1007/s11160-017-9471-4</w:t>
      </w:r>
    </w:p>
    <w:p w14:paraId="4B25CC07" w14:textId="77777777" w:rsidR="00787E9A" w:rsidRPr="008608AA" w:rsidRDefault="00787E9A" w:rsidP="00787E9A">
      <w:pPr>
        <w:ind w:left="709" w:hanging="709"/>
      </w:pPr>
      <w:r w:rsidRPr="008608AA">
        <w:t>Muhling, B. A., Liu, Y., Lee, S. K., Lamkin, J. T., Roffer, M. A., Muller-Karger, F., &amp; Walter, J. F. (2015). Potential impact of climate change on the Intra-Americas Sea: Part 2. Implications for Atlantic bluefin tuna and skipjack tuna adult and larval habitats. Journal of Marine Systems, 148, 1–13. https://doi.org/10.1016/j.jmarsys.2015.01.010</w:t>
      </w:r>
    </w:p>
    <w:p w14:paraId="04111784" w14:textId="77777777" w:rsidR="00787E9A" w:rsidRPr="008608AA" w:rsidRDefault="00787E9A" w:rsidP="00787E9A">
      <w:pPr>
        <w:ind w:left="709" w:hanging="709"/>
      </w:pPr>
      <w:r w:rsidRPr="008608AA">
        <w:t>Mueller, S. A., Anderson, J. E., &amp; Wallington, T. J. (2011). Impact of biofuel production and other supply and demand factors on food price increases in 2008. Biomass and Bioenergy, 35(5), 1623-1632.</w:t>
      </w:r>
    </w:p>
    <w:p w14:paraId="1EBFD6CE" w14:textId="77777777" w:rsidR="00787E9A" w:rsidRPr="008608AA" w:rsidRDefault="00787E9A" w:rsidP="00787E9A">
      <w:pPr>
        <w:ind w:left="709" w:hanging="709"/>
      </w:pPr>
      <w:r w:rsidRPr="008608AA">
        <w:t xml:space="preserve">Muller-Karger, F., Digna Rueda-Roa, Francisco Chavez, Maria Kavanaugh, and Mitchell A. Roffer. 2017. Megaregions Among the Large Marine Ecosystems of the Americas. Environmental Development. </w:t>
      </w:r>
      <w:hyperlink r:id="rId1012" w:history="1">
        <w:r w:rsidRPr="008608AA">
          <w:t>http://dx.doi.org/10.1016/j.envdev.2017.01.005</w:t>
        </w:r>
      </w:hyperlink>
    </w:p>
    <w:p w14:paraId="40A06AFD" w14:textId="77777777" w:rsidR="00787E9A" w:rsidRPr="008608AA" w:rsidRDefault="00787E9A" w:rsidP="00787E9A">
      <w:pPr>
        <w:ind w:left="709" w:hanging="709"/>
      </w:pPr>
      <w:r w:rsidRPr="008608AA">
        <w:t>Muller-Karger, Frank E., Joseph P. Smith, Sandra Werner, Robert Chen, Mitchell Roffer, Yanyun Liu, Barbara Muhling, David Lindo-Atichati, John Lamkin, Sergio Cerdeira-Estrada, and David B. Enfield. 2015. Natural Variability of Surface Oceanographic Conditions in the Offshore Gulf of Mexico. Progress in Oceanography. 10.1016/j.pocean.2014.12.007.</w:t>
      </w:r>
    </w:p>
    <w:p w14:paraId="653530B1" w14:textId="77777777" w:rsidR="00787E9A" w:rsidRPr="008608AA" w:rsidRDefault="00787E9A" w:rsidP="00787E9A">
      <w:pPr>
        <w:ind w:left="709" w:hanging="709"/>
      </w:pPr>
      <w:r w:rsidRPr="008608AA">
        <w:t>Munden, J 2013, Reducing Negative Ecological Impacts of Capture Fisheries Through Gear Modification, Masters Thesis Biology Department, Faculty of Science, Memorial University of Newfoundland, St. Johns, Newfoundland and Labrador</w:t>
      </w:r>
    </w:p>
    <w:p w14:paraId="4499ECC3" w14:textId="77777777" w:rsidR="00787E9A" w:rsidRPr="008608AA" w:rsidRDefault="00787E9A" w:rsidP="00787E9A">
      <w:pPr>
        <w:ind w:left="709" w:hanging="709"/>
      </w:pPr>
      <w:r w:rsidRPr="008608AA">
        <w:rPr>
          <w:lang w:val="es-CO"/>
        </w:rPr>
        <w:t xml:space="preserve">Muñoz, A. A., Celedon-Neghme, C., Cavieres, L. A., &amp; Arroyo, M. T. K. (2005). </w:t>
      </w:r>
      <w:r w:rsidRPr="008608AA">
        <w:t>Bottom-up effects of nutrient availability on flower production, pollinator visitation, and seed output in a high-Andean shrub. Oecologia, 143(1), 126–135. https://doi.org/10.1007/s00442-004-1780-3</w:t>
      </w:r>
    </w:p>
    <w:p w14:paraId="601CD559" w14:textId="77777777" w:rsidR="00787E9A" w:rsidRPr="008608AA" w:rsidRDefault="00787E9A" w:rsidP="00787E9A">
      <w:pPr>
        <w:ind w:left="709" w:hanging="709"/>
      </w:pPr>
      <w:r w:rsidRPr="008608AA">
        <w:t>Munson, S. M., Belnap, J., &amp; Okin, G. S. (2011). Responses of wind erosion to climate-induced vegetation changes on the Colorado Plateau. Proceedings of the National Academy of Sciences, 108(10), 3854-3859.</w:t>
      </w:r>
    </w:p>
    <w:p w14:paraId="4D318F5F" w14:textId="77777777" w:rsidR="00787E9A" w:rsidRPr="008608AA" w:rsidRDefault="00787E9A" w:rsidP="00787E9A">
      <w:pPr>
        <w:ind w:left="709" w:hanging="709"/>
      </w:pPr>
      <w:r w:rsidRPr="008608AA">
        <w:t>Munthe, J., R. a D. Bodaly, B. a Branfireun, C. T. Driscoll, C. C. Gilmour, R. Harris, M. Horvat, M. Lucotte, and O. Malm. 2007. Recovery of mercury-contaminated fisheries. Ambio 36:33–44.</w:t>
      </w:r>
    </w:p>
    <w:p w14:paraId="015619C4" w14:textId="77777777" w:rsidR="00787E9A" w:rsidRPr="008608AA" w:rsidRDefault="00787E9A" w:rsidP="00787E9A">
      <w:pPr>
        <w:ind w:left="709" w:hanging="709"/>
        <w:rPr>
          <w:lang w:val="es-CO"/>
        </w:rPr>
      </w:pPr>
      <w:r w:rsidRPr="008608AA">
        <w:t xml:space="preserve">Murcia, C. &amp; Guariguata, M.R. (2014). </w:t>
      </w:r>
      <w:r w:rsidRPr="008608AA">
        <w:rPr>
          <w:lang w:val="es-CO"/>
        </w:rPr>
        <w:t xml:space="preserve">La Restauración Ecológica en Colombia: Tendencias, necesidades y oportunidades. Documentos Ocasionales 107, Bogor, Indonesia: CIFOR, 98pp. </w:t>
      </w:r>
    </w:p>
    <w:p w14:paraId="5F27170B" w14:textId="77777777" w:rsidR="00787E9A" w:rsidRPr="008608AA" w:rsidRDefault="00787E9A" w:rsidP="00787E9A">
      <w:pPr>
        <w:ind w:left="709" w:hanging="709"/>
      </w:pPr>
      <w:r w:rsidRPr="008608AA">
        <w:rPr>
          <w:lang w:val="es-CO"/>
        </w:rPr>
        <w:t xml:space="preserve">Murphy, G. E., &amp; Romanuk, T. N. (2014). </w:t>
      </w:r>
      <w:r w:rsidRPr="008608AA">
        <w:t>A meta</w:t>
      </w:r>
      <w:r w:rsidRPr="008608AA">
        <w:rPr>
          <w:rFonts w:ascii="Cambria Math" w:hAnsi="Cambria Math" w:cs="Cambria Math"/>
        </w:rPr>
        <w:t>‐</w:t>
      </w:r>
      <w:r w:rsidRPr="008608AA">
        <w:t>analysis of declines in local species richness from human disturbances. Ecology and evolution, 4(1), 91-103.</w:t>
      </w:r>
    </w:p>
    <w:p w14:paraId="79ABEC97" w14:textId="77777777" w:rsidR="00787E9A" w:rsidRPr="008608AA" w:rsidRDefault="00787E9A" w:rsidP="00787E9A">
      <w:pPr>
        <w:ind w:left="709" w:hanging="709"/>
      </w:pPr>
      <w:r w:rsidRPr="008608AA">
        <w:t>Myers-smith, I. H., B. C. Forbes, M. Wilmking, M. Hallinger, T. Lantz, D. Blok, K. D. Tape, M. Macias-fauria, U. Sass-klaassen, and L. Esther. 2011. Shrub expansion in tundra ecosystems : dynamics , impacts and research priorities. 045509.</w:t>
      </w:r>
    </w:p>
    <w:p w14:paraId="53A0623A" w14:textId="77777777" w:rsidR="00787E9A" w:rsidRPr="008608AA" w:rsidRDefault="00787E9A" w:rsidP="00787E9A">
      <w:pPr>
        <w:ind w:left="709" w:hanging="709"/>
      </w:pPr>
      <w:r w:rsidRPr="008608AA">
        <w:t>Myers, N., and J. Kent (2003). “New consumers: the influence of affluence on environment”.Published online 2 April 2003: </w:t>
      </w:r>
      <w:hyperlink r:id="rId1013" w:tgtFrame="_blank" w:history="1">
        <w:r w:rsidRPr="008608AA">
          <w:t>https://www.ncbi.nlm.nih.gov/pmc/articles/PMC153663/</w:t>
        </w:r>
      </w:hyperlink>
    </w:p>
    <w:p w14:paraId="4AE53132" w14:textId="77777777" w:rsidR="00787E9A" w:rsidRPr="008608AA" w:rsidRDefault="00787E9A" w:rsidP="00787E9A">
      <w:pPr>
        <w:ind w:left="709" w:hanging="709"/>
      </w:pPr>
      <w:r w:rsidRPr="008608AA">
        <w:t>Myers, N., and J. Kent (2003). “New consumers: the influence of affluence on environment”. Published online 2 April 2003: https://www.ncbi.nlm.nih.gov/pmc/articles/PMC153663/</w:t>
      </w:r>
    </w:p>
    <w:p w14:paraId="559D3B1B" w14:textId="77777777" w:rsidR="00787E9A" w:rsidRPr="008608AA" w:rsidRDefault="00787E9A" w:rsidP="00787E9A">
      <w:pPr>
        <w:ind w:left="709" w:hanging="709"/>
      </w:pPr>
      <w:r w:rsidRPr="008608AA">
        <w:t>Nascimento Jr., W. R., P. W. M. Souza-Filho, C. Proisy, R. M. Lucas, and A. Rosenqvist. 2013. Mapping changes in the largest continuous Amazonian mangrove belt using object-based classification of multisensor satellite imagery. Estuarine, Coastal and Shelf Science 117:83-93.</w:t>
      </w:r>
    </w:p>
    <w:p w14:paraId="0BF162E3" w14:textId="77777777" w:rsidR="00787E9A" w:rsidRPr="008608AA" w:rsidRDefault="00787E9A" w:rsidP="00787E9A">
      <w:pPr>
        <w:ind w:left="709" w:hanging="709"/>
      </w:pPr>
      <w:r w:rsidRPr="008608AA">
        <w:t>Nasi, R., A. Taber, and N. van Vliet. 2011. Empty forests, empty stomachs? Bushmeat and livelihoods in the Congo and Amazon Basins. International Forestry Review 13:355–368.</w:t>
      </w:r>
    </w:p>
    <w:p w14:paraId="466B5D68" w14:textId="77777777" w:rsidR="00787E9A" w:rsidRPr="008608AA" w:rsidRDefault="00787E9A" w:rsidP="00787E9A">
      <w:pPr>
        <w:ind w:left="709" w:hanging="709"/>
      </w:pPr>
      <w:r w:rsidRPr="008608AA">
        <w:t>Nasi, R., D. Brown, D. Wilkie, E. Bennett, C. Tutin, G. Van Tol, and T. Christophersen. 2008. Conservation and use of wildlife-based resources: the bushmeat crisis. Diversity. Volume 33. &lt;http://www.cbd.int/doc/publications/cbd-ts-33-en.pdf&gt;.</w:t>
      </w:r>
    </w:p>
    <w:p w14:paraId="1FEB2870" w14:textId="77777777" w:rsidR="00787E9A" w:rsidRPr="008608AA" w:rsidRDefault="00787E9A" w:rsidP="00787E9A">
      <w:pPr>
        <w:ind w:left="709" w:hanging="709"/>
      </w:pPr>
      <w:r w:rsidRPr="008608AA">
        <w:t xml:space="preserve">National Oceanic and Atmospheric Administration. </w:t>
      </w:r>
      <w:r w:rsidRPr="008608AA">
        <w:rPr>
          <w:lang w:val="es-CO"/>
        </w:rPr>
        <w:t xml:space="preserve">Global impacts of El Niño and La Niña. &lt;https://www.climate.gov/news-features/featured-images/global-impacts-el-ni%C3%B1o-and-la-ni%C3%B1a&gt;. </w:t>
      </w:r>
      <w:r w:rsidRPr="008608AA">
        <w:t>Accessed 6 Jun 2013.</w:t>
      </w:r>
    </w:p>
    <w:p w14:paraId="1B7B195F" w14:textId="77777777" w:rsidR="00787E9A" w:rsidRPr="008608AA" w:rsidRDefault="00787E9A" w:rsidP="00787E9A">
      <w:pPr>
        <w:ind w:left="709" w:hanging="709"/>
      </w:pPr>
      <w:r w:rsidRPr="008608AA">
        <w:t>Nations, F. A. O. (2013). Current world fertilizer trends and outlook to 2015; Rome.</w:t>
      </w:r>
    </w:p>
    <w:p w14:paraId="5C890C54" w14:textId="77777777" w:rsidR="00787E9A" w:rsidRPr="008608AA" w:rsidRDefault="00787E9A" w:rsidP="00787E9A">
      <w:pPr>
        <w:ind w:left="709" w:hanging="709"/>
      </w:pPr>
      <w:r w:rsidRPr="008608AA">
        <w:t>Nations, F. A. O. (2017). World fertilizer trends and outlook to 2020. SUMMARY REPORT</w:t>
      </w:r>
    </w:p>
    <w:p w14:paraId="10AAE2E9" w14:textId="77777777" w:rsidR="00787E9A" w:rsidRPr="008608AA" w:rsidRDefault="00787E9A" w:rsidP="00787E9A">
      <w:pPr>
        <w:ind w:left="709" w:hanging="709"/>
      </w:pPr>
      <w:r w:rsidRPr="008608AA">
        <w:t>United Nations &amp; The World Bank, (2010). Natural hazards, unnatural disasters: the economics of effective prevention. The World Bank.</w:t>
      </w:r>
    </w:p>
    <w:p w14:paraId="06CFC9CF" w14:textId="77777777" w:rsidR="00787E9A" w:rsidRPr="008608AA" w:rsidRDefault="00787E9A" w:rsidP="00787E9A">
      <w:pPr>
        <w:ind w:left="709" w:hanging="709"/>
      </w:pPr>
      <w:r w:rsidRPr="008608AA">
        <w:t>Neff, J. C., A. P. Ballantyne, G. L. Farmer, N. M. Mahowald, J. L. Conroy, C. C. Landry, J. T. Overpeck, T. H. Painter, C. R. Lawrence, and R. L. Reynolds. 2008. Increasing eolian dust deposition in the western United States linked to human activity. Nature Geoscience 1:189–195.</w:t>
      </w:r>
    </w:p>
    <w:p w14:paraId="6C7DB069" w14:textId="77777777" w:rsidR="00787E9A" w:rsidRPr="008608AA" w:rsidRDefault="00787E9A" w:rsidP="00787E9A">
      <w:pPr>
        <w:ind w:left="709" w:hanging="709"/>
      </w:pPr>
      <w:r w:rsidRPr="008608AA">
        <w:t>Nellemann, C., &amp; Corcoran, E. (2010). Dead planet, living planet: biodiversity and ecosystem restoration for sustainable development. United Nations Environment Programme (UNEP).</w:t>
      </w:r>
    </w:p>
    <w:p w14:paraId="2CE59E69" w14:textId="77777777" w:rsidR="00787E9A" w:rsidRPr="008608AA" w:rsidRDefault="00787E9A" w:rsidP="00787E9A">
      <w:pPr>
        <w:ind w:left="709" w:hanging="709"/>
      </w:pPr>
      <w:r w:rsidRPr="008608AA">
        <w:t>Nelson, E., G. Mendoza, J. Regetz, S. Polasky, H. Tallis, D. R. Cameron, K. M. A. Chan, G. C. Daily, J. Goldstein, P. M. Kareiva, E. Lonsdorf, R. Naidoo, T. H. Ricketts, and M. R. Shaw. 2009. Modeling multiple ecosystem services, biodiversity conservation, commodity production, and tradeoffs at landscape scales. Frontiers in Ecology and the Environment 7:4–11.</w:t>
      </w:r>
    </w:p>
    <w:p w14:paraId="7FFAFC21" w14:textId="77777777" w:rsidR="00787E9A" w:rsidRPr="008608AA" w:rsidRDefault="00787E9A" w:rsidP="00787E9A">
      <w:pPr>
        <w:ind w:left="709" w:hanging="709"/>
      </w:pPr>
      <w:r w:rsidRPr="008608AA">
        <w:t>Nelson, G. C., Dobermann, A., Nakicenovic, N., &amp; O'Neill, B. C. (2006). Anthropogenic drivers of ecosystem change: an overview. Ecology and Society, 11(2).</w:t>
      </w:r>
    </w:p>
    <w:p w14:paraId="5AA783F5" w14:textId="77777777" w:rsidR="00787E9A" w:rsidRPr="008608AA" w:rsidRDefault="00787E9A" w:rsidP="00787E9A">
      <w:pPr>
        <w:ind w:left="709" w:hanging="709"/>
      </w:pPr>
      <w:r w:rsidRPr="008608AA">
        <w:t>Neme, L. (2016). In Latin America, Illegal Wildlife Trade Explodes, Huffington Post, http://www.huffingtonpost.com/laurel-neme/in-latin-america-illegal-_b_8492020.html</w:t>
      </w:r>
    </w:p>
    <w:p w14:paraId="677E4583" w14:textId="77777777" w:rsidR="00787E9A" w:rsidRPr="008608AA" w:rsidRDefault="00787E9A" w:rsidP="00787E9A">
      <w:pPr>
        <w:ind w:left="709" w:hanging="709"/>
      </w:pPr>
      <w:r w:rsidRPr="008608AA">
        <w:t>Nepstad, D., Schwartzman, S., Bamberger, B., Santilli, M., Ray, D., Schlesinger, P., Lefebvre, P., Alencar, A., Prinz, E., Fiske, G., &amp; Rolla, A. (2006). Inhibition of Amazon deforestation and fire by parks and indigenous lands. Conservation Biology, 20(1), 65–73. https://doi.org/10.1111/j.1523-1739.2006.00351.x</w:t>
      </w:r>
    </w:p>
    <w:p w14:paraId="723DA7ED" w14:textId="77777777" w:rsidR="00787E9A" w:rsidRPr="008608AA" w:rsidRDefault="00787E9A" w:rsidP="00787E9A">
      <w:pPr>
        <w:ind w:left="709" w:hanging="709"/>
      </w:pPr>
      <w:r w:rsidRPr="008608AA">
        <w:t>Newbold, T., L. N. Hudson, S. L. Hill, S. Contu, I. Lysenko, R. A. Senior, L. Börger, D. J. Bennett, A. Choimes, B. Collen, J. Day, A. De Palma, S. Dıáz, S. Echeverria-Londoño, M. J. Edgar, A. Feldman, M. Garon, M. L. K. Harrison, T. Alhusseini, D. J. Ingram, Y. Itescu, J. Kattge, V. Kemp, L. Kirkpatrick, M. Kleyer, D. Laginha Pinto Correia, C. D. Martin, S. Meiri, M. Novosolov, Y. Pan, H. R. P. Phillips, D. W. Purves, A. Robinson, J. Simpson, S. L. Tuck, E. Weiher, H. J. White, R. M. Ewers, G. M. Mace, J. P. Scharlemann, and A. Purvis. 2015. Global effects of land use on local terrestrial biodiversity. Nature 520:45–.</w:t>
      </w:r>
    </w:p>
    <w:p w14:paraId="42601A2C" w14:textId="77777777" w:rsidR="00787E9A" w:rsidRPr="008608AA" w:rsidRDefault="00787E9A" w:rsidP="00787E9A">
      <w:pPr>
        <w:ind w:left="709" w:hanging="709"/>
      </w:pPr>
      <w:r w:rsidRPr="008608AA">
        <w:t>Newman, M. E., McLaren, K. P., &amp; Wilson, B. S. 2014a. Long-term socio-economic and spatial pattern drivers of land cover change in a Caribbean tropical moist forest, the Cockpit Country, Jamaica. Agriculture, Ecosystems &amp; Environment, 186, 185-200.</w:t>
      </w:r>
    </w:p>
    <w:p w14:paraId="7BD8D330" w14:textId="77777777" w:rsidR="00787E9A" w:rsidRPr="008608AA" w:rsidRDefault="00787E9A" w:rsidP="00787E9A">
      <w:pPr>
        <w:ind w:left="709" w:hanging="709"/>
      </w:pPr>
      <w:r w:rsidRPr="008608AA">
        <w:t>Newman, M.E., McLaren, K.P. and Wilson, B.S., 2014b. Assessing deforestation and fragmentation in a tropical moist forest over 68 years; the impact of roads and legal protection in the Cockpit Country, Jamaica. Forest Ecology and Management, 315, pp.138-152.</w:t>
      </w:r>
    </w:p>
    <w:p w14:paraId="482AC409" w14:textId="77777777" w:rsidR="00787E9A" w:rsidRPr="008608AA" w:rsidRDefault="00787E9A" w:rsidP="00787E9A">
      <w:pPr>
        <w:ind w:left="709" w:hanging="709"/>
      </w:pPr>
      <w:r w:rsidRPr="008608AA">
        <w:t>Newman, S. P., E. H. Meesters, C. S. Dryden, S. M. Williams, C. Sanchez, P. J. Mumby, and N. V. C. Polunin. 2015. Reef flattening effects on total richness and species responses in the Caribbean. Journal of Animal Ecology 84:1678–1689.</w:t>
      </w:r>
    </w:p>
    <w:p w14:paraId="2BAF60D1" w14:textId="77777777" w:rsidR="00787E9A" w:rsidRPr="008608AA" w:rsidRDefault="00787E9A" w:rsidP="00787E9A">
      <w:pPr>
        <w:ind w:left="709" w:hanging="709"/>
      </w:pPr>
      <w:r w:rsidRPr="008608AA">
        <w:t>Nielsen, J. L. 2014. Recovering the Interior Least Tern: A Fresh Approach to De-listing a Species. Bird Conservation 6–11.</w:t>
      </w:r>
    </w:p>
    <w:p w14:paraId="0221F9B6" w14:textId="77777777" w:rsidR="00787E9A" w:rsidRPr="008608AA" w:rsidRDefault="00787E9A" w:rsidP="00787E9A">
      <w:pPr>
        <w:ind w:left="709" w:hanging="709"/>
      </w:pPr>
      <w:r w:rsidRPr="008608AA">
        <w:t>NOAA. 2015. Recovering Threatened and Endangered Species: FY 2013-2014 Report to Congress. National Oceanic and Atmospheric Administration.</w:t>
      </w:r>
    </w:p>
    <w:p w14:paraId="6C756F0A" w14:textId="77777777" w:rsidR="00787E9A" w:rsidRPr="008608AA" w:rsidRDefault="00787E9A" w:rsidP="00787E9A">
      <w:pPr>
        <w:ind w:left="709" w:hanging="709"/>
      </w:pPr>
      <w:r w:rsidRPr="008608AA">
        <w:t>NOAA. 2016. Status of Stocks 2015: Annual Report to Congress on the Status of U.S. Fisheries. National Oceanic and Atmospheric Administration.</w:t>
      </w:r>
    </w:p>
    <w:p w14:paraId="7031CE1D" w14:textId="77777777" w:rsidR="00787E9A" w:rsidRPr="008608AA" w:rsidRDefault="00787E9A" w:rsidP="00787E9A">
      <w:pPr>
        <w:ind w:left="709" w:hanging="709"/>
      </w:pPr>
      <w:r w:rsidRPr="008608AA">
        <w:t xml:space="preserve">Nóbrega, G. N., X. L. Otero, F. Macías, and T. O. Ferreira. 2014. Phosphorus geochemistry in a Brazilian semiarid mangrove soil affected by shrimp farm effluents. Environmental Monitoring and Assessment 186:5749-5762. </w:t>
      </w:r>
    </w:p>
    <w:p w14:paraId="41BD2CA4" w14:textId="77777777" w:rsidR="00787E9A" w:rsidRPr="008608AA" w:rsidRDefault="00787E9A" w:rsidP="00787E9A">
      <w:pPr>
        <w:ind w:left="709" w:hanging="709"/>
      </w:pPr>
      <w:r w:rsidRPr="008608AA">
        <w:t>Nori, J., Urbina-Cardona, J. N., Loyola, R. D., Lescano, J. N., &amp; Leynaud, G. C. (2011). Climate change and American Bullfrog invasion: What could we expect in South America? PLoS ONE, 6(10), 1–8. https://doi.org/10.1371/journal.pone.0025718</w:t>
      </w:r>
    </w:p>
    <w:p w14:paraId="11665E08" w14:textId="77777777" w:rsidR="00787E9A" w:rsidRPr="008608AA" w:rsidRDefault="00787E9A" w:rsidP="00787E9A">
      <w:pPr>
        <w:ind w:left="709" w:hanging="709"/>
      </w:pPr>
      <w:r w:rsidRPr="008608AA">
        <w:t>Notaro, M., A. Mauss, and J. W. Williams. 2012. Projected vegetation changes for the American Southwest : combined dynamic modeling and bioclimatic-envelope approach. Ecological Applications 22:1365–1388.</w:t>
      </w:r>
    </w:p>
    <w:p w14:paraId="1F321334" w14:textId="77777777" w:rsidR="00787E9A" w:rsidRPr="008608AA" w:rsidRDefault="00787E9A" w:rsidP="00787E9A">
      <w:pPr>
        <w:ind w:left="709" w:hanging="709"/>
      </w:pPr>
      <w:r w:rsidRPr="008608AA">
        <w:t>Notaro, M., V. Bennington, and B. Lofgren. 2015a. Dynamical downscaling-based projections of Great Lakes’ water levels. Journal of Climate In Revisio:9721–9745.</w:t>
      </w:r>
    </w:p>
    <w:p w14:paraId="5F177181" w14:textId="77777777" w:rsidR="00787E9A" w:rsidRPr="008608AA" w:rsidRDefault="00787E9A" w:rsidP="00787E9A">
      <w:pPr>
        <w:ind w:left="709" w:hanging="709"/>
      </w:pPr>
      <w:r w:rsidRPr="008608AA">
        <w:t>Notaro, M., V. Bennington, and S. Vavrus. 2015b. Dynamically downscaled projections of lake-effect snow in the Great Lakes basin. Journal of Climate 28:1661–1684.</w:t>
      </w:r>
    </w:p>
    <w:p w14:paraId="216A43DF" w14:textId="77777777" w:rsidR="00787E9A" w:rsidRPr="00A3137A" w:rsidRDefault="00787E9A" w:rsidP="00787E9A">
      <w:pPr>
        <w:ind w:left="709" w:hanging="709"/>
        <w:rPr>
          <w:lang w:val="fr-FR"/>
        </w:rPr>
      </w:pPr>
      <w:r w:rsidRPr="008608AA">
        <w:t xml:space="preserve">Nunes, Luci. (2011). An Overview of Recent Natural Disasters in South America. </w:t>
      </w:r>
      <w:r w:rsidRPr="00A3137A">
        <w:rPr>
          <w:lang w:val="fr-FR"/>
        </w:rPr>
        <w:t>Bulletin des séances- Académie royale des sciences d'outre-mer. 57. 409-425.</w:t>
      </w:r>
    </w:p>
    <w:p w14:paraId="04BA8BF8" w14:textId="77777777" w:rsidR="00787E9A" w:rsidRPr="008608AA" w:rsidRDefault="00787E9A" w:rsidP="00787E9A">
      <w:pPr>
        <w:ind w:left="709" w:hanging="709"/>
      </w:pPr>
      <w:r w:rsidRPr="00A3137A">
        <w:rPr>
          <w:lang w:val="fr-FR"/>
        </w:rPr>
        <w:t xml:space="preserve">Nungesser, M., C. Saunders, C. Coronado-Molina, J. Obeysekera, J. Johnson, C. McVoy, and B. Benscoter. </w:t>
      </w:r>
      <w:r w:rsidRPr="008608AA">
        <w:t>2015. Potential Effects of Climate Change on Florida’s Everglades. Environmental Management 55:824–835.</w:t>
      </w:r>
    </w:p>
    <w:p w14:paraId="0398674A" w14:textId="77777777" w:rsidR="00787E9A" w:rsidRPr="008608AA" w:rsidRDefault="00787E9A" w:rsidP="00787E9A">
      <w:pPr>
        <w:ind w:left="709" w:hanging="709"/>
      </w:pPr>
      <w:r w:rsidRPr="008608AA">
        <w:t>Nurse, L.A., R.F. McLean, J. Agard, L.P. Briguglio, V. Duvat-Magnan, N. Pelesikoti, E. Tompkins, and A. Webb, 2014:Small islands. In: Climate Change 2014: Impacts, Adaptation, and Vulnerability. Part B: Regional Aspects.Contribution of Working Group II to the Fifth Assessment Report of the Intergovernmental Panel on ClimateChange [Barros, V.R., C.B. Field, D.J. Dokken, M.D. Mastrandrea, K.J. Mach, T.E. Bilir, M. Chatterjee, K.L. Ebi,Y.O. Estrada, R.C. Genova, B. Girma, E.S. Kissel, A.N. Levy, S. MacCracken, P.R. Mastrandrea, and L.L. White(eds.)]. Cambridge University Press, Cambridge, United Kingdom and New York, NY, USA, pp. 1613-165</w:t>
      </w:r>
    </w:p>
    <w:p w14:paraId="08BF2C39" w14:textId="77777777" w:rsidR="00787E9A" w:rsidRPr="008608AA" w:rsidRDefault="00787E9A" w:rsidP="00787E9A">
      <w:pPr>
        <w:ind w:left="709" w:hanging="709"/>
      </w:pPr>
      <w:r w:rsidRPr="008608AA">
        <w:t>Oken, E., Wright, R.O., Kleinman, K.P., Bellinger, D., Amarasiriwardena, C.J., Hu, H., Rich-Edwards, J.W. and Gillman, M.W., 2005. Maternal fish consumption, hair mercury, and infant cognition in a US cohort. Environmental health perspectives, 113(10), p.1376.</w:t>
      </w:r>
    </w:p>
    <w:p w14:paraId="29102BE0" w14:textId="77777777" w:rsidR="00787E9A" w:rsidRPr="008608AA" w:rsidRDefault="00787E9A" w:rsidP="00787E9A">
      <w:pPr>
        <w:ind w:left="709" w:hanging="709"/>
      </w:pPr>
      <w:r w:rsidRPr="008608AA">
        <w:t>Olivares, I., J. C. Svenning, P. M. van Bodegom, and H. Balslev. 2015. Effects of Warming and Drought on the Vegetation and Plant Diversity in the Amazon Basin. Botanical Review 81:42–69.</w:t>
      </w:r>
    </w:p>
    <w:p w14:paraId="6C6FE772" w14:textId="77777777" w:rsidR="00787E9A" w:rsidRPr="008608AA" w:rsidRDefault="00787E9A" w:rsidP="00787E9A">
      <w:pPr>
        <w:ind w:left="709" w:hanging="709"/>
      </w:pPr>
      <w:r w:rsidRPr="008608AA">
        <w:t>Oliver, T. H., &amp; Morecroft, M. D. (2014). Interactions between climate change and land use change on biodiversity: attribution problems, risks, and opportunities. Wiley Interdisciplinary Reviews: Climate Change, 5(3), 317-335.</w:t>
      </w:r>
    </w:p>
    <w:p w14:paraId="1C0EEDA9" w14:textId="77777777" w:rsidR="00787E9A" w:rsidRPr="008608AA" w:rsidRDefault="00787E9A" w:rsidP="00787E9A">
      <w:pPr>
        <w:ind w:left="709" w:hanging="709"/>
      </w:pPr>
      <w:r w:rsidRPr="008608AA">
        <w:t xml:space="preserve">Orensanz JM, Schwindt E, Pastorino G, Bortolus A, Casas G, Darrigran G, Elías R, López Gappa JJ, Obenat S, Pascual M, Penchaszadeh P, Píriz ML, Scarabino F, Spivak E &amp; Vallarino EA. 2002. No longer the pristine confines of the world ocean: a survey of exotic marine species in the southwestern Atlantic. Biological Invasions, 4: 115-143. </w:t>
      </w:r>
    </w:p>
    <w:p w14:paraId="03C03FF2" w14:textId="77777777" w:rsidR="00787E9A" w:rsidRPr="008608AA" w:rsidRDefault="00787E9A" w:rsidP="00787E9A">
      <w:pPr>
        <w:ind w:left="709" w:hanging="709"/>
      </w:pPr>
      <w:r w:rsidRPr="008608AA">
        <w:t>Orta-Martínez, M, Napolitano, D. A., MacLennan, G. J., O’Callaghan, C., Ciborowski, S., &amp; Fabregas, X. (2007). Impacts of petroleum activities for the Achuar people of the Peruvian Amazon: summary of existing evidence and research gaps. Environmental Research Letters, 2(4), 045006.</w:t>
      </w:r>
    </w:p>
    <w:p w14:paraId="0161C856" w14:textId="77777777" w:rsidR="00787E9A" w:rsidRPr="008608AA" w:rsidRDefault="00787E9A" w:rsidP="00787E9A">
      <w:pPr>
        <w:ind w:left="709" w:hanging="709"/>
      </w:pPr>
      <w:r w:rsidRPr="008608AA">
        <w:t>Orta-Martínez, M., and M. Finer. 2010. Oil frontiers and indigenous resistance in the Peruvian Amazon. Ecological Economics 70:207–218.</w:t>
      </w:r>
    </w:p>
    <w:p w14:paraId="1F4F3F2B" w14:textId="77777777" w:rsidR="00787E9A" w:rsidRPr="008608AA" w:rsidRDefault="00787E9A" w:rsidP="00787E9A">
      <w:pPr>
        <w:ind w:left="709" w:hanging="709"/>
      </w:pPr>
      <w:r w:rsidRPr="008608AA">
        <w:t>Paavola, J. (2007). Institutions and environmental governance: A reconceptualization. Ecological Economics, 63(1), 93–103. http://doi.org/10.1016/j.ecolecon.2006.09.026</w:t>
      </w:r>
    </w:p>
    <w:p w14:paraId="3E3729BE" w14:textId="77777777" w:rsidR="00787E9A" w:rsidRPr="008608AA" w:rsidRDefault="00787E9A" w:rsidP="00787E9A">
      <w:pPr>
        <w:ind w:left="709" w:hanging="709"/>
      </w:pPr>
      <w:r w:rsidRPr="008608AA">
        <w:t>Pacyna, E.G., Pacyna, J.M., Steenhuisen, F. and Wilson, S., 2006. Global anthropogenic mercury emission inventory for 2000. Atmospheric environment, 40(22), pp.4048-4063.</w:t>
      </w:r>
    </w:p>
    <w:p w14:paraId="65492A30" w14:textId="77777777" w:rsidR="00787E9A" w:rsidRPr="008608AA" w:rsidRDefault="00787E9A" w:rsidP="00787E9A">
      <w:pPr>
        <w:ind w:left="709" w:hanging="709"/>
      </w:pPr>
      <w:r w:rsidRPr="008608AA">
        <w:t>Padoch, C., E. Brondizio, S. Costa, M. Pinedo-Vasquez, R. R. Sears, and A. Siqueria. 2008. Urban forest and rural cities: Multi-sited households, consumption patterns, and forest resources in Amazonia. Ecology and Society 13.</w:t>
      </w:r>
    </w:p>
    <w:p w14:paraId="42E45299" w14:textId="77777777" w:rsidR="00787E9A" w:rsidRPr="008608AA" w:rsidRDefault="00787E9A" w:rsidP="00787E9A">
      <w:pPr>
        <w:ind w:left="709" w:hanging="709"/>
      </w:pPr>
      <w:r w:rsidRPr="008608AA">
        <w:t>Painter, T. H., J. S. Deems, J. Belnap, A. F. Hamlet, C. C. Landry, and B. Udall. 2010. Response of Colorado River runoff to dust radiative forcing in snow. Proceedings of the National Academy of Sciences of the United States of America 107:17125–17130.</w:t>
      </w:r>
    </w:p>
    <w:p w14:paraId="4C418548" w14:textId="77777777" w:rsidR="00787E9A" w:rsidRPr="008608AA" w:rsidRDefault="00787E9A" w:rsidP="00787E9A">
      <w:pPr>
        <w:ind w:left="709" w:hanging="709"/>
      </w:pPr>
      <w:r w:rsidRPr="008608AA">
        <w:t>Palmer, M. A., Moglen, G. E., Bockstael, N. E., Brooks, S., Pizzuto, J. E., Wiegand, C., &amp; VanNess, K. (2002). The ecological consequences of changing land use for running waters, with a case study of urbanizing watersheds in Maryland. Science, 287, 1170-1774.</w:t>
      </w:r>
    </w:p>
    <w:p w14:paraId="08A302DC" w14:textId="77777777" w:rsidR="00787E9A" w:rsidRPr="00A3137A" w:rsidRDefault="00787E9A" w:rsidP="00787E9A">
      <w:pPr>
        <w:ind w:left="709" w:hanging="709"/>
        <w:rPr>
          <w:lang w:val="fr-FR"/>
        </w:rPr>
      </w:pPr>
      <w:r w:rsidRPr="008608AA">
        <w:t xml:space="preserve">Pandolfi, J. M., S. R. Connolly, D. J. Marshall, and A. L. Cohen. 2011. Projecting Coral Reef Futures Under Global Warming and Ocean Acidification. </w:t>
      </w:r>
      <w:r w:rsidRPr="00A3137A">
        <w:rPr>
          <w:lang w:val="fr-FR"/>
        </w:rPr>
        <w:t>Science 333:418–422. &lt;http://science.sciencemag.org/content/333/6041/418\nhttp://science.sciencemag.org/content/sci/333/6041/418.full.pdf\nhttp://www.ncbi.nlm.nih.gov/pubmed/21778392&gt;.</w:t>
      </w:r>
    </w:p>
    <w:p w14:paraId="70B17461" w14:textId="77777777" w:rsidR="00787E9A" w:rsidRPr="008608AA" w:rsidRDefault="00787E9A" w:rsidP="00787E9A">
      <w:pPr>
        <w:ind w:left="709" w:hanging="709"/>
      </w:pPr>
      <w:r w:rsidRPr="008608AA">
        <w:t>Pardo, L. H., M. E. Fenn, C. L. Goodale, L. H. Geiser, C. T. Driscoll, E. B. Allen, J. S. Baron, R. Bobbink, W. D. Bowman, C. M. Clark, B. Emmett, F. S. Gilliam, T. L. Greaver, S. J. Hall, E. A. Lilleskov, L. Liu, J. A. Lynch, K. J. Nadelhoffer, S. S. Perakis, M. J. Robin-Abbott, J. L. Stoddard, K. C. Weathers, and R. L. Dennis. 2011. Effects of nitrogen deposition and empirical nitrogen critical loads for ecoregions of the United States. Ecological Applications 21:3049–3082.</w:t>
      </w:r>
    </w:p>
    <w:p w14:paraId="62CAB1DC" w14:textId="77777777" w:rsidR="00787E9A" w:rsidRPr="008608AA" w:rsidRDefault="00787E9A" w:rsidP="00787E9A">
      <w:pPr>
        <w:ind w:left="709" w:hanging="709"/>
      </w:pPr>
      <w:r w:rsidRPr="008608AA">
        <w:t>Paredes, M. (2016). The glocalization of mining conflict: Cases from Peru. Extractive Industries and Society, 3(4), 1046–1057. http://doi.org/10.1016/j.exis.2016.08.007</w:t>
      </w:r>
    </w:p>
    <w:p w14:paraId="1516323F" w14:textId="77777777" w:rsidR="00787E9A" w:rsidRPr="008608AA" w:rsidRDefault="00787E9A" w:rsidP="00787E9A">
      <w:pPr>
        <w:ind w:left="709" w:hanging="709"/>
      </w:pPr>
      <w:r w:rsidRPr="008608AA">
        <w:t>Paris, C. B., D. Aldana-Aranda, M. P. Perez, and J. Kool. 2008. Connectivity of Queen conch, Strombus gigas, populations from Mexico. Pages 439–443 in. Proceedings of the 11th International Coral Reef Symposium. Ft. Lauderdale.</w:t>
      </w:r>
    </w:p>
    <w:p w14:paraId="0F924EE4" w14:textId="77777777" w:rsidR="00787E9A" w:rsidRPr="008608AA" w:rsidRDefault="00787E9A" w:rsidP="00787E9A">
      <w:pPr>
        <w:ind w:left="709" w:hanging="709"/>
      </w:pPr>
      <w:r w:rsidRPr="008608AA">
        <w:t>Parrotta, J. A. (1992). The role of plantation forests in rehabilitating degraded tropical ecosystems. Agriculture, Ecosystems &amp; Environment, 41(2), 115-133.</w:t>
      </w:r>
    </w:p>
    <w:p w14:paraId="7AE9368C" w14:textId="77777777" w:rsidR="00787E9A" w:rsidRPr="008608AA" w:rsidRDefault="00787E9A" w:rsidP="00787E9A">
      <w:pPr>
        <w:ind w:left="709" w:hanging="709"/>
      </w:pPr>
      <w:r w:rsidRPr="008608AA">
        <w:t>Parrotta, J. A., Turnbull, J. W., &amp; Jones, N. (1997). Catalyzing native forest regeneration on degraded tropical lands. Forest Ecology and Management, 99(1), 1-7.</w:t>
      </w:r>
    </w:p>
    <w:p w14:paraId="5FDEA220" w14:textId="77777777" w:rsidR="00787E9A" w:rsidRPr="008608AA" w:rsidRDefault="00787E9A" w:rsidP="00787E9A">
      <w:pPr>
        <w:ind w:left="709" w:hanging="709"/>
      </w:pPr>
      <w:r w:rsidRPr="008608AA">
        <w:t>Paruelo J. M., Jobbágy, E.G, Oesterheld M. Golluscio R.A. and Aguiar M.R. 2007. The grasslands and steppes of Patagonia and the Rio de la Plata plains. In T. Veblen, K. Young and A. Orme (eds.). Chapter 14. The Physical Geography of South America. The Oxford Regional Environments Series, Oxford University Press. Pp 232-248.</w:t>
      </w:r>
    </w:p>
    <w:p w14:paraId="7AFE9CD5" w14:textId="77777777" w:rsidR="00787E9A" w:rsidRPr="008608AA" w:rsidRDefault="00787E9A" w:rsidP="00787E9A">
      <w:pPr>
        <w:ind w:left="709" w:hanging="709"/>
      </w:pPr>
      <w:r w:rsidRPr="008608AA">
        <w:t>Passos, C. J. S., and D. Mergler. 2008. Human mercury exposure and adverse health effects in the Amazon : a review Exposição humana ao mercúrio e efeitos adversos à saúde na Amazônia : uma revisão. Revisao 24:503–520.</w:t>
      </w:r>
    </w:p>
    <w:p w14:paraId="14D39736" w14:textId="77777777" w:rsidR="00787E9A" w:rsidRPr="008608AA" w:rsidRDefault="00787E9A" w:rsidP="00787E9A">
      <w:pPr>
        <w:ind w:left="709" w:hanging="709"/>
      </w:pPr>
      <w:r w:rsidRPr="008608AA">
        <w:t xml:space="preserve">Pastick, N.J., P. Duffy, H. Genet, T.S. Rupp, B.K. Wylie, K.D. Johnson, M.T. Jorgenson, N. Bliss, A.D. McGuire, E.E. Jafarov, and J.F. Knight. 2017. Historical and projected trends in landscape drivers affecting carbon dynamics in Alaska. Ecological Applications. In press. </w:t>
      </w:r>
    </w:p>
    <w:p w14:paraId="145CA19A" w14:textId="77777777" w:rsidR="00787E9A" w:rsidRPr="008608AA" w:rsidRDefault="00787E9A" w:rsidP="00787E9A">
      <w:pPr>
        <w:ind w:left="709" w:hanging="709"/>
      </w:pPr>
      <w:r w:rsidRPr="008608AA">
        <w:t xml:space="preserve">Pastorino, G., Penchaszadeh, P.E., Schejter, L. and C.S. Bremec. 2000. Rapana venosa (Valenciennes, 1846) (Mollusca: Muricidae): a new gastropod in South Atlantic waters. Journal of Shellfish Research, 19(2): 897-899. </w:t>
      </w:r>
    </w:p>
    <w:p w14:paraId="40B04027" w14:textId="77777777" w:rsidR="00787E9A" w:rsidRPr="008608AA" w:rsidRDefault="00787E9A" w:rsidP="00787E9A">
      <w:pPr>
        <w:ind w:left="709" w:hanging="709"/>
      </w:pPr>
      <w:r w:rsidRPr="00CE0821">
        <w:t xml:space="preserve">Pastorino, G.; Darrigran, G.; Martin, S.M. &amp; L. Lunaschi, L. 1993. </w:t>
      </w:r>
      <w:r w:rsidRPr="008608AA">
        <w:rPr>
          <w:lang w:val="es-CO"/>
        </w:rPr>
        <w:t xml:space="preserve">Limnoperna fortunei (Dunker, 1857)(Mytilidae), nuevo bivalvo invasor en aguas del Rio da Prata. </w:t>
      </w:r>
      <w:r w:rsidRPr="008608AA">
        <w:t>Neotropica,39: 34-36.</w:t>
      </w:r>
    </w:p>
    <w:p w14:paraId="4499DC47" w14:textId="77777777" w:rsidR="00787E9A" w:rsidRPr="008608AA" w:rsidRDefault="00787E9A" w:rsidP="00787E9A">
      <w:pPr>
        <w:ind w:left="709" w:hanging="709"/>
        <w:rPr>
          <w:lang w:val="es-CO"/>
        </w:rPr>
      </w:pPr>
      <w:r w:rsidRPr="008608AA">
        <w:t xml:space="preserve">Patterson, K. L., J. W. Porter, K. B. Ritchie, S. W. Polson, E. Mueller, E. C. Peters, D. L. Santavy, and G. W. Smith. 2002. The etiology of white pox, a lethal disease of the Caribbean elkhorn coral, Acropora palmata. Proceedings of the National Academy of Sciences of the United States of America 99:8725–30. </w:t>
      </w:r>
      <w:r w:rsidRPr="008608AA">
        <w:rPr>
          <w:lang w:val="es-CO"/>
        </w:rPr>
        <w:t>&lt;http://www.pnas.org/content/99/13/8725.short&gt;.</w:t>
      </w:r>
    </w:p>
    <w:p w14:paraId="5DA46DE7" w14:textId="77777777" w:rsidR="00787E9A" w:rsidRPr="008608AA" w:rsidRDefault="00787E9A" w:rsidP="00787E9A">
      <w:pPr>
        <w:ind w:left="709" w:hanging="709"/>
      </w:pPr>
      <w:r w:rsidRPr="008608AA">
        <w:rPr>
          <w:lang w:val="es-CO"/>
        </w:rPr>
        <w:t xml:space="preserve">Pauchard A, R García, S Zalba, M Sarasola, R Zenni, S Ziller &amp; MA Nuñez. </w:t>
      </w:r>
      <w:r w:rsidRPr="008608AA">
        <w:t>2015. Pine Invasions in South America: Reducing Their Ecological Impacts Through Active Management. En: João Canning-Clode (Ed.) Biological Invasions in Changing Ecosystems Vectors, Ecological Impacts, Management and Predictions. p 318 - 342. De Gruyter Open, Berlin.</w:t>
      </w:r>
    </w:p>
    <w:p w14:paraId="08191628" w14:textId="77777777" w:rsidR="00787E9A" w:rsidRPr="008608AA" w:rsidRDefault="00787E9A" w:rsidP="00787E9A">
      <w:pPr>
        <w:ind w:left="709" w:hanging="709"/>
      </w:pPr>
      <w:r w:rsidRPr="008608AA">
        <w:t>Pauchard, A., &amp; Barbosa, O. (2013). Regional assessment of Latin America: rapid urban development and social economic inequity threaten biodiversity hotspots. In Urbanization, biodiversity and ecosystem services: Challenges and opportunities (pp. 589-608). Springer Netherlands.</w:t>
      </w:r>
    </w:p>
    <w:p w14:paraId="4573AAD6" w14:textId="77777777" w:rsidR="00787E9A" w:rsidRPr="008608AA" w:rsidRDefault="00787E9A" w:rsidP="00787E9A">
      <w:pPr>
        <w:ind w:left="709" w:hanging="709"/>
      </w:pPr>
      <w:r w:rsidRPr="008608AA">
        <w:t>Pauchard, A., Kueffer, C., Dietz, H., Daehler, C. C., Alexander, J., Edwards, P. J., Arévalo, J. R., Cavieres, L. A., Guisan, A., Haider, S., Jakobs, G., McDougall, K., Millar, C. I., Naylor, B. J., Parks, C. G., Rew, L. J., &amp; Seipel, T. (2009). Ain’t no mountain high enough: Plant invasions reaching new elevations. Frontiers in Ecology and the Environment, 7(9), 479–486. https://doi.org/10.1890/080072</w:t>
      </w:r>
    </w:p>
    <w:p w14:paraId="016DB753" w14:textId="77777777" w:rsidR="00787E9A" w:rsidRPr="008608AA" w:rsidRDefault="00787E9A" w:rsidP="00787E9A">
      <w:pPr>
        <w:ind w:left="709" w:hanging="709"/>
      </w:pPr>
      <w:r w:rsidRPr="008608AA">
        <w:t>Pauchard, A., Milbau, A., Albihn, A., Alexander, J., Burgess, T., Daehler, C., Englund, G., Essl, F., Evengard, B., Greenwood, G. B., Haider, S., Lenoir, J., McDougall, K., Muths, E., Nuñez, M. A., Olofsson, J., Pellissier, L., Rabitsch, W., Rew, L. J., Robertson, M., Sanders, N., &amp; Kueffer, C. (2016). Non-native and native organisms moving into high elevation and high latitude ecosystems in an era of climate change: new challenges for ecology and conservation. Biological Invasions, 18(2), 345–353. https://doi.org/10.1007/s10530-015-1025-x</w:t>
      </w:r>
    </w:p>
    <w:p w14:paraId="691EADFC" w14:textId="77777777" w:rsidR="00787E9A" w:rsidRPr="008608AA" w:rsidRDefault="00787E9A" w:rsidP="00787E9A">
      <w:pPr>
        <w:ind w:left="709" w:hanging="709"/>
      </w:pPr>
      <w:r w:rsidRPr="008608AA">
        <w:t>Pauchard, A., Nuñez, M. A., Raffaele, E., Bustamante, R., Ledgard, N. J., Relva, M. A., &amp; Simberloff, D. (2010). Introduced conifer invasion in South America: an update. The Scientific Magazine of the International Biogeography Society, 2(2), 34–36.</w:t>
      </w:r>
    </w:p>
    <w:p w14:paraId="59059DA6" w14:textId="77777777" w:rsidR="00787E9A" w:rsidRPr="008608AA" w:rsidRDefault="00787E9A" w:rsidP="00787E9A">
      <w:pPr>
        <w:ind w:left="709" w:hanging="709"/>
      </w:pPr>
      <w:r w:rsidRPr="008608AA">
        <w:t>Pauly, D. and Palomares, M.L., 2005. Fishing down marine food web: it is far more pervasive than we thought. Bulletin of Marine Science, 76(2), pp.197-212.</w:t>
      </w:r>
    </w:p>
    <w:p w14:paraId="477DCD55" w14:textId="77777777" w:rsidR="00787E9A" w:rsidRPr="008608AA" w:rsidRDefault="00787E9A" w:rsidP="00787E9A">
      <w:pPr>
        <w:ind w:left="709" w:hanging="709"/>
      </w:pPr>
      <w:r w:rsidRPr="008608AA">
        <w:t>Pauly, D., &amp; Palomares, M. (2005). Fishing down marine food web: It is far more persuasive than we thought. Bulletin of Marine Science, 76(2), 197–211. https://doi.org/10.1126/science.279.5352.860</w:t>
      </w:r>
    </w:p>
    <w:p w14:paraId="403B2286" w14:textId="77777777" w:rsidR="00787E9A" w:rsidRPr="008608AA" w:rsidRDefault="00787E9A" w:rsidP="00787E9A">
      <w:pPr>
        <w:ind w:left="709" w:hanging="709"/>
      </w:pPr>
      <w:r w:rsidRPr="008608AA">
        <w:t xml:space="preserve">Pawlak, A. R., Mack, R. N., Busch, J. W., &amp; Novak, S. J. (2014). Invasion of Bromus tectorum (L.) into California and the American Southwest: rapid, multi-directional and genetically diverse. Biological Invasions, 17(1), 287–306. </w:t>
      </w:r>
    </w:p>
    <w:p w14:paraId="37A8570E" w14:textId="77777777" w:rsidR="00787E9A" w:rsidRPr="008608AA" w:rsidRDefault="00787E9A" w:rsidP="00787E9A">
      <w:pPr>
        <w:ind w:left="709" w:hanging="709"/>
      </w:pPr>
      <w:r w:rsidRPr="008608AA">
        <w:t>Pelc, R., Max, L., Norden, W., Roberts, S., Silverstein, R., &amp; Wilding, S. (2015). Further action on bycatch could boost United States fisheries performance. Marine Policy, 56, 56–60. https://doi.org/10.1016/J.MARPOL.2015.02.002</w:t>
      </w:r>
    </w:p>
    <w:p w14:paraId="50208EE6" w14:textId="77777777" w:rsidR="00787E9A" w:rsidRPr="008608AA" w:rsidRDefault="00787E9A" w:rsidP="00787E9A">
      <w:pPr>
        <w:ind w:left="709" w:hanging="709"/>
        <w:rPr>
          <w:lang w:val="es-CO"/>
        </w:rPr>
      </w:pPr>
      <w:r w:rsidRPr="008608AA">
        <w:t xml:space="preserve">Penchaszadeh PE, Boltovskoy D, Borges M, Cataldo D, Damborenea C, et al. (2005) Invasores. </w:t>
      </w:r>
      <w:r w:rsidRPr="008608AA">
        <w:rPr>
          <w:lang w:val="es-CO"/>
        </w:rPr>
        <w:t>Invertebrados exóticos en el Río de la Plata y región marina aledaña. Buenos Aires: Eudeba. pp 377.</w:t>
      </w:r>
    </w:p>
    <w:p w14:paraId="0C16ED17" w14:textId="77777777" w:rsidR="00787E9A" w:rsidRPr="008608AA" w:rsidRDefault="00787E9A" w:rsidP="00787E9A">
      <w:pPr>
        <w:ind w:left="709" w:hanging="709"/>
      </w:pPr>
      <w:r w:rsidRPr="008608AA">
        <w:rPr>
          <w:lang w:val="es-CO"/>
        </w:rPr>
        <w:t xml:space="preserve">Pereira, H. M., Leadley, P., Proença, V., Alkemade, R., Scharlemann, J. P. W., Fernandez-Manjarrés, J. F., Araújo, M. B., Balvanera, P., Biggs, R., Cheung, W. W. L., Chini, L., Cooper, H. D., Gilman, E. L., Guénette, S., Hurtt, G. C., Huntington, H. P., Mace, G. M., Oberdorff, T., Revenga, C., Rodrigues, P., Scholes, R. J., Sumaila, U. R., &amp; Walpole, M. (2010). </w:t>
      </w:r>
      <w:r w:rsidRPr="008608AA">
        <w:t>Scenarios for global biodiversity in the 21st century. Science, 330(6010), 1496–1501. https://doi.org/10.1126/science.1196624</w:t>
      </w:r>
    </w:p>
    <w:p w14:paraId="66925588" w14:textId="77777777" w:rsidR="00787E9A" w:rsidRPr="008608AA" w:rsidRDefault="00787E9A" w:rsidP="00787E9A">
      <w:pPr>
        <w:ind w:left="709" w:hanging="709"/>
      </w:pPr>
      <w:r w:rsidRPr="008608AA">
        <w:t>Perelman, S. B., Chaneton, E. J., Batista, W. B., Burkart, S. E., &amp; León, R. J. C. (2007). Habitat stress, species pool size and biotic resistance influence exotic plant richness in the Flooding Pampa grasslands. Journal of Ecology, 95(4), 662–673. https://doi.org/10.1111/j.1365-2745.2007.01255.x</w:t>
      </w:r>
    </w:p>
    <w:p w14:paraId="16E83BDE" w14:textId="77777777" w:rsidR="00787E9A" w:rsidRPr="008608AA" w:rsidRDefault="00787E9A" w:rsidP="00787E9A">
      <w:pPr>
        <w:ind w:left="709" w:hanging="709"/>
      </w:pPr>
      <w:r w:rsidRPr="008608AA">
        <w:t>Pérez-Ramírez, M., Castrejón, M., Gutiérrez, N. L., &amp; Defeo, O. (2016). The Marine Stewardship Council certification in Latin America and the Caribbean: A review of experiences, potentials and pitfalls. Fisheries Research, 182, 50–58. http://doi.org/10.1016/j.fishres.2015.11.007</w:t>
      </w:r>
    </w:p>
    <w:p w14:paraId="664D77FB" w14:textId="77777777" w:rsidR="00787E9A" w:rsidRPr="008608AA" w:rsidRDefault="00787E9A" w:rsidP="00787E9A">
      <w:pPr>
        <w:ind w:left="709" w:hanging="709"/>
      </w:pPr>
      <w:r w:rsidRPr="008608AA">
        <w:t>Pérez, C. 2004. Technological Revolutions, Paradigm Shifts and Socio-Institutional Change. Globalization, económic development and inequality an alternative perspective 217–242.</w:t>
      </w:r>
    </w:p>
    <w:p w14:paraId="4500CB33" w14:textId="77777777" w:rsidR="00787E9A" w:rsidRPr="008608AA" w:rsidRDefault="00787E9A" w:rsidP="00787E9A">
      <w:pPr>
        <w:ind w:left="709" w:hanging="709"/>
      </w:pPr>
      <w:r w:rsidRPr="008608AA">
        <w:t>Perner, K., Leipe, T., Dellwig, O., Kuijpers, A., Mikkelsen, N., Andersen, T.J. and Harff, J., 2010. Contamination of arctic Fjord sediments by Pb–Zn mining at Maarmorilik in central West Greenland. Marine pollution bulletin, 60(7), pp.1065-1073.</w:t>
      </w:r>
    </w:p>
    <w:p w14:paraId="4A803666" w14:textId="77777777" w:rsidR="00787E9A" w:rsidRPr="008608AA" w:rsidRDefault="00787E9A" w:rsidP="00787E9A">
      <w:pPr>
        <w:ind w:left="709" w:hanging="709"/>
      </w:pPr>
      <w:r w:rsidRPr="008608AA">
        <w:t>Peterson, T. C., Heim Jr, R. R., Hirsch, R., Kaiser, D. P., Brooks, H., Diffenbaugh, N. S., ... &amp; Katz, R. W. (2013). Monitoring and understanding changes in heat waves, cold waves, floods, and droughts in the United States: state of knowledge. Bulletin of the American Meteorological Society, 94(6), 821-834.</w:t>
      </w:r>
    </w:p>
    <w:p w14:paraId="33B3BCD9" w14:textId="77777777" w:rsidR="00787E9A" w:rsidRPr="008608AA" w:rsidRDefault="00787E9A" w:rsidP="00787E9A">
      <w:pPr>
        <w:ind w:left="709" w:hanging="709"/>
      </w:pPr>
      <w:r w:rsidRPr="008608AA">
        <w:t>Phillips, O. L., L. E. O. C. Aragão, S. L. Lewis, J. B. Fisher, J. Lloyd, G. López-gonzález, Y. Malhi, A. Monteagudo, J. Peacock, C. A. Quesada, G. Van Der Heijden, S. Almeida, I. Amaral, L. Arroyo, G. Aymard, R. Tim, O. Bánki, L. Blanc, D. Bonal, P. Brando, J. Chave, Á. Cristina, A. De Oliveira, N. D. Cardozo, C. I. Czimczik, S. Science, N. Series, N. Mar, O. L. Phillips, L. E. C. Aragao, S. L. Lewis, J. B. Fisher, J. Lloyd, G. Lopez-gonzalez, Y. Malhi, A. Monteagudo, J. Peacock, V. Der Heijden, T. R. Baker, O. Ba, A. Cristina, J. Chave, L. Blanc, E. Gloor, N. Higuchi, E. Jimenez, G. Lloyd, P. Meir, K. Chao, T. Erwin, A. Di Fiore, E. H. C, H. Keeling, T. Killeen, W. F. Laurance, A. P. Cruz, and N. C. A. Pitman. 2009. Drought Sensitivity of the Amazon Rainforest. Science 323:1344–1347.</w:t>
      </w:r>
    </w:p>
    <w:p w14:paraId="1160A9DA" w14:textId="77777777" w:rsidR="00787E9A" w:rsidRPr="00CE0821" w:rsidRDefault="00787E9A" w:rsidP="00787E9A">
      <w:pPr>
        <w:ind w:left="709" w:hanging="709"/>
      </w:pPr>
      <w:r w:rsidRPr="008608AA">
        <w:t xml:space="preserve">Philpot, S., Hipel, K., &amp; Johnson, P. (2016). Strategic analysis of a water rights conflict in the south western United States. </w:t>
      </w:r>
      <w:r w:rsidRPr="00CE0821">
        <w:t>Journal of Environmental Management, 180, 247–256. http://doi.org/10.1016/j.jenvman.2016.05.027</w:t>
      </w:r>
    </w:p>
    <w:p w14:paraId="4460BB94" w14:textId="77777777" w:rsidR="00787E9A" w:rsidRPr="008608AA" w:rsidRDefault="00787E9A" w:rsidP="00787E9A">
      <w:pPr>
        <w:ind w:left="709" w:hanging="709"/>
        <w:rPr>
          <w:lang w:val="es-CO"/>
        </w:rPr>
      </w:pPr>
      <w:r w:rsidRPr="00CE0821">
        <w:t xml:space="preserve">Pichs, Ramon (2008). </w:t>
      </w:r>
      <w:r w:rsidRPr="008608AA">
        <w:rPr>
          <w:lang w:val="es-CO"/>
        </w:rPr>
        <w:t>Cambio climático, globalización y subdesarrollo. Editorial Científico-Técnica, La Habana.</w:t>
      </w:r>
    </w:p>
    <w:p w14:paraId="4E08FD1F" w14:textId="77777777" w:rsidR="00787E9A" w:rsidRPr="008608AA" w:rsidRDefault="00787E9A" w:rsidP="00787E9A">
      <w:pPr>
        <w:ind w:left="709" w:hanging="709"/>
        <w:rPr>
          <w:lang w:val="es-CO"/>
        </w:rPr>
      </w:pPr>
      <w:r w:rsidRPr="008608AA">
        <w:rPr>
          <w:lang w:val="es-CO"/>
        </w:rPr>
        <w:t>Pichs, Ramón (2012). Recursos naturales, economía mundial y crisis ambiental. Ruth Casa Editorial / Editorial Científico-Técnica, La Habana, 2012</w:t>
      </w:r>
    </w:p>
    <w:p w14:paraId="49E37EBB" w14:textId="77777777" w:rsidR="00787E9A" w:rsidRPr="008608AA" w:rsidRDefault="00787E9A" w:rsidP="00787E9A">
      <w:pPr>
        <w:ind w:left="709" w:hanging="709"/>
      </w:pPr>
      <w:r w:rsidRPr="008608AA">
        <w:rPr>
          <w:lang w:val="es-CO"/>
        </w:rPr>
        <w:t xml:space="preserve">Pimentel, D., Lach, L., Zuniga, R., &amp; Morrison, D. (2000). </w:t>
      </w:r>
      <w:r w:rsidRPr="008608AA">
        <w:t>Environmental and economic costs of nonindigenous species in the United States. Bio Science, 50(1), 53–64.</w:t>
      </w:r>
    </w:p>
    <w:p w14:paraId="37819810" w14:textId="77777777" w:rsidR="00787E9A" w:rsidRPr="008608AA" w:rsidRDefault="00787E9A" w:rsidP="00787E9A">
      <w:pPr>
        <w:ind w:left="709" w:hanging="709"/>
      </w:pPr>
      <w:r w:rsidRPr="008608AA">
        <w:t>Pinkerton, E., &amp; Davis, R. (2015). Neoliberalism and the politics of enclosure in North American small-scale fisheries. Marine Policy, 61, 303–312. http://doi.org/10.1016/j.marpol.2015.03.025</w:t>
      </w:r>
    </w:p>
    <w:p w14:paraId="01B36646" w14:textId="77777777" w:rsidR="00787E9A" w:rsidRPr="008608AA" w:rsidRDefault="00787E9A" w:rsidP="00787E9A">
      <w:pPr>
        <w:ind w:left="709" w:hanging="709"/>
      </w:pPr>
      <w:r w:rsidRPr="008608AA">
        <w:t xml:space="preserve">Pinto, L. F. G., &amp; McDermott, C. (2013). Equity and forest certification - A case study in Brazil. Forest Policy and Economics, 30, 23–29. </w:t>
      </w:r>
    </w:p>
    <w:p w14:paraId="5A673158" w14:textId="77777777" w:rsidR="00787E9A" w:rsidRPr="008608AA" w:rsidRDefault="00787E9A" w:rsidP="00787E9A">
      <w:pPr>
        <w:ind w:left="709" w:hanging="709"/>
      </w:pPr>
      <w:r w:rsidRPr="008608AA">
        <w:t xml:space="preserve">Pirard, R., &amp; Belna, K. (2012). Agriculture and Deforestation: Is REDD+ Rooted in Evidence? Forest Policy and Economics, 21, 62–70. </w:t>
      </w:r>
      <w:hyperlink r:id="rId1014" w:history="1">
        <w:r w:rsidRPr="008608AA">
          <w:t>http://doi.org/10.1016/j.forpol.2012.01.012</w:t>
        </w:r>
      </w:hyperlink>
    </w:p>
    <w:p w14:paraId="43DCD35D" w14:textId="77777777" w:rsidR="00787E9A" w:rsidRPr="008608AA" w:rsidRDefault="00787E9A" w:rsidP="00787E9A">
      <w:pPr>
        <w:ind w:left="709" w:hanging="709"/>
        <w:rPr>
          <w:lang w:val="es-CO"/>
        </w:rPr>
      </w:pPr>
      <w:r w:rsidRPr="008608AA">
        <w:t xml:space="preserve">Pirrone, N., Cinnirella, S., Feng, X., Finkelman, R.B., Friedli, H.R., Leaner, J., Mason, R., Mukherjee, A.B., Stracher, G.B., Streets, D.G. and Telmer, K., 2010. Global mercury emissions to the atmosphere from anthropogenic and natural sources. </w:t>
      </w:r>
      <w:r w:rsidRPr="008608AA">
        <w:rPr>
          <w:lang w:val="es-CO"/>
        </w:rPr>
        <w:t>Atmospheric Chemistry and Physics, 10(13), pp.5951-5964.</w:t>
      </w:r>
    </w:p>
    <w:p w14:paraId="09A571D4" w14:textId="77777777" w:rsidR="00787E9A" w:rsidRPr="008608AA" w:rsidRDefault="00787E9A" w:rsidP="00787E9A">
      <w:pPr>
        <w:ind w:left="709" w:hanging="709"/>
      </w:pPr>
      <w:r w:rsidRPr="008608AA">
        <w:rPr>
          <w:lang w:val="es-CO"/>
        </w:rPr>
        <w:t xml:space="preserve">Pivello, V. R. (2014). Invasões Biológicas no Cerrado Brasileiro: Efeitos da Introdução de Espécies Exóticas sobre a Biodiversidade. </w:t>
      </w:r>
      <w:r w:rsidRPr="008608AA">
        <w:t>Ecologia. Retrieved from http://www.ecologia.info/cerrado.htm</w:t>
      </w:r>
    </w:p>
    <w:p w14:paraId="2B0C79BB" w14:textId="77777777" w:rsidR="00787E9A" w:rsidRPr="008608AA" w:rsidRDefault="00787E9A" w:rsidP="00787E9A">
      <w:pPr>
        <w:ind w:left="709" w:hanging="709"/>
      </w:pPr>
      <w:r w:rsidRPr="008608AA">
        <w:t>Pivello, V. R. 2011. The use of fire in the cerrado and Amazonian rainforests of Brazil: Past and present. Fire Ecology 7:24–39.</w:t>
      </w:r>
    </w:p>
    <w:p w14:paraId="18A6B8C1" w14:textId="77777777" w:rsidR="00787E9A" w:rsidRPr="008608AA" w:rsidRDefault="00787E9A" w:rsidP="00787E9A">
      <w:pPr>
        <w:ind w:left="709" w:hanging="709"/>
      </w:pPr>
      <w:r w:rsidRPr="008608AA">
        <w:t>Poff, N. L., J. D. Allan, M. B. Bain, J. R. Karr, K. L. Prestegaard, B. D. Richter, R. E. Sparks, and J. C. Stromberg. 1997. The Natural Flow Regime. BioScience 47:769–784.</w:t>
      </w:r>
    </w:p>
    <w:p w14:paraId="4F0A71F8" w14:textId="77777777" w:rsidR="00787E9A" w:rsidRPr="008608AA" w:rsidRDefault="00787E9A" w:rsidP="00787E9A">
      <w:pPr>
        <w:ind w:left="709" w:hanging="709"/>
      </w:pPr>
      <w:r w:rsidRPr="008608AA">
        <w:t>Pokorny, B., Pacheco, P., Cerutti, P.O., van Solinge, T.B., Kissinger, G., &amp; Tacconi, L.  (2016). Drivers of Illegal and Destructive Forest Use. In: Kleinschmit, D., Mansourian, S., Wildburger, C., Purret, A., International Union of Forest Research Organizations, G., &amp; Tacconi, L. (2016). Illegal logging and related timber trade : dimensions, drivers, impacts and responses : a global scientific rapid response assessment report. International Union of Forest Research Organizations (IUFRO), World Series no. 35. Vienna, Austria. Retrieved from http://www.cifor.org/library/6312/drivers-of-illegal-and-destructive-forest-use/</w:t>
      </w:r>
    </w:p>
    <w:p w14:paraId="5EC3173A" w14:textId="77777777" w:rsidR="00787E9A" w:rsidRPr="008608AA" w:rsidRDefault="00787E9A" w:rsidP="00787E9A">
      <w:pPr>
        <w:ind w:left="709" w:hanging="709"/>
      </w:pPr>
      <w:r w:rsidRPr="008608AA">
        <w:t>Pollock, H. S., Z. A. Cheviron, T. J. Agin, and J. D. Brawn. 2015. Absence of microclimate selectivity in insectivorous birds of the Neotropical forest understory. Biological Conservation 188:116–125. Elsevier Ltd. &lt;http://dx.doi.org/10.1016/j.biocon.2014.11.013&gt;.</w:t>
      </w:r>
    </w:p>
    <w:p w14:paraId="7D5EE7A1" w14:textId="77777777" w:rsidR="00787E9A" w:rsidRPr="008608AA" w:rsidRDefault="00787E9A" w:rsidP="00787E9A">
      <w:pPr>
        <w:ind w:left="709" w:hanging="709"/>
      </w:pPr>
      <w:r w:rsidRPr="008608AA">
        <w:t>Ponce</w:t>
      </w:r>
      <w:r w:rsidRPr="008608AA">
        <w:rPr>
          <w:rFonts w:ascii="Cambria Math" w:hAnsi="Cambria Math" w:cs="Cambria Math"/>
        </w:rPr>
        <w:t>‐</w:t>
      </w:r>
      <w:r w:rsidRPr="008608AA">
        <w:t>Reyes, R., Nicholson, E., Baxter, P. W., Fuller, R. A., &amp; Possingham, H. (2013). Extinction risk in cloud forest fragments under climate change and habitat loss. Diversity and Distributions, 19(5-6), 518-529.</w:t>
      </w:r>
    </w:p>
    <w:p w14:paraId="3CE90A58" w14:textId="77777777" w:rsidR="00787E9A" w:rsidRPr="008608AA" w:rsidRDefault="00787E9A" w:rsidP="00787E9A">
      <w:pPr>
        <w:ind w:left="709" w:hanging="709"/>
      </w:pPr>
      <w:r w:rsidRPr="008608AA">
        <w:t>Poore, J. A. (2016). Call for conservation: Abandoned pasture. Science, 351(6269), 132-132.</w:t>
      </w:r>
    </w:p>
    <w:p w14:paraId="533E9960" w14:textId="77777777" w:rsidR="00787E9A" w:rsidRPr="008608AA" w:rsidRDefault="00787E9A" w:rsidP="00787E9A">
      <w:pPr>
        <w:ind w:left="709" w:hanging="709"/>
      </w:pPr>
      <w:r w:rsidRPr="008608AA">
        <w:t>Poorter, L., F. Bongers, T. M. Aide, A. M. Almeyda Zambrano, P. Balvanera, J. M. Becknell, V. Boukili, P. H. S. Brancalion, E. N. Broadbent, R. L. Chazdon, D. Craven, J. S. de Almeida-Cortez, G. A. L. Cabral, B. H. J. de Jong, J. S. Denslow, D. H. Dent, S. J. DeWalt, J. M. Dupuy, S. M. Durán, M. M. Espírito-Santo, M. C. Fandino, R. G. César, J. S. Hall, J. L. Hernandez-Stefanoni, C. C. Jakovac, A. B. Junqueira, D. Kennard, S. G. Letcher, J.-C. Licona, M. Lohbeck, E. Marín-Spiotta, M. Martínez-Ramos, P. Massoca, J. A. Meave, R. Mesquita, F. Mora, R. Muñoz, R. Muscarella, Y. R. F. Nunes, S. Ochoa-Gaona, A. A. de Oliveira, E. Orihuela-Belmonte, M. Peña-Claros, E. A. Pérez-García, D. Piotto, J. S. Powers, J. Rodríguez-Velázquez, I. E. Romero-Pérez, J. Ruíz, J. G. Saldarriaga, A. Sanchez-Azofeifa, N. B. Schwartz, M. K. Steininger, N. G. Swenson, M. Toledo, M. Uriarte, M. van Breugel, H. van der Wal, M. D. M. Veloso, H. F. M. Vester, A. Vicentini, I. C. G. Vieira, T. V. Bentos, G. B. Williamson, and D. M. A. Rozendaal. 2016. Biomass resilience of Neotropical secondary forests. Nature 530:211–214. &lt;http://www.nature.com/doifinder/10.1038/nature16512&gt;.</w:t>
      </w:r>
    </w:p>
    <w:p w14:paraId="238ED5B0" w14:textId="77777777" w:rsidR="00787E9A" w:rsidRPr="008608AA" w:rsidRDefault="00787E9A" w:rsidP="00787E9A">
      <w:pPr>
        <w:ind w:left="709" w:hanging="709"/>
      </w:pPr>
      <w:r w:rsidRPr="008608AA">
        <w:t>Pope III, C.A., Ezzati, M. and Dockery, D.W., 2009. Fine-particulate air pollution and life expectancy in the United States. N Engl J Med, 2009(360), pp.376-386.</w:t>
      </w:r>
    </w:p>
    <w:p w14:paraId="39A8844C" w14:textId="77777777" w:rsidR="00787E9A" w:rsidRPr="008608AA" w:rsidRDefault="00787E9A" w:rsidP="00787E9A">
      <w:pPr>
        <w:ind w:left="709" w:hanging="709"/>
        <w:rPr>
          <w:lang w:val="es-CO"/>
        </w:rPr>
      </w:pPr>
      <w:r w:rsidRPr="008608AA">
        <w:t>Porter, E.M., Bowman, W.D., Clark, C.M., Compton, J.E., Pardo, L.H. and Soong, J.L., 2013. Interactive effects of anthropogenic nitrogen enrichment and climate change on terrestrial and aquatic biodiversity. </w:t>
      </w:r>
      <w:r w:rsidRPr="008608AA">
        <w:rPr>
          <w:lang w:val="es-CO"/>
        </w:rPr>
        <w:t>Biogeochemistry, 114(1-3), pp.93-120.</w:t>
      </w:r>
    </w:p>
    <w:p w14:paraId="10E83CC4" w14:textId="77777777" w:rsidR="00787E9A" w:rsidRPr="008608AA" w:rsidRDefault="00787E9A" w:rsidP="00787E9A">
      <w:pPr>
        <w:ind w:left="709" w:hanging="709"/>
      </w:pPr>
      <w:r w:rsidRPr="008608AA">
        <w:rPr>
          <w:lang w:val="es-CO"/>
        </w:rPr>
        <w:t xml:space="preserve">Portillo-Quintero, C. A., &amp; Sánchez-Azofeifa, G. A. (2010). </w:t>
      </w:r>
      <w:r w:rsidRPr="008608AA">
        <w:t>Extent and conservation of tropical dry forests in the Americas. Biological Conservation, 143(1), 144-155.</w:t>
      </w:r>
    </w:p>
    <w:p w14:paraId="386FE6EC" w14:textId="77777777" w:rsidR="00787E9A" w:rsidRPr="008608AA" w:rsidRDefault="00787E9A" w:rsidP="00787E9A">
      <w:pPr>
        <w:ind w:left="709" w:hanging="709"/>
      </w:pPr>
      <w:r w:rsidRPr="008608AA">
        <w:t>Possingham, H. P., &amp; Wilson, K. A. (2005). Biodiversity: Turning up the heat on hotspots. Nature, 436(7053), 919-920.</w:t>
      </w:r>
    </w:p>
    <w:p w14:paraId="37FABCA8" w14:textId="77777777" w:rsidR="00787E9A" w:rsidRPr="008608AA" w:rsidRDefault="00787E9A" w:rsidP="00787E9A">
      <w:pPr>
        <w:ind w:left="709" w:hanging="709"/>
      </w:pPr>
      <w:r w:rsidRPr="008608AA">
        <w:t>Pozo, K., Urrutia, R., Barra, R., Mariottini, M., Treutler, H.C., Araneda, A. and Focardi, S., 2007. Records of polychlorinated biphenyls (PCBs) in sediments of four remote Chilean Andean Lakes. Chemosphere, 66(10), pp.1911-1921.</w:t>
      </w:r>
    </w:p>
    <w:p w14:paraId="29245977" w14:textId="77777777" w:rsidR="00787E9A" w:rsidRPr="008608AA" w:rsidRDefault="00787E9A" w:rsidP="00787E9A">
      <w:pPr>
        <w:ind w:left="709" w:hanging="709"/>
      </w:pPr>
      <w:r w:rsidRPr="008608AA">
        <w:t>Pozo, K., Urrutia, R., Mariottini, M., Rudolph, A., Banguera, J., Pozo, K., Parra, O. and Focardi, S., 2014. Levels of persistent organic pollutants (POPs) in sediments from Lenga estuary, central Chile. Marine pollution bulletin, 79(1), pp.338-341.</w:t>
      </w:r>
    </w:p>
    <w:p w14:paraId="7288FB4D" w14:textId="77777777" w:rsidR="00787E9A" w:rsidRPr="008608AA" w:rsidRDefault="00787E9A" w:rsidP="00787E9A">
      <w:pPr>
        <w:ind w:left="709" w:hanging="709"/>
      </w:pPr>
      <w:r w:rsidRPr="008608AA">
        <w:t>Price, D. T., R. I. Alfaro, K. J. Brown, M. D. Flannigan, R. A. Fleming, E. H. Hogg, M. P. Girardin, T. Lakusta, M. Johnston, D. W. Mckenney, J. H. Pedlar, T. Stratton, R. N. Sturrock, I. D. Thompson, J. A. Trofymow, and L. A. Venier. 2013. Anticipating the consequences of climate change for Canada’s boreal forest ecosystems. Environmental Reviews 365:322–365. &lt;http://www.nrcresearchpress.com/doi/full/10.1139/er-2013-0042&gt;.</w:t>
      </w:r>
    </w:p>
    <w:p w14:paraId="0C1DA758" w14:textId="77777777" w:rsidR="00787E9A" w:rsidRPr="008608AA" w:rsidRDefault="00787E9A" w:rsidP="00787E9A">
      <w:pPr>
        <w:ind w:left="709" w:hanging="709"/>
      </w:pPr>
      <w:r w:rsidRPr="008608AA">
        <w:t>Prieto-Torres, D. A., A. G. Navarro-Sig??enza, D. Santiago-Alarcon, and O. R. Rojas-Soto. 2015. Response of the endangered tropical dry forests to climate change and the role of Mexican Protected Areas for their conservation. Global Change Biology 364–379.</w:t>
      </w:r>
    </w:p>
    <w:p w14:paraId="68A9A3DF" w14:textId="77777777" w:rsidR="00787E9A" w:rsidRPr="008608AA" w:rsidRDefault="00787E9A" w:rsidP="00787E9A">
      <w:pPr>
        <w:ind w:left="709" w:hanging="709"/>
      </w:pPr>
      <w:r w:rsidRPr="008608AA">
        <w:t>Purcell, S. W., A. Mercier, C. Conand, J. F. Hamel, M. V. Toral-Granda, A. Lovatelli, and S. Uthicke. 2013. Sea cucumber fisheries: Global analysis of stocks, management measures and drivers of overfishing. Fish and Fisheries 14:34–59.</w:t>
      </w:r>
    </w:p>
    <w:p w14:paraId="4F009819" w14:textId="77777777" w:rsidR="00787E9A" w:rsidRPr="008608AA" w:rsidRDefault="00787E9A" w:rsidP="00787E9A">
      <w:pPr>
        <w:ind w:left="709" w:hanging="709"/>
      </w:pPr>
      <w:r w:rsidRPr="008608AA">
        <w:t>Pyne, S., Andrews, P.L., Laven, R. D. 1996. Introduction to Wildland Fire. John Wiley &amp; Sons, Inc, .</w:t>
      </w:r>
    </w:p>
    <w:p w14:paraId="64D7DB1C" w14:textId="77777777" w:rsidR="00787E9A" w:rsidRPr="008608AA" w:rsidRDefault="00787E9A" w:rsidP="00787E9A">
      <w:pPr>
        <w:ind w:left="709" w:hanging="709"/>
      </w:pPr>
      <w:r w:rsidRPr="008608AA">
        <w:t>Pyšek, P., Jarošík, V., Pergl, J., Randall, R., Chytrý, M., Kühn, I., Tichý, L., Danihelka, J., Chrtek Jun, J., &amp; Sádlo, J. (2009). The global invasion success of Central European plants is related to distribution characteristics in their native range and species traits. Diversity and Distributions, 15(5), 891–903. https://doi.org/10.1111/j.1472-4642.2009.00602.x</w:t>
      </w:r>
    </w:p>
    <w:p w14:paraId="47FDADD1" w14:textId="77777777" w:rsidR="00787E9A" w:rsidRPr="008608AA" w:rsidRDefault="00787E9A" w:rsidP="00787E9A">
      <w:pPr>
        <w:ind w:left="709" w:hanging="709"/>
      </w:pPr>
      <w:r w:rsidRPr="008608AA">
        <w:t>Rabalais, N. N., Turner, R. E., Justić, D., Dortch, Q., Wiseman, W. J., &amp; Gupta, B. K. S. (1996). Nutrient changes in the Mississippi River and system responses on the adjacent continental shelf. Estuaries, 19(2), 386-407.</w:t>
      </w:r>
    </w:p>
    <w:p w14:paraId="6A02134C" w14:textId="77777777" w:rsidR="00787E9A" w:rsidRPr="008608AA" w:rsidRDefault="00787E9A" w:rsidP="00787E9A">
      <w:pPr>
        <w:ind w:left="709" w:hanging="709"/>
      </w:pPr>
      <w:r w:rsidRPr="008608AA">
        <w:t>Rabalais, N.N., Cai, W.J., Carstensen, J., Conley, D.J., Fry, B., Hu, X., Quinones-Rivera, Z., Rosenberg, R., Slomp, C.P., Turner, R.E. and Voss, M., 2014. Eutrophication-driven deoxygenation in the coastal ocean. Oceanography, 27(1), pp.172-183.</w:t>
      </w:r>
    </w:p>
    <w:p w14:paraId="6CAB4BC9" w14:textId="77777777" w:rsidR="00787E9A" w:rsidRPr="008608AA" w:rsidRDefault="00787E9A" w:rsidP="00787E9A">
      <w:pPr>
        <w:ind w:left="709" w:hanging="709"/>
      </w:pPr>
      <w:r w:rsidRPr="008608AA">
        <w:t>Rajotte, Tasmin. 2008. The Negotiations Web: Complex Connections. In Geoff</w:t>
      </w:r>
    </w:p>
    <w:p w14:paraId="02873D8F" w14:textId="77777777" w:rsidR="00787E9A" w:rsidRPr="008608AA" w:rsidRDefault="00787E9A" w:rsidP="00787E9A">
      <w:pPr>
        <w:ind w:left="709" w:hanging="709"/>
      </w:pPr>
      <w:r w:rsidRPr="008608AA">
        <w:t>Ramirez-Villegas, J., F. Cuesta, C. Devenish, M. Peralvo, A. Jarvis, and C. A. Arnillas. 2014. Using species distributions models for designing conservation strategies of Tropical Andean biodiversity under climate change. Journal for Nature Conservation 22:391–404. Elsevier GmbH. &lt;http://dx.doi.org/10.1016/j.jnc.2014.03.007&gt;.</w:t>
      </w:r>
    </w:p>
    <w:p w14:paraId="19513AD8" w14:textId="77777777" w:rsidR="00787E9A" w:rsidRPr="008608AA" w:rsidRDefault="00787E9A" w:rsidP="00787E9A">
      <w:pPr>
        <w:ind w:left="709" w:hanging="709"/>
      </w:pPr>
      <w:r w:rsidRPr="00CE0821">
        <w:rPr>
          <w:lang w:val="es-CO"/>
        </w:rPr>
        <w:t xml:space="preserve">Ramírez, V. M., Ayala, R., &amp; González, H. D. (2016). </w:t>
      </w:r>
      <w:r w:rsidRPr="008608AA">
        <w:t>Temporal variation in native bee diversity in the tropical sub-deciduous forest of the Yucatan Peninsula, Mexico. Tropical Conservation Science, 9(2), 718-734.</w:t>
      </w:r>
    </w:p>
    <w:p w14:paraId="5C4B242C" w14:textId="77777777" w:rsidR="00787E9A" w:rsidRPr="008608AA" w:rsidRDefault="00787E9A" w:rsidP="00787E9A">
      <w:pPr>
        <w:ind w:left="709" w:hanging="709"/>
      </w:pPr>
      <w:r w:rsidRPr="008608AA">
        <w:t>Ramos-Scharran, C. E., D. Torres-Pulliza, and E. A. Hernandez-Delgado. 2015. Watershed- and island wide-scale land cover changes in Puerto Rico (1930s-2004) and their potential effects on coral reef ecosystems. Science of the Total Environment 506-507:241–251.</w:t>
      </w:r>
    </w:p>
    <w:p w14:paraId="49B78333" w14:textId="77777777" w:rsidR="00787E9A" w:rsidRPr="008608AA" w:rsidRDefault="00787E9A" w:rsidP="00787E9A">
      <w:pPr>
        <w:ind w:left="709" w:hanging="709"/>
      </w:pPr>
      <w:r w:rsidRPr="008608AA">
        <w:t xml:space="preserve">Rankin, D. Freshwater Ecosystems and Human Populations: Great Lakes Case Study. Yale School of Forestry &amp; Environmental Studies Bulletin Series 107, 2002. </w:t>
      </w:r>
    </w:p>
    <w:p w14:paraId="203125DA" w14:textId="77777777" w:rsidR="00787E9A" w:rsidRPr="008608AA" w:rsidRDefault="00787E9A" w:rsidP="00787E9A">
      <w:pPr>
        <w:ind w:left="709" w:hanging="709"/>
      </w:pPr>
      <w:r w:rsidRPr="008608AA">
        <w:t>Rathmann, R., Szklo, A., &amp; Schaeffer, R. (2010). Land use competition for production of food and liquid biofuels: An analysis of the arguments in the current debate. Renewable Energy, 35(1), 14-22.</w:t>
      </w:r>
    </w:p>
    <w:p w14:paraId="1885EC5F" w14:textId="77777777" w:rsidR="00787E9A" w:rsidRPr="008608AA" w:rsidRDefault="00787E9A" w:rsidP="00787E9A">
      <w:pPr>
        <w:ind w:left="709" w:hanging="709"/>
      </w:pPr>
      <w:r w:rsidRPr="008608AA">
        <w:t>Reátegui-Zirena, E.G., Stewart, P.M., Whatley, A., Chu-Koo, F., Sotero-Solis, V.E., Merino-Zegarra, C. and Vela-Paima, E., 2014. Polycyclic aromatic hydrocarbon concentrations, mutagenicity, and Microtox® acute toxicity testing of Peruvian crude oil and oil-contaminated water and sediment. Environmental monitoring and assessment, 186(4), pp.2171-2184.</w:t>
      </w:r>
    </w:p>
    <w:p w14:paraId="64C9B99F" w14:textId="77777777" w:rsidR="00787E9A" w:rsidRPr="008608AA" w:rsidRDefault="00787E9A" w:rsidP="00787E9A">
      <w:pPr>
        <w:ind w:left="709" w:hanging="709"/>
      </w:pPr>
      <w:r w:rsidRPr="008608AA">
        <w:t>Rebellato, L., W. I. Woods, and E. G. Neves. 2009. Pre-Columbian settlement dynamics in the Central Amazon. In W. I.Woods, W. G.Teixeira, J.Lehmann, C.Steiner, A. M. G. A.WinklerPrins, and L.Rebellato (Eds.). Amazonian dark earths: Wim Sombroek's vision, pp. 15–32. Springer, Berlin, Germany.</w:t>
      </w:r>
    </w:p>
    <w:p w14:paraId="29E3030C" w14:textId="77777777" w:rsidR="00787E9A" w:rsidRPr="008608AA" w:rsidRDefault="00787E9A" w:rsidP="00787E9A">
      <w:pPr>
        <w:ind w:left="709" w:hanging="709"/>
      </w:pPr>
      <w:r w:rsidRPr="008608AA">
        <w:t>Redmore, L., Stronza, A., Songhurst, A., &amp; McCulloch, G. (2017). Which Way Forward? Past and New Perspectives on Community-Based Conservation in the Anthropocene BT - Reference Module in Earth Systems and Environmental Sciences. Elsevier. http://doi.org/https://doi.org/10.1016/B978-0-12-409548-9.09838-9</w:t>
      </w:r>
    </w:p>
    <w:p w14:paraId="04F8A79F" w14:textId="77777777" w:rsidR="00787E9A" w:rsidRPr="008608AA" w:rsidRDefault="00787E9A" w:rsidP="00787E9A">
      <w:pPr>
        <w:ind w:left="709" w:hanging="709"/>
      </w:pPr>
      <w:r w:rsidRPr="008608AA">
        <w:t>Reenberg, A., Langanke, T., Kristensen, S. B. P., &amp; Colding, T. S. (2010). Globalisation of agricultural landscapes a land systems approach. In J. Primdahl &amp; S. Swaffield (Eds.), Globalisation and agricultural landscapes. Change patterns and policy trends in developed countries (pp. 31–56). Cambridge: Cambridge University Press.</w:t>
      </w:r>
    </w:p>
    <w:p w14:paraId="52434472" w14:textId="77777777" w:rsidR="00787E9A" w:rsidRPr="008608AA" w:rsidRDefault="00787E9A" w:rsidP="00787E9A">
      <w:pPr>
        <w:ind w:left="709" w:hanging="709"/>
        <w:rPr>
          <w:lang w:val="es-CO"/>
        </w:rPr>
      </w:pPr>
      <w:r w:rsidRPr="008608AA">
        <w:rPr>
          <w:lang w:val="es-CO"/>
        </w:rPr>
        <w:t>Reis, A., Bechara, F. C., Espíndola, M. B. De, Vieira, N. K., &amp; Souza, L. L. De. (2003). Restauração de áreas degradadas : a nucleação como base para incrementar os processos sucessionais. Natureza E Conservação, 1(1), 28–36.</w:t>
      </w:r>
    </w:p>
    <w:p w14:paraId="79A5A067" w14:textId="77777777" w:rsidR="00787E9A" w:rsidRPr="008608AA" w:rsidRDefault="00787E9A" w:rsidP="00787E9A">
      <w:pPr>
        <w:ind w:left="709" w:hanging="709"/>
      </w:pPr>
      <w:r w:rsidRPr="008608AA">
        <w:rPr>
          <w:lang w:val="es-CO"/>
        </w:rPr>
        <w:t xml:space="preserve">Reis, C. R. G., G. B. Nardoto, and R. S. Oliveira. </w:t>
      </w:r>
      <w:r w:rsidRPr="008608AA">
        <w:t xml:space="preserve">2017. Global overview on nitrogen dynamics in mangroves and consequences of increasing nitrogen availability for these systems. Plant and </w:t>
      </w:r>
    </w:p>
    <w:p w14:paraId="62078B33" w14:textId="77777777" w:rsidR="00787E9A" w:rsidRPr="008608AA" w:rsidRDefault="00787E9A" w:rsidP="00787E9A">
      <w:pPr>
        <w:ind w:left="709" w:hanging="709"/>
      </w:pPr>
      <w:r w:rsidRPr="008608AA">
        <w:t>Restrepo, J. C., Gruber, C. G., &amp; Machuca, C. M. (2009, June). Energy profile aware routing. In Communications Workshops, 2009. ICC Workshops 2009. IEEE International Conference on (pp. 1-5). IEEE.</w:t>
      </w:r>
    </w:p>
    <w:p w14:paraId="56740010" w14:textId="77777777" w:rsidR="00787E9A" w:rsidRPr="008608AA" w:rsidRDefault="00787E9A" w:rsidP="00787E9A">
      <w:pPr>
        <w:ind w:left="709" w:hanging="709"/>
      </w:pPr>
      <w:r w:rsidRPr="008608AA">
        <w:t>Revenga, C., Campbell, I., Abell, R., De Villiers, P., &amp; Bryer, M. (2005). Prospects for monitoring freshwater ecosystems towards the 2010 targets. Philosophical Transactions of the Royal Society of London B: Biological Sciences, 360(1454), 397-413.</w:t>
      </w:r>
    </w:p>
    <w:p w14:paraId="3B334C2A" w14:textId="77777777" w:rsidR="00787E9A" w:rsidRPr="008608AA" w:rsidRDefault="00787E9A" w:rsidP="00787E9A">
      <w:pPr>
        <w:ind w:left="709" w:hanging="709"/>
      </w:pPr>
      <w:r w:rsidRPr="008608AA">
        <w:t>Reyer, C. P. O., Adams, S., Albrecht, T., Baarsch, F., Boit, A., Trujillo, N. C., Cartsburg, M., Coumou, D., Eden, A., Fernandes, E., Langerwisch, F., Marcus, R., Mengel, M., Mira-Salama, D., Perette, M., Pereznieto, P., Ramirez-Villegas, J., Reinhardt, J., Robinson, A., Rocha, M., Sakschewski, B., Schaeffer, M., Schleussner, C.-F., Serdeczny, O., &amp; Thonicke, K. (2015). Climate change impacts in Latin America and the Caribbean and their implications for development. Regional Environmental Change, 1–21. https://doi.org/10.1007/s10113-015-0854-6</w:t>
      </w:r>
    </w:p>
    <w:p w14:paraId="39FDC5BE" w14:textId="77777777" w:rsidR="00787E9A" w:rsidRPr="008608AA" w:rsidRDefault="00787E9A" w:rsidP="00787E9A">
      <w:pPr>
        <w:ind w:left="709" w:hanging="709"/>
        <w:rPr>
          <w:lang w:val="es-CO"/>
        </w:rPr>
      </w:pPr>
      <w:r w:rsidRPr="008608AA">
        <w:t>Ribeiro, K.H., Favaretto, N., Dieckow, J., Souza, L.C.D.P., Minella, J.P.G., Almeida, L.D. and Ramos, M.R., 2014. Quality of surface water related to land use: a case study in a catchment with small farms and intensive vegetable crop production in southern Brazil. </w:t>
      </w:r>
      <w:r w:rsidRPr="008608AA">
        <w:rPr>
          <w:lang w:val="es-CO"/>
        </w:rPr>
        <w:t>Revista Brasileira de Ciência do Solo, 38(2), pp.656-668.</w:t>
      </w:r>
    </w:p>
    <w:p w14:paraId="5797E5BC" w14:textId="77777777" w:rsidR="00787E9A" w:rsidRPr="008608AA" w:rsidRDefault="00787E9A" w:rsidP="00787E9A">
      <w:pPr>
        <w:ind w:left="709" w:hanging="709"/>
      </w:pPr>
      <w:r w:rsidRPr="008608AA">
        <w:rPr>
          <w:lang w:val="es-CO"/>
        </w:rPr>
        <w:t xml:space="preserve">Ricaurte, L. F., Wantzen, K. M., Agudelo, E., Betancourt, B., &amp; Jokela, J. (2014). </w:t>
      </w:r>
      <w:r w:rsidRPr="008608AA">
        <w:t>Participatory rural appraisal of ecosystem services of wetlands in the Amazonian Piedmont of Colombia: Elements for a sustainable management concept. Wetlands Ecology and Management, 22(4), 343–361. https://doi.org/10.1007/s11273-013-9333-3</w:t>
      </w:r>
    </w:p>
    <w:p w14:paraId="795543B8" w14:textId="77777777" w:rsidR="00787E9A" w:rsidRPr="008608AA" w:rsidRDefault="00787E9A" w:rsidP="00787E9A">
      <w:pPr>
        <w:ind w:left="709" w:hanging="709"/>
      </w:pPr>
      <w:r w:rsidRPr="008608AA">
        <w:t>Richards, M., Wells, A., Del Gatto, F., Contreras-Hermosilla, A. and Pommier, D., 2003. Impacts of illegality and barriers to legality: a diagnostic analysis of illegal logging in Honduras and Nicaragua. International Forestry Review, 5(3), pp.282-292.</w:t>
      </w:r>
    </w:p>
    <w:p w14:paraId="5713F5A9" w14:textId="77777777" w:rsidR="00787E9A" w:rsidRPr="008608AA" w:rsidRDefault="00787E9A" w:rsidP="00787E9A">
      <w:pPr>
        <w:ind w:left="709" w:hanging="709"/>
      </w:pPr>
      <w:r w:rsidRPr="008608AA">
        <w:t>Richards, P. D., Myers, R. J., Swinton, S. M., &amp; Walker, R. T. (2012). Exchange rates, soybean supply response, and deforestation in South America. Global environmental change, 22(2), 454-462.</w:t>
      </w:r>
    </w:p>
    <w:p w14:paraId="33C42C23" w14:textId="77777777" w:rsidR="00787E9A" w:rsidRPr="008608AA" w:rsidRDefault="00787E9A" w:rsidP="00787E9A">
      <w:pPr>
        <w:ind w:left="709" w:hanging="709"/>
      </w:pPr>
      <w:r w:rsidRPr="008608AA">
        <w:t>Rigét, F., Bignert, A., Braune, B., Stow, J. and Wilson, S., 2010. Temporal trends of legacy POPs in Arctic biota, an update. Science of the Total Environment, 408(15), pp.2874-2884.</w:t>
      </w:r>
    </w:p>
    <w:p w14:paraId="07DE0918" w14:textId="77777777" w:rsidR="00787E9A" w:rsidRPr="008608AA" w:rsidRDefault="00787E9A" w:rsidP="00787E9A">
      <w:pPr>
        <w:ind w:left="709" w:hanging="709"/>
      </w:pPr>
      <w:r w:rsidRPr="008608AA">
        <w:t>Rignot, E., I. Velicogna, M. R. van den Broeke, A. Monaghan, and J. Lenaerts (2011), Acceleration of the contribution of the Greenland and Antarctic ice sheets to sea level rise, Geophys. Res. Lett., 38, L05503, doi:10.1029/2011GL046583</w:t>
      </w:r>
    </w:p>
    <w:p w14:paraId="6C0F910B" w14:textId="77777777" w:rsidR="00787E9A" w:rsidRPr="008608AA" w:rsidRDefault="00787E9A" w:rsidP="00787E9A">
      <w:pPr>
        <w:ind w:left="709" w:hanging="709"/>
      </w:pPr>
      <w:r w:rsidRPr="008608AA">
        <w:t>Ríos, A.F., Resplandy, L., García-Ibáñez, M.I., Fajar, N.M., Velo, A., Padin, X.A., Wanninkhof, R., Steinfeldt, R., Rosón, G. and Pérez, F.F., 2015. Decadal acidification in the water masses of the Atlantic Ocean. Proceedings of the National Academy of Sciences, 112(32), pp.9950-9955.</w:t>
      </w:r>
    </w:p>
    <w:p w14:paraId="2C3C3D19" w14:textId="77777777" w:rsidR="00787E9A" w:rsidRPr="008608AA" w:rsidRDefault="00787E9A" w:rsidP="00787E9A">
      <w:pPr>
        <w:ind w:left="709" w:hanging="709"/>
      </w:pPr>
      <w:r w:rsidRPr="008608AA">
        <w:t xml:space="preserve">Ríos, M., Zaldúa, N., &amp; Cupeiro, S. (2010). </w:t>
      </w:r>
      <w:r w:rsidRPr="008608AA">
        <w:rPr>
          <w:lang w:val="es-CO"/>
        </w:rPr>
        <w:t xml:space="preserve">Evaluación participativa de plaguicidas en el sitio RAMSAR, Parque Nacional Esteros de Farrapos e Islas del Río Uruguay. </w:t>
      </w:r>
      <w:r w:rsidRPr="008608AA">
        <w:t>Vida Silvestre Uruguay, Montevideo.</w:t>
      </w:r>
    </w:p>
    <w:p w14:paraId="1E00A35A" w14:textId="77777777" w:rsidR="00787E9A" w:rsidRPr="008608AA" w:rsidRDefault="00787E9A" w:rsidP="00787E9A">
      <w:pPr>
        <w:ind w:left="709" w:hanging="709"/>
      </w:pPr>
      <w:r w:rsidRPr="008608AA">
        <w:t>Ripple, W. J., T. M. Newsome, C. Wolf, R. Dirzo, K. T. Everatt, M. Galetti, M. W. Hayward, G. I. H. Kerley, T. Levi, P. A. Lindsey, D. W. Macdonald, Y. Malhi, L. E. Painter, C. Sandom, J. Terborgh, and B. Van Valkenburgh. 2015. Collapse of the world’s largest herbivores. Science Advances 1:1–12.</w:t>
      </w:r>
    </w:p>
    <w:p w14:paraId="1987812D" w14:textId="77777777" w:rsidR="00787E9A" w:rsidRPr="008608AA" w:rsidRDefault="00787E9A" w:rsidP="00787E9A">
      <w:pPr>
        <w:ind w:left="709" w:hanging="709"/>
      </w:pPr>
      <w:r w:rsidRPr="008608AA">
        <w:t>Rizzo, D. M., &amp; Garbelotto, M. (2003). Sudden oak death: endangering California and Oregon forest ecosystems. Frontiers in Ecology and the Environment, 1(5), 197–204. https://doi.org/10.1890/1540-9295(2003)001[0197:SODECA]2.0.CO;2</w:t>
      </w:r>
    </w:p>
    <w:p w14:paraId="7E7347C7" w14:textId="77777777" w:rsidR="00787E9A" w:rsidRPr="008608AA" w:rsidRDefault="00787E9A" w:rsidP="00787E9A">
      <w:pPr>
        <w:ind w:left="709" w:hanging="709"/>
      </w:pPr>
      <w:r w:rsidRPr="008608AA">
        <w:t>Robeson, S. M. 2002. Increasing growing-season length in Illinois during the 20th century. Climatic Change 52:219–238.</w:t>
      </w:r>
    </w:p>
    <w:p w14:paraId="2795927C" w14:textId="77777777" w:rsidR="00787E9A" w:rsidRPr="008608AA" w:rsidRDefault="00787E9A" w:rsidP="00787E9A">
      <w:pPr>
        <w:ind w:left="709" w:hanging="709"/>
      </w:pPr>
      <w:r w:rsidRPr="008608AA">
        <w:t>Rockström, J., Steffen, W., Noone, K., Persson, Å., Chapin, F.S., Lambin, E.F., Lenton, T.M., Scheffer, M., Folke, C., Schellnhuber, H.J. and Nykvist, B., 2009. A safe operating space for humanity. nature, 461(7263), pp.472-475.</w:t>
      </w:r>
    </w:p>
    <w:p w14:paraId="302155D2" w14:textId="77777777" w:rsidR="00787E9A" w:rsidRPr="008608AA" w:rsidRDefault="00787E9A" w:rsidP="00787E9A">
      <w:pPr>
        <w:ind w:left="709" w:hanging="709"/>
        <w:rPr>
          <w:lang w:val="es-CO"/>
        </w:rPr>
      </w:pPr>
      <w:r w:rsidRPr="008608AA">
        <w:t xml:space="preserve">Rodil, I. F., Lucena-Moya, P., Olabarria, C., &amp; Arenas, F. (2015). Alteration of macroalgal subsidies by climate-associated stressors affects behavior of wrack-reliant beach consumers. </w:t>
      </w:r>
      <w:r w:rsidRPr="008608AA">
        <w:rPr>
          <w:lang w:val="es-CO"/>
        </w:rPr>
        <w:t>Ecosystems, 18(3), 428-440.</w:t>
      </w:r>
    </w:p>
    <w:p w14:paraId="09E62AAA" w14:textId="77777777" w:rsidR="00787E9A" w:rsidRPr="008608AA" w:rsidRDefault="00787E9A" w:rsidP="00787E9A">
      <w:pPr>
        <w:ind w:left="709" w:hanging="709"/>
        <w:rPr>
          <w:lang w:val="es-CO"/>
        </w:rPr>
      </w:pPr>
      <w:r w:rsidRPr="008608AA">
        <w:rPr>
          <w:lang w:val="es-CO"/>
        </w:rPr>
        <w:t xml:space="preserve">Rodrigues Capítulo, A., Gómez, N., Giorgi, A. et al., 2010. </w:t>
      </w:r>
      <w:r w:rsidRPr="008608AA">
        <w:t xml:space="preserve">Global changes in pampean lowland streams (Argentina): Implications for biodiversity and functioning. </w:t>
      </w:r>
      <w:r w:rsidRPr="008608AA">
        <w:rPr>
          <w:lang w:val="es-CO"/>
        </w:rPr>
        <w:t>Hydrobiologia 657:53–70.</w:t>
      </w:r>
    </w:p>
    <w:p w14:paraId="5DFF7946" w14:textId="77777777" w:rsidR="00787E9A" w:rsidRPr="008608AA" w:rsidRDefault="00787E9A" w:rsidP="00787E9A">
      <w:pPr>
        <w:ind w:left="709" w:hanging="709"/>
      </w:pPr>
      <w:r w:rsidRPr="008608AA">
        <w:rPr>
          <w:lang w:val="es-CO"/>
        </w:rPr>
        <w:t xml:space="preserve">Rodrigues, R. R., Gandolfi, S., Nave, A. G., Aronson, J., Barreto, T. E., Vidal, C. Y., &amp; Brancalion, P. H. (2011). </w:t>
      </w:r>
      <w:r w:rsidRPr="008608AA">
        <w:t>Large-scale ecological restoration of high-diversity tropical forests in SE Brazil. Forest Ecology and Management, 261(10), 1605-1613</w:t>
      </w:r>
    </w:p>
    <w:p w14:paraId="2CDC5124" w14:textId="77777777" w:rsidR="00787E9A" w:rsidRPr="008608AA" w:rsidRDefault="00787E9A" w:rsidP="00787E9A">
      <w:pPr>
        <w:ind w:left="709" w:hanging="709"/>
      </w:pPr>
      <w:r w:rsidRPr="008608AA">
        <w:t>Rodrigues, R. R., R. A. F. Lima, S. Gandolfi, and A. G. Nave. 2009. On the restoration of high diversity forests: 30 years of experience in the Brazilian Atlantic Forest. Biological Conservation 142:1242–1251. Elsevier Ltd. &lt;http://dx.doi.org/10.1016/j.biocon.2008.12.008&gt;.</w:t>
      </w:r>
    </w:p>
    <w:p w14:paraId="1B219C56" w14:textId="77777777" w:rsidR="00787E9A" w:rsidRPr="008608AA" w:rsidRDefault="00787E9A" w:rsidP="00787E9A">
      <w:pPr>
        <w:ind w:left="709" w:hanging="709"/>
      </w:pPr>
      <w:r w:rsidRPr="008608AA">
        <w:rPr>
          <w:lang w:val="es-CO"/>
        </w:rPr>
        <w:t xml:space="preserve">Rodríguez-Rodríguez, J. A., P. C. Sierra-Correa, M. C. Gómez-Cubillos, and L. V. L. Villanueva. </w:t>
      </w:r>
      <w:r w:rsidRPr="008608AA">
        <w:t xml:space="preserve">2016. Mangrove ecosystems (Colombia). Pages 1-10 in. C. M. Finlayson,  M.  Everard, K. Irvine, R. J. McInnes, B. Middleton, A. van Dam, and N. C. Davidson, editors. The Wetland Book. </w:t>
      </w:r>
    </w:p>
    <w:p w14:paraId="737742F1" w14:textId="77777777" w:rsidR="00787E9A" w:rsidRPr="008608AA" w:rsidRDefault="00787E9A" w:rsidP="00787E9A">
      <w:pPr>
        <w:ind w:left="709" w:hanging="709"/>
      </w:pPr>
      <w:r w:rsidRPr="008608AA">
        <w:t>Rojas-Sandoval, J., &amp; Acevedo-Rodríguez, P. (2014). Naturalization and invasion of alien plants in Puerto Rico and the Virgin Islands. Biological Invasions, 17(1), 149–163. https://doi.org/10.1007/s10530-014-0712-3</w:t>
      </w:r>
    </w:p>
    <w:p w14:paraId="414FFE21" w14:textId="77777777" w:rsidR="00787E9A" w:rsidRPr="008608AA" w:rsidRDefault="00787E9A" w:rsidP="00787E9A">
      <w:pPr>
        <w:ind w:left="709" w:hanging="709"/>
      </w:pPr>
      <w:r w:rsidRPr="008608AA">
        <w:t>Romero-Lankao, P., J.B. Smith, D.J. Davidson, N.S. Diffenbaugh, P.L. Kinney, P. Kirshen, P. Kovacs, and L. Villers Ruiz, 2014: North America. In: Climate Change 2014: Impacts, Adaptation, and Vulnerability. Part B: Regional Aspects. Contribution of Working Group II to the Fifth Assessment Report of the Intergovernmental Panel on Climate Change [Barros, V.R., C.B. Field, D.J. Dokken, M.D. Mastrandrea, K.J. Mach, T.E. Bilir, M. Chatterjee, K.L. Ebi,Y.O. Estrada, R.C. Genova, B. Girma, E.S. Kissel, A.N. Levy, S. MacCracken, P.R. Mastrandrea, and L.L. White (eds.)]. Cambridge University Press, Cambridge, United Kingdom and New York, NY, USA, pp. 143</w:t>
      </w:r>
    </w:p>
    <w:p w14:paraId="34D50517" w14:textId="77777777" w:rsidR="00787E9A" w:rsidRPr="008608AA" w:rsidRDefault="00787E9A" w:rsidP="00787E9A">
      <w:pPr>
        <w:ind w:left="709" w:hanging="709"/>
      </w:pPr>
      <w:r w:rsidRPr="008608AA">
        <w:t>Ropelewski, C. F., and M. S. Halpert. 1987. Global and Regional Scale Precipitation Patterns Associated with the El Niño/Southern Oscillation. Monthly Weather Review. Volume 115.</w:t>
      </w:r>
    </w:p>
    <w:p w14:paraId="6B3119AC" w14:textId="77777777" w:rsidR="00787E9A" w:rsidRPr="008608AA" w:rsidRDefault="00787E9A" w:rsidP="00787E9A">
      <w:pPr>
        <w:ind w:left="709" w:hanging="709"/>
      </w:pPr>
      <w:r w:rsidRPr="008608AA">
        <w:t>Rossi, R. D., Martins, C. R., Viana, P. L., Rodrigues, E. L., &amp; Figueira, J. E. C. (2014). Impact of invasion by molasses grass (Melinis minutifloraP. Beauv.) on native species and on fires in areas of campo-cerrado in Brazil. Acta Botanica Brasilica, 28(4), 631–637. https://doi.org/10.1590/0102-33062014abb3390</w:t>
      </w:r>
    </w:p>
    <w:p w14:paraId="55B2BEEA" w14:textId="77777777" w:rsidR="00787E9A" w:rsidRPr="008608AA" w:rsidRDefault="00787E9A" w:rsidP="00787E9A">
      <w:pPr>
        <w:ind w:left="709" w:hanging="709"/>
      </w:pPr>
      <w:r w:rsidRPr="008608AA">
        <w:t>Rozzi, R., Armesto, J. J., Goffinet, B., Buck, W., Massardo, F., Silander, J., Arroyo, M. T. K., Russell, S., Anderson, C. B., Cavieres, L. A., &amp; Callicott, J. B. (2008). Changing lenses to assess biodiversity: Patterns of species richness in sub-Antarctic plants and implications for global conservation. Frontiers in Ecology and the Environment. https://doi.org/10.1890/070020</w:t>
      </w:r>
    </w:p>
    <w:p w14:paraId="4552F258" w14:textId="77777777" w:rsidR="00787E9A" w:rsidRPr="008608AA" w:rsidRDefault="00787E9A" w:rsidP="00787E9A">
      <w:pPr>
        <w:ind w:left="709" w:hanging="709"/>
      </w:pPr>
      <w:r w:rsidRPr="008608AA">
        <w:t>Rudel, T. K., Defries, R., Asner, G. P., &amp; Laurance, W. F. (2009). Changing drivers of deforestation and new opportunities for conservation. Conservation Biology, 23(6), 1396-1405.</w:t>
      </w:r>
    </w:p>
    <w:p w14:paraId="1A2803EC" w14:textId="77777777" w:rsidR="00787E9A" w:rsidRPr="008608AA" w:rsidRDefault="00787E9A" w:rsidP="00787E9A">
      <w:pPr>
        <w:ind w:left="709" w:hanging="709"/>
      </w:pPr>
      <w:r w:rsidRPr="008608AA">
        <w:t xml:space="preserve">Ruiz, G. M., Rawlings, T. K., Dobbs, F. C., Drake, L. a, Mullady, T., Huq, a, &amp; Colwell, R. R. (2000). Global spread of microorganisms by ships. Nature, 408(6808), 49–50. </w:t>
      </w:r>
      <w:hyperlink r:id="rId1015" w:history="1">
        <w:r w:rsidRPr="008608AA">
          <w:t>https://doi.org/10.1038/35040695</w:t>
        </w:r>
      </w:hyperlink>
    </w:p>
    <w:p w14:paraId="0C2B2212" w14:textId="77777777" w:rsidR="00787E9A" w:rsidRPr="008608AA" w:rsidRDefault="00787E9A" w:rsidP="00787E9A">
      <w:pPr>
        <w:ind w:left="709" w:hanging="709"/>
      </w:pPr>
      <w:r w:rsidRPr="008608AA">
        <w:rPr>
          <w:lang w:val="es-CO"/>
        </w:rPr>
        <w:t xml:space="preserve">Ruiz-Toledo, J., Castro, R., Rivero-Pérez, N., Bello-Mendoza, R. and Sánchez, D., 2014. </w:t>
      </w:r>
      <w:r w:rsidRPr="008608AA">
        <w:t>Occurrence of glyphosate in water bodies derived from intensive agriculture in a tropical region of southern Mexico. Bulletin of environmental contamination and toxicology, 93(3), pp.289-293.</w:t>
      </w:r>
    </w:p>
    <w:p w14:paraId="6DC6BBE4" w14:textId="77777777" w:rsidR="00787E9A" w:rsidRPr="008608AA" w:rsidRDefault="00787E9A" w:rsidP="00787E9A">
      <w:pPr>
        <w:ind w:left="709" w:hanging="709"/>
      </w:pPr>
      <w:r w:rsidRPr="008608AA">
        <w:t>Runde &amp; Magpile, 2014. Science, technology, and innovation as drivers of development: </w:t>
      </w:r>
      <w:hyperlink r:id="rId1016" w:tgtFrame="_blank" w:history="1">
        <w:r w:rsidRPr="008608AA">
          <w:t>http://csis.org/publication/science-technology-and-innovation-drivers-development</w:t>
        </w:r>
      </w:hyperlink>
    </w:p>
    <w:p w14:paraId="7C23123C" w14:textId="77777777" w:rsidR="00787E9A" w:rsidRPr="008608AA" w:rsidRDefault="00787E9A" w:rsidP="00787E9A">
      <w:pPr>
        <w:ind w:left="709" w:hanging="709"/>
      </w:pPr>
      <w:r w:rsidRPr="008608AA">
        <w:t>Rupp, T. S., P. Duffy, M. Leonawicz, M. Lindgren, A. Breen, T. Kurkowski, A. Floyd, A. Bennett, and L. Krutikov. 2016. Chapter 2 . Climate Simulations, Land Cover, and Wildfire. Pages 17–52 in Z. Zhu and A. D. McGuire, editors. Baseline and projected future carbon storage and greenhouse-gas fluxes in ecosystems of Alaska.</w:t>
      </w:r>
    </w:p>
    <w:p w14:paraId="687F841A" w14:textId="77777777" w:rsidR="00787E9A" w:rsidRPr="008608AA" w:rsidRDefault="00787E9A" w:rsidP="00787E9A">
      <w:pPr>
        <w:ind w:left="709" w:hanging="709"/>
        <w:rPr>
          <w:lang w:val="es-CO"/>
        </w:rPr>
      </w:pPr>
      <w:r w:rsidRPr="008608AA">
        <w:t xml:space="preserve">Rushton, J., R. Viscarra, C. Viscarra, F. Basset, R. Baptista, and D. Brown. 2005. How Important is Bushmeat Consumption in South America: Now and in the Future? </w:t>
      </w:r>
      <w:r w:rsidRPr="008608AA">
        <w:rPr>
          <w:lang w:val="es-CO"/>
        </w:rPr>
        <w:t>Odi Wildlife Policy Briefing 11:1–4.</w:t>
      </w:r>
    </w:p>
    <w:p w14:paraId="7EFBC078" w14:textId="77777777" w:rsidR="00787E9A" w:rsidRPr="008608AA" w:rsidRDefault="00787E9A" w:rsidP="00787E9A">
      <w:pPr>
        <w:ind w:left="709" w:hanging="709"/>
      </w:pPr>
      <w:r w:rsidRPr="008608AA">
        <w:rPr>
          <w:lang w:val="es-CO"/>
        </w:rPr>
        <w:t xml:space="preserve">Ruviaro, C. F., da Costa, J. S., Florindo, T. J., Rodrigues, W., de Medeiros, G. I. B., &amp; Vasconcelos, P. S. (2016). </w:t>
      </w:r>
      <w:r w:rsidRPr="008608AA">
        <w:t>Economic and environmental feasibility of beef production in different feed management systems in the Pampa biome, southern Brazil. Ecological Indicators, 60, 930-939.</w:t>
      </w:r>
    </w:p>
    <w:p w14:paraId="1B13B26F" w14:textId="77777777" w:rsidR="00787E9A" w:rsidRPr="008608AA" w:rsidRDefault="00787E9A" w:rsidP="00787E9A">
      <w:pPr>
        <w:ind w:left="709" w:hanging="709"/>
      </w:pPr>
      <w:r w:rsidRPr="008608AA">
        <w:t>Ruyle L.E. (2017). The Impacts of Conflict on Biodiversity in the Anthropocene. Reference Module in Earth Systems and Environmental Sciences. Published on line. doi.org/10.1016/B978-0-12-409548-9.09849-3</w:t>
      </w:r>
    </w:p>
    <w:p w14:paraId="5DB10318" w14:textId="77777777" w:rsidR="00787E9A" w:rsidRPr="008608AA" w:rsidRDefault="00787E9A" w:rsidP="00787E9A">
      <w:pPr>
        <w:ind w:left="709" w:hanging="709"/>
      </w:pPr>
      <w:r w:rsidRPr="008608AA">
        <w:t>Ryan, K. C., Knapp, E. E., &amp; Varner, J. M. (2013). Prescribed fire in North American forests and woodlands: history, current practice, and challenges. Frontiers in Ecology and the Environment, 11(s1).</w:t>
      </w:r>
    </w:p>
    <w:p w14:paraId="6AD0A774" w14:textId="77777777" w:rsidR="00787E9A" w:rsidRPr="008608AA" w:rsidRDefault="00787E9A" w:rsidP="00787E9A">
      <w:pPr>
        <w:ind w:left="709" w:hanging="709"/>
      </w:pPr>
      <w:r w:rsidRPr="008608AA">
        <w:t>Saatchi, S., S. Asefi-Najafabady, Y. Malhi, L. E. O. C. Aragão, L. O. Anderson, R. B. Myneni, and R. Nemani. 2013. Persistent effects of a severe drought on Amazonian forest canopy. Proceedings of the National Academy of Sciences of the United Statesof America 110:565–70.</w:t>
      </w:r>
    </w:p>
    <w:p w14:paraId="61B4F105" w14:textId="77777777" w:rsidR="00787E9A" w:rsidRPr="008608AA" w:rsidRDefault="00787E9A" w:rsidP="00787E9A">
      <w:pPr>
        <w:ind w:left="709" w:hanging="709"/>
      </w:pPr>
      <w:r w:rsidRPr="008608AA">
        <w:rPr>
          <w:lang w:val="es-CO"/>
        </w:rPr>
        <w:t xml:space="preserve">Sala, O. E., &amp; Paruelo, J. M. (1997). </w:t>
      </w:r>
      <w:r w:rsidRPr="008608AA">
        <w:t>Ecosystem services in grasslands. Nature’s services: Societal dependence on natural ecosystems, 237-251.</w:t>
      </w:r>
    </w:p>
    <w:p w14:paraId="758F2B99" w14:textId="77777777" w:rsidR="00787E9A" w:rsidRPr="008608AA" w:rsidRDefault="00787E9A" w:rsidP="00787E9A">
      <w:pPr>
        <w:ind w:left="709" w:hanging="709"/>
      </w:pPr>
      <w:r w:rsidRPr="008608AA">
        <w:t>Sala, O. E., F. S. Chapin III, J. J. Armesto, E. Berlow, J. Bloomfield, R. Dirzo, E. Huber-Sanwald, L. F. Huenneke, R. B. Jackson, A. Kinzig, R. Leemans, D. M. Lodge, H. A. Mooney, M. Oesterheld, N. L. Poff, M. T. Skykes, B. H. Walker, M. Walker, and D. H. Wall. (2000). Global Biodiversity Scenarios for the Year 2100. Science 287:1770 – 1774.</w:t>
      </w:r>
    </w:p>
    <w:p w14:paraId="1088842C" w14:textId="77777777" w:rsidR="00787E9A" w:rsidRPr="008608AA" w:rsidRDefault="00787E9A" w:rsidP="00787E9A">
      <w:pPr>
        <w:ind w:left="709" w:hanging="709"/>
        <w:rPr>
          <w:lang w:val="es-CO"/>
        </w:rPr>
      </w:pPr>
      <w:r w:rsidRPr="008608AA">
        <w:t xml:space="preserve">Sales, I. dos S., Ruiz-Miranda, C. R., &amp; Santos, C. de P. (2010). Helminths found in marmosets (Callithrix penicillata and Callithrix jacchus) introduced to the region of occurrence of golden lion tamarins (Leontopithecus rosalia) in Brazil. </w:t>
      </w:r>
      <w:r w:rsidRPr="008608AA">
        <w:rPr>
          <w:lang w:val="es-CO"/>
        </w:rPr>
        <w:t>Veterinary Parasitology, 171(1–2), 123–129. https://doi.org/10.1016/j.vetpar.2010.02.044</w:t>
      </w:r>
    </w:p>
    <w:p w14:paraId="60433B90" w14:textId="77777777" w:rsidR="00787E9A" w:rsidRPr="008608AA" w:rsidRDefault="00787E9A" w:rsidP="00787E9A">
      <w:pPr>
        <w:ind w:left="709" w:hanging="709"/>
      </w:pPr>
      <w:r w:rsidRPr="008608AA">
        <w:rPr>
          <w:lang w:val="es-CO"/>
        </w:rPr>
        <w:t xml:space="preserve">Salles, J., &amp; Correa, R. (2004). Água de Lastro e Bioinvasão. </w:t>
      </w:r>
      <w:r w:rsidRPr="008608AA">
        <w:t>Interciência.</w:t>
      </w:r>
    </w:p>
    <w:p w14:paraId="0E50EA44" w14:textId="77777777" w:rsidR="00787E9A" w:rsidRPr="008608AA" w:rsidRDefault="00787E9A" w:rsidP="00787E9A">
      <w:pPr>
        <w:ind w:left="709" w:hanging="709"/>
      </w:pPr>
      <w:r w:rsidRPr="008608AA">
        <w:t>San Sebastián, M., and A.-K. Hurtig. (2004). Oil exploitation in the Amazon basin of Ecuador: a public health emergency. Revista panamericana de salud publica = Pan American journal of public health 15:205–211.</w:t>
      </w:r>
    </w:p>
    <w:p w14:paraId="5137FC35" w14:textId="77777777" w:rsidR="00787E9A" w:rsidRPr="008608AA" w:rsidRDefault="00787E9A" w:rsidP="00787E9A">
      <w:pPr>
        <w:ind w:left="709" w:hanging="709"/>
      </w:pPr>
      <w:r w:rsidRPr="008608AA">
        <w:t>San Sebastian, M., Armstrong, B., &amp; Stephens, C. (2002). Outcomes of pregnancy among women living in the proximity of oil fields in the Amazon basin of Ecuador. International Journal of Occupational and Environmental Health, 8(4), 312–319. https://doi.org/10.1179/107735202800338650</w:t>
      </w:r>
    </w:p>
    <w:p w14:paraId="6BD35E5C" w14:textId="77777777" w:rsidR="00787E9A" w:rsidRPr="008608AA" w:rsidRDefault="00787E9A" w:rsidP="00787E9A">
      <w:pPr>
        <w:ind w:left="709" w:hanging="709"/>
      </w:pPr>
    </w:p>
    <w:p w14:paraId="26D7D8D9" w14:textId="77777777" w:rsidR="00787E9A" w:rsidRPr="008608AA" w:rsidRDefault="00787E9A" w:rsidP="00787E9A">
      <w:pPr>
        <w:ind w:left="709" w:hanging="709"/>
      </w:pPr>
      <w:r w:rsidRPr="008608AA">
        <w:t>Sánchez-Azofeifa, A., Powers,  S.J., Fernandez, G.W., Quesada, Q. Tropical Dry Forests in the Americas: Ecology, Conservation, and Management CRC Press, Taylor &amp; Francis Group, Boca Raton, USA (2014)</w:t>
      </w:r>
    </w:p>
    <w:p w14:paraId="41A6C630" w14:textId="77777777" w:rsidR="00787E9A" w:rsidRPr="00CE0821" w:rsidRDefault="00787E9A" w:rsidP="00787E9A">
      <w:pPr>
        <w:ind w:left="709" w:hanging="709"/>
        <w:rPr>
          <w:lang w:val="es-CO"/>
        </w:rPr>
      </w:pPr>
      <w:r w:rsidRPr="008608AA">
        <w:rPr>
          <w:lang w:val="es-CO"/>
        </w:rPr>
        <w:t xml:space="preserve">Sánchez-Azofeifa, G. A., Castro-Esau, K. L., Kurz, W. A., &amp; Joyce, A. (2009). </w:t>
      </w:r>
      <w:r w:rsidRPr="008608AA">
        <w:t>Monitoring carbon stocks in the tropics and the remote sensing operational limitations: from local to regional projects. </w:t>
      </w:r>
      <w:r w:rsidRPr="00CE0821">
        <w:rPr>
          <w:lang w:val="es-CO"/>
        </w:rPr>
        <w:t>Ecological Applications, 19(2), 480-494.</w:t>
      </w:r>
    </w:p>
    <w:p w14:paraId="360DF29C" w14:textId="77777777" w:rsidR="00787E9A" w:rsidRPr="008608AA" w:rsidRDefault="00787E9A" w:rsidP="00787E9A">
      <w:pPr>
        <w:ind w:left="709" w:hanging="709"/>
      </w:pPr>
      <w:r w:rsidRPr="00CE0821">
        <w:rPr>
          <w:lang w:val="es-CO"/>
        </w:rPr>
        <w:t xml:space="preserve">Sánchez, A., Ortiz-Hernández, M. C., Talavera-Sáenz, A., &amp; Aguíñiga-García, S. (2013). </w:t>
      </w:r>
      <w:r w:rsidRPr="008608AA">
        <w:t>Stable nitrogen isotopes in the turtle grass Thalassia testudinum from the Mexican Caribbean: implications of anthropogenic development. Estuarine, Coastal and Shelf Science, 135, 86-93.</w:t>
      </w:r>
    </w:p>
    <w:p w14:paraId="502115F9" w14:textId="77777777" w:rsidR="00787E9A" w:rsidRPr="008608AA" w:rsidRDefault="00787E9A" w:rsidP="00787E9A">
      <w:pPr>
        <w:ind w:left="709" w:hanging="709"/>
      </w:pPr>
      <w:r w:rsidRPr="008608AA">
        <w:t>Sandoval-Herrera, N.I., Vargas-Soto, J.S., Espinoza, M., Clarke, T.M., Fisk, A.T. and Wehrtmann, I.S., 2016. Mercury levels in muscle tissue of four common elasmobranch species from the Pacific coast of Costa Rica, Central America. Regional Studies in Marine Science, 3, pp.254-261.</w:t>
      </w:r>
    </w:p>
    <w:p w14:paraId="2054E05A" w14:textId="77777777" w:rsidR="00787E9A" w:rsidRPr="008608AA" w:rsidRDefault="00787E9A" w:rsidP="00787E9A">
      <w:pPr>
        <w:ind w:left="709" w:hanging="709"/>
        <w:rPr>
          <w:lang w:val="es-CO"/>
        </w:rPr>
      </w:pPr>
      <w:r w:rsidRPr="008608AA">
        <w:t>Santo, A.R., M.G. Sorice, C.J. Donlan, C.T. Franck &amp; C.B. Anderson (2015). A human-centered approach to designing invasive species eradication programs on human-inhabited islands. </w:t>
      </w:r>
      <w:r w:rsidRPr="008608AA">
        <w:rPr>
          <w:lang w:val="es-CO"/>
        </w:rPr>
        <w:t>Global Environmental Change 35: 289-298. </w:t>
      </w:r>
    </w:p>
    <w:p w14:paraId="732FAFF0" w14:textId="77777777" w:rsidR="00787E9A" w:rsidRPr="008608AA" w:rsidRDefault="00787E9A" w:rsidP="00787E9A">
      <w:pPr>
        <w:ind w:left="709" w:hanging="709"/>
      </w:pPr>
      <w:r w:rsidRPr="008608AA">
        <w:rPr>
          <w:lang w:val="es-CO"/>
        </w:rPr>
        <w:t xml:space="preserve">Santos-Santos, E., Yarto-Ramírez, M., Gavilán-García, I., Castro-Díaz, J., Gavilán-García, A., Rosiles, R., Suárez, S. and López-Villegas, T., 2006. </w:t>
      </w:r>
      <w:r w:rsidRPr="008608AA">
        <w:t>Analysis of arsenic, lead and mercury in farming areas with mining contaminated soils at Zacatecas, Mexico. Journal of the Mexican Chemical Society, 50(2), pp.57-63.</w:t>
      </w:r>
    </w:p>
    <w:p w14:paraId="077D82D3" w14:textId="77777777" w:rsidR="00787E9A" w:rsidRPr="008608AA" w:rsidRDefault="00787E9A" w:rsidP="00787E9A">
      <w:pPr>
        <w:ind w:left="709" w:hanging="709"/>
        <w:rPr>
          <w:lang w:val="es-CO"/>
        </w:rPr>
      </w:pPr>
      <w:r w:rsidRPr="008608AA">
        <w:t xml:space="preserve">Santos, C. A. D. (2014). Recent changes in temperature and precipitation extremes in an ecological reserve in federal district, Brazil. </w:t>
      </w:r>
      <w:r w:rsidRPr="008608AA">
        <w:rPr>
          <w:lang w:val="es-CO"/>
        </w:rPr>
        <w:t>Revista Brasileira de Meteorologia, 29(1), 13–20. https://doi.org/10.1590/S0102-77862014000100002</w:t>
      </w:r>
    </w:p>
    <w:p w14:paraId="75109D35" w14:textId="77777777" w:rsidR="00787E9A" w:rsidRPr="008608AA" w:rsidRDefault="00787E9A" w:rsidP="00787E9A">
      <w:pPr>
        <w:ind w:left="709" w:hanging="709"/>
      </w:pPr>
      <w:r w:rsidRPr="008608AA">
        <w:rPr>
          <w:lang w:val="es-CO"/>
        </w:rPr>
        <w:t xml:space="preserve">Santos, H. F., F. L. Carmo, J. E. S. Paes, A. S. Rosado, and R. S. Peixoto. </w:t>
      </w:r>
      <w:r w:rsidRPr="008608AA">
        <w:t>2011. Bioremediation of Mangroves Impacted by Petroleum. Water, Air, &amp; Soil Pollution 216:329–350.</w:t>
      </w:r>
    </w:p>
    <w:p w14:paraId="196C022D" w14:textId="77777777" w:rsidR="00787E9A" w:rsidRPr="008608AA" w:rsidRDefault="00787E9A" w:rsidP="00787E9A">
      <w:pPr>
        <w:ind w:left="709" w:hanging="709"/>
        <w:rPr>
          <w:lang w:val="es-CO"/>
        </w:rPr>
      </w:pPr>
      <w:r w:rsidRPr="008608AA">
        <w:rPr>
          <w:lang w:val="es-CO"/>
        </w:rPr>
        <w:t xml:space="preserve">Sarukhán, J., Urquiza-Haas, T., Koleff, P., Carabias, J., Dirzo, R., Ezcurra, E., Cerdeira-Estrada, S., &amp; Soberón, J. (2015). </w:t>
      </w:r>
      <w:r w:rsidRPr="008608AA">
        <w:t xml:space="preserve">Strategic Actions to Value, Conserve, and Restore the Natural Capital of Megadiversity Countries: The Case of Mexico. </w:t>
      </w:r>
      <w:r w:rsidRPr="008608AA">
        <w:rPr>
          <w:lang w:val="es-CO"/>
        </w:rPr>
        <w:t>BioScience, 65(2), 164–173. https://doi.org/10.1093/biosci/biu195</w:t>
      </w:r>
    </w:p>
    <w:p w14:paraId="5F9C3F01" w14:textId="77777777" w:rsidR="00787E9A" w:rsidRPr="008608AA" w:rsidRDefault="00787E9A" w:rsidP="00787E9A">
      <w:pPr>
        <w:ind w:left="709" w:hanging="709"/>
      </w:pPr>
      <w:r w:rsidRPr="008608AA">
        <w:rPr>
          <w:lang w:val="es-CO"/>
        </w:rPr>
        <w:t xml:space="preserve">Satyamurty, P., A. A. De Castro, J. Tota, L. E. Da Silva Gularte, and A. O. Manzi. </w:t>
      </w:r>
      <w:r w:rsidRPr="008608AA">
        <w:t>2010. Rainfall trends in the Brazilian Amazon Basin in the past eight decades. Theoretical and Applied Climatology 99:139–148.</w:t>
      </w:r>
    </w:p>
    <w:p w14:paraId="0829EE38" w14:textId="77777777" w:rsidR="00787E9A" w:rsidRPr="008608AA" w:rsidRDefault="00787E9A" w:rsidP="00787E9A">
      <w:pPr>
        <w:ind w:left="709" w:hanging="709"/>
      </w:pPr>
      <w:r w:rsidRPr="008608AA">
        <w:t xml:space="preserve">Savini, D. &amp; Occhipinti-Ambrogi, A. 2006.  Consumption rates and prey preference of the invasive gas-tropod Rapana venosa in the Northern Adriatic Sea. Helgoland Marine Research, 60: 153-159. </w:t>
      </w:r>
    </w:p>
    <w:p w14:paraId="4BA4A08D" w14:textId="77777777" w:rsidR="00787E9A" w:rsidRPr="008608AA" w:rsidRDefault="00787E9A" w:rsidP="00787E9A">
      <w:pPr>
        <w:ind w:left="709" w:hanging="709"/>
      </w:pPr>
      <w:r w:rsidRPr="008608AA">
        <w:t>Sayer, E.J., Wright, S.J., Tanner, E.V., Yavitt, J.B., Harms, K.E., Powers, J.S., Kaspari, M., Garcia, M.N. and Turner, B.L., 2012. Variable responses of lowland tropical forest nutrient status to fertilization and litter manipulation. Ecosystems, 15(3), pp.387-400.</w:t>
      </w:r>
    </w:p>
    <w:p w14:paraId="05B022A2" w14:textId="77777777" w:rsidR="00787E9A" w:rsidRPr="008608AA" w:rsidRDefault="00787E9A" w:rsidP="00787E9A">
      <w:pPr>
        <w:ind w:left="709" w:hanging="709"/>
      </w:pPr>
      <w:r w:rsidRPr="008608AA">
        <w:t>Scanlon, B. R., I. Jolly, M. Sophocleous, and L. Zhang. 2007. Global impacts of conversions from natural to agricultural ecosystems on water resources: Quantity versus quality. Water Resources Research 43.</w:t>
      </w:r>
    </w:p>
    <w:p w14:paraId="512D596C" w14:textId="77777777" w:rsidR="00787E9A" w:rsidRPr="008608AA" w:rsidRDefault="00787E9A" w:rsidP="00787E9A">
      <w:pPr>
        <w:ind w:left="709" w:hanging="709"/>
        <w:rPr>
          <w:lang w:val="es-CO"/>
        </w:rPr>
      </w:pPr>
      <w:r w:rsidRPr="008608AA">
        <w:t xml:space="preserve">Scarabino F, Menafra R and Etchegaray P.1999. </w:t>
      </w:r>
      <w:r w:rsidRPr="008608AA">
        <w:rPr>
          <w:lang w:val="es-CO"/>
        </w:rPr>
        <w:t>Presencia de Rapana venosa (Valenciennes, 1846) (Gastropoda: Muricidae) en el Río de la Plata. Actas V Jornadas de Zoología del Uruguay, Bo-letín de la Sociedad Zoológica del Uruguay (Segunda época), 11: 40.</w:t>
      </w:r>
    </w:p>
    <w:p w14:paraId="53CC6364" w14:textId="77777777" w:rsidR="00787E9A" w:rsidRPr="00CE0821" w:rsidRDefault="00787E9A" w:rsidP="00787E9A">
      <w:pPr>
        <w:ind w:left="709" w:hanging="709"/>
        <w:rPr>
          <w:lang w:val="es-CO"/>
        </w:rPr>
      </w:pPr>
      <w:r w:rsidRPr="008608AA">
        <w:t xml:space="preserve">Scatena, F. N., and M. C. Larsen. 1991. Physical aspects of Hurricane Hugo in Puerto Rico. </w:t>
      </w:r>
      <w:r w:rsidRPr="00CE0821">
        <w:rPr>
          <w:lang w:val="es-CO"/>
        </w:rPr>
        <w:t>Biotropica 23:317–323.</w:t>
      </w:r>
    </w:p>
    <w:p w14:paraId="630DE764" w14:textId="77777777" w:rsidR="00787E9A" w:rsidRPr="008608AA" w:rsidRDefault="00787E9A" w:rsidP="00787E9A">
      <w:pPr>
        <w:ind w:left="709" w:hanging="709"/>
      </w:pPr>
      <w:r w:rsidRPr="00CE0821">
        <w:rPr>
          <w:lang w:val="es-CO"/>
        </w:rPr>
        <w:t xml:space="preserve">Schaeffer-Novelli, Y., E. J. Soriano-Serra, C. C. Vale, E. Bernini, A. S. Rovai, M. A. A. Pinheiro, A. J. Schmidt, R. Almeida, Jr. Coelho C., R. P. Menghini, D. I. Martinez, G. M. O. Abuchahla, M. Cunha-Lignon, S. Charlier-Sarubo, J. Shirazawa-Freitas, G. Cintrón-Molero. </w:t>
      </w:r>
      <w:r w:rsidRPr="008608AA">
        <w:t>2016.  Climate changes in mangrove forests and salt marshes. Brazilian Journal of Oceanography 64: 37-52.</w:t>
      </w:r>
    </w:p>
    <w:p w14:paraId="2772CF08" w14:textId="77777777" w:rsidR="00787E9A" w:rsidRPr="008608AA" w:rsidRDefault="00787E9A" w:rsidP="00787E9A">
      <w:pPr>
        <w:ind w:left="709" w:hanging="709"/>
      </w:pPr>
      <w:r w:rsidRPr="008608AA">
        <w:t>Scheffers, B. R., L. De Meester, T. C. L. Bridge, A. A. Hoffmann, J. M. Pandolfi, R. T. Corlett, S. H. M. Butchart, P. Pearce-Kelly, K. M. Kovacs, D. Dudgeon, M. Pacifici, C. Rondinini, W. B. Foden, T. G. Martin, C. Mora, D. Bickford, and J. E. M. Watson. 2016. The broad footprint of climate change from genes to biomes to people. Science 354:aaf7671.</w:t>
      </w:r>
    </w:p>
    <w:p w14:paraId="7A7D285D" w14:textId="77777777" w:rsidR="00787E9A" w:rsidRPr="008608AA" w:rsidRDefault="00787E9A" w:rsidP="00787E9A">
      <w:pPr>
        <w:ind w:left="709" w:hanging="709"/>
      </w:pPr>
      <w:r w:rsidRPr="008608AA">
        <w:t>Schindler, D.W., Dillon, P.J. and Schreier, H., 2006. A review of anthropogenic sources of nitrogen and their effects on Canadian aquatic ecosystems. Biogeochemistry, 79(1), pp.25-44.</w:t>
      </w:r>
    </w:p>
    <w:p w14:paraId="2E827C69" w14:textId="77777777" w:rsidR="00787E9A" w:rsidRPr="008608AA" w:rsidRDefault="00787E9A" w:rsidP="00787E9A">
      <w:pPr>
        <w:ind w:left="709" w:hanging="709"/>
      </w:pPr>
      <w:r w:rsidRPr="008608AA">
        <w:t>Schleupner, C., &amp; Link, P. M. (2008). Potential impacts on important bird habitats in Eiderstedt (Schleswig-Holstein) caused by agricultural land use changes. Applied Geography, 28(4), 237-247.</w:t>
      </w:r>
    </w:p>
    <w:p w14:paraId="5EEB8F1A" w14:textId="77777777" w:rsidR="00787E9A" w:rsidRPr="008608AA" w:rsidRDefault="00787E9A" w:rsidP="00787E9A">
      <w:pPr>
        <w:ind w:left="709" w:hanging="709"/>
      </w:pPr>
      <w:r w:rsidRPr="008608AA">
        <w:t>Schmidtko, S., Stramma, L. and Visbeck, M., 2017. Decline in global oceanic oxygen content during the past five decades. Nature, 542(7641), pp.335-339.</w:t>
      </w:r>
    </w:p>
    <w:p w14:paraId="0DDDB2D0" w14:textId="77777777" w:rsidR="00787E9A" w:rsidRPr="008608AA" w:rsidRDefault="00787E9A" w:rsidP="00787E9A">
      <w:pPr>
        <w:ind w:left="709" w:hanging="709"/>
      </w:pPr>
      <w:r w:rsidRPr="008608AA">
        <w:t>Schneider, L. (2006). Invasive Species and Land-Use: The Effect of Land Management Practices on Bracken Fern Invasion in the Region of Calakmul, Mexico. Journal of Latin American Geography, 5(2), 92–107.</w:t>
      </w:r>
    </w:p>
    <w:p w14:paraId="0D218B4A" w14:textId="77777777" w:rsidR="00787E9A" w:rsidRPr="008608AA" w:rsidRDefault="00787E9A" w:rsidP="00787E9A">
      <w:pPr>
        <w:ind w:left="709" w:hanging="709"/>
      </w:pPr>
      <w:r w:rsidRPr="008608AA">
        <w:t>Schneider, L. C., &amp; Fernando, D. N. (2010). An untidy cover: Invasion of bracken fern in the shifting cultivation systems of southern yucat??n, Mexico. Biotropica, 42(1), 41–48. https://doi.org/10.1111/j.1744-7429.2009.00569.x</w:t>
      </w:r>
    </w:p>
    <w:p w14:paraId="5AE9526C" w14:textId="77777777" w:rsidR="00787E9A" w:rsidRPr="008608AA" w:rsidRDefault="00787E9A" w:rsidP="00787E9A">
      <w:pPr>
        <w:ind w:left="709" w:hanging="709"/>
      </w:pPr>
      <w:r w:rsidRPr="008608AA">
        <w:t>Schofield, P. J. (2010). Update on geographic spread of invasive lionfishes (Pterois volitans [Linnaeus, 1758] and P. miles [Bennett, 1828]) in the Western North Atlantic Ocean, Caribbean Sea and Gulf of Mexico. Aquatic Invasions, 5(SUPPL. 1), 117–122. https://doi.org/10.3391/ai.2010.5.S1.024</w:t>
      </w:r>
    </w:p>
    <w:p w14:paraId="440BF072" w14:textId="77777777" w:rsidR="00787E9A" w:rsidRPr="008608AA" w:rsidRDefault="00787E9A" w:rsidP="00787E9A">
      <w:pPr>
        <w:ind w:left="709" w:hanging="709"/>
      </w:pPr>
      <w:r w:rsidRPr="008608AA">
        <w:t>Schofield, P.J. 2009. Geographic extent and chronology of the invasion of non-native lionfish (Pterois volitans [Linnaeus 1758] and P. miles [Bennett 1828]) in the Western North Atlantic and Caribbean Sea. Aquatic Invasions 4: 473c InvaSchofield, P. J. 2010. Update on geographic spread of invasive lionfishes (Pterois volitans [Linnaeus, 1758] and P. miles [Bennett, 1828]) in the Western North Atlantic Ocean, Caribbean Sea and Gulf of Mexico. Aquatic Invasions 5: S117-S122.</w:t>
      </w:r>
    </w:p>
    <w:p w14:paraId="19141EE2" w14:textId="77777777" w:rsidR="00787E9A" w:rsidRPr="008608AA" w:rsidRDefault="00787E9A" w:rsidP="00787E9A">
      <w:pPr>
        <w:ind w:left="709" w:hanging="709"/>
      </w:pPr>
      <w:r w:rsidRPr="008608AA">
        <w:t>Schöngart, J., F. Wittmann, and M. Worbes. 2010. Biomass and net primary production of central Amazonian floodplain forests. Pages 347–388 in. Amazonian Floodplain Forests: ecophysiology, biodiversity and sustainable management. Volume 210. &lt;http://dx.doi.org/10.1007/978-90-481-8725-6_18&gt;.</w:t>
      </w:r>
    </w:p>
    <w:p w14:paraId="33F172EF" w14:textId="77777777" w:rsidR="00787E9A" w:rsidRPr="008608AA" w:rsidRDefault="00787E9A" w:rsidP="00787E9A">
      <w:pPr>
        <w:ind w:left="709" w:hanging="709"/>
      </w:pPr>
      <w:r w:rsidRPr="008608AA">
        <w:t>Schwarzenbach, R. P., Escher, B. I., Fenner, K., Hofstetter, T. B., Johnson, C. A., Von Gunten, U., &amp; Wehrli, B. (2006). The challenge of micropollutants in aquatic systems. Science, 313(5790), 1072-1077.</w:t>
      </w:r>
    </w:p>
    <w:p w14:paraId="50D30274" w14:textId="77777777" w:rsidR="00787E9A" w:rsidRPr="008608AA" w:rsidRDefault="00787E9A" w:rsidP="00787E9A">
      <w:pPr>
        <w:ind w:left="709" w:hanging="709"/>
      </w:pPr>
      <w:r w:rsidRPr="008608AA">
        <w:t>Seabloom W. Eric, Williams W. John, Slayback Daniel, Stoms M. David, V. H. J. &amp; D. P. A. (2006). Human Impacts, Plant Invasion, and Imperiled Plant Species in California. Ecological Applications, 16(4), 1338–1350.</w:t>
      </w:r>
    </w:p>
    <w:p w14:paraId="4A120EDB" w14:textId="77777777" w:rsidR="00787E9A" w:rsidRPr="008608AA" w:rsidRDefault="00787E9A" w:rsidP="00787E9A">
      <w:pPr>
        <w:ind w:left="709" w:hanging="709"/>
      </w:pPr>
      <w:r w:rsidRPr="008608AA">
        <w:t>Seebens, H., Blackburn, T. M., Dyer, E. E., Genovesi, P., Hulme, P. E., Jeschke, J. M., Pagad, S., Pyšek, P., Winter, M., Arianoutsou, M., Bacher, S., Blasius, B., Brundu, G., Capinha, C., Celesti-Grapow, L., Dawson, W., Dullinger, S., Fuentes, N., Jäger, H., Kartesz, J., Kenis, M., Kreft, H., Kühn, I., Lenzner, B., Liebhold, A., Mosena, A., Moser, D., Nishino, M., Pearman, D., Pergl, J., Rabitsch, W., Rojas-Sandoval, J., Roques, A., Rorke, S., Rossinelli, S., Roy, H. E., Scalera, R., Schindler, S., Štajerová, K., Tokarska-Guzik, B., van Kleunen, M., Walker, K., Weigelt, P., Yamanaka, T., &amp; Essl, F. (2017). No saturation in the accumulation of alien species worldwide. Nature Communications, 8, 14435. https://doi.org/10.1038/ncomms14435</w:t>
      </w:r>
    </w:p>
    <w:p w14:paraId="31D0C4EC" w14:textId="77777777" w:rsidR="00787E9A" w:rsidRPr="008608AA" w:rsidRDefault="00787E9A" w:rsidP="00787E9A">
      <w:pPr>
        <w:ind w:left="709" w:hanging="709"/>
      </w:pPr>
      <w:r w:rsidRPr="008608AA">
        <w:t>Seebens, H., Gastner, M. T., &amp; Blasius, B. (2013). The risk of marine bioinvasion caused by global shipping. Ecology letters, 16(6), 782-790.</w:t>
      </w:r>
    </w:p>
    <w:p w14:paraId="311F51A6" w14:textId="77777777" w:rsidR="00787E9A" w:rsidRPr="008608AA" w:rsidRDefault="00787E9A" w:rsidP="00787E9A">
      <w:pPr>
        <w:ind w:left="709" w:hanging="709"/>
      </w:pPr>
      <w:r w:rsidRPr="008608AA">
        <w:t>Seijas, A. E., R. Antelo, J. B. Thorbjarnarson, and M. C. Ardila Robayo. 2010. Orinoco Crocodile Crocodylus intermedius. Pages 59–65 in S. C. Manolis and C. Stevenson, editors. Crocodiles. Status Survey and Conservation Action Plan. Third. Crocodile Specialist Group: Darwin.</w:t>
      </w:r>
    </w:p>
    <w:p w14:paraId="198C24D3" w14:textId="77777777" w:rsidR="00787E9A" w:rsidRPr="008608AA" w:rsidRDefault="00787E9A" w:rsidP="00787E9A">
      <w:pPr>
        <w:ind w:left="709" w:hanging="709"/>
      </w:pPr>
      <w:r w:rsidRPr="008608AA">
        <w:t>Seipel, T., Kueffer, C., Rew, L. J., Daehler, C. C., Pauchard, A., Naylor, B. J., Alexander, J. M., Edwards, P. J., Parks, C. G., Arevalo, J. R., Cavieres, L. A., Dietz, H., Jakobs, G., Mcdougall, K., Otto, R., &amp; Walsh, N. (2012). Processes at multiple scales affect richness and similarity of non-native plant species in mountains around the world. Global Ecology and Biogeography, 21(2), 236–246. https://doi.org/10.1111/j.1466-8238.2011.00664.x</w:t>
      </w:r>
    </w:p>
    <w:p w14:paraId="306D6C20" w14:textId="77777777" w:rsidR="00787E9A" w:rsidRPr="008608AA" w:rsidRDefault="00787E9A" w:rsidP="00787E9A">
      <w:pPr>
        <w:ind w:left="709" w:hanging="709"/>
      </w:pPr>
      <w:r w:rsidRPr="008608AA">
        <w:t>Sell, S. K. (2009). Private Power, Public Law. The Globalization of Intellectual Property Rights. Cambridge University Press. Online publication date: September 2009:  https://doi.org/10.1017/CBO9780511491665</w:t>
      </w:r>
    </w:p>
    <w:p w14:paraId="70D9C750" w14:textId="77777777" w:rsidR="00787E9A" w:rsidRPr="008608AA" w:rsidRDefault="00787E9A" w:rsidP="00787E9A">
      <w:pPr>
        <w:ind w:left="709" w:hanging="709"/>
      </w:pPr>
    </w:p>
    <w:p w14:paraId="6DC03109" w14:textId="77777777" w:rsidR="00787E9A" w:rsidRPr="008608AA" w:rsidRDefault="00787E9A" w:rsidP="00787E9A">
      <w:pPr>
        <w:ind w:left="709" w:hanging="709"/>
      </w:pPr>
      <w:r w:rsidRPr="008608AA">
        <w:t>Serenari, C., Peterson, M. N., Wallace, T., Stowhas, P. (2017). Indigenous Perspectives on Private Protected Areas in Chile. Natural Areas Journal, 37(1), 98–107.</w:t>
      </w:r>
    </w:p>
    <w:p w14:paraId="0126128C" w14:textId="77777777" w:rsidR="00787E9A" w:rsidRPr="008608AA" w:rsidRDefault="00787E9A" w:rsidP="00787E9A">
      <w:pPr>
        <w:ind w:left="709" w:hanging="709"/>
      </w:pPr>
      <w:r w:rsidRPr="008608AA">
        <w:t>SERNA 2009  </w:t>
      </w:r>
      <w:hyperlink r:id="rId1017" w:tgtFrame="_blank" w:history="1">
        <w:r w:rsidRPr="008608AA">
          <w:t>https://www.scribd.com/document/98703779/Inventario-de-Humedales-de-Honduras#</w:t>
        </w:r>
      </w:hyperlink>
    </w:p>
    <w:p w14:paraId="2CA2241B" w14:textId="77777777" w:rsidR="00787E9A" w:rsidRPr="008608AA" w:rsidRDefault="00787E9A" w:rsidP="00787E9A">
      <w:pPr>
        <w:ind w:left="709" w:hanging="709"/>
      </w:pPr>
      <w:r w:rsidRPr="008608AA">
        <w:t>Seto, K. C., Fragkias, M., Güneralp, B., &amp; Reilly, M. K. (2011). A meta-analysis of global urban land expansion. PloS one, 6(8), e23777.</w:t>
      </w:r>
    </w:p>
    <w:p w14:paraId="634FEFD5" w14:textId="77777777" w:rsidR="00787E9A" w:rsidRPr="008608AA" w:rsidRDefault="00787E9A" w:rsidP="00787E9A">
      <w:pPr>
        <w:ind w:left="709" w:hanging="709"/>
      </w:pPr>
      <w:r w:rsidRPr="008608AA">
        <w:t>Seto, K. C., Güneralp, B., &amp; Hutyra, L. R. (2012). Global forecasts of urban expansion to 2030 and direct impacts on biodiversity and carbon pools. Proceedings of the National Academy of Sciences, 109(40), 16083-16088.</w:t>
      </w:r>
    </w:p>
    <w:p w14:paraId="0CB0A36C" w14:textId="77777777" w:rsidR="00787E9A" w:rsidRPr="008608AA" w:rsidRDefault="00787E9A" w:rsidP="00787E9A">
      <w:pPr>
        <w:ind w:left="709" w:hanging="709"/>
      </w:pPr>
      <w:r w:rsidRPr="008608AA">
        <w:t>Shelton, Peter A., and M. Joanne Morgan. "Impact of maximum sustainable yield-based fisheries management frameworks on rebuilding North Atlantic cod stocks." Journal of Northwest Atlantic Fishery Science 46 (2014).</w:t>
      </w:r>
    </w:p>
    <w:p w14:paraId="6F7A2AB7" w14:textId="77777777" w:rsidR="00787E9A" w:rsidRPr="008608AA" w:rsidRDefault="00787E9A" w:rsidP="00787E9A">
      <w:pPr>
        <w:ind w:left="709" w:hanging="709"/>
      </w:pPr>
      <w:r w:rsidRPr="008608AA">
        <w:t>Shen, L., Wania, F., Lei, Y.D., Teixeira, C., Muir, D.C. and Xiao, H., 2006. Polychlorinated biphenyls and polybrominated diphenyl ethers in the North American atmosphere. Environmental pollution, 144(2), pp.434-444.</w:t>
      </w:r>
    </w:p>
    <w:p w14:paraId="3CC5AF6F" w14:textId="77777777" w:rsidR="00787E9A" w:rsidRPr="008608AA" w:rsidRDefault="00787E9A" w:rsidP="00787E9A">
      <w:pPr>
        <w:ind w:left="709" w:hanging="709"/>
      </w:pPr>
      <w:r w:rsidRPr="008608AA">
        <w:t>Sherman, K., and Hamukuaya, H. 2016. Sustainable development of the world's Large Marine Ecosystems. Environmental Development. Volume 17, Supplement 1, Pages 1-6.</w:t>
      </w:r>
    </w:p>
    <w:p w14:paraId="06E80008" w14:textId="77777777" w:rsidR="00787E9A" w:rsidRPr="008608AA" w:rsidRDefault="00787E9A" w:rsidP="00787E9A">
      <w:pPr>
        <w:ind w:left="709" w:hanging="709"/>
      </w:pPr>
      <w:r w:rsidRPr="008608AA">
        <w:t>Sherman, K., Sissenwine, M., Christensen, V., Duda, A., Hempel, G., Ibe, C., Levin, S., et al., 2005. A global movement toward an ecosystem approach to marine resources management. Marine Ecology Progress Series, 300: 275–279.</w:t>
      </w:r>
    </w:p>
    <w:p w14:paraId="0D55EA0F" w14:textId="77777777" w:rsidR="00787E9A" w:rsidRPr="008608AA" w:rsidRDefault="00787E9A" w:rsidP="00787E9A">
      <w:pPr>
        <w:ind w:left="709" w:hanging="709"/>
      </w:pPr>
      <w:r w:rsidRPr="008608AA">
        <w:t>Shirey, P. D., B. N. Kunycky, D. T. Chaloner, M. A. Brueseke, and G. A. Lamberti. 2013. Commercial trade of federally listed threatened and endangered plants in the United States. Conservation Letters 6:300–316.</w:t>
      </w:r>
    </w:p>
    <w:p w14:paraId="3400E8F0" w14:textId="77777777" w:rsidR="00787E9A" w:rsidRPr="008608AA" w:rsidRDefault="00787E9A" w:rsidP="00787E9A">
      <w:pPr>
        <w:ind w:left="709" w:hanging="709"/>
      </w:pPr>
      <w:r w:rsidRPr="008608AA">
        <w:t>Shunthirasingham, C., Gouin, T., Lei, Y.D., Ruepert, C., Castillo, L.E. and Wania, F., 2011. Current</w:t>
      </w:r>
      <w:r w:rsidRPr="008608AA">
        <w:rPr>
          <w:rFonts w:ascii="Cambria Math" w:hAnsi="Cambria Math" w:cs="Cambria Math"/>
        </w:rPr>
        <w:t>‐</w:t>
      </w:r>
      <w:r w:rsidRPr="008608AA">
        <w:t>use pesticide transport to Costa Rica's high</w:t>
      </w:r>
      <w:r w:rsidRPr="008608AA">
        <w:rPr>
          <w:rFonts w:ascii="Cambria Math" w:hAnsi="Cambria Math" w:cs="Cambria Math"/>
        </w:rPr>
        <w:t>‐</w:t>
      </w:r>
      <w:r w:rsidRPr="008608AA">
        <w:t>altitude tropical cloud forest. Environmental Toxicology and Chemistry, 30(12), pp.2709-2717.</w:t>
      </w:r>
    </w:p>
    <w:p w14:paraId="21F50E77" w14:textId="77777777" w:rsidR="00787E9A" w:rsidRPr="008608AA" w:rsidRDefault="00787E9A" w:rsidP="00787E9A">
      <w:pPr>
        <w:ind w:left="709" w:hanging="709"/>
      </w:pPr>
      <w:r w:rsidRPr="008608AA">
        <w:t>Sieg, C. H. 1987. Small mammals: pests or vital components of the ecosystem. Great Plains Wildlife Damage Control Workshop 97:88–92.</w:t>
      </w:r>
    </w:p>
    <w:p w14:paraId="5138A573" w14:textId="77777777" w:rsidR="00787E9A" w:rsidRPr="008608AA" w:rsidRDefault="00787E9A" w:rsidP="00787E9A">
      <w:pPr>
        <w:ind w:left="709" w:hanging="709"/>
      </w:pPr>
      <w:r w:rsidRPr="008608AA">
        <w:t xml:space="preserve">Siffredi, G., López, D., Ayesa, J., Bianchi, E., Velasco, V., &amp; Becker, G. (2011). </w:t>
      </w:r>
      <w:r w:rsidRPr="008608AA">
        <w:rPr>
          <w:lang w:val="es-CO"/>
        </w:rPr>
        <w:t>Reducción de la accesibilidad al forraje por caída de cenizas volcánicas. </w:t>
      </w:r>
      <w:r w:rsidRPr="008608AA">
        <w:t>Revista Presencia, (57).</w:t>
      </w:r>
    </w:p>
    <w:p w14:paraId="05300BCA" w14:textId="77777777" w:rsidR="00787E9A" w:rsidRPr="008608AA" w:rsidRDefault="00787E9A" w:rsidP="00787E9A">
      <w:pPr>
        <w:ind w:left="709" w:hanging="709"/>
      </w:pPr>
      <w:r w:rsidRPr="008608AA">
        <w:t>Silva, E. (2016). Patagonia, without Dams! Lessons of a David vs. Goliath campaign. Extractive Industries and Society, 3(4), 947–957. http://doi.org/10.1016/j.exis.2016.10.004</w:t>
      </w:r>
    </w:p>
    <w:p w14:paraId="1F410426" w14:textId="77777777" w:rsidR="00787E9A" w:rsidRPr="008608AA" w:rsidRDefault="00787E9A" w:rsidP="00787E9A">
      <w:pPr>
        <w:ind w:left="709" w:hanging="709"/>
      </w:pPr>
      <w:r w:rsidRPr="008608AA">
        <w:t>Silva, J. S. O., da Cunha Bustamante, M. M., Markewitz, D., Krusche, A. V., &amp; Ferreira, L. G. (2011). Effects of land cover on chemical characteristics of streams in the Cerrado region of Brazil. Biogeochemistry, 105(1-3), 75-88.</w:t>
      </w:r>
    </w:p>
    <w:p w14:paraId="1C48EF63" w14:textId="77777777" w:rsidR="00787E9A" w:rsidRPr="008608AA" w:rsidRDefault="00787E9A" w:rsidP="00787E9A">
      <w:pPr>
        <w:ind w:left="709" w:hanging="709"/>
        <w:rPr>
          <w:lang w:val="es-CO"/>
        </w:rPr>
      </w:pPr>
      <w:r w:rsidRPr="008608AA">
        <w:t>Silver, W.L., Lugo, A.E. and Keller, M., 1999. Soil oxygen availability and biogeochemistry along rainfall and topographic gradients in upland wet tropical forest soils. </w:t>
      </w:r>
      <w:r w:rsidRPr="008608AA">
        <w:rPr>
          <w:lang w:val="es-CO"/>
        </w:rPr>
        <w:t>Biogeochemistry, 44(3), pp.301-328.</w:t>
      </w:r>
    </w:p>
    <w:p w14:paraId="35146AAE" w14:textId="77777777" w:rsidR="00787E9A" w:rsidRPr="008608AA" w:rsidRDefault="00787E9A" w:rsidP="00787E9A">
      <w:pPr>
        <w:ind w:left="709" w:hanging="709"/>
      </w:pPr>
      <w:r w:rsidRPr="008608AA">
        <w:rPr>
          <w:lang w:val="es-CO"/>
        </w:rPr>
        <w:t xml:space="preserve">Silvério, D. V., Brando, P. M., Balch, J. K., Putz, F. E., Nepstad, D. C., Oliveira-Santos, C., &amp; Bustamante, M. M. C. (2013). </w:t>
      </w:r>
      <w:r w:rsidRPr="008608AA">
        <w:t>Testing the Amazon savannization hypothesis: fire effects on invasion of a neotropical forest by native cerrado and exotic pasture grasses. Philosophical Transactions of Royal Society B, 8. https://doi.org/10.1098/rstb.2012.0427</w:t>
      </w:r>
    </w:p>
    <w:p w14:paraId="6B4D5426" w14:textId="77777777" w:rsidR="00787E9A" w:rsidRPr="008608AA" w:rsidRDefault="00787E9A" w:rsidP="00787E9A">
      <w:pPr>
        <w:ind w:left="709" w:hanging="709"/>
      </w:pPr>
      <w:r w:rsidRPr="008608AA">
        <w:t>Simberloff, D., Martin, J. L., Genovesi, P., Maris, V., Wardle, D. A., Aronson, J., Courchamp, F., Galil, B., García-Berthou, E., Pascal, M., Pyšek, P., Sousa, R., Tabacchi, E., &amp; Vilà, M. (2013). Impacts of biological invasions: What’s what and the way forward. Trends in Ecology and Evolution, 28(1), 58–66. https://doi.org/10.1016/j.tree.2012.07.013</w:t>
      </w:r>
    </w:p>
    <w:p w14:paraId="10A225D3" w14:textId="77777777" w:rsidR="00787E9A" w:rsidRPr="008608AA" w:rsidRDefault="00787E9A" w:rsidP="00787E9A">
      <w:pPr>
        <w:ind w:left="709" w:hanging="709"/>
      </w:pPr>
      <w:r w:rsidRPr="008608AA">
        <w:t>Skalak, K. J., Benthem, A. J., Schenk, E. R., Hupp, C. R., Galloway, J. M., Nustad, R. A., &amp; Wiche, G. J. (2013). Large dams and alluvial rivers in the Anthropocene: The impacts of the Garrison and Oahe Dams on the Upper Missouri River. Anthropocene, 2, 51-64.</w:t>
      </w:r>
    </w:p>
    <w:p w14:paraId="3791D869" w14:textId="77777777" w:rsidR="00787E9A" w:rsidRPr="008608AA" w:rsidRDefault="00787E9A" w:rsidP="00787E9A">
      <w:pPr>
        <w:ind w:left="709" w:hanging="709"/>
      </w:pPr>
      <w:r w:rsidRPr="008608AA">
        <w:t>Smith, R., Muir, R. D., Walpole, M., Balmford, A., &amp; Leader-Williams, N. (2003). Governance and the loss of biodiversity. Nature, 426, 67–70. http://doi.org/10.1038/nature02095.1.</w:t>
      </w:r>
    </w:p>
    <w:p w14:paraId="7127F5EE" w14:textId="77777777" w:rsidR="00787E9A" w:rsidRPr="008608AA" w:rsidRDefault="00787E9A" w:rsidP="00787E9A">
      <w:pPr>
        <w:ind w:left="709" w:hanging="709"/>
      </w:pPr>
      <w:r w:rsidRPr="008608AA">
        <w:rPr>
          <w:lang w:val="es-CO"/>
        </w:rPr>
        <w:t xml:space="preserve">Soares-Filho, B. S., Nepstad, D., Curran, L., Voll, E., Cerqueira, G. C., Garcia, R. A., Ramos, C. A., Mcdonald, A., Lefebvre, P., &amp; Schlesinger, P. (2006). </w:t>
      </w:r>
      <w:r w:rsidRPr="008608AA">
        <w:t>Modeling Conservation in the Amazon Basin. Nature, 440(3), 520–523. Retrieved from https://search.proquest.com/openview/4c0cd9dd431a303d213f9da5edf8a0b1/1?pq-origsite=gscholar&amp;cbl=40569</w:t>
      </w:r>
    </w:p>
    <w:p w14:paraId="251297BC" w14:textId="77777777" w:rsidR="00787E9A" w:rsidRPr="008608AA" w:rsidRDefault="00787E9A" w:rsidP="00787E9A">
      <w:pPr>
        <w:ind w:left="709" w:hanging="709"/>
      </w:pPr>
      <w:r w:rsidRPr="008608AA">
        <w:t>Sobota, D. J., J. E. Compton, and J. A. Harrison. 2013. Reactive nitrogen inputs to US lands and waterways: How certain are we about sources and fluxes? Frontiers in Ecology and the Environment 11:82–90.</w:t>
      </w:r>
    </w:p>
    <w:p w14:paraId="5553CCE7" w14:textId="77777777" w:rsidR="00787E9A" w:rsidRPr="008608AA" w:rsidRDefault="00787E9A" w:rsidP="00787E9A">
      <w:pPr>
        <w:ind w:left="709" w:hanging="709"/>
      </w:pPr>
      <w:r w:rsidRPr="008608AA">
        <w:t>Somers, B., G. P. Asner, R. E. Martin, C. B. Anderson, D. E. Knapp, S. J. Wright, and R. Van De Kerchove. 2015. Mesoscale assessment of changes in tropical tree species richness across a bioclimatic gradient in Panama using airborne imaging spectroscopy. Remote Sensing of Environment 167:111–120. Elsevier Inc. &lt;http://dx.doi.org/10.1016/j.rse.2015.04.016&gt;.</w:t>
      </w:r>
    </w:p>
    <w:p w14:paraId="0AE8B04F" w14:textId="77777777" w:rsidR="00787E9A" w:rsidRPr="008608AA" w:rsidRDefault="00787E9A" w:rsidP="00787E9A">
      <w:pPr>
        <w:ind w:left="709" w:hanging="709"/>
      </w:pPr>
      <w:r w:rsidRPr="008608AA">
        <w:t>Son, J. Y., Lee, H. J., Koutrakis, P., &amp; Bell, M. L. (2017). Pregnancy and Lifetime Exposure to Fine Particulate Matter and Infant Mortality in Massachusetts, 2001–2007. American Journal of Epidemiology, 1-9.</w:t>
      </w:r>
    </w:p>
    <w:p w14:paraId="1BC079E1" w14:textId="77777777" w:rsidR="00787E9A" w:rsidRPr="008608AA" w:rsidRDefault="00787E9A" w:rsidP="00787E9A">
      <w:pPr>
        <w:ind w:left="709" w:hanging="709"/>
      </w:pPr>
      <w:r w:rsidRPr="008608AA">
        <w:t>Sorensson, A. A., Menéndez, C. G., Ruscica, R., Alexander, P., Samuelsson, P., &amp; Willén, U. (2010). Projected precipitation changes in South America: a dynamical downscaling within CLARIS. Meteorologische Zeitschrift, 19(4), 347-355.</w:t>
      </w:r>
    </w:p>
    <w:p w14:paraId="42106289" w14:textId="77777777" w:rsidR="00787E9A" w:rsidRPr="008608AA" w:rsidRDefault="00787E9A" w:rsidP="00787E9A">
      <w:pPr>
        <w:ind w:left="709" w:hanging="709"/>
      </w:pPr>
      <w:r w:rsidRPr="008608AA">
        <w:t>Speziale, K. L., Lambertucci, S. A., Carrete, M., &amp; Tella, J. L. (2012). Dealing with non-native species: What makes the difference in South America? Biological Invasions, 14(8), 1609–1621. https://doi.org/10.1007/s10530-011-0162-0</w:t>
      </w:r>
    </w:p>
    <w:p w14:paraId="09A10BA6" w14:textId="77777777" w:rsidR="00787E9A" w:rsidRPr="008608AA" w:rsidRDefault="00787E9A" w:rsidP="00787E9A">
      <w:pPr>
        <w:ind w:left="709" w:hanging="709"/>
      </w:pPr>
      <w:r w:rsidRPr="008608AA">
        <w:t>Sprague, L. A., R. M. Hirsch, and B. T. Aulenbach. 2011. Nitrate in the mississippi river and its tributaries, 1980 to 2008: Are we making progress? Environmental Science and Technology. Volume 45.</w:t>
      </w:r>
    </w:p>
    <w:p w14:paraId="024885AC" w14:textId="77777777" w:rsidR="00787E9A" w:rsidRPr="008608AA" w:rsidRDefault="00787E9A" w:rsidP="00787E9A">
      <w:pPr>
        <w:ind w:left="709" w:hanging="709"/>
      </w:pPr>
      <w:r w:rsidRPr="008608AA">
        <w:t>Steiner, N.S., Christian, J.R., Six, K.D., Yamamoto, A. and Yamamoto</w:t>
      </w:r>
      <w:r w:rsidRPr="008608AA">
        <w:rPr>
          <w:rFonts w:ascii="Cambria Math" w:hAnsi="Cambria Math" w:cs="Cambria Math"/>
        </w:rPr>
        <w:t>‐</w:t>
      </w:r>
      <w:r w:rsidRPr="008608AA">
        <w:t>Kawai, M., 2014. Future ocean acidification in the Canada Basin and surrounding Arctic Ocean from CMIP5 earth system models. Journal of Geophysical Research: Oceans, 119(1), pp.332-347.</w:t>
      </w:r>
    </w:p>
    <w:p w14:paraId="333CCAF6" w14:textId="77777777" w:rsidR="00787E9A" w:rsidRPr="008608AA" w:rsidRDefault="00787E9A" w:rsidP="00787E9A">
      <w:pPr>
        <w:ind w:left="709" w:hanging="709"/>
      </w:pPr>
      <w:r w:rsidRPr="008608AA">
        <w:t>Sténs, A., Bjärstig, T., Nordström, E. M., Sandström, C., Fries, C., &amp; Johansson, J. (2016). In the eye of the stakeholder: The challenges of governing social forest values. Ambio, 45, 87–99. http://doi.org/10.1007/s13280-015-0745-6</w:t>
      </w:r>
    </w:p>
    <w:p w14:paraId="3E43110B" w14:textId="77777777" w:rsidR="00787E9A" w:rsidRPr="008608AA" w:rsidRDefault="00787E9A" w:rsidP="00787E9A">
      <w:pPr>
        <w:ind w:left="709" w:hanging="709"/>
      </w:pPr>
      <w:r w:rsidRPr="008608AA">
        <w:t>Stephenson P., Bowles, N., Regan, E., Stanwell, D., Diagana, M., Hoft, R., Abarchi, H., Abrehamse, T., Akello, C., Allison, H., Banki, O., Batieno, B., Dieme, S., Domingos, A., Galt, R., Githaiga, C., Bine, A., Hafashimana, D., &amp; Thiombiano, A. (2017). Unblocking the flow of biodiversity data for decision-making in Africa. Biological Conservation, 213, 335–340. https://doi.org/10.1016/J.BIOCON.2016.09.003</w:t>
      </w:r>
    </w:p>
    <w:p w14:paraId="2DF19D07" w14:textId="77777777" w:rsidR="00787E9A" w:rsidRPr="008608AA" w:rsidRDefault="00787E9A" w:rsidP="00787E9A">
      <w:pPr>
        <w:ind w:left="709" w:hanging="709"/>
      </w:pPr>
      <w:r w:rsidRPr="008608AA">
        <w:t xml:space="preserve">Stocker, T.F., D. Qin, G.-K. Plattner, M. Tignor, S. K. Allen, J. Boschung, A. Nauels, Y. Xia, V. Bex and P.M. Midgley (eds.) (2013 Summary for Policymakers. In: Climate Change 2013: The Physical Science Basis. Contribution of Working Group I to the Fifth Assessment Report of the Intergovernmental Panel on Climate Change. Cambridge University Press, Cambridge, United Kingdom and New York, NY, USA. </w:t>
      </w:r>
    </w:p>
    <w:p w14:paraId="2921DAB4" w14:textId="77777777" w:rsidR="00787E9A" w:rsidRPr="008608AA" w:rsidRDefault="00787E9A" w:rsidP="00787E9A">
      <w:pPr>
        <w:ind w:left="709" w:hanging="709"/>
      </w:pPr>
      <w:r w:rsidRPr="008608AA">
        <w:t>Stohlgren, T. J., Jarnevich, C., Chong, G. W., &amp; Evangelista, P. H. (2006). Scale and plant invasions: A theory of biotic acceptance. Preslia, 78(4), 405–426.</w:t>
      </w:r>
    </w:p>
    <w:p w14:paraId="12CFF7F8" w14:textId="77777777" w:rsidR="00787E9A" w:rsidRPr="008608AA" w:rsidRDefault="00787E9A" w:rsidP="00787E9A">
      <w:pPr>
        <w:ind w:left="709" w:hanging="709"/>
      </w:pPr>
      <w:r w:rsidRPr="008608AA">
        <w:t>Stohlgren, T. J., Schell, L. D., &amp; Heuvel, B. Vanden. (1999). How Grazing And Soil Quality Affect Native and Exotic Plat Diversity in Rocky Mountain Grassland. Ecological Applications, 9(1), 45–64. https://doi.org/10.1890/1051-0761(1999)009[0045:HGASQA]2.0.CO;2</w:t>
      </w:r>
    </w:p>
    <w:p w14:paraId="4F68B0FF" w14:textId="77777777" w:rsidR="00787E9A" w:rsidRPr="008608AA" w:rsidRDefault="00787E9A" w:rsidP="00787E9A">
      <w:pPr>
        <w:ind w:left="709" w:hanging="709"/>
      </w:pPr>
      <w:r w:rsidRPr="008608AA">
        <w:t>Stolton, S., Redford, K. H., Dudley, N., Bill, W., Corcuera, E., &amp; Mitchell, B. A. (2014). The Futures of Privately Protected Areas. Gland, Switzerland: IUCN.</w:t>
      </w:r>
    </w:p>
    <w:p w14:paraId="7E5B008C" w14:textId="77777777" w:rsidR="00787E9A" w:rsidRPr="008608AA" w:rsidRDefault="00787E9A" w:rsidP="00787E9A">
      <w:pPr>
        <w:ind w:left="709" w:hanging="709"/>
      </w:pPr>
      <w:r w:rsidRPr="008608AA">
        <w:t>Stone, W. W., &amp; Gillion, R. J. (2014). Pesticides in U.S. streams and rivers: occurrence and trends during 1992-2011. Environ Sci technol,48(19), 11025-30. doi: 10.1021/es5025367</w:t>
      </w:r>
    </w:p>
    <w:p w14:paraId="0430F9DE" w14:textId="77777777" w:rsidR="00787E9A" w:rsidRPr="008608AA" w:rsidRDefault="00787E9A" w:rsidP="00787E9A">
      <w:pPr>
        <w:ind w:left="709" w:hanging="709"/>
      </w:pPr>
    </w:p>
    <w:p w14:paraId="65EE68A0" w14:textId="77777777" w:rsidR="00787E9A" w:rsidRPr="008608AA" w:rsidRDefault="00787E9A" w:rsidP="00787E9A">
      <w:pPr>
        <w:ind w:left="709" w:hanging="709"/>
      </w:pPr>
      <w:r w:rsidRPr="008608AA">
        <w:t>Stoner, A. W. 1997. Shell middens as indicators of long-term distributional pattern in Strombus gigas, a heavily exploited marine gastropod. Bulletin of Marine Science 61:559–570.</w:t>
      </w:r>
    </w:p>
    <w:p w14:paraId="0630BE0F" w14:textId="77777777" w:rsidR="00787E9A" w:rsidRPr="008608AA" w:rsidRDefault="00787E9A" w:rsidP="00787E9A">
      <w:pPr>
        <w:ind w:left="709" w:hanging="709"/>
      </w:pPr>
      <w:r w:rsidRPr="008608AA">
        <w:t>Stoner, A. W., &amp; Ray, M. (1996). Queen conch, Strombus gigas, in fished and unfished locations of the Bahamas: effects of a marine fishery reserve on adults, juveniles, and larval production. Fishery Bulletin, 94(3), 551-556.</w:t>
      </w:r>
    </w:p>
    <w:p w14:paraId="16F80990" w14:textId="77777777" w:rsidR="00787E9A" w:rsidRPr="008608AA" w:rsidRDefault="00787E9A" w:rsidP="00787E9A">
      <w:pPr>
        <w:ind w:left="709" w:hanging="709"/>
      </w:pPr>
      <w:r w:rsidRPr="008608AA">
        <w:t>Strecker, U. (2006). The impact of invasive fish on an endemic Cyprinodon species flock (Teleostei) from Laguna Chichancanab, Yucatan, Mexico. Ecology of Freshwater Fish, 15(4), 408–418. https://doi.org/10.1111/j.1600-0633.2006.00159.x</w:t>
      </w:r>
    </w:p>
    <w:p w14:paraId="4493910F" w14:textId="77777777" w:rsidR="00787E9A" w:rsidRPr="008608AA" w:rsidRDefault="00787E9A" w:rsidP="00787E9A">
      <w:pPr>
        <w:ind w:left="709" w:hanging="709"/>
      </w:pPr>
    </w:p>
    <w:p w14:paraId="6C30CBAE" w14:textId="77777777" w:rsidR="00787E9A" w:rsidRPr="008608AA" w:rsidRDefault="00787E9A" w:rsidP="00787E9A">
      <w:pPr>
        <w:ind w:left="709" w:hanging="709"/>
      </w:pPr>
      <w:r w:rsidRPr="008608AA">
        <w:t xml:space="preserve">Suárez. A., E. Garraway. D. Vilamajo, L. Mujica, J. Gerhartz, R. Capote, N. Blake 2008. Climate change impacts on terrestrial biodiversity in the insular Caribbean: Report of Working Group III, Climate Change and Biodiversity in the Insular Caribbean. CANARI Technical Report No.383:  99pp. </w:t>
      </w:r>
    </w:p>
    <w:p w14:paraId="2702CD3F" w14:textId="77777777" w:rsidR="00787E9A" w:rsidRPr="008608AA" w:rsidRDefault="00787E9A" w:rsidP="00787E9A">
      <w:pPr>
        <w:ind w:left="709" w:hanging="709"/>
      </w:pPr>
      <w:r w:rsidRPr="008608AA">
        <w:t>Sunda, W. G. 2012. Feedback interactions between trace metal nutrients and phytoplankton in the ocean. Frontiers in Microbiology 3:1–22.</w:t>
      </w:r>
    </w:p>
    <w:p w14:paraId="3188A741" w14:textId="77777777" w:rsidR="00787E9A" w:rsidRPr="008608AA" w:rsidRDefault="00787E9A" w:rsidP="00787E9A">
      <w:pPr>
        <w:ind w:left="709" w:hanging="709"/>
      </w:pPr>
      <w:r w:rsidRPr="008608AA">
        <w:t>Surber, S.J., &amp; Simonton, D.S. (2017). Disparate impacts of coal mining and reclamation concerns for West Virginia and central Appalachia. Resources Policy, 54, 1-8, https://doi.org/10.1016/j.resourpol.2017.08.004</w:t>
      </w:r>
    </w:p>
    <w:p w14:paraId="62853962" w14:textId="77777777" w:rsidR="00787E9A" w:rsidRPr="008608AA" w:rsidRDefault="00787E9A" w:rsidP="00787E9A">
      <w:pPr>
        <w:ind w:left="709" w:hanging="709"/>
      </w:pPr>
    </w:p>
    <w:p w14:paraId="2BF75D76" w14:textId="77777777" w:rsidR="00787E9A" w:rsidRPr="008608AA" w:rsidRDefault="00787E9A" w:rsidP="00787E9A">
      <w:pPr>
        <w:ind w:left="709" w:hanging="709"/>
      </w:pPr>
      <w:r w:rsidRPr="008608AA">
        <w:t>Sutherland, K. P., J. W. Porter, and C. Torres. 2004. Disease and immunity in Caribbean and Indo-Pacific zooxanthellate corals. Marine Ecology Progress Series 266:273–302.</w:t>
      </w:r>
    </w:p>
    <w:p w14:paraId="4BC9512E" w14:textId="77777777" w:rsidR="00787E9A" w:rsidRPr="008608AA" w:rsidRDefault="00787E9A" w:rsidP="00787E9A">
      <w:pPr>
        <w:ind w:left="709" w:hanging="709"/>
      </w:pPr>
      <w:r w:rsidRPr="008608AA">
        <w:t xml:space="preserve">Sutton, M. a, O. Oenema, J. W. Erisman, A. Leip, H. van Grinsven, and W. Winiwarter. 2011. Too much of a good thing. Nature 472:159–161. </w:t>
      </w:r>
    </w:p>
    <w:p w14:paraId="053C3F56" w14:textId="77777777" w:rsidR="00787E9A" w:rsidRPr="008608AA" w:rsidRDefault="00787E9A" w:rsidP="00787E9A">
      <w:pPr>
        <w:ind w:left="709" w:hanging="709"/>
      </w:pPr>
      <w:r w:rsidRPr="008608AA">
        <w:t>Sutton, R., Sedlak, M.D., Yee, D., Davis, J.A., Crane, D., Grace, R. and Arsem, N., 2014. Declines in polybrominated diphenyl ether contamination of San Francisco Bay following production phase-outs and bans. Environmental science &amp; technology, 49(2), pp.777-784.</w:t>
      </w:r>
    </w:p>
    <w:p w14:paraId="73566FC0" w14:textId="77777777" w:rsidR="00787E9A" w:rsidRPr="008608AA" w:rsidRDefault="00787E9A" w:rsidP="00787E9A">
      <w:pPr>
        <w:ind w:left="709" w:hanging="709"/>
      </w:pPr>
      <w:r w:rsidRPr="008608AA">
        <w:t>Swain, E. B., D. R. Engstrom, M. E. Brigham, T. a Henning, and P. L. Brezonik. 1992. Increasing rates of atmospheric mercury deposition in midcontinental north america. Science (New York, N.Y.) 257:784–787.</w:t>
      </w:r>
    </w:p>
    <w:p w14:paraId="560A0AB7" w14:textId="77777777" w:rsidR="00787E9A" w:rsidRPr="008608AA" w:rsidRDefault="00787E9A" w:rsidP="00787E9A">
      <w:pPr>
        <w:ind w:left="709" w:hanging="709"/>
      </w:pPr>
      <w:r w:rsidRPr="008608AA">
        <w:t>Swenson, J. J., C. E. Carter, J. C. Domec, and C. I. Delgado. 2011. Gold mining in the peruvian amazon: Global prices, deforestation, and mercury imports. PLoS ONE 6.</w:t>
      </w:r>
    </w:p>
    <w:p w14:paraId="5A49F2F5" w14:textId="77777777" w:rsidR="00787E9A" w:rsidRPr="008608AA" w:rsidRDefault="00787E9A" w:rsidP="00787E9A">
      <w:pPr>
        <w:ind w:left="709" w:hanging="709"/>
      </w:pPr>
      <w:r w:rsidRPr="008608AA">
        <w:t xml:space="preserve">Taketani, R. G., N. O. Franco, A. S. Rosado, and J. D. van Elsas. 2010. Microbial community response to a simulated hydrocarbon spill in mangrove sediments. Journal of Microbiology 48:7-15. </w:t>
      </w:r>
    </w:p>
    <w:p w14:paraId="61FA9118" w14:textId="77777777" w:rsidR="00787E9A" w:rsidRPr="008608AA" w:rsidRDefault="00787E9A" w:rsidP="00787E9A">
      <w:pPr>
        <w:ind w:left="709" w:hanging="709"/>
      </w:pPr>
      <w:r w:rsidRPr="008608AA">
        <w:t>Telmer, K.H. and Veiga, M.M., 2009. World emissions of mercury from artisanal and small scale gold mining. In Mercury fate and transport in the global atmosphere (pp. 131-172). Springer US.</w:t>
      </w:r>
    </w:p>
    <w:p w14:paraId="649D3BBB" w14:textId="77777777" w:rsidR="00787E9A" w:rsidRPr="008608AA" w:rsidRDefault="00787E9A" w:rsidP="00787E9A">
      <w:pPr>
        <w:ind w:left="709" w:hanging="709"/>
      </w:pPr>
      <w:r w:rsidRPr="008608AA">
        <w:t>Texeira, M., M. Oyarzabal, G. Pineiro, S. Baeza, and J. M. Paruelo. 2015. Land cover and precipitation controls over long-term trends in carbon gains in the grassland biome of South America. Ecosphere 6:art196. &lt;http://www.esajournals.org/doi/10.1890/ES15-00085.1&gt;.</w:t>
      </w:r>
    </w:p>
    <w:p w14:paraId="7F0951FE" w14:textId="77777777" w:rsidR="00787E9A" w:rsidRPr="008608AA" w:rsidRDefault="00787E9A" w:rsidP="00787E9A">
      <w:pPr>
        <w:ind w:left="709" w:hanging="709"/>
      </w:pPr>
      <w:r w:rsidRPr="008608AA">
        <w:t>The World Bank Database. (2017): </w:t>
      </w:r>
      <w:hyperlink r:id="rId1018" w:tgtFrame="_blank" w:history="1">
        <w:r w:rsidRPr="008608AA">
          <w:t>https://data.worldbank.org/indicator/</w:t>
        </w:r>
      </w:hyperlink>
    </w:p>
    <w:p w14:paraId="239B6E0B" w14:textId="77777777" w:rsidR="00787E9A" w:rsidRPr="008608AA" w:rsidRDefault="00787E9A" w:rsidP="00787E9A">
      <w:pPr>
        <w:ind w:left="709" w:hanging="709"/>
      </w:pPr>
      <w:r w:rsidRPr="008608AA">
        <w:t xml:space="preserve">The World Bank (2017). Terrestrial and Marine protected areas. Available at: </w:t>
      </w:r>
      <w:hyperlink r:id="rId1019" w:history="1">
        <w:r w:rsidRPr="008608AA">
          <w:t>http://data.worldbank.org/indicator/ER.PTD.TOTL.ZS?end=2014&amp;page=5&amp;start=2014&amp;view=bar</w:t>
        </w:r>
      </w:hyperlink>
    </w:p>
    <w:p w14:paraId="1CD95DB6" w14:textId="77777777" w:rsidR="00787E9A" w:rsidRPr="008608AA" w:rsidRDefault="00787E9A" w:rsidP="00787E9A">
      <w:pPr>
        <w:ind w:left="709" w:hanging="709"/>
      </w:pPr>
      <w:r w:rsidRPr="008608AA">
        <w:t>The World Bank (2016). Global Economic Prospects (2016). Latin America and the Caribbean, Washington</w:t>
      </w:r>
    </w:p>
    <w:p w14:paraId="59ECCE0E" w14:textId="77777777" w:rsidR="00787E9A" w:rsidRPr="008608AA" w:rsidRDefault="00787E9A" w:rsidP="00787E9A">
      <w:pPr>
        <w:ind w:left="709" w:hanging="709"/>
      </w:pPr>
      <w:r w:rsidRPr="008608AA">
        <w:t>Thomas, M. A. (2010). What Do the Worldwide Governance Indicators Measure? European Journal of Development Research, 22(1), 31–54. http://doi.org/10.1057/ejdr.2009.32</w:t>
      </w:r>
    </w:p>
    <w:p w14:paraId="6CA9DF1A" w14:textId="77777777" w:rsidR="00787E9A" w:rsidRPr="008608AA" w:rsidRDefault="00787E9A" w:rsidP="00787E9A">
      <w:pPr>
        <w:ind w:left="709" w:hanging="709"/>
      </w:pPr>
      <w:r w:rsidRPr="008608AA">
        <w:t>Thompson, J., Charpentier, A., Bouguet, G., Charmasson, F., Roset, S., Buatois, B., Vernet, P., &amp; Gouyon, P.-H. (2013). Evolution of a genetic polymorphism with climate change in a Mediterranean landscape. Proceedings of the National Academy of Sciences of the United States of America, 110(8), 2893–2897. https://doi.org/10.1073/pnas.1215833110</w:t>
      </w:r>
    </w:p>
    <w:p w14:paraId="4BE0D77D" w14:textId="77777777" w:rsidR="00787E9A" w:rsidRPr="008608AA" w:rsidRDefault="00787E9A" w:rsidP="00787E9A">
      <w:pPr>
        <w:ind w:left="709" w:hanging="709"/>
      </w:pPr>
      <w:r w:rsidRPr="008608AA">
        <w:rPr>
          <w:lang w:val="es-CO"/>
        </w:rPr>
        <w:t xml:space="preserve">Tijoux, M. E. (2016). Naturaleza americana. Extractivismo y geopolítica del capital. Actuel Marx N° 19: Naturaleza americana. Extractivismo y geopolítica del capital. </w:t>
      </w:r>
      <w:r w:rsidRPr="008608AA">
        <w:t>Actuel Marx N° 19. LOM Ediciones.</w:t>
      </w:r>
    </w:p>
    <w:p w14:paraId="0BB7B7BF" w14:textId="77777777" w:rsidR="00787E9A" w:rsidRPr="008608AA" w:rsidRDefault="00787E9A" w:rsidP="00787E9A">
      <w:pPr>
        <w:ind w:left="709" w:hanging="709"/>
      </w:pPr>
      <w:r w:rsidRPr="008608AA">
        <w:t>Tilman, D., &amp; Clark, M. (2014). Global diets link environmental sustainability and human health. Nature, 515(7528), 518-522.</w:t>
      </w:r>
    </w:p>
    <w:p w14:paraId="2210CBFE" w14:textId="77777777" w:rsidR="00787E9A" w:rsidRPr="008608AA" w:rsidRDefault="00787E9A" w:rsidP="00787E9A">
      <w:pPr>
        <w:ind w:left="709" w:hanging="709"/>
      </w:pPr>
      <w:r w:rsidRPr="008608AA">
        <w:t>Tilman, D., C. Balzer, J. Hill, and B. L. Befort. 2011. Global food demand and the sustainable intensification of agriculture. Proc Natl Acad Sci U S A 108:20260–20264. &lt;http://www.ncbi.nlm.nih.gov/pubmed/22106295&gt;.</w:t>
      </w:r>
    </w:p>
    <w:p w14:paraId="796E8C30" w14:textId="77777777" w:rsidR="00787E9A" w:rsidRPr="008608AA" w:rsidRDefault="00787E9A" w:rsidP="00787E9A">
      <w:pPr>
        <w:ind w:left="709" w:hanging="709"/>
      </w:pPr>
      <w:r w:rsidRPr="008608AA">
        <w:t>Tilman, D., Cassman, K. G., Matson, P. A., Naylor, R., &amp; Polasky, S. (2002). Agricultural sustainability and intensive production practices. Nature, 418(6898), 671.</w:t>
      </w:r>
    </w:p>
    <w:p w14:paraId="21050121" w14:textId="77777777" w:rsidR="00787E9A" w:rsidRPr="008608AA" w:rsidRDefault="00787E9A" w:rsidP="00787E9A">
      <w:pPr>
        <w:ind w:left="709" w:hanging="709"/>
      </w:pPr>
      <w:r w:rsidRPr="008608AA">
        <w:t xml:space="preserve">Tlaiye, Laura E.; Aryal, Dinesh. 2013.  Latin America and Caribbean Region Environment and Water Resources occasional paper series. Washington DC; World Bank. </w:t>
      </w:r>
      <w:hyperlink r:id="rId1020" w:history="1">
        <w:r w:rsidRPr="008608AA">
          <w:t>http://documents.worldbank.org/curated/en/620071468054545005/Ampliando-el-financiamiento-para-la-conservacion-de-la-biodiversidad-las-experiencias-de-America-Latina-y-el-Caribe</w:t>
        </w:r>
      </w:hyperlink>
    </w:p>
    <w:p w14:paraId="580913D9" w14:textId="77777777" w:rsidR="00787E9A" w:rsidRPr="008608AA" w:rsidRDefault="00787E9A" w:rsidP="00787E9A">
      <w:pPr>
        <w:ind w:left="709" w:hanging="709"/>
      </w:pPr>
      <w:r w:rsidRPr="008608AA">
        <w:t>Tófoli, R. M., Dias, R. M., Alves, G. H. Z., Hoeinghaus, D. J., Gomes, L. C., Baumgartner, M. T., &amp; Agostinho, A. A. (2017). Gold at what cost? Another megaproject threatens biodiversity in the Amazon. Perspectives in Ecology and Conservation. 15:129-131</w:t>
      </w:r>
    </w:p>
    <w:p w14:paraId="6F4B42E5" w14:textId="77777777" w:rsidR="00787E9A" w:rsidRPr="008608AA" w:rsidRDefault="00787E9A" w:rsidP="00787E9A">
      <w:pPr>
        <w:ind w:left="709" w:hanging="709"/>
      </w:pPr>
      <w:r w:rsidRPr="008608AA">
        <w:t>Tognetti, P. M., &amp; Chaneton, E. J. (2015). Community disassembly and invasion of remnant native grasslands under fluctuating resource supply. Journal of Applied Ecology, 52(1), 119–128. https://doi.org/10.1111/1365-2664.12349</w:t>
      </w:r>
    </w:p>
    <w:p w14:paraId="35524DF1" w14:textId="77777777" w:rsidR="00787E9A" w:rsidRPr="008608AA" w:rsidRDefault="00787E9A" w:rsidP="00787E9A">
      <w:pPr>
        <w:ind w:left="709" w:hanging="709"/>
      </w:pPr>
      <w:r w:rsidRPr="008608AA">
        <w:t>Tognetti, P. M., Chaneton, E. J., Omacini, M., Trebino, H. J., &amp; León, R. J. C. (2010). Exotic vs. native plant dominance over 20years of old-field succession on set-aside farmland in Argentina. Biological Conservation, 143(11), 2494–2503. https://doi.org/10.1016/j.biocon.2010.06.016</w:t>
      </w:r>
    </w:p>
    <w:p w14:paraId="3184EF0B" w14:textId="77777777" w:rsidR="00787E9A" w:rsidRPr="008608AA" w:rsidRDefault="00787E9A" w:rsidP="00787E9A">
      <w:pPr>
        <w:ind w:left="709" w:hanging="709"/>
      </w:pPr>
      <w:r w:rsidRPr="008608AA">
        <w:t>Tovar, C., C. A. Arnillas, F. Cuesta, and W. Buytaert. 2013. Diverging Responses of Tropical Andean Biomes under Future Climate Conditions. PLoS ONE 8.</w:t>
      </w:r>
    </w:p>
    <w:p w14:paraId="53D34054" w14:textId="77777777" w:rsidR="00787E9A" w:rsidRPr="008608AA" w:rsidRDefault="00787E9A" w:rsidP="00787E9A">
      <w:pPr>
        <w:ind w:left="709" w:hanging="709"/>
      </w:pPr>
      <w:r w:rsidRPr="008608AA">
        <w:t>Townsend, J. M., C. C. Rimmer, C. T. Driscoll, K. P. McFarland, and E. Iñigo-Elias. 2013. Mercury concentrations in tropical resident and migrant songbirds on Hispaniola. Ecotoxicology 22:86–93.</w:t>
      </w:r>
    </w:p>
    <w:p w14:paraId="6A57AD5B" w14:textId="77777777" w:rsidR="00787E9A" w:rsidRPr="008608AA" w:rsidRDefault="00787E9A" w:rsidP="00787E9A">
      <w:pPr>
        <w:ind w:left="709" w:hanging="709"/>
      </w:pPr>
      <w:r w:rsidRPr="008608AA">
        <w:t>Trace, S., (2016). Rethink, Retool, Reboot: Technology as if people and planet mattered. Rugby, UK: Practical Action Publishing, </w:t>
      </w:r>
      <w:hyperlink r:id="rId1021" w:tgtFrame="_blank" w:history="1">
        <w:r w:rsidRPr="008608AA">
          <w:t>http://dx.doi.org/10.3362/ 9781780449043</w:t>
        </w:r>
      </w:hyperlink>
    </w:p>
    <w:p w14:paraId="40A269E7" w14:textId="77777777" w:rsidR="00787E9A" w:rsidRPr="008608AA" w:rsidRDefault="00787E9A" w:rsidP="00787E9A">
      <w:pPr>
        <w:ind w:left="709" w:hanging="709"/>
      </w:pPr>
      <w:r w:rsidRPr="008608AA">
        <w:t>Turtle Conservation Coalition. (2011). Top_25+_Turtles_in_Trouble_2011. U.S. Department of the Interior Fish and Wildlife Service. Notice of Intent to Include Four Native U.S. Freshwater Turtle Species in Appendix III of the Convention on International Trade in Endangered Species of Wild Fauna and Flora (CITES) 1–35 (2014). http://doi.org/10.1017/CBO9781107415324.004</w:t>
      </w:r>
    </w:p>
    <w:p w14:paraId="31C5A7B3" w14:textId="77777777" w:rsidR="00787E9A" w:rsidRPr="008608AA" w:rsidRDefault="00787E9A" w:rsidP="00787E9A">
      <w:pPr>
        <w:ind w:left="709" w:hanging="709"/>
      </w:pPr>
      <w:r w:rsidRPr="008608AA">
        <w:t>Twiss, M. R., K. J. Rattan, R. M. Sherrell, and R. M. L. McKay. 2004. Sensitivity of phytoplankton to copper in Lake Superior. J. Great Lakes Res. 30:245–255. &lt;files&gt;.</w:t>
      </w:r>
    </w:p>
    <w:p w14:paraId="06BF3D45" w14:textId="77777777" w:rsidR="00787E9A" w:rsidRPr="008608AA" w:rsidRDefault="00787E9A" w:rsidP="00787E9A">
      <w:pPr>
        <w:ind w:left="709" w:hanging="709"/>
      </w:pPr>
      <w:r w:rsidRPr="008608AA">
        <w:t>U.S. Department of the Interior Fish and Wildlife Service. 2014. No Title No Title. Notice of Intent to Include Four Native U.S. Freshwater Turtle Species in Appendix III of the Convention on International Trade in Endangered Species of Wild Fauna and Flora (CITES).</w:t>
      </w:r>
    </w:p>
    <w:p w14:paraId="719E3F3A" w14:textId="77777777" w:rsidR="00787E9A" w:rsidRPr="008608AA" w:rsidRDefault="00787E9A" w:rsidP="00787E9A">
      <w:pPr>
        <w:ind w:left="709" w:hanging="709"/>
      </w:pPr>
      <w:r w:rsidRPr="008608AA">
        <w:t>UN Habitat (2016) Urbanization and development: emerging futures; world cities report 2016. Nairobi, UN Habitat</w:t>
      </w:r>
    </w:p>
    <w:p w14:paraId="5EEC98FE" w14:textId="77777777" w:rsidR="00787E9A" w:rsidRPr="008608AA" w:rsidRDefault="00787E9A" w:rsidP="00787E9A">
      <w:pPr>
        <w:ind w:left="709" w:hanging="709"/>
      </w:pPr>
      <w:r w:rsidRPr="008608AA">
        <w:t>UNEP 2016. Regional Cooperation for Environmental Sustainability in the Latin American and Caribbean Region. XX Meeting of the Forum of Ministers of the Environment of Latin America and the Caribbean. Cartagena,  Colombia.</w:t>
      </w:r>
    </w:p>
    <w:p w14:paraId="35B62B1B" w14:textId="77777777" w:rsidR="00787E9A" w:rsidRPr="008608AA" w:rsidRDefault="00787E9A" w:rsidP="00787E9A">
      <w:pPr>
        <w:ind w:left="709" w:hanging="709"/>
      </w:pPr>
      <w:r w:rsidRPr="008608AA">
        <w:t xml:space="preserve">UNEP, 2004, Global International Waters Assessment Arctic Greenland, East Greenland Shelf, West Greenland Shelf, GIWA Regional assessment 1b, 15, 16. </w:t>
      </w:r>
    </w:p>
    <w:p w14:paraId="28A074B1" w14:textId="77777777" w:rsidR="00787E9A" w:rsidRPr="008608AA" w:rsidRDefault="00787E9A" w:rsidP="00787E9A">
      <w:pPr>
        <w:ind w:left="709" w:hanging="709"/>
      </w:pPr>
      <w:r w:rsidRPr="008608AA">
        <w:t>UNEP. 2010. Latin America and the Caribbean: Environmental outlook. Relations between Environmental Changes and Human WellBeing in Latin America and the Caribbean.</w:t>
      </w:r>
    </w:p>
    <w:p w14:paraId="2EA96186" w14:textId="77777777" w:rsidR="00787E9A" w:rsidRPr="008608AA" w:rsidRDefault="00787E9A" w:rsidP="00787E9A">
      <w:pPr>
        <w:ind w:left="709" w:hanging="709"/>
      </w:pPr>
      <w:r w:rsidRPr="008608AA">
        <w:t>UNEP. 2014. The Importance of Mangroves to People: A Call to Action. J.van Bochove, E. Sullivan, and T. Nakamura, editors. United Nations Environment Programme World Conservation Monitoring Centre, Cambridge. 128 pp.</w:t>
      </w:r>
    </w:p>
    <w:p w14:paraId="330F2680" w14:textId="77777777" w:rsidR="00787E9A" w:rsidRPr="008608AA" w:rsidRDefault="00787E9A" w:rsidP="00787E9A">
      <w:pPr>
        <w:ind w:left="709" w:hanging="709"/>
      </w:pPr>
      <w:r w:rsidRPr="008608AA">
        <w:t>UNEP.2009. Persistent Organic Pollutants Along Environmental Transects in Costa Rica, Chile, Nepal, and Botswana.</w:t>
      </w:r>
    </w:p>
    <w:p w14:paraId="6744C7A7" w14:textId="77777777" w:rsidR="00787E9A" w:rsidRPr="008608AA" w:rsidRDefault="00787E9A" w:rsidP="00787E9A">
      <w:pPr>
        <w:ind w:left="709" w:hanging="709"/>
      </w:pPr>
      <w:r w:rsidRPr="008608AA">
        <w:t>UNESCO. 2016. UNESCO Science Report. Towards 2030. UNESCO Publishing. Second revised edition 2016. Paris.</w:t>
      </w:r>
    </w:p>
    <w:p w14:paraId="54AC32A0" w14:textId="77777777" w:rsidR="00787E9A" w:rsidRPr="008608AA" w:rsidRDefault="00787E9A" w:rsidP="00787E9A">
      <w:pPr>
        <w:ind w:left="709" w:hanging="709"/>
      </w:pPr>
      <w:r w:rsidRPr="008608AA">
        <w:t>United Nations Conference on Trade and Development (UNCTAD) (2016). UNCTAD Handbook of Statistics, New York: www.unctad.org</w:t>
      </w:r>
    </w:p>
    <w:p w14:paraId="6D1EFF9C" w14:textId="77777777" w:rsidR="00787E9A" w:rsidRPr="00A3137A" w:rsidRDefault="00787E9A" w:rsidP="00787E9A">
      <w:pPr>
        <w:ind w:left="709" w:hanging="709"/>
        <w:rPr>
          <w:lang w:val="fr-FR"/>
        </w:rPr>
      </w:pPr>
      <w:r w:rsidRPr="008608AA">
        <w:t xml:space="preserve">United Nations Development Programme. 2014. Human development report 2014. </w:t>
      </w:r>
      <w:r w:rsidRPr="00A3137A">
        <w:rPr>
          <w:lang w:val="fr-FR"/>
        </w:rPr>
        <w:t>UN Development Programme. &lt;http://hdr.undp.org/en/media/HDR_2013_EN_complete.pdf&gt;.</w:t>
      </w:r>
    </w:p>
    <w:p w14:paraId="5940FB8E" w14:textId="77777777" w:rsidR="00787E9A" w:rsidRPr="00A3137A" w:rsidRDefault="00787E9A" w:rsidP="00787E9A">
      <w:pPr>
        <w:ind w:left="709" w:hanging="709"/>
        <w:rPr>
          <w:lang w:val="fr-FR"/>
        </w:rPr>
      </w:pPr>
      <w:r w:rsidRPr="008608AA">
        <w:t xml:space="preserve">United Nations Development Programme. 2016. Human development report 2016. </w:t>
      </w:r>
      <w:r w:rsidRPr="00A3137A">
        <w:rPr>
          <w:lang w:val="fr-FR"/>
        </w:rPr>
        <w:t xml:space="preserve">UN Development Programme. </w:t>
      </w:r>
      <w:hyperlink r:id="rId1022" w:history="1">
        <w:r w:rsidRPr="00A3137A">
          <w:rPr>
            <w:lang w:val="fr-FR"/>
          </w:rPr>
          <w:t>http://hdr.undp.org/sites/default/files/2016_human_development_report.pdf</w:t>
        </w:r>
      </w:hyperlink>
      <w:r w:rsidRPr="00A3137A">
        <w:rPr>
          <w:lang w:val="fr-FR"/>
        </w:rPr>
        <w:t xml:space="preserve"> </w:t>
      </w:r>
    </w:p>
    <w:p w14:paraId="2CFF6867" w14:textId="77777777" w:rsidR="00787E9A" w:rsidRPr="008608AA" w:rsidRDefault="00787E9A" w:rsidP="00787E9A">
      <w:pPr>
        <w:ind w:left="709" w:hanging="709"/>
      </w:pPr>
      <w:r w:rsidRPr="008608AA">
        <w:t xml:space="preserve">United Nations, (2016). Report of the Special Rapporteur on the rights of indigenous peoples on her visit to Honduras.  Human Rights Council. Thirty-third session. Agenda item 3. Promotion and protection of all human rights, civil, political, economic, social and cultural rights, including the right to development 21 July 2016. United Nations , A/HRC/33/42/Add.2 </w:t>
      </w:r>
    </w:p>
    <w:p w14:paraId="5D550DE2" w14:textId="77777777" w:rsidR="00787E9A" w:rsidRPr="008608AA" w:rsidRDefault="00787E9A" w:rsidP="00787E9A">
      <w:pPr>
        <w:ind w:left="709" w:hanging="709"/>
      </w:pPr>
      <w:r w:rsidRPr="008608AA">
        <w:t xml:space="preserve">United Nations, Department of Economic and Social Affairs, Population Division (2014). World Urbanization Prospects: The 2014 Revision, Highlights (ST/ESA/SER.A/352). </w:t>
      </w:r>
    </w:p>
    <w:p w14:paraId="23028878" w14:textId="77777777" w:rsidR="00787E9A" w:rsidRPr="00A3137A" w:rsidRDefault="00787E9A" w:rsidP="00787E9A">
      <w:pPr>
        <w:ind w:left="709" w:hanging="709"/>
        <w:rPr>
          <w:lang w:val="fr-FR"/>
        </w:rPr>
      </w:pPr>
      <w:r w:rsidRPr="008608AA">
        <w:rPr>
          <w:lang w:val="es-CO"/>
        </w:rPr>
        <w:t xml:space="preserve">Uribe B., E., (2015). Estudios del cambio climático en América Latina: El cambio climático y sus efectos en la biodiversidad en América Latina. </w:t>
      </w:r>
      <w:r w:rsidRPr="00A3137A">
        <w:rPr>
          <w:lang w:val="fr-FR"/>
        </w:rPr>
        <w:t>CEPAL. https://repositorio.cepal.org/handle/11362/39855</w:t>
      </w:r>
    </w:p>
    <w:p w14:paraId="333A369E" w14:textId="77777777" w:rsidR="00787E9A" w:rsidRPr="00A3137A" w:rsidRDefault="00787E9A" w:rsidP="00787E9A">
      <w:pPr>
        <w:ind w:left="709" w:hanging="709"/>
        <w:rPr>
          <w:lang w:val="fr-FR"/>
        </w:rPr>
      </w:pPr>
      <w:r w:rsidRPr="00A3137A">
        <w:rPr>
          <w:lang w:val="fr-FR"/>
        </w:rPr>
        <w:t>USGS 2016 http://landcovertrends.usgs.gov/east/eco63Report.html</w:t>
      </w:r>
    </w:p>
    <w:p w14:paraId="5B4E08C3" w14:textId="77777777" w:rsidR="00787E9A" w:rsidRPr="008608AA" w:rsidRDefault="00787E9A" w:rsidP="00787E9A">
      <w:pPr>
        <w:ind w:left="709" w:hanging="709"/>
        <w:rPr>
          <w:lang w:val="es-CO"/>
        </w:rPr>
      </w:pPr>
      <w:r w:rsidRPr="008608AA">
        <w:rPr>
          <w:lang w:val="es-CO"/>
        </w:rPr>
        <w:t xml:space="preserve">Valdez-Moreno, M., Quintal-Lizama, C., Gómez-Lozano, R., &amp; García-Rivas, M. del C. (2012). </w:t>
      </w:r>
      <w:r w:rsidRPr="008608AA">
        <w:t xml:space="preserve">Monitoring an alien invasion: DNA barcoding and the identification of lionfish and their prey on coral reefs of the Mexican Caribbean. </w:t>
      </w:r>
      <w:r w:rsidRPr="008608AA">
        <w:rPr>
          <w:lang w:val="es-CO"/>
        </w:rPr>
        <w:t>PLoS ONE, 7(6), 1–8. https://doi.org/10.1371/journal.pone.0036636</w:t>
      </w:r>
    </w:p>
    <w:p w14:paraId="5BB317F9" w14:textId="77777777" w:rsidR="00787E9A" w:rsidRPr="008608AA" w:rsidRDefault="00787E9A" w:rsidP="00787E9A">
      <w:pPr>
        <w:ind w:left="709" w:hanging="709"/>
      </w:pPr>
      <w:r w:rsidRPr="008608AA">
        <w:rPr>
          <w:lang w:val="es-CO"/>
        </w:rPr>
        <w:t xml:space="preserve">Vales, M., Álvarez, A., Montes, L., &amp; Ávila A. (Eds.). (1998). Estudio Nacional sobre la Diversidad Biológica en la República de Cuba. </w:t>
      </w:r>
      <w:r w:rsidRPr="008608AA">
        <w:t>CESYTA, Madrid, Spain.</w:t>
      </w:r>
    </w:p>
    <w:p w14:paraId="00ABA452" w14:textId="77777777" w:rsidR="00787E9A" w:rsidRPr="008608AA" w:rsidRDefault="00787E9A" w:rsidP="00787E9A">
      <w:pPr>
        <w:ind w:left="709" w:hanging="709"/>
      </w:pPr>
      <w:r w:rsidRPr="008608AA">
        <w:t>Valiela, I., J. L. Bowen, and J. York. 2001. Mangrove Forests: one of the world’s threatened major tropical environments. BioScience 51: 807-815.</w:t>
      </w:r>
    </w:p>
    <w:p w14:paraId="53CB90BD" w14:textId="77777777" w:rsidR="00787E9A" w:rsidRPr="008608AA" w:rsidRDefault="00787E9A" w:rsidP="00787E9A">
      <w:pPr>
        <w:ind w:left="709" w:hanging="709"/>
      </w:pPr>
      <w:r w:rsidRPr="008608AA">
        <w:t>Valliere, J. M., Irvine, I. C., Santiago, L., &amp; Allen, E. B. (2017). High N, dry: Experimental nitrogen deposition exacerbates native shrub loss and nonnative plant invasion during extreme drought. Global Change Biology.</w:t>
      </w:r>
    </w:p>
    <w:p w14:paraId="437C9048" w14:textId="77777777" w:rsidR="00787E9A" w:rsidRPr="008608AA" w:rsidRDefault="00787E9A" w:rsidP="00787E9A">
      <w:pPr>
        <w:ind w:left="709" w:hanging="709"/>
      </w:pPr>
      <w:r w:rsidRPr="008608AA">
        <w:t>Van Aardenne, J., Dentener, F.J., Olivier, J.G.J., Goldewijk, C.G.M. and Lelieveld, J., 2001. A 1× 1 resolution data set of historical anthropogenic trace gas emissions for the period 1890–1990. Global Biogeochemical Cycles, 15(4), pp.909-928.</w:t>
      </w:r>
    </w:p>
    <w:p w14:paraId="1CB7F57F" w14:textId="77777777" w:rsidR="00787E9A" w:rsidRPr="008608AA" w:rsidRDefault="00787E9A" w:rsidP="00787E9A">
      <w:pPr>
        <w:ind w:left="709" w:hanging="709"/>
      </w:pPr>
      <w:r w:rsidRPr="008608AA">
        <w:t>van Andel, T., van der Hoorn, B., Stech, M., Arostegui, S. B., &amp; Miller, J. (2016). Global Ecology and Conservation.</w:t>
      </w:r>
    </w:p>
    <w:p w14:paraId="5851CCB9" w14:textId="77777777" w:rsidR="00787E9A" w:rsidRPr="008608AA" w:rsidRDefault="00787E9A" w:rsidP="00787E9A">
      <w:pPr>
        <w:ind w:left="709" w:hanging="709"/>
      </w:pPr>
      <w:r w:rsidRPr="008608AA">
        <w:t>Van Beusekom, A. E., G. Gonz??lez, and M. M. Rivera. 2015. Short-term precipitation and temperature trends along an elevation gradient in northeastern Puerto Rico. Earth Interactions 19:3–33.</w:t>
      </w:r>
    </w:p>
    <w:p w14:paraId="5527A8E7" w14:textId="77777777" w:rsidR="00787E9A" w:rsidRPr="008608AA" w:rsidRDefault="00787E9A" w:rsidP="00787E9A">
      <w:pPr>
        <w:ind w:left="709" w:hanging="709"/>
      </w:pPr>
      <w:r w:rsidRPr="008608AA">
        <w:t>van der Burg, W., Freitas, J. De, &amp; Debrot, A. O. (2012). Naturalised and invasive alien plant species in the Caribbean Netherlands : status, distribution, threats, priorities and recommendations. Dutch Minsitry of Economic Affairs, (October).</w:t>
      </w:r>
    </w:p>
    <w:p w14:paraId="6D877BA2" w14:textId="77777777" w:rsidR="00787E9A" w:rsidRPr="008608AA" w:rsidRDefault="00787E9A" w:rsidP="00787E9A">
      <w:pPr>
        <w:ind w:left="709" w:hanging="709"/>
      </w:pPr>
      <w:r w:rsidRPr="008608AA">
        <w:t>van Hooidonk, R., J. A. Maynard, Y. Liu, and S.-K. Lee, 2015: Downscaled projections of Caribbean coral bleaching that can inform conservation planning. Global Change Biol., 21: 3389–3401, doi:10.1111/gcb.12901.</w:t>
      </w:r>
    </w:p>
    <w:p w14:paraId="019EEE44" w14:textId="77777777" w:rsidR="00787E9A" w:rsidRPr="008608AA" w:rsidRDefault="00787E9A" w:rsidP="00787E9A">
      <w:pPr>
        <w:ind w:left="709" w:hanging="709"/>
      </w:pPr>
      <w:r w:rsidRPr="008608AA">
        <w:t>Van Kleunen, M., W. Dawson, F. Essl, J. Pergl, M. Winter, E. Weber, H. Kreft, P. Weigelt, J. Kartesz, M. Nishino, L. A. Antonova, J. F. Barcelona, F. J. Cabezas, O. Morozova, D. Moser, D. L. Nickrent, A. Patzelt, P. B. Pelser, M. P. Baptiste, M. Poopath, M. Schulze, H. Seebens, W.-S. Shu, J. Thomas, M. Velayos, and J. J. Wieringa. 2015. Global exchange and accumulation of non-native plants. Nature 525:100–103.</w:t>
      </w:r>
    </w:p>
    <w:p w14:paraId="49275648" w14:textId="77777777" w:rsidR="00787E9A" w:rsidRPr="008608AA" w:rsidRDefault="00787E9A" w:rsidP="00787E9A">
      <w:pPr>
        <w:ind w:left="709" w:hanging="709"/>
      </w:pPr>
      <w:r w:rsidRPr="008608AA">
        <w:t>Van Lexmond, M.B., Bonmatin, J.M., Goulson, D. and Noome, D.A., 2015. Worldwide integrated assessment on systemic pesticides.</w:t>
      </w:r>
    </w:p>
    <w:p w14:paraId="0525EF1D" w14:textId="77777777" w:rsidR="00787E9A" w:rsidRPr="008608AA" w:rsidRDefault="00787E9A" w:rsidP="00787E9A">
      <w:pPr>
        <w:ind w:left="709" w:hanging="709"/>
      </w:pPr>
      <w:r w:rsidRPr="008608AA">
        <w:t>Van Ruijven, B.J., K. Daenzer, K. Fisher-Vanden, T. Kober, S. Paltsev, R. H. Beach, S. L. Calderon, K. Calvin, M. Labriet, A. Kitous, A.F.P. Lucena, D. P. van Vuurenk. (2016), Baseline projections for Latin America: base-year assumptions, key drivers and greenhouse emissions. Energy Economics, 56: 498-511.</w:t>
      </w:r>
    </w:p>
    <w:p w14:paraId="1B52DA25" w14:textId="77777777" w:rsidR="00787E9A" w:rsidRPr="008608AA" w:rsidRDefault="00787E9A" w:rsidP="00787E9A">
      <w:pPr>
        <w:ind w:left="709" w:hanging="709"/>
      </w:pPr>
      <w:r w:rsidRPr="008608AA">
        <w:t>Van Wagner, V. (1978). Age-class distribution and the forest fire cycle. Canadian Journal of Forest Research, 8(2), 220-227.</w:t>
      </w:r>
    </w:p>
    <w:p w14:paraId="5487702B" w14:textId="77777777" w:rsidR="00787E9A" w:rsidRPr="008608AA" w:rsidRDefault="00787E9A" w:rsidP="00787E9A">
      <w:pPr>
        <w:ind w:left="709" w:hanging="709"/>
      </w:pPr>
      <w:r w:rsidRPr="008608AA">
        <w:t>Vanhulst, J., &amp; Beling, A. E. (2014). Buen vivir: Emergent discourse within or beyond sustainable development? Ecological Economics, 101, 54–63. http://doi.org/10.1016/j.ecolecon.2014.02.017</w:t>
      </w:r>
    </w:p>
    <w:p w14:paraId="6AE6FA55" w14:textId="77777777" w:rsidR="00787E9A" w:rsidRPr="008608AA" w:rsidRDefault="00787E9A" w:rsidP="00787E9A">
      <w:pPr>
        <w:ind w:left="709" w:hanging="709"/>
      </w:pPr>
      <w:r w:rsidRPr="008608AA">
        <w:t>Vaquer-Sunyer, R., &amp; Duarte, C.M. (2008). Thresholds of hypoxia for marine biodiversity. Proceedings of the National Academy of Sciences, 105, 15452-15457, 10.1073/pnas.0803833105</w:t>
      </w:r>
    </w:p>
    <w:p w14:paraId="3A1E917B" w14:textId="77777777" w:rsidR="00787E9A" w:rsidRPr="00CE0821" w:rsidRDefault="00787E9A" w:rsidP="00787E9A">
      <w:pPr>
        <w:ind w:left="709" w:hanging="709"/>
        <w:rPr>
          <w:lang w:val="es-CO"/>
        </w:rPr>
      </w:pPr>
      <w:r w:rsidRPr="008608AA">
        <w:t>Vargas, C.A., Aguilera, V.M., San Martín, V., Manríquez, P.H., Navarro, J.M., Duarte, C., Torres, R., Lardies, M.A. and Lagos, N.A., 2015. CO2-driven ocean acidification disrupts the filter feeding behavior in Chilean gastropod and bivalve species from different geographic localities. </w:t>
      </w:r>
      <w:r w:rsidRPr="00CE0821">
        <w:rPr>
          <w:lang w:val="es-CO"/>
        </w:rPr>
        <w:t>Estuaries and coasts, 38(4), pp.1163-1177.</w:t>
      </w:r>
    </w:p>
    <w:p w14:paraId="41BFE63D" w14:textId="77777777" w:rsidR="00787E9A" w:rsidRPr="008608AA" w:rsidRDefault="00787E9A" w:rsidP="00787E9A">
      <w:pPr>
        <w:ind w:left="709" w:hanging="709"/>
      </w:pPr>
      <w:r w:rsidRPr="00CE0821">
        <w:rPr>
          <w:lang w:val="es-CO"/>
        </w:rPr>
        <w:t xml:space="preserve">Vargas, C.A., Contreras, P.Y., Pérez, C.A., Sobarzo, M., Saldías, G.S. and Salisbury, J., 2016. </w:t>
      </w:r>
      <w:r w:rsidRPr="008608AA">
        <w:t>Influences of riverine and upwelling waters on the coastal carbonate system off Central Chile and their ocean acidification implications. Journal of Geophysical Research: Biogeosciences, 121(6), pp.1468-1483.</w:t>
      </w:r>
    </w:p>
    <w:p w14:paraId="79F081BB" w14:textId="77777777" w:rsidR="00787E9A" w:rsidRPr="008608AA" w:rsidRDefault="00787E9A" w:rsidP="00787E9A">
      <w:pPr>
        <w:ind w:left="709" w:hanging="709"/>
      </w:pPr>
      <w:r w:rsidRPr="008608AA">
        <w:t>Vega-Rodriguez, M., Müller-Karger, F., Hallock, P., Quiles-Perez, G., Eakin, C., Colella, M., Jones, D., Li, J., Soto, I., Guild, L., Lynds, S., &amp; Ruzicka, R. (2015). Influence of water-temperature variability on stony coral diversity in Florida Keys patch reefs. Marine Ecology Progress Series, 528, 173–186. https://doi.org/10.3354/meps11268</w:t>
      </w:r>
    </w:p>
    <w:p w14:paraId="1AADDF64" w14:textId="77777777" w:rsidR="00787E9A" w:rsidRPr="008608AA" w:rsidRDefault="00787E9A" w:rsidP="00787E9A">
      <w:pPr>
        <w:ind w:left="709" w:hanging="709"/>
      </w:pPr>
      <w:r w:rsidRPr="008608AA">
        <w:t>Veldman, J. W., &amp; Putz, F. E. (2010). Long-distance dispersal of invasive grasses by logging vehicles in a tropical dry forest. Biotropica, 42(6), 697–703. https://doi.org/10.1111/j.1744-7429.2010.00647.x</w:t>
      </w:r>
    </w:p>
    <w:p w14:paraId="1B5FCDEE" w14:textId="77777777" w:rsidR="00787E9A" w:rsidRPr="008608AA" w:rsidRDefault="00787E9A" w:rsidP="00787E9A">
      <w:pPr>
        <w:ind w:left="709" w:hanging="709"/>
      </w:pPr>
      <w:r w:rsidRPr="008608AA">
        <w:t>Vellend, M., Harmon, L. J., Lockwood, J. L., Mayfield, M. M., Hughes, A. R., Wares, J. P., &amp; Sax, D. F. (2007). Effects of exotic species on evolutionary diversification. Trends in Ecology &amp; Evolution, 22(9), 481-488.</w:t>
      </w:r>
    </w:p>
    <w:p w14:paraId="456BEBB1" w14:textId="77777777" w:rsidR="00787E9A" w:rsidRPr="008608AA" w:rsidRDefault="00787E9A" w:rsidP="00787E9A">
      <w:pPr>
        <w:ind w:left="709" w:hanging="709"/>
      </w:pPr>
      <w:r w:rsidRPr="008608AA">
        <w:t>Venier, M. and Hites, R.A., 2010. Time trend analysis of atmospheric POPs concentrations in the Great Lakes region since 1990. Environmental science &amp; technology, 44(21), pp.8050-8055.</w:t>
      </w:r>
    </w:p>
    <w:p w14:paraId="583DC309" w14:textId="77777777" w:rsidR="00787E9A" w:rsidRPr="008608AA" w:rsidRDefault="00787E9A" w:rsidP="00787E9A">
      <w:pPr>
        <w:ind w:left="709" w:hanging="709"/>
      </w:pPr>
      <w:r w:rsidRPr="008608AA">
        <w:t>Venturini, N., M. C. Bicego, S. Taniguchi, S. T. Sasaki, F. Garcia-Rodriguez, E. Brugnoli, and P. Muniz. 2015. A multi-molecular marker assessment of organic pollution in shore sediments from the Rio de la Plata Estuary, SW Atlantic. Marine Pollution Bulletin 91:461–475.</w:t>
      </w:r>
    </w:p>
    <w:p w14:paraId="54701306" w14:textId="77777777" w:rsidR="00787E9A" w:rsidRPr="008608AA" w:rsidRDefault="00787E9A" w:rsidP="00787E9A">
      <w:pPr>
        <w:ind w:left="709" w:hanging="709"/>
      </w:pPr>
      <w:r w:rsidRPr="008608AA">
        <w:t>Veuthey, Sandra, and Julien-Francois Gerber. "Accumulation by dispossession in coastal Ecuador: Shrimp farming, local resistance and the gender structure of mobilizations." Global Environmental Change 22.3 (2012): 611-622.</w:t>
      </w:r>
    </w:p>
    <w:p w14:paraId="6A96B674" w14:textId="77777777" w:rsidR="00787E9A" w:rsidRPr="008608AA" w:rsidRDefault="00787E9A" w:rsidP="00787E9A">
      <w:pPr>
        <w:ind w:left="709" w:hanging="709"/>
      </w:pPr>
      <w:r w:rsidRPr="008608AA">
        <w:t>Victoria, R. L., L. a Martinelli, M. Moraes, M. V Ballester,  a. V Krusche, G. Pellegrino, R. M. B. Almeida, and J. E. Richey. 1998. Surface Air Temperature Variations in the Amazon Region and Its Borders during This Century. Journal of Climate 11:1105–1110.</w:t>
      </w:r>
    </w:p>
    <w:p w14:paraId="32E261D9" w14:textId="77777777" w:rsidR="00787E9A" w:rsidRPr="008608AA" w:rsidRDefault="00787E9A" w:rsidP="00787E9A">
      <w:pPr>
        <w:ind w:left="709" w:hanging="709"/>
      </w:pPr>
      <w:r w:rsidRPr="008608AA">
        <w:t>Vignola, R., Locatelli, B., Martinez, C., &amp; Imbach, P. (2009). Ecosystem-based adaptation to climate change: what role for policy-makers, society and scientists?. Mitigation and adaptation strategies for global change, 14(8), 691.</w:t>
      </w:r>
    </w:p>
    <w:p w14:paraId="31D09647" w14:textId="77777777" w:rsidR="00787E9A" w:rsidRPr="008608AA" w:rsidRDefault="00787E9A" w:rsidP="00787E9A">
      <w:pPr>
        <w:ind w:left="709" w:hanging="709"/>
      </w:pPr>
      <w:r w:rsidRPr="008608AA">
        <w:t xml:space="preserve">Vilà, M., &amp; Ibáñez, I. (2011). Plant invasions in the landscape. Landscape Ecology, 26(4), 461–472. </w:t>
      </w:r>
    </w:p>
    <w:p w14:paraId="2A21F078" w14:textId="77777777" w:rsidR="00787E9A" w:rsidRPr="008608AA" w:rsidRDefault="00787E9A" w:rsidP="00787E9A">
      <w:pPr>
        <w:ind w:left="709" w:hanging="709"/>
      </w:pPr>
      <w:r w:rsidRPr="008608AA">
        <w:t xml:space="preserve">Villalba-Eguiluz, C. U., &amp; Etxano, I. (2017). Buen Vivir vs Development (II): The Limits of (Neo)Extractivism. Ecological Economics, 138, 1–11. </w:t>
      </w:r>
      <w:hyperlink r:id="rId1023" w:history="1">
        <w:r w:rsidRPr="008608AA">
          <w:t>http://doi.org/10.1016/j.ecolecon.2017.03.010</w:t>
        </w:r>
      </w:hyperlink>
    </w:p>
    <w:p w14:paraId="7312FACA" w14:textId="77777777" w:rsidR="00787E9A" w:rsidRPr="008608AA" w:rsidRDefault="00787E9A" w:rsidP="00787E9A">
      <w:pPr>
        <w:ind w:left="709" w:hanging="709"/>
        <w:rPr>
          <w:lang w:val="es-CO"/>
        </w:rPr>
      </w:pPr>
      <w:r w:rsidRPr="008608AA">
        <w:t xml:space="preserve">Villarini, G., Smith, J. A., Baeck, M. L., Vitolo, R., Stephenson, D. B., &amp; Krajewski, W. F. (2011). On the frequency of heavy rainfall for the Midwest of the United States. </w:t>
      </w:r>
      <w:r w:rsidRPr="008608AA">
        <w:rPr>
          <w:lang w:val="es-CO"/>
        </w:rPr>
        <w:t>Journal of Hydrology, 400(1-2), 103-120.</w:t>
      </w:r>
    </w:p>
    <w:p w14:paraId="3A2C175C" w14:textId="77777777" w:rsidR="00787E9A" w:rsidRPr="008608AA" w:rsidRDefault="00787E9A" w:rsidP="00787E9A">
      <w:pPr>
        <w:ind w:left="709" w:hanging="709"/>
        <w:rPr>
          <w:lang w:val="es-CO"/>
        </w:rPr>
      </w:pPr>
      <w:r w:rsidRPr="008608AA">
        <w:rPr>
          <w:lang w:val="es-CO"/>
        </w:rPr>
        <w:t>Villers R.L. &amp; Hernández LJ. 2007. Incendios forestales y el fenómeno de El Niño en México. Resumenes de las comunicaciones de la IV Conferencia Internacional sobre incendios forestales. 13-17 mayo de 2007, Sevilla España.</w:t>
      </w:r>
    </w:p>
    <w:p w14:paraId="4889078D" w14:textId="77777777" w:rsidR="00787E9A" w:rsidRPr="008608AA" w:rsidRDefault="00787E9A" w:rsidP="00787E9A">
      <w:pPr>
        <w:ind w:left="709" w:hanging="709"/>
      </w:pPr>
      <w:r w:rsidRPr="008608AA">
        <w:rPr>
          <w:lang w:val="es-CO"/>
        </w:rPr>
        <w:t xml:space="preserve">Vincent, L. A., T. C. Peterson, V. R. Barros, M. B. Marino, M. Rusticucci, G. Carrasco, E. Ramirez, L. M. Alves, T. Ambrizzi, M. A. Berlato, A. M. Grimm, J. A. Marengo, L. Molion, D. F. Moncunill, E. Rebello, Y. M. T. Anunciação, J. Quintana, J. L. Santos, J. Baez, G. Coronel, J. Garcia, I. Trebejo, M. Bidegain, M. R. Haylock, and D. Karoly. </w:t>
      </w:r>
      <w:r w:rsidRPr="008608AA">
        <w:t>2005. Observed trends in indices of daily temperature extremes in South America 1960-2000. Journal of Climate 18:5011–5023.</w:t>
      </w:r>
    </w:p>
    <w:p w14:paraId="4BF391FA" w14:textId="77777777" w:rsidR="00787E9A" w:rsidRPr="008608AA" w:rsidRDefault="00787E9A" w:rsidP="00787E9A">
      <w:pPr>
        <w:ind w:left="709" w:hanging="709"/>
      </w:pPr>
      <w:r w:rsidRPr="008608AA">
        <w:t>Virtanen, J.K., Voutilainen, S., Rissanen, T.H., Mursu, J., Tuomainen, T.P., Korhonen, M.J., Valkonen, V.P., Seppänen, K., Laukkanen, J.A. and Salonen, J.T., 2005. Mercury, fish oils, and risk of acute coronary events and cardiovascular disease, coronary heart disease, and all-cause mortality in men in eastern Finland. Arteriosclerosis, thrombosis, and vascular biology, 25(1), pp.228-233.</w:t>
      </w:r>
    </w:p>
    <w:p w14:paraId="5A33F0EC" w14:textId="77777777" w:rsidR="00787E9A" w:rsidRPr="008608AA" w:rsidRDefault="00787E9A" w:rsidP="00787E9A">
      <w:pPr>
        <w:ind w:left="709" w:hanging="709"/>
      </w:pPr>
      <w:r w:rsidRPr="008608AA">
        <w:t>Višnjevec, A.M., Kocman, D. and Horvat, M., 2014. Human mercury exposure and effects in Europe. Environmental toxicology and chemistry, 33(6), pp.1259-1270.</w:t>
      </w:r>
    </w:p>
    <w:p w14:paraId="15AE640E" w14:textId="77777777" w:rsidR="00787E9A" w:rsidRPr="008608AA" w:rsidRDefault="00787E9A" w:rsidP="00787E9A">
      <w:pPr>
        <w:ind w:left="709" w:hanging="709"/>
        <w:rPr>
          <w:lang w:val="es-CO"/>
        </w:rPr>
      </w:pPr>
      <w:r w:rsidRPr="008608AA">
        <w:t xml:space="preserve">Vogt, N. D., M. Pinedo-Vasquez, E. S. Brondízio, O. Almeida, and S. Rivero. 2015. Forest Transitions in Mosaic Landscapes: Smallholder’s Flexibility in Land-Resource Use Decisions and Livelihood Strategies From World War II to the Present in the Amazon Estuary. </w:t>
      </w:r>
      <w:r w:rsidRPr="008608AA">
        <w:rPr>
          <w:lang w:val="es-CO"/>
        </w:rPr>
        <w:t xml:space="preserve">Society &amp; Natural Resources 28:1043–1058. </w:t>
      </w:r>
    </w:p>
    <w:p w14:paraId="5E412A27" w14:textId="77777777" w:rsidR="00787E9A" w:rsidRPr="008608AA" w:rsidRDefault="00787E9A" w:rsidP="00787E9A">
      <w:pPr>
        <w:ind w:left="709" w:hanging="709"/>
      </w:pPr>
      <w:r w:rsidRPr="008608AA">
        <w:rPr>
          <w:lang w:val="es-CO"/>
        </w:rPr>
        <w:t xml:space="preserve">Volante, J., Mosciaro, J., Morales Poclava, M., Vale, L., Castrillo, S., Sawchik, J., Tiscornia, G., Fuente, M., Maldonado, I., Vega, A., Trujillo, R., CortéZ, L., &amp; Paruelo, J. (2015). Expansión agrícola en Argentina, Bolivia, Paraguay, Uruguay y Chile entre 2000-2010. Caracterización espacial mediante series temporales de índices de vegetación. Revista de Investigaciones Agripecurias, 41(2), 179–191. </w:t>
      </w:r>
      <w:r w:rsidRPr="008608AA">
        <w:t>Retrieved from http://ppct.caicyt.gov.ar/index.php/ria/article/view/4704/6286</w:t>
      </w:r>
    </w:p>
    <w:p w14:paraId="04FAF56F" w14:textId="77777777" w:rsidR="00787E9A" w:rsidRPr="008608AA" w:rsidRDefault="00787E9A" w:rsidP="00787E9A">
      <w:pPr>
        <w:ind w:left="709" w:hanging="709"/>
        <w:rPr>
          <w:lang w:val="es-CO"/>
        </w:rPr>
      </w:pPr>
      <w:r w:rsidRPr="008608AA">
        <w:t xml:space="preserve">Volk, M., P. Bungener, F. Contat, M. Montani, and J. Fuhrer. 2006. Grassland yield declined by a quarter in 5 years of free-air ozone fumigation. </w:t>
      </w:r>
      <w:r w:rsidRPr="008608AA">
        <w:rPr>
          <w:lang w:val="es-CO"/>
        </w:rPr>
        <w:t>Global Change Biology 12:74–83.</w:t>
      </w:r>
    </w:p>
    <w:p w14:paraId="2AA65FF1" w14:textId="77777777" w:rsidR="00787E9A" w:rsidRPr="008608AA" w:rsidRDefault="00787E9A" w:rsidP="00787E9A">
      <w:pPr>
        <w:ind w:left="709" w:hanging="709"/>
        <w:rPr>
          <w:lang w:val="es-CO"/>
        </w:rPr>
      </w:pPr>
      <w:r w:rsidRPr="008608AA">
        <w:rPr>
          <w:lang w:val="es-CO"/>
        </w:rPr>
        <w:t>Vos, Vincent A.; Olver Vaca y Adrián Cruz (2015). “Sistemas Agroforestales en la Amazonía boliviana. Una valoración de sus múltiples funciones”, Cuadernos de Investigación 82, La Paz, junio de 2015.</w:t>
      </w:r>
    </w:p>
    <w:p w14:paraId="4BBB785E" w14:textId="77777777" w:rsidR="00787E9A" w:rsidRPr="008608AA" w:rsidRDefault="00787E9A" w:rsidP="00787E9A">
      <w:pPr>
        <w:ind w:left="709" w:hanging="709"/>
      </w:pPr>
      <w:r w:rsidRPr="008608AA">
        <w:t>Vranken, L., T. Avermaete, D. Petalios and E. Mathijs (2014). "Curbing global meat consumption: Emerging evidence of a second nutrition transition." Environmental Science &amp; Policy 39: 95-106.</w:t>
      </w:r>
    </w:p>
    <w:p w14:paraId="7205837D" w14:textId="77777777" w:rsidR="00787E9A" w:rsidRPr="008608AA" w:rsidRDefault="00787E9A" w:rsidP="00787E9A">
      <w:pPr>
        <w:ind w:left="709" w:hanging="709"/>
      </w:pPr>
      <w:r w:rsidRPr="008608AA">
        <w:t>Vuille, M., E. Franquist, R. Garreaud, W. Sven, L. Casimiro, and B. Cáceres. 2015. Journal of Geophysical Research: Atmospheres.</w:t>
      </w:r>
    </w:p>
    <w:p w14:paraId="58924E57" w14:textId="77777777" w:rsidR="00787E9A" w:rsidRPr="008608AA" w:rsidRDefault="00787E9A" w:rsidP="00787E9A">
      <w:pPr>
        <w:ind w:left="709" w:hanging="709"/>
      </w:pPr>
      <w:r w:rsidRPr="008608AA">
        <w:t>Vuille, M., R. S. Bradley, M. Werner, and F. Keimig. 2003. 20Th Century Climate Change in the Tropical Andes: Observations and Model Results. Climatic Change 59:75–99.</w:t>
      </w:r>
    </w:p>
    <w:p w14:paraId="7FD44A3A" w14:textId="77777777" w:rsidR="00787E9A" w:rsidRPr="008608AA" w:rsidRDefault="00787E9A" w:rsidP="00787E9A">
      <w:pPr>
        <w:ind w:left="709" w:hanging="709"/>
      </w:pPr>
      <w:r w:rsidRPr="008608AA">
        <w:t>Wallem, P.K., C.B. Anderson, G. Martínez Pastur &amp; M.V. Lencinas (2010). Community re-assembly by an exotic herbivore,Castor canadensis, in subantarctic forests, Chile and Argentina. Biological Invasions 12: 325-335. Special edition on invasive herbivores. </w:t>
      </w:r>
    </w:p>
    <w:p w14:paraId="0E307F1F" w14:textId="77777777" w:rsidR="00787E9A" w:rsidRPr="008608AA" w:rsidRDefault="00787E9A" w:rsidP="00787E9A">
      <w:pPr>
        <w:ind w:left="709" w:hanging="709"/>
      </w:pPr>
      <w:r w:rsidRPr="008608AA">
        <w:t>Walters, W. (2016). Border/control. In An Anthology of Migration and Social Transformation (pp. 151-165). Springer International Publishing.</w:t>
      </w:r>
    </w:p>
    <w:p w14:paraId="75897909" w14:textId="77777777" w:rsidR="00787E9A" w:rsidRPr="008608AA" w:rsidRDefault="00787E9A" w:rsidP="00787E9A">
      <w:pPr>
        <w:ind w:left="709" w:hanging="709"/>
      </w:pPr>
      <w:r w:rsidRPr="008608AA">
        <w:t>Ward, J. M., &amp; Ricciardi, A. (2007). Impacts of Dreissena invasions on benthic macroinvertebrate communities: A meta-analysis: Biodiversity research. Diversity and Distributions, 13(2), 155–165. https://doi.org/10.1111/j.1472-4642.2007.00336.x</w:t>
      </w:r>
    </w:p>
    <w:p w14:paraId="35F557FD" w14:textId="77777777" w:rsidR="00787E9A" w:rsidRPr="008608AA" w:rsidRDefault="00787E9A" w:rsidP="00787E9A">
      <w:pPr>
        <w:ind w:left="709" w:hanging="709"/>
      </w:pPr>
      <w:r w:rsidRPr="008608AA">
        <w:t>Ward, R. D., D. A. Friess, R. H. Day, and R. A. MacKenzie. 2016. Impacts of climate change on mangrove ecosystems: a region by region overview. Ecosystem Health and Sustainability 2:e01211.</w:t>
      </w:r>
    </w:p>
    <w:p w14:paraId="203D595B" w14:textId="77777777" w:rsidR="00787E9A" w:rsidRPr="008608AA" w:rsidRDefault="00787E9A" w:rsidP="00787E9A">
      <w:pPr>
        <w:ind w:left="709" w:hanging="709"/>
      </w:pPr>
      <w:r w:rsidRPr="008608AA">
        <w:t>Wardle D.A., Bardgett R.D., Callaway R.M. &amp; Van Der Putten W.H. (2011). Terrestrial ecosystem responses to species gains and losses. Science, 332, 1273-1277</w:t>
      </w:r>
    </w:p>
    <w:p w14:paraId="6C99C6BB" w14:textId="77777777" w:rsidR="00787E9A" w:rsidRPr="008608AA" w:rsidRDefault="00787E9A" w:rsidP="00787E9A">
      <w:pPr>
        <w:ind w:left="709" w:hanging="709"/>
      </w:pPr>
      <w:r w:rsidRPr="008608AA">
        <w:t>Washington, S., &amp; Ababouch, L. (2011). Private standards and certification in fisheries and aquaculture: current practice and emerging issues. FAO Fisheries and Aquaculture Technical Paper. http://doi.org/10.1017/CBO9781107415324.004</w:t>
      </w:r>
    </w:p>
    <w:p w14:paraId="6269E97F" w14:textId="77777777" w:rsidR="00787E9A" w:rsidRPr="008608AA" w:rsidRDefault="00787E9A" w:rsidP="00787E9A">
      <w:pPr>
        <w:ind w:left="709" w:hanging="709"/>
      </w:pPr>
      <w:r w:rsidRPr="008608AA">
        <w:t>Weber, B., Belnap, J., &amp; Büdel, B. (2016). Synthesis on Biological Soil Crust Research. In Biological Soil Crusts: An Organizing Principle in Drylands (pp. 527-534). Springer International Publishing.</w:t>
      </w:r>
    </w:p>
    <w:p w14:paraId="142F86D4" w14:textId="77777777" w:rsidR="00787E9A" w:rsidRPr="008608AA" w:rsidRDefault="00787E9A" w:rsidP="00787E9A">
      <w:pPr>
        <w:ind w:left="709" w:hanging="709"/>
      </w:pPr>
      <w:r w:rsidRPr="008608AA">
        <w:t>Webster, N. S., S. Uthicke, E. S. Botté, F. Flores, and A. P. Negri. 2013. Ocean acidification reduces induction of coral settlement by crustose coralline algae. Global Change Biology 19:303–315.</w:t>
      </w:r>
    </w:p>
    <w:p w14:paraId="7E5436BF" w14:textId="77777777" w:rsidR="00787E9A" w:rsidRPr="008608AA" w:rsidRDefault="00787E9A" w:rsidP="00787E9A">
      <w:pPr>
        <w:ind w:left="709" w:hanging="709"/>
      </w:pPr>
      <w:r w:rsidRPr="008608AA">
        <w:t>Weihe, P., Hansen, J.C., Murata, K., Debes, F., Jørgensen, P.J., Steuerwald, U., White, R.F. and Grandjean, P., 2002. Neurobehavioral performance of Inuit children with increased prenatal exposure to methylmercury. International Journal of Circumpolar Health, 61(1), pp.41-49.</w:t>
      </w:r>
    </w:p>
    <w:p w14:paraId="7FC54561" w14:textId="77777777" w:rsidR="00787E9A" w:rsidRPr="008608AA" w:rsidRDefault="00787E9A" w:rsidP="00787E9A">
      <w:pPr>
        <w:ind w:left="709" w:hanging="709"/>
      </w:pPr>
      <w:r w:rsidRPr="008608AA">
        <w:t>Weinhold, D., Killick, E., &amp; Reis, E. J. (2013). Soybeans, poverty and inequality in the Brazilian Amazon. World Development, 52, 132-143.</w:t>
      </w:r>
    </w:p>
    <w:p w14:paraId="4E038E27" w14:textId="77777777" w:rsidR="00787E9A" w:rsidRPr="008608AA" w:rsidRDefault="00787E9A" w:rsidP="00787E9A">
      <w:pPr>
        <w:ind w:left="709" w:hanging="709"/>
      </w:pPr>
      <w:r w:rsidRPr="008608AA">
        <w:t>Weiser, E. L., &amp; Powell, A. N. (2010). Does garbage in the diet improve reproductive output of Glaucous Gulls?. The Condor, 112(3), 530-538.</w:t>
      </w:r>
    </w:p>
    <w:p w14:paraId="79714801" w14:textId="77777777" w:rsidR="00787E9A" w:rsidRPr="008608AA" w:rsidRDefault="00787E9A" w:rsidP="00787E9A">
      <w:pPr>
        <w:ind w:left="709" w:hanging="709"/>
      </w:pPr>
      <w:r w:rsidRPr="008608AA">
        <w:t xml:space="preserve">Weiss-Penzias, P. S., D. A. Gay, M. E. Brigham, M. T. Parsons, M. S. Gustin, and A. ter Schure. 2015. Trends in mercury wet deposition and mercury air concentrations across the U.S. and Canada. Science of the Total Environment 1–11. </w:t>
      </w:r>
    </w:p>
    <w:p w14:paraId="09E44667" w14:textId="77777777" w:rsidR="00787E9A" w:rsidRPr="008608AA" w:rsidRDefault="00787E9A" w:rsidP="00787E9A">
      <w:pPr>
        <w:ind w:left="709" w:hanging="709"/>
      </w:pPr>
      <w:r w:rsidRPr="008608AA">
        <w:t>Weiss, J. L., and J. T. Overpeck. 2005. Is the Sonoran Desert losing its cool? Global Change Biology 11:2065–2077.</w:t>
      </w:r>
    </w:p>
    <w:p w14:paraId="156D9099" w14:textId="77777777" w:rsidR="00787E9A" w:rsidRPr="008608AA" w:rsidRDefault="00787E9A" w:rsidP="00787E9A">
      <w:pPr>
        <w:ind w:left="709" w:hanging="709"/>
      </w:pPr>
      <w:r w:rsidRPr="008608AA">
        <w:t>Welcomme, R. L. 1999. A review of a model for qualitative evaluation of exploitation levels in multi-species fisheries. Fisheries Management and Ecology 6:1–19.</w:t>
      </w:r>
    </w:p>
    <w:p w14:paraId="2750F362" w14:textId="77777777" w:rsidR="00787E9A" w:rsidRPr="008608AA" w:rsidRDefault="00787E9A" w:rsidP="00787E9A">
      <w:pPr>
        <w:ind w:left="709" w:hanging="709"/>
      </w:pPr>
      <w:r w:rsidRPr="008608AA">
        <w:t>Welcomme, R. L., I. G. Cowx, D. Coates, C. Béné, S. Funge-Smith, A. Halls, and K. Lorenzen. 2011. Inland capture fisheries.</w:t>
      </w:r>
    </w:p>
    <w:p w14:paraId="6795BA1C" w14:textId="77777777" w:rsidR="00787E9A" w:rsidRPr="008608AA" w:rsidRDefault="00787E9A" w:rsidP="00787E9A">
      <w:pPr>
        <w:ind w:left="709" w:hanging="709"/>
      </w:pPr>
      <w:r w:rsidRPr="008608AA">
        <w:t>Welle T, Birkmann J, Rhyner J, Witting M, Wolfertz J (2012) WorldRiskIndex 2012: concept and results. In Alliance Development Works (eds.): WorldRiskReport. Berlin, pp. 11–26</w:t>
      </w:r>
    </w:p>
    <w:p w14:paraId="7611B742" w14:textId="77777777" w:rsidR="00787E9A" w:rsidRPr="008608AA" w:rsidRDefault="00787E9A" w:rsidP="00787E9A">
      <w:pPr>
        <w:ind w:left="709" w:hanging="709"/>
      </w:pPr>
      <w:r w:rsidRPr="008608AA">
        <w:t>Wertin, T. M., Reed, S. C., &amp; Belnap, J. (2015). C3 and C4 plant responses to increased temperatures and altered monsoonal precipitation in a cool desert on the Colorado Plateau, USA. Oecologia, 177(4), 997-1013.</w:t>
      </w:r>
    </w:p>
    <w:p w14:paraId="20B05F2E" w14:textId="77777777" w:rsidR="00787E9A" w:rsidRPr="008608AA" w:rsidRDefault="00787E9A" w:rsidP="00787E9A">
      <w:pPr>
        <w:ind w:left="709" w:hanging="709"/>
      </w:pPr>
      <w:r w:rsidRPr="008608AA">
        <w:t>Whitfield, P. E., Gardner, T., Vives, S. P., Gilligan, M. R., Courtenay Jr, W. R., Ray, G. C., &amp; Hare, J. A. (2002). Biological invasion of the Indo-Pacific lionfish Pterois volitans along the Atlantic coast of North America. Marine Ecology Progress Series, 235, 289-297.</w:t>
      </w:r>
    </w:p>
    <w:p w14:paraId="29403976" w14:textId="77777777" w:rsidR="00787E9A" w:rsidRPr="008608AA" w:rsidRDefault="00787E9A" w:rsidP="00787E9A">
      <w:pPr>
        <w:ind w:left="709" w:hanging="709"/>
      </w:pPr>
      <w:r w:rsidRPr="008608AA">
        <w:t xml:space="preserve">Wiebusch &amp; Lant 2017. Policy Drivers of US Wetland Conversion Rates, 1955-2009, Society and Natural Resources 30:16-30. </w:t>
      </w:r>
    </w:p>
    <w:p w14:paraId="1FE91DDD" w14:textId="77777777" w:rsidR="00787E9A" w:rsidRPr="008608AA" w:rsidRDefault="00787E9A" w:rsidP="00787E9A">
      <w:pPr>
        <w:ind w:left="709" w:hanging="709"/>
      </w:pPr>
      <w:r w:rsidRPr="008608AA">
        <w:t>Wiedenfeld, D.A., Crawford, R. and Pott, C.M., 2015. Workshop Report: Reducing the Bycatch of Seabirds, Sea Turtles, and Marine Mammals in Gillnets. 21-23 January 2015. American Bird Conservancy and BirdLife International.</w:t>
      </w:r>
    </w:p>
    <w:p w14:paraId="4D2B7164" w14:textId="77777777" w:rsidR="00787E9A" w:rsidRPr="008608AA" w:rsidRDefault="00787E9A" w:rsidP="00787E9A">
      <w:pPr>
        <w:ind w:left="709" w:hanging="709"/>
      </w:pPr>
      <w:r w:rsidRPr="008608AA">
        <w:t>Wik, M., Pingali, P., &amp; Brocai, S. (2008). Global agricultural performance: past trends and future prospects.</w:t>
      </w:r>
    </w:p>
    <w:p w14:paraId="16A9D575" w14:textId="77777777" w:rsidR="00787E9A" w:rsidRPr="008608AA" w:rsidRDefault="00787E9A" w:rsidP="00787E9A">
      <w:pPr>
        <w:ind w:left="709" w:hanging="709"/>
      </w:pPr>
      <w:r w:rsidRPr="008608AA">
        <w:t>Wilcove, D. S., D. Rothstein, J. Dubow, A. Phillips, and E. Losos. 1998. Quantifying threats to imperiled species in the United States. BioScience 48:607–615.</w:t>
      </w:r>
    </w:p>
    <w:p w14:paraId="0C6EB1F7" w14:textId="77777777" w:rsidR="00787E9A" w:rsidRPr="008608AA" w:rsidRDefault="00787E9A" w:rsidP="00787E9A">
      <w:pPr>
        <w:ind w:left="709" w:hanging="709"/>
      </w:pPr>
      <w:r w:rsidRPr="008608AA">
        <w:t>Wilcox, C., N.J. Mallos, G. H. Leonard, A. Rodriguez, B. D. Hardesty, 2016, Using expert elicitation to estimate the impacts of plastic pollution on marine wildlife.  Marine Policy 65:107–114.</w:t>
      </w:r>
    </w:p>
    <w:p w14:paraId="0DADF6A6" w14:textId="77777777" w:rsidR="00787E9A" w:rsidRPr="008608AA" w:rsidRDefault="00787E9A" w:rsidP="00787E9A">
      <w:pPr>
        <w:ind w:left="709" w:hanging="709"/>
      </w:pPr>
      <w:r w:rsidRPr="008608AA">
        <w:t>Wilkie, D.S. and Godoy, R.A. (2001) ‘Income and price elasticities of Bushmeat Demand Lowland Amerindian Societies’, Conservation Biology,153, 761-769.</w:t>
      </w:r>
    </w:p>
    <w:p w14:paraId="65DBEE55" w14:textId="77777777" w:rsidR="00787E9A" w:rsidRPr="008608AA" w:rsidRDefault="00787E9A" w:rsidP="00787E9A">
      <w:pPr>
        <w:ind w:left="709" w:hanging="709"/>
      </w:pPr>
      <w:r w:rsidRPr="008608AA">
        <w:t>Wilkinson, C. R., &amp; Souter, D. N. (Eds.). (2008). Status of Caribbean coral reefs after bleaching and hurricanes in 2005 (Vol. 148). Global Coral Reef Monitoring Network.</w:t>
      </w:r>
    </w:p>
    <w:p w14:paraId="41531D47" w14:textId="77777777" w:rsidR="00787E9A" w:rsidRPr="008608AA" w:rsidRDefault="00787E9A" w:rsidP="00787E9A">
      <w:pPr>
        <w:ind w:left="709" w:hanging="709"/>
      </w:pPr>
      <w:r w:rsidRPr="008608AA">
        <w:t>Willer, H. and Lernoud, J., 2016. The world of organic agriculture. Statistics and emerging trends 2016 (pp. 1-336). Research Institute of Organic Agriculture FiBL and IFOAM Organics International.</w:t>
      </w:r>
    </w:p>
    <w:p w14:paraId="2C9703F0" w14:textId="77777777" w:rsidR="00787E9A" w:rsidRPr="008608AA" w:rsidRDefault="00787E9A" w:rsidP="00787E9A">
      <w:pPr>
        <w:ind w:left="709" w:hanging="709"/>
      </w:pPr>
      <w:r w:rsidRPr="008608AA">
        <w:t>Wilsey, B. J., Martin, L. M., &amp; Polley, H. W. (2005). Predicting Plant Extinction Based on Species</w:t>
      </w:r>
      <w:r w:rsidRPr="008608AA">
        <w:rPr>
          <w:rFonts w:ascii="Cambria Math" w:hAnsi="Cambria Math" w:cs="Cambria Math"/>
        </w:rPr>
        <w:t>‐</w:t>
      </w:r>
      <w:r w:rsidRPr="008608AA">
        <w:t>Area Curves in Prairie Fragments with High Beta Richness. Conservation Biology, 19(6), 1835-1841.</w:t>
      </w:r>
    </w:p>
    <w:p w14:paraId="387ECB2E" w14:textId="77777777" w:rsidR="00787E9A" w:rsidRPr="008608AA" w:rsidRDefault="00787E9A" w:rsidP="00787E9A">
      <w:pPr>
        <w:ind w:left="709" w:hanging="709"/>
      </w:pPr>
      <w:r w:rsidRPr="008608AA">
        <w:t>Wirtz, D., Sorensen, D. C., &amp; Haasdonk, B. (2014). A posteriori error estimation for DEIM reduced nonlinear dynamical systems. SIAM Journal on Scientific Computing, 36(2), A311-A338.</w:t>
      </w:r>
    </w:p>
    <w:p w14:paraId="73457801" w14:textId="77777777" w:rsidR="00787E9A" w:rsidRPr="008608AA" w:rsidRDefault="00787E9A" w:rsidP="00787E9A">
      <w:pPr>
        <w:ind w:left="709" w:hanging="709"/>
      </w:pPr>
      <w:r w:rsidRPr="008608AA">
        <w:t>Wittmann, F., Schongart, J., Montero, J. C., Motzer, T., Junk, W. J., Piedade, M. T. F., Queiroz, H. L., &amp; Worbes, M. (2006). Tree species composition and diversity gradients in white-water forests across the Amazon Basin. Journal of Biogeography, 33(8), 1334–1347. https://doi.org/10.1111/j.1365-2699.2006.01495.x</w:t>
      </w:r>
    </w:p>
    <w:p w14:paraId="4B19A577" w14:textId="77777777" w:rsidR="00787E9A" w:rsidRPr="008608AA" w:rsidRDefault="00787E9A" w:rsidP="00787E9A">
      <w:pPr>
        <w:ind w:left="709" w:hanging="709"/>
      </w:pPr>
      <w:r w:rsidRPr="008608AA">
        <w:t>Wolfe, B. T., &amp; Van Bloem, S. J. (2012). Subtropical dry forest regeneration in grass-invaded areas of Puerto Rico: Understanding why Leucaena leucocephala dominates and native species fail. Forest Ecology and Management, 267, 253–261. https://doi.org/10.1016/j.foreco.2011.12.015</w:t>
      </w:r>
    </w:p>
    <w:p w14:paraId="31ED9DAC" w14:textId="77777777" w:rsidR="00787E9A" w:rsidRPr="008608AA" w:rsidRDefault="00787E9A" w:rsidP="00787E9A">
      <w:pPr>
        <w:ind w:left="709" w:hanging="709"/>
      </w:pPr>
      <w:r w:rsidRPr="008608AA">
        <w:t>Wolfe, S.A., D.B. Griffith, and C.A. Gray Wolfe. 2000. Response of reindeer and caribou to human activities. Polar Research 19:63-73.</w:t>
      </w:r>
    </w:p>
    <w:p w14:paraId="03C6A85A" w14:textId="77777777" w:rsidR="00787E9A" w:rsidRPr="008608AA" w:rsidRDefault="00787E9A" w:rsidP="00787E9A">
      <w:pPr>
        <w:ind w:left="709" w:hanging="709"/>
      </w:pPr>
      <w:r w:rsidRPr="008608AA">
        <w:t>Woodley, S., Bertzky, B., Crawhall, N., Dudley, N., Londoño, J. M., Mackinnon, K., &amp; Redford, K. (2012). Meeting aichi target 11: what does success look like for protected area systems? Parks, 18(1).</w:t>
      </w:r>
    </w:p>
    <w:p w14:paraId="77354881" w14:textId="77777777" w:rsidR="00787E9A" w:rsidRPr="008608AA" w:rsidRDefault="00787E9A" w:rsidP="00787E9A">
      <w:pPr>
        <w:ind w:left="709" w:hanging="709"/>
      </w:pPr>
      <w:r w:rsidRPr="008608AA">
        <w:t>Wooldridge, S.A. and Done, T.J., 2009. Improved water quality can ameliorate effects of climate change on corals. Ecological Applications, 19(6), pp.1492-1499.</w:t>
      </w:r>
    </w:p>
    <w:p w14:paraId="522B6576" w14:textId="77777777" w:rsidR="00787E9A" w:rsidRPr="008608AA" w:rsidRDefault="00787E9A" w:rsidP="00787E9A">
      <w:pPr>
        <w:ind w:left="709" w:hanging="709"/>
      </w:pPr>
      <w:r w:rsidRPr="008608AA">
        <w:t>Woodruff, T.J., Grillo, J. and Schoendorf, K.C., 1997. The relationship between selected causes of postneonatal infant mortality and particulate air pollution in the United States. Environmental health perspectives, 105(6), p.608.</w:t>
      </w:r>
    </w:p>
    <w:p w14:paraId="65E04F95" w14:textId="77777777" w:rsidR="00787E9A" w:rsidRPr="008608AA" w:rsidRDefault="00787E9A" w:rsidP="00787E9A">
      <w:pPr>
        <w:ind w:left="709" w:hanging="709"/>
      </w:pPr>
      <w:r w:rsidRPr="008608AA">
        <w:t>Woody, C. A., Hughes, R. M., Wagner, E. J., Quinn, T. P., Roulson, L. H., Martin, L. M., &amp; Griswold, K. (2010). The Mining Law of 1872: Change is Overdue. Fisheries, 35(7), 321–331. https://doi.org/10.1577/1548-8446-35.7.321</w:t>
      </w:r>
    </w:p>
    <w:p w14:paraId="695A00A9" w14:textId="77777777" w:rsidR="00787E9A" w:rsidRPr="008608AA" w:rsidRDefault="00787E9A" w:rsidP="00787E9A">
      <w:pPr>
        <w:ind w:left="709" w:hanging="709"/>
      </w:pPr>
    </w:p>
    <w:p w14:paraId="3CD84510" w14:textId="77777777" w:rsidR="00787E9A" w:rsidRPr="008608AA" w:rsidRDefault="00787E9A" w:rsidP="00787E9A">
      <w:pPr>
        <w:ind w:left="709" w:hanging="709"/>
      </w:pPr>
    </w:p>
    <w:p w14:paraId="4FDE3F58" w14:textId="77777777" w:rsidR="00787E9A" w:rsidRPr="008608AA" w:rsidRDefault="00787E9A" w:rsidP="00787E9A">
      <w:pPr>
        <w:ind w:left="709" w:hanging="709"/>
      </w:pPr>
      <w:r w:rsidRPr="008608AA">
        <w:t>Worldometers (2017).  Accessed 2 May 2017, and 3 September 2017 at: </w:t>
      </w:r>
      <w:hyperlink r:id="rId1024" w:tgtFrame="_blank" w:history="1">
        <w:r w:rsidRPr="008608AA">
          <w:t>http://www.worldometers.info/world-population/population-by-region/</w:t>
        </w:r>
      </w:hyperlink>
    </w:p>
    <w:p w14:paraId="1C30E637" w14:textId="77777777" w:rsidR="00787E9A" w:rsidRPr="008608AA" w:rsidRDefault="00787E9A" w:rsidP="00787E9A">
      <w:pPr>
        <w:ind w:left="709" w:hanging="709"/>
      </w:pPr>
      <w:r w:rsidRPr="008608AA">
        <w:t>Worm, B., H. K. Lotze, I. Jubinville, C. Wilcox, J. Jambeck, 2017, Plastic As a Persistent Marine Pollutant, Annual Review of Environment and Resources, 42:1</w:t>
      </w:r>
    </w:p>
    <w:p w14:paraId="1AFC9E41" w14:textId="77777777" w:rsidR="00787E9A" w:rsidRPr="008608AA" w:rsidRDefault="00787E9A" w:rsidP="00787E9A">
      <w:pPr>
        <w:ind w:left="709" w:hanging="709"/>
      </w:pPr>
      <w:r w:rsidRPr="008608AA">
        <w:t>Wortley, L., Hero, J. M., &amp; Howes, M. (2013). Evaluating ecological restoration success: a review of the literature. Restoration Ecology, 21(5), 537-543.</w:t>
      </w:r>
    </w:p>
    <w:p w14:paraId="684FE805" w14:textId="77777777" w:rsidR="00787E9A" w:rsidRPr="008608AA" w:rsidRDefault="00787E9A" w:rsidP="00787E9A">
      <w:pPr>
        <w:ind w:left="709" w:hanging="709"/>
      </w:pPr>
      <w:r w:rsidRPr="008608AA">
        <w:t>Wright, C. K., &amp; Wimberly, M. C. (2013). Recent land use change in the Western Corn Belt threatens grasslands and wetlands. Proceedings of the National Academy of Sciences, 110(10), 4134-4139.</w:t>
      </w:r>
    </w:p>
    <w:p w14:paraId="5C8501CC" w14:textId="77777777" w:rsidR="00787E9A" w:rsidRPr="008608AA" w:rsidRDefault="00787E9A" w:rsidP="00787E9A">
      <w:pPr>
        <w:ind w:left="709" w:hanging="709"/>
      </w:pPr>
      <w:r w:rsidRPr="008608AA">
        <w:t>Wu, Y., Wang, S., Streets, D.G., Hao, J., Chan, M. and Jiang, J., 2006. Trends in anthropogenic mercury emissions in China from 1995 to 2003. Environmental science &amp; technology, 40(17), pp.5312-5318.</w:t>
      </w:r>
    </w:p>
    <w:p w14:paraId="75A2E438" w14:textId="77777777" w:rsidR="00787E9A" w:rsidRPr="008608AA" w:rsidRDefault="00787E9A" w:rsidP="00787E9A">
      <w:pPr>
        <w:ind w:left="709" w:hanging="709"/>
      </w:pPr>
      <w:r w:rsidRPr="008608AA">
        <w:t>Wurster, C.F. and Wingate, D.B., 1968. DDT residues and declining reproduction in the Bermuda petrel. Science, 159(3818), pp.979-981.</w:t>
      </w:r>
    </w:p>
    <w:p w14:paraId="051A34E1" w14:textId="77777777" w:rsidR="00787E9A" w:rsidRPr="008608AA" w:rsidRDefault="00787E9A" w:rsidP="00787E9A">
      <w:pPr>
        <w:ind w:left="709" w:hanging="709"/>
      </w:pPr>
      <w:r w:rsidRPr="008608AA">
        <w:t>Wurster, D.H., Wurster, C.F. and Strickland, W.N., 1965. Bird mortality following DDT spray for Dutch elm disease. Ecology, 46(4), pp.488-499.</w:t>
      </w:r>
    </w:p>
    <w:p w14:paraId="596B4B04" w14:textId="77777777" w:rsidR="00787E9A" w:rsidRPr="008608AA" w:rsidRDefault="00787E9A" w:rsidP="00787E9A">
      <w:pPr>
        <w:ind w:left="709" w:hanging="709"/>
      </w:pPr>
      <w:r w:rsidRPr="008608AA">
        <w:t>WWF. (2014). Living Planet Report 2014: Species and spaces, people and places. Research accunting 1:180. &lt;http://www.ncbi.nlm.nih.gov/pubmed/15003161\nhttp://cid.oxfordjournals.org/lookup/doi/10.1093/cid/cir991\nhttp://www.scielo.cl/pdf/udecada/v15n26/art06.pdf\nhttp://www.scopus.com/inward/record.url?eid=2-s2.0-84861150233&amp;partnerID=tZOtx3y1&gt;.</w:t>
      </w:r>
    </w:p>
    <w:p w14:paraId="0429C9E6" w14:textId="77777777" w:rsidR="00787E9A" w:rsidRPr="008608AA" w:rsidRDefault="00787E9A" w:rsidP="00787E9A">
      <w:pPr>
        <w:ind w:left="709" w:hanging="709"/>
      </w:pPr>
      <w:r w:rsidRPr="008608AA">
        <w:t>WWF. (2016). Living Planet Report 2016: Risk and resilience in a new era:  https://wwf.panda.org/knowledge_hub/all_publications/lpr_2016/. Date accessed:  March 20th, 2017.</w:t>
      </w:r>
    </w:p>
    <w:p w14:paraId="5233302E" w14:textId="77777777" w:rsidR="00787E9A" w:rsidRPr="008608AA" w:rsidRDefault="00787E9A" w:rsidP="00787E9A">
      <w:pPr>
        <w:ind w:left="709" w:hanging="709"/>
      </w:pPr>
      <w:r w:rsidRPr="008608AA">
        <w:t>Yang, Z., T. Wang, R. Leung, K. Hibbard, T. Janetos, I. Kraucunas, J. Rice, B. Preston, and T. Wilbanks. 2014. A modeling study of coastal inundation induced by storm surge, sea-level rise, and subsidence in the Gulf of Mexico. Natural Hazards 71:1771–1794.</w:t>
      </w:r>
    </w:p>
    <w:p w14:paraId="10CC3453" w14:textId="77777777" w:rsidR="00787E9A" w:rsidRPr="008608AA" w:rsidRDefault="00787E9A" w:rsidP="00787E9A">
      <w:pPr>
        <w:ind w:left="709" w:hanging="709"/>
      </w:pPr>
      <w:r w:rsidRPr="008608AA">
        <w:t>Yearbook, FAO Statistical. "World food and agriculture." Food and Agriculture Organization of the United Nations, Rome (2013): 2013.</w:t>
      </w:r>
    </w:p>
    <w:p w14:paraId="04FFFEF1" w14:textId="77777777" w:rsidR="00787E9A" w:rsidRPr="008608AA" w:rsidRDefault="00787E9A" w:rsidP="00787E9A">
      <w:pPr>
        <w:ind w:left="709" w:hanging="709"/>
      </w:pPr>
      <w:r w:rsidRPr="008608AA">
        <w:t>Yee, S. H., D. L. Santavy, and M. G. Barron. 2008. Comparing environmental influences on coral bleaching across and within species using clustered binomial regression. Ecological Modelling 218:162–174.</w:t>
      </w:r>
    </w:p>
    <w:p w14:paraId="6BE40C29" w14:textId="77777777" w:rsidR="00787E9A" w:rsidRPr="008608AA" w:rsidRDefault="00787E9A" w:rsidP="00787E9A">
      <w:pPr>
        <w:ind w:left="709" w:hanging="709"/>
      </w:pPr>
      <w:r w:rsidRPr="0089044C">
        <w:t>Zagarola, J.P., C.B. Anderson &amp; J. Veteto (2014). </w:t>
      </w:r>
      <w:r w:rsidRPr="008608AA">
        <w:t>Perceiving Patagonia - An assessment of social values and perspectives regarding watershed ecosystem services and management in southern South America.Environmental Management 53: 769-782. </w:t>
      </w:r>
    </w:p>
    <w:p w14:paraId="26B36BF8" w14:textId="77777777" w:rsidR="00787E9A" w:rsidRPr="008608AA" w:rsidRDefault="00787E9A" w:rsidP="00787E9A">
      <w:pPr>
        <w:ind w:left="709" w:hanging="709"/>
      </w:pPr>
      <w:r w:rsidRPr="008608AA">
        <w:rPr>
          <w:lang w:val="es-CO"/>
        </w:rPr>
        <w:t xml:space="preserve">Zambrano, L., Valiente, E., &amp; van der Zanden, M. J. (2010). </w:t>
      </w:r>
      <w:r w:rsidRPr="008608AA">
        <w:t>Food web overlap among native axolotl (Ambystoma mexicanum) and two exotic fishes: Carp (Cyprinus carpio) and tilapia (Oreochromis niloticus) in Xochimilco, Mexico City. Biological Invasions, 12(9), 3061–3069. https://doi.org/10.1007/s10530-010-9697-8</w:t>
      </w:r>
    </w:p>
    <w:p w14:paraId="4C41D24C" w14:textId="77777777" w:rsidR="00787E9A" w:rsidRPr="008608AA" w:rsidRDefault="00787E9A" w:rsidP="00787E9A">
      <w:pPr>
        <w:ind w:left="709" w:hanging="709"/>
        <w:rPr>
          <w:lang w:val="es-CO"/>
        </w:rPr>
      </w:pPr>
      <w:r w:rsidRPr="008608AA">
        <w:t xml:space="preserve">Zenni, R. D., &amp; Ziller, S. R. (2011). An overview of invasive plants in Brazil. </w:t>
      </w:r>
      <w:r w:rsidRPr="008608AA">
        <w:rPr>
          <w:lang w:val="es-CO"/>
        </w:rPr>
        <w:t xml:space="preserve">Revista Brasileira de Botânica, 34(3), 431–446. </w:t>
      </w:r>
      <w:hyperlink r:id="rId1025" w:history="1">
        <w:r w:rsidRPr="008608AA">
          <w:rPr>
            <w:lang w:val="es-CO"/>
          </w:rPr>
          <w:t>https://doi.org/10.1590/S0100-84042011000300016</w:t>
        </w:r>
      </w:hyperlink>
    </w:p>
    <w:p w14:paraId="142D9936" w14:textId="77777777" w:rsidR="00787E9A" w:rsidRPr="008608AA" w:rsidRDefault="00787E9A" w:rsidP="00787E9A">
      <w:pPr>
        <w:ind w:left="709" w:hanging="709"/>
      </w:pPr>
      <w:r w:rsidRPr="008608AA">
        <w:rPr>
          <w:lang w:val="es-CO"/>
        </w:rPr>
        <w:t xml:space="preserve">Zenni, R. D., Ziller, S. R., Pauchard, A., Rodriguez-Cabal, M., &amp; Nuñez, M. A. (2017). </w:t>
      </w:r>
      <w:r w:rsidRPr="008608AA">
        <w:t>Invasion science in the developing world: A response to Ricciardi et al. Trends in Ecology &amp; Evolution, 32(11), 807-808.</w:t>
      </w:r>
    </w:p>
    <w:p w14:paraId="345B59CD" w14:textId="77777777" w:rsidR="00787E9A" w:rsidRPr="008608AA" w:rsidRDefault="00787E9A" w:rsidP="00787E9A">
      <w:pPr>
        <w:ind w:left="709" w:hanging="709"/>
      </w:pPr>
      <w:r w:rsidRPr="0089044C">
        <w:t>Zéphyr, P. M. D., Guillén, A. C., Salgado, H., &amp; Seligson, M. A. (2011). </w:t>
      </w:r>
      <w:r w:rsidRPr="008608AA">
        <w:t>Haiti in distress: The impact of the 2010 earthquake on citizen lives and perceptions. LAPOP.</w:t>
      </w:r>
    </w:p>
    <w:p w14:paraId="2F90D541" w14:textId="77777777" w:rsidR="00787E9A" w:rsidRPr="008608AA" w:rsidRDefault="00787E9A" w:rsidP="00787E9A">
      <w:pPr>
        <w:ind w:left="709" w:hanging="709"/>
      </w:pPr>
      <w:r w:rsidRPr="008608AA">
        <w:t xml:space="preserve">Zhou, Y., A. M. Michalak, D. Beletsky, Y. R. Rao, and R. P. Richards. 2015. Record-breaking Lake Erie hypoxia during 2012 drought. Environmental Science and Technology 49:800–807. </w:t>
      </w:r>
    </w:p>
    <w:p w14:paraId="6251F8E6" w14:textId="77777777" w:rsidR="00787E9A" w:rsidRPr="008608AA" w:rsidRDefault="00787E9A" w:rsidP="00787E9A">
      <w:pPr>
        <w:ind w:left="709" w:hanging="709"/>
      </w:pPr>
      <w:r w:rsidRPr="008608AA">
        <w:t>Zilberman, D., Hochman, G., Rajagopal, D., Sexton, S., &amp; Timilsina, G. (2012). The impact of biofuels on commodity food prices: Assessment of findings. American Journal of Agricultural Economics, 95(2), 275-281.</w:t>
      </w:r>
    </w:p>
    <w:p w14:paraId="7DC68B08" w14:textId="77777777" w:rsidR="00787E9A" w:rsidRPr="008608AA" w:rsidRDefault="00787E9A" w:rsidP="00787E9A">
      <w:pPr>
        <w:ind w:left="709" w:hanging="709"/>
      </w:pPr>
      <w:r w:rsidRPr="008608AA">
        <w:t>Ziller, S. R., Reaser, J. K., Neville, L. E., &amp; Brand, K. (2005). Invasive alien species in South America: national reports &amp; directory of resources. Prevention and Management of Invasive Alien Species: Forging Cooperation throughout South America, 114 p. Retrieved from www.gisp.org</w:t>
      </w:r>
    </w:p>
    <w:p w14:paraId="44D0BF4C" w14:textId="77777777" w:rsidR="00787E9A" w:rsidRPr="008608AA" w:rsidRDefault="00787E9A" w:rsidP="00787E9A">
      <w:pPr>
        <w:ind w:left="709" w:hanging="709"/>
      </w:pPr>
      <w:r w:rsidRPr="008608AA">
        <w:t>Zimmerle, D.J., Williams, L.L., Vaughn, T.L., Quinn, C., Subramanian, R., Duggan, G.P., Willson, B., Opsomer, J.D., Marchese, A.J., Martinez, D.M. and Robinson, A.L., 2015. Methane emissions from the natural gas transmission and storage system in the United States. Environmental science &amp; technology, 49(15), pp.9374-9383.</w:t>
      </w:r>
    </w:p>
    <w:p w14:paraId="17479729" w14:textId="77777777" w:rsidR="00787E9A" w:rsidRPr="008608AA" w:rsidRDefault="00787E9A" w:rsidP="00787E9A">
      <w:pPr>
        <w:ind w:left="709" w:hanging="709"/>
      </w:pPr>
      <w:r w:rsidRPr="008608AA">
        <w:t xml:space="preserve">Zulkafli, Z., W. Buytaert, B. Manz, C. V. Rosas, P. Willems, W. Lavado-Casimiro, J.-L. Guyot, and W. Santini. 2016. Projected increases in the annual flood pulse of the Western Amazon. Environmental Research Letters 11:014013. </w:t>
      </w:r>
    </w:p>
    <w:bookmarkEnd w:id="1262"/>
    <w:p w14:paraId="307EBD7D" w14:textId="77777777" w:rsidR="00787E9A" w:rsidRPr="008608AA" w:rsidRDefault="00787E9A" w:rsidP="00787E9A">
      <w:pPr>
        <w:ind w:left="709" w:hanging="709"/>
      </w:pPr>
    </w:p>
    <w:p w14:paraId="72AC545E" w14:textId="77777777" w:rsidR="00787E9A" w:rsidRPr="008608AA" w:rsidRDefault="00787E9A" w:rsidP="001E61A6">
      <w:pPr>
        <w:sectPr w:rsidR="00787E9A" w:rsidRPr="008608AA" w:rsidSect="004B74E6">
          <w:pgSz w:w="11907" w:h="16839" w:code="9"/>
          <w:pgMar w:top="907" w:right="992" w:bottom="1418" w:left="1418" w:header="720" w:footer="720" w:gutter="0"/>
          <w:cols w:space="720"/>
          <w:docGrid w:linePitch="326"/>
        </w:sectPr>
      </w:pPr>
    </w:p>
    <w:p w14:paraId="42F36CEA" w14:textId="48DDA4A6" w:rsidR="003601D1" w:rsidRPr="008608AA" w:rsidRDefault="007235B9" w:rsidP="0042035C">
      <w:pPr>
        <w:pStyle w:val="Heading1"/>
      </w:pPr>
      <w:bookmarkStart w:id="1828" w:name="_Toc503293149"/>
      <w:bookmarkStart w:id="1829" w:name="_Toc503293747"/>
      <w:bookmarkStart w:id="1830" w:name="_Toc503294009"/>
      <w:bookmarkStart w:id="1831" w:name="_Toc503863402"/>
      <w:bookmarkStart w:id="1832" w:name="_Toc517393396"/>
      <w:bookmarkStart w:id="1833" w:name="_Toc517719137"/>
      <w:bookmarkStart w:id="1834" w:name="_Toc517726341"/>
      <w:bookmarkStart w:id="1835" w:name="_Toc517796854"/>
      <w:bookmarkStart w:id="1836" w:name="_Toc517797094"/>
      <w:bookmarkStart w:id="1837" w:name="Chap5"/>
      <w:r w:rsidRPr="008608AA">
        <w:t>Chapter 5:</w:t>
      </w:r>
      <w:r w:rsidR="003601D1" w:rsidRPr="008608AA">
        <w:t xml:space="preserve"> </w:t>
      </w:r>
      <w:bookmarkEnd w:id="1263"/>
      <w:bookmarkEnd w:id="1264"/>
      <w:r w:rsidR="003601D1" w:rsidRPr="008608AA">
        <w:t xml:space="preserve">Current </w:t>
      </w:r>
      <w:r w:rsidR="009E18F7" w:rsidRPr="008608AA">
        <w:t>and future interactions between nature and society</w:t>
      </w:r>
      <w:bookmarkEnd w:id="1265"/>
      <w:bookmarkEnd w:id="1266"/>
      <w:bookmarkEnd w:id="1267"/>
      <w:bookmarkEnd w:id="1268"/>
      <w:bookmarkEnd w:id="1269"/>
      <w:bookmarkEnd w:id="1270"/>
      <w:bookmarkEnd w:id="1271"/>
      <w:bookmarkEnd w:id="1272"/>
      <w:bookmarkEnd w:id="1828"/>
      <w:bookmarkEnd w:id="1829"/>
      <w:bookmarkEnd w:id="1830"/>
      <w:bookmarkEnd w:id="1831"/>
      <w:bookmarkEnd w:id="1832"/>
      <w:bookmarkEnd w:id="1833"/>
      <w:bookmarkEnd w:id="1834"/>
      <w:bookmarkEnd w:id="1835"/>
      <w:bookmarkEnd w:id="1836"/>
    </w:p>
    <w:p w14:paraId="0FA61877" w14:textId="77777777" w:rsidR="003601D1" w:rsidRPr="00CE0821" w:rsidRDefault="003601D1" w:rsidP="003601D1">
      <w:pPr>
        <w:suppressAutoHyphens/>
        <w:rPr>
          <w:rFonts w:eastAsia="Droid Sans Fallback"/>
          <w:b/>
        </w:rPr>
      </w:pPr>
      <w:r w:rsidRPr="00CE0821">
        <w:rPr>
          <w:rFonts w:eastAsia="Droid Sans Fallback"/>
          <w:b/>
        </w:rPr>
        <w:t>Coordinating Lead Authors</w:t>
      </w:r>
    </w:p>
    <w:p w14:paraId="72053D55" w14:textId="240EF362" w:rsidR="003601D1" w:rsidRPr="00CE0821" w:rsidRDefault="003601D1" w:rsidP="003601D1">
      <w:pPr>
        <w:suppressAutoHyphens/>
      </w:pPr>
      <w:r w:rsidRPr="00CE0821">
        <w:t>Brian</w:t>
      </w:r>
      <w:r w:rsidR="0079365D" w:rsidRPr="00CE0821">
        <w:t xml:space="preserve"> J.</w:t>
      </w:r>
      <w:r w:rsidRPr="00CE0821">
        <w:t xml:space="preserve"> Klatt (USA), Jaime Ricardo García Márquez (Colombia/Germany), Jean Pierre Ometto (Brazil)</w:t>
      </w:r>
    </w:p>
    <w:p w14:paraId="4E0ED73F" w14:textId="77777777" w:rsidR="003601D1" w:rsidRPr="00CE0821" w:rsidRDefault="003601D1" w:rsidP="003601D1">
      <w:pPr>
        <w:suppressAutoHyphens/>
      </w:pPr>
    </w:p>
    <w:p w14:paraId="2A645EFC" w14:textId="77777777" w:rsidR="003601D1" w:rsidRPr="008608AA" w:rsidRDefault="003601D1" w:rsidP="003601D1">
      <w:pPr>
        <w:suppressAutoHyphens/>
        <w:rPr>
          <w:rFonts w:eastAsia="Droid Sans Fallback"/>
          <w:b/>
          <w:lang w:val="pt-BR"/>
        </w:rPr>
      </w:pPr>
      <w:r w:rsidRPr="008608AA">
        <w:rPr>
          <w:rFonts w:eastAsia="Droid Sans Fallback"/>
          <w:b/>
          <w:lang w:val="pt-BR"/>
        </w:rPr>
        <w:t>Lead Authors</w:t>
      </w:r>
    </w:p>
    <w:p w14:paraId="679CADE1" w14:textId="01C6BA79" w:rsidR="003601D1" w:rsidRPr="008608AA" w:rsidRDefault="003601D1" w:rsidP="003601D1">
      <w:pPr>
        <w:suppressAutoHyphens/>
        <w:rPr>
          <w:lang w:val="es-ES"/>
        </w:rPr>
      </w:pPr>
      <w:r w:rsidRPr="008608AA">
        <w:rPr>
          <w:lang w:val="es-ES"/>
        </w:rPr>
        <w:t>María Piedad</w:t>
      </w:r>
      <w:r w:rsidR="00DF5365" w:rsidRPr="008608AA">
        <w:rPr>
          <w:lang w:val="es-ES"/>
        </w:rPr>
        <w:t xml:space="preserve"> Baptiste Espinosa </w:t>
      </w:r>
      <w:r w:rsidRPr="008608AA">
        <w:rPr>
          <w:lang w:val="es-ES"/>
        </w:rPr>
        <w:t xml:space="preserve">(Colombia), Sara Wilson S. (Canada), Sandra Verónica Acebey Quiroga (Bolivia), María Claudia Guezala Villavicencio (Peru), Matias Enrique Mastrangelo (Argentina), Walter Alberto </w:t>
      </w:r>
      <w:r w:rsidR="00E6303A" w:rsidRPr="008608AA">
        <w:rPr>
          <w:lang w:val="es-ES"/>
        </w:rPr>
        <w:t>Pengue (Argentina), Mariela Veró</w:t>
      </w:r>
      <w:r w:rsidRPr="008608AA">
        <w:rPr>
          <w:lang w:val="es-ES"/>
        </w:rPr>
        <w:t>nica Blanco (Argentina), Tatiana Gadd</w:t>
      </w:r>
      <w:r w:rsidR="00E6303A" w:rsidRPr="008608AA">
        <w:rPr>
          <w:lang w:val="es-ES"/>
        </w:rPr>
        <w:t>a (Brazil), Wilson Ramírez Herná</w:t>
      </w:r>
      <w:r w:rsidRPr="008608AA">
        <w:rPr>
          <w:lang w:val="es-ES"/>
        </w:rPr>
        <w:t>ndez (Colombia), John Agard (Trinidad and Tobago).</w:t>
      </w:r>
    </w:p>
    <w:p w14:paraId="00C783C2" w14:textId="77777777" w:rsidR="003601D1" w:rsidRPr="008608AA" w:rsidRDefault="003601D1" w:rsidP="003601D1">
      <w:pPr>
        <w:suppressAutoHyphens/>
        <w:rPr>
          <w:lang w:val="es-ES"/>
        </w:rPr>
      </w:pPr>
    </w:p>
    <w:p w14:paraId="011655FD" w14:textId="77777777" w:rsidR="003601D1" w:rsidRPr="008608AA" w:rsidRDefault="003601D1" w:rsidP="003601D1">
      <w:pPr>
        <w:suppressAutoHyphens/>
        <w:rPr>
          <w:rFonts w:eastAsia="Droid Sans Fallback"/>
          <w:b/>
        </w:rPr>
      </w:pPr>
      <w:r w:rsidRPr="008608AA">
        <w:rPr>
          <w:rFonts w:eastAsia="Droid Sans Fallback"/>
          <w:b/>
        </w:rPr>
        <w:t>Fellow</w:t>
      </w:r>
    </w:p>
    <w:p w14:paraId="50ED7A57" w14:textId="77777777" w:rsidR="003601D1" w:rsidRPr="008608AA" w:rsidRDefault="003601D1" w:rsidP="003601D1">
      <w:pPr>
        <w:suppressAutoHyphens/>
      </w:pPr>
      <w:r w:rsidRPr="008608AA">
        <w:t>Mireia Valle (Spain/Ecuador)</w:t>
      </w:r>
    </w:p>
    <w:p w14:paraId="417B401F" w14:textId="77777777" w:rsidR="003601D1" w:rsidRPr="008608AA" w:rsidRDefault="003601D1" w:rsidP="003601D1">
      <w:pPr>
        <w:suppressAutoHyphens/>
      </w:pPr>
    </w:p>
    <w:p w14:paraId="3057AEB1" w14:textId="77777777" w:rsidR="003601D1" w:rsidRPr="008608AA" w:rsidRDefault="003601D1" w:rsidP="003601D1">
      <w:pPr>
        <w:suppressAutoHyphens/>
        <w:rPr>
          <w:b/>
          <w:lang w:val="pt-BR"/>
        </w:rPr>
      </w:pPr>
      <w:r w:rsidRPr="008608AA">
        <w:rPr>
          <w:b/>
          <w:lang w:val="pt-BR"/>
        </w:rPr>
        <w:t>Contributing Authors</w:t>
      </w:r>
    </w:p>
    <w:p w14:paraId="2ED59671" w14:textId="77777777" w:rsidR="003601D1" w:rsidRPr="008608AA" w:rsidRDefault="003601D1" w:rsidP="003601D1">
      <w:pPr>
        <w:suppressAutoHyphens/>
        <w:rPr>
          <w:lang w:val="es-ES"/>
        </w:rPr>
      </w:pPr>
      <w:r w:rsidRPr="008608AA">
        <w:rPr>
          <w:lang w:val="es-ES"/>
        </w:rPr>
        <w:t>Marcello Hernandez-Blanco (Costa Rica), Brenda Parlee (Canada)</w:t>
      </w:r>
    </w:p>
    <w:p w14:paraId="52F9343B" w14:textId="77777777" w:rsidR="003601D1" w:rsidRPr="008608AA" w:rsidRDefault="003601D1" w:rsidP="003601D1">
      <w:pPr>
        <w:suppressAutoHyphens/>
        <w:rPr>
          <w:lang w:val="es-ES"/>
        </w:rPr>
      </w:pPr>
    </w:p>
    <w:p w14:paraId="3D55AAB4" w14:textId="77777777" w:rsidR="003601D1" w:rsidRPr="008608AA" w:rsidRDefault="003601D1" w:rsidP="003601D1">
      <w:pPr>
        <w:suppressAutoHyphens/>
        <w:rPr>
          <w:b/>
          <w:lang w:val="es-CO"/>
        </w:rPr>
      </w:pPr>
      <w:r w:rsidRPr="008608AA">
        <w:rPr>
          <w:b/>
          <w:lang w:val="es-CO"/>
        </w:rPr>
        <w:t>Review Editors</w:t>
      </w:r>
    </w:p>
    <w:p w14:paraId="48321DB7" w14:textId="77777777" w:rsidR="00785792" w:rsidRPr="008608AA" w:rsidRDefault="003601D1" w:rsidP="00490494">
      <w:pPr>
        <w:suppressAutoHyphens/>
        <w:rPr>
          <w:lang w:val="es-ES"/>
        </w:rPr>
      </w:pPr>
      <w:r w:rsidRPr="008608AA">
        <w:rPr>
          <w:lang w:val="es-ES"/>
        </w:rPr>
        <w:t>Ana Carolina Carnaval (Brazil/USA), Peter Kareiva (USA)</w:t>
      </w:r>
    </w:p>
    <w:p w14:paraId="47893CE4" w14:textId="77777777" w:rsidR="00785792" w:rsidRPr="008608AA" w:rsidRDefault="00785792" w:rsidP="00490494">
      <w:pPr>
        <w:suppressAutoHyphens/>
        <w:rPr>
          <w:lang w:val="es-ES"/>
        </w:rPr>
      </w:pPr>
    </w:p>
    <w:p w14:paraId="07908BC6" w14:textId="77777777" w:rsidR="007E743B" w:rsidRPr="008608AA" w:rsidRDefault="007E743B" w:rsidP="00785792">
      <w:pPr>
        <w:suppressAutoHyphens/>
        <w:rPr>
          <w:lang w:val="es-CO"/>
        </w:rPr>
      </w:pPr>
    </w:p>
    <w:p w14:paraId="6F13A013" w14:textId="77777777" w:rsidR="000206EC" w:rsidRPr="008608AA" w:rsidRDefault="000206EC" w:rsidP="00785792">
      <w:pPr>
        <w:suppressAutoHyphens/>
        <w:rPr>
          <w:lang w:val="es-CO"/>
        </w:rPr>
      </w:pPr>
    </w:p>
    <w:p w14:paraId="5EF0EB8B" w14:textId="77777777" w:rsidR="000206EC" w:rsidRPr="008608AA" w:rsidRDefault="000206EC" w:rsidP="00785792">
      <w:pPr>
        <w:suppressAutoHyphens/>
        <w:rPr>
          <w:lang w:val="es-CO"/>
        </w:rPr>
      </w:pPr>
    </w:p>
    <w:p w14:paraId="5B890A09" w14:textId="77777777" w:rsidR="000206EC" w:rsidRPr="008608AA" w:rsidRDefault="000206EC" w:rsidP="00785792">
      <w:pPr>
        <w:suppressAutoHyphens/>
        <w:rPr>
          <w:lang w:val="es-CO"/>
        </w:rPr>
      </w:pPr>
    </w:p>
    <w:p w14:paraId="3352F39B" w14:textId="77777777" w:rsidR="000206EC" w:rsidRPr="008608AA" w:rsidRDefault="000206EC" w:rsidP="00785792">
      <w:pPr>
        <w:suppressAutoHyphens/>
        <w:rPr>
          <w:lang w:val="es-CO"/>
        </w:rPr>
      </w:pPr>
    </w:p>
    <w:p w14:paraId="10585036" w14:textId="77777777" w:rsidR="000206EC" w:rsidRPr="008608AA" w:rsidRDefault="000206EC" w:rsidP="00785792">
      <w:pPr>
        <w:suppressAutoHyphens/>
        <w:rPr>
          <w:lang w:val="es-CO"/>
        </w:rPr>
      </w:pPr>
    </w:p>
    <w:p w14:paraId="2709E55C" w14:textId="77777777" w:rsidR="000206EC" w:rsidRPr="008608AA" w:rsidRDefault="000206EC" w:rsidP="00785792">
      <w:pPr>
        <w:suppressAutoHyphens/>
        <w:rPr>
          <w:lang w:val="es-CO"/>
        </w:rPr>
      </w:pPr>
    </w:p>
    <w:p w14:paraId="41B0C7AC" w14:textId="77777777" w:rsidR="000206EC" w:rsidRPr="008608AA" w:rsidRDefault="000206EC" w:rsidP="00785792">
      <w:pPr>
        <w:suppressAutoHyphens/>
        <w:rPr>
          <w:lang w:val="es-CO"/>
        </w:rPr>
      </w:pPr>
    </w:p>
    <w:p w14:paraId="35E8F5BD" w14:textId="77777777" w:rsidR="000206EC" w:rsidRPr="008608AA" w:rsidRDefault="000206EC" w:rsidP="00785792">
      <w:pPr>
        <w:suppressAutoHyphens/>
        <w:rPr>
          <w:lang w:val="es-CO"/>
        </w:rPr>
      </w:pPr>
    </w:p>
    <w:p w14:paraId="45282ED9" w14:textId="77777777" w:rsidR="000206EC" w:rsidRPr="008608AA" w:rsidRDefault="000206EC" w:rsidP="00785792">
      <w:pPr>
        <w:suppressAutoHyphens/>
        <w:rPr>
          <w:lang w:val="es-CO"/>
        </w:rPr>
      </w:pPr>
    </w:p>
    <w:p w14:paraId="319A16D8" w14:textId="77777777" w:rsidR="000206EC" w:rsidRPr="008608AA" w:rsidRDefault="000206EC" w:rsidP="00785792">
      <w:pPr>
        <w:suppressAutoHyphens/>
        <w:rPr>
          <w:lang w:val="es-CO"/>
        </w:rPr>
      </w:pPr>
    </w:p>
    <w:p w14:paraId="7F6B3867" w14:textId="77777777" w:rsidR="000206EC" w:rsidRPr="008608AA" w:rsidRDefault="000206EC" w:rsidP="00785792">
      <w:pPr>
        <w:suppressAutoHyphens/>
        <w:rPr>
          <w:lang w:val="es-CO"/>
        </w:rPr>
      </w:pPr>
    </w:p>
    <w:p w14:paraId="4F5FC2C0" w14:textId="77777777" w:rsidR="000206EC" w:rsidRPr="008608AA" w:rsidRDefault="000206EC" w:rsidP="00785792">
      <w:pPr>
        <w:suppressAutoHyphens/>
        <w:rPr>
          <w:lang w:val="es-CO"/>
        </w:rPr>
      </w:pPr>
    </w:p>
    <w:p w14:paraId="27BF18FE" w14:textId="77777777" w:rsidR="000206EC" w:rsidRPr="008608AA" w:rsidRDefault="000206EC" w:rsidP="00785792">
      <w:pPr>
        <w:suppressAutoHyphens/>
        <w:rPr>
          <w:lang w:val="es-CO"/>
        </w:rPr>
      </w:pPr>
    </w:p>
    <w:p w14:paraId="692E888F" w14:textId="77777777" w:rsidR="000206EC" w:rsidRPr="008608AA" w:rsidRDefault="000206EC" w:rsidP="00785792">
      <w:pPr>
        <w:suppressAutoHyphens/>
        <w:rPr>
          <w:lang w:val="es-CO"/>
        </w:rPr>
      </w:pPr>
    </w:p>
    <w:p w14:paraId="3939D04F" w14:textId="77777777" w:rsidR="000206EC" w:rsidRPr="008608AA" w:rsidRDefault="000206EC" w:rsidP="00785792">
      <w:pPr>
        <w:suppressAutoHyphens/>
        <w:rPr>
          <w:lang w:val="es-CO"/>
        </w:rPr>
      </w:pPr>
    </w:p>
    <w:p w14:paraId="79F931ED" w14:textId="77777777" w:rsidR="000206EC" w:rsidRPr="008608AA" w:rsidRDefault="000206EC" w:rsidP="00785792">
      <w:pPr>
        <w:suppressAutoHyphens/>
        <w:rPr>
          <w:lang w:val="es-CO"/>
        </w:rPr>
      </w:pPr>
    </w:p>
    <w:p w14:paraId="67FD3905" w14:textId="77777777" w:rsidR="000206EC" w:rsidRPr="008608AA" w:rsidRDefault="000206EC" w:rsidP="00785792">
      <w:pPr>
        <w:suppressAutoHyphens/>
        <w:rPr>
          <w:lang w:val="es-CO"/>
        </w:rPr>
      </w:pPr>
    </w:p>
    <w:p w14:paraId="7881729E" w14:textId="77777777" w:rsidR="000206EC" w:rsidRPr="008608AA" w:rsidRDefault="000206EC" w:rsidP="00785792">
      <w:pPr>
        <w:suppressAutoHyphens/>
        <w:rPr>
          <w:lang w:val="es-CO"/>
        </w:rPr>
      </w:pPr>
    </w:p>
    <w:p w14:paraId="191716A1" w14:textId="77777777" w:rsidR="000206EC" w:rsidRPr="008608AA" w:rsidRDefault="000206EC" w:rsidP="00785792">
      <w:pPr>
        <w:suppressAutoHyphens/>
        <w:rPr>
          <w:lang w:val="es-CO"/>
        </w:rPr>
      </w:pPr>
    </w:p>
    <w:p w14:paraId="19BB25F4" w14:textId="77777777" w:rsidR="000206EC" w:rsidRPr="008608AA" w:rsidRDefault="000206EC" w:rsidP="00785792">
      <w:pPr>
        <w:suppressAutoHyphens/>
        <w:rPr>
          <w:lang w:val="es-CO"/>
        </w:rPr>
      </w:pPr>
    </w:p>
    <w:p w14:paraId="2FBBC75A" w14:textId="79AFA591" w:rsidR="0079365D" w:rsidRPr="008608AA" w:rsidRDefault="000206EC" w:rsidP="0079365D">
      <w:pPr>
        <w:tabs>
          <w:tab w:val="left" w:pos="4082"/>
        </w:tabs>
        <w:rPr>
          <w:b/>
          <w:lang w:val="pt-BR"/>
        </w:rPr>
      </w:pPr>
      <w:r w:rsidRPr="008608AA">
        <w:rPr>
          <w:b/>
          <w:lang w:val="pt-BR"/>
        </w:rPr>
        <w:t>To be cited as</w:t>
      </w:r>
      <w:r w:rsidR="0079365D" w:rsidRPr="008608AA">
        <w:rPr>
          <w:b/>
          <w:lang w:val="pt-BR"/>
        </w:rPr>
        <w:t>:</w:t>
      </w:r>
    </w:p>
    <w:p w14:paraId="6A241E8C" w14:textId="5A069BD8" w:rsidR="0079365D" w:rsidRPr="008608AA" w:rsidRDefault="0079365D" w:rsidP="000206EC">
      <w:pPr>
        <w:tabs>
          <w:tab w:val="left" w:pos="4082"/>
        </w:tabs>
        <w:rPr>
          <w:lang w:val="pt-BR"/>
        </w:rPr>
      </w:pPr>
      <w:r w:rsidRPr="008608AA">
        <w:rPr>
          <w:color w:val="000000"/>
          <w:lang w:val="pt-BR"/>
        </w:rPr>
        <w:t>Klatt, B. J., García Márquez., J. R., Ometto, J. P., Valle, M., Mastrangelo, M. E., Gadda, T., Pengue, W. A., Ramírez H</w:t>
      </w:r>
      <w:r w:rsidR="00E6303A" w:rsidRPr="008608AA">
        <w:rPr>
          <w:color w:val="000000"/>
          <w:lang w:val="pt-BR"/>
        </w:rPr>
        <w:t>ernández</w:t>
      </w:r>
      <w:r w:rsidRPr="008608AA">
        <w:rPr>
          <w:color w:val="000000"/>
          <w:lang w:val="pt-BR"/>
        </w:rPr>
        <w:t>., W., Baptiste E</w:t>
      </w:r>
      <w:r w:rsidR="00E6303A" w:rsidRPr="008608AA">
        <w:rPr>
          <w:color w:val="000000"/>
          <w:lang w:val="pt-BR"/>
        </w:rPr>
        <w:t>spinosa., M. P., Aceb</w:t>
      </w:r>
      <w:r w:rsidRPr="008608AA">
        <w:rPr>
          <w:color w:val="000000"/>
          <w:lang w:val="pt-BR"/>
        </w:rPr>
        <w:t>ey Q</w:t>
      </w:r>
      <w:r w:rsidR="00E6303A" w:rsidRPr="008608AA">
        <w:rPr>
          <w:color w:val="000000"/>
          <w:lang w:val="pt-BR"/>
        </w:rPr>
        <w:t>uiroga</w:t>
      </w:r>
      <w:r w:rsidRPr="008608AA">
        <w:rPr>
          <w:color w:val="000000"/>
          <w:lang w:val="pt-BR"/>
        </w:rPr>
        <w:t>., S.V., Blanco, M. V., Agard, J., and Guezala V</w:t>
      </w:r>
      <w:r w:rsidR="00E6303A" w:rsidRPr="008608AA">
        <w:rPr>
          <w:color w:val="000000"/>
          <w:lang w:val="pt-BR"/>
        </w:rPr>
        <w:t>illavicencio</w:t>
      </w:r>
      <w:r w:rsidRPr="008608AA">
        <w:rPr>
          <w:color w:val="000000"/>
          <w:lang w:val="pt-BR"/>
        </w:rPr>
        <w:t xml:space="preserve">., M. C. Chapter 5: Current and future interactions between nature and society. </w:t>
      </w:r>
      <w:r w:rsidRPr="008608AA">
        <w:rPr>
          <w:color w:val="000000"/>
          <w:lang w:val="en-GB"/>
        </w:rPr>
        <w:t>In IPBES (2018): The IPBES regional assessment report on biodiversity and ecosystem services for the Americas. Rice, J., Seixas, C. S., Zaccagnini, M. E., Bedoya-Gaitán, M., and Valderrama</w:t>
      </w:r>
      <w:r w:rsidR="00E6303A" w:rsidRPr="008608AA">
        <w:rPr>
          <w:color w:val="000000"/>
          <w:lang w:val="en-GB"/>
        </w:rPr>
        <w:t>,</w:t>
      </w:r>
      <w:r w:rsidRPr="008608AA">
        <w:rPr>
          <w:color w:val="000000"/>
          <w:lang w:val="en-GB"/>
        </w:rPr>
        <w:t xml:space="preserve"> N. (eds.). Secretariat of the Intergovernmental Science-Policy Platform</w:t>
      </w:r>
      <w:r w:rsidR="00E6303A" w:rsidRPr="008608AA">
        <w:rPr>
          <w:color w:val="000000"/>
          <w:lang w:val="en-GB"/>
        </w:rPr>
        <w:t xml:space="preserve"> on Biodiversity and Ecosystem S</w:t>
      </w:r>
      <w:r w:rsidRPr="008608AA">
        <w:rPr>
          <w:color w:val="000000"/>
          <w:lang w:val="en-GB"/>
        </w:rPr>
        <w:t xml:space="preserve">ervices, Bonn, Germany, </w:t>
      </w:r>
      <w:r w:rsidR="002276D3" w:rsidRPr="00B24A76">
        <w:rPr>
          <w:color w:val="000000"/>
          <w:lang w:val="en-GB"/>
        </w:rPr>
        <w:t>pp</w:t>
      </w:r>
      <w:r w:rsidR="00F454E7">
        <w:rPr>
          <w:color w:val="000000"/>
          <w:lang w:val="en-GB"/>
        </w:rPr>
        <w:t xml:space="preserve">. </w:t>
      </w:r>
      <w:r w:rsidR="00286530">
        <w:rPr>
          <w:color w:val="000000"/>
          <w:lang w:val="en-GB"/>
        </w:rPr>
        <w:t>xx-xx</w:t>
      </w:r>
    </w:p>
    <w:p w14:paraId="1A828B1E" w14:textId="45AAC607" w:rsidR="00490494" w:rsidRPr="008608AA" w:rsidRDefault="00490494" w:rsidP="00490494">
      <w:pPr>
        <w:suppressAutoHyphens/>
        <w:rPr>
          <w:lang w:val="en-GB"/>
        </w:rPr>
      </w:pPr>
      <w:r w:rsidRPr="008608AA">
        <w:rPr>
          <w:lang w:val="en-GB"/>
        </w:rPr>
        <w:br w:type="page"/>
      </w:r>
    </w:p>
    <w:p w14:paraId="5D4A06B9" w14:textId="42B3A7D3" w:rsidR="00735D6C" w:rsidRPr="008608AA" w:rsidRDefault="00735D6C" w:rsidP="00735D6C">
      <w:pPr>
        <w:tabs>
          <w:tab w:val="left" w:pos="4082"/>
        </w:tabs>
        <w:rPr>
          <w:b/>
          <w:sz w:val="28"/>
        </w:rPr>
      </w:pPr>
      <w:r w:rsidRPr="008608AA">
        <w:rPr>
          <w:b/>
          <w:sz w:val="28"/>
        </w:rPr>
        <w:t>Table of contents</w:t>
      </w:r>
      <w:r w:rsidR="009F0E42" w:rsidRPr="008608AA">
        <w:rPr>
          <w:b/>
          <w:sz w:val="28"/>
        </w:rPr>
        <w:t xml:space="preserve"> C</w:t>
      </w:r>
      <w:r w:rsidR="002F3654" w:rsidRPr="008608AA">
        <w:rPr>
          <w:b/>
          <w:sz w:val="28"/>
        </w:rPr>
        <w:t>hapter 5</w:t>
      </w:r>
    </w:p>
    <w:p w14:paraId="2F747D32" w14:textId="77777777" w:rsidR="004C511B" w:rsidRPr="008608AA" w:rsidRDefault="004C511B" w:rsidP="00735D6C">
      <w:pPr>
        <w:tabs>
          <w:tab w:val="left" w:pos="4082"/>
        </w:tabs>
        <w:rPr>
          <w:b/>
          <w:sz w:val="28"/>
        </w:rPr>
      </w:pPr>
    </w:p>
    <w:p w14:paraId="3D282765" w14:textId="3B6D3BDB" w:rsidR="00C40619" w:rsidRDefault="004C511B">
      <w:pPr>
        <w:pStyle w:val="TOC1"/>
        <w:rPr>
          <w:rFonts w:asciiTheme="minorHAnsi" w:eastAsiaTheme="minorEastAsia" w:hAnsiTheme="minorHAnsi" w:cstheme="minorBidi"/>
          <w:b w:val="0"/>
          <w:bCs w:val="0"/>
          <w:szCs w:val="22"/>
          <w:lang w:val="es-CO" w:eastAsia="es-CO"/>
        </w:rPr>
      </w:pPr>
      <w:r w:rsidRPr="008608AA">
        <w:rPr>
          <w:b w:val="0"/>
          <w:sz w:val="28"/>
        </w:rPr>
        <w:fldChar w:fldCharType="begin"/>
      </w:r>
      <w:r w:rsidRPr="008608AA">
        <w:rPr>
          <w:b w:val="0"/>
          <w:sz w:val="28"/>
        </w:rPr>
        <w:instrText xml:space="preserve"> TO</w:instrText>
      </w:r>
      <w:r w:rsidR="00835722" w:rsidRPr="008608AA">
        <w:rPr>
          <w:b w:val="0"/>
          <w:sz w:val="28"/>
        </w:rPr>
        <w:instrText>C \o "1-4" \h \z \u \b "Cha</w:instrText>
      </w:r>
      <w:r w:rsidR="00CA2AFD" w:rsidRPr="008608AA">
        <w:rPr>
          <w:b w:val="0"/>
          <w:sz w:val="28"/>
        </w:rPr>
        <w:instrText>p</w:instrText>
      </w:r>
      <w:r w:rsidRPr="008608AA">
        <w:rPr>
          <w:b w:val="0"/>
          <w:sz w:val="28"/>
        </w:rPr>
        <w:instrText xml:space="preserve">5" </w:instrText>
      </w:r>
      <w:r w:rsidRPr="008608AA">
        <w:rPr>
          <w:b w:val="0"/>
          <w:sz w:val="28"/>
        </w:rPr>
        <w:fldChar w:fldCharType="separate"/>
      </w:r>
      <w:hyperlink w:anchor="_Toc517797094" w:history="1">
        <w:r w:rsidR="00C40619" w:rsidRPr="009627DF">
          <w:rPr>
            <w:rStyle w:val="Hyperlink"/>
          </w:rPr>
          <w:t>5</w:t>
        </w:r>
        <w:r w:rsidR="00C40619">
          <w:rPr>
            <w:rFonts w:asciiTheme="minorHAnsi" w:eastAsiaTheme="minorEastAsia" w:hAnsiTheme="minorHAnsi" w:cstheme="minorBidi"/>
            <w:b w:val="0"/>
            <w:bCs w:val="0"/>
            <w:szCs w:val="22"/>
            <w:lang w:val="es-CO" w:eastAsia="es-CO"/>
          </w:rPr>
          <w:tab/>
        </w:r>
        <w:r w:rsidR="00C40619" w:rsidRPr="009627DF">
          <w:rPr>
            <w:rStyle w:val="Hyperlink"/>
          </w:rPr>
          <w:t>Chapter 5: Current and future interactions between nature and society</w:t>
        </w:r>
        <w:r w:rsidR="00C40619">
          <w:rPr>
            <w:webHidden/>
          </w:rPr>
          <w:tab/>
        </w:r>
        <w:r w:rsidR="00C40619">
          <w:rPr>
            <w:webHidden/>
          </w:rPr>
          <w:fldChar w:fldCharType="begin"/>
        </w:r>
        <w:r w:rsidR="00C40619">
          <w:rPr>
            <w:webHidden/>
          </w:rPr>
          <w:instrText xml:space="preserve"> PAGEREF _Toc517797094 \h </w:instrText>
        </w:r>
        <w:r w:rsidR="00C40619">
          <w:rPr>
            <w:webHidden/>
          </w:rPr>
        </w:r>
        <w:r w:rsidR="00C40619">
          <w:rPr>
            <w:webHidden/>
          </w:rPr>
          <w:fldChar w:fldCharType="separate"/>
        </w:r>
        <w:r w:rsidR="00402074">
          <w:rPr>
            <w:webHidden/>
          </w:rPr>
          <w:t>525</w:t>
        </w:r>
        <w:r w:rsidR="00C40619">
          <w:rPr>
            <w:webHidden/>
          </w:rPr>
          <w:fldChar w:fldCharType="end"/>
        </w:r>
      </w:hyperlink>
    </w:p>
    <w:p w14:paraId="487C2462" w14:textId="39294C2B" w:rsidR="00C40619" w:rsidRDefault="00E84199">
      <w:pPr>
        <w:pStyle w:val="TOC2"/>
        <w:rPr>
          <w:rFonts w:asciiTheme="minorHAnsi" w:eastAsiaTheme="minorEastAsia" w:hAnsiTheme="minorHAnsi" w:cstheme="minorBidi"/>
          <w:b w:val="0"/>
          <w:bCs w:val="0"/>
          <w:noProof/>
          <w:szCs w:val="22"/>
          <w:lang w:val="es-CO" w:eastAsia="es-CO"/>
        </w:rPr>
      </w:pPr>
      <w:hyperlink w:anchor="_Toc517797095" w:history="1">
        <w:r w:rsidR="00C40619" w:rsidRPr="009627DF">
          <w:rPr>
            <w:rStyle w:val="Hyperlink"/>
            <w:noProof/>
            <w14:scene3d>
              <w14:camera w14:prst="orthographicFront"/>
              <w14:lightRig w14:rig="threePt" w14:dir="t">
                <w14:rot w14:lat="0" w14:lon="0" w14:rev="0"/>
              </w14:lightRig>
            </w14:scene3d>
          </w:rPr>
          <w:t>5.1</w:t>
        </w:r>
        <w:r w:rsidR="00C40619">
          <w:rPr>
            <w:rFonts w:asciiTheme="minorHAnsi" w:eastAsiaTheme="minorEastAsia" w:hAnsiTheme="minorHAnsi" w:cstheme="minorBidi"/>
            <w:b w:val="0"/>
            <w:bCs w:val="0"/>
            <w:noProof/>
            <w:szCs w:val="22"/>
            <w:lang w:val="es-CO" w:eastAsia="es-CO"/>
          </w:rPr>
          <w:tab/>
        </w:r>
        <w:r w:rsidR="00C40619" w:rsidRPr="009627DF">
          <w:rPr>
            <w:rStyle w:val="Hyperlink"/>
            <w:noProof/>
          </w:rPr>
          <w:t>Executive summary</w:t>
        </w:r>
        <w:r w:rsidR="00C40619">
          <w:rPr>
            <w:noProof/>
            <w:webHidden/>
          </w:rPr>
          <w:tab/>
        </w:r>
        <w:r w:rsidR="00C40619">
          <w:rPr>
            <w:noProof/>
            <w:webHidden/>
          </w:rPr>
          <w:fldChar w:fldCharType="begin"/>
        </w:r>
        <w:r w:rsidR="00C40619">
          <w:rPr>
            <w:noProof/>
            <w:webHidden/>
          </w:rPr>
          <w:instrText xml:space="preserve"> PAGEREF _Toc517797095 \h </w:instrText>
        </w:r>
        <w:r w:rsidR="00C40619">
          <w:rPr>
            <w:noProof/>
            <w:webHidden/>
          </w:rPr>
        </w:r>
        <w:r w:rsidR="00C40619">
          <w:rPr>
            <w:noProof/>
            <w:webHidden/>
          </w:rPr>
          <w:fldChar w:fldCharType="separate"/>
        </w:r>
        <w:r w:rsidR="00402074">
          <w:rPr>
            <w:noProof/>
            <w:webHidden/>
          </w:rPr>
          <w:t>527</w:t>
        </w:r>
        <w:r w:rsidR="00C40619">
          <w:rPr>
            <w:noProof/>
            <w:webHidden/>
          </w:rPr>
          <w:fldChar w:fldCharType="end"/>
        </w:r>
      </w:hyperlink>
    </w:p>
    <w:p w14:paraId="5D8CA382" w14:textId="0D5E2C14" w:rsidR="00C40619" w:rsidRDefault="00E84199">
      <w:pPr>
        <w:pStyle w:val="TOC2"/>
        <w:rPr>
          <w:rFonts w:asciiTheme="minorHAnsi" w:eastAsiaTheme="minorEastAsia" w:hAnsiTheme="minorHAnsi" w:cstheme="minorBidi"/>
          <w:b w:val="0"/>
          <w:bCs w:val="0"/>
          <w:noProof/>
          <w:szCs w:val="22"/>
          <w:lang w:val="es-CO" w:eastAsia="es-CO"/>
        </w:rPr>
      </w:pPr>
      <w:hyperlink w:anchor="_Toc517797096" w:history="1">
        <w:r w:rsidR="00C40619" w:rsidRPr="009627DF">
          <w:rPr>
            <w:rStyle w:val="Hyperlink"/>
            <w:noProof/>
            <w14:scene3d>
              <w14:camera w14:prst="orthographicFront"/>
              <w14:lightRig w14:rig="threePt" w14:dir="t">
                <w14:rot w14:lat="0" w14:lon="0" w14:rev="0"/>
              </w14:lightRig>
            </w14:scene3d>
          </w:rPr>
          <w:t>5.2</w:t>
        </w:r>
        <w:r w:rsidR="00C40619">
          <w:rPr>
            <w:rFonts w:asciiTheme="minorHAnsi" w:eastAsiaTheme="minorEastAsia" w:hAnsiTheme="minorHAnsi" w:cstheme="minorBidi"/>
            <w:b w:val="0"/>
            <w:bCs w:val="0"/>
            <w:noProof/>
            <w:szCs w:val="22"/>
            <w:lang w:val="es-CO" w:eastAsia="es-CO"/>
          </w:rPr>
          <w:tab/>
        </w:r>
        <w:r w:rsidR="00C40619" w:rsidRPr="009627DF">
          <w:rPr>
            <w:rStyle w:val="Hyperlink"/>
            <w:noProof/>
          </w:rPr>
          <w:t>Introduction</w:t>
        </w:r>
        <w:r w:rsidR="00C40619">
          <w:rPr>
            <w:noProof/>
            <w:webHidden/>
          </w:rPr>
          <w:tab/>
        </w:r>
        <w:r w:rsidR="00C40619">
          <w:rPr>
            <w:noProof/>
            <w:webHidden/>
          </w:rPr>
          <w:fldChar w:fldCharType="begin"/>
        </w:r>
        <w:r w:rsidR="00C40619">
          <w:rPr>
            <w:noProof/>
            <w:webHidden/>
          </w:rPr>
          <w:instrText xml:space="preserve"> PAGEREF _Toc517797096 \h </w:instrText>
        </w:r>
        <w:r w:rsidR="00C40619">
          <w:rPr>
            <w:noProof/>
            <w:webHidden/>
          </w:rPr>
        </w:r>
        <w:r w:rsidR="00C40619">
          <w:rPr>
            <w:noProof/>
            <w:webHidden/>
          </w:rPr>
          <w:fldChar w:fldCharType="separate"/>
        </w:r>
        <w:r w:rsidR="00402074">
          <w:rPr>
            <w:noProof/>
            <w:webHidden/>
          </w:rPr>
          <w:t>531</w:t>
        </w:r>
        <w:r w:rsidR="00C40619">
          <w:rPr>
            <w:noProof/>
            <w:webHidden/>
          </w:rPr>
          <w:fldChar w:fldCharType="end"/>
        </w:r>
      </w:hyperlink>
    </w:p>
    <w:p w14:paraId="77699F3F" w14:textId="3BDAFDC6" w:rsidR="00C40619" w:rsidRDefault="00E84199">
      <w:pPr>
        <w:pStyle w:val="TOC2"/>
        <w:rPr>
          <w:rFonts w:asciiTheme="minorHAnsi" w:eastAsiaTheme="minorEastAsia" w:hAnsiTheme="minorHAnsi" w:cstheme="minorBidi"/>
          <w:b w:val="0"/>
          <w:bCs w:val="0"/>
          <w:noProof/>
          <w:szCs w:val="22"/>
          <w:lang w:val="es-CO" w:eastAsia="es-CO"/>
        </w:rPr>
      </w:pPr>
      <w:hyperlink w:anchor="_Toc517797097" w:history="1">
        <w:r w:rsidR="00C40619" w:rsidRPr="009627DF">
          <w:rPr>
            <w:rStyle w:val="Hyperlink"/>
            <w:noProof/>
            <w14:scene3d>
              <w14:camera w14:prst="orthographicFront"/>
              <w14:lightRig w14:rig="threePt" w14:dir="t">
                <w14:rot w14:lat="0" w14:lon="0" w14:rev="0"/>
              </w14:lightRig>
            </w14:scene3d>
          </w:rPr>
          <w:t>5.3</w:t>
        </w:r>
        <w:r w:rsidR="00C40619">
          <w:rPr>
            <w:rFonts w:asciiTheme="minorHAnsi" w:eastAsiaTheme="minorEastAsia" w:hAnsiTheme="minorHAnsi" w:cstheme="minorBidi"/>
            <w:b w:val="0"/>
            <w:bCs w:val="0"/>
            <w:noProof/>
            <w:szCs w:val="22"/>
            <w:lang w:val="es-CO" w:eastAsia="es-CO"/>
          </w:rPr>
          <w:tab/>
        </w:r>
        <w:r w:rsidR="00C40619" w:rsidRPr="009627DF">
          <w:rPr>
            <w:rStyle w:val="Hyperlink"/>
            <w:noProof/>
          </w:rPr>
          <w:t>Informing the future from local studies</w:t>
        </w:r>
        <w:r w:rsidR="00C40619">
          <w:rPr>
            <w:noProof/>
            <w:webHidden/>
          </w:rPr>
          <w:tab/>
        </w:r>
        <w:r w:rsidR="00C40619">
          <w:rPr>
            <w:noProof/>
            <w:webHidden/>
          </w:rPr>
          <w:fldChar w:fldCharType="begin"/>
        </w:r>
        <w:r w:rsidR="00C40619">
          <w:rPr>
            <w:noProof/>
            <w:webHidden/>
          </w:rPr>
          <w:instrText xml:space="preserve"> PAGEREF _Toc517797097 \h </w:instrText>
        </w:r>
        <w:r w:rsidR="00C40619">
          <w:rPr>
            <w:noProof/>
            <w:webHidden/>
          </w:rPr>
        </w:r>
        <w:r w:rsidR="00C40619">
          <w:rPr>
            <w:noProof/>
            <w:webHidden/>
          </w:rPr>
          <w:fldChar w:fldCharType="separate"/>
        </w:r>
        <w:r w:rsidR="00402074">
          <w:rPr>
            <w:noProof/>
            <w:webHidden/>
          </w:rPr>
          <w:t>532</w:t>
        </w:r>
        <w:r w:rsidR="00C40619">
          <w:rPr>
            <w:noProof/>
            <w:webHidden/>
          </w:rPr>
          <w:fldChar w:fldCharType="end"/>
        </w:r>
      </w:hyperlink>
    </w:p>
    <w:p w14:paraId="2A0F18BE" w14:textId="6C19A1D1" w:rsidR="00C40619" w:rsidRDefault="00E84199">
      <w:pPr>
        <w:pStyle w:val="TOC2"/>
        <w:rPr>
          <w:rFonts w:asciiTheme="minorHAnsi" w:eastAsiaTheme="minorEastAsia" w:hAnsiTheme="minorHAnsi" w:cstheme="minorBidi"/>
          <w:b w:val="0"/>
          <w:bCs w:val="0"/>
          <w:noProof/>
          <w:szCs w:val="22"/>
          <w:lang w:val="es-CO" w:eastAsia="es-CO"/>
        </w:rPr>
      </w:pPr>
      <w:hyperlink w:anchor="_Toc517797098" w:history="1">
        <w:r w:rsidR="00C40619" w:rsidRPr="009627DF">
          <w:rPr>
            <w:rStyle w:val="Hyperlink"/>
            <w:noProof/>
            <w14:scene3d>
              <w14:camera w14:prst="orthographicFront"/>
              <w14:lightRig w14:rig="threePt" w14:dir="t">
                <w14:rot w14:lat="0" w14:lon="0" w14:rev="0"/>
              </w14:lightRig>
            </w14:scene3d>
          </w:rPr>
          <w:t>5.4</w:t>
        </w:r>
        <w:r w:rsidR="00C40619">
          <w:rPr>
            <w:rFonts w:asciiTheme="minorHAnsi" w:eastAsiaTheme="minorEastAsia" w:hAnsiTheme="minorHAnsi" w:cstheme="minorBidi"/>
            <w:b w:val="0"/>
            <w:bCs w:val="0"/>
            <w:noProof/>
            <w:szCs w:val="22"/>
            <w:lang w:val="es-CO" w:eastAsia="es-CO"/>
          </w:rPr>
          <w:tab/>
        </w:r>
        <w:r w:rsidR="00C40619" w:rsidRPr="009627DF">
          <w:rPr>
            <w:rStyle w:val="Hyperlink"/>
            <w:noProof/>
            <w:lang w:val="en-AU"/>
          </w:rPr>
          <w:t xml:space="preserve">Informing the future </w:t>
        </w:r>
        <w:r w:rsidR="00C40619" w:rsidRPr="009627DF">
          <w:rPr>
            <w:rStyle w:val="Hyperlink"/>
            <w:noProof/>
          </w:rPr>
          <w:t>from regional studies: Focal issues within units of analysis and other ecological systems</w:t>
        </w:r>
        <w:r w:rsidR="00C40619">
          <w:rPr>
            <w:noProof/>
            <w:webHidden/>
          </w:rPr>
          <w:tab/>
        </w:r>
        <w:r w:rsidR="00C40619">
          <w:rPr>
            <w:noProof/>
            <w:webHidden/>
          </w:rPr>
          <w:fldChar w:fldCharType="begin"/>
        </w:r>
        <w:r w:rsidR="00C40619">
          <w:rPr>
            <w:noProof/>
            <w:webHidden/>
          </w:rPr>
          <w:instrText xml:space="preserve"> PAGEREF _Toc517797098 \h </w:instrText>
        </w:r>
        <w:r w:rsidR="00C40619">
          <w:rPr>
            <w:noProof/>
            <w:webHidden/>
          </w:rPr>
        </w:r>
        <w:r w:rsidR="00C40619">
          <w:rPr>
            <w:noProof/>
            <w:webHidden/>
          </w:rPr>
          <w:fldChar w:fldCharType="separate"/>
        </w:r>
        <w:r w:rsidR="00402074">
          <w:rPr>
            <w:noProof/>
            <w:webHidden/>
          </w:rPr>
          <w:t>536</w:t>
        </w:r>
        <w:r w:rsidR="00C40619">
          <w:rPr>
            <w:noProof/>
            <w:webHidden/>
          </w:rPr>
          <w:fldChar w:fldCharType="end"/>
        </w:r>
      </w:hyperlink>
    </w:p>
    <w:p w14:paraId="2034F762" w14:textId="18ECA73C"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099" w:history="1">
        <w:r w:rsidR="00C40619" w:rsidRPr="009627DF">
          <w:rPr>
            <w:rStyle w:val="Hyperlink"/>
            <w:rFonts w:eastAsia="Droid Sans Fallback"/>
            <w:noProof/>
            <w14:scene3d>
              <w14:camera w14:prst="orthographicFront"/>
              <w14:lightRig w14:rig="threePt" w14:dir="t">
                <w14:rot w14:lat="0" w14:lon="0" w14:rev="0"/>
              </w14:lightRig>
            </w14:scene3d>
          </w:rPr>
          <w:t>5.4.1</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Tropical and subtropical dry and moist forests UAs – Trade-offs between multiple ecosystem goods and services and scale effects</w:t>
        </w:r>
        <w:r w:rsidR="00C40619">
          <w:rPr>
            <w:noProof/>
            <w:webHidden/>
          </w:rPr>
          <w:tab/>
        </w:r>
        <w:r w:rsidR="00C40619">
          <w:rPr>
            <w:noProof/>
            <w:webHidden/>
          </w:rPr>
          <w:fldChar w:fldCharType="begin"/>
        </w:r>
        <w:r w:rsidR="00C40619">
          <w:rPr>
            <w:noProof/>
            <w:webHidden/>
          </w:rPr>
          <w:instrText xml:space="preserve"> PAGEREF _Toc517797099 \h </w:instrText>
        </w:r>
        <w:r w:rsidR="00C40619">
          <w:rPr>
            <w:noProof/>
            <w:webHidden/>
          </w:rPr>
        </w:r>
        <w:r w:rsidR="00C40619">
          <w:rPr>
            <w:noProof/>
            <w:webHidden/>
          </w:rPr>
          <w:fldChar w:fldCharType="separate"/>
        </w:r>
        <w:r w:rsidR="00402074">
          <w:rPr>
            <w:noProof/>
            <w:webHidden/>
          </w:rPr>
          <w:t>537</w:t>
        </w:r>
        <w:r w:rsidR="00C40619">
          <w:rPr>
            <w:noProof/>
            <w:webHidden/>
          </w:rPr>
          <w:fldChar w:fldCharType="end"/>
        </w:r>
      </w:hyperlink>
    </w:p>
    <w:p w14:paraId="2B033395" w14:textId="27A62319"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100" w:history="1">
        <w:r w:rsidR="00C40619" w:rsidRPr="009627DF">
          <w:rPr>
            <w:rStyle w:val="Hyperlink"/>
            <w:rFonts w:eastAsia="Droid Sans Fallback"/>
            <w:noProof/>
          </w:rPr>
          <w:t>5.4.1.1</w:t>
        </w:r>
        <w:r w:rsidR="00C40619">
          <w:rPr>
            <w:rFonts w:asciiTheme="minorHAnsi" w:eastAsiaTheme="minorEastAsia" w:hAnsiTheme="minorHAnsi" w:cstheme="minorBidi"/>
            <w:noProof/>
            <w:szCs w:val="22"/>
            <w:lang w:val="es-CO" w:eastAsia="es-CO"/>
          </w:rPr>
          <w:tab/>
        </w:r>
        <w:r w:rsidR="00C40619" w:rsidRPr="009627DF">
          <w:rPr>
            <w:rStyle w:val="Hyperlink"/>
            <w:rFonts w:eastAsia="Droid Sans Fallback"/>
            <w:noProof/>
          </w:rPr>
          <w:t>Tropical and subtropcial moist forests</w:t>
        </w:r>
        <w:r w:rsidR="00C40619">
          <w:rPr>
            <w:noProof/>
            <w:webHidden/>
          </w:rPr>
          <w:tab/>
        </w:r>
        <w:r w:rsidR="00C40619">
          <w:rPr>
            <w:noProof/>
            <w:webHidden/>
          </w:rPr>
          <w:fldChar w:fldCharType="begin"/>
        </w:r>
        <w:r w:rsidR="00C40619">
          <w:rPr>
            <w:noProof/>
            <w:webHidden/>
          </w:rPr>
          <w:instrText xml:space="preserve"> PAGEREF _Toc517797100 \h </w:instrText>
        </w:r>
        <w:r w:rsidR="00C40619">
          <w:rPr>
            <w:noProof/>
            <w:webHidden/>
          </w:rPr>
        </w:r>
        <w:r w:rsidR="00C40619">
          <w:rPr>
            <w:noProof/>
            <w:webHidden/>
          </w:rPr>
          <w:fldChar w:fldCharType="separate"/>
        </w:r>
        <w:r w:rsidR="00402074">
          <w:rPr>
            <w:noProof/>
            <w:webHidden/>
          </w:rPr>
          <w:t>537</w:t>
        </w:r>
        <w:r w:rsidR="00C40619">
          <w:rPr>
            <w:noProof/>
            <w:webHidden/>
          </w:rPr>
          <w:fldChar w:fldCharType="end"/>
        </w:r>
      </w:hyperlink>
    </w:p>
    <w:p w14:paraId="34DEB1D2" w14:textId="04072CE0"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101" w:history="1">
        <w:r w:rsidR="00C40619" w:rsidRPr="009627DF">
          <w:rPr>
            <w:rStyle w:val="Hyperlink"/>
            <w:rFonts w:eastAsia="Droid Sans Fallback"/>
            <w:noProof/>
          </w:rPr>
          <w:t>5.4.1.2</w:t>
        </w:r>
        <w:r w:rsidR="00C40619">
          <w:rPr>
            <w:rFonts w:asciiTheme="minorHAnsi" w:eastAsiaTheme="minorEastAsia" w:hAnsiTheme="minorHAnsi" w:cstheme="minorBidi"/>
            <w:noProof/>
            <w:szCs w:val="22"/>
            <w:lang w:val="es-CO" w:eastAsia="es-CO"/>
          </w:rPr>
          <w:tab/>
        </w:r>
        <w:r w:rsidR="00C40619" w:rsidRPr="009627DF">
          <w:rPr>
            <w:rStyle w:val="Hyperlink"/>
            <w:rFonts w:eastAsia="Droid Sans Fallback"/>
            <w:noProof/>
          </w:rPr>
          <w:t>Tropical and subtropical dry forests unit of analysis</w:t>
        </w:r>
        <w:r w:rsidR="00C40619">
          <w:rPr>
            <w:noProof/>
            <w:webHidden/>
          </w:rPr>
          <w:tab/>
        </w:r>
        <w:r w:rsidR="00C40619">
          <w:rPr>
            <w:noProof/>
            <w:webHidden/>
          </w:rPr>
          <w:fldChar w:fldCharType="begin"/>
        </w:r>
        <w:r w:rsidR="00C40619">
          <w:rPr>
            <w:noProof/>
            <w:webHidden/>
          </w:rPr>
          <w:instrText xml:space="preserve"> PAGEREF _Toc517797101 \h </w:instrText>
        </w:r>
        <w:r w:rsidR="00C40619">
          <w:rPr>
            <w:noProof/>
            <w:webHidden/>
          </w:rPr>
        </w:r>
        <w:r w:rsidR="00C40619">
          <w:rPr>
            <w:noProof/>
            <w:webHidden/>
          </w:rPr>
          <w:fldChar w:fldCharType="separate"/>
        </w:r>
        <w:r w:rsidR="00402074">
          <w:rPr>
            <w:noProof/>
            <w:webHidden/>
          </w:rPr>
          <w:t>541</w:t>
        </w:r>
        <w:r w:rsidR="00C40619">
          <w:rPr>
            <w:noProof/>
            <w:webHidden/>
          </w:rPr>
          <w:fldChar w:fldCharType="end"/>
        </w:r>
      </w:hyperlink>
    </w:p>
    <w:p w14:paraId="5E58A532" w14:textId="7217C64F"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02" w:history="1">
        <w:r w:rsidR="00C40619" w:rsidRPr="009627DF">
          <w:rPr>
            <w:rStyle w:val="Hyperlink"/>
            <w:noProof/>
            <w:lang w:eastAsia="ja-JP"/>
            <w14:scene3d>
              <w14:camera w14:prst="orthographicFront"/>
              <w14:lightRig w14:rig="threePt" w14:dir="t">
                <w14:rot w14:lat="0" w14:lon="0" w14:rev="0"/>
              </w14:lightRig>
            </w14:scene3d>
          </w:rPr>
          <w:t>5.4.2</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Temperate and boreal forests and woodlands units of analysis  – Key to indigenous people and carbon storage</w:t>
        </w:r>
        <w:r w:rsidR="00C40619">
          <w:rPr>
            <w:noProof/>
            <w:webHidden/>
          </w:rPr>
          <w:tab/>
        </w:r>
        <w:r w:rsidR="00C40619">
          <w:rPr>
            <w:noProof/>
            <w:webHidden/>
          </w:rPr>
          <w:fldChar w:fldCharType="begin"/>
        </w:r>
        <w:r w:rsidR="00C40619">
          <w:rPr>
            <w:noProof/>
            <w:webHidden/>
          </w:rPr>
          <w:instrText xml:space="preserve"> PAGEREF _Toc517797102 \h </w:instrText>
        </w:r>
        <w:r w:rsidR="00C40619">
          <w:rPr>
            <w:noProof/>
            <w:webHidden/>
          </w:rPr>
        </w:r>
        <w:r w:rsidR="00C40619">
          <w:rPr>
            <w:noProof/>
            <w:webHidden/>
          </w:rPr>
          <w:fldChar w:fldCharType="separate"/>
        </w:r>
        <w:r w:rsidR="00402074">
          <w:rPr>
            <w:noProof/>
            <w:webHidden/>
          </w:rPr>
          <w:t>544</w:t>
        </w:r>
        <w:r w:rsidR="00C40619">
          <w:rPr>
            <w:noProof/>
            <w:webHidden/>
          </w:rPr>
          <w:fldChar w:fldCharType="end"/>
        </w:r>
      </w:hyperlink>
    </w:p>
    <w:p w14:paraId="09C65C30" w14:textId="78AB0F42"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03" w:history="1">
        <w:r w:rsidR="00C40619" w:rsidRPr="009627DF">
          <w:rPr>
            <w:rStyle w:val="Hyperlink"/>
            <w:rFonts w:eastAsia="Droid Sans Fallback"/>
            <w:noProof/>
            <w14:scene3d>
              <w14:camera w14:prst="orthographicFront"/>
              <w14:lightRig w14:rig="threePt" w14:dir="t">
                <w14:rot w14:lat="0" w14:lon="0" w14:rev="0"/>
              </w14:lightRig>
            </w14:scene3d>
          </w:rPr>
          <w:t>5.4.3</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Tundra and high mountain habitats units of analysis – Remote, but not remote enough</w:t>
        </w:r>
        <w:r w:rsidR="00C40619">
          <w:rPr>
            <w:noProof/>
            <w:webHidden/>
          </w:rPr>
          <w:tab/>
        </w:r>
        <w:r w:rsidR="00C40619">
          <w:rPr>
            <w:noProof/>
            <w:webHidden/>
          </w:rPr>
          <w:fldChar w:fldCharType="begin"/>
        </w:r>
        <w:r w:rsidR="00C40619">
          <w:rPr>
            <w:noProof/>
            <w:webHidden/>
          </w:rPr>
          <w:instrText xml:space="preserve"> PAGEREF _Toc517797103 \h </w:instrText>
        </w:r>
        <w:r w:rsidR="00C40619">
          <w:rPr>
            <w:noProof/>
            <w:webHidden/>
          </w:rPr>
        </w:r>
        <w:r w:rsidR="00C40619">
          <w:rPr>
            <w:noProof/>
            <w:webHidden/>
          </w:rPr>
          <w:fldChar w:fldCharType="separate"/>
        </w:r>
        <w:r w:rsidR="00402074">
          <w:rPr>
            <w:noProof/>
            <w:webHidden/>
          </w:rPr>
          <w:t>546</w:t>
        </w:r>
        <w:r w:rsidR="00C40619">
          <w:rPr>
            <w:noProof/>
            <w:webHidden/>
          </w:rPr>
          <w:fldChar w:fldCharType="end"/>
        </w:r>
      </w:hyperlink>
    </w:p>
    <w:p w14:paraId="19CB5BEE" w14:textId="778A4F65"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04" w:history="1">
        <w:r w:rsidR="00C40619" w:rsidRPr="009627DF">
          <w:rPr>
            <w:rStyle w:val="Hyperlink"/>
            <w:rFonts w:eastAsia="Droid Sans Fallback"/>
            <w:noProof/>
            <w14:scene3d>
              <w14:camera w14:prst="orthographicFront"/>
              <w14:lightRig w14:rig="threePt" w14:dir="t">
                <w14:rot w14:lat="0" w14:lon="0" w14:rev="0"/>
              </w14:lightRig>
            </w14:scene3d>
          </w:rPr>
          <w:t>5.4.4</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Tropical and subtropical savannas and grasslands unit of analysis – Agriculturalization</w:t>
        </w:r>
        <w:r w:rsidR="00C40619">
          <w:rPr>
            <w:noProof/>
            <w:webHidden/>
          </w:rPr>
          <w:tab/>
        </w:r>
        <w:r w:rsidR="00C40619">
          <w:rPr>
            <w:noProof/>
            <w:webHidden/>
          </w:rPr>
          <w:fldChar w:fldCharType="begin"/>
        </w:r>
        <w:r w:rsidR="00C40619">
          <w:rPr>
            <w:noProof/>
            <w:webHidden/>
          </w:rPr>
          <w:instrText xml:space="preserve"> PAGEREF _Toc517797104 \h </w:instrText>
        </w:r>
        <w:r w:rsidR="00C40619">
          <w:rPr>
            <w:noProof/>
            <w:webHidden/>
          </w:rPr>
        </w:r>
        <w:r w:rsidR="00C40619">
          <w:rPr>
            <w:noProof/>
            <w:webHidden/>
          </w:rPr>
          <w:fldChar w:fldCharType="separate"/>
        </w:r>
        <w:r w:rsidR="00402074">
          <w:rPr>
            <w:noProof/>
            <w:webHidden/>
          </w:rPr>
          <w:t>550</w:t>
        </w:r>
        <w:r w:rsidR="00C40619">
          <w:rPr>
            <w:noProof/>
            <w:webHidden/>
          </w:rPr>
          <w:fldChar w:fldCharType="end"/>
        </w:r>
      </w:hyperlink>
    </w:p>
    <w:p w14:paraId="29927FAC" w14:textId="79B7760C"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05" w:history="1">
        <w:r w:rsidR="00C40619" w:rsidRPr="009627DF">
          <w:rPr>
            <w:rStyle w:val="Hyperlink"/>
            <w:rFonts w:eastAsia="Droid Sans Fallback"/>
            <w:noProof/>
            <w14:scene3d>
              <w14:camera w14:prst="orthographicFront"/>
              <w14:lightRig w14:rig="threePt" w14:dir="t">
                <w14:rot w14:lat="0" w14:lon="0" w14:rev="0"/>
              </w14:lightRig>
            </w14:scene3d>
          </w:rPr>
          <w:t>5.4.5</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Temperate grasslands unit of analysis– Agricultural intensification</w:t>
        </w:r>
        <w:r w:rsidR="00C40619">
          <w:rPr>
            <w:noProof/>
            <w:webHidden/>
          </w:rPr>
          <w:tab/>
        </w:r>
        <w:r w:rsidR="00C40619">
          <w:rPr>
            <w:noProof/>
            <w:webHidden/>
          </w:rPr>
          <w:fldChar w:fldCharType="begin"/>
        </w:r>
        <w:r w:rsidR="00C40619">
          <w:rPr>
            <w:noProof/>
            <w:webHidden/>
          </w:rPr>
          <w:instrText xml:space="preserve"> PAGEREF _Toc517797105 \h </w:instrText>
        </w:r>
        <w:r w:rsidR="00C40619">
          <w:rPr>
            <w:noProof/>
            <w:webHidden/>
          </w:rPr>
        </w:r>
        <w:r w:rsidR="00C40619">
          <w:rPr>
            <w:noProof/>
            <w:webHidden/>
          </w:rPr>
          <w:fldChar w:fldCharType="separate"/>
        </w:r>
        <w:r w:rsidR="00402074">
          <w:rPr>
            <w:noProof/>
            <w:webHidden/>
          </w:rPr>
          <w:t>554</w:t>
        </w:r>
        <w:r w:rsidR="00C40619">
          <w:rPr>
            <w:noProof/>
            <w:webHidden/>
          </w:rPr>
          <w:fldChar w:fldCharType="end"/>
        </w:r>
      </w:hyperlink>
    </w:p>
    <w:p w14:paraId="7438A486" w14:textId="21116448"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06" w:history="1">
        <w:r w:rsidR="00C40619" w:rsidRPr="009627DF">
          <w:rPr>
            <w:rStyle w:val="Hyperlink"/>
            <w:rFonts w:eastAsia="Droid Sans Fallback"/>
            <w:noProof/>
            <w14:scene3d>
              <w14:camera w14:prst="orthographicFront"/>
              <w14:lightRig w14:rig="threePt" w14:dir="t">
                <w14:rot w14:lat="0" w14:lon="0" w14:rev="0"/>
              </w14:lightRig>
            </w14:scene3d>
          </w:rPr>
          <w:t>5.4.6</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Drylands and deserts unit of analysis– Exceptionally fragile diversity, resource demands, and ever-diminishing moisture</w:t>
        </w:r>
        <w:r w:rsidR="00C40619">
          <w:rPr>
            <w:noProof/>
            <w:webHidden/>
          </w:rPr>
          <w:tab/>
        </w:r>
        <w:r w:rsidR="00C40619">
          <w:rPr>
            <w:noProof/>
            <w:webHidden/>
          </w:rPr>
          <w:fldChar w:fldCharType="begin"/>
        </w:r>
        <w:r w:rsidR="00C40619">
          <w:rPr>
            <w:noProof/>
            <w:webHidden/>
          </w:rPr>
          <w:instrText xml:space="preserve"> PAGEREF _Toc517797106 \h </w:instrText>
        </w:r>
        <w:r w:rsidR="00C40619">
          <w:rPr>
            <w:noProof/>
            <w:webHidden/>
          </w:rPr>
        </w:r>
        <w:r w:rsidR="00C40619">
          <w:rPr>
            <w:noProof/>
            <w:webHidden/>
          </w:rPr>
          <w:fldChar w:fldCharType="separate"/>
        </w:r>
        <w:r w:rsidR="00402074">
          <w:rPr>
            <w:noProof/>
            <w:webHidden/>
          </w:rPr>
          <w:t>557</w:t>
        </w:r>
        <w:r w:rsidR="00C40619">
          <w:rPr>
            <w:noProof/>
            <w:webHidden/>
          </w:rPr>
          <w:fldChar w:fldCharType="end"/>
        </w:r>
      </w:hyperlink>
    </w:p>
    <w:p w14:paraId="3C0CADFA" w14:textId="20D76222"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07" w:history="1">
        <w:r w:rsidR="00C40619" w:rsidRPr="009627DF">
          <w:rPr>
            <w:rStyle w:val="Hyperlink"/>
            <w:rFonts w:eastAsia="Droid Sans Fallback"/>
            <w:noProof/>
            <w14:scene3d>
              <w14:camera w14:prst="orthographicFront"/>
              <w14:lightRig w14:rig="threePt" w14:dir="t">
                <w14:rot w14:lat="0" w14:lon="0" w14:rev="0"/>
              </w14:lightRig>
            </w14:scene3d>
          </w:rPr>
          <w:t>5.4.7</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Wetlands – Policy potentialities</w:t>
        </w:r>
        <w:r w:rsidR="00C40619">
          <w:rPr>
            <w:noProof/>
            <w:webHidden/>
          </w:rPr>
          <w:tab/>
        </w:r>
        <w:r w:rsidR="00C40619">
          <w:rPr>
            <w:noProof/>
            <w:webHidden/>
          </w:rPr>
          <w:fldChar w:fldCharType="begin"/>
        </w:r>
        <w:r w:rsidR="00C40619">
          <w:rPr>
            <w:noProof/>
            <w:webHidden/>
          </w:rPr>
          <w:instrText xml:space="preserve"> PAGEREF _Toc517797107 \h </w:instrText>
        </w:r>
        <w:r w:rsidR="00C40619">
          <w:rPr>
            <w:noProof/>
            <w:webHidden/>
          </w:rPr>
        </w:r>
        <w:r w:rsidR="00C40619">
          <w:rPr>
            <w:noProof/>
            <w:webHidden/>
          </w:rPr>
          <w:fldChar w:fldCharType="separate"/>
        </w:r>
        <w:r w:rsidR="00402074">
          <w:rPr>
            <w:noProof/>
            <w:webHidden/>
          </w:rPr>
          <w:t>560</w:t>
        </w:r>
        <w:r w:rsidR="00C40619">
          <w:rPr>
            <w:noProof/>
            <w:webHidden/>
          </w:rPr>
          <w:fldChar w:fldCharType="end"/>
        </w:r>
      </w:hyperlink>
    </w:p>
    <w:p w14:paraId="4D7B2F0E" w14:textId="1727F035"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08" w:history="1">
        <w:r w:rsidR="00C40619" w:rsidRPr="009627DF">
          <w:rPr>
            <w:rStyle w:val="Hyperlink"/>
            <w:rFonts w:eastAsia="Droid Sans Fallback"/>
            <w:noProof/>
            <w14:scene3d>
              <w14:camera w14:prst="orthographicFront"/>
              <w14:lightRig w14:rig="threePt" w14:dir="t">
                <w14:rot w14:lat="0" w14:lon="0" w14:rev="0"/>
              </w14:lightRig>
            </w14:scene3d>
          </w:rPr>
          <w:t>5.4.8</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Urban/Semi-urban – Effects on multiple aspects of human well-being</w:t>
        </w:r>
        <w:r w:rsidR="00C40619">
          <w:rPr>
            <w:noProof/>
            <w:webHidden/>
          </w:rPr>
          <w:tab/>
        </w:r>
        <w:r w:rsidR="00C40619">
          <w:rPr>
            <w:noProof/>
            <w:webHidden/>
          </w:rPr>
          <w:fldChar w:fldCharType="begin"/>
        </w:r>
        <w:r w:rsidR="00C40619">
          <w:rPr>
            <w:noProof/>
            <w:webHidden/>
          </w:rPr>
          <w:instrText xml:space="preserve"> PAGEREF _Toc517797108 \h </w:instrText>
        </w:r>
        <w:r w:rsidR="00C40619">
          <w:rPr>
            <w:noProof/>
            <w:webHidden/>
          </w:rPr>
        </w:r>
        <w:r w:rsidR="00C40619">
          <w:rPr>
            <w:noProof/>
            <w:webHidden/>
          </w:rPr>
          <w:fldChar w:fldCharType="separate"/>
        </w:r>
        <w:r w:rsidR="00402074">
          <w:rPr>
            <w:noProof/>
            <w:webHidden/>
          </w:rPr>
          <w:t>565</w:t>
        </w:r>
        <w:r w:rsidR="00C40619">
          <w:rPr>
            <w:noProof/>
            <w:webHidden/>
          </w:rPr>
          <w:fldChar w:fldCharType="end"/>
        </w:r>
      </w:hyperlink>
    </w:p>
    <w:p w14:paraId="09C900C2" w14:textId="6E99BF2A"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09" w:history="1">
        <w:r w:rsidR="00C40619" w:rsidRPr="009627DF">
          <w:rPr>
            <w:rStyle w:val="Hyperlink"/>
            <w:rFonts w:eastAsia="Droid Sans Fallback"/>
            <w:noProof/>
            <w14:scene3d>
              <w14:camera w14:prst="orthographicFront"/>
              <w14:lightRig w14:rig="threePt" w14:dir="t">
                <w14:rot w14:lat="0" w14:lon="0" w14:rev="0"/>
              </w14:lightRig>
            </w14:scene3d>
          </w:rPr>
          <w:t>5.4.9</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Cultivated areas (including cropping, intensive livestock farming, etc.)</w:t>
        </w:r>
        <w:r w:rsidR="00C40619">
          <w:rPr>
            <w:noProof/>
            <w:webHidden/>
          </w:rPr>
          <w:tab/>
        </w:r>
        <w:r w:rsidR="00C40619">
          <w:rPr>
            <w:noProof/>
            <w:webHidden/>
          </w:rPr>
          <w:fldChar w:fldCharType="begin"/>
        </w:r>
        <w:r w:rsidR="00C40619">
          <w:rPr>
            <w:noProof/>
            <w:webHidden/>
          </w:rPr>
          <w:instrText xml:space="preserve"> PAGEREF _Toc517797109 \h </w:instrText>
        </w:r>
        <w:r w:rsidR="00C40619">
          <w:rPr>
            <w:noProof/>
            <w:webHidden/>
          </w:rPr>
        </w:r>
        <w:r w:rsidR="00C40619">
          <w:rPr>
            <w:noProof/>
            <w:webHidden/>
          </w:rPr>
          <w:fldChar w:fldCharType="separate"/>
        </w:r>
        <w:r w:rsidR="00402074">
          <w:rPr>
            <w:noProof/>
            <w:webHidden/>
          </w:rPr>
          <w:t>567</w:t>
        </w:r>
        <w:r w:rsidR="00C40619">
          <w:rPr>
            <w:noProof/>
            <w:webHidden/>
          </w:rPr>
          <w:fldChar w:fldCharType="end"/>
        </w:r>
      </w:hyperlink>
    </w:p>
    <w:p w14:paraId="7F2ECFB0" w14:textId="515095E3" w:rsidR="00C40619" w:rsidRDefault="00E84199">
      <w:pPr>
        <w:pStyle w:val="TOC3"/>
        <w:tabs>
          <w:tab w:val="left" w:pos="1200"/>
          <w:tab w:val="right" w:leader="dot" w:pos="9487"/>
        </w:tabs>
        <w:rPr>
          <w:rFonts w:asciiTheme="minorHAnsi" w:eastAsiaTheme="minorEastAsia" w:hAnsiTheme="minorHAnsi" w:cstheme="minorBidi"/>
          <w:noProof/>
          <w:sz w:val="22"/>
          <w:szCs w:val="22"/>
          <w:lang w:val="es-CO" w:eastAsia="es-CO"/>
        </w:rPr>
      </w:pPr>
      <w:hyperlink w:anchor="_Toc517797110" w:history="1">
        <w:r w:rsidR="00C40619" w:rsidRPr="009627DF">
          <w:rPr>
            <w:rStyle w:val="Hyperlink"/>
            <w:rFonts w:eastAsia="Droid Sans Fallback"/>
            <w:noProof/>
            <w14:scene3d>
              <w14:camera w14:prst="orthographicFront"/>
              <w14:lightRig w14:rig="threePt" w14:dir="t">
                <w14:rot w14:lat="0" w14:lon="0" w14:rev="0"/>
              </w14:lightRig>
            </w14:scene3d>
          </w:rPr>
          <w:t>5.4.10</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Inland surface waters and water bodies/freshwater unit of analysis- The case of multiple demands/multiple drivers on natural capital</w:t>
        </w:r>
        <w:r w:rsidR="00C40619">
          <w:rPr>
            <w:noProof/>
            <w:webHidden/>
          </w:rPr>
          <w:tab/>
        </w:r>
        <w:r w:rsidR="00C40619">
          <w:rPr>
            <w:noProof/>
            <w:webHidden/>
          </w:rPr>
          <w:fldChar w:fldCharType="begin"/>
        </w:r>
        <w:r w:rsidR="00C40619">
          <w:rPr>
            <w:noProof/>
            <w:webHidden/>
          </w:rPr>
          <w:instrText xml:space="preserve"> PAGEREF _Toc517797110 \h </w:instrText>
        </w:r>
        <w:r w:rsidR="00C40619">
          <w:rPr>
            <w:noProof/>
            <w:webHidden/>
          </w:rPr>
        </w:r>
        <w:r w:rsidR="00C40619">
          <w:rPr>
            <w:noProof/>
            <w:webHidden/>
          </w:rPr>
          <w:fldChar w:fldCharType="separate"/>
        </w:r>
        <w:r w:rsidR="00402074">
          <w:rPr>
            <w:noProof/>
            <w:webHidden/>
          </w:rPr>
          <w:t>569</w:t>
        </w:r>
        <w:r w:rsidR="00C40619">
          <w:rPr>
            <w:noProof/>
            <w:webHidden/>
          </w:rPr>
          <w:fldChar w:fldCharType="end"/>
        </w:r>
      </w:hyperlink>
    </w:p>
    <w:p w14:paraId="41E2A280" w14:textId="2D62D2A1" w:rsidR="00C40619" w:rsidRDefault="00E84199">
      <w:pPr>
        <w:pStyle w:val="TOC3"/>
        <w:tabs>
          <w:tab w:val="left" w:pos="1200"/>
          <w:tab w:val="right" w:leader="dot" w:pos="9487"/>
        </w:tabs>
        <w:rPr>
          <w:rFonts w:asciiTheme="minorHAnsi" w:eastAsiaTheme="minorEastAsia" w:hAnsiTheme="minorHAnsi" w:cstheme="minorBidi"/>
          <w:noProof/>
          <w:sz w:val="22"/>
          <w:szCs w:val="22"/>
          <w:lang w:val="es-CO" w:eastAsia="es-CO"/>
        </w:rPr>
      </w:pPr>
      <w:hyperlink w:anchor="_Toc517797111" w:history="1">
        <w:r w:rsidR="00C40619" w:rsidRPr="009627DF">
          <w:rPr>
            <w:rStyle w:val="Hyperlink"/>
            <w:rFonts w:eastAsia="Droid Sans Fallback"/>
            <w:noProof/>
            <w14:scene3d>
              <w14:camera w14:prst="orthographicFront"/>
              <w14:lightRig w14:rig="threePt" w14:dir="t">
                <w14:rot w14:lat="0" w14:lon="0" w14:rev="0"/>
              </w14:lightRig>
            </w14:scene3d>
          </w:rPr>
          <w:t>5.4.11</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Coastal habitats/coastal and near shore marine/inshore ecosystems unit of analysis</w:t>
        </w:r>
        <w:r w:rsidR="00C40619">
          <w:rPr>
            <w:noProof/>
            <w:webHidden/>
          </w:rPr>
          <w:tab/>
        </w:r>
        <w:r w:rsidR="00C40619">
          <w:rPr>
            <w:noProof/>
            <w:webHidden/>
          </w:rPr>
          <w:fldChar w:fldCharType="begin"/>
        </w:r>
        <w:r w:rsidR="00C40619">
          <w:rPr>
            <w:noProof/>
            <w:webHidden/>
          </w:rPr>
          <w:instrText xml:space="preserve"> PAGEREF _Toc517797111 \h </w:instrText>
        </w:r>
        <w:r w:rsidR="00C40619">
          <w:rPr>
            <w:noProof/>
            <w:webHidden/>
          </w:rPr>
        </w:r>
        <w:r w:rsidR="00C40619">
          <w:rPr>
            <w:noProof/>
            <w:webHidden/>
          </w:rPr>
          <w:fldChar w:fldCharType="separate"/>
        </w:r>
        <w:r w:rsidR="00402074">
          <w:rPr>
            <w:noProof/>
            <w:webHidden/>
          </w:rPr>
          <w:t>572</w:t>
        </w:r>
        <w:r w:rsidR="00C40619">
          <w:rPr>
            <w:noProof/>
            <w:webHidden/>
          </w:rPr>
          <w:fldChar w:fldCharType="end"/>
        </w:r>
      </w:hyperlink>
    </w:p>
    <w:p w14:paraId="2E80E33D" w14:textId="0596076E" w:rsidR="00C40619" w:rsidRDefault="00E84199">
      <w:pPr>
        <w:pStyle w:val="TOC3"/>
        <w:tabs>
          <w:tab w:val="left" w:pos="1200"/>
          <w:tab w:val="right" w:leader="dot" w:pos="9487"/>
        </w:tabs>
        <w:rPr>
          <w:rFonts w:asciiTheme="minorHAnsi" w:eastAsiaTheme="minorEastAsia" w:hAnsiTheme="minorHAnsi" w:cstheme="minorBidi"/>
          <w:noProof/>
          <w:sz w:val="22"/>
          <w:szCs w:val="22"/>
          <w:lang w:val="es-CO" w:eastAsia="es-CO"/>
        </w:rPr>
      </w:pPr>
      <w:hyperlink w:anchor="_Toc517797112" w:history="1">
        <w:r w:rsidR="00C40619" w:rsidRPr="009627DF">
          <w:rPr>
            <w:rStyle w:val="Hyperlink"/>
            <w:rFonts w:eastAsia="Droid Sans Fallback"/>
            <w:noProof/>
            <w14:scene3d>
              <w14:camera w14:prst="orthographicFront"/>
              <w14:lightRig w14:rig="threePt" w14:dir="t">
                <w14:rot w14:lat="0" w14:lon="0" w14:rev="0"/>
              </w14:lightRig>
            </w14:scene3d>
          </w:rPr>
          <w:t>5.4.12</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Cryosphere unit of analysis</w:t>
        </w:r>
        <w:r w:rsidR="00C40619">
          <w:rPr>
            <w:noProof/>
            <w:webHidden/>
          </w:rPr>
          <w:tab/>
        </w:r>
        <w:r w:rsidR="00C40619">
          <w:rPr>
            <w:noProof/>
            <w:webHidden/>
          </w:rPr>
          <w:fldChar w:fldCharType="begin"/>
        </w:r>
        <w:r w:rsidR="00C40619">
          <w:rPr>
            <w:noProof/>
            <w:webHidden/>
          </w:rPr>
          <w:instrText xml:space="preserve"> PAGEREF _Toc517797112 \h </w:instrText>
        </w:r>
        <w:r w:rsidR="00C40619">
          <w:rPr>
            <w:noProof/>
            <w:webHidden/>
          </w:rPr>
        </w:r>
        <w:r w:rsidR="00C40619">
          <w:rPr>
            <w:noProof/>
            <w:webHidden/>
          </w:rPr>
          <w:fldChar w:fldCharType="separate"/>
        </w:r>
        <w:r w:rsidR="00402074">
          <w:rPr>
            <w:noProof/>
            <w:webHidden/>
          </w:rPr>
          <w:t>579</w:t>
        </w:r>
        <w:r w:rsidR="00C40619">
          <w:rPr>
            <w:noProof/>
            <w:webHidden/>
          </w:rPr>
          <w:fldChar w:fldCharType="end"/>
        </w:r>
      </w:hyperlink>
    </w:p>
    <w:p w14:paraId="219A73BA" w14:textId="057094A2" w:rsidR="00C40619" w:rsidRDefault="00E84199">
      <w:pPr>
        <w:pStyle w:val="TOC2"/>
        <w:rPr>
          <w:rFonts w:asciiTheme="minorHAnsi" w:eastAsiaTheme="minorEastAsia" w:hAnsiTheme="minorHAnsi" w:cstheme="minorBidi"/>
          <w:b w:val="0"/>
          <w:bCs w:val="0"/>
          <w:noProof/>
          <w:szCs w:val="22"/>
          <w:lang w:val="es-CO" w:eastAsia="es-CO"/>
        </w:rPr>
      </w:pPr>
      <w:hyperlink w:anchor="_Toc517797113" w:history="1">
        <w:r w:rsidR="00C40619" w:rsidRPr="009627DF">
          <w:rPr>
            <w:rStyle w:val="Hyperlink"/>
            <w:noProof/>
            <w14:scene3d>
              <w14:camera w14:prst="orthographicFront"/>
              <w14:lightRig w14:rig="threePt" w14:dir="t">
                <w14:rot w14:lat="0" w14:lon="0" w14:rev="0"/>
              </w14:lightRig>
            </w14:scene3d>
          </w:rPr>
          <w:t>5.5</w:t>
        </w:r>
        <w:r w:rsidR="00C40619">
          <w:rPr>
            <w:rFonts w:asciiTheme="minorHAnsi" w:eastAsiaTheme="minorEastAsia" w:hAnsiTheme="minorHAnsi" w:cstheme="minorBidi"/>
            <w:b w:val="0"/>
            <w:bCs w:val="0"/>
            <w:noProof/>
            <w:szCs w:val="22"/>
            <w:lang w:val="es-CO" w:eastAsia="es-CO"/>
          </w:rPr>
          <w:tab/>
        </w:r>
        <w:r w:rsidR="00C40619" w:rsidRPr="009627DF">
          <w:rPr>
            <w:rStyle w:val="Hyperlink"/>
            <w:noProof/>
          </w:rPr>
          <w:t>Major trends of nature and nature's contributions to people in the Americas: learning from global scale literature</w:t>
        </w:r>
        <w:r w:rsidR="00C40619">
          <w:rPr>
            <w:noProof/>
            <w:webHidden/>
          </w:rPr>
          <w:tab/>
        </w:r>
        <w:r w:rsidR="00C40619">
          <w:rPr>
            <w:noProof/>
            <w:webHidden/>
          </w:rPr>
          <w:fldChar w:fldCharType="begin"/>
        </w:r>
        <w:r w:rsidR="00C40619">
          <w:rPr>
            <w:noProof/>
            <w:webHidden/>
          </w:rPr>
          <w:instrText xml:space="preserve"> PAGEREF _Toc517797113 \h </w:instrText>
        </w:r>
        <w:r w:rsidR="00C40619">
          <w:rPr>
            <w:noProof/>
            <w:webHidden/>
          </w:rPr>
        </w:r>
        <w:r w:rsidR="00C40619">
          <w:rPr>
            <w:noProof/>
            <w:webHidden/>
          </w:rPr>
          <w:fldChar w:fldCharType="separate"/>
        </w:r>
        <w:r w:rsidR="00402074">
          <w:rPr>
            <w:noProof/>
            <w:webHidden/>
          </w:rPr>
          <w:t>580</w:t>
        </w:r>
        <w:r w:rsidR="00C40619">
          <w:rPr>
            <w:noProof/>
            <w:webHidden/>
          </w:rPr>
          <w:fldChar w:fldCharType="end"/>
        </w:r>
      </w:hyperlink>
    </w:p>
    <w:p w14:paraId="3D5674DF" w14:textId="555658A2" w:rsidR="00C40619" w:rsidRDefault="00E84199">
      <w:pPr>
        <w:pStyle w:val="TOC2"/>
        <w:rPr>
          <w:rFonts w:asciiTheme="minorHAnsi" w:eastAsiaTheme="minorEastAsia" w:hAnsiTheme="minorHAnsi" w:cstheme="minorBidi"/>
          <w:b w:val="0"/>
          <w:bCs w:val="0"/>
          <w:noProof/>
          <w:szCs w:val="22"/>
          <w:lang w:val="es-CO" w:eastAsia="es-CO"/>
        </w:rPr>
      </w:pPr>
      <w:hyperlink w:anchor="_Toc517797114" w:history="1">
        <w:r w:rsidR="00C40619" w:rsidRPr="009627DF">
          <w:rPr>
            <w:rStyle w:val="Hyperlink"/>
            <w:noProof/>
            <w14:scene3d>
              <w14:camera w14:prst="orthographicFront"/>
              <w14:lightRig w14:rig="threePt" w14:dir="t">
                <w14:rot w14:lat="0" w14:lon="0" w14:rev="0"/>
              </w14:lightRig>
            </w14:scene3d>
          </w:rPr>
          <w:t>5.6</w:t>
        </w:r>
        <w:r w:rsidR="00C40619">
          <w:rPr>
            <w:rFonts w:asciiTheme="minorHAnsi" w:eastAsiaTheme="minorEastAsia" w:hAnsiTheme="minorHAnsi" w:cstheme="minorBidi"/>
            <w:b w:val="0"/>
            <w:bCs w:val="0"/>
            <w:noProof/>
            <w:szCs w:val="22"/>
            <w:lang w:val="es-CO" w:eastAsia="es-CO"/>
          </w:rPr>
          <w:tab/>
        </w:r>
        <w:r w:rsidR="00C40619" w:rsidRPr="009627DF">
          <w:rPr>
            <w:rStyle w:val="Hyperlink"/>
            <w:noProof/>
          </w:rPr>
          <w:t>Constructing a pathway to a sustainable world</w:t>
        </w:r>
        <w:r w:rsidR="00C40619">
          <w:rPr>
            <w:noProof/>
            <w:webHidden/>
          </w:rPr>
          <w:tab/>
        </w:r>
        <w:r w:rsidR="00C40619">
          <w:rPr>
            <w:noProof/>
            <w:webHidden/>
          </w:rPr>
          <w:fldChar w:fldCharType="begin"/>
        </w:r>
        <w:r w:rsidR="00C40619">
          <w:rPr>
            <w:noProof/>
            <w:webHidden/>
          </w:rPr>
          <w:instrText xml:space="preserve"> PAGEREF _Toc517797114 \h </w:instrText>
        </w:r>
        <w:r w:rsidR="00C40619">
          <w:rPr>
            <w:noProof/>
            <w:webHidden/>
          </w:rPr>
        </w:r>
        <w:r w:rsidR="00C40619">
          <w:rPr>
            <w:noProof/>
            <w:webHidden/>
          </w:rPr>
          <w:fldChar w:fldCharType="separate"/>
        </w:r>
        <w:r w:rsidR="00402074">
          <w:rPr>
            <w:noProof/>
            <w:webHidden/>
          </w:rPr>
          <w:t>592</w:t>
        </w:r>
        <w:r w:rsidR="00C40619">
          <w:rPr>
            <w:noProof/>
            <w:webHidden/>
          </w:rPr>
          <w:fldChar w:fldCharType="end"/>
        </w:r>
      </w:hyperlink>
    </w:p>
    <w:p w14:paraId="38CE61BC" w14:textId="78E52D06"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15" w:history="1">
        <w:r w:rsidR="00C40619" w:rsidRPr="009627DF">
          <w:rPr>
            <w:rStyle w:val="Hyperlink"/>
            <w:rFonts w:eastAsia="Droid Sans Fallback"/>
            <w:noProof/>
            <w14:scene3d>
              <w14:camera w14:prst="orthographicFront"/>
              <w14:lightRig w14:rig="threePt" w14:dir="t">
                <w14:rot w14:lat="0" w14:lon="0" w14:rev="0"/>
              </w14:lightRig>
            </w14:scene3d>
          </w:rPr>
          <w:t>5.6.1</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Integrated scenario building</w:t>
        </w:r>
        <w:r w:rsidR="00C40619">
          <w:rPr>
            <w:noProof/>
            <w:webHidden/>
          </w:rPr>
          <w:tab/>
        </w:r>
        <w:r w:rsidR="00C40619">
          <w:rPr>
            <w:noProof/>
            <w:webHidden/>
          </w:rPr>
          <w:fldChar w:fldCharType="begin"/>
        </w:r>
        <w:r w:rsidR="00C40619">
          <w:rPr>
            <w:noProof/>
            <w:webHidden/>
          </w:rPr>
          <w:instrText xml:space="preserve"> PAGEREF _Toc517797115 \h </w:instrText>
        </w:r>
        <w:r w:rsidR="00C40619">
          <w:rPr>
            <w:noProof/>
            <w:webHidden/>
          </w:rPr>
        </w:r>
        <w:r w:rsidR="00C40619">
          <w:rPr>
            <w:noProof/>
            <w:webHidden/>
          </w:rPr>
          <w:fldChar w:fldCharType="separate"/>
        </w:r>
        <w:r w:rsidR="00402074">
          <w:rPr>
            <w:noProof/>
            <w:webHidden/>
          </w:rPr>
          <w:t>593</w:t>
        </w:r>
        <w:r w:rsidR="00C40619">
          <w:rPr>
            <w:noProof/>
            <w:webHidden/>
          </w:rPr>
          <w:fldChar w:fldCharType="end"/>
        </w:r>
      </w:hyperlink>
    </w:p>
    <w:p w14:paraId="60883127" w14:textId="4ED18EAA"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16" w:history="1">
        <w:r w:rsidR="00C40619" w:rsidRPr="009627DF">
          <w:rPr>
            <w:rStyle w:val="Hyperlink"/>
            <w:rFonts w:eastAsia="Droid Sans Fallback"/>
            <w:noProof/>
            <w14:scene3d>
              <w14:camera w14:prst="orthographicFront"/>
              <w14:lightRig w14:rig="threePt" w14:dir="t">
                <w14:rot w14:lat="0" w14:lon="0" w14:rev="0"/>
              </w14:lightRig>
            </w14:scene3d>
          </w:rPr>
          <w:t>5.6.2</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Inclusion of essential stakeholder groups</w:t>
        </w:r>
        <w:r w:rsidR="00C40619">
          <w:rPr>
            <w:noProof/>
            <w:webHidden/>
          </w:rPr>
          <w:tab/>
        </w:r>
        <w:r w:rsidR="00C40619">
          <w:rPr>
            <w:noProof/>
            <w:webHidden/>
          </w:rPr>
          <w:fldChar w:fldCharType="begin"/>
        </w:r>
        <w:r w:rsidR="00C40619">
          <w:rPr>
            <w:noProof/>
            <w:webHidden/>
          </w:rPr>
          <w:instrText xml:space="preserve"> PAGEREF _Toc517797116 \h </w:instrText>
        </w:r>
        <w:r w:rsidR="00C40619">
          <w:rPr>
            <w:noProof/>
            <w:webHidden/>
          </w:rPr>
        </w:r>
        <w:r w:rsidR="00C40619">
          <w:rPr>
            <w:noProof/>
            <w:webHidden/>
          </w:rPr>
          <w:fldChar w:fldCharType="separate"/>
        </w:r>
        <w:r w:rsidR="00402074">
          <w:rPr>
            <w:noProof/>
            <w:webHidden/>
          </w:rPr>
          <w:t>595</w:t>
        </w:r>
        <w:r w:rsidR="00C40619">
          <w:rPr>
            <w:noProof/>
            <w:webHidden/>
          </w:rPr>
          <w:fldChar w:fldCharType="end"/>
        </w:r>
      </w:hyperlink>
    </w:p>
    <w:p w14:paraId="63D2866C" w14:textId="63304E8F"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17" w:history="1">
        <w:r w:rsidR="00C40619" w:rsidRPr="009627DF">
          <w:rPr>
            <w:rStyle w:val="Hyperlink"/>
            <w:rFonts w:eastAsia="Droid Sans Fallback"/>
            <w:noProof/>
            <w14:scene3d>
              <w14:camera w14:prst="orthographicFront"/>
              <w14:lightRig w14:rig="threePt" w14:dir="t">
                <w14:rot w14:lat="0" w14:lon="0" w14:rev="0"/>
              </w14:lightRig>
            </w14:scene3d>
          </w:rPr>
          <w:t>5.6.3</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Telecoupling - Recognizing interactions between distant socio-ecological systems profoundly affect nature and nature’s contribution to people</w:t>
        </w:r>
        <w:r w:rsidR="00C40619">
          <w:rPr>
            <w:noProof/>
            <w:webHidden/>
          </w:rPr>
          <w:tab/>
        </w:r>
        <w:r w:rsidR="00C40619">
          <w:rPr>
            <w:noProof/>
            <w:webHidden/>
          </w:rPr>
          <w:fldChar w:fldCharType="begin"/>
        </w:r>
        <w:r w:rsidR="00C40619">
          <w:rPr>
            <w:noProof/>
            <w:webHidden/>
          </w:rPr>
          <w:instrText xml:space="preserve"> PAGEREF _Toc517797117 \h </w:instrText>
        </w:r>
        <w:r w:rsidR="00C40619">
          <w:rPr>
            <w:noProof/>
            <w:webHidden/>
          </w:rPr>
        </w:r>
        <w:r w:rsidR="00C40619">
          <w:rPr>
            <w:noProof/>
            <w:webHidden/>
          </w:rPr>
          <w:fldChar w:fldCharType="separate"/>
        </w:r>
        <w:r w:rsidR="00402074">
          <w:rPr>
            <w:noProof/>
            <w:webHidden/>
          </w:rPr>
          <w:t>596</w:t>
        </w:r>
        <w:r w:rsidR="00C40619">
          <w:rPr>
            <w:noProof/>
            <w:webHidden/>
          </w:rPr>
          <w:fldChar w:fldCharType="end"/>
        </w:r>
      </w:hyperlink>
    </w:p>
    <w:p w14:paraId="1E7BD499" w14:textId="3966A030" w:rsidR="00C40619" w:rsidRDefault="00E84199">
      <w:pPr>
        <w:pStyle w:val="TOC4"/>
        <w:tabs>
          <w:tab w:val="right" w:leader="dot" w:pos="9487"/>
        </w:tabs>
        <w:rPr>
          <w:rFonts w:asciiTheme="minorHAnsi" w:eastAsiaTheme="minorEastAsia" w:hAnsiTheme="minorHAnsi" w:cstheme="minorBidi"/>
          <w:noProof/>
          <w:szCs w:val="22"/>
          <w:lang w:val="es-CO" w:eastAsia="es-CO"/>
        </w:rPr>
      </w:pPr>
      <w:hyperlink w:anchor="_Toc517797118" w:history="1">
        <w:r w:rsidR="00C40619" w:rsidRPr="009627DF">
          <w:rPr>
            <w:rStyle w:val="Hyperlink"/>
            <w:rFonts w:eastAsia="Droid Sans Fallback"/>
            <w:b/>
            <w:bCs/>
            <w:iCs/>
            <w:noProof/>
          </w:rPr>
          <w:t>Case 1: Agricultural pest control</w:t>
        </w:r>
        <w:r w:rsidR="00C40619">
          <w:rPr>
            <w:noProof/>
            <w:webHidden/>
          </w:rPr>
          <w:tab/>
        </w:r>
        <w:r w:rsidR="00C40619">
          <w:rPr>
            <w:noProof/>
            <w:webHidden/>
          </w:rPr>
          <w:fldChar w:fldCharType="begin"/>
        </w:r>
        <w:r w:rsidR="00C40619">
          <w:rPr>
            <w:noProof/>
            <w:webHidden/>
          </w:rPr>
          <w:instrText xml:space="preserve"> PAGEREF _Toc517797118 \h </w:instrText>
        </w:r>
        <w:r w:rsidR="00C40619">
          <w:rPr>
            <w:noProof/>
            <w:webHidden/>
          </w:rPr>
        </w:r>
        <w:r w:rsidR="00C40619">
          <w:rPr>
            <w:noProof/>
            <w:webHidden/>
          </w:rPr>
          <w:fldChar w:fldCharType="separate"/>
        </w:r>
        <w:r w:rsidR="00402074">
          <w:rPr>
            <w:noProof/>
            <w:webHidden/>
          </w:rPr>
          <w:t>596</w:t>
        </w:r>
        <w:r w:rsidR="00C40619">
          <w:rPr>
            <w:noProof/>
            <w:webHidden/>
          </w:rPr>
          <w:fldChar w:fldCharType="end"/>
        </w:r>
      </w:hyperlink>
    </w:p>
    <w:p w14:paraId="0F97B2A0" w14:textId="0BC417A9" w:rsidR="00C40619" w:rsidRDefault="00E84199">
      <w:pPr>
        <w:pStyle w:val="TOC4"/>
        <w:tabs>
          <w:tab w:val="right" w:leader="dot" w:pos="9487"/>
        </w:tabs>
        <w:rPr>
          <w:rFonts w:asciiTheme="minorHAnsi" w:eastAsiaTheme="minorEastAsia" w:hAnsiTheme="minorHAnsi" w:cstheme="minorBidi"/>
          <w:noProof/>
          <w:szCs w:val="22"/>
          <w:lang w:val="es-CO" w:eastAsia="es-CO"/>
        </w:rPr>
      </w:pPr>
      <w:hyperlink w:anchor="_Toc517797119" w:history="1">
        <w:r w:rsidR="00C40619" w:rsidRPr="009627DF">
          <w:rPr>
            <w:rStyle w:val="Hyperlink"/>
            <w:rFonts w:eastAsia="Droid Sans Fallback"/>
            <w:b/>
            <w:bCs/>
            <w:iCs/>
            <w:noProof/>
          </w:rPr>
          <w:t>Case 2: Amazon forest as provider of global services</w:t>
        </w:r>
        <w:r w:rsidR="00C40619">
          <w:rPr>
            <w:noProof/>
            <w:webHidden/>
          </w:rPr>
          <w:tab/>
        </w:r>
        <w:r w:rsidR="00C40619">
          <w:rPr>
            <w:noProof/>
            <w:webHidden/>
          </w:rPr>
          <w:fldChar w:fldCharType="begin"/>
        </w:r>
        <w:r w:rsidR="00C40619">
          <w:rPr>
            <w:noProof/>
            <w:webHidden/>
          </w:rPr>
          <w:instrText xml:space="preserve"> PAGEREF _Toc517797119 \h </w:instrText>
        </w:r>
        <w:r w:rsidR="00C40619">
          <w:rPr>
            <w:noProof/>
            <w:webHidden/>
          </w:rPr>
        </w:r>
        <w:r w:rsidR="00C40619">
          <w:rPr>
            <w:noProof/>
            <w:webHidden/>
          </w:rPr>
          <w:fldChar w:fldCharType="separate"/>
        </w:r>
        <w:r w:rsidR="00402074">
          <w:rPr>
            <w:noProof/>
            <w:webHidden/>
          </w:rPr>
          <w:t>597</w:t>
        </w:r>
        <w:r w:rsidR="00C40619">
          <w:rPr>
            <w:noProof/>
            <w:webHidden/>
          </w:rPr>
          <w:fldChar w:fldCharType="end"/>
        </w:r>
      </w:hyperlink>
    </w:p>
    <w:p w14:paraId="49AC4AB6" w14:textId="789570C7" w:rsidR="00C40619" w:rsidRDefault="00E84199">
      <w:pPr>
        <w:pStyle w:val="TOC4"/>
        <w:tabs>
          <w:tab w:val="right" w:leader="dot" w:pos="9487"/>
        </w:tabs>
        <w:rPr>
          <w:rFonts w:asciiTheme="minorHAnsi" w:eastAsiaTheme="minorEastAsia" w:hAnsiTheme="minorHAnsi" w:cstheme="minorBidi"/>
          <w:noProof/>
          <w:szCs w:val="22"/>
          <w:lang w:val="es-CO" w:eastAsia="es-CO"/>
        </w:rPr>
      </w:pPr>
      <w:hyperlink w:anchor="_Toc517797120" w:history="1">
        <w:r w:rsidR="00C40619" w:rsidRPr="009627DF">
          <w:rPr>
            <w:rStyle w:val="Hyperlink"/>
            <w:rFonts w:eastAsia="Droid Sans Fallback"/>
            <w:b/>
            <w:bCs/>
            <w:iCs/>
            <w:noProof/>
          </w:rPr>
          <w:t>Case 3: Urban Telecoupling</w:t>
        </w:r>
        <w:r w:rsidR="00C40619">
          <w:rPr>
            <w:noProof/>
            <w:webHidden/>
          </w:rPr>
          <w:tab/>
        </w:r>
        <w:r w:rsidR="00C40619">
          <w:rPr>
            <w:noProof/>
            <w:webHidden/>
          </w:rPr>
          <w:fldChar w:fldCharType="begin"/>
        </w:r>
        <w:r w:rsidR="00C40619">
          <w:rPr>
            <w:noProof/>
            <w:webHidden/>
          </w:rPr>
          <w:instrText xml:space="preserve"> PAGEREF _Toc517797120 \h </w:instrText>
        </w:r>
        <w:r w:rsidR="00C40619">
          <w:rPr>
            <w:noProof/>
            <w:webHidden/>
          </w:rPr>
        </w:r>
        <w:r w:rsidR="00C40619">
          <w:rPr>
            <w:noProof/>
            <w:webHidden/>
          </w:rPr>
          <w:fldChar w:fldCharType="separate"/>
        </w:r>
        <w:r w:rsidR="00402074">
          <w:rPr>
            <w:noProof/>
            <w:webHidden/>
          </w:rPr>
          <w:t>599</w:t>
        </w:r>
        <w:r w:rsidR="00C40619">
          <w:rPr>
            <w:noProof/>
            <w:webHidden/>
          </w:rPr>
          <w:fldChar w:fldCharType="end"/>
        </w:r>
      </w:hyperlink>
    </w:p>
    <w:p w14:paraId="71BB16DC" w14:textId="7C70FD1A" w:rsidR="00C40619" w:rsidRDefault="00E84199">
      <w:pPr>
        <w:pStyle w:val="TOC4"/>
        <w:tabs>
          <w:tab w:val="right" w:leader="dot" w:pos="9487"/>
        </w:tabs>
        <w:rPr>
          <w:rFonts w:asciiTheme="minorHAnsi" w:eastAsiaTheme="minorEastAsia" w:hAnsiTheme="minorHAnsi" w:cstheme="minorBidi"/>
          <w:noProof/>
          <w:szCs w:val="22"/>
          <w:lang w:val="es-CO" w:eastAsia="es-CO"/>
        </w:rPr>
      </w:pPr>
      <w:hyperlink w:anchor="_Toc517797121" w:history="1">
        <w:r w:rsidR="00C40619" w:rsidRPr="009627DF">
          <w:rPr>
            <w:rStyle w:val="Hyperlink"/>
            <w:rFonts w:eastAsia="Droid Sans Fallback"/>
            <w:b/>
            <w:bCs/>
            <w:iCs/>
            <w:noProof/>
          </w:rPr>
          <w:t>Case 4: Biomass burn</w:t>
        </w:r>
        <w:r w:rsidR="00C40619">
          <w:rPr>
            <w:noProof/>
            <w:webHidden/>
          </w:rPr>
          <w:tab/>
        </w:r>
        <w:r w:rsidR="00C40619">
          <w:rPr>
            <w:noProof/>
            <w:webHidden/>
          </w:rPr>
          <w:fldChar w:fldCharType="begin"/>
        </w:r>
        <w:r w:rsidR="00C40619">
          <w:rPr>
            <w:noProof/>
            <w:webHidden/>
          </w:rPr>
          <w:instrText xml:space="preserve"> PAGEREF _Toc517797121 \h </w:instrText>
        </w:r>
        <w:r w:rsidR="00C40619">
          <w:rPr>
            <w:noProof/>
            <w:webHidden/>
          </w:rPr>
        </w:r>
        <w:r w:rsidR="00C40619">
          <w:rPr>
            <w:noProof/>
            <w:webHidden/>
          </w:rPr>
          <w:fldChar w:fldCharType="separate"/>
        </w:r>
        <w:r w:rsidR="00402074">
          <w:rPr>
            <w:noProof/>
            <w:webHidden/>
          </w:rPr>
          <w:t>602</w:t>
        </w:r>
        <w:r w:rsidR="00C40619">
          <w:rPr>
            <w:noProof/>
            <w:webHidden/>
          </w:rPr>
          <w:fldChar w:fldCharType="end"/>
        </w:r>
      </w:hyperlink>
    </w:p>
    <w:p w14:paraId="3168E198" w14:textId="0F0FCCBF"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22" w:history="1">
        <w:r w:rsidR="00C40619" w:rsidRPr="009627DF">
          <w:rPr>
            <w:rStyle w:val="Hyperlink"/>
            <w:rFonts w:eastAsia="Droid Sans Fallback"/>
            <w:noProof/>
            <w14:scene3d>
              <w14:camera w14:prst="orthographicFront"/>
              <w14:lightRig w14:rig="threePt" w14:dir="t">
                <w14:rot w14:lat="0" w14:lon="0" w14:rev="0"/>
              </w14:lightRig>
            </w14:scene3d>
          </w:rPr>
          <w:t>5.6.4</w:t>
        </w:r>
        <w:r w:rsidR="00C40619">
          <w:rPr>
            <w:rFonts w:asciiTheme="minorHAnsi" w:eastAsiaTheme="minorEastAsia" w:hAnsiTheme="minorHAnsi" w:cstheme="minorBidi"/>
            <w:noProof/>
            <w:sz w:val="22"/>
            <w:szCs w:val="22"/>
            <w:lang w:val="es-CO" w:eastAsia="es-CO"/>
          </w:rPr>
          <w:tab/>
        </w:r>
        <w:r w:rsidR="00C40619" w:rsidRPr="009627DF">
          <w:rPr>
            <w:rStyle w:val="Hyperlink"/>
            <w:rFonts w:eastAsia="Droid Sans Fallback"/>
            <w:noProof/>
          </w:rPr>
          <w:t>Recognition and inclusion of multiple values</w:t>
        </w:r>
        <w:r w:rsidR="00C40619">
          <w:rPr>
            <w:noProof/>
            <w:webHidden/>
          </w:rPr>
          <w:tab/>
        </w:r>
        <w:r w:rsidR="00C40619">
          <w:rPr>
            <w:noProof/>
            <w:webHidden/>
          </w:rPr>
          <w:fldChar w:fldCharType="begin"/>
        </w:r>
        <w:r w:rsidR="00C40619">
          <w:rPr>
            <w:noProof/>
            <w:webHidden/>
          </w:rPr>
          <w:instrText xml:space="preserve"> PAGEREF _Toc517797122 \h </w:instrText>
        </w:r>
        <w:r w:rsidR="00C40619">
          <w:rPr>
            <w:noProof/>
            <w:webHidden/>
          </w:rPr>
        </w:r>
        <w:r w:rsidR="00C40619">
          <w:rPr>
            <w:noProof/>
            <w:webHidden/>
          </w:rPr>
          <w:fldChar w:fldCharType="separate"/>
        </w:r>
        <w:r w:rsidR="00402074">
          <w:rPr>
            <w:noProof/>
            <w:webHidden/>
          </w:rPr>
          <w:t>602</w:t>
        </w:r>
        <w:r w:rsidR="00C40619">
          <w:rPr>
            <w:noProof/>
            <w:webHidden/>
          </w:rPr>
          <w:fldChar w:fldCharType="end"/>
        </w:r>
      </w:hyperlink>
    </w:p>
    <w:p w14:paraId="1FA35ECF" w14:textId="716C535F" w:rsidR="00C40619" w:rsidRDefault="00E84199">
      <w:pPr>
        <w:pStyle w:val="TOC2"/>
        <w:rPr>
          <w:rFonts w:asciiTheme="minorHAnsi" w:eastAsiaTheme="minorEastAsia" w:hAnsiTheme="minorHAnsi" w:cstheme="minorBidi"/>
          <w:b w:val="0"/>
          <w:bCs w:val="0"/>
          <w:noProof/>
          <w:szCs w:val="22"/>
          <w:lang w:val="es-CO" w:eastAsia="es-CO"/>
        </w:rPr>
      </w:pPr>
      <w:hyperlink w:anchor="_Toc517797123" w:history="1">
        <w:r w:rsidR="00C40619" w:rsidRPr="009627DF">
          <w:rPr>
            <w:rStyle w:val="Hyperlink"/>
            <w:noProof/>
            <w14:scene3d>
              <w14:camera w14:prst="orthographicFront"/>
              <w14:lightRig w14:rig="threePt" w14:dir="t">
                <w14:rot w14:lat="0" w14:lon="0" w14:rev="0"/>
              </w14:lightRig>
            </w14:scene3d>
          </w:rPr>
          <w:t>5.7</w:t>
        </w:r>
        <w:r w:rsidR="00C40619">
          <w:rPr>
            <w:rFonts w:asciiTheme="minorHAnsi" w:eastAsiaTheme="minorEastAsia" w:hAnsiTheme="minorHAnsi" w:cstheme="minorBidi"/>
            <w:b w:val="0"/>
            <w:bCs w:val="0"/>
            <w:noProof/>
            <w:szCs w:val="22"/>
            <w:lang w:val="es-CO" w:eastAsia="es-CO"/>
          </w:rPr>
          <w:tab/>
        </w:r>
        <w:r w:rsidR="00C40619" w:rsidRPr="009627DF">
          <w:rPr>
            <w:rStyle w:val="Hyperlink"/>
            <w:noProof/>
          </w:rPr>
          <w:t>Conclusions regarding modeling, scenarios, and pathways</w:t>
        </w:r>
        <w:r w:rsidR="00C40619">
          <w:rPr>
            <w:noProof/>
            <w:webHidden/>
          </w:rPr>
          <w:tab/>
        </w:r>
        <w:r w:rsidR="00C40619">
          <w:rPr>
            <w:noProof/>
            <w:webHidden/>
          </w:rPr>
          <w:fldChar w:fldCharType="begin"/>
        </w:r>
        <w:r w:rsidR="00C40619">
          <w:rPr>
            <w:noProof/>
            <w:webHidden/>
          </w:rPr>
          <w:instrText xml:space="preserve"> PAGEREF _Toc517797123 \h </w:instrText>
        </w:r>
        <w:r w:rsidR="00C40619">
          <w:rPr>
            <w:noProof/>
            <w:webHidden/>
          </w:rPr>
        </w:r>
        <w:r w:rsidR="00C40619">
          <w:rPr>
            <w:noProof/>
            <w:webHidden/>
          </w:rPr>
          <w:fldChar w:fldCharType="separate"/>
        </w:r>
        <w:r w:rsidR="00402074">
          <w:rPr>
            <w:noProof/>
            <w:webHidden/>
          </w:rPr>
          <w:t>605</w:t>
        </w:r>
        <w:r w:rsidR="00C40619">
          <w:rPr>
            <w:noProof/>
            <w:webHidden/>
          </w:rPr>
          <w:fldChar w:fldCharType="end"/>
        </w:r>
      </w:hyperlink>
    </w:p>
    <w:p w14:paraId="5978F5D4" w14:textId="280C1799" w:rsidR="00C40619" w:rsidRDefault="00E84199">
      <w:pPr>
        <w:pStyle w:val="TOC2"/>
        <w:rPr>
          <w:rFonts w:asciiTheme="minorHAnsi" w:eastAsiaTheme="minorEastAsia" w:hAnsiTheme="minorHAnsi" w:cstheme="minorBidi"/>
          <w:b w:val="0"/>
          <w:bCs w:val="0"/>
          <w:noProof/>
          <w:szCs w:val="22"/>
          <w:lang w:val="es-CO" w:eastAsia="es-CO"/>
        </w:rPr>
      </w:pPr>
      <w:hyperlink w:anchor="_Toc517797124" w:history="1">
        <w:r w:rsidR="00C40619" w:rsidRPr="009627DF">
          <w:rPr>
            <w:rStyle w:val="Hyperlink"/>
            <w:noProof/>
            <w:lang w:val="en-AU" w:eastAsia="ja-JP"/>
            <w14:scene3d>
              <w14:camera w14:prst="orthographicFront"/>
              <w14:lightRig w14:rig="threePt" w14:dir="t">
                <w14:rot w14:lat="0" w14:lon="0" w14:rev="0"/>
              </w14:lightRig>
            </w14:scene3d>
          </w:rPr>
          <w:t>5.8</w:t>
        </w:r>
        <w:r w:rsidR="00C40619">
          <w:rPr>
            <w:rFonts w:asciiTheme="minorHAnsi" w:eastAsiaTheme="minorEastAsia" w:hAnsiTheme="minorHAnsi" w:cstheme="minorBidi"/>
            <w:b w:val="0"/>
            <w:bCs w:val="0"/>
            <w:noProof/>
            <w:szCs w:val="22"/>
            <w:lang w:val="es-CO" w:eastAsia="es-CO"/>
          </w:rPr>
          <w:tab/>
        </w:r>
        <w:r w:rsidR="00C40619" w:rsidRPr="009627DF">
          <w:rPr>
            <w:rStyle w:val="Hyperlink"/>
            <w:noProof/>
          </w:rPr>
          <w:t>References</w:t>
        </w:r>
        <w:r w:rsidR="00C40619">
          <w:rPr>
            <w:noProof/>
            <w:webHidden/>
          </w:rPr>
          <w:tab/>
        </w:r>
        <w:r w:rsidR="00C40619">
          <w:rPr>
            <w:noProof/>
            <w:webHidden/>
          </w:rPr>
          <w:fldChar w:fldCharType="begin"/>
        </w:r>
        <w:r w:rsidR="00C40619">
          <w:rPr>
            <w:noProof/>
            <w:webHidden/>
          </w:rPr>
          <w:instrText xml:space="preserve"> PAGEREF _Toc517797124 \h </w:instrText>
        </w:r>
        <w:r w:rsidR="00C40619">
          <w:rPr>
            <w:noProof/>
            <w:webHidden/>
          </w:rPr>
        </w:r>
        <w:r w:rsidR="00C40619">
          <w:rPr>
            <w:noProof/>
            <w:webHidden/>
          </w:rPr>
          <w:fldChar w:fldCharType="separate"/>
        </w:r>
        <w:r w:rsidR="00402074">
          <w:rPr>
            <w:noProof/>
            <w:webHidden/>
          </w:rPr>
          <w:t>607</w:t>
        </w:r>
        <w:r w:rsidR="00C40619">
          <w:rPr>
            <w:noProof/>
            <w:webHidden/>
          </w:rPr>
          <w:fldChar w:fldCharType="end"/>
        </w:r>
      </w:hyperlink>
    </w:p>
    <w:p w14:paraId="22F3B684" w14:textId="1DDCDD72" w:rsidR="004C511B" w:rsidRPr="008608AA" w:rsidRDefault="004C511B" w:rsidP="00735D6C">
      <w:pPr>
        <w:tabs>
          <w:tab w:val="left" w:pos="4082"/>
        </w:tabs>
        <w:rPr>
          <w:b/>
          <w:sz w:val="28"/>
        </w:rPr>
      </w:pPr>
      <w:r w:rsidRPr="008608AA">
        <w:rPr>
          <w:b/>
          <w:sz w:val="28"/>
        </w:rPr>
        <w:fldChar w:fldCharType="end"/>
      </w:r>
    </w:p>
    <w:p w14:paraId="7AADA723" w14:textId="3EF52BF6" w:rsidR="004C511B" w:rsidRPr="008608AA" w:rsidRDefault="004C511B" w:rsidP="00735D6C">
      <w:pPr>
        <w:tabs>
          <w:tab w:val="left" w:pos="4082"/>
        </w:tabs>
        <w:rPr>
          <w:b/>
          <w:sz w:val="28"/>
        </w:rPr>
      </w:pPr>
      <w:r w:rsidRPr="008608AA">
        <w:rPr>
          <w:b/>
          <w:sz w:val="28"/>
        </w:rPr>
        <w:br w:type="page"/>
      </w:r>
    </w:p>
    <w:p w14:paraId="166AFD1D" w14:textId="67F79E18" w:rsidR="00490494" w:rsidRPr="008608AA" w:rsidRDefault="007356A6" w:rsidP="0042035C">
      <w:pPr>
        <w:pStyle w:val="Heading2"/>
      </w:pPr>
      <w:bookmarkStart w:id="1838" w:name="_Toc466995069"/>
      <w:bookmarkStart w:id="1839" w:name="_Toc472342757"/>
      <w:bookmarkStart w:id="1840" w:name="_Toc482711160"/>
      <w:bookmarkStart w:id="1841" w:name="_Toc499256881"/>
      <w:bookmarkStart w:id="1842" w:name="_Toc502953628"/>
      <w:bookmarkStart w:id="1843" w:name="_Toc502954921"/>
      <w:bookmarkStart w:id="1844" w:name="_Toc502957728"/>
      <w:bookmarkStart w:id="1845" w:name="_Toc502957927"/>
      <w:bookmarkStart w:id="1846" w:name="_Toc502958081"/>
      <w:bookmarkStart w:id="1847" w:name="_Toc503293150"/>
      <w:bookmarkStart w:id="1848" w:name="_Toc503293748"/>
      <w:bookmarkStart w:id="1849" w:name="_Toc503294010"/>
      <w:bookmarkStart w:id="1850" w:name="_Toc503863403"/>
      <w:bookmarkStart w:id="1851" w:name="_Toc503863631"/>
      <w:bookmarkStart w:id="1852" w:name="_Toc517393397"/>
      <w:bookmarkStart w:id="1853" w:name="_Toc517719138"/>
      <w:bookmarkStart w:id="1854" w:name="_Toc517797095"/>
      <w:bookmarkEnd w:id="1838"/>
      <w:r w:rsidRPr="008608AA">
        <w:t>Executive s</w:t>
      </w:r>
      <w:r w:rsidR="00490494" w:rsidRPr="008608AA">
        <w:t>ummary</w:t>
      </w:r>
      <w:bookmarkStart w:id="1855" w:name="_Toc430291110"/>
      <w:bookmarkStart w:id="1856" w:name="_Toc430291748"/>
      <w:bookmarkStart w:id="1857" w:name="_Toc430292669"/>
      <w:bookmarkStart w:id="1858" w:name="_Toc466995070"/>
      <w:bookmarkStart w:id="1859" w:name="_Toc47234275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p>
    <w:p w14:paraId="217CF1DE" w14:textId="5E6EBF87" w:rsidR="00490494" w:rsidRPr="008608AA" w:rsidRDefault="007356A6" w:rsidP="00937445">
      <w:pPr>
        <w:pStyle w:val="ListParagraph"/>
        <w:numPr>
          <w:ilvl w:val="3"/>
          <w:numId w:val="42"/>
        </w:numPr>
        <w:spacing w:line="23" w:lineRule="atLeast"/>
        <w:ind w:left="360"/>
        <w:rPr>
          <w:sz w:val="24"/>
          <w:szCs w:val="24"/>
        </w:rPr>
      </w:pPr>
      <w:r w:rsidRPr="008608AA">
        <w:rPr>
          <w:b/>
          <w:sz w:val="24"/>
          <w:szCs w:val="24"/>
        </w:rPr>
        <w:t>One hundred per cent</w:t>
      </w:r>
      <w:r w:rsidR="00490494" w:rsidRPr="008608AA">
        <w:rPr>
          <w:b/>
          <w:sz w:val="24"/>
          <w:szCs w:val="24"/>
        </w:rPr>
        <w:t xml:space="preserve"> of the natural units of analysis will continue to be negatively affected, with a concomitant decrease in </w:t>
      </w:r>
      <w:r w:rsidRPr="008608AA">
        <w:rPr>
          <w:b/>
          <w:sz w:val="24"/>
          <w:szCs w:val="24"/>
        </w:rPr>
        <w:t>nature’s contributions to people</w:t>
      </w:r>
      <w:r w:rsidR="00490494" w:rsidRPr="008608AA">
        <w:rPr>
          <w:b/>
          <w:sz w:val="24"/>
          <w:szCs w:val="24"/>
        </w:rPr>
        <w:t>, given current trends (business as usual), though the magnitude and exact mechanism of the individual drivers will vary by driver and unit of analysis</w:t>
      </w:r>
      <w:r w:rsidR="00490494" w:rsidRPr="008608AA">
        <w:rPr>
          <w:sz w:val="24"/>
          <w:szCs w:val="24"/>
        </w:rPr>
        <w:t xml:space="preserve"> (e</w:t>
      </w:r>
      <w:r w:rsidR="00490494" w:rsidRPr="008608AA">
        <w:rPr>
          <w:i/>
          <w:sz w:val="24"/>
          <w:szCs w:val="24"/>
        </w:rPr>
        <w:t>stablished but incomplete)</w:t>
      </w:r>
      <w:r w:rsidR="00490494" w:rsidRPr="008608AA">
        <w:rPr>
          <w:sz w:val="24"/>
          <w:szCs w:val="24"/>
        </w:rPr>
        <w:t xml:space="preserve">{5.4}. </w:t>
      </w:r>
      <w:r w:rsidRPr="008608AA">
        <w:rPr>
          <w:sz w:val="24"/>
          <w:szCs w:val="24"/>
        </w:rPr>
        <w:t xml:space="preserve">For example, tropical </w:t>
      </w:r>
      <w:r w:rsidR="00D06876" w:rsidRPr="008608AA">
        <w:rPr>
          <w:sz w:val="24"/>
          <w:szCs w:val="24"/>
        </w:rPr>
        <w:t>moist</w:t>
      </w:r>
      <w:r w:rsidRPr="008608AA">
        <w:rPr>
          <w:sz w:val="24"/>
          <w:szCs w:val="24"/>
        </w:rPr>
        <w:t xml:space="preserve"> and dry forest and coastal m</w:t>
      </w:r>
      <w:r w:rsidR="00490494" w:rsidRPr="008608AA">
        <w:rPr>
          <w:sz w:val="24"/>
          <w:szCs w:val="24"/>
        </w:rPr>
        <w:t xml:space="preserve">angroves will continue to exhibit a decline due to land use change regardless of the scenarios considered, but different local factors (agriculturalization and urbanization, respectively) will be involved </w:t>
      </w:r>
      <w:r w:rsidR="00490494" w:rsidRPr="008608AA">
        <w:rPr>
          <w:i/>
          <w:sz w:val="24"/>
          <w:szCs w:val="24"/>
        </w:rPr>
        <w:t>(well established)</w:t>
      </w:r>
      <w:r w:rsidR="00490494" w:rsidRPr="008608AA">
        <w:rPr>
          <w:sz w:val="24"/>
          <w:szCs w:val="24"/>
        </w:rPr>
        <w:t xml:space="preserve"> {5.4.1, 5.4.11}. Additionally, some drivers will affect units of analysis differently. Empirical evidence indicates different</w:t>
      </w:r>
      <w:r w:rsidRPr="008608AA">
        <w:rPr>
          <w:sz w:val="24"/>
          <w:szCs w:val="24"/>
        </w:rPr>
        <w:t>ial effects of climate change: boreal f</w:t>
      </w:r>
      <w:r w:rsidR="00490494" w:rsidRPr="008608AA">
        <w:rPr>
          <w:sz w:val="24"/>
          <w:szCs w:val="24"/>
        </w:rPr>
        <w:t xml:space="preserve">orest is extending northward </w:t>
      </w:r>
      <w:r w:rsidR="00DA396A" w:rsidRPr="008608AA">
        <w:rPr>
          <w:sz w:val="24"/>
          <w:szCs w:val="24"/>
        </w:rPr>
        <w:t>{5.4.2}</w:t>
      </w:r>
      <w:r w:rsidRPr="008608AA">
        <w:rPr>
          <w:sz w:val="24"/>
          <w:szCs w:val="24"/>
        </w:rPr>
        <w:t>, while t</w:t>
      </w:r>
      <w:r w:rsidR="00490494" w:rsidRPr="008608AA">
        <w:rPr>
          <w:sz w:val="24"/>
          <w:szCs w:val="24"/>
        </w:rPr>
        <w:t xml:space="preserve">undra is diminishing in land area </w:t>
      </w:r>
      <w:r w:rsidR="00DA396A" w:rsidRPr="008608AA">
        <w:rPr>
          <w:i/>
          <w:sz w:val="24"/>
          <w:szCs w:val="24"/>
        </w:rPr>
        <w:t>(established but incomplete)</w:t>
      </w:r>
      <w:r w:rsidR="00DA396A" w:rsidRPr="008608AA">
        <w:rPr>
          <w:sz w:val="24"/>
          <w:szCs w:val="24"/>
        </w:rPr>
        <w:t xml:space="preserve"> {</w:t>
      </w:r>
      <w:r w:rsidR="00490494" w:rsidRPr="008608AA">
        <w:rPr>
          <w:sz w:val="24"/>
          <w:szCs w:val="24"/>
        </w:rPr>
        <w:t>5.4.3}</w:t>
      </w:r>
      <w:r w:rsidR="00490494" w:rsidRPr="008608AA">
        <w:rPr>
          <w:i/>
          <w:sz w:val="24"/>
          <w:szCs w:val="24"/>
        </w:rPr>
        <w:t>.</w:t>
      </w:r>
      <w:r w:rsidR="00490494" w:rsidRPr="008608AA">
        <w:rPr>
          <w:sz w:val="24"/>
          <w:szCs w:val="24"/>
        </w:rPr>
        <w:t xml:space="preserve"> Thus, some drivers, and their relative roles, will need to be further refined on a local scale and with respect to their proximate factors.</w:t>
      </w:r>
    </w:p>
    <w:p w14:paraId="6C624BF0" w14:textId="77777777" w:rsidR="007356A6" w:rsidRPr="008608AA" w:rsidRDefault="007356A6" w:rsidP="0042035C">
      <w:pPr>
        <w:spacing w:line="23" w:lineRule="atLeast"/>
      </w:pPr>
    </w:p>
    <w:p w14:paraId="51578B31" w14:textId="342329BB" w:rsidR="00490494" w:rsidRPr="008608AA" w:rsidRDefault="00490494" w:rsidP="00937445">
      <w:pPr>
        <w:pStyle w:val="ListParagraph"/>
        <w:numPr>
          <w:ilvl w:val="3"/>
          <w:numId w:val="42"/>
        </w:numPr>
        <w:suppressAutoHyphens/>
        <w:spacing w:line="23" w:lineRule="atLeast"/>
        <w:ind w:left="360"/>
        <w:rPr>
          <w:sz w:val="24"/>
          <w:szCs w:val="24"/>
          <w:lang w:eastAsia="es-ES_tradnl"/>
        </w:rPr>
      </w:pPr>
      <w:r w:rsidRPr="008608AA">
        <w:rPr>
          <w:b/>
          <w:sz w:val="24"/>
          <w:szCs w:val="24"/>
        </w:rPr>
        <w:t xml:space="preserve">Multiple drivers will act in synergy and further produce biodiversity loss and impact </w:t>
      </w:r>
      <w:r w:rsidR="007356A6" w:rsidRPr="008608AA">
        <w:rPr>
          <w:b/>
          <w:sz w:val="24"/>
          <w:szCs w:val="24"/>
        </w:rPr>
        <w:t xml:space="preserve">nature’s contributions to people </w:t>
      </w:r>
      <w:r w:rsidRPr="008608AA">
        <w:rPr>
          <w:b/>
          <w:sz w:val="24"/>
          <w:szCs w:val="24"/>
        </w:rPr>
        <w:t xml:space="preserve">in most of the units of analysis for the Americas </w:t>
      </w:r>
      <w:r w:rsidR="00DA396A" w:rsidRPr="008608AA">
        <w:rPr>
          <w:i/>
          <w:sz w:val="24"/>
          <w:szCs w:val="24"/>
          <w:lang w:eastAsia="es-ES_tradnl"/>
        </w:rPr>
        <w:t>(e</w:t>
      </w:r>
      <w:r w:rsidRPr="008608AA">
        <w:rPr>
          <w:i/>
          <w:sz w:val="24"/>
          <w:szCs w:val="24"/>
          <w:lang w:eastAsia="es-ES_tradnl"/>
        </w:rPr>
        <w:t>stablished but incomplete</w:t>
      </w:r>
      <w:r w:rsidR="00DA396A" w:rsidRPr="008608AA">
        <w:rPr>
          <w:sz w:val="24"/>
          <w:szCs w:val="24"/>
          <w:lang w:eastAsia="es-ES_tradnl"/>
        </w:rPr>
        <w:t>){</w:t>
      </w:r>
      <w:r w:rsidRPr="008608AA">
        <w:rPr>
          <w:sz w:val="24"/>
          <w:szCs w:val="24"/>
          <w:lang w:eastAsia="es-ES_tradnl"/>
        </w:rPr>
        <w:t>5.4</w:t>
      </w:r>
      <w:r w:rsidR="00DA396A" w:rsidRPr="008608AA">
        <w:rPr>
          <w:sz w:val="24"/>
          <w:szCs w:val="24"/>
          <w:lang w:eastAsia="es-ES_tradnl"/>
        </w:rPr>
        <w:t>}</w:t>
      </w:r>
      <w:r w:rsidRPr="008608AA">
        <w:rPr>
          <w:sz w:val="24"/>
          <w:szCs w:val="24"/>
          <w:lang w:eastAsia="es-ES_tradnl"/>
        </w:rPr>
        <w:t xml:space="preserve">. Climate change, combined with other drivers, is predicted to account for an increasingly larger proportion of biodiversity loss in the future, in both terrestrial and aquatic ecosystems </w:t>
      </w:r>
      <w:r w:rsidR="00DA396A" w:rsidRPr="008608AA">
        <w:rPr>
          <w:sz w:val="24"/>
          <w:szCs w:val="24"/>
          <w:lang w:eastAsia="es-ES_tradnl"/>
        </w:rPr>
        <w:t>{5.3}</w:t>
      </w:r>
      <w:r w:rsidRPr="008608AA">
        <w:rPr>
          <w:sz w:val="24"/>
          <w:szCs w:val="24"/>
          <w:lang w:eastAsia="es-ES_tradnl"/>
        </w:rPr>
        <w:t xml:space="preserve">. Forest fragmentation, climate change and industrial development increase risk of biodiversity and </w:t>
      </w:r>
      <w:r w:rsidR="007356A6" w:rsidRPr="008608AA">
        <w:rPr>
          <w:sz w:val="24"/>
          <w:szCs w:val="24"/>
          <w:lang w:eastAsia="es-ES_tradnl"/>
        </w:rPr>
        <w:t>nature’s contributions to people</w:t>
      </w:r>
      <w:r w:rsidRPr="008608AA">
        <w:rPr>
          <w:sz w:val="24"/>
          <w:szCs w:val="24"/>
          <w:lang w:eastAsia="es-ES_tradnl"/>
        </w:rPr>
        <w:t xml:space="preserve"> loss i.e. dry forest unit </w:t>
      </w:r>
      <w:r w:rsidR="00DA396A" w:rsidRPr="008608AA">
        <w:rPr>
          <w:sz w:val="24"/>
          <w:szCs w:val="24"/>
          <w:lang w:eastAsia="es-ES_tradnl"/>
        </w:rPr>
        <w:t>of analysis {5.4.1.2}</w:t>
      </w:r>
      <w:r w:rsidRPr="008608AA">
        <w:rPr>
          <w:sz w:val="24"/>
          <w:szCs w:val="24"/>
          <w:lang w:eastAsia="es-ES_tradnl"/>
        </w:rPr>
        <w:t>. Predictions on invasive species and climate change indicates an increase in habitable areas and their potential impacts on different units</w:t>
      </w:r>
      <w:r w:rsidR="00DA396A" w:rsidRPr="008608AA">
        <w:rPr>
          <w:sz w:val="24"/>
          <w:szCs w:val="24"/>
          <w:lang w:eastAsia="es-ES_tradnl"/>
        </w:rPr>
        <w:t xml:space="preserve"> of analysis {5.3}</w:t>
      </w:r>
      <w:r w:rsidRPr="008608AA">
        <w:rPr>
          <w:sz w:val="24"/>
          <w:szCs w:val="24"/>
          <w:lang w:eastAsia="es-ES_tradnl"/>
        </w:rPr>
        <w:t>.</w:t>
      </w:r>
    </w:p>
    <w:p w14:paraId="11ED951B" w14:textId="77777777" w:rsidR="007356A6" w:rsidRPr="008608AA" w:rsidRDefault="007356A6" w:rsidP="0042035C">
      <w:pPr>
        <w:suppressAutoHyphens/>
        <w:spacing w:line="23" w:lineRule="atLeast"/>
        <w:rPr>
          <w:lang w:eastAsia="es-ES_tradnl"/>
        </w:rPr>
      </w:pPr>
    </w:p>
    <w:p w14:paraId="2683C3D3" w14:textId="00049C7C" w:rsidR="00490494" w:rsidRPr="008608AA" w:rsidRDefault="00490494" w:rsidP="00937445">
      <w:pPr>
        <w:pStyle w:val="ListParagraph"/>
        <w:numPr>
          <w:ilvl w:val="3"/>
          <w:numId w:val="42"/>
        </w:numPr>
        <w:spacing w:line="23" w:lineRule="atLeast"/>
        <w:ind w:left="360"/>
        <w:rPr>
          <w:sz w:val="24"/>
          <w:szCs w:val="24"/>
        </w:rPr>
      </w:pPr>
      <w:r w:rsidRPr="008608AA">
        <w:rPr>
          <w:b/>
          <w:sz w:val="24"/>
          <w:szCs w:val="24"/>
        </w:rPr>
        <w:t xml:space="preserve">Changes in temperature, precipitation regime and extreme climate events are predicted to impact all units of analysis in the Americas </w:t>
      </w:r>
      <w:r w:rsidR="00DA396A" w:rsidRPr="008608AA">
        <w:rPr>
          <w:i/>
          <w:sz w:val="24"/>
          <w:szCs w:val="24"/>
        </w:rPr>
        <w:t xml:space="preserve">(well established) </w:t>
      </w:r>
      <w:r w:rsidR="00DA396A" w:rsidRPr="008608AA">
        <w:rPr>
          <w:sz w:val="24"/>
          <w:szCs w:val="24"/>
        </w:rPr>
        <w:t>{</w:t>
      </w:r>
      <w:r w:rsidRPr="008608AA">
        <w:rPr>
          <w:sz w:val="24"/>
          <w:szCs w:val="24"/>
        </w:rPr>
        <w:t>5.4</w:t>
      </w:r>
      <w:r w:rsidR="00DA396A" w:rsidRPr="008608AA">
        <w:rPr>
          <w:sz w:val="24"/>
          <w:szCs w:val="24"/>
        </w:rPr>
        <w:t>}</w:t>
      </w:r>
      <w:r w:rsidRPr="008608AA">
        <w:rPr>
          <w:sz w:val="24"/>
          <w:szCs w:val="24"/>
        </w:rPr>
        <w:t xml:space="preserve">.  Climate change and the potential impacts on tropical dry forests by changing the frequency of wildfires; change in forest structure and functional composition in the Amazon tropical moist forest; extreme drought events changing </w:t>
      </w:r>
      <w:r w:rsidR="007356A6" w:rsidRPr="008608AA">
        <w:rPr>
          <w:sz w:val="24"/>
          <w:szCs w:val="24"/>
          <w:lang w:eastAsia="es-ES_tradnl"/>
        </w:rPr>
        <w:t xml:space="preserve">nature’s contributions to people </w:t>
      </w:r>
      <w:r w:rsidRPr="008608AA">
        <w:rPr>
          <w:sz w:val="24"/>
          <w:szCs w:val="24"/>
        </w:rPr>
        <w:t xml:space="preserve">in the Amazon region; insect outbreaks and changes in albedo are predicted to significantly impact temperate, boreal and tundra units of analysis, affecting society and indigenous communities and well-being </w:t>
      </w:r>
      <w:r w:rsidR="00DA396A" w:rsidRPr="008608AA">
        <w:rPr>
          <w:sz w:val="24"/>
          <w:szCs w:val="24"/>
        </w:rPr>
        <w:t xml:space="preserve">{5.4}. </w:t>
      </w:r>
    </w:p>
    <w:p w14:paraId="1624E4EC" w14:textId="77777777" w:rsidR="007356A6" w:rsidRPr="008608AA" w:rsidRDefault="007356A6" w:rsidP="0042035C">
      <w:pPr>
        <w:suppressAutoHyphens/>
        <w:rPr>
          <w:b/>
        </w:rPr>
      </w:pPr>
    </w:p>
    <w:p w14:paraId="648FE2C4" w14:textId="0ACFB72D" w:rsidR="007356A6" w:rsidRPr="008608AA" w:rsidRDefault="00490494" w:rsidP="00937445">
      <w:pPr>
        <w:pStyle w:val="ListParagraph"/>
        <w:numPr>
          <w:ilvl w:val="3"/>
          <w:numId w:val="42"/>
        </w:numPr>
        <w:suppressAutoHyphens/>
        <w:ind w:left="360"/>
        <w:rPr>
          <w:sz w:val="24"/>
          <w:szCs w:val="24"/>
        </w:rPr>
      </w:pPr>
      <w:r w:rsidRPr="008608AA">
        <w:rPr>
          <w:b/>
          <w:sz w:val="24"/>
          <w:szCs w:val="24"/>
        </w:rPr>
        <w:t xml:space="preserve">Thresholds, or tipping points (conditions resulting in rapid and potentially irreversible changes) may have already been exceeded for some ecosystems and are likely for others </w:t>
      </w:r>
      <w:r w:rsidR="00DA396A" w:rsidRPr="008608AA">
        <w:rPr>
          <w:i/>
          <w:sz w:val="24"/>
          <w:szCs w:val="24"/>
        </w:rPr>
        <w:t>(</w:t>
      </w:r>
      <w:r w:rsidR="00102C3A" w:rsidRPr="008608AA">
        <w:rPr>
          <w:i/>
          <w:sz w:val="24"/>
          <w:szCs w:val="24"/>
        </w:rPr>
        <w:t>established but incomplete</w:t>
      </w:r>
      <w:r w:rsidR="00DA396A" w:rsidRPr="008608AA">
        <w:rPr>
          <w:i/>
          <w:sz w:val="24"/>
          <w:szCs w:val="24"/>
        </w:rPr>
        <w:t>)</w:t>
      </w:r>
      <w:r w:rsidRPr="008608AA">
        <w:rPr>
          <w:i/>
          <w:sz w:val="24"/>
          <w:szCs w:val="24"/>
        </w:rPr>
        <w:t>.</w:t>
      </w:r>
      <w:r w:rsidRPr="008608AA">
        <w:rPr>
          <w:sz w:val="24"/>
          <w:szCs w:val="24"/>
        </w:rPr>
        <w:t xml:space="preserve"> For instance, it is considered more likely than not that such a threshold has already been passed in the cryosphere with respect to summer sea ice </w:t>
      </w:r>
      <w:r w:rsidR="00747153" w:rsidRPr="008608AA">
        <w:rPr>
          <w:sz w:val="24"/>
          <w:szCs w:val="24"/>
        </w:rPr>
        <w:t>(</w:t>
      </w:r>
      <w:r w:rsidR="00102C3A" w:rsidRPr="008608AA">
        <w:rPr>
          <w:i/>
          <w:sz w:val="24"/>
          <w:szCs w:val="24"/>
        </w:rPr>
        <w:t>established but incomplete</w:t>
      </w:r>
      <w:r w:rsidR="00DA396A" w:rsidRPr="008608AA">
        <w:rPr>
          <w:sz w:val="24"/>
          <w:szCs w:val="24"/>
        </w:rPr>
        <w:t xml:space="preserve">) </w:t>
      </w:r>
      <w:r w:rsidRPr="008608AA">
        <w:rPr>
          <w:sz w:val="24"/>
          <w:szCs w:val="24"/>
        </w:rPr>
        <w:t xml:space="preserve"> </w:t>
      </w:r>
      <w:r w:rsidR="00DA396A" w:rsidRPr="008608AA">
        <w:rPr>
          <w:sz w:val="24"/>
          <w:szCs w:val="24"/>
        </w:rPr>
        <w:t>{5.4.12}</w:t>
      </w:r>
      <w:r w:rsidRPr="008608AA">
        <w:rPr>
          <w:sz w:val="24"/>
          <w:szCs w:val="24"/>
        </w:rPr>
        <w:t>. Model simulations indicate changes in forest structure and species distribution in the Amazon forest in response to global warming and change in precipitati</w:t>
      </w:r>
      <w:r w:rsidR="00DA396A" w:rsidRPr="008608AA">
        <w:rPr>
          <w:sz w:val="24"/>
          <w:szCs w:val="24"/>
        </w:rPr>
        <w:t xml:space="preserve">on patterns (forest die-back) </w:t>
      </w:r>
      <w:r w:rsidR="00DA396A" w:rsidRPr="008608AA">
        <w:rPr>
          <w:i/>
          <w:sz w:val="24"/>
          <w:szCs w:val="24"/>
        </w:rPr>
        <w:t>(established but i</w:t>
      </w:r>
      <w:r w:rsidRPr="008608AA">
        <w:rPr>
          <w:i/>
          <w:sz w:val="24"/>
          <w:szCs w:val="24"/>
        </w:rPr>
        <w:t>ncomplete</w:t>
      </w:r>
      <w:r w:rsidR="00DA396A" w:rsidRPr="008608AA">
        <w:rPr>
          <w:i/>
          <w:sz w:val="24"/>
          <w:szCs w:val="24"/>
        </w:rPr>
        <w:t>)</w:t>
      </w:r>
      <w:r w:rsidR="00DA396A" w:rsidRPr="008608AA">
        <w:rPr>
          <w:sz w:val="24"/>
          <w:szCs w:val="24"/>
        </w:rPr>
        <w:t xml:space="preserve"> {5.4.1}</w:t>
      </w:r>
      <w:r w:rsidRPr="008608AA">
        <w:rPr>
          <w:sz w:val="24"/>
          <w:szCs w:val="24"/>
        </w:rPr>
        <w:t>. So too, a 4</w:t>
      </w:r>
      <w:r w:rsidRPr="008608AA">
        <w:rPr>
          <w:sz w:val="24"/>
          <w:szCs w:val="24"/>
          <w:vertAlign w:val="superscript"/>
        </w:rPr>
        <w:t>o</w:t>
      </w:r>
      <w:r w:rsidRPr="008608AA">
        <w:rPr>
          <w:sz w:val="24"/>
          <w:szCs w:val="24"/>
        </w:rPr>
        <w:t xml:space="preserve">C increase in global temperatures is predicted to likely cause widespread die off of boreal forest due to greater susceptibility to disease </w:t>
      </w:r>
      <w:r w:rsidR="00DA396A" w:rsidRPr="008608AA">
        <w:rPr>
          <w:sz w:val="24"/>
          <w:szCs w:val="24"/>
        </w:rPr>
        <w:t>{5.4.2}</w:t>
      </w:r>
      <w:r w:rsidRPr="008608AA">
        <w:rPr>
          <w:sz w:val="24"/>
          <w:szCs w:val="24"/>
        </w:rPr>
        <w:t xml:space="preserve"> and global temperature increases may have already started persistent tha</w:t>
      </w:r>
      <w:r w:rsidR="00DA396A" w:rsidRPr="008608AA">
        <w:rPr>
          <w:sz w:val="24"/>
          <w:szCs w:val="24"/>
        </w:rPr>
        <w:t>wing of the permafrost {5.4.3}</w:t>
      </w:r>
      <w:r w:rsidRPr="008608AA">
        <w:rPr>
          <w:sz w:val="24"/>
          <w:szCs w:val="24"/>
        </w:rPr>
        <w:t>. Under 4°C warming, widespread coral reef mortality is expected with significant impacts on</w:t>
      </w:r>
      <w:r w:rsidR="00DA396A" w:rsidRPr="008608AA">
        <w:rPr>
          <w:sz w:val="24"/>
          <w:szCs w:val="24"/>
        </w:rPr>
        <w:t xml:space="preserve"> coral reef ecosystems {5.4.11}</w:t>
      </w:r>
      <w:r w:rsidRPr="008608AA">
        <w:rPr>
          <w:sz w:val="24"/>
          <w:szCs w:val="24"/>
        </w:rPr>
        <w:t xml:space="preserve">. Sea surface water temperature increase will cause a reduction of sea grass climatic niche: those populations under </w:t>
      </w:r>
      <w:r w:rsidRPr="008608AA">
        <w:rPr>
          <w:rFonts w:eastAsia="Droid Sans Fallback"/>
          <w:sz w:val="24"/>
          <w:szCs w:val="24"/>
        </w:rPr>
        <w:t xml:space="preserve">seawater surface temperature </w:t>
      </w:r>
      <w:r w:rsidRPr="008608AA">
        <w:rPr>
          <w:sz w:val="24"/>
          <w:szCs w:val="24"/>
        </w:rPr>
        <w:t>thresholds higher than the temperature ranges required by the species could become extinct by 2100 with concomitant loss of ecosystem services.</w:t>
      </w:r>
    </w:p>
    <w:p w14:paraId="27FC3425" w14:textId="5DC861C6" w:rsidR="00490494" w:rsidRPr="008608AA" w:rsidRDefault="00490494" w:rsidP="0042035C">
      <w:pPr>
        <w:suppressAutoHyphens/>
        <w:ind w:left="-2520" w:firstLine="120"/>
        <w:rPr>
          <w:i/>
        </w:rPr>
      </w:pPr>
    </w:p>
    <w:p w14:paraId="116935A7" w14:textId="6B5BC4B7" w:rsidR="00490494" w:rsidRPr="008608AA" w:rsidRDefault="00490494" w:rsidP="00937445">
      <w:pPr>
        <w:pStyle w:val="ListParagraph"/>
        <w:numPr>
          <w:ilvl w:val="3"/>
          <w:numId w:val="42"/>
        </w:numPr>
        <w:spacing w:line="23" w:lineRule="atLeast"/>
        <w:ind w:left="360"/>
        <w:rPr>
          <w:bCs/>
          <w:sz w:val="24"/>
          <w:szCs w:val="24"/>
          <w:lang w:eastAsia="en-GB"/>
        </w:rPr>
      </w:pPr>
      <w:r w:rsidRPr="008608AA">
        <w:rPr>
          <w:b/>
          <w:bCs/>
          <w:sz w:val="24"/>
          <w:szCs w:val="24"/>
          <w:lang w:eastAsia="en-GB"/>
        </w:rPr>
        <w:t xml:space="preserve">Changes in nature and </w:t>
      </w:r>
      <w:r w:rsidR="007356A6" w:rsidRPr="008608AA">
        <w:rPr>
          <w:b/>
          <w:sz w:val="24"/>
          <w:szCs w:val="24"/>
          <w:lang w:eastAsia="es-ES_tradnl"/>
        </w:rPr>
        <w:t xml:space="preserve">nature’s contributions to people </w:t>
      </w:r>
      <w:r w:rsidRPr="008608AA">
        <w:rPr>
          <w:b/>
          <w:bCs/>
          <w:sz w:val="24"/>
          <w:szCs w:val="24"/>
          <w:lang w:eastAsia="en-GB"/>
        </w:rPr>
        <w:t xml:space="preserve">in most units of analysis are increasingly driven by causal interactions between distant places (i.e. telecouplings) </w:t>
      </w:r>
      <w:r w:rsidR="00DA396A" w:rsidRPr="008608AA">
        <w:rPr>
          <w:b/>
          <w:bCs/>
          <w:i/>
          <w:sz w:val="24"/>
          <w:szCs w:val="24"/>
          <w:lang w:eastAsia="en-GB"/>
        </w:rPr>
        <w:t>(w</w:t>
      </w:r>
      <w:r w:rsidR="00CD61F3" w:rsidRPr="008608AA">
        <w:rPr>
          <w:b/>
          <w:bCs/>
          <w:i/>
          <w:sz w:val="24"/>
          <w:szCs w:val="24"/>
          <w:lang w:eastAsia="en-GB"/>
        </w:rPr>
        <w:t xml:space="preserve">ell </w:t>
      </w:r>
      <w:r w:rsidRPr="008608AA">
        <w:rPr>
          <w:b/>
          <w:bCs/>
          <w:i/>
          <w:sz w:val="24"/>
          <w:szCs w:val="24"/>
          <w:lang w:eastAsia="en-GB"/>
        </w:rPr>
        <w:t>established</w:t>
      </w:r>
      <w:r w:rsidR="00DA396A" w:rsidRPr="008608AA">
        <w:rPr>
          <w:b/>
          <w:bCs/>
          <w:i/>
          <w:sz w:val="24"/>
          <w:szCs w:val="24"/>
          <w:lang w:eastAsia="en-GB"/>
        </w:rPr>
        <w:t xml:space="preserve">) </w:t>
      </w:r>
      <w:r w:rsidR="00DA396A" w:rsidRPr="008608AA">
        <w:rPr>
          <w:b/>
          <w:bCs/>
          <w:sz w:val="24"/>
          <w:szCs w:val="24"/>
          <w:lang w:eastAsia="en-GB"/>
        </w:rPr>
        <w:t>{5.6.3}</w:t>
      </w:r>
      <w:r w:rsidRPr="008608AA">
        <w:rPr>
          <w:b/>
          <w:bCs/>
          <w:sz w:val="24"/>
          <w:szCs w:val="24"/>
          <w:lang w:eastAsia="en-GB"/>
        </w:rPr>
        <w:t xml:space="preserve">, thus scenarios and models that incorporate telecouplings will better inform future policy decisions. </w:t>
      </w:r>
      <w:r w:rsidRPr="008608AA">
        <w:rPr>
          <w:bCs/>
          <w:sz w:val="24"/>
          <w:szCs w:val="24"/>
          <w:lang w:eastAsia="en-GB"/>
        </w:rPr>
        <w:t xml:space="preserve">Nature and </w:t>
      </w:r>
      <w:r w:rsidR="007356A6" w:rsidRPr="008608AA">
        <w:rPr>
          <w:sz w:val="24"/>
          <w:szCs w:val="24"/>
          <w:lang w:eastAsia="es-ES_tradnl"/>
        </w:rPr>
        <w:t xml:space="preserve">nature’s contributions to people </w:t>
      </w:r>
      <w:r w:rsidRPr="008608AA">
        <w:rPr>
          <w:bCs/>
          <w:sz w:val="24"/>
          <w:szCs w:val="24"/>
          <w:lang w:eastAsia="en-GB"/>
        </w:rPr>
        <w:t xml:space="preserve">in telecoupled systems can be affected negatively or positively by distant causal interactions. Provision of food and medicine from wild organisms in temperate and tropical grasslands, savannas and forests of South America is being dramatically reduced due to land-use changes driven by the demand of agricultural commodities (e.g. soybeans) mainly from Europe and China. Conservation of insectivorous migratory bats in Mexico benefits pest control in agroecosystems of North America, resulting in increased yields and reduced pesticide costs. Trade policies and international agreements will thus have an increasingly strong effect on environmental outcomes in telecoupled systems. </w:t>
      </w:r>
    </w:p>
    <w:p w14:paraId="2F8CC336" w14:textId="77777777" w:rsidR="005A122B" w:rsidRPr="008608AA" w:rsidRDefault="005A122B" w:rsidP="0042035C">
      <w:pPr>
        <w:spacing w:line="23" w:lineRule="atLeast"/>
        <w:rPr>
          <w:lang w:eastAsia="en-GB"/>
        </w:rPr>
      </w:pPr>
    </w:p>
    <w:p w14:paraId="0C3C02B7" w14:textId="627DA17F" w:rsidR="00490494" w:rsidRPr="008608AA" w:rsidRDefault="00490494" w:rsidP="00937445">
      <w:pPr>
        <w:pStyle w:val="ListParagraph"/>
        <w:numPr>
          <w:ilvl w:val="3"/>
          <w:numId w:val="42"/>
        </w:numPr>
        <w:spacing w:line="23" w:lineRule="atLeast"/>
        <w:ind w:left="360"/>
        <w:rPr>
          <w:sz w:val="24"/>
          <w:szCs w:val="24"/>
        </w:rPr>
      </w:pPr>
      <w:r w:rsidRPr="008608AA">
        <w:rPr>
          <w:b/>
          <w:sz w:val="24"/>
          <w:szCs w:val="24"/>
        </w:rPr>
        <w:t xml:space="preserve">Policy interventions have resulted in significant land use changes at the local and regional scales and will continue to do so through 2050. These policies have affected </w:t>
      </w:r>
      <w:r w:rsidR="005A122B" w:rsidRPr="008608AA">
        <w:rPr>
          <w:b/>
          <w:sz w:val="24"/>
          <w:szCs w:val="24"/>
        </w:rPr>
        <w:t>nature’s contributions to people</w:t>
      </w:r>
      <w:r w:rsidRPr="008608AA">
        <w:rPr>
          <w:b/>
          <w:sz w:val="24"/>
          <w:szCs w:val="24"/>
        </w:rPr>
        <w:t xml:space="preserve"> both positively and negatively, and provide an opportunity to manage trade-offs among </w:t>
      </w:r>
      <w:r w:rsidR="005A122B" w:rsidRPr="008608AA">
        <w:rPr>
          <w:b/>
          <w:sz w:val="24"/>
          <w:szCs w:val="24"/>
        </w:rPr>
        <w:t>nature’s contributions to people</w:t>
      </w:r>
      <w:r w:rsidR="005A122B" w:rsidRPr="008608AA">
        <w:rPr>
          <w:i/>
          <w:sz w:val="24"/>
          <w:szCs w:val="24"/>
        </w:rPr>
        <w:t xml:space="preserve"> </w:t>
      </w:r>
      <w:r w:rsidR="00DA396A" w:rsidRPr="008608AA">
        <w:rPr>
          <w:b/>
          <w:i/>
          <w:sz w:val="24"/>
          <w:szCs w:val="24"/>
        </w:rPr>
        <w:t>(w</w:t>
      </w:r>
      <w:r w:rsidRPr="008608AA">
        <w:rPr>
          <w:b/>
          <w:i/>
          <w:sz w:val="24"/>
          <w:szCs w:val="24"/>
        </w:rPr>
        <w:t>ell established</w:t>
      </w:r>
      <w:r w:rsidR="00DA396A" w:rsidRPr="008608AA">
        <w:rPr>
          <w:b/>
          <w:i/>
          <w:sz w:val="24"/>
          <w:szCs w:val="24"/>
        </w:rPr>
        <w:t>)</w:t>
      </w:r>
      <w:r w:rsidR="00DA396A" w:rsidRPr="008608AA">
        <w:rPr>
          <w:sz w:val="24"/>
          <w:szCs w:val="24"/>
        </w:rPr>
        <w:t xml:space="preserve"> {</w:t>
      </w:r>
      <w:r w:rsidRPr="008608AA">
        <w:rPr>
          <w:sz w:val="24"/>
          <w:szCs w:val="24"/>
        </w:rPr>
        <w:t>5.4</w:t>
      </w:r>
      <w:r w:rsidR="00DA396A" w:rsidRPr="008608AA">
        <w:rPr>
          <w:sz w:val="24"/>
          <w:szCs w:val="24"/>
        </w:rPr>
        <w:t>}</w:t>
      </w:r>
      <w:r w:rsidRPr="008608AA">
        <w:rPr>
          <w:sz w:val="24"/>
          <w:szCs w:val="24"/>
        </w:rPr>
        <w:t>. Land use changes are now mainly driven by high crop demand, big hydropower plans, rapid urban growth and result in a continu</w:t>
      </w:r>
      <w:r w:rsidR="00182F0F" w:rsidRPr="008608AA">
        <w:rPr>
          <w:sz w:val="24"/>
          <w:szCs w:val="24"/>
        </w:rPr>
        <w:t>ed loss of grasslands {</w:t>
      </w:r>
      <w:r w:rsidRPr="008608AA">
        <w:rPr>
          <w:sz w:val="24"/>
          <w:szCs w:val="24"/>
        </w:rPr>
        <w:t>5.4.4</w:t>
      </w:r>
      <w:r w:rsidR="00182F0F" w:rsidRPr="008608AA">
        <w:rPr>
          <w:sz w:val="24"/>
          <w:szCs w:val="24"/>
        </w:rPr>
        <w:t>, 5.4.5}</w:t>
      </w:r>
      <w:r w:rsidRPr="008608AA">
        <w:rPr>
          <w:sz w:val="24"/>
          <w:szCs w:val="24"/>
        </w:rPr>
        <w:t>. However, strategies for establishing conservation units have helped in reducing deforestation in the Brazilian Amazon from the period of 2004 to 2011 (</w:t>
      </w:r>
      <w:r w:rsidR="000F2D6F" w:rsidRPr="008608AA">
        <w:rPr>
          <w:i/>
          <w:sz w:val="24"/>
          <w:szCs w:val="24"/>
        </w:rPr>
        <w:t>well</w:t>
      </w:r>
      <w:r w:rsidR="000F2D6F" w:rsidRPr="008608AA">
        <w:rPr>
          <w:sz w:val="24"/>
          <w:szCs w:val="24"/>
        </w:rPr>
        <w:t xml:space="preserve"> </w:t>
      </w:r>
      <w:r w:rsidR="00182F0F" w:rsidRPr="008608AA">
        <w:rPr>
          <w:i/>
          <w:sz w:val="24"/>
          <w:szCs w:val="24"/>
        </w:rPr>
        <w:t>established</w:t>
      </w:r>
      <w:r w:rsidR="00182F0F" w:rsidRPr="008608AA">
        <w:rPr>
          <w:sz w:val="24"/>
          <w:szCs w:val="24"/>
        </w:rPr>
        <w:t>)</w:t>
      </w:r>
      <w:r w:rsidR="00182F0F" w:rsidRPr="008608AA">
        <w:rPr>
          <w:i/>
          <w:sz w:val="24"/>
          <w:szCs w:val="24"/>
        </w:rPr>
        <w:t xml:space="preserve"> </w:t>
      </w:r>
      <w:r w:rsidR="00182F0F" w:rsidRPr="008608AA">
        <w:rPr>
          <w:sz w:val="24"/>
          <w:szCs w:val="24"/>
        </w:rPr>
        <w:t>{</w:t>
      </w:r>
      <w:r w:rsidRPr="008608AA">
        <w:rPr>
          <w:sz w:val="24"/>
          <w:szCs w:val="24"/>
        </w:rPr>
        <w:t>5.4.1</w:t>
      </w:r>
      <w:r w:rsidR="00182F0F" w:rsidRPr="008608AA">
        <w:rPr>
          <w:sz w:val="24"/>
          <w:szCs w:val="24"/>
        </w:rPr>
        <w:t>}</w:t>
      </w:r>
      <w:r w:rsidRPr="008608AA">
        <w:rPr>
          <w:sz w:val="24"/>
          <w:szCs w:val="24"/>
        </w:rPr>
        <w:t xml:space="preserve">. Similarly, wetland protection policies and regulation have helped reduce the conversion of wetlands in North America </w:t>
      </w:r>
      <w:r w:rsidR="00182F0F" w:rsidRPr="008608AA">
        <w:rPr>
          <w:sz w:val="24"/>
          <w:szCs w:val="24"/>
        </w:rPr>
        <w:t>{5.4.7}</w:t>
      </w:r>
      <w:r w:rsidRPr="008608AA">
        <w:rPr>
          <w:sz w:val="24"/>
          <w:szCs w:val="24"/>
        </w:rPr>
        <w:t>. Policies based on command and control measures may be limited in providing effective reduction in ecosystem loss and should be complemented with policies</w:t>
      </w:r>
      <w:r w:rsidR="00182F0F" w:rsidRPr="008608AA">
        <w:rPr>
          <w:sz w:val="24"/>
          <w:szCs w:val="24"/>
        </w:rPr>
        <w:t xml:space="preserve"> acknowledging multiple values {5.6.3}</w:t>
      </w:r>
      <w:r w:rsidRPr="008608AA">
        <w:rPr>
          <w:sz w:val="24"/>
          <w:szCs w:val="24"/>
        </w:rPr>
        <w:t>.</w:t>
      </w:r>
    </w:p>
    <w:p w14:paraId="47A36F2C" w14:textId="77777777" w:rsidR="005A122B" w:rsidRPr="008608AA" w:rsidRDefault="005A122B" w:rsidP="0042035C">
      <w:pPr>
        <w:spacing w:line="23" w:lineRule="atLeast"/>
      </w:pPr>
    </w:p>
    <w:p w14:paraId="7540DF0C" w14:textId="21929F03" w:rsidR="00490494" w:rsidRPr="008608AA" w:rsidRDefault="00490494" w:rsidP="00937445">
      <w:pPr>
        <w:pStyle w:val="ListParagraph"/>
        <w:numPr>
          <w:ilvl w:val="3"/>
          <w:numId w:val="42"/>
        </w:numPr>
        <w:spacing w:line="23" w:lineRule="atLeast"/>
        <w:ind w:left="360"/>
        <w:rPr>
          <w:sz w:val="24"/>
          <w:szCs w:val="24"/>
        </w:rPr>
      </w:pPr>
      <w:r w:rsidRPr="008608AA">
        <w:rPr>
          <w:b/>
          <w:sz w:val="24"/>
          <w:szCs w:val="24"/>
        </w:rPr>
        <w:t xml:space="preserve">Policy interventions at vastly differing scales (from national to local) lead to successful outcomes in mitigating impacts to biodiversity </w:t>
      </w:r>
      <w:r w:rsidR="00182F0F" w:rsidRPr="008608AA">
        <w:rPr>
          <w:i/>
          <w:sz w:val="24"/>
          <w:szCs w:val="24"/>
        </w:rPr>
        <w:t>(e</w:t>
      </w:r>
      <w:r w:rsidRPr="008608AA">
        <w:rPr>
          <w:i/>
          <w:sz w:val="24"/>
          <w:szCs w:val="24"/>
        </w:rPr>
        <w:t xml:space="preserve">stablished but </w:t>
      </w:r>
      <w:r w:rsidR="00182F0F" w:rsidRPr="008608AA">
        <w:rPr>
          <w:i/>
          <w:sz w:val="24"/>
          <w:szCs w:val="24"/>
        </w:rPr>
        <w:t>incomplete)</w:t>
      </w:r>
      <w:r w:rsidR="00182F0F" w:rsidRPr="008608AA">
        <w:rPr>
          <w:sz w:val="24"/>
          <w:szCs w:val="24"/>
        </w:rPr>
        <w:t>{</w:t>
      </w:r>
      <w:r w:rsidRPr="008608AA">
        <w:rPr>
          <w:sz w:val="24"/>
          <w:szCs w:val="24"/>
        </w:rPr>
        <w:t>5.4</w:t>
      </w:r>
      <w:r w:rsidR="008C4B6A" w:rsidRPr="008608AA">
        <w:rPr>
          <w:sz w:val="24"/>
          <w:szCs w:val="24"/>
        </w:rPr>
        <w:t>}</w:t>
      </w:r>
      <w:r w:rsidRPr="008608AA">
        <w:rPr>
          <w:sz w:val="24"/>
          <w:szCs w:val="24"/>
        </w:rPr>
        <w:t xml:space="preserve">. For instance, long-established governmental protections of wetlands in North America have significantly slowed and may have stopped wetland loss based on acreage </w:t>
      </w:r>
      <w:r w:rsidR="008C4B6A" w:rsidRPr="008608AA">
        <w:rPr>
          <w:sz w:val="24"/>
          <w:szCs w:val="24"/>
        </w:rPr>
        <w:t>{5.4.7}</w:t>
      </w:r>
      <w:r w:rsidRPr="008608AA">
        <w:rPr>
          <w:sz w:val="24"/>
          <w:szCs w:val="24"/>
        </w:rPr>
        <w:t xml:space="preserve">. In South America, where mangrove loss continues at a </w:t>
      </w:r>
      <w:r w:rsidR="005A122B" w:rsidRPr="008608AA">
        <w:rPr>
          <w:sz w:val="24"/>
          <w:szCs w:val="24"/>
        </w:rPr>
        <w:t>rate of one to two per cent</w:t>
      </w:r>
      <w:r w:rsidRPr="008608AA">
        <w:rPr>
          <w:sz w:val="24"/>
          <w:szCs w:val="24"/>
        </w:rPr>
        <w:t>, different stakeholders such as local communities and/or governments have been successful in protecting mangroves based on empowerment and shared interests</w:t>
      </w:r>
      <w:r w:rsidR="008C4B6A" w:rsidRPr="008608AA">
        <w:rPr>
          <w:sz w:val="24"/>
          <w:szCs w:val="24"/>
        </w:rPr>
        <w:t xml:space="preserve"> in their preservation {5.4.11}</w:t>
      </w:r>
      <w:r w:rsidRPr="008608AA">
        <w:rPr>
          <w:sz w:val="24"/>
          <w:szCs w:val="24"/>
        </w:rPr>
        <w:t>.</w:t>
      </w:r>
    </w:p>
    <w:p w14:paraId="7CFB6A60" w14:textId="77777777" w:rsidR="005A122B" w:rsidRPr="008608AA" w:rsidRDefault="005A122B" w:rsidP="0042035C">
      <w:pPr>
        <w:spacing w:line="23" w:lineRule="atLeast"/>
      </w:pPr>
    </w:p>
    <w:p w14:paraId="5C9DF686" w14:textId="7969602A" w:rsidR="00960D67" w:rsidRPr="008608AA" w:rsidRDefault="00DD5AB3" w:rsidP="00937445">
      <w:pPr>
        <w:pStyle w:val="ListParagraph"/>
        <w:numPr>
          <w:ilvl w:val="3"/>
          <w:numId w:val="42"/>
        </w:numPr>
        <w:ind w:left="360"/>
        <w:rPr>
          <w:rFonts w:eastAsia="Calibri"/>
          <w:sz w:val="24"/>
          <w:szCs w:val="24"/>
        </w:rPr>
      </w:pPr>
      <w:r w:rsidRPr="008608AA">
        <w:rPr>
          <w:rFonts w:eastAsia="Calibri"/>
          <w:b/>
          <w:sz w:val="24"/>
          <w:szCs w:val="24"/>
        </w:rPr>
        <w:t>Pressures to nature are projected to increase by 2050, negatively affecting biodiversity as indicated b</w:t>
      </w:r>
      <w:r w:rsidR="00960D67" w:rsidRPr="008608AA">
        <w:rPr>
          <w:rFonts w:eastAsia="Calibri"/>
          <w:b/>
          <w:sz w:val="24"/>
          <w:szCs w:val="24"/>
        </w:rPr>
        <w:t>y a potential reduction of the mean species a</w:t>
      </w:r>
      <w:r w:rsidRPr="008608AA">
        <w:rPr>
          <w:rFonts w:eastAsia="Calibri"/>
          <w:b/>
          <w:sz w:val="24"/>
          <w:szCs w:val="24"/>
        </w:rPr>
        <w:t xml:space="preserve">bundance index. However, the magnitude of the pressures by 2050 are expected to be less under transition pathways to sustainability in comparison to the business as usual scenario </w:t>
      </w:r>
      <w:r w:rsidR="00960D67" w:rsidRPr="008608AA">
        <w:rPr>
          <w:rFonts w:eastAsia="Calibri"/>
          <w:b/>
          <w:sz w:val="24"/>
          <w:szCs w:val="24"/>
        </w:rPr>
        <w:t>(</w:t>
      </w:r>
      <w:r w:rsidR="00960D67" w:rsidRPr="008608AA">
        <w:rPr>
          <w:rFonts w:eastAsia="Calibri"/>
          <w:b/>
          <w:i/>
          <w:sz w:val="24"/>
          <w:szCs w:val="24"/>
        </w:rPr>
        <w:t>e</w:t>
      </w:r>
      <w:r w:rsidRPr="008608AA">
        <w:rPr>
          <w:rFonts w:eastAsia="Calibri"/>
          <w:b/>
          <w:i/>
          <w:sz w:val="24"/>
          <w:szCs w:val="24"/>
        </w:rPr>
        <w:t>stablished but incomplete</w:t>
      </w:r>
      <w:r w:rsidR="00960D67" w:rsidRPr="008608AA">
        <w:rPr>
          <w:rFonts w:eastAsia="Calibri"/>
          <w:b/>
          <w:sz w:val="24"/>
          <w:szCs w:val="24"/>
        </w:rPr>
        <w:t>)</w:t>
      </w:r>
      <w:r w:rsidRPr="008608AA">
        <w:rPr>
          <w:rFonts w:eastAsia="Calibri"/>
          <w:b/>
          <w:sz w:val="24"/>
          <w:szCs w:val="24"/>
        </w:rPr>
        <w:t xml:space="preserve">, </w:t>
      </w:r>
      <w:r w:rsidR="00960D67" w:rsidRPr="008608AA">
        <w:rPr>
          <w:rFonts w:eastAsia="Calibri"/>
          <w:b/>
          <w:sz w:val="24"/>
          <w:szCs w:val="24"/>
        </w:rPr>
        <w:t>{5.5}</w:t>
      </w:r>
      <w:r w:rsidRPr="008608AA">
        <w:rPr>
          <w:rFonts w:eastAsia="Calibri"/>
          <w:b/>
          <w:sz w:val="24"/>
          <w:szCs w:val="24"/>
        </w:rPr>
        <w:t>.</w:t>
      </w:r>
      <w:r w:rsidRPr="008608AA">
        <w:rPr>
          <w:rFonts w:eastAsia="Calibri"/>
          <w:sz w:val="24"/>
          <w:szCs w:val="24"/>
        </w:rPr>
        <w:t xml:space="preserve"> The Global Biodiversity model projected that under the business as usual scenario </w:t>
      </w:r>
      <w:r w:rsidR="00960D67" w:rsidRPr="008608AA">
        <w:rPr>
          <w:rFonts w:eastAsia="Calibri"/>
          <w:sz w:val="24"/>
          <w:szCs w:val="24"/>
        </w:rPr>
        <w:t>m</w:t>
      </w:r>
      <w:r w:rsidRPr="008608AA">
        <w:rPr>
          <w:rFonts w:eastAsia="Calibri"/>
          <w:sz w:val="24"/>
          <w:szCs w:val="24"/>
        </w:rPr>
        <w:t xml:space="preserve">ean </w:t>
      </w:r>
      <w:r w:rsidR="00960D67" w:rsidRPr="008608AA">
        <w:rPr>
          <w:rFonts w:eastAsia="Calibri"/>
          <w:sz w:val="24"/>
          <w:szCs w:val="24"/>
        </w:rPr>
        <w:t>s</w:t>
      </w:r>
      <w:r w:rsidRPr="008608AA">
        <w:rPr>
          <w:rFonts w:eastAsia="Calibri"/>
          <w:sz w:val="24"/>
          <w:szCs w:val="24"/>
        </w:rPr>
        <w:t xml:space="preserve">pecies </w:t>
      </w:r>
      <w:r w:rsidR="00960D67" w:rsidRPr="008608AA">
        <w:rPr>
          <w:rFonts w:eastAsia="Calibri"/>
          <w:sz w:val="24"/>
          <w:szCs w:val="24"/>
        </w:rPr>
        <w:t>a</w:t>
      </w:r>
      <w:r w:rsidRPr="008608AA">
        <w:rPr>
          <w:rFonts w:eastAsia="Calibri"/>
          <w:sz w:val="24"/>
          <w:szCs w:val="24"/>
        </w:rPr>
        <w:t>bundance had decreased in the Americas by approximately 30</w:t>
      </w:r>
      <w:r w:rsidR="00960D67" w:rsidRPr="008608AA">
        <w:rPr>
          <w:rFonts w:eastAsia="Calibri"/>
          <w:sz w:val="24"/>
          <w:szCs w:val="24"/>
        </w:rPr>
        <w:t xml:space="preserve"> per cent </w:t>
      </w:r>
      <w:r w:rsidRPr="008608AA">
        <w:rPr>
          <w:rFonts w:eastAsia="Calibri"/>
          <w:sz w:val="24"/>
          <w:szCs w:val="24"/>
        </w:rPr>
        <w:t xml:space="preserve">by 2010 compared to </w:t>
      </w:r>
      <w:r w:rsidR="001F5BA6" w:rsidRPr="008608AA">
        <w:rPr>
          <w:rFonts w:eastAsia="Calibri"/>
          <w:sz w:val="24"/>
          <w:szCs w:val="24"/>
        </w:rPr>
        <w:t xml:space="preserve">its values prior to </w:t>
      </w:r>
      <w:r w:rsidRPr="008608AA">
        <w:rPr>
          <w:rFonts w:eastAsia="Calibri"/>
          <w:sz w:val="24"/>
          <w:szCs w:val="24"/>
        </w:rPr>
        <w:t>European settlement</w:t>
      </w:r>
      <w:r w:rsidR="001F5BA6" w:rsidRPr="008608AA">
        <w:rPr>
          <w:rFonts w:eastAsia="Calibri"/>
          <w:sz w:val="24"/>
          <w:szCs w:val="24"/>
        </w:rPr>
        <w:t xml:space="preserve"> of the New World</w:t>
      </w:r>
      <w:r w:rsidRPr="008608AA">
        <w:rPr>
          <w:rFonts w:eastAsia="Calibri"/>
          <w:sz w:val="24"/>
          <w:szCs w:val="24"/>
        </w:rPr>
        <w:t xml:space="preserve">, with </w:t>
      </w:r>
      <w:r w:rsidR="001F5BA6" w:rsidRPr="008608AA">
        <w:rPr>
          <w:rFonts w:eastAsia="Calibri"/>
          <w:sz w:val="24"/>
          <w:szCs w:val="24"/>
        </w:rPr>
        <w:t>historical losses primarily attributed to land transf</w:t>
      </w:r>
      <w:r w:rsidR="00FB4685" w:rsidRPr="008608AA">
        <w:rPr>
          <w:rFonts w:eastAsia="Calibri"/>
          <w:sz w:val="24"/>
          <w:szCs w:val="24"/>
        </w:rPr>
        <w:t xml:space="preserve">ormation to agricultural uses. </w:t>
      </w:r>
      <w:r w:rsidR="001F5BA6" w:rsidRPr="008608AA">
        <w:rPr>
          <w:rFonts w:eastAsia="Calibri"/>
          <w:sz w:val="24"/>
          <w:szCs w:val="24"/>
        </w:rPr>
        <w:t xml:space="preserve">Using the Global Biodiversity model, there is </w:t>
      </w:r>
      <w:r w:rsidRPr="008608AA">
        <w:rPr>
          <w:rFonts w:eastAsia="Calibri"/>
          <w:sz w:val="24"/>
          <w:szCs w:val="24"/>
        </w:rPr>
        <w:t>an additional projected loss of 9.6</w:t>
      </w:r>
      <w:r w:rsidR="00960D67" w:rsidRPr="008608AA">
        <w:rPr>
          <w:rFonts w:eastAsia="Calibri"/>
          <w:sz w:val="24"/>
          <w:szCs w:val="24"/>
        </w:rPr>
        <w:t xml:space="preserve"> per cent</w:t>
      </w:r>
      <w:r w:rsidRPr="008608AA">
        <w:rPr>
          <w:rFonts w:eastAsia="Calibri"/>
          <w:sz w:val="24"/>
          <w:szCs w:val="24"/>
        </w:rPr>
        <w:t xml:space="preserve"> by 2050</w:t>
      </w:r>
      <w:r w:rsidR="001F5BA6" w:rsidRPr="008608AA">
        <w:rPr>
          <w:rFonts w:eastAsia="Calibri"/>
          <w:sz w:val="24"/>
          <w:szCs w:val="24"/>
        </w:rPr>
        <w:t>,</w:t>
      </w:r>
      <w:r w:rsidRPr="008608AA">
        <w:rPr>
          <w:rFonts w:eastAsia="Calibri"/>
          <w:sz w:val="24"/>
          <w:szCs w:val="24"/>
        </w:rPr>
        <w:t xml:space="preserve"> primarily attributed to </w:t>
      </w:r>
      <w:r w:rsidR="001F5BA6" w:rsidRPr="008608AA">
        <w:rPr>
          <w:rFonts w:eastAsia="Calibri"/>
          <w:sz w:val="24"/>
          <w:szCs w:val="24"/>
        </w:rPr>
        <w:t>some additional</w:t>
      </w:r>
      <w:r w:rsidRPr="008608AA">
        <w:rPr>
          <w:rFonts w:eastAsia="Calibri"/>
          <w:sz w:val="24"/>
          <w:szCs w:val="24"/>
        </w:rPr>
        <w:t xml:space="preserve"> land use changes </w:t>
      </w:r>
      <w:r w:rsidR="001F5BA6" w:rsidRPr="008608AA">
        <w:rPr>
          <w:rFonts w:eastAsia="Calibri"/>
          <w:sz w:val="24"/>
          <w:szCs w:val="24"/>
        </w:rPr>
        <w:t xml:space="preserve">, and especially to climate change, </w:t>
      </w:r>
      <w:r w:rsidRPr="008608AA">
        <w:rPr>
          <w:rFonts w:eastAsia="Calibri"/>
          <w:sz w:val="24"/>
          <w:szCs w:val="24"/>
        </w:rPr>
        <w:t>which will steadily increase relative to other drivers considered in the model. However, under the transition pathways to sustainability of global technologies, decentralised solutions, and consumption change pathways, the projected losses are 6</w:t>
      </w:r>
      <w:r w:rsidR="00960D67" w:rsidRPr="008608AA">
        <w:rPr>
          <w:rFonts w:eastAsia="Calibri"/>
          <w:sz w:val="24"/>
          <w:szCs w:val="24"/>
        </w:rPr>
        <w:t xml:space="preserve"> per cent</w:t>
      </w:r>
      <w:r w:rsidRPr="008608AA">
        <w:rPr>
          <w:rFonts w:eastAsia="Calibri"/>
          <w:sz w:val="24"/>
          <w:szCs w:val="24"/>
        </w:rPr>
        <w:t>, 5</w:t>
      </w:r>
      <w:r w:rsidR="00960D67" w:rsidRPr="008608AA">
        <w:rPr>
          <w:rFonts w:eastAsia="Calibri"/>
          <w:sz w:val="24"/>
          <w:szCs w:val="24"/>
        </w:rPr>
        <w:t xml:space="preserve"> per cent</w:t>
      </w:r>
      <w:r w:rsidRPr="008608AA">
        <w:rPr>
          <w:rFonts w:eastAsia="Calibri"/>
          <w:sz w:val="24"/>
          <w:szCs w:val="24"/>
        </w:rPr>
        <w:t>, and 5</w:t>
      </w:r>
      <w:r w:rsidR="00960D67" w:rsidRPr="008608AA">
        <w:rPr>
          <w:rFonts w:eastAsia="Calibri"/>
          <w:sz w:val="24"/>
          <w:szCs w:val="24"/>
        </w:rPr>
        <w:t xml:space="preserve"> per cent</w:t>
      </w:r>
      <w:r w:rsidRPr="008608AA">
        <w:rPr>
          <w:rFonts w:eastAsia="Calibri"/>
          <w:sz w:val="24"/>
          <w:szCs w:val="24"/>
        </w:rPr>
        <w:t>, respectively, achieving a relative improvement of a</w:t>
      </w:r>
      <w:r w:rsidR="00960D67" w:rsidRPr="008608AA">
        <w:rPr>
          <w:rFonts w:eastAsia="Calibri"/>
          <w:sz w:val="24"/>
          <w:szCs w:val="24"/>
        </w:rPr>
        <w:t>pproximately 30 per cent to 50 per cent</w:t>
      </w:r>
      <w:r w:rsidRPr="008608AA">
        <w:rPr>
          <w:rFonts w:eastAsia="Calibri"/>
          <w:sz w:val="24"/>
          <w:szCs w:val="24"/>
        </w:rPr>
        <w:t xml:space="preserve"> compared to the business as usual scenario.</w:t>
      </w:r>
      <w:r w:rsidR="00960D67" w:rsidRPr="008608AA">
        <w:rPr>
          <w:rFonts w:eastAsia="Calibri"/>
          <w:sz w:val="24"/>
          <w:szCs w:val="24"/>
        </w:rPr>
        <w:t xml:space="preserve"> Under these pathways, climate change mitigation, the expansion of protected areas and the recovery of abandoned lands would significantly contribute to reducing biodiversity loss.</w:t>
      </w:r>
    </w:p>
    <w:p w14:paraId="54B9D4E1" w14:textId="3BB1F2DC" w:rsidR="00490494" w:rsidRPr="008608AA" w:rsidRDefault="00490494" w:rsidP="0042035C">
      <w:pPr>
        <w:spacing w:line="23" w:lineRule="atLeast"/>
      </w:pPr>
    </w:p>
    <w:p w14:paraId="7828AFF3" w14:textId="39FA3F04" w:rsidR="00490494" w:rsidRPr="008608AA" w:rsidRDefault="00490494" w:rsidP="00937445">
      <w:pPr>
        <w:pStyle w:val="ListParagraph"/>
        <w:numPr>
          <w:ilvl w:val="3"/>
          <w:numId w:val="42"/>
        </w:numPr>
        <w:spacing w:line="23" w:lineRule="atLeast"/>
        <w:ind w:left="360"/>
        <w:rPr>
          <w:rFonts w:eastAsia="MS Mincho"/>
          <w:color w:val="00000A"/>
          <w:sz w:val="24"/>
          <w:szCs w:val="24"/>
        </w:rPr>
      </w:pPr>
      <w:r w:rsidRPr="008608AA">
        <w:rPr>
          <w:rFonts w:eastAsia="MS Mincho"/>
          <w:b/>
          <w:bCs/>
          <w:color w:val="00000A"/>
          <w:sz w:val="24"/>
          <w:szCs w:val="24"/>
        </w:rPr>
        <w:t xml:space="preserve">Participative scenarios have proven to be a successful tool for envisioning potential futures and pathways and to embrace and integrate multiple and sometime conflicting values and their role in promoting bottom-up decision making in the face of future’s uncertainties </w:t>
      </w:r>
      <w:r w:rsidR="008C4B6A" w:rsidRPr="008608AA">
        <w:rPr>
          <w:rFonts w:eastAsia="MS Mincho"/>
          <w:b/>
          <w:bCs/>
          <w:color w:val="00000A"/>
          <w:sz w:val="24"/>
          <w:szCs w:val="24"/>
        </w:rPr>
        <w:t>(</w:t>
      </w:r>
      <w:r w:rsidR="008C4B6A" w:rsidRPr="008608AA">
        <w:rPr>
          <w:rFonts w:eastAsia="MS Mincho"/>
          <w:b/>
          <w:bCs/>
          <w:i/>
          <w:color w:val="00000A"/>
          <w:sz w:val="24"/>
          <w:szCs w:val="24"/>
        </w:rPr>
        <w:t>w</w:t>
      </w:r>
      <w:r w:rsidRPr="008608AA">
        <w:rPr>
          <w:rFonts w:eastAsia="MS Mincho"/>
          <w:b/>
          <w:bCs/>
          <w:i/>
          <w:color w:val="00000A"/>
          <w:sz w:val="24"/>
          <w:szCs w:val="24"/>
        </w:rPr>
        <w:t>ell established</w:t>
      </w:r>
      <w:r w:rsidR="008C4B6A" w:rsidRPr="008608AA">
        <w:rPr>
          <w:rFonts w:eastAsia="MS Mincho"/>
          <w:b/>
          <w:bCs/>
          <w:color w:val="00000A"/>
          <w:sz w:val="24"/>
          <w:szCs w:val="24"/>
        </w:rPr>
        <w:t>)</w:t>
      </w:r>
      <w:r w:rsidRPr="008608AA">
        <w:rPr>
          <w:rFonts w:eastAsia="MS Mincho"/>
          <w:bCs/>
          <w:color w:val="00000A"/>
          <w:sz w:val="24"/>
          <w:szCs w:val="24"/>
        </w:rPr>
        <w:t xml:space="preserve"> </w:t>
      </w:r>
      <w:r w:rsidR="008C4B6A" w:rsidRPr="008608AA">
        <w:rPr>
          <w:rFonts w:eastAsia="MS Mincho"/>
          <w:bCs/>
          <w:color w:val="00000A"/>
          <w:sz w:val="24"/>
          <w:szCs w:val="24"/>
        </w:rPr>
        <w:t>{</w:t>
      </w:r>
      <w:r w:rsidRPr="008608AA">
        <w:rPr>
          <w:rFonts w:eastAsia="MS Mincho"/>
          <w:bCs/>
          <w:color w:val="00000A"/>
          <w:sz w:val="24"/>
          <w:szCs w:val="24"/>
        </w:rPr>
        <w:t>5.3</w:t>
      </w:r>
      <w:r w:rsidR="008C4B6A" w:rsidRPr="008608AA">
        <w:rPr>
          <w:rFonts w:eastAsia="MS Mincho"/>
          <w:bCs/>
          <w:color w:val="00000A"/>
          <w:sz w:val="24"/>
          <w:szCs w:val="24"/>
        </w:rPr>
        <w:t>}</w:t>
      </w:r>
      <w:r w:rsidRPr="008608AA">
        <w:rPr>
          <w:rFonts w:eastAsia="MS Mincho"/>
          <w:b/>
          <w:bCs/>
          <w:color w:val="00000A"/>
          <w:sz w:val="24"/>
          <w:szCs w:val="24"/>
        </w:rPr>
        <w:t xml:space="preserve">. </w:t>
      </w:r>
      <w:r w:rsidRPr="008608AA">
        <w:rPr>
          <w:rFonts w:eastAsia="MS Mincho"/>
          <w:color w:val="00000A"/>
          <w:sz w:val="24"/>
          <w:szCs w:val="24"/>
        </w:rPr>
        <w:t>The use of participative approaches to develop scenarios has increased during recent years in the Americas. The inclusion of different stakeholders and their knowledges in the process of constructing potential futures has promoted a better understanding of the complexity of the social-ecological systems in which they are embedded. This has enhanced co-learning processes between all actors involved, even those normally under-represented in decision-making activities. As a result, several participative scenario exercises have motivated community-based solutions and local governance initiatives all pointing towards the development of adaptive</w:t>
      </w:r>
      <w:r w:rsidR="008C4B6A" w:rsidRPr="008608AA">
        <w:rPr>
          <w:rFonts w:eastAsia="MS Mincho"/>
          <w:color w:val="00000A"/>
          <w:sz w:val="24"/>
          <w:szCs w:val="24"/>
        </w:rPr>
        <w:t xml:space="preserve"> management strategies {5.3}</w:t>
      </w:r>
      <w:r w:rsidRPr="008608AA">
        <w:rPr>
          <w:rFonts w:eastAsia="MS Mincho"/>
          <w:color w:val="00000A"/>
          <w:sz w:val="24"/>
          <w:szCs w:val="24"/>
        </w:rPr>
        <w:t xml:space="preserve">. </w:t>
      </w:r>
    </w:p>
    <w:p w14:paraId="13CA7262" w14:textId="77777777" w:rsidR="00960D67" w:rsidRPr="008608AA" w:rsidRDefault="00960D67" w:rsidP="0042035C">
      <w:pPr>
        <w:spacing w:line="23" w:lineRule="atLeast"/>
        <w:rPr>
          <w:rFonts w:eastAsia="MS Mincho"/>
          <w:color w:val="00000A"/>
        </w:rPr>
      </w:pPr>
    </w:p>
    <w:p w14:paraId="4BF2F2EA" w14:textId="2382CF7E" w:rsidR="00490494" w:rsidRPr="008608AA" w:rsidRDefault="00490494" w:rsidP="00937445">
      <w:pPr>
        <w:pStyle w:val="ListParagraph"/>
        <w:numPr>
          <w:ilvl w:val="3"/>
          <w:numId w:val="42"/>
        </w:numPr>
        <w:spacing w:line="23" w:lineRule="atLeast"/>
        <w:ind w:left="360"/>
        <w:rPr>
          <w:sz w:val="24"/>
          <w:szCs w:val="24"/>
        </w:rPr>
      </w:pPr>
      <w:r w:rsidRPr="008608AA">
        <w:rPr>
          <w:b/>
          <w:sz w:val="24"/>
          <w:szCs w:val="24"/>
        </w:rPr>
        <w:t>Pathways that consider changes in societal options will lead to less pressure to nature</w:t>
      </w:r>
      <w:r w:rsidRPr="008608AA">
        <w:rPr>
          <w:sz w:val="24"/>
          <w:szCs w:val="24"/>
        </w:rPr>
        <w:t xml:space="preserve"> </w:t>
      </w:r>
      <w:r w:rsidR="008C4B6A" w:rsidRPr="008608AA">
        <w:rPr>
          <w:b/>
          <w:sz w:val="24"/>
          <w:szCs w:val="24"/>
        </w:rPr>
        <w:t>(</w:t>
      </w:r>
      <w:r w:rsidR="008C4B6A" w:rsidRPr="008608AA">
        <w:rPr>
          <w:b/>
          <w:i/>
          <w:sz w:val="24"/>
          <w:szCs w:val="24"/>
        </w:rPr>
        <w:t>established but incomplete</w:t>
      </w:r>
      <w:r w:rsidR="008C4B6A" w:rsidRPr="008608AA">
        <w:rPr>
          <w:b/>
          <w:sz w:val="24"/>
          <w:szCs w:val="24"/>
        </w:rPr>
        <w:t xml:space="preserve">) </w:t>
      </w:r>
      <w:r w:rsidR="008C4B6A" w:rsidRPr="008608AA">
        <w:rPr>
          <w:sz w:val="24"/>
          <w:szCs w:val="24"/>
        </w:rPr>
        <w:t>{</w:t>
      </w:r>
      <w:r w:rsidRPr="008608AA">
        <w:rPr>
          <w:sz w:val="24"/>
          <w:szCs w:val="24"/>
        </w:rPr>
        <w:t>5.6.3</w:t>
      </w:r>
      <w:r w:rsidR="008C4B6A" w:rsidRPr="008608AA">
        <w:rPr>
          <w:sz w:val="24"/>
          <w:szCs w:val="24"/>
        </w:rPr>
        <w:t>}</w:t>
      </w:r>
      <w:r w:rsidRPr="008608AA">
        <w:rPr>
          <w:sz w:val="24"/>
          <w:szCs w:val="24"/>
        </w:rPr>
        <w:t>.</w:t>
      </w:r>
      <w:r w:rsidRPr="008608AA">
        <w:rPr>
          <w:rFonts w:eastAsia="Droid Sans Fallback"/>
          <w:bCs/>
          <w:iCs/>
          <w:color w:val="0070C0"/>
          <w:sz w:val="24"/>
          <w:szCs w:val="24"/>
        </w:rPr>
        <w:t xml:space="preserve"> </w:t>
      </w:r>
      <w:r w:rsidRPr="008608AA">
        <w:rPr>
          <w:rFonts w:eastAsia="Droid Sans Fallback"/>
          <w:bCs/>
          <w:iCs/>
          <w:sz w:val="24"/>
          <w:szCs w:val="24"/>
        </w:rPr>
        <w:t>An example is the indirect impact that shifts in urban dietary preferences have on agricultural production and expansion, and food options that are expected to continue growing into the future. Therefore, not only is there a strong connection between urbanization and economic growth, but also between affluence (and urban preferences) and the global displacement of land use particularly from high-income to low-income countries</w:t>
      </w:r>
      <w:r w:rsidRPr="008608AA">
        <w:rPr>
          <w:sz w:val="24"/>
          <w:szCs w:val="24"/>
        </w:rPr>
        <w:t>.</w:t>
      </w:r>
    </w:p>
    <w:p w14:paraId="770C5A45" w14:textId="77777777" w:rsidR="00960D67" w:rsidRPr="008608AA" w:rsidRDefault="00960D67" w:rsidP="0042035C">
      <w:pPr>
        <w:spacing w:line="23" w:lineRule="atLeast"/>
      </w:pPr>
    </w:p>
    <w:p w14:paraId="425DDBBE" w14:textId="5783860F" w:rsidR="00490494" w:rsidRPr="008608AA" w:rsidRDefault="00490494" w:rsidP="00937445">
      <w:pPr>
        <w:pStyle w:val="ListParagraph"/>
        <w:numPr>
          <w:ilvl w:val="3"/>
          <w:numId w:val="42"/>
        </w:numPr>
        <w:spacing w:line="23" w:lineRule="atLeast"/>
        <w:ind w:left="360"/>
        <w:rPr>
          <w:rFonts w:eastAsia="MS Mincho"/>
          <w:sz w:val="24"/>
          <w:szCs w:val="24"/>
        </w:rPr>
      </w:pPr>
      <w:r w:rsidRPr="008608AA">
        <w:rPr>
          <w:rFonts w:eastAsia="MS Mincho"/>
          <w:b/>
          <w:sz w:val="24"/>
          <w:szCs w:val="24"/>
        </w:rPr>
        <w:t xml:space="preserve">Available local studies informing regional futures of nature and nature’s benefit to people do not allow scalability as of yet </w:t>
      </w:r>
      <w:r w:rsidR="00960D67" w:rsidRPr="008608AA">
        <w:rPr>
          <w:rFonts w:eastAsia="MS Mincho"/>
          <w:b/>
          <w:sz w:val="24"/>
          <w:szCs w:val="24"/>
        </w:rPr>
        <w:t>(</w:t>
      </w:r>
      <w:r w:rsidR="00960D67" w:rsidRPr="008608AA">
        <w:rPr>
          <w:rFonts w:eastAsia="MS Mincho"/>
          <w:b/>
          <w:i/>
          <w:sz w:val="24"/>
          <w:szCs w:val="24"/>
        </w:rPr>
        <w:t>well established</w:t>
      </w:r>
      <w:r w:rsidR="00960D67" w:rsidRPr="008608AA">
        <w:rPr>
          <w:rFonts w:eastAsia="MS Mincho"/>
          <w:b/>
          <w:sz w:val="24"/>
          <w:szCs w:val="24"/>
        </w:rPr>
        <w:t>)</w:t>
      </w:r>
      <w:r w:rsidRPr="008608AA">
        <w:rPr>
          <w:rFonts w:eastAsia="MS Mincho"/>
          <w:b/>
          <w:i/>
          <w:sz w:val="24"/>
          <w:szCs w:val="24"/>
        </w:rPr>
        <w:t xml:space="preserve"> </w:t>
      </w:r>
      <w:r w:rsidR="008C4B6A" w:rsidRPr="008608AA">
        <w:rPr>
          <w:rFonts w:eastAsia="MS Mincho"/>
          <w:sz w:val="24"/>
          <w:szCs w:val="24"/>
        </w:rPr>
        <w:t>{</w:t>
      </w:r>
      <w:r w:rsidRPr="008608AA">
        <w:rPr>
          <w:rFonts w:eastAsia="MS Mincho"/>
          <w:sz w:val="24"/>
          <w:szCs w:val="24"/>
        </w:rPr>
        <w:t>5.3</w:t>
      </w:r>
      <w:r w:rsidR="008C4B6A" w:rsidRPr="008608AA">
        <w:rPr>
          <w:rFonts w:eastAsia="MS Mincho"/>
          <w:sz w:val="24"/>
          <w:szCs w:val="24"/>
        </w:rPr>
        <w:t>}</w:t>
      </w:r>
      <w:r w:rsidRPr="008608AA">
        <w:rPr>
          <w:rFonts w:eastAsia="MS Mincho"/>
          <w:sz w:val="24"/>
          <w:szCs w:val="24"/>
        </w:rPr>
        <w:t xml:space="preserve">. The challenge in expanding the findings from local studies resides in the fact that a number of comparable local studies are still not available. Information is scattered throughout the region by the use of different units, methods and scales, which prevents a local-to-regional generalization. The list of “nature” indicators used in studies at local scales is large and heterogeneous </w:t>
      </w:r>
      <w:r w:rsidR="008C4B6A" w:rsidRPr="008608AA">
        <w:rPr>
          <w:rFonts w:eastAsia="MS Mincho"/>
          <w:sz w:val="24"/>
          <w:szCs w:val="24"/>
        </w:rPr>
        <w:t>(</w:t>
      </w:r>
      <w:r w:rsidR="008C4B6A" w:rsidRPr="008608AA">
        <w:rPr>
          <w:rFonts w:eastAsia="MS Mincho"/>
          <w:i/>
          <w:sz w:val="24"/>
          <w:szCs w:val="24"/>
        </w:rPr>
        <w:t>well established</w:t>
      </w:r>
      <w:r w:rsidR="008C4B6A" w:rsidRPr="008608AA">
        <w:rPr>
          <w:rFonts w:eastAsia="MS Mincho"/>
          <w:sz w:val="24"/>
          <w:szCs w:val="24"/>
        </w:rPr>
        <w:t>)</w:t>
      </w:r>
      <w:r w:rsidR="006C319B" w:rsidRPr="008608AA">
        <w:rPr>
          <w:rFonts w:eastAsia="MS Mincho"/>
          <w:sz w:val="24"/>
          <w:szCs w:val="24"/>
        </w:rPr>
        <w:t>.</w:t>
      </w:r>
      <w:r w:rsidR="008C4B6A" w:rsidRPr="008608AA">
        <w:rPr>
          <w:rFonts w:eastAsia="MS Mincho"/>
          <w:b/>
          <w:i/>
          <w:sz w:val="24"/>
          <w:szCs w:val="24"/>
        </w:rPr>
        <w:t xml:space="preserve"> </w:t>
      </w:r>
      <w:r w:rsidRPr="008608AA">
        <w:rPr>
          <w:rFonts w:eastAsia="MS Mincho"/>
          <w:sz w:val="24"/>
          <w:szCs w:val="24"/>
        </w:rPr>
        <w:t xml:space="preserve">Even for the same indicator (e.g. biodiversity), different metrics are used (e.g. species-area </w:t>
      </w:r>
      <w:r w:rsidR="006C319B" w:rsidRPr="008608AA">
        <w:rPr>
          <w:rFonts w:eastAsia="MS Mincho"/>
          <w:sz w:val="24"/>
          <w:szCs w:val="24"/>
        </w:rPr>
        <w:t>curve, mean species abundance) {5.5}</w:t>
      </w:r>
      <w:r w:rsidRPr="008608AA">
        <w:rPr>
          <w:rFonts w:eastAsia="MS Mincho"/>
          <w:sz w:val="24"/>
          <w:szCs w:val="24"/>
        </w:rPr>
        <w:t>. In other cases, multiple indicators are used to describe different aspects of biodiversity and ecosystem services. In this latter case, synergies and trade-offs are explicitly mentioned with a clear pattern in which increasing the provision of some indicators result in t</w:t>
      </w:r>
      <w:r w:rsidR="008C4B6A" w:rsidRPr="008608AA">
        <w:rPr>
          <w:rFonts w:eastAsia="MS Mincho"/>
          <w:sz w:val="24"/>
          <w:szCs w:val="24"/>
        </w:rPr>
        <w:t>he detriment of others {5.3}</w:t>
      </w:r>
      <w:r w:rsidRPr="008608AA">
        <w:rPr>
          <w:rFonts w:eastAsia="MS Mincho"/>
          <w:sz w:val="24"/>
          <w:szCs w:val="24"/>
        </w:rPr>
        <w:t>. For example, agriculture expansion leading to loss in biodiversity illustrates a common trend from local studies expected to continue into the future.</w:t>
      </w:r>
    </w:p>
    <w:p w14:paraId="649E63F5" w14:textId="77777777" w:rsidR="006C319B" w:rsidRPr="008608AA" w:rsidRDefault="006C319B" w:rsidP="0042035C">
      <w:pPr>
        <w:spacing w:line="23" w:lineRule="atLeast"/>
        <w:rPr>
          <w:rFonts w:eastAsia="MS Mincho"/>
        </w:rPr>
      </w:pPr>
    </w:p>
    <w:p w14:paraId="25C3CE9C" w14:textId="02A3DF55" w:rsidR="00490494" w:rsidRPr="008608AA" w:rsidRDefault="00490494" w:rsidP="00937445">
      <w:pPr>
        <w:pStyle w:val="ListParagraph"/>
        <w:numPr>
          <w:ilvl w:val="3"/>
          <w:numId w:val="42"/>
        </w:numPr>
        <w:spacing w:line="23" w:lineRule="atLeast"/>
        <w:ind w:left="360"/>
        <w:rPr>
          <w:sz w:val="24"/>
          <w:szCs w:val="24"/>
          <w:lang w:eastAsia="en-GB"/>
        </w:rPr>
      </w:pPr>
      <w:r w:rsidRPr="008608AA">
        <w:rPr>
          <w:b/>
          <w:bCs/>
          <w:sz w:val="24"/>
          <w:szCs w:val="24"/>
          <w:lang w:eastAsia="en-GB"/>
        </w:rPr>
        <w:t xml:space="preserve">There is a significant research gap in the development of models and scenarios that integrate drivers, nature, </w:t>
      </w:r>
      <w:r w:rsidR="006C319B" w:rsidRPr="008608AA">
        <w:rPr>
          <w:b/>
          <w:bCs/>
          <w:sz w:val="24"/>
          <w:szCs w:val="24"/>
          <w:lang w:eastAsia="en-GB"/>
        </w:rPr>
        <w:t>nature’s contributions to people</w:t>
      </w:r>
      <w:r w:rsidRPr="008608AA">
        <w:rPr>
          <w:b/>
          <w:bCs/>
          <w:sz w:val="24"/>
          <w:szCs w:val="24"/>
          <w:lang w:eastAsia="en-GB"/>
        </w:rPr>
        <w:t xml:space="preserve"> and good quality of life </w:t>
      </w:r>
      <w:r w:rsidR="008C4B6A" w:rsidRPr="008608AA">
        <w:rPr>
          <w:rFonts w:eastAsia="MS Mincho"/>
          <w:b/>
          <w:sz w:val="24"/>
          <w:szCs w:val="24"/>
        </w:rPr>
        <w:t>(</w:t>
      </w:r>
      <w:r w:rsidR="008C4B6A" w:rsidRPr="008608AA">
        <w:rPr>
          <w:rFonts w:eastAsia="MS Mincho"/>
          <w:b/>
          <w:i/>
          <w:sz w:val="24"/>
          <w:szCs w:val="24"/>
        </w:rPr>
        <w:t>well established</w:t>
      </w:r>
      <w:r w:rsidR="006C319B" w:rsidRPr="008608AA">
        <w:rPr>
          <w:rFonts w:eastAsia="MS Mincho"/>
          <w:b/>
          <w:sz w:val="24"/>
          <w:szCs w:val="24"/>
        </w:rPr>
        <w:t>)</w:t>
      </w:r>
      <w:r w:rsidR="008C4B6A" w:rsidRPr="008608AA">
        <w:rPr>
          <w:bCs/>
          <w:sz w:val="24"/>
          <w:szCs w:val="24"/>
          <w:lang w:eastAsia="en-GB"/>
        </w:rPr>
        <w:t>{</w:t>
      </w:r>
      <w:r w:rsidRPr="008608AA">
        <w:rPr>
          <w:bCs/>
          <w:sz w:val="24"/>
          <w:szCs w:val="24"/>
          <w:lang w:eastAsia="en-GB"/>
        </w:rPr>
        <w:t>5.3</w:t>
      </w:r>
      <w:r w:rsidR="008C4B6A" w:rsidRPr="008608AA">
        <w:rPr>
          <w:bCs/>
          <w:sz w:val="24"/>
          <w:szCs w:val="24"/>
          <w:lang w:eastAsia="en-GB"/>
        </w:rPr>
        <w:t>}</w:t>
      </w:r>
      <w:r w:rsidRPr="008608AA">
        <w:rPr>
          <w:sz w:val="24"/>
          <w:szCs w:val="24"/>
          <w:lang w:eastAsia="en-GB"/>
        </w:rPr>
        <w:t xml:space="preserve">. Models and scenarios can be powerful tools to integrate and synthesize the complex dynamics of coupled human and nature systems, and to project their plausible behaviors into the future. Most existing models and scenarios focus on the link between drivers and its impacts on nature. Few cases exist in which models or scenarios integrate the relationships between changes in nature and changes in </w:t>
      </w:r>
      <w:r w:rsidR="006C319B" w:rsidRPr="008608AA">
        <w:rPr>
          <w:sz w:val="24"/>
          <w:szCs w:val="24"/>
          <w:lang w:eastAsia="en-GB"/>
        </w:rPr>
        <w:t>nature’s contributions to people</w:t>
      </w:r>
      <w:r w:rsidRPr="008608AA">
        <w:rPr>
          <w:sz w:val="24"/>
          <w:szCs w:val="24"/>
          <w:lang w:eastAsia="en-GB"/>
        </w:rPr>
        <w:t xml:space="preserve"> and good quality of life</w:t>
      </w:r>
      <w:r w:rsidR="008C4B6A" w:rsidRPr="008608AA">
        <w:rPr>
          <w:sz w:val="24"/>
          <w:szCs w:val="24"/>
          <w:lang w:eastAsia="en-GB"/>
        </w:rPr>
        <w:t xml:space="preserve"> </w:t>
      </w:r>
      <w:r w:rsidR="008C4B6A" w:rsidRPr="008608AA">
        <w:rPr>
          <w:bCs/>
          <w:sz w:val="24"/>
          <w:szCs w:val="24"/>
          <w:lang w:eastAsia="en-GB"/>
        </w:rPr>
        <w:t>{5.3</w:t>
      </w:r>
      <w:r w:rsidR="006C319B" w:rsidRPr="008608AA">
        <w:rPr>
          <w:bCs/>
          <w:sz w:val="24"/>
          <w:szCs w:val="24"/>
          <w:lang w:eastAsia="en-GB"/>
        </w:rPr>
        <w:t>}</w:t>
      </w:r>
      <w:r w:rsidR="008C4B6A" w:rsidRPr="008608AA">
        <w:rPr>
          <w:bCs/>
          <w:sz w:val="24"/>
          <w:szCs w:val="24"/>
          <w:lang w:eastAsia="en-GB"/>
        </w:rPr>
        <w:t xml:space="preserve">. </w:t>
      </w:r>
      <w:r w:rsidRPr="008608AA">
        <w:rPr>
          <w:sz w:val="24"/>
          <w:szCs w:val="24"/>
          <w:lang w:eastAsia="en-GB"/>
        </w:rPr>
        <w:t xml:space="preserve">Inter-and trans-disciplinary modeling efforts will be required to address this research gap </w:t>
      </w:r>
      <w:r w:rsidR="008C4B6A" w:rsidRPr="008608AA">
        <w:rPr>
          <w:bCs/>
          <w:sz w:val="24"/>
          <w:szCs w:val="24"/>
          <w:lang w:eastAsia="en-GB"/>
        </w:rPr>
        <w:t>{5.3}.</w:t>
      </w:r>
    </w:p>
    <w:p w14:paraId="63D9EE31" w14:textId="18BFDF96" w:rsidR="00490494" w:rsidRPr="008608AA" w:rsidRDefault="00490494" w:rsidP="00490494">
      <w:pPr>
        <w:rPr>
          <w:rFonts w:eastAsia="Droid Sans Fallback"/>
        </w:rPr>
      </w:pPr>
      <w:r w:rsidRPr="008608AA">
        <w:rPr>
          <w:rFonts w:eastAsia="Droid Sans Fallback"/>
        </w:rPr>
        <w:br w:type="page"/>
      </w:r>
    </w:p>
    <w:p w14:paraId="3A93BE7E" w14:textId="77777777" w:rsidR="00490494" w:rsidRPr="008608AA" w:rsidRDefault="00490494" w:rsidP="0042035C">
      <w:pPr>
        <w:pStyle w:val="Heading2"/>
      </w:pPr>
      <w:bookmarkStart w:id="1860" w:name="_Toc482711161"/>
      <w:bookmarkStart w:id="1861" w:name="_Toc499256882"/>
      <w:bookmarkStart w:id="1862" w:name="_Toc502953629"/>
      <w:bookmarkStart w:id="1863" w:name="_Toc502954922"/>
      <w:bookmarkStart w:id="1864" w:name="_Toc502957729"/>
      <w:bookmarkStart w:id="1865" w:name="_Toc502957928"/>
      <w:bookmarkStart w:id="1866" w:name="_Toc502958082"/>
      <w:bookmarkStart w:id="1867" w:name="_Toc503293151"/>
      <w:bookmarkStart w:id="1868" w:name="_Toc503293749"/>
      <w:bookmarkStart w:id="1869" w:name="_Toc503294011"/>
      <w:bookmarkStart w:id="1870" w:name="_Toc503863404"/>
      <w:bookmarkStart w:id="1871" w:name="_Toc503863632"/>
      <w:bookmarkStart w:id="1872" w:name="_Toc517393398"/>
      <w:bookmarkStart w:id="1873" w:name="_Toc517719139"/>
      <w:bookmarkStart w:id="1874" w:name="_Toc517797096"/>
      <w:r w:rsidRPr="008608AA">
        <w:t>Introduction</w:t>
      </w:r>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p>
    <w:p w14:paraId="65006F47" w14:textId="77777777" w:rsidR="00E0141B" w:rsidRPr="008608AA" w:rsidRDefault="00490494" w:rsidP="0042035C">
      <w:pPr>
        <w:suppressAutoHyphens/>
        <w:rPr>
          <w:rFonts w:eastAsia="Droid Sans Fallback"/>
        </w:rPr>
      </w:pPr>
      <w:r w:rsidRPr="008608AA">
        <w:rPr>
          <w:rFonts w:eastAsia="Droid Sans Fallback"/>
        </w:rPr>
        <w:t>The IPBES (Intergovernmental Science-Policy Platform on Biodiversity and Ecosystem Services) conceptual framework illustrates the complex relationships between natural systems and human well-being and how these relationships are determined through the interdependence of the various components. These components include the specific biological system, Nature’s Contributions to People (NCP, which includes both ecosystem goods and services and natures’ gifts), direct and indirect drivers affecting the system, and the perceived value of the NCP. Previous chapters considered the breadth of NCP, the status and trends of biodiversity, and the major direct and indirect drivers affecting NCP. This chapter aims to: 1) integrate these components by examining what is known with respect to the relationships between them in the Americas; 2) examine what the future state of biodiversity and NCP may be under different plausible future conditions (i.e. “scenarios”); and 3) discuss the establishment of a framework, or pathway, to inform the policy process to attain a sustainable future.</w:t>
      </w:r>
      <w:r w:rsidR="00E0141B" w:rsidRPr="008608AA">
        <w:rPr>
          <w:rFonts w:eastAsia="Droid Sans Fallback"/>
        </w:rPr>
        <w:t xml:space="preserve"> </w:t>
      </w:r>
    </w:p>
    <w:p w14:paraId="70465FE3" w14:textId="77777777" w:rsidR="00E0141B" w:rsidRPr="008608AA" w:rsidRDefault="00E0141B" w:rsidP="0042035C">
      <w:pPr>
        <w:suppressAutoHyphens/>
        <w:rPr>
          <w:rFonts w:eastAsia="Droid Sans Fallback"/>
        </w:rPr>
      </w:pPr>
    </w:p>
    <w:p w14:paraId="7FC7694A" w14:textId="58C94CD7" w:rsidR="00490494" w:rsidRPr="008608AA" w:rsidRDefault="00490494" w:rsidP="0042035C">
      <w:pPr>
        <w:suppressAutoHyphens/>
        <w:rPr>
          <w:rFonts w:eastAsia="Droid Sans Fallback"/>
        </w:rPr>
      </w:pPr>
      <w:r w:rsidRPr="008608AA">
        <w:rPr>
          <w:rFonts w:eastAsia="Droid Sans Fallback"/>
        </w:rPr>
        <w:t xml:space="preserve">To achieve integration of the framework components we relied on two sources of information: 1) the empirical information presented in earlier chapters of this assessment; and 2) modeling studies. As described in 1.2.6, </w:t>
      </w:r>
      <w:r w:rsidRPr="008608AA">
        <w:rPr>
          <w:rFonts w:eastAsia="Droid Sans Fallback"/>
        </w:rPr>
        <w:fldChar w:fldCharType="begin" w:fldLock="1"/>
      </w:r>
      <w:r w:rsidRPr="008608AA">
        <w:rPr>
          <w:rFonts w:eastAsia="Droid Sans Fallback"/>
        </w:rPr>
        <w:instrText>ADDIN CSL_CITATION { "citationItems" : [ { "id" : "ITEM-1", "itemData" : { "ISBN" : "9789280735697", "author" : [ { "dropping-particle" : "", "family" : "IPBES", "given" : "", "non-dropping-particle" : "", "parse-names" : false, "suffix" : "" } ], "id" : "ITEM-1", "issued" : { "date-parts" : [ [ "2016" ] ] }, "number-of-pages" : "348", "publisher-place" : "Bonn, Germany", "title" : "The methodological assessment report on scenarios and models of biodiversity and ecosystem services", "type" : "report" }, "uris" : [ "http://www.mendeley.com/documents/?uuid=89dca119-8eff-4b71-ae8e-246dffbe883a" ] } ], "mendeley" : { "formattedCitation" : "(IPBES, 2016)", "plainTextFormattedCitation" : "(IPBES, 2016)", "previouslyFormattedCitation" : "(IPBES,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(IPBES, 2016)</w:t>
      </w:r>
      <w:r w:rsidRPr="008608AA">
        <w:rPr>
          <w:rFonts w:eastAsia="Droid Sans Fallback"/>
        </w:rPr>
        <w:fldChar w:fldCharType="end"/>
      </w:r>
      <w:r w:rsidRPr="008608AA">
        <w:rPr>
          <w:rFonts w:eastAsia="Droid Sans Fallback"/>
        </w:rPr>
        <w:t xml:space="preserve">, and as depicted in Figure 5.1, models are “qualitative or quantitative descriptions of key components of a system and of the relationships between those components”, which can be used </w:t>
      </w:r>
      <w:r w:rsidR="004C33B7" w:rsidRPr="008608AA">
        <w:rPr>
          <w:rFonts w:eastAsia="Droid Sans Fallback"/>
        </w:rPr>
        <w:t xml:space="preserve">to </w:t>
      </w:r>
      <w:r w:rsidRPr="008608AA">
        <w:rPr>
          <w:rFonts w:eastAsia="Droid Sans Fallback"/>
        </w:rPr>
        <w:t xml:space="preserve">assess how systems function or how changes in a system may result in altered outcomes. In the case of this chapter, models involving the components of the IPBES framework can inform us as to likely future conditions, the possible result of policy interventions, or help us define pathways to a more sustainable future and more equitable distribution of NCP among sectors of society or regions. However, it should be noted that even the best models are only approximations of reality and they all have some degree of uncertainty associated with them </w:t>
      </w:r>
      <w:r w:rsidRPr="008608AA">
        <w:rPr>
          <w:rFonts w:eastAsia="Droid Sans Fallback"/>
        </w:rPr>
        <w:fldChar w:fldCharType="begin" w:fldLock="1"/>
      </w:r>
      <w:r w:rsidRPr="008608AA">
        <w:rPr>
          <w:rFonts w:eastAsia="Droid Sans Fallback"/>
        </w:rPr>
        <w:instrText>ADDIN CSL_CITATION { "citationItems" : [ { "id" : "ITEM-1", "itemData" : { "DOI" : "10.1016/J.ENVSOFT.2016.03.014", "ISSN" : "1364-8152", "author" : [ { "dropping-particle" : "", "family" : "Maier", "given" : "H.R.", "non-dropping-particle" : "", "parse-names" : false, "suffix" : "" }, { "dropping-particle" : "", "family" : "Guillaume", "given" : "J.H.A.", "non-dropping-particle" : "", "parse-names" : false, "suffix" : "" }, { "dropping-particle" : "van", "family" : "Deldena", "given" : "H.", "non-dropping-particle" : "", "parse-names" : false, "suffix" : "" }, { "dropping-particle" : "", "family" : "Riddell", "given" : "G.A.", "non-dropping-particle" : "", "parse-names" : false, "suffix" : "" }, { "dropping-particle" : "", "family" : "Haasnoot", "given" : "M.", "non-dropping-particle" : "", "parse-names" : false, "suffix" : "" }, { "dropping-particle" : "", "family" : "Kwakkel", "given" : "J.H.", "non-dropping-particle" : "", "parse-names" : false, "suffix" : "" } ], "container-title" : "Environmental Modelling &amp; Software", "id" : "ITEM-1", "issue" : "81", "issued" : { "date-parts" : [ [ "2016", "7", "1" ] ] }, "page" : "154-164", "publisher" : "Elsevier", "title" : "An uncertain future, deep uncertainty, scenarios, robustness and adaptation: How do they fit together?", "type" : "article-journal", "volume" : "81" }, "uris" : [ "http://www.mendeley.com/documents/?uuid=ae154f81-1c2d-3b93-8304-854b09b71ecc" ] } ], "mendeley" : { "formattedCitation" : "(Maier et al., 2016)", "plainTextFormattedCitation" : "(Maier et al., 2016)", "previouslyFormattedCitation" : "(Maier et al.,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(Maier et al., 2016)</w:t>
      </w:r>
      <w:r w:rsidRPr="008608AA">
        <w:rPr>
          <w:rFonts w:eastAsia="Droid Sans Fallback"/>
        </w:rPr>
        <w:fldChar w:fldCharType="end"/>
      </w:r>
      <w:r w:rsidRPr="008608AA">
        <w:rPr>
          <w:rFonts w:eastAsia="Droid Sans Fallback"/>
        </w:rPr>
        <w:t>. We then evaluated this information through the lens of four major classes of scenarios.</w:t>
      </w:r>
    </w:p>
    <w:p w14:paraId="13C3898B" w14:textId="579EBE5C" w:rsidR="0042035C" w:rsidRPr="008608AA" w:rsidRDefault="00BF3F56" w:rsidP="0042035C">
      <w:pPr>
        <w:suppressAutoHyphens/>
        <w:spacing w:before="240"/>
        <w:jc w:val="center"/>
        <w:rPr>
          <w:rFonts w:eastAsia="Droid Sans Fallback"/>
        </w:rPr>
      </w:pPr>
      <w:r w:rsidRPr="008608AA">
        <w:rPr>
          <w:rFonts w:eastAsia="Droid Sans Fallback"/>
          <w:noProof/>
          <w:lang w:val="en-GB" w:eastAsia="en-GB"/>
        </w:rPr>
        <w:drawing>
          <wp:inline distT="0" distB="0" distL="0" distR="0" wp14:anchorId="06301073" wp14:editId="037C08F4">
            <wp:extent cx="5934075" cy="3171825"/>
            <wp:effectExtent l="0" t="0" r="9525" b="9525"/>
            <wp:docPr id="2110" name="Imagen 2110" descr="C:\Users\Alejandro Valderrama\Downloads\Fig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1" descr="C:\Users\Alejandro Valderrama\Downloads\Fig5.1.jpg"/>
                    <pic:cNvPicPr>
                      <a:picLocks noChangeAspect="1" noChangeArrowheads="1"/>
                    </pic:cNvPicPr>
                  </pic:nvPicPr>
                  <pic:blipFill rotWithShape="1">
                    <a:blip r:embed="rId1026">
                      <a:extLst>
                        <a:ext uri="{28A0092B-C50C-407E-A947-70E740481C1C}">
                          <a14:useLocalDpi xmlns:a14="http://schemas.microsoft.com/office/drawing/2010/main" val="0"/>
                        </a:ext>
                      </a:extLst>
                    </a:blip>
                    <a:srcRect b="62918"/>
                    <a:stretch/>
                  </pic:blipFill>
                  <pic:spPr bwMode="auto">
                    <a:xfrm>
                      <a:off x="0" y="0"/>
                      <a:ext cx="5934075" cy="3171825"/>
                    </a:xfrm>
                    <a:prstGeom prst="rect">
                      <a:avLst/>
                    </a:prstGeom>
                    <a:noFill/>
                    <a:ln>
                      <a:noFill/>
                    </a:ln>
                    <a:extLst>
                      <a:ext uri="{53640926-AAD7-44D8-BBD7-CCE9431645EC}">
                        <a14:shadowObscured xmlns:a14="http://schemas.microsoft.com/office/drawing/2010/main"/>
                      </a:ext>
                    </a:extLst>
                  </pic:spPr>
                </pic:pic>
              </a:graphicData>
            </a:graphic>
          </wp:inline>
        </w:drawing>
      </w:r>
    </w:p>
    <w:p w14:paraId="0BAC3246" w14:textId="77777777" w:rsidR="00490494" w:rsidRPr="008608AA" w:rsidRDefault="00490494" w:rsidP="0042035C">
      <w:pPr>
        <w:suppressAutoHyphens/>
        <w:spacing w:before="240"/>
        <w:rPr>
          <w:rFonts w:eastAsia="Droid Sans Fallback"/>
        </w:rPr>
      </w:pPr>
      <w:r w:rsidRPr="008608AA">
        <w:rPr>
          <w:rFonts w:eastAsia="Droid Sans Fallback"/>
        </w:rPr>
        <w:t xml:space="preserve">Due to the complexity of the issue of biodiversity and NCP, as well as the universe of possible policy interventions, there are an almost infinite number of scenarios that can be constructed and on which models can be based; </w:t>
      </w:r>
      <w:r w:rsidRPr="008608AA">
        <w:rPr>
          <w:rFonts w:eastAsia="Droid Sans Fallback"/>
        </w:rPr>
        <w:fldChar w:fldCharType="begin" w:fldLock="1"/>
      </w:r>
      <w:r w:rsidRPr="008608AA">
        <w:rPr>
          <w:rFonts w:eastAsia="Droid Sans Fallback"/>
        </w:rPr>
        <w:instrText>ADDIN CSL_CITATION { "citationItems" : [ { "id" : "ITEM-1", "itemData" : { "DOI" : "10.3390/su4040740", "ISSN" : "2071-1050", "abstract" : "Future scenarios provide challenging, plausible and relevant stories about how the future could unfold. Urban Futures (UF) research has identified a substantial set (&gt;450) of seemingly disparate scenarios published over the period 1997\u20132011 and within this research, a sub-set of &gt;160 scenarios has been identified (and categorized) based on their narratives according to the structure first proposed by the Global Scenario Group (GSG) in 1997; three world types (Business as Usual, Barbarization, and Great Transitions) and six scenarios, two for each world type (Policy Reform\u2014PR, Market Forces\u2014MF, Breakdown\u2014B, Fortress World\u2014FW, Eco-Communalism\u2014EC and New Sustainability Paradigm\u2014NSP). It is suggested that four of these scenario archetypes (MF, PR, NSP and FW) are sufficiently distinct to facilitate active stakeholder engagement in futures thinking. Moreover they are accompanied by a well-established, internally consistent set of narratives that provide a deeper understanding of the key fundamental drivers \\n(e.g., STEEP\u2014Social, Technological, Economic, Environmental and Political) that could bring about realistic world changes through a push or a pull effect. This is testament to the original concept of the GSG scenarios and their development and refinement over a \\n16 year period.", "author" : [ { "dropping-particle" : "", "family" : "Hunt", "given" : "Dexter V L", "non-dropping-particle" : "", "parse-names" : false, "suffix" : "" }, { "dropping-particle" : "", "family" : "Lombardi", "given" : "D. Rachel", "non-dropping-particle" : "", "parse-names" : false, "suffix" : "" }, { "dropping-particle" : "", "family" : "Atkinson", "given" : "Stuart", "non-dropping-particle" : "", "parse-names" : false, "suffix" : "" }, { "dropping-particle" : "", "family" : "Barber", "given" : "Austin R G", "non-dropping-particle" : "", "parse-names" : false, "suffix" : "" }, { "dropping-particle" : "", "family" : "Barnes", "given" : "Matthew", "non-dropping-particle" : "", "parse-names" : false, "suffix" : "" }, { "dropping-particle" : "", "family" : "Boyko", "given" : "Christopher T.", "non-dropping-particle" : "", "parse-names" : false, "suffix" : "" }, { "dropping-particle" : "", "family" : "Brown", "given" : "Julie", "non-dropping-particle" : "", "parse-names" : false, "suffix" : "" }, { "dropping-particle" : "", "family" : "Bryson", "given" : "John", "non-dropping-particle" : "", "parse-names" : false, "suffix" : "" }, { "dropping-particle" : "", "family" : "Butler", "given" : "David", "non-dropping-particle" : "", "parse-names" : false, "suffix" : "" }, { "dropping-particle" : "", "family" : "Caputo", "given" : "Silvio", "non-dropping-particle" : "", "parse-names" : false, "suffix" : "" }, { "dropping-particle" : "", "family" : "Caserio", "given" : "Maria", "non-dropping-particle" : "", "parse-names" : false, "suffix" : "" }, { "dropping-particle" : "", "family" : "Coles", "given" : "Richard", "non-dropping-particle" : "", "parse-names" : false, "suffix" : "" }, { "dropping-particle" : "", "family" : "Cooper", "given" : "Rachel F D", "non-dropping-particle" : "", "parse-names" : false, "suffix" : "" }, { "dropping-particle" : "", "family" : "Farmani", "given" : "Raziyeh", "non-dropping-particle" : "", "parse-names" : false, "suffix" : "" }, { "dropping-particle" : "", "family" : "Gaterell", "given" : "Mark", "non-dropping-particle" : "", "parse-names" : false, "suffix" : "" }, { "dropping-particle" : "", "family" : "Hale", "given" : "James", "non-dropping-particle" : "", "parse-names" : false, "suffix" : "" }, { "dropping-particle" : "", "family" : "Hales", "given" : "Chantal", "non-dropping-particle" : "", "parse-names" : false, "suffix" : "" }, { "dropping-particle" : "", "family" : "Hewitt", "given" : "C. Nicholas", "non-dropping-particle" : "", "parse-names" : false, "suffix" : "" }, { "dropping-particle" : "", "family" : "Jankovic", "given" : "Lubo", "non-dropping-particle" : "", "parse-names" : false, "suffix" : "" }, { "dropping-particle" : "", "family" : "Jefferson", "given" : "I.", "non-dropping-particle" : "", "parse-names" : false, "suffix" : "" }, { "dropping-particle" : "", "family" : "Leach", "given" : "J.", "non-dropping-particle" : "", "parse-names" : false, "suffix" : "" }, { "dropping-particle" : "", "family" : "MacKenzie", "given" : "A. Rob", "non-dropping-particle" : "", "parse-names" : false, "suffix" : "" }, { "dropping-particle" : "", "family" : "Memon", "given" : "Fayyaz Ali", "non-dropping-particle" : "", "parse-names" : false, "suffix" : "" }, { "dropping-particle" : "", "family" : "Sadler", "given" : "Jon P.", "non-dropping-particle" : "", "parse-names" : false, "suffix" : "" }, { "dropping-particle" : "", "family" : "Weingaertner", "given" : "Carina", "non-dropping-particle" : "", "parse-names" : false, "suffix" : "" }, { "dropping-particle" : "", "family" : "Whyatt", "given" : "J. Duncan", "non-dropping-particle" : "", "parse-names" : false, "suffix" : "" }, { "dropping-particle" : "", "family" : "Rogers", "given" : "Christopher D F", "non-dropping-particle" : "", "parse-names" : false, "suffix" : "" } ], "container-title" : "Sustainability", "id" : "ITEM-1", "issue" : "12", "issued" : { "date-parts" : [ [ "2012", "4", "20" ] ] }, "page" : "740-772", "title" : "Scenario Archetypes: Converging Rather than Diverging Themes", "type" : "article-journal", "volume" : "4" }, "uris" : [ "http://www.mendeley.com/documents/?uuid=c025bc46-08ea-4459-b160-ba58a0a196a1" ] } ], "mendeley" : { "formattedCitation" : "(Hunt et al., 2012)", "manualFormatting" : "Hunt et al. (2012)", "plainTextFormattedCitation" : "(Hunt et al., 2012)", "previouslyFormattedCitation" : "(Hunt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Hunt et al. (2012)</w:t>
      </w:r>
      <w:r w:rsidRPr="008608AA">
        <w:rPr>
          <w:rFonts w:eastAsia="Droid Sans Fallback"/>
        </w:rPr>
        <w:fldChar w:fldCharType="end"/>
      </w:r>
      <w:r w:rsidRPr="008608AA">
        <w:rPr>
          <w:rFonts w:eastAsia="Droid Sans Fallback"/>
        </w:rPr>
        <w:t xml:space="preserve"> report that over 450 scenarios relating to NCP have been developed. However, as compellingly argued by Hunt et al. </w:t>
      </w:r>
      <w:r w:rsidRPr="008608AA">
        <w:rPr>
          <w:rFonts w:eastAsia="Droid Sans Fallback"/>
        </w:rPr>
        <w:fldChar w:fldCharType="begin" w:fldLock="1"/>
      </w:r>
      <w:r w:rsidRPr="008608AA">
        <w:rPr>
          <w:rFonts w:eastAsia="Droid Sans Fallback"/>
        </w:rPr>
        <w:instrText>ADDIN CSL_CITATION { "citationItems" : [ { "id" : "ITEM-1", "itemData" : { "DOI" : "10.3390/su4040740", "ISSN" : "2071-1050", "abstract" : "Future scenarios provide challenging, plausible and relevant stories about how the future could unfold. Urban Futures (UF) research has identified a substantial set (&gt;450) of seemingly disparate scenarios published over the period 1997\u20132011 and within this research, a sub-set of &gt;160 scenarios has been identified (and categorized) based on their narratives according to the structure first proposed by the Global Scenario Group (GSG) in 1997; three world types (Business as Usual, Barbarization, and Great Transitions) and six scenarios, two for each world type (Policy Reform\u2014PR, Market Forces\u2014MF, Breakdown\u2014B, Fortress World\u2014FW, Eco-Communalism\u2014EC and New Sustainability Paradigm\u2014NSP). It is suggested that four of these scenario archetypes (MF, PR, NSP and FW) are sufficiently distinct to facilitate active stakeholder engagement in futures thinking. Moreover they are accompanied by a well-established, internally consistent set of narratives that provide a deeper understanding of the key fundamental drivers \\n(e.g., STEEP\u2014Social, Technological, Economic, Environmental and Political) that could bring about realistic world changes through a push or a pull effect. This is testament to the original concept of the GSG scenarios and their development and refinement over a \\n16 year period.", "author" : [ { "dropping-particle" : "", "family" : "Hunt", "given" : "Dexter V L", "non-dropping-particle" : "", "parse-names" : false, "suffix" : "" }, { "dropping-particle" : "", "family" : "Lombardi", "given" : "D. Rachel", "non-dropping-particle" : "", "parse-names" : false, "suffix" : "" }, { "dropping-particle" : "", "family" : "Atkinson", "given" : "Stuart", "non-dropping-particle" : "", "parse-names" : false, "suffix" : "" }, { "dropping-particle" : "", "family" : "Barber", "given" : "Austin R G", "non-dropping-particle" : "", "parse-names" : false, "suffix" : "" }, { "dropping-particle" : "", "family" : "Barnes", "given" : "Matthew", "non-dropping-particle" : "", "parse-names" : false, "suffix" : "" }, { "dropping-particle" : "", "family" : "Boyko", "given" : "Christopher T.", "non-dropping-particle" : "", "parse-names" : false, "suffix" : "" }, { "dropping-particle" : "", "family" : "Brown", "given" : "Julie", "non-dropping-particle" : "", "parse-names" : false, "suffix" : "" }, { "dropping-particle" : "", "family" : "Bryson", "given" : "John", "non-dropping-particle" : "", "parse-names" : false, "suffix" : "" }, { "dropping-particle" : "", "family" : "Butler", "given" : "David", "non-dropping-particle" : "", "parse-names" : false, "suffix" : "" }, { "dropping-particle" : "", "family" : "Caputo", "given" : "Silvio", "non-dropping-particle" : "", "parse-names" : false, "suffix" : "" }, { "dropping-particle" : "", "family" : "Caserio", "given" : "Maria", "non-dropping-particle" : "", "parse-names" : false, "suffix" : "" }, { "dropping-particle" : "", "family" : "Coles", "given" : "Richard", "non-dropping-particle" : "", "parse-names" : false, "suffix" : "" }, { "dropping-particle" : "", "family" : "Cooper", "given" : "Rachel F D", "non-dropping-particle" : "", "parse-names" : false, "suffix" : "" }, { "dropping-particle" : "", "family" : "Farmani", "given" : "Raziyeh", "non-dropping-particle" : "", "parse-names" : false, "suffix" : "" }, { "dropping-particle" : "", "family" : "Gaterell", "given" : "Mark", "non-dropping-particle" : "", "parse-names" : false, "suffix" : "" }, { "dropping-particle" : "", "family" : "Hale", "given" : "James", "non-dropping-particle" : "", "parse-names" : false, "suffix" : "" }, { "dropping-particle" : "", "family" : "Hales", "given" : "Chantal", "non-dropping-particle" : "", "parse-names" : false, "suffix" : "" }, { "dropping-particle" : "", "family" : "Hewitt", "given" : "C. Nicholas", "non-dropping-particle" : "", "parse-names" : false, "suffix" : "" }, { "dropping-particle" : "", "family" : "Jankovic", "given" : "Lubo", "non-dropping-particle" : "", "parse-names" : false, "suffix" : "" }, { "dropping-particle" : "", "family" : "Jefferson", "given" : "I.", "non-dropping-particle" : "", "parse-names" : false, "suffix" : "" }, { "dropping-particle" : "", "family" : "Leach", "given" : "J.", "non-dropping-particle" : "", "parse-names" : false, "suffix" : "" }, { "dropping-particle" : "", "family" : "MacKenzie", "given" : "A. Rob", "non-dropping-particle" : "", "parse-names" : false, "suffix" : "" }, { "dropping-particle" : "", "family" : "Memon", "given" : "Fayyaz Ali", "non-dropping-particle" : "", "parse-names" : false, "suffix" : "" }, { "dropping-particle" : "", "family" : "Sadler", "given" : "Jon P.", "non-dropping-particle" : "", "parse-names" : false, "suffix" : "" }, { "dropping-particle" : "", "family" : "Weingaertner", "given" : "Carina", "non-dropping-particle" : "", "parse-names" : false, "suffix" : "" }, { "dropping-particle" : "", "family" : "Whyatt", "given" : "J. Duncan", "non-dropping-particle" : "", "parse-names" : false, "suffix" : "" }, { "dropping-particle" : "", "family" : "Rogers", "given" : "Christopher D F", "non-dropping-particle" : "", "parse-names" : false, "suffix" : "" } ], "container-title" : "Sustainability", "id" : "ITEM-1", "issue" : "12", "issued" : { "date-parts" : [ [ "2012", "4", "20" ] ] }, "page" : "740-772", "title" : "Scenario Archetypes: Converging Rather than Diverging Themes", "type" : "article-journal", "volume" : "4" }, "suppress-author" : 1, "uris" : [ "http://www.mendeley.com/documents/?uuid=c025bc46-08ea-4459-b160-ba58a0a196a1" ] } ], "mendeley" : { "formattedCitation" : "(2012)", "plainTextFormattedCitation" : "(2012)", "previouslyFormattedCitation" :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(2012)</w:t>
      </w:r>
      <w:r w:rsidRPr="008608AA">
        <w:rPr>
          <w:rFonts w:eastAsia="Droid Sans Fallback"/>
        </w:rPr>
        <w:fldChar w:fldCharType="end"/>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"DOI" : "10.1016/j.gloenvcha.2012.06.001", "ISBN" : "0959-3780", "ISSN" : "09593780", "abstract" : "Over the last 10 years a large set of global environmental assessment studies has been published that include scenario projections. Comparison of these studies shows that there is actually a limited set of scenario families that form the basis of many scenarios used in different environmental assessments. Mapping these scenario families allow a simpler comparison across the different assessments. The fact that many assessments can be positioned within these families gives some confidence of their relevance. It is also noticeable that several recent assessments have been focusing on more focussed policy-scenarios as variant to a single baseline. This is partly a response to a different stage in the policy-making process. While there are clear advantages of both categories of scenarios (explorative scenarios and baseline/policy variants), it might be important to test the robustness of scenario outcomes of the policy-scenario approach against the different storyline scenario-families identified in this paper. \u00a9 2012 Elsevier Ltd.", "author" : [ { "dropping-particle" : "", "family" : "Vuuren", "given" : "Detlef P.", "non-dropping-particle" : "van", "parse-names" : false, "suffix" : "" }, { "dropping-particle" : "", "family" : "Kok", "given" : "Marcel T J", "non-dropping-particle" : "", "parse-names" : false, "suffix" : "" }, { "dropping-particle" : "", "family" : "Girod", "given" : "Bastien", "non-dropping-particle" : "", "parse-names" : false, "suffix" : "" }, { "dropping-particle" : "", "family" : "Lucas", "given" : "Paul L.", "non-dropping-particle" : "", "parse-names" : false, "suffix" : "" }, { "dropping-particle" : "", "family" : "Vries", "given" : "Bert", "non-dropping-particle" : "de", "parse-names" : false, "suffix" : "" } ], "container-title" : "Global Environmental Change", "id" : "ITEM-1", "issue" : "4", "issued" : { "date-parts" : [ [ "2012" ] ] }, "page" : "884-895", "publisher" : "Elsevier Ltd", "title" : "Scenarios in Global Environmental Assessments: Key characteristics and lessons for future use", "type" : "article-journal", "volume" : "22" }, "uris" : [ "http://www.mendeley.com/documents/?uuid=ddd7707f-e1e3-4cf8-b632-9e5df0bff03d" ] } ], "mendeley" : { "formattedCitation" : "(van Vuuren, Kok, Girod, Lucas, &amp; de Vries, 2012)", "manualFormatting" : "van Vuuren et al. (2012)", "plainTextFormattedCitation" : "(van Vuuren, Kok, Girod, Lucas, &amp; de Vries, 2012)", "previouslyFormattedCitation" : "(van Vuuren, Kok, Girod, Lucas, &amp; de Vries,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van Vuuren et al. (2012)</w:t>
      </w:r>
      <w:r w:rsidRPr="008608AA">
        <w:rPr>
          <w:rFonts w:eastAsia="Droid Sans Fallback"/>
        </w:rPr>
        <w:fldChar w:fldCharType="end"/>
      </w:r>
      <w:r w:rsidRPr="008608AA">
        <w:rPr>
          <w:rFonts w:eastAsia="Droid Sans Fallback"/>
        </w:rPr>
        <w:t xml:space="preserve">, IPBES </w:t>
      </w:r>
      <w:r w:rsidRPr="008608AA">
        <w:rPr>
          <w:rFonts w:eastAsia="Droid Sans Fallback"/>
        </w:rPr>
        <w:fldChar w:fldCharType="begin" w:fldLock="1"/>
      </w:r>
      <w:r w:rsidRPr="008608AA">
        <w:rPr>
          <w:rFonts w:eastAsia="Droid Sans Fallback"/>
        </w:rPr>
        <w:instrText>ADDIN CSL_CITATION { "citationItems" : [ { "id" : "ITEM-1", "itemData" : { "ISBN" : "9789280735697", "author" : [ { "dropping-particle" : "", "family" : "IPBES", "given" : "", "non-dropping-particle" : "", "parse-names" : false, "suffix" : "" } ], "id" : "ITEM-1", "issued" : { "date-parts" : [ [ "2016" ] ] }, "number-of-pages" : "348", "publisher-place" : "Bonn, Germany", "title" : "The methodological assessment report on scenarios and models of biodiversity and ecosystem services", "type" : "report" }, "suppress-author" : 1, "uris" : [ "http://www.mendeley.com/documents/?uuid=89dca119-8eff-4b71-ae8e-246dffbe883a" ] } ], "mendeley" : { "formattedCitation" : "(2016)", "plainTextFormattedCitation" : "(2016)", "previouslyFormattedCitation" :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(2016)</w:t>
      </w:r>
      <w:r w:rsidRPr="008608AA">
        <w:rPr>
          <w:rFonts w:eastAsia="Droid Sans Fallback"/>
        </w:rPr>
        <w:fldChar w:fldCharType="end"/>
      </w:r>
      <w:r w:rsidRPr="008608AA">
        <w:rPr>
          <w:rFonts w:eastAsia="Droid Sans Fallback"/>
        </w:rPr>
        <w:t xml:space="preserve"> and </w:t>
      </w:r>
      <w:r w:rsidRPr="008608AA">
        <w:rPr>
          <w:rFonts w:eastAsia="Droid Sans Fallback"/>
        </w:rPr>
        <w:fldChar w:fldCharType="begin" w:fldLock="1"/>
      </w:r>
      <w:r w:rsidRPr="008608AA">
        <w:rPr>
          <w:rFonts w:eastAsia="Droid Sans Fallback"/>
        </w:rPr>
        <w:instrText>ADDIN CSL_CITATION { "citationItems" : [ { "id" : "ITEM-1", "itemData" : { "DOI" : "10.1016/j.ecoser.2017.05.004", "ISBN" : "9789588343990", "ISSN" : "22120416", "abstract" : "We estimated the future value of ecosystem services in monetary units for 4 alternative global land use and management scenarios based on the Great Transition Initiative (GTI) scenarios to the year 2050. We used previous estimates of the per biome values of ecosystem services in 2011 as the basis for comparison. We mapped projected land-use for 16\u00a0biomes at 1\u00a0km2 resolution globally for each scenario. This, combined with differences in land management for each scenario, created estimates of global ecosystem services values that also allowed for examinations of individual countries. Results show that under different scenarios the global value of ecosystem services can decline by $51\u00a0trillion/yr or increase by USD $30\u00a0trillion/yr. In addition to the global values, we report totals for all countries and maps for a few example countries. Results show that adopting a set of policies similar to those required to achieve the UN Sustainable Development Goals, would greatly enhance ecosystem services, human wellbeing and sustainability.", "author" : [ { "dropping-particle" : "", "family" : "Kubiszewski", "given" : "Ida", "non-dropping-particle" : "", "parse-names" : false, "suffix" : "" }, { "dropping-particle" : "", "family" : "Costanza", "given" : "Robert", "non-dropping-particle" : "", "parse-names" : false, "suffix" : "" }, { "dropping-particle" : "", "family" : "Anderson", "given" : "Sharolyn", "non-dropping-particle" : "", "parse-names" : false, "suffix" : "" }, { "dropping-particle" : "", "family" : "Sutton", "given" : "Paul", "non-dropping-particle" : "", "parse-names" : false, "suffix" : "" } ], "container-title" : "Ecosystem Services", "id" : "ITEM-1", "issued" : { "date-parts" : [ [ "2017" ] ] }, "page" : "289-301", "publisher" : "Elsevier B.V.", "title" : "The future value of ecosystem services: Global scenarios and national implications", "type" : "article-journal", "volume" : "26" }, "uris" : [ "http://www.mendeley.com/documents/?uuid=9d823675-a63d-41cb-82ed-8b5055c49590" ] } ], "mendeley" : { "formattedCitation" : "(Kubiszewski, Costanza, Anderson, &amp; Sutton, 2017a)", "manualFormatting" : "Kubiszewski et al. (2017)", "plainTextFormattedCitation" : "(Kubiszewski, Costanza, Anderson, &amp; Sutton, 2017a)", "previouslyFormattedCitation" : "(Kubiszewski, Costanza, Anderson, &amp; Sutton, 2017a)"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Kubiszewski et al. (2017)</w:t>
      </w:r>
      <w:r w:rsidRPr="008608AA">
        <w:rPr>
          <w:rFonts w:eastAsia="Droid Sans Fallback"/>
        </w:rPr>
        <w:fldChar w:fldCharType="end"/>
      </w:r>
      <w:r w:rsidRPr="008608AA">
        <w:rPr>
          <w:rFonts w:eastAsia="Droid Sans Fallback"/>
        </w:rPr>
        <w:t xml:space="preserve">, scenarios can be grouped according to a limited number of “archetypes” or families, originally identified by the Global Scenario Group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"Gallopin", "given" : "G.C.", "non-dropping-particle" : "", "parse-names" : false, "suffix" : "" }, { "dropping-particle" : "", "family" : "Rijsberman", "given" : "F.", "non-dropping-particle" : "", "parse-names" : false, "suffix" : "" } ], "container-title" : "Int. J. Water", "id" : "ITEM-1", "issue" : "1", "issued" : { "date-parts" : [ [ "1997" ] ] }, "page" : "16\u201340", "title" : "Three global water scenarios", "type" : "article-journal", "volume" : "1" }, "uris" : [ "http://www.mendeley.com/documents/?uuid=2e1bddb6-ef3c-475d-993d-dcc5728357ef" ] } ], "mendeley" : { "formattedCitation" : "(Gallopin &amp; Rijsberman, 1997)", "plainTextFormattedCitation" : "(Gallopin &amp; Rijsberman, 1997)", "previouslyFormattedCitation" : "(Gallopin &amp; Rijsberman, 1997)"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(Gallopin &amp; Rijsberman, 1997)</w:t>
      </w:r>
      <w:r w:rsidRPr="008608AA">
        <w:rPr>
          <w:rFonts w:eastAsia="Droid Sans Fallback"/>
        </w:rPr>
        <w:fldChar w:fldCharType="end"/>
      </w:r>
      <w:r w:rsidRPr="008608AA">
        <w:rPr>
          <w:rFonts w:eastAsia="Droid Sans Fallback"/>
        </w:rPr>
        <w:t xml:space="preserve">. The archetypes encompass four main themes: 1) Market Forces; 2) Fortress World; 3) Policy Reform; and 4) Great Transition. </w:t>
      </w:r>
    </w:p>
    <w:p w14:paraId="68116FA9" w14:textId="77777777" w:rsidR="00490494" w:rsidRPr="008608AA" w:rsidRDefault="00490494" w:rsidP="00B33BD5">
      <w:pPr>
        <w:numPr>
          <w:ilvl w:val="0"/>
          <w:numId w:val="10"/>
        </w:numPr>
        <w:suppressAutoHyphens/>
        <w:spacing w:line="276" w:lineRule="auto"/>
        <w:contextualSpacing/>
        <w:rPr>
          <w:rFonts w:eastAsia="MS Mincho"/>
        </w:rPr>
      </w:pPr>
      <w:r w:rsidRPr="008608AA">
        <w:rPr>
          <w:rFonts w:eastAsia="MS Mincho"/>
        </w:rPr>
        <w:t xml:space="preserve">Market Forces: This scenario is a story of a market-driven world in the 21st century in which demographic, economic, environmental, and technological trends unfold without major surprises. </w:t>
      </w:r>
    </w:p>
    <w:p w14:paraId="7FF58420" w14:textId="77777777" w:rsidR="00490494" w:rsidRPr="008608AA" w:rsidRDefault="00490494" w:rsidP="00B33BD5">
      <w:pPr>
        <w:numPr>
          <w:ilvl w:val="0"/>
          <w:numId w:val="10"/>
        </w:numPr>
        <w:suppressAutoHyphens/>
        <w:spacing w:line="276" w:lineRule="auto"/>
        <w:contextualSpacing/>
        <w:rPr>
          <w:rFonts w:eastAsia="MS Mincho"/>
        </w:rPr>
      </w:pPr>
      <w:r w:rsidRPr="008608AA">
        <w:rPr>
          <w:rFonts w:eastAsia="MS Mincho"/>
        </w:rPr>
        <w:t xml:space="preserve">Policy Reform: This scenario envisions the emergence of strong political will for taking harmonized and rapid action to ensure a successful transition to a more equitable and environmentally resilient future. </w:t>
      </w:r>
    </w:p>
    <w:p w14:paraId="08DAC8BF" w14:textId="77777777" w:rsidR="00490494" w:rsidRPr="008608AA" w:rsidRDefault="00490494" w:rsidP="00B33BD5">
      <w:pPr>
        <w:numPr>
          <w:ilvl w:val="0"/>
          <w:numId w:val="10"/>
        </w:numPr>
        <w:suppressAutoHyphens/>
        <w:spacing w:line="276" w:lineRule="auto"/>
        <w:contextualSpacing/>
        <w:rPr>
          <w:rFonts w:eastAsia="MS Mincho"/>
        </w:rPr>
      </w:pPr>
      <w:r w:rsidRPr="008608AA">
        <w:rPr>
          <w:rFonts w:eastAsia="MS Mincho"/>
        </w:rPr>
        <w:t xml:space="preserve">Fortress World: This scenario is a variant of a broader class of Barbarization scenarios in the hierarchy of the Global Scenario Group. Barbarization scenarios envision the grim possibility that the social, economic and moral underpinnings of civilization deteriorate, as emerging problems overwhelm the coping capacity of both markets and policy reforms. </w:t>
      </w:r>
    </w:p>
    <w:p w14:paraId="4C540A72" w14:textId="77777777" w:rsidR="00490494" w:rsidRPr="008608AA" w:rsidRDefault="00490494" w:rsidP="00B33BD5">
      <w:pPr>
        <w:numPr>
          <w:ilvl w:val="0"/>
          <w:numId w:val="10"/>
        </w:numPr>
        <w:suppressAutoHyphens/>
        <w:spacing w:line="276" w:lineRule="auto"/>
        <w:contextualSpacing/>
        <w:rPr>
          <w:rFonts w:eastAsia="MS Mincho"/>
        </w:rPr>
      </w:pPr>
      <w:r w:rsidRPr="008608AA">
        <w:rPr>
          <w:rFonts w:eastAsia="MS Mincho"/>
        </w:rPr>
        <w:t>Great Transition: This scenario explores visionary solutions to the sustainability challenge, including new socioeconomic arrangements and fundamental changes in values.</w:t>
      </w:r>
    </w:p>
    <w:p w14:paraId="34AF69FD" w14:textId="77777777" w:rsidR="00350A59" w:rsidRPr="008608AA" w:rsidRDefault="00490494" w:rsidP="0042035C">
      <w:pPr>
        <w:suppressAutoHyphens/>
        <w:spacing w:before="240"/>
        <w:rPr>
          <w:rFonts w:eastAsia="Droid Sans Fallback"/>
        </w:rPr>
      </w:pPr>
      <w:r w:rsidRPr="008608AA">
        <w:rPr>
          <w:rFonts w:eastAsia="Droid Sans Fallback"/>
        </w:rPr>
        <w:t>Comparison of future conditions among the archetypes can be informative as they present a continuum of possible future conditions and can highlight the implications to NCP of continuing on the world’s current path, or veering to better or worse paths with respect to biodiversity conservation. Consistent with the basic uses of modeling, they can also be used to develop more detailed pathways to different possible futures.</w:t>
      </w:r>
      <w:r w:rsidR="00350A59" w:rsidRPr="008608AA">
        <w:rPr>
          <w:rFonts w:eastAsia="Droid Sans Fallback"/>
        </w:rPr>
        <w:t xml:space="preserve"> </w:t>
      </w:r>
    </w:p>
    <w:p w14:paraId="242C9FA6" w14:textId="32ED685B" w:rsidR="00350A59" w:rsidRPr="008608AA" w:rsidRDefault="00490494" w:rsidP="0042035C">
      <w:pPr>
        <w:suppressAutoHyphens/>
        <w:spacing w:before="240"/>
        <w:rPr>
          <w:rFonts w:eastAsia="Droid Sans Fallback"/>
        </w:rPr>
      </w:pPr>
      <w:r w:rsidRPr="008608AA">
        <w:rPr>
          <w:rFonts w:eastAsia="Droid Sans Fallback"/>
        </w:rPr>
        <w:t>This chapter follows a logical progression, starting from a synthesis of the modeling literature at local scales, to consideration of the empiri</w:t>
      </w:r>
      <w:r w:rsidR="00350A59" w:rsidRPr="008608AA">
        <w:rPr>
          <w:rFonts w:eastAsia="Droid Sans Fallback"/>
        </w:rPr>
        <w:t>cal evidence of chapters 2, 3 and</w:t>
      </w:r>
      <w:r w:rsidRPr="008608AA">
        <w:rPr>
          <w:rFonts w:eastAsia="Droid Sans Fallback"/>
        </w:rPr>
        <w:t xml:space="preserve"> 4, to consideration of global modeling efforts and their applicabi</w:t>
      </w:r>
      <w:r w:rsidR="00424E24" w:rsidRPr="008608AA">
        <w:rPr>
          <w:rFonts w:eastAsia="Droid Sans Fallback"/>
        </w:rPr>
        <w:t>lity to the Americas. Thus, in s</w:t>
      </w:r>
      <w:r w:rsidRPr="008608AA">
        <w:rPr>
          <w:rFonts w:eastAsia="Droid Sans Fallback"/>
        </w:rPr>
        <w:t xml:space="preserve">ection 5.3, literature involving local scales is reviewed and synthesized into the larger context of the regional scale. In </w:t>
      </w:r>
      <w:r w:rsidR="00A47F44" w:rsidRPr="008608AA">
        <w:rPr>
          <w:rFonts w:eastAsia="Droid Sans Fallback"/>
        </w:rPr>
        <w:t xml:space="preserve">section </w:t>
      </w:r>
      <w:r w:rsidRPr="008608AA">
        <w:rPr>
          <w:rFonts w:eastAsia="Droid Sans Fallback"/>
        </w:rPr>
        <w:t>5.4, we elaborate narratives for the units of analysis based on focal issues of importance to the Americas Region drawn from the information contained in chapters 2, 3</w:t>
      </w:r>
      <w:r w:rsidR="004C33B7" w:rsidRPr="008608AA">
        <w:rPr>
          <w:rFonts w:eastAsia="Droid Sans Fallback"/>
        </w:rPr>
        <w:t xml:space="preserve"> and</w:t>
      </w:r>
      <w:r w:rsidRPr="008608AA">
        <w:rPr>
          <w:rFonts w:eastAsia="Droid Sans Fallback"/>
        </w:rPr>
        <w:t xml:space="preserve"> 4. </w:t>
      </w:r>
      <w:r w:rsidR="00A47F44" w:rsidRPr="008608AA">
        <w:rPr>
          <w:rFonts w:eastAsia="Droid Sans Fallback"/>
        </w:rPr>
        <w:t xml:space="preserve">section </w:t>
      </w:r>
      <w:r w:rsidRPr="008608AA">
        <w:rPr>
          <w:rFonts w:eastAsia="Droid Sans Fallback"/>
        </w:rPr>
        <w:t xml:space="preserve">5.5 examines the results of global-level modeling, and how global </w:t>
      </w:r>
      <w:r w:rsidRPr="008608AA">
        <w:rPr>
          <w:rFonts w:eastAsia="Droid Sans Fallback"/>
          <w:lang w:eastAsia="ja-JP"/>
        </w:rPr>
        <w:t>databases and models can be used in the America’s context</w:t>
      </w:r>
      <w:r w:rsidRPr="008608AA">
        <w:rPr>
          <w:rFonts w:eastAsia="Droid Sans Fallback"/>
        </w:rPr>
        <w:t xml:space="preserve">. Section 5.6 examines present thoughts on particularly important considerations in the development of pathways to a sustainable future. Throughout development of this chapter, we were able to identify clear limits to the modeling approach imposed by lack of data or simply the fact that the modeling has not been done. These “data gaps” provide guidance as to future areas in need of research to generate data for more in-depth and expansive analyses with respect to geography, status and trends of biodiversity and its indicators, and direct and indirect drivers; we consider these, along with our conclusions </w:t>
      </w:r>
      <w:r w:rsidR="00A47F44" w:rsidRPr="008608AA">
        <w:rPr>
          <w:rFonts w:eastAsia="Droid Sans Fallback"/>
        </w:rPr>
        <w:t xml:space="preserve">section </w:t>
      </w:r>
      <w:r w:rsidRPr="008608AA">
        <w:rPr>
          <w:rFonts w:eastAsia="Droid Sans Fallback"/>
        </w:rPr>
        <w:t>5.7.</w:t>
      </w:r>
      <w:r w:rsidR="00350A59" w:rsidRPr="008608AA">
        <w:rPr>
          <w:rFonts w:eastAsia="Droid Sans Fallback"/>
        </w:rPr>
        <w:t xml:space="preserve"> </w:t>
      </w:r>
    </w:p>
    <w:p w14:paraId="3DF5F418" w14:textId="5EF576B3" w:rsidR="00490494" w:rsidRPr="008608AA" w:rsidRDefault="00490494" w:rsidP="0042035C">
      <w:pPr>
        <w:suppressAutoHyphens/>
        <w:spacing w:before="240"/>
        <w:rPr>
          <w:rFonts w:eastAsia="Droid Sans Fallback"/>
        </w:rPr>
      </w:pPr>
      <w:r w:rsidRPr="008608AA">
        <w:rPr>
          <w:rFonts w:eastAsia="Droid Sans Fallback"/>
        </w:rPr>
        <w:t>A separate IPBES effort is focusing on the concept of sustainable use of biodiversity, and hence, sustainability is not the focus of this assessment specifically. However, when we consider the integration of NCP, trends in biodiversity, drivers, and policy in this chapter, we are doing so with the ultimate purpose of informing not only policy makers, but other IPBES teams with respect to issues related to sustainability. Thus, discussions related to resource exploitation, pollution, and land use change are intimately related to sustainability and will be considered, as appropriate, throughout this chapter.</w:t>
      </w:r>
    </w:p>
    <w:p w14:paraId="48702573" w14:textId="011F6FFE" w:rsidR="00BF3F56" w:rsidRPr="008608AA" w:rsidRDefault="00BF3F56" w:rsidP="0042035C">
      <w:pPr>
        <w:suppressAutoHyphens/>
        <w:spacing w:before="240"/>
        <w:rPr>
          <w:rFonts w:eastAsia="Droid Sans Fallback"/>
        </w:rPr>
      </w:pPr>
    </w:p>
    <w:p w14:paraId="1FA204E1" w14:textId="77777777" w:rsidR="00490494" w:rsidRPr="008608AA" w:rsidRDefault="00490494" w:rsidP="0042035C">
      <w:pPr>
        <w:pStyle w:val="Heading2"/>
      </w:pPr>
      <w:bookmarkStart w:id="1875" w:name="_Toc466995071"/>
      <w:bookmarkStart w:id="1876" w:name="_Toc466995072"/>
      <w:bookmarkStart w:id="1877" w:name="_Toc499256883"/>
      <w:bookmarkStart w:id="1878" w:name="_Toc502953630"/>
      <w:bookmarkStart w:id="1879" w:name="_Toc502954923"/>
      <w:bookmarkStart w:id="1880" w:name="_Toc502957730"/>
      <w:bookmarkStart w:id="1881" w:name="_Toc502957929"/>
      <w:bookmarkStart w:id="1882" w:name="_Toc502958083"/>
      <w:bookmarkStart w:id="1883" w:name="_Toc503293152"/>
      <w:bookmarkStart w:id="1884" w:name="_Toc503293750"/>
      <w:bookmarkStart w:id="1885" w:name="_Toc503294012"/>
      <w:bookmarkStart w:id="1886" w:name="_Toc503863405"/>
      <w:bookmarkStart w:id="1887" w:name="_Toc503863633"/>
      <w:bookmarkStart w:id="1888" w:name="_Toc517393399"/>
      <w:bookmarkStart w:id="1889" w:name="_Toc517719140"/>
      <w:bookmarkStart w:id="1890" w:name="_Toc517797097"/>
      <w:bookmarkStart w:id="1891" w:name="_Toc472342771"/>
      <w:bookmarkStart w:id="1892" w:name="_Toc482711171"/>
      <w:bookmarkStart w:id="1893" w:name="_Toc482711164"/>
      <w:bookmarkEnd w:id="1875"/>
      <w:bookmarkEnd w:id="1876"/>
      <w:r w:rsidRPr="008608AA">
        <w:t>Informing the future from local studies</w:t>
      </w:r>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p>
    <w:p w14:paraId="7A7D8559" w14:textId="77777777" w:rsidR="00BF3F56" w:rsidRPr="008608AA" w:rsidRDefault="00BF3F56" w:rsidP="00BF3F56">
      <w:pPr>
        <w:rPr>
          <w:lang w:val="en-GB" w:eastAsia="es-CO"/>
        </w:rPr>
      </w:pPr>
    </w:p>
    <w:p w14:paraId="25A1DC25" w14:textId="77777777" w:rsidR="00490494" w:rsidRPr="008608AA" w:rsidRDefault="00490494" w:rsidP="0042035C">
      <w:pPr>
        <w:suppressAutoHyphens/>
        <w:rPr>
          <w:rFonts w:eastAsia="Droid Sans Fallback"/>
        </w:rPr>
      </w:pPr>
      <w:bookmarkStart w:id="1894" w:name="_Toc466995082"/>
      <w:bookmarkEnd w:id="1891"/>
      <w:bookmarkEnd w:id="1892"/>
      <w:bookmarkEnd w:id="1894"/>
      <w:r w:rsidRPr="008608AA">
        <w:t>Given the regional diversity of ecosystems, the heterogeneity of social groups, different types of local knowledge and country-based environmental decisions and policies, transformation processes are expected to occur at different magnitudes and in response to the influence of distinct drivers of change throughout the region. Arguably, a precise understanding of future trends of biodiversity and nature’s contribution to people for the Americas, the role that different drivers, models and scenarios play in this understanding, and the amount of synergies and trade-offs between them requires the analysis and synthesis of studies developed at local scales.</w:t>
      </w:r>
    </w:p>
    <w:p w14:paraId="4D8737F4" w14:textId="77777777" w:rsidR="00490494" w:rsidRPr="008608AA" w:rsidRDefault="00490494" w:rsidP="0042035C">
      <w:pPr>
        <w:suppressAutoHyphens/>
      </w:pPr>
      <w:r w:rsidRPr="008608AA">
        <w:t>In an attempt to elucidate what is known concerning the relationships between indirect and direct drivers, direct drivers and nature, and nature and nature’s contribution to people, a literature search was conducted to identify studies with a local scope that used a prognostic approach through “modeling” to determine the nature, form and future projections of those relationships. Within this context, models are seen as “qualitative or quantitative descriptions of key components of a system and of the relationships between those components” (IPBES, 2016). We conducted an initial literature review based on Thompson Reuters Web of Science database using an open search approach in which different combination of search terms were used (e.g. scenarios, ecosystem services, biodiversity, participative scenarios, nature’s futures, visions, land use change scenarios, climate change scenarios). The search lasted until September 2016. From each document, the abstract was evaluated for its suitability for the chapter where the main criterion was that analyses use projections, trends or narratives into the future. Subsequently other documents were identified through the list of references as well as recommendations by third parties. This led to a selection of 36 local case studies published between 2001 and 2017 (Figure 5.2).</w:t>
      </w:r>
    </w:p>
    <w:p w14:paraId="7A0FA703" w14:textId="330516D6" w:rsidR="0042035C" w:rsidRPr="008608AA" w:rsidRDefault="00BF3F56" w:rsidP="0042035C">
      <w:pPr>
        <w:suppressAutoHyphens/>
        <w:spacing w:before="120"/>
        <w:jc w:val="center"/>
      </w:pPr>
      <w:bookmarkStart w:id="1895" w:name="_3znysh7"/>
      <w:bookmarkEnd w:id="1895"/>
      <w:r w:rsidRPr="008608AA">
        <w:rPr>
          <w:noProof/>
          <w:lang w:val="en-GB" w:eastAsia="en-GB"/>
        </w:rPr>
        <w:drawing>
          <wp:inline distT="0" distB="0" distL="0" distR="0" wp14:anchorId="4DF9C743" wp14:editId="5BB0378C">
            <wp:extent cx="5934075" cy="4552950"/>
            <wp:effectExtent l="0" t="0" r="9525" b="0"/>
            <wp:docPr id="2111" name="Imagen 2111" descr="C:\Users\Alejandro Valderrama\Downloads\Fig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4" descr="C:\Users\Alejandro Valderrama\Downloads\Fig5.2.jpg"/>
                    <pic:cNvPicPr>
                      <a:picLocks noChangeAspect="1" noChangeArrowheads="1"/>
                    </pic:cNvPicPr>
                  </pic:nvPicPr>
                  <pic:blipFill rotWithShape="1">
                    <a:blip r:embed="rId1027">
                      <a:extLst>
                        <a:ext uri="{28A0092B-C50C-407E-A947-70E740481C1C}">
                          <a14:useLocalDpi xmlns:a14="http://schemas.microsoft.com/office/drawing/2010/main" val="0"/>
                        </a:ext>
                      </a:extLst>
                    </a:blip>
                    <a:srcRect b="46771"/>
                    <a:stretch/>
                  </pic:blipFill>
                  <pic:spPr bwMode="auto">
                    <a:xfrm>
                      <a:off x="0" y="0"/>
                      <a:ext cx="5934075" cy="4552950"/>
                    </a:xfrm>
                    <a:prstGeom prst="rect">
                      <a:avLst/>
                    </a:prstGeom>
                    <a:noFill/>
                    <a:ln>
                      <a:noFill/>
                    </a:ln>
                    <a:extLst>
                      <a:ext uri="{53640926-AAD7-44D8-BBD7-CCE9431645EC}">
                        <a14:shadowObscured xmlns:a14="http://schemas.microsoft.com/office/drawing/2010/main"/>
                      </a:ext>
                    </a:extLst>
                  </pic:spPr>
                </pic:pic>
              </a:graphicData>
            </a:graphic>
          </wp:inline>
        </w:drawing>
      </w:r>
    </w:p>
    <w:p w14:paraId="19BBEC88" w14:textId="77777777" w:rsidR="00350A59" w:rsidRPr="008608AA" w:rsidRDefault="00490494" w:rsidP="0042035C">
      <w:pPr>
        <w:suppressAutoHyphens/>
        <w:spacing w:before="120"/>
      </w:pPr>
      <w:r w:rsidRPr="008608AA">
        <w:t xml:space="preserve">The consulted literature could be categorized into 3 groups: studies mainly with a social science perspective (accounting for 25% of the total), those with an economic focus (17% of the total) and predominantly ecological studies (58% of the total), aiming at </w:t>
      </w:r>
      <w:bookmarkStart w:id="1896" w:name="_1fob9te"/>
      <w:bookmarkEnd w:id="1896"/>
      <w:r w:rsidRPr="008608AA">
        <w:t>understanding current drivers, indicators and trends in the use of ecosystem services. These groups, however, are not mutually exclusive as some of the studies do apply to more than one category.</w:t>
      </w:r>
      <w:r w:rsidR="00350A59" w:rsidRPr="008608AA">
        <w:t xml:space="preserve"> </w:t>
      </w:r>
    </w:p>
    <w:p w14:paraId="292D9FE1" w14:textId="596DDAC5" w:rsidR="00350A59" w:rsidRPr="008608AA" w:rsidRDefault="00490494" w:rsidP="0042035C">
      <w:pPr>
        <w:suppressAutoHyphens/>
        <w:spacing w:before="120"/>
      </w:pPr>
      <w:r w:rsidRPr="008608AA">
        <w:t xml:space="preserve">The first group, with a predominantly social sciences approach, focused mostly on stakeholders’ perceptions and dependence on ecosystem services </w:t>
      </w:r>
      <w:r w:rsidRPr="008608AA">
        <w:fldChar w:fldCharType="begin" w:fldLock="1"/>
      </w:r>
      <w:r w:rsidRPr="008608AA">
        <w:instrText>ADDIN CSL_CITATION { "citationItems" : [ { "id" : "ITEM-1", "itemData" : { "DOI" : "10.1016/j.envsci.2014.03.003", "ISSN" : "14629011", "abstract" : "The definition of a common vision that includes social and environmental goals, ecosystem services and/or biodiversity features that people are interested in maintaining or restoring is a great challenge for marine protected areas (MPAs). Recent initiatives have promoted broadening the focus from biodiversity conservation alone to the conservation of both ecosystem services and biodiversity, indicating that this integration should improve support and compliance from stakeholders. Using a Multiple-Use Coastal Marine Protected Area recently proposed in northern Chile, we investigated (i) stakeholders\u2019 perceptions of the valuation of ecosystem services, threats to their provision, and the prioritization of ecosystem services, biodiversity features, and uses in a planning scenario, and (ii) stakeholders\u2019 expectations for the establishment of a new MPA. The perceptions of different groups of stakeholders were compared and statistically analyzed, and the relationships among prioritizations were studied using a network approach. Stakeholders identified and valued 13 ecosystem services, 28 biodiversity features, 20 uses and activities, and 22 threats. Significant differences among the valuations and prioritizations of different stakeholder groups were attributable principally to artisanal fishermen's perceptions of some components that are directly related to their activities and livelihoods. High expectations of benefits from a new MPA implementation were observed for all categories of stakeholders. To relate the different valuated components, we proposed a network-based conceptual model that reduces complexity, and also as a strategy to communicate relationships and trade-offs occurring in this particular social\u2013ecological system to the several stakeholders. We strongly recommend early stakeholder engagement so as to understand the variability in environmental perceptions and then reflect that variation in the planning and management actions of MPAs, thus improving support for their implementation and achieving conservation and societal goals. Our findings indicate that stakeholders\u2019 perceptions and prioritizations of ecosystem services, biodiversity features and uses should be used as the basis for starting the MPA implementation and planning process.", "author" : [ { "dropping-particle" : "", "family" : "C\u00e1rcamo", "given" : "P.F.", "non-dropping-particle" : "", "parse-names" : false, "suffix" : "" }, { "dropping-particle" : "", "family" : "Garay-Fl\u00fchmann", "given" : "R.", "non-dropping-particle" : "", "parse-names" : false, "suffix" : "" }, { "dropping-particle" : "", "family" : "Squeo", "given" : "F.A.", "non-dropping-particle" : "", "parse-names" : false, "suffix" : "" }, { "dropping-particle" : "", "family" : "Gaymer", "given" : "C.F.", "non-dropping-particle" : "", "parse-names" : false, "suffix" : "" } ], "container-title" : "Environmental Science &amp; Policy", "id" : "ITEM-1", "issue" : "40", "issued" : { "date-parts" : [ [ "2014", "6" ] ] }, "page" : "116-131", "title" : "Using stakeholders\u2019 perspective of ecosystem services and biodiversity features to plan a marine protected area", "type" : "article-journal", "volume" : "40" }, "uris" : [ "http://www.mendeley.com/documents/?uuid=4078d4eb-5d4b-47ce-b0cd-0aa5bb2b9680" ] }, { "id" : "ITEM-2", "itemData" : { "DOI" : "10.1016/j.futures.2014.12.012", "ISBN" : "0016-3287", "ISSN" : "00163287", "abstract" : "Tourism, as all human activities, is dependent on the natural environment and its respective ecosystem services (ES). Different user groups manage and consume these touristic ES differently, resulting in discrepancies and potential conflicts. Despite the urgency to find inclusive local approaches for sustainable development, tourism studies still analyze socio-economic and ecological impacts separately and lack integrated social-ecological approaches to improve foresight in tourism planning. Based on a growing concern regarding the future of Costalegre on the Jalisco coast of Western Mexico, we analyze through interviews, surveys, and participant observation the dependence of tourism on specific ecosystem services and conduct a scenario analysis which shows present and future implications for the social-ecological system. Furthermore, this analysis shows in detail how different scenarios change ES provision and people's livelihoods. Key findings include identifying freshwater provision and cultural ES as the most important touristic ES. At a regional scale, peasants in ejidos are the main ES stewards, whereas high-class tourism facilities constitute important local stewards. Benefits, mainly access to freshwater and the beach, are unequally distributed, provoking conflicts among different ES user groups that may escalate in the near future. Improved communication between all user groups and strengthening of key political actors seem to be the most immediate recommendations to ensure the long term sustainability of this particular region. This work may contribute to improved planning and decision-making as our ES based scenarios are a first step to integrate social-ecological knowledge into improved decision-making. At a local scale, the study reveals the most likely future development options and their social and ecological consequences. It could also serve as a baseline for informed policy making.", "author" : [ { "dropp</w:instrText>
      </w:r>
      <w:r w:rsidRPr="00A3137A">
        <w:rPr>
          <w:lang w:val="fr-FR"/>
        </w:rPr>
        <w:instrText>ing-particle" : "", "family" : "Riensche", "given" : "M.", "non-dropping-particle" : "", "parse-names" : false, "suffix" : "" }, { "dropping-particle" : "", "family" : "Castillo", "given" : "A.", "non-dropping-particle" : "", "parse-names" : false, "suffix" : "" }, { "dropping-particle" : "", "family" : "Flores-D\u00edaz", "given" : "A.", "non-dropping-particle" : "", "parse-names" : false, "suffix" : "" }, { "dropping-particle" : "", "family" : "Maass", "given" : "M.", "non-dropping-particle" : "", "parse-names" : false, "suffix" : "" } ], "container-title" : "Futures", "id" : "ITEM-2", "issued" : { "date-parts" : [ [ "2015", "2" ] ] }, "page" : "70-84", "title" : "Tourism at Costalegre, Mexico: An ecosystem services-based exploration of current challenges and alternative futures", "type" : "article-journal", "volume" : "66" }, "uris" : [ "http://www.mendeley.com/documents/?uuid=dfd933ca-6dd7-49a8-a91a-17d6c33ea83c" ] } ], "mendeley" : { "formattedCitation" : "(C\u00e1rcamo, Garay-Fl\u00fchmann, Squeo, &amp; Gaymer, 2014; Riensche, Castillo, Flores-D\u00edaz, &amp; Maass, 2015)", "plainTextFormattedCitation" : "(C\u00e1rcamo, Garay-Fl\u00fchmann, Squeo, &amp; Gaymer, 2014; Riensche, Castillo, Flores-D\u00edaz, &amp; Maass, 2015)", "previouslyFormattedCitation" : "(C\u00e1rcamo, Garay-Fl\u00fchmann, Squeo, &amp; Gaymer, 2014; Riensche, Castillo, Flores-D\u00edaz, &amp; Maass, 2015)" }, "properties" : {  }, "schema" : "https://github.com/citation-style-language/schema/raw/master/csl-citation.json" }</w:instrText>
      </w:r>
      <w:r w:rsidRPr="008608AA">
        <w:fldChar w:fldCharType="separate"/>
      </w:r>
      <w:r w:rsidR="0045556C" w:rsidRPr="00A3137A">
        <w:rPr>
          <w:noProof/>
          <w:lang w:val="fr-FR"/>
        </w:rPr>
        <w:t>(Cárcamo et al., 2014; Riensche</w:t>
      </w:r>
      <w:r w:rsidRPr="00A3137A">
        <w:rPr>
          <w:noProof/>
          <w:lang w:val="fr-FR"/>
        </w:rPr>
        <w:t xml:space="preserve"> et al., 2015)</w:t>
      </w:r>
      <w:r w:rsidRPr="008608AA">
        <w:fldChar w:fldCharType="end"/>
      </w:r>
      <w:r w:rsidRPr="00A3137A">
        <w:rPr>
          <w:lang w:val="fr-FR"/>
        </w:rPr>
        <w:t xml:space="preserve">, community adaptation responses </w:t>
      </w:r>
      <w:r w:rsidRPr="008608AA">
        <w:fldChar w:fldCharType="begin" w:fldLock="1"/>
      </w:r>
      <w:r w:rsidRPr="00A3137A">
        <w:rPr>
          <w:lang w:val="fr-FR"/>
        </w:rPr>
        <w:instrText>ADDIN CSL_CITATION { "citationItems" : [ { "id" : "ITEM-1", "itemData" : { "DOI" : "10.1007/s10113-015-0898-7", "ISSN" : "1436-3798", "author" : [ { "dropping-particle" : "", "family" : "Brown", "given" : "Iain", "non-dropping-particle" : "", "parse-names" : false, "suffix" : "" }, { "dropping-particle" : "", "family" : "Martin-Ortega", "given" : "Julia", "non-dropping-particle" : "", "parse-names" : false, "suffix" : "" }, { "dropping-particle" : "", "family" : "Waylen", "given" : "Kerry", "non-dropping-particle" : "", "parse-names" : false, "suffix" : "" }, { "dropping-particle" : "", "family" : "Blackstock", "given" : "Kirsty", "non-dropping-particle" : "", "parse-names" : false, "suffix" : "" } ], "container-title" : "Regional Environmental Change", "id" : "ITEM-1", "issued" : { "date-parts" : [ [ "2016" ] ] }, "publisher" : "Springer Berlin Heidelberg", "title" : "Participatory scenario planning for developing innovation in community adaptation responses: three contrasting examples from Latin America", "type" : "article-journal" }, "uris" : [ "http://www.mendeley.com/documents/?uuid=28c1f4ca-d99b-4823-86ce-c8ae3d9ceba3" ] } ], "mendeley" : { "formattedCitation" : "(I. Brown, Martin-Ortega, Waylen, &amp; Blackstock, 2016)", "plainTextFormattedCitation" : "(I. Brown, Martin-Ortega, Waylen, &amp; Blackstock, 2016)", "previouslyFormattedCitation" : "(I. Brown, Martin-Ortega, Waylen, &amp; Blackstock, 2016)" }, "properties" : {  }, "schema" : "https://github.com/citation-style-language/schema/raw/master/csl-citation.json" }</w:instrText>
      </w:r>
      <w:r w:rsidRPr="008608AA">
        <w:fldChar w:fldCharType="separate"/>
      </w:r>
      <w:r w:rsidR="0045556C" w:rsidRPr="00A3137A">
        <w:rPr>
          <w:noProof/>
          <w:lang w:val="fr-FR"/>
        </w:rPr>
        <w:t>(Brown</w:t>
      </w:r>
      <w:r w:rsidRPr="00A3137A">
        <w:rPr>
          <w:noProof/>
          <w:lang w:val="fr-FR"/>
        </w:rPr>
        <w:t xml:space="preserve"> et al., 2016)</w:t>
      </w:r>
      <w:r w:rsidRPr="008608AA">
        <w:fldChar w:fldCharType="end"/>
      </w:r>
      <w:r w:rsidRPr="00A3137A">
        <w:rPr>
          <w:lang w:val="fr-FR"/>
        </w:rPr>
        <w:t xml:space="preserve">, the political process in nature conservation </w:t>
      </w:r>
      <w:r w:rsidRPr="008608AA">
        <w:fldChar w:fldCharType="begin" w:fldLock="1"/>
      </w:r>
      <w:r w:rsidRPr="00A3137A">
        <w:rPr>
          <w:lang w:val="fr-FR"/>
        </w:rPr>
        <w:instrText>ADDIN CSL_CITATION { "citationItems" : [ { "id" : "ITEM-1", "itemData" : { "DOI" : "10.1016/j.landusepol.2015.08.032", "ISSN" : "02648377", "abstract" : "In this study, we combined policy analysis with landscape change modeling to simulate outcomes of alternative forest conservation instruments proposed by opposing policy coalitions. In 1992, concern over rapid land conversion to timber plantations (Pinus radiata and Eucalyptus spp.) in Chile gave rise to a protracted policy process resulting in the 2008 Native Forest Law (NFL), which subsidizes reforestation and management with native forest. To date, however, NFL has had little impact on native forest conservation. To understand how the policy process that created the NFL shaped its outcomes, we employed the Dyna-CLUE modeling approach to simulate land use changes in south-central Chile from 1993 to 2007, based on 3 scenarios: (1) enactment of NFL in 1993 when the law was originally debated, and the different configurations of subsidies and regulations proposed in the NFL policy debate by (2) the industrial forestry coalition and (3) the forest conservation coalition. We observed no major difference in native forest loss between simulated outcomes of the industry-advocated policy and the actual NFL legislation. The conservation coalition\u2019s policy scenario increased native forest area, primarily in shrub steppe areas, but also via conversion of pine pl</w:instrText>
      </w:r>
      <w:r w:rsidRPr="008608AA">
        <w:instrText>antations if incentive payments were large enough. However, NFL payments are inadequate to make native forest management a viable economic land use alternative to industrial pine plantations, which are also subsidized in Chile. Gains in native forest cover occurred mostly on lands under ancestral indigenous claims (unrelated to the discussion of the NFL). We conclude that the NFL, even if enacted in 1993, would have been ineffective in preventing native forest loss, because tree plantations are more profitable and NFL regulations were weakened by the industrial coalition that opposed\u2014and strongly shaped\u2014the final legislation. Effective incentives for protecting early-successional forests and shrublands are needed to mitigate further losses and foster recovery of Chile\u2019s native forests.", "author" : [ { "dropping-particle" : "", "family" : "Manuschevich", "given" : "Daniela", "non-dropping-particle" : "", "parse-names" : false, "suffix" : "" }, { "dropping-particle" : "", "family" : "Beier", "given" : "Colin M.", "non-dropping-particle" : "", "parse-names" : false, "suffix" : "" } ], "container-title" : "Land Use Policy", "id" : "ITEM-1", "issued" : { "date-parts" : [ [ "2016", "2" ] ] }, "page" : "350-362", "publisher" : "Elsevier Ltd", "title" : "Simulating land use changes under alternative policy scenarios for conservation of native forests in south-central Chile", "type" : "article-journal", "volume" : "51" }, "uris" : [ "http://www.mendeley.com/documents/?uuid=6a190e6f-4e0e-450c-882c-cab48b41b65a" ] } ], "mendeley" : { "formattedCitation" : "(Manuschevich &amp; Beier, 2016)", "plainTextFormattedCitation" : "(Manuschevich &amp; Beier, 2016)", "previouslyFormattedCitation" : "(Manuschevich &amp; Beier, 2016)" }, "properties" : {  }, "schema" : "https://github.com/citation-style-language/schema/raw/master/csl-citation.json" }</w:instrText>
      </w:r>
      <w:r w:rsidRPr="008608AA">
        <w:fldChar w:fldCharType="separate"/>
      </w:r>
      <w:r w:rsidRPr="008608AA">
        <w:rPr>
          <w:noProof/>
        </w:rPr>
        <w:t>(Manuschevich &amp; Beier, 2016)</w:t>
      </w:r>
      <w:r w:rsidRPr="008608AA">
        <w:fldChar w:fldCharType="end"/>
      </w:r>
      <w:r w:rsidRPr="008608AA">
        <w:t xml:space="preserve">, effects of natural phenomena on people and property </w:t>
      </w:r>
      <w:r w:rsidRPr="008608AA">
        <w:fldChar w:fldCharType="begin" w:fldLock="1"/>
      </w:r>
      <w:r w:rsidRPr="008608AA">
        <w:instrText>ADDIN CSL_CITATION { "citationItems" : [ { "id" : "ITEM-1", "itemData" : { "DOI" : "10.1038/nclimate1944", "ISBN" : "1758-678X; 1758-6798", "ISSN" : "1758-678X", "abstract" : "Extreme weather, sea-level rise and degraded coastal ecosystems are placing people and property at greater risk of damage from coastal hazards1\u20135. The likelihood and magnitude of lossesmay be reduced by intact reefs and coastal vegetation1, especially when those habitats fringe vulnerable communities and infrastructure. Using five sea-level-rise scenarios, we calculate a hazard index for every 1km2 of the United States coastline. We use this index to identify the most vulnerable people and property as indicated by being in the upper quartile of hazard for the nation\u2019s coastline. The number of people, poor families, elderly and total value of residential property that are most exposed to hazards can be reduced by half if existing coastal habitats remain fully intact. Coastal habitats defend the greatest number of people and total property value in Florida, New York and California. Our analyses deliver the first national map of risk reduction owing to natural habitats and indicates where conservation and restoration of reefs and vegetation have the greatest potential to protect coastal communities. Globally,", "author" : [ { "dropping-particle" : "", "family" : "Arkema", "given" : "Katie K.", "non-dropping-particle" : "", "parse-names" : false, "suffix" : "" }, { "dropping-particle" : "", "family" : "Guannel", "given" : "Greg", "non-dropping-particle" : "", "parse-names" : false, "suffix" : "" }, { "dropping-particle" : "", "family" : "Verutes", "given" : "Gregory", "non-dropping-particle" : "", "parse-names" : false, "suffix" : "" }, { "dropping-particle" : "", "family" : "Wood", "given" : "Spencer a.", "non-dropping-particle" : "", "parse-names" : false, "suffix" : "" }, { "dropping-particle" : "", "family" : "Guerry", "given" : "Anne", "non-dropping-particle" : "", "parse-names" : false, "suffix" : "" }, { "dropping-particle" : "", "family" : "Ruckelshaus", "given" : "Mary", "non-dropping-particle" : "", "parse-names" : false, "suffix" : "" }, { "dropping-particle" : "", "family" : "Kareiva", "given" : "Peter", "non-dropping-particle" : "", "parse-names" : false, "suffix" : "" }, { "dropping-particle" : "", "family" : "Lacayo", "given" : "Martin", "non-dropping-particle" : "", "parse-names" : false, "suffix" : "" }, { "dropping-particle" : "", "family" : "Silver", "given" : "Jessica M.", "non-dropping-particle" : "", "parse-names" : false, "suffix" : "" } ], "container-title" : "Nature Climate Change", "id" : "ITEM-1", "issue" : "10", "issued" : { "date-parts" : [ [ "2013" ] ] }, "page" : "913-918", "title" : "Coastal habitats shield people and property from sea-level rise and storms", "type" : "article-journal", "volume" : "3" }, "uris" : [ "http://www.mendeley.com/documents/?uuid=249da6fd-140e-4690-8d3b-8dc1c4d3b53c" ] } ], "mendeley" : { "formattedCitation" : "(Arkema et al., 2013)", "plainTextFormattedCitation" : "(Arkema et al., 2013)", "previouslyFormattedCitation" : "(Arkema et al., 2013)" }, "properties" : {  }, "schema" : "https://github.com/citation-style-language/schema/raw/master/csl-citation.json" }</w:instrText>
      </w:r>
      <w:r w:rsidRPr="008608AA">
        <w:fldChar w:fldCharType="separate"/>
      </w:r>
      <w:r w:rsidRPr="008608AA">
        <w:rPr>
          <w:noProof/>
        </w:rPr>
        <w:t>(Arkema et al., 2013)</w:t>
      </w:r>
      <w:r w:rsidRPr="008608AA">
        <w:fldChar w:fldCharType="end"/>
      </w:r>
      <w:r w:rsidRPr="008608AA">
        <w:t xml:space="preserve"> and social implications of land use change </w:t>
      </w:r>
      <w:r w:rsidRPr="008608AA">
        <w:fldChar w:fldCharType="begin" w:fldLock="1"/>
      </w:r>
      <w:r w:rsidRPr="008608AA">
        <w:instrText>ADDIN CSL_CITATION { "citationItems" : [ { "id" : "ITEM-1", "itemData" : { "ISBN" : "1812856458", "author" : [ { "dropping-particle" : "", "family" : "Evans", "given" : "Tom", "non-dropping-particle" : "", "parse-names" : false, "suffix" : "" }, { "dropping-particle" : "", "family" : "Manire", "given" : "Aaron", "non-dropping-particle" : "", "parse-names" : false, "suffix" : "" }, { "dropping-particle" : "", "family" : "Castro", "given" : "Fabio", "non-dropping-particle" : "de", "parse-names" : false, "suffix" : "" }, { "dropping-particle" : "", "family" : "Brondizio", "given" : "Eduardo", "non-dropping-particle" : "", "parse-names" : false, "suffix" : "" }, { "dropping-particle" : "", "family" : "McCracken", "given" : "Stephen", "non-dropping-particle" : "", "parse-names" : false, "suffix" : "" } ], "container-title" : "Ecological Modelling", "id" : "ITEM-1", "issued" : { "date-parts" : [ [ "2001" ] ] }, "page" : "95-113", "title" : "A dynamic model of household decision-making and parcel level landcover change in the eastern Amazon", "type" : "article-journal", "volume" : "143" }, "uris" : [ "http://www.mendeley.com/documents/?uuid=0898495a-c8b5-4668-81aa-282832b27316" ] }, { "id" : "ITEM-2", "itemData" : { "DOI" : "10.5751/ES-07186-200120", "ISSN" : "1708-3087", "abstract" : "Agricultural intensification in rural areas of developing countries compromises the provision of ecosystem services. Social conflict arises among landholders with different preferences for ecosystem services and land-use practices in agricultural frontiers of the Argentine Dry Chaco. We explored policy and management options by assessing the actual and potential outcomes of alternative land-use systems and scenarios. We first constructed the efficiency frontier for avian habitat and agricultural productivity to analyze the combinations of ecosystem services that can be achieved under different land-use intensities. A nonlinear, concave efficiency frontier indicated opportunities to achieve large gains for production with small losses for conservation, for instance, by transitioning from low-to intermediate-intensity systems. Second, we projected production and conservation outcomes, which can be achieved through the implementation of five alternative policy options. The land sharing with conservation scenario, 70% of the landscape covered by intermediate-intensity systems and 30% by undisturbed forests, yielded the higher combination of avian habitat and agricultural productivity. Third, we constructed indifference curves of three landholder groups, i.e., preproductivist, multifunctional, and productivist, by assessing their intentions (proxies for preferences) to conserve and convert remnant forests in their landholdings. Multifunctional landholders showed balanced preferences for conserving and converting forests in their landholdings, and maintaining intermediate-intensity systems. A general willingness to conserve forests coexisted in preproductivist landholders with the intention to clear some portions of the landholding and intensify landuse, indicating the potential of an endogenously motivated transition toward a multifunctional regime. Such transition may increase their productivity by 35-65% without compromising avian habitat. Productivist landholders showed a strong inclination toward converting forests for pasture cultivation, despite the observation that they can increase their conservation outcomes by 30-50% without significantly reducing productivity by transitioning toward a multifunctional regime. Promoting this transition will require exogenous incentives and regulations tailored to the behavior of this landholder group.", "author" : [ { "dropping-particle" : "", "family" : "Mastrangelo", "given" : "Matias E.", "non-dropping-particle" : "", "parse-names" : false, "suffix" : "" }, { "dropping-particle" : "", "family" : "Laterra", "given" : "Pedro", "non-dropping-particle" : "", "parse-names" : false, "suffix" : "" } ], "container-title" : "Ecology and Society", "id" : "ITEM-2", "issue" : "1", "issued" : { "date-parts" : [ [ "2015" ] ] }, "page" : "art20", "title" : "From biophysical to social-ecological trade-offs: integrating biodiversity conservation and agricultural production in the Argentine Dry Chaco", "type" : "article-journal", "volume" : "20" }, "uris" : [ "http://www.mendeley.com/documents/?uuid=cb6a3a2c-4c27-49cf-b202-b5fd2061a955" ] }, { "id" : "ITEM-3", "itemData" : { "DOI" : "10.1016/j.envres.2015.10.010", "ISSN" : "00139351", "author" : [ { "dropping-particle" : "", "family" : "Tejada", "given" : "Graciela", "non-dropping-particle" : "", "parse-names" : false, "suffix" : "" }, { "dropping-particle" : "", "family" : "Dalla-Nora", "given" : "Eloi", "non-dropping-particle" : "", "parse-names" : false, "suffix" : "" }, { "dropping-particle" : "", "family" : "Cordoba", "given" : "Diana", "non-dropping-particle" : "", "parse-names" : false, "suffix" : "" }, { "dropping-particle" : "", "family" : "Lafortezza", "given" : "Raffaele", "non-dropping-particle" : "", "parse-names" : false, "suffix" : "" }, { "dropping-particle" : "", "family" : "Ovando", "given" : "Alex", "non-dropping-particle" : "", "parse-names" : false, "suffix" : "" }, { "dropping-particle" : "", "family" : "Assis", "given" : "Talita", "non-dropping-particle" : "", "parse-names" : false, "suffix" : "" }, { "dropping-particle" : "", "family" : "Aguiar", "given" : "Ana Paula", "non-dropping-particle" : "", "parse-names" : false, "suffix" : "" } ], "container-title" : "Environmental Research", "id" : "ITEM-3", "issued" : { "date-parts" : [ [ "2016" ] ] }, "page" : "49-63", "title" : "Deforestation scenarios for the Bolivian lowlands", "type" : "article-journal", "volume" : "144, PartB" }, "uris" : [ "http://www.mendeley.com/documents/?uuid=985219a9-55c8-4cf1-9c9f-b2e4b5c0035b" ] } ], "mendeley" : { "formattedCitation" : "(Evans, Manire, de Castro, Brondizio, &amp; McCracken, 2001; Mastrangelo &amp; Laterra, 2015; Tejada et al., 2016)", "plainTextFormattedCitation" : "(Evans, Manire, de Castro, Brondizio, &amp; McCracken, 2001; Mastrangelo &amp; Laterra, 2015; Tejada et al., 2016)", "previouslyFormattedCitation" : "(Evans, Manire, de Castro, Brondizio, &amp; McCracken, 2001; Mastrangelo &amp; Laterra, 2015; Tejada et al., 2016)" }, "properties" : {  }, "schema" : "https://github.com/citation-style-language/schema/raw/master/csl-citation.json" }</w:instrText>
      </w:r>
      <w:r w:rsidRPr="008608AA">
        <w:fldChar w:fldCharType="separate"/>
      </w:r>
      <w:r w:rsidR="0045556C" w:rsidRPr="008608AA">
        <w:rPr>
          <w:noProof/>
        </w:rPr>
        <w:t>(Evans</w:t>
      </w:r>
      <w:r w:rsidRPr="008608AA">
        <w:rPr>
          <w:noProof/>
        </w:rPr>
        <w:t xml:space="preserve"> et al.</w:t>
      </w:r>
      <w:r w:rsidR="0045556C" w:rsidRPr="008608AA">
        <w:rPr>
          <w:noProof/>
        </w:rPr>
        <w:t>,</w:t>
      </w:r>
      <w:r w:rsidRPr="008608AA">
        <w:rPr>
          <w:noProof/>
        </w:rPr>
        <w:t xml:space="preserve"> 2001; Mastrangelo &amp; Laterra, 2015; Tejada et al., 2016)</w:t>
      </w:r>
      <w:r w:rsidRPr="008608AA">
        <w:fldChar w:fldCharType="end"/>
      </w:r>
      <w:r w:rsidRPr="008608AA">
        <w:t>.</w:t>
      </w:r>
      <w:r w:rsidR="00350A59" w:rsidRPr="008608AA">
        <w:t xml:space="preserve"> </w:t>
      </w:r>
    </w:p>
    <w:p w14:paraId="1E429083" w14:textId="77777777" w:rsidR="00350A59" w:rsidRPr="008608AA" w:rsidRDefault="00350A59" w:rsidP="0042035C">
      <w:pPr>
        <w:suppressAutoHyphens/>
      </w:pPr>
    </w:p>
    <w:p w14:paraId="096CC062" w14:textId="565B30B0" w:rsidR="00490494" w:rsidRPr="008608AA" w:rsidRDefault="00490494" w:rsidP="0042035C">
      <w:pPr>
        <w:suppressAutoHyphens/>
      </w:pPr>
      <w:r w:rsidRPr="008608AA">
        <w:t xml:space="preserve">A commonality in this type of studies is the use of participative approaches for scenario development. In a recent review and analysis of several participative scenario exercises, </w:t>
      </w:r>
      <w:r w:rsidRPr="008608AA">
        <w:fldChar w:fldCharType="begin" w:fldLock="1"/>
      </w:r>
      <w:r w:rsidRPr="008608AA">
        <w:instrText>ADDIN CSL_CITATION { "citationItems" : [ { "id" : "ITEM-1", "itemData" : { "DOI" : "10.5751/ES-07985-200432", "ISBN" : "0798520043", "ISSN" : "17083087", "abstract" : "Participatory scenario planning (PSP) is an increasingly popular tool in place-based environmental research for evaluating alternative futures of social-ecological systems. Although a range of guidelines on PSP methods are available in the scientific and grey literature, there is a need to reflect on existing practices and their appropriate application for different objectives and contexts at the local scale, as well as on their potential perceived outcomes. We contribute to theoretical and empirical frameworks by analyzing how and why researchers assess social-ecological systems using place-based PSP, hence facilitating the appropriate uptake of such scenario tools in the future. We analyzed 23 PSP case studies conducted by the authors in a wide range of social-ecological settings by exploring seven aspects: (1) the context; (2) the original motivations and objectives; (3) the methodological approach; (4) the process; (5) the content of the scenarios; (6) the outputs of the research; and (7) the monitoring and evaluation of the PSP process. This was complemented by a reflection on strengths and weaknesses of using PSP for the place-based social-ecological research. We conclude that the application of PSP, particularly when tailored to shared objectives between local people and researchers, has enriched environmental management and scientific research through building common understanding and fostering learning about future planning of social-ecological systems. However, PSP still requires greater systematic monitoring and evaluation to assess its impact on the promotion of collective action for transitions to sustainability and the adaptation to global environmental change and its challenges.", "author" : [ { "dropping-particle" : "", "family" : "Oteros-Rozas", "given" : "Elisa", "non-dropping-particle" : "", "parse-names" : false, "suffix" : "" }, { "dropping-particle" : "", "family" : "Mart\u00edn-L\u00f3pez", "given" : "Berta", "non-dropping-particle" : "", "parse-names" : false, "suffix" : "" }, { "dropping-particle" : "", "family" : "Daw", "given" : "Tim M.", "non-dropping-particle" : "", "parse-names" : false, "suffix" : "" }, { "dropping-particle" : "", "family" : "Bohensky", "given" : "Erin L.", "non-dropping-particle" : "", "parse-names" : false, "suffix" : "" }, { "dropping-particle" : "", "family" : "Butler", "given" : "James R A", "non-dropping-particle" : "", "parse-names" : false, "suffix" : "" }, { "dropping-particle" : "", "family" : "Hill", "given" : "Rosemary", "non-dropping-particle" : "", "parse-names" : false, "suffix" : "" }, { "dropping-particle" : "", "family" : "Martin-Ortega", "given" : "Julia", "non-dropping-particle" : "", "parse-names" : false, "suffix" : "" }, { "dropping-particle" : "", "family" : "Quinlan", "given" : "Allyson", "non-dropping-particle" : "", "parse-names" : false, "suffix" : "" }, { "dropping-particle" : "", "family" : "Ravera", "given" : "Federica", "non-dropping-particle" : "", "parse-names" : false, "suffix" : "" }, { "dropping-particle" : "", "family" : "Ruiz-Mall\u00e9n", "given" : "Isabel", "non-dropping-particle" : "", "parse-names" : false, "suffix" : "" }, { "dropping-particle" : "", "family" : "Thyresson", "given" : "Matilda", "non-dropping-particle" : "", "parse-names" : false, "suffix" : "" }, { "dropping-particle" : "", "family" : "Mistry", "given" : "Jayalaxshmi", "non-dropping-particle" : "", "parse-names" : false, "suffix" : "" }, { "dropping-particle" : "", "family" : "Palomo", "given" : "Ignacio", "non-dropping-particle" : "", "parse-names" : false, "suffix" : "" }, { "dropping-particle" : "", "family" : "Peterson", "given" : "Garry D.", "non-dropping-particle" : "", "parse-names" : false, "suffix" : "" }, { "dropping-particle" : "", "family" : "Plieninger", "given" : "Tobias", "non-dropping-particle" : "", "parse-names" : false, "suffix" : "" }, { "dropping-particle" : "", "family" : "Waylen", "given" : "Kerry A.", "non-dropping-particle" : "", "parse-names" : false, "suffix" : "" }, { "dropping-particle" : "", "family" : "Beach", "given" : "Dylan M.", "non-dropping-particle" : "", "parse-names" : false, "suffix" : "" }, { "dropping-particle" : "", "family" : "Bohnet", "given" : "Iris C.", "non-dropping-particle" : "", "parse-names" : false, "suffix" : "" }, { "dropping-particle" : "", "family" : "Hamann", "given" : "Maike", "non-dropping-particle" : "", "parse-names" : false, "suffix" : "" }, { "dropping-particle" : "", "family" : "Hanspach", "given" : "Jan", "non-dropping-particle" : "", "parse-names" : false, "suffix" : "" }, { "dropping-particle" : "", "family" : "Hubacek", "given" : "Klaus", "non-dropping-particle" : "", "parse-names" : false, "suffix" : "" }, { "dropping-particle" : "", "family" : "Lavorel", "given" : "Sandra", "non-dropping-particle" : "", "parse-names" : false, "suffix" : "" }, { "dropping-particle" : "", "family" : "Vilardy", "given" : "Sandra P.", "non-dropping-particle" : "", "parse-names" : false, "suffix" : "" } ], "container-title" : "Ecology and Society", "id" : "ITEM-1", "issue" : "4", "issued" : { "date-parts" : [ [ "2015" ] ] }, "title" : "Participatory scenario planning in place-based social-ecological research: Insights and experiences from 23 case studies", "type" : "book", "volume" : "20" }, "uris" : [ "http://www.mendeley.com/documents/?uuid=6b655864-014d-4ed9-aa24-b0c9720cf308" ] } ], "mendeley" : { "formattedCitation" : "(Oteros-Rozas et al., 2015)", "manualFormatting" : "Oteros-Rozas et al. (2015)", "plainTextFormattedCitation" : "(Oteros-Rozas et al., 2015)", "previouslyFormattedCitation" : "(Oteros-Rozas et al., 2015)" }, "properties" : {  }, "schema" : "https://github.com/citation-style-language/schema/raw/master/csl-citation.json" }</w:instrText>
      </w:r>
      <w:r w:rsidRPr="008608AA">
        <w:fldChar w:fldCharType="separate"/>
      </w:r>
      <w:r w:rsidRPr="008608AA">
        <w:rPr>
          <w:noProof/>
        </w:rPr>
        <w:t>Oteros-Rozas et al. (2015)</w:t>
      </w:r>
      <w:r w:rsidRPr="008608AA">
        <w:fldChar w:fldCharType="end"/>
      </w:r>
      <w:r w:rsidRPr="008608AA">
        <w:t xml:space="preserve"> grouped different studies according to their application and utility. Studies were placed in each of the four identified clusters as follows:</w:t>
      </w:r>
    </w:p>
    <w:p w14:paraId="65F63032" w14:textId="77777777" w:rsidR="00350A59" w:rsidRPr="008608AA" w:rsidRDefault="00350A59" w:rsidP="0042035C">
      <w:pPr>
        <w:suppressAutoHyphens/>
      </w:pPr>
    </w:p>
    <w:p w14:paraId="71CBA8DE" w14:textId="77777777" w:rsidR="00350A59" w:rsidRPr="008608AA" w:rsidRDefault="00490494" w:rsidP="0042035C">
      <w:pPr>
        <w:suppressAutoHyphens/>
        <w:ind w:left="284"/>
      </w:pPr>
      <w:r w:rsidRPr="008608AA">
        <w:t xml:space="preserve">Cluster 1: studies that performed desirability and vulnerability analysis. These studies broaden the thinking of social actors about social-ecological systems and also identified the stimulation of creative and complex thinking as a strength </w:t>
      </w:r>
      <w:r w:rsidRPr="008608AA">
        <w:fldChar w:fldCharType="begin" w:fldLock="1"/>
      </w:r>
      <w:r w:rsidRPr="008608AA">
        <w:instrText>ADDIN CSL_CITATION { "citationItems" : [ { "id" : "ITEM-1", "itemData" : { "DOI" : "10.5751/ES-07379-200161", "ISSN" : "1708-3087", "author" : [ { "dropping-particle" : "", "family" : "Beach", "given" : "Dylan M.", "non-dropping-particle" : "", "parse-names" : false, "suffix" : "" }, { "dropping-particle" : "", "family" : "Clark", "given" : "Douglas A.", "non-dropping-particle" : "", "parse-names" : false, "suffix" : "" } ], "container-title" : "Ecology and Society", "id" : "ITEM-1", "issue" : "1", "issued" : { "date-parts" : [ [ "2015", "3", "23" ] ] }, "page" : "61", "publisher" : "The Resilience Alliance", "title" : "Scenario planning during rapid ecological change: lessons and perspectives from workshops with southwest Yukon wildlife managers", "type" : "article-journal", "volume" : "20" }, "uris" : [ "http://www.mendeley.com/documents/?uuid=e82abb6b-7bf2-4f1e-8676-4467f88c0530" ] }, { "id" : "ITEM-2", "itemData" : { "author" : [ { "dropping-particle" : "", "family" : "Quinlan", "given" : "A.", "non-dropping-particle" : "", "parse-names" : false, "suffix" : "" } ], "container-title" : "Assessing ecosystem service governance: interactions among actors in a rural watershed in eastern Ontario", "id" : "ITEM-2", "issued" : { "date-parts" : [ [ "2012" ] ] }, "publisher" : "Carleton University, Ottawa, Ontario, Canada", "title" : "Using future scenarios to explore alternate governance trajectories", "type" : "thesis" }, "uris" : [ "http://www.mendeley.com/documents/?uuid=b76a6fcd-45d9-4c51-b00a-386aa1f8fda4" ] }, { "id" : "ITEM-3", "itemData" : { "DOI" : "10.1016/J.ENVSCI.2015.07.027", "ISSN" : "1462-9011", "author" : [ { "dropping-particle" : "", "family" : "Ruiz-Mall\u00e9n", "given" : "Isabel", "non-dropping-particle" : "", "parse-names" : false, "suffix" : "" }, { "dropping-particle" : "", "family" : "Corbera", "given" : "Esteve", "non-dropping-particle" : "", "parse-names" : false, "suffix" : "" }, { "dropping-particle" : "", "family" : "Calvo-Boyero", "given" : "Diana", "non-dropping-particle" : "", "parse-names" : false, "suffix" : "" }, { "dropping-particle" : "", "family" : "Reyes-Garc\u00eda", "given" : "Victoria", "non-dropping-particle" : "", "parse-names" : false, "suffix" : "" } ], "container-title" : "Environmental Science &amp; Policy", "id" : "ITEM-3", "issue" : "54", "issued" : { "date-parts" : [ [ "2015", "12", "1" ] ] }, "page" : "398-408", "publisher" : "Elsevier", "title" : "Participatory scenarios to explore local adaptation to global change in biosphere reserves: Experiences from Bolivia and Mexico", "type" : "article-journal", "volume" : "54" }, "uris" : [ "http://www.mendeley.com/documents/?uuid=b7897b04-9011-480c-99bc-10458bbdae93" ] } ], "mendeley" : { "formattedCitation" : "(Beach &amp; Clark, 2015; Quinlan, 2012; Ruiz-Mall\u00e9n, Corbera, Calvo-Boyero, &amp; Reyes-Garc\u00eda, 2015)", "plainTextFormattedCitation" : "(Beach &amp; Clark, 2015; Quinlan, 2012; Ruiz-Mall\u00e9n, Corbera, Calvo-Boyero, &amp; Reyes-Garc\u00eda, 2015)", "previouslyFormattedCitation" : "(Beach &amp; Clark, 2015; Quinlan, 2012; Ruiz-Mall\u00e9n, Corbera, Calvo-Boyero, &amp; Reyes-Garc\u00eda, 2015)" }, "properties" : {  }, "schema" : "https://github.com/citation-style-language/schema/raw/master/csl-citation.json" }</w:instrText>
      </w:r>
      <w:r w:rsidRPr="008608AA">
        <w:fldChar w:fldCharType="separate"/>
      </w:r>
      <w:r w:rsidRPr="008608AA">
        <w:rPr>
          <w:noProof/>
        </w:rPr>
        <w:t>(Beach &amp; Clark, 2</w:t>
      </w:r>
      <w:r w:rsidR="0045556C" w:rsidRPr="008608AA">
        <w:rPr>
          <w:noProof/>
        </w:rPr>
        <w:t>015; Quinlan, 2012; Ruiz-Mallén</w:t>
      </w:r>
      <w:r w:rsidRPr="008608AA">
        <w:rPr>
          <w:noProof/>
        </w:rPr>
        <w:t xml:space="preserve"> et al., 2015)</w:t>
      </w:r>
      <w:r w:rsidRPr="008608AA">
        <w:fldChar w:fldCharType="end"/>
      </w:r>
      <w:r w:rsidR="00350A59" w:rsidRPr="008608AA">
        <w:t xml:space="preserve">. </w:t>
      </w:r>
    </w:p>
    <w:p w14:paraId="3C49CA80" w14:textId="77777777" w:rsidR="00350A59" w:rsidRPr="008608AA" w:rsidRDefault="00350A59" w:rsidP="0042035C">
      <w:pPr>
        <w:suppressAutoHyphens/>
        <w:ind w:left="284"/>
      </w:pPr>
    </w:p>
    <w:p w14:paraId="5CCD2083" w14:textId="77777777" w:rsidR="00350A59" w:rsidRPr="008608AA" w:rsidRDefault="00490494" w:rsidP="0042035C">
      <w:pPr>
        <w:suppressAutoHyphens/>
        <w:ind w:left="284"/>
      </w:pPr>
      <w:r w:rsidRPr="008608AA">
        <w:t xml:space="preserve">Cluster 2: studies that identified stakeholders and drivers of change before workshops, and developed backcasting during the participatory process. They aimed to understand the social and institutional mechanisms behind management decisions and they recognized insights for landscape management as a positive outcome </w:t>
      </w:r>
      <w:r w:rsidRPr="008608AA">
        <w:fldChar w:fldCharType="begin" w:fldLock="1"/>
      </w:r>
      <w:r w:rsidRPr="008608AA">
        <w:instrText>ADDIN CSL_CITATION { "citationItems" : [ { "id" : "ITEM-1", "itemData" : { "DOI" : "10.1017/CBO9781107415324.004", "ISBN" : "978-958-44-7849-8", "abstract" : "Predicting the binding mode of flexible polypeptides to proteins is an important task that falls outside the domain of applicability of most small molecule and protein\u2212protein docking tools. Here, we test the small molecule flexible ligand docking program Glide on a set of 19 non-\u03b1-helical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\u2264 2.0 \u00c5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 "author" : [ { "dropping-particle" : "", "family" : "Vilardy-Quiroga", "given" : "Sandra Patricia", "non-dropping-particle" : "", "parse-names" : false, "suffix" : "" }, { "dropping-particle" : "", "family" : "Gonz\u00e1lez Novoa", "given" : "Jos\u00e9 Antonio", "non-dropping-particle" : "", "parse-names" : false, "suffix" : "" } ], "id" : "ITEM-1", "issued" : { "date-parts" : [ [ "2011" ] ] }, "number-of-pages" : "228", "title" : "Repensando la Ci\u00e9naga: Nuevas miradas y estrategias para la sostenibilidad en la Ci\u00e9naga Grande de Santa Marta", "type" : "book", "volume" : "1" }, "uris" : [ "http://www.mendeley.com/documents/?uuid=cc3a13d4-169b-41a8-ba03-2c7bf582b30b" ] } ], "mendeley" : { "formattedCitation" : "(Vilardy-Quiroga &amp; Gonz\u00e1lez Novoa, 2011)", "plainTextFormattedCitation" : "(Vilardy-Quiroga &amp; Gonz\u00e1lez Novoa, 2011)", "previouslyFormattedCitation" : "(Vilardy-Quiroga &amp; Gonz\u00e1lez Novoa, 2011)" }, "properties" : {  }, "schema" : "https://github.com/citation-style-language/schema/raw/master/csl-citation.json" }</w:instrText>
      </w:r>
      <w:r w:rsidRPr="008608AA">
        <w:fldChar w:fldCharType="separate"/>
      </w:r>
      <w:r w:rsidRPr="008608AA">
        <w:rPr>
          <w:noProof/>
        </w:rPr>
        <w:t>(Vilardy-Quiroga &amp; González Novoa, 2011)</w:t>
      </w:r>
      <w:r w:rsidRPr="008608AA">
        <w:fldChar w:fldCharType="end"/>
      </w:r>
      <w:r w:rsidR="00350A59" w:rsidRPr="008608AA">
        <w:t>.</w:t>
      </w:r>
    </w:p>
    <w:p w14:paraId="739E3608" w14:textId="44653581" w:rsidR="00490494" w:rsidRPr="008608AA" w:rsidRDefault="00490494" w:rsidP="0042035C">
      <w:pPr>
        <w:suppressAutoHyphens/>
        <w:ind w:left="284"/>
      </w:pPr>
      <w:r w:rsidRPr="008608AA">
        <w:t xml:space="preserve"> </w:t>
      </w:r>
    </w:p>
    <w:p w14:paraId="178BC57F" w14:textId="66C2FA49" w:rsidR="00490494" w:rsidRPr="008608AA" w:rsidRDefault="00490494" w:rsidP="0042035C">
      <w:pPr>
        <w:suppressAutoHyphens/>
        <w:ind w:left="284"/>
      </w:pPr>
      <w:r w:rsidRPr="008608AA">
        <w:t>Cluster 3: studies that identified direct drivers of change prior to participatory scenario planning and explicitly included uncertainty. They aimed to promote community-based solutions and recognized as a positive outcome having engaged social actors that are unrepresented in decision making (</w:t>
      </w:r>
      <w:r w:rsidR="00847F60" w:rsidRPr="008608AA">
        <w:t>e.g.</w:t>
      </w:r>
      <w:r w:rsidRPr="008608AA">
        <w:t xml:space="preserve"> </w:t>
      </w:r>
      <w:r w:rsidRPr="008608AA">
        <w:fldChar w:fldCharType="begin" w:fldLock="1"/>
      </w:r>
      <w:r w:rsidRPr="008608AA">
        <w:instrText>ADDIN CSL_CITATION { "citationItems" : [ { "id" : "ITEM-1", "itemData" : { "DOI" : "http://dx.doi.org/10.1016/j.envsci.2014.05.007", "ISSN" : "1462-9011", "abstract" : "Abstract Scenarios help build a shared understanding of potential futures and allow us to engage with how interventions or activities may impact on people and the environment. There are many scenario sets that have been developed at the global and regional level, but to a lesser extent at the national and local levels. Yet fewer studies have explicitly linked imagined futures at different social\u2013ecological scales. In this paper, we discuss how scenario analysis was used with indigenous communities and national level stakeholders in Guyana, South America, to explore context specific futures in relation to linked social-ecological systems. These futures were then analysed against published regional (Amazonian) and international scenarios using a qualitative coding approach and supported by quantitative factorial analysis. This allowed us to develop a matrix of multi-scalar scenarios, showing how scenarios at all scales interact. From this, we were able to identify virtuous and vicious cycles amongst the different scales where developments produced feedbacks to make situations worse, better or counteract change at other levels. Our results show that there is considerable mismatch between the different scales of analysis, with the national scale playing a key role as mediator. In addition, we highlight the importance of focusing on the root causes shaping futures as well as participatory forms of scenario development in order to provide better policy and decision support, and stimulate engagement at all levels of organisation in the process of change.", "author" : [ { "dropping-particle" : "", "family" : "Mistry", "given" : "Jayalaxshmi", "non-dropping-particle" : "", "parse-names" : false, "suffix" : "" }, { "dropping-particle" : "", "family" : "Tschirhart", "given" : "C\u00e9line", "non-dropping-particle" : "", "parse-names" : false, "suffix" : "" }, { "dropping-particle" : "", "family" : "Verwer", "given" : "Caspar", "non-dropping-particle" : "", "parse-names" : false, "suffix" : "" }, { "dropping-particle" : "", "family" : "Glastra", "given" : "Rob", "non-dropping-particle" : "", "parse-names" : false, "suffix" : "" }, { "dropping-particle" : "", "family" : "Davis", "given" : "Odacy", "non-dropping-particle" : "", "parse-names" : false, "suffix" : "" }, { "dropping-particle" : "", "family" : "Jafferally", "given" : "Deirdre", "non-dropping-particle" : "", "parse-names" : false, "suffix" : "" }, { "dropping-particle" : "", "family" : "Haynes", "given" : "Lakeram", "non-dropping-particle" : "", "parse-names" : false, "suffix" : "" }, { "dropping-particle" : "", "family" : "Benjamin", "given" : "Ryan", "non-dropping-particle" : "", "parse-names" : false, "suffix" : "" }, { "dropping-particle" : "", "family" : "Albert", "given" : "Grace", "non-dropping-particle" : "", "parse-names" : false, "suffix" : "" }, { "dropping-particle" : "", "family" : "Xavier", "given" : "Rebecca", "non-dropping-particle" : "", "parse-names" : false, "suffix" : "" }, { "dropping-particle" : "", "family" : "Bovolo", "given" : "Isabella", "non-dropping-particle" : "", "parse-names" : false, "suffix" : "" }, { "dropping-particle" : "", "family" : "Berardi", "given" : "Andrea", "non-dropping-particle" : "", "parse-names" : false, "suffix" : "" } ], "container-title" : "Environmental Science &amp; Policy", "id" : "ITEM-1", "issued" : { "date-parts" : [ [ "2014", "12" ] ] }, "page" : "126-148", "title" : "Our common future? Cross-scalar scenario analysis for social\u2013ecological sustainability of the Guiana Shield, South America", "type" : "article-journal", "volume" : "44" }, "uris" : [ "http://www.mendeley.com/documents/?uuid=27c153d5-d21d-4040-b374-3e41638072b9" ] } ], "mendeley" : { "formattedCitation" : "(Mistry et al., 2014)", "manualFormatting" : "Mistry et al., 2014)", "plainTextFormattedCitation" : "(Mistry et al., 2014)", "previouslyFormattedCitation" : "(Mistry et al., 2014)" }, "properties" : {  }, "schema" : "https://github.com/citation-style-language/schema/raw/master/csl-citation.json" }</w:instrText>
      </w:r>
      <w:r w:rsidRPr="008608AA">
        <w:fldChar w:fldCharType="separate"/>
      </w:r>
      <w:r w:rsidRPr="008608AA">
        <w:rPr>
          <w:noProof/>
        </w:rPr>
        <w:t>Mistry et al., 2014)</w:t>
      </w:r>
      <w:r w:rsidRPr="008608AA">
        <w:fldChar w:fldCharType="end"/>
      </w:r>
      <w:r w:rsidRPr="008608AA">
        <w:t>.</w:t>
      </w:r>
    </w:p>
    <w:p w14:paraId="0D7CC7D3" w14:textId="77777777" w:rsidR="00350A59" w:rsidRPr="008608AA" w:rsidRDefault="00350A59" w:rsidP="0042035C">
      <w:pPr>
        <w:suppressAutoHyphens/>
        <w:ind w:left="284"/>
        <w:rPr>
          <w:rFonts w:eastAsia="Droid Sans Fallback"/>
        </w:rPr>
      </w:pPr>
    </w:p>
    <w:p w14:paraId="4370F06A" w14:textId="77777777" w:rsidR="00350A59" w:rsidRPr="00A3137A" w:rsidRDefault="00490494" w:rsidP="0042035C">
      <w:pPr>
        <w:suppressAutoHyphens/>
        <w:ind w:left="284"/>
        <w:rPr>
          <w:lang w:val="fr-FR"/>
        </w:rPr>
      </w:pPr>
      <w:r w:rsidRPr="008608AA">
        <w:t xml:space="preserve">Cluster 4: studies that used modeling as a quantitative technique after a workshop and monitoring processes. They aimed to facilitate sharing experiences among stakeholders in a creative and collaborative way. In this cluster, a complex understanding of the current situation and the co-learning process between scientists and nonacademic stakeholders were highlighted by researchers as positive outcomes </w:t>
      </w:r>
      <w:r w:rsidRPr="008608AA">
        <w:fldChar w:fldCharType="begin" w:fldLock="1"/>
      </w:r>
      <w:r w:rsidRPr="008608AA">
        <w:instrText>ADDIN CSL_CITATION { "citationItems" : [ { "id" : "ITEM-1", "itemData" : { "DOI" : "10.1002/eet.585", "ISSN" : "1756932X", "author" : [ { "dropping-particle" : "", "family" : "Ravera", "given" : "Federica", "non-dropping-particle" : "", "parse-names" : false, "suffix" : "" }, { "dropping-particle" : "", "family" : "Hubacek", "given" : "Klaus", "non-dropping-particle" : "", "parse-names" : false, "suffix" : "" }, { "dropping-particle" : "", "family" : "Reed", "given" : "Mark", "non-dropping-particle" : "", "parse-names" : false, "suffix" : "" }, { "dropping-particle" : "", "family" : "Tarras\u00f3n", "given" : "David", "non-dropping-particle" : "", "parse-names" : false, "suffix" : "" } ], "container-title" : "Environmental Policy and Governance", "id" : "ITEM-1", "issue" : "6", "issued" : { "date-parts" : [ [ "2011", "11", "1" ] ] }, "page" : "433-453", "publisher" : "John Wiley &amp; Sons, Ltd", "title" : "Learning from Experiences in Adaptive Action Research: a Critical Comparison of two Case Studies Applying Participatory Scenario Development and Modelling Approaches", "type" : "article-journal", "volume" : "21" }, "uris" : [ "http://www.mendeley.com/documents/?uuid=18c7deaf-50c8-3a0c-abef-2ae61f1d8980" ] }, { "id" : "ITEM-2", "itemData" : { "ISBN" : "1708-3087", "ISSN" : "17083087", "abstract" : "Historically, the semiarid social-ecological systems of the dry Central American corridor have proven resilient to pressures. However, in the last century, these systems have experienced huge environmental and socioeconomic changes that have increased the vulnerability of local livelihoods to shocks. New approaches are needed to capture complex, uncertain, cross-scale and nonlinear relationships among drivers of change and vulnerability. Therefore, to tackle this challenge, we have applied a participatory and interdisciplinary methodological framework of vulnerability assessment to a case study in northern Nicaragua. We triangulated a range of information and data from participatory and scientific research to explore historical and current drivers of changes that affect the system's components and indicators of vulnerability, represented in a 3-dimensional space in terms of ecological resilience, the socioeconomic ability of individuals to adapt to change, and an institutional capacity to buffer and respond to crisis. A projection of climatic changes combined with a participatory scenario analysis helped, then, to heuristically analyze tendencies of vulnerability in the future and to explore what policy options might enhance the system's adaptive capacity to face new pressures. Our work primarily contributes to an empirical understanding of key factors that influence vulnerability and learning about local strategies to adapt to change in semiarid agropastoral systems in Central America. We also make a methodological contribution by testing the use of a multidimensional vulnerability framework as a way of stimulating discussion among researchers, local stakeholders, and policy makers.", "author" : [ { "dropping-particle" : "", "family" : "Ravera", "given" : "Federica", "non-dropping-particle" : "", "parse-names" : false, "suffix" : "" }, { "dropping-particle" : "", "family" : "Tarras\u00f3n", "given" : "David", "non-dropping-particle" : "", "parse-names" : false, "suffix" : "" }, { "dropping-particle" : "", "family" : "Simelton", "given" : "Elisabeth", "non-dropping-particle" : "", "parse-names" : false, "suffix" : "" } ], "container-title" : "Ecology and Society", "id" : "ITEM-2", "issue" : "1", "issued" : { "date-parts" : [ [ "2011" ] ] }, "title" : "Envisioning adaptive strategies to change: Participatory scenarios for agropastoral semiarid systems in Nicaragua", "type" : "article-journal", "volume" : "16" }, "uris" : [ "http://www.mendeley.com/documents/?uuid=a3bda719-ef93-410d-9300-00c18af2d8f3" ] }, { "id" : "ITEM-3", "itemData" : { "DOI" : "10.5751/ES-07926-200428", "ISSN" : "1708-3087", "author" : [ { "dropping-particle" : "", "family" : "Waylen", "given" : "Kerry A.", "non-dropping-particle" : "", "parse-names" : false, "suffix" : "" }, { "dropping-particle" : "", "family" : "Martin-Ortega", "given" : "Julia", "non-dropping-particle" : "", "parse-names" : false, "suffix" : "" }, { "dropping-particle" : "", "family" : "Blackstock", "given" : "Kirsty L.", "non-dropping-particle" : "", "parse-names" : false, "suffix" : "" }, { "dropping-particle" : "", "family" : "Brown", "given" : "Iain", "non-dropping-particle" : "", "parse-names" : false, "suffix" : "" }, { "dropping-particle" : "", "family" : "Avenda\u00f1o Uribe", "given" : "Bryan E.", "non-dropping-particle" : "", "parse-names" : false, "suffix" : "" }, { "dropping-particle" : "", "family" : "Basurto Hern\u00e1ndez", "given" : "Sa\u00fal", "non-dropping-particle" : "", "parse-names" : false, "suffix" : "" }, { "dropping-particle" : "", "family" : "Bertoni", "given" : "Mar\u00eda Bel\u00e9n", "non-dropping-particle" : "", "parse-names" : false, "suffix" : "" }, { "dropping-particle" : "", "family" : "Bustos", "given" : "M. Lujan", "non-dropping-particle" : "", "parse-names" : false, "suffix" : "" }, { "dropping-particle" : "", "family" : "Cruz Bayer", "given" : "Alejandra X\u00f3chitl", "non-dropping-particle" : "", "parse-names" : false, "suffix" : "" }, { "dropping-particle" : "", "family" : "Escalante Semerena", "given" : "Roberto Ivan", "non-dropping-particle" : "", "parse-names" : false, "suffix" : "" }, { "dropping-particle" : "", "family" : "Farah Quijano", "given" : "Maria Adelaida", "non-dropping-particle" : "", "parse-names" : false, "suffix" : "" }, { "dropping-particle" : "", "family" : "Ferrelli", "given" : "Federico", "non-dropping-particle" : "", "parse-names" : false, "suffix" : "" }, { "dropping-particle" : "", "family" : "Fidalgo", "given" : "Guillermo Luis", "non-dropping-particle" : "", "parse-names" : false, "suffix" : "" }, { "dropping-particle" : "", "family" : "Hern\u00e1ndez L\u00f3pez", "given" : "Israel", "non-dropping-particle" : "", "parse-names" : false, "suffix" : "" }, { "dropping-particle" : "", "family" : "Huamantinco Cisneros", "given" : "Mar\u00eda Andrea", "non-dropping-particle" : "", "parse-names" : false, "suffix" : "" }, { "dropping-particle" : "", "family" : "London", "given" : "Silvia", "non-dropping-particle" : "", "parse-names" : false, "suffix" : "" }, { "dropping-particle" : "", "family" : "Maya V\u00e9lez", "given" : "Diana L.", "non-dropping-particle" : "", "parse-names" : false, "suffix" : "" }, { "dropping-particle" : "", "family" : "Ocampo-D\u00edaz", "given" : "Natalia", "non-dropping-particle" : "", "parse-names" : false, "suffix" : "" }, { "dropping-particle" : "", "family" : "Ortiz-Guerrero", "given" : "Cesar E.", "non-dropping-particle" : "", "parse-names" : false, "suffix" : "" }, { "dropping-particle" : "", "family" : "Pascale", "given" : "Juan Carlos", "non-dropping-particle" : "", "parse-names" : false, "suffix" : "" }, { "dropping-particle" : "", "family" : "Perillo", "given" : "Gerardo M. E.", "non-dropping-particle" : "", "parse-names" : false, "suffix" : "" }, { "dropping-particle" : "", "family" : "Piccolo", "given" : "M. Cintia", "non-dropping-particle" : "", "parse-names" : false, "suffix" : "" }, { "dropping-particle" : "", "family" : "Pinz\u00f3n Mart\u00ednez", "given" : "Lina N.", "non-dropping-particle" : "", "parse-names" : false, "suffix" : "" }, { "dropping-particle" : "", "family" : "Rojas", "given" : "Mara L.", "non-dropping-particle" : "", "parse-names" : false, "suffix" : "" }, { "dropping-particle" : "", "family" : "Scordo", "given" : "Facundo", "non-dropping-particle" : "", "parse-names" : false, "suffix" : "" }, { "dropping-particle" : "", "family" : "Vitale", "given" : "Valeria", "non-dropping-particle" : "", "parse-names" : false, "suffix" : "" }, { "dropping-particle" : "", "family" : "Zilio", "given" : "Mariana I.", "non-dropping-particle" : "", "parse-names" : false, "suffix" : "" } ], "container-title" : "Ecology and Society", "id" : "ITEM-3", "issue" : "4", "issued" : { "date-parts" : [ [ "2015" ] ] }, "page" : "28", "title" : "Can scenario-planning support community-based natural resource management? Experiences from three countries in Latin America", "type" : "article-journal", "volume" : "20" }, "uris" : [ "http://www.mendeley.com/documents/?uuid=7ea4b996-b2dd-40df-91c7-54cfdb0d9dfe" ] }, { "id" : "ITEM-4", "itemData" : { "DOI" : "Artn 1", "ISBN" : "1195-5449", "ISSN" : "11955449", "abstract" : "The Northern Highlands Lake District of Wisconsin is in transition from a sparsely settled region to a more densely populated one. Expected changes offer benefits to northern Wisconsin residents but also threaten to degrade the ecological services they rely on. Because the future of this region is uncertain, it is difficult to make decisions that will avoid potential risks and take advantage of potential opportunities. We adopt a scenario planning approach to cope with this problem of prediction. We use an ecological assessment framework developed by the Millennium Ecosystem Assessment to determine key social and ecological driving forces in the Northern Highlands Lake District. From these, we describe three alternative scenarios to the year 2025 in which the projected use of ecological services is substantially different. The work reported in this paper demonstrates how scenarios can be developed for a region and provides a starting point for a participatory discussion of alternative futures for northern Wisconsin. Although the future is unknowable, we hope that the assessment process begun in this paper will help the people of the Northern Highlands Lake District choose the future path of their region.", "author" : [ { "dropping-particle" : "", "family" : "Peterson", "given" : "Garry D.", "non-dropping-particle" : "", "parse-names" : false, "suffix" : "" }, { "dropping-particle" : "", "family" : "Beard", "given" : "T. Douglas Jr.", "non-dropping-particle" : "", "parse-names" : false, "suffix" : "" }, { "dropping-particle" : "", "family" : "Beisner", "given" : "Beatrix E.", "non-dropping-particle" : "", "parse-names" : false, "suffix" : "" }, { "dropping-particle" : "", "family" : "Bennett", "given" : "Elena M.", "non-dropping-particle" : "", "parse-names" : false, "suffix" : "" }, { "dropping-particle" : "", "family" : "Carpenter", "given" : "Stephen R.", "non-dropping-particle" : "", "parse-names" : false, "suffix" : "" }, { "dropping-particle" : "", "family" : "Cumming</w:instrText>
      </w:r>
      <w:r w:rsidRPr="00A3137A">
        <w:rPr>
          <w:lang w:val="fr-FR"/>
        </w:rPr>
        <w:instrText>", "given" : "Graeme S.", "non-dropping-particle" : "", "parse-names" : false, "suffix" : "" }, { "dropping-particle" : "", "family" : "Dent", "given" : "C. Lisa", "non-dropping-particle" : "", "parse-names" : false, "suffix" : "" }, { "dropping-particle" : "", "family" : "Havlicek", "given" : "Tanya D.", "non-dropping-particle" : "", "parse-names" : false, "suffix" : "" } ], "container-title" : "Conservation Ecology", "id" : "ITEM-4", "issue" : "3", "issued" : { "date-parts" : [ [ "2003" ] ] }, "page" : "1", "title" : "Assessing Future Ecosystem Services : a Case Study of the Northern Highlands Lake District , Wisconsin", "type" : "article-journal", "volume" : "7" }, "uris" : [ "http://www.mendeley.com/documents/?uuid=871f16cf-6440-4d70-864d-400ca4eb5c7b" ] } ], "mendeley" : { "formattedCitation" : "(Peterson et al., 2003; Ravera, Hubacek, Reed, &amp; Tarras\u00f3n, 2011; Ravera, Tarras\u00f3n, &amp; Simelton, 2011; Waylen et al., 2015)", "manualFormatting" : "(e.g., Peterson et al., 2003, Ravera et al., 2011a, 2011b; Waylen et al., 2015)", "plainTextFormattedCitation" : "(Peterson et al., 2003; Ravera, Hubacek, Reed, &amp; Tarras\u00f3n, 2011; Ravera, Tarras\u00f3n, &amp; Simelton, 2011; Waylen et al., 2015)", "previouslyFormattedCitation" : "(Peterson et al., 2003; Ravera, Hubacek, Reed, &amp; Tarras\u00f3n, 2011; Ravera, Tarras\u00f3n, &amp; Simelton, 2011; Waylen et al., 2015)" }, "properties" : {  }, "schema" : "https://github.com/citation-style-language/schema/raw/master/csl-citation.json" }</w:instrText>
      </w:r>
      <w:r w:rsidRPr="008608AA">
        <w:fldChar w:fldCharType="separate"/>
      </w:r>
      <w:r w:rsidR="0045556C" w:rsidRPr="00A3137A">
        <w:rPr>
          <w:noProof/>
          <w:lang w:val="fr-FR"/>
        </w:rPr>
        <w:t>(</w:t>
      </w:r>
      <w:r w:rsidR="00847F60" w:rsidRPr="00A3137A">
        <w:rPr>
          <w:noProof/>
          <w:lang w:val="fr-FR"/>
        </w:rPr>
        <w:t>e.g.</w:t>
      </w:r>
      <w:r w:rsidR="0045556C" w:rsidRPr="00A3137A">
        <w:rPr>
          <w:noProof/>
          <w:lang w:val="fr-FR"/>
        </w:rPr>
        <w:t xml:space="preserve"> Peterson et al., 2003;</w:t>
      </w:r>
      <w:r w:rsidRPr="00A3137A">
        <w:rPr>
          <w:noProof/>
          <w:lang w:val="fr-FR"/>
        </w:rPr>
        <w:t xml:space="preserve"> Ravera et al., 2011a, 2011b; Waylen et al., 2015)</w:t>
      </w:r>
      <w:r w:rsidRPr="008608AA">
        <w:fldChar w:fldCharType="end"/>
      </w:r>
      <w:r w:rsidR="00350A59" w:rsidRPr="00A3137A">
        <w:rPr>
          <w:lang w:val="fr-FR"/>
        </w:rPr>
        <w:t>.</w:t>
      </w:r>
    </w:p>
    <w:p w14:paraId="682464E3" w14:textId="5EC3D7F7" w:rsidR="00490494" w:rsidRPr="00A3137A" w:rsidRDefault="00490494" w:rsidP="0042035C">
      <w:pPr>
        <w:suppressAutoHyphens/>
        <w:ind w:left="284"/>
        <w:rPr>
          <w:rFonts w:eastAsia="Droid Sans Fallback"/>
          <w:lang w:val="fr-FR"/>
        </w:rPr>
      </w:pPr>
      <w:r w:rsidRPr="00A3137A">
        <w:rPr>
          <w:lang w:val="fr-FR"/>
        </w:rPr>
        <w:t xml:space="preserve"> </w:t>
      </w:r>
    </w:p>
    <w:p w14:paraId="573F4ACE" w14:textId="64D75826" w:rsidR="00490494" w:rsidRPr="008608AA" w:rsidRDefault="00490494" w:rsidP="0042035C">
      <w:pPr>
        <w:suppressAutoHyphens/>
      </w:pPr>
      <w:r w:rsidRPr="008608AA">
        <w:t xml:space="preserve">The second group, which makes predominant use of </w:t>
      </w:r>
      <w:r w:rsidRPr="008608AA">
        <w:rPr>
          <w:iCs/>
        </w:rPr>
        <w:t xml:space="preserve">economic tools </w:t>
      </w:r>
      <w:r w:rsidRPr="008608AA">
        <w:t xml:space="preserve">was concerned with the valuation of ecosystem services </w:t>
      </w:r>
      <w:r w:rsidRPr="008608AA">
        <w:fldChar w:fldCharType="begin" w:fldLock="1"/>
      </w:r>
      <w:r w:rsidRPr="008608AA">
        <w:instrText>ADDIN CSL_CITATION { "citationItems" : [ { "id" : "ITEM-1", "itemData" : { "DOI" : "10.1890/080023", "ISBN" : "1540-9295", "ISSN" : "15409295", "abstract" : "Nature provides a wide range of benefits to people. There is increasing consensus about the importance of incorporating these \"ecosystem services\" into resource management decisions, but quantifying the levels and values of these services has proven difficult. We use a spatially explicit modeling tool, Integrated Valuation of Ecosystem Services and Tradeoffs (InVEST), to predict changes in ecosystem services, biodiversity conservation, and commodity production levels. We apply InVEST to stakeholder-defined scenarios of land-use/land-cover change in the Willamette Basin, Oregon. We found that scenarios that received high scores for a variety of ecosystem services also had high scores for biodiversity, suggesting there is little tradeoff between biodiversity conservation and ecosystem services. Scenarios involving more development had higher commodity production values, but lower levels of biodiversity conservation and ecosystem services. However, including payments for carbon sequestration alleviates this tradeoff. Quantifying ecosystem services in a spatially explicit manner, and analyzing tradeoffs between them, can help to make natural resource decisions more effective, efficient, and defensible.", "author" : [ { "dropping-particle" : "", "family" : "Nelson", "given" : "Erik", "non-dropping-particle" : "", "parse-names" : false, "suffix" : "" }, { "dropping-particle" : "", "family" : "Mendoza", "given" : "Guillermo", "non-dropping-particle" : "", "parse-names" : false, "suffix" : "" }, { "dropping-particle" : "", "family" : "Regetz", "given" : "James", "non-dropping-particle" : "", "parse-names" : false, "suffix" : "" }, { "dropping-particle" : "", "family" : "Polasky", "given" : "Stephen", "non-dropping-particle" : "", "parse-names" : false, "suffix" : "" }, { "dropping-particle" : "", "family" : "Tallis", "given" : "Heather", "non-dropping-particle" : "", "parse-names" : false, "suffix" : "" }, { "dropping-particle" : "", "family" : "Cameron", "given" : "D. Richard", "non-dropping-particle" : "", "parse-names" : false, "suffix" : "" }, { "dropping-particle" : "", "family" : "Chan", "given" : "Kai M a", "non-dropping-particle" : "", "parse-names" : false, "suffix" : "" }, { "dropping-particle" : "", "family" : "Daily", "given" : "Gretchen C.", "non-dropping-particle" : "", "parse-names" : false, "suffix" : "" }, { "dropping-particle" : "", "family" : "Goldstein", "given" : "Joshua", "non-dropping-particle" : "", "parse-names" : false, "suffix" : "" }, { "dropping-particle" : "", "family" : "Kareiva", "given" : "Peter M.", "non-dropping-particle" : "", "parse-names" : false, "suffix" : "" }, { "dropping-particle" : "", "family" : "Lonsdorf", "given" : "Eric", "non-dropping-particle" : "", "parse-names" : false, "suffix" : "" }, { "dropping-particle" : "", "family" : "Naidoo", "given" : "Robin", "non-dropping-particle" : "", "parse-names" : false, "suffix" : "" }, { "dropping-particle" : "", "family" : "Ricketts", "given" : "Taylor H.", "non-dropping-particle" : "", "parse-names" : false, "suffix" : "" }, { "dropping-particle" : "", "family" : "Shaw", "given" : "M. Rebecca", "non-dropping-particle" : "", "parse-names" : false, "suffix" : "" } ], "container-title" : "Frontiers in Ecology and the Environment", "id" : "ITEM-1", "issue" : "1", "issued" : { "date-parts" : [ [ "2009" ] ] }, "page" : "4-11", "title" : "Modeling multiple ecosystem services, biodiversity conservation, commodity production, and tradeoffs at landscape scales", "type" : "article-journal", "volume" : "7" }, "uris" : [ "http://www.mendeley.com/documents/?uuid=931ef43f-30ca-434f-8fbd-300f320d88e5" ] }, { "id" : "ITEM-2", "itemData" : { "DOI" : "10.1016/j.ecoser.2015.03.004", "ISSN" : "22120416", "abstract" : "This study presents an empirical example of how ES can be incorporated into MSP in developing countries, in particular in the Southern region of Los Lagos (Chile). This paper aims to: (a) assess the overlapping incompatibilities within each zoning area, (b) calculate the importance score of the three key ES selected, (c) assess the importance scores of the ES and develop plausible future scenarios for marine zoning. Here, we use InVEST marine models to spatially map the distribution of marine ES (ecotourism and recreation, wildlife endangered species, and habitat-forming species). Taking the current proposal of the MSP as a baseline scenario, two plausible hypothetical future scenarios were also developed based on policies and decision-making trends, and the results of the ES importance score values within each zoning area. The results of this paper indicate that the environmental conservation-aboriginal development scenario would be considered as the more appropriate future projection in terms of securing the three key ES analysed in the region. However, due to changes in the economic development paradigm for the Inner Sea of Chiloe, decision makers, the scientific community and industry representatives are facing a major challenge in allocating appropriate areas to secure ES which requires a holistic perspective.", "author" : [ { "dropping-particle" : "", "family" : "Outeiro", "given" : "Luis", "non-dropping-particle" : "", "parse-names" : false, "suffix" : "" }, { "dropping-particle" : "", "family" : "H\u00e4ussermann", "given" : "Vreni", "non-dropping-particle" : "", "parse-names" : false, "suffix" : "" }, { "dropping-particle" : "", "family" : "Viddi", "given" : "Francisco", "non-dropping-particle" : "", "parse-names" : false, "suffix" : "" }, { "dropping-particle" : "", "family" : "Hucke-Gaete", "given" : "Rodrigo", "non-dropping-particle" : "", "parse-names" : false, "suffix" : "" }, { "dropping-particle" : "", "family" : "F\u00f6rsterra", "given" : "G\u00fcnter", "non-dropping-particle" : "", "parse-names" : false, "suffix" : "" }, { "dropping-particle" : "", "family" : "Oyarzo", "given" : "Hugo", "non-dropping-particle" : "", "parse-names" : false, "suffix" : "" }, { "dropping-particle" : "", "family" : "Kosiel", "given" : "Klaus", "non-dropping-particle" : "", "parse-names" : false, "suffix" : "" }, { "dropping-particle" : "", "family" : "Villasante", "given" : "Sebastian", "non-dropping-particle" : "", "parse-names" : false, "suffix" : "" } ], "container-title" : "Ecosystem Services", "id" : "ITEM-2", "issue" : "16", "issued" : { "date-parts" : [ [ "2014" ] ] }, "page" : "341-353", "publisher" : "Elsevier", "title" : "Using ecosystem services mapping for marine spatial planning in southern Chile under scenario assessment", "type" : "article-journal", "volume" : "16" }, "uris" : [ "http://www.mendeley.com/documents/?uuid=a0b7fb0a-8204-4fe4-83e0-87a8f01d4b38" ] } ], "mendeley" : { "formattedCitation" : "(Nelson et al., 2009; Outeiro et al., 2014)", "plainTextFormattedCitation" : "(Nelson et al., 2009; Outeiro et al., 2014)", "previouslyFormattedCitation" : "(Nelson et al., 2009; Outeiro et al., 2014)" }, "properties" : {  }, "schema" : "https://github.com/citation-style-language/schema/raw/master/csl-citation.json" }</w:instrText>
      </w:r>
      <w:r w:rsidRPr="008608AA">
        <w:fldChar w:fldCharType="separate"/>
      </w:r>
      <w:r w:rsidRPr="008608AA">
        <w:rPr>
          <w:noProof/>
        </w:rPr>
        <w:t>(Nelson et al., 2009; Outeiro et al., 2014)</w:t>
      </w:r>
      <w:r w:rsidRPr="008608AA">
        <w:fldChar w:fldCharType="end"/>
      </w:r>
      <w:r w:rsidRPr="008608AA">
        <w:t xml:space="preserve">, land use changes </w:t>
      </w:r>
      <w:r w:rsidRPr="008608AA">
        <w:fldChar w:fldCharType="begin" w:fldLock="1"/>
      </w:r>
      <w:r w:rsidRPr="008608AA">
        <w:instrText>ADDIN CSL_CITATION { "citationItems" : [ { "id" : "ITEM-1", "itemData" : { "DOI" : "10.1007/s10021-012-9519-1", "ISBN" : "1432-9840", "ISSN" : "14329840", "abstract" : "In this study, three cities located in the U.S. Corn Belt are evaluated for impacts of past (1992-2001) and projected (2001-2030) urban expansion on ecosystem goods and services, with a specific focus on changes in energy balance, hydrology, and productivity. Scenarios for high-, medium- and low-density urban areas are simulated using a dynamic agro-ecosystem model (Agro-IBIS), by incorporating new parameterizations for impervious surfaces and turf grass. Moderate Resolution Imaging Spectroradiometer (MODIS) 500-m albedo data and remote sensing-derived 30-m resolution maps from the U.S. National Land Cover Database are used as model input to simulate biogeochemical, thermodynamic, and hydrological cycles for a range of land-cover types in each region. The results show that the expanding urban areas have a significant impact on each city's capacity to regulate climate and flooding. High-density urban areas, for instance, have soil surface temperatures up to 6A degrees C higher than soils within natural and managed ecosystems. Expansion of turf grass in residential areas could require an additional 8-105 million m(3) of water use annually, which increases runoff by 15-48% and reduces the capacity to respond/adapt to flooding. Finally, the analysis shows that net primary productivity (NPP) decreases as expected due to the removal of cropland, forests, and grasslands in favor of development, but increased urban turf grass provides an annual offset of 40-210 g C m(-2). Urban expansion through 2030 is estimated to lower total annual crop production by 8.1, 8.6, and 16.7% for the Madison, Peoria, and Indianapolis regions, respectively. Given current projections for city growth to exceed 2-3% per year in the north-central U.S., urban expansion across a nine-state region in the Corn Belt could potentially take an additional 210,000-310,000 ha of farmland out of production annually at a time when demand for food, fuel, and fiber is increasing. Because conversion of cropland to urban uses is nearly always unidirectional, any changes to ecosystem goods and services due to urbanization are likely to be permanent and irreversible.", "author" : [ { "dropping-particle" : "", "family" : "Schneider", "given" : "Annemarie", "non-dropping-particle" : "", "parse-names" : false, "suffix" : "" }, { "dropping-particle" : "", "family" : "Logan", "given" : "Kelly E.", "non-dropping-particle" : "", "parse-names" : false, "suffix" : "" }, { "dropping-particle" : "", "family" : "Kucharik", "given" : "Christopher J.", "non-dropping-particle" : "", "parse-names" : false, "suffix" : "" } ], "container-title" : "Ecosystems", "id" : "ITEM-1", "issue" : "4", "issued" : { "date-parts" : [ [ "2012" ] ] }, "page" : "519-541", "title" : "Impacts of Urbanization on Ecosystem Goods and Services in the U.S. Corn Belt", "type" : "article-journal", "volume" : "15" }, "uris" : [ "http://www.mendeley.com/documents/?uuid=9b9403d9-9943-49c0-bb2a-0f3de1ee5065" ] } ], "mendeley" : { "formattedCitation" : "(A. Schneider, Logan, &amp; Kucharik, 2012)", "plainTextFormattedCitation" : "(A. Schneider, Logan, &amp; Kucharik, 2012)", "previouslyFormattedCitation" : "(A. Schneider, Logan, &amp; Kucharik, 2012)" }, "properties" : {  }, "schema" : "https://github.com/citation-style-language/schema/raw/master/csl-citation.json" }</w:instrText>
      </w:r>
      <w:r w:rsidRPr="008608AA">
        <w:fldChar w:fldCharType="separate"/>
      </w:r>
      <w:r w:rsidR="0045556C" w:rsidRPr="008608AA">
        <w:rPr>
          <w:noProof/>
        </w:rPr>
        <w:t>(Schneider</w:t>
      </w:r>
      <w:r w:rsidRPr="008608AA">
        <w:rPr>
          <w:noProof/>
        </w:rPr>
        <w:t xml:space="preserve"> et al., 2012)</w:t>
      </w:r>
      <w:r w:rsidRPr="008608AA">
        <w:fldChar w:fldCharType="end"/>
      </w:r>
      <w:r w:rsidRPr="008608AA">
        <w:t xml:space="preserve">, combining agricultural productivity with conservation </w:t>
      </w:r>
      <w:r w:rsidRPr="008608AA">
        <w:fldChar w:fldCharType="begin" w:fldLock="1"/>
      </w:r>
      <w:r w:rsidRPr="008608AA">
        <w:instrText>ADDIN CSL_CITATION { "citationItems" : [ { "id" : "ITEM-1", "itemData" : { "DOI" : "10.1016/j.landusepol.2014.01.007", "ISSN" : "02648377", "abstract" : "National and transboundary adverse effects of competition for land are being increasingly recognized by researchers and decision-makers, however the consideration of these impacts within national planning strategies is not yet commonplace. To estimate how increasing agricultural production can be conciliated with protection of natural resources at the national scale, we analyzed current land use in Suriname, and investigated opportunities for, and constraints to developing a sustainable agricultural sector.Suriname is a remarkable case study. To date, Suriname has retained most of its natural resources with forest areas covering over 90% of the country. Surinamese forests combine extremely high levels of both biodiversity and carbon, making them top priority from a global ecosystem services perspective. Among other national and international pressures from increased demand for agricultural products, the country is also considering significant expansion of agricultural output to both diminish imports and become a 'bread basket' for the Caribbean region, which collectively may pose risks to natural resources.In this study, combining locally-obtained primary data, expert consultation and secondary data from the Food and Agriculture Organization we analyzed a range of scenarios, we show the complexities associated with current land management and we discuss alternatives for developing a sustainable agricultural sector in Suriname. We show that Suriname can increase the production of rice, which is the most important agricultural activity in the country, without expanding rice area. Rather, future increase in rice production could be promoted through an increase in rice productivity, and the employment of more environmentally-favorable management methods, in order to both diminish pollution and avoid encroachment of the agriculture into pristine areas. Further, we show a potential to both contribute to greening of the agricultural sector and to higher economic returns through expanding the production of 'safe food' and through possible development of organic agriculture in Suriname.If Suriname develops a 'greener' agricultural sector, it may both increase economic returns from the agricultural sector and benefit from continuing protection of natural resources. Because most of Suriname forests present top levels of carbon and biodiversity, the country could benefit from so-called 'early-action' Reducing Emissions from Deforestation and Forest Degradation (RED\u2026", "author" : [ { "dropping-particle" : "", "family" : "Latawiec", "given" : "Agnieszka Ewa", "non-dropping-particle" : "", "parse-names" : false, "suffix" : "" }, { "dropping-particle" : "", "family" : "Strassburg", "given" : "Bernardo B N", "non-dropping-particle" : "", "parse-names" : false, "suffix" : "" }, { "dropping-particle" : "", "family" : "Rodriguez", "given" : "Ana Maria", "non-dropping-particle" : "", "parse-names" : false, "suffix" : "" }, { "dropping-particle" : "", "family" : "Matt", "given" : "Elah", "non-dropping-particle" : "", "parse-names" : false, "suffix" : "" }, { "dropping-particle" : "", "family" : "Nijbroek", "given" : "Ravic", "non-dropping-particle" : "", "parse-names" : false, "suffix" : "" }, { "dropping-particle" : "", "family" : "Silos", "given" : "Maureen", "non-dropping-particle" : "", "parse-names" : false, "suffix" : "" } ], "container-title" : "Land Use Policy", "id" : "ITEM-1", "issue" : "38", "issued" : { "date-parts" : [ [ "2014" ] ] }, "page" : "627-636", "publisher" : "Elsevier Ltd", "title" : "Suriname: Reconciling agricultural development and conservation of unique natural wealth", "type" : "article-journal", "volume" : "38" }, "uris" : [ "http://www.mendeley.com/documents/?uuid=d6211d4a-9527-4d6d-abf4-6103ce49d15b" ] } ], "mendeley" : { "formattedCitation" : "(Latawiec et al., 2014)", "plainTextFormattedCitation" : "(Latawiec et al., 2014)", "previouslyFormattedCitation" : "(Latawiec et al., 2014)" }, "properties" : {  }, "schema" : "https://github.com/citation-style-language/schema/raw/master/csl-citation.json" }</w:instrText>
      </w:r>
      <w:r w:rsidRPr="008608AA">
        <w:fldChar w:fldCharType="separate"/>
      </w:r>
      <w:r w:rsidRPr="008608AA">
        <w:rPr>
          <w:noProof/>
        </w:rPr>
        <w:t>(Latawiec et al., 2014)</w:t>
      </w:r>
      <w:r w:rsidRPr="008608AA">
        <w:fldChar w:fldCharType="end"/>
      </w:r>
      <w:r w:rsidRPr="008608AA">
        <w:t xml:space="preserve">, economically beneficial climate change adaptation strategies </w:t>
      </w:r>
      <w:r w:rsidRPr="008608AA">
        <w:fldChar w:fldCharType="begin" w:fldLock="1"/>
      </w:r>
      <w:r w:rsidRPr="008608AA">
        <w:instrText>ADDIN CSL_CITATION { "citationItems" : [ { "id" : "ITEM-1", "itemData" : { "author" : [ { "dropping-particle" : "", "family" : "Rosenthal", "given" : "Amy", "non-dropping-particle" : "", "parse-names" : false, "suffix" : "" }, { "dropping-particle" : "", "family" : "Arkema", "given" : "Katie", "non-dropping-particle" : "", "parse-names" : false, "suffix" : "" }, { "dropping-particle" : "", "family" : "Verutes", "given" : "Gregory", "non-dropping-particle" : "", "parse-names" : false, "suffix" : "" }, { "dropping-particle" : "", "family" : "Bood", "given" : "Nadia", "non-dropping-particle" : "", "parse-names" : false, "suffix" : "" }, { "dropping-particle" : "", "family" : "Cantor", "given" : "Dan", "non-dropping-particle" : "", "parse-names" : false, "suffix" : "" }, { "dropping-particle" : "", "family" : "Fish", "given" : "Marianne", "non-dropping-particle" : "", "parse-names" : false, "suffix" : "" }, { "dropping-particle" : "", "family" : "Griffin", "given" : "Rob", "non-dropping-particle" : "", "parse-names" : false, "suffix" : "" }, { "dropping-particle" : "", "family" : "Panuncio", "given" : "Mariana", "non-dropping-particle" : "", "parse-names" : false, "suffix" : "" } ], "id" : "ITEM-1", "issued" : { "date-parts" : [ [ "2013" ] ] }, "number-of-pages" : "74", "title" : "Identification and Valuation of Adaptation Options in Coastal-Marine Ecosystems : Test case from Placencia , Belize", "type" : "report" }, "uris" : [ "http://www.mendeley.com/documents/?uuid=4db794e3-98d1-4998-b5d4-d1471eab5604" ] } ], "mendeley" : { "formattedCitation" : "(Rosenthal et al., 2013)", "plainTextFormattedCitation" : "(Rosenthal et al., 2013)", "previouslyFormattedCitation" : "(Rosenthal et al., 2013)" }, "properties" : {  }, "schema" : "https://github.com/citation-style-language/schema/raw/master/csl-citation.json" }</w:instrText>
      </w:r>
      <w:r w:rsidRPr="008608AA">
        <w:fldChar w:fldCharType="separate"/>
      </w:r>
      <w:r w:rsidRPr="008608AA">
        <w:rPr>
          <w:noProof/>
        </w:rPr>
        <w:t>(Rosenthal et al., 2013)</w:t>
      </w:r>
      <w:r w:rsidRPr="008608AA">
        <w:fldChar w:fldCharType="end"/>
      </w:r>
      <w:r w:rsidRPr="008608AA">
        <w:t xml:space="preserve">, and forestry and future land use </w:t>
      </w:r>
      <w:r w:rsidRPr="008608AA">
        <w:fldChar w:fldCharType="begin" w:fldLock="1"/>
      </w:r>
      <w:r w:rsidRPr="008608AA">
        <w:instrText>ADDIN CSL_CITATION { "citationItems" : [ { "id" : "ITEM-1", "itemData" : { "DOI" : "10.1890/11-0306.1", "ISBN" : "1051-0761", "ISSN" : "10510761", "PMID" : "22645830", "abstract" : "Land-use change significantly contributes to biodiversity loss, invasive species spread, changes in biogeochemical cycles, and the loss of ecosystem services. Planning for a sustainable future requires a thorough understanding of expected land use at the fine-spatial scales relevant for modeling many ecological processes and at dimensions appropriate for regional or national-level policy making. Our goal was to construct and parameterize an econometric model of land-use change to project future land use to the year 2051 at a fine-spatial scale across the conterminous United States under several alternative land-use policy scenarios. We parameterized the econometric model of land-use change with the National Resource Inventory (NRI) 1992 and 1997 land use data for 844,000 sample points. Land-use transitions were estimated for five land-use classes (cropland, pasture, range, forest and urban). We predicted land-use change under four scenarios, business-as-usual, afforestation, removal of agricultural subsid...", "author" : [ { "dropping-particle" : "", "family" : "Radeloff", "given" : "Volker C.", "non-dropping-particle" : "", "parse-names" : false, "suffix" : "" }, { "dropping-particle" : "", "family" : "Nelson", "given" : "Erik J.", "non-dropping-particle" : "", "parse-names" : false, "suffix" : "" }, { "dropping-particle" : "", "family" : "Plantinga", "given" : "Andrew", "non-dropping-particle" : "", "parse-names" : false, "suffix" : "" }, { "dropping-particle" : "", "family" : "Lewis", "given" : "David J.", "non-dropping-particle" : "", "parse-names" : false, "suffix" : "" }, { "dropping-particle" : "", "family" : "Helmers", "given" : "David P.", "non-dropping-particle" : "", "parse-names" : false, "suffix" : "" }, { "dropping-particle" : "", "family" : "Lawler", "given" : "Joshua J.", "non-dropping-particle" : "", "parse-names" : false, "suffix" : "" }, { "dropping-particle" : "", "family" : "Withey", "given" : "John", "non-dropping-particle" : "", "parse-names" : false, "suffix" : "" }, { "dropping-particle" : "", "family" : "Beaudry", "given" : "Frederik", "non-dropping-particle" : "", "parse-names" : false, "suffix" : "" }, { "dropping-particle" : "", "family" : "Martinuzzi", "given" : "Sebastian", "non-dropping-particle" : "", "parse-names" : false, "suffix" : "" }, { "dropping-particle" : "", "family" : "Butsic", "given" : "Van a.", "non-dropping-particle" : "", "parse-names" : false, "suffix" : "" }, { "dropping-particle" : "V.", "family" : "Lonsdorf", "given" : "Eric", "non-dropping-particle" : "", "parse-names" : false, "suffix" : "" }, { "dropping-particle" : "", "family" : "White", "given" : "Denis", "non-dropping-particle" : "", "parse-names" : false, "suffix" : "" }, { "dropping-particle" : "", "family" : "Polasky", "given" : "Stephen", "non-dropping-particle" : "", "parse-names" : false, "suffix" : "" } ], "container-title" : "Ecological Applications", "id" : "ITEM-1", "issue" : "3", "issued" : { "date-parts" : [ [ "2011" ] ] }, "page" : "111216141431004-111216141431004", "title" : "Economic-based projections of future land use in the conterminous U.S. under alternative economic policy scenarios", "type" : "article-journal", "volume" : "22" }, "uris" : [ "http://www.mendeley.com/documents/?uuid=fdc37ea1-98e3-4471-b395-1873cc7ac907" ] } ], "mendeley" : { "formattedCitation" : "(Radeloff et al., 2011)", "plainTextFormattedCitation" : "(Radeloff et al., 2011)", "previouslyFormattedCitation" : "(Radeloff et al., 2011)" }, "properties" : {  }, "schema" : "https://github.com/citation-style-language/schema/raw/master/csl-citation.json" }</w:instrText>
      </w:r>
      <w:r w:rsidRPr="008608AA">
        <w:fldChar w:fldCharType="separate"/>
      </w:r>
      <w:r w:rsidRPr="008608AA">
        <w:rPr>
          <w:noProof/>
        </w:rPr>
        <w:t>(Radeloff et al., 2011)</w:t>
      </w:r>
      <w:r w:rsidRPr="008608AA">
        <w:fldChar w:fldCharType="end"/>
      </w:r>
      <w:r w:rsidRPr="008608AA">
        <w:t>.</w:t>
      </w:r>
    </w:p>
    <w:p w14:paraId="6B5D9F43" w14:textId="77777777" w:rsidR="00350A59" w:rsidRPr="008608AA" w:rsidRDefault="00350A59" w:rsidP="0042035C">
      <w:pPr>
        <w:suppressAutoHyphens/>
      </w:pPr>
    </w:p>
    <w:p w14:paraId="3225A1B8" w14:textId="77DF3028" w:rsidR="00490494" w:rsidRPr="008608AA" w:rsidRDefault="00490494" w:rsidP="0042035C">
      <w:pPr>
        <w:suppressAutoHyphens/>
      </w:pPr>
      <w:r w:rsidRPr="008608AA">
        <w:rPr>
          <w:iCs/>
        </w:rPr>
        <w:t>The third group’s studies discuss issues from an ecological perspective</w:t>
      </w:r>
      <w:r w:rsidRPr="008608AA">
        <w:rPr>
          <w:i/>
          <w:iCs/>
        </w:rPr>
        <w:t xml:space="preserve">. </w:t>
      </w:r>
      <w:r w:rsidRPr="008608AA">
        <w:rPr>
          <w:iCs/>
        </w:rPr>
        <w:t xml:space="preserve">They encompass issues such as </w:t>
      </w:r>
      <w:r w:rsidRPr="008608AA">
        <w:t xml:space="preserve">deforestations’ causes and effects, landscape fragmentation </w:t>
      </w:r>
      <w:r w:rsidRPr="008608AA">
        <w:fldChar w:fldCharType="begin" w:fldLock="1"/>
      </w:r>
      <w:r w:rsidRPr="008608AA">
        <w:instrText>ADDIN CSL_CITATION { "citationItems" : [ { "id" : "ITEM-1", "itemData" : { "DOI" : "10.4322/natcon.2012.010", "ISBN" : "1679-0073", "ISSN" : "1679-0073", "abstract" : "The goals of this research were to analyze the fragmentation of the Atlantic Forest and to create landscape management scenarios for the municipality of Carmo de Minas, MG, Brazil. We used landscape metrics to analyze the fragmentation process of the study area, which was historically exploited for agropastoral activities. Future scenarios were modeled to represent the potential restoration of the environment based on the behavior of the natural vegetation units. The natural vegetation in the study area is highly fragmented, and the environmental integrity of its remnants is severely threatened. The management scenarios showed how the restored natural units behave in the landscape as well as the isolation and connectivity between them. Using these models, future dynamics of the landscape can be predicted. Two important actions for the conservation of the remaining natural vegetation were identified: the maintenance of secondary forest and the restoration of permanent preservation areas.", "author" : [ { "dropping-particle" : "", "family" : "Zanella", "given" : "L", "non-dropping-particle" : "", "parse-names" : false, "suffix" : "" }, { "dropping-particle" : "", "family" : "Trist\u00e3o Bor\u00e9m", "given" : "R.A.", "non-dropping-particle" : "", "parse-names" : false, "suffix" : "" }, { "dropping-particle" : "", "family" : "Gusm\u00e3o Souza", "given" : "C.", "non-dropping-particle" : "", "parse-names" : false, "suffix" : "" }, { "dropping-particle" : "", "family" : "Ramos Alves", "given" : "H.M.", "non-dropping-particle" : "", "parse-names" : false, "suffix" : "" }, { "dropping-particle" : "", "family" : "Meira Borem", "given" : "F.", "non-dropping-particle" : "", "parse-names" : false, "suffix" : "" } ], "container-title" : "Natureza &amp; Conserva\u00e7\u00e3o", "id" : "ITEM-1", "issue" : "1", "issued" : { "date-parts" : [ [ "2012" ] ] }, "page" : "57-63", "title" : "Atlantic Forest Fragmentation Analysis and Landscape Restoration Management Scenarios", "type" : "article-journal", "volume" : "10" }, "uris" : [ "http://www.mendeley.com/documents/?uuid=6aca425a-6632-4866-b8fa-90e90c4df722" ] }, { "id" : "ITEM-2", "itemData" : { "DOI" : "10.1007/s10980-014-0147-3", "ISBN" : "10.1007/s10980-014-0147-3", "ISSN" : "0921-2973", "abstract" : "Context: Land-use change is the main driver of habitat loss and fragmentation worldwide. The rate of dry forest loss in the South American Chaco is among the highest in the world, mainly due to the expansion of soybean production and cattle ranching. Argentina recently implemented a national zoning plan (i.e., the Forest Law) to reduce further forest loss. However, it is unclear how the effects of past deforestation and the implementation of the Forest Law will affect forest connectivity in the Chaco.\\nObjective: Our main goal was to evaluate the potential effect of the Forest Law on forest fragmentation and connectivity in the Argentine Chaco.\\nMethods: We studied changes in the extent, fragmentation, and connectivity of forests between 1977 and 2010, by combining agricultural expansion and forest cover maps, and for the future in a scenario analysis.\\nResults: Past agricultural expansion translated into an overall loss of 22.5 % of the Argentine Chaco\u2019s forests, with deforestation rates in 2000\u20132010 up to three times higher than in the 1980s. Forest fragmentation and connectivity loss were highest in 1977\u20131992, when road construction fragmented large forest patches. Our future scenario analysis showed that if the Forest Law will be implemented as planned, forest area and connectivity in the region will decline drastically.\\nConclusions: Land-use planning designed to protect stepping stones could substantially mitigate connectivity loss due to deforestation, with the co-benefit of preserving the greatest amount of biodiversity priority areas across all evaluated scenarios. Including scenario analyses that assess forest fragmentation and connectivity at the ecoregion scale is thus important in upcoming revisions of the Argentine Forest Law, and, more generally, in debates about sustainable resource use.", "author" : [ { "dropping-particle" : "", "family" : "Piquer-Rodr\u00edguez", "given" : "Mar\u00eda", "non-dropping-particle" : "", "parse-names" : false, "suffix" : "" }, { "dropping-particle" : "", "family" : "Torella", "given" : "Sebasti\u00e1n", "non-dropping-particle" : "", "parse-names" : false, "suffix" : "" }, { "dropping-particle" : "", "family" : "Gavier-Pizarro", "given" : "Gregorio", "non-dropping-particle" : "", "parse-names" : false, "suffix" : "" }, { "dropping-particle" : "", "family" : "Volante", "given" : "Jos\</w:instrText>
      </w:r>
      <w:r w:rsidRPr="008608AA">
        <w:rPr>
          <w:lang w:val="fr-CA"/>
        </w:rPr>
        <w:instrText>u00e9", "non-dropping-particle" : "", "parse-names" : false, "suffix" : "" }, { "dropping-particle" : "", "family" : "Somma", "given" : "Daniel", "non-dropping-particle" : "", "parse-names" : false, "suffix" : "" }, { "dropping-particle" : "", "family" : "Ginzburg", "given" : "Rub\u00e9n", "non-dropping-particle" : "", "parse-names" : false, "suffix" : "" }, { "dropping-particle" : "", "family" : "Kuemmerle", "given" : "Tobias", "non-dropping-particle" : "", "parse-names" : false, "suffix" : "" } ], "container-title" : "Landscape Ecology", "id" : "ITEM-2", "issue" : "5", "issued" : { "date-parts" : [ [ "2015", "5", "21" ] ] }, "page" : "817-833", "title" : "Effects of past and future land conversions on forest connectivity in the Argentine Chaco", "type" : "article-journal", "volume" : "30" }, "uris" : [ "http://www.mendeley.com/documents/?uuid=d750aa67-6403-446e-8ba5-e45935cb8fcf" ] } ], "mendeley" : { "formattedCitation" : "(Piquer-Rodr\u00edguez et al., 2015; Zanella, Trist\u00e3o Bor\u00e9m, Gusm\u00e3o Souza, Ramos Alves, &amp; Meira Borem, 2012)", "plainTextFormattedCitation" : "(Piquer-Rodr\u00edguez et al., 2015; Zanella, Trist\u00e3o Bor\u00e9m, Gusm\u00e3o Souza, Ramos Alves, &amp; Meira Borem, 2012)", "previouslyFormattedCitation" : "(Piquer-Rodr\u00edguez et al., 2015; Zanella, Trist\u00e3o Bor\u00e9m, Gusm\u00e3o Souza, Ramos Alves, &amp; Meira Borem, 2012)" }, "properties" : {  }, "schema" : "https://github.com/citation-style-language/schema/raw/master/csl-citation.json" }</w:instrText>
      </w:r>
      <w:r w:rsidRPr="008608AA">
        <w:fldChar w:fldCharType="separate"/>
      </w:r>
      <w:r w:rsidRPr="008608AA">
        <w:rPr>
          <w:noProof/>
          <w:lang w:val="fr-CA"/>
        </w:rPr>
        <w:t>(Piquer-</w:t>
      </w:r>
      <w:r w:rsidR="0045556C" w:rsidRPr="008608AA">
        <w:rPr>
          <w:noProof/>
          <w:lang w:val="fr-CA"/>
        </w:rPr>
        <w:t>Rodríguez et al., 2015; Zanella</w:t>
      </w:r>
      <w:r w:rsidRPr="008608AA">
        <w:rPr>
          <w:noProof/>
          <w:lang w:val="fr-CA"/>
        </w:rPr>
        <w:t xml:space="preserve"> et al., 2012)</w:t>
      </w:r>
      <w:r w:rsidRPr="008608AA">
        <w:fldChar w:fldCharType="end"/>
      </w:r>
      <w:r w:rsidRPr="008608AA">
        <w:rPr>
          <w:lang w:val="fr-CA"/>
        </w:rPr>
        <w:t xml:space="preserve">, land use change </w:t>
      </w:r>
      <w:r w:rsidRPr="008608AA">
        <w:fldChar w:fldCharType="begin" w:fldLock="1"/>
      </w:r>
      <w:r w:rsidRPr="008608AA">
        <w:rPr>
          <w:lang w:val="fr-CA"/>
        </w:rPr>
        <w:instrText>ADDIN CSL_CITATION { "citationItems" : [ { "id" : "ITEM-1", "itemData" : { "author" : [ { "dropping-particle" : "", "family" : "Aguiar", "given" : "Ana Paula", "non-dropping-particle" : "", "parse-names" : false, "suffix" : "" }, { "dropping-particle" : "", "family" : "Tejada", "given" : "Graciela", "non-dropping-particle" : "", "parse-names" : false, "suffix" : "" }, { "dropping-particle" : "", "family" : "Assis", "given" : "Talita", "non-dropping-particle" : "", "parse-names" : false, "suffix" : "" }, { "dropping-particle" : "", "family" : "Dalla-Nora", "given" : "Eloi", "non-dropping-particle" : "", "parse-names" : false, "suffix" : "" } ], "id" : "ITEM-1", "issue" : "November", "issued" : { "date-parts" : [ [ "2014" ] ] }, "number-of-pages" : "41", "title" : "AMAZALERT PROJECT - Set of land-use scenarios for Brazil, linked to implications for policies: Final Report", "type" : "report" }, "uris" : [ "http://www.mendeley.com/documents/?uuid=11ca57df-7029-412d-9332-8d238e91c866" ] }, { "id" : "ITEM-2", "itemData" : { "DOI" : "10.1073/pnas.1405557111", "ISBN" : "0027-8424", "ISSN" : "1091-6490", "PMID" : "24799685", "abstract" : "Providing food, timber, energy, housing, and other goods and services, while maintaining ecosystem functions and biodiversity that underpin their sustainable supply, is one of the great challenges of our time. Understanding the drivers of land-use change and how policies can alt</w:instrText>
      </w:r>
      <w:r w:rsidRPr="008608AA">
        <w:instrText>er land-use change will be critical to meeting this challenge. Here we project land-use change in the contiguous United States to 2051 under two plausible baseline trajectories of economic conditions to illustrate how differences in underlying market forces can have large impacts on land-use with cascading effects on ecosystem services and wildlife habitat. We project a large increase in croplands (28.2 million ha) under a scenario with high crop demand mirroring conditions starting in 2007, compared with a loss of cropland (11.2 million ha) mirroring conditions in the 1990s. Projected land-use changes result in increases in carbon storage, timber production, food production from increased yields, and &gt;10% decreases in habitat for 25% of modeled species. We also analyze policy alternatives designed to encourage forest cover and natural landscapes and reduce urban expansion. Although these policy scenarios modify baseline land-use patterns, they do not reverse powerful underlying trends. Policy interventions need to be aggressive to significantly alter underlying land-use change trends and shift the trajectory of ecosystem service provision.", "author" : [ { "dropping-particle" : "", "family" : "Lawler", "given" : "Joshua J", "non-dropping-particle" : "", "parse-names" : false, "suffix" : "" }, { "dropping-particle" : "", "family" : "Lewis", "given" : "David J", "non-dropping-particle" : "", "parse-names" : false, "suffix" : "" }, { "dropping-particle" : "", "family" : "Nelson", "given" : "Erik", "non-dropping-particle" : "", "parse-names" : false, "suffix" : "" }, { "dropping-particle" : "", "family" : "Plantinga", "given" : "Andrew J", "non-dropping-particle" : "", "parse-names" : false, "suffix" : "" }, { "dropping-particle" : "", "family" : "Polasky", "given" : "Stephen", "non-dropping-particle" : "", "parse-names" : false, "suffix" : "" }, { "dropping-particle" : "", "family" : "Withey", "given" : "John C", "non-dropping-particle" : "", "parse-names" : false, "suffix" : "" }, { "dropping-particle" : "", "family" : "Helmers", "given" : "David P", "non-dropping-particle" : "", "parse-names" : false, "suffix" : "" }, { "dropping-particle" : "", "family" : "Martinuzzi", "given" : "Sebasti\u00e1n", "non-dropping-particle" : "", "parse-names" : false, "suffix" : "" }, { "dropping-particle" : "", "family" : "Pennington", "given" : "Derric", "non-dropping-particle" : "", "parse-names" : false, "suffix" : "" }, { "dropping-particle" : "", "family" : "Radeloff", "given" : "Volker C", "non-dropping-particle" : "", "parse-names" : false, "suffix" : "" } ], "container-title" : "Proceedings of the National Academy of Sciences of the United States of America", "id" : "ITEM-2", "issue" : "20", "issued" : { "date-parts" : [ [ "2014" ] ] }, "page" : "7492-7", "title" : "Projected land-use change impacts on ecosystem services in the United States.", "type" : "article-journal", "volume" : "111" }, "uris" : [ "http://www.mendeley.com/documents/?uuid=274e2ba2-e989-4774-8447-6a9be4da6fc2" ] }, { "id" : "ITEM-3", "itemData" : { "DOI" : "10.1111/ddi.12331", "ISBN" : "1472-4642", "ISSN" : "14724642", "abstract" : "Aims: Climatic change is expected to rearrange species assemblages and ultimately affect organism-mediated ecosystem processes. We focus on identifying patterns and relationships between common ant species (representing 99% of total ant records) richness and functional diversity; modelling how these patterns may change at local and regional scales in future climatic conditions; and interpreting how these changes might influence ant-mediated ecosystem processes. Location: Forested ecosystems of eastern North America. Methods: We used a previously published dataset to evaluate functional diversity at 67 sites in the eastern U.S. and quantified 14 taxonomic, morphometric and natural history traits for 70 common ant species in the region. We used functional diversity metrics, functional groups and species distribution modelling methods to address our aims. We used stacked species distribution models and stacked functional group models to predict species assemblages and functional richness at the 67 sites and at a regional scale for current and future climatic conditions. Results: Species richness and functional diversity are positively correlated throughout the region. Under future climate scenarios, species richness and functional group richness were predicted to decrease in southern ecoregions and increase in northern ecoregions. This may be due to increased thermal stress for species in the southern extent of their ranges and increased habitat suitability in the northern ecoregions. Decomposers, arthropod community regulators and seed dispersers are forecast to be the most threatened ant functional groups. Main Conclusions: Climate change will likely lead to major changes in ant species richness and functional group richness in the forests of the north-eastern United States, and this may substantiall</w:instrText>
      </w:r>
      <w:r w:rsidRPr="008608AA">
        <w:rPr>
          <w:lang w:val="es-CO"/>
        </w:rPr>
        <w:instrText>y alter ant-mediated ecosystem processes and services. \u00a9 2015 John Wiley &amp; Sons Ltd.", "author" : [ { "dropping-particle" : "", "family" : "Toro", "given" : "Israel", "non-dropping-particle" : "Del", "parse-names" : false, "suffix" : "" }, { "dropping-particle" : "", "family" : "Silva", "given" : "Rog\u00e9rio R.", "non-dropping-particle" : "", "parse-names" : false, "suffix" : "" }, { "dropping-particle" : "", "family" : "Ellison", "given" : "Aaron M.", "non-dropping-particle" : "", "parse-names" : false, "suffix" : "" } ], "container-title" : "Diversity and Distributions", "id" : "ITEM-3", "issue" : "7", "issued" : { "date-parts" : [ [ "2015" ] ] }, "page" : "781-791", "title" : "Predicted impacts of climatic change on ant functional diversity and distributions in eastern North American forests", "type" : "article-journal", "volume" : "21" }, "uris" : [ "http://www.mendeley.com/documents/?uuid=4fe2f943-0fa2-4141-86c3-bb9bf1cd054d" ] } ], "mendeley" : { "formattedCitation" : "(A. P. Aguiar, Tejada, Assis, &amp; Dalla-Nora, 2014; Del Toro, Silva, &amp; Ellison, 2015; Lawler et al., 2014)", "plainTextFormattedCitation" : "(A. P. Aguiar, Tejada, Assis, &amp; Dalla-Nora, 2014; Del Toro, Silva, &amp; Ellison, 2015; Lawler et al., 2014)", "previouslyFormattedCitation" : "(A. P. Aguiar, Tejada, Assis, &amp; Dalla-Nora, 2014; Del Toro, Silva, &amp; Ellison, 2015; Lawler et al., 2014)" }, "properties" : {  }, "schema" : "https://github.com/citation-style-language/schema/raw/master/csl-citation.json" }</w:instrText>
      </w:r>
      <w:r w:rsidRPr="008608AA">
        <w:fldChar w:fldCharType="separate"/>
      </w:r>
      <w:r w:rsidR="0045556C" w:rsidRPr="008608AA">
        <w:rPr>
          <w:noProof/>
          <w:lang w:val="es-CO"/>
        </w:rPr>
        <w:t>(Aguiar</w:t>
      </w:r>
      <w:r w:rsidRPr="008608AA">
        <w:rPr>
          <w:noProof/>
          <w:lang w:val="es-CO"/>
        </w:rPr>
        <w:t xml:space="preserve"> et al., 2014</w:t>
      </w:r>
      <w:r w:rsidR="0045556C" w:rsidRPr="008608AA">
        <w:rPr>
          <w:noProof/>
          <w:lang w:val="es-CO"/>
        </w:rPr>
        <w:t>; Del Toro</w:t>
      </w:r>
      <w:r w:rsidRPr="008608AA">
        <w:rPr>
          <w:noProof/>
          <w:lang w:val="es-CO"/>
        </w:rPr>
        <w:t xml:space="preserve"> et al., 2015; Lawler et al., 2014)</w:t>
      </w:r>
      <w:r w:rsidRPr="008608AA">
        <w:fldChar w:fldCharType="end"/>
      </w:r>
      <w:r w:rsidRPr="008608AA">
        <w:rPr>
          <w:lang w:val="es-CO"/>
        </w:rPr>
        <w:t xml:space="preserve">, bioclimatic niches </w:t>
      </w:r>
      <w:r w:rsidRPr="008608AA">
        <w:rPr>
          <w:lang w:val="es-CO"/>
        </w:rPr>
        <w:fldChar w:fldCharType="begin" w:fldLock="1"/>
      </w:r>
      <w:r w:rsidRPr="008608AA">
        <w:rPr>
          <w:lang w:val="es-CO"/>
        </w:rPr>
        <w:instrText>ADDIN CSL_CITATION { "citationItems" : [ { "id" : "ITEM-1", "itemData" : { "DOI" : "10.1007/s10530-007-9154-5", "ISSN" : "1387-3547", "author" : [ { "dropping-particle" : "", "family" : "Giovanelli", "given" : "Jo\u00e3o G. R.", "non-dropping-particle" : "", "parse-names" : false, "suffix" : "" }, { "dropping-particle" : "", "family" : "Haddad", "given" : "C\u00e9lio F. B.", "non-dropping-particle" : "", "parse-names" : false, "suffix" : "" }, { "dropping-particle" : "", "family" : "Alexandrino", "given" : "Jo\u00e3o", "non-dropping-particle" : "", "parse-names" : false, "suffix" : "" } ], "container-title" : "Biological Invasions", "id" : "ITEM-1", "issue" : "5", "issued" : { "date-parts" : [ [ "2008", "6", "8" ] ] }, "page" : "585-590", "publisher" : "Springer Netherlands", "title" : "Predicting the potential distribution of the alien invasive American bullfrog (Lithobates catesbeianus) in Brazil", "type" : "article-journal", "volume" : "10" }, "uris" : [ "http://www.mendeley.com/documents/?uuid=43bb085f-90b6-4f84-8010-8eca00dd6a42" ] }, { "id" : "ITEM-2", "itemData" : { "DOI" : "10.1111/j.1523-1739.2009.01432.x", "ISSN" : "1523-1739", "PMID" : "20345399", "abstract" : "One of the most important tools in conservation biology is information on the geographic distribution of species and the variables determining those patterns. We used maximum-entropy niche modeling to run distribution models for 222 amphibian and 371 reptile species (49% endemics and 27% threatened) for which we had 34,619 single geographic records. The planning region is in southeastern Mexico, is 20% of the country's area, includes 80% of the country's herpetofauna, and lacks an adequate protected-area system. We used probabilistic data to build distribution models of herpetofauna for use in prioritizing conservation areas for three target groups (all species and threatened and endemic species). The accuracy of species-distribution models was better for endemic and threatened species than it was for all species. Forty-seven percent of the region has been deforested and additional conservation areas with 13.7% to 88.6% more native vegetation (76% to 96% of the areas are outside the current protected-area system) are needed. There was overlap in 26 of the main selected areas in the conservation-area network prioritized to preserve the target groups, and for all three target groups the proportion of vegetation types needed for their conservation was constant: 30% pine and oak forests, 22% tropical evergreen forest, 17% low deciduous forest, and 8% montane cloud forests. The fact that different groups of species require the same proportion of habitat types suggests that the pine and oak forests support the highest proportion of endemic and threatened species and should therefore be given priority over other types of vegetation for inclusion in the protected areas of southeastern Mexico.", "author" : [ { "dropping-particle" : "", "family" : "Urbina-Cardona", "given" : "J Nicol\u00e1s", "non-dropping-particle" : "", "parse-names" : false, "suffix" : "" }, { "dropping-particle" : "", "family" : "Flores-Villela", "given" : "Oscar", "non-dropping-particle" : "", "parse-names" : false, "suffix" : "" } ], "container-title" : "Conservation biology", "id" : "ITEM-2", "issue" : "4", "issued" : { "date-parts" : [ [ "2010", "8" ] ] }, "page" : "1031-41", "title" : "Ecological-niche modeling and prioritization of conservation-area networks for Mexican herpetofauna.", "type" : "article-journal", "volume" : "24" }, "uris" : [ "http://www.mendeley.com/documents/?uuid=15fcebdc-7dcd-4d6e-ac0b-a56ba69cd1fc" ] }, { "id" : "ITEM-3", "itemData" : { "DOI" : "10.1016/j.jns.2003.09.014", "ISBN" : "0022-510X (Print)", "ISSN" : "0022510X", "PMID" : "14706220", "author" : [ { "dropping-particle" : "", "family" : "Urbina-Cardona", "given" : "J. Nicol\u00e1s", "non-dropping-particle" : "", "parse-names" : false, "suffix" : "" }, { "dropping-particle" : "", "family" : "Castro", "given" : "Fernando", "non-dropping-particle" : "", "parse-names" : false, "suffix" : "" } ], "container-title" : "Diversidad y Cambio Clim\u00e1tico", "id" : "ITEM-3", "issue" : "1", "issued" : { "date-parts" : [ [ "2010" ] ] }, "page" : "65-72", "title" : "Distribuci\u00f3n actual y futura de anfibios y reptiles con potencial invasor en Colombia: una aproximaci\u00f3n usando modelos de nicho ecol\u00f3gico", "type" : "article-journal", "volume" : "1" }, "uris" : [ "http://www.mendeley.com/documents/?uuid=414debb6-dcdc-4e23-8cff-1b7bbf50c105" ] }, { "id" : "ITEM-4", "itemData" : { "DOI" : "10.1890/ES15-00256.1", "ISSN" : "21508925", "author" : [ { "dropping-particle" : "", "family" : "Uden", "given" : "Daniel R.", "non-dropping-particle" : "", "parse-names" : false, "suffix" : "" }, { "dropping-particle" : "", "family" : "Allen", "given" : "Craig R .", "non-dropping-particle" : "", "parse-names" : false, "suffix" : "" }, { "dropping-particle" : "", "family" : "Bishop", "given" : "Andrew A.", "non-dropping-particle" : "", "parse-names" : false, "suffix" : "" }, { "dropping-particle" : "", "family" : "Grosse", "given" : "Roger", "non-dropping-particle" : "", "parse-names" : false, "suffix" : "" }, { "dropping-particle" : "", "family" : "Jorgensen", "given" : "Christopher F.", "non-dropping-particle" : "", "parse-names" : false, "suffix" : "" }, { "dropping-particle" : "", "family" : "LaGrange", "given" : "Theodore G.", "non-dropping-particle" : "", "parse-names" : false, "suffix" : "" }, { "dropping-particle" : "", "family" : "Stutheit", "given" : "Randy G.", "non-dropping-particle" : "", "parse-names" : false, "suffix" : "" }, { "dropping-particle" : "", "family" : "Vrtiska", "given" : "Mark P.", "non-dropping-particle" : "", "parse-names" : false, "suffix" : "" } ], "container-title" : "Ecosphere", "id" : "ITEM-4", "issue" : "11", "issued" : { "date-parts" : [ [ "2015" ] ] }, "page" : "Article 215", "title" : "Predictions of future ephemeral springtime waterbird stopover habitat availability under global change", "type" : "article-journal", "volume" : "6" }, "uris" : [ "http://www.mendeley.com/documents/?uuid=381d5ff8-7740-4eb6-87e0-936d78fbdaa5" ] }, { "id" : "ITEM-5", "itemData" : { "DOI" : "10.1371/journal.pone.0117893", "ISSN" : "1932-6203", "PMID" : "25695255", "abstract" : "National Parks are hallmarks of ecosystem preservation in the United States. The introduction of alien invasive plant species threatens protection of these areas. Bromus tectorum L. (commonly called downy brome or cheatgrass), which is found in Rocky Mountain National Park (hereafter, the Park), Colorado, USA, has been implicated in early spring competition with native grasses, decreased soil nitrogen, altered nutrient and hydrologic regimes, and increased fire intensity. We estimated the potential distribution of B. tectorum in the Park based on occurrence records (n = 211), current and future climate, and distance to roads and trails. An ensemble of six future climate scenarios indicated the habitable area of B. tectorum may increase from approximately 5.5% currently to 20.4% of the Park by the year 2050. Using ordination methods we evaluated the climatic space occupied by B. tectorum in the Park and how this space may shift given future climate change. Modeling climate change at a small extent (1,076 km2) and at a fine spatial resolution (90 m) is a novel approach in species distribution modeling, and may provide inference for microclimates not captured in coarse-scale models. Maps from our models serve as high-resolution hypotheses that can be improved over time by land managers to set priorities for surveys and removal of invasive species such as B. tectorum.", "author" : [ { "dropping-particle" : "", "family" : "West", "given" : "Amanda M", "non-dropping-particle" : "", "parse-names" : false, "suffix" : "" }, { "dropping-particle" : "", "family" : "Kumar", "given" : "Sunil", "non-dropping-particle" : "", "parse-names" : false, "suffix" : "" }, { "dropping-particle" : "", "family" : "Wakie", "given" : "Tewodros", "non-dropping-particle" : "", "parse-names" : false, "suffix" : "" }, { "dropping-particle" : "", "family" : "Brown", "given" : "Cynthia S", "non-dropping-particle" : "", "parse-names" : false, "suffix" : "" }, { "dropping-particle" : "", "family" : "Stohlgren", "given" : "Thomas J", "non-dropping-particle" : "", "parse-names" : false, "suffix" : "" }, { "dropping-particle" : "", "family" : "Laituri", "given" : "Melinda", "non-dropping-particle" : "", "parse-names" : false, "suffix" : "" }, { "dropping-particle" : "", "family" : "Bromberg", "given" : "Jim", "non-dropping-particle" : "", "parse-names" : false, "suffix" : "" } ], "container-title" : "PloS one", "id" : "ITEM-5", "issue" : "2", "issued" : { "date-parts" : [ [ "2015" ] ] }, "page" : "e0117893", "title" : "Using High-Resolution Future Climate Scenarios to Forecast Bromus tectorum Invasion in Rocky Mountain National Park.", "type" : "article-journal", "volume" : "10" }, "uris" : [ "http://www.mendeley.com/documents/?uuid=ab60502e-8fad-4c69-bb77-08593e5e9763" ] } ], "mendeley" : { "formattedCitation" : "(Giovanelli, Haddad, &amp; Alexandrino, 2008; Uden et al., 2015; Urbina-Cardona &amp; Castro, 2010; Urbina-Cardona &amp; Flores-Villela, 2010; West et al., 2015)", "plainTextFormattedCitation" : "(Giovanelli, Haddad, &amp; Alexandrino, 2008; Uden et al., 2015; Urbina-Cardona &amp; Castro, 2010; Urbina-Cardona &amp; Flores-Villela, 2010; West et al., 2015)", "previouslyFormattedCitation" : "(Giovanelli, Haddad, &amp; Alexandrino, 2008; Uden et al., 2015; Urbina-Cardona &amp; Castro, 2010; Urbina-Cardona &amp; Flores-Villela, 2010; West et al., 2015)" }, "properties" : {  }, "schema" : "https://github.com/citation-style-language/schema/raw/master/csl-citation.json" }</w:instrText>
      </w:r>
      <w:r w:rsidRPr="008608AA">
        <w:rPr>
          <w:lang w:val="es-CO"/>
        </w:rPr>
        <w:fldChar w:fldCharType="separate"/>
      </w:r>
      <w:r w:rsidR="0045556C" w:rsidRPr="008608AA">
        <w:rPr>
          <w:noProof/>
          <w:lang w:val="es-CO"/>
        </w:rPr>
        <w:t>(Giovanelli</w:t>
      </w:r>
      <w:r w:rsidRPr="008608AA">
        <w:rPr>
          <w:noProof/>
          <w:lang w:val="es-CO"/>
        </w:rPr>
        <w:t xml:space="preserve"> et al., 2008; Uden et al.</w:t>
      </w:r>
      <w:r w:rsidR="0045556C" w:rsidRPr="008608AA">
        <w:rPr>
          <w:noProof/>
          <w:lang w:val="es-CO"/>
        </w:rPr>
        <w:t>, 2015; Urbina-Cardona &amp; Castro,</w:t>
      </w:r>
      <w:r w:rsidRPr="008608AA">
        <w:rPr>
          <w:noProof/>
          <w:lang w:val="es-CO"/>
        </w:rPr>
        <w:t xml:space="preserve"> 2010; Urbina-Cardona &amp; Flores-Villela, 2010; West et al., 2015)</w:t>
      </w:r>
      <w:r w:rsidRPr="008608AA">
        <w:rPr>
          <w:lang w:val="es-CO"/>
        </w:rPr>
        <w:fldChar w:fldCharType="end"/>
      </w:r>
      <w:r w:rsidRPr="008608AA">
        <w:rPr>
          <w:lang w:val="es-CO"/>
        </w:rPr>
        <w:t xml:space="preserve">, ecological interactions </w:t>
      </w:r>
      <w:r w:rsidRPr="008608AA">
        <w:rPr>
          <w:lang w:val="es-CO"/>
        </w:rPr>
        <w:fldChar w:fldCharType="begin" w:fldLock="1"/>
      </w:r>
      <w:r w:rsidRPr="008608AA">
        <w:rPr>
          <w:lang w:val="es-CO"/>
        </w:rPr>
        <w:instrText>ADDIN CSL_CITATION { "citationItems" : [ { "id" : "ITEM-1", "itemData" : { "DOI" : "10.3897/neobiota.32.8884", "ISSN" : "1314-2488", "author" : [ { "dropping-particle" : "", "family" : "Jarnevich", "given" : "Catherine", "non-dropping-particle" : "", "parse-names" : false, "suffix" : "" }, { "dropping-particle" : "", "family" : "Young", "given" : "Nicholas", "non-dropping-particle" : "", "parse-names" : false, "suffix" : "" }, { "dropping-particle" : "", "family" : "Sheffels", "given" : "Trevor", "non-dropping-particle" : "", "parse-names" : false, "suffix" : "" }, { "dropping-particle" : "", "family" : "Carter", "given" : "Jacoby", "non-dropping-particle" : "", "parse-names" : false, "suffix" : "" }, { "dropping-particle" : "", "family" : "Sytsma", "given" : "Mark", "non-dropping-particle" : "", "parse-names" : false, "suffix" : "" }, { "dropping-particle" : "", "family" : "Talbert", "given" : "Colin", "non-dropping-particle" : "", "parse-names" : false, "suffix" : "" } ], "container-title" : "NeoBiota", "id" : "ITEM-1", "issued" : { "date-parts" : [ [ "2017", "1", "4" ] ] }, "page" : "107-125", "title" : "Evaluating simplistic methods to understand current distributions and forecast distribution changes under climate change scenarios: an example with coypu (Myocastor coypus)", "type" : "article-journal", "volume" : "32" }, "uris" : [ "http://www.mendeley.com/documents/?uuid=d42d32e7-9760-3326-adfa-085ae27dba41" ] }, { "id" : "ITEM-2", "itemData" : { "DOI" : "10.1126/sciadv.1501105", "ISBN" : "10.1126/sciadv.1501105", "ISSN" : "2375-2548", "abstract" : "Carbon storage is widely acknowledged as one of the most valuable forest ecosystem services. Deforestation, logging, fragmentation, fire, and climate change have significant effects on tropical carbon stocks; however, an elusive and yet undetected decrease in carbon storage may be due to defaunation of large seed dispersers. Many large tropical trees with sizeable contributions to carbon stock rely on large vertebrates for seed dispersal and regeneration, however many of these frugivores are threatened by hunting, illegal trade, and habitat loss. We used a large data set on tree species composition and abundance, seed, fruit, and carbon-related traits, and plant-animal interactions to estimate the loss of carbon storage capacity of tropical forests in defaunated scenarios. By simulating the local extinction of trees that depend on large frugivores in 31 Atlantic Forest communities, we found that defaunation has the potential to significantly erode carbon storage even when only a small proportion of large-seeded trees are extirpated. Although intergovernmental policies to reduce carbon emissions and reforestation programs have been mostly focused on deforestation, our results demonstrate that defaunation, and the loss of key ecological interactions, also poses a serious risk for the maintenance of tropical forest carbon storage.", "author" : [ { "dropping-particle" : "", "family" : "Bello", "given" : "Carolina", "non-dropping-particle" : "", "parse-names" : false, "suffix" : "" }, { "dropping-particle" : "", "family" : "Galetti", "given" : "Mauro", "non-dropping-particle" : "", "parse-names" : false, "suffix" : "" }, { "dropping-particle" : "", "family" : "Pizo", "given" : "Marco A", "non-dropping-particle" : "", "parse-names" : false, "suffix" : "" }, { "dropping-particle" : "", "family" : "Magnago", "given" : "</w:instrText>
      </w:r>
      <w:r w:rsidRPr="008608AA">
        <w:instrText>Luiz Fernando S", "non-dropping-particle" : "", "parse-names" : false, "suffix" : "" }, { "dropping-particle" : "", "family" : "Rocha", "given" : "Mariana F", "non-dropping-particle" : "", "parse-names" : false, "suffix" : "" }, { "dropping-particle" : "", "family" : "Lima", "given" : "Renato A F", "non-dropping-particle" : "", "parse-names" : false, "suffix" : "" }, { "dropping-particle" : "", "family" : "Peres", "given" : "Carlos A", "non-dropping-particle" : "", "parse-names" : false, "suffix" : "" }, { "dropping-particle" : "", "family" : "Ovaskainen", "given" : "Otso", "non-dropping-particle" : "", "parse-names" : false, "suffix" : "" }, { "dropping-particle" : "", "family" : "Jordano", "given" : "Pedro", "non-dropping-particle" : "", "parse-names" : false, "suffix" : "" } ], "container-title" : "Science Advances", "id" : "ITEM-2", "issue" : "11", "issued" : { "date-parts" : [ [ "2015" ] ] }, "page" : "1-11", "title" : "Defaunation affects carbon storage in tropical forests", "type" : "article-journal", "volume" : "1" }, "uris" : [ "http://www.mendeley.com/documents/?uuid=4829045a-db55-4123-8ea3-63e7aaf81391" ] } ], "mendeley" : { "formattedCitation" : "(Bello et al., 2015; Jarnevich et al., 2017)", "plainTextFormattedCitation" : "(Bello et al., 2015; Jarnevich et al., 2017)", "previouslyFormattedCitation" : "(Bello et al., 2015; Jarnevich et al., 2017)" }, "properties" : {  }, "schema" : "https://github.com/citation-style-language/schema/raw/master/csl-citation.json" }</w:instrText>
      </w:r>
      <w:r w:rsidRPr="008608AA">
        <w:rPr>
          <w:lang w:val="es-CO"/>
        </w:rPr>
        <w:fldChar w:fldCharType="separate"/>
      </w:r>
      <w:r w:rsidRPr="008608AA">
        <w:rPr>
          <w:noProof/>
        </w:rPr>
        <w:t>(Bello et al., 2015; Jarnevich et al., 2017)</w:t>
      </w:r>
      <w:r w:rsidRPr="008608AA">
        <w:rPr>
          <w:lang w:val="es-CO"/>
        </w:rPr>
        <w:fldChar w:fldCharType="end"/>
      </w:r>
      <w:r w:rsidRPr="008608AA">
        <w:t xml:space="preserve">, impacts of agriculture on biodiversity </w:t>
      </w:r>
      <w:r w:rsidRPr="008608AA">
        <w:fldChar w:fldCharType="begin" w:fldLock="1"/>
      </w:r>
      <w:r w:rsidRPr="008608AA">
        <w:instrText>ADDIN CSL_CITATION { "citationItems" : [ { "id" : "ITEM-1", "itemData" : { "DOI" : "10.1073/pnas.1406485112", "ISBN" : "0027-8424", "ISSN" : "0027-8424", "PMID" : "26082547", "abstract" : "The agricultural expansion and intensification required to meet growing food and agri-based product demand present important challenges to future levels and management of biodiversity and ecosystem services. Influential actors such as corporations, governments, and multilateral organizations have made commitments to meeting future agricultural demand sustainably and preserving critical ecosystems. Current approaches to predicting the impacts of agricultural expansion involve calculation of total land conversion and assessment of the impacts on biodiversity or ecosystem services on a per-area basis, generally assuming a linear relationship between impact and land area. However, the impacts of continuing land development are often not linear and can vary considerably with spatial configuration. We demonstrate what could be gained by spatially explicit analysis of agricultural expansion at a large scale compared with the simple measure of total area converted, with a focus on the impacts on biodiversity and carbon storage. Using simple modeling approaches for two regions of Brazil, we find that for the same amount of land conversion, the declines in biodiversity and carbon storage can vary two- to fourfold depending on the spatial pattern of conversion. Impacts increase most rapidly in the earliest stages of agricultural expansion and are more pronounced in scenarios where conversion occurs in forest interiors compared with expansion into forests from their edges. This study reveals the importance of spatially explicit information in the assessment of land-use change impacts and for future land management and conservation.", "author" : [ { "dropping-particle" : "", "family" : "Chaplin-Kramer", "given" : "Rebecca", "non-dropping-particle" : "", "parse-names" : false, "suffix" : "" }, { "dropping-particle" : "", "family" : "Sharp", "given" : "Richard P", "non-dropping-particle" : "", "parse-names" : false, "suffix" : "" }, { "dropping-particle" : "", "family" : "Mandle", "given" : "Lisa", "non-dropping-particle" : "", "parse-names" : false, "suffix" : "" }, { "dropping-particle" : "", "family" : "Sim", "given" : "Sarah", "non-dropping-particle" : "", "parse-names" : false, "suffix" : "" }, { "dropping-particle" : "", "family" : "Johnson", "given" : "Justin", "non-dropping-particle" : "", "parse-names" : false, "suffix" : "" }, { "dropping-particle" : "", "family" : "Butnar", "given" : "Isabela", "non-dropping-particle" : "", "parse-names" : false, "suffix" : "" }, { "dropping-particle" : "", "family" : "Mil\u00e0 i Canals", "given" : "Lloren\u00e7", "non-dropping-particle" : "", "parse-names" : false, "suffix" : "" }, { "dropping-particle" : "", "family" : "Eichelberger", "given" : "Bradley A", "non-dropping-particle" : "", "parse-names" : false, "suffix" : "" }, { "dropping-particle" : "", "family" : "Ramler", "given" : "Ivan", "non-dropping-particle" : "", "parse-names" : false, "suffix" : "" }, { "dropping-particle" : "", "family" : "Mueller", "given" : "Carina", "non-dropping-particle" : "", "parse-names" : false, "suffix" : "" }, { "dropping-particle" : "", "family" : "McLachlan", "given" : "Nikolaus", "non-dropping-particle" : "", "parse-names" : false, "suffix" : "" }, { "dropping-particle" : "", "family" : "Yousefi", "given" : "Anahita", "non-dropping-particle" : "", "parse-names" : false, "suffix" : "" }, { "dropping-particle" : "", "family" : "King", "given" : "Henry", "non-dropping-particle" : "", "parse-names" : false, "suffix" : "" }, { "dropping-particle" : "", "family" : "Kareiva", "given" : "Peter M", "non-dropping-particle" : "", "parse-names" : false, "suffix" : "" } ], "container-title" : "Proceedings of the National Academy of Sciences", "id" : "ITEM-1", "issue" : "24", "issued" : { "date-parts" : [ [ "2015" ] ] }, "page" : "7402-7407", "title" : "Spatial patterns of agricultural expansion determine impacts on biodiversity and carbon storage", "type" : "article-journal", "volume" : "112" }, "uris" : [ "http://www.mendeley.com/documents/?uuid=7a83c48e-5bd1-42df-b43d-692686b39418" ] } ], "mendeley" : { "formattedCitation" : "(Chaplin-Kramer et al., 2015)", "plainTextFormattedCitation" : "(Chaplin-Kramer et al., 2015)", "previouslyFormattedCitation" : "(Chaplin-Kramer et al., 2015)" }, "properties" : {  }, "schema" : "https://github.com/citation-style-language/schema/raw/master/csl-citation.json" }</w:instrText>
      </w:r>
      <w:r w:rsidRPr="008608AA">
        <w:fldChar w:fldCharType="separate"/>
      </w:r>
      <w:r w:rsidRPr="008608AA">
        <w:rPr>
          <w:noProof/>
        </w:rPr>
        <w:t>(Chaplin-Kramer et al., 2015)</w:t>
      </w:r>
      <w:r w:rsidRPr="008608AA">
        <w:fldChar w:fldCharType="end"/>
      </w:r>
      <w:r w:rsidRPr="008608AA">
        <w:t xml:space="preserve">, effect of anthropogenic occupation to nature and nature's contribution to people </w:t>
      </w:r>
      <w:r w:rsidRPr="008608AA">
        <w:fldChar w:fldCharType="begin" w:fldLock="1"/>
      </w:r>
      <w:r w:rsidRPr="008608AA">
        <w:instrText>ADDIN CSL_CITATION { "citationItems" : [ { "id" : "ITEM-1", "itemData" : { "DOI" : "10.1016/j.gecco.2014.09.001", "ISSN" : "23519894", "abstract" : "New coastal development may offer economic benefits to resort builders and even local communities, but these projects can also impact local ecosystems, key wildlife, and the draw for tourists. We explore how light from Cabo Cort??s, a proposed coastal development in Baja California Sur, Mexico, may alter natural light cues used by sea turtle hatchlings. We adapt a viewshed approach to model exterior light originating from the resort under plausible zoning scenarios. This spatially explicit information allows stakeholders to evaluate the likely impact of alternative development options. Our model suggests that direct light's ability to reach sea turtle nesting beaches varies greatly by source location and height-with some plausible development scenarios leading to significantly less light pollution than others. Our light pollution maps can enhance decision-making, offering clear guidance on where to avoid elevated lamps or when to recommend lighting restrictions. Communities can use this information to participate in development planning to mitigate ecological, aesthetic and economic impacts from artificial lighting. Though tested in Mexico, our approach and free, open-source software can be applied in other places around the world to better understand and manage the threats of light pollution to sea turtles.", "author" : [ { "dropping-particle" : "", "family" : "Verutes", "given" : "Gregory M.", "non-dropping-particle" : "", "parse-names" : false, "suffix" : "" }, { "dropping-particle" : "", "family" : "Huang", "given" : "Charles", "non-dropping-particle" : "", "parse-names" : false, "suffix" : "" }, { "dropping-particle" : "", "family" : "Estrella", "given" : "Ricardo Rodr\u00edguez", "non-dropping-particle" : "", "parse-names" : false, "suffix" : "" }, { "dropping-particle" : "", "family" : "Loyd", "given" : "Kara", "non-dropping-particle" : "", "parse-names" : false, "suffix" : "" } ], "container-title" : "Global Ecology and Conservation", "id" : "ITEM-1", "issue" : "2", "issued" : { "date-parts" : [ [ "2014", "12" ] ] }, "page" : "170-180", "publisher" : "Elsevier B.V.", "title" : "Exploring scenarios of light pollution from coastal development reaching sea turtle nesting beaches near Cabo Pulmo, Mexico", "type" : "article-journal", "volume" : "2" }, "uris" : [ "http://www.mendeley.com/documents/?uuid=79eaa26c-1646-4510-a868-0ced401ec4cf" ] }, { "id" : "ITEM-2", "itemData" : { "DOI" : "10.5194/esd-5-55-2014", "ISSN" : "2190-4987", "author" : [ { "dropping-particle" : "", "family" : "Soesbergen", "given" : "A. J. J.", "non-dropping-particle" : "van", "parse-names" : false, "suffix" : "" }, { "dropping-particle" : "", "family" : "Mulligan", "given" : "M.", "non-dropping-particle" : "", "parse-names" : false, "suffix" : "" } ], "container-title" : "Earth System Dynamics", "id" : "ITEM-2", "issue" : "1", "issued" : { "date-parts" : [ [ "2014", "1", "31" ] ] }, "language" : "English", "page" : "55-65", "publisher" : "Copernicus GmbH", "title" : "Modelling multiple threats to water security in the Peruvian Amazon using the WaterWorld policy support system", "type" : "article-journal", "volume" : "5" }, "uris" : [ "http://www.mendeley.com/documents/?uuid=4741fc0a-75c0-49bd-a547-200d10cf16c7" ] }, { "id" : "ITEM-3", "itemData" : { "DOI" : "10.1890/EHS14-0009.1", "ISSN" : "2332-8878", "abstract" : "Wildlife managers are tasked with identifying and managing stressors that threaten persistence of populations. We demonstrate an approach to land-use planning that combines scenario modeling and ecological risk assessment to map and quantify risk to population persistence for three rare prairie species in Washington State, USA. Following corroboration of model output, we found that of the management scenarios considered, only a scenario with year-round restrictions on use of off-road vehicles, digging, and camping enforced in all potential habitat reduces risk to the species. Decreased risk is focused primarily in two patches of prairie habitat in our study area, indicating stringent restrictions need not be applied broadly. However, one area is not easily accessed by two of the three species considered, suggesting reintroductions to suitable but inaccessible habitat may play an important role in management of these species. Our analyses suggest changes in land use and management that might improve habitat for rare species, with options for minimizing monetary and social costs. Because the proposed approach relies on hypothetical management scenarios and uses a model flexible in data requirements to provide spatially explicit output, it can be used to inform adaptive management of rare species in diverse land-planning processes and will be especially useful when management decisions must be made under time or cost constraints.", "author" : [ { "dropping-particle" : "", "family" : "Duggan", "given" : "Jennifer M.", "non-dropping-particle" : "", "parse-names" : false, "suffix" : "" }, { "dropping-particle" : "", "family" : "Eichelberger", "given" : "Bradley A.", "non-dropping-particle" : "", "parse-names" : false, "suffix" : "" }, { "dropping-particle" : "", "family" : "Ma", "given" : "Shan", "non-dropping-particle" : "", "parse-names" : false, "suffix" : "" }, { "dropping-particle" : "", "family" : "Lawler", "given" : "Joshua J.", "non-dropping-particle" : "", "parse-names" : false, "suffix" : "" }, { "dropping-particle" : "", "family" : "Ziv", "given" : "Guy", "non-dropping-particle" : "", "parse-names" : false, "suffix" : "" } ], "container-title" : "Ecosystem Health and Sustainability", "id" : "ITEM-3", "issue" : "6", "issued" : { "date-parts" : [ [ "2015" ] ] }, "page" : "22", "title" : "Informing management of rare species with an approach combining scenario modeling and spatially explicit risk assessment", "type" : "article-journal", "volume" : "1" }, "uris" : [ "http://www.mendeley.com/documents/?uuid=31d04b7e-1804-4dd5-a80e-b2373c309bbb" ] } ], "mendeley" : { "formattedCitation" : "(Duggan, Eichelberger, Ma, Lawler, &amp; Ziv, 2015; van Soesbergen &amp; Mulligan, 2014; Verutes, Huang, Estrella, &amp; Loyd, 2014)", "plainTextFormattedCitation" : "(Duggan, Eichelberger, Ma, Lawler, &amp; Ziv, 2015; van Soesbergen &amp; Mulligan, 2014; Verutes, Huang, Estrella, &amp; Loyd, 2014)", "previouslyFormattedCitation" : "(Duggan, Eichelberger, Ma, Lawler, &amp; Ziv, 2015; van Soesbergen &amp; Mulligan, 2014; Verutes, Huang, Estrella, &amp; Loyd, 2014)" }, "properties" : {  }, "schema" : "https://github.com/citation-style-language/schema/raw/master/csl-citation.json" }</w:instrText>
      </w:r>
      <w:r w:rsidRPr="008608AA">
        <w:fldChar w:fldCharType="separate"/>
      </w:r>
      <w:r w:rsidR="0045556C" w:rsidRPr="008608AA">
        <w:rPr>
          <w:noProof/>
        </w:rPr>
        <w:t>(Duggan</w:t>
      </w:r>
      <w:r w:rsidRPr="008608AA">
        <w:rPr>
          <w:noProof/>
        </w:rPr>
        <w:t xml:space="preserve"> et al., 2015; van Soesb</w:t>
      </w:r>
      <w:r w:rsidR="0045556C" w:rsidRPr="008608AA">
        <w:rPr>
          <w:noProof/>
        </w:rPr>
        <w:t>ergen &amp; Mulligan, 2014; Verutes</w:t>
      </w:r>
      <w:r w:rsidRPr="008608AA">
        <w:rPr>
          <w:noProof/>
        </w:rPr>
        <w:t xml:space="preserve"> et al., 2014)</w:t>
      </w:r>
      <w:r w:rsidRPr="008608AA">
        <w:fldChar w:fldCharType="end"/>
      </w:r>
      <w:r w:rsidRPr="008608AA">
        <w:t xml:space="preserve">, as well as general effects of agriculture and forestry on nature </w:t>
      </w:r>
      <w:r w:rsidRPr="008608AA">
        <w:fldChar w:fldCharType="begin" w:fldLock="1"/>
      </w:r>
      <w:r w:rsidRPr="008608AA">
        <w:instrText>ADDIN CSL_CITATION { "citationItems" : [ { "id" : "ITEM-1", "itemData" : { "ISBN" : "1605-2528", "author" : [ { "dropping-particle" : "", "family" : "M\u00fcller", "given" : "Robert", "non-dropping-particle" : "", "parse-names" : false, "suffix" : "" }, { "dropping-particle" : "", "family" : "Larrea-Alc\u00e1zar", "given" : "Daniel M.", "non-dropping-particle" : "", "parse-names" : false, "suffix" : "" }, { "dropping-particle" : "", "family" : "Cu\u00e9llar", "given" : "Saul", "non-dropping-particle" : "", "parse-names" : false, "suffix" : "" }, { "dropping-particle" : "", "family" : "Espinoza", "given" : "Sara", "non-dropping-particle" : "", "parse-names" : false, "suffix" : "" } ], "container-title" : "Ecolog\u00eda en Bolivia", "id" : "ITEM-1", "issue" : "1", "issued" : { "date-parts" : [ [ "2014" ] ] }, "page" : "20-34", "title" : "Causas directas de la deforestaci\u00f3n reciente (2000-2010) y modelado de dos escenarios futuros en las tierras bajas de Bolivia lowlands and modeling of future scenarios", "type" : "article-journal", "volume" : "49" }, "uris" : [ "http://www.mendeley.com/documents/?uuid=8ca27462-90dd-4575-aca9-36e2eec1d9df" ] }, { "id" : "ITEM-2", "itemData" : { "DOI" : "10.1371/journal.pone.0129225", "ISBN" : "19326203 (ISSN)", "ISSN" : "1932-6203", "PMID" : "26091014", "abstract" : "Ecosystem services provided by mobile agents are increasingly threatened by the loss and modification of natural habitats and by climate change, risking the maintenance of biodiversity, ecosystem functions, and human welfare. Research oriented towards a better understanding of the joint effects of land use and climate change over the provision of specific ecosystem services is therefore essential to safeguard such services. Here we propose a methodological framework, which integrates species distribution forecasts and graph theory to identify key conservation areas, which if protected or restored could improve habitat connectivity and safeguard ecosystem services. We applied the proposed framework to the provision of pollination services by a tropical stingless bee (Melipona quadrifasciata), a key pollinator of native flora from the Brazilian Atlantic Forest and important agricultural crops. Based on the current distribution of this bee and that of the plant species used to feed and nest, we projected the joint distribution of bees and plants in the future, considering a moderate climate change scenario (following IPPC). We then used this information, the bee's flight range, and the current mapping of Atlantic Forest remnants to infer habitat suitability and quantify local and regional habitat connectivity for 2030, 2050 and 2080. Our results revealed north to south and coastal to inland shifts in the pollinator distribution during the next 70 years. Current and future connectivity maps unraveled the most important corridors, which if protected or restored, could facilitate the dispersal and establishment of bees during distribution shifts. Our results also suggest that coffee plantations from eastern S\u00e3o Paulo and southern Minas Gerais States could suffer a pollinator deficit in the future, whereas pollination services seem to be secured in southern Brazil. Landowners and governmental agencies could use this information to implement new land use schemes. Overall, our proposed methodological framework could help design novel conservational and agricultural practices that can be crucial to conserve ecosystem services by buffering the joint effect of habitat configuration and climate change.", "author" : [ { "dropping-particle" : "", "family" : "Giannini", "given" : "Tereza C", "non-dropping-particle" : "", "parse-names" : false, "suffix" : "" }, { "dropping-particle" : "", "family" : "Tambosi", "given" : "Leandro R", "non-dropping-particle" : "", "parse-names" : false, "suffix" : "" }, { "dropping-particle" : "", "family" : "Acosta", "given" : "Andr\u00e9 L", "non-dropping-particle" : "", "parse-names" : false, "suffix" : "" }, { "dropping-particle" : "", "family" : "Jaff\u00e9", "given" : "Rodolfo", "non-dropping-particle" : "", "parse-names" : false, "suffix" : "" }, { "dropping-particle" : "", "family" : "Saraiva", "given" : "Antonio M", "non-dropping-particle" : "", "parse-names" : false, "suffix" : "" }, { "dropping-particle" : "", "family" : "Imperatriz-Fonseca", "given" : "Vera L", "non-dropping-particle" : "", "parse-names" : false, "suffix" : "" }, { "dropping-particle" : "", "family" : "Metzger", "given" : "Jean Paul", "non-dropping-particle" : "", "parse-names" : false, "suffix" : "" } ], "container-title" : "PloS one", "id" : "ITEM-2", "issue" : "6", "issued" : { "date-parts" : [ [ "2015" ] ] }, "page" : "e0129225", "title" : "Safeguarding Ecosystem Services: A Methodological Framework to Buffer the Joint Effect of Habitat Configuration and Climate Change.", "type" : "article-journal", "volume" : "10" }, "uris" : [ "http://www.mendeley.com/documents/?uuid=49aedf70-6c5a-4e9b-a3ce-20a82bf49878" ] }, { "id" : "ITEM-3", "itemData" : { "DOI" : "10.1111/gcb.13134", "ISBN" : "1365-2486 (Electronic)\\r1354-1013 (Linking)", "ISSN" : "13541013", "PMID" : "26511401", "abstract" : "Accepted Author Manuscript", "author" : [ { "dropping-particle" : "", "family" : "Aguiar", "given" : "Ana Paula Dutra", "non-dropping-particle" : "", "parse-names" : false, "suffix" : "" }, { "dropping-particle" : "", "family" : "Vieira", "given" : "Ima C\u00e9lia Guimar\u00e3es", "non-dropping-particle" : "", "parse-names" : false, "suffix" : "" }, { "dropping-particle" : "", "family" : "Assis", "given" : "Talita Oliveira", "non-dropping-particle" : "", "parse-names" : false, "suffix" : "" }, { "dropping-particle" : "", "family" : "Dalla-Nora", "given" : "Eloi L.", "non-dropping-particle" : "", "parse-names" : false, "suffix" : "" }, { "dropping-particle" : "", "family" : "Toledo", "given" : "Peter Mann", "non-dropping-particle" : "", "parse-names" : false, "suffix" : "" }, { "dropping-particle" : "", "family" : "Oliveira Santos-Junior", "given" : "Roberto Ara\u00fajo", "non-dropping-particle" : "", "parse-names" : false, "suffix" : "" }, { "dropping-particle" : "", "family" : "Batistella", "given" : "Mateus", "non-dropping-particle" : "", "parse-names" : false, "suffix" : "" }, { "dropping-particle" : "", "family" : "Coelho", "given" : "Andrea Santos", "non-dropping-particle" : "", "parse-names" : false, "suffix" : "" }, { "dropping-particle" : "", "family" : "Savaget", "given" : "Elza Kawakami", "non-dropping-particle" : "", "parse-names" : false, "suffix" : "" }, { "dropping-particle" : "", "family" : "Arag\u00e3o", "given" : "Luiz Eduardo Oliveira Cruz", "non-dropping-particle" : "", "parse-names" : false, "suffix" : "" }, { "dropping-particle" : "", "family" : "Nobre", "given" : "Carlos Afonso", "non-dropping-particle" : "", "parse-names" : false, "suffix" : "" }, { "dropping-particle" : "", "family" : "Ometto", "given" : "Jean Pierre H", "non-dropping-particle" : "", "parse-names" : false, "suffix" : "" } ], "container-title" : "Global Change Biology", "id" : "ITEM-3", "issue" : "5", "issued" : { "date-parts" : [ [ "2016", "5" ] ] }, "page" : "1821-1840", "title" : "Land use change emission scenarios: anticipating a forest transition process in the Brazilian Amazon", "type" : "article-journal", "volume" : "22" }, "uris" : [ "http://www.mendeley.com/documents/?uuid=63f83b62-c789-4c2f-b59d-cbd987d02d71" ] }, { "id" : "ITEM-4", "itemData" : { "DOI" : "10.1890/ES15-00256.1", "ISSN" : "21508925", "author" : [ { "dropping-particle" : "", "family" : "Uden", "given" : "Daniel R.", "non-dropping-particle" : "", "parse-names" : false, "suffix" : "" }, { "dropping-particle" : "", "family" : "Allen", "given" : "Craig R .", "non-dropping-particle" : "", "parse-names" : false, "suffix" : "" }, { "dropping-particle" : "", "family" : "Bishop", "given" : "Andrew A.", "non-dropping-particle" : "", "parse-names" : false, "suffix" : "" }, { "dropping-particle" : "", "family" : "Grosse", "given" : "Roger", "non-dropping-particle" : "", "parse-names" : false, "suffix" : "" }, { "dropping-particle" : "", "family" : "Jorgensen", "given" : "Christopher F.", "non-dropping-particle" : "", "parse-nam</w:instrText>
      </w:r>
      <w:r w:rsidRPr="00A3137A">
        <w:rPr>
          <w:lang w:val="fr-FR"/>
        </w:rPr>
        <w:instrText>es" : false, "suffix" : "" }, { "dropping-particle" : "", "family" : "LaGrange", "given" : "Theodore G.", "non-dropping-particle" : "", "parse-names" : false, "suffix" : "" }, { "dropping-particle" : "", "family" : "Stutheit", "given" : "Randy G.", "non-dropping-particle" : "", "parse-names" : false, "suffix" : "" }, { "dropping-particle" : "", "family" : "Vrtiska", "given" : "Mark P.", "non-dropping-particle" : "", "parse-names" : false, "suffix" : "" } ], "container-title" : "Ecosphere", "id" : "ITEM-4", "issue" : "11", "issued" : { "date-parts" : [ [ "2015" ] ] }, "page" : "Article 215", "title" : "Predictions of future ephemeral springtime waterbird stopover habitat availability under global change", "type" : "article-journal", "volume" : "6" }, "uris" : [ "http://www.mendeley.com/documents/?uuid=381d5ff8-7740-4eb6-87e0-936d78fbdaa5" ] } ], "mendeley" : { "formattedCitation" : "(A. P. D. Aguiar et al., 2016; Giannini et al., 2015; M\u00fcller, Larrea-Alc\u00e1zar, Cu\u00e9llar, &amp; Espinoza, 2014; Uden et al., 2015)", "plainTextFormattedCitation" : "(A. P. D. Aguiar et al., 2016; Giannini et al., 2015; M\u00fcller, Larrea-Alc\u00e1zar, Cu\u00e9llar, &amp; Espinoza, 2014; Uden et al., 2015)", "previouslyFormattedCitation" : "(A. P. D. Aguiar et al., 2016; Giannini et al., 2015; M\u00fcller, Larrea-Alc\u00e1zar, Cu\u00e9llar, &amp; Espinoza, 2014; Uden et al., 2015)" }, "properties" : {  }, "schema" : "https://github.com/citation-style-language/schema/raw/master/csl-citation.json" }</w:instrText>
      </w:r>
      <w:r w:rsidRPr="008608AA">
        <w:fldChar w:fldCharType="separate"/>
      </w:r>
      <w:r w:rsidRPr="00A3137A">
        <w:rPr>
          <w:noProof/>
          <w:lang w:val="fr-FR"/>
        </w:rPr>
        <w:t>(Aguiar et al., 2016</w:t>
      </w:r>
      <w:r w:rsidR="0045556C" w:rsidRPr="00A3137A">
        <w:rPr>
          <w:noProof/>
          <w:lang w:val="fr-FR"/>
        </w:rPr>
        <w:t>; Giannini et al., 2015; Müller</w:t>
      </w:r>
      <w:r w:rsidRPr="00A3137A">
        <w:rPr>
          <w:noProof/>
          <w:lang w:val="fr-FR"/>
        </w:rPr>
        <w:t xml:space="preserve"> et al., 2014; Uden et al., 2015)</w:t>
      </w:r>
      <w:r w:rsidRPr="008608AA">
        <w:fldChar w:fldCharType="end"/>
      </w:r>
      <w:r w:rsidRPr="00A3137A">
        <w:rPr>
          <w:lang w:val="fr-FR"/>
        </w:rPr>
        <w:t xml:space="preserve">. </w:t>
      </w:r>
      <w:r w:rsidRPr="008608AA">
        <w:t xml:space="preserve">Studies investigating scenarios or future trends of the condition of marine ecosystems are scarce in the Americas but the review analysis of </w:t>
      </w:r>
      <w:r w:rsidRPr="008608AA">
        <w:fldChar w:fldCharType="begin" w:fldLock="1"/>
      </w:r>
      <w:r w:rsidRPr="008608AA">
        <w:instrText>ADDIN CSL_CITATION { "citationItems" : [ { "id" : "ITEM-1", "itemData" : { "DOI" : "10.1007/s10113-016-1081-5", "ISSN" : "1436-3798", "author" : [ { "dropping-particle" : "", "family" : "Teh", "given" : "Louise S. L.", "non-dropping-particle" : "", "parse-names" : false, "suffix" : "" }, { "dropping-particle" : "", "family" : "Cheung", "given" : "William W. L.", "non-dropping-particle" : "", "parse-names" : false, "suffix" : "" }, { "dropping-particle" : "", "family" : "Sumaila", "given" : "U. Rashid", "non-dropping-particle" : "", "parse-names" : false, "suffix" : "" } ], "container-title" : "Regional Environmental Change", "id" : "ITEM-1", "issued" : { "date-parts" : [ [ "2016" ] ] }, "publisher" : "Springer Berlin Heidelberg", "title" : "Scenarios for investigating the future of Canada\u2019s oceans and marine fisheries under environmental and socioeconomic change", "type" : "article-journal" }, "uris" : [ "http://www.mendeley.com/documents/?uuid=48966b20-742a-4679-af5d-8d58de1544f3" ] } ], "mendeley" : { "formattedCitation" : "(Teh, Cheung, &amp; Sumaila, 2016)", "manualFormatting" : "Teh et al. (2016)", "plainTextFormattedCitation" : "(Teh, Cheung, &amp; Sumaila, 2016)", "previouslyFormattedCitation" : "(Teh, Cheung, &amp; Sumaila, 2016)" }, "properties" : {  }, "schema" : "https://github.com/citation-style-language/schema/raw/master/csl-citation.json" }</w:instrText>
      </w:r>
      <w:r w:rsidRPr="008608AA">
        <w:fldChar w:fldCharType="separate"/>
      </w:r>
      <w:r w:rsidRPr="008608AA">
        <w:rPr>
          <w:noProof/>
        </w:rPr>
        <w:t>Teh et al. (2016)</w:t>
      </w:r>
      <w:r w:rsidRPr="008608AA">
        <w:fldChar w:fldCharType="end"/>
      </w:r>
      <w:r w:rsidRPr="008608AA">
        <w:t xml:space="preserve"> investigating the future of Canada´s oceans and marine fisheries is a good example to elucidate how environmental change and socioeconomic pathways will play a role on marine ecosystems integrity. </w:t>
      </w:r>
    </w:p>
    <w:p w14:paraId="663E5BCB" w14:textId="77777777" w:rsidR="00350A59" w:rsidRPr="008608AA" w:rsidRDefault="00350A59" w:rsidP="0042035C">
      <w:pPr>
        <w:suppressAutoHyphens/>
      </w:pPr>
    </w:p>
    <w:p w14:paraId="68B9E45C" w14:textId="77777777" w:rsidR="00490494" w:rsidRPr="008608AA" w:rsidRDefault="00490494" w:rsidP="0042035C">
      <w:pPr>
        <w:suppressAutoHyphens/>
      </w:pPr>
      <w:r w:rsidRPr="008608AA">
        <w:t xml:space="preserve">Forty seven percent (47%) of the studies analyzed include a multiple driver approach. The analysis revealed an impressive diversity for both direct and indirect drivers affecting nature. Among them, urbanization, climate change, political process and land use change were the most cited. In general, these local studies show that anthropogenic drivers affect nature and nature’s contribution to people both indirectly through policy and directly through immediate changes in nature as caused by such factors as deforestation. Importantly, among the studies, a particularly strong correlation is found for land use change as a driver of deforestation. </w:t>
      </w:r>
    </w:p>
    <w:p w14:paraId="74C972F4" w14:textId="77777777" w:rsidR="00350A59" w:rsidRPr="008608AA" w:rsidRDefault="00350A59" w:rsidP="0042035C">
      <w:pPr>
        <w:suppressAutoHyphens/>
        <w:rPr>
          <w:rFonts w:eastAsia="Droid Sans Fallback"/>
        </w:rPr>
      </w:pPr>
    </w:p>
    <w:p w14:paraId="3E7A996E" w14:textId="368DEAAC" w:rsidR="00490494" w:rsidRPr="008608AA" w:rsidRDefault="00490494" w:rsidP="0042035C">
      <w:pPr>
        <w:suppressAutoHyphens/>
        <w:spacing w:after="280"/>
        <w:rPr>
          <w:rFonts w:eastAsia="Droid Sans Fallback"/>
        </w:rPr>
      </w:pPr>
      <w:r w:rsidRPr="008608AA">
        <w:t xml:space="preserve">Another important finding from the local literature regards </w:t>
      </w:r>
      <w:r w:rsidR="00350A59" w:rsidRPr="008608AA">
        <w:t xml:space="preserve">to </w:t>
      </w:r>
      <w:r w:rsidRPr="008608AA">
        <w:t xml:space="preserve">biological invasions that, acting in synergy with climate change, are predicted to increase areas suitable for exotic species such as reptiles like </w:t>
      </w:r>
      <w:r w:rsidRPr="008608AA">
        <w:rPr>
          <w:i/>
        </w:rPr>
        <w:t>Lithobathes catesbeianus</w:t>
      </w:r>
      <w:r w:rsidRPr="008608AA">
        <w:t xml:space="preserve"> (Bullfrog) in Brazil and Colombia </w:t>
      </w:r>
      <w:r w:rsidRPr="008608AA">
        <w:fldChar w:fldCharType="begin" w:fldLock="1"/>
      </w:r>
      <w:r w:rsidRPr="008608AA">
        <w:instrText>ADDIN CSL_CITATION { "citationItems" : [ { "id" : "ITEM-1", "itemData" : { "DOI" : "10.1007/s10530-007-9154-5", "ISSN" : "1387-3547", "author" : [ { "dropping-particle" : "", "family" : "Giovanelli", "given" : "Jo\u00e3o G. R.", "non-dropping-particle" : "", "parse-names" : false, "suffix" : "" }, { "dropping-particle" : "", "family" : "Haddad", "given" : "C\u00e9lio F. B.", "non-dropping-particle" : "", "parse-names" : false, "suffix" : "" }, { "dropping-particle" : "", "family" : "Alexandrino", "given" : "Jo\u00e3o", "non-dropping-particle" : "", "parse-names" : false, "suffix" : "" } ], "container-title" : "Biological Invasions", "id" : "ITEM-1", "issue" : "5", "issued" : { "date-parts" : [ [ "2008", "6", "8" ] ] }, "page" : "585-590", "publisher" : "Springer Netherlands", "title" : "Predicting the potential distribution of the alien invasive American bullfrog (Lithobates catesbeianus) in Brazil", "type" : "article-journal", "volume" : "10" }, "uris" : [ "http://www.mendeley.com/documents/?uuid=43bb085f-90b6-4f84-8010-8eca00dd6a42" ] }, { "id" : "ITEM-2", "itemData" : { "DOI" : "10.1007/s10530/007-9145-6", "abstract" : "Species distribution models that predict the geographic ranges of\\ninvasive species have received a lot of attention recently.\\n\\nThis approach can be very useful for determining the potential for\\nadditional spread in invaded areas and for\\n\\nidentifying new regions that may be susceptible to invasion. With\\nthe increasing availability of scenarios of future climate\\n\\nconditions, researchers also have a unique opportunity to anticipate\\nchanges in the geographic ranges of species that result\\n\\nas a consequence of global warming. However, it remains unclear to\\nwhat extent distributional models can accurately\\n\\nestimate changes in the species' geography under climate change. This\\nuncertainty results, in part, from some limitations\\n\\ninherent to distribution models. For example, they do not incorporate\\nbiotic interactions that can influence a species'\\n\\ndistribution, and the abiotic conditions included in the model may\\nnot be the only ones necessary for accurately predicting\\n\\nan organism's geographic range. We review studies using both correlative\\nand mechanistic models to assess the\\n\\ndistribution of ant invasions to determine the state of knowledge\\non the topic, and also identify areas of future research\\n\\nrequired to understand the present-day and future consequences of\\nglobal warming on the distribution of invasive ants.", "author" : [ { "dropping-particle" : "", "family" : "Roura-Pascual", "given" : "N\u00faria", "non-dropping-particle" : "", "parse-names" : false, "suffix" : "" }, { "dropping-particle" : "", "family" : "Suarez", "given" : "Andrew", "non-dropping-particle" : "", "parse-names" : false, "suffix" : "" } ], "container-title" : "Myrmecol News", "id" : "ITEM-2", "issue" : "11", "issued" : { "date-parts" : [ [ "2008" ] ] }, "page" : "67-77", "title" : "The utility of species distribution models to predict the spread of invasive ants (Hymenoptera: Formicidae) and to anticipate changes in their ranges in the face of", "type" : "article-journal", "volume" : "11" }, "uris" : [ "http://www.mendeley.com/documents/?uuid=c14672cd-7843-4ab7-9aa8-11934bf0aa8b" ] }, { "id" : "ITEM-3", "itemData" : { "DOI" : "10.1016/j.jns.2003.09.014", "ISBN" : "0022-510X (Print)", "ISSN" : "0022510X", "PMID" : "14706220", "author" : [ { "dropping-particle" : "", "family" : "Urbina-Cardona", "given" : "J. Nicol\u00e1s", "non-dropping-particle" : "", "parse-names" : false, "suffix" : "" }, { "dropping-particle" : "", "family" : "Castro", "given" : "Fernando", "non-dropping-particle" : "", "parse-names" : false, "suffix" : "" } ], "container-title" : "Diversidad y Cambio Clim\u00e1tico", "id" : "ITEM-3", "issue" : "1", "issued" : { "date-parts" : [ [ "2010" ] ] }, "page" : "65-72", "title" : "Distribuci\u00f3n actual y futura de anfibios y reptiles con potencial invasor en Colombia: una aproximaci\u00f3n usando modelos de nicho ecol\u00f3gico", "type" : "article-journal", "volume" : "1" }, "uris" : [ "http://www.mendeley.com/documents/?uuid=414debb6-dcdc-4e23-8cff-1b7bbf50c105" ] } ], "mendeley" : { "formattedCitation" : "(Giovanelli et al., 2008; Roura-Pascual &amp; Suarez, 2008; Urbina-Cardona &amp; Castro, 2010)", "plainTextFormattedCitation" : "(Giovanelli et al., 2008; Roura-Pascual &amp; Suarez, 2008; Urbina-Cardona &amp; Castro, 2010)", "previouslyFormattedCitation" : "(Giovanelli et al., 2008; Roura-Pascual &amp; Suarez, 2008; Urbina-Cardona &amp; Castro, 2010)" }, "properties" : {  }, "schema" : "https://github.com/citation-style-language/schema/raw/master/csl-citation.json" }</w:instrText>
      </w:r>
      <w:r w:rsidRPr="008608AA">
        <w:fldChar w:fldCharType="separate"/>
      </w:r>
      <w:r w:rsidRPr="008608AA">
        <w:rPr>
          <w:noProof/>
        </w:rPr>
        <w:t>(Giovanelli et al., 2008; Roura-Pascual &amp; Suarez, 2008; Urbina-Cardona &amp; Castro, 2010)</w:t>
      </w:r>
      <w:r w:rsidRPr="008608AA">
        <w:fldChar w:fldCharType="end"/>
      </w:r>
      <w:r w:rsidRPr="008608AA">
        <w:t>. By 2050</w:t>
      </w:r>
      <w:r w:rsidR="00DD5AB3" w:rsidRPr="008608AA">
        <w:t>,</w:t>
      </w:r>
      <w:r w:rsidRPr="008608AA">
        <w:t xml:space="preserve"> </w:t>
      </w:r>
      <w:r w:rsidRPr="008608AA">
        <w:rPr>
          <w:i/>
        </w:rPr>
        <w:t>Hemidactylus brookii</w:t>
      </w:r>
      <w:r w:rsidRPr="008608AA">
        <w:t xml:space="preserve"> (now </w:t>
      </w:r>
      <w:r w:rsidRPr="008608AA">
        <w:rPr>
          <w:i/>
        </w:rPr>
        <w:t>H. angulatus</w:t>
      </w:r>
      <w:r w:rsidRPr="008608AA">
        <w:t xml:space="preserve">) and </w:t>
      </w:r>
      <w:r w:rsidRPr="008608AA">
        <w:rPr>
          <w:i/>
        </w:rPr>
        <w:t>Hemidactylus turcicus</w:t>
      </w:r>
      <w:r w:rsidRPr="008608AA">
        <w:t xml:space="preserve"> could increase their range by 72.6</w:t>
      </w:r>
      <w:r w:rsidR="00350A59" w:rsidRPr="008608AA">
        <w:t>% and 33.5% of Colombia’</w:t>
      </w:r>
      <w:r w:rsidRPr="008608AA">
        <w:t>s area, respectively.</w:t>
      </w:r>
    </w:p>
    <w:p w14:paraId="005CDC0B" w14:textId="77777777" w:rsidR="00490494" w:rsidRPr="008608AA" w:rsidRDefault="00490494" w:rsidP="0042035C">
      <w:pPr>
        <w:suppressAutoHyphens/>
      </w:pPr>
      <w:r w:rsidRPr="008608AA">
        <w:t xml:space="preserve">The most common indicator to measure human’s impacts on nature across the analyzed studies was deforestation, second was biodiversity loss. Although, the diversity of indicators was large among the analyzed studies. </w:t>
      </w:r>
    </w:p>
    <w:p w14:paraId="004CFFB2" w14:textId="77777777" w:rsidR="00350A59" w:rsidRPr="008608AA" w:rsidRDefault="00350A59" w:rsidP="0042035C">
      <w:pPr>
        <w:suppressAutoHyphens/>
      </w:pPr>
    </w:p>
    <w:p w14:paraId="057245A0" w14:textId="77777777" w:rsidR="00490494" w:rsidRPr="008608AA" w:rsidRDefault="00490494" w:rsidP="0042035C">
      <w:pPr>
        <w:suppressAutoHyphens/>
      </w:pPr>
      <w:r w:rsidRPr="008608AA">
        <w:t xml:space="preserve">With regards to indicators, the first group of studies used indicators of nature´s contribution to people such as freshwater quality, climate regulation, aesthetic values, value of biodiversity and resource availability. The value of ecosystem services and productivity were also found as indicators. Human well-being indicators were human vulnerability to natural disasters and dependency on ecosystem services. </w:t>
      </w:r>
    </w:p>
    <w:p w14:paraId="29CDDB87" w14:textId="77777777" w:rsidR="00350A59" w:rsidRPr="008608AA" w:rsidRDefault="00350A59" w:rsidP="0042035C">
      <w:pPr>
        <w:suppressAutoHyphens/>
        <w:rPr>
          <w:rFonts w:eastAsia="Droid Sans Fallback"/>
        </w:rPr>
      </w:pPr>
    </w:p>
    <w:p w14:paraId="0BE5C460" w14:textId="77777777" w:rsidR="00490494" w:rsidRPr="008608AA" w:rsidRDefault="00490494" w:rsidP="0042035C">
      <w:pPr>
        <w:suppressAutoHyphens/>
        <w:rPr>
          <w:rFonts w:eastAsia="Droid Sans Fallback"/>
        </w:rPr>
      </w:pPr>
      <w:r w:rsidRPr="008608AA">
        <w:t xml:space="preserve">The second group of studies used mostly monetary valuation of ecosystem services as an indicator. Typical economic indicators were land use and economic benefits of land use change as for example the shifts from agricultural to urban land use and cover </w:t>
      </w:r>
      <w:r w:rsidRPr="008608AA">
        <w:fldChar w:fldCharType="begin" w:fldLock="1"/>
      </w:r>
      <w:r w:rsidRPr="008608AA">
        <w:instrText>ADDIN CSL_CITATION { "citationItems" : [ { "id" : "ITEM-1", "itemData" : { "DOI" : "10.1007/s10021-012-9519-1", "ISBN" : "1432-9840", "ISSN" : "14329840", "abstract" : "In this study, three cities located in the U.S. Corn Belt are evaluated for impacts of past (1992-2001) and projected (2001-2030) urban expansion on ecosystem goods and services, with a specific focus on changes in energy balance, hydrology, and productivity. Scenarios for high-, medium- and low-density urban areas are simulated using a dynamic agro-ecosystem model (Agro-IBIS), by incorporating new parameterizations for impervious surfaces and turf grass. Moderate Resolution Imaging Spectroradiometer (MODIS) 500-m albedo data and remote sensing-derived 30-m resolution maps from the U.S. National Land Cover Database are used as model input to simulate biogeochemical, thermodynamic, and hydrological cycles for a range of land-cover types in each region. The results show that the expanding urban areas have a significant impact on each city's capacity to regulate climate and flooding. High-density urban areas, for instance, have soil surface temperatures up to 6A degrees C higher than soils within natural and managed ecosystems. Expansion of turf grass in residential areas could require an additional 8-105 million m(3) of water use annually, which increases runoff by 15-48% and reduces the capacity to respond/adapt to flooding. Finally, the analysis shows that net primary productivity (NPP) decreases as expected due to the removal of cropland, forests, and grasslands in favor of development, but increased urban turf grass provides an annual offset of 40-210 g C m(-2). Urban expansion through 2030 is estimated to lower total annual crop production by 8.1, 8.6, and 16.7% for the Madison, Peoria, and Indianapolis regions, respectively. Given current projections for city growth to exceed 2-3% per year in the north-central U.S., urban expansion across a nine-state region in the Corn Belt could potentially take an additional 210,000-310,000 ha of farmland out of production annually at a time when demand for food, fuel, and fiber is increasing. Because conversion of cropland to urban uses is nearly always unidirectional, any changes to ecosystem goods and services due to urbanization are likely to be permanent and irreversible.", "author" : [ { "dropping-particle" : "", "family" : "Schneider", "given" : "Annemarie", "non-dropping-particle" : "", "parse-names" : false, "suffix" : "" }, { "dropping-particle" : "", "family" : "Logan", "given" : "Kelly E.", "non-dropping-particle" : "", "parse-names" : false, "suffix" : "" }, { "dropping-particle" : "", "family" : "Kucharik", "given" : "Christopher J.", "non-dropping-particle" : "", "parse-names" : false, "suffix" : "" } ], "container-title" : "Ecosystems", "id" : "ITEM-1", "issue" : "4", "issued" : { "date-parts" : [ [ "2012" ] ] }, "page" : "519-541", "title" : "Impacts of Urbanization on Ecosystem Goods and Services in the U.S. Corn Belt", "type" : "article-journal", "volume" : "15" }, "uris" : [ "http://www.mendeley.com/documents/?uuid=9b9403d9-9943-49c0-bb2a-0f3de1ee5065" ] } ], "mendeley" : { "formattedCitation" : "(A. Schneider et al., 2012)", "plainTextFormattedCitation" : "(A. Schneider et al., 2012)", "previouslyFormattedCitation" : "(A. Schneider et al., 2012)" }, "properties" : {  }, "schema" : "https://github.com/citation-style-language/schema/raw/master/csl-citation.json" }</w:instrText>
      </w:r>
      <w:r w:rsidRPr="008608AA">
        <w:fldChar w:fldCharType="separate"/>
      </w:r>
      <w:r w:rsidRPr="008608AA">
        <w:rPr>
          <w:noProof/>
        </w:rPr>
        <w:t>(Schneider et al., 2012)</w:t>
      </w:r>
      <w:r w:rsidRPr="008608AA">
        <w:fldChar w:fldCharType="end"/>
      </w:r>
      <w:r w:rsidRPr="008608AA">
        <w:t xml:space="preserve">. </w:t>
      </w:r>
    </w:p>
    <w:p w14:paraId="08AB5009" w14:textId="77777777" w:rsidR="00490494" w:rsidRPr="008608AA" w:rsidRDefault="00490494" w:rsidP="0042035C">
      <w:pPr>
        <w:suppressAutoHyphens/>
        <w:rPr>
          <w:b/>
        </w:rPr>
      </w:pPr>
      <w:r w:rsidRPr="008608AA">
        <w:t>The third group of studies mostly presented ecological indicators such as change in forest cover and connectivity, deforestation dynamics, species distribution, biodiversity, carbon storage and emissions, change in species compositions and abundance, and effects of anthropogenic activity on nature, such as water quality.</w:t>
      </w:r>
      <w:r w:rsidRPr="008608AA">
        <w:rPr>
          <w:b/>
        </w:rPr>
        <w:t xml:space="preserve"> </w:t>
      </w:r>
    </w:p>
    <w:p w14:paraId="0A941796" w14:textId="77777777" w:rsidR="00350A59" w:rsidRPr="008608AA" w:rsidRDefault="00350A59" w:rsidP="0042035C">
      <w:pPr>
        <w:suppressAutoHyphens/>
        <w:rPr>
          <w:rFonts w:eastAsia="Droid Sans Fallback"/>
        </w:rPr>
      </w:pPr>
    </w:p>
    <w:p w14:paraId="2F2A1C8F" w14:textId="77777777" w:rsidR="00490494" w:rsidRPr="008608AA" w:rsidRDefault="00490494" w:rsidP="0042035C">
      <w:pPr>
        <w:suppressAutoHyphens/>
      </w:pPr>
      <w:r w:rsidRPr="008608AA">
        <w:t>Among the studies, the most common trends linked to the “economy prevails” archetype</w:t>
      </w:r>
      <w:r w:rsidRPr="008608AA" w:rsidDel="00DA4A85">
        <w:t xml:space="preserve"> </w:t>
      </w:r>
      <w:r w:rsidRPr="008608AA">
        <w:t>were biodiversity loss due to agriculture or forestry and the negative impacts of urbanization. The positive impacts of more strict environmental conservation legislation found in the studies can be linked to the “policy reform and great transition” archetypes.</w:t>
      </w:r>
    </w:p>
    <w:p w14:paraId="3B7B2E62" w14:textId="77777777" w:rsidR="00350A59" w:rsidRPr="008608AA" w:rsidRDefault="00350A59" w:rsidP="0042035C">
      <w:pPr>
        <w:suppressAutoHyphens/>
        <w:rPr>
          <w:rFonts w:eastAsia="Droid Sans Fallback"/>
        </w:rPr>
      </w:pPr>
    </w:p>
    <w:p w14:paraId="6356B328" w14:textId="77777777" w:rsidR="00350A59" w:rsidRPr="008608AA" w:rsidRDefault="00490494" w:rsidP="0042035C">
      <w:pPr>
        <w:suppressAutoHyphens/>
      </w:pPr>
      <w:r w:rsidRPr="008608AA">
        <w:t xml:space="preserve">Studies showed very clear negative effects on nature by urbanization, intensified agriculture </w:t>
      </w:r>
      <w:r w:rsidRPr="008608AA">
        <w:fldChar w:fldCharType="begin" w:fldLock="1"/>
      </w:r>
      <w:r w:rsidRPr="008608AA">
        <w:instrText>ADDIN CSL_CITATION { "citationItems" : [ { "id" : "ITEM-1", "itemData" : { "ISBN" : "1605-2528", "author" : [ { "dropping-particle" : "", "family" : "M\u00fcller", "given" : "Robert", "non-dropping-particle" : "", "parse-names" : false, "suffix" : "" }, { "dropping-particle" : "", "family" : "Larrea-Alc\u00e1zar", "given" : "Daniel M.", "non-dropping-particle" : "", "parse-names" : false, "suffix" : "" }, { "dropping-particle" : "", "family" : "Cu\u00e9llar", "given" : "Saul", "non-dropping-particle" : "", "parse-names" : false, "suffix" : "" }, { "dropping-particle" : "", "family" : "Espinoza", "given" : "Sara", "non-dropping-particle" : "", "parse-names" : false, "suffix" : "" } ], "container-title" : "Ecolog\u00eda en Bolivia", "id" : "ITEM-1", "issue" : "1", "issued" : { "date-parts" : [ [ "2014" ] ] }, "page" : "20-34", "title" : "Causas directas de la deforestaci\u00f3n reciente (2000-2010) y modelado de dos escenarios futuros en las tierras bajas de Bolivia lowlands and modeling of future scenarios", "type" : "article-journal", "volume" : "49" }, "uris" : [ "http://www.mendeley.com/documents/?uuid=8ca27462-90dd-4575-aca9-36e2eec1d9df" ] }, { "id" : "ITEM-2", "itemData" : { "DOI" : "10.1073/pnas.1406485112", "ISBN" : "0027-8424", "ISSN" : "0027-8424", "PMID" : "26082547", "abstract" : "The agricultural expansion and intensification required to meet growing food and agri-based product demand present important challenges to future levels and management of biodiversity and ecosystem services. Influential actors such as corporations, governments, and multilateral organizations have made commitments to meeting future agricultural demand sustainably and preserving critical ecosystems. Current approaches to predicting the impacts of agricultural expansion involve calculation of total land conversion and assessment of the impacts on biodiversity or ecosystem services on a per-area basis, generally assuming a linear relationship between impact and land area. However, the impacts of continuing land development are often not linear and can vary considerably with spatial configuration. We demonstrate what could be gained by spatially explicit analysis of agricultural expansion at a large scale compared with the simple measure of total area converted, with a focus on the impacts on biodiversity and carbon storage. Using simple modeling approaches for two regions of Brazil, we find that for the same amount of land conversion, the declines in biodiversity and carbon storage can vary two- to fourfold depending on the spatial pattern of conversion. Impacts increase most rapidly in the earliest stages of agricultural expansion and are more pronounced in scenarios where conversion occurs in forest interiors compared with expansion into forests from their edges. This study reveals the importance of spatially explicit information in the assessment of land-use change impacts and for future land management and conservation.", "author" : [ { "dropping-particle" : "", "family" : "Chaplin-Kramer", "given" : "Rebecca", "non-dropping-particle" : "", "parse-names" : false, "suffix" : "" }, { "dropping-particle" : "", "family" : "Sharp", "given" : "Richard P", "non-dropping-particle" : "", "parse-names" : false, "suffix" : "" }, { "dropping-particle" : "", "family" : "Mandle", "given" : "Lisa", "non-dropping-particle" : "", "parse-names" : false, "suffix" : "" }, { "dropping-particle" : "", "family" : "Sim", "given" : "Sarah", "non-dropping-particle" : "", "parse-names" : false, "suffix" : "" }, { "dropping-particle" : "", "family" : "Johnson", "given" : "Justin", "non-dropping-particle" : "", "parse-names" : false, "suffix" : "" }, { "dropping-particle" : "", "family" : "Butnar", "given" : "Isabela", "non-dropping-particle" : "", "parse-names" : false, "suffix" : "" }, { "dropping-particle" : "", "family" : "Mil\u00e0 i Canals", "given" : "Lloren\u00e7", "non-dropping-particle" : "", "parse-names" : false, "suffix" : "" }, { "dropping-particle" : "", "family" : "Eichelberger", "given" : "Bradley A", "non-dropping-particle" : "", "parse-names" : false, "suffix" : "" }, { "dropping-particle" : "", "family" : "Ramler", "given" : "Ivan", "non-dropping-particle" : "", "parse-names" : false, "suffix" : "" }, { "dropping-particle" : "", "family" : "Mueller", "given" : "Carina", "non-dropping-particle" : "", "parse-names" : false, "suffix" : "" }, { "dropping-particle" : "", "family" : "McLachlan", "given" : "Nikolaus", "non-dropping-particle" : "", "parse-names" : false, "suffix" : "" }, { "dropping-particle" : "", "family" : "Yousefi", "given" : "Anahita", "non-dropping-particle" : "", "parse-names" : false, "suffix" : "" }, { "dropping-particle" : "", "family" : "King", "given" : "Henry", "non-dropping-particle" : "", "parse-names" : false, "suffix" : "" }, { "dropping-particle" : "", "family" : "Kareiva", "given" : "Peter M", "non-dropping-particle" : "", "parse-names" : false, "suffix" : "" } ], "container-title" : "Proceedings of the National Academy of Sciences", "id" : "ITEM-2", "issue" : "24", "issued" : { "date-parts" : [ [ "2015" ] ] }, "page" : "7402-7407", "title" : "Spatial patterns of agricultural expansion determine impacts on biodiversity and carbon storage", "type" : "article-journal", "volume" : "112" }, "uris" : [ "http://www.mendeley.com/documents/?uuid=7a83c48e-5bd1-42df-b43d-692686b39418" ] } ], "mendeley" : { "formattedCitation" : "(Chaplin-Kramer et al., 2015; M\u00fcller et al., 2014)", "plainTextFormattedCitation" : "(Chaplin-Kramer et al., 2015; M\u00fcller et al., 2014)", "previouslyFormattedCitation" : "(Chaplin-Kramer et al., 2015; M\u00fcller et al., 2014)" }, "properties" : {  }, "schema" : "https://github.com/citation-style-language/schema/raw/master/csl-citation.json" }</w:instrText>
      </w:r>
      <w:r w:rsidRPr="008608AA">
        <w:fldChar w:fldCharType="separate"/>
      </w:r>
      <w:r w:rsidRPr="008608AA">
        <w:rPr>
          <w:noProof/>
        </w:rPr>
        <w:t>(Chaplin-Kramer et al., 2015; Müller et al., 2014)</w:t>
      </w:r>
      <w:r w:rsidRPr="008608AA">
        <w:fldChar w:fldCharType="end"/>
      </w:r>
      <w:r w:rsidRPr="008608AA">
        <w:t xml:space="preserve"> and forestry, energy production and climate change. However, by changing to sustainable agricultural practices, productivity could be increased with less impact to biodiversity </w:t>
      </w:r>
      <w:r w:rsidRPr="008608AA">
        <w:fldChar w:fldCharType="begin" w:fldLock="1"/>
      </w:r>
      <w:r w:rsidRPr="008608AA">
        <w:instrText>ADDIN CSL_CITATION { "citationItems" : [ { "id" : "ITEM-1", "itemData" : { "DOI" : "10.1016/j.landusepol.2014.01.007", "ISSN" : "02648377", "abstract" : "National and transboundary adverse effects of competition for land are being increasingly recognized by researchers and decision-makers, however the consideration of these impacts within national planning strategies is not yet commonplace. To estimate how increasing agricultural production can be conciliated with protection of natural resources at the national scale, we analyzed current land use in Suriname, and investigated opportunities for, and constraints to developing a sustainable agricultural sector.Suriname is a remarkable case study. To date, Suriname has retained most of its natural resources with forest areas covering over 90% of the country. Surinamese forests combine extremely high levels of both biodiversity and carbon, making them top priority from a global ecosystem services perspective. Among other national and international pressures from increased demand for agricultural products, the country is also considering significant expansion of agricultural output to both diminish imports and become a 'bread basket' for the Caribbean region, which collectively may pose risks to natural resources.In this study, combining locally-obtained primary data, expert consultation and secondary data from the Food and Agriculture Organization we analyzed a range of scenarios, we show the complexities associated with current land management and we discuss alternatives for developing a sustainable agricultural sector in Suriname. We show that Suriname can increase the production of rice, which is the most important agricultural activity in the country, without expanding rice area. Rather, future increase in rice production could be promoted through an increase in rice productivity, and the employment of more environmentally-favorable management methods, in order to both diminish pollution and avoid encroachment of the agriculture into pristine areas. Further, we show a potential to both contribute to greening of the agricultural sector and to higher economic returns through expanding the production of 'safe food' and through possible development of organic agriculture in Suriname.If Suriname develops a 'greener' agricultural sector, it may both increase economic returns from the agricultural sector and benefit from continuing protection of natural resources. Because most of Suriname forests present top levels of carbon and biodiversity, the country could benefit from so-called 'early-action' Reducing Emissions from Deforestation and Forest Degradation (RED\u2026", "author" : [ { "dropping-particle" : "", "family" : "Latawiec", "given" : "Agnieszka Ewa", "non-dropping-particle" : "", "parse-names" : false, "suffix" : "" }, { "dropping-particle" : "", "family" : "Strassburg", "given" : "Bernardo B N", "non-dropping-particle" : "", "parse-names" : false, "suffix" : "" }, { "dropping-particle" : "", "family" : "Rodriguez", "given" : "Ana Maria", "non-dropping-particle" : "", "parse-names" : false, "suffix" : "" }, { "dropping-particle" : "", "family" : "Matt", "given" : "Elah", "non-dropping-particle" : "", "parse-names" : false, "suffix" : "" }, { "dropping-particle" : "", "family" : "Nijbroek", "given" : "Ravic", "non-dropping-particle" : "", "parse-names" : false, "suffix" : "" }, { "dropping-particle" : "", "family" : "Silos", "given" : "Maureen", "non-dropping-particle" : "", "parse-names" : false, "suffix" : "" } ], "container-title" : "Land Use Policy", "id" : "ITEM-1", "issue" : "38", "issued" : { "date-parts" : [ [ "2014" ] ] }, "page" : "627-636", "publisher" : "Elsevier Ltd", "title" : "Suriname: Reconciling agricultural development and conservation of unique natural wealth", "type" : "article-journal", "volume" : "38" }, "uris" : [ "http://www.mendeley.com/documents/?uuid=d6211d4a-9527-4d6d-abf4-6103ce49d15b" ] } ], "mendeley" : { "formattedCitation" : "(Latawiec et al., 2014)", "plainTextFormattedCitation" : "(Latawiec et al., 2014)", "previouslyFormattedCitation" : "(Latawiec et al., 2014)" }, "properties" : {  }, "schema" : "https://github.com/citation-style-language/schema/raw/master/csl-citation.json" }</w:instrText>
      </w:r>
      <w:r w:rsidRPr="008608AA">
        <w:fldChar w:fldCharType="separate"/>
      </w:r>
      <w:r w:rsidRPr="008608AA">
        <w:rPr>
          <w:noProof/>
        </w:rPr>
        <w:t>(Latawiec et al., 2014)</w:t>
      </w:r>
      <w:r w:rsidRPr="008608AA">
        <w:fldChar w:fldCharType="end"/>
      </w:r>
      <w:r w:rsidRPr="008608AA">
        <w:t xml:space="preserve">. One important recommendation found is that in political processes, the relationship between political dynamics and economic processes, communication and early stakeholder engagement as well as more equitable access to ecosystem services should be addressed by decision makers </w:t>
      </w:r>
      <w:r w:rsidRPr="008608AA">
        <w:fldChar w:fldCharType="begin" w:fldLock="1"/>
      </w:r>
      <w:r w:rsidRPr="008608AA">
        <w:instrText>ADDIN CSL_CITATION { "citationItems" : [ { "id" : "ITEM-1", "itemData" : { "DOI" : "10.1016/j.landusepol.2015.08.032", "ISSN" : "02648377", "abstract" : "In this study, we combined policy analysis with landscape change modeling to simulate outcomes of alternative forest conservation instruments proposed by opposing policy coalitions. In 1992, concern over rapid land conversion to timber plantations (Pinus radiata and Eucalyptus spp.) in Chile gave rise to a protracted policy process resulting in the 2008 Native Forest Law (NFL), which subsidizes reforestation and management with native forest. To date, however, NFL has had little impact on native forest conservation. To understand how the policy process that created the NFL shaped its outcomes, we employed the Dyna-CLUE modeling approach to simulate land use changes in south-central Chile from 1993 to 2007, based on 3 scenarios: (1) enactment of NFL in 1993 when the law was originally debated, and the different configurations of subsidies and regulations proposed in the NFL policy debate by (2) the industrial forestry coalition and (3) the forest conservation coalition. We observed no major difference in native forest loss between simulated outcomes of the industry-advocated policy and the actual NFL legislation. The conservation coalition\u2019s policy scenario increased native forest area, primarily in shrub steppe areas, but also via conversion of pine plantations if incentive payments were large enough. However, NFL payments are inadequate to make native forest management a viable economic land use alternative to industrial pine plantations, which are also subsidized in Chile. Gains in native forest cover occurred mostly on lands under ancestral indigenous claims (unrelated to the discussion of the NFL). We conclude that the NFL, even if enacted in 1993, would have been ineffective in preventing native forest loss, because tree plantations are more profitable and NFL regulations were weakened by the industrial coalition that opposed\u2014and strongly shaped\u2014the final legislation. Effective incentives for protecting early-successional forests and shrublands are needed to mitigate further losses and foster recovery of Chile\u2019s native forests.", "author" : [ { "dropping-particle" : "", "family" : "Manuschevich", "given" : "Daniela", "non-dropping-particle" : "", "parse-names" : false, "suffix" : "" }, { "dropping-particle" : "", "family" : "Beier", "given" : "Colin M.", "non-dropping-particle" : "", "parse-names" : false, "suffix" : "" } ], "container-title" : "Land Use Policy", "id" : "ITEM-1", "issued" : { "date-parts" : [ [ "2016", "2" ] ] }, "page" : "350-362", "publisher" : "Elsevier Ltd", "title" : "Simulating land use changes under alternative policy scenarios for conservation of native forests in south-central Chile", "type" : "article-journal", "volume" : "51" }, "uris" : [ "http://www.mendeley.com/documents/?uuid=6a190e6f-4e0e-450c-882c-cab48b41b65a" ] }, { "id" : "ITEM-2", "itemData" : { "DOI" : "10.1016/j.envsci.2014.03.003", "ISSN" : "14629011", "abstract" : "The definition of a common vision that includes social and environmental goals, ecosystem services and/or biodiversity features that people are interested in maintaining or restoring is a great challenge for marine protected areas (MPAs). Recent initiatives have promoted broadening the focus from biodiversity conservation alone to the conservation of both ecosystem services and biodiversity, indicating that this integration should improve support and compliance from stakeholders. Using a Multiple-Use Coastal Marine Protected Area recently proposed in northern Chile, we investigated (i) stakeholders\u2019 perceptions of the valuation of ecosystem services, threats to their provision, and the prioritization of ecosystem services, biodiversity features, and uses in a planning scenario, and (ii) stakeholders\u2019 expectations for the establishment of a new MPA. The perceptions of different groups of stakeholders were compared and statistically analyzed, and the relationships among prioritizations were studied using a network approach. Stakeholders identified and valued 13 ecosystem services, 28 biodiversity features, 20 uses and activities, and 22 threats. Significant differences among the valuations and prioritizations of different stakeholder groups were attributable principally to artisanal fishermen's perceptions of some components that are directly related to their activities and livelihoods. High expectations of benefits from a new MPA implementation were observed for all categories of stakeholders. To relate the different valuated components, we proposed a network-based conceptual model that reduces complexity, and also as a strategy to communicate relationships and trade-offs occurring in this particular social\u2013ecological system to the several stakeholders. We strongly recommend early stakeholder engagement so as to understand the variability in environmental perceptions and then reflect that variation in the planning and management actions of MPAs, thus improving support for their implementation and achieving conservation and societal goals. Our findings indicate that stakeholders\u2019 perceptions and prioritizations of ecosystem services, biodiversity features and uses should be used as the basis for starting the MPA implementation and planning process.", "author" : [ { "dropping-particle" : "", "family" : "C\u00e1rcamo", "given" : "P.F.", "non-dropping-particle" : "", "parse-names" : false, "suffix" : "" }, { "dropping-particle" : "", "family" : "Garay-Fl\u00fchmann", "given" : "R.", "non-dropping-particle" : "", "parse-names" : false, "suffix" : "" }, { "dropping-particle" : "", "family" : "Squeo", "given" : "F.A.", "non-dropping-particle" : "", "parse-names" : false, "suffix" : "" }, { "dropping-particle" : "", "family" : "Gaymer", "given" : "C.F.", "non-dropping-particle" : "", "parse-names" : false, "suffix" : "" } ], "container-title" : "Environmental Science &amp; Policy", "id" : "ITEM-2", "issue" : "40", "issued" : { "date-parts" : [ [ "2014", "6" ] ] }, "page" : "116-131", "title" : "Using stakeholders\u2019 perspective of ecosystem services and biodiversity features to plan a marine protected area", "type" : "article-journal", "volume" : "40" }, "uris" : [ "http://www.mendeley.com/documents/?uuid=4078d4eb-5d4b-47ce-b0cd-0aa5bb2b9680" ] } ], "mendeley" : { "formattedCitation" : "(C\u00e1rcamo et al., 2014; Manuschevich &amp; Beier, 2016)", "plainTextFormattedCitation" : "(C\u00e1rcamo et al., 2014; Manuschevich &amp; Beier, 2016)", "previouslyFormattedCitation" : "(C\u00e1rcamo et al., 2014; Manuschevich &amp; Beier, 2016)" }, "properties" : {  }, "schema" : "https://github.com/citation-style-language/schema/raw/master/csl-citation.json" }</w:instrText>
      </w:r>
      <w:r w:rsidRPr="008608AA">
        <w:fldChar w:fldCharType="separate"/>
      </w:r>
      <w:r w:rsidRPr="008608AA">
        <w:rPr>
          <w:noProof/>
        </w:rPr>
        <w:t>(Cárcamo et al., 2014; Manuschevich &amp; Beier, 2016)</w:t>
      </w:r>
      <w:r w:rsidRPr="008608AA">
        <w:fldChar w:fldCharType="end"/>
      </w:r>
      <w:r w:rsidRPr="008608AA">
        <w:t>.</w:t>
      </w:r>
    </w:p>
    <w:p w14:paraId="7D966D61" w14:textId="1023EE6F" w:rsidR="00490494" w:rsidRPr="008608AA" w:rsidRDefault="00490494" w:rsidP="0042035C">
      <w:pPr>
        <w:suppressAutoHyphens/>
      </w:pPr>
      <w:r w:rsidRPr="008608AA">
        <w:t xml:space="preserve"> </w:t>
      </w:r>
    </w:p>
    <w:p w14:paraId="1B10D062" w14:textId="5223C842" w:rsidR="00350A59" w:rsidRDefault="00490494" w:rsidP="0042035C">
      <w:pPr>
        <w:suppressAutoHyphens/>
        <w:rPr>
          <w:rFonts w:eastAsia="MS Mincho"/>
        </w:rPr>
      </w:pPr>
      <w:r w:rsidRPr="008608AA">
        <w:t xml:space="preserve">In summary, the biggest challenge </w:t>
      </w:r>
      <w:r w:rsidRPr="008608AA">
        <w:rPr>
          <w:rFonts w:eastAsia="MS Mincho"/>
        </w:rPr>
        <w:t xml:space="preserve">informing regional futures of nature and nature’s contribution to people from local studies is that the limited number of studies, different methodologies and heterogeneity (in terms of indicators, drivers and trends) produce a number of different results. This makes scalability (from local to regional) a challenge yet to overcome. There is a clear need for the production of comparable studies at the local level that can aid to better understand the region. Narratives scenarios at the local scale, similar to the ones developed by the </w:t>
      </w:r>
      <w:r w:rsidRPr="008608AA">
        <w:t>Global Environmental Outlook-6</w:t>
      </w:r>
      <w:r w:rsidRPr="008608AA">
        <w:rPr>
          <w:rFonts w:eastAsia="MS Mincho"/>
        </w:rPr>
        <w:t xml:space="preserve"> for Latin America and the Caribbean, could well bridge this gap. Despite current scarcity of such studies, it was possible to draw preliminary findings on how the region can be informed through local studies. For example, the presence of agriculture expansion leading to loss in biodiversity illustrates a common trend from various local studies suggesting plausible scalability.</w:t>
      </w:r>
    </w:p>
    <w:p w14:paraId="41C65AA7" w14:textId="65B38134" w:rsidR="00360ADC" w:rsidRDefault="00360ADC" w:rsidP="0042035C">
      <w:pPr>
        <w:suppressAutoHyphens/>
        <w:rPr>
          <w:rFonts w:eastAsia="MS Mincho"/>
        </w:rPr>
      </w:pPr>
    </w:p>
    <w:p w14:paraId="32708C39" w14:textId="77777777" w:rsidR="00360ADC" w:rsidRPr="008608AA" w:rsidRDefault="00360ADC" w:rsidP="0042035C">
      <w:pPr>
        <w:suppressAutoHyphens/>
        <w:rPr>
          <w:rFonts w:eastAsia="MS Mincho"/>
        </w:rPr>
      </w:pPr>
    </w:p>
    <w:p w14:paraId="0EEF191E" w14:textId="6F16FD0A" w:rsidR="00490494" w:rsidRPr="008608AA" w:rsidRDefault="00490494" w:rsidP="0042035C">
      <w:pPr>
        <w:suppressAutoHyphens/>
        <w:rPr>
          <w:rFonts w:eastAsia="MS Mincho"/>
        </w:rPr>
      </w:pPr>
      <w:r w:rsidRPr="008608AA">
        <w:rPr>
          <w:rFonts w:eastAsia="MS Mincho"/>
        </w:rPr>
        <w:t xml:space="preserve"> </w:t>
      </w:r>
    </w:p>
    <w:p w14:paraId="05A33AF1" w14:textId="77777777" w:rsidR="00490494" w:rsidRPr="008608AA" w:rsidRDefault="00490494" w:rsidP="0042035C">
      <w:pPr>
        <w:suppressAutoHyphens/>
        <w:rPr>
          <w:rFonts w:eastAsia="MS Mincho"/>
        </w:rPr>
      </w:pPr>
      <w:r w:rsidRPr="008608AA">
        <w:rPr>
          <w:rFonts w:eastAsia="MS Mincho"/>
        </w:rPr>
        <w:t>In conclusion, there are two major issues that emerge:</w:t>
      </w:r>
    </w:p>
    <w:p w14:paraId="374858E3" w14:textId="77777777" w:rsidR="00350A59" w:rsidRPr="008608AA" w:rsidRDefault="00350A59" w:rsidP="0042035C">
      <w:pPr>
        <w:suppressAutoHyphens/>
        <w:rPr>
          <w:rFonts w:eastAsia="MS Mincho"/>
        </w:rPr>
      </w:pPr>
    </w:p>
    <w:p w14:paraId="7F588803" w14:textId="77777777" w:rsidR="00350A59" w:rsidRPr="008608AA" w:rsidRDefault="00490494" w:rsidP="0042035C">
      <w:pPr>
        <w:suppressAutoHyphens/>
        <w:rPr>
          <w:rFonts w:eastAsia="MS Mincho"/>
        </w:rPr>
      </w:pPr>
      <w:r w:rsidRPr="008608AA">
        <w:rPr>
          <w:rFonts w:eastAsia="MS Mincho"/>
        </w:rPr>
        <w:t>(1) Although models can be a powerful tool to integrate and synthesize the complex dynamics of coupled human and nature systems, a major gap on modeling and scenarios, identified from the literature review is related to the lack of studies integrating changes in nature with changes in NCP and good quality of life. Consequently, the complexity of these interactions and feedbacks are still not fully represented in the models.</w:t>
      </w:r>
    </w:p>
    <w:p w14:paraId="6218D503" w14:textId="0266DB25" w:rsidR="00490494" w:rsidRPr="008608AA" w:rsidRDefault="00490494" w:rsidP="0042035C">
      <w:pPr>
        <w:suppressAutoHyphens/>
        <w:rPr>
          <w:rFonts w:eastAsia="MS Mincho"/>
        </w:rPr>
      </w:pPr>
      <w:r w:rsidRPr="008608AA">
        <w:rPr>
          <w:rFonts w:eastAsia="MS Mincho"/>
        </w:rPr>
        <w:t xml:space="preserve"> </w:t>
      </w:r>
    </w:p>
    <w:p w14:paraId="6DB0CD65" w14:textId="5C192F17" w:rsidR="00490494" w:rsidRPr="008608AA" w:rsidRDefault="00490494" w:rsidP="0042035C">
      <w:pPr>
        <w:suppressAutoHyphens/>
        <w:rPr>
          <w:rFonts w:eastAsia="MS Mincho"/>
        </w:rPr>
      </w:pPr>
      <w:r w:rsidRPr="008608AA">
        <w:rPr>
          <w:rFonts w:eastAsia="MS Mincho"/>
        </w:rPr>
        <w:t>(2) The second i</w:t>
      </w:r>
      <w:r w:rsidR="00350A59" w:rsidRPr="008608AA">
        <w:rPr>
          <w:rFonts w:eastAsia="MS Mincho"/>
        </w:rPr>
        <w:t>ssue to point out regarding the</w:t>
      </w:r>
      <w:r w:rsidRPr="008608AA">
        <w:rPr>
          <w:rFonts w:eastAsia="MS Mincho"/>
        </w:rPr>
        <w:t xml:space="preserve"> current understanding of the relation between human and nature through modeling and  future scenarios, concerns the scale and feedbacks considered in the analysis. Global models represent quite well broad trends and analysis, however, there remains a gap in downscaling this information and the feedback from the global approach to the regional and local: a gap to be filled in the future. As well, local</w:t>
      </w:r>
      <w:r w:rsidR="00350A59" w:rsidRPr="008608AA">
        <w:rPr>
          <w:rFonts w:eastAsia="MS Mincho"/>
        </w:rPr>
        <w:t xml:space="preserve"> studies, representing specific</w:t>
      </w:r>
      <w:r w:rsidRPr="008608AA">
        <w:rPr>
          <w:rFonts w:eastAsia="MS Mincho"/>
        </w:rPr>
        <w:t xml:space="preserve"> trends in a specific unit of analysis is not frequently upscaled to larger areas. Within this same logic, issues of telecoupling are not well represented either.</w:t>
      </w:r>
    </w:p>
    <w:p w14:paraId="21623840" w14:textId="77777777" w:rsidR="0042035C" w:rsidRPr="008608AA" w:rsidRDefault="0042035C" w:rsidP="0042035C">
      <w:pPr>
        <w:suppressAutoHyphens/>
        <w:rPr>
          <w:rFonts w:eastAsia="MS Mincho"/>
        </w:rPr>
      </w:pPr>
    </w:p>
    <w:p w14:paraId="32C49ED1" w14:textId="40A25E8F" w:rsidR="003F27A4" w:rsidRPr="008608AA" w:rsidRDefault="003F27A4" w:rsidP="0042035C">
      <w:pPr>
        <w:pStyle w:val="Heading2"/>
      </w:pPr>
      <w:bookmarkStart w:id="1897" w:name="_Toc466995083"/>
      <w:bookmarkStart w:id="1898" w:name="_Toc466995084"/>
      <w:bookmarkStart w:id="1899" w:name="_Toc466995073"/>
      <w:bookmarkStart w:id="1900" w:name="_Toc466995074"/>
      <w:bookmarkStart w:id="1901" w:name="_Toc466995075"/>
      <w:bookmarkStart w:id="1902" w:name="_Toc466995081"/>
      <w:bookmarkStart w:id="1903" w:name="_Toc466995085"/>
      <w:bookmarkStart w:id="1904" w:name="_Toc502953631"/>
      <w:bookmarkStart w:id="1905" w:name="_Toc502954924"/>
      <w:bookmarkStart w:id="1906" w:name="_Toc502957731"/>
      <w:bookmarkStart w:id="1907" w:name="_Toc502957930"/>
      <w:bookmarkStart w:id="1908" w:name="_Toc502958084"/>
      <w:bookmarkStart w:id="1909" w:name="_Toc503293153"/>
      <w:bookmarkStart w:id="1910" w:name="_Toc503293751"/>
      <w:bookmarkStart w:id="1911" w:name="_Toc503294013"/>
      <w:bookmarkStart w:id="1912" w:name="_Toc503863406"/>
      <w:bookmarkStart w:id="1913" w:name="_Toc503863634"/>
      <w:bookmarkStart w:id="1914" w:name="_Toc517393400"/>
      <w:bookmarkStart w:id="1915" w:name="_Toc517719141"/>
      <w:bookmarkStart w:id="1916" w:name="_Toc517797098"/>
      <w:bookmarkEnd w:id="1893"/>
      <w:bookmarkEnd w:id="1897"/>
      <w:bookmarkEnd w:id="1898"/>
      <w:bookmarkEnd w:id="1899"/>
      <w:bookmarkEnd w:id="1900"/>
      <w:bookmarkEnd w:id="1901"/>
      <w:bookmarkEnd w:id="1902"/>
      <w:bookmarkEnd w:id="1903"/>
      <w:r w:rsidRPr="008608AA">
        <w:rPr>
          <w:lang w:val="en-AU"/>
        </w:rPr>
        <w:t xml:space="preserve">Informing the future </w:t>
      </w:r>
      <w:r w:rsidRPr="008608AA">
        <w:t xml:space="preserve">from regional studies: Focal issues within </w:t>
      </w:r>
      <w:r w:rsidR="004C33B7" w:rsidRPr="008608AA">
        <w:t>u</w:t>
      </w:r>
      <w:r w:rsidRPr="008608AA">
        <w:t xml:space="preserve">nits of </w:t>
      </w:r>
      <w:r w:rsidR="004C33B7" w:rsidRPr="008608AA">
        <w:t>a</w:t>
      </w:r>
      <w:r w:rsidRPr="008608AA">
        <w:t>nalysis</w:t>
      </w:r>
      <w:bookmarkEnd w:id="1904"/>
      <w:bookmarkEnd w:id="1905"/>
      <w:bookmarkEnd w:id="1906"/>
      <w:bookmarkEnd w:id="1907"/>
      <w:bookmarkEnd w:id="1908"/>
      <w:bookmarkEnd w:id="1909"/>
      <w:bookmarkEnd w:id="1910"/>
      <w:bookmarkEnd w:id="1911"/>
      <w:bookmarkEnd w:id="1912"/>
      <w:bookmarkEnd w:id="1913"/>
      <w:r w:rsidR="008E19EF" w:rsidRPr="008608AA">
        <w:t xml:space="preserve"> and other ecological systems</w:t>
      </w:r>
      <w:bookmarkEnd w:id="1914"/>
      <w:bookmarkEnd w:id="1915"/>
      <w:bookmarkEnd w:id="1916"/>
    </w:p>
    <w:p w14:paraId="6EE5E626" w14:textId="671F8408" w:rsidR="006362EA" w:rsidRPr="008608AA" w:rsidRDefault="00490494" w:rsidP="0042035C">
      <w:pPr>
        <w:suppressAutoHyphens/>
        <w:rPr>
          <w:rFonts w:eastAsia="Droid Sans Fallback"/>
        </w:rPr>
      </w:pPr>
      <w:r w:rsidRPr="008608AA">
        <w:rPr>
          <w:rFonts w:eastAsia="Droid Sans Fallback"/>
        </w:rPr>
        <w:t xml:space="preserve">This section presents syntheses of the information contained in Chapters 2, 3, and 4; focusing on key issues within the IPBES framework. As it is not possible to comprehensively consider all of the units of analysis within each subregion, </w:t>
      </w:r>
      <w:r w:rsidR="008E19EF" w:rsidRPr="008608AA">
        <w:rPr>
          <w:rFonts w:eastAsia="Droid Sans Fallback"/>
        </w:rPr>
        <w:t xml:space="preserve">and that the units of analysis do not address some commonly recognized socioecological systems important in the Americas, </w:t>
      </w:r>
      <w:r w:rsidRPr="008608AA">
        <w:rPr>
          <w:rFonts w:eastAsia="Droid Sans Fallback"/>
        </w:rPr>
        <w:t>we present the information at the regional level, and in the narratives, we concentrate on specific issues that we feel are illustrative of the issues in general. With respect to the information contained in the figures based on the IPBES framework, for NCP, indirect drivers, and direct drivers, the primary bullet items follow the nomenclature and taxonomy of the issues as presented in Chapters 2, 3, and 4. However, for the sub-bullets, as well as the boxes corresponding to quality of life, anthropogenic assets, and nature, we used the terminology as cited or interpreted from the literature. While this results in a profusion of terms, it also gives a sense of the lack of consistency in describing drivers and NCP in the literature; we felt this appropriate in order to convey the many ways that these factors are viewed and referred to.</w:t>
      </w:r>
      <w:r w:rsidR="006362EA" w:rsidRPr="008608AA">
        <w:rPr>
          <w:rFonts w:eastAsia="Droid Sans Fallback"/>
        </w:rPr>
        <w:br w:type="page"/>
      </w:r>
    </w:p>
    <w:p w14:paraId="04BB3AC4" w14:textId="559AE553" w:rsidR="003F27A4" w:rsidRPr="008608AA" w:rsidRDefault="003F27A4" w:rsidP="006362EA">
      <w:pPr>
        <w:pStyle w:val="Heading3"/>
        <w:rPr>
          <w:rFonts w:eastAsia="Droid Sans Fallback"/>
        </w:rPr>
      </w:pPr>
      <w:bookmarkStart w:id="1917" w:name="_Toc502953632"/>
      <w:bookmarkStart w:id="1918" w:name="_Toc502954925"/>
      <w:bookmarkStart w:id="1919" w:name="_Toc502957732"/>
      <w:bookmarkStart w:id="1920" w:name="_Toc502957931"/>
      <w:bookmarkStart w:id="1921" w:name="_Toc502958085"/>
      <w:bookmarkStart w:id="1922" w:name="_Toc503293154"/>
      <w:bookmarkStart w:id="1923" w:name="_Toc503293752"/>
      <w:bookmarkStart w:id="1924" w:name="_Toc503294014"/>
      <w:bookmarkStart w:id="1925" w:name="_Toc503863407"/>
      <w:bookmarkStart w:id="1926" w:name="_Toc503863635"/>
      <w:bookmarkStart w:id="1927" w:name="_Toc517393401"/>
      <w:bookmarkStart w:id="1928" w:name="_Toc517719142"/>
      <w:bookmarkStart w:id="1929" w:name="_Toc517797099"/>
      <w:bookmarkStart w:id="1930" w:name="_Toc472342777"/>
      <w:r w:rsidRPr="008608AA">
        <w:rPr>
          <w:rFonts w:eastAsia="Droid Sans Fallback"/>
        </w:rPr>
        <w:t xml:space="preserve">Tropical and subtropical dry and </w:t>
      </w:r>
      <w:r w:rsidR="008E19EF" w:rsidRPr="008608AA">
        <w:rPr>
          <w:rFonts w:eastAsia="Droid Sans Fallback"/>
        </w:rPr>
        <w:t>moist</w:t>
      </w:r>
      <w:r w:rsidRPr="008608AA">
        <w:rPr>
          <w:rFonts w:eastAsia="Droid Sans Fallback"/>
        </w:rPr>
        <w:t xml:space="preserve"> forests</w:t>
      </w:r>
      <w:r w:rsidR="008E19EF" w:rsidRPr="008608AA">
        <w:rPr>
          <w:rFonts w:eastAsia="Droid Sans Fallback"/>
        </w:rPr>
        <w:t xml:space="preserve"> UAs</w:t>
      </w:r>
      <w:r w:rsidRPr="008608AA">
        <w:rPr>
          <w:rFonts w:eastAsia="Droid Sans Fallback"/>
        </w:rPr>
        <w:t xml:space="preserve"> – Trade-offs between multiple ecosystem goods and services and scale effects</w:t>
      </w:r>
      <w:bookmarkEnd w:id="1917"/>
      <w:bookmarkEnd w:id="1918"/>
      <w:bookmarkEnd w:id="1919"/>
      <w:bookmarkEnd w:id="1920"/>
      <w:bookmarkEnd w:id="1921"/>
      <w:bookmarkEnd w:id="1922"/>
      <w:bookmarkEnd w:id="1923"/>
      <w:bookmarkEnd w:id="1924"/>
      <w:bookmarkEnd w:id="1925"/>
      <w:bookmarkEnd w:id="1926"/>
      <w:bookmarkEnd w:id="1927"/>
      <w:bookmarkEnd w:id="1928"/>
      <w:bookmarkEnd w:id="1929"/>
    </w:p>
    <w:p w14:paraId="541D248C" w14:textId="77777777" w:rsidR="006362EA" w:rsidRPr="008608AA" w:rsidRDefault="006362EA" w:rsidP="006362EA">
      <w:pPr>
        <w:rPr>
          <w:lang w:val="en-GB" w:eastAsia="es-CO"/>
        </w:rPr>
      </w:pPr>
    </w:p>
    <w:p w14:paraId="1DCA2787" w14:textId="32006486" w:rsidR="00490494" w:rsidRPr="008608AA" w:rsidRDefault="00490494" w:rsidP="006362EA">
      <w:pPr>
        <w:pStyle w:val="Heading4"/>
        <w:rPr>
          <w:rFonts w:eastAsia="Droid Sans Fallback"/>
        </w:rPr>
      </w:pPr>
      <w:bookmarkStart w:id="1931" w:name="_Toc517393402"/>
      <w:bookmarkStart w:id="1932" w:name="_Toc517719143"/>
      <w:bookmarkStart w:id="1933" w:name="_Toc517797100"/>
      <w:r w:rsidRPr="008608AA">
        <w:rPr>
          <w:rFonts w:eastAsia="Droid Sans Fallback"/>
        </w:rPr>
        <w:t xml:space="preserve">Tropical and </w:t>
      </w:r>
      <w:r w:rsidR="008E19EF" w:rsidRPr="008608AA">
        <w:rPr>
          <w:rFonts w:eastAsia="Droid Sans Fallback"/>
        </w:rPr>
        <w:t>s</w:t>
      </w:r>
      <w:r w:rsidRPr="008608AA">
        <w:rPr>
          <w:rFonts w:eastAsia="Droid Sans Fallback"/>
        </w:rPr>
        <w:t xml:space="preserve">ubtropcial </w:t>
      </w:r>
      <w:r w:rsidR="008E19EF" w:rsidRPr="008608AA">
        <w:rPr>
          <w:rFonts w:eastAsia="Droid Sans Fallback"/>
        </w:rPr>
        <w:t>moist</w:t>
      </w:r>
      <w:r w:rsidRPr="008608AA">
        <w:rPr>
          <w:rFonts w:eastAsia="Droid Sans Fallback"/>
        </w:rPr>
        <w:t xml:space="preserve"> </w:t>
      </w:r>
      <w:r w:rsidR="008E19EF" w:rsidRPr="008608AA">
        <w:rPr>
          <w:rFonts w:eastAsia="Droid Sans Fallback"/>
        </w:rPr>
        <w:t>f</w:t>
      </w:r>
      <w:r w:rsidRPr="008608AA">
        <w:rPr>
          <w:rFonts w:eastAsia="Droid Sans Fallback"/>
        </w:rPr>
        <w:t>orests</w:t>
      </w:r>
      <w:bookmarkEnd w:id="1930"/>
      <w:bookmarkEnd w:id="1931"/>
      <w:bookmarkEnd w:id="1932"/>
      <w:bookmarkEnd w:id="1933"/>
    </w:p>
    <w:p w14:paraId="0D46F9A7" w14:textId="0F5635A8" w:rsidR="00345EF6" w:rsidRPr="008608AA" w:rsidRDefault="00345EF6" w:rsidP="006362EA">
      <w:pPr>
        <w:suppressAutoHyphens/>
        <w:spacing w:before="120"/>
        <w:rPr>
          <w:rFonts w:eastAsia="Droid Sans Fallback"/>
        </w:rPr>
      </w:pPr>
      <w:r w:rsidRPr="008608AA">
        <w:rPr>
          <w:rFonts w:eastAsia="Droid Sans Fallback"/>
          <w:noProof/>
          <w:lang w:val="en-GB" w:eastAsia="en-GB"/>
        </w:rPr>
        <w:drawing>
          <wp:inline distT="0" distB="0" distL="0" distR="0" wp14:anchorId="10E6E052" wp14:editId="551B058F">
            <wp:extent cx="5934075" cy="7677150"/>
            <wp:effectExtent l="0" t="0" r="9525" b="0"/>
            <wp:docPr id="64" name="Imagen 64" descr="C:\Users\Alejandro Valderrama\Downloads\Fig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5" descr="C:\Users\Alejandro Valderrama\Downloads\Fig5.3.jpg"/>
                    <pic:cNvPicPr>
                      <a:picLocks noChangeAspect="1" noChangeArrowheads="1"/>
                    </pic:cNvPicPr>
                  </pic:nvPicPr>
                  <pic:blipFill rotWithShape="1">
                    <a:blip r:embed="rId1028">
                      <a:extLst>
                        <a:ext uri="{28A0092B-C50C-407E-A947-70E740481C1C}">
                          <a14:useLocalDpi xmlns:a14="http://schemas.microsoft.com/office/drawing/2010/main" val="0"/>
                        </a:ext>
                      </a:extLst>
                    </a:blip>
                    <a:srcRect b="10245"/>
                    <a:stretch/>
                  </pic:blipFill>
                  <pic:spPr bwMode="auto">
                    <a:xfrm>
                      <a:off x="0" y="0"/>
                      <a:ext cx="5934075" cy="7677150"/>
                    </a:xfrm>
                    <a:prstGeom prst="rect">
                      <a:avLst/>
                    </a:prstGeom>
                    <a:noFill/>
                    <a:ln>
                      <a:noFill/>
                    </a:ln>
                    <a:extLst>
                      <a:ext uri="{53640926-AAD7-44D8-BBD7-CCE9431645EC}">
                        <a14:shadowObscured xmlns:a14="http://schemas.microsoft.com/office/drawing/2010/main"/>
                      </a:ext>
                    </a:extLst>
                  </pic:spPr>
                </pic:pic>
              </a:graphicData>
            </a:graphic>
          </wp:inline>
        </w:drawing>
      </w:r>
    </w:p>
    <w:p w14:paraId="46A5C5CF" w14:textId="514EB0B6" w:rsidR="00DF5365" w:rsidRPr="008608AA" w:rsidRDefault="00490494" w:rsidP="006362EA">
      <w:pPr>
        <w:suppressAutoHyphens/>
        <w:spacing w:before="120"/>
        <w:rPr>
          <w:rFonts w:eastAsia="Droid Sans Fallback"/>
        </w:rPr>
      </w:pPr>
      <w:r w:rsidRPr="008608AA">
        <w:rPr>
          <w:rFonts w:eastAsia="Droid Sans Fallback"/>
        </w:rPr>
        <w:t xml:space="preserve">Forests are extremely important ecosystems because of their multiple functions in biodiversity conservation and ensuring long-term environmental stability, while providing a variety of economically-important products and services </w:t>
      </w:r>
      <w:r w:rsidRPr="008608AA">
        <w:rPr>
          <w:rFonts w:eastAsia="Droid Sans Fallback"/>
        </w:rPr>
        <w:fldChar w:fldCharType="begin" w:fldLock="1"/>
      </w:r>
      <w:r w:rsidRPr="008608AA">
        <w:rPr>
          <w:rFonts w:eastAsia="Droid Sans Fallback"/>
        </w:rPr>
        <w:instrText>ADDIN CSL_CITATION { "citationItems" : [ { "id" : "ITEM-1", "itemData" : { "DOI" : "10.4038/jnsfsr.v39i4.3879", "ISSN" : "2362-0161", "abstract" : "&lt;p&gt;&lt;strong&gt;&lt;/strong&gt; Increased anthropogenic emissions of greenhouse gases (GHGs) have led to gradual warming of the earth&amp;rsquo;s atmosphere. It is predicted that by the year 2100, the average annual global air temperature will increase by 1.1 &amp;ndash; 6.4 oC. This has triggered a series of long-term changes in the atmospheric and soil environments. As forests form a key component of humid tropical ecosystems, the objective of this review is to synthesize the currently available experimental results and offer insights into how forests in the humid tropics would respond and adapt to different aspects of climate change. The atmospheric CO2 concentration (Ca), which is currently at 386 &amp;mu;mol mol-1, is expected to reach at least 600 &amp;mu;mol mol-1 by 2100. As CO2 is an input in the photosynthetic process, increasing Ca increases photosynthetic rates of all plants. In C3 herbs and woody plants, which dominate humid tropical forests, this is translated into average biomass increases of 45% (maximum 240%) and 48% (maximum 260%) respectively, leading to increased net primary productivity at the ecosystem level. Increasing air temperatures could either enhance or dampen the growth stimulation due to higher Ca, depending on the magnitude of temperature increase relative to the optimum temperature for maximum ecosystem productivity. The ability of humid tropical forests to acclimate and adapt to future temperature changes are considered to be lower than that of temperate forests because of the narrower range of seasonal temperatures experienced by forests in the humid tropics. Increasing Ca and temperatures could also influence forest ecosystems through significant changes in the soil environment and in the plant-water relations. In all the above-described responses to increased Ca and temperature, there is substantial species-to-species variation. Studies on the capacity of tropical forests to sequester carbon and reduce future increases of Ca have indicated a substantial capacity for forests in the humid tropics. However, reductions of this capacity have been observed during years of warmer temperatures and lower precipitation resulting from &lt;em&gt;El Ni&amp;ntilde;o &lt;/em&gt;Southern Oscillation.&lt;/p&gt;&lt;p&gt;&lt;strong&gt;Keywords&lt;/strong&gt;: Carbon dioxide, carbon sequestration, forest ecosystems, net primary productivity, photosynthesis, temperature.&lt;/p&gt; &lt;p&gt;DOI: &lt;a href=\"http://dx.doi.org/10.4038/jnsfsr.v39i4.3879\"&gt;http://dx.doi.org/10.4038/jnsfsr.v39i4.3879&lt;/a&gt;&lt;/p&gt; &lt;p&gt;&lt;em&gt;J.Natn.Sc\u2026", "author" : [ { "dropping-particle" : "", "family" : "Costa", "given" : "W. A. J. M.", "non-dropping-particle" : "De", "parse-names" : false, "suffix" : "" } ], "container-title" : "Journal of the National Science Foundation of Sri Lanka", "id" : "ITEM-1", "issue" : "4", "issued" : { "date-parts" : [ [ "2011", "12", "30" ] ] }, "page" : "281", "publisher" : "National Science Foundation of Sri Lanka", "title" : "A review of the possible impacts of climate change on forests in the humid tropics", "type" : "article-journal", "volume" : "39" }, "uris" : [ "http://www.mendeley.com/documents/?uuid=1808874a-05fa-3a5d-a758-73b410532aff" ] } ], "mendeley" : { "formattedCitation" : "(De Costa, 2011)", "plainTextFormattedCitation" : "(De Costa, 2011)", "previouslyFormattedCitation" : "(De Costa,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(De Costa, 2011)</w:t>
      </w:r>
      <w:r w:rsidRPr="008608AA">
        <w:rPr>
          <w:rFonts w:eastAsia="Droid Sans Fallback"/>
        </w:rPr>
        <w:fldChar w:fldCharType="end"/>
      </w:r>
      <w:r w:rsidRPr="008608AA">
        <w:rPr>
          <w:rFonts w:eastAsia="Droid Sans Fallback"/>
        </w:rPr>
        <w:t>. Tropical forests cover 10 % of all land area (i.e. 1.8×107 km</w:t>
      </w:r>
      <w:r w:rsidRPr="008608AA">
        <w:rPr>
          <w:rFonts w:eastAsia="Droid Sans Fallback"/>
          <w:vertAlign w:val="superscript"/>
        </w:rPr>
        <w:t>2</w:t>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"DOI" : "10.1098/rstb.2004.1590", "ISSN" : "0962-8436", "author" : [ { "dropping-particle" : "", "family" : "Mayaux", "given" : "P.", "non-dropping-particle" : "", "parse-names" : false, "suffix" : "" }, { "dropping-particle" : "", "family" : "Holmgren", "given" : "P.", "non-dropping-particle" : "", "parse-names" : false, "suffix" : "" }, { "dropping-particle" : "", "family" : "Achard", "given" : "F.", "non-dropping-particle" : "", "parse-names" : false, "suffix" : "" }, { "dropping-particle" : "", "family" : "Eva", "given" : "H.", "non-dropping-particle" : "", "parse-names" : false, "suffix" : "" }, { "dropping-particle" : "", "family" : "Stibig", "given" : "H.-J.", "non-dropping-particle" : "", "parse-names" : false, "suffix" : "" }, { "dropping-particle" : "", "family" : "Branthomme", "given" : "A.", "non-dropping-particle" : "", "parse-names" : false, "suffix" : "" } ], "container-title" : "Philosophical Transactions of the Royal Society B: Biological Sciences", "id" : "ITEM-1", "issue" : "1454", "issued" : { "date-parts" : [ [ "2005", "2", "28" ] ] }, "page" : "373-384", "title" : "Tropical forest cover change in the 1990s and options for future monitoring", "type" : "article-journal", "volume" : "360" }, "uris" : [ "http://www.mendeley.com/documents/?uuid=81a7babe-dcbf-47bb-ab55-535b1e043aa6" ] } ], "mendeley" : { "formattedCitation" : "(Mayaux et al., 2005)", "plainTextFormattedCitation" : "(Mayaux et al., 2005)", "previouslyFormattedCitation" : "(Mayaux et al., 2005)"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(Mayaux et al., 2005)</w:t>
      </w:r>
      <w:r w:rsidRPr="008608AA">
        <w:rPr>
          <w:rFonts w:eastAsia="Droid Sans Fallback"/>
        </w:rPr>
        <w:fldChar w:fldCharType="end"/>
      </w:r>
      <w:r w:rsidRPr="008608AA">
        <w:rPr>
          <w:rFonts w:eastAsia="Droid Sans Fallback"/>
        </w:rPr>
        <w:t xml:space="preserve">, and represent about half of global species richness. Clearing of these forests is estimated to account for 12 per cent of anthropogenic carbon emissions </w:t>
      </w:r>
      <w:r w:rsidRPr="008608AA">
        <w:rPr>
          <w:rFonts w:eastAsia="Droid Sans Fallback"/>
        </w:rPr>
        <w:fldChar w:fldCharType="begin" w:fldLock="1"/>
      </w:r>
      <w:r w:rsidRPr="008608AA">
        <w:rPr>
          <w:rFonts w:eastAsia="Droid Sans Fallback"/>
        </w:rPr>
        <w:instrText>ADDIN CSL_CITATION { "citationItems" : [ { "id" : "ITEM-1", "itemData" : { "DOI" : "10.1146/annurev.energy.28.050302.105532", "ISSN" : "1543-5938", "author" : [ { "dropping-particle" : "", "family" : "Dirzo", "given" : "Rodolfo", "non-dropping-particle" : "", "parse-names" : false, "suffix" : "" }, { "dropping-particle" : "", "family" : "Raven", "given" : "Peter H.", "non-dropping-particle" : "", "parse-names" : false, "suffix" : "" } ], "container-title" : "Annual Review of Environment and Resources", "id" : "ITEM-1", "issue" : "1", "issued" : { "date-parts" : [ [ "2003", "11" ] ] }, "page" : "137-167", "title" : "Global State of Biodiversity and Loss", "type" : "article-journal", "volume" : "28" }, "uris" : [ "http://www.mendeley.com/documents/?uuid=d82416b6-e751-4c2d-9232-c2e60de96c80" ] } ], "mendeley" : { "formattedCitation" : "(Dirzo &amp; Raven, 2003)", "plainTextFormattedCitation" : "(Dirzo &amp; Raven, 2003)", "previouslyFormattedCitation" : "(Dirzo &amp; Raven, 2003)"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(Dirzo &amp; Raven, 2003)</w:t>
      </w:r>
      <w:r w:rsidRPr="008608AA">
        <w:rPr>
          <w:rFonts w:eastAsia="Droid Sans Fallback"/>
        </w:rPr>
        <w:fldChar w:fldCharType="end"/>
      </w:r>
      <w:r w:rsidRPr="008608AA">
        <w:rPr>
          <w:rFonts w:eastAsia="Droid Sans Fallback"/>
        </w:rPr>
        <w:t>. Over half of the tropical-forest area (1.1×107 km</w:t>
      </w:r>
      <w:r w:rsidRPr="008608AA">
        <w:rPr>
          <w:rFonts w:eastAsia="Droid Sans Fallback"/>
          <w:vertAlign w:val="superscript"/>
        </w:rPr>
        <w:t>2</w:t>
      </w:r>
      <w:r w:rsidRPr="008608AA">
        <w:rPr>
          <w:rFonts w:eastAsia="Droid Sans Fallback"/>
        </w:rPr>
        <w:t xml:space="preserve">) is represented by </w:t>
      </w:r>
      <w:r w:rsidR="00790916" w:rsidRPr="008608AA">
        <w:rPr>
          <w:rFonts w:eastAsia="Droid Sans Fallback"/>
        </w:rPr>
        <w:t>moist</w:t>
      </w:r>
      <w:r w:rsidRPr="008608AA">
        <w:rPr>
          <w:rFonts w:eastAsia="Droid Sans Fallback"/>
        </w:rPr>
        <w:t xml:space="preserve"> tropical forests (also called ‘moist tropical forests’, ‘wet tropical forests’, or ‘tropical rainforests’), characterized by high tree-species diversity and high biomass density </w:t>
      </w:r>
      <w:r w:rsidRPr="008608AA">
        <w:rPr>
          <w:rFonts w:eastAsia="Droid Sans Fallback"/>
        </w:rPr>
        <w:fldChar w:fldCharType="begin" w:fldLock="1"/>
      </w:r>
      <w:r w:rsidRPr="008608AA">
        <w:rPr>
          <w:rFonts w:eastAsia="Droid Sans Fallback"/>
        </w:rPr>
        <w:instrText>ADDIN CSL_CITATION { "citationItems" : [ { "id" : "ITEM-1", "itemData" : { "DOI" : "10.1023/A:1024593414624", "ISSN" : "09603115", "author" : [ { "dropping-particle" : "", "family" : "Steege", "given" : "Hans", "non-dropping-particle" : "Ter", "parse-names" : false, "suffix" : "" }, { "dropping-particle" : "", "family" : "Pitman", "given" : "Nigel", "non-dropping-particle" : "", "parse-names" : false, "suffix" : "" }, { "dropping-particle" : "", "family" : "Sabatier", "given" : "Daniel", "non-dropping-particle" : "", "parse-names" : false, "suffix" : "" }, { "dropping-particle" : "", "family" : "Castellanos", "given" : "Hernan", "non-dropping-particle" : "", "parse-names" : false, "suffix" : "" }, { "dropping-particle" : "", "family" : "Hout", "given" : "Peter", "non-dropping-particle" : "Van Der", "parse-names" : false, "suffix" : "" }, { "dropping-particle" : "", "family" : "Daly", "given" : "Douglas C.", "non-dropping-particle" : "", "parse-names" : false, "suffix" : "" }, { "dropping-particle" : "", "family" : "Silveira", "given" : "Marcos", "non-dropping-particle" : "", "parse-names" : false, "suffix" : "" }, { "dropping-particle" : "", "family" : "Phillips", "given" : "Oliver", "non-dropping-particle" : "", "parse-names" : false, "suffix" : "" }, { "dropping-particle" : "", "family" : "Vasquez", "given" : "Rodolfo", "non-dropping-particle" : "", "parse-names" : false, "suffix" : "" }, { "dropping-particle" : "", "family" : "Andel", "given" : "Tinde", "non-dropping-particle" : "Van", "parse-names" : false, "suffix" : "" }, { "dropping-particle" : "", "family" : "Duivenvoorden", "given" : "Joost", "non-dropping-particle" : "", "parse-names" : false, "suffix" : "" }, { "dropping-particle" : "", "family" : "Oliveira", "given" : "Alexandre Adalardo", "non-dropping-particle" : "De", "parse-names" : false, "suffix" : "" }, { "dropping-particle" : "", "family" : "Ek", "given" : "Renske", "non-dropping-particle" : "", "parse-names" : false, "suffix" : "" }, { "dropping-particle" : "", "family" : "Lilwah", "given" : "Ramesh", "non-dropping-particle" : "", "parse-names" : false, "suffix" : "" }, { "dropping-particle" : "", "family" : "Thomas", "given" : "Raquel", "non-dropping-particle" : "", "parse-names" : false, "suffix" : "" }, { "dropping-particle" : "", "family" : "Essen", "given" : "Jessica", "non-dropping-particle" : "Van", "parse-names" : false, "suffix" : "" }, { "dropping-particle" : "", "family" : "Baider", "given" : "Claudia", "non-dropping-particle" : "", "parse-names" : false, "suffix" : "" }, { "dropping-particle" : "", "family" : "Maas", "given" : "Paul", "non-dropping-particle" : "", "parse-names" : false, "suffix" : "" }, { "dropping-particle" : "", "family" : "Mori", "given" : "Scott", "non-dropping-particle" : "", "parse-names" : false, "suffix" : "" }, { "dropping-particle" : "", "family" : "Terborgh", "given" : "John", "non-dropping-particle" : "", "parse-names" : false, "suffix" : "" }, { "dropping-particle" : "", "family" : "N\u00fa\u00d1ez Vargas", "given" : "Percy", "non-dropping-particle" : "", "parse-names" : false, "suffix" : "" }, { "dropping-particle" : "", "family" : "Mogoll\u00f3n", "given" : "Hugo", "non-dropping-particle" : "", "parse-names" : false, "suffix" : "" }, { "dropping-particle" : "", "family" : "Morawetz", "given" : "Wilfried", "non-dropping-particle" : "", "parse-names" : false, "suffix" : "" } ], "container-title" : "Biodiversity and Conservation", "id" : "ITEM-1", "issue" : "11", "issued" : { "date-parts" : [ [ "2003" ] ] }, "page" : "2255-2277", "title" : "A spatial model of tree \u03b1-diversity and tree density for the Amazon", "type" : "article-journal", "volume" : "12" }, "uris" : [ "http://www.mendeley.com/documents/?uuid=11cff78e-17cc-4464-9907-2f37c21291ff" ] } ], "mendeley" : { "formattedCitation" : "(Ter Steege et al., 2003)", "plainTextFormattedCitation" : "(Ter Steege et al., 2003)", "previouslyFormattedCitation" : "(Ter Steege et al., 2003)"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(Ter Steege et al., 2003)</w:t>
      </w:r>
      <w:r w:rsidRPr="008608AA">
        <w:rPr>
          <w:rFonts w:eastAsia="Droid Sans Fallback"/>
        </w:rPr>
        <w:fldChar w:fldCharType="end"/>
      </w:r>
      <w:r w:rsidRPr="008608AA">
        <w:rPr>
          <w:rFonts w:eastAsia="Droid Sans Fallback"/>
        </w:rPr>
        <w:t>.</w:t>
      </w:r>
    </w:p>
    <w:p w14:paraId="76349052" w14:textId="449D8D01" w:rsidR="00DF5365" w:rsidRPr="008608AA" w:rsidRDefault="00AE2413" w:rsidP="006362EA">
      <w:pPr>
        <w:suppressAutoHyphens/>
        <w:spacing w:before="120"/>
        <w:rPr>
          <w:rFonts w:eastAsia="Droid Sans Fallback"/>
        </w:rPr>
      </w:pPr>
      <w:r w:rsidRPr="008608AA">
        <w:rPr>
          <w:rFonts w:eastAsia="Droid Sans Fallback"/>
        </w:rPr>
        <w:fldChar w:fldCharType="begin" w:fldLock="1"/>
      </w:r>
      <w:r w:rsidRPr="008608AA">
        <w:rPr>
          <w:rFonts w:eastAsia="Droid Sans Fallback"/>
        </w:rPr>
        <w:instrText>ADDIN CSL_CITATION { "citationItems" : [ { "id" : "ITEM-1", "itemData" : { "DOI" : "10.1111/j.1523-1739.2009.01333.x", "ISSN" : "08888892", "author" : [ { "dropping-particle" : "", "family" : "Asner", "given" : "Gregory P.", "non-dropping-particle" : "", "parse-names" : false, "suffix" : "" }, { "dropping-particle" : "", "family" : "Rudel", "given" : "Thomas K.", "non-dropping-particle" : "", "parse-names" : false, "suffix" : "" }, { "dropping-particle" : "", "family" : "Aide", "given" : "T. Mitchell", "non-dropping-particle" : "", "parse-names" : false, "suffix" : "" }, { "dropping-particle" : "", "family" : "Defries", "given" : "Ruth", "non-dropping-particle" : "", "parse-names" : false, "suffix" : "" }, { "dropping-particle" : "", "family" : "Emerson", "given" : "Ruth", "non-dropping-particle" : "", "parse-names" : false, "suffix" : "" } ], "container-title" : "Conservation Biology", "id" : "ITEM-1", "issue" : "6", "issued" : { "date-parts" : [ [ "2009", "12", "1" ] ] }, "page" : "1386-1395", "publisher" : "Blackwell Publishing Inc", "title" : "A Contemporary Assessment of Change in Humid Tropical Forests", "type" : "article-journal", "volume" : "23" }, "uris" : [ "http://www.mendeley.com/documents/?uuid=3fa0595a-4ab9-438f-b868-dc7e7964d22a" ] } ], "mendeley" : { "formattedCitation" : "(Asner et al. 2009)", "manualFormatting" : "(Asner et al. (2009)", "plainTextFormattedCitation" : "(Asner et al. 2009)", "previouslyFormattedCitation" : "(Asner et al. 2009)"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Asner et al. (2009)</w:t>
      </w:r>
      <w:r w:rsidRPr="008608AA">
        <w:rPr>
          <w:rFonts w:eastAsia="Droid Sans Fallback"/>
        </w:rPr>
        <w:fldChar w:fldCharType="end"/>
      </w:r>
      <w:r w:rsidRPr="008608AA">
        <w:rPr>
          <w:rFonts w:eastAsia="Droid Sans Fallback"/>
        </w:rPr>
        <w:t xml:space="preserve">, alarmingly wrote “In recent decades the rate and geographic extent of land-use and land-cover change has increased throughout the world's </w:t>
      </w:r>
      <w:r w:rsidR="00790916" w:rsidRPr="008608AA">
        <w:rPr>
          <w:rFonts w:eastAsia="Droid Sans Fallback"/>
        </w:rPr>
        <w:t>moist</w:t>
      </w:r>
      <w:r w:rsidRPr="008608AA">
        <w:rPr>
          <w:rFonts w:eastAsia="Droid Sans Fallback"/>
        </w:rPr>
        <w:t xml:space="preserve"> tropical forests. The pan-tropical geography of forest change is a challenge to assess-  and improved estimates of the human footprint in the tropics are critical to understanding potential changes in biodiversity. We combined recently published and new satellite observations, along with images fro</w:t>
      </w:r>
      <w:r w:rsidR="002C4E23" w:rsidRPr="008608AA">
        <w:rPr>
          <w:rFonts w:eastAsia="Droid Sans Fallback"/>
        </w:rPr>
        <w:t>m</w:t>
      </w:r>
      <w:r w:rsidRPr="008608AA">
        <w:rPr>
          <w:rFonts w:eastAsia="Droid Sans Fallback"/>
        </w:rPr>
        <w:t xml:space="preserve"> Google Earth and a literature review, to estimate the global extent of deforestation, selective logging, and regrowth in </w:t>
      </w:r>
      <w:r w:rsidR="00790916" w:rsidRPr="008608AA">
        <w:rPr>
          <w:rFonts w:eastAsia="Droid Sans Fallback"/>
        </w:rPr>
        <w:t>moist</w:t>
      </w:r>
      <w:r w:rsidRPr="008608AA">
        <w:rPr>
          <w:rFonts w:eastAsia="Droid Sans Fallback"/>
        </w:rPr>
        <w:t xml:space="preserve"> tropical forests. Roughly1.4% of the biome was deforested between 2000 and 2005”. According to the Global Forest Re</w:t>
      </w:r>
      <w:r w:rsidR="00340B68" w:rsidRPr="008608AA">
        <w:rPr>
          <w:rFonts w:eastAsia="Droid Sans Fallback"/>
        </w:rPr>
        <w:t>sources Assessment</w:t>
      </w:r>
      <w:r w:rsidRPr="008608AA">
        <w:rPr>
          <w:rFonts w:eastAsia="Droid Sans Fallback"/>
        </w:rPr>
        <w:t xml:space="preserve"> </w:t>
      </w:r>
      <w:r w:rsidRPr="008608AA">
        <w:rPr>
          <w:rStyle w:val="FootnoteReference"/>
          <w:rFonts w:eastAsia="Droid Sans Fallback"/>
        </w:rPr>
        <w:fldChar w:fldCharType="begin" w:fldLock="1"/>
      </w:r>
      <w:r w:rsidRPr="008608AA">
        <w:rPr>
          <w:rFonts w:eastAsia="Droid Sans Fallback"/>
        </w:rPr>
        <w:instrText>ADDIN CSL_CITATION { "citationItems" : [ { "id" : "ITEM-1", "itemData" : { "author" : [ { "dropping-particle" : "", "family" : "FAO", "given" : "", "non-dropping-particle" : "", "parse-names" : false, "suffix" : "" } ], "id" : "ITEM-1", "issued" : { "date-parts" : [ [ "2015" ] ] }, "publisher-place" : "Rome", "title" : "Global Forest Resources Assessment 2015", "type" : "report" }, "uris" : [ "http://www.mendeley.com/documents/?uuid=49fa5e3a-3b15-474b-8bab-668c1361a6e7" ] } ], "mendeley" : { "formattedCitation" : "(FAO 2015)", "plainTextFormattedCitation" : "(FAO 2015)", "previouslyFormattedCitation" : "(FAO 2015)" }, "properties" : {  }, "schema" : "https://github.com/citation-style-language/schema/raw/master/csl-citation.json" }</w:instrText>
      </w:r>
      <w:r w:rsidRPr="008608AA">
        <w:rPr>
          <w:rStyle w:val="FootnoteReference"/>
          <w:rFonts w:eastAsia="Droid Sans Fallback"/>
        </w:rPr>
        <w:fldChar w:fldCharType="separate"/>
      </w:r>
      <w:r w:rsidRPr="008608AA">
        <w:rPr>
          <w:rFonts w:eastAsia="Droid Sans Fallback"/>
          <w:noProof/>
        </w:rPr>
        <w:t>(FAO</w:t>
      </w:r>
      <w:r w:rsidR="0045556C" w:rsidRPr="008608AA">
        <w:rPr>
          <w:rFonts w:eastAsia="Droid Sans Fallback"/>
          <w:noProof/>
        </w:rPr>
        <w:t>,</w:t>
      </w:r>
      <w:r w:rsidRPr="008608AA">
        <w:rPr>
          <w:rFonts w:eastAsia="Droid Sans Fallback"/>
          <w:noProof/>
        </w:rPr>
        <w:t xml:space="preserve"> 2015)</w:t>
      </w:r>
      <w:r w:rsidRPr="008608AA">
        <w:rPr>
          <w:rStyle w:val="FootnoteReference"/>
          <w:rFonts w:eastAsia="Droid Sans Fallback"/>
        </w:rPr>
        <w:fldChar w:fldCharType="end"/>
      </w:r>
      <w:r w:rsidRPr="008608AA">
        <w:rPr>
          <w:rFonts w:eastAsia="Droid Sans Fallback"/>
        </w:rPr>
        <w:t xml:space="preserve"> of the Food and Agriculture Organization of the United Nations</w:t>
      </w:r>
      <w:r w:rsidR="00340B68" w:rsidRPr="008608AA">
        <w:rPr>
          <w:rFonts w:eastAsia="Droid Sans Fallback"/>
        </w:rPr>
        <w:t xml:space="preserve"> (FAO)</w:t>
      </w:r>
      <w:r w:rsidRPr="008608AA">
        <w:rPr>
          <w:rFonts w:eastAsia="Droid Sans Fallback"/>
        </w:rPr>
        <w:t>, compiled by Keenan et al</w:t>
      </w:r>
      <w:r w:rsidR="0045556C" w:rsidRPr="008608AA">
        <w:rPr>
          <w:rFonts w:eastAsia="Droid Sans Fallback"/>
        </w:rPr>
        <w:t>.</w:t>
      </w:r>
      <w:r w:rsidRPr="008608AA">
        <w:rPr>
          <w:rFonts w:eastAsia="Droid Sans Fallback"/>
        </w:rPr>
        <w:t xml:space="preserve"> </w:t>
      </w:r>
      <w:r w:rsidRPr="008608AA">
        <w:rPr>
          <w:rStyle w:val="FootnoteReference"/>
          <w:rFonts w:eastAsia="Droid Sans Fallback"/>
        </w:rPr>
        <w:fldChar w:fldCharType="begin" w:fldLock="1"/>
      </w:r>
      <w:r w:rsidRPr="008608AA">
        <w:rPr>
          <w:rFonts w:eastAsia="Droid Sans Fallback"/>
        </w:rPr>
        <w:instrText>ADDIN CSL_CITATION { "citationItems" : [ { "id" : "ITEM-1", "itemData" : { "DOI" : "10.1016/j.foreco.2015.06.014", "ISBN" : "0378-1127", "ISSN" : "03781127", "PMID" : "17255001", "abstract" : "The area of land covered by forest and trees is an important indicator of environmental condition. This study presents and analyses results from the Global Forest Resources Assessment 2015 (FRA 2015) of the Food and Agriculture Organization of the United Nations. FRA 2015 was based on responses to surveys by individual countries using a common reporting framework, agreed definitions and reporting standards. Results indicated that total forest area declined by 3%, from 4128Mha in 1990 to 3999Mha in 2015. The annual rate of net forest loss halved from 7.3Mhay-1in the 1990s to 3.3Mhay-1between 2010 and 2015. Natural forest area declined from 3961Mha to 3721Mha between 1990 and 2015, while planted forest (including rubber plantations) increased from 168Mha to 278Mha. From 2010 to 2015, tropical forest area declined at a rate of 5.5Mhay-1- only 58% of the rate in the 1990s - while temperate forest area expanded at a rate of 2.2Mhay-1. Boreal and sub-tropical forest areas showed little net change. Forest area expanded in Europe, North America, the Caribbean, East Asia, and Western-Central Asia, but declined in Central America, South America, South and Southeast Asia and all three regions in Africa. Analysis indicates that, between 1990 and 2015, 13 tropical countries may have either passed through their forest transitions from net forest loss to net forest expansion, or continued along the path of forest expansion that follows these transitions. Comparing FRA 2015 statistics with the findings of global and pan-tropical remote-sensing forest area surveys was challenging, due to differences in assessment periods, the definitions of forest and remote sensing methods. More investment in national and global forest monitoring is needed to provide better support for international initiatives to increase sustainable forest management and reduce forest loss, particularly in tropical countries.", "author" : [ { "dropping-particle" : "", "family" : "Keenan", "given" : "Rodney J.", "non-dropping-particle" : "", "parse-names" : false, "suffix" : "" }, { "dropping-particle" : "", "family" : "Reams", "given" : "Gregory A.", "non-dropping-particle" : "", "parse-names" : false, "suffix" : "" }, { "dropping-particle" : "", "family" : "Achard", "given" : "Fr\u00e9d\u00e9ric", "non-dropping-particle" : "", "parse-names" : false, "suffix" : "" }, { "dropping-particle" : "V.", "family" : "Freitas", "given" : "Joberto", "non-dropping-particle" : "de", "parse-names" : false, "suffix" : "" }, { "dropping-particle" : "", "family" : "Grainger", "given" : "Alan", "non-dropping-particle" : "", "parse-names" : false, "suffix" : "" }, { "dropping-particle" : "", "family" : "Lindquist", "given" : "Erik", "non-dropping-particle" : "", "parse-names" : false, "suffix" : "" } ], "container-title" : "Forest Ecology and Management", "id" : "ITEM-1", "issued" : { "date-parts" : [ [ "2015", "9" ] ] }, "page" : "9-20", "publisher" : "Elsevier B.V.", "title" : "Dynamics of global forest area: Results from the FAO Global Forest Resources Assessment 2015", "type" : "article-journal", "volume" : "352" }, "suppress-author" : 1, "uris" : [ "http://www.mendeley.com/documents/?uuid=2c224095-af06-4087-9738-c07d9ab2b83a" ] } ], "mendeley" : { "formattedCitation" : "(2015)", "plainTextFormattedCitation" : "(2015)", "previouslyFormattedCitation" : "(2015)" }, "properties" : {  }, "schema" : "https://github.com/citation-style-language/schema/raw/master/csl-citation.json" }</w:instrText>
      </w:r>
      <w:r w:rsidRPr="008608AA">
        <w:rPr>
          <w:rStyle w:val="FootnoteReference"/>
          <w:rFonts w:eastAsia="Droid Sans Fallback"/>
        </w:rPr>
        <w:fldChar w:fldCharType="separate"/>
      </w:r>
      <w:r w:rsidRPr="008608AA">
        <w:rPr>
          <w:rFonts w:eastAsia="Droid Sans Fallback"/>
          <w:bCs/>
          <w:noProof/>
        </w:rPr>
        <w:t>(2015)</w:t>
      </w:r>
      <w:r w:rsidRPr="008608AA">
        <w:rPr>
          <w:rStyle w:val="FootnoteReference"/>
          <w:rFonts w:eastAsia="Droid Sans Fallback"/>
        </w:rPr>
        <w:fldChar w:fldCharType="end"/>
      </w:r>
      <w:r w:rsidRPr="008608AA">
        <w:rPr>
          <w:rFonts w:eastAsia="Droid Sans Fallback"/>
        </w:rPr>
        <w:t>, indicate that, in the period from 1990 to 2015 Central America lost 25% of forest cover, South America lost 10%, North America gained 0.4% and the Caribbean gained 43%. At global level, the tropical forest suffers the biggest pressure, with higher deforestation rates. Despite the reduction in the past 25years, deforestation is still in high levels. In the period from 1995 to 2000, th</w:t>
      </w:r>
      <w:r w:rsidR="004F4EC8" w:rsidRPr="008608AA">
        <w:rPr>
          <w:rFonts w:eastAsia="Droid Sans Fallback"/>
        </w:rPr>
        <w:t>e raters were at 9.54 million/hectares</w:t>
      </w:r>
      <w:r w:rsidRPr="008608AA">
        <w:rPr>
          <w:rFonts w:eastAsia="Droid Sans Fallback"/>
        </w:rPr>
        <w:t>/year, while from 201</w:t>
      </w:r>
      <w:r w:rsidR="004F4EC8" w:rsidRPr="008608AA">
        <w:rPr>
          <w:rFonts w:eastAsia="Droid Sans Fallback"/>
        </w:rPr>
        <w:t>0-2015, the rates fell to 5.52 m</w:t>
      </w:r>
      <w:r w:rsidRPr="008608AA">
        <w:rPr>
          <w:rFonts w:eastAsia="Droid Sans Fallback"/>
        </w:rPr>
        <w:t xml:space="preserve">illion/ha/year (Keenan et al., 2015). Carbon emissions from tropical deforestation were at the range of 2.9 </w:t>
      </w:r>
      <w:r w:rsidRPr="008608AA">
        <w:rPr>
          <w:rFonts w:eastAsia="Droid Sans Fallback"/>
        </w:rPr>
        <w:sym w:font="Symbol" w:char="F0B1"/>
      </w:r>
      <w:r w:rsidRPr="008608AA">
        <w:rPr>
          <w:rFonts w:eastAsia="Droid Sans Fallback"/>
        </w:rPr>
        <w:t xml:space="preserve"> 0.47 PgC/year during the period from 1990-2007 </w:t>
      </w:r>
      <w:r w:rsidRPr="008608AA">
        <w:rPr>
          <w:rStyle w:val="FootnoteReference"/>
          <w:rFonts w:eastAsia="Droid Sans Fallback"/>
        </w:rPr>
        <w:fldChar w:fldCharType="begin" w:fldLock="1"/>
      </w:r>
      <w:r w:rsidRPr="008608AA">
        <w:rPr>
          <w:rFonts w:eastAsia="Droid Sans Fallback"/>
        </w:rPr>
        <w:instrText>ADDIN CSL_CITATION { "citationItems" : [ { "id" : "ITEM-1", "itemData" : { "DOI" : "10.1126/science.1201609", "ISBN" : "0036-8075", "ISSN" : "0036-8075", "PMID" : "21764754", "abstract" : "The terrestrial carbon sink has been large in recent decades, but its size and location remain uncertain. Using forest inventory data and long-term ecosystem carbon studies, we estimate a total forest sink of 2.4 \u00b1 0.4 petagrams of carbon per year (Pg C year(-1)) globally for 1990 to 2007. We also estimate a source of 1.3 \u00b1 0.7 Pg C year(-1) from tropical land-use change, consisting of a gross tropical deforestation emission of 2.9 \u00b1 0.5 Pg C year(-1) partially compensated by a carbon sink in tropical forest regrowth of 1.6 \u00b1 0.5 Pg C year(-1). Together, the fluxes comprise a net global forest sink of 1.1 \u00b1 0.8 Pg C year(-1), with tropical estimates having the largest uncertainties. Our total forest sink estimate is equivalent in magnitude to the terrestrial sink deduced from fossil fuel emissions and land-use change sources minus ocean and atmospheric sinks.", "author" : [ { "dropping-particle" : "", "family" : "Pan", "given" : "Y.", "non-dropping-particle" : "", "parse-names" : false, "suffix" : "" }, { "dropping-particle" : "", "family" : "Birdsey", "given" : "R. A.", "non-dropping-particle" : "", "parse-names" : false, "suffix" : "" }, { "dropping-particle" : "", "family" : "Fang", "given" : "J.", "non-dropping-particle" : "", "parse-names" : false, "suffix" : "" }, { "dropping-particle" : "", "family" : "Houghton", "given" : "R.", "non-dropping-particle" : "", "parse-names" : false, "suffix" : "" }, { "dropping-particle" : "", "family" : "Kauppi", "given" : "P. E.", "non-dropping-particle" : "", "parse-names" : false, "suffix" : "" }, { "dropping-particle" : "", "family" : "Kurz", "given" : "W. A.", "non-dropping-particle" : "", "parse-names" : false, "suffix" : "" }, { "dropping-particle" : "", "family" : "Phillips", "given" : "O. L.", "non-dropping-particle" : "", "parse-names" : false, "suffix" : "" }, { "dropping-particle" : "", "family" : "Shvidenko", "given" : "A.", "non-dropping-particle" : "", "parse-names" : false, "suffix" : "" }, { "dropping-particle" : "", "family" : "Lewis", "given" : "S. L.", "non-dropping-particle" : "", "parse-names" : false, "suffix" : "" }, { "dropping-particle" : "", "family" : "Canadell", "given" : "J. G.", "non-dropping-particle" : "", "parse-names" : false, "suffix" : "" }, { "dropping-particle" : "", "family" : "Ciais", "given" : "P.", "non-dropping-particle" : "", "parse-names" : false, "suffix" : "" }, { "dropping-particle" : "", "family" : "Jackson", "given" : "R. B.", "non-dropping-particle" : "", "parse-names" : false, "suffix" : "" }, { "dropping-particle" : "", "family" : "Pacala", "given" : "S. W.", "non-dropping-particle" : "", "parse-names" : false, "suffix" : "" }, { "dropping-particle" : "", "family" : "McGuire", "given" : "A. D.", "non-dropping-particle" : "", "parse-names" : false, "suffix" : "" }, { "dropping-particle" : "", "family" : "Piao", "given" : "S.", "non-dropping-particle" : "", "parse-names" : false, "suffix" : "" }, { "dropping-particle" : "", "family" : "Rautiainen", "given" : "A.", "non-dropping-particle" : "", "parse-names" : false, "suffix" : "" }, { "dropping-particle" : "", "family" : "Sitch", "given" : "S.", "non-dropping-particle" : "", "parse-names" : false, "suffix" : "" }, { "dropping-particle" : "", "family" : "Hayes", "given" : "D.", "non-dropping-particle" : "", "parse-names" : false, "suffix" : "" } ], "container-title" : "Science", "id" : "ITEM-1", "issue" : "6045", "issued" : { "date-parts" : [ [ "2011" ] ] }, "page" : "988-993", "title" : "A Large and Persistent Carbon Sink in the World's Forests", "type" : "article-journal", "volume" : "333" }, "uris" : [ "http://www.mendeley.com/documents/?uuid=2d954706-7578-4ad8-8900-edd037047fc3" ] } ], "mendeley" : { "formattedCitation" : "(Pan et al. 2011)", "plainTextFormattedCitation" : "(Pan et al. 2011)", "previouslyFormattedCitation" : "(Pan et al. 2011)" }, "properties" : {  }, "schema" : "https://github.com/citation-style-language/schema/raw/master/csl-citation.json" }</w:instrText>
      </w:r>
      <w:r w:rsidRPr="008608AA">
        <w:rPr>
          <w:rStyle w:val="FootnoteReference"/>
          <w:rFonts w:eastAsia="Droid Sans Fallback"/>
        </w:rPr>
        <w:fldChar w:fldCharType="separate"/>
      </w:r>
      <w:r w:rsidRPr="008608AA">
        <w:rPr>
          <w:rFonts w:eastAsia="Droid Sans Fallback"/>
          <w:noProof/>
        </w:rPr>
        <w:t>(Pan et al.</w:t>
      </w:r>
      <w:r w:rsidR="0045556C" w:rsidRPr="008608AA">
        <w:rPr>
          <w:rFonts w:eastAsia="Droid Sans Fallback"/>
          <w:noProof/>
        </w:rPr>
        <w:t>,</w:t>
      </w:r>
      <w:r w:rsidRPr="008608AA">
        <w:rPr>
          <w:rFonts w:eastAsia="Droid Sans Fallback"/>
          <w:noProof/>
        </w:rPr>
        <w:t xml:space="preserve"> 2011)</w:t>
      </w:r>
      <w:r w:rsidRPr="008608AA">
        <w:rPr>
          <w:rStyle w:val="FootnoteReference"/>
          <w:rFonts w:eastAsia="Droid Sans Fallback"/>
        </w:rPr>
        <w:fldChar w:fldCharType="end"/>
      </w:r>
      <w:r w:rsidRPr="008608AA">
        <w:rPr>
          <w:rFonts w:eastAsia="Droid Sans Fallback"/>
        </w:rPr>
        <w:t>. From the period from 2000 to 2005, Asner et al</w:t>
      </w:r>
      <w:r w:rsidR="0045556C" w:rsidRPr="008608AA">
        <w:rPr>
          <w:rFonts w:eastAsia="Droid Sans Fallback"/>
        </w:rPr>
        <w:t>.</w:t>
      </w:r>
      <w:r w:rsidRPr="008608AA">
        <w:rPr>
          <w:rFonts w:eastAsia="Droid Sans Fallback"/>
        </w:rPr>
        <w:t xml:space="preserve"> </w:t>
      </w:r>
      <w:r w:rsidRPr="008608AA">
        <w:rPr>
          <w:rStyle w:val="FootnoteReference"/>
          <w:rFonts w:eastAsia="Droid Sans Fallback"/>
        </w:rPr>
        <w:fldChar w:fldCharType="begin" w:fldLock="1"/>
      </w:r>
      <w:r w:rsidRPr="008608AA">
        <w:rPr>
          <w:rFonts w:eastAsia="Droid Sans Fallback"/>
        </w:rPr>
        <w:instrText>ADDIN CSL_CITATION { "citationItems" : [ { "id" : "ITEM-1", "itemData" : { "DOI" : "10.1111/j.1523-1739.2009.01333.x", "ISSN" : "08888892", "author" : [ { "dropping-particle" : "", "family" : "Asner", "given" : "Gregory P.", "non-dropping-particle" : "", "parse-names" : false, "suffix" : "" }, { "dropping-particle" : "", "family" : "Rudel", "given" : "Thomas K.", "non-dropping-particle" : "", "parse-names" : false, "suffix" : "" }, { "dropping-particle" : "", "family" : "Aide", "given" : "T. Mitchell", "non-dropping-particle" : "", "parse-names" : false, "suffix" : "" }, { "dropping-particle" : "", "family" : "Defries", "given" : "Ruth", "non-dropping-particle" : "", "parse-names" : false, "suffix" : "" }, { "dropping-particle" : "", "family" : "Emerson", "given" : "Ruth", "non-dropping-particle" : "", "parse-names" : false, "suffix" : "" } ], "container-title" : "Conservation Biology", "id" : "ITEM-1", "issue" : "6", "issued" : { "date-parts" : [ [ "2009", "12", "1" ] ] }, "page" : "1386-1395", "publisher" : "Blackwell Publishing Inc", "title" : "A Contemporary Assessment of Change in Humid Tropical Forests", "type" : "article-journal", "volume" : "23" }, "suppress-author" : 1, "uris" : [ "http://www.mendeley.com/documents/?uuid=3fa0595a-4ab9-438f-b868-dc7e7964d22a" ] } ], "mendeley" : { "formattedCitation" : "(2009)", "plainTextFormattedCitation" : "(2009)", "previouslyFormattedCitation" : "(2009)" }, "properties" : {  }, "schema" : "https://github.com/citation-style-language/schema/raw/master/csl-citation.json" }</w:instrText>
      </w:r>
      <w:r w:rsidRPr="008608AA">
        <w:rPr>
          <w:rStyle w:val="FootnoteReference"/>
          <w:rFonts w:eastAsia="Droid Sans Fallback"/>
        </w:rPr>
        <w:fldChar w:fldCharType="separate"/>
      </w:r>
      <w:r w:rsidRPr="008608AA">
        <w:rPr>
          <w:rFonts w:eastAsia="Droid Sans Fallback"/>
          <w:noProof/>
        </w:rPr>
        <w:t>(2009)</w:t>
      </w:r>
      <w:r w:rsidRPr="008608AA">
        <w:rPr>
          <w:rStyle w:val="FootnoteReference"/>
          <w:rFonts w:eastAsia="Droid Sans Fallback"/>
        </w:rPr>
        <w:fldChar w:fldCharType="end"/>
      </w:r>
      <w:r w:rsidRPr="008608AA">
        <w:rPr>
          <w:rFonts w:eastAsia="Droid Sans Fallback"/>
        </w:rPr>
        <w:t xml:space="preserve">, estimated that about 20% of the </w:t>
      </w:r>
      <w:r w:rsidR="00790916" w:rsidRPr="008608AA">
        <w:rPr>
          <w:rFonts w:eastAsia="Droid Sans Fallback"/>
        </w:rPr>
        <w:t>moist</w:t>
      </w:r>
      <w:r w:rsidRPr="008608AA">
        <w:rPr>
          <w:rFonts w:eastAsia="Droid Sans Fallback"/>
        </w:rPr>
        <w:t xml:space="preserve"> tropical forest biome was undergoing some level of timber harvesting, and that forest regeneration on this</w:t>
      </w:r>
      <w:r w:rsidR="00166947" w:rsidRPr="008608AA">
        <w:rPr>
          <w:rFonts w:eastAsia="Droid Sans Fallback"/>
        </w:rPr>
        <w:t xml:space="preserve"> unit of analysis </w:t>
      </w:r>
      <w:r w:rsidRPr="008608AA">
        <w:rPr>
          <w:rFonts w:eastAsia="Droid Sans Fallback"/>
        </w:rPr>
        <w:t xml:space="preserve">was basically occurring in hilly, upland, and mountainous environments, which are areas considered marginal for large-scale agriculture and ranching. Aside from deforestation, another growing threat to </w:t>
      </w:r>
      <w:r w:rsidR="00790916" w:rsidRPr="008608AA">
        <w:rPr>
          <w:rFonts w:eastAsia="Droid Sans Fallback"/>
        </w:rPr>
        <w:t>moist</w:t>
      </w:r>
      <w:r w:rsidRPr="008608AA">
        <w:rPr>
          <w:rFonts w:eastAsia="Droid Sans Fallback"/>
        </w:rPr>
        <w:t xml:space="preserve"> tropical forests, especially to indigenous land and protected area, is mining </w:t>
      </w:r>
      <w:r w:rsidRPr="008608AA">
        <w:rPr>
          <w:rStyle w:val="FootnoteReference"/>
          <w:rFonts w:eastAsia="Droid Sans Fallback"/>
        </w:rPr>
        <w:fldChar w:fldCharType="begin" w:fldLock="1"/>
      </w:r>
      <w:r w:rsidRPr="008608AA">
        <w:rPr>
          <w:rFonts w:eastAsia="Droid Sans Fallback"/>
        </w:rPr>
        <w:instrText>ADDIN CSL_CITATION { "citationItems" : [ { "id" : "ITEM-1", "itemData" : { "DOI" : "10.1126/science.1260194", "ISBN" : "1095-9203 (Electronic) 0036-8075 (Linking)", "ISSN" : "0036-8075", "PMID" : "25378611", "abstract" : "Over the past two decades, Brazil has emerged as an environmental leader, playing a prominent role in international fora such as the United Nations (UN) Conferences on Sustainable Development. The country has earned praise for the expansion of its protected area (PA) network and reductions in Amazon deforestation. Yet these successes are being compromised by development pressures and shifts in legislation. We highlight concerns for the newly elected government regarding development of major infrastructure and natural resource extraction projects in PAs and indigenous lands (ILs).", "author" : [ { "dropping-particle" : "", "family" : "Ferreira", "given" : "J.", "non-dropping-particle" : "", "parse-names" : false, "suffix" : "" }, { "dropping-particle" : "", "family" : "Aragao", "given" : "L. E. O. C.", "non-dropping-particle" : "", "parse-names" : false, "suffix" : "" }, { "dropping-particle" : "", "family" : "Barlow", "given" : "J.", "non-dropping-particle" : "", "parse-names" : false, "suffix" : "" }, { "dropping-particle" : "", "family" : "Barreto", "given" : "P.", "non-dropping-particle" : "", "parse-names" : false, "suffix" : "" }, { "dropping-particle" : "", "family" : "Berenguer", "given" : "E.", "non-dropping-particle" : "", "parse-names" : false, "suffix" : "" }, { "dropping-particle" : "", "family" : "Bustamante", "given" : "M.", "non-dropping-particle" : "", "parse-names" : false, "suffix" : "" }, { "dropping-particle" : "", "family" : "Gardner", "given" : "T. A.", "non-dropping-particle" : "", "parse-names" : false, "suffix" : "" }, { "dropping-particle" : "", "family" : "Lees", "given" : "A. C.", "non-dropping-particle" : "", "parse-names" : false, "suffix" : "" }, { "dropping-particle" : "", "family" : "Lima", "given" : "A.", "non-dropping-particle" : "", "parse-names" : false, "suffix" : "" }, { "dropping-particle" : "", "family" : "Louzada", "given" : "J.", "non-dropping-particle" : "", "parse-names" : false, "suffix" : "" }, { "dropping-particle" : "", "family" : "Pardini", "given" : "R.", "non-dropping-particle" : "", "parse-names" : false, "suffix" : "" }, { "dropping-particle" : "", "family" : "Parry", "given" : "L.", "non-dropping-particle" : "", "parse-names" : false, "suffix" : "" }, { "dropping-particle" : "", "family" : "Peres", "given" : "C. A.", "non-dropping-particle" : "", "parse-names" : false, "suffix" : "" }, { "dropping-particle" : "", "family" : "Pompeu", "given" : "P. S.", "non-dropping-particle" : "", "parse-names" : false, "suffix" : "" }, { "dropping-particle" : "", "family" : "Tabarelli", "given" : "M.", "non-dropping-particle" : "", "parse-names" : false, "suffix" : "" }, { "dropping-particle" : "", "family" : "Zuanon", "given" : "J.", "non-dropping-particle" : "", "parse-names" : false, "suffix" : "" } ], "container-title" : "Science", "id" : "ITEM-1", "issue" : "6210", "issued" : { "date-parts" : [ [ "2014" ] ] }, "page" : "706-707", "title" : "Brazil's environmental leadership at risk", "type" : "article-journal", "volume" : "346" }, "uris" : [ "http://www.mendeley.com/documents/?uuid=ef6e6386-2a2a-47d7-bea8-f2f66acdb844" ] }, { "id" : "ITEM-2", "itemData" : { "DOI" : "10.1016/j.cosust.2017.01.015", "ISSN" : "18773435", "author" : [ { "dropping-particle" : "", "family" : "Boillat", "given" : "S\u00e9bastien", "non-dropping-particle" : "", "parse-names" : false, "suffix" : "" }, { "dropping-particle" : "", "family" : "Scarpa", "given" : "Fabiano M", "non-dropping-particle" : "", "parse-names" : false, "suffix" : "" }, { "dropping-particle" : "", "family" : "Robson", "given" : "James P", "non-dropping-particle" : "", "parse-names" : false, "suffix" : "" }, { "dropping-particle" : "", "family" : "Gasparri", "given" : "Ign\u00e1cio", "non-dropping-particle" : "", "parse-names" : false, "suffix" : "" }, { "dropping-particle" : "", "family" : "Aide", "given" : "T Mitchell", "non-dropping-particle" : "", "parse-names" : false, "suffix" : "" }, { "dropping-particle" : "", "family" : "Aguiar", "given" : "Ana Paula Dutra", "non-dropping-particle" : "", "parse-names" : false, "suffix" : "" }, { "dropping-particle" : "", "family" : "Anderson", "given" : "Liana O", "non-dropping-particle" : "", "parse-names" : false, "suffix" : "" }, { "dropping-particle" : "", "family" : "Batistella", "given" : "Mateus", "non-dropping-particle" : "", "parse-names" : false, "suffix" : "" }, { "dropping-particle" : "", "family" : "Fonseca", "given" : "Marisa Gesteira", "non-dropping-particle" : "", "parse-names" : false, "suffix" : "" }, { "dropping-particle" : "", "family" : "Futemma", "given" : "C\u00e9lia", "non-dropping-particle" : "", "parse-names" : false, "suffix" : "" }, { "dropping-particle" : "", "family" : "Grau", "given" : "H Ricardo", "non-dropping-particle" : "", "parse-names" : false, "suffix" : "" }, { "dropping-particle" : "", "family" : "Mathez-Stiefel", "given" : "Sarah-Lan", "non-dropping-particle" : "", "parse-names" : false, "suffix" : "" }, { "dropping-particle" : "", "family" : "Metzger", "given" : "Jean Paul", "non-dropping-particle" : "", "parse-names" : false, "suffix" : "" }, { "dropping-particle" : "", "family" : "Ometto", "given" : "Jean Pierre Henry Balbaud", "non-dropping-particle" : "", "parse-names" : false, "suffix" : "" }, { "dropping-particle" : "", "family" : "Pedlowski", "given" : "Marcos Antonio", "non-dropping-particle" : "", "parse-names" : false, "suffix" : "" }, { "dropping-particle" : "", "family" : "Perz", "given" : "Stephen G", "non-dropping-particle" : "", "parse-names" : false, "suffix" : "" }, { "dropping-particle" : "", "family" : "Robiglio", "given" : "Valentina", "non-dropping-particle" : "", "parse-names" : false, "suffix" : "" }, { "dropping-particle" : "", "family" : "Soler", "given" : "Luciana", "non-dropping-particle" : "", "parse-names" : false, "suffix" : "" }, { "dropping-particle" : "", "family" : "Vieira", "given" : "Ima", "non-dropping-particle" : "", "parse-names" : false, "suffix" : "" }, { "dropping-particle" : "", "family" : "Brondizio", "given" : "Eduardo S", "non-dropping-particle" : "", "parse-names" : false, "suffix" : "" } ], "container-title" : "Current Opinion in Environmental Sustainability", "id" : "ITEM-2", "issued" : { "date-parts" : [ [ "2017", "6", "1" ] ] }, "page" : "37-46", "publisher" : "Elsevier", "title" : "Land system science in Latin America: challenges and perspectives", "type" : "article-journal", "volume" : "26-27" }, "uris" : [ "http://www.mendeley.com/documents/?uuid=cce7fb44-1a82-36af-95c3-573ca81101a4" ] } ], "mendeley" : { "formattedCitation" : "(Ferreira et al. 2014; Boillat et al. 2017)", "plainTextFormattedCitation" : "(Ferreira et al. 2014; Boillat et al. 2017)", "previouslyFormattedCitation" : "(Ferreira et al. 2014; Boillat et al. 2017)" }, "properties" : {  }, "schema" : "https://github.com/citation-style-language/schema/raw/master/csl-citation.json" }</w:instrText>
      </w:r>
      <w:r w:rsidRPr="008608AA">
        <w:rPr>
          <w:rStyle w:val="FootnoteReference"/>
          <w:rFonts w:eastAsia="Droid Sans Fallback"/>
        </w:rPr>
        <w:fldChar w:fldCharType="separate"/>
      </w:r>
      <w:r w:rsidRPr="008608AA">
        <w:rPr>
          <w:rFonts w:eastAsia="Droid Sans Fallback"/>
          <w:bCs/>
          <w:noProof/>
        </w:rPr>
        <w:t>(Ferreira et al.</w:t>
      </w:r>
      <w:r w:rsidR="0045556C" w:rsidRPr="008608AA">
        <w:rPr>
          <w:rFonts w:eastAsia="Droid Sans Fallback"/>
          <w:bCs/>
          <w:noProof/>
        </w:rPr>
        <w:t>,</w:t>
      </w:r>
      <w:r w:rsidRPr="008608AA">
        <w:rPr>
          <w:rFonts w:eastAsia="Droid Sans Fallback"/>
          <w:bCs/>
          <w:noProof/>
        </w:rPr>
        <w:t xml:space="preserve"> 2014; Boillat et al.</w:t>
      </w:r>
      <w:r w:rsidR="0045556C" w:rsidRPr="008608AA">
        <w:rPr>
          <w:rFonts w:eastAsia="Droid Sans Fallback"/>
          <w:bCs/>
          <w:noProof/>
        </w:rPr>
        <w:t>,</w:t>
      </w:r>
      <w:r w:rsidRPr="008608AA">
        <w:rPr>
          <w:rFonts w:eastAsia="Droid Sans Fallback"/>
          <w:bCs/>
          <w:noProof/>
        </w:rPr>
        <w:t xml:space="preserve"> 2017)</w:t>
      </w:r>
      <w:r w:rsidRPr="008608AA">
        <w:rPr>
          <w:rStyle w:val="FootnoteReference"/>
          <w:rFonts w:eastAsia="Droid Sans Fallback"/>
        </w:rPr>
        <w:fldChar w:fldCharType="end"/>
      </w:r>
      <w:r w:rsidRPr="008608AA">
        <w:rPr>
          <w:rFonts w:eastAsia="Droid Sans Fallback"/>
        </w:rPr>
        <w:t>.</w:t>
      </w:r>
    </w:p>
    <w:p w14:paraId="60136EF8" w14:textId="1C280D02" w:rsidR="00490494" w:rsidRPr="008608AA" w:rsidRDefault="00490494" w:rsidP="006362EA">
      <w:pPr>
        <w:suppressAutoHyphens/>
        <w:spacing w:before="120"/>
        <w:rPr>
          <w:rFonts w:eastAsia="Droid Sans Fallback"/>
        </w:rPr>
      </w:pPr>
      <w:r w:rsidRPr="008608AA">
        <w:rPr>
          <w:rFonts w:eastAsia="Droid Sans Fallback"/>
        </w:rPr>
        <w:t xml:space="preserve">For biodiversity however, droughts, coupled with increased evapotranspiration from rising temperatures, can cause forest dieback expressed as the loss of both carbon and tropical species </w:t>
      </w:r>
      <w:r w:rsidRPr="008608AA">
        <w:rPr>
          <w:rFonts w:eastAsia="Droid Sans Fallback"/>
        </w:rPr>
        <w:fldChar w:fldCharType="begin" w:fldLock="1"/>
      </w:r>
      <w:r w:rsidRPr="008608AA">
        <w:rPr>
          <w:rFonts w:eastAsia="Droid Sans Fallback"/>
        </w:rPr>
        <w:instrText>ADDIN CSL_CITATION { "citationItems" : [ { "id" : "ITEM-1", "itemData" : { "abstract" : "Amazon forests are a key but poorly understood component of the global carbon cycle. If, as anticipated, they dry this century, they might accelerate climate change through carbon losses and changed surface energy balances. We used records from multiple long-term monitoring plots across Amazonia to assess forest responses to the intense 2005 drought, a possible analog of future events. Affected forest lost biomass, reversing a large long-term carbon sink, with the greatest impacts observed where the dry season was unusually intense. Relative to pre-2005 conditions, forest subjected to a 100-millimeter increase in water deficit lost 5.3 megagrams of aboveground biomass of carbon per hectare. The drought had a total biomass carbon impact of 1.2 to 1.6 petagrams (1.2 \u00d7 1015 to 1.6 \u00d7 1015 grams). Amazon forests therefore appear vulnerable to increasing moisture stress, with the potential for large carbon losses to exert feedback on climate change.", "author" : [ { "dropping-particle" : "", "family" : "Phillips", "given" : "Oliver L", "non-dropping-particle" : "", "parse-names" : false, "suffix" : "" }, { "dropping-particle" : "", "family" : "Arag\u00e3o", "given" : "Luiz E O C", "non-dropping-particle" : "", "parse-names" : false, "suffix" : "" }, { "dropping-particle" : "", "family" : "Lewis", "given" : "Simon L", "non-dropping-particle" : "", "parse-names" : false, "suffix" : "" }, { "dropping-particle" : "", "family" : "Fisher", "given" : "Joshua B", "non-dropping-particle" : "", "parse-names" : false, "suffix" : "" }, { "dropping-particle" : "", "family" : "Lloyd", "given" : "Jon", "non-dropping-particle" : "", "parse-names" : false, "suffix" : "" }, { "dropping-particle" : "", "family" : "L\u00f3pez-Gonz\u00e1lez", "given" : "Gabriela", "non-dropping-particle" : "", "parse-names" : false, "suffix" : "" }, { "dropping-particle" : "", "family" : "Malhi", "given" : "Yadvinder", "non-dropping-particle" : "", "parse-names" : false, "suffix" : "" }, { "dropping-particle" : "", "family" : "Monteagudo", "given" : "Abel", "non-dropping-particle" : "", "parse-names" : false, "suffix" : "" }, { "dropping-particle" : "", "family" : "Peacock", "given" : "Julie", "non-dropping-particle" : "", "parse-names" : false, "suffix" : "" }, { "dropping-particle" : "", "family" : "Quesada", "given" : "Carlos A", "non-dropping-particle" : "", "parse-names" : false, "suffix" : "" }, { "dropping-particle" : "", "family" : "Heijden", "given" : "Geertje", "non-dropping-particle" : "van der", "parse-names" : false, "suffix" : "" }, { "dropping-particle" : "", "family" : "Almeida", "given" : "Samuel", "non-dropping-particle" : "", "parse-names" : false, "suffix" : "" }, { "dropping-particle" : "", "family" : "Amaral", "given" : "I\u00eada", "non-dropping-particle" : "", "parse-names" : false, "suffix" : "" }, { "dropping-particle" : "", "family" : "Arroyo", "given" : "Luzmila", "non-dropping-particle" : "", "parse-names" : false, "suffix" : "" }, { "dropping-particle" : "", "family" : "Aymard", "given" : "Gerardo", "non-dropping-particle" : "", "parse-names" : false, "suffix" : "" }, { "dropping-particle" : "", "family" : "Baker", "given" : "Tim R", "non-dropping-particle" : "", "parse-names" : false, "suffix" : "" }, { "dropping-particle" : "", "family" : "B\u00e1nki", "given" : "Olaf", "non-dropping-particle" : "", "parse-names" : false, "suffix" : "" }, { "dropping-particle" : "", "family" : "Blanc", "given" : "Lilian", "non-dropping-particle" : "", "parse-names" : false, "suffix" : "" }, { "dropping-particle" : "", "family" : "Bonal", "given" : "Damien", "non-dropping-particle" : "", "parse-names" : false, "suffix" : "" }, { "dropping-particle" : "", "family" : "Brando", "given" : "Paulo", "non-dropping-particle" : "", "parse-names" : false, "suffix" : "" }, { "dropping-particle" : "", "family" : "Chave", "given" : "Jerome", "non-dropping-particle" : "", "parse-names" : false, "suffix" : "" }, { "dropping-particle" : "", "family" : "Oliveira", "given" : "\u00c1tila Cristina Alves", "non-dropping-particle" : "de", "parse-names" : false, "suffix" : "" }, { "dropping-particle" : "", "family" : "Cardozo", "given" : "Nallaret D\u00e1vila", "non-dropping-particle" : "", "parse-names" : false, "suffix" : "" }, { "dropping-particle" : "", "family" : "Czimczik", "given" : "Claudia I", "non-dropping-particle" : "", "parse-names" : false, "suffix" : "" }, { "dropping-particle" : "", "family" : "Feldpausch", "given" : "Ted R", "non-dropping-particle" : "", "parse-names" : false, "suffix" : "" }, { "dropping-particle" : "", "family" : "Freitas", "given" : "Maria Aparecida", "non-dropping-particle" : "", "parse-names" : false, "suffix" : "" }, { "dropping-particle" : "", "family" : "Gloor", "given" : "Emanuel", "non-dropping-particle" : "", "parse-names" : false, "suffix" : "" }, { "dropping-particle" : "", "family" : "Higuchi", "given" : "Niro", "non-dropping-particle" : "", "parse-names" : false, "suffix" : "" }, { "dropping-particle" : "", "family" : "Jim\u00e9nez", "given" : "Eliana", "non-dropping-particle" : "", "parse-names" : false, "suffix" : "" }, { "dropping-particle" : "", "family" : "Lloyd", "given" : "Gareth", "non-dropping-particle" : "", "parse-names" : false, "suffix" : "" }, { "dropping-particle" : "", "family" : "Meir", "given" : "Patrick", "non-dropping-particle" : "", "parse-names" : false, "suffix" : "" }, { "dropping-particle" : "", "family" : "Mendoza", "given" : "Casimiro", "non-dropping-particle" : "", "parse-names" : false, "suffix" : "" }, { "dropping-particle" : "", "family" : "Morel", "given" : "Alexandra", "non-dropping-particle" : "", "parse-names" : false, "suffix" : "" }, { "dropping-particle" : "", "family" : "Neill", "given" : "David A", "non-dropping-particle" : "", "parse-names" : false, "suffix" : "" }, { "dropping-particle" : "", "family" : "Nepstad", "given" : "Daniel", "non-dropping-particle" : "", "parse-names" : false, "suffix" : "" }, { "dropping-particle" : "", "family" : "Pati\u00f1o", "given" : "Sandra", "non-dropping-particle" : "", "parse-names" : false, "suffix" : "" }, { "dropping-particle" : "", "family" : "Pe\u00f1uela", "given" : "Maria Cristina", "non-dropping-particle" : "", "parse-names" : false, "suffix" : "" }, { "dropping-particle" : "", "family" : "Prieto", "given" : "Adriana", "non-dropping-particle" : "", "parse-names" : false, "suffix" : "" }, { "dropping-particle" : "", "family" : "Ram\u00edrez", "given" : "Fredy", "non-dropping-particle" : "", "parse-names" : false, "suffix" : "" }, { "dropping-particle" : "", "family" : "Schwarz", "given" : "Michael", "non-dropping-particle" : "", "parse-names" : false, "suffix" : "" }, { "dropping-particle" : "", "family" : "Silva", "given" : "Javier", "non-dropping-particle" : "", "parse-names" : false, "suffix" : "" }, { "dropping-particle" : "", "family" : "Silveira", "given" : "Marcos", "non-dropping-particle" : "", "parse-names" : false, "suffix" : "" }, { "dropping-particle" : "", "family" : "Thomas", "given" : "Anne Sota", "non-dropping-particle" : "", "parse-names" : false, "suffix" : "" }, { "dropping-particle" : "ter", "family" : "Steege", "given" : "Hans", "non-dropping-particle" : "", "parse-names" : false, "suffix" : "" }, { "dropping-particle" : "", "family" : "Stropp", "given" : "Juliana", "non-dropping-particle" : "", "parse-names" : false, "suffix" : "" }, { "dropping-particle" : "", "family" : "V\u00e1squez", "given" : "Rodolfo", "non-dropping-particle" : "", "parse-names" : false, "suffix" : "" }, { "dropping-particle" : "", "family" : "Zelazowski", "given" : "Przemyslaw", "non-dropping-particle" : "", "parse-names" : false, "suffix" : "" }, { "dropping-particle" : "", "family" : "D\u00e1vila", "given" : "Esteban Alvarez", "non-dropping-particle" : "", "parse-names" : false, "suffix" : "" }, { "dropping-particle" : "", "family" : "Andelman", "given" : "Sandy", "non-dropping-particle" : "", "parse-names" : false, "suffix" : "" }, { "dropping-particle" : "", "family" : "Andrade", "given" : "Ana", "non-dropping-particle" : "", "parse-names" : false, "suffix" : "" }, { "dropping-particle" : "", "family" : "Chao", "given" : "Kuo-Jung", "non-dropping-particle" : "", "parse-names" : false, "suffix" : "" }, { "dropping-particle" : "", "family" : "Erwin", "given" : "Terry", "non-dropping-particle" : "", "parse-names" : false, "suffix" : "" }, { "dropping-particle" : "", "family" : "Fiore", "given" : "Anthony", "non-dropping-particle" : "Di", "parse-names" : false, "suffix" : "" }, { "dropping-particle" : "", "family" : "C.", "given" : "Eur\u00eddice Honorio", "non-dropping-particle" : "", "parse-names" : false, "suffix" : "" }, { "dropping-particle" : "", "family" : "Keeling", "given" : "Helen", "non-dropping-particle" : "", "parse-names" : false, "suffix" : "" }, { "dropping-particle" : "", "family" : "Killeen", "given" : "Tim J", "non-dropping-particle" : "", "parse-names" : false, "suffix" : "" }, { "dropping-particle" : "", "family" : "Laurance", "given" : "William F", "non-dropping-particle" : "", "parse-names" : false, "suffix" : "" }, { "dropping-particle" : "", "family" : "Cruz", "given" : "Antonio Pe\u00f1a", "non-dropping-particle" : "", "parse-names" : false, "suffix" : "" }, { "dropping-particle" : "", "family" : "Pitman", "given" : "Nigel C A", "non-dropping-particle" : "", "parse-names" : false, "suffix" : "" }, { "dropping-particle" : "", "family" : "Vargas", "given" : "Percy N\u00fa\u00f1ez", "non-dropping-particle" : "", "parse-names" : false, "suffix" : "" }, { "dropping-particle" : "", "family" : "Ram\u00edrez-Angulo", "given" : "Hirma", "non-dropping-particle" : "", "parse-names" : false, "suffix" : "" }, { "dropping-particle" : "", "family" : "Rudas", "given" : "Agust\u00edn", "non-dropping-particle" : "", "parse-names" : false, "suffix" : "" }, { "dropping-particle" : "", "family" : "Salam\u00e3o", "given" : "Rafael", "non-dropping-particle" : "", "parse-names" : false, "suffix" : "" }, { "dropping-particle" : "", "family" : "Silva", "given" : "Natalino", "non-dropping-particle" : "", "parse-names" : false, "suffix" : "" }, { "dropping-particle" : "", "family" : "Terborgh", "given" : "John", "non-dropping-particle" : "", "parse-names" : false, "suffix" : "" }, { "dropping-particle" : "", "family" : "Torres-Lezama", "given" : "Armando", "non-dropping-particle" : "", "parse-names" : false, "suffix" : "" } ], "container-title" : "Science", "id" : "ITEM-1", "issue" : "5919", "issued" : { "date-parts" : [ [ "2009", "3", "6" ] ] }, "page" : "1344 LP  - 1347", "title" : "Drought Sensitivity of the Amazon Rainforest", "type" : "article-journal", "volume" : "323" }, "uris" : [ "http://www.mendeley.com/documents/?uuid=1a8d298e-3a29-449b-bc4b-471d4e39144e" ] } ], "mendeley" : { "formattedCitation" : "(Oliver L Phillips et al., 2009)", "plainTextFormattedCitation" : "(Oliver L Phillips et al., 2009)", "previouslyFormattedCitation" : "(Oliver L Phillips et al., 2009)"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(Oliver L Phillips et al., 2009)</w:t>
      </w:r>
      <w:r w:rsidRPr="008608AA">
        <w:rPr>
          <w:rFonts w:eastAsia="Droid Sans Fallback"/>
        </w:rPr>
        <w:fldChar w:fldCharType="end"/>
      </w:r>
      <w:r w:rsidRPr="008608AA">
        <w:rPr>
          <w:rFonts w:eastAsia="Droid Sans Fallback"/>
        </w:rPr>
        <w:t xml:space="preserve">. Moreover, there is a significant likelihood of future forest dieback in the Amazon under most climate change projections </w:t>
      </w:r>
      <w:r w:rsidRPr="008608AA">
        <w:rPr>
          <w:rFonts w:eastAsia="Droid Sans Fallback"/>
        </w:rPr>
        <w:fldChar w:fldCharType="begin" w:fldLock="1"/>
      </w:r>
      <w:r w:rsidRPr="008608AA">
        <w:rPr>
          <w:rFonts w:eastAsia="Droid Sans Fallback"/>
        </w:rPr>
        <w:instrText>ADDIN CSL_CITATION { "citationItems" : [ { "id" : "ITEM-1", "itemData" : { "DOI" : "10.1073/pnas.0804619106", "ISSN" : "1091-6490", "PMID" : "19218454", "abstract" : "We examine the evidence for the possibility that 21st-century climate change may cause a large-scale \"dieback\" or degradation of Amazonian rainforest. We employ a new framework for evaluating the rainfall regime of tropical forests and from this deduce precipitation-based boundaries for current forest viability. We then examine climate simulations by 19 global climate models (GCMs) in this context and find that most tend to underestimate current rainfall. GCMs also vary greatly in their projections of future climate change in Amazonia. We attempt to take into account the differences between GCM-simulated and observed rainfall regimes in the 20th century. Our analysis suggests that dry-season water stress is likely to increase in E. Amazonia over the 21st century, but the region tends toward a climate more appropriate to seasonal forest than to savanna. These seasonal forests may be resilient to seasonal drought but are likely to face intensified water stress caused by higher temperatures and to be vulnerable to fires, which are at present naturally rare in much of Amazonia. The spread of fire ignition associated with advancing deforestation, logging, and fragmentation may act as nucleation points that trigger the transition of these seasonal forests into fire-dominated, low biomass forests. Conversely, deliberate limitation of deforestation and fire may be an effective intervention to maintain Amazonian forest resilience in the face of imposed 21st-century climate change. Such intervention may be enough to navigate E. Amazonia away from a possible \"tipping point,\" beyond which extensive rainforest would become unsustainable.", "author" : [ { "dropping-particle" : "", "family" : "Malhi", "given" : "Yadvinder", "non-dropping-particle" : "", "parse-names" : false, "suffix" : "" }, { "dropping-particle" : "", "family" : "Arag\u00e3o", "given" : "Luiz E. O. C.", "non-dropping-particle" : "", "parse-names" : false, "suffix" : "" }, { "dropping-particle" : "", "family" : "Galbraith", "given" : "David", "non-dropping-particle" : "", "parse-names" : false, "suffix" : "" }, { "dropping-particle" : "", "family" : "Huntingford", "given" : "Chris", "non-dropping-particle" : "", "parse-names" : false, "suffix" : "" }, { "dropping-particle" : "", "family" : "Fisher", "given" : "Rosie", "non-dropping-particle" : "", "parse-names" : false, "suffix" : "" }, { "dropping-particle" : "", "family" : "Zelazowski", "given" : "Przemyslaw", "non-dropping-particle" : "", "parse-names" : false, "suffix" : "" }, { "dropping-particle" : "", "family" : "Sitch", "given" : "Stephen", "non-dropping-particle" : "", "parse-names" : false, "suffix" : "" }, { "dropping-particle" : "", "family" : "McSweeney", "given" : "Carol", "non-dropping-particle" : "", "parse-names" : false, "suffix" : "" }, { "dropping-particle" : "", "family" : "Meir", "given" : "Patrick", "non-dropping-particle" : "", "parse-names" : false, "suffix" : "" } ], "container-title" : "Proceedings of the National Academy of Sciences of the United States of America", "id" : "ITEM-1", "issue" : "49", "issued" : { "date-parts" : [ [ "2009", "12", "8" ] ] }, "page" : "20610-5", "publisher" : "National Academy of Sciences", "title" : "Exploring the likelihood and mechanism of a climate-change-induced dieback of the Amazon rainforest.", "type" : "article-journal", "volume" : "106" }, "uris" : [ "http://www.mendeley.com/documents/?uuid=797b0ad8-7c44-37cb-a05d-060fc7cb8742" ] } ], "mendeley" : { "formattedCitation" : "(Yadvinder Malhi, Arag\u00e3o, Galbraith, et al., 2009)", "plainTextFormattedCitation" : "(Yadvinder Malhi, Arag\u00e3o, Galbraith, et al., 2009)", "previouslyFormattedCitation" : "(Yadvinder Malhi, Arag\u00e3o, Galbraith, et al., 2009)" }, "properties" : {  }, "schema" : "https://github.com/citation-style-language/schema/raw/master/csl-citation.json" }</w:instrText>
      </w:r>
      <w:r w:rsidRPr="008608AA">
        <w:rPr>
          <w:rFonts w:eastAsia="Droid Sans Fallback"/>
        </w:rPr>
        <w:fldChar w:fldCharType="separate"/>
      </w:r>
      <w:r w:rsidR="0045556C" w:rsidRPr="008608AA">
        <w:rPr>
          <w:rFonts w:eastAsia="Droid Sans Fallback"/>
          <w:noProof/>
        </w:rPr>
        <w:t>(Malhi</w:t>
      </w:r>
      <w:r w:rsidRPr="008608AA">
        <w:rPr>
          <w:rFonts w:eastAsia="Droid Sans Fallback"/>
          <w:noProof/>
        </w:rPr>
        <w:t xml:space="preserve"> et al., 2009)</w:t>
      </w:r>
      <w:r w:rsidRPr="008608AA">
        <w:rPr>
          <w:rFonts w:eastAsia="Droid Sans Fallback"/>
        </w:rPr>
        <w:fldChar w:fldCharType="end"/>
      </w:r>
      <w:r w:rsidRPr="008608AA">
        <w:rPr>
          <w:rFonts w:eastAsia="Droid Sans Fallback"/>
        </w:rPr>
        <w:t xml:space="preserve">. The future of </w:t>
      </w:r>
      <w:r w:rsidR="00790916" w:rsidRPr="008608AA">
        <w:rPr>
          <w:rFonts w:eastAsia="Droid Sans Fallback"/>
        </w:rPr>
        <w:t>moist</w:t>
      </w:r>
      <w:r w:rsidRPr="008608AA">
        <w:rPr>
          <w:rFonts w:eastAsia="Droid Sans Fallback"/>
        </w:rPr>
        <w:t xml:space="preserve"> tropical forests has become one of the iconic issues in climate-change science </w:t>
      </w:r>
      <w:r w:rsidRPr="008608AA">
        <w:rPr>
          <w:rFonts w:eastAsia="Droid Sans Fallback"/>
        </w:rPr>
        <w:fldChar w:fldCharType="begin" w:fldLock="1"/>
      </w:r>
      <w:r w:rsidRPr="008608AA">
        <w:rPr>
          <w:rFonts w:eastAsia="Droid Sans Fallback"/>
        </w:rPr>
        <w:instrText>ADDIN CSL_CITATION { "citationItems" : [ { "id" : "ITEM-1", "itemData" : { "DOI" : "10.1098/rsta.2010.0238", "ISSN" : "1364-503X", "PMID" : "21115517", "abstract" : "The future of tropical forests has become one of the iconic issues in climate-change science. A number of studies that have explored this subject have tended to focus on the output from one or a few climate models, which work at low spatial resolution, whereas society and conservation-relevant assessment of potential impacts requires a finer scale. This study focuses on the role of climate on the current and future distribution of humid tropical forests (HTFs). We first characterize their contemporary climatological niche using annual rainfall and maximum climatological water stress, which also adequately describe the current distribution of other biomes within the tropics. As a first-order approximation of the potential extent of HTFs in future climate regimes defined by global warming of 2\u00b0C and 4\u00b0C, we investigate changes in the niche through a combination of climate-change anomaly patterns and higher resolution (5 km) maps of current climatology. The climate anomalies are derived using data from 17 coupled Atmosphere-Ocean General Circulation Models (AOGCMs) used in the Fourth Assessment of the Intergovernmental Panel for Climate Change. Our results confirm some risk of forest retreat, especially in eastern Amazonia, Central America and parts of Africa, but also indicate a potential for expansion in other regions, for example around the Congo Basin. The finer spatial scale enabled the depiction of potential resilient and vulnerable zones with practically useful detail. We further refine these estimates by considering the impact of new environmental regimes on plant water demand using the UK Met Office land-surface scheme (of the HadCM3 AOGCM). The CO(2)-related reduction in plant water demand lowers the risk of die-back and can lead to possible niche expansion in many regions. The analysis presented here focuses primarily on hydrological determinants of HTF extent. We conclude by discussing the role of other factors, notably the physiological effects of higher temperature.", "author" : [ { "dropping-particle" : "", "family" : "Zelazowski", "given" : "Przemyslaw", "non-dropping-particle" : "", "parse-names" : false, "suffix" : "" }, { "dropping-particle" : "", "family" : "Malhi", "given" : "Yadvinder", "non-dropping-particle" : "", "parse-names" : false, "suffix" : "" }, { "dropping-particle" : "", "family" : "Huntingford", "given" : "Chris", "non-dropping-particle" : "", "parse-names" : false, "suffix" : "" }, { "dropping-particle" : "", "family" : "Sitch", "given" : "Stephen", "non-dropping-particle" : "", "parse-names" : false, "suffix" : "" }, { "dropping-particle" : "", "family" : "Fisher", "given" : "Joshua B", "non-dropping-particle" : "", "parse-names" : false, "suffix" : "" } ], "container-title" : "Philosophical Transactions of the Royal Society A: Mathematical, Physical and Engineering Sciences", "id" : "ITEM-1", "issue" : "1934", "issued" : { "date-parts" : [ [ "2011", "1", "13" ] ] }, "page" : "137-160", "publisher" : "The Royal Society", "title" : "Changes in the potential distribution of humid tropical forests on a warmer planet", "type" : "article-journal", "volume" : "369" }, "uris" : [ "http://www.mendeley.com/documents/?uuid=b722747c-6e24-3233-8382-ba92443774d4" ] } ], "mendeley" : { "formattedCitation" : "(Zelazowski, Malhi, Huntingford, Sitch, &amp; Fisher, 2011)", "plainTextFormattedCitation" : "(Zelazowski, Malhi, Huntingford, Sitch, &amp; Fisher, 2011)", "previouslyFormattedCitation" : "(Zelazowski, Malhi, Huntingford, Sitch, &amp; Fisher, 2011)" }, "properties" : {  }, "schema" : "https://github.com/citation-style-language/schema/raw/master/csl-citation.json" }</w:instrText>
      </w:r>
      <w:r w:rsidRPr="008608AA">
        <w:rPr>
          <w:rFonts w:eastAsia="Droid Sans Fallback"/>
        </w:rPr>
        <w:fldChar w:fldCharType="separate"/>
      </w:r>
      <w:r w:rsidR="0045556C" w:rsidRPr="008608AA">
        <w:rPr>
          <w:rFonts w:eastAsia="Droid Sans Fallback"/>
          <w:noProof/>
        </w:rPr>
        <w:t>(Zelazowski</w:t>
      </w:r>
      <w:r w:rsidRPr="008608AA">
        <w:rPr>
          <w:rFonts w:eastAsia="Droid Sans Fallback"/>
          <w:noProof/>
        </w:rPr>
        <w:t xml:space="preserve"> et al., 2011)</w:t>
      </w:r>
      <w:r w:rsidRPr="008608AA">
        <w:rPr>
          <w:rFonts w:eastAsia="Droid Sans Fallback"/>
        </w:rPr>
        <w:fldChar w:fldCharType="end"/>
      </w:r>
      <w:r w:rsidRPr="008608AA">
        <w:rPr>
          <w:rFonts w:eastAsia="Droid Sans Fallback"/>
        </w:rPr>
        <w:t xml:space="preserve">. For instance, the extensive tropical rainforests of Amazonia affect the functioning of the Earth’s climate through the exchange of large amounts of water, energy, and carbon with the atmosphere. During the past few decades, a large research effort has been devoted to understand the functioning of Amazonian ecosystems and their responses to deforestation, climate change, and altered ﬁre regimes </w:t>
      </w:r>
      <w:r w:rsidRPr="008608AA">
        <w:rPr>
          <w:rFonts w:eastAsia="Droid Sans Fallback"/>
        </w:rPr>
        <w:fldChar w:fldCharType="begin" w:fldLock="1"/>
      </w:r>
      <w:r w:rsidRPr="008608AA">
        <w:rPr>
          <w:rFonts w:eastAsia="Droid Sans Fallback"/>
        </w:rPr>
        <w:instrText>ADDIN CSL_CITATION { "citationItems" : [ { "id" : "ITEM-1", "itemData" : { "DOI" : "10.1002/2014GB005080", "ISSN" : "08866236", "author" : [ { "dropping-particle" : "", "family" : "Gloor", "given" : "M.", "non-dropping-particle" : "", "parse-names" : false, "suffix" : "" }, { "dropping-particle" : "", "family" : "Barichivich", "given" : "J.", "non-dropping-particle" : "", "parse-names" : false, "suffix" : "" }, { "dropping-particle" : "", "family" : "Ziv", "given" : "G.", "non-dropping-particle" : "", "parse-names" : false, "suffix" : "" }, { "dropping-particle" : "", "family" : "Brienen", "given" : "R.", "non-dropping-particle" : "", "parse-names" : false, "suffix" : "" }, { "dropping-particle" : "", "family" : "Sch\u00f6ngart", "given" : "J.", "non-dropping-particle" : "", "parse-names" : false, "suffix" : "" }, { "dropping-particle" : "", "family" : "Peylin", "given" : "P.", "non-dropping-particle" : "", "parse-names" : false, "suffix" : "" }, { "dropping-particle" : "", "family" : "Ladvocat Cintra", "given" : "B. Barcante", "non-dropping-particle" : "", "parse-names" : false, "suffix" : "" }, { "dropping-particle" : "", "family" : "Feldpausch", "given" : "T.", "non-dropping-particle" : "", "parse-names" : false, "suffix" : "" }, { "dropping-particle" : "", "family" : "Phillips", "given" : "O.", "non-dropping-particle" : "", "parse-names" : false, "suffix" : "" }, { "dropping-particle" : "", "family" : "Baker", "given" : "J.", "non-dropping-particle" : "", "parse-names" : false, "suffix" : "" } ], "container-title" : "Global Biogeochemical Cycles", "id" : "ITEM-1", "issue" : "9", "issued" : { "date-parts" : [ [ "2015", "9", "1" ] ] }, "page" : "1384-1399", "title" : "Recent Amazon climate as background for possible ongoing and future changes of Amazon humid forests", "type" : "article-journal", "volume" : "29" }, "uris" : [ "http://www.mendeley.com/documents/?uuid=14c17c9c-2d71-33b8-9f33-7fda6412285c" ] } ], "mendeley" : { "formattedCitation" : "(Gloor et al., 2015)", "plainTextFormattedCitation" : "(Gloor et al., 2015)", "previouslyFormattedCitation" : "(Gloor et al.,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(Gloor et al., 2015)</w:t>
      </w:r>
      <w:r w:rsidRPr="008608AA">
        <w:rPr>
          <w:rFonts w:eastAsia="Droid Sans Fallback"/>
        </w:rPr>
        <w:fldChar w:fldCharType="end"/>
      </w:r>
      <w:r w:rsidRPr="008608AA">
        <w:rPr>
          <w:rFonts w:eastAsia="Droid Sans Fallback"/>
        </w:rPr>
        <w:t xml:space="preserve">. Changes in forest species composition, increasing dominance of lianas and turnover rates have been reported </w:t>
      </w:r>
      <w:r w:rsidRPr="008608AA">
        <w:rPr>
          <w:rFonts w:eastAsia="Droid Sans Fallback"/>
        </w:rPr>
        <w:fldChar w:fldCharType="begin" w:fldLock="1"/>
      </w:r>
      <w:r w:rsidRPr="008608AA">
        <w:rPr>
          <w:rFonts w:eastAsia="Droid Sans Fallback"/>
        </w:rPr>
        <w:instrText>ADDIN CSL_CITATION { "citationItems" : [ { "id" : "ITEM-1", "itemData" : { "DOI" : "10.1098/rstb.2003.1438", "ISBN" : "9780838986219", "ISSN" : "0962-8436", "PMID" : "25246403", "abstract" : "Corporate social responsibility has received an increasing amount of attention from practitioners and scholars alike in recent years. However, very little is known about whether or how corporate social responsibility affects employees. Because employees are primary stakeholders who directly contribute to the success of the company, understanding employee reactions to corporate social responsibility may help answer lingering questions about the potential effects of corporate social responsibility on firms as well as illuminate some of the processes responsible for them. To begin our chapter, we provide a brief history of scholarship on corporate social responsibility and highlight some of the major challenges researchers in this area currently face. We then discuss why corporate social responsibility may represent a special opportunity to influence employees\u2019 general impression of their company. Next, we identify four distinct paths through which corporate social responsibility may affect employees\u2019 relationship with their company that correspond to four universal psychological needs: security, self-esteem, belongingness, and a meaningful existence. Finally, we offer an agenda for micro-level research on corporate social responsibility. Contents", "author" : [ { "dropping-particle" : "", "family" : "Phillips", "given" : "O. L.", "non-dropping-particle" : "", "parse-names" : false, "suffix" : "" }, { "dropping-particle" : "", "family" : "Baker", "given" : "T. R.", "non-dropping-particle" : "", "parse-names" : false, "suffix" : "" }, { "dropping-particle" : "", "family" : "Arroyo", "given" : "L.", "non-dropping-particle" : "", "parse-names" : false, "suffix" : "" }, { "dropping-particle" : "", "family" : "Higuchi", "given" : "N.", "non-dropping-particle" : "", "parse-names" : false, "suffix" : "" }, { "dropping-particle" : "", "family" : "Killeen", "given" : "T. J.", "non-dropping-particle" : "", "parse-names" : false, "suffix" : "" }, { "dropping-particle" : "", "family" : "Laurance", "given" : "W. F.", "non-dropping-particle" : "", "parse-names" : false, "suffix" : "" }, { "dropping-particle" : "", "family" : "Lewis", "given" : "S. L.", "non-dropping-particle" : "", "parse-names" : false, "suffix" : "" }, { "dropping-particle" : "", "family" : "Lloyd", "given" : "J.", "non-dropping-particle" : "", "parse-names" : false, "suffix" : "" }, { "dropping-particle" : "", "family" : "Malhi", "given" : "Y.", "non-dropping-particle" : "", "parse-names" : false, "suffix" : "" }, { "dropping-particle" : "", "family" : "Monteagudo", "given" : "A.", "non-dropping-particle" : "", "parse-names" : false, "suffix" : "" }, { "dropping-particle" : "", "family" : "Neill", "given" : "D. A.", "non-dropping-particle" : "", "parse-names" : false, "suffix" : "" }, { "dropping-particle" : "", "family" : "Nunez Vargas", "given" : "P.", "non-dropping-particle" : "", "parse-names" : false, "suffix" : "" }, { "dropping-particle" : "", "family" : "Silva", "given" : "J. N. M.", "non-dropping-particle" : "", "parse-names" : false, "suffix" : "" }, { "dropping-particle" : "", "family" : "Terborgh", "given" : "J.", "non-dropping-particle" : "", "parse-names" : false, "suffix" : "" }, { "dropping-particle" : "", "family" : "Vasquez Martinez", "given" : "R.", "non-dropping-particle" : "", "parse-names" : false, "suffix" : "" }, { "dropping-particle" : "", "family" : "Alexiades", "given" : "M.", "non-dropping-particle" : "", "parse-names" : false, "suffix" : "" }, { "dropping-particle" : "", "family" : "Almeida", "given" : "S.", "non-dropping-particle" : "", "parse-names" : false, "suffix" : "" }, { "dropping-particle" : "", "family" : "Brown", "given" : "S.", "non-dropping-particle" : "", "parse-names" : false, "suffix" : "" }, { "dropping-particle" : "", "family" : "Chave", "given" : "J.", "non-dropping-particle" : "", "parse-names" : false, "suffix" : "" }, { "dropping-particle" : "", "family" : "Comiskey", "given" : "J. A.", "non-dropping-particle" : "", "parse-names" : false, "suffix" : "" }, { "dropping-particle" : "", "family" : "Czimczik", "given" : "C. I.", "non-dropping-particle" : "", "parse-names" : false, "suffix" : "" }, { "dropping-particle" : "", "family" : "Fiore", "given" : "A.", "non-dropping-particle" : "Di", "parse-names" : false, "suffix" : "" }, { "dropping-particle" : "", "family" : "Erwin", "given" : "T.", "non-dropping-particle" : "", "parse-names" : false, "suffix" : "" }, { "dropping-particle" : "", "family" : "Kuebler", "given" : "C.", "non-dropping-particle" : "", "parse-names" : false, "suffix" : "" }, { "dropping-particle" : "", "family" : "Laurance", "given" : "S. G.", "non-dropping-particle" : "", "parse-names" : false, "suffix" : "" }, { "dropping-particle" : "", "family" : "Nascimento", "given" : "H. E. M.", "non-dropping-particle" : "", "parse-names" : false, "suffix" : "" }, { "dropping-particle" : "", "family" : "Olivier", "given" : "J.", "non-dropping-particle" : "", "parse-names" : false, "suffix" : "" }, { "dropping-particle" : "", "family" : "Palacios", "given" : "W.", "non-dropping-particle" : "", "parse-names" : false, "suffix" : "" }, { "dropping-particle" : "", "family" : "Patino", "given" : "S.", "non-dropping-particle" : "", "parse-names" : false, "suffix" : "" }, { "dropping-particle" : "", "family" : "Pitman", "given" : "N. C. A.", "non-dropping-particle" : "", "parse-names" : false, "suffix" : "" }, { "dropping-particle" : "", "family" : "Quesada", "given" : "C. A.", "non-dropping-particle" : "", "parse-names" : false, "suffix" : "" }, { "dropping-particle" : "", "family" : "Saldias", "given" : "M.", "non-dropping-particle" : "", "parse-names" : false, "suffix" : "" }, { "dropping-particle" : "", "family" : "Torres Lezama", "given" : "A.", "non-dropping-particle" : "", "parse-names" : false, "suffix" : "" }, { "dropping-particle" : "", "family" : "Vinceti", "given" : "B.", "non-dropping-particle" : "", "parse-names" : false, "suffix" : "" } ], "container-title" : "Philosophical Transactions of the Royal Society B: Biological Sciences", "id" : "ITEM-1", "issue" : "1443", "issued" : { "date-parts" : [ [ "2004" ] ] }, "page" : "381-407", "title" : "Pattern and process in Amazon tree turnover, 1976-2001", "type" : "article-journal", "volume" : "359" }, "uris" : [ "http://www.mendeley.com/documents/?uuid=6d181438-7411-402e-8912-4c5f7dd1b3dc" ] }, { "id" : "ITEM-2", "itemData" : { "DOI" : "10.1038/nature02383", "ISSN" : "0028-0836", "abstract" : "Pervasive alteration of tree communities in undisturbed Amazonian forests", "author" : [ { "dropping-particle" : "", "family" : "Laurance", "given" : "William F.", "non-dropping-particle" : "", "parse-names" : false, "suffix" : "" }, { "dropping-particle" : "", "family" : "Oliveira", "given" : "Alexandre A.", "non-dropping-particle" : "", "parse-names" : false, "suffix" : "" }, { "dropping-particle" : "", "family" : "Laurance", "given" : "Susan G.", "non-dropping-particle" : "", "parse-names" : false, "suffix" : "" }, { "dropping-particle" : "", "family" : "Condit", "given" : "Richard", "non-dropping-particle" : "", "parse-names" : false, "suffix" : "" }, { "dropping-particle" : "", "family" : "Nascimento", "given" : "Henrique E. M.", "non-dropping-particle" : "", "parse-names" : false, "suffix" : "" }, { "dropping-particle" : "", "family" : "Sanchez-Thorin", "given" : "Ana C.", "non-dropping-particle" : "", "parse-names" : false, "suffix" : "" }, { "dropping-particle" : "", "family" : "Lovejoy", "given" : "Thomas E.", "non-dropping-particle" : "", "parse-names" : false, "suffix" : "" }, { "dropping-particle" : "", "family" : "Andrade", "given" : "Ana", "non-dropping-particle" : "", "parse-names" : false, "suffix" : "" }, { "dropping-particle" : "", "family" : "D'Angelo", "given" : "Sammya", "non-dropping-particle" : "", "parse-names" : false, "suffix" : "" }, { "dropping-particle" : "", "family" : "Ribeiro", "given" : "Jos\u00e9 E.", "non-dropping-particle" : "", "parse-names" : false, "suffix" : "" }, { "dropping-particle" : "", "family" : "Dick", "given" : "Christopher W.", "non-dropping-particle" : "", "parse-names" : false, "suffix" : "" } ], "container-title" : "Nature", "id" : "ITEM-2", "issue" : "6979", "issued" : { "date-parts" : [ [ "2004", "3", "11" ] ] }, "page" : "171-175", "publisher" : "Nature Publishing Group", "title" : "Pervasive alteration of tree communities in undisturbed Amazonian forests", "type" : "article-journal", "volume" : "428" }, "uris" : [ "http://www.mendeley.com/documents/?uuid=abad585a-76d8-327e-a359-8c8ee4d7c235" ] }, { "id" : "ITEM-3", "itemData" : { "DOI" : "10.1098/rstb.2003.1432", "ISSN" : "0962-8436", "PMID" : "15212095", "abstract" : "Recent observations of widespread changes in mature tropical forests such as increasing tree growth, recruitment and mortality rates and increasing above-ground biomass suggest that 'global change' agents may be causing predictable changes in tropical forests. However, consensus over both the robustness of these changes and the environmental drivers that may be causing them is yet to emerge. This paper focuses on the second part of this debate. We review (i) the evidence that the physical, chemical and biological environment that tropical trees grow in has been altered over recent decades across large areas of the tropics, and (ii) the theoretical, experimental and observational evidence regarding the most likely effects of each of these changes on tropical forests. Ten potential widespread drivers of environmental change were identified: temperature, precipitation, solar radiation, climatic extremes (including El Ni\u00f1o-Southern Oscillation events), atmospheric CO2 concentrations, nutrient deposition, O3/acid depositions, hunting, land-use change and increasing liana numbers. We note that each of these environmental changes is expected to leave a unique 'fingerprint' in tropical forests, as drivers directly force different processes, have different distributions in space and time and may affect some forests more than others (e.g. depending on soil fertility). Thus, in the third part of the paper we present testable a priori predictions of forest responses to assist ecologists in attributing particular changes in forests to particular causes across multiple datasets. Finally, we discuss how these drivers may change in the future and the possible consequences for tropical forests.", "author" : [ { "dropping-particle" : "", "family" : "Lewis", "given" : "Simon L", "non-dropping-particle" : "", "parse-names" : false, "suffix" : "" }, { "dropping-particle" : "", "family" : "Malhi", "given" : "Yadvinder", "non-dropping-particle" : "", "parse-names" : false, "suffix" : "" }, { "dropping-particle" : "", "family" : "Phillips", "given" : "Oliver L", "non-dropping-particle" : "", "parse-names" : false, "suffix" : "" } ], "container-title" : "Philosophical Transactions of the Royal Society B: Biological Sciences", "id" : "ITEM-3", "issue" : "1443", "issued" : { "date-parts" : [ [ "2004", "3", "29" ] ] }, "page" : "437-462", "publisher" : "The Royal Society", "title" : "Fingerprinting the impacts of global change on tropical forests", "type" : "article-journal", "volume" : "359" }, "uris" : [ "http://www.mendeley.com/documents/?uuid=713e6f02-0ef5-328f-a228-15b9f0231547" ] } ], "mendeley" : { "formattedCitation" : "(Laurance et al., 2004; Lewis, Malhi, &amp; Phillips, 2004; O. L. Phillips et al., 2004)", "plainTextFormattedCitation" : "(Laurance et al., 2004; Lewis, Malhi, &amp; Phillips, 2004; O. L. Phillips et al., 2004)", "previouslyFormattedCitation" : "(Laurance et al., 2004; Lewis, Malhi, &amp; Phillips, 2004; O. L. Phillips et al., 2004)" }, "properties" : {  }, "schema" : "https://github.com/citation-style-language/schema/raw/master/csl-citation.json" }</w:instrText>
      </w:r>
      <w:r w:rsidRPr="008608AA">
        <w:rPr>
          <w:rFonts w:eastAsia="Droid Sans Fallback"/>
        </w:rPr>
        <w:fldChar w:fldCharType="separate"/>
      </w:r>
      <w:r w:rsidR="0045556C" w:rsidRPr="008608AA">
        <w:rPr>
          <w:rFonts w:eastAsia="Droid Sans Fallback"/>
          <w:noProof/>
        </w:rPr>
        <w:t>(Laurance et al., 2004; Lewis</w:t>
      </w:r>
      <w:r w:rsidRPr="008608AA">
        <w:rPr>
          <w:rFonts w:eastAsia="Droid Sans Fallback"/>
          <w:noProof/>
        </w:rPr>
        <w:t xml:space="preserve"> et al., 2004;  Phillips et al., 2004)</w:t>
      </w:r>
      <w:r w:rsidRPr="008608AA">
        <w:rPr>
          <w:rFonts w:eastAsia="Droid Sans Fallback"/>
        </w:rPr>
        <w:fldChar w:fldCharType="end"/>
      </w:r>
      <w:r w:rsidRPr="008608AA">
        <w:rPr>
          <w:rFonts w:eastAsia="Droid Sans Fallback"/>
        </w:rPr>
        <w:t xml:space="preserve">. Based on an extensive field site network, </w:t>
      </w:r>
      <w:r w:rsidR="0045556C" w:rsidRPr="008608AA">
        <w:rPr>
          <w:rFonts w:eastAsia="Droid Sans Fallback"/>
          <w:noProof/>
        </w:rPr>
        <w:t>Brienen</w:t>
      </w:r>
      <w:r w:rsidRPr="008608AA">
        <w:rPr>
          <w:rFonts w:eastAsia="Droid Sans Fallback"/>
          <w:noProof/>
        </w:rPr>
        <w:t xml:space="preserve"> et al. </w:t>
      </w:r>
      <w:r w:rsidRPr="008608AA">
        <w:rPr>
          <w:rFonts w:eastAsia="Droid Sans Fallback"/>
          <w:noProof/>
        </w:rPr>
        <w:fldChar w:fldCharType="begin" w:fldLock="1"/>
      </w:r>
      <w:r w:rsidRPr="008608AA">
        <w:rPr>
          <w:rFonts w:eastAsia="Droid Sans Fallback"/>
          <w:noProof/>
        </w:rPr>
        <w:instrText>ADDIN CSL_CITATION { "citationItems" : [ { "id" : "ITEM-1", "itemData" : { "DOI" : "10.1038/nature14283", "ISSN" : "0028-0836", "abstract" : "The Amazon is a globally important carbon sink, with tree growth incorporating carbon dioxide from the atmosphere. This paper suggests that the capacity of Amazonian forests to sequester carbon has weakened, with potentially important implications for climate change. Using on-the-ground measurements from a network of more than 300 long-term monitoring plots across the region, Roel Brienen and colleagues show that the rates of net increase in above-ground biomass have declined by a third during the past decade compared to the 1990s as a consequence of growth rate increases levelling off. At the same time biomass mortality persistently increased.", "author" : [ { "dropping-particle" : "", "family" : "Brienen", "given" : "R. J. W.", "non-dropping-particle" : "", "parse-names" : false, "suffix" : "" }, { "dropping-particle" : "", "family" : "Phillips", "given" : "O. L.", "non-dropping-particle" : "", "parse-names" : false, "suffix" : "" }, { "dropping-particle" : "", "family" : "Feldpausch", "given" : "T. R.", "non-dropping-particle" : "", "parse-names" : false, "suffix" : "" }, { "dropping-particle" : "", "family" : "Gloor", "given" : "E.", "non-dropping-particle" : "", "parse-names" : false, "suffix" : "" }, { "dropping-particle" : "", "family" : "Baker", "given" : "T. R.", "non-dropping-particle" : "", "parse-names" : false, "suffix" : "" }, { "dropping-particle" : "", "family" : "Lloyd", "given" : "J.", "non-dropping-particle" : "", "parse-names" : false, "suffix" : "" }, { "dropping-particle" : "", "family" : "Lopez-Gonzalez", "given" : "G.", "non-dropping-particle" : "", "parse-names" : false, "suffix" : "" }, { "dropping-particle" : "", "family" : "Monteagudo-Mendoza", "given" : "A.", "non-dropping-particle" : "", "parse-names" : false, "suffix" : "" }, { "dropping-particle" : "", "family" : "Malhi", "given" : "Y.", "non-dropping-particle" : "", "parse-names" : false, "suffix" : "" }, { "dropping-particle" : "", "family" : "Lewis", "given" : "S. L.", "non-dropping-particle" : "", "parse-names" : false, "suffix" : "" }, { "dropping-particle" : "", "family" : "V\u00e1squez Martinez", "given" : "R.", "non-dropping-particle" : "", "parse-names" : false, "suffix" : "" }, { "dropping-particle" : "", "family" : "Alexiades", "given" : "M.", "non-dropping-particle" : "", "parse-names" : false, "suffix" : "" }, { "dropping-particle" : "", "family" : "\u00c1lvarez D\u00e1vila", "given" : "E.", "non-dropping-particle" : "", "parse-names" : false, "suffix" : "" }, { "dropping-particle" : "", "family" : "Alvarez-Loayza", "given" : "P.", "non-dropping-particle" : "", "parse-names" : false, "suffix" : "" }, { "dropping-particle" : "", "family" : "Andrade", "given" : "A.", "non-dropping-particle" : "", "parse-names" : false, "suffix" : "" }, { "dropping-particle" : "", "family" : "Arag\u00e3o", "given" : "L. E. O. C.", "non-dropping-particle" : "", "parse-names" : false, "suffix" : "" }, { "dropping-particle" : "", "family" : "Araujo-Murakami", "given" : "A.", "non-dropping-particle" : "", "parse-names" : false, "suffix" : "" }, { "dropping-particle" : "", "family" : "Arets", "given" : "E. J. M. M.", "non-dropping-particle" : "", "parse-names" : false, "suffix" : "" }, { "dropping-particle" : "", "family" : "Arroyo", "given" : "L.", "non-dropping-particle" : "", "parse-names" : false, "suffix" : "" }, { "dropping-particle" : "", "family" : "Aymard C.", "given" : "G. A.", "non-dropping-particle" : "", "parse-names" : false, "suffix" : "" }, { "dropping-particle" : "", "family" : "B\u00e1nki", "given" : "O. S.", "non-dropping-particle" : "", "parse-names" : false, "suffix" : "" }, { "dropping-particle" : "", "family" : "Baraloto", "given" : "C.", "non-dropping-particle" : "", "parse-names" : false, "suffix" : "" }, { "dropping-particle" : "", "family" : "Barroso", "given" : "J.", "non-dropping-particle" : "", "parse-names" : false, "suffix" : "" }, { "dropping-particle" : "", "family" : "Bonal", "given" : "D.", "non-dropping-particle" : "", "parse-names" : false, "suffix" : "" }, { "dropping-particle" : "", "family" : "Boot", "given" : "R. G. A.", "non-dropping-particle" : "", "parse-names" : false, "suffix" : "" }, { "dropping-particle" : "", "family" : "Camargo", "given" : "J. L. C.", "non-dropping-particle" : "", "parse-names" : false, "suffix" : "" }, { "dropping-particle" : "V.", "family" : "Castilho", "given" : "C.", "non-dropping-particle" : "", "parse-names" : false, "suffix" : "" }, { "dropping-particle" : "", "family" : "Chama", "given" : "V.", "non-dropping-particle" : "", "parse-names" : false, "suffix" : "" }, { "dropping-particle" : "", "family" : "Chao", "given" : "K. J.", "non-dropping-particle" : "", "parse-names" : false, "suffix" : "" }, { "dropping-particle" : "", "family" : "Chave", "given" : "J.", "non-dropping-particle" : "", "parse-names" : false, "suffix" : "" }, { "dropping-particle" : "", "family" : "Comiskey", "given" : "J. A.", "non-dropping-particle" : "", "parse-names" : false, "suffix" : "" }, { "dropping-particle" : "", "family" : "Cornejo Valverde", "given" : "F.", "non-dropping-particle" : "", "parse-names" : false, "suffix" : "" }, { "dropping-particle" : "", "family" : "Costa", "given" : "L.", "non-dropping-particle" : "da", "parse-names" : false, "suffix" : "" }, { "dropping-particle" : "", "family" : "Oliveira", "given" : "E. A.", "non-dropping-particle" : "de", "parse-names" : false, "suffix" : "" }, { "dropping-particle" : "", "family" : "Fiore", "given" : "A.", "non-dropping-particle" : "Di", "parse-names" : false, "suffix" : "" }, { "dropping-particle" : "", "family" : "Erwin", "given" : "T. L.", "non-dropping-particle" : "", "parse-names" : false, "suffix" : "" }, { "dropping-particle" : "", "family" : "Fauset", "given" : "S.", "non-dropping-particle" : "", "parse-names" : false, "suffix" : "" }, { "dropping-particle" : "", "family" : "Forsthofer", "given" : "M.", "non-dropping-particle" : "", "parse-names" : false, "suffix" : "" }, { "dropping-particle" : "", "family" : "Galbraith", "given" : "D. R.", "non-dropping-particle" : "", "parse-names" : false, "suffix" : "" }, { "dropping-particle" : "", "family" : "Grahame", "given" : "E. S.", "non-dropping-particle" : "", "parse-names" : false, "suffix" : "" }, { "dropping-particle" : "", "family" : "Groot", "given" : "N.", "non-dropping-particle" : "", "parse-names" : false, "suffix" : "" }, { "dropping-particle" : "", "family" : "H\u00e9rault", "given" : "B.", "non-dropping-particle" : "", "parse-names" : false, "suffix" : "" }, { "dropping-particle" : "", "family" : "Higuchi", "given" : "N.", "non-dropping-particle" : "", "parse-names" : false, "suffix" : "" }, { "dropping-particle" : "", "family" : "Honorio Coronado", "given" : "E. N.", "non-dropping-particle" : "", "parse-names" : false, "suffix" : "" }, { "dropping-particle" : "", "family" : "Keeling", "given" : "H.", "non-dropping-particle" : "", "parse-names" : false, "suffix" : "" }, { "dropping-particle" : "", "family" : "Killeen", "given" : "T. J.", "non-dropping-particle" : "", "parse-names" : false, "suffix" : "" }, { "dropping-particle" : "", "family" : "Laurance", "given" : "W. F.", "non-dropping-particle" : "", "parse-names" : false, "suffix" : "" }, { "dropping-particle" : "", "family" : "Laurance", "given" : "S.", "non-dropping-particle" : "", "parse-names" : false, "suffix" : "" }, { "dropping-particle" : "", "family" : "Licona", "given" : "J.", "non-dropping-particle" : "", "parse-names" : false, "suffix" : "" }, { "dropping-particle" : "", "family" : "Magnussen", "given" : "W. E.", "non-dropping-particle" : "", "parse-names" : false, "suffix" : "" }, { "dropping-particle" : "", "family" : "Marimon", "given" : "B. S.", "non-dropping-particle" : "", "parse-names" : false, "suffix" : "" }, { "dropping-particle" : "", "family" : "Marimon-Junior", "given" : "B. H.", "non-dropping-particle" : "", "parse-names" : false, "suffix" : "" }, { "dropping-particle" : "", "family" : "Mendoza", "given" : "C.", "non-dropping-particle" : "", "parse-names" : false, "suffix" : "" }, { "dropping-particle" : "", "family" : "Neill", "given" : "D. A.", "non-dropping-particle" : "", "parse-names" : false, "suffix" : "" }, { "dropping-particle" : "", "family" : "Nogueira", "given" : "E. M.", "non-dropping-particle" : "", "parse-names" : false, "suffix" : "" }, { "dropping-particle" : "", "family" : "N\u00fa\u00f1ez", "given" : "P.", "non-dropping-particle" : "", "parse-names" : false, "suffix" : "" }, { "dropping-particle" : "", "family" : "Pallqui Camacho", "given" : "N. C.", "non-dropping-particle" : "", "parse-names" : false, "suffix" : "" }, { "dropping-particle" : "", "family" : "Parada", "given" : "A.", "non-dropping-particle" : "", "parse-names" : false, "suffix" : "" }, { "dropping-particle" : "", "family" : "Pardo-Molina", "given" : "G.", "non-dropping-particle" : "", "parse-names" : false, "suffix" : "" }, { "dropping-particle" : "", "family" : "Peacock", "given" : "J.", "non-dropping-particle" : "", "parse-names" : false, "suffix" : "" }, { "dropping-particle" : "", "family" : "Pe\u00f1a-Claros", "given" : "M.", "non-dropping-particle" : "", "parse-names" : false, "suffix" : "" }, { "dropping-particle" : "", "family" : "Pickavance", "given" : "G. C.", "non-dropping-particle" : "", "parse-names" : false, "suffix" : "" }, { "dropping-particle" : "", "family" : "Pitman", "given" : "N. C. A.", "non-dropping-particle" : "", "parse-names" : false, "suffix" : "" }, { "dropping-particle" : "", "family" : "Poorter", "given" : "L.", "non-dropping-particle" : "", "parse-names" : false, "suffix" : "" }, { "dropping-particle" : "", "family" : "Prieto", "given" : "A.", "non-dropping-particle" : "", "parse-names" : false, "suffix" : "" }, { "dropping-particle" : "", "family" : "Quesada", "given" : "C. A.", "non-dropping-particle" : "", "parse-names" : false, "suffix" : "" }, { "dropping-particle" : "", "family" : "Ram\u00edrez", "given" : "F.", "non-dropping-particle" : "", "parse-names" : false, "suffix" : "" }, { "dropping-particle" : "", "family" : "Ram\u00edrez-Angulo", "given" : "H.", "non-dropping-particle" : "", "parse-names" : false, "suffix" : "" }, { "dropping-particle" : "", "family" : "Restrepo", "given" : "Z.", "non-dropping-particle" : "", "parse-names" : false, "suffix" : "" }, { "dropping-particle" : "", "family" : "Roopsind", "given" : "A.", "non-dropping-particle" : "", "parse-names" : false, "suffix" : "" }, { "dropping-particle" : "", "family" : "Rudas", "given" : "A.", "non-dropping-particle" : "", "parse-names" : false, "suffix" : "" }, { "dropping-particle" : "", "family" : "Salom\u00e3o", "given" : "R. P.", "non-dropping-particle" : "", "parse-names" : false, "suffix" : "" }, { "dropping-particle" : "", "family" : "Schwarz", "given" : "M.", "non-dropping-particle" : "", "parse-names" : false, "suffix" : "" }, { "dropping-particle" : "", "family" : "Silva", "given" : "N.", "non-dropping-particle" : "", "parse-names" : false, "suffix" : "" }, { "dropping-particle" : "", "family" : "Silva-Espejo", "given" : "J. E.", "non-dropping-particle" : "", "parse-names" : false, "suffix" : "" }, { "dropping-particle" : "", "family" : "Silveira", "given" : "M.", "non-dropping-particle" : "", "parse-names" : false, "suffix" : "" }, { "dropping-particle" : "", "family" : "Stropp", "given" : "J.", "non-dropping-particle" : "", "parse-names" : false, "suffix" : "" }, { "dropping-particle" : "", "family" : "Talbot", "given" : "J.", "non-dropping-particle" : "", "parse-names" : false, "suffix" : "" }, { "dropping-particle" : "", "family" : "Steege", "given" : "H.", "non-dropping-particle" : "ter", "parse-names" : false, "suffix" : "" }, { "dropping-particle" : "", "family" : "Teran-Aguilar", "given" : "J.", "non-dropping-particle" : "", "parse-names" : false, "suffix" : "" }, { "dropping-particle" : "", "family" : "Terborgh", "given" : "J.", "non-dropping-particle" : "", "parse-names" : false, "suffix" : "" }, { "dropping-particle" : "", "family" : "Thomas-Caesar", "given" : "R.", "non-dropping-particle" : "", "parse-names" : false, "suffix" : "" }, { "dropping-particle" : "", "family" : "Toledo", "given" : "M.", "non-dropping-particle" : "", "parse-names" : false, "suffix" : "" }, { "dropping-particle" : "", "family" : "Torello-Raventos", "given" : "M.", "non-dropping-particle" : "", "parse-names" : false, "suffix" : "" }, { "dropping-particle" : "", "family" : "Umetsu", "given" : "R. K.", "non-dropping-particle" : "", "parse-names" : false, "suffix" : "" }, { "dropping-particle" : "", "family" : "Heijden", "given" : "G. M. F.", "non-dropping-particle" : "van der", "parse-names" : false, "suffix" : "" }, { "dropping-particle" : "", "family" : "Hout", "given" : "P.", "non-dropping-particle" : "van der", "parse-names" : false, "suffix" : "" }, { "dropping-particle" : "", "family" : "Guimar\u00e3es Vieira", "given" : "I. C.", "non-dropping-particle" : "", "parse-names" : false, "suffix" : "" }, { "dropping-particle" : "", "family" : "Vieira", "given" : "S. A.", "non-dropping-particle" : "", "parse-names" : false, "suffix" : "" }, { "dropping-particle" : "", "family" : "Vilanova", "given" : "E.", "non-dropping-particle" : "", "parse-names" : false, "suffix" : "" }, { "dropping-particle" : "", "family" : "Vos", "given" : "V. A.", "non-dropping-particle" : "", "parse-names" : false, "suffix" : "" }, { "dropping-particle" : "", "family" : "Zagt", "given" : "R. J.", "non-dropping-particle" : "", "parse-names" : false, "suffix" : "" } ], "container-title" : "Nature", "id" : "ITEM-1", "issue" : "7543", "issued" : { "date-parts" : [ [ "2015", "3", "18" ] ] }, "page" : "344-348", "publisher" : "Nature Publishing Group", "title" : "Long-term decline of the Amazon carbon sink", "type" : "article-journal", "volume" : "519" }, "suppress-author" : 1, "uris" : [ "http://www.mendeley.com/documents/?uuid=87676d38-5083-34aa-a8e2-748d1af1a8a8" ] } ], "mendeley" : { "formattedCitation" : "(2015)", "plainTextFormattedCitation" : "(2015)", "previouslyFormattedCitation" : "(2015)" }, "properties" : {  }, "schema" : "https://github.com/citation-style-language/schema/raw/master/csl-citation.json" }</w:instrText>
      </w:r>
      <w:r w:rsidRPr="008608AA">
        <w:rPr>
          <w:rFonts w:eastAsia="Droid Sans Fallback"/>
          <w:noProof/>
        </w:rPr>
        <w:fldChar w:fldCharType="separate"/>
      </w:r>
      <w:r w:rsidRPr="008608AA">
        <w:rPr>
          <w:rFonts w:eastAsia="Droid Sans Fallback"/>
          <w:noProof/>
        </w:rPr>
        <w:t>(2015)</w:t>
      </w:r>
      <w:r w:rsidRPr="008608AA">
        <w:rPr>
          <w:rFonts w:eastAsia="Droid Sans Fallback"/>
          <w:noProof/>
        </w:rPr>
        <w:fldChar w:fldCharType="end"/>
      </w:r>
      <w:r w:rsidRPr="008608AA">
        <w:rPr>
          <w:rFonts w:eastAsia="Droid Sans Fallback"/>
        </w:rPr>
        <w:t xml:space="preserve"> suggest a strong decrease in the Amazon forest net carbon sink. The increase on the frequency of extreme drought events was suggested to worsen these responses in the future </w:t>
      </w:r>
      <w:r w:rsidRPr="008608AA">
        <w:rPr>
          <w:rFonts w:eastAsia="Droid Sans Fallback"/>
        </w:rPr>
        <w:fldChar w:fldCharType="begin" w:fldLock="1"/>
      </w:r>
      <w:r w:rsidRPr="008608AA">
        <w:rPr>
          <w:rFonts w:eastAsia="Droid Sans Fallback"/>
        </w:rPr>
        <w:instrText>ADDIN CSL_CITATION { "citationItems" : [ { "id" : "ITEM-1", "itemData" : { "DOI" : "10.1002/2015GB005133", "ISSN" : "08866236", "author" : [ { "dropping-particle" : "", "family" : "Feldpausch", "given" : "T. R.", "non-dropping-particle" : "", "parse-names" : false, "suffix" : "" }, { "dropping-particle" : "", "family" : "Phillips", "given" : "O. L.", "non-dropping-particle" : "", "parse-names" : false, "suffix" : "" }, { "dropping-particle" : "", "family" : "Brienen", "given" : "R. J. W.", "non-dropping-particle" : "", "parse-names" : false, "suffix" : "" }, { "dropping-particle" : "", "family" : "Gloor", "given" : "E.", "non-dropping-particle" : "", "parse-names" : false, "suffix" : "" }, { "dropping-particle" : "", "family" : "Lloyd", "given" : "J.", "non-dropping-particle" : "", "parse-names" : false, "suffix" : "" }, { "dropping-particle" : "", "family" : "Lopez-Gonzalez", "given" : "G.", "non-dropping-particle" : "", "parse-names" : false, "suffix" : "" }, { "dropping-particle" : "", "family" : "Monteagudo-Mendoza", "given" : "A.", "non-dropping-particle" : "", "parse-names" : false, "suffix" : "" }, { "dropping-particle" : "", "family" : "Malhi", "given" : "Y.", "non-dropping-particle" : "", "parse-names" : false, "suffix" : "" }, { "dropping-particle" : "", "family" : "Alarc\u00f3n", "given" : "A.", "non-dropping-particle" : "", "parse-names" : false, "suffix" : "" }, { "dropping-particle" : "", "family" : "\u00c1lvarez D\u00e1vila", "given" : "E.", "non-dropping-particle" : "", "parse-names" : false, "suffix" : "" }, { "dropping-particle" : "", "family" : "Alvarez-Loayza", "given" : "P.", "non-dropping-particle" : "", "parse-names" : false, "suffix" : "" }, { "dropping-particle" : "", "family" : "Andrade", "given" : "A.", "non-dropping-particle" : "", "parse-names" : false, "suffix" : "" }, { "dropping-particle" : "", "family" : "Aragao", "given" : "L. E. O. C.", "non-dropping-particle" : "", "parse-names" : false, "suffix" : "" }, { "dropping-particle" : "", "family" : "Arroyo", "given" : "L.", "non-dropping-particle" : "", "parse-names" : false, "suffix" : "" }, { "dropping-particle" : "", "family" : "Aymard C.", "given" : "G. A.", "non-dropping-particle" : "", "parse-names" : false, "suffix" : "" }, { "dropping-particle" : "", "family" : "Baker", "given" : "T. R.", "non-dropping-particle" : "", "parse-names" : false, "suffix" : "" }, { "dropping-particle" : "", "family" : "Baraloto", "given" : "C.", "non-dropping-particle" : "", "parse-names" : false, "suffix" : "" }, { "dropping-particle" : "", "family" : "Barroso", "given" : "J.", "non-dropping-particle" : "", "parse-names" : false, "suffix" : "" }, { "dropping-particle" : "", "family" : "Bonal", "given" : "D.", "non-dropping-particle" : "", "parse-names" : false, "suffix" : "" }, { "dropping-particle" : "", "family" : "Castro", "given" : "W.", "non-dropping-particle" : "", "parse-names" : false, "suffix" : "" }, { "dropping-particle" : "", "family" : "Chama", "given" : "V.", "non-dropping-particle" : "", "parse-names" : false, "suffix" : "" }, { "dropping-particle" : "", "family" : "Chave", "given" : "J.", "non-dropping-particle" : "", "parse-names" : false, "suffix" : "" }, { "dropping-particle" : "", "family" : "Domingues", "given" : "T. F.", "non-dropping-particle" : "", "parse-names" : false, "suffix" : "" }, { "dropping-particle" : "", "family" : "Fauset", "given" : "S.", "non-dropping-particle" : "", "parse-names" : false, "suffix" : "" }, { "dropping-particle" : "", "family" : "Groot", "given" : "N.", "non-dropping-particle" : "", "parse-names" : false, "suffix" : "" }, { "dropping-particle" : "", "family" : "Honorio Coronado", "given" : "E.", "non-dropping-particle" : "", "parse-names" : false, "suffix" : "" }, { "dropping-particle" : "", "family" : "Laurance", "given" : "S.", "non-dropping-particle" : "", "parse-names" : false, "suffix" : "" }, { "dropping-particle" : "", "family" : "Laurance", "given" : "W. F.", "non-dropping-particle" : "", "parse-names" : false, "suffix" : "" }, { "dropping-particle" : "", "family" : "Lewis", "given" : "S. L.", "non-dropping-particle" : "", "parse-names" : false, "suffix" : "" }, { "dropping-particle" : "", "family" : "Licona", "given" : "J. C.", "non-dropping-particle" : "", "parse-names" : false, "suffix" : "" }, { "dropping-particle" : "", "family" : "Marimon", "given" : "B. S.", "non-dropping-particle" : "", "parse-names" : false, "suffix" : "" }, { "dropping-particle" : "", "family" : "Marimon-Junior", "given" : "B. H.", "non-dropping-particle" : "", "parse-names" : false, "suffix" : "" }, { "dropping-particle" : "", "family" : "Mendoza Bautista", "given" : "C.", "non-dropping-particle" : "", "parse-names" : false, "suffix" : "" }, { "dropping-particle" : "", "family" : "Neill", "given" : "D. A.", "non-dropping-particle" : "", "parse-names" : false, "suffix" : "" }, { "dropping-particle" : "", "family" : "Oliveira", "given" : "E. A.", "non-dropping-particle" : "", "parse-names" : false, "suffix" : "" }, { "dropping-particle" : "", "family" : "Oliveira dos Santos", "given" : "C.", "non-dropping-particle" : "", "parse-names" : false, "suffix" : "" }, { "dropping-particle" : "", "family" : "Pallqui Camacho", "given" : "N. C.", "non-dropping-particle" : "", "parse-names" : false, "suffix" : "" }, { "dropping-particle" : "", "family" : "Pardo-Molina", "given" : "G.", "non-dropping-particle" : "", "parse-names" : false, "suffix" : "" }, { "dropping-particle" : "", "family" : "Prieto", "given" : "A.", "non-dropping-particle" : "", "parse-names" : false, "suffix" : "" }, { "dropping-particle" : "", "family" : "Quesada", "given" : "C. A.", "non-dropping-particle" : "", "parse-names" : false, "suffix" : "" }, { "dropping-particle" : "", "family" : "Ram\u00edrez", "given" : "F.", "non-dropping-particle" : "", "parse-names" : false, "suffix" : "" }, { "dropping-particle" : "", "family" : "Ram\u00edrez-Angulo", "given" : "H.", "non-dropping-particle" : "", "parse-names" : false, "suffix" : "" }, { "dropping-particle" : "", "family" : "R\u00e9jou-M\u00e9chain", "given" : "M.", "non-dropping-particle" : "", "parse-names" : false, "suffix" : "" }, { "dropping-particle" : "", "family" : "Rudas", "given" : "A.", "non-dropping-particle" : "", "parse-names" : false, "suffix" : "" }, { "dropping-particle" : "", "family" : "Saiz", "given" : "G.", "non-dropping-particle" : "", "parse-names" : false, "suffix" : "" }, { "dropping-particle" : "", "family" : "Salom\u00e3o", "given" : "R. P.", "non-dropping-particle" : "", "parse-names" : false, "suffix" : "" }, { "dropping-particle" : "", "family" : "Silva-Espejo", "given" : "J. E.", "non-dropping-particle" : "", "parse-names" : false, "suffix" : "" }, { "dropping-particle" : "", "family" : "Silveira", "given" : "M.", "non-dropping-particle" : "", "parse-names" : false, "suffix" : "" }, { "dropping-particle" : "", "family" : "Steege", "given" : "H.", "non-dropping-particle" : "ter", "parse-names" : false, "suffix" : "" }, { "dropping-particle" : "", "family" : "Stropp", "given" : "J.", "non-dropping-particle" : "", "parse-names" : false, "suffix" : "" }, { "dropping-particle" : "", "family" : "Terborgh", "given" : "J.", "non-dropping-particle" : "", "parse-names" : false, "suffix" : "" }, { "dropping-particle" : "", "family" : "Thomas-Caesar", "given" : "R.", "non-dropping-particle" : "", "parse-names" : false, "suffix" : "" }, { "dropping-particle" : "", "family" : "Heijden", "given" : "G. M. F.", "non-dropping-particle" : "van der", "parse-names" : false, "suffix" : "" }, { "dropping-particle" : "", "family" : "V\u00e1squez Martinez", "given" : "R.", "non-dropping-particle" : "", "parse-names" : false, "suffix" : "" }, { "dropping-particle" : "", "family" : "Vilanova", "given" : "E.", "non-dropping-particle" : "", "parse-names" : false, "suffix" : "" }, { "dropping-particle" : "", "family" : "Vos", "given" : "V. A.", "non-dropping-particle" : "", "parse-names" : false, "suffix" : "" } ], "container-title" : "Global Biogeochemical Cycles", "id" : "ITEM-1", "issue" : "7", "issued" : { "date-parts" : [ [ "2016", "7", "1" ] ] }, "page" : "964-982", "title" : "Amazon forest response to repeated droughts", "type" : "article-journal", "volume" : "30" }, "uris" : [ "http://www.mendeley.com/documents/?uuid=e5fd7eaf-2025-303e-9c4d-461d1bfc0339" ] } ], "mendeley" : { "formattedCitation" : "(Feldpausch et al., 2016)", "plainTextFormattedCitation" : "(Feldpausch et al., 2016)", "previouslyFormattedCitation" : "(Feldpausch et al.,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(Feldpausch et al., 2016)</w:t>
      </w:r>
      <w:r w:rsidRPr="008608AA">
        <w:rPr>
          <w:rFonts w:eastAsia="Droid Sans Fallback"/>
        </w:rPr>
        <w:fldChar w:fldCharType="end"/>
      </w:r>
      <w:r w:rsidRPr="008608AA">
        <w:rPr>
          <w:rFonts w:eastAsia="Droid Sans Fallback"/>
        </w:rPr>
        <w:t xml:space="preserve">. Moreover, there is a significant likelihood of future forest die back in the Amazon under most climate change projections and it is uncertain which species will adapt to novel climates projected to concentrate in tropical forest biomes </w:t>
      </w:r>
      <w:r w:rsidRPr="008608AA">
        <w:rPr>
          <w:rFonts w:eastAsia="Droid Sans Fallback"/>
        </w:rPr>
        <w:fldChar w:fldCharType="begin" w:fldLock="1"/>
      </w:r>
      <w:r w:rsidRPr="008608AA">
        <w:rPr>
          <w:rFonts w:eastAsia="Droid Sans Fallback"/>
        </w:rPr>
        <w:instrText>ADDIN CSL_CITATION { "citationItems" : [ { "id" : "ITEM-1", "itemData" : { "DOI" : "10.1038/ncomms14681", "ISSN" : "2041-1723", "abstract" : "Relatively little is understood about seasonal effect of climate change on the Amazon rainforest. Here, the authors show that Amazon forest loss in response to dry-season intensification during the last glacial period was likely self-amplified by regional vegetation-rainfall feedbacks.", "author" : [ { "dropping-particle" : "", "family" : "Zemp", "given" : "Delphine Clara", "non-dropping-particle" : "", "parse-names" : false, "suffix" : "" }, { "dropping-particle" : "", "family" : "Schleussner", "given" : "Carl-Friedrich", "non-dropping-particle" : "", "parse-names" : false, "suffix" : "" }, { "dropping-particle" : "", "family" : "Barbosa", "given" : "Henrique M. J.", "non-dropping-particle" : "", "parse-names" : false, "suffix" : "" }, { "dropping-particle" : "", "family" : "Hirota", "given" : "Marina", "non-dropping-particle" : "", "parse-names" : false, "suffix" : "" }, { "dropping-particle" : "", "family" : "Montade", "given" : "Vincent", "non-dropping-particle" : "", "parse-names" : false, "suffix" : "" }, { "dropping-particle" : "", "family" : "Sampaio", "given" : "Gilvan", "non-dropping-particle" : "", "parse-names" : false, "suffix" : "" }, { "dropping-particle" : "", "family" : "Staal", "given" : "Arie", "non-dropping-particle" : "", "parse-names" : false, "suffix" : "" }, { "dropping-particle" : "", "family" : "Wang-Erlandsson", "given" : "Lan", "non-dropping-particle" : "", "parse-names" : false, "suffix" : "" }, { "dropping-particle" : "", "family" : "Rammig", "given" : "Anja", "non-dropping-particle" : "", "parse-names" : false, "suffix" : "" } ], "container-title" : "Nature Communications", "id" : "ITEM-1", "issued" : { "date-parts" : [ [ "2017", "3", "13" ] ] }, "page" : "14681", "publisher" : "Nature Publishing Group", "title" : "Self-amplified Amazon forest loss due to vegetation-atmosphere feedbacks", "type" : "article-journal", "volume" : "8" }, "uris" : [ "http://www.mendeley.com/documents/?uuid=b4c6e4be-2730-32a7-8bfb-5a69cf75809a" ] } ], "mendeley" : { "formattedCitation" : "(Zemp et al., 2017)", "plainTextFormattedCitation" : "(Zemp et al., 2017)", "previouslyFormattedCitation" : "(Zemp et al., 2017)"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(Zemp et al., 2017)</w:t>
      </w:r>
      <w:r w:rsidRPr="008608AA">
        <w:rPr>
          <w:rFonts w:eastAsia="Droid Sans Fallback"/>
        </w:rPr>
        <w:fldChar w:fldCharType="end"/>
      </w:r>
      <w:r w:rsidRPr="008608AA">
        <w:rPr>
          <w:rFonts w:eastAsia="Droid Sans Fallback"/>
        </w:rPr>
        <w:t xml:space="preserve">. The main negative effects of the increasing climate variability on forests will likely be via occasional drier and hotter episodes particularly in those regions which have experienced a slight drying trend, i.e., the southwest and south of the basin </w:t>
      </w:r>
      <w:r w:rsidRPr="008608AA">
        <w:rPr>
          <w:rFonts w:eastAsia="Droid Sans Fallback"/>
        </w:rPr>
        <w:fldChar w:fldCharType="begin" w:fldLock="1"/>
      </w:r>
      <w:r w:rsidRPr="008608AA">
        <w:rPr>
          <w:rFonts w:eastAsia="Droid Sans Fallback"/>
        </w:rPr>
        <w:instrText>ADDIN CSL_CITATION { "citationItems" : [ { "id" : "ITEM-1", "itemData" : { "DOI" : "10.1002/2014GB005080", "ISSN" : "08866236", "author" : [ { "dropping-particle" : "", "family" : "Gloor", "given" : "M.", "non-dropping-particle" : "", "parse-names" : false, "suffix" : "" }, { "dropping-particle" : "", "family" : "Barichivich", "given" : "J.", "non-dropping-particle" : "", "parse-names" : false, "suffix" : "" }, { "dropping-particle" : "", "family" : "Ziv", "given" : "G.", "non-dropping-particle" : "", "parse-names" : false, "suffix" : "" }, { "dropping-particle" : "", "family" : "Brienen", "given" : "R.", "non-dropping-particle" : "", "parse-names" : false, "suffix" : "" }, { "dropping-particle" : "", "family" : "Sch\u00f6ngart", "given" : "J.", "non-dropping-particle" : "", "parse-names" : false, "suffix" : "" }, { "dropping-particle" : "", "family" : "Peylin", "given" : "P.", "non-dropping-particle" : "", "parse-names" : false, "suffix" : "" }, { "dropping-particle" : "", "family" : "Ladvocat Cintra", "given" : "B. Barcante", "non-dropping-particle" : "", "parse-names" : false, "suffix" : "" }, { "dropping-particle" : "", "family" : "Feldpausch", "given" : "T.", "non-dropping-particle" : "", "parse-names" : false, "suffix" : "" }, { "dropping-particle" : "", "family" : "Phillips", "given" : "O.", "non-dropping-particle" : "", "parse-names" : false, "suffix" : "" }, { "dropping-particle" : "", "family" : "Baker", "given" : "J.", "non-dropping-particle" : "", "parse-names" : false, "suffix" : "" } ], "container-title" : "Global Biogeochemical Cycles", "id" : "ITEM-1", "issue" : "9", "issued" : { "date-parts" : [ [ "2015", "9", "1" ] ] }, "page" : "1384-1399", "title" : "Recent Amazon climate as background for possible ongoing and future changes of Amazon humid forests", "type" : "article-journal", "volume" : "29" }, "uris" : [ "http://www.mendeley.com/documents/?uuid=14c17c9c-2d71-33b8-9f33-7fda6412285c" ] } ], "mendeley" : { "formattedCitation" : "(Gloor et al., 2015)", "plainTextFormattedCitation" : "(Gloor et al., 2015)", "previouslyFormattedCitation" : "(Gloor et al.,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(Gloor et al., 2015)</w:t>
      </w:r>
      <w:r w:rsidRPr="008608AA">
        <w:rPr>
          <w:rFonts w:eastAsia="Droid Sans Fallback"/>
        </w:rPr>
        <w:fldChar w:fldCharType="end"/>
      </w:r>
      <w:r w:rsidRPr="008608AA">
        <w:rPr>
          <w:rFonts w:eastAsia="Droid Sans Fallback"/>
        </w:rPr>
        <w:t xml:space="preserve">. Seasonality and strength of carbon fluxes in the Amazon forest might be affected, in the short term, by climate change </w:t>
      </w:r>
      <w:r w:rsidRPr="008608AA">
        <w:rPr>
          <w:rFonts w:eastAsia="Droid Sans Fallback"/>
        </w:rPr>
        <w:fldChar w:fldCharType="begin" w:fldLock="1"/>
      </w:r>
      <w:r w:rsidRPr="008608AA">
        <w:rPr>
          <w:rFonts w:eastAsia="Droid Sans Fallback"/>
        </w:rPr>
        <w:instrText>ADDIN CSL_CITATION { "citationItems" : [ { "id" : "ITEM-1", "itemData" : { "DOI" : "10.1038/nature12957", "ISSN" : "0028-0836", "author" : [ { "dropping-particle" : "V.", "family" : "Gatti", "given" : "L.", "non-dropping-particle" : "", "parse-names" : false, "suffix" : "" }, { "dropping-particle" : "", "family" : "Gloor", "given" : "M.", "non-dropping-particle" : "", "parse-names" : false, "suffix" : "" }, { "dropping-particle" : "", "family" : "Miller", "given" : "J. B.", "non-dropping-particle" : "", "parse-names" : false, "suffix" : "" }, { "dropping-particle" : "", "family" : "Doughty", "given" : "C. E.", "non-dropping-particle" : "", "parse-names" : false, "suffix" : "" }, { "dropping-particle" : "", "family" : "Malhi", "given" : "Y.", "non-dropping-particle" : "", "parse-names" : false, "suffix" : "" }, { "dropping-particle" : "", "family" : "Domingues", "given" : "L. G.", "non-dropping-particle" : "", "parse-names" : false, "suffix" : "" }, { "dropping-particle" : "", "family" : "Basso", "given" : "L. S.", "non-dropping-particle" : "", "parse-names" : false, "suffix" : "" }, { "dropping-particle" : "", "family" : "Martinewski", "given" : "A.", "non-dropping-particle" : "", "parse-names" : false, "suffix" : "" }, { "dropping-particle" : "", "family" : "Correia", "given" : "C. S. C.", "non-dropping-particle" : "", "parse-names" : false, "suffix" : "" }, { "dropping-particle" : "", "family" : "Borges", "given" : "V. F.", "non-dropping-particle" : "", "parse-names" : false, "suffix" : "" }, { "dropping-particle" : "", "family" : "Freitas", "given" : "S.", "non-dropping-particle" : "", "parse-names" : false, "suffix" : "" }, { "dropping-particle" : "", "family" : "Braz", "given" : "R.", "non-dropping-particle" : "", "parse-names" : false, "suffix" : "" }, { "dropping-particle" : "", "family" : "Anderson", "given" : "L. O.", "non-dropping-particle" : "", "parse-names" : false, "suffix" : "" }, { "dropping-particle" : "", "family" : "Rocha", "given" : "H.", "non-dropping-particle" : "", "parse-names" : false, "suffix" : "" }, { "dropping-particle" : "", "family" : "Grace", "given" : "J.", "non-dropping-particle" : "", "parse-names" : false, "suffix" : "" }, { "dropping-particle" : "", "family" : "Phillips", "given" : "O. L.", "non-dropping-particle" : "", "parse-names" : false, "suffix" : "" }, { "dropping-particle" : "", "family" : "Lloyd", "given" : "J.", "non-dropping-particle" : "", "parse-names" : false, "suffix" : "" } ], "container-title" : "Nature", "id" : "ITEM-1", "issue" : "7486", "issued" : { "date-parts" : [ [ "2014", "2", "5" ] ] }, "page" : "76-80", "title" : "Drought sensitivity of Amazonian carbon balance revealed by atmospheric measurements", "type" : "article-journal", "volume" : "506" }, "uris" : [ "http://www.mendeley.com/documents/?uuid=31c68d94-332d-3d9a-80b1-4ea6f225ea24" ] } ], "mendeley" : { "formattedCitation" : "(Gatti et al., 2014)", "plainTextFormattedCitation" : "(Gatti et al., 2014)", "previouslyFormattedCitation" : "(Gatti et al.,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(Gatti et al., 2014)</w:t>
      </w:r>
      <w:r w:rsidRPr="008608AA">
        <w:rPr>
          <w:rFonts w:eastAsia="Droid Sans Fallback"/>
        </w:rPr>
        <w:fldChar w:fldCharType="end"/>
      </w:r>
      <w:r w:rsidRPr="008608AA">
        <w:rPr>
          <w:rFonts w:eastAsia="Droid Sans Fallback"/>
        </w:rPr>
        <w:t>.</w:t>
      </w:r>
    </w:p>
    <w:p w14:paraId="0782158D" w14:textId="4787BB86" w:rsidR="00CF6BD8" w:rsidRPr="008608AA" w:rsidRDefault="00490494" w:rsidP="006362EA">
      <w:pPr>
        <w:suppressAutoHyphens/>
        <w:rPr>
          <w:rFonts w:eastAsia="Droid Sans Fallback"/>
        </w:rPr>
      </w:pPr>
      <w:r w:rsidRPr="008608AA">
        <w:rPr>
          <w:rFonts w:eastAsia="Droid Sans Fallback"/>
        </w:rPr>
        <w:t xml:space="preserve">Aside from the fact that deforestation and forest degradation is the biggest threat for forest areas in the tropics, </w:t>
      </w:r>
      <w:r w:rsidRPr="008608AA">
        <w:rPr>
          <w:rFonts w:eastAsia="Droid Sans Fallback"/>
        </w:rPr>
        <w:fldChar w:fldCharType="begin" w:fldLock="1"/>
      </w:r>
      <w:r w:rsidRPr="008608AA">
        <w:rPr>
          <w:rFonts w:eastAsia="Droid Sans Fallback"/>
        </w:rPr>
        <w:instrText>ADDIN CSL_CITATION { "citationItems" : [ { "id" : "ITEM-1", "itemData" : { "DOI" : "10.1111/gcb.13087", "ISSN" : "13541013", "author" : [ { "dropping-particle" : "", "family" : "Bustamante", "given" : "Mercedes M. C.", "non-dropping-particle" : "", "parse-names" : false, "suffix" : "" }, { "dropping-particle" : "", "family" : "Roitman", "given" : "Iris", "non-dropping-particle" : "", "parse-names" : false, "suffix" : "" }, { "dropping-particle" : "", "family" : "Aide", "given" : "T. Mitchell", "non-dropping-particle" : "", "parse-names" : false, "suffix" : "" }, { "dropping-particle" : "", "family" : "Alencar", "given" : "Ane", "non-dropping-particle" : "", "parse-names" : false, "suffix" : "" }, { "dropping-particle" : "", "family" : "Anderson", "given" : "Liana O.", "non-dropping-particle" : "", "parse-names" : false, "suffix" : "" }, { "dropping-particle" : "", "family" : "Arag\u00e3o", "given" : "Luiz", "non-dropping-particle" : "", "parse-names" : false, "suffix" : "" }, { "dropping-particle" : "", "family" : "Asner", "given" : "Gregory P.", "non-dropping-particle" : "", "parse-names" : false, "suffix" : "" }, { "dropping-particle" : "", "family" : "Barlow", "given" : "Jos", "non-dropping-particle" : "", "parse-names" : false, "suffix" : "" }, { "dropping-particle" : "", "family" : "Berenguer", "given" : "Erika", "non-dropping-particle" : "", "parse-names" : false, "suffix" : "" }, { "dropping-particle" : "", "family" : "Chambers", "given" : "Jeffrey", "non-dropping-particle" : "", "parse-names" : false, "suffix" : "" }, { "dropping-particle" : "", "family" : "Costa", "given" : "Marcos H.", "non-dropping-particle" : "", "parse-names" : false, "suffix" : "" }, { "dropping-particle" : "", "family" : "Fanin", "given" : "Thierry", "non-dropping-particle" : "", "parse-names" : false, "suffix" : "" }, { "dropping-particle" : "", "family" : "Ferreira", "given" : "Laerte G.", "non-dropping-particle" : "", "parse-names" : false, "suffix" : "" }, { "dropping-particle" : "", "family" : "Ferreira", "given" : "Joice", "non-dropping-particle" : "", "parse-names" : false, "suffix" : "" }, { "dropping-particle" : "", "family" : "Keller", "given" : "Michael", "non-dropping-particle" : "", "parse-names" : false, "suffix" : "" }, { "dropping-particle" : "", "family" : "Magnusson", "given" : "William E.", "non-dropping-particle" : "", "parse-names" : false, "suffix" : "" }, { "dropping-particle" : "", "family" : "Morales-Barquero", "given" : "Lucia", "non-dropping-particle" : "", "parse-names" : false, "suffix" : "" }, { "dropping-particle" : "", "family" : "Morton", "given" : "Douglas", "non-dropping-particle" : "", "parse-names" : false, "suffix" : "" }, { "dropping-particle" : "", "family" : "Ometto", "given" : "Jean P. H. B.", "non-dropping-particle" : "", "parse-names" : false, "suffix" : "" }, { "dropping-particle" : "", "family" : "Palace", "given" : "Michael", "non-dropping-particle" : "", "parse-names" : false, "suffix" : "" }, { "dropping-particle" : "", "family" : "Peres", "given" : "Carlos A.", "non-dropping-particle" : "", "parse-names" : false, "suffix" : "" }, { "dropping-particle" : "", "family" : "Silv\u00e9rio", "given" : "Divino", "non-dropping-particle" : "", "parse-names" : false, "suffix" : "" }, { "dropping-particle" : "", "family" : "Trumbore", "given" : "Susan", "non-dropping-particle" : "", "parse-names" : false, "suffix" : "" }, { "dropping-particle" : "", "family" : "Vieira", "given" : "Ima C. G.", "non-dropping-particle" : "", "parse-names" : false, "suffix" : "" } ], "container-title" : "Global Change Biology", "id" : "ITEM-1", "issue" : "1", "issued" : { "date-parts" : [ [ "2016", "1", "1" ] ] }, "page" : "92-109", "title" : "Toward an integrated monitoring framework to assess the effects of tropical forest degradation and recovery on carbon stocks and biodiversity", "type" : "article-journal", "volume" : "22" }, "uris" : [ "http://www.mendeley.com/documents/?uuid=cd770286-27c4-3f0d-888f-e0e0d550f878" ] } ], "mendeley" : { "formattedCitation" : "(Bustamante et al., 2016)", "plainTextFormattedCitation" : "(Bustamante et al., 2016)", "previouslyFormattedCitation" : "(Bustamante et al.,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(Bustamante et al., 2016)</w:t>
      </w:r>
      <w:r w:rsidRPr="008608AA">
        <w:rPr>
          <w:rFonts w:eastAsia="Droid Sans Fallback"/>
        </w:rPr>
        <w:fldChar w:fldCharType="end"/>
      </w:r>
      <w:r w:rsidRPr="008608AA">
        <w:rPr>
          <w:rFonts w:eastAsia="Droid Sans Fallback"/>
        </w:rPr>
        <w:t xml:space="preserve">, some studies show a tendency of the potential extent of </w:t>
      </w:r>
      <w:r w:rsidR="00790916" w:rsidRPr="008608AA">
        <w:rPr>
          <w:rFonts w:eastAsia="Droid Sans Fallback"/>
        </w:rPr>
        <w:t>moist</w:t>
      </w:r>
      <w:r w:rsidRPr="008608AA">
        <w:rPr>
          <w:rFonts w:eastAsia="Droid Sans Fallback"/>
        </w:rPr>
        <w:t xml:space="preserve"> tropical forests in future climate regimes between 2°C and 4°C, where a risk of forest retreat, especially in eastern Amazonia and Central America are highlighted. The main conclusion is that the water availability is the best determinant of the current distribution of </w:t>
      </w:r>
      <w:r w:rsidR="00790916" w:rsidRPr="008608AA">
        <w:rPr>
          <w:rFonts w:eastAsia="Droid Sans Fallback"/>
        </w:rPr>
        <w:t>moist</w:t>
      </w:r>
      <w:r w:rsidRPr="008608AA">
        <w:rPr>
          <w:rFonts w:eastAsia="Droid Sans Fallback"/>
        </w:rPr>
        <w:t xml:space="preserve"> tropical forests, which can dominate over other vegetation types only in high-precipitation, low water-stress environments; the change in the extent of the </w:t>
      </w:r>
      <w:r w:rsidR="00790916" w:rsidRPr="008608AA">
        <w:rPr>
          <w:rFonts w:eastAsia="Droid Sans Fallback"/>
        </w:rPr>
        <w:t>moist</w:t>
      </w:r>
      <w:r w:rsidRPr="008608AA">
        <w:rPr>
          <w:rFonts w:eastAsia="Droid Sans Fallback"/>
        </w:rPr>
        <w:t xml:space="preserve"> tropical forests niche is uncertain </w:t>
      </w:r>
      <w:r w:rsidRPr="008608AA">
        <w:rPr>
          <w:rFonts w:eastAsia="Droid Sans Fallback"/>
        </w:rPr>
        <w:fldChar w:fldCharType="begin" w:fldLock="1"/>
      </w:r>
      <w:r w:rsidRPr="008608AA">
        <w:rPr>
          <w:rFonts w:eastAsia="Droid Sans Fallback"/>
        </w:rPr>
        <w:instrText>ADDIN CSL_CITATION { "citationItems" : [ { "id" : "ITEM-1", "itemData" : { "DOI" : "10.1098/rsta.2010.0238", "ISSN" : "1364-503X", "PMID" : "21115517", "abstract" : "The future of tropical forests has become one of the iconic issues in climate-change science. A number of studies that have explored this subject have tended to focus on the output from one or a few climate models, which work at low spatial resolution, whereas society and conservation-relevant assessment of potential impacts requires a finer scale. This study focuses on the role of climate on the current and future distribution of humid tropical forests (HTFs). We first characterize their contemporary climatological niche using annual rainfall and maximum climatological water stress, which also adequately describe the current distribution of other biomes within the tropics. As a first-order approximation of the potential extent of HTFs in future climate regimes defined by global warming of 2\u00b0C and 4\u00b0C, we investigate changes in the niche through a combination of climate-change anomaly patterns and higher resolution (5 km) maps of current climatology. The climate anomalies are derived using data from 17 coupled Atmosphere-Ocean General Circulation Models (AOGCMs) used in the Fourth Assessment of the Intergovernmental Panel for Climate Change. Our results confirm some risk of forest retreat, especially in eastern Amazonia, Central America and parts of Africa, but also indicate a potential for expansion in other regions, for example around the Congo Basin. The finer spatial scale enabled the depiction of potential resilient and vulnerable zones with practically useful detail. We further refine these estimates by considering the impact of new environmental regimes on plant water demand using the UK Met Office land-surface scheme (of the HadCM3 AOGCM). The CO(2)-related reduction in plant water demand lowers the risk of die-back and can lead to possible niche expansion in many regions. The analysis presented here focuses primarily on hydrological determinants of HTF extent. We conclude by discussing the role of other factors, notably the physiological effects of higher temperature.", "author" : [ { "dropping-particle" : "", "family" : "Zelazowski", "given" : "Przemyslaw", "non-dropping-particle" : "", "parse-names" : false, "suffix" : "" }, { "dropping-particle" : "", "family" : "Malhi", "given" : "Yadvinder", "non-dropping-particle" : "", "parse-names" : false, "suffix" : "" }, { "dropping-particle" : "", "family" : "Huntingford", "given" : "Chris", "non-dropping-particle" : "", "parse-names" : false, "suffix" : "" }, { "dropping-particle" : "", "family" : "Sitch", "given" : "Stephen", "non-dropping-particle" : "", "parse-names" : false, "suffix" : "" }, { "dropping-particle" : "", "family" : "Fisher", "given" : "Joshua B", "non-dropping-particle" : "", "parse-names" : false, "suffix" : "" } ], "container-title" : "Philosophical Transactions of the Royal Society A: Mathematical, Physical and Engineering Sciences", "id" : "ITEM-1", "issue" : "1934", "issued" : { "date-parts" : [ [ "2011", "1", "13" ] ] }, "page" : "137-160", "publisher" : "The Royal Society", "title" : "Changes in the potential distribution of humid tropical forests on a warmer planet", "type" : "article-journal", "volume" : "369" }, "uris" : [ "http://www.mendeley.com/documents/?uuid=b722747c-6e24-3233-8382-ba92443774d4" ] } ], "mendeley" : { "formattedCitation" : "(Zelazowski et al., 2011)", "plainTextFormattedCitation" : "(Zelazowski et al., 2011)", "previouslyFormattedCitation" : "(Zelazowski et al.,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(Zelazowski et al., 2011)</w:t>
      </w:r>
      <w:r w:rsidRPr="008608AA">
        <w:rPr>
          <w:rFonts w:eastAsia="Droid Sans Fallback"/>
        </w:rPr>
        <w:fldChar w:fldCharType="end"/>
      </w:r>
      <w:r w:rsidRPr="008608AA">
        <w:rPr>
          <w:rFonts w:eastAsia="Droid Sans Fallback"/>
        </w:rPr>
        <w:t xml:space="preserve">. Some global circulation models predict increase in drought frequency in the South American Amazon </w:t>
      </w:r>
      <w:r w:rsidRPr="008608AA">
        <w:rPr>
          <w:rFonts w:eastAsia="Droid Sans Fallback"/>
        </w:rPr>
        <w:fldChar w:fldCharType="begin" w:fldLock="1"/>
      </w:r>
      <w:r w:rsidRPr="008608AA">
        <w:rPr>
          <w:rFonts w:eastAsia="Droid Sans Fallback"/>
        </w:rPr>
        <w:instrText>ADDIN CSL_CITATION { "citationItems" : [ { "id" : "ITEM-1", "itemData" : { "DOI" : "10.1007/s00704-004-0049-4", "ISBN" : "0177-798X", "ISSN" : "0177798X", "abstract" : "The first GCM climate change projections to include dynamic vegetation and an interactive carbon cycle produced a very significant amplification of global warming over the 21st century. Under the IS92a ''business as usual'' emissions scenario CO2 concentrations reached about 980 ppmv by 2100, which is about 280 ppmv higher than when these feedbacks were ignored. The major contribution to the increased CO2 arose from reductions in soil carbon because global warming is assumed to accelerate respiration. However, there was also a lesser contribution from an alarming loss of the Amazonian rainforest. This paper describes the phenomenon of Amazonian forest dieback under elevated CO2 in the Hadley Centre climate-carbon cycle model", "author" : [ { "dropping-particle" : "", "family" : "Cox", "given" : "Peter M.", "non-dropping-particle" : "", "parse-names" : false, "suffix" : "" }, { "dropping-particle" : "", "family" : "Betts", "given" : "R. A.", "non-dropping-particle" : "", "parse-names" : false, "suffix" : "" }, { "dropping-particle" : "", "family" : "Collins", "given" : "M.", "non-dropping-particle" : "", "parse-names" : false, "suffix" : "" }, { "dropping-particle" : "", "family" : "Harris", "given" : "P. P.", "non-dropping-particle" : "", "parse-names" : false, "suffix" : "" }, { "dropping-particle" : "", "family" : "Huntingford", "given" : "C.", "non-dropping-particle" : "", "parse-names" : false, "suffix" : "" }, { "dropping-particle" : "", "family" : "Jones", "given" : "C. D.", "non-dropping-particle" : "", "parse-names" : false, "suffix" : "" } ], "container-title" : "Theoretical and Applied Climatology", "id" : "ITEM-1", "issue" : "1-3", "issued" : { "date-parts" : [ [ "2004" ] ] }, "page" : "137-156", "title" : "Amazonian forest dieback under climate-carbon cycle projections for the 21st century", "type" : "article-journal", "volume" : "78" }, "uris" : [ "http://www.mendeley.com/documents/?uuid=cea8043f-d9e9-411c-a954-4a4205a1740b" ] } ], "mendeley" : { "formattedCitation" : "(Cox et al., 2004)", "plainTextFormattedCitation" : "(Cox et al., 2004)", "previouslyFormattedCitation" : "(Cox et al., 2004)"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(Cox et al., 2004)</w:t>
      </w:r>
      <w:r w:rsidRPr="008608AA">
        <w:rPr>
          <w:rFonts w:eastAsia="Droid Sans Fallback"/>
        </w:rPr>
        <w:fldChar w:fldCharType="end"/>
      </w:r>
      <w:r w:rsidRPr="008608AA">
        <w:rPr>
          <w:rFonts w:eastAsia="Droid Sans Fallback"/>
        </w:rPr>
        <w:t xml:space="preserve">; however few experimental data simulate the Amazon response to climate change </w:t>
      </w:r>
      <w:r w:rsidRPr="008608AA">
        <w:rPr>
          <w:rFonts w:eastAsia="Droid Sans Fallback"/>
        </w:rPr>
        <w:fldChar w:fldCharType="begin" w:fldLock="1"/>
      </w:r>
      <w:r w:rsidRPr="008608AA">
        <w:rPr>
          <w:rFonts w:eastAsia="Droid Sans Fallback"/>
        </w:rPr>
        <w:instrText>ADDIN CSL_CITATION { "citationItems" : [ { "id" : "ITEM-1", "itemData" : { "DOI" : "10.1038/nature10717", "ISSN" : "0028-0836", "author" : [ { "dropping-particle" : "", "family" : "Davidson", "given" : "Eric A.", "non-dropping-particle" : "", "parse-names" : false, "suffix" : "" }, { "dropping-particle" : "", "family" : "Ara\u00fajo", "given" : "Alessandro C.", "non-dropping-particle" : "de", "parse-names" : false, "suffix" : "" }, { "dropping-particle" : "", "family" : "Artaxo", "given" : "Paulo", "non-dropping-particle" : "", "parse-names" : false, "suffix" : "" }, { "dropping-particle" : "", "family" : "Balch", "given" : "Jennifer K.", "non-dropping-particle" : "", "parse-names" : false, "suffix" : "" }, { "dropping-particle" : "", "family" : "Brown", "given" : "I. Foster", "non-dropping-particle" : "", "parse-names" : false, "suffix" : "" }, { "dropping-particle" : "", "family" : "C. Bustamante", "given" : "Mercedes M.", "non-dropping-particle" : "", "parse-names" : false, "suffix" : "" }, { "dropping-particle" : "", "family" : "Coe", "given" : "Michael T.", "non-dropping-particle" : "", "parse-names" : false, "suffix" : "" }, { "dropping-particle" : "", "family" : "DeFries", "given" : "Ruth S.", "non-dropping-particle" : "", "parse-names" : false, "suffix" : "" }, { "dropping-particle" : "", "family" : "Keller", "given" : "Michael", "non-dropping-particle" : "", "parse-names" : false, "suffix" : "" }, { "dropping-particle" : "", "family" : "Longo", "given" : "Marcos", "non-dropping-particle" : "", "parse-names" : false, "suffix" : "" }, { "dropping-particle" : "", "family" : "Munger", "given" : "J. William", "non-dropping-particle" : "", "parse-names" : false, "suffix" : "" }, { "dropping-particle" : "", "family" : "Schroeder", "given" : "Wilfrid", "non-dropping-particle" : "", "parse-names" : false, "suffix" : "" }, { "dropping-particle" : "", "family" : "Soares-Filho", "given" : "Britaldo S.", "non-dropping-particle" : "", "parse-names" : false, "suffix" : "" }, { "dropping-particle" : "", "family" : "Souza", "given" : "Carlos M.", "non-dropping-particle" : "", "parse-names" : false, "suffix" : "" }, { "dropping-particle" : "", "family" : "Wofsy", "given" : "Steven C.", "non-dropping-particle" : "", "parse-names" : false, "suffix" : "" } ], "container-title" : "Nature", "id" : "ITEM-1", "issue" : "7381", "issued" : { "date-parts" : [ [ "2012", "1", "18" ] ] }, "page" : "321-328", "title" : "The Amazon basin in transition", "type" : "article-journal", "volume" : "481" }, "uris" : [ "http://www.mendeley.com/documents/?uuid=386efa03-51d4-32c0-abec-8fdca6907734" ] } ], "mendeley" : { "formattedCitation" : "(E. A. Davidson et al., 2012)", "plainTextFormattedCitation" : "(E. A. Davidson et al., 2012)", "previouslyFormattedCitation" : "(E. A. Davidson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(Davidson et al., 2012)</w:t>
      </w:r>
      <w:r w:rsidRPr="008608AA">
        <w:rPr>
          <w:rFonts w:eastAsia="Droid Sans Fallback"/>
        </w:rPr>
        <w:fldChar w:fldCharType="end"/>
      </w:r>
      <w:r w:rsidRPr="008608AA">
        <w:rPr>
          <w:rFonts w:eastAsia="Droid Sans Fallback"/>
        </w:rPr>
        <w:t xml:space="preserve">. With lack of experimental data and the complexity of the forest ecophysiological process, in response to change in temperature and precipitation (mainly parameters simulated by global circulation models), models a decade ago simulated a dramatic amazon forest die back </w:t>
      </w:r>
      <w:r w:rsidRPr="008608AA">
        <w:rPr>
          <w:rFonts w:eastAsia="Droid Sans Fallback"/>
        </w:rPr>
        <w:fldChar w:fldCharType="begin" w:fldLock="1"/>
      </w:r>
      <w:r w:rsidRPr="008608AA">
        <w:rPr>
          <w:rFonts w:eastAsia="Droid Sans Fallback"/>
        </w:rPr>
        <w:instrText>ADDIN CSL_CITATION { "citationItems" : [ { "id" : "ITEM-1", "itemData" : { "DOI" : "10.1007/s00704-004-0049-4", "ISBN" : "0177-798X", "ISSN" : "0177798X", "abstract" : "The first GCM climate change projections to include dynamic vegetation and an interactive carbon cycle produced a very significant amplification of global warming over the 21st century. Under the IS92a ''business as usual'' emissions scenario CO2 concentrations reached about 980 ppmv by 2100, which is about 280 ppmv higher than when these feedbacks were ignored. The major contribution to the increased CO2 arose from reductions in soil carbon because global warming is assumed to accelerate respiration. However, there was also a lesser contribution from an alarming loss of the Amazonian rainforest. This paper describes the phenomenon of Amazonian forest dieback under elevated CO2 in the Hadley Centre climate-carbon cycle model", "author" : [ { "dropping-particle" : "", "family" : "Cox", "given" : "Peter M.", "non-dropping-particle" : "", "parse-names" : false, "suffix" : "" }, { "dropping-particle" : "", "family" : "Betts", "given" : "R. A.", "non-dropping-particle" : "", "parse-names" : false, "suffix" : "" }, { "dropping-particle" : "", "family" : "Collins", "given" : "M.", "non-dropping-particle" : "", "parse-names" : false, "suffix" : "" }, { "dropping-particle" : "", "family" : "Harris", "given" : "P. P.", "non-dropping-particle" : "", "parse-names" : false, "suffix" : "" }, { "dropping-particle" : "", "family" : "Huntingford", "given" : "C.", "non-dropping-particle" : "", "parse-names" : false, "suffix" : "" }, { "dropping-particle" : "", "family" : "Jones", "given" : "C. D.", "non-dropping-particle" : "", "parse-names" : false, "suffix" : "" } ], "container-title" : "Theoretical and Applied Climatology", "id" : "ITEM-1", "issue" : "1-3", "issued" : { "date-parts" : [ [ "2004" ] ] }, "page" : "137-156", "title" : "Amazonian forest dieback under climate-carbon cycle projections for the 21st century", "type" : "article-journal", "volume" : "78" }, "uris" : [ "http://www.mendeley.com/documents/?uuid=cea8043f-d9e9-411c-a954-4a4205a1740b" ] } ], "mendeley" : { "formattedCitation" : "(Cox et al., 2004)", "plainTextFormattedCitation" : "(Cox et al., 2004)", "previouslyFormattedCitation" : "(Cox et al., 2004)"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(Cox et al., 2004)</w:t>
      </w:r>
      <w:r w:rsidRPr="008608AA">
        <w:rPr>
          <w:rFonts w:eastAsia="Droid Sans Fallback"/>
        </w:rPr>
        <w:fldChar w:fldCharType="end"/>
      </w:r>
      <w:r w:rsidRPr="008608AA">
        <w:rPr>
          <w:rFonts w:eastAsia="Droid Sans Fallback"/>
        </w:rPr>
        <w:t xml:space="preserve">.  More recently a strong resilience of the Amazon forest has been suggested by simulations, much associated with the positive vegetation primary productivity response to the increase in the atmospheric </w:t>
      </w:r>
      <w:r w:rsidR="00E03ED4" w:rsidRPr="008608AA">
        <w:rPr>
          <w:rFonts w:eastAsia="Droid Sans Fallback"/>
        </w:rPr>
        <w:t>carbon dioxide</w:t>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"DOI" : "10.1038/nature11882", "ISBN" : "0028-0836", "ISSN" : "00280836", "PMID" : "23389447", "abstract" : "The release of carbon from tropical forests may exacerbate future climate change, but the magnitude of the effect in climate models remains uncertain. Coupled climate-carbon-cycle models generally agree that carbon storage on land will increase as a result of the simultaneous enhancement of plant photosynthesis and water use efficiency under higher atmospheric CO(2) concentrations, but will decrease owing to higher soil and plant respiration rates associated with warming temperatures. At present, the balance between these effects varies markedly among coupled climate-carbon-cycle models, leading to a range of 330 gigatonnes in the projected change in the amount of carbon stored on tropical land by 2100. Explanations for this large uncertainty include differences in the predicted change in rainfall in Amazonia and variations in the responses of alternative vegetation models to warming. Here we identify an emergent linear relationship, across an ensemble of models, between the sensitivity of tropical land carbon storage to warming and the sensitivity of the annual growth rate of atmospheric CO(2) to tropical temperature anomalies. Combined with contemporary observations of atmospheric CO(2) concentration and tropical temperature, this relationship provides a tight constraint on the sensitivity of tropical land carbon to climate change. We estimate that over tropical land from latitude 30\u00b0 north to 30\u00b0 south, warming alone will release 53 \u00b1 17 gigatonnes of carbon per kelvin. Compared with the unconstrained ensemble of climate-carbon-cycle projections, this indicates a much lower risk of Amazon forest dieback under CO(2)-induced climate change if CO(2) fertilization effects are as large as suggested by current models. Our study, however, also implies greater certainty that carbon will be lost from tropical land if warming arises from reductions in aerosols or increases in other greenhouse gases.", "author" : [ { "dropping-particle" : "", "family" : "Cox", "given" : "Peter M.", "non-dropping-particle" : "", "parse-names" : false, "suffix" : "" }, { "dropping-particle" : "", "family" : "Pearson", "given" : "David", "non-dropping-particle" : "", "parse-names" : false, "suffix" : "" }, { "dropping-particle" : "", "family" : "Booth", "given" : "Ben B.", "non-dropping-particle" : "", "parse-names" : false, "suffix" : "" }, { "dropping-particle" : "", "family" : "Friedlingstein", "given" : "Pierre", "non-dropping-particle" : "", "parse-names" : false, "suffix" : "" }, { "dropping-particle" : "", "family" : "Huntingford", "given" : "Chris", "non-dropping-particle" : "", "parse-names" : false, "suffix" : "" }, { "dropping-particle" : "", "family" : "Jones", "given" : "Chris D.", "non-dropping-particle" : "", "parse-names" : false, "suffix" : "" }, { "dropping-particle" : "", "family" : "Luke", "given" : "Catherine M.", "non-dropping-particle" : "", "parse-names" : false, "suffix" : "" } ], "container-title" : "Nature", "id" : "ITEM-1", "issue" : "7437", "issued" : { "date-parts" : [ [ "2013" ] ] }, "page" : "341-344", "publisher" : "Nature Publishing Group", "title" : "Sensitivity of tropical carbon to climate change constrained by carbon dioxide variability", "type" : "article-journal", "volume" : "494" }, "uris" : [ "http://www.mendeley.com/documents/?uuid=a0b752a6-2948-4679-9766-c2bf2b6732fb" ] }, { "id" : "ITEM-2", "itemData" : { "DOI" : "10.1038/ngeo1741", "ISSN" : "1752-0894", "abstract" : "Assessing potential future carbon loss from tropical forests is important for evaluating the efficacy of programmes for reducing emissions from deforestation and degradation (REDD). An exploration of results from 22 climate models in conjunction with a land surface scheme suggests that in the Americas, Africa and Asia, the resilience of tropical forests to climate change is higher than expected, although uncertainties are large.", "author" : [ { "dropping-particle" : "", "family" : "Huntingford", "given" : "Chris", "non-dropping-particle" : "", "parse-names" : false, "suffix" : "" }, { "dropping-particle" : "", "family" : "Zelazowski", "given" : "Przemyslaw", "non-dropping-particle" : "", "parse-names" : false, "suffix" : "" }, { "dropping-particle" : "", "family" : "Galbraith", "given" : "David", "non-dropping-particle" : "", "parse-names" : false, "suffix" : "" }, { "dropping-particle" : "", "family" : "Mercado", "given" : "Lina M.", "non-dropping-particle" : "", "parse-names" : false, "suffix" : "" }, { "dropping-particle" : "", "family" : "Sitch", "given" : "Stephen", "non-dropping-particle" : "", "parse-names" : false, "suffix" : "" }, { "dropping-particle" : "", "family" : "Fisher", "given" : "Rosie", "non-dropping-particle" : "", "parse-names" : false, "suffix" : "" }, { "dropping-particle" : "", "family" : "Lomas", "given" : "Mark", "non-dropping-particle" : "", "parse-names" : false, "suffix" : "" }, { "dropping-particle" : "", "family" : "Walker", "given" : "Anthony P.", "non-dropping-particle" : "", "parse-names" : false, "suffix" : "" }, { "dropping-particle" : "", "family" : "Jones", "given" : "Chris D.", "non-dropping-particle" : "", "parse-names" : false, "suffix" : "" }, { "dropping-particle" : "", "family" : "Booth", "given" : "Ben B. B.", "non-dropping-particle" : "", "parse-names" : false, "suffix" : "" }, { "dropping-particle" : "", "family" : "Malhi", "given" : "Yadvinder", "non-dropping-particle" : "", "parse-names" : false, "suffix" : "" }, { "dropping-particle" : "", "family" : "Hemming", "given" : "Debbie", "non-dropping-particle" : "", "parse-names" : false, "suffix" : "" }, { "dropping-particle" : "", "family" : "Kay", "given" : "Gillian", "non-dropping-particle" : "", "parse-names" : false, "suffix" : "" }, { "dropping-particle" : "", "family" : "Good", "given" : "Peter", "non-dropping-particle" : "", "parse-names" : false, "suffix" : "" }, { "dropping-particle" : "", "family" : "Lewis", "given" : "Simon L.", "non-dropping-particle" : "", "parse-names" : false, "suffix" : "" }, { "dropping-particle" : "", "family" : "Phillips", "given" : "Oliver L.", "non-dropping-particle" : "", "parse-names" : false, "suffix" : "" }, { "dropping-particle" : "", "family" : "Atkin", "given" : "Owen K.", "non-dropping-particle" : "", "parse-names" : false, "suffix" : "" }, { "dropping-particle" : "", "family" : "Lloyd", "given" : "Jon", "non-dropping-particle" : "", "parse-names" : false, "suffix" : "" }, { "dropping-particle" : "", "family" : "Gloor", "given" : "Emanuel", "non-dropping-particle" : "", "parse-names" : false, "suffix" : "" }, { "dropping-particle" : "", "family" : "Zaragoza-Castells", "given" : "Joana", "non-dropping-particle" : "", "parse-names" : false, "suffix" : "" }, { "dropping-particle" : "", "family" : "Meir", "given" : "Patrick", "non-dropping-particle" : "", "parse-names" : false, "suffix" : "" }, { "dropping-particle" : "", "family" : "Betts", "given" : "Richard", "non-dropping-particle" : "", "parse-names" : false, "suffix" : "" }, { "dropping-particle" : "", "family" : "Harris", "given" : "Phil P.", "non-dropping-particle" : "", "parse-names" : false, "suffix" : "" }, { "dropping-particle" : "", "family" : "Nobre", "given" : "Carlos", "non-dropping-particle" : "", "parse-names" : false, "suffix" : "" }, { "dropping-particle" : "", "family" : "Marengo", "given" : "Jose", "non-dropping-particle" : "", "parse-names" : false, "suffix" : "" }, { "dropping-particle" : "", "family" : "Cox", "given" : "Peter M.", "non-dropping-particle" : "", "parse-names" : false, "suffix" : "" } ], "container-title" : "Nature Geoscience", "id" : "ITEM-2", "issue" : "4", "issued" : { "date-parts" : [ [ "2013", "3", "10" ] ] }, "page" : "268-273", "publisher" : "Nature Publishing Group", "title" : "Simulated resilience of tropical rainforests to CO2-induced climate change", "type" : "article-journal", "volume" : "6" }, "uris" : [ "http://www.mendeley.com/documents/?uuid=c2988a09-56d8-3235-b6d5-94baf5d34304" ] } ], "mendeley" : { "formattedCitation" : "(Cox et al., 2013; Huntingford et al., 2013)", "plainTextFormattedCitation" : "(Cox et al., 2013; Huntingford et al., 2013)", "previouslyFormattedCitation" : "(Cox et al., 2013; Huntingford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(Cox et al., 2013; Huntingford et al., 2013)</w:t>
      </w:r>
      <w:r w:rsidRPr="008608AA">
        <w:rPr>
          <w:rFonts w:eastAsia="Droid Sans Fallback"/>
        </w:rPr>
        <w:fldChar w:fldCharType="end"/>
      </w:r>
      <w:r w:rsidRPr="008608AA">
        <w:rPr>
          <w:rFonts w:eastAsia="Droid Sans Fallback"/>
        </w:rPr>
        <w:t xml:space="preserve">. Anadón et al. </w:t>
      </w:r>
      <w:r w:rsidRPr="008608AA">
        <w:rPr>
          <w:rFonts w:eastAsia="Droid Sans Fallback"/>
        </w:rPr>
        <w:fldChar w:fldCharType="begin" w:fldLock="1"/>
      </w:r>
      <w:r w:rsidRPr="008608AA">
        <w:rPr>
          <w:rFonts w:eastAsia="Droid Sans Fallback"/>
        </w:rPr>
        <w:instrText>ADDIN CSL_CITATION { "citationItems" : [ { "id" : "ITEM-1", "itemData" : { "DOI" : "10.1111/1365-2745.12325", "ISBN" : "1365-2745", "ISSN" : "13652745", "abstract" : "1. Transition areas between biomes are particularly sensitive to environmental changes. Our under- standing of the impacts of ongoing climate change on terrestrial ecosystems has significantly increased during the last years. However, it is largely unknown how climatic change will affect tran- sitions among major vegetation types. 2. We modelled the distribution of three alternative states (forest, savanna and treeless areas) in the tropical and subtropical Americas by means of climate-niche modelling. We studied how such distri- bution will change by the year 2070 by using 17 downscaled and calibrated global climate models from the Coupled Model Intercomparison Project Phase 5 and the latest scenarios provided by the 5th Assessment Report of the IPCC. 3. Our results support the savannization of the tropical and subtropical Americas because of climate change, with an increase in savannas mainly at the expense of forests. 4. Our models predict an important geographical shift in the current distribution of transition areas between forest and savannas, which is much less pronounced in the case of those between savannas and treeless areas. Largest shifts, up to 600 km northward, are predicted in the forest\u2013savanna transi- tions located in the eastern Amazon. 5. Our findings indicate that climate change will promote a shift towards more unstable states: the extent of the transition areas will notably increase, and largely stable forest areas are predicted to shrink dramatically. 6. Synthesis. Our work explores dimensions of the impact of climate change on biomes that have received little attention so far. Our results indicate that climate change will not only affect the extent of savanna, forest and treeless areas in the tropical and subtropical Americas, but also will: (i) pro- mote a significant geographical shift and an increase of the extent of transition areas between biomes and (ii) decrease the stability of the equilibrium between forest, savanna and treeless areas, yielding a more unpredictable system.", "author" : [ { "dropping-particle" : "", "family" : "Anad\u00f3n", "given" : "Jos\u00e9 D.", "non-dropping-particle" : "", "parse-names" : false, "suffix" : "" }, { "dropping-particle" : "", "family" : "Sala", "given" : "Osvaldo E.", "non-dropping-particle" : "", "parse-names" : false, "suffix" : "" }, { "dropping-particle" : "", "family" : "Maestre", "given" : "Fernando T.", "non-dropping-particle" : "", "parse-names" : false, "suffix" : "" } ], "container-title" : "Journal of Ecology", "id" : "ITEM-1", "issue" : "6", "issued" : { "date-parts" : [ [ "2014" ] ] }, "page" : "1363-1373", "title" : "Climate change will increase savannas at the expense of forests and treeless vegetation in tropical and subtropical Americas", "type" : "article-journal", "volume" : "102" }, "suppress-author" : 1, "uris" : [ "http://www.mendeley.com/documents/?uuid=66ddb0c4-2115-4a4e-aaa7-efc4a002b7cc" ] } ], "mendeley" : { "formattedCitation" : "(2014)", "plainTextFormattedCitation" : "(2014)", "previouslyFormattedCitation" :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(2014)</w:t>
      </w:r>
      <w:r w:rsidRPr="008608AA">
        <w:rPr>
          <w:rFonts w:eastAsia="Droid Sans Fallback"/>
        </w:rPr>
        <w:fldChar w:fldCharType="end"/>
      </w:r>
      <w:r w:rsidRPr="008608AA">
        <w:rPr>
          <w:rFonts w:eastAsia="Droid Sans Fallback"/>
        </w:rPr>
        <w:t xml:space="preserve"> found that climate change will increase savannas at the expense of forests and treeless vegetation in tropical and subtropical Americas (Figure 5.4),</w:t>
      </w:r>
      <w:r w:rsidRPr="008608AA" w:rsidDel="00E154AC">
        <w:rPr>
          <w:rFonts w:eastAsia="Droid Sans Fallback"/>
        </w:rPr>
        <w:t xml:space="preserve"> </w:t>
      </w:r>
      <w:r w:rsidRPr="008608AA">
        <w:rPr>
          <w:rFonts w:eastAsia="Droid Sans Fallback"/>
        </w:rPr>
        <w:t>predicting a large shift in the savannah-forest transition in the eastern Amazon, supporting the hypothesis that climate change will lead to more unsustainable states for theses ecosystems (Figure 5.5).</w:t>
      </w:r>
    </w:p>
    <w:p w14:paraId="6790980A" w14:textId="77777777" w:rsidR="00CF6BD8" w:rsidRPr="008608AA" w:rsidRDefault="00CF6BD8" w:rsidP="006362EA">
      <w:pPr>
        <w:suppressAutoHyphens/>
        <w:rPr>
          <w:rFonts w:eastAsia="Droid Sans Fallback"/>
        </w:rPr>
      </w:pPr>
    </w:p>
    <w:p w14:paraId="41FD3ABB" w14:textId="0C80386D" w:rsidR="00490494" w:rsidRPr="008608AA" w:rsidRDefault="00490494" w:rsidP="006362EA">
      <w:pPr>
        <w:suppressAutoHyphens/>
        <w:rPr>
          <w:rFonts w:eastAsia="Droid Sans Fallback"/>
        </w:rPr>
      </w:pPr>
      <w:r w:rsidRPr="008608AA">
        <w:rPr>
          <w:rFonts w:eastAsia="Droid Sans Fallback"/>
        </w:rPr>
        <w:t xml:space="preserve">However, the key message remains related to the ability of </w:t>
      </w:r>
      <w:r w:rsidR="00790916" w:rsidRPr="008608AA">
        <w:rPr>
          <w:rFonts w:eastAsia="Droid Sans Fallback"/>
        </w:rPr>
        <w:t>moist</w:t>
      </w:r>
      <w:r w:rsidRPr="008608AA">
        <w:rPr>
          <w:rFonts w:eastAsia="Droid Sans Fallback"/>
        </w:rPr>
        <w:t xml:space="preserve"> tropical forests to acclimate and adapt to future temperature changes. </w:t>
      </w:r>
      <w:r w:rsidRPr="008608AA">
        <w:rPr>
          <w:rFonts w:eastAsia="Droid Sans Fallback"/>
          <w:lang w:val="es-CO"/>
        </w:rPr>
        <w:t xml:space="preserve">De Costa </w:t>
      </w:r>
      <w:r w:rsidRPr="008608AA">
        <w:rPr>
          <w:rFonts w:eastAsia="Droid Sans Fallback"/>
        </w:rPr>
        <w:fldChar w:fldCharType="begin" w:fldLock="1"/>
      </w:r>
      <w:r w:rsidRPr="008608AA">
        <w:rPr>
          <w:rFonts w:eastAsia="Droid Sans Fallback"/>
          <w:lang w:val="es-CO"/>
        </w:rPr>
        <w:instrText>ADDIN CSL_CITATION { "citationItems" : [ { "id" : "ITEM-1", "itemData" : { "DOI" : "10.4038/jnsfsr.v39i4.3879", "ISSN" : "2362-0161", "abstract" : "&lt;p&gt;&lt;strong&gt;&lt;/strong&gt; Increased anthropogenic emissions of greenhouse gases (GHGs) have led to gradual warming of the earth&amp;rsquo;s atmosphere. It is predicted that by the year 2100, the average annual global air temperature will increase by 1.1 &amp;ndash; 6.4 oC. This has triggered a series of long-term changes in the atmospheric and soil environments. As forests form a key component of humid tropical ecosystems, the objective of this review is to synthesize the currently available experimental results and offer insights into how forests in the humid tropics would respond and adapt to different aspects of climate change. The atmospheric CO2 concentration (Ca), which is currently at 386 &amp;mu;mol mol-1, is expected to reach at least 600 &amp;mu;mol mol-1 by 2100. As CO2 is an input in the photosynthetic process, increasing Ca increases photosynthetic rates of all plants. In C3 herbs and woody plants, which dominate humid tropical forests, this is translated into average biomass increases of 45% (maximum 240%) and 48% (maximum 260%) respectively, leading to increased net primary productivity at the ecosystem level. Increasing air temperatures could either enhance or dampen the growth stimulation due to higher Ca, depending on the magnitude of temperature increase relative to the optimum temperature for maximum ecosystem productivity. The ability of humid tropical forests to acclimate and adapt to future temperature changes are considered to be lower than that of temperate forests because of the narrower range of seasonal temperatures experienced by forests in the humid tropics. Increasing Ca and temperatures could also influence forest ecosystems through significant changes in the soil environment and in the plant-water relations. In all the above-described responses to increased Ca and temperature, there is substantial species-to-species variation. Studies on the capacity of tropical forests to sequester carbon and reduce future increases of Ca have indicated a substantial capacity for forests in the humid tropics. However, reductions of this capacity have been observed during years of warmer temperatures and lower precipitation resulting from &lt;em&gt;El Ni&amp;ntilde;o &lt;/em&gt;Southern Oscillation.&lt;/p&gt;&lt;p&gt;&lt;strong&gt;Keywords&lt;/strong&gt;: Carbon dioxide, carbon sequestration, forest ecosystems, net primary productivity, photosynthesis, temperature.&lt;/p&gt; &lt;p&gt;DOI: &lt;a href=\"http://dx.doi.org/10.4038/jnsfsr.v39i4.3879\"&gt;http://dx.doi.org/10.4038/jnsfsr.v39i4.3879&lt;/a&gt;&lt;/p&gt; &lt;p&gt;&lt;em&gt;J.Natn.Sc\u2026", "author" : [ { "dropping-particle" : "", "family" : "Costa", "given" : "W. A. J. M.", "non-dropping-particle" : "De", "parse-names" : false, "suffix" : "" } ], "container-title" : "Journal of the National Science Foundation of Sri Lanka", "id" : "ITEM-1", "issue" : "4", "issued" : { "date-parts" : [ [ "2011", "12", "30" ] ] }, "page" : "281", "publisher" : "National Science Foundation of Sri Lanka", "title" : "A review of the possible impacts of climate change on forests in the humid tropics", "type" : "article-journal", "volume" : "39" }, "suppress-author" : 1, "uris" : [ "http://www.mendeley.com/documents/?uuid=1808874a-05fa-3a5d-a758-73b410532aff" ] } ], "mendeley" : { "formattedCitation" : "(2011)", "plainTextFormattedCitation" : "(2011)", "previouslyFormattedCitation" :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lang w:val="es-CO"/>
        </w:rPr>
        <w:t>(2011)</w:t>
      </w:r>
      <w:r w:rsidRPr="008608AA">
        <w:rPr>
          <w:rFonts w:eastAsia="Droid Sans Fallback"/>
        </w:rPr>
        <w:fldChar w:fldCharType="end"/>
      </w:r>
      <w:r w:rsidRPr="008608AA">
        <w:rPr>
          <w:rFonts w:eastAsia="Droid Sans Fallback"/>
          <w:lang w:val="es-CO"/>
        </w:rPr>
        <w:t xml:space="preserve"> suggested that due to the narrower range of seasonal temperatures experienced by forests in the </w:t>
      </w:r>
      <w:r w:rsidR="00790916" w:rsidRPr="008608AA">
        <w:rPr>
          <w:rFonts w:eastAsia="Droid Sans Fallback"/>
          <w:lang w:val="es-CO"/>
        </w:rPr>
        <w:t>moist</w:t>
      </w:r>
      <w:r w:rsidRPr="008608AA">
        <w:rPr>
          <w:rFonts w:eastAsia="Droid Sans Fallback"/>
          <w:lang w:val="es-CO"/>
        </w:rPr>
        <w:t xml:space="preserve"> tropics, the capacity to adapt is considered to be lower than that of temperate forests. </w:t>
      </w:r>
      <w:r w:rsidRPr="008608AA">
        <w:rPr>
          <w:rFonts w:eastAsia="Droid Sans Fallback"/>
        </w:rPr>
        <w:t xml:space="preserve">Indicative of this pattern is the reduction in sequestration of carbon observed during years of warmer temperatures and lower precipitation resulting from El Niño Southern Oscillation </w:t>
      </w:r>
      <w:r w:rsidRPr="008608AA">
        <w:rPr>
          <w:rFonts w:eastAsia="Droid Sans Fallback"/>
        </w:rPr>
        <w:fldChar w:fldCharType="begin" w:fldLock="1"/>
      </w:r>
      <w:r w:rsidRPr="008608AA">
        <w:rPr>
          <w:rFonts w:eastAsia="Droid Sans Fallback"/>
        </w:rPr>
        <w:instrText>ADDIN CSL_CITATION { "citationItems" : [ { "id" : "ITEM-1", "itemData" : { "DOI" : "10.4038/jnsfsr.v39i4.3879", "ISSN" : "2362-0161", "abstract" : "&lt;p&gt;&lt;strong&gt;&lt;/strong&gt; Increased anthropogenic emissions of greenhouse gases (GHGs) have led to gradual warming of the earth&amp;rsquo;s atmosphere. It is predicted that by the year 2100, the average annual global air temperature will increase by 1.1 &amp;ndash; 6.4 oC. This has triggered a series of long-term changes in the atmospheric and soil environments. As forests form a key component of humid tropical ecosystems, the objective of this review is to synthesize the currently available experimental results and offer insights into how forests in the humid tropics would respond and adapt to different aspects of climate change. The atmospheric CO2 concentration (Ca), which is currently at 386 &amp;mu;mol mol-1, is expected to reach at least 600 &amp;mu;mol mol-1 by 2100. As CO2 is an input in the photosynthetic process, increasing Ca increases photosynthetic rates of all plants. In C3 herbs and woody plants, which dominate humid tropical forests, this is translated into average biomass increases of 45% (maximum 240%) and 48% (maximum 260%) respectively, leading to increased net primary productivity at the ecosystem level. Increasing air temperatures could either enhance or dampen the growth stimulation due to higher Ca, depending on the magnitude of temperature increase relative to the optimum temperature for maximum ecosystem productivity. The ability of humid tropical forests to acclimate and adapt to future temperature changes are considered to be lower than that of temperate forests because of the narrower range of seasonal temperatures experienced by forests in the humid tropics. Increasing Ca and temperatures could also influence forest ecosystems through significant changes in the soil environment and in the plant-water relations. In all the above-described responses to increased Ca and temperature, there is substantial species-to-species variation. Studies on the capacity of tropical forests to sequester carbon and reduce future increases of Ca have indicated a substantial capacity for forests in the humid tropics. However, reductions of this capacity have been observed during years of warmer temperatures and lower precipitation resulting from &lt;em&gt;El Ni&amp;ntilde;o &lt;/em&gt;Southern Oscillation.&lt;/p&gt;&lt;p&gt;&lt;strong&gt;Keywords&lt;/strong&gt;: Carbon dioxide, carbon sequestration, forest ecosystems, net primary productivity, photosynthesis, temperature.&lt;/p&gt; &lt;p&gt;DOI: &lt;a href=\"http://dx.doi.org/10.4038/jnsfsr.v39i4.3879\"&gt;http://dx.doi.org/10.4038/jnsfsr.v39i4.3879&lt;/a&gt;&lt;/p&gt; &lt;p&gt;&lt;em&gt;J.Natn.Sc\u2026", "author" : [ { "dropping-particle" : "", "family" : "Costa", "given" : "W. A. J. M.", "non-dropping-particle" : "De", "parse-names" : false, "suffix" : "" } ], "container-title" : "Journal of the National Science Foundation of Sri Lanka", "id" : "ITEM-1", "issue" : "4", "issued" : { "date-parts" : [ [ "2011", "12", "30" ] ] }, "page" : "281", "publisher" : "National Science Foundation of Sri Lanka", "title" : "A review of the possible impacts of climate change on forests in the humid tropics", "type" : "article-journal", "volume" : "39" }, "uris" : [ "http://www.mendeley.com/documents/?uuid=1808874a-05fa-3a5d-a758-73b410532aff" ] } ], "mendeley" : { "formattedCitation" : "(De Costa, 2011)", "plainTextFormattedCitation" : "(De Costa, 2011)", "previouslyFormattedCitation" : "(De Costa,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lang w:val="es-CO"/>
        </w:rPr>
        <w:t>(De Costa, 2011)</w:t>
      </w:r>
      <w:r w:rsidRPr="008608AA">
        <w:rPr>
          <w:rFonts w:eastAsia="Droid Sans Fallback"/>
        </w:rPr>
        <w:fldChar w:fldCharType="end"/>
      </w:r>
      <w:r w:rsidRPr="008608AA">
        <w:rPr>
          <w:rFonts w:eastAsia="Droid Sans Fallback"/>
        </w:rPr>
        <w:t xml:space="preserve"> or even stronger seasonal patterns </w:t>
      </w:r>
      <w:r w:rsidRPr="008608AA">
        <w:rPr>
          <w:rFonts w:eastAsia="Droid Sans Fallback"/>
        </w:rPr>
        <w:fldChar w:fldCharType="begin" w:fldLock="1"/>
      </w:r>
      <w:r w:rsidRPr="008608AA">
        <w:rPr>
          <w:rFonts w:eastAsia="Droid Sans Fallback"/>
        </w:rPr>
        <w:instrText>ADDIN CSL_CITATION { "citationItems" : [ { "id" : "ITEM-1", "itemData" : { "DOI" : "10.1038/nature12957", "ISSN" : "0028-0836", "author" : [ { "dropping-particle" : "V.", "family" : "Gatti", "given" : "L.", "non-dropping-particle" : "", "parse-names" : false, "suffix" : "" }, { "dropping-particle" : "", "family" : "Gloor", "given" : "M.", "non-dropping-particle" : "", "parse-names" : false, "suffix" : "" }, { "dropping-particle" : "", "family" : "Miller", "given" : "J. B.", "non-dropping-particle" : "", "parse-names" : false, "suffix" : "" }, { "dropping-particle" : "", "family" : "Doughty", "given" : "C. E.", "non-dropping-particle" : "", "parse-names" : false, "suffix" : "" }, { "dropping-particle" : "", "family" : "Malhi", "given" : "Y.", "non-dropping-particle" : "", "parse-names" : false, "suffix" : "" }, { "dropping-particle" : "", "family" : "Domingues", "given" : "L. G.", "non-dropping-particle" : "", "parse-names" : false, "suffix" : "" }, { "dropping-particle" : "", "family" : "Basso", "given" : "L. S.", "non-dropping-particle" : "", "parse-names" : false, "suffix" : "" }, { "dropping-particle" : "", "family" : "Martinewski", "given" : "A.", "non-dropping-particle" : "", "parse-names" : false, "suffix" : "" }, { "dropping-particle" : "", "family" : "Correia", "given" : "C. S. C.", "non-dropping-particle" : "", "parse-names" : false, "suffix" : "" }, { "dropping-particle" : "", "family" : "Borges", "given" : "V. F.", "non-dropping-particle" : "", "parse-names" : false, "suffix" : "" }, { "dropping-particle" : "", "family" : "Freitas", "given" : "S.", "non-dropping-particle" : "", "parse-names" : false, "suffix" : "" }, { "dropping-particle" : "", "family" : "Braz", "given" : "R.", "non-dropping-particle" : "", "parse-names" : false, "suffix" : "" }, { "dropping-particle" : "", "family" : "Anderson", "given" : "L. O.", "non-dropping-particle" : "", "parse-names" : false, "suffix" : "" }, { "dropping-particle" : "", "family" : "Rocha", "given" : "H.", "non-dropping-particle" : "", "parse-names" : false, "suffix" : "" }, { "dropping-particle" : "", "family" : "Grace", "given" : "J.", "non-dropping-particle" : "", "parse-names" : false, "suffix" : "" }, { "dropping-particle" : "", "family" : "Phillips", "given" : "O. L.", "non-dropping-particle" : "", "parse-names" : false, "suffix" : "" }, { "dropping-particle" : "", "family" : "Lloyd", "given" : "J.", "non-dropping-particle" : "", "parse-names" : false, "suffix" : "" } ], "container-title" : "Nature", "id" : "ITEM-1", "issue" : "7486", "issued" : { "date-parts" : [ [ "2014", "2", "5" ] ] }, "page" : "76-80", "title" : "Drought sensitivity of Amazonian carbon balance revealed by atmospheric measurements", "type" : "article-journal", "volume" : "506" }, "uris" : [ "http://www.mendeley.com/documents/?uuid=31c68d94-332d-3d9a-80b1-4ea6f225ea24" ] } ], "mendeley" : { "formattedCitation" : "(Gatti et al., 2014)", "plainTextFormattedCitation" : "(Gatti et al., 2014)", "previouslyFormattedCitation" : "(Gatti et al.,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(Gatti et al., 2014)</w:t>
      </w:r>
      <w:r w:rsidRPr="008608AA">
        <w:rPr>
          <w:rFonts w:eastAsia="Droid Sans Fallback"/>
        </w:rPr>
        <w:fldChar w:fldCharType="end"/>
      </w:r>
      <w:r w:rsidRPr="008608AA">
        <w:rPr>
          <w:rFonts w:eastAsia="Droid Sans Fallback"/>
        </w:rPr>
        <w:t>.</w:t>
      </w:r>
    </w:p>
    <w:p w14:paraId="3D31ED8E" w14:textId="77777777" w:rsidR="006362EA" w:rsidRPr="008608AA" w:rsidRDefault="006362EA" w:rsidP="00490494">
      <w:pPr>
        <w:suppressAutoHyphens/>
        <w:rPr>
          <w:rFonts w:eastAsia="Droid Sans Fallback"/>
        </w:rPr>
      </w:pPr>
    </w:p>
    <w:p w14:paraId="3F732D50" w14:textId="15E72DDF" w:rsidR="006362EA" w:rsidRPr="008608AA" w:rsidRDefault="00345EF6" w:rsidP="006362EA">
      <w:pPr>
        <w:suppressAutoHyphens/>
        <w:jc w:val="center"/>
        <w:rPr>
          <w:rFonts w:eastAsia="Droid Sans Fallback"/>
        </w:rPr>
      </w:pPr>
      <w:r w:rsidRPr="008608AA">
        <w:rPr>
          <w:rFonts w:eastAsia="Droid Sans Fallback"/>
          <w:noProof/>
          <w:lang w:val="en-GB" w:eastAsia="en-GB"/>
        </w:rPr>
        <w:drawing>
          <wp:inline distT="0" distB="0" distL="0" distR="0" wp14:anchorId="4159C2F9" wp14:editId="4FE58B07">
            <wp:extent cx="5934075" cy="3495675"/>
            <wp:effectExtent l="0" t="0" r="9525" b="9525"/>
            <wp:docPr id="65" name="Imagen 65" descr="C:\Users\Alejandro Valderrama\Downloads\Fig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7" descr="C:\Users\Alejandro Valderrama\Downloads\Fig5.4.jpg"/>
                    <pic:cNvPicPr>
                      <a:picLocks noChangeAspect="1" noChangeArrowheads="1"/>
                    </pic:cNvPicPr>
                  </pic:nvPicPr>
                  <pic:blipFill rotWithShape="1">
                    <a:blip r:embed="rId1029">
                      <a:extLst>
                        <a:ext uri="{28A0092B-C50C-407E-A947-70E740481C1C}">
                          <a14:useLocalDpi xmlns:a14="http://schemas.microsoft.com/office/drawing/2010/main" val="0"/>
                        </a:ext>
                      </a:extLst>
                    </a:blip>
                    <a:srcRect b="59131"/>
                    <a:stretch/>
                  </pic:blipFill>
                  <pic:spPr bwMode="auto">
                    <a:xfrm>
                      <a:off x="0" y="0"/>
                      <a:ext cx="5934075" cy="3495675"/>
                    </a:xfrm>
                    <a:prstGeom prst="rect">
                      <a:avLst/>
                    </a:prstGeom>
                    <a:noFill/>
                    <a:ln>
                      <a:noFill/>
                    </a:ln>
                    <a:extLst>
                      <a:ext uri="{53640926-AAD7-44D8-BBD7-CCE9431645EC}">
                        <a14:shadowObscured xmlns:a14="http://schemas.microsoft.com/office/drawing/2010/main"/>
                      </a:ext>
                    </a:extLst>
                  </pic:spPr>
                </pic:pic>
              </a:graphicData>
            </a:graphic>
          </wp:inline>
        </w:drawing>
      </w:r>
    </w:p>
    <w:p w14:paraId="409E2FE7" w14:textId="77777777" w:rsidR="006362EA" w:rsidRPr="008608AA" w:rsidRDefault="006362EA" w:rsidP="00490494">
      <w:pPr>
        <w:suppressAutoHyphens/>
        <w:rPr>
          <w:rFonts w:eastAsia="Droid Sans Fallback"/>
        </w:rPr>
      </w:pPr>
    </w:p>
    <w:p w14:paraId="57CD632B" w14:textId="7C36B18A" w:rsidR="006362EA" w:rsidRPr="008608AA" w:rsidRDefault="00345EF6" w:rsidP="006362EA">
      <w:pPr>
        <w:jc w:val="center"/>
        <w:rPr>
          <w:rFonts w:eastAsia="Droid Sans Fallback"/>
        </w:rPr>
      </w:pPr>
      <w:bookmarkStart w:id="1934" w:name="_Toc472342778"/>
      <w:r w:rsidRPr="008608AA">
        <w:rPr>
          <w:rFonts w:eastAsia="Droid Sans Fallback"/>
          <w:noProof/>
          <w:lang w:val="en-GB" w:eastAsia="en-GB"/>
        </w:rPr>
        <w:drawing>
          <wp:inline distT="0" distB="0" distL="0" distR="0" wp14:anchorId="1CA979FA" wp14:editId="6E06F58E">
            <wp:extent cx="5934075" cy="3467100"/>
            <wp:effectExtent l="0" t="0" r="9525" b="0"/>
            <wp:docPr id="66" name="Imagen 66" descr="C:\Users\Alejandro Valderrama\Downloads\Fig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9" descr="C:\Users\Alejandro Valderrama\Downloads\Fig5.5.jpg"/>
                    <pic:cNvPicPr>
                      <a:picLocks noChangeAspect="1" noChangeArrowheads="1"/>
                    </pic:cNvPicPr>
                  </pic:nvPicPr>
                  <pic:blipFill rotWithShape="1">
                    <a:blip r:embed="rId1030">
                      <a:extLst>
                        <a:ext uri="{28A0092B-C50C-407E-A947-70E740481C1C}">
                          <a14:useLocalDpi xmlns:a14="http://schemas.microsoft.com/office/drawing/2010/main" val="0"/>
                        </a:ext>
                      </a:extLst>
                    </a:blip>
                    <a:srcRect b="59466"/>
                    <a:stretch/>
                  </pic:blipFill>
                  <pic:spPr bwMode="auto">
                    <a:xfrm>
                      <a:off x="0" y="0"/>
                      <a:ext cx="5934075" cy="3467100"/>
                    </a:xfrm>
                    <a:prstGeom prst="rect">
                      <a:avLst/>
                    </a:prstGeom>
                    <a:noFill/>
                    <a:ln>
                      <a:noFill/>
                    </a:ln>
                    <a:extLst>
                      <a:ext uri="{53640926-AAD7-44D8-BBD7-CCE9431645EC}">
                        <a14:shadowObscured xmlns:a14="http://schemas.microsoft.com/office/drawing/2010/main"/>
                      </a:ext>
                    </a:extLst>
                  </pic:spPr>
                </pic:pic>
              </a:graphicData>
            </a:graphic>
          </wp:inline>
        </w:drawing>
      </w:r>
    </w:p>
    <w:p w14:paraId="7B3CB3C9" w14:textId="77777777" w:rsidR="006362EA" w:rsidRPr="008608AA" w:rsidRDefault="006362EA" w:rsidP="006362EA">
      <w:pPr>
        <w:jc w:val="center"/>
        <w:rPr>
          <w:rFonts w:eastAsia="Droid Sans Fallback"/>
        </w:rPr>
      </w:pPr>
    </w:p>
    <w:p w14:paraId="7DC0F780" w14:textId="58DC2484" w:rsidR="00490494" w:rsidRPr="008608AA" w:rsidRDefault="00490494" w:rsidP="006362EA">
      <w:pPr>
        <w:pStyle w:val="Heading4"/>
        <w:rPr>
          <w:rFonts w:eastAsia="Droid Sans Fallback"/>
          <w:i/>
        </w:rPr>
      </w:pPr>
      <w:r w:rsidRPr="008608AA">
        <w:rPr>
          <w:rFonts w:eastAsia="Droid Sans Fallback"/>
        </w:rPr>
        <w:t xml:space="preserve"> </w:t>
      </w:r>
      <w:bookmarkStart w:id="1935" w:name="_Toc517393403"/>
      <w:bookmarkStart w:id="1936" w:name="_Toc517719144"/>
      <w:bookmarkStart w:id="1937" w:name="_Toc517797101"/>
      <w:r w:rsidRPr="008608AA">
        <w:rPr>
          <w:rFonts w:eastAsia="Droid Sans Fallback"/>
        </w:rPr>
        <w:t xml:space="preserve">Tropical and </w:t>
      </w:r>
      <w:r w:rsidR="002C4E23" w:rsidRPr="008608AA">
        <w:rPr>
          <w:rFonts w:eastAsia="Droid Sans Fallback"/>
        </w:rPr>
        <w:t>s</w:t>
      </w:r>
      <w:r w:rsidR="00CB199B" w:rsidRPr="008608AA">
        <w:rPr>
          <w:rFonts w:eastAsia="Droid Sans Fallback"/>
        </w:rPr>
        <w:t>ub</w:t>
      </w:r>
      <w:r w:rsidRPr="008608AA">
        <w:rPr>
          <w:rFonts w:eastAsia="Droid Sans Fallback"/>
        </w:rPr>
        <w:t xml:space="preserve">tropical </w:t>
      </w:r>
      <w:r w:rsidR="002C4E23" w:rsidRPr="008608AA">
        <w:rPr>
          <w:rFonts w:eastAsia="Droid Sans Fallback"/>
        </w:rPr>
        <w:t>d</w:t>
      </w:r>
      <w:r w:rsidRPr="008608AA">
        <w:rPr>
          <w:rFonts w:eastAsia="Droid Sans Fallback"/>
        </w:rPr>
        <w:t xml:space="preserve">ry </w:t>
      </w:r>
      <w:r w:rsidR="002C4E23" w:rsidRPr="008608AA">
        <w:rPr>
          <w:rFonts w:eastAsia="Droid Sans Fallback"/>
        </w:rPr>
        <w:t>f</w:t>
      </w:r>
      <w:r w:rsidRPr="008608AA">
        <w:rPr>
          <w:rFonts w:eastAsia="Droid Sans Fallback"/>
        </w:rPr>
        <w:t>orests</w:t>
      </w:r>
      <w:bookmarkEnd w:id="1934"/>
      <w:r w:rsidR="002C4E23" w:rsidRPr="008608AA">
        <w:rPr>
          <w:rFonts w:eastAsia="Droid Sans Fallback"/>
        </w:rPr>
        <w:t xml:space="preserve"> </w:t>
      </w:r>
      <w:r w:rsidR="00CB199B" w:rsidRPr="008608AA">
        <w:rPr>
          <w:rFonts w:eastAsia="Droid Sans Fallback"/>
        </w:rPr>
        <w:t>unit of analysis</w:t>
      </w:r>
      <w:bookmarkEnd w:id="1935"/>
      <w:bookmarkEnd w:id="1936"/>
      <w:bookmarkEnd w:id="1937"/>
      <w:r w:rsidRPr="008608AA">
        <w:rPr>
          <w:rFonts w:eastAsia="Droid Sans Fallback"/>
          <w:i/>
        </w:rPr>
        <w:t xml:space="preserve"> </w:t>
      </w:r>
    </w:p>
    <w:p w14:paraId="3D21E269" w14:textId="026B0ADF" w:rsidR="006362EA" w:rsidRPr="008608AA" w:rsidRDefault="00345EF6" w:rsidP="006362EA">
      <w:pPr>
        <w:suppressAutoHyphens/>
        <w:spacing w:before="240"/>
        <w:jc w:val="center"/>
        <w:rPr>
          <w:rFonts w:eastAsia="Droid Sans Fallback"/>
        </w:rPr>
      </w:pPr>
      <w:r w:rsidRPr="008608AA">
        <w:rPr>
          <w:rFonts w:eastAsia="Droid Sans Fallback"/>
          <w:noProof/>
          <w:lang w:val="en-GB" w:eastAsia="en-GB"/>
        </w:rPr>
        <w:drawing>
          <wp:inline distT="0" distB="0" distL="0" distR="0" wp14:anchorId="398BC4CA" wp14:editId="1C3D9ADE">
            <wp:extent cx="5934075" cy="8553450"/>
            <wp:effectExtent l="0" t="0" r="9525" b="0"/>
            <wp:docPr id="67" name="Imagen 67" descr="C:\Users\Alejandro Valderrama\Downloads\fIg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1" descr="C:\Users\Alejandro Valderrama\Downloads\fIg5.6.jpg"/>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5934075" cy="8553450"/>
                    </a:xfrm>
                    <a:prstGeom prst="rect">
                      <a:avLst/>
                    </a:prstGeom>
                    <a:noFill/>
                    <a:ln>
                      <a:noFill/>
                    </a:ln>
                  </pic:spPr>
                </pic:pic>
              </a:graphicData>
            </a:graphic>
          </wp:inline>
        </w:drawing>
      </w:r>
    </w:p>
    <w:p w14:paraId="27C35FB5" w14:textId="57F7AE8F" w:rsidR="00490494" w:rsidRPr="008608AA" w:rsidRDefault="00490494" w:rsidP="006362EA">
      <w:pPr>
        <w:suppressAutoHyphens/>
        <w:spacing w:before="240"/>
        <w:rPr>
          <w:rFonts w:eastAsia="Droid Sans Fallback"/>
        </w:rPr>
      </w:pPr>
      <w:r w:rsidRPr="008608AA">
        <w:rPr>
          <w:rFonts w:eastAsia="Droid Sans Fallback"/>
        </w:rPr>
        <w:t xml:space="preserve">Tropical dry forests occur from Mexico, through Latin America and the Caribbean, with the most extensive area being the Gran Chaco of South America. The forests contribute to human well-being on a local scale through regulating services, such as erosion control and micro-climate regulation, and provisioning services, such as non-timber forest products (e.g. bushmeat, fodder, and firewood), and non-material NCP such as cultural identity. However, these services are becoming increasingly impacted due to land conversion that replaces these locally-relevant services by services relevant on larger scales, e.g commodity agriculture </w:t>
      </w:r>
      <w:r w:rsidRPr="008608AA">
        <w:rPr>
          <w:rFonts w:eastAsia="Droid Sans Fallback"/>
        </w:rPr>
        <w:fldChar w:fldCharType="begin" w:fldLock="1"/>
      </w:r>
      <w:r w:rsidRPr="008608AA">
        <w:rPr>
          <w:rFonts w:eastAsia="Droid Sans Fallback"/>
        </w:rPr>
        <w:instrText>ADDIN CSL_CITATION { "citationItems" : [ { "id" : "ITEM-1", "itemData" : { "DOI" : "10.1038/nclimate2056", "ISSN" : "1758-678X", "abstract" : "This Review considers the evolving relationship between land-use change and greenhouse gas emissions in Brazil. Despite the intensification of agriculture over the past decade or so, deforestation has decreased, resulting in reduced greenhouse gas emissions. However, inequality in land ownership and city growth fuelled by rural\u2013urban migration remain pressing issues for policymakers.", "author" : [ { "dropping-particle" : "", "family" : "Lapola", "given" : "David M.", "non-dropping-particle" : "", "parse-names" : false, "suffix" : "" }, { "dropping-particle" : "", "family" : "Martinelli", "given" : "Luiz A.", "non-dropping-particle" : "", "parse-names" : false, "suffix" : "" }, { "dropping-particle" : "", "family" : "Peres", "given" : "Carlos A.", "non-dropping-particle" : "", "parse-names" : false, "suffix" : "" }, { "dropping-particle" : "", "family" : "Ometto", "given" : "Jean P. H. B.", "non-dropping-particle" : "", "parse-names" : false, "suffix" : "" }, { "dropping-particle" : "", "family" : "Ferreira", "given" : "Manuel E.", "non-dropping-particle" : "", "parse-names" : false, "suffix" : "" }, { "dropping-particle" : "", "family" : "Nobre", "given" : "Carlos A.", "non-dropping-particle" : "", "parse-names" : false, "suffix" : "" }, { "dropping-particle" : "", "family" : "Aguiar", "given" : "Ana Paula D.", "non-dropping-particle" : "", "parse-names" : false, "suffix" : "" }, { "dropping-particle" : "", "family" : "Bustamante", "given" : "Mercedes M. C.", "non-dropping-particle" : "", "parse-names" : false, "suffix" : "" }, { "dropping-particle" : "", "family" : "Cardoso", "given" : "Manoel F.", "non-dropping-particle" : "", "parse-names" : false, "suffix" : "" }, { "dropping-particle" : "", "family" : "Costa", "given" : "Marcos H.", "non-dropping-particle" : "", "parse-names" : false, "suffix" : "" }, { "dropping-particle" : "", "family" : "Joly", "given" : "Carlos A.", "non-dropping-particle" : "", "parse-names" : false, "suffix" : "" }, { "dropping-particle" : "", "family" : "Leite", "given" : "Christiane C.", "non-dropping-particle" : "", "parse-names" : false, "suffix" : "" }, { "dropping-particle" : "", "family" : "Moutinho", "given" : "Paulo", "non-dropping-particle" : "", "parse-names" : false, "suffix" : "" }, { "dropping-particle" : "", "family" : "Sampaio", "given" : "Gilvan", "non-dropping-particle" : "", "parse-names" : false, "suffix" : "" }, { "dropping-particle" : "", "family" : "Strassburg", "given" : "Bernardo B. N.", "non-dropping-particle" : "", "parse-names" : false, "suffix" : "" }, { "dropping-particle" : "", "family" : "Vieira", "given" : "Ima C. G.", "non-dropping-particle" : "", "parse-names" : false, "suffix" : "" } ], "container-title" : "Nature Climate Change", "id" : "ITEM-1", "issue" : "1", "issued" : { "date-parts" : [ [ "2013", "12", "20" ] ] }, "page" : "27-35", "publisher" : "Nature Publishing Group", "title" : "Pervasive transition of the Brazilian land-use system", "type" : "article-journal", "volume" : "4" }, "uris" : [ "http://www.mendeley.com/documents/?uuid=e4190645-02e8-3d88-baac-0c269eabbe96" ] } ], "mendeley" : { "formattedCitation" : "(Lapola et al., 2013)", "manualFormatting" : "(Lapola et al., 2013", "plainTextFormattedCitation" : "(Lapola et al., 2013)", "previouslyFormattedCitation" : "(Lapola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(Lapola et al., 2013</w:t>
      </w:r>
      <w:r w:rsidRPr="008608AA">
        <w:rPr>
          <w:rFonts w:eastAsia="Droid Sans Fallback"/>
        </w:rPr>
        <w:fldChar w:fldCharType="end"/>
      </w:r>
      <w:r w:rsidRPr="008608AA">
        <w:rPr>
          <w:rFonts w:eastAsia="Droid Sans Fallback"/>
        </w:rPr>
        <w:t>). Thus, changing global demographics, consumption patterns, and global trade are driving land conversion from tropical dry forest to other uses such as cropping and cattle ranching, leading to the loss and fragmentation of native ecosystems. These land-use changes produce a strong trade-off between ecosystem goods such as grains and beef for export and the regional or country level, economic benefit, versus ecosystem services relevant for local people. Further discussions are found in Chapter 3.</w:t>
      </w:r>
    </w:p>
    <w:p w14:paraId="0D3B64C5" w14:textId="77777777" w:rsidR="00490494" w:rsidRPr="008608AA" w:rsidRDefault="00490494" w:rsidP="006362EA">
      <w:pPr>
        <w:suppressAutoHyphens/>
        <w:rPr>
          <w:rFonts w:eastAsia="Droid Sans Fallback"/>
        </w:rPr>
      </w:pPr>
      <w:r w:rsidRPr="008608AA">
        <w:rPr>
          <w:rFonts w:eastAsia="Droid Sans Fallback"/>
        </w:rPr>
        <w:t>The evolving trade-off underscores one of the main challenges inherent in sustainable use of biodiversity, namely spatial scales as relevant to the generation of ecosystem goods and services as opposed to where their benefits are ultimately realized. These scale considerations include local social-ecological systems where ecosystems are converted and local population is displaced, the national scale where the different Chaco countries (Argentina, Bolivia, Paraguay), or Cerrado (Brazil), design and implement their agricultural and environmental policies, the regional scale where some environmental processes become relevant (e.g. climate regulation) and the global scale where driving forces originate (China´s demand for soybean meal to feed pigs and poultry) and where countervailing policies may be created (e.g. Reducing Emissions from Deforestation and Forest Degradation).</w:t>
      </w:r>
    </w:p>
    <w:p w14:paraId="3A958E04" w14:textId="77777777" w:rsidR="00490494" w:rsidRPr="008608AA" w:rsidRDefault="00490494" w:rsidP="006362EA">
      <w:pPr>
        <w:suppressAutoHyphens/>
        <w:rPr>
          <w:rFonts w:eastAsia="Droid Sans Fallback"/>
        </w:rPr>
      </w:pPr>
      <w:r w:rsidRPr="008608AA">
        <w:rPr>
          <w:rFonts w:eastAsia="Droid Sans Fallback"/>
        </w:rPr>
        <w:t xml:space="preserve">Thus, effective policies for addressing the conversion of dry tropical forest to other uses will need to be addressed at various organizational scales. National governments affect land-use changes through agricultural (e.g. technology adoption), economic (e.g. currency devaluation, reduction of fiscal pressure) and environmental policies (e.g. land-use planning); companies and corporations that operate along the agro-industrial chain influence the rate and direction of land-use changes; international organizations (e.g. Roundtable for Responsible Soy) lobby national governments to increase or decrease agricultural expansion over native forests, etc. The policy and environmental challenges are to define effective and sustainable land use planning, which includes strong institutional arrangements, clear legislation and economic opportunities for conservation and sustainable production. </w:t>
      </w:r>
    </w:p>
    <w:p w14:paraId="0EA531B3" w14:textId="77777777" w:rsidR="00CF6BD8" w:rsidRPr="008608AA" w:rsidRDefault="00490494" w:rsidP="006362EA">
      <w:pPr>
        <w:suppressAutoHyphens/>
        <w:rPr>
          <w:rFonts w:eastAsia="Droid Sans Fallback"/>
        </w:rPr>
      </w:pPr>
      <w:r w:rsidRPr="008608AA">
        <w:rPr>
          <w:rFonts w:eastAsia="Droid Sans Fallback"/>
        </w:rPr>
        <w:t xml:space="preserve">Just as there is a significant component of temporally changing demographics and consumption patterns, there are other temporal aspects to this issue, including the temporal considerations inherent to this unit of analysis. The decadal scale is relevant for climatic fluctuations (e.g. dry and wet periods) that naturally occur in the Gran Chaco and that strongly affect agricultural production. At the scale of centuries there may occur fluctuations in ecosystem state, such as changes in the dominant vegetation, with periods of woodland domination being followed by periods dominated by herbaceous (savanna-like) vegetation. Within periods dominated by woodlands like the current one, regeneration of dominant tree species (e.g. </w:t>
      </w:r>
      <w:r w:rsidRPr="008608AA">
        <w:rPr>
          <w:rFonts w:eastAsia="Droid Sans Fallback"/>
          <w:i/>
        </w:rPr>
        <w:t>Prosopis</w:t>
      </w:r>
      <w:r w:rsidRPr="008608AA">
        <w:rPr>
          <w:rFonts w:eastAsia="Droid Sans Fallback"/>
        </w:rPr>
        <w:t xml:space="preserve"> spp., </w:t>
      </w:r>
      <w:r w:rsidRPr="008608AA">
        <w:rPr>
          <w:rFonts w:eastAsia="Droid Sans Fallback"/>
          <w:i/>
        </w:rPr>
        <w:t>Schinopsis</w:t>
      </w:r>
      <w:r w:rsidRPr="008608AA">
        <w:rPr>
          <w:rFonts w:eastAsia="Droid Sans Fallback"/>
        </w:rPr>
        <w:t xml:space="preserve"> spp.) after land conversion may take more than 50 years due to the sl</w:t>
      </w:r>
      <w:r w:rsidR="00CF6BD8" w:rsidRPr="008608AA">
        <w:rPr>
          <w:rFonts w:eastAsia="Droid Sans Fallback"/>
        </w:rPr>
        <w:t xml:space="preserve">ow growth rate of these species. </w:t>
      </w:r>
    </w:p>
    <w:p w14:paraId="37A92200" w14:textId="77777777" w:rsidR="00CF6BD8" w:rsidRPr="008608AA" w:rsidRDefault="00CF6BD8" w:rsidP="006362EA">
      <w:pPr>
        <w:suppressAutoHyphens/>
        <w:rPr>
          <w:rFonts w:eastAsia="Droid Sans Fallback"/>
        </w:rPr>
      </w:pPr>
    </w:p>
    <w:p w14:paraId="121C49DC" w14:textId="77777777" w:rsidR="00CF6BD8" w:rsidRPr="008608AA" w:rsidRDefault="00490494" w:rsidP="006362EA">
      <w:pPr>
        <w:suppressAutoHyphens/>
        <w:rPr>
          <w:rFonts w:eastAsia="Droid Sans Fallback"/>
        </w:rPr>
      </w:pPr>
      <w:r w:rsidRPr="008608AA">
        <w:rPr>
          <w:rFonts w:eastAsia="Droid Sans Fallback"/>
        </w:rPr>
        <w:t xml:space="preserve">The United Nations Environment Programme </w:t>
      </w:r>
      <w:r w:rsidRPr="008608AA">
        <w:rPr>
          <w:rFonts w:eastAsia="Droid Sans Fallback"/>
        </w:rPr>
        <w:fldChar w:fldCharType="begin" w:fldLock="1"/>
      </w:r>
      <w:r w:rsidRPr="008608AA">
        <w:rPr>
          <w:rFonts w:eastAsia="Droid Sans Fallback"/>
        </w:rPr>
        <w:instrText>ADDIN CSL_CITATION { "citationItems" : [ { "id" : "ITEM-1", "itemData" : { "ISBN" : "9789280735468", "author" : [ { "dropping-particle" : "", "family" : "UNEP", "given" : "", "non-dropping-particle" : "", "parse-names" : false, "suffix" : "" } ], "id" : "ITEM-1", "issued" : { "date-parts" : [ [ "2016" ] ] }, "publisher" : "United Nations Environment Programme", "publisher-place" : "Nairobi, Kenya", "title" : "GEO-6 Regional Assessment for Latin America and the Caribbean", "type" : "book" }, "uris" : [ "http://www.mendeley.com/documents/?uuid=d7e5b332-a82a-4249-8676-dfa09923e8a5" ] } ], "mendeley" : { "formattedCitation" : "(UNEP, 2016a)", "plainTextFormattedCitation" : "(UNEP, 2016a)", "previouslyFormattedCitation" : "(UNEP, 2016a)"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(UNEP, 2016a)</w:t>
      </w:r>
      <w:r w:rsidRPr="008608AA">
        <w:rPr>
          <w:rFonts w:eastAsia="Droid Sans Fallback"/>
        </w:rPr>
        <w:fldChar w:fldCharType="end"/>
      </w:r>
      <w:r w:rsidRPr="008608AA">
        <w:rPr>
          <w:rFonts w:eastAsia="Droid Sans Fallback"/>
        </w:rPr>
        <w:t xml:space="preserve"> considers three scenarios for Latin America and the Caribbean: ‘economy prevails’ scenario tends to maximize economic growth at the expense of social and environmental objectives. This approach is reactive in terms of policy responses. Consequently, economic growth instability increases, as does vulnerability to unforeseen events. Policy options in this outlook emphasize privatization of public services and attempts to internalize environmental and social externalities into the costs of production through market tools. On a ‘Policy trade-offs’ scenario, new policies and regulations are introduced to partially mitigate the adverse impacts of more than two decades of neo-liberal practices, in this scenario, population growth slows, urbanization stabilizes and emigration pressures reduce. The policy trade-offs scenario promotes greater transparency, policy effectiveness, and institutional coordination. However, environmental sustainability, even while a policy objective, remains a secondary priority for governments. Finally, a ‘sustainability agenda’ scenario assumes the implementation of policies to promote sustainable approaches to agricultural practices, rather than market signals, more conscientious tourism, and a more participative and coordinated strategy for energy trade. However, in some areas, this outlook may result in a slowing of technological intensity, as well as a shift towards local-level issues. In this case, policy options tend to prioritize the emphasis on building and keeping a social consensus through education and institutional strength </w:t>
      </w:r>
      <w:r w:rsidRPr="008608AA">
        <w:rPr>
          <w:rFonts w:eastAsia="Droid Sans Fallback"/>
        </w:rPr>
        <w:fldChar w:fldCharType="begin" w:fldLock="1"/>
      </w:r>
      <w:r w:rsidRPr="008608AA">
        <w:rPr>
          <w:rFonts w:eastAsia="Droid Sans Fallback"/>
        </w:rPr>
        <w:instrText>ADDIN CSL_CITATION { "citationItems" : [ { "id" : "ITEM-1", "itemData" : { "ISBN" : "9789280735468", "author" : [ { "dropping-particle" : "", "family" : "UNEP", "given" : "", "non-dropping-particle" : "", "parse-names" : false, "suffix" : "" } ], "id" : "ITEM-1", "issued" : { "date-parts" : [ [ "2016" ] ] }, "publisher" : "United Nations Environment Programme", "publisher-place" : "Nairobi, Kenya", "title" : "GEO-6 Regional Assessment for Latin America and the Caribbean", "type" : "book" }, "uris" : [ "http://www.mendeley.com/documents/?uuid=d7e5b332-a82a-4249-8676-dfa09923e8a5" ] } ], "mendeley" : { "formattedCitation" : "(UNEP, 2016a)", "plainTextFormattedCitation" : "(UNEP, 2016a)", "previouslyFormattedCitation" : "(UNEP, 2016a)"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(UNEP, 2016a)</w:t>
      </w:r>
      <w:r w:rsidRPr="008608AA">
        <w:rPr>
          <w:rFonts w:eastAsia="Droid Sans Fallback"/>
        </w:rPr>
        <w:fldChar w:fldCharType="end"/>
      </w:r>
      <w:r w:rsidRPr="008608AA">
        <w:rPr>
          <w:rFonts w:eastAsia="Droid Sans Fallback"/>
        </w:rPr>
        <w:t>. Whether considering spatial or temporal scales, the inherent trade-offs or synergies associated with this issue need to be considered fully.</w:t>
      </w:r>
    </w:p>
    <w:p w14:paraId="3C6BC9C0" w14:textId="77777777" w:rsidR="00CF6BD8" w:rsidRPr="008608AA" w:rsidRDefault="00CF6BD8" w:rsidP="00490494">
      <w:pPr>
        <w:suppressAutoHyphens/>
        <w:rPr>
          <w:rFonts w:eastAsia="Droid Sans Fallback"/>
        </w:rPr>
      </w:pPr>
    </w:p>
    <w:p w14:paraId="403AA774" w14:textId="1F6E9671" w:rsidR="006362EA" w:rsidRPr="008608AA" w:rsidRDefault="00490494" w:rsidP="00490494">
      <w:pPr>
        <w:suppressAutoHyphens/>
        <w:rPr>
          <w:rFonts w:eastAsia="Droid Sans Fallback"/>
        </w:rPr>
      </w:pPr>
      <w:r w:rsidRPr="008608AA">
        <w:rPr>
          <w:rFonts w:eastAsia="Droid Sans Fallback"/>
        </w:rPr>
        <w:t xml:space="preserve">These trade-offs include: forest loss and fragmentation increases agricultural area and production volumes at the expense of biodiversity; forest degradation increases accessibility of cattle to natural fodder, but decreases carbon sequestration on biomass; landscape homogenization facilitates agricultural operations but reduces livelihood options for local people, forcing them to migrate into urban areas, etc. Regardless of the ultimate trade-offs, this issue is urgent in that tipping points may be reached that eliminate a reasoned approach to the trade-offs, such as: regarding climate, the loss of forest cover alters the hydrological cycle and forces the system towards drier conditions; regarding vegetation, the degradation of woodland vegetation alters soil and climate conditions and shifts the system towards one dominated by scrublands. </w:t>
      </w:r>
      <w:r w:rsidR="006362EA" w:rsidRPr="008608AA">
        <w:rPr>
          <w:rFonts w:eastAsia="Droid Sans Fallback"/>
        </w:rPr>
        <w:br w:type="page"/>
      </w:r>
    </w:p>
    <w:p w14:paraId="2536D17A" w14:textId="6B3738AD" w:rsidR="003F27A4" w:rsidRPr="008608AA" w:rsidRDefault="003F27A4" w:rsidP="006362EA">
      <w:pPr>
        <w:pStyle w:val="Heading3"/>
        <w:rPr>
          <w:lang w:eastAsia="ja-JP"/>
        </w:rPr>
      </w:pPr>
      <w:bookmarkStart w:id="1938" w:name="_Toc502953633"/>
      <w:bookmarkStart w:id="1939" w:name="_Toc502954926"/>
      <w:bookmarkStart w:id="1940" w:name="_Toc502957733"/>
      <w:bookmarkStart w:id="1941" w:name="_Toc502957932"/>
      <w:bookmarkStart w:id="1942" w:name="_Toc502958086"/>
      <w:bookmarkStart w:id="1943" w:name="_Toc503293155"/>
      <w:bookmarkStart w:id="1944" w:name="_Toc503293753"/>
      <w:bookmarkStart w:id="1945" w:name="_Toc503294015"/>
      <w:bookmarkStart w:id="1946" w:name="_Toc503863408"/>
      <w:bookmarkStart w:id="1947" w:name="_Toc503863636"/>
      <w:bookmarkStart w:id="1948" w:name="_Toc517393404"/>
      <w:bookmarkStart w:id="1949" w:name="_Toc517719145"/>
      <w:bookmarkStart w:id="1950" w:name="_Toc517797102"/>
      <w:bookmarkStart w:id="1951" w:name="_Toc466995086"/>
      <w:bookmarkStart w:id="1952" w:name="_Toc472342779"/>
      <w:bookmarkStart w:id="1953" w:name="_Toc499256886"/>
      <w:bookmarkStart w:id="1954" w:name="_Toc482711174"/>
      <w:r w:rsidRPr="008608AA">
        <w:rPr>
          <w:rFonts w:eastAsia="Droid Sans Fallback"/>
        </w:rPr>
        <w:t>Temperate and boreal forests and woodlands</w:t>
      </w:r>
      <w:r w:rsidR="00166947" w:rsidRPr="008608AA">
        <w:rPr>
          <w:rFonts w:eastAsia="Droid Sans Fallback"/>
        </w:rPr>
        <w:t xml:space="preserve"> units of analysis</w:t>
      </w:r>
      <w:r w:rsidR="007610DC" w:rsidRPr="008608AA">
        <w:rPr>
          <w:rFonts w:eastAsia="Droid Sans Fallback"/>
        </w:rPr>
        <w:t xml:space="preserve"> </w:t>
      </w:r>
      <w:r w:rsidRPr="008608AA">
        <w:rPr>
          <w:rFonts w:eastAsia="Droid Sans Fallback"/>
        </w:rPr>
        <w:t xml:space="preserve"> – Key </w:t>
      </w:r>
      <w:r w:rsidR="00166947" w:rsidRPr="008608AA">
        <w:rPr>
          <w:rFonts w:eastAsia="Droid Sans Fallback"/>
        </w:rPr>
        <w:t>to indigenous people and carbon storage</w:t>
      </w:r>
      <w:bookmarkEnd w:id="1938"/>
      <w:bookmarkEnd w:id="1939"/>
      <w:bookmarkEnd w:id="1940"/>
      <w:bookmarkEnd w:id="1941"/>
      <w:bookmarkEnd w:id="1942"/>
      <w:bookmarkEnd w:id="1943"/>
      <w:bookmarkEnd w:id="1944"/>
      <w:bookmarkEnd w:id="1945"/>
      <w:bookmarkEnd w:id="1946"/>
      <w:bookmarkEnd w:id="1947"/>
      <w:bookmarkEnd w:id="1948"/>
      <w:bookmarkEnd w:id="1949"/>
      <w:bookmarkEnd w:id="1950"/>
    </w:p>
    <w:bookmarkEnd w:id="1951"/>
    <w:bookmarkEnd w:id="1952"/>
    <w:bookmarkEnd w:id="1953"/>
    <w:bookmarkEnd w:id="1954"/>
    <w:p w14:paraId="3BC2E2FE" w14:textId="0955B137" w:rsidR="006362EA" w:rsidRPr="008608AA" w:rsidRDefault="00345EF6" w:rsidP="006362EA">
      <w:pPr>
        <w:suppressAutoHyphens/>
        <w:spacing w:before="240"/>
        <w:jc w:val="center"/>
        <w:rPr>
          <w:rFonts w:eastAsia="Droid Sans Fallback"/>
        </w:rPr>
      </w:pPr>
      <w:r w:rsidRPr="008608AA">
        <w:rPr>
          <w:rFonts w:eastAsia="Droid Sans Fallback"/>
          <w:noProof/>
          <w:lang w:val="en-GB" w:eastAsia="en-GB"/>
        </w:rPr>
        <w:drawing>
          <wp:inline distT="0" distB="0" distL="0" distR="0" wp14:anchorId="3507672E" wp14:editId="23674434">
            <wp:extent cx="5810250" cy="8374967"/>
            <wp:effectExtent l="0" t="0" r="0" b="7620"/>
            <wp:docPr id="68" name="Imagen 68" descr="C:\Users\Alejandro Valderrama\Downloads\fIg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3" descr="C:\Users\Alejandro Valderrama\Downloads\fIg5.7.jpg"/>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5810250" cy="8374967"/>
                    </a:xfrm>
                    <a:prstGeom prst="rect">
                      <a:avLst/>
                    </a:prstGeom>
                    <a:noFill/>
                    <a:ln>
                      <a:noFill/>
                    </a:ln>
                  </pic:spPr>
                </pic:pic>
              </a:graphicData>
            </a:graphic>
          </wp:inline>
        </w:drawing>
      </w:r>
    </w:p>
    <w:p w14:paraId="71FF1A6D" w14:textId="77777777" w:rsidR="00490494" w:rsidRPr="008608AA" w:rsidRDefault="00490494" w:rsidP="006362EA">
      <w:pPr>
        <w:suppressAutoHyphens/>
        <w:spacing w:before="240"/>
        <w:rPr>
          <w:rFonts w:eastAsia="Droid Sans Fallback"/>
        </w:rPr>
      </w:pPr>
      <w:r w:rsidRPr="008608AA">
        <w:rPr>
          <w:rFonts w:eastAsia="Droid Sans Fallback"/>
        </w:rPr>
        <w:t>Temperate and boreal forests occur in the northern hemisphere of the Americas – mostly in the USA and Canada. The boreal forest covers northern Canada and Alaska with a belt of coniferous forests. Boreal forests, and the peatlands that many grow on, are critical for carbon storage. Temperate forests are located in eastern North America. They are comprised of a mix of deciduous, broadleaved and coniferous evergreen forests. Temperate rainforests – which are dominated by coniferous trees - are found on the on the West Coast of North America in British Columbia and in the USA´s Pacific Northwest. In addition, evergreen rainforest occurs in Chile.</w:t>
      </w:r>
    </w:p>
    <w:p w14:paraId="62A5B810" w14:textId="77777777" w:rsidR="00490494" w:rsidRPr="008608AA" w:rsidRDefault="00490494" w:rsidP="006362EA">
      <w:pPr>
        <w:suppressAutoHyphens/>
        <w:rPr>
          <w:rFonts w:eastAsia="Droid Sans Fallback"/>
        </w:rPr>
      </w:pPr>
      <w:r w:rsidRPr="008608AA">
        <w:rPr>
          <w:rFonts w:eastAsia="Droid Sans Fallback"/>
        </w:rPr>
        <w:t>Boreal forests are known for caribou (</w:t>
      </w:r>
      <w:r w:rsidRPr="008608AA">
        <w:rPr>
          <w:rFonts w:eastAsia="Droid Sans Fallback"/>
          <w:i/>
        </w:rPr>
        <w:t>Rangifer tarandus groenlandicus</w:t>
      </w:r>
      <w:r w:rsidRPr="008608AA">
        <w:rPr>
          <w:rFonts w:eastAsia="Droid Sans Fallback"/>
        </w:rPr>
        <w:t>), moose (</w:t>
      </w:r>
      <w:r w:rsidRPr="008608AA">
        <w:rPr>
          <w:rFonts w:eastAsia="Droid Sans Fallback"/>
          <w:i/>
        </w:rPr>
        <w:t>Alces alces</w:t>
      </w:r>
      <w:r w:rsidRPr="008608AA">
        <w:rPr>
          <w:rFonts w:eastAsia="Droid Sans Fallback"/>
        </w:rPr>
        <w:t>), bear (</w:t>
      </w:r>
      <w:r w:rsidRPr="008608AA">
        <w:rPr>
          <w:rFonts w:eastAsia="Droid Sans Fallback"/>
          <w:i/>
        </w:rPr>
        <w:t>Ursus</w:t>
      </w:r>
      <w:r w:rsidRPr="008608AA">
        <w:rPr>
          <w:rFonts w:eastAsia="Droid Sans Fallback"/>
        </w:rPr>
        <w:t xml:space="preserve"> spp.), beaver (</w:t>
      </w:r>
      <w:r w:rsidRPr="008608AA">
        <w:rPr>
          <w:rFonts w:eastAsia="Droid Sans Fallback"/>
          <w:i/>
        </w:rPr>
        <w:t>Castor canadensis</w:t>
      </w:r>
      <w:r w:rsidRPr="008608AA">
        <w:rPr>
          <w:rFonts w:eastAsia="Droid Sans Fallback"/>
        </w:rPr>
        <w:t xml:space="preserve">), rabbit and migratory birds, which are important to local and Indigenous communities. Indigenous communities have lived in the boreal forest for thousands of years. There are more than 600 primarily indigenous communities in the Canadian boreal region. They rely on the forest for physical subsistence and cultural wellbeing. Fish and waterfowl provide for a significant part of the subsistence diet for many remote communities. </w:t>
      </w:r>
    </w:p>
    <w:p w14:paraId="0A933062" w14:textId="77777777" w:rsidR="00490494" w:rsidRPr="008608AA" w:rsidRDefault="00490494" w:rsidP="006362EA">
      <w:pPr>
        <w:suppressAutoHyphens/>
        <w:rPr>
          <w:rFonts w:eastAsia="Droid Sans Fallback"/>
        </w:rPr>
      </w:pPr>
      <w:r w:rsidRPr="008608AA">
        <w:rPr>
          <w:rFonts w:eastAsia="Droid Sans Fallback"/>
        </w:rPr>
        <w:t xml:space="preserve">In addition to the cultural and provisioning benefits provided to local populations (Figure 5.7), carbon storage is a key NCP. Climate change, which is considered the primary anthropogenic driver in this system, has resulted in temperatures changing faster in the high latitudes than in any other area on the planet </w:t>
      </w:r>
      <w:r w:rsidRPr="008608AA">
        <w:rPr>
          <w:rFonts w:eastAsia="Droid Sans Fallback"/>
        </w:rPr>
        <w:fldChar w:fldCharType="begin" w:fldLock="1"/>
      </w:r>
      <w:r w:rsidRPr="008608AA">
        <w:rPr>
          <w:rFonts w:eastAsia="Droid Sans Fallback"/>
        </w:rPr>
        <w:instrText>ADDIN CSL_CITATION { "citationItems" : [ { "id" : "ITEM-1", "itemData" : { "ISBN" : "110705799X", "author" : [ { "dropping-particle" : "", "family" : "IPCC", "given" : "", "non-dropping-particle" : "", "parse-names" : false, "suffix" : "" } ], "editor" : [ { "dropping-particle" : "", "family" : "Stocker", "given" : "T.F.", "non-dropping-particle" : "", "parse-names" : false, "suffix" : "" }, { "dropping-particle" : "", "family" : "Qin", "given" : "D.", "non-dropping-particle" : "", "parse-names" : false, "suffix" : "" }, { "dropping-particle" : "", "family" : "Plattner", "given" : "G.-K.", "non-dropping-particle" : "", "parse-names" : false, "suffix" : "" }, { "dropping-particle" : "", "family" : "Tignor", "given" : "M.", "non-dropping-particle" : "", "parse-names" : false, "suffix" : "" }, { "dropping-particle" : "", "family" : "Allen", "given" : "S.K.", "non-dropping-particle" : "", "parse-names" : false, "suffix" : "" }, { "dropping-particle" : "", "family" : "Boschung", "given" : "J.", "non-dropping-particle" : "", "parse-names" : false, "suffix" : "" }, { "dropping-particle" : "", "family" : "Nauels", "given" : "A.", "non-dropping-particle" : "", "parse-names" : false, "suffix" : "" }, { "dropping-particle" : "", "family" : "Xia", "given" : "Y.", "non-dropping-particle" : "", "parse-names" : false, "suffix" : "" }, { "dropping-particle" : "", "family" : "Bex", "given" : "V.", "non-dropping-particle" : "", "parse-names" : false, "suffix" : "" }, { "dropping-particle" : "", "family" : "Midgley", "given" : "P.M.", "non-dropping-particle" : "", "parse-names" : false, "suffix" : "" } ], "id" : "ITEM-1", "issued" : { "date-parts" : [ [ "2013" ] ] }, "number-of-pages" : "1535", "publisher" : "Cambridge University Press", "publisher-place" : "Cambridge, United Kingdom and New York, NY, USA", "title" : "Climate Change 2013: The Physical Science Basis. Contribution of Working Group I to the Fifth Assessment Report of the Intergovern- mental Panel on Climate Change", "type" : "book" }, "uris" : [ "http://www.mendeley.com/documents/?uuid=90fb9e8c-5d4a-46c7-b45c-3c5c0d27737a" ] } ], "mendeley" : { "formattedCitation" : "(IPCC, 2013a)", "plainTextFormattedCitation" : "(IPCC, 2013a)", "previouslyFormattedCitation" : "(IPCC, 2013a)"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(IPCC, 2013a)</w:t>
      </w:r>
      <w:r w:rsidRPr="008608AA">
        <w:rPr>
          <w:rFonts w:eastAsia="Droid Sans Fallback"/>
        </w:rPr>
        <w:fldChar w:fldCharType="end"/>
      </w:r>
      <w:r w:rsidRPr="008608AA">
        <w:rPr>
          <w:rFonts w:eastAsia="Droid Sans Fallback"/>
        </w:rPr>
        <w:t xml:space="preserve">. </w:t>
      </w:r>
    </w:p>
    <w:p w14:paraId="4BB3C8A9" w14:textId="77777777" w:rsidR="00490494" w:rsidRPr="008608AA" w:rsidRDefault="00490494" w:rsidP="006362EA">
      <w:pPr>
        <w:suppressAutoHyphens/>
        <w:rPr>
          <w:rFonts w:eastAsia="Droid Sans Fallback"/>
        </w:rPr>
      </w:pPr>
      <w:r w:rsidRPr="008608AA">
        <w:rPr>
          <w:rFonts w:eastAsia="Droid Sans Fallback"/>
        </w:rPr>
        <w:t xml:space="preserve">The boreal landscape is dominated by an active natural disturbance driven by large area stand-replacing wildfire and insect outbreaks </w:t>
      </w:r>
      <w:r w:rsidRPr="008608AA">
        <w:rPr>
          <w:rFonts w:eastAsia="Droid Sans Fallback"/>
        </w:rPr>
        <w:fldChar w:fldCharType="begin" w:fldLock="1"/>
      </w:r>
      <w:r w:rsidRPr="008608AA">
        <w:rPr>
          <w:rFonts w:eastAsia="Droid Sans Fallback"/>
        </w:rPr>
        <w:instrText>ADDIN CSL_CITATION { "citationItems" : [ { "id" : "ITEM-1", "itemData" : { "DOI" : "10.1139/er-2013-0042", "ISSN" : "1181-8700", "abstract" : "Canadian boreal woodlands and forests cover approximately 3.09 \u00d7 106 km2, located within a larger boreal zone characterized by cool summers and long cold winters. Warming since the 1850s, increases in annual mean temperature of at least 2 \u00b0C between 2000 and 2050 are highly probable. Annual mean temperatures across the Canadian boreal zone could be 4\u20135 \u00b0C warmer than today\u2019s by 2100. All aspects of boreal forest ecosystem function are likely to be affected. Further, several potential \u201ctipping elements\u201d \u2014 where exposure to increasing changes in climate may trigger distinct shifts in ecosystem state \u2014 can be identified across the Canadian boreal zone. Approximately 40% of the forested area is underlain by permafrost, some of which is already degrading irreversibly, triggering a process of forest decline and re-establishment lasting several decades, while also releasing significant quantities of greenhouse gases that will amplify the future global warming trend. Warmer temperatures coupled with significant c...", "author" : [ { "dropping-particle" : "", "family" : "Price", "given" : "David T.", "non-dropping-particle" : "", "parse-names" : false, "suffix" : "" }, { "dropping-particle" : "", "family" : "Alfaro", "given" : "R.I.", "non-dropping-particle" : "", "parse-names" : false, "suffix" : "" }, { "dropping-particle" : "", "family" : "Brown", "given" : "K.J.", "non-dropping-particle" : "", "parse-names" : false, "suffix" : "" }, { "dropping-particle" : "", "family" : "Flannigan", "given" : "M.D.", "non-dropping-particle" : "", "parse-names" : false, "suffix" : "" }, { "dropping-particle" : "", "family" : "Fleming", "given" : "R.A.", "non-dropping-particle" : "", "parse-names" : false, "suffix" : "" }, { "dropping-particle" : "", "family" : "Hogg", "given" : "E.H.", "non-dropping-particle" : "", "parse-names" : false, "suffix" : "" }, { "dropping-particle" : "", "family" : "Girardin", "given" : "M.P.", "non-dropping-particle" : "", "parse-names" : false, "suffix" : "" }, { "dropping-particle" : "", "family" : "Lakusta", "given" : "T.", "non-dropping-particle" : "", "parse-names" : false, "suffix" : "" }, { "dropping-particle" : "", "family" : "Johnston", "given" : "M.", "non-dropping-particle" : "", "parse-names" : false, "suffix" : "" }, { "dropping-particle" : "", "family" : "McKenney", "given" : "D.W.", "non-dropping-particle" : "", "parse-names" : false, "suffix" : "" }, { "dropping-particle" : "", "family" : "Pedlar", "given" : "J.H.", "non-dropping-particle" : "", "parse-names" : false, "suffix" : "" }, { "dropping-particle" : "", "family" : "Stratton", "given" : "T.", "non-dropping-particle" : "", "parse-names" : false, "suffix" : "" }, { "dropping-particle" : "", "family" : "Sturrock", "given" : "R.N.", "non-dropping-particle" : "", "parse-names" : false, "suffix" : "" }, { "dropping-particle" : "", "family" : "Thompson", "given" : "I.D.", "non-dropping-particle" : "", "parse-names" : false, "suffix" : "" }, { "dropping-particle" : "", "family" : "Trofymow", "given" : "J.A.", "non-dropping-particle" : "", "parse-names" : false, "suffix" : "" }, { "dropping-particle" : "", "family" : "Venier", "given" : "L.A.", "non-dropping-particle" : "", "parse-names" : false, "suffix" : "" } ], "container-title" : "Environmental Reviews", "id" : "ITEM-1", "issue" : "4", "issued" : { "date-parts" : [ [ "2013", "12" ] ] }, "page" : "322-365", "publisher" : " NRC Research Press", "title" : "Anticipating the consequences of climate change for Canada\u2019s boreal forest ecosystems", "type" : "article-journal", "volume" : "21" }, "uris" : [ "http://www.mendeley.com/documents/?uuid=3dc28e22-6c38-3d1f-9d6f-c213603f2ffe" ] } ], "mendeley" : { "formattedCitation" : "(Price et al., 2013)", "plainTextFormattedCitation" : "(Price et al., 2013)", "previouslyFormattedCitation" : "(Price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(Price et al., 2013)</w:t>
      </w:r>
      <w:r w:rsidRPr="008608AA">
        <w:rPr>
          <w:rFonts w:eastAsia="Droid Sans Fallback"/>
        </w:rPr>
        <w:fldChar w:fldCharType="end"/>
      </w:r>
      <w:r w:rsidRPr="008608AA">
        <w:rPr>
          <w:rFonts w:eastAsia="Droid Sans Fallback"/>
        </w:rPr>
        <w:t>. Changes in climate, atmospheric carbon dioxide concentrations and fire regimes have been occurring for decades in the global boreal forest. Future climate change is likely to increase fire frequency and insect outbreaks. Warming in the boreal region is projected to be substantially above the global average. According to the IPCC (Intergovernmental Panel on Climate Change), temperatures in the northern boreal have increased at twice the global rate. Boreal forests are particularly sensitive to warming because of their soils (e.g. peat, permafrost) and likelihood of increased incidence of fire disturbance.</w:t>
      </w:r>
    </w:p>
    <w:p w14:paraId="6EA8B59C" w14:textId="77777777" w:rsidR="007A224F" w:rsidRPr="008608AA" w:rsidRDefault="007A224F" w:rsidP="006362EA">
      <w:pPr>
        <w:suppressAutoHyphens/>
        <w:rPr>
          <w:rFonts w:eastAsia="Droid Sans Fallback"/>
        </w:rPr>
      </w:pPr>
    </w:p>
    <w:p w14:paraId="4B25E9EA" w14:textId="66504186" w:rsidR="00490494" w:rsidRPr="008608AA" w:rsidRDefault="00490494" w:rsidP="006362EA">
      <w:pPr>
        <w:suppressAutoHyphens/>
        <w:rPr>
          <w:rFonts w:eastAsia="Droid Sans Fallback"/>
        </w:rPr>
      </w:pPr>
      <w:r w:rsidRPr="008608AA">
        <w:rPr>
          <w:rFonts w:eastAsia="Droid Sans Fallback"/>
        </w:rPr>
        <w:t xml:space="preserve">Predictions of future climate largely agree that Canada’s boreal forests will experience substantial warming </w:t>
      </w:r>
      <w:r w:rsidRPr="008608AA">
        <w:rPr>
          <w:rFonts w:eastAsia="Droid Sans Fallback"/>
        </w:rPr>
        <w:fldChar w:fldCharType="begin" w:fldLock="1"/>
      </w:r>
      <w:r w:rsidRPr="008608AA">
        <w:rPr>
          <w:rFonts w:eastAsia="Droid Sans Fallback"/>
        </w:rPr>
        <w:instrText>ADDIN CSL_CITATION { "citationItems" : [ { "id" : "ITEM-1", "itemData" : { "DOI" : "10.1175/JCLI3769.1", "ISSN" : "0894-8755", "abstract" : "Abstract An analysis of several multidecadal simulations of the present (1971\u201390) and future (2041\u201360) climate from the Canadian Regional Climate Model (CRCM) is presented. The effects on the CRCM climate of model domain size, internal variability of the general circulation model (GCM) used to provide boundary conditions, and modifications to the physical parameterizations used in the CRCM are investigated. The influence of boundary conditions is further investigated by comparing the GCM-driven simulations of the current climate with simulations performed using boundary conditions from meteorological reanalyses. The present climate of the model in these different configurations is assessed by comparing the seasonal averages and interannual variability of precipitation and surface air temperature with an observed climatology. Generally, small differences are found between the two simulations on different domains, though both domains are quite large as compared with previously reported results. Simulations ...", "author" : [ { "dropping-particle" : "", "family" : "Plummer", "given" : "D. A.", "non-dropping-particle" : "", "parse-names" : false, "suffix" : "" }, { "dropping-particle" : "", "family" : "Caya", "given" : "D.", "non-dropping-particle" : "", "parse-names" : false, "suffix" : "" }, { "dropping-particle" : "", "family" : "Frigon", "given" : "A.", "non-dropping-particle" : "", "parse-names" : false, "suffix" : "" }, { "droppi</w:instrText>
      </w:r>
      <w:r w:rsidRPr="002365C4">
        <w:rPr>
          <w:rFonts w:eastAsia="Droid Sans Fallback"/>
          <w:lang w:val="fr-FR"/>
        </w:rPr>
        <w:instrText>ng-particle" : "", "family" : "C\u00f4t\u00e9", "given" : "H.", "non-dropping-particle" : "", "parse-names" : false, "suffix" : "" }, { "dropping-particle" : "", "family" : "Gigu\u00e8re", "given" : "M.", "non-dropping-particle" : "", "parse-names" : false, "suffix" : "" }, { "dropping-particle" : "", "family" : "Paquin", "given" : "D.", "non-dropping-particle" : "", "parse-names" : false, "suffix" : "" }, { "dropping-particle" : "", "family" : "Biner", "given" : "S.", "non-dropping-particle" : "", "parse-names" : false, "suffix" : "" }, { "dropping-particle" : "", "family" : "Harvey", "given" : "R.", "non-dropping-particle" : "", "parse-names" : false, "suffix" : "" }, { "dropping-particle" : "", "family" : "Elia", "given" : "R.", "non-dropping-particle" : "de", "parse-names" : false, "suffix" : "" } ], "container-title" : "Journal of Climate", "id" : "ITEM-1", "issue" : "13", "issued" : { "date-parts" : [ [ "2006", "7", "1" ] ] }, "page" : "3112-3132", "title" : "Climate and Climate Change over North America as Simulated by the Canadian RCM", "type" : "article-journal", "volume" : "19" }, "uris" : [ "http://www.mendeley.com/documents/?uuid=1d7aa6a9-3d7a-48c8-9381-caeae8a44d93" ] } ], "mendeley" : { "formattedCitation" : "(Plummer et al., 2006)", "plainTextFormat</w:instrText>
      </w:r>
      <w:r w:rsidRPr="008608AA">
        <w:rPr>
          <w:rFonts w:eastAsia="Droid Sans Fallback"/>
          <w:lang w:val="fr-CA"/>
        </w:rPr>
        <w:instrText>tedCitation" : "(Plummer et al., 2006)", "previouslyFormattedCitation" : "(Plummer et al.,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lang w:val="fr-CA"/>
        </w:rPr>
        <w:t>(Plummer et al., 2006)</w:t>
      </w:r>
      <w:r w:rsidRPr="008608AA">
        <w:rPr>
          <w:rFonts w:eastAsia="Droid Sans Fallback"/>
        </w:rPr>
        <w:fldChar w:fldCharType="end"/>
      </w:r>
      <w:r w:rsidRPr="008608AA">
        <w:rPr>
          <w:rFonts w:eastAsia="Droid Sans Fallback"/>
          <w:lang w:val="fr-CA"/>
        </w:rPr>
        <w:t xml:space="preserve">. Lenton </w:t>
      </w:r>
      <w:r w:rsidRPr="008608AA">
        <w:rPr>
          <w:rFonts w:eastAsia="Droid Sans Fallback"/>
        </w:rPr>
        <w:fldChar w:fldCharType="begin" w:fldLock="1"/>
      </w:r>
      <w:r w:rsidRPr="008608AA">
        <w:rPr>
          <w:rFonts w:eastAsia="Droid Sans Fallback"/>
          <w:lang w:val="fr-CA"/>
        </w:rPr>
        <w:instrText>ADDIN CSL_CITATION { "citationItems" : [ { "id" : "ITEM-1", "itemData" : { "DOI" : "10.1007/s13280-011-0221-x", "ISSN" : "0044-7447", "PMID" : "22270703", "abstract" : "There is widespread concern that anthropogenic global warming will trigger Arctic climate tipping points. The Arctic has a long history of natural, abrupt climate changes, which together with current observations and model projections, can help us to identify which parts of the Arctic climate system might pass future tipping points. Here the climate tipping points are defined, noting that not all of them involve bifurcations leading to irreversible change. Past abrupt climate changes in the Arctic are briefly reviewed. Then, the current behaviour of a range of Arctic systems is summarised. Looking ahead, a range of potential tipping phenomena are described. This leads to a revised and expanded list of potential Arctic climate tipping elements, whose likelihood is assessed, in terms of how much warming will be required to tip them. Finally, the available responses are considered, especially the prospects for avoiding Arctic climate tipping points.", "author" : [ { "dropping-particle" : "", "family" : "Lenton", "given" : "Timothy M.", "non-dropping-particle" : "", "parse-names" : false, "suffix" : "" } ], "container-title" : "AMBIO", "id" : "ITEM-1", "issue" : "1", "issued" : { "date-parts" : [ [ "2012", "2", "22" ] ] }, "page" : "10-22", "title" : "Arctic Climate Tipping Points", "type" : "article-journal", "volume" : "41" }, "suppress-author" : 1, "uris" : [ "http://www.mendeley.com/documents/?uuid=8bd46c3b-c338-35ae-b72e-821b09b69048" ] } ], "mendeley" : { "formattedCitation" : "(2012)", "plainTextFormattedCitation" : "(2012)", "previouslyFormattedCitation" :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lang w:val="fr-CA"/>
        </w:rPr>
        <w:t>(2012)</w:t>
      </w:r>
      <w:r w:rsidRPr="008608AA">
        <w:rPr>
          <w:rFonts w:eastAsia="Droid Sans Fallback"/>
        </w:rPr>
        <w:fldChar w:fldCharType="end"/>
      </w:r>
      <w:r w:rsidR="00CF6BD8" w:rsidRPr="00A3137A">
        <w:rPr>
          <w:rFonts w:eastAsia="Droid Sans Fallback"/>
          <w:lang w:val="fr-FR"/>
        </w:rPr>
        <w:t>,</w:t>
      </w:r>
      <w:r w:rsidRPr="008608AA">
        <w:rPr>
          <w:rFonts w:eastAsia="Droid Sans Fallback"/>
          <w:lang w:val="fr-CA"/>
        </w:rPr>
        <w:t xml:space="preserve"> argues that the boreal forest (and arctic) is subject to a tipping point due to strong internal feedback systems; an increase of 4</w:t>
      </w:r>
      <w:r w:rsidRPr="008608AA">
        <w:rPr>
          <w:rFonts w:eastAsia="Droid Sans Fallback"/>
          <w:vertAlign w:val="superscript"/>
          <w:lang w:val="fr-CA"/>
        </w:rPr>
        <w:t>o</w:t>
      </w:r>
      <w:r w:rsidRPr="008608AA">
        <w:rPr>
          <w:rFonts w:eastAsia="Droid Sans Fallback"/>
          <w:lang w:val="fr-CA"/>
        </w:rPr>
        <w:t>C global warming (7</w:t>
      </w:r>
      <w:r w:rsidRPr="008608AA">
        <w:rPr>
          <w:rFonts w:eastAsia="Droid Sans Fallback"/>
          <w:vertAlign w:val="superscript"/>
          <w:lang w:val="fr-CA"/>
        </w:rPr>
        <w:t>o</w:t>
      </w:r>
      <w:r w:rsidRPr="008608AA">
        <w:rPr>
          <w:rFonts w:eastAsia="Droid Sans Fallback"/>
          <w:lang w:val="fr-CA"/>
        </w:rPr>
        <w:t xml:space="preserve">C above current levels in the forest) will result in a marked increase in susceptibility to disease. </w:t>
      </w:r>
      <w:r w:rsidRPr="008608AA">
        <w:rPr>
          <w:rFonts w:eastAsia="Droid Sans Fallback"/>
        </w:rPr>
        <w:t xml:space="preserve">If such a tipping point is reached, there could be significant changes in the landscape (i.e. tree die-off, conversion to grassland) and release of carbon. </w:t>
      </w:r>
    </w:p>
    <w:p w14:paraId="69EFC39C" w14:textId="77777777" w:rsidR="007A224F" w:rsidRPr="008608AA" w:rsidRDefault="007A224F" w:rsidP="006362EA">
      <w:pPr>
        <w:suppressAutoHyphens/>
        <w:rPr>
          <w:rFonts w:eastAsia="Droid Sans Fallback"/>
        </w:rPr>
      </w:pPr>
    </w:p>
    <w:p w14:paraId="54FC90F1" w14:textId="77777777" w:rsidR="00CF6BD8" w:rsidRPr="008608AA" w:rsidRDefault="00490494" w:rsidP="006362EA">
      <w:pPr>
        <w:suppressAutoHyphens/>
        <w:rPr>
          <w:rFonts w:eastAsia="Droid Sans Fallback"/>
        </w:rPr>
      </w:pPr>
      <w:r w:rsidRPr="008608AA">
        <w:rPr>
          <w:rFonts w:eastAsia="Droid Sans Fallback"/>
        </w:rPr>
        <w:t>Resource extraction, oil and gas development, and timber harvesting are increasingly fragmenting the boreal region, which is impacting migratory connectivity, ecosystem integrity, habitat resilience and species diversity, especially for migratory species. Additionally, the role of infectious plant diseases, mediated by invasive species, will continue to be a significant issue negatively affecting the temperate forests in the future (Chapter 3).</w:t>
      </w:r>
      <w:r w:rsidR="00CF6BD8" w:rsidRPr="008608AA">
        <w:rPr>
          <w:rFonts w:eastAsia="Droid Sans Fallback"/>
        </w:rPr>
        <w:t xml:space="preserve"> </w:t>
      </w:r>
    </w:p>
    <w:p w14:paraId="67CA7D89" w14:textId="77777777" w:rsidR="00CF6BD8" w:rsidRPr="008608AA" w:rsidRDefault="00CF6BD8" w:rsidP="006362EA">
      <w:pPr>
        <w:suppressAutoHyphens/>
        <w:rPr>
          <w:rFonts w:eastAsia="Droid Sans Fallback"/>
        </w:rPr>
      </w:pPr>
    </w:p>
    <w:p w14:paraId="6CA46ECE" w14:textId="78514883" w:rsidR="00490494" w:rsidRPr="008608AA" w:rsidRDefault="00490494" w:rsidP="006362EA">
      <w:pPr>
        <w:suppressAutoHyphens/>
        <w:rPr>
          <w:rFonts w:eastAsia="Droid Sans Fallback"/>
        </w:rPr>
      </w:pPr>
      <w:r w:rsidRPr="008608AA">
        <w:rPr>
          <w:rFonts w:eastAsia="Droid Sans Fallback"/>
        </w:rPr>
        <w:t>Boreal forests are experiencing the most rapidly changing climate (along with tundra) anywhere on Earth and are likely to be impacted in critical ways in coming decades. Predicted climate change is anticipated to cause shifts in species ranges, with an average northward shift of about 700 km for Canadian tree species; with some species expected to shift as much as 1000 km northwards (sugar maple (</w:t>
      </w:r>
      <w:r w:rsidRPr="008608AA">
        <w:rPr>
          <w:rFonts w:eastAsia="Droid Sans Fallback"/>
          <w:i/>
        </w:rPr>
        <w:t>Acer saccharum</w:t>
      </w:r>
      <w:r w:rsidRPr="008608AA">
        <w:rPr>
          <w:rFonts w:eastAsia="Droid Sans Fallback"/>
        </w:rPr>
        <w:t>), black willow (</w:t>
      </w:r>
      <w:r w:rsidRPr="008608AA">
        <w:rPr>
          <w:rFonts w:eastAsia="Droid Sans Fallback"/>
          <w:i/>
        </w:rPr>
        <w:t>Salix nigra</w:t>
      </w:r>
      <w:r w:rsidRPr="008608AA">
        <w:rPr>
          <w:rFonts w:eastAsia="Droid Sans Fallback"/>
        </w:rPr>
        <w:t>), American basswood (</w:t>
      </w:r>
      <w:r w:rsidRPr="008608AA">
        <w:rPr>
          <w:rFonts w:eastAsia="Droid Sans Fallback"/>
          <w:i/>
        </w:rPr>
        <w:t>Tilia americana</w:t>
      </w:r>
      <w:r w:rsidRPr="008608AA">
        <w:rPr>
          <w:rFonts w:eastAsia="Droid Sans Fallback"/>
        </w:rPr>
        <w:t>) and white alder (</w:t>
      </w:r>
      <w:r w:rsidRPr="008608AA">
        <w:rPr>
          <w:rFonts w:eastAsia="Droid Sans Fallback"/>
          <w:i/>
        </w:rPr>
        <w:t>Alnus rhombifolia</w:t>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"DOI" : "10.1641/B571106", "author" : [ { "dropping-particle" : "", "family" : "McKenney", "given" : "Daniel W", "non-dropping-particle" : "", "parse-names" : false, "suffix" : "" }, { "dropping-particle" : "", "family" : "Pedlar", "given" : "John H", "non-dropping-particle" : "", "parse-names" : false, "suffix" : "" }, { "dropping-particle" : "", "family" : "Lawrence", "given" : "Kevin", "non-dropping-particle" : "", "parse-names" : false, "suffix" : "" }, { "dropping-particle" : "", "family" : "Campbell", "given" : "Kathy", "non-dropping-particle" : "", "parse-names" : false, "suffix" : "" }, { "dropping-particle" : "", "family" : "Hutchinson", "given" : "Michael F", "non-dropping-particle" : "", "parse-names" : false, "suffix" : "" } ], "container-title" : "BioScience", "id" : "ITEM-1", "issue" : "11", "issued" : { "date-parts" : [ [ "2007" ] ] }, "page" : "939", "title" : "Potential Impacts of Climate Change on the Distribution of North American Trees", "type" : "article-journal", "volume" : "57" }, "uris" : [ "http://www.mendeley.com/documents/?uuid=66c4d457-0bdb-48be-8151-208bc8ec9d6b" ] } ], "mendeley" : { "formattedCitation" : "(McKenney, Pedlar, Lawrence, Campbell, &amp; Hutchinson, 2007)", "plainTextFormattedCitation" : "(McKenney, Pedlar, Lawrence, Campbell, &amp; Hutchinson, 2007)", "previouslyFormattedCitation" : "(McKenney, Pedlar, Lawrence, Campbell, &amp; Hutchinson, 2007)" }, "properties" : {  }, "schema" : "https://github.com/citation-style-language/schema/raw/master/csl-citation.json" }</w:instrText>
      </w:r>
      <w:r w:rsidRPr="008608AA">
        <w:rPr>
          <w:rFonts w:eastAsia="Droid Sans Fallback"/>
        </w:rPr>
        <w:fldChar w:fldCharType="separate"/>
      </w:r>
      <w:r w:rsidR="0045556C" w:rsidRPr="008608AA">
        <w:rPr>
          <w:rFonts w:eastAsia="Droid Sans Fallback"/>
          <w:noProof/>
        </w:rPr>
        <w:t>(McKenney</w:t>
      </w:r>
      <w:r w:rsidRPr="008608AA">
        <w:rPr>
          <w:rFonts w:eastAsia="Droid Sans Fallback"/>
          <w:noProof/>
        </w:rPr>
        <w:t xml:space="preserve"> et al., 2007)</w:t>
      </w:r>
      <w:r w:rsidRPr="008608AA">
        <w:rPr>
          <w:rFonts w:eastAsia="Droid Sans Fallback"/>
        </w:rPr>
        <w:fldChar w:fldCharType="end"/>
      </w:r>
      <w:r w:rsidRPr="008608AA">
        <w:rPr>
          <w:rFonts w:eastAsia="Droid Sans Fallback"/>
        </w:rPr>
        <w:t xml:space="preserve">. Biodiversity gains are anticipated in Canada's maritime provinces, including Quebec, Ontario, northern prairies and Alaska, with up to 60 new tree species possibly appearing in some areas, although low soil fertility might limit their migration </w:t>
      </w:r>
      <w:r w:rsidRPr="008608AA">
        <w:rPr>
          <w:rFonts w:eastAsia="Droid Sans Fallback"/>
        </w:rPr>
        <w:fldChar w:fldCharType="begin" w:fldLock="1"/>
      </w:r>
      <w:r w:rsidRPr="008608AA">
        <w:rPr>
          <w:rFonts w:eastAsia="Droid Sans Fallback"/>
        </w:rPr>
        <w:instrText>ADDIN CSL_CITATION { "citationItems" : [ { "id" : "ITEM-1", "itemData" : { "DOI" : "10.1641/B571106", "author" : [ { "dropping-particle" : "", "family" : "McKenney", "given" : "Daniel W", "non-dropping-particle" : "", "parse-names" : false, "suffix" : "" }, { "dropping-particle" : "", "family" : "Pedlar", "given" : "John H", "non-dropping-particle" : "", "parse-names" : false, "suffix" : "" }, { "dropping-particle" : "", "family" : "Lawrence", "given" : "Kevin", "non-dropping-particle" : "", "parse-names" : false, "suffix" : "" }, { "dropping-particle" : "", "family" : "Campbell", "given" : "Kathy", "non-dropping-particle" : "", "parse-names" : false, "suffix" : "" }, { "dropping-particle" : "", "family" : "Hutchinson", "given" : "Michael F", "non-dropping-particle" : "", "parse-names" : false, "suffix" : "" } ], "container-title" : "BioScience", "id" : "ITEM-1", "issue" : "11", "issued" : { "date-parts" : [ [ "2007" ] ] }, "page" : "939", "title" : "Potential Impacts of Climate Change on the Distribution of North American Trees", "type" : "article-journal", "volume" : "57" }, "uris" : [ "http://www.mendeley.com/documents/?uuid=66c4d457-0bdb-48be-8151-208bc8ec9d6b" ] } ], "mendeley" : { "formattedCitation" : "(McKenney et al., 2007)", "plainTextFormattedCitation" : "(McKenney et al., 2007)", "previouslyFormattedCitation" : "(McKenney et al., 2007)"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(McKenney et al., 2007)</w:t>
      </w:r>
      <w:r w:rsidRPr="008608AA">
        <w:rPr>
          <w:rFonts w:eastAsia="Droid Sans Fallback"/>
        </w:rPr>
        <w:fldChar w:fldCharType="end"/>
      </w:r>
      <w:r w:rsidRPr="008608AA">
        <w:rPr>
          <w:rFonts w:eastAsia="Droid Sans Fallback"/>
        </w:rPr>
        <w:t xml:space="preserve">. Extreme fires in intensity and extent have threatened forests in recent decades partially as the result of forest management practices that have permitted decades of deadwood (fuels) to accumulate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"Oswalt", "given" : "Sonja N", "non-dropping-particle" : "", "parse-names" : false, "suffix" : "" }, { "dropping-particle" : "", "family" : "Smith", "given" : "Brad W.", "non-dropping-particle" : "", "parse-names" : false, "suffix" : "" } ], "id" : "ITEM-1", "issued" : { "date-parts" : [ [ "2014" ] ] }, "title" : "US forest resource facts and historical trends. Forest Service FS-1035 August 2014", "type" : "article-journal" }, "uris" : [ "http://www.mendeley.com/documents/?uuid=d2e3914e-1eed-4924-bc13-f2e4f76301c0" ] } ], "mendeley" : { "formattedCitation" : "(Oswalt &amp; Smith, 2014)", "plainTextFormattedCitation" : "(Oswalt &amp; Smith, 2014)", "previouslyFormattedCitation" : "(Oswalt &amp; Smith,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(Oswalt &amp; Smith, 2014)</w:t>
      </w:r>
      <w:r w:rsidRPr="008608AA">
        <w:rPr>
          <w:rFonts w:eastAsia="Droid Sans Fallback"/>
        </w:rPr>
        <w:fldChar w:fldCharType="end"/>
      </w:r>
      <w:r w:rsidRPr="008608AA">
        <w:rPr>
          <w:rFonts w:eastAsia="Droid Sans Fallback"/>
        </w:rPr>
        <w:t>. Drought is exacerbating wildfires in western forests, particularly in California in the USA and Alberta in Canada.</w:t>
      </w:r>
    </w:p>
    <w:p w14:paraId="19B705CF" w14:textId="034931AD" w:rsidR="00240C7E" w:rsidRPr="008608AA" w:rsidRDefault="00240C7E" w:rsidP="006362EA">
      <w:pPr>
        <w:suppressAutoHyphens/>
        <w:rPr>
          <w:rFonts w:eastAsia="Droid Sans Fallback"/>
        </w:rPr>
      </w:pPr>
      <w:r w:rsidRPr="008608AA">
        <w:rPr>
          <w:rFonts w:eastAsia="Droid Sans Fallback"/>
        </w:rPr>
        <w:br w:type="page"/>
      </w:r>
    </w:p>
    <w:p w14:paraId="7B3BBDBB" w14:textId="40863278" w:rsidR="00490494" w:rsidRPr="008608AA" w:rsidRDefault="003F27A4" w:rsidP="00240C7E">
      <w:pPr>
        <w:pStyle w:val="Heading3"/>
        <w:rPr>
          <w:rFonts w:eastAsia="Droid Sans Fallback"/>
        </w:rPr>
      </w:pPr>
      <w:bookmarkStart w:id="1955" w:name="_Toc472342781"/>
      <w:bookmarkStart w:id="1956" w:name="_Toc466995088"/>
      <w:bookmarkStart w:id="1957" w:name="_Toc482711175"/>
      <w:bookmarkStart w:id="1958" w:name="_Toc499256887"/>
      <w:bookmarkStart w:id="1959" w:name="_Toc502953634"/>
      <w:bookmarkStart w:id="1960" w:name="_Toc502954927"/>
      <w:bookmarkStart w:id="1961" w:name="_Toc502957734"/>
      <w:bookmarkStart w:id="1962" w:name="_Toc502957933"/>
      <w:bookmarkStart w:id="1963" w:name="_Toc502958087"/>
      <w:bookmarkStart w:id="1964" w:name="_Toc503293156"/>
      <w:bookmarkStart w:id="1965" w:name="_Toc503293754"/>
      <w:bookmarkStart w:id="1966" w:name="_Toc503294016"/>
      <w:bookmarkStart w:id="1967" w:name="_Toc503863409"/>
      <w:bookmarkStart w:id="1968" w:name="_Toc503863637"/>
      <w:bookmarkStart w:id="1969" w:name="_Toc517393405"/>
      <w:bookmarkStart w:id="1970" w:name="_Toc517719146"/>
      <w:bookmarkStart w:id="1971" w:name="_Toc517797103"/>
      <w:r w:rsidRPr="008608AA">
        <w:rPr>
          <w:rFonts w:eastAsia="Droid Sans Fallback"/>
        </w:rPr>
        <w:t xml:space="preserve">Tundra and </w:t>
      </w:r>
      <w:r w:rsidR="00AA10D5" w:rsidRPr="008608AA">
        <w:rPr>
          <w:rFonts w:eastAsia="Droid Sans Fallback"/>
        </w:rPr>
        <w:t xml:space="preserve">high </w:t>
      </w:r>
      <w:r w:rsidRPr="008608AA">
        <w:rPr>
          <w:rFonts w:eastAsia="Droid Sans Fallback"/>
        </w:rPr>
        <w:t xml:space="preserve">mountain </w:t>
      </w:r>
      <w:r w:rsidR="00AA10D5" w:rsidRPr="008608AA">
        <w:rPr>
          <w:rFonts w:eastAsia="Droid Sans Fallback"/>
        </w:rPr>
        <w:t xml:space="preserve">habitats </w:t>
      </w:r>
      <w:r w:rsidR="00166947" w:rsidRPr="008608AA">
        <w:rPr>
          <w:rFonts w:eastAsia="Droid Sans Fallback"/>
        </w:rPr>
        <w:t>units of analysis</w:t>
      </w:r>
      <w:r w:rsidRPr="008608AA">
        <w:rPr>
          <w:rFonts w:eastAsia="Droid Sans Fallback"/>
        </w:rPr>
        <w:t xml:space="preserve"> – Remote, but not remote enough</w:t>
      </w:r>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p>
    <w:p w14:paraId="11A378D2" w14:textId="71A8EBF9" w:rsidR="00240C7E" w:rsidRPr="008608AA" w:rsidRDefault="00345EF6" w:rsidP="00240C7E">
      <w:pPr>
        <w:suppressAutoHyphens/>
        <w:spacing w:before="240"/>
        <w:jc w:val="center"/>
        <w:rPr>
          <w:rFonts w:eastAsia="Droid Sans Fallback"/>
        </w:rPr>
      </w:pPr>
      <w:r w:rsidRPr="008608AA">
        <w:rPr>
          <w:rFonts w:eastAsia="Droid Sans Fallback"/>
          <w:noProof/>
          <w:lang w:val="en-GB" w:eastAsia="en-GB"/>
        </w:rPr>
        <w:drawing>
          <wp:inline distT="0" distB="0" distL="0" distR="0" wp14:anchorId="551B2FFA" wp14:editId="1852BC9D">
            <wp:extent cx="5682967" cy="8191500"/>
            <wp:effectExtent l="0" t="0" r="0" b="0"/>
            <wp:docPr id="69" name="Imagen 69" descr="C:\Users\Alejandro Valderrama\Downloads\fIg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5" descr="C:\Users\Alejandro Valderrama\Downloads\fIg5.8.jpg"/>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5682967" cy="8191500"/>
                    </a:xfrm>
                    <a:prstGeom prst="rect">
                      <a:avLst/>
                    </a:prstGeom>
                    <a:noFill/>
                    <a:ln>
                      <a:noFill/>
                    </a:ln>
                  </pic:spPr>
                </pic:pic>
              </a:graphicData>
            </a:graphic>
          </wp:inline>
        </w:drawing>
      </w:r>
    </w:p>
    <w:p w14:paraId="54ED3156" w14:textId="475EC4F7" w:rsidR="00490494" w:rsidRPr="008608AA" w:rsidRDefault="00490494" w:rsidP="00240C7E">
      <w:pPr>
        <w:suppressAutoHyphens/>
        <w:spacing w:before="240"/>
        <w:rPr>
          <w:rFonts w:eastAsia="Droid Sans Fallback"/>
        </w:rPr>
      </w:pPr>
      <w:r w:rsidRPr="008608AA">
        <w:rPr>
          <w:rFonts w:eastAsia="Droid Sans Fallback"/>
        </w:rPr>
        <w:t>Tundra occurs in two settings within the Americas; at high elevations (“alpine tundra”) and in the high latitudes (“arctic tundra”). Arctic tundra is circumpolar in its distribution and accounts for a large amount of land area across the USA and Canada (Chapter 2). Adjacent marine areas of the arctic are also critical habitat for numerous tundra species. It presents a unique set of circumstances with respect biodiversity and NCP, namely that of all the units of analysis, Tundra is the most closely linked with respect to NCP and local ecosystems and that the primary drivers affecting the system are almost wholly external to the region in which the unit of analysis occurs. Tundra includes well-known fauna, such as barren ground caribou and muskoxen (</w:t>
      </w:r>
      <w:r w:rsidRPr="008608AA">
        <w:rPr>
          <w:rFonts w:eastAsia="Droid Sans Fallback"/>
          <w:i/>
          <w:iCs/>
        </w:rPr>
        <w:t>Ovibos moschatus</w:t>
      </w:r>
      <w:r w:rsidRPr="008608AA">
        <w:rPr>
          <w:rFonts w:eastAsia="Droid Sans Fallback"/>
          <w:iCs/>
        </w:rPr>
        <w:t>)</w:t>
      </w:r>
      <w:r w:rsidRPr="008608AA">
        <w:rPr>
          <w:rFonts w:eastAsia="Droid Sans Fallback"/>
        </w:rPr>
        <w:t>, which are important to indigenous populations from subsistence and cultural standpoints (Figure 5.8). While difficult to separate, it is perhaps this latter consideration that is the primary NCP for Tundra, for while the physical needs of the indigenous people associated with Tundra could, conceivably, be replaced with market goods, the culture of these peoples is intimately related to biodiversity of the system; loss of which would threaten the cultures continuity.</w:t>
      </w:r>
    </w:p>
    <w:p w14:paraId="354D0AEC" w14:textId="2BAD49C2" w:rsidR="00CF6BD8" w:rsidRPr="008608AA" w:rsidRDefault="00490494" w:rsidP="00240C7E">
      <w:pPr>
        <w:suppressAutoHyphens/>
        <w:rPr>
          <w:rFonts w:eastAsia="Droid Sans Fallback"/>
        </w:rPr>
      </w:pPr>
      <w:r w:rsidRPr="008608AA">
        <w:rPr>
          <w:rFonts w:eastAsia="Droid Sans Fallback"/>
        </w:rPr>
        <w:t xml:space="preserve">Aside from the cultural and provisioning NCP accrued to local populations depicted in Figure 5.8, the NCP of carbon storage is of concern on a global basis. Arctic tundra is estimated to store approximately 50% of the world’s soil carbon </w:t>
      </w:r>
      <w:r w:rsidRPr="008608AA">
        <w:rPr>
          <w:rFonts w:eastAsia="Droid Sans Fallback"/>
        </w:rPr>
        <w:fldChar w:fldCharType="begin" w:fldLock="1"/>
      </w:r>
      <w:r w:rsidRPr="008608AA">
        <w:rPr>
          <w:rFonts w:eastAsia="Droid Sans Fallback"/>
        </w:rPr>
        <w:instrText>ADDIN CSL_CITATION { "citationItems" : [ { "id" : "ITEM-1", "itemData" : { "DOI" : "10.1029/2008GB003327", "ISBN" : "0886-6236", "ISSN" : "08866236", "abstract" : "The Northern Circumpolar Soil Carbon Database was developed in order to determine carbon pools in soils of the northern circumpolar permafrost region. The area of all soils in the northern permafrost region is approximately 18,782 \u00d7 103 km2, or approximately 16% of the global soil area. In the northern permafrost region, organic soils (peatlands) and cryoturbated permafrost-affected mineral soils have the highest mean soil organic carbon contents (32.2&amp;#8211;69.6 kg m&amp;#8722;2). Here we report a new estimate of the carbon pools in soils of the northern permafrost region, including deeper layers and pools not accounted for in previous analyses. Carbon pools were estimated to be 191.29 Pg for the 0&amp;#8211;30 cm depth, 495.80 Pg for the 0&amp;#8211;100 cm depth, and 1024.00 Pg for the 0&amp;#8211;300 cm depth. Our estimate for the first meter of soil alone is about double that reported for this region in previous analyses. Carbon pools in layers deeper than 300 cm were estimated to be 407 Pg in yedoma deposits and 241 Pg in deltaic deposits. In total, the northern permafrost region contains approximately 1672 Pg of organic carbon, of which approximately 1466 Pg, or 88%, occurs in perennially frozen soils and deposits. This 1672 Pg of organic carbon would account for approximately 50% of the estimated global belowground organic carbon pool.", "author" : [ { "dropping-particle" : "", "family" : "Tarnocai", "given" : "C", "non-dropping-particle" : "", "parse-names" : false, "suffix" : "" }, { "dropping-particle" : "", "family" : "Canadell", "given" : "J. G.", "non-dropping-particle" : "", "parse-names" : false, "suffix" : "" }, { "dropping-particle" : "", "family" : "Schuur", "given" : "E. A G", "non-dropping-particle" : "", "parse-names" : false, "suffix" : "" }, { "dropping-particle" : "", "family" : "Kuhry", "given" : "P.", "non-dropping-particle" : "", "parse-names" : false, "suffix" : "" }, { "dropping-particle" : "", "family" : "Mazhitova", "given" : "G.", "non-dropping-particle" : "", "parse-names" : false, "suffix" : "" }, { "dropping-particle" : "", "family" : "Zimov", "given" : "S.", "non-dropping-particle" : "", "parse-names" : false, "suffix" : "" } ], "container-title" : "Global Biogeochemical Cycles", "id" : "ITEM-1", "issue" : "2", "issued" : { "date-parts" : [ [ "2009", "6" ] ] }, "page" : "n/a-n/a", "title" : "Soil organic carbon pools in the northern circumpolar permafrost region", "type" : "article-journal", "volume" : "23" }, "uris" : [ "http://www.mendeley.com/documents/?uuid=549333c2-84aa-45d2-b98c-f97a7a642db7" ] } ], "mendeley" : { "formattedCitation" : "(Tarnocai et al., 2009)", "plainTextFormattedCitation" : "(Tarnocai et al., 2009)", "previouslyFormattedCitation" : "(Tarnocai et al., 2009)"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(Tarnocai et al., 2009)</w:t>
      </w:r>
      <w:r w:rsidRPr="008608AA">
        <w:rPr>
          <w:rFonts w:eastAsia="Droid Sans Fallback"/>
        </w:rPr>
        <w:fldChar w:fldCharType="end"/>
      </w:r>
      <w:r w:rsidRPr="008608AA">
        <w:rPr>
          <w:rFonts w:eastAsia="Droid Sans Fallback"/>
        </w:rPr>
        <w:t>, mainly in the form of permafrost (perpetually frozen soil). But climate change, which is considered the primary driver in this system</w:t>
      </w:r>
      <w:r w:rsidRPr="008608AA">
        <w:rPr>
          <w:rFonts w:eastAsia="Droid Sans Fallback"/>
          <w:sz w:val="16"/>
          <w:szCs w:val="16"/>
          <w:lang w:val="en-GB" w:eastAsia="pt-BR"/>
        </w:rPr>
        <w:t>,</w:t>
      </w:r>
      <w:r w:rsidRPr="008608AA">
        <w:rPr>
          <w:rFonts w:eastAsia="Droid Sans Fallback"/>
        </w:rPr>
        <w:t xml:space="preserve"> has resulted in temperatures changing faster in the high latitudes than in any other area on the planet </w:t>
      </w:r>
      <w:r w:rsidRPr="008608AA">
        <w:rPr>
          <w:rFonts w:eastAsia="Droid Sans Fallback"/>
        </w:rPr>
        <w:fldChar w:fldCharType="begin" w:fldLock="1"/>
      </w:r>
      <w:r w:rsidRPr="008608AA">
        <w:rPr>
          <w:rFonts w:eastAsia="Droid Sans Fallback"/>
        </w:rPr>
        <w:instrText>ADDIN CSL_CITATION { "citationItems" : [ { "id" : "ITEM-1", "itemData" : { "ISBN" : "110705799X", "author" : [ { "dropping-particle" : "", "family" : "IPCC", "given" : "", "non-dropping-particle" : "", "parse-names" : false, "suffix" : "" } ], "editor" : [ { "dropping-particle" : "", "family" : "Stocker", "given" : "T.F.", "non-dropping-particle" : "", "parse-names" : false, "suffix" : "" }, { "dropping-particle" : "", "family" : "Qin", "given" : "D.", "non-dropping-particle" : "", "parse-names" : false, "suffix" : "" }, { "dropping-particle" : "", "family" : "Plattner", "given" : "G.-K.", "non-dropping-particle" : "", "parse-names" : false, "suffix" : "" }, { "dropping-particle" : "", "family" : "Tignor", "given" : "M.", "non-dropping-particle" : "", "parse-names" : false, "suffix" : "" }, { "dropping-particle" : "", "family" : "Allen", "given" : "S.K.", "non-dropping-particle" : "", "parse-names" : false, "suffix" : "" }, { "dropping-particle" : "", "family" : "Boschung", "given" : "J.", "non-dropping-particle" : "", "parse-names" : false, "suffix" : "" }, { "dropping-particle" : "", "family" : "Nauels", "given" : "A.", "non-dropping-particle" : "", "parse-names" : false, "suffix" : "" }, { "dropping-particle" : "", "family" : "Xia", "given" : "Y.", "non-dropping-particle" : "", "parse-names" : false, "suffix" : "" }, { "dropping-particle" : "", "family" : "Bex", "given" : "V.", "non-dropping-particle" : "", "parse-names" : false, "suffix" : "" }, { "dropping-particle" : "", "family" : "Midgley", "given" : "P.M.", "non-dropping-particle" : "", "parse-names" : false, "suffix" : "" } ], "id" : "ITEM-1", "issued" : { "date-parts" : [ [ "2013" ] ] }, "number-of-pages" : "1535", "publisher" : "Cambridge University Press", "publisher-place" : "Cambridge, United Kingdom and New York, NY, USA", "title" : "Climate Change 2013: The Physical Science Basis. Contribution of Working Group I to the Fifth Assessment Report of the Intergovern- mental Panel on Climate Change", "type" : "book" }, "uris" : [ "http://www.mendeley.com/documents/?uuid=90fb9e8c-5d4a-46c7-b45c-3c5c0d27737a" ] } ], "mendeley" : { "formattedCitation" : "(IPCC, 2013a)", "plainTextFormattedCitation" : "(IPCC, 2013a)", "previouslyFormattedCitation" : "(IPCC, 2013a)"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(IPCC, 2013a)</w:t>
      </w:r>
      <w:r w:rsidRPr="008608AA">
        <w:rPr>
          <w:rFonts w:eastAsia="Droid Sans Fallback"/>
        </w:rPr>
        <w:fldChar w:fldCharType="end"/>
      </w:r>
      <w:r w:rsidRPr="008608AA">
        <w:rPr>
          <w:rFonts w:eastAsia="Droid Sans Fallback"/>
        </w:rPr>
        <w:t xml:space="preserve"> (Chapter 4). Thus, the situation with respect to Tundra provides a clear example of telecoupling, i.e. where cause and effect are separated geographically, but are clearly related.</w:t>
      </w:r>
    </w:p>
    <w:p w14:paraId="23166642" w14:textId="77777777" w:rsidR="007A224F" w:rsidRPr="008608AA" w:rsidRDefault="007A224F" w:rsidP="00240C7E">
      <w:pPr>
        <w:suppressAutoHyphens/>
        <w:rPr>
          <w:rFonts w:eastAsia="Droid Sans Fallback"/>
        </w:rPr>
      </w:pPr>
    </w:p>
    <w:p w14:paraId="2061737C" w14:textId="0DB45549" w:rsidR="00490494" w:rsidRPr="008608AA" w:rsidRDefault="00490494" w:rsidP="00240C7E">
      <w:pPr>
        <w:suppressAutoHyphens/>
        <w:rPr>
          <w:rFonts w:eastAsia="Droid Sans Fallback"/>
        </w:rPr>
      </w:pPr>
      <w:r w:rsidRPr="008608AA">
        <w:rPr>
          <w:rFonts w:eastAsia="Droid Sans Fallback"/>
        </w:rPr>
        <w:t xml:space="preserve">The warming in the Tundra, and its neighbouring marine areas, has resulted in several changes that have affected the Tundra, including: thawing of the permafrost </w:t>
      </w:r>
      <w:r w:rsidRPr="008608AA">
        <w:rPr>
          <w:rFonts w:eastAsia="Droid Sans Fallback"/>
        </w:rPr>
        <w:fldChar w:fldCharType="begin" w:fldLock="1"/>
      </w:r>
      <w:r w:rsidRPr="008608AA">
        <w:rPr>
          <w:rFonts w:eastAsia="Droid Sans Fallback"/>
        </w:rPr>
        <w:instrText>ADDIN CSL_CITATION { "citationItems" : [ { "id" : "ITEM-1", "itemData" : { "DOI" : "10.1073/pnas.0503198103", "ISSN" : "0027-8424", "PMID" : "16428292", "abstract" : "Recent observations of changes in some tundra ecosystems appear to be responses to a warming climate. Several experimental studies have shown that tundra plants and ecosystems can respond strongly to environmental change, including warming; however, most studies were limited to a single location and were of short duration and based on a variety of experimental designs. In addition, comparisons among studies are difficult because a variety of techniques have been used to achieve experimental warming and different measurements have been used to assess responses. We used metaanalysis on plant community measurements from standardized warming experiments at 11 locations across the tundra biome involved in the International Tundra Experiment. The passive warming treatment increased plant-level air temperature by 1\u20133\u00b0C, which is in the range of predicted and observed warming for tundra regions. Responses were rapid and detected in whole plant communities after only two growing seasons. Overall, warming increased height and cover of deciduous shrubs and graminoids, decreased cover of mosses and lichens, and decreased species diversity and evenness. These results predict that warming will cause a decline in biodiversity across a wide variety of tundra, at least in the short term. They also provide rigorous experimental evidence that recently observed increases in shrub cover in many tundra regions are in response to climate warming. These changes have important implications for processes and interactions within tundra ecosystems and between tundra and the atmosphere.", "author" : [ { "dropping-particle" : "", "family" : "Walker", "given" : "Marilyn D", "non-dropping-particle" : "", "parse-names" : false, "suffix" : "" }, { "dropping-particle" : "", "family" : "Wahren", "given" : "C Henrik", "non-dropping-particle" : "", "parse-names" : false, "suffix" : "" }, { "dropping-particle" : "", "family" : "Hollister", "given" : "Robert D", "non-dropping-particle" : "", "parse-names" : false, "suffix" : "" }, { "dropping-particle" : "", "family" : "Henry", "given" : "Greg H R", "non-dropping-particle" : "", "parse-names" : false, "suffix" : "" }, { "dropping-particle" : "", "family" : "Ahlquist", "given" : "Lorraine E", "non-dropping-particle" : "", "parse-names" : false, "suffix" : "" }, { "dropping-particle" : "", "family" : "Alatalo", "given" : "Juha M", "non-dropping-particle" : "", "parse-names" : false, "suffix" : "" }, { "dropping-particle" : "", "family" : "Bret-Harte", "given" : "M Syndonia", "non-dropping-particle" : "", "parse-names" : false, "suffix" : "" }, { "dropping-particle" : "", "family" : "Calef", "given" : "Monika P", "non-dropping-particle" : "", "parse-names" : false, "suffix" : "" }, { "dropping-particle" : "V", "family" : "Callaghan", "given" : "Terry", "non-dropping-particle" : "", "parse-names" : false, "suffix" : "" }, { "dropping-particle" : "", "family" : "Carroll", "given" : "Amy B", "non-dropping-particle" : "", "parse-names" : false, "suffix" : "" }, { "dropping-particle" : "", "family" : "Epstein", "given" : "Howard E", "non-dropping-particle" : "", "parse-names" : false, "suffix" : "" }, { "dropping-particle" : "", "family" : "J\u00f3nsd\u00f3ttir", "given" : "Ingibj\u00f6rg S", "non-dropping-particle" : "", "parse-names" : false, "suffix" : "" }, { "dropping-particle" : "", "family" : "Klein", "given" : "Julia A", "non-dropping-particle" : "", "parse-names" : false, "suffix" : "" }, { "dropping-particle" : "", "family" : "Magn\u00fasson", "given" : "Borg\u00fe\u00f3r", "non-dropping-particle" : "", "parse-names" : false, "suffix" : "" }, { "dropping-particle" : "", "family" : "Molau", "given" : "Ulf", "non-dropping-particle" : "", "parse-names" : false, "suffix" : "" }, { "dropping-particle" : "", "family" : "Oberbauer", "given" : "Steven F", "non-dropping-particle" : "", "parse-names" : false, "suffix" : "" }, { "dropping-particle" : "", "family" : "Rewa", "given" : "Steven P", "non-dropping-particle" : "", "parse-names" : false, "suffix" : "" }, { "dropping-particle" : "", "family" : "Robinson", "given" : "Clare H", "non-dropping-particle" : "", "parse-names" : false, "suffix" : "" }, { "dropping-particle" : "", "family" : "Shaver", "given" : "Gaius R", "non-dropping-particle" : "", "parse-names" : false, "suffix" : "" }, { "dropping-particle" : "", "family" : "Suding", "given" : "Katharine N", "non-dropping-particle" : "", "parse-names" : false, "suffix" : "" }, { "dropping-particle" : "", "family" : "Thompson", "given" : "Catharine C", "non-dropping-particle" : "", "parse-names" : false, "suffix" : "" }, { "dropping-particle" : "", "family" : "Tolvanen", "given" : "Anne", "non-dropping-particle" : "", "parse-names" : false, "suffix" : "" }, { "dropping-particle" : "", "family" : "Totland", "given" : "\u00d8rjan", "non-dropping-particle" : "", "parse-names" : false, "suffix" : "" }, { "dropping-particle" : "", "family" : "Turner", "given" : "P Lee", "non-dropping-particle" : "", "parse-names" : false, "suffix" : "" }, { "dropping-particle" : "", "family" : "Tweedie", "given" : "Craig E", "non-dropping-particle" : "", "parse-names" : false, "suffix" : "" }, { "dropping-particle" : "", "family" : "Webber", "given" : "Patrick J", "non-dropping-particle" : "", "parse-names" : false, "suffix" : "" }, { "dropping-particle" : "", "family" : "Wookey", "given" : "Philip A", "non-dropping-particle" : "", "parse-names" : false, "suffix" : "" } ], "container-title" : "Proceedings of the National Academy of Sciences", "id" : "ITEM-1", "issued" : { "date-parts" : [ [ "2006" ] ] }, "title" : "Plant community responses to experimental warming across the tundra biome", "type" : "article-journal" }, "uris" : [ "http://www.mendeley.com/documents/?uuid=89cb80d8-bc59-4a30-b41b-87c716590f03" ] } ], "mendeley" : { "formattedCitation" : "(M. D. Walker et al., 2006)", "plainTextFormattedCitation" : "(M. D. Walker et al., 2006)", "previouslyFormattedCitation" : "(M. D. Walker et al.,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(Walker et al</w:t>
      </w:r>
      <w:r w:rsidR="00134E5B" w:rsidRPr="008608AA">
        <w:rPr>
          <w:rFonts w:eastAsia="Droid Sans Fallback"/>
          <w:noProof/>
        </w:rPr>
        <w:t>.</w:t>
      </w:r>
      <w:r w:rsidRPr="008608AA">
        <w:rPr>
          <w:rFonts w:eastAsia="Droid Sans Fallback"/>
          <w:noProof/>
        </w:rPr>
        <w:t>, 2006)</w:t>
      </w:r>
      <w:r w:rsidRPr="008608AA">
        <w:rPr>
          <w:rFonts w:eastAsia="Droid Sans Fallback"/>
        </w:rPr>
        <w:fldChar w:fldCharType="end"/>
      </w:r>
      <w:r w:rsidRPr="008608AA">
        <w:rPr>
          <w:rFonts w:eastAsia="Droid Sans Fallback"/>
        </w:rPr>
        <w:t xml:space="preserve">, changes to the plant communities (reduction of graminoid species in favour of shrubs and expansion of the boreal forest) </w:t>
      </w:r>
      <w:r w:rsidRPr="008608AA">
        <w:rPr>
          <w:rFonts w:eastAsia="Droid Sans Fallback"/>
        </w:rPr>
        <w:fldChar w:fldCharType="begin" w:fldLock="1"/>
      </w:r>
      <w:r w:rsidRPr="008608AA">
        <w:rPr>
          <w:rFonts w:eastAsia="Droid Sans Fallback"/>
        </w:rPr>
        <w:instrText>ADDIN CSL_CITATION { "citationItems" : [ { "id" : "ITEM-1", "itemData" : { "DOI" : "10.1016/J.SOILBIO.2010.02.011", "ISSN" : "0038-0717", "abstract" : "A great deal of uncertainty is associated with estimates of global nitrous oxide (N2O) emissions because emissions from arid and polar climates were not included in the estimates due to a lack of available data. In particular, very few studies have assessed the response of N2O flux to grazing under future warming conditions. This experiment was conducted to determine the effects of warming and grazing on N2O flux at different time scales for three years under a controlled warming-grazing system. A free-air temperature enhancement system (FATE) using infrared heaters and grazing significantly increased soil temperatures for both of growing (average 1.8\u00a0\u00b0C in 2008) and no-growing seasons (average 3.0\u00a0\u00b0C for 3-years) within 20-cm depth, but only warming reduced soil moisture at 10-cm soil depth during the growing season during the drought year of 2008. Generally, the effects of warming and grazing on N2O flux varied with sampling date, season, and year. No interactive effect between warming and grazing was found. Warming did not affect annual N2O flux when grazing was moderate during the growing season because the tradeoff of the effect of warming on N2O flux was observed between the growing season and no-growing season. No-warming with grazing (NWG) and warming with grazing (WG) significantly increased the average annual N2O flux (57.8 and 31.0%) compared with no-warming with no-grazing (NWNG) and warming with no-grazing (WNG), respectively, indicating that warming reduced the response of N2O flux to grazing in the region. Winter accounted for 36\u201357% of annual N2O flux for NWNG and NWG, whereas only for 5\u20138% of annual N2O flux for WNG and WG. Soil temperature could explain 5\u201335% of annual N2O flux variation.", "author" : [ { "dropping-particle" : "", "family" : "Hu", "given" : "Yigang", "non-dropping-particle" : "", "parse-names" : false, "suffix" : "" }, { "dropping-particle" : "", "family" : "Chang", "given" : "Xiaofeng", "non-dropping-particle" : "", "parse-names" : false, "suffix" : "" }, { "dropping-particle" : "", "family" : "Lin", "given" : "Xingwu", "non-dropping-particle" : "", "parse-names" : false, "suffix" : "" }, { "dropping-particle" : "", "family" : "Wang", "given" : "Yanfen", "non-dropping-particle" : "", "parse-names" : false, "suffix" : "" }, { "dropping-particle" : "", "family" : "Wang", "given" : "Shiping", "non-dropping-particle" : "", "parse-names" : false, "suffix" : "" }, { "dropping-particle" : "", "family" : "Duan", "given" : "Jichuang", "non-dropping-particle" : "", "parse-names" : false, "suffix" : "" }, { "dropping-particle" : "", "family" : "Zhang", "given" : "Zhenhua", "non-dropping-particle" : "", "parse-names" : false, "suffix" : "" }, { "dropping-particle" : "", "family" : "Yang", "given" : "Xiaoxia", "non-dropping-particle" : "", "parse-names" : false, "suffix" : "" }, { "dropping-particle" : "", "family" : "Luo", "given" : "Caiyun", "non-dropping-particle" : "", "parse-names" : false, "suffix" : "" }, { "dropping-particle" : "", "family" : "Xu", "given" : "Guangping", "non-dropping-particle" : "", "parse-names" : false, "suffix" : "" }, { "dropping-particle" : "", "family" : "Zhao", "given" : "Xinquan", "non-dropping-particle" : "", "parse-names" : false, "suffix" : "" } ], "container-title" : "Soil Biology and Biochemistry", "id" : "ITEM-1", "issue" : "6", "issued" : { "date-parts" : [ [ "2010", "6", "1" ] ] }, "page" : "944-952", "publisher" : "Pergamon", "title" : "Effects of warming and grazing on N2O fluxes in an alpine meadow ecosystem on the Tibetan plateau", "type" : "article-journal", "volume" : "42" }, "uris" : [ "http://www.mendeley.com/documents/?uuid=b5c41712-4528-3f8f-a662-1dd0e19944be" ] }, { "id" : "ITEM-2", "itemData" : { "DOI" : "10.1002/ppp.446", "ISSN" : "1045-6740", "author" : [ { "dropping-particle" : "", "family" : "Lloyd", "given" : "Andrea H.", "non-dropping-particle" : "", "parse-names" : false, "suffix" : "" }, { "dropping-particle" : "", "family" : "Yoshikawa", "given" : "Kenji", "non-dropping-particle" : "", "parse-names" : false, "suffix" : "" }, { "dropping-particle" : "", "family" : "Fastie", "given" : "Christopher L.", "non-dropping-particle" : "", "parse-names" : false, "suffix" : "" }, { "dropping-particle" : "", "family" : "Hinzman", "given" : "Larry", "non-dropping-particle" : "", "parse-names" : false, "suffix" : "" }, { "dropping-particle" : "", "family" : "Fraver", "given" : "Matthew", "non-dropping-particle" : "", "parse-names" : false, "suffix" : "" } ], "container-title" : "Permafrost and Periglacial Processes", "id" : "ITEM-2", "issue" : "2", "issued" : { "date-parts" : [ [ "2003", "4", "1" ] ] }, "page" : "93-101", "publisher" : "John Wiley &amp; Sons, Ltd.", "title" : "Effects of permafrost degradation on woody vegetation at arctic treeline on the Seward Peninsula, Alaska", "type" : "article-journal", "volume" : "14" }, "uris" : [ "http://www.mendeley.com/documents/?uuid=77b006cb-1656-3518-a9e9-302698d93e9d" ] } ], "mendeley" : { "formattedCitation" : "(Y. Hu et al., 2010; Lloyd, Yoshikawa, Fastie, Hinzman, &amp; Fraver, 2003)", "plainTextFormattedCitation" : "(Y. Hu et al., 2010; Lloyd, Yoshikawa, Fastie, Hinzman, &amp; Fraver, 2003)", "previouslyFormattedCitation" : "(Y. Hu et al., 2010; Lloyd, Yoshikawa, Fastie, Hinzman, &amp; Fraver, 2003)" }, "properties" : {  }, "schema" : "https://github.com/citation-style-language/schema/raw/master/csl-citation.json" }</w:instrText>
      </w:r>
      <w:r w:rsidRPr="008608AA">
        <w:rPr>
          <w:rFonts w:eastAsia="Droid Sans Fallback"/>
        </w:rPr>
        <w:fldChar w:fldCharType="separate"/>
      </w:r>
      <w:r w:rsidR="0045556C" w:rsidRPr="008608AA">
        <w:rPr>
          <w:rFonts w:eastAsia="Droid Sans Fallback"/>
          <w:noProof/>
        </w:rPr>
        <w:t>(Hu et al</w:t>
      </w:r>
      <w:r w:rsidR="00134E5B" w:rsidRPr="008608AA">
        <w:rPr>
          <w:rFonts w:eastAsia="Droid Sans Fallback"/>
          <w:noProof/>
        </w:rPr>
        <w:t>.</w:t>
      </w:r>
      <w:r w:rsidR="0045556C" w:rsidRPr="008608AA">
        <w:rPr>
          <w:rFonts w:eastAsia="Droid Sans Fallback"/>
          <w:noProof/>
        </w:rPr>
        <w:t>, 2010; Lloyd</w:t>
      </w:r>
      <w:r w:rsidRPr="008608AA">
        <w:rPr>
          <w:rFonts w:eastAsia="Droid Sans Fallback"/>
          <w:noProof/>
        </w:rPr>
        <w:t xml:space="preserve"> et al., 2003)</w:t>
      </w:r>
      <w:r w:rsidRPr="008608AA">
        <w:rPr>
          <w:rFonts w:eastAsia="Droid Sans Fallback"/>
        </w:rPr>
        <w:fldChar w:fldCharType="end"/>
      </w:r>
      <w:r w:rsidRPr="008608AA">
        <w:rPr>
          <w:rFonts w:eastAsia="Droid Sans Fallback"/>
        </w:rPr>
        <w:t xml:space="preserve"> (Chapter 3), increased frequency of fires, and changes in neighbouring sea ice conditions </w:t>
      </w:r>
      <w:r w:rsidRPr="008608AA">
        <w:rPr>
          <w:rFonts w:eastAsia="Droid Sans Fallback"/>
        </w:rPr>
        <w:fldChar w:fldCharType="begin" w:fldLock="1"/>
      </w:r>
      <w:r w:rsidRPr="008608AA">
        <w:rPr>
          <w:rFonts w:eastAsia="Droid Sans Fallback"/>
        </w:rPr>
        <w:instrText>ADDIN CSL_CITATION { "citationItems" : [ { "id" : "ITEM-1", "itemData" : { "DOI" : "10.1175/2010EI315.1", "ISSN" : "1087-3562", "abstract" : "Abstract Linkages between diminishing Arctic sea ice and changes in Arctic terrestrial ecosystems have not been previously demonstrated. Here, the authors use a newly available Arctic Normalized Difference Vegetation Index (NDVI) dataset (a measure of vegetation photosynthetic capacity) to document coherent temporal relationships between near-coastal sea ice, summer tundra land surface temperatures, and vegetation productivity. The authors find that, during the period of satellite observations (1982\u20132008), sea ice within 50 km of the coast during the period of early summer ice breakup declined an average of 25% for the Arctic as a whole, with much larger changes in the East Siberian Sea to Chukchi Sea sectors (&gt;44% decline). The changes in sea ice conditions are most directly relevant and have the strongest effect on the villages and ecosystems immediately adjacent to the coast, but the terrestrial effects of sea ice changes also extend far inland. Low-elevation (&lt;300 m) tundra summer land temperatures, a...", "author" : [ { "dropping-particle" : "", "family" : "Bhatt", "given" : "Uma S.", "non-dropping-particle" : "", "parse-names" : false, "suffix" : "" }, { "dropping-particle" : "", "family" : "Walker", "given" : "Donald A.", "non-dropping-particle" : "", "parse-names" : false, "suffix" : "" }, { "dropping-particle" : "", "family" : "Raynolds", "given" : "Martha K.", "non-dropping-particle" : "", "parse-names" : false, "suffix" : "" }, { "dropping-particle" : "", "family" : "Comiso", "given" : "Josefino C.", "non-dropping-particle" : "", "parse-names" : false, "suffix" : "" }, { "dropping-particle" : "", "family" : "Epstein", "given" : "Howard E.", "non-dropping-particle" : "", "parse-names" : false, "suffix" : "" }, { "dropping-particle" : "", "family" : "Jia", "given" : "Gensuo", "non-dropping-particle" : "", "parse-names" : false, "suffix" : "" }, { "dropping-particle" : "", "family" : "Gens", "given" : "Rudiger", "non-dropping-particle" : "", "parse-names" : false, "suffix" : "" }, { "dropping-particle" : "", "family" : "Pinzon", "given" : "Jorge E.", "non-dropping-particle" : "", "parse-names" : false, "suffix" : "" }, { "dropping-particle" : "", "family" : "Tucker", "given" : "Compton J.", "non-dropping-particle" : "", "parse-names" : false, "suffix" : "" }, { "dropping-particle" : "", "family" : "Tweedie", "given" : "Craig E.", "non-dropping-particle" : "", "parse-names" : false, "suffix" : "" }, { "dropping-particle" : "", "family" : "Webber", "given" : "Patrick J.", "non-dropping-particle" : "", "parse-names" : false, "suffix" : "" } ], "container-title" : "Earth Interactions", "id" : "ITEM-1", "issue" : "8", "issued" : { "date-parts" : [ [ "2010", "8", "20" ] ] }, "page" : "1-20", "title" : "Circumpolar Arctic Tundra Vegetation Change Is Linked to Sea Ice Decline", "type" : "article-journal", "volume" : "14" }, "uris" : [ "http://www.mendeley.com/documents/?uuid=c108a895-f259-46bb-8423-f3e7f9f9fcf0" ] } ], "mendeley" : { "formattedCitation" : "(Bhatt et al., 2010)", "plainTextFormattedCitation" : "(Bhatt et al., 2010)", "previouslyFormattedCitation" : "(Bhatt et al., 2010)"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(Bhatt et al., 2010)</w:t>
      </w:r>
      <w:r w:rsidRPr="008608AA">
        <w:rPr>
          <w:rFonts w:eastAsia="Droid Sans Fallback"/>
        </w:rPr>
        <w:fldChar w:fldCharType="end"/>
      </w:r>
      <w:r w:rsidRPr="008608AA">
        <w:rPr>
          <w:rFonts w:eastAsia="Droid Sans Fallback"/>
        </w:rPr>
        <w:t xml:space="preserve">. These changes result in a lowering of the local albedo (the reflectivity of the Earth’s surface) in the immediate area in the case of shrubs and fires resulting in a positive feedback to climate change and thawing of the permafrost. Due to the amount of carbon stored in the permafrost, the change of tundra from a carbon sink to a carbon source is also of great concern from a global perspective. Adding to the concern is the consideration that warmer temperatures and change in vegetation adds uncertainty to what was considered a relatively stable biome. This uncertainty stems from unknowns regarding the natural processes associated with the tundra. For example, fires which were once rare in the tundra may be increasing in frequency and perhaps extent </w:t>
      </w:r>
      <w:r w:rsidRPr="008608AA">
        <w:rPr>
          <w:rFonts w:eastAsia="Droid Sans Fallback"/>
        </w:rPr>
        <w:fldChar w:fldCharType="begin" w:fldLock="1"/>
      </w:r>
      <w:r w:rsidRPr="008608AA">
        <w:rPr>
          <w:rFonts w:eastAsia="Droid Sans Fallback"/>
        </w:rPr>
        <w:instrText>ADDIN CSL_CITATION { "citationItems" : [ { "id" : "ITEM-1", "itemData" : { "DOI" : "10.1029/2009JG001270", "ISBN" : "0148-0227", "ISSN" : "0148-0227", "abstract" : "Recent climatic warming has resulted in pronounced environmental changes in the Arctic, including shrub cover expansion and sea ice shrinkage. These changes foreshadow more dramatic impacts that will occur if the warming trend continues. Among the major challenges in anticipating these impacts are surprises stemming from changes in system components that have remained relatively stable in the historic record. Tundra burning is potentially one such component. Here we report paleoecological evidence showing that recent tundra burning is unprecedented in the central Alaskan Arctic within the last 5000 years. Analysis of lake sediment cores reveals peak values of charcoal accumulation corresponding to the Anaktuvuk River Fire in 2007, with no evidence of other fire events throughout the past five millennia in that area. Atmospheric reanalysis suggests that the fire was favored by exceptionally warm and dry weather conditions in summer and early autumn. Boosted regression tree modeling shows that such conditions also explain 95% of the interannual variability in tundra area burned throughout Alaska over the past 60 years and that the response of tundra burning to climatic warming is nonlinear. These results contribute to an emerging body of evidence suggesting that tundra ecosystems can burn more frequently under suitable climatic and fuel conditions. The Anaktuvuk River Fire coincides with extreme sea ice retreat, and tundra area burned in Alaska is moderately correlated with sea ice extent from 1979 to 2009 (r = 0.43, p = 0.02). Recurrences of large tundra fires as a result of sea ice disappearance may represent a novel manifestation of coupled marineterrestrial responses to climatic warming.", "author" : [ { "dropping-particle" : "", "family" : "Hu", "given" : "Feng Sheng", "non-dropping-particle" : "", "parse-names" : false, "suffix" : "" }, { "dropping-particle" : "", "family" : "Higuera", "given" : "Philip E.", "non-dropping-particle" : "", "parse-names" : false, "suffix" : "" }, { "dropping-particle" : "", "family" : "Walsh", "given" : "John E.", "non-dropping-particle" : "", "parse-names" : false, "suffix" : "" }, { "dropping-particle" : "", "family" : "Chapman", "given" : "William L.", "non-dropping-particle" : "", "parse-names" : false, "suffix" : "" }, { "dropping-particle" : "", "family" : "Duffy", "given" : "Paul A.", "non-dropping-particle" : "", "parse-names" : false, "suffix" : "" }, { "dropping-particle" : "", "family" : "Brubaker", "given" : "Linda B.", "non-dropping-particle" : "", "parse-names" : false, "suffix" : "" }, { "dropping-particle" : "", "family" : "Chipman", "given" : "Melissa L.", "non-dropping-particle" : "", "parse-names" : false, "suffix" : "" } ], "container-title" : "Journal of Geophysical Research", "id" : "ITEM-1", "issue" : "G4", "issued" : { "date-parts" : [ [ "2010", "10", "5" ] ] }, "page" : "G04002", "title" : "Tundra burning in Alaska: Linkages to climatic change and sea ice retreat", "type" : "article-journal", "volume" : "115" }, "uris" : [ "http://www.mendeley.com/documents/?uuid=bfc21d6c-49c5-4202-bd21-6506ea0122c2" ] } ], "mendeley" : { "formattedCitation" : "(F. S. Hu et al., 2010)", "plainTextFormattedCitation" : "(F. S. Hu et al., 2010)", "previouslyFormattedCitation" : "(F. S. Hu et al., 2010)"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(Hu et al., 2010)</w:t>
      </w:r>
      <w:r w:rsidRPr="008608AA">
        <w:rPr>
          <w:rFonts w:eastAsia="Droid Sans Fallback"/>
        </w:rPr>
        <w:fldChar w:fldCharType="end"/>
      </w:r>
      <w:r w:rsidRPr="008608AA">
        <w:rPr>
          <w:rFonts w:eastAsia="Droid Sans Fallback"/>
        </w:rPr>
        <w:t xml:space="preserve"> and these fires may increase the rate of stored carbon release </w:t>
      </w:r>
      <w:r w:rsidRPr="008608AA">
        <w:rPr>
          <w:rFonts w:eastAsia="Droid Sans Fallback"/>
        </w:rPr>
        <w:fldChar w:fldCharType="begin" w:fldLock="1"/>
      </w:r>
      <w:r w:rsidRPr="008608AA">
        <w:rPr>
          <w:rFonts w:eastAsia="Droid Sans Fallback"/>
        </w:rPr>
        <w:instrText>ADDIN CSL_CITATION { "citationItems" : [ { "id" : "ITEM-1", "itemData" : { "DOI" : "10.1038/nature10283", "ISBN" : "0028-0836", "ISSN" : "00280836", "PMID" : "21796209", "abstract" : "Arctic tundra soils store large amounts of carbon (C) in organic soil layers hundreds to thousands of years old that insulate, and in some cases maintain, permafrost soils. Fire has been largely absent from most of this biome since the early Holocene epoch, but its frequency and extent are increasing, probably in response to climate warming. The effect of fires on the C balance of tundra landscapes, however, remains largely unknown. The Anaktuvuk River fire in 2007 burned 1,039 square kilometres of Alaska's Arctic slope, making it the largest fire on record for the tundra biome and doubling the cumulative area burned since 1950 (ref. 5). Here we report that tundra ecosystems lost 2,016 \u00b1 435 g C m(-2) in the fire, an amount two orders of magnitude larger than annual net C exchange in undisturbed tundra. Sixty per cent of this C loss was from soil organic matter, and radiocarbon dating of residual soil layers revealed that the maximum age of soil C lost was 50 years. Scaled to the entire burned area, the fire released approximately 2.1 teragrams of C to the atmosphere, an amount similar in magnitude to the annual net C sink for the entire Arctic tundra biome averaged over the last quarter of the twentieth century. The magnitude of ecosystem C lost by fire, relative to both ecosystem and biome-scale fluxes, demonstrates that a climate-driven increase in tundra fire disturbance may represent a positive feedback, potentially offsetting Arctic greening and influencing the net C balance of the tundra biome.", "author" : [ { "dropping-particle" : "", "family" : "Mack", "given" : "Michelle C.", "non-dropping-particle" : "", "parse-names" : false, "suffix" : "" }, { "dropping-particle" : "", "family" : "Bret-Harte", "given" : "M. Syndonia", "non-dropping-particle" : "", "parse-names" : false, "suffix" : "" }, { "dropping-particle" : "", "family" : "Hollingsworth", "given" : "Teresa N.", "non-dropping-particle" : "", "parse-names" : false, "suffix" : "" }, { "dropping-particle" : "", "family" : "Jandt", "given" : "Randi R.", "non-dropping-particle" : "", "parse-names" : false, "suffix" : "" }, { "dropping-particle" : "", "family" : "Schuur", "given" : "Edward A.G.", "non-dropping-particle" : "", "parse-names" : false, "suffix" : "" }, { "dropping-particle" : "", "family" : "Shaver", "given" : "Gaius R.", "non-dropping-particle" : "", "parse-names" : false, "suffix" : "" }, { "dropping-particle" : "", "family" : "Verbyla", "given" : "David L.", "non-dropping-particle" : "", "parse-names" : false, "suffix" : "" } ], "container-title" : "Nature", "id" : "ITEM-1", "issue" : "7357", "issued" : { "date-parts" : [ [ "2011" ] ] }, "page" : "489-492", "publisher" : "Nature Publishing Group", "title" : "Carbon loss from an unprecedented Arctic tundra wildfire", "type" : "article-journal", "volume" : "475" }, "uris" : [ "http://www.mendeley.com/documents/?uuid=e3a99944-bf13-4794-a036-409b726b4c41" ] } ], "mendeley" : { "formattedCitation" : "(Mack et al., 2011)", "plainTextFormattedCitation" : "(Mack et al., 2011)", "previouslyFormattedCitation" : "(Mack et al.,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(Mack et al., 2011)</w:t>
      </w:r>
      <w:r w:rsidRPr="008608AA">
        <w:rPr>
          <w:rFonts w:eastAsia="Droid Sans Fallback"/>
        </w:rPr>
        <w:fldChar w:fldCharType="end"/>
      </w:r>
      <w:r w:rsidRPr="008608AA">
        <w:rPr>
          <w:rFonts w:eastAsia="Droid Sans Fallback"/>
        </w:rPr>
        <w:t xml:space="preserve">. Additionally, as with the Boreal Forest, Tundra is also subject to a tipping point or threshold with loss of the native plant communities whenever 1000 degree days is exceeded </w:t>
      </w:r>
      <w:r w:rsidRPr="008608AA">
        <w:rPr>
          <w:rFonts w:eastAsia="Droid Sans Fallback"/>
        </w:rPr>
        <w:fldChar w:fldCharType="begin" w:fldLock="1"/>
      </w:r>
      <w:r w:rsidRPr="008608AA">
        <w:rPr>
          <w:rFonts w:eastAsia="Droid Sans Fallback"/>
        </w:rPr>
        <w:instrText>ADDIN CSL_CITATION { "citationItems" : [ { "id" : "ITEM-1", "itemData" : { "DOI" : "10.1007/s13280-011-0221-x", "ISSN" : "0044-7447", "PMID" : "22270703", "abstract" : "There is widespread concern that anthropogenic global warming will trigger Arctic climate tipping points. The Arctic has a long history of natural, abrupt climate changes, which together with current observations and model projections, can help us to identify which parts of the Arctic climate system might pass future tipping points. Here the climate tipping points are defined, noting that not all of them involve bifurcations leading to irreversible change. Past abrupt climate changes in the Arctic are briefly reviewed. Then, the current behaviour of a range of Arctic systems is summarised. Looking ahead, a range of potential tipping phenomena are described. This leads to a revised and expanded list of potential Arctic climate tipping elements, whose likelihood is assessed, in terms of how much warming will be required to tip them. Finally, the available responses are considered, especially the prospects for avoiding Arctic climate tipping points.", "author" : [ { "dropping-particle" : "", "family" : "Lenton", "given" : "Timothy M.", "non-dropping-particle" : "", "parse-names" : false, "suffix" : "" } ], "container-title" : "AMBIO", "id" : "ITEM-1", "issue" : "1", "issued" : { "date-parts" : [ [ "2012", "2", "22" ] ] }, "page" : "10-22", "title" : "Arctic Climate Tipping Points", "type" : "article-journal", "volume" : "41" }, "uris" : [ "http://www.mendeley.com/documents/?uuid=8bd46c3b-c338-35ae-b72e-821b09b69048" ] }, { "id" : "ITEM-2", "itemData" : { "author" : [ { "dropping-particle" : "", "family" : "IPCC", "given" : "", "non-dropping-particle" : "", "parse-names" : false, "suffix" : "" } ], "container-title" : "Climate Change 2014: Impacts, Adaptation, and Vulnerability. Contribution of Working Group II to the Fifth Assessment Report of the Intergovernmental Panel on Climate Change", "editor" : [ { "dropping-particle" : "al", "family" : "Field", "given" : "C. et.", "non-dropping-particle" : "", "parse-names" : false, "suffix" : "" } ], "id" : "ITEM-2", "issue" : "March", "issued" : { "date-parts" : [ [ "2014" ] ] }, "publisher" : "Cambridge University Press, Cambridge, United Kingdom and New York, NY, USA", "title" : "Summary for Policymakers", "type" : "chapter" }, "uris" : [ "http://www.mendeley.com/documents/?uuid=91bf2f0d-96b7-4bc4-8007-c0c6ed3dbaf2" ] } ], "mendeley" : { "formattedCitation" : "(IPCC, 2014; Lenton, 2012)", "plainTextFormattedCitation" : "(IPCC, 2014; Lenton, 2012)", "previouslyFormattedCitation" : "(IPCC, 2014; Lenton,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(IPCC, 2014; Lenton, 2012)</w:t>
      </w:r>
      <w:r w:rsidRPr="008608AA">
        <w:rPr>
          <w:rFonts w:eastAsia="Droid Sans Fallback"/>
        </w:rPr>
        <w:fldChar w:fldCharType="end"/>
      </w:r>
      <w:r w:rsidRPr="008608AA">
        <w:rPr>
          <w:rFonts w:eastAsia="Droid Sans Fallback"/>
        </w:rPr>
        <w:t>.</w:t>
      </w:r>
    </w:p>
    <w:p w14:paraId="5619659F" w14:textId="77777777" w:rsidR="007A224F" w:rsidRPr="008608AA" w:rsidRDefault="007A224F" w:rsidP="00240C7E">
      <w:pPr>
        <w:suppressAutoHyphens/>
        <w:rPr>
          <w:rFonts w:eastAsia="Droid Sans Fallback"/>
        </w:rPr>
      </w:pPr>
    </w:p>
    <w:p w14:paraId="55981571" w14:textId="77777777" w:rsidR="00490494" w:rsidRPr="008608AA" w:rsidRDefault="00490494" w:rsidP="00240C7E">
      <w:pPr>
        <w:suppressAutoHyphens/>
        <w:rPr>
          <w:rFonts w:eastAsia="Droid Sans Fallback"/>
        </w:rPr>
      </w:pPr>
      <w:r w:rsidRPr="008608AA">
        <w:rPr>
          <w:rFonts w:eastAsia="Droid Sans Fallback"/>
        </w:rPr>
        <w:t xml:space="preserve">Uncertainty is also associated with respect to existence of a “tipping point” with respect to degradation of the permafrost, i.e. a point at which the degradation is irreversible and accelerates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"IPCC", "given" : "", "non-dropping-particle" : "", "parse-names" : false, "suffix" : "" } ], "container-title" : "Climate Change 2014: Impacts, Adaptation, and Vulnerability. Contribution of Working Group II to the Fifth Assessment Report of the Intergovernmental Panel on Climate Change", "editor" : [ { "dropping-particle" : "al", "family" : "Field", "given" : "C. et.", "non-dropping-particle" : "", "parse-names" : false, "suffix" : "" } ], "id" : "ITEM-1", "issue" : "March", "issued" : { "date-parts" : [ [ "2014" ] ] }, "publisher" : "Cambridge University Press, Cambridge, United Kingdom and New York, NY, USA", "title" : "Summary for Policymakers", "type" : "chapter" }, "uris" : [ "http://www.mendeley.com/documents/?uuid=91bf2f0d-96b7-4bc4-8007-c0c6ed3dbaf2" ] } ], "mendeley" : { "formattedCitation" : "(IPCC, 2014)", "plainTextFormattedCitation" : "(IPCC, 2014)", "previouslyFormattedCitation" : "(IPCC,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(IPCC, 2014)</w:t>
      </w:r>
      <w:r w:rsidRPr="008608AA">
        <w:rPr>
          <w:rFonts w:eastAsia="Droid Sans Fallback"/>
        </w:rPr>
        <w:fldChar w:fldCharType="end"/>
      </w:r>
      <w:r w:rsidRPr="008608AA">
        <w:rPr>
          <w:rFonts w:eastAsia="Droid Sans Fallback"/>
        </w:rPr>
        <w:t xml:space="preserve">. Some modellers believe that such a tipping point exists and that it could be reached within the next 100 years </w:t>
      </w:r>
      <w:r w:rsidRPr="008608AA">
        <w:rPr>
          <w:rFonts w:eastAsia="Droid Sans Fallback"/>
        </w:rPr>
        <w:fldChar w:fldCharType="begin" w:fldLock="1"/>
      </w:r>
      <w:r w:rsidRPr="008608AA">
        <w:rPr>
          <w:rFonts w:eastAsia="Droid Sans Fallback"/>
        </w:rPr>
        <w:instrText>ADDIN CSL_CITATION { "citationItems" : [ { "id" : "ITEM-1", "itemData" : { "DOI" : "10.1073/pnas.1219844110", "ISBN" : "0027-8424", "ISSN" : "0027-8424", "PMID" : "23236159", "abstract" : "Although the boreal region is warming twice as fast as the global average, the way in which the vast boreal forests and tundras may respond is poorly understood. Using satellite data, we reveal marked alternative modes in the frequency distributions of boreal tree cover. At the northern end and at the dry continental southern extremes, treeless tundra and steppe, respectively, are the only possible states. However, over a broad intermediate temperature range, these treeless states coexist with boreal forest (\u223c75% tree cover) and with two more open woodland states (\u223c20% and \u223c45% tree cover). Intermediate tree covers (e.g., \u223c10%, \u223c30%, and \u223c60% tree cover) between these distinct states are relatively rare, suggesting that they may represent unstable states where the system dwells only transiently. Mechanisms for such instabilities remain to be unraveled, but our results have important implications for the anticipated response of these ecosystems to climatic change. The data reveal that boreal forest shows no gradual decline in tree cover toward its limits. Instead, our analysis suggests that it becomes less resilient in the sense that it may more easily shift into a sparse woodland or treeless state. Similarly, the relative scarcity of the intermediate \u223c10% tree cover suggests that tundra may shift relatively abruptly to a more abundant tree cover. If our inferences are correct, climate change may invoke massive nonlinear shifts in boreal biomes.", "author" : [ { "dropping-particle" : "", "family" : "Scheffer", "given" : "Marten", "non-dropping-particle" : "", "parse-names" : false, "suffix" : "" }, { "dropping-particle" : "", "family" : "Hirota", "given" : "Marina", "non-dropping-particle" : "", "parse-names" : false, "suffix" : "" }, { "dropping-particle" : "", "family" : "Holmgren", "given" : "Milena", "non-dropping-particle" : "", "parse-names" : false, "suffix" : "" }, { "dropping-particle" : "Van", "family" : "Nes", "given" : "Egbert H", "non-dropping-particle" : "", "parse-names" : false, "suffix" : "" }, { "dropping-particle" : "", "family" : "Stuart", "given" : "F", "non-dropping-particle" : "", "parse-names" : false, "suffix" : "" }, { "dropping-particle" : "", "family" : "Scheffer", "given" : "Marten", "non-dropping-particle" : "", "parse-names" : false, "suffix" : "" }, { "dropping-particle" : "", "family" : "Hirotaa", "given" : "Marina", "non-dropping-particle" : "", "parse-names" : false, "suffix" : "" }, { "dropping-particle" : "", "family" : "Holmgren", "given" : "Milena", "non-dropping-particle" : "", "parse-names" : false, "suffix" : "" }, { "dropping-particle" : "Van", "family" : "Nesa", "given" : "Egbert H", "non-dropping-particle" : "", "parse-names" : false, "suffix" : "" }, { "dropping-particle" : "", "family" : "Iiid-", "given" : "F Stuart Chapin", "non-dropping-particle" : "", "parse-names" : false, "suffix" : "" }, { "dropping-particle" : "", "family" : "Nes", "given" : "E. H.", "non-dropping-particle" : "Van", "parse-names" : false, "suffix" : "" }, { "dropping-particle" : "", "family" : "Chapin", "given" : "F. S.", "non-dropping-particle" : "", "parse-names" : false, "suffix" : "" } ], "container-title" : "PNAS (Proceedings of the National Academy of Sciences of the United States of America)", "id" : "ITEM-1", "issue" : "52", "issued" : { "date-parts" : [ [ "2012" ] ] }, "page" : "21384-21389", "title" : "Thresholds for boreal biome transitions", "type" : "article-journal", "volume" : "109" }, "uris" : [ "http://www.mendeley.com/documents/?uuid=106045f0-509f-4c04-ac48-3151ef7eab28" ] } ], "mendeley" : { "formattedCitation" : "(Scheffer et al., 2012)", "plainTextFormattedCitation" : "(Scheffer et al., 2012)", "previouslyFormattedCitation" : "(Scheffer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(Scheffer et al., 2012)</w:t>
      </w:r>
      <w:r w:rsidRPr="008608AA">
        <w:rPr>
          <w:rFonts w:eastAsia="Droid Sans Fallback"/>
        </w:rPr>
        <w:fldChar w:fldCharType="end"/>
      </w:r>
      <w:r w:rsidRPr="008608AA">
        <w:rPr>
          <w:rFonts w:eastAsia="Droid Sans Fallback"/>
        </w:rPr>
        <w:t>. If such a tipping point is reached, there would be a massive release of greenhouse gases. In that event, it is anticipated that over time the area currently occupied by arctic tundra would be replaced by boreal forest. The implications of this scenario are that the rate of climate change would increase, flora and fauna would be further endangered or driven to extinction and the cultures and traditional ways of indigenous people throughout the Holarctic would be severely impacted.</w:t>
      </w:r>
    </w:p>
    <w:p w14:paraId="7EB0970A" w14:textId="77777777" w:rsidR="007A224F" w:rsidRPr="008608AA" w:rsidRDefault="007A224F" w:rsidP="00240C7E">
      <w:pPr>
        <w:suppressAutoHyphens/>
        <w:rPr>
          <w:rFonts w:eastAsia="Droid Sans Fallback"/>
        </w:rPr>
      </w:pPr>
    </w:p>
    <w:p w14:paraId="467B6F22" w14:textId="77777777" w:rsidR="00490494" w:rsidRPr="008608AA" w:rsidRDefault="00490494" w:rsidP="00240C7E">
      <w:pPr>
        <w:suppressAutoHyphens/>
        <w:rPr>
          <w:rFonts w:eastAsia="Droid Sans Fallback"/>
        </w:rPr>
      </w:pPr>
      <w:r w:rsidRPr="008608AA">
        <w:rPr>
          <w:rFonts w:eastAsia="Droid Sans Fallback"/>
        </w:rPr>
        <w:t xml:space="preserve">The issue of melting permafrost and its implications is a particularly intransigent problem for several reasons. The ultimate source of the drivers affecting the system are not internal to the system, rather, they originate faraway geographically, i.e. anthropogenic greenhouse gasses, and are exacerbated through the effects of a positive feedback acting locally and through teleconnection. </w:t>
      </w:r>
    </w:p>
    <w:p w14:paraId="1FF3DED7" w14:textId="77777777" w:rsidR="007A224F" w:rsidRPr="008608AA" w:rsidRDefault="007A224F" w:rsidP="00240C7E">
      <w:pPr>
        <w:suppressAutoHyphens/>
        <w:rPr>
          <w:rFonts w:eastAsia="Droid Sans Fallback"/>
        </w:rPr>
      </w:pPr>
    </w:p>
    <w:p w14:paraId="08635873" w14:textId="0A23A74B" w:rsidR="00490494" w:rsidRPr="008608AA" w:rsidRDefault="00490494" w:rsidP="00240C7E">
      <w:pPr>
        <w:suppressAutoHyphens/>
        <w:rPr>
          <w:rFonts w:eastAsia="Droid Sans Fallback"/>
          <w:lang w:val="fr-CA"/>
        </w:rPr>
      </w:pPr>
      <w:r w:rsidRPr="008608AA">
        <w:rPr>
          <w:rFonts w:eastAsia="Droid Sans Fallback"/>
        </w:rPr>
        <w:t xml:space="preserve">With temperatures in the Arctic rising twice as fast as the global average, climate threatens to alter biodiversity and ecosystem functioning in Tundra in the coming decades </w:t>
      </w:r>
      <w:r w:rsidRPr="008608AA">
        <w:rPr>
          <w:rFonts w:eastAsia="Droid Sans Fallback"/>
        </w:rPr>
        <w:fldChar w:fldCharType="begin" w:fldLock="1"/>
      </w:r>
      <w:r w:rsidRPr="008608AA">
        <w:rPr>
          <w:rFonts w:eastAsia="Droid Sans Fallback"/>
        </w:rPr>
        <w:instrText>ADDIN CSL_CITATION { "citationItems" : [ { "id" : "ITEM-1", "itemData" : { "DOI" : "10.1038/NGEO2071", "ISBN" : "doi:10.1038/ngeo2071", "ISSN" : "1752-0894", "abstract" : "Climate change is amplified in the Arctic region. Arctic amplification has been found in past warm1 and glacial2 periods, as well as in historical observations3,4 and climate model experiments5,6 . Feedback effects associated with tem- perature, water vapour and clouds have been suggested to contribute to amplified warming in the Arctic, but the surface albedo feedback\u2014the increase in surface absorption of solar radiation when snow and ice retreat\u2014is often cited as the main contributor7\u201310 . However, Arctic amplification is also found in models without changes in snow and ice cover11,12 . Here we analyse climate model simulations from the Coupled Model Intercomparison Project Phase 5 archive to quantify the contributions of the various feedbacks. We find that in the simulations, the largest contribution to Arctic amplification comes from a temperature feedbacks: as the surface warms, more energy is radiated back to space in low latitudes, compared with the Arctic. This effect can be attributed to both the different vertical structure of the warming in high and low latitudes, and a smaller increase in emitted blackbody radiation per unit warming at colder temperatures. We find that the surface albedo feedback is the second main contributor to Arctic amplification and that other contributions are", "author" : [ { "dropping-particle" : "", "family" : "Pithan", "given" : "Felix", "non-dropping-particle" : "", "parse-names" : false, "suffix" : "" }, { "dropping-particle" : "", "family" : "Mauritsen", "given" : "Thorsten", "non-dropping-particle" : "", "parse-names" : false, "suffix" : "" } ], "container-title" : "Nature geoscience", "id" : "ITEM-1", "issued" : { "date-parts" : [ [ "2014" ] ] }, "title" : "Arctic amplification dominated by temperature feedbacks in contemporary climate models", "type" : "article-journal" }, "uris" : [ "http://www.mendeley.com/documents/?uuid=a2601d60-f6c6-4328-adc6-49f931fe5469" ] }, { "id" : "ITEM-2", "itemData" : { "DOI" : "10.1038/nature09051", "ISBN" : "0028-0836", "ISSN" : "0028-0836", "PMID" : "20428168", "abstract" : "The rise in Arctic near-surface air temperatures has been almost twice as large as the global average in recent decades-a feature known as 'Arctic amplification'. Increased concentrations of atmospheric greenhouse gases have driven Arctic and global average warming; however, the underlying causes of Arctic amplification remain uncertain. The roles of reductions in snow and sea ice cover and changes in atmospheric and oceanic circulation, cloud cover and water vapour are still matters of debate. A better understanding of the processes responsible for the recent amplified warming is essential for assessing the likelihood, and impacts, of future rapid Arctic warming and sea ice loss. Here we show that the Arctic warming is strongest at the surface during most of the year and is primarily consistent with reductions in sea ice cover. Changes in cloud cover, in contrast, have not contributed strongly to recent warming. Increases in atmospheric water vapour content, partly in response to reduced sea ice cover, may have enhanced warming in the lower part of the atmosphere during summer and early autumn. We conclude that diminishing sea ice has had a leading role in recent Arctic temperature amplification. The findings reinforce suggestions that strong positive ice-temperature feedbacks have emerged in the Arctic, increasing the chances of further rapid warming and sea ice loss, and will probably affect polar ecosystems, ice-sheet mass balance and human activities in the Arctic.", "author" : [ { "dropping-particle" : "", "family" : "Screen", "given" : "James A", "non-dropping-particle" : "", "parse-names" : false, "suffix" : "" }, { "dropping-particle" : "", "family" : "Simmonds", "given" : "Ian", "non-dropping-particle" : "", "parse-names" : false, "suffix" : "" } ], "container-title" : "Nature", "id" : "ITEM-2", "issued" : { "date-parts" : [ [ "2010" ] ] }, "title" : "The central role of diminishing sea ice in recent Arctic temperature amplification.", "type" : "article-journal" }, "uris" : [ "http://www.mendeley.com/documents/?uuid=3afc5640-2e6c-4162-ac7c-486c67eb5374" ] } ], "mendeley" : { "formattedCitation" : "(Pithan &amp; Mauritsen, 2014; Screen &amp; Simmonds, 2010)", "plainTextFormattedCitation" : "(Pithan &amp; Mauritsen, 2014; Screen &amp; Simmonds, 2010)", "previouslyFormattedCitation" : "(Pithan &amp; Mauritsen, 2014; Screen &amp; Simmonds, 2010)"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(Pithan &amp; Mauritsen, 2014; Screen &amp; Simmonds, 2010)</w:t>
      </w:r>
      <w:r w:rsidRPr="008608AA">
        <w:rPr>
          <w:rFonts w:eastAsia="Droid Sans Fallback"/>
        </w:rPr>
        <w:fldChar w:fldCharType="end"/>
      </w:r>
      <w:r w:rsidRPr="008608AA">
        <w:rPr>
          <w:rFonts w:eastAsia="Droid Sans Fallback"/>
        </w:rPr>
        <w:t xml:space="preserve">. Vegetation models predict significant northward range expansion of boreal species into Tundra, leaving few refugia for tundra-specialist species by 2050 </w:t>
      </w:r>
      <w:r w:rsidRPr="008608AA">
        <w:rPr>
          <w:rFonts w:eastAsia="Droid Sans Fallback"/>
        </w:rPr>
        <w:fldChar w:fldCharType="begin" w:fldLock="1"/>
      </w:r>
      <w:r w:rsidRPr="008608AA">
        <w:rPr>
          <w:rFonts w:eastAsia="Droid Sans Fallback"/>
        </w:rPr>
        <w:instrText>ADDIN CSL_CITATION { "citationItems" : [ { "id" : "ITEM-1", "itemData" : { "DOI" : "10.1007/s10584-006-9113-7", "ISBN" : "0165-0009", "ISSN" : "0165-0009", "abstract" : "The signatories to United Nations Framework Convention on Climate Change are charged with stabilizing the concentrations of greenhouse gases in the atmosphere at a level that prevents dangerous interference with the climate system. A number of nations, organizations and scientists have suggested that global mean temperature should not rise over 2\u00b0C above preindustrial levels. However, even a relatively moderate target of 2\u00b0C has serious implications for the Arctic, where temperatures are predicted to increase at least 1.5 to 2 times as fast as global temperatures. High latitude vegetation plays a significant role in the lives of humans and animals, and in the global energy balance and carbon budget. These ecosystems are expected to be among the most strongly impacted by climate change over the next century. To investigate the potential impact of stabilization of global temperature at 2\u00b0C, we performed a study using data from six Global Climate Models (GCMs) forced by four greenhouse gas emissions scenarios, the BIOME4 biogeochemistry-biogeography model, and remote sensing data. GCM data were used to predict the timing and patterns of Arctic climate change under a global mean warming of 2\u00b0C. A unified circumpolar classification recognizing five types of tundra and six forest biomes was used to develop a map of observed Arctic vegetation. BIOME4 was used to simulate the vegetation distributions over the Arctic at the present and for a range of 2\u00b0C global warming scenarios. The GCMs simulations indicate that the earth will have warmed by 2\u00b0C relative to preindustrial temperatures by between 2026 and 2060, by which stage the area-mean annual temperature over the Arctic (60-90\u00b0N) will have increased by between 3.2 and 6.6\u00b0C. Forest extent is predicted by BIOME4 to increase in the Arctic on the order of 3 \u00d7 106 km2 or 55% with a corresponding 42% reduction in tundra area. Tundra types generally also shift north with the largest reductions in the prostrate dwarf-shrub tundra, where nearly 60% of habitat is lost. Modeled shifts in the potential northern limit of trees reach up to 400 km from the present tree line, which may be limited by dispersion rates. Simulated physiological effects of the CO2 increase (to ca. 475 ppm) at high latitudes were small compared with the effects of the change in climate. The increase in forest area of the Arctic could sequester 600 Pg of additional carbon, though this effect is unlikely to be realized over next century. \u00a9 2006 Sp\u2026", "author" : [ { "dropping-particle" : "", "family" : "Kaplan", "given" : "Jed O.", "non-dropping-particle" : "", "parse-names" : false, "suffix" : "" }, { "dropping-particle" : "", "family" : "New", "given" : "Mark", "non-dropping-particle" : "", "parse-names" : false, "suffix" : "" } ], "container-title" : "Climatic Change", "id" : "ITEM-1", "issue" : "3-4", "issued" : { "date-parts" : [ [ "2006", "11", "27" ] ] }, "page" : "213-241", "title" : "Arctic climate change with a 2 \u2218C global warming: Timing, climate patterns and vegetation change", "type" : "article-journal", "volume" : "79" }, "uris" : [ "http://www.mendeley.com/documents/?uuid=6c9c6e81-9be9-4809-aae7-268a5af57ef2", "http://www.mendeley.com/documents/?uuid=658f3150-87c8-4a1e-82e7-2dbc906f10c6" ] } ], "mendeley" : { "formattedCitation" : "(Kaplan &amp; New, 2006)", "manualFormatting" : "(Kaplan and New, 2006;", "plainTextFormattedCitation" : "(Kaplan &amp; New, 2006)", "previouslyFormattedCitation" : "(Kaplan &amp; New, 2006)" }, "properties" : {  }, "schema" : "https://github.com/citation-style-language/schema/raw/master/csl-citation.json" }</w:instrText>
      </w:r>
      <w:r w:rsidRPr="008608AA">
        <w:rPr>
          <w:rFonts w:eastAsia="Droid Sans Fallback"/>
        </w:rPr>
        <w:fldChar w:fldCharType="separate"/>
      </w:r>
      <w:r w:rsidR="0045556C" w:rsidRPr="008608AA">
        <w:rPr>
          <w:rFonts w:eastAsia="Droid Sans Fallback"/>
          <w:noProof/>
        </w:rPr>
        <w:t>(Kaplan &amp;</w:t>
      </w:r>
      <w:r w:rsidRPr="008608AA">
        <w:rPr>
          <w:rFonts w:eastAsia="Droid Sans Fallback"/>
          <w:noProof/>
        </w:rPr>
        <w:t xml:space="preserve"> New, 2006;</w:t>
      </w:r>
      <w:r w:rsidRPr="008608AA">
        <w:rPr>
          <w:rFonts w:eastAsia="Droid Sans Fallback"/>
        </w:rPr>
        <w:fldChar w:fldCharType="end"/>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"Pearson", "given" : "R. G.", "non-dropping-particle" : "", "parse-names" : false, "suffix" : "" }, { "dropping-particle" : "", "family" : "Phillips", "given" : "S. J.", "non-dropping-particle" : "", "parse-names" : false, "suffix" : "" }, { "dropping-particle" : "", "family" : "Loranty", "given" : "M. M.", "non-dropping-particle" : "", "parse-names" : false, "suffix" : "" }, { "dropping-particle" : "", "family" : "Beck", "given" : "P. S.", "non-dropping-particle" : "", "parse-names" : false, "suffix" : "" }, { "dropping-particle" : "", "family" : "Damoulas", "given" : "T.", "non-dropping-particle" : "", "parse-names" : false, "suffix" : "" }, { "dropping-particle" : "", "family" : "Knight", "given" : "S. J.", "non-dropping-particle" : "", "parse-names" : false, "suffix" : "" }, { "dropping-particle" : "", "family" : "Goetz", "given" : "S. J.", "non-dropping-particle" : "", "parse-names" : false, "suffix" : "" } ], "container-title" : "Nature Climate Change", "id" : "ITEM-1", "issue" : "7", "issued" : { "date-parts" : [ [ "2013" ] ] }, "page" : "673-677", "title" : "Shifts in Arctic vegetation and associated feedbacks under climate change", "type" : "article-journal", "volume" : "3" }, "uris" : [ "http://www.mendeley.com/documents/?uuid=38b35a44-8261-4afd-9a05-08c5fbbb87ba", "http://www.mendeley.com/documents/?uuid=45b741f7-d242-4574-80b9-169b32db0a22" ] } ], "mendeley" : { "formattedCitation" : "(Pearson et al., 2013)", "manualFormatting" : "Pearson et al., 2013; ", "plainTextFormattedCitation" : "(Pearson et al., 2013)", "previouslyFormattedCitation" : "(Pearson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 xml:space="preserve">Pearson et al., 2013; </w:t>
      </w:r>
      <w:r w:rsidRPr="008608AA">
        <w:rPr>
          <w:rFonts w:eastAsia="Droid Sans Fallback"/>
        </w:rPr>
        <w:fldChar w:fldCharType="end"/>
      </w:r>
      <w:r w:rsidRPr="008608AA">
        <w:rPr>
          <w:rFonts w:eastAsia="Droid Sans Fallback"/>
        </w:rPr>
        <w:fldChar w:fldCharType="begin" w:fldLock="1"/>
      </w:r>
      <w:r w:rsidRPr="008608AA">
        <w:rPr>
          <w:rFonts w:eastAsia="Droid Sans Fallback"/>
        </w:rPr>
        <w:instrText>ADDIN CSL_CITATION { "citationItems" : [ { "id" : "ITEM-1", "itemData" : { "DOI" : "10.1890/ES15-00104.1", "ISSN" : "2150-8925", "abstract" : "As ancestral biodiversity responded dynamically to late-Quaternary climate changes, so are extant organisms responding to the warming trajectory of the Anthropocene. Ecological predictive modeling, statistical hypothesis tests, and genetic signatures of demographic change can provide a powerful integrated toolset for investigating these biodiversity responses to climate change, and relative resiliency across different communities. Within the biotic province of Beringia, we analyzed specimen localities and DNA sequences from 28 mammal species associated with boreal forest and Arctic tundra biomes to assess both historical distributional and evolutionary responses and then forecasted future changes based on statistical assessments of past and present trajectories, and quantified distributional and demographic changes in relation to major management regions within the study area. We addressed three sets of hypotheses associated with aspects of methodological, biological, and socio-political importance by ask...", "author" : [ { "dropping-particle" : "", "family" : "Hope", "given" : "A. G.", "non-dropping-particle" : "", "parse-names" : false, "suffix" : "" }, { "dropping-particle" : "", "family" : "Waltari", "given" : "E.", "non-dropping-particle" : "", "parse-names" : false, "suffix" : "" }, { "dropping-particle" : "", "family" : "Malaney", "given" : "J. L.", "non-dropping-particle" : "", "parse-names" : false, "suffix" : "" }, { "dropping-particle" : "", "family" : "Payer", "given" : "D. C.", "non-dropping-particle" : "", "parse-names" : false, "suffix" : "" }, { "dropping-particle" : "", "family" : "Cook", "given" : "J. A.", "non-dropping-particle" : "", "parse-names" : false, "suffix" : "" }, { "dropping-particle" : "", "family" : "Talbot", "given" : "S. L.", "non-dropping-particle" : "", "parse-names" : false, "suffix" : "" } ], "container-title" : "Ecosphere", "id" : "ITEM-1", "issue" : "9", "issued" : { "date-parts" : [ [ "2015", "9" ] ] }, "page" : "art159", "title" : "Arctic biodiversity: increasing richness accompanies shrinking refugia for a cold-associated tundra fauna", "type" : "article-journal", "volume" : "6" }, "uris" : [ "http://www.mendeley.com/documents/?uuid=273f68a5-6386-4df5-a259-75f7905ef80d", "http://www.mendeley.com/documents/?uuid=77629330-e268-4c9c-ab4a-cceba309e4f7" ] } ], "mendeley" : { "formattedCitation" : "(Hope et al., 2015)", "manualFormatting" : "Hope et al., 2015)", "plainTextFormattedCitation" : "(Hope et al., 2015)", "previouslyFormattedCitation" : "(Hope et al.,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Hope et al., 2015)</w:t>
      </w:r>
      <w:r w:rsidRPr="008608AA">
        <w:rPr>
          <w:rFonts w:eastAsia="Droid Sans Fallback"/>
        </w:rPr>
        <w:fldChar w:fldCharType="end"/>
      </w:r>
      <w:r w:rsidRPr="008608AA">
        <w:rPr>
          <w:rFonts w:eastAsia="Droid Sans Fallback"/>
        </w:rPr>
        <w:t xml:space="preserve">. Thus, while the intrusion of boreal species may augment species richness in Tundra, the potential extinction of tundra-adapted taxa may detract from it </w:t>
      </w:r>
      <w:r w:rsidRPr="008608AA">
        <w:rPr>
          <w:rFonts w:eastAsia="Droid Sans Fallback"/>
        </w:rPr>
        <w:fldChar w:fldCharType="begin" w:fldLock="1"/>
      </w:r>
      <w:r w:rsidRPr="008608AA">
        <w:rPr>
          <w:rFonts w:eastAsia="Droid Sans Fallback"/>
        </w:rPr>
        <w:instrText>ADDIN CSL_CITATION { "citationItems" : [ { "id" : "ITEM-1", "itemData" : { "ISBN" : "9789935431226", "abstract" : "Indigenous peoples and biodiversity in the Arctic 1. Synthesis: implications for conservation 2. Species Diversity in the Arctic 3. Mammals 4. Birds 5. Amphibians and Reptiles 6. Fishes 7. Terrestrial and Freshwater Invertebrates 8. Marine Invertebrates 9. Plants 10. Fungi 11. Microorganisms 12. Terrestrial Ecosystems 13. Freshwater Ecosystems 14. Marine Ecosystems 15. Parasites 16. Invasive Species: Human-Induced 17. Genetics 18. Provisioning and Cultural Services 19. Disturbance, Feedbacks and Conservations 20. Linguistic Diversity", "author" : [ { "dropping-particle" : "", "family" : "CAFF", "given" : "", "non-dropping-particle" : "", "parse-names" : false, "suffix" : "" } ], "container-title" : "Arctic Biodiversity Assessment", "id" : "ITEM-1", "issued" : { "date-parts" : [ [ "2013" ] ] }, "title" : "Arctic Biodiversity Assessment - Status and Trends in Arctic Biodiversity", "type" : "report" }, "uris" : [ "http://www.mendeley.com/documents/?uuid=99b8a3dd-b860-450e-87a7-0f45265f8da9", "http://www.mendeley.com/documents/?uuid=333d7c32-36db-4bb5-8a1b-c2188030d336" ] }, { "id" : "ITEM-2", "itemData" : { "DOI" : "10.1038/35012241", "ISBN" : "0028-0836", "ISSN" : "0028-0836", "PMID" : "10821284", "abstract" : "Human alteration of the global environment has triggered the sixth major extinction event in the history of life and caused widespread changes in the global distribution of organisms. These changes in biodiversity alter ecosystem processes and change the resilience of ecosystems to environmental change. This has profound consequences for services that humans derive from ecosystems. The large ecological and societal consequences of changing biodiversity should be minimized to preserve options for future solutions to global environmental problems.", "author" : [ { "dropping-particle" : "", "family" : "Chapin", "given" : "F S", "non-dropping-particle" : "", "parse-names" : false, "suffix" : "" }, { "dropping-particle" : "", "family" : "Zavaleta", "given" : "E S", "non-dropping-particle" : "", "parse-names" : false, "suffix" : "" }, { "dropping-particle" : "", "family" : "Eviner", "given" : "V T", "non-dropping-particle" : "", "parse-names" : false, "suffix" : "" }, { "dropping-particle" : "", "family" : "Naylor", "given" : "R L", "non-dropping-particle" : "", "parse-names" : false, "suffix" : "" }, { "dropping-particle" : "", "family" : "Vitousek", "given" : "P M", "non-dropping-particle" : "", "parse-names" : false, "suffix" : "" }, { "dropping-particle" : "", "family" : "Reynolds", "given" : "H L", "non-dropping-particle" : "", "parse-names" : false, "suffix" : "" }, { "dropping-particle" : "", "family" : "Hooper", "given" : "D U", "non-dropping-particle" : "", "parse-names" : false, "suffix" : "" }, { "dropping-particle" : "", "family" : "Lavorel", "given" : "S", "non-dropping-particle" : "", "parse-names" : false, "suffix" : "" }, { "dropping-particle" : "", "family" : "Sala", "given" : "O E", "non-dropping-particle" : "", "parse-names" : false, "suffix" : "" }, { "dropping-particle" : "", "family" : "Hobbie", "given" : "S E", "non-dropping-particle" : "", "parse-names" : false, "suffix" : "" }, { "dropping-particle" : "", "family" : "Mack", "given" : "M C", "non-dropping-particle" : "", "parse-names" : false, "suffix" : "" }, { "dropping-particle" : "", "family" : "D\u00edaz", "given" : "S", "non-dropping-particle" : "", "parse-names" : false, "suffix" : "" } ], "container-title" : "Nature", "id" : "ITEM-2", "issue" : "6783", "issued" : { "date-parts" : [ [ "2000" ] ] }, "page" : "234-42", "title" : "Consequences of changing biodiversity.", "type" : "article-journal", "volume" : "405" }, "uris" : [ "http://www.mendeley.com/documents/?uuid=1ad3f46f-f6d9-4dea-834c-9e48ea99ceae", "http://www.mendeley.com/documents/?uuid=d375b54c-f01d-4e29-a5e3-10dba56132e8" ] } ], "mendeley" : { "formattedCitation" : "(CAFF, 2013; Chapin et al., 2000)", "manualFormatting" : "(CAFF, 2013; Chapin et al., 2000)", "plainTextFormattedCitation" : "(CAFF, 2013; Chapin et al., 2000)", "previouslyFormattedCitation" : "(CAFF, 2013; Chapin et al., 2000)"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(CAFF, 2013; Chapin et al., 2000)</w:t>
      </w:r>
      <w:r w:rsidRPr="008608AA">
        <w:rPr>
          <w:rFonts w:eastAsia="Droid Sans Fallback"/>
        </w:rPr>
        <w:fldChar w:fldCharType="end"/>
      </w:r>
      <w:r w:rsidRPr="008608AA">
        <w:rPr>
          <w:rFonts w:eastAsia="Droid Sans Fallback"/>
        </w:rPr>
        <w:t xml:space="preserve">. The overall balance of these processes is uncertain. As sea ice declines, shipping in the Arctic may be a dispersal mechanism for invasive species </w:t>
      </w:r>
      <w:r w:rsidRPr="008608AA">
        <w:rPr>
          <w:rFonts w:eastAsia="Droid Sans Fallback"/>
        </w:rPr>
        <w:fldChar w:fldCharType="begin" w:fldLock="1"/>
      </w:r>
      <w:r w:rsidRPr="008608AA">
        <w:rPr>
          <w:rFonts w:eastAsia="Droid Sans Fallback"/>
        </w:rPr>
        <w:instrText>ADDIN CSL_CITATION { "citationItems" : [ { "id" : "ITEM-1", "itemData" : { "ISBN" : "9789935431226", "abstract" : "Indigenous peoples and biodiversity in the Arctic 1. Synthesis: implications for conservation 2. Species Diversity in the Arctic 3. Mammals 4. Birds 5. Amphibians and Reptiles 6. Fishes 7. Terrestrial and Freshwater Invertebrates 8. Marine Invertebrates 9. Plants 10. Fungi 11. Microorganisms 12. Terrestrial Ecosystems 13. Freshwater Ecosystems 14. Marine Ecosystems 15. Parasites 16. Invasive Species: Human-Induced 17. Genetics 18. Provisioning and Cultural Services 19. Disturbance, Feedbacks and Conservations 20. Linguistic Diversity", "author" : [ { "dropping-particle" : "", "family" : "CAFF", "given" : "", "non-dropping-particle" : "", "parse-names" : false, "suffix" : "" } ], "container-title" : "Arctic Biodiversity Assessment", "id" : "ITEM-1", "issued" : { "date-parts" : [ [ "2013" ] ] }, "title" : "Arctic Biodiversity Assessment - Status and Trends in Arctic Biodiversity", "type" : "report" }, "uris" : [ "http://www.mendeley.com/documents/?uuid=333d7c32-36db-4bb5-8a1b-c2188030d336", "http://www.mendeley.com/documents/?uuid=99b8a3dd-b860-450e-87a7-0f45265f8da9" ] } ], "mendeley" : { "formattedCitation" : "(CAFF, 2013)", "plainTextFormattedCitation" : "(CAFF, 2013)", "previouslyFormattedCitation" : "(CAFF,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(CAFF, 2013)</w:t>
      </w:r>
      <w:r w:rsidRPr="008608AA">
        <w:rPr>
          <w:rFonts w:eastAsia="Droid Sans Fallback"/>
        </w:rPr>
        <w:fldChar w:fldCharType="end"/>
      </w:r>
      <w:r w:rsidRPr="008608AA">
        <w:rPr>
          <w:rFonts w:eastAsia="Droid Sans Fallback"/>
        </w:rPr>
        <w:t xml:space="preserve">. Many future changes in Tundra are predicted to be rapid nonlinear transitions, rather than smooth gradual changes. Among such “regime shifts,” the Arctic Council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"Artic Council", "given" : "", "non-dropping-particle" : "", "parse-names" : false, "suffix" : "" } ], "editor" : [ { "dropping-particle" : "", "family" : "Carson", "given" : "M.", "non-dropping-particle" : "", "parse-names" : false, "suffix" : "" }, { "dropping-particle" : "", "family" : "Peterson", "given" : "G.", "non-dropping-particle" : "", "parse-names" : false, "suffix" : "" } ], "id" : "ITEM-1", "issued" : { "date-parts" : [ [ "2016" ] ] }, "publisher" : "Stockholm Environment Institute and Stockholm Resilience Centre", "publisher-place" : "Stockholm", "title" : "Arctic Resilience Report", "type" : "book" }, "uris" : [ "http://www.mendeley.com/documents/?uuid=59781e55-97b5-4e02-80a5-d11e6fdb514f", "http://www.mendeley.com/documents/?uuid=f0807219-cfc4-4792-b246-cb06cb150151" ] } ], "mendeley" : { "formattedCitation" : "(Artic Council, 2016)", "manualFormatting" : "(2016)", "plainTextFormattedCitation" : "(Artic Council, 2016)", "previouslyFormattedCitation" : "(Artic Council,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(2016)</w:t>
      </w:r>
      <w:r w:rsidRPr="008608AA">
        <w:rPr>
          <w:rFonts w:eastAsia="Droid Sans Fallback"/>
        </w:rPr>
        <w:fldChar w:fldCharType="end"/>
      </w:r>
      <w:r w:rsidRPr="008608AA">
        <w:rPr>
          <w:rFonts w:eastAsia="Droid Sans Fallback"/>
        </w:rPr>
        <w:t xml:space="preserve"> predicts decreased carbon storage capacity, drying soils, and increased woody vegetation. Experimental and modeling work from several authors across Arctic Resilience Assessment document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"Artic Council", "given" : "", "non-dropping-particle" : "", "parse-names" : false, "suffix" : "" } ], "editor" : [ { "dropping-particle" : "", "family" : "Carson", "given" : "M.", "non-dropping-particle" : "", "parse-names" : false, "suffix" : "" }, { "dropping-particle" : "", "family" : "Peterson", "given" : "G.", "non-dropping-particle" : "", "parse-names" : false, "suffix" : "" } ], "id" : "ITEM-1", "issued" : { "date-parts" : [ [ "2016" ] ] }, "publisher" : "Stockholm Environment Institute and Stockholm Resilience Centre", "publisher-place" : "Stockholm", "title" : "Arctic Resilience Report", "type" : "book" }, "uris" : [ "http://www.mendeley.com/documents/?uuid=f0807219-cfc4-4792-b246-cb06cb150151" ] } ], "mendeley" : { "formattedCitation" : "(Artic Council, 2016)", "plainTextFormattedCitation" : "(Artic Council, 2016)", "previouslyFormattedCitation" : "(Artic Council,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(Artic Council, 2016)</w:t>
      </w:r>
      <w:r w:rsidRPr="008608AA">
        <w:rPr>
          <w:rFonts w:eastAsia="Droid Sans Fallback"/>
        </w:rPr>
        <w:fldChar w:fldCharType="end"/>
      </w:r>
      <w:r w:rsidRPr="008608AA">
        <w:rPr>
          <w:rFonts w:eastAsia="Droid Sans Fallback"/>
        </w:rPr>
        <w:t xml:space="preserve"> support for these conclusions (for carbon storage, see </w:t>
      </w:r>
      <w:r w:rsidRPr="008608AA">
        <w:rPr>
          <w:rFonts w:eastAsia="Droid Sans Fallback"/>
        </w:rPr>
        <w:fldChar w:fldCharType="begin" w:fldLock="1"/>
      </w:r>
      <w:r w:rsidRPr="008608AA">
        <w:rPr>
          <w:rFonts w:eastAsia="Droid Sans Fallback"/>
        </w:rPr>
        <w:instrText>ADDIN CSL_CITATION { "citationItems" : [ { "id" : "ITEM-1", "itemData" : { "DOI" : "10.1088/1748-9326/11/3/034014", "ISBN" : "1748-9326", "ISSN" : "1748-9326", "abstract" : "As the permafrost region warms, its large organic carbon pool will be increasingly vulnerable to\\ndecomposition, combustion, and hydrologic export. Models predict that some portion of this release\\nwill be offset by increased production of Arctic and boreal biomass; however, the lack of robust\\nestimates of net carbon balance increases the risk of further overshooting international emissions\\ntargets. Precise empirical or model-based assessments of the critical factors driving carbon balance\\nare unlikely in the near future, so to address this gap, we present estimates from 98\\npermafrost-region experts of the response of biomass, wildfire, and hydrologic carbon flux to\\nclimate change. Results suggest that contrary to model projections, total permafrost-region biomass\\ncould decrease due to water stress and disturbance, factors that are not adequately incorporated in\\ncurrent models. Assessments indicate that end-of-the-century organic carbon release from Arctic\\nrivers and collapsing coastlines could increase by 75% while carbon loss via burning could increase\\nfour-fold. Experts identified water balance, shifts in vegetation community, and permafrost\\ndegradation as the key sources of uncertainty in predicting future system response. In combination\\nwith previous findings, results suggest the permafrost region will become a carbon source to the\\natmosphere by 2100 regardless of warming scenario but that 65%\u201385% of permafrost carbon release can\\nstill be avoided if human emissions are actively reduced.", "author" : [ { "dropping-particle" : "", "family" : "Abbott", "given" : "Benjamin Walter", "non-dropping-particle" : "", "parse-names" : false, "suffix" : "" }, { "dropping-particle" : "", "family" : "Jones", "given" : "Jeremy", "non-dropping-particle" : "", "parse-names" : false, "suffix" : "" }, { "dropping-particle" : "", "family" : "Schuur", "given" : "Edward", "non-dropping-particle" : "", "parse-names" : false, "suffix" : "" }, { "dropping-particle" : "", "family" : "Chapin III", "given" : "F. Stuart", "non-dropping-particle" : "", "parse-names" : false, "suffix" : "" }, { "dropping-particle" : "", "family" : "Bowden", "given" : "William", "non-dropping-particle" : "", "parse-names" : false, "suffix" : "" }, { "dropping-particle" : "", "family" : "Bret-Harte", "given" : "Marion", "non-dropping-particle" : "", "parse-names" : false, "suffix" : "" }, { "dropping-particle" : "", "family" : "Epstein", "given" : "Howard", "non-dropping-particle" : "", "parse-names" : false, "suffix" : "" }, { "dropping-particle" : "", "family" : "Flannigan", "given" : "Mike", "non-dropping-particle" : "", "parse-names" : false, "suffix" : "" }, { "dropping-particle" : "", "family" : "Harms", "given" : "Tamara", "non-dropping-particle" : "", "parse-names" : false, "suffix" : "" }, { "dropping-particle" : "", "family" : "Hollingworth", "given" : "Teresa", "non-dropping-particle" : "", "parse-names" : false, "suffix" : "" }, { "dropping-particle" : "", "family" : "Mack", "given" : "Michelle", "non-dropping-particle" : "", "parse-names" : false, "suffix" : "" }, { "dropping-particle" : "", "family" : "McGuire", "given" : "A D", "non-dropping-particle" : "", "parse-names" : false, "suffix" : "" }, { "dropping-particle" : "", "family" : "Natal", "given" : "Susan", "non-dropping-particle" : "", "parse-names" : false, "suffix" : "" }, { "dropping-particle" : "", "family" : "Rocha", "given" : "Adrian", "non-dropping-particle" : "", "parse-names" : false, "suffix" : "" }, { "dropping-particle" : "", "family" : "Tank", "given" : "Suzanne", "non-dropping-particle" : "", "parse-names" : false, "suffix" : "" }, { "dropping-particle" : "", "family" : "Turetsky", "given" : "Merritt", "non-dropping-particle" : "", "parse-names" : false, "suffix" : "" }, { "dropping-particle" : "", "family" : "Vonk", "given" : "J E", "non-dropping-particle" : "", "parse-names" : false, "suffix" : "" }, { "dropping-particle" : "", "family" : "Wickland", "given" : "Kimberly P", "non-dropping-particle" : "", "parse-names" : false, "suffix" : "" }, { "dropping-particle" : "", "family" : "Aiken", "given" : "George R", "non-dropping-particle" : "", "parse-names" : false, "suffix" : "" }, { "dropping-particle" : "", "family" : "Alexander", "given" : "Heather", "non-dropping-particle" : "", "parse-names" : false, "suffix" : "" }, { "dropping-particle" : "", "family" : "Amon", "given" : "Rainer M W", "non-dropping-particle" : "", "parse-names" : false, "suffix" : "" }, { "dropping-particle" : "", "family" : "Welker", "given" : "Jeffrey", "non-dropping-particle" : "", "parse-names" : false, "suffix" : "" } ], "container-title" : "Environmental Research Letters", "id" : "ITEM-1", "issue" : "3", "issued" : { "date-parts" : [ [ "2016" ] ] }, "page" : "034014", "title" : "Biomass offsets little or none of permafrost carbon release from soils, streams, and wildfire: an expert assessment", "type" : "article-journal", "volume" : "11" }, "uris" : [ "http://www.mendeley.com/documents/?uuid=e4a38dda-dd29-4664-b63e-4445be00eafa", "http://www.mendeley.com/documents/?uuid=e04aaa51-1e47-4d9d-8054-21e2b663ea54" ] }, { "id" : "ITEM-2", "itemData" : { "DOI" : "10.1890/150063", "ISBN" : "1540-9295", "ISSN" : "1540-9295", "abstract" : "Anthropogenic climate change may result in novel disturbances to Arctic tundra ecosystems. Understanding the natural variability of tundra-fire regimes and their linkages to climate is essential in evaluating whether tundra burning has increased in recent years. Historical observations and charcoal records from lake sediments reveal a wide range of fire regimes in Arctic tundra, with fire-return intervals varying from decades to millennia. Analysis of historical data shows strong climate-fire relationships, with threshold effects of summer temperature and precipitation. Projections based on 21st-century climate scenarios suggest that annual area burned will approximately double in Alaskan tundra by the end of the century. Fires can release ancient carbon from tundra ecosystems and catalyze other biogeochemical and biophysical changes, with local to global consequences. Given the increased likelihood of tundra burning in coming decades, land managers and policy makers need to consider the ecological and socioeconomic impacts of fire in the Far North.", "author" : [ { "dropping-particle" : "", "family" : "Hu", "given" : "Feng Sheng", "non-dropping-particle" : "", "parse-names" : false, "suffix" : "" }, { "dropping-particle" : "", "family" : "Higuera", "given" : "Philip E", "non-dropping-particle" : "", "parse-names" : false, "suffix" : "" }, { "dropping-particle" : "", "family" : "Duffy", "given" : "Paul", "non-dropping-particle" : "", "parse-names" : false, "suffix" : "" }, { "dropping-particle" : "", "family" : "Chipman", "given" : "Melissa L", "non-dropping-particle" : "", "parse-names" : false, "suffix" : "" }, { "dropping-particle" : "V", "family" : "Rocha", "given" : "Adrian", "non-dropping-particle" : "", "parse-names" : false, "suffix" : "" }, { "dropping-particle" : "", "family" : "Young", "given" : "Adam M", "non-dropping-particle" : "", "parse-names" : false, "suffix" : "" }, { "dropping-particle" : "", "family" : "Kelly", "given" : "Ryan", "non-dropping-particle" : "", "parse-names" : false, "suffix" : "" }, { "dropping-particle" : "", "family" : "Dietze", "given" : "Michael C", "non-dropping-particle" : "", "parse-names" : false, "suffix" : "" } ], "container-title" : "Frontiers in Ecology and the Environment", "id" : "ITEM-2", "issue" : "7", "issued" : { "date-parts" : [ [ "2015", "9" ] ] }, "page" : "369-377", "title" : "Arctic tundra fires: natural variability and responses to climate change", "type" : "article-journal", "volume" : "13" }, "uris" : [ "http://www.mendeley.com/documents/?uuid=168248e9-c2c3-4289-98ce-b44d5937bcb1", "http://www.mendeley.com/documents/?uuid=10ab648d-480b-45ce-9b73-ff3d33bc93fe" ] }, { "id" : "ITEM-3", "itemData" : { "author" : [ { "dropping-particle" : "", "family" : "Lara, M. J., Johnson, D. R., Andresen, C., Hollister, R. D., &amp; Tweedie", "given" : "C. E.", "non-dropping-particle" : "", "parse-names" : false, "suffix" : "" } ], "container-title" : "Journal of Ecology", "id" : "ITEM-3", "issue" : "1", "issued" : { "date-parts" : [ [ "2017" ] ] }, "page" : "122-131", "title" : "Peak season carbon exchange shifts from a sink to a source following 50+ years of herbivore exclusion in an Arctic tundra ecosystem", "type" : "article-journal", "volume" : "105" }, "uris" : [ "http://www.mendeley.com/documents/?uuid=d61c8aa4-20e8-353a-8d74-e09ee6e0c2e8", "http://www.mendeley.com/documents/?uuid=442104f1-a8de-4ac6-9edf-a008ceb30168" ] }, { "id" : "ITEM-4", "itemData" : { "DOI" : "10.1002/2013JG002569", "ISBN" : "2169-8953", "ISSN" : "21698961", "abstract" : "Permafrost thaw and its impacts on ecosystem carbon (C) dynamics are critical for predicting global climate change. It remains unclear whether annual and seasonal warming (winter or summer) affect permafrost thaw and ecosystem C balance differently. It is also required to compare the short-term stepwise warming and long-term gradual warming effects. This study validated a land surface model, the Community Atmosphere Biosphere Land Exchange model, at an Alaskan tundra site, and then used it to simulate permafrost thaw and ecosystem C flux under annual warming, winter warming, and summer warming. The simulations were conducted under stepwise air warming (2\u00b0C yr?1) during 2007\u20132011, and gradual air warming (0.04\u00b0C yr?1) during 2007\u20132056. We hypothesized that all warming treatments induced greater permafrost thaw, and larger ecosystem respiration than plant growth thus shifting the ecosystem C sink to C source. Results only partially supported our hypothesis. Climate warming further enhanced C sink under stepwise (6\u201315%) and gradual (1\u20138%) warming scenarios as followed by annual warming, winter warming, and summer warming. This is attributed to disproportionally low temperature increase in soil (0.1\u00b0C) in comparison to air warming (2\u00b0C). In a separate simulation, a greater soil warming (1.5\u00b0C under winter warming) led to a net ecosystem C source (i.e., 18gCm?2 yr?1). This suggests that warming tundra can potentially provide positive feedbacks to global climate change. As a key variable, soil temperature and its dynamics, especially during wintertime, need to be carefully studied under global warming using both modeling and experimental approaches.", "author" : [ { "dropping-particle" : "", "family" : "Li", "given" : "Jianwei", "non-dropping-particle" : "", "parse-names" : false, "suffix" : "" }, { "dropping-particle" : "", "family" : "Luo", "given" : "Yiqi", "non-dropping-particle" : "", "parse-names" : false, "suffix" : "" }, { "dropping-particle" : "", "family" : "Natali", "given" : "Susan", "non-dropping-particle" : "", "parse-names" : false, "suffix" : "" }, { "dropping-particle" : "", "family" : "Schuur", "given" : "Edward A G", "non-dropping-particle" : "", "parse-names" : false, "suffix" : "" }, { "dropping-particle" : "", "family" : "Xia", "given" : "Jianyang", "non-dropping-particle" : "", "parse-names" : false, "suffix" : "" }, { "dropping-particle" : "", "family" : "Kowalczyk", "given" : "Eva", "non-dropping-particle" : "", "parse-names" : false, "suffix" : "" }, { "dropping-particle" : "", "family" : "Wang", "given" : "Yingping", "non-dropping-particle" : "", "parse-names" : false, "suffix" : "" } ], "container-title" : "Journal of Geophysical Research: Biogeosciences", "id" : "ITEM-4", "issued" : { "date-parts" : [ [ "2014" ] ] }, "title" : "Modeling permafrost thaw and ecosystem carbon cycle under annual and seasonal warming at an Arctic tundra site in Alaska", "type" : "article-journal" }, "uris" : [ "http://www.mendeley.com/documents/?uuid=bde2754f-d47f-4e94-a563-4e905990cf1d", "http://www.mendeley.com/documents/?uuid=3385a91d-57d7-4663-beed-31acaf11e448" ] }, { "id" : "ITEM-5", "itemData" : { "DOI" : "10.1038/nature02887", "ISBN" : "0028-0836", "ISSN" : "1476-4687", "PMID" : "15386009", "abstract" : "Global warming is predicted to be most pronounced at high latitudes, and observational evidence over the past 25 years suggests that this warming is already under way. One-third of the global soil carbon pool is stored in northern latitudes, so there is considerable interest in understanding how the carbon balance of northern ecosystems will respond to climate warming. Observations of controls over plant productivity in tundra and boreal ecosystems have been used to build a conceptual model of response to warming, where warmer soils and increased decomposition of plant litter increase nutrient availability, which, in turn, stimulates plant production and increases ecosystem carbon storage. Here we present the results of a long-term fertilization experiment in Alaskan tundra, in which increased nutrient availability caused a net ecosystem loss of almost 2,000 grams of carbon per square meter over 20 years. We found that annual aboveground plant production doubled during the experiment. Losses of carbon and nitrogen from deep soil layers, however, were substantial and more than offset the increased carbon and nitrogen storage in plant biomass and litter. Our study suggests that projected release of soil nutrients associated with high-latitude warming may further amplify carbon release from soils, causing a net loss of ecosystem carbon and a positive feedback to climate warming.", "author" : [ { "dropping-particle" : "", "family" : "Mack", "given" : "Michelle C", "non-dropping-particle" : "", "parse-names" : false, "suffix" : "" }, { "dropping-particle" : "", "family" : "Schuur", "given" : "Edward AG", "non-dropping-particle" : "", "parse-names" : false, "suffix" : "" }, { "dropping-particle" : "", "family" : "Bret-Harte", "given" : "M Syndonia", "non-dropping-particle" : "", "parse-names" : false, "suffix" : "" }, { "dropping-particle" : "", "family" : "Shaver", "given" : "Gaius R", "non-dropping-particle" : "", "parse-names" : false, "suffix" : "" }, { "dropping-particle" : "", "family" : "Chapin III", "given" : "F Stuart", "non-dropping-particle" : "", "parse-names" : false, "suffix" : "" } ], "container-title" : "Nature", "id" : "ITEM-5", "issued" : { "date-parts" : [ [ "2004" ] ] }, "title" : "Ecosystem carbon storage in arctic tundra reduced by long-term nutrient fertilization", "type" : "article-journal" }, "uris" : [ "http://www.mendeley.com/documents/?uuid=7bc0cb79-1512-41c0-a88d-ef93b12ba523", "http://www.mendeley.com/documents/?uuid=2d79c914-f037-42fa-89bb-f05ff55acda5" ] }, { "id" : "ITEM-6", "itemData" : { "DOI" : "10.1002/2014JG002872", "ISBN" : "2169-8953", "ISSN" : "21698961", "abstract" : "As permafrost degrades, the amount of organic soil carbon (C) that thaws during the growing season will increase, but decompositionmay be limited by saturated soil conditions common in high-latitude ecosystems. However, in some areas, soil drying is expected to accompany permafrost thaw as a result of increased water drainage, which may enhance C release to the atmosphere. We examined the effects of ecosystem warming, permafrost thaw, and soilmoisture changes on C balance in an upland tundra ecosystem. This study was conducted at a water table drawdown experiment, established in 2011 and located within the Carbon in Permafrost Experimental Heating Research project, an ecosystem warming and permafrost thawing experiment inAlaska.Warming and drying increased cumulative growing season ecosystemrespiration by ~20% over 3years of this experiment. Warming caused an almost twofold increase in decomposition of a common substrate in surface soil (0\u201310 cm) across all years, and drying caused a twofold increase in decomposition (0\u201320 cm) relative to control after 3 years of drying. Decomposition of older C increased in the dried and in the combined warmed+dried plots based on soil pore space 14CO2. Although upland tundra systems have been considered CH4 sinks, warming and ground thaw significantly increased CH4 emission rates. Water table depth was positively correlated with monthly respiration and negatively correlated with CH4 emission rates. These results demonstrate that warming and drying may increase loss of old permafrost C from tundra ecosystems, but the form andmagnitude of C released to the atmosphere will be driven by changes in soilmoisture.", "author" : [ { "dropping-particle" : "", "family" : "Natali", "given" : "Susan M.", "non-dropping-particle" : "", "parse-names" : false, "suffix" : "" }, { "dropping-particle" : "", "family" : "Schuur", "given" : "Edward A G", "non-dropping-particle" : "", "parse-names" : false, "suffix" : "" }, { "dropping-particle" : "", "family" : "Mauritz", "given" : "Marguerite", "non-dropping-particle" : "", "parse-names" : false, "suffix" : "" }, { "dropping-particle" : "", "family" : "Schade", "given" : "John D.", "non-dropping-particle" : "", "parse-names" : false, "suffix" : "" }, { "dropping-particle" : "", "family" : "Celis", "given" : "Gerardo", "non-dropping-particle" : "", "parse-names" : false, "suffix" : "" }, { "dropping-particle" : "", "family" : "Crummer", "given" : "Kathryn G.", "non-dropping-particle" : "", "parse-names" : false, "suffix" : "" }, { "dropping-particle" : "", "family" : "Johnston", "given" : "Catherine", "non-dropping-particle" : "", "parse-names" : false, "suffix" : "" }, { "dropping-particle" : "", "family" : "Krapek", "given" : "John", "non-dropping-particle" : "", "parse-names" : false, "suffix" : "" }, { "dropping-particle" : "", "family" : "Pegoraro", "given" : "Elaine", "non-dropping-particle" : "", "parse-names" : false, "suffix" : "" }, { "dropping-particle" : "", "family" : "Salmon", "given" : "Verity G.", "non-dropping-particle" : "", "parse-names" : false, "suffix" : "" }, { "dropping-particle" : "", "family" : "Webb", "given" : "Elizabeth E.", "non-dropping-particle" : "", "parse-names" : false, "suffix" : "" } ], "container-title" : "Journal of Geophysical Research G: Biogeosciences", "id" : "ITEM-6", "issued" : { "date-parts" : [ [ "2015" ] ] }, "title" : "Permafrost thaw and soil moisture driving CO2 and CH4 release from upland tundra", "type" : "article-journal" }, "uris" : [ "http://www.mendeley.com/documents/?uuid=1edf2a06-81d2-3c23-a65a-d9499830ae22", "http://www.mendeley.com/documents/?uuid=d6625646-0f1f-4d43-b598-9d22cae7b62d" ] }, { "id" : "ITEM-7", "itemData" : { "DOI" : "10.1007/s10584-013-0730-7", "ISBN" : "0165-0009", "ISSN" : "01650009", "PMID" : "16525463", "abstract" : "Approximately 1700 Pg of soil carbon (C) are stored in the northern circumpolar permafrost zone, more than twice as much C than in the atmosphere. The overall amount, rate, and form of C released to the atmosphere in a warmer world will influence the strength of the permafrost C feedback to climate change.We used a survey to quantify variability in the perception of the vulnerability of permafrostCto climate change. Expertswere asked to provide quantitative estimates of permafrost change in response to four scenarios of warming. For the highest warming scenario (RCP 8.5), experts hypothesized that C release frompermafrost zone soils could be 19\u201345 Pg C by 2040, 162\u2013288 Pg C by 2100, and 381\u2013616 Pg C by 2300 in CO2 equivalent using 100-year CH4 global warming potential (GWP). These values become 50 % larger using 20-year CH4GWP, with a third to a half of expected climate forcing coming from CH4 even though CH4 was only 2.3 % of the expected C release. Experts projected that two- thirds of this release could be avoided under the lowest warming scenario (RCP 2.6). These results highlight the potential risk from permafrost thaw and serve to frame a hypothesis about the magnitude of this feedback to climate change. However, the level of emissions proposed here are unlikely to overshadow the impact of fossil fuel burning, which will continue to be the main source of C emissions and climate forcing. Abbreviations", "author" : [ { "dropping-particle" : "", "family" : "Schuur", "given" : "E. A G", "non-dropping-particle" : "", "parse-names" : false, "suffix" : "" }, { "dropping-particle" : "", "family" : "Abbott", "given" : "B. W.", "non-dropping-particle" : "", "parse-names" : false, "suffix" : "" }, { "dropping-particle" : "", "family" : "Bowden", "given" : "W. B.", "non-dropping-particle" : "", "parse-names" : false, "suffix" : "" }, { "dropping-particle" : "", "family" : "Brovkin", "given" : "V.", "non-dropping-particle" : "", "parse-names" : false, "suffix" : "" }, { "dropping-particle" : "", "family" : "Camill", "given" : "P.", "non-dropping-particle" : "", "parse-names" : false, "suffix" : "" }, { "dropping-particle" : "", "family" : "Canadell", "given" : "J. G.", "non-dropping-particle" : "", "parse-names" : false, "suffix" : "" }, { "dropping-particle" : "", "family" : "Chanton", "given" : "J. P.", "non-dropping-particle" : "", "parse-names" : false, "suffix" : "" }, { "dropping-particle" : "", "family" : "Chapin", "given" : "F. S.", "non-dropping-particle" : "", "parse-names" : false, "suffix" : "" }, { "dropping-particle" : "", "family" : "Christensen", "given" : "T. R.", "non-dropping-particle" : "", "parse-names" : false, "suffix" : "" }, { "dropping-particle" : "", "family" : "Ciais", "given" : "P.", "non-dropping-particle" : "", "parse-names" : false, "suffix" : "" }, { "dropping-particle" : "", "family" : "Crosby", "given" : "B. T.", "non-dropping-particle" : "", "parse-names" : false, "suffix" : "" }, { "dropping-particle" : "", "family" : "Czimczik", "given" : "C. I.", "non-dropping-particle" : "", "parse-names" : false, "suffix" : "" }, { "dropping-particle" : "", "family" : "Grosse", "given" : "G.", "non-dropping-particle" : "", "parse-names" : false, "suffix" : "" }, { "dropping-particle" : "", "family" : "Harden", "given" : "J.", "non-dropping-particle" : "", "parse-names" : false, "suffix" : "" }, { "dropping-particle" : "", "family" : "Hayes", "given" : "D. J.", "non-dropping-particle" : "", "parse-names" : false, "suffix" : "" }, { "dropping-particle" : "", "family" : "Hugelius", "given" : "G.", "non-dropping-particle" : "", "parse-names" : false, "suffix" : "" }, { "dropping-particle" : "", "family" : "Jastrow", "given" : "J. D.", "non-dropping-particle" : "", "parse-names" : false, "suffix" : "" }, { "dropping-particle" : "", "family" : "Jones", "given" : "J. B.", "non-dropping-particle" : "", "parse-names" : false, "suffix" : "" }, { "dropping-particle" : "", "family" : "Kleinen", "given" : "T.", "non-dropping-particle" : "", "parse-names" : false, "suffix" : "" }, { "dropping-particle" : "", "family" : "Koven", "given" : "C. D.", "non-dropping-particle" : "", "parse-names" : false, "suffix" : "" }, { "dropping-particle" : "", "family" : "Krinner", "given" : "G.", "non-dropping-particle" : "", "parse-names" : false, "suffix" : "" }, { "dropping-particle" : "", "family" : "Kuhry", "given" : "P.", "non-dropping-particle" : "", "parse-names" : false, "suffix" : "" }, { "dropping-particle" : "", "family" : "Lawrence", "given" : "D. M.", "non-dropping-particle" : "", "parse-names" : false, "suffix" : "" }, { "dropping-particle" : "", "family" : "McGuire", "given" : "A. D.", "non-dropping-particle" : "", "parse-names" : false, "suffix" : "" }, { "dropping-particle" : "", "family" : "Natali", "given" : "S. M.", "non-dropping-particle" : "", "parse-names" : false, "suffix" : "" }, { "dropping-particle" : "", "family" : "O'Donnell", "given" : "J. A.", "non-dropping-particle" : "", "parse-names" : false, "suffix" : "" }, { "dropping-particle" : "", "family" : "Ping", "given" : "C. L.", "non-dropping-particle" : "", "parse-names" : false, "suffix" : "" }, { "dropping-particle" : "", "family" : "Riley", "given" : "W. J.", "non-dropping-particle" : "", "parse-names" : false, "suffix" : "" }, { "dropping-particle" : "", "family" : "Rinke", "given" : "A.", "non-dropping-particle" : "", "parse-names" : false, "suffix" : "" }, { "dropping-particle" : "", "family" : "Romanovsky", "given" : "V. E.", "non-dropping-particle" : "", "parse-names" : false, "suffix" : "" }, { "dropping-particle" : "", "family" : "Sannel", "given" : "A. B K", "non-dropping-particle" : "", "parse-names" : false, "suffix" : "" }, { "dropping-particle" : "", "family" : "Sch\u00e4del", "given" : "C.", "non-dropping-particle" : "", "parse-names" : false, "suffix" : "" }, { "dropping-particle" : "", "family" : "Schaefer", "given" : "K.", "non-dropping-particle" : "", "parse-names" : false, "suffix" : "" }, { "dropping-particle" : "", "family" : "Sky", "given" : "J.", "non-dropping-particle" : "", "parse-names" : false, "suffix" : "" }, { "dropping-particle" : "", "family" : "Subin", "given" : "Z. M.", "non-dropping-particle" : "", "parse-names" : false, "suffix" : "" }, { "dropping-particle" : "", "family" : "Tarnocai", "given" : "C.", "non-dropping-particle" : "", "parse-names" : false, "suffix" : "" }, { "dropping-particle" : "", "family" : "Turetsky", "given" : "M. R.", "non-dropping-particle" : "", "parse-names" : false, "suffix" : "" }, { "dropping-particle" : "", "family" : "Waldrop", "given" : "M. P.", "non-dropping-particle" : "", "parse-names" : false, "suffix" : "" }, { "dropping-particle" : "", "family" : "Walter Anthony", "given" : "K. M.", "non-dropping-particle" : "", "parse-names" : false, "suffix" : "" }, { "dropping-particle" : "", "family" : "Wickland", "given" : "K. P.", "non-dropping-particle" : "", "parse-names" : false, "suffix" : "" }, { "dropping-particle" : "", "family" : "Wilson", "given" : "C. J.", "non-dropping-particle" : "", "parse-names" : false, "suffix" : "" }, { "dropping-particle" : "", "family" : "Zimov", "given" : "S. A.", "non-dropping-particle" : "", "parse-names" : false, "suffix" : "" } ], "container-title" : "Climatic Change", "id" : "ITEM-7", "issued" : { "date-parts" : [ [ "2013" ] ] }, "title" : "Expert assessment of vulnerability of permafrost carbon to climate change", "type" : "article-journal" }, "uris" : [ "http://www.mendeley.com/documents/?uuid=3021e163-7a7b-34e5-9c8d-87be7208413a", "http://www.mendeley.com/documents/?uuid=9ce7a981-fd5f-412f-b19e-9c07444e2393" ] }, { "id" : "ITEM-8", "itemData" : { "DOI" : "10.1038/nature14338", "ISBN" : "0028-0836", "ISSN" : "0028-0836", "PMID" : "25855454", "abstract" : "Large quantities of organic carbon are stored in frozen soils (permafrost) within Arctic and sub-Arctic regions. A warming climate can induce environmental changes that accelerate the microbial breakdown of organic carbon and the release of the greenhouse gases carbon dioxide and methane. This feedback can accelerate climate change, but the magnitude and timing of greenhouse gas emission from these regions and their impact on climate change remain uncertain. Here we find that current evidence suggests a gradual and prolonged release of greenhouse gas emissions in a warming climate and present a research strategy with which to target poorly understood aspects of permafrost carbon dynamics", "author" : [ { "dropping-particle" : "", "family" : "Schuur", "given" : "E A G", "non-dropping-particle" : "", "parse-names" : false, "suffix" : "" }, { "dropping-particle" : "", "family" : "McGuire", "given" : "A D", "non-dropping-particle" : "", "parse-names" : false, "suffix" : "" }, { "dropping-particle" : "", "family" : "Grosse", "given" : "G", "non-dropping-particle" : "", "parse-names" : false, "suffix" : "" }, { "dropping-particle" : "", "family" : "Harden", "given" : "J W", "non-dropping-particle" : "", "parse-names" : false, "suffix" : "" }, { "dropping-particle" : "", "family" : "Hayes", "given" : "D J", "non-dropping-particle" : "", "parse-names" : false, "suffix" : "" }, { "dropping-particle" : "", "family" : "Hugelius", "given" : "G", "non-dropping-particle" : "", "parse-names" : false, "suffix" : "" }, { "dropping-particle" : "", "family" : "Koven", "given" : "C D", "non-dropping-particle" : "", "parse-names" : false, "suffix" : "" }, { "dropping-particle" : "", "family" : "Kuhry", "given" : "P", "non-dropping-particle" : "", "parse-names" : false, "suffix" : "" } ], "container-title" : "Nature", "id" : "ITEM-8", "issue" : "January 2016", "issued" : { "date-parts" : [ [ "2015" ] ] }, "page" : "171-179", "title" : "Climate change and the permafrost carbon feedback", "type" : "article-journal", "volume" : "520" }, "uris" : [ "http://www.mendeley.com/documents/?uuid=818fd61e-48f7-426c-bf2d-29fe6e7894b1", "http://www.mendeley.com/documents/?uuid=de442edf-ca73-4a78-b1f0-3029d4c22ce1" ] }, { "id" : "ITEM-9", "itemData" : { "DOI" : "10.1038/nature12129", "ISBN" : "0028-0836", "ISSN" : "1476-4687", "PMID" : "23676669", "abstract" : "High latitudes contain nearly half of global soil carbon, prompting interest in understanding how the Arctic terrestrial carbon balance will respond to rising temperatures. Low temperatures suppress the activity of soil biota, retarding decomposition and nitrogen release, which limits plant and microbial growth. Warming initially accelerates decomposition, increasing nitrogen availability, productivity and woody-plant dominance. However, these responses may be transitory, because coupled abiotic-biotic feedback loops that alter soil-temperature dynamics and change the structure and activity of soil communities, can develop. Here we report the results of a two-decade summer warming experiment in an Alaskan tundra ecosystem. Warming increased plant biomass and woody dominance, indirectly increased winter soil temperature, homogenized the soil trophic structure across horizons and suppressed surface-soil-decomposer activity, but did not change total soil carbon or nitrogen stocks, thereby increasing net ecosystem carbon storage. Notably, the strongest effects were in the mineral horizon, where warming increased decomposer activity and carbon stock: a 'biotic awakening' at depth.", "author" : [ { "dropping-particle" : "", "family" : "Sistla", "given" : "Seeta a", "non-dropping-particle" : "", "parse-names" : false, "suffix" : "" }, { "dropping-particle" : "", "family" : "Moore", "given" : "John C", "non-dropping-particle" : "", "parse-names" : false, "suffix" : "" }, { "dropping-particle" : "", "family" : "Simpson", "given" : "Rodney T", "non-dropping-particle" : "", "parse-names" : false, "suffix" : "" }, { "dropping-particle" : "", "family" : "Gough", "given" : "Laura", "non-dropping-particle" : "", "parse-names" : false, "suffix" : "" }, { "dropping-particle" : "", "family" : "Shaver", "given" : "Gaius R", "non-dropping-particle" : "", "parse-names" : false, "suffix" : "" }, { "dropping-particle" : "", "family" : "Schimel", "given" : "Joshua P", "non-dropping-particle" : "", "parse-names" : false, "suffix" : "" } ], "container-title" : "Nature", "id" : "ITEM-9", "issued" : { "date-parts" : [ [ "2013" ] ] }, "title" : "Long-term warming restructures Arctic tundra without changing net soil carbon storage.", "type" : "article-journal" }, "uris" : [ "http://www.mendeley.com/documents/?uuid=786189d8-4e38-37f9-8e51-8239ada96002", "http://www.mendeley.com/documents/?uuid=84a9abf0-7c0c-455a-8a2f-aef57bad967a" ] }, { "id" : "ITEM-10", "itemData" : { "DOI" : "10.1890/1051-0761(2007)017[0213:ATCBOC]2.0.CO;2", "ISBN" : "1051-0761", "ISSN" : "10510761", "PMID" : "17479847", "abstract" : "This paper reviews the current status of using remote sensing and process-based modeling approaches to assess the contemporary and future circumpolar carbon balance of Arctic tundra, including the exchange of both carbon dioxide and methane with the atmosphere. Analyses based on remote sensing approaches that use a 20-year data record of satellite data indicate that tundra is greening in the Arctic, suggesting an increase in photosynthetic activity and net primary production. Modeling studies generally simulate a small net carbon sink for the distribution of Arctic tundra, a result that is within the uncertainty range of field-based estimates of net carbon exchange. Applications of process-based approaches for scenarios of future climate change generally indicate net carbon sequestration in Arctic tundra as enhanced vegetation production exceeds simulated increases in decomposition. However, methane emissions are likely to increase dramatically, in response to rising soil temperatures, over the next century. Key uncertainties in the response of Arctic ecosystems to climate change include uncertainties in future fire regimes and uncertainties relating to changes in the soil environment. These include the response of soil decomposition and respiration to warming and deepening of the soil active layer, uncertainties in precipitation and potential soil drying, and distribution of wetlands. While there are numerous uncertainties in the projections of process-based models, they generally indicate that Arctic tundra will be a small sink for carbon over the next century and that methane emissions will increase considerably, which implies that exchange of greenhouse gases between the atmosphere and Arctic tundra ecosystems is likely to contribute to climate warming.", "author" : [ { "dropping-particle" : "", "family" : "Sitch", "given" : "Stephen", "non-dropping-particle" : "", "parse-names" : false, "suffix" : "" }, { "dropping-particle" : "", "family" : "David Mcguire", "given" : "A.", "non-dropping-particle" : "", "parse-names" : false, "suffix" : "" }, { "dropping-particle" : "", "family" : "Kimball", "given" : "John", "non-dropping-particle" : "", "parse-names" : false, "suffix" : "" }, { "dropping-particle" : "", "family" : "Gedney", "given" : "Nicola", "non-dropping-particle" : "", "parse-names" : false, "suffix" : "" }, { "dropping-particle" : "", "family" : "Gamon", "given" : "John", "non-dropping-particle" : "", "parse-names" : false, "suffix" : "" }, { "dropping-particle" : "", "family" : "Engstrom", "given" : "Ryan", "non-dropping-particle" : "", "parse-names" : false, "suffix" : "" }, { "dropping-particle" : "", "family" : "Wolf", "given" : "Annett", "non-dropping-particle" : "", "parse-names" : false, "suffix" : "" }, { "dropping-particle" : "", "family" : "Zhuang", "given" : "Qianlai", "non-dropping-particle" : "", "parse-names" : false, "suffix" : "" }, { "dropping-particle" : "", "family" : "Clein", "given" : "Joy", "non-dropping-particle" : "", "parse-names" : false, "suffix" : "" }, { "dropping-particle" : "", "family" : "McDonald", "given" : "Kyle C.", "non-dropping-particle" : "", "parse-names" : false, "suffix" : "" } ], "container-title" : "Ecological Applications", "id" : "ITEM-10", "issued" : { "date-parts" : [ [ "2007" ] ] }, "title" : "Assessing the carbon balance of circumpolar Arctic tundra using remote sensing and process modeling", "type" : "article" }, "uris" : [ "http://www.mendeley.com/documents/?uuid=0b409407-e009-34e8-ae01-120065d247ef", "http://www.mendeley.com/documents/?uuid=7738b4a3-7e3b-49c3-b627-fb7c5992c54e" ] }, { "id" : "ITEM-11", "itemData" : { "DOI" : "10.1111/gcb.12852", "ISSN" : "13652486", "PMID" : "25556338", "abstract" : "Satellite studies of the terrestrial Arctic report increased summer greening and longer overall growing and peak seasons since the 1980s, which increases productivity and the period of carbon uptake. These trends are attributed to increasing air temperatures and reduced snow cover duration in spring and fall. Concurrently, deciduous shrubs are becoming increasingly abundant in tundra landscapes, which may also impact canopy phenology and productivity. Our aim was to determine the influence of greater deciduous shrub abundance on tundra canopy phenology and subsequent impacts on net ecosystem carbon exchange (NEE) during the growing and peak seasons in the arctic foothills region of Alaska. We compared deciduous shrub-dominated and evergreen/graminoid-dominated community-level canopy phenology throughout the growing season using the normalized difference vegetation index (NDVI). We used a tundra plant-community-specific leaf area index (LAI) model to estimate LAI throughout the green season and a tundra-specific NEE model to estimate the impact of greater deciduous shrub abundance and associated shifts in both leaf area and canopy phenology on tundra carbon flux. We found that deciduous shrub canopies reached the onset of peak greenness 13 days earlier and the onset of senescence 3 days earlier compared to evergreen/graminoid canopies, resulting in a 10-day extension of the peak season. The combined effect of the longer peak season and greater leaf area of deciduous shrub canopies almost tripled the modeled net carbon uptake of deciduous shrub communities compared to evergreen/graminoid communities, while the longer peak season alone resulted in 84% greater carbon uptake in deciduous shrub communities. These results suggest that greater deciduous shrub abundance increases carbon uptake not only due to greater leaf area, but also due to an extension of the period of peak greenness, which extends the period of maximum carbon uptake.", "author" : [ { "dropping-particle" : "", "family" : "Sweet", "given" : "Shannan K.", "non-dropping-particle" : "", "parse-names" : false, "suffix" : "" }, { "dropping-particle" : "", "family" : "Griffin", "given" : "Kevin L.", "non-dropping-particle" : "", "parse-names" : false, "suffix" : "" }, { "dropping-particle" : "", "family" : "Steltzer", "given" : "Heidi", "non-dropping-particle" : "", "parse-names" : false, "suffix" : "" }, { "dropping-particle" : "", "family" : "Gough", "given" : "Laura", "non-dropping-particle" : "", "parse-names" : false, "suffix" : "" }, { "dropping-particle" : "", "family" : "Boelman", "given" : "Natalie T.", "non-dropping-particle" : "", "parse-names" : false, "suffix" : "" } ], "container-title" : "Global Change Biology", "id" : "ITEM-11", "issued" : { "date-parts" : [ [ "2015" ] ] }, "title" : "Greater deciduous shrub abundance extends tundra peak season and increases modeled net CO2 uptake", "type" : "article-journal" }, "uris" : [ "http://www.mendeley.com/documents/?uuid=1a838853-716b-3a52-9ce9-135f91eabb64", "http://www.mendeley.com/documents/?uuid=bef240f5-c9b6-49c1-9ecf-90bd011b1e0e" ] }, { "id" : "ITEM-12", "itemData" : { "DOI" : "10.1002/2014JG002795", "ISBN" : "2169-8961", "ISSN" : "21698953", "abstract" : "Permafrost soils currently store approximately 1672 Pg of carbon (C), but as high latitudes warm, this temperature-protected C reservoir will become vulnerable to higher rates of decomposition. In recent decades, air temperatures in the high latitudes have warmed more than any other region globally, particularly during the winter. Over the coming century, the arctic winter is also expected to experience the most warming of any region or season, yet it is notably understudied. Here we present non-summer season (NSS) CO2 flux data from the Carbon in Permafrost Experimental Heating Research (CiPEHR) project, an ecosystem warming experiment of moist acidic tussock tundra in interior Alaska. Our goals were to quantify the relationship between environmental variables and winter CO2 production, account for subnivean photosynthesis and late fall plant C uptake in our estimate of NSS CO2 exchange, constrain NSS CO2 loss estimates using multiple methods of measuring winter CO2 flux, and quantify the effect of winter soil warming on total NSS CO2 balance. We measured CO2 flux using four methods: two chamber techniques (the snow pit method and one where a chamber is left under the snow for the entire season), eddy covariance, and soda lime adsorption, and found that NSS CO2 loss varied up to 4 fold, depending on the method used. CO2 production was dependent on soil temperature and day of season but atmospheric pressure and air temperature were also important in explaining CO2 diffusion out of the soil. Warming stimulated both ecosystem respiration and productivity during the NSS and increased overall CO2 loss during this period by 14% (this effect varied by year, ranging from 7 to 24%). When combined with the summertime CO2 fluxes from the same site, our results suggest that this sub-arctic tundra ecosystem is shifting away from its historical function as a C sink to a C source.", "author" : [ { "dropping-particle" : "", "family" : "Webb", "given" : "Elizabeth E.", "non-dropping-particle" : "", "parse-names" : false, "suffix" : "" }, { "dropping-particle" : "", "family" : "Schuur", "given" : "Edward A G", "non-dropping-particle" : "", "parse-names" : false, "suffix" : "" }, { "dropping-particle" : "", "family" : "Natali", "given" : "Susan M.", "non-dropping-particle" : "", "parse-names" : false, "suffix" : "" }, { "dropping-particle" : "", "family" : "Oken", "given" : "Kiva L.", "non-dropping-particle" : "", "parse-names" : false, "suffix" : "" }, { "dropping-particle" : "", "family" : "Bracho", "given" : "Rosvel", "non-dropping-particle" : "", "parse-names" : false, "suffix" : "" }, { "dropping-particle" : "", "family" : "Krapek", "given" : "John P.", "non-dropping-particle" : "", "parse-names" : false, "suffix" : "" }, { "dropping-particle" : "", "family" : "Risk", "given" : "David", "non-dropping-particle" : "", "parse-names" : false, "suffix" : "" }, { "dropping-particle" : "", "family" : "Nickerson", "given" : "Nick R.", "non-dropping-particle" : "", "parse-names" : false, "suffix" : "" } ], "container-title" : "Journal of Geophysical Research: Biogeosciences", "id" : "ITEM-12", "issue" : "2", "issued" : { "date-parts" : [ [ "2016", "2" ] ] }, "page" : "249-265", "title" : "Increased wintertime CO 2 loss as a result of sustained tundra warming", "type" : "article-journal", "volume" : "121" }, "uris" : [ "http://www.mendeley.com/documents/?uuid=3a4bde53-67aa-3d38-9d22-685704673617", "http://www.mendeley.com/documents/?uuid=6f0fc8ee-a8e1-4ce8-bbf2-f2471a221020" ] } ], "mendeley" : { "formattedCitation" : "(Abb</w:instrText>
      </w:r>
      <w:r w:rsidRPr="008608AA">
        <w:rPr>
          <w:rFonts w:eastAsia="Droid Sans Fallback"/>
          <w:lang w:val="fr-CA"/>
        </w:rPr>
        <w:instrText>ott et al., 2016; F. S. Hu et al., 2015; Lara, M. J., Johnson, D. R., Andresen, C., Hollister, R. D., &amp; Tweedie, 2017; Li et al., 2014; Mack, Schuur, Bret-Harte, Shaver, &amp; Chapin III, 2004; Natali et al., 2015; Schuur et al., 2013, 2015; Sistla et al., 2013; Sitch et al., 2007; Sweet, Griffin, Steltzer, Gough, &amp; Boelman, 2015; Webb et al., 2016)", "manualFormatting" : "Abbott et al., 2016; Hu et al., 2015; Lara et al., 2017; Li et al., 2014; Mack et al., 2004; Natali et al., 2015; Schuur et al., 2013; Schuur et al., 2015; Sistla et al., 2013; Sitch et al., 2007; Sweet et al., 2015; Webb et al., 2016)", "plainTextFormattedCitation" : "(Abbott et al., 2016; F. S. Hu et al., 2015; Lara, M. J., Johnson, D. R., Andresen, C., Hollister, R. D., &amp; Tweedie, 2017; Li et al., 2014; Mack, Schuur, Bret-Harte, Shaver, &amp; Chapin III, 2004; Natali et al., 2015; Schuur et al., 2013, 2015; Sistla et al., 2013; Sitch et al., 2007; Sweet, Griffin, Steltzer, Gough, &amp; Boelman, 2015; Webb et al., 2016)", "previouslyFormattedCitation" : "(Abbott et al., 2016; F. S. Hu et al., 2015; Lara, M. J., Johnson, D. R., Andresen, C., Hollister, R. D., &amp; Tweedie, 2017; Li et al., 2014; Mack, Schuur, Bret-Harte, Shaver, &amp; Chapin III, 2004; Natali et al., 2015; Schuur et al., 2013, 2015; Sistla et al., 2013; Sitch et al., 2007; Sweet, Griffin, Steltzer, Gough, &amp; Boelman, 2015; Webb et al.,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lang w:val="fr-CA"/>
        </w:rPr>
        <w:t>Abbott et al., 2016; Hu et al., 2015; Lara et al., 2017; Li et al., 2014; Mack et al., 2004; Natali et al., 2015; Schuur et al., 2013; Schuur et al., 2015; Sistla et al., 2013; Sitch et al., 2007; Sweet et al., 2015; Webb et al., 2016)</w:t>
      </w:r>
      <w:r w:rsidRPr="008608AA">
        <w:rPr>
          <w:rFonts w:eastAsia="Droid Sans Fallback"/>
        </w:rPr>
        <w:fldChar w:fldCharType="end"/>
      </w:r>
      <w:r w:rsidRPr="008608AA">
        <w:rPr>
          <w:rFonts w:eastAsia="Droid Sans Fallback"/>
          <w:lang w:val="fr-CA"/>
        </w:rPr>
        <w:t xml:space="preserve">. </w:t>
      </w:r>
    </w:p>
    <w:p w14:paraId="482CF31D" w14:textId="77777777" w:rsidR="007A224F" w:rsidRPr="008608AA" w:rsidRDefault="007A224F" w:rsidP="00240C7E">
      <w:pPr>
        <w:suppressAutoHyphens/>
        <w:rPr>
          <w:rFonts w:eastAsia="Droid Sans Fallback"/>
          <w:lang w:val="fr-CA"/>
        </w:rPr>
      </w:pPr>
    </w:p>
    <w:p w14:paraId="6644F93C" w14:textId="77777777" w:rsidR="00490494" w:rsidRPr="008608AA" w:rsidRDefault="00490494" w:rsidP="00240C7E">
      <w:pPr>
        <w:suppressAutoHyphens/>
        <w:rPr>
          <w:rFonts w:eastAsia="Droid Sans Fallback"/>
        </w:rPr>
      </w:pPr>
      <w:r w:rsidRPr="008608AA">
        <w:rPr>
          <w:rFonts w:eastAsia="Droid Sans Fallback"/>
        </w:rPr>
        <w:t xml:space="preserve">Treeline advance in North America will continue to reduce the extent of alpine habitat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"Harsch", "given" : "M. A.", "non-dropping-particle" : "", "parse-names" : false, "suffix" : "" }, { "dropping-particle" : "", "family" : "Hulme", "given" : "P. E.", "non-dropping-particle" : "", "parse-names" : false, "suffix" : "" }, { "dropping-particle" : "", "family" : "McGlone", "given" : "M. S.", "non-dropping-particle" : "", "parse-names" : false, "suffix" : "" }, { "dropping-particle" : "", "family" : "Duncan", "given" : "R. P.", "non-dropping-particle" : "", "parse-names" : false, "suffix" : "" } ], "container-title" : "Ecology letters", "id" : "ITEM-1", "issue" : "10", "issued" : { "date-parts" : [ [ "2009" ] ] }, "page" : "1040-1049", "title" : "Are treelines advancing? A global meta\u2010analysis of treeline response to climate warming", "type" : "article-journal", "volume" : "12" }, "uris" : [ "http://www.mendeley.com/documents/?uuid=6229df7f-d469-4363-8bd1-6af291e9749b", "http://www.mendeley.com/documents/?uuid=f42e16fc-d747-4b69-88d2-b2b445298844" ] } ], "mendeley" : { "formattedCitation" : "(Harsch, Hulme, McGlone, &amp; Duncan, 2009)", "manualFormatting" : "(Harsch et al., 2009)", "plainTextFormattedCitation" : "(Harsch, Hulme, McGlone, &amp; Duncan, 2009)", "previouslyFormattedCitation" : "(Harsch, Hulme, McGlone, &amp; Duncan, 2009)"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(Harsch et al., 2009)</w:t>
      </w:r>
      <w:r w:rsidRPr="008608AA">
        <w:rPr>
          <w:rFonts w:eastAsia="Droid Sans Fallback"/>
        </w:rPr>
        <w:fldChar w:fldCharType="end"/>
      </w:r>
      <w:r w:rsidRPr="008608AA">
        <w:rPr>
          <w:rFonts w:eastAsia="Droid Sans Fallback"/>
        </w:rPr>
        <w:t xml:space="preserve">, while deciduous shrub growth and overall plant productivity above treeline will increase due to warming </w:t>
      </w:r>
      <w:r w:rsidRPr="008608AA">
        <w:rPr>
          <w:rFonts w:eastAsia="Droid Sans Fallback"/>
        </w:rPr>
        <w:fldChar w:fldCharType="begin" w:fldLock="1"/>
      </w:r>
      <w:r w:rsidRPr="008608AA">
        <w:rPr>
          <w:rFonts w:eastAsia="Droid Sans Fallback"/>
        </w:rPr>
        <w:instrText>ADDIN CSL_CITATION { "citationItems" : [ { "id" : "ITEM-1", "itemData" : { "DOI" : "10.1111/gcb.12500", "ISBN" : "13541013", "ISSN" : "13541013", "PMID" : "24339207", "abstract" : "Many areas of the Arctic are simultaneously affected by rapid climate change and rapid industrial development. These areas are likely to increase in number and size as sea ice melts and abundant Arctic natural resources become more accessible. Documenting the changes that have already occurred is essential to inform management approaches to minimize the impacts of future activities. Here, we determine the cumulative geoecological effects of 62 years (1949\u20132011) of infrastructure- and climate-related changes in the Prudhoe Bay Oilfield, the oldest and most extensive industrial complex in the Arctic, and an area with extensive ice-rich permafrost that is extraordinarily sensitive to climate change. We demonstrate that thermokarst has recently affected broad areas of the entire region, and that a sudden increase in the area affected began shortly after 1990 corresponding to a rapid rise in regional summer air temperatures and related permafrost temperatures. We also present a conceptual model that describes how infrastructure-related factors, including road dust and roadside flooding are contributing to more extensive thermokarst in areas adjacent to roads and gravel pads. We mapped the historical infrastructure changes for the Alaska North Slope oilfields for 10 dates from the initial oil discovery in 1968\u20132011. By 2010, over 34% of the intensively mapped area was affected by oil development. In addition, between 1990 and 2001, coincident with strong atmospheric warming during the 1990s, 19% of the remaining natural landscapes (excluding areas covered by infrastructure, lakes and river floodplains) exhibited expansion of thermokarst features resulting in more abundant small ponds, greater microrelief, more active lakeshore erosion and increased landscape and habitat heterogeneity. This transition to a new geoecological regime will have impacts to wildlife habitat, local residents and industry.", "author" : [ { "dropping-particle" : "", "family" : "Raynolds", "given" : "Martha K.", "non-dropping-particle" : "", "parse-names" : false, "suffix" : "" }, { "dropping-particle" : "", "family" : "Walker", "given" : "Donald A.", "non-dropping-particle" : "", "parse-names" : false, "suffix" : "" }, { "dropping-particle" : "", "family" : "Ambrosius", "given" : "Kenneth J.", "non-dropping-particle" : "", "parse-names" : false, "suffix" : "" }, { "dropping-particle" : "", "family" : "Brown", "given" : "Jerry", "non-dropping-particle" : "", "parse-names" : false, "suffix" : "" }, { "dropping-particle" : "", "family" : "Everett", "given" : "Kaye R.", "non-dropping-particle" : "", "parse-names" : false, "suffix" : "" }, { "dropping-particle" : "", "family" : "Kanevskiy", "given" : "Mikhail", "non-dropping-particle" : "", "parse-names" : false, "suffix" : "" }, { "dropping-particle" : "", "family" : "Kofinas", "given" : "Gary P.", "non-dropping-particle" : "", "parse-names" : false, "suffix" : "" }, { "dropping-particle" : "", "family" : "Romanovsky", "given" : "Vladimir E.", "non-dropping-particle" : "", "parse-names" : false, "suffix" : "" }, { "dropping-particle" : "", "family" : "Shur", "given" : "Yuri", "non-dropping-particle" : "", "parse-names" : false, "suffix" : "" }, { "dropping-particle" : "", "family" : "Webber", "given" : "Patrick J.", "non-dropping-particle" : "", "parse-names" : false, "suffix" : "" } ], "container-title" : "Global Change Biology", "id" : "ITEM-1", "issue" : "4", "issued" : { "date-parts" : [ [ "2014" ] ] }, "page" : "1211-1224", "title" : "Cumulative geoecological effects of 62 years of infrastructure and climate change in ice-rich permafrost landscapes, Prudhoe Bay Oilfield, Alaska", "type" : "article-journal", "volume" : "20" }, "uris" : [ "http://www.mendeley.com/documents/?uuid=ade143bf-8618-448f-8388-a272f70118b7" ] } ], "mendeley" : { "formattedCitation" : "(Raynolds et al., 2014)", "plainTextFormattedCitation" : "(Raynolds et al., 2014)", "previouslyFormattedCitation" : "(Raynolds et al.,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(Raynolds et al., 2014)</w:t>
      </w:r>
      <w:r w:rsidRPr="008608AA">
        <w:rPr>
          <w:rFonts w:eastAsia="Droid Sans Fallback"/>
        </w:rPr>
        <w:fldChar w:fldCharType="end"/>
      </w:r>
      <w:r w:rsidRPr="008608AA">
        <w:rPr>
          <w:rFonts w:eastAsia="Droid Sans Fallback"/>
        </w:rPr>
        <w:t xml:space="preserve">. Habitat degradation may also occur through nitrogen deposition </w:t>
      </w:r>
      <w:r w:rsidRPr="008608AA">
        <w:rPr>
          <w:rFonts w:eastAsia="Droid Sans Fallback"/>
        </w:rPr>
        <w:fldChar w:fldCharType="begin" w:fldLock="1"/>
      </w:r>
      <w:r w:rsidRPr="008608AA">
        <w:rPr>
          <w:rFonts w:eastAsia="Droid Sans Fallback"/>
        </w:rPr>
        <w:instrText>ADDIN CSL_CITATION { "citationItems" : [ { "id" : "ITEM-1", "itemData" : { "DOI" : "10.1029/2005GB002672", "ISBN" : "0886-6236", "ISSN" : "08866236", "abstract" : "We use 23 atmospheric chemistry transport models to calculate current and future (2030) deposition of reactive nitrogen (NOy, NHx) and sulfate (SOx) to land and ocean surfaces. The models are driven by three emission scenarios: (1) current air quality legislation (CLE); (2) an optimistic case of the maximum emissions reductions currently technologically feasible (MFR); and (3) the contrasting pessimistic IPCC SRES A2 scenario. An extensive evaluation of the present-day deposition using nearly all information on wet deposition available worldwide shows a good agreement with observations in Europe and North America, where 60&amp;#8211;70% of the model-calculated wet deposition rates agree to within \u00b150% with quality-controlled measurements. Models systematically overestimate NHx deposition in South Asia, and underestimate NOy deposition in East Asia. We show that there are substantial differences among models for the removal mechanisms of NOy, NHx, and SOx, leading to \u00b11 &amp;#963; variance in total deposition fluxes of about 30% in the anthropogenic emissions regions, and up to a factor of 2 outside. In all cases the mean model constructed from the ensemble calculations is among the best when comparing to measurements. Currently, 36&amp;#8211;51% of all NOy, NHx, and SOx is deposited over the ocean, and 50&amp;#8211;80% of the fraction of deposition on land falls on natural (nonagricultural) vegetation. Currently, 11% of the world's natural vegetation receives nitrogen deposition in excess of the &amp;#8220;critical load&amp;#8221; threshold of 1000 mg(N) m&amp;#8722;2 yr&amp;#8722;1. The regions most affected are the United States (20% of vegetation), western Europe (30%), eastern Europe (80%), South Asia (60%), East Asia (40%), southeast Asia (30%), and Japan (50%). Future deposition fluxes are mainly driven by changes in emissions, and less importantly by changes in atmospheric chemistry and climate. The global fraction of vegetation exposed to nitrogen loads in excess of 1000 mg(N) m&amp;#8722;2 yr&amp;#8722;1 increases globally to 17% for CLE and 25% for A2. In MFR, the reductions in NOy are offset by further increases for NHx deposition. The regions most affected by exceedingly high nitrogen loads for CLE and A2 are Europe and Asia, but also parts of Africa.", "author" : [ { "dropping-particle" : "", "family" : "Dentener", "given" : "Frank", "non-dropping-particle" : "", "parse-names" : false, "suffix" : "" }, { "dropping-particle" : "", "family" : "Drevet", "given" : "Jerome", "non-dropping-particle" : "", "parse-names" : false, "suffix" : "" }, { "dropping-particle" : "", "family" : "Lamarque", "given" : "J. F.", "non-dropping-particle" : "", "parse-names" : false, "suffix" : "" }, { "dropping-particle" : "", "family" : "Bey", "given" : "Isabelle", "non-dropping-particle" : "", "parse-names" : false, "suffix" : "" }, { "dropping-particle" : "", "family" : "Eickhout", "given" : "Bas", "non-dropping-particle" : "", "parse-names" : false, "suffix" : "" }, { "dropping-particle" : "", "family" : "Fiore", "given" : "Arlene M.", "non-dropping-particle" : "", "parse-names" : false, "suffix" : "" }, { "dropping-particle" : "", "family" : "Hauglustaine", "given" : "Didier", "non-dropping-particle" : "", "parse-names" : false, "suffix" : "" }, { "dropping-particle" : "", "family" : "Horowitz", "given" : "Larry W.", "non-dropping-particle" : "", "parse-names" : false, "suffix" : "" }, { "dropping-particle" : "", "family" : "Krol", "given" : "M.", "non-dropping-particle" : "", "parse-names" : false, "suffix" : "" }, { "dropping-particle" : "", "family" : "Kulshrestha", "given" : "Umesh C.", "non-dropping-particle" : "", "parse-names" : false, "suffix" : "" }, { "dropping-particle" : "", "family" : "Lawrence", "given" : "M.", "non-dropping-particle" : "", "parse-names" : false, "suffix" : "" }, { "dropping-particle" : "", "family" : "Galy-Lacaux", "given" : "C.", "non-dropping-particle" : "", "parse-names" : false, "suffix" : "" }, { "dropping-particle" : "", "family" : "Rast", "given" : "S.", "non-dropping-particle" : "", "parse-names" : false, "suffix" : "" }, { "dropping-particle" : "", "family" : "Shindell", "given" : "D.", "non-dropping-particle" : "", "parse-names" : false, "suffix" : "" }, { "dropping-particle" : "", "family" : "Stevenson", "given" : "David", "non-dropping-particle" : "", "parse-names" : false, "suffix" : "" }, { "dropping-particle" : "", "family" : "Noije", "given" : "Twan", "non-dropping-particle" : "Van", "parse-names" : false, "suffix" : "" }, { "dropping-particle" : "", "family" : "Atherton", "given" : "C.", "non-dropping-particle" : "", "parse-names" : false, "suffix" : "" }, { "dropping-particle" : "", "family" : "Bell", "given" : "N.", "non-dropping-particle" : "", "parse-names" : false, "suffix" : "" }, { "dropping-particle" : "", "family" : "Bergman", "given" : "D.", "non-dropping-particle" : "", "parse-names" : false, "suffix" : "" }, { "dropping-particle" : "", "family" : "Butler", "given" : "T.", "non-dropping-particle" : "", "parse-names" : false, "suffix" : "" }, { "dropping-particle" : "", "family" : "Cofala", "given" : "J.", "non-dropping-particle" : "", "parse-names" : false, "suffix" : "" }, { "dropping-particle" : "", "family" : "Collins", "given" : "Bill", "non-dropping-particle" : "", "parse-names" : false, "suffix" : "" }, { "dropping-particle" : "", "family" : "Doherty", "given" : "Ruth", "non-dropping-particle" : "", "parse-names" : false, "suffix" : "" }, { "dropping-particle" : "", "family" : "Ellingsen", "given" : "Kjerstin", "non-dropping-particle" : "", "parse-names" : false, "suffix" : "" }, { "dropping-particle" : "", "family" : "Galloway", "given" : "J.", "non-dropping-particle" : "", "parse-names" : false, "suffix" : "" }, { "dropping-particle" : "", "family" : "Gauss", "given" : "Michael", "non-dropping-particle" : "", "parse-names" : false, "suffix" : "" }, { "dropping-particle" : "", "family" : "Montanaro", "given" : "Veronica", "non-dropping-particle" : "", "parse-names" : false, "suffix" : "" }, { "dropping-particle" : "", "family" : "M\u00fcller", "given" : "Jean Francois", "non-dropping-particle" : "", "parse-names" : false, "suffix" : "" }, { "dropping-particle" : "", "family" : "Pitari", "given" : "G.", "non-dropping-particle" : "", "parse-names" : false, "suffix" : "" }, { "dropping-particle" : "", "family" : "Rodriguez", "given" : "J.", "non-dropping-particle" : "", "parse-names" : false, "suffix" : "" }, { "dropping-particle" : "", "family" : "Sanderson", "given" : "Michael", "non-dropping-particle" : "", "parse-names" : false, "suffix" : "" }, { "dropping-particle" : "", "family" : "Solmon", "given" : "F.", "non-dropping-particle" : "", "parse-names" : false, "suffix" : "" }, { "dropping-particle" : "", "family" : "Strahan", "given" : "S.", "non-dropping-particle" : "", "parse-names" : false, "suffix" : "" }, { "dropping-particle" : "", "family" : "Schultz", "given" : "M.", "non-dropping-particle" : "", "parse-names" : false, "suffix" : "" }, { "dropping-particle" : "", "family" : "Sudo", "given" : "Kengo", "non-dropping-particle" : "", "parse-names" : false, "suffix" : "" }, { "dropping-particle" : "", "family" : "Szopa", "given" : "Sophie", "non-dropping-particle" : "", "parse-names" : false, "suffix" : "" }, { "dropping-particle" : "", "family" : "Wild", "given" : "Oliver", "non-dropping-particle" : "", "parse-names" : false, "suffix" : "" } ], "container-title" : "Global Biogeochemical Cycles", "id" : "ITEM-1", "issue" : "4", "issued" : { "date-parts" : [ [ "2006" ] ] }, "title" : "Nitrogen and sulfur deposition on regional and global scales: A multimodel evaluation", "type" : "article-journal", "volume" : "20" }, "uris" : [ "http://www.mendeley.com/documents/?uuid=2235d471-9c31-4fa6-a7dc-e88157c43767", "http://www.mendeley.com/documents/?uuid=79707585-d6f8-4284-9014-3461b0f2fe50" ] } ], "mendeley" : { "formattedCitation" : "(Dentener et al., 2006)", "plainTextFormattedCitation" : "(Dentener et al., 2006)", "previouslyFormattedCitation" : "(Dentener et al.,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(Dentener et al., 2006)</w:t>
      </w:r>
      <w:r w:rsidRPr="008608AA">
        <w:rPr>
          <w:rFonts w:eastAsia="Droid Sans Fallback"/>
        </w:rPr>
        <w:fldChar w:fldCharType="end"/>
      </w:r>
      <w:r w:rsidRPr="008608AA">
        <w:rPr>
          <w:rFonts w:eastAsia="Droid Sans Fallback"/>
        </w:rPr>
        <w:t xml:space="preserve">, with the potential to reduce species richness </w:t>
      </w:r>
      <w:r w:rsidRPr="008608AA">
        <w:rPr>
          <w:rFonts w:eastAsia="Droid Sans Fallback"/>
        </w:rPr>
        <w:fldChar w:fldCharType="begin" w:fldLock="1"/>
      </w:r>
      <w:r w:rsidRPr="008608AA">
        <w:rPr>
          <w:rFonts w:eastAsia="Droid Sans Fallback"/>
        </w:rPr>
        <w:instrText>ADDIN CSL_CITATION { "citationItems" : [ { "id" : "ITEM-1", "itemData" : { "DOI" : "10.1073/pnas.0503198103", "ISSN" : "0027-8424", "PMID" : "16428292", "abstract" : "Recent observations of changes in some tundra ecosystems appear to be responses to a warming climate. Several experimental studies have shown that tundra plants and ecosystems can respond strongly to environmental change, including warming; however, most studies were limited to a single location and were of short duration and based on a variety of experimental designs. In addition, comparisons among studies are difficult because a variety of techniques have been used to achieve experimental warming and different measurements have been used to assess responses. We used metaanalysis on plant community measurements from standardized warming experiments at 11 locations across the tundra biome involved in the International Tundra Experiment. The passive warming treatment increased plant-level air temperature by 1\u20133\u00b0C, which is in the range of predicted and observed warming for tundra regions. Responses were rapid and detected in whole plant communities after only two growing seasons. Overall, warming increased height and cover of deciduous shrubs and graminoids, decreased cover of mosses and lichens, and decreased species diversity and evenness. These results predict that warming will cause a decline in biodiversity across a wide variety of tundra, at least in the short term. They also provide rigorous experimental evidence that recently observed increases in shrub cover in many tundra regions are in response to climate warming. These changes have important implications for processes and interactions within tundra ecosystems and between tundra and the atmosphere.", "author" : [ { "dropping-particle" : "", "family" : "Walker", "given" : "Marilyn D", "non-dropping-particle" : "", "parse-names" : false, "suffix" : "" }, { "dropping-particle" : "", "family" : "Wahren", "given" : "C Henrik", "non-dropping-particle" : "", "parse-names" : false, "suffix" : "" }, { "dropping-particle" : "", "family" : "Hollister", "given" : "Robert D", "non-dropping-particle" : "", "parse-names" : false, "suffix" : "" }, { "dropping-particle" : "", "family" : "Henry", "given" : "Greg H R", "non-dropping-particle" : "", "parse-names" : false, "suffix" : "" }, { "dropping-particle" : "", "family" : "Ahlquist", "given" : "Lorraine E", "non-dropping-particle" : "", "parse-names" : false, "suffix" : "" }, { "dropping-particle" : "", "family" : "Alatalo", "given" : "Juha M", "non-dropping-particle" : "", "parse-names" : false, "suffix" : "" }, { "dropping-particle" : "", "family" : "Bret-Harte", "given" : "M Syndonia", "non-dropping-particle" : "", "parse-names" : false, "suffix" : "" }, { "dropping-particle" : "", "family" : "Calef", "given" : "Monika P", "non-dropping-particle" : "", "parse-names" : false, "suffix" : "" }, { "dropping-particle" : "V", "family" : "Callaghan", "given" : "Terry", "non-dropping-particle" : "", "parse-names" : false, "suffix" : "" }, { "dropping-particle" : "", "family" : "Carroll", "given" : "Amy B", "non-dropping-particle" : "", "parse-names" : false, "suffix" : "" }, { "dropping-particle" : "", "family" : "Epstein", "given" : "Howard E", "non-dropping-particle" : "", "parse-names" : false, "suffix" : "" }, { "dropping-particle" : "", "family" : "J\u00f3nsd\u00f3ttir", "given" : "Ingibj\u00f6rg S", "non-dropping-particle" : "", "parse-names" : false, "suffix" : "" }, { "dropping-particle" : "", "family" : "Klein", "given" : "Julia A", "non-dropping-particle" : "", "parse-names" : false, "suffix" : "" }, { "dropping-particle" : "", "family" : "Magn\u00fasson", "given" : "Borg\u00fe\u00f3r", "non-dropping-particle" : "", "parse-names" : false, "suffix" : "" }, { "dropping-particle" : "", "family" : "Molau", "given" : "Ulf", "non-dropping-particle" : "", "parse-names" : false, "suffix" : "" }, { "dropping-particle" : "", "family" : "Oberbauer", "given" : "Steven F", "non-dropping-particle" : "", "parse-names" : false, "suffix" : "" }, { "dropping-particle" : "", "family" : "Rewa", "given" : "Steven P", "non-dropping-particle" : "", "parse-names" : false, "suffix" : "" }, { "dropping-particle" : "", "family" : "Robinson", "given" : "Clare H", "non-dropping-particle" : "", "parse-names" : false, "suffix" : "" }, { "dropping-particle" : "", "family" : "Shaver", "given" : "Gaius R", "non-dropping-particle" : "", "parse-names" : false, "suffix" : "" }, { "dropping-particle" : "", "family" : "Suding", "given" : "Katharine N", "non-dropping-particle" : "", "parse-names" : false, "suffix" : "" }, { "dropping-particle" : "", "family" : "Thompson", "given" : "Catharine C", "non-dropping-particle" : "", "parse-names" : false, "suffix" : "" }, { "dropping-particle" : "", "family" : "Tolvanen", "given" : "Anne", "non-dropping-particle" : "", "parse-names" : false, "suffix" : "" }, { "dropping-particle" : "", "family" : "Totland", "given" : "\u00d8rjan", "non-dropping-particle" : "", "parse-names" : false, "suffix" : "" }, { "dropping-particle" : "", "family" : "Turner", "given" : "P Lee", "non-dropping-particle" : "", "parse-names" : false, "suffix" : "" }, { "dropping-particle" : "", "family" : "Tweedie", "given" : "Craig E", "non-dropping-particle" : "", "parse-names" : false, "suffix" : "" }, { "dropping-particle" : "", "family" : "Webber", "given" : "Patrick J", "non-dropping-particle" : "", "parse-names" : false, "suffix" : "" }, { "dropping-particle" : "", "family" : "Wookey", "given" : "Philip A", "non-dropping-particle" : "", "parse-names" : false, "suffix" : "" } ], "container-title" : "Proceedings of the National Academy of Sciences", "id" : "ITEM-1", "issued" : { "date-parts" : [ [ "2006" ] ] }, "title" : "Plant community responses to experimental warming across the tundra biome", "type" : "article-journal" }, "uris" : [ "http://www.mendeley.com/documents/?uuid=89cb80d8-bc59-4a30-b41b-87c716590f03", "http://www.mendeley.com/documents/?uuid=15b4b9fc-f17c-345e-aff6-3820e88e2020" ] } ], "mendeley" : { "formattedCitation" : "(M. D. Walker et al., 2006)", "manualFormatting" : "(Walker et al., 2006)", "plainTextFormattedCitation" : "(M. D. Walker et al., 2006)", "previouslyFormattedCitation" : "(M. D. Walker et al.,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(Walker et al., 2006)</w:t>
      </w:r>
      <w:r w:rsidRPr="008608AA">
        <w:rPr>
          <w:rFonts w:eastAsia="Droid Sans Fallback"/>
        </w:rPr>
        <w:fldChar w:fldCharType="end"/>
      </w:r>
      <w:r w:rsidRPr="008608AA">
        <w:rPr>
          <w:rFonts w:eastAsia="Droid Sans Fallback"/>
        </w:rPr>
        <w:t xml:space="preserve">. </w:t>
      </w:r>
    </w:p>
    <w:p w14:paraId="7F1A5B3E" w14:textId="52C54EED" w:rsidR="00490494" w:rsidRPr="008608AA" w:rsidRDefault="00490494" w:rsidP="00240C7E">
      <w:pPr>
        <w:suppressAutoHyphens/>
        <w:rPr>
          <w:rFonts w:eastAsia="Droid Sans Fallback"/>
        </w:rPr>
      </w:pPr>
      <w:r w:rsidRPr="008608AA">
        <w:rPr>
          <w:rFonts w:eastAsia="Droid Sans Fallback"/>
        </w:rPr>
        <w:t xml:space="preserve">Distribution modeling predicts northern Andean birds will lose 30-40% of their ranges with compositional changes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"Velasquez-Tibata", "given" : "J.", "non-dropping-particle" : "", "parse-names" : false, "suffix" : "" }, { "dropping-particle" : "", "family" : "P. Salaman", "given" : "", "non-dropping-particle" : "", "parse-names" : false, "suffix" : "" }, { "dropping-particle" : "", "family" : "Graham", "given" : "C. H.", "non-dropping-particle" : "", "parse-names" : false, "suffix" : "" } ], "container-title" : "Regional Environmental Change", "id" : "ITEM-1", "issued" : { "date-parts" : [ [ "2013" ] ] }, "page" : "235-248", "title" : "Effects of climate change on species distribution, community structure, and conservation of birds in protected areas in Colombia", "type" : "article-journal", "volume" : "13" }, "uris" : [ "http://www.mendeley.com/documents/?uuid=6d69a427-4a75-46b8-a9c6-22a61ef909dd", "http://www.mendeley.com/documents/?uuid=3df78645-bbb5-46c8-8a15-a934ccd9a520" ] } ], "mendeley" : { "formattedCitation" : "(Velasquez-Tibata, P. Salaman, &amp; Graham, 2013)", "plainTextFormattedCitation" : "(Velasquez-Tibata, P. Salaman, &amp; Graham, 2013)", "previouslyFormattedCitation" : "(Velasquez-Tibata, P. Salaman, &amp; Graham, 2013)" }, "properties" : {  }, "schema" : "https://github.com/citation-style-language/schema/raw/master/csl-citation.json" }</w:instrText>
      </w:r>
      <w:r w:rsidRPr="008608AA">
        <w:rPr>
          <w:rFonts w:eastAsia="Droid Sans Fallback"/>
        </w:rPr>
        <w:fldChar w:fldCharType="separate"/>
      </w:r>
      <w:r w:rsidR="0045556C" w:rsidRPr="008608AA">
        <w:rPr>
          <w:rFonts w:eastAsia="Droid Sans Fallback"/>
          <w:noProof/>
        </w:rPr>
        <w:t>(Velasquez-Tibata</w:t>
      </w:r>
      <w:r w:rsidRPr="008608AA">
        <w:rPr>
          <w:rFonts w:eastAsia="Droid Sans Fallback"/>
          <w:noProof/>
        </w:rPr>
        <w:t xml:space="preserve"> et al., 2013)</w:t>
      </w:r>
      <w:r w:rsidRPr="008608AA">
        <w:rPr>
          <w:rFonts w:eastAsia="Droid Sans Fallback"/>
        </w:rPr>
        <w:fldChar w:fldCharType="end"/>
      </w:r>
      <w:r w:rsidRPr="008608AA">
        <w:rPr>
          <w:rFonts w:eastAsia="Droid Sans Fallback"/>
        </w:rPr>
        <w:t xml:space="preserve">; páramo and puna are predicted to experience reduced species richness and species turnover </w:t>
      </w:r>
      <w:r w:rsidRPr="008608AA">
        <w:rPr>
          <w:rFonts w:eastAsia="Droid Sans Fallback"/>
        </w:rPr>
        <w:fldChar w:fldCharType="begin" w:fldLock="1"/>
      </w:r>
      <w:r w:rsidRPr="008608AA">
        <w:rPr>
          <w:rFonts w:eastAsia="Droid Sans Fallback"/>
        </w:rPr>
        <w:instrText>ADDIN CSL_CITATION { "citationItems" : [ { "id" : "ITEM-1", "itemData" : { "DOI" : "10.1016/j.jnc.2014.03.007", "ISBN" : "1617-1381; 1618-1093", "ISSN" : "16171381", "abstract" : "Biodiversity in the Tropical Andes is under continuous threat from anthropogenic activities. Projected changes in climate will likely exacerbate this situation. Using species distribution models, we assess possible future changes in the diversity and climatic niche size of an unprecedented number of species for the region. We modeled a broad range of taxa (11,012 species of birds and vascular plants), including both endemic and widespread species and provide a comprehensive estimation of climate change impacts on the Andes. We find that if no dispersal is assumed, by 2050s, more than 50% of the species studied are projected to undergo reductions of at least 45% in their climatic niche, whilst 10% of species could be extinct. Even assuming unlimited dispersal, most of the Andean endemics (comprising ~5% of our dataset) would become severely threatened (&gt;50% climatic niche loss). While some areas appear to be climatically stable (e.g. Pichincha and Imbabura in Ecuador; and Nari\u00f1o, Cauca, Valle del Cauca and Putumayo in Colombia) and hence depict little diversity loss and/or potential species gains, major negative impacts were also observed. Tropical high Andean grasslands (p\u00e1ramos and punas) and evergreen montane forests, two key ecosystems for the provision of environmental services in the region, are projected to experience negative changes in species richness and high rates of species turnover. Adapting to these impacts would require a landscape-network based approach to conservation, including protected areas, their buffer zones and corridors. A central aspect of such network is the implementation of an integrated landscape management approach based on sustainable management and restoration practices covering wider areas than currently contemplated. \u00a9 2014 Elsevier GmbH.", "author" : [ { "dropping-particle" : "", "family" : "Ramirez-Villegas", "given" : "Julian", "non-dropping-particle" : "", "parse-names" : false, "suffix" : "" }, { "dropping-particle" : "", "family" : "Cuesta", "given" : "Francisco", "non-dropping-particle" : "", "parse-names" : false, "suffix" : "" }, { "dropping-particle" : "", "family" : "Devenish", "given" : "Christian", "non-dropping-particle" : "", "parse-names" : false, "suffix" : "" }, { "dropping-particle" : "", "family" : "Peralvo", "given" : "Manuel", "non-dropping-particle" : "", "parse-names" : false, "suffix" : "" }, { "dropping-particle" : "", "family" : "Jarvis", "given" : "Andy", "non-dropping-particle" : "", "parse-names" : false, "suffix" : "" }, { "dropping-particle" : "", "family" : "Arnillas", "given" : "Carlos Alberto", "non-dropping-particle" : "", "parse-names" : false, "suffix" : "" } ], "container-title" : "Journal for Nature Conservation", "id" : "ITEM-1", "issued" : { "date-parts" : [ [ "2014" ] ] }, "title" : "Using species distributions models for designing conservation strategies of Tropical Andean biodiversity under climate change", "type" : "article-journal" }, "uris" : [ "http://www.mendeley.com/documents/?uuid=c5f719e8-9424-313f-83f5-8e948c481111", "http://www.mendeley.com/documents/?uuid=c5574aed-76e4-4f77-b8ac-13d41e6a6cb2" ] } ], "mendeley" : { "formattedCitation" : "(Ramirez-Villegas et al., 2014)", "plainTextFormattedCitation" : "(Ramirez-Villegas et al., 2014)", "previouslyFormattedCitation" : "(Ramirez-Villegas et al.,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(Ramirez-Villegas et al., 2014)</w:t>
      </w:r>
      <w:r w:rsidRPr="008608AA">
        <w:rPr>
          <w:rFonts w:eastAsia="Droid Sans Fallback"/>
        </w:rPr>
        <w:fldChar w:fldCharType="end"/>
      </w:r>
      <w:r w:rsidRPr="008608AA">
        <w:rPr>
          <w:rFonts w:eastAsia="Droid Sans Fallback"/>
        </w:rPr>
        <w:t xml:space="preserve">. The biodiversity of hyper-arid alpine areas, where many species depend on moisture supplied by peat bogs could be especially vulnerable. A recent assessment for páramo </w:t>
      </w:r>
      <w:r w:rsidRPr="008608AA">
        <w:rPr>
          <w:rFonts w:eastAsia="Droid Sans Fallback"/>
        </w:rPr>
        <w:fldChar w:fldCharType="begin" w:fldLock="1"/>
      </w:r>
      <w:r w:rsidRPr="008608AA">
        <w:rPr>
          <w:rFonts w:eastAsia="Droid Sans Fallback"/>
        </w:rPr>
        <w:instrText>ADDIN CSL_CITATION { "citationItems" : [ { "id" : "ITEM-1", "itemData" : { "DOI" : "10.1111/j.1466-8238.2010.00585.x", "ISBN" : "1466-8238", "ISSN" : "1466822X", "abstract" : "ABSTRACT Aim Humid tropical alpine environments are crucial ecosystems that sustain biodiversity, biological processes, carbon storage and surface water provision. They are identified as one of the terrestrial ecosystems most vulnerable to global environmental change. Despite their vulnerability, and the importance for regional biodiversity conservation and socio-economic development, they are among the least studied and described ecosystems in the world. This paper reviews the state of knowledge about tropical alpine environments, and provides an integrated assessment of the potential threats of global climate change on the major ecosystem processes. Location Humid tropical alpine regions occur between the upper forest line and the perennial snow border in the upper regions of the Andes, the Afroalpine belt and Indonesia and Papua New Guinea. Results and main conclusions Climate change will displace ecosystem boundaries and strongly reduce the total area of tropical alpine regions. Displacement and increased isolation of the remaining patches will induce species extinction and biodiversity loss. Drier and warmer soil conditions will cause a faster organic carbon turnover, decreasing the below-ground organic carbon storage. Since most of the organic carbon is currently stored in the soils, it is unlikely that an increase in above-ground biomass will be able to offset soil carbon loss at an ecosystem level. Therefore a net release of carbon to the atmosphere is expected. Changes in precipitation patterns, increased evapotranspiration and alterations of the soil properties will have a major impact on water supply. Many regions are in danger of a significantly reduced or less reliable stream flow. The magnitude and even the trend of most of these effects depend strongly on local climatic, hydrological and ecological conditions. The extreme spatial gradients in these conditions put the sustainability of ecosystem management at risk.", "author" : [ { "dropping-particle" : "", "family" : "Buytaert", "given" : "Wouter", "non-dropping-particle" : "", "parse-names" : false, "suffix" : "" }, { "dropping-particle" : "", "family" : "Cuesta-Camacho", "given" : "Francisco", "non-dropping-particle" : "", "parse-names" : false, "suffix" : "" }, { "dropping-particle" : "", "family" : "Tob\u00f3n", "given" : "Conrado", "non-dropping-particle" : "", "parse-names" : false, "suffix" : "" } ], "container-title" : "Global Ecology and Biogeography", "id" : "ITEM-1", "issued" : { "date-parts" : [ [ "2011" ] ] }, "title" : "Potential impacts of climate change on the environmental services of humid tropical alpine regions", "type" : "article" }, "uris" : [ "http://www.mendeley.com/documents/?uuid=c37b6bac-24b4-4957-b7c1-a5af58cd9970", "http://www.mendeley.com/documents/?uuid=92a02b11-5cd6-44cc-b9a4-cb1a1890b1e2" ] } ], "mendeley" : { "formattedCitation" : "(Buytaert, Cuesta-Camacho, &amp; Tob\u00f3n, 2011)", "manualFormatting" : "(Buytaert et al., 2011)", "plainTextFormattedCitation" : "(Buytaert, Cuesta-Camacho, &amp; Tob\u00f3n, 2011)", "previouslyFormattedCitation" : "(Buytaert, Cuesta-Camacho, &amp; Tob\u00f3n,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(Buytaert et al., 2011)</w:t>
      </w:r>
      <w:r w:rsidRPr="008608AA">
        <w:rPr>
          <w:rFonts w:eastAsia="Droid Sans Fallback"/>
        </w:rPr>
        <w:fldChar w:fldCharType="end"/>
      </w:r>
      <w:r w:rsidRPr="008608AA">
        <w:rPr>
          <w:rFonts w:eastAsia="Droid Sans Fallback"/>
        </w:rPr>
        <w:t xml:space="preserve"> concluded that changes in precipitation patterns, increased evapotranspiration and alterations of soil properties will have a major impact on water supply, which will further affect species composition. Warming is expected to have a major impact on seasonal water flow all along the Andes due to loss of glaciers, although the latter will depend on future precipitation trends along the Andes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"Vuille", "given" : "M.", "non-dropping-particle" : "", "parse-names" : false, "suffix" : "" } ], "id" : "ITEM-1", "issued" : { "date-parts" : [ [ "2013" ] ] }, "title" : "Climate Change and Water Resources in the Tropical Andes. Inter-American Development Bank Environmental Safeguards Unit. Technical Note No. IDB-TN-515.", "type" : "article" }, "uris" : [ "http://www.mendeley.com/documents/?uuid=e6733ac0-d034-4f9c-bfc4-6da41bf3bd24", "http://www.mendeley.com/documents/?uuid=bd2ead4b-51eb-479b-b6d8-5e0d4efa55c2" ] } ], "mendeley" : { "formattedCitation" : "(Vuille, 2013)", "plainTextFormattedCitation" : "(Vuille, 2013)", "previouslyFormattedCitation" : "(Vuille,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(Vuille, 2013)</w:t>
      </w:r>
      <w:r w:rsidRPr="008608AA">
        <w:rPr>
          <w:rFonts w:eastAsia="Droid Sans Fallback"/>
        </w:rPr>
        <w:fldChar w:fldCharType="end"/>
      </w:r>
      <w:r w:rsidRPr="008608AA">
        <w:rPr>
          <w:rFonts w:eastAsia="Droid Sans Fallback"/>
        </w:rPr>
        <w:t xml:space="preserve">. However, given the complex landscape and regional climatic variation, there are large uncertainties regarding the responses of high Andean biodiversity and ecosystem functions to climate change. </w:t>
      </w:r>
    </w:p>
    <w:p w14:paraId="7F396DE6" w14:textId="77777777" w:rsidR="007A224F" w:rsidRPr="008608AA" w:rsidRDefault="007A224F" w:rsidP="00240C7E">
      <w:pPr>
        <w:suppressAutoHyphens/>
        <w:rPr>
          <w:rFonts w:eastAsia="Droid Sans Fallback"/>
        </w:rPr>
      </w:pPr>
    </w:p>
    <w:p w14:paraId="312B61AB" w14:textId="77777777" w:rsidR="00490494" w:rsidRPr="008608AA" w:rsidRDefault="00490494" w:rsidP="00240C7E">
      <w:pPr>
        <w:suppressAutoHyphens/>
        <w:rPr>
          <w:rFonts w:eastAsia="Droid Sans Fallback"/>
        </w:rPr>
      </w:pPr>
      <w:r w:rsidRPr="008608AA">
        <w:rPr>
          <w:rFonts w:eastAsia="Droid Sans Fallback"/>
        </w:rPr>
        <w:t xml:space="preserve">The possible futures for the tundra under the scenario archetypes is somewhat limited due to the facts that the indirect and direct drivers at play are remote relative to the region and the fact that climate change effects in terms of temperature change are more extreme for this region than any other on the globe. Under the Market Forces archetype we can expect the continued reduction of sea ice and thawing of the permafrost to continue as this simply represents a continuation of the factors that have resulted in the impacts seen thus far. Under the Fortress World, archetype we can expect to see a more rapid deterioration of the permafrost and perhaps surpassing of a tipping point with respect to greenhouse gasses release due the ecological processes inherent to the Tundra. The Policy Reform archetype scenarios could be a significant contributor to lessening of the factors at play in the Tundra, but given the fact that climate change effects appear to be greatest at the high latitudes, a very concerted effort would have to be made to adopt policies lessening or reversing greenhouse gasses emissions. Because of the telecoupling and teleconnection aspects involved with the tundra, this scenario would require a coordinated effort on a global scale, as there is little that local populations and policymakers can do to affect the drivers involved. This latter consideration, namely that an effort on a global scale is needed, argues that to truly avoid a tipping point in the Tundra, an approach within the Great Transition archetype will be required. </w:t>
      </w:r>
    </w:p>
    <w:p w14:paraId="684EB89B" w14:textId="2A8EC5FE" w:rsidR="00490494" w:rsidRPr="008608AA" w:rsidRDefault="00490494" w:rsidP="00240C7E">
      <w:pPr>
        <w:suppressAutoHyphens/>
        <w:rPr>
          <w:rFonts w:eastAsia="Droid Sans Fallback"/>
        </w:rPr>
      </w:pPr>
      <w:r w:rsidRPr="008608AA">
        <w:rPr>
          <w:rFonts w:eastAsia="Droid Sans Fallback"/>
        </w:rPr>
        <w:t xml:space="preserve">Northern ecosystems are highly dynamic and variable, however, climate change is considered to be increasing the nature and range of variability and adding new kinds of stresses that are outside what is considered ‘normal’ as </w:t>
      </w:r>
      <w:r w:rsidR="0061675B" w:rsidRPr="008608AA">
        <w:rPr>
          <w:rFonts w:eastAsia="Droid Sans Fallback"/>
        </w:rPr>
        <w:t>defined by both scientists and indigenous and local k</w:t>
      </w:r>
      <w:r w:rsidRPr="008608AA">
        <w:rPr>
          <w:rFonts w:eastAsia="Droid Sans Fallback"/>
        </w:rPr>
        <w:t xml:space="preserve">nowledge (ILK) </w:t>
      </w:r>
      <w:r w:rsidRPr="008608AA">
        <w:rPr>
          <w:rFonts w:eastAsia="Droid Sans Fallback"/>
        </w:rPr>
        <w:fldChar w:fldCharType="begin" w:fldLock="1"/>
      </w:r>
      <w:r w:rsidRPr="008608AA">
        <w:rPr>
          <w:rFonts w:eastAsia="Droid Sans Fallback"/>
        </w:rPr>
        <w:instrText>ADDIN CSL_CITATION { "citationItems" : [ { "id" : "ITEM-1", "itemData" : { "DOI" : "10.1007/s10584-006-9162-y", "ISSN" : "0165-0009", "author" : [ { "dropping-particle" : "", "family" : "Huntington", "given" : "Henry P", "non-dropping-particle" : "", "parse-names" : false, "suffix" : "" }, { "dropping-particle" : "", "family" : "Boyle", "given" : "Michelle", "non-dropping-particle" : "", "parse-names" : false, "suffix" : "" }, { "dropping-particle" : "", "family" : "Flowers", "given" : "Gwenn E", "non-dropping-particle" : "", "parse-names" : false, "suffix" : "" }, { "dropping-particle" : "", "family" : "Weatherly", "given" : "John W", "non-dropping-particle" : "", "parse-names" : false, "suffix" : "" }, { "dropping-particle" : "", "family" : "Hamilton", "given" : "Lawrence C", "non-dropping-particle" : "", "parse-names" : false, "suffix" : "" }, { "dropping-particle" : "", "family" : "Hinzman", "given" : "Larry", "non-dropping-particle" : "", "parse-names" : false, "suffix" : "" }, { "dropping-particle" : "", "family" : "Gerlach", "given" : "Craig", "non-dropping-particle" : "", "parse-names" : false, "suffix" : "" }, { "dropping-particle" : "", "family" : "Zulueta", "given" : "Rommel", "non-dropping-particle" : "", "parse-names" : false, "suffix" : "" }, { "dropping-particle" : "", "family" : "Nicolson", "given" : "Craig", "non-dropping-particle" : "", "parse-names" : false, "suffix" : "" }, { "dropping-particle" : "", "family" : "Overpeck", "given" : "Jonathan", "non-dropping-particle" : "", "parse-names" : false, "suffix" : "" } ], "container-title" : "Climatic Change", "id" : "ITEM-1", "issue" : "1-2", "issued" : { "date-parts" : [ [ "2007", "3", "30" ] ] }, "page" : "77-92", "title" : "The influence of human activity in the Arctic on climate and climate impacts", "type" : "article-journal", "volume" : "82" }, "uris" : [ "http://www.mendeley.com/documents/?uuid=9353ab7e-201e-4e8e-ae25-a50253636d28" ] } ], "mendeley" : { "formattedCitation" : "(Huntington et al., 2007)", "plainTextFormattedCitation" : "(Huntington et al., 2007)", "previouslyFormattedCitation" : "(Huntington et al., 2007)"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(Huntington et al., 2007)</w:t>
      </w:r>
      <w:r w:rsidRPr="008608AA">
        <w:rPr>
          <w:rFonts w:eastAsia="Droid Sans Fallback"/>
        </w:rPr>
        <w:fldChar w:fldCharType="end"/>
      </w:r>
      <w:r w:rsidRPr="008608AA">
        <w:rPr>
          <w:rFonts w:eastAsia="Droid Sans Fallback"/>
        </w:rPr>
        <w:t xml:space="preserve">. This is likely to continue with implications for arctic biodiversity and Indigenous communities that depend on Tundra for their culture and livelihoods. While Indigenous communities are highly adaptive, options for tundra as a biome are limited. In other regions and for other units of analysis, natural adaptation by the biome is possible… arid areas may expand, temperate forests may move north, animals may shift their range along with changing climate envelopes, as have small mammals in North America </w:t>
      </w:r>
      <w:r w:rsidRPr="008608AA">
        <w:rPr>
          <w:rFonts w:eastAsia="Droid Sans Fallback"/>
        </w:rPr>
        <w:fldChar w:fldCharType="begin" w:fldLock="1"/>
      </w:r>
      <w:r w:rsidRPr="008608AA">
        <w:rPr>
          <w:rFonts w:eastAsia="Droid Sans Fallback"/>
        </w:rPr>
        <w:instrText>ADDIN CSL_CITATION { "citationItems" : [ { "id" : "ITEM-1", "itemData" : { "DOI" : "10.1111/j.1365-2486.2009.01846.x", "ISBN" : "1354-1013", "ISSN" : "13541013", "abstract" : "We use museum and other collection records to document large and extraordinarily rapid changes in the ranges and relative abundance of nine species of mammals in the northern Great Lakes region (white-footed mice, woodland deer mice, southern red-backed voles, woodland jumping mice, eastern chipmunks, least chipmunks, southern flying squirrels, northern flying squirrels, common opossums). These species reach either the southern or the northern limit of their distributions in this region. Changes consistently reflect increases in species of primarily southern distribution (white-footed mice, eastern chipmunks, southern flying squirrels, common opossums) and declines by northern species (woodland deer mice, southern red-backed voles, woodland jumping mice, least chipmunks, northern flying squirrels). White-footed mice and southern flying squirrels have extended their ranges over 225 km since 1980, and at particularly well-studied sites in Michigan's Upper Peninsula, small mammal assemblages have shifted from numerical domination by northern species to domination by southern species. Repeated resampling at some sites suggests that southern species are replacing northern ones rather than simply being added to the fauna. Observed changes are consistent with predictions from climatic warming but not with predictions based on recovery from logging or changes in human populations. Because of the abundance of these focal species (the eight rodent species make up 96.5% of capture records of all forest-dwelling rodents in the region and 70% of capture records of all forest-dwelling small mammals) and the dominating ecological roles they play, these changes substantially affect the composition and structure of forest communities. They also provide an unusually clear example of change that is likely to be the result of climatic warming in communities that are experienced by large numbers of people.", "author" : [ { "dropping-particle" : "", "family" : "Myers", "given" : "Philip", "non-dropping-particle" : "", "parse-names" : false, "suffix" : "" }, { "dropping-particle" : "", "family" : "Lundrigan", "given" : "Barbara L.", "non-dropping-particle" : "", "parse-names" : false, "suffix" : "" }, { "dropping-particle" : "", "family" : "Hoffman", "given" : "Susan M G", "non-dropping-particle" : "", "parse-names" : false, "suffix" : "" }, { "dropping-particle" : "", "family" : "Haraminac", "given" : "Allison Poor", "non-dropping-particle" : "", "parse-names" : false, "suffix" : "" }, { "dropping-particle" : "", "family" : "Seto", "given" : "Stephanie H.", "non-dropping-particle" : "", "parse-names" : false, "suffix" : "" } ], "container-title" : "Global Change Biology", "id" : "ITEM-1", "issue" : "6", "issued" : { "date-parts" : [ [ "2009" ] ] }, "page" : "1434-1454", "title" : "Climate-induced changes in the small mammal communities of the Northern Great Lakes Region", "type" : "article-journal", "volume" : "15" }, "uris" : [ "http://www.mendeley.com/documents/?uuid=876f083b-420b-4747-b511-36757ad43dd4" ] } ], "mendeley" : { "formattedCitation" : "(Myers, Lundrigan, Hoffman, Haraminac, &amp; Seto, 2009)", "plainTextFormattedCitation" : "(Myers, Lundrigan, Hoffman, Haraminac, &amp; Seto, 2009)", "previouslyFormattedCitation" : "(Myers, Lundrigan, Hoffman, Haraminac, &amp; Seto, 2009)"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(Myers</w:t>
      </w:r>
      <w:r w:rsidRPr="008608AA">
        <w:rPr>
          <w:rFonts w:eastAsia="Droid Sans Fallback"/>
          <w:noProof/>
        </w:rPr>
        <w:t xml:space="preserve"> et al., 2009)</w:t>
      </w:r>
      <w:r w:rsidRPr="008608AA">
        <w:rPr>
          <w:rFonts w:eastAsia="Droid Sans Fallback"/>
        </w:rPr>
        <w:fldChar w:fldCharType="end"/>
      </w:r>
      <w:r w:rsidRPr="008608AA">
        <w:rPr>
          <w:rFonts w:eastAsia="Droid Sans Fallback"/>
        </w:rPr>
        <w:t xml:space="preserve">. However, as tundra is already at the extreme reaches of the globe, such adaptive responses are limited to non-existent. </w:t>
      </w:r>
    </w:p>
    <w:p w14:paraId="2F0D0A32" w14:textId="42AAE0F3" w:rsidR="00490494" w:rsidRPr="008608AA" w:rsidRDefault="00240C7E" w:rsidP="00240C7E">
      <w:pPr>
        <w:pStyle w:val="Caption"/>
        <w:rPr>
          <w:bCs w:val="0"/>
        </w:rPr>
      </w:pPr>
      <w:bookmarkStart w:id="1972" w:name="_Toc499256992"/>
      <w:bookmarkStart w:id="1973" w:name="_Toc499817443"/>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5</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w:t>
      </w:r>
      <w:r w:rsidR="000E562E">
        <w:rPr>
          <w:noProof/>
        </w:rPr>
        <w:fldChar w:fldCharType="end"/>
      </w:r>
      <w:r w:rsidRPr="008608AA">
        <w:t xml:space="preserve">. </w:t>
      </w:r>
      <w:r w:rsidR="00490494" w:rsidRPr="008608AA">
        <w:rPr>
          <w:bCs w:val="0"/>
        </w:rPr>
        <w:t>Dealing with Ecological Variability and Change in Human-Caribou Systems</w:t>
      </w:r>
      <w:bookmarkEnd w:id="1972"/>
      <w:bookmarkEnd w:id="1973"/>
    </w:p>
    <w:tbl>
      <w:tblPr>
        <w:tblStyle w:val="TableGrid"/>
        <w:tblW w:w="0" w:type="auto"/>
        <w:tblLook w:val="04A0" w:firstRow="1" w:lastRow="0" w:firstColumn="1" w:lastColumn="0" w:noHBand="0" w:noVBand="1"/>
      </w:tblPr>
      <w:tblGrid>
        <w:gridCol w:w="9487"/>
      </w:tblGrid>
      <w:tr w:rsidR="001931EA" w:rsidRPr="00D16BCD" w14:paraId="3F045EDF" w14:textId="77777777" w:rsidTr="001931EA">
        <w:tc>
          <w:tcPr>
            <w:tcW w:w="9637" w:type="dxa"/>
          </w:tcPr>
          <w:p w14:paraId="589AA04C" w14:textId="7DA0F9D0" w:rsidR="001931EA" w:rsidRPr="00D16BCD" w:rsidRDefault="001931EA" w:rsidP="00240C7E">
            <w:pPr>
              <w:rPr>
                <w:szCs w:val="22"/>
                <w:lang w:eastAsia="ja-JP"/>
              </w:rPr>
            </w:pPr>
            <w:r w:rsidRPr="00D16BCD">
              <w:rPr>
                <w:rFonts w:eastAsia="Droid Sans Fallback"/>
                <w:szCs w:val="22"/>
              </w:rPr>
              <w:t>Indigenous communities from tundra (arctic and sub-arctic) regions of Canada and the USA are highly dependent on barren ground caribou (</w:t>
            </w:r>
            <w:r w:rsidRPr="00D16BCD">
              <w:rPr>
                <w:rFonts w:eastAsia="Droid Sans Fallback"/>
                <w:i/>
                <w:szCs w:val="22"/>
              </w:rPr>
              <w:t>Rangifer tarandus groenlandicus</w:t>
            </w:r>
            <w:r w:rsidRPr="00D16BCD">
              <w:rPr>
                <w:rFonts w:eastAsia="Droid Sans Fallback"/>
                <w:szCs w:val="22"/>
              </w:rPr>
              <w:t xml:space="preserve">) as a foundation of culture and livelihood. There are between 10-15 subpopulations of barren ground caribou in northern Canada and Alaska; both science and ILK tell us these populations tend to rise and fall in a 40-70 year cycle. Although there is much adaptive capacity within northern communities based on ILK, climate change as well as resource development are creating new stresses on human-caribou systems. For example, the Bathurst caribou, which last peaked at 475,000 animals, has declined by 90%, which has had dramatic implications for the diets and well-being of local Inuit, Dene and Metis peoples. Booms in mineral resource development such as diamond and rare earth metal mining, in the absence of a cumulative effects framework will lead to major challenges to arctic biodiversity as well as the sustainability of arctic peoples and livelihoods. The preservation of these resources for use by indigenous people is a major goal in this region </w:t>
            </w:r>
            <w:r w:rsidRPr="00D16BCD">
              <w:rPr>
                <w:rFonts w:eastAsia="Droid Sans Fallback"/>
                <w:szCs w:val="22"/>
              </w:rPr>
              <w:fldChar w:fldCharType="begin" w:fldLock="1"/>
            </w:r>
            <w:r w:rsidRPr="00D16BCD">
              <w:rPr>
                <w:rFonts w:eastAsia="Droid Sans Fallback"/>
                <w:szCs w:val="22"/>
              </w:rPr>
              <w:instrText>ADDIN CSL_CITATION { "citationItems" : [ { "id" : "ITEM-1", "itemData" : { "author" : [ { "dropping-particle" : "", "family" : "Environment Canada", "given" : "", "non-dropping-particle" : "", "parse-names" : false, "suffix" : "" } ], "id" : "ITEM-1", "issued" : { "date-parts" : [ [ "2016" ] ] }, "title" : "2020 Biodiversity Goals and Targets for Canada", "type" : "report" }, "uris" : [ "http://www.mendeley.com/documents/?uuid=cb440623-8984-4ba6-99f2-7e1069807913" ] }, { "id" : "ITEM-2", "itemData" : { "author" : [ { "dropping-particle" : "", "family" : "Gunn", "given" : "A.", "non-dropping-particle" : "", "parse-names" : false, "suffix" : "" }, { "dropping-particle" : "", "family" : "Russell", "given" : "D.", "non-dropping-particle" : "", "parse-names" : false, "suffix" : "" }, { "dropping-particle" : "", "family" : "Eamer", "given" : "J.", "non-dropping-particle" : "", "parse-names" : false, "suffix" : "" } ], "id" : "ITEM-2", "issued" : { "date-parts" : [ [ "2011" ] ] }, "title" : "Northern caribou population trends in Canada", "type" : "report" }, "uris" : [ "http://www.mendeley.com/documents/?uuid=910fdea9-bdca-409c-b412-4b91cef26f28" ] }, { "id" : "ITEM-3", "itemData" : { "author" : [ { "dropping-particle" : "", "family" : "Parlee", "given" : "B.", "non-dropping-particle" : "", "parse-names" : false, "suffix" : "" }, { "dropping-particle" : "", "family" : "Thorpe", "given" : "N.", "non-dropping-particle" : "", "parse-names" : false, "suffix" : "" }, { "dropping-particle" : "", "family" : "McNabb", "given" : "T.", "non-dropping-particle" : "", "parse-names" : false, "suffix" : "" } ], "id" : "ITEM-3", "issued" : { "date-parts" : [ [ "2013" ] ] }, "publisher-place" : "Edmonton", "title" : "Traditional Knowledge of Barren Ground Caribou", "type" : "report" }, "uris" : [ "http://www.mendeley.com/documents/?uuid=b6bb00b5-1ab4-4cc4-bb8c-4fed53e93778" ] } ], "mendeley" : { "formattedCitation" : "(Environment Canada, 2016; Gunn, Russell, &amp; Eamer, 2011; Parlee, Thorpe, &amp; McNabb, 2013)", "plainTextFormattedCitation" : "(Environment Canada, 2016; Gunn, Russell, &amp; Eamer, 2011; Parlee, Thorpe, &amp; McNabb, 2013)", "previouslyFormattedCitation" : "(Environment Canada, 2016; Gunn, Russell, &amp; Eamer, 2011; Parlee, Thorpe, &amp; McNabb, 2013)" }, "properties" : {  }, "schema" : "https://github.com/citation-style-language/schema/raw/master/csl-citation.json" }</w:instrText>
            </w:r>
            <w:r w:rsidRPr="00D16BCD">
              <w:rPr>
                <w:rFonts w:eastAsia="Droid Sans Fallback"/>
                <w:szCs w:val="22"/>
              </w:rPr>
              <w:fldChar w:fldCharType="separate"/>
            </w:r>
            <w:r w:rsidR="007B0660" w:rsidRPr="00D16BCD">
              <w:rPr>
                <w:rFonts w:eastAsia="Droid Sans Fallback"/>
                <w:noProof/>
                <w:szCs w:val="22"/>
              </w:rPr>
              <w:t>(Environment Canada, 2016; Gunn et al., 2011; Parlee</w:t>
            </w:r>
            <w:r w:rsidRPr="00D16BCD">
              <w:rPr>
                <w:rFonts w:eastAsia="Droid Sans Fallback"/>
                <w:noProof/>
                <w:szCs w:val="22"/>
              </w:rPr>
              <w:t xml:space="preserve"> et al</w:t>
            </w:r>
            <w:r w:rsidR="007B0660" w:rsidRPr="00D16BCD">
              <w:rPr>
                <w:rFonts w:eastAsia="Droid Sans Fallback"/>
                <w:noProof/>
                <w:szCs w:val="22"/>
              </w:rPr>
              <w:t>.</w:t>
            </w:r>
            <w:r w:rsidRPr="00D16BCD">
              <w:rPr>
                <w:rFonts w:eastAsia="Droid Sans Fallback"/>
                <w:noProof/>
                <w:szCs w:val="22"/>
              </w:rPr>
              <w:t>, 2013)</w:t>
            </w:r>
            <w:r w:rsidRPr="00D16BCD">
              <w:rPr>
                <w:rFonts w:eastAsia="Droid Sans Fallback"/>
                <w:szCs w:val="22"/>
              </w:rPr>
              <w:fldChar w:fldCharType="end"/>
            </w:r>
            <w:r w:rsidRPr="00D16BCD">
              <w:rPr>
                <w:rFonts w:eastAsia="Droid Sans Fallback"/>
                <w:szCs w:val="22"/>
              </w:rPr>
              <w:t>.</w:t>
            </w:r>
          </w:p>
        </w:tc>
      </w:tr>
    </w:tbl>
    <w:p w14:paraId="284572E8" w14:textId="77777777" w:rsidR="001931EA" w:rsidRPr="008608AA" w:rsidRDefault="001931EA" w:rsidP="001931EA">
      <w:pPr>
        <w:rPr>
          <w:lang w:eastAsia="ja-JP"/>
        </w:rPr>
      </w:pPr>
    </w:p>
    <w:p w14:paraId="0242880E" w14:textId="0F1007CE" w:rsidR="00240C7E" w:rsidRPr="00360ADC" w:rsidRDefault="00490494" w:rsidP="008E58B2">
      <w:pPr>
        <w:pStyle w:val="Heading3"/>
        <w:suppressAutoHyphens/>
        <w:spacing w:before="240"/>
        <w:jc w:val="center"/>
        <w:rPr>
          <w:rFonts w:eastAsia="Droid Sans Fallback"/>
          <w:noProof/>
          <w:lang w:val="en-US"/>
        </w:rPr>
      </w:pPr>
      <w:bookmarkStart w:id="1974" w:name="_Toc466995089"/>
      <w:bookmarkStart w:id="1975" w:name="_Toc472342782"/>
      <w:bookmarkStart w:id="1976" w:name="_Toc482711176"/>
      <w:bookmarkStart w:id="1977" w:name="_Toc499256888"/>
      <w:bookmarkStart w:id="1978" w:name="_Toc502953635"/>
      <w:bookmarkStart w:id="1979" w:name="_Toc502954928"/>
      <w:bookmarkStart w:id="1980" w:name="_Toc502957735"/>
      <w:bookmarkStart w:id="1981" w:name="_Toc502957934"/>
      <w:bookmarkStart w:id="1982" w:name="_Toc502958088"/>
      <w:bookmarkStart w:id="1983" w:name="_Toc503293157"/>
      <w:bookmarkStart w:id="1984" w:name="_Toc503293755"/>
      <w:bookmarkStart w:id="1985" w:name="_Toc503294017"/>
      <w:bookmarkStart w:id="1986" w:name="_Toc503863410"/>
      <w:bookmarkStart w:id="1987" w:name="_Toc503863638"/>
      <w:bookmarkStart w:id="1988" w:name="_Toc517393406"/>
      <w:bookmarkStart w:id="1989" w:name="_Toc517719147"/>
      <w:bookmarkStart w:id="1990" w:name="_Toc517797104"/>
      <w:r w:rsidRPr="00D16BCD">
        <w:rPr>
          <w:rFonts w:eastAsia="Droid Sans Fallback"/>
        </w:rPr>
        <w:t xml:space="preserve">Tropical </w:t>
      </w:r>
      <w:r w:rsidR="00FA3CBF" w:rsidRPr="00D16BCD">
        <w:rPr>
          <w:rFonts w:eastAsia="Droid Sans Fallback"/>
        </w:rPr>
        <w:t xml:space="preserve">and subtropical </w:t>
      </w:r>
      <w:r w:rsidRPr="00D16BCD">
        <w:rPr>
          <w:rFonts w:eastAsia="Droid Sans Fallback"/>
        </w:rPr>
        <w:t>savannas and grasslands</w:t>
      </w:r>
      <w:bookmarkEnd w:id="1974"/>
      <w:bookmarkEnd w:id="1975"/>
      <w:r w:rsidR="00FA3CBF" w:rsidRPr="00D16BCD">
        <w:rPr>
          <w:rFonts w:eastAsia="Droid Sans Fallback"/>
        </w:rPr>
        <w:t xml:space="preserve"> </w:t>
      </w:r>
      <w:r w:rsidR="00166947" w:rsidRPr="00D16BCD">
        <w:rPr>
          <w:rFonts w:eastAsia="Droid Sans Fallback"/>
        </w:rPr>
        <w:t>unit of analysis</w:t>
      </w:r>
      <w:r w:rsidRPr="00D16BCD">
        <w:rPr>
          <w:rFonts w:eastAsia="Droid Sans Fallback"/>
        </w:rPr>
        <w:t xml:space="preserve"> – Agriculturalization</w:t>
      </w:r>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p>
    <w:p w14:paraId="75082C25" w14:textId="57062759" w:rsidR="00D16BCD" w:rsidRPr="00D16BCD" w:rsidRDefault="00D16BCD" w:rsidP="00D16BCD">
      <w:pPr>
        <w:jc w:val="center"/>
        <w:rPr>
          <w:rFonts w:eastAsia="Droid Sans Fallback"/>
          <w:lang w:val="es-CO" w:eastAsia="es-CO"/>
        </w:rPr>
      </w:pPr>
      <w:r w:rsidRPr="008608AA">
        <w:rPr>
          <w:rFonts w:eastAsia="Droid Sans Fallback"/>
          <w:noProof/>
          <w:lang w:val="en-GB" w:eastAsia="en-GB"/>
        </w:rPr>
        <w:drawing>
          <wp:inline distT="0" distB="0" distL="0" distR="0" wp14:anchorId="222074CC" wp14:editId="522D8C6D">
            <wp:extent cx="5418240" cy="7809917"/>
            <wp:effectExtent l="0" t="0" r="0" b="635"/>
            <wp:docPr id="70" name="Imagen 70" descr="C:\Users\Alejandro Valderrama\Downloads\fIg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7" descr="C:\Users\Alejandro Valderrama\Downloads\fIg5.9.jpg"/>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5418240" cy="7809917"/>
                    </a:xfrm>
                    <a:prstGeom prst="rect">
                      <a:avLst/>
                    </a:prstGeom>
                    <a:noFill/>
                    <a:ln>
                      <a:noFill/>
                    </a:ln>
                  </pic:spPr>
                </pic:pic>
              </a:graphicData>
            </a:graphic>
          </wp:inline>
        </w:drawing>
      </w:r>
    </w:p>
    <w:p w14:paraId="56F8CAD8" w14:textId="3F1A7996" w:rsidR="0061675B" w:rsidRPr="008608AA" w:rsidRDefault="00490494" w:rsidP="00240C7E">
      <w:pPr>
        <w:suppressAutoHyphens/>
        <w:spacing w:before="240"/>
        <w:rPr>
          <w:rFonts w:eastAsia="Droid Sans Fallback"/>
        </w:rPr>
      </w:pPr>
      <w:r w:rsidRPr="008608AA">
        <w:rPr>
          <w:rFonts w:eastAsia="Droid Sans Fallback"/>
        </w:rPr>
        <w:t>Agriculture is the most important anthropogenic activity responsible for terrestrial biotic resource commodities, producing 2121.6 million tons of grain, 391.6 million tons of oilseed and 120.5 million tons of cotton globally in 2008 (USDA</w:t>
      </w:r>
      <w:r w:rsidR="00AE2413" w:rsidRPr="008608AA">
        <w:rPr>
          <w:rFonts w:eastAsia="Droid Sans Fallback"/>
        </w:rPr>
        <w:t>,</w:t>
      </w:r>
      <w:r w:rsidRPr="008608AA">
        <w:rPr>
          <w:rFonts w:eastAsia="Droid Sans Fallback"/>
        </w:rPr>
        <w:t xml:space="preserve"> 2009</w:t>
      </w:r>
      <w:r w:rsidR="004C33B7" w:rsidRPr="008608AA">
        <w:rPr>
          <w:rFonts w:eastAsia="Droid Sans Fallback"/>
        </w:rPr>
        <w:t>; UNEP 2010</w:t>
      </w:r>
      <w:r w:rsidRPr="008608AA">
        <w:rPr>
          <w:rFonts w:eastAsia="Droid Sans Fallback"/>
        </w:rPr>
        <w:t>). Wood harvesting, generally associated with tropical and subtropical regions, is another important activity for terrestrial biotic resource production, accounting for 1.55 billion m</w:t>
      </w:r>
      <w:r w:rsidRPr="008608AA">
        <w:rPr>
          <w:rFonts w:eastAsia="Droid Sans Fallback"/>
          <w:vertAlign w:val="superscript"/>
        </w:rPr>
        <w:t>3</w:t>
      </w:r>
      <w:r w:rsidRPr="008608AA">
        <w:rPr>
          <w:rFonts w:eastAsia="Droid Sans Fallback"/>
        </w:rPr>
        <w:t xml:space="preserve"> of wood annually (FAO, 200</w:t>
      </w:r>
      <w:r w:rsidR="004C33B7" w:rsidRPr="008608AA">
        <w:rPr>
          <w:rFonts w:eastAsia="Droid Sans Fallback"/>
        </w:rPr>
        <w:t>9</w:t>
      </w:r>
      <w:r w:rsidRPr="008608AA">
        <w:rPr>
          <w:rFonts w:eastAsia="Droid Sans Fallback"/>
        </w:rPr>
        <w:t>). Other activities implying significant terrestrial biotic resource extraction include grazing and energy production, which are relatively smaller compared to the two previous categories. In addition, relatively insignificant amounts of terrestrial biotic resource are extracted through recreational sports (mainly hunting) and pharmaceutical uses.</w:t>
      </w:r>
      <w:r w:rsidR="0061675B" w:rsidRPr="008608AA">
        <w:rPr>
          <w:rFonts w:eastAsia="Droid Sans Fallback"/>
        </w:rPr>
        <w:t xml:space="preserve"> </w:t>
      </w:r>
    </w:p>
    <w:p w14:paraId="061B7805" w14:textId="218A91B1" w:rsidR="00490494" w:rsidRPr="008608AA" w:rsidRDefault="00490494" w:rsidP="00240C7E">
      <w:pPr>
        <w:suppressAutoHyphens/>
        <w:spacing w:before="240"/>
        <w:rPr>
          <w:rFonts w:eastAsia="Droid Sans Fallback"/>
        </w:rPr>
      </w:pPr>
      <w:r w:rsidRPr="008608AA">
        <w:rPr>
          <w:rFonts w:eastAsia="Droid Sans Fallback"/>
        </w:rPr>
        <w:t xml:space="preserve">Tropical and subtropical grasslands, savannas and shrublands are well represented in South America (Figure 5.10). The Latin America and the Caribbean region support large areas of tropical savannas </w:t>
      </w:r>
      <w:r w:rsidR="003E0D07" w:rsidRPr="008608AA">
        <w:rPr>
          <w:rFonts w:eastAsia="Droid Sans Fallback"/>
        </w:rPr>
        <w:t>and temperate grasslands. The Rí</w:t>
      </w:r>
      <w:r w:rsidRPr="008608AA">
        <w:rPr>
          <w:rFonts w:eastAsia="Droid Sans Fallback"/>
        </w:rPr>
        <w:t>o de la Plata grasslands are the largest complex of temperate grasslands ecosystems in South America, covering approximately 750,000 km</w:t>
      </w:r>
      <w:r w:rsidRPr="008608AA">
        <w:rPr>
          <w:rFonts w:eastAsia="Droid Sans Fallback"/>
          <w:vertAlign w:val="superscript"/>
        </w:rPr>
        <w:t>2</w:t>
      </w:r>
      <w:r w:rsidRPr="008608AA">
        <w:rPr>
          <w:rFonts w:eastAsia="Droid Sans Fallback"/>
        </w:rPr>
        <w:t xml:space="preserve"> within the Pampas of Argentina and the Campos of Uruguay, northeastern Argentina, Paraguay, Bolivia (Chaco ecoregion) and southern Brazil. The highest rates of endemism in the grasslands of the region are found in the páramo and puna systems, covering the upper parts of the tropical Andes from southern Venezuela to northern Peru (WWF, 2016). </w:t>
      </w:r>
    </w:p>
    <w:p w14:paraId="07C9ED4C" w14:textId="4BA470CF" w:rsidR="00240C7E" w:rsidRPr="008608AA" w:rsidRDefault="00345EF6" w:rsidP="00240C7E">
      <w:pPr>
        <w:suppressAutoHyphens/>
        <w:spacing w:before="240"/>
        <w:jc w:val="center"/>
        <w:rPr>
          <w:rFonts w:eastAsia="Droid Sans Fallback"/>
        </w:rPr>
      </w:pPr>
      <w:r w:rsidRPr="008608AA">
        <w:rPr>
          <w:rFonts w:eastAsia="Droid Sans Fallback"/>
          <w:noProof/>
          <w:lang w:val="en-GB" w:eastAsia="en-GB"/>
        </w:rPr>
        <w:drawing>
          <wp:inline distT="0" distB="0" distL="0" distR="0" wp14:anchorId="1986B37F" wp14:editId="4BEBCEE4">
            <wp:extent cx="5934075" cy="4486275"/>
            <wp:effectExtent l="0" t="0" r="9525" b="9525"/>
            <wp:docPr id="71" name="Imagen 71" descr="C:\Users\Alejandro Valderrama\Downloads\Fig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9" descr="C:\Users\Alejandro Valderrama\Downloads\Fig5.10.jpg"/>
                    <pic:cNvPicPr>
                      <a:picLocks noChangeAspect="1" noChangeArrowheads="1"/>
                    </pic:cNvPicPr>
                  </pic:nvPicPr>
                  <pic:blipFill rotWithShape="1">
                    <a:blip r:embed="rId1035">
                      <a:extLst>
                        <a:ext uri="{28A0092B-C50C-407E-A947-70E740481C1C}">
                          <a14:useLocalDpi xmlns:a14="http://schemas.microsoft.com/office/drawing/2010/main" val="0"/>
                        </a:ext>
                      </a:extLst>
                    </a:blip>
                    <a:srcRect b="47550"/>
                    <a:stretch/>
                  </pic:blipFill>
                  <pic:spPr bwMode="auto">
                    <a:xfrm>
                      <a:off x="0" y="0"/>
                      <a:ext cx="5934075" cy="4486275"/>
                    </a:xfrm>
                    <a:prstGeom prst="rect">
                      <a:avLst/>
                    </a:prstGeom>
                    <a:noFill/>
                    <a:ln>
                      <a:noFill/>
                    </a:ln>
                    <a:extLst>
                      <a:ext uri="{53640926-AAD7-44D8-BBD7-CCE9431645EC}">
                        <a14:shadowObscured xmlns:a14="http://schemas.microsoft.com/office/drawing/2010/main"/>
                      </a:ext>
                    </a:extLst>
                  </pic:spPr>
                </pic:pic>
              </a:graphicData>
            </a:graphic>
          </wp:inline>
        </w:drawing>
      </w:r>
    </w:p>
    <w:p w14:paraId="6132D483" w14:textId="68A1449D" w:rsidR="00490494" w:rsidRPr="008608AA" w:rsidRDefault="00490494" w:rsidP="00240C7E">
      <w:pPr>
        <w:suppressAutoHyphens/>
        <w:spacing w:before="240"/>
        <w:rPr>
          <w:rFonts w:eastAsia="Droid Sans Fallback"/>
        </w:rPr>
      </w:pPr>
      <w:r w:rsidRPr="008608AA">
        <w:rPr>
          <w:rFonts w:eastAsia="Droid Sans Fallback"/>
        </w:rPr>
        <w:t>Tropical grasslands have, and will continue to be under pressure to support global demand for biomass and food, resulting tropical forest and savannas conversion for this purpose. Habitat change in particular in tropical regions has been a main cause of global losses of biodiversity. One of the areas where this transformation is resulting in transformation of land use is the savannas in the Chaco Region (Figure 5.11), as result of land demand for soybean production, cotton and cattle expansion.</w:t>
      </w:r>
    </w:p>
    <w:p w14:paraId="0DD22A3B" w14:textId="25A44F67" w:rsidR="00240C7E" w:rsidRPr="008608AA" w:rsidRDefault="00345EF6" w:rsidP="00240C7E">
      <w:pPr>
        <w:suppressAutoHyphens/>
        <w:spacing w:before="240"/>
        <w:jc w:val="center"/>
        <w:rPr>
          <w:rFonts w:eastAsia="Droid Sans Fallback"/>
        </w:rPr>
      </w:pPr>
      <w:r w:rsidRPr="008608AA">
        <w:rPr>
          <w:rFonts w:eastAsia="Droid Sans Fallback"/>
          <w:noProof/>
          <w:lang w:val="en-GB" w:eastAsia="en-GB"/>
        </w:rPr>
        <w:drawing>
          <wp:inline distT="0" distB="0" distL="0" distR="0" wp14:anchorId="42442866" wp14:editId="4BF6BBF5">
            <wp:extent cx="5934075" cy="5248275"/>
            <wp:effectExtent l="0" t="0" r="9525" b="9525"/>
            <wp:docPr id="72" name="Imagen 72" descr="C:\Users\Alejandro Valderrama\Downloads\Fig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1" descr="C:\Users\Alejandro Valderrama\Downloads\Fig5.11.jpg"/>
                    <pic:cNvPicPr>
                      <a:picLocks noChangeAspect="1" noChangeArrowheads="1"/>
                    </pic:cNvPicPr>
                  </pic:nvPicPr>
                  <pic:blipFill rotWithShape="1">
                    <a:blip r:embed="rId1036">
                      <a:extLst>
                        <a:ext uri="{28A0092B-C50C-407E-A947-70E740481C1C}">
                          <a14:useLocalDpi xmlns:a14="http://schemas.microsoft.com/office/drawing/2010/main" val="0"/>
                        </a:ext>
                      </a:extLst>
                    </a:blip>
                    <a:srcRect b="38641"/>
                    <a:stretch/>
                  </pic:blipFill>
                  <pic:spPr bwMode="auto">
                    <a:xfrm>
                      <a:off x="0" y="0"/>
                      <a:ext cx="5934075" cy="5248275"/>
                    </a:xfrm>
                    <a:prstGeom prst="rect">
                      <a:avLst/>
                    </a:prstGeom>
                    <a:noFill/>
                    <a:ln>
                      <a:noFill/>
                    </a:ln>
                    <a:extLst>
                      <a:ext uri="{53640926-AAD7-44D8-BBD7-CCE9431645EC}">
                        <a14:shadowObscured xmlns:a14="http://schemas.microsoft.com/office/drawing/2010/main"/>
                      </a:ext>
                    </a:extLst>
                  </pic:spPr>
                </pic:pic>
              </a:graphicData>
            </a:graphic>
          </wp:inline>
        </w:drawing>
      </w:r>
    </w:p>
    <w:p w14:paraId="4D7F4252" w14:textId="77777777" w:rsidR="007F7607" w:rsidRPr="008608AA" w:rsidRDefault="001931EA" w:rsidP="00240C7E">
      <w:pPr>
        <w:suppressAutoHyphens/>
        <w:spacing w:before="240"/>
        <w:rPr>
          <w:rFonts w:eastAsia="Droid Sans Fallback"/>
        </w:rPr>
      </w:pPr>
      <w:r w:rsidRPr="008608AA">
        <w:rPr>
          <w:rFonts w:eastAsia="Droid Sans Fallback"/>
        </w:rPr>
        <w:t>G</w:t>
      </w:r>
      <w:r w:rsidR="00490494" w:rsidRPr="008608AA">
        <w:rPr>
          <w:rFonts w:eastAsia="Droid Sans Fallback"/>
        </w:rPr>
        <w:t xml:space="preserve">rasslands in general, are the units of analysis that as a whole present a rising trend in all major pressures on biodiversity: land degradation and land use change; climate change; land-based pollution; unsustainable use of natural resources and invasive alien species. Regional biodiversity declines are most dramatic in the tropics. A recent analysis by </w:t>
      </w:r>
      <w:r w:rsidR="00490494" w:rsidRPr="008608AA">
        <w:rPr>
          <w:rFonts w:eastAsia="Droid Sans Fallback"/>
        </w:rPr>
        <w:fldChar w:fldCharType="begin" w:fldLock="1"/>
      </w:r>
      <w:r w:rsidR="00490494" w:rsidRPr="008608AA">
        <w:rPr>
          <w:rFonts w:eastAsia="Droid Sans Fallback"/>
        </w:rPr>
        <w:instrText>ADDIN CSL_CITATION { "citationItems" : [ { "id" : "ITEM-1", "itemData" : { "DOI" : "10.1038/sdata.2016.7", "ISSN" : "2052-4463", "author" : [ { "dropping-particle" : "", "family" : "Brooks", "given" : "Thomas M", "non-dropping-particle" : "", "parse-names" : false, "suffix" : "" }, { "dropping-particle" : "", "family" : "Ak\u00e7akaya", "given" : "H Resit", "non-dropping-particle" : "", "parse-names" : false, "suffix" : "" }, { "dropping-particle" : "", "family" : "Burgess", "given" : "Neil D", "non-dropping-particle" : "", "parse-names" : false, "suffix" : "" }, { "dropping-particle" : "", "family" : "Butchart", "given" : "Stuart H.M.", "non-dropping-particle" : "", "parse-names" : false, "suffix" : "" }, { "dropping-particle" : "", "family" : "Hilton-Taylor", "given" : "Craig", "non-dropping-particle" : "", "parse-names" : false, "suffix" : "" }, { "dropping-particle" : "", "family" : "Hoffmann", "given" : "Michael", "non-dropping-particle" : "", "parse-names" : false, "suffix" : "" }, { "dropping-particle" : "", "family" : "Juffe-Bignoli", "given" : "Diego", "non-dropping-particle" : "", "parse-names" : false, "suffix" : "" }, { "dropping-particle" : "", "family" : "Kingston", "given" : "Naomi", "non-dropping-particle" : "", "parse-names" : false, "suffix" : "" }, { "dropping-particle" : "", "family" : "MacSharry", "given" : "Brian", "non-dropping-particle" : "", "parse-names" : false, "suffix" : "" }, { "dropping-particle" : "", "family" : "Parr", "given" : "Mike", "non-dropping-particle" : "", "parse-names" : false, "suffix" : "" }, { "dropping-particle" : "", "family" : "Perianin", "given" : "Laurence", "non-dropping-particle" : "", "parse-names" : false, "suffix" : "" }, { "dropping-particle" : "", "family" : "Regan", "given" : "Eugenie C", "non-dropping-particle" : "", "parse-names" : false, "suffix" : "" }, { "dropping-particle" : "", "family" : "Rodrigues", "given" : "Ana S.L.", "non-dropping-particle" : "", "parse-names" : false, "suffix" : "" }, { "dropping-particle" : "", "family" : "Rondinini", "given" : "Carlo", "non-dropping-particle" : "", "parse-names" : false, "suffix" : "" }, { "dropping-particle" : "", "family" : "Shennan-Farpon", "given" : "Yara", "non-dropping-particle" : "", "parse-names" : false, "suffix" : "" }, { "dropping-particle" : "", "family" : "Young", "given" : "Bruce E", "non-dropping-particle" : "", "parse-names" : false, "suffix" : "" } ], "container-title" : "Scientific Data", "id" : "ITEM-1", "issued" : { "date-parts" : [ [ "2016", "2", "16" ] ] }, "page" : "160007", "title" : "Analysing biodiversity and conservation knowledge products to support regional environmental assessments", "type" : "article-journal", "volume" : "3" }, "uris" : [ "http://www.mendeley.com/documents/?uuid=97b02e00-0291-4bf9-87b4-d085a790ec73" ] } ], "mendeley" : { "formattedCitation" : "(Brooks et al., 2016)", "manualFormatting" : "Brooks et al. (2016)", "plainTextFormattedCitation" : "(Brooks et al., 2016)", "previouslyFormattedCitation" : "(Brooks et al., 2016)" }, "properties" : {  }, "schema" : "https://github.com/citation-style-language/schema/raw/master/csl-citation.json" }</w:instrText>
      </w:r>
      <w:r w:rsidR="00490494" w:rsidRPr="008608AA">
        <w:rPr>
          <w:rFonts w:eastAsia="Droid Sans Fallback"/>
        </w:rPr>
        <w:fldChar w:fldCharType="separate"/>
      </w:r>
      <w:r w:rsidR="00490494" w:rsidRPr="008608AA">
        <w:rPr>
          <w:rFonts w:eastAsia="Droid Sans Fallback"/>
          <w:noProof/>
        </w:rPr>
        <w:t>Brooks et al. (2016)</w:t>
      </w:r>
      <w:r w:rsidR="00490494" w:rsidRPr="008608AA">
        <w:rPr>
          <w:rFonts w:eastAsia="Droid Sans Fallback"/>
        </w:rPr>
        <w:fldChar w:fldCharType="end"/>
      </w:r>
      <w:r w:rsidR="00490494" w:rsidRPr="008608AA">
        <w:rPr>
          <w:rFonts w:eastAsia="Droid Sans Fallback"/>
        </w:rPr>
        <w:t xml:space="preserve">, using the UNEP (United Nations Environment Programme) regional and </w:t>
      </w:r>
      <w:r w:rsidR="007C45FD" w:rsidRPr="008608AA">
        <w:rPr>
          <w:rFonts w:eastAsia="Droid Sans Fallback"/>
        </w:rPr>
        <w:t>sub</w:t>
      </w:r>
      <w:r w:rsidR="00490494" w:rsidRPr="008608AA">
        <w:rPr>
          <w:rFonts w:eastAsia="Droid Sans Fallback"/>
        </w:rPr>
        <w:t xml:space="preserve">regional classification as employed at the International Union for Conservation of Nature global red list database, found that 13,835 species occur within the Latin America and the Caribbean region, and that 12 per cent of these are threatened with extinction. In America, tropical and temperate grasslands were a good provider of “new lands”, with soils rich in nutrients and good structure, and could be directly used for agriculture. Trends show a rising demand of land from these areas </w:t>
      </w:r>
      <w:r w:rsidR="00490494" w:rsidRPr="008608AA">
        <w:rPr>
          <w:rFonts w:eastAsia="Droid Sans Fallback"/>
        </w:rPr>
        <w:fldChar w:fldCharType="begin" w:fldLock="1"/>
      </w:r>
      <w:r w:rsidR="00490494" w:rsidRPr="008608AA">
        <w:rPr>
          <w:rFonts w:eastAsia="Droid Sans Fallback"/>
        </w:rPr>
        <w:instrText>ADDIN CSL_CITATION { "citationItems" : [ { "id" : "ITEM-1", "itemData" : { "DOI" : "10.1016/j.parkreldis.2015.02.017", "ISBN" : "9789221295709", "ISSN" : "13538020", "PMID" : "11995146", "author" : [ { "dropping-particle" : "", "family" : "UNEP", "given" : "", "non-dropping-particle" : "", "parse-names" : false, "suffix" : "" } ], "id" : "ITEM-1", "issued" : { "date-parts" : [ [ "2014", "5" ] ] }, "title" : "Annual Report 2014", "type" : "report" }, "uris" : [ "http://www.mendeley.com/documents/?uuid=1579c658-4a64-4075-a7d2-d9e2bc3fbfa5" ] } ], "mendeley" : { "formattedCitation" : "(UNEP, 2014)", "plainTextFormattedCitation" : "(UNEP, 2014)", "previouslyFormattedCitation" : "(UNEP, 2014)" }, "properties" : {  }, "schema" : "https://github.com/citation-style-language/schema/raw/master/csl-citation.json" }</w:instrText>
      </w:r>
      <w:r w:rsidR="00490494" w:rsidRPr="008608AA">
        <w:rPr>
          <w:rFonts w:eastAsia="Droid Sans Fallback"/>
        </w:rPr>
        <w:fldChar w:fldCharType="separate"/>
      </w:r>
      <w:r w:rsidR="00490494" w:rsidRPr="008608AA">
        <w:rPr>
          <w:rFonts w:eastAsia="Droid Sans Fallback"/>
          <w:noProof/>
        </w:rPr>
        <w:t>(UNEP, 2014)</w:t>
      </w:r>
      <w:r w:rsidR="00490494" w:rsidRPr="008608AA">
        <w:rPr>
          <w:rFonts w:eastAsia="Droid Sans Fallback"/>
        </w:rPr>
        <w:fldChar w:fldCharType="end"/>
      </w:r>
      <w:r w:rsidR="00490494" w:rsidRPr="008608AA">
        <w:rPr>
          <w:rFonts w:eastAsia="Droid Sans Fallback"/>
        </w:rPr>
        <w:t>. The food context is accompanied by rising demands for biofuels, biomaterials and biomass that compete among others with food supply</w:t>
      </w:r>
      <w:r w:rsidR="00FA3CBF" w:rsidRPr="008608AA">
        <w:rPr>
          <w:rFonts w:eastAsia="Droid Sans Fallback"/>
        </w:rPr>
        <w:t>. C</w:t>
      </w:r>
      <w:r w:rsidR="00490494" w:rsidRPr="008608AA">
        <w:rPr>
          <w:rFonts w:eastAsia="Droid Sans Fallback"/>
        </w:rPr>
        <w:t>hanging diets in the national and international context, produce trade-offs on the regional and local level and models of agriculture production.</w:t>
      </w:r>
      <w:r w:rsidR="007F7607" w:rsidRPr="008608AA">
        <w:rPr>
          <w:rFonts w:eastAsia="Droid Sans Fallback"/>
        </w:rPr>
        <w:t xml:space="preserve"> </w:t>
      </w:r>
    </w:p>
    <w:p w14:paraId="1B03AC5A" w14:textId="53957401" w:rsidR="001931EA" w:rsidRPr="008608AA" w:rsidRDefault="00490494" w:rsidP="00240C7E">
      <w:pPr>
        <w:suppressAutoHyphens/>
        <w:spacing w:before="240"/>
        <w:rPr>
          <w:rFonts w:eastAsia="Droid Sans Fallback"/>
        </w:rPr>
      </w:pPr>
      <w:r w:rsidRPr="008608AA">
        <w:rPr>
          <w:rFonts w:eastAsia="Droid Sans Fallback"/>
        </w:rPr>
        <w:t xml:space="preserve">Native grasslands and savannas formerly occupied truly immense areas of the Americas and large areas still exist, though in varying states of ecological integrity, such as Pampas/Chaco/Espinal, Great Plains/savanna, and Rolling Plains/Cerrado. However, much of the grasslands and savannahs of the Americas have been greatly impacted, especially in North and South America. Different organizational scales are directly related to the grassland transformations. International trade and global demand for food, feed, biomass for biofuels, biomaterial and others, resulted in government policies that promote exports, which in turn are driving forces transforming lands for extensive agriculture and cattle grazing to fit the requirements of international markets. The issue is generating two syndromes that affect sustainability of grasslands: </w:t>
      </w:r>
      <w:r w:rsidRPr="008608AA">
        <w:rPr>
          <w:rFonts w:eastAsia="Droid Sans Fallback"/>
          <w:i/>
        </w:rPr>
        <w:t xml:space="preserve">agriculturisation </w:t>
      </w:r>
      <w:r w:rsidRPr="008608AA">
        <w:rPr>
          <w:rFonts w:eastAsia="Droid Sans Fallback"/>
        </w:rPr>
        <w:t xml:space="preserve">and </w:t>
      </w:r>
      <w:r w:rsidRPr="008608AA">
        <w:rPr>
          <w:rFonts w:eastAsia="Droid Sans Fallback"/>
          <w:i/>
        </w:rPr>
        <w:t>pampeanisation</w:t>
      </w:r>
      <w:r w:rsidRPr="008608AA">
        <w:rPr>
          <w:rFonts w:eastAsia="Droid Sans Fallback"/>
        </w:rPr>
        <w:t xml:space="preserve"> (savannisation) </w:t>
      </w:r>
      <w:r w:rsidRPr="008608AA">
        <w:rPr>
          <w:rFonts w:eastAsia="Droid Sans Fallback"/>
        </w:rPr>
        <w:fldChar w:fldCharType="begin" w:fldLock="1"/>
      </w:r>
      <w:r w:rsidRPr="008608AA">
        <w:rPr>
          <w:rFonts w:eastAsia="Droid Sans Fallback"/>
        </w:rPr>
        <w:instrText>ADDIN CSL_CITATION { "citationItems" : [ { "id" : "ITEM-1", "itemData" : { "DOI" : "10.1177/0270467605277290", "ISSN" : "0270-4676", "abstract" : "There is no doubt that soybean is the most important crop for Argentina, with a planted surface that rose 11,000,000 hectares and a production of around 35,000,000 metric tons. During the 1990s, there was a significant agriculture transformation in the country, motorize by the adoption of transgenic crops (soy-bean, maize, and cotton) under the no-tillage system. The expansion of this model has been spread not only in the Pampas but also in very rich areas with high biodiversity, opening a new agricultural border to important eco-regions like the Yungas, Great Chaco, and the Mesopotamian Forest. Transgenic cropping is a powerful technology. This produced relevant transformations over the environment and society where it is allowed. Migration, concentration of agribusiness, and loss of food sovereignty are some of the social results. Landscape transformation in the rural sector is evident, and the appearance of tolerance weeds to glyphosate is a reality. Nutrient depletion, soil-structure degradation, pote...", "author" : [ { "dropping-particle" : "", "family" : "Pengue", "given" : "Walter A.", "non-dropping-particle" : "", "parse-names" : false, "suffix" : "" } ], "container-title" : "Bulletin of Science, Technology &amp; Society", "id" : "ITEM-1", "issue" : "4", "issued" : { "date-parts" : [ [ "2005", "8", "27" ] ] }, "page" : "314-322", "publisher" : "Sage PublicationsSage CA: Thousand Oaks, CA", "title" : "Transgenic Crops in Argentina: The Ecological and Social Debt", "type" : "article-journal", "volume" : "25" }, "uris" : [ "http://www.mendeley.com/documents/?uuid=85e0fc48-b28b-3bbd-b8c2-0daffb0e86d4" ] }, { "id" : "ITEM-2", "itemData" : { "ISBN" : "9213228287", "author" : [ { "dropping-particle" : "", "family" : "Manuel-Navarrete", "given" : "D", "non-dropping-particle" : "", "parse-names" : false, "suffix" : "" }, { "dropping-particle" : "", "family" : "Gallop\u00edn", "given" : "G", "non-dropping-particle" : "", "parse-names" : false, "suffix" : "" }, { "dropping-particle" : "", "family" : "Blanco", "given" : "M", "non-dropping-particle" : "", "parse-names" : false, "suffix" : "" }, { "dropping-particle" : "", "family" : "D\u00edaz-Zorrita", "given" : "M.", "non-dropping-particle" : "", "parse-names" : false, "suffix" : "" }, { "dropping-particle" : "", "family" : "Ferraro", "given" : "D", "non-dropping-particle" : "", "parse-names" : false, "suffix" : "" }, { "dropping-particle" : "", "family" : "Herzer", "given" : "H", "non-dropping-particle" : "", "parse-names" : false, "suffix" : "" }, { "dropping-particle" : "", "family" : "Laterra", "given" : "P", "non-dropping-particle" : "", "parse-names" : false, "suffix" : "" }, { "dropping-particle" : "", "family" : "Morello", "given" : "J", "non-dropping-particle" : "", "parse-names" : false, "suffix" : "" }, { "dropping-particle" : "", "family" : "Murmis", "given" : "MR", "non-dropping-particle" : "", "parse-names" : false, "suffix" : "" }, { "dropping-particle" : "", "family" : "Pengue", "given" : "W", "non-dropping-particle" : "", "parse-names" : false, "suffix" : "" }, { "dropping-particle" : "", "family" : "Pineiro", "given" : "M", "non-dropping-particle" : "", "parse-names" : false, "suffix" : "" }, { "dropping-particle" : "", "family" : "Podest\u00e1", "given" : "G", "non-dropping-particle" : "", "parse-names" : false, "suffix" : "" }, { "dropping-particle" : "", "family" : "Satorre", "given" : "EH", "non-dropping-particle" : "", "parse-names" : false, "suffix" : "" }, { "dropping-particle" : "", "family" : "Torrent", "given" : "M", "non-dropping-particle" : "", "parse-names" : false, "suffix" : "" }, { "dropping-particle" : "", "family" : "Torres", "given" : "F", "non-dropping-particle" : "", "parse-names" : false, "suffix" : "" }, { "dropping-particle" : "", "family" : "Viglizzo", "given" : "E", "non-dropping-particle" : "", "parse-names" : false, "suffix" : "" }, { "dropping-particle" : "", "family" : "Caputo", "given" : "MG", "non-dropping-particle" : "", "parse-names" : false, "suffix" : "" }, { "dropping-particle" : "", "family" : "Celis", "given" : "A", "non-dropping-particle" : "", "parse-names" : false, "suffix" : "" } ], "container-title" : "Serie de Medio Ambiente y Desarrollo", "id" : "ITEM-2", "issue" : "118", "issued" : { "date-parts" : [ [ "2005" ] ] }, "number-of-pages" : "65", "publisher-place" : "Santiago de Chile", "title" : "An\u00e1lisis sist\u00e9mico de la agriculturizaci\u00f3n en la pampa h\u00fameda argentina y sus consecuencias en regiones extra- pampeanas: sostenibilidad, brechas de conocimiento e integraci\u00f3n de pol\u00edticas", "type" : "report", "volume" : "118" }, "uris" : [ "http://www.mendeley.com/documents/?uuid=e3af0182-ffb1-4e1a-9214-1f6adf77bb8e" ] } ], "mendeley" : { "formattedCitation" : "(Manuel-Navarrete et al., 2005; W. A. Pengue, 2005)", "plainTextFormattedCitation" : "(Manuel-Navarrete et al., 2005; W. A. Pengue, 2005)", "previouslyFormattedCitation" : "(Manuel-Navarrete et al., 2005; W. A. Pengue, 2005)"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(Manuel-Navarrete et al., 2005; Pengue, 2005)</w:t>
      </w:r>
      <w:r w:rsidRPr="008608AA">
        <w:rPr>
          <w:rFonts w:eastAsia="Droid Sans Fallback"/>
        </w:rPr>
        <w:fldChar w:fldCharType="end"/>
      </w:r>
      <w:r w:rsidRPr="008608AA">
        <w:rPr>
          <w:rFonts w:eastAsia="Droid Sans Fallback"/>
        </w:rPr>
        <w:t>.</w:t>
      </w:r>
    </w:p>
    <w:p w14:paraId="27902793" w14:textId="77777777" w:rsidR="00345EF6" w:rsidRPr="008608AA" w:rsidRDefault="00345EF6" w:rsidP="00240C7E">
      <w:pPr>
        <w:suppressAutoHyphens/>
        <w:spacing w:before="240"/>
        <w:rPr>
          <w:rFonts w:eastAsia="Droid Sans Fallback"/>
        </w:rPr>
      </w:pPr>
    </w:p>
    <w:p w14:paraId="69A5FEF5" w14:textId="77777777" w:rsidR="00CF6BD8" w:rsidRPr="008608AA" w:rsidRDefault="00490494" w:rsidP="00CF6BD8">
      <w:pPr>
        <w:widowControl w:val="0"/>
        <w:suppressAutoHyphens/>
        <w:rPr>
          <w:rFonts w:eastAsia="Droid Sans Fallback"/>
          <w:b/>
        </w:rPr>
      </w:pPr>
      <w:r w:rsidRPr="008608AA">
        <w:rPr>
          <w:rFonts w:eastAsia="Droid Sans Fallback"/>
          <w:b/>
        </w:rPr>
        <w:t>Grasslands current scenario and regional analysis</w:t>
      </w:r>
    </w:p>
    <w:p w14:paraId="1BA3B91B" w14:textId="2032F890" w:rsidR="00CF6BD8" w:rsidRPr="008608AA" w:rsidRDefault="00CF6BD8" w:rsidP="00CF6BD8">
      <w:pPr>
        <w:widowControl w:val="0"/>
        <w:suppressAutoHyphens/>
        <w:rPr>
          <w:rFonts w:eastAsia="Droid Sans Fallback"/>
          <w:b/>
        </w:rPr>
      </w:pPr>
      <w:r w:rsidRPr="008608AA">
        <w:rPr>
          <w:rFonts w:eastAsia="Droid Sans Fallback"/>
          <w:b/>
        </w:rPr>
        <w:t xml:space="preserve"> </w:t>
      </w:r>
    </w:p>
    <w:p w14:paraId="38090509" w14:textId="0AC75E82" w:rsidR="00490494" w:rsidRPr="008608AA" w:rsidRDefault="00490494" w:rsidP="00240C7E">
      <w:pPr>
        <w:widowControl w:val="0"/>
        <w:suppressAutoHyphens/>
        <w:rPr>
          <w:rFonts w:eastAsia="Droid Sans Fallback"/>
        </w:rPr>
      </w:pPr>
      <w:r w:rsidRPr="008608AA">
        <w:rPr>
          <w:rFonts w:eastAsia="Droid Sans Fallback"/>
        </w:rPr>
        <w:t xml:space="preserve">During the last 20 years, significant challenges exist in any attempt to address the continued land use changes from grasslands and savannahs to agricultural systems due to spatial, economic and temporal considerations. Tropical and subtropical savannas, represented by the Chaco Region, are a good example of the deforestation expansion with focus on soybean expansion for sustaining international demand. Forest cover change monitoring in the Gran Chaco region in South America was undertaken using visual interpretation of Landsat satellite images, taken at monthly intervals throughout 2013. The Gran Chaco Americano is a region of forest habitat converted to savanna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"Morello", "given" : "J.", "non-dropping-particle" : "", "parse-names" : false, "suffix" : "" }, { "dropping-particle" : "", "family" : "Matteucci", "given" : "S.D.", "non-dropping-particle" : "", "parse-names" : false, "suffix" : "" }, { "dropping-particle" : "", "family" : "Rodr\u00edguez", "given" : "A.F.", "non-dropping-particle" : "", "parse-names" : false, "suffix" : "" }, { "dropping-particle" : "", "family" : "Silva", "given" : "M.E.", "non-dropping-particle" : "", "parse-names" : false, "suffix" : "" } ], "id" : "ITEM-1", "issued" : { "date-parts" : [ [ "2012" ] ] }, "publisher" : "Editorial Orientaci\u00f3n Gr\u00e1fica", "publisher-place" : "Buenos Aires, Argentina", "title" : "Ecorregiones y Complejos Ecosist\u00e9micos Argentinos", "type" : "book" }, "uris" : [ "http://www.mendeley.com/documents/?uuid=f1be4692-ac9f-45e6-81ce-5b0870024f74" ] } ], "mendeley" : { "formattedCitation" : "(Morello, Matteucci, Rodr\u00edguez, &amp; Silva, 2012)", "plainTextFormattedCitation" : "(Morello, Matteucci, Rodr\u00edguez, &amp; Silva, 2012)", "previouslyFormattedCitation" : "(Morello, Matteucci, Rodr\u00edguez, &amp; Silva, 2012)"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(Morello</w:t>
      </w:r>
      <w:r w:rsidRPr="008608AA">
        <w:rPr>
          <w:rFonts w:eastAsia="Droid Sans Fallback"/>
          <w:noProof/>
        </w:rPr>
        <w:t xml:space="preserve"> et al., 2012)</w:t>
      </w:r>
      <w:r w:rsidRPr="008608AA">
        <w:rPr>
          <w:rFonts w:eastAsia="Droid Sans Fallback"/>
        </w:rPr>
        <w:fldChar w:fldCharType="end"/>
      </w:r>
      <w:r w:rsidRPr="008608AA">
        <w:rPr>
          <w:rFonts w:eastAsia="Droid Sans Fallback"/>
        </w:rPr>
        <w:t xml:space="preserve">, with exceptional biological diversity and unique ecological processes being impacted. </w:t>
      </w:r>
      <w:r w:rsidR="00AE2413" w:rsidRPr="008608AA">
        <w:rPr>
          <w:rFonts w:eastAsia="Droid Sans Fallback"/>
        </w:rPr>
        <w:t>“</w:t>
      </w:r>
      <w:r w:rsidRPr="008608AA">
        <w:rPr>
          <w:rFonts w:eastAsia="Droid Sans Fallback"/>
        </w:rPr>
        <w:t>It covers an area of 1,066,000 km</w:t>
      </w:r>
      <w:r w:rsidRPr="008608AA">
        <w:rPr>
          <w:rFonts w:eastAsia="Droid Sans Fallback"/>
          <w:vertAlign w:val="superscript"/>
        </w:rPr>
        <w:t>2</w:t>
      </w:r>
      <w:r w:rsidRPr="008608AA">
        <w:rPr>
          <w:rFonts w:eastAsia="Droid Sans Fallback"/>
        </w:rPr>
        <w:t xml:space="preserve"> in four Latin America and the Caribbean countries; most of the region is in Argentina, followed by Bolivia, Paraguay and in smaller proportion, Brazil. Changes in land use were detected in 502,308 ha in 2013, the equivalent to a deforestation rate of 1,376 ha per day. Paraguay had the highest proportion of land use change recorded with 236,869 ha, followed by Argentina with 222,475 ha, and then Bolivia with 42,963 ha. According to the spatial distribution and trend of deforestation identified at the provincial, departmental, and municipal level, the Boqueron and Alto Paraguay departments had the highest rates of deforestation recorded around the Gran Chaco region</w:t>
      </w:r>
      <w:r w:rsidR="00AE2413" w:rsidRPr="008608AA">
        <w:rPr>
          <w:rFonts w:eastAsia="Droid Sans Fallback"/>
        </w:rPr>
        <w:t xml:space="preserve">”. </w:t>
      </w:r>
      <w:r w:rsidR="00AE2413" w:rsidRPr="008608AA">
        <w:rPr>
          <w:rFonts w:eastAsia="Droid Sans Fallback"/>
        </w:rPr>
        <w:fldChar w:fldCharType="begin" w:fldLock="1"/>
      </w:r>
      <w:r w:rsidR="00AE2413" w:rsidRPr="008608AA">
        <w:rPr>
          <w:rFonts w:eastAsia="Droid Sans Fallback"/>
        </w:rPr>
        <w:instrText>ADDIN CSL_CITATION { "citationItems" : [ { "id" : "ITEM-1", "itemData" : { "ISBN" : "9789280735086", "author" : [ { "dropping-particle" : "", "family" : "UNEP-WCMC", "given" : "", "non-dropping-particle" : "", "parse-names" : false, "suffix" : "" } ], "id" : "ITEM-1", "issued" : { "date-parts" : [ [ "2016" ] ] }, "number-of-pages" : "104", "publisher" : "UNEP-WCMC", "publisher-place" : "Cambridge, UK", "title" : "The state of biodiversity in Africa : a mid-term review of progress towards the Aichi Biodiversity Targets", "type" : "book" }, "uris" : [ "http://www.mendeley.com/documents/?uuid=65f4f400-d2bf-4016-851a-986d2e538a73" ] } ], "mendeley" : { "formattedCitation" : "(UNEP-WCMC 2016)", "plainTextFormattedCitation" : "(UNEP-WCMC 2016)", "previouslyFormattedCitation" : "(UNEP-WCMC 2016)" }, "properties" : {  }, "schema" : "https://github.com/citation-style-language/schema/raw/master/csl-citation.json" }</w:instrText>
      </w:r>
      <w:r w:rsidR="00AE2413" w:rsidRPr="008608AA">
        <w:rPr>
          <w:rFonts w:eastAsia="Droid Sans Fallback"/>
        </w:rPr>
        <w:fldChar w:fldCharType="separate"/>
      </w:r>
      <w:r w:rsidR="00AE2413" w:rsidRPr="008608AA">
        <w:rPr>
          <w:rFonts w:eastAsia="Droid Sans Fallback"/>
          <w:noProof/>
        </w:rPr>
        <w:t>(UNEP-WCMC</w:t>
      </w:r>
      <w:r w:rsidR="007B0660" w:rsidRPr="008608AA">
        <w:rPr>
          <w:rFonts w:eastAsia="Droid Sans Fallback"/>
          <w:noProof/>
        </w:rPr>
        <w:t>,</w:t>
      </w:r>
      <w:r w:rsidR="00AE2413" w:rsidRPr="008608AA">
        <w:rPr>
          <w:rFonts w:eastAsia="Droid Sans Fallback"/>
          <w:noProof/>
        </w:rPr>
        <w:t xml:space="preserve"> 2016)</w:t>
      </w:r>
      <w:r w:rsidR="00AE2413" w:rsidRPr="008608AA">
        <w:rPr>
          <w:rFonts w:eastAsia="Droid Sans Fallback"/>
        </w:rPr>
        <w:fldChar w:fldCharType="end"/>
      </w:r>
      <w:r w:rsidRPr="008608AA">
        <w:rPr>
          <w:rFonts w:eastAsia="Droid Sans Fallback"/>
        </w:rPr>
        <w:t>. In Argentina, deforestation is concentrated in the provinces of Santiago del Estero, Salta and Chaco; whereas in Bolivia the province with the largest area of change was Santa Cruz.</w:t>
      </w:r>
    </w:p>
    <w:p w14:paraId="5FAEE835" w14:textId="77777777" w:rsidR="007F7607" w:rsidRPr="008608AA" w:rsidRDefault="007F7607" w:rsidP="00240C7E">
      <w:pPr>
        <w:widowControl w:val="0"/>
        <w:suppressAutoHyphens/>
        <w:rPr>
          <w:rFonts w:eastAsia="Droid Sans Fallback"/>
        </w:rPr>
      </w:pPr>
    </w:p>
    <w:p w14:paraId="4D1308E7" w14:textId="7846C6F9" w:rsidR="00490494" w:rsidRPr="008608AA" w:rsidRDefault="00490494" w:rsidP="00240C7E">
      <w:pPr>
        <w:suppressAutoHyphens/>
        <w:rPr>
          <w:rFonts w:eastAsia="Droid Sans Fallback"/>
        </w:rPr>
      </w:pPr>
      <w:r w:rsidRPr="008608AA">
        <w:rPr>
          <w:rFonts w:eastAsia="Droid Sans Fallback"/>
        </w:rPr>
        <w:t xml:space="preserve">With a loss of over half a million hectares of forests in 2013, the land-use change in the Gran Chaco region is of great concern, and is primarily driven by the international demand for food, particularly meat production in Paraguay and soybean in Argentina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"Caballero", "given" : "J.", "non-dropping-particle" : "", "parse-names" : false, "suffix" : "" }, { "dropping-particle" : "", "family" : "Palacios", "given" : "F.", "non-dropping-particle" : "", "parse-names" : false, "suffix" : "" }, { "dropping-particle" : "", "family" : "Ar\u00e9valos", "given" : "F.", "non-dropping-particle" : "", "parse-names" : false, "suffix" : "" }, { "dropping-particle" : "", "family" : "Rodas", "given" : "O.", "non-dropping-particle" : "", "parse-names" : false, "suffix" : "" }, { "dropping-particle" : "", "family" : "Yanosky", "given" : "A. A.", "non-dropping-particle" : "", "parse-names" : false, "suffix" : "" } ], "container-title" : "Paraquaria Natural", "id" : "ITEM-1", "issue" : "1", "issued" : { "date-parts" : [ [ "2013" ] ] }, "page" : "21-28", "title" : "Cambio de uso de la tierra en el Gran Chaco Americano en el a\u00f1o 2013", "type" : "article-journal", "volume" : "2" }, "uris" : [ "http://www.mendeley.com/documents/?uuid=3432f738-161b-4ea0-b44c-ad3f433fc3bf" ] } ], "mendeley" : { "formattedCitation" : "(Caballero, Palacios, Ar\u00e9valos, Rodas, &amp; Yanosky, 2013)", "plainTextFormattedCitation" : "(Caballero, Palacios, Ar\u00e9valos, Rodas, &amp; Yanosky, 2013)", "previouslyFormattedCitation" : "(Caballero, Palacios, Ar\u00e9valos, Rodas, &amp; Yanosky, 2013)"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(Caballero</w:t>
      </w:r>
      <w:r w:rsidRPr="008608AA">
        <w:rPr>
          <w:rFonts w:eastAsia="Droid Sans Fallback"/>
          <w:noProof/>
        </w:rPr>
        <w:t xml:space="preserve"> et al., 2013)</w:t>
      </w:r>
      <w:r w:rsidRPr="008608AA">
        <w:rPr>
          <w:rFonts w:eastAsia="Droid Sans Fallback"/>
        </w:rPr>
        <w:fldChar w:fldCharType="end"/>
      </w:r>
      <w:r w:rsidRPr="008608AA">
        <w:rPr>
          <w:rFonts w:eastAsia="Droid Sans Fallback"/>
        </w:rPr>
        <w:t>. Trade-offs in terms of land demand, rural development and national incomes are critical issues. Local or international goals could produce different results.</w:t>
      </w:r>
    </w:p>
    <w:p w14:paraId="33AF11CE" w14:textId="77777777" w:rsidR="007F7607" w:rsidRPr="008608AA" w:rsidRDefault="007F7607" w:rsidP="00240C7E">
      <w:pPr>
        <w:suppressAutoHyphens/>
        <w:rPr>
          <w:rFonts w:eastAsia="Droid Sans Fallback"/>
        </w:rPr>
      </w:pPr>
    </w:p>
    <w:p w14:paraId="74195F6B" w14:textId="77777777" w:rsidR="007F7607" w:rsidRPr="008608AA" w:rsidRDefault="00490494" w:rsidP="00240C7E">
      <w:pPr>
        <w:suppressAutoHyphens/>
        <w:rPr>
          <w:rFonts w:eastAsia="Droid Sans Fallback"/>
        </w:rPr>
      </w:pPr>
      <w:r w:rsidRPr="008608AA">
        <w:rPr>
          <w:rFonts w:eastAsia="Droid Sans Fallback"/>
        </w:rPr>
        <w:t xml:space="preserve">Main drivers are related to changing diets in western and eastern societies, China demands and the introgression of financial markets and big investors in rural communities and an expanding middle-class  </w:t>
      </w:r>
      <w:r w:rsidRPr="008608AA">
        <w:rPr>
          <w:rFonts w:eastAsia="Droid Sans Fallback"/>
        </w:rPr>
        <w:fldChar w:fldCharType="begin" w:fldLock="1"/>
      </w:r>
      <w:r w:rsidRPr="008608AA">
        <w:rPr>
          <w:rFonts w:eastAsia="Droid Sans Fallback"/>
        </w:rPr>
        <w:instrText>ADDIN CSL_CITATION { "citationItems" : [ { "id" : "ITEM-1", "itemData" : { "DOI" : "10.1016/j.parkreldis.2015.02.017", "ISBN" : "9789221295709", "ISSN" : "13538020", "PMID" : "11995146", "author" : [ { "dropping-particle" : "", "family" : "UNEP", "given" : "", "non-dropping-particle" : "", "parse-names" : false, "suffix" : "" } ], "id" : "ITEM-1", "issued" : { "date-parts" : [ [ "2014", "5" ] ] }, "title" : "Annual Report 2014", "type" : "report" }, "uris" : [ "http://www.mendeley.com/documents/?uuid=1579c658-4a64-4075-a7d2-d9e2bc3fbfa5" ] } ], "mendeley" : { "formattedCitation" : "(UNEP, 2014)", "plainTextFormattedCitation" : "(UNEP, 2014)", "previouslyFormattedCitation" : "(UNEP,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(UNEP, 2014)</w:t>
      </w:r>
      <w:r w:rsidRPr="008608AA">
        <w:rPr>
          <w:rFonts w:eastAsia="Droid Sans Fallback"/>
        </w:rPr>
        <w:fldChar w:fldCharType="end"/>
      </w:r>
      <w:r w:rsidRPr="008608AA">
        <w:rPr>
          <w:rFonts w:eastAsia="Droid Sans Fallback"/>
        </w:rPr>
        <w:t xml:space="preserve"> are changing the main global goal for societies: food security. On the other hand, decisive action is needed to change the present trajectory. Policies, which would limit or counter the demand of land and land use changes, particularly in developing countries, where cashcrops are seen as an opportunity to take advantage of a global demand. Agricultural intensification and expansion of arable land in tropical and subtropical grasslands for international trade will continue to expand. Latin America and the Caribbean region is regarded as second, only to sub-Saharan Africa, in terms of the potential for further arable expansion </w:t>
      </w:r>
      <w:r w:rsidRPr="008608AA">
        <w:rPr>
          <w:rFonts w:eastAsia="Droid Sans Fallback"/>
        </w:rPr>
        <w:fldChar w:fldCharType="begin" w:fldLock="1"/>
      </w:r>
      <w:r w:rsidRPr="008608AA">
        <w:rPr>
          <w:rFonts w:eastAsia="Droid Sans Fallback"/>
        </w:rPr>
        <w:instrText>ADDIN CSL_CITATION { "citationItems" : [ { "id" : "ITEM-1", "itemData" : { "DOI" : "10.1016/J.GLOENVCHA.2013.05.005", "ISSN" : "0959-3780", "abstract" : "Previous estimates of the land area available for future cropland expansion relied on global-scale climate, soil and terrain data. They did not include a range of constraints and tradeoffs associated with land conversion. As a result, estimates of the global land reserve have been high. Here we adjust these estimates for the aforementioned constraints and tradeoffs. We define potentially available cropland as the moderately to highly productive land that could be used in the coming years for rainfed farming, with low to moderate capital investments, and that is not under intact mature forests, legally protected, or already intensively managed. This productive land is underutilized rather than unused as it has ecological or social functions. We also define potentially available cropland that accounts for trade-offs between gains in agricultural production and losses in ecosystem and social services from intensified agriculture, to include only the potentially available cropland that would entail low ecological and social costs with conversion to cropland. In contrast to previous studies, we adopt a \u201cbottom-up\u201d approach by analyzing detailed, fine scale observations with expert knowledge for six countries or regions that are often assumed to include most of potentially available cropland. We conclude first that there is substantially less potential additional cropland than is generally assumed once constraints and trade offs are taken into account, and secondly that converting land is always associated with significant social and ecological costs. Future expansion of agricultural production will encounter a complex landscape of competing demands and tradeoffs.", "author" : [ { "dropping-particle" : "", "family" : "Lambin", "given" : "E.F.", "non-dropping-particle" : "", "parse-names" : false, "suffix" : "" }, { "dropping-particle" : "", "family" : "Gibbs", "given" : "H.K.", "non-dropping-particle" : "", "parse-names" : false, "suffix" : "" }, { "dropping-particle" : "", "family" : "Ferreira", "given" : "L.", "non-dropping-particle" : "", "parse-names" : false, "suffix" : "" }, { "dropping-particle" : "", "family" : "Grau", "given" : "R.", "non-dropping-particle" : "", "parse-names" : false, "suffix" : "" }, { "dropping-particle" : "", "family" : "Mayaux", "given" : "P.", "non-dropping-particle" : "", "parse-names" : false, "suffix" : "" }, { "dropping-particle" : "", "family" : "Meyfroidt", "given" : "P.", "non-dropping-particle" : "", "parse-names" : false, "suffix" : "" }, { "dropping-particle" : "", "family" : "Morton", "given" : "D.C.", "non-dropping-particle" : "", "parse-names" : false, "suffix" : "" }, { "dropping-particle" : "", "family" : "Rudel", "given" : "T.K.", "non-dropping-particle" : "", "parse-names" : false, "suffix" : "" }, { "dropping-particle" : "", "family" : "Gasparri", "given" : "I.", "non-dropping-particle" : "", "parse-names" : false, "suffix" : "" }, { "dropping-particle" : "", "family" : "Munger", "given" : "J.", "non-dropping-particle" : "", "parse-names" : false, "suffix" : "" } ], "container-title" : "Global Environmental Change", "id" : "ITEM-1", "issue" : "5", "issued" : { "date-parts" : [ [ "2013", "10", "1" ] ] }, "page" : "892-901", "publisher" : "Pergamon", "title" : "Estimating the world's potentially available cropland using a bottom-up approach", "type" : "article-journal", "volume" : "23" }, "uris" : [ "http://www.mendeley.com/documents/?uuid=647d05b6-974a-3b81-b51c-141b26041c70" ] } ], "mendeley" : { "formattedCitation" : "(Lambin et al., 2013)", "plainTextFormattedCitation" : "(Lambin et al., 2013)", "previouslyFormattedCitation" : "(Lambin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(Lambin et al., 2013)</w:t>
      </w:r>
      <w:r w:rsidRPr="008608AA">
        <w:rPr>
          <w:rFonts w:eastAsia="Droid Sans Fallback"/>
        </w:rPr>
        <w:fldChar w:fldCharType="end"/>
      </w:r>
      <w:r w:rsidRPr="008608AA">
        <w:rPr>
          <w:rFonts w:eastAsia="Droid Sans Fallback"/>
        </w:rPr>
        <w:t xml:space="preserve">, and despite droughts and water scarcity in some parts, it also holds the highest share of global renewable water resources </w:t>
      </w:r>
      <w:r w:rsidRPr="008608AA">
        <w:rPr>
          <w:rFonts w:eastAsia="Droid Sans Fallback"/>
        </w:rPr>
        <w:fldChar w:fldCharType="begin" w:fldLock="1"/>
      </w:r>
      <w:r w:rsidRPr="008608AA">
        <w:rPr>
          <w:rFonts w:eastAsia="Droid Sans Fallback"/>
        </w:rPr>
        <w:instrText>ADDIN CSL_CITATION { "citationItems" : [ { "id" : "ITEM-1", "itemData" : { "DOI" : "10.1016/j.parkreldis.2015.02.017", "ISBN" : "9789221295709", "ISSN" : "13538020", "PMID" : "11995146", "author" : [ { "dropping-particle" : "", "family" : "UNEP", "given" : "", "non-dropping-particle" : "", "parse-names" : false, "suffix" : "" } ], "id" : "ITEM-1", "issued" : { "date-parts" : [ [ "2014", "5" ] ] }, "title" : "Annual Report 2014", "type" : "report" }, "uris" : [ "http://www.mendeley.com/documents/?uuid=1579c658-4a64-4075-a7d2-d9e2bc3fbfa5" ] } ], "mendeley" : { "formattedCitation" : "(UNEP, 2014)", "plainTextFormattedCitation" : "(UNEP, 2014)", "previouslyFormattedCitation" : "(UNEP,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(UNEP, 2014)</w:t>
      </w:r>
      <w:r w:rsidRPr="008608AA">
        <w:rPr>
          <w:rFonts w:eastAsia="Droid Sans Fallback"/>
        </w:rPr>
        <w:fldChar w:fldCharType="end"/>
      </w:r>
      <w:r w:rsidRPr="008608AA">
        <w:rPr>
          <w:rFonts w:eastAsia="Droid Sans Fallback"/>
        </w:rPr>
        <w:t xml:space="preserve">. Growth in sugarcane, palm oil and coffee plantations, as well as expansion of livestock production continues, often leading to deforestation, fragmentation, and overgrazing of the converted pasturelands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"Michelson", "given" : "A.", "non-dropping-particle" : "", "parse-names" : false, "suffix" : "" } ], "id" : "ITEM-1", "issued" : { "date-parts" : [ [ "2008" ] ] }, "publisher-place" : "Hohhot, China", "title" : "Temperate Grasslands of South America. Prepared for the World Temperate Grasslands Conservation Initiative Workshop", "type" : "report" }, "uris" : [ "http://www.mendeley.com/documents/?uuid=17213249-b780-4be8-a1a9-75ca69ba4b9e" ] } ], "mendeley" : { "formattedCitation" : "(Michelson, 2008)", "plainTextFormattedCitation" : "(Michelson, 2008)", "previouslyFormattedCitation" : "(Michelson, 2008)"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(Michelson, 2008)</w:t>
      </w:r>
      <w:r w:rsidRPr="008608AA">
        <w:rPr>
          <w:rFonts w:eastAsia="Droid Sans Fallback"/>
        </w:rPr>
        <w:fldChar w:fldCharType="end"/>
      </w:r>
      <w:r w:rsidRPr="008608AA">
        <w:rPr>
          <w:rFonts w:eastAsia="Droid Sans Fallback"/>
        </w:rPr>
        <w:t>.</w:t>
      </w:r>
    </w:p>
    <w:p w14:paraId="6E496F90" w14:textId="0C6E7AEB" w:rsidR="00490494" w:rsidRPr="008608AA" w:rsidRDefault="00490494" w:rsidP="00240C7E">
      <w:pPr>
        <w:suppressAutoHyphens/>
        <w:rPr>
          <w:rFonts w:eastAsia="Droid Sans Fallback"/>
        </w:rPr>
      </w:pPr>
      <w:r w:rsidRPr="008608AA">
        <w:rPr>
          <w:rFonts w:eastAsia="Droid Sans Fallback"/>
        </w:rPr>
        <w:t xml:space="preserve"> </w:t>
      </w:r>
    </w:p>
    <w:p w14:paraId="1249EBDD" w14:textId="77777777" w:rsidR="00490494" w:rsidRPr="008608AA" w:rsidRDefault="00490494" w:rsidP="00240C7E">
      <w:pPr>
        <w:suppressAutoHyphens/>
        <w:rPr>
          <w:rFonts w:eastAsia="Droid Sans Fallback"/>
        </w:rPr>
      </w:pPr>
      <w:r w:rsidRPr="008608AA">
        <w:rPr>
          <w:rFonts w:eastAsia="Droid Sans Fallback"/>
        </w:rPr>
        <w:t xml:space="preserve">In particular, the Atlantic coastal forests, as well as tropical savannas are the most rapidly changing biomes in the region, threatened by advancing agricultural frontiers and rapidly growing cattle production (Magrin et al., 2014). This expansion and intensification of agriculture and pastureland is resulting in a decline in the area and quality of habitats and an associated increase in pollution of water courses and loss of biodiversity. </w:t>
      </w:r>
    </w:p>
    <w:p w14:paraId="36461FF0" w14:textId="77777777" w:rsidR="00240C7E" w:rsidRPr="008608AA" w:rsidRDefault="00240C7E" w:rsidP="00240C7E">
      <w:pPr>
        <w:suppressAutoHyphens/>
        <w:rPr>
          <w:rFonts w:eastAsia="Droid Sans Fallback"/>
        </w:rPr>
      </w:pPr>
    </w:p>
    <w:p w14:paraId="38EA3D33" w14:textId="53C5749C" w:rsidR="00490494" w:rsidRPr="008608AA" w:rsidRDefault="00490494" w:rsidP="00240C7E">
      <w:pPr>
        <w:pStyle w:val="Heading3"/>
        <w:rPr>
          <w:rFonts w:eastAsia="Droid Sans Fallback"/>
        </w:rPr>
      </w:pPr>
      <w:bookmarkStart w:id="1991" w:name="_Toc466995090"/>
      <w:bookmarkStart w:id="1992" w:name="_Toc472342783"/>
      <w:bookmarkStart w:id="1993" w:name="_Toc482711177"/>
      <w:bookmarkStart w:id="1994" w:name="_Toc499256889"/>
      <w:bookmarkStart w:id="1995" w:name="_Toc502953636"/>
      <w:bookmarkStart w:id="1996" w:name="_Toc502954929"/>
      <w:bookmarkStart w:id="1997" w:name="_Toc502957736"/>
      <w:bookmarkStart w:id="1998" w:name="_Toc502957935"/>
      <w:bookmarkStart w:id="1999" w:name="_Toc502958089"/>
      <w:bookmarkStart w:id="2000" w:name="_Toc503293158"/>
      <w:bookmarkStart w:id="2001" w:name="_Toc503293756"/>
      <w:bookmarkStart w:id="2002" w:name="_Toc503294018"/>
      <w:bookmarkStart w:id="2003" w:name="_Toc503863411"/>
      <w:bookmarkStart w:id="2004" w:name="_Toc503863639"/>
      <w:bookmarkStart w:id="2005" w:name="_Toc517393407"/>
      <w:bookmarkStart w:id="2006" w:name="_Toc517719148"/>
      <w:bookmarkStart w:id="2007" w:name="_Toc517797105"/>
      <w:r w:rsidRPr="008608AA">
        <w:rPr>
          <w:rFonts w:eastAsia="Droid Sans Fallback"/>
        </w:rPr>
        <w:t>Temperate grasslands</w:t>
      </w:r>
      <w:bookmarkEnd w:id="1991"/>
      <w:bookmarkEnd w:id="1992"/>
      <w:r w:rsidRPr="008608AA">
        <w:rPr>
          <w:rFonts w:eastAsia="Droid Sans Fallback"/>
        </w:rPr>
        <w:t xml:space="preserve"> </w:t>
      </w:r>
      <w:r w:rsidR="00166947" w:rsidRPr="008608AA">
        <w:rPr>
          <w:rFonts w:eastAsia="Droid Sans Fallback"/>
        </w:rPr>
        <w:t>unit of analysis– Agricultural i</w:t>
      </w:r>
      <w:r w:rsidRPr="008608AA">
        <w:rPr>
          <w:rFonts w:eastAsia="Droid Sans Fallback"/>
        </w:rPr>
        <w:t>ntensification</w:t>
      </w:r>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p>
    <w:p w14:paraId="54D61FE8" w14:textId="78062570" w:rsidR="00240C7E" w:rsidRPr="008608AA" w:rsidRDefault="00345EF6" w:rsidP="00240C7E">
      <w:pPr>
        <w:suppressAutoHyphens/>
        <w:spacing w:before="240"/>
        <w:jc w:val="center"/>
        <w:rPr>
          <w:rFonts w:eastAsia="Droid Sans Fallback"/>
        </w:rPr>
      </w:pPr>
      <w:r w:rsidRPr="008608AA">
        <w:rPr>
          <w:rFonts w:eastAsia="Droid Sans Fallback"/>
          <w:noProof/>
          <w:lang w:val="en-GB" w:eastAsia="en-GB"/>
        </w:rPr>
        <w:drawing>
          <wp:inline distT="0" distB="0" distL="0" distR="0" wp14:anchorId="61B56BEF" wp14:editId="174A7967">
            <wp:extent cx="5656535" cy="8153400"/>
            <wp:effectExtent l="0" t="0" r="1905" b="0"/>
            <wp:docPr id="73" name="Imagen 73" descr="C:\Users\Alejandro Valderrama\Downloads\fIg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3" descr="C:\Users\Alejandro Valderrama\Downloads\fIg5.12.jpg"/>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5656535" cy="8153400"/>
                    </a:xfrm>
                    <a:prstGeom prst="rect">
                      <a:avLst/>
                    </a:prstGeom>
                    <a:noFill/>
                    <a:ln>
                      <a:noFill/>
                    </a:ln>
                  </pic:spPr>
                </pic:pic>
              </a:graphicData>
            </a:graphic>
          </wp:inline>
        </w:drawing>
      </w:r>
    </w:p>
    <w:p w14:paraId="3868D567" w14:textId="3592DA3A" w:rsidR="007F7607" w:rsidRPr="008608AA" w:rsidRDefault="00490494" w:rsidP="00240C7E">
      <w:pPr>
        <w:suppressAutoHyphens/>
        <w:spacing w:before="240"/>
        <w:rPr>
          <w:rFonts w:eastAsia="Droid Sans Fallback"/>
        </w:rPr>
      </w:pPr>
      <w:r w:rsidRPr="008608AA">
        <w:rPr>
          <w:rFonts w:eastAsia="Droid Sans Fallback"/>
        </w:rPr>
        <w:t xml:space="preserve">Rapid economic growth and social inequity have created certain associated pressures on the natural resources of this unit of analysis, particularly </w:t>
      </w:r>
      <w:r w:rsidR="00E61248" w:rsidRPr="008608AA">
        <w:rPr>
          <w:rFonts w:eastAsia="Droid Sans Fallback"/>
        </w:rPr>
        <w:t>associated</w:t>
      </w:r>
      <w:r w:rsidRPr="008608AA">
        <w:rPr>
          <w:rFonts w:eastAsia="Droid Sans Fallback"/>
        </w:rPr>
        <w:t xml:space="preserve"> with the agricultural intensification. Demand for new lands and land use changes are the driving forces in the business as usual scenario. This is directly related to global trends in demand for biomass (agroindustry, biofuels and biomaterials). Conversion of grasslands to croplands is one of the key drivers in this situation. Grassland losses are significant, even in relation to other major biomes in North America. Most of the grassland loss in Canada occurred before the 1930s as a result of such conversion to cropland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"UNEP", "given" : "", "non-dropping-particle" : "", "parse-names" : false, "suffix" : "" } ], "id" : "ITEM-1", "issued" : { "date-parts" : [ [ "2016" ] ] }, "publisher-place" : "Nairobi, Kenya", "title" : "GEO-6 Regional Assessment for North America", "type" : "report" }, "uris" : [ "http://www.mendeley.com/documents/?uuid=9f14398f-4d22-4d8b-b988-42aafd15f4df" ] } ], "mendeley" : { "formattedCitation" : "(UNEP, 2016b)", "plainTextFormattedCitation" : "(UNEP, 2016b)", "previouslyFormattedCitation" : "(UNEP, 2016b)"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(UNEP, 2016b)</w:t>
      </w:r>
      <w:r w:rsidRPr="008608AA">
        <w:rPr>
          <w:rFonts w:eastAsia="Droid Sans Fallback"/>
        </w:rPr>
        <w:fldChar w:fldCharType="end"/>
      </w:r>
      <w:r w:rsidRPr="008608AA">
        <w:rPr>
          <w:rFonts w:eastAsia="Droid Sans Fallback"/>
        </w:rPr>
        <w:t>. Estimates of total loss prior to the 1990s include 97 per cent of tallgrass/savanna in southern Ontario, 70 per cent of prairie grasslands, by far the largest of Canada’s grasslands, and 19 per cent of bunchgrass/sagebrush in British Columbia (Federal, Provincial, Territorial Governments of Canada</w:t>
      </w:r>
      <w:r w:rsidR="00880168" w:rsidRPr="008608AA">
        <w:rPr>
          <w:rFonts w:eastAsia="Droid Sans Fallback"/>
        </w:rPr>
        <w:t>,</w:t>
      </w:r>
      <w:r w:rsidRPr="008608AA">
        <w:rPr>
          <w:rFonts w:eastAsia="Droid Sans Fallback"/>
        </w:rPr>
        <w:t xml:space="preserve"> 2010). Fragmentation and land use changes is generating a degradation of natural resources and climate change, particularly where fire is used as a management tool. In Latin America and the Caribbean, the use of fire in agriculture is widespread in the region. Native forests, grasslands and other natural habitats are burned after being cleared to provide more land for agriculture; in some areas fire is also used as part of crop rotation practices. Overall, emissions from agriculture and deforestation-related fires in the region are a major contributor to atmospheric trace gases and aerosol mass concentrations </w:t>
      </w:r>
      <w:r w:rsidRPr="008608AA">
        <w:rPr>
          <w:rFonts w:eastAsia="Droid Sans Fallback"/>
        </w:rPr>
        <w:fldChar w:fldCharType="begin" w:fldLock="1"/>
      </w:r>
      <w:r w:rsidRPr="008608AA">
        <w:rPr>
          <w:rFonts w:eastAsia="Droid Sans Fallback"/>
        </w:rPr>
        <w:instrText>ADDIN CSL_CITATION { "citationItems" : [ { "id" : "ITEM-1", "itemData" : { "ISBN" : "9789280735468", "author" : [ { "dropping-particle" : "", "family" : "UNEP", "given" : "", "non-dropping-particle" : "", "parse-names" : false, "suffix" : "" } ], "id" : "ITEM-1", "issued" : { "date-parts" : [ [ "2016" ] ] }, "publisher" : "United Nations Environment Programme", "publisher-place" : "Nairobi, Kenya", "title" : "GEO-6 Regional Assessment for Latin America and the Caribbean", "type" : "book" }, "uris" : [ "http://www.mendeley.com/documents/?uuid=d7e5b332-a82a-4249-8676-dfa09923e8a5" ] } ], "mendeley" : { "formattedCitation" : "(UNEP, 2016a)", "plainTextFormattedCitation" : "(UNEP, 2016a)", "previouslyFormattedCitation" : "(UNEP, 2016a)"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(UNEP, 2016a)</w:t>
      </w:r>
      <w:r w:rsidRPr="008608AA">
        <w:rPr>
          <w:rFonts w:eastAsia="Droid Sans Fallback"/>
        </w:rPr>
        <w:fldChar w:fldCharType="end"/>
      </w:r>
      <w:r w:rsidRPr="008608AA">
        <w:rPr>
          <w:rFonts w:eastAsia="Droid Sans Fallback"/>
        </w:rPr>
        <w:t>.</w:t>
      </w:r>
      <w:r w:rsidR="007F7607" w:rsidRPr="008608AA">
        <w:rPr>
          <w:rFonts w:eastAsia="Droid Sans Fallback"/>
        </w:rPr>
        <w:t xml:space="preserve"> </w:t>
      </w:r>
    </w:p>
    <w:p w14:paraId="12DC7BA4" w14:textId="28CFAA69" w:rsidR="00490494" w:rsidRPr="008608AA" w:rsidRDefault="00490494" w:rsidP="00240C7E">
      <w:pPr>
        <w:suppressAutoHyphens/>
        <w:spacing w:before="240"/>
        <w:rPr>
          <w:rFonts w:eastAsia="Droid Sans Fallback"/>
        </w:rPr>
      </w:pPr>
      <w:r w:rsidRPr="008608AA">
        <w:rPr>
          <w:rFonts w:eastAsia="Droid Sans Fallback"/>
        </w:rPr>
        <w:t xml:space="preserve">Grasslands are following the fate of native forest areas. Demand for land is the driving force on the last native grassland. These changes occur in certain hotspots whose locations reflect the close and complex links between land cover, agriculture and consumption patterns both inside and outside the region </w:t>
      </w:r>
      <w:r w:rsidRPr="008608AA">
        <w:rPr>
          <w:rFonts w:eastAsia="Droid Sans Fallback"/>
        </w:rPr>
        <w:fldChar w:fldCharType="begin" w:fldLock="1"/>
      </w:r>
      <w:r w:rsidRPr="008608AA">
        <w:rPr>
          <w:rFonts w:eastAsia="Droid Sans Fallback"/>
        </w:rPr>
        <w:instrText>ADDIN CSL_CITATION { "citationItems" : [ { "id" : "ITEM-1", "itemData" : { "DOI" : "10.1080/03066150.2014.917371", "ISSN" : "0306-6150", "abstract" : "Forest dynamics in the Latin American tropics now take directions that no one would have predicted a decade ago. Deforestation in the Brazilian Amazon has dropped by over 80 percent, a pattern mimicked elsewhere in Amazonia, and is down by more than a third in Central America. Forest resurgence \u2013 increasing forest cover in inhabited landscapes or abandoned lands \u2013 is also expanding. In Latin America, woodland cover is increasing, at least for now, more than it is being lost. These dramatic shifts suggest quite profound and rapid transformations of agrarian worlds, and imply that previous models of understanding small-farmer dynamics merit significant review centering less on field agriculture and more on emergent forest regimes, and in many ways a new, increasingly globalized economic and policy landscape that emphasizes woodlands.This paper analyzes changing deforestation drivers and the implications of forest recovery and wooded landscapes emerging through social pressure, social policy, new government ...", "author" : [ { "dropping-particle" : "", "family" : "Hecht", "given" : "Susanna B.", "non-dropping-particle" : "", "parse-names" : false, "suffix" : "" } ], "container-title" : "The Journal of Peasant Studies", "id" : "ITEM-1", "issue" : "5", "issued" : { "date-parts" : [ [ "2014", "9", "3" ] ] }, "page" : "877-909", "publisher" : "Routledge", "title" : "Forests lost and found in tropical Latin America: the woodland \u2018green revolution\u2019", "type" : "article-journal", "volume" : "41" }, "uris" : [ "http://www.mendeley.com/documents/?uuid=2c64d683-c146-3557-9aa2-fea928296185" ] } ], "mendeley" : { "formattedCitation" : "(Hecht, 2014)", "plainTextFormattedCitation" : "(Hecht, 2014)", "previouslyFormattedCitation" : "(Hecht,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(Hecht, 2014)</w:t>
      </w:r>
      <w:r w:rsidRPr="008608AA">
        <w:rPr>
          <w:rFonts w:eastAsia="Droid Sans Fallback"/>
        </w:rPr>
        <w:fldChar w:fldCharType="end"/>
      </w:r>
      <w:r w:rsidRPr="008608AA">
        <w:rPr>
          <w:rFonts w:eastAsia="Droid Sans Fallback"/>
        </w:rPr>
        <w:t xml:space="preserve">. Processes like forest clearing for creating pastures and agricultural land are still important, but have shifted from forests to other natural ecosystems, like Cerrado (Brazilian savanna) and grasslands, where soybean crops are replacing native grasslands in Argentina, Bolivia, Brazil, Paraguay, and Uruguay. Cattle production and feedlots are other main factor. In the USA, land-use scenarios assume that suburban and exurban areas will expand by 15–20 per cent between 2000 and 2050, cropland and forest areas are projected to decline compared to 1997, by 6 per cent and 7 per cent, respectively, by 2050 </w:t>
      </w:r>
      <w:r w:rsidRPr="008608AA">
        <w:rPr>
          <w:rFonts w:eastAsia="Droid Sans Fallback"/>
        </w:rPr>
        <w:fldChar w:fldCharType="begin" w:fldLock="1"/>
      </w:r>
      <w:r w:rsidRPr="008608AA">
        <w:rPr>
          <w:rFonts w:eastAsia="Droid Sans Fallback"/>
        </w:rPr>
        <w:instrText>ADDIN CSL_CITATION { "citationItems" : [ { "id" : "ITEM-1", "itemData" : { "DOI" : "10.1016/j.biocon.2013.07.039", "ISBN" : "0006-3207", "ISSN" : "00063207", "abstract" : "Forest loss and fragmentation are among the largest threats to forest-dwelling wildlife species today, and projected increases in human population growth are expected to increase these threats in the next century. We combined spatially-explicit growth models with wildlife distribution models to predict the effects of human development on 5 forest-dependent bird species in Vermont, New Hampshire, and Massachusetts, USA. We used single-species occupancy models to derive the probability of occupancy for each species across the study area in the years 2000 and 2050. Over half a million new housing units were predicted to be added to the landscape. The maximum change in housing density was nearly 30 houses per hectare; however, 30% of the towns in the study area were projected to add less than 1 housing unit per hectare. In the face of predicted human growth, the overall occupancy of each species decreased by as much as 38% (ranging from 19% to 38% declines in the worst-case scenario) in the year 2050. These declines were greater outside of protected areas than within protected lands. Ninety-seven percent of towns experienced some decline in species occupancy within their borders, highlighting the value of spatially-explicit models. The mean decrease in occupancy probability within towns ranged from 3% for hairy woodpecker to 8% for ovenbird and hermit thrush. Reductions in occupancy probability occurred on the perimeters of cities and towns where exurban development is predicted to increase in the study area. This spatial approach to wildlife planning provides data to evaluate trade-offs between development scenarios and forest-dependent wildlife species. \u00a9 2013 Elsevier Ltd.", "author" : [ { "dropping-particle" : "", "family" : "Brown", "given" : "Michelle L.", "non-dropping-particle" : "", "parse-names" : false, "suffix" : "" }, { "dropping-particle" : "", "family" : "Donovan", "given" : "Therese M.", "non-dropping-particle" : "", "parse-names" : false, "suffix" : "" }, { "dropping-particle" : "", "family" : "Schwenk", "given" : "W. Scott", "non-dropping-particle" : "", "parse-names" : false, "suffix" : "" }, { "dropping-particle" : "", "family" : "Theobald", "given" : "David M.", "non-dropping-particle" : "", "parse-names" : false, "suffix" : "" } ], "container-title" : "Biological Conservation", "id" : "ITEM-1", "issued" : { "date-parts" : [ [ "2014", "2" ] ] }, "page" : "311-320", "publisher" : "Elsevier Ltd", "title" : "Predicting impacts of future human population growth and development on occupancy rates of forest-dependent birds", "type" : "article-journal", "volume" : "170" }, "uris" : [ "http://www.mendeley.com/documents/?uuid=b4b202f3-6f97-41f0-91fe-af82810d0c5e" ] } ], "mendeley" : { "formattedCitation" : "(M. L. Brown, Donovan, Schwenk, &amp; Theobald, 2014)", "plainTextFormattedCitation" : "(M. L. Brown, Donovan, Schwenk, &amp; Theobald, 2014)", "previouslyFormattedCitation" : "(M. L. Brown, Donovan, Schwenk, &amp; Theobald, 2014)"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(Brown</w:t>
      </w:r>
      <w:r w:rsidRPr="008608AA">
        <w:rPr>
          <w:rFonts w:eastAsia="Droid Sans Fallback"/>
          <w:noProof/>
        </w:rPr>
        <w:t xml:space="preserve"> et al., 2014)</w:t>
      </w:r>
      <w:r w:rsidRPr="008608AA">
        <w:rPr>
          <w:rFonts w:eastAsia="Droid Sans Fallback"/>
        </w:rPr>
        <w:fldChar w:fldCharType="end"/>
      </w:r>
      <w:r w:rsidRPr="008608AA">
        <w:rPr>
          <w:rFonts w:eastAsia="Droid Sans Fallback"/>
        </w:rPr>
        <w:t xml:space="preserve">. </w:t>
      </w:r>
    </w:p>
    <w:p w14:paraId="2F7FF980" w14:textId="77777777" w:rsidR="00490494" w:rsidRPr="008608AA" w:rsidRDefault="00490494" w:rsidP="00240C7E">
      <w:pPr>
        <w:suppressAutoHyphens/>
        <w:rPr>
          <w:rFonts w:eastAsia="Droid Sans Fallback"/>
        </w:rPr>
      </w:pPr>
      <w:r w:rsidRPr="008608AA">
        <w:rPr>
          <w:rFonts w:eastAsia="Droid Sans Fallback"/>
        </w:rPr>
        <w:t xml:space="preserve">Several practices and policy issues are being implemented for better understanding and decision-making. Argentina recently implemented a national zoning plan (i.e., the Forest Law) to reduce further forest loss </w:t>
      </w:r>
      <w:r w:rsidRPr="008608AA">
        <w:rPr>
          <w:rFonts w:eastAsia="Droid Sans Fallback"/>
        </w:rPr>
        <w:fldChar w:fldCharType="begin" w:fldLock="1"/>
      </w:r>
      <w:r w:rsidRPr="008608AA">
        <w:rPr>
          <w:rFonts w:eastAsia="Droid Sans Fallback"/>
        </w:rPr>
        <w:instrText>ADDIN CSL_CITATION { "citationItems" : [ { "id" : "ITEM-1", "itemData" : { "DOI" : "10.1007/s10980-014-0147-3", "ISBN" : "10.1007/s10980-014-0147-3", "ISSN" : "0921-2973", "abstract" : "Context: Land-use change is the main driver of habitat loss and fragmentation worldwide. The rate of dry forest loss in the South American Chaco is among the highest in the world, mainly due to the expansion of soybean production and cattle ranching. Argentina recently implemented a national zoning plan (i.e., the Forest Law) to reduce further forest loss. However, it is unclear how the effects of past deforestation and the implementation of the Forest Law will affect forest connectivity in the Chaco.\\nObjective: Our main goal was to evaluate the potential effect of the Forest Law on forest fragmentation and connectivity in the Argentine Chaco.\\nMethods: We studied changes in the extent, fragmentation, and connectivity of forests between 1977 and 2010, by combining agricultural expansion and forest cover maps, and for the future in a scenario analysis.\\nResults: Past agricultural expansion translated into an overall loss of 22.5 % of the Argentine Chaco\u2019s forests, with deforestation rates in 2000\u20132010 up to three times higher than in the 1980s. Forest fragmentation and connectivity loss were highest in 1977\u20131992, when road construction fragmented large forest patches. Our future scenario analysis showed that if the Forest Law will be implemented as planned, forest area and connectivity in the region will decline drastically.\\nConclusions: Land-use planning designed to protect stepping stones could substantially mitigate connectivity loss due to deforestation, with the co-benefit of preserving the greatest amount of biodiversity priority areas across all evaluated scenarios. Including scenario analyses that assess forest fragmentation and connectivity at the ecoregion scale is thus important in upcoming revisions of the Argentine Forest Law, and, more generally, in debates about sustainable resource use.", "author" : [ { "dropping-particle" : "", "family" : "Piquer-Rodr\u00edguez", "given" : "Mar\u00eda", "non-dropping-particle" : "", "parse-names" : false, "suffix" : "" }, { "dropping-particle" : "", "family" : "Torella", "given" : "Sebasti\u00e1n", "non-dropping-particle" : "", "parse-names" : false, "suffix" : "" }, { "dropping-particle" : "", "family" : "Gavier-Pizarro", "given" : "Gregorio", "non-dropping-particle" : "", "parse-names" : false, "suffix" : "" }, { "dropping-particle" : "", "family" : "Volante", "given" : "Jos\u00e9", "non-dropping-particle" : "", "parse-names" : false, "suffix" : "" }, { "dropping-particle" : "", "family" : "Somma", "given" : "Daniel", "non-dropping-particle" : "", "parse-names" : false, "suffix" : "" }, { "dropping-particle" : "", "family" : "Ginzburg", "given" : "Rub\u00e9n", "non-dropping-particle" : "", "parse-names" : false, "suffix" : "" }, { "dropping-particle" : "", "family" : "Kuemmerle", "given" : "Tobias", "non-dropping-particle" : "", "parse-names" : false, "suffix" : "" } ], "container-title" : "Landscape Ecology", "id" : "ITEM-1", "issue" : "5", "issued" : { "date-parts" : [ [ "2015", "5", "21" ] ] }, "page" : "817-833", "title" : "Effects of past and future land conversions on forest connectivity in the Argentine Chaco", "type" : "article-journal", "volume" : "30" }, "uris" : [ "http://www.mendeley.com/documents/?uuid=d750aa67-6403-446e-8ba5-e45935cb8fcf" ] } ], "mendeley" : { "formattedCitation" : "(Piquer-Rodr\u00edguez et al., 2015)", "plainTextFormattedCitation" : "(Piquer-Rodr\u00edguez et al., 2015)", "previouslyFormattedCitation" : "(Piquer-Rodr\u00edguez et al.,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(Piquer-Rodríguez et al., 2015)</w:t>
      </w:r>
      <w:r w:rsidRPr="008608AA">
        <w:rPr>
          <w:rFonts w:eastAsia="Droid Sans Fallback"/>
        </w:rPr>
        <w:fldChar w:fldCharType="end"/>
      </w:r>
      <w:r w:rsidRPr="008608AA">
        <w:rPr>
          <w:rFonts w:eastAsia="Droid Sans Fallback"/>
        </w:rPr>
        <w:t xml:space="preserve">. For example, grasslands in Uruguay are increasingly under sustainable production systems that promote soil conservation, which is reducing land degradation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"Hill", "given" : "M.", "non-dropping-particle" : "", "parse-names" : false, "suffix" : "" }, { "dropping-particle" : "", "family" : "Cl\u00e9rici", "given" : "C.", "non-dropping-particle" : "", "parse-names" : false, "suffix" : "" } ], "id" : "ITEM-1", "issued" : { "date-parts" : [ [ "2013" ] ] }, "number-of-pages" : "167-170", "title" : "Implementaci\u00f3n de planes de uso y manejo responsable del suelo. III Simposio nacional de agricultura 2013", "type" : "report" }, "uris" : [ "http://www.mendeley.com/documents/?uuid=32e3d50f-fdcd-4fb1-8975-9e6a1cdebcdd" ] } ], "mendeley" : { "formattedCitation" : "(Hill &amp; Cl\u00e9rici, 2013)", "plainTextFormattedCitation" : "(Hill &amp; Cl\u00e9rici, 2013)", "previouslyFormattedCitation" : "(Hill &amp; Cl\u00e9rici,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(Hill &amp; Clérici, 2013)</w:t>
      </w:r>
      <w:r w:rsidRPr="008608AA">
        <w:rPr>
          <w:rFonts w:eastAsia="Droid Sans Fallback"/>
        </w:rPr>
        <w:fldChar w:fldCharType="end"/>
      </w:r>
      <w:r w:rsidRPr="008608AA">
        <w:rPr>
          <w:rFonts w:eastAsia="Droid Sans Fallback"/>
        </w:rPr>
        <w:t>.</w:t>
      </w:r>
    </w:p>
    <w:p w14:paraId="580DCA6B" w14:textId="77777777" w:rsidR="007F7607" w:rsidRPr="008608AA" w:rsidRDefault="007F7607" w:rsidP="00240C7E">
      <w:pPr>
        <w:suppressAutoHyphens/>
        <w:rPr>
          <w:rFonts w:eastAsia="Droid Sans Fallback"/>
        </w:rPr>
      </w:pPr>
    </w:p>
    <w:p w14:paraId="5B9382CF" w14:textId="15294FCF" w:rsidR="00490494" w:rsidRPr="008608AA" w:rsidRDefault="00490494" w:rsidP="00240C7E">
      <w:pPr>
        <w:suppressAutoHyphens/>
        <w:rPr>
          <w:rFonts w:eastAsia="Droid Sans Fallback"/>
        </w:rPr>
      </w:pPr>
      <w:r w:rsidRPr="008608AA">
        <w:rPr>
          <w:rFonts w:eastAsia="Droid Sans Fallback"/>
        </w:rPr>
        <w:t>Agriculturization is a primary</w:t>
      </w:r>
      <w:r w:rsidR="00FA3CBF" w:rsidRPr="008608AA">
        <w:rPr>
          <w:rFonts w:eastAsia="Droid Sans Fallback"/>
        </w:rPr>
        <w:t xml:space="preserve"> </w:t>
      </w:r>
      <w:r w:rsidRPr="008608AA">
        <w:rPr>
          <w:rFonts w:eastAsia="Droid Sans Fallback"/>
        </w:rPr>
        <w:t xml:space="preserve">process in temperate grasslands with concentration in grain and crops production and displacement of cattle production to feedlots or other areas more marginal. The process has been well investigated by Gallopin et al.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"Gallop\u00edn", "given" : "G. C.", "non-dropping-particle" : "", "parse-names" : false, "suffix" : "" }, { "dropping-particle" : "", "family" : "Raskin", "given" : "P. D.", "non-dropping-particle" : "", "parse-names" : false, "suffix" : "" } ], "id" : "ITEM-1", "issued" : { "date-parts" : [ [ "2003" ] ] }, "publisher" : "Routledge", "title" : "Global sustainability: Bending the curve.", "type" : "book" }, "suppress-author" : 1, "uris" : [ "http://www.mendeley.com/documents/?uuid=80b97af0-cdde-470f-9bf3-25e7b0d50e99" ] } ], "mendeley" : { "formattedCitation" : "(2003)", "plainTextFormattedCitation" : "(2003)", "previouslyFormattedCitation" : "(2003)"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(2003)</w:t>
      </w:r>
      <w:r w:rsidRPr="008608AA">
        <w:rPr>
          <w:rFonts w:eastAsia="Droid Sans Fallback"/>
        </w:rPr>
        <w:fldChar w:fldCharType="end"/>
      </w:r>
      <w:r w:rsidRPr="008608AA">
        <w:rPr>
          <w:rFonts w:eastAsia="Droid Sans Fallback"/>
        </w:rPr>
        <w:t xml:space="preserve"> at the Economic Commission for Latin America and the Caribbean. New technologies play a relevant role in terms of agriculturization process on grasslands (Figure 5.13). The incorporation of modern technologies such as transgenic crops, no tillage practices, precision farming, herbicides and chemicals promote strong transformation to practically the whole of the remaining grasslands of the Americas.</w:t>
      </w:r>
    </w:p>
    <w:p w14:paraId="46EC53E5" w14:textId="77777777" w:rsidR="00240C7E" w:rsidRPr="008608AA" w:rsidRDefault="00240C7E" w:rsidP="00240C7E">
      <w:pPr>
        <w:suppressAutoHyphens/>
        <w:rPr>
          <w:rFonts w:eastAsia="Droid Sans Fallback"/>
        </w:rPr>
      </w:pPr>
    </w:p>
    <w:p w14:paraId="62AF9DED" w14:textId="2E4FB1B5" w:rsidR="002C1747" w:rsidRPr="008608AA" w:rsidRDefault="00345EF6" w:rsidP="00240C7E">
      <w:pPr>
        <w:jc w:val="center"/>
        <w:rPr>
          <w:rFonts w:eastAsia="Droid Sans Fallback"/>
        </w:rPr>
      </w:pPr>
      <w:r w:rsidRPr="008608AA">
        <w:rPr>
          <w:rFonts w:eastAsia="Droid Sans Fallback"/>
          <w:noProof/>
          <w:lang w:val="en-GB" w:eastAsia="en-GB"/>
        </w:rPr>
        <w:drawing>
          <wp:inline distT="0" distB="0" distL="0" distR="0" wp14:anchorId="2CB78D98" wp14:editId="4BBAFF2B">
            <wp:extent cx="5934075" cy="3248025"/>
            <wp:effectExtent l="0" t="0" r="9525" b="9525"/>
            <wp:docPr id="74" name="Imagen 74" descr="C:\Users\Alejandro Valderrama\Downloads\Fig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5" descr="C:\Users\Alejandro Valderrama\Downloads\Fig5.13.jpg"/>
                    <pic:cNvPicPr>
                      <a:picLocks noChangeAspect="1" noChangeArrowheads="1"/>
                    </pic:cNvPicPr>
                  </pic:nvPicPr>
                  <pic:blipFill rotWithShape="1">
                    <a:blip r:embed="rId1038">
                      <a:extLst>
                        <a:ext uri="{28A0092B-C50C-407E-A947-70E740481C1C}">
                          <a14:useLocalDpi xmlns:a14="http://schemas.microsoft.com/office/drawing/2010/main" val="0"/>
                        </a:ext>
                      </a:extLst>
                    </a:blip>
                    <a:srcRect b="62027"/>
                    <a:stretch/>
                  </pic:blipFill>
                  <pic:spPr bwMode="auto">
                    <a:xfrm>
                      <a:off x="0" y="0"/>
                      <a:ext cx="5934075" cy="3248025"/>
                    </a:xfrm>
                    <a:prstGeom prst="rect">
                      <a:avLst/>
                    </a:prstGeom>
                    <a:noFill/>
                    <a:ln>
                      <a:noFill/>
                    </a:ln>
                    <a:extLst>
                      <a:ext uri="{53640926-AAD7-44D8-BBD7-CCE9431645EC}">
                        <a14:shadowObscured xmlns:a14="http://schemas.microsoft.com/office/drawing/2010/main"/>
                      </a:ext>
                    </a:extLst>
                  </pic:spPr>
                </pic:pic>
              </a:graphicData>
            </a:graphic>
          </wp:inline>
        </w:drawing>
      </w:r>
    </w:p>
    <w:p w14:paraId="064A8776" w14:textId="474A878E" w:rsidR="00490494" w:rsidRPr="008608AA" w:rsidRDefault="00490494" w:rsidP="005A0ED1">
      <w:pPr>
        <w:pStyle w:val="Heading3"/>
        <w:rPr>
          <w:rFonts w:eastAsia="Droid Sans Fallback"/>
        </w:rPr>
      </w:pPr>
      <w:bookmarkStart w:id="2008" w:name="_Toc466995091"/>
      <w:bookmarkStart w:id="2009" w:name="_Toc472342784"/>
      <w:bookmarkStart w:id="2010" w:name="_Toc499256890"/>
      <w:bookmarkStart w:id="2011" w:name="_Toc502953637"/>
      <w:bookmarkStart w:id="2012" w:name="_Toc502954930"/>
      <w:bookmarkStart w:id="2013" w:name="_Toc502957737"/>
      <w:bookmarkStart w:id="2014" w:name="_Toc502957936"/>
      <w:bookmarkStart w:id="2015" w:name="_Toc502958090"/>
      <w:bookmarkStart w:id="2016" w:name="_Toc503293159"/>
      <w:bookmarkStart w:id="2017" w:name="_Toc503293757"/>
      <w:bookmarkStart w:id="2018" w:name="_Toc503294019"/>
      <w:bookmarkStart w:id="2019" w:name="_Toc503863412"/>
      <w:bookmarkStart w:id="2020" w:name="_Toc503863640"/>
      <w:bookmarkStart w:id="2021" w:name="_Toc517393408"/>
      <w:bookmarkStart w:id="2022" w:name="_Toc517719149"/>
      <w:bookmarkStart w:id="2023" w:name="_Toc517797106"/>
      <w:bookmarkStart w:id="2024" w:name="_Toc482711178"/>
      <w:r w:rsidRPr="008608AA">
        <w:rPr>
          <w:rFonts w:eastAsia="Droid Sans Fallback"/>
        </w:rPr>
        <w:t>Drylands</w:t>
      </w:r>
      <w:bookmarkEnd w:id="2008"/>
      <w:bookmarkEnd w:id="2009"/>
      <w:r w:rsidR="00FA3CBF" w:rsidRPr="008608AA">
        <w:rPr>
          <w:rFonts w:eastAsia="Droid Sans Fallback"/>
        </w:rPr>
        <w:t xml:space="preserve"> and deserts </w:t>
      </w:r>
      <w:r w:rsidR="00166947" w:rsidRPr="008608AA">
        <w:rPr>
          <w:rFonts w:eastAsia="Droid Sans Fallback"/>
        </w:rPr>
        <w:t>unit of analysis</w:t>
      </w:r>
      <w:r w:rsidRPr="008608AA">
        <w:rPr>
          <w:rFonts w:eastAsia="Droid Sans Fallback"/>
        </w:rPr>
        <w:t>– Exceptionally fragile diversity, resource demands, and ever-diminishing moisture</w:t>
      </w:r>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r w:rsidRPr="008608AA">
        <w:rPr>
          <w:rFonts w:eastAsia="Droid Sans Fallback"/>
        </w:rPr>
        <w:t xml:space="preserve"> </w:t>
      </w:r>
      <w:bookmarkEnd w:id="2024"/>
    </w:p>
    <w:p w14:paraId="449B58B0" w14:textId="1FB40B7A" w:rsidR="005A0ED1" w:rsidRPr="008608AA" w:rsidRDefault="00345EF6" w:rsidP="005A0ED1">
      <w:pPr>
        <w:suppressAutoHyphens/>
        <w:spacing w:before="240"/>
        <w:jc w:val="center"/>
        <w:rPr>
          <w:rFonts w:eastAsia="Droid Sans Fallback"/>
        </w:rPr>
      </w:pPr>
      <w:r w:rsidRPr="008608AA">
        <w:rPr>
          <w:rFonts w:eastAsia="Droid Sans Fallback"/>
          <w:noProof/>
          <w:lang w:val="en-GB" w:eastAsia="en-GB"/>
        </w:rPr>
        <w:drawing>
          <wp:inline distT="0" distB="0" distL="0" distR="0" wp14:anchorId="12C4724F" wp14:editId="362BDB2D">
            <wp:extent cx="5762625" cy="8306320"/>
            <wp:effectExtent l="0" t="0" r="0" b="0"/>
            <wp:docPr id="75" name="Imagen 75" descr="C:\Users\Alejandro Valderrama\Downloads\Fig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7" descr="C:\Users\Alejandro Valderrama\Downloads\Fig5.14.jpg"/>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5762625" cy="8306320"/>
                    </a:xfrm>
                    <a:prstGeom prst="rect">
                      <a:avLst/>
                    </a:prstGeom>
                    <a:noFill/>
                    <a:ln>
                      <a:noFill/>
                    </a:ln>
                  </pic:spPr>
                </pic:pic>
              </a:graphicData>
            </a:graphic>
          </wp:inline>
        </w:drawing>
      </w:r>
    </w:p>
    <w:p w14:paraId="00C2122E" w14:textId="16A62BEF" w:rsidR="007F7607" w:rsidRPr="008608AA" w:rsidRDefault="00490494" w:rsidP="005A0ED1">
      <w:pPr>
        <w:suppressAutoHyphens/>
        <w:spacing w:before="240"/>
        <w:rPr>
          <w:rFonts w:eastAsia="Droid Sans Fallback"/>
        </w:rPr>
      </w:pPr>
      <w:r w:rsidRPr="008608AA">
        <w:rPr>
          <w:rFonts w:eastAsia="Droid Sans Fallback"/>
        </w:rPr>
        <w:t>Due to the unpredictable aridity of drylands (primarily cool and hot deserts, as well as arid and semi-arid shrubland, in Mesoamerica- and North America), both the biota and the human cultures associated with drylands have evolved a remarkable set of adaptations and cultural traditions to deal with this unpredictability (Chapter 2). Thus, despite the harsh conditions, or perhaps because of them, this biome has exceptionally high levels of biodiversity in several groups, notably plants, mammals and reptiles; there are over 30,000 plant specie</w:t>
      </w:r>
      <w:r w:rsidR="007F7607" w:rsidRPr="008608AA">
        <w:rPr>
          <w:rFonts w:eastAsia="Droid Sans Fallback"/>
        </w:rPr>
        <w:t>s in the southwest USA and the S</w:t>
      </w:r>
      <w:r w:rsidRPr="008608AA">
        <w:rPr>
          <w:rFonts w:eastAsia="Droid Sans Fallback"/>
        </w:rPr>
        <w:t>tate of Arizona in the</w:t>
      </w:r>
      <w:r w:rsidR="007F7607" w:rsidRPr="008608AA">
        <w:rPr>
          <w:rFonts w:eastAsia="Droid Sans Fallback"/>
        </w:rPr>
        <w:t xml:space="preserve"> USA has over 200 snake species,</w:t>
      </w:r>
      <w:r w:rsidRPr="008608AA">
        <w:rPr>
          <w:rFonts w:eastAsia="Droid Sans Fallback"/>
        </w:rPr>
        <w:t xml:space="preserve"> 2/3 the number of species in the entire Amazon (Chapter 3).</w:t>
      </w:r>
      <w:r w:rsidR="007F7607" w:rsidRPr="008608AA">
        <w:rPr>
          <w:rFonts w:eastAsia="Droid Sans Fallback"/>
        </w:rPr>
        <w:t xml:space="preserve"> </w:t>
      </w:r>
    </w:p>
    <w:p w14:paraId="7E63E73C" w14:textId="77777777" w:rsidR="007F7607" w:rsidRPr="008608AA" w:rsidRDefault="00490494" w:rsidP="005A0ED1">
      <w:pPr>
        <w:suppressAutoHyphens/>
        <w:spacing w:before="240"/>
        <w:rPr>
          <w:rFonts w:eastAsia="Droid Sans Fallback"/>
        </w:rPr>
      </w:pPr>
      <w:r w:rsidRPr="008608AA">
        <w:rPr>
          <w:rFonts w:eastAsia="Droid Sans Fallback"/>
        </w:rPr>
        <w:t xml:space="preserve">Despite water limitations, this biome provides significant provisioning services such as cattle grazing and agricultural production, though the latter is highly dependent on a non-sustainable use of irrigation via groundwater withdrawal and over allocation of surface water. However, in many cases, agricultural activities are abandoned: croplandsdue to water shortage and over grazing severely damages rangeland, resulting in the dominance of non-native species, such as </w:t>
      </w:r>
      <w:r w:rsidRPr="008608AA">
        <w:rPr>
          <w:rFonts w:eastAsia="Droid Sans Fallback"/>
          <w:i/>
        </w:rPr>
        <w:t>Cenchrus ciliaris</w:t>
      </w:r>
      <w:r w:rsidRPr="008608AA">
        <w:rPr>
          <w:rFonts w:eastAsia="Droid Sans Fallback"/>
        </w:rPr>
        <w:t xml:space="preserve"> (Chapter 3). Based on the Fragmentation Index reported in (Chapter 3) only about 4% of undisturbed drylands remain, which puts it barely above the index for grasslands, one of the most heavily impacted biomes, with the main drivers being agriculture and mineral extraction. The future of drylands under climate change is unclear; temperatures may increase or stay the same.</w:t>
      </w:r>
      <w:r w:rsidR="007F7607" w:rsidRPr="008608AA">
        <w:rPr>
          <w:rFonts w:eastAsia="Droid Sans Fallback"/>
        </w:rPr>
        <w:t xml:space="preserve"> </w:t>
      </w:r>
    </w:p>
    <w:p w14:paraId="1EBF9D16" w14:textId="77777777" w:rsidR="007F7607" w:rsidRPr="008608AA" w:rsidRDefault="00490494" w:rsidP="005A0ED1">
      <w:pPr>
        <w:suppressAutoHyphens/>
        <w:spacing w:before="240"/>
        <w:rPr>
          <w:rFonts w:eastAsia="Droid Sans Fallback"/>
        </w:rPr>
      </w:pPr>
      <w:r w:rsidRPr="008608AA">
        <w:rPr>
          <w:rFonts w:eastAsia="Droid Sans Fallback"/>
        </w:rPr>
        <w:t xml:space="preserve">Climate change forecasts indicate an increase in temperature, but no clear trend in annual precipitation in drylands in North America, although timing of events is likely to shift </w:t>
      </w:r>
      <w:r w:rsidRPr="008608AA">
        <w:rPr>
          <w:rFonts w:eastAsia="Droid Sans Fallback"/>
        </w:rPr>
        <w:fldChar w:fldCharType="begin" w:fldLock="1"/>
      </w:r>
      <w:r w:rsidRPr="008608AA">
        <w:rPr>
          <w:rFonts w:eastAsia="Droid Sans Fallback"/>
        </w:rPr>
        <w:instrText>ADDIN CSL_CITATION { "citationItems" : [ { "id" : "ITEM-1", "itemData" : { "DOI" : "10.1002/jgrd.50111", "ISBN" : "2169897X", "ISSN" : "21698996", "abstract" : "We analyze the response of the North American Monsoon (NAM) to increased greenhouse gas (GHG) forcing (emissions scenario RCP 8.5) using new simulations available through the Coupled Model Intercomparison Project version 5 (CMIP5). Changes in total monsoon season rainfall with GHG warming are small and insignificant. The models do, however, show significant declines in early monsoon season precipitation (June-July) and increases in late monsoon season (September-October) precipitation, indicating a shift in seasonality toward delayed onset and withdrawal of the monsoon. Early in the monsoon season, tropospheric warming increases vertical stability, reinforced by reductions in available surface moisture, inhibiting precipitation and delaying the onset of the monsoon. By the end of the monsoon season, moisture convergence is sufficient to overcome the warming induced stability increases, and precipitation is enhanced. Even with no change in total NAM rainfall, shifts in the seasonal distribution of precipitation within the NAM region are still likely to have significant societal and ecological consequences, reinforcing the need to not only understand the magnitude, but also the timing, of future precipitation changes.", "author" : [ { "dropping-particle" : "", "family" : "Cook", "given" : "B. I.", "non-dropping-particle" : "", "parse-names" : false, "suffix" : "" }, { "dropping-particle" : "", "family" : "Seager", "given" : "R.", "non-dropping-particle" : "", "parse-names" : false, "suffix" : "" } ], "container-title" : "Journal of Geophysical Research Atmospheres", "id" : "ITEM-1", "issue" : "4", "issued" : { "date-parts" : [ [ "2013" ] ] }, "page" : "1690-1699", "title" : "The response of the North American Monsoon to increased greenhouse gas forcing", "type" : "article-journal", "volume" : "118" }, "uris" : [ "http://www.mendeley.com/documents/?uuid=33e26635-a37d-4cec-a673-90d150f6d2ed", "http://www.mendeley.com/documents/?uuid=bf046733-f295-4799-a210-4966aadc715a" ] } ], "mendeley" : { "formattedCitation" : "(Cook &amp; Seager, 2013)", "manualFormatting" : "(Cook and Seager, 2013)", "plainTextFormattedCitation" : "(Cook &amp; Seager, 2013)", "previouslyFormattedCitation" : "(Cook &amp; Seager, 2013)"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(Cook &amp;</w:t>
      </w:r>
      <w:r w:rsidRPr="008608AA">
        <w:rPr>
          <w:rFonts w:eastAsia="Droid Sans Fallback"/>
          <w:noProof/>
        </w:rPr>
        <w:t xml:space="preserve"> Seager, 2013)</w:t>
      </w:r>
      <w:r w:rsidRPr="008608AA">
        <w:rPr>
          <w:rFonts w:eastAsia="Droid Sans Fallback"/>
        </w:rPr>
        <w:fldChar w:fldCharType="end"/>
      </w:r>
      <w:r w:rsidRPr="008608AA">
        <w:rPr>
          <w:rFonts w:eastAsia="Droid Sans Fallback"/>
        </w:rPr>
        <w:t xml:space="preserve">. As a consequence, potential evapotranspiration and drought severity will increase in dryland regions. Drought conditions are already common in the desert southwest, and drought periods are expected to become more frequent, intense, and longer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"Garfin", "given" : "G.", "non-dropping-particle" : "", "parse-names" : false, "suffix" : "" }, { "dropping-particle" : "", "family" : "Franco", "given" : "G.", "non-dropping-particle" : "", "parse-names" : false, "suffix" : "" }, { "dropping-particle" : "", "family" : "Blanco", "given" : "H.", "non-dropping-particle" : "", "parse-names" : false, "suffix" : "" }, { "dropping-particle" : "", "family" : "Comrie", "given" : "A.", "non-dropping-particle" : "", "parse-names" : false, "suffix" : "" }, { "dropping-particle" : "", "family" : "Gonzalez", "given" : "P.", "non-dropping-particle" : "", "parse-names" : false, "suffix" : "" }, { "dropping-particle" : "", "family" : "Piechota", "given" : "T.", "non-dropping-particle" : "", "parse-names" : false, "suffix" : "" }, { "dropping-particle" : "", "family" : "Smyth", "given" : "R.", "non-dropping-particle" : "", "parse-names" : false, "suffix" : "" }, { "dropping-particle" : "", "family" : "Waskom", "given" : "R.", "non-dropping-particle" : "", "parse-names" : false, "suffix" : "" } ], "container-title" : "U.S. Global Change Research Program", "editor" : [ { "dropping-particle" : "", "family" : "J. M. Melillo, Terese (T.C.) Richmond", "given" : "and G. W. Yohe", "non-dropping-particle" : "", "parse-names" : false, "suffix" : "" } ], "id" : "ITEM-1", "issued" : { "date-parts" : [ [ "2014" ] ] }, "page" : "462-486", "publisher" : "USGCRP", "title" : "Ch. 20: Southwest. Climate Change Impacts in the United States: The Third National Climate Assessment", "type" : "chapter" }, "uris" : [ "http://www.mendeley.com/documents/?uuid=300ccfd6-0f92-43e2-9b7b-d47ae609f880", "http://www.mendeley.com/documents/?uuid=a6522aff-a67d-4f24-8b7d-ce39053dd372" ] } ], "mendeley" : { "formattedCitation" : "(Garfin et al., 2014)", "plainTextFormattedCitation" : "(Garfin et al., 2014)", "previouslyFormattedCitation" : "(Garfin et al.,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(Garfin et al., 2014)</w:t>
      </w:r>
      <w:r w:rsidRPr="008608AA">
        <w:rPr>
          <w:rFonts w:eastAsia="Droid Sans Fallback"/>
        </w:rPr>
        <w:fldChar w:fldCharType="end"/>
      </w:r>
      <w:r w:rsidRPr="008608AA">
        <w:rPr>
          <w:rFonts w:eastAsia="Droid Sans Fallback"/>
        </w:rPr>
        <w:t>. The consequences for biodiversity are not entirely established, although drought results in a large decline in plant cover and richness, which likely impacts wildlife populations (</w:t>
      </w:r>
      <w:r w:rsidR="00847F60" w:rsidRPr="008608AA">
        <w:rPr>
          <w:rFonts w:eastAsia="Droid Sans Fallback"/>
        </w:rPr>
        <w:t>e.g.</w:t>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"Mulhouse", "given" : "JM", "non-dropping-particle" : "", "parse-names" : false, "suffix" : "" }, { "dropping-particle" : "", "family" : "Hallett", "given" : "ML", "non-dropping-particle" : "", "parse-names" : false, "suffix" : "" }, { "dropping-particle" : "", "family" : "Collins", "given" : "SL", "non-dropping-particle" : "", "parse-names" : false, "suffix" : "" } ], "container-title" : "Journal of Vegetation Science", "id" : "ITEM-1", "issued" : { "date-parts" : [ [ "2017" ] ] }, "page" : "250-259", "title" : "The influence of seasonal precipitation and grass competition on 20 years of forb dynamics in northern Chihuahuan Desert grassland", "type" : "article-journal", "volume" : "28" }, "uris" : [ "http://www.mendeley.com/documents/?uuid=5be8fbe4-987e-4b6e-bcfe-5dcfbfc5a226", "http://www.mendeley.com/documents/?uuid=31fed5ca-70a3-49ba-ac0c-0785bfff3a63" ] } ], "mendeley" : { "formattedCitation" : "(Mulhouse, Hallett, &amp; Collins, 2017)", "manualFormatting" : "Mulhouse et al., 2017)", "plainTextFormattedCitation" : "(Mulhouse, Hallett, &amp; Collins, 2017)", "previouslyFormattedCitation" : "(Mulhouse, Hallett, &amp; Collins, 2017)"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Mulhouse et al., 2017)</w:t>
      </w:r>
      <w:r w:rsidRPr="008608AA">
        <w:rPr>
          <w:rFonts w:eastAsia="Droid Sans Fallback"/>
        </w:rPr>
        <w:fldChar w:fldCharType="end"/>
      </w:r>
      <w:r w:rsidRPr="008608AA">
        <w:rPr>
          <w:rFonts w:eastAsia="Droid Sans Fallback"/>
        </w:rPr>
        <w:t xml:space="preserve">. However, some predictions indicate that desert ecology will be impacted, resulting in perhaps half of the bird, mammal and butterfly species in the Chihuahuan Desert being replaced by other species by 2055 (Chapter 2). Drought also reduces free surface water, a resource already severely limited in most dryland regions and this reduction will affect wildlife. For instance, drought impacts desert reptiles because there is less free water for them and their prey. As many reptiles rely on their diets to obtain water if they cannot drink free water, they may die from dessication if they cannot eat enough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"Schmidt-Nielsen", "given" : "Knut", "non-dropping-particle" : "", "parse-names" : false, "suffix" : "" } ], "id" : "ITEM-1", "issued" : { "date-parts" : [ [ "1997" ] ] }, "publisher" : "Cambridge University Press", "title" : "Animal physiology: adaptation and environment", "type" : "book" }, "uris" : [ "http://www.mendeley.com/documents/?uuid=08c21a3c-d342-4f87-941d-f1678904c80a", "http://www.mendeley.com/documents/?uuid=9fa5eb86-b2a9-4c42-bcb4-a01a11078c58" ] } ], "mendeley" : { "formattedCitation" : "(Schmidt-Nielsen, 1997)", "plainTextFormattedCitation" : "(Schmidt-Nielsen, 1997)", "previouslyFormattedCitation" : "(Schmidt-Nielsen, 1997)"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(Schmidt-Nielsen, 1997)</w:t>
      </w:r>
      <w:r w:rsidRPr="008608AA">
        <w:rPr>
          <w:rFonts w:eastAsia="Droid Sans Fallback"/>
        </w:rPr>
        <w:fldChar w:fldCharType="end"/>
      </w:r>
      <w:r w:rsidRPr="008608AA">
        <w:rPr>
          <w:rFonts w:eastAsia="Droid Sans Fallback"/>
        </w:rPr>
        <w:t>. Drought has even more severe consequences for amphibians, as most require free water in which to live and reproduce.</w:t>
      </w:r>
      <w:r w:rsidR="007F7607" w:rsidRPr="008608AA">
        <w:rPr>
          <w:rFonts w:eastAsia="Droid Sans Fallback"/>
        </w:rPr>
        <w:t xml:space="preserve"> </w:t>
      </w:r>
    </w:p>
    <w:p w14:paraId="4D6F81F9" w14:textId="37FA0F23" w:rsidR="007F7607" w:rsidRPr="008608AA" w:rsidRDefault="00490494" w:rsidP="005A0ED1">
      <w:pPr>
        <w:suppressAutoHyphens/>
        <w:spacing w:before="240"/>
        <w:rPr>
          <w:rFonts w:eastAsia="Droid Sans Fallback"/>
        </w:rPr>
      </w:pPr>
      <w:r w:rsidRPr="008608AA">
        <w:rPr>
          <w:rFonts w:eastAsia="Droid Sans Fallback"/>
        </w:rPr>
        <w:t xml:space="preserve">Although arid land vegetation tends to show high resilience to climatic fluctuations, currently the driest part of the loma desert vegetation appears to be at a tipping point. According to the fifth IPCC report, this area of the desert, and northward, is predicted to experience higher temperatures, but possibly more precipitation over this century, whereas more southerly parts of the desert are predicted to experience increased temperature and decreased precipitation. Increased rainfall could eventually detain present loma dieback. However, the southern end of South American desert is expected to dry further, in which case its vegetation could follow a similar trajectory today seen in the more northerly lomas. Overall, climate change and rampant development in coastal areas of Chile could become major threats to endemic western dryland biodiversity. Currently 35% of Chilean table grapes are grown in the southern part of the desert biome and its transition to the Mediterranean-climate area in Chile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"ODEPA", "given" : "", "non-dropping-particle" : "", "parse-names" : false, "suffix" : "" } ], "id" : "ITEM-1", "issued" : { "date-parts" : [ [ "2013" ] ] }, "title" : "Uva de mesa: se ratifica liderazgo exportador mundial de Chile", "type" : "article" }, "uris" : [ "http://www.mendeley.com/documents/?uuid=192b453e-7607-3977-ace5-4c73c3d668ef", "http://www.mendeley.com/documents/?uuid=3882092b-73ce-4af3-9ff3-569a646a11c8" ] } ], "mendeley" : { "formattedCitation" : "(ODEPA, 2013)", "plainTextFormattedCitation" : "(ODEPA, 2013)", "previouslyFormattedCitation" : "(ODEPA,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(ODEPA, 2013)</w:t>
      </w:r>
      <w:r w:rsidRPr="008608AA">
        <w:rPr>
          <w:rFonts w:eastAsia="Droid Sans Fallback"/>
        </w:rPr>
        <w:fldChar w:fldCharType="end"/>
      </w:r>
      <w:r w:rsidRPr="008608AA">
        <w:rPr>
          <w:rFonts w:eastAsia="Droid Sans Fallback"/>
        </w:rPr>
        <w:t>. Given expected increasing water scarcity in an increasing arid climate, grape-growing activity is likely to further affect terrestrial and aquatic biodiversity.</w:t>
      </w:r>
    </w:p>
    <w:p w14:paraId="43967E59" w14:textId="49DA13A9" w:rsidR="00490494" w:rsidRPr="008608AA" w:rsidRDefault="00490494" w:rsidP="00490494">
      <w:pPr>
        <w:suppressAutoHyphens/>
        <w:rPr>
          <w:rFonts w:eastAsia="Droid Sans Fallback"/>
        </w:rPr>
      </w:pPr>
      <w:r w:rsidRPr="008608AA">
        <w:rPr>
          <w:rFonts w:eastAsia="Droid Sans Fallback"/>
        </w:rPr>
        <w:t xml:space="preserve"> </w:t>
      </w:r>
    </w:p>
    <w:p w14:paraId="7F79FBDD" w14:textId="2C098F68" w:rsidR="00490494" w:rsidRPr="008608AA" w:rsidRDefault="00490494" w:rsidP="005A0ED1">
      <w:pPr>
        <w:suppressAutoHyphens/>
        <w:rPr>
          <w:rFonts w:eastAsia="Droid Sans Fallback"/>
        </w:rPr>
      </w:pPr>
      <w:r w:rsidRPr="008608AA">
        <w:rPr>
          <w:rFonts w:eastAsia="Droid Sans Fallback"/>
        </w:rPr>
        <w:t xml:space="preserve">Although fire is far less prevalent in Caatinga than in adjacent Amazonian forest and Cerrado </w:t>
      </w:r>
      <w:r w:rsidRPr="008608AA">
        <w:rPr>
          <w:rFonts w:eastAsia="Droid Sans Fallback"/>
        </w:rPr>
        <w:fldChar w:fldCharType="begin" w:fldLock="1"/>
      </w:r>
      <w:r w:rsidRPr="008608AA">
        <w:rPr>
          <w:rFonts w:eastAsia="Droid Sans Fallback"/>
        </w:rPr>
        <w:instrText>ADDIN CSL_CITATION { "citationItems" : [ { "id" : "ITEM-1", "itemData" : { "DOI" : "10.3390/rs4071929", "ISBN" : "10.3390/rs4071929", "ISSN" : "20724292", "abstract" : "Fires modify the structure of vegetation communities, the carbon and water cycles, the soil\u2019s chemistry, and affect the climate system. Within this context, this work aimed to understand the distribution patterns of burned areas in Brazil, during the period of 2002 to 2010, taking into consideration each one of the six Brazilian biomes (Amazon, Caatinga, Cerrado, Atlantic Forest, Pampa and Pantanal) and the respective major land cover classes. Data from the MODIS MCD45A1 product (burned area), as well as thermal anomalies (MOD14 and MYD14) and precipitation (TRMM), were analyzed according to the 2002 Brazilian official land cover and land use map (PROBIO). The Brazilian savanna biome, known as Cerrado, presented the largest concentration of burned areas detected by MODIS (73%), followed by the Amazon (14%), Pantanal (6%), Atlantic Forest (4%), Caatinga (3%), and Pampa (0,06%) biomes. Indeed, in the years of 2007 and 2010, 90% and 92% of Brazil\u2019s burned areas were concentrated in the Cerrado and Amazon biomes, respectively. TRMM data indicated that during these two years there was a significant influence of La Ni\u00f1a, causing low rainfall in the Amazon, Cerrado, Caatinga, and Atlantic Forest biomes. Regarding the land cover classes, approximately 81% of the burned areas occurred over remnant vegetation areas. Although no unequivocal correlation can be established between burned areas and new land conversions, the conspicuous concentration of fire scars, particularly in Amazon\u2013Cerrado transition (i.e., the Arc of Deforestation) is certainly not a simple coincidence. Such patterns and trends corroborate the need of improved territorial governance, in addition to the implementation of systematic fire warning and preventive systems.", "author" : [ { "dropping-particle" : "", "family" : "Ara\u00fajo", "given" : "Fernando Moreira", "non-dropping-particle" : "de", "parse-names" : false, "suffix" : "" }, { "dropping-particle" : "", "family" : "Ferreira", "given" : "Laerte Guimar\u00e3es", "non-dropping-particle" : "", "parse-names" : false, "suffix" : "" }, { "dropping-particle" : "", "family" : "Arantes", "given" : "Arielle Elias", "non-dropping-particle" : "", "parse-names" : false, "suffix" : "" } ], "container-title" : "Remote Sensing", "id" : "ITEM-1", "issued" : { "date-parts" : [ [ "2012" ] ] }, "title" : "Distribution Patterns of Burned Areas in the Brazilian Biomes: An Analysis Based on Satellite Data for the 2002-2010 Period", "type" : "article-journal" }, "uris" : [ "http://www.mendeley.com/documents/?uuid=5d0fb3e6-ecfd-4068-b730-868e993bbdcb", "http://www.mendeley.com/documents/?uuid=c50d87b2-1923-4716-a27c-1b820797ab46" ] } ], "mendeley" : { "formattedCitation" : "(de Ara\u00fajo, Ferreira, &amp; Arantes, 2012)", "manualFormatting" : "(de Ara\u00fajo et al.,2012)", "plainTextFormattedCitation" : "(de Ara\u00fajo, Ferreira, &amp; Arantes, 2012)", "previouslyFormattedCitation" : "(de Ara\u00fajo, Ferreira, &amp; Arantes,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(de Araújo et al., 2012)</w:t>
      </w:r>
      <w:r w:rsidRPr="008608AA">
        <w:rPr>
          <w:rFonts w:eastAsia="Droid Sans Fallback"/>
        </w:rPr>
        <w:fldChar w:fldCharType="end"/>
      </w:r>
      <w:r w:rsidRPr="008608AA">
        <w:rPr>
          <w:rFonts w:eastAsia="Droid Sans Fallback"/>
        </w:rPr>
        <w:t xml:space="preserve">, fire frequency could increase with increasing aridity, predicted by the fifth IPCC report. This, however, will depend upon how woody cover evolves taking into account that vegetation response of Caatinga to precipitation tends to be nonlinear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"Souza", "given" : "R.", "non-dropping-particle" : "", "parse-names" : false, "suffix" : "" }, { "dropping-particle" : "", "family" : "Feng", "given" : "X.", "non-dropping-particle" : "", "parse-names" : false, "suffix" : "" }, { "dropping-particle" : "", "family" : "Antonino", "given" : "A.", "non-dropping-particle" : "", "parse-names" : false, "suffix" : "" }, { "dropping-particle" : "", "family" : "Montenegro", "given" : "S.", "non-dropping-particle" : "", "parse-names" : false, "suffix" : "" }, { "dropping-particle" : "", "family" : "Souza", "given" : "E.", "non-dropping-particle" : "", "parse-names" : false, "suffix" : "" }, { "dropping-particle" : "", "family" : "Porporato", "given" : "A.", "non-dropping-particle" : "", "parse-names" : false, "suffix" : "" } ], "container-title" : "Hydrological Processes", "id" : "ITEM-1", "issue" : "30", "issued" : { "date-parts" : [ [ "2016" ] ] }, "page" : "3583-3595", "title" : "Vegetation response to rainfall seasonality and interannual variability in tropical dry forests", "type" : "article-journal" }, "uris" : [ "http://www.mendeley.com/documents/?uuid=e87a6aac-4c6a-3777-9d9f-28b2f72e20b1", "http://www.mendeley.com/documents/?uuid=aa4b4e56-ffb7-4e5a-926f-db55fb42b9d8" ] } ], "mendeley" : { "formattedCitation" : "(Souza et al., 2016)", "plainTextFormattedCitation" : "(Souza et al., 2016)", "previouslyFormattedCitation" : "(Souza et al.,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(Souza et al., 2016)</w:t>
      </w:r>
      <w:r w:rsidRPr="008608AA">
        <w:rPr>
          <w:rFonts w:eastAsia="Droid Sans Fallback"/>
        </w:rPr>
        <w:fldChar w:fldCharType="end"/>
      </w:r>
      <w:r w:rsidRPr="008608AA">
        <w:rPr>
          <w:rFonts w:eastAsia="Droid Sans Fallback"/>
        </w:rPr>
        <w:t xml:space="preserve"> and that a </w:t>
      </w:r>
      <w:r w:rsidR="00E03ED4" w:rsidRPr="008608AA">
        <w:rPr>
          <w:rFonts w:eastAsia="Droid Sans Fallback"/>
        </w:rPr>
        <w:t>carbon dioxide</w:t>
      </w:r>
      <w:r w:rsidRPr="008608AA">
        <w:rPr>
          <w:rFonts w:eastAsia="Droid Sans Fallback"/>
        </w:rPr>
        <w:t xml:space="preserve"> fertilizing effect is possible. That Caatinga lies adjacent to wetter biomes is positive for providing habitat suitability elsewhere under climate change (c.f. </w:t>
      </w:r>
      <w:r w:rsidRPr="008608AA">
        <w:rPr>
          <w:rFonts w:eastAsia="Droid Sans Fallback"/>
        </w:rPr>
        <w:fldChar w:fldCharType="begin" w:fldLock="1"/>
      </w:r>
      <w:r w:rsidRPr="008608AA">
        <w:rPr>
          <w:rFonts w:eastAsia="Droid Sans Fallback"/>
        </w:rPr>
        <w:instrText>ADDIN CSL_CITATION { "citationItems" : [ { "id" : "ITEM-1", "itemData" : { "DOI" : "10.1590/S0073-47212013000300010", "ISBN" : "0073-4721", "ISSN" : "00734721 (ISSN)", "abstract" : "In this study, we used two types of species distribution modelling (correlative and mechanistic) in order to evaluate the effects of climate change on the geographic distribution of Rhinella granulosa (Spix, 1824), distributed in the Caatinga biome. We tested the prediction that amphibians distributed in warm weather will have their spatial distribution constrained by high temperatures in the future. Using the correlation approach, we observed that the potential distribution generated by Euclidian Distance showed more conservative areas (e.g. with a smaller distance from optimum niche) limiting it to the current distribution of the species (e.g. Caatinga), and to small areas in the Cerrado biome. The mechanistic approach showed a less conservative result, in which the habitat indicated as suitable for R. granulosa comprised a large extension of South America, encompassing a contiguous area. In general, we observed that the spatial distribution of R. granulosa would not be strongly affected by climate change, at least until 2080. Probably, this species has a tolerant physiology to high temperatures and shows adaptations that support dry and hot weather.", "author" : [ { "dropping-particle" : "", "family" : "Oliveira", "given" : "H R", "non-dropping-particle" : "", "parse-names" : false, "suffix" : "" }, { "dropping-particle" : "", "family" : "Cassemiro", "given" : "F A S", "non-dropping-particle" : "", "parse-names" : false, "suffix" : "" } ], "container-title" : "Iheringia - Serie Zoologia", "id" : "ITEM-1", "issued" : { "date-parts" : [ [ "2013" ] ] }, "title" : "Potential effects of climate change on the distribution of a Caatinga's frog Rhinella granulosa (Anura, Bufonidae) ", "type" : "article-journal" }, "uris" : [ "http://www.mendeley.com/documents/?uuid=9b9a0a32-c769-348f-ab26-6580fa662a75", "http://www.mendeley.com/documents/?uuid=9422cd0e-a445-43fc-9d40-ac3a31e26e1c" ] } ], "mendeley" : { "formattedCitation" : "(H. R. Oliveira &amp; Cassemiro, 2013)", "manualFormatting" : "Oliveira and Cassemiro, 2013)", "plainTextFormattedCitation" : "(H. R. Oliveira &amp; Cassemiro, 2013)", "previouslyFormattedCitation" : "(H. R. Oliveira &amp; Cassemiro, 2013)"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Oliveira &amp;</w:t>
      </w:r>
      <w:r w:rsidRPr="008608AA">
        <w:rPr>
          <w:rFonts w:eastAsia="Droid Sans Fallback"/>
          <w:noProof/>
        </w:rPr>
        <w:t xml:space="preserve"> Cassemiro, 2013)</w:t>
      </w:r>
      <w:r w:rsidRPr="008608AA">
        <w:rPr>
          <w:rFonts w:eastAsia="Droid Sans Fallback"/>
        </w:rPr>
        <w:fldChar w:fldCharType="end"/>
      </w:r>
      <w:r w:rsidRPr="008608AA">
        <w:rPr>
          <w:rFonts w:eastAsia="Droid Sans Fallback"/>
        </w:rPr>
        <w:t xml:space="preserve">. </w:t>
      </w:r>
    </w:p>
    <w:p w14:paraId="7FF03B0C" w14:textId="77777777" w:rsidR="005A0ED1" w:rsidRPr="008608AA" w:rsidRDefault="005A0ED1" w:rsidP="005A0ED1">
      <w:pPr>
        <w:suppressAutoHyphens/>
        <w:rPr>
          <w:rFonts w:eastAsia="Droid Sans Fallback"/>
        </w:rPr>
      </w:pPr>
    </w:p>
    <w:p w14:paraId="05C03DD5" w14:textId="77777777" w:rsidR="00490494" w:rsidRPr="008608AA" w:rsidRDefault="00490494" w:rsidP="005A0ED1">
      <w:pPr>
        <w:suppressAutoHyphens/>
        <w:rPr>
          <w:rFonts w:eastAsia="Droid Sans Fallback"/>
        </w:rPr>
      </w:pPr>
      <w:r w:rsidRPr="008608AA">
        <w:rPr>
          <w:rFonts w:eastAsia="Droid Sans Fallback"/>
        </w:rPr>
        <w:t>As with the Tundra, climate change is the major threat to drylands, though urbanization is also a serious, continuing threat. Drylands would be expected to continue to be impacted by changing climate under the Fortress World and Market Forces archetype. While improvements with respect to climate change can be expected under the Policy Reform archetype, it is likely that scenarios that can be classified under the Great Transition archetype are the only ones that could reverse current trends.</w:t>
      </w:r>
    </w:p>
    <w:p w14:paraId="5F6E2FD0" w14:textId="5EDF219C" w:rsidR="005A0ED1" w:rsidRPr="008608AA" w:rsidRDefault="005A0ED1" w:rsidP="005A0ED1">
      <w:pPr>
        <w:suppressAutoHyphens/>
        <w:rPr>
          <w:rFonts w:eastAsia="Droid Sans Fallback"/>
        </w:rPr>
      </w:pPr>
      <w:r w:rsidRPr="008608AA">
        <w:rPr>
          <w:rFonts w:eastAsia="Droid Sans Fallback"/>
        </w:rPr>
        <w:br w:type="page"/>
      </w:r>
    </w:p>
    <w:p w14:paraId="3B10C143" w14:textId="05B07118" w:rsidR="00490494" w:rsidRPr="008608AA" w:rsidRDefault="00490494" w:rsidP="005A0ED1">
      <w:pPr>
        <w:pStyle w:val="Heading3"/>
        <w:rPr>
          <w:rFonts w:eastAsia="Droid Sans Fallback"/>
        </w:rPr>
      </w:pPr>
      <w:bookmarkStart w:id="2025" w:name="_Toc466995092"/>
      <w:bookmarkStart w:id="2026" w:name="_Toc472342785"/>
      <w:bookmarkStart w:id="2027" w:name="_Toc499256891"/>
      <w:bookmarkStart w:id="2028" w:name="_Toc502953638"/>
      <w:bookmarkStart w:id="2029" w:name="_Toc502954931"/>
      <w:bookmarkStart w:id="2030" w:name="_Toc502957738"/>
      <w:bookmarkStart w:id="2031" w:name="_Toc502957937"/>
      <w:bookmarkStart w:id="2032" w:name="_Toc502958091"/>
      <w:bookmarkStart w:id="2033" w:name="_Toc503293160"/>
      <w:bookmarkStart w:id="2034" w:name="_Toc503293758"/>
      <w:bookmarkStart w:id="2035" w:name="_Toc503294020"/>
      <w:bookmarkStart w:id="2036" w:name="_Toc503863413"/>
      <w:bookmarkStart w:id="2037" w:name="_Toc503863641"/>
      <w:bookmarkStart w:id="2038" w:name="_Toc517393409"/>
      <w:bookmarkStart w:id="2039" w:name="_Toc517719150"/>
      <w:bookmarkStart w:id="2040" w:name="_Toc517797107"/>
      <w:bookmarkStart w:id="2041" w:name="_Toc482711179"/>
      <w:r w:rsidRPr="008608AA">
        <w:rPr>
          <w:rFonts w:eastAsia="Droid Sans Fallback"/>
        </w:rPr>
        <w:t>Wetlands</w:t>
      </w:r>
      <w:bookmarkEnd w:id="2025"/>
      <w:bookmarkEnd w:id="2026"/>
      <w:r w:rsidR="0095672D" w:rsidRPr="008608AA">
        <w:rPr>
          <w:rFonts w:eastAsia="Droid Sans Fallback"/>
        </w:rPr>
        <w:t xml:space="preserve"> – Policy p</w:t>
      </w:r>
      <w:r w:rsidRPr="008608AA">
        <w:rPr>
          <w:rFonts w:eastAsia="Droid Sans Fallback"/>
        </w:rPr>
        <w:t>otentialities</w:t>
      </w:r>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r w:rsidRPr="008608AA">
        <w:rPr>
          <w:rFonts w:eastAsia="Droid Sans Fallback"/>
        </w:rPr>
        <w:t xml:space="preserve"> </w:t>
      </w:r>
      <w:bookmarkEnd w:id="2041"/>
    </w:p>
    <w:p w14:paraId="40BC3DEB" w14:textId="4AB0115D" w:rsidR="005A0ED1" w:rsidRPr="008608AA" w:rsidRDefault="00345EF6" w:rsidP="005A0ED1">
      <w:pPr>
        <w:suppressAutoHyphens/>
        <w:spacing w:before="240"/>
        <w:jc w:val="center"/>
        <w:rPr>
          <w:rFonts w:eastAsia="Droid Sans Fallback"/>
        </w:rPr>
      </w:pPr>
      <w:r w:rsidRPr="008608AA">
        <w:rPr>
          <w:rFonts w:eastAsia="Droid Sans Fallback"/>
          <w:noProof/>
          <w:lang w:val="en-GB" w:eastAsia="en-GB"/>
        </w:rPr>
        <w:drawing>
          <wp:inline distT="0" distB="0" distL="0" distR="0" wp14:anchorId="7E1A569A" wp14:editId="13C6BF92">
            <wp:extent cx="5934075" cy="8553450"/>
            <wp:effectExtent l="0" t="0" r="9525" b="0"/>
            <wp:docPr id="76" name="Imagen 76" descr="C:\Users\Alejandro Valderrama\Downloads\Fig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9" descr="C:\Users\Alejandro Valderrama\Downloads\Fig5.15.jpg"/>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5934075" cy="8553450"/>
                    </a:xfrm>
                    <a:prstGeom prst="rect">
                      <a:avLst/>
                    </a:prstGeom>
                    <a:noFill/>
                    <a:ln>
                      <a:noFill/>
                    </a:ln>
                  </pic:spPr>
                </pic:pic>
              </a:graphicData>
            </a:graphic>
          </wp:inline>
        </w:drawing>
      </w:r>
    </w:p>
    <w:p w14:paraId="52E7A69E" w14:textId="10A028E8" w:rsidR="003232C5" w:rsidRPr="008608AA" w:rsidRDefault="00490494" w:rsidP="005A0ED1">
      <w:pPr>
        <w:suppressAutoHyphens/>
        <w:spacing w:before="240"/>
        <w:rPr>
          <w:rFonts w:eastAsia="Droid Sans Fallback"/>
        </w:rPr>
      </w:pPr>
      <w:r w:rsidRPr="008608AA">
        <w:rPr>
          <w:rFonts w:eastAsia="Droid Sans Fallback"/>
        </w:rPr>
        <w:t>Wetlands constitute one of the more ubiquitous types of ecosystems throughout the Americas, providing a wide range of NCP and occur as a significant component within the following units of analysis: temperate and boreal forests, montane systems, grasslands, tundra, freshwater surface waters and water bodies, coastal habitats, and production systems. Although scattered across these units, wetlands have the shared charateristic that they are areas where the soil is saturated at a frequency and duration such that the soils are physically and chemically modified to form “hydric soils” (e.g. peat) and the vegetation is dominated by plant species adapted to growing in saturated conditions; such species are referred to as “hydrophytes” (e.g. cattails (</w:t>
      </w:r>
      <w:r w:rsidRPr="008608AA">
        <w:rPr>
          <w:rFonts w:eastAsia="Droid Sans Fallback"/>
          <w:i/>
        </w:rPr>
        <w:t>Typha</w:t>
      </w:r>
      <w:r w:rsidRPr="008608AA">
        <w:rPr>
          <w:rFonts w:eastAsia="Droid Sans Fallback"/>
        </w:rPr>
        <w:t xml:space="preserve"> spp.))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"Laboratory", "given" : "Environmental", "non-dropping-particle" : "", "parse-names" : false, "suffix" : "" } ], "id" : "ITEM-1", "issue" : "January", "issued" : { "date-parts" : [ [ "1987" ] ] }, "publisher-place" : "Vicksburg, Mississippi USA", "title" : "Corps of Engineers Wetlands Delineation Manual", "type" : "report", "volume" : "1" }, "uris" : [ "http://www.mendeley.com/documents/?uuid=71b64bbb-fa1b-44e7-9756-62023bd849c0" ] } ], "mendeley" : { "formattedCitation" : "(Laboratory, 1987)", "plainTextFormattedCitation" : "(Laboratory, 1987)", "previouslyFormattedCitation" : "(Laboratory, 1987)"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(Laboratory, 1987)</w:t>
      </w:r>
      <w:r w:rsidRPr="008608AA">
        <w:rPr>
          <w:rFonts w:eastAsia="Droid Sans Fallback"/>
        </w:rPr>
        <w:fldChar w:fldCharType="end"/>
      </w:r>
      <w:r w:rsidRPr="008608AA">
        <w:rPr>
          <w:rFonts w:eastAsia="Droid Sans Fallback"/>
        </w:rPr>
        <w:t>. Wetlands may be characterized by standing water throughout the year (e.g. marshes), or water may never be visible at the surface of the ground, though saturation is close enough to the surface as to affect the soils and influence the plant community (e.g. some temperate swamps). Thus, wetlands are transitional between purely aquatic ecosystems and purely terrestrial ecosystems.</w:t>
      </w:r>
      <w:r w:rsidR="003232C5" w:rsidRPr="008608AA">
        <w:rPr>
          <w:rFonts w:eastAsia="Droid Sans Fallback"/>
        </w:rPr>
        <w:t xml:space="preserve"> </w:t>
      </w:r>
    </w:p>
    <w:p w14:paraId="08423ED4" w14:textId="77777777" w:rsidR="003232C5" w:rsidRPr="008608AA" w:rsidRDefault="00490494" w:rsidP="005A0ED1">
      <w:pPr>
        <w:suppressAutoHyphens/>
        <w:spacing w:before="240"/>
        <w:rPr>
          <w:rFonts w:eastAsia="Droid Sans Fallback"/>
        </w:rPr>
      </w:pPr>
      <w:r w:rsidRPr="008608AA">
        <w:rPr>
          <w:rFonts w:eastAsia="Droid Sans Fallback"/>
        </w:rPr>
        <w:t>Wetlands are recognized as providing the full range of ecosystem goods and services defined in this assessment (Figure 5.15). For example, they provide provisioning services, such as food in the form of waterfowl, seafood, and cultivated rice (</w:t>
      </w:r>
      <w:r w:rsidRPr="008608AA">
        <w:rPr>
          <w:rFonts w:eastAsia="Droid Sans Fallback"/>
          <w:i/>
        </w:rPr>
        <w:t>Oryza sativa</w:t>
      </w:r>
      <w:r w:rsidRPr="008608AA">
        <w:rPr>
          <w:rFonts w:eastAsia="Droid Sans Fallback"/>
        </w:rPr>
        <w:t xml:space="preserve"> and </w:t>
      </w:r>
      <w:r w:rsidRPr="008608AA">
        <w:rPr>
          <w:rFonts w:eastAsia="Droid Sans Fallback"/>
          <w:i/>
        </w:rPr>
        <w:t>O. glaberrima</w:t>
      </w:r>
      <w:r w:rsidRPr="008608AA">
        <w:rPr>
          <w:rFonts w:eastAsia="Droid Sans Fallback"/>
        </w:rPr>
        <w:t>); regulating services in the form of groundwater recharge and discharge zones, shoreline protection, as well as contaminant removal; and cultural services, such as aesthetic enjoyment, recreation, and are important culturally, such as the role of wild rice (</w:t>
      </w:r>
      <w:r w:rsidRPr="008608AA">
        <w:rPr>
          <w:rFonts w:eastAsia="Droid Sans Fallback"/>
          <w:i/>
        </w:rPr>
        <w:t>Zizania palustris</w:t>
      </w:r>
      <w:r w:rsidRPr="008608AA">
        <w:rPr>
          <w:rFonts w:eastAsia="Droid Sans Fallback"/>
        </w:rPr>
        <w:t xml:space="preserve">) in the culture of some Native North Americans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"Vennum", "given" : "T.", "non-dropping-particle" : "", "parse-names" : false, "suffix" : "" } ], "editor" : [ { "dropping-particle" : "", "family" : "Press", "given" : "Minnesota Historical Society", "non-dropping-particle" : "", "parse-names" : false, "suffix" : "" } ], "id" : "ITEM-1", "issued" : { "date-parts" : [ [ "1988" ] ] }, "publisher-place" : "St. Paul, Minnesota, USA", "title" : "Wild rice and the Ojibway people", "type" : "book" }, "uris" : [ "http://www.mendeley.com/documents/?uuid=1bc760f8-a4c8-4137-92d8-a8e05200016a" ] }, { "id" : "ITEM-2", "itemData" : { "ISBN" : "978-1-118-67682-0", "author" : [ { "dropping-particle" : "", "family" : "Mitsch", "given" : "William J.", "non-dropping-particle" : "", "parse-names" : false, "suffix" : "" }, { "dropping-particle" : "", "family" : "Gosselink", "given" : "James G.", "non-dropping-particle" : "", "parse-names" : false, "suffix" : "" } ], "edition" : "5th", "id" : "ITEM-2", "issued" : { "date-parts" : [ [ "2007" ] ] }, "number-of-pages" : "456", "publisher" : "John Wiley and Sons, Inc.", "publisher-place" : "New York", "title" : "Wetlands", "type" : "book" }, "uris" : [ "http://www.mendeley.com/documents/?uuid=ede89911-c435-48fc-b338-58067bd5a887" ] } ], "mendeley" : { "formattedCitation" : "(Mitsch &amp; Gosselink, 2007; Vennum, 1988)", "plainTextFormattedCitation" : "(Mitsch &amp; Gosselink, 2007; Vennum, 1988)", "previouslyFormattedCitation" : "(Mitsch &amp; Gosselink, 2007; Vennum, 1988)"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(Mitsch &amp; Gosselink, 2007; Vennum, 1988)</w:t>
      </w:r>
      <w:r w:rsidRPr="008608AA">
        <w:rPr>
          <w:rFonts w:eastAsia="Droid Sans Fallback"/>
        </w:rPr>
        <w:fldChar w:fldCharType="end"/>
      </w:r>
      <w:r w:rsidRPr="008608AA">
        <w:rPr>
          <w:rFonts w:eastAsia="Droid Sans Fallback"/>
        </w:rPr>
        <w:t>.</w:t>
      </w:r>
      <w:r w:rsidR="003232C5" w:rsidRPr="008608AA">
        <w:rPr>
          <w:rFonts w:eastAsia="Droid Sans Fallback"/>
        </w:rPr>
        <w:t xml:space="preserve"> </w:t>
      </w:r>
    </w:p>
    <w:p w14:paraId="07C59F85" w14:textId="77D85A7F" w:rsidR="003232C5" w:rsidRPr="008608AA" w:rsidRDefault="00490494" w:rsidP="005A0ED1">
      <w:pPr>
        <w:suppressAutoHyphens/>
        <w:spacing w:before="240"/>
        <w:rPr>
          <w:rFonts w:eastAsia="Droid Sans Fallback"/>
        </w:rPr>
      </w:pPr>
      <w:r w:rsidRPr="008608AA">
        <w:rPr>
          <w:rFonts w:eastAsia="Droid Sans Fallback"/>
        </w:rPr>
        <w:t>As noted above, wetlands occur</w:t>
      </w:r>
      <w:r w:rsidR="003232C5" w:rsidRPr="008608AA">
        <w:rPr>
          <w:rFonts w:eastAsia="Droid Sans Fallback"/>
        </w:rPr>
        <w:t xml:space="preserve"> as a significant component in seven</w:t>
      </w:r>
      <w:r w:rsidRPr="008608AA">
        <w:rPr>
          <w:rFonts w:eastAsia="Droid Sans Fallback"/>
        </w:rPr>
        <w:t xml:space="preserve"> of the 17 units of analysis recognized in this assessment. Indeed, they occur to at least some extent in all of the units, except deep water habitats. The importance of wetlands is amply demonstrated in terms of NCP by Figure 5.15.</w:t>
      </w:r>
      <w:r w:rsidR="003232C5" w:rsidRPr="008608AA">
        <w:rPr>
          <w:rFonts w:eastAsia="Droid Sans Fallback"/>
        </w:rPr>
        <w:t xml:space="preserve"> </w:t>
      </w:r>
    </w:p>
    <w:p w14:paraId="2064F9C8" w14:textId="74C562E5" w:rsidR="003232C5" w:rsidRPr="008608AA" w:rsidRDefault="00490494" w:rsidP="005A0ED1">
      <w:pPr>
        <w:suppressAutoHyphens/>
        <w:spacing w:before="240"/>
        <w:rPr>
          <w:rFonts w:eastAsia="Droid Sans Fallback"/>
        </w:rPr>
      </w:pPr>
      <w:r w:rsidRPr="008608AA">
        <w:rPr>
          <w:rFonts w:eastAsia="Droid Sans Fallback"/>
        </w:rPr>
        <w:t xml:space="preserve">On a worldwide basis, 64% of the wetlands that existed in 1900 have disappeared </w:t>
      </w:r>
      <w:r w:rsidRPr="008608AA">
        <w:rPr>
          <w:rFonts w:eastAsia="Droid Sans Fallback"/>
        </w:rPr>
        <w:fldChar w:fldCharType="begin" w:fldLock="1"/>
      </w:r>
      <w:r w:rsidRPr="008608AA">
        <w:rPr>
          <w:rFonts w:eastAsia="Droid Sans Fallback"/>
        </w:rPr>
        <w:instrText>ADDIN CSL_CITATION { "citationItems" : [ { "id" : "ITEM-1", "itemData" : { "ISBN" : "1448-6059", "author" : [ { "dropping-particle" : "", "family" : "Davidson", "given" : "Nick C", "non-dropping-particle" : "", "parse-names" : false, "suffix" : "" } ], "container-title" : "Marine and Freshwater Research", "id" : "ITEM-1", "issue" : "10", "issued" : { "date-parts" : [ [ "2014" ] ] }, "page" : "934-941", "title" : "How much wetland has the world lost? Long-term and recent trends in global wetland area", "type" : "article-journal", "volume" : "65" }, "uris" : [ "http://www.mendeley.com/documents/?uuid=5cdb4375-81a0-4fe7-befe-941d6d1d49da" ] }, { "id" : "ITEM-2", "itemData" : { "author" : [ { "dropping-particle" : "", "family" : "Ramsar", "given" : "", "non-dropping-particle" : "", "parse-names" : false, "suffix" : "" } ], "id" : "ITEM-2", "issue" : "3.1", "issued" : { "date-parts" : [ [ "2006" ] ] }, "title" : "Wetlands : a global disappearing act", "type" : "article" }, "uris" : [ "http://www.mendeley.com/documents/?uuid=750382df-0a4d-4293-ac95-2fcf9e54c004" ] } ], "mendeley" : { "formattedCitation" : "(N. C. Davidson, 2014; Ramsar, 2006)", "plainTextFormattedCitation" : "(N. C. Davidson, 2014; Ramsar, 2006)", "previouslyFormattedCitation" : "(N. C. Davidson, 2014; Ramsar,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(Davidson, 2014; Ramsar, 2006)</w:t>
      </w:r>
      <w:r w:rsidRPr="008608AA">
        <w:rPr>
          <w:rFonts w:eastAsia="Droid Sans Fallback"/>
        </w:rPr>
        <w:fldChar w:fldCharType="end"/>
      </w:r>
      <w:r w:rsidRPr="008608AA">
        <w:rPr>
          <w:rFonts w:eastAsia="Droid Sans Fallback"/>
        </w:rPr>
        <w:t xml:space="preserve">. The reasons for this decrease are varied, but are primarily due to changes in land use, with the majority of wetland loss attributable to conversion to agriculture and forestry </w:t>
      </w:r>
      <w:r w:rsidRPr="008608AA">
        <w:rPr>
          <w:rFonts w:eastAsia="Droid Sans Fallback"/>
        </w:rPr>
        <w:fldChar w:fldCharType="begin" w:fldLock="1"/>
      </w:r>
      <w:r w:rsidRPr="008608AA">
        <w:rPr>
          <w:rFonts w:eastAsia="Droid Sans Fallback"/>
        </w:rPr>
        <w:instrText>ADDIN CSL_CITATION { "citationItems" : [ { "id" : "ITEM-1", "itemData" : { "DOI" : "10.1007/s11273-016-9494-y", "ISSN" : "0923-4861", "author" : [ { "dropping-particle" : "", "family" : "Poulin", "given" : "Monique", "non-dropping-particle" : "", "parse-names" : false, "suffix" : "" }, { "dropping-particle" : "", "family" : "Pellerin", "given" : "St\u00e9phanie", "non-dropping-particle" : "", "parse-names" : false, "suffix" : "" }, { "dropping-particle" : "", "family" : "Cimon-Morin", "given" : "J\u00e9r\u00f4me", "non-dropping-particle" : "", "parse-names" : false, "suffix" : "" }, { "dropping-particle" : "", "family" : "Lavall\u00e9e", "given" : "Sophie", "non-dropping-particle" : "", "parse-names" : false, "suffix" : "" }, { "dropping-particle" : "", "family" : "Courchesne", "given" : "Genevi\u00e8ve", "non-dropping-particle" : "", "parse-names" : false, "suffix" : "" }, { "dropping-particle" : "", "family" : "Tendland", "given" : "Youri", "non-dropping-particle" : "", "parse-names" : false, "suffix" : "" } ], "container-title" : "Wetlands Ecology and Management", "id" : "ITEM-1", "issue" : "6", "issued" : { "date-parts" : [ [ "2016", "12", "30" ] ] }, "page" : "651-665", "title" : "Inefficacy of wetland legislation for conserving Quebec wetlands as revealed by mapping of recent disturbances", "type" : "article-journal", "volume" : "24" }, "uris" : [ "http://www.mendeley.com/documents/?uuid=aa4dbcda-de1d-4141-89fc-6b1aef852764" ] } ], "mendeley" : { "formattedCitation" : "(Poulin et al., 2016)", "plainTextFormattedCitation" : "(Poulin et al., 2016)", "previouslyFormattedCitation" : "(Poulin et al.,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(Poulin et al., 2016)</w:t>
      </w:r>
      <w:r w:rsidRPr="008608AA">
        <w:rPr>
          <w:rFonts w:eastAsia="Droid Sans Fallback"/>
        </w:rPr>
        <w:fldChar w:fldCharType="end"/>
      </w:r>
      <w:r w:rsidRPr="008608AA">
        <w:rPr>
          <w:rFonts w:eastAsia="Droid Sans Fallback"/>
        </w:rPr>
        <w:t>. Ramsar has monitored 1</w:t>
      </w:r>
      <w:r w:rsidR="003232C5" w:rsidRPr="008608AA">
        <w:rPr>
          <w:rFonts w:eastAsia="Droid Sans Fallback"/>
        </w:rPr>
        <w:t>,</w:t>
      </w:r>
      <w:r w:rsidRPr="008608AA">
        <w:rPr>
          <w:rFonts w:eastAsia="Droid Sans Fallback"/>
        </w:rPr>
        <w:t xml:space="preserve">000 sites since 1970 and has found that wetland loss continues, with these sites shrinking by an average of 40% by 2008. This loss of wetland is not distributed uniformly on a global basis. Dixon et al. </w:t>
      </w:r>
      <w:r w:rsidRPr="008608AA">
        <w:rPr>
          <w:rFonts w:eastAsia="Droid Sans Fallback"/>
        </w:rPr>
        <w:fldChar w:fldCharType="begin" w:fldLock="1"/>
      </w:r>
      <w:r w:rsidRPr="008608AA">
        <w:rPr>
          <w:rFonts w:eastAsia="Droid Sans Fallback"/>
        </w:rPr>
        <w:instrText>ADDIN CSL_CITATION { "citationItems" : [ { "id" : "ITEM-1", "itemData" : { "DOI" : "10.1016/j.biocon.2015.10.023", "ISSN" : "00063207", "author" : [ { "dropping-particle" : "", "family" : "Dixon", "given" : "M.J.R.", "non-dropping-particle" : "", "parse-names" : false, "suffix" : "" }, { "dropping-particle" : "", "family" : "Loh", "given" : "J.", "non-dropping-particle" : "", "parse-names" : false, "suffix" : "" }, { "dropping-particle" : "", "family" : "Davidson", "given" : "N.C.", "non-dropping-particle" : "", "parse-names" : false, "suffix" : "" }, { "dropping-particle" : "", "family" : "Beltrame", "given" : "C.", "non-dropping-particle" : "", "parse-names" : false, "suffix" : "" }, { "dropping-particle" : "", "family" : "Freeman", "given" : "R.", "non-dropping-particle" : "", "parse-names" : false, "suffix" : "" }, { "dropping-particle" : "", "family" : "Walpole", "given" : "M.", "non-dropping-particle" : "", "parse-names" : false, "suffix" : "" } ], "container-title" : "Biological Conservation", "id" : "ITEM-1", "issued" : { "date-parts" : [ [ "2016", "1" ] ] }, "page" : "27-35", "title" : "Tracking global change in ecosystem area: The Wetland Extent Trends index", "type" : "article-journal", "volume" : "193" }, "suppress-author" : 1, "uris" : [ "http://www.mendeley.com/documents/?uuid=239308dd-3ea4-4bd8-90c5-9ae375e5f937" ] } ], "mendeley" : { "formattedCitation" : "(2016)", "plainTextFormattedCitation" : "(2016)", "previouslyFormattedCitation" :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(2016)</w:t>
      </w:r>
      <w:r w:rsidRPr="008608AA">
        <w:rPr>
          <w:rFonts w:eastAsia="Droid Sans Fallback"/>
        </w:rPr>
        <w:fldChar w:fldCharType="end"/>
      </w:r>
      <w:r w:rsidRPr="008608AA">
        <w:rPr>
          <w:rFonts w:eastAsia="Droid Sans Fallback"/>
        </w:rPr>
        <w:t xml:space="preserve"> found that for Oceania, North America and Africa, the rate of wetland loss has substantially decreased. However, rates of loss for Asia and Europe continue fairly unabated.</w:t>
      </w:r>
      <w:r w:rsidR="003232C5" w:rsidRPr="008608AA">
        <w:rPr>
          <w:rFonts w:eastAsia="Droid Sans Fallback"/>
        </w:rPr>
        <w:t xml:space="preserve"> </w:t>
      </w:r>
    </w:p>
    <w:p w14:paraId="109A7AE6" w14:textId="4A98D3A9" w:rsidR="00490494" w:rsidRPr="008608AA" w:rsidRDefault="00490494" w:rsidP="005A0ED1">
      <w:pPr>
        <w:suppressAutoHyphens/>
        <w:spacing w:before="240"/>
        <w:rPr>
          <w:rFonts w:eastAsia="Droid Sans Fallback"/>
        </w:rPr>
      </w:pPr>
      <w:r w:rsidRPr="008608AA">
        <w:rPr>
          <w:rFonts w:eastAsia="Droid Sans Fallback"/>
        </w:rPr>
        <w:t>For North America, the reduction in the rate of loss has been accomplished primarily through policy intervention. The USA Federal Government has enacted laws and regulations protecting wetlands, as well as encouraging conservation measures through g</w:t>
      </w:r>
      <w:r w:rsidR="00B40E9F" w:rsidRPr="008608AA">
        <w:rPr>
          <w:rFonts w:eastAsia="Droid Sans Fallback"/>
        </w:rPr>
        <w:t>overnment programs, and in the non-Governmental organization</w:t>
      </w:r>
      <w:r w:rsidRPr="008608AA">
        <w:rPr>
          <w:rFonts w:eastAsia="Droid Sans Fallback"/>
        </w:rPr>
        <w:t xml:space="preserve"> sector. While Canada has no specific Federal legislation protecting wetlands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"Environment Canada", "given" : "", "non-dropping-particle" : "", "parse-names" : false, "suffix" : "" } ], "id" : "ITEM-1", "issued" : { "date-parts" : [ [ "2016" ] ] }, "title" : "2020 Biodiversity Goals and Targets for Canada", "type" : "report" }, "uris" : [ "http://www.mendeley.com/documents/?uuid=cb440623-8984-4ba6-99f2-7e1069807913" ] } ], "mendeley" : { "formattedCitation" : "(Environment Canada, 2016)", "plainTextFormattedCitation" : "(Environment Canada, 2016)", "previouslyFormattedCitation" : "(Environment Canada,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(Environment Canada, 2016)</w:t>
      </w:r>
      <w:r w:rsidRPr="008608AA">
        <w:rPr>
          <w:rFonts w:eastAsia="Droid Sans Fallback"/>
        </w:rPr>
        <w:fldChar w:fldCharType="end"/>
      </w:r>
      <w:r w:rsidRPr="008608AA">
        <w:rPr>
          <w:rFonts w:eastAsia="Droid Sans Fallback"/>
        </w:rPr>
        <w:t xml:space="preserve">, it does have a national policy of wetland conservation on Federal lands </w:t>
      </w:r>
      <w:r w:rsidRPr="008608AA">
        <w:rPr>
          <w:rFonts w:eastAsia="Droid Sans Fallback"/>
        </w:rPr>
        <w:fldChar w:fldCharType="begin" w:fldLock="1"/>
      </w:r>
      <w:r w:rsidRPr="008608AA">
        <w:rPr>
          <w:rFonts w:eastAsia="Droid Sans Fallback"/>
        </w:rPr>
        <w:instrText>ADDIN CSL_CITATION { "citationItems" : [ { "id" : "ITEM-1", "itemData" : { "ISBN" : "066218940X", "author" : [ { "dropping-particle" : "", "family" : "Canada", "given" : "Government of", "non-dropping-particle" : "", "parse-names" : false, "suffix" : "" } ], "id" : "ITEM-1", "issued" : { "date-parts" : [ [ "1991" ] ] }, "publisher-place" : "Ottawa, ON", "title" : "THE FEDERAL POLICY ON WETLAND CONSERVATION Government of Canada 1991", "type" : "report" }, "uris" : [ "http://www.mendeley.com/documents/?uuid=08070fd4-8739-48d9-9100-98e365a28ba3" ] } ], "mendeley" : { "formattedCitation" : "(Canada, 1991)", "plainTextFormattedCitation" : "(Canada, 1991)", "previouslyFormattedCitation" : "(Canada, 1991)"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(Canada, 1991)</w:t>
      </w:r>
      <w:r w:rsidRPr="008608AA">
        <w:rPr>
          <w:rFonts w:eastAsia="Droid Sans Fallback"/>
        </w:rPr>
        <w:fldChar w:fldCharType="end"/>
      </w:r>
      <w:r w:rsidRPr="008608AA">
        <w:rPr>
          <w:rFonts w:eastAsia="Droid Sans Fallback"/>
        </w:rPr>
        <w:t xml:space="preserve">. However, wetland protection is provided indirectly at the national level through a variety of laws and regulations including, Canada Wildlife Act, Fisheries Act, Migratory Birds Convention Act, Species at Risk Act, and Canadian Environmental Assessment Act. Additionally, Canadian provinces have enacted a variety of laws intended to conserve wetlands </w:t>
      </w:r>
      <w:r w:rsidRPr="008608AA">
        <w:rPr>
          <w:rFonts w:eastAsia="Droid Sans Fallback"/>
        </w:rPr>
        <w:fldChar w:fldCharType="begin" w:fldLock="1"/>
      </w:r>
      <w:r w:rsidRPr="008608AA">
        <w:rPr>
          <w:rFonts w:eastAsia="Droid Sans Fallback"/>
        </w:rPr>
        <w:instrText>ADDIN CSL_CITATION { "citationItems" : [ { "id" : "ITEM-1", "itemData" : { "DOI" : "10.1007/s11273-008-9078-6", "ISBN" : "1127300890786", "author" : [ { "dropping-particle" : "", "family" : "Rubec", "given" : "Clayton D A", "non-dropping-particle" : "", "parse-names" : false, "suffix" : "" }, { "dropping-particle" : "", "family" : "Hanson", "given" : "Alan R", "non-dropping-particle" : "", "parse-names" : false, "suffix" : "" } ], "container-title" : "Wetlands Ecology and Management", "id" : "ITEM-1", "issued" : { "date-parts" : [ [ "2009" ] ] }, "page" : "3-14", "title" : "Wetland mitigation and compensation : Canadian experience", "type" : "article-journal", "volume" : "17" }, "uris" : [ "http://www.mendeley.com/documents/?uuid=8d186935-65ff-4e04-8094-f9b885756562" ] } ], "mendeley" : { "formattedCitation" : "(Rubec &amp; Hanson, 2009)", "plainTextFormattedCitation" : "(Rubec &amp; Hanson, 2009)", "previouslyFormattedCitation" : "(Rubec &amp; Hanson, 2009)"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(Rubec &amp; Hanson, 2009)</w:t>
      </w:r>
      <w:r w:rsidRPr="008608AA">
        <w:rPr>
          <w:rFonts w:eastAsia="Droid Sans Fallback"/>
        </w:rPr>
        <w:fldChar w:fldCharType="end"/>
      </w:r>
      <w:r w:rsidRPr="008608AA">
        <w:rPr>
          <w:rFonts w:eastAsia="Droid Sans Fallback"/>
        </w:rPr>
        <w:t>.</w:t>
      </w:r>
    </w:p>
    <w:p w14:paraId="11698E31" w14:textId="77777777" w:rsidR="00490494" w:rsidRPr="008608AA" w:rsidRDefault="00490494" w:rsidP="005A0ED1">
      <w:pPr>
        <w:suppressAutoHyphens/>
        <w:rPr>
          <w:rFonts w:eastAsia="Droid Sans Fallback"/>
        </w:rPr>
      </w:pPr>
      <w:r w:rsidRPr="008608AA">
        <w:rPr>
          <w:rFonts w:eastAsia="Droid Sans Fallback"/>
        </w:rPr>
        <w:t xml:space="preserve">To assess the effectiveness of these measures specifically in the USA, the federal government began monitoring the extent and type of wetlands in the coterminous USA in 1970, as well as the quality of the wetlands more recently </w:t>
      </w:r>
      <w:r w:rsidRPr="008608AA">
        <w:rPr>
          <w:rFonts w:eastAsia="Droid Sans Fallback"/>
        </w:rPr>
        <w:fldChar w:fldCharType="begin" w:fldLock="1"/>
      </w:r>
      <w:r w:rsidRPr="008608AA">
        <w:rPr>
          <w:rFonts w:eastAsia="Droid Sans Fallback"/>
        </w:rPr>
        <w:instrText>ADDIN CSL_CITATION { "citationItems" : [ { "id" : "ITEM-1", "itemData" : { "ISSN" : "&lt;null&gt;", "abstract" : "This study examined recent trends in wetland extent and habitat type throughout the conterminous United States between 2004 and 2009. Wetland trends were measured by the examination of remotely sensed imagery for 5,042 randomly selected sample plots. This imagery in combination with field verification provided a scientific basis for analysis of the extent of wetlands and changes that had occurred over the four and half year time span in this study.", "author" : [ { "dropping-particle" : "", "family" : "Dahl", "given" : "T E", "non-dropping-particle" : "", "parse-names" : false, "suffix" : "" } ], "container-title" : "Habitat", "id" : "ITEM-1", "issue" : "November", "issued" : { "date-parts" : [ [ "2011" ] ] }, "page" : "3-106", "title" : "Status and Trends of Wetlands in the Conterminous United States 2004 to 2009", "type" : "article-journal" }, "uris" : [ "http://www.mendeley.com/documents/?uuid=debc26dc-c4ec-490d-a1a3-12e209972177" ] }, { "id" : "ITEM-2", "itemData" : { "author" : [ { "dropping-particle" : "", "family" : "USEPA", "given" : "", "non-dropping-particle" : "", "parse-names" : false, "suffix" : "" } ], "id" : "ITEM-2", "issued" : { "date-parts" : [ [ "2011" ] ] }, "publisher-place" : "Washington D.C.", "title" : "National Wetland Condition Assessment: 2011 Technical Report. EPA-843-R-15-006", "type" : "report" }, "uris" : [ "http://www.mendeley.com/documents/?uuid=7d782491-e223-4ae1-9b53-b29e638a0928" ] } ], "mendeley" : { "formattedCitation" : "(Dahl, 2011; USEPA, 2011)", "plainTextFormattedCitation" : "(Dahl, 2011; USEPA, 2011)", "previouslyFormattedCitation" : "(Dahl, 2011; USEPA,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(Dahl, 2011; USEPA, 2011)</w:t>
      </w:r>
      <w:r w:rsidRPr="008608AA">
        <w:rPr>
          <w:rFonts w:eastAsia="Droid Sans Fallback"/>
        </w:rPr>
        <w:fldChar w:fldCharType="end"/>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"ISSN" : "&lt;null&gt;", "abstract" : "This study examined recent trends in wetland extent and habitat type throughout the conterminous United States between 2004 and 2009. Wetland trends were measured by the examination of remotely sensed imagery for 5,042 randomly selected sample plots. This imagery in combination with field verification provided a scientific basis for analysis of the extent of wetlands and changes that had occurred over the four and half year time span in this study.", "author" : [ { "dropping-particle" : "", "family" : "Dahl", "given" : "T E", "non-dropping-particle" : "", "parse-names" : false, "suffix" : "" } ], "container-title" : "Habitat", "id" : "ITEM-1", "issue" : "November", "issued" : { "date-parts" : [ [ "2011" ] ] }, "page" : "3-106", "title" : "Status and Trends of Wetlands in the Conterminous United States 2004 to 2009", "type" : "article-journal" }, "suppress-author" : 1, "uris" : [ "http://www.mendeley.com/documents/?uuid=debc26dc-c4ec-490d-a1a3-12e209972177" ] } ], "mendeley" : { "formattedCitation" : "(2011)", "manualFormatting" : "Dahl (2011)", "plainTextFormattedCitation" : "(2011)", "previouslyFormattedCitation" :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Dahl (2011)</w:t>
      </w:r>
      <w:r w:rsidRPr="008608AA">
        <w:rPr>
          <w:rFonts w:eastAsia="Droid Sans Fallback"/>
        </w:rPr>
        <w:fldChar w:fldCharType="end"/>
      </w:r>
      <w:r w:rsidRPr="008608AA">
        <w:rPr>
          <w:rFonts w:eastAsia="Droid Sans Fallback"/>
        </w:rPr>
        <w:t xml:space="preserve"> reported that the rate of wetland loss in the USA has decreased from an annual loss of 185,425ha in 1950-1970 to 5,590ha in 2004-2009; a decrease of 97%. In fact, in the period of 1998-2004, there was an actual net gain in wetlands in the USA of 12,955ha per year.</w:t>
      </w:r>
    </w:p>
    <w:p w14:paraId="734F45FE" w14:textId="77777777" w:rsidR="003232C5" w:rsidRPr="008608AA" w:rsidRDefault="003232C5" w:rsidP="005A0ED1">
      <w:pPr>
        <w:suppressAutoHyphens/>
        <w:rPr>
          <w:rFonts w:eastAsia="Droid Sans Fallback"/>
        </w:rPr>
      </w:pPr>
    </w:p>
    <w:p w14:paraId="1980AFF7" w14:textId="77777777" w:rsidR="00490494" w:rsidRPr="008608AA" w:rsidRDefault="00490494" w:rsidP="005A0ED1">
      <w:pPr>
        <w:suppressAutoHyphens/>
        <w:rPr>
          <w:rFonts w:eastAsia="Droid Sans Fallback"/>
        </w:rPr>
      </w:pPr>
      <w:r w:rsidRPr="008608AA">
        <w:rPr>
          <w:rFonts w:eastAsia="Droid Sans Fallback"/>
        </w:rPr>
        <w:t xml:space="preserve">In addition to the work by Dahl </w:t>
      </w:r>
      <w:r w:rsidRPr="008608AA">
        <w:rPr>
          <w:rFonts w:eastAsia="Droid Sans Fallback"/>
        </w:rPr>
        <w:fldChar w:fldCharType="begin" w:fldLock="1"/>
      </w:r>
      <w:r w:rsidRPr="008608AA">
        <w:rPr>
          <w:rFonts w:eastAsia="Droid Sans Fallback"/>
        </w:rPr>
        <w:instrText>ADDIN CSL_CITATION { "citationItems" : [ { "id" : "ITEM-1", "itemData" : { "ISSN" : "&lt;null&gt;", "abstract" : "This study examined recent trends in wetland extent and habitat type throughout the conterminous United States between 2004 and 2009. Wetland trends were measured by the examination of remotely sensed imagery for 5,042 randomly selected sample plots. This imagery in combination with field verification provided a scientific basis for analysis of the extent of wetlands and changes that had occurred over the four and half year time span in this study.", "author" : [ { "dropping-particle" : "", "family" : "Dahl", "given" : "T E", "non-dropping-particle" : "", "parse-names" : false, "suffix" : "" } ], "container-title" : "Habitat", "id" : "ITEM-1", "issue" : "November", "issued" : { "date-parts" : [ [ "2011" ] ] }, "page" : "3-106", "title" : "Status and Trends of Wetlands in the Conterminous United States 2004 to 2009", "type" : "article-journal" }, "suppress-author" : 1, "uris" : [ "http://www.mendeley.com/documents/?uuid=debc26dc-c4ec-490d-a1a3-12e209972177" ] } ], "mendeley" : { "formattedCitation" : "(2011)", "plainTextFormattedCitation" : "(2011)", "previouslyFormattedCitation" :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(2011)</w:t>
      </w:r>
      <w:r w:rsidRPr="008608AA">
        <w:rPr>
          <w:rFonts w:eastAsia="Droid Sans Fallback"/>
        </w:rPr>
        <w:fldChar w:fldCharType="end"/>
      </w:r>
      <w:r w:rsidRPr="008608AA">
        <w:rPr>
          <w:rFonts w:eastAsia="Droid Sans Fallback"/>
        </w:rPr>
        <w:t xml:space="preserve">, Dixon et al. </w:t>
      </w:r>
      <w:r w:rsidRPr="008608AA">
        <w:rPr>
          <w:rFonts w:eastAsia="Droid Sans Fallback"/>
        </w:rPr>
        <w:fldChar w:fldCharType="begin" w:fldLock="1"/>
      </w:r>
      <w:r w:rsidRPr="008608AA">
        <w:rPr>
          <w:rFonts w:eastAsia="Droid Sans Fallback"/>
        </w:rPr>
        <w:instrText>ADDIN CSL_CITATION { "citationItems" : [ { "id" : "ITEM-1", "itemData" : { "DOI" : "10.1016/j.biocon.2015.10.023", "ISSN" : "00063207", "author" : [ { "dropping-particle" : "", "family" : "Dixon", "given" : "M.J.R.", "non-dropping-particle" : "", "parse-names" : false, "suffix" : "" }, { "dropping-particle" : "", "family" : "Loh", "given" : "J.", "non-dropping-particle" : "", "parse-names" : false, "suffix" : "" }, { "dropping-particle" : "", "family" : "Davidson", "given" : "N.C.", "non-dropping-particle" : "", "parse-names" : false, "suffix" : "" }, { "dropping-particle" : "", "family" : "Beltrame", "given" : "C.", "non-dropping-particle" : "", "parse-names" : false, "suffix" : "" }, { "dropping-particle" : "", "family" : "Freeman", "given" : "R.", "non-dropping-particle" : "", "parse-names" : false, "suffix" : "" }, { "dropping-particle" : "", "family" : "Walpole", "given" : "M.", "non-dropping-particle" : "", "parse-names" : false, "suffix" : "" } ], "container-title" : "Biological Conservation", "id" : "ITEM-1", "issued" : { "date-parts" : [ [ "2016", "1" ] ] }, "page" : "27-35", "title" : "Tracking global change in ecosystem area: The Wetland Extent Trends index", "type" : "article-journal", "volume" : "193" }, "suppress-author" : 1, "uris" : [ "http://www.mendeley.com/documents/?uuid=239308dd-3ea4-4bd8-90c5-9ae375e5f937" ] } ], "mendeley" : { "formattedCitation" : "(2016)", "plainTextFormattedCitation" : "(2016)", "previouslyFormattedCitation" :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(2016)</w:t>
      </w:r>
      <w:r w:rsidRPr="008608AA">
        <w:rPr>
          <w:rFonts w:eastAsia="Droid Sans Fallback"/>
        </w:rPr>
        <w:fldChar w:fldCharType="end"/>
      </w:r>
      <w:r w:rsidRPr="008608AA">
        <w:rPr>
          <w:rFonts w:eastAsia="Droid Sans Fallback"/>
        </w:rPr>
        <w:t xml:space="preserve"> has evaluated wetland trends for all of North America and found that 4% of inland wetlands were lost in the period 1970-2008, while 28% of coastal/marine wetlands were lost, for an overall loss of 17% for the two classes of natural (not manmade) wetlands. It is notable that the 4% loss of inland wetlands in North America compares to 31%, 39%, 59% loss of inland wetlands in Africa, Asia, and Europe, respectively. On the other hand, Poulin et al. </w:t>
      </w:r>
      <w:r w:rsidRPr="008608AA">
        <w:rPr>
          <w:rFonts w:eastAsia="Droid Sans Fallback"/>
        </w:rPr>
        <w:fldChar w:fldCharType="begin" w:fldLock="1"/>
      </w:r>
      <w:r w:rsidRPr="008608AA">
        <w:rPr>
          <w:rFonts w:eastAsia="Droid Sans Fallback"/>
        </w:rPr>
        <w:instrText>ADDIN CSL_CITATION { "citationItems" : [ { "id" : "ITEM-1", "itemData" : { "DOI" : "10.1007/s11273-016-9494-y", "ISSN" : "0923-4861", "author" : [ { "dropping-particle" : "", "family" : "Poulin", "given" : "Monique", "non-dropping-particle" : "", "parse-names" : false, "suffix" : "" }, { "dropping-particle" : "", "family" : "Pellerin", "given" : "St\u00e9phanie", "non-dropping-particle" : "", "parse-names" : false, "suffix" : "" }, { "dropping-particle" : "", "family" : "Cimon-Morin", "given" : "J\u00e9r\u00f4me", "non-dropping-particle" : "", "parse-names" : false, "suffix" : "" }, { "dropping-particle" : "", "family" : "Lavall\u00e9e", "given" : "Sophie", "non-dropping-particle" : "", "parse-names" : false, "suffix" : "" }, { "dropping-particle" : "", "family" : "Courchesne", "given" : "Genevi\u00e8ve", "non-dropping-particle" : "", "parse-names" : false, "suffix" : "" }, { "dropping-particle" : "", "family" : "Tendland", "given" : "Youri", "non-dropping-particle" : "", "parse-names" : false, "suffix" : "" } ], "container-title" : "Wetlands Ecology and Management", "id" : "ITEM-1", "issue" : "6", "issued" : { "date-parts" : [ [ "2016", "12", "30" ] ] }, "page" : "651-665", "title" : "Inefficacy of wetland legislation for conserving Quebec wetlands as revealed by mapping of recent disturbances", "type" : "article-journal", "volume" : "24" }, "suppress-author" : 1, "uris" : [ "http://www.mendeley.com/documents/?uuid=aa4dbcda-de1d-4141-89fc-6b1aef852764" ] } ], "mendeley" : { "formattedCitation" : "(2016)", "plainTextFormattedCitation" : "(2016)", "previouslyFormattedCitation" :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(2016)</w:t>
      </w:r>
      <w:r w:rsidRPr="008608AA">
        <w:rPr>
          <w:rFonts w:eastAsia="Droid Sans Fallback"/>
        </w:rPr>
        <w:fldChar w:fldCharType="end"/>
      </w:r>
      <w:r w:rsidRPr="008608AA">
        <w:rPr>
          <w:rFonts w:eastAsia="Droid Sans Fallback"/>
        </w:rPr>
        <w:t xml:space="preserve"> have assessed the effectiveness of recently established provincial policy in Quebec. They found that despite legislative mandates for wetland mitigation, nearly all wetlands subject to permit agreements were lost without commensurate wetland mitigation (though other forms of mitigation did come into play, such as upland preservation). </w:t>
      </w:r>
    </w:p>
    <w:p w14:paraId="5A250EAE" w14:textId="77777777" w:rsidR="003232C5" w:rsidRPr="008608AA" w:rsidRDefault="00490494" w:rsidP="005A0ED1">
      <w:pPr>
        <w:suppressAutoHyphens/>
        <w:rPr>
          <w:rFonts w:eastAsia="Droid Sans Fallback"/>
        </w:rPr>
      </w:pPr>
      <w:r w:rsidRPr="008608AA">
        <w:rPr>
          <w:rFonts w:eastAsia="Droid Sans Fallback"/>
        </w:rPr>
        <w:t xml:space="preserve">While these figures argue for the effectiveness of policy efforts, they mask other underlying considerations. </w:t>
      </w:r>
    </w:p>
    <w:p w14:paraId="61F083D4" w14:textId="77777777" w:rsidR="003232C5" w:rsidRPr="008608AA" w:rsidRDefault="003232C5" w:rsidP="005A0ED1">
      <w:pPr>
        <w:suppressAutoHyphens/>
        <w:rPr>
          <w:rFonts w:eastAsia="Droid Sans Fallback"/>
        </w:rPr>
      </w:pPr>
    </w:p>
    <w:p w14:paraId="755262C8" w14:textId="5AB0FF27" w:rsidR="003232C5" w:rsidRPr="008608AA" w:rsidRDefault="00490494" w:rsidP="005A0ED1">
      <w:pPr>
        <w:suppressAutoHyphens/>
        <w:rPr>
          <w:rFonts w:eastAsia="Droid Sans Fallback"/>
        </w:rPr>
      </w:pPr>
      <w:r w:rsidRPr="008608AA">
        <w:rPr>
          <w:rFonts w:eastAsia="Droid Sans Fallback"/>
        </w:rPr>
        <w:t xml:space="preserve">The capability of any ecosystem to delivery its characteristic suite of goods and services is dependent on the integrity of the structure and function of the ecosystem. While </w:t>
      </w:r>
      <w:r w:rsidRPr="008608AA">
        <w:rPr>
          <w:rFonts w:eastAsia="Droid Sans Fallback"/>
        </w:rPr>
        <w:fldChar w:fldCharType="begin" w:fldLock="1"/>
      </w:r>
      <w:r w:rsidRPr="008608AA">
        <w:rPr>
          <w:rFonts w:eastAsia="Droid Sans Fallback"/>
        </w:rPr>
        <w:instrText>ADDIN CSL_CITATION { "citationItems" : [ { "id" : "ITEM-1", "itemData" : { "ISSN" : "&lt;null&gt;", "abstract" : "This study examined recent trends in wetland extent and habitat type throughout the conterminous United States between 2004 and 2009. Wetland trends were measured by the examination of remotely sensed imagery for 5,042 randomly selected sample plots. This imagery in combination with field verification provided a scientific basis for analysis of the extent of wetlands and changes that had occurred over the four and half year time span in this study.", "author" : [ { "dropping-particle" : "", "family" : "Dahl", "given" : "T E", "non-dropping-particle" : "", "parse-names" : false, "suffix" : "" } ], "container-title" : "Habitat", "id" : "ITEM-1", "issue" : "November", "issued" : { "date-parts" : [ [ "2011" ] ] }, "page" : "3-106", "title" : "Status and Trends of Wetlands in the Conterminous United States 2004 to 2009", "type" : "article-journal" }, "suppress-author" : 1, "uris" : [ "http://www.mendeley.com/documents/?uuid=debc26dc-c4ec-490d-a1a3-12e209972177" ] } ], "mendeley" : { "formattedCitation" : "(2011)", "manualFormatting" : "Dahl (2011)", "plainTextFormattedCitation" : "(2011)", "previouslyFormattedCitation" :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Dahl (2011)</w:t>
      </w:r>
      <w:r w:rsidRPr="008608AA">
        <w:rPr>
          <w:rFonts w:eastAsia="Droid Sans Fallback"/>
        </w:rPr>
        <w:fldChar w:fldCharType="end"/>
      </w:r>
      <w:r w:rsidRPr="008608AA">
        <w:rPr>
          <w:rFonts w:eastAsia="Droid Sans Fallback"/>
        </w:rPr>
        <w:t xml:space="preserve"> reports that for the period of 2004-2009, wetland losses were statistically insignificant overall, there were quite decided shifts in wetland types. For that period, freshwater wetlands actually increased by 8,900ha, but this increase was attributable to an increase in agricultural, industrial and urban ponds. Non-forested freshwater wetlands (which were considered in the report to be the ones expected to have a reasonable degree of ecological integrity) actually decreased by 72,900ha, with forested wetlands decreasing by 249,200ha; while the types and level of ecosystem goods and services delivered by constructed agricultural, industrial and urban ponds are not the same as lost from the forested systems, they may nevertheless deliver more NCP for a specific service, such as food production. The tension between the valuation of different wetland ecosystems and their associated NCP is also exemplified by somewhat conflicting legislation. For example, while there is federal legislation in Canada protecting naturally occurring wetlands, there is also local legislation, such as Ontario’s Tile Drainage Act that promotes drainage of wetlands for agricultural purposes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"Environment Canada", "given" : "", "non-dropping-particle" : "", "parse-names" : false, "suffix" : "" } ], "id" : "ITEM-1", "issued" : { "date-parts" : [ [ "2016" ] ] }, "title" : "2020 Biodiversity Goals and Targets for Canada", "type" : "report" }, "uris" : [ "http://www.mendeley.com/documents/?uuid=cb440623-8984-4ba6-99f2-7e1069807913" ] } ], "mendeley" : { "formattedCitation" : "(Environment Canada, 2016)", "plainTextFormattedCitation" : "(Environment Canada, 2016)", "previouslyFormattedCitation" : "(Environment Canada,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(Environment Canada, 2016)</w:t>
      </w:r>
      <w:r w:rsidRPr="008608AA">
        <w:rPr>
          <w:rFonts w:eastAsia="Droid Sans Fallback"/>
        </w:rPr>
        <w:fldChar w:fldCharType="end"/>
      </w:r>
      <w:r w:rsidRPr="008608AA">
        <w:rPr>
          <w:rFonts w:eastAsia="Droid Sans Fallback"/>
        </w:rPr>
        <w:t>. A similar situation exists in the USA at the state and local levels.</w:t>
      </w:r>
    </w:p>
    <w:p w14:paraId="78EB591D" w14:textId="74A497BA" w:rsidR="00490494" w:rsidRPr="008608AA" w:rsidRDefault="00490494" w:rsidP="005A0ED1">
      <w:pPr>
        <w:suppressAutoHyphens/>
        <w:rPr>
          <w:rFonts w:eastAsia="Droid Sans Fallback"/>
        </w:rPr>
      </w:pPr>
      <w:r w:rsidRPr="008608AA">
        <w:rPr>
          <w:rFonts w:eastAsia="Droid Sans Fallback"/>
        </w:rPr>
        <w:t xml:space="preserve"> </w:t>
      </w:r>
    </w:p>
    <w:p w14:paraId="3CBADED3" w14:textId="5E4F9B70" w:rsidR="003232C5" w:rsidRPr="008608AA" w:rsidRDefault="00490494" w:rsidP="005A0ED1">
      <w:pPr>
        <w:suppressAutoHyphens/>
        <w:rPr>
          <w:rFonts w:eastAsia="Droid Sans Fallback"/>
        </w:rPr>
      </w:pPr>
      <w:r w:rsidRPr="008608AA">
        <w:rPr>
          <w:rFonts w:eastAsia="Droid Sans Fallback"/>
        </w:rPr>
        <w:t>It is also instructive to look at the land use changes that accounted for the shifts in wetland types during the period of 2004-2009 (Table 5.1).</w:t>
      </w:r>
    </w:p>
    <w:p w14:paraId="1BA241CE" w14:textId="314241B3" w:rsidR="00490494" w:rsidRPr="008608AA" w:rsidRDefault="005A0ED1" w:rsidP="005A0ED1">
      <w:pPr>
        <w:pStyle w:val="Caption"/>
        <w:rPr>
          <w:bCs w:val="0"/>
        </w:rPr>
      </w:pPr>
      <w:bookmarkStart w:id="2042" w:name="_Toc326499704"/>
      <w:bookmarkStart w:id="2043" w:name="_Toc482711762"/>
      <w:bookmarkStart w:id="2044" w:name="_Toc499817428"/>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5</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w:t>
      </w:r>
      <w:r w:rsidR="000E562E">
        <w:rPr>
          <w:noProof/>
        </w:rPr>
        <w:fldChar w:fldCharType="end"/>
      </w:r>
      <w:r w:rsidRPr="008608AA">
        <w:t xml:space="preserve">. </w:t>
      </w:r>
      <w:r w:rsidR="00490494" w:rsidRPr="008608AA">
        <w:rPr>
          <w:bCs w:val="0"/>
        </w:rPr>
        <w:t>Changes in wetlands attributable to indicated land use classification 2004-2009</w:t>
      </w:r>
      <w:bookmarkEnd w:id="2042"/>
      <w:bookmarkEnd w:id="2043"/>
      <w:r w:rsidR="00490494" w:rsidRPr="008608AA">
        <w:rPr>
          <w:bCs w:val="0"/>
        </w:rPr>
        <w:t xml:space="preserve">. Source: </w:t>
      </w:r>
      <w:r w:rsidR="00490494" w:rsidRPr="008608AA">
        <w:rPr>
          <w:bCs w:val="0"/>
        </w:rPr>
        <w:fldChar w:fldCharType="begin" w:fldLock="1"/>
      </w:r>
      <w:r w:rsidR="00490494" w:rsidRPr="008608AA">
        <w:rPr>
          <w:bCs w:val="0"/>
        </w:rPr>
        <w:instrText>ADDIN CSL_CITATION { "citationItems" : [ { "id" : "ITEM-1", "itemData" : { "ISSN" : "&lt;null&gt;", "abstract" : "This study examined recent trends in wetland extent and habitat type throughout the conterminous United States between 2004 and 2009. Wetland trends were measured by the examination of remotely sensed imagery for 5,042 randomly selected sample plots. This imagery in combination with field verification provided a scientific basis for analysis of the extent of wetlands and changes that had occurred over the four and half year time span in this study.", "author" : [ { "dropping-particle" : "", "family" : "Dahl", "given" : "T E", "non-dropping-particle" : "", "parse-names" : false, "suffix" : "" } ], "container-title" : "Habitat", "id" : "ITEM-1", "issue" : "November", "issued" : { "date-parts" : [ [ "2011" ] ] }, "page" : "3-106", "title" : "Status and Trends of Wetlands in the Conterminous United States 2004 to 2009", "type" : "article-journal" }, "uris" : [ "http://www.mendeley.com/documents/?uuid=debc26dc-c4ec-490d-a1a3-12e209972177" ] } ], "mendeley" : { "formattedCitation" : "(Dahl, 2011)", "plainTextFormattedCitation" : "(Dahl, 2011)", "previouslyFormattedCitation" : "(Dahl, 2011)" }, "properties" : {  }, "schema" : "https://github.com/citation-style-language/schema/raw/master/csl-citation.json" }</w:instrText>
      </w:r>
      <w:r w:rsidR="00490494" w:rsidRPr="008608AA">
        <w:rPr>
          <w:bCs w:val="0"/>
        </w:rPr>
        <w:fldChar w:fldCharType="separate"/>
      </w:r>
      <w:r w:rsidR="0095672D" w:rsidRPr="008608AA">
        <w:rPr>
          <w:b w:val="0"/>
          <w:bCs w:val="0"/>
          <w:noProof/>
        </w:rPr>
        <w:t>Dahl (</w:t>
      </w:r>
      <w:r w:rsidR="00490494" w:rsidRPr="008608AA">
        <w:rPr>
          <w:b w:val="0"/>
          <w:bCs w:val="0"/>
          <w:noProof/>
        </w:rPr>
        <w:t>2011)</w:t>
      </w:r>
      <w:r w:rsidR="00490494" w:rsidRPr="008608AA">
        <w:rPr>
          <w:bCs w:val="0"/>
        </w:rPr>
        <w:fldChar w:fldCharType="end"/>
      </w:r>
      <w:r w:rsidR="00490494" w:rsidRPr="008608AA">
        <w:rPr>
          <w:bCs w:val="0"/>
        </w:rPr>
        <w:t>.</w:t>
      </w:r>
      <w:bookmarkEnd w:id="20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8"/>
        <w:gridCol w:w="5199"/>
      </w:tblGrid>
      <w:tr w:rsidR="00490494" w:rsidRPr="00D16BCD" w14:paraId="37C5508C" w14:textId="77777777" w:rsidTr="005A0ED1">
        <w:tc>
          <w:tcPr>
            <w:tcW w:w="2260" w:type="pct"/>
            <w:shd w:val="clear" w:color="auto" w:fill="BFBFBF" w:themeFill="background1" w:themeFillShade="BF"/>
            <w:vAlign w:val="center"/>
          </w:tcPr>
          <w:p w14:paraId="3AC34EEF" w14:textId="2BA1C8BD" w:rsidR="00490494" w:rsidRPr="00D16BCD" w:rsidRDefault="00D06876" w:rsidP="005A0ED1">
            <w:pPr>
              <w:suppressAutoHyphens/>
              <w:jc w:val="center"/>
              <w:rPr>
                <w:rFonts w:eastAsia="Droid Sans Fallback"/>
                <w:b/>
                <w:szCs w:val="22"/>
              </w:rPr>
            </w:pPr>
            <w:r w:rsidRPr="00D16BCD">
              <w:rPr>
                <w:rFonts w:eastAsia="Droid Sans Fallback"/>
                <w:b/>
                <w:szCs w:val="22"/>
              </w:rPr>
              <w:t>Land use category</w:t>
            </w:r>
          </w:p>
        </w:tc>
        <w:tc>
          <w:tcPr>
            <w:tcW w:w="2740" w:type="pct"/>
            <w:shd w:val="clear" w:color="auto" w:fill="BFBFBF" w:themeFill="background1" w:themeFillShade="BF"/>
            <w:vAlign w:val="center"/>
          </w:tcPr>
          <w:p w14:paraId="71B7EB28" w14:textId="7C5A1190" w:rsidR="00490494" w:rsidRPr="00D16BCD" w:rsidRDefault="00D06876" w:rsidP="005A0ED1">
            <w:pPr>
              <w:suppressAutoHyphens/>
              <w:jc w:val="center"/>
              <w:rPr>
                <w:rFonts w:eastAsia="Droid Sans Fallback"/>
                <w:b/>
                <w:szCs w:val="22"/>
              </w:rPr>
            </w:pPr>
            <w:r w:rsidRPr="00D16BCD">
              <w:rPr>
                <w:rFonts w:eastAsia="Droid Sans Fallback"/>
                <w:b/>
                <w:szCs w:val="22"/>
              </w:rPr>
              <w:t>Net change in wetland area (hectares) attributable to change to indicated land use</w:t>
            </w:r>
          </w:p>
        </w:tc>
      </w:tr>
      <w:tr w:rsidR="00490494" w:rsidRPr="00D16BCD" w14:paraId="5A063679" w14:textId="77777777" w:rsidTr="0047766E">
        <w:tc>
          <w:tcPr>
            <w:tcW w:w="2260" w:type="pct"/>
          </w:tcPr>
          <w:p w14:paraId="27AFDDCF" w14:textId="77777777" w:rsidR="00490494" w:rsidRPr="00D16BCD" w:rsidRDefault="00490494" w:rsidP="002C1747">
            <w:pPr>
              <w:suppressAutoHyphens/>
              <w:rPr>
                <w:rFonts w:eastAsia="Droid Sans Fallback"/>
                <w:szCs w:val="22"/>
              </w:rPr>
            </w:pPr>
            <w:r w:rsidRPr="00D16BCD">
              <w:rPr>
                <w:rFonts w:eastAsia="Droid Sans Fallback"/>
                <w:szCs w:val="22"/>
              </w:rPr>
              <w:t>Deep Water</w:t>
            </w:r>
          </w:p>
        </w:tc>
        <w:tc>
          <w:tcPr>
            <w:tcW w:w="2740" w:type="pct"/>
          </w:tcPr>
          <w:p w14:paraId="20DD0499" w14:textId="77777777" w:rsidR="00490494" w:rsidRPr="00D16BCD" w:rsidRDefault="00490494" w:rsidP="002C1747">
            <w:pPr>
              <w:suppressAutoHyphens/>
              <w:jc w:val="center"/>
              <w:rPr>
                <w:rFonts w:eastAsia="Droid Sans Fallback"/>
                <w:szCs w:val="22"/>
              </w:rPr>
            </w:pPr>
            <w:r w:rsidRPr="00D16BCD">
              <w:rPr>
                <w:rFonts w:eastAsia="Droid Sans Fallback"/>
                <w:szCs w:val="22"/>
              </w:rPr>
              <w:t>-46,947</w:t>
            </w:r>
          </w:p>
        </w:tc>
      </w:tr>
      <w:tr w:rsidR="00490494" w:rsidRPr="00D16BCD" w14:paraId="27101754" w14:textId="77777777" w:rsidTr="0047766E">
        <w:tc>
          <w:tcPr>
            <w:tcW w:w="2260" w:type="pct"/>
          </w:tcPr>
          <w:p w14:paraId="3B64B871" w14:textId="77777777" w:rsidR="00490494" w:rsidRPr="00D16BCD" w:rsidRDefault="00490494" w:rsidP="002C1747">
            <w:pPr>
              <w:suppressAutoHyphens/>
              <w:rPr>
                <w:rFonts w:eastAsia="Droid Sans Fallback"/>
                <w:szCs w:val="22"/>
              </w:rPr>
            </w:pPr>
            <w:r w:rsidRPr="00D16BCD">
              <w:rPr>
                <w:rFonts w:eastAsia="Droid Sans Fallback"/>
                <w:szCs w:val="22"/>
              </w:rPr>
              <w:t>Urban Development</w:t>
            </w:r>
          </w:p>
        </w:tc>
        <w:tc>
          <w:tcPr>
            <w:tcW w:w="2740" w:type="pct"/>
          </w:tcPr>
          <w:p w14:paraId="2204A3E4" w14:textId="77777777" w:rsidR="00490494" w:rsidRPr="00D16BCD" w:rsidRDefault="00490494" w:rsidP="002C1747">
            <w:pPr>
              <w:suppressAutoHyphens/>
              <w:jc w:val="center"/>
              <w:rPr>
                <w:rFonts w:eastAsia="Droid Sans Fallback"/>
                <w:szCs w:val="22"/>
              </w:rPr>
            </w:pPr>
            <w:r w:rsidRPr="00D16BCD">
              <w:rPr>
                <w:rFonts w:eastAsia="Droid Sans Fallback"/>
                <w:szCs w:val="22"/>
              </w:rPr>
              <w:t>-24,951</w:t>
            </w:r>
          </w:p>
        </w:tc>
      </w:tr>
      <w:tr w:rsidR="00490494" w:rsidRPr="00D16BCD" w14:paraId="3A790B99" w14:textId="77777777" w:rsidTr="0047766E">
        <w:tc>
          <w:tcPr>
            <w:tcW w:w="2260" w:type="pct"/>
          </w:tcPr>
          <w:p w14:paraId="2F5BBF84" w14:textId="77777777" w:rsidR="00490494" w:rsidRPr="00D16BCD" w:rsidRDefault="00490494" w:rsidP="002C1747">
            <w:pPr>
              <w:suppressAutoHyphens/>
              <w:rPr>
                <w:rFonts w:eastAsia="Droid Sans Fallback"/>
                <w:szCs w:val="22"/>
              </w:rPr>
            </w:pPr>
            <w:r w:rsidRPr="00D16BCD">
              <w:rPr>
                <w:rFonts w:eastAsia="Droid Sans Fallback"/>
                <w:szCs w:val="22"/>
              </w:rPr>
              <w:t>Rural Development</w:t>
            </w:r>
          </w:p>
        </w:tc>
        <w:tc>
          <w:tcPr>
            <w:tcW w:w="2740" w:type="pct"/>
          </w:tcPr>
          <w:p w14:paraId="6DCF0829" w14:textId="77777777" w:rsidR="00490494" w:rsidRPr="00D16BCD" w:rsidRDefault="00490494" w:rsidP="002C1747">
            <w:pPr>
              <w:suppressAutoHyphens/>
              <w:jc w:val="center"/>
              <w:rPr>
                <w:rFonts w:eastAsia="Droid Sans Fallback"/>
                <w:szCs w:val="22"/>
              </w:rPr>
            </w:pPr>
            <w:r w:rsidRPr="00D16BCD">
              <w:rPr>
                <w:rFonts w:eastAsia="Droid Sans Fallback"/>
                <w:szCs w:val="22"/>
              </w:rPr>
              <w:t>-27,101</w:t>
            </w:r>
          </w:p>
        </w:tc>
      </w:tr>
      <w:tr w:rsidR="00490494" w:rsidRPr="00D16BCD" w14:paraId="30B12AED" w14:textId="77777777" w:rsidTr="0047766E">
        <w:tc>
          <w:tcPr>
            <w:tcW w:w="2260" w:type="pct"/>
          </w:tcPr>
          <w:p w14:paraId="50BECC6A" w14:textId="77777777" w:rsidR="00490494" w:rsidRPr="00D16BCD" w:rsidRDefault="00490494" w:rsidP="002C1747">
            <w:pPr>
              <w:suppressAutoHyphens/>
              <w:rPr>
                <w:rFonts w:eastAsia="Droid Sans Fallback"/>
                <w:szCs w:val="22"/>
              </w:rPr>
            </w:pPr>
            <w:r w:rsidRPr="00D16BCD">
              <w:rPr>
                <w:rFonts w:eastAsia="Droid Sans Fallback"/>
                <w:szCs w:val="22"/>
              </w:rPr>
              <w:t>Silviculture</w:t>
            </w:r>
          </w:p>
        </w:tc>
        <w:tc>
          <w:tcPr>
            <w:tcW w:w="2740" w:type="pct"/>
          </w:tcPr>
          <w:p w14:paraId="42B4E48F" w14:textId="77777777" w:rsidR="00490494" w:rsidRPr="00D16BCD" w:rsidRDefault="00490494" w:rsidP="002C1747">
            <w:pPr>
              <w:suppressAutoHyphens/>
              <w:jc w:val="center"/>
              <w:rPr>
                <w:rFonts w:eastAsia="Droid Sans Fallback"/>
                <w:szCs w:val="22"/>
              </w:rPr>
            </w:pPr>
            <w:r w:rsidRPr="00D16BCD">
              <w:rPr>
                <w:rFonts w:eastAsia="Droid Sans Fallback"/>
                <w:szCs w:val="22"/>
              </w:rPr>
              <w:t>-124,429</w:t>
            </w:r>
          </w:p>
        </w:tc>
      </w:tr>
      <w:tr w:rsidR="00490494" w:rsidRPr="00D16BCD" w14:paraId="210DDF82" w14:textId="77777777" w:rsidTr="0047766E">
        <w:tc>
          <w:tcPr>
            <w:tcW w:w="2260" w:type="pct"/>
          </w:tcPr>
          <w:p w14:paraId="17C88BEF" w14:textId="77777777" w:rsidR="00490494" w:rsidRPr="00D16BCD" w:rsidRDefault="00490494" w:rsidP="002C1747">
            <w:pPr>
              <w:suppressAutoHyphens/>
              <w:rPr>
                <w:rFonts w:eastAsia="Droid Sans Fallback"/>
                <w:szCs w:val="22"/>
              </w:rPr>
            </w:pPr>
            <w:r w:rsidRPr="00D16BCD">
              <w:rPr>
                <w:rFonts w:eastAsia="Droid Sans Fallback"/>
                <w:szCs w:val="22"/>
              </w:rPr>
              <w:t>Agriculture</w:t>
            </w:r>
          </w:p>
        </w:tc>
        <w:tc>
          <w:tcPr>
            <w:tcW w:w="2740" w:type="pct"/>
          </w:tcPr>
          <w:p w14:paraId="03AD0E65" w14:textId="77777777" w:rsidR="00490494" w:rsidRPr="00D16BCD" w:rsidRDefault="00490494" w:rsidP="002C1747">
            <w:pPr>
              <w:suppressAutoHyphens/>
              <w:jc w:val="center"/>
              <w:rPr>
                <w:rFonts w:eastAsia="Droid Sans Fallback"/>
                <w:szCs w:val="22"/>
              </w:rPr>
            </w:pPr>
            <w:r w:rsidRPr="00D16BCD">
              <w:rPr>
                <w:rFonts w:eastAsia="Droid Sans Fallback"/>
                <w:szCs w:val="22"/>
              </w:rPr>
              <w:t>40,494</w:t>
            </w:r>
          </w:p>
        </w:tc>
      </w:tr>
      <w:tr w:rsidR="00490494" w:rsidRPr="00D16BCD" w14:paraId="5A047E2C" w14:textId="77777777" w:rsidTr="0047766E">
        <w:tc>
          <w:tcPr>
            <w:tcW w:w="2260" w:type="pct"/>
          </w:tcPr>
          <w:p w14:paraId="2C443527" w14:textId="77777777" w:rsidR="00490494" w:rsidRPr="00D16BCD" w:rsidRDefault="00490494" w:rsidP="002C1747">
            <w:pPr>
              <w:suppressAutoHyphens/>
              <w:rPr>
                <w:rFonts w:eastAsia="Droid Sans Fallback"/>
                <w:szCs w:val="22"/>
              </w:rPr>
            </w:pPr>
            <w:r w:rsidRPr="00D16BCD">
              <w:rPr>
                <w:rFonts w:eastAsia="Droid Sans Fallback"/>
                <w:szCs w:val="22"/>
              </w:rPr>
              <w:t>Other</w:t>
            </w:r>
          </w:p>
        </w:tc>
        <w:tc>
          <w:tcPr>
            <w:tcW w:w="2740" w:type="pct"/>
          </w:tcPr>
          <w:p w14:paraId="4FB7D21D" w14:textId="77777777" w:rsidR="00490494" w:rsidRPr="00D16BCD" w:rsidRDefault="00490494" w:rsidP="002C1747">
            <w:pPr>
              <w:suppressAutoHyphens/>
              <w:jc w:val="center"/>
              <w:rPr>
                <w:rFonts w:eastAsia="Droid Sans Fallback"/>
                <w:szCs w:val="22"/>
              </w:rPr>
            </w:pPr>
            <w:r w:rsidRPr="00D16BCD">
              <w:rPr>
                <w:rFonts w:eastAsia="Droid Sans Fallback"/>
                <w:szCs w:val="22"/>
              </w:rPr>
              <w:t>157,738</w:t>
            </w:r>
          </w:p>
        </w:tc>
      </w:tr>
    </w:tbl>
    <w:p w14:paraId="556701A0" w14:textId="77777777" w:rsidR="00490494" w:rsidRPr="008608AA" w:rsidRDefault="00490494" w:rsidP="005A0ED1">
      <w:pPr>
        <w:suppressAutoHyphens/>
        <w:spacing w:before="240"/>
        <w:rPr>
          <w:rFonts w:eastAsia="Droid Sans Fallback"/>
        </w:rPr>
      </w:pPr>
      <w:r w:rsidRPr="008608AA">
        <w:rPr>
          <w:rFonts w:eastAsia="Droid Sans Fallback"/>
        </w:rPr>
        <w:t>Conversion to silviculture accounted for the greatest decrease in wetland extent, while “Other” accounted for the greatest gain. “Other” includes land use changes that are so recent that the ultimate land use category could not be determined. However, it also included newly constructed wetlands and establishment of conservation easements. Thus, it is apparent from Table 5.1, that wetland loss continues with respect to underlying causes. These causes also point to other factors contributing to wetland loss. The conversion to deep-water habitats is largely from salt marsh loss resulting from wave action encroachment allowed by fragmentation of salt marsh associated with oil and gas production. Similarly, urban and rural development can have synergistic effects through increased nutrient, heavy metal, and other pollutant loading to nearby wetlands.</w:t>
      </w:r>
    </w:p>
    <w:p w14:paraId="19435B1E" w14:textId="77777777" w:rsidR="003232C5" w:rsidRPr="008608AA" w:rsidRDefault="00490494" w:rsidP="005A0ED1">
      <w:pPr>
        <w:suppressAutoHyphens/>
        <w:rPr>
          <w:rFonts w:eastAsia="Droid Sans Fallback"/>
        </w:rPr>
      </w:pPr>
      <w:r w:rsidRPr="008608AA">
        <w:rPr>
          <w:rFonts w:eastAsia="Droid Sans Fallback"/>
        </w:rPr>
        <w:t xml:space="preserve">The United States Environmental Protection Agency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"USEPA", "given" : "", "non-dropping-particle" : "", "parse-names" : false, "suffix" : "" } ], "id" : "ITEM-1", "issued" : { "date-parts" : [ [ "2011" ] ] }, "publisher-place" : "Washington D.C.", "title" : "National Wetland Condition Assessment: 2011 Technical Report. EPA-843-R-15-006", "type" : "report" }, "suppress-author" : 1, "uris" : [ "http://www.mendeley.com/documents/?uuid=7d782491-e223-4ae1-9b53-b29e638a0928" ] } ], "mendeley" : { "formattedCitation" : "(2011)", "plainTextFormattedCitation" : "(2011)", "previouslyFormattedCitation" :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(USEPA</w:t>
      </w:r>
      <w:r w:rsidR="007B0660" w:rsidRPr="008608AA">
        <w:rPr>
          <w:rFonts w:eastAsia="Droid Sans Fallback"/>
          <w:noProof/>
        </w:rPr>
        <w:t>,</w:t>
      </w:r>
      <w:r w:rsidRPr="008608AA">
        <w:rPr>
          <w:rFonts w:eastAsia="Droid Sans Fallback"/>
          <w:noProof/>
        </w:rPr>
        <w:t xml:space="preserve"> 2011)</w:t>
      </w:r>
      <w:r w:rsidRPr="008608AA">
        <w:rPr>
          <w:rFonts w:eastAsia="Droid Sans Fallback"/>
        </w:rPr>
        <w:fldChar w:fldCharType="end"/>
      </w:r>
      <w:r w:rsidRPr="008608AA">
        <w:rPr>
          <w:rFonts w:eastAsia="Droid Sans Fallback"/>
        </w:rPr>
        <w:t xml:space="preserve"> considers these latter concerns as potential threats to the quality of wetlands. For example, they list road runoff as a source of copper, lead, and vanadium contamination. Similarly, they point out that agricultural activities can be the source of heavy metals such as cadmium, copper, nickel and tin, as well increased nutrient and sediment loads to wetlands. The overall effects of these contaminants may be reflected in the fact that wetlands in areas with intense agricultural activities also tend to have lower floristic quality compared to areas with less intense agriculture.</w:t>
      </w:r>
    </w:p>
    <w:p w14:paraId="6BB62E6A" w14:textId="480B5E12" w:rsidR="00490494" w:rsidRPr="008608AA" w:rsidRDefault="00490494" w:rsidP="005A0ED1">
      <w:pPr>
        <w:suppressAutoHyphens/>
        <w:rPr>
          <w:rFonts w:eastAsia="Droid Sans Fallback"/>
        </w:rPr>
      </w:pPr>
      <w:r w:rsidRPr="008608AA">
        <w:rPr>
          <w:rFonts w:eastAsia="Droid Sans Fallback"/>
        </w:rPr>
        <w:t xml:space="preserve"> </w:t>
      </w:r>
    </w:p>
    <w:p w14:paraId="0644F915" w14:textId="77777777" w:rsidR="003232C5" w:rsidRPr="008608AA" w:rsidRDefault="00490494" w:rsidP="005A0ED1">
      <w:pPr>
        <w:suppressAutoHyphens/>
        <w:rPr>
          <w:rFonts w:eastAsia="Droid Sans Fallback"/>
        </w:rPr>
      </w:pPr>
      <w:r w:rsidRPr="008608AA">
        <w:rPr>
          <w:rFonts w:eastAsia="Droid Sans Fallback"/>
        </w:rPr>
        <w:t xml:space="preserve">Historically, wetland degradation near large urban centers has been particularly acute. This trend is likely to continue, given the limited options for avoiding land use conflicts in densely settled areas. Climate change is a growing threat to wetlands across North America. Across the peatlands of Canada and Greenland, climate change is likely causing widespread permafrost degradation, alterations of snow and ice regimes, and changes in ultraviolet radiation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"Jeffries", "given" : "M. O.", "non-dropping-particle" : "", "parse-names" : false, "suffix" : "" }, { "dropping-particle" : "", "family" : "Richter-Menge", "given" : "J. A.", "non-dropping-particle" : "", "parse-names" : false, "suffix" : "" }, { "dropping-particle" : "", "family" : "Overland", "given" : "J. E. (Eds.)", "non-dropping-particle" : "", "parse-names" : false, "suffix" : "" } ], "id" : "ITEM-1", "issued" : { "date-parts" : [ [ "2013" ] ] }, "title" : "Arctic Report Card 2013", "type" : "webpage" }, "uris" : [ "http://www.mendeley.com/documents/?uuid=d72dfd48-d0b5-4331-83f7-60962e203103", "http://www.mendeley.com/documents/?uuid=590246b3-3c9e-474a-98b1-648d0f8c738d" ] } ], "mendeley" : { "formattedCitation" : "(Jeffries, Richter-Menge, &amp; Overland, 2013)", "manualFormatting" : "(Jeffries et al., 2013)", "plainTextFormattedCitation" : "(Jeffries, Richter-Menge, &amp; Overland, 2013)", "previouslyFormattedCitation" : "(Jeffries, Richter-Menge, &amp; Overland,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(Jeffries et al., 2013)</w:t>
      </w:r>
      <w:r w:rsidRPr="008608AA">
        <w:rPr>
          <w:rFonts w:eastAsia="Droid Sans Fallback"/>
        </w:rPr>
        <w:fldChar w:fldCharType="end"/>
      </w:r>
      <w:r w:rsidRPr="008608AA">
        <w:rPr>
          <w:rFonts w:eastAsia="Droid Sans Fallback"/>
        </w:rPr>
        <w:t xml:space="preserve">. Changes in freshwater geochemistry including eutrophication arising from the release of stored nutrients in permafrost and deepening of the active soil layer have been reported </w:t>
      </w:r>
      <w:r w:rsidRPr="008608AA">
        <w:rPr>
          <w:rFonts w:eastAsia="Droid Sans Fallback"/>
        </w:rPr>
        <w:fldChar w:fldCharType="begin" w:fldLock="1"/>
      </w:r>
      <w:r w:rsidRPr="008608AA">
        <w:rPr>
          <w:rFonts w:eastAsia="Droid Sans Fallback"/>
        </w:rPr>
        <w:instrText>ADDIN CSL_CITATION { "citationItems" : [ { "id" : "ITEM-1", "itemData" : { "ISBN" : "9789935431226", "abstract" : "Indigenous peoples and biodiversity in the Arctic 1. Synthesis: implications for conservation 2. Species Diversity in the Arctic 3. Mammals 4. Birds 5. Amphibians and Reptiles 6. Fishes 7. Terrestrial and Freshwater Invertebrates 8. Marine Invertebrates 9. Plants 10. Fungi 11. Microorganisms 12. Terrestrial Ecosystems 13. Freshwater Ecosystems 14. Marine Ecosystems 15. Parasites 16. Invasive Species: Human-Induced 17. Genetics 18. Provisioning and Cultural Services 19. Disturbance, Feedbacks and Conservations 20. Linguistic Diversity", "author" : [ { "dropping-particle" : "", "family" : "Meltofte", "given" : "H. (ed.)", "non-dropping-particle" : "", "parse-names" : false, "suffix" : "" } ], "container-title" : "Arctic Biodiversity Assessment", "id" : "ITEM-1", "issued" : { "date-parts" : [ [ "2013" ] ] }, "title" : "Arctic Biodiversity Assessment - Status and Trends in Arctic Biodiversity", "type" : "report" }, "uris" : [ "http://www.mendeley.com/documents/?uuid=cc324ecc-e2fb-46d9-a29d-2744e4f0a518", "http://www.mendeley.com/documents/?uuid=ad623a2e-b39f-4fbe-b8f4-38b422883ead" ] } ], "mendeley" : { "formattedCitation" : "(Meltofte, 2013)", "plainTextFormattedCitation" : "(Meltofte, 2013)", "previouslyFormattedCitation" : "(Meltofte,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(Meltofte, 2013)</w:t>
      </w:r>
      <w:r w:rsidRPr="008608AA">
        <w:rPr>
          <w:rFonts w:eastAsia="Droid Sans Fallback"/>
        </w:rPr>
        <w:fldChar w:fldCharType="end"/>
      </w:r>
      <w:r w:rsidRPr="008608AA">
        <w:rPr>
          <w:rFonts w:eastAsia="Droid Sans Fallback"/>
        </w:rPr>
        <w:t xml:space="preserve">. In boreal peatlands, climate change is expected to trigger increased drought and so increased fire frequency and peat loss </w:t>
      </w:r>
      <w:r w:rsidRPr="008608AA">
        <w:rPr>
          <w:rFonts w:eastAsia="Droid Sans Fallback"/>
        </w:rPr>
        <w:fldChar w:fldCharType="begin" w:fldLock="1"/>
      </w:r>
      <w:r w:rsidRPr="008608AA">
        <w:rPr>
          <w:rFonts w:eastAsia="Droid Sans Fallback"/>
        </w:rPr>
        <w:instrText>ADDIN CSL_CITATION { "citationItems" : [ { "id" : "ITEM-1", "itemData" : { "DOI" : "10.1016/j.biocon.2009.03.030", "ISBN" : "0006-3207", "ISSN" : "00063207", "abstract" : "Scenario planning should be an effective tool for developing responses to climate change but will depend on ecological assessments of broad enough scope to support decision-making. Using climate projections from an ensemble of 16 models, we conducted an assessment of a midcontinental area of North America (Minnesota) based on a resistance, resilience, and facilitation framework. We assessed likely impacts and proposed options for eight landscape regions within the planning area. Climate change projections suggest that by 2069, average annual temperatures will increase 3 \u00b0C with a slight increase in precipitation (6%). Analogous climate locales currently prevail 400-500 km SSW. Although the effects of climate change may be resisted through intensive management of invasive species, herbivores, and disturbance regimes, conservation practices need to shift to facilitation and resilience. Key resilience actions include providing buffers for small reserves, expanding reserves that lack adequate environmental heterogeneity, prioritizing protection of likely climate refuges, and managing forests for multi-species and multi-aged stands. Modifying restoration practices to rely on seeding (not plants), enlarge seed zones, and include common species from nearby southerly or drier locales is a logical low-risk facilitation strategy. Monitoring \"trailing edge\" populations of rare species should be a high conservation priority to support decision-making related to assisted colonization. Ecological assessments that consider resistance, resilience, and facilitation actions during scenario planning is a productive first step towards effective climate change planning for biodiversity with broad applicability to many regions of the world. \u00a9 2009 Elsevier Ltd. All rights reserved.", "author" : [ { "dropping-particle" : "", "family" : "Galatowitsch", "given" : "Susan", "non-dropping-particle" : "", "parse-names" : false, "suffix" : "" }, { "dropping-particle" : "", "family" : "Frelich", "given" : "Lee", "non-dropping-particle" : "", "parse-names" : false, "suffix" : "" }, { "dropping-particle" : "", "family" : "Phillips-Mao", "given" : "Laura", "non-dropping-particle" : "", "parse-names" : false, "suffix" : "" } ], "container-title" : "Biological Conservation", "id" : "ITEM-1", "issue" : "10", "issued" : { "date-parts" : [ [ "2009", "10" ] ] }, "page" : "2012-2022", "title" : "Regional climate change adaptation strategies for biodiversity conservation in a midcontinental region of North America", "type" : "article-journal", "volume" : "142" }, "uris" : [ "http://www.mendeley.com/documents/?uuid=c7a4ead6-fe40-49d6-815b-7fe18a0bf234", "http://www.mendeley.com/documents/?uuid=8e2c8dbc-2721-41b5-8f71-dbe30582f9a9" ] } ], "mendeley" : { "formattedCitation" : "(Galatowitsch, Frelich, &amp; Phillips-Mao, 2009)", "manualFormatting" : "(Galatowitsch et al., 2009)", "plainTextFormattedCitation" : "(Galatowitsch, Frelich, &amp; Phillips-Mao, 2009)", "previouslyFormattedCitation" : "(Galatowitsch, Frelich, &amp; Phillips-Mao, 2009)"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(Galatowitsch et al., 2009)</w:t>
      </w:r>
      <w:r w:rsidRPr="008608AA">
        <w:rPr>
          <w:rFonts w:eastAsia="Droid Sans Fallback"/>
        </w:rPr>
        <w:fldChar w:fldCharType="end"/>
      </w:r>
      <w:r w:rsidRPr="008608AA">
        <w:rPr>
          <w:rFonts w:eastAsia="Droid Sans Fallback"/>
        </w:rPr>
        <w:t xml:space="preserve">. Climate change projections for the prairie pothole region suggest shifts in hydrology that will make most of the region unsuitable breeding and migratory habitat for waterfowl </w:t>
      </w:r>
      <w:r w:rsidRPr="008608AA">
        <w:rPr>
          <w:rFonts w:eastAsia="Droid Sans Fallback"/>
        </w:rPr>
        <w:fldChar w:fldCharType="begin" w:fldLock="1"/>
      </w:r>
      <w:r w:rsidRPr="008608AA">
        <w:rPr>
          <w:rFonts w:eastAsia="Droid Sans Fallback"/>
        </w:rPr>
        <w:instrText>ADDIN CSL_CITATION { "citationItems" : [ { "id" : "ITEM-1", "itemData" : { "DOI" : "10.1641/0006-3568", "ISBN" : "0006-3568", "ISSN" : "0006-3568", "abstract" : "The prairie pothole region (PPR) lies in the heart of North America and contains millions of glacially formed, depressional wetlands embedded in a landscape matrix of natural grassland and agriculture. These wetlands provide valuable ecosystem services and produce 50&amp;#37; to 80&amp;#37; of the continent&amp;#39;s ducks. We explored the broad spatial and temporal patterns across the PPR between climate and wetland water levels and vegetation by applying a wetland simulation model (WETSIM) to 18 stations with 95-year weather records. Simulations suggest that the most productive habitat for breeding waterfowl would shift under a drier climate from the center of the PPR (the Dakotas and southeastern Saskatchewan) to the wetter eastern and northern fringes, areas currently less productive or where most wetlands have been drained. Unless these wetlands are protected and restored, there is little insurance for waterfowl against future climate warming. WETSIM can assist wetland managers in allocating restoration dollars in an uncertain climate future.", "author" : [ { "dropping-particle" : "", "family" : "Johnson", "given" : "W C", "non-dropping-particle" : "", "parse-names" : false, "suffix" : "" }, { "dropping-particle" : "V", "family" : "Millett", "given" : "B", "non-dropping-particle" : "", "parse-names" : false, "suffix" : "" }, { "dropping-particle" : "", "family" : "Gilmanov", "given" : "T", "non-dropping-particle" : "", "parse-names" : false, "suffix" : "" }, { "dropping-particle" : "", "family" : "Voldseth", "given" : "R A", "non-dropping-particle" : "", "parse-names" : false, "suffix" : "" }, { "dropping-particle" : "", "family" : "Guntenspergen", "given" : "G R", "non-dropping-particle" : "", "parse-names" : false, "suffix" : "" }, { "dropping-particle" : "", "family" : "Naugle", "given" : "D E", "non-dropping-particle" : "", "parse-names" : false, "suffix" : "" } ], "container-title" : "Bioscience", "id" : "ITEM-1", "issue" : "10", "issued" : { "date-parts" : [ [ "2005" ] ] }, "page" : "863-872", "title" : "Vulnerability of Northern Prairie Wetlands to Climate Change", "type" : "article-journal", "volume" : "55" }, "uris" : [ "http://www.mendeley.com/documents/?uuid=67ebc04b-fd2e-4524-8c21-743f500860d5", "http://www.mendeley.com/documents/?uuid=03811b32-76d5-46b1-92ec-8b2c55198e32" ] }, { "id" : "ITEM-2", "itemData" : { "DOI" : "10.1016/j.biocon.2009.03.030", "ISBN" : "0006-3207", "ISSN" : "00063207", "abstract" : "Scenario planning should be an effective tool for developing responses to climate change but will depend on ecological assessments of broad enough scope to support decision-making. Using climate projections from an ensemble of 16 models, we conducted an assessment of a midcontinental area of North America (Minnesota) based on a resistance, resilience, and facilitation framework. We assessed likely impacts and proposed options for eight landscape regions within the planning area. Climate change projections suggest that by 2069, average annual temperatures will increase 3 \u00b0C with a slight increase in precipitation (6%). Analogous climate locales currently prevail 400-500 km SSW. Although the effects of climate change may be resisted through intensive management of invasive species, herbivores, and disturbance regimes, conservation practices need to shift to facilitation and resilience. Key resilience actions include providing buffers for small reserves, expanding reserves that lack adequate environmental heterogeneity, prioritizing protection of likely climate refuges, and managing forests for multi-species and multi-aged stands. Modifying restoration practices to rely on seeding (not plants), enlarge seed zones, and include common species from nearby southerly or drier locales is a logical low-risk facilitation strategy. Monitoring \"trailing edge\" populations of rare species should be a high conservation priority to support decision-making related to assisted colonization. Ecological assessments that consider resistance, resilience, and facilitation actions during scenario planning is a productive first step towards effective climate change planning for biodiversity with broad applicability to many regions of the world. \u00a9 2009 Elsevier Ltd. All rights reserved.", "author" : [ { "dropping-particle" : "", "family" : "Galatowitsch", "given" : "Susan", "non-dropping-particle" : "", "parse-names" : false, "suffix" : "" }, { "dropping-particle" : "", "family" : "Frelich", "given" : "Lee", "non-dropping-particle" : "", "parse-names" : false, "suffix" : "" }, { "dropping-particle" : "", "family" : "Phillips-Mao", "given" : "Laura", "non-dropping-particle" : "", "parse-names" : false, "suffix" : "" } ], "container-title" : "Biological Conservation", "id" : "ITEM-2", "issue" : "10", "issued" : { "date-parts" : [ [ "2009", "10" ] ] }, "page" : "2012-2022", "title" : "Regional climate change adaptation strategies for biodiversity conservation in a midcontinental region of North America", "type" : "article-journal", "volume" : "142" }, "uris" : [ "http://www.mendeley.com/documents/?uuid=8e2c8dbc-2721-41b5-8f71-dbe30582f9a9", "http://www.mendeley.com/documents/?uuid=c7a4ead6-fe40-49d6-815b-7fe18a0bf234" ] } ], "mendeley" : { "formattedCitation" : "(Galatowitsch et al., 2009; W. C. Johnson et al., 2005)", "manualFormatting" : "(Galatowitsch et al., 2009; Johnson et al., 2005)", "plainTextFormattedCitation" : "(Galatowitsch et al., 2009; W. C. Johnson et al., 2005)", "previouslyFormattedCitation" : "(Galatowitsch et al., 2009; W. C. Johnson et al., 2005)"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(Galatowitsch et al., 2009; Johnson et al., 2005)</w:t>
      </w:r>
      <w:r w:rsidRPr="008608AA">
        <w:rPr>
          <w:rFonts w:eastAsia="Droid Sans Fallback"/>
        </w:rPr>
        <w:fldChar w:fldCharType="end"/>
      </w:r>
      <w:r w:rsidRPr="008608AA">
        <w:rPr>
          <w:rFonts w:eastAsia="Droid Sans Fallback"/>
        </w:rPr>
        <w:t xml:space="preserve">. Climate maladaptation by the agricultural sector, needing to secure more water sources, seems likely to result in water diversions and groundwater extraction, adversely altering wetlands in many parts of North America, including the prairie pothole and Everglades wetland landscapes </w:t>
      </w:r>
      <w:r w:rsidRPr="008608AA">
        <w:rPr>
          <w:rFonts w:eastAsia="Droid Sans Fallback"/>
        </w:rPr>
        <w:fldChar w:fldCharType="begin" w:fldLock="1"/>
      </w:r>
      <w:r w:rsidRPr="008608AA">
        <w:rPr>
          <w:rFonts w:eastAsia="Droid Sans Fallback"/>
        </w:rPr>
        <w:instrText>ADDIN CSL_CITATION { "citationItems" : [ { "id" : "ITEM-1", "itemData" : { "DOI" : "10.17226/18809", "author" : [ { "dropping-particle" : "", "family" : "National Research Council", "given" : "", "non-dropping-particle" : "", "parse-names" : false, "suffix" : "" } ], "id" : "ITEM-1", "issued" : { "date-parts" : [ [ "2014" ] ] }, "publisher" : "The National Academies Press", "publisher-place" : "Washington, DC", "title" : "Progress Toward Restoring the Everglades: The Fifth Biennial Review: 2014", "type" : "article" }, "uris" : [ "http://www.mendeley.com/documents/?uuid=1de0934f-a837-3450-9d15-b0afdf6325cc", "http://www.mendeley.com/documents/?uuid=cf215471-4380-4f68-9586-52c3fe86de08" ] }, { "id" : "ITEM-2", "itemData" : { "DOI" : "10.1016/j.biocon.2009.03.030", "ISBN" : "0006-3207", "ISSN" : "00063207", "abstract" : "Scenario planning should be an effective tool for developing responses to climate change but will depend on ecological assessments of broad enough scope to support decision-making. Using climate projections from an ensemble of 16 models, we conducted an assessment of a midcontinental area of North America (Minnesota) based on a resistance, resilience, and facilitation framework. We assessed likely impacts and proposed options for eight landscape regions within the planning area. Climate change projections suggest that by 2069, average annual temperatures will increase 3 \u00b0C with a slight increase in precipitation (6%). Analogous climate locales currently prevail 400-500 km SSW. Although the effects of climate change may be resisted through intensive management of invasive species, herbivores, and disturbance regimes, conservation practices need to shift to facilitation and resilience. Key resilience actions include providing buffers for small reserves, expanding reserves that lack adequate environmental heterogeneity, prioritizing protection of likely climate refuges, and managing forests for multi-species and multi-aged stands. Modifying restoration practices to rely on seeding (not plants), enlarge seed zones, and include common species from nearby southerly or drier locales is a logical low-risk facilitation strategy. Monitoring \"trailing edge\" populations of rare species should be a high conservation priority to support decision-making related to assisted colonization. Ecological assessments that consider resistance, resilience, and facilitation actions during scenario planning is a productive first step towards effective climate change planning for biodiversity with broad applicability to many regions of the world. \u00a9 2009 Elsevier Ltd. All rights reserved.", "author" : [ { "dropping-particle" : "", "family" : "Galatowitsch", "given" : "Susan", "non-dropping-particle" : "", "parse-names" : false, "suffix" : "" }, { "dropping-particle" : "", "family" : "Frelich", "given" : "Lee", "non-dropping-particle" : "", "parse-names" : false, "suffix" : "" }, { "dropping-particle" : "", "family" : "Phillips-Mao", "given" : "Laura", "non-dropping-particle" : "", "parse-names" : false, "suffix" : "" } ], "container-title" : "Biological Conservation", "id" : "ITEM-2", "issue" : "10", "issued" : { "date-parts" : [ [ "2009", "10" ] ] }, "page" : "2012-2022", "title" : "Regional climate change adaptation strategies for biodiversity conservation in a midcontinental region of North America", "type" : "article-journal", "volume" : "142" }, "uris" : [ "http://www.mendeley.com/documents/?uuid=8e2c8dbc-2721-41b5-8f71-dbe30582f9a9", "http://www.mendeley.com/documents/?uuid=c7a4ead6-fe40-49d6-815b-7fe18a0bf234" ] } ], "mendeley" : { "formattedCitation" : "(Galatowitsch et al., 2009; National Research Council, 2014)", "plainTextFormattedCitation" : "(Galatowitsch et al., 2009; National Research Council, 2014)", "previouslyFormattedCitation" : "(Galatowitsch et al., 2009; National Research Council,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(Galatowitsch et al., 2009; National Research Council, 2014)</w:t>
      </w:r>
      <w:r w:rsidRPr="008608AA">
        <w:rPr>
          <w:rFonts w:eastAsia="Droid Sans Fallback"/>
        </w:rPr>
        <w:fldChar w:fldCharType="end"/>
      </w:r>
      <w:r w:rsidRPr="008608AA">
        <w:rPr>
          <w:rFonts w:eastAsia="Droid Sans Fallback"/>
        </w:rPr>
        <w:t>.</w:t>
      </w:r>
    </w:p>
    <w:p w14:paraId="471F89CD" w14:textId="1F1447F7" w:rsidR="00490494" w:rsidRPr="008608AA" w:rsidRDefault="00490494" w:rsidP="005A0ED1">
      <w:pPr>
        <w:suppressAutoHyphens/>
        <w:rPr>
          <w:rFonts w:eastAsia="Droid Sans Fallback"/>
        </w:rPr>
      </w:pPr>
      <w:r w:rsidRPr="008608AA">
        <w:rPr>
          <w:rFonts w:eastAsia="Droid Sans Fallback"/>
        </w:rPr>
        <w:t xml:space="preserve"> </w:t>
      </w:r>
    </w:p>
    <w:p w14:paraId="1FF64987" w14:textId="77777777" w:rsidR="00490494" w:rsidRPr="008608AA" w:rsidRDefault="00490494" w:rsidP="005A0ED1">
      <w:pPr>
        <w:suppressAutoHyphens/>
        <w:rPr>
          <w:rFonts w:eastAsia="Droid Sans Fallback"/>
        </w:rPr>
      </w:pPr>
      <w:r w:rsidRPr="008608AA">
        <w:rPr>
          <w:rFonts w:eastAsia="Droid Sans Fallback"/>
        </w:rPr>
        <w:t xml:space="preserve">Wetlands in seasonal tropical climates, as is the case of the Palo Verde wetland, are governed by extreme seasonal hydrologic fluctuations and are characterized by rapid vegetation responses to changes in water level. Climate change models in the seasonal Palo Verde wetlands in Costa Rica predict reduced rainfall and a drier wet season. Based on the distinctive composition of wet and dry season vegetation, and high species richness in the wet season, local loss of diversity is predicted accompanied by increased abundance of drought-tolerant emergent species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"Osland", "given" : "M. J.", "non-dropping-particle" : "", "parse-names" : false, "suffix" : "" }, { "dropping-particle" : "", "family" : "Gonzalez", "given" : "E.", "non-dropping-particle" : "", "parse-names" : false, "suffix" : "" }, { "dropping-particle" : "", "family" : "C. J. Richardson", "given" : "", "non-dropping-particle" : "", "parse-names" : false, "suffix" : "" } ], "container-title" : "Wetlands", "id" : "ITEM-1", "issued" : { "date-parts" : [ [ "2011" ] ] }, "page" : "641-652", "title" : "Coastal Freshwater Wetland Plant Community Response to Seasonal Drought and Flooding in Northwestern Costa Rica", "type" : "article-journal", "volume" : "31" }, "uris" : [ "http://www.mendeley.com/documents/?uuid=cb2f4436-c0d8-4089-9c57-989d3efd5508", "http://www.mendeley.com/documents/?uuid=6880a34c-f1fd-4b69-83d5-deec49aa3977" ] } ], "mendeley" : { "formattedCitation" : "(Osland, Gonzalez, &amp; C. J. Richardson, 2011)", "manualFormatting" : "(Osland et al., 2011)", "plainTextFormattedCitation" : "(Osland, Gonzalez, &amp; C. J. Richardson, 2011)", "previouslyFormattedCitation" : "(Osland, Gonzalez, &amp; C. J. Richardson,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(Osland et al., 2011)</w:t>
      </w:r>
      <w:r w:rsidRPr="008608AA">
        <w:rPr>
          <w:rFonts w:eastAsia="Droid Sans Fallback"/>
        </w:rPr>
        <w:fldChar w:fldCharType="end"/>
      </w:r>
      <w:r w:rsidRPr="008608AA">
        <w:rPr>
          <w:rFonts w:eastAsia="Droid Sans Fallback"/>
        </w:rPr>
        <w:t>.</w:t>
      </w:r>
    </w:p>
    <w:p w14:paraId="7FE895F1" w14:textId="77777777" w:rsidR="003232C5" w:rsidRPr="008608AA" w:rsidRDefault="003232C5" w:rsidP="005A0ED1">
      <w:pPr>
        <w:suppressAutoHyphens/>
        <w:rPr>
          <w:rFonts w:eastAsia="Droid Sans Fallback"/>
        </w:rPr>
      </w:pPr>
    </w:p>
    <w:p w14:paraId="3F370F29" w14:textId="77777777" w:rsidR="003232C5" w:rsidRPr="008608AA" w:rsidRDefault="00490494" w:rsidP="005A0ED1">
      <w:pPr>
        <w:suppressAutoHyphens/>
        <w:rPr>
          <w:rFonts w:eastAsia="Droid Sans Fallback"/>
        </w:rPr>
      </w:pPr>
      <w:r w:rsidRPr="008608AA">
        <w:rPr>
          <w:rFonts w:eastAsia="Droid Sans Fallback"/>
        </w:rPr>
        <w:t xml:space="preserve">Given a general tendency for increased aridity and changes in seasonal rainfall distribution in South America over the coming century, wetlands are likely to be negatively impacted by climate change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"Junk", "given" : "W. J.", "non-dropping-particle" : "", "parse-names" : false, "suffix" : "" } ], "container-title" : "Aquatic Sciences", "id" : "ITEM-1", "issued" : { "date-parts" : [ [ "2013" ] ] }, "page" : "113-131", "title" : "Current state of knowledge regarding South America wetlands and their future under global climate change", "type" : "article-journal", "volume" : "75" }, "uris" : [ "http://www.mendeley.com/documents/?uuid=4f2c19e1-0df9-4c53-8c2a-ba8d84864c00", "http://www.mendeley.com/documents/?uuid=c87330b7-2e43-42cd-a7a0-5fc57721a0af" ] } ], "mendeley" : { "formattedCitation" : "(Junk, 2013)", "manualFormatting" : "(Junk, 2013)", "plainTextFormattedCitation" : "(Junk, 2013)", "previouslyFormattedCitation" : "(Junk,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(Junk, 2013)</w:t>
      </w:r>
      <w:r w:rsidRPr="008608AA">
        <w:rPr>
          <w:rFonts w:eastAsia="Droid Sans Fallback"/>
        </w:rPr>
        <w:fldChar w:fldCharType="end"/>
      </w:r>
      <w:r w:rsidRPr="008608AA">
        <w:rPr>
          <w:rFonts w:eastAsia="Droid Sans Fallback"/>
        </w:rPr>
        <w:t xml:space="preserve">. However, there are many uncertainties given regional climatic variation. For example, some climate models show increases in rainfall and in discharges of the Paraguay Basin, while others show reductions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"Marengo", "given" : "J. A.", "non-dropping-particle" : "", "parse-names" : false, "suffix" : "" }, { "dropping-particle" : "", "family" : "Alves", "given" : "L. M.", "non-dropping-particle" : "", "parse-names" : false, "suffix" : "" }, { "dropping-particle" : "", "family" : "Torres", "given" : "R. R.", "non-dropping-particle" : "", "parse-names" : false, "suffix" : "" } ], "container-title" : "Climate Research", "id" : "ITEM-1", "issued" : { "date-parts" : [ [ "2016" ] ] }, "page" : "201-213", "title" : "Regional climate change scenarios in the Brazilian Pantanal watershed", "type" : "article-journal", "volume" : "68" }, "uris" : [ "http://www.mendeley.com/documents/?uuid=9a70e74a-d3db-3eb2-b0f5-bba404542e58", "http://www.mendeley.com/documents/?uuid=353fc1ed-cd6c-4a1e-983e-4ba72034430e" ] } ], "mendeley" : { "formattedCitation" : "(J. A. Marengo, Alves, &amp; Torres, 2016)", "manualFormatting" : "(Marengo et al., 2016)", "plainTextFormattedCitation" : "(J. A. Marengo, Alves, &amp; Torres, 2016)", "previouslyFormattedCitation" : "(J. A. Marengo, Alves, &amp; Torres,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(Marengo et al., 2016)</w:t>
      </w:r>
      <w:r w:rsidRPr="008608AA">
        <w:rPr>
          <w:rFonts w:eastAsia="Droid Sans Fallback"/>
        </w:rPr>
        <w:fldChar w:fldCharType="end"/>
      </w:r>
      <w:r w:rsidRPr="008608AA">
        <w:rPr>
          <w:rFonts w:eastAsia="Droid Sans Fallback"/>
        </w:rPr>
        <w:t>.</w:t>
      </w:r>
    </w:p>
    <w:p w14:paraId="466F8188" w14:textId="3E4D7B40" w:rsidR="00490494" w:rsidRPr="008608AA" w:rsidRDefault="00490494" w:rsidP="005A0ED1">
      <w:pPr>
        <w:suppressAutoHyphens/>
        <w:rPr>
          <w:rFonts w:eastAsia="Droid Sans Fallback"/>
        </w:rPr>
      </w:pPr>
      <w:r w:rsidRPr="008608AA">
        <w:rPr>
          <w:rFonts w:eastAsia="Droid Sans Fallback"/>
        </w:rPr>
        <w:t xml:space="preserve"> </w:t>
      </w:r>
    </w:p>
    <w:p w14:paraId="3EC90ECE" w14:textId="77777777" w:rsidR="00490494" w:rsidRPr="008608AA" w:rsidRDefault="00490494" w:rsidP="005A0ED1">
      <w:pPr>
        <w:suppressAutoHyphens/>
        <w:rPr>
          <w:rFonts w:eastAsia="Droid Sans Fallback"/>
        </w:rPr>
      </w:pPr>
      <w:r w:rsidRPr="008608AA">
        <w:rPr>
          <w:rFonts w:eastAsia="Droid Sans Fallback"/>
        </w:rPr>
        <w:t>The two main drivers affecting wetlands currently and expected to continue to do so in the future (Figure 5.15) are habitat degradation and climate change. With respect to habitat degradation (i.e. primarily conversion of wetlands to agricultural use), the information presented above speaks to the feasibility and potential effectiveness of policy intervention in wetland conservation and, thus, speaks to the potential implications of the archetypes. The majority of wetland loss that has occurred in North America occurred, as the land was being settled and converted to agriculture. We see this driver still taking place in other areas of the Americas, notably South America where land is being converted to agricultural purposes, such as growing soybeans. Thus, under the Market Forces archetype, we would expect to see continued loss of wetlands in areas that do not already have protections. Under Fortress World, we would expect a similar, though likely more severe, trend as market forces and expanding populations requiring food would result in the same trend observed in North America in the 1800 to mid-1900s. The relative effectiveness of policy intervention is well-evidenced by the above discussion and thus, under the Policy Reform archetype one would expect a reduction in the rate of wetland loss where it is still prevalent, though depending on the policies, shifts among wetland types may occur as the do in USA, with concomitant shifts in the exact NCP provided. The adoption of policies, such as those in USA and Canada and the recent significant set aside of the Llanos wetlands of Bolivia, could be a significant boon to maintaining the NCP provided by wetlands. The set aside in Bolivia also points to what might happen under the New Sustainability Paradigm</w:t>
      </w:r>
      <w:r w:rsidRPr="008608AA">
        <w:rPr>
          <w:sz w:val="16"/>
          <w:szCs w:val="16"/>
          <w:lang w:val="en-GB" w:eastAsia="pt-BR"/>
        </w:rPr>
        <w:t xml:space="preserve"> </w:t>
      </w:r>
      <w:r w:rsidRPr="008608AA">
        <w:rPr>
          <w:rFonts w:eastAsia="Droid Sans Fallback"/>
        </w:rPr>
        <w:t>archetype (i.e., an archetype similar to the Policy Reform and the Great Transition group of archetypes). Despite being in a region where land use changes to agriculture is proceeding at a substantial rate; it is possible to set aside ecosystems whose NCP values are recognized.</w:t>
      </w:r>
    </w:p>
    <w:p w14:paraId="04E594FB" w14:textId="77777777" w:rsidR="003232C5" w:rsidRPr="008608AA" w:rsidRDefault="003232C5" w:rsidP="005A0ED1">
      <w:pPr>
        <w:suppressAutoHyphens/>
        <w:rPr>
          <w:rFonts w:eastAsia="Droid Sans Fallback"/>
        </w:rPr>
      </w:pPr>
    </w:p>
    <w:p w14:paraId="4249CADB" w14:textId="77777777" w:rsidR="00490494" w:rsidRPr="008608AA" w:rsidRDefault="00490494" w:rsidP="005A0ED1">
      <w:pPr>
        <w:suppressAutoHyphens/>
        <w:rPr>
          <w:rFonts w:eastAsia="Droid Sans Fallback"/>
        </w:rPr>
      </w:pPr>
      <w:r w:rsidRPr="008608AA">
        <w:rPr>
          <w:rFonts w:eastAsia="Droid Sans Fallback"/>
        </w:rPr>
        <w:t>While the Policy Reform family of archetypes hold promise with respect to addressing land use changes, it is likely a much less effective scenario for curbing wetland impacts due to climate change. Additionally, climate change may also result in increased water withdrawal from wetlands or the aquifers that supply groundwater-fed wetlands. Thus, agriculture and climate change can be viewed as synergistic drivers, and for reasons covered under Tundra and Boreal Forest, effective approaches in dealing with this synergistic pairing will require more radical approaches, consistent with the Great Transition family of scenarios.</w:t>
      </w:r>
    </w:p>
    <w:p w14:paraId="18C71B87" w14:textId="77777777" w:rsidR="003232C5" w:rsidRPr="008608AA" w:rsidRDefault="003232C5" w:rsidP="005A0ED1">
      <w:pPr>
        <w:suppressAutoHyphens/>
        <w:rPr>
          <w:rFonts w:eastAsia="Droid Sans Fallback"/>
        </w:rPr>
      </w:pPr>
    </w:p>
    <w:p w14:paraId="23F7FB1E" w14:textId="77777777" w:rsidR="00490494" w:rsidRPr="008608AA" w:rsidRDefault="00490494" w:rsidP="005A0ED1">
      <w:pPr>
        <w:suppressAutoHyphens/>
        <w:rPr>
          <w:rFonts w:eastAsia="Droid Sans Fallback"/>
        </w:rPr>
      </w:pPr>
      <w:r w:rsidRPr="008608AA">
        <w:rPr>
          <w:rFonts w:eastAsia="Droid Sans Fallback"/>
        </w:rPr>
        <w:t>The above focal analysis provides a good indication of the complexity of determining what “the best” use of world’s natural capital is. Multiple drivers, teleconnections, telecoupling, differing socio-economic conditions, and differences in cultures and values are all considerations in trying to create a sustainable world. Section 5.6 discusses the detailed considerations in developing specific scenarios that can inform the policy process in attaining this goal.</w:t>
      </w:r>
    </w:p>
    <w:p w14:paraId="7B697347" w14:textId="77777777" w:rsidR="00490494" w:rsidRPr="008608AA" w:rsidRDefault="00490494" w:rsidP="005A0ED1">
      <w:pPr>
        <w:pStyle w:val="Heading3"/>
        <w:rPr>
          <w:rFonts w:eastAsia="Droid Sans Fallback"/>
        </w:rPr>
      </w:pPr>
      <w:bookmarkStart w:id="2045" w:name="_Toc466995093"/>
      <w:bookmarkStart w:id="2046" w:name="_Toc472342786"/>
      <w:bookmarkStart w:id="2047" w:name="_Toc499256892"/>
      <w:bookmarkStart w:id="2048" w:name="_Toc502953639"/>
      <w:bookmarkStart w:id="2049" w:name="_Toc502954932"/>
      <w:bookmarkStart w:id="2050" w:name="_Toc502957739"/>
      <w:bookmarkStart w:id="2051" w:name="_Toc502957938"/>
      <w:bookmarkStart w:id="2052" w:name="_Toc502958092"/>
      <w:bookmarkStart w:id="2053" w:name="_Toc503293161"/>
      <w:bookmarkStart w:id="2054" w:name="_Toc503293759"/>
      <w:bookmarkStart w:id="2055" w:name="_Toc503294021"/>
      <w:bookmarkStart w:id="2056" w:name="_Toc503863414"/>
      <w:bookmarkStart w:id="2057" w:name="_Toc503863642"/>
      <w:bookmarkStart w:id="2058" w:name="_Toc517393410"/>
      <w:bookmarkStart w:id="2059" w:name="_Toc517719151"/>
      <w:bookmarkStart w:id="2060" w:name="_Toc517797108"/>
      <w:bookmarkStart w:id="2061" w:name="_Toc482711180"/>
      <w:r w:rsidRPr="008608AA">
        <w:rPr>
          <w:rFonts w:eastAsia="Droid Sans Fallback"/>
        </w:rPr>
        <w:t>Urban/Semi-urban</w:t>
      </w:r>
      <w:bookmarkEnd w:id="2045"/>
      <w:bookmarkEnd w:id="2046"/>
      <w:r w:rsidRPr="008608AA">
        <w:rPr>
          <w:rFonts w:eastAsia="Droid Sans Fallback"/>
        </w:rPr>
        <w:t xml:space="preserve"> – Effects on multiple aspects of human well-being</w:t>
      </w:r>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r w:rsidRPr="008608AA">
        <w:rPr>
          <w:rFonts w:eastAsia="Droid Sans Fallback"/>
        </w:rPr>
        <w:t xml:space="preserve"> </w:t>
      </w:r>
      <w:bookmarkEnd w:id="2061"/>
    </w:p>
    <w:p w14:paraId="6D9E34DC" w14:textId="2D550F19" w:rsidR="005A0ED1" w:rsidRPr="008608AA" w:rsidRDefault="00345EF6" w:rsidP="005A0ED1">
      <w:pPr>
        <w:tabs>
          <w:tab w:val="left" w:pos="4770"/>
        </w:tabs>
        <w:suppressAutoHyphens/>
        <w:spacing w:before="240"/>
        <w:jc w:val="center"/>
        <w:rPr>
          <w:rFonts w:eastAsia="Droid Sans Fallback"/>
        </w:rPr>
      </w:pPr>
      <w:r w:rsidRPr="008608AA">
        <w:rPr>
          <w:rFonts w:eastAsia="Droid Sans Fallback"/>
          <w:noProof/>
          <w:lang w:val="en-GB" w:eastAsia="en-GB"/>
        </w:rPr>
        <w:drawing>
          <wp:inline distT="0" distB="0" distL="0" distR="0" wp14:anchorId="0D9134EF" wp14:editId="1DE32026">
            <wp:extent cx="5934075" cy="8553450"/>
            <wp:effectExtent l="0" t="0" r="9525" b="0"/>
            <wp:docPr id="77" name="Imagen 77" descr="C:\Users\Alejandro Valderrama\Downloads\Fig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1" descr="C:\Users\Alejandro Valderrama\Downloads\Fig5.16.jpg"/>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5934075" cy="8553450"/>
                    </a:xfrm>
                    <a:prstGeom prst="rect">
                      <a:avLst/>
                    </a:prstGeom>
                    <a:noFill/>
                    <a:ln>
                      <a:noFill/>
                    </a:ln>
                  </pic:spPr>
                </pic:pic>
              </a:graphicData>
            </a:graphic>
          </wp:inline>
        </w:drawing>
      </w:r>
    </w:p>
    <w:p w14:paraId="621EAE2E" w14:textId="6C7A55F1" w:rsidR="005A0ED1" w:rsidRPr="008608AA" w:rsidRDefault="00490494" w:rsidP="005A0ED1">
      <w:pPr>
        <w:tabs>
          <w:tab w:val="left" w:pos="4770"/>
        </w:tabs>
        <w:suppressAutoHyphens/>
        <w:spacing w:before="240"/>
        <w:rPr>
          <w:rFonts w:eastAsia="Droid Sans Fallback"/>
        </w:rPr>
      </w:pPr>
      <w:r w:rsidRPr="008608AA">
        <w:rPr>
          <w:rFonts w:eastAsia="Droid Sans Fallback"/>
        </w:rPr>
        <w:t xml:space="preserve">Urbanization will continue as world population grows and may have its greatest effect in intermediate-sized cities, which have the highest growth rates (Chapter 2). The continuation of urbanization will impact other units of analysis, such as agricultural systems and can result in significant impacts to NCP provided by those systems, such as provisioning of food (Chapter 3). For example, </w:t>
      </w:r>
      <w:r w:rsidRPr="008608AA">
        <w:rPr>
          <w:rFonts w:eastAsia="Droid Sans Fallback"/>
        </w:rPr>
        <w:fldChar w:fldCharType="begin" w:fldLock="1"/>
      </w:r>
      <w:r w:rsidRPr="008608AA">
        <w:rPr>
          <w:rFonts w:eastAsia="Droid Sans Fallback"/>
        </w:rPr>
        <w:instrText>ADDIN CSL_CITATION { "citationItems" : [ { "id" : "ITEM-1", "itemData" : { "DOI" : "10.1007/s10021-012-9519-1", "ISBN" : "1432-9840", "ISSN" : "14329840", "abstract" : "In this study, three cities located in the U.S. Corn Belt are evaluated for impacts of past (1992-2001) and projected (2001-2030) urban expansion on ecosystem goods and services, with a specific focus on changes in energy balance, hydrology, and productivity. Scenarios for high-, medium- and low-density urban areas are simulated using a dynamic agro-ecosystem model (Agro-IBIS), by incorporating new parameterizations for impervious surfaces and turf grass. Moderate Resolution Imaging Spectroradiometer (MODIS) 500-m albedo data and remote sensing-derived 30-m resolution maps from the U.S. National Land Cover Database are used as model input to simulate biogeochemical, thermodynamic, and hydrological cycles for a range of land-cover types in each region. The results show that the expanding urban areas have a significant impact on each city's capacity to regulate climate and flooding. High-density urban areas, for instance, have soil surface temperatures up to 6A degrees C higher than soils within natural and managed ecosystems. Expansion of turf grass in residential areas could require an additional 8-105 million m(3) of water use annually, which increases runoff by 15-48% and reduces the capacity to respond/adapt to flooding. Finally, the analysis shows that net primary productivity (NPP) decreases as expected due to the removal of cropland, forests, and grasslands in favor of development, but increased urban turf grass provides an annual offset of 40-210 g C m(-2). Urban expansion through 2030 is estimated to lower total annual crop production by 8.1, 8.6, and 16.7% for the Madison, Peoria, and Indianapolis regions, respectively. Given current projections for city growth to exceed 2-3% per year in the north-central U.S., urban expansion across a nine-state region in the Corn Belt could potentially take an additional 210,000-310,000 ha of farmland out of production annually at a time when demand for food, fuel, and fiber is increasing. Because conversion of cropland to urban uses is nearly always unidirectional, any changes to ecosystem goods and services due to urbanization are likely to be permanent and irreversible.", "author" : [ { "dropping-particle" : "", "family" : "Schneider", "given" : "Annemarie", "non-dropping-particle" : "", "parse-names" : false, "suffix" : "" }, { "dropping-particle" : "", "family" : "Logan", "given" : "Kelly E.", "non-dropping-particle" : "", "parse-names" : false, "suffix" : "" }, { "dropping-particle" : "", "family" : "Kucharik", "given" : "Christopher J.", "non-dropping-particle" : "", "parse-names" : false, "suffix" : "" } ], "container-title" : "Ecosystems", "id" : "ITEM-1", "issue" : "4", "issued" : { "date-parts" : [ [ "2012" ] ] }, "page" : "519-541", "title" : "Impacts of Urbanization on Ecosystem Goods and Services in the U.S. Corn Belt", "type" : "article-journal", "volume" : "15" }, "uris" : [ "http://www.mendeley.com/documents/?uuid=9b9403d9-9943-49c0-bb2a-0f3de1ee5065" ] } ], "mendeley" : { "formattedCitation" : "(A. Schneider et al., 2012)", "manualFormatting" : "Schneider et al.(2012)", "plainTextFormattedCitation" : "(A. Schneider et al., 2012)", "previouslyFormattedCitation" : "(A. Schneider et al., 2012)" }, "properties" : {  }, "schema" : "https://github.com/citation-style-language/schema/raw/master/csl-citation.json" }</w:instrText>
      </w:r>
      <w:r w:rsidRPr="008608AA">
        <w:rPr>
          <w:rFonts w:eastAsia="Droid Sans Fallback"/>
        </w:rPr>
        <w:fldChar w:fldCharType="separate"/>
      </w:r>
      <w:r w:rsidRPr="008608AA">
        <w:rPr>
          <w:rFonts w:eastAsia="Droid Sans Fallback"/>
        </w:rPr>
        <w:t>Schneider et al.</w:t>
      </w:r>
      <w:r w:rsidR="003232C5" w:rsidRPr="008608AA">
        <w:rPr>
          <w:rFonts w:eastAsia="Droid Sans Fallback"/>
        </w:rPr>
        <w:t xml:space="preserve"> </w:t>
      </w:r>
      <w:r w:rsidRPr="008608AA">
        <w:rPr>
          <w:rFonts w:eastAsia="Droid Sans Fallback"/>
        </w:rPr>
        <w:t>(2012)</w:t>
      </w:r>
      <w:r w:rsidRPr="008608AA">
        <w:rPr>
          <w:rFonts w:eastAsia="Droid Sans Fallback"/>
        </w:rPr>
        <w:fldChar w:fldCharType="end"/>
      </w:r>
      <w:r w:rsidRPr="008608AA">
        <w:rPr>
          <w:rFonts w:eastAsia="Droid Sans Fallback"/>
        </w:rPr>
        <w:t xml:space="preserve"> estimates that by 2030, urban expansion in the Midwest of the USA may reduce agricultural land that could feed up to 532,000 people.</w:t>
      </w:r>
    </w:p>
    <w:p w14:paraId="58FB0A53" w14:textId="77777777" w:rsidR="003232C5" w:rsidRPr="008608AA" w:rsidRDefault="00490494" w:rsidP="005A0ED1">
      <w:pPr>
        <w:tabs>
          <w:tab w:val="left" w:pos="4770"/>
        </w:tabs>
        <w:suppressAutoHyphens/>
        <w:spacing w:before="240"/>
        <w:rPr>
          <w:rFonts w:eastAsia="Droid Sans Fallback"/>
        </w:rPr>
      </w:pPr>
      <w:r w:rsidRPr="008608AA">
        <w:rPr>
          <w:rFonts w:eastAsia="Droid Sans Fallback"/>
        </w:rPr>
        <w:t xml:space="preserve">While urban centers are impoverished ecological systems relative to many ex-urban areas (including agricultural systems and the landscapes within which they are imbedded (Chapter 3), they still host a variety of species and underpin a variety of ecosystem services, especially with respect to regulating and cultural services (Chapter 2). </w:t>
      </w:r>
    </w:p>
    <w:p w14:paraId="5049F941" w14:textId="77777777" w:rsidR="003232C5" w:rsidRPr="008608AA" w:rsidRDefault="003232C5" w:rsidP="005A0ED1">
      <w:pPr>
        <w:suppressAutoHyphens/>
        <w:rPr>
          <w:rFonts w:eastAsia="Droid Sans Fallback"/>
        </w:rPr>
      </w:pPr>
    </w:p>
    <w:p w14:paraId="291B7A3F" w14:textId="31C7F01D" w:rsidR="00490494" w:rsidRPr="008608AA" w:rsidRDefault="00490494" w:rsidP="005A0ED1">
      <w:pPr>
        <w:suppressAutoHyphens/>
        <w:rPr>
          <w:rFonts w:eastAsia="Droid Sans Fallback"/>
        </w:rPr>
      </w:pPr>
      <w:r w:rsidRPr="008608AA">
        <w:rPr>
          <w:rFonts w:eastAsia="Droid Sans Fallback"/>
        </w:rPr>
        <w:t xml:space="preserve">Some urban areas, such as the City of Detroit, Michigan, USA, park systems contain remnant tracts of vegetation that are only slightly changed from pre-settlement times due to the fact that they were parts of estates before urbanization spread to their area and were protected as part of park systems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"Weatherbee", "given" : "Ellen Elliott", "non-dropping-particle" : "", "parse-names" : false, "suffix" : "" }, { "dropping-particle" : "", "family" : "Klatt", "given" : "Brian", "non-dropping-particle" : "", "parse-names" : false, "suffix" : "" } ], "id" : "ITEM-1", "issued" : { "date-parts" : [ [ "2004" ] ] }, "number-of-pages" : "19", "publisher-place" : "Pinckney, Michigan USA", "title" : "Detroit Parks: Plant surveys and community characterizations", "type" : "report" }, "uris" : [ "http://www.mendeley.com/documents/?uuid=9d84f14e-276a-46a3-8dfa-7dc3e3562329" ] } ], "mendeley" : { "formattedCitation" : "(Weatherbee &amp; Klatt, 2004)", "plainTextFormattedCitation" : "(Weatherbee &amp; Klatt, 2004)", "previouslyFormattedCitation" : "(Weatherbee &amp; Klatt, 2004)"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(Weatherbee &amp; Klatt, 2004)</w:t>
      </w:r>
      <w:r w:rsidRPr="008608AA">
        <w:rPr>
          <w:rFonts w:eastAsia="Droid Sans Fallback"/>
        </w:rPr>
        <w:fldChar w:fldCharType="end"/>
      </w:r>
      <w:r w:rsidRPr="008608AA">
        <w:rPr>
          <w:rFonts w:eastAsia="Droid Sans Fallback"/>
        </w:rPr>
        <w:t xml:space="preserve">. Indeed, one of the natural communities (Mesic Flatwoods) recognized in Michigan, was first described just a few years ago based on the urban park Belle Isle, located in the Detroit River, between the downtowns of Detroit and Windsor, Ontario, Canada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"Cohen", "given" : "Joshua", "non-dropping-particle" : "", "parse-names" : false, "suffix" : "" }, { "dropping-particle" : "", "family" : "Slaughter", "given" : "Bradford", "non-dropping-particle" : "", "parse-names" : false, "suffix" : "" }, { "dropping-particle" : "", "family" : "Kost", "given" : "Michael", "non-dropping-particle" : "", "parse-names" : false, "suffix" : "" }, { "dropping-particle" : "", "family" : "Albert", "given" : "Dennis", "non-dropping-particle" : "", "parse-names" : false, "suffix" : "" } ], "id" : "ITEM-1", "issued" : { "date-parts" : [ [ "2015" ] ] }, "publisher" : "Michigan State Unversity Press", "publisher-place" : "East Lansing, Michigan USA", "title" : "A field guide to the natural communities of Michigan.", "type" : "book" }, "uris" : [ "http://www.mendeley.com/documents/?uuid=dab9d6b8-9872-4478-b78e-e72589d64712" ] } ], "mendeley" : { "formattedCitation" : "(Cohen, Slaughter, Kost, &amp; Albert, 2015)", "plainTextFormattedCitation" : "(Cohen, Slaughter, Kost, &amp; Albert, 2015)", "previouslyFormattedCitation" : "(Cohen, Slaughter, Kost, &amp; Albert, 2015)"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(Cohen</w:t>
      </w:r>
      <w:r w:rsidRPr="008608AA">
        <w:rPr>
          <w:rFonts w:eastAsia="Droid Sans Fallback"/>
          <w:noProof/>
        </w:rPr>
        <w:t xml:space="preserve"> et al., 2015)</w:t>
      </w:r>
      <w:r w:rsidRPr="008608AA">
        <w:rPr>
          <w:rFonts w:eastAsia="Droid Sans Fallback"/>
        </w:rPr>
        <w:fldChar w:fldCharType="end"/>
      </w:r>
      <w:r w:rsidRPr="008608AA">
        <w:rPr>
          <w:rFonts w:eastAsia="Droid Sans Fallback"/>
        </w:rPr>
        <w:t>. These observations argue for continued inventorying of the biological assets in urban areas, even in areas that are considered highly urbanized and studied (Chapter 3).</w:t>
      </w:r>
    </w:p>
    <w:p w14:paraId="33A6EE09" w14:textId="77777777" w:rsidR="003232C5" w:rsidRPr="008608AA" w:rsidRDefault="003232C5" w:rsidP="005A0ED1">
      <w:pPr>
        <w:suppressAutoHyphens/>
        <w:rPr>
          <w:rFonts w:eastAsia="Droid Sans Fallback"/>
        </w:rPr>
      </w:pPr>
    </w:p>
    <w:p w14:paraId="1E2D79E3" w14:textId="77777777" w:rsidR="00490494" w:rsidRPr="008608AA" w:rsidRDefault="00490494" w:rsidP="005A0ED1">
      <w:pPr>
        <w:suppressAutoHyphens/>
        <w:rPr>
          <w:rFonts w:eastAsia="Droid Sans Fallback"/>
        </w:rPr>
      </w:pPr>
      <w:r w:rsidRPr="008608AA">
        <w:rPr>
          <w:rFonts w:eastAsia="Droid Sans Fallback"/>
        </w:rPr>
        <w:t xml:space="preserve">Perhaps the greatest impact on biodiversity due to urbanization may be indirect, through the continued reduction of human-nature interactions, which have been shown to be beneficial to people in general and even utilized in human medicine as an adjunct to cancer treatment (Chapter 2) </w:t>
      </w:r>
      <w:r w:rsidRPr="008608AA">
        <w:rPr>
          <w:rFonts w:eastAsia="Droid Sans Fallback"/>
        </w:rPr>
        <w:fldChar w:fldCharType="begin" w:fldLock="1"/>
      </w:r>
      <w:r w:rsidRPr="008608AA">
        <w:rPr>
          <w:rFonts w:eastAsia="Droid Sans Fallback"/>
        </w:rPr>
        <w:instrText>ADDIN CSL_CITATION { "citationItems" : [ { "id" : "ITEM-1", "itemData" : { "ISSN" : "0162-220X", "PMID" : "12886119", "abstract" : "Earlier research indicated that attentional fatigue with reduced capacity to direct attention in women treated for breast cancer may be ameliorated by a theoretically based intervention involving regular exposure to the natural environment. This study tested the efficacy of a natural environment intervention aimed at restoring attention in 157 women with newly diagnosed breast cancer. Capacity to direct attention was assessed with a brief battery of objective measures at two time points: approximately 17 days before surgery (time 1) and 19 days after surgery (time 2). A randomly assigned intervention protocol was initiated after the first assessment and before any treatment. The intervention comprised a home-based program involving 120 minutes of exposure to the natural environment per week. The intervention group (n = 83) showed greater recovery of capacity to direct attention from the pretreatment (time 1) to the preadjuvant therapy period (time 2), as compared with the nonintervention group (n = 74). A significant effect of the natural environment intervention was observed even after control was used for the effects of age, education, attention scores at time 1, other health problems, symptom distress, and extent of surgery. The findings suggest therapeutic benefits for capacity to direct attention from early intervention aimed at restoring attention in women with newly diagnosed breast cancer.", "author" : [ { "dropping-particle" : "", "family" : "Cimprich", "given" : "Bernadine", "non-dropping-particle" : "", "parse-names" : false, "suffix" : "" }, { "dropping-particle" : "", "family" : "Ronis", "given" : "David L", "non-dropping-particle" : "", "parse-names" : false, "suffix" : "" } ], "container-title" : "Cancer nursing", "id" : "ITEM-1", "issue" : "4", "issued" : { "date-parts" : [ [ "2003", "8" ] ] }, "page" : "284-92; quiz 293-4", "title" : "An environmental intervention to restore attention in women with newly diagnosed breast cancer.", "type" : "article-journal", "volume" : "26" }, "uris" : [ "http://www.mendeley.com/documents/?uuid=f2e3ce4a-e2f3-3b44-a3c3-9df141025d0f" ] }, { "id" : "ITEM-2", "itemData" : { "author" : [ { "dropping-particle" : "", "family" : "Louv", "given" : "Richard", "non-dropping-particle" : "", "parse-names" : false, "suffix" : "" } ], "id" : "ITEM-2", "issued" : { "date-parts" : [ [ "2008" ] ] }, "publisher" : "Algonquin Books of Chapel Hill", "publisher-place" : "Chapel Hill, North Carolina, USA", "title" : "Last child in the woods: saving our children from nature-deficit disorder", "type" : "book" }, "uris" : [ "http://www.mendeley.com/documents/?uuid=86dde29a-69d3-4a18-899f-bf72e1628fe5" ] } ], "mendeley" : { "formattedCitation" : "(Cimprich &amp; Ronis, 2003; Louv, 2008)", "plainTextFormattedCitation" : "(Cimprich &amp; Ronis, 2003; Louv, 2008)", "previouslyFormattedCitation" : "(Cimprich &amp; Ronis, 2003; Louv, 2008)"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(Cimprich &amp; Ronis, 2003; Louv, 2008)</w:t>
      </w:r>
      <w:r w:rsidRPr="008608AA">
        <w:rPr>
          <w:rFonts w:eastAsia="Droid Sans Fallback"/>
        </w:rPr>
        <w:fldChar w:fldCharType="end"/>
      </w:r>
      <w:r w:rsidRPr="008608AA">
        <w:rPr>
          <w:rFonts w:eastAsia="Droid Sans Fallback"/>
        </w:rPr>
        <w:t>. The disconnect from nature is likely to result in disaffection toward nature and reduced motivation to protect, due to a lack of understanding.</w:t>
      </w:r>
    </w:p>
    <w:p w14:paraId="79BA808F" w14:textId="77777777" w:rsidR="003232C5" w:rsidRPr="008608AA" w:rsidRDefault="00490494" w:rsidP="005A0ED1">
      <w:pPr>
        <w:suppressAutoHyphens/>
        <w:rPr>
          <w:rFonts w:eastAsia="Droid Sans Fallback"/>
        </w:rPr>
      </w:pPr>
      <w:r w:rsidRPr="008608AA">
        <w:rPr>
          <w:rFonts w:eastAsia="Droid Sans Fallback"/>
        </w:rPr>
        <w:t xml:space="preserve">It is in the area of urban planning that some of the greatest opportunities for meeting the Sustainable Development Goals (SDG) by employing technological advancement in preserving and enhancing the function of urban ecosystem and mitigating the negative consequences of urbanization exist. For example, the use of designed wetlands for the treatment of storm runoff and sanitary wastewater can lower point pollution of surface water, provide wildlife habitat, and afford cultural opportunities to enjoy nature. More study is needed to determine adequate amounts of greenspace for human well-being from a variety of perspectives, Shanahan et al. </w:t>
      </w:r>
      <w:r w:rsidRPr="008608AA">
        <w:rPr>
          <w:rFonts w:eastAsia="Droid Sans Fallback"/>
        </w:rPr>
        <w:fldChar w:fldCharType="begin" w:fldLock="1"/>
      </w:r>
      <w:r w:rsidRPr="008608AA">
        <w:rPr>
          <w:rFonts w:eastAsia="Droid Sans Fallback"/>
        </w:rPr>
        <w:instrText>ADDIN CSL_CITATION { "citationItems" : [ { "id" : "ITEM-1", "itemData" : { "DOI" : "10.1038/srep28551", "author" : [ { "dropping-particle" : "", "family" : "Shanahan", "given" : "Danielle F", "non-dropping-particle" : "", "parse-names" : false, "suffix" : "" }, { "dropping-particle" : "", "family" : "Bush", "given" : "Robert", "non-dropping-particle" : "", "parse-names" : false, "suffix" : "" }, { "dropping-particle" : "", "family" : "Gaston", "given" : "Kevin J", "non-dropping-particle" : "", "parse-names" : false, "suffix" : "" }, { "dropping-particle" : "", "family" : "Lin", "given" : "Brenda B", "non-dropping-particle" : "", "parse-names" : false, "suffix" : "" }, { "dropping-particle" : "", "family" : "Dean", "given" : "Julie", "non-dropping-particle" : "", "parse-names" : false, "suffix" : "" }, { "dropping-particle" : "", "family" : "Barber", "given" : "Elizabeth", "non-dropping-particle" : "", "parse-names" : false, "suffix" : "" }, { "dropping-particle" : "", "family" : "Fuller", "given" : "Richard A", "non-dropping-particle" : "", "parse-names" : false, "suffix" : "" } ], "container-title" : "Nature: Scientific Reports", "id" : "ITEM-1", "issue" : "June", "issued" : { "date-parts" : [ [ "2016" ] ] }, "page" : "1-10", "publisher" : "Nature Publishing Group", "title" : "Health Benefits from Nature Experiences Depend on Dose", "type" : "article-journal" }, "suppress-author" : 1, "uris" : [ "http://www.mendeley.com/documents/?uuid=ddd1a1e9-bc1a-48de-ace3-a7486819bdbb" ] } ], "mendeley" : { "formattedCitation" : "(2016)", "plainTextFormattedCitation" : "(2016)", "previouslyFormattedCitation" :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(2016)</w:t>
      </w:r>
      <w:r w:rsidRPr="008608AA">
        <w:rPr>
          <w:rFonts w:eastAsia="Droid Sans Fallback"/>
        </w:rPr>
        <w:fldChar w:fldCharType="end"/>
      </w:r>
      <w:r w:rsidRPr="008608AA">
        <w:rPr>
          <w:rFonts w:eastAsia="Droid Sans Fallback"/>
        </w:rPr>
        <w:t xml:space="preserve"> have shown significant effects with 30 minutes per week of exposure to natural surroundings. There is strong evidence for a positive effect of the number of urban greenspaces on biodiversity; a relationship well established on the principle of MacArthur and Wilson’s Theory of Island Biogeography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"Macarthur", "given" : "Robert", "non-dropping-particle" : "", "parse-names" : false, "suffix" : "" }, { "dropping-particle" : "", "family" : "Wilson", "given" : "Edward O.", "non-dropping-particle" : "", "parse-names" : false, "suffix" : "" } ], "id" : "ITEM-1", "issued" : { "date-parts" : [ [ "1967" ] ] }, "publisher" : "Princeton University Press", "publisher-place" : "Princeton, New Jersey USA", "title" : "Theory of island biogeography", "type" : "book" }, "uris" : [ "http://www.mendeley.com/documents/?uuid=72f65bc7-a045-4d06-b395-fa6e3e38dd7f" ] } ], "mendeley" : { "formattedCitation" : "(Macarthur &amp; Wilson, 1967)", "plainTextFormattedCitation" : "(Macarthur &amp; Wilson, 1967)", "previouslyFormattedCitation" : "(Macarthur &amp; Wilson, 1967)"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(Macarthur &amp; Wilson, 1967)</w:t>
      </w:r>
      <w:r w:rsidRPr="008608AA">
        <w:rPr>
          <w:rFonts w:eastAsia="Droid Sans Fallback"/>
        </w:rPr>
        <w:fldChar w:fldCharType="end"/>
      </w:r>
      <w:r w:rsidRPr="008608AA">
        <w:rPr>
          <w:rFonts w:eastAsia="Droid Sans Fallback"/>
        </w:rPr>
        <w:t>. Indeed, the mathematical relationship between available habitat and species diversity has been described for a number of systems.</w:t>
      </w:r>
    </w:p>
    <w:p w14:paraId="51A9B961" w14:textId="02E2D940" w:rsidR="00490494" w:rsidRPr="008608AA" w:rsidRDefault="00490494" w:rsidP="005A0ED1">
      <w:pPr>
        <w:suppressAutoHyphens/>
        <w:rPr>
          <w:rFonts w:eastAsia="Droid Sans Fallback"/>
        </w:rPr>
      </w:pPr>
      <w:r w:rsidRPr="008608AA">
        <w:rPr>
          <w:rFonts w:eastAsia="Droid Sans Fallback"/>
        </w:rPr>
        <w:t xml:space="preserve"> </w:t>
      </w:r>
    </w:p>
    <w:p w14:paraId="773995C0" w14:textId="77777777" w:rsidR="00490494" w:rsidRPr="008608AA" w:rsidRDefault="00490494" w:rsidP="005A0ED1">
      <w:pPr>
        <w:suppressAutoHyphens/>
        <w:rPr>
          <w:rFonts w:eastAsia="Droid Sans Fallback"/>
        </w:rPr>
      </w:pPr>
      <w:r w:rsidRPr="008608AA">
        <w:rPr>
          <w:rFonts w:eastAsia="Droid Sans Fallback"/>
        </w:rPr>
        <w:t>As with most human endeavours, such as the development of agriculture and technological advances, urbanization has both significant benefits and costs. Urbanization is associated with increases in quality of life in terms of food availability, sanitation, and healthcare; it is also associated with environmental degradation, poverty, unemployment, and violence. It will take public discourse and development of sustainable development policies to insure maximization of benefits and minimization of costs.</w:t>
      </w:r>
    </w:p>
    <w:p w14:paraId="34B0D907" w14:textId="77777777" w:rsidR="007A224F" w:rsidRPr="008608AA" w:rsidRDefault="007A224F" w:rsidP="005A0ED1">
      <w:pPr>
        <w:suppressAutoHyphens/>
        <w:rPr>
          <w:rFonts w:eastAsia="Droid Sans Fallback"/>
        </w:rPr>
      </w:pPr>
    </w:p>
    <w:p w14:paraId="7732ECF2" w14:textId="77777777" w:rsidR="002C1747" w:rsidRPr="008608AA" w:rsidRDefault="00490494" w:rsidP="005A0ED1">
      <w:pPr>
        <w:suppressAutoHyphens/>
        <w:rPr>
          <w:rFonts w:eastAsia="Droid Sans Fallback"/>
        </w:rPr>
      </w:pPr>
      <w:r w:rsidRPr="008608AA">
        <w:rPr>
          <w:rFonts w:eastAsia="Droid Sans Fallback"/>
        </w:rPr>
        <w:t>As urbanization is one of the main causes of land use changes, reduction of the effect of this driver in urban areas themselves will require concerted effort in land use planning. Thus, various approaches within the Policy Reform and Great Transition archetypes hold promise for biodiversity conservation with respect to urbanization.</w:t>
      </w:r>
      <w:r w:rsidR="002C1747" w:rsidRPr="008608AA">
        <w:rPr>
          <w:rFonts w:eastAsia="Droid Sans Fallback"/>
        </w:rPr>
        <w:br w:type="page"/>
      </w:r>
    </w:p>
    <w:p w14:paraId="77B8E60A" w14:textId="77777777" w:rsidR="00490494" w:rsidRPr="008608AA" w:rsidRDefault="00490494" w:rsidP="005A0ED1">
      <w:pPr>
        <w:pStyle w:val="Heading3"/>
        <w:rPr>
          <w:rFonts w:eastAsia="Droid Sans Fallback"/>
        </w:rPr>
      </w:pPr>
      <w:bookmarkStart w:id="2062" w:name="_Toc466995094"/>
      <w:bookmarkStart w:id="2063" w:name="_Toc472342787"/>
      <w:bookmarkStart w:id="2064" w:name="_Toc482711181"/>
      <w:bookmarkStart w:id="2065" w:name="_Toc499256893"/>
      <w:bookmarkStart w:id="2066" w:name="_Toc502953640"/>
      <w:bookmarkStart w:id="2067" w:name="_Toc502954933"/>
      <w:bookmarkStart w:id="2068" w:name="_Toc502957740"/>
      <w:bookmarkStart w:id="2069" w:name="_Toc502957939"/>
      <w:bookmarkStart w:id="2070" w:name="_Toc502958093"/>
      <w:bookmarkStart w:id="2071" w:name="_Toc503293162"/>
      <w:bookmarkStart w:id="2072" w:name="_Toc503293760"/>
      <w:bookmarkStart w:id="2073" w:name="_Toc503294022"/>
      <w:bookmarkStart w:id="2074" w:name="_Toc503863415"/>
      <w:bookmarkStart w:id="2075" w:name="_Toc503863643"/>
      <w:bookmarkStart w:id="2076" w:name="_Toc517393411"/>
      <w:bookmarkStart w:id="2077" w:name="_Toc517719152"/>
      <w:bookmarkStart w:id="2078" w:name="_Toc517797109"/>
      <w:r w:rsidRPr="008608AA">
        <w:rPr>
          <w:rFonts w:eastAsia="Droid Sans Fallback"/>
        </w:rPr>
        <w:t>Cultivated areas (including cropping, intensive livestock farming, etc.)</w:t>
      </w:r>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p>
    <w:p w14:paraId="7F596D04" w14:textId="77777777" w:rsidR="005A0ED1" w:rsidRPr="008608AA" w:rsidRDefault="005A0ED1" w:rsidP="005A0ED1">
      <w:pPr>
        <w:rPr>
          <w:rFonts w:eastAsia="Droid Sans Fallback"/>
          <w:lang w:val="en-GB" w:eastAsia="es-CO"/>
        </w:rPr>
      </w:pPr>
    </w:p>
    <w:p w14:paraId="24B8301C" w14:textId="4DA11954" w:rsidR="005A0ED1" w:rsidRPr="008608AA" w:rsidRDefault="00345EF6" w:rsidP="005A0ED1">
      <w:pPr>
        <w:jc w:val="center"/>
        <w:rPr>
          <w:rFonts w:eastAsia="Droid Sans Fallback"/>
          <w:lang w:val="en-GB" w:eastAsia="es-CO"/>
        </w:rPr>
      </w:pPr>
      <w:r w:rsidRPr="008608AA">
        <w:rPr>
          <w:rFonts w:eastAsia="Droid Sans Fallback"/>
          <w:noProof/>
          <w:lang w:val="en-GB" w:eastAsia="en-GB"/>
        </w:rPr>
        <w:drawing>
          <wp:inline distT="0" distB="0" distL="0" distR="0" wp14:anchorId="3039D547" wp14:editId="25BC8E05">
            <wp:extent cx="5934075" cy="8553450"/>
            <wp:effectExtent l="0" t="0" r="9525" b="0"/>
            <wp:docPr id="78" name="Imagen 78" descr="C:\Users\Alejandro Valderrama\Downloads\Fig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3" descr="C:\Users\Alejandro Valderrama\Downloads\Fig5.17.jpg"/>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5934075" cy="8553450"/>
                    </a:xfrm>
                    <a:prstGeom prst="rect">
                      <a:avLst/>
                    </a:prstGeom>
                    <a:noFill/>
                    <a:ln>
                      <a:noFill/>
                    </a:ln>
                  </pic:spPr>
                </pic:pic>
              </a:graphicData>
            </a:graphic>
          </wp:inline>
        </w:drawing>
      </w:r>
    </w:p>
    <w:p w14:paraId="5986CCC3" w14:textId="77777777" w:rsidR="00340B68" w:rsidRPr="008608AA" w:rsidRDefault="00490494" w:rsidP="005A0ED1">
      <w:pPr>
        <w:suppressAutoHyphens/>
        <w:spacing w:before="240"/>
        <w:rPr>
          <w:rFonts w:eastAsia="Droid Sans Fallback"/>
        </w:rPr>
      </w:pPr>
      <w:r w:rsidRPr="008608AA">
        <w:rPr>
          <w:rFonts w:eastAsia="Droid Sans Fallback"/>
        </w:rPr>
        <w:t xml:space="preserve">The agricultural land in Latin America and the Caribbean showed one of the larger expansions in the past 50 years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"Martinelli", "given" : "L.A.", "non-dropping-particle" : "", "parse-names" : false, "suffix" : "" } ], "id" : "ITEM-1", "issued" : { "date-parts" : [ [ "2012" ] ] }, "number-of-pages" : "1-16", "title" : "Ecosystem Services and Latin America and Ecosystem Services and Agricultural Production in Latin America and Caribbean", "type" : "report" }, "uris" : [ "http://www.mendeley.com/documents/?uuid=8a6e506d-6e24-479f-9ab4-dd687d6415fc" ] } ], "mendeley" : { "formattedCitation" : "(Martinelli, 2012)", "plainTextFormattedCitation" : "(Martinelli, 2012)", "previouslyFormattedCitation" : "(Martinelli,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(Martinelli, 2012)</w:t>
      </w:r>
      <w:r w:rsidRPr="008608AA">
        <w:rPr>
          <w:rFonts w:eastAsia="Droid Sans Fallback"/>
        </w:rPr>
        <w:fldChar w:fldCharType="end"/>
      </w:r>
      <w:r w:rsidRPr="008608AA">
        <w:rPr>
          <w:rFonts w:eastAsia="Droid Sans Fallback"/>
        </w:rPr>
        <w:t xml:space="preserve">. The challenge the region faces is to meet the large potential for food, fiber and fuel production aligned with conservation of one of the larger and unique collections of biodiversity, on the planet. Most of the increase in production was associated to the expansion of extensive agriculture over forests and natural ecosystems areas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"Willaarts", "given" : "B.A.", "non-dropping-particle" : "", "parse-names" : false, "suffix" : "" }, { "dropping-particle" : "", "family" : "Salmoral", "given" : "G.", "non-dropping-particle" : "", "parse-names" : false, "suffix" : "" }, { "dropping-particle" : "", "family" : "Farinaci", "given" : "J.", "non-dropping-particle" : "", "parse-names" : false, "suffix" : "" }, { "dropping-particle" : "", "family" : "Sanz-S\u00e1nchez", "given" : "M.J.", "non-dropping-particle" : "", "parse-names" : false, "suffix" : "" } ], "container-title" : "Water for Food and Wellbeing in Latin America and the Caribbean. Social and Environmental Implications for a Globalized Economy", "editor" : [ { "dropping-particle" : "", "family" : "Willaarts", "given" : "B.A.", "non-dropping-particle" : "", "parse-names" : false, "suffix" : "" }, { "dropping-particle" : "", "family" : "Garrido", "given" : "A.", "non-dropping-particle" : "", "parse-names" : false, "suffix" : "" }, { "dropping-particle" : "", "family" : "Llamas", "given" : "M.R.", "non-dropping-particle" : "", "parse-names" : false, "suffix" : "" } ], "id" : "ITEM-1", "issued" : { "date-parts" : [ [ "2014" ] ] }, "page" : "55-80", "publisher" : "Routledge", "publisher-place" : "Oxon and New York", "title" : "Trends in land use and ecosystem services", "type" : "chapter" }, "uris" : [ "http://www.mendeley.com/documents/?uuid=bd2cd97a-d17c-4c66-a784-9378b94e9e87" ] } ], "mendeley" : { "formattedCitation" : "(Willaarts, Salmoral, Farinaci, &amp; Sanz-S\u00e1nchez, 2014)", "plainTextFormattedCitation" : "(Willaarts, Salmoral, Farinaci, &amp; Sanz-S\u00e1nchez, 2014)", "previouslyFormattedCitation" : "(Willaarts, Salmoral, Farinaci, &amp; Sanz-S\u00e1nchez, 2014)"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(Willaarts</w:t>
      </w:r>
      <w:r w:rsidRPr="008608AA">
        <w:rPr>
          <w:rFonts w:eastAsia="Droid Sans Fallback"/>
          <w:noProof/>
        </w:rPr>
        <w:t xml:space="preserve"> et al., 2014)</w:t>
      </w:r>
      <w:r w:rsidRPr="008608AA">
        <w:rPr>
          <w:rFonts w:eastAsia="Droid Sans Fallback"/>
        </w:rPr>
        <w:fldChar w:fldCharType="end"/>
      </w:r>
      <w:r w:rsidRPr="008608AA">
        <w:rPr>
          <w:rFonts w:eastAsia="Droid Sans Fallback"/>
        </w:rPr>
        <w:t xml:space="preserve">. In Brazil, one of the larger agricultural commodity producers in the regions, circa 20% of the Amazon rain forest and 50% of the dry forest (Cerrado) was lost due to the expansion of agriculture in the past 40 years </w:t>
      </w:r>
      <w:r w:rsidRPr="008608AA">
        <w:rPr>
          <w:rFonts w:eastAsia="Droid Sans Fallback"/>
        </w:rPr>
        <w:fldChar w:fldCharType="begin" w:fldLock="1"/>
      </w:r>
      <w:r w:rsidRPr="008608AA">
        <w:rPr>
          <w:rFonts w:eastAsia="Droid Sans Fallback"/>
        </w:rPr>
        <w:instrText>ADDIN CSL_CITATION { "citationItems" : [ { "id" : "ITEM-1", "itemData" : { "DOI" : "10.1111/j.1365-2486.2012.02782.x", "ISSN" : "13541013", "author" : [ { "dropping-particle" : "", "family" : "Aguiar", "given" : "Ana Paula Dutra", "non-dropping-particle" : "", "parse-names" : false, "suffix" : "" }, { "dropping-particle" : "", "family" : "Ometto", "given" : "Jean Pierre", "non-dropping-particle" : "", "parse-names" : false, "suffix" : "" }, { "dropping-particle" : "", "family" : "Nobre", "given" : "Carlos", "non-dropping-particle" : "", "parse-names" : false, "suffix" : "" }, { "dropping-particle" : "", "family" : "Lapola", "given" : "David Montenegro", "non-dropping-particle" : "", "parse-names" : false, "suffix" : "" }, { "dropping-particle" : "", "family" : "Almeida", "given" : "Claudio", "non-dropping-particle" : "", "parse-names" : false, "suffix" : "" }, { "dropping-particle" : "", "family" : "Vieira", "given" : "Ima C\u00e9lia", "non-dropping-particle" : "", "parse-names" : false, "suffix" : "" }, { "dropping-particle" : "", "family" : "Soares", "given" : "Jo\u00e3o Vianei", "non-dropping-particle" : "", "parse-names" : false, "suffix" : "" }, { "dropping-particle" : "", "family" : "Alvala", "given" : "Regina", "non-dropping-particle" : "", "parse-names" : false, "suffix" : "" }, { "dropping-particle" : "", "family" : "Saatchi", "given" : "Sassan", "non-dropping-particle" : "", "parse-names" : false, "suffix" : "" }, { "dropping-particle" : "", "family" : "Valeriano", "given" : "Dalton", "non-dropping-particle" : "", "parse-names" : false, "suffix" : "" }, { "dropping-particle" : "", "family" : "Castilla-Rubio", "given" : "Juan Carlos", "non-dropping-particle" : "", "parse-names" : false, "suffix" : "" } ], "container-title" : "Global Change Biology", "id" : "ITEM-1", "issue" : "11", "issued" : { "date-parts" : [ [ "2012", "11" ] ] }, "page" : "3346-3366", "title" : "Modeling the spatial and temporal heterogeneity of deforestation-driven carbon emissions: the INPE-EM framework applied to the Brazilian Amazon", "type" : "article-journal", "volume" : "18" }, "uris" : [ "http://www.mendeley.com/documents/?uuid=84630711-cd79-47bf-8a54-b78dbe0e03c0" ] }, { "id" : "ITEM-2", "itemData" : { "DOI" : "10.1007/s10584-012-0443-3", "ISSN" : "0165-0009", "author" : [ { "dropping-particle" : "", "family" : "Bustamante", "given" : "Mercedes M. C.", "non-dropping-particle" : "", "parse-names" : false, "suffix" : "" }, { "dropping-particle" : "", "family" : "Nobre", "given" : "Carlos A.", "non-dropping-particle" : "", "parse-names" : false, "suffix" : "" }, { "dropping-particle" : "", "family" : "Smeraldi", "given" : "Roberto", "non-dropping-particle" : "", "parse-names" : false, "suffix" : "" }, { "dropping-particle" : "", "family" : "Aguiar", "given" : "Ana P. D.", "non-dropping-particle" : "", "parse-names" : false, "suffix" : "" }, { "dropping-particle" : "", "family" : "Barioni", "given" : "Luis G.", "non-dropping-particle" : "", "parse-names" : false, "suffix" : "" }, { "dropping-particle" : "", "family" : "Ferreira", "given" : "Laerte G.", "non-dropping-particle" : "", "parse-names" : false, "suffix" : "" }, { "dropping-particle" : "", "family" : "Longo", "given" : "Karla", "non-dropping-particle" : "", "parse-names" : false, "suffix" : "" }, { "dropping-particle" : "", "family" : "May", "given" : "Peter", "non-dropping-particle" : "", "parse-names" : false, "suffix" : "" }, { "dropping-particle" : "", "family" : "Pinto", "given" : "Alexandre S.", "non-dropping-particle" : "", "parse-names" : false, "suffix" : "" }, { "dropping-particle" : "", "family" : "Ometto", "given" : "Jean P. H. B.", "non-dropping-particle" : "", "parse-names" : false, "suffix" : "" } ], "container-title" : "Climatic Change", "id" : "ITEM-2", "issue" : "3-4", "issued" : { "date-parts" : [ [ "2012", "12", "17" ] ] }, "page" : "559-577", "title" : "Estimating greenhouse gas emissions from cattle raising in Brazil", "type" : "article-journal", "volume" : "115" }, "uris" : [ "http://www.mendeley.com/documents/?uuid=c606061d-a4b7-4fb0-9836-4d23a35a7ef2" ] } ], "mendeley" : { "formattedCitation" : "(A. P. D. Aguiar et al., 2012; Bustamante et al., 2012)", "plainTextFormattedCitation" : "(A. P. D. Aguiar et al., 2012; Bustamante et al., 2012)", "previouslyFormattedCitation" : "(A. P. D. Aguiar et al., 2012; Bustamante et al., 2012)"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w:t>
      </w:r>
      <w:r w:rsidRPr="008608AA">
        <w:rPr>
          <w:rFonts w:eastAsia="Droid Sans Fallback"/>
          <w:noProof/>
        </w:rPr>
        <w:t>Aguiar et al., 2012; Bustamante et al., 2012)</w:t>
      </w:r>
      <w:r w:rsidRPr="008608AA">
        <w:rPr>
          <w:rFonts w:eastAsia="Droid Sans Fallback"/>
        </w:rPr>
        <w:fldChar w:fldCharType="end"/>
      </w:r>
      <w:r w:rsidRPr="008608AA">
        <w:rPr>
          <w:rFonts w:eastAsia="Droid Sans Fallback"/>
        </w:rPr>
        <w:t xml:space="preserve">. Also, pressures over the Chaco area (Bolivia, Paraguay and Argentina) due to increase of grain and beef production is critical. Latin America and the Caribbean has a key role in the international agriculture products market, as a leading exporter and producer of soybean, sugar, coffee, fruits, poultry, beef and bio-ethanol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"Martinelli", "given" : "L.A.", "non-dropping-particle" : "", "parse-names" : false, "suffix" : "" } ], "id" : "ITEM-1", "issued" : { "date-parts" : [ [ "2012" ] ] }, "number-of-pages" : "1-16", "title" : "Ecosystem Services and Latin America and Ecosystem Services and Agricultural Production in Latin America and Caribbean", "type" : "report" }, "uris" : [ "http://www.mendeley.com/documents/?uuid=8a6e506d-6e24-479f-9ab4-dd687d6415fc" ] } ], "mendeley" : { "formattedCitation" : "(Martinelli, 2012)", "plainTextFormattedCitation" : "(Martinelli, 2012)", "previouslyFormattedCitation" : "(Martinelli,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(Martinelli, 2012)</w:t>
      </w:r>
      <w:r w:rsidRPr="008608AA">
        <w:rPr>
          <w:rFonts w:eastAsia="Droid Sans Fallback"/>
        </w:rPr>
        <w:fldChar w:fldCharType="end"/>
      </w:r>
      <w:r w:rsidRPr="008608AA">
        <w:rPr>
          <w:rFonts w:eastAsia="Droid Sans Fallback"/>
        </w:rPr>
        <w:t xml:space="preserve">. The greenhouse gases emissions portfolio in the region is strongly centered in process of land cover change (deforestation, forest degradation, land degradation) </w:t>
      </w:r>
      <w:r w:rsidRPr="008608AA">
        <w:rPr>
          <w:rFonts w:eastAsia="Droid Sans Fallback"/>
        </w:rPr>
        <w:fldChar w:fldCharType="begin" w:fldLock="1"/>
      </w:r>
      <w:r w:rsidRPr="008608AA">
        <w:rPr>
          <w:rFonts w:eastAsia="Droid Sans Fallback"/>
        </w:rPr>
        <w:instrText>ADDIN CSL_CITATION { "citationItems" : [ { "id" : "ITEM-1", "itemData" : { "DOI" : "10.1111/j.1365-2486.2012.02782.x", "ISSN" : "13541013", "author" : [ { "dropping-particle" : "", "family" : "Aguiar", "given" : "Ana Paula Dutra", "non-dropping-particle" : "", "parse-names" : false, "suffix" : "" }, { "dropping-particle" : "", "family" : "Ometto", "given" : "Jean Pierre", "non-dropping-particle" : "", "parse-names" : false, "suffix" : "" }, { "dropping-particle" : "", "family" : "Nobre", "given" : "Carlos", "non-dropping-particle" : "", "parse-names" : false, "suffix" : "" }, { "dropping-particle" : "", "family" : "Lapola", "given" : "David Montenegro", "non-dropping-particle" : "", "parse-names" : false, "suffix" : "" }, { "dropping-particle" : "", "family" : "Almeida", "given" : "Claudio", "non-dropping-particle" : "", "parse-names" : false, "suffix" : "" }, { "dropping-particle" : "", "family" : "Vieira", "given" : "Ima C\u00e9lia", "non-dropping-particle" : "", "parse-names" : false, "suffix" : "" }, { "dropping-particle" : "", "family" : "Soares", "given" : "Jo\u00e3o Vianei", "non-dropping-particle" : "", "parse-names" : false, "suffix" : "" }, { "dropping-particle" : "", "family" : "Alvala", "given" : "Regina", "non-dropping-particle" : "", "parse-names" : false, "suffix" : "" }, { "dropping-particle" : "", "family" : "Saatchi", "given" : "Sassan", "non-dropping-particle" : "", "parse-names" : false, "suffix" : "" }, { "dropping-particle" : "", "family" : "Valeriano", "given" : "Dalton", "non-dropping-particle" : "", "parse-names" : false, "suffix" : "" }, { "dropping-particle" : "", "family" : "Castilla-Rubio", "given" : "Juan Carlos", "non-dropping-particle" : "", "parse-names" : false, "suffix" : "" } ], "container-title" : "Global Change Biology", "id" : "ITEM-1", "issue" : "11", "issued" : { "date-parts" : [ [ "2012", "11" ] ] }, "page" : "3346-3366", "title" : "Modeling the spatial and temporal heterogeneity of deforestation-driven carbon emissions: the INPE-EM framework applied to the Brazilian Amazon", "type" : "article-journal", "volume" : "18" }, "uris" : [ "http://www.mendeley.com/documents/?uuid=84630711-cd79-47bf-8a54-b78dbe0e03c0" ] } ], "mendeley" : { "formattedCitation" : "(A. P. D. Aguiar et al., 2012)", "plainTextFormattedCitation" : "(A. P. D. Aguiar et al., 2012)", "previouslyFormattedCitation" : "(A. P. D. Aguiar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(Aguiar et al., 2012)</w:t>
      </w:r>
      <w:r w:rsidRPr="008608AA">
        <w:rPr>
          <w:rFonts w:eastAsia="Droid Sans Fallback"/>
        </w:rPr>
        <w:fldChar w:fldCharType="end"/>
      </w:r>
      <w:r w:rsidRPr="008608AA">
        <w:rPr>
          <w:rFonts w:eastAsia="Droid Sans Fallback"/>
        </w:rPr>
        <w:t xml:space="preserve"> and land use by agriculture and cattle ranching. According to Sy et al. </w:t>
      </w:r>
      <w:r w:rsidRPr="008608AA">
        <w:rPr>
          <w:rFonts w:eastAsia="Droid Sans Fallback"/>
        </w:rPr>
        <w:fldChar w:fldCharType="begin" w:fldLock="1"/>
      </w:r>
      <w:r w:rsidRPr="008608AA">
        <w:rPr>
          <w:rFonts w:eastAsia="Droid Sans Fallback"/>
        </w:rPr>
        <w:instrText>ADDIN CSL_CITATION { "citationItems" : [ { "id" : "ITEM-1", "itemData" : { "DOI" : "10.1088/1748-9326/10/12/124004", "ISSN" : "1748-9326", "author" : [ { "dropping-particle" : "De", "family" : "Sy", "given" : "V", "non-dropping-particle" : "", "parse-names" : false, "suffix" : "" }, { "dropping-particle" : "", "family" : "Herold", "given" : "M", "non-dropping-particle" : "", "parse-names" : false, "suffix" : "" }, { "dropping-particle" : "", "family" : "Achard", "given" : "F", "non-dropping-particle" : "", "parse-names" : false, "suffix" : "" }, { "dropping-particle" : "", "family" : "Beuchle", "given" : "R", "non-dropping-particle" : "", "parse-names" : false, "suffix" : "" }, { "dropping-particle" : "", "family" : "Clevers", "given" : "J G P W", "non-dropping-particle" : "", "parse-names" : false, "suffix" : "" }, { "dropping-particle" : "", "family" : "Lindquist", "given" : "E", "non-dropping-particle" : "", "parse-names" : false, "suffix" : "" }, { "dropping-particle" : "", "family" : "Verchot", "given" : "L", "non-dropping-particle" : "", "parse-names" : false, "suffix" : "" } ], "container-title" : "Environmental Research Letters", "id" : "ITEM-1", "issue" : "12", "issued" : { "date-parts" : [ [ "2015", "12", "1" ] ] }, "page" : "124004", "publisher" : "IOP Publishing", "title" : "Land use patterns and related carbon losses following deforestation in South America", "type" : "article-journal", "volume" : "10" }, "suppress-author" : 1, "uris" : [ "http://www.mendeley.com/documents/?uuid=3ab41c2a-1951-3c1c-9bc5-edc6d97283c6" ] } ], "mendeley" : { "formattedCitation" : "(2015)", "plainTextFormattedCitation" : "(2015)", "previouslyFormattedCitation" :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(2015)</w:t>
      </w:r>
      <w:r w:rsidRPr="008608AA">
        <w:rPr>
          <w:rFonts w:eastAsia="Droid Sans Fallback"/>
        </w:rPr>
        <w:fldChar w:fldCharType="end"/>
      </w:r>
      <w:r w:rsidRPr="008608AA">
        <w:rPr>
          <w:rFonts w:eastAsia="Droid Sans Fallback"/>
        </w:rPr>
        <w:t xml:space="preserve">, analyzing the 2010 global remote sensing survey of the FAO - Global Forest Resources Assessment, pasture was responsible for more the 70% deforestation in Northern Argentina, Western Paraguay, and eastern portion of the Brazilian Amazon (the arc of deforestation), whilst deforestation driven by commercial cropland (12-14%) had an increased pattern in time, and the hotspots found in Brazil (south western Amazon), Northern Argentina, Eastern Paraguay and Central Bolivia. In Brazil, Argentina and Mexico agriculture has already surpassed the emissions derived from deforestation (UNFCCC). Broader data published by </w:t>
      </w:r>
      <w:r w:rsidRPr="008608AA">
        <w:rPr>
          <w:rFonts w:eastAsia="Droid Sans Fallback"/>
        </w:rPr>
        <w:fldChar w:fldCharType="begin" w:fldLock="1"/>
      </w:r>
      <w:r w:rsidRPr="008608AA">
        <w:rPr>
          <w:rFonts w:eastAsia="Droid Sans Fallback"/>
        </w:rPr>
        <w:instrText>ADDIN CSL_CITATION { "citationItems" : [ { "id" : "ITEM-1", "itemData" : { "DOI" : "10.1088/1748-9326/10/3/034017", "ISSN" : "1748-9326", "author" : [ { "dropping-particle" : "", "family" : "Graesser", "given" : "Jordan", "non-dropping-particle" : "", "parse-names" : false, "suffix" : "" }, { "dropping-particle" : "", "family" : "Aide", "given" : "T Mitchell", "non-dropping-particle" : "", "parse-names" : false, "suffix" : "" }, { "dropping-particle" : "", "family" : "Grau", "given" : "H Ricardo", "non-dropping-particle" : "", "parse-names" : false, "suffix" : "" }, { "dropping-particle" : "", "family" : "Ramankutty", "given" : "Navin", "non-dropping-particle" : "", "parse-names" : false, "suffix" : "" } ], "container-title" : "Environmental Research Letters", "id" : "ITEM-1", "issue" : "3", "issued" : { "date-parts" : [ [ "2015", "3", "1" ] ] }, "page" : "1748-9326", "publisher" : "IOP Publishing", "title" : "Cropland/pastureland dynamics and the slowdown of deforestation in Latin America", "type" : "article-journal", "volume" : "10" }, "uris" : [ "http://www.mendeley.com/documents/?uuid=b4c4d250-bbe6-3fe6-a16d-4a63677f5069" ] } ], "mendeley" : { "formattedCitation" : "(Graesser, Aide, Grau, &amp; Ramankutty, 2015)", "plainTextFormattedCitation" : "(Graesser, Aide, Grau, &amp; Ramankutty, 2015)", "previouslyFormattedCitation" : "(Graesser, Aide, Grau, &amp; Ramankutty, 2015)"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(Graesser</w:t>
      </w:r>
      <w:r w:rsidRPr="008608AA">
        <w:rPr>
          <w:rFonts w:eastAsia="Droid Sans Fallback"/>
          <w:noProof/>
        </w:rPr>
        <w:t xml:space="preserve"> et al., 2015)</w:t>
      </w:r>
      <w:r w:rsidRPr="008608AA">
        <w:rPr>
          <w:rFonts w:eastAsia="Droid Sans Fallback"/>
        </w:rPr>
        <w:fldChar w:fldCharType="end"/>
      </w:r>
      <w:r w:rsidRPr="008608AA">
        <w:rPr>
          <w:rFonts w:eastAsia="Droid Sans Fallback"/>
        </w:rPr>
        <w:t xml:space="preserve"> indicate that, for the entire Latin American region, 17% and 57% of forest replacement was due to new cropland and new pastureland.</w:t>
      </w:r>
      <w:r w:rsidR="00340B68" w:rsidRPr="008608AA">
        <w:rPr>
          <w:rFonts w:eastAsia="Droid Sans Fallback"/>
        </w:rPr>
        <w:t xml:space="preserve"> </w:t>
      </w:r>
    </w:p>
    <w:p w14:paraId="5A5263B0" w14:textId="236A4D67" w:rsidR="002C1747" w:rsidRPr="008608AA" w:rsidRDefault="00490494" w:rsidP="005A0ED1">
      <w:pPr>
        <w:suppressAutoHyphens/>
        <w:spacing w:before="240"/>
        <w:rPr>
          <w:rFonts w:eastAsia="Droid Sans Fallback"/>
        </w:rPr>
      </w:pPr>
      <w:r w:rsidRPr="008608AA">
        <w:rPr>
          <w:rFonts w:eastAsia="Droid Sans Fallback"/>
        </w:rPr>
        <w:t xml:space="preserve">The agricultural expansion and production varies strongly in the region, and production has distinct level of cropping efficiency and intensity in different countries and biomes. Thus, intensification and extensification processes have driven the agriculture expansion in the region in the past decades. Most commoditized agriculture is highly technological and is related to private and commercial companies, but small holder agriculture plays a critical role on food production at local and regional scale </w:t>
      </w:r>
      <w:r w:rsidRPr="008608AA">
        <w:rPr>
          <w:rFonts w:eastAsia="Droid Sans Fallback"/>
        </w:rPr>
        <w:fldChar w:fldCharType="begin" w:fldLock="1"/>
      </w:r>
      <w:r w:rsidRPr="008608AA">
        <w:rPr>
          <w:rFonts w:eastAsia="Droid Sans Fallback"/>
        </w:rPr>
        <w:instrText>ADDIN CSL_CITATION { "citationItems" : [ { "id" : "ITEM-1", "itemData" : { "DOI" : "10.1016/J.COSUST.2017.01.015", "ISSN" : "1877-3435", "author" : [ { "dropping-particle" : "", "family" : "Boillat", "given" : "S", "non-dropping-particle" : "", "parse-names" : false, "suffix" : "" }, { "dropping-particle" : "", "family" : "Scarpa", "given" : "FM", "non-dropping-particle" : "", "parse-names" : false, "suffix" : "" }, { "dropping-particle" : "", "family" : "Robson", "given" : "JP", "non-dropping-particle" : "", "parse-names" : false, "suffix" : "" }, { "dropping-particle" : "", "family" : "Gasparri", "given" : "I", "non-dropping-particle" : "", "parse-names" : false, "suffix" : "" }, { "dropping-particle" : "", "family" : "Aide", "given" : "TM", "non-dropping-particle" : "", "parse-names" : false, "suffix" : "" }, { "dropping-particle" : "", "family" : "Aguiar", "given" : "APD", "non-dropping-particle" : "", "parse-names" : false, "suffix" : "" }, { "dropping-particle" : "", "family" : "Anderson", "given" : "LO", "non-dropping-particle" : "", "parse-names" : false, "suffix" : "" }, { "dropping-particle" : "", "family" : "Batistella", "given" : "M", "non-dropping-particle" : "", "parse-names" : false, "suffix" : "" }, { "dropping-particle" : "", "family" : "Fonseca", "given" : "MG", "non-dropping-particle" : "", "parse-names" : false, "suffix" : "" }, { "dropping-particle" : "", "family" : "Futemma", "given" : "C", "non-dropping-particle" : "", "parse-names" : false, "suffix" : "" }, { "dropping-particle" : "", "family" : "Grau", "given" : "HR", "non-dropping-particle" : "", "parse-names" : false, "suffix" : "" }, { "dropping-particle" : "", "family" : "Mathez-Stiefel", "given" : "S-L", "non-dropping-particle" : "", "parse-names" : false, "suffix" : "" }, { "dropping-particle" : "", "family" : "Metzger", "given" : "JP", "non-dropping-particle" : "", "parse-names" : false, "suffix" : "" }, { "dropping-particle" : "", "family" : "Ometto", "given" : "JPHB", "non-dropping-particle" : "", "parse-names" : false, "suffix" : "" }, { "dropping-particle" : "", "family" : "Pedlowski", "given" : "MA", "non-dropping-particle" : "", "parse-names" : false, "suffix" : "" }, { "dropping-particle" : "", "family" : "Perz", "given" : "SG", "non-dropping-particle" : "", "parse-names" : false, "suffix" : "" }, { "dropping-particle" : "", "family" : "Robiglio", "given" : "V", "non-dropping-particle" : "", "parse-names" : false, "suffix" : "" }, { "dropping-particle" : "", "family" : "Soler", "given" : "L", "non-dropping-particle" : "", "parse-names" : false, "suffix" : "" }, { "dropping-particle" : "", "family" : "Vieira", "given" : "I", "non-dropping-particle" : "", "parse-names" : false, "suffix" : "" }, { "dropping-particle" : "", "family" : "Brondizio", "given" : "ES", "non-dropping-particle" : "", "parse-names" : false, "suffix" : "" } ], "container-title" : "Current Opinion in Environmental Sustainability", "id" : "ITEM-1", "issued" : { "date-parts" : [ [ "2017", "6", "1" ] ] }, "page" : "37-46", "publisher" : "Elsevier", "title" : "Land system science in Latin America: challenges and perspectives", "type" : "article-journal", "volume" : "26-27" }, "uris" : [ "http://www.mendeley.com/documents/?uuid=cce7fb44-1a82-36af-95c3-573ca81101a4" ] } ], "mendeley" : { "formattedCitation" : "(Boillat et al., 2017)", "plainTextFormattedCitation" : "(Boillat et al., 2017)", "previouslyFormattedCitation" : "(Boillat et al., 2017)"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(Boillat et al., 2017)</w:t>
      </w:r>
      <w:r w:rsidRPr="008608AA">
        <w:rPr>
          <w:rFonts w:eastAsia="Droid Sans Fallback"/>
        </w:rPr>
        <w:fldChar w:fldCharType="end"/>
      </w:r>
      <w:r w:rsidRPr="008608AA">
        <w:rPr>
          <w:rFonts w:eastAsia="Droid Sans Fallback"/>
        </w:rPr>
        <w:t>. Land tenure and demography in the region also play a role in the dynamic of land use change processes. The demographic configuration of the Latin America and the Caribbean region has low population density in the rural area and one of the most urbanized regions on the planet (</w:t>
      </w:r>
      <w:r w:rsidR="00847F60" w:rsidRPr="008608AA">
        <w:rPr>
          <w:rFonts w:eastAsia="Droid Sans Fallback"/>
        </w:rPr>
        <w:t>e.g.</w:t>
      </w:r>
      <w:r w:rsidRPr="008608AA">
        <w:rPr>
          <w:rFonts w:eastAsia="Droid Sans Fallback"/>
        </w:rPr>
        <w:t xml:space="preserve"> almost 80% of the population lives in cities) </w:t>
      </w:r>
      <w:r w:rsidRPr="008608AA">
        <w:rPr>
          <w:rFonts w:eastAsia="Droid Sans Fallback"/>
        </w:rPr>
        <w:fldChar w:fldCharType="begin" w:fldLock="1"/>
      </w:r>
      <w:r w:rsidRPr="008608AA">
        <w:rPr>
          <w:rFonts w:eastAsia="Droid Sans Fallback"/>
        </w:rPr>
        <w:instrText>ADDIN CSL_CITATION { "citationItems" : [ { "id" : "ITEM-1", "itemData" : { "DOI" : "10.1016/j.parkreldis.2015.02.017", "ISBN" : "9789221295709", "ISSN" : "13538020", "PMID" : "11995146", "author" : [ { "dropping-particle" : "", "family" : "UNEP", "given" : "", "non-dropping-particle" : "", "parse-names" : false, "suffix" : "" } ], "id" : "ITEM-1", "issued" : { "date-parts" : [ [ "2014", "5" ] ] }, "title" : "Annual Report 2014", "type" : "report" }, "uris" : [ "http://www.mendeley.com/documents/?uuid=1579c658-4a64-4075-a7d2-d9e2bc3fbfa5" ] } ], "mendeley" : { "formattedCitation" : "(UNEP, 2014)", "plainTextFormattedCitation" : "(UNEP, 2014)", "previouslyFormattedCitation" : "(UNEP,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(UNEP, 2014)</w:t>
      </w:r>
      <w:r w:rsidRPr="008608AA">
        <w:rPr>
          <w:rFonts w:eastAsia="Droid Sans Fallback"/>
        </w:rPr>
        <w:fldChar w:fldCharType="end"/>
      </w:r>
      <w:r w:rsidRPr="008608AA">
        <w:rPr>
          <w:rFonts w:eastAsia="Droid Sans Fallback"/>
        </w:rPr>
        <w:t xml:space="preserve">. Land tenure is a critical issue. In Mexico, Bonilla-Moheno et al. </w:t>
      </w:r>
      <w:r w:rsidRPr="008608AA">
        <w:rPr>
          <w:rFonts w:eastAsia="Droid Sans Fallback"/>
        </w:rPr>
        <w:fldChar w:fldCharType="begin" w:fldLock="1"/>
      </w:r>
      <w:r w:rsidRPr="008608AA">
        <w:rPr>
          <w:rFonts w:eastAsia="Droid Sans Fallback"/>
        </w:rPr>
        <w:instrText>ADDIN CSL_CITATION { "citationItems" : [ { "id" : "ITEM-1", "itemData" : { "DOI" : "10.1016/j.landusepol.2012.04.002", "ISSN" : "02648377", "author" : [ { "dropping-particle" : "", "family" : "Bonilla-Moheno", "given" : "Martha", "non-dropping-particle" : "", "parse-names" : false, "suffix" : "" }, { "dropping-particle" : "", "family" : "Redo", "given" : "Daniel J.", "non-dropping-particle" : "", "parse-names" : false, "suffix" : "" }, { "dropping-particle" : "", "family" : "Aide", "given" : "T. Mitchell", "non-dropping-particle" : "", "parse-names" : false, "suffix" : "" }, { "dropping-particle" : "", "family" : "Clark", "given" : "Matthew L.", "non-dropping-particle" : "", "parse-names" : false, "suffix" : "" }, { "dropping-particle" : "", "family" : "Grau", "given" : "H. Ricardo", "non-dropping-particle" : "", "parse-names" : false, "suffix" : "" } ], "container-title" : "Land Use Policy", "id" : "ITEM-1", "issue" : "1", "issued" : { "date-parts" : [ [ "2013", "1" ] ] }, "page" : "355-364", "title" : "Vegetation change and land tenure in Mexico: A country-wide analysis", "type" : "article-journal", "volume" : "30" }, "suppress-author" : 1, "uris" : [ "http://www.mendeley.com/documents/?uuid=66a6a11c-4566-4170-88f7-e4b8ba05ffcc" ] } ], "mendeley" : { "formattedCitation" : "(2013)", "plainTextFormattedCitation" : "(2013)", "previouslyFormattedCitation" :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(2013)</w:t>
      </w:r>
      <w:r w:rsidRPr="008608AA">
        <w:rPr>
          <w:rFonts w:eastAsia="Droid Sans Fallback"/>
        </w:rPr>
        <w:fldChar w:fldCharType="end"/>
      </w:r>
      <w:r w:rsidRPr="008608AA">
        <w:rPr>
          <w:rFonts w:eastAsia="Droid Sans Fallback"/>
        </w:rPr>
        <w:t xml:space="preserve"> showed differences in woody cover, in natural vegetation landscape units, from common-pool systems of land tenure, in contrast to communal and private regimes, where the latter ameliorate, reducing the deforestation process.</w:t>
      </w:r>
      <w:r w:rsidR="002C1747" w:rsidRPr="008608AA">
        <w:rPr>
          <w:rFonts w:eastAsia="Droid Sans Fallback"/>
        </w:rPr>
        <w:br w:type="page"/>
      </w:r>
    </w:p>
    <w:p w14:paraId="25C732BA" w14:textId="3587BF12" w:rsidR="00490494" w:rsidRPr="008608AA" w:rsidRDefault="00490494" w:rsidP="005A0ED1">
      <w:pPr>
        <w:pStyle w:val="Heading3"/>
        <w:rPr>
          <w:rFonts w:eastAsia="Droid Sans Fallback"/>
        </w:rPr>
      </w:pPr>
      <w:bookmarkStart w:id="2079" w:name="_Toc472342789"/>
      <w:bookmarkStart w:id="2080" w:name="_Toc482711182"/>
      <w:bookmarkStart w:id="2081" w:name="_Toc499256894"/>
      <w:bookmarkStart w:id="2082" w:name="_Toc502953641"/>
      <w:bookmarkStart w:id="2083" w:name="_Toc502954934"/>
      <w:bookmarkStart w:id="2084" w:name="_Toc502957741"/>
      <w:bookmarkStart w:id="2085" w:name="_Toc502957940"/>
      <w:bookmarkStart w:id="2086" w:name="_Toc502958094"/>
      <w:bookmarkStart w:id="2087" w:name="_Toc503293163"/>
      <w:bookmarkStart w:id="2088" w:name="_Toc503293761"/>
      <w:bookmarkStart w:id="2089" w:name="_Toc503294023"/>
      <w:bookmarkStart w:id="2090" w:name="_Toc503863416"/>
      <w:bookmarkStart w:id="2091" w:name="_Toc503863644"/>
      <w:bookmarkStart w:id="2092" w:name="_Toc517393412"/>
      <w:bookmarkStart w:id="2093" w:name="_Toc517719153"/>
      <w:bookmarkStart w:id="2094" w:name="_Toc517797110"/>
      <w:r w:rsidRPr="008608AA">
        <w:rPr>
          <w:rFonts w:eastAsia="Droid Sans Fallback"/>
        </w:rPr>
        <w:t xml:space="preserve">Inland </w:t>
      </w:r>
      <w:r w:rsidR="007D03FB" w:rsidRPr="008608AA">
        <w:rPr>
          <w:rFonts w:eastAsia="Droid Sans Fallback"/>
        </w:rPr>
        <w:t>s</w:t>
      </w:r>
      <w:r w:rsidRPr="008608AA">
        <w:rPr>
          <w:rFonts w:eastAsia="Droid Sans Fallback"/>
        </w:rPr>
        <w:t xml:space="preserve">urface </w:t>
      </w:r>
      <w:r w:rsidR="007D03FB" w:rsidRPr="008608AA">
        <w:rPr>
          <w:rFonts w:eastAsia="Droid Sans Fallback"/>
        </w:rPr>
        <w:t>w</w:t>
      </w:r>
      <w:r w:rsidRPr="008608AA">
        <w:rPr>
          <w:rFonts w:eastAsia="Droid Sans Fallback"/>
        </w:rPr>
        <w:t xml:space="preserve">aters and </w:t>
      </w:r>
      <w:r w:rsidR="007D03FB" w:rsidRPr="008608AA">
        <w:rPr>
          <w:rFonts w:eastAsia="Droid Sans Fallback"/>
        </w:rPr>
        <w:t>w</w:t>
      </w:r>
      <w:r w:rsidRPr="008608AA">
        <w:rPr>
          <w:rFonts w:eastAsia="Droid Sans Fallback"/>
        </w:rPr>
        <w:t xml:space="preserve">ater </w:t>
      </w:r>
      <w:r w:rsidR="007D03FB" w:rsidRPr="008608AA">
        <w:rPr>
          <w:rFonts w:eastAsia="Droid Sans Fallback"/>
        </w:rPr>
        <w:t>b</w:t>
      </w:r>
      <w:r w:rsidRPr="008608AA">
        <w:rPr>
          <w:rFonts w:eastAsia="Droid Sans Fallback"/>
        </w:rPr>
        <w:t>odies/</w:t>
      </w:r>
      <w:r w:rsidR="007D03FB" w:rsidRPr="008608AA">
        <w:rPr>
          <w:rFonts w:eastAsia="Droid Sans Fallback"/>
        </w:rPr>
        <w:t>f</w:t>
      </w:r>
      <w:r w:rsidRPr="008608AA">
        <w:rPr>
          <w:rFonts w:eastAsia="Droid Sans Fallback"/>
        </w:rPr>
        <w:t xml:space="preserve">reshwater </w:t>
      </w:r>
      <w:r w:rsidR="0095672D" w:rsidRPr="008608AA">
        <w:rPr>
          <w:rFonts w:eastAsia="Droid Sans Fallback"/>
        </w:rPr>
        <w:t>unit of analysis</w:t>
      </w:r>
      <w:r w:rsidRPr="008608AA">
        <w:rPr>
          <w:rFonts w:eastAsia="Droid Sans Fallback"/>
        </w:rPr>
        <w:t>- The case of multiple demands/multiple drivers on natural capital</w:t>
      </w:r>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p>
    <w:p w14:paraId="63AB37AD" w14:textId="77777777" w:rsidR="005A0ED1" w:rsidRPr="008608AA" w:rsidRDefault="005A0ED1" w:rsidP="005A0ED1">
      <w:pPr>
        <w:rPr>
          <w:rFonts w:eastAsia="Droid Sans Fallback"/>
          <w:lang w:val="en-GB" w:eastAsia="es-CO"/>
        </w:rPr>
      </w:pPr>
    </w:p>
    <w:p w14:paraId="3A83CF66" w14:textId="75F6B2E9" w:rsidR="005A0ED1" w:rsidRPr="008608AA" w:rsidRDefault="00345EF6" w:rsidP="005A0ED1">
      <w:pPr>
        <w:jc w:val="center"/>
        <w:rPr>
          <w:rFonts w:eastAsia="Droid Sans Fallback"/>
          <w:lang w:val="en-GB" w:eastAsia="es-CO"/>
        </w:rPr>
      </w:pPr>
      <w:r w:rsidRPr="008608AA">
        <w:rPr>
          <w:rFonts w:eastAsia="Droid Sans Fallback"/>
          <w:noProof/>
          <w:lang w:val="en-GB" w:eastAsia="en-GB"/>
        </w:rPr>
        <w:drawing>
          <wp:inline distT="0" distB="0" distL="0" distR="0" wp14:anchorId="5FBA916A" wp14:editId="666F23CA">
            <wp:extent cx="5577238" cy="8039100"/>
            <wp:effectExtent l="0" t="0" r="4445" b="0"/>
            <wp:docPr id="79" name="Imagen 79" descr="C:\Users\Alejandro Valderrama\Downloads\fIg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5" descr="C:\Users\Alejandro Valderrama\Downloads\fIg5.18.jpg"/>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5577238" cy="8039100"/>
                    </a:xfrm>
                    <a:prstGeom prst="rect">
                      <a:avLst/>
                    </a:prstGeom>
                    <a:noFill/>
                    <a:ln>
                      <a:noFill/>
                    </a:ln>
                  </pic:spPr>
                </pic:pic>
              </a:graphicData>
            </a:graphic>
          </wp:inline>
        </w:drawing>
      </w:r>
    </w:p>
    <w:p w14:paraId="19B8C127" w14:textId="77777777" w:rsidR="001D4C68" w:rsidRPr="008608AA" w:rsidRDefault="00490494" w:rsidP="005A0ED1">
      <w:pPr>
        <w:suppressAutoHyphens/>
        <w:spacing w:before="240"/>
        <w:rPr>
          <w:rFonts w:eastAsia="Droid Sans Fallback"/>
        </w:rPr>
      </w:pPr>
      <w:r w:rsidRPr="008608AA">
        <w:rPr>
          <w:rFonts w:eastAsia="Droid Sans Fallback"/>
        </w:rPr>
        <w:t>Water is fundamental to all living things, the chemistry of life occurs in aqueous solution. Whether an organism occurs in terrestrial, sub-terrestrial, marine or freshwater environments it is dependent on water. Thus, all of biodiversity, as well as the NCP stemming from that diversity, link to water. While marine systems dominate the globe in areal extent, human well-being is, arguably, more closely linked to freshwater, if for no other reason than the human need for drinking water.</w:t>
      </w:r>
      <w:r w:rsidR="001D4C68" w:rsidRPr="008608AA">
        <w:rPr>
          <w:rFonts w:eastAsia="Droid Sans Fallback"/>
        </w:rPr>
        <w:t xml:space="preserve"> </w:t>
      </w:r>
    </w:p>
    <w:p w14:paraId="7DD061FC" w14:textId="77777777" w:rsidR="001D4C68" w:rsidRPr="008608AA" w:rsidRDefault="00490494" w:rsidP="005A0ED1">
      <w:pPr>
        <w:suppressAutoHyphens/>
        <w:spacing w:before="240"/>
        <w:rPr>
          <w:rFonts w:eastAsia="Droid Sans Fallback"/>
        </w:rPr>
      </w:pPr>
      <w:r w:rsidRPr="008608AA">
        <w:rPr>
          <w:rFonts w:eastAsia="Droid Sans Fallback"/>
        </w:rPr>
        <w:t>The distribution of water is heterogeneous, as is the specific need for water. The demands on freshwater systems are large and extremely diverse. For example, though both are areas of high intensity agriculture, the need for irrigation in the Upper Midwest of the USA is much lower than for the central valley of California. Ironically, in the Upper Midwest where rainfall tends to be adequate, 20% of the world’s freshwater is found in the Great Lakes. Thus, there can be major disconnects between need and occurrence of this natural capital.</w:t>
      </w:r>
      <w:r w:rsidR="001D4C68" w:rsidRPr="008608AA">
        <w:rPr>
          <w:rFonts w:eastAsia="Droid Sans Fallback"/>
        </w:rPr>
        <w:t xml:space="preserve"> </w:t>
      </w:r>
    </w:p>
    <w:p w14:paraId="0C141CC7" w14:textId="77777777" w:rsidR="001D4C68" w:rsidRPr="008608AA" w:rsidRDefault="001D4C68" w:rsidP="005A0ED1">
      <w:pPr>
        <w:suppressAutoHyphens/>
        <w:spacing w:before="240"/>
        <w:rPr>
          <w:rFonts w:eastAsia="Droid Sans Fallback"/>
        </w:rPr>
      </w:pPr>
      <w:r w:rsidRPr="008608AA">
        <w:rPr>
          <w:rFonts w:eastAsia="Droid Sans Fallback"/>
        </w:rPr>
        <w:t xml:space="preserve">Sustainable Development Goal </w:t>
      </w:r>
      <w:r w:rsidR="00490494" w:rsidRPr="008608AA">
        <w:rPr>
          <w:rFonts w:eastAsia="Droid Sans Fallback"/>
        </w:rPr>
        <w:t xml:space="preserve">6 is “Ensure access to water and sanitation for all.” Chapter 2 makes clear the NCP of freshwater systems and are presented Figure 5.18. Indeed, the criticality of water as a resource, in terms of sustainability, economic activity (including as a source of jobs), and human health have been emphasized, respectively, in the last three World Water Reports </w:t>
      </w:r>
      <w:r w:rsidR="00490494" w:rsidRPr="008608AA">
        <w:rPr>
          <w:rFonts w:eastAsia="Droid Sans Fallback"/>
        </w:rPr>
        <w:fldChar w:fldCharType="begin" w:fldLock="1"/>
      </w:r>
      <w:r w:rsidR="00490494" w:rsidRPr="008608AA">
        <w:rPr>
          <w:rFonts w:eastAsia="Droid Sans Fallback"/>
        </w:rPr>
        <w:instrText>ADDIN CSL_CITATION { "citationItems" : [ { "id" : "ITEM-1", "itemData" : { "ISBN" : "9789231000713", "author" : [ { "dropping-particle" : "", "family" : "WWAP (United Nations World Water Assessment Programme)", "given" : "", "non-dropping-particle" : "", "parse-names" : false, "suffix" : "" } ], "id" : "ITEM-1", "issued" : { "date-parts" : [ [ "2015" ] ] }, "title" : "The United Nations World Water Development Report 2015: Water for a sustainable world", "type" : "report" }, "uris" : [ "http://www.mendeley.com/documents/?uuid=6e041a66-62c4-421b-8606-663fb8947a96" ] }, { "id" : "ITEM-2", "itemData" : { "ISBN" : "9789231002014", "author" : [ { "dropping-particle" : "", "family" : "WWAP (United Nations World Water Assessment Programme)", "given" : "", "non-dropping-particle" : "", "parse-names" : false, "suffix" : "" } ], "id" : "ITEM-2", "issued" : { "date-parts" : [ [ "2017" ] ] }, "title" : "The United Nations World Water Development Report 2017", "type" : "report" }, "uris" : [ "http://www.mendeley.com/documents/?uuid=1123d8bf-3e3d-4959-895a-7fac97dbbfb5" ] }, { "id" : "ITEM-3", "itemData" : { "ISBN" : "9789231001468", "author" : [ { "dropping-particle" : "", "family" : "WWAP (United Nations World Water Assessment Programme)", "given" : "", "non-dropping-particle" : "", "parse-names" : false, "suffix" : "" } ], "id" : "ITEM-3", "issued" : { "date-parts" : [ [ "2016" ] ] }, "title" : "The United Nations World Water Development Report 2016: Water and Jobs", "type" : "report" }, "uris" : [ "http://www.mendeley.com/documents/?uuid=116a2bcd-db15-4c76-9781-488938e10343" ] } ], "mendeley" : { "formattedCitation" : "(WWAP (United Nations World Water Assessment Programme), 2015, 2016, 2017)", "plainTextFormattedCitation" : "(WWAP (United Nations World Water Assessment Programme), 2015, 2016, 2017)", "previouslyFormattedCitation" : "(WWAP (United Nations World Water Assessment Programme), 2015, 2016, 2017)" }, "properties" : {  }, "schema" : "https://github.com/citation-style-language/schema/raw/master/csl-citation.json" }</w:instrText>
      </w:r>
      <w:r w:rsidR="00490494" w:rsidRPr="008608AA">
        <w:rPr>
          <w:rFonts w:eastAsia="Droid Sans Fallback"/>
        </w:rPr>
        <w:fldChar w:fldCharType="separate"/>
      </w:r>
      <w:r w:rsidR="00490494" w:rsidRPr="008608AA">
        <w:rPr>
          <w:rFonts w:eastAsia="Droid Sans Fallback"/>
          <w:noProof/>
        </w:rPr>
        <w:t xml:space="preserve"> (</w:t>
      </w:r>
      <w:r w:rsidRPr="008608AA">
        <w:rPr>
          <w:rFonts w:eastAsia="Droid Sans Fallback"/>
          <w:noProof/>
        </w:rPr>
        <w:t xml:space="preserve">WWAP, </w:t>
      </w:r>
      <w:r w:rsidR="00490494" w:rsidRPr="008608AA">
        <w:rPr>
          <w:rFonts w:eastAsia="Droid Sans Fallback"/>
          <w:noProof/>
        </w:rPr>
        <w:t>United Nations W</w:t>
      </w:r>
      <w:r w:rsidRPr="008608AA">
        <w:rPr>
          <w:rFonts w:eastAsia="Droid Sans Fallback"/>
          <w:noProof/>
        </w:rPr>
        <w:t>orld Water Assessment Programme</w:t>
      </w:r>
      <w:r w:rsidR="00490494" w:rsidRPr="008608AA">
        <w:rPr>
          <w:rFonts w:eastAsia="Droid Sans Fallback"/>
          <w:noProof/>
        </w:rPr>
        <w:t>, 2015, 2016, 2017)</w:t>
      </w:r>
      <w:r w:rsidR="00490494" w:rsidRPr="008608AA">
        <w:rPr>
          <w:rFonts w:eastAsia="Droid Sans Fallback"/>
        </w:rPr>
        <w:fldChar w:fldCharType="end"/>
      </w:r>
      <w:r w:rsidR="00490494" w:rsidRPr="008608AA">
        <w:rPr>
          <w:rFonts w:eastAsia="Droid Sans Fallback"/>
        </w:rPr>
        <w:t>. While Chapter 3 describes both discouraging and encouraging trends, the challenges facing this unit of analysis are made clear by the discussion of drivers in Chapter 4.</w:t>
      </w:r>
      <w:r w:rsidRPr="008608AA">
        <w:rPr>
          <w:rFonts w:eastAsia="Droid Sans Fallback"/>
        </w:rPr>
        <w:t xml:space="preserve"> </w:t>
      </w:r>
    </w:p>
    <w:p w14:paraId="09A703AA" w14:textId="77777777" w:rsidR="007C6DA3" w:rsidRPr="008608AA" w:rsidRDefault="00490494" w:rsidP="005A0ED1">
      <w:pPr>
        <w:suppressAutoHyphens/>
        <w:spacing w:before="240"/>
        <w:rPr>
          <w:rFonts w:eastAsia="Droid Sans Fallback"/>
        </w:rPr>
      </w:pPr>
      <w:r w:rsidRPr="008608AA">
        <w:rPr>
          <w:rFonts w:eastAsia="Droid Sans Fallback"/>
        </w:rPr>
        <w:t xml:space="preserve">Two primary drivers that act synergistically are demographics and agriculture. It is expected that water use will continue to rise both absolutely and on a per capita basis due to increasing populations throughout the Americas and agricultural intensification, respectively. Though irrigation technology has improved via such aspects as in-field moisture sensors, the adoption of these technologies is slow </w:t>
      </w:r>
      <w:r w:rsidRPr="008608AA">
        <w:rPr>
          <w:rFonts w:eastAsia="Droid Sans Fallback"/>
        </w:rPr>
        <w:fldChar w:fldCharType="begin" w:fldLock="1"/>
      </w:r>
      <w:r w:rsidRPr="008608AA">
        <w:rPr>
          <w:rFonts w:eastAsia="Droid Sans Fallback"/>
        </w:rPr>
        <w:instrText>ADDIN CSL_CITATION { "citationItems" : [ { "id" : "ITEM-1", "itemData" : { "ISBN" : "9789231000713", "author" : [ { "dropping-particle" : "", "family" : "WWAP (United Nations World Water Assessment Programme)", "given" : "", "non-dropping-particle" : "", "parse-names" : false, "suffix" : "" } ], "id" : "ITEM-1", "issued" : { "date-parts" : [ [ "2015" ] ] }, "title" : "The United Nations World Water Development Report 2015: Water for a sustainable world", "type" : "report" }, "uris" : [ "http://www.mendeley.com/documents/?uuid=6e041a66-62c4-421b-8606-663fb8947a96" ] } ], "mendeley" : { "formattedCitation" : "(WWAP (United Nations World Water Assessment Programme), 2015)", "plainTextFormattedCitation" : "(WWAP (United Nations World Water Assessment Programme), 2015)", "previouslyFormattedCitation" : "(WWAP (United Nations World Water Assessment Programme),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(WWAP</w:t>
      </w:r>
      <w:r w:rsidR="001D4C68" w:rsidRPr="008608AA">
        <w:rPr>
          <w:rFonts w:eastAsia="Droid Sans Fallback"/>
          <w:noProof/>
        </w:rPr>
        <w:t xml:space="preserve">, </w:t>
      </w:r>
      <w:r w:rsidRPr="008608AA">
        <w:rPr>
          <w:rFonts w:eastAsia="Droid Sans Fallback"/>
          <w:noProof/>
        </w:rPr>
        <w:t>United Nations World Water Assessment Prog</w:t>
      </w:r>
      <w:r w:rsidR="001D4C68" w:rsidRPr="008608AA">
        <w:rPr>
          <w:rFonts w:eastAsia="Droid Sans Fallback"/>
          <w:noProof/>
        </w:rPr>
        <w:t>ramme</w:t>
      </w:r>
      <w:r w:rsidRPr="008608AA">
        <w:rPr>
          <w:rFonts w:eastAsia="Droid Sans Fallback"/>
          <w:noProof/>
        </w:rPr>
        <w:t>, 2015)</w:t>
      </w:r>
      <w:r w:rsidRPr="008608AA">
        <w:rPr>
          <w:rFonts w:eastAsia="Droid Sans Fallback"/>
        </w:rPr>
        <w:fldChar w:fldCharType="end"/>
      </w:r>
      <w:r w:rsidRPr="008608AA">
        <w:rPr>
          <w:rFonts w:eastAsia="Droid Sans Fallback"/>
        </w:rPr>
        <w:t>. As agriculture intensifies, especially in South and Mesoamerica, increased pressure will be placed on freshwater systems due to water withdrawal and eutrophication due to nutrient-laden runoff. Though point-source pollution has been much reduced in North America, the same does not apply regarding non-point source pollution and agriculturally-related nutrient inputs are a major concern in the Mississippi River basin and western Lake Erie of the Great Lakes. The aspect of water withdrawal is especially troubling in Mesoamerica where, in certain areas, a third of aquifers are already over-allocated. But water withdrawal is also a serious problem as well as in North America where there is a dependence on “fossilized water” (aquifers that are not being replenished) for irrigation. The combination of the need for drinking water and irrigation is particularly problematic in the southwest USA where up to 76% of river flows are withdrawn annually (the Colorado River frequently does not reach the Sea of Cortez and its delta is 10% of what it used to be).</w:t>
      </w:r>
      <w:r w:rsidR="007C6DA3" w:rsidRPr="008608AA">
        <w:rPr>
          <w:rFonts w:eastAsia="Droid Sans Fallback"/>
        </w:rPr>
        <w:t xml:space="preserve"> </w:t>
      </w:r>
    </w:p>
    <w:p w14:paraId="06771235" w14:textId="67443D57" w:rsidR="00490494" w:rsidRPr="008608AA" w:rsidRDefault="00490494" w:rsidP="005A0ED1">
      <w:pPr>
        <w:suppressAutoHyphens/>
        <w:spacing w:before="240"/>
        <w:rPr>
          <w:rFonts w:eastAsia="Droid Sans Fallback"/>
        </w:rPr>
      </w:pPr>
      <w:r w:rsidRPr="008608AA">
        <w:rPr>
          <w:rFonts w:eastAsia="Droid Sans Fallback"/>
        </w:rPr>
        <w:t>Linked drivers, including urbanization and energy needs, provide a challenge to freshwater systems and simultaneously meeting SDG 7 (sustainable energy) and 15 (eliminate biodiversity loss). There is no doubt that energy production via burning of fossil fuels has significant environmental consequences and that sustainable energy sources are needed, especially if urban energy needs are to be met. However, the three main current sources of sustainable energy, namely solar, wind and hydro, all come with their own ecological footprint. Hydropower is a source being widely considered in South America and there are currently a number of dams either under construction or being planned. While these will provide reliable energy, they also come with an environmental price including disruption of fish migration routes, increased sediment deposition upstream, channel scouring downstream, and disruption (increased and decreased) of annual flooding of riparian terraces traditionally used for agriculture.</w:t>
      </w:r>
    </w:p>
    <w:p w14:paraId="301E497A" w14:textId="77777777" w:rsidR="00C14E10" w:rsidRPr="008608AA" w:rsidRDefault="00C14E10" w:rsidP="005A0ED1">
      <w:pPr>
        <w:suppressAutoHyphens/>
        <w:rPr>
          <w:rFonts w:eastAsia="Droid Sans Fallback"/>
        </w:rPr>
      </w:pPr>
    </w:p>
    <w:p w14:paraId="7E82F7E1" w14:textId="0535330F" w:rsidR="00C14E10" w:rsidRPr="008608AA" w:rsidRDefault="00490494" w:rsidP="005A0ED1">
      <w:pPr>
        <w:suppressAutoHyphens/>
        <w:rPr>
          <w:rFonts w:eastAsia="Droid Sans Fallback"/>
        </w:rPr>
      </w:pPr>
      <w:r w:rsidRPr="008608AA">
        <w:rPr>
          <w:rFonts w:eastAsia="Droid Sans Fallback"/>
        </w:rPr>
        <w:t xml:space="preserve">While freshwater systems are undeniably an important resource to humans as drinking water, freshwater is also critical to the biological resources found in lakes, streams, and rivers. The Americas are exceptional in their freshwater resources. For example, as noted in Chapter 3, the Americas contribute 47% of the freshwater that flows to the oceans and the freshwater of the Americas is home to over 5,000 species of fish, which provide subsistence food, commercial food, and sport opportunities. However, these and other freshwater biological resources in the Americas are threatened by habitat degradation (e.g. construction of dams for hydroelectric power), climate change, pollution (as in the water quality issues for Lake Erie discussed above), and invasive species (e.g. Asian carp and zebra mussels in North America) resulting in higher extinction rates than for most terrestrial biomes </w:t>
      </w:r>
      <w:r w:rsidRPr="008608AA">
        <w:rPr>
          <w:rFonts w:eastAsia="Droid Sans Fallback"/>
        </w:rPr>
        <w:fldChar w:fldCharType="begin" w:fldLock="1"/>
      </w:r>
      <w:r w:rsidRPr="008608AA">
        <w:rPr>
          <w:rFonts w:eastAsia="Droid Sans Fallback"/>
        </w:rPr>
        <w:instrText>ADDIN CSL_CITATION { "citationItems" : [ { "id" : "ITEM-1", "itemData" : { "DOI" : "10.1080/14634980903136388", "ISSN" : "1463-4988", "abstract" : "The Great Lakes Surveillance Program has been monitoring water quality for almost 40 years in Lake Ontario. The program provides some of the most comprehensive, systematic and detailed information that is available in the world for such a large lake. The water quality in Lake Ontario has shown dramatic changes over the last 40 years, with the early measurements indicating high phosphorus concentrations that were subsequently reduced by management responses to the Great Lakes Water Quality Agreement. Other water quality parameters, such as some of the major ions, showed reductions during the 1970s and 1980s as well. Nitrate plus nitrite nitrogen has increased in the lake throughout the period of record, likely driven by increasing watershed and atmospheric sources. A major driver of more recent trends in water quality appears to be the invasion and subsequent expansion of invasive Dreissena mussel populations that first appeared in Lake Ontario in 1989. Total phosphorus concentrations have further declined...", "author" : [ { "dropping-particle" : "", "family" : "Dove", "given" : "Alice", "non-dropping-particle" : "", "parse-names" : false, "suffix" : "" } ], "container-title" : "Aquatic Ecosystem Health &amp; Management", "id" : "ITEM-1", "issue" : "3", "issued" : { "date-parts" : [ [ "2009", "9", "24" ] ] }, "page" : "281-295", "publisher" : " Taylor &amp; Francis Group ", "title" : "Long-term trends in major ions and nutrients in Lake Ontario", "type" : "article-journal", "volume" : "12" }, "suffix" : ", Chapter 3", "uris" : [ "http://www.mendeley.com/documents/?uuid=0180f094-eaa5-37cc-9c7d-b4a01bdba191" ] } ], "mendeley" : { "formattedCitation" : "(Dove, 2009, Chapter 3)", "plainTextFormattedCitation" : "(Dove, 2009, Chapter 3)", "previouslyFormattedCitation" : "(Dove, 2009, Chapter 3)" }, "properties" : {  }, "schema" : "https://github.com/citation-style-language/schema/raw/master/csl-citation.json" }</w:instrText>
      </w:r>
      <w:r w:rsidRPr="008608AA">
        <w:rPr>
          <w:rFonts w:eastAsia="Droid Sans Fallback"/>
        </w:rPr>
        <w:fldChar w:fldCharType="separate"/>
      </w:r>
      <w:r w:rsidR="00C14E10" w:rsidRPr="008608AA">
        <w:rPr>
          <w:rFonts w:eastAsia="Droid Sans Fallback"/>
          <w:noProof/>
        </w:rPr>
        <w:t>(Dove, 2009;</w:t>
      </w:r>
      <w:r w:rsidRPr="008608AA">
        <w:rPr>
          <w:rFonts w:eastAsia="Droid Sans Fallback"/>
          <w:noProof/>
        </w:rPr>
        <w:t xml:space="preserve"> Chapter 3)</w:t>
      </w:r>
      <w:r w:rsidRPr="008608AA">
        <w:rPr>
          <w:rFonts w:eastAsia="Droid Sans Fallback"/>
        </w:rPr>
        <w:fldChar w:fldCharType="end"/>
      </w:r>
      <w:r w:rsidR="00C14E10" w:rsidRPr="008608AA">
        <w:rPr>
          <w:rFonts w:eastAsia="Droid Sans Fallback"/>
        </w:rPr>
        <w:t>.</w:t>
      </w:r>
    </w:p>
    <w:p w14:paraId="21023B9F" w14:textId="016C8168" w:rsidR="00490494" w:rsidRPr="008608AA" w:rsidRDefault="00490494" w:rsidP="005A0ED1">
      <w:pPr>
        <w:suppressAutoHyphens/>
        <w:rPr>
          <w:rFonts w:eastAsia="Droid Sans Fallback"/>
        </w:rPr>
      </w:pPr>
      <w:r w:rsidRPr="008608AA">
        <w:rPr>
          <w:rFonts w:eastAsia="Droid Sans Fallback"/>
        </w:rPr>
        <w:t xml:space="preserve"> </w:t>
      </w:r>
    </w:p>
    <w:p w14:paraId="36A1BB1B" w14:textId="77777777" w:rsidR="007A224F" w:rsidRPr="008608AA" w:rsidRDefault="00490494" w:rsidP="005A0ED1">
      <w:pPr>
        <w:suppressAutoHyphens/>
        <w:rPr>
          <w:rFonts w:eastAsia="Droid Sans Fallback"/>
        </w:rPr>
      </w:pPr>
      <w:r w:rsidRPr="008608AA">
        <w:rPr>
          <w:rFonts w:eastAsia="Droid Sans Fallback"/>
        </w:rPr>
        <w:t xml:space="preserve">These drivers will continue to present recurring and likely increasing, challenges to freshwater resources as we approach 2050. While serious threats exist to the Americas’ freshwater systems, there is also evidence that planning and international cooperation in addressing these threats through policies and intergovernmental agreements have helped some freshwater systems, notably the Laurentian Great Lakes in North America. Coordinated water pollution control by Canada and USA, and the formation of the International Joint Commission on the Great Lakes have achieved substantial levels of success in protecting the Great Lakes with respect to water removals and diversions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"International Joint Commission", "given" : "", "non-dropping-particle" : "", "parse-names" : false, "suffix" : "" } ], "id" : "ITEM-1", "issued" : { "date-parts" : [ [ "2016" ] ] }, "title" : "Protection of the Waters of the Great Lakes: 2015 Review of the Recommendations in the February 2000 report", "type" : "report" }, "uris" : [ "http://www.mendeley.com/documents/?uuid=d9140dcf-052a-4192-86fd-a65722ec3ab3" ] } ], "mendeley" : { "formattedCitation" : "(International Joint Commission, 2016)", "plainTextFormattedCitation" : "(International Joint Commission, 2016)", "previouslyFormattedCitation" : "(International Joint Commission,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(International Joint Commission, 2016)</w:t>
      </w:r>
      <w:r w:rsidRPr="008608AA">
        <w:rPr>
          <w:rFonts w:eastAsia="Droid Sans Fallback"/>
        </w:rPr>
        <w:fldChar w:fldCharType="end"/>
      </w:r>
      <w:r w:rsidRPr="008608AA">
        <w:rPr>
          <w:rFonts w:eastAsia="Droid Sans Fallback"/>
        </w:rPr>
        <w:t xml:space="preserve"> and reductions in petroleum, pesticides, heavy metals, and nutrient pollution since the 1970s </w:t>
      </w:r>
      <w:r w:rsidRPr="008608AA">
        <w:rPr>
          <w:rFonts w:eastAsia="Droid Sans Fallback"/>
        </w:rPr>
        <w:fldChar w:fldCharType="begin" w:fldLock="1"/>
      </w:r>
      <w:r w:rsidRPr="008608AA">
        <w:rPr>
          <w:rFonts w:eastAsia="Droid Sans Fallback"/>
        </w:rPr>
        <w:instrText>ADDIN CSL_CITATION { "citationItems" : [ { "id" : "ITEM-1", "itemData" : { "DOI" : "10.1007/s10661-008-0567-0", "ISBN" : "0167-6369", "ISSN" : "01676369", "PMID" : "18850284", "abstract" : "Over 35 years of US and Canadian pollution prevention and control efforts have led to substantial improvements in environmental quality of the Detroit River and western Lake Erie. However, the available information also shows that much remains to be done. Improvements in environmental quality have resulted in significant ecological recovery, including increasing populations of bald eagles (Haliaeetus leucocephalus), peregrine falcons (Falco columbarius), lake sturgeon (Acipenser fulvescens), lake whitefish (Coregonus clupeaformis), walleye (Sander vitreus), and burrowing mayflies (Hexagenia spp.). Although this recovery is remarkable, many challenges remain, including population growth, transportation expansion, and land use changes; nonpoint source pollution; toxic substances contamination; habitat loss and degradation; introduction of exotic species; and greenhouse gases and global warming. Research/monitoring must be sustained for effective management. Priority research and monitoring needs include: demonstrating and quantifying cause-effect relationships; establishing quantitative endpoints and desired future states; determining cumulative impacts and how indicators relate; improving modeling and prediction; prioritizing geographic areas for protection and restoration; and fostering long-term monitoring for adaptive management. Key management agencies, universities, and environmental and conservation organizations should pool resources and undertake comprehensive and integrative assessments of the health of the Detroit River and western Lake Erie at least every 5 years to practice adaptive management for long-term sustainability.", "author" : [ { "dropping-particle" : "", "family" : "Hartig", "given" : "J. H.", "non-dropping-particle" : "", "parse-names" : false, "suffix" : "" }, { "dropping-particle" : "", "family" : "Zarull", "given" : "M. A.", "non-dropping-particle" : "", "parse-names" : false, "suffix" : "" }, { "dropping-particle" : "", "family" : "Ciborowski", "given" : "J. J H", "non-dropping-particle" : "", "parse-names" : false, "suffix" : "" }, { "dropping-particle" : "", "family" : "Gannon", "given" : "J. E.", "non-dropping-particle" : "", "parse-names" : false, "suffix" : "" }, { "dropping-particle" : "", "family" : "Wilke", "given" : "E.", "non-dropping-particle" : "", "parse-names" : false, "suffix" : "" }, { "dropping-particle" : "", "family" : "Norwood", "given" : "G.", "non-dropping-particle" : "", "parse-names" : false, "suffix" : "" }, { "dropping-particle" : "", "family" : "Vincent", "given" : "A. N.", "non-dropping-particle" : "", "parse-names" : false, "suffix" : "" } ], "container-title" : "Environmental Monitoring and Assessment", "id" : "ITEM-1", "issue" : "1-4", "issued" : { "date-parts" : [ [ "2009", "11", "11" ] ] }, "page" : "87-104", "title" : "Long-term ecosystem monitoring and assessment of the Detroit River and Western Lake Erie", "type" : "article-journal", "volume" : "158" }, "uris" : [ "http://www.mendeley.com/documents/?uuid=3cb84aa2-62a2-381a-a5b0-4f3d3e0a6c3d" ] } ], "mendeley" : { "formattedCitation" : "(Hartig et al., 2009)", "plainTextFormattedCitation" : "(Hartig et al., 2009)", "previouslyFormattedCitation" : "(Hartig et al., 2009)"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(Hartig et al., 2009)</w:t>
      </w:r>
      <w:r w:rsidRPr="008608AA">
        <w:rPr>
          <w:rFonts w:eastAsia="Droid Sans Fallback"/>
        </w:rPr>
        <w:fldChar w:fldCharType="end"/>
      </w:r>
      <w:r w:rsidRPr="008608AA">
        <w:rPr>
          <w:rFonts w:eastAsia="Droid Sans Fallback"/>
        </w:rPr>
        <w:t xml:space="preserve">. For example, water clarity has vastly increased in Lakes Michigan and Huron, phosphorous levels have been reduced to the extent that they are now considered a limiting nutrient in the lakes, chloride levels in Lakes Huron, Erie, and Ontario have decreased (reversing a 150-year trend of increasing levels). </w:t>
      </w:r>
    </w:p>
    <w:p w14:paraId="77E49E6D" w14:textId="77777777" w:rsidR="007A224F" w:rsidRPr="008608AA" w:rsidRDefault="007A224F" w:rsidP="005A0ED1">
      <w:pPr>
        <w:suppressAutoHyphens/>
        <w:rPr>
          <w:rFonts w:eastAsia="Droid Sans Fallback"/>
        </w:rPr>
      </w:pPr>
    </w:p>
    <w:p w14:paraId="6DB5F75C" w14:textId="7593CB94" w:rsidR="00490494" w:rsidRPr="008608AA" w:rsidRDefault="00490494" w:rsidP="005A0ED1">
      <w:pPr>
        <w:suppressAutoHyphens/>
        <w:rPr>
          <w:rFonts w:eastAsia="Droid Sans Fallback"/>
        </w:rPr>
      </w:pPr>
      <w:r w:rsidRPr="008608AA">
        <w:rPr>
          <w:rFonts w:eastAsia="Droid Sans Fallback"/>
        </w:rPr>
        <w:t>These improvements are credited with recovery of a number of biological resources, including bald eagles (</w:t>
      </w:r>
      <w:r w:rsidRPr="008608AA">
        <w:rPr>
          <w:rFonts w:eastAsia="Droid Sans Fallback"/>
          <w:i/>
        </w:rPr>
        <w:t>Haliaeetus leucocephalus</w:t>
      </w:r>
      <w:r w:rsidRPr="008608AA">
        <w:rPr>
          <w:rFonts w:eastAsia="Droid Sans Fallback"/>
        </w:rPr>
        <w:t>), peregrine falcons (</w:t>
      </w:r>
      <w:r w:rsidRPr="008608AA">
        <w:rPr>
          <w:rFonts w:eastAsia="Droid Sans Fallback"/>
          <w:i/>
        </w:rPr>
        <w:t>Falco peregrinus</w:t>
      </w:r>
      <w:r w:rsidRPr="008608AA">
        <w:rPr>
          <w:rFonts w:eastAsia="Droid Sans Fallback"/>
        </w:rPr>
        <w:t>), lake sturgeon (</w:t>
      </w:r>
      <w:r w:rsidRPr="008608AA">
        <w:rPr>
          <w:rFonts w:eastAsia="Droid Sans Fallback"/>
          <w:i/>
        </w:rPr>
        <w:t>Acipenser fulvescens</w:t>
      </w:r>
      <w:r w:rsidRPr="008608AA">
        <w:rPr>
          <w:rFonts w:eastAsia="Droid Sans Fallback"/>
        </w:rPr>
        <w:t>), lake white fish (</w:t>
      </w:r>
      <w:r w:rsidRPr="008608AA">
        <w:rPr>
          <w:rFonts w:eastAsia="Droid Sans Fallback"/>
          <w:i/>
        </w:rPr>
        <w:t xml:space="preserve">Coregonus clupeaformis), </w:t>
      </w:r>
      <w:r w:rsidRPr="008608AA">
        <w:rPr>
          <w:rFonts w:eastAsia="Droid Sans Fallback"/>
        </w:rPr>
        <w:t>walleye (</w:t>
      </w:r>
      <w:r w:rsidRPr="008608AA">
        <w:rPr>
          <w:rFonts w:eastAsia="Droid Sans Fallback"/>
          <w:i/>
        </w:rPr>
        <w:t>Sander vitreus</w:t>
      </w:r>
      <w:r w:rsidRPr="008608AA">
        <w:rPr>
          <w:rFonts w:eastAsia="Droid Sans Fallback"/>
        </w:rPr>
        <w:t>), and burrowing mayflies (</w:t>
      </w:r>
      <w:r w:rsidRPr="008608AA">
        <w:rPr>
          <w:rFonts w:eastAsia="Droid Sans Fallback"/>
          <w:i/>
        </w:rPr>
        <w:t xml:space="preserve">Hexagenia </w:t>
      </w:r>
      <w:r w:rsidRPr="008608AA">
        <w:rPr>
          <w:rFonts w:eastAsia="Droid Sans Fallback"/>
        </w:rPr>
        <w:t xml:space="preserve">spp.)(an important prey item in fish diets) </w:t>
      </w:r>
      <w:r w:rsidRPr="008608AA">
        <w:rPr>
          <w:rFonts w:eastAsia="Droid Sans Fallback"/>
        </w:rPr>
        <w:fldChar w:fldCharType="begin" w:fldLock="1"/>
      </w:r>
      <w:r w:rsidRPr="008608AA">
        <w:rPr>
          <w:rFonts w:eastAsia="Droid Sans Fallback"/>
        </w:rPr>
        <w:instrText>ADDIN CSL_CITATION { "citationItems" : [ { "id" : "ITEM-1", "itemData" : { "DOI" : "10.1007/s10661-008-0567-0", "ISBN" : "0167-6369", "ISSN" : "01676369", "PMID" : "18850284", "abstract" : "Over 35 years of US and Canadian pollution prevention and control efforts have led to substantial improvements in environmental quality of the Detroit River and western Lake Erie. However, the available information also shows that much remains to be done. Improvements in environmental quality have resulted in significant ecological recovery, including increasing populations of bald eagles (Haliaeetus leucocephalus), peregrine falcons (Falco columbarius), lake sturgeon (Acipenser fulvescens), lake whitefish (Coregonus clupeaformis), walleye (Sander vitreus), and burrowing mayflies (Hexagenia spp.). Although this recovery is remarkable, many challenges remain, including population growth, transportation expansion, and land use changes; nonpoint source pollution; toxic substances contamination; habitat loss and degradation; introduction of exotic species; and greenhouse gases and global warming. Research/monitoring must be sustained for effective management. Priority research and monitoring needs include: demonstrating and quantifying cause-effect relationships; establishing quantitative endpoints and desired future states; determining cumulative impacts and how indicators relate; improving modeling and prediction; prioritizing geographic areas for protection and restoration; and fostering long-term monitoring for adaptive management. Key management agencies, universities, and environmental and conservation organizations should pool resources and undertake comprehensive and integrative assessments of the health of the Detroit River and western Lake Erie at least every 5 years to practice adaptive management for long-term sustainability.", "author" : [ { "dropping-particle" : "", "family" : "Hartig", "given" : "J. H.", "non-dropping-particle" : "", "parse-names" : false, "suffix" : "" }, { "dropping-particle" : "", "family" : "Zarull", "given" : "M. A.", "non-dropping-particle" : "", "parse-names" : false, "suffix" : "" }, { "dropping-particle" : "", "family" : "Ciborowski", "given" : "J. J H", "non-dropping-particle" : "", "parse-names" : false, "suffix" : "" }, { "dropping-particle" : "", "family" : "Gannon", "given" : "J. E.", "non-dropping-particle" : "", "parse-names" : false, "suffix" : "" }, { "dropping-particle" : "", "family" : "Wilke", "given" : "E.", "non-dropping-particle" : "", "parse-names" : false, "suffix" : "" }, { "dropping-particle" : "", "family" : "Norwood", "given" : "G.", "non-dropping-particle" : "", "parse-names" : false, "suffix" : "" }, { "dropping-particle" : "", "family" : "Vincent", "given" : "A. N.", "non-dropping-particle" : "", "parse-names" : false, "suffix" : "" } ], "container-title" : "Environmental Monitoring and Assessment", "id" : "ITEM-1", "issue" : "1-4", "issued" : { "date-parts" : [ [ "2009", "11", "11" ] ] }, "page" : "87-104", "title" : "Long-term ecosystem monitoring and assessment of the Detroit River and Western Lake Erie", "type" : "article-journal", "volume" : "158" }, "uris" : [ "http://www.mendeley.com/documents/?uuid=3cb84aa2-62a2-381a-a5b0-4f3d3e0a6c3d" ] } ], "mendeley" : { "formattedCitation" : "(Hartig et al., 2009)", "plainTextFormattedCitation" : "(Hartig et al., 2009)", "previouslyFormattedCitation" : "(Hartig et al., 2009)"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(Hartig et al., 2009)</w:t>
      </w:r>
      <w:r w:rsidRPr="008608AA">
        <w:rPr>
          <w:rFonts w:eastAsia="Droid Sans Fallback"/>
        </w:rPr>
        <w:fldChar w:fldCharType="end"/>
      </w:r>
      <w:r w:rsidRPr="008608AA">
        <w:rPr>
          <w:rFonts w:eastAsia="Droid Sans Fallback"/>
        </w:rPr>
        <w:t xml:space="preserve">. While improvements have been noted in these measures, other pollutants, such as silica and nitrogen, have increased </w:t>
      </w:r>
      <w:r w:rsidRPr="008608AA">
        <w:rPr>
          <w:rFonts w:eastAsia="Droid Sans Fallback"/>
        </w:rPr>
        <w:fldChar w:fldCharType="begin" w:fldLock="1"/>
      </w:r>
      <w:r w:rsidRPr="008608AA">
        <w:rPr>
          <w:rFonts w:eastAsia="Droid Sans Fallback"/>
        </w:rPr>
        <w:instrText>ADDIN CSL_CITATION { "citationItems" : [ { "id" : "ITEM-1", "itemData" : { "DOI" : "10.1002/lno.10146", "ISSN" : "00243590", "author" : [ { "dropping-particle" : "", "family" : "Binding", "given" : "Caren E.", "non-dropping-particle" : "", "parse-names" : false, "suffix" : "" }, { "dropping-particle" : "", "family" : "Greenberg", "given" : "Tracie A.", "non-dropping-particle" : "", "parse-names" : false, "suffix" : "" }, { "dropping-particle" : "", "family" : "Watson", "given" : "Sue B.", "non-dropping-particle" : "", "parse-names" : false, "suffix" : "" }, { "dropping-particle" : "", "family" : "Rastin", "given" : "Shannah", "non-dropping-particle" : "", "parse-names" : false, "suffix" : "" }, { "dropping-particle" : "", "family" : "Gould", "given" : "Jessica", "non-dropping-particle" : "", "parse-names" : false, "suffix" : "" } ], "container-title" : "Limnology and Oceanography", "id" : "ITEM-1", "issue" : "6", "issued" : { "date-parts" : [ [ "2015", "11", "1" ] ] }, "page" : "1976-1995", "title" : "Long term water clarity changes in North America's Great Lakes from multi-sensor satellite observations", "type" : "article-journal", "volume" : "60" }, "uris" : [ "http://www.mendeley.com/documents/?uuid=a45067d3-a49c-385c-a920-628ca7c964ce" ] }, { "id" : "ITEM-2", "itemData" : { "DOI" : "10.1016/J.JGLR.2008.11.013", "ISSN" : "0380-1330", "author" : [ { "dropping-particle" : "", "family" : "Chapra", "given" : "Steven C.", "non-dropping-particle" : "", "parse-names" : false, "suffix" : "" }, { "dropping-particle" : "", "family" : "Dove", "given" : "Alice", "non-dropping-particle" : "", "parse-names" : false, "suffix" : "" }, { "dropping-particle" : "", "family" : "Rockwell", "given" : "David C.", "non-dropping-particle" : "", "parse-names" : false, "suffix" : "" } ], "container-title" : "Journal of Great Lakes Research", "id" : "ITEM-2", "issue" : "2", "issued" : { "date-parts" : [ [ "2009", "6", "1" ] ] }, "page" : "272-284", "publisher" : "Elsevier", "title" : "Great Lakes chloride trends: Long-term mass balance and loading analysis", "type" : "article-journal", "volume" : "35" }, "uris" : [ "http://www.mendeley.com/documents/?uuid=50016241-48d7-32d3-8672-240474a7d76d" ] }, { "id" : "ITEM-3", "itemData" : { "DOI" : "10.1080/14634980903136388", "ISSN" : "1463-4988", "abstract" : "The Great Lakes Surveillance Program has been monitoring water quality for almost 40 years in Lake Ontario. The program provides some of the most comprehensive, systematic and detailed information that is available in the world for such a large lake. The water quality in Lake Ontario has shown dramatic changes over the last 40 years, with the early measurements indicating high phosphorus concentrations that were subsequently reduced by management responses to the Great Lakes Water Quality Agreement. Other water quality parameters, such as some of the major ions, showed reductions during the 1970s and 1980s as well. Nitrate plus nitrite nitrogen has increased in the lake throughout the period of record, likely driven by increasing watershed and atmospheric sources. A major driver of more recent trends in water quality appears to be the invasion and subsequent expansion of invasive Dreissena mussel populations that first appeared in Lake Ontario in 1989. Total phosphorus concentrations have further declined...", "author" : [ { "dropping-particle" : "", "family" : "Dove", "given" : "Alice", "non-dropping-particle" : "", "parse-names" : false, "suffix" : "" } ], "container-title" : "Aquatic Ecosystem Health &amp; Management", "id" : "ITEM-3", "issue" : "3", "issued" : { "date-parts" : [ [ "2009", "9", "24" ] ] }, "page" : "281-295", "publisher" : " Taylor &amp; Francis Group ", "title" : "Long-term trends in major ions and nutrients in Lake Ontario", "type" : "article-journal", "volume" : "12" }, "uris" : [ "http://www.mendeley.com/documents/?uuid=0180f094-eaa5-37cc-9c7d-b4a01bdba191" ] }, { "id" : "ITEM-4", "itemData" : { "DOI" : "10.1002/lno.10055", "ISSN" : "00243590", "author" : [ { "dropping-particle" : "", "family" : "Dove", "given" : "Alice", "non-dropping-particle" : "", "parse-names" : false, "suffix" : "" }, { "dropping-particle" : "", "family" : "Chapra", "given" : "Steven C.", "non-dropping-particle" : "", "parse-names" : false, "suffix" : "" } ], "container-title" : "Limnology and Oceanography", "id" : "ITEM-4", "issue" : "2", "issued" : { "date-parts" : [ [ "2015", "3", "1" ] ] }, "page" : "696-721", "title" : "Long-term trends of nutrients and trophic response variables for the Great Lakes", "type" : "article-journal", "volume" : "60" }, "uris" : [ "http://www.mendeley.com/documents/?uuid=8b2d9cee-de0c-3bed-8dfa-6e1cf48dff40" ] } ], "mendeley" : { "formattedCitation" : "(Binding, Greenberg, Watson, Rastin, &amp; Gould, 2015; Chapra, Dove, &amp; Rockwell, 2009; Dove, 2009; Dove &amp; Chapra, 2015)", "plainTextFormattedCitation" : "(Binding, Greenberg, Watson, Rastin, &amp; Gould, 2015; Chapra, Dove, &amp; Rockwell, 2009; Dove, 2009; Dove &amp; Chapra, 2015)", "previouslyFormattedCitation" : "(Binding, Greenberg, Watson, Rastin, &amp; Gould, 2015; Chapra, Dove, &amp; Rockwell, 2009; Dove, 2009; Dove &amp; Chapra, 2015)"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(Binding et al., 2015; Chapra</w:t>
      </w:r>
      <w:r w:rsidRPr="008608AA">
        <w:rPr>
          <w:rFonts w:eastAsia="Droid Sans Fallback"/>
          <w:noProof/>
        </w:rPr>
        <w:t xml:space="preserve"> et al., 2009; Dove, 2009; Dove &amp; Chapra, 2015)</w:t>
      </w:r>
      <w:r w:rsidRPr="008608AA">
        <w:rPr>
          <w:rFonts w:eastAsia="Droid Sans Fallback"/>
        </w:rPr>
        <w:fldChar w:fldCharType="end"/>
      </w:r>
      <w:r w:rsidRPr="008608AA">
        <w:rPr>
          <w:rFonts w:eastAsia="Droid Sans Fallback"/>
        </w:rPr>
        <w:t>.</w:t>
      </w:r>
    </w:p>
    <w:p w14:paraId="5A894DF7" w14:textId="77777777" w:rsidR="007A224F" w:rsidRPr="008608AA" w:rsidRDefault="007A224F" w:rsidP="005A0ED1">
      <w:pPr>
        <w:suppressAutoHyphens/>
        <w:rPr>
          <w:rFonts w:eastAsia="Droid Sans Fallback"/>
        </w:rPr>
      </w:pPr>
    </w:p>
    <w:p w14:paraId="257ACACA" w14:textId="77777777" w:rsidR="005A0ED1" w:rsidRPr="008608AA" w:rsidRDefault="00490494" w:rsidP="005A0ED1">
      <w:pPr>
        <w:suppressAutoHyphens/>
        <w:rPr>
          <w:rFonts w:eastAsia="Droid Sans Fallback"/>
        </w:rPr>
      </w:pPr>
      <w:r w:rsidRPr="008608AA">
        <w:rPr>
          <w:rFonts w:eastAsia="Droid Sans Fallback"/>
        </w:rPr>
        <w:t xml:space="preserve">Thus, while policies and international cooperation has been helpful in North America, it is clear that futures that include scenarios from the Fortress World or Market Forces archetypes will not be enough to stem the increasing pressures of non-point pollution, climate change, and invasive species even at the </w:t>
      </w:r>
      <w:r w:rsidR="007C45FD" w:rsidRPr="008608AA">
        <w:rPr>
          <w:rFonts w:eastAsia="Droid Sans Fallback"/>
        </w:rPr>
        <w:t>sub</w:t>
      </w:r>
      <w:r w:rsidRPr="008608AA">
        <w:rPr>
          <w:rFonts w:eastAsia="Droid Sans Fallback"/>
        </w:rPr>
        <w:t xml:space="preserve">region. True paradigm shifts will be required throughout the Americas to address impacts to freshwater, especially in terms of water quality and availability, in the face of increasing reliance on pesticides, fertilizers, and irrigation in agriculture in response to increasing populations and climate change. It is clear that to make progress towards the Aichi </w:t>
      </w:r>
      <w:r w:rsidR="00847F60" w:rsidRPr="008608AA">
        <w:rPr>
          <w:rFonts w:eastAsia="Droid Sans Fallback"/>
        </w:rPr>
        <w:t>target</w:t>
      </w:r>
      <w:r w:rsidRPr="008608AA">
        <w:rPr>
          <w:rFonts w:eastAsia="Droid Sans Fallback"/>
        </w:rPr>
        <w:t xml:space="preserve">s and SDG, serious consideration should be given to devising scenarios designed within the Policy Reform and Great Transition archetypes. </w:t>
      </w:r>
    </w:p>
    <w:p w14:paraId="55C2E145" w14:textId="7906CD03" w:rsidR="005A0ED1" w:rsidRPr="008608AA" w:rsidRDefault="005A0ED1" w:rsidP="005A0ED1">
      <w:pPr>
        <w:suppressAutoHyphens/>
        <w:rPr>
          <w:rFonts w:eastAsia="Droid Sans Fallback"/>
        </w:rPr>
      </w:pPr>
      <w:r w:rsidRPr="008608AA">
        <w:rPr>
          <w:rFonts w:eastAsia="Droid Sans Fallback"/>
        </w:rPr>
        <w:br w:type="page"/>
      </w:r>
    </w:p>
    <w:p w14:paraId="28E49067" w14:textId="77777777" w:rsidR="005A0ED1" w:rsidRPr="008608AA" w:rsidRDefault="005A0ED1" w:rsidP="005A0ED1">
      <w:pPr>
        <w:suppressAutoHyphens/>
        <w:rPr>
          <w:rFonts w:eastAsia="Droid Sans Fallback"/>
        </w:rPr>
      </w:pPr>
    </w:p>
    <w:p w14:paraId="63847716" w14:textId="64C23F36" w:rsidR="005A0ED1" w:rsidRPr="008608AA" w:rsidRDefault="005A0ED1" w:rsidP="008739F4">
      <w:pPr>
        <w:pStyle w:val="Heading3"/>
        <w:rPr>
          <w:rFonts w:eastAsia="Droid Sans Fallback"/>
        </w:rPr>
      </w:pPr>
      <w:bookmarkStart w:id="2095" w:name="_Toc517393413"/>
      <w:bookmarkStart w:id="2096" w:name="_Toc517719154"/>
      <w:bookmarkStart w:id="2097" w:name="_Toc517797111"/>
      <w:r w:rsidRPr="008608AA">
        <w:rPr>
          <w:rFonts w:eastAsia="Droid Sans Fallback"/>
        </w:rPr>
        <w:t xml:space="preserve">Coastal habitats/coastal and near shore marine/inshore ecosystems </w:t>
      </w:r>
      <w:r w:rsidR="0095672D" w:rsidRPr="008608AA">
        <w:rPr>
          <w:rFonts w:eastAsia="Droid Sans Fallback"/>
        </w:rPr>
        <w:t>unit of analysis</w:t>
      </w:r>
      <w:bookmarkEnd w:id="2095"/>
      <w:bookmarkEnd w:id="2096"/>
      <w:bookmarkEnd w:id="2097"/>
    </w:p>
    <w:p w14:paraId="78DF71E4" w14:textId="24E21C33" w:rsidR="002C1747" w:rsidRPr="008608AA" w:rsidRDefault="00345EF6" w:rsidP="005A0ED1">
      <w:pPr>
        <w:suppressAutoHyphens/>
        <w:jc w:val="center"/>
        <w:rPr>
          <w:rFonts w:eastAsia="Droid Sans Fallback"/>
        </w:rPr>
      </w:pPr>
      <w:r w:rsidRPr="008608AA">
        <w:rPr>
          <w:rFonts w:eastAsia="Droid Sans Fallback"/>
          <w:noProof/>
          <w:lang w:val="en-GB" w:eastAsia="en-GB"/>
        </w:rPr>
        <w:drawing>
          <wp:inline distT="0" distB="0" distL="0" distR="0" wp14:anchorId="0120283B" wp14:editId="6104E0AA">
            <wp:extent cx="5696183" cy="8210550"/>
            <wp:effectExtent l="0" t="0" r="0" b="0"/>
            <wp:docPr id="80" name="Imagen 80" descr="C:\Users\Alejandro Valderrama\Downloads\Fig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7" descr="C:\Users\Alejandro Valderrama\Downloads\Fig5.19.jpg"/>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5696183" cy="8210550"/>
                    </a:xfrm>
                    <a:prstGeom prst="rect">
                      <a:avLst/>
                    </a:prstGeom>
                    <a:noFill/>
                    <a:ln>
                      <a:noFill/>
                    </a:ln>
                  </pic:spPr>
                </pic:pic>
              </a:graphicData>
            </a:graphic>
          </wp:inline>
        </w:drawing>
      </w:r>
    </w:p>
    <w:p w14:paraId="42530CC3" w14:textId="77777777" w:rsidR="0061675B" w:rsidRPr="008608AA" w:rsidRDefault="00490494" w:rsidP="00EE708F">
      <w:pPr>
        <w:suppressAutoHyphens/>
        <w:spacing w:before="240"/>
        <w:rPr>
          <w:rFonts w:eastAsia="Droid Sans Fallback"/>
        </w:rPr>
      </w:pPr>
      <w:r w:rsidRPr="008608AA">
        <w:rPr>
          <w:rFonts w:eastAsia="Droid Sans Fallback"/>
        </w:rPr>
        <w:t xml:space="preserve">Coral Reefs. According to </w:t>
      </w:r>
      <w:r w:rsidRPr="008608AA">
        <w:rPr>
          <w:rFonts w:eastAsia="Droid Sans Fallback"/>
        </w:rPr>
        <w:fldChar w:fldCharType="begin" w:fldLock="1"/>
      </w:r>
      <w:r w:rsidRPr="008608AA">
        <w:rPr>
          <w:rFonts w:eastAsia="Droid Sans Fallback"/>
        </w:rPr>
        <w:instrText>ADDIN CSL_CITATION { "citationItems" : [ { "id" : "ITEM-1", "itemData" : { "DOI" : "10.1073/pnas.091092998", "ISSN" : "0027-8424", "PMID" : "11344288", "abstract" : "Coral reefs, with their millions of species, have changed profoundly because of the effects of people, and will continue to do so for the foreseeable future. Reefs are subject to many of the same processes that affect other human-dominated ecosystems, but some special features merit emphasis: (i) Many dominant reef builders spawn eggs and sperm into the water column, where fertilization occurs. They are thus particularly vulnerable to Allee effects, including potential extinction associated with chronic reproductive failure. (ii) The corals likely to be most resistant to the effects of habitat degradation are small, short-lived \"weedy\" corals that have limited dispersal capabilities at the larval stage. Habitat degradation, together with habitat fragmentation, will therefore lead to the establishment of genetically isolated clusters of inbreeding corals. (iii) Increases in average sea temperatures by as little as 1 degrees C, a likely result of global climate change, can cause coral \"bleaching\" (the breakdown of coral-algal symbiosis), changes in symbiont communities, and coral death. (iv) The activities of people near reefs increase both fishing pressure and nutrient inputs. In general, these processes favor more rapidly growing competitors, often fleshy seaweeds, and may also result in explosions of predator populations. (v) Combinations of stress appear to be associated with threshold responses and ecological surprises, including devastating pathogen outbreaks. (vi) The fossil record suggests that corals as a group are more likely to suffer extinctions than some of the groups that associate with them, whose habitat requirements may be less stringent.", "author" : [ { "dropping-particle" : "", "family" : "Knowlton", "given" : "N", "non-dropping-particle" : "", "parse-names" : false, "suffix" : "" } ], "container-title" : "Proceedings of the National Academy of Sciences of the United States of America", "id" : "ITEM-1", "issue" : "10", "issued" : { "date-parts" : [ [ "2001", "5", "8" ] ] }, "page" : "5419-25", "publisher" : "National Academy of Sciences", "title" : "The future of coral reefs.", "type" : "article-journal", "volume" : "98" }, "uris" : [ "http://www.mendeley.com/documents/?uuid=e2a63cfb-334e-325d-b144-5bc670cf9fce" ] } ], "mendeley" : { "formattedCitation" : "(Knowlton, 2001)", "manualFormatting" : "Knowlton (2001)", "plainTextFormattedCitation" : "(Knowlton, 2001)", "previouslyFormattedCitation" : "(Knowlton, 2001)"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Knowlton (2001)</w:t>
      </w:r>
      <w:r w:rsidRPr="008608AA">
        <w:rPr>
          <w:rFonts w:eastAsia="Droid Sans Fallback"/>
        </w:rPr>
        <w:fldChar w:fldCharType="end"/>
      </w:r>
      <w:r w:rsidRPr="008608AA">
        <w:rPr>
          <w:rFonts w:eastAsia="Droid Sans Fallback"/>
        </w:rPr>
        <w:t xml:space="preserve"> the combination of nutrification, global warming, and loss of top members of the food chain (and introduced chemicals) is unprecedented over the last 65 million years. </w:t>
      </w:r>
      <w:r w:rsidRPr="008608AA">
        <w:fldChar w:fldCharType="begin" w:fldLock="1"/>
      </w:r>
      <w:r w:rsidRPr="008608AA">
        <w:instrText>ADDIN CSL_CITATION { "citationItems" : [ { "id" : "ITEM-1", "itemData" : { "DOI" : "10.1073/pnas.1601529113", "ISSN" : "1091-6490", "PMID" : "27044106", "abstract" : "Many countries are legally obliged to embrace ecosystem-based approaches to fisheries management. Reductions in bycatch and physical habitat damage are now commonplace, but mitigating more sophisticated impacts associated with the ecological functions of target fisheries species are in their infancy. Here we model the impacts of a parrotfish fishery on the future state and resilience of Caribbean coral reefs, enabling us to view the tradeoff between harvest and ecosystem health. We find that the implementation of a simple and enforceable size restriction of &gt;30 cm provides a win:win outcome in the short term, delivering both ecological and fisheries benefits and leading to increased yield and greater coral recovery rate for a given harvest rate. However, maintaining resilient coral reefs even until 2030 requires the addition of harvest limitations (&lt;10% of virgin fishable biomass) to cope with a changing climate and induced coral disturbances, even in reefs that are relatively healthy today. Managing parrotfish is not a panacea for protecting coral reefs but can play a role in sustaining the health of reefs and high-quality habitat for reef fisheries.", "author" : [ { "dropping-particle" : "", "family" : "Bozec", "given" : "Yves-Marie", "non-dropping-particle" : "", "parse-names" : false, "suffix" : "" }, { "dropping-particle" : "", "family" : "O'Farrell", "given" : "Shay", "non-dropping-particle" : "", "parse-names" : false, "suffix" : "" }, { "dropping-particle" : "", "family" : "Bruggemann", "given" : "J Henrich", "non-dropping-particle" : "", "parse-names" : false, "suffix" : "" }, { "dropping-particle" : "", "family" : "Luckhurst", "given" : "Brian E", "non-dropping-particle" : "", "parse-names" : false, "suffix" : "" }, { "dropping-particle" : "", "family" : "Mumby", "given" : "Peter J", "non-dropping-particle" : "", "parse-names" : false, "suffix" : "" } ], "container-title" : "Proceedings of the National Academy of Sciences of the United States of America", "id" : "ITEM-1", "issue" : "16", "issued" : { "date-parts" : [ [ "2016", "4", "19" ] ] }, "page" : "4536-41", "publisher" : "National Academy of Sciences", "title" : "Tradeoffs between fisheries harvest and the resilience of coral reefs.", "type" : "article-journal", "volume" : "113" }, "uris" : [ "http://www.mendeley.com/documents/?uuid=92e91ddc-9856-3471-9b90-2aa4438bf09c" ] } ], "mendeley" : { "formattedCitation" : "(Bozec, O\u2019Farrell, Bruggemann, Luckhurst, &amp; Mumby, 2016)", "manualFormatting" : "Bozec et al. (2016)", "plainTextFormattedCitation" : "(Bozec, O\u2019Farrell, Bruggemann, Luckhurst, &amp; Mumby, 2016)", "previouslyFormattedCitation" : "(Bozec, O\u2019Farrell, Bruggemann, Luckhurst, &amp; Mumby, 2016)" }, "properties" : {  }, "schema" : "https://github.com/citation-style-language/schema/raw/master/csl-citation.json" }</w:instrText>
      </w:r>
      <w:r w:rsidRPr="008608AA">
        <w:fldChar w:fldCharType="separate"/>
      </w:r>
      <w:r w:rsidRPr="008608AA">
        <w:rPr>
          <w:noProof/>
        </w:rPr>
        <w:t>Bozec et al. (2016)</w:t>
      </w:r>
      <w:r w:rsidRPr="008608AA">
        <w:fldChar w:fldCharType="end"/>
      </w:r>
      <w:r w:rsidRPr="008608AA">
        <w:t xml:space="preserve"> </w:t>
      </w:r>
      <w:r w:rsidRPr="008608AA">
        <w:rPr>
          <w:rFonts w:eastAsia="Droid Sans Fallback"/>
        </w:rPr>
        <w:t xml:space="preserve">concluded that reduced fishing for parrotfish and other herbivores would make reefs more resilient to warming and ocean acidification. Global warming is placing Caribbean coastal ecosystems under further stress. Predicted increased severity of hurricanes and greater rainfall seasonality for the region are also likely to increase stress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"Fish", "given" : "M. R.", "non-dropping-particle" : "", "parse-names" : false, "suffix" : "" }, { "dropping-particle" : "", "family" : "Lombana", "given" : "A.", "non-dropping-particle" : "", "parse-names" : false, "suffix" : "" }, { "dropping-particle" : "", "family" : "Drews.", "given" : "C.", "non-dropping-particle" : "", "parse-names" : false, "suffix" : "" } ], "id" : "ITEM-1", "issued" : { "date-parts" : [ [ "2009" ] ] }, "publisher-place" : "San Jos\u00e9, Costa Rica", "title" : "Regional climate projections: climate change and marine turtles in the Wider Caribbean", "type" : "report" }, "uris" : [ "http://www.mendeley.com/documents/?uuid=31c47ab7-68d5-476c-b821-01b3328478df" ] } ], "mendeley" : { "formattedCitation" : "(Fish, Lombana, &amp; Drews., 2009)", "plainTextFormattedCitation" : "(Fish, Lombana, &amp; Drews., 2009)", "previouslyFormattedCitation" : "(Fish, Lombana, &amp; Drews., 2009)"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(Fish et al., 2009)</w:t>
      </w:r>
      <w:r w:rsidRPr="008608AA">
        <w:rPr>
          <w:rFonts w:eastAsia="Droid Sans Fallback"/>
        </w:rPr>
        <w:fldChar w:fldCharType="end"/>
      </w:r>
      <w:r w:rsidRPr="008608AA">
        <w:rPr>
          <w:rFonts w:eastAsia="Droid Sans Fallback"/>
        </w:rPr>
        <w:t xml:space="preserve">. According to the IPCC fifth assessment report, under 4°C warming, widespread coral reef mortality is expected with significant impacts on coral reef ecosystems, this will imply a high risk of extensive loss of biodiversity with concomitant loss of ecosystem services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"Field", "given" : "CB", "non-dropping-particle" : "", "parse-names" : false, "suffix" : "" }, { "dropping-particle" : "", "family" : "Barros", "given" : "VR", "non-dropping-particle" : "", "parse-names" : false, "suffix" : "" }, { "dropping-particle" : "", "family" : "Mach", "given" : "K", "non-dropping-particle" : "", "parse-names" : false, "suffix" : "" }, { "dropping-particle" : "", "family" : "Mastrandrea", "given" : "M", "non-dropping-particle" : "", "parse-names" : false, "suffix" : "" } ], "id" : "ITEM-1", "issued" : { "date-parts" : [ [ "2014" ] ] }, "title" : "Climate change 2014: impacts, adaptation, and vulnerability", "type" : "report" }, "uris" : [ "http://www.mendeley.com/documents/?uuid=ab0d90e5-a3ae-3a16-aa67-cab861a5f2d1" ] } ], "mendeley" : { "formattedCitation" : "(CB Field, Barros, Mach, &amp; Mastrandrea, 2014)", "plainTextFormattedCitation" : "(CB Field, Barros, Mach, &amp; Mastrandrea, 2014)", "previouslyFormattedCitation" : "(CB Field, Barros, Mach, &amp; Mastrandrea,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(CB Field et al., 2014)</w:t>
      </w:r>
      <w:r w:rsidRPr="008608AA">
        <w:rPr>
          <w:rFonts w:eastAsia="Droid Sans Fallback"/>
        </w:rPr>
        <w:fldChar w:fldCharType="end"/>
      </w:r>
      <w:r w:rsidRPr="008608AA">
        <w:rPr>
          <w:rFonts w:eastAsia="Droid Sans Fallback"/>
        </w:rPr>
        <w:t>.</w:t>
      </w:r>
      <w:r w:rsidR="0061675B" w:rsidRPr="008608AA">
        <w:rPr>
          <w:rFonts w:eastAsia="Droid Sans Fallback"/>
        </w:rPr>
        <w:t xml:space="preserve"> </w:t>
      </w:r>
    </w:p>
    <w:p w14:paraId="019030AC" w14:textId="071D79EC" w:rsidR="00490494" w:rsidRPr="008608AA" w:rsidRDefault="00490494" w:rsidP="00EE708F">
      <w:pPr>
        <w:suppressAutoHyphens/>
        <w:spacing w:before="240"/>
        <w:rPr>
          <w:rFonts w:eastAsia="Droid Sans Fallback"/>
        </w:rPr>
      </w:pPr>
      <w:r w:rsidRPr="008608AA">
        <w:rPr>
          <w:rFonts w:eastAsia="Droid Sans Fallback"/>
        </w:rPr>
        <w:t xml:space="preserve">Mangroves. These wetland systems occur along coastal areas from the subtropics in North America to the tropical and subtropical regions of Central and South America. Like most wetlands, they provide a range of ecosystem goods and services. They provide provisioning services in the form of food production </w:t>
      </w:r>
      <w:r w:rsidRPr="008608AA">
        <w:rPr>
          <w:rFonts w:eastAsia="Droid Sans Fallback"/>
        </w:rPr>
        <w:fldChar w:fldCharType="begin" w:fldLock="1"/>
      </w:r>
      <w:r w:rsidRPr="008608AA">
        <w:rPr>
          <w:rFonts w:eastAsia="Droid Sans Fallback"/>
        </w:rPr>
        <w:instrText>ADDIN CSL_CITATION { "citationItems" : [ { "id" : "ITEM-1", "itemData" : { "DOI" : "10.1007/s13157-010-0132-9", "author" : [ { "dropping-particle" : "", "family" : "Engle", "given" : "Virginia D", "non-dropping-particle" : "", "parse-names" : false, "suffix" : "" } ], "container-title" : "Wetlands", "id" : "ITEM-1", "issued" : { "date-parts" : [ [ "2011" ] ] }, "page" : "179-193", "title" : "Estimating the Provision of Ecosystem Services by Gulf of Mexico Coastal Wetlands", "type" : "article-journal", "volume" : "31" }, "uris" : [ "http://www.mendeley.com/documents/?uuid=836f6965-693b-44db-9ad6-c69be0ccc489" ] } ], "mendeley" : { "formattedCitation" : "(Engle, 2011)", "plainTextFormattedCitation" : "(Engle, 2011)", "previouslyFormattedCitation" : "(Engle,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(Engle, 2011)</w:t>
      </w:r>
      <w:r w:rsidRPr="008608AA">
        <w:rPr>
          <w:rFonts w:eastAsia="Droid Sans Fallback"/>
        </w:rPr>
        <w:fldChar w:fldCharType="end"/>
      </w:r>
      <w:r w:rsidRPr="008608AA">
        <w:rPr>
          <w:rFonts w:eastAsia="Droid Sans Fallback"/>
        </w:rPr>
        <w:t xml:space="preserve">; regulating services in the form of storm protection, coastal protection, and erosion control </w:t>
      </w:r>
      <w:r w:rsidRPr="008608AA">
        <w:rPr>
          <w:rFonts w:eastAsia="Droid Sans Fallback"/>
        </w:rPr>
        <w:fldChar w:fldCharType="begin" w:fldLock="1"/>
      </w:r>
      <w:r w:rsidRPr="008608AA">
        <w:rPr>
          <w:rFonts w:eastAsia="Droid Sans Fallback"/>
        </w:rPr>
        <w:instrText>ADDIN CSL_CITATION { "citationItems" : [ { "id" : "ITEM-1", "itemData" : { "DOI" : "10.1016/j.ecss.2012.02.021", "ISBN" : "0272-7714", "ISSN" : "02727714", "abstract" : "Field observations and numerical simulations indicate that the 6-to-30-km-wide mangrove forest along the Gulf Coast of South Florida effectively attenuated storm surges from a Category 3 hurricane, Wilma, and protected the inland wetland by reducing an inundation area of 1800 km 2 and restricting surge inundation inside the mangrove zone. The surge amplitude decreases at a rate of 40-50 cm/km across the mangrove forest and at a rate of 20 cm/km across the areas with a mixture of mangrove islands with open water. In contrast, the amplitudes of storm surges at the front of the mangrove zone increase by about 10-30% because of the \" blockage\" of mangroves to surge water, which can cause greater impacts on structures at the front of mangroves than the case without mangroves. The mangrove forest can also protect the wetlands behind the mangrove zone against surge inundation from a Category 5 hurricane with a fast forward speed of 11.2 m/s (25 mph). However, the forest cannot fully attenuate storm surges from a Category 5 hurricane with a slow forward speed of 2.2 m/s (5 mph) and reduced surges can still affect the wetlands behind the mangrove zone. The effects of widths of mangrove zones on reducing surge amplitudes are nonlinear with large reduction rates (15-30%) for initial width increments and small rates (&lt;5%) for subsequent width increments. \u00a9 2012 Elsevier Ltd.", "author" : [ { "dropping-particle" : "", "family" : "Zhang", "given" : "Keqi", "non-dropping-particle" : "", "parse-names" : false, "suffix" : "" }, { "dropping-particle" : "", "family" : "Liu", "given" : "Huiqing", "non-dropping-particle" : "", "parse-names" : false, "suffix" : "" }, { "dropping-particle" : "", "family" : "Li", "given" : "Yuepeng", "non-dropping-particle" : "", "parse-names" : false, "suffix" : "" }, { "dropping-particle" : "", "family" : "Xu", "given" : "Hongzhou", "non-dropping-particle" : "", "parse-names" : false, "suffix" : "" }, { "dropping-particle" : "", "family" : "Shen", "given" : "Jian", "non-dropping-particle" : "", "parse-names" : false, "suffix" : "" }, { "dropping-particle" : "", "family" : "Rhome", "given" : "Jamie", "non-dropping-particle" : "", "parse-names" : false, "suffix" : "" }, { "dropping-particle" : "", "family" : "Smith", "given" : "Thomas J.", "non-dropping-particle" : "", "parse-names" : false, "suffix" : "" } ], "container-title" : "Estuarine, Coastal and Shelf Science", "id" : "ITEM-1", "issued" : { "date-parts" : [ [ "2012" ] ] }, "page" : "11-23", "publisher" : "Elsevier Ltd", "title" : "The role of mangroves in attenuating storm surges", "type" : "article-journal", "volume" : "102-103" }, "uris" : [ "http://www.mendeley.com/documents/?uuid=e68a2e9b-b4ba-468b-be97-61cf2a173656" ] }, { "id" : "ITEM-2", "itemData" : { "DOI" : "10.1016/j.ecoleng.2012.07.005", "ISBN" : "0925-8574", "ISSN" : "09258574", "abstract" : "This short communication highlights potential destabilisation of the muddy coast of Guyana, South America, caused by large-scale mangrove destruction. The stability of the coast of Guyana, which is part of one of the world's most extensive mangrove coasts, depends on large mud banks migrating alongshore from the mouth of the Amazon River and on mangrove colonisation of these banks. Under the pressures of economic development, the coastal zone of Guyana is progressively being transformed into agricultural land and aquaculture estates, protected by coastal dikes. These hard coastal defence structures, constructed in recent years, are less effective in dissipating wave energy than mud banks. They also hinder the various processes involved in the consolidation and subsequent mangrove colonisation of these banks, notably by enclosing mature mangrove forests and preventing propagule transport from these forests to mud banks. If unchecked, the progressive breakdown in the mud-bank and associated mangrove system that has led to progradation of the coastal plain of Guyana over the last 5000 years will result in large-scale coastal erosion that can only be countered by further engineering structures at prohibitive costs. The only coastal defence strategy, sound and viable over the long term, with regards to both environmental conservation and cost, consists in restoring a dynamic mud-bank and mangrove system on this wave-exposed coast. ?? 2012 Elsevier B.V.", "author" : [ { "dropping-particle" : "", "family" : "Anthony", "given" : "Edward J.", "non-dropping-particle" : "", "parse-names" : false, "suffix" : "" }, { "dropping-particle" : "", "family" : "Gratiot", "given" : "Nicolas", "non-dropping-particle" : "", "parse-names" : false, "suffix" : "" } ], "container-title" : "Ecological Engineering", "id" : "ITEM-2", "issued" : { "date-parts" : [ [ "2012" ] ] }, "page" : "268-273", "publisher" : "Elsevier B.V.", "title" : "Coastal engineering and large-scale mangrove destruction in Guyana, South America: Averting an environmental catastrophe in the making", "type" : "article-journal", "volume" : "47" }, "uris" : [ "http://www.mendeley.com/documents/?uuid=8f258e41-ae5f-43f2-9105-e44726e596bb" ] }, { "id" : "ITEM-3", "itemData" : { "DOI" : "10.1080/21513732.2014.997292", "ISBN" : "2151-3732", "ISSN" : "21513740", "abstract" : "ISSN: 2151-3732 (Print) 2151-3740 (Online) Journal homepage: http://www.tandfonline.com/loi/tbsm21 Coastal human settlements are becoming increasingly vulnerable to natural disasters such as tsunamis and cyclones. Recent events, including the Indian Ocean Tsunami in 2004 and Typhoon Haiyan in 2013, have brought the issue of coastal protection to the forefront in many countries across the globe. We conducted a review of recent research regarding the extent of coastal protection provided by mangroves that includes observational studies, numerical modeling, and laboratory experiments. We described our findings in a unique outline based on the methodology and event type and concluded that observational studies have not provided conclusive results on the extent of coastal protection provided by mangroves from extreme natural disasters. However, results from several recent numerical and physical models support the mitigating capabilities of mangroves for cyclone storm surges and small tsunamis. Studies on the economic valuation of mangroves have estimated coastal protection to be a major portion of their total value. Further research utilizing robust datasets for multivariate statistical analyses and validation of numerical models is still needed to provide a better assessment of the feasibility of incorporating mangroves into coastal protection plans.", "author" : [ { "dropping-particle" : "", "family" : "Marois", "given" : "Darryl E.", "non-dropping-particle" : "", "parse-names" : false, "suffix" : "" }, { "dropping-particle" : "", "family" : "Mitsch", "given" : "William J.", "non-dropping-particle" : "", "parse-names" : false, "suffix" : "" } ], "container-title" : "International Journal of Biodiversity Science, Ecosystem Services and Management", "id" : "ITEM-3", "issue" : "1", "issued" : { "date-parts" : [ [ "2015" ] ] }, "page" : "71-83", "title" : "Coastal protection from tsunamis and cyclones provided by mangrove wetlands - A review", "type" : "article-journal", "volume" : "11" }, "uris" : [ "http://www.mendeley.com/documents/?uuid=3c3fb01e-f6a5-497d-af7e-cc68e81075e3", "http://www.mendeley.com/documents/?uuid=17eda1bf-334b-4231-99a5-ea83b9f3c453" ] } ], "mendeley" : { "formattedCitation" : "(Anthony &amp; Gratiot, 2012a; Marois &amp; Mitsch, 2015; Zhang et al., 2012)", "plainTextFormattedCitation" : "(Anthony &amp; Gratiot, 2012a; Marois &amp; Mitsch, 2015; Zhang et al., 2012)", "previouslyFormattedCitation" : "(Anthony &amp; Gratiot, 2012a; Marois &amp; Mitsch, 2015; Zhang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(Anthony &amp; Gratiot, 2012a; Marois &amp; Mitsch, 2015; Zhang et al., 2012)</w:t>
      </w:r>
      <w:r w:rsidRPr="008608AA">
        <w:rPr>
          <w:rFonts w:eastAsia="Droid Sans Fallback"/>
        </w:rPr>
        <w:fldChar w:fldCharType="end"/>
      </w:r>
      <w:r w:rsidRPr="008608AA">
        <w:rPr>
          <w:rFonts w:eastAsia="Droid Sans Fallback"/>
        </w:rPr>
        <w:t xml:space="preserve"> and cultural services in the form of recreation and aesthetic enjoyment </w:t>
      </w:r>
      <w:r w:rsidRPr="008608AA">
        <w:rPr>
          <w:rFonts w:eastAsia="Droid Sans Fallback"/>
        </w:rPr>
        <w:fldChar w:fldCharType="begin" w:fldLock="1"/>
      </w:r>
      <w:r w:rsidRPr="008608AA">
        <w:rPr>
          <w:rFonts w:eastAsia="Droid Sans Fallback"/>
        </w:rPr>
        <w:instrText>ADDIN CSL_CITATION { "citationItems" : [ { "id" : "ITEM-1", "itemData" : { "ISBN" : "978-1-118-67682-0", "author" : [ { "dropping-particle" : "", "family" : "Mitsch", "given" : "William J.", "non-dropping-particle" : "", "parse-names" : false, "suffix" : "" }, { "dropping-particle" : "", "family" : "Gosselink", "given" : "James G.", "non-dropping-particle" : "", "parse-names" : false, "suffix" : "" } ], "edition" : "5th", "id" : "ITEM-1", "issued" : { "date-parts" : [ [ "2007" ] ] }, "number-of-pages" : "456", "publisher" : "John Wiley and Sons, Inc.", "publisher-place" : "New York", "title" : "Wetlands", "type" : "book" }, "uris" : [ "http://www.mendeley.com/documents/?uuid=ede89911-c435-48fc-b338-58067bd5a887" ] } ], "mendeley" : { "formattedCitation" : "(Mitsch &amp; Gosselink, 2007)", "plainTextFormattedCitation" : "(Mitsch &amp; Gosselink, 2007)", "previouslyFormattedCitation" : "(Mitsch &amp; Gosselink, 2007)"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(Mitsch &amp; Gosselink, 2007)</w:t>
      </w:r>
      <w:r w:rsidRPr="008608AA">
        <w:rPr>
          <w:rFonts w:eastAsia="Droid Sans Fallback"/>
        </w:rPr>
        <w:fldChar w:fldCharType="end"/>
      </w:r>
      <w:r w:rsidRPr="008608AA">
        <w:rPr>
          <w:rFonts w:eastAsia="Droid Sans Fallback"/>
        </w:rPr>
        <w:t xml:space="preserve"> (Figure 5.19). Indeed, they are considered some of the most productive wetlands on Earth from the standpoint of providing habitat for fisheries and wildlife.</w:t>
      </w:r>
    </w:p>
    <w:p w14:paraId="1FBAB6C6" w14:textId="77777777" w:rsidR="00C14E10" w:rsidRPr="008608AA" w:rsidRDefault="00490494" w:rsidP="00EE708F">
      <w:pPr>
        <w:suppressAutoHyphens/>
        <w:rPr>
          <w:rFonts w:eastAsia="Droid Sans Fallback"/>
        </w:rPr>
      </w:pPr>
      <w:r w:rsidRPr="008608AA">
        <w:rPr>
          <w:rFonts w:eastAsia="Droid Sans Fallback"/>
        </w:rPr>
        <w:t xml:space="preserve">On a global basis, it is estimated that over 60% of the world’s wetlands have been lost and this is largely due to land use changes, primarily conversion to agricultural systems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"Ramsar", "given" : "", "non-dropping-particle" : "", "parse-names" : false, "suffix" : "" } ], "id" : "ITEM-1", "issue" : "3.1", "issued" : { "date-parts" : [ [ "2006" ] ] }, "title" : "Wetlands : a global disappearing act", "type" : "article" }, "uris" : [ "http://www.mendeley.com/documents/?uuid=750382df-0a4d-4293-ac95-2fcf9e54c004" ] } ], "mendeley" : { "formattedCitation" : "(Ramsar, 2006)", "plainTextFormattedCitation" : "(Ramsar, 2006)", "previouslyFormattedCitation" : "(Ramsar,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(Ramsar, 2006)</w:t>
      </w:r>
      <w:r w:rsidRPr="008608AA">
        <w:rPr>
          <w:rFonts w:eastAsia="Droid Sans Fallback"/>
        </w:rPr>
        <w:fldChar w:fldCharType="end"/>
      </w:r>
      <w:r w:rsidRPr="008608AA">
        <w:rPr>
          <w:rFonts w:eastAsia="Droid Sans Fallback"/>
        </w:rPr>
        <w:t xml:space="preserve">; these losses are not uniformly distributed among wetland types or geographic areas, but the losses continue. Between 1980 and 2007, 25-35% of the world’s mangrove forests were lost </w:t>
      </w:r>
      <w:r w:rsidRPr="008608AA">
        <w:rPr>
          <w:rFonts w:eastAsia="Droid Sans Fallback"/>
        </w:rPr>
        <w:fldChar w:fldCharType="begin" w:fldLock="1"/>
      </w:r>
      <w:r w:rsidRPr="008608AA">
        <w:rPr>
          <w:rFonts w:eastAsia="Droid Sans Fallback"/>
        </w:rPr>
        <w:instrText>ADDIN CSL_CITATION { "citationItems" : [ { "id" : "ITEM-1", "itemData" : { "ISBN" : "1569735972", "author" : [ { "dropping-particle" : "", "family" : "MEA (Millenium Ecosystem Assessment)", "given" : "", "non-dropping-particle" : "", "parse-names" : false, "suffix" : "" } ], "id" : "ITEM-1", "issued" : { "date-parts" : [ [ "2005" ] ] }, "number-of-pages" : "68", "publisher" : "World Resources Institute (WRI)", "publisher-place" : "Washington DC", "title" : "Ecosystems and Human Well-Being: Wetlands and Water", "type" : "book" }, "uris" : [ "http://www.mendeley.com/documents/?uuid=aef02909-f977-4780-af18-410231213318" ] }, { "id" : "ITEM-2", "itemData" : { "author" : [ { "dropping-particle" : "", "family" : "FAO", "given" : "", "non-dropping-particle" : "", "parse-names" : false, "suffix" : "" } ], "id" : "ITEM-2", "issued" : { "date-parts" : [ [ "2017" ] ] }, "title" : "The Future of food and agriculture", "type" : "report" }, "uris" : [ "http://www.mendeley.com/documents/?uuid=4bf70ff3-27dc-394d-ab56-3a76e1e133c2" ] }, { "id" : "ITEM-3", "itemData" : { "author" : [ { "dropping-particle" : "", "family" : "Inniss", "given" : "Lorna", "non-dropping-particle" : "", "parse-names" : false, "suffix" : "" }, { "dropping-particle" : "", "family" : "Simcock", "given" : "Alan", "non-dropping-particle" : "", "parse-names" : false, "suffix" : "" } ], "id" : "ITEM-3", "issued" : { "date-parts" : [ [ "2016" ] ] }, "title" : "The First Global Integrated Marine Assessment: World Ocean Assessment I", "type" : "report" }, "uris" : [ "http://www.mendeley.com/documents/?uuid=d3477440-cdee-4ec0-ba33-dfac26c49dd7" ] } ], "mendeley" : { "formattedCitation" : "(FAO, 2017a; Inniss &amp; Simcock, 2016; MEA (Millenium Ecosystem Assessment), 2005)", "plainTextFormattedCitation" : "(FAO, 2017a; Inniss &amp; Simcock, 2016; MEA (Millenium Ecosystem Assessment), 2005)", "previouslyFormattedCitation" : "(FAO, 2017a; Inniss &amp; Simcock, 2016; MEA (Millenium Ecosystem Assessment), 2005)"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(FAO, 2017a; Inniss &amp; Simcock, 2016; MEA, 2005)</w:t>
      </w:r>
      <w:r w:rsidRPr="008608AA">
        <w:rPr>
          <w:rFonts w:eastAsia="Droid Sans Fallback"/>
        </w:rPr>
        <w:fldChar w:fldCharType="end"/>
      </w:r>
      <w:r w:rsidRPr="008608AA">
        <w:rPr>
          <w:rFonts w:eastAsia="Droid Sans Fallback"/>
        </w:rPr>
        <w:t xml:space="preserve">. Moreover, Marois and Mitsch </w:t>
      </w:r>
      <w:r w:rsidRPr="008608AA">
        <w:rPr>
          <w:rFonts w:eastAsia="Droid Sans Fallback"/>
        </w:rPr>
        <w:fldChar w:fldCharType="begin" w:fldLock="1"/>
      </w:r>
      <w:r w:rsidRPr="008608AA">
        <w:rPr>
          <w:rFonts w:eastAsia="Droid Sans Fallback"/>
        </w:rPr>
        <w:instrText>ADDIN CSL_CITATION { "citationItems" : [ { "id" : "ITEM-1", "itemData" : { "DOI" : "10.1080/21513732.2014.997292", "ISBN" : "2151-3732", "ISSN" : "21513740", "abstract" : "ISSN: 2151-3732 (Print) 2151-3740 (Online) Journal homepage: http://www.tandfonline.com/loi/tbsm21 Coastal human settlements are becoming increasingly vulnerable to natural disasters such as tsunamis and cyclones. Recent events, including the Indian Ocean Tsunami in 2004 and Typhoon Haiyan in 2013, have brought the issue of coastal protection to the forefront in many countries across the globe. We conducted a review of recent research regarding the extent of coastal protection provided by mangroves that includes observational studies, numerical modeling, and laboratory experiments. We described our findings in a unique outline based on the methodology and event type and concluded that observational studies have not provided conclusive results on the extent of coastal protection provided by mangroves from extreme natural disasters. However, results from several recent numerical and physical models support the mitigating capabilities of mangroves for cyclone storm surges and small tsunamis. Studies on the economic valuation of mangroves have estimated coastal protection to be a major portion of their total value. Further research utilizing robust datasets for multivariate statistical analyses and validation of numerical models is still needed to provide a better assessment of the feasibility of incorporating mangroves into coastal protection plans.", "author" : [ { "dropping-particle" : "", "family" : "Marois", "given" : "Darryl E.", "non-dropping-particle" : "", "parse-names" : false, "suffix" : "" }, { "dropping-particle" : "", "family" : "Mitsch", "given" : "William J.", "non-dropping-particle" : "", "parse-names" : false, "suffix" : "" } ], "container-title" : "International Journal of Biodiversity Science, Ecosystem Services and Management", "id" : "ITEM-1", "issue" : "1", "issued" : { "date-parts" : [ [ "2015" ] ] }, "page" : "71-83", "title" : "Coastal protection from tsunamis and cyclones provided by mangrove wetlands - A review", "type" : "article-journal", "volume" : "11" }, "suppress-author" : 1, "uris" : [ "http://www.mendeley.com/documents/?uuid=fd5d90f6-dbe8-444e-9212-1736037bf745" ] } ], "mendeley" : { "formattedCitation" : "(2015)", "plainTextFormattedCitation" : "(2015)", "previouslyFormattedCitation" :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(2015)</w:t>
      </w:r>
      <w:r w:rsidRPr="008608AA">
        <w:rPr>
          <w:rFonts w:eastAsia="Droid Sans Fallback"/>
        </w:rPr>
        <w:fldChar w:fldCharType="end"/>
      </w:r>
      <w:r w:rsidRPr="008608AA">
        <w:rPr>
          <w:rFonts w:eastAsia="Droid Sans Fallback"/>
        </w:rPr>
        <w:t xml:space="preserve"> state that the majority of remaining mangrove forests are located within 25km of major urban centers. Recent figures indicate that the loss of mangrove forest has continued with an additional loss of 1-2% per year, though higher rates occur in some regions. It is notable for this assessment that from 1980 – 2007, there has been a loss 24-28% of the areal extent of mangroves in the Caribbean with much of the loss due to conversion to urbanization, fuel wood, solid waste disposal, and aquaculture </w:t>
      </w:r>
      <w:r w:rsidRPr="008608AA">
        <w:rPr>
          <w:rFonts w:eastAsia="Droid Sans Fallback"/>
        </w:rPr>
        <w:fldChar w:fldCharType="begin" w:fldLock="1"/>
      </w:r>
      <w:r w:rsidRPr="008608AA">
        <w:rPr>
          <w:rFonts w:eastAsia="Droid Sans Fallback"/>
        </w:rPr>
        <w:instrText>ADDIN CSL_CITATION { "citationItems" : [ { "id" : "ITEM-1", "itemData" : { "DOI" : "10.1016/j.ecoleng.2012.07.005", "ISBN" : "0925-8574", "ISSN" : "09258574", "abstract" : "This short communication highlights potential destabilisation of the muddy coast of Guyana, South America, caused by large-scale mangrove destruction. The stability of the coast of Guyana, which is part of one of the world's most extensive mangrove coasts, depends on large mud banks migrating alongshore from the mouth of the Amazon River and on mangrove colonisation of these banks. Under the pressures of economic development, the coastal zone of Guyana is progressively being transformed into agricultural land and aquaculture estates, protected by coastal dikes. These hard coastal defence structures, constructed in recent years, are less effective in dissipating wave energy than mud banks. They also hinder the various processes involved in the consolidation and subsequent mangrove colonisation of these banks, notably by enclosing mature mangrove forests and preventing propagule transport from these forests to mud banks. If unchecked, the progressive breakdown in the mud-bank and associated mangrove system that has led to progradation of the coastal plain of Guyana over the last 5000 years will result in large-scale coastal erosion that can only be countered by further engineering structures at prohibitive costs. The only coastal defence strategy, sound and viable over the long term, with regards to both environmental conservation and cost, consists in restoring a dynamic mud-bank and mangrove system on this wave-exposed coast. ?? 2012 Elsevier B.V.", "author" : [ { "dropping-particle" : "", "family" : "Anthony", "given" : "Edward J.", "non-dropping-particle" : "", "parse-names" : false, "suffix" : "" }, { "dropping-particle" : "", "family" : "Gratiot", "given" : "Nicolas", "non-dropping-particle" : "", "parse-names" : false, "suffix" : "" } ], "container-title" : "Ecological Engineering", "id" : "ITEM-1", "issued" : { "date-parts" : [ [ "2012", "10" ] ] }, "page" : "268-273", "publisher" : "Elsevier B.V.", "title" : "Coastal engineering and large-scale mangrove destruction in Guyana, South America: Averting an environmental catastrophe in the making", "type" : "article-journal", "volume" : "47" }, "uris" : [ "http://www.mendeley.com/documents/?uuid=1c5afa07-7400-4e84-b011-d1abded1eecb" ] }, { "id" : "ITEM-2", "itemData" : { "author" : [ { "dropping-particle" : "", "family" : "Inniss", "given" : "Lorna", "non-dropping-particle" : "", "parse-names" : false, "suffix" : "" }, { "dropping-particle" : "", "family" : "Simcock", "given" : "Alan", "non-dropping-particle" : "", "parse-names" : false, "suffix" : "" } ], "id" : "ITEM-2", "issued" : { "date-parts" : [ [ "2016" ] ] }, "title" : "The First Global Integrated Marine Assessment: World Ocean Assessment I", "type" : "report" }, "uris" : [ "http://www.mendeley.com/documents/?uuid=d3477440-cdee-4ec0-ba33-dfac26c49dd7" ] } ], "mendeley" : { "formattedCitation" : "(Anthony &amp; Gratiot, 2012b; Inniss &amp; Simcock, 2016)", "plainTextFormattedCitation" : "(Anthony &amp; Gratiot, 2012b; Inniss &amp; Simcock, 2016)", "previouslyFormattedCitation" : "(Anthony &amp; Gratiot, 2012b; Inniss &amp; Simcock,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(Anthony &amp; Gratiot, 2012b; Inniss &amp; Simcock, 2016)</w:t>
      </w:r>
      <w:r w:rsidRPr="008608AA">
        <w:rPr>
          <w:rFonts w:eastAsia="Droid Sans Fallback"/>
        </w:rPr>
        <w:fldChar w:fldCharType="end"/>
      </w:r>
      <w:r w:rsidRPr="008608AA">
        <w:rPr>
          <w:rFonts w:eastAsia="Droid Sans Fallback"/>
        </w:rPr>
        <w:t>.</w:t>
      </w:r>
    </w:p>
    <w:p w14:paraId="13A7FAAC" w14:textId="59029814" w:rsidR="00490494" w:rsidRPr="008608AA" w:rsidRDefault="00490494" w:rsidP="00EE708F">
      <w:pPr>
        <w:suppressAutoHyphens/>
        <w:rPr>
          <w:rFonts w:eastAsia="Droid Sans Fallback"/>
        </w:rPr>
      </w:pPr>
      <w:r w:rsidRPr="008608AA">
        <w:rPr>
          <w:rFonts w:eastAsia="Droid Sans Fallback"/>
        </w:rPr>
        <w:t xml:space="preserve"> </w:t>
      </w:r>
    </w:p>
    <w:p w14:paraId="2E485734" w14:textId="1D5D50AD" w:rsidR="00490494" w:rsidRPr="008608AA" w:rsidRDefault="00490494" w:rsidP="00EE708F">
      <w:pPr>
        <w:suppressAutoHyphens/>
        <w:rPr>
          <w:rFonts w:eastAsia="Droid Sans Fallback"/>
        </w:rPr>
      </w:pPr>
      <w:r w:rsidRPr="008608AA">
        <w:rPr>
          <w:rFonts w:eastAsia="Droid Sans Fallback"/>
        </w:rPr>
        <w:t xml:space="preserve">With anticipated rises in sea level and more and more intense storm events associated with climate change, this loss of mangrove forest is of concern due to their role in storm surge attenuation, shoreline protection, and soil erosion prevention. The attenuation of normal wave energy by mangroves is well known. However, it has become increasingly recognized that mangrove forests may play a significant role in ameliorating the effects of severe storm and tsunami-generated waves. Danielsen </w:t>
      </w:r>
      <w:r w:rsidRPr="008608AA">
        <w:rPr>
          <w:rFonts w:eastAsia="Droid Sans Fallback"/>
        </w:rPr>
        <w:fldChar w:fldCharType="begin" w:fldLock="1"/>
      </w:r>
      <w:r w:rsidRPr="008608AA">
        <w:rPr>
          <w:rFonts w:eastAsia="Droid Sans Fallback"/>
        </w:rPr>
        <w:instrText>ADDIN CSL_CITATION { "citationItems" : [ { "id" : "ITEM-1", "itemData" : { "DOI" : "10.1126/science.1118387", "ISBN" : "0036-8075", "ISSN" : "0036-8075", "PMID" : "16254180", "abstract" : "The 26 December 2004 Indian Ocean tsunami had major effects on coastal communities and ecosystems. An assessment of coastlines after the tsunami indicates that coastal vegetation such as mangroves and beach forests helped to provide protection and reduce effects on adjacent communities. In recent years, mangroves and other coastal vegetation have been cleared or degraded along many coastlines, increasing their vulnerability to storm and tsunami damage. Establishing or strengthening greenbelts of mangroves and other coastal forests may play a key role in reducing the effect of future extreme events.", "author" : [ { "dropping-particle" : "", "family" : "Danielsen", "given" : "F.", "non-dropping-particle" : "", "parse-names" : false, "suffix" : "" } ], "container-title" : "Science", "id" : "ITEM-1", "issue" : "5748", "issued" : { "date-parts" : [ [ "2005" ] ] }, "page" : "643-643", "title" : "The Asian Tsunami: A Protective Role for Coastal Vegetation", "type" : "article-journal", "volume" : "310" }, "suppress-author" : 1, "uris" : [ "http://www.mendeley.com/documents/?uuid=81804d10-0a77-42aa-8597-0eb69280b3b9" ] } ], "mendeley" : { "formattedCitation" : "(2005)", "plainTextFormattedCitation" : "(2005)", "previouslyFormattedCitation" : "(2005)"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(2005)</w:t>
      </w:r>
      <w:r w:rsidRPr="008608AA">
        <w:rPr>
          <w:rFonts w:eastAsia="Droid Sans Fallback"/>
        </w:rPr>
        <w:fldChar w:fldCharType="end"/>
      </w:r>
      <w:r w:rsidRPr="008608AA">
        <w:rPr>
          <w:rFonts w:eastAsia="Droid Sans Fallback"/>
        </w:rPr>
        <w:t xml:space="preserve"> reported that villages that had a mangrove barrier suffered relatively fewer deaths from the Indian Ocean tsunami than villages without such a barrier. While some have questioned the efficacy of mangroves in the</w:t>
      </w:r>
      <w:r w:rsidR="007B0660" w:rsidRPr="008608AA">
        <w:rPr>
          <w:rFonts w:eastAsia="Droid Sans Fallback"/>
        </w:rPr>
        <w:t xml:space="preserve"> case of tsunamis, Zhang et al.</w:t>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"DOI" : "10.1016/j.ecss.2012.02.021", "ISBN" : "0272-7714", "ISSN" : "02727714", "abstract" : "Field observations and numerical simulations indicate that the 6-to-30-km-wide mangrove forest along the Gulf Coast of South Florida effectively attenuated storm surges from a Category 3 hurricane, Wilma, and protected the inland wetland by reducing an inundation area of 1800 km 2 and restricting surge inundation inside the mangrove zone. The surge amplitude decreases at a rate of 40-50 cm/km across the mangrove forest and at a rate of 20 cm/km across the areas with a mixture of mangrove islands with open water. In contrast, the amplitudes of storm surges at the front of the mangrove zone increase by about 10-30% because of the \" blockage\" of mangroves to surge water, which can cause greater impacts on structures at the front of mangroves than the case without mangroves. The mangrove forest can also protect the wetlands behind the mangrove zone against surge inundation from a Category 5 hurricane with a fast forward speed of 11.2 m/s (25 mph). However, the forest cannot fully attenuate storm surges from a Category 5 hurricane with a slow forward speed of 2.2 m/s (5 mph) and reduced surges can still affect the wetlands behind the mangrove zone. The effects of widths of mangrove zones on reducing surge amplitudes are nonlinear with large reduction rates (15-30%) for initial width increments and small rates (&lt;5%) for subsequent width increments. \u00a9 2012 Elsevier Ltd.", "author" : [ { "dropping-particle" : "", "family" : "Zhang", "given" : "Keqi", "non-dropping-particle" : "", "parse-names" : false, "suffix" : "" }, { "dropping-particle" : "", "family" : "Liu", "given" : "Huiqing", "non-dropping-particle" : "", "parse-names" : false, "suffix" : "" }, { "dropping-particle" : "", "family" : "Li", "given" : "Yuepeng", "non-dropping-particle" : "", "parse-names" : false, "suffix" : "" }, { "dropping-particle" : "", "family" : "Xu", "given" : "Hongzhou", "non-dropping-particle" : "", "parse-names" : false, "suffix" : "" }, { "dropping-particle" : "", "family" : "Shen", "given" : "Jian", "non-dropping-particle" : "", "parse-names" : false, "suffix" : "" }, { "dropping-particle" : "", "family" : "Rhome", "given" : "Jamie", "non-dropping-particle" : "", "parse-names" : false, "suffix" : "" }, { "dropping-particle" : "", "family" : "Smith", "given" : "Thomas J.", "non-dropping-particle" : "", "parse-names" : false, "suffix" : "" } ], "container-title" : "Estuarine, Coastal and Shelf Science", "id" : "ITEM-1", "issued" : { "date-parts" : [ [ "2012" ] ] }, "page" : "11-23", "publisher" : "Elsevier Ltd", "title" : "The role of mangroves in attenuating storm surges", "type" : "article-journal", "volume" : "102-103" }, "suppress-author" : 1, "uris" : [ "http://www.mendeley.com/documents/?uuid=e68a2e9b-b4ba-468b-be97-61cf2a173656" ] } ], "mendeley" : { "formattedCitation" : "(2012)", "plainTextFormattedCitation" : "(2012)", "previouslyFormattedCitation" :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(2012)</w:t>
      </w:r>
      <w:r w:rsidRPr="008608AA">
        <w:rPr>
          <w:rFonts w:eastAsia="Droid Sans Fallback"/>
        </w:rPr>
        <w:fldChar w:fldCharType="end"/>
      </w:r>
      <w:r w:rsidRPr="008608AA">
        <w:rPr>
          <w:rFonts w:eastAsia="Droid Sans Fallback"/>
        </w:rPr>
        <w:t xml:space="preserve"> have convincingly demonstrated the protective value of mangroves in the case of hurricane Wilma that had landfall in southwest Florida USA. They showed that a 7-8km wide mangrove forest reduced inundation by 80%, thus protecting inland freshwater wetlands from saltwater encroachment.</w:t>
      </w:r>
    </w:p>
    <w:p w14:paraId="3A621366" w14:textId="77777777" w:rsidR="00C14E10" w:rsidRPr="008608AA" w:rsidRDefault="00490494" w:rsidP="00EE708F">
      <w:pPr>
        <w:suppressAutoHyphens/>
        <w:rPr>
          <w:rFonts w:eastAsia="Droid Sans Fallback"/>
        </w:rPr>
      </w:pPr>
      <w:r w:rsidRPr="008608AA">
        <w:rPr>
          <w:rFonts w:eastAsia="Droid Sans Fallback"/>
        </w:rPr>
        <w:t xml:space="preserve">Mangroves also play a role in prevention of soil erosion. Along the northern coast of South America, sediment-laden waters from the Amazon River form extensive areas of shifting mud flats. These mud flats extend thousands of kilometers along the coast and are stabilized by mangroves. However, in some areas, the mangroves have been removed for development, or dikes built to establish aquaculture operations, isolating the mangroves. In those areas, the protective stabilization provided by the mangroves is no longer there, resulting in erosion of the mud flats and conversion of the shore to sand. The sandy soils do not support vegetation and are highly erodible requiring local communities to install expensive shoreline armoring, such as rip-rap or concrete break walls </w:t>
      </w:r>
      <w:r w:rsidRPr="008608AA">
        <w:rPr>
          <w:rFonts w:eastAsia="Droid Sans Fallback"/>
        </w:rPr>
        <w:fldChar w:fldCharType="begin" w:fldLock="1"/>
      </w:r>
      <w:r w:rsidRPr="008608AA">
        <w:rPr>
          <w:rFonts w:eastAsia="Droid Sans Fallback"/>
        </w:rPr>
        <w:instrText>ADDIN CSL_CITATION { "citationItems" : [ { "id" : "ITEM-1", "itemData" : { "DOI" : "10.1016/j.ecoleng.2012.07.005", "ISBN" : "0925-8574", "ISSN" : "09258574", "abstract" : "This short communication highlights potential destabilisation of the muddy coast of Guyana, South America, caused by large-scale mangrove destruction. The stability of the coast of Guyana, which is part of one of the world's most extensive mangrove coasts, depends on large mud banks migrating alongshore from the mouth of the Amazon River and on mangrove colonisation of these banks. Under the pressures of economic development, the coastal zone of Guyana is progressively being transformed into agricultural land and aquaculture estates, protected by coastal dikes. These hard coastal defence structures, constructed in recent years, are less effective in dissipating wave energy than mud banks. They also hinder the various processes involved in the consolidation and subsequent mangrove colonisation of these banks, notably by enclosing mature mangrove forests and preventing propagule transport from these forests to mud banks. If unchecked, the progressive breakdown in the mud-bank and associated mangrove system that has led to progradation of the coastal plain of Guyana over the last 5000 years will result in large-scale coastal erosion that can only be countered by further engineering structures at prohibitive costs. The only coastal defence strategy, sound and viable over the long term, with regards to both environmental conservation and cost, consists in restoring a dynamic mud-bank and mangrove system on this wave-exposed coast. ?? 2012 Elsevier B.V.", "author" : [ { "dropping-particle" : "", "family" : "Anthony", "given" : "Edward J.", "non-dropping-particle" : "", "parse-names" : false, "suffix" : "" }, { "dropping-particle" : "", "family" : "Gratiot", "given" : "Nicolas", "non-dropping-particle" : "", "parse-names" : false, "suffix" : "" } ], "container-title" : "Ecological Engineering", "id" : "ITEM-1", "issued" : { "date-parts" : [ [ "2012", "10" ] ] }, "page" : "268-273", "publisher" : "Elsevier B.V.", "title" : "Coastal engineering and large-scale mangrove destruction in Guyana, South America: Averting an environmental catastrophe in the making", "type" : "article-journal", "volume" : "47" }, "uris" : [ "http://www.mendeley.com/documents/?uuid=1c5afa07-7400-4e84-b011-d1abded1eecb" ] } ], "mendeley" : { "formattedCitation" : "(Anthony &amp; Gratiot, 2012b)", "plainTextFormattedCitation" : "(Anthony &amp; Gratiot, 2012b)", "previouslyFormattedCitation" : "(Anthony &amp; Gratiot, 2012b)"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(Anthony &amp; Gratiot, 2012b)</w:t>
      </w:r>
      <w:r w:rsidRPr="008608AA">
        <w:rPr>
          <w:rFonts w:eastAsia="Droid Sans Fallback"/>
        </w:rPr>
        <w:fldChar w:fldCharType="end"/>
      </w:r>
      <w:r w:rsidRPr="008608AA">
        <w:rPr>
          <w:rFonts w:eastAsia="Droid Sans Fallback"/>
        </w:rPr>
        <w:t>.</w:t>
      </w:r>
    </w:p>
    <w:p w14:paraId="28462625" w14:textId="5F8EFFB4" w:rsidR="00490494" w:rsidRPr="008608AA" w:rsidRDefault="00490494" w:rsidP="00EE708F">
      <w:pPr>
        <w:suppressAutoHyphens/>
        <w:rPr>
          <w:rFonts w:eastAsia="Droid Sans Fallback"/>
        </w:rPr>
      </w:pPr>
      <w:r w:rsidRPr="008608AA">
        <w:rPr>
          <w:rFonts w:eastAsia="Droid Sans Fallback"/>
        </w:rPr>
        <w:t xml:space="preserve"> </w:t>
      </w:r>
    </w:p>
    <w:p w14:paraId="263216C6" w14:textId="5040E1F6" w:rsidR="00490494" w:rsidRPr="008608AA" w:rsidRDefault="00490494" w:rsidP="00EE708F">
      <w:pPr>
        <w:suppressAutoHyphens/>
        <w:rPr>
          <w:rFonts w:eastAsia="Droid Sans Fallback"/>
        </w:rPr>
      </w:pPr>
      <w:r w:rsidRPr="008608AA">
        <w:rPr>
          <w:rFonts w:eastAsia="Droid Sans Fallback"/>
        </w:rPr>
        <w:t xml:space="preserve">Conservation of the mangroves in an area may also have synergistic effects. Engle </w:t>
      </w:r>
      <w:r w:rsidRPr="008608AA">
        <w:rPr>
          <w:rFonts w:eastAsia="Droid Sans Fallback"/>
        </w:rPr>
        <w:fldChar w:fldCharType="begin" w:fldLock="1"/>
      </w:r>
      <w:r w:rsidRPr="008608AA">
        <w:rPr>
          <w:rFonts w:eastAsia="Droid Sans Fallback"/>
        </w:rPr>
        <w:instrText>ADDIN CSL_CITATION { "citationItems" : [ { "id" : "ITEM-1", "itemData" : { "DOI" : "10.1007/s13157-010-0132-9", "author" : [ { "dropping-particle" : "", "family" : "Engle", "given" : "Virginia D", "non-dropping-particle" : "", "parse-names" : false, "suffix" : "" } ], "container-title" : "Wetlands", "id" : "ITEM-1", "issued" : { "date-parts" : [ [ "2011" ] ] }, "page" : "179-193", "title" : "Estimating the Provision of Ecosystem Services by Gulf of Mexico Coastal Wetlands", "type" : "article-journal", "volume" : "31" }, "suppress-author" : 1, "uris" : [ "http://www.mendeley.com/documents/?uuid=836f6965-693b-44db-9ad6-c69be0ccc489" ] } ], "mendeley" : { "formattedCitation" : "(2011)", "plainTextFormattedCitation" : "(2011)", "previouslyFormattedCitation" :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(2011)</w:t>
      </w:r>
      <w:r w:rsidRPr="008608AA">
        <w:rPr>
          <w:rFonts w:eastAsia="Droid Sans Fallback"/>
        </w:rPr>
        <w:fldChar w:fldCharType="end"/>
      </w:r>
      <w:r w:rsidR="003247C5" w:rsidRPr="008608AA">
        <w:rPr>
          <w:rFonts w:eastAsia="Droid Sans Fallback"/>
        </w:rPr>
        <w:t>,</w:t>
      </w:r>
      <w:r w:rsidRPr="008608AA">
        <w:rPr>
          <w:rFonts w:eastAsia="Droid Sans Fallback"/>
        </w:rPr>
        <w:t xml:space="preserve"> reviewed the available information on ecosystem services associated with wetlands in the Gulf of Mexico, including shrimp production. Juvenile shrimp develop in coastal wetlands, primarily marshes. However, as in the case of mangrove forests, there is an on-going loss of coastal marsh in the Gulf of Mexico primarily resulting from changes in flow patterns induced by oil and gas exploration </w:t>
      </w:r>
      <w:r w:rsidRPr="008608AA">
        <w:rPr>
          <w:rFonts w:eastAsia="Droid Sans Fallback"/>
        </w:rPr>
        <w:fldChar w:fldCharType="begin" w:fldLock="1"/>
      </w:r>
      <w:r w:rsidRPr="008608AA">
        <w:rPr>
          <w:rFonts w:eastAsia="Droid Sans Fallback"/>
        </w:rPr>
        <w:instrText>ADDIN CSL_CITATION { "citationItems" : [ { "id" : "ITEM-1", "itemData" : { "DOI" : "10.1002/2016GL070624", "author" : [ { "dropping-particle" : "", "family" : "Rangoonwala", "given" : "Amina", "non-dropping-particle" : "", "parse-names" : false, "suffix" : "" }, { "dropping-particle" : "", "family" : "Jones", "given" : "Cathleen E.", "non-dropping-particle" : "", "parse-names" : false, "suffix" : "" }, { "dropping-particle" : "", "family" : "Ramsey", "given" : "Elijah (III)", "non-dropping-particle" : "", "parse-names" : false, "suffix" : "" } ], "container-title" : "Geophysical Research Letters", "id" : "ITEM-1", "issue" : "11", "issued" : { "date-parts" : [ [ "2016" ] ] }, "page" : "652-660", "title" : "Wetland shoreline recession in the Mississippi River Delta from petroleum oiling and cyclonic storms", "type" : "article-journal", "volume" : "43" }, "uris" : [ "http://www.mendeley.com/documents/?uuid=c751e401-ee6e-4b5c-aa00-441a3e3b484b" ] } ], "mendeley" : { "formattedCitation" : "(Rangoonwala, Jones, &amp; Ramsey, 2016)", "plainTextFormattedCitation" : "(Rangoonwala, Jones, &amp; Ramsey, 2016)", "previouslyFormattedCitation" : "(Rangoonwala, Jones, &amp; Ramsey,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(Rangoonwala et al., 2016)</w:t>
      </w:r>
      <w:r w:rsidRPr="008608AA">
        <w:rPr>
          <w:rFonts w:eastAsia="Droid Sans Fallback"/>
        </w:rPr>
        <w:fldChar w:fldCharType="end"/>
      </w:r>
      <w:r w:rsidRPr="008608AA">
        <w:rPr>
          <w:rFonts w:eastAsia="Droid Sans Fallback"/>
        </w:rPr>
        <w:t>. As shrimp habitat decreases, it has been found that juvenile shrimp use other coastal wetlands, such as open bays and seagrass areas. Thus, there may be ancillary benefits to the shrimp industry from mangrove conservation by providing alternative habitat for juvenile shrimp.</w:t>
      </w:r>
    </w:p>
    <w:p w14:paraId="0FBDC1F1" w14:textId="77777777" w:rsidR="00C14E10" w:rsidRPr="008608AA" w:rsidRDefault="00C14E10" w:rsidP="00EE708F">
      <w:pPr>
        <w:suppressAutoHyphens/>
        <w:rPr>
          <w:rFonts w:eastAsia="Droid Sans Fallback"/>
        </w:rPr>
      </w:pPr>
    </w:p>
    <w:p w14:paraId="6AA06409" w14:textId="77777777" w:rsidR="00490494" w:rsidRPr="008608AA" w:rsidRDefault="00490494" w:rsidP="00EE708F">
      <w:pPr>
        <w:suppressAutoHyphens/>
        <w:rPr>
          <w:rFonts w:eastAsia="Droid Sans Fallback"/>
        </w:rPr>
      </w:pPr>
      <w:r w:rsidRPr="008608AA">
        <w:rPr>
          <w:rFonts w:eastAsia="Droid Sans Fallback"/>
        </w:rPr>
        <w:t>Despite efforts to restore mangroves in some areas in the Americas (</w:t>
      </w:r>
      <w:hyperlink r:id="rId1045" w:history="1">
        <w:r w:rsidRPr="008608AA">
          <w:rPr>
            <w:rFonts w:eastAsia="Droid Sans Fallback"/>
          </w:rPr>
          <w:t>http://www.mangroverestoration.com/</w:t>
        </w:r>
      </w:hyperlink>
      <w:r w:rsidRPr="008608AA">
        <w:rPr>
          <w:rFonts w:eastAsia="Droid Sans Fallback"/>
        </w:rPr>
        <w:t xml:space="preserve">), expansion of aquaculture and will likely continue to reduce the extent of this valuable ecosystem. </w:t>
      </w:r>
      <w:r w:rsidRPr="008608AA">
        <w:rPr>
          <w:rFonts w:eastAsia="Droid Sans Fallback"/>
        </w:rPr>
        <w:fldChar w:fldCharType="begin" w:fldLock="1"/>
      </w:r>
      <w:r w:rsidRPr="008608AA">
        <w:rPr>
          <w:rFonts w:eastAsia="Droid Sans Fallback"/>
        </w:rPr>
        <w:instrText>ADDIN CSL_CITATION { "citationItems" : [ { "id" : "ITEM-1", "itemData" : { "DOI" : "10.1017/S0376892902000231", "ISBN" : "03768929", "ISSN" : "0376-8929", "PMID" : "203164725", "abstract" : "Mangroves, the only woody halophytes living at the confluence of land and sea, have been heavily used traditionally for food, timber, fuel and medicine, and presently occupy about 181000km2 of tropical and subtropical coastline. Over the past 50 years, approxi- mately one-third of the world\u2019s mangrove forests have been lost, but most data show very variable loss rates and there is considerable margin of error in most esti- mates. Mangroves are a valuable ecological and economic resource, being important nursery grounds and breeding sites for birds, fish, crustaceans, shell- fish, reptiles and mammals; a renewable source of wood; accumulation sites for sediment, contaminants, carbon and nutrients; and offer protection against coastal erosion. The destruction of mangroves is usually positively related to human population density. Major reasons for destruction are urban development, aquaculture, mining and overexploita- tion for timber, fish, crustaceans and shellfish. Over the next 25 years, unrestricted clear felling, aquacul- ture, and overexploitation of fisheries will be the greatest threats, with lesser problems being alteration of hydrology, pollution and global warming. Loss of biodiversity is, and will continue to be, a severe problem as even pristine mangroves are species-poor compared with other tropical ecosystems. The future is not entirely bleak. The number of rehabilitation and restoration projects is increasing worldwide with some countries showing increases in mangrove area. The intensity of coastal aquaculture appears to have levelled off in some parts of the world. Some commer- cial projects and economic models indicate that mangroves can be used as a sustainable resource, especially for wood. The brightest note is that the rate of population growth is projected to slow during the next 50 years, with a gradual decline thereafter to the end of the century. Mangrove forests will continue to be exploited at current rates to 2025, unless they are seen as a valuable resource to be managed on a sustainable basis. After 2025, the future of mangroves will depend on technological and ecological advances d.alongi@aims.gov.au in multi-species silviculture, genetics, and forestry modelling, but the greatest hope for their future is for a reduction in human population growth", "author" : [ { "dropping-particle" : "", "family" : "Alongi", "given" : "D.M.", "non-dropping-particle" : "", "parse-names" : false, "suffix" : "" } ], "container-title" : "Environmental Conservation", "id" : "ITEM-1", "issued" : { "date-parts" : [ [ "2002" ] ] }, "page" : "331-349", "title" : "Present state and future of the world's mangrove forests", "type" : "article-journal", "volume" : "29" }, "uris" : [ "http://www.mendeley.com/documents/?uuid=f9a25bec-2ea4-4de9-ba77-cdf999713666" ] } ], "mendeley" : { "formattedCitation" : "(Alongi, 2002)", "manualFormatting" : "Alongi (2002)", "plainTextFormattedCitation" : "(Alongi, 2002)", "previouslyFormattedCitation" : "(Alongi, 2002)"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Alongi (2002)</w:t>
      </w:r>
      <w:r w:rsidRPr="008608AA">
        <w:rPr>
          <w:rFonts w:eastAsia="Droid Sans Fallback"/>
        </w:rPr>
        <w:fldChar w:fldCharType="end"/>
      </w:r>
      <w:r w:rsidRPr="008608AA">
        <w:rPr>
          <w:rFonts w:eastAsia="Droid Sans Fallback"/>
        </w:rPr>
        <w:t xml:space="preserve"> predicted that over the next 25 years, unrestricted tree felling, aquaculture, and overexploitation of fisheries will be the greatest threats worldwide, with lesser problems being alteration of hydrology, pollution and global warming. In contrast, Ellison and Farnsworth </w:t>
      </w:r>
      <w:r w:rsidRPr="008608AA">
        <w:rPr>
          <w:rFonts w:eastAsia="Droid Sans Fallback"/>
        </w:rPr>
        <w:fldChar w:fldCharType="begin" w:fldLock="1"/>
      </w:r>
      <w:r w:rsidRPr="008608AA">
        <w:rPr>
          <w:rFonts w:eastAsia="Droid Sans Fallback"/>
        </w:rPr>
        <w:instrText>ADDIN CSL_CITATION { "citationItems" : [ { "id" : "ITEM-1", "itemData" : { "DOI" : "10.2307/2389096", "ISBN" : "00063606", "ISSN" : "00063606", "abstract" : "We review historical, current, and projected future impacts of four classes of anthropogenic disturbance-extraction, pollution, reclamation, and changing climate-on Caribbean mangrove ecosystems (mangal). These disturbances occur, respectively, at increasing spatial and temporal scales, and require increasing recovery time. Small-scale selective ex- traction has little system-wide effect, but regeneration is slow even on single hectare clear-cuts due to rapid soil acidification. Petroleum is the primary pollutant of Caribbean mangal, and results in tree defoliation, stand death, and loss of associated sessile and mobile animal species. Hydrocarbons persist in mangrove sediments for decades, and are correlated with increasing seedling mutation rates. Chemical, industrial, and urban wastes are associated with increased heavy metal content of seedlings, stand die-back, reduced system-wide species richness, and higher incidence of Vibrio spp. (shellfish poisoning). Mangal has been reclaimed for urbanization, industrialization, and increasingly, for tourism. Overall, the region is losing mangrove forests at 1 percent per yr, although the rate is much faster on the Caribbean mainland (- 1.7% yr-1) than it is on the islands (=0.2% yr-1). The region's fisheries are declining at a similar rate, as most commercial shellfish and finfish use mangal for nurseries and/or refugia. Few Caribbean states have legislation or enforcement capabilities to protect or manage mangal, although at least 11 international treaties and conventions could be applied to conserve or sustainably use these forests. These treaties may protect riverine and basin mangal, but are likely to be moot with respect to fringing mangal, which may vanish as a consequence of global climate change. Growth enhancements of mangroves resulting from increasing atmospheric CO2 probably will not compensate for negative effects of concomitant rises in regional sea level.", "author" : [ { "dropping-particle" : "", "family" : "Ellison", "given" : "Aaron M", "non-dropping-particle" : "", "parse-names" : false, "suffix" : "" }, { "dropping-particle" : "", "family" : "Farnsworth", "given" : "Elizabeth J", "non-dropping-particle" : "", "parse-names" : false, "suffix" : "" } ], "container-title" : "Biotropica", "id" : "ITEM-1", "issue" : "4", "issued" : { "date-parts" : [ [ "1996" ] ] }, "page" : "549-565", "title" : "Anthropogenic Disturbance of Caribbean Mangrove Ecosystems: Past Impacts, Present Trends, and Future Predictions", "type" : "article-journal", "volume" : "28" }, "uris" : [ "http://www.mendeley.com/documents/?uuid=6a66c455-5846-4faa-b7a4-4f2664b265dc", "http://www.mendeley.com/documents/?uuid=baf32a5d-cd14-4595-86de-59ed88858498" ] } ], "mendeley" : { "formattedCitation" : "(Ellison &amp; Farnsworth, 1996)", "manualFormatting" : "(1996)", "plainTextFormattedCitation" : "(Ellison &amp; Farnsworth, 1996)", "previouslyFormattedCitation" : "(Ellison &amp; Farnsworth, 1996)"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(1996)</w:t>
      </w:r>
      <w:r w:rsidRPr="008608AA">
        <w:rPr>
          <w:rFonts w:eastAsia="Droid Sans Fallback"/>
        </w:rPr>
        <w:fldChar w:fldCharType="end"/>
      </w:r>
      <w:r w:rsidRPr="008608AA">
        <w:rPr>
          <w:rFonts w:eastAsia="Droid Sans Fallback"/>
        </w:rPr>
        <w:t xml:space="preserve"> felt that climate change would likely cause fringing mangroves to vanish. However, in recent years, mangroves have been spreading northward in Florida, expanding their range in response to warming </w:t>
      </w:r>
      <w:r w:rsidRPr="008608AA">
        <w:rPr>
          <w:rFonts w:eastAsia="Droid Sans Fallback"/>
        </w:rPr>
        <w:fldChar w:fldCharType="begin" w:fldLock="1"/>
      </w:r>
      <w:r w:rsidRPr="008608AA">
        <w:rPr>
          <w:rFonts w:eastAsia="Droid Sans Fallback"/>
        </w:rPr>
        <w:instrText>ADDIN CSL_CITATION { "citationItems" : [ { "id" : "ITEM-1", "itemData" : { "DOI" : "10.1073/pnas.1315800111", "ISBN" : "0027-8424", "ISSN" : "1091-6490", "PMID" : "24379379", "abstract" : "Regional warming associated with climate change is linked with altered range and abundance of species and ecosystems worldwide. However, the ecological impacts of changes in the frequency of extreme events have not been as well documented, especially for coastal and marine environments. We used 28 y of satellite imagery to demonstrate that the area of mangrove forests has doubled at the northern end of their historic range on the east coast of Florida. This expansion is associated with a reduction in the frequency of \"extreme\" cold events (days colder than -4 \u00b0C), but uncorrelated with changes in mean annual temperature, mean annual precipitation, and land use. Our analyses provide evidence for a threshold response, with declining frequency of severe cold winter events allowing for poleward expansion of mangroves. Future warming may result in increases in mangrove cover beyond current latitudinal limits of mangrove forests, thereby altering the structure and function of these important coastal ecosystems.", "author" : [ { "dropping-particle" : "", "family" : "Cavanaugh", "given" : "Kyle C", "non-dropping-particle" : "", "parse-names" : false, "suffix" : "" }, { "dropping-particle" : "", "family" : "Kellner", "given" : "James R", "non-dropping-particle" : "", "parse-names" : false, "suffix" : "" }, { "dropping-particle" : "", "family" : "Forde", "given" : "Alexander J", "non-dropping-particle" : "", "parse-names" : false, "suffix" : "" }, { "dropping-particle" : "", "family" : "Gruner", "given" : "Daniel S", "non-dropping-particle" : "", "parse-names" : false, "suffix" : "" }, { "dropping-particle" : "", "family" : "Parker", "given" : "John D", "non-dropping-particle" : "", "parse-names" : false, "suffix" : "" }, { "dropping-particle" : "", "family" : "Rodriguez", "given" : "Wilfrid", "non-dropping-particle" : "", "parse-names" : false, "suffix" : "" }, { "dropping-particle" : "", "family" : "Feller", "given" : "Ilka C", "non-dropping-particle" : "", "parse-names" : false, "suffix" : "" } ], "container-title" : "Proceedings of the National Academy of Sciences of the United States of America", "id" : "ITEM-1", "issued" : { "date-parts" : [ [ "2014" ] ] }, "title" : "Poleward expansion of mangroves is a threshold response to decreased frequency of extreme cold events.", "type" : "article-journal" }, "uris" : [ "http://www.mendeley.com/documents/?uuid=91c06b9c-bc3e-4024-961d-504b72bd0802", "http://www.mendeley.com/documents/?uuid=40baf94d-d497-45ed-9e71-e5471078694a" ] } ], "mendeley" : { "formattedCitation" : "(Cavanaugh et al., 2014)", "plainTextFormattedCitation" : "(Cavanaugh et al., 2014)", "previouslyFormattedCitation" : "(Cavanaugh et al.,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(Cavanaugh et al., 2014)</w:t>
      </w:r>
      <w:r w:rsidRPr="008608AA">
        <w:rPr>
          <w:rFonts w:eastAsia="Droid Sans Fallback"/>
        </w:rPr>
        <w:fldChar w:fldCharType="end"/>
      </w:r>
      <w:r w:rsidRPr="008608AA">
        <w:rPr>
          <w:rFonts w:eastAsia="Droid Sans Fallback"/>
        </w:rPr>
        <w:t xml:space="preserve">. Since they are not likely to be harvested for wood or removed for aquaculture, this northward move may counterbalance some of the threats. In the Caribbean, rising sea levels will likely have a large impact on coastal areas, although mangroves have been shown to keep pace with sea level rise in some areas of the Caribbean such as Belize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"McKee", "given" : "L. K.", "non-dropping-particle" : "", "parse-names" : false, "suffix" : "" }, { "dropping-particle" : "", "family" : "D.", "given" : "Cahoon R.", "non-dropping-particle" : "", "parse-names" : false, "suffix" : "" }, { "dropping-particle" : "", "family" : "Feller I. C.", "given" : "", "non-dropping-particle" : "", "parse-names" : false, "suffix" : "" } ], "container-title" : "Global Ecol. Biogeogr.", "id" : "ITEM-1", "issued" : { "date-parts" : [ [ "2007" ] ] }, "page" : "545\u2013556", "title" : "Caribbean mangroves adjust to rising sea level through biotic controls on change in soil elevation", "type" : "article-journal", "volume" : "16" }, "uris" : [ "http://www.mendeley.com/documents/?uuid=86b9035d-4f28-43ae-9a12-96cf61b39de5", "http://www.mendeley.com/documents/?uuid=f8d66b6c-4332-477d-ac3f-35b0705f0daf" ] } ], "mendeley" : { "formattedCitation" : "(McKee, D., &amp; Feller I. C., 2007)", "plainTextFormattedCitation" : "(McKee, D., &amp; Feller I. C., 2007)", "previouslyFormattedCitation" : "(McKee, D., &amp; Feller I. C., 2007)"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(McKeeand Feller, 2007)</w:t>
      </w:r>
      <w:r w:rsidRPr="008608AA">
        <w:rPr>
          <w:rFonts w:eastAsia="Droid Sans Fallback"/>
        </w:rPr>
        <w:fldChar w:fldCharType="end"/>
      </w:r>
      <w:r w:rsidRPr="008608AA">
        <w:rPr>
          <w:rFonts w:eastAsia="Droid Sans Fallback"/>
        </w:rPr>
        <w:t>.</w:t>
      </w:r>
    </w:p>
    <w:p w14:paraId="2D485F53" w14:textId="77777777" w:rsidR="008861AE" w:rsidRPr="008608AA" w:rsidRDefault="008861AE" w:rsidP="00EE708F">
      <w:pPr>
        <w:suppressAutoHyphens/>
        <w:rPr>
          <w:rFonts w:eastAsia="Droid Sans Fallback"/>
        </w:rPr>
      </w:pPr>
    </w:p>
    <w:p w14:paraId="262A9502" w14:textId="213F6CDE" w:rsidR="00490494" w:rsidRPr="008608AA" w:rsidRDefault="00490494" w:rsidP="00EE708F">
      <w:pPr>
        <w:suppressAutoHyphens/>
        <w:rPr>
          <w:rFonts w:eastAsia="Droid Sans Fallback"/>
        </w:rPr>
      </w:pPr>
      <w:r w:rsidRPr="008608AA">
        <w:rPr>
          <w:rFonts w:eastAsia="Droid Sans Fallback"/>
        </w:rPr>
        <w:t>Although mangroves provide various NCP, undeniably contributing to human well-being by reducing fatalities associated with extreme events, the drivers resulting in the loss of mangroves also contribute to human well-being; thus we have to consider the full range of consequences involved. Conversion of mangrove forests for agriculture or aquaculture contributes to food supply, urbanization may result in the general increase of the standard of living of those in the urban areas. So too, all of these drivers are associated with economic activity of one sort or another and may contribute to alleviation of poverty. Thus, various considerations need to be taken into account when evaluating the sustainable use of mangroves. Datta et al</w:t>
      </w:r>
      <w:r w:rsidR="007B0660" w:rsidRPr="008608AA">
        <w:rPr>
          <w:rFonts w:eastAsia="Droid Sans Fallback"/>
        </w:rPr>
        <w:t>.</w:t>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"DOI" : "10.1016/j.jenvman.2012.04.013", "ISBN" : "0301-4797", "ISSN" : "03014797", "PMID" : "22595074", "abstract" : "Community Based Mangrove Management (CBMM) has been advocated by both academia and governing agencies as a viable alternative for sustainably managing the ecologically important mangrove forests which are disappearing rapidly worldwide. Drawing insights from diverse sustainability issues, capabilities and performances of worldwide CBMM initiatives were examined in this paper. Higher numbers of CBMM initiatives were reported from South Asia and lesser from South America and Africa. Identification of the causes of degradation at a site and use-specific zonal replantations with respect to species associations were identified as major criteria of ecological sustainability. Regarding economic sustainability, transformation of potential uses of mangroves known by local communities into actual ones was found to be necessary. Proper disbursement of accrued benefits among community members irrespective of their socio-cultural status is also a major concern. Restructuring of CBMM institutions by ensuring participation of subsistence based users in decision-making and resource sharing have been identified as a prime determinant of institutional sustainability. However, limited number of studies on socio-political and institutional aspects as well as impacts of globalization induced socio-cultural transformations of communities on CBMM had been actually found. More focused researches on these aspects had been recommended for better community management of these highly stressed forests. \u00a9 2012 Elsevier Ltd.", "author" : [ { "dropping-particle" : "", "family" : "Datta", "given" : "Debajit", "non-dropping-particle" : "", "parse-names" : false, "suffix" : "" }, { "dropping-particle" : "", "family" : "Chattopadhyay", "given" : "R. N.", "non-dropping-particle" : "", "parse-names" : false, "suffix" : "" }, { "dropping-particle" : "", "family" : "Guha", "given" : "P.", "non-dropping-particle" : "", "parse-names" : false, "suffix" : "" } ], "container-title" : "Journal of Environmental Management", "id" : "ITEM-1", "issued" : { "date-parts" : [ [ "2012" ] ] }, "page" : "84-95", "publisher" : "Elsevier Ltd", "title" : "Community based mangrove management: A review on status and sustainability", "type" : "article-journal", "volume" : "107" }, "suppress-author" : 1, "uris" : [ "http://www.mendeley.com/documents/?uuid=d5b2ec40-0d18-44db-a838-f4a47f7b4afc" ] } ], "mendeley" : { "formattedCitation" : "(2012)", "plainTextFormattedCitation" : "(2012)", "previouslyFormattedCitation" :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(2012)</w:t>
      </w:r>
      <w:r w:rsidRPr="008608AA">
        <w:rPr>
          <w:rFonts w:eastAsia="Droid Sans Fallback"/>
        </w:rPr>
        <w:fldChar w:fldCharType="end"/>
      </w:r>
      <w:r w:rsidRPr="008608AA">
        <w:rPr>
          <w:rFonts w:eastAsia="Droid Sans Fallback"/>
        </w:rPr>
        <w:t xml:space="preserve"> present an approach that can help to resolve these questions of both negative and positive consequences. They review the results of a number of community-based mangrove management efforts and provide a number of observations regarding factors that contribute to the success of such efforts, such as ensuring the voices of the those depending on the mangroves for subsistence are heard and that the benefits derived from the management efforts, including the economic benefits, are distributed equally regardless of socio-economic status of the recipients.</w:t>
      </w:r>
    </w:p>
    <w:p w14:paraId="1D159E50" w14:textId="77777777" w:rsidR="008861AE" w:rsidRPr="008608AA" w:rsidRDefault="008861AE" w:rsidP="00EE708F">
      <w:pPr>
        <w:suppressAutoHyphens/>
        <w:rPr>
          <w:rFonts w:eastAsia="Droid Sans Fallback"/>
        </w:rPr>
      </w:pPr>
    </w:p>
    <w:p w14:paraId="4AA346E4" w14:textId="77777777" w:rsidR="00490494" w:rsidRPr="008608AA" w:rsidRDefault="00490494" w:rsidP="00EE708F">
      <w:pPr>
        <w:suppressAutoHyphens/>
        <w:rPr>
          <w:rFonts w:eastAsia="Droid Sans Fallback"/>
        </w:rPr>
      </w:pPr>
      <w:r w:rsidRPr="008608AA">
        <w:rPr>
          <w:rFonts w:eastAsia="Droid Sans Fallback"/>
        </w:rPr>
        <w:t xml:space="preserve">Clearly, the situation and necessary considerations in the case of mangroves, and the NCP they supply, differ substantially from the issues with Tundra wetlands. In the case of mangroves, the drivers are both direct and indirect, and while some, such as climate change (which causing some latitudinal change northward,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"Inniss", "given" : "Lorna", "non-dropping-particle" : "", "parse-names" : false, "suffix" : "" }, { "dropping-particle" : "", "family" : "Simcock", "given" : "Alan", "non-dropping-particle" : "", "parse-names" : false, "suffix" : "" } ], "id" : "ITEM-1", "issued" : { "date-parts" : [ [ "2016" ] ] }, "title" : "The First Global Integrated Marine Assessment: World Ocean Assessment I", "type" : "report" }, "uris" : [ "http://www.mendeley.com/documents/?uuid=d3477440-cdee-4ec0-ba33-dfac26c49dd7" ] } ], "mendeley" : { "formattedCitation" : "(Inniss &amp; Simcock, 2016)", "plainTextFormattedCitation" : "(Inniss &amp; Simcock, 2016)", "previouslyFormattedCitation" : "(Inniss &amp; Simcock,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(Inniss &amp; Simcock, 2016)</w:t>
      </w:r>
      <w:r w:rsidRPr="008608AA">
        <w:rPr>
          <w:rFonts w:eastAsia="Droid Sans Fallback"/>
        </w:rPr>
        <w:fldChar w:fldCharType="end"/>
      </w:r>
      <w:r w:rsidRPr="008608AA">
        <w:rPr>
          <w:rFonts w:eastAsia="Droid Sans Fallback"/>
        </w:rPr>
        <w:t>) are global, others, such as land use change are very local. So too, there are costs and benefits in terms of NCP that are related to the relevant drivers (e.g. aquaculture provides food and economic activity). There is also clear evidence that local populations can have a direct effect on the resource, including the NCP that it supplies.</w:t>
      </w:r>
    </w:p>
    <w:p w14:paraId="460265D0" w14:textId="77777777" w:rsidR="003247C5" w:rsidRPr="008608AA" w:rsidRDefault="003247C5" w:rsidP="00EE708F">
      <w:pPr>
        <w:suppressAutoHyphens/>
        <w:rPr>
          <w:rFonts w:eastAsia="Droid Sans Fallback"/>
        </w:rPr>
      </w:pPr>
    </w:p>
    <w:p w14:paraId="74E37882" w14:textId="77777777" w:rsidR="00490494" w:rsidRPr="008608AA" w:rsidRDefault="00490494" w:rsidP="00EE708F">
      <w:pPr>
        <w:suppressAutoHyphens/>
        <w:rPr>
          <w:rFonts w:eastAsia="Droid Sans Fallback"/>
        </w:rPr>
      </w:pPr>
      <w:r w:rsidRPr="008608AA">
        <w:rPr>
          <w:rFonts w:eastAsia="Droid Sans Fallback"/>
        </w:rPr>
        <w:t>Thus, the scenario archetypes have slightly different implications in this case and pathways to a sustainable future are possibly more flexible. Under the Fortress World archetype, it is still likely that mangroves in the Americas will continue to suffer losses, though an extreme acceleration of impacts, as would be anticipated for Tundra wetlands is less likely, due to local recognition of the NCP of mangroves in terms of local fisheries and shoreline protection. However, this may be overbalanced by a presumed increase in urbanization or other land use changes, as cooperative agreements and existing protections in some areas may roll back.</w:t>
      </w:r>
    </w:p>
    <w:p w14:paraId="5E7926D4" w14:textId="77777777" w:rsidR="008861AE" w:rsidRPr="008608AA" w:rsidRDefault="008861AE" w:rsidP="00EE708F">
      <w:pPr>
        <w:suppressAutoHyphens/>
        <w:rPr>
          <w:rFonts w:eastAsia="Droid Sans Fallback"/>
        </w:rPr>
      </w:pPr>
    </w:p>
    <w:p w14:paraId="559311B4" w14:textId="77777777" w:rsidR="00490494" w:rsidRPr="008608AA" w:rsidRDefault="00490494" w:rsidP="00EE708F">
      <w:pPr>
        <w:suppressAutoHyphens/>
        <w:rPr>
          <w:rFonts w:eastAsia="Droid Sans Fallback"/>
        </w:rPr>
      </w:pPr>
      <w:r w:rsidRPr="008608AA">
        <w:rPr>
          <w:rFonts w:eastAsia="Droid Sans Fallback"/>
        </w:rPr>
        <w:t>As with the Tundra wetlands, a future under the Market Forces archetype will likely result in the continued degradation of this resource throughout the Americas. Assuming an even greater reliance on market forces, there may be an actual increase in impacts to mangroves, as the NCP most easily monetized, such as aquaculture, urbanization and coastal development, will likely increase; these being the factors most often cited in current impacts to mangroves, especially in the Caribbean.</w:t>
      </w:r>
    </w:p>
    <w:p w14:paraId="6D7BF583" w14:textId="77777777" w:rsidR="008861AE" w:rsidRPr="008608AA" w:rsidRDefault="008861AE" w:rsidP="00EE708F">
      <w:pPr>
        <w:suppressAutoHyphens/>
        <w:rPr>
          <w:rFonts w:eastAsia="Droid Sans Fallback"/>
        </w:rPr>
      </w:pPr>
    </w:p>
    <w:p w14:paraId="061B179C" w14:textId="6945B221" w:rsidR="00490494" w:rsidRPr="008608AA" w:rsidRDefault="00490494" w:rsidP="00EE708F">
      <w:pPr>
        <w:suppressAutoHyphens/>
        <w:rPr>
          <w:rFonts w:eastAsia="Droid Sans Fallback"/>
        </w:rPr>
      </w:pPr>
      <w:r w:rsidRPr="008608AA">
        <w:rPr>
          <w:rFonts w:eastAsia="Droid Sans Fallback"/>
        </w:rPr>
        <w:t>A future under a Policy Reform archetype scenario holds potential for real reduction in impacts to mangroves. Again, considering the most important drivers affecting man</w:t>
      </w:r>
      <w:r w:rsidR="008861AE" w:rsidRPr="008608AA">
        <w:rPr>
          <w:rFonts w:eastAsia="Droid Sans Fallback"/>
        </w:rPr>
        <w:t>groves,</w:t>
      </w:r>
      <w:r w:rsidRPr="008608AA">
        <w:rPr>
          <w:rFonts w:eastAsia="Droid Sans Fallback"/>
        </w:rPr>
        <w:t xml:space="preserve"> aquaculture, urbani</w:t>
      </w:r>
      <w:r w:rsidR="008861AE" w:rsidRPr="008608AA">
        <w:rPr>
          <w:rFonts w:eastAsia="Droid Sans Fallback"/>
        </w:rPr>
        <w:t>zation, and coastal development,</w:t>
      </w:r>
      <w:r w:rsidRPr="008608AA">
        <w:rPr>
          <w:rFonts w:eastAsia="Droid Sans Fallback"/>
        </w:rPr>
        <w:t xml:space="preserve"> these are factors that are amenable to policy intervention at various levels of governance. Indeed, Innis et al.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"Inniss", "given" : "Lorna", "non-dropping-particle" : "", "parse-names" : false, "suffix" : "" }, { "dropping-particle" : "", "family" : "Simcock", "given" : "Alan", "non-dropping-particle" : "", "parse-names" : false, "suffix" : "" } ], "id" : "ITEM-1", "issued" : { "date-parts" : [ [ "2016" ] ] }, "title" : "The First Global Integrated Marine Assessment: World Ocean Assessment I", "type" : "report" }, "suppress-author" : 1, "uris" : [ "http://www.mendeley.com/documents/?uuid=d3477440-cdee-4ec0-ba33-dfac26c49dd7" ] } ], "mendeley" : { "formattedCitation" : "(2016)", "plainTextFormattedCitation" : "(2016)", "previouslyFormattedCitation" :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(2016)</w:t>
      </w:r>
      <w:r w:rsidRPr="008608AA">
        <w:rPr>
          <w:rFonts w:eastAsia="Droid Sans Fallback"/>
        </w:rPr>
        <w:fldChar w:fldCharType="end"/>
      </w:r>
      <w:r w:rsidRPr="008608AA">
        <w:rPr>
          <w:rFonts w:eastAsia="Droid Sans Fallback"/>
        </w:rPr>
        <w:t xml:space="preserve"> recognizes that legislation is a viable avenue for protection of mangroves and cites examples of where this has been implemented. However, as these drivers also associated recognized socio-economic benefits, complete elimination of impacts is unlikely.</w:t>
      </w:r>
    </w:p>
    <w:p w14:paraId="16195A7C" w14:textId="77777777" w:rsidR="008861AE" w:rsidRPr="008608AA" w:rsidRDefault="008861AE" w:rsidP="00EE708F">
      <w:pPr>
        <w:suppressAutoHyphens/>
        <w:rPr>
          <w:rFonts w:eastAsia="Droid Sans Fallback"/>
        </w:rPr>
      </w:pPr>
    </w:p>
    <w:p w14:paraId="586580C1" w14:textId="4CF6F822" w:rsidR="00490494" w:rsidRPr="008608AA" w:rsidRDefault="00490494" w:rsidP="00EE708F">
      <w:pPr>
        <w:suppressAutoHyphens/>
        <w:rPr>
          <w:rFonts w:eastAsia="Droid Sans Fallback"/>
        </w:rPr>
      </w:pPr>
      <w:r w:rsidRPr="008608AA">
        <w:rPr>
          <w:rFonts w:eastAsia="Droid Sans Fallback"/>
        </w:rPr>
        <w:t xml:space="preserve">Innis et al.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"Inniss", "given" : "Lorna", "non-dropping-particle" : "", "parse-names" : false, "suffix" : "" }, { "dropping-particle" : "", "family" : "Simcock", "given" : "Alan", "non-dropping-particle" : "", "parse-names" : false, "suffix" : "" } ], "id" : "ITEM-1", "issued" : { "date-parts" : [ [ "2016" ] ] }, "title" : "The First Global Integrated Marine Assessment: World Ocean Assessment I", "type" : "report" }, "suppress-author" : 1, "uris" : [ "http://www.mendeley.com/documents/?uuid=d3477440-cdee-4ec0-ba33-dfac26c49dd7" ] } ], "mendeley" : { "formattedCitation" : "(2016)", "plainTextFormattedCitation" : "(2016)", "previouslyFormattedCitation" :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(2016)</w:t>
      </w:r>
      <w:r w:rsidRPr="008608AA">
        <w:rPr>
          <w:rFonts w:eastAsia="Droid Sans Fallback"/>
        </w:rPr>
        <w:fldChar w:fldCharType="end"/>
      </w:r>
      <w:r w:rsidRPr="008608AA">
        <w:rPr>
          <w:rFonts w:eastAsia="Droid Sans Fallback"/>
        </w:rPr>
        <w:t xml:space="preserve"> suggest a number of avenues for potential mangrove conservation, including: legislation; conventions and protected areas; management, education and restoration projects;  and emerging conservation strategies, such as Reducing emissions from deforestation and forest degradation plus. These are all approaches that could be incorporated into policy developments under the Policy Reform scenario. These are also approaches that could be instituted at a variety of governance levels and are more amenable to including NCP that are not as easily monetized, such as preservation of human life from severe storms. The approach described by Datta et al</w:t>
      </w:r>
      <w:r w:rsidR="007B0660" w:rsidRPr="008608AA">
        <w:rPr>
          <w:rFonts w:eastAsia="Droid Sans Fallback"/>
        </w:rPr>
        <w:t>.</w:t>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"DOI" : "10.1016/j.jenvman.2012.04.013", "ISBN" : "0301-4797", "ISSN" : "03014797", "PMID" : "22595074", "abstract" : "Community Based Mangrove Management (CBMM) has been advocated by both academia and governing agencies as a viable alternative for sustainably managing the ecologically important mangrove forests which are disappearing rapidly worldwide. Drawing insights from diverse sustainability issues, capabilities and performances of worldwide CBMM initiatives were examined in this paper. Higher numbers of CBMM initiatives were reported from South Asia and lesser from South America and Africa. Identification of the causes of degradation at a site and use-specific zonal replantations with respect to species associations were identified as major criteria of ecological sustainability. Regarding economic sustainability, transformation of potential uses of mangroves known by local communities into actual ones was found to be necessary. Proper disbursement of accrued benefits among community members irrespective of their socio-cultural status is also a major concern. Restructuring of CBMM institutions by ensuring participation of subsistence based users in decision-making and resource sharing have been identified as a prime determinant of institutional sustainability. However, limited number of studies on socio-political and institutional aspects as well as impacts of globalization induced socio-cultural transformations of communities on CBMM had been actually found. More focused researches on these aspects had been recommended for better community management of these highly stressed forests. \u00a9 2012 Elsevier Ltd.", "author" : [ { "dropping-particle" : "", "family" : "Datta", "given" : "Debajit", "non-dropping-particle" : "", "parse-names" : false, "suffix" : "" }, { "dropping-particle" : "", "family" : "Chattopadhyay", "given" : "R. N.", "non-dropping-particle" : "", "parse-names" : false, "suffix" : "" }, { "dropping-particle" : "", "family" : "Guha", "given" : "P.", "non-dropping-particle" : "", "parse-names" : false, "suffix" : "" } ], "container-title" : "Journal of Environmental Management", "id" : "ITEM-1", "issued" : { "date-parts" : [ [ "2012" ] ] }, "page" : "84-95", "publisher" : "Elsevier Ltd", "title" : "Community based mangrove management: A review on status and sustainability", "type" : "article-journal", "volume" : "107" }, "suppress-author" : 1, "uris" : [ "http://www.mendeley.com/documents/?uuid=d5b2ec40-0d18-44db-a838-f4a47f7b4afc" ] } ], "mendeley" : { "formattedCitation" : "(2012)", "plainTextFormattedCitation" : "(2012)", "previouslyFormattedCitation" :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(2012)</w:t>
      </w:r>
      <w:r w:rsidRPr="008608AA">
        <w:rPr>
          <w:rFonts w:eastAsia="Droid Sans Fallback"/>
        </w:rPr>
        <w:fldChar w:fldCharType="end"/>
      </w:r>
      <w:r w:rsidRPr="008608AA">
        <w:rPr>
          <w:rFonts w:eastAsia="Droid Sans Fallback"/>
        </w:rPr>
        <w:t xml:space="preserve"> is a clear example of using a decided paradigm shift, including local stakeholder input that resembles the Policy Reform scenario. Under such an approach, a balancing of social, economic, and cultural interests would be possible and could optimize the NCP of mangroves.</w:t>
      </w:r>
    </w:p>
    <w:p w14:paraId="170E097F" w14:textId="77777777" w:rsidR="008861AE" w:rsidRPr="008608AA" w:rsidRDefault="008861AE" w:rsidP="00EE708F">
      <w:pPr>
        <w:suppressAutoHyphens/>
        <w:rPr>
          <w:rFonts w:eastAsia="Droid Sans Fallback"/>
        </w:rPr>
      </w:pPr>
    </w:p>
    <w:p w14:paraId="49095816" w14:textId="493FA0E4" w:rsidR="00490494" w:rsidRPr="008608AA" w:rsidRDefault="00490494" w:rsidP="00EE708F">
      <w:pPr>
        <w:suppressAutoHyphens/>
        <w:rPr>
          <w:rFonts w:eastAsia="Droid Sans Fallback"/>
        </w:rPr>
      </w:pPr>
      <w:r w:rsidRPr="008608AA">
        <w:rPr>
          <w:rFonts w:eastAsia="Droid Sans Fallback"/>
        </w:rPr>
        <w:t xml:space="preserve">Seagrasses. Seagrasses are the only flowering plants (class Monocotyledoneae) that are </w:t>
      </w:r>
      <w:r w:rsidR="008861AE" w:rsidRPr="008608AA">
        <w:rPr>
          <w:rFonts w:eastAsia="Droid Sans Fallback"/>
        </w:rPr>
        <w:t>found in the marine environment. T</w:t>
      </w:r>
      <w:r w:rsidRPr="008608AA">
        <w:rPr>
          <w:rFonts w:eastAsia="Droid Sans Fallback"/>
        </w:rPr>
        <w:t xml:space="preserve">hey are present in all continents except Antarctica </w:t>
      </w:r>
      <w:r w:rsidRPr="008608AA">
        <w:rPr>
          <w:rFonts w:eastAsia="Droid Sans Fallback"/>
        </w:rPr>
        <w:fldChar w:fldCharType="begin" w:fldLock="1"/>
      </w:r>
      <w:r w:rsidRPr="008608AA">
        <w:rPr>
          <w:rFonts w:eastAsia="Droid Sans Fallback"/>
        </w:rPr>
        <w:instrText>ADDIN CSL_CITATION { "citationItems" : [ { "id" : "ITEM-1", "itemData" : { "DOI" : "10.1515/BOT.2004.029", "ISBN" : "0520240472", "ISSN" : "0006-8055", "author" : [ { "dropping-particle" : "", "family" : "Green", "given" : "E.P.", "non-dropping-particle" : "", "parse-names" : false, "suffix" : "" }, { "dropping-particle" : "", "family" : "Short", "given" : "Frederick T.", "non-dropping-particle" : "", "parse-names" : false, "suffix" : "" } ], "container-title" : "Botanica Marina", "id" : "ITEM-1", "issue" : "3", "issued" : { "date-parts" : [ [ "2003", "1" ] ] }, "number-of-pages" : "298", "publisher" : "University of California Press, 298 pp", "publisher-place" : "Berkeley. USA", "title" : "World atlas of seagrasses. Prepared by the UNEP World Conservation Monitoring Centre.", "type" : "book", "volume" : "47" }, "uris" : [ "http://www.mendeley.com/documents/?uuid=0ce8fb75-8ac2-46e5-8593-67adaefbf28e", "http://www.mendeley.com/documents/?uuid=2acb2109-e1a9-471d-8e4c-a62c39c21a88" ] } ], "mendeley" : { "formattedCitation" : "(Green &amp; Short, 2003)", "plainTextFormattedCitation" : "(Green &amp; Short, 2003)", "previouslyFormattedCitation" : "(Green &amp; Short, 2003)"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(Green &amp; Short, 2003)</w:t>
      </w:r>
      <w:r w:rsidRPr="008608AA">
        <w:rPr>
          <w:rFonts w:eastAsia="Droid Sans Fallback"/>
        </w:rPr>
        <w:fldChar w:fldCharType="end"/>
      </w:r>
      <w:r w:rsidRPr="008608AA">
        <w:rPr>
          <w:rFonts w:eastAsia="Droid Sans Fallback"/>
        </w:rPr>
        <w:t xml:space="preserve">. In spite of the low global species diversity of seagrasses (72 species of seagrasses distributed into six families, </w:t>
      </w:r>
      <w:r w:rsidR="008861AE" w:rsidRPr="008608AA">
        <w:rPr>
          <w:rFonts w:eastAsia="Droid Sans Fallback"/>
        </w:rPr>
        <w:t>(</w:t>
      </w:r>
      <w:r w:rsidRPr="008608AA">
        <w:rPr>
          <w:rFonts w:eastAsia="Droid Sans Fallback"/>
        </w:rPr>
        <w:fldChar w:fldCharType="begin" w:fldLock="1"/>
      </w:r>
      <w:r w:rsidRPr="008608AA">
        <w:rPr>
          <w:rFonts w:eastAsia="Droid Sans Fallback"/>
        </w:rPr>
        <w:instrText>ADDIN CSL_CITATION { "citationItems" : [ { "id" : "ITEM-1", "itemData" : { "DOI" : "10.1016/j.biocon.2011.04.010", "ISSN" : "00063207", "author" : [ { "dropping-particle" : "", "family" : "Short", "given" : "Frederick T.", "non-dropping-particle" : "", "parse-names" : false, "suffix" : "" }, { "dropping-particle" : "", "family" : "Polidoro", "given" : "Beth", "non-dropping-particle" : "", "parse-names" : false, "suffix" : "" }, { "dropping-particle" : "", "family" : "Livingstone", "given" : "Suzanne R.", "non-dropping-particle" : "", "parse-names" : false, "suffix" : "" }, { "dropping-particle" : "", "family" : "Carpenter", "given" : "Kent E.", "non-dropping-particle" : "", "parse-names" : false, "suffix" : "" }, { "dropping-particle" : "", "family" : "Bandeira", "given" : "Salom\u00e3o", "non-dropping-particle" : "", "parse-names" : false, "suffix" : "" }, { "dropping-particle" : "", "family" : "Sidik Bujang", "given" : "Japar", "non-dropping-particle" : "", "parse-names" : false, "suffix" : "" }, { "dropping-particle" : "", "family" : "Calumpong", "given" : "Hilconida P.", "non-dropping-particle" : "", "parse-names" : false, "suffix" : "" }, { "dropping-particle" : "", "family" : "Carruthers", "given" : "T.J.B.", "non-dropping-particle" : "", "parse-names" : false, "suffix" : "" }, { "dropping-particle" : "", "family" : "Coles", "given" : "Robert G.", "non-dropping-particle" : "", "parse-names" : false, "suffix" : "" }, { "dropping-particle" : "", "family" : "Dennison", "given" : "William C.", "non-dropping-particle" : "", "parse-names" : false, "suffix" : "" }, { "dropping-particle" : "", "family" : "Erftemeijer", "given" : "Paul L.A.", "non-dropping-particle" : "", "parse-names" : false, "suffix" : "" }, { "dropping-particle" : "", "family" : "Fortes", "given" : "Miguel D.", "non-dropping-particle" : "", "parse-names" : false, "suffix" : "" }, { "dropping-particle" : "", "family" : "Freeman", "given" : "Aaren S.", "non-dropping-particle" : "", "parse-names" : false, "suffix" : "" }, { "dropping-particle" : "", "family" : "Jagtap", "given" : "T.G.", "non-dropping-particle" : "", "parse-names" : false, "suffix" : "" }, { "dropping-particle" : "", "family" : "Kamal", "given" : "Abu Hena M.", "non-dropping-particle" : "", "parse-names" : false, "suffix" : "" }, { "dropping-particle" : "", "family" : "Kendrick", "given" : "G.A.", "non-dropping-particle" : "", "parse-names" : false, "suffix" : "" }, { "dropping-particle" : "", "family" : "Kenworthy", "given" : "W. Judson", "non-dropping-particle" : "", "parse-names" : false, "suffix" : "" }, { "dropping-particle" : "", "family" : "Nafie", "given" : "Yayu A.", "non-dropping-particle" : "La", "parse-names" : false, "suffix" : "" }, { "dropping-particle" : "", "family" : "Nasution", "given" : "Ichwan M.", "non-dropping-particle" : "", "parse-names" : false, "suffix" : "" }, { "dropping-particle" : "", "family" : "Orth", "given" : "Robert J.", "non-dropping-particle" : "", "parse-names" : false, "suffix" : "" }, { "dropping-particle" : "", "family" : "Prathep", "given" : "Anchana", "non-dropping-particle" : "", "parse-names" : false, "suffix" : "" }, { "dropping-particle" : "", "family" : "Sanciangco", "given" : "Jonnell C.", "non-dropping-particle" : "", "parse-names" : false, "suffix" : "" }, { "dropping-particle" : "", "family" : "Tussenbroek", "given" : "Brigitta", "non-dropping-particle" : "van", "parse-names" : false, "suffix" : "" }, { "dropping-particle" : "", "family" : "Vergara", "given" : "Sheila G.", "non-dropping-particle" : "", "parse-names" : false, "suffix" : "" }, { "dropping-particle" : "", "family" : "Waycott", "given" : "Michelle", "non-dropping-particle" : "", "parse-names" : false, "suffix" : "" }, { "dropping-particle" : "", "family" : "Zieman", "given" : "Joseph C.", "non-dropping-particle" : "", "parse-names" : false, "suffix" : "" } ], "container-title" : "Biological Conservation", "id" : "ITEM-1", "issue" : "7", "issued" : { "date-parts" : [ [ "2011", "5" ] ] }, "page" : "1961-1971", "publisher" : "Elsevier Ltd", "title" : "Extinction risk assessment of the world\u2019s seagrass species", "type" : "article-journal", "volume" : "144" }, "uris" : [ "http://www.mendeley.com/documents/?uuid=7d84ee57-19ff-4139-8a4f-79524334b992", "http://www.mendeley.com/documents/?uuid=3e5809c1-4d3f-4887-8bb6-1e4e5f995b56" ] } ], "mendeley" : { "formattedCitation" : "(Short et al., 2011)", "manualFormatting" : "Short et al., 2011)", "plainTextFormattedCitation" : "(Short et al., 2011)", "previouslyFormattedCitation" : "(Short et al., 2011)"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Short et al.</w:t>
      </w:r>
      <w:r w:rsidRPr="008608AA">
        <w:rPr>
          <w:rFonts w:eastAsia="Droid Sans Fallback"/>
          <w:noProof/>
        </w:rPr>
        <w:t xml:space="preserve"> 2011)</w:t>
      </w:r>
      <w:r w:rsidRPr="008608AA">
        <w:rPr>
          <w:rFonts w:eastAsia="Droid Sans Fallback"/>
        </w:rPr>
        <w:fldChar w:fldCharType="end"/>
      </w:r>
      <w:r w:rsidR="008861AE" w:rsidRPr="008608AA">
        <w:rPr>
          <w:rFonts w:eastAsia="Droid Sans Fallback"/>
        </w:rPr>
        <w:t>)</w:t>
      </w:r>
      <w:r w:rsidRPr="008608AA">
        <w:rPr>
          <w:rFonts w:eastAsia="Droid Sans Fallback"/>
        </w:rPr>
        <w:t xml:space="preserve"> compared with the terrestrial angiosperms (250,000 species approx.), these marine flowering plants can have distributional ranges that extend for thousands of kilometers of coastline along 6 geographical biore</w:t>
      </w:r>
      <w:r w:rsidR="008861AE" w:rsidRPr="008608AA">
        <w:rPr>
          <w:rFonts w:eastAsia="Droid Sans Fallback"/>
        </w:rPr>
        <w:t xml:space="preserve">gions: </w:t>
      </w:r>
      <w:r w:rsidRPr="008608AA">
        <w:rPr>
          <w:rFonts w:eastAsia="Droid Sans Fallback"/>
        </w:rPr>
        <w:t>1) Temperate North Atlantic, 2) Tropical Atlantic, 3) Mediterranean, 4) Temperate North Pacific, 5) Tropical Indo-Pacific, a</w:t>
      </w:r>
      <w:r w:rsidR="008861AE" w:rsidRPr="008608AA">
        <w:rPr>
          <w:rFonts w:eastAsia="Droid Sans Fallback"/>
        </w:rPr>
        <w:t>nd 6) Temperate Southern Oceans</w:t>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"DOI" : "10.1016/j.jembe.2007.06.012", "ISSN" : "00220981", "author" : [ { "dropping-particle" : "", "family" : "Short", "given" : "Frederick T.", "non-dropping-particle" : "", "parse-names" : false, "suffix" : "" }, { "dropping-particle" : "", "family" : "Carruthers", "given" : "T.J.B.", "non-dropping-particle" : "", "parse-names" : false, "suffix" : "" }, { "dropping-particle" : "", "family" : "Dennison", "given" : "William C.", "non-dropping-particle" : "", "parse-names" : false, "suffix" : "" }, { "dropping-particle" : "", "family" : "Waycott", "given" : "Michelle", "non-dropping-particle" : "", "parse-names" : false, "suffix" : "" } ], "container-title" : "Journal of Experimental Marine Biology and Ecology", "id" : "ITEM-1", "issue" : "1-2", "issued" : { "date-parts" : [ [ "2007", "11" ] ] }, "page" : "3-20", "title" : "Global seagrass distribution and diversity: A bioregional model", "type" : "article-journal", "volume" : "350" }, "uris" : [ "http://www.mendeley.com/documents/?uuid=2632a8b9-6597-4ae1-8e47-fda4034bfc99", "http://www.mendeley.com/documents/?uuid=9228d3c3-3003-4df8-80b0-6222835c7534" ] } ], "mendeley" : { "formattedCitation" : "(Short, Carruthers, Dennison, &amp; Waycott, 2007)", "plainTextFormattedCitation" : "(Short, Carruthers, Dennison, &amp; Waycott, 2007)", "previouslyFormattedCitation" : "(Short, Carruthers, Dennison, &amp; Waycott, 2007)"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(Short et al., 2007)</w:t>
      </w:r>
      <w:r w:rsidRPr="008608AA">
        <w:rPr>
          <w:rFonts w:eastAsia="Droid Sans Fallback"/>
        </w:rPr>
        <w:fldChar w:fldCharType="end"/>
      </w:r>
      <w:r w:rsidRPr="008608AA">
        <w:rPr>
          <w:rFonts w:eastAsia="Droid Sans Fallback"/>
        </w:rPr>
        <w:t xml:space="preserve">. These widespread marine angiosperm evolved from terrestrial origins and have been present in the marine coastal waters for over 100 million years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"Les", "given" : "D.H. DH", "non-dropping-particle" : "", "parse-names" : false, "suffix" : "" }, { "dropping-particle" : "", "family" : "Cleland", "given" : "MA", "non-dropping-particle" : "", "parse-names" : false, "suffix" : "" }, { "dropping-particle" : "", "family" : "Waycott", "given" : "Michelle", "non-dropping-particle" : "", "parse-names" : false, "suffix" : "" } ], "container-title" : "Systematic Botany", "id" : "ITEM-1", "issued" : { "date-parts" : [ [ "1997" ] ] }, "page" : "443-463", "title" : "Phylogenetic studies in Alismatidae, II: Evolution of Marine Angiosperms (seagrasses) and Hydrophily", "type" : "article-journal", "volume" : "22" }, "uris" : [ "http://www.mendeley.com/documents/?uuid=6b46c439-1c5e-4d79-9828-934e58feb8f6", "http://www.mendeley.com/documents/?uuid=d16a0588-dd98-4cde-a1ab-0d74a08b9eed" ] } ], "mendeley" : { "formattedCitation" : "(Les, Cleland, &amp; Waycott, 1997)", "plainTextFormattedCitation" : "(Les, Cleland, &amp; Waycott, 1997)", "previouslyFormattedCitation" : "(Les, Cleland, &amp; Waycott, 1997)"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(Les et al., 1997)</w:t>
      </w:r>
      <w:r w:rsidRPr="008608AA">
        <w:rPr>
          <w:rFonts w:eastAsia="Droid Sans Fallback"/>
        </w:rPr>
        <w:fldChar w:fldCharType="end"/>
      </w:r>
      <w:r w:rsidRPr="008608AA">
        <w:rPr>
          <w:rFonts w:eastAsia="Droid Sans Fallback"/>
        </w:rPr>
        <w:t xml:space="preserve">; they constitute one of the richest and most important coastal habitats (Short et al., 2011), ranked among the most valuable ecosystems on Earth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"Costanza", "given" : "Robert", "non-dropping-particle" : "", "parse-names" : false, "suffix" : "" }, { "dropping-particle" : "", "family" : "D\u2019Arge", "given" : "R.", "non-dropping-particle" : "", "parse-names" : false, "suffix" : "" }, { "dropping-particle" : "", "family" : "Groot", "given" : "Rudolf S", "non-dropping-particle" : "de", "parse-names" : false, "suffix" : "" }, { "dropping-particle" : "", "family" : "Farber", "given" : "Stephen", "non-dropping-particle" : "", "parse-names" : false, "suffix" : "" }, { "dropping-particle" : "", "family" : "Grasso", "given" : "M.", "non-dropping-particle" : "", "parse-names" : false, "suffix" : "" }, { "dropping-particle" : "", "family" : "Hannon", "given" : "B.", "non-dropping-particle" : "", "parse-names" : false, "suffix" : "" }, { "dropping-particle" : "", "family" : "Naeem", "given" : "S.", "non-dropping-particle" : "", "parse-names" : false, "suffix" : "" }, { "dropping-particle" : "", "family" : "Limburg", "given" : "K.", "non-dropping-particle" : "", "parse-names" : false, "suffix" : "" }, { "dropping-particle" : "", "family" : "Paruelo", "given" : "J.", "non-dropping-particle" : "", "parse-names" : false, "suffix" : "" }, { "dropping-particle" : "", "family" : "O\u2019Neill", "given" : "R.V.", "non-dropping-particle" : "", "parse-names" : false, "suffix" : "" }, { "dropping-particle" : "", "family" : "Raskin", "given" : "R.", "non-dropping-particle" : "", "parse-names" : false, "suffix" : "" }, { "dropping-particle" : "", "family" : "Sutton", "given" : "P.", "non-dropping-particle" : "", "parse-names" : false, "suffix" : "" }, { "dropping-particle" : "", "family" : "Belt", "given" : "M.", "non-dropping-particle" : "van den", "parse-names" : false, "suffix" : "" } ], "container-title" : "Nature", "id" : "ITEM-1", "issued" : { "date-parts" : [ [ "1997" ] ] }, "page" : "253-260", "title" : "The value of the world\u2019s ecosystem services and natural capital", "type" : "article-journal", "volume" : "387" }, "uris" : [ "http://www.mendeley.com/documents/?uuid=f14e757c-2fa8-426b-89c5-e9da301d6b81", "http://www.mendeley.com/documents/?uuid=d410d121-d995-4cce-9f76-cefd75d216f1" ] }, { "id" : "ITEM-2", "itemData" : { "DOI" : "10.1016/j.gloenvcha.2014.04.002", "ISSN" : "09593780", "abstract" : "In 1997, the global value of ecosystem services was estimated to average $33trillion/yr in 1995 $US ($46trillion/yr in 2007 $US). In this paper, we provide an updated estimate based on updated unit ecosystem service values and land use change estimates between 1997 and 2011. We also address some of the critiques of the 1997 paper. Using the same methods as in the 1997 paper but with updated data, the estimate for the total global ecosystem services in 2011 is $125trillion/yr (assuming updated unit values and changes to biome areas) and $145trillion/yr (assuming only unit values changed), both in 2007 $US. From this we estimated the loss of eco-services from 1997 to 2011 due to land use change at $4.3\u201320.2trillion/yr, depending on which unit values are used. Global estimates expressed in monetary accounting units, such as this, are useful to highlight the magnitude of eco-services, but have no specific decision-making context. However, the underlying data and models can be applied at multiple scales to assess changes resulting from various scenarios and policies. We emphasize that valuation of eco-services (in whatever units) is not the same as commodification or privatization. Many eco-services are best considered public goods or common pool resources, so conventional markets are often not the best institutional frameworks to manage them. However, these services must be (and are being) valued, and we need new, common asset institutions to better take these values into account.", "author" : [ { "dropping-particle" : "", "family" : "Costanza", "given" : "Robert", "non-dropping-particle" : "", "parse-names" : false, "suffix" : "" }, { "dropping-particle" : "", "family" : "Groot", "given" : "Rudolf S", "non-dropping-particle" : "de", "parse-names" : false, "suffix" : "" }, { "dropping-particle" : "", "family" : "Sutton", "given" : "Paul", "non-dropping-particle" : "", "parse-names" : false, "suffix" : "" }, { "dropping-particle" : "", "family" : "Ploeg", "given" : "Sander", "non-dropping-particle" : "van der", "parse-names" : false, "suffix" : "" }, { "dropping-particle" : "", "family" : "Anderson", "given" : "Sharolyn J.", "non-dropping-particle" : "", "parse-names" : false, "suffix" : "" }, { "dropping-particle" : "", "family" : "Kubiszewski", "given" : "Ida", "non-dropping-particle" : "", "parse-names" : false, "suffix" : "" }, { "dropping-particle" : "", "family" : "Farber", "given" : "Stephen", "non-dropping-particle" : "", "parse-names" : false, "suffix" : "" }, { "dropping-particle" : "", "family" : "Turner", "given" : "R. Kerry", "non-dropping-particle" : "", "parse-names" : false, "suffix" : "" } ], "container-title" : "Global Environmental Change", "id" : "ITEM-2", "issued" : { "date-parts" : [ [ "2014", "5" ] ] }, "page" : "152-158", "publisher" : "Elsevier Ltd", "title" : "Changes in the global value of ecosystem services", "type" : "article-journal", "volume" : "26" }, "uris" : [ "http://www.mendeley.com/documents/?uuid=a80e41c4-4517-4b99-9ac7-c6d77b1aea56", "http://www.mendeley.com/documents/?uuid=65f0d8ba-2abe-4f40-9bb8-47271fc552c8" ] } ], "mendeley" : { "formattedCitation" : "(Costanza et al., 1997, 2014)", "plainTextFormattedCitation" : "(Costanza et al., 1997, 2014)", "previouslyFormattedCitation" : "(Costanza et al., 1997,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(Costanza et al., 1997, 2014)</w:t>
      </w:r>
      <w:r w:rsidRPr="008608AA">
        <w:rPr>
          <w:rFonts w:eastAsia="Droid Sans Fallback"/>
        </w:rPr>
        <w:fldChar w:fldCharType="end"/>
      </w:r>
      <w:r w:rsidRPr="008608AA">
        <w:rPr>
          <w:rFonts w:eastAsia="Droid Sans Fallback"/>
        </w:rPr>
        <w:t xml:space="preserve">. </w:t>
      </w:r>
    </w:p>
    <w:p w14:paraId="290C318E" w14:textId="77777777" w:rsidR="008861AE" w:rsidRPr="008608AA" w:rsidRDefault="008861AE" w:rsidP="00EE708F">
      <w:pPr>
        <w:suppressAutoHyphens/>
        <w:rPr>
          <w:rFonts w:eastAsia="Droid Sans Fallback"/>
        </w:rPr>
      </w:pPr>
    </w:p>
    <w:p w14:paraId="06851405" w14:textId="687147C8" w:rsidR="00490494" w:rsidRPr="008608AA" w:rsidRDefault="00490494" w:rsidP="00EE708F">
      <w:pPr>
        <w:suppressAutoHyphens/>
        <w:rPr>
          <w:rFonts w:eastAsia="Droid Sans Fallback"/>
        </w:rPr>
      </w:pPr>
      <w:r w:rsidRPr="008608AA">
        <w:rPr>
          <w:rFonts w:eastAsia="Droid Sans Fallback"/>
        </w:rPr>
        <w:t xml:space="preserve">Seagrass beds provide key ecological functions for maintaining healthy estuarine and coastal ecosystems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"Moore", "given" : "Kenneth A.", "non-dropping-particle" : "", "parse-names" : false, "suffix" : "" }, { "dropping-particle" : "", "family" : "Short", "given" : "Frederick T.", "non-dropping-particle" : "", "parse-names" : false, "suffix" : "" } ], "container-title" : "Seagrasses: Biology, Ecology and Conservation", "editor" : [ { "dropping-particle" : "", "family" : "Larkum", "given" : "T.", "non-dropping-particle" : "", "parse-names" : false, "suffix" : "" }, { "dropping-particle" : "", "family" : "Orth", "given" : "R.", "non-dropping-particle" : "", "parse-names" : false, "suffix" : "" }, { "dropping-particle" : "", "family" : "Duarte", "given" : "C.", "non-dropping-particle" : "", "parse-names" : false, "suffix" : "" } ], "id" : "ITEM-1", "issued" : { "date-parts" : [ [ "2006" ] ] }, "page" : "361-386", "publisher" : "Springer", "publisher-place" : "The Netherlands", "title" : "Zostera: biology, ecology and management", "type" : "chapter" }, "uris" : [ "http://www.mendeley.com/documents/?uuid=e61342ee-bfbc-4a93-b881-a974c88a0b41", "http://www.mendeley.com/documents/?uuid=dc3b5dfc-d45c-48f6-8b00-629f29dd1303" ] }, { "id" : "ITEM-2", "itemData" : { "author" : [ { "dropping-particle" : "", "family" : "Duarte", "given" : "Carlos M.", "non-dropping-particle" : "", "parse-names" : false, "suffix" : "" }, { "dropping-particle" : "", "family" : "Borum", "given" : "J.", "non-dropping-particle" : "", "parse-names" : false, "suffix" : "" }, { "dropping-particle" : "", "family" : "Short", "given" : "Frederick T.", "non-dropping-particle" : "", "parse-names" : false, "suffix" : "" }, { "dropping-particle" : "", "family" : "Walker", "given" : "D.I.", "non-dropping-particle" : "", "parse-names" : false, "suffix" : "" } ], "container-title" : "Aquatic Ecosystems: Trend and Global Prospects", "editor" : [ { "dropping-particle" : "", "family" : "Polunin", "given" : "N.V.C.", "non-dropping-particle" : "", "parse-names" : false, "suffix" : "" } ], "id" : "ITEM-2", "issued" : { "date-parts" : [ [ "2008" ] ] }, "page" : "281-294", "publisher" : "Cambridge University Press", "publisher-place" : "Cambridge", "title" : "Seagrass ecosystem: their global status and prospects", "type" : "chapter" }, "uris" : [ "http://www.mendeley.com/documents/?uuid=f4e89235-831d-47aa-8f9c-12cb9808af95", "http://www.mendeley.com/documents/?uuid=d07a6829-1e03-46b5-bade-7a06dec6b6f0" ] }, { "id" : "ITEM-3", "itemData" : { "author" : [ { "dropping-particle" : "", "family" : "Cullen-Unsworth", "given" : "Leanne C", "non-dropping-particle" : "", "parse-names" : false, "suffix" : "" }, { "dropping-particle" : "", "family" : "Unsworth", "given" : "Richard", "non-dropping-particle" : "", "parse-names" : false, "suffix" : "" } ], "container-title" : "Environment: Science and Policy for Sustainable Development", "id" : "ITEM-3", "issue" : "3", "issued" : { "date-parts" : [ [ "2013" ] ] }, "page" : "14-28", "title" : "Seagrass Meadows, Ecosystem Services, and Sustainability", "type" : "article-journal", "volume" : "55" }, "uris" : [ "http://www.mendeley.com/documents/?uuid=82c28ebb-eb6f-401e-998c-6bfd8c2c7de0", "http://www.mendeley.com/documents/?uuid=8c90a8e0-8b25-45b1-a1aa-bf59bf691cc0" ] } ], "mendeley" : { "formattedCitation" : "(Cullen-Unsworth &amp; Unsworth, 2013; C. M. Duarte, Borum, Short, &amp; Walker, 2008; Moore &amp; Short, 2006)", "plainTextFormattedCitation" : "(Cullen-Unsworth &amp; Unsworth, 2013; C. M. Duarte, Borum, Short, &amp; Walker, 2008; Moore &amp; Short, 2006)", "previouslyFormattedCitation" : "(Cullen-Unsworth &amp; Unsworth, 2013; C. M. Duarte, Borum, Short, &amp; Walker, 2008; Moore &amp; Short,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(Cullen-Unsworth &amp; Unsworth, 2013;  Duarte et al., 2008; Moore &amp; Short, 2006)</w:t>
      </w:r>
      <w:r w:rsidRPr="008608AA">
        <w:rPr>
          <w:rFonts w:eastAsia="Droid Sans Fallback"/>
        </w:rPr>
        <w:fldChar w:fldCharType="end"/>
      </w:r>
      <w:r w:rsidRPr="008608AA">
        <w:rPr>
          <w:rFonts w:eastAsia="Droid Sans Fallback"/>
        </w:rPr>
        <w:t xml:space="preserve">, enhancing biodiversity and water quality in the immediate environment and adjacent habitats </w:t>
      </w:r>
      <w:r w:rsidRPr="008608AA">
        <w:rPr>
          <w:rFonts w:eastAsia="Droid Sans Fallback"/>
        </w:rPr>
        <w:fldChar w:fldCharType="begin" w:fldLock="1"/>
      </w:r>
      <w:r w:rsidRPr="008608AA">
        <w:rPr>
          <w:rFonts w:eastAsia="Droid Sans Fallback"/>
        </w:rPr>
        <w:instrText>ADDIN CSL_CITATION { "citationItems" : [ { "id" : "ITEM-1", "itemData" : { "DOI" : "10.1017/S0376892902000127", "ISSN" : "0376-8929", "author" : [ { "dropping-particle" : "", "family" : "Duarte", "given" : "Carlos M.", "non-dropping-particle" : "", "parse-names" : false, "suffix" : "" } ], "container-title" : "Environmental Conservation", "id" : "ITEM-1", "issue" : "2", "issued" : { "date-parts" : [ [ "2002", "8" ] ] }, "page" : "192-206", "title" : "The future of seagrass meadows", "type" : "article-journal", "volume" : "29" }, "uris" : [ "http://www.mendeley.com/documents/?uuid=17443d77-3ae5-4ca9-9bee-b2aed419f934", "http://www.mendeley.com/documents/?uuid=f5a94b64-bdc6-4630-bf8e-7bcfd8d5305b" ] }, { "id" : "ITEM-2", "itemData" : { "DOI" : "10.1515/BOT.2004.029", "ISBN" : "0520240472", "ISSN" : "0006-8055", "author" : [ { "dropping-particle" : "", "family" : "Green", "given" : "E.P.", "non-dropping-particle" : "", "parse-names" : false, "suffix" : "" }, { "dropping-particle" : "", "family" : "Short", "given" : "Frederick T.", "non-dropping-particle" : "", "parse-names" : false, "suffix" : "" } ], "container-title" : "Botanica Marina", "id" : "ITEM-2", "issue" : "3", "issued" : { "date-parts" : [ [ "2003", "1" ] ] }, "number-of-pages" : "298", "publisher" : "University of California Press, 298 pp", "publisher-place" : "Berkeley. USA", "title" : "World atlas of seagrasses. Prepared by the UNEP World Conservation Monitoring Centre.", "type" : "book", "volume" : "47" }, "uris" : [ "http://www.mendeley.com/documents/?uuid=0ce8fb75-8ac2-46e5-8593-67adaefbf28e", "http://www.mendeley.com/documents/?uuid=2ec2884f-9c4c-4cf7-926d-02dce9b552cc" ] } ], "mendeley" : { "formattedCitation" : "(C. M. Duarte, 2002; Green &amp; Short, 2003)", "manualFormatting" : "(Duarte, 2002; Green and Short, 2003", "plainTextFormattedCitation" : "(C. M. Duarte, 2002; Green &amp; Short, 2003)", "previouslyFormattedCitation" : "(C. M. Duarte, 2002; Green &amp; Short, 2003)"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(Duarte, 2002; Green &amp;</w:t>
      </w:r>
      <w:r w:rsidRPr="008608AA">
        <w:rPr>
          <w:rFonts w:eastAsia="Droid Sans Fallback"/>
          <w:noProof/>
        </w:rPr>
        <w:t xml:space="preserve"> Short, 2003</w:t>
      </w:r>
      <w:r w:rsidRPr="008608AA">
        <w:rPr>
          <w:rFonts w:eastAsia="Droid Sans Fallback"/>
        </w:rPr>
        <w:fldChar w:fldCharType="end"/>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"DOI" : "10.1016/j.marpolbul.2006.12.003", "ISSN" : "0025326X", "author" : [ { "dropping-particle" : "", "family" : "Beaumont", "given" : "NJ", "non-dropping-particle" : "", "parse-names" : false, "suffix" : "" }, { "dropping-particle" : "", "family" : "Austen", "given" : "MC", "non-dropping-particle" : "", "parse-names" : false, "suffix" : "" }, { "dropping-particle" : "", "family" : "Atkins", "given" : "J.P.", "non-dropping-particle" : "", "parse-names" : false, "suffix" : "" }, { "dropping-particle" : "", "family" : "Burdon", "given" : "Daryl", "non-dropping-particle" : "", "parse-names" : false, "suffix" : "" }, { "dropping-particle" : "", "family" : "Degraer", "given" : "S", "non-dropping-particle" : "", "parse-names" : false, "suffix" : "" }, { "dropping-particle" : "", "family" : "Dentinho", "given" : "TP", "non-dropping-particle" : "", "parse-names" : false, "suffix" : "" }, { "dropping-particle" : "", "family" : "Derous", "given" : "S", "non-dropping-particle" : "", "parse-names" : false, "suffix" : "" }, { "dropping-particle" : "", "family" : "Holm", "given" : "P", "non-dropping-particle" : "", "parse-names" : false, "suffix" : "" }, { "dropping-particle" : "", "family" : "Horton", "given" : "T", "non-dropping-particle" : "", "parse-names" : false, "suffix" : "" }, { "dropping-particle" : "", "family" : "Ierland", "given" : "E", "non-dropping-particle" : "van", "parse-names" : false, "suffix" : "" }, { "dropping-particle" : "", "family" : "Marboe", "given" : "AH", "non-dropping-particle" : "", "parse-names" : false, "suffix" : "" }, { "dropping-particle" : "", "family" : "Starkey", "given" : "DJ", "non-dropping-particle" : "", "parse-names" : false, "suffix" : "" }, { "dropping-particle" : "", "family" : "Townsend", "given" : "M", "non-dropping-particle" : "", "parse-names" : false, "suffix" : "" }, { "dropping-particle" : "", "family" : "Zarzycki", "given" : "T", "non-dropping-particle" : "", "parse-names" : false, "suffix" : "" } ], "container-title" : "Marine Pollution Bulletin", "id" : "ITEM-1", "issue" : "3", "issued" : { "date-parts" : [ [ "2007", "3" ] ] }, "page" : "253-265", "title" : "Identification, definition and quantification of goods and services provided by marine biodiversity: Implications for the ecosystem approach", "type" : "article-journal", "volume" : "54" }, "uris" : [ "http://www.mendeley.com/documents/?uuid=f905ad12-cb4f-42a4-a026-88a4c12404e7" ] } ], "mendeley" : { "formattedCitation" : "(Beaumont et al., 2007)", "manualFormatting" : "Beaumont et al., 2007)", "plainTextFormattedCitation" : "(Beaumont et al., 2007)", "previouslyFormattedCitation" : "(Beaumont et al., 2007)"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Beaumont et al</w:t>
      </w:r>
      <w:r w:rsidR="007B0660" w:rsidRPr="008608AA">
        <w:rPr>
          <w:rFonts w:eastAsia="Droid Sans Fallback"/>
          <w:noProof/>
        </w:rPr>
        <w:t>.</w:t>
      </w:r>
      <w:r w:rsidRPr="008608AA">
        <w:rPr>
          <w:rFonts w:eastAsia="Droid Sans Fallback"/>
          <w:noProof/>
        </w:rPr>
        <w:t>, 2007)</w:t>
      </w:r>
      <w:r w:rsidRPr="008608AA">
        <w:rPr>
          <w:rFonts w:eastAsia="Droid Sans Fallback"/>
        </w:rPr>
        <w:fldChar w:fldCharType="end"/>
      </w:r>
      <w:r w:rsidRPr="008608AA">
        <w:rPr>
          <w:rFonts w:eastAsia="Droid Sans Fallback"/>
        </w:rPr>
        <w:t xml:space="preserve">. Their canopies enhance the settlement of suspended particles and prevent resuspension; their root systems help to bind sediments over a long-term; and they release oxygen from photosynthesis. Their above and below ground systems also have a major role in coastal protection; holding and binding sediments, they prevent the scouring action of waves directly on the benthos, thus seagrasses, likewise mangroves and corals, dampen the effects of wave and current energy, reducing the processes of erosion and turbidity and increasing sedimentation </w:t>
      </w:r>
      <w:r w:rsidRPr="008608AA">
        <w:rPr>
          <w:rFonts w:eastAsia="Droid Sans Fallback"/>
        </w:rPr>
        <w:fldChar w:fldCharType="begin" w:fldLock="1"/>
      </w:r>
      <w:r w:rsidRPr="008608AA">
        <w:rPr>
          <w:rFonts w:eastAsia="Droid Sans Fallback"/>
        </w:rPr>
        <w:instrText>ADDIN CSL_CITATION { "citationItems" : [ { "id" : "ITEM-1", "itemData" : { "DOI" : "10.1515/BOT.2004.029", "ISBN" : "0520240472", "ISSN" : "0006-8055", "author" : [ { "dropping-particle" : "", "family" : "Green", "given" : "E.P.", "non-dropping-particle" : "", "parse-names" : false, "suffix" : "" }, { "dropping-particle" : "", "family" : "Short", "given" : "Frederick T.", "non-dropping-particle" : "", "parse-names" : false, "suffix" : "" } ], "container-title" : "Botanica Marina", "id" : "ITEM-1", "issue" : "3", "issued" : { "date-parts" : [ [ "2003", "1" ] ] }, "number-of-pages" : "298", "publisher" : "University of California Press, 298 pp", "publisher-place" : "Berkeley. USA", "title" : "World atlas of seagrasses. Prepared by the UNEP World Conservation Monitoring Centre.", "type" : "book", "volume" : "47" }, "uris" : [ "http://www.mendeley.com/documents/?uuid=2acb2109-e1a9-471d-8e4c-a62c39c21a88" ] } ], "mendeley" : { "formattedCitation" : "(Green &amp; Short, 2003)", "plainTextFormattedCitation" : "(Green &amp; Short, 2003)", "previouslyFormattedCitation" : "(Green &amp; Short, 2003)"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(Green &amp; Short, 2003)</w:t>
      </w:r>
      <w:r w:rsidRPr="008608AA">
        <w:rPr>
          <w:rFonts w:eastAsia="Droid Sans Fallback"/>
        </w:rPr>
        <w:fldChar w:fldCharType="end"/>
      </w:r>
      <w:r w:rsidRPr="008608AA">
        <w:rPr>
          <w:rFonts w:eastAsia="Droid Sans Fallback"/>
        </w:rPr>
        <w:t xml:space="preserve">. </w:t>
      </w:r>
    </w:p>
    <w:p w14:paraId="27A3B3D3" w14:textId="77777777" w:rsidR="008861AE" w:rsidRPr="008608AA" w:rsidRDefault="00490494" w:rsidP="00EE708F">
      <w:pPr>
        <w:suppressAutoHyphens/>
        <w:rPr>
          <w:rFonts w:eastAsia="Droid Sans Fallback"/>
        </w:rPr>
      </w:pPr>
      <w:r w:rsidRPr="008608AA">
        <w:rPr>
          <w:rFonts w:eastAsia="Droid Sans Fallback"/>
        </w:rPr>
        <w:t xml:space="preserve">Seagrass meadows, corals and mangroves, supply habitat, shelter and breeding ground for important marine species, including numerous commercially important fish and shellfish species </w:t>
      </w:r>
      <w:r w:rsidRPr="008608AA">
        <w:rPr>
          <w:rFonts w:eastAsia="Droid Sans Fallback"/>
        </w:rPr>
        <w:fldChar w:fldCharType="begin" w:fldLock="1"/>
      </w:r>
      <w:r w:rsidRPr="008608AA">
        <w:rPr>
          <w:rFonts w:eastAsia="Droid Sans Fallback"/>
        </w:rPr>
        <w:instrText>ADDIN CSL_CITATION { "citationItems" : [ { "id" : "ITEM-1", "itemData" : { "abstract" : "Seagrasses, marine flowering plants, have a long evolutionary history but are now challenged with rapid environmental changes as a result of coastal human population pressures. Seagrasses provide key ecological services, including organic carbon production and export, nutrient cycling, sediment stabilization, enhanced biodiversity, and trophic transfers to adjacent habitats in tropical and temperate regions. They also serve as \u201ccoastal canaries,\u201d global biological sentinels of increasing anthropogenic influences in coastal ecosystems,with large-scale losses reported worldwide.Multiple stressors, including sediment and nutrient runoff, physical disturbance, invasive species, disease, commercial fishing practices, aquaculture, overgrazing, algal blooms, and global warming, cause seagrass declines at scales of square meters to hundreds of square kilometers. Reported seagrass losses have led to increased awareness of the need for seagrass protection, monitoring, management, and restoration. However, seagrass science, which has rapidly grown, is disconnected from public awareness of seagrasses, which has lagged behind awareness of other coastal ecosystems. There is a critical need for a targeted global conservation effort that includes a reduction of watershed nutrient and sediment inputs to seagrass habitats and a targeted educational program informing regulators and the public of the value of seagrass meadows.", "author" : [ { "dropping-particle" : "", "family" : "Orth", "given" : "Robert J.", "non-dropping-particle" : "", "parse-names" : false, "suffix" : "" }, { "dropping-particle" : "", "family" : "Carruthers", "given" : "T.J.B.", "non-dropping-particle" : "", "parse-names" : false, "suffix" : "" }, { "dropping-particle" : "", "family" : "Dennison", "given" : "William C.", "non-dropping-particle" : "", "parse-names" : false, "suffix" : "" }, { "dropping-particle" : "", "family" : "Duarte", "given" : "Carlos M.", "non-dropping-particle" : "", "parse-names" : false, "suffix" : "" }, { "dropping-particle" : "", "family" : "Fourqurean", "given" : "James W.", "non-dropping-particle" : "", "parse-names" : false, "suffix" : "" }, { "dropping-particle" : "", "family" : "Heck", "given" : "Kenneth L", "non-dropping-particle" : "", "parse-names" : false, "suffix" : "" }, { "dropping-particle" : "", "family" : "Hughes", "given" : "A Randall", "non-dropping-particle" : "", "parse-names" : false, "suffix" : "" }, { "dropping-particle" : "", "family" : "Kendrick", "given" : "G.A.", "non-dropping-particle" : "", "parse-names" : false, "suffix" : "" }, { "dropping-particle" : "", "family" : "Kenworthy", "given" : "W. Judson", "non-dropping-particle" : "", "parse-names" : false, "suffix" : "" }, { "dropping-particle" : "", "family" : "Olyarnik", "given" : "Suzanne", "non-dropping-particle" : "", "parse-names" : false, "suffix" : "" }, { "dropping-particle" : "", "family" : "Short", "given" : "Frederick T.", "non-dropping-particle" : "", "parse-names" : false, "suffix" : "" }, { "dropping-particle" : "", "family" : "Waycott", "given" : "Michelle", "non-dropping-particle" : "", "parse-names" : false, "suffix" : "" }, { "dropping-particle" : "", "family" : "Williams", "given" : "Susan L", "non-dropping-particle" : "", "parse-names" : false, "suffix" : "" } ], "container-title" : "BioScience", "id" : "ITEM-1", "issue" : "12", "issued" : { "date-parts" : [ [ "2006" ] ] }, "page" : "987-996", "title" : "A Global Crisis for Seagrass Ecosystems", "type" : "article-journal", "volume" : "56" }, "uris" : [ "http://www.mendeley.com/documents/?uuid=fbf04b2f-c24a-4080-9702-e83fac40d7a3", "http://www.mendeley.com/documents/?uuid=a9b3a875-3614-468f-b57c-cf7c0c913436" ] }, { "id" : "ITEM-2", "itemData" : { "DOI" : "10.1890/080041", "ISSN" : "1540-9295", "author" : [ { "dropping-particle" : "", "family" : "Hughes", "given" : "R.G.", "non-dropping-particle" : "", "parse-names" : false, "suffix" : "" }, { "dropping-particle" : "", "family" : "Williams", "given" : "Susan L", "non-dropping-particle" : "", "parse-names" : false, "suffix" : "" }, { "dropping-particle" : "", "family" : "Duarte", "given" : "Carlos M.", "non-dropping-particle" : "", "parse-names" : false, "suffix" : "" }, { "dropping-particle" : "", "family" : "Heck", "given" : "Kenneth L", "non-dropping-particle" : "", "parse-names" : false, "suffix" : "" }, { "dropping-particle" : "", "family" : "Waycott", "given" : "Michelle", "non-dropping-particle" : "", "parse-names" : false, "suffix" : "" } ], "container-title" : "Frontiers in Ecology and the Environment", "id" : "ITEM-2", "issue" : "5", "issued" : { "date-parts" : [ [ "2009", "6" ] ] }, "page" : "242-246", "title" : "Associations of concern: declining seagrasses and threatened dependent species", "type" : "article-journal", "volume" : "7" }, "uris" : [ "http://www.mendeley.com/documents/?uuid=ca274fbe-5156-4a2a-b1a5-e41e615ab537", "http://www.mendeley.com/documents/?uuid=434f908b-091d-4bc4-83c6-abc9293f7c0e" ] } ], "mendeley" : { "formattedCitation" : "(Hughes, Williams, Duarte, Heck, &amp; Waycott, 2009; Orth et al., 2006)", "plainTextFormattedCitation" : "(Hughes, Williams, Duarte, Heck, &amp; Waycott, 2009; Orth et al., 2006)", "previouslyFormattedCitation" : "(Hughes, Williams, Duarte, Heck, &amp; Waycott, 2009; Orth et al.,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(Hughes et al., 2009; Orth et al., 2006)</w:t>
      </w:r>
      <w:r w:rsidRPr="008608AA">
        <w:rPr>
          <w:rFonts w:eastAsia="Droid Sans Fallback"/>
        </w:rPr>
        <w:fldChar w:fldCharType="end"/>
      </w:r>
      <w:r w:rsidRPr="008608AA">
        <w:rPr>
          <w:rFonts w:eastAsia="Droid Sans Fallback"/>
        </w:rPr>
        <w:t xml:space="preserve">. In addition to these nursery functions, seagrass beds are also feeding ground for protected species </w:t>
      </w:r>
      <w:r w:rsidRPr="008608AA">
        <w:rPr>
          <w:rFonts w:eastAsia="Droid Sans Fallback"/>
        </w:rPr>
        <w:fldChar w:fldCharType="begin" w:fldLock="1"/>
      </w:r>
      <w:r w:rsidRPr="008608AA">
        <w:rPr>
          <w:rFonts w:eastAsia="Droid Sans Fallback"/>
        </w:rPr>
        <w:instrText>ADDIN CSL_CITATION { "citationItems" : [ { "id" : "ITEM-1", "itemData" : { "DOI" : "10.1371/journal.pone.0062413", "ISSN" : "1932-6203", "PMID" : "23723969", "abstract" : "One of the most frequently quoted ecosystem services of seagrass meadows is their value for coastal protection. Many studies emphasize the role of above-ground shoots in attenuating waves, enhancing sedimentation and preventing erosion. This raises the question if short-leaved, low density (grazed) seagrass meadows with most of their biomass in belowground tissues can also stabilize sediments. We examined this by combining manipulative field experiments and wave measurements along a typical tropical reef flat where green turtles intensively graze upon the seagrass canopy. We experimentally manipulated wave energy and grazing intensity along a transect perpendicular to the beach, and compared sediment bed level change between vegetated and experimentally created bare plots at three distances from the beach. Our experiments showed that i) even the short-leaved, low-biomass and heavily-grazed seagrass vegetation reduced wave-induced sediment erosion up to threefold, and ii) that erosion was a function of location along the vegetated reef flat. Where other studies stress the importance of the seagrass canopy for shoreline protection, our study on open, low-biomass and heavily grazed seagrass beds strongly suggests that belowground biomass also has a major effect on the immobilization of sediment. These results imply that, compared to shallow unvegetated nearshore reef flats, the presence of a short, low-biomass seagrass meadow maintains a higher bed level, attenuating waves before reaching the beach and hence lowering beach erosion rates. We propose that the sole use of aboveground biomass as a proxy for valuing coastal protection services should be reconsidered.", "author" : [ { "dropping-particle" : "", "family" : "Christianen", "given" : "Marjolijn JA", "non-dropping-particle" : "", "parse-names" : false, "suffix" : "" }, { "dropping-particle" : "", "family" : "Belzen", "given" : "Jim", "non-dropping-particle" : "van", "parse-names" : false, "suffix" : "" }, { "dropping-particle" : "", "family" : "Herman", "given" : "P M J", "non-dropping-particle" : "", "parse-names" : false, "suffix" : "" }, { "dropping-particle" : "", "family" : "Katwijk", "given" : "Marieke M.", "non-dropping-particle" : "van", "parse-names" : false, "suffix" : "" }, { "dropping-particle" : "", "family" : "Lamers", "given" : "Leon P M", "non-dropping-particle" : "", "parse-names" : false, "suffix" : "" }, { "dropping-particle" : "", "family" : "Leent", "given" : "Peter J M", "non-dropping-particle" : "van", "parse-names" : false, "suffix" : "" }, { "dropping-particle" : "", "family" : "Bouma", "given" : "Tjeerd J.", "non-dropping-particle" : "", "parse-names" : false, "suffix" : "" } ], "container-title" : "PloS one", "id" : "ITEM-1", "issue" : "5", "issued" : { "date-parts" : [ [ "2013", "1" ] ] }, "page" : "e62413", "title" : "Low-canopy seagrass beds still provide important coastal protection services.", "type" : "article-journal", "volume" : "8" }, "uris" : [ "http://www.mendeley.com/documents/?uuid=deb85b15-a079-4305-b5e4-068a43ac3781", "http://www.mendeley.com/documents/?uuid=c3270520-d8de-4d78-befb-9e9011b8a883" ] } ], "mendeley" : { "formattedCitation" : "(Christianen et al., 2013)", "plainTextFormattedCitation" : "(Christianen et al., 2013)", "previouslyFormattedCitation" : "(Christianen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(Christianen et al</w:t>
      </w:r>
      <w:r w:rsidR="007B0660" w:rsidRPr="008608AA">
        <w:rPr>
          <w:rFonts w:eastAsia="Droid Sans Fallback"/>
          <w:noProof/>
        </w:rPr>
        <w:t>.</w:t>
      </w:r>
      <w:r w:rsidRPr="008608AA">
        <w:rPr>
          <w:rFonts w:eastAsia="Droid Sans Fallback"/>
          <w:noProof/>
        </w:rPr>
        <w:t>, 2013)</w:t>
      </w:r>
      <w:r w:rsidRPr="008608AA">
        <w:rPr>
          <w:rFonts w:eastAsia="Droid Sans Fallback"/>
        </w:rPr>
        <w:fldChar w:fldCharType="end"/>
      </w:r>
      <w:r w:rsidRPr="008608AA">
        <w:rPr>
          <w:rFonts w:eastAsia="Droid Sans Fallback"/>
        </w:rPr>
        <w:t xml:space="preserve"> and seabirds </w:t>
      </w:r>
      <w:r w:rsidRPr="008608AA">
        <w:rPr>
          <w:rFonts w:eastAsia="Droid Sans Fallback"/>
        </w:rPr>
        <w:fldChar w:fldCharType="begin" w:fldLock="1"/>
      </w:r>
      <w:r w:rsidRPr="008608AA">
        <w:rPr>
          <w:rFonts w:eastAsia="Droid Sans Fallback"/>
        </w:rPr>
        <w:instrText>ADDIN CSL_CITATION { "citationItems" : [ { "id" : "ITEM-1", "itemData" : { "ISSN" : "1051-0761", "PMID" : "23092012", "abstract" : "Managers need to predict how animals will respond to habitat redistributions caused by climate change. Our objective was to model the effects of sea level rise on total eelgrass (Zostera marina) habitat area and on the amount of that area that is accessible to Brant geese (Branta bernicla), specialist grazers of eelgrass. Digital elevation models were developed for seven estuaries from Alaska, Washington, California (USA), and Mexico. Scenarios of future total eelgrass area were derived from combinations of estuarine specific sediment and tectonic rates (i.e., bottom change rate) with three rates of eustatic sea level rise (ESLR). Percentages of total eelgrass areas that were accessible to foraging Brant were determined for December when the birds overwinter at more southerly sites and in April as they move north to sites where they build body stores on their way to nesting areas in Alaska. The modeling showed that accessible eelgrass area could be lower than total area due to how daytime low-tide height, eelgrass shoot length, and the upper elevation of eelgrass determined Brant-reaching depth. Projections of future eelgrass area indicated that present-day ESLR (2.8 mm/yr) and bottom change rates should sustain the current pattern of estuarine use by Brant except in Morro Bay, where use should decrease because eelgrass is being ejected from this estuary by a positive bottom change rate. Higher ESLR rates (6.3 and 12.7 mm/yr) should result in less Brant use of estuaries at the northern and southern ends of the flyway, particularly during the winter, but more use of mid-latitude estuaries. The capacity of mid-latitude estuaries to function as Brant feeding refugia, or for these estuaries and Izembek Lagoon to provide drift rather than attached leaves, is eventually limited by the decrease in total eelgrass area, which is a result of a light extinction affect on the eelgrass, or the habitat being pushed out of the estuary by positive tectonic rates. Management responses are limited to the increase or decrease of sediment supply and the relocation of levees to allow for upslope migration of eelgrass habitat.", "author" : [ { "dropping-particle" : "", "family" : "Shaughnessy", "given" : "Frank J", "non-dropping-particle" : "", "parse-names" : false, "suffix" : "" }, { "dropping-particle" : "", "family" : "Gilkerson", "given" : "W.", "non-dropping-particle" : "", "parse-names" : false, "suffix" : "" }, { "dropping-particle" : "", "family" : "Black", "given" : "Jeffrey M", "non-dropping-particle" : "", "parse-names" : false, "suffix" : "" }, { "dropping-particle" : "", "family" : "Ward", "given" : "David H", "non-dropping-particle" : "", "parse-names" : false, "suffix" : "" }, { "dropping-particle" : "", "family" : "Petrie", "given" : "Mark", "non-dropping-particle" : "", "parse-names" : false, "suffix" : "" } ], "container-title" : "Ecological Applications", "id" : "ITEM-1", "issue" : "6", "issued" : { "date-parts" : [ [ "2012", "9" ] ] }, "page" : "1743-1761", "title" : "Predicted eelgrass response to sea level rise and its availability to foraging Black Brant in Pacific coast estuaries.", "type" : "article-journal", "volume" : "22" }, "uris" : [ "http://www.mendeley.com/documents/?uuid=2a43813a-22dc-4908-b266-259c13de30e6", "http://www.mendeley.com/documents/?uuid=2a6a8ffc-03d6-4070-a2c7-93ce8df9f7c8" ] } ], "mendeley" : { "formattedCitation" : "(Shaughnessy, Gilkerson, Black, Ward, &amp; Petrie, 2012)", "plainTextFormattedCitation" : "(Shaughnessy, Gilkerson, Black, Ward, &amp; Petrie, 2012)", "previouslyFormattedCitation" : "(Shaughnessy, Gilkerson, Black, Ward, &amp; Petrie,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(Shaughnessy et al.,  2012)</w:t>
      </w:r>
      <w:r w:rsidRPr="008608AA">
        <w:rPr>
          <w:rFonts w:eastAsia="Droid Sans Fallback"/>
        </w:rPr>
        <w:fldChar w:fldCharType="end"/>
      </w:r>
      <w:r w:rsidRPr="008608AA">
        <w:rPr>
          <w:rFonts w:eastAsia="Droid Sans Fallback"/>
        </w:rPr>
        <w:t xml:space="preserve">. Thus, seagrasses and mangroves and corals, contribute to various trophic levels of the soft-sediment coastal ecosystems enhancing overall productivity and biodiversity </w:t>
      </w:r>
      <w:r w:rsidRPr="008608AA">
        <w:rPr>
          <w:rFonts w:eastAsia="Droid Sans Fallback"/>
        </w:rPr>
        <w:fldChar w:fldCharType="begin" w:fldLock="1"/>
      </w:r>
      <w:r w:rsidRPr="008608AA">
        <w:rPr>
          <w:rFonts w:eastAsia="Droid Sans Fallback"/>
        </w:rPr>
        <w:instrText>ADDIN CSL_CITATION { "citationItems" : [ { "id" : "ITEM-1", "itemData" : { "DOI" : "10.1515/BOT.2004.029", "ISBN" : "0520240472", "ISSN" : "0006-8055", "author" : [ { "dropping-particle" : "", "family" : "Green", "given" : "E.P.", "non-dropping-particle" : "", "parse-names" : false, "suffix" : "" }, { "dropping-particle" : "", "family" : "Short", "given" : "Frederick T.", "non-dropping-particle" : "", "parse-names" : false, "suffix" : "" } ], "container-title" : "Botanica Marina", "id" : "ITEM-1", "issue" : "3", "issued" : { "date-parts" : [ [ "2003", "1" ] ] }, "number-of-pages" : "298", "publisher" : "University of California Press, 298 pp", "publisher-place" : "Berkeley. USA", "title" : "World atlas of seagrasses. Prepared by the UNEP World Conservation Monitoring Centre.", "type" : "book", "volume" : "47" }, "uris" : [ "http://www.mendeley.com/documents/?uuid=2acb2109-e1a9-471d-8e4c-a62c39c21a88" ] } ], "mendeley" : { "formattedCitation" : "(Green &amp; Short, 2003)", "plainTextFormattedCitation" : "(Green &amp; Short, 2003)", "previouslyFormattedCitation" : "(Green &amp; Short, 2003)"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(Green &amp; Short, 2003)</w:t>
      </w:r>
      <w:r w:rsidRPr="008608AA">
        <w:rPr>
          <w:rFonts w:eastAsia="Droid Sans Fallback"/>
        </w:rPr>
        <w:fldChar w:fldCharType="end"/>
      </w:r>
      <w:r w:rsidRPr="008608AA">
        <w:rPr>
          <w:rFonts w:eastAsia="Droid Sans Fallback"/>
        </w:rPr>
        <w:t>.</w:t>
      </w:r>
    </w:p>
    <w:p w14:paraId="3A5DB6FE" w14:textId="4E367CCB" w:rsidR="00490494" w:rsidRPr="008608AA" w:rsidRDefault="00490494" w:rsidP="00EE708F">
      <w:pPr>
        <w:suppressAutoHyphens/>
        <w:rPr>
          <w:rFonts w:eastAsia="Droid Sans Fallback"/>
        </w:rPr>
      </w:pPr>
      <w:r w:rsidRPr="008608AA">
        <w:rPr>
          <w:rFonts w:eastAsia="Droid Sans Fallback"/>
        </w:rPr>
        <w:t xml:space="preserve"> </w:t>
      </w:r>
    </w:p>
    <w:p w14:paraId="38420A70" w14:textId="42E27469" w:rsidR="00490494" w:rsidRPr="008608AA" w:rsidRDefault="00490494" w:rsidP="00EE708F">
      <w:pPr>
        <w:suppressAutoHyphens/>
        <w:rPr>
          <w:rFonts w:eastAsia="Droid Sans Fallback"/>
        </w:rPr>
      </w:pPr>
      <w:r w:rsidRPr="008608AA">
        <w:rPr>
          <w:rFonts w:eastAsia="Droid Sans Fallback"/>
        </w:rPr>
        <w:t xml:space="preserve">Summarizing, these units of analysis provide a wide range of ecosystem services, including raw materials and food, coastal protection, erosion control, water purification, maintenance of fisheries, carbon sequestration, and tourism, education, and research (Figure 5.19). Apart from providing a wide array of ecosystem services, aquatic angiosperms are valuable biological indicators integrating environmental impacts over measurable and definable timescales </w:t>
      </w:r>
      <w:r w:rsidRPr="008608AA">
        <w:rPr>
          <w:rFonts w:eastAsia="Droid Sans Fallback"/>
        </w:rPr>
        <w:fldChar w:fldCharType="begin" w:fldLock="1"/>
      </w:r>
      <w:r w:rsidRPr="008608AA">
        <w:rPr>
          <w:rFonts w:eastAsia="Droid Sans Fallback"/>
        </w:rPr>
        <w:instrText>ADDIN CSL_CITATION { "citationItems" : [ { "id" : "ITEM-1", "itemData" : { "DOI" : "10.3354/meps07358", "ISSN" : "0171-8630", "author" : [ { "dropping-particle" : "", "family" : "Mart\u00ednez-Crego", "given" : "Bego\u00f1a", "non-dropping-particle" : "", "parse-names" : false, "suffix" : "" }, { "dropping-particle" : "", "family" : "Verg\u00e9s", "given" : "A", "non-dropping-particle" : "", "parse-names" : false, "suffix" : "" }, { "dropping-particle" : "", "family" : "Alcoverro", "given" : "Teresa", "non-dropping-particle" : "", "parse-names" : false, "suffix" : "" }, { "dropping-particle" : "", "family" : "Romero", "given" : "Javier", "non-dropping-particle" : "", "parse-names" : false, "suffix" : "" } ], "container-title" : "Marine Ecology Progress Series", "id" : "ITEM-1", "issued" : { "date-parts" : [ [ "2008", "6" ] ] }, "page" : "93-109", "title" : "Selection of multiple seagrass indicators for environmental biomonitoring", "type" : "article-journal", "volume" : "361" }, "uris" : [ "http://www.mendeley.com/documents/?uuid=e6f1460d-53ec-4e69-bf66-90e88e58132c", "http://www.mendeley.com/documents/?uuid=9c1c5f24-15f9-4a35-be2d-1af9eed650d7" ] }, { "id" : "ITEM-2", "itemData" : { "abstract" : "Seagrasses, marine flowering plants, have a long evolutionary history but are now challenged with rapid environmental changes as a result of coastal human population pressures. Seagrasses provide key ecological services, including organic carbon production and export, nutrient cycling, sediment stabilization, enhanced biodiversity, and trophic transfers to adjacent habitats in tropical and temperate regions. They also serve as \u201ccoastal canaries,\u201d global biological sentinels of increasing anthropogenic influences in coastal ecosystems,with large-scale losses reported worldwide.Multiple stressors, including sediment and nutrient runoff, physical disturbance, invasive species, disease, commercial fishing practices, aquaculture, overgrazing, algal blooms, and global warming, cause seagrass declines at scales of square meters to hundreds of square kilometers. Reported seagrass losses have led to increased awareness of the need for seagrass protection, monitoring, management, and restoration. However, seagrass science, which has rapidly grown, is disconnected from public awareness of seagrasses, which has lagged behind awareness of other coastal ecosystems. There is a critical need for a targeted global conservation effort that includes a reduction of watershed nutrient and sediment inputs to seagrass habitats and a targeted educational program informing regulators and the public of the value of seagrass meadows.", "author" : [ { "dropping-particle" : "", "family" : "Orth", "given" : "Robert J.", "non-dropping-particle" : "", "parse-names" : false, "suffix" : "" }, { "dropping-particle" : "", "family" : "Carruthers", "given" : "T.J.B.", "non-dropping-particle" : "", "parse-names" : false, "suffix" : "" }, { "dropping-particle" : "", "family" : "Dennison", "given" : "William C.", "non-dropping-particle" : "", "parse-names" : false, "suffix" : "" }, { "dropping-particle" : "", "family" : "Duarte", "given" : "Carlos M.", "non-dropping-particle" : "", "parse-names" : false, "suffix" : "" }, { "dropping-particle" : "", "family" : "Fourqurean", "given" : "James W.", "non-dropping-particle" : "", "parse-names" : false, "suffix" : "" }, { "dropping-particle" : "", "family" : "Heck", "given" : "Kenneth L", "non-dropping-particle" : "", "parse-names" : false, "suffix" : "" }, { "dropping-particle" : "", "family" : "Hughes", "given" : "A Randall", "non-dropping-particle" : "", "parse-names" : false, "suffix" : "" }, { "dropping-particle" : "", "family" : "Kendrick", "given" : "G.A.", "non-dropping-particle" : "", "parse-names" : false, "suffix" : "" }, { "dropping-particle" : "", "family" : "Kenworthy", "given" : "W. Judson", "non-dropping-particle" : "", "parse-names" : false, "suffix" : "" }, { "dropping-particle" : "", "family" : "Olyarnik", "given" : "Suzanne", "non-dropping-particle" : "", "parse-names" : false, "suffix" : "" }, { "dropping-particle" : "", "family" : "Short", "given" : "Frederick T.", "non-dropping-particle" : "", "parse-names" : false, "suffix" : "" }, { "dropping-particle" : "", "family" : "Waycott", "given" : "Michelle", "non-dropping-particle" : "", "parse-names" : false, "suffix" : "" }, { "dropping-particle" : "", "family" : "Williams", "given" : "Susan L", "non-dropping-particle" : "", "parse-names" : false, "suffix" : "" } ], "container-title" : "BioScience", "id" : "ITEM-2", "issue" : "12", "issued" : { "date-parts" : [ [ "2006" ] ] }, "page" : "987-996", "title" : "A Global Crisis for Seagrass Ecosystems", "type" : "article-journal", "volume" : "56" }, "uris" : [ "http://www.mendeley.com/documents/?uuid=fbf04b2f-c24a-4080-9702-e83fac40d7a3", "http://www.mendeley.com/documents/?uuid=e947ff43-966c-473b-83c7-6926ce5a7777" ] } ], "mendeley" : { "formattedCitation" : "(Mart\u00ednez-Crego, Verg\u00e9s, Alcoverro, &amp; Romero, 2008; Orth et al., 2006)", "plainTextFormattedCitation" : "(Mart\u00ednez-Crego, Verg\u00e9s, Alcoverro, &amp; Romero, 2008; Orth et al., 2006)", "previouslyFormattedCitation" : "(Mart\u00ednez-Crego, Verg\u00e9s, Alcoverro, &amp; Romero, 2008; Orth et al., 2006)"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(Martínez-Crego</w:t>
      </w:r>
      <w:r w:rsidRPr="008608AA">
        <w:rPr>
          <w:rFonts w:eastAsia="Droid Sans Fallback"/>
          <w:noProof/>
        </w:rPr>
        <w:t xml:space="preserve"> et al., 2008; Orth et al., 2006)</w:t>
      </w:r>
      <w:r w:rsidRPr="008608AA">
        <w:rPr>
          <w:rFonts w:eastAsia="Droid Sans Fallback"/>
        </w:rPr>
        <w:fldChar w:fldCharType="end"/>
      </w:r>
      <w:r w:rsidRPr="008608AA">
        <w:rPr>
          <w:rFonts w:eastAsia="Droid Sans Fallback"/>
        </w:rPr>
        <w:t xml:space="preserve">. Under a changing climate context, their regulation service on organic matter accumulation could play a critical role in long-term carbon sequestration. As perennial structures, seagrasses are one of the few marine ecosystems which store carbon for relatively long periods </w:t>
      </w:r>
      <w:r w:rsidRPr="008608AA">
        <w:rPr>
          <w:rFonts w:eastAsia="Droid Sans Fallback"/>
        </w:rPr>
        <w:fldChar w:fldCharType="begin" w:fldLock="1"/>
      </w:r>
      <w:r w:rsidRPr="008608AA">
        <w:rPr>
          <w:rFonts w:eastAsia="Droid Sans Fallback"/>
        </w:rPr>
        <w:instrText>ADDIN CSL_CITATION { "citationItems" : [ { "id" : "ITEM-1", "itemData" : { "DOI" : "10.1515/BOT.2004.029", "ISBN" : "0520240472", "ISSN" : "0006-8055", "author" : [ { "dropping-particle" : "", "family" : "Green", "given" : "E.P.", "non-dropping-particle" : "", "parse-names" : false, "suffix" : "" }, { "dropping-particle" : "", "family" : "Short", "given" : "Frederick T.", "non-dropping-particle" : "", "parse-names" : false, "suffix" : "" } ], "container-title" : "Botanica Marina", "id" : "ITEM-1", "issue" : "3", "issued" : { "date-parts" : [ [ "2003", "1" ] ] }, "number-of-pages" : "298", "publisher" : "University of California Press, 298 pp", "publisher-place" : "Berkeley. USA", "title" : "World atlas of seagrasses. Prepared by the UNEP World Conservation Monitoring Centre.", "type" : "book", "volume" : "47" }, "uris" : [ "http://www.mendeley.com/documents/?uuid=2acb2109-e1a9-471d-8e4c-a62c39c21a88" ] } ], "mendeley" : { "formattedCitation" : "(Green &amp; Short, 2003)", "plainTextFormattedCitation" : "(Green &amp; Short, 2003)", "previouslyFormattedCitation" : "(Green &amp; Short, 2003)"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(Green &amp; Short, 2003)</w:t>
      </w:r>
      <w:r w:rsidRPr="008608AA">
        <w:rPr>
          <w:rFonts w:eastAsia="Droid Sans Fallback"/>
        </w:rPr>
        <w:fldChar w:fldCharType="end"/>
      </w:r>
      <w:r w:rsidRPr="008608AA">
        <w:rPr>
          <w:rFonts w:eastAsia="Droid Sans Fallback"/>
        </w:rPr>
        <w:t xml:space="preserve">. Therefore, these coastal plant communities could play an important role in climate change mitigation and adaptation </w:t>
      </w:r>
      <w:r w:rsidRPr="008608AA">
        <w:rPr>
          <w:rFonts w:eastAsia="Droid Sans Fallback"/>
        </w:rPr>
        <w:fldChar w:fldCharType="begin" w:fldLock="1"/>
      </w:r>
      <w:r w:rsidRPr="008608AA">
        <w:rPr>
          <w:rFonts w:eastAsia="Droid Sans Fallback"/>
        </w:rPr>
        <w:instrText>ADDIN CSL_CITATION { "citationItems" : [ { "id" : "ITEM-1", "itemData" : { "DOI" : "10.1038/nclimate1970", "ISSN" : "1758-678X", "author" : [ { "dropping-particle" : "", "family" : "Duarte", "given" : "Carlos M.", "non-dropping-particle" : "", "parse-names" : false, "suffix" : "" }, { "dropping-particle" : "", "family" : "Losada", "given" : "I\u00f1igo J.", "non-dropping-particle" : "", "parse-names" : false, "suffix" : "" }, { "dropping-particle" : "", "family" : "Hendriks", "given" : "Iris E.", "non-dropping-particle" : "", "parse-names" : false, "suffix" : "" }, { "dropping-particle" : "", "family" : "Mazarrasa", "given" : "In\u00e9s", "non-dropping-particle" : "", "parse-names" : false, "suffix" : "" }, { "dropping-particle" : "", "family" : "Marb\u00e0", "given" : "N\u00faria", "non-dropping-particle" : "", "parse-names" : false, "suffix" : "" } ], "container-title" : "Nature Climate Change", "id" : "ITEM-1", "issue" : "11", "issued" : { "date-parts" : [ [ "2013", "10" ] ] }, "page" : "961-968", "publisher" : "Nature Publishing Group", "title" : "The role of coastal plant communities for climate change mitigation and adaptation", "type" : "article-journal", "volume" : "3" }, "uris" : [ "http://www.mendeley.com/documents/?uuid=566a1a3d-0eb8-4044-a6dc-5a61bb668356", "http://www.mendeley.com/documents/?uuid=5ac68aa2-5f88-4cba-8746-1ddc782fc231" ] } ], "mendeley" : { "formattedCitation" : "(C. M. Duarte, Losada, Hendriks, Mazarrasa, &amp; Marb\u00e0, 2013)", "plainTextFormattedCitation" : "(C. M. Duarte, Losada, Hendriks, Mazarrasa, &amp; Marb\u00e0, 2013)", "previouslyFormattedCitation" : "(C. M. Duarte, Losada, Hendriks, Mazarrasa, &amp; Marb\u00e0, 2013)"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(Duarte</w:t>
      </w:r>
      <w:r w:rsidRPr="008608AA">
        <w:rPr>
          <w:rFonts w:eastAsia="Droid Sans Fallback"/>
          <w:noProof/>
        </w:rPr>
        <w:t xml:space="preserve"> et al., 2013)</w:t>
      </w:r>
      <w:r w:rsidRPr="008608AA">
        <w:rPr>
          <w:rFonts w:eastAsia="Droid Sans Fallback"/>
        </w:rPr>
        <w:fldChar w:fldCharType="end"/>
      </w:r>
      <w:r w:rsidRPr="008608AA">
        <w:rPr>
          <w:rFonts w:eastAsia="Droid Sans Fallback"/>
        </w:rPr>
        <w:t xml:space="preserve">, not only in carbon sequestration </w:t>
      </w:r>
      <w:r w:rsidRPr="008608AA">
        <w:rPr>
          <w:rFonts w:eastAsia="Droid Sans Fallback"/>
        </w:rPr>
        <w:fldChar w:fldCharType="begin" w:fldLock="1"/>
      </w:r>
      <w:r w:rsidRPr="008608AA">
        <w:rPr>
          <w:rFonts w:eastAsia="Droid Sans Fallback"/>
        </w:rPr>
        <w:instrText>ADDIN CSL_CITATION { "citationItems" : [ { "id" : "ITEM-1", "itemData" : { "DOI" : "10.1038/ngeo1477", "ISSN" : "1752-0894", "author" : [ { "dropping-particle" : "", "family" : "Fourqurean", "given" : "James W.", "non-dropping-particle" : "", "parse-names" : false, "suffix" : "" }, { "dropping-particle" : "", "family" : "Duarte", "given" : "Carlos M.", "non-dropping-particle" : "", "parse-names" : false, "suffix" : "" }, { "dropping-particle" : "", "family" : "Kennedy", "given" : "Hilary", "non-dropping-particle" : "", "parse-names" : false, "suffix" : "" }, { "dropping-particle" : "", "family" : "Marb\u00e0", "given" : "N\u00faria", "non-dropping-particle" : "", "parse-names" : false, "suffix" : "" }, { "dropping-particle" : "", "family" : "Holmer", "given" : "Marianne", "non-dropping-particle" : "", "parse-names" : false, "suffix" : "" }, { "dropping-particle" : "", "family" : "Mateo", "given" : "Miguel Angel", "non-dropping-particle" : "", "parse-names" : false, "suffix" : "" }, { "dropping-particle" : "", "family" : "Apostolaki", "given" : "Eugenia T.", "non-dropping-particle" : "", "parse-names" : false, "suffix" : "" }, { "dropping-particle" : "", "family" : "Kendrick", "given" : "G.A. Gary a.", "non-dropping-particle" : "", "parse-names" : false, "suffix" : "" }, { "dropping-particle" : "", "family" : "Krause-jensen", "given" : "Dorte", "non-dropping-particle" : "", "parse-names" : false, "suffix" : "" }, { "dropping-particle" : "", "family" : "McGlathery", "given" : "Karen J.", "non-dropping-particle" : "", "parse-names" : false, "suffix" : "" }, { "dropping-particle" : "", "family" : "Serrano", "given" : "Oscar", "non-dropping-particle" : "", "parse-names" : false, "suffix" : "" } ], "container-title" : "Nature Geoscience", "id" : "ITEM-1", "issue" : "7", "issued" : { "date-parts" : [ [ "2012", "5" ] ] }, "page" : "505-509", "publisher" : "Nature Publishing Group", "title" : "Seagrass ecosystems as a globally significant carbon stock", "type" : "article-journal", "volume" : "5" }, "uris" : [ "http://www.mendeley.com/documents/?uuid=14f7903f-1cd4-4566-9a7e-363b109fb542", "http://www.mendeley.com/documents/?uuid=e82511bb-d913-441d-adc0-70116c3dd322" ] } ], "mendeley" : { "formattedCitation" : "(Fourqurean et al., 2012)", "plainTextFormattedCitation" : "(Fourqurean et al., 2012)", "previouslyFormattedCitation" : "(Fourqurean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(Fourqurean et al., 2012)</w:t>
      </w:r>
      <w:r w:rsidRPr="008608AA">
        <w:rPr>
          <w:rFonts w:eastAsia="Droid Sans Fallback"/>
        </w:rPr>
        <w:fldChar w:fldCharType="end"/>
      </w:r>
      <w:r w:rsidRPr="008608AA">
        <w:rPr>
          <w:rFonts w:eastAsia="Droid Sans Fallback"/>
        </w:rPr>
        <w:t xml:space="preserve"> but also in coastal protection </w:t>
      </w:r>
      <w:r w:rsidRPr="008608AA">
        <w:rPr>
          <w:rFonts w:eastAsia="Droid Sans Fallback"/>
        </w:rPr>
        <w:fldChar w:fldCharType="begin" w:fldLock="1"/>
      </w:r>
      <w:r w:rsidRPr="008608AA">
        <w:rPr>
          <w:rFonts w:eastAsia="Droid Sans Fallback"/>
        </w:rPr>
        <w:instrText>ADDIN CSL_CITATION { "citationItems" : [ { "id" : "ITEM-1", "itemData" : { "DOI" : "10.1016/j.coastaleng.2013.11.005", "ISSN" : "03783839", "author" : [ { "dropping-particle" : "", "family" : "Ondiviela", "given" : "Barbara", "non-dropping-particle" : "", "parse-names" : false, "suffix" : "" }, { "dropping-particle" : "", "family" : "Losada", "given" : "Inigo J.", "non-dropping-particle" : "", "parse-names" : false, "suffix" : "" }, { "dropping-particle" : "", "family" : "Lara", "given" : "Javier L.", "non-dropping-particle" : "", "parse-names" : false, "suffix" : "" }, { "dropping-particle" : "", "family" : "Maza", "given" : "Maria", "non-dropping-particle" : "", "parse-names" : false, "suffix" : "" }, { "dropping-particle" : "", "family" : "Galv\u00e1n", "given" : "Cristina", "non-dropping-particle" : "", "parse-names" : false, "suffix" : "" }, { "dropping-particle" : "", "family" : "Bouma", "given" : "Tjeerd J.", "non-dropping-particle" : "", "parse-names" : false, "suffix" : "" }, { "dropping-particle" : "", "family" : "Belzen", "given" : "Jim", "non-dropping-particle" : "van", "parse-names" : false, "suffix" : "" } ], "container-title" : "Coastal Engineering", "id" : "ITEM-1", "issued" : { "date-parts" : [ [ "2014", "5" ] ] }, "page" : "158-168", "publisher" : "Elsevier B.V.", "title" : "The role of seagrasses in coastal protection in a changing climate", "type" : "article-journal", "volume" : "87" }, "uris" : [ "http://www.mendeley.com/documents/?uuid=6137bd82-3ea8-4294-ae51-f1735f6b6967" ] } ], "mendeley" : { "formattedCitation" : "(Ondiviela et al., 2014)", "plainTextFormattedCitation" : "(Ondiviela et al., 2014)", "previouslyFormattedCitation" : "(Ondiviela et al.,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(Ondiviela et al., 2014)</w:t>
      </w:r>
      <w:r w:rsidRPr="008608AA">
        <w:rPr>
          <w:rFonts w:eastAsia="Droid Sans Fallback"/>
        </w:rPr>
        <w:fldChar w:fldCharType="end"/>
      </w:r>
      <w:r w:rsidRPr="008608AA">
        <w:rPr>
          <w:rFonts w:eastAsia="Droid Sans Fallback"/>
        </w:rPr>
        <w:t>.</w:t>
      </w:r>
    </w:p>
    <w:p w14:paraId="71E049CA" w14:textId="77777777" w:rsidR="008861AE" w:rsidRPr="008608AA" w:rsidRDefault="008861AE" w:rsidP="00EE708F">
      <w:pPr>
        <w:suppressAutoHyphens/>
        <w:rPr>
          <w:rFonts w:eastAsia="Droid Sans Fallback"/>
          <w:noProof/>
        </w:rPr>
      </w:pPr>
    </w:p>
    <w:p w14:paraId="58972E32" w14:textId="4790751D" w:rsidR="00490494" w:rsidRPr="008608AA" w:rsidRDefault="00490494" w:rsidP="00EE708F">
      <w:pPr>
        <w:suppressAutoHyphens/>
        <w:rPr>
          <w:rFonts w:eastAsia="Droid Sans Fallback"/>
        </w:rPr>
      </w:pPr>
      <w:r w:rsidRPr="008608AA">
        <w:rPr>
          <w:rFonts w:eastAsia="Droid Sans Fallback"/>
        </w:rPr>
        <w:t xml:space="preserve">However, estuarine and coastal habitats have been historically altered and degraded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"Halpern", "given" : "Benjamin S.", "non-dropping-particle" : "", "parse-names" : false, "suffix" : "" }, { "dropping-particle" : "", "family" : "Walbridge", "given" : "S", "non-dropping-particle" : "", "parse-names" : false, "suffix" : "" }, { "dropping-particle" : "", "family" : "Selkoe", "given" : "K.A. KA", "non-dropping-particle" : "", "parse-names" : false, "suffix" : "" }, { "dropping-particle" : "V.", "family" : "Kappel", "given" : "Carrie", "non-dropping-particle" : "", "parse-names" : false, "suffix" : "" }, { "dropping-particle" : "", "family" : "Micheli", "given" : "Fiorenza", "non-dropping-particle" : "", "parse-names" : false, "suffix" : "" }, { "dropping-particle" : "", "family" : "D'Agrosa", "given" : "C.", "non-dropping-particle" : "", "parse-names" : false, "suffix" : "" }, { "dropping-particle" : "", "family" : "Bruno", "given" : "John F.", "non-dropping-particle" : "", "parse-names" : false, "suffix" : "" }, { "dropping-particle" : "", "family" : "Casey", "given" : "K.S.", "non-dropping-particle" : "", "parse-names" : false, "suffix" : "" }, { "dropping-particle" : "", "family" : "Ebert", "given" : "C.", "non-dropping-particle" : "", "parse-names" : false, "suffix" : "" }, { "dropping-particle" : "", "family" : "Fox", "given" : "H.E.", "non-dropping-particle" : "", "parse-names" : false, "suffix" : "" }, { "dropping-particle" : "", "family" : "Fujita", "given" : "R.", "non-dropping-particle" : "", "parse-names" : false, "suffix" : "" }, { "dropping-particle" : "", "family" : "Heinemann", "given" : "D", "non-dropping-particle" : "", "parse-names" : false, "suffix" : "" }, { "dropping-particle" : "", "family" : "Lenihan", "given" : "H.S.", "non-dropping-particle" : "", "parse-names" : false, "suffix" : "" }, { "dropping-particle" : "", "family" : "Madin", "given" : "E.M.P.", "non-dropping-particle" : "", "parse-names" : false, "suffix" : "" }, { "dropping-particle" : "", "family" : "Perry", "given" : "M.T.", "non-dropping-particle" : "", "parse-names" : false, "suffix" : "" }, { "dropping-particle" : "", "family" : "Selig", "given" : "E.R.", "non-dropping-particle" : "", "parse-names" : false, "suffix" : "" }, { "dropping-particle" : "", "family" : "Spalding", "given" : "M.", "non-dropping-particle" : "", "parse-names" : false, "suffix" : "" }, { "dropping-particle" : "", "family" : "Steneck", "given" : "R.", "non-dropping-particle" : "", "parse-names" : false, "suffix" : "" }, { "dropping-particle" : "", "family" : "Watson", "given" : "R.", "non-dropping-particle" : "", "parse-names" : false, "suffix" : "" }, { "dropping-particle" : "", "family" : "Heineamann", "given" : "D.", "non-dropping-particle" : "", "parse-names" : false, "suffix" : "" } ], "container-title" : "Science", "id" : "ITEM-1", "issued" : { "date-parts" : [ [ "2008" ] ] }, "page" : "948-952", "title" : "A Global Map of Human Impact on Marine Ecosystems", "type" : "article-journal", "volume" : "319" }, "uris" : [ "http://www.mendeley.com/documents/?uuid=7f60fb18-b558-4663-95c7-7441e87e478e", "http://www.mendeley.com/documents/?uuid=1d803cb4-52f0-4ff4-929d-500112313ad2" ] } ], "mendeley" : { "formattedCitation" : "(Halpern et al., 2008)", "plainTextFormattedCitation" : "(Halpern et al., 2008)", "previouslyFormattedCitation" : "(Halpern et al., 2008)"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(Halpern et al., 2008)</w:t>
      </w:r>
      <w:r w:rsidRPr="008608AA">
        <w:rPr>
          <w:rFonts w:eastAsia="Droid Sans Fallback"/>
        </w:rPr>
        <w:fldChar w:fldCharType="end"/>
      </w:r>
      <w:r w:rsidRPr="008608AA">
        <w:rPr>
          <w:rFonts w:eastAsia="Droid Sans Fallback"/>
        </w:rPr>
        <w:t xml:space="preserve"> and seagrass beds in particular, are undergoing a global decline </w:t>
      </w:r>
      <w:r w:rsidRPr="008608AA">
        <w:rPr>
          <w:rFonts w:eastAsia="Droid Sans Fallback"/>
        </w:rPr>
        <w:fldChar w:fldCharType="begin" w:fldLock="1"/>
      </w:r>
      <w:r w:rsidRPr="008608AA">
        <w:rPr>
          <w:rFonts w:eastAsia="Droid Sans Fallback"/>
        </w:rPr>
        <w:instrText>ADDIN CSL_CITATION { "citationItems" : [ { "id" : "ITEM-1", "itemData" : { "DOI" : "10.1073/pnas.0905620106", "ISSN" : "1091-6490", "PMID" : "19587236", "abstract" : "Coastal ecosystems and the services they provide are adversely affected by a wide variety of human activities. In particular, seagrass meadows are negatively affected by impacts accruing from the billion or more people who live within 50 km of them. Seagrass meadows provide important ecosystem services, including an estimated $1.9 trillion per year in the form of nutrient cycling; an order of magnitude enhancement of coral reef fish productivity; a habitat for thousands of fish, bird, and invertebrate species; and a major food source for endangered dugong, manatee, and green turtle. Although individual impacts from coastal development, degraded water quality, and climate change have been documented, there has been no quantitative global assessment of seagrass loss until now. Our comprehensive global assessment of 215 studies found that seagrasses have been disappearing at a rate of 110 km(2) yr(-1) since 1980 and that 29% of the known areal extent has disappeared since seagrass areas were initially recorded in 1879. Furthermore, rates of decline have accelerated from a median of 0.9% yr(-1) before 1940 to 7% yr(-1) since 1990. Seagrass loss rates are comparable to those reported for mangroves, coral reefs, and tropical rainforests and place seagrass meadows among the most threatened ecosystems on earth.", "author" : [ { "dropping-particle" : "", "family" : "Waycott", "given" : "Michelle", "non-dropping-particle" : "", "parse-names" : false, "suffix" : "" }, { "dropping-particle" : "", "family" : "Duarte", "given" : "Carlos M.", "non-dropping-particle" : "", "parse-names" : false, "suffix" : "" }, { "dropping-particle" : "", "family" : "Carruthers", "given" : "T.J.B.", "non-dropping-particle" : "", "parse-names" : false, "suffix" : "" }, { "dropping-particle" : "", "family" : "Orth", "given" : "Robert J.", "non-dropping-particle" : "", "parse-names" : false, "suffix" : "" }, { "dropping-particle" : "", "family" : "Dennison", "given" : "William C.", "non-dropping-particle" : "", "parse-names" : false, "suffix" : "" }, { "dropping-particle" : "", "family" : "Olyarnik", "given" : "Suzanne", "non-dropping-particle" : "", "parse-names" : false, "suffix" : "" }, { "dropping-particle" : "", "family" : "Calladine", "given" : "Ainsley", "non-dropping-particle" : "", "parse-names" : false, "suffix" : "" }, { "dropping-particle" : "", "family" : "Fourqurean", "given" : "James W.", "non-dropping-particle" : "", "parse-names" : false, "suffix" : "" }, { "dropping-particle" : "", "family" : "Heck", "given" : "Kenneth L", "non-dropping-particle" : "", "parse-names" : false, "suffix" : "" }, { "dropping-particle" : "", "family" : "Hughes", "given" : "R.G.", "non-dropping-particle" : "", "parse-names" : false, "suffix" : "" }, { "dropping-particle" : "", "family" : "Kendrick", "given" : "G.A.", "non-dropping-particle" : "", "parse-names" : false, "suffix" : "" }, { "dropping-particle" : "", "family" : "Kenworthy", "given" : "W. Judson", "non-dropping-particle" : "", "parse-names" : false, "suffix" : "" }, { "dropping-particle" : "", "family" : "Short", "given" : "Frederick T.", "non-dropping-particle" : "", "parse-names" : false, "suffix" : "" }, { "dropping-particle" : "", "family" : "Williams", "given" : "Susan L", "non-dropping-particle" : "", "parse-names" : false, "suffix" : "" } ], "container-title" : "Proceedings of the National Academy of Sciences of the United States of America", "id" : "ITEM-1", "issue" : "30", "issued" : { "date-parts" : [ [ "2009", "7" ] ] }, "page" : "12377-12381", "title" : "Accelerating loss of seagrasses across the globe threatens coastal ecosystems.", "type" : "article-journal", "volume" : "106" }, "uris" : [ "http://www.mendeley.com/documents/?uuid=d6ed9112-227a-480d-8b4d-2b347898b78b", "http://www.mendeley.com/documents/?uuid=aa32704c-e03d-4ad3-9327-5c687a669206" ] } ], "mendeley" : { "formattedCitation" : "(Waycott et al., 2009a)", "plainTextFormattedCitation" : "(Waycott et al., 2009a)", "previouslyFormattedCitation" : "(Waycott et al., 2009a)"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(Waycott et al</w:t>
      </w:r>
      <w:r w:rsidR="007B0660" w:rsidRPr="008608AA">
        <w:rPr>
          <w:rFonts w:eastAsia="Droid Sans Fallback"/>
          <w:noProof/>
        </w:rPr>
        <w:t>.</w:t>
      </w:r>
      <w:r w:rsidRPr="008608AA">
        <w:rPr>
          <w:rFonts w:eastAsia="Droid Sans Fallback"/>
          <w:noProof/>
        </w:rPr>
        <w:t>, 2009a)</w:t>
      </w:r>
      <w:r w:rsidRPr="008608AA">
        <w:rPr>
          <w:rFonts w:eastAsia="Droid Sans Fallback"/>
        </w:rPr>
        <w:fldChar w:fldCharType="end"/>
      </w:r>
      <w:r w:rsidRPr="008608AA">
        <w:rPr>
          <w:rFonts w:eastAsia="Droid Sans Fallback"/>
        </w:rPr>
        <w:t xml:space="preserve">. Seagrasses and their NCP are subjected to many pressures, both anthropogenic and natural </w:t>
      </w:r>
      <w:r w:rsidRPr="008608AA">
        <w:rPr>
          <w:rFonts w:eastAsia="Droid Sans Fallback"/>
        </w:rPr>
        <w:fldChar w:fldCharType="begin" w:fldLock="1"/>
      </w:r>
      <w:r w:rsidRPr="008608AA">
        <w:rPr>
          <w:rFonts w:eastAsia="Droid Sans Fallback"/>
        </w:rPr>
        <w:instrText>ADDIN CSL_CITATION { "citationItems" : [ { "id" : "ITEM-1", "itemData" : { "DOI" : "10.1515/BOT.2004.029", "ISBN" : "0520240472", "ISSN" : "0006-8055", "author" : [ { "dropping-particle" : "", "family" : "Green", "given" : "E.P.", "non-dropping-particle" : "", "parse-names" : false, "suffix" : "" }, { "dropping-particle" : "", "family" : "Short", "given" : "Frederick T.", "non-dropping-particle" : "", "parse-names" : false, "suffix" : "" } ], "container-title" : "Botanica Marina", "id" : "ITEM-1", "issue" : "3", "issued" : { "date-parts" : [ [ "2003", "1" ] ] }, "number-of-pages" : "298", "publisher" : "University of California Press, 298 pp", "publisher-place" : "Berkeley. USA", "title" : "World atlas of seagrasses. Prepared by the UNEP World Conservation Monitoring Centre.", "type" : "book", "volume" : "47" }, "uris" : [ "http://www.mendeley.com/documents/?uuid=2acb2109-e1a9-471d-8e4c-a62c39c21a88" ] } ], "mendeley" : { "formattedCitation" : "(Green &amp; Short, 2003)", "plainTextFormattedCitation" : "(Green &amp; Short, 2003)", "previouslyFormattedCitation" : "(Green &amp; Short, 2003)"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(Green &amp; Short, 2003)</w:t>
      </w:r>
      <w:r w:rsidRPr="008608AA">
        <w:rPr>
          <w:rFonts w:eastAsia="Droid Sans Fallback"/>
        </w:rPr>
        <w:fldChar w:fldCharType="end"/>
      </w:r>
      <w:r w:rsidRPr="008608AA">
        <w:rPr>
          <w:rFonts w:eastAsia="Droid Sans Fallback"/>
        </w:rPr>
        <w:t xml:space="preserve"> (Figure 5.19). Natural causes of seagrass decline include geological (i.e. coastal uplift or subsidence); meteorological events (i.e. major storm events); and specific biological interactions (e.g. eelgrass wasting disease) </w:t>
      </w:r>
      <w:r w:rsidRPr="008608AA">
        <w:rPr>
          <w:rFonts w:eastAsia="Droid Sans Fallback"/>
        </w:rPr>
        <w:fldChar w:fldCharType="begin" w:fldLock="1"/>
      </w:r>
      <w:r w:rsidRPr="008608AA">
        <w:rPr>
          <w:rFonts w:eastAsia="Droid Sans Fallback"/>
        </w:rPr>
        <w:instrText>ADDIN CSL_CITATION { "citationItems" : [ { "id" : "ITEM-1", "itemData" : { "abstract" : "A pathogenic species of marine slime mold has been identified as the etiological agent of the present recurrence of wasting disease of eelgrass", "author" : [ { "dropping-particle" : "", "family" : "Muehlstein", "given" : "L.K.", "non-dropping-particle" : "", "parse-names" : false, "suffix" : "" }, { "dropping-particle" : "", "family" : "Porter", "given" : "D.", "non-dropping-particle" : "", "parse-names" : false, "suffix" : "" }, { "dropping-particle" : "", "family" : "Short", "given" : "Frederick T.", "non-dropping-particle" : "", "parse-names" : false, "suffix" : "" } ], "container-title" : "Mycologia", "id" : "ITEM-1", "issued" : { "date-parts" : [ [ "1991" ] ] }, "page" : "180-191", "title" : "Labyrinthula zosterae sp. nov., the causative agent of wasting disease of eelgrass, Zostera marina", "type" : "article-journal", "volume" : "83" }, "uris" : [ "http://www.mendeley.com/documents/?uuid=38e92b95-5a78-4c7c-80b9-2d91c9c74367", "http://www.mendeley.com/documents/?uuid=c70575bd-0785-44ce-b1ad-6a397c37d582" ] } ], "mendeley" : { "formattedCitation" : "(Muehlstein, Porter, &amp; Short, 1991)", "plainTextFormattedCitation" : "(Muehlstein, Porter, &amp; Short, 1991)", "previouslyFormattedCitation" : "(Muehlstein, Porter, &amp; Short, 1991)"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(Muehlstein</w:t>
      </w:r>
      <w:r w:rsidRPr="008608AA">
        <w:rPr>
          <w:rFonts w:eastAsia="Droid Sans Fallback"/>
          <w:noProof/>
        </w:rPr>
        <w:t xml:space="preserve"> et al., 1991)</w:t>
      </w:r>
      <w:r w:rsidRPr="008608AA">
        <w:rPr>
          <w:rFonts w:eastAsia="Droid Sans Fallback"/>
        </w:rPr>
        <w:fldChar w:fldCharType="end"/>
      </w:r>
      <w:r w:rsidRPr="008608AA">
        <w:rPr>
          <w:rFonts w:eastAsia="Droid Sans Fallback"/>
        </w:rPr>
        <w:t xml:space="preserve"> (Figure 5.19). Whereas, human induced threats are now widespread </w:t>
      </w:r>
      <w:r w:rsidRPr="008608AA">
        <w:rPr>
          <w:rFonts w:eastAsia="Droid Sans Fallback"/>
        </w:rPr>
        <w:fldChar w:fldCharType="begin" w:fldLock="1"/>
      </w:r>
      <w:r w:rsidRPr="008608AA">
        <w:rPr>
          <w:rFonts w:eastAsia="Droid Sans Fallback"/>
        </w:rPr>
        <w:instrText>ADDIN CSL_CITATION { "citationItems" : [ { "id" : "ITEM-1", "itemData" : { "DOI" : "10.1515/BOT.2004.029", "ISBN" : "0520240472", "ISSN" : "0006-8055", "author" : [ { "dropping-particle" : "", "family" : "Green", "given" : "E.P.", "non-dropping-particle" : "", "parse-names" : false, "suffix" : "" }, { "dropping-particle" : "", "family" : "Short", "given" : "Frederick T.", "non-dropping-particle" : "", "parse-names" : false, "suffix" : "" } ], "container-title" : "Botanica Marina", "id" : "ITEM-1", "issue" : "3", "issued" : { "date-parts" : [ [ "2003", "1" ] ] }, "number-of-pages" : "298", "publisher" : "University of California Press, 298 pp", "publisher-place" : "Berkeley. USA", "title" : "World atlas of seagrasses. Prepared by the UNEP World Conservation Monitoring Centre.", "type" : "book", "volume" : "47" }, "uris" : [ "http://www.mendeley.com/documents/?uuid=2acb2109-e1a9-471d-8e4c-a62c39c21a88" ] } ], "mendeley" : { "formattedCitation" : "(Green &amp; Short, 2003)", "plainTextFormattedCitation" : "(Green &amp; Short, 2003)", "previouslyFormattedCitation" : "(Green &amp; Short, 2003)"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(Green &amp; Short, 2003)</w:t>
      </w:r>
      <w:r w:rsidRPr="008608AA">
        <w:rPr>
          <w:rFonts w:eastAsia="Droid Sans Fallback"/>
        </w:rPr>
        <w:fldChar w:fldCharType="end"/>
      </w:r>
      <w:r w:rsidRPr="008608AA">
        <w:rPr>
          <w:rFonts w:eastAsia="Droid Sans Fallback"/>
        </w:rPr>
        <w:t xml:space="preserve">. Without considering climate change and its consequences, anthropogenic impacts range from estuarine and coastal habitat degradation; direct impact inducing fragmentation or loss of seagrass beds; increase of nutrient and sediment runoff; introduction of invasive species; hydrological alterations; and commercial fishing practices </w:t>
      </w:r>
      <w:r w:rsidRPr="008608AA">
        <w:rPr>
          <w:rFonts w:eastAsia="Droid Sans Fallback"/>
        </w:rPr>
        <w:fldChar w:fldCharType="begin" w:fldLock="1"/>
      </w:r>
      <w:r w:rsidRPr="008608AA">
        <w:rPr>
          <w:rFonts w:eastAsia="Droid Sans Fallback"/>
        </w:rPr>
        <w:instrText>ADDIN CSL_CITATION { "citationItems" : [ { "id" : "ITEM-1", "itemData" : { "abstract" : "Seagrasses, marine flowering plants, have a long evolutionary history but are now challenged with rapid environmental changes as a result of coastal human population pressures. Seagrasses provide key ecological services, including organic carbon production and export, nutrient cycling, sediment stabilization, enhanced biodiversity, and trophic transfers to adjacent habitats in tropical and temperate regions. They also serve as \u201ccoastal canaries,\u201d global biological sentinels of increasing anthropogenic influences in coastal ecosystems,with large-scale losses reported worldwide.Multiple stressors, including sediment and nutrient runoff, physical disturbance, invasive species, disease, commercial fishing practices, aquaculture, overgrazing, algal blooms, and global warming, cause seagrass declines at scales of square meters to hundreds of square kilometers. Reported seagrass losses have led to increased awareness of the need for seagrass protection, monitoring, management, and restoration. However, seagrass science, which has rapidly grown, is disconnected from public awareness of seagrasses, which has lagged behind awareness of other coastal ecosystems. There is a critical need for a targeted global conservation effort that includes a reduction of watershed nutrient and sediment inputs to seagrass habitats and a targeted educational program informing regulators and the public of the value of seagrass meadows.", "author" : [ { "dropping-particle" : "", "family" : "Orth", "given" : "Robert J.", "non-dropping-particle" : "", "parse-names" : false, "suffix" : "" }, { "dropping-particle" : "", "family" : "Carruthers", "given" : "T.J.B.", "non-dropping-particle" : "", "parse-names" : false, "suffix" : "" }, { "dropping-particle" : "", "family" : "Dennison", "given" : "William C.", "non-dropping-particle" : "", "parse-names" : false, "suffix" : "" }, { "dropping-particle" : "", "family" : "Duarte", "given" : "Carlos M.", "non-dropping-particle" : "", "parse-names" : false, "suffix" : "" }, { "dropping-particle" : "", "family" : "Fourqurean", "given" : "James W.", "non-dropping-particle" : "", "parse-names" : false, "suffix" : "" }, { "dropping-particle" : "", "family" : "Heck", "given" : "Kenneth L", "non-dropping-particle" : "", "parse-names" : false, "suffix" : "" }, { "dropping-particle" : "", "family" : "Hughes", "given" : "A Randall", "non-dropping-particle" : "", "parse-names" : false, "suffix" : "" }, { "dropping-particle" : "", "family" : "Kendrick", "given" : "G.A.", "non-dropping-particle" : "", "parse-names" : false, "suffix" : "" }, { "dropping-particle" : "", "family" : "Kenworthy", "given" : "W. Judson", "non-dropping-particle" : "", "parse-names" : false, "suffix" : "" }, { "dropping-particle" : "", "family" : "Olyarnik", "given" : "Suzanne", "non-dropping-particle" : "", "parse-names" : false, "suffix" : "" }, { "dropping-particle" : "", "family" : "Short", "given" : "Frederick T.", "non-dropping-particle" : "", "parse-names" : false, "suffix" : "" }, { "dropping-particle" : "", "family" : "Waycott", "given" : "Michelle", "non-dropping-particle" : "", "parse-names" : false, "suffix" : "" }, { "dropping-particle" : "", "family" : "Williams", "given" : "Susan L", "non-dropping-particle" : "", "parse-names" : false, "suffix" : "" } ], "container-title" : "BioScience", "id" : "ITEM-1", "issue" : "12", "issued" : { "date-parts" : [ [ "2006" ] ] }, "page" : "987-996", "title" : "A Global Crisis for Seagrass Ecosystems", "type" : "article-journal", "volume" : "56" }, "uris" : [ "http://www.mendeley.com/documents/?uuid=aad203f2-d933-41ed-8c37-2beba62f7d27" ] } ], "mendeley" : { "formattedCitation" : "(Orth et al., 2006)", "plainTextFormattedCitation" : "(Orth et al., 2006)", "previouslyFormattedCitation" : "(Orth et al.,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(Orth et al., 2006)</w:t>
      </w:r>
      <w:r w:rsidRPr="008608AA">
        <w:rPr>
          <w:rFonts w:eastAsia="Droid Sans Fallback"/>
        </w:rPr>
        <w:fldChar w:fldCharType="end"/>
      </w:r>
      <w:r w:rsidRPr="008608AA">
        <w:rPr>
          <w:rFonts w:eastAsia="Droid Sans Fallback"/>
        </w:rPr>
        <w:t xml:space="preserve"> (Figure 5.19). Although seagrass declines have been related to a combination of impacts rather than individual threats </w:t>
      </w:r>
      <w:r w:rsidRPr="008608AA">
        <w:rPr>
          <w:rFonts w:eastAsia="Droid Sans Fallback"/>
        </w:rPr>
        <w:fldChar w:fldCharType="begin" w:fldLock="1"/>
      </w:r>
      <w:r w:rsidRPr="008608AA">
        <w:rPr>
          <w:rFonts w:eastAsia="Droid Sans Fallback"/>
        </w:rPr>
        <w:instrText>ADDIN CSL_CITATION { "citationItems" : [ { "id" : "ITEM-1", "itemData" : { "abstract" : "Seagrasses, marine flowering plants, have a long evolutionary history but are now challenged with rapid environmental changes as a result of coastal human population pressures. Seagrasses provide key ecological services, including organic carbon production and export, nutrient cycling, sediment stabilization, enhanced biodiversity, and trophic transfers to adjacent habitats in tropical and temperate regions. They also serve as \u201ccoastal canaries,\u201d global biological sentinels of increasing anthropogenic influences in coastal ecosystems,with large-scale losses reported worldwide.Multiple stressors, including sediment and nutrient runoff, physical disturbance, invasive species, disease, commercial fishing practices, aquaculture, overgrazing, algal blooms, and global warming, cause seagrass declines at scales of square meters to hundreds of square kilometers. Reported seagrass losses have led to increased awareness of the need for seagrass protection, monitoring, management, and restoration. However, seagrass science, which has rapidly grown, is disconnected from public awareness of seagrasses, which has lagged behind awareness of other coastal ecosystems. There is a critical need for a targeted global conservation effort that includes a reduction of watershed nutrient and sediment inputs to seagrass habitats and a targeted educational program informing regulators and the public of the value of seagrass meadows.", "author" : [ { "dropping-particle" : "", "family" : "Orth", "given" : "Robert J.", "non-dropping-particle" : "", "parse-names" : false, "suffix" : "" }, { "dropping-particle" : "", "family" : "Carruthers", "given" : "T.J.B.", "non-dropping-particle" : "", "parse-names" : false, "suffix" : "" }, { "dropping-particle" : "", "family" : "Dennison", "given" : "William C.", "non-dropping-particle" : "", "parse-names" : false, "suffix" : "" }, { "dropping-particle" : "", "family" : "Duarte", "given" : "Carlos M.", "non-dropping-particle" : "", "parse-names" : false, "suffix" : "" }, { "dropping-particle" : "", "family" : "Fourqurean", "given" : "James W.", "non-dropping-particle" : "", "parse-names" : false, "suffix" : "" }, { "dropping-particle" : "", "family" : "Heck", "given" : "Kenneth L", "non-dropping-particle" : "", "parse-names" : false, "suffix" : "" }, { "dropping-particle" : "", "family" : "Hughes", "given" : "A Randall", "non-dropping-particle" : "", "parse-names" : false, "suffix" : "" }, { "dropping-particle" : "", "family" : "Kendrick", "given" : "G.A.", "non-dropping-particle" : "", "parse-names" : false, "suffix" : "" }, { "dropping-particle" : "", "family" : "Kenworthy", "given" : "W. Judson", "non-dropping-particle" : "", "parse-names" : false, "suffix" : "" }, { "dropping-particle" : "", "family" : "Olyarnik", "given" : "Suzanne", "non-dropping-particle" : "", "parse-names" : false, "suffix" : "" }, { "dropping-particle" : "", "family" : "Short", "given" : "Frederick T.", "non-dropping-particle" : "", "parse-names" : false, "suffix" : "" }, { "dropping-particle" : "", "family" : "Waycott", "given" : "Michelle", "non-dropping-particle" : "", "parse-names" : false, "suffix" : "" }, { "dropping-particle" : "", "family" : "Williams", "given" : "Susan L", "non-dropping-particle" : "", "parse-names" : false, "suffix" : "" } ], "container-title" : "BioScience", "id" : "ITEM-1", "issue" : "12", "issued" : { "date-parts" : [ [ "2006" ] ] }, "page" : "987-996", "title" : "A Global Crisis for Seagrass Ecosystems", "type" : "article-journal", "volume" : "56" }, "uris" : [ "http://www.mendeley.com/documents/?uuid=aad203f2-d933-41ed-8c37-2beba62f7d27" ] } ], "mendeley" : { "formattedCitation" : "(Orth et al., 2006)", "plainTextFormattedCitation" : "(Orth et al., 2006)", "previouslyFormattedCitation" : "(Orth et al.,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(Orth et al., 2006)</w:t>
      </w:r>
      <w:r w:rsidRPr="008608AA">
        <w:rPr>
          <w:rFonts w:eastAsia="Droid Sans Fallback"/>
        </w:rPr>
        <w:fldChar w:fldCharType="end"/>
      </w:r>
      <w:r w:rsidRPr="008608AA">
        <w:rPr>
          <w:rFonts w:eastAsia="Droid Sans Fallback"/>
        </w:rPr>
        <w:t xml:space="preserve">, two major causes of loss were identified by </w:t>
      </w:r>
      <w:r w:rsidRPr="008608AA">
        <w:rPr>
          <w:rFonts w:eastAsia="Droid Sans Fallback"/>
        </w:rPr>
        <w:fldChar w:fldCharType="begin" w:fldLock="1"/>
      </w:r>
      <w:r w:rsidRPr="008608AA">
        <w:rPr>
          <w:rFonts w:eastAsia="Droid Sans Fallback"/>
        </w:rPr>
        <w:instrText>ADDIN CSL_CITATION { "citationItems" : [ { "id" : "ITEM-1", "itemData" : { "DOI" : "10.1073/pnas.0905620106", "ISSN" : "1091-6490", "PMID" : "19587236", "abstract" : "Coastal ecosystems and the services they provide are adversely affected by a wide variety of human activities. In particular, seagrass meadows are negatively affected by impacts accruing from the billion or more people who live within 50 km of them. Seagrass meadows provide important ecosystem services, including an estimated $1.9 trillion per year in the form of nutrient cycling; an order of magnitude enhancement of coral reef fish productivity; a habitat for thousands of fish, bird, and invertebrate species; and a major food source for endangered dugong, manatee, and green turtle. Although individual impacts from coastal development, degraded water quality, and climate change have been documented, there has been no quantitative global assessment of seagrass loss until now. Our comprehensive global assessment of 215 studies found that seagrasses have been disappearing at a rate of 110 km(2) yr(-1) since 1980 and that 29% of the known areal extent has disappeared since seagrass areas were initially recorded in 1879. Furthermore, rates of decline have accelerated from a median of 0.9% yr(-1) before 1940 to 7% yr(-1) since 1990. Seagrass loss rates are comparable to those reported for mangroves, coral reefs, and tropical rainforests and place seagrass meadows among the most threatened ecosystems on earth.", "author" : [ { "dropping-particle" : "", "family" : "Waycott", "given" : "Michelle", "non-dropping-particle" : "", "parse-names" : false, "suffix" : "" }, { "dropping-particle" : "", "family" : "Duarte", "given" : "Carlos M.", "non-dropping-particle" : "", "parse-names" : false, "suffix" : "" }, { "dropping-particle" : "", "family" : "Carruthers", "given" : "T.J.B.", "non-dropping-particle" : "", "parse-names" : false, "suffix" : "" }, { "dropping-particle" : "", "family" : "Orth", "given" : "Robert J.", "non-dropping-particle" : "", "parse-names" : false, "suffix" : "" }, { "dropping-particle" : "", "family" : "Dennison", "given" : "William C.", "non-dropping-particle" : "", "parse-names" : false, "suffix" : "" }, { "dropping-particle" : "", "family" : "Olyarnik", "given" : "Suzanne", "non-dropping-particle" : "", "parse-names" : false, "suffix" : "" }, { "dropping-particle" : "", "family" : "Calladine", "given" : "Ainsley", "non-dropping-particle" : "", "parse-names" : false, "suffix" : "" }, { "dropping-particle" : "", "family" : "Fourqurean", "given" : "James W.", "non-dropping-particle" : "", "parse-names" : false, "suffix" : "" }, { "dropping-particle" : "", "family" : "Heck", "given" : "Kenneth L", "non-dropping-particle" : "", "parse-names" : false, "suffix" : "" }, { "dropping-particle" : "", "family" : "Hughes", "given" : "R.G.", "non-dropping-particle" : "", "parse-names" : false, "suffix" : "" }, { "dropping-particle" : "", "family" : "Kendrick", "given" : "G.A.", "non-dropping-particle" : "", "parse-names" : false, "suffix" : "" }, { "dropping-particle" : "", "family" : "Kenworthy", "given" : "W. Judson", "non-dropping-particle" : "", "parse-names" : false, "suffix" : "" }, { "dropping-particle" : "", "family" : "Short", "given" : "Frederick T.", "non-dropping-particle" : "", "parse-names" : false, "suffix" : "" }, { "dropping-particle" : "", "family" : "Williams", "given" : "Susan L", "non-dropping-particle" : "", "parse-names" : false, "suffix" : "" } ], "container-title" : "Proceedings of the National Academy of Sciences of the United States of America", "id" : "ITEM-1", "issue" : "30", "issued" : { "date-parts" : [ [ "2009", "7", "28" ] ] }, "page" : "12377-12381", "title" : "Accelerating loss of seagrasses across the globe threatens coastal ecosystems.", "type" : "article-journal", "volume" : "106" }, "uris" : [ "http://www.mendeley.com/documents/?uuid=c24fa9b8-2291-440b-a5c2-f9b687de592c" ] } ], "mendeley" : { "formattedCitation" : "(Waycott et al., 2009b)", "manualFormatting" : "Waycott et al., 2009", "plainTextFormattedCitation" : "(Waycott et al., 2009b)", "previouslyFormattedCitation" : "(Waycott et al., 2009b)"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Waycott et al., 2009</w:t>
      </w:r>
      <w:r w:rsidRPr="008608AA">
        <w:rPr>
          <w:rFonts w:eastAsia="Droid Sans Fallback"/>
        </w:rPr>
        <w:fldChar w:fldCharType="end"/>
      </w:r>
      <w:r w:rsidRPr="008608AA">
        <w:rPr>
          <w:rFonts w:eastAsia="Droid Sans Fallback"/>
        </w:rPr>
        <w:t xml:space="preserve">: direct impacts from coastal development and dredging activities; and indirect impacts from declining water quality, i.e eutrophication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"Dennison", "given" : "William C.", "non-dropping-particle" : "", "parse-names" : false, "suffix" : "" }, { "dropping-particle" : "", "family" : "Orth", "given" : "Robert J.", "non-dropping-particle" : "", "parse-names" : false, "suffix" : "" }, { "dropping-particle" : "", "family" : "Moore", "given" : "Kenneth A.", "non-dropping-particle" : "", "parse-names" : false, "suffix" : "" }, { "dropping-particle" : "", "family" : "Stevenson", "given" : "J. Court", "non-dropping-particle" : "", "parse-names" : false, "suffix" : "" }, { "dropping-particle" : "", "family" : "Carter", "given" : "Virginia", "non-dropping-particle" : "", "parse-names" : false, "suffix" : "" }, { "dropping-particle" : "", "family" : "Kollar", "given" : "Stan", "non-dropping-particle" : "", "parse-names" : false, "suffix" : "" }, { "dropping-particle" : "", "family" : "Bergstrom", "given" : "Peter W", "non-dropping-particle" : "", "parse-names" : false, "suffix" : "" }, { "dropping-particle" : "", "family" : "Batiuk", "given" : "Richard A", "non-dropping-particle" : "", "parse-names" : false, "suffix" : "" } ], "container-title" : "BioScience", "id" : "ITEM-1", "issue" : "2", "issued" : { "date-parts" : [ [ "1993" ] ] }, "page" : "86-94", "title" : "Assessing Water Quality with Submersed Aquatic Vegetation", "type" : "article-journal", "volume" : "43" }, "uris" : [ "http://www.mendeley.com/documents/?uuid=b8b26de3-a1b4-4582-9985-74fedb1f76a8", "http://www.mendeley.com/documents/?uuid=707fb1ab-5089-48f4-95fd-02ed9e7cdbf0" ] }, { "id" : "ITEM-2", "itemData" : { "DOI" : "10.2307/1352532", "ISSN" : "01608347", "author" : [ { "dropping-particle" : "", "family" : "Short", "given" : "Frederick T.", "non-dropping-particle" : "", "parse-names" : false, "suffix" : "" }, { "dropping-particle" : "", "family" : "Burdick", "given" : "David M.", "non-dropping-particle" : "", "parse-names" : false, "suffix" : "" } ], "container-title" : "Estuaries", "id" : "ITEM-2", "issue" : "3", "issued" : { "date-parts" : [ [ "1996", "9" ] ] }, "page" : "730", "title" : "Quantifying Eelgrass Habitat Loss in Relation to Housing Development and Nitrogen Loading in Waquoit Bay, Massachusetts", "type" : "article-journal", "volume" : "19" }, "uris" : [ "http://www.mendeley.com/documents/?uuid=67d35ae6-660e-4cc9-96b3-69c55bdf5090", "http://www.mendeley.com/documents/?uuid=adf3bf44-03e5-4bb2-a207-d140cc686385" ] }, { "id" : "ITEM-3", "itemData" : { "DOI" : "10.1016/j.ecolind.2007.06.004", "ISSN" : "1470160X", "author" : [ { "dropping-particle" : "", "family" : "Krause-Jensen", "given" : "Dorte", "non-dropping-particle" : "", "parse-names" : false, "suffix" : "" }, { "dropping-particle" : "", "family" : "Sagert", "given" : "Sigrid", "non-dropping-particle" : "", "parse-names" : false, "suffix" : "" }, { "dropping-particle" : "", "family" : "Schubert", "given" : "Hendrik", "non-dropping-particle" : "", "parse-names" : false, "suffix" : "" }, { "dropping-particle" : "", "family" : "Bostr\u00f6m", "given" : "Christoffer", "non-dropping-particle" : "", "parse-names" : false, "suffix" : "" } ], "container-title" : "Ecological Indicators", "id" : "ITEM-3", "issue" : "5", "issued" : { "date-parts" : [ [ "2008", "9" ] ] }, "page" : "515-529", "title" : "Empirical relationships linking distribution and abundance of marine vegetation to eutrophication", "type" : "article-journal", "volume" : "8" }, "uris" : [ "http://www.mendeley.com/documents/?uuid=0594ce61-6a2f-47ff-8a1f-0a92dca9425f", "http://www.mendeley.com/documents/?uuid=e0ee9937-0aa3-499d-9148-a0cf31cc280e" ] } ], "mendeley" : { "formattedCitation" : "(Dennison et al., 1993; Krause-Jensen, Sagert, Schubert, &amp; Bostr\u00f6m, 2008; Short &amp; Burdick, 1996)", "plainTextFormattedCitation" : "(Dennison et al., 1993; Krause-Jensen, Sagert, Schubert, &amp; Bostr\u00f6m, 2008; Short &amp; Burdick, 1996)", "previouslyFormattedCitation" : "(Dennison et al., 1993; Krause-Jensen, Sagert, Schubert, &amp; Bostr\u00f6m, 2008; Short &amp; Burdick, 1996)"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(Denni</w:t>
      </w:r>
      <w:r w:rsidR="007B0660" w:rsidRPr="008608AA">
        <w:rPr>
          <w:rFonts w:eastAsia="Droid Sans Fallback"/>
          <w:noProof/>
        </w:rPr>
        <w:t>son et al., 1993; Krause-Jensen</w:t>
      </w:r>
      <w:r w:rsidRPr="008608AA">
        <w:rPr>
          <w:rFonts w:eastAsia="Droid Sans Fallback"/>
          <w:noProof/>
        </w:rPr>
        <w:t xml:space="preserve"> et al., 2008; Short &amp; Burdick, 1996)</w:t>
      </w:r>
      <w:r w:rsidRPr="008608AA">
        <w:rPr>
          <w:rFonts w:eastAsia="Droid Sans Fallback"/>
        </w:rPr>
        <w:fldChar w:fldCharType="end"/>
      </w:r>
      <w:r w:rsidRPr="008608AA">
        <w:rPr>
          <w:rFonts w:eastAsia="Droid Sans Fallback"/>
        </w:rPr>
        <w:t>.</w:t>
      </w:r>
    </w:p>
    <w:p w14:paraId="4DF2F347" w14:textId="77777777" w:rsidR="008861AE" w:rsidRPr="008608AA" w:rsidRDefault="008861AE" w:rsidP="00EE708F">
      <w:pPr>
        <w:suppressAutoHyphens/>
        <w:rPr>
          <w:rFonts w:eastAsia="Droid Sans Fallback"/>
        </w:rPr>
      </w:pPr>
    </w:p>
    <w:p w14:paraId="3AD42741" w14:textId="2D132AE8" w:rsidR="00490494" w:rsidRPr="008608AA" w:rsidRDefault="00490494" w:rsidP="00EE708F">
      <w:pPr>
        <w:suppressAutoHyphens/>
        <w:rPr>
          <w:rFonts w:eastAsia="Droid Sans Fallback"/>
          <w:noProof/>
        </w:rPr>
      </w:pPr>
      <w:r w:rsidRPr="008608AA">
        <w:rPr>
          <w:rFonts w:eastAsia="Droid Sans Fallback"/>
        </w:rPr>
        <w:t xml:space="preserve">Due to the above mentioned multi-drivers of change, seagrass meadows are among the most threatened ecosystems, with loss-rates comparable to those reported for mangroves, coral reefs, and tropical rainforests </w:t>
      </w:r>
      <w:r w:rsidRPr="008608AA">
        <w:rPr>
          <w:rFonts w:eastAsia="Droid Sans Fallback"/>
        </w:rPr>
        <w:fldChar w:fldCharType="begin" w:fldLock="1"/>
      </w:r>
      <w:r w:rsidRPr="008608AA">
        <w:rPr>
          <w:rFonts w:eastAsia="Droid Sans Fallback"/>
        </w:rPr>
        <w:instrText>ADDIN CSL_CITATION { "citationItems" : [ { "id" : "ITEM-1", "itemData" : { "DOI" : "10.1073/pnas.0905620106", "ISSN" : "1091-6490", "PMID" : "19587236", "abstract" : "Coastal ecosystems and the services they provide are adversely affected by a wide variety of human activities. In particular, seagrass meadows are negatively affected by impacts accruing from the billion or more people who live within 50 km of them. Seagrass meadows provide important ecosystem services, including an estimated $1.9 trillion per year in the form of nutrient cycling; an order of magnitude enhancement of coral reef fish productivity; a habitat for thousands of fish, bird, and invertebrate species; and a major food source for endangered dugong, manatee, and green turtle. Although individual impacts from coastal development, degraded water quality, and climate change have been documented, there has been no quantitative global assessment of seagrass loss until now. Our comprehensive global assessment of 215 studies found that seagrasses have been disappearing at a rate of 110 km(2) yr(-1) since 1980 and that 29% of the known areal extent has disappeared since seagrass areas were initially recorded in 1879. Furthermore, rates of decline have accelerated from a median of 0.9% yr(-1) before 1940 to 7% yr(-1) since 1990. Seagrass loss rates are comparable to those reported for mangroves, coral reefs, and tropical rainforests and place seagrass meadows among the most threatened ecosystems on earth.", "author" : [ { "dropping-particle" : "", "family" : "Waycott", "given" : "Michelle", "non-dropping-particle" : "", "parse-names" : false, "suffix" : "" }, { "dropping-particle" : "", "family" : "Duarte", "given" : "Carlos M.", "non-dropping-particle" : "", "parse-names" : false, "suffix" : "" }, { "dropping-particle" : "", "family" : "Carruthers", "given" : "T.J.B.", "non-dropping-particle" : "", "parse-names" : false, "suffix" : "" }, { "dropping-particle" : "", "family" : "Orth", "given" : "Robert J.", "non-dropping-particle" : "", "parse-names" : false, "suffix" : "" }, { "dropping-particle" : "", "family" : "Dennison", "given" : "William C.", "non-dropping-particle" : "", "parse-names" : false, "suffix" : "" }, { "dropping-particle" : "", "family" : "Olyarnik", "given" : "Suzanne", "non-dropping-particle" : "", "parse-names" : false, "suffix" : "" }, { "dropping-particle" : "", "family" : "Calladine", "given" : "Ainsley", "non-dropping-particle" : "", "parse-names" : false, "suffix" : "" }, { "dropping-particle" : "", "family" : "Fourqurean", "given" : "James W.", "non-dropping-particle" : "", "parse-names" : false, "suffix" : "" }, { "dropping-particle" : "", "family" : "Heck", "given" : "Kenneth L", "non-dropping-particle" : "", "parse-names" : false, "suffix" : "" }, { "dropping-particle" : "", "family" : "Hughes", "given" : "R.G.", "non-dropping-particle" : "", "parse-names" : false, "suffix" : "" }, { "dropping-particle" : "", "family" : "Kendrick", "given" : "G.A.", "non-dropping-particle" : "", "parse-names" : false, "suffix" : "" }, { "dropping-particle" : "", "family" : "Kenworthy", "given" : "W. Judson", "non-dropping-particle" : "", "parse-names" : false, "suffix" : "" }, { "dropping-particle" : "", "family" : "Short", "given" : "Frederick T.", "non-dropping-particle" : "", "parse-names" : false, "suffix" : "" }, { "dropping-particle" : "", "family" : "Williams", "given" : "Susan L", "non-dropping-particle" : "", "parse-names" : false, "suffix" : "" } ], "container-title" : "Proceedings of the National Academy of Sciences of the United States of America", "id" : "ITEM-1", "issue" : "30", "issued" : { "date-parts" : [ [ "2009", "7" ] ] }, "page" : "12377-12381", "title" : "Accelerating loss of seagrasses across the globe threatens coastal ecosystems.", "type" : "article-journal", "volume" : "106" }, "uris" : [ "http://www.mendeley.com/documents/?uuid=aa32704c-e03d-4ad3-9327-5c687a669206" ] } ], "mendeley" : { "formattedCitation" : "(Waycott et al., 2009a)", "plainTextFormattedCitation" : "(Waycott et al., 2009a)", "previouslyFormattedCitation" : "(Waycott et al., 2009a)"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(Waycott et al</w:t>
      </w:r>
      <w:r w:rsidR="007B0660" w:rsidRPr="008608AA">
        <w:rPr>
          <w:rFonts w:eastAsia="Droid Sans Fallback"/>
          <w:noProof/>
        </w:rPr>
        <w:t>.</w:t>
      </w:r>
      <w:r w:rsidRPr="008608AA">
        <w:rPr>
          <w:rFonts w:eastAsia="Droid Sans Fallback"/>
          <w:noProof/>
        </w:rPr>
        <w:t>, 2009a)</w:t>
      </w:r>
      <w:r w:rsidRPr="008608AA">
        <w:rPr>
          <w:rFonts w:eastAsia="Droid Sans Fallback"/>
        </w:rPr>
        <w:fldChar w:fldCharType="end"/>
      </w:r>
      <w:r w:rsidRPr="008608AA">
        <w:rPr>
          <w:rFonts w:eastAsia="Droid Sans Fallback"/>
        </w:rPr>
        <w:t xml:space="preserve">. Their habitat is being lost and fragmented overall </w:t>
      </w:r>
      <w:r w:rsidRPr="008608AA">
        <w:rPr>
          <w:rFonts w:eastAsia="Droid Sans Fallback"/>
        </w:rPr>
        <w:fldChar w:fldCharType="begin" w:fldLock="1"/>
      </w:r>
      <w:r w:rsidRPr="008608AA">
        <w:rPr>
          <w:rFonts w:eastAsia="Droid Sans Fallback"/>
        </w:rPr>
        <w:instrText>ADDIN CSL_CITATION { "citationItems" : [ { "id" : "ITEM-1", "itemData" : { "DOI" : "10.1017/S0376892902000127", "ISSN" : "0376-8929", "author" : [ { "dropping-particle" : "", "family" : "Duarte", "given" : "Carlos M.", "non-dropping-particle" : "", "parse-names" : false, "suffix" : "" } ], "container-title" : "Environmental Conservation", "id" : "ITEM-1", "issue" : "2", "issued" : { "date-parts" : [ [ "2002", "8" ] ] }, "page" : "192-206", "title" : "The future of seagrass meadows", "type" : "article-journal", "volume" : "29" }, "uris" : [ "http://www.mendeley.com/documents/?uuid=f5a94b64-bdc6-4630-bf8e-7bcfd8d5305b" ] }, { "id" : "ITEM-2", "itemData" : { "DOI" : "10.1890/080041", "ISSN" : "1540-9295", "author" : [ { "dropping-particle" : "", "family" : "Hughes", "given" : "R.G.", "non-dropping-particle" : "", "parse-names" : false, "suffix" : "" }, { "dropping-particle" : "", "family" : "Williams", "given" : "Susan L", "non-dropping-particle" : "", "parse-names" : false, "suffix" : "" }, { "dropping-particle" : "", "family" : "Duarte", "given" : "Carlos M.", "non-dropping-particle" : "", "parse-names" : false, "suffix" : "" }, { "dropping-particle" : "", "family" : "Heck", "given" : "Kenneth L", "non-dropping-particle" : "", "parse-names" : false, "suffix" : "" }, { "dropping-particle" : "", "family" : "Waycott", "given" : "Michelle", "non-dropping-particle" : "", "parse-names" : false, "suffix" : "" } ], "container-title" : "Frontiers in Ecology and the Environment", "id" : "ITEM-2", "issue" : "5", "issued" : { "date-parts" : [ [ "2009", "6" ] ] }, "page" : "242-246", "title" : "Associations of concern: declining seagrasses and threatened dependent species", "type" : "article-journal", "volume" : "7" }, "uris" : [ "http://www.mendeley.com/documents/?uuid=c9b4362f-3929-42a6-aece-0ebe4f033a68" ] } ], "mendeley" : { "formattedCitation" : "(C. M. Duarte, 2002; Hughes et al., 2009)", "plainTextFormattedCitation" : "(C. M. Duarte, 2002; Hughes et al., 2009)", "previouslyFormattedCitation" : "(C. M. Duarte, 2002; Hughes et al., 2009)"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(Duarte, 2002; Hughes et al., 2009)</w:t>
      </w:r>
      <w:r w:rsidRPr="008608AA">
        <w:rPr>
          <w:rFonts w:eastAsia="Droid Sans Fallback"/>
        </w:rPr>
        <w:fldChar w:fldCharType="end"/>
      </w:r>
      <w:r w:rsidRPr="008608AA">
        <w:rPr>
          <w:rFonts w:eastAsia="Droid Sans Fallback"/>
        </w:rPr>
        <w:t xml:space="preserve">; over the last two decades, up to 18% of the documented seagrass area has been lost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"Kirkman", "given" : "H", "non-dropping-particle" : "", "parse-names" : false, "suffix" : "" } ], "collection-title" : "Australia: State of the Environment Technical Paper Series (Estuaries and the Sea)", "id" : "ITEM-1", "issued" : { "date-parts" : [ [ "1997" ] ] }, "number-of-pages" : "36", "title" : "Seagrasses of Australia", "type" : "report" }, "uris" : [ "http://www.mendeley.com/documents/?uuid=222c6859-255c-4481-8728-673f6c4dca77", "http://www.mendeley.com/documents/?uuid=651f158c-f301-4d80-a3c6-520e7b4d64c8" ] }, { "id" : "ITEM-2", "itemData" : { "abstract" : "The Posidonia Monitoring Network (PMN) is based on a biological indicator, the seagrass Posidonia oceanica. It was set-up in 1984 and concerns 33 survey sites located along the Provence and French Riviera coasts, at either the upper or lower limits of the seagrass meadows. Monitoring the lower limit is carried out by positioning permanent cernent markers along this limit and by photographing these markers and studying several P. oceanica vitality parameters every 3 years. Monitoring the upper limit is based on the same rnethods, completed with aerial photographs. Between 1984 and 1999, the percentage of sites at which the P. oceanica meadow was seen to be in expansion increased from 21 to 42%. This is consistent with improvement in the percentage of waste waters which are processed in treatment plants, less than 10% in the early 1980s and close to 100% today.", "author" : [ { "dropping-particle" : "", "family" : "Boudouresque", "given" : "Charles F.", "non-dropping-particle" : "", "parse-names" : false, "suffix" : "" }, { "dropping-particle" : "", "family" : "Charbonel", "given" : "E.", "non-dropping-particle" : "", "parse-names" : false, "suffix" : "" }, { "dropping-particle" : "", "family" : "Meinesz", "given" : "A.", "non-dropping-particle" : "", "parse-names" : false, "suffix" : "" }, { "dropping-particle" : "", "family" : "Pergent", "given" : "G\u00e9rard", "non-dropping-particle" : "", "parse-names" : false, "suffix" : "" }, { "dropping-particle" : "", "family" : "Pergent-Martini", "given" : "Christine", "non-dropping-particle" : "", "parse-names" : false, "suffix" : "" }, { "dropping-particle" : "", "family" : "Cadiou", "given" : "G.", "non-dropping-particle" : "", "parse-names" : false, "suffix" : "" }, { "dropping-particle" : "", "family" : "Bertrandy", "given" : "M.C.", "non-dropping-particle" : "", "parse-names" : false, "suffix" : "" }, { "dropping-particle" : "", "family" : "Foret", "given" : "P.", "non-dropping-particle" : "", "parse-names" : false, "suffix" : "" }, { "dropping-particle" : "", "family" : "Ragazzi", "given" : "M.", "non-dropping-particle" : "", "parse-names" : false, "suffix" : "" }, { "dropping-particle" : "", "family" : "Rico-Raimondino", "given" : "V.", "non-dropping-particle" : "", "parse-names" : false, "suffix" : "" } ], "container-title" : "Biologia Marina Mediterr\u00e1nea", "id" : "ITEM-2", "issued" : { "date-parts" : [ [ "2000" ] ] }, "page" : "328-331", "title" : "A monitoring network based on the seagrass Posidonia Oceanica in the Northwestern Mediterranean Sea", "type" : "article-journal", "volume" : "7" }, "uris" : [ "http://www.mendeley.com/documents/?uuid=64c5c1ec-0766-458f-a677-b8d727486f1d", "http://www.mendeley.com/documents/?uuid=f272eb9e-0bb5-402d-b0c2-c883f132e713" ] }, { "id" : "ITEM-3", "itemData" : { "DOI" : "10.1111/j.1439-0485.2006.00095.x", "ISSN" : "0173-9565", "author" : [ { "dropping-particle" : "", "family" : "Short", "given" : "Frederick T.", "non-dropping-particle" : "", "parse-names" : false, "suffix" : "" }, { "dropping-particle" : "", "family" : "Koch", "given" : "Evamaria W.", "non-dropping-particle" : "", "parse-names" : false, "suffix" : "" }, { "dropping-particle" : "", "family" : "Creed", "given" : "Joel C.", "non-dropping-particle" : "", "parse-names" : false, "suffix" : "" }, { "dropping-particle" : "", "family" : "Magalh\u00e3es", "given" : "Karine M.", "non-dropping-particle" : "", "parse-names" : false, "suffix" : "" }, { "dropping-particle" : "", "family" : "Fernandez", "given" : "Eric", "non-dropping-particle" : "", "parse-names" : false, "suffix" : "" }, { "dropping-particle" : "", "family" : "Gaeckle", "given" : "Jeffrey L.", "non-dropping-particle" : "", "parse-names" : false, "suffix" : "" } ], "container-title" : "Marine Ecology", "id" : "ITEM-3", "issue" : "4", "issued" : { "date-parts" : [ [ "2006", "12" ] ] }, "page" : "277-289", "title" : "SeagrassNet monitoring across the Americas: case studies of seagrass decline", "type" : "article-journal", "volume" : "27" }, "uris" : [ "http://www.mendeley.com/documents/?uuid=1cbb6e8d-b9b9-45c1-80ed-6b783cd1453d", "http://www.mendeley.com/documents/?uuid=ba1a00d9-c57f-4515-a7f4-10edda6d2967" ] }, { "id" : "ITEM-4", "itemData" : { "DOI" : "10.1515/BOT.2004.029", "ISBN" : "0520240472", "ISSN" : "0006-8055", "author" : [ { "dropping-particle" : "", "family" : "Green", "given" : "E.P.", "non-dropping-particle" : "", "parse-names" : false, "suffix" : "" }, { "dropping-particle" : "", "family" : "Short", "given" : "Frederick T.", "non-dropping-particle" : "", "parse-names" : false, "suffix" : "" } ], "container-title" : "Botanica Marina", "id" : "ITEM-4", "issue" : "3", "issued" : { "date-parts" : [ [ "2003", "1" ] ] }, "number-of-pages" : "298", "publisher" : "University of California Press, 298 pp", "publisher-place" : "Berkeley. USA", "title" : "World atlas of seagrasses. Prepared by the UNEP World Conservation Monitoring Centre.", "type" : "book", "volume" : "47" }, "uris" : [ "http://www.mendeley.com/documents/?uuid=2ec2884f-9c4c-4cf7-926d-02dce9b552cc", "http://www.mendeley.com/documents/?uuid=0ce8fb75-8ac2-46e5-8593-67adaefbf28e" ] } ], "mendeley" : { "formattedCitation" : "(Boudouresque et al., 2000; Green &amp; Short, 2003; Kirkman, 1997; Short et al., 2006)", "plainTextFormattedCitation" : "(Boudouresque et al., 2000; Green &amp; Short, 2003; Kirkman, 1997; Short et al., 2006)", "previouslyFormattedCitation" : "(Boudouresque et al., 2000; Green &amp; Short, 2003; Kirkman, 1997; Short et al.,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(Boudouresque et al., 2000; Green &amp; Short, 2003; Kirkman, 1997; Short et al., 2006)</w:t>
      </w:r>
      <w:r w:rsidRPr="008608AA">
        <w:rPr>
          <w:rFonts w:eastAsia="Droid Sans Fallback"/>
        </w:rPr>
        <w:fldChar w:fldCharType="end"/>
      </w:r>
      <w:r w:rsidRPr="008608AA">
        <w:rPr>
          <w:rFonts w:eastAsia="Droid Sans Fallback"/>
        </w:rPr>
        <w:t xml:space="preserve">, with rates of decline accelerating in recent years </w:t>
      </w:r>
      <w:r w:rsidRPr="008608AA">
        <w:rPr>
          <w:rFonts w:eastAsia="Droid Sans Fallback"/>
        </w:rPr>
        <w:fldChar w:fldCharType="begin" w:fldLock="1"/>
      </w:r>
      <w:r w:rsidRPr="008608AA">
        <w:rPr>
          <w:rFonts w:eastAsia="Droid Sans Fallback"/>
        </w:rPr>
        <w:instrText>ADDIN CSL_CITATION { "citationItems" : [ { "id" : "ITEM-1", "itemData" : { "DOI" : "10.1073/pnas.0905620106", "ISSN" : "1091-6490", "PMID" : "19587236", "abstract" : "Coastal ecosystems and the services they provide are adversely affected by a wide variety of human activities. In particular, seagrass meadows are negatively affected by impacts accruing from the billion or more people who live within 50 km of them. Seagrass meadows provide important ecosystem services, including an estimated $1.9 trillion per year in the form of nutrient cycling; an order of magnitude enhancement of coral reef fish productivity; a habitat for thousands of fish, bird, and invertebrate species; and a major food source for endangered dugong, manatee, and green turtle. Although individual impacts from coastal development, degraded water quality, and climate change have been documented, there has been no quantitative global assessment of seagrass loss until now. Our comprehensive global assessment of 215 studies found that seagrasses have been disappearing at a rate of 110 km(2) yr(-1) since 1980 and that 29% of the known areal extent has disappeared since seagrass areas were initially recorded in 1879. Furthermore, rates of decline have accelerated from a median of 0.9% yr(-1) before 1940 to 7% yr(-1) since 1990. Seagrass loss rates are comparable to those reported for mangroves, coral reefs, and tropical rainforests and place seagrass meadows among the most threatened ecosystems on earth.", "author" : [ { "dropping-particle" : "", "family" : "Waycott", "given" : "Michelle", "non-dropping-particle" : "", "parse-names" : false, "suffix" : "" }, { "dropping-particle" : "", "family" : "Duarte", "given" : "Carlos M.", "non-dropping-particle" : "", "parse-names" : false, "suffix" : "" }, { "dropping-particle" : "", "family" : "Carruthers", "given" : "T.J.B.", "non-dropping-particle" : "", "parse-names" : false, "suffix" : "" }, { "dropping-particle" : "", "family" : "Orth", "given" : "Robert J.", "non-dropping-particle" : "", "parse-names" : false, "suffix" : "" }, { "dropping-particle" : "", "family" : "Dennison", "given" : "William C.", "non-dropping-particle" : "", "parse-names" : false, "suffix" : "" }, { "dropping-particle" : "", "family" : "Olyarnik", "given" : "Suzanne", "non-dropping-particle" : "", "parse-names" : false, "suffix" : "" }, { "dropping-particle" : "", "family" : "Calladine", "given" : "Ainsley", "non-dropping-particle" : "", "parse-names" : false, "suffix" : "" }, { "dropping-particle" : "", "family" : "Fourqurean", "given" : "James W.", "non-dropping-particle" : "", "parse-names" : false, "suffix" : "" }, { "dropping-particle" : "", "family" : "Heck", "given" : "Kenneth L", "non-dropping-particle" : "", "parse-names" : false, "suffix" : "" }, { "dropping-particle" : "", "family" : "Hughes", "given" : "R.G.", "non-dropping-particle" : "", "parse-names" : false, "suffix" : "" }, { "dropping-particle" : "", "family" : "Kendrick", "given" : "G.A.", "non-dropping-particle" : "", "parse-names" : false, "suffix" : "" }, { "dropping-particle" : "", "family" : "Kenworthy", "given" : "W. Judson", "non-dropping-particle" : "", "parse-names" : false, "suffix" : "" }, { "dropping-particle" : "", "family" : "Short", "given" : "Frederick T.", "non-dropping-particle" : "", "parse-names" : false, "suffix" : "" }, { "dropping-particle" : "", "family" : "Williams", "given" : "Susan L", "non-dropping-particle" : "", "parse-names" : false, "suffix" : "" } ], "container-title" : "Proceedings of the National Academy of Sciences of the United States of America", "id" : "ITEM-1", "issue" : "30", "issued" : { "date-parts" : [ [ "2009", "7" ] ] }, "page" : "12377-12381", "title" : "Accelerating loss of seagrasses across the globe threatens coastal ecosystems.", "type" : "article-journal", "volume" : "106" }, "uris" : [ "http://www.mendeley.com/documents/?uuid=aa32704c-e03d-4ad3-9327-5c687a669206" ] } ], "mendeley" : { "formattedCitation" : "(Waycott et al., 2009a)", "plainTextFormattedCitation" : "(Waycott et al., 2009a)", "previouslyFormattedCitation" : "(Waycott et al., 2009a)"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(Waycott et al</w:t>
      </w:r>
      <w:r w:rsidR="00134E5B" w:rsidRPr="008608AA">
        <w:rPr>
          <w:rFonts w:eastAsia="Droid Sans Fallback"/>
          <w:noProof/>
        </w:rPr>
        <w:t>.</w:t>
      </w:r>
      <w:r w:rsidRPr="008608AA">
        <w:rPr>
          <w:rFonts w:eastAsia="Droid Sans Fallback"/>
          <w:noProof/>
        </w:rPr>
        <w:t>, 2009a)</w:t>
      </w:r>
      <w:r w:rsidRPr="008608AA">
        <w:rPr>
          <w:rFonts w:eastAsia="Droid Sans Fallback"/>
        </w:rPr>
        <w:fldChar w:fldCharType="end"/>
      </w:r>
      <w:r w:rsidRPr="008608AA">
        <w:rPr>
          <w:rFonts w:eastAsia="Droid Sans Fallback"/>
        </w:rPr>
        <w:t xml:space="preserve">. This present situation of declining seagrasses may be exacerbated by increasing human induced pressures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"Nicholls", "given" : "R.J.", "non-dropping-particle" : "", "parse-names" : false, "suffix" : "" }, { "dropping-particle" : "", "family" : "Wong", "given" : "P.P.", "non-dropping-particle" : "", "parse-names" : false, "suffix" : "" }, { "dropping-particle" : "", "family" : "Burkett", "given" : "V.R.", "non-dropping-particle" : "", "parse-names" : false, "suffix" : "" }, { "dropping-particle" : "", "family" : "Codignotto", "given" : "J.O.", "non-dropping-particle" : "", "parse-names" : false, "suffix" : "" }, { "dropping-particle" : "", "family" : "Hay", "given" : "J.E.", "non-dropping-particle" : "", "parse-names" : false, "suffix" : "" }, { "dropping-particle" : "", "family" : "McLean", "given" : "R.F.", "non-dropping-particle" : "", "parse-names" : false, "suffix" : "" }, { "dropping-particle" : "", "family" : "Ragoonaden", "given" : "S.", "non-dropping-particle" : "", "parse-names" : false, "suffix" : "" }, { "dropping-particle" : "", "family" : "Woodroffe", "given" : "C.D.", "non-dropping-particle" : "", "parse-names" : false, "suffix" : "" } ], "container-title" : "Climate Change 2007: Impacts, Adaptation and Vulnerability.Contribution of Working Group II to the Fourth Assessment Report of the Intergovernmental Panel on Climate Change", "editor" : [ { "dropping-particle" : "", "family" : "Parry", "given" : "M.L.", "non-dropping-particle" : "", "parse-names" : false, "suffix" : "" }, { "dropping-particle" : "", "family" : "Canziani", "given" : "O.F.", "non-dropping-particle" : "", "parse-names" : false, "suffix" : "" }, { "dropping-particle" : "", "family" : "Palutikof", "given" : "J.P.", "non-dropping-particle" : "", "parse-names" : false, "suffix" : "" }, { "dropping-particle" : "van der", "family" : "Linden", "given" : "P.J.", "non-dropping-particle" : "", "parse-names" : false, "suffix" : "" }, { "dropping-particle" : "", "family" : "Hanson", "given" : "C.E.", "non-dropping-particle" : "", "parse-names" : false, "suffix" : "" } ], "id" : "ITEM-1", "issued" : { "date-parts" : [ [ "2007" ] ] }, "page" : "315-356", "publisher" : "Cambridge University Press", "publisher-place" : "Cambridge, UK", "title" : "Coastal systems and low-lying areas", "type" : "chapter" }, "uris" : [ "http://www.mendeley.com/documents/?uuid=0d745837-8458-41a4-8cf0-9224b56f55fd", "http://www.mendeley.com/documents/?uuid=7eafa5c5-031a-443b-b61a-77e59f5f01f7" ] }, { "id" : "ITEM-2", "itemData" : { "abstract" : "014). . In: . In: Field C. et al. (Eds.).", "author" : [ { "dropping-particle" : "", "family" : "Wong", "given" : "P.P.", "non-dropping-particle" : "", "parse-names" : false, "suffix" : "" }, { "dropping-particle" : "", "family" : "Losada", "given" : "I. J.", "non-dropping-particle" : "", "parse-names" : false, "suffix" : "" }, { "dropping-particle" : "", "family" : "Gattusso", "given" : "J. P.", "non-dropping-particle" : "", "parse-names" : false, "suffix" : "" }, { "dropping-particle" : "", "family" : "Hinkel", "given" : "J.", "non-dropping-particle" : "", "parse-names" : false, "suffix" : "" }, { "dropping-particle" : "", "family" : "Khattabi", "given" : "A.", "non-dropping-particle" : "", "parse-names" : false, "suffix" : "" }, { "dropping-particle" : "", "family" : "McInnes", "given" : "K.", "non-dropping-particle" : "", "parse-names" : false, "suffix" : "" }, { "dropping-particle" : "", "family" : "Saito", "given" : "Y.", "non-dropping-particle" : "", "parse-names" : false, "suffix" : "" }, { "dropping-particle" : "", "family" : "Sallenger", "given" : "A.", "non-dropping-particle" : "", "parse-names" : false, "suffix" : "" } ], "container-title" : "Climate Change 2014: Impacts, Adaptation, and Vulnerability. Contribution of Working Group II to the Fifth Assessment Report of the Intergovernmental Panel on Climate Change", "editor" : [ { "dropping-particle" : "", "family" : "Field", "given" : "C et al.", "non-dropping-particle" : "", "parse-names" : false, "suffix" : "" } ], "id" : "ITEM-2", "issue" : "October 2013", "issued" : { "date-parts" : [ [ "2014" ] ] }, "page" : "in press", "publisher" : "Cambridge University Press", "publisher-place" : "Cambridge; United Kingdom and New York; NY; USA", "title" : "Coastal systems and low-lying areas", "type" : "chapter" }, "uris" : [ "http://www.mendeley.com/documents/?uuid=5d7528d5-5587-4a36-9f7a-82f55acecce7", "http://www.mendeley.com/documents/?uuid=9a89ffc4-c0c3-43b2-a216-a82e5ac66248" ] } ], "mendeley" : { "formattedCitation" : "(Nicholls et al., 2007; Wong et al., 2014)", "plainTextFormattedCitation" : "(Nicholls et al., 2007; Wong et al., 2014)", "previouslyFormattedCitation" : "(Nicholls et al., 2007; Wong et al.,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(Nicholls et al., 2007; Wong et al., 2014)</w:t>
      </w:r>
      <w:r w:rsidRPr="008608AA">
        <w:rPr>
          <w:rFonts w:eastAsia="Droid Sans Fallback"/>
        </w:rPr>
        <w:fldChar w:fldCharType="end"/>
      </w:r>
      <w:r w:rsidRPr="008608AA">
        <w:rPr>
          <w:rFonts w:eastAsia="Droid Sans Fallback"/>
        </w:rPr>
        <w:t xml:space="preserve"> and additional global change drivers </w:t>
      </w:r>
      <w:r w:rsidRPr="008608AA">
        <w:rPr>
          <w:rFonts w:eastAsia="Droid Sans Fallback"/>
        </w:rPr>
        <w:fldChar w:fldCharType="begin" w:fldLock="1"/>
      </w:r>
      <w:r w:rsidRPr="008608AA">
        <w:rPr>
          <w:rFonts w:eastAsia="Droid Sans Fallback"/>
        </w:rPr>
        <w:instrText>ADDIN CSL_CITATION { "citationItems" : [ { "id" : "ITEM-1", "itemData" : { "DOI" : "10.1016/S0304-3770(98)00117-X", "ISBN" : "1603862110", "ISSN" : "03043770", "author" : [ { "dropping-particle" : "", "family" : "Short", "given" : "Frederick T.", "non-dropping-particle" : "", "parse-names" : false, "suffix" : "" }, { "dropping-particle" : "", "family" : "Neckles", "given" : "Hilary A", "non-dropping-particle" : "", "parse-names" : false, "suffix" : "" } ], "container-title" : "Aquatic Botany", "id" : "ITEM-1", "issue" : "3-4", "issued" : { "date-parts" : [ [ "1999", "4" ] ] }, "page" : "169-196", "title" : "The effects of global climate change on seagrasses", "type" : "article-journal", "volume" : "63" }, "uris" : [ "http://www.mendeley.com/documents/?uuid=21be6afd-584e-4a4f-b64d-034a9342a576", "http://www.mendeley.com/documents/?uuid=5222fc6b-3268-47a1-bdc5-3f22738d3ab3" ] } ], "mendeley" : { "formattedCitation" : "(Short &amp; Neckles, 1999)", "plainTextFormattedCitation" : "(Short &amp; Neckles, 1999)", "previouslyFormattedCitation" : "(Short &amp; Neckles, 1999)"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(Short &amp; Neckles, 1999)</w:t>
      </w:r>
      <w:r w:rsidRPr="008608AA">
        <w:rPr>
          <w:rFonts w:eastAsia="Droid Sans Fallback"/>
        </w:rPr>
        <w:fldChar w:fldCharType="end"/>
      </w:r>
      <w:r w:rsidRPr="008608AA">
        <w:rPr>
          <w:rFonts w:eastAsia="Droid Sans Fallback"/>
        </w:rPr>
        <w:t xml:space="preserve">, including global warming </w:t>
      </w:r>
      <w:r w:rsidRPr="008608AA">
        <w:rPr>
          <w:rFonts w:eastAsia="Droid Sans Fallback"/>
        </w:rPr>
        <w:fldChar w:fldCharType="begin" w:fldLock="1"/>
      </w:r>
      <w:r w:rsidRPr="008608AA">
        <w:rPr>
          <w:rFonts w:eastAsia="Droid Sans Fallback"/>
        </w:rPr>
        <w:instrText>ADDIN CSL_CITATION { "citationItems" : [ { "id" : "ITEM-1", "itemData" : { "DOI" : "10.1038/NCLIMATE1533", "ISSN" : "1758-678X", "author" : [ { "dropping-particle" : "", "family" : "Jord\u00e0", "given" : "Gabriel", "non-dropping-particle" : "", "parse-names" : false, "suffix" : "" }, { "dropping-particle" : "", "family" : "Marb\u00e0", "given" : "N\u00faria", "non-dropping-particle" : "", "parse-names" : false, "suffix" : "" }, { "dropping-particle" : "", "family" : "Duarte", "given" : "Carlos M.", "non-dropping-particle" : "", "parse-names" : false, "suffix" : "" } ], "container-title" : "Nature Climate Change", "id" : "ITEM-1", "issued" : { "date-parts" : [ [ "2012", "5" ] ] }, "page" : "821\u2013824", "publisher" : "Nature Publishing Group", "title" : "Mediterranean seagrass vulnerable to regional climate warming", "type" : "article-journal", "volume" : "2" }, "uris" : [ "http://www.mendeley.com/documents/?uuid=dd54ccf0-11f1-410b-9b9f-0d47b2b05c28", "http://www.mendeley.com/documents/?uuid=1a6c9a89-f1cd-40b0-b540-4e04aa7c1f4a" ] } ], "mendeley" : { "formattedCitation" : "(Jord\u00e0, Marb\u00e0, &amp; Duarte, 2012a)", "plainTextFormattedCitation" : "(Jord\u00e0, Marb\u00e0, &amp; Duarte, 2012a)", "previouslyFormattedCitation" : "(Jord\u00e0, Marb\u00e0, &amp; Duarte, 2012a)"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(Jordà</w:t>
      </w:r>
      <w:r w:rsidRPr="008608AA">
        <w:rPr>
          <w:rFonts w:eastAsia="Droid Sans Fallback"/>
          <w:noProof/>
        </w:rPr>
        <w:t xml:space="preserve"> et al., 2012a)</w:t>
      </w:r>
      <w:r w:rsidRPr="008608AA">
        <w:rPr>
          <w:rFonts w:eastAsia="Droid Sans Fallback"/>
        </w:rPr>
        <w:fldChar w:fldCharType="end"/>
      </w:r>
      <w:r w:rsidR="008861AE" w:rsidRPr="008608AA">
        <w:rPr>
          <w:rFonts w:eastAsia="Droid Sans Fallback"/>
        </w:rPr>
        <w:t xml:space="preserve"> and sea level rise</w:t>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"DOI" : "10.1111/gcb.12218", "ISSN" : "1354-1013", "PMID" : "23564697", "abstract" : "The distribution and abundance of seagrass ecosystems could change significantly over the coming century due to sea level rise (SLR). Coastal managers require mechanistic understanding of the processes affecting seagrass response to SLR to maximize their conservation and associated provision of ecosystem services. In Moreton Bay, Queensland, Australia, vast seagrass meadows supporting populations of sea turtles and dugongs are juxtaposed with the multiple stressors associated with a large and rapidly expanding human population. Here, the interactive effects of predicted SLR, changes in water clarity, and land use on future distributions of seagrass in Moreton Bay were quantified. A habitat distribution model of present day seagrass in relation to benthic irradiance and wave height was developed which correctly classified habitats in 83% of cases. Spatial predictions of seagrass and presence derived from the model and bathymetric data were used to initiate a SLR inundation model. Bathymetry was iteratively modified based on SLR and sedimentary accretion in seagrass to simulate potential seagrass habitat at 10 year time steps until 2100. The area of seagrass habitat was predicted to decline by 17% by 2100 under a scenario of SLR of 1.1 m. A scenario including the removal of impervious surfaces, such as roads and houses, from newly inundated regions, demonstrated that managed retreat of the shoreline could potentially reduce the overall decline in seagrass habitat to just 5%. The predicted reduction in area of seagrass habitat could be offset by an improvement in water clarity of 30%. Greater improvements in water clarity would be necessary for larger magnitudes of SLR. Management to improve water quality will provide present and future benefits to seagrasses under climate change and should be a priority for managers seeking to compensate for the effects of global change on these valuable habitats.", "author" : [ { "dropping-particle" : "", "family" : "Saunders", "given" : "Megan I", "non-dropping-particle" : "", "parse-names" : false, "suffix" : "" }, { "dropping-particle" : "", "family" : "Leon", "given" : "Javier", "non-dropping-particle" : "", "parse-names" : false, "suffix" : "" }, { "dropping-particle" : "", "family" : "Phinn", "given" : "Stuart", "non-dropping-particle" : "", "parse-names" : false, "suffix" : "" }, { "dropping-particle" : "", "family" : "Callaghan", "given" : "David P", "non-dropping-particle" : "", "parse-names" : false, "suffix" : "" }, { "dropping-particle" : "", "family" : "O'Brien", "given" : "Katherine R", "non-dropping-particle" : "", "parse-names" : false, "suffix" : "" }, { "dropping-particle" : "", "family" : "Roelfsema", "given" : "Chris M", "non-dropping-particle" : "", "parse-names" : false, "suffix" : "" }, { "dropping-particle" : "", "family" : "Lovelock", "given" : "Catherine E", "non-dropping-particle" : "", "parse-names" : false, "suffix" : "" }, { "dropping-particle" : "", "family" : "Lyons", "given" : "Mitchell B.", "non-dropping-particle" : "", "parse-names" : false, "suffix" : "" }, { "dropping-particle" : "", "family" : "Mumby", "given" : "Peter J", "non-dropping-particle" : "", "parse-names" : false, "suffix" : "" } ], "container-title" : "Global Change Biology", "id" : "ITEM-1", "issue" : "8", "issued" : { "date-parts" : [ [ "2013", "4" ] ] }, "page" : "2569-2583", "title" : "Coastal retreat and improved water quality mitigate losses of seagrass from sea level rise.", "type" : "article-journal", "volume" : "19" }, "uris" : [ "http://www.mendeley.com/documents/?uuid=31d819eb-74e2-477f-b202-29795189f032", "http://www.mendeley.com/documents/?uuid=c00d24ec-b7ac-45e6-ab87-1a717fd8e554" ] } ], "mendeley" : { "formattedCitation" : "(Saunders et al., 2013)", "plainTextFormattedCitation" : "(Saunders et al., 2013)", "previouslyFormattedCitation" : "(Saunders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(Saunders et al., 2013)</w:t>
      </w:r>
      <w:r w:rsidRPr="008608AA">
        <w:rPr>
          <w:rFonts w:eastAsia="Droid Sans Fallback"/>
        </w:rPr>
        <w:fldChar w:fldCharType="end"/>
      </w:r>
      <w:r w:rsidRPr="008608AA">
        <w:rPr>
          <w:rFonts w:eastAsia="Droid Sans Fallback"/>
        </w:rPr>
        <w:t xml:space="preserve">. Considering the key role of seagrasses in the ecosystem function, their decline might be detrimental to those species that depend on them, including economically important fishes and invertebrates </w:t>
      </w:r>
      <w:r w:rsidRPr="008608AA">
        <w:rPr>
          <w:rFonts w:eastAsia="Droid Sans Fallback"/>
        </w:rPr>
        <w:fldChar w:fldCharType="begin" w:fldLock="1"/>
      </w:r>
      <w:r w:rsidRPr="008608AA">
        <w:rPr>
          <w:rFonts w:eastAsia="Droid Sans Fallback"/>
        </w:rPr>
        <w:instrText>ADDIN CSL_CITATION { "citationItems" : [ { "id" : "ITEM-1", "itemData" : { "DOI" : "10.1890/080041", "ISSN" : "1540-9295", "author" : [ { "dropping-particle" : "", "family" : "Hughes", "given" : "R.G.", "non-dropping-particle" : "", "parse-names" : false, "suffix" : "" }, { "dropping-particle" : "", "family" : "Williams", "given" : "Susan L", "non-dropping-particle" : "", "parse-names" : false, "suffix" : "" }, { "dropping-particle" : "", "family" : "Duarte", "given" : "Carlos M.", "non-dropping-particle" : "", "parse-names" : false, "suffix" : "" }, { "dropping-particle" : "", "family" : "Heck", "given" : "Kenneth L", "non-dropping-particle" : "", "parse-names" : false, "suffix" : "" }, { "dropping-particle" : "", "family" : "Waycott", "given" : "Michelle", "non-dropping-particle" : "", "parse-names" : false, "suffix" : "" } ], "container-title" : "Frontiers in Ecology and the Environment", "id" : "ITEM-1", "issue" : "5", "issued" : { "date-parts" : [ [ "2009", "6" ] ] }, "page" : "242-246", "title" : "Associations of concern: declining seagrasses and threatened dependent species", "type" : "article-journal", "volume" : "7" }, "uris" : [ "http://www.mendeley.com/documents/?uuid=c9b4362f-3929-42a6-aece-0ebe4f033a68" ] } ], "mendeley" : { "formattedCitation" : "(Hughes et al., 2009)", "plainTextFormattedCitation" : "(Hughes et al., 2009)", "previouslyFormattedCitation" : "(Hughes et al., 2009)"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(Hughes et al., 2009)</w:t>
      </w:r>
      <w:r w:rsidRPr="008608AA">
        <w:rPr>
          <w:rFonts w:eastAsia="Droid Sans Fallback"/>
        </w:rPr>
        <w:fldChar w:fldCharType="end"/>
      </w:r>
      <w:r w:rsidRPr="008608AA">
        <w:rPr>
          <w:rFonts w:eastAsia="Droid Sans Fallback"/>
        </w:rPr>
        <w:t xml:space="preserve">; and considering moreover, that seagrass meadows are often dominated by a single seagrass species, the loss of only one seagrass species might initiate a negative cascade of effects for the whole biome </w:t>
      </w:r>
      <w:r w:rsidRPr="008608AA">
        <w:rPr>
          <w:rFonts w:eastAsia="Droid Sans Fallback"/>
        </w:rPr>
        <w:fldChar w:fldCharType="begin" w:fldLock="1"/>
      </w:r>
      <w:r w:rsidRPr="008608AA">
        <w:rPr>
          <w:rFonts w:eastAsia="Droid Sans Fallback"/>
        </w:rPr>
        <w:instrText>ADDIN CSL_CITATION { "citationItems" : [ { "id" : "ITEM-1", "itemData" : { "DOI" : "10.1521/pdps.2014.42.2.319", "ISSN" : "2162-2604", "PMID" : "24828601", "author" : [ { "dropping-particle" : "", "family" : "Hemminga", "given" : "Marten A.", "non-dropping-particle" : "", "parse-names" : false, "suffix" : "" }, { "dropping-particle" : "", "family" : "Duarte", "given" : "Carlos M.", "non-dropping-particle" : "", "parse-names" : false, "suffix" : "" } ], "container-title" : "Psychodynamic psychiatry", "id" : "ITEM-1", "issue" : "2", "issued" : { "date-parts" : [ [ "2000", "1" ] ] }, "number-of-pages" : "298", "publisher" : "Cambridge University Press", "title" : "Seagrass ecology", "type" : "book", "volume" : "42" }, "uris" : [ "http://www.mendeley.com/documents/?uuid=a080edc2-dbc1-44a9-9efc-71a8c132883d", "http://www.mendeley.com/documents/?uuid=b81ebd92-0f99-494a-9052-0e79b9f9430f" ] }, { "id" : "ITEM-2", "itemData" : { "DOI" : "10.1017/S0376892902000127", "ISSN" : "0376-8929", "author" : [ { "dropping-particle" : "", "family" : "Duarte", "given" : "Carlos M.", "non-dropping-particle" : "", "parse-names" : false, "suffix" : "" } ], "container-title" : "Environmental Conservation", "id" : "ITEM-2", "issue" : "2", "issued" : { "date-parts" : [ [ "2002", "8" ] ] }, "page" : "192-206", "title" : "The future of seagrass meadows", "type" : "article-journal", "volume" : "29" }, "uris" : [ "http://www.mendeley.com/documents/?uuid=17443d77-3ae5-4ca9-9bee-b2aed419f934", "http://www.mendeley.com/documents/?uuid=72af601a-6f3f-40e9-b4d6-7c7191ee375d" ] } ], "mendeley" : { "formattedCitation" : "(C. M. Duarte, 2002; Hemminga &amp; Duarte, 2000)", "plainTextFormattedCitation" : "(C. M. Duarte, 2002; Hemminga &amp; Duarte, 2000)", "previouslyFormattedCitation" : "(C. M. Duarte, 2002; Hemminga &amp; Duarte, 2000)"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(Duarte, 2002; Hemminga &amp; Duarte, 2000)</w:t>
      </w:r>
      <w:r w:rsidRPr="008608AA">
        <w:rPr>
          <w:rFonts w:eastAsia="Droid Sans Fallback"/>
        </w:rPr>
        <w:fldChar w:fldCharType="end"/>
      </w:r>
      <w:r w:rsidRPr="008608AA">
        <w:rPr>
          <w:rFonts w:eastAsia="Droid Sans Fallback"/>
        </w:rPr>
        <w:t>.</w:t>
      </w:r>
    </w:p>
    <w:p w14:paraId="77F2C273" w14:textId="226FBD2D" w:rsidR="00490494" w:rsidRPr="008608AA" w:rsidRDefault="00490494" w:rsidP="00EE708F">
      <w:pPr>
        <w:suppressAutoHyphens/>
        <w:rPr>
          <w:rFonts w:eastAsia="Droid Sans Fallback"/>
        </w:rPr>
      </w:pPr>
      <w:r w:rsidRPr="008608AA">
        <w:rPr>
          <w:rFonts w:eastAsia="Droid Sans Fallback"/>
        </w:rPr>
        <w:t xml:space="preserve">Recent climate change has already impacted marine environments with documented effects on the phenology of organisms; the range and distribution of species; and the composition and dynamics of communities </w:t>
      </w:r>
      <w:r w:rsidRPr="008608AA">
        <w:rPr>
          <w:rFonts w:eastAsia="Droid Sans Fallback"/>
        </w:rPr>
        <w:fldChar w:fldCharType="begin" w:fldLock="1"/>
      </w:r>
      <w:r w:rsidRPr="008608AA">
        <w:rPr>
          <w:rFonts w:eastAsia="Droid Sans Fallback"/>
        </w:rPr>
        <w:instrText>ADDIN CSL_CITATION { "citationItems" : [ { "id" : "ITEM-1", "itemData" : { "DOI" : "10.1098/rsbl.2012.0530", "ISSN" : "1744-957X", "PMID" : "22791706", "abstract" : "A Marine Climate Impacts Workshop was held from 29 April to 3 May 2012 at the US National Center of Ecological Analysis and Synthesis in Santa Barbara. This workshop was the culmination of a series of six meetings over the past three years, which had brought together 25 experts in climate change ecology, analysis of large datasets, palaeontology, marine ecology and physical oceanography. Aims of these workshops were to produce a global synthesis of climate impacts on marine biota, to identify sensitive habitats and taxa, to inform the current Intergovernmental Panel on Climate Change (IPCC) process, and to strengthen research into ecological impacts of climate change.", "author" : [ { "dropping-particle" : "", "family" : "Richardson", "given" : "AJ", "non-dropping-particle" : "", "parse-names" : false, "suffix" : "" }, { "dropping-particle" : "", "family" : "Brown", "given" : "Christopher J.", "non-dropping-particle" : "", "parse-names" : false, "suffix" : "" }, { "dropping-particle" : "", "family" : "Brander", "given" : "Keith M", "non-dropping-particle" : "", "parse-names" : false, "suffix" : "" }, { "dropping-particle" : "", "family" : "Bruno", "given" : "John F.", "non-dropping-particle" : "", "parse-names" : false, "suffix" : "" }, { "dropping-particle" : "", "family" : "Buckley", "given" : "Lauren B.", "non-dropping-particle" : "", "parse-names" : false, "suffix" : "" }, { "dropping-particle" : "", "family" : "Burrows", "given" : "Michael T.", "non-dropping-particle" : "", "parse-names" : false, "suffix" : "" }, { "dropping-particle" : "", "family" : "Duarte", "given" : "Carlos M.", "non-dropping-particle" : "", "parse-names" : false, "suffix" : "" }, { "dropping-particle" : "", "family" : "Halpern", "given" : "Benjamin S.", "non-dropping-particle" : "", "parse-names" : false, "suffix" : "" }, { "dropping-particle" : "", "family" : "Hoegh-Guldberg", "given" : "O", "non-dropping-particle" : "", "parse-names" : false, "suffix" : "" }, { "dropping-particle" : "", "family" : "Holding", "given" : "Johnna", "non-dropping-particle" : "", "parse-names" : false, "suffix" : "" }, { "dropping-particle" : "V.", "family" : "Kappel", "given" : "Carrie", "non-dropping-particle" : "", "parse-names" : false, "suffix" : "" }, { "dropping-particle" : "", "family" : "Kiessling", "given" : "Wolfgang", "non-dropping-particle" : "", "parse-names" : false, "suffix" : "" }, { "dropping-particle" : "", "family" : "Moore", "given" : "Pippa J", "non-dropping-particle" : "", "parse-names" : false, "suffix" : "" }, { "dropping-particle" : "", "family" : "O'Connor", "given" : "Mary I", "non-dropping-particle" : "", "parse-names" : false, "suffix" : "" }, { "dropping-particle" : "", "family" : "Pandolfi", "given" : "John M", "non-dropping-particle" : "", "parse-names" : false, "suffix" : "" }, { "dropping-particle" : "", "family" : "Parmesan", "given" : "Camille", "non-dropping-particle" : "", "parse-names" : false, "suffix" : "" }, { "dropping-particle" : "", "family" : "Schoeman", "given" : "David S", "non-dropping-particle" : "", "parse-names" : false, "suffix" : "" }, { "dropping-particle" : "", "family" : "Schwing", "given" : "Frank", "non-dropping-particle" : "", "parse-names" : false, "suffix" : "" }, { "dropping-particle" : "", "family" : "Sydeman", "given" : "William J", "non-dropping-particle" : "", "parse-names" : false, "suffix" : "" }, { "dropping-particle" : "", "family" : "Poloczanska", "given" : "Elvira S", "non-dropping-particle" : "", "parse-names" : false, "suffix" : "" } ], "container-title" : "Biology Letters", "id" : "ITEM-1", "issue" : "6", "issued" : { "date-parts" : [ [ "2012", "12" ] ] }, "page" : "907-909", "title" : "Climate change and marine life", "type" : "article-journal", "volume" : "8" }, "uris" : [ "http://www.mendeley.com/documents/?uuid=c605ae84-3b95-46aa-812b-6d6c6059943b", "http://www.mendeley.com/documents/?uuid=2f1740ae-6c2d-4be1-9f6d-4aa437ba0f3d" ] } ], "mendeley" : { "formattedCitation" : "(Richardson et al., 2012)", "plainTextFormattedCitation" : "(Richardson et al., 2012)", "previouslyFormattedCitation" : "(Richardson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(Richardson et al., 2012)</w:t>
      </w:r>
      <w:r w:rsidRPr="008608AA">
        <w:rPr>
          <w:rFonts w:eastAsia="Droid Sans Fallback"/>
        </w:rPr>
        <w:fldChar w:fldCharType="end"/>
      </w:r>
      <w:r w:rsidRPr="008608AA">
        <w:rPr>
          <w:rFonts w:eastAsia="Droid Sans Fallback"/>
        </w:rPr>
        <w:t xml:space="preserve">. In the coming decades, coastal systems and low-lying areas will increasingly experience adverse climate-related impacts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"IPCC", "given" : "", "non-dropping-particle" : "", "parse-names" : false, "suffix" : "" } ], "container-title" : "Climate Change 2014: Impacts, Adaptation, and Vulnerability. Contribution of Working Group II to the Fifth Assessment Report of the Intergovernmental Panel on Climate Change", "editor" : [ { "dropping-particle" : "al", "family" : "Field", "given" : "C. et.", "non-dropping-particle" : "", "parse-names" : false, "suffix" : "" } ], "id" : "ITEM-1", "issue" : "March", "issued" : { "date-parts" : [ [ "2014" ] ] }, "publisher" : "Cambridge University Press, Cambridge, United Kingdom and New York, NY, USA", "title" : "Summary for Policymakers", "type" : "chapter" }, "uris" : [ "http://www.mendeley.com/documents/?uuid=91bf2f0d-96b7-4bc4-8007-c0c6ed3dbaf2" ] } ], "mendeley" : { "formattedCitation" : "(IPCC, 2014)", "plainTextFormattedCitation" : "(IPCC, 2014)", "previouslyFormattedCitation" : "(IPCC,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(IPCC, 2014)</w:t>
      </w:r>
      <w:r w:rsidRPr="008608AA">
        <w:rPr>
          <w:rFonts w:eastAsia="Droid Sans Fallback"/>
        </w:rPr>
        <w:fldChar w:fldCharType="end"/>
      </w:r>
      <w:r w:rsidRPr="008608AA">
        <w:rPr>
          <w:rFonts w:eastAsia="Droid Sans Fallback"/>
        </w:rPr>
        <w:t xml:space="preserve">. Global mean upper ocean temperatures have increased over decadal times scales from 1971 to 2010, with a global average warming trend of 0.11 ºC per decade in the upper 75 m of the ocean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"IPCC", "given" : "", "non-dropping-particle" : "", "parse-names" : false, "suffix" : "" } ], "id" : "ITEM-1", "issued" : { "date-parts" : [ [ "2013" ] ] }, "title" : "Summary for policymakers. In: Stocker, T.F., Qin, D., Plattner, G.K., Tignor, M., Allen, S.K., Boschung, J., Nauels, A., Xia, Y., Bex, V., Midgley, P.M. (Eds.), Climate Change 2013: The Physical Science Basis. Contribution of Working Group I", "type" : "report" }, "uris" : [ "http://www.mendeley.com/documents/?uuid=905cfe53-a4de-435d-8da9-95a10ecd14a3", "http://www.mendeley.com/documents/?uuid=77ddd03f-f994-48b9-a628-9e347a684b6c" ] } ], "mendeley" : { "formattedCitation" : "(IPCC, 2013b)", "plainTextFormattedCitation" : "(IPCC, 2013b)", "previouslyFormattedCitation" : "(IPCC, 2013b)"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(IPCC, 2013b)</w:t>
      </w:r>
      <w:r w:rsidRPr="008608AA">
        <w:rPr>
          <w:rFonts w:eastAsia="Droid Sans Fallback"/>
        </w:rPr>
        <w:fldChar w:fldCharType="end"/>
      </w:r>
      <w:r w:rsidRPr="008608AA">
        <w:rPr>
          <w:rFonts w:eastAsia="Droid Sans Fallback"/>
        </w:rPr>
        <w:t xml:space="preserve">. The global ocean is predicted to continue warming during the 21st century </w:t>
      </w:r>
      <w:r w:rsidRPr="008608AA">
        <w:rPr>
          <w:rFonts w:eastAsia="Droid Sans Fallback"/>
        </w:rPr>
        <w:fldChar w:fldCharType="begin" w:fldLock="1"/>
      </w:r>
      <w:r w:rsidRPr="008608AA">
        <w:rPr>
          <w:rFonts w:eastAsia="Droid Sans Fallback"/>
        </w:rPr>
        <w:instrText>ADDIN CSL_CITATION { "citationItems" : [ { "id" : "ITEM-1", "itemData" : { "DOI" : "10.1038/nclimate1414", "ISSN" : "1758-678X", "author" : [ { "dropping-particle" : "", "family" : "Collins", "given" : "Matthew", "non-dropping-particle" : "", "parse-names" : false, "suffix" : "" }, { "dropping-particle" : "", "family" : "Chandler", "given" : "Richard E.", "non-dropping-particle" : "", "parse-names" : false, "suffix" : "" }, { "dropping-particle" : "", "family" : "Cox", "given" : "Peter M.", "non-dropping-particle" : "", "parse-names" : false, "suffix" : "" }, { "dropping-particle" : "", "family" : "Huthnance", "given" : "John M.", "non-dropping-particle" : "", "parse-names" : false, "suffix" : "" }, { "dropping-particle" : "", "family" : "Rougier", "given" : "Jonathan", "non-dropping-particle" : "", "parse-names" : false, "suffix" : "" }, { "dropping-particle" : "", "family" : "Stephenson", "given" : "David B.", "non-dropping-particle" : "", "parse-names" : false, "suffix" : "" } ], "container-title" : "Nature Climate Change", "id" : "ITEM-1", "issue" : "6", "issued" : { "date-parts" : [ [ "2012", "5" ] ] }, "page" : "403-409", "publisher" : "Nature Publishing Group", "title" : "Quantifying future climate change", "type" : "article-journal", "volume" : "2" }, "uris" : [ "http://www.mendeley.com/documents/?uuid=1f47ee8f-e68b-4c61-81db-2c9cd42588b4", "http://www.mendeley.com/documents/?uuid=2af5bdbc-8ab0-414a-b8e7-38d803bfb28f" ] } ], "mendeley" : { "formattedCitation" : "(Collins et al., 2012)", "plainTextFormattedCitation" : "(Collins et al., 2012)", "previouslyFormattedCitation" : "(Collins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(Collins et al., 2012)</w:t>
      </w:r>
      <w:r w:rsidRPr="008608AA">
        <w:rPr>
          <w:rFonts w:eastAsia="Droid Sans Fallback"/>
        </w:rPr>
        <w:fldChar w:fldCharType="end"/>
      </w:r>
      <w:r w:rsidRPr="008608AA">
        <w:rPr>
          <w:rFonts w:eastAsia="Droid Sans Fallback"/>
        </w:rPr>
        <w:t xml:space="preserve"> and it is very likely that, by the end of the century, over  95% of </w:t>
      </w:r>
      <w:r w:rsidR="008861AE" w:rsidRPr="008608AA">
        <w:rPr>
          <w:rFonts w:eastAsia="Droid Sans Fallback"/>
        </w:rPr>
        <w:t>the world ocean, regional sea level rise</w:t>
      </w:r>
      <w:r w:rsidRPr="008608AA">
        <w:rPr>
          <w:rFonts w:eastAsia="Droid Sans Fallback"/>
        </w:rPr>
        <w:t xml:space="preserve"> will be positive </w:t>
      </w:r>
      <w:r w:rsidRPr="008608AA">
        <w:rPr>
          <w:rFonts w:eastAsia="Droid Sans Fallback"/>
        </w:rPr>
        <w:fldChar w:fldCharType="begin" w:fldLock="1"/>
      </w:r>
      <w:r w:rsidRPr="008608AA">
        <w:rPr>
          <w:rFonts w:eastAsia="Droid Sans Fallback"/>
        </w:rPr>
        <w:instrText>ADDIN CSL_CITATION { "citationItems" : [ { "id" : "ITEM-1", "itemData" : { "DOI" : "10.5670/oceanog.2011.33.COPYRIGHT", "author" : [ { "dropping-particle" : "", "family" : "Church", "given" : "J.A.", "non-dropping-particle" : "", "parse-names" : false, "suffix" : "" }, { "dropping-particle" : "", "family" : "Gregory", "given" : "J.M.", "non-dropping-particle" : "", "parse-names" : false, "suffix" : "" }, { "dropping-particle" : "", "family" : "White", "given" : "N.J.", "non-dropping-particle" : "", "parse-names" : false, "suffix" : "" }, { "dropping-particle" : "", "family" : "Platten", "given" : "S.M.", "non-dropping-particle" : "", "parse-names" : false, "suffix" : "" }, { "dropping-particle" : "", "family" : "Mitrovica", "given" : "J.X.", "non-dropping-particle" : "", "parse-names" : false, "suffix" : "" } ], "container-title" : "Oceanography", "id" : "ITEM-1", "issue" : "2", "issued" : { "date-parts" : [ [ "2011" ] ] }, "page" : "130-143", "title" : "Understanding and projecting sea level change", "type" : "article-journal", "volume" : "24" }, "uris" : [ "http://www.mendeley.com/documents/?uuid=7257b3c5-0245-41c3-aa14-adefb6778595", "http://www.mendeley.com/documents/?uuid=f7350519-33da-4b6f-ab54-2dae377a581e" ] } ], "mendeley" : { "formattedCitation" : "(Church, Gregory, White, Platten, &amp; Mitrovica, 2011)", "plainTextFormattedCitation" : "(Church, Gregory, White, Platten, &amp; Mitrovica, 2011)", "previouslyFormattedCitation" : "(Church, Gregory, White, Platten, &amp; Mitrovica, 2011)"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(Church</w:t>
      </w:r>
      <w:r w:rsidRPr="008608AA">
        <w:rPr>
          <w:rFonts w:eastAsia="Droid Sans Fallback"/>
          <w:noProof/>
        </w:rPr>
        <w:t xml:space="preserve"> et al., 2011)</w:t>
      </w:r>
      <w:r w:rsidRPr="008608AA">
        <w:rPr>
          <w:rFonts w:eastAsia="Droid Sans Fallback"/>
        </w:rPr>
        <w:fldChar w:fldCharType="end"/>
      </w:r>
      <w:r w:rsidRPr="008608AA">
        <w:rPr>
          <w:rFonts w:eastAsia="Droid Sans Fallback"/>
        </w:rPr>
        <w:t>.</w:t>
      </w:r>
    </w:p>
    <w:p w14:paraId="33B92683" w14:textId="77777777" w:rsidR="008861AE" w:rsidRPr="008608AA" w:rsidRDefault="008861AE" w:rsidP="00EE708F">
      <w:pPr>
        <w:suppressAutoHyphens/>
        <w:rPr>
          <w:rFonts w:eastAsia="Droid Sans Fallback"/>
        </w:rPr>
      </w:pPr>
    </w:p>
    <w:p w14:paraId="371AADD0" w14:textId="46987F8D" w:rsidR="00490494" w:rsidRPr="008608AA" w:rsidRDefault="00490494" w:rsidP="00EE708F">
      <w:pPr>
        <w:suppressAutoHyphens/>
        <w:rPr>
          <w:rFonts w:eastAsia="Droid Sans Fallback"/>
        </w:rPr>
      </w:pPr>
      <w:r w:rsidRPr="008608AA">
        <w:rPr>
          <w:rFonts w:eastAsia="Droid Sans Fallback"/>
        </w:rPr>
        <w:t xml:space="preserve">Pressures to seagrasses derived from global climate change have been extensively summarized </w:t>
      </w:r>
      <w:r w:rsidRPr="008608AA">
        <w:rPr>
          <w:rFonts w:eastAsia="Droid Sans Fallback"/>
        </w:rPr>
        <w:fldChar w:fldCharType="begin" w:fldLock="1"/>
      </w:r>
      <w:r w:rsidRPr="008608AA">
        <w:rPr>
          <w:rFonts w:eastAsia="Droid Sans Fallback"/>
        </w:rPr>
        <w:instrText>ADDIN CSL_CITATION { "citationItems" : [ { "id" : "ITEM-1", "itemData" : { "ISBN" : "9782831710891", "author" : [ { "dropping-particle" : "", "family" : "Bj\u00f6rk", "given" : "Mats", "non-dropping-particle" : "", "parse-names" : false, "suffix" : "" }, { "dropping-particle" : "", "family" : "Short", "given" : "Frederick T.", "non-dropping-particle" : "", "parse-names" : false, "suffix" : "" }, { "dropping-particle" : "", "family" : "Mcleod", "given" : "Elizabeth", "non-dropping-particle" : "", "parse-names" : false, "suffix" : "" }, { "dropping-particle" : "", "family" : "Beer", "given" : "S.", "non-dropping-particle" : "", "parse-names" : false, "suffix" : "" } ], "collection-title" : "IUCN, Gland, Switzerland. 56pp.", "container-title" : "IUCN Resilience Science Group Working Paper Series", "id" : "ITEM-1", "issue" : "3", "issued" : { "date-parts" : [ [ "2008" ] ] }, "number-of-pages" : "56 pp", "publisher-place" : "IUCN, Gland, Switzerland, 56 pp", "title" : "Managing seagrasses for resilience to climate change", "type" : "report", "volume" : "3" }, "uris" : [ "http://www.mendeley.com/documents/?uuid=0906cc3a-969e-4a95-8a53-bb7b3600cbf4", "http://www.mendeley.com/documents/?uuid=b2e6f2ca-aff1-4d57-92bc-d75974c43be2" ] }, { "id" : "ITEM-2", "itemData" : { "DOI" : "10.1016/S0304-3770(98)00117-X", "ISBN" : "1603862110", "ISSN" : "03043770", "author" : [ { "dropping-particle" : "", "family" : "Short", "given" : "Frederick T.", "non-dropping-particle" : "", "parse-names" : false, "suffix" : "" }, { "dropping-particle" : "", "family" : "Neckles", "given" : "Hilary A", "non-dropping-particle" : "", "parse-names" : false, "suffix" : "" } ], "container-title" : "Aquatic Botany", "id" : "ITEM-2", "issue" : "3-4", "issued" : { "date-parts" : [ [ "1999", "4" ] ] }, "page" : "169-196", "title" : "The effects of global climate change on seagrasses", "type" : "article-journal", "volume" : "63" }, "uris" : [ "http://www.mendeley.com/documents/?uuid=21be6afd-584e-4a4f-b64d-034a9342a576", "http://www.mendeley.com/documents/?uuid=df19eb5a-5a1d-45f5-a8bb-40d9b92f5e88" ] }, { "id" : "ITEM-3", "itemData" : { "DOI" : "10.1017/S0376892902000127", "ISSN" : "0376-8929", "author" : [ { "dropping-particle" : "", "family" : "Duarte", "given" : "Carlos M.", "non-dropping-particle" : "", "parse-names" : false, "suffix" : "" } ], "container-title" : "Environmental Conservation", "id" : "ITEM-3", "issue" : "2", "issued" : { "date-parts" : [ [ "2002", "8" ] ] }, "page" : "192-206", "title" : "The future of seagrass meadows", "type" : "article-journal", "volume" : "29" }, "uris" : [ "http://www.mendeley.com/documents/?uuid=72af601a-6f3f-40e9-b4d6-7c7191ee375d", "http://www.mendeley.com/documents/?uuid=17443d77-3ae5-4ca9-9bee-b2aed419f934" ] } ], "mendeley" : { "formattedCitation" : "(Bj\u00f6rk, Short, Mcleod, &amp; Beer, 2008; C. M. Duarte, 2002; Short &amp; Neckles, 1999)", "plainTextFormattedCitation" : "(Bj\u00f6rk, Short, Mcleod, &amp; Beer, 2008; C. M. Duarte, 2002; Short &amp; Neckles, 1999)", "previouslyFormattedCitation" : "(Bj\u00f6rk, Short, Mcleod, &amp; Beer, 2008; C. M. Duarte, 2002; Short &amp; Neckles, 1999)"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(Björk</w:t>
      </w:r>
      <w:r w:rsidRPr="008608AA">
        <w:rPr>
          <w:rFonts w:eastAsia="Droid Sans Fallback"/>
          <w:noProof/>
        </w:rPr>
        <w:t xml:space="preserve"> et al</w:t>
      </w:r>
      <w:r w:rsidR="007B0660" w:rsidRPr="008608AA">
        <w:rPr>
          <w:rFonts w:eastAsia="Droid Sans Fallback"/>
          <w:noProof/>
        </w:rPr>
        <w:t>.</w:t>
      </w:r>
      <w:r w:rsidRPr="008608AA">
        <w:rPr>
          <w:rFonts w:eastAsia="Droid Sans Fallback"/>
          <w:noProof/>
        </w:rPr>
        <w:t>, 2008; Duarte, 2002; Short &amp; Neckles, 1999)</w:t>
      </w:r>
      <w:r w:rsidRPr="008608AA">
        <w:rPr>
          <w:rFonts w:eastAsia="Droid Sans Fallback"/>
        </w:rPr>
        <w:fldChar w:fldCharType="end"/>
      </w:r>
      <w:r w:rsidRPr="008608AA">
        <w:rPr>
          <w:rFonts w:eastAsia="Droid Sans Fallback"/>
        </w:rPr>
        <w:t xml:space="preserve">. Among the overall potential impacts of climate change, three major threats are associated with intertidal habitat forming species: increases in sea surface temperature (e.g. </w:t>
      </w:r>
      <w:r w:rsidRPr="008608AA">
        <w:rPr>
          <w:rFonts w:eastAsia="Droid Sans Fallback"/>
        </w:rPr>
        <w:fldChar w:fldCharType="begin" w:fldLock="1"/>
      </w:r>
      <w:r w:rsidRPr="008608AA">
        <w:rPr>
          <w:rFonts w:eastAsia="Droid Sans Fallback"/>
        </w:rPr>
        <w:instrText>ADDIN CSL_CITATION { "citationItems" : [ { "id" : "ITEM-1", "itemData" : { "DOI" : "10.1038/NCLIMATE1533", "ISSN" : "1758-678X", "author" : [ { "dropping-particle" : "", "family" : "Jord\u00e0", "given" : "Gabriel", "non-dropping-particle" : "", "parse-names" : false, "suffix" : "" }, { "dropping-particle" : "", "family" : "Marb\u00e0", "given" : "N\u00faria", "non-dropping-particle" : "", "parse-names" : false, "suffix" : "" }, { "dropping-particle" : "", "family" : "Duarte", "given" : "Carlos M.", "non-dropping-particle" : "", "parse-names" : false, "suffix" : "" } ], "container-title" : "Nature Climate Change", "id" : "ITEM-1", "issued" : { "date-parts" : [ [ "2012", "5" ] ] }, "page" : "821\u2013824", "publisher" : "Nature Publishing Group", "title" : "Mediterranean seagrass vulnerable to regional climate warming", "type" : "article-journal", "volume" : "2" }, "uris" : [ "http://www.mendeley.com/documents/?uuid=1a6c9a89-f1cd-40b0-b540-4e04aa7c1f4a", "http://www.mendeley.com/documents/?uuid=dd54ccf0-11f1-410b-9b9f-0d47b2b05c28" ] } ], "mendeley" : { "formattedCitation" : "(Jord\u00e0 et al., 2012a)", "manualFormatting" : "Jord\u00e0 et al., 2012)", "plainTextFormattedCitation" : "(Jord\u00e0 et al., 2012a)", "previouslyFormattedCitation" : "(Jord\u00e0 et al., 2012a)"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Jordà et al., 2012)</w:t>
      </w:r>
      <w:r w:rsidRPr="008608AA">
        <w:rPr>
          <w:rFonts w:eastAsia="Droid Sans Fallback"/>
        </w:rPr>
        <w:fldChar w:fldCharType="end"/>
      </w:r>
      <w:r w:rsidRPr="008608AA">
        <w:rPr>
          <w:rFonts w:eastAsia="Droid Sans Fallback"/>
        </w:rPr>
        <w:t xml:space="preserve">, sea level (e.g. </w:t>
      </w:r>
      <w:r w:rsidRPr="008608AA">
        <w:rPr>
          <w:rFonts w:eastAsia="Droid Sans Fallback"/>
        </w:rPr>
        <w:fldChar w:fldCharType="begin" w:fldLock="1"/>
      </w:r>
      <w:r w:rsidRPr="008608AA">
        <w:rPr>
          <w:rFonts w:eastAsia="Droid Sans Fallback"/>
        </w:rPr>
        <w:instrText>ADDIN CSL_CITATION { "citationItems" : [ { "id" : "ITEM-1", "itemData" : { "DOI" : "10.1111/gcb.12218", "ISSN" : "1354-1013", "PMID" : "23564697", "abstract" : "The distribution and abundance of seagrass ecosystems could change significantly over the coming century due to sea level rise (SLR). Coastal managers require mechanistic understanding of the processes affecting seagrass response to SLR to maximize their conservation and associated provision of ecosystem services. In Moreton Bay, Queensland, Australia, vast seagrass meadows supporting populations of sea turtles and dugongs are juxtaposed with the multiple stressors associated with a large and rapidly expanding human population. Here, the interactive effects of predicted SLR, changes in water clarity, and land use on future distributions of seagrass in Moreton Bay were quantified. A habitat distribution model of present day seagrass in relation to benthic irradiance and wave height was developed which correctly classified habitats in 83% of cases. Spatial predictions of seagrass and presence derived from the model and bathymetric data were used to initiate a SLR inundation model. Bathymetry was iteratively modified based on SLR and sedimentary accretion in seagrass to simulate potential seagrass habitat at 10 year time steps until 2100. The area of seagrass habitat was predicted to decline by 17% by 2100 under a scenario of SLR of 1.1 m. A scenario including the removal of impervious surfaces, such as roads and houses, from newly inundated regions, demonstrated that managed retreat of the shoreline could potentially reduce the overall decline in seagrass habitat to just 5%. The predicted reduction in area of seagrass habitat could be offset by an improvement in water clarity of 30%. Greater improvements in water clarity would be necessary for larger magnitudes of SLR. Management to improve water quality will provide present and future benefits to seagrasses under climate change and should be a priority for managers seeking to compensate for the effects of global change on these valuable habitats.", "author" : [ { "dropping-particle" : "", "family" : "Saunders", "given" : "Megan I", "non-dropping-particle" : "", "parse-names" : false, "suffix" : "" }, { "dropping-particle" : "", "family" : "Leon", "given" : "Javier", "non-dropping-particle" : "", "parse-names" : false, "suffix" : "" }, { "dropping-particle" : "", "family" : "Phinn", "given" : "Stuart", "non-dropping-particle" : "", "parse-names" : false, "suffix" : "" }, { "dropping-particle" : "", "family" : "Callaghan", "given" : "David P", "non-dropping-particle" : "", "parse-names" : false, "suffix" : "" }, { "dropping-particle" : "", "family" : "O'Brien", "given" : "Katherine R", "non-dropping-particle" : "", "parse-names" : false, "suffix" : "" }, { "dropping-particle" : "", "family" : "Roelfsema", "given" : "Chris M", "non-dropping-particle" : "", "parse-names" : false, "suffix" : "" }, { "dropping-particle" : "", "family" : "Lovelock", "given" : "Catherine E", "non-dropping-particle" : "", "parse-names" : false, "suffix" : "" }, { "dropping-particle" : "", "family" : "Lyons", "given" : "Mitchell B.", "non-dropping-particle" : "", "parse-names" : false, "suffix" : "" }, { "dropping-particle" : "", "family" : "Mumby", "given" : "Peter J", "non-dropping-particle" : "", "parse-names" : false, "suffix" : "" } ], "container-title" : "Global Change Biology", "id" : "ITEM-1", "issue" : "8", "issued" : { "date-parts" : [ [ "2013", "4" ] ] }, "page" : "2569-2583", "title" : "Coastal retreat and improved water quality mitigate losses of seagrass from sea level rise.", "type" : "article-journal", "volume" : "19" }, "uris" : [ "http://www.mendeley.com/documents/?uuid=31d819eb-74e2-477f-b202-29795189f032", "http://www.mendeley.com/documents/?uuid=2a9dd8da-1652-424b-a4fc-f681eb06b188" ] } ], "mendeley" : { "formattedCitation" : "(Saunders et al., 2013)", "manualFormatting" : "Saunders et al., 2013)", "plainTextFormattedCitation" : "(Saunders et al., 2013)", "previouslyFormattedCitation" : "(Saunders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Saunders et al., 2013)</w:t>
      </w:r>
      <w:r w:rsidRPr="008608AA">
        <w:rPr>
          <w:rFonts w:eastAsia="Droid Sans Fallback"/>
        </w:rPr>
        <w:fldChar w:fldCharType="end"/>
      </w:r>
      <w:r w:rsidRPr="008608AA">
        <w:rPr>
          <w:rFonts w:eastAsia="Droid Sans Fallback"/>
        </w:rPr>
        <w:t xml:space="preserve">, and frequency and intensity of storms together with their associated surge and swells (e.g. </w:t>
      </w:r>
      <w:r w:rsidRPr="008608AA">
        <w:rPr>
          <w:rFonts w:eastAsia="Droid Sans Fallback"/>
        </w:rPr>
        <w:fldChar w:fldCharType="begin" w:fldLock="1"/>
      </w:r>
      <w:r w:rsidRPr="008608AA">
        <w:rPr>
          <w:rFonts w:eastAsia="Droid Sans Fallback"/>
        </w:rPr>
        <w:instrText>ADDIN CSL_CITATION { "citationItems" : [ { "id" : "ITEM-1", "itemData" : { "DOI" : "10.1016/j.coastaleng.2013.11.005", "ISSN" : "03783839", "author" : [ { "dropping-particle" : "", "family" : "Ondiviela", "given" : "Barbara", "non-dropping-particle" : "", "parse-names" : false, "suffix" : "" }, { "dropping-particle" : "", "family" : "Losada", "given" : "Inigo J.", "non-dropping-particle" : "", "parse-names" : false, "suffix" : "" }, { "dropping-particle" : "", "family" : "Lara", "given" : "Javier L.", "non-dropping-particle" : "", "parse-names" : false, "suffix" : "" }, { "dropping-particle" : "", "family" : "Maza", "given" : "Maria", "non-dropping-particle" : "", "parse-names" : false, "suffix" : "" }, { "dropping-particle" : "", "family" : "Galv\u00e1n", "given" : "Cristina", "non-dropping-particle" : "", "parse-names" : false, "suffix" : "" }, { "dropping-particle" : "", "family" : "Bouma", "given" : "Tjeerd J.", "non-dropping-particle" : "", "parse-names" : false, "suffix" : "" }, { "dropping-particle" : "", "family" : "Belzen", "given" : "Jim", "non-dropping-particle" : "van", "parse-names" : false, "suffix" : "" } ], "container-title" : "Coastal Engineering", "id" : "ITEM-1", "issued" : { "date-parts" : [ [ "2014", "5" ] ] }, "page" : "158-168", "publisher" : "Elsevier B.V.", "title" : "The role of seagrasses in coastal protection in a changing climate", "type" : "article-journal", "volume" : "87" }, "uris" : [ "http://www.mendeley.com/documents/?uuid=c2551c2a-dd6c-4899-8961-f72150a38cf8", "http://www.mendeley.com/documents/?uuid=70ef8519-9e13-4e8e-bcc8-464ea4f3d47e" ] } ], "mendeley" : { "formattedCitation" : "(Ondiviela et al., 2014)", "manualFormatting" : "Ondiviela et al., 2014)", "plainTextFormattedCitation" : "(Ondiviela et al., 2014)", "previouslyFormattedCitation" : "(Ondiviela et al.,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Ondiviela et al., 2014)</w:t>
      </w:r>
      <w:r w:rsidRPr="008608AA">
        <w:rPr>
          <w:rFonts w:eastAsia="Droid Sans Fallback"/>
        </w:rPr>
        <w:fldChar w:fldCharType="end"/>
      </w:r>
      <w:r w:rsidRPr="008608AA">
        <w:rPr>
          <w:rFonts w:eastAsia="Droid Sans Fallback"/>
        </w:rPr>
        <w:t xml:space="preserve">. </w:t>
      </w:r>
    </w:p>
    <w:p w14:paraId="42321FFD" w14:textId="77777777" w:rsidR="008861AE" w:rsidRPr="008608AA" w:rsidRDefault="008861AE" w:rsidP="00EE708F">
      <w:pPr>
        <w:suppressAutoHyphens/>
        <w:rPr>
          <w:rFonts w:eastAsia="Droid Sans Fallback"/>
        </w:rPr>
      </w:pPr>
    </w:p>
    <w:p w14:paraId="158ADE1B" w14:textId="4BBB23CD" w:rsidR="00490494" w:rsidRPr="008608AA" w:rsidRDefault="00490494" w:rsidP="00EE708F">
      <w:pPr>
        <w:suppressAutoHyphens/>
        <w:rPr>
          <w:rFonts w:eastAsia="Droid Sans Fallback"/>
        </w:rPr>
      </w:pPr>
      <w:r w:rsidRPr="008608AA">
        <w:rPr>
          <w:rFonts w:eastAsia="Droid Sans Fallback"/>
        </w:rPr>
        <w:t xml:space="preserve">Intertidal and near-shore benthic habitats are characterized by strong vertical patterns in the distribution of organisms </w:t>
      </w:r>
      <w:r w:rsidRPr="008608AA">
        <w:rPr>
          <w:rFonts w:eastAsia="Droid Sans Fallback"/>
        </w:rPr>
        <w:fldChar w:fldCharType="begin" w:fldLock="1"/>
      </w:r>
      <w:r w:rsidRPr="008608AA">
        <w:rPr>
          <w:rFonts w:eastAsia="Droid Sans Fallback"/>
        </w:rPr>
        <w:instrText>ADDIN CSL_CITATION { "citationItems" : [ { "id" : "ITEM-1", "itemData" : { "DOI" : "10.1073/pnas.0904946106", "ISBN" : "0027-8424", "ISSN" : "0027-8424", "PMID" : "19541649", "abstract" : "Ecological responses to climate change may occur gradually with changing conditions, or they may occur rapidly once some threshold or \"tipping point\" has been reached. Here, we use a high-resolution, 30-year data set on the upper vertical limit of a high intertidal alga to demonstrate that distributional shifts in this species do not keep pace with gradual trends in air temperature or sea level, but rather occur in sudden, discrete steps. These steps occur when unusually warm air temperatures are associated with unusually calm seas and are contingent in the sense that neither atmospheric nor sea conditions by themselves were sufficient to generate the underlying physiological challenge. Shifts in the upper limit did not correlate with large environmental perturbations such as El Ni\u00f1os; rather, they appeared to be associated with stochastic departures from otherwise gradual environmental trends. Our results exemplify the view that multiple environmental factors should be considered when attempting to understand ecological responses to climate change. Furthermore, punctuated responses such as those we have identified urge caution when attempting to infer causal mechanisms and project future distributional shifts using data of limited temporal resolution or scope.", "author" : [ { "dropping-particle" : "", "family" : "Harley", "given" : "Christopher D G", "non-dropping-particle" : "", "parse-names" : false, "suffix" : "" }, { "dropping-particle" : "", "family" : "Paine", "given" : "Robert T", "non-dropping-particle" : "", "parse-names" : false, "suffix" : "" } ], "container-title" : "Proceedings of the National Academy of Sciences of the United States of America", "id" : "ITEM-1", "issued" : { "date-parts" : [ [ "2009" ] ] }, "page" : "11172-11176", "title" : "Contingencies and compounded rare perturbations dictate sudden distributional shifts during periods of gradual climate change.", "type" : "article-journal", "volume" : "106" }, "uris" : [ "http://www.mendeley.com/documents/?uuid=444ac704-9ca9-45b6-9036-e62d81103f4a", "http://www.mendeley.com/documents/?uuid=aebf1dc0-7179-48b6-9ff7-8be203c605ab" ] } ], "mendeley" : { "formattedCitation" : "(Harley &amp; Paine, 2009)", "plainTextFormattedCitation" : "(Harley &amp; Paine, 2009)", "previouslyFormattedCitation" : "(Harley &amp; Paine, 2009)"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(Harley &amp; Paine, 2009)</w:t>
      </w:r>
      <w:r w:rsidRPr="008608AA">
        <w:rPr>
          <w:rFonts w:eastAsia="Droid Sans Fallback"/>
        </w:rPr>
        <w:fldChar w:fldCharType="end"/>
      </w:r>
      <w:r w:rsidRPr="008608AA">
        <w:rPr>
          <w:rFonts w:eastAsia="Droid Sans Fallback"/>
        </w:rPr>
        <w:t xml:space="preserve">, being elevation relative to mean sea level a critical variable for the establishment and maintenance of biotic coastal communities </w:t>
      </w:r>
      <w:r w:rsidRPr="008608AA">
        <w:rPr>
          <w:rFonts w:eastAsia="Droid Sans Fallback"/>
        </w:rPr>
        <w:fldChar w:fldCharType="begin" w:fldLock="1"/>
      </w:r>
      <w:r w:rsidRPr="008608AA">
        <w:rPr>
          <w:rFonts w:eastAsia="Droid Sans Fallback"/>
        </w:rPr>
        <w:instrText>ADDIN CSL_CITATION { "citationItems" : [ { "id" : "ITEM-1", "itemData" : { "abstract" : "EVOLUCI\u00d3N DE UNA MARISMA Y CAMBIOS DEL NIVEL DEL MAR EN EL ESTUARIO DE GERNIKA (SUR DEL GOLFO DE VIZCAYA): LOS FORAMIN\u00cdFEROS COMO INDICADORES DE MAREAS. \u2013 La distribuci\u00f3n ecol\u00f3gica de algunas especies de foramin\u00ed- feros que viven en estuarios pueden ser utilizadas en la interpretaci\u00f3n de antiguas l\u00edneas de costa. Existe una clara relaci\u00f3n entre el nivel mareal y la distribuci\u00f3n de especies concretas de foramin\u00edferos bent\u00f3nicos. La caracterizaci\u00f3n de estos niveles de mareas basados en los foramin\u00edferos bent\u00f3nicos en cuatro sondeos de este estuario, permite interpretar los cambios en estos ambientes transicionales durante el Holoceno. El estuario ha sido rellenado durante los \u00faltimos 6500 a\u00f1os, siguiendo un modelo general acrecional. Las marismas han existido en esta \u00e1rea desde hace unos 4600 a\u00f1os. Este modelo describe la evoluci\u00f3n de los subambientes de marisma, en relaci\u00f3n con cambios en el nivel del mar, materializado por una pulsaci\u00f3n transgresiva que evidencia una interrupci\u00f3n en el proceso acrecional, datada de 1910 \u00b1 50 BP", "author" : [ { "dropping-particle" : "", "family" : "Pascual", "given" : "Ana", "non-dropping-particle" : "", "parse-names" : false, "suffix" : "" }, { "dropping-particle" : "", "family" : "Rodriguez-Lazaro", "given" : "Julio", "non-dropping-particle" : "", "parse-names" : false, "suffix" : "" } ], "container-title" : "Scientia Marina", "id" : "ITEM-1", "issue" : "70S1", "issued" : { "date-parts" : [ [ "2006" ] ] }, "page" : "101-117", "title" : "Marsh development and sea level changes in the Gernika Estuary (southern Bay of Biscay): foraminifers as tidal indicators", "type" : "article-journal", "volume" : "70S1" }, "uris" : [ "http://www.mendeley.com/documents/?uuid=a3b2c722-2e75-4109-b53d-265e8fb04443", "http://www.mendeley.com/documents/?uuid=0251f2ee-73a8-4b3a-b937-249cefc7a2ce" ] } ], "mendeley" : { "formattedCitation" : "(A. Pascual &amp; Rodriguez-Lazaro, 2006)", "plainTextFormattedCitation" : "(A. Pascual &amp; Rodriguez-Lazaro, 2006)", "previouslyFormattedCitation" : "(A. Pascual &amp; Rodriguez-Lazaro,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(Pascual &amp; Rodriguez-Lazaro, 2006)</w:t>
      </w:r>
      <w:r w:rsidRPr="008608AA">
        <w:rPr>
          <w:rFonts w:eastAsia="Droid Sans Fallback"/>
        </w:rPr>
        <w:fldChar w:fldCharType="end"/>
      </w:r>
      <w:r w:rsidRPr="008608AA">
        <w:rPr>
          <w:rFonts w:eastAsia="Droid Sans Fallback"/>
        </w:rPr>
        <w:t xml:space="preserve">. Consequently, zonation patterns are likely to shift following the environmental changes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"Lubchenco", "given" : "J.", "non-dropping-particle" : "", "parse-names" : false, "suffix" : "" }, { "dropping-particle" : "", "family" : "Navarrete", "given" : "S.A.", "non-dropping-particle" : "", "parse-names" : false, "suffix" : "" }, { "dropping-particle" : "", "family" : "Tissot", "given" : "B.N.", "non-dropping-particle" : "", "parse-names" : false, "suffix" : "" }, { "dropping-particle" : "", "family" : "Castilla", "given" : "J.C.", "non-dropping-particle" : "", "parse-names" : false, "suffix" : "" } ], "container-title" : "Earth System Responses to Global Change", "id" : "ITEM-1", "issued" : { "date-parts" : [ [ "1993" ] ] }, "page" : "147-166", "publisher" : "Academic Press", "publisher-place" : "San Diego, CA", "title" : "Possible ecological responses to global climate change: nearshore benthis biota of northeastern Pacific coastal ecosystems", "type" : "chapter" }, "uris" : [ "http://www.mendeley.com/documents/?uuid=d485db1e-c31e-4000-9532-cf8a21e9ffd7" ] } ], "mendeley" : { "formattedCitation" : "(Lubchenco, Navarrete, Tissot, &amp; Castilla, 1993)", "plainTextFormattedCitation" : "(Lubchenco, Navarrete, Tissot, &amp; Castilla, 1993)", "previouslyFormattedCitation" : "(Lubchenco, Navarrete, Tissot, &amp; Castilla, 1993)"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(Lubchenco</w:t>
      </w:r>
      <w:r w:rsidRPr="008608AA">
        <w:rPr>
          <w:rFonts w:eastAsia="Droid Sans Fallback"/>
          <w:noProof/>
        </w:rPr>
        <w:t xml:space="preserve"> et al., 1993)</w:t>
      </w:r>
      <w:r w:rsidRPr="008608AA">
        <w:rPr>
          <w:rFonts w:eastAsia="Droid Sans Fallback"/>
        </w:rPr>
        <w:fldChar w:fldCharType="end"/>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"DOI" : "10.1016/j.cub.2011.09.028", "ISSN" : "1879-0445", "PMID" : "22036178", "abstract" : "In recent decades, global climate change [1] has caused profound biological changes across the planet [2-6]. However, there is a great disparity in the strength of evidence among different ecosystems and between hemispheres: changes on land have been well documented through long-term studies, but similar direct evidence for impacts of warming is virtually absent from the oceans [3, 7], where only a few studies on individual species of intertidal invertebrates, plankton, and commercially important fish in the North Atlantic and North Pacific exist. This disparity of evidence is precarious for biological conservation because of the critical role of the marine realm in regulating the Earth's environmental and ecological functions, and the associated socioeconomic well-being of humans [8]. We interrogated a database of &gt;20,000 herbarium records of macroalgae collected in Australia since the 1940s and documented changes in communities and geographical distribution limits in both the Indian and Pacific Oceans, consistent with rapid warming over the past five decades [9, 10]. We show that continued warming might drive potentially hundreds of species toward and beyond the edge of the Australian continent where sustained retreat is impossible. The potential for global extinctions is profound considering the many endemic seaweeds and seaweed-dependent marine organisms in temperate Australia.", "author" : [ { "dropping-particle" : "", "family" : "Wernberg", "given" : "Thomas", "non-dropping-particle" : "", "parse-names" : false, "suffix" : "" }, { "dropping-particle" : "", "family" : "Russell", "given" : "Bayden D", "non-dropping-particle" : "", "parse-names" : false, "suffix" : "" }, { "dropping-particle" : "", "family" : "Thomsen", "given" : "Mads S", "non-dropping-particle" : "", "parse-names" : false, "suffix" : "" }, { "dropping-particle" : "", "family" : "Gurgel", "given" : "C Frederico D", "non-dropping-particle" : "", "parse-names" : false, "suffix" : "" }, { "dropping-particle" : "", "family" : "Bradshaw", "given" : "Corey J a", "non-dropping-particle" : "", "parse-names" : false, "suffix" : "" }, { "dropping-particle" : "", "family" : "Poloczanska", "given" : "Elvira S", "non-dropping-particle" : "", "parse-names" : false, "suffix" : "" }, { "dropping-particle" : "", "family" : "Connell", "given" : "Sean D", "non-dropping-particle" : "", "parse-names" : false, "suffix" : "" } ], "container-title" : "Current biology : CB", "id" : "ITEM-1", "issue" : "21", "issued" : { "date-parts" : [ [ "2011", "11" ] ] }, "page" : "1828-32", "publisher" : "Elsevier Ltd", "title" : "Seaweed communities in retreat from ocean warming.", "type" : "article-journal", "volume" : "21" }, "uris" : [ "http://www.mendeley.com/documents/?uuid=f3cadda4-2a8b-4f15-a2c0-7b97a1ae5d35", "http://www.mendeley.com/documents/?uuid=4624922c-6db0-4a73-a3b3-14e1fc5aed3b" ] } ], "mendeley" : { "formattedCitation" : "(Wernberg et al., 2011)", "manualFormatting" : "Wernberg et al. (2011)", "plainTextFormattedCitation" : "(Wernberg et al., 2011)", "previouslyFormattedCitation" : "(Wernberg et al.,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Wernberg et al. (2011)</w:t>
      </w:r>
      <w:r w:rsidRPr="008608AA">
        <w:rPr>
          <w:rFonts w:eastAsia="Droid Sans Fallback"/>
        </w:rPr>
        <w:fldChar w:fldCharType="end"/>
      </w:r>
      <w:r w:rsidRPr="008608AA">
        <w:rPr>
          <w:rFonts w:eastAsia="Droid Sans Fallback"/>
        </w:rPr>
        <w:t xml:space="preserve"> found several large and common species retreated south in seaweed communities, which could have substantial negative implications for ecological function and biodiversity.</w:t>
      </w:r>
    </w:p>
    <w:p w14:paraId="48259C33" w14:textId="77777777" w:rsidR="008861AE" w:rsidRPr="008608AA" w:rsidRDefault="008861AE" w:rsidP="00EE708F">
      <w:pPr>
        <w:suppressAutoHyphens/>
        <w:rPr>
          <w:rFonts w:eastAsia="Droid Sans Fallback"/>
        </w:rPr>
      </w:pPr>
    </w:p>
    <w:p w14:paraId="58BCD786" w14:textId="77777777" w:rsidR="003247C5" w:rsidRPr="008608AA" w:rsidRDefault="00490494" w:rsidP="00EE708F">
      <w:pPr>
        <w:suppressAutoHyphens/>
        <w:rPr>
          <w:rFonts w:eastAsia="Droid Sans Fallback"/>
          <w:lang w:val="de-DE"/>
        </w:rPr>
      </w:pPr>
      <w:r w:rsidRPr="008608AA">
        <w:rPr>
          <w:rFonts w:eastAsia="Droid Sans Fallback"/>
        </w:rPr>
        <w:t xml:space="preserve">Temperature has important implications on the geographic patterns of seagrass species abundance and distribution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"Walker", "given" : "D.I", "non-dropping-particle" : "", "parse-names" : false, "suffix" : "" } ], "container-title" : "Journal of the Royal Society of Western Australia", "id" : "ITEM-1", "issued" : { "date-parts" : [ [ "1991" ] ] }, "page" : "71-77", "title" : "The effect of sea temperature on seagrasses and algae on the Western Australian coastline", "type" : "article-journal", "volume" : "74" }, "uris" : [ "http://www.mendeley.com/documents/?uuid=22cc9b9c-d00d-4809-93b9-5495fe739024", "http://www.mendeley.com/documents/?uuid=f93bcbf8-fe1b-4080-823b-102654a4f0ba" ] } ], "mendeley" : { "formattedCitation" : "(D. . Walker, 1991)", "plainTextFormattedCitation" : "(D. . Walker, 1991)", "previouslyFormattedCitation" : "(D. . Walker, 1991)"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(Walker, 1991)</w:t>
      </w:r>
      <w:r w:rsidRPr="008608AA">
        <w:rPr>
          <w:rFonts w:eastAsia="Droid Sans Fallback"/>
        </w:rPr>
        <w:fldChar w:fldCharType="end"/>
      </w:r>
      <w:r w:rsidRPr="008608AA">
        <w:rPr>
          <w:rFonts w:eastAsia="Droid Sans Fallback"/>
        </w:rPr>
        <w:t xml:space="preserve">, being considered as one of the main variables controlling the seagrasses distribution at global scale </w:t>
      </w:r>
      <w:r w:rsidRPr="008608AA">
        <w:rPr>
          <w:rFonts w:eastAsia="Droid Sans Fallback"/>
        </w:rPr>
        <w:fldChar w:fldCharType="begin" w:fldLock="1"/>
      </w:r>
      <w:r w:rsidRPr="008608AA">
        <w:rPr>
          <w:rFonts w:eastAsia="Droid Sans Fallback"/>
        </w:rPr>
        <w:instrText>ADDIN CSL_CITATION { "citationItems" : [ { "id" : "ITEM-1", "itemData" : { "abstract" : "The basic physical requirements of seagrasses are sufficient light, a suitable substratum and moderate levels of wave exposure, but the presence and distribution of seagrasses around the world are also regulated by a number of other factors. The basic requirements for seagrass growth are similar to that of terrestrial plants. However, life in the aquatic environment differs considerably in many respects from the terrestrial environment, and some resources may be limited in accessibility or quantity. Besides basic physical and chemical requirements for growth, biological competition from other species may also influence the growth and distribution of the seagrasses. In this chapter the regulating factors of seagrass growth and distribution will be described along with a short description of the possible differences between the four European seagrass species that might exist.", "author" : [ { "dropping-particle" : "", "family" : "Greve", "given" : "Tina M.", "non-dropping-particle" : "", "parse-names" : false, "suffix" : "" }, { "dropping-particle"</w:instrText>
      </w:r>
      <w:r w:rsidRPr="008608AA">
        <w:rPr>
          <w:rFonts w:eastAsia="Droid Sans Fallback"/>
          <w:lang w:val="de-DE"/>
        </w:rPr>
        <w:instrText xml:space="preserve"> : "", "family" : "Binzer", "given" : "T.", "non-dropping-particle" : "", "parse-names" : false, "suffix" : "" } ], "container-title" : "European seagrasses: an introduction to monitoring and management", "editor" : [ { "dropping-particle" : "", "family" : "Borum", "given" : "J.", "non-dropping-particle" : "", "parse-names" : false, "suffix" : "" }, { "dropping-particle" : "", "family" : "Duarte", "given" : "Carlos M.", "non-dropping-particle" : "", "parse-names" : false, "suffix" : "" }, { "dropping-particle" : "", "family" : "Krause-Jensen", "given" : "Dorte", "non-dropping-particle" : "", "parse-names" : false, "suffix" : "" }, { "dropping-particle" : "", "family" : "Greve", "given" : "Tina M.", "non-dropping-particle" : "", "parse-names" : false, "suffix" : "" } ], "id" : "ITEM-1", "issued" : { "date-parts" : [ [ "2004" ] ] }, "page" : "19-23", "publisher" : "EU project Monitoring and Managing of European Seagrasses", "title" : "Which factors regulate seagrass growth and distribution?", "type" : "chapter" }, "uris" : [ "http://www.mendeley.com/documents/?uuid=c22b4544-2af6-4500-a3a0-56ea67c45a19", "http://www.mendeley.com/documents/?uuid=c1e6f8cc-fb39-4217-b2fe-a9af5638a8a6" ] } ], "mendeley" : { "formattedCitation" : "(Greve &amp; Binzer, 2004)", "plainTextFormattedCitation" : "(Greve &amp; Binzer, 2004)", "previouslyFormattedCitation" : "(Greve &amp; Binzer, 2004)" }, "properties" : {  }, "schema" : "https://github.com/citation-style-language/schema/raw/master/csl-citation.json" }</w:instrText>
      </w:r>
      <w:r w:rsidRPr="008608AA">
        <w:rPr>
          <w:rFonts w:eastAsia="Droid Sans Fallback"/>
        </w:rPr>
        <w:fldChar w:fldCharType="separate"/>
      </w:r>
      <w:r w:rsidRPr="008608AA">
        <w:rPr>
          <w:rFonts w:eastAsia="Droid Sans Fallback"/>
          <w:noProof/>
          <w:lang w:val="de-DE"/>
        </w:rPr>
        <w:t>(Greve &amp; Binzer, 2004)</w:t>
      </w:r>
      <w:r w:rsidRPr="008608AA">
        <w:rPr>
          <w:rFonts w:eastAsia="Droid Sans Fallback"/>
        </w:rPr>
        <w:fldChar w:fldCharType="end"/>
      </w:r>
      <w:r w:rsidRPr="008608AA">
        <w:rPr>
          <w:rFonts w:eastAsia="Droid Sans Fallback"/>
          <w:lang w:val="de-DE"/>
        </w:rPr>
        <w:t xml:space="preserve">. </w:t>
      </w:r>
      <w:r w:rsidRPr="008608AA">
        <w:rPr>
          <w:rFonts w:eastAsia="Droid Sans Fallback"/>
        </w:rPr>
        <w:fldChar w:fldCharType="begin" w:fldLock="1"/>
      </w:r>
      <w:r w:rsidRPr="008608AA">
        <w:rPr>
          <w:rFonts w:eastAsia="Droid Sans Fallback"/>
          <w:lang w:val="de-DE"/>
        </w:rPr>
        <w:instrText>ADDIN CSL_CITATION { "citationItems" : [ { "id" : "ITEM-1", "itemData" : { "author" : [ { "dropping-particle" : "", "family" : "Waycott", "given" : "Michelle", "non-dropping-particle" : "", "parse-names" : false, "suffix" : "" }, { "dropping-particle" : "", "family" : "Collier", "given" : "Catherine", "non-dropping-particle" : "", "parse-names" : false, "suffix" : "" }, { "dropping-particle" : "", "family" : "Mcmahon", "given" : "Kathryn", "non-dropping-particle" : "", "parse-names" : false, "suffix" : "" }, { "dropping-particle" : "", "family" : "Ralph", "given" : "Peter", "non-dropping-particle" : "", "parse-names" : false, "suffix" : "" }, { "dropping-particle" : "", "family" : "Mckenzie", "given" : "Len", "non-dropping-particle" : "", "parse-names" : false, "suffix" : "" }, { "dropping-particle" : "", "family" : "Udy", "given" : "James", "non-dropping-particle" : "", "parse-names" : false, "suffix" : "" }, { "dropping-particle" : "", "family" : "Grech", "given" : "Alana", "non-dropping-particle" : "", "parse-names" : false, "suffix" : "" } ], "container-title" : "Climate Change and the Great Barrier Reef: A Vulnerability Assessment", "editor" : [ { "dropping-particle" : "", "family" : "Johnson", "given" : "J. E.", "non-dropping-particle" : "", "parse-names" : false, "suffix" : "" }, { "dropping-particle" : "", "family" : "Marshal", "given" : "P. A.", "non-dropping-particle" : "", "parse-names" : false, "suffix" : "" } ], "id" : "ITEM-1", "issued" : { "date-parts" : [ [ "2007" ] ] }, "page" : "193-299", "publisher" : "Great Barrier Reef Marine Park Authority and Australian Greenhouse Office", "publisher-place" : "Australia", "title" : "Vulnerability of seagrasses in the Great Barrier Reef to climate change", "type" : "chapter" }, "uris" : [ "http://www.mendeley.com/documents/?uuid=45660c09-08c3-43b2-a8f8-22fd53122e78", "http://www.mendeley.com/documents/?uuid=b5bd75d0-fc26-4a82-bdc9-244019709d33" ] } ], "mendeley" : { "formattedCitation" : "(Waycott et al., 2007)", "manualFormatting" : "Waycott et al. (2007)", "plainTextFormattedCitation" : "(Waycott et al., 2007)", "previouslyFormattedCitation" : "(Waycott et al., 2007)" }, "properties" : {  }, "schema" : "https://github.com/citation-style-language/schema/raw/master/csl-citation.json" }</w:instrText>
      </w:r>
      <w:r w:rsidRPr="008608AA">
        <w:rPr>
          <w:rFonts w:eastAsia="Droid Sans Fallback"/>
        </w:rPr>
        <w:fldChar w:fldCharType="separate"/>
      </w:r>
      <w:r w:rsidRPr="008608AA">
        <w:rPr>
          <w:rFonts w:eastAsia="Droid Sans Fallback"/>
          <w:noProof/>
          <w:lang w:val="de-DE"/>
        </w:rPr>
        <w:t>Waycott et al (2007)</w:t>
      </w:r>
      <w:r w:rsidRPr="008608AA">
        <w:rPr>
          <w:rFonts w:eastAsia="Droid Sans Fallback"/>
        </w:rPr>
        <w:fldChar w:fldCharType="end"/>
      </w:r>
      <w:r w:rsidRPr="008608AA">
        <w:rPr>
          <w:rFonts w:eastAsia="Droid Sans Fallback"/>
          <w:lang w:val="de-DE"/>
        </w:rPr>
        <w:t xml:space="preserve"> predicted that the greatest impact of climate change on seagrasses will be caused by increases in temperature, particularly in shallower habitats where seagrasses are present. </w:t>
      </w:r>
    </w:p>
    <w:p w14:paraId="41D0DA73" w14:textId="77777777" w:rsidR="003247C5" w:rsidRPr="008608AA" w:rsidRDefault="003247C5" w:rsidP="00EE708F">
      <w:pPr>
        <w:suppressAutoHyphens/>
        <w:rPr>
          <w:rFonts w:eastAsia="Droid Sans Fallback"/>
          <w:lang w:val="de-DE"/>
        </w:rPr>
      </w:pPr>
    </w:p>
    <w:p w14:paraId="1BE3B311" w14:textId="5FA51C19" w:rsidR="007F7607" w:rsidRPr="008608AA" w:rsidRDefault="00490494" w:rsidP="00EE708F">
      <w:pPr>
        <w:suppressAutoHyphens/>
        <w:rPr>
          <w:rFonts w:eastAsia="Droid Sans Fallback"/>
        </w:rPr>
      </w:pPr>
      <w:r w:rsidRPr="008608AA">
        <w:rPr>
          <w:rFonts w:eastAsia="Droid Sans Fallback"/>
        </w:rPr>
        <w:t xml:space="preserve">Temperature increase may also alter seagrass abundance through direct effects on flowering and seed germination </w:t>
      </w:r>
      <w:r w:rsidRPr="008608AA">
        <w:rPr>
          <w:rFonts w:eastAsia="Droid Sans Fallback"/>
        </w:rPr>
        <w:fldChar w:fldCharType="begin" w:fldLock="1"/>
      </w:r>
      <w:r w:rsidRPr="008608AA">
        <w:rPr>
          <w:rFonts w:eastAsia="Droid Sans Fallback"/>
        </w:rPr>
        <w:instrText>ADDIN CSL_CITATION { "citationItems" : [ { "id" : "ITEM-1", "itemData" : { "DOI" : "10.1007/s10750-008-9609-4", "ISSN" : "0018-8158", "author" : [ { "dropping-particle" : "", "family" : "Massa", "given" : "S. I.", "non-dropping-particle" : "", "parse-names" : false, "suffix" : "" }, { "dropping-particle" : "", "family" : "Arnaud-Haond", "given" : "S.", "non-dropping-particle" : "", "parse-names" : false, "suffix" : "" }, { "dropping-particle" : "", "family" : "Pearson", "given" : "Gareth A", "non-dropping-particle" : "", "parse-names" : false, "suffix" : "" }, { "dropping-particle" : "", "family" : "Serr\u00e3o", "given" : "E. A.", "non-dropping-particle" : "", "parse-names" : false, "suffix" : "" } ], "container-title" : "Hydrobiologia", "id" : "ITEM-1", "issue" : "1", "issued" : { "date-parts" : [ [ "2009", "10" ] ] }, "page" : "195-201", "title" : "Temperature tolerance and survival of intertidal populations of the seagrass Zostera noltii (Hornemann) in Southern Europe (Ria Formosa, Portugal)", "type" : "article-journal", "volume" : "619" }, "uris" : [ "http://www.mendeley.com/documents/?uuid=6e690d53-d9bc-498f-962c-7d79ed36ac78", "http://www.mendeley.com/documents/?uuid=5a005708-02b2-46b3-9415-152c8a0d4aef" ] }, { "id" : "ITEM-2", "itemData" : { "DOI" : "10.1007/s12237-012-9521-z", "ISSN" : "1559-2723", "author" : [ { "dropping-particle" : "", "family" : "Olsen", "given" : "Ylva S.", "non-dropping-particle" : "", "parse-names" : false, "suffix" : "" }, { "dropping-particle" : "", "family" : "S\u00e1nchez-Camacho", "given" : "Mar\u00eda", "non-dropping-particle" : "", "parse-names" : false, "suffix" : "" }, { "dropping-particle" : "", "family" : "Marb\u00e0", "given" : "N\u00faria", "non-dropping-particle" : "", "parse-names" : false, "suffix" : "" }, { "dropping-particle" : "", "family" : "Duarte", "given" : "Carlos M.", "non-dropping-particle" : "", "parse-names" : false, "suffix" : "" } ], "container-title" : "Estuaries and Coasts", "id" : "ITEM-2", "issue" : "5", "issued" : { "date-parts" : [ [ "2012", "6" ] ] }, "page" : "1205-1213", "title" : "Mediterranean Seagrass Growth and Demography Responses to Experimental Warming", "type" : "article-journal", "volume" : "35" }, "uris" : [ "http://www.mendeley.com/documents/?uuid=84e229e4-8c3b-4b01-b0f6-035f51aba95e", "http://www.mendeley.com/documents/?uuid=f536a4ff-dde4-49ac-a1a9-400a9fff2371" ] }, { "id" : "ITEM-3", "itemData" : { "DOI" : "10.1038/NCLIMATE1533", "ISSN" : "1758-678X", "author" : [ { "dropping-particle" : "", "family" : "Jor</w:instrText>
      </w:r>
      <w:r w:rsidRPr="002365C4">
        <w:rPr>
          <w:rFonts w:eastAsia="Droid Sans Fallback"/>
          <w:lang w:val="fr-FR"/>
        </w:rPr>
        <w:instrText>d\u00e0", "given" : "Gabriel", "non-dropping-particle" : "", "parse-names" : false, "suffix" : "" }, { "dropping-particle" : "", "family" : "Marb\u00e0", "given" : "N\u00faria", "non-dropping-particle" : "", "parse-names" : false, "suffix" : "" }, { "dropping-particle" : "", "family" : "Duarte", "given" : "Carlos M.", "non-dropping-particle" : "", "</w:instrText>
      </w:r>
      <w:r w:rsidRPr="00A3137A">
        <w:rPr>
          <w:rFonts w:eastAsia="Droid Sans Fallback"/>
          <w:lang w:val="fr-FR"/>
        </w:rPr>
        <w:instrText>parse-names" : false, "suffix" : "" } ], "container-title" : "Nature Climate Change", "id" : "ITEM-3", "issued" : { "date-parts" : [ [ "2012", "5" ] ] }, "page" : "821\u2013824", "publisher" : "Nature Publishing Group", "title" : "Mediterranean seagrass vulnerable to regional climate warming", "type" : "article-journal", "volume" : "2" }, "uris" : [ "http://www.mendeley.com/documents/?uuid=1a6c9a89-f1cd-40b0-b540-4e04aa7c1f4a", "http://www.mendeley.com/documents/?uuid=dd54ccf0-11f1-410b-9b9f-0d47b2b05c28" ] } ], "mendeley" : { "formattedCitation" : "(Jord\u00e0 et al., 2012a; Massa, Arnaud-Haond, Pearson, &amp; Serr\u00e3o, 2009; Olsen, S\u00e1nchez-Camacho, Marb\u00e0, &amp; Duarte, 2012)", "plainTextFormattedCitation" : "(Jord\u00e0 et al., 2012a; Massa, Arnaud-Haond, Pearson, &amp; Serr\u00e3o, 2009; Olsen, S\u00e1nchez-Camacho, Marb\u00e0, &amp; Duarte, 2012)", "previouslyFormattedCitation" : "(Jord\u00e0 et al., 2012a; Massa, Arnaud-Haond, Pearson, &amp; Serr\u00e3o, 2009; Olsen, S\u00e1nchez-Camacho, Marb\u00e0, &amp; Duarte, 2012)" }, "properties" : {  }, "schema" : "https://github.com/citation-style-language/schema/raw/master/csl-citation.json" }</w:instrText>
      </w:r>
      <w:r w:rsidRPr="008608AA">
        <w:rPr>
          <w:rFonts w:eastAsia="Droid Sans Fallback"/>
        </w:rPr>
        <w:fldChar w:fldCharType="separate"/>
      </w:r>
      <w:r w:rsidRPr="00A3137A">
        <w:rPr>
          <w:rFonts w:eastAsia="Droid Sans Fallback"/>
          <w:noProof/>
          <w:lang w:val="fr-FR"/>
        </w:rPr>
        <w:t>(Jordà et al</w:t>
      </w:r>
      <w:r w:rsidR="007B0660" w:rsidRPr="00A3137A">
        <w:rPr>
          <w:rFonts w:eastAsia="Droid Sans Fallback"/>
          <w:noProof/>
          <w:lang w:val="fr-FR"/>
        </w:rPr>
        <w:t>., 2012a; Massa et al., 2009; Olsen</w:t>
      </w:r>
      <w:r w:rsidRPr="00A3137A">
        <w:rPr>
          <w:rFonts w:eastAsia="Droid Sans Fallback"/>
          <w:noProof/>
          <w:lang w:val="fr-FR"/>
        </w:rPr>
        <w:t xml:space="preserve"> et al., 2012)</w:t>
      </w:r>
      <w:r w:rsidRPr="008608AA">
        <w:rPr>
          <w:rFonts w:eastAsia="Droid Sans Fallback"/>
        </w:rPr>
        <w:fldChar w:fldCharType="end"/>
      </w:r>
      <w:r w:rsidRPr="00A3137A">
        <w:rPr>
          <w:rFonts w:eastAsia="Droid Sans Fallback"/>
          <w:lang w:val="fr-FR"/>
        </w:rPr>
        <w:t xml:space="preserve">. </w:t>
      </w:r>
      <w:r w:rsidRPr="008608AA">
        <w:rPr>
          <w:rFonts w:eastAsia="Droid Sans Fallback"/>
        </w:rPr>
        <w:t xml:space="preserve">Since changes in seawater surface temperature would differ geographically the effects would vary between locations and therefore, some meadows could be favoured by the temperature increase; </w:t>
      </w:r>
      <w:r w:rsidR="00847F60" w:rsidRPr="008608AA">
        <w:rPr>
          <w:rFonts w:eastAsia="Droid Sans Fallback"/>
        </w:rPr>
        <w:t>e.g.</w:t>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"DOI" : "10.1016/0304-3770(87)90005-2", "ISSN" : "03043770", "author" : [ { "dropping-particle" : "", "family" : "Hootsmans", "given" : "M.J.M.", "non-dropping-particle" : "", "parse-names" : false, "suffix" : "" }, { "dropping-particle" : "", "family" : "Vermaat", "given" : "J.E.", "non-dropping-particle" : "", "parse-names" : false, "suffix" : "" }, { "dropping-particle" : "", "family" : "Vierssen", "given" : "W.", "non-dropping-particle" : "Van", "parse-names" : false, "suffix" : "" } ], "container-title" : "Aquatic Botany", "id" : "ITEM-1", "issue" : "3-4", "issued" : { "date-parts" : [ [ "1987", "8" ] ] }, "page" : "275-285", "title" : "Seed-bank development, germination and early seedling survival of two seagrass species from The Netherlands: Zostera marina L. and Zostera noltii hornem", "type" : "article-journal", "volume" : "28" }, "uris" : [ "http://www.mendeley.com/documents/?uuid=5570867a-efa2-4a90-945b-68b63491ea69", "http://www.mendeley.com/documents/?uuid=39c0eb9c-f76f-4b97-8f0e-4e291807d59b" ] } ], "mendeley" : { "formattedCitation" : "(Hootsmans, Vermaat, &amp; Van Vierssen, 1987)", "manualFormatting" : "Hootsmans et al. (1987)", "plainTextFormattedCitation" : "(Hootsmans, Vermaat, &amp; Van Vierssen, 1987)", "previouslyFormattedCitation" : "(Hootsmans, Vermaat, &amp; Van Vierssen, 1987)"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Hootsmans et al. (1987)</w:t>
      </w:r>
      <w:r w:rsidRPr="008608AA">
        <w:rPr>
          <w:rFonts w:eastAsia="Droid Sans Fallback"/>
        </w:rPr>
        <w:fldChar w:fldCharType="end"/>
      </w:r>
      <w:r w:rsidRPr="008608AA">
        <w:rPr>
          <w:rFonts w:eastAsia="Droid Sans Fallback"/>
        </w:rPr>
        <w:t xml:space="preserve"> found experimentally that temperatures rising from 10 ºC to 30 ºC significantly increased </w:t>
      </w:r>
      <w:r w:rsidRPr="008608AA">
        <w:rPr>
          <w:rFonts w:eastAsia="Droid Sans Fallback"/>
          <w:i/>
        </w:rPr>
        <w:t>Zostera noltii</w:t>
      </w:r>
      <w:r w:rsidRPr="008608AA">
        <w:rPr>
          <w:rFonts w:eastAsia="Droid Sans Fallback"/>
        </w:rPr>
        <w:t xml:space="preserve"> seed germination. </w:t>
      </w:r>
      <w:r w:rsidRPr="008608AA">
        <w:rPr>
          <w:rFonts w:eastAsia="Droid Sans Fallback"/>
        </w:rPr>
        <w:fldChar w:fldCharType="begin" w:fldLock="1"/>
      </w:r>
      <w:r w:rsidRPr="008608AA">
        <w:rPr>
          <w:rFonts w:eastAsia="Droid Sans Fallback"/>
        </w:rPr>
        <w:instrText>ADDIN CSL_CITATION { "citationItems" : [ { "id" : "ITEM-1", "itemData" : { "DOI" : "10.1016/S0304-3770(98)00117-X", "ISBN" : "1603862110", "ISSN" : "03043770", "author" : [ { "dropping-particle" : "", "family" : "Short", "given" : "Frederick T.", "non-dropping-particle" : "", "parse-names" : false, "suffix" : "" }, { "dropping-particle" : "", "family" : "Neckles", "given" : "Hilary A", "non-dropping-particle" : "", "parse-names" : false, "suffix" : "" } ], "container-title" : "Aquatic Botany", "id" : "ITEM-1", "issue" : "3-4", "issued" : { "date-parts" : [ [ "1999", "4" ] ] }, "page" : "169-196", "title" : "The effects of global climate change on seagrasses", "type" : "article-journal", "volume" : "63" }, "uris" : [ "http://www.mendeley.com/documents/?uuid=df19eb5a-5a1d-45f5-a8bb-40d9b92f5e88", "http://www.mendeley.com/documents/?uuid=21be6afd-584e-4a4f-b64d-034a9342a576" ] } ], "mendeley" : { "formattedCitation" : "(Short &amp; Neckles, 1999)", "manualFormatting" : "Short and Neckles (1999)", "plainTextFormattedCitation" : "(Short &amp; Neckles, 1999)", "previouslyFormattedCitation" : "(Short &amp; Neckles, 1999)"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Short and Neckles (1999)</w:t>
      </w:r>
      <w:r w:rsidRPr="008608AA">
        <w:rPr>
          <w:rFonts w:eastAsia="Droid Sans Fallback"/>
        </w:rPr>
        <w:fldChar w:fldCharType="end"/>
      </w:r>
      <w:r w:rsidRPr="008608AA">
        <w:rPr>
          <w:rFonts w:eastAsia="Droid Sans Fallback"/>
        </w:rPr>
        <w:t xml:space="preserve"> concluded that, under global climate change, an average annual temperature increase will decrease productivity and distribution of seagrass meadows growing in locations with temperatures above the optimum for growth, or near the upper limit of thermal tolerance. In this sense, projections of future distribution of the intertidal seagrass </w:t>
      </w:r>
      <w:r w:rsidRPr="008608AA">
        <w:rPr>
          <w:rFonts w:eastAsia="Droid Sans Fallback"/>
          <w:i/>
        </w:rPr>
        <w:t>Z. noltii</w:t>
      </w:r>
      <w:r w:rsidRPr="008608AA">
        <w:rPr>
          <w:rFonts w:eastAsia="Droid Sans Fallback"/>
        </w:rPr>
        <w:t xml:space="preserve"> performed using a highly accurate habitat suitability model based on mean and minimum seawater surface temperature, showed that the changes in seawater surface temperature derived from global warming would promote an important change in the distribution of the species, triggering a poleward shift of 888 km in the area suitable for the species by the end of the 21st century </w:t>
      </w:r>
      <w:r w:rsidRPr="008608AA">
        <w:rPr>
          <w:rFonts w:eastAsia="Droid Sans Fallback"/>
        </w:rPr>
        <w:fldChar w:fldCharType="begin" w:fldLock="1"/>
      </w:r>
      <w:r w:rsidRPr="008608AA">
        <w:rPr>
          <w:rFonts w:eastAsia="Droid Sans Fallback"/>
        </w:rPr>
        <w:instrText>ADDIN CSL_CITATION { "citationItems" : [ { "id" : "ITEM-1", "itemData" : { "DOI" : "10.1016/j.biocon.2013.12.017", "ISSN" : "00063207", "author" : [ { "dropping-particle" : "", "family" : "Valle", "given" : "Mireia", "non-dropping-particle" : "", "parse-names" : false, "suffix" : "" }, { "dropping-particle" : "", "family" : "Chust", "given" : "Guillem", "non-dropping-particle" : "", "parse-names" : false, "suffix" : "" }, { "dropping-particle" : "", "family" : "Campo", "given" : "Andrea", "non-dropping-particle" : "del", "parse-names" : false, "suffix" : "" }, { "dropping-particle" : "", "family" : "Wisz", "given" : "Mary Susanne", "non-dropping-particle" : "", "parse-names" : false, "suffix" : "" }, { "dropping-particle" : "", "family" : "Olsen", "given" : "Steffen M.", "non-dropping-particle" : "", "parse-names" : false, "suffix" : "" }, { "dropping-particle" : "", "family" : "Garmendia", "given" : "Joxe Mikel", "non-dropping-particle" : "", "parse-names" : false, "suffix" : "" }, { "dropping-particle" : "", "family" : "Borja", "given" : "\u00c1ngel", "non-dropping-particle" : "", "parse-names" : false, "suffix" : "" } ], "container-title" : "Biological Conservation", "id" : "ITEM-1", "issued" : { "date-parts" : [ [ "2014", "2" ] ] }, "page" : "74-85", "publisher" : "Elsevier Ltd", "title" : "Projecting future distribution of the seagrass Zostera noltii under global warming and sea level rise", "type" : "article-journal", "volume" : "170" }, "uris" : [ "http://www.mendeley.com/documents/?uuid=c6673905-1a66-417a-8a82-28cabff4594c", "http://www.mendeley.com/documents/?uuid=9c5bbf89-2a8d-42e7-be5f-08292751d4fa" ] } ], "mendeley" : { "formattedCitation" : "(Valle et al., 2014)", "plainTextFormattedCitation" : "(Valle et al., 2014)", "previouslyFormattedCitation" : "(Valle et al.,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(Valle et al</w:t>
      </w:r>
      <w:r w:rsidR="007B0660" w:rsidRPr="008608AA">
        <w:rPr>
          <w:rFonts w:eastAsia="Droid Sans Fallback"/>
          <w:noProof/>
        </w:rPr>
        <w:t>.</w:t>
      </w:r>
      <w:r w:rsidRPr="008608AA">
        <w:rPr>
          <w:rFonts w:eastAsia="Droid Sans Fallback"/>
          <w:noProof/>
        </w:rPr>
        <w:t>, 2014)</w:t>
      </w:r>
      <w:r w:rsidRPr="008608AA">
        <w:rPr>
          <w:rFonts w:eastAsia="Droid Sans Fallback"/>
        </w:rPr>
        <w:fldChar w:fldCharType="end"/>
      </w:r>
      <w:r w:rsidRPr="008608AA">
        <w:rPr>
          <w:rFonts w:eastAsia="Droid Sans Fallback"/>
        </w:rPr>
        <w:t xml:space="preserve">. </w:t>
      </w:r>
    </w:p>
    <w:p w14:paraId="1B909B57" w14:textId="77777777" w:rsidR="007F7607" w:rsidRPr="008608AA" w:rsidRDefault="007F7607" w:rsidP="00EE708F">
      <w:pPr>
        <w:suppressAutoHyphens/>
        <w:rPr>
          <w:rFonts w:eastAsia="Droid Sans Fallback"/>
        </w:rPr>
      </w:pPr>
    </w:p>
    <w:p w14:paraId="015242DE" w14:textId="09594A54" w:rsidR="007F7607" w:rsidRPr="008608AA" w:rsidRDefault="00490494" w:rsidP="00EE708F">
      <w:pPr>
        <w:suppressAutoHyphens/>
        <w:rPr>
          <w:rFonts w:eastAsia="Droid Sans Fallback"/>
        </w:rPr>
      </w:pPr>
      <w:r w:rsidRPr="008608AA">
        <w:rPr>
          <w:rFonts w:eastAsia="Droid Sans Fallback"/>
        </w:rPr>
        <w:t xml:space="preserve">This shift in the species’ distribution would turn into a reduction of the species climatic niche: those populations under seawater surface temperature thresholds higher than the temperature ranges required by the species (i.e. southernmost populations) would become extinct by 2100, and the colonization of the predicted suitable areas in the northernmost estuaries could be unlikely because </w:t>
      </w:r>
      <w:r w:rsidRPr="008608AA">
        <w:rPr>
          <w:rFonts w:eastAsia="Droid Sans Fallback"/>
          <w:i/>
        </w:rPr>
        <w:t>Z. noltii</w:t>
      </w:r>
      <w:r w:rsidRPr="008608AA">
        <w:rPr>
          <w:rFonts w:eastAsia="Droid Sans Fallback"/>
        </w:rPr>
        <w:t xml:space="preserve"> populations have shown a low recolonisation rate from estuary to estuary </w:t>
      </w:r>
      <w:r w:rsidRPr="008608AA">
        <w:rPr>
          <w:rFonts w:eastAsia="Droid Sans Fallback"/>
        </w:rPr>
        <w:fldChar w:fldCharType="begin" w:fldLock="1"/>
      </w:r>
      <w:r w:rsidRPr="008608AA">
        <w:rPr>
          <w:rFonts w:eastAsia="Droid Sans Fallback"/>
        </w:rPr>
        <w:instrText>ADDIN CSL_CITATION { "citationItems" : [ { "id" : "ITEM-1", "itemData" : { "DOI" : "10.1016/j.ecss.2013.08.005", "ISSN" : "02727714", "author" : [ { "dropping-particle" : "", "family" : "Chust", "given" : "Guillem", "non-dropping-particle" : "", "parse-names" : false, "suffix" : "" }, { "dropping-particle" : "", "family" : "Albaina", "given" : "Aitor", "non-dropping-particle" : "", "parse-names" : false, "suffix" : "" }, { "dropping-particle" : "", "family" : "Aranburu", "given" : "Aizkorri", "non-dropping-particle" : "", "parse-names" : false, "suffix" : "" }, { "dropping-particle" : "", "family" : "Borja", "given" : "\u00c1ngel", "non-dropping-particle" : "", "parse-names" : false, "suffix" : "" }, { "dropping-particle" : "", "family" : "Diekmann", "given" : "Onno E.", "non-dropping-particle" : "", "parse-names" : false, "suffix" : "" }, { "dropping-particle" : "", "family" : "Estonba", "given" : "Andone", "non-dropping-particle" : "", "parse-names" : false, "suffix" : "" }, { "dropping-particle" : "", "family" : "Franco", "given" : "Javier", "non-dropping-particle" : "", "parse-names" : false, "suffix" : "" }, { "dropping-particle" : "", "family" : "Garmendia", "given" : "Joxe Mikel", "non-dropping-particle" : "", "parse-names" : false, "suffix" : "" }, { "dropping-particle" : "", "family" : "Iriondo", "given" : "Mikel", "non-dropping-particle" : "", "parse-names" : false, "suffix" : "" }, { "dropping-particle" : "", "family" : "Muxika", "given" : "I\u00f1igo", "non-dropping-particle" : "", "parse-names" : false, "suffix" : "" }, { "dropping-particle" : "", "family" : "Rendo", "given" : "Fernando", "non-dropping-particle" : "", "parse-names" : false, "suffix" : "" }, { "dropping-particle" : "", "family" : "Rodr\u00edguez", "given" : "J. Germ\u00e1n", "non-dropping-particle" : "", "parse-names" : false, "suffix" : "" }, { "dropping-particle" : "", "family" : "Ruiz-Larra\u00f1aga", "given" : "Otsanda", "non-dropping-particle" : "", "parse-names" : false, "suffix" : "" }, { "dropping-particle" : "", "family" : "Serr\u00e3o", "given" : "Ester A.", "non-dropping-particle" : "", "parse-names" : false, "suffix" : "" }, { "dropping-particle" : "", "family" : "Valle", "given" : "Mireia", "non-dropping-particle" : "", "parse-names" : false, "suffix" : "" } ], "container-title" : "Estuarine, Coastal and Shelf Science", "id" : "ITEM-1", "issued" : { "date-parts" : [ [ "2013", "8" ] ] }, "page" : "52\u201363", "publisher" : "Elsevier Ltd", "title" : "Connectivity, neutral theories and the assessment of species vulnerability to global change in temperate estuaries", "type" : "article-journal", "volume" : "131" }, "uris" : [ "http://www.mendeley.com/documents/?uuid=90d0e2ac-4d9e-40f7-a8bc-cd4a4b20f181", "http://www.mendeley.com/documents/?uuid=1f2cfc5c-3fa3-428d-ba52-1dc5833248a9" ] }, { "id" : "ITEM-2", "itemData" : { "abstract" : "The effects of oceanographic patterns on marine genetic biodiversity along the SW Iberian Peninsula are poorly understood. We addressed the question of whether gene flow in this region depends solely on geographic distance between isolated patches of suitable habitat or if there are superimposed effects correlated with other factors such as current patterns. Zostera noltii, the dwarf eelgrass, is the keystone habitat-structuring seagrass species on intertidal mudflats along the Iberian west coast. We used 9 microsatellite loci to analyze population genetic diversity and differen- tiation for all existing 8 populations from NW Spain (Ria de Vigo) to SW Spain (Puerto Real, Cadiz). Populations are highly genetically differentiated as shown by high significant FST,Wright\u2019s fixation index, (0.08 to 0.26) values. A neighbor-joining tree based on Reynold\u2019s distances computed from allele frequencies revealed a split between northern and southern populations (bootstrap support of 84%). This pattern of differentiation can be explained by (1) ocean surface current patterns present during Z. noltii\u2019s reproductive season which cause a dispersal barrier between the northern and southern populations of this region, (2) habitat isolation, due to large geographic distances between suitable habitats, preventing frequent gene flow, and (3) small effective population sizes, causing high drift and thus faster differentiation rates.", "author" : [ { "dropping-particle" : "", "family" : "Diekmann", "given" : "Onno E.", "non-dropping-particle" : "", "parse-names" : false, "suffix" : "" }, { "dropping-particle" : "", "family" : "Coyer", "given" : "James A", "non-dropping-particle" : "", "parse-names" : false, "suffix" : "" }, { "dropping-particle" : "", "family" : "Ferreira", "given" : "J", "non-dropping-particle" : "", "parse-names" : false, "suffix" : "" }, { "dropping-particle" : "", "family" : "Olsen", "given" : "Jeanine L.", "non-dropping-particle" : "", "parse-names" : false, "suffix" : "" }, { "dropping-particle" : "", "family" : "Stam", "given" : "Wytze T.", "non-dropping-particle" : "", "parse-names" : false, "suffix" : "" }, { "dropping-particle" : "", "family" : "Pearson", "given" : "Gareth A", "non-dropping-particle" : "", "parse-names" : false, "suffix" : "" }, { "dropping-particle" : "", "family" : "Serr\u00e3o", "given" : "E.A.", "non-dropping-particle" : "", "parse-names" : false, "suffix" : "" } ], "container-title" : "Marine Ecology Progress Series", "id" : "ITEM-2", "issued" : { "date-parts" : [ [ "2005" ] ] }, "page" : "89-96", "title" : "Population genetics of Zostera noltii along the west Iberian coast : consequences of small population size, habitat discontinuity and near-shore currents", "type" : "article-journal", "volume" : "290" }, "uris" : [ "http://www.mendeley.com/documents/?uuid=6758eca3-299b-41ca-ba23-2eadc67fa8ba", "http://www.mendeley.com/documents/?uuid=a27e6a3e-6d45-40e1-9a8b-22a4de46f860" ] } ], "mendeley" : { "formattedCitation" : "(Chust et al., 2013; Diekmann et al., 2005)", "plainTextFormattedCitation" : "(Chust et al., 2013; Diekmann et al., 2005)", "previouslyFormattedCitation" : "(Chust et al., 2013; Diekmann et al., 2005)"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(Chust et al., 2013; Diekmann et al., 2005)</w:t>
      </w:r>
      <w:r w:rsidRPr="008608AA">
        <w:rPr>
          <w:rFonts w:eastAsia="Droid Sans Fallback"/>
        </w:rPr>
        <w:fldChar w:fldCharType="end"/>
      </w:r>
      <w:r w:rsidRPr="008608AA">
        <w:rPr>
          <w:rFonts w:eastAsia="Droid Sans Fallback"/>
        </w:rPr>
        <w:t xml:space="preserve"> and might not shift their suitable habitat northward at a pace comparable to warming rates, especially in regions where the species is restricted to intertidal estuarine zones. </w:t>
      </w:r>
      <w:r w:rsidRPr="008608AA">
        <w:rPr>
          <w:rFonts w:eastAsia="Droid Sans Fallback"/>
        </w:rPr>
        <w:fldChar w:fldCharType="begin" w:fldLock="1"/>
      </w:r>
      <w:r w:rsidRPr="008608AA">
        <w:rPr>
          <w:rFonts w:eastAsia="Droid Sans Fallback"/>
        </w:rPr>
        <w:instrText>ADDIN CSL_CITATION { "citationItems" : [ { "id" : "ITEM-1", "itemData" : { "DOI" : "10.1111/j.1365-2486.2012.02791.x", "ISSN" : "13541013", "PMID" : "23504724", "abstract" : "Although seagrasses and marine macroalgae (macro-autotrophs) play critical ecological roles in reef, lagoon, coastal and open-water ecosystems, their response to ocean acidification (OA) and climate change is not well understood. In this review, we examine marine macro-autotroph biochemistry and physiology relevant to their response to elevated dissolved inorganic carbon [DIC], carbon dioxide [CO2 ], and lower carbonate [CO3 (2-) ] and pH. We also explore the effects of increasing temperature under climate change and the interactions of elevated temperature and [CO2 ]. Finally, recommendations are made for future research based on this synthesis. A literature review of &gt;100 species revealed that marine macro-autotroph photosynthesis is overwhelmingly C3 (\u2265 85%) with most species capable of utilizing HCO3 (-) ; however, most are not saturated at current ocean [DIC]. These results, and the presence of CO2 -only users, lead us to conclude that photosynthetic and growth rates of marine macro-autotrophs are likely to increase under elevated [CO2 ] similar to terrestrial C3 species. In the tropics, many species live close to their thermal limits and will have to up-regulate stress-response systems to tolerate sublethal temperature exposures with climate change, whereas elevated [CO2 ] effects on thermal acclimation are unknown. Fundamental linkages between elevated [CO2 ] and temperature on photorespiration, enzyme systems, carbohydrate production, and calcification dictate the need to consider these two parameters simultaneously. Relevant to calcifiers, elevated [CO2 ] lowers net calcification and this effect is amplified by high temperature. Although the mechanisms are not clear, OA likely disrupts diffusion and transport systems of H(+) and DIC. These fluxes control micro-environments that promote calcification over dissolution and may be more important than CaCO3 mineralogy in predicting macroalgal responses to OA. Calcareous macroalgae are highly vulnerable to OA, and it is likely that fleshy macroalgae will dominate in a higher CO2 ocean; therefore, it is critical to elucidate the research gaps identified in this review.", "author" : [ { "dropping-particle" : "", "family" : "Koch", "given" : "Marguerite", "non-dropping-particle" : "", "parse-names" : false, "suffix" : "" }, { "dropping-particle" : "", "family" : "Bowes", "given" : "George", "non-dropping-particle" : "", "parse-names" : false, "suffix" : "" }, { "dropping-particle" : "", "family" : "Ross", "given" : "Cliff", "non-dropping-particle" : "", "parse-names" : false, "suffix" : "" }, { "dropping-particle" : "", "family" : "Zhang", "given" : "Xing-Hai", "non-dropping-particle" : "", "parse-names" : false, "suffix" : "" } ], "container-title" : "Global Change Biology", "id" : "ITEM-1", "issue" : "1", "issued" : { "date-parts" : [ [ "2013", "1" ] ] }, "page" : "103-132", "title" : "Climate change and ocean acidification effects on seagrasses and marine macroalgae", "type" : "article-journal", "volume" : "19" }, "uris" : [ "http://www.mendeley.com/documents/?uuid=f22567c0-e018-412d-8e6a-ab59e6b7f987", "http://www.mendeley.com/documents/?uuid=9f1b8f9b-0bdf-4875-bbdd-a339e8b42470" ] } ], "mendeley" : { "formattedCitation" : "(Koch, Bowes, Ross, &amp; Zhang, 2013)", "manualFormatting" : "Koch et al. (2013)", "plainTextFormattedCitation" : "(Koch, Bowes, Ross, &amp; Zhang, 2013)", "previouslyFormattedCitation" : "(Koch, Bowes, Ross, &amp; Zhang,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Koch et al. (2013)</w:t>
      </w:r>
      <w:r w:rsidRPr="008608AA">
        <w:rPr>
          <w:rFonts w:eastAsia="Droid Sans Fallback"/>
        </w:rPr>
        <w:fldChar w:fldCharType="end"/>
      </w:r>
      <w:r w:rsidRPr="008608AA">
        <w:rPr>
          <w:rFonts w:eastAsia="Droid Sans Fallback"/>
        </w:rPr>
        <w:t xml:space="preserve"> also stated that many seagrass species living close to their thermal limits will have to up-regulate stress-response systems to tolerate sub-lethal temperature exposures. Therefore, physiological capacity of adaptation of the species would determine the vulnerability degree of seagrasses to climate change. Although photosynthesis and growth rates of marine macro-autotrophs are likely to increase under elevated </w:t>
      </w:r>
      <w:r w:rsidR="00E03ED4" w:rsidRPr="008608AA">
        <w:rPr>
          <w:rFonts w:eastAsia="Droid Sans Fallback"/>
        </w:rPr>
        <w:t>carbon dioxide</w:t>
      </w:r>
      <w:r w:rsidRPr="008608AA">
        <w:rPr>
          <w:rFonts w:eastAsia="Droid Sans Fallback"/>
        </w:rPr>
        <w:t xml:space="preserve">, its effects on thermal acclimation are unknown </w:t>
      </w:r>
      <w:r w:rsidRPr="008608AA">
        <w:rPr>
          <w:rFonts w:eastAsia="Droid Sans Fallback"/>
        </w:rPr>
        <w:fldChar w:fldCharType="begin" w:fldLock="1"/>
      </w:r>
      <w:r w:rsidRPr="008608AA">
        <w:rPr>
          <w:rFonts w:eastAsia="Droid Sans Fallback"/>
        </w:rPr>
        <w:instrText>ADDIN CSL_CITATION { "citationItems" : [ { "id" : "ITEM-1", "itemData" : { "DOI" : "10.1111/j.1365-2486.2012.02791.x", "ISSN" : "13541013", "PMID" : "23504724", "abstract" : "Although seagrasses and marine macroalgae (macro-autotrophs) play critical ecological roles in reef, lagoon, coastal and open-water ecosystems, their response to ocean acidification (OA) and climate change is not well understood. In this review, we examine marine macro-autotroph biochemistry and physiology relevant to their response to elevated dissolved inorganic carbon [DIC], carbon dioxide [CO2 ], and lower carbonate [CO3 (2-) ] and pH. We also explore the effects of increasing temperature under climate change and the interactions of elevated temperature and [CO2 ]. Finally, recommendations are made for future research based on this synthesis. A literature review of &gt;100 species revealed that marine macro-autotroph photosynthesis is overwhelmingly C3 (\u2265 85%) with most species capable of utilizing HCO3 (-) ; however, most are not saturated at current ocean [DIC]. These results, and the presence of CO2 -only users, lead us to conclude that photosynthetic and growth rates of marine macro-autotrophs are likely to increase under elevated [CO2 ] similar to terrestrial C3 species. In the tropics, many species live close to their thermal limits and will have to up-regulate stress-response systems to tolerate sublethal temperature exposures with climate change, whereas elevated [CO2 ] effects on thermal acclimation are unknown. Fundamental linkages between elevated [CO2 ] and temperature on photorespiration, enzyme systems, carbohydrate production, and calcification dictate the need to consider these two parameters simultaneously. Relevant to calcifiers, elevated [CO2 ] lowers net calcification and this effect is amplified by high temperature. Although the mechanisms are not clear, OA likely disrupts diffusion and transport systems of H(+) and DIC. These fluxes control micro-environments that promote calcification over dissolution and may be more important than CaCO3 mineralogy in predicting macroalgal responses to OA. Calcareous macroalgae are highly vulnerable to OA, and it is likely that fleshy macroalgae will dominate in a higher CO2 ocean; therefore, it is critical to elucidate the research gaps identified in this review.", "author" : [ { "dropping-particle" : "", "family" : "Koch", "given" : "Marguerite", "non-dropping-particle" : "", "parse-names" : false, "suffix" : "" }, { "dropping-particle" : "", "family" : "Bowes", "given" : "George", "non-dropping-particle" : "", "parse-names" : false, "suffix" : "" }, { "dropping-particle" : "", "family" : "Ross", "given" : "Cliff", "non-dropping-particle" : "", "parse-names" : false, "suffix" : "" }, { "dropping-particle" : "", "family" : "Zhang", "given" : "Xing-Hai", "non-dropping-particle" : "", "parse-names" : false, "suffix" : "" } ], "container-title" : "Global Change Biology", "id" : "ITEM-1", "issue" : "1", "issued" : { "date-parts" : [ [ "2013", "1" ] ] }, "page" : "103-132", "title" : "Climate change and ocean acidification effects on seagrasses and marine macroalgae", "type" : "article-journal", "volume" : "19" }, "uris" : [ "http://www.mendeley.com/documents/?uuid=9f1b8f9b-0bdf-4875-bbdd-a339e8b42470" ] } ], "mendeley" : { "formattedCitation" : "(Koch et al., 2013)", "plainTextFormattedCitation" : "(Koch et al., 2013)", "previouslyFormattedCitation" : "(Koch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(Koch et al., 2013)</w:t>
      </w:r>
      <w:r w:rsidRPr="008608AA">
        <w:rPr>
          <w:rFonts w:eastAsia="Droid Sans Fallback"/>
        </w:rPr>
        <w:fldChar w:fldCharType="end"/>
      </w:r>
      <w:r w:rsidRPr="008608AA">
        <w:rPr>
          <w:rFonts w:eastAsia="Droid Sans Fallback"/>
        </w:rPr>
        <w:t xml:space="preserve">. Jordà et al. </w:t>
      </w:r>
      <w:r w:rsidRPr="008608AA">
        <w:rPr>
          <w:rFonts w:eastAsia="Droid Sans Fallback"/>
        </w:rPr>
        <w:fldChar w:fldCharType="begin" w:fldLock="1"/>
      </w:r>
      <w:r w:rsidRPr="008608AA">
        <w:rPr>
          <w:rFonts w:eastAsia="Droid Sans Fallback"/>
        </w:rPr>
        <w:instrText>ADDIN CSL_CITATION { "citationItems" : [ { "id" : "ITEM-1", "itemData" : { "DOI" : "10.1038/nclimate1533", "ISSN" : "1758-678X", "author" : [ { "dropping-particle" : "", "family" : "Jord\u00e0", "given" : "Gabriel", "non-dropping-particle" : "", "parse-names" : false, "suffix" : "" }, { "dropping-particle" : "", "family" : "Marb\u00e0", "given" : "N\u00faria", "non-dropping-particle" : "", "parse-names" : false, "suffix" : "" }, { "dropping-particle" : "", "family" : "Duarte", "given" : "Carlos M.", "non-dropping-particle" : "", "parse-names" : false, "suffix" : "" } ], "container-title" : "Nature Climate Change", "id" : "ITEM-1", "issue" : "11", "issued" : { "date-parts" : [ [ "2012", "5", "20" ] ] }, "page" : "821-824", "publisher" : "Nature Publishing Group", "title" : "Mediterranean seagrass vulnerable to regional climate warming", "type" : "article-journal", "volume" : "2" }, "suppress-author" : 1, "uris" : [ "http://www.mendeley.com/documents/?uuid=c31b830a-1338-4afa-8fa8-0659a3025fe7" ] } ], "mendeley" : { "formattedCitation" : "(2012b)", "plainTextFormattedCitation" : "(2012b)", "previouslyFormattedCitation" : "(2012b)"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(2012b)</w:t>
      </w:r>
      <w:r w:rsidRPr="008608AA">
        <w:rPr>
          <w:rFonts w:eastAsia="Droid Sans Fallback"/>
        </w:rPr>
        <w:fldChar w:fldCharType="end"/>
      </w:r>
      <w:r w:rsidRPr="008608AA">
        <w:rPr>
          <w:rFonts w:eastAsia="Droid Sans Fallback"/>
        </w:rPr>
        <w:t xml:space="preserve"> reported that it is unlikely that enhanced </w:t>
      </w:r>
      <w:r w:rsidR="00E03ED4" w:rsidRPr="008608AA">
        <w:rPr>
          <w:rFonts w:eastAsia="Droid Sans Fallback"/>
        </w:rPr>
        <w:t>carbon dioxide</w:t>
      </w:r>
      <w:r w:rsidRPr="008608AA">
        <w:rPr>
          <w:rFonts w:eastAsia="Droid Sans Fallback"/>
        </w:rPr>
        <w:t xml:space="preserve"> may increase seagrass resistance to disturbances such as warming.</w:t>
      </w:r>
    </w:p>
    <w:p w14:paraId="0B77679C" w14:textId="4BDC005C" w:rsidR="00490494" w:rsidRPr="008608AA" w:rsidRDefault="00490494" w:rsidP="00EE708F">
      <w:pPr>
        <w:suppressAutoHyphens/>
        <w:rPr>
          <w:rFonts w:eastAsia="Droid Sans Fallback"/>
        </w:rPr>
      </w:pPr>
      <w:r w:rsidRPr="008608AA">
        <w:rPr>
          <w:rFonts w:eastAsia="Droid Sans Fallback"/>
        </w:rPr>
        <w:t xml:space="preserve"> </w:t>
      </w:r>
    </w:p>
    <w:p w14:paraId="42CB4226" w14:textId="77777777" w:rsidR="007F7607" w:rsidRPr="008608AA" w:rsidRDefault="00490494" w:rsidP="00EE708F">
      <w:pPr>
        <w:suppressAutoHyphens/>
        <w:rPr>
          <w:rFonts w:eastAsia="Droid Sans Fallback"/>
        </w:rPr>
      </w:pPr>
      <w:r w:rsidRPr="008608AA">
        <w:rPr>
          <w:rFonts w:eastAsia="Droid Sans Fallback"/>
        </w:rPr>
        <w:t>Eutrophication is a major threat to submerged aquatic vegetation, and with more people living near the coast and the high costs of controls, the likelihood is that submerged aquatic vegetation will continue a downward trend. However, in some areas that have undergone restoration and controls on nutrients, such as Chesapeake Bay in the USA there has been some recovery (</w:t>
      </w:r>
      <w:hyperlink r:id="rId1046" w:history="1">
        <w:r w:rsidRPr="008608AA">
          <w:rPr>
            <w:rFonts w:eastAsia="Droid Sans Fallback"/>
          </w:rPr>
          <w:t>http://www.chesapeakebay.net/indicators/indicator/bay_grass_abundance_baywide</w:t>
        </w:r>
      </w:hyperlink>
      <w:r w:rsidRPr="008608AA">
        <w:rPr>
          <w:rFonts w:eastAsia="Droid Sans Fallback"/>
        </w:rPr>
        <w:t xml:space="preserve">). In cases where nutrient limitations are implemented, recovery is a very slow process, involving the replacement of fast-growing macroalgae with slower-growing plants. Simulation models predict recovery times of several years for fast-growing seagrasses to centuries for slow-growing seagrasses following nutrient reduction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"Duarte", "given" : "C.", "non-dropping-particle" : "", "parse-names" : false, "suffix" : "" } ], "container-title" : "Ophelia", "id" : "ITEM-1", "issued" : { "date-parts" : [ [ "1995" ] ] }, "page" : "87-112", "title" : "Submerged aquatic vegetation in relation to different nutrient regimes", "type" : "article-journal", "volume" : "41" }, "uris" : [ "http://www.mendeley.com/documents/?uuid=c20d59ea-4ea0-47c6-a8a7-2fc7145483a3", "http://www.mendeley.com/documents/?uuid=96597ae7-da52-42ee-985d-d642314020da" ] } ], "mendeley" : { "formattedCitation" : "(C. Duarte, 1995)", "plainTextFormattedCitation" : "(C. Duarte, 1995)", "previouslyFormattedCitation" : "(C. Duarte, 1995)"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(Duarte, 1995)</w:t>
      </w:r>
      <w:r w:rsidRPr="008608AA">
        <w:rPr>
          <w:rFonts w:eastAsia="Droid Sans Fallback"/>
        </w:rPr>
        <w:fldChar w:fldCharType="end"/>
      </w:r>
      <w:r w:rsidRPr="008608AA">
        <w:rPr>
          <w:rFonts w:eastAsia="Droid Sans Fallback"/>
        </w:rPr>
        <w:t>.</w:t>
      </w:r>
    </w:p>
    <w:p w14:paraId="7ECE8F2E" w14:textId="0AB58D24" w:rsidR="00490494" w:rsidRPr="008608AA" w:rsidRDefault="00490494" w:rsidP="00EE708F">
      <w:pPr>
        <w:suppressAutoHyphens/>
        <w:rPr>
          <w:rFonts w:eastAsia="Droid Sans Fallback"/>
        </w:rPr>
      </w:pPr>
      <w:r w:rsidRPr="008608AA">
        <w:rPr>
          <w:rFonts w:eastAsia="Droid Sans Fallback"/>
        </w:rPr>
        <w:t xml:space="preserve"> </w:t>
      </w:r>
    </w:p>
    <w:p w14:paraId="7DAA036A" w14:textId="77777777" w:rsidR="007F7607" w:rsidRPr="008608AA" w:rsidRDefault="00490494" w:rsidP="00EE708F">
      <w:pPr>
        <w:suppressAutoHyphens/>
        <w:rPr>
          <w:rFonts w:eastAsia="Droid Sans Fallback"/>
        </w:rPr>
      </w:pPr>
      <w:r w:rsidRPr="008608AA">
        <w:rPr>
          <w:rFonts w:eastAsia="Droid Sans Fallback"/>
        </w:rPr>
        <w:t>Scenarios archetypes for seagrassess are very similar to those for mangroves, under Fortress World and Market Forces direct and indirect pressures to seagrasses will increase and additional global change drivers will take place, thus seagrasses will continue to suffer losses. NCP of seagrasses are not as recognized as those from mangroves and therefore an extreme acceleration of impacts might occur.</w:t>
      </w:r>
    </w:p>
    <w:p w14:paraId="5557CACD" w14:textId="7E51FFA0" w:rsidR="00490494" w:rsidRPr="008608AA" w:rsidRDefault="00490494" w:rsidP="00EE708F">
      <w:pPr>
        <w:suppressAutoHyphens/>
        <w:rPr>
          <w:rFonts w:eastAsia="Droid Sans Fallback"/>
        </w:rPr>
      </w:pPr>
      <w:r w:rsidRPr="008608AA">
        <w:rPr>
          <w:rFonts w:eastAsia="Droid Sans Fallback"/>
        </w:rPr>
        <w:t xml:space="preserve"> </w:t>
      </w:r>
    </w:p>
    <w:p w14:paraId="240BF450" w14:textId="76828497" w:rsidR="00490494" w:rsidRPr="008608AA" w:rsidRDefault="00490494" w:rsidP="00EE708F">
      <w:pPr>
        <w:suppressAutoHyphens/>
        <w:rPr>
          <w:rFonts w:eastAsia="Droid Sans Fallback"/>
        </w:rPr>
      </w:pPr>
      <w:r w:rsidRPr="008608AA">
        <w:rPr>
          <w:rFonts w:eastAsia="Droid Sans Fallback"/>
        </w:rPr>
        <w:t xml:space="preserve">Even though present declining trends in seagrasses exceed more than 10 times the increasing trends </w:t>
      </w:r>
      <w:r w:rsidRPr="008608AA">
        <w:rPr>
          <w:rFonts w:eastAsia="Droid Sans Fallback"/>
        </w:rPr>
        <w:fldChar w:fldCharType="begin" w:fldLock="1"/>
      </w:r>
      <w:r w:rsidRPr="008608AA">
        <w:rPr>
          <w:rFonts w:eastAsia="Droid Sans Fallback"/>
        </w:rPr>
        <w:instrText>ADDIN CSL_CITATION { "citationItems" : [ { "id" : "ITEM-1", "itemData" : { "DOI" : "10.1073/pnas.0905620106", "ISSN" : "1091-6490", "PMID" : "19587236", "abstract" : "Coastal ecosystems and the services they provide are adversely affected by a wide variety of human activities. In particular, seagrass meadows are negatively affected by impacts accruing from the billion or more people who live within 50 km of them. Seagrass meadows provide important ecosystem services, including an estimated $1.9 trillion per year in the form of nutrient cycling; an order of magnitude enhancement of coral reef fish productivity; a habitat for thousands of fish, bird, and invertebrate species; and a major food source for endangered dugong, manatee, and green turtle. Although individual impacts from coastal development, degraded water quality, and climate change have been documented, there has been no quantitative global assessment of seagrass loss until now. Our comprehensive global assessment of 215 studies found that seagrasses have been disappearing at a rate of 110 km(2) yr(-1) since 1980 and that 29% of the known areal extent has disappeared since seagrass areas were initially recorded in 1879. Furthermore, rates of decline have accelerated from a median of 0.9% yr(-1) before 1940 to 7% yr(-1) since 1990. Seagrass loss rates are comparable to those reported for mangroves, coral reefs, and tropical rainforests and place seagrass meadows among the most threatened ecosystems on earth.", "author" : [ { "dropping-particle" : "", "family" : "Waycott", "given" : "Michelle", "non-dropping-particle" : "", "parse-names" : false, "suffix" : "" }, { "dropping-particle" : "", "family" : "Duarte", "given" : "Carlos M.", "non-dropping-particle" : "", "parse-names" : false, "suffix" : "" }, { "dropping-particle" : "", "family" : "Carruthers", "given" : "T.J.B.", "non-dropping-particle" : "", "parse-names" : false, "suffix" : "" }, { "dropping-particle" : "", "family" : "Orth", "given" : "Robert J.", "non-dropping-particle" : "", "parse-names" : false, "suffix" : "" }, { "dropping-particle" : "", "family" : "Dennison", "given" : "William C.", "non-dropping-particle" : "", "parse-names" : false, "suffix" : "" }, { "dropping-particle" : "", "family" : "Olyarnik", "given" : "Suzanne", "non-dropping-particle" : "", "parse-names" : false, "suffix" : "" }, { "dropping-particle" : "", "family" : "Calladine", "given" : "Ainsley", "non-dropping-particle" : "", "parse-names" : false, "suffix" : "" }, { "dropping-particle" : "", "family" : "Fourqurean", "given" : "James W.", "non-dropping-particle" : "", "parse-names" : false, "suffix" : "" }, { "dropping-particle" : "", "family" : "Heck", "given" : "Kenneth L", "non-dropping-particle" : "", "parse-names" : false, "suffix" : "" }, { "dropping-particle" : "", "family" : "Hughes", "given" : "R.G.", "non-dropping-particle" : "", "parse-names" : false, "suffix" : "" }, { "dropping-particle" : "", "family" : "Kendrick", "given" : "G.A.", "non-dropping-particle" : "", "parse-names" : false, "suffix" : "" }, { "dropping-particle" : "", "family" : "Kenworthy", "given" : "W. Judson", "non-dropping-particle" : "", "parse-names" : false, "suffix" : "" }, { "dropping-particle" : "", "family" : "Short", "given" : "Frederick T.", "non-dropping-particle" : "", "parse-names" : false, "suffix" : "" }, { "dropping-particle" : "", "family" : "Williams", "given" : "Susan L", "non-dropping-particle" : "", "parse-names" : false, "suffix" : "" } ], "container-title" : "Proceedings of the National Academy of Sciences of the United States of America", "id" : "ITEM-1", "issue" : "30", "issued" : { "date-parts" : [ [ "2009", "7" ] ] }, "page" : "12377-12381", "title" : "Accelerating loss of seagrasses across the globe threatens coastal ecosystems.", "type" : "article-journal", "volume" : "106" }, "uris" : [ "http://www.mendeley.com/documents/?uuid=aa32704c-e03d-4ad3-9327-5c687a669206" ] } ], "mendeley" : { "formattedCitation" : "(Waycott et al., 2009a)", "plainTextFormattedCitation" : "(Waycott et al., 2009a)", "previouslyFormattedCitation" : "(Waycott et al., 2009a)"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(Waycott et al</w:t>
      </w:r>
      <w:r w:rsidR="007B0660" w:rsidRPr="008608AA">
        <w:rPr>
          <w:rFonts w:eastAsia="Droid Sans Fallback"/>
          <w:noProof/>
        </w:rPr>
        <w:t>.</w:t>
      </w:r>
      <w:r w:rsidRPr="008608AA">
        <w:rPr>
          <w:rFonts w:eastAsia="Droid Sans Fallback"/>
          <w:noProof/>
        </w:rPr>
        <w:t>, 2009a)</w:t>
      </w:r>
      <w:r w:rsidRPr="008608AA">
        <w:rPr>
          <w:rFonts w:eastAsia="Droid Sans Fallback"/>
        </w:rPr>
        <w:fldChar w:fldCharType="end"/>
      </w:r>
      <w:r w:rsidRPr="008608AA">
        <w:rPr>
          <w:rFonts w:eastAsia="Droid Sans Fallback"/>
        </w:rPr>
        <w:t xml:space="preserve">, water quality improvements and habitat remediation are leading to encouraging results regarding the potential of seagrasses to recover </w:t>
      </w:r>
      <w:r w:rsidRPr="008608AA">
        <w:rPr>
          <w:rFonts w:eastAsia="Droid Sans Fallback"/>
        </w:rPr>
        <w:fldChar w:fldCharType="begin" w:fldLock="1"/>
      </w:r>
      <w:r w:rsidRPr="008608AA">
        <w:rPr>
          <w:rFonts w:eastAsia="Droid Sans Fallback"/>
        </w:rPr>
        <w:instrText>ADDIN CSL_CITATION { "citationItems" : [ { "id" : "ITEM-1", "itemData" : { "DOI" : "10.1016/j.aquabot.2009.11.006", "ISSN" : "03043770", "author" : [ { "dropping-particle" : "", "family" : "Barill\u00e9", "given" : "Laurent", "non-dropping-particle" : "", "parse-names" : false, "suffix" : "" }, { "dropping-particle" : "", "family" : "Robin", "given" : "Marc", "non-dropping-particle" : "", "parse-names" : false, "suffix" : "" }, { "dropping-particle" : "", "family" : "Harin", "given" : "Nicolas", "non-dropping-particle" : "", "parse-names" : false, "suffix" : "" }, { "dropping-particle" : "", "family" : "Bargain", "given" : "Anna\u00eblle", "non-dropping-particle" : "", "parse-names" : false, "suffix" : "" }, { "dropping-particle" : "", "family" : "Launeau", "given" : "Patrick", "non-dropping-particle" : "", "parse-names" : false, "suffix" : "" } ], "container-title" : "Aquatic Botany", "id" : "ITEM-1", "issue" : "3", "issued" : { "date-parts" : [ [ "2010", "4" ] ] }, "page" : "185-194", "title" : "Increase in seagrass distribution at Bourgneuf Bay (France) detected by spatial remote sensing", "type" : "article-journal", "volume" : "92" }, "uris" : [ "http://www.mendeley.com/documents/?uuid=c5b28733-83ed-4208-8595-9e27d9a12b1d", "http://www.mendeley.com/documents/?uuid=4d1771bb-64cf-4dd7-ba1c-2ac8d64a2cae" ] }, { "id" : "ITEM-2", "itemData" : { "ISSN" : "13851101", "author" : [ { "dropping-particle" : "", "family" : "Dolch", "given" : "Tobias", "non-dropping-particle" : "", "parse-names" : false, "suffix" : "" }, { "dropping-particle" : "", "family" : "Buschbaum", "given" : "Christian", "non-dropping-particle" : "", "parse-names" : false, "suffix" : "" }, { "dropping-particle" : "", "family" : "Reise", "given" : "Karsten", "non-dropping-particle" : "", "parse-names" : false, "suffix" : "" } ], "container-title" : "Journal of Sea Research", "id" : "ITEM-2", "issued" : { "date-parts" : [ [ "2013" ] ] }, "page" : "134-141", "publisher" : "Elsevier B.V.", "title" : "Persisting intertidal seagrass beds in the northern Wadden Sea since the 1930s", "type" : "article-journal", "volume" : "82" }, "uris" : [ "http://www.mendeley.com/documents/?uuid=b73e2fe7-b932-42c7-9343-2626b4227b67", "http://www.mendeley.com/documents/?uuid=da0081a0-6466-46a2-8674-49ae2fcdc09b" ] } ], "mendeley" : { "formattedCitation" : "(Barill\u00e9, Robin, Harin, Bargain, &amp; Launeau, 2010; Dolch, Buschbaum, &amp; Reise, 2013)", "plainTextFormattedCitation" : "(Barill\u00e9, Robin, Harin, Bargain, &amp; Launeau, 2010; Dolch, Buschbaum, &amp; Reise, 2013)", "previouslyFormattedCitation" : "(Barill\u00e9, Robin, Harin, Bargain, &amp; Launeau, 2010; Dolch, Buschbaum, &amp; Reise, 2013)" }, "properties" : {  }, "schema" : "https://github.com/citation-style-language/schema/raw/master/csl-citation.json" }</w:instrText>
      </w:r>
      <w:r w:rsidRPr="008608AA">
        <w:rPr>
          <w:rFonts w:eastAsia="Droid Sans Fallback"/>
        </w:rPr>
        <w:fldChar w:fldCharType="separate"/>
      </w:r>
      <w:r w:rsidR="007B0660" w:rsidRPr="008608AA">
        <w:rPr>
          <w:rFonts w:eastAsia="Droid Sans Fallback"/>
          <w:noProof/>
        </w:rPr>
        <w:t>(Barillé et al., 2010; Dolch</w:t>
      </w:r>
      <w:r w:rsidRPr="008608AA">
        <w:rPr>
          <w:rFonts w:eastAsia="Droid Sans Fallback"/>
          <w:noProof/>
        </w:rPr>
        <w:t xml:space="preserve"> et al., 2013)</w:t>
      </w:r>
      <w:r w:rsidRPr="008608AA">
        <w:rPr>
          <w:rFonts w:eastAsia="Droid Sans Fallback"/>
        </w:rPr>
        <w:fldChar w:fldCharType="end"/>
      </w:r>
      <w:r w:rsidRPr="008608AA">
        <w:rPr>
          <w:rFonts w:eastAsia="Droid Sans Fallback"/>
        </w:rPr>
        <w:t>. Thus under a Policy Reform scenario archetype, a reduction in impacts to seagrasses might be possible.</w:t>
      </w:r>
    </w:p>
    <w:p w14:paraId="78CEB06C" w14:textId="77777777" w:rsidR="007F7607" w:rsidRPr="008608AA" w:rsidRDefault="007F7607" w:rsidP="00EE708F">
      <w:pPr>
        <w:suppressAutoHyphens/>
        <w:rPr>
          <w:rFonts w:eastAsia="Droid Sans Fallback"/>
        </w:rPr>
      </w:pPr>
    </w:p>
    <w:p w14:paraId="79A872BB" w14:textId="77777777" w:rsidR="00490494" w:rsidRPr="008608AA" w:rsidRDefault="00490494" w:rsidP="00EE708F">
      <w:pPr>
        <w:suppressAutoHyphens/>
        <w:rPr>
          <w:rFonts w:eastAsia="Droid Sans Fallback"/>
          <w:u w:val="single"/>
        </w:rPr>
      </w:pPr>
      <w:r w:rsidRPr="008608AA">
        <w:rPr>
          <w:rFonts w:eastAsia="Droid Sans Fallback"/>
        </w:rPr>
        <w:t>Under a Great Transitions scenario archetype where there is a high awareness and concern about the negative repercussions derived from the loss of biodiversity and ecosystem functions of these habitats, policy changes that allow seagrasses to become targeted for conservation and restoration, and promotes attenuation of global warming, seagrass meadow decline might be reduced and recovery might occur.</w:t>
      </w:r>
      <w:r w:rsidRPr="008608AA">
        <w:rPr>
          <w:rFonts w:eastAsia="Droid Sans Fallback"/>
          <w:u w:val="single"/>
        </w:rPr>
        <w:t xml:space="preserve"> </w:t>
      </w:r>
    </w:p>
    <w:p w14:paraId="19A88A3F" w14:textId="77777777" w:rsidR="007F7607" w:rsidRPr="008608AA" w:rsidRDefault="007F7607" w:rsidP="00EE708F">
      <w:pPr>
        <w:suppressAutoHyphens/>
        <w:rPr>
          <w:rFonts w:eastAsia="Droid Sans Fallback"/>
          <w:u w:val="single"/>
        </w:rPr>
      </w:pPr>
    </w:p>
    <w:p w14:paraId="4E466FB0" w14:textId="49A6398D" w:rsidR="002C1747" w:rsidRPr="008608AA" w:rsidRDefault="00490494" w:rsidP="00EE708F">
      <w:pPr>
        <w:suppressAutoHyphens/>
        <w:rPr>
          <w:rFonts w:eastAsia="Droid Sans Fallback"/>
        </w:rPr>
      </w:pPr>
      <w:r w:rsidRPr="008608AA">
        <w:rPr>
          <w:rFonts w:eastAsia="Droid Sans Fallback"/>
        </w:rPr>
        <w:t xml:space="preserve">Salt Marshes. In recent years, many previously healthy marshes in the Americas show adverse effects from sea level rise (such as ponding, where water remains on the marsh surface during low tide and plants get water-logged), and it is questionable whether they will be able to keep up. The actual rate of sea level rise in the future will affect which marshes can keep up. Other marshes are being restored, a very expensive procedure. There are some attempts to increase their elevations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"Ford", "given" : "M.A.", "non-dropping-particle" : "", "parse-names" : false, "suffix" : "" }, { "dropping-particle" : "", "family" : "Cahoon", "given" : "D", "non-dropping-particle" : "", "parse-names" : false, "suffix" : "" }, { "dropping-particle" : "", "family" : "Lynch", "given" : "JC", "non-dropping-particle" : "", "parse-names" : false, "suffix" : "" } ], "container-title" : "Ecological Engineering", "id" : "ITEM-1", "issued" : { "date-parts" : [ [ "1999" ] ] }, "page" : "189-205", "title" : "Restoring marsh elevation in a rapidly subsiding salt marsh by thin layer deposition of dredged material", "type" : "article-journal", "volume" : "12" }, "uris" : [ "http://www.mendeley.com/documents/?uuid=c49fc89c-b783-43c4-a44d-554dca8ef698", "http://www.mendeley.com/documents/?uuid=a4ccad58-3f42-4367-8fea-80bc6ebe65a6" ] } ], "mendeley" : { "formattedCitation" : "(Ford, Cahoon, &amp; Lynch, 1999)", "manualFormatting" : "(Ford et al., 1999)", "plainTextFormattedCitation" : "(Ford, Cahoon, &amp; Lynch, 1999)", "previouslyFormattedCitation" : "(Ford, Cahoon, &amp; Lynch, 1999)"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(Ford et al</w:t>
      </w:r>
      <w:r w:rsidR="007B0660" w:rsidRPr="008608AA">
        <w:rPr>
          <w:rFonts w:eastAsia="Droid Sans Fallback"/>
          <w:noProof/>
        </w:rPr>
        <w:t>.</w:t>
      </w:r>
      <w:r w:rsidRPr="008608AA">
        <w:rPr>
          <w:rFonts w:eastAsia="Droid Sans Fallback"/>
          <w:noProof/>
        </w:rPr>
        <w:t>, 1999)</w:t>
      </w:r>
      <w:r w:rsidRPr="008608AA">
        <w:rPr>
          <w:rFonts w:eastAsia="Droid Sans Fallback"/>
        </w:rPr>
        <w:fldChar w:fldCharType="end"/>
      </w:r>
      <w:r w:rsidRPr="008608AA">
        <w:rPr>
          <w:rFonts w:eastAsia="Droid Sans Fallback"/>
        </w:rPr>
        <w:t xml:space="preserve">, but given the inevitability of sea level rise at an accelerated rate, it is highly probable that extensive areas will continue to be lost. The invasive reed, </w:t>
      </w:r>
      <w:r w:rsidRPr="008608AA">
        <w:rPr>
          <w:rFonts w:eastAsia="Droid Sans Fallback"/>
          <w:i/>
        </w:rPr>
        <w:t>Phragmites australis</w:t>
      </w:r>
      <w:r w:rsidRPr="008608AA">
        <w:rPr>
          <w:rFonts w:eastAsia="Droid Sans Fallback"/>
        </w:rPr>
        <w:t xml:space="preserve">, which has reduced plant diversity in many brackish marshes in the East coast of the USA and is often removed in restoration projects, allows marshes to increase their elevation more rapidly </w:t>
      </w:r>
      <w:r w:rsidRPr="008608AA">
        <w:rPr>
          <w:rFonts w:eastAsia="Droid Sans Fallback"/>
        </w:rPr>
        <w:fldChar w:fldCharType="begin" w:fldLock="1"/>
      </w:r>
      <w:r w:rsidRPr="008608AA">
        <w:rPr>
          <w:rFonts w:eastAsia="Droid Sans Fallback"/>
        </w:rPr>
        <w:instrText>ADDIN CSL_CITATION { "citationItems" : [ { "id" : "ITEM-1", "itemData" : { "DOI" : "10.1023/a:1008444502859", "ISBN" : "0923-4861", "ISSN" : "0923-4861", "abstract" : "The explosive expansion of the common reed Phragmites australis over the last 50 years in the wetlands of the U.S. mid-Atlantic has been of concern to biologists, resource managers and the general public. The replacement of Spartina spp. communities by the invasive P. australis has been widely reported, but the ecosystem effect of this replacement is poorly understood, especially with regard to sediment accretion processes and elevation change. It is hypothesized that a more detailed understanding of individual plant species and their role in marsh accretion may provide an improved ability to predict the effect of projected sea-level rise in coastal wetlands. Two coastal salt marsh sites on the Eastern Shore of Chesapeake Bay in Maryland (USA) were studied to quantify depositional environments associated with P. australis. Short-term sediment deposition (24 hr) and storm deposition (17 d) were measured using filter paper plates, and vertical accretion and elevation change (6 mo.) were measured using a marker horizon coupled with a sedimentation erosion table (SET). Greater rates of mineral and organic sediment trapping were associated with the P. australis community in both a subsiding creek bank marsh (34 gcntdotm-2cntdotday-1 in P. australis vs. 18 gcntdotm-2cntdotday-1 in Spartina spp.) and a laterally eroding marsh (24 gcntdotm-2cntdotday-1 in P. australis vs. 15 gcntdotm-2cntdotday-1 in Spartina spp.). Litter accumulation in P. australis stands is responsible for the higher depositional pattern observed. Additionally, below ground accumulation in P. australis communities (as much as 3 mm in 6 months) appears to substantially increase substrate elevation over relatively short time periods. Thus P. australis may provide resource managers with a strategy of combating sea-level rise and current control measures fail to take this into consideration.", "author" : [ { "dropping-particle" : "", "family" : "Rooth", "given" : "J E", "non-dropping-particle" : "", "parse-names" : false, "suffix" : "" }, { "dropping-particle" : "", "family" : "Stevenson", "given" : "J C", "non-dropping-particle" : "", "parse-names" : false, "suffix" : "" } ], "container-title" : "Wetlands Ecology and Management", "id" : "ITEM-1", "issued" : { "date-parts" : [ [ "2000" ] ] }, "title" : "Sediment deposition patterns in Phragmites australis communities: Implications for coastal areas threatened by rising sea-level", "type" : "article-journal" }, "uris" : [ "http://www.mendeley.com/documents/?uuid=fcbad206-590d-3128-a7b5-c60d53bd6455", "http://www.mendeley.com/documents/?uuid=6c5d48fa-7789-4a49-92ad-ec877daab96f" ] } ], "mendeley" : { "formattedCitation" : "(Rooth &amp; Stevenson, 2000)", "manualFormatting" : "(Rooth and Stevenson, 2000)", "plainTextFormattedCitation" : "(Rooth &amp; Stevenson, 2000)", "previouslyFormattedCitation" : "(Rooth &amp; Stevenson, 2000)" }, "properties" : {  }, "schema" : "https://github.com/citation-style-language/schema/raw/master/csl-citation.json" }</w:instrText>
      </w:r>
      <w:r w:rsidRPr="008608AA">
        <w:rPr>
          <w:rFonts w:eastAsia="Droid Sans Fallback"/>
        </w:rPr>
        <w:fldChar w:fldCharType="separate"/>
      </w:r>
      <w:r w:rsidR="00F81B1B" w:rsidRPr="008608AA">
        <w:rPr>
          <w:rFonts w:eastAsia="Droid Sans Fallback"/>
          <w:noProof/>
        </w:rPr>
        <w:t>(Rooth &amp;</w:t>
      </w:r>
      <w:r w:rsidRPr="008608AA">
        <w:rPr>
          <w:rFonts w:eastAsia="Droid Sans Fallback"/>
          <w:noProof/>
        </w:rPr>
        <w:t xml:space="preserve"> Stevenson, 2000)</w:t>
      </w:r>
      <w:r w:rsidRPr="008608AA">
        <w:rPr>
          <w:rFonts w:eastAsia="Droid Sans Fallback"/>
        </w:rPr>
        <w:fldChar w:fldCharType="end"/>
      </w:r>
      <w:r w:rsidRPr="008608AA">
        <w:rPr>
          <w:rFonts w:eastAsia="Droid Sans Fallback"/>
        </w:rPr>
        <w:t xml:space="preserve"> and might better enable marshes </w:t>
      </w:r>
      <w:r w:rsidR="002C1747" w:rsidRPr="008608AA">
        <w:rPr>
          <w:rFonts w:eastAsia="Droid Sans Fallback"/>
        </w:rPr>
        <w:t>to keep up with sea level rise.</w:t>
      </w:r>
    </w:p>
    <w:p w14:paraId="729F35D4" w14:textId="6B04D12F" w:rsidR="00EE708F" w:rsidRPr="008608AA" w:rsidRDefault="00490494" w:rsidP="00345EF6">
      <w:pPr>
        <w:pStyle w:val="Heading3"/>
        <w:rPr>
          <w:rFonts w:eastAsia="Droid Sans Fallback"/>
        </w:rPr>
      </w:pPr>
      <w:bookmarkStart w:id="2098" w:name="_Toc499256896"/>
      <w:r w:rsidRPr="008608AA">
        <w:rPr>
          <w:rFonts w:eastAsia="Droid Sans Fallback"/>
        </w:rPr>
        <w:t xml:space="preserve"> </w:t>
      </w:r>
      <w:bookmarkStart w:id="2099" w:name="_Toc502953643"/>
      <w:bookmarkStart w:id="2100" w:name="_Toc502954936"/>
      <w:bookmarkStart w:id="2101" w:name="_Toc502957743"/>
      <w:bookmarkStart w:id="2102" w:name="_Toc502957942"/>
      <w:bookmarkStart w:id="2103" w:name="_Toc502958096"/>
      <w:bookmarkStart w:id="2104" w:name="_Toc503293165"/>
      <w:bookmarkStart w:id="2105" w:name="_Toc503293763"/>
      <w:bookmarkStart w:id="2106" w:name="_Toc503294025"/>
      <w:bookmarkStart w:id="2107" w:name="_Toc503863418"/>
      <w:bookmarkStart w:id="2108" w:name="_Toc503863646"/>
      <w:bookmarkStart w:id="2109" w:name="_Toc517393414"/>
      <w:bookmarkStart w:id="2110" w:name="_Toc517719155"/>
      <w:bookmarkStart w:id="2111" w:name="_Toc517797112"/>
      <w:r w:rsidRPr="008608AA">
        <w:rPr>
          <w:rFonts w:eastAsia="Droid Sans Fallback"/>
        </w:rPr>
        <w:t>Cryosphere</w:t>
      </w:r>
      <w:bookmarkEnd w:id="2098"/>
      <w:bookmarkEnd w:id="2099"/>
      <w:bookmarkEnd w:id="2100"/>
      <w:bookmarkEnd w:id="2101"/>
      <w:bookmarkEnd w:id="2102"/>
      <w:bookmarkEnd w:id="2103"/>
      <w:bookmarkEnd w:id="2104"/>
      <w:bookmarkEnd w:id="2105"/>
      <w:bookmarkEnd w:id="2106"/>
      <w:bookmarkEnd w:id="2107"/>
      <w:bookmarkEnd w:id="2108"/>
      <w:r w:rsidR="003E0387" w:rsidRPr="008608AA">
        <w:rPr>
          <w:rFonts w:eastAsia="Droid Sans Fallback"/>
        </w:rPr>
        <w:t xml:space="preserve"> </w:t>
      </w:r>
      <w:r w:rsidR="008739F4" w:rsidRPr="008608AA">
        <w:rPr>
          <w:rFonts w:eastAsia="Droid Sans Fallback"/>
        </w:rPr>
        <w:t>unit of analysis</w:t>
      </w:r>
      <w:bookmarkEnd w:id="2109"/>
      <w:bookmarkEnd w:id="2110"/>
      <w:bookmarkEnd w:id="2111"/>
    </w:p>
    <w:p w14:paraId="60E0F3DC" w14:textId="26C3DB9D" w:rsidR="00EE708F" w:rsidRPr="008608AA" w:rsidRDefault="00345EF6" w:rsidP="00EE708F">
      <w:pPr>
        <w:spacing w:before="240"/>
        <w:jc w:val="center"/>
        <w:rPr>
          <w:rFonts w:eastAsia="Droid Sans Fallback"/>
        </w:rPr>
      </w:pPr>
      <w:r w:rsidRPr="008608AA">
        <w:rPr>
          <w:rFonts w:eastAsia="Droid Sans Fallback"/>
          <w:noProof/>
          <w:lang w:val="en-GB" w:eastAsia="en-GB"/>
        </w:rPr>
        <w:drawing>
          <wp:inline distT="0" distB="0" distL="0" distR="0" wp14:anchorId="7F12BD0C" wp14:editId="535609D4">
            <wp:extent cx="5934075" cy="8553450"/>
            <wp:effectExtent l="0" t="0" r="9525" b="0"/>
            <wp:docPr id="81" name="Imagen 81" descr="C:\Users\Alejandro Valderrama\Downloads\fIg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9" descr="C:\Users\Alejandro Valderrama\Downloads\fIg5.20.jpg"/>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5934075" cy="8553450"/>
                    </a:xfrm>
                    <a:prstGeom prst="rect">
                      <a:avLst/>
                    </a:prstGeom>
                    <a:noFill/>
                    <a:ln>
                      <a:noFill/>
                    </a:ln>
                  </pic:spPr>
                </pic:pic>
              </a:graphicData>
            </a:graphic>
          </wp:inline>
        </w:drawing>
      </w:r>
    </w:p>
    <w:p w14:paraId="7671CEC4" w14:textId="34DB3430" w:rsidR="00EE708F" w:rsidRPr="008608AA" w:rsidRDefault="00EE708F" w:rsidP="00EE708F">
      <w:pPr>
        <w:spacing w:before="240"/>
        <w:rPr>
          <w:rFonts w:eastAsia="Droid Sans Fallback"/>
        </w:rPr>
      </w:pPr>
      <w:r w:rsidRPr="008608AA">
        <w:rPr>
          <w:rFonts w:eastAsia="Droid Sans Fallback"/>
        </w:rPr>
        <w:t>A</w:t>
      </w:r>
      <w:r w:rsidR="00490494" w:rsidRPr="008608AA">
        <w:rPr>
          <w:rFonts w:eastAsia="Droid Sans Fallback"/>
        </w:rPr>
        <w:t xml:space="preserve">rctic sea ice is an important habitat for many species in northern Canada and Alaska. Sea ice includes both multi-year ice (fast ice) as well as seasonal ice. The extent of multi-year sea ice in the circumpolar north is highly variable and subject to cyclical drivers such as the North Atlantic Oscillation </w:t>
      </w:r>
      <w:r w:rsidR="00490494" w:rsidRPr="008608AA">
        <w:rPr>
          <w:rFonts w:eastAsia="Droid Sans Fallback"/>
        </w:rPr>
        <w:fldChar w:fldCharType="begin" w:fldLock="1"/>
      </w:r>
      <w:r w:rsidR="00490494" w:rsidRPr="008608AA">
        <w:rPr>
          <w:rFonts w:eastAsia="Droid Sans Fallback"/>
        </w:rPr>
        <w:instrText>ADDIN CSL_CITATION { "citationItems" : [ { "id" : "ITEM-1", "itemData" : { "DOI" : "10.1038/ngeo2738", "author" : [ { "dropping-particle" : "", "family" : "Delworth", "given" : "Thomas L.", "non-dropping-particle" : "", "parse-names" : false, "suffix" : "" }, { "dropping-particle" : "", "family" : "Zeng", "given" : "Fanrong", "non-dropping-particle" : "", "parse-names" : false, "suffix" : "" }, { "dropping-particle" : "", "family" : "Vecchi", "given" : "Gabriel A.", "non-dropping-particle" : "", "parse-names" : false, "suffix" : "" }, { "dropping-particle" : "", "family" : "Yang", "given" : "Xiaosong", "non-dropping-particle" : "", "parse-names" : false, "suffix" : "" }, { "dropping-particle" : "", "family" : "Zhang", "given" : "Liping", "non-dropping-particle" : "", "parse-names" : false, "suffix" : "" }, { "dropping-particle" : "", "family" : "Zhang", "given" : "Rong", "non-dropping-particle" : "", "parse-names" : false, "suffix" : "" } ], "container-title" : "Nature Geoscience", "id" : "ITEM-1", "issued" : { "date-parts" : [ [ "2016" ] ] }, "page" : "509-512", "title" : "The North Atlantic Oscillation as a driving force for observed rapid Arctic sea ice change , hemispheric warming , and Atlantic tropical cyclone variability", "type" : "article-journal", "volume" : "9" }, "uris" : [ "http://www.mendeley.com/documents/?uuid=114b31f0-c545-4f35-b2cd-e21a82c5f612" ] } ], "mendeley" : { "formattedCitation" : "(Delworth et al., 2016)", "plainTextFormattedCitation" : "(Delworth et al., 2016)", "previouslyFormattedCitation" : "(Delworth et al., 2016)" }, "properties" : {  }, "schema" : "https://github.com/citation-style-language/schema/raw/master/csl-citation.json" }</w:instrText>
      </w:r>
      <w:r w:rsidR="00490494" w:rsidRPr="008608AA">
        <w:rPr>
          <w:rFonts w:eastAsia="Droid Sans Fallback"/>
        </w:rPr>
        <w:fldChar w:fldCharType="separate"/>
      </w:r>
      <w:r w:rsidR="00490494" w:rsidRPr="008608AA">
        <w:rPr>
          <w:rFonts w:eastAsia="Droid Sans Fallback"/>
          <w:noProof/>
        </w:rPr>
        <w:t>(Delworth et al., 2016)</w:t>
      </w:r>
      <w:r w:rsidR="00490494" w:rsidRPr="008608AA">
        <w:rPr>
          <w:rFonts w:eastAsia="Droid Sans Fallback"/>
        </w:rPr>
        <w:fldChar w:fldCharType="end"/>
      </w:r>
      <w:r w:rsidR="00490494" w:rsidRPr="008608AA">
        <w:rPr>
          <w:rFonts w:eastAsia="Droid Sans Fallback"/>
        </w:rPr>
        <w:t>. The range in area of sea ice varies on a yearly basis from 15 million km</w:t>
      </w:r>
      <w:r w:rsidR="00490494" w:rsidRPr="008608AA">
        <w:rPr>
          <w:rFonts w:eastAsia="Droid Sans Fallback"/>
          <w:vertAlign w:val="superscript"/>
        </w:rPr>
        <w:t>2</w:t>
      </w:r>
      <w:r w:rsidR="00490494" w:rsidRPr="008608AA">
        <w:rPr>
          <w:rFonts w:eastAsia="Droid Sans Fallback"/>
        </w:rPr>
        <w:t xml:space="preserve"> on average to 7 million km</w:t>
      </w:r>
      <w:r w:rsidR="00490494" w:rsidRPr="008608AA">
        <w:rPr>
          <w:rFonts w:eastAsia="Droid Sans Fallback"/>
          <w:vertAlign w:val="superscript"/>
        </w:rPr>
        <w:t>2</w:t>
      </w:r>
      <w:r w:rsidR="00490494" w:rsidRPr="008608AA">
        <w:rPr>
          <w:rFonts w:eastAsia="Droid Sans Fallback"/>
        </w:rPr>
        <w:t xml:space="preserve">, considering September as reference. However, this is theorized to be changing due to climate change. </w:t>
      </w:r>
    </w:p>
    <w:p w14:paraId="4728FB3F" w14:textId="3688B230" w:rsidR="00EE708F" w:rsidRPr="008608AA" w:rsidRDefault="00345EF6" w:rsidP="00EE708F">
      <w:pPr>
        <w:spacing w:before="240"/>
        <w:jc w:val="center"/>
        <w:rPr>
          <w:rFonts w:eastAsia="Droid Sans Fallback"/>
        </w:rPr>
      </w:pPr>
      <w:r w:rsidRPr="008608AA">
        <w:rPr>
          <w:rFonts w:eastAsia="Droid Sans Fallback"/>
          <w:noProof/>
          <w:lang w:val="en-GB" w:eastAsia="en-GB"/>
        </w:rPr>
        <w:drawing>
          <wp:inline distT="0" distB="0" distL="0" distR="0" wp14:anchorId="79F3FB0A" wp14:editId="6300767F">
            <wp:extent cx="5934075" cy="4010025"/>
            <wp:effectExtent l="0" t="0" r="9525" b="9525"/>
            <wp:docPr id="82" name="Imagen 82" descr="C:\Users\Alejandro Valderrama\Downloads\Fig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1" descr="C:\Users\Alejandro Valderrama\Downloads\Fig5.21.jpg"/>
                    <pic:cNvPicPr>
                      <a:picLocks noChangeAspect="1" noChangeArrowheads="1"/>
                    </pic:cNvPicPr>
                  </pic:nvPicPr>
                  <pic:blipFill rotWithShape="1">
                    <a:blip r:embed="rId1048">
                      <a:extLst>
                        <a:ext uri="{28A0092B-C50C-407E-A947-70E740481C1C}">
                          <a14:useLocalDpi xmlns:a14="http://schemas.microsoft.com/office/drawing/2010/main" val="0"/>
                        </a:ext>
                      </a:extLst>
                    </a:blip>
                    <a:srcRect b="53118"/>
                    <a:stretch/>
                  </pic:blipFill>
                  <pic:spPr bwMode="auto">
                    <a:xfrm>
                      <a:off x="0" y="0"/>
                      <a:ext cx="5934075" cy="4010025"/>
                    </a:xfrm>
                    <a:prstGeom prst="rect">
                      <a:avLst/>
                    </a:prstGeom>
                    <a:noFill/>
                    <a:ln>
                      <a:noFill/>
                    </a:ln>
                    <a:extLst>
                      <a:ext uri="{53640926-AAD7-44D8-BBD7-CCE9431645EC}">
                        <a14:shadowObscured xmlns:a14="http://schemas.microsoft.com/office/drawing/2010/main"/>
                      </a:ext>
                    </a:extLst>
                  </pic:spPr>
                </pic:pic>
              </a:graphicData>
            </a:graphic>
          </wp:inline>
        </w:drawing>
      </w:r>
    </w:p>
    <w:p w14:paraId="3A8B8D36" w14:textId="0A3B89FD" w:rsidR="00490494" w:rsidRPr="008608AA" w:rsidRDefault="00490494" w:rsidP="00EE708F">
      <w:pPr>
        <w:spacing w:before="240"/>
        <w:rPr>
          <w:rFonts w:eastAsia="Droid Sans Fallback"/>
        </w:rPr>
      </w:pPr>
      <w:r w:rsidRPr="008608AA">
        <w:rPr>
          <w:rFonts w:eastAsia="Droid Sans Fallback"/>
        </w:rPr>
        <w:t>Sea ice provides provisioning services as habitat for many arctic species including polar bears, seals, and walruses, which in turn provide economic and health benefit to northern peoples. Sea ice is also considered to be providing regulating services related to climate change impacts (</w:t>
      </w:r>
      <w:r w:rsidR="00847F60" w:rsidRPr="008608AA">
        <w:rPr>
          <w:rFonts w:eastAsia="Droid Sans Fallback"/>
        </w:rPr>
        <w:t>e.g.</w:t>
      </w:r>
      <w:r w:rsidRPr="008608AA">
        <w:rPr>
          <w:rFonts w:eastAsia="Droid Sans Fallback"/>
        </w:rPr>
        <w:t xml:space="preserve"> regional and global air and water temperatures) </w:t>
      </w:r>
      <w:r w:rsidRPr="008608AA">
        <w:rPr>
          <w:rFonts w:eastAsia="Droid Sans Fallback"/>
        </w:rPr>
        <w:fldChar w:fldCharType="begin" w:fldLock="1"/>
      </w:r>
      <w:r w:rsidRPr="008608AA">
        <w:rPr>
          <w:rFonts w:eastAsia="Droid Sans Fallback"/>
        </w:rPr>
        <w:instrText>ADDIN CSL_CITATION { "citationItems" : [ { "id" : "ITEM-1", "itemData" : { "DOI" : "10.1038/nclimate1784", "ISSN" : "1758-678X", "author" : [ { "dropping-particle" : "", "family" : "Parmentier", "given" : "Frans-Jan W", "non-dropping-particle" : "", "parse-names" : false, "suffix" : "" }, { "dropping-particle" : "", "family" : "Christensen", "given" : "Torben R", "non-dropping-particle" : "", "parse-names" : false, "suffix" : "" }, { "dropping-particle" : "", "family" : "S\u00f8rensen", "given" : "Lise Lotte", "non-dropping-particle" : "", "parse-names" : false, "suffix" : "" }, { "dropping-particle" : "", "family" : "Rysgaard", "given" : "S\u00f8ren", "non-dropping-particle" : "", "parse-names" : false, "suffix" : "" }, { "dropping-particle" : "", "family" : "Mcguire", "given" : "A David", "non-dropping-particle" : "", "parse-names" : false, "suffix" : "" }, { "dropping-particle" : "", "family" : "Miller", "given" : "Paul A", "non-dropping-particle" : "", "parse-names" : false, "suffix" : "" }, { "dropping-particle" : "", "family" : "Walker", "given" : "Donald A", "non-dropping-particle" : "", "parse-names" : false, "suffix" : "" } ], "container-title" : "Nature Climate Change", "id" : "ITEM-1", "issue" : "3", "issued" : { "date-parts" : [ [ "2013" ] ] }, "page" : "195-202", "publisher" : "Nature Publishing Group", "title" : "The impact of lower sea-ice extent on Arctic greenhouse-gas exchange", "type" : "article-journal", "volume" : "3" }, "uris" : [ "http://www.mendeley.com/documents/?uuid=a239d194-f57f-4d67-8c1a-e241e1791308" ] } ], "mendeley" : { "formattedCitation" : "(Parmentier et al., 2013)", "plainTextFormattedCitation" : "(Parmentier et al., 2013)", "previouslyFormattedCitation" : "(Parmentier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(Parmentier et al</w:t>
      </w:r>
      <w:r w:rsidR="00134E5B" w:rsidRPr="008608AA">
        <w:rPr>
          <w:rFonts w:eastAsia="Droid Sans Fallback"/>
          <w:noProof/>
        </w:rPr>
        <w:t>.</w:t>
      </w:r>
      <w:r w:rsidRPr="008608AA">
        <w:rPr>
          <w:rFonts w:eastAsia="Droid Sans Fallback"/>
          <w:noProof/>
        </w:rPr>
        <w:t>, 2013)</w:t>
      </w:r>
      <w:r w:rsidRPr="008608AA">
        <w:rPr>
          <w:rFonts w:eastAsia="Droid Sans Fallback"/>
        </w:rPr>
        <w:fldChar w:fldCharType="end"/>
      </w:r>
      <w:r w:rsidRPr="008608AA">
        <w:rPr>
          <w:rFonts w:eastAsia="Droid Sans Fallback"/>
        </w:rPr>
        <w:t xml:space="preserve">. There are also valuable cultural services in the form of tourism and recreation that are sometimes considered, as the arctic becomes a greater interest globally </w:t>
      </w:r>
      <w:r w:rsidRPr="008608AA">
        <w:rPr>
          <w:rFonts w:eastAsia="Droid Sans Fallback"/>
        </w:rPr>
        <w:fldChar w:fldCharType="begin" w:fldLock="1"/>
      </w:r>
      <w:r w:rsidRPr="008608AA">
        <w:rPr>
          <w:rFonts w:eastAsia="Droid Sans Fallback"/>
        </w:rPr>
        <w:instrText>ADDIN CSL_CITATION { "citationItems" : [ { "id" : "ITEM-1", "itemData" : { "DOI" : "10.1080/1088937X.2016.1274789", "author" : [ { "dropping-particle" : "", "family" : "Stewart", "given" : "Emma J", "non-dropping-particle" : "", "parse-names" : false, "suffix" : "" }, { "dropping-particle" : "", "family" : "Liggett", "given" : "Daniela", "non-dropping-particle" : "", "parse-names" : false, "suffix" : "" }, { "dropping-particle" : "", "family" : "Dawson", "given" : "Jackie", "non-dropping-particle" : "", "parse-names" : false, "suffix" : "" } ], "container-title" : "Polar Geography", "id" : "ITEM-1", "issue" : "1", "issued" : { "date-parts" : [ [ "2017" ] ] }, "page" : "59-84", "publisher" : "Taylor &amp; Francis", "title" : "The evolution of polar tourism scholarship : research themes , networks and agendas", "type" : "article-journal", "volume" : "40" }, "uris" : [ "http://www.mendeley.com/documents/?uuid=68b26d8c-b862-46e1-a88c-1baba68a1809" ] } ], "mendeley" : { "formattedCitation" : "(Stewart, Liggett, &amp; Dawson, 2017)", "plainTextFormattedCitation" : "(Stewart, Liggett, &amp; Dawson, 2017)", "previouslyFormattedCitation" : "(Stewart, Liggett, &amp; Dawson, 2017)" }, "properties" : {  }, "schema" : "https://github.com/citation-style-language/schema/raw/master/csl-citation.json" }</w:instrText>
      </w:r>
      <w:r w:rsidRPr="008608AA">
        <w:rPr>
          <w:rFonts w:eastAsia="Droid Sans Fallback"/>
        </w:rPr>
        <w:fldChar w:fldCharType="separate"/>
      </w:r>
      <w:r w:rsidR="00F81B1B" w:rsidRPr="008608AA">
        <w:rPr>
          <w:rFonts w:eastAsia="Droid Sans Fallback"/>
          <w:noProof/>
        </w:rPr>
        <w:t>(Stewart</w:t>
      </w:r>
      <w:r w:rsidRPr="008608AA">
        <w:rPr>
          <w:rFonts w:eastAsia="Droid Sans Fallback"/>
          <w:noProof/>
        </w:rPr>
        <w:t xml:space="preserve"> et al., 2017)</w:t>
      </w:r>
      <w:r w:rsidRPr="008608AA">
        <w:rPr>
          <w:rFonts w:eastAsia="Droid Sans Fallback"/>
        </w:rPr>
        <w:fldChar w:fldCharType="end"/>
      </w:r>
      <w:r w:rsidRPr="008608AA">
        <w:rPr>
          <w:rFonts w:eastAsia="Droid Sans Fallback"/>
        </w:rPr>
        <w:t xml:space="preserve">. </w:t>
      </w:r>
    </w:p>
    <w:p w14:paraId="52AB23FA" w14:textId="77777777" w:rsidR="00EE708F" w:rsidRPr="008608AA" w:rsidRDefault="00EE708F" w:rsidP="00EE708F">
      <w:pPr>
        <w:spacing w:before="240"/>
        <w:rPr>
          <w:rFonts w:eastAsia="Droid Sans Fallback"/>
        </w:rPr>
      </w:pPr>
    </w:p>
    <w:p w14:paraId="16B5230B" w14:textId="77777777" w:rsidR="00490494" w:rsidRPr="008608AA" w:rsidRDefault="00490494" w:rsidP="00EE708F">
      <w:pPr>
        <w:pStyle w:val="Heading2"/>
      </w:pPr>
      <w:bookmarkStart w:id="2112" w:name="_Toc499256897"/>
      <w:bookmarkStart w:id="2113" w:name="_Toc502953644"/>
      <w:bookmarkStart w:id="2114" w:name="_Toc502954937"/>
      <w:bookmarkStart w:id="2115" w:name="_Toc502957744"/>
      <w:bookmarkStart w:id="2116" w:name="_Toc502957943"/>
      <w:bookmarkStart w:id="2117" w:name="_Toc502958097"/>
      <w:bookmarkStart w:id="2118" w:name="_Toc503293166"/>
      <w:bookmarkStart w:id="2119" w:name="_Toc503293764"/>
      <w:bookmarkStart w:id="2120" w:name="_Toc503294026"/>
      <w:bookmarkStart w:id="2121" w:name="_Toc503863419"/>
      <w:bookmarkStart w:id="2122" w:name="_Toc503863647"/>
      <w:bookmarkStart w:id="2123" w:name="_Toc517393415"/>
      <w:bookmarkStart w:id="2124" w:name="_Toc517719156"/>
      <w:bookmarkStart w:id="2125" w:name="_Toc517797113"/>
      <w:r w:rsidRPr="008608AA">
        <w:t>Major trends of nature and nature's contributions to people in the Americas: learning from global scale literature</w:t>
      </w:r>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p>
    <w:p w14:paraId="1B1444CA" w14:textId="77777777" w:rsidR="003247C5" w:rsidRPr="008608AA" w:rsidRDefault="00490494" w:rsidP="00EE708F">
      <w:pPr>
        <w:suppressAutoHyphens/>
        <w:rPr>
          <w:rFonts w:eastAsia="Droid Sans Fallback"/>
          <w:lang w:eastAsia="ja-JP"/>
        </w:rPr>
      </w:pPr>
      <w:r w:rsidRPr="008608AA">
        <w:rPr>
          <w:rFonts w:eastAsia="Droid Sans Fallback"/>
          <w:lang w:eastAsia="ja-JP"/>
        </w:rPr>
        <w:t>Extensive efforts have been allocated to develop global biodiversity databases and integrated assessment models with the aim of understanding past, present and future trends of nature and nature’s benefit to people (</w:t>
      </w:r>
      <w:r w:rsidR="00847F60" w:rsidRPr="008608AA">
        <w:rPr>
          <w:rFonts w:eastAsia="Droid Sans Fallback"/>
          <w:lang w:eastAsia="ja-JP"/>
        </w:rPr>
        <w:t>e.g.</w:t>
      </w:r>
      <w:r w:rsidRPr="008608AA">
        <w:rPr>
          <w:rFonts w:eastAsia="Droid Sans Fallback"/>
          <w:lang w:eastAsia="ja-JP"/>
        </w:rPr>
        <w:t xml:space="preserve"> </w:t>
      </w:r>
      <w:r w:rsidRPr="008608AA">
        <w:rPr>
          <w:rFonts w:eastAsia="Droid Sans Fallback"/>
          <w:lang w:eastAsia="ja-JP"/>
        </w:rPr>
        <w:fldChar w:fldCharType="begin" w:fldLock="1"/>
      </w:r>
      <w:r w:rsidRPr="008608AA">
        <w:rPr>
          <w:rFonts w:eastAsia="Droid Sans Fallback"/>
          <w:lang w:eastAsia="ja-JP"/>
        </w:rPr>
        <w:instrText>ADDIN CSL_CITATION { "citationItems" : [ { "id" : "ITEM-1", "itemData" : { "DOI" : "10.1007/s10021-009-9229-5", "ISBN" : "1002100992", "ISSN" : "14329840", "abstract" : "Abstract  The GLOBIO3 model has been developed to assess human-induced changes in biodiversity, in the past, present, and future at\\nregional and global scales. The model is built on simple cause\u2013effect relationships between environmental drivers and biodiversity\\nimpacts, based on state-of-the-art knowledge. The mean abundance of original species relative to their abundance in undisturbed\\necosystems (MSA) is used as the indicator for biodiversity. Changes in drivers are derived from the IMAGE 2.4 model. Drivers\\nconsidered are land-cover change, land-use intensity, fragmentation, climate change, atmospheric nitrogen deposition, and\\ninfrastructure development. GLOBIO3 addresses (i) the impacts of environmental drivers on MSA and their relative importance;\\n(ii) expected trends under various future scenarios; and (iii) the likely effects of various policy response options. GLOBIO3\\nhas been used successfully in several integrated regional and global assessments. Three different global-scale policy options\\nhave been evaluated on their potential to reduce MSA loss. These options are: climate-change mitigation through expanded use\\nof bio-energy, an increase in plantation forestry, and an increase in protected areas. We conclude that MSA loss is likely\\nto continue during the coming decades. Plantation forestry may help to reduce the rate of loss, whereas climate-change mitigation\\nthrough the extensive use of bioenergy crops will, in fact, increase this rate of loss. The protection of 20% of all large\\necosystems leads to a small reduction in the rate of loss, provided that protection is effective and that currently degraded\\nprotected areas are restored.", "author" : [ { "dropping-particle" : "", "family" : "Alkemade", "given" : "Rob", "non-dropping-particle" : "", "parse-names" : false, "suffix" : "" }, { "dropping-particle" : "", "family" : "Oorschot", "given" : "Mark", "non-dropping-particle" : "Van", "parse-names" : false, "suffix" : "" }, { "dropping-particle" : "", "family" : "Miles", "given" : "Lera", "non-dropping-particle" : "", "parse-names" : false, "suffix" : "" }, { "dropping-particle" : "", "family" : "Nellemann", "given" : "Christian", "non-dropping-particle" : "", "parse-names" : false, "suffix" : "" }, { "dropping-particle" : "", "family" : "Bakkenes", "given" : "Michel", "non-dropping-particle" : "", "parse-names" : false, "suffix" : "" }, { "dropping-particle" : "", "family" : "Brink", "given" : "Ben", "non-dropping-particle" : "Ten", "parse-names" : false, "suffix" : "" } ], "container-title" : "Ecosystems", "id" : "ITEM-1", "issue" : "3", "issued" : { "date-parts" : [ [ "2009" ] ] }, "page" : "374-390", "title" : "GLOBIO3: A framework to investigate options for reducing global terrestrial biodiversity loss", "type" : "article-journal", "volume" : "12" }, "uris" : [ "http://www.mendeley.com/documents/?uuid=458a2c0e-f435-4d0e-b006-c1db0d20e4e9" ] }, { "id" : "ITEM-2", "itemData" : { "ISBN" : "9292252194", "author" : [ { "dropping-particle" : "", "family" : "Leadley", "given" : "P.", "non-dropping-particle" : "", "parse-names" : false, "suffix" : "" }, { "dropping-particle" : "", "family" : "Pereira", "given" : "H.M.", "non-dropping-particle" : "", "parse-names" : false, "suffix" : "" }, { "dropping-particle" : "", "family" : "Alkemade", "given" : "R.", "non-dropping-particle" : "", "parse-names" : false, "suffix" : "" }, { "dropping-particle" : "", "family" : "Fernandez-Manjarr\u00e9s", "given" : "J.F.", "non-dropping-particle" : "", "parse-names" : false, "suffix" : "" }, { "dropping-particle" : "", "family" : "Proen\u00e7a", "given" : "V.", "non-dropping-particle" : "", "parse-names" : false, "suffix" : "" }, { "dropping-particle" : "", "family" : "Scharlemann", "given" : "J.P.W.", "non-dropping-particle" : "", "parse-names" : false, "suffix" : "" }, { "dropping-particle" : "", "family" : "Walpole", "given" : "M.J.", "non-dropping-particle" : "", "parse-names" : false, "suffix" : "" } ], "id" : "ITEM-2", "issue" : "Technical Series no. 50", "issued" : { "date-parts" : [ [ "2010" ] ] }, "number-of-pages" : "132", "publisher-place" : "Montreal", "title" : "Biodiversity Scenarios: Projections of 21st century change in biodiversity and associated ecosystem services. CBD Technical Series No. 50", "type" : "report" }, "uris" : [ "http://www.mendeley.com/documents/?uuid=2f715821-f5e9-4c1a-8f1c-204d20b7355d" ] }, { "id" : "ITEM-3", "itemData" : { "author" : [ { "dropping-particle" : "", "family" : "PBL", "given" : "", "non-dropping-particle" : "", "parse-names" : false, "suffix" : "" } ], "id" : "ITEM-3", "issue" : "79", "issued" : { "date-parts" : [ [ "2014" ] ] }, "page" : "232", "title" : "How Sectors Can Contribute to Sustainable Use and Conservation of Biodiversity. CBD Technical Series No. 79", "type" : "article-journal" }, "uris" : [ "http://www.mendeley.com/documents/?uuid=f0fb6a9d-9e68-483d-8e50-40dce8ea2bce" ] }, { "id" : "ITEM-4", "itemData" : { "ISBN" : "9789078645986", "author" : [ { "dropping-particle" : "", "family" : "PBL", "given" : "", "non-dropping-particle" : "", "parse-names" : false, "suffix" : "" } ], "id" : "ITEM-4", "issued" : { "date-parts" : [ [ "2012" ] ] }, "number-of-pages" : "50", "publisher-place" : "The Hague", "title" : "Roads from Rio+20. Pathways to achieve global sustainability goals by 2050", "type" : "report" }, "uris" : [ "http://www.mendeley.com/documents/?uuid=ab1e78b8-4eaf-4458-b600-556c98232d23" ] }, { "id" : "ITEM-5", "itemData" : { "DOI" : "10.1126/science.1196624", "ISBN" : "0036-8075", "ISSN" : "0036-8075", "PMID" : "20978282", "abstract" : "Quantitative scenarios are coming of age as a tool for evaluating the impact of future socioeconomic development pathways on biodiversity and ecosystem services. We analyze global terrestrial, freshwater, and marine biodiversity scenarios using a range of measures including extinctions, changes in species abundance, habitat loss, and distribution shifts, as well as comparing model projections to observations. Scenarios consistently indicate that biodiversity will continue to decline over the 21st century. However, the range of projected changes is much broader than most studies suggest, partly because there are major opportunities to intervene through better policies, but also because of large uncertainties in projections.", "author" : [ { "dropping-particle" : "", "family" : "Pereira", "given" : "Henrique M", "non-dropping-particle" : "", "parse-names" : false, "suffix" : "" }, { "dropping-particle" : "", "family" : "Leadley", "given" : "P.", "non-dropping-particle" : "", "parse-names" : false, "suffix" : "" }, { "dropping-particle" : "", "family" : "Proen\u00e7a", "given" : "V\u00e2nia", "non-dropping-particle" : "", "parse-names" : false, "suffix" : "" }, { "dropping-particle" : "", "family" : "Alkemade", "given" : "Rob", "non-dropping-particle" : "", "parse-names" : false, "suffix" : "" }, { "dropping-particle" : "", "family" : "Scharlemann", "given" : "J\u00f6rn P W", "non-dropping-particle" : "", "parse-names" : false, "suffix" : "" }, { "dropping-particle" : "", "family" : "Fernandez-Manjarr\u00e9s", "given" : "Juan F", "non-dropping-particle" : "", "parse-names" : false, "suffix" : "" }, { "dropping-particle" : "", "family" : "Ara\u00fajo", "given" : "Miguel B", "non-dropping-particle" : "", "parse-names" : false, "suffix" : "" }, { "dropping-particle" : "", "family" : "Balvanera", "given" : "Patricia", "non-dropping-particle" : "", "parse-names" : false, "suffix" : "" }, { "dropping-particle" : "", "family" : "Biggs", "given" : "Reinette", "non-dropping-particle" : "", "parse-names" : false, "suffix" : "" }, { "dropping-particle" : "", "family" : "Cheung", "given" : "William W L", "non-dropping-particle" : "", "parse-names" : false, "suffix" : "" }, { "dropping-particle" : "", "family" : "Chini", "given" : "Louise", "non-dropping-particle" : "", "parse-names" : false, "suffix" : "" }, { "dropping-particle" : "", "family" : "Cooper", "given" : "H David", "non-dropping-particle" : "", "parse-names" : false, "suffix" : "" }, { "dropping-particle" : "", "family" : "Gilman", "given" : "Eric L", "non-dropping-particle" : "", "parse-names" : false, "suffix" : "" }, { "dropping-particle" : "", "family" : "Gu\u00e9nette", "given" : "Sylvie", "non-dropping-particle" : "", "parse-names" : false, "suffix" : "" }, { "dropping-particle" : "", "family" : "Hurtt", "given" : "George C", "non-dropping-particle" : "", "parse-names" : false, "suffix" : "" }, { "dropping-particle" : "", "family" : "Huntington", "given" : "Henry P", "non-dropping-particle" : "", "parse-names" : false, "suffix" : "" }, { "dropping-particle" : "", "family" : "Mace", "given" : "Georgina M", "non-dropping-particle" : "", "parse-names" : false, "suffix" : "" }, { "dropping-particle" : "", "family" : "Oberdorff", "given" : "Thierry", "non-dropping-particle" : "", "parse-names" : false, "suffix" : "" }, { "dropping-particle" : "", "family" : "Revenga", "given" : "Carmen", "non-dropping-particle" : "", "parse-names" : false, "suffix" : "" }, { "dropping</w:instrText>
      </w:r>
      <w:r w:rsidRPr="00CE0821">
        <w:rPr>
          <w:rFonts w:eastAsia="Droid Sans Fallback"/>
          <w:lang w:val="es-CO" w:eastAsia="ja-JP"/>
        </w:rPr>
        <w:instrText>-particle" : "", "family" : "Rodrigues", "given" : "Patr\u00edcia", "non-dropping-particle" : "", "parse-names" : false, "suffix" : "" }, { "dropping-particle" : "", "family" : "Scholes", "given" : "Robert J", "non-dropping-particle" : "", "parse-names" : false, "suffix" : "" }, { "dropping-particle" : "", "family" : "Sumaila", "given" : "Ussif Rashid", "non-dropping-particle" : "", "parse-names" : false, "suffix" : "" }, { "dropping-particle" : "", "family" : "Walpole", "given" : "Matt", "non-dropping-particle" : "", "parse-names" : false, "suffix" : "" } ], "container-title" : "Science", "id" : "ITEM-5", "issue" : "6010", "issued" : { "date-parts" : [ [ "2010" ] ] }, "page" : "1496-1501", "title" : "Scenarios for global biodiversity in the 21st century", "type" : "article-journal", "volume" : "330" }, "uris" : [ "http://www.mendeley.com/documents/?uuid=9e2b1ad5-d4bd-45f9-93fb-0b49c2b74499" ] } ], "mendeley" : { "formattedCitation" : "(Alkemade et al., 2009; Leadley et al., 2010; PBL, 2012, 2014; Pereira et al., 2010)", "manualFormatting" : "Alkemade et al., 2009; Leadley et al., 2010; PBL, 2014, 2012; Pereira et al., 2010", "plainTextFormattedCitation" : "(Alkemade et al., 2009; Leadley et al., 2010; PBL, 2012, 2014; Pereira et al., 2010)", "previouslyFormattedCitation" : "(Alkemade et al., 2009; Leadley et al., 2010; PBL, 2012, 2014; Pereira et al., 2010)" }, "properties" : {  }, "schema" : "https://github.com/citation-style-language/schema/raw/master/csl-citation.json" }</w:instrText>
      </w:r>
      <w:r w:rsidRPr="008608AA">
        <w:rPr>
          <w:rFonts w:eastAsia="Droid Sans Fallback"/>
          <w:lang w:eastAsia="ja-JP"/>
        </w:rPr>
        <w:fldChar w:fldCharType="separate"/>
      </w:r>
      <w:r w:rsidRPr="00CE0821">
        <w:rPr>
          <w:rFonts w:eastAsia="Droid Sans Fallback"/>
          <w:noProof/>
          <w:lang w:val="es-CO" w:eastAsia="ja-JP"/>
        </w:rPr>
        <w:t>Alkemade et al., 2009; Leadley et al., 2010; PBL, 2014, 2012; Pereira et al., 2010</w:t>
      </w:r>
      <w:r w:rsidRPr="008608AA">
        <w:rPr>
          <w:rFonts w:eastAsia="Droid Sans Fallback"/>
          <w:lang w:eastAsia="ja-JP"/>
        </w:rPr>
        <w:fldChar w:fldCharType="end"/>
      </w:r>
      <w:r w:rsidRPr="00CE0821">
        <w:rPr>
          <w:rFonts w:eastAsia="Droid Sans Fallback"/>
          <w:lang w:val="es-CO" w:eastAsia="ja-JP"/>
        </w:rPr>
        <w:t xml:space="preserve">). </w:t>
      </w:r>
      <w:r w:rsidRPr="008608AA">
        <w:rPr>
          <w:rFonts w:eastAsia="Droid Sans Fallback"/>
          <w:lang w:eastAsia="ja-JP"/>
        </w:rPr>
        <w:t xml:space="preserve">Results from these models aim to facilitate decision makers developing policies and strategies to achieve conservation targets and sustainable uses of natural resources. They can also be used to engage the larger public in thinking about the kind of future they really want </w:t>
      </w:r>
      <w:r w:rsidRPr="008608AA">
        <w:rPr>
          <w:rFonts w:eastAsia="Droid Sans Fallback"/>
          <w:lang w:eastAsia="ja-JP"/>
        </w:rPr>
        <w:fldChar w:fldCharType="begin" w:fldLock="1"/>
      </w:r>
      <w:r w:rsidRPr="008608AA">
        <w:rPr>
          <w:rFonts w:eastAsia="Droid Sans Fallback"/>
          <w:lang w:eastAsia="ja-JP"/>
        </w:rPr>
        <w:instrText>ADDIN CSL_CITATION { "citationItems" : [ { "id" : "ITEM-1", "itemData" : { "ISBN" : "9789078645986", "author" : [ { "dropping-particle" : "", "family" : "PBL", "given" : "", "non-dropping-particle" : "", "parse-names" : false, "suffix" : "" } ], "id" : "ITEM-1", "issued" : { "date-parts" : [ [ "2012" ] ] }, "number-of-pages" : "50", "publisher-place" : "The Hague", "title" : "Roads from Rio+20. Pathways to achieve global sustainability goals by 2050", "type" : "report" }, "uris" : [ "http://www.mendeley.com/documents/?uuid=ab1e78b8-4eaf-4458-b600-556c98232d23" ] } ], "mendeley" : { "formattedCitation" : "(PBL, 2012)", "plainTextFormattedCitation" : "(PBL, 2012)", "previouslyFormattedCitation" : "(PBL, 2012)" }, "properties" : {  }, "schema" : "https://github.com/citation-style-language/schema/raw/master/csl-citation.json" }</w:instrText>
      </w:r>
      <w:r w:rsidRPr="008608AA">
        <w:rPr>
          <w:rFonts w:eastAsia="Droid Sans Fallback"/>
          <w:lang w:eastAsia="ja-JP"/>
        </w:rPr>
        <w:fldChar w:fldCharType="separate"/>
      </w:r>
      <w:r w:rsidRPr="008608AA">
        <w:rPr>
          <w:rFonts w:eastAsia="Droid Sans Fallback"/>
          <w:noProof/>
          <w:lang w:eastAsia="ja-JP"/>
        </w:rPr>
        <w:t>(PBL, 2012)</w:t>
      </w:r>
      <w:r w:rsidRPr="008608AA">
        <w:rPr>
          <w:rFonts w:eastAsia="Droid Sans Fallback"/>
          <w:lang w:eastAsia="ja-JP"/>
        </w:rPr>
        <w:fldChar w:fldCharType="end"/>
      </w:r>
      <w:r w:rsidRPr="008608AA">
        <w:rPr>
          <w:rFonts w:eastAsia="Droid Sans Fallback"/>
          <w:lang w:eastAsia="ja-JP"/>
        </w:rPr>
        <w:t>. Although most of these databases and models have a global scope, several approaches can be used to extract the most relevant information on major trends for the Americas. Here we based our approach on the results available in raw format from the Global Biodiversity model for policy support (</w:t>
      </w:r>
      <w:hyperlink r:id="rId1049" w:history="1">
        <w:r w:rsidRPr="008608AA">
          <w:rPr>
            <w:rFonts w:eastAsia="Droid Sans Fallback"/>
            <w:color w:val="0000FF" w:themeColor="hyperlink"/>
            <w:u w:val="single"/>
            <w:lang w:eastAsia="ja-JP"/>
          </w:rPr>
          <w:t>http://www.globio.info/</w:t>
        </w:r>
      </w:hyperlink>
      <w:r w:rsidRPr="008608AA">
        <w:rPr>
          <w:rFonts w:eastAsia="Droid Sans Fallback"/>
          <w:lang w:eastAsia="ja-JP"/>
        </w:rPr>
        <w:t>), a modeling framework to calculate the impact of environmental drivers on biodiversity for past, present a</w:t>
      </w:r>
      <w:r w:rsidR="007F7607" w:rsidRPr="008608AA">
        <w:rPr>
          <w:rFonts w:eastAsia="Droid Sans Fallback"/>
          <w:lang w:eastAsia="ja-JP"/>
        </w:rPr>
        <w:t>nd future. Global Biodiversity M</w:t>
      </w:r>
      <w:r w:rsidRPr="008608AA">
        <w:rPr>
          <w:rFonts w:eastAsia="Droid Sans Fallback"/>
          <w:lang w:eastAsia="ja-JP"/>
        </w:rPr>
        <w:t>odel for policy support was developed under collaboration between Netherlands Environmental Assessment Agency, UNEP/Global Resource Information Database - Arendal and UNEP-World Conservation Monitoring Centre.</w:t>
      </w:r>
    </w:p>
    <w:p w14:paraId="3E0E08FB" w14:textId="739FC296" w:rsidR="00490494" w:rsidRPr="008608AA" w:rsidRDefault="00490494" w:rsidP="00EE708F">
      <w:pPr>
        <w:suppressAutoHyphens/>
        <w:rPr>
          <w:rFonts w:eastAsia="Droid Sans Fallback"/>
          <w:lang w:eastAsia="ja-JP"/>
        </w:rPr>
      </w:pPr>
      <w:r w:rsidRPr="008608AA">
        <w:rPr>
          <w:rFonts w:eastAsia="Droid Sans Fallback"/>
          <w:lang w:eastAsia="ja-JP"/>
        </w:rPr>
        <w:t xml:space="preserve"> </w:t>
      </w:r>
    </w:p>
    <w:p w14:paraId="3B7B5090" w14:textId="35D73B1F" w:rsidR="00490494" w:rsidRPr="008608AA" w:rsidRDefault="003247C5" w:rsidP="00EE708F">
      <w:pPr>
        <w:suppressAutoHyphens/>
        <w:rPr>
          <w:rFonts w:eastAsia="Droid Sans Fallback"/>
          <w:lang w:eastAsia="ja-JP"/>
        </w:rPr>
      </w:pPr>
      <w:r w:rsidRPr="008608AA">
        <w:rPr>
          <w:rFonts w:eastAsia="Droid Sans Fallback"/>
          <w:lang w:eastAsia="ja-JP"/>
        </w:rPr>
        <w:t>The Global Biodiversity M</w:t>
      </w:r>
      <w:r w:rsidR="00490494" w:rsidRPr="008608AA">
        <w:rPr>
          <w:rFonts w:eastAsia="Droid Sans Fallback"/>
          <w:lang w:eastAsia="ja-JP"/>
        </w:rPr>
        <w:t xml:space="preserve">odel for policy support was designed to quantify past, present and future human-induced changes in terrestrial biodiversity at regional to global scales </w:t>
      </w:r>
      <w:r w:rsidR="00490494" w:rsidRPr="008608AA">
        <w:rPr>
          <w:rFonts w:eastAsia="Droid Sans Fallback"/>
          <w:lang w:eastAsia="ja-JP"/>
        </w:rPr>
        <w:fldChar w:fldCharType="begin" w:fldLock="1"/>
      </w:r>
      <w:r w:rsidR="00490494" w:rsidRPr="008608AA">
        <w:rPr>
          <w:rFonts w:eastAsia="Droid Sans Fallback"/>
          <w:lang w:eastAsia="ja-JP"/>
        </w:rPr>
        <w:instrText>ADDIN CSL_CITATION { "citationItems" : [ { "id" : "ITEM-1", "itemData" : { "DOI" : "10.1007/s10021-009-9229-5", "ISBN" : "1002100992", "ISSN" : "14329840", "abstract" : "Abstract  The GLOBIO3 model has been developed to assess human-induced changes in biodiversity, in the past, present, and future at\\nregional and global scales. The model is built on simple cause\u2013effect relationships between environmental drivers and biodiversity\\nimpacts, based on state-of-the-art knowledge. The mean abundance of original species relative to their abundance in undisturbed\\necosystems (MSA) is used as the indicator for biodiversity. Changes in drivers are derived from the IMAGE 2.4 model. Drivers\\nconsidered are land-cover change, land-use intensity, fragmentation, climate change, atmospheric nitrogen deposition, and\\ninfrastructure development. GLOBIO3 addresses (i) the impacts of environmental drivers on MSA and their relative importance;\\n(ii) expected trends under various future scenarios; and (iii) the likely effects of various policy response options. GLOBIO3\\nhas been used successfully in several integrated regional and global assessments. Three different global-scale policy options\\nhave been evaluated on their potential to reduce MSA loss. These options are: climate-change mitigation through expanded use\\nof bio-energy, an increase in plantation forestry, and an increase in protected areas. We conclude that MSA loss is likely\\nto continue during the coming decades. Plantation forestry may help to reduce the rate of loss, whereas climate-change mitigation\\nthrough the extensive use of bioenergy crops will, in fact, increase this rate of loss. The protection of 20% of all large\\necosystems leads to a small reduction in the rate of loss, provided that protection is effective and that currently degraded\\nprotected areas are restored.", "author" : [ { "dropping-particle" : "", "family" : "Alkemade", "given" : "Rob", "non-dropping-particle" : "", "parse-names" : false, "suffix" : "" }, { "dropping-particle" : "", "family" : "Oorschot", "given" : "Mark", "non-dropping-particle" : "Van", "parse-names" : false, "suffix" : "" }, { "dropping-particle" : "", "family" : "Miles", "given" : "Lera", "non-dropping-particle" : "", "parse-names" : false, "suffix" : "" }, { "dropping-particle" : "", "family" : "Nellemann", "given" : "Christian", "non-dropping-particle" : "", "parse-names" : false, "suffix" : "" }, { "dropping-particle" : "", "family" : "Bakkenes", "given" : "Michel", "non-dropping-particle" : "", "parse-names" : false, "suffix" : "" }, { "dropping-particle" : "", "family" : "Brink", "given" : "Ben", "non-dropping-particle" : "Ten", "parse-names" : false, "suffix" : "" } ], "container-title" : "Ecosystems", "id" : "ITEM-1", "issue" : "3", "issued" : { "date-parts" : [ [ "2009" ] ] }, "page" : "374-390", "title" : "GLOBIO3: A framework to investigate options for reducing global terrestrial biodiversity loss", "type" : "article-journal", "volume" : "12" }, "uris" : [ "http://www.mendeley.com/documents/?uuid=458a2c0e-f435-4d0e-b006-c1db0d20e4e9" ] }, { "id" : "ITEM-2", "itemData" : { "author" : [ { "dropping-particle" : "", "family" : "PBL", "given" : "", "non-dropping-particle" : "", "parse-names" : false, "suffix" : "" } ], "id" : "ITEM-2", "issued" : { "date-parts" : [ [ "2016" ] ] }, "number-of-pages" : "34", "publisher-place" : "The Hague", "title" : "The GLOBIO model. A technical description of version 3.5.", "type" : "report" }, "uris" : [ "http://www.mendeley.com/documents/?uuid=d0671e19-9958-4fd1-a807-004c39f82fbb" ] } ], "mendeley" : { "formattedCitation" : "(Alkemade et al., 2009; PBL, 2016)", "plainTextFormattedCitation" : "(Alkemade et al., 2009; PBL, 2016)", "previouslyFormattedCitation" : "(Alkemade et al., 2009; PBL, 2016)" }, "properties" : {  }, "schema" : "https://github.com/citation-style-language/schema/raw/master/csl-citation.json" }</w:instrText>
      </w:r>
      <w:r w:rsidR="00490494" w:rsidRPr="008608AA">
        <w:rPr>
          <w:rFonts w:eastAsia="Droid Sans Fallback"/>
          <w:lang w:eastAsia="ja-JP"/>
        </w:rPr>
        <w:fldChar w:fldCharType="separate"/>
      </w:r>
      <w:r w:rsidR="00490494" w:rsidRPr="008608AA">
        <w:rPr>
          <w:rFonts w:eastAsia="Droid Sans Fallback"/>
          <w:noProof/>
          <w:lang w:eastAsia="ja-JP"/>
        </w:rPr>
        <w:t>(Alkemade et al., 2009; PBL, 2016)</w:t>
      </w:r>
      <w:r w:rsidR="00490494" w:rsidRPr="008608AA">
        <w:rPr>
          <w:rFonts w:eastAsia="Droid Sans Fallback"/>
          <w:lang w:eastAsia="ja-JP"/>
        </w:rPr>
        <w:fldChar w:fldCharType="end"/>
      </w:r>
      <w:r w:rsidR="00490494" w:rsidRPr="008608AA">
        <w:rPr>
          <w:rFonts w:eastAsia="Droid Sans Fallback"/>
          <w:lang w:eastAsia="ja-JP"/>
        </w:rPr>
        <w:t xml:space="preserve">. The time frame of the period over which projections are made is 1970 – 2050. The model is built on a set of cause-effect relationships to estimate the impacts on biodiversity through time of six human-induced environmental drivers: land use, climate change, atmospheric nitrogen deposition, habitat fragmentation, disturbance by roads and disturbance through human encroachment in otherwise natural areas </w:t>
      </w:r>
      <w:r w:rsidR="00490494" w:rsidRPr="008608AA">
        <w:rPr>
          <w:rFonts w:eastAsia="Droid Sans Fallback"/>
          <w:lang w:eastAsia="ja-JP"/>
        </w:rPr>
        <w:fldChar w:fldCharType="begin" w:fldLock="1"/>
      </w:r>
      <w:r w:rsidR="00490494" w:rsidRPr="008608AA">
        <w:rPr>
          <w:rFonts w:eastAsia="Droid Sans Fallback"/>
          <w:lang w:eastAsia="ja-JP"/>
        </w:rPr>
        <w:instrText>ADDIN CSL_CITATION { "citationItems" : [ { "id" : "ITEM-1", "itemData" : { "author" : [ { "dropping-particle" : "", "family" : "PBL", "given" : "", "non-dropping-particle" : "", "parse-names" : false, "suffix" : "" } ], "id" : "ITEM-1", "issued" : { "date-parts" : [ [ "2016" ] ] }, "number-of-pages" : "34", "publisher-place" : "The Hague", "title" : "The GLOBIO model. A technical description of version 3.5.", "type" : "report" }, "uris" : [ "http://www.mendeley.com/documents/?uuid=d0671e19-9958-4fd1-a807-004c39f82fbb" ] } ], "mendeley" : { "formattedCitation" : "(PBL, 2016)", "plainTextFormattedCitation" : "(PBL, 2016)", "previouslyFormattedCitation" : "(PBL, 2016)" }, "properties" : {  }, "schema" : "https://github.com/citation-style-language/schema/raw/master/csl-citation.json" }</w:instrText>
      </w:r>
      <w:r w:rsidR="00490494" w:rsidRPr="008608AA">
        <w:rPr>
          <w:rFonts w:eastAsia="Droid Sans Fallback"/>
          <w:lang w:eastAsia="ja-JP"/>
        </w:rPr>
        <w:fldChar w:fldCharType="separate"/>
      </w:r>
      <w:r w:rsidR="00490494" w:rsidRPr="008608AA">
        <w:rPr>
          <w:rFonts w:eastAsia="Droid Sans Fallback"/>
          <w:noProof/>
          <w:lang w:eastAsia="ja-JP"/>
        </w:rPr>
        <w:t>(PBL, 2016)</w:t>
      </w:r>
      <w:r w:rsidR="00490494" w:rsidRPr="008608AA">
        <w:rPr>
          <w:rFonts w:eastAsia="Droid Sans Fallback"/>
          <w:lang w:eastAsia="ja-JP"/>
        </w:rPr>
        <w:fldChar w:fldCharType="end"/>
      </w:r>
      <w:r w:rsidR="00490494" w:rsidRPr="008608AA">
        <w:rPr>
          <w:rFonts w:eastAsia="Droid Sans Fallback"/>
          <w:lang w:eastAsia="ja-JP"/>
        </w:rPr>
        <w:t xml:space="preserve">. </w:t>
      </w:r>
    </w:p>
    <w:p w14:paraId="04CE73D1" w14:textId="03060EA8" w:rsidR="00490494" w:rsidRPr="008608AA" w:rsidRDefault="00490494" w:rsidP="00EE708F">
      <w:pPr>
        <w:suppressAutoHyphens/>
        <w:rPr>
          <w:rFonts w:eastAsia="Droid Sans Fallback"/>
          <w:lang w:eastAsia="ja-JP"/>
        </w:rPr>
      </w:pPr>
      <w:r w:rsidRPr="008608AA">
        <w:rPr>
          <w:rFonts w:eastAsia="Droid Sans Fallback"/>
          <w:lang w:eastAsia="ja-JP"/>
        </w:rPr>
        <w:t>The spatial information on environmental drive</w:t>
      </w:r>
      <w:r w:rsidR="003247C5" w:rsidRPr="008608AA">
        <w:rPr>
          <w:rFonts w:eastAsia="Droid Sans Fallback"/>
          <w:lang w:eastAsia="ja-JP"/>
        </w:rPr>
        <w:t>rs used by Global Biodiversity M</w:t>
      </w:r>
      <w:r w:rsidRPr="008608AA">
        <w:rPr>
          <w:rFonts w:eastAsia="Droid Sans Fallback"/>
          <w:lang w:eastAsia="ja-JP"/>
        </w:rPr>
        <w:t xml:space="preserve">odel for policy support is mainly derived from the Integrated Model to Assess the Global Environment 3.0 </w:t>
      </w:r>
      <w:r w:rsidRPr="008608AA">
        <w:rPr>
          <w:rFonts w:eastAsia="Droid Sans Fallback"/>
          <w:lang w:eastAsia="ja-JP"/>
        </w:rPr>
        <w:fldChar w:fldCharType="begin" w:fldLock="1"/>
      </w:r>
      <w:r w:rsidRPr="008608AA">
        <w:rPr>
          <w:rFonts w:eastAsia="Droid Sans Fallback"/>
          <w:lang w:eastAsia="ja-JP"/>
        </w:rPr>
        <w:instrText>ADDIN CSL_CITATION { "citationItems" : [ { "id" : "ITEM-1", "itemData" : { "ISBN" : "9789491506710", "author" : [ { "dropping-particle" : "", "family" : "Stehfest", "given" : "Elke", "non-dropping-particle" : "", "parse-names" : false, "suffix" : "" }, { "dropping-particle" : "", "family" : "Vuuren", "given" : "Detlef", "non-dropping-particle" : "van", "parse-names" : false, "suffix" : "" }, { "dropping-particle" : "", "family" : "Kram", "given" : "Tom", "non-dropping-particle" : "", "parse-names" : false, "suffix" : "" }, { "dropping-particle" : "", "family" : "Bouwman", "given" : "Lex", "non-dropping-particle" : "", "parse-names" : false, "suffix" : "" }, { "dropping-particle" : "", "family" : "Alkemade", "given" : "Rob", "non-dropping-particle" : "", "parse-names" : false, "suffix" : "" }, { "dropping-particle" : "", "family" : "Bakkenes", "given" : "Michel", "non-dropping-particle" : "", "parse-names" : false, "suffix" : "" }, { "dropping-particle" : "", "family" : "Biemans", "given" : "Hester", "non-dropping-particle" : "", "parse-names" : false, "suffix" : "" }, { "dropping-particle" : "", "family" : "Bouwman", "given" : "Arno", "non-dropping-particle" : "", "parse-names" : false, "suffix" : "" }, { "dropping-particle" : "", "family" : "Elzen", "given" : "Michel", "non-dropping-particle" : "den", "parse-names" : false, "suffix" : "" }, { "dropping-particle" : "", "family" : "Janse", "given" : "Jan", "non-dropping-particle" : "", "parse-names" : false, "suffix" : "" }, { "dropping-particle" : "", "family" : "Lucas", "given" : "Paul", "non-dropping-particle" : "", "parse-names" : false, "suffix" : "" }, { "dropping-particle" : "", "family" : "Minnen", "given" : "Jelle", "non-dropping-particle" : "van", "parse-names" : false, "suffix" : "" }, { "dropping-particle" : "", "family" : "Muller", "given" : "Mike", "non-dropping-particle" : "", "parse-names" : false, "suffix" : "" }, { "dropping-particle" : "", "family" : "Prins", "given" : "Anne Gerdien", "non-dropping-particle" : "", "parse-names" : false, "suffix" : "" } ], "id" : "ITEM-1", "issued" : { "date-parts" : [ [ "2014" ] ] }, "number-of-pages" : "366", "publisher" : "The Hague: PBL Netherlands Environmental Assessment Agency", "title" : "Integrated Assessment of Global Environmental Change with IMAGE 3.0 - Model description and policy applications", "type" : "book" }, "uris" : [ "http://www.mendeley.com/documents/?uuid=07358a25-02c3-426a-b26c-4039d6391d8c" ] } ], "mendeley" : { "formattedCitation" : "(Stehfest et al., 2014)", "plainTextFormattedCitation" : "(Stehfest et al., 2014)", "previouslyFormattedCitation" : "(Stehfest et al., 2014)" }, "properties" : {  }, "schema" : "https://github.com/citation-style-language/schema/raw/master/csl-citation.json" }</w:instrText>
      </w:r>
      <w:r w:rsidRPr="008608AA">
        <w:rPr>
          <w:rFonts w:eastAsia="Droid Sans Fallback"/>
          <w:lang w:eastAsia="ja-JP"/>
        </w:rPr>
        <w:fldChar w:fldCharType="separate"/>
      </w:r>
      <w:r w:rsidRPr="008608AA">
        <w:rPr>
          <w:rFonts w:eastAsia="Droid Sans Fallback"/>
          <w:noProof/>
          <w:lang w:eastAsia="ja-JP"/>
        </w:rPr>
        <w:t>(Stehfest et al., 2014)</w:t>
      </w:r>
      <w:r w:rsidRPr="008608AA">
        <w:rPr>
          <w:rFonts w:eastAsia="Droid Sans Fallback"/>
          <w:lang w:eastAsia="ja-JP"/>
        </w:rPr>
        <w:fldChar w:fldCharType="end"/>
      </w:r>
      <w:r w:rsidRPr="008608AA">
        <w:rPr>
          <w:rFonts w:eastAsia="Droid Sans Fallback"/>
          <w:lang w:eastAsia="ja-JP"/>
        </w:rPr>
        <w:t>. In the Integrated Model to Assess the Global En</w:t>
      </w:r>
      <w:r w:rsidR="003247C5" w:rsidRPr="008608AA">
        <w:rPr>
          <w:rFonts w:eastAsia="Droid Sans Fallback"/>
          <w:lang w:eastAsia="ja-JP"/>
        </w:rPr>
        <w:t>vironment -Global Biodiversity M</w:t>
      </w:r>
      <w:r w:rsidRPr="008608AA">
        <w:rPr>
          <w:rFonts w:eastAsia="Droid Sans Fallback"/>
          <w:lang w:eastAsia="ja-JP"/>
        </w:rPr>
        <w:t xml:space="preserve">odel for policy support framework, models of socioeconomic drivers, such as climate change, land-use change and pollution, are linked with models that analyze impacts on the environment and biodiversity allowing assessment of the impact of human induced environmental drivers on biodiversity and exploring policy options in the form of intervention scenarios to reduce biodiversity loss </w:t>
      </w:r>
      <w:r w:rsidRPr="008608AA">
        <w:rPr>
          <w:rFonts w:eastAsia="Droid Sans Fallback"/>
          <w:lang w:eastAsia="ja-JP"/>
        </w:rPr>
        <w:fldChar w:fldCharType="begin" w:fldLock="1"/>
      </w:r>
      <w:r w:rsidRPr="008608AA">
        <w:rPr>
          <w:rFonts w:eastAsia="Droid Sans Fallback"/>
          <w:lang w:eastAsia="ja-JP"/>
        </w:rPr>
        <w:instrText>ADDIN CSL_CITATION { "citationItems" : [ { "id" : "ITEM-1", "itemData" : { "ISBN" : "9789280735697", "author" : [ { "dropping-particle" : "", "family" : "IPBES", "given" : "", "non-dropping-particle" : "", "parse-names" : false, "suffix" : "" } ], "id" : "ITEM-1", "issued" : { "date-parts" : [ [ "2016" ] ] }, "number-of-pages" : "348", "publisher-place" : "Bonn, Germany", "title" : "The methodological assessment report on scenarios and models of biodiversity and ecosystem services", "type" : "report" }, "uris" : [ "http://www.mendeley.com/documents/?uuid=89dca119-8eff-4b71-ae8e-246dffbe883a" ] } ], "mendeley" : { "formattedCitation" : "(IPBES, 2016)", "plainTextFormattedCitation" : "(IPBES, 2016)", "previouslyFormattedCitation" : "(IPBES, 2016)" }, "properties" : {  }, "schema" : "https://github.com/citation-style-language/schema/raw/master/csl-citation.json" }</w:instrText>
      </w:r>
      <w:r w:rsidRPr="008608AA">
        <w:rPr>
          <w:rFonts w:eastAsia="Droid Sans Fallback"/>
          <w:lang w:eastAsia="ja-JP"/>
        </w:rPr>
        <w:fldChar w:fldCharType="separate"/>
      </w:r>
      <w:r w:rsidRPr="008608AA">
        <w:rPr>
          <w:rFonts w:eastAsia="Droid Sans Fallback"/>
          <w:noProof/>
          <w:lang w:eastAsia="ja-JP"/>
        </w:rPr>
        <w:t>(IPBES, 2016)</w:t>
      </w:r>
      <w:r w:rsidRPr="008608AA">
        <w:rPr>
          <w:rFonts w:eastAsia="Droid Sans Fallback"/>
          <w:lang w:eastAsia="ja-JP"/>
        </w:rPr>
        <w:fldChar w:fldCharType="end"/>
      </w:r>
      <w:r w:rsidRPr="008608AA">
        <w:rPr>
          <w:rFonts w:eastAsia="Droid Sans Fallback"/>
          <w:lang w:eastAsia="ja-JP"/>
        </w:rPr>
        <w:t>.</w:t>
      </w:r>
      <w:r w:rsidR="003247C5" w:rsidRPr="008608AA">
        <w:rPr>
          <w:rFonts w:eastAsia="Droid Sans Fallback"/>
          <w:lang w:eastAsia="ja-JP"/>
        </w:rPr>
        <w:t xml:space="preserve"> Using the Integrated Model to A</w:t>
      </w:r>
      <w:r w:rsidRPr="008608AA">
        <w:rPr>
          <w:rFonts w:eastAsia="Droid Sans Fallback"/>
          <w:lang w:eastAsia="ja-JP"/>
        </w:rPr>
        <w:t>ssess the Global Env</w:t>
      </w:r>
      <w:r w:rsidR="003247C5" w:rsidRPr="008608AA">
        <w:rPr>
          <w:rFonts w:eastAsia="Droid Sans Fallback"/>
          <w:lang w:eastAsia="ja-JP"/>
        </w:rPr>
        <w:t>ironment - Global Biodiversity M</w:t>
      </w:r>
      <w:r w:rsidRPr="008608AA">
        <w:rPr>
          <w:rFonts w:eastAsia="Droid Sans Fallback"/>
          <w:lang w:eastAsia="ja-JP"/>
        </w:rPr>
        <w:t xml:space="preserve">odel for policy support framework, trends in biodiversity under future plausible policy scenarios have been projected, including the expected outcome in the absence of additional policies to prevent biodiversity loss (business-as-usual scenario). The </w:t>
      </w:r>
      <w:r w:rsidR="003247C5" w:rsidRPr="008608AA">
        <w:rPr>
          <w:rFonts w:eastAsia="Droid Sans Fallback"/>
          <w:lang w:eastAsia="ja-JP"/>
        </w:rPr>
        <w:t>results of Integrated Model to A</w:t>
      </w:r>
      <w:r w:rsidRPr="008608AA">
        <w:rPr>
          <w:rFonts w:eastAsia="Droid Sans Fallback"/>
          <w:lang w:eastAsia="ja-JP"/>
        </w:rPr>
        <w:t>ssess the Global Environmen</w:t>
      </w:r>
      <w:r w:rsidR="003247C5" w:rsidRPr="008608AA">
        <w:rPr>
          <w:rFonts w:eastAsia="Droid Sans Fallback"/>
          <w:lang w:eastAsia="ja-JP"/>
        </w:rPr>
        <w:t>t - Global Biodiversity M</w:t>
      </w:r>
      <w:r w:rsidRPr="008608AA">
        <w:rPr>
          <w:rFonts w:eastAsia="Droid Sans Fallback"/>
          <w:lang w:eastAsia="ja-JP"/>
        </w:rPr>
        <w:t xml:space="preserve">odel for policy support have provided information for policymakers at the international level on current biodiversity status and future trends </w:t>
      </w:r>
      <w:r w:rsidRPr="008608AA">
        <w:rPr>
          <w:rFonts w:eastAsia="Droid Sans Fallback"/>
          <w:lang w:eastAsia="ja-JP"/>
        </w:rPr>
        <w:fldChar w:fldCharType="begin" w:fldLock="1"/>
      </w:r>
      <w:r w:rsidRPr="008608AA">
        <w:rPr>
          <w:rFonts w:eastAsia="Droid Sans Fallback"/>
          <w:lang w:eastAsia="ja-JP"/>
        </w:rPr>
        <w:instrText>ADDIN CSL_CITATION { "citationItems" : [ { "id" : "ITEM-1", "itemData" : { "DOI" : "10.1007/s10021-009-9229-5", "ISBN" : "1002100992", "ISSN" : "14329840", "abstract" : "Abstract  The GLOBIO3 model has been developed to assess human-induced changes in biodiversity, in the past, present, and future at\\nregional and global scales. The model is built on simple cause\u2013effect relationships between environmental drivers and biodiversity\\nimpacts, based on state-of-the-art knowledge. The mean abundance of original species relative to their abundance in undisturbed\\necosystems (MSA) is used as the indicator for biodiversity. Changes in drivers are derived from the IMAGE 2.4 model. Drivers\\nconsidered are land-cover change, land-use intensity, fragmentation, climate change, atmospheric nitrogen deposition, and\\ninfrastructure development. GLOBIO3 addresses (i) the impacts of environmental drivers on MSA and their relative importance;\\n(ii) expected trends under various future scenarios; and (iii) the likely effects of various policy response options. GLOBIO3\\nhas been used successfully in several integrated regional and global assessments. Three different global-scale policy options\\nhave been evaluated on their potential to reduce MSA loss. These options are: climate-change mitigation through expanded use\\nof bio-energy, an increase in plantation forestry, and an increase in protected areas. We conclude that MSA loss is likely\\nto continue during the coming decades. Plantation forestry may help to reduce the rate of loss, whereas climate-change mitigation\\nthrough the extensive use of bioenergy crops will, in fact, increase this rate of loss. The protection of 20% of all large\\necosystems leads to a small reduction in the rate of loss, provided that protection is effective and that currently degraded\\nprotected areas are restored.", "author" : [ { "dropping-particle" : "", "family" : "Alkemade", "given" : "Rob", "non-dropping-particle" : "", "parse-names" : false, "suffix" : "" }, { "dropping-particle" : "", "family" : "Oorschot", "given" : "Mark", "non-dropping-particle" : "Van", "parse-names" : false, "suffix" : "" }, { "dropping-particle" : "", "family" : "Miles", "given" : "Lera", "non-dropping-particle" : "", "parse-names" : false, "suffix" : "" }, { "dropping-particle" : "", "family" : "Nellemann", "given" : "Christian", "non-dropping-particle" : "", "parse-names" : false, "suffix" : "" }, { "dropping-particle" : "", "family" : "Bakkenes", "given" : "Michel", "non-dropping-particle" : "", "parse-names" : false, "suffix" : "" }, { "dropping-particle" : "", "family" : "Brink", "given" : "Ben", "non-dropping-particle" : "Ten", "parse-names" : false, "suffix" : "" } ], "container-title" : "Ecosystems", "id" : "ITEM-1", "issue" : "3", "issued" : { "date-parts" : [ [ "2009" ] ] }, "page" : "374-390", "title" : "GLOBIO3: A framework to investigate options for reducing global terrestrial biodiversity loss", "type" : "article-journal", "volume" : "12" }, "uris" : [ "http://www.mendeley.com/documents/?uuid=458a2c0e-f435-4d0e-b006-c1db0d20e4e9" ] } ], "mendeley" : { "formattedCitation" : "(Alkemade et al., 2009)", "plainTextFormattedCitation" : "(Alkemade et al., 2009)", "previouslyFormattedCitation" : "(Alkemade et al., 2009)" }, "properties" : {  }, "schema" : "https://github.com/citation-style-language/schema/raw/master/csl-citation.json" }</w:instrText>
      </w:r>
      <w:r w:rsidRPr="008608AA">
        <w:rPr>
          <w:rFonts w:eastAsia="Droid Sans Fallback"/>
          <w:lang w:eastAsia="ja-JP"/>
        </w:rPr>
        <w:fldChar w:fldCharType="separate"/>
      </w:r>
      <w:r w:rsidRPr="008608AA">
        <w:rPr>
          <w:rFonts w:eastAsia="Droid Sans Fallback"/>
          <w:noProof/>
          <w:lang w:eastAsia="ja-JP"/>
        </w:rPr>
        <w:t>(Alkemade et al., 2009)</w:t>
      </w:r>
      <w:r w:rsidRPr="008608AA">
        <w:rPr>
          <w:rFonts w:eastAsia="Droid Sans Fallback"/>
          <w:lang w:eastAsia="ja-JP"/>
        </w:rPr>
        <w:fldChar w:fldCharType="end"/>
      </w:r>
      <w:r w:rsidRPr="008608AA">
        <w:rPr>
          <w:rFonts w:eastAsia="Droid Sans Fallback"/>
          <w:lang w:eastAsia="ja-JP"/>
        </w:rPr>
        <w:t>. Specifically, model projections have been used to analyze how combinations of technological measures and changes in consumption patterns could contribute to achieve global sustainability goals by 2050 (PBL, 2012) and to inform within the fourth Global Biodiversity Outlook how sectors can contribute to the sustainable use and conservation of biodiversity (PBL, 2014).</w:t>
      </w:r>
    </w:p>
    <w:p w14:paraId="1A6D0545" w14:textId="77777777" w:rsidR="003247C5" w:rsidRPr="008608AA" w:rsidRDefault="003247C5" w:rsidP="00EE708F">
      <w:pPr>
        <w:suppressAutoHyphens/>
        <w:rPr>
          <w:rFonts w:eastAsia="Droid Sans Fallback"/>
          <w:lang w:eastAsia="ja-JP"/>
        </w:rPr>
      </w:pPr>
    </w:p>
    <w:p w14:paraId="7F3DC1AF" w14:textId="77777777" w:rsidR="00490494" w:rsidRPr="008608AA" w:rsidRDefault="00490494" w:rsidP="00EE708F">
      <w:pPr>
        <w:suppressAutoHyphens/>
        <w:rPr>
          <w:rFonts w:eastAsia="Droid Sans Fallback"/>
          <w:lang w:eastAsia="ja-JP"/>
        </w:rPr>
      </w:pPr>
      <w:r w:rsidRPr="008608AA">
        <w:rPr>
          <w:rFonts w:eastAsia="Droid Sans Fallback"/>
          <w:lang w:eastAsia="ja-JP"/>
        </w:rPr>
        <w:t xml:space="preserve">In Global Biodiversity model for policy support, biodiversity responses are quantified as two main indicators: Natural areas and Mean Species Abundance relative to the natural state of original species. Natural areas indicator includes calculated natural areas and forestry, excluding plantations. Mean Species Abundance indicator expresses the mean abundance of original species in disturbed conditions relative to their abundance in undisturbed habitat, as an indicator of the degree to which an ecosystem is intact (PBL, 2016). The Mean Species Abundance indicator uses the species composition and abundance of the original ecosystem as a reference situation. Mean Species Abundance values have been quantified based on a synthesis (meta-analysis) of empirical species monitoring data in disturbed habitat compared to an undisturbed reference situation, reported in comparative studies derived from the literature. It covers the following taxonomic groups: mammals, birds, amphibians, reptiles, terrestrial invertebrates and vascular plants (PBL, 2016). </w:t>
      </w:r>
    </w:p>
    <w:p w14:paraId="6E4C7588" w14:textId="77777777" w:rsidR="003247C5" w:rsidRPr="008608AA" w:rsidRDefault="003247C5" w:rsidP="00EE708F">
      <w:pPr>
        <w:suppressAutoHyphens/>
        <w:rPr>
          <w:rFonts w:eastAsia="Droid Sans Fallback"/>
          <w:lang w:eastAsia="ja-JP"/>
        </w:rPr>
      </w:pPr>
    </w:p>
    <w:p w14:paraId="7F3C4F94" w14:textId="77777777" w:rsidR="00490494" w:rsidRPr="008608AA" w:rsidRDefault="00490494" w:rsidP="00EE708F">
      <w:pPr>
        <w:suppressAutoHyphens/>
        <w:rPr>
          <w:rFonts w:eastAsia="Droid Sans Fallback"/>
          <w:lang w:eastAsia="ja-JP"/>
        </w:rPr>
      </w:pPr>
      <w:r w:rsidRPr="008608AA">
        <w:rPr>
          <w:rFonts w:eastAsia="Droid Sans Fallback"/>
          <w:lang w:eastAsia="ja-JP"/>
        </w:rPr>
        <w:t xml:space="preserve">To project future trends of the indicators Global Biodiversity model for policy support made use of the trend scenario derived from the baseline scenario of the third Organization for Economic Cooperation and Development Environmental Outlook </w:t>
      </w:r>
      <w:r w:rsidRPr="008608AA">
        <w:rPr>
          <w:rFonts w:eastAsia="Droid Sans Fallback"/>
          <w:lang w:eastAsia="ja-JP"/>
        </w:rPr>
        <w:fldChar w:fldCharType="begin" w:fldLock="1"/>
      </w:r>
      <w:r w:rsidRPr="008608AA">
        <w:rPr>
          <w:rFonts w:eastAsia="Droid Sans Fallback"/>
          <w:lang w:eastAsia="ja-JP"/>
        </w:rPr>
        <w:instrText>ADDIN CSL_CITATION { "citationItems" : [ { "id" : "ITEM-1", "itemData" : { "DOI" : "10.1787/9789264122246-en", "ISBN" : "9789264122246", "ISSN" : "0003-990X", "PMID" : "978", "abstract" : "Humanity has witnessed unprecedented growth and prosperity in the past decades, with the size of the world economy more than tripling and population increasing by over 3 billion people since 1970. This growth, however, has been accompanied by environmental pollution and natural resource depletion. The current growth model and the mismanagement of natural assets could ultimately undermine human development. The OECD Environmental Outlook to 2050 asks \"What will the next four decades bring?\" Based on joint modelling by the OECD and the Netherlands Environmental Assessment Agency, it looks forward to the year 2050 to find out what demographic and economic trends might mean for the environment if the world does not adopt more ambitious green policies. It also looks at what policies could change that picture for the better. This Outlook focuses on four areas: climate change, biodiversity, freshwater and health impacts of pollution. These four key environmental challenges were identified by the previous Environmental Outlook to 2030 (OECD, 2008) as \"Red Light\" issues requiring urgent attention.", "author" : [ { "dropping-particle" : "", "family" : "OECD", "given" : "", "non-dropping-particle" : "", "parse-names" : false, "suffix" : "" } ], "container-title" : "Outlook", "id" : "ITEM-1", "issued" : { "date-parts" : [ [ "2012" ] ] }, "number-of-pages" : "353", "title" : "OECD Environmental Outlook to 2050: The Consequences of Inaction", "type" : "book" }, "uris" : [ "http://www.mendeley.com/documents/?uuid=4c8ab482-96f1-4c40-aa9b-e8b77c6652c0" ] } ], "mendeley" : { "formattedCitation" : "(OECD, 2012)", "plainTextFormattedCitation" : "(OECD, 2012)", "previouslyFormattedCitation" : "(OECD, 2012)" }, "properties" : {  }, "schema" : "https://github.com/citation-style-language/schema/raw/master/csl-citation.json" }</w:instrText>
      </w:r>
      <w:r w:rsidRPr="008608AA">
        <w:rPr>
          <w:rFonts w:eastAsia="Droid Sans Fallback"/>
          <w:lang w:eastAsia="ja-JP"/>
        </w:rPr>
        <w:fldChar w:fldCharType="separate"/>
      </w:r>
      <w:r w:rsidRPr="008608AA">
        <w:rPr>
          <w:rFonts w:eastAsia="Droid Sans Fallback"/>
          <w:noProof/>
          <w:lang w:eastAsia="ja-JP"/>
        </w:rPr>
        <w:t>(OECD, 2012)</w:t>
      </w:r>
      <w:r w:rsidRPr="008608AA">
        <w:rPr>
          <w:rFonts w:eastAsia="Droid Sans Fallback"/>
          <w:lang w:eastAsia="ja-JP"/>
        </w:rPr>
        <w:fldChar w:fldCharType="end"/>
      </w:r>
      <w:r w:rsidRPr="008608AA">
        <w:rPr>
          <w:rFonts w:eastAsia="Droid Sans Fallback"/>
          <w:lang w:eastAsia="ja-JP"/>
        </w:rPr>
        <w:t xml:space="preserve"> as a benchmark to construct a business-as-usual future. Additionally, the model uses 3 alternative pathways</w:t>
      </w:r>
      <w:r w:rsidRPr="008608AA">
        <w:rPr>
          <w:rFonts w:eastAsia="Droid Sans Fallback"/>
        </w:rPr>
        <w:t xml:space="preserve"> </w:t>
      </w:r>
      <w:r w:rsidRPr="008608AA">
        <w:rPr>
          <w:rFonts w:eastAsia="Droid Sans Fallback"/>
          <w:lang w:eastAsia="ja-JP"/>
        </w:rPr>
        <w:t>that represent possible routes to achieve the sustainability targets: (1) Global technology, (2) Decentralized Solutions, and (3) Consumption Change (Table 5.2). Under the terminology used thus far in this assessment, these three pathways roughly equate to a combination the Policy Reform and Great Transitions archetypes.</w:t>
      </w:r>
    </w:p>
    <w:p w14:paraId="677F536E" w14:textId="77777777" w:rsidR="00C95490" w:rsidRPr="008608AA" w:rsidRDefault="00C95490" w:rsidP="00EE708F">
      <w:pPr>
        <w:suppressAutoHyphens/>
        <w:rPr>
          <w:rFonts w:eastAsia="Droid Sans Fallback"/>
          <w:lang w:eastAsia="ja-JP"/>
        </w:rPr>
      </w:pPr>
    </w:p>
    <w:p w14:paraId="0A61DEDC" w14:textId="77777777" w:rsidR="00C95490" w:rsidRPr="008608AA" w:rsidRDefault="00490494" w:rsidP="00EE708F">
      <w:pPr>
        <w:suppressAutoHyphens/>
        <w:rPr>
          <w:rFonts w:eastAsia="Droid Sans Fallback"/>
          <w:lang w:eastAsia="ja-JP"/>
        </w:rPr>
      </w:pPr>
      <w:r w:rsidRPr="008608AA">
        <w:rPr>
          <w:rFonts w:eastAsia="Droid Sans Fallback"/>
          <w:lang w:eastAsia="ja-JP"/>
        </w:rPr>
        <w:t>Under the trend scenario (business as usual) SDG will not be achieved; the model assumes that world development continues to be characterized by a focus on economic development and globalization</w:t>
      </w:r>
      <w:r w:rsidRPr="008608AA">
        <w:rPr>
          <w:rFonts w:eastAsia="Droid Sans Fallback"/>
        </w:rPr>
        <w:t xml:space="preserve"> </w:t>
      </w:r>
      <w:r w:rsidRPr="008608AA">
        <w:rPr>
          <w:rFonts w:eastAsia="Droid Sans Fallback"/>
          <w:lang w:eastAsia="ja-JP"/>
        </w:rPr>
        <w:t xml:space="preserve">(Market Forces scenario archetype) </w:t>
      </w:r>
      <w:r w:rsidRPr="008608AA">
        <w:rPr>
          <w:rFonts w:eastAsia="Droid Sans Fallback"/>
        </w:rPr>
        <w:t xml:space="preserve">and </w:t>
      </w:r>
      <w:r w:rsidRPr="008608AA">
        <w:rPr>
          <w:rFonts w:eastAsia="Droid Sans Fallback"/>
          <w:lang w:eastAsia="ja-JP"/>
        </w:rPr>
        <w:t>no pro-active policies to reduce the risks associated with environmental degradation are presumed (PBL, 2012). The scenario also assumes a continuing increase in the consumption of food, the production of material goods and services and the use of energy, although with a tendency towards saturation at high-income levels (Table 5.2).</w:t>
      </w:r>
    </w:p>
    <w:p w14:paraId="47C5EE74" w14:textId="67AF482E" w:rsidR="00490494" w:rsidRPr="008608AA" w:rsidRDefault="00490494" w:rsidP="00EE708F">
      <w:pPr>
        <w:suppressAutoHyphens/>
        <w:rPr>
          <w:rFonts w:eastAsia="Droid Sans Fallback"/>
          <w:lang w:eastAsia="ja-JP"/>
        </w:rPr>
      </w:pPr>
      <w:r w:rsidRPr="008608AA">
        <w:rPr>
          <w:rFonts w:eastAsia="Droid Sans Fallback"/>
          <w:lang w:eastAsia="ja-JP"/>
        </w:rPr>
        <w:t xml:space="preserve"> </w:t>
      </w:r>
    </w:p>
    <w:p w14:paraId="2F30C12D" w14:textId="77777777" w:rsidR="00C95490" w:rsidRPr="008608AA" w:rsidRDefault="00490494" w:rsidP="00EE708F">
      <w:pPr>
        <w:suppressAutoHyphens/>
        <w:rPr>
          <w:rFonts w:eastAsia="Droid Sans Fallback"/>
          <w:lang w:eastAsia="ja-JP"/>
        </w:rPr>
      </w:pPr>
      <w:r w:rsidRPr="008608AA">
        <w:rPr>
          <w:rFonts w:eastAsia="Droid Sans Fallback"/>
          <w:lang w:eastAsia="ja-JP"/>
        </w:rPr>
        <w:t xml:space="preserve">The pathways represent different ways to strengthen and direct, or redirect, the technologies, preferences and incentives in society in more sustainable directions (PBL, 2012). Each alternative pathway would achieve ambitious global sustainability targets in 2050, such as limiting climate change to 2 °C, stabilizing biodiversity loss and providing full access to energy, water and food, but differ fundamentally in their approach (Table 5.2). The first pathway (Global Technology) assumes the adoption of large-scale technologically-optimal solutions to address climate change and biodiversity loss from a “top-down” approach with high level of international coordination (PBL, 2012), under this pathway the most important contribution comes from increasing agricultural productivity on highly productive lands. </w:t>
      </w:r>
    </w:p>
    <w:p w14:paraId="3031CB42" w14:textId="77777777" w:rsidR="00C95490" w:rsidRPr="008608AA" w:rsidRDefault="00C95490" w:rsidP="00EE708F">
      <w:pPr>
        <w:suppressAutoHyphens/>
        <w:rPr>
          <w:rFonts w:eastAsia="Droid Sans Fallback"/>
          <w:lang w:eastAsia="ja-JP"/>
        </w:rPr>
      </w:pPr>
    </w:p>
    <w:p w14:paraId="1E9A2BB1" w14:textId="7C6FA200" w:rsidR="0047766E" w:rsidRPr="008608AA" w:rsidRDefault="00490494" w:rsidP="00EE708F">
      <w:pPr>
        <w:suppressAutoHyphens/>
        <w:rPr>
          <w:rFonts w:eastAsia="Droid Sans Fallback"/>
          <w:lang w:eastAsia="ja-JP"/>
        </w:rPr>
        <w:sectPr w:rsidR="0047766E" w:rsidRPr="008608AA" w:rsidSect="007E3B26">
          <w:pgSz w:w="11907" w:h="16839" w:code="9"/>
          <w:pgMar w:top="907" w:right="992" w:bottom="1418" w:left="1418" w:header="720" w:footer="720" w:gutter="0"/>
          <w:cols w:space="720"/>
          <w:docGrid w:linePitch="326"/>
        </w:sectPr>
      </w:pPr>
      <w:r w:rsidRPr="008608AA">
        <w:rPr>
          <w:rFonts w:eastAsia="Droid Sans Fallback"/>
          <w:lang w:eastAsia="ja-JP"/>
        </w:rPr>
        <w:t>The second pathway (Decentralised Solutions) relies on local and regional efforts to ensure a sustainable quality of life from a “bottom-up” managed system where small-scale and decentralized technologies are prioritized (PBL, 2012), under this pathway the major contribution is linked to avoided fragmentation, more ecological farming and reduced infrastructure expansion. The last pathway (Consumption Change) contemplates a growing awareness of sustainability issues which leads to changes in human consumption patterns and facilitates a transition towards less material- and energy-intensive activities (PBL, 2012), this implies a significant reduction in the consumption of meat and eggs as well as reduced wastage, which leads to less agricultural production and, thus, the reduction of the associated biodiversity loss.</w:t>
      </w:r>
    </w:p>
    <w:p w14:paraId="01D69BC9" w14:textId="3EEEEF5A" w:rsidR="00490494" w:rsidRPr="008608AA" w:rsidRDefault="00EE708F" w:rsidP="00EE708F">
      <w:pPr>
        <w:pStyle w:val="Caption"/>
      </w:pPr>
      <w:bookmarkStart w:id="2126" w:name="_Toc499544899"/>
      <w:bookmarkStart w:id="2127" w:name="_Toc499817429"/>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5</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2</w:t>
      </w:r>
      <w:r w:rsidR="000E562E">
        <w:rPr>
          <w:noProof/>
        </w:rPr>
        <w:fldChar w:fldCharType="end"/>
      </w:r>
      <w:r w:rsidRPr="008608AA">
        <w:t xml:space="preserve">. </w:t>
      </w:r>
      <w:r w:rsidR="00490494" w:rsidRPr="008608AA">
        <w:t xml:space="preserve">Assumptions of business as usual, </w:t>
      </w:r>
      <w:r w:rsidR="00D06876" w:rsidRPr="008608AA">
        <w:t xml:space="preserve">global technology, decentralised solutions and consumption change </w:t>
      </w:r>
      <w:r w:rsidR="00490494" w:rsidRPr="008608AA">
        <w:t>scenarios for the year 2050</w:t>
      </w:r>
      <w:r w:rsidR="00CB199B" w:rsidRPr="008608AA">
        <w:t>.</w:t>
      </w:r>
      <w:r w:rsidR="00490494" w:rsidRPr="008608AA">
        <w:t xml:space="preserve"> </w:t>
      </w:r>
      <w:bookmarkEnd w:id="2126"/>
      <w:r w:rsidR="00490494" w:rsidRPr="008608AA">
        <w:fldChar w:fldCharType="begin" w:fldLock="1"/>
      </w:r>
      <w:r w:rsidR="00490494" w:rsidRPr="008608AA">
        <w:instrText>ADDIN CSL_CITATION { "citationItems" : [ { "id" : "ITEM-1", "itemData" : { "ISBN" : "9789078645986", "author" : [ { "dropping-particle" : "", "family" : "PBL", "given" : "", "non-dropping-particle" : "", "parse-names" : false, "suffix" : "" } ], "id" : "ITEM-1", "issued" : { "date-parts" : [ [ "2012" ] ] }, "number-of-pages" : "50", "publisher-place" : "The Hague", "title" : "Roads from Rio+20. Pathways to achieve global sustainability goals by 2050", "type" : "report" }, "uris" : [ "http://www.mendeley.com/documents/?uuid=ab1e78b8-4eaf-4458-b600-556c98232d23" ] }, { "id" : "ITEM-2", "itemData" : { "DOI" : "10.1111/conl.12159", "ISBN" : "1755-263X", "ISSN" : "1755263X", "abstract" : "To address the ongoing global biodiversity crisis, governments have set strategic objectives and have adopted indicators to monitor progress towards their achievement. Projecting the likely impacts on biodiversity of different policy decisions allows decision makers to understand if and how these targets can be met. We projected trends in two widely used indicators of population abundance (the Living Planet Index; LPI) and extinction risk (the Red List Index; RLI) under different climate and land-use change scenarios. Testing these on terrestrial carnivore and ungulate species, we found that both indicators decline steadily, and by 2050, under a business-as-usual scenario, the LPI declines by 18\u201335% while extinction risk increases for 8\u201323% of the species, depending on assumptions about species responses to climate change. Business-as-usual will therefore fail CBD target 12 of improving the conservation status of known threatened species. An alternative sustainable development scenario reduces both extinction risk and population losses compared with Business-as-usual and could lead to population increases. Our approach to model species responses to global changes brings the focus of scenarios directly to the species level, thus taking into account an additional dimension of biodiversity and paving the way for including stronger ecological foundations into future biodiversity scenario assessments. This article is protected by copyright. All rights reserved.", "author" : [ { "dropping-particle" : "", "family" : "Visconti", "given" : "Piero", "non-dropping-particle" : "", "parse-names" : false, "suffix" : "" }, { "dropping-particle" : "", "family" : "Bakkenes", "given" : "Michel", "non-dropping-particle" : "", "parse-names" : false, "suffix" : "" }, { "dropping-particle" : "", "family" : "Baisero", "given" : "Daniele", "non-dropping-particle" : "", "parse-names" : false, "suffix" : "" }, { "dropping-particle" : "", "family" : "Brooks", "given" : "Thomas", "non-dropping-particle" : "", "parse-names" : false, "suffix" : "" }, { "dropping-particle" : "", "family" : "Butchart", "given" : "Stuart H.M.", "non-dropping-particle" : "", "parse-names" : false, "suffix" : "" }, { "dropping-particle" : "", "family" : "Joppa", "given" : "Lucas", "non-dropping-particle" : "", "parse-names" : false, "suffix" : "" }, { "dropping-particle" : "", "family" : "Alkemade", "given" : "Rob", "non-dropping-particle" : "", "parse-names" : false, "suffix" : "" }, { "dropping-particle" : "", "family" : "Marco", "given" : "Moreno", "non-dropping-particle" : "Di", "parse-names" : false, "suffix" : "" }, { "dropping-particle" : "", "family" : "Santini", "given" : "Luca", "non-dropping-particle" : "", "parse-names" : false, "suffix" : "" }, { "dropping-particle" : "", "family" : "Hoffmann", "given" : "Michael", "non-dropping-particle" : "", "parse-names" : false, "suffix" : "" }, { "dropping-particle" : "", "family" : "Maiorano", "given" : "Luigi", "non-dropping-particle" : "", "parse-names" : false, "suffix" : "" }, { "dropping-particle" : "", "family" : "Pressey", "given" : "Robert L.", "non-dropping-particle" : "", "parse-names" : false, "suffix" : "" }, { "dropping-particle" : "", "family" : "Arponen", "given" : "Anni", "non-dropping-particle" : "", "parse-names" : false, "suffix" : "" }, { "dropping-particle" : "", "family" : "Boitani", "given" : "Luigi", "non-dropping-particle" : "", "parse-names" : false, "suffix" : "" }, { "dropping-particle" : "", "family" : "Reside", "given" : "April E.", "non-dropping-particle" : "", "parse-names" : false, "suffix" : "" }, { "dropping-particle" : "", "family" : "Vuuren", "given" : "Detlef P.", "non-dropping-particle" : "van", "parse-names" : false, "suffix" : "" }, { "dropping-particle" : "", "family" : "Rondinini", "given" : "Carlo", "non-dropping-particle" : "", "parse-names" : false, "suffix" : "" } ], "container-title" : "Conservation Letters", "id" : "ITEM-2", "issue" : "1", "issued" : { "date-parts" : [ [ "2016" ] ] }, "page" : "5-13", "title" : "Projecting Global Biodiversity Indicators under Future Development Scenarios", "type" : "article-journal", "volume" : "9" }, "uris" : [ "http://www.mendeley.com/documents/?uuid=dde97d91-8b89-4a92-9d9f-0c5a8c35b3f4" ] } ], "mendeley" : { "formattedCitation" : "(PBL, 2012; Visconti et al., 2016)", "manualFormatting" : "(sources: PBL, 2012; Visconti et al., 2016)", "plainTextFormattedCitation" : "(PBL, 2012; Visconti et al., 2016)", "previouslyFormattedCitation" : "(PBL, 2012; Visconti et al., 2016)" }, "properties" : {  }, "schema" : "https://github.com/citation-style-language/schema/raw/master/csl-citation.json" }</w:instrText>
      </w:r>
      <w:r w:rsidR="00490494" w:rsidRPr="008608AA">
        <w:fldChar w:fldCharType="separate"/>
      </w:r>
      <w:r w:rsidR="00CB199B" w:rsidRPr="008608AA">
        <w:rPr>
          <w:b w:val="0"/>
          <w:noProof/>
        </w:rPr>
        <w:t>Sources: PBL (</w:t>
      </w:r>
      <w:r w:rsidR="00490494" w:rsidRPr="008608AA">
        <w:rPr>
          <w:b w:val="0"/>
          <w:noProof/>
        </w:rPr>
        <w:t>2012</w:t>
      </w:r>
      <w:r w:rsidR="00CB199B" w:rsidRPr="008608AA">
        <w:rPr>
          <w:b w:val="0"/>
          <w:noProof/>
        </w:rPr>
        <w:t>),</w:t>
      </w:r>
      <w:r w:rsidR="00490494" w:rsidRPr="008608AA">
        <w:rPr>
          <w:b w:val="0"/>
          <w:noProof/>
        </w:rPr>
        <w:t xml:space="preserve"> Visconti </w:t>
      </w:r>
      <w:r w:rsidR="00490494" w:rsidRPr="008608AA">
        <w:rPr>
          <w:b w:val="0"/>
          <w:i/>
          <w:noProof/>
        </w:rPr>
        <w:t>et al.</w:t>
      </w:r>
      <w:r w:rsidR="00CB199B" w:rsidRPr="008608AA">
        <w:rPr>
          <w:b w:val="0"/>
          <w:noProof/>
        </w:rPr>
        <w:t xml:space="preserve"> (</w:t>
      </w:r>
      <w:r w:rsidR="00490494" w:rsidRPr="008608AA">
        <w:rPr>
          <w:b w:val="0"/>
          <w:noProof/>
        </w:rPr>
        <w:t>2016)</w:t>
      </w:r>
      <w:bookmarkEnd w:id="2127"/>
      <w:r w:rsidR="00490494" w:rsidRPr="008608AA">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0"/>
        <w:gridCol w:w="3243"/>
        <w:gridCol w:w="2559"/>
        <w:gridCol w:w="2901"/>
        <w:gridCol w:w="2901"/>
      </w:tblGrid>
      <w:tr w:rsidR="00490494" w:rsidRPr="00D16BCD" w14:paraId="266ECF0C" w14:textId="77777777" w:rsidTr="00EE708F">
        <w:trPr>
          <w:trHeight w:val="255"/>
          <w:jc w:val="center"/>
        </w:trPr>
        <w:tc>
          <w:tcPr>
            <w:tcW w:w="1000" w:type="pct"/>
            <w:shd w:val="clear" w:color="auto" w:fill="auto"/>
            <w:vAlign w:val="center"/>
            <w:hideMark/>
          </w:tcPr>
          <w:p w14:paraId="21232ED6" w14:textId="77777777" w:rsidR="00490494" w:rsidRPr="00D16BCD" w:rsidRDefault="00490494" w:rsidP="0047766E">
            <w:pPr>
              <w:rPr>
                <w:szCs w:val="22"/>
              </w:rPr>
            </w:pPr>
          </w:p>
        </w:tc>
        <w:tc>
          <w:tcPr>
            <w:tcW w:w="1118" w:type="pct"/>
            <w:shd w:val="clear" w:color="auto" w:fill="BFBFBF" w:themeFill="background1" w:themeFillShade="BF"/>
            <w:vAlign w:val="center"/>
            <w:hideMark/>
          </w:tcPr>
          <w:p w14:paraId="5DC87FCA" w14:textId="7BAE5884" w:rsidR="00490494" w:rsidRPr="00D16BCD" w:rsidRDefault="0047766E" w:rsidP="0047766E">
            <w:pPr>
              <w:rPr>
                <w:b/>
                <w:bCs/>
                <w:szCs w:val="22"/>
              </w:rPr>
            </w:pPr>
            <w:r w:rsidRPr="00D16BCD">
              <w:rPr>
                <w:b/>
                <w:bCs/>
                <w:szCs w:val="22"/>
              </w:rPr>
              <w:t>B</w:t>
            </w:r>
            <w:r w:rsidR="00490494" w:rsidRPr="00D16BCD">
              <w:rPr>
                <w:b/>
                <w:bCs/>
                <w:szCs w:val="22"/>
              </w:rPr>
              <w:t>usiness as usual</w:t>
            </w:r>
          </w:p>
        </w:tc>
        <w:tc>
          <w:tcPr>
            <w:tcW w:w="882" w:type="pct"/>
            <w:shd w:val="clear" w:color="auto" w:fill="BFBFBF" w:themeFill="background1" w:themeFillShade="BF"/>
            <w:vAlign w:val="center"/>
            <w:hideMark/>
          </w:tcPr>
          <w:p w14:paraId="6FDB5421" w14:textId="43777B36" w:rsidR="00490494" w:rsidRPr="00D16BCD" w:rsidRDefault="0047766E" w:rsidP="0047766E">
            <w:pPr>
              <w:rPr>
                <w:b/>
                <w:bCs/>
                <w:szCs w:val="22"/>
              </w:rPr>
            </w:pPr>
            <w:r w:rsidRPr="00D16BCD">
              <w:rPr>
                <w:b/>
                <w:bCs/>
                <w:szCs w:val="22"/>
              </w:rPr>
              <w:t>Global t</w:t>
            </w:r>
            <w:r w:rsidR="00490494" w:rsidRPr="00D16BCD">
              <w:rPr>
                <w:b/>
                <w:bCs/>
                <w:szCs w:val="22"/>
              </w:rPr>
              <w:t>echnology</w:t>
            </w:r>
          </w:p>
        </w:tc>
        <w:tc>
          <w:tcPr>
            <w:tcW w:w="1000" w:type="pct"/>
            <w:shd w:val="clear" w:color="auto" w:fill="BFBFBF" w:themeFill="background1" w:themeFillShade="BF"/>
            <w:vAlign w:val="center"/>
            <w:hideMark/>
          </w:tcPr>
          <w:p w14:paraId="4C375778" w14:textId="62A7B5C8" w:rsidR="00490494" w:rsidRPr="00D16BCD" w:rsidRDefault="0047766E" w:rsidP="0047766E">
            <w:pPr>
              <w:rPr>
                <w:b/>
                <w:bCs/>
                <w:szCs w:val="22"/>
              </w:rPr>
            </w:pPr>
            <w:r w:rsidRPr="00D16BCD">
              <w:rPr>
                <w:b/>
                <w:bCs/>
                <w:szCs w:val="22"/>
              </w:rPr>
              <w:t>Decentralised s</w:t>
            </w:r>
            <w:r w:rsidR="00490494" w:rsidRPr="00D16BCD">
              <w:rPr>
                <w:b/>
                <w:bCs/>
                <w:szCs w:val="22"/>
              </w:rPr>
              <w:t>olutions</w:t>
            </w:r>
          </w:p>
        </w:tc>
        <w:tc>
          <w:tcPr>
            <w:tcW w:w="1000" w:type="pct"/>
            <w:shd w:val="clear" w:color="auto" w:fill="BFBFBF" w:themeFill="background1" w:themeFillShade="BF"/>
            <w:vAlign w:val="center"/>
            <w:hideMark/>
          </w:tcPr>
          <w:p w14:paraId="02237C93" w14:textId="25D1FC3F" w:rsidR="00490494" w:rsidRPr="00D16BCD" w:rsidRDefault="0047766E" w:rsidP="0047766E">
            <w:pPr>
              <w:rPr>
                <w:b/>
                <w:bCs/>
                <w:szCs w:val="22"/>
              </w:rPr>
            </w:pPr>
            <w:r w:rsidRPr="00D16BCD">
              <w:rPr>
                <w:b/>
                <w:bCs/>
                <w:szCs w:val="22"/>
              </w:rPr>
              <w:t>Consumption c</w:t>
            </w:r>
            <w:r w:rsidR="00490494" w:rsidRPr="00D16BCD">
              <w:rPr>
                <w:b/>
                <w:bCs/>
                <w:szCs w:val="22"/>
              </w:rPr>
              <w:t>hange</w:t>
            </w:r>
          </w:p>
        </w:tc>
      </w:tr>
      <w:tr w:rsidR="00490494" w:rsidRPr="00D16BCD" w14:paraId="67D85B55" w14:textId="77777777" w:rsidTr="00EE708F">
        <w:trPr>
          <w:trHeight w:val="633"/>
          <w:jc w:val="center"/>
        </w:trPr>
        <w:tc>
          <w:tcPr>
            <w:tcW w:w="1000" w:type="pct"/>
            <w:shd w:val="clear" w:color="auto" w:fill="BFBFBF" w:themeFill="background1" w:themeFillShade="BF"/>
            <w:vAlign w:val="center"/>
            <w:hideMark/>
          </w:tcPr>
          <w:p w14:paraId="0409C952" w14:textId="77777777" w:rsidR="00490494" w:rsidRPr="00D16BCD" w:rsidRDefault="00490494" w:rsidP="0047766E">
            <w:pPr>
              <w:rPr>
                <w:b/>
                <w:bCs/>
                <w:szCs w:val="22"/>
              </w:rPr>
            </w:pPr>
            <w:r w:rsidRPr="00D16BCD">
              <w:rPr>
                <w:b/>
                <w:bCs/>
                <w:szCs w:val="22"/>
              </w:rPr>
              <w:t>Access to food</w:t>
            </w:r>
          </w:p>
        </w:tc>
        <w:tc>
          <w:tcPr>
            <w:tcW w:w="1118" w:type="pct"/>
            <w:shd w:val="clear" w:color="auto" w:fill="auto"/>
            <w:vAlign w:val="center"/>
            <w:hideMark/>
          </w:tcPr>
          <w:p w14:paraId="067CFDA0" w14:textId="77777777" w:rsidR="00490494" w:rsidRPr="00D16BCD" w:rsidRDefault="00490494" w:rsidP="0047766E">
            <w:pPr>
              <w:rPr>
                <w:szCs w:val="22"/>
              </w:rPr>
            </w:pPr>
            <w:r w:rsidRPr="00D16BCD">
              <w:rPr>
                <w:szCs w:val="22"/>
              </w:rPr>
              <w:t>272 million people are projected to still be undernourished by 2050</w:t>
            </w:r>
          </w:p>
        </w:tc>
        <w:tc>
          <w:tcPr>
            <w:tcW w:w="882" w:type="pct"/>
            <w:shd w:val="clear" w:color="auto" w:fill="auto"/>
            <w:vAlign w:val="center"/>
            <w:hideMark/>
          </w:tcPr>
          <w:p w14:paraId="041A8466" w14:textId="77777777" w:rsidR="00490494" w:rsidRPr="00D16BCD" w:rsidRDefault="00490494" w:rsidP="0047766E">
            <w:pPr>
              <w:rPr>
                <w:szCs w:val="22"/>
              </w:rPr>
            </w:pPr>
            <w:r w:rsidRPr="00D16BCD">
              <w:rPr>
                <w:szCs w:val="22"/>
              </w:rPr>
              <w:t>Trend</w:t>
            </w:r>
          </w:p>
        </w:tc>
        <w:tc>
          <w:tcPr>
            <w:tcW w:w="1000" w:type="pct"/>
            <w:shd w:val="clear" w:color="auto" w:fill="auto"/>
            <w:vAlign w:val="center"/>
            <w:hideMark/>
          </w:tcPr>
          <w:p w14:paraId="0855E30C" w14:textId="77777777" w:rsidR="00490494" w:rsidRPr="00D16BCD" w:rsidRDefault="00490494" w:rsidP="0047766E">
            <w:pPr>
              <w:rPr>
                <w:szCs w:val="22"/>
              </w:rPr>
            </w:pPr>
            <w:r w:rsidRPr="00D16BCD">
              <w:rPr>
                <w:szCs w:val="22"/>
              </w:rPr>
              <w:t>Inequality in access to food due to income inequality converges to zero by 2050</w:t>
            </w:r>
          </w:p>
        </w:tc>
        <w:tc>
          <w:tcPr>
            <w:tcW w:w="1000" w:type="pct"/>
            <w:shd w:val="clear" w:color="auto" w:fill="auto"/>
            <w:vAlign w:val="center"/>
            <w:hideMark/>
          </w:tcPr>
          <w:p w14:paraId="61F3FA5B" w14:textId="77777777" w:rsidR="00490494" w:rsidRPr="00D16BCD" w:rsidRDefault="00490494" w:rsidP="0047766E">
            <w:pPr>
              <w:rPr>
                <w:szCs w:val="22"/>
              </w:rPr>
            </w:pPr>
            <w:r w:rsidRPr="00D16BCD">
              <w:rPr>
                <w:szCs w:val="22"/>
              </w:rPr>
              <w:t>Inequality in access to food due to income inequality converges to zero by 2051</w:t>
            </w:r>
          </w:p>
        </w:tc>
      </w:tr>
      <w:tr w:rsidR="00490494" w:rsidRPr="00D16BCD" w14:paraId="1692F071" w14:textId="77777777" w:rsidTr="00EE708F">
        <w:trPr>
          <w:trHeight w:val="1507"/>
          <w:jc w:val="center"/>
        </w:trPr>
        <w:tc>
          <w:tcPr>
            <w:tcW w:w="1000" w:type="pct"/>
            <w:shd w:val="clear" w:color="auto" w:fill="BFBFBF" w:themeFill="background1" w:themeFillShade="BF"/>
            <w:vAlign w:val="center"/>
            <w:hideMark/>
          </w:tcPr>
          <w:p w14:paraId="7234C9C1" w14:textId="77777777" w:rsidR="00490494" w:rsidRPr="00D16BCD" w:rsidRDefault="00490494" w:rsidP="0047766E">
            <w:pPr>
              <w:rPr>
                <w:b/>
                <w:bCs/>
                <w:szCs w:val="22"/>
              </w:rPr>
            </w:pPr>
            <w:r w:rsidRPr="00D16BCD">
              <w:rPr>
                <w:b/>
                <w:bCs/>
                <w:szCs w:val="22"/>
              </w:rPr>
              <w:t>Consumption</w:t>
            </w:r>
          </w:p>
        </w:tc>
        <w:tc>
          <w:tcPr>
            <w:tcW w:w="1118" w:type="pct"/>
            <w:shd w:val="clear" w:color="auto" w:fill="auto"/>
            <w:vAlign w:val="center"/>
            <w:hideMark/>
          </w:tcPr>
          <w:p w14:paraId="6E2CF74F" w14:textId="77777777" w:rsidR="00490494" w:rsidRPr="00D16BCD" w:rsidRDefault="00490494" w:rsidP="0047766E">
            <w:pPr>
              <w:rPr>
                <w:szCs w:val="22"/>
              </w:rPr>
            </w:pPr>
            <w:r w:rsidRPr="00D16BCD">
              <w:rPr>
                <w:szCs w:val="22"/>
              </w:rPr>
              <w:t>65% increase in energy consumption in the 2010–2050, 50% increase of food consumption</w:t>
            </w:r>
          </w:p>
        </w:tc>
        <w:tc>
          <w:tcPr>
            <w:tcW w:w="882" w:type="pct"/>
            <w:shd w:val="clear" w:color="auto" w:fill="auto"/>
            <w:vAlign w:val="center"/>
            <w:hideMark/>
          </w:tcPr>
          <w:p w14:paraId="4E1877D3" w14:textId="77777777" w:rsidR="00490494" w:rsidRPr="00D16BCD" w:rsidRDefault="00490494" w:rsidP="0047766E">
            <w:pPr>
              <w:rPr>
                <w:szCs w:val="22"/>
              </w:rPr>
            </w:pPr>
            <w:r w:rsidRPr="00D16BCD">
              <w:rPr>
                <w:szCs w:val="22"/>
              </w:rPr>
              <w:t>Trend</w:t>
            </w:r>
          </w:p>
        </w:tc>
        <w:tc>
          <w:tcPr>
            <w:tcW w:w="1000" w:type="pct"/>
            <w:shd w:val="clear" w:color="auto" w:fill="auto"/>
            <w:vAlign w:val="center"/>
            <w:hideMark/>
          </w:tcPr>
          <w:p w14:paraId="1BB9C9AC" w14:textId="77777777" w:rsidR="00490494" w:rsidRPr="00D16BCD" w:rsidRDefault="00490494" w:rsidP="0047766E">
            <w:pPr>
              <w:rPr>
                <w:szCs w:val="22"/>
              </w:rPr>
            </w:pPr>
            <w:r w:rsidRPr="00D16BCD">
              <w:rPr>
                <w:szCs w:val="22"/>
              </w:rPr>
              <w:t>Trend</w:t>
            </w:r>
          </w:p>
        </w:tc>
        <w:tc>
          <w:tcPr>
            <w:tcW w:w="1000" w:type="pct"/>
            <w:shd w:val="clear" w:color="auto" w:fill="auto"/>
            <w:vAlign w:val="center"/>
            <w:hideMark/>
          </w:tcPr>
          <w:p w14:paraId="417A942A" w14:textId="77777777" w:rsidR="00490494" w:rsidRPr="00D16BCD" w:rsidRDefault="00490494" w:rsidP="0047766E">
            <w:pPr>
              <w:rPr>
                <w:szCs w:val="22"/>
              </w:rPr>
            </w:pPr>
            <w:r w:rsidRPr="00D16BCD">
              <w:rPr>
                <w:szCs w:val="22"/>
              </w:rPr>
              <w:t xml:space="preserve">Meat consumption per capita levels off at twice the consumption level suggested by a supposed healthy diet (i.e., low beef, pork intake, resulting in 10 g beef, 10 g pork and 46.6 g chicken meat and eggs per person per day) </w:t>
            </w:r>
            <w:r w:rsidRPr="00D16BCD">
              <w:rPr>
                <w:szCs w:val="22"/>
              </w:rPr>
              <w:fldChar w:fldCharType="begin" w:fldLock="1"/>
            </w:r>
            <w:r w:rsidRPr="00D16BCD">
              <w:rPr>
                <w:szCs w:val="22"/>
              </w:rPr>
              <w:instrText>ADDIN CSL_CITATION { "citationItems" : [ { "id" : "ITEM-1", "itemData" : { "DOI" : "10.1007/s10584-008-9534-6", "ISBN" : "0165-0009", "ISSN" : "01650009", "abstract" : "Climate changemitigation policies tend to focus on the energy sector, while the livestock sector receives surprisingly little attention, despite the fact that it ac- counts for 18% of the greenhouse gas emissions and for 80% of total anthropogenic land use. From a dietary perspective, new insights in the adverse health effects of beef and pork have lead to a revision of meat consumption recommendations.Here, we explored the potential impact of dietary changes on achieving ambitious climate stabilization levels. By using an integrated assessmentmodel, we found a global food transition to less meat, or even a complete switch to plant-based protein food to have a dramatic effect on land use. Up to 2,700 Mha of pasture and 100 Mha of cropland could be abandoned, resulting in a large carbon uptake from regrowing vegetation. Additionally,methane and nitrous oxide emission would be reduced substantially.A global transition to a lowmeat-diet as recommended for health reasons would reduce the mitigation costs to achieve a 450 ppm CO2-eq. stabilisation target by about 50% in 2050 compared to the reference case. Dietary changes could therefore not only create substantial benefits for human health and global land use, but can also play an important role in future climate changemitigation policies.", "author" : [ { "dropping-particle" : "", "family" : "Stehfest", "given" : "Elke", "non-dropping-particle" : "", "parse-names" : false, "suffix" : "" }, { "dropping-particle" : "", "family" : "Bouwman", "given" : "Lex", "non-dropping-particle" : "", "parse-names" : false, "suffix" : "" }, { "dropping-particle" : "", "family" : "Vuuren", "given" : "Detlef P.", "non-dropping-particle" : "Van", "parse-names" : false, "suffix" : "" }, { "dropping-particle" : "", "family" : "Elzen", "given" : "Michel G.J.", "non-dropping-particle" : "Den", "parse-names" : false, "suffix" : "" }, { "dropping-particle" : "", "family" : "Eickhout", "given" : "Bas", "non-dropping-particle" : "", "parse-names" : false, "suffix" : "" }, { "dropping-particle" : "", "family" : "Kabat", "given" : "Pavel", "non-dropping-particle" : "", "parse-names" : false, "suffix" : "" } ], "container-title" : "Climatic Change", "id" : "ITEM-1", "issue" : "1-2", "issued" : { "date-parts" : [ [ "2009" ] ] }, "page" : "83-102", "title" : "Climate benefits of changing diet", "type" : "article-journal", "volume" : "95" }, "uris" : [ "http://www.mendeley.com/documents/?uuid=d10db01d-48a3-4817-a893-b0c5e1d76f10" ] }, { "id" : "ITEM-2", "itemData" : { "author" : [ { "dropping-particle" : "", "family" : "Willett", "given" : "WC", "non-dropping-particle" : "", "parse-names" : false, "suffix" : "" } ], "id" : "ITEM-2", "issued" : { "date-parts" : [ [ "2001" ] ] }, "publisher" : "Simon &amp; Schuster", "publisher-place" : "New York", "title" : "Eat, drink, and be healthy: the Harvard Medical School guide to healthy eating", "type" : "book" }, "uris" : [ "http://www.mendeley.com/documents/?uuid=17abf007-be23-4577-92c4-bfdad3738cea" ] } ], "mendeley" : { "formattedCitation" : "(Stehfest et al., 2009; Willett, 2001)", "plainTextFormattedCitation" : "(Stehfest et al., 2009; Willett, 2001)", "previouslyFormattedCitation" : "(Stehfest et al., 2009; Willett, 2001)" }, "properties" : {  }, "schema" : "https://github.com/citation-style-language/schema/raw/master/csl-citation.json" }</w:instrText>
            </w:r>
            <w:r w:rsidRPr="00D16BCD">
              <w:rPr>
                <w:szCs w:val="22"/>
              </w:rPr>
              <w:fldChar w:fldCharType="separate"/>
            </w:r>
            <w:r w:rsidRPr="00D16BCD">
              <w:rPr>
                <w:noProof/>
                <w:szCs w:val="22"/>
              </w:rPr>
              <w:t xml:space="preserve">(Stehfest </w:t>
            </w:r>
            <w:r w:rsidRPr="00D16BCD">
              <w:rPr>
                <w:i/>
                <w:noProof/>
                <w:szCs w:val="22"/>
              </w:rPr>
              <w:t>et al</w:t>
            </w:r>
            <w:r w:rsidRPr="00D16BCD">
              <w:rPr>
                <w:noProof/>
                <w:szCs w:val="22"/>
              </w:rPr>
              <w:t>., 2009; Willett, 2001)</w:t>
            </w:r>
            <w:r w:rsidRPr="00D16BCD">
              <w:rPr>
                <w:szCs w:val="22"/>
              </w:rPr>
              <w:fldChar w:fldCharType="end"/>
            </w:r>
          </w:p>
        </w:tc>
      </w:tr>
      <w:tr w:rsidR="00490494" w:rsidRPr="00D16BCD" w14:paraId="617EAAD2" w14:textId="77777777" w:rsidTr="00EE708F">
        <w:trPr>
          <w:trHeight w:val="66"/>
          <w:jc w:val="center"/>
        </w:trPr>
        <w:tc>
          <w:tcPr>
            <w:tcW w:w="1000" w:type="pct"/>
            <w:shd w:val="clear" w:color="auto" w:fill="BFBFBF" w:themeFill="background1" w:themeFillShade="BF"/>
            <w:vAlign w:val="center"/>
            <w:hideMark/>
          </w:tcPr>
          <w:p w14:paraId="1E1EE915" w14:textId="77777777" w:rsidR="00490494" w:rsidRPr="00D16BCD" w:rsidRDefault="00490494" w:rsidP="0047766E">
            <w:pPr>
              <w:rPr>
                <w:b/>
                <w:bCs/>
                <w:szCs w:val="22"/>
              </w:rPr>
            </w:pPr>
            <w:r w:rsidRPr="00D16BCD">
              <w:rPr>
                <w:b/>
                <w:bCs/>
                <w:szCs w:val="22"/>
              </w:rPr>
              <w:t>Waste</w:t>
            </w:r>
          </w:p>
        </w:tc>
        <w:tc>
          <w:tcPr>
            <w:tcW w:w="1118" w:type="pct"/>
            <w:shd w:val="clear" w:color="auto" w:fill="auto"/>
            <w:vAlign w:val="center"/>
            <w:hideMark/>
          </w:tcPr>
          <w:p w14:paraId="22E08FCA" w14:textId="77777777" w:rsidR="00490494" w:rsidRPr="00D16BCD" w:rsidRDefault="00490494" w:rsidP="0047766E">
            <w:pPr>
              <w:rPr>
                <w:szCs w:val="22"/>
              </w:rPr>
            </w:pPr>
            <w:r w:rsidRPr="00D16BCD">
              <w:rPr>
                <w:szCs w:val="22"/>
              </w:rPr>
              <w:t>Stable 30% of total production</w:t>
            </w:r>
          </w:p>
        </w:tc>
        <w:tc>
          <w:tcPr>
            <w:tcW w:w="882" w:type="pct"/>
            <w:shd w:val="clear" w:color="auto" w:fill="auto"/>
            <w:vAlign w:val="center"/>
            <w:hideMark/>
          </w:tcPr>
          <w:p w14:paraId="1BF904F6" w14:textId="77777777" w:rsidR="00490494" w:rsidRPr="00D16BCD" w:rsidRDefault="00490494" w:rsidP="0047766E">
            <w:pPr>
              <w:rPr>
                <w:szCs w:val="22"/>
              </w:rPr>
            </w:pPr>
            <w:r w:rsidRPr="00D16BCD">
              <w:rPr>
                <w:szCs w:val="22"/>
              </w:rPr>
              <w:t>Trend</w:t>
            </w:r>
          </w:p>
        </w:tc>
        <w:tc>
          <w:tcPr>
            <w:tcW w:w="1000" w:type="pct"/>
            <w:shd w:val="clear" w:color="auto" w:fill="auto"/>
            <w:vAlign w:val="center"/>
            <w:hideMark/>
          </w:tcPr>
          <w:p w14:paraId="3B401D45" w14:textId="77777777" w:rsidR="00490494" w:rsidRPr="00D16BCD" w:rsidRDefault="00490494" w:rsidP="0047766E">
            <w:pPr>
              <w:rPr>
                <w:szCs w:val="22"/>
              </w:rPr>
            </w:pPr>
            <w:r w:rsidRPr="00D16BCD">
              <w:rPr>
                <w:szCs w:val="22"/>
              </w:rPr>
              <w:t>Trend</w:t>
            </w:r>
          </w:p>
        </w:tc>
        <w:tc>
          <w:tcPr>
            <w:tcW w:w="1000" w:type="pct"/>
            <w:shd w:val="clear" w:color="auto" w:fill="auto"/>
            <w:vAlign w:val="center"/>
            <w:hideMark/>
          </w:tcPr>
          <w:p w14:paraId="25AFB9FB" w14:textId="77777777" w:rsidR="00490494" w:rsidRPr="00D16BCD" w:rsidRDefault="00490494" w:rsidP="0047766E">
            <w:pPr>
              <w:rPr>
                <w:szCs w:val="22"/>
              </w:rPr>
            </w:pPr>
            <w:r w:rsidRPr="00D16BCD">
              <w:rPr>
                <w:szCs w:val="22"/>
              </w:rPr>
              <w:t>Waste is reduced by 50% (15% of production)</w:t>
            </w:r>
          </w:p>
        </w:tc>
      </w:tr>
      <w:tr w:rsidR="00490494" w:rsidRPr="00D16BCD" w14:paraId="12C8B25D" w14:textId="77777777" w:rsidTr="00EE708F">
        <w:trPr>
          <w:trHeight w:val="1502"/>
          <w:jc w:val="center"/>
        </w:trPr>
        <w:tc>
          <w:tcPr>
            <w:tcW w:w="1000" w:type="pct"/>
            <w:shd w:val="clear" w:color="auto" w:fill="BFBFBF" w:themeFill="background1" w:themeFillShade="BF"/>
            <w:vAlign w:val="center"/>
            <w:hideMark/>
          </w:tcPr>
          <w:p w14:paraId="536C35EB" w14:textId="77777777" w:rsidR="00490494" w:rsidRPr="00D16BCD" w:rsidRDefault="00490494" w:rsidP="0047766E">
            <w:pPr>
              <w:rPr>
                <w:b/>
                <w:bCs/>
                <w:szCs w:val="22"/>
              </w:rPr>
            </w:pPr>
            <w:r w:rsidRPr="00D16BCD">
              <w:rPr>
                <w:b/>
                <w:bCs/>
                <w:szCs w:val="22"/>
              </w:rPr>
              <w:t>Agricultural productivity</w:t>
            </w:r>
          </w:p>
        </w:tc>
        <w:tc>
          <w:tcPr>
            <w:tcW w:w="1118" w:type="pct"/>
            <w:shd w:val="clear" w:color="auto" w:fill="auto"/>
            <w:vAlign w:val="center"/>
            <w:hideMark/>
          </w:tcPr>
          <w:p w14:paraId="795D6D55" w14:textId="77777777" w:rsidR="00490494" w:rsidRPr="00D16BCD" w:rsidRDefault="00490494" w:rsidP="0047766E">
            <w:pPr>
              <w:rPr>
                <w:szCs w:val="22"/>
              </w:rPr>
            </w:pPr>
            <w:r w:rsidRPr="00D16BCD">
              <w:rPr>
                <w:szCs w:val="22"/>
              </w:rPr>
              <w:t>Yield increase by 0.06% annually (+27% by 2050)</w:t>
            </w:r>
          </w:p>
        </w:tc>
        <w:tc>
          <w:tcPr>
            <w:tcW w:w="882" w:type="pct"/>
            <w:shd w:val="clear" w:color="auto" w:fill="auto"/>
            <w:vAlign w:val="center"/>
            <w:hideMark/>
          </w:tcPr>
          <w:p w14:paraId="1038447A" w14:textId="77777777" w:rsidR="00490494" w:rsidRPr="00D16BCD" w:rsidRDefault="00490494" w:rsidP="0047766E">
            <w:pPr>
              <w:rPr>
                <w:szCs w:val="22"/>
              </w:rPr>
            </w:pPr>
            <w:r w:rsidRPr="00D16BCD">
              <w:rPr>
                <w:szCs w:val="22"/>
              </w:rPr>
              <w:t>In all regions, 30% increase in crop yields and 15% increase in livestock ‘yields’ by 2050, compared with the Trend scenario</w:t>
            </w:r>
          </w:p>
        </w:tc>
        <w:tc>
          <w:tcPr>
            <w:tcW w:w="1000" w:type="pct"/>
            <w:shd w:val="clear" w:color="auto" w:fill="auto"/>
            <w:vAlign w:val="center"/>
            <w:hideMark/>
          </w:tcPr>
          <w:p w14:paraId="59A7B3B1" w14:textId="77777777" w:rsidR="00490494" w:rsidRPr="00D16BCD" w:rsidRDefault="00490494" w:rsidP="0047766E">
            <w:pPr>
              <w:rPr>
                <w:szCs w:val="22"/>
              </w:rPr>
            </w:pPr>
            <w:r w:rsidRPr="00D16BCD">
              <w:rPr>
                <w:szCs w:val="22"/>
              </w:rPr>
              <w:t xml:space="preserve">In all regions, 20% increase in crop yields and 15% increase in livestock ‘yields’ with least possible impacts on biodiversity (Biodiversity: </w:t>
            </w:r>
            <w:r w:rsidRPr="00D16BCD">
              <w:rPr>
                <w:rFonts w:eastAsia="Droid Sans Fallback"/>
                <w:szCs w:val="22"/>
                <w:lang w:eastAsia="ja-JP"/>
              </w:rPr>
              <w:t xml:space="preserve">Mean Species Abundance </w:t>
            </w:r>
            <w:r w:rsidRPr="00D16BCD">
              <w:rPr>
                <w:szCs w:val="22"/>
              </w:rPr>
              <w:t>in agricultural area 40% higher than in the Trend scenario)</w:t>
            </w:r>
          </w:p>
        </w:tc>
        <w:tc>
          <w:tcPr>
            <w:tcW w:w="1000" w:type="pct"/>
            <w:shd w:val="clear" w:color="auto" w:fill="auto"/>
            <w:vAlign w:val="center"/>
            <w:hideMark/>
          </w:tcPr>
          <w:p w14:paraId="11A5700F" w14:textId="77777777" w:rsidR="00490494" w:rsidRPr="00D16BCD" w:rsidRDefault="00490494" w:rsidP="0047766E">
            <w:pPr>
              <w:rPr>
                <w:szCs w:val="22"/>
              </w:rPr>
            </w:pPr>
            <w:r w:rsidRPr="00D16BCD">
              <w:rPr>
                <w:szCs w:val="22"/>
              </w:rPr>
              <w:t>In all regions, 15% increase in crop yields by 2050, compared with the Trend scenario</w:t>
            </w:r>
          </w:p>
        </w:tc>
      </w:tr>
      <w:tr w:rsidR="00490494" w:rsidRPr="00D16BCD" w14:paraId="119F2F94" w14:textId="77777777" w:rsidTr="00EE708F">
        <w:trPr>
          <w:trHeight w:val="224"/>
          <w:jc w:val="center"/>
        </w:trPr>
        <w:tc>
          <w:tcPr>
            <w:tcW w:w="1000" w:type="pct"/>
            <w:shd w:val="clear" w:color="auto" w:fill="BFBFBF" w:themeFill="background1" w:themeFillShade="BF"/>
            <w:vAlign w:val="center"/>
            <w:hideMark/>
          </w:tcPr>
          <w:p w14:paraId="386F5521" w14:textId="77777777" w:rsidR="00490494" w:rsidRPr="00D16BCD" w:rsidRDefault="00490494" w:rsidP="0047766E">
            <w:pPr>
              <w:rPr>
                <w:b/>
                <w:bCs/>
                <w:szCs w:val="22"/>
              </w:rPr>
            </w:pPr>
            <w:r w:rsidRPr="00D16BCD">
              <w:rPr>
                <w:b/>
                <w:bCs/>
                <w:szCs w:val="22"/>
              </w:rPr>
              <w:t>Protected areas</w:t>
            </w:r>
          </w:p>
        </w:tc>
        <w:tc>
          <w:tcPr>
            <w:tcW w:w="1118" w:type="pct"/>
            <w:shd w:val="clear" w:color="auto" w:fill="auto"/>
            <w:vAlign w:val="center"/>
            <w:hideMark/>
          </w:tcPr>
          <w:p w14:paraId="2221A76F" w14:textId="77777777" w:rsidR="00490494" w:rsidRPr="00D16BCD" w:rsidRDefault="00490494" w:rsidP="0047766E">
            <w:pPr>
              <w:rPr>
                <w:szCs w:val="22"/>
              </w:rPr>
            </w:pPr>
            <w:r w:rsidRPr="00D16BCD">
              <w:rPr>
                <w:szCs w:val="22"/>
              </w:rPr>
              <w:t>No further protected areas respect to 2010</w:t>
            </w:r>
          </w:p>
        </w:tc>
        <w:tc>
          <w:tcPr>
            <w:tcW w:w="882" w:type="pct"/>
            <w:shd w:val="clear" w:color="auto" w:fill="auto"/>
            <w:vAlign w:val="center"/>
            <w:hideMark/>
          </w:tcPr>
          <w:p w14:paraId="00211C01" w14:textId="77777777" w:rsidR="00490494" w:rsidRPr="00D16BCD" w:rsidRDefault="00490494" w:rsidP="0047766E">
            <w:pPr>
              <w:rPr>
                <w:szCs w:val="22"/>
              </w:rPr>
            </w:pPr>
            <w:r w:rsidRPr="00D16BCD">
              <w:rPr>
                <w:szCs w:val="22"/>
              </w:rPr>
              <w:t>17% of each of the 7 realms; Expansion allocated far from existing agriculture</w:t>
            </w:r>
          </w:p>
        </w:tc>
        <w:tc>
          <w:tcPr>
            <w:tcW w:w="1000" w:type="pct"/>
            <w:shd w:val="clear" w:color="auto" w:fill="auto"/>
            <w:vAlign w:val="center"/>
            <w:hideMark/>
          </w:tcPr>
          <w:p w14:paraId="113BFB34" w14:textId="77777777" w:rsidR="00490494" w:rsidRPr="00D16BCD" w:rsidRDefault="00490494" w:rsidP="0047766E">
            <w:pPr>
              <w:rPr>
                <w:szCs w:val="22"/>
              </w:rPr>
            </w:pPr>
            <w:r w:rsidRPr="00D16BCD">
              <w:rPr>
                <w:szCs w:val="22"/>
              </w:rPr>
              <w:t>17% of each of the 779 eco-regions; Expansion allocated far from existing agriculture</w:t>
            </w:r>
          </w:p>
        </w:tc>
        <w:tc>
          <w:tcPr>
            <w:tcW w:w="1000" w:type="pct"/>
            <w:shd w:val="clear" w:color="auto" w:fill="auto"/>
            <w:vAlign w:val="center"/>
            <w:hideMark/>
          </w:tcPr>
          <w:p w14:paraId="4520AD25" w14:textId="77777777" w:rsidR="00490494" w:rsidRPr="00D16BCD" w:rsidRDefault="00490494" w:rsidP="0047766E">
            <w:pPr>
              <w:rPr>
                <w:szCs w:val="22"/>
              </w:rPr>
            </w:pPr>
            <w:r w:rsidRPr="00D16BCD">
              <w:rPr>
                <w:szCs w:val="22"/>
              </w:rPr>
              <w:t>17% of each of the 65 realm-biomes; Expansion allocated close to existing agriculture</w:t>
            </w:r>
          </w:p>
        </w:tc>
      </w:tr>
      <w:tr w:rsidR="00490494" w:rsidRPr="00D16BCD" w14:paraId="0E6B195E" w14:textId="77777777" w:rsidTr="00EE708F">
        <w:trPr>
          <w:trHeight w:val="66"/>
          <w:jc w:val="center"/>
        </w:trPr>
        <w:tc>
          <w:tcPr>
            <w:tcW w:w="1000" w:type="pct"/>
            <w:shd w:val="clear" w:color="auto" w:fill="BFBFBF" w:themeFill="background1" w:themeFillShade="BF"/>
            <w:vAlign w:val="center"/>
          </w:tcPr>
          <w:p w14:paraId="22F1033B" w14:textId="77777777" w:rsidR="00490494" w:rsidRPr="00D16BCD" w:rsidRDefault="00490494" w:rsidP="0047766E">
            <w:pPr>
              <w:rPr>
                <w:b/>
                <w:bCs/>
                <w:szCs w:val="22"/>
              </w:rPr>
            </w:pPr>
            <w:r w:rsidRPr="00D16BCD">
              <w:rPr>
                <w:b/>
                <w:bCs/>
                <w:szCs w:val="22"/>
              </w:rPr>
              <w:t>Greenhouse gas emissions and decabornisation rate</w:t>
            </w:r>
          </w:p>
        </w:tc>
        <w:tc>
          <w:tcPr>
            <w:tcW w:w="1118" w:type="pct"/>
            <w:shd w:val="clear" w:color="auto" w:fill="auto"/>
            <w:vAlign w:val="center"/>
          </w:tcPr>
          <w:p w14:paraId="1315A655" w14:textId="77777777" w:rsidR="00490494" w:rsidRPr="00D16BCD" w:rsidRDefault="00490494" w:rsidP="0047766E">
            <w:pPr>
              <w:rPr>
                <w:szCs w:val="22"/>
              </w:rPr>
            </w:pPr>
            <w:r w:rsidRPr="00D16BCD">
              <w:rPr>
                <w:szCs w:val="22"/>
              </w:rPr>
              <w:t xml:space="preserve">Greenhouse gas emissions are projected to increase by 60% and historical annual decarbonisation rate of 1% to 2% is projected to continue </w:t>
            </w:r>
          </w:p>
        </w:tc>
        <w:tc>
          <w:tcPr>
            <w:tcW w:w="2882" w:type="pct"/>
            <w:gridSpan w:val="3"/>
            <w:shd w:val="clear" w:color="auto" w:fill="auto"/>
            <w:vAlign w:val="center"/>
          </w:tcPr>
          <w:p w14:paraId="409AD1B0" w14:textId="05B1FACE" w:rsidR="00490494" w:rsidRPr="00D16BCD" w:rsidRDefault="00490494" w:rsidP="0047766E">
            <w:pPr>
              <w:rPr>
                <w:szCs w:val="22"/>
              </w:rPr>
            </w:pPr>
            <w:r w:rsidRPr="00D16BCD">
              <w:rPr>
                <w:szCs w:val="22"/>
              </w:rPr>
              <w:t>To meet the 2 °C target, atmospheric greenhouse gas concentrations</w:t>
            </w:r>
            <w:r w:rsidR="00C96EB6" w:rsidRPr="00D16BCD">
              <w:rPr>
                <w:szCs w:val="22"/>
              </w:rPr>
              <w:t xml:space="preserve"> are held below 450 parts per million</w:t>
            </w:r>
            <w:r w:rsidRPr="00D16BCD">
              <w:rPr>
                <w:szCs w:val="22"/>
              </w:rPr>
              <w:t xml:space="preserve"> </w:t>
            </w:r>
            <w:r w:rsidR="00E03ED4" w:rsidRPr="00D16BCD">
              <w:rPr>
                <w:szCs w:val="22"/>
              </w:rPr>
              <w:t>carbon dioxide</w:t>
            </w:r>
            <w:r w:rsidRPr="00D16BCD">
              <w:rPr>
                <w:szCs w:val="22"/>
              </w:rPr>
              <w:t xml:space="preserve"> equivalents (40% to 50 % reduction) and decarbonisation rate undergo an improvement of 4.5% to 6% (3 to 4 times the historical rate).</w:t>
            </w:r>
          </w:p>
        </w:tc>
      </w:tr>
      <w:tr w:rsidR="00490494" w:rsidRPr="00D16BCD" w14:paraId="3BF28FEC" w14:textId="77777777" w:rsidTr="00EE708F">
        <w:trPr>
          <w:trHeight w:val="701"/>
          <w:jc w:val="center"/>
        </w:trPr>
        <w:tc>
          <w:tcPr>
            <w:tcW w:w="1000" w:type="pct"/>
            <w:shd w:val="clear" w:color="auto" w:fill="BFBFBF" w:themeFill="background1" w:themeFillShade="BF"/>
            <w:vAlign w:val="center"/>
            <w:hideMark/>
          </w:tcPr>
          <w:p w14:paraId="3DB8E91D" w14:textId="77777777" w:rsidR="00490494" w:rsidRPr="00D16BCD" w:rsidRDefault="00490494" w:rsidP="0047766E">
            <w:pPr>
              <w:rPr>
                <w:b/>
                <w:bCs/>
                <w:szCs w:val="22"/>
              </w:rPr>
            </w:pPr>
            <w:r w:rsidRPr="00D16BCD">
              <w:rPr>
                <w:b/>
                <w:bCs/>
                <w:szCs w:val="22"/>
              </w:rPr>
              <w:t>Forestry</w:t>
            </w:r>
          </w:p>
        </w:tc>
        <w:tc>
          <w:tcPr>
            <w:tcW w:w="1118" w:type="pct"/>
            <w:shd w:val="clear" w:color="auto" w:fill="auto"/>
            <w:vAlign w:val="center"/>
            <w:hideMark/>
          </w:tcPr>
          <w:p w14:paraId="79D3DFB0" w14:textId="77777777" w:rsidR="00490494" w:rsidRPr="00D16BCD" w:rsidRDefault="00490494" w:rsidP="0047766E">
            <w:pPr>
              <w:rPr>
                <w:szCs w:val="22"/>
              </w:rPr>
            </w:pPr>
            <w:r w:rsidRPr="00D16BCD">
              <w:rPr>
                <w:szCs w:val="22"/>
              </w:rPr>
              <w:t>+30% in clear-cut, +35% plantation, -2.5% selective logging. No reduced impact logging</w:t>
            </w:r>
          </w:p>
        </w:tc>
        <w:tc>
          <w:tcPr>
            <w:tcW w:w="882" w:type="pct"/>
            <w:shd w:val="clear" w:color="auto" w:fill="auto"/>
            <w:vAlign w:val="center"/>
            <w:hideMark/>
          </w:tcPr>
          <w:p w14:paraId="50396131" w14:textId="77777777" w:rsidR="00490494" w:rsidRPr="00D16BCD" w:rsidRDefault="00490494" w:rsidP="0047766E">
            <w:pPr>
              <w:rPr>
                <w:szCs w:val="22"/>
              </w:rPr>
            </w:pPr>
            <w:r w:rsidRPr="00D16BCD">
              <w:rPr>
                <w:szCs w:val="22"/>
              </w:rPr>
              <w:t>Forest plantations supply 50% of timber demand; almost all selective logging based on Reduced Impact Logging</w:t>
            </w:r>
          </w:p>
        </w:tc>
        <w:tc>
          <w:tcPr>
            <w:tcW w:w="1000" w:type="pct"/>
            <w:shd w:val="clear" w:color="auto" w:fill="auto"/>
            <w:vAlign w:val="center"/>
            <w:hideMark/>
          </w:tcPr>
          <w:p w14:paraId="44527130" w14:textId="77777777" w:rsidR="00490494" w:rsidRPr="00D16BCD" w:rsidRDefault="00490494" w:rsidP="0047766E">
            <w:pPr>
              <w:rPr>
                <w:szCs w:val="22"/>
              </w:rPr>
            </w:pPr>
            <w:r w:rsidRPr="00D16BCD">
              <w:rPr>
                <w:szCs w:val="22"/>
              </w:rPr>
              <w:t>Forest plantations supply 50% of timber demand; almost all selective logging based on Reduced Impact Logging</w:t>
            </w:r>
          </w:p>
        </w:tc>
        <w:tc>
          <w:tcPr>
            <w:tcW w:w="1000" w:type="pct"/>
            <w:shd w:val="clear" w:color="auto" w:fill="auto"/>
            <w:vAlign w:val="center"/>
            <w:hideMark/>
          </w:tcPr>
          <w:p w14:paraId="29CD16DB" w14:textId="77777777" w:rsidR="00490494" w:rsidRPr="00D16BCD" w:rsidRDefault="00490494" w:rsidP="0047766E">
            <w:pPr>
              <w:rPr>
                <w:szCs w:val="22"/>
              </w:rPr>
            </w:pPr>
            <w:r w:rsidRPr="00D16BCD">
              <w:rPr>
                <w:szCs w:val="22"/>
              </w:rPr>
              <w:t>Forest plantations supply 50% of timber demand; almost all selective logging based on Reduced Impact Logging</w:t>
            </w:r>
          </w:p>
        </w:tc>
      </w:tr>
    </w:tbl>
    <w:p w14:paraId="06DD9F6C" w14:textId="77777777" w:rsidR="0047766E" w:rsidRPr="008608AA" w:rsidRDefault="0047766E" w:rsidP="00490494">
      <w:pPr>
        <w:suppressAutoHyphens/>
        <w:spacing w:before="240"/>
        <w:rPr>
          <w:rFonts w:eastAsia="Droid Sans Fallback"/>
          <w:lang w:eastAsia="ja-JP"/>
        </w:rPr>
        <w:sectPr w:rsidR="0047766E" w:rsidRPr="008608AA" w:rsidSect="00EE708F">
          <w:pgSz w:w="16839" w:h="11907" w:orient="landscape" w:code="9"/>
          <w:pgMar w:top="992" w:right="1418" w:bottom="1418" w:left="907" w:header="720" w:footer="720" w:gutter="0"/>
          <w:cols w:space="720"/>
          <w:docGrid w:linePitch="326"/>
        </w:sectPr>
      </w:pPr>
    </w:p>
    <w:p w14:paraId="283A84A3" w14:textId="26F411A0" w:rsidR="00CF6BD8" w:rsidRPr="008608AA" w:rsidRDefault="00490494" w:rsidP="00EE708F">
      <w:pPr>
        <w:suppressAutoHyphens/>
        <w:spacing w:before="240"/>
        <w:rPr>
          <w:rFonts w:eastAsia="Droid Sans Fallback"/>
          <w:lang w:eastAsia="ja-JP"/>
        </w:rPr>
      </w:pPr>
      <w:r w:rsidRPr="008608AA">
        <w:rPr>
          <w:rFonts w:eastAsia="Droid Sans Fallback"/>
          <w:lang w:eastAsia="ja-JP"/>
        </w:rPr>
        <w:t>Original</w:t>
      </w:r>
      <w:r w:rsidR="00C95490" w:rsidRPr="008608AA">
        <w:rPr>
          <w:rFonts w:eastAsia="Droid Sans Fallback"/>
          <w:lang w:eastAsia="ja-JP"/>
        </w:rPr>
        <w:t xml:space="preserve"> data from Global Biodiversity M</w:t>
      </w:r>
      <w:r w:rsidRPr="008608AA">
        <w:rPr>
          <w:rFonts w:eastAsia="Droid Sans Fallback"/>
          <w:lang w:eastAsia="ja-JP"/>
        </w:rPr>
        <w:t>odel for policy support was developed based on Integrated Model to Assess the Global Environment regions, those regions within the Americas are: (1) Canada, (2) USA; (3) Greenland; (4) Mexico; (5) Central America and Caribbean; (6) Brazil; (7) Rest of South America. In order to show a detailed picture of what is happening in the Americas region, Integrated Model to Assess the Global Environment regions have been aggregated to match as much as possible IPBES Americas subregions (North America, Mesoamerica, the Caribbean and South America) (Chapter 1).</w:t>
      </w:r>
      <w:r w:rsidR="00C95490" w:rsidRPr="008608AA">
        <w:rPr>
          <w:rFonts w:eastAsia="Droid Sans Fallback"/>
          <w:lang w:eastAsia="ja-JP"/>
        </w:rPr>
        <w:t xml:space="preserve"> Two out of the four</w:t>
      </w:r>
      <w:r w:rsidRPr="008608AA">
        <w:rPr>
          <w:rFonts w:eastAsia="Droid Sans Fallback"/>
          <w:lang w:eastAsia="ja-JP"/>
        </w:rPr>
        <w:t xml:space="preserve"> IPBES regions has been properly matched (1) North America, where Canada, USA and Greenland have been aggregated; and (2) South America, where Brazil and the rest of South America have been joined. The other two IPBES subregions couldn’t be represented because data cannot be disaggregated, thus data from Mexico are presented alone as a country study case, and data from Central America and Caribbean are presented together as a region. </w:t>
      </w:r>
    </w:p>
    <w:p w14:paraId="63764CED" w14:textId="25280D8C" w:rsidR="00CF6BD8" w:rsidRPr="008608AA" w:rsidRDefault="00490494" w:rsidP="00CF6BD8">
      <w:pPr>
        <w:suppressAutoHyphens/>
        <w:spacing w:before="240"/>
        <w:rPr>
          <w:rFonts w:eastAsia="Droid Sans Fallback"/>
          <w:b/>
          <w:lang w:eastAsia="ja-JP"/>
        </w:rPr>
      </w:pPr>
      <w:r w:rsidRPr="008608AA">
        <w:rPr>
          <w:rFonts w:eastAsia="Droid Sans Fallback"/>
          <w:b/>
          <w:lang w:eastAsia="ja-JP"/>
        </w:rPr>
        <w:t xml:space="preserve">Trends in biodiversity loss indicated by </w:t>
      </w:r>
      <w:r w:rsidR="008739F4" w:rsidRPr="008608AA">
        <w:rPr>
          <w:rFonts w:eastAsia="Droid Sans Fallback"/>
          <w:b/>
          <w:lang w:eastAsia="ja-JP"/>
        </w:rPr>
        <w:t>mean species abundance</w:t>
      </w:r>
    </w:p>
    <w:p w14:paraId="581B0EFB" w14:textId="77777777" w:rsidR="00EE708F" w:rsidRPr="008608AA" w:rsidRDefault="00490494" w:rsidP="00EE708F">
      <w:pPr>
        <w:suppressAutoHyphens/>
        <w:spacing w:before="240"/>
        <w:rPr>
          <w:rFonts w:eastAsia="Droid Sans Fallback"/>
          <w:lang w:eastAsia="ja-JP"/>
        </w:rPr>
      </w:pPr>
      <w:r w:rsidRPr="008608AA">
        <w:rPr>
          <w:rFonts w:eastAsia="Droid Sans Fallback"/>
          <w:lang w:eastAsia="ja-JP"/>
        </w:rPr>
        <w:t xml:space="preserve">Biodiversity loss, indicated by Mean Species </w:t>
      </w:r>
      <w:r w:rsidR="00C95490" w:rsidRPr="008608AA">
        <w:rPr>
          <w:rFonts w:eastAsia="Droid Sans Fallback"/>
          <w:lang w:eastAsia="ja-JP"/>
        </w:rPr>
        <w:t>Abundance, will continue under T</w:t>
      </w:r>
      <w:r w:rsidRPr="008608AA">
        <w:rPr>
          <w:rFonts w:eastAsia="Droid Sans Fallback"/>
          <w:lang w:eastAsia="ja-JP"/>
        </w:rPr>
        <w:t>rend scenarios and the three alternative pathways (Figure 5.22). Under Global Baseline scenario and Baseline scenario for the Americas, Mean Species Abundance is projected to decrease from 76% in 1970 to 59-60% in 2050. Trends in subregions from 2010 to 2050 under Baseline scenario (business as usual) show a decline from 73% to 67% for North America, from 61% to 51% for Mexico, from 64% to 37% for Central America and Caribbean, and from 68% to 55% for South America. Thus, whilst North America would</w:t>
      </w:r>
      <w:r w:rsidR="00C95490" w:rsidRPr="008608AA">
        <w:rPr>
          <w:rFonts w:eastAsia="Droid Sans Fallback"/>
          <w:lang w:eastAsia="ja-JP"/>
        </w:rPr>
        <w:t xml:space="preserve"> experience less loss than the g</w:t>
      </w:r>
      <w:r w:rsidRPr="008608AA">
        <w:rPr>
          <w:rFonts w:eastAsia="Droid Sans Fallback"/>
          <w:lang w:eastAsia="ja-JP"/>
        </w:rPr>
        <w:t>lobal and regional trends and the rest of subregions, Central America and Caribbean would experience the larger loss of biodiversity under business as usual scenario (Figure 5.22c). These declines in biodiversity could be slowed down or reduced under the 3 alternative pathways, being Desentralised Solutions the pathway leading to best results for all subregions except Mexico where Global Technology and Consumption Change could represent a better option. Under the Desentralised Solutions pathway, Central America and Caribbean could prevent their biodiversity loss by 8% compared to business as usual scenario, whereas North America and South America could reduce biodiversity loss by 5% under the same pathway and Mexico could achieve a reduction of 6% in comparison to business as usual under both Global Technology and Consumption Change pathways. In summary for the American region, under business as usual scenario, a loss of almost 40% of all original species in the Americas is expected while under the three pathways to sustainability 35 to 36% loss is presumed to occur.</w:t>
      </w:r>
    </w:p>
    <w:p w14:paraId="6F332F94" w14:textId="65C18F89" w:rsidR="0047766E" w:rsidRPr="008608AA" w:rsidRDefault="0047766E" w:rsidP="00EE708F">
      <w:pPr>
        <w:suppressAutoHyphens/>
        <w:spacing w:before="240"/>
        <w:jc w:val="center"/>
        <w:rPr>
          <w:rFonts w:eastAsia="Droid Sans Fallback"/>
          <w:lang w:eastAsia="ja-JP"/>
        </w:rPr>
      </w:pPr>
      <w:r w:rsidRPr="008608AA">
        <w:rPr>
          <w:rFonts w:eastAsia="Droid Sans Fallback"/>
          <w:lang w:eastAsia="ja-JP"/>
        </w:rPr>
        <w:br w:type="page"/>
      </w:r>
      <w:r w:rsidR="00345EF6" w:rsidRPr="008608AA">
        <w:rPr>
          <w:rFonts w:eastAsia="Droid Sans Fallback"/>
          <w:noProof/>
          <w:lang w:val="en-GB" w:eastAsia="en-GB"/>
        </w:rPr>
        <w:drawing>
          <wp:inline distT="0" distB="0" distL="0" distR="0" wp14:anchorId="3AC6A04B" wp14:editId="08A3EF6A">
            <wp:extent cx="5934075" cy="6343650"/>
            <wp:effectExtent l="0" t="0" r="9525" b="0"/>
            <wp:docPr id="83" name="Imagen 83" descr="C:\Users\Alejandro Valderrama\Downloads\Fig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3" descr="C:\Users\Alejandro Valderrama\Downloads\Fig5.22.jpg"/>
                    <pic:cNvPicPr>
                      <a:picLocks noChangeAspect="1" noChangeArrowheads="1"/>
                    </pic:cNvPicPr>
                  </pic:nvPicPr>
                  <pic:blipFill rotWithShape="1">
                    <a:blip r:embed="rId1050">
                      <a:extLst>
                        <a:ext uri="{28A0092B-C50C-407E-A947-70E740481C1C}">
                          <a14:useLocalDpi xmlns:a14="http://schemas.microsoft.com/office/drawing/2010/main" val="0"/>
                        </a:ext>
                      </a:extLst>
                    </a:blip>
                    <a:srcRect b="25835"/>
                    <a:stretch/>
                  </pic:blipFill>
                  <pic:spPr bwMode="auto">
                    <a:xfrm>
                      <a:off x="0" y="0"/>
                      <a:ext cx="5934075" cy="6343650"/>
                    </a:xfrm>
                    <a:prstGeom prst="rect">
                      <a:avLst/>
                    </a:prstGeom>
                    <a:noFill/>
                    <a:ln>
                      <a:noFill/>
                    </a:ln>
                    <a:extLst>
                      <a:ext uri="{53640926-AAD7-44D8-BBD7-CCE9431645EC}">
                        <a14:shadowObscured xmlns:a14="http://schemas.microsoft.com/office/drawing/2010/main"/>
                      </a:ext>
                    </a:extLst>
                  </pic:spPr>
                </pic:pic>
              </a:graphicData>
            </a:graphic>
          </wp:inline>
        </w:drawing>
      </w:r>
    </w:p>
    <w:p w14:paraId="191CE543" w14:textId="77777777" w:rsidR="00EE708F" w:rsidRPr="008608AA" w:rsidRDefault="00EE708F" w:rsidP="00CF6BD8">
      <w:pPr>
        <w:suppressAutoHyphens/>
        <w:spacing w:before="240"/>
        <w:rPr>
          <w:rFonts w:eastAsia="Droid Sans Fallback"/>
          <w:b/>
          <w:lang w:eastAsia="ja-JP"/>
        </w:rPr>
      </w:pPr>
    </w:p>
    <w:p w14:paraId="2DBA8F2D" w14:textId="67844506" w:rsidR="00CF6BD8" w:rsidRPr="008608AA" w:rsidRDefault="00490494" w:rsidP="00CF6BD8">
      <w:pPr>
        <w:suppressAutoHyphens/>
        <w:spacing w:before="240"/>
        <w:rPr>
          <w:rFonts w:eastAsia="Droid Sans Fallback"/>
          <w:b/>
          <w:lang w:eastAsia="ja-JP"/>
        </w:rPr>
      </w:pPr>
      <w:r w:rsidRPr="008608AA">
        <w:rPr>
          <w:rFonts w:eastAsia="Droid Sans Fallback"/>
          <w:b/>
          <w:lang w:eastAsia="ja-JP"/>
        </w:rPr>
        <w:t>Trend</w:t>
      </w:r>
      <w:r w:rsidR="00C95490" w:rsidRPr="008608AA">
        <w:rPr>
          <w:rFonts w:eastAsia="Droid Sans Fallback"/>
          <w:b/>
          <w:lang w:eastAsia="ja-JP"/>
        </w:rPr>
        <w:t>s in biodiversity indicated by n</w:t>
      </w:r>
      <w:r w:rsidRPr="008608AA">
        <w:rPr>
          <w:rFonts w:eastAsia="Droid Sans Fallback"/>
          <w:b/>
          <w:lang w:eastAsia="ja-JP"/>
        </w:rPr>
        <w:t>atural area</w:t>
      </w:r>
      <w:r w:rsidR="00CF6BD8" w:rsidRPr="008608AA">
        <w:rPr>
          <w:rFonts w:eastAsia="Droid Sans Fallback"/>
          <w:b/>
          <w:lang w:eastAsia="ja-JP"/>
        </w:rPr>
        <w:t xml:space="preserve"> </w:t>
      </w:r>
    </w:p>
    <w:p w14:paraId="2075D914" w14:textId="63529341" w:rsidR="0047766E" w:rsidRPr="008608AA" w:rsidRDefault="00490494" w:rsidP="00EE708F">
      <w:pPr>
        <w:suppressAutoHyphens/>
        <w:spacing w:before="240"/>
        <w:rPr>
          <w:rFonts w:eastAsia="Droid Sans Fallback"/>
          <w:b/>
          <w:lang w:eastAsia="ja-JP"/>
        </w:rPr>
      </w:pPr>
      <w:r w:rsidRPr="008608AA">
        <w:rPr>
          <w:rFonts w:eastAsia="Droid Sans Fallback"/>
          <w:lang w:eastAsia="ja-JP"/>
        </w:rPr>
        <w:t xml:space="preserve">Projections of </w:t>
      </w:r>
      <w:r w:rsidR="00C95490" w:rsidRPr="008608AA">
        <w:rPr>
          <w:rFonts w:eastAsia="Droid Sans Fallback"/>
          <w:lang w:eastAsia="ja-JP"/>
        </w:rPr>
        <w:t>biodiversity loss indicated by n</w:t>
      </w:r>
      <w:r w:rsidRPr="008608AA">
        <w:rPr>
          <w:rFonts w:eastAsia="Droid Sans Fallback"/>
          <w:lang w:eastAsia="ja-JP"/>
        </w:rPr>
        <w:t>atural area show declining trends under Baseline scenario and the three alternative pathways, however, the projected loss by 2050 is</w:t>
      </w:r>
      <w:r w:rsidR="00C95490" w:rsidRPr="008608AA">
        <w:rPr>
          <w:rFonts w:eastAsia="Droid Sans Fallback"/>
          <w:lang w:eastAsia="ja-JP"/>
        </w:rPr>
        <w:t xml:space="preserve"> expected to be less under the three</w:t>
      </w:r>
      <w:r w:rsidRPr="008608AA">
        <w:rPr>
          <w:rFonts w:eastAsia="Droid Sans Fallback"/>
          <w:lang w:eastAsia="ja-JP"/>
        </w:rPr>
        <w:t xml:space="preserve"> transition pathways to sustainability in comparison to the business as usual scenario (Figure 5.23). Model projections indicate that Consumption Change pathway would lead to the best results for all regions except for the Central America and Caribbean, where Global Technology pathway could lead to a </w:t>
      </w:r>
      <w:r w:rsidR="00C95490" w:rsidRPr="008608AA">
        <w:rPr>
          <w:rFonts w:eastAsia="Droid Sans Fallback"/>
          <w:lang w:eastAsia="ja-JP"/>
        </w:rPr>
        <w:t>higher increase in n</w:t>
      </w:r>
      <w:r w:rsidRPr="008608AA">
        <w:rPr>
          <w:rFonts w:eastAsia="Droid Sans Fallback"/>
          <w:lang w:eastAsia="ja-JP"/>
        </w:rPr>
        <w:t xml:space="preserve">atural area in comparison to the Desentralised Solutions and Consumption Change pathways results (Figure 5.23c). Under Consumption Change pathway Mexico could stabilise its natural areas almost to their original extent in 1970 (Figure 5.23b). </w:t>
      </w:r>
      <w:r w:rsidR="0047766E" w:rsidRPr="008608AA">
        <w:rPr>
          <w:rFonts w:eastAsia="Droid Sans Fallback"/>
          <w:lang w:eastAsia="ja-JP"/>
        </w:rPr>
        <w:br w:type="page"/>
      </w:r>
    </w:p>
    <w:p w14:paraId="04940380" w14:textId="77777777" w:rsidR="00EE708F" w:rsidRPr="008608AA" w:rsidRDefault="00EE708F" w:rsidP="00CF6BD8">
      <w:pPr>
        <w:suppressAutoHyphens/>
        <w:spacing w:before="240"/>
        <w:rPr>
          <w:rFonts w:eastAsia="Droid Sans Fallback"/>
          <w:b/>
          <w:lang w:eastAsia="ja-JP"/>
        </w:rPr>
      </w:pPr>
    </w:p>
    <w:p w14:paraId="3A650E11" w14:textId="301497FA" w:rsidR="00EE708F" w:rsidRPr="008608AA" w:rsidRDefault="00345EF6" w:rsidP="00EE708F">
      <w:pPr>
        <w:suppressAutoHyphens/>
        <w:spacing w:before="240"/>
        <w:jc w:val="center"/>
        <w:rPr>
          <w:rFonts w:eastAsia="Droid Sans Fallback"/>
          <w:b/>
          <w:lang w:eastAsia="ja-JP"/>
        </w:rPr>
      </w:pPr>
      <w:r w:rsidRPr="008608AA">
        <w:rPr>
          <w:rFonts w:eastAsia="Droid Sans Fallback"/>
          <w:b/>
          <w:noProof/>
          <w:lang w:val="en-GB" w:eastAsia="en-GB"/>
        </w:rPr>
        <w:drawing>
          <wp:inline distT="0" distB="0" distL="0" distR="0" wp14:anchorId="72FDC2A8" wp14:editId="2332C8A6">
            <wp:extent cx="5934075" cy="6181725"/>
            <wp:effectExtent l="0" t="0" r="9525" b="9525"/>
            <wp:docPr id="84" name="Imagen 84" descr="C:\Users\Alejandro Valderrama\Downloads\Fig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5" descr="C:\Users\Alejandro Valderrama\Downloads\Fig5.23.jpg"/>
                    <pic:cNvPicPr>
                      <a:picLocks noChangeAspect="1" noChangeArrowheads="1"/>
                    </pic:cNvPicPr>
                  </pic:nvPicPr>
                  <pic:blipFill rotWithShape="1">
                    <a:blip r:embed="rId1051">
                      <a:extLst>
                        <a:ext uri="{28A0092B-C50C-407E-A947-70E740481C1C}">
                          <a14:useLocalDpi xmlns:a14="http://schemas.microsoft.com/office/drawing/2010/main" val="0"/>
                        </a:ext>
                      </a:extLst>
                    </a:blip>
                    <a:srcRect b="27728"/>
                    <a:stretch/>
                  </pic:blipFill>
                  <pic:spPr bwMode="auto">
                    <a:xfrm>
                      <a:off x="0" y="0"/>
                      <a:ext cx="5934075" cy="6181725"/>
                    </a:xfrm>
                    <a:prstGeom prst="rect">
                      <a:avLst/>
                    </a:prstGeom>
                    <a:noFill/>
                    <a:ln>
                      <a:noFill/>
                    </a:ln>
                    <a:extLst>
                      <a:ext uri="{53640926-AAD7-44D8-BBD7-CCE9431645EC}">
                        <a14:shadowObscured xmlns:a14="http://schemas.microsoft.com/office/drawing/2010/main"/>
                      </a:ext>
                    </a:extLst>
                  </pic:spPr>
                </pic:pic>
              </a:graphicData>
            </a:graphic>
          </wp:inline>
        </w:drawing>
      </w:r>
    </w:p>
    <w:p w14:paraId="0120DBF6" w14:textId="51D97BF0" w:rsidR="00CF6BD8" w:rsidRPr="008608AA" w:rsidRDefault="00490494" w:rsidP="00CF6BD8">
      <w:pPr>
        <w:suppressAutoHyphens/>
        <w:spacing w:before="240"/>
        <w:rPr>
          <w:rFonts w:eastAsia="Droid Sans Fallback"/>
          <w:b/>
          <w:lang w:eastAsia="ja-JP"/>
        </w:rPr>
      </w:pPr>
      <w:r w:rsidRPr="008608AA">
        <w:rPr>
          <w:rFonts w:eastAsia="Droid Sans Fallback"/>
          <w:b/>
          <w:lang w:eastAsia="ja-JP"/>
        </w:rPr>
        <w:t>Pressures driving biodiversity loss</w:t>
      </w:r>
      <w:r w:rsidR="00CF6BD8" w:rsidRPr="008608AA">
        <w:rPr>
          <w:rFonts w:eastAsia="Droid Sans Fallback"/>
          <w:b/>
          <w:lang w:eastAsia="ja-JP"/>
        </w:rPr>
        <w:t xml:space="preserve"> </w:t>
      </w:r>
    </w:p>
    <w:p w14:paraId="4B4C2A37" w14:textId="529BF8BE" w:rsidR="0047766E" w:rsidRPr="008608AA" w:rsidRDefault="00490494" w:rsidP="00EE708F">
      <w:pPr>
        <w:suppressAutoHyphens/>
        <w:spacing w:before="240"/>
        <w:rPr>
          <w:rFonts w:eastAsia="Droid Sans Fallback"/>
          <w:lang w:eastAsia="ja-JP"/>
        </w:rPr>
      </w:pPr>
      <w:r w:rsidRPr="008608AA">
        <w:rPr>
          <w:rFonts w:eastAsia="Droid Sans Fallback"/>
          <w:lang w:eastAsia="ja-JP"/>
        </w:rPr>
        <w:t>Pressures to nature are predicted to increase by 2050 under the Trend scenario (business as usual) and the three alternative pathways, negatively affecting biodiversity as indicated by a potential reduction of the Mean Species Abundance index (Figure 5.24). However, the magnitude of the pressures by 2050 is expected to be less under transition pathways to sustainability in comparison to the business as usual scenario (i.e., baseline scenario). Under the</w:t>
      </w:r>
      <w:r w:rsidRPr="008608AA">
        <w:t xml:space="preserve"> </w:t>
      </w:r>
      <w:r w:rsidRPr="008608AA">
        <w:rPr>
          <w:rFonts w:eastAsia="Droid Sans Fallback"/>
          <w:lang w:eastAsia="ja-JP"/>
        </w:rPr>
        <w:t xml:space="preserve">transition pathways to sustainability, climate change mitigation, the expansion of protected areas and the recovery of abandoned lands significantly contribute to reducing biodiversity loss. Although, in comparison to the projection of baseline scenario for 2050, a reduction of pressure to biodiversity driven by crops, pastures and climate change is expected under the three pathways to sustainability, other pressures to biodiversity such as forestry, biofuels and abandoned land are expected to increase. Under Baseline scenario, climate change is projected to become the fastest growing driver of biodiversity loss by 2050. The Central America and Caribbean subregion would experience larger pressures to biodiversity than the other subregions, which will be mainly driven by expansion of crops. </w:t>
      </w:r>
    </w:p>
    <w:p w14:paraId="1F749742" w14:textId="0A4C82B1" w:rsidR="00EE708F" w:rsidRPr="008608AA" w:rsidRDefault="00345EF6" w:rsidP="00EE708F">
      <w:pPr>
        <w:suppressAutoHyphens/>
        <w:spacing w:before="240"/>
        <w:jc w:val="center"/>
        <w:rPr>
          <w:rFonts w:eastAsia="Droid Sans Fallback"/>
          <w:b/>
          <w:lang w:eastAsia="en-GB"/>
        </w:rPr>
      </w:pPr>
      <w:r w:rsidRPr="008608AA">
        <w:rPr>
          <w:rFonts w:eastAsia="Droid Sans Fallback"/>
          <w:b/>
          <w:noProof/>
          <w:lang w:val="en-GB" w:eastAsia="en-GB"/>
        </w:rPr>
        <w:drawing>
          <wp:inline distT="0" distB="0" distL="0" distR="0" wp14:anchorId="4721CE43" wp14:editId="59EF7658">
            <wp:extent cx="5934075" cy="6610350"/>
            <wp:effectExtent l="0" t="0" r="9525" b="0"/>
            <wp:docPr id="85" name="Imagen 85" descr="C:\Users\Alejandro Valderrama\Downloads\Fig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7" descr="C:\Users\Alejandro Valderrama\Downloads\Fig5.24.jpg"/>
                    <pic:cNvPicPr>
                      <a:picLocks noChangeAspect="1" noChangeArrowheads="1"/>
                    </pic:cNvPicPr>
                  </pic:nvPicPr>
                  <pic:blipFill rotWithShape="1">
                    <a:blip r:embed="rId1052">
                      <a:extLst>
                        <a:ext uri="{28A0092B-C50C-407E-A947-70E740481C1C}">
                          <a14:useLocalDpi xmlns:a14="http://schemas.microsoft.com/office/drawing/2010/main" val="0"/>
                        </a:ext>
                      </a:extLst>
                    </a:blip>
                    <a:srcRect b="22717"/>
                    <a:stretch/>
                  </pic:blipFill>
                  <pic:spPr bwMode="auto">
                    <a:xfrm>
                      <a:off x="0" y="0"/>
                      <a:ext cx="5934075" cy="6610350"/>
                    </a:xfrm>
                    <a:prstGeom prst="rect">
                      <a:avLst/>
                    </a:prstGeom>
                    <a:noFill/>
                    <a:ln>
                      <a:noFill/>
                    </a:ln>
                    <a:extLst>
                      <a:ext uri="{53640926-AAD7-44D8-BBD7-CCE9431645EC}">
                        <a14:shadowObscured xmlns:a14="http://schemas.microsoft.com/office/drawing/2010/main"/>
                      </a:ext>
                    </a:extLst>
                  </pic:spPr>
                </pic:pic>
              </a:graphicData>
            </a:graphic>
          </wp:inline>
        </w:drawing>
      </w:r>
    </w:p>
    <w:p w14:paraId="1E8C4679" w14:textId="77777777" w:rsidR="00CF6BD8" w:rsidRPr="008608AA" w:rsidRDefault="00490494" w:rsidP="00CF6BD8">
      <w:pPr>
        <w:suppressAutoHyphens/>
        <w:spacing w:before="240"/>
        <w:rPr>
          <w:rFonts w:eastAsia="Droid Sans Fallback"/>
          <w:b/>
          <w:lang w:eastAsia="en-GB"/>
        </w:rPr>
      </w:pPr>
      <w:r w:rsidRPr="008608AA">
        <w:rPr>
          <w:rFonts w:eastAsia="Droid Sans Fallback"/>
          <w:b/>
          <w:lang w:eastAsia="en-GB"/>
        </w:rPr>
        <w:t>Relative share of each sector to additional biodiversity loss</w:t>
      </w:r>
      <w:r w:rsidR="00CF6BD8" w:rsidRPr="008608AA">
        <w:rPr>
          <w:rFonts w:eastAsia="Droid Sans Fallback"/>
          <w:b/>
          <w:lang w:eastAsia="en-GB"/>
        </w:rPr>
        <w:t xml:space="preserve"> </w:t>
      </w:r>
    </w:p>
    <w:p w14:paraId="3033EC89" w14:textId="5EA01264" w:rsidR="007E3F44" w:rsidRPr="008608AA" w:rsidRDefault="00490494" w:rsidP="00EE708F">
      <w:pPr>
        <w:suppressAutoHyphens/>
        <w:spacing w:before="240"/>
        <w:rPr>
          <w:rFonts w:eastAsia="Droid Sans Fallback"/>
          <w:lang w:eastAsia="en-GB"/>
        </w:rPr>
      </w:pPr>
      <w:r w:rsidRPr="008608AA">
        <w:rPr>
          <w:rFonts w:eastAsia="Droid Sans Fallback"/>
          <w:lang w:eastAsia="en-GB"/>
        </w:rPr>
        <w:t>Projections outputs for the baseline scenario regarding the attribution of biodiversity loss, as indic</w:t>
      </w:r>
      <w:r w:rsidR="00C95490" w:rsidRPr="008608AA">
        <w:rPr>
          <w:rFonts w:eastAsia="Droid Sans Fallback"/>
          <w:lang w:eastAsia="en-GB"/>
        </w:rPr>
        <w:t>ated by Mean Species Abundance percentage</w:t>
      </w:r>
      <w:r w:rsidRPr="008608AA">
        <w:rPr>
          <w:rFonts w:eastAsia="Droid Sans Fallback"/>
          <w:lang w:eastAsia="en-GB"/>
        </w:rPr>
        <w:t>, to different production sectors show a similar pattern for all subregions: crop and livestock is the sector with the higher increasing trends, followed by energy and traffic sector, wood production, hunting, gathering, recreation and tourism shared sector, and industry sector (Figure 5.25). Pressures driven by those production sectors will be slowed down,</w:t>
      </w:r>
      <w:r w:rsidR="00C95490" w:rsidRPr="008608AA">
        <w:rPr>
          <w:rFonts w:eastAsia="Droid Sans Fallback"/>
          <w:lang w:eastAsia="en-GB"/>
        </w:rPr>
        <w:t xml:space="preserve"> or even be reduced, under the three</w:t>
      </w:r>
      <w:r w:rsidRPr="008608AA">
        <w:rPr>
          <w:rFonts w:eastAsia="Droid Sans Fallback"/>
          <w:lang w:eastAsia="en-GB"/>
        </w:rPr>
        <w:t xml:space="preserve"> alternative pathways, however crop and livestock will continue to have major impact in the Central America and Caribbean subregion resulting in the region with the higher percentage of biodiversity loss as indicated by </w:t>
      </w:r>
      <w:r w:rsidRPr="008608AA">
        <w:rPr>
          <w:rFonts w:eastAsia="Droid Sans Fallback"/>
          <w:lang w:eastAsia="ja-JP"/>
        </w:rPr>
        <w:t xml:space="preserve">Mean Species Abundance </w:t>
      </w:r>
      <w:r w:rsidRPr="008608AA">
        <w:rPr>
          <w:rFonts w:eastAsia="Droid Sans Fallback"/>
          <w:lang w:eastAsia="en-GB"/>
        </w:rPr>
        <w:t xml:space="preserve">percentage. </w:t>
      </w:r>
    </w:p>
    <w:p w14:paraId="5762EF78" w14:textId="41E56946" w:rsidR="00EE708F" w:rsidRPr="008608AA" w:rsidRDefault="00345EF6" w:rsidP="00EE708F">
      <w:pPr>
        <w:suppressAutoHyphens/>
        <w:spacing w:before="240"/>
        <w:jc w:val="center"/>
        <w:rPr>
          <w:rFonts w:eastAsia="Droid Sans Fallback"/>
          <w:b/>
          <w:bCs/>
        </w:rPr>
      </w:pPr>
      <w:r w:rsidRPr="008608AA">
        <w:rPr>
          <w:rFonts w:eastAsia="Droid Sans Fallback"/>
          <w:b/>
          <w:bCs/>
          <w:noProof/>
          <w:lang w:val="en-GB" w:eastAsia="en-GB"/>
        </w:rPr>
        <w:drawing>
          <wp:inline distT="0" distB="0" distL="0" distR="0" wp14:anchorId="5DE6A492" wp14:editId="5B797C3D">
            <wp:extent cx="5934075" cy="6534150"/>
            <wp:effectExtent l="0" t="0" r="9525" b="0"/>
            <wp:docPr id="86" name="Imagen 86" descr="C:\Users\Alejandro Valderrama\Downloads\Fig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9" descr="C:\Users\Alejandro Valderrama\Downloads\Fig5.25.jpg"/>
                    <pic:cNvPicPr>
                      <a:picLocks noChangeAspect="1" noChangeArrowheads="1"/>
                    </pic:cNvPicPr>
                  </pic:nvPicPr>
                  <pic:blipFill rotWithShape="1">
                    <a:blip r:embed="rId1053">
                      <a:extLst>
                        <a:ext uri="{28A0092B-C50C-407E-A947-70E740481C1C}">
                          <a14:useLocalDpi xmlns:a14="http://schemas.microsoft.com/office/drawing/2010/main" val="0"/>
                        </a:ext>
                      </a:extLst>
                    </a:blip>
                    <a:srcRect b="23608"/>
                    <a:stretch/>
                  </pic:blipFill>
                  <pic:spPr bwMode="auto">
                    <a:xfrm>
                      <a:off x="0" y="0"/>
                      <a:ext cx="5934075" cy="6534150"/>
                    </a:xfrm>
                    <a:prstGeom prst="rect">
                      <a:avLst/>
                    </a:prstGeom>
                    <a:noFill/>
                    <a:ln>
                      <a:noFill/>
                    </a:ln>
                    <a:extLst>
                      <a:ext uri="{53640926-AAD7-44D8-BBD7-CCE9431645EC}">
                        <a14:shadowObscured xmlns:a14="http://schemas.microsoft.com/office/drawing/2010/main"/>
                      </a:ext>
                    </a:extLst>
                  </pic:spPr>
                </pic:pic>
              </a:graphicData>
            </a:graphic>
          </wp:inline>
        </w:drawing>
      </w:r>
    </w:p>
    <w:p w14:paraId="09ABA044" w14:textId="0989C476" w:rsidR="00CF6BD8" w:rsidRPr="008608AA" w:rsidRDefault="00490494" w:rsidP="00CF6BD8">
      <w:pPr>
        <w:suppressAutoHyphens/>
        <w:spacing w:before="240"/>
        <w:rPr>
          <w:rFonts w:eastAsia="Droid Sans Fallback"/>
          <w:b/>
          <w:bCs/>
        </w:rPr>
      </w:pPr>
      <w:r w:rsidRPr="008608AA">
        <w:rPr>
          <w:rFonts w:eastAsia="Droid Sans Fallback"/>
          <w:b/>
          <w:bCs/>
        </w:rPr>
        <w:t>Projected relative losses of biodiversity per sector</w:t>
      </w:r>
    </w:p>
    <w:p w14:paraId="04CBE09D" w14:textId="2B970088" w:rsidR="002C1747" w:rsidRPr="008608AA" w:rsidRDefault="00490494" w:rsidP="00EE708F">
      <w:pPr>
        <w:suppressAutoHyphens/>
        <w:spacing w:before="240"/>
        <w:rPr>
          <w:rFonts w:eastAsia="Droid Sans Fallback"/>
        </w:rPr>
      </w:pPr>
      <w:r w:rsidRPr="008608AA">
        <w:rPr>
          <w:rFonts w:eastAsia="Droid Sans Fallback"/>
          <w:bCs/>
        </w:rPr>
        <w:t>Projected relative losses of biodiversity (</w:t>
      </w:r>
      <w:r w:rsidRPr="008608AA">
        <w:rPr>
          <w:rFonts w:eastAsia="Droid Sans Fallback"/>
          <w:lang w:eastAsia="ja-JP"/>
        </w:rPr>
        <w:t>Mean Species Abundance</w:t>
      </w:r>
      <w:r w:rsidRPr="008608AA">
        <w:rPr>
          <w:rFonts w:eastAsia="Droid Sans Fallback"/>
          <w:bCs/>
        </w:rPr>
        <w:t>) per sector under the three different pathways, compared to trend (Baseline scenario) indicate that actions leading to land use change (reduction of crops and reduction of the use of pastures by livestock grazing) and climate change mitigation would significantly contribute to reducing biodiversity loss (Figure 5.26). As indicated above, pressures driven by forestry, demand of biofuels and abandoned land are expected to increase under the transition pathways to sustainability, which will be translated in an extra loss of biodiversity driven for those sectors in comparison to projections under business as usual scenario.</w:t>
      </w:r>
    </w:p>
    <w:p w14:paraId="0039C50E" w14:textId="1DCF0F9F" w:rsidR="00EE708F" w:rsidRPr="008608AA" w:rsidRDefault="00345EF6" w:rsidP="00EE708F">
      <w:pPr>
        <w:suppressAutoHyphens/>
        <w:spacing w:before="240"/>
        <w:jc w:val="center"/>
        <w:rPr>
          <w:rFonts w:eastAsia="Droid Sans Fallback"/>
          <w:b/>
        </w:rPr>
      </w:pPr>
      <w:r w:rsidRPr="008608AA">
        <w:rPr>
          <w:rFonts w:eastAsia="Droid Sans Fallback"/>
          <w:b/>
          <w:noProof/>
          <w:lang w:val="en-GB" w:eastAsia="en-GB"/>
        </w:rPr>
        <w:drawing>
          <wp:inline distT="0" distB="0" distL="0" distR="0" wp14:anchorId="779A7C86" wp14:editId="5CFA3B2F">
            <wp:extent cx="5857875" cy="8133326"/>
            <wp:effectExtent l="0" t="0" r="0" b="1270"/>
            <wp:docPr id="88" name="Imagen 88" descr="C:\Users\Alejandro Valderrama\Downloads\Fig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1" descr="C:\Users\Alejandro Valderrama\Downloads\Fig5.26.jpg"/>
                    <pic:cNvPicPr>
                      <a:picLocks noChangeAspect="1" noChangeArrowheads="1"/>
                    </pic:cNvPicPr>
                  </pic:nvPicPr>
                  <pic:blipFill rotWithShape="1">
                    <a:blip r:embed="rId1054">
                      <a:extLst>
                        <a:ext uri="{28A0092B-C50C-407E-A947-70E740481C1C}">
                          <a14:useLocalDpi xmlns:a14="http://schemas.microsoft.com/office/drawing/2010/main" val="0"/>
                        </a:ext>
                      </a:extLst>
                    </a:blip>
                    <a:srcRect b="3675"/>
                    <a:stretch/>
                  </pic:blipFill>
                  <pic:spPr bwMode="auto">
                    <a:xfrm>
                      <a:off x="0" y="0"/>
                      <a:ext cx="5857875" cy="8133326"/>
                    </a:xfrm>
                    <a:prstGeom prst="rect">
                      <a:avLst/>
                    </a:prstGeom>
                    <a:noFill/>
                    <a:ln>
                      <a:noFill/>
                    </a:ln>
                    <a:extLst>
                      <a:ext uri="{53640926-AAD7-44D8-BBD7-CCE9431645EC}">
                        <a14:shadowObscured xmlns:a14="http://schemas.microsoft.com/office/drawing/2010/main"/>
                      </a:ext>
                    </a:extLst>
                  </pic:spPr>
                </pic:pic>
              </a:graphicData>
            </a:graphic>
          </wp:inline>
        </w:drawing>
      </w:r>
    </w:p>
    <w:p w14:paraId="733C6A74" w14:textId="434969B3" w:rsidR="00CF6BD8" w:rsidRPr="008608AA" w:rsidRDefault="00490494" w:rsidP="00CF6BD8">
      <w:pPr>
        <w:suppressAutoHyphens/>
        <w:spacing w:before="240"/>
        <w:rPr>
          <w:rFonts w:eastAsia="Droid Sans Fallback"/>
          <w:b/>
        </w:rPr>
      </w:pPr>
      <w:r w:rsidRPr="008608AA">
        <w:rPr>
          <w:rFonts w:eastAsia="Droid Sans Fallback"/>
          <w:b/>
        </w:rPr>
        <w:t>Trends in land use</w:t>
      </w:r>
    </w:p>
    <w:p w14:paraId="470E82EB" w14:textId="51199D21" w:rsidR="00C06F4D" w:rsidRPr="008608AA" w:rsidRDefault="00490494" w:rsidP="00EE708F">
      <w:pPr>
        <w:suppressAutoHyphens/>
        <w:spacing w:before="240"/>
        <w:rPr>
          <w:rFonts w:eastAsia="Droid Sans Fallback"/>
          <w:lang w:eastAsia="en-GB"/>
        </w:rPr>
      </w:pPr>
      <w:r w:rsidRPr="008608AA">
        <w:rPr>
          <w:rFonts w:eastAsia="Droid Sans Fallback"/>
          <w:lang w:eastAsia="en-GB"/>
        </w:rPr>
        <w:t xml:space="preserve">According to the projected trends in land use, extent of natural areas will decrease from 2010 to 2050 under business as usual scenario in all subregions (Figure 5.27). The Central America and Caribbean subregion will experience a significant reduction in comparison to the rest. However, under transition pathways to sustainability, these trends would be reduced in all subregions by 2050. The sustainability pathways are thought to strengthen and direct, or redirect, the technologies, preferences and incentives in society to more sustainable directions, for instance to achieve the Aichi targets and the SDG. Trends in land use show that the Consumption Change pathway would lead to an increase of Natural areas within all </w:t>
      </w:r>
      <w:r w:rsidR="007C45FD" w:rsidRPr="008608AA">
        <w:rPr>
          <w:rFonts w:eastAsia="Droid Sans Fallback"/>
          <w:lang w:eastAsia="en-GB"/>
        </w:rPr>
        <w:t>sub</w:t>
      </w:r>
      <w:r w:rsidRPr="008608AA">
        <w:rPr>
          <w:rFonts w:eastAsia="Droid Sans Fallback"/>
          <w:lang w:eastAsia="en-GB"/>
        </w:rPr>
        <w:t xml:space="preserve">regions except within Central America and Caribbean, where Global Technology pathway could lead to a greater increase in natural areas. In comparison with business as usual scenario, under the </w:t>
      </w:r>
      <w:r w:rsidRPr="008608AA">
        <w:rPr>
          <w:rFonts w:eastAsia="Droid Sans Fallback"/>
          <w:lang w:eastAsia="ja-JP"/>
        </w:rPr>
        <w:t>Consumption Change</w:t>
      </w:r>
      <w:r w:rsidRPr="008608AA">
        <w:rPr>
          <w:rFonts w:eastAsia="Droid Sans Fallback"/>
          <w:lang w:eastAsia="en-GB"/>
        </w:rPr>
        <w:t xml:space="preserve"> pathways, natural area in the subregions is projected to increase 1.9% for North America; 10.1% for Mesoamerica; and 9.6% for South America, whilst Global Technology pathway would positively affect the extent of natural areas in Central America and the Caribbean by 11.2%.</w:t>
      </w:r>
    </w:p>
    <w:p w14:paraId="333CEFD4" w14:textId="11885009" w:rsidR="00EE708F" w:rsidRPr="008608AA" w:rsidRDefault="00BD2CBD" w:rsidP="00EE708F">
      <w:pPr>
        <w:suppressAutoHyphens/>
        <w:spacing w:before="240"/>
        <w:jc w:val="center"/>
        <w:rPr>
          <w:rFonts w:eastAsia="Droid Sans Fallback"/>
          <w:bCs/>
        </w:rPr>
      </w:pPr>
      <w:r w:rsidRPr="008608AA">
        <w:rPr>
          <w:rFonts w:eastAsia="Droid Sans Fallback"/>
          <w:bCs/>
          <w:noProof/>
          <w:lang w:val="en-GB" w:eastAsia="en-GB"/>
        </w:rPr>
        <w:drawing>
          <wp:inline distT="0" distB="0" distL="0" distR="0" wp14:anchorId="183E577F" wp14:editId="1EAC3FD5">
            <wp:extent cx="5934075" cy="6153150"/>
            <wp:effectExtent l="0" t="0" r="9525" b="0"/>
            <wp:docPr id="89" name="Imagen 89" descr="C:\Users\Alejandro Valderrama\Downloads\Fig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3" descr="C:\Users\Alejandro Valderrama\Downloads\Fig5.27.jpg"/>
                    <pic:cNvPicPr>
                      <a:picLocks noChangeAspect="1" noChangeArrowheads="1"/>
                    </pic:cNvPicPr>
                  </pic:nvPicPr>
                  <pic:blipFill rotWithShape="1">
                    <a:blip r:embed="rId1055">
                      <a:extLst>
                        <a:ext uri="{28A0092B-C50C-407E-A947-70E740481C1C}">
                          <a14:useLocalDpi xmlns:a14="http://schemas.microsoft.com/office/drawing/2010/main" val="0"/>
                        </a:ext>
                      </a:extLst>
                    </a:blip>
                    <a:srcRect b="28063"/>
                    <a:stretch/>
                  </pic:blipFill>
                  <pic:spPr bwMode="auto">
                    <a:xfrm>
                      <a:off x="0" y="0"/>
                      <a:ext cx="5934075" cy="6153150"/>
                    </a:xfrm>
                    <a:prstGeom prst="rect">
                      <a:avLst/>
                    </a:prstGeom>
                    <a:noFill/>
                    <a:ln>
                      <a:noFill/>
                    </a:ln>
                    <a:extLst>
                      <a:ext uri="{53640926-AAD7-44D8-BBD7-CCE9431645EC}">
                        <a14:shadowObscured xmlns:a14="http://schemas.microsoft.com/office/drawing/2010/main"/>
                      </a:ext>
                    </a:extLst>
                  </pic:spPr>
                </pic:pic>
              </a:graphicData>
            </a:graphic>
          </wp:inline>
        </w:drawing>
      </w:r>
    </w:p>
    <w:p w14:paraId="4B255240" w14:textId="43C96FFB" w:rsidR="00490494" w:rsidRPr="008608AA" w:rsidRDefault="00490494" w:rsidP="00C656E9">
      <w:pPr>
        <w:suppressAutoHyphens/>
        <w:spacing w:before="240"/>
        <w:rPr>
          <w:rFonts w:eastAsia="Droid Sans Fallback"/>
          <w:bCs/>
        </w:rPr>
      </w:pPr>
      <w:r w:rsidRPr="008608AA">
        <w:rPr>
          <w:rFonts w:eastAsia="Droid Sans Fallback"/>
          <w:bCs/>
        </w:rPr>
        <w:t xml:space="preserve">In summary, according to future scenarios results presented above, it is clear that improvement of the future prospects to ensure biodiversity and NCP conservation requires rethinking the current orientation from common policies; and that change in societal options could lead to less pressure to nature and help moving towards a sustainable future. Scenarios are simplifications of complex futures, to build them several assumptions are made and these simplifying assumptions result in different limitations </w:t>
      </w:r>
      <w:r w:rsidRPr="008608AA">
        <w:rPr>
          <w:rFonts w:eastAsia="Droid Sans Fallback"/>
          <w:bCs/>
        </w:rPr>
        <w:fldChar w:fldCharType="begin" w:fldLock="1"/>
      </w:r>
      <w:r w:rsidRPr="008608AA">
        <w:rPr>
          <w:rFonts w:eastAsia="Droid Sans Fallback"/>
          <w:bCs/>
        </w:rPr>
        <w:instrText>ADDIN CSL_CITATION { "citationItems" : [ { "id" : "ITEM-1", "itemData" : { "DOI" : "10.1016/j.ecoser.2017.05.004", "ISSN" : "22120416", "abstract" : "We estimated the future value of ecosystem services in monetary units for 4 alternative global land use and management scenarios based on the Great Transition Initiative (GTI) scenarios to the year 2050. We used previous estimates of the per biome values of ecosystem services in 2011 as the basis for comparison. We mapped projected land-use for 16biomes at 1km2 resolution globally for each scenario. This, combined with differences in land management for each scenario, created estimates of global ecosystem services values that also allowed for examinations of individual countries. Results show that under different scenarios the global value of ecosystem services can decline by $51trillion/yr or increase by USD $30trillion/yr. In addition to the global values, we report totals for all countries and maps for a few example countries. Results show that adopting a set of policies similar to those required to achieve the UN Sustainable Development Goals, would greatly enhance ecosystem services, human wellbeing and sustainability.", "author" : [ { "dropping-particle" : "", "family" : "Kubiszewski", "given" : "Ida", "non-dropping-particle" : "", "parse-names" : false, "suffix" : "" }, { "dropping-particle" : "", "family" : "Costanza", "given" : "Robert", "non-dropping-particle" : "", "parse-names" : false, "suffix" : "" }, { "dropping-particle" : "", "family" : "Anderson", "given" : "Sharolyn", "non-dropping-particle" : "", "parse-names" : false, "suffix" : "" }, { "dropping-particle" : "", "family" : "Sutton", "given" : "Paul", "non-dropping-particle" : "", "parse-names" : false, "suffix" : "" } ], "container-title" : "Ecosystem Services", "id" : "ITEM-1", "issued" : { "date-parts" : [ [ "2017" ] ] }, "page" : "289-301", "publisher" : "Elsevier B.V.", "title" : "The future value of ecosystem services: Global scenarios and national implications", "type" : "article-journal", "volume" : "26" }, "uris" : [ "http://www.mendeley.com/documents/?uuid=36dc82d2-0048-48a0-8426-ba7a0a30beba" ] } ], "mendeley" : { "formattedCitation" : "(Kubiszewski, Costanza, Anderson, &amp; Sutton, 2017b)", "plainTextFormattedCitation" : "(Kubiszewski, Costanza, Anderson, &amp; Sutton, 2017b)", "previouslyFormattedCitation" : "(Kubiszewski, Costanza, Anderson, &amp; Sutton, 2017b)" }, "properties" : {  }, "schema" : "https://github.com/citation-style-language/schema/raw/master/csl-citation.json" }</w:instrText>
      </w:r>
      <w:r w:rsidRPr="008608AA">
        <w:rPr>
          <w:rFonts w:eastAsia="Droid Sans Fallback"/>
          <w:bCs/>
        </w:rPr>
        <w:fldChar w:fldCharType="separate"/>
      </w:r>
      <w:r w:rsidR="00F81B1B" w:rsidRPr="008608AA">
        <w:rPr>
          <w:rFonts w:eastAsia="Droid Sans Fallback"/>
          <w:bCs/>
          <w:noProof/>
        </w:rPr>
        <w:t>(Kubiszewski</w:t>
      </w:r>
      <w:r w:rsidRPr="008608AA">
        <w:rPr>
          <w:rFonts w:eastAsia="Droid Sans Fallback"/>
          <w:bCs/>
          <w:noProof/>
        </w:rPr>
        <w:t xml:space="preserve"> et al., 2017b)</w:t>
      </w:r>
      <w:r w:rsidRPr="008608AA">
        <w:rPr>
          <w:rFonts w:eastAsia="Droid Sans Fallback"/>
          <w:bCs/>
        </w:rPr>
        <w:fldChar w:fldCharType="end"/>
      </w:r>
      <w:r w:rsidRPr="008608AA">
        <w:rPr>
          <w:rFonts w:eastAsia="Droid Sans Fallback"/>
          <w:bCs/>
        </w:rPr>
        <w:t xml:space="preserve">. However, they are not intended to be predictions of the future, but rather to lay out a set of plausible futures and help decision makers and society in general, rethink possible ways to move towards more desirable futures. </w:t>
      </w:r>
    </w:p>
    <w:p w14:paraId="7A54A816" w14:textId="77777777" w:rsidR="00EE708F" w:rsidRPr="008608AA" w:rsidRDefault="00EE708F" w:rsidP="00C656E9">
      <w:pPr>
        <w:suppressAutoHyphens/>
        <w:spacing w:before="240"/>
        <w:rPr>
          <w:rFonts w:eastAsia="Droid Sans Fallback"/>
          <w:bCs/>
        </w:rPr>
      </w:pPr>
    </w:p>
    <w:p w14:paraId="71D13C0F" w14:textId="77777777" w:rsidR="00490494" w:rsidRPr="008608AA" w:rsidRDefault="00490494" w:rsidP="00EE708F">
      <w:pPr>
        <w:pStyle w:val="Heading2"/>
      </w:pPr>
      <w:bookmarkStart w:id="2128" w:name="_Toc466995101"/>
      <w:bookmarkStart w:id="2129" w:name="_Toc499256898"/>
      <w:bookmarkStart w:id="2130" w:name="_Toc502953645"/>
      <w:bookmarkStart w:id="2131" w:name="_Toc502954938"/>
      <w:bookmarkStart w:id="2132" w:name="_Toc502957745"/>
      <w:bookmarkStart w:id="2133" w:name="_Toc502957944"/>
      <w:bookmarkStart w:id="2134" w:name="_Toc502958098"/>
      <w:bookmarkStart w:id="2135" w:name="_Toc503293167"/>
      <w:bookmarkStart w:id="2136" w:name="_Toc503293765"/>
      <w:bookmarkStart w:id="2137" w:name="_Toc503294027"/>
      <w:bookmarkStart w:id="2138" w:name="_Toc503863420"/>
      <w:bookmarkStart w:id="2139" w:name="_Toc503863648"/>
      <w:bookmarkStart w:id="2140" w:name="_Toc517393416"/>
      <w:bookmarkStart w:id="2141" w:name="_Toc517719157"/>
      <w:bookmarkStart w:id="2142" w:name="_Toc517797114"/>
      <w:bookmarkEnd w:id="2128"/>
      <w:r w:rsidRPr="008608AA">
        <w:t xml:space="preserve">Constructing a </w:t>
      </w:r>
      <w:r w:rsidR="00C06F4D" w:rsidRPr="008608AA">
        <w:t>pathway to a sustainable w</w:t>
      </w:r>
      <w:r w:rsidRPr="008608AA">
        <w:t>orld</w:t>
      </w:r>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p>
    <w:p w14:paraId="1EA81E2E" w14:textId="39CFA76D" w:rsidR="00CF6BD8" w:rsidRPr="008608AA" w:rsidRDefault="00490494" w:rsidP="00490494">
      <w:pPr>
        <w:suppressAutoHyphens/>
        <w:rPr>
          <w:rFonts w:eastAsia="Droid Sans Fallback"/>
          <w:b/>
        </w:rPr>
      </w:pPr>
      <w:r w:rsidRPr="008608AA">
        <w:rPr>
          <w:rFonts w:eastAsia="Droid Sans Fallback"/>
          <w:b/>
        </w:rPr>
        <w:t>Toward policy targets and Sustainable Development Goals in the face of “</w:t>
      </w:r>
      <w:r w:rsidR="003D604A" w:rsidRPr="008608AA">
        <w:rPr>
          <w:rFonts w:eastAsia="Droid Sans Fallback"/>
          <w:b/>
        </w:rPr>
        <w:t>wicked problems</w:t>
      </w:r>
      <w:r w:rsidRPr="008608AA">
        <w:rPr>
          <w:rFonts w:eastAsia="Droid Sans Fallback"/>
          <w:b/>
        </w:rPr>
        <w:t>”</w:t>
      </w:r>
    </w:p>
    <w:p w14:paraId="66528DDF" w14:textId="77777777" w:rsidR="00CF6BD8" w:rsidRPr="008608AA" w:rsidRDefault="00CF6BD8" w:rsidP="00490494">
      <w:pPr>
        <w:suppressAutoHyphens/>
        <w:rPr>
          <w:rFonts w:eastAsia="Droid Sans Fallback"/>
          <w:b/>
        </w:rPr>
      </w:pPr>
    </w:p>
    <w:p w14:paraId="3691B4D9" w14:textId="77777777" w:rsidR="00CF6BD8" w:rsidRPr="008608AA" w:rsidRDefault="00490494" w:rsidP="00EE708F">
      <w:pPr>
        <w:suppressAutoHyphens/>
        <w:rPr>
          <w:rFonts w:eastAsia="Droid Sans Fallback"/>
          <w:iCs/>
        </w:rPr>
      </w:pPr>
      <w:r w:rsidRPr="008608AA">
        <w:rPr>
          <w:rFonts w:eastAsia="Droid Sans Fallback"/>
          <w:iCs/>
        </w:rPr>
        <w:t xml:space="preserve">Some problems, while not necessarily easy, are relatively straightforward, like solving an algebra problem or determining a move in chess, in which standard approaches and strategies have long been established. Then there are problems that have resisted solutions for centuries or millennia, such as human rights violations across the globe and territorial disputes. Problems of the latter category are difficult to solve primarily because their root causes are varied and complex. In social planning and management science such problems have been termed “wicked problems”, not in the strict sense that they are “evil”, but that they are resistant to resolution, are complicated, tend to be fraught with interdependencies, and frequently the solution to one aspect of them creates, or simply reveals, a different challenge; environmental degradation and sustainability represent wicked problems. </w:t>
      </w:r>
      <w:r w:rsidRPr="008608AA">
        <w:rPr>
          <w:rFonts w:eastAsia="Droid Sans Fallback"/>
        </w:rPr>
        <w:t xml:space="preserve">The focal analyses of </w:t>
      </w:r>
      <w:r w:rsidR="00A47F44" w:rsidRPr="008608AA">
        <w:rPr>
          <w:rFonts w:eastAsia="Droid Sans Fallback"/>
        </w:rPr>
        <w:t xml:space="preserve">section </w:t>
      </w:r>
      <w:r w:rsidRPr="008608AA">
        <w:rPr>
          <w:rFonts w:eastAsia="Droid Sans Fallback"/>
        </w:rPr>
        <w:t xml:space="preserve">5.4 give a good indication of the complexity of determining what “the best” use of the world’s natural capital is; multiple drivers, teleconnections, telecoupling, differing socio-economic conditions, and differences in cultures and values are all considerations in trying to create a sustainable world. </w:t>
      </w:r>
      <w:r w:rsidRPr="008608AA">
        <w:rPr>
          <w:rFonts w:eastAsia="Droid Sans Fallback"/>
          <w:iCs/>
        </w:rPr>
        <w:t xml:space="preserve">The Aichi </w:t>
      </w:r>
      <w:r w:rsidR="00847F60" w:rsidRPr="008608AA">
        <w:rPr>
          <w:rFonts w:eastAsia="Droid Sans Fallback"/>
          <w:iCs/>
        </w:rPr>
        <w:t>target</w:t>
      </w:r>
      <w:r w:rsidRPr="008608AA">
        <w:rPr>
          <w:rFonts w:eastAsia="Droid Sans Fallback"/>
          <w:iCs/>
        </w:rPr>
        <w:t>s and the SDG represent efforts to address, or at least frame, wicked problems related to the environment and human condition, towards which solutions should be aimed.</w:t>
      </w:r>
      <w:r w:rsidR="00CF6BD8" w:rsidRPr="008608AA">
        <w:rPr>
          <w:rFonts w:eastAsia="Droid Sans Fallback"/>
          <w:iCs/>
        </w:rPr>
        <w:t xml:space="preserve"> </w:t>
      </w:r>
    </w:p>
    <w:p w14:paraId="2F60EBB4" w14:textId="77777777" w:rsidR="00CF6BD8" w:rsidRPr="008608AA" w:rsidRDefault="00CF6BD8" w:rsidP="00EE708F">
      <w:pPr>
        <w:suppressAutoHyphens/>
        <w:rPr>
          <w:rFonts w:eastAsia="Droid Sans Fallback"/>
          <w:iCs/>
        </w:rPr>
      </w:pPr>
    </w:p>
    <w:p w14:paraId="78454D8E" w14:textId="1AE44975" w:rsidR="00BD2CBD" w:rsidRPr="008608AA" w:rsidRDefault="00490494" w:rsidP="00EE708F">
      <w:pPr>
        <w:suppressAutoHyphens/>
        <w:rPr>
          <w:rFonts w:eastAsia="Droid Sans Fallback"/>
        </w:rPr>
      </w:pPr>
      <w:r w:rsidRPr="008608AA">
        <w:rPr>
          <w:rFonts w:eastAsia="Droid Sans Fallback"/>
          <w:iCs/>
        </w:rPr>
        <w:t xml:space="preserve">It is clear from this assessment that progress toward reaching the Aichi </w:t>
      </w:r>
      <w:r w:rsidR="00847F60" w:rsidRPr="008608AA">
        <w:rPr>
          <w:rFonts w:eastAsia="Droid Sans Fallback"/>
          <w:iCs/>
        </w:rPr>
        <w:t>target</w:t>
      </w:r>
      <w:r w:rsidRPr="008608AA">
        <w:rPr>
          <w:rFonts w:eastAsia="Droid Sans Fallback"/>
          <w:iCs/>
        </w:rPr>
        <w:t xml:space="preserve">s has been incremental at best and that no target has been fully reached; nevertheless they remain desirable goals. The SDG complement the Aichi </w:t>
      </w:r>
      <w:r w:rsidR="00847F60" w:rsidRPr="008608AA">
        <w:rPr>
          <w:rFonts w:eastAsia="Droid Sans Fallback"/>
          <w:iCs/>
        </w:rPr>
        <w:t>target</w:t>
      </w:r>
      <w:r w:rsidRPr="008608AA">
        <w:rPr>
          <w:rFonts w:eastAsia="Droid Sans Fallback"/>
          <w:iCs/>
        </w:rPr>
        <w:t xml:space="preserve">s, but the goals are still too new to expect significant progress since their promulgation. Each set of targets and goals establish guideposts on the paths to achieving the other set. Thus, solutions in one area should be designed to help provide solutions in the other. However, as both address suites of wicked problems, the question, of course, is how does policy and other decision makers actually develop solutions to meet the targets and goals? In the remainder of this section, we </w:t>
      </w:r>
      <w:r w:rsidRPr="008608AA">
        <w:rPr>
          <w:rFonts w:eastAsia="Droid Sans Fallback"/>
        </w:rPr>
        <w:t xml:space="preserve">present a number of considerations that, based on this assessment are likely to prove helpful, if not critical, as the world goes forward in development of pathways to a sustainable future for humankind. </w:t>
      </w:r>
      <w:r w:rsidR="00BD2CBD" w:rsidRPr="008608AA">
        <w:rPr>
          <w:rFonts w:eastAsia="Droid Sans Fallback"/>
        </w:rPr>
        <w:br w:type="page"/>
      </w:r>
    </w:p>
    <w:p w14:paraId="15BD3E2B" w14:textId="6FA9D319" w:rsidR="00490494" w:rsidRPr="008608AA" w:rsidRDefault="00EE708F" w:rsidP="00BD2CBD">
      <w:pPr>
        <w:pStyle w:val="Caption"/>
        <w:rPr>
          <w:bCs w:val="0"/>
          <w:kern w:val="1"/>
          <w:lang w:eastAsia="hi-IN" w:bidi="hi-IN"/>
        </w:rPr>
      </w:pPr>
      <w:bookmarkStart w:id="2143" w:name="_Toc499256993"/>
      <w:bookmarkStart w:id="2144" w:name="_Toc499817444"/>
      <w:bookmarkStart w:id="2145" w:name="_Toc472342760"/>
      <w:bookmarkStart w:id="2146" w:name="_Toc482711163"/>
      <w:bookmarkStart w:id="2147" w:name="_Toc482711812"/>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5</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2</w:t>
      </w:r>
      <w:r w:rsidR="000E562E">
        <w:rPr>
          <w:noProof/>
        </w:rPr>
        <w:fldChar w:fldCharType="end"/>
      </w:r>
      <w:r w:rsidRPr="008608AA">
        <w:t xml:space="preserve">. </w:t>
      </w:r>
      <w:r w:rsidR="00490494" w:rsidRPr="008608AA">
        <w:rPr>
          <w:bCs w:val="0"/>
        </w:rPr>
        <w:t xml:space="preserve">Novel considerations and questioning the assumptions: </w:t>
      </w:r>
      <w:r w:rsidR="00490494" w:rsidRPr="008608AA">
        <w:rPr>
          <w:bCs w:val="0"/>
          <w:kern w:val="1"/>
          <w:lang w:eastAsia="hi-IN" w:bidi="hi-IN"/>
        </w:rPr>
        <w:t>Is it possible to achieve environmental sustainability by reducing economic growth, while increasing human well-being?</w:t>
      </w:r>
      <w:bookmarkEnd w:id="2143"/>
      <w:bookmarkEnd w:id="2144"/>
    </w:p>
    <w:tbl>
      <w:tblPr>
        <w:tblStyle w:val="TableGrid"/>
        <w:tblW w:w="5000" w:type="pct"/>
        <w:tblLook w:val="04A0" w:firstRow="1" w:lastRow="0" w:firstColumn="1" w:lastColumn="0" w:noHBand="0" w:noVBand="1"/>
      </w:tblPr>
      <w:tblGrid>
        <w:gridCol w:w="9487"/>
      </w:tblGrid>
      <w:tr w:rsidR="005133B7" w:rsidRPr="00D16BCD" w14:paraId="36FC6B1C" w14:textId="77777777" w:rsidTr="00EE708F">
        <w:trPr>
          <w:trHeight w:val="8164"/>
        </w:trPr>
        <w:tc>
          <w:tcPr>
            <w:tcW w:w="5000" w:type="pct"/>
          </w:tcPr>
          <w:p w14:paraId="1AFA86AD" w14:textId="73BA08DC" w:rsidR="005133B7" w:rsidRPr="00D16BCD" w:rsidRDefault="005133B7" w:rsidP="00EE708F">
            <w:pPr>
              <w:spacing w:before="120"/>
              <w:rPr>
                <w:rFonts w:eastAsia="Droid Sans Fallback"/>
                <w:szCs w:val="22"/>
              </w:rPr>
            </w:pPr>
            <w:r w:rsidRPr="00D16BCD">
              <w:rPr>
                <w:rFonts w:eastAsia="Droid Sans Fallback"/>
                <w:szCs w:val="22"/>
              </w:rPr>
              <w:t xml:space="preserve">Trends show a continuing decline in biodiversity even in the most optimistic scenarios (as observed in Figure 5.22, section 5.5). Most scenarios quantifying future trends in biodiversity and ecosystem services and showing their future decline have in common a continuous growth of the economy, commonly measured as GDP (Gross Domestic Product). For example, the shared socioeconomic pathways </w:t>
            </w:r>
            <w:r w:rsidRPr="00D16BCD">
              <w:rPr>
                <w:rFonts w:eastAsia="Droid Sans Fallback"/>
                <w:szCs w:val="22"/>
              </w:rPr>
              <w:fldChar w:fldCharType="begin" w:fldLock="1"/>
            </w:r>
            <w:r w:rsidRPr="00D16BCD">
              <w:rPr>
                <w:rFonts w:eastAsia="Droid Sans Fallback"/>
                <w:szCs w:val="22"/>
              </w:rPr>
              <w:instrText>ADDIN CSL_CITATION { "citationItems" : [ { "id" : "ITEM-1", "itemData" : { "DOI" : "10.1007/s10584-013-0905-2", "ISBN" : "1553-7250", "ISSN" : "0165-0009", "PMID" : "20402369", "author" : [ { "dropping-particle" : "", "family" : "O\u2019Neill", "given" : "Brian C.", "non-dropping-particle" : "", "parse-names" : false, "suffix" : "" }, { "dropping-particle" : "", "family" : "Kriegler", "given" : "Elmar", "non-dropping-particle" : "", "parse-names" : false, "suffix" : "" }, { "dropping-particle" : "", "family" : "Riahi", "given" : "Keywan", "non-dropping-particle" : "", "parse-names" : false, "suffix" : "" }, { "dropping-particle" : "", "family" : "Ebi", "given" : "Kristie L.", "non-dropping-particle" : "", "parse-names" : false, "suffix" : "" }, { "dropping-particle" : "", "family" : "Hallegatte", "given" : "Stephane", "non-dropping-particle" : "", "parse-names" : false, "suffix" : "" }, { "dropping-particle" : "", "family" : "Carter", "given" : "Timothy R.", "non-dropping-particle" : "", "parse-names" : false, "suffix" : "" }, { "dropping-particle" : "", "family" : "Mathur", "given" : "Ritu", "non-dropping-particle" : "", "parse-names" : false, "suffix" : "" }, { "dropping-particle" : "", "family" : "Vuuren", "given" : "Detlef P.", "non-dropping-particle" : "van", "parse-names" : false, "suffix" : "" } ], "container-title" : "Climatic Change", "id" : "ITEM-1", "issue" : "3", "issued" : { "date-parts" : [ [ "2014", "2", "15" ] ] }, "page" : "387-400", "title" : "A new scenario framework for climate change research: the concept of shared socioeconomic pathways", "type" : "article-journal", "volume" : "122" }, "uris" : [ "http://www.mendeley.com/documents/?uuid=2018514b-13f6-40e5-b2e8-e339af5cd5db" ] } ], "mendeley" : { "formattedCitation" : "(O\u2019Neill et al., 2014)", "plainTextFormattedCitation" : "(O\u2019Neill et al., 2014)", "previouslyFormattedCitation" : "(O\u2019Neill et al., 2014)" }, "properties" : {  }, "schema" : "https://github.com/citation-style-language/schema/raw/master/csl-citation.json" }</w:instrText>
            </w:r>
            <w:r w:rsidRPr="00D16BCD">
              <w:rPr>
                <w:rFonts w:eastAsia="Droid Sans Fallback"/>
                <w:szCs w:val="22"/>
              </w:rPr>
              <w:fldChar w:fldCharType="separate"/>
            </w:r>
            <w:r w:rsidRPr="00D16BCD">
              <w:rPr>
                <w:rFonts w:eastAsia="Droid Sans Fallback"/>
                <w:szCs w:val="22"/>
              </w:rPr>
              <w:t>(O’Neill et al., 2014)</w:t>
            </w:r>
            <w:r w:rsidRPr="00D16BCD">
              <w:rPr>
                <w:rFonts w:eastAsia="Droid Sans Fallback"/>
                <w:szCs w:val="22"/>
              </w:rPr>
              <w:fldChar w:fldCharType="end"/>
            </w:r>
            <w:r w:rsidRPr="00D16BCD">
              <w:rPr>
                <w:rFonts w:eastAsia="Droid Sans Fallback"/>
                <w:szCs w:val="22"/>
              </w:rPr>
              <w:t xml:space="preserve"> of the IPCC do not consider any alternative where environmental improvement goes together with low or no economic growth. In addition, evidence suggests that a decoupling of growth in both the economy (GDP) and environmental impacts is unrealistic </w:t>
            </w:r>
            <w:r w:rsidRPr="00D16BCD">
              <w:rPr>
                <w:rFonts w:eastAsia="Droid Sans Fallback"/>
                <w:szCs w:val="22"/>
              </w:rPr>
              <w:fldChar w:fldCharType="begin" w:fldLock="1"/>
            </w:r>
            <w:r w:rsidRPr="00D16BCD">
              <w:rPr>
                <w:rFonts w:eastAsia="Droid Sans Fallback"/>
                <w:szCs w:val="22"/>
              </w:rPr>
              <w:instrText>ADDIN CSL_CITATION { "citationItems" : [ { "id" : "ITEM-1", "itemData" : { "DOI" : "10.1371/journal.pone.0164733", "ISSN" : "19326203", "abstract" : "The argument that human society can decouple economic growth\u2014defined as growth in Gross Domestic Product (GDP)\u2014from growth in environmental impacts is appealing. If such decoupling is possible, it means that GDP growth is a sustainable societal goal. Here we show that the decoupling concept can be interpreted using an easily understood model of economic growth and environmental impact. The simple model is compared to historical data and modelled projections to demonstrate that growth in GDP ultimately cannot be decoupled from growth in material and energy use. It is therefore misleading to develop growth-oriented policy around the expectation that decoupling is possible. Wealso note that GDP is increasingly seen as a poor proxy for societal wellbeing. GDP growth is there- fore a questionable societal goal. Society can sustainably improve wellbeing, including the wellbeing of its natural assets, but only by discarding GDP growth as the goal in favor of more comprehensive measures of societal wellbeing", "author" : [ { "dropping-particle" : "", "family" : "Ward", "given" : "James D.", "non-dropping-particle" : "", "parse-names" : false, "suffix" : "" }, { "dropping-particle" : "", "family" : "Sutton", "given" : "Paul C.", "non-dropping-particle" : "", "parse-names" : false, "suffix" : "" }, { "dropping-particle" : "", "family" : "Werner", "given" : "Adrian D.", "non-dropping-particle" : "", "parse-names" : false, "suffix" : "" }, { "dropping-particle" : "", "family" : "Costanza", "given" : "Robert", "non-dropping-particle" : "", "parse-names" : false, "suffix" : "" }, { "dropping-particle" : "", "family" : "Mohr", "given" : "Steve H.", "non-dropping-particle" : "", "parse-names" : false, "suffix" : "" }, { "dropping-particle" : "", "family" : "Simmons", "given" : "Craig T.", "non-dropping-particle" : "", "parse-names" : false, "suffix" : "" } ], "container-title" : "PLoS ONE", "id" : "ITEM-1", "issue" : "10", "issued" : { "date-parts" : [ [ "2016" ] ] }, "page" : "1-14", "title" : "Is decoupling GDP growth from environmental impact possible?", "type" : "article-journal", "volume" : "11" }, "uris" : [ "http://www.mendeley.com/documents/?uuid=4c4c0934-dcf4-4e07-8b60-d4f8bc637e8a" ] } ], "mendeley" : { "formattedCitation" : "(Ward et al., 2016)", "plainTextFormattedCitation" : "(Ward et al., 2016)", "previouslyFormattedCitation" : "(Ward et al., 2016)" }, "properties" : {  }, "schema" : "https://github.com/citation-style-language/schema/raw/master/csl-citation.json" }</w:instrText>
            </w:r>
            <w:r w:rsidRPr="00D16BCD">
              <w:rPr>
                <w:rFonts w:eastAsia="Droid Sans Fallback"/>
                <w:szCs w:val="22"/>
              </w:rPr>
              <w:fldChar w:fldCharType="separate"/>
            </w:r>
            <w:r w:rsidRPr="00D16BCD">
              <w:rPr>
                <w:rFonts w:eastAsia="Droid Sans Fallback"/>
                <w:szCs w:val="22"/>
              </w:rPr>
              <w:t>(Ward et al., 2016)</w:t>
            </w:r>
            <w:r w:rsidRPr="00D16BCD">
              <w:rPr>
                <w:rFonts w:eastAsia="Droid Sans Fallback"/>
                <w:szCs w:val="22"/>
              </w:rPr>
              <w:fldChar w:fldCharType="end"/>
            </w:r>
            <w:r w:rsidRPr="00D16BCD">
              <w:rPr>
                <w:rFonts w:eastAsia="Droid Sans Fallback"/>
                <w:szCs w:val="22"/>
              </w:rPr>
              <w:t xml:space="preserve">. This situation has motivated a line of thought and research arguing that environmental sustainability will not be possible without considering a significant slowdown or total halt of economic growth. This has been embraced by a group of narratives that could be classified within the Great Transitions scenario archetype. For example the eco-communalism type of scenarios </w:t>
            </w:r>
            <w:r w:rsidRPr="00D16BCD">
              <w:rPr>
                <w:rFonts w:eastAsia="Droid Sans Fallback"/>
                <w:szCs w:val="22"/>
              </w:rPr>
              <w:fldChar w:fldCharType="begin" w:fldLock="1"/>
            </w:r>
            <w:r w:rsidRPr="00D16BCD">
              <w:rPr>
                <w:rFonts w:eastAsia="Droid Sans Fallback"/>
                <w:szCs w:val="22"/>
              </w:rPr>
              <w:instrText>ADDIN CSL_CITATION { "citationItems" : [ { "id" : "ITEM-1", "itemData" : { "author" : [ { "dropping-particle" : "", "family" : "Makropoulos", "given" : "C.", "non-dropping-particle" : "", "parse-names" : false, "suffix" : "" }, { "dropping-particle" : "", "family" : "Memon", "given" : "F.A.", "non-dropping-particle" : "", "parse-names" : false, "suffix" : "" }, { "dropping-particle" : "", "family" : "Shirley-Smith", "given" : "C.", "non-dropping-particle" : "", "parse-names" : false, "suffix" : "" }, { "dropping-particle" : "", "family" : "Butler", "given" : "D.", "non-dropping-particle" : "", "parse-names" : false, "suffix" : "" } ], "container-title" : "Water Policy", "id" : "ITEM-1", "issue" : "10", "issued" : { "date-parts" : [ [ "2009" ] ] }, "page" : "345\u2013373", "title" : "Futures: An exploration of scenarios for sustainable urban water management", "type" : "article-journal", "volume" : "10" }, "uris" : [ "http://www.mendeley.com/documents/?uuid=a23ba510-b51f-4fb2-b5f8-322762628780" ] } ], "mendeley" : { "formattedCitation" : "(Makropoulos, Memon, Shirley-Smith, &amp; Butler, 2009)", "plainTextFormattedCitation" : "(Makropoulos, Memon, Shirley-Smith, &amp; Butler, 2009)", "previouslyFormattedCitation" : "(Makropoulos, Memon, Shirley-Smith, &amp; Butler, 2009)" }, "properties" : {  }, "schema" : "https://github.com/citation-style-language/schema/raw/master/csl-citation.json" }</w:instrText>
            </w:r>
            <w:r w:rsidRPr="00D16BCD">
              <w:rPr>
                <w:rFonts w:eastAsia="Droid Sans Fallback"/>
                <w:szCs w:val="22"/>
              </w:rPr>
              <w:fldChar w:fldCharType="separate"/>
            </w:r>
            <w:r w:rsidR="002C171D" w:rsidRPr="00D16BCD">
              <w:rPr>
                <w:rFonts w:eastAsia="Droid Sans Fallback"/>
                <w:szCs w:val="22"/>
              </w:rPr>
              <w:t>(Makropoulos</w:t>
            </w:r>
            <w:r w:rsidRPr="00D16BCD">
              <w:rPr>
                <w:rFonts w:eastAsia="Droid Sans Fallback"/>
                <w:szCs w:val="22"/>
              </w:rPr>
              <w:t xml:space="preserve"> et al., 2009)</w:t>
            </w:r>
            <w:r w:rsidRPr="00D16BCD">
              <w:rPr>
                <w:rFonts w:eastAsia="Droid Sans Fallback"/>
                <w:szCs w:val="22"/>
              </w:rPr>
              <w:fldChar w:fldCharType="end"/>
            </w:r>
            <w:r w:rsidRPr="00D16BCD">
              <w:rPr>
                <w:rFonts w:eastAsia="Droid Sans Fallback"/>
                <w:szCs w:val="22"/>
              </w:rPr>
              <w:t xml:space="preserve">, the degrowth movement </w:t>
            </w:r>
            <w:r w:rsidRPr="00D16BCD">
              <w:rPr>
                <w:rFonts w:eastAsia="Droid Sans Fallback"/>
                <w:szCs w:val="22"/>
              </w:rPr>
              <w:fldChar w:fldCharType="begin" w:fldLock="1"/>
            </w:r>
            <w:r w:rsidRPr="00D16BCD">
              <w:rPr>
                <w:rFonts w:eastAsia="Droid Sans Fallback"/>
                <w:szCs w:val="22"/>
              </w:rPr>
              <w:instrText>ADDIN CSL_CITATION { "citationItems" : [ { "id" : "ITEM-1", "itemData" : { "DOI" : "10.1016/J.JCLEPRO.2010.01.014", "ISSN" : "0959-6526", "author" : [ { "dropping-particle" : "", "family" : "Schneider", "given" : "Fran\u00e7ois", "non-dropping-particle" : "", "parse-names" : false, "suffix" : "" }, { "dropping-particle" : "", "family" : "Kallis", "given" : "Giorgos", "non-dropping-particle" : "", "parse-names" : false, "suffix" : "" }, { "dropping-particle" : "", "family" : "Martinez-Alier", "given" : "Joan", "non-dropping-particle" : "", "parse-names" : false, "suffix" : "" } ], "container-title" : "Journal of Cleaner Production", "id" : "ITEM-1", "issue" : "6", "issued" : { "date-parts" : [ [ "2010", "4", "1" ] ] }, "page" : "511-518", "publisher" : "Elsevier", "title" : "Crisis or opportunity? Economic degrowth for social equity and ecological sustainability. Introduction to this special issue", "type" : "article-journal", "volume" : "18" }, "uris" : [ "http://www.mendeley.com/documents/?uuid=00701da3-9d1f-349f-9d83-8130652b54dd" ] } ], "mendeley" : { "formattedCitation" : "(F. Schneider, Kallis, &amp; Martinez-Alier, 2010)", "plainTextFormattedCitation" : "(F. Schneider, Kallis, &amp; Martinez-Alier, 2010)", "previouslyFormattedCitation" : "(F. Schneider, Kallis, &amp; Martinez-Alier, 2010)" }, "properties" : {  }, "schema" : "https://github.com/citation-style-language/schema/raw/master/csl-citation.json" }</w:instrText>
            </w:r>
            <w:r w:rsidRPr="00D16BCD">
              <w:rPr>
                <w:rFonts w:eastAsia="Droid Sans Fallback"/>
                <w:szCs w:val="22"/>
              </w:rPr>
              <w:fldChar w:fldCharType="separate"/>
            </w:r>
            <w:r w:rsidR="002C171D" w:rsidRPr="00D16BCD">
              <w:rPr>
                <w:rFonts w:eastAsia="Droid Sans Fallback"/>
                <w:szCs w:val="22"/>
              </w:rPr>
              <w:t>(F. Schneider</w:t>
            </w:r>
            <w:r w:rsidRPr="00D16BCD">
              <w:rPr>
                <w:rFonts w:eastAsia="Droid Sans Fallback"/>
                <w:szCs w:val="22"/>
              </w:rPr>
              <w:t xml:space="preserve"> et al., 2010)</w:t>
            </w:r>
            <w:r w:rsidRPr="00D16BCD">
              <w:rPr>
                <w:rFonts w:eastAsia="Droid Sans Fallback"/>
                <w:szCs w:val="22"/>
              </w:rPr>
              <w:fldChar w:fldCharType="end"/>
            </w:r>
            <w:r w:rsidRPr="00D16BCD">
              <w:rPr>
                <w:rFonts w:eastAsia="Droid Sans Fallback"/>
                <w:szCs w:val="22"/>
              </w:rPr>
              <w:t xml:space="preserve">, or specific to Latin America visions like “Buen Vivir” </w:t>
            </w:r>
            <w:r w:rsidRPr="00D16BCD">
              <w:rPr>
                <w:rFonts w:eastAsia="Droid Sans Fallback"/>
                <w:szCs w:val="22"/>
              </w:rPr>
              <w:fldChar w:fldCharType="begin" w:fldLock="1"/>
            </w:r>
            <w:r w:rsidRPr="00D16BCD">
              <w:rPr>
                <w:rFonts w:eastAsia="Droid Sans Fallback"/>
                <w:szCs w:val="22"/>
              </w:rPr>
              <w:instrText>ADDIN CSL_CITATION { "citationItems" : [ { "id" : "ITEM-1", "itemData" : { "author" : [ { "dropping-particle" : "", "family" : "Gudynas", "given" : "E.", "non-dropping-particle" : "", "parse-names" : false, "suffix" : "" } ], "container-title" : "Development", "id" : "ITEM-1", "issue" : "4", "issued" : { "date-parts" : [ [ "2011" ] ] }, "page" : "441-447", "title" : "Buen Vivir: today\u2019s tomorrow", "type" : "article-journal", "volume" : "54" }, "uris" : [ "http://www.mendeley.com/documents/?uuid=73be7a98-e2e9-4562-946c-d206699e28d9" ] } ], "mendeley" : { "formattedCitation" : "(Gudynas, 2011)", "plainTextFormattedCitation" : "(Gudynas, 2011)", "previouslyFormattedCitation" : "(Gudynas, 2011)" }, "properties" : {  }, "schema" : "https://github.com/citation-style-language/schema/raw/master/csl-citation.json" }</w:instrText>
            </w:r>
            <w:r w:rsidRPr="00D16BCD">
              <w:rPr>
                <w:rFonts w:eastAsia="Droid Sans Fallback"/>
                <w:szCs w:val="22"/>
              </w:rPr>
              <w:fldChar w:fldCharType="separate"/>
            </w:r>
            <w:r w:rsidRPr="00D16BCD">
              <w:rPr>
                <w:rFonts w:eastAsia="Droid Sans Fallback"/>
                <w:szCs w:val="22"/>
              </w:rPr>
              <w:t>(Gudynas, 2011)</w:t>
            </w:r>
            <w:r w:rsidRPr="00D16BCD">
              <w:rPr>
                <w:rFonts w:eastAsia="Droid Sans Fallback"/>
                <w:szCs w:val="22"/>
              </w:rPr>
              <w:fldChar w:fldCharType="end"/>
            </w:r>
            <w:r w:rsidRPr="00D16BCD">
              <w:rPr>
                <w:rFonts w:eastAsia="Droid Sans Fallback"/>
                <w:szCs w:val="22"/>
              </w:rPr>
              <w:t xml:space="preserve">. These types of visions appear as alternative pathways to development and have one main aspect in common (for a comparison see </w:t>
            </w:r>
            <w:r w:rsidRPr="00D16BCD">
              <w:rPr>
                <w:rFonts w:eastAsia="Droid Sans Fallback"/>
                <w:szCs w:val="22"/>
              </w:rPr>
              <w:fldChar w:fldCharType="begin" w:fldLock="1"/>
            </w:r>
            <w:r w:rsidRPr="00D16BCD">
              <w:rPr>
                <w:rFonts w:eastAsia="Droid Sans Fallback"/>
                <w:szCs w:val="22"/>
              </w:rPr>
              <w:instrText>ADDIN CSL_CITATION { "citationItems" : [ { "id" : "ITEM-1", "itemData" : { "DOI" : "10.1007/s11625-015-0297-5", "ISBN" : "1162501502", "ISSN" : "18624057", "abstract" : "This paper seeks to initiate a conversation between degrowth (DG) and postdevelopment (PD) frameworks by placing them within the larger field of discourses for ecological and civilizational transitions and by bridging proposals emerging from the North with those from the Global South. Not only can this dialogue, it is argued, be mutually enriching for both movements but perhaps essential for an effective politics of transformation. Part I of the paper presents a brief panorama of transition discourses (TDs), particularly in the North. Part II discusses succinctly the main postdevelopment trends in Latin America, including Buen Vivir (BV), the rights of Nature, civilizational crisis, and the concept of \u2018alternatives to development\u2019. With these elements in hand, Part III attempts a preliminary dialogue between degrowth and postdevelopment, identifying points of convergence and tension; whereas they originate in somewhat different intellectual traditions and operate through different epistemic and political practices, they share closely connected imaginaries, goals, and predicaments, chiefly, a radical questioning of the core assumption of growth and economism, a vision of alternative worlds based on ecological integrity and social justice, and the ever present risk of cooptation. Important tensions remain, for instance, around the critique of modernity and the scope for dematerialization. This part ends by outlining areas of research on PD that could be of particular interest to degrowth scholars. The conclusion, finally, envisions the dissolution of the very binary of \u2018Global North\u2019 and \u2018Global South\u2019 by adopting a pluriversal perspective.", "author" : [ { "dropping-particle" : "", "family" : "Escobar", "given" : "Arturo", "non-dropping-particle" : "", "parse-names" : false, "suffix" : "" } ], "container-title" : "Sustainability Science", "id" : "ITEM-1", "issue" : "3", "issued" : { "date-parts" : [ [ "2015" ] ] }, "page" : "451-462", "publisher" : "Springer Japan", "title" : "Degrowth, postdevelopment, and transitions: a preliminary conversation", "type" : "article-journal", "volume" : "10" }, "uris" : [ "http://www.mendeley.com/documents/?uuid=5a5016a7-e8cb-49ef-a0f2-647b4caf78d7" ] } ], "mendeley" : { "formattedCitation" : "(Escobar, 2015)", "manualFormatting" : "Escobar, 2015)", "plainTextFormattedCitation" : "(Escobar, 2015)", "previouslyFormattedCitation" : "(Escobar, 2015)" }, "properties" : {  }, "schema" : "https://github.com/citation-style-language/schema/raw/master/csl-citation.json" }</w:instrText>
            </w:r>
            <w:r w:rsidRPr="00D16BCD">
              <w:rPr>
                <w:rFonts w:eastAsia="Droid Sans Fallback"/>
                <w:szCs w:val="22"/>
              </w:rPr>
              <w:fldChar w:fldCharType="separate"/>
            </w:r>
            <w:r w:rsidRPr="00D16BCD">
              <w:rPr>
                <w:rFonts w:eastAsia="Droid Sans Fallback"/>
                <w:szCs w:val="22"/>
              </w:rPr>
              <w:t>Escobar, 2015)</w:t>
            </w:r>
            <w:r w:rsidRPr="00D16BCD">
              <w:rPr>
                <w:rFonts w:eastAsia="Droid Sans Fallback"/>
                <w:szCs w:val="22"/>
              </w:rPr>
              <w:fldChar w:fldCharType="end"/>
            </w:r>
            <w:r w:rsidRPr="00D16BCD">
              <w:rPr>
                <w:rFonts w:eastAsia="Droid Sans Fallback"/>
                <w:szCs w:val="22"/>
              </w:rPr>
              <w:t xml:space="preserve">; “an equitable downscaling of production and consumption that increases human well-being and enhances ecological conditions at the local and global level, in the short and long term </w:t>
            </w:r>
            <w:r w:rsidRPr="00D16BCD">
              <w:rPr>
                <w:rFonts w:eastAsia="Droid Sans Fallback"/>
                <w:szCs w:val="22"/>
              </w:rPr>
              <w:fldChar w:fldCharType="begin" w:fldLock="1"/>
            </w:r>
            <w:r w:rsidRPr="00D16BCD">
              <w:rPr>
                <w:rFonts w:eastAsia="Droid Sans Fallback"/>
                <w:szCs w:val="22"/>
              </w:rPr>
              <w:instrText>ADDIN CSL_CITATION { "citationItems" : [ { "id" : "ITEM-1", "itemData" : { "DOI" : "10.1016/J.JCLEPRO.2010.01.014", "ISSN" : "0959-6526", "author" : [ { "dropping-particle" : "", "family" : "Schneider", "given" : "Fran\u00e7ois", "non-dropping-particle" : "", "parse-names" : false, "suffix" : "" }, { "dropping-particle" : "", "family" : "Kallis", "given" : "Giorgos", "non-dropping-particle" : "", "parse-names" : false, "suffix" : "" }, { "dropping-particle" : "", "family" : "Martinez-Alier", "given" : "Joan", "non-dropping-particle" : "", "parse-names" : false, "suffix" : "" } ], "container-title" : "Journal of Cleaner Production", "id" : "ITEM-1", "issue" : "6", "issued" : { "date-parts" : [ [ "2010", "4", "1" ] ] }, "page" : "511-518", "publisher" : "Elsevier", "title" : "Crisis or opportunity? Economic degrowth for social equity and ecological sustainability. Introduction to this special issue", "type" : "article-journal", "volume" : "18" }, "uris" : [ "http://www.mendeley.com/documents/?uuid=00701da3-9d1f-349f-9d83-8130652b54dd" ] } ], "mendeley" : { "formattedCitation" : "(F. Schneider et al., 2010)", "plainTextFormattedCitation" : "(F. Schneider et al., 2010)", "previouslyFormattedCitation" : "(F. Schneider et al., 2010)" }, "properties" : {  }, "schema" : "https://github.com/citation-style-language/schema/raw/master/csl-citation.json" }</w:instrText>
            </w:r>
            <w:r w:rsidRPr="00D16BCD">
              <w:rPr>
                <w:rFonts w:eastAsia="Droid Sans Fallback"/>
                <w:szCs w:val="22"/>
              </w:rPr>
              <w:fldChar w:fldCharType="separate"/>
            </w:r>
            <w:r w:rsidRPr="00D16BCD">
              <w:rPr>
                <w:rFonts w:eastAsia="Droid Sans Fallback"/>
                <w:szCs w:val="22"/>
              </w:rPr>
              <w:t>(F. Schneider et al., 2010)</w:t>
            </w:r>
            <w:r w:rsidRPr="00D16BCD">
              <w:rPr>
                <w:rFonts w:eastAsia="Droid Sans Fallback"/>
                <w:szCs w:val="22"/>
              </w:rPr>
              <w:fldChar w:fldCharType="end"/>
            </w:r>
            <w:r w:rsidRPr="00D16BCD">
              <w:rPr>
                <w:rFonts w:eastAsia="Droid Sans Fallback"/>
                <w:szCs w:val="22"/>
              </w:rPr>
              <w:t>”. By reducing production and consumption it is expected, indirectly, that GDP as a measure of economic growth would decline without affecting good quality of life, social equity and environmental sustainability.</w:t>
            </w:r>
          </w:p>
          <w:p w14:paraId="70F0214D" w14:textId="722CD7EF" w:rsidR="005133B7" w:rsidRPr="00D16BCD" w:rsidRDefault="005133B7" w:rsidP="00EE708F">
            <w:pPr>
              <w:spacing w:before="120"/>
              <w:rPr>
                <w:rFonts w:eastAsia="Droid Sans Fallback"/>
                <w:szCs w:val="22"/>
              </w:rPr>
            </w:pPr>
            <w:r w:rsidRPr="00D16BCD">
              <w:rPr>
                <w:rFonts w:eastAsia="Droid Sans Fallback"/>
                <w:szCs w:val="22"/>
              </w:rPr>
              <w:t xml:space="preserve">There are no modeling exercises for the Americas that explicitly quantify trends into the future of NCP contemplating low economic growth. However, some modeling exercises have quantified future trends on economic and climate related aspects given energy constraints. Victor </w:t>
            </w:r>
            <w:r w:rsidRPr="00D16BCD">
              <w:rPr>
                <w:rFonts w:eastAsia="Droid Sans Fallback"/>
                <w:szCs w:val="22"/>
              </w:rPr>
              <w:fldChar w:fldCharType="begin" w:fldLock="1"/>
            </w:r>
            <w:r w:rsidRPr="00D16BCD">
              <w:rPr>
                <w:rFonts w:eastAsia="Droid Sans Fallback"/>
                <w:szCs w:val="22"/>
              </w:rPr>
              <w:instrText>ADDIN CSL_CITATION { "citationItems" : [ { "id" : "ITEM-1", "itemData" : { "DOI" : "10.1016/j.ecolecon.2011.04.013", "ISSN" : "09218009", "abstract" : "The paper proceeds with a discussion of the interplay of scale and intensity in determining greenhouse gas emissions. This is followed by the presentation of several macroeconomic scenarios using LowGrow, a simulation model of the Canadian economy. The scenarios considered are \u2018business as usual\u2019 which is a projection into the future of past trends, \u2018selective growth\u2019 in which differential growth rates are applied to parts of the economy according to their direct and indirect greenhouse gas emissions, and \u2018degrowth\u2019 where the average GDP/capita of Canadians is reduced towards a level more consistent with a world economy the size of which respects global environmental limits. The paper ends with a comparison of the scenarios.", "author" : [ { "dropping-particle" : "", "family" : "Victor", "given" : "Peter A.", "non-dropping-particle" : "", "parse-names" : false, "suffix" : "" } ], "container-title" : "Ecological Economics", "id" : "ITEM-1", "issued" : { "date-parts" : [ [ "2012" ] ] }, "page" : "206-212", "title" : "Growth, degrowth and climate change: A scenario analysis", "type" : "article-journal", "volume" : "84" }, "suppress-author" : 1, "uris" : [ "http://www.mendeley.com/documents/?uuid=be9088cc-5d06-4808-b5df-441850f4780d" ] } ], "mendeley" : { "formattedCitation" : "(2012)", "plainTextFormattedCitation" : "(2012)", "previouslyFormattedCitation" : "(2012)" }, "properties" : {  }, "schema" : "https://github.com/citation-style-language/schema/raw/master/csl-citation.json" }</w:instrText>
            </w:r>
            <w:r w:rsidRPr="00D16BCD">
              <w:rPr>
                <w:rFonts w:eastAsia="Droid Sans Fallback"/>
                <w:szCs w:val="22"/>
              </w:rPr>
              <w:fldChar w:fldCharType="separate"/>
            </w:r>
            <w:r w:rsidRPr="00D16BCD">
              <w:rPr>
                <w:rFonts w:eastAsia="Droid Sans Fallback"/>
                <w:szCs w:val="22"/>
              </w:rPr>
              <w:t>(2012)</w:t>
            </w:r>
            <w:r w:rsidRPr="00D16BCD">
              <w:rPr>
                <w:rFonts w:eastAsia="Droid Sans Fallback"/>
                <w:szCs w:val="22"/>
              </w:rPr>
              <w:fldChar w:fldCharType="end"/>
            </w:r>
            <w:r w:rsidRPr="00D16BCD">
              <w:rPr>
                <w:rFonts w:eastAsia="Droid Sans Fallback"/>
                <w:szCs w:val="22"/>
              </w:rPr>
              <w:t xml:space="preserve"> quantified a degrowth scenario for Canada in order to achieve a reduction in GDP per capita ($15,260) by 2035 (Figure 5.28). Social indicators, compared with 2005, show a reduction in unemployment and the human poverty index. Environmentally, gas emissions are reduced almost 80% by 2035.</w:t>
            </w:r>
          </w:p>
          <w:p w14:paraId="7491C95B" w14:textId="46E3075A" w:rsidR="005133B7" w:rsidRPr="00D16BCD" w:rsidRDefault="00BD2CBD" w:rsidP="00EE708F">
            <w:pPr>
              <w:spacing w:before="120"/>
              <w:jc w:val="center"/>
              <w:rPr>
                <w:rFonts w:eastAsia="Droid Sans Fallback"/>
                <w:b/>
                <w:bCs/>
                <w:szCs w:val="22"/>
              </w:rPr>
            </w:pPr>
            <w:r w:rsidRPr="00D16BCD">
              <w:rPr>
                <w:rFonts w:eastAsia="Droid Sans Fallback"/>
                <w:b/>
                <w:bCs/>
                <w:noProof/>
                <w:szCs w:val="22"/>
                <w:lang w:val="en-GB" w:eastAsia="en-GB"/>
              </w:rPr>
              <w:drawing>
                <wp:inline distT="0" distB="0" distL="0" distR="0" wp14:anchorId="69A84AD5" wp14:editId="3545F8E1">
                  <wp:extent cx="5772150" cy="2600325"/>
                  <wp:effectExtent l="0" t="0" r="0" b="9525"/>
                  <wp:docPr id="90" name="Imagen 90" descr="C:\Users\Alejandro Valderrama\Downloads\Fig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9" descr="C:\Users\Alejandro Valderrama\Downloads\Fig5.28.jpg"/>
                          <pic:cNvPicPr>
                            <a:picLocks noChangeAspect="1" noChangeArrowheads="1"/>
                          </pic:cNvPicPr>
                        </pic:nvPicPr>
                        <pic:blipFill rotWithShape="1">
                          <a:blip r:embed="rId1056">
                            <a:extLst>
                              <a:ext uri="{28A0092B-C50C-407E-A947-70E740481C1C}">
                                <a14:useLocalDpi xmlns:a14="http://schemas.microsoft.com/office/drawing/2010/main" val="0"/>
                              </a:ext>
                            </a:extLst>
                          </a:blip>
                          <a:srcRect r="2729" b="69599"/>
                          <a:stretch/>
                        </pic:blipFill>
                        <pic:spPr bwMode="auto">
                          <a:xfrm>
                            <a:off x="0" y="0"/>
                            <a:ext cx="5772150" cy="2600325"/>
                          </a:xfrm>
                          <a:prstGeom prst="rect">
                            <a:avLst/>
                          </a:prstGeom>
                          <a:noFill/>
                          <a:ln>
                            <a:noFill/>
                          </a:ln>
                          <a:extLst>
                            <a:ext uri="{53640926-AAD7-44D8-BBD7-CCE9431645EC}">
                              <a14:shadowObscured xmlns:a14="http://schemas.microsoft.com/office/drawing/2010/main"/>
                            </a:ext>
                          </a:extLst>
                        </pic:spPr>
                      </pic:pic>
                    </a:graphicData>
                  </a:graphic>
                </wp:inline>
              </w:drawing>
            </w:r>
          </w:p>
          <w:p w14:paraId="3F4AE33D" w14:textId="16527651" w:rsidR="00EE708F" w:rsidRPr="00D16BCD" w:rsidRDefault="00EE708F" w:rsidP="00EE708F">
            <w:pPr>
              <w:spacing w:before="120"/>
              <w:jc w:val="center"/>
              <w:rPr>
                <w:szCs w:val="22"/>
                <w:lang w:eastAsia="hi-IN" w:bidi="hi-IN"/>
              </w:rPr>
            </w:pPr>
          </w:p>
        </w:tc>
      </w:tr>
    </w:tbl>
    <w:p w14:paraId="2DC2E474" w14:textId="77777777" w:rsidR="00D16BCD" w:rsidRDefault="00D16BCD" w:rsidP="008B3BCD">
      <w:pPr>
        <w:rPr>
          <w:rFonts w:eastAsia="Droid Sans Fallback"/>
        </w:rPr>
      </w:pPr>
      <w:bookmarkStart w:id="2148" w:name="_Toc499256899"/>
      <w:bookmarkStart w:id="2149" w:name="_Toc502953646"/>
      <w:bookmarkStart w:id="2150" w:name="_Toc502954939"/>
      <w:bookmarkStart w:id="2151" w:name="_Toc502957746"/>
      <w:bookmarkStart w:id="2152" w:name="_Toc502957945"/>
      <w:bookmarkStart w:id="2153" w:name="_Toc502958099"/>
      <w:bookmarkStart w:id="2154" w:name="_Toc503293168"/>
      <w:bookmarkStart w:id="2155" w:name="_Toc503293766"/>
      <w:bookmarkStart w:id="2156" w:name="_Toc503294028"/>
      <w:bookmarkStart w:id="2157" w:name="_Toc503863421"/>
      <w:bookmarkStart w:id="2158" w:name="_Toc503863649"/>
      <w:bookmarkStart w:id="2159" w:name="_Toc517393417"/>
      <w:bookmarkStart w:id="2160" w:name="_Toc517719158"/>
      <w:bookmarkEnd w:id="2145"/>
      <w:bookmarkEnd w:id="2146"/>
    </w:p>
    <w:p w14:paraId="05502FAC" w14:textId="398E93A5" w:rsidR="00490494" w:rsidRPr="008608AA" w:rsidRDefault="00490494" w:rsidP="00EE708F">
      <w:pPr>
        <w:pStyle w:val="Heading3"/>
        <w:rPr>
          <w:rFonts w:eastAsia="Droid Sans Fallback"/>
        </w:rPr>
      </w:pPr>
      <w:bookmarkStart w:id="2161" w:name="_Toc517797115"/>
      <w:r w:rsidRPr="008608AA">
        <w:rPr>
          <w:rFonts w:eastAsia="Droid Sans Fallback"/>
        </w:rPr>
        <w:t>Integrated scenario building</w:t>
      </w:r>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p>
    <w:p w14:paraId="6523A356" w14:textId="77777777" w:rsidR="00EE708F" w:rsidRPr="008608AA" w:rsidRDefault="00EE708F" w:rsidP="00EE708F">
      <w:pPr>
        <w:rPr>
          <w:rFonts w:eastAsia="Droid Sans Fallback"/>
          <w:lang w:val="en-GB" w:eastAsia="es-CO"/>
        </w:rPr>
      </w:pPr>
    </w:p>
    <w:p w14:paraId="70418889" w14:textId="77777777" w:rsidR="00490494" w:rsidRPr="008608AA" w:rsidRDefault="00490494" w:rsidP="00EE708F">
      <w:pPr>
        <w:suppressAutoHyphens/>
        <w:rPr>
          <w:rFonts w:eastAsia="Droid Sans Fallback"/>
        </w:rPr>
      </w:pPr>
      <w:r w:rsidRPr="008608AA">
        <w:rPr>
          <w:rFonts w:eastAsia="Droid Sans Fallback"/>
        </w:rPr>
        <w:t xml:space="preserve">IPBES has identified scenario building as a key approach in helping decision makers assess potential future impacts of different policy options they are considering on biodiversity and NCP in an uncertain world. This is a daunting task however as no human can provide a certain prediction of what lies ahead or anticipate how existing socio-economic and environmental trends will continue, or shift unexpectedly, and the implications for vulnerable ecosystems and people. Further complications are the associated inter-linkages to consider about what all of this may mean for individual countries, </w:t>
      </w:r>
      <w:r w:rsidR="007C45FD" w:rsidRPr="008608AA">
        <w:rPr>
          <w:rFonts w:eastAsia="Droid Sans Fallback"/>
        </w:rPr>
        <w:t>sub</w:t>
      </w:r>
      <w:r w:rsidRPr="008608AA">
        <w:rPr>
          <w:rFonts w:eastAsia="Droid Sans Fallback"/>
        </w:rPr>
        <w:t>regions, regions and at the global level. Hopefully, these considerations influence the decisions that societies take in shaping the future they want. Individuals though, appear to be more interested in how decisions affect them locally. A challenge in building scenarios in the Americas is therefore to develop scenarios that have local relevance to decision makers, and that make sense in the short term demanded by political considerations, and in the long-term context required to conserve regional biodiversity and NCP.</w:t>
      </w:r>
    </w:p>
    <w:p w14:paraId="294C2BF5" w14:textId="77777777" w:rsidR="00C95490" w:rsidRPr="008608AA" w:rsidRDefault="00C95490" w:rsidP="00EE708F">
      <w:pPr>
        <w:suppressAutoHyphens/>
        <w:rPr>
          <w:rFonts w:eastAsia="Droid Sans Fallback"/>
        </w:rPr>
      </w:pPr>
    </w:p>
    <w:p w14:paraId="0847735B" w14:textId="30D58BF0" w:rsidR="00B314FB" w:rsidRPr="008608AA" w:rsidRDefault="00490494" w:rsidP="00EE708F">
      <w:pPr>
        <w:suppressAutoHyphens/>
        <w:rPr>
          <w:rFonts w:eastAsia="Droid Sans Fallback"/>
        </w:rPr>
      </w:pPr>
      <w:r w:rsidRPr="008608AA">
        <w:rPr>
          <w:rFonts w:eastAsia="Droid Sans Fallback"/>
        </w:rPr>
        <w:t xml:space="preserve">These considerations imply that the IPBES scenarios </w:t>
      </w:r>
      <w:r w:rsidRPr="008608AA">
        <w:rPr>
          <w:rFonts w:eastAsia="Droid Sans Fallback"/>
        </w:rPr>
        <w:fldChar w:fldCharType="begin" w:fldLock="1"/>
      </w:r>
      <w:r w:rsidRPr="008608AA">
        <w:rPr>
          <w:rFonts w:eastAsia="Droid Sans Fallback"/>
        </w:rPr>
        <w:instrText>ADDIN CSL_CITATION { "citationItems" : [ { "id" : "ITEM-1", "itemData" : { "ISBN" : "9789280735697", "author" : [ { "dropping-particle" : "", "family" : "IPBES", "given" : "", "non-dropping-particle" : "", "parse-names" : false, "suffix" : "" } ], "id" : "ITEM-1", "issued" : { "date-parts" : [ [ "2016" ] ] }, "number-of-pages" : "348", "publisher-place" : "Bonn, Germany", "title" : "The methodological assessment report on scenarios and models of biodiversity and ecosystem services", "type" : "report" }, "uris" : [ "http://www.mendeley.com/documents/?uuid=89dca119-8eff-4b71-ae8e-246dffbe883a" ] } ], "mendeley" : { "formattedCitation" : "(IPBES, 2016)", "plainTextFormattedCitation" : "(IPBES, 2016)", "previouslyFormattedCitation" : "(IPBES,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(IPBES, 2016)</w:t>
      </w:r>
      <w:r w:rsidRPr="008608AA">
        <w:rPr>
          <w:rFonts w:eastAsia="Droid Sans Fallback"/>
        </w:rPr>
        <w:fldChar w:fldCharType="end"/>
      </w:r>
      <w:r w:rsidRPr="008608AA">
        <w:rPr>
          <w:rFonts w:eastAsia="Droid Sans Fallback"/>
        </w:rPr>
        <w:t>, should not only be built from the ground-up to the regional level, but also simultaneously from the top-down global level to the regional level. The scenarios for the Americas could therefore be conceived as being primarily focused on issues at the regional level (</w:t>
      </w:r>
      <w:r w:rsidR="00B20C8E" w:rsidRPr="008608AA">
        <w:rPr>
          <w:rFonts w:eastAsia="Droid Sans Fallback"/>
          <w:bCs/>
        </w:rPr>
        <w:t>section</w:t>
      </w:r>
      <w:r w:rsidRPr="008608AA">
        <w:rPr>
          <w:rFonts w:eastAsia="Droid Sans Fallback"/>
          <w:bCs/>
        </w:rPr>
        <w:t xml:space="preserve"> 5.3</w:t>
      </w:r>
      <w:r w:rsidRPr="008608AA">
        <w:rPr>
          <w:rFonts w:eastAsia="Droid Sans Fallback"/>
        </w:rPr>
        <w:t>) with multi-scale links down to the local level (</w:t>
      </w:r>
      <w:r w:rsidR="00B20C8E" w:rsidRPr="008608AA">
        <w:rPr>
          <w:rFonts w:eastAsia="Droid Sans Fallback"/>
          <w:bCs/>
        </w:rPr>
        <w:t>section</w:t>
      </w:r>
      <w:r w:rsidRPr="008608AA">
        <w:rPr>
          <w:rFonts w:eastAsia="Droid Sans Fallback"/>
          <w:bCs/>
        </w:rPr>
        <w:t xml:space="preserve"> 5.6.3</w:t>
      </w:r>
      <w:r w:rsidRPr="008608AA">
        <w:rPr>
          <w:rFonts w:eastAsia="Droid Sans Fallback"/>
        </w:rPr>
        <w:t xml:space="preserve">) and links up to the global level </w:t>
      </w:r>
      <w:r w:rsidRPr="008608AA">
        <w:rPr>
          <w:rFonts w:eastAsia="Droid Sans Fallback"/>
        </w:rPr>
        <w:fldChar w:fldCharType="begin" w:fldLock="1"/>
      </w:r>
      <w:r w:rsidRPr="008608AA">
        <w:rPr>
          <w:rFonts w:eastAsia="Droid Sans Fallback"/>
        </w:rPr>
        <w:instrText>ADDIN CSL_CITATION { "citationItems" : [ { "id" : "ITEM-1", "itemData" : { "DOI" : "10.1038/s41559-017-0273-9", "ISSN" : "2397334X", "abstract" : "Targets for human development are increasingly connected with targets for nature, however, existing scenarios do not explicitly address this relationship. Here, we outline a strategy to generate scenarios centred on our relationship with nature to inform decision-making at multiple scales.", "author" : [ { "dropping-particle" : "", "family" : "Rosa", "given" : "Isabel M.D.", "non-dropping-particle" : "", "parse-names" : false, "suffix" : "" }, { "dropping-particle" : "", "family" : "Pereira", "given" : "Henrique M.", "non-dropping-particle" : "", "parse-names" : false, "suffix" : "" }, { "dropping-particle" : "", "family" : "Ferrier", "given" : "Simon", "non-dropping-particle" : "", "parse-names" : false, "suffix" : "" }, { "dropping-particle" : "", "family" : "Alkemade", "given" : "Rob", "non-dropping-particle" : "", "parse-names" : false, "suffix" : "" }, { "dropping-particle" : "", "family" : "Acosta", "given" : "Lilibeth A.", "non-dropping-particle" : "", "parse-names" : false, "suffix" : "" }, { "dropping-particle" : "", "family" : "Akcakaya", "given" : "H. Resit", "non-dropping-particle" : "", "parse-names" : false, "suffix" : "" }, { "dropping-particle" : "", "family" : "Belder", "given" : "Eefje", "non-dropping-particle" : "Den", "parse-names" : false, "suffix" : "" }, { "dropping-particle" : "", "family" : "Fazel", "given" : "Asghar M.", "non-dropping-particle" : "", "parse-names" : false, "suffix" : "" }, { "dropping-particle" : "", "family" : "Fujimori", "given" : "Shinichiro", "non-dropping-particle" : "", "parse-names" : false, "suffix" : "" }, { "dropping-particle" : "", "family" : "Harfoot", "given" : "Mike", "non-dropping-particle" : "", "parse-names" : false, "suffix" : "" }, { "dropping-particle" : "", "family" : "Harhash", "given" : "Khaled A.", "non-dropping-particle" : "", "parse-names" : false, "suffix" : "" }, { "dropping-particle" : "", "family" : "Harrison", "given" : "Paula A.", "non-dropping-particle" : "", "parse-names" : false, "suffix" : "" }, { "dropping-particle" : "", "family" : "Hauck", "given" : "Jennifer", "non-dropping-particle" : "", "parse-names" : false, "suffix" : "" }, { "dropping-particle" : "", "family" : "Hendriks", "given" : "Rob J.J.", "non-dropping-particle" : "", "parse-names" : false, "suffix" : "" }, { "dropping-particle" : "", "family" : "Hern\u00e1ndez", "given" : "Gladys", "non-dropping-particle" : "", "parse-names" : false, "suffix" : "" }, { "dropping-particle" : "", "family" : "Jetz", "given" : "Walter", "non-dropping-particle" : "", "parse-names" : false, "suffix" : "" }, { "dropping-particle" : "", "family" : "Karlsson-Vinkhuyzen", "given" : "Sylvia I.", "non-dropping-particle" : "", "parse-names" : false, "suffix" : "" }, { "dropping-particle" : "", "family" : "Kim", "given" : "Hyejin", "non-dropping-particle" : "", "parse-names" : false, "suffix" : "" }, { "dropping-particle" : "", "family" : "King", "given" : "Nicholas", "non-dropping-particle" : "", "parse-names" : false, "suffix" : "" }, { "dropping-particle" : "", "family" : "Kok", "given" : "Marcel T.J.", "non-dropping-particle" : "", "parse-names" : false, "suffix" : "" }, { "dropping-particle" : "", "family" : "Kolomytsev", "given" : "Grygoriy O.", "non-dropping-particle" : "", "parse-names" : false, "suffix" : "" }, { "dropping-particle" : "", "family" : "Lazarova", "given" : "Tanya", "non-dropping-particle" : "", "parse-names" : false, "suffix" : "" }, { "dropping-particle" : "", "family" : "Leadley", "given" : "Paul", "non-dropping-particle" : "", "parse-names" : false, "suffix" : "" }, { "dropping-particle" : "", "family" : "Lundquist", "given" : "Carolyn J.", "non-dropping-particle" : "", "parse-names" : false, "suffix" : "" }, { "dropping-particle" : "", "family" : "Garc\u00eda M\u00e1rquez", "given" : "Jaime", "non-dropping-particle" : "", "parse-names" : false, "suffix" : "" }, { "dropping-particle" : "", "family" : "Meyer", "given" : "Carsten", "non-dropping-particle" : "", "parse-names" : false, "suffix" : "" }, { "dropping-particle" : "", "family" : "Navarro", "given" : "Laetitia M.", "non-dropping-particle" : "", "parse-names" : false, "suffix" : "" }, { "dropping-particle" : "", "family" : "Nessh\u00f6ver", "given" : "Carsten", "non-dropping-particle" : "", "parse-names" : false, "suffix" : "" }, { "dropping-particle" : "", "family" : "Ngo", "given" : "Hien T.", "non-dropping-particle" : "", "parse-names" : false, "suffix" : "" }, { "dropping-particle" : "", "family" : "Ninan", "given" : "Karachepone N.", "non-dropping-particle" : "", "parse-names" : false, "suffix" : "" }, { "dropping-particle" : "", "family" : "Palomo", "given" : "Maria G.", "non-dropping-particle" : "", "parse-names" : false, "suffix" : "" }, { "dropping-particle" : "", "family" : "Pereira", "given" : "Laura M.", "non-dropping-particle" : "", "parse-names" : false, "suffix" : "" }, { "dropping-particle" : "", "family" : "Peterson", "given" : "Garry D.", "non-dropping-particle" : "", "parse-names" : false, "suffix" : "" }, { "dropping-particle" : "", "family" : "Pichs", "given" : "Ramon", "non-dropping-particle" : "", "parse-names" : false, "suffix" : "" }, { "dropping-particle" : "", "family" : "Popp", "given" : "Alexander", "non-dropping-particle" : "", "parse-names" : false, "suffix" : "" }, { "dropping-particle" : "", "family" : "Purvis", "given" : "Andy", "non-dropping-particle" : "", "parse-names" : false, "suffix" : "" }, { "dropping-particle" : "", "family" : "Ravera", "given" : "Federica", "non-dropping-particle" : "", "parse-names" : false, "suffix" : "" }, { "dropping-particle" : "", "family" : "Rondinini", "given" : "Carlo", "non-dropping-particle" : "", "parse-names" : false, "suffix" : "" }, { "dropping-particle" : "", "family" : "Sathyapalan", "given" : "Jyothis", "non-dropping-particle" : "", "parse-names" : false, "suffix" : "" }, { "dropping-particle" : "", "family" : "Schipper", "given" : "Aafke M.", "non-dropping-particle" : "", "parse-names" : false, "suffix" : "" }, { "dropping-particle" : "", "family" : "Seppelt", "given" : "Ralf", "non-dropping-particle" : "", "parse-names" : false, "suffix" : "" }, { "dropping-particle" : "", "family" : "Settele", "given" : "Josef", "non-dropping-particle" : "", "parse-names" : false, "suffix" : "" }, { "dropping-particle" : "", "family" : "Sitas", "given" : "Nadia", "non-dropping-particle" : "", "parse-names" : false, "suffix" : "" }, { "dropping-particle" : "", "family" : "Vuuren", "given" : "Detlef", "non-dropping-particle" : "Van", "parse-names" : false, "suffix" : "" } ], "container-title" : "Nature Ecology and Evolution", "id" : "ITEM-1", "issue" : "10", "issued" : { "date-parts" : [ [ "2017" ] ] }, "page" : "1416-1419", "title" : "Multiscale scenarios for nature futures", "type" : "article-journal", "volume" : "1" }, "uris" : [ "http://www.mendeley.com/documents/?uuid=b902c6f4-b07f-4f13-bd5d-e9ba67b43698" ] } ], "mendeley" : { "formattedCitation" : "(Rosa et al., 2017)", "plainTextFormattedCitation" : "(Rosa et al., 2017)", "previouslyFormattedCitation" : "(Rosa et al., 2017)"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(Rosa et al., 2017)</w:t>
      </w:r>
      <w:r w:rsidRPr="008608AA">
        <w:rPr>
          <w:rFonts w:eastAsia="Droid Sans Fallback"/>
        </w:rPr>
        <w:fldChar w:fldCharType="end"/>
      </w:r>
      <w:r w:rsidRPr="008608AA">
        <w:rPr>
          <w:rFonts w:eastAsia="Droid Sans Fallback"/>
        </w:rPr>
        <w:t xml:space="preserve"> (</w:t>
      </w:r>
      <w:r w:rsidR="00B20C8E" w:rsidRPr="008608AA">
        <w:rPr>
          <w:rFonts w:eastAsia="Droid Sans Fallback"/>
          <w:bCs/>
        </w:rPr>
        <w:t>section</w:t>
      </w:r>
      <w:r w:rsidRPr="008608AA">
        <w:rPr>
          <w:rFonts w:eastAsia="Droid Sans Fallback"/>
          <w:bCs/>
        </w:rPr>
        <w:t>s 5.4 and 5.5</w:t>
      </w:r>
      <w:r w:rsidRPr="008608AA">
        <w:rPr>
          <w:rFonts w:eastAsia="Droid Sans Fallback"/>
        </w:rPr>
        <w:t>). Although many scenario exercises have been done over time, several authors have noted that the diversity of scenarios commonly falls within predictable archetypes as outline in section 5.2. With the constraints of limited time and resources</w:t>
      </w:r>
      <w:r w:rsidR="00B314FB" w:rsidRPr="008608AA">
        <w:rPr>
          <w:rFonts w:eastAsia="Droid Sans Fallback"/>
        </w:rPr>
        <w:t>,</w:t>
      </w:r>
      <w:r w:rsidRPr="008608AA">
        <w:rPr>
          <w:rFonts w:eastAsia="Droid Sans Fallback"/>
        </w:rPr>
        <w:t xml:space="preserve"> three suggestions of how regional scenarios can be linked to typical global archetypes, such as those used by IPCC (adapted from </w:t>
      </w:r>
      <w:r w:rsidRPr="008608AA">
        <w:rPr>
          <w:rFonts w:eastAsia="Droid Sans Fallback"/>
        </w:rPr>
        <w:fldChar w:fldCharType="begin" w:fldLock="1"/>
      </w:r>
      <w:r w:rsidRPr="008608AA">
        <w:rPr>
          <w:rFonts w:eastAsia="Droid Sans Fallback"/>
        </w:rPr>
        <w:instrText>ADDIN CSL_CITATION { "citationItems" : [ { "id" : "ITEM-1", "itemData" : { "DOI" : "10.1007/s11625-016-0354-8", "ISBN" : "18624065 (ISSN)", "ISSN" : "1862-4065", "author" : [ { "dropping-particle" : "", "family" : "Kok", "given" : "Marcel T. J.", "non-dropping-particle" : "", "parse-names" : false, "suffix" : "" }, { "dropping-particle" : "", "family" : "Kok", "given" : "Kasper", "non-dropping-particle" : "", "parse-names" : false, "suffix" : "" }, { "dropping-particle" : "", "family" : "Peterson", "given" : "Garry D.", "non-dropping-particle" : "", "parse-names" : false, "suffix" : "" }, { "dropping-particle" : "", "family" : "Hill", "given" : "Rosemary", "non-dropping-particle" : "", "parse-names" : false, "suffix" : "" }, { "dropping-particle" : "", "family" : "Agard", "given" : "John", "non-dropping-particle" : "", "parse-names" : false, "suffix" : "" }, { "dropping-particle" : "", "family" : "Carpenter", "given" : "Stephen R.", "non-dropping-particle" : "", "parse-names" : false, "suffix" : "" } ], "container-title" : "Sustainability Science", "id" : "ITEM-1", "issue" : "1", "issued" : { "date-parts" : [ [ "2017", "1", "9" ] ] }, "page" : "177-181", "publisher" : "Springer Japan", "title" : "Biodiversity and ecosystem services require IPBES to take novel approach to scenarios", "type" : "article-journal", "volume" : "12" }, "uris" : [ "http://www.mendeley.com/documents/?uuid=9220ccc6-8808-4d44-b3a7-5231dc63d62d" ] } ], "mendeley" : { "formattedCitation" : "(Kok et al., 2017)", "manualFormatting" : "Kok et al., 2016)", "plainTextFormattedCitation" : "(Kok et al., 2017)", "previouslyFormattedCitation" : "(Kok et al., 2017)"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Kok et al., 2016)</w:t>
      </w:r>
      <w:r w:rsidRPr="008608AA">
        <w:rPr>
          <w:rFonts w:eastAsia="Droid Sans Fallback"/>
        </w:rPr>
        <w:fldChar w:fldCharType="end"/>
      </w:r>
      <w:r w:rsidRPr="008608AA">
        <w:rPr>
          <w:rFonts w:eastAsia="Droid Sans Fallback"/>
        </w:rPr>
        <w:t xml:space="preserve"> are </w:t>
      </w:r>
      <w:r w:rsidR="00134E5B" w:rsidRPr="008608AA">
        <w:rPr>
          <w:rFonts w:eastAsia="Droid Sans Fallback"/>
        </w:rPr>
        <w:t>shown in Table 5.3</w:t>
      </w:r>
      <w:r w:rsidR="00B314FB" w:rsidRPr="008608AA">
        <w:rPr>
          <w:rFonts w:eastAsia="Droid Sans Fallback"/>
        </w:rPr>
        <w:t>.</w:t>
      </w:r>
    </w:p>
    <w:p w14:paraId="1D1FF2AC" w14:textId="3821281A" w:rsidR="00490494" w:rsidRPr="008608AA" w:rsidRDefault="00490494" w:rsidP="00490494">
      <w:pPr>
        <w:suppressAutoHyphens/>
        <w:rPr>
          <w:rFonts w:eastAsia="Droid Sans Fallback"/>
        </w:rPr>
      </w:pPr>
      <w:r w:rsidRPr="008608AA">
        <w:rPr>
          <w:rFonts w:eastAsia="Droid Sans Fallback"/>
        </w:rPr>
        <w:t xml:space="preserve"> </w:t>
      </w:r>
    </w:p>
    <w:p w14:paraId="6DAD708C" w14:textId="6AAB9195" w:rsidR="00490494" w:rsidRPr="008608AA" w:rsidRDefault="00EE708F" w:rsidP="00EE708F">
      <w:pPr>
        <w:pStyle w:val="Caption"/>
        <w:rPr>
          <w:bCs w:val="0"/>
        </w:rPr>
      </w:pPr>
      <w:bookmarkStart w:id="2162" w:name="_Toc499544900"/>
      <w:bookmarkStart w:id="2163" w:name="_Toc499817430"/>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5</w:t>
      </w:r>
      <w:r w:rsidR="000E562E">
        <w:rPr>
          <w:noProof/>
        </w:rPr>
        <w:fldChar w:fldCharType="end"/>
      </w:r>
      <w:r w:rsidR="00BD08BA"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3</w:t>
      </w:r>
      <w:r w:rsidR="000E562E">
        <w:rPr>
          <w:noProof/>
        </w:rPr>
        <w:fldChar w:fldCharType="end"/>
      </w:r>
      <w:r w:rsidR="00490494" w:rsidRPr="008608AA">
        <w:t xml:space="preserve">. </w:t>
      </w:r>
      <w:r w:rsidR="00490494" w:rsidRPr="008608AA">
        <w:rPr>
          <w:bCs w:val="0"/>
        </w:rPr>
        <w:t xml:space="preserve">Strengths and weaknesses of the 3 options to develop new scenarios for biodiversity and ecosystem services as proposed by Kok </w:t>
      </w:r>
      <w:r w:rsidR="00490494" w:rsidRPr="008608AA">
        <w:rPr>
          <w:bCs w:val="0"/>
          <w:i/>
        </w:rPr>
        <w:t>et al.</w:t>
      </w:r>
      <w:r w:rsidR="00490494" w:rsidRPr="008608AA">
        <w:rPr>
          <w:bCs w:val="0"/>
        </w:rPr>
        <w:t xml:space="preserve"> (2016).</w:t>
      </w:r>
      <w:bookmarkEnd w:id="2162"/>
      <w:bookmarkEnd w:id="21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57"/>
        <w:gridCol w:w="3165"/>
        <w:gridCol w:w="3165"/>
      </w:tblGrid>
      <w:tr w:rsidR="00490494" w:rsidRPr="00D16BCD" w14:paraId="2DF50E4F" w14:textId="77777777" w:rsidTr="00EE708F">
        <w:tc>
          <w:tcPr>
            <w:tcW w:w="1664" w:type="pct"/>
            <w:shd w:val="clear" w:color="auto" w:fill="BFBFBF" w:themeFill="background1" w:themeFillShade="BF"/>
          </w:tcPr>
          <w:p w14:paraId="31C39050" w14:textId="77777777" w:rsidR="00490494" w:rsidRPr="00D16BCD" w:rsidRDefault="00490494" w:rsidP="00C06F4D">
            <w:pPr>
              <w:suppressAutoHyphens/>
              <w:ind w:left="720"/>
              <w:rPr>
                <w:rFonts w:eastAsia="MS Mincho"/>
                <w:szCs w:val="22"/>
              </w:rPr>
            </w:pPr>
          </w:p>
        </w:tc>
        <w:tc>
          <w:tcPr>
            <w:tcW w:w="1668" w:type="pct"/>
            <w:shd w:val="clear" w:color="auto" w:fill="BFBFBF" w:themeFill="background1" w:themeFillShade="BF"/>
          </w:tcPr>
          <w:p w14:paraId="368424CE" w14:textId="77777777" w:rsidR="00490494" w:rsidRPr="00D16BCD" w:rsidRDefault="00490494" w:rsidP="00C06F4D">
            <w:pPr>
              <w:suppressAutoHyphens/>
              <w:ind w:left="720"/>
              <w:rPr>
                <w:rFonts w:eastAsia="MS Mincho"/>
                <w:b/>
                <w:bCs/>
                <w:szCs w:val="22"/>
              </w:rPr>
            </w:pPr>
            <w:r w:rsidRPr="00D16BCD">
              <w:rPr>
                <w:rFonts w:eastAsia="MS Mincho"/>
                <w:b/>
                <w:bCs/>
                <w:szCs w:val="22"/>
              </w:rPr>
              <w:t>Strengths</w:t>
            </w:r>
          </w:p>
        </w:tc>
        <w:tc>
          <w:tcPr>
            <w:tcW w:w="1668" w:type="pct"/>
            <w:shd w:val="clear" w:color="auto" w:fill="BFBFBF" w:themeFill="background1" w:themeFillShade="BF"/>
          </w:tcPr>
          <w:p w14:paraId="0684C137" w14:textId="77777777" w:rsidR="00490494" w:rsidRPr="00D16BCD" w:rsidRDefault="00490494" w:rsidP="00C06F4D">
            <w:pPr>
              <w:suppressAutoHyphens/>
              <w:ind w:left="720"/>
              <w:rPr>
                <w:rFonts w:eastAsia="MS Mincho"/>
                <w:b/>
                <w:bCs/>
                <w:szCs w:val="22"/>
              </w:rPr>
            </w:pPr>
            <w:r w:rsidRPr="00D16BCD">
              <w:rPr>
                <w:rFonts w:eastAsia="MS Mincho"/>
                <w:b/>
                <w:bCs/>
                <w:szCs w:val="22"/>
              </w:rPr>
              <w:t>Weakness</w:t>
            </w:r>
          </w:p>
        </w:tc>
      </w:tr>
      <w:tr w:rsidR="00490494" w:rsidRPr="00D16BCD" w14:paraId="1A4EC86A" w14:textId="77777777" w:rsidTr="00EE708F">
        <w:tc>
          <w:tcPr>
            <w:tcW w:w="1664" w:type="pct"/>
            <w:shd w:val="clear" w:color="auto" w:fill="BFBFBF" w:themeFill="background1" w:themeFillShade="BF"/>
            <w:vAlign w:val="center"/>
          </w:tcPr>
          <w:p w14:paraId="2D32B070" w14:textId="680D806E" w:rsidR="00490494" w:rsidRPr="00D16BCD" w:rsidRDefault="00490494" w:rsidP="00D06876">
            <w:pPr>
              <w:suppressAutoHyphens/>
              <w:ind w:left="180"/>
              <w:rPr>
                <w:rFonts w:eastAsia="MS Mincho"/>
                <w:b/>
                <w:bCs/>
                <w:szCs w:val="22"/>
              </w:rPr>
            </w:pPr>
            <w:r w:rsidRPr="00D16BCD">
              <w:rPr>
                <w:rFonts w:eastAsia="MS Mincho"/>
                <w:b/>
                <w:bCs/>
                <w:szCs w:val="22"/>
              </w:rPr>
              <w:t xml:space="preserve">Option 1 Use </w:t>
            </w:r>
            <w:r w:rsidR="00D06876" w:rsidRPr="00D16BCD">
              <w:rPr>
                <w:rFonts w:eastAsia="MS Mincho"/>
                <w:b/>
                <w:bCs/>
                <w:szCs w:val="22"/>
              </w:rPr>
              <w:t>e</w:t>
            </w:r>
            <w:r w:rsidRPr="00D16BCD">
              <w:rPr>
                <w:rFonts w:eastAsia="MS Mincho"/>
                <w:b/>
                <w:bCs/>
                <w:szCs w:val="22"/>
              </w:rPr>
              <w:t xml:space="preserve">xisting IPCC related </w:t>
            </w:r>
            <w:r w:rsidR="00D06876" w:rsidRPr="00D16BCD">
              <w:rPr>
                <w:rFonts w:eastAsia="MS Mincho"/>
                <w:b/>
                <w:bCs/>
                <w:szCs w:val="22"/>
              </w:rPr>
              <w:t>shared socioeconomic pathways</w:t>
            </w:r>
            <w:r w:rsidRPr="00D16BCD">
              <w:rPr>
                <w:rFonts w:eastAsia="MS Mincho"/>
                <w:b/>
                <w:bCs/>
                <w:szCs w:val="22"/>
              </w:rPr>
              <w:t xml:space="preserve">/ RCP </w:t>
            </w:r>
            <w:r w:rsidR="00D06876" w:rsidRPr="00D16BCD">
              <w:rPr>
                <w:rFonts w:eastAsia="MS Mincho"/>
                <w:b/>
                <w:bCs/>
                <w:szCs w:val="22"/>
              </w:rPr>
              <w:t>archetype scenarios</w:t>
            </w:r>
          </w:p>
        </w:tc>
        <w:tc>
          <w:tcPr>
            <w:tcW w:w="1668" w:type="pct"/>
          </w:tcPr>
          <w:p w14:paraId="0CA773F6" w14:textId="77777777" w:rsidR="00490494" w:rsidRPr="00D16BCD" w:rsidRDefault="00490494" w:rsidP="00B33BD5">
            <w:pPr>
              <w:numPr>
                <w:ilvl w:val="0"/>
                <w:numId w:val="11"/>
              </w:numPr>
              <w:suppressAutoHyphens/>
              <w:ind w:left="193" w:hanging="193"/>
              <w:rPr>
                <w:rFonts w:eastAsia="MS Mincho"/>
                <w:szCs w:val="22"/>
              </w:rPr>
            </w:pPr>
            <w:r w:rsidRPr="00D16BCD">
              <w:rPr>
                <w:rFonts w:eastAsia="MS Mincho"/>
                <w:szCs w:val="22"/>
              </w:rPr>
              <w:t xml:space="preserve">readily available global pathways </w:t>
            </w:r>
          </w:p>
          <w:p w14:paraId="0F184B7C" w14:textId="77777777" w:rsidR="00490494" w:rsidRPr="00D16BCD" w:rsidRDefault="00490494" w:rsidP="00B33BD5">
            <w:pPr>
              <w:numPr>
                <w:ilvl w:val="0"/>
                <w:numId w:val="11"/>
              </w:numPr>
              <w:suppressAutoHyphens/>
              <w:ind w:left="193" w:hanging="193"/>
              <w:rPr>
                <w:rFonts w:eastAsia="MS Mincho"/>
                <w:szCs w:val="22"/>
              </w:rPr>
            </w:pPr>
            <w:r w:rsidRPr="00D16BCD">
              <w:rPr>
                <w:rFonts w:eastAsia="MS Mincho"/>
                <w:szCs w:val="22"/>
              </w:rPr>
              <w:t>can be extended  to biodiversity and ecosystem services</w:t>
            </w:r>
          </w:p>
          <w:p w14:paraId="3214807B" w14:textId="77777777" w:rsidR="00490494" w:rsidRPr="00D16BCD" w:rsidRDefault="00490494" w:rsidP="00B33BD5">
            <w:pPr>
              <w:numPr>
                <w:ilvl w:val="0"/>
                <w:numId w:val="11"/>
              </w:numPr>
              <w:suppressAutoHyphens/>
              <w:ind w:left="193" w:hanging="193"/>
              <w:rPr>
                <w:rFonts w:eastAsia="MS Mincho"/>
                <w:szCs w:val="22"/>
              </w:rPr>
            </w:pPr>
            <w:r w:rsidRPr="00D16BCD">
              <w:rPr>
                <w:rFonts w:eastAsia="MS Mincho"/>
                <w:szCs w:val="22"/>
              </w:rPr>
              <w:t>accepted by scientists and policy makers</w:t>
            </w:r>
          </w:p>
        </w:tc>
        <w:tc>
          <w:tcPr>
            <w:tcW w:w="1668" w:type="pct"/>
          </w:tcPr>
          <w:p w14:paraId="5791BD82" w14:textId="77777777" w:rsidR="00490494" w:rsidRPr="00D16BCD" w:rsidRDefault="00490494" w:rsidP="00B33BD5">
            <w:pPr>
              <w:numPr>
                <w:ilvl w:val="0"/>
                <w:numId w:val="11"/>
              </w:numPr>
              <w:suppressAutoHyphens/>
              <w:ind w:left="235" w:hanging="235"/>
              <w:rPr>
                <w:rFonts w:eastAsia="MS Mincho"/>
                <w:szCs w:val="22"/>
              </w:rPr>
            </w:pPr>
            <w:r w:rsidRPr="00D16BCD">
              <w:rPr>
                <w:rFonts w:eastAsia="MS Mincho"/>
                <w:szCs w:val="22"/>
              </w:rPr>
              <w:t>minimal involvement of stakeholders</w:t>
            </w:r>
          </w:p>
          <w:p w14:paraId="0D20015E" w14:textId="77777777" w:rsidR="00490494" w:rsidRPr="00D16BCD" w:rsidRDefault="00490494" w:rsidP="00B33BD5">
            <w:pPr>
              <w:numPr>
                <w:ilvl w:val="0"/>
                <w:numId w:val="11"/>
              </w:numPr>
              <w:suppressAutoHyphens/>
              <w:ind w:left="235" w:hanging="235"/>
              <w:rPr>
                <w:rFonts w:eastAsia="MS Mincho"/>
                <w:szCs w:val="22"/>
              </w:rPr>
            </w:pPr>
            <w:r w:rsidRPr="00D16BCD">
              <w:rPr>
                <w:rFonts w:eastAsia="MS Mincho"/>
                <w:szCs w:val="22"/>
              </w:rPr>
              <w:t>lack of connection to ILK</w:t>
            </w:r>
          </w:p>
          <w:p w14:paraId="1FE11E29" w14:textId="77777777" w:rsidR="00490494" w:rsidRPr="00D16BCD" w:rsidRDefault="00490494" w:rsidP="00B33BD5">
            <w:pPr>
              <w:numPr>
                <w:ilvl w:val="0"/>
                <w:numId w:val="11"/>
              </w:numPr>
              <w:suppressAutoHyphens/>
              <w:ind w:left="235" w:hanging="235"/>
              <w:rPr>
                <w:rFonts w:eastAsia="MS Mincho"/>
                <w:szCs w:val="22"/>
              </w:rPr>
            </w:pPr>
            <w:r w:rsidRPr="00D16BCD">
              <w:rPr>
                <w:rFonts w:eastAsia="MS Mincho"/>
                <w:szCs w:val="22"/>
              </w:rPr>
              <w:t xml:space="preserve">only implicit connection to biodiversity and ecosystem services </w:t>
            </w:r>
          </w:p>
        </w:tc>
      </w:tr>
      <w:tr w:rsidR="00490494" w:rsidRPr="00D16BCD" w14:paraId="24582646" w14:textId="77777777" w:rsidTr="00EE708F">
        <w:tc>
          <w:tcPr>
            <w:tcW w:w="1664" w:type="pct"/>
            <w:shd w:val="clear" w:color="auto" w:fill="BFBFBF" w:themeFill="background1" w:themeFillShade="BF"/>
            <w:vAlign w:val="center"/>
          </w:tcPr>
          <w:p w14:paraId="5B6B42DA" w14:textId="7C6ACA09" w:rsidR="00490494" w:rsidRPr="00D16BCD" w:rsidRDefault="00490494" w:rsidP="00EE708F">
            <w:pPr>
              <w:suppressAutoHyphens/>
              <w:ind w:left="180"/>
              <w:rPr>
                <w:rFonts w:eastAsia="MS Mincho"/>
                <w:b/>
                <w:bCs/>
                <w:szCs w:val="22"/>
              </w:rPr>
            </w:pPr>
            <w:r w:rsidRPr="00D16BCD">
              <w:rPr>
                <w:rFonts w:eastAsia="MS Mincho"/>
                <w:b/>
                <w:bCs/>
                <w:szCs w:val="22"/>
              </w:rPr>
              <w:t xml:space="preserve">Option 2 Develop </w:t>
            </w:r>
            <w:r w:rsidR="00D06876" w:rsidRPr="00D16BCD">
              <w:rPr>
                <w:rFonts w:eastAsia="MS Mincho"/>
                <w:b/>
                <w:bCs/>
                <w:szCs w:val="22"/>
              </w:rPr>
              <w:t>new global biodiversity and ecosystem scenarios</w:t>
            </w:r>
          </w:p>
        </w:tc>
        <w:tc>
          <w:tcPr>
            <w:tcW w:w="1668" w:type="pct"/>
          </w:tcPr>
          <w:p w14:paraId="3CF095D0" w14:textId="77777777" w:rsidR="00490494" w:rsidRPr="00D16BCD" w:rsidRDefault="00490494" w:rsidP="00B33BD5">
            <w:pPr>
              <w:numPr>
                <w:ilvl w:val="0"/>
                <w:numId w:val="11"/>
              </w:numPr>
              <w:suppressAutoHyphens/>
              <w:ind w:left="193" w:hanging="193"/>
              <w:rPr>
                <w:rFonts w:eastAsia="MS Mincho"/>
                <w:szCs w:val="22"/>
              </w:rPr>
            </w:pPr>
            <w:r w:rsidRPr="00D16BCD">
              <w:rPr>
                <w:rFonts w:eastAsia="MS Mincho"/>
                <w:szCs w:val="22"/>
              </w:rPr>
              <w:t>IPBES product and opportunity to involve IPBES stakeholders</w:t>
            </w:r>
          </w:p>
          <w:p w14:paraId="74B026A0" w14:textId="77777777" w:rsidR="00490494" w:rsidRPr="00D16BCD" w:rsidRDefault="00490494" w:rsidP="00B33BD5">
            <w:pPr>
              <w:numPr>
                <w:ilvl w:val="0"/>
                <w:numId w:val="11"/>
              </w:numPr>
              <w:suppressAutoHyphens/>
              <w:ind w:left="193" w:hanging="193"/>
              <w:rPr>
                <w:rFonts w:eastAsia="MS Mincho"/>
                <w:szCs w:val="22"/>
              </w:rPr>
            </w:pPr>
            <w:r w:rsidRPr="00D16BCD">
              <w:rPr>
                <w:rFonts w:eastAsia="MS Mincho"/>
                <w:szCs w:val="22"/>
              </w:rPr>
              <w:t>Strongly linked to biodiversity and ecosystem services</w:t>
            </w:r>
          </w:p>
          <w:p w14:paraId="24C6AEB4" w14:textId="77777777" w:rsidR="00490494" w:rsidRPr="00D16BCD" w:rsidRDefault="00490494" w:rsidP="00B33BD5">
            <w:pPr>
              <w:numPr>
                <w:ilvl w:val="0"/>
                <w:numId w:val="11"/>
              </w:numPr>
              <w:suppressAutoHyphens/>
              <w:ind w:left="193" w:hanging="193"/>
              <w:rPr>
                <w:rFonts w:eastAsia="MS Mincho"/>
                <w:szCs w:val="22"/>
              </w:rPr>
            </w:pPr>
            <w:r w:rsidRPr="00D16BCD">
              <w:rPr>
                <w:rFonts w:eastAsia="MS Mincho"/>
                <w:szCs w:val="22"/>
              </w:rPr>
              <w:t>Build on results &amp; methods of Millennium Ecosystem Assessment</w:t>
            </w:r>
          </w:p>
          <w:p w14:paraId="7528FC7D" w14:textId="77777777" w:rsidR="00490494" w:rsidRPr="00D16BCD" w:rsidRDefault="00490494" w:rsidP="00C06F4D">
            <w:pPr>
              <w:suppressAutoHyphens/>
              <w:rPr>
                <w:rFonts w:eastAsia="MS Mincho"/>
                <w:szCs w:val="22"/>
              </w:rPr>
            </w:pPr>
          </w:p>
        </w:tc>
        <w:tc>
          <w:tcPr>
            <w:tcW w:w="1668" w:type="pct"/>
          </w:tcPr>
          <w:p w14:paraId="406B4417" w14:textId="77777777" w:rsidR="00490494" w:rsidRPr="00D16BCD" w:rsidRDefault="00490494" w:rsidP="00B33BD5">
            <w:pPr>
              <w:numPr>
                <w:ilvl w:val="0"/>
                <w:numId w:val="11"/>
              </w:numPr>
              <w:suppressAutoHyphens/>
              <w:ind w:left="235" w:hanging="235"/>
              <w:rPr>
                <w:rFonts w:eastAsia="MS Mincho"/>
                <w:szCs w:val="22"/>
              </w:rPr>
            </w:pPr>
            <w:r w:rsidRPr="00D16BCD">
              <w:rPr>
                <w:rFonts w:eastAsia="MS Mincho"/>
                <w:szCs w:val="22"/>
              </w:rPr>
              <w:t>Not available yet</w:t>
            </w:r>
          </w:p>
          <w:p w14:paraId="6E2009C8" w14:textId="77777777" w:rsidR="00490494" w:rsidRPr="00D16BCD" w:rsidRDefault="00490494" w:rsidP="00B33BD5">
            <w:pPr>
              <w:numPr>
                <w:ilvl w:val="0"/>
                <w:numId w:val="11"/>
              </w:numPr>
              <w:suppressAutoHyphens/>
              <w:ind w:left="235" w:hanging="235"/>
              <w:rPr>
                <w:rFonts w:eastAsia="MS Mincho"/>
                <w:szCs w:val="22"/>
              </w:rPr>
            </w:pPr>
            <w:r w:rsidRPr="00D16BCD">
              <w:rPr>
                <w:rFonts w:eastAsia="MS Mincho"/>
                <w:szCs w:val="22"/>
              </w:rPr>
              <w:t>Requires long process with high demand for time and funding</w:t>
            </w:r>
          </w:p>
          <w:p w14:paraId="5E243F48" w14:textId="77777777" w:rsidR="00490494" w:rsidRPr="00D16BCD" w:rsidRDefault="00490494" w:rsidP="00B33BD5">
            <w:pPr>
              <w:numPr>
                <w:ilvl w:val="0"/>
                <w:numId w:val="11"/>
              </w:numPr>
              <w:suppressAutoHyphens/>
              <w:ind w:left="235" w:hanging="235"/>
              <w:rPr>
                <w:rFonts w:eastAsia="MS Mincho"/>
                <w:szCs w:val="22"/>
              </w:rPr>
            </w:pPr>
            <w:r w:rsidRPr="00D16BCD">
              <w:rPr>
                <w:rFonts w:eastAsia="MS Mincho"/>
                <w:szCs w:val="22"/>
              </w:rPr>
              <w:t>Risk of reinventing the wheel</w:t>
            </w:r>
          </w:p>
          <w:p w14:paraId="2F9C904A" w14:textId="77777777" w:rsidR="00490494" w:rsidRPr="00D16BCD" w:rsidRDefault="00490494" w:rsidP="00B33BD5">
            <w:pPr>
              <w:numPr>
                <w:ilvl w:val="0"/>
                <w:numId w:val="11"/>
              </w:numPr>
              <w:suppressAutoHyphens/>
              <w:ind w:left="235" w:hanging="235"/>
              <w:rPr>
                <w:rFonts w:eastAsia="MS Mincho"/>
                <w:szCs w:val="22"/>
              </w:rPr>
            </w:pPr>
            <w:r w:rsidRPr="00D16BCD">
              <w:rPr>
                <w:rFonts w:eastAsia="MS Mincho"/>
                <w:szCs w:val="22"/>
              </w:rPr>
              <w:t>Difficulty of incorporating cross-scale feedbacks</w:t>
            </w:r>
          </w:p>
        </w:tc>
      </w:tr>
      <w:tr w:rsidR="00490494" w:rsidRPr="00D16BCD" w14:paraId="6A98D573" w14:textId="77777777" w:rsidTr="00EE708F">
        <w:tc>
          <w:tcPr>
            <w:tcW w:w="1664" w:type="pct"/>
            <w:shd w:val="clear" w:color="auto" w:fill="BFBFBF" w:themeFill="background1" w:themeFillShade="BF"/>
            <w:vAlign w:val="center"/>
          </w:tcPr>
          <w:p w14:paraId="64C11887" w14:textId="56B7C1BA" w:rsidR="00490494" w:rsidRPr="00D16BCD" w:rsidRDefault="00490494" w:rsidP="00EE708F">
            <w:pPr>
              <w:suppressAutoHyphens/>
              <w:ind w:left="180"/>
              <w:rPr>
                <w:rFonts w:eastAsia="MS Mincho"/>
                <w:b/>
                <w:bCs/>
                <w:szCs w:val="22"/>
              </w:rPr>
            </w:pPr>
            <w:r w:rsidRPr="00D16BCD">
              <w:rPr>
                <w:rFonts w:eastAsia="MS Mincho"/>
                <w:b/>
                <w:bCs/>
                <w:szCs w:val="22"/>
              </w:rPr>
              <w:t xml:space="preserve">Option 3 Link </w:t>
            </w:r>
            <w:r w:rsidR="00D06876" w:rsidRPr="00D16BCD">
              <w:rPr>
                <w:rFonts w:eastAsia="MS Mincho"/>
                <w:b/>
                <w:bCs/>
                <w:szCs w:val="22"/>
              </w:rPr>
              <w:t>bottom up local biodiversity scenarios to existing shared socioeconomic pathways</w:t>
            </w:r>
          </w:p>
        </w:tc>
        <w:tc>
          <w:tcPr>
            <w:tcW w:w="1668" w:type="pct"/>
          </w:tcPr>
          <w:p w14:paraId="5ED6EFB9" w14:textId="77777777" w:rsidR="00490494" w:rsidRPr="00D16BCD" w:rsidRDefault="00490494" w:rsidP="00B33BD5">
            <w:pPr>
              <w:numPr>
                <w:ilvl w:val="0"/>
                <w:numId w:val="11"/>
              </w:numPr>
              <w:suppressAutoHyphens/>
              <w:ind w:left="193" w:hanging="193"/>
              <w:rPr>
                <w:rFonts w:eastAsia="MS Mincho"/>
                <w:szCs w:val="22"/>
              </w:rPr>
            </w:pPr>
            <w:r w:rsidRPr="00D16BCD">
              <w:rPr>
                <w:rFonts w:eastAsia="MS Mincho"/>
                <w:szCs w:val="22"/>
              </w:rPr>
              <w:t>Link IPBES to existing scenarios</w:t>
            </w:r>
          </w:p>
          <w:p w14:paraId="76B76FA2" w14:textId="77777777" w:rsidR="00490494" w:rsidRPr="00D16BCD" w:rsidRDefault="00490494" w:rsidP="00B33BD5">
            <w:pPr>
              <w:numPr>
                <w:ilvl w:val="0"/>
                <w:numId w:val="11"/>
              </w:numPr>
              <w:suppressAutoHyphens/>
              <w:ind w:left="193" w:hanging="193"/>
              <w:rPr>
                <w:rFonts w:eastAsia="MS Mincho"/>
                <w:szCs w:val="22"/>
              </w:rPr>
            </w:pPr>
            <w:r w:rsidRPr="00D16BCD">
              <w:rPr>
                <w:rFonts w:eastAsia="MS Mincho"/>
                <w:szCs w:val="22"/>
              </w:rPr>
              <w:t>Explicitly multi-scale, accounting for local variability and local issues</w:t>
            </w:r>
          </w:p>
          <w:p w14:paraId="76429B79" w14:textId="77777777" w:rsidR="00490494" w:rsidRPr="00D16BCD" w:rsidRDefault="00490494" w:rsidP="00B33BD5">
            <w:pPr>
              <w:numPr>
                <w:ilvl w:val="0"/>
                <w:numId w:val="11"/>
              </w:numPr>
              <w:suppressAutoHyphens/>
              <w:ind w:left="193" w:hanging="193"/>
              <w:rPr>
                <w:rFonts w:eastAsia="MS Mincho"/>
                <w:szCs w:val="22"/>
              </w:rPr>
            </w:pPr>
            <w:r w:rsidRPr="00D16BCD">
              <w:rPr>
                <w:rFonts w:eastAsia="MS Mincho"/>
                <w:szCs w:val="22"/>
              </w:rPr>
              <w:t>Relatively easy to develop and connect to IPBES stakeholders</w:t>
            </w:r>
          </w:p>
        </w:tc>
        <w:tc>
          <w:tcPr>
            <w:tcW w:w="1668" w:type="pct"/>
          </w:tcPr>
          <w:p w14:paraId="74537A73" w14:textId="77777777" w:rsidR="00490494" w:rsidRPr="00D16BCD" w:rsidRDefault="00490494" w:rsidP="00B33BD5">
            <w:pPr>
              <w:numPr>
                <w:ilvl w:val="0"/>
                <w:numId w:val="11"/>
              </w:numPr>
              <w:suppressAutoHyphens/>
              <w:ind w:left="235" w:hanging="235"/>
              <w:rPr>
                <w:rFonts w:eastAsia="MS Mincho"/>
                <w:szCs w:val="22"/>
              </w:rPr>
            </w:pPr>
            <w:r w:rsidRPr="00D16BCD">
              <w:rPr>
                <w:rFonts w:eastAsia="MS Mincho"/>
                <w:szCs w:val="22"/>
              </w:rPr>
              <w:t>Potential lack of cross-scale consistency and comparability</w:t>
            </w:r>
          </w:p>
          <w:p w14:paraId="418D739B" w14:textId="77777777" w:rsidR="00490494" w:rsidRPr="00D16BCD" w:rsidRDefault="00490494" w:rsidP="00B33BD5">
            <w:pPr>
              <w:numPr>
                <w:ilvl w:val="0"/>
                <w:numId w:val="11"/>
              </w:numPr>
              <w:suppressAutoHyphens/>
              <w:ind w:left="235" w:hanging="235"/>
              <w:rPr>
                <w:rFonts w:eastAsia="MS Mincho"/>
                <w:szCs w:val="22"/>
              </w:rPr>
            </w:pPr>
            <w:r w:rsidRPr="00D16BCD">
              <w:rPr>
                <w:rFonts w:eastAsia="MS Mincho"/>
                <w:szCs w:val="22"/>
              </w:rPr>
              <w:t>Risk of focus on local, short-term issues that could be difficult to upscale</w:t>
            </w:r>
          </w:p>
        </w:tc>
      </w:tr>
    </w:tbl>
    <w:p w14:paraId="61C17B01" w14:textId="77777777" w:rsidR="00134E5B" w:rsidRPr="008608AA" w:rsidRDefault="00490494" w:rsidP="00EE708F">
      <w:pPr>
        <w:suppressAutoHyphens/>
        <w:spacing w:before="240"/>
        <w:rPr>
          <w:rFonts w:eastAsia="Droid Sans Fallback"/>
        </w:rPr>
      </w:pPr>
      <w:r w:rsidRPr="008608AA">
        <w:rPr>
          <w:rFonts w:eastAsia="Droid Sans Fallback"/>
        </w:rPr>
        <w:fldChar w:fldCharType="begin" w:fldLock="1"/>
      </w:r>
      <w:r w:rsidRPr="008608AA">
        <w:rPr>
          <w:rFonts w:eastAsia="Droid Sans Fallback"/>
        </w:rPr>
        <w:instrText>ADDIN CSL_CITATION { "citationItems" : [ { "id" : "ITEM-1", "itemData" : { "DOI" : "10.1007/s11625-016-0354-8", "ISBN" : "18624065 (ISSN)", "ISSN" : "1862-4065", "author" : [ { "dropping-particle" : "", "family" : "Kok", "given" : "Marcel T. J.", "non-dropping-particle" : "", "parse-names" : false, "suffix" : "" }, { "dropping-particle" : "", "family" : "Kok", "given" : "Kasper", "non-dropping-particle" : "", "parse-names" : false, "suffix" : "" }, { "dropping-particle" : "", "family" : "Peterson", "given" : "Garry D.", "non-dropping-particle" : "", "parse-names" : false, "suffix" : "" }, { "dropping-particle" : "", "family" : "Hill", "given" : "Rosemary", "non-dropping-particle" : "", "parse-names" : false, "suffix" : "" }, { "dropping-particle" : "", "family" : "Agard", "given" : "John", "non-dropping-particle" : "", "parse-names" : false, "suffix" : "" }, { "dropping-particle" : "", "family" : "Carpenter", "given" : "Stephen R.", "non-dropping-particle" : "", "parse-names" : false, "suffix" : "" } ], "container-title" : "Sustainability Science", "id" : "ITEM-1", "issue" : "1", "issued" : { "date-parts" : [ [ "2017", "1", "9" ] ] }, "page" : "177-181", "publisher" : "Springer Japan", "title" : "Biodiversity and ecosystem services require IPBES to take novel approach to scenarios", "type" : "article-journal", "volume" : "12" }, "uris" : [ "http://www.mendeley.com/documents/?uuid=9220ccc6-8808-4d44-b3a7-5231dc63d62d" ] } ], "mendeley" : { "formattedCitation" : "(Kok et al., 2017)", "manualFormatting" : "Kok et al. (2016)", "plainTextFormattedCitation" : "(Kok et al., 2017)", "previouslyFormattedCitation" : "(Kok et al., 2017)"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Kok et al. (2016)</w:t>
      </w:r>
      <w:r w:rsidRPr="008608AA">
        <w:rPr>
          <w:rFonts w:eastAsia="Droid Sans Fallback"/>
        </w:rPr>
        <w:fldChar w:fldCharType="end"/>
      </w:r>
      <w:r w:rsidRPr="008608AA">
        <w:rPr>
          <w:rFonts w:eastAsia="Droid Sans Fallback"/>
        </w:rPr>
        <w:t xml:space="preserve"> further recommend Option 3 for IPBES because it builds on existing global scenarios while accommodating the heterogeneous diversity of local and regional biodiversity and ecosystem services scenarios. This proposed multi-scale scenario approach should capture the diversity of local social-ecological processes and cross-scale global-to-local interactions that affect human well-being.</w:t>
      </w:r>
      <w:r w:rsidR="00134E5B" w:rsidRPr="008608AA">
        <w:rPr>
          <w:rFonts w:eastAsia="Droid Sans Fallback"/>
        </w:rPr>
        <w:t xml:space="preserve"> </w:t>
      </w:r>
    </w:p>
    <w:p w14:paraId="440963EF" w14:textId="5698C767" w:rsidR="00490494" w:rsidRPr="008608AA" w:rsidRDefault="00490494" w:rsidP="00EE708F">
      <w:pPr>
        <w:suppressAutoHyphens/>
        <w:spacing w:before="240"/>
        <w:rPr>
          <w:rFonts w:eastAsia="Droid Sans Fallback"/>
        </w:rPr>
      </w:pPr>
      <w:r w:rsidRPr="008608AA">
        <w:rPr>
          <w:rFonts w:eastAsia="Droid Sans Fallback"/>
        </w:rPr>
        <w:t xml:space="preserve">While there are clear advantages of building on existing scenario work, it should not preclude new or novel approaches as they arise. As pointed out in Box 5.2, all of the shared socioeconomic pathways assume global GDP to be at current or increasing levels. However, some researchers have questioned this basic assumption (see Box 5.2). </w:t>
      </w:r>
    </w:p>
    <w:p w14:paraId="58E7A4C2" w14:textId="77777777" w:rsidR="00EE708F" w:rsidRPr="008608AA" w:rsidRDefault="00EE708F" w:rsidP="00EE708F">
      <w:pPr>
        <w:suppressAutoHyphens/>
        <w:spacing w:before="240"/>
        <w:rPr>
          <w:rFonts w:eastAsia="Droid Sans Fallback"/>
        </w:rPr>
      </w:pPr>
    </w:p>
    <w:p w14:paraId="374B92AE" w14:textId="77777777" w:rsidR="00490494" w:rsidRPr="008608AA" w:rsidRDefault="00C06F4D" w:rsidP="00EE708F">
      <w:pPr>
        <w:pStyle w:val="Heading3"/>
        <w:rPr>
          <w:rFonts w:eastAsia="Droid Sans Fallback"/>
        </w:rPr>
      </w:pPr>
      <w:bookmarkStart w:id="2164" w:name="_Toc499256900"/>
      <w:bookmarkStart w:id="2165" w:name="_Toc502953647"/>
      <w:bookmarkStart w:id="2166" w:name="_Toc502954940"/>
      <w:bookmarkStart w:id="2167" w:name="_Toc502957747"/>
      <w:bookmarkStart w:id="2168" w:name="_Toc502957946"/>
      <w:bookmarkStart w:id="2169" w:name="_Toc502958100"/>
      <w:bookmarkStart w:id="2170" w:name="_Toc503293169"/>
      <w:bookmarkStart w:id="2171" w:name="_Toc503293767"/>
      <w:bookmarkStart w:id="2172" w:name="_Toc503294029"/>
      <w:bookmarkStart w:id="2173" w:name="_Toc503863422"/>
      <w:bookmarkStart w:id="2174" w:name="_Toc503863650"/>
      <w:bookmarkStart w:id="2175" w:name="_Toc517393418"/>
      <w:bookmarkStart w:id="2176" w:name="_Toc517719159"/>
      <w:bookmarkStart w:id="2177" w:name="_Toc517797116"/>
      <w:r w:rsidRPr="008608AA">
        <w:rPr>
          <w:rFonts w:eastAsia="Droid Sans Fallback"/>
        </w:rPr>
        <w:t>Inclusion of essential stakeholder g</w:t>
      </w:r>
      <w:r w:rsidR="00490494" w:rsidRPr="008608AA">
        <w:rPr>
          <w:rFonts w:eastAsia="Droid Sans Fallback"/>
        </w:rPr>
        <w:t>roups</w:t>
      </w:r>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p>
    <w:p w14:paraId="3EF6CBDF" w14:textId="77777777" w:rsidR="00134E5B" w:rsidRPr="008608AA" w:rsidRDefault="00490494" w:rsidP="00EE708F">
      <w:pPr>
        <w:suppressAutoHyphens/>
        <w:rPr>
          <w:rFonts w:eastAsia="Droid Sans Fallback"/>
        </w:rPr>
      </w:pPr>
      <w:r w:rsidRPr="008608AA">
        <w:rPr>
          <w:rFonts w:eastAsia="Droid Sans Fallback"/>
        </w:rPr>
        <w:t>Scenarios are excellent thought-provoking exercises and can help to frame pathways to a sustainable world. However, to develop plausible scenarios, and ultimately to effectuate them, like those that will be required to achieve the Great Transition endpoint, will require solutions to multiple wicked problems through the concerted efforts of at least four categories of stakeholders operating at the global/regional and local levels: 1) policy makers; 2) local populations; 3) civil society; and 4) business community. The development of plausible scenarios that can successfully drive effective policy needs to take into consideration a great many factors. As outlined in the previous section, scenario development should proceed from a regional setting with region-to-global and regional-to-local integration, which includes participation by all four categories of stakeholders. Implementation of the policies that will be necessary to fulfill a vision of a future, in which the NCP stemming from the globe’s natural capital are enjoyed by all, requires the buy-in by all four categories of stakeholder; all groups are necessary to assure the plausibility of any given scenario.</w:t>
      </w:r>
    </w:p>
    <w:p w14:paraId="6946E24B" w14:textId="1CF7F40B" w:rsidR="00490494" w:rsidRPr="008608AA" w:rsidRDefault="00490494" w:rsidP="00EE708F">
      <w:pPr>
        <w:suppressAutoHyphens/>
        <w:rPr>
          <w:rFonts w:eastAsia="Droid Sans Fallback"/>
        </w:rPr>
      </w:pPr>
      <w:r w:rsidRPr="008608AA">
        <w:rPr>
          <w:rFonts w:eastAsia="Droid Sans Fallback"/>
        </w:rPr>
        <w:t xml:space="preserve"> </w:t>
      </w:r>
    </w:p>
    <w:p w14:paraId="20001F69" w14:textId="5A77EA32" w:rsidR="00134E5B" w:rsidRPr="008608AA" w:rsidRDefault="00490494" w:rsidP="00EE708F">
      <w:pPr>
        <w:rPr>
          <w:rFonts w:eastAsia="Droid Sans Fallback"/>
        </w:rPr>
      </w:pPr>
      <w:r w:rsidRPr="008608AA">
        <w:rPr>
          <w:rFonts w:eastAsia="Droid Sans Fallback"/>
        </w:rPr>
        <w:t xml:space="preserve">Civil society may fulfill various roles in scenario development, including provision of technical expertise through scientific and academic institutions; “grass roots” organizations (formal or informal collective groups centered on an issue), conservation organizations (e.g. The Nature Conservancy, The International Union for Conservation of Nature), the IPBES effort being an example itself. So, too, civil society may play an important role representing segments of the population; i.e. providing input, or even advocacy, for particular viewpoints and may be critical in assuring consideration </w:t>
      </w:r>
      <w:r w:rsidR="00134E5B" w:rsidRPr="008608AA">
        <w:rPr>
          <w:rFonts w:eastAsia="Droid Sans Fallback"/>
        </w:rPr>
        <w:t>of particular SDG such as: 3 – Healthcare; 4 – Education; and 5 – G</w:t>
      </w:r>
      <w:r w:rsidRPr="008608AA">
        <w:rPr>
          <w:rFonts w:eastAsia="Droid Sans Fallback"/>
        </w:rPr>
        <w:t>ender equity.</w:t>
      </w:r>
    </w:p>
    <w:p w14:paraId="5F644337" w14:textId="3FC1BFBC" w:rsidR="00490494" w:rsidRPr="008608AA" w:rsidRDefault="00490494" w:rsidP="00EE708F">
      <w:pPr>
        <w:rPr>
          <w:lang w:eastAsia="es-ES"/>
        </w:rPr>
      </w:pPr>
      <w:r w:rsidRPr="008608AA">
        <w:rPr>
          <w:rFonts w:eastAsia="Droid Sans Fallback"/>
        </w:rPr>
        <w:t xml:space="preserve"> </w:t>
      </w:r>
    </w:p>
    <w:p w14:paraId="24738B5F" w14:textId="4AC43AA7" w:rsidR="00490494" w:rsidRPr="008608AA" w:rsidRDefault="00490494" w:rsidP="00EE708F">
      <w:pPr>
        <w:suppressAutoHyphens/>
        <w:rPr>
          <w:rFonts w:eastAsia="Droid Sans Fallback"/>
        </w:rPr>
      </w:pPr>
      <w:r w:rsidRPr="008608AA">
        <w:rPr>
          <w:rFonts w:eastAsia="Droid Sans Fallback"/>
        </w:rPr>
        <w:t>Regarding SDG, it should</w:t>
      </w:r>
      <w:r w:rsidR="00134E5B" w:rsidRPr="008608AA">
        <w:rPr>
          <w:rFonts w:eastAsia="Droid Sans Fallback"/>
        </w:rPr>
        <w:t xml:space="preserve"> be recognized that SDG 4 – J</w:t>
      </w:r>
      <w:r w:rsidRPr="008608AA">
        <w:rPr>
          <w:rFonts w:eastAsia="Droid Sans Fallback"/>
        </w:rPr>
        <w:t>ob</w:t>
      </w:r>
      <w:r w:rsidR="00134E5B" w:rsidRPr="008608AA">
        <w:rPr>
          <w:rFonts w:eastAsia="Droid Sans Fallback"/>
        </w:rPr>
        <w:t>s and economic growth, and 5 – I</w:t>
      </w:r>
      <w:r w:rsidRPr="008608AA">
        <w:rPr>
          <w:rFonts w:eastAsia="Droid Sans Fallback"/>
        </w:rPr>
        <w:t>ndustrialization, are directly linked and dependent on the business c</w:t>
      </w:r>
      <w:r w:rsidR="00134E5B" w:rsidRPr="008608AA">
        <w:rPr>
          <w:rFonts w:eastAsia="Droid Sans Fallback"/>
        </w:rPr>
        <w:t>ommunity. In addition, SDG 2 – Agriculture, 7 – Energy, 12 – Production patterns, 13 – Climate change, 14 – S</w:t>
      </w:r>
      <w:r w:rsidRPr="008608AA">
        <w:rPr>
          <w:rFonts w:eastAsia="Droid Sans Fallback"/>
        </w:rPr>
        <w:t xml:space="preserve">ustainable use of oceans </w:t>
      </w:r>
      <w:r w:rsidR="00134E5B" w:rsidRPr="008608AA">
        <w:rPr>
          <w:rFonts w:eastAsia="Droid Sans Fallback"/>
        </w:rPr>
        <w:t>and marine resources, and 15 - F</w:t>
      </w:r>
      <w:r w:rsidRPr="008608AA">
        <w:rPr>
          <w:rFonts w:eastAsia="Droid Sans Fallback"/>
        </w:rPr>
        <w:t xml:space="preserve">orest management, all involve the business community. We speak of “natural capital” for a good reason. Aside from a pure subsistence level, realization of NCP requires higher levels of activity such as municipal and regional governments, the local business community, and multi-national corporations. The business community, at all levels, has a very decided stake in perpetuation of our natural capital and it can play a significant role in its preservation. The primary goal of most corporations is to benefit its stockholders; scenarios that do not account for this are not plausible. Thus, bottom-up scenario building needs to include not only the lowest levels of organization (i.e. the individual), but also the higher levels, such as multinational corporations. There is a significant number of forward-looking corporations that take their environmental and social responsibilities seriously and dedicate resources to those efforts. Like-minded business leaders have banded together to form such organizations as the World Business Council on Sustainability, which is composed of high-level executives dedicated to environmentally sustainable business practices. Groups such as this hold great potential in furthering the efforts of the IPBES. So too, scenario building should incorporate developing business practices such as social and environmental accounting and reporting. Other emerging trends, such as formation of “B Corporations” which have a specific recognition of social responsibility and that maximization of returns to shareholders is not necessarily their primary goal; this deviates from a principle that has been operating for over a hundred years and could produce revolutionary results in transforming the business world. Thus, in scenario building, the business world should be viewed as a resource and a necessary partner. Incorporating the views of the business community, along with other sectors of society such as local and indigenous people, will allow considering the multiple and sometimes conflicting values that often determine the effectiveness, equity and legitimacy of management and policy actions. </w:t>
      </w:r>
    </w:p>
    <w:p w14:paraId="49A8820A" w14:textId="77777777" w:rsidR="00EE708F" w:rsidRPr="008608AA" w:rsidRDefault="00EE708F" w:rsidP="00EE708F">
      <w:pPr>
        <w:suppressAutoHyphens/>
        <w:rPr>
          <w:rFonts w:eastAsia="Droid Sans Fallback"/>
        </w:rPr>
      </w:pPr>
    </w:p>
    <w:p w14:paraId="7FB66EAF" w14:textId="6BA2C341" w:rsidR="00490494" w:rsidRDefault="00490494" w:rsidP="00EE708F">
      <w:pPr>
        <w:pStyle w:val="Heading3"/>
        <w:rPr>
          <w:rFonts w:eastAsia="Droid Sans Fallback"/>
        </w:rPr>
      </w:pPr>
      <w:bookmarkStart w:id="2178" w:name="_Toc499256901"/>
      <w:bookmarkStart w:id="2179" w:name="_Toc502953648"/>
      <w:bookmarkStart w:id="2180" w:name="_Toc502954941"/>
      <w:bookmarkStart w:id="2181" w:name="_Toc502957748"/>
      <w:bookmarkStart w:id="2182" w:name="_Toc502957947"/>
      <w:bookmarkStart w:id="2183" w:name="_Toc502958101"/>
      <w:bookmarkStart w:id="2184" w:name="_Toc503293170"/>
      <w:bookmarkStart w:id="2185" w:name="_Toc503293768"/>
      <w:bookmarkStart w:id="2186" w:name="_Toc503294030"/>
      <w:bookmarkStart w:id="2187" w:name="_Toc503863423"/>
      <w:bookmarkStart w:id="2188" w:name="_Toc503863651"/>
      <w:bookmarkStart w:id="2189" w:name="_Toc517393419"/>
      <w:bookmarkStart w:id="2190" w:name="_Toc517719160"/>
      <w:bookmarkStart w:id="2191" w:name="_Toc517797117"/>
      <w:r w:rsidRPr="008608AA">
        <w:rPr>
          <w:rFonts w:eastAsia="Droid Sans Fallback"/>
        </w:rPr>
        <w:t>Telecoupling - Recognizing interactions between distant socio-ecological systems profoundly affect nature and nature’s contribution to people</w:t>
      </w:r>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p>
    <w:p w14:paraId="5E298647" w14:textId="77777777" w:rsidR="00D16BCD" w:rsidRPr="00D16BCD" w:rsidRDefault="00D16BCD" w:rsidP="00D16BCD">
      <w:pPr>
        <w:rPr>
          <w:rFonts w:eastAsia="Droid Sans Fallback"/>
          <w:lang w:val="en-GB" w:eastAsia="es-CO"/>
        </w:rPr>
      </w:pPr>
    </w:p>
    <w:p w14:paraId="353C841C" w14:textId="77777777" w:rsidR="00134E5B" w:rsidRPr="008608AA" w:rsidRDefault="00490494" w:rsidP="00EE708F">
      <w:pPr>
        <w:suppressAutoHyphens/>
        <w:rPr>
          <w:rFonts w:eastAsia="Droid Sans Fallback"/>
        </w:rPr>
      </w:pPr>
      <w:r w:rsidRPr="008608AA">
        <w:rPr>
          <w:rFonts w:eastAsia="Droid Sans Fallback"/>
        </w:rPr>
        <w:t xml:space="preserve">In today’s highly interconnected world, sustainability issues should be analyzed with attention to the impacts that consumption and production patterns in one part of the world can have on nature, NCP and quality of life elsewhere. To do this, several concepts and frameworks have been developed with the aim of better understanding and integrating the various distant interactions that often strongly influence the flow of NCP within and between social-ecological systems, e.g. trade and invasive species. Among these, the concept of telecoupling is useful to analyze cross-scale socio-economic and environmental interactions that influence local to regional sustainability trends and outcomes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"Liu", "given" : "Jianguo", "non-dropping-particle" : "", "parse-names" : false, "suffix" : "" }, { "dropping-particle" : "", "family" : "Hull", "given" : "Vanessa", "non-dropping-particle" : "", "parse-names" : false, "suffix" : "" }, { "dropping-particle" : "", "family" : "Batistella", "given" : "Mateus", "non-dropping-particle" : "", "parse-names" : false, "suffix" : "" }, { "dropping-particle" : "", "family" : "Defries", "given" : "Ruth", "non-dropping-particle" : "", "parse-names" : false, "suffix" : "" }, { "dropping-particle" : "", "family" : "Dietz", "given" : "Thomas", "non-dropping-particle" : "", "parse-names" : false, "suffix" : "" }, { "dropping-particle" : "", "family" : "Fu", "given" : "Feng", "non-dropping-particle" : "", "parse-names" : false, "suffix" : "" }, { "dropping-particle" : "", "family" : "Hertel", "given" : "Thomas W", "non-dropping-particle" : "", "parse-names" : false, "suffix" : "" }, { "dropping-particle" : "", "family" : "Izaurralde", "given" : "R Cesar", "non-dropping-particle" : "", "parse-names" : false, "suffix" : "" }, { "dropping-particle" : "", "family" : "Lambin", "given" : "Eric F", "non-dropping-particle" : "", "parse-names" : false, "suffix" : "" }, { "dropping-particle" : "", "family" : "Li", "given" : "Shuxin", "non-dropping-particle" : "", "parse-names" : false, "suffix" : "" }, { "dropping-particle" : "", "family" : "Martinelli", "given" : "Luiz A", "non-dropping-particle" : "", "parse-names" : false, "suffix" : "" }, { "dropping-particle" : "", "family" : "Mcconnell", "given" : "William J", "non-dropping-particle" : "", "parse-names" : false, "suffix" : "" }, { "dropping-particle" : "", "family" : "Moran", "given" : "Emilio F", "non-dropping-particle" : "", "parse-names" : false, "suffix" : "" }, { "dropping-particle" : "", "family" : "Naylor", "given" : "Rosamond", "non-dropping-particle" : "", "parse-names" : false, "suffix" : "" }, { "dropping-particle" : "", "family" : "Ouyang", "given" : "Zhiyun", "non-dropping-particle" : "", "parse-names" : false, "suffix" : "" }, { "dropping-particle" : "", "family" : "Polenske", "given" : "Karen R", "non-dropping-particle" : "", "parse-names" : false, "suffix" : "" }, { "dropping-particle" : "", "family" : "Reenberg", "given" : "Anette", "non-dropping-particle" : "", "parse-names" : false, "suffix" : "" }, { "dropping-particle" : "", "family" : "Rocha", "given" : "Gilberto De Miranda", "non-dropping-particle" : "", "parse-names" : false, "suffix" : "" }, { "dropping-particle" : "", "family" : "Simmons", "given" : "Cynthia S", "non-dropping-particle" : "", "parse-names" : false, "suffix" : "" }, { "dropping-particle" : "", "family" : "Verburg", "given" : "Peter H", "non-dropping-particle" : "", "parse-names" : false, "suffix" : "" }, { "dropping-particle" : "", "family" : "Vitousek", "given" : "Peter M", "non-dropping-particle" : "", "parse-names" : false, "suffix" : "" }, { "dropping-particle" : "", "family" : "Zhang", "given" : "Fusuo", "non-dropping-particle" : "", "parse-names" : false, "suffix" : "" }, { "dropping-particle" : "", "family" : "Zhu", "given" : "Chunquan", "non-dropping-particle" : "", "parse-names" : false, "suffix" : "" } ], "id" : "ITEM-1", "issue" : "2", "issued" : { "date-parts" : [ [ "2013" ] ] }, "title" : "Framing Sustainability in a Telecoupled World", "type" : "article-journal", "volume" : "18" }, "uris" : [ "http://www.mendeley.com/documents/?uuid=77fa3482-1f5b-44dd-8b35-227da4dc12ba" ] } ], "mendeley" : { "formattedCitation" : "(Liu, Hull, Batistella, Defries, et al., 2013)", "plainTextFormattedCitation" : "(Liu, Hull, Batistella, Defries, et al., 2013)", "previouslyFormattedCitation" : "(Liu, Hull, Batistella, Defries, et al., 2013)"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(Liu</w:t>
      </w:r>
      <w:r w:rsidRPr="008608AA">
        <w:rPr>
          <w:rFonts w:eastAsia="Droid Sans Fallback"/>
          <w:noProof/>
        </w:rPr>
        <w:t xml:space="preserve"> et al., 2013)</w:t>
      </w:r>
      <w:r w:rsidRPr="008608AA">
        <w:rPr>
          <w:rFonts w:eastAsia="Droid Sans Fallback"/>
        </w:rPr>
        <w:fldChar w:fldCharType="end"/>
      </w:r>
      <w:r w:rsidRPr="008608AA">
        <w:rPr>
          <w:rFonts w:eastAsia="Droid Sans Fallback"/>
        </w:rPr>
        <w:t>.</w:t>
      </w:r>
    </w:p>
    <w:p w14:paraId="14C1321A" w14:textId="6DA4F78B" w:rsidR="00490494" w:rsidRPr="008608AA" w:rsidRDefault="00490494" w:rsidP="00EE708F">
      <w:pPr>
        <w:suppressAutoHyphens/>
        <w:rPr>
          <w:rFonts w:eastAsia="Droid Sans Fallback"/>
        </w:rPr>
      </w:pPr>
      <w:r w:rsidRPr="008608AA">
        <w:rPr>
          <w:rFonts w:eastAsia="Droid Sans Fallback"/>
        </w:rPr>
        <w:t xml:space="preserve"> </w:t>
      </w:r>
    </w:p>
    <w:p w14:paraId="52ABD31B" w14:textId="52835BA5" w:rsidR="00490494" w:rsidRPr="008608AA" w:rsidRDefault="00490494" w:rsidP="00EE708F">
      <w:pPr>
        <w:suppressAutoHyphens/>
        <w:rPr>
          <w:rFonts w:eastAsia="Droid Sans Fallback"/>
        </w:rPr>
      </w:pPr>
      <w:r w:rsidRPr="008608AA">
        <w:rPr>
          <w:rFonts w:eastAsia="Droid Sans Fallback"/>
        </w:rPr>
        <w:t xml:space="preserve">Telecoupling refers to socio-economic and environmental interactions among social-ecological systems over distances and scales. The telecoupling framework takes a multilevel analytic approach. At the level of the telecoupled system, an interrelated set of social-ecological systems (sending, receiving and spillover systems) connect through flows among them. At the coupled-system level, each system consists of three interrelated components: agents, causes and effects. At the component level, each component includes many elements or dimensions, e.g. individuals, households, organizations, etc. The sustainable and equitable flow of nature contributions to people is strongly influenced by telecouplings in several socio-ecological systems of the Americas. Therefore, neglecting telecouplings and the resulting off-stage ecosystem burdens in model and scenario building, and in environmental decision-making, will jeopardize achieving SDG </w:t>
      </w:r>
      <w:r w:rsidRPr="008608AA">
        <w:rPr>
          <w:rFonts w:eastAsia="Droid Sans Fallback"/>
        </w:rPr>
        <w:fldChar w:fldCharType="begin" w:fldLock="1"/>
      </w:r>
      <w:r w:rsidRPr="008608AA">
        <w:rPr>
          <w:rFonts w:eastAsia="Droid Sans Fallback"/>
        </w:rPr>
        <w:instrText>ADDIN CSL_CITATION { "citationItems" : [ { "id" : "ITEM-1", "itemData" : { "DOI" : "10.1088/1748-9326/aa7392", "ISSN" : "1748-9326", "author" : [ { "dropping-particle" : "", "family" : "Pascual", "given" : "Unai", "non-dropping-particle" : "", "parse-names" : false, "suffix" : "" }, { "dropping-particle" : "", "family" : "Palomo", "given" : "Ignacio", "non-dropping-particle" : "", "parse-names" : false, "suffix" : "" }, { "dropping-particle" : "", "family" : "Adams", "given" : "William M", "non-dropping-particle" : "", "parse-names" : false, "suffix" : "" }, { "dropping-particle" : "", "family" : "Chan", "given" : "Kai M A", "non-dropping-particle" : "", "parse-names" : false, "suffix" : "" }, { "dropping-particle" : "", "family" : "Daw", "given" : "Tim M", "non-dropping-particle" : "", "parse-names" : false, "suffix" : "" }, { "dropping-particle" : "", "family" : "Garmendia", "given" : "Eneko", "non-dropping-particle" : "", "parse-names" : false, "suffix" : "" }, { "dropping-particle" : "", "family" : "G\u00f3mez-Baggethun", "given" : "Erik", "non-dropping-particle" : "", "parse-names" : false, "suffix" : "" }, { "dropping-particle" : "", "family" : "Groot", "given" : "Rudolf S", "non-dropping-particle" : "de", "parse-names" : false, "suffix" : "" }, { "dropping-particle" : "", "family" : "Mace", "given" : "Georgina M", "non-dropping-particle" : "", "parse-names" : false, "suffix" : "" }, { "dropping-particle" : "", "family" : "Mart\u00edn-L\u00f3pez", "given" : "Berta", "non-dropping-particle" : "", "parse-names" : false, "suffix" : "" }, { "dropping-particle" : "", "family" : "Phelps", "given" : "Jacob", "non-dropping-particle" : "", "parse-names" : false, "suffix" : "" } ], "container-title" : "Environmental Research Letters", "id" : "ITEM-1", "issue" : "7", "issued" : { "date-parts" : [ [ "2017", "7", "1" ] ] }, "page" : "075001", "title" : "Off-stage ecosystem service burdens: A blind spot for global sustainability", "type" : "article-journal", "volume" : "12" }, "uris" : [ "http://www.mendeley.com/documents/?uuid=a955198f-391f-3ad5-b9e3-cbc2914ef766" ] } ], "mendeley" : { "formattedCitation" : "(U. Pascual, Palomo, et al., 2017)", "plainTextFormattedCitation" : "(U. Pascual, Palomo, et al., 2017)", "previouslyFormattedCitation" : "(U. Pascual, Palomo, et al., 2017)"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(Pascual</w:t>
      </w:r>
      <w:r w:rsidRPr="008608AA">
        <w:rPr>
          <w:rFonts w:eastAsia="Droid Sans Fallback"/>
          <w:noProof/>
        </w:rPr>
        <w:t xml:space="preserve"> et al., 2017)</w:t>
      </w:r>
      <w:r w:rsidRPr="008608AA">
        <w:rPr>
          <w:rFonts w:eastAsia="Droid Sans Fallback"/>
        </w:rPr>
        <w:fldChar w:fldCharType="end"/>
      </w:r>
      <w:r w:rsidRPr="008608AA">
        <w:rPr>
          <w:rFonts w:eastAsia="Droid Sans Fallback"/>
        </w:rPr>
        <w:t>.</w:t>
      </w:r>
    </w:p>
    <w:p w14:paraId="041FD10A" w14:textId="77777777" w:rsidR="00134E5B" w:rsidRPr="008608AA" w:rsidRDefault="00134E5B" w:rsidP="00EE708F">
      <w:pPr>
        <w:suppressAutoHyphens/>
        <w:rPr>
          <w:rFonts w:eastAsia="Droid Sans Fallback"/>
        </w:rPr>
      </w:pPr>
    </w:p>
    <w:p w14:paraId="24CE8D79" w14:textId="64AAAA03" w:rsidR="00490494" w:rsidRPr="008608AA" w:rsidRDefault="00490494" w:rsidP="00EE708F">
      <w:pPr>
        <w:suppressAutoHyphens/>
        <w:rPr>
          <w:rFonts w:eastAsia="Droid Sans Fallback"/>
        </w:rPr>
      </w:pPr>
      <w:r w:rsidRPr="008608AA">
        <w:rPr>
          <w:rFonts w:eastAsia="Droid Sans Fallback"/>
        </w:rPr>
        <w:t xml:space="preserve">Nature in many rural landscapes of Latin America has been heavily transformed in order to produce raw materials that are exported to supply the increasing demand in emerging and developed countries. Conversely, rates of environmental degradation have been reduced in some developed countries as they displace land-use abroad by importing raw materials from developing countries </w:t>
      </w:r>
      <w:r w:rsidRPr="008608AA">
        <w:rPr>
          <w:rFonts w:eastAsia="Droid Sans Fallback"/>
        </w:rPr>
        <w:fldChar w:fldCharType="begin" w:fldLock="1"/>
      </w:r>
      <w:r w:rsidRPr="008608AA">
        <w:rPr>
          <w:rFonts w:eastAsia="Droid Sans Fallback"/>
        </w:rPr>
        <w:instrText>ADDIN CSL_CITATION { "citationItems" : [ { "id" : "ITEM-1", "itemData" : { "DOI" : "10.1016/j.cosust.2013.04.003", "ISBN" : "1877-3435", "ISSN" : "18773435", "abstract" : "Several streams of research have recently converged to identify the growing importance of distant drivers of land change, interconnections between social-ecological systems that are separated geographically, and the indirect consequences of land use changes. Local to national-scale interventions to promote sustainable land use may have unintended effects owing to a displacement of land use within and across countries. Such leakage or 'indirect land use change' critically depends on international geographies of trade. Computing various material flows and environmental indicators embodied in international trade highlights the differences between producer and consumer-based biophysical accounting. Causal attribution of the links between material and monetary flows across countries, and actual land changes and environmental impacts at local level requires a combination of economic simulation models, statistical studies, place-based empirical studies, value chain analyses, and biophysical accounting. ?? 2013 Elsevier B.V.", "author" : [ { "dropping-particle" : "", "family" : "Meyfroidt", "given" : "Patrick", "non-dropping-particle" : "", "parse-names" : false, "suffix" : "" }, { "dropping-particle" : "", "family" : "Lambin", "given" : "Eric F.", "non-dropping-particle" : "", "parse-names" : false, "suffix" : "" }, { "dropping-particle" : "", "family" : "Erb", "given" : "Karl Heinz", "non-dropping-particle" : "", "parse-names" : false, "suffix" : "" }, { "dropping-particle" : "", "family" : "Hertel", "given" : "Thomas W.", "non-dropping-particle" : "", "parse-names" : false, "suffix" : "" } ], "container-title" : "Current Opinion in Environmental Sustainability", "id" : "ITEM-1", "issue" : "5", "issued" : { "date-parts" : [ [ "2013" ] ] }, "page" : "438-444", "publisher" : "Elsevier B.V.", "title" : "Globalization of land use: Distant drivers of land change and geographic displacement of land use", "type" : "article-journal", "volume" : "5" }, "uris" : [ "http://www.mendeley.com/documents/?uuid=347ad20d-7421-4c0f-9d8f-ac39b2f9cd8d" ] } ], "mendeley" : { "formattedCitation" : "(Meyfroidt, Lambin, Erb, &amp; Hertel, 2013)", "plainTextFormattedCitation" : "(Meyfroidt, Lambin, Erb, &amp; Hertel, 2013)", "previouslyFormattedCitation" : "(Meyfroidt, Lambin, Erb, &amp; Hertel, 2013)"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(Meyfroidt</w:t>
      </w:r>
      <w:r w:rsidRPr="008608AA">
        <w:rPr>
          <w:rFonts w:eastAsia="Droid Sans Fallback"/>
          <w:noProof/>
        </w:rPr>
        <w:t xml:space="preserve"> et al., 2013)</w:t>
      </w:r>
      <w:r w:rsidRPr="008608AA">
        <w:rPr>
          <w:rFonts w:eastAsia="Droid Sans Fallback"/>
        </w:rPr>
        <w:fldChar w:fldCharType="end"/>
      </w:r>
      <w:r w:rsidRPr="008608AA">
        <w:rPr>
          <w:rFonts w:eastAsia="Droid Sans Fallback"/>
        </w:rPr>
        <w:t>. The lower levels of environmental degradation for North America projec</w:t>
      </w:r>
      <w:r w:rsidR="00134E5B" w:rsidRPr="008608AA">
        <w:rPr>
          <w:rFonts w:eastAsia="Droid Sans Fallback"/>
        </w:rPr>
        <w:t>ted by the Global Biodiversity M</w:t>
      </w:r>
      <w:r w:rsidRPr="008608AA">
        <w:rPr>
          <w:rFonts w:eastAsia="Droid Sans Fallback"/>
        </w:rPr>
        <w:t xml:space="preserve">odel for policy support scenarios may be explained by the fact that the USA and Canada are large importers of food, have a large ecological footprint and thus export environmental degradation to food exporting regions such as Latin America </w:t>
      </w:r>
      <w:r w:rsidRPr="008608AA">
        <w:rPr>
          <w:rFonts w:eastAsia="Droid Sans Fallback"/>
        </w:rPr>
        <w:fldChar w:fldCharType="begin" w:fldLock="1"/>
      </w:r>
      <w:r w:rsidRPr="008608AA">
        <w:rPr>
          <w:rFonts w:eastAsia="Droid Sans Fallback"/>
        </w:rPr>
        <w:instrText>ADDIN CSL_CITATION { "citationItems" : [ { "id" : "ITEM-1", "itemData" : { "DOI" : "10.1038/s41559-016-0023", "ISBN" : "2397-334X", "ISSN" : "2397-334X", "abstract" : "Identifying species threat hotspots has been a successful approach for setting conservation priorities. One major challenge in conservation is that in many hotspots export industries continue to drive overexploitation. Conservation measures must consider not just the point of impact, but also the consumer demand that ultimately drives resource use. To understand which species threat hotspots are driven by which consumers, we have developed a new approach to link a set of biodiversity footprint accounts to the hotspots of threatened species on the IUCN Red List. The result is a map connecting global supply chains to impact locations. Connecting consumption to spatially explicit hotspots driven by production has not been done before on a global scale. Locating biodiversity threat hotspots driven by consumption of goods and services can help connect conservationists, consumers, companies, and governments in order to better target conservation actions.", "author" : [ { "dropping-particle" : "", "family" : "Moran", "given" : "Daniel", "non-dropping-particle" : "", "parse-names" : false, "suffix" : "" }, { "dropping-particle" : "", "family" : "Kanemoto", "given" : "Keiichiro", "non-dropping-particle" : "", "parse-names" : false, "suffix" : "" } ], "container-title" : "Nature Ecology &amp; Evolution", "id" : "ITEM-1", "issued" : { "date-parts" : [ [ "2017" ] ] }, "title" : "Identifying species threat hotspots from global supply chains", "type" : "article-journal" }, "uris" : [ "http://www.mendeley.com/documents/?uuid=3665a692-e1a6-3488-8e41-3ca2839ffd1a" ] } ], "mendeley" : { "formattedCitation" : "(Moran &amp; Kanemoto, 2017)", "plainTextFormattedCitation" : "(Moran &amp; Kanemoto, 2017)", "previouslyFormattedCitation" : "(Moran &amp; Kanemoto, 2017)"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(Moran &amp; Kanemoto, 2017)</w:t>
      </w:r>
      <w:r w:rsidRPr="008608AA">
        <w:rPr>
          <w:rFonts w:eastAsia="Droid Sans Fallback"/>
        </w:rPr>
        <w:fldChar w:fldCharType="end"/>
      </w:r>
      <w:r w:rsidRPr="008608AA">
        <w:rPr>
          <w:rFonts w:eastAsia="Droid Sans Fallback"/>
        </w:rPr>
        <w:t xml:space="preserve">. Such telecoupling between exporting and importing regions of agricultural products means that trading decisions and policies in importing countries have a strong impact on the status of nature and its contributions to good quality of life in exporting countries. </w:t>
      </w:r>
    </w:p>
    <w:p w14:paraId="02493286" w14:textId="77777777" w:rsidR="00134E5B" w:rsidRPr="008608AA" w:rsidRDefault="00134E5B" w:rsidP="00EE708F">
      <w:pPr>
        <w:suppressAutoHyphens/>
        <w:rPr>
          <w:rFonts w:eastAsia="Droid Sans Fallback"/>
        </w:rPr>
      </w:pPr>
    </w:p>
    <w:p w14:paraId="23162C8E" w14:textId="6EF50DF2" w:rsidR="00490494" w:rsidRPr="008608AA" w:rsidRDefault="00490494" w:rsidP="00EE708F">
      <w:pPr>
        <w:suppressAutoHyphens/>
        <w:rPr>
          <w:rFonts w:eastAsia="Droid Sans Fallback"/>
        </w:rPr>
      </w:pPr>
      <w:r w:rsidRPr="008608AA">
        <w:rPr>
          <w:rFonts w:eastAsia="Droid Sans Fallback"/>
        </w:rPr>
        <w:t xml:space="preserve">Telecouplings can have negative or positive effects on sending and receiving systems. Many policy interventions proposed to improve sustainability outcomes in particular places (e.g. payments for ecosystem services, protected areas creation, etc.) are prone to have unintended effects on distant places, indicating that telecouplings must not be overlooked in the knowledge-policy interface </w:t>
      </w:r>
      <w:r w:rsidRPr="008608AA">
        <w:rPr>
          <w:rFonts w:eastAsia="Droid Sans Fallback"/>
        </w:rPr>
        <w:fldChar w:fldCharType="begin" w:fldLock="1"/>
      </w:r>
      <w:r w:rsidRPr="008608AA">
        <w:rPr>
          <w:rFonts w:eastAsia="Droid Sans Fallback"/>
        </w:rPr>
        <w:instrText>ADDIN CSL_CITATION { "citationItems" : [ { "id" : "ITEM-1", "itemData" : { "DOI" : "10.1088/1748-9326/aa7392", "ISSN" : "1748-9326", "author" : [ { "dropping-particle" : "", "family" : "Pascual", "given" : "Unai", "non-dropping-particle" : "", "parse-names" : false, "suffix" : "" }, { "dropping-particle" : "", "family" : "Palomo", "given" : "Ignacio", "non-dropping-particle" : "", "parse-names" : false, "suffix" : "" }, { "dropping-particle" : "", "family" : "Adams", "given" : "William M", "non-dropping-particle" : "", "parse-names" : false, "suffix" : "" }, { "dropping-particle" : "", "family" : "Chan", "given" : "Kai M A", "non-dropping-particle" : "", "parse-names" : false, "suffix" : "" }, { "dropping-particle" : "", "family" : "Daw", "given" : "Tim M", "non-dropping-particle" : "", "parse-names" : false, "suffix" : "" }, { "dropping-particle" : "", "family" : "Garmendia", "given" : "Eneko", "non-dropping-particle" : "", "parse-names" : false, "suffix" : "" }, { "dropping-particle" : "", "family" : "G\u00f3mez-Baggethun", "given" : "Erik", "non-dropping-particle" : "", "parse-names" : false, "suffix" : "" }, { "dropping-particle" : "", "family" : "Groot", "given" : "Rudolf S", "non-dropping-particle" : "de", "parse-names" : false, "suffix" : "" }, { "dropping-particle" : "", "family" : "Mace", "given" : "Georgina M", "non-dropping-particle" : "", "parse-names" : false, "suffix" : "" }, { "dropping-particle" : "", "family" : "Mart\u00edn-L\u00f3pez", "given" : "Berta", "non-dropping-particle" : "", "parse-names" : false, "suffix" : "" }, { "dropping-particle" : "", "family" : "Phelps", "given" : "Jacob", "non-dropping-particle" : "", "parse-names" : false, "suffix" : "" } ], "container-title" : "Environmental Research Letters", "id" : "ITEM-1", "issue" : "7", "issued" : { "date-parts" : [ [ "2017", "7", "1" ] ] }, "page" : "075001", "title" : "Off-stage ecosystem service burdens: A blind spot for global sustainability", "type" : "article-journal", "volume" : "12" }, "uris" : [ "http://www.mendeley.com/documents/?uuid=a955198f-391f-3ad5-b9e3-cbc2914ef766" ] } ], "mendeley" : { "formattedCitation" : "(U. Pascual, Palomo, et al., 2017)", "plainTextFormattedCitation" : "(U. Pascual, Palomo, et al., 2017)", "previouslyFormattedCitation" : "(U. Pascual, Palomo, et al., 2017)"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(Pascual</w:t>
      </w:r>
      <w:r w:rsidRPr="008608AA">
        <w:rPr>
          <w:rFonts w:eastAsia="Droid Sans Fallback"/>
          <w:noProof/>
        </w:rPr>
        <w:t xml:space="preserve"> et al., 2017)</w:t>
      </w:r>
      <w:r w:rsidRPr="008608AA">
        <w:rPr>
          <w:rFonts w:eastAsia="Droid Sans Fallback"/>
        </w:rPr>
        <w:fldChar w:fldCharType="end"/>
      </w:r>
      <w:r w:rsidRPr="008608AA">
        <w:rPr>
          <w:rFonts w:eastAsia="Droid Sans Fallback"/>
        </w:rPr>
        <w:t xml:space="preserve">. Next, the telecoupling framework will be used to illustrate how cause-effect interactions between distant places influence trends and outcomes of key sustainability issues in the Americas. </w:t>
      </w:r>
    </w:p>
    <w:p w14:paraId="24B81602" w14:textId="77777777" w:rsidR="00490494" w:rsidRPr="008608AA" w:rsidRDefault="00490494" w:rsidP="00EE708F">
      <w:pPr>
        <w:keepNext/>
        <w:keepLines/>
        <w:suppressAutoHyphens/>
        <w:spacing w:before="200"/>
        <w:outlineLvl w:val="3"/>
        <w:rPr>
          <w:rFonts w:eastAsia="Droid Sans Fallback"/>
          <w:b/>
          <w:bCs/>
          <w:iCs/>
        </w:rPr>
      </w:pPr>
      <w:bookmarkStart w:id="2192" w:name="_Toc517393420"/>
      <w:bookmarkStart w:id="2193" w:name="_Toc517719161"/>
      <w:bookmarkStart w:id="2194" w:name="_Toc517797118"/>
      <w:r w:rsidRPr="008608AA">
        <w:rPr>
          <w:rFonts w:eastAsia="Droid Sans Fallback"/>
          <w:b/>
          <w:bCs/>
          <w:iCs/>
        </w:rPr>
        <w:t>Case 1: Agricultural pest control</w:t>
      </w:r>
      <w:bookmarkEnd w:id="2192"/>
      <w:bookmarkEnd w:id="2193"/>
      <w:bookmarkEnd w:id="2194"/>
      <w:r w:rsidRPr="008608AA">
        <w:rPr>
          <w:rFonts w:eastAsia="Droid Sans Fallback"/>
          <w:b/>
          <w:bCs/>
          <w:iCs/>
        </w:rPr>
        <w:t xml:space="preserve"> </w:t>
      </w:r>
    </w:p>
    <w:p w14:paraId="45311D13" w14:textId="053F3448" w:rsidR="00490494" w:rsidRPr="008608AA" w:rsidRDefault="00490494" w:rsidP="00EE708F">
      <w:pPr>
        <w:suppressAutoHyphens/>
        <w:rPr>
          <w:rFonts w:eastAsia="Droid Sans Fallback"/>
        </w:rPr>
      </w:pPr>
      <w:r w:rsidRPr="008608AA">
        <w:rPr>
          <w:rFonts w:eastAsia="Droid Sans Fallback"/>
        </w:rPr>
        <w:t>While it is difficult to estimate true losses, reduction in agricultural crop production due to insect feeding damage ranges from 10-20% and accounts for tens of billions of US</w:t>
      </w:r>
      <w:r w:rsidR="00264A3D" w:rsidRPr="008608AA">
        <w:rPr>
          <w:rFonts w:eastAsia="Droid Sans Fallback"/>
        </w:rPr>
        <w:t>A dollars</w:t>
      </w:r>
      <w:r w:rsidRPr="008608AA">
        <w:rPr>
          <w:rFonts w:eastAsia="Droid Sans Fallback"/>
        </w:rPr>
        <w:t xml:space="preserve"> in lost harvest worldwide on an annual basis </w:t>
      </w:r>
      <w:r w:rsidRPr="008608AA">
        <w:rPr>
          <w:rFonts w:eastAsia="Droid Sans Fallback"/>
        </w:rPr>
        <w:fldChar w:fldCharType="begin" w:fldLock="1"/>
      </w:r>
      <w:r w:rsidRPr="008608AA">
        <w:rPr>
          <w:rFonts w:eastAsia="Droid Sans Fallback"/>
        </w:rPr>
        <w:instrText>ADDIN CSL_CITATION { "citationItems" : [ { "id" : "ITEM-1", "itemData" : { "DOI" : "10.1073/pnas.1505413112", "ISSN" : "1091-6490", "PMID" : "26371304", "abstract" : "In agroecosystems worldwide, bats are voracious predators of crop pests and may provide services to farmers worth billions of U.S. dollars. However, such valuations make untested assumptions about the ecological effect of bats in agroecosystems. Specifically, estimates of the value of pest suppression services assume bats consume sufficient numbers of crop pests to affect impact pest reproduction and subsequent damage to crops. Corn is an essential crop for farmers, and is grown on more than 150 million hectares worldwide. Using large exclosures in corn fields, we show that bats exert sufficient pressure on crop pests to suppress larval densities and damage in this cosmopolitan crop. In addition, we show that bats suppress pest-associated fungal growth and mycotoxin in corn. We estimate the suppression of herbivory by insectivorous bats is worth more than 1 billion USD globally on this crop alone, and bats may further benefit farmers by indirectly suppressing pest-associated fungal growth and toxic compounds on corn. Bats face a variety of threats globally, but their relevance as predators of insects in ubiquitous corn-dominated landscapes underlines the economic and ecological importance of conserving biodiversity.", "author" : [ { "dropping-particle" : "", "family" : "Maine", "given" : "Josiah J", "non-dropping-particle" : "", "parse-names" : false, "suffix" : "" }, { "dropping-particle" : "", "family" : "Boyles", "given" : "Justin G", "non-dropping-particle" : "", "parse-names" : false, "suffix" : "" } ], "container-title" : "Proceedings of the National Academy of Sciences of the United States of America", "id" : "ITEM-1", "issue" : "40", "issued" : { "date-parts" : [ [ "2015", "10", "6" ] ] }, "page" : "12438-43", "publisher" : "National Academy of Sciences", "title" : "Bats initiate vital agroecological interactions in corn.", "type" : "article-journal", "volume" : "112" }, "uris" : [ "http://www.mendeley.com/documents/?uuid=973998c6-9a78-30be-9f72-66d0f032d2a5" ] }, { "id" : "ITEM-2", "itemData" : { "DOI" : "10.1017/S0021859605005708", "author" : [ { "dropping-particle" : "", "family" : "Oerke", "given" : "E.C.", "non-dropping-particle" : "", "parse-names" : false, "suffix" : "" } ], "container-title" : "The Journal of Agricultural Science", "id" : "ITEM-2", "issue" : "01", "issued" : { "date-parts" : [ [ "2006", "2", "9" ] ] }, "page" : "31", "publisher" : "Cambridge University Press", "title" : "Crop losses to pests", "type" : "article-journal", "volume" : "144" }, "uris" : [ "http://www.mendeley.com/documents/?uuid=9eb21cf3-d7fb-37ca-bb9f-ae65d3d66960" ] }, { "id" : "ITEM-3", "itemData" : { "DOI" : "10.1016/J.CROPRO.2013.10.022", "author" : [ { "dropping-particle" : "", "family" : "Oliveira", "given" : "C.M.", "non-dropping-particle" : "", "parse-names" : false, "suffix" : "" }, { "dropping-particle" : "", "family" : "Auad", "given" : "A.M.", "non-dropping-particle" : "", "parse-names" : false, "suffix" : "" }, { "dropping-particle" : "", "family" : "Mendes", "given" : "S.M.", "non-dropping-particle" : "", "parse-names" : false, "suffix" : "" }, { "dropping-particle" : "", "family" : "Frizzas", "given" : "M.R.", "non-dropping-particle" : "", "parse-names" : false, "suffix" : "" } ], "container-title" : "Crop Protection", "id" : "ITEM-3", "issue" : "56", "issued" : { "date-parts" : [ [ "2014", "2", "1" ] ] }, "page" : "50-54", "publisher" : "Elsevier", "title" : "Crop losses and the economic impact of insect pests on Brazilian agriculture", "type" : "article-journal", "volume" : "56" }, "uris" : [ "http://www.mendeley.com/documents/?uuid=b3d5c777-7123-380f-b3b7-95b291b4be2f" ] } ], "mendeley" : { "formattedCitation" : "(Maine &amp; Boyles, 2015; Oerke, 2006; C. M. Oliveira, Auad, Mendes, &amp; Frizzas, 2014)", "plainTextFormattedCitation" : "(Maine &amp; Boyles, 2015; Oerke, 2006; C. M. Oliveira, Auad, Mendes, &amp; Frizzas, 2014)", "previouslyFormattedCitation" : "(Maine &amp; Boyles, 2015; Oerke, 2006; C. M. Oliveira, Auad, Mendes, &amp; Frizzas,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(Maine &amp; Boyles, 2015; Oerke, 2006; Oliveir</w:t>
      </w:r>
      <w:r w:rsidR="002C171D" w:rsidRPr="008608AA">
        <w:rPr>
          <w:rFonts w:eastAsia="Droid Sans Fallback"/>
          <w:noProof/>
        </w:rPr>
        <w:t>a</w:t>
      </w:r>
      <w:r w:rsidRPr="008608AA">
        <w:rPr>
          <w:rFonts w:eastAsia="Droid Sans Fallback"/>
          <w:noProof/>
        </w:rPr>
        <w:t xml:space="preserve"> et al., 2014)</w:t>
      </w:r>
      <w:r w:rsidRPr="008608AA">
        <w:rPr>
          <w:rFonts w:eastAsia="Droid Sans Fallback"/>
        </w:rPr>
        <w:fldChar w:fldCharType="end"/>
      </w:r>
      <w:r w:rsidRPr="008608AA">
        <w:rPr>
          <w:rFonts w:eastAsia="Droid Sans Fallback"/>
        </w:rPr>
        <w:t>.  It has been demonstrated that predators feeding on agricultural pests reduce feeding damage, resulting in increased yields. One such group of predators are migratory insectivorous bats.</w:t>
      </w:r>
    </w:p>
    <w:p w14:paraId="08352D49" w14:textId="77777777" w:rsidR="00490494" w:rsidRPr="008608AA" w:rsidRDefault="00490494" w:rsidP="00EE708F">
      <w:pPr>
        <w:suppressAutoHyphens/>
        <w:rPr>
          <w:rFonts w:eastAsia="Droid Sans Fallback"/>
        </w:rPr>
      </w:pPr>
      <w:r w:rsidRPr="008608AA">
        <w:rPr>
          <w:rFonts w:eastAsia="Droid Sans Fallback"/>
        </w:rPr>
        <w:t>Brazilian free-tailed bats (</w:t>
      </w:r>
      <w:r w:rsidRPr="008608AA">
        <w:rPr>
          <w:rFonts w:eastAsia="Droid Sans Fallback"/>
          <w:i/>
        </w:rPr>
        <w:t>Tadarida brasiliensis</w:t>
      </w:r>
      <w:r w:rsidRPr="008608AA">
        <w:rPr>
          <w:rFonts w:eastAsia="Droid Sans Fallback"/>
        </w:rPr>
        <w:t>) overwinter in central and southern Mexico, moving in the spring to northern Mexico and the southwestern USA, where they form large maternity colonies (aggregations of primarily female bats raising their young) and can number in the millions. They feed on a number of Lepidtopteran species (butterflies and mothes) in the family Noctuidae, including: fall armyworm (</w:t>
      </w:r>
      <w:r w:rsidRPr="008608AA">
        <w:rPr>
          <w:rFonts w:eastAsia="Droid Sans Fallback"/>
          <w:i/>
        </w:rPr>
        <w:t>Spodoptera frugiperda</w:t>
      </w:r>
      <w:r w:rsidRPr="008608AA">
        <w:rPr>
          <w:rFonts w:eastAsia="Droid Sans Fallback"/>
        </w:rPr>
        <w:t>), cabbage looper (</w:t>
      </w:r>
      <w:r w:rsidRPr="008608AA">
        <w:rPr>
          <w:rFonts w:eastAsia="Droid Sans Fallback"/>
          <w:i/>
        </w:rPr>
        <w:t>Trichoplusia ni</w:t>
      </w:r>
      <w:r w:rsidRPr="008608AA">
        <w:rPr>
          <w:rFonts w:eastAsia="Droid Sans Fallback"/>
        </w:rPr>
        <w:t>), tobacco budworm (</w:t>
      </w:r>
      <w:r w:rsidRPr="008608AA">
        <w:rPr>
          <w:rFonts w:eastAsia="Droid Sans Fallback"/>
          <w:i/>
        </w:rPr>
        <w:t>Heliothis virescens</w:t>
      </w:r>
      <w:r w:rsidRPr="008608AA">
        <w:rPr>
          <w:rFonts w:eastAsia="Droid Sans Fallback"/>
        </w:rPr>
        <w:t>), and corn earworm/cotton bollworm (</w:t>
      </w:r>
      <w:r w:rsidRPr="008608AA">
        <w:rPr>
          <w:rFonts w:eastAsia="Droid Sans Fallback"/>
          <w:i/>
        </w:rPr>
        <w:t>Helicoverpa zea</w:t>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"Cleveland", "given" : "Cutler J", "non-dropping-particle" : "", "parse-names" : false, "suffix" : "" }, { "dropping-particle" : "", "family" : "Betke", "given" : "Margrit", "non-dropping-particle" : "", "parse-names" : false, "suffix" : "" }, { "dropping-particle" : "", "family" : "Federico", "given" : "Paula", "non-dropping-particle" : "", "parse-names" : false, "suffix" : "" }, { "dropping-particle" : "", "family" : "Frank", "given" : "Jeff D", "non-dropping-particle" : "", "parse-names" : false, "suffix" : "" }, { "dropping-particle" : "", "family" : "Hallam", "given" : "Thomas G", "non-dropping-particle" : "", "parse-names" : false, "suffix" : "" }, { "dropping-particle" : "", "family" : "Horn", "given" : "Jason", "non-dropping-particle" : "", "parse-names" : false, "suffix" : "" }, { "dropping-particle" : "", "family" : "Jr", "given" : "Juan D L\u00f3pez", "non-dropping-particle" : "", "parse-names" : false, "suffix" : "" }, { "dropping-particle" : "", "family" : "Mccracken", "given" : "Gary F", "non-dropping-particle" : "", "parse-names" : false, "suffix" : "" }, { "dropping-particle" : "", "family" : "Medell\u00edn", "given" : "Rodrigo A", "non-dropping-particle" : "", "parse-names" : false, "suffix" : "" }, { "dropping-particle" : "", "family" : "Moreno-valdez", "given" : "Arnulfo", "non-dropping-particle" : "", "parse-names" : false, "suffix" : "" }, { "dropping-particle" : "", "family" : "Sansone", "given" : "Chris G", "non-dropping-particle" : "", "parse-names" : false, "suffix" : "" }, { "dropping-particle" : "", "family" : "Westbrook", "given" : "John K", "non-dropping-particle" : "", "parse-names" : false, "suffix" : "" }, { "dropping-particle" : "", "family" : "Kunz", "given" : "Thomas H", "non-dropping-particle" : "", "parse-names" : false, "suffix" : "" } ], "container-title" : "Frontiers in Ecology and Environment", "id" : "ITEM-1", "issue" : "5", "issued" : { "date-parts" : [ [ "2006" ] ] }, "page" : "238-243", "title" : "Economic value of the pest control service provided by Brazilian free-tailed bats in south-central Texas", "type" : "article-journal", "volume" : "4" }, "uris" : [ "http://www.mendeley.com/documents/?uuid=b1cd0e14-fa05-4004-9589-8b0b86fc35b3" ] } ], "mendeley" : { "formattedCitation" : "(Cleveland et al., 2006)", "plainTextFormattedCitation" : "(Cleveland et al., 2006)", "previouslyFormattedCitation" : "(Cleveland et al.,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(Cleveland et al., 2006)</w:t>
      </w:r>
      <w:r w:rsidRPr="008608AA">
        <w:rPr>
          <w:rFonts w:eastAsia="Droid Sans Fallback"/>
        </w:rPr>
        <w:fldChar w:fldCharType="end"/>
      </w:r>
      <w:r w:rsidRPr="008608AA">
        <w:rPr>
          <w:rFonts w:eastAsia="Droid Sans Fallback"/>
        </w:rPr>
        <w:t xml:space="preserve">. Studying the role of Brazilian free-tailed bats in a multi-county region of Texas, Cleveland et al.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"Cleveland", "given" : "Cutler J", "non-dropping-particle" : "", "parse-names" : false, "suffix" : "" }, { "dropping-particle" : "", "family" : "Betke", "given" : "Margrit", "non-dropping-particle" : "", "parse-names" : false, "suffix" : "" }, { "dropping-particle" : "", "family" : "Federico", "given" : "Paula", "non-dropping-particle" : "", "parse-names" : false, "suffix" : "" }, { "dropping-particle" : "", "family" : "Frank", "given" : "Jeff D", "non-dropping-particle" : "", "parse-names" : false, "suffix" : "" }, { "dropping-particle" : "", "family" : "Hallam", "given" : "Thomas G", "non-dropping-particle" : "", "parse-names" : false, "suffix" : "" }, { "dropping-particle" : "", "family" : "Horn", "given" : "Jason", "non-dropping-particle" : "", "parse-names" : false, "suffix" : "" }, { "dropping-particle" : "", "family" : "Jr", "given" : "Juan D L\u00f3pez", "non-dropping-particle" : "", "parse-names" : false, "suffix" : "" }, { "dropping-particle" : "", "family" : "Mccracken", "given" : "Gary F", "non-dropping-particle" : "", "parse-names" : false, "suffix" : "" }, { "dropping-particle" : "", "family" : "Medell\u00edn", "given" : "Rodrigo A", "non-dropping-particle" : "", "parse-names" : false, "suffix" : "" }, { "dropping-particle" : "", "family" : "Moreno-valdez", "given" : "Arnulfo", "non-dropping-particle" : "", "parse-names" : false, "suffix" : "" }, { "dropping-particle" : "", "family" : "Sansone", "given" : "Chris G", "non-dropping-particle" : "", "parse-names" : false, "suffix" : "" }, { "dropping-particle" : "", "family" : "Westbrook", "given" : "John K", "non-dropping-particle" : "", "parse-names" : false, "suffix" : "" }, { "dropping-particle" : "", "family" : "Kunz", "given" : "Thomas H", "non-dropping-particle" : "", "parse-names" : false, "suffix" : "" } ], "container-title" : "Frontiers in Ecology and Environment", "id" : "ITEM-1", "issue" : "5", "issued" : { "date-parts" : [ [ "2006" ] ] }, "page" : "238-243", "title" : "Economic value of the pest control service provided by Brazilian free-tailed bats in south-central Texas", "type" : "article-journal", "volume" : "4" }, "suppress-author" : 1, "uris" : [ "http://www.mendeley.com/documents/?uuid=b1cd0e14-fa05-4004-9589-8b0b86fc35b3" ] } ], "mendeley" : { "formattedCitation" : "(2006)", "plainTextFormattedCitation" : "(2006)", "previouslyFormattedCitation" :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(2006)</w:t>
      </w:r>
      <w:r w:rsidRPr="008608AA">
        <w:rPr>
          <w:rFonts w:eastAsia="Droid Sans Fallback"/>
        </w:rPr>
        <w:fldChar w:fldCharType="end"/>
      </w:r>
      <w:r w:rsidRPr="008608AA">
        <w:rPr>
          <w:rFonts w:eastAsia="Droid Sans Fallback"/>
        </w:rPr>
        <w:t xml:space="preserve"> estimated that bats consuming 1.5 adult cotton bollworm moths per night will prevent about five moth larvae from damaging crop plants. Given that a single moth larva can destroy two to three bolls in its lifetime, they estimated that the bats reduce insect damage on cotton by 2-29%, depending on conditions.</w:t>
      </w:r>
    </w:p>
    <w:p w14:paraId="40A41722" w14:textId="77777777" w:rsidR="00134E5B" w:rsidRPr="008608AA" w:rsidRDefault="00134E5B" w:rsidP="00EE708F">
      <w:pPr>
        <w:suppressAutoHyphens/>
        <w:rPr>
          <w:rFonts w:eastAsia="Droid Sans Fallback"/>
        </w:rPr>
      </w:pPr>
    </w:p>
    <w:p w14:paraId="7B16F2A7" w14:textId="2C120CA1" w:rsidR="00490494" w:rsidRPr="008608AA" w:rsidRDefault="00D33974" w:rsidP="00EE708F">
      <w:pPr>
        <w:suppressAutoHyphens/>
        <w:rPr>
          <w:rFonts w:eastAsia="Droid Sans Fallback"/>
        </w:rPr>
      </w:pPr>
      <w:r w:rsidRPr="008608AA">
        <w:rPr>
          <w:rFonts w:eastAsia="Droid Sans Fallback"/>
        </w:rPr>
        <w:t>Federico et al.</w:t>
      </w:r>
      <w:r w:rsidR="00490494" w:rsidRPr="008608AA">
        <w:rPr>
          <w:rFonts w:eastAsia="Droid Sans Fallback"/>
        </w:rPr>
        <w:t xml:space="preserve"> </w:t>
      </w:r>
      <w:r w:rsidR="00490494" w:rsidRPr="008608AA">
        <w:rPr>
          <w:rFonts w:eastAsia="Droid Sans Fallback"/>
        </w:rPr>
        <w:fldChar w:fldCharType="begin" w:fldLock="1"/>
      </w:r>
      <w:r w:rsidR="00490494" w:rsidRPr="008608AA">
        <w:rPr>
          <w:rFonts w:eastAsia="Droid Sans Fallback"/>
        </w:rPr>
        <w:instrText>ADDIN CSL_CITATION { "citationItems" : [ { "id" : "ITEM-1", "itemData" : { "ISSN" : "1051-0761", "PMID" : "18536245", "abstract" : "During the past 12000 years agricultural systems have transitioned from natural habitats to conventional agricultural regions and recently to large areas of genetically engineered (GE) croplands. This GE revolution occurred for cotton in a span of slightly more than a decade during which a switch occurred in major cotton production areas from growing 100% conventional cotton to an environment in which 95% transgenics are grown. Ecological interactions between GE targeted insects and other insectivorous insects have been investigated. However, the relationships between ecological functions (such as herbivory and ecosystem transport) and agronomic benefits of avian or mammalian insectivores in the transgenic environment generally remain unclear, although the importance of some agricultural pest management services provided by insectivorous species such as the Brazilian free-tailed bat, Tadarida brasiliensis, have been recognized. We developed a dynamic model to predict regional-scale ecological functions in agricultural food webs by using the indicators of insect pest herbivory measured by cotton boll damage and insect emigration from cotton. In the south-central Texas Winter Garden agricultural region we find that the process of insectivory by bats has a considerable impact on both the ecology and valuation of harvest in Bacillus thuringiensis (Bt) transgenic and nontransgenic cotton crops. Predation on agricultural pests by insectivorous bats may enhance the economic value of agricultural systems by reducing the frequency of required spraying and delaying the ultimate need for new pesticides. In the Winter Garden region, the presence of large numbers of insectivorous bats yields a regional summer dispersion of adult pest insects from Bt cotton that is considerably reduced from the moth emigration when bats are absent in either transgenic or non-transgenic crops. This regional decrease of pest numbers impacts insect herbivory on a transcontinental scale. With a few exceptions, we find that the agronomics of both Bt and conventional cotton production is more profitable when large numbers of insectivorous bats are present.", "author" : [ { "dropping-particle" : "", "family" : "Federico", "given" : "Paula", "non-dropping-particle" : "", "parse-names" : false, "suffix" : "" }, { "dropping-particle" : "", "family" : "Hallam", "given" : "Thomas G", "non-dropping-particle" : "", "parse-names" : false, "suffix" : "" }, { "dropping-particle" : "", "family" : "McCracken", "given" : "Gary F", "non-dropping-particle" : "", "parse-names" : false, "suffix" : "" }, { "dropping-particle" : "", "family" : "Purucker", "given" : "S Thomas", "non-dropping-particle" : "", "parse-names" : false, "suffix" : "" }, { "dropping-particle" : "", "family" : "Grant", "given" : "William E", "non-dropping-particle" : "", "parse-names" : false, "suffix" : "" }, { "dropping-particle" : "", "family" : "Correa-Sandoval", "given" : "A Nelly", "non-dropping-particle" : "", "parse-names" : false, "suffix" : "" }, { "dropping-particle" : "", "family" : "Westbrook", "given" : "John K", "non-dropping-particle" : "", "parse-names" : false, "suffix" : "" }, { "dropping-particle" : "", "family" : "Medellin", "given" : "Rodrigo A", "non-dropping-particle" : "", "parse-names" : false, "suffix" : "" }, { "dropping-particle" : "", "family" : "Cleveland", "given" : "Cutler J", "non-dropping-particle" : "", "parse-names" : false, "suffix" : "" }, { "dropping-particle" : "", "family" : "Sansone", "given" : "Chris G", "non-dropping-particle" : "", "parse-names" : false, "suffix" : "" }, { "dropping-particle" : "", "family" : "L\u00f3pez", "given" : "Juan D", "non-dropping-particle" : "", "parse-names" : false, "suffix" : "" }, { "dropping-particle" : "", "family" : "Betke", "given" : "Margrit", "non-dropping-particle" : "", "parse-names" : false, "suffix" : "" }, { "dropping-particle" : "", "family" : "Moreno-Valdez", "given" : "Arnulfo", "non-dropping-particle" : "", "parse-names" : false, "suffix" : "" }, { "dropping-particle" : "", "family" : "Kunz", "given" : "Thomas H", "non-dropping-particle" : "", "parse-names" : false, "suffix" : "" } ], "container-title" : "Ecological Applications", "id" : "ITEM-1", "issue" : "4", "issued" : { "date-parts" : [ [ "2008", "6" ] ] }, "page" : "826-37", "title" : "Brazilian free-tailed bats as insect pest regulators in transgenic and conventional cotton crops.", "type" : "article-journal", "volume" : "18" }, "suppress-author" : 1, "uris" : [ "http://www.mendeley.com/documents/?uuid=90ffbd2a-065a-355a-8579-5d00fd3d7d2a" ] } ], "mendeley" : { "formattedCitation" : "(2008)", "plainTextFormattedCitation" : "(2008)", "previouslyFormattedCitation" : "(2008)" }, "properties" : {  }, "schema" : "https://github.com/citation-style-language/schema/raw/master/csl-citation.json" }</w:instrText>
      </w:r>
      <w:r w:rsidR="00490494" w:rsidRPr="008608AA">
        <w:rPr>
          <w:rFonts w:eastAsia="Droid Sans Fallback"/>
        </w:rPr>
        <w:fldChar w:fldCharType="separate"/>
      </w:r>
      <w:r w:rsidR="00490494" w:rsidRPr="008608AA">
        <w:rPr>
          <w:rFonts w:eastAsia="Droid Sans Fallback"/>
          <w:noProof/>
        </w:rPr>
        <w:t>(2008)</w:t>
      </w:r>
      <w:r w:rsidR="00490494" w:rsidRPr="008608AA">
        <w:rPr>
          <w:rFonts w:eastAsia="Droid Sans Fallback"/>
        </w:rPr>
        <w:fldChar w:fldCharType="end"/>
      </w:r>
      <w:r w:rsidR="00490494" w:rsidRPr="008608AA">
        <w:rPr>
          <w:rFonts w:eastAsia="Droid Sans Fallback"/>
        </w:rPr>
        <w:t>, in a follow-on study, calculated that Brazilian free-tailed bats not only contribute to more profitable agriculture by increasing yields, but also lower pesticide costs to farmers by delaying the build-up of cotton bollworms to critical levels, at which point pesticide applications become economical in terms of yield. Additionally, the modeling by Fe</w:t>
      </w:r>
      <w:r w:rsidRPr="008608AA">
        <w:rPr>
          <w:rFonts w:eastAsia="Droid Sans Fallback"/>
        </w:rPr>
        <w:t>derico et al.</w:t>
      </w:r>
      <w:r w:rsidR="00490494" w:rsidRPr="008608AA">
        <w:rPr>
          <w:rFonts w:eastAsia="Droid Sans Fallback"/>
        </w:rPr>
        <w:t xml:space="preserve"> </w:t>
      </w:r>
      <w:r w:rsidR="00490494" w:rsidRPr="008608AA">
        <w:rPr>
          <w:rFonts w:eastAsia="Droid Sans Fallback"/>
        </w:rPr>
        <w:fldChar w:fldCharType="begin" w:fldLock="1"/>
      </w:r>
      <w:r w:rsidR="00490494" w:rsidRPr="008608AA">
        <w:rPr>
          <w:rFonts w:eastAsia="Droid Sans Fallback"/>
        </w:rPr>
        <w:instrText>ADDIN CSL_CITATION { "citationItems" : [ { "id" : "ITEM-1", "itemData" : { "ISSN" : "1051-0761", "PMID" : "18536245", "abstract" : "During the past 12000 years agricultural systems have transitioned from natural habitats to conventional agricultural regions and recently to large areas of genetically engineered (GE) croplands. This GE revolution occurred for cotton in a span of slightly more than a decade during which a switch occurred in major cotton production areas from growing 100% conventional cotton to an environment in which 95% transgenics are grown. Ecological interactions between GE targeted insects and other insectivorous insects have been investigated. However, the relationships between ecological functions (such as herbivory and ecosystem transport) and agronomic benefits of avian or mammalian insectivores in the transgenic environment generally remain unclear, although the importance of some agricultural pest management services provided by insectivorous species such as the Brazilian free-tailed bat, Tadarida brasiliensis, have been recognized. We developed a dynamic model to predict regional-scale ecological functions in agricultural food webs by using the indicators of insect pest herbivory measured by cotton boll damage and insect emigration from cotton. In the south-central Texas Winter Garden agricultural region we find that the process of insectivory by bats has a considerable impact on both the ecology and valuation of harvest in Bacillus thuringiensis (Bt) transgenic and nontransgenic cotton crops. Predation on agricultural pests by insectivorous bats may enhance the economic value of agricultural systems by reducing the frequency of required spraying and delaying the ultimate need for new pesticides. In the Winter Garden region, the presence of large numbers of insectivorous bats yields a regional summer dispersion of adult pest insects from Bt cotton that is considerably reduced from the moth emigration when bats are absent in either transgenic or non-transgenic crops. This regional decrease of pest numbers impacts insect herbivory on a transcontinental scale. With a few exceptions, we find that the agronomics of both Bt and conventional cotton production is more profitable when large numbers of insectivorous bats are present.", "author" : [ { "dropping-particle" : "", "family" : "Federico", "given" : "Paula", "non-dropping-particle" : "", "parse-names" : false, "suffix" : "" }, { "dropping-particle" : "", "family" : "Hallam", "given" : "Thomas G", "non-dropping-particle" : "", "parse-names" : false, "suffix" : "" }, { "dropping-particle" : "", "family" : "McCracken", "given" : "Gary F", "non-dropping-particle" : "", "parse-names" : false, "suffix" : "" }, { "dropping-particle" : "", "family" : "Purucker", "given" : "S Thomas", "non-dropping-particle" : "", "parse-names" : false, "suffix" : "" }, { "dropping-particle" : "", "family" : "Grant", "given" : "William E", "non-dropping-particle" : "", "parse-names" : false, "suffix" : "" }, { "dropping-particle" : "", "family" : "Correa-Sandoval", "given" : "A Nelly", "non-dropping-particle" : "", "parse-names" : false, "suffix" : "" }, { "dropping-particle" : "", "family" : "Westbrook", "given" : "John K", "non-dropping-particle" : "", "parse-names" : false, "suffix" : "" }, { "dropping-particle" : "", "family" : "Medellin", "given" : "Rodrigo A", "non-dropping-particle" : "", "parse-names" : false, "suffix" : "" }, { "dropping-particle" : "", "family" : "Cleveland", "given" : "Cutler J", "non-dropping-particle" : "", "parse-names" : false, "suffix" : "" }, { "dropping-particle" : "", "family" : "Sansone", "given" : "Chris G", "non-dropping-particle" : "", "parse-names" : false, "suffix" : "" }, { "dropping-particle" : "", "family" : "L\u00f3pez", "given" : "Juan D", "non-dropping-particle" : "", "parse-names" : false, "suffix" : "" }, { "dropping-particle" : "", "family" : "Betke", "given" : "Margrit", "non-dropping-particle" : "", "parse-names" : false, "suffix" : "" }, { "dropping-particle" : "", "family" : "Moreno-Valdez", "given" : "Arnulfo", "non-dropping-particle" : "", "parse-names" : false, "suffix" : "" }, { "dropping-particle" : "", "family" : "Kunz", "given" : "Thomas H", "non-dropping-particle" : "", "parse-names" : false, "suffix" : "" } ], "container-title" : "Ecological Applications", "id" : "ITEM-1", "issue" : "4", "issued" : { "date-parts" : [ [ "2008", "6" ] ] }, "page" : "826-37", "title" : "Brazilian free-tailed bats as insect pest regulators in transgenic and conventional cotton crops.", "type" : "article-journal", "volume" : "18" }, "suppress-author" : 1, "uris" : [ "http://www.mendeley.com/documents/?uuid=90ffbd2a-065a-355a-8579-5d00fd3d7d2a" ] } ], "mendeley" : { "formattedCitation" : "(2008)", "plainTextFormattedCitation" : "(2008)", "previouslyFormattedCitation" : "(2008)" }, "properties" : {  }, "schema" : "https://github.com/citation-style-language/schema/raw/master/csl-citation.json" }</w:instrText>
      </w:r>
      <w:r w:rsidR="00490494" w:rsidRPr="008608AA">
        <w:rPr>
          <w:rFonts w:eastAsia="Droid Sans Fallback"/>
        </w:rPr>
        <w:fldChar w:fldCharType="separate"/>
      </w:r>
      <w:r w:rsidR="00490494" w:rsidRPr="008608AA">
        <w:rPr>
          <w:rFonts w:eastAsia="Droid Sans Fallback"/>
          <w:noProof/>
        </w:rPr>
        <w:t>(2008)</w:t>
      </w:r>
      <w:r w:rsidR="00490494" w:rsidRPr="008608AA">
        <w:rPr>
          <w:rFonts w:eastAsia="Droid Sans Fallback"/>
        </w:rPr>
        <w:fldChar w:fldCharType="end"/>
      </w:r>
      <w:r w:rsidR="00490494" w:rsidRPr="008608AA">
        <w:rPr>
          <w:rFonts w:eastAsia="Droid Sans Fallback"/>
        </w:rPr>
        <w:t xml:space="preserve"> indicates that predation by Brazilian free-tailed bats result in significant economic benefits even in the case of genetically modified cotton that is resistant to the moths; this has the ancillary contribution to society of lowering the amount of pesticides used.</w:t>
      </w:r>
    </w:p>
    <w:p w14:paraId="19B14AFE" w14:textId="77777777" w:rsidR="00134E5B" w:rsidRPr="008608AA" w:rsidRDefault="00134E5B" w:rsidP="00EE708F">
      <w:pPr>
        <w:suppressAutoHyphens/>
        <w:rPr>
          <w:rFonts w:eastAsia="Droid Sans Fallback"/>
        </w:rPr>
      </w:pPr>
    </w:p>
    <w:p w14:paraId="3A67E628" w14:textId="77777777" w:rsidR="00490494" w:rsidRPr="008608AA" w:rsidRDefault="00490494" w:rsidP="00EE708F">
      <w:pPr>
        <w:suppressAutoHyphens/>
        <w:rPr>
          <w:rFonts w:eastAsia="Droid Sans Fallback"/>
        </w:rPr>
      </w:pPr>
      <w:r w:rsidRPr="008608AA">
        <w:rPr>
          <w:rFonts w:eastAsia="Droid Sans Fallback"/>
        </w:rPr>
        <w:t>Similar benefits from migratory, insectivorous bats for the corn crop have been shown in the Midwest of the USA. In areas where the eastern red bat (</w:t>
      </w:r>
      <w:r w:rsidRPr="008608AA">
        <w:rPr>
          <w:rFonts w:eastAsia="Droid Sans Fallback"/>
          <w:i/>
        </w:rPr>
        <w:t>Lasiurus borealis)</w:t>
      </w:r>
      <w:r w:rsidRPr="008608AA">
        <w:rPr>
          <w:rFonts w:eastAsia="Droid Sans Fallback"/>
        </w:rPr>
        <w:t xml:space="preserve">, believed to be the primary species of bat feeding on pests, was excluded from cornfields, Maine and Boyles </w:t>
      </w:r>
      <w:r w:rsidRPr="008608AA">
        <w:rPr>
          <w:rFonts w:eastAsia="Droid Sans Fallback"/>
        </w:rPr>
        <w:fldChar w:fldCharType="begin" w:fldLock="1"/>
      </w:r>
      <w:r w:rsidRPr="008608AA">
        <w:rPr>
          <w:rFonts w:eastAsia="Droid Sans Fallback"/>
        </w:rPr>
        <w:instrText>ADDIN CSL_CITATION { "citationItems" : [ { "id" : "ITEM-1", "itemData" : { "DOI" : "10.1073/pnas.1505413112", "ISSN" : "1091-6490", "PMID" : "26371304", "abstract" : "In agroecosystems worldwide, bats are voracious predators of crop pests and may provide services to farmers worth billions of U.S. dollars. However, such valuations make untested assumptions about the ecological effect of bats in agroecosystems. Specifically, estimates of the value of pest suppression services assume bats consume sufficient numbers of crop pests to affect impact pest reproduction and subsequent damage to crops. Corn is an essential crop for farmers, and is grown on more than 150 million hectares worldwide. Using large exclosures in corn fields, we show that bats exert sufficient pressure on crop pests to suppress larval densities and damage in this cosmopolitan crop. In addition, we show that bats suppress pest-associated fungal growth and mycotoxin in corn. We estimate the suppression of herbivory by insectivorous bats is worth more than 1 billion USD globally on this crop alone, and bats may further benefit farmers by indirectly suppressing pest-associated fungal growth and toxic compounds on corn. Bats face a variety of threats globally, but their relevance as predators of insects in ubiquitous corn-dominated landscapes underlines the economic and ecological importance of conserving biodiversity.", "author" : [ { "dropping-particle" : "", "family" : "Maine", "given" : "Josiah J", "non-dropping-particle" : "", "parse-names" : false, "suffix" : "" }, { "dropping-particle" : "", "family" : "Boyles", "given" : "Justin G", "non-dropping-particle" : "", "parse-names" : false, "suffix" : "" } ], "container-title" : "Proceedings of the National Academy of Sciences of the United States of America", "id" : "ITEM-1", "issue" : "40", "issued" : { "date-parts" : [ [ "2015", "10", "6" ] ] }, "page" : "12438-43", "publisher" : "National Academy of Sciences", "title" : "Bats initiate vital agroecological interactions in corn.", "type" : "article-journal", "volume" : "112" }, "suppress-author" : 1, "uris" : [ "http://www.mendeley.com/documents/?uuid=973998c6-9a78-30be-9f72-66d0f032d2a5" ] } ], "mendeley" : { "formattedCitation" : "(2015)", "plainTextFormattedCitation" : "(2015)", "previouslyFormattedCitation" :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(2015)</w:t>
      </w:r>
      <w:r w:rsidRPr="008608AA">
        <w:rPr>
          <w:rFonts w:eastAsia="Droid Sans Fallback"/>
        </w:rPr>
        <w:fldChar w:fldCharType="end"/>
      </w:r>
      <w:r w:rsidRPr="008608AA">
        <w:rPr>
          <w:rFonts w:eastAsia="Droid Sans Fallback"/>
        </w:rPr>
        <w:t xml:space="preserve"> found a 59% increase in the number of larvae of corn earworms. They calculate that for corn alone, bats reduce crop loss by over $10 billion per year worldwide. As with the Brazilian free-tailed bats, eastern red bats are migratory, overwintering in the southern USA and traveling northward to the Midwest in the spring.</w:t>
      </w:r>
    </w:p>
    <w:p w14:paraId="0305504F" w14:textId="77777777" w:rsidR="00D33974" w:rsidRPr="008608AA" w:rsidRDefault="00D33974" w:rsidP="00EE708F">
      <w:pPr>
        <w:suppressAutoHyphens/>
        <w:rPr>
          <w:rFonts w:eastAsia="Droid Sans Fallback"/>
        </w:rPr>
      </w:pPr>
    </w:p>
    <w:p w14:paraId="3EF55F2D" w14:textId="77777777" w:rsidR="00490494" w:rsidRPr="008608AA" w:rsidRDefault="00490494" w:rsidP="00EE708F">
      <w:pPr>
        <w:suppressAutoHyphens/>
        <w:rPr>
          <w:rFonts w:eastAsia="Droid Sans Fallback"/>
        </w:rPr>
      </w:pPr>
      <w:r w:rsidRPr="008608AA">
        <w:rPr>
          <w:rFonts w:eastAsia="Droid Sans Fallback"/>
        </w:rPr>
        <w:t>There are several important points to note about these cases of telecoupling: 1) the bats spend a large portion of the year distant from where they provide benefit; 2) the beneficiaries of the cotton crop are, in essence, distributed worldwide; and; 3) being migratory, the bats are at risk not only in their summer habitat, but also during migration and in their winter habitat.</w:t>
      </w:r>
    </w:p>
    <w:p w14:paraId="79B0C314" w14:textId="77777777" w:rsidR="00D33974" w:rsidRPr="008608AA" w:rsidRDefault="00D33974" w:rsidP="00EE708F">
      <w:pPr>
        <w:suppressAutoHyphens/>
        <w:rPr>
          <w:rFonts w:eastAsia="Droid Sans Fallback"/>
        </w:rPr>
      </w:pPr>
    </w:p>
    <w:p w14:paraId="66512899" w14:textId="28C7D53F" w:rsidR="00490494" w:rsidRPr="008608AA" w:rsidRDefault="00490494" w:rsidP="00EE708F">
      <w:pPr>
        <w:suppressAutoHyphens/>
        <w:rPr>
          <w:rFonts w:eastAsia="Droid Sans Fallback"/>
        </w:rPr>
      </w:pPr>
      <w:r w:rsidRPr="008608AA">
        <w:rPr>
          <w:rFonts w:eastAsia="Droid Sans Fallback"/>
        </w:rPr>
        <w:t xml:space="preserve">The risk to migratory bats can be substantial. Bat fatalities at wind turbines in North America have been documented at various rates, depending on the site and situation, with higher rates being reported in the Eastern USA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"National Academy of Science", "given" : "", "non-dropping-particle" : "", "parse-names" : false, "suffix" : "" } ], "id" : "ITEM-1", "issued" : { "date-parts" : [ [ "2007" ] ] }, "number-of-pages" : "394", "title" : "Environmental Impacts of Wind-Energy Projects", "type" : "report" }, "uris" : [ "http://www.mendeley.com/documents/?uuid=061de15e-ece7-496f-9ac4-0fda3c8abab7" ] } ], "mendeley" : { "formattedCitation" : "(National Academy of Science, 2007)", "plainTextFormattedCitation" : "(National Academy of Science, 2007)", "previouslyFormattedCitation" : "(National Academy of Science, 2007)"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(National Academy of Science, 2007)</w:t>
      </w:r>
      <w:r w:rsidRPr="008608AA">
        <w:rPr>
          <w:rFonts w:eastAsia="Droid Sans Fallback"/>
        </w:rPr>
        <w:fldChar w:fldCharType="end"/>
      </w:r>
      <w:r w:rsidR="002C171D" w:rsidRPr="008608AA">
        <w:rPr>
          <w:rFonts w:eastAsia="Droid Sans Fallback"/>
        </w:rPr>
        <w:t>. Strickland et al.</w:t>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"Strickland", "given" : "M.D.", "non-dropping-particle" : "", "parse-names" : false, "suffix" : "" }, { "dropping-particle" : "", "family" : "Arnett", "given" : "E.B.", "non-dropping-particle" : "", "parse-names" : false, "suffix" : "" }, { "dropping-particle" : "", "family" : "Erickson", "given" : "W.P.", "non-dropping-particle" : "", "parse-names" : false, "suffix" : "" }, { "dropping-particle" : "", "family" : "Johnson", "given" : "D.H.", "non-dropping-particle" : "", "parse-names" : false, "suffix" : "" }, { "dropping-particle" : "", "family" : "Johnson", "given" : "G.D.", "non-dropping-particle" : "", "parse-names" : false, "suffix" : "" }, { "dropping-particle" : "", "family" : "M.L.", "given" : "Morrison", "non-dropping-particle" : "", "parse-names" : false, "suffix" : "" }, { "dropping-particle" : "", "family" : "Shaffer", "given" : "J.A.", "non-dropping-particle" : "", "parse-names" : false, "suffix" : "" }, { "dropping-particle" : "", "family" : "Warren-Hicks", "given" : "W.", "non-dropping-particle" : "", "parse-names" : false, "suffix" : "" } ], "id" : "ITEM-1", "issued" : { "date-parts" : [ [ "2011" ] ] }, "publisher-place" : "Washington, D.C., USA", "title" : "Comprehensive Guide to Studying Wind Energy/Wildlife Interactions", "type" : "report" }, "suppress-author" : 1, "uris" : [ "http://www.mendeley.com/documents/?uuid=ae70a1ca-cb38-498b-86dc-962ef1142e14" ] } ], "mendeley" : { "formattedCitation" : "(2011)", "plainTextFormattedCitation" : "(2011)", "previouslyFormattedCitation" :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(2011)</w:t>
      </w:r>
      <w:r w:rsidRPr="008608AA">
        <w:rPr>
          <w:rFonts w:eastAsia="Droid Sans Fallback"/>
        </w:rPr>
        <w:fldChar w:fldCharType="end"/>
      </w:r>
      <w:r w:rsidRPr="008608AA">
        <w:rPr>
          <w:rFonts w:eastAsia="Droid Sans Fallback"/>
        </w:rPr>
        <w:t xml:space="preserve"> reviewed fatality rates and found them to vary from 0.07-39.7 fatalities/MW/Year, with the highest rates associated with forested, mountain ridge tops. </w:t>
      </w:r>
      <w:r w:rsidRPr="008608AA">
        <w:rPr>
          <w:rFonts w:eastAsia="Droid Sans Fallback"/>
        </w:rPr>
        <w:fldChar w:fldCharType="begin" w:fldLock="1"/>
      </w:r>
      <w:r w:rsidRPr="008608AA">
        <w:rPr>
          <w:rFonts w:eastAsia="Droid Sans Fallback"/>
        </w:rPr>
        <w:instrText>ADDIN CSL_CITATION { "citationItems" : [ { "id" : "ITEM-1", "itemData" : { "DOI" : "10.1016/j.biocon.2017.02.023", "ISSN" : "00063207", "author" : [ { "dropping-particle" : "", "family" : "Frick", "given" : "W.F.", "non-dropping-particle" : "", "parse-names" : false, "suffix" : "" }, { "dropping-particle" : "", "family" : "Baerwald", "given" : "E.F.", "non-dropping-particle" : "", "parse-names" : false, "suffix" : "" }, { "dropping-particle" : "", "family" : "Pollock", "given" : "J.F.", "non-dropping-particle" : "", "parse-names" : false, "suffix" : "" }, { "dropping-particle" : "", "family" : "Barclay", "given" : "R.M.R.", "non-dropping-particle" : "", "parse-names" : false, "suffix" : "" }, { "dropping-particle" : "", "family" : "Szymanski", "given" : "J.A.", "non-dropping-particle" : "", "parse-names" : false, "suffix" : "" }, { "dropping-particle" : "", "family" : "Weller", "given" : "T.J.", "non-dropping-particle" : "", "parse-names" : false, "suffix" : "" }, { "dropping-particle" : "", "family" : "Russell", "given" : "A.L.", "non-dropping-particle" : "", "parse-names" : false, "suffix" : "" }, { "dropping-particle" : "", "family" : "Loeb", "given" : "S.C.", "non-dropping-particle" : "", "parse-names" : false, "suffix" : "" }, { "dropping-particle" : "", "family" : "Medellin", "given" : "R.A.", "non-dropping-particle" : "", "parse-names" : false, "suffix" : "" }, { "dropping-particle" : "", "family" : "McGuire", "given" : "L.P.", "non-dropping-particle" : "", "parse-names" : false, "suffix" : "" } ], "container-title" : "Biological Conservation", "id" : "ITEM-1", "issue" : "209", "issued" : { "date-parts" : [ [ "2017", "5", "1" ] ] }, "page" : "172-177", "publisher" : "Elsevier", "title" : "Fatalities at wind turbines may threaten population viability of a migratory bat", "type" : "article-journal", "volume" : "209" }, "uris" : [ "http://www.mendeley.com/documents/?uuid=01f3a137-4774-36c2-8742-c886cdd27334" ] } ], "mendeley" : { "formattedCitation" : "(Frick et al., 2017)", "plainTextFormattedCitation" : "(Frick et al., 2017)", "previouslyFormattedCitation" : "(Frick et al., 2017)"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(Frick et al., 2017)</w:t>
      </w:r>
      <w:r w:rsidRPr="008608AA">
        <w:rPr>
          <w:rFonts w:eastAsia="Droid Sans Fallback"/>
        </w:rPr>
        <w:fldChar w:fldCharType="end"/>
      </w:r>
      <w:r w:rsidRPr="008608AA">
        <w:rPr>
          <w:rFonts w:eastAsia="Droid Sans Fallback"/>
        </w:rPr>
        <w:t xml:space="preserve"> has estimated that deaths due to wind turbines pose an actual extinction threat for some species. Fatalities can result from either direct interaction with wind turbines, i.e. bats struck by turbine blades or colliding with monopoles </w:t>
      </w:r>
      <w:r w:rsidRPr="008608AA">
        <w:rPr>
          <w:rFonts w:eastAsia="Droid Sans Fallback"/>
        </w:rPr>
        <w:fldChar w:fldCharType="begin" w:fldLock="1"/>
      </w:r>
      <w:r w:rsidRPr="008608AA">
        <w:rPr>
          <w:rFonts w:eastAsia="Droid Sans Fallback"/>
        </w:rPr>
        <w:instrText>ADDIN CSL_CITATION { "citationItems" : [ { "id" : "ITEM-1", "itemData" : { "DOI" : "10.2193/2007-270", "ISSN" : "0022-541X", "author" : [ { "dropping-particle" : "", "family" : "Kunz", "given" : "Thomas H.", "non-dropping-particle" : "", "parse-names" : false, "suffix" : "" }, { "dropping-particle" : "", "family" : "Arnett", "given" : "Edward B.", "non-dropping-particle" : "", "parse-names" : false, "suffix" : "" }, { "dropping-particle" : "", "family" : "Cooper", "given" : "Brian M.", "non-dropping-particle" : "", "parse-names" : false, "suffix" : "" }, { "dropping-particle" : "", "family" : "Erickson", "given" : "Wallace P.", "non-dropping-particle" : "", "parse-names" : false, "suffix" : "" }, { "dropping-particle" : "", "family" : "Larkin", "given" : "Ronald P.", "non-dropping-particle" : "", "parse-names" : false, "suffix" : "" }, { "dropping-particle" : "", "family" : "MABEE", "given" : "TODD", "non-dropping-particle" : "", "parse-names" : false, "suffix" : "" }, { "dropping-particle" : "", "family" : "MORRISON", "given" : "MICHAEL L.", "non-dropping-particle" : "", "parse-names" : false, "suffix" : "" }, { "dropping-particle" : "", "family" : "STRICKLAND", "given" : "M. DALE", "non-dropping-particle" : "", "parse-names" : false, "suffix" : "" }, { "dropping-particle" : "", "family" : "SZEWCZAK", "given" : "JOSEPH M.", "non-dropping-particle" : "", "parse-names" : false, "suffix" : "" } ], "container-title" : "Journal of Wildlife Management", "id" : "ITEM-1", "issue" : "8", "issued" : { "date-parts" : [ [ "2007", "11", "1" ] ] }, "page" : "2449-2486", "publisher" : "Blackwell Publishing Ltd", "title" : "Assessing Impacts of Wind-Energy Development on Nocturnally Active Birds and Bats: A Guidance Document", "type" : "article-journal", "volume" : "71" }, "uris" : [ "http://www.mendeley.com/documents/?uuid=d3a79bfb-42cd-3d40-ab91-0b8ef1b30116" ] } ], "mendeley" : { "formattedCitation" : "(Kunz et al., 2007)", "plainTextFormattedCitation" : "(Kunz et al., 2007)", "previouslyFormattedCitation" : "(Kunz et al., 2007)"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(Kunz et al., 2007)</w:t>
      </w:r>
      <w:r w:rsidRPr="008608AA">
        <w:rPr>
          <w:rFonts w:eastAsia="Droid Sans Fallback"/>
        </w:rPr>
        <w:fldChar w:fldCharType="end"/>
      </w:r>
      <w:r w:rsidRPr="008608AA">
        <w:rPr>
          <w:rFonts w:eastAsia="Droid Sans Fallback"/>
        </w:rPr>
        <w:t xml:space="preserve">, or from barotrauma, i.e. lung damage resulting from rapid decompression due to turbulence associated with wind turbines </w:t>
      </w:r>
      <w:r w:rsidRPr="008608AA">
        <w:rPr>
          <w:rFonts w:eastAsia="Droid Sans Fallback"/>
        </w:rPr>
        <w:fldChar w:fldCharType="begin" w:fldLock="1"/>
      </w:r>
      <w:r w:rsidRPr="008608AA">
        <w:rPr>
          <w:rFonts w:eastAsia="Droid Sans Fallback"/>
        </w:rPr>
        <w:instrText>ADDIN CSL_CITATION { "citationItems" : [ { "id" : "ITEM-1", "itemData" : { "DOI" : "10.1016/j.jns.2003.09.014", "ISBN" : "0022-510X (Print)", "ISSN" : "0022510X", "PMID" : "14706220", "author" : [ { "dropping-particle" : "", "family" : "Gorell", "given" : "Jay M.", "non-dropping-particle" : "", "parse-names" : false, "suffix" : "" }, { "dropping-particle" : "", "family" : "Peterson", "given" : "Edward L.", "non-dropping-particle" : "", "parse-names" : false, "suffix" : "" }, { "dropping-particle" : "", "family" : "Rybicki", "given" : "Benjamin A.", "non-dropping-particle" : "", "parse-names" : false, "suffix" : "" }, { "dropping-particle" : "", "family" : "Johnson", "given" : "Christine Cole", "non-dropping-particle" : "", "parse-names" : false, "suffix" : "" } ], "container-title" : "Journal of the Neurological Sciences", "id" : "ITEM-1", "issue" : "2", "issued" : { "date-parts" : [ [ "2004", "2", "26" ] ] }, "page" : "169-174", "publisher" : "Cell Press", "title" : "Multiple risk factors for Parkinson's disease", "type" : "article-journal", "volume" : "217" }, "uris" : [ "http://www.mendeley.com/documents/?uuid=5be526c8-6586-3da2-962a-9abf85fb8304" ] } ], "mendeley" : { "formattedCitation" : "(Gorell, Peterson, Rybicki, &amp; Johnson, 2004)", "plainTextFormattedCitation" : "(Gorell, Peterson, Rybicki, &amp; Johnson, 2004)", "previouslyFormattedCitation" : "(Gorell, Peterson, Rybicki, &amp; Johnson, 2004)"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(Gorell</w:t>
      </w:r>
      <w:r w:rsidRPr="008608AA">
        <w:rPr>
          <w:rFonts w:eastAsia="Droid Sans Fallback"/>
          <w:noProof/>
        </w:rPr>
        <w:t xml:space="preserve"> et al., 2004)</w:t>
      </w:r>
      <w:r w:rsidRPr="008608AA">
        <w:rPr>
          <w:rFonts w:eastAsia="Droid Sans Fallback"/>
        </w:rPr>
        <w:fldChar w:fldCharType="end"/>
      </w:r>
      <w:r w:rsidRPr="008608AA">
        <w:rPr>
          <w:rFonts w:eastAsia="Droid Sans Fallback"/>
        </w:rPr>
        <w:t>. Approximately 75% of bat mortality associated with wind turbines in North America is accounted for by three species: eastern red bat, hoary bat (</w:t>
      </w:r>
      <w:r w:rsidRPr="008608AA">
        <w:rPr>
          <w:rFonts w:eastAsia="Droid Sans Fallback"/>
          <w:i/>
        </w:rPr>
        <w:t>Lasiurus cinereus</w:t>
      </w:r>
      <w:r w:rsidRPr="008608AA">
        <w:rPr>
          <w:rFonts w:eastAsia="Droid Sans Fallback"/>
        </w:rPr>
        <w:t>), and the silver-haired bat (</w:t>
      </w:r>
      <w:r w:rsidRPr="008608AA">
        <w:rPr>
          <w:rFonts w:eastAsia="Droid Sans Fallback"/>
          <w:i/>
        </w:rPr>
        <w:t>Lasionycteris noctivagans</w:t>
      </w:r>
      <w:r w:rsidRPr="008608AA">
        <w:rPr>
          <w:rFonts w:eastAsia="Droid Sans Fallback"/>
        </w:rPr>
        <w:t xml:space="preserve">), all of which are long-distance migrators, wintering in the southern USA and migrating north to the Midwest each summer </w:t>
      </w:r>
      <w:r w:rsidRPr="008608AA">
        <w:rPr>
          <w:rFonts w:eastAsia="Droid Sans Fallback"/>
        </w:rPr>
        <w:fldChar w:fldCharType="begin" w:fldLock="1"/>
      </w:r>
      <w:r w:rsidRPr="008608AA">
        <w:rPr>
          <w:rFonts w:eastAsia="Droid Sans Fallback"/>
        </w:rPr>
        <w:instrText>ADDIN CSL_CITATION { "citationItems" : [ { "id" : "ITEM-1", "itemData" : { "DOI" : "10.17226/11935", "ISBN" : "978-0-309-10834-8", "author" : [ { "dropping-particle" : "", "family" : "NAS (National Academy of Sciences)Agencies", "given" : "Federal", "non-dropping-particle" : "", "parse-names" : false, "suffix" : "" } ], "id" : "ITEM-1", "issued" : { "date-parts" : [ [ "2007" ] ] }, "title" : "Environmental Impacts of Wind-Energy Projects", "type" : "book" }, "uris" : [ "http://www.mendeley.com/documents/?uuid=eab6d3d7-2a5f-46f4-82df-352e6bd4947b" ] } ], "mendeley" : { "formattedCitation" : "(NAS (National Academy of Sciences)Agencies, 2007)", "plainTextFormattedCitation" : "(NAS (National Academy of Sciences)Agencies, 2007)", "previouslyFormattedCitation" : "(NAS (National Academy of Sciences)Agencies, 2007)"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(National Academy of Sciences Agencies, 2007)</w:t>
      </w:r>
      <w:r w:rsidRPr="008608AA">
        <w:rPr>
          <w:rFonts w:eastAsia="Droid Sans Fallback"/>
        </w:rPr>
        <w:fldChar w:fldCharType="end"/>
      </w:r>
      <w:r w:rsidRPr="008608AA">
        <w:rPr>
          <w:rFonts w:eastAsia="Droid Sans Fallback"/>
        </w:rPr>
        <w:t xml:space="preserve">. Klatt and Gehring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"Klatt", "given" : "B. J.", "non-dropping-particle" : "", "parse-names" : false, "suffix" : "" }, { "dropping-particle" : "", "family" : "Gehring", "given" : "J. L.", "non-dropping-particle" : "", "parse-names" : false, "suffix" : "" } ], "id" : "ITEM-1", "issued" : { "date-parts" : [ [ "2013" ] ] }, "publisher-place" : "Lansing, MI", "title" : "Assessing Bat Community Structure in Riparian and Agricultural Habitats in a High Wind Resource Area of Southeast Michigan \u2013 A Preliminary Analysis - Report Number 2013-05", "type" : "report" }, "suppress-author" : 1, "uris" : [ "http://www.mendeley.com/documents/?uuid=0dae545d-46a7-40bd-b12d-53bdcb4b0ebc" ] } ], "mendeley" : { "formattedCitation" : "(2013)", "plainTextFormattedCitation" : "(2013)", "previouslyFormattedCitation" :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(2013)</w:t>
      </w:r>
      <w:r w:rsidRPr="008608AA">
        <w:rPr>
          <w:rFonts w:eastAsia="Droid Sans Fallback"/>
        </w:rPr>
        <w:fldChar w:fldCharType="end"/>
      </w:r>
      <w:r w:rsidRPr="008608AA">
        <w:rPr>
          <w:rFonts w:eastAsia="Droid Sans Fallback"/>
        </w:rPr>
        <w:t xml:space="preserve"> have shown that in an agricultural area in southern Michigan USA, these three species tended to be found over open agricultural fields as opposed to riparian areas, which are preferred by the cave-hibernating bats in the area. In the Midwest, most wind farms are located within agricultural fields. Thus, preservation of NCP in agro-ecosystems can be aided by conservation of migratory, insectivorous bat species, but, ironically, these species are threatened by alternative energy options. </w:t>
      </w:r>
    </w:p>
    <w:p w14:paraId="528F5AF6" w14:textId="77777777" w:rsidR="00490494" w:rsidRPr="008608AA" w:rsidRDefault="00490494" w:rsidP="00490494">
      <w:pPr>
        <w:keepNext/>
        <w:keepLines/>
        <w:suppressAutoHyphens/>
        <w:spacing w:before="200"/>
        <w:outlineLvl w:val="3"/>
        <w:rPr>
          <w:rFonts w:eastAsia="Droid Sans Fallback"/>
          <w:b/>
          <w:bCs/>
          <w:iCs/>
        </w:rPr>
      </w:pPr>
      <w:bookmarkStart w:id="2195" w:name="_Toc517393421"/>
      <w:bookmarkStart w:id="2196" w:name="_Toc517719162"/>
      <w:bookmarkStart w:id="2197" w:name="_Toc517797119"/>
      <w:r w:rsidRPr="008608AA">
        <w:rPr>
          <w:rFonts w:eastAsia="Droid Sans Fallback"/>
          <w:b/>
          <w:bCs/>
          <w:iCs/>
        </w:rPr>
        <w:t>Case 2: Amazon forest as provider of global services</w:t>
      </w:r>
      <w:bookmarkEnd w:id="2195"/>
      <w:bookmarkEnd w:id="2196"/>
      <w:bookmarkEnd w:id="2197"/>
    </w:p>
    <w:p w14:paraId="58EA5F2C" w14:textId="77777777" w:rsidR="00D33974" w:rsidRPr="008608AA" w:rsidRDefault="00490494" w:rsidP="00EE708F">
      <w:pPr>
        <w:suppressAutoHyphens/>
        <w:rPr>
          <w:rFonts w:eastAsia="Droid Sans Fallback"/>
        </w:rPr>
      </w:pPr>
      <w:r w:rsidRPr="008608AA">
        <w:rPr>
          <w:rFonts w:eastAsia="Droid Sans Fallback"/>
        </w:rPr>
        <w:t>The case of the Amazon forest may well illustrate cross-scale interaction where decisions on land use at the local level may influence the global wellbeing. There have been two (intertwined) ways to look at how this influence happens: by understanding the loss of a given ecosystem service (</w:t>
      </w:r>
      <w:r w:rsidR="00847F60" w:rsidRPr="008608AA">
        <w:rPr>
          <w:rFonts w:eastAsia="Droid Sans Fallback"/>
        </w:rPr>
        <w:t>e.g.</w:t>
      </w:r>
      <w:r w:rsidRPr="008608AA">
        <w:rPr>
          <w:rFonts w:eastAsia="Droid Sans Fallback"/>
        </w:rPr>
        <w:t xml:space="preserve"> negative consequences of deforestation for biodiversity and ecosystem functioning</w:t>
      </w:r>
      <w:r w:rsidR="002C171D" w:rsidRPr="008608AA">
        <w:rPr>
          <w:rFonts w:eastAsia="Droid Sans Fallback"/>
        </w:rPr>
        <w:t>, or, as put by Costanza et al.</w:t>
      </w:r>
      <w:r w:rsidRPr="008608AA">
        <w:rPr>
          <w:rFonts w:eastAsia="Droid Sans Fallback"/>
        </w:rPr>
        <w:t xml:space="preserve">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"Costanza", "given" : "Robert", "non-dropping-particle" : "", "parse-names" : false, "suffix" : "" }, { "dropping-particle" : "", "family" : "D\u2019Arge", "given" : "R.", "non-dropping-particle" : "", "parse-names" : false, "suffix" : "" }, { "dropping-particle" : "", "family" : "Groot", "given" : "Rudolf S", "non-dropping-particle" : "de", "parse-names" : false, "suffix" : "" }, { "dropping-particle" : "", "family" : "Farber", "given" : "Stephen", "non-dropping-particle" : "", "parse-names" : false, "suffix" : "" }, { "dropping-particle" : "", "family" : "Grasso", "given" : "M.", "non-dropping-particle" : "", "parse-names" : false, "suffix" : "" }, { "dropping-particle" : "", "family" : "Hannon", "given" : "B.", "non-dropping-particle" : "", "parse-names" : false, "suffix" : "" }, { "dropping-particle" : "", "family" : "Naeem", "given" : "S.", "non-dropping-particle" : "", "parse-names" : false, "suffix" : "" }, { "dropping-particle" : "", "family" : "Limburg", "given" : "K.", "non-dropping-particle" : "", "parse-names" : false, "suffix" : "" }, { "dropping-particle" : "", "family" : "Paruelo", "given" : "J.", "non-dropping-particle" : "", "parse-names" : false, "suffix" : "" }, { "dropping-particle" : "", "family" : "O\u2019Neill", "given" : "R.V.", "non-dropping-particle" : "", "parse-names" : false, "suffix" : "" }, { "dropping-particle" : "", "family" : "Raskin", "given" : "R.", "non-dropping-particle" : "", "parse-names" : false, "suffix" : "" }, { "dropping-particle" : "", "family" : "Sutton", "given" : "P.", "non-dropping-particle" : "", "parse-names" : false, "suffix" : "" }, { "dropping-particle" : "", "family" : "Belt", "given" : "M.", "non-dropping-particle" : "van den", "parse-names" : false, "suffix" : "" } ], "container-title" : "Nature", "id" : "ITEM-1", "issued" : { "date-parts" : [ [ "1997" ] ] }, "page" : "253-260", "title" : "The value of the world\u2019s ecosystem services and natural capital", "type" : "article-journal", "volume" : "387" }, "suppress-author" : 1, "uris" : [ "http://www.mendeley.com/documents/?uuid=d410d121-d995-4cce-9f76-cefd75d216f1" ] } ], "mendeley" : { "formattedCitation" : "(1997)", "plainTextFormattedCitation" : "(1997)", "previouslyFormattedCitation" : "(1997)"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(1997)</w:t>
      </w:r>
      <w:r w:rsidRPr="008608AA">
        <w:rPr>
          <w:rFonts w:eastAsia="Droid Sans Fallback"/>
        </w:rPr>
        <w:fldChar w:fldCharType="end"/>
      </w:r>
      <w:r w:rsidRPr="008608AA">
        <w:rPr>
          <w:rFonts w:eastAsia="Droid Sans Fallback"/>
        </w:rPr>
        <w:t xml:space="preserve"> and Fearnside </w:t>
      </w:r>
      <w:r w:rsidRPr="008608AA">
        <w:rPr>
          <w:rFonts w:eastAsia="Droid Sans Fallback"/>
        </w:rPr>
        <w:fldChar w:fldCharType="begin" w:fldLock="1"/>
      </w:r>
      <w:r w:rsidRPr="008608AA">
        <w:rPr>
          <w:rFonts w:eastAsia="Droid Sans Fallback"/>
        </w:rPr>
        <w:instrText>ADDIN CSL_CITATION { "citationItems" : [ { "id" : "ITEM-1", "itemData" : { "DOI" : "10.1590/S0001-37652008000100006", "ISBN" : "0001-3765", "ISSN" : "00013765", "PMID" : "18345379", "abstract" : "Amazonian forest produces environmental services such as maintenance of biodiversity, water cycling and carbon stocks. These services have a much greater value to human society than do the timber, beef and other products that are obtained by destroying the forest. Yet institutional mechanisms are still lacking to transform the value of the standing forest into the foundation of an economy based on maintaining rather than destroying this ecosystem. Forest management for commodities such as timber and non-timber forest products faces severe limitations and inherent contradictions unless income is supplemented based on environmental services. Amazon forest is threatened by deforestation, logging, forest fires and climate change. Measures to avoid deforestation include repression through command and control, creation of protected areas, and reformulation of infrastructure decisions and development policies. An economy primarily based on the value of environmental services is essential for long-term maintenance of the forest. Much progress has been made in the decades since I first proposed such a transition, but many issues also remain unresolved. These include theoretical issues regarding accounting procedures, improved quantification of the services and of the benefits of different policy options, and effective uses of the funds generated in ways that maintain both the forest and the human population.", "author" : [ { "dropping-particle" : "", "family" : "Fearnside", "given" : "Philip M.", "non-dropping-particle" : "", "parse-names" : false, "suffix" : "" } ], "container-title" : "Anais da Academia Brasileira de Ciencias", "id" : "ITEM-1", "issue" : "1", "issued" : { "date-parts" : [ [ "2008" ] ] }, "page" : "101-114", "title" : "Amazon forest maintenance as a source of environmental services", "type" : "article-journal", "volume" : "80" }, "suppress-author" : 1, "uris" : [ "http://www.mendeley.com/documents/?uuid=f2cc3ff1-f36d-45f7-a5d2-ff1ca46dd94a" ] } ], "mendeley" : { "formattedCitation" : "(2008)", "plainTextFormattedCitation" : "(2008)", "previouslyFormattedCitation" : "(2008)"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(2008)</w:t>
      </w:r>
      <w:r w:rsidRPr="008608AA">
        <w:rPr>
          <w:rFonts w:eastAsia="Droid Sans Fallback"/>
        </w:rPr>
        <w:fldChar w:fldCharType="end"/>
      </w:r>
      <w:r w:rsidRPr="008608AA">
        <w:rPr>
          <w:rFonts w:eastAsia="Droid Sans Fallback"/>
        </w:rPr>
        <w:t>, what it would cost to replicate the service in a technologically produced, artificial biosphere, or by assessing the value of a given ecosystem service to society (</w:t>
      </w:r>
      <w:r w:rsidR="00847F60" w:rsidRPr="008608AA">
        <w:rPr>
          <w:rFonts w:eastAsia="Droid Sans Fallback"/>
        </w:rPr>
        <w:t>e.g.</w:t>
      </w:r>
      <w:r w:rsidRPr="008608AA">
        <w:rPr>
          <w:rFonts w:eastAsia="Droid Sans Fallback"/>
        </w:rPr>
        <w:t xml:space="preserve"> the willingness to pay for an ecosystem service). In any case, different time scale analysis plays an important role for decision-making. For example, land use change from forest to pasture could show advantages in the present time (and at the local scale) </w:t>
      </w:r>
      <w:r w:rsidRPr="008608AA">
        <w:rPr>
          <w:rFonts w:eastAsia="Droid Sans Fallback"/>
        </w:rPr>
        <w:fldChar w:fldCharType="begin" w:fldLock="1"/>
      </w:r>
      <w:r w:rsidRPr="008608AA">
        <w:rPr>
          <w:rFonts w:eastAsia="Droid Sans Fallback"/>
        </w:rPr>
        <w:instrText>ADDIN CSL_CITATION { "citationItems" : [ { "id" : "ITEM-1", "itemData" : { "DOI" : "10.1126/science.1111772", "ISSN" : "1095-9203", "PMID" : "16040698", "abstract" : "Land use has generally been considered a local environmental issue, but it is becoming a force of global importance. Worldwide changes to forests, farmlands, waterways, and air are being driven by the need to provide food, fiber, water, and shelter to more than six billion people. Global croplands, pastures, plantations, and urban areas have expanded in recent decades, accompanied by large increases in energy, water, and fertilizer consumption, along with considerable losses of biodiversity. Such changes in land use have enabled humans to appropriate an increasing share of the planet's resources, but they also potentially undermine the capacity of ecosystems to sustain food production, maintain freshwater and forest resources, regulate climate and air quality, and ameliorate infectious diseases. We face the challenge of managing trade-offs between immediate human needs and maintaining the capacity of the biosphere to provide goods and services in the long term.", "author" : [ { "dropping-particle" : "", "family" : "Foley", "given" : "Jonathan a", "non-dropping-particle" : "", "parse-names" : false, "suffix" : "" }, { "dropping-particle" : "", "family" : "Defries", "given" : "Ruth", "non-dropping-particle" : "", "parse-names" : false, "suffix" : "" }, { "dropping-particle" : "", "family" : "Asner", "given" : "Gregory P", "non-dropping-particle" : "", "parse-names" : false, "suffix" : "" }, { "dropping-particle" : "", "family" : "Barford", "given" : "Carol", "non-dropping-particle" : "", "parse-names" : false, "suffix" : "" }, { "dropping-particle" : "", "family" : "Bonan", "given" : "Gordon", "non-dropping-particle" : "", "parse-names" : false, "suffix" : "" }, { "dropping-particle" : "", "family" : "Carpenter", "given" : "Stephen R.", "non-dropping-particle" : "", "parse-names" : false, "suffix" : "" }, { "dropping-particle" : "", "family" : "Chapin", "given" : "F Stuart", "non-dropping-particle" : "", "parse-names" : false, "suffix" : "" }, { "dropping-particle" : "", "family" : "Coe", "given" : "Michael T", "non-dropping-particle" : "", "parse-names" : false, "suffix" : "" }, { "dropping-particle" : "", "family" : "Daily", "given" : "Gretchen C", "non-dropping-particle" : "", "parse-names" : false, "suffix" : "" }, { "dropping-particle" : "", "family" : "Gibbs", "given" : "Holly K", "non-dropping-particle" : "", "parse-names" : false, "suffix" : "" }, { "dropping-particle" : "", "family" : "Helkowski", "given" : "Joseph H", "non-dropping-particle" : "", "parse-names" : false, "suffix" : "" }, { "dropping-particle" : "", "family" : "Holloway", "given" : "Tracey", "non-dropping-particle" : "", "parse-names" : false, "suffix" : "" }, { "dropping-particle" : "", "family" : "Howard", "given" : "Erica a", "non-dropping-particle" : "", "parse-names" : false, "suffix" : "" }, { "dropping-particle" : "", "family" : "Kucharik", "given" : "Christopher J", "non-dropping-particle" : "", "parse-names" : false, "suffix" : "" }, { "dropping-particle" : "", "family" : "Monfreda", "given" : "Chad", "non-dropping-particle" : "", "parse-names" : false, "suffix" : "" }, { "dropping-particle" : "", "family" : "Patz", "given" : "Jonathan a", "non-dropping-particle" : "", "parse-names" : false, "suffix" : "" }, { "dropping-particle" : "", "family" : "Prentice", "given" : "I Colin", "non-dropping-particle" : "", "parse-names" : false, "suffix" : "" }, { "dropping-particle" : "", "family" : "Ramankutty", "given" : "Navin", "non-dropping-particle" : "", "parse-names" : false, "suffix" : "" }, { "dropping-particle" : "", "family" : "Snyder", "given" : "Peter K", "non-dropping-particle" : "", "parse-names" : false, "suffix" : "" } ], "container-title" : "Science", "id" : "ITEM-1", "issue" : "5734", "issued" : { "date-parts" : [ [ "2005", "7", "22" ] ] }, "page" : "570-4", "title" : "Global consequences of land use.", "type" : "article-journal", "volume" : "309" }, "uris" : [ "http://www.mendeley.com/documents/?uuid=52963b6b-123f-4380-9a34-9dea817aedd2" ] } ], "mendeley" : { "formattedCitation" : "(J. a Foley et al., 2005)", "plainTextFormattedCitation" : "(J. a Foley et al., 2005)", "previouslyFormattedCitation" : "(J. a Foley et al., 2005)"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(Foley et al., 2005)</w:t>
      </w:r>
      <w:r w:rsidRPr="008608AA">
        <w:rPr>
          <w:rFonts w:eastAsia="Droid Sans Fallback"/>
        </w:rPr>
        <w:fldChar w:fldCharType="end"/>
      </w:r>
      <w:r w:rsidRPr="008608AA">
        <w:rPr>
          <w:rFonts w:eastAsia="Droid Sans Fallback"/>
        </w:rPr>
        <w:t>; but be proven otherwise in the long run with implication ranging from local to regional or even global scales.</w:t>
      </w:r>
    </w:p>
    <w:p w14:paraId="60A15FFD" w14:textId="32520AC7" w:rsidR="00490494" w:rsidRPr="008608AA" w:rsidRDefault="00490494" w:rsidP="00EE708F">
      <w:pPr>
        <w:suppressAutoHyphens/>
        <w:rPr>
          <w:rFonts w:eastAsia="Droid Sans Fallback"/>
        </w:rPr>
      </w:pPr>
      <w:r w:rsidRPr="008608AA">
        <w:rPr>
          <w:rFonts w:eastAsia="Droid Sans Fallback"/>
        </w:rPr>
        <w:t xml:space="preserve"> </w:t>
      </w:r>
    </w:p>
    <w:p w14:paraId="29EC57D6" w14:textId="73FDD427" w:rsidR="00490494" w:rsidRPr="008608AA" w:rsidRDefault="00490494" w:rsidP="00EE708F">
      <w:pPr>
        <w:suppressAutoHyphens/>
        <w:rPr>
          <w:rFonts w:eastAsia="Droid Sans Fallback"/>
        </w:rPr>
      </w:pPr>
      <w:r w:rsidRPr="008608AA">
        <w:rPr>
          <w:rFonts w:eastAsia="Droid Sans Fallback"/>
        </w:rPr>
        <w:t>As the world's largest tropical forest (~5.4 million km</w:t>
      </w:r>
      <w:r w:rsidRPr="008608AA">
        <w:rPr>
          <w:rFonts w:eastAsia="Droid Sans Fallback"/>
          <w:vertAlign w:val="superscript"/>
        </w:rPr>
        <w:t>2</w:t>
      </w:r>
      <w:r w:rsidRPr="008608AA">
        <w:rPr>
          <w:rFonts w:eastAsia="Droid Sans Fallback"/>
        </w:rPr>
        <w:t xml:space="preserve">), Amazonian forests, a myriad of biodiversity, have a substantial influence on regional and global climates </w:t>
      </w:r>
      <w:r w:rsidRPr="008608AA">
        <w:rPr>
          <w:rFonts w:eastAsia="Droid Sans Fallback"/>
        </w:rPr>
        <w:fldChar w:fldCharType="begin" w:fldLock="1"/>
      </w:r>
      <w:r w:rsidRPr="008608AA">
        <w:rPr>
          <w:rFonts w:eastAsia="Droid Sans Fallback"/>
        </w:rPr>
        <w:instrText>ADDIN CSL_CITATION { "citationItems" : [ { "id" : "ITEM-1", "itemData" : { "DOI" : "10.4155/cmt.12.34", "ISSN" : "1758-3004", "author" : [ { "dropping-particle" : "", "family" : "Schwartzman", "given" : "Stephan", "non-dropping-particle" : "", "parse-names" : false, "suffix" : "" }, { "dropping-particle" : "", "family" : "Moutinho", "given" : "Paulo", "non-dropping-particle" : "", "parse-names" : false, "suffix" : "" }, { "dropping-particle" : "", "family" : "Hamburg", "given" : "Steven", "non-dropping-particle" : "", "parse-names" : false, "suffix" : "" } ], "container-title" : "Carbon Management", "id" : "ITEM-1", "issue" : "4", "issued" : { "date-parts" : [ [ "2012", "8", "10" ] ] }, "page" : "341-343", "title" : "Policy Update: Amazon deforestation and Brazil\u2019s forest code: a crossroads for climate change", "type" : "article-journal", "volume" : "3" }, "uris" : [ "http://www.mendeley.com/documents/?uuid=5571dd4f-3986-4681-81b5-ee834a9e3628" ] }, { "id" : "ITEM-2", "itemData" : { "DOI" : "10.4155/cmt.11.48", "ISSN" : "1758-3004", "author" : [ { "dropping-particle" : "", "family" : "Ometto", "given" : "Jean Pierre", "non-dropping-particle" : "", "parse-names" : false, "suffix" : "" }, { "dropping-particle" : "", "family" : "Aguiar", "given" : "Ana Paula Dutra", "non-dropping-particle" : "", "parse-names" : false, "suffix" : "" }, { "dropping-particle" : "", "family" : "Martinelli", "given" : "Luiz Antonio", "non-dropping-particle" : "", "parse-names" : false, "suffix" : "" } ], "container-title" : "Carbon Management", "id" : "ITEM-2", "issue" : "5", "issued" : { "date-parts" : [ [ "2011", "10", "10" ] ] }, "page" : "575-585", "title" : "Amazon deforestation in Brazil: effects, drivers and challenges", "type" : "article-journal", "volume" : "2" }, "uris" : [ "http://www.mendeley.com/documents/?uuid=77da3066-dd77-4670-a05d-63e77015e838" ] }, { "id" : "ITEM-3", "itemData" : { "DOI" : "10.1126/science.1146961", "ISBN" : "0036-8075", "ISSN" : "0036-8075", "PMID" : "18048654", "abstract" : "The forest biome of Amazonia is one of Earth's greatest biological treasures and a major component of the Earth system. This century, it faces the dual threats of deforestation and stress from climate change. Here, we summarize some of the latest findings and thinking on these threats, explore the consequences for the forest ecosystem and its human residents, and outline options for the future of Amazonia. We also discuss the implications of new proposals to finance preservation of Amazonian forests.", "author" : [ { "dropping-particle" : "", "family" : "Malhi", "given" : "Y.", "non-dropping-particle" : "", "parse-names" : false, "suffix" : "" }, { "dropping-particle" : "", "family" : "Roberts", "given" : "J. T.", "non-dropping-particle" : "", "parse-names" : false, "suffix" : "" }, { "dropping-particle" : "", "family" : "Betts", "given" : "R. A.", "non-dropping-particle" : "", "parse-names" : false, "suffix" : "" }, { "dropping-particle" : "", "family" : "Killeen", "given" : "T. J.", "non-dropping-particle" : "", "parse-names" : false, "suffix" : "" }, { "dropping-particle" : "", "family" : "Li", "given" : "W.", "non-dropping-particle" : "", "parse-names" : false, "suffix" : "" }, { "dropping-particle" : "", "family" : "Nobre", "given" : "C. A.", "non-dropping-particle" : "", "parse-names" : false, "suffix" : "" } ], "container-title" : "Science", "id" : "ITEM-3", "issue" : "5860", "issued" : { "date-parts" : [ [ "2008", "1", "11" ] ] }, "page" : "169-172", "title" : "Climate Change, Deforestation, and the Fate of the Amazon", "type" : "article-journal", "volume" : "319" }, "uris" : [ "http://www.mendeley.com/documents/?uuid=f3617dca-62ef-4d73-af6f-9bfbc42d0ef1" ] } ], "mendeley" : { "formattedCitation" : "(Y. Malhi et al., 2008; Ometto, Aguiar, &amp; Martinelli, 2011; Schwartzman, Moutinho, &amp; Hamburg, 2012)", "plainTextFormattedCitation" : "(Y. Malhi et al., 2008; Ometto, Aguiar, &amp; Martinelli, 2011; Schwartzman, Moutinho, &amp; Hamburg, 2012)", "previouslyFormattedCitation" : "(Y. Malhi et al., 2008; Ometto, Aguiar, &amp; Martinelli, 2011; Schwartzman, Moutinho, &amp; Hamburg, 2012)"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(Malhi et al., 2008; Ometto et al., 2011; Schwartzman</w:t>
      </w:r>
      <w:r w:rsidRPr="008608AA">
        <w:rPr>
          <w:rFonts w:eastAsia="Droid Sans Fallback"/>
          <w:noProof/>
        </w:rPr>
        <w:t xml:space="preserve"> et al., 2012)</w:t>
      </w:r>
      <w:r w:rsidRPr="008608AA">
        <w:rPr>
          <w:rFonts w:eastAsia="Droid Sans Fallback"/>
        </w:rPr>
        <w:fldChar w:fldCharType="end"/>
      </w:r>
      <w:r w:rsidRPr="008608AA">
        <w:rPr>
          <w:rFonts w:eastAsia="Droid Sans Fallback"/>
        </w:rPr>
        <w:t xml:space="preserve">. For instance, almost 1/3 of the global net primary productivity (photosynthesis minus plant respiration) interannual variation is associated with Amazonia carbon fluxes </w:t>
      </w:r>
      <w:r w:rsidRPr="008608AA">
        <w:rPr>
          <w:rFonts w:eastAsia="Droid Sans Fallback"/>
        </w:rPr>
        <w:fldChar w:fldCharType="begin" w:fldLock="1"/>
      </w:r>
      <w:r w:rsidRPr="008608AA">
        <w:rPr>
          <w:rFonts w:eastAsia="Droid Sans Fallback"/>
        </w:rPr>
        <w:instrText>ADDIN CSL_CITATION { "citationItems" : [ { "id" : "ITEM-1", "itemData" : { "DOI" : "10.1126/science.1192666", "ISBN" : "0036-8075\\r1095-9203", "ISSN" : "0036-8075", "PMID" : "20724633", "abstract" : "Terrestrial net primary production (NPP) quantifies the amount of atmospheric carbon fixed by plants and accumulated as biomass. Previous studies have shown that climate constraints were relaxing with increasing temperature and solar radiation, allowing an upward trend in NPP from 1982 through 1999. The past decade (2000 to 2009) has been the warmest since instrumental measurements began, which could imply continued increases in NPP; however, our estimates suggest a reduction in the global NPP of 0.55 petagrams of carbon. Large-scale droughts have reduced regional NPP, and a drying trend in the Southern Hemisphere has decreased NPP in that area, counteracting the increased NPP over the Northern Hemisphere. A continued decline in NPP would not only weaken the terrestrial carbon sink, but it would also intensify future competition between food demand and proposed biofuel production.", "author" : [ { "dropping-particle" : "", "family" : "Zhao", "given" : "M.", "non-dropping-particle" : "", "parse-names" : false, "suffix" : "" }, { "dropping-particle" : "", "family" : "Running", "given" : "S. W.", "non-dropping-particle" : "", "parse-names" : false, "suffix" : "" } ], "container-title" : "Science", "id" : "ITEM-1", "issue" : "5994", "issued" : { "date-parts" : [ [ "2010", "8", "20" ] ] }, "page" : "940-943", "title" : "Drought-Induced Reduction in Global Terrestrial Net Primary Production from 2000 Through 2009", "type" : "article-journal", "volume" : "329" }, "uris" : [ "http://www.mendeley.com/documents/?uuid=a582d94e-392a-424a-a4ef-c669ccf5a9a6" ] } ], "mendeley" : { "formattedCitation" : "(Zhao &amp; Running, 2010)", "plainTextFormattedCitation" : "(Zhao &amp; Running, 2010)", "previouslyFormattedCitation" : "(Zhao &amp; Running, 2010)"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(Zhao &amp; Running, 2010)</w:t>
      </w:r>
      <w:r w:rsidRPr="008608AA">
        <w:rPr>
          <w:rFonts w:eastAsia="Droid Sans Fallback"/>
        </w:rPr>
        <w:fldChar w:fldCharType="end"/>
      </w:r>
      <w:r w:rsidRPr="008608AA">
        <w:rPr>
          <w:rFonts w:eastAsia="Droid Sans Fallback"/>
        </w:rPr>
        <w:t xml:space="preserve">. The carbon stock, in living biomass, is considered to be on the order of 150–200 Pg C, being one of the largest ecosystem carbon pool </w:t>
      </w:r>
      <w:r w:rsidRPr="008608AA">
        <w:rPr>
          <w:rFonts w:eastAsia="Droid Sans Fallback"/>
        </w:rPr>
        <w:fldChar w:fldCharType="begin" w:fldLock="1"/>
      </w:r>
      <w:r w:rsidRPr="008608AA">
        <w:rPr>
          <w:rFonts w:eastAsia="Droid Sans Fallback"/>
        </w:rPr>
        <w:instrText>ADDIN CSL_CITATION { "citationItems" : [ { "id" : "ITEM-1", "itemData" : { "DOI" : "10.1038/nature14283", "ISSN" : "0028-0836", "abstract" : "The Amazon is a globally important carbon sink, with tree growth incorporating carbon dioxide from the atmosphere. This paper suggests that the capacity of Amazonian forests to sequester carbon has weakened, with potentially important implications for climate change. Using on-the-ground measurements from a network of more than 300 long-term monitoring plots across the region, Roel Brienen and colleagues show that the rates of net increase in above-ground biomass have declined by a third during the past decade compared to the 1990s as a consequence of growth rate increases levelling off. At the same time biomass mortality persistently increased.", "author" : [ { "dropping-particle" : "", "family" : "Brienen", "given" : "R. J. W.", "non-dropping-particle" : "", "parse-names" : false, "suffix" : "" }, { "dropping-particle" : "", "family" : "Phillips", "given" : "O. L.", "non-dropping-particle" : "", "parse-names" : false, "suffix" : "" }, { "dropping-particle" : "", "family" : "Feldpausch", "given" : "T. R.", "non-dropping-particle" : "", "parse-names" : false, "suffix" : "" }, { "dropping-particle" : "", "family" : "Gloor", "given" : "E.", "non-dropping-particle" : "", "parse-names" : false, "suffix" : "" }, { "dropping-particle" : "", "family" : "Baker", "given" : "T. R.", "non-dropping-particle" : "", "parse-names" : false, "suffix" : "" }, { "dropping-particle" : "", "family" : "Lloyd", "given" : "J.", "non-dropping-particle" : "", "parse-names" : false, "suffix" : "" }, { "dropping-particle" : "", "family" : "Lopez-Gonzalez", "given" : "G.", "non-dropping-particle" : "", "parse-names" : false, "suffix" : "" }, { "dropping-particle" : "", "family" : "Monteagudo-Mendoza", "given" : "A.", "non-dropping-particle" : "", "parse-names" : false, "suffix" : "" }, { "dropping-particle" : "", "family" : "Malhi", "given" : "Y.", "non-dropping-particle" : "", "parse-names" : false, "suffix" : "" }, { "dropping-particle" : "", "family" : "Lewis", "given" : "S. L.", "non-dropping-particle" : "", "parse-names" : false, "suffix" : "" }, { "dropping-particle" : "", "family" : "V\u00e1squez Martinez", "given" : "R.", "non-dropping-particle" : "", "parse-names" : false, "suffix" : "" }, { "dropping-particle" : "", "family" : "Alexiades", "given" : "M.", "non-dropping-particle" : "", "parse-names" : false, "suffix" : "" }, { "dropping-particle" : "", "family" : "\u00c1lvarez D\u00e1vila", "given" : "E.", "non-dropping-particle" : "", "parse-names" : false, "suffix" : "" }, { "dropping-particle" : "", "family" : "Alvarez-Loayza", "given" : "P.", "non-dropping-particle" : "", "parse-names" : false, "suffix" : "" }, { "dropping-particle" : "", "family" : "Andrade", "given" : "A.", "non-dropping-particle" : "", "parse-names" : false, "suffix" : "" }, { "dropping-particle" : "", "family" : "Arag\u00e3o", "given" : "L. E. O. C.", "non-dropping-particle" : "", "parse-names" : false, "suffix" : "" }, { "dropping-particle" : "", "family" : "Araujo-Murakami", "given" : "A.", "non-dropping-particle" : "", "parse-names" : false, "suffix" : "" }, { "dropping-particle" : "", "family" : "Arets", "given" : "E. J. M. M.", "non-dropping-particle" : "", "parse-names" : false, "suffix" : "" }, { "dropping-particle" : "", "family" : "Arroyo", "given" : "L.", "non-dropping-particle" : "", "parse-names" : false, "suffix" : "" }, { "dropping-particle" : "", "family" : "Aymard C.", "given" : "G. A.", "non-dropping-particle" : "", "parse-names" : false, "suffix" : "" }, { "dropping-particle" : "", "family" : "B\u00e1nki", "given" : "O. S.", "non-dropping-particle" : "", "parse-names" : false, "suffix" : "" }, { "dropping-particle" : "", "family" : "Baraloto", "given" : "C.", "non-dropping-particle" : "", "parse-names" : false, "suffix" : "" }, { "dropping-particle" : "", "family" : "Barroso", "given" : "J.", "non-dropping-particle" : "", "parse-names" : false, "suffix" : "" }, { "dropping-particle" : "", "family" : "Bonal", "given" : "D.", "non-dropping-particle" : "", "parse-names" : false, "suffix" : "" }, { "dropping-particle" : "", "family" : "Boot", "given" : "R. G. A.", "non-dropping-particle" : "", "parse-names" : false, "suffix" : "" }, { "dropping-particle" : "", "family" : "Camargo", "given" : "J. L. C.", "non-dropping-particle" : "", "parse-names" : false, "suffix" : "" }, { "dropping-particle" : "V.", "family" : "Castilho", "given" : "C.", "non-dropping-particle" : "", "parse-names" : false, "suffix" : "" }, { "dropping-particle" : "", "family" : "Chama", "given" : "V.", "non-dropping-particle" : "", "parse-names" : false, "suffix" : "" }, { "dropping-particle" : "", "family" : "Chao", "given" : "K. J.", "non-dropping-particle" : "", "parse-names" : false, "suffix" : "" }, { "dropping-particle" : "", "family" : "Chave", "given" : "J.", "non-dropping-particle" : "", "parse-names" : false, "suffix" : "" }, { "dropping-particle" : "", "family" : "Comiskey", "given" : "J. A.", "non-dropping-particle" : "", "parse-names" : false, "suffix" : "" }, { "dropping-particle" : "", "family" : "Cornejo Valverde", "given" : "F.", "non-dropping-particle" : "", "parse-names" : false, "suffix" : "" }, { "dropping-particle" : "", "family" : "Costa", "given" : "L.", "non-dropping-particle" : "da", "parse-names" : false, "suffix" : "" }, { "dropping-particle" : "", "family" : "Oliveira", "given" : "E. A.", "non-dropping-particle" : "de", "parse-names" : false, "suffix" : "" }, { "dropping-particle" : "", "family" : "Fiore", "given" : "A.", "non-dropping-particle" : "Di", "parse-names" : false, "suffix" : "" }, { "dropping-particle" : "", "family" : "Erwin", "given" : "T. L.", "non-dropping-particle" : "", "parse-names" : false, "suffix" : "" }, { "dropping-particle" : "", "family" : "Fauset", "given" : "S.", "non-dropping-particle" : "", "parse-names" : false, "suffix" : "" }, { "dropping-particle" : "", "family" : "Forsthofer", "given" : "M.", "non-dropping-particle" : "", "parse-names" : false, "suffix" : "" }, { "dropping-particle" : "", "family" : "Galbraith", "given" : "D. R.", "non-dropping-particle" : "", "parse-names" : false, "suffix" : "" }, { "dropping-particle" : "", "family" : "Grahame", "given" : "E. S.", "non-dropping-particle" : "", "parse-names" : false, "suffix" : "" }, { "dropping-particle" : "", "family" : "Groot", "given" : "N.", "non-dropping-particle" : "", "parse-names" : false, "suffix" : "" }, { "dropping-particle" : "", "family" : "H\u00e9rault", "given" : "B.", "non-dropping-particle" : "", "parse-names" : false, "suffix" : "" }, { "dropping-particle" : "", "family" : "Higuchi", "given" : "N.", "non-dropping-particle" : "", "parse-names" : false, "suffix" : "" }, { "dropping-particle" : "", "family" : "Honorio Coronado", "given" : "E. N.", "non-dropping-particle" : "", "parse-names" : false, "suffix" : "" }, { "dropping-particle" : "", "family" : "Keeling", "given" : "H.", "non-dropping-particle" : "", "parse-names" : false, "suffix" : "" }, { "dropping-particle" : "", "family" : "Killeen", "given" : "T. J.", "non-dropping-particle" : "", "parse-names" : false, "suffix" : "" }, { "dropping-particle" : "", "family" : "Laurance", "given" : "W. F.", "non-dropping-particle" : "", "parse-names" : false, "suffix" : "" }, { "dropping-particle" : "", "family" : "Laurance", "given" : "S.", "non-dropping-particle" : "", "parse-names" : false, "suffix" : "" }, { "dropping-particle" : "", "family" : "Licona", "given" : "J.", "non-dropping-particle" : "", "parse-names" : false, "suffix" : "" }, { "dropping-particle" : "", "family" : "Magnussen", "given" : "W. E.", "non-dropping-particle" : "", "parse-names" : false, "suffix" : "" }, { "dropping-particle" : "", "family" : "Marimon", "given" : "B. S.", "non-dropping-particle" : "", "parse-names" : false, "suffix" : "" }, { "dropping-particle" : "", "family" : "Marimon-Junior", "given" : "B. H.", "non-dropping-particle" : "", "parse-names" : false, "suffix" : "" }, { "dropping-particle" : "", "family" : "Mendoza", "given" : "C.", "non-dropping-particle" : "", "parse-names" : false, "suffix" : "" }, { "dropping-particle" : "", "family" : "Neill", "given" : "D. A.", "non-dropping-particle" : "", "parse-names" : false, "suffix" : "" }, { "dropping-particle" : "", "family" : "Nogueira", "given" : "E. M.", "non-dropping-particle" : "", "parse-names" : false, "suffix" : "" }, { "dropping-particle" : "", "family" : "N\u00fa\u00f1ez", "given" : "P.", "non-dropping-particle" : "", "parse-names" : false, "suffix" : "" }, { "dropping-particle" : "", "family" : "Pallqui Camacho", "given" : "N. C.", "non-dropping-particle" : "", "parse-names" : false, "suffix" : "" }, { "dropping-particle" : "", "family" : "Parada", "given" : "A.", "non-dropping-particle" : "", "parse-names" : false, "suffix" : "" }, { "dropping-particle" : "", "family" : "Pardo-Molina", "given" : "G.", "non-dropping-particle" : "", "parse-names" : false, "suffix" : "" }, { "dropping-particle" : "", "family" : "Peacock", "given" : "J.", "non-dropping-particle" : "", "parse-names" : false, "suffix" : "" }, { "dropping-particle" : "", "family" : "Pe\u00f1a-Claros", "given" : "M.", "non-dropping-particle" : "", "parse-names" : false, "suffix" : "" }, { "dropping-particle" : "", "family" : "Pickavance", "given" : "G. C.", "non-dropping-particle" : "", "parse-names" : false, "suffix" : "" }, { "dropping-particle" : "", "family" : "Pitman", "given" : "N. C. A.", "non-dropping-particle" : "", "parse-names" : false, "suffix" : "" }, { "dropping-particle" : "", "family" : "Poorter", "given" : "L.", "non-dropping-particle" : "", "parse-names" : false, "suffix" : "" }, { "dropping-particle" : "", "family" : "Prieto", "given" : "A.", "non-dropping-particle" : "", "parse-names" : false, "suffix" : "" }, { "dropping-particle" : "", "family" : "Quesada", "given" : "C. A.", "non-dropping-particle" : "", "parse-names" : false, "suffix" : "" }, { "dropping-particle" : "", "family" : "Ram\u00edrez", "given" : "F.", "non-dropping-particle" : "", "parse-names" : false, "suffix" : "" }, { "dropping-particle" : "", "family" : "Ram\u00edrez-Angulo", "given" : "H.", "non-dropping-particle" : "", "parse-names" : false, "suffix" : "" }, { "dropping-particle" : "", "family" : "Restrepo", "given" : "Z.", "non-dropping-particle" : "", "parse-names" : false, "suffix" : "" }, { "dropping-particle" : "", "family" : "Roopsind", "given" : "A.", "non-dropping-particle" : "", "parse-names" : false, "suffix" : "" }, { "dropping-particle" : "", "family" : "Rudas", "given" : "A.", "non-dropping-particle" : "", "parse-names" : false, "suffix" : "" }, { "dropping-particle" : "", "family" : "Salom\u00e3o", "given" : "R. P.", "non-dropping-particle" : "", "parse-names" : false, "suffix" : "" }, { "dropping-particle" : "", "family" : "Schwarz", "given" : "M.", "non-dropping-particle" : "", "parse-names" : false, "suffix" : "" }, { "dropping-particle" : "", "family" : "Silva", "given" : "N.", "non-dropping-particle" : "", "parse-names" : false, "suffix" : "" }, { "dropping-particle" : "", "family" : "Silva-Espejo", "given" : "J. E.", "non-dropping-particle" : "", "parse-names" : false, "suffix" : "" }, { "dropping-particle" : "", "family" : "Silveira", "given" : "M.", "non-dropping-particle" : "", "parse-names" : false, "suffix" : "" }, { "dropping-particle" : "", "family" : "Stropp", "given" : "J.", "non-dropping-particle" : "", "parse-names" : false, "suffix" : "" }, { "dropping-particle" : "", "family" : "Talbot", "given" : "J.", "non-dropping-particle" : "", "parse-names" : false, "suffix" : "" }, { "dropping-particle" : "", "family" : "Steege", "given" : "H.", "non-dropping-particle" : "ter", "parse-names" : false, "suffix" : "" }, { "dropping-particle" : "", "family" : "Teran-Aguilar", "given" : "J.", "non-dropping-particle" : "", "parse-names" : false, "suffix" : "" }, { "dropping-particle" : "", "family" : "Terborgh", "given" : "J.", "non-dropping-particle" : "", "parse-names" : false, "suffix" : "" }, { "dropping-particle" : "", "family" : "Thomas-Caesar", "given" : "R.", "non-dropping-particle" : "", "parse-names" : false, "suffix" : "" }, { "dropping-particle" : "", "family" : "Toledo", "given" : "M.", "non-dropping-particle" : "", "parse-names" : false, "suffix" : "" }, { "dropping-particle" : "", "family" : "Torello-Raventos", "given" : "M.", "non-dropping-particle" : "", "parse-names" : false, "suffix" : "" }, { "dropping-particle" : "", "family" : "Umetsu", "given" : "R. K.", "non-dropping-particle" : "", "parse-names" : false, "suffix" : "" }, { "dropping-particle" : "", "family" : "Heijden", "given" : "G. M. F.", "non-dropping-particle" : "van der", "parse-names" : false, "suffix" : "" }, { "dropping-particle" : "", "family" : "Hout", "given" : "P.", "non-dropping-particle" : "van der", "parse-names" : false, "suffix" : "" }, { "dropping-particle" : "", "family" : "Guimar\u00e3es Vieira", "given" : "I. C.", "non-dropping-particle" : "", "parse-names" : false, "suffix" : "" }, { "dropping-particle" : "", "family" : "Vieira", "given" : "S. A.", "non-dropping-particle" : "", "parse-names" : false, "suffix" : "" }, { "dropping-particle" : "", "family" : "Vilanova", "given" : "E.", "non-dropping-particle" : "", "parse-names" : false, "suffix" : "" }, { "dropping-particle" : "", "family" : "Vos", "given" : "V. A.", "non-dropping-particle" : "", "parse-names" : false, "suffix" : "" }, { "dropping-particle" : "", "family" : "Zagt", "given" : "R. J.", "non-dropping-particle" : "", "parse-names" : false, "suffix" : "" } ], "container-title" : "Nature", "id" : "ITEM-1", "issue" : "7543", "issued" : { "date-parts" : [ [ "2015", "3", "18" ] ] }, "page" : "344-348", "publisher" : "Nature Publishing Group", "title" : "Long-term decline of the Amazon carbon sink", "type" : "article-journal", "volume" : "519" }, "uris" : [ "http://www.mendeley.com/documents/?uuid=87676d38-5083-34aa-a8e2-748d1af1a8a8" ] }, { "id" : "ITEM-2", "itemData" : { "DOI" : "10.5194/bg-9-3381-2012", "ISSN" : "1726-4189", "author" : [ { "dropping-particle" : "", "family" : "Feldpausch", "given" : "T. R.", "non-dropping-particle" : "", "parse-names" : false, "suffix" : "" }, { "dropping-particle" : "", "family" : "Lloyd", "given" : "J.", "non-dropping-particle" : "", "parse-names" : false, "suffix" : "" }, { "dropping-particle" : "", "family" : "Lewis", "given" : "S. L.", "non-dropping-particle" : "", "parse-names" : false, "suffix" : "" }, { "dropping-particle" : "", "family" : "Brienen", "given" : "R. J. W.", "non-dropping-particle" : "", "parse-names" : false, "suffix" : "" }, { "dropping-particle" : "", "family" : "Gloor", "given" : "M.", "non-dropping-particle" : "", "parse-names" : false, "suffix" : "" }, { "dropping-particle" : "", "family" : "Monteagudo Mendoza", "given" : "A.", "non-dropping-particle" : "", "parse-names" : false, "suffix" : "" }, { "dropping-particle" : "", "family" : "Lopez-Gonzalez", "given" : "G.", "non-dropping-particle" : "", "parse-names" : false, "suffix" : "" }, { "dropping-particle" : "", "family" : "Banin", "given" : "L.", "non-dropping-particle" : "", "parse-names" : false, "suffix" : "" }, { "dropping-particle" : "", "family" : "Abu Salim", "given" : "K.", "non-dropping-particle" : "", "parse-names" : false, "suffix" : "" }, { "dropping-particle" : "", "family" : "Affum-Baffoe", "given" : "K.", "non-dropping-particle" : "", "parse-names" : false, "suffix" : "" }, { "dropping-particle" : "", "family" : "Alexiades", "given" : "M.", "non-dropping-particle" : "", "parse-names" : false, "suffix" : "" }, { "dropping-particle" : "", "family" : "Almeida", "given" : "S.", "non-dropping-particle" : "", "parse-names" : false, "suffix" : "" }, { "dropping-particle" : "", "family" : "Amaral", "given" : "I.", "non-dropping-particle" : "", "parse-names" : false, "suffix" : "" }, { "dropping-particle" : "", "family" : "Andrade", "given" : "A.", "non-dropping-particle" : "", "parse-names" : false, "suffix" : "" }, { "dropping-particle" : "", "family" : "Arag\u00e3o", "given" : "L. E. O. C.", "non-dropping-particle" : "", "parse-names" : false, "suffix" : "" }, { "dropping-particle" : "", "family" : "Araujo Murakami", "given" : "A.", "non-dropping-particle" : "", "parse-names" : false, "suffix" : "" }, { "dropping-particle" : "", "family" : "Arets", "given" : "E. J. M. M.", "non-dropping-particle" : "", "parse-names" : false, "suffix" : "" }, { "dropping-particle" : "", "family" : "Arroyo", "given" : "L.", "non-dropping-particle" : "", "parse-names" : false, "suffix" : "" }, { "dropping-particle" : "", "family" : "Aymard C.", "given" : "G. A.", "non-dropping-particle" : "", "parse-names" : false, "suffix" : "" }, { "dropping-particle" : "", "family" : "Baker", "given" : "T. R.", "non-dropping-particle" : "", "parse-names" : false, "suffix" : "" }, { "dropping-particle" : "", "family" : "B\u00e1nki", "given" : "O. S.", "non-dropping-particle" : "", "parse-names" : false, "suffix" : "" }, { "dropping-particle" : "", "family" : "Berry", "given" : "N. J.", "non-dropping-particle" : "", "parse-names" : false, "suffix" : "" }, { "dropping-particle" : "", "family" : "Cardozo", "given" : "N.", "non-dropping-particle" : "", "parse-names" : false, "suffix" : "" }, { "dropping-particle" : "", "family" : "Chave", "given" : "J.", "non-dropping-particle" : "", "parse-names" : false, "suffix" : "" }, { "dropping-particle" : "", "family" : "Comiskey", "given" : "J. A.", "non-dropping-particle" : "", "parse-names" : false, "suffix" : "" }, { "dropping-particle" : "", "family" : "Alvarez", "given" : "E.", "non-dropping-particle" : "", "parse-names" : false, "suffix" : "" }, { "dropping-particle" : "", "family" : "Oliveira", "given" : "A.", "non-dropping-particle" : "de", "parse-names" : false, "suffix" : "" }, { "dropping-particle" : "", "family" : "Fiore", "given" : "A.", "non-dropping-particle" : "Di", "parse-names" : false, "suffix" : "" }, { "dropping-particle" : "", "family" : "Djagbletey", "given" : "G.", "non-dropping-particle" : "", "parse-names" : false, "suffix" : "" }, { "dropping-particle" : "", "family" : "Domingues", "given" : "T. F.", "non-dropping-particle" : "", "parse-names" : false, "suffix" : "" }, { "dropping-particle" : "", "family" : "Erwin", "given" : "T. L.", "non-dropping-particle" : "", "parse-names" : false, "suffix" : "" }, { "dropping-particle" : "", "family" : "Fearnside", "given" : "P. M.", "non-dropping-particle" : "", "parse-names" : false, "suffix" : "" }, { "dropping-particle" : "", "family" : "Fran\u00e7a", "given" : "M. B.", "non-dropping-particle" : "", "parse-names" : false, "suffix" : "" }, { "dropping-particle" : "", "family" : "Freitas", "given" : "M. A.", "non-dropping-particle" : "", "parse-names" : false, "suffix" : "" }, { "dropping-particle" : "", "family" : "Higuchi", "given" : "N.", "non-dropping-particle" : "", "parse-names" : false, "suffix" : "" }, { "dropping-particle" : "", "family" : "E. Honorio C.", "given" : "", "non-dropping-particle" : "", "parse-names" : false, "suffix" : "" }, { "dropping-particle" : "", "family" : "Iida", "given" : "Y.", "non-dropping-particle" : "", "parse-names" : false, "suffix" : "" }, { "dropping-particle" : "", "family" : "Jim\u00e9nez", "given" : "E.", "non-dropping-particle" : "", "parse-names" : false, "suffix" : "" }, { "dropping-particle" : "", "family" : "Kassim", "given" : "A. R.", "non-dropping-particle" : "", "parse-names" : false, "suffix" : "" }, { "dropping-particle" : "", "family" : "Killeen", "given" : "T. J.", "non-dropping-particle" : "", "parse-names" : false, "suffix" : "" }, { "dropping-particle" : "", "family" : "Laurance", "given" : "W. F.", "non-dropping-particle" : "", "parse-names" : false, "suffix" : "" }, { "dropping-particle" : "", "family" : "Lovett", "given" : "J. C.", "non-dropping-particle" : "", "parse-names" : false, "suffix" : "" }, { "dropping-particle" : "", "family" : "Malhi", "given" : "Y.", "non-dropping-particle" : "", "parse-names" : false, "suffix" : "" }, { "dropping-particle" : "", "family" : "Marimon", "given" : "B. S.", "non-dropping-particle" : "", "parse-names" : false, "suffix" : "" }, { "dropping-particle" : "", "family" : "Marimon-Junior", "given" : "B. H.", "non-dropping-particle" : "", "parse-names" : false, "suffix" : "" }, { "dropping-particle" : "", "family" : "Lenza", "given" : "E.", "non-dropping-particle" : "", "parse-names" : false, "suffix" : "" }, { "dropping-particle" : "", "family" : "Marshall", "given" : "A. R.", "non-dropping-particle" : "", "parse-names" : false, "suffix" : "" }, { "dropping-particle" : "", "family" : "Mendoza", "given" : "C.", "non-dropping-particle" : "", "parse-names" : false, "suffix" : "" }, { "dropping-particle" : "", "family" : "Metcalfe", "given" : "D. J.", "non-dropping-particle" : "", "parse-names" : false, "suffix" : "" }, { "dropping-particle" : "", "family" : "Mitchard", "given" : "E. T. A.", "non-dropping-particle" : "", "parse-names" : false, "suffix" : "" }, { "dropping-particle" : "", "family" : "Neill", "given" : "D. A.", "non-dropping-particle" : "", "parse-names" : false, "suffix" : "" }, { "dropping-particle" : "", "family" : "Nelson", "given" : "B. W.", "non-dropping-particle" : "", "parse-names" : false, "suffix" : "" }, { "dropping-particle" : "", "family" : "Nilus", "given" : "R.", "non-dropping-particle" : "", "parse-names" : false, "suffix" : "" }, { "dropping-particle" : "", "family" : "Nogueira", "given" : "E. M.", "non-dropping-particle" : "", "parse-names" : false, "suffix" : "" }, { "dropping-particle" : "", "family" : "Parada", "given" : "A.", "non-dropping-particle" : "", "parse-names" : false, "suffix" : "" }, { "dropping-particle" : "", "family" : "Peh", "given" : "K. S.-H.", "non-dropping-particle" : "", "parse-names" : false, "suffix" : "" }, { "dropping-particle" : "", "family" : "Pena Cruz", "given" : "A.", "non-dropping-particle" : "", "parse-names" : false, "suffix" : "" }, { "dropping-particle" : "", "family" : "Pe\u00f1uela", "given" : "M. C.", "non-dropping-particle" : "", "parse-names" : false, "suffix" : "" }, { "dropping-particle" : "", "family" : "Pitman", "given" : "N. C. A.", "non-dropping-particle" : "", "parse-names" : false, "suffix" : "" }, { "dropping-particle" : "", "family" : "Prieto", "given" : "A.", "non-dropping-particle" : "", "parse-names" : false, "suffix" : "" }, { "dropping-particle" : "", "family" : "Quesada", "given" : "C. A.", "non-dropping-particle" : "", "parse-names" : false, "suffix" : "" }, { "dropping-particle" : "", "family" : "Ram\u00edrez", "given" : "F.", "non-dropping-particle" : "", "parse-names" : false, "suffix" : "" }, { "dropping-particle" : "", "family" : "Ram\u00edrez-Angulo", "given" : "H.", "non-dropping-particle" : "", "parse-names" : false, "suffix" : "" }, { "dropping-particle" : "", "family" : "Reitsma", "given" : "J. M.", "non-dropping-particle" : "", "parse-names" : false, "suffix" : "" }, { "dropping-particle" : "", "family" : "Rudas", "given" : "A.", "non-dropping-particle" : "", "parse-names" : false, "suffix" : "" }, { "dropping-particle" : "", "family" : "Saiz", "given" : "G.", "non-dropping-particle" : "", "parse-names" : false, "suffix" : "" }, { "dropping-particle" : "", "family" : "Salom\u00e3o", "given" : "R. P.", "non-dropping-particle" : "", "parse-names" : false, "suffix" : "" }, { "dropping-particle" : "", "family" : "Schwarz", "given" : "M.", "non-dropping-particle" : "", "parse-names" : false, "suffix" : "" }, { "dropping-particle" : "", "family" : "Silva", "given" : "N.", "non-dropping-particle" : "", "parse-names" : false, "suffix" : "" }, { "dropping-particle" : "", "family" : "Silva-Espejo", "given" : "J. E.", "non-dropping-particle" : "", "parse-names" : false, "suffix" : "" }, { "dropping-particle" : "", "family" : "Silveira", "given" : "M.", "non-dropping-particle" : "", "parse-names" : false, "suffix" : "" }, { "dropping-particle" : "", "family" : "Sonk\u00e9", "given" : "B.", "non-dropping-particle" : "", "parse-names" : false, "suffix" : "" }, { "dropping-particle" : "", "family" : "Stropp", "given" : "J.", "non-dropping-particle" : "", "parse-names" : false, "suffix" : "" }, { "dropping-particle" : "", "family" : "Taedoumg", "given" : "H. E.", "non-dropping-particle" : "", "parse-names" : false, "suffix" : "" }, { "dropping-particle" : "", "family" : "Tan", "given" : "S.", "non-dropping-particle" : "", "parse-names" : false, "suffix" : "" }, { "dropping-particle" : "", "family" : "Steege", "given" : "H.", "non-dropping-particle" : "ter", "parse-names" : false, "suffix" : "" }, { "dropping-particle" : "", "family" : "Terborgh", "given" : "J.", "non-dropping-particle" : "", "parse-names" : false, "suffix" : "" }, { "dropping-particle" : "", "family" : "Torello-Raventos", "given" : "M.", "non-dropping-particle" : "", "parse-names" : false, "suffix" : "" }, { "dropping-particle" : "", "family" : "Heijden", "given" : "G. M. F.", "non-dropping-particle" : "van der", "parse-names" : false, "suffix" : "" }, { "dropping-particle" : "", "family" : "V\u00e1squez", "given" : "R.", "non-dropping-particle" : "", "parse-names" : false, "suffix" : "" }, { "dropping-particle" : "", "family" : "Vilanova", "given" : "E.", "non-dropping-particle" : "", "parse-names" : false, "suffix" : "" }, { "dropping-particle" : "", "family" : "Vos", "given" : "V. A.", "non-dropping-particle" : "", "parse-names" : false, "suffix" : "" }, { "dropping-particle" : "", "family" : "White", "given" : "L.", "non-dropping-particle" : "", "parse-names" : false, "suffix" : "" }, { "dropping-particle" : "", "family" : "Willcock", "given" : "S.", "non-dropping-particle" : "", "parse-names" : false, "suffix" : "" }, { "dropping-particle" : "", "family" : "Woell", "given" : "H.", "non-dropping-particle" : "", "parse-names" : false, "suffix" : "" }, { "dropping-particle" : "", "family" : "Phillips", "given" : "O. L.", "non-dropping-particle" : "", "parse-names" : false, "suffix" : "" } ], "container-title" : "Biogeosciences", "id" : "ITEM-2", "issue" : "8", "issued" : { "date-parts" : [ [ "2012", "8", "27" ] ] }, "page" : "3381-3403", "title" : "Tree height integrated into pantropical forest biomass estimates", "type" : "article-journal", "volume" : "9" }, "uris" : [ "http://www.mendeley.com/documents/?uuid=19658772-0308-4aa0-85f9-3174ab0aeaba" ] }, { "id" : "ITEM-3", "itemData" : { "DOI" : "10.1111/gcb.12798", "ISBN" : "1365-2486", "ISSN" : "13541013", "PMID" : "25380507", "abstract" : "The largest carbon stock in tropical vegetation is in Brazilian Amazonia. In this ~5 million km2 area, over 750 000 km2 of forest and ~240 000 km2 of nonforest vegetation types had been cleared through 2013. We estimate current carbon stocks and cumulative gross carbon loss from clearing of premodern vegetation in Brazil's \u2018Legal Amazonia\u2019 and \u2018Amazonia biome\u2019 regions. Biomass of \u2018premodern\u2019 vegetation (prior to major increases in disturbance beginning in the 1970s) was estimated by matching vegetation classes mapped at a scale of 1 : 250 000 and 29 biomass means from 41 published studies for vegetation types classified as forest (2317 1-ha plots) and as either nonforest or contact zones (1830 plots and subplots of varied size). Total biomass (above and below-ground, dry weight) underwent a gross reduction of 18.3% in Legal Amazonia (13.1 Pg C) and 16.7% in the Amazonia biome (11.2 Pg C) through 2013, excluding carbon loss from the effects of fragmentation, selective logging, fires, mortality induced by recent droughts and clearing of forest regrowth. In spite of the loss of carbon from clearing, large amounts of carbon were stored in stands of remaining vegetation in 2013, equivalent to 149 Mg C ha\u22121 when weighted by the total area covered by each vegetation type in Legal Amazonia. Native vegetation in Legal Amazonia in 2013 originally contained 58.6 Pg C, while that in the Amazonia biome contained 56 Pg C. Emissions per unit area from clearing could potentially be larger in the future because previously cleared areas were mainly covered by vegetation with lower mean biomass than the remaining vegetation. Estimates of original biomass are essential for estimating losses to forest degradation. This study offers estimates of cumulative biomass loss, as well as estimates of premodern carbon stocks that have not been represented in recent estimates of deforestation impacts.", "author" : [ { "dropping-particle" : "", "family" : "Nogueira", "given" : "Euler Melo", "non-dropping-particle" : "", "parse-names" : false, "suffix" : "" }, { "dropping-particle" : "", "family" : "Yanai", "given" : "Aurora M.", "non-dropping-particle" : "", "parse-names" : false, "suffix" : "" }, { "dropping-particle" : "", "family" : "Fonseca", "given" : "Frederico O R", "non-dropping-particle" : "", "parse-names" : false, "suffix" : "" }, { "dropping-particle" : "", "family" : "Fearnside", "given" : "Philip Martin", "non-dropping-particle" : "", "parse-names" : false, "suffix" : "" } ], "container-title" : "Global Change Biology", "id" : "ITEM-3", "issue" : "3", "issued" : { "date-parts" : [ [ "2015", "3" ] ] }, "page" : "1271-1292", "title" : "Carbon stock loss from deforestation through 2013 in Brazilian Amazonia", "type" : "article-journal", "volume" : "21" }, "uris" : [ "http://www.mendeley.com/documents/?uuid=e15461a6-aa0e-47a2-879d-d41307518394" ] } ], "mendeley" : { "formattedCitation" : "(Brienen et al., 2015; Feldpausch et al., 2012; Nogueira, Yanai, Fonseca, &amp; Fearnside, 2015)", "plainTextFormattedCitation" : "(Brienen et al., 2015; Feldpausch et al., 2012; Nogueira, Yanai, Fonseca, &amp; Fearnside, 2015)", "previouslyFormattedCitation" : "(Brienen et al., 2015; Feldpausch et al., 2012; Nogueira, Yanai, Fonseca, &amp; Fearnside,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(Brienen et al., 2015; Fe</w:t>
      </w:r>
      <w:r w:rsidR="002C171D" w:rsidRPr="008608AA">
        <w:rPr>
          <w:rFonts w:eastAsia="Droid Sans Fallback"/>
          <w:noProof/>
        </w:rPr>
        <w:t>ldpausch et al., 2012; Nogueira</w:t>
      </w:r>
      <w:r w:rsidRPr="008608AA">
        <w:rPr>
          <w:rFonts w:eastAsia="Droid Sans Fallback"/>
          <w:noProof/>
        </w:rPr>
        <w:t xml:space="preserve"> et al., 2015)</w:t>
      </w:r>
      <w:r w:rsidRPr="008608AA">
        <w:rPr>
          <w:rFonts w:eastAsia="Droid Sans Fallback"/>
        </w:rPr>
        <w:fldChar w:fldCharType="end"/>
      </w:r>
      <w:r w:rsidRPr="008608AA">
        <w:rPr>
          <w:rFonts w:eastAsia="Droid Sans Fallback"/>
        </w:rPr>
        <w:t xml:space="preserve">. The range of carbon pool estimate </w:t>
      </w:r>
      <w:r w:rsidRPr="008608AA">
        <w:rPr>
          <w:rFonts w:eastAsia="Droid Sans Fallback"/>
        </w:rPr>
        <w:fldChar w:fldCharType="begin" w:fldLock="1"/>
      </w:r>
      <w:r w:rsidRPr="008608AA">
        <w:rPr>
          <w:rFonts w:eastAsia="Droid Sans Fallback"/>
        </w:rPr>
        <w:instrText>ADDIN CSL_CITATION { "citationItems" : [ { "id" : "ITEM-1", "itemData" : { "DOI" : "10.1111/j.1365-2486.2008.01780.x", "ISSN" : "13541013", "author" : [ { "dropping-particle" : "", "family" : "Malhi", "given" : "Yadvinder", "non-dropping-particle" : "", "parse-names" : false, "suffix" : "" }, { "dropping-particle" : "", "family" : "Arag\u00e3o", "given" : "Luiz E. O. C.", "non-dropping-particle" : "", "parse-names" : false, "suffix" : "" }, { "dropping-particle" : "", "family" : "Metcalfe", "given" : "Daniel B.", "non-dropping-particle" : "", "parse-names" : false, "suffix" : "" }, { "dropping-particle" : "", "family" : "Paiva", "given" : "Romilda", "non-dropping-particle" : "", "parse-names" : false, "suffix" : "" }, { "dropping-particle" : "", "family" : "Quesada", "given" : "Carlos A.", "non-dropping-particle" : "", "parse-names" : false, "suffix" : "" }, { "dropping-particle" : "", "family" : "ALMEIDA", "given" : "SAMUEL", "non-dropping-particle" : "", "parse-names" : false, "suffix" : "" }, { "dropping-particle" : "", "family" : "ANDERSON", "given" : "LIANA", "non-dropping-particle" : "", "parse-names" : false, "suffix" : "" }, { "dropping-particle" : "", "family" : "BRANDO", "given" : "PAULO", "non-dropping-particle" : "", "parse-names" : false, "suffix" : "" }, { "dropping-particle" : "", "family" : "CHAMBERS", "given" : "JEFFREY Q.", "non-dropping-particle" : "", "parse-names" : false, "suffix" : "" }, { "dropping-particle" : "", "family" : "COSTA", "given" : "ANTONIO C. L.", "non-dropping-particle" : "da", "parse-names" : false, "suffix" : "" }, { "dropping-particle" : "", "family" : "HUTYRA", "given" : "LUCY R.", "non-dropping-particle" : "", "parse-names" : false, "suffix" : "" }, { "dropping-particle" : "", "family" : "OLIVEIRA", "given" : "PAULO", "non-dropping-particle" : "", "parse-names" : false, "suffix" : "" }, { "dropping-particle" : "", "family" : "PATI\u00d1O", "given" : "SANDRA", "non-dropping-particle" : "", "parse-names" : false, "suffix" : "" }, { "dropping-particle" : "", "family" : "PYLE", "given" : "ELIZABETH H.", "non-dropping-particle" : "", "parse-names" : false, "suffix" : "" }, { "dropping-particle" : "", "family" : "ROBERTSON", "given" : "AMANDA L.", "non-dropping-particle" : "", "parse-names" : false, "suffix" : "" }, { "dropping-particle" : "", "family" : "TEIXEIRA", "given" : "LILIANE M.", "non-dropping-particle" : "", "parse-names" : false, "suffix" : "" } ], "container-title" : "Global Change Biology", "id" : "ITEM-1", "issue" : "5", "issued" : { "date-parts" : [ [ "2009", "5" ] ] }, "page" : "1255-1274", "title" : "Comprehensive assessment of carbon productivity, allocation and storage in three Amazonian forests", "type" : "article-journal", "volume" : "15" }, "uris" : [ "http://www.mendeley.com/documents/?uuid=baacadcf-e960-41ba-a975-598578633faa" ] }, { "id" : "ITEM-2", "itemData" : { "DOI" : "10.5194/bg-6-2369-2009", "ISBN" : "17264170 (ISSN)", "ISSN" : "17264170", "abstract" : "A simulation model based on satellite observations of monthly vegetation greenness from the Moderate Resolution Imaging Spectroradiometer (MODIS) was used to estimate monthly carbon fluxes in terrestrial ecosystems of Brazilian Amazon and Cerrado regions over the period 2000-2002. The NASA-CASA (Carnegie Ames Stanford Approach) model estimates of annual forest production were used for the first time as the basis to generate a prediction for the standing pool of carbon in above-ground biomass (AGB; g C m", "author" : [ { "dropping-particle" : "", "family" : "Potter", "given" : "C.", "non-dropping-particle" : "", "parse-names" : false, "suffix" : "" }, { "dropping-particle" : "", "family" : "Klooster", "given" : "S.", "non-dropping-particle" : "", "parse-names" : false, "suffix" : "" }, { "dropping-particle" : "", "family" : "Genovese", "given" : "V.", "non-dropping-particle" : "", "parse-names" : false, "suffix" : "" } ], "container-title" : "Biogeosciences", "id" : "ITEM-2", "issue" : "11", "issued" : { "date-parts" : [ [ "2009" ] ] }, "page" : "2369-2381", "title" : "Carbon emissions from deforestation in the Brazilian Amazon Region", "type" : "article-journal", "volume" : "6" }, "uris" : [ "http://www.mendeley.com/documents/?uuid=4f4270a5-4553-4865-8c1e-26f1f63c667e" ] }, { "id" : "ITEM-3", "itemData" : { "DOI" : "10.1111/j.1365-2486.2007.01323.x", "ISSN" : "13541013", "author" : [ { "dropping-particle" : "", "family" : "Saatchi", "given" : "S.S.", "non-dropping-particle" : "", "parse-names" : false, "suffix" : "" }, { "dropping-particle" : "", "family" : "Houghton", "given" : "R.A.", "non-dropping-particle" : "", "parse-names" : false, "suffix" : "" }, { "dropping-particle" : "", "family" : "Santos Alval\u00e1", "given" : "R.C.", "non-dropping-particle" : "Dos", "parse-names" : false, "suffix" : "" }, { "dropping-particle" : "", "family" : "Soares", "given" : "J.V.", "non-dropping-particle" : "", "parse-names" : false, "suffix" : "" }, { "dropping-particle" : "", "family" : "Yu", "given" : "Y.", "non-dropping-particle" : "", "parse-names" : false, "suffix" : "" } ], "container-title" : "Global Change Biology", "id" : "ITEM-3", "issue" : "4", "issued" : { "date-parts" : [ [ "2007", "1", "24" ] ] }, "page" : "816-837", "title" : "Distribution of aboveground live biomass in the Amazon basin", "type" : "article-journal", "volume" : "13" }, "uris" : [ "http://www.mendeley.com/documents/?uuid=18c04439-9011-4d2e-bdd0-0cd08a4541b5" ] } ], "mendeley" : { "formattedCitation" : "(Yadvinder Malhi, Arag\u00e3o, Metcalfe, et al., 2009; Potter, Klooster, &amp; Genovese, 2009; Saatchi, Houghton, Dos Santos Alval\u00e1, Soares, &amp; Yu, 2007)", "plainTextFormattedCitation" : "(Yadvinder Malhi, Arag\u00e3o, Metcalfe, et al., 2009; Potter, Klooster, &amp; Genovese, 2009; Saatchi, Houghton, Dos Santos Alval\u00e1, Soares, &amp; Yu, 2007)", "previouslyFormattedCitation" : "(Yadvinder Malhi, Arag\u00e3o, Metcalfe, et al., 2009; Potter, Klooster, &amp; Genovese, 2009; Saatchi, Houghton, Dos Santos Alval\u00e1, Soares, &amp; Yu, 2007)"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(Malhi et al., 2009; Potter et al., 2009; Saatchi</w:t>
      </w:r>
      <w:r w:rsidRPr="008608AA">
        <w:rPr>
          <w:rFonts w:eastAsia="Droid Sans Fallback"/>
          <w:noProof/>
        </w:rPr>
        <w:t xml:space="preserve"> et al., 2007)</w:t>
      </w:r>
      <w:r w:rsidRPr="008608AA">
        <w:rPr>
          <w:rFonts w:eastAsia="Droid Sans Fallback"/>
        </w:rPr>
        <w:fldChar w:fldCharType="end"/>
      </w:r>
      <w:r w:rsidRPr="008608AA">
        <w:rPr>
          <w:rFonts w:eastAsia="Droid Sans Fallback"/>
        </w:rPr>
        <w:t xml:space="preserve">, as well as the differences representing the vegetation cover </w:t>
      </w:r>
      <w:r w:rsidRPr="008608AA">
        <w:rPr>
          <w:rFonts w:eastAsia="Droid Sans Fallback"/>
        </w:rPr>
        <w:fldChar w:fldCharType="begin" w:fldLock="1"/>
      </w:r>
      <w:r w:rsidRPr="008608AA">
        <w:rPr>
          <w:rFonts w:eastAsia="Droid Sans Fallback"/>
        </w:rPr>
        <w:instrText>ADDIN CSL_CITATION { "citationItems" : [ { "id" : "ITEM-1", "itemData" : { "DOI" : "10.1111/gcb.13087", "ISSN" : "13541013", "author" : [ { "dropping-particle" : "", "family" : "Bustamante", "given" : "Mercedes M. C.", "non-dropping-particle" : "", "parse-names" : false, "suffix" : "" }, { "dropping-particle" : "", "family" : "Roitman", "given" : "Iris", "non-dropping-particle" : "", "parse-names" : false, "suffix" : "" }, { "dropping-particle" : "", "family" : "Aide", "given" : "T. Mitchell", "non-dropping-particle" : "", "parse-names" : false, "suffix" : "" }, { "dropping-particle" : "", "family" : "Alencar", "given" : "Ane", "non-dropping-particle" : "", "parse-names" : false, "suffix" : "" }, { "dropping-particle" : "", "family" : "Anderson", "given" : "Liana O.", "non-dropping-particle" : "", "parse-names" : false, "suffix" : "" }, { "dropping-particle" : "", "family" : "Arag\u00e3o", "given" : "Luiz", "non-dropping-particle" : "", "parse-names" : false, "suffix" : "" }, { "dropping-particle" : "", "family" : "Asner", "given" : "Gregory P.", "non-dropping-particle" : "", "parse-names" : false, "suffix" : "" }, { "dropping-particle" : "", "family" : "Barlow", "given" : "Jos", "non-dropping-particle" : "", "parse-names" : false, "suffix" : "" }, { "dropping-particle" : "", "family" : "Berenguer", "given" : "Erika", "non-dropping-particle" : "", "parse-names" : false, "suffix" : "" }, { "dropping-particle" : "", "family" : "Chambers", "given" : "Jeffrey", "non-dropping-particle" : "", "parse-names" : false, "suffix" : "" }, { "dropping-particle" : "", "family" : "Costa", "given" : "Marcos H.", "non-dropping-particle" : "", "parse-names" : false, "suffix" : "" }, { "dropping-particle" : "", "family" : "Fanin", "given" : "Thierry", "non-dropping-particle" : "", "parse-names" : false, "suffix" : "" }, { "dropping-particle" : "", "family" : "Ferreira", "given" : "Laerte G.", "non-dropping-particle" : "", "parse-names" : false, "suffix" : "" }, { "dropping-particle" : "", "family" : "Ferreira", "given" : "Joice", "non-dropping-particle" : "", "parse-names" : false, "suffix" : "" }, { "dropping-particle" : "", "family" : "Keller", "given" : "Michael", "non-dropping-particle" : "", "parse-names" : false, "suffix" : "" }, { "dropping-particle" : "", "family" : "Magnusson", "given" : "William E.", "non-dropping-particle" : "", "parse-names" : false, "suffix" : "" }, { "dropping-particle" : "", "family" : "Morales-Barquero", "given" : "Lucia", "non-dropping-particle" : "", "parse-names" : false, "suffix" : "" }, { "dropping-particle" : "", "family" : "Morton", "given" : "Douglas", "non-dropping-particle" : "", "parse-names" : false, "suffix" : "" }, { "dropping-particle" : "", "family" : "Ometto", "given" : "Jean P. H. B.", "non-dropping-particle" : "", "parse-names" : false, "suffix" : "" }, { "dropping-particle" : "", "family" : "Palace", "given" : "Michael", "non-dropping-particle" : "", "parse-names" : false, "suffix" : "" }, { "dropping-particle" : "", "family" : "Peres", "given" : "Carlos A.", "non-dropping-particle" : "", "parse-names" : false, "suffix" : "" }, { "dropping-particle" : "", "family" : "Silv\u00e9rio", "given" : "Divino", "non-dropping-particle" : "", "parse-names" : false, "suffix" : "" }, { "dropping-particle" : "", "family" : "Trumbore", "given" : "Susan", "non-dropping-particle" : "", "parse-names" : false, "suffix" : "" }, { "dropping-particle" : "", "family" : "Vieira", "given" : "Ima C. G.", "non-dropping-particle" : "", "parse-names" : false, "suffix" : "" } ], "container-title" : "Global Change Biology", "id" : "ITEM-1", "issue" : "1", "issued" : { "date-parts" : [ [ "2016", "1", "1" ] ] }, "page" : "92-109", "title" : "Toward an integrated monitoring framework to assess the effects of tropical forest degradation and recovery on carbon stocks and biodiversity", "type" : "article-journal", "volume" : "22" }, "uris" : [ "http://www.mendeley.com/documents/?uuid=cd770286-27c4-3f0d-888f-e0e0d550f878" ] }, { "id" : "ITEM-2", "itemData" : { "DOI" : "10.1007/s10584-014-1058-7", "ISSN" : "0165-0009", "author" : [ { "dropping-particle" : "", "family" : "Ometto", "given" : "Jean Pierre", "non-dropping-particle" : "", "parse-names" : false, "suffix" : "" }, { "dropping-particle" : "", "family" : "Aguiar", "given" : "Ana Paula", "non-dropping-particle" : "", "parse-names" : false, "suffix" : "" }, { "dropping-particle" : "", "family" : "Assis", "given" : "Talita", "non-dropping-particle" : "", "parse-names" : false, "suffix" : "" }, { "dropping-particle" : "", "family" : "Soler", "given" : "Luciana", "non-dropping-particle" : "", "parse-names" : false, "suffix" : "" }, { "dropping-particle" : "", "family" : "Valle", "given" : "Pedro", "non-dropping-particle" : "", "parse-names" : false, "suffix" : "" }, { "dropping-particle" : "", "family" : "Tejada", "given" : "Graciela", "non-dropping-particle" : "", "parse-names" : false, "suffix" : "" }, { "dropping-particle" : "", "family" : "Lapola", "given" : "David M.", "non-dropping-particle" : "", "parse-names" : false, "suffix" : "" }, { "dropping-particle" : "", "family" : "Meir", "given" : "Patrick", "non-dropping-particle" : "", "parse-names" : false, "suffix" : "" } ], "container-title" : "Climatic Change", "id" : "ITEM-2", "issue" : "3", "issued" : { "date-parts" : [ [ "2014", "6", "11" ] ] }, "page" : "545-560", "title" : "Amazon forest biomass density maps: tackling the uncertainty in carbon emission estimates", "type" : "article-journal", "volume" : "124" }, "uris" : [ "http://www.mendeley.com/documents/?uuid=bf2d7c5b-adac-4977-b58a-a778aa40d5a4" ] } ], "mendeley" : { "formattedCitation" : "(Bustamante et al., 2016; Ometto et al., 2014)", "plainTextFormattedCitation" : "(Bustamante et al., 2016; Ometto et al., 2014)", "previouslyFormattedCitation" : "(Bustamante et al., 2016; Ometto et al.,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(Bustamante et al., 2016; Ometto et al., 2014)</w:t>
      </w:r>
      <w:r w:rsidRPr="008608AA">
        <w:rPr>
          <w:rFonts w:eastAsia="Droid Sans Fallback"/>
        </w:rPr>
        <w:fldChar w:fldCharType="end"/>
      </w:r>
      <w:r w:rsidRPr="008608AA">
        <w:rPr>
          <w:rFonts w:eastAsia="Droid Sans Fallback"/>
        </w:rPr>
        <w:t>, reflects the difficulty to estimate forest structure and vegetation biomass, in a large and highly diverse ecosystem.</w:t>
      </w:r>
    </w:p>
    <w:p w14:paraId="0B506780" w14:textId="77777777" w:rsidR="00D33974" w:rsidRPr="008608AA" w:rsidRDefault="00D33974" w:rsidP="00EE708F">
      <w:pPr>
        <w:suppressAutoHyphens/>
        <w:rPr>
          <w:rFonts w:eastAsia="Droid Sans Fallback"/>
        </w:rPr>
      </w:pPr>
    </w:p>
    <w:p w14:paraId="6AF267EF" w14:textId="6ADBA11B" w:rsidR="00490494" w:rsidRPr="008608AA" w:rsidRDefault="00490494" w:rsidP="00EE708F">
      <w:pPr>
        <w:suppressAutoHyphens/>
        <w:rPr>
          <w:rFonts w:eastAsia="Droid Sans Fallback"/>
        </w:rPr>
      </w:pPr>
      <w:r w:rsidRPr="008608AA">
        <w:rPr>
          <w:rFonts w:eastAsia="Droid Sans Fallback"/>
        </w:rPr>
        <w:t xml:space="preserve">The carbon budget and the regional hydrological dynamic are affected by direct anthropogenic actions, as land </w:t>
      </w:r>
      <w:r w:rsidR="00D33974" w:rsidRPr="008608AA">
        <w:rPr>
          <w:rFonts w:eastAsia="Droid Sans Fallback"/>
        </w:rPr>
        <w:t>cover and land use changes (e.g.</w:t>
      </w:r>
      <w:r w:rsidRPr="008608AA">
        <w:rPr>
          <w:rFonts w:eastAsia="Droid Sans Fallback"/>
        </w:rPr>
        <w:t xml:space="preserve"> deforestation, forest fires, forest degradation associated to unplanned logging, expansion of pasturelands) and by climate-induced extreme events, such as extended droughts </w:t>
      </w:r>
      <w:r w:rsidRPr="008608AA">
        <w:rPr>
          <w:rFonts w:eastAsia="Droid Sans Fallback"/>
        </w:rPr>
        <w:fldChar w:fldCharType="begin" w:fldLock="1"/>
      </w:r>
      <w:r w:rsidRPr="008608AA">
        <w:rPr>
          <w:rFonts w:eastAsia="Droid Sans Fallback"/>
        </w:rPr>
        <w:instrText>ADDIN CSL_CITATION { "citationItems" : [ { "id" : "ITEM-1", "itemData" : { "DOI" : "10.1175/1520-0442(2004)017&lt;2261:COTLJE&gt;2.0.CO;2", "ISSN" : "0894-8755", "abstract" : "Abstract A climatology of the South American low-level jet east of the Andes (SALLJ) is developed using the 1950? 2000 circulation and moisture fields from the NCEP?NCAR reanalyses and available upper-air observations made in Bolivia and Paraguay since 1998. Upper- and low-level circulation fields were derived for seasonal means and SALLJ composites during the warm and cold seasons. The Bonner criterion 1 was applied for sites in central Bolivia and downstream near northern Paraguay, to determine the spatial and temporal characteristics of the SALLJ. On the circulation characteristics, SALLJ composites during the warm season show the enhanced low-level meridional moisture transport coming from equatorial South America as well as an upper-level wave train emanating from the west Pacific propagating toward South America. The intensification of the warm season SALLJ follows the establishment of an upper-level ridge over southern Brazil and a trough over most of Argentina. The circulation anomalies at upper and lower levels suggest that the intensification of the SALLJ would lead to an intensification of the South Atlantic convergence zone (SACZ) later on and to the penetration of cold fronts with an area of enhanced convection ahead at the exit region of the SALLJ. Regarding the time variability, the SALLJ seems to occur all year long, bringing tropical moist air masses from the Amazon into southern Brazil?northern Argentina more frequently in the warm season, and bringing tropical maritime air, which is less humid than the tropical air masses coming from the subtropical Atlantic high, more frequently during the cold season. SALLJs are detected mostly during the warm season to the north of ?20\u00b0S, while to the south the SALLJs seem to occur all year long. The diurnal cycle shows that SALLJs are more frequent and intense between 0600 and 1200 UTC for the warm season north of 20\u00b0S, while at the region downstream the maximum is detected between 0000 and 0600 UTC during the cold season. At interannual time scales, even though there is a weak tendency for stronger and more frequent warm season SALLJ episodes in years with anomalously warm surface waters in the tropical Pacific, it cannot be affirmed with a large degree of certainty that there is a strong relationship between the occurrence of El Ni\u00f1o events and the number and/ or intensity of SALLJ episodes. However, the 1998 El Ni\u00f1o featured more frequent and intense warm season jet episodes than occurred durin\u2026", "author" : [ { "dropping-particle" : "", "family" : "Marengo", "given" : "Jose A", "non-dropping-particle" : "", "parse-names" : false, "suffix" : "" }, { "dropping-particle" : "", "family" : "Soares", "given" : "Wagner R", "non-dropping-particle" : "", "parse-names" : false, "suffix" : "" }, { "dropping-particle" : "", "family" : "Saulo", "given" : "Celeste", "non-dropping-particle" : "", "parse-names" : false, "suffix" : "" }, { "dropping-particle" : "", "family" : "Nicolini", "given" : "Matilde", "non-dropping-particle" : "", "parse-names" : false, "suffix" : "" } ], "container-title" : "Journal of Climate", "id" : "ITEM-1", "issue" : "12", "issued" : { "date-parts" : [ [ "2004", "6", "1" ] ] }, "note" : "doi: 10.1175/1520-0442(2004)0172.0.CO;2", "page" : "2261-2280", "publisher" : "American Meteorological Society", "title" : "Climatology of the Low-Level Jet East of the Andes as Derived from the NCEP\u2013NCAR Reanalyses: Characteristics and Temporal Variability", "type" : "article-journal", "volume" : "17" }, "uris" : [ "http://www.mendeley.com/documents/?uuid=252158a4-85f1-4255-ad9b-dcb429d55b1b" ] } ], "mendeley" : { "formattedCitation" : "(Jose A Marengo, Soares, Saulo, &amp; Nicolini, 2004)", "plainTextFormattedCitation" : "(Jose A Marengo, Soares, Saulo, &amp; Nicolini, 2004)", "previouslyFormattedCitation" : "(Jose A Marengo, Soares, Saulo, &amp; Nicolini, 2004)"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(Mare</w:t>
      </w:r>
      <w:r w:rsidR="002C171D" w:rsidRPr="008608AA">
        <w:rPr>
          <w:rFonts w:eastAsia="Droid Sans Fallback"/>
          <w:noProof/>
        </w:rPr>
        <w:t>ngo</w:t>
      </w:r>
      <w:r w:rsidRPr="008608AA">
        <w:rPr>
          <w:rFonts w:eastAsia="Droid Sans Fallback"/>
          <w:noProof/>
        </w:rPr>
        <w:t xml:space="preserve"> et al., 2004)</w:t>
      </w:r>
      <w:r w:rsidRPr="008608AA">
        <w:rPr>
          <w:rFonts w:eastAsia="Droid Sans Fallback"/>
        </w:rPr>
        <w:fldChar w:fldCharType="end"/>
      </w:r>
      <w:r w:rsidRPr="008608AA">
        <w:rPr>
          <w:rFonts w:eastAsia="Droid Sans Fallback"/>
        </w:rPr>
        <w:t xml:space="preserve">. Effects of these, independently or combined, increase the risk of disruption of these natural processes, as well the threat to biodiversity and ecosystem services </w:t>
      </w:r>
      <w:r w:rsidRPr="008608AA">
        <w:rPr>
          <w:rFonts w:eastAsia="Droid Sans Fallback"/>
        </w:rPr>
        <w:fldChar w:fldCharType="begin" w:fldLock="1"/>
      </w:r>
      <w:r w:rsidRPr="008608AA">
        <w:rPr>
          <w:rFonts w:eastAsia="Droid Sans Fallback"/>
        </w:rPr>
        <w:instrText>ADDIN CSL_CITATION { "citationItems" : [ { "id" : "ITEM-1", "itemData" : { "DOI" : "10.5194/bg-8-2027-2011", "ISSN" : "1726-4189", "author" : [ { "dropping-particle" : "", "family" : "Poulter", "given" : "B.", "non-dropping-particle" : "", "parse-names" : false, "suffix" : "" }, { "dropping-particle" : "", "family" : "Frank", "given" : "D. C.", "non-dropping-particle" : "", "parse-names" : false, "suffix" : "" }, { "dropping-particle" : "", "family" : "Hodson", "given" : "E. L.", "non-dropping-particle" : "", "parse-names" : false, "suffix" : "" }, { "dropping-particle" : "", "family" : "Zimmermann", "given" : "N. E.", "non-dropping-particle" : "", "parse-names" : false, "suffix" : "" } ], "container-title" : "Biogeosciences", "id" : "ITEM-1", "issue" : "8", "issued" : { "date-parts" : [ [ "2011", "8", "1" ] ] }, "page" : "2027-2036", "title" : "Impacts of land cover and climate data selection on understanding terrestrial carbon dynamics and the CO2 airborne fraction", "type" : "article-journal", "volume" : "8" }, "uris" : [ "http://www.mendeley.com/documents/?uuid=258efd75-7c0c-4fa2-a771-6ae286729cf7" ] }, { "id" : "ITEM-2", "itemData" : { "DOI" : "10.1111/brv.12088", "ISSN" : "14647931", "author" : [ { "dropping-particle" : "", "family" : "Arag\u00e3o", "given" : "Luiz E. O. C.", "non-dropping-particle" : "", "parse-names" : false, "suffix" : "" }, { "dropping-particle" : "", "family" : "Poulter", "given" : "Benjamin", "non-dropping-particle" : "", "parse-names" : false, "suffix" : "" }, { "dropping-particle" : "", "family" : "Barlow", "given" : "Jos B.", "non-dropping-particle" : "", "parse-names" : false, "suffix" : "" }, { "dropping-particle" : "", "family" : "Anderson", "given" : "Liana O.", "non-dropping-particle" : "", "parse-names" : false, "suffix" : "" }, { "dropping-particle" : "", "family" : "Malhi", "given" : "Yadvinder", "non-dropping-particle" : "", "parse-names" : false, "suffix" : "" }, { "dropping-particle" : "", "family" : "Saatchi", "given" : "Sassan", "non-dropping-particle" : "", "parse-names" : false, "suffix" : "" }, { "dropping-particle" : "", "family" : "Phillips", "given" : "Oliver L.", "non-dropping-particle" : "", "parse-names" : false, "suffix" : "" }, { "dropping-particle" : "", "family" : "Gloor", "given" : "Emanuel", "non-dropping-particle" : "", "parse-names" : false, "suffix" : "" } ], "container-title" : "Biological Reviews", "id" : "ITEM-2", "issue" : "4", "issued" : { "date-parts" : [ [ "2014", "11" ] ] }, "page" : "913-931", "title" : "Environmental change and the carbon balance of Amazonian forests", "type" : "article-journal", "volume" : "89" }, "uris" : [ "http://www.mendeley.com/documents/?uuid=c9f98d81-fdac-4f7b-a2d5-7bb8facaa119" ] } ], "mendeley" : { "formattedCitation" : "(Arag\u00e3o et al., 2014; Poulter, Frank, Hodson, &amp; Zimmermann, 2011)", "plainTextFormattedCitation" : "(Arag\u00e3o et al., 2014; Poulter, Frank, Hodson, &amp; Zimmermann, 2011)", "previouslyFormattedCitation" : "(Arag\u00e3o et al., 2014; Poulter, Frank, Hodson, &amp; Zimmermann, 2011)"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(Aragão et al., 2014; Poulter</w:t>
      </w:r>
      <w:r w:rsidRPr="008608AA">
        <w:rPr>
          <w:rFonts w:eastAsia="Droid Sans Fallback"/>
          <w:noProof/>
        </w:rPr>
        <w:t xml:space="preserve"> et al., 2011)</w:t>
      </w:r>
      <w:r w:rsidRPr="008608AA">
        <w:rPr>
          <w:rFonts w:eastAsia="Droid Sans Fallback"/>
        </w:rPr>
        <w:fldChar w:fldCharType="end"/>
      </w:r>
      <w:r w:rsidRPr="008608AA">
        <w:rPr>
          <w:rFonts w:eastAsia="Droid Sans Fallback"/>
        </w:rPr>
        <w:t xml:space="preserve">. Climate feedback of these processes have also been shown through local observation and modelled at regional scale </w:t>
      </w:r>
      <w:r w:rsidRPr="008608AA">
        <w:rPr>
          <w:rFonts w:eastAsia="Droid Sans Fallback"/>
        </w:rPr>
        <w:fldChar w:fldCharType="begin" w:fldLock="1"/>
      </w:r>
      <w:r w:rsidRPr="008608AA">
        <w:rPr>
          <w:rFonts w:eastAsia="Droid Sans Fallback"/>
        </w:rPr>
        <w:instrText>ADDIN CSL_CITATION { "citationItems" : [ { "id" : "ITEM-1", "itemData" : { "DOI" : "10.1002/2015GL066063", "ISSN" : "00948276", "author" : [ { "dropping-particle" : "V.", "family" : "Spracklen", "given" : "D.", "non-dropping-particle" : "", "parse-names" : false, "suffix" : "" }, { "dropping-particle" : "", "family" : "Garcia-Carreras", "given" : "L.", "non-dropping-particle" : "", "parse-names" : false, "suffix" : "" } ], "container-title" : "Geophysical Research Letters", "id" : "ITEM-1", "issue" : "21", "issued" : { "date-parts" : [ [ "2015", "11", "16" ] ] }, "page" : "9546-9552", "title" : "The impact of Amazonian deforestation on Amazon basin rainfall", "type" : "article-journal", "volume" : "42" }, "uris" : [ "http://www.mendeley.com/documents/?uuid=11a7c012-7110-46c1-a76a-c71b3c9815ad" ] }, { "id" : "ITEM-2", "itemData" : { "DOI" : "10.1175/1520-0442(2004)017&lt;2261:COTLJE&gt;2.0.CO;2", "ISSN" : "0894-8755", "abstract" : "Abstract A climatology of the South American low-level jet east of the Andes (SALLJ) is developed using the 1950? 2000 circulation and moisture fields from the NCEP?NCAR reanalyses and available upper-air observations made in Bolivia and Paraguay since 1998. Upper- and low-level circulation fields were derived for seasonal means and SALLJ composites during the warm and cold seasons. The Bonner criterion 1 was applied for sites in central Bolivia and downstream near northern Paraguay, to determine the spatial and temporal characteristics of the SALLJ. On the circulation characteristics, SALLJ composites during the warm season show the enhanced low-level meridional moisture transport coming from equatorial South America as well as an upper-level wave train emanating from the west Pacific propagating toward South America. The intensification of the warm season SALLJ follows the establishment of an upper-level ridge over southern Brazil and a trough over most of Argentina. The circulation anomalies at upper and lower levels suggest that the intensification of the SALLJ would lead to an intensification of the South Atlantic convergence zone (SACZ) later on and to the penetration of cold fronts with an area of enhanced convection ahead at the exit region of the SALLJ. Regarding the time variability, the SALLJ seems to occur all year long, bringing tropical moist air masses from the Amazon into southern Brazil?northern Argentina more frequently in the warm season, and bringing tropical maritime air, which is less humid than the tropical air masses coming from the subtropical Atlantic high, more frequently during the cold season. SALLJs are detected mostly during the warm season to the north of ?20\u00b0S, while to the south the SALLJs seem to occur all year long. The diurnal cycle shows that SALLJs are more frequent and intense between 0600 and 1200 UTC for the warm season north of 20\u00b0S, while at the region downstream the maximum is detected between 0000 and 0600 UTC during the cold season. At interannual time scales, even though there is a weak tendency for stronger and more frequent warm season SALLJ episodes in years with anomalously warm surface waters in the tropical Pacific, it cannot be affirmed with a large degree of certainty that there is a strong relationship between the occurrence of El Ni\u00f1o events and the number and/ or intensity of SALLJ episodes. However, the 1998 El Ni\u00f1o featured more frequent and intense warm season jet episodes than occurred durin\u2026", "author" : [ { "dropping-particle" : "", "family" : "Marengo", "given" : "Jose A", "non-dropping-particle" : "", "parse-names" : false, "suffix" : "" }, { "dropping-particle" : "", "family" : "Soares", "given" : "Wagner R", "non-dropping-particle" : "", "parse-names" : false, "suffix" : "" }, { "dropping-particle" : "", "family" : "Saulo", "given" : "Celeste", "non-dropping-particle" : "", "parse-names" : false, "suffix" : "" }, { "dropping-particle" : "", "family" : "Nicolini", "given" : "Matilde", "non-dropping-particle" : "", "parse-names" : false, "suffix" : "" } ], "container-title" : "Journal of Climate", "id" : "ITEM-2", "issue" : "12", "issued" : { "date-parts" : [ [ "2004", "6", "1" ] ] }, "note" : "doi: 10.1175/1520-0442(2004)0172.0.CO;2", "page" : "2261-2280", "publisher" : "American Meteorological Society", "title" : "Climatology of the Low-Level Jet East of the Andes as Derived from the NCEP\u2013NCAR Reanalyses: Characteristics and Temporal Variability", "type" : "article-journal", "volume" : "17" }, "uris" : [ "http://www.mendeley.com/documents/?uuid=252158a4-85f1-4255-ad9b-dcb429d55b1b" ] } ], "mendeley" : { "formattedCitation" : "(Jose A Marengo et al., 2004; Spracklen &amp; Garcia-Carreras, 2015)", "plainTextFormattedCitation" : "(Jose A Marengo et al., 2004; Spracklen &amp; Garcia-Carreras, 2015)", "previouslyFormattedCitation" : "(Jose A Marengo et al., 2004; Spracklen &amp; Garcia-Carreras,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(Marengo et al., 2004; Spracklen &amp; Garcia-Carreras, 2015)</w:t>
      </w:r>
      <w:r w:rsidRPr="008608AA">
        <w:rPr>
          <w:rFonts w:eastAsia="Droid Sans Fallback"/>
        </w:rPr>
        <w:fldChar w:fldCharType="end"/>
      </w:r>
      <w:r w:rsidRPr="008608AA">
        <w:rPr>
          <w:rFonts w:eastAsia="Droid Sans Fallback"/>
        </w:rPr>
        <w:t xml:space="preserve">, as a strong indication of the importance of the natural vegetation as climate regulation. Therefore, deforestation can, itself, be a driver of climate change </w:t>
      </w:r>
      <w:r w:rsidRPr="008608AA">
        <w:rPr>
          <w:rFonts w:eastAsia="Droid Sans Fallback"/>
        </w:rPr>
        <w:fldChar w:fldCharType="begin" w:fldLock="1"/>
      </w:r>
      <w:r w:rsidRPr="008608AA">
        <w:rPr>
          <w:rFonts w:eastAsia="Droid Sans Fallback"/>
        </w:rPr>
        <w:instrText>ADDIN CSL_CITATION { "citationItems" : [ { "id" : "ITEM-1", "itemData" : { "DOI" : "10.1126/science.1146961", "ISBN" : "0036-8075", "ISSN" : "0036-8075", "PMID" : "18048654", "abstract" : "The forest biome of Amazonia is one of Earth's greatest biological treasures and a major component of the Earth system. This century, it faces the dual threats of deforestation and stress from climate change. Here, we summarize some of the latest findings and thinking on these threats, explore the consequences for the forest ecosystem and its human residents, and outline options for the future of Amazonia. We also discuss the implications of new proposals to finance preservation of Amazonian forests.", "author" : [ { "dropping-particle" : "", "family" : "Malhi", "given" : "Y.", "non-dropping-particle" : "", "parse-names" : false, "suffix" : "" }, { "dropping-particle" : "", "family" : "Roberts", "given" : "J. T.", "non-dropping-particle" : "", "parse-names" : false, "suffix" : "" }, { "dropping-particle" : "", "family" : "Betts", "given" : "R. A.", "non-dropping-particle" : "", "parse-names" : false, "suffix" : "" }, { "dropping-particle" : "", "family" : "Killeen", "given" : "T. J.", "non-dropping-particle" : "", "parse-names" : false, "suffix" : "" }, { "dropping-particle" : "", "family" : "Li", "given" : "W.", "non-dropping-particle" : "", "parse-names" : false, "suffix" : "" }, { "dropping-particle" : "", "family" : "Nobre", "given" : "C. A.", "non-dropping-particle" : "", "parse-names" : false, "suffix" : "" } ], "container-title" : "Science", "id" : "ITEM-1", "issue" : "5860", "issued" : { "date-parts" : [ [ "2008", "1", "11" ] ] }, "page" : "169-172", "title" : "Climate Change, Deforestation, and the Fate of the Amazon", "type" : "article-journal", "volume" : "319" }, "uris" : [ "http://www.mendeley.com/documents/?uuid=f3617dca-62ef-4d73-af6f-9bfbc42d0ef1" ] }, { "id" : "ITEM-2", "itemData" : { "DOI" : "10.1029/2007GL030612", "ISSN" : "0094-8276", "author" : [ { "dropping-particle" : "", "family" : "Sampaio", "given" : "Gilvan", "non-dropping-particle" : "", "parse-names" : false, "suffix" : "" }, { "dropping-particle" : "", "family" : "Nobre", "given" : "Carlos", "non-dropping-particle" : "", "parse-names" : false, "suffix" : "" }, { "dropping-particle" : "", "family" : "Costa", "given" : "Marcos Heil", "non-dropping-particle" : "", "parse-names" : false, "suffix" : "" }, { "dropping-particle" : "", "family" : "Satyamurty", "given" : "Prakki", "non-dropping-particle" : "", "parse-names" : false, "suffix" : "" }, { "dropping-particle" : "", "family" : "Soares-Filho", "given" : "Britaldo Silveira", "non-dropping-particle" : "", "parse-names" : false, "suffix" : "" }, { "dropping-particle" : "", "family" : "Cardoso", "given" : "Manoel", "non-dropping-particle" : "", "parse-names" : false, "suffix" : "" } ], "container-title" : "Geophysical Research Letters", "id" : "ITEM-2", "issue" : "17", "issued" : { "date-parts" : [ [ "2007", "9", "13" ] ] }, "page" : "L17709", "title" : "Regional climate change over eastern Amazonia caused by pasture and soybean cropland expansion", "type" : "article-journal", "volume" : "34" }, "uris" : [ "http://www.mendeley.com/documents/?uuid=1cd9831b-9f1d-411d-84f1-674b3d404c2a" ] }, { "id" : "ITEM-3", "itemData" : { "DOI" : "10.2478/s11756-009-0076-9", "ISSN" : "1336-9563", "abstract" : "Biome models of the global climate-vegetation relationships indicate that most of the Brazilian Amazon has potential for being covered by tropical forests. From current land-use processes observed in the region, however, substantial deforestation and fire activity have been verified in large portions of the region, particularly along the Arc of Deforestation. In a first attempt to evaluate the long-term potential for tropical-forest degradation due to deforestation and fires in the Brazilian Amazon, we analysed large-scale data on fire activity and climate factors that drive the distribution of tropical forests in the region. The initial analyses and results from this study lead to important details on the relations between these quantities and have important implications for building future parameterizations of the vulnerability of tropical forests in the region.", "author" : [ { "dropping-particle" : "", "family" : "Cardoso", "given" : "Manoel", "non-dropping-particle" : "", "parse-names" : false, "suffix" : "" }, { "dropping-particle" : "", "family" : "Nobre", "given" : "Carlos", "non-dropping-particle" : "", "parse-names" : false, "suffix" : "" }, { "dropping-particle" : "", "family" : "Sampaio", "given" : "Gilvan", "non-dropping-particle" : "", "parse-names" : false, "suffix" : "" }, { "dropping-particle" : "", "family" : "Hirota", "given" : "Marina", "non-dropping-particle" : "", "parse-names" : false, "suffix" : "" }, { "dropping-particle" : "", "family" : "Valeriano", "given" : "Dalton", "non-dropping-particle" : "", "parse-names" : false, "suffix" : "" }, { "dropping-particle" : "", "family" : "C\u00e2mara", "given" : "Gilberto", "non-dropping-particle" : "", "parse-names" : false, "suffix" : "" } ], "container-title" : "Biologia", "id" : "ITEM-3", "issue" : "3", "issued" : { "date-parts" : [ [ "2009", "1", "1" ] ] }, "title" : "Long-term potential for tropical-forest degradation due to deforestation and fires in the Brazilian Amazon", "type" : "article-journal", "volume" : "64" }, "uris" : [ "http://www.mendeley.com/documents/?uuid=d9f9b7c5-e035-48a2-9940-dfcc7fe3fc8b" ] } ], "mendeley" : { "formattedCitation" : "(Cardoso et al., 2009; Y. Malhi et al., 2008; Sampaio et al., 2007)", "plainTextFormattedCitation" : "(Cardoso et al., 2009; Y. Malhi et al., 2008; Sampaio et al., 2007)", "previouslyFormattedCitation" : "(Cardoso et al., 2009; Y. Malhi et al., 2008; Sampaio et al., 2007)"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(Cardoso et al., 2009; Malhi</w:t>
      </w:r>
      <w:r w:rsidRPr="008608AA">
        <w:rPr>
          <w:rFonts w:eastAsia="Droid Sans Fallback"/>
          <w:noProof/>
        </w:rPr>
        <w:t xml:space="preserve"> et al., 2008; Sampaio et al., 2007)</w:t>
      </w:r>
      <w:r w:rsidRPr="008608AA">
        <w:rPr>
          <w:rFonts w:eastAsia="Droid Sans Fallback"/>
        </w:rPr>
        <w:fldChar w:fldCharType="end"/>
      </w:r>
      <w:r w:rsidRPr="008608AA">
        <w:rPr>
          <w:rFonts w:eastAsia="Droid Sans Fallback"/>
        </w:rPr>
        <w:t xml:space="preserve"> at both local and global scale </w:t>
      </w:r>
      <w:r w:rsidRPr="008608AA">
        <w:rPr>
          <w:rFonts w:eastAsia="Droid Sans Fallback"/>
        </w:rPr>
        <w:fldChar w:fldCharType="begin" w:fldLock="1"/>
      </w:r>
      <w:r w:rsidRPr="008608AA">
        <w:rPr>
          <w:rFonts w:eastAsia="Droid Sans Fallback"/>
        </w:rPr>
        <w:instrText>ADDIN CSL_CITATION { "citationItems" : [ { "id" : "ITEM-1", "itemData" : { "DOI" : "10.1029/2001JD000717", "ISSN" : "0148-0227", "author" : [ { "dropping-particle" : "", "family" : "Werth", "given" : "David", "non-dropping-particle" : "", "parse-names" : false, "suffix" : "" } ], "container-title" : "Journal of Geophysical Research", "id" : "ITEM-1", "issue" : "D20", "issued" : { "date-parts" : [ [ "2002" ] ] }, "page" : "8087", "title" : "The local and global effects of Amazon deforestation", "type" : "article-journal", "volume" : "107" }, "uris" : [ "http://www.mendeley.com/documents/?uuid=82436d19-0e32-4651-b248-f9680a30a8aa" ] }, { "id" : "ITEM-2", "itemData" : { "DOI" : "10.1038/nclimate2430", "ISSN" : "1758-678X", "author" : [ { "dropping-particle" : "", "family" : "Lawrence", "given" : "Deborah", "non-dropping-particle" : "", "parse-names" : false, "suffix" : "" }, { "dropping-particle" : "", "family" : "Vandecar", "given" : "Karen", "non-dropping-particle" : "", "parse-names" : false, "suffix" : "" } ], "container-title" : "Nature Climate Change", "id" : "ITEM-2", "issue" : "1", "issued" : { "date-parts" : [ [ "2014", "12", "18" ] ] }, "page" : "27-36", "title" : "Effects of tropical deforestation on climate and agriculture", "type" : "article-journal", "volume" : "5" }, "uris" : [ "http://www.mendeley.com/documents/?uuid=e0848a40-6673-494c-baca-ca65ea814f9d" ] }, { "id" : "ITEM-3", "itemData" : { "DOI" : "10.1002/2015GL065252", "ISSN" : "00948276", "author" : [ { "dropping-particle" : "", "family" : "Maeda", "given" : "Eduardo Eiji", "non-dropping-particle" : "", "parse-names" : false, "suffix" : "" }, { "dropping-particle" : "", "family" : "Kim", "given" : "Hyungjun", "non-dropping-particle" : "", "parse-names" : false, "suffix" : "" }, { "dropping-particle" : "", "family" : "Arag\u00e3o", "given" : "Luiz E. O. C.", "non-dropping-particle" : "", "parse-names" : false, "suffix" : "" }, { "dropping-particle" : "", "family" : "Famiglietti", "given" : "James S.", "non-dropping-particle" : "", "parse-names" : false, "suffix" : "" }, { "dropping-particle" : "", "family" : "Oki", "given" : "Taikan", "non-dropping-particle" : "", "parse-names" : false, "suffix" : "" } ], "container-title" : "Geophysical Research Letters", "id" : "ITEM-3", "issue" : "18", "issued" : { "date-parts" : [ [ "2015", "9", "28" ] ] }, "page" : "7546-7553", "title" : "Disruption of hydroecological equilibrium in southwest Amazon mediated by drought", "type" : "article-journal", "volume" : "42" }, "uris" : [ "http://www.mendeley.com/documents/?uuid=8b128246-86a8-46dd-81f9-beb8c01f27c1" ] } ], "mendeley" : { "formattedCitation" : "(Lawrence &amp; Vandecar, 2014; Maeda, Kim, Arag\u00e3o, Famiglietti, &amp; Oki, 2015; Werth, 2002)", "plainTextFormattedCitation" : "(Lawrence &amp; Vandecar, 2014; Maeda, Kim, Arag\u00e3o, Famiglietti, &amp; Oki, 2015; Werth, 2002)", "previouslyFormattedCitation" : "(Lawrence &amp; Vandecar, 2014; Maeda, Kim, Arag\u00e3o, Famiglietti, &amp; Oki, 2015; Werth, 2002)"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(L</w:t>
      </w:r>
      <w:r w:rsidR="002C171D" w:rsidRPr="008608AA">
        <w:rPr>
          <w:rFonts w:eastAsia="Droid Sans Fallback"/>
          <w:noProof/>
        </w:rPr>
        <w:t>awrence &amp; Vandecar, 2014; Maeda</w:t>
      </w:r>
      <w:r w:rsidRPr="008608AA">
        <w:rPr>
          <w:rFonts w:eastAsia="Droid Sans Fallback"/>
          <w:noProof/>
        </w:rPr>
        <w:t xml:space="preserve"> et al., 2015; Werth, 2002)</w:t>
      </w:r>
      <w:r w:rsidRPr="008608AA">
        <w:rPr>
          <w:rFonts w:eastAsia="Droid Sans Fallback"/>
        </w:rPr>
        <w:fldChar w:fldCharType="end"/>
      </w:r>
      <w:r w:rsidRPr="008608AA">
        <w:rPr>
          <w:rFonts w:eastAsia="Droid Sans Fallback"/>
        </w:rPr>
        <w:t xml:space="preserve">. Normally, climate change simulations consider deforestation in large areas, or even at biome scale, although, the effect on loss of ecosystem services at local scale can drive deep changes in </w:t>
      </w:r>
      <w:r w:rsidR="007C45FD" w:rsidRPr="008608AA">
        <w:rPr>
          <w:rFonts w:eastAsia="Droid Sans Fallback"/>
        </w:rPr>
        <w:t>sub</w:t>
      </w:r>
      <w:r w:rsidRPr="008608AA">
        <w:rPr>
          <w:rFonts w:eastAsia="Droid Sans Fallback"/>
        </w:rPr>
        <w:t xml:space="preserve">region climate, possibly weakening the resilience of the whole region </w:t>
      </w:r>
      <w:r w:rsidRPr="008608AA">
        <w:rPr>
          <w:rFonts w:eastAsia="Droid Sans Fallback"/>
        </w:rPr>
        <w:fldChar w:fldCharType="begin" w:fldLock="1"/>
      </w:r>
      <w:r w:rsidRPr="008608AA">
        <w:rPr>
          <w:rFonts w:eastAsia="Droid Sans Fallback"/>
        </w:rPr>
        <w:instrText>ADDIN CSL_CITATION { "citationItems" : [ { "id" : "ITEM-1", "itemData" : { "DOI" : "10.1126/science.1146961", "ISBN" : "0036-8075", "ISSN" : "0036-8075", "PMID" : "18048654", "abstract" : "The forest biome of Amazonia is one of Earth's greatest biological treasures and a major component of the Earth system. This century, it faces the dual threats of deforestation and stress from climate change. Here, we summarize some of the latest findings and thinking on these threats, explore the consequences for the forest ecosystem and its human residents, and outline options for the future of Amazonia. We also discuss the implications of new proposals to finance preservation of Amazonian forests.", "author" : [ { "dropping-particle" : "", "family" : "Malhi", "given" : "Y.", "non-dropping-particle" : "", "parse-names" : false, "suffix" : "" }, { "dropping-particle" : "", "family" : "Roberts", "given" : "J. T.", "non-dropping-particle" : "", "parse-names" : false, "suffix" : "" }, { "dropping-particle" : "", "family" : "Betts", "given" : "R. A.", "non-dropping-particle" : "", "parse-names" : false, "suffix" : "" }, { "dropping-particle" : "", "family" : "Killeen", "given" : "T. J.", "non-dropping-particle" : "", "parse-names" : false, "suffix" : "" }, { "dropping-particle" : "", "family" : "Li", "given" : "W.", "non-dropping-particle" : "", "parse-names" : false, "suffix" : "" }, { "dropping-particle" : "", "family" : "Nobre", "given" : "C. A.", "non-dropping-particle" : "", "parse-names" : false, "suffix" : "" } ], "container-title" : "Science", "id" : "ITEM-1", "issue" : "5860", "issued" : { "date-parts" : [ [ "2008", "1", "11" ] ] }, "page" : "169-172", "title" : "Climate Change, Deforestation, and the Fate of the Amazon", "type" : "article-journal", "volume" : "319" }, "uris" : [ "http://www.mendeley.com/documents/?uuid=f3617dca-62ef-4d73-af6f-9bfbc42d0ef1" ] } ], "mendeley" : { "formattedCitation" : "(Y. Malhi et al., 2008)", "plainTextFormattedCitation" : "(Y. Malhi et al., 2008)", "previouslyFormattedCitation" : "(Y. Malhi et al., 2008)"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(Malhi</w:t>
      </w:r>
      <w:r w:rsidRPr="008608AA">
        <w:rPr>
          <w:rFonts w:eastAsia="Droid Sans Fallback"/>
          <w:noProof/>
        </w:rPr>
        <w:t xml:space="preserve"> et al., 2008)</w:t>
      </w:r>
      <w:r w:rsidRPr="008608AA">
        <w:rPr>
          <w:rFonts w:eastAsia="Droid Sans Fallback"/>
        </w:rPr>
        <w:fldChar w:fldCharType="end"/>
      </w:r>
      <w:r w:rsidRPr="008608AA">
        <w:rPr>
          <w:rFonts w:eastAsia="Droid Sans Fallback"/>
        </w:rPr>
        <w:t>.</w:t>
      </w:r>
    </w:p>
    <w:p w14:paraId="708A28B1" w14:textId="3BF62F3D" w:rsidR="00490494" w:rsidRPr="008608AA" w:rsidRDefault="00490494" w:rsidP="00EE708F">
      <w:pPr>
        <w:suppressAutoHyphens/>
        <w:rPr>
          <w:rFonts w:eastAsia="Droid Sans Fallback"/>
        </w:rPr>
      </w:pPr>
      <w:r w:rsidRPr="008608AA">
        <w:rPr>
          <w:rFonts w:eastAsia="Droid Sans Fallback"/>
        </w:rPr>
        <w:t xml:space="preserve">Despite the recent reduction in deforestation rates in the Brazilian Amazon, deforestation and forest degradation are still process of high concern; the region has lost about 19% of its natural cover and has about 40% of its area on conservation units and Indian reservation </w:t>
      </w:r>
      <w:r w:rsidRPr="008608AA">
        <w:rPr>
          <w:rFonts w:eastAsia="Droid Sans Fallback"/>
        </w:rPr>
        <w:fldChar w:fldCharType="begin" w:fldLock="1"/>
      </w:r>
      <w:r w:rsidRPr="008608AA">
        <w:rPr>
          <w:rFonts w:eastAsia="Droid Sans Fallback"/>
        </w:rPr>
        <w:instrText>ADDIN CSL_CITATION { "citationItems" : [ { "id" : "ITEM-1", "itemData" : { "DOI" : "10.1111/gcb.13134", "ISBN" : "1365-2486 (Electronic)\\r1354-1013 (Linking)", "ISSN" : "13541013", "PMID" : "26511401", "abstract" : "Accepted Author Manuscript", "author" : [ { "dropping-particle" : "", "family" : "Aguiar", "given" : "Ana Paula Dutra", "non-dropping-particle" : "", "parse-names" : false, "suffix" : "" }, { "dropping-particle" : "", "family" : "Vieira", "given" : "Ima C\u00e9lia Guimar\u00e3es", "non-dropping-particle" : "", "parse-names" : false, "suffix" : "" }, { "dropping-particle" : "", "family" : "Assis", "given" : "Talita Oliveira", "non-dropping-particle" : "", "parse-names" : false, "suffix" : "" }, { "dropping-particle" : "", "family" : "Dalla-Nora", "given" : "Eloi L.", "non-dropping-particle" : "", "parse-names" : false, "suffix" : "" }, { "dropping-particle" : "", "family" : "Toledo", "given" : "Peter Mann", "non-dropping-particle" : "", "parse-names" : false, "suffix" : "" }, { "dropping-particle" : "", "family" : "Oliveira Santos-Junior", "given" : "Roberto Ara\u00fajo", "non-dropping-particle" : "", "parse-names" : false, "suffix" : "" }, { "dropping-particle" : "", "family" : "Batistella", "given" : "Mateus", "non-dropping-particle" : "", "parse-names" : false, "suffix" : "" }, { "dropping-particle" : "", "family" : "Coelho", "given" : "Andrea Santos", "non-dropping-particle" : "", "parse-names" : false, "suffix" : "" }, { "dropping-particle" : "", "family" : "Savaget", "given" : "Elza Kawakami", "non-dropping-particle" : "", "parse-names" : false, "suffix" : "" }, { "dropping-particle" : "", "family" : "Arag\u00e3o", "given" : "Luiz Eduardo Oliveira Cruz", "non-dropping-particle" : "", "parse-names" : false, "suffix" : "" }, { "dropping-particle" : "", "family" : "Nobre", "given" : "Carlos Afonso", "non-dropping-particle" : "", "parse-names" : false, "suffix" : "" }, { "dropping-particle" : "", "family" : "Ometto", "given" : "Jean Pierre H", "non-dropping-particle" : "", "parse-names" : false, "suffix" : "" } ], "container-title" : "Global Change Biology", "id" : "ITEM-1", "issue" : "5", "issued" : { "date-parts" : [ [ "2016", "5" ] ] }, "page" : "1821-1840", "title" : "Land use change emission scenarios: anticipating a forest transition process in the Brazilian Amazon", "type" : "article-journal", "volume" : "22" }, "uris" : [ "http://www.mendeley.com/documents/?uuid=63f83b62-c789-4c2f-b59d-cbd987d02d71" ] } ], "mendeley" : { "formattedCitation" : "(A. P. D. Aguiar et al., 2016)", "plainTextFormattedCitation" : "(A. P. D. Aguiar et al., 2016)", "previouslyFormattedCitation" : "(A. P. D. Aguiar et al., 2016)"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(Aguiar</w:t>
      </w:r>
      <w:r w:rsidRPr="008608AA">
        <w:rPr>
          <w:rFonts w:eastAsia="Droid Sans Fallback"/>
          <w:noProof/>
        </w:rPr>
        <w:t xml:space="preserve"> et al., 2016)</w:t>
      </w:r>
      <w:r w:rsidRPr="008608AA">
        <w:rPr>
          <w:rFonts w:eastAsia="Droid Sans Fallback"/>
        </w:rPr>
        <w:fldChar w:fldCharType="end"/>
      </w:r>
      <w:r w:rsidRPr="008608AA">
        <w:rPr>
          <w:rFonts w:eastAsia="Droid Sans Fallback"/>
        </w:rPr>
        <w:t xml:space="preserve">. The Amazon monitoring systems of Brazilian Government, as Amazon Forest Degradation Monitoring System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"INPE", "given" : "", "non-dropping-particle" : "", "parse-names" : false, "suffix" : "" } ], "id" : "ITEM-1", "issued" : { "date-parts" : [ [ "2014" ] ] }, "publisher-place" : "S\u00e3o Jos\u00e9 dos Campos, SP, Brazil.", "title" : "Sistema DEGRAD", "type" : "report" }, "suffix" : ", www.inpe.br", "uris" : [ "http://www.mendeley.com/documents/?uuid=00139dca-b0d8-41d7-8050-d506e142a757" ] } ], "mendeley" : { "formattedCitation" : "(INPE, 2014, www.inpe.br)", "plainTextFormattedCitation" : "(INPE, 2014, www.inpe.br)", "previouslyFormattedCitation" : "(INPE, 2014, www.inpe.br)"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(INPE, 2014, www.inpe.br)</w:t>
      </w:r>
      <w:r w:rsidRPr="008608AA">
        <w:rPr>
          <w:rFonts w:eastAsia="Droid Sans Fallback"/>
        </w:rPr>
        <w:fldChar w:fldCharType="end"/>
      </w:r>
      <w:r w:rsidRPr="008608AA">
        <w:rPr>
          <w:rFonts w:eastAsia="Droid Sans Fallback"/>
        </w:rPr>
        <w:t xml:space="preserve"> and Amazon Deforestation Monitoring System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"INPE", "given" : "", "non-dropping-particle" : "", "parse-names" : false, "suffix" : "" } ], "id" : "ITEM-1", "issued" : { "date-parts" : [ [ "2017" ] ] }, "publisher-place" : "S\u00e3o Jos\u00e9 dos Campos, SP, Brazil", "title" : "Projeto PRODES: Monitoramento da Floresta Amaz\u00f4nica Brasileira por Sat\u00e9lite", "type" : "report" }, "uris" : [ "http://www.mendeley.com/documents/?uuid=084f0d74-df10-4e97-a3f1-ad5a1aafd174" ] } ], "mendeley" : { "formattedCitation" : "(INPE, 2017)", "plainTextFormattedCitation" : "(INPE, 2017)", "previouslyFormattedCitation" : "(INPE, 2017)"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(INPE, 2017)</w:t>
      </w:r>
      <w:r w:rsidRPr="008608AA">
        <w:rPr>
          <w:rFonts w:eastAsia="Droid Sans Fallback"/>
        </w:rPr>
        <w:fldChar w:fldCharType="end"/>
      </w:r>
      <w:r w:rsidRPr="008608AA">
        <w:rPr>
          <w:rFonts w:eastAsia="Droid Sans Fallback"/>
        </w:rPr>
        <w:t xml:space="preserve"> identified, in the period from 2007 to 2013, illegal logging and anthropogenic fire activities, degraded 103,000 km</w:t>
      </w:r>
      <w:r w:rsidRPr="008608AA">
        <w:rPr>
          <w:rFonts w:eastAsia="Droid Sans Fallback"/>
          <w:vertAlign w:val="superscript"/>
        </w:rPr>
        <w:t>2</w:t>
      </w:r>
      <w:r w:rsidRPr="008608AA">
        <w:rPr>
          <w:rFonts w:eastAsia="Droid Sans Fallback"/>
        </w:rPr>
        <w:t xml:space="preserve"> of forests, whilst clear cut deforestation impacted 56,000 km</w:t>
      </w:r>
      <w:r w:rsidRPr="008608AA">
        <w:rPr>
          <w:rFonts w:eastAsia="Droid Sans Fallback"/>
          <w:vertAlign w:val="superscript"/>
        </w:rPr>
        <w:t>2</w:t>
      </w:r>
      <w:r w:rsidRPr="008608AA">
        <w:rPr>
          <w:rFonts w:eastAsia="Droid Sans Fallback"/>
        </w:rPr>
        <w:t xml:space="preserve">. From the clear cut, about 60% turned into pasturelands, and 23% is abandoned, leading to the recovery of secondary vegetation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"INPE", "given" : "", "non-dropping-particle" : "", "parse-names" : false, "suffix" : "" } ], "id" : "ITEM-1", "issued" : { "date-parts" : [ [ "2015" ] ] }, "publisher-place" : "S\u00e3o Jos\u00e9 dos Campos, S\u00e3o Paulo, SP, Brazil", "title" : "Terra Class", "type" : "report" }, "prefix" : "TerraClass,  ", "suffix" : ", www.inpe.br", "uris" : [ "http://www.mendeley.com/documents/?uuid=feaa7f19-76b4-439e-9f38-3f5013158cea" ] } ], "mendeley" : { "formattedCitation" : "(TerraClass, INPE, 2015, www.inpe.br)", "plainTextFormattedCitation" : "(TerraClass, INPE, 2015, www.inpe.br)", "previouslyFormattedCitation" : "(TerraClass, INPE, 2015, www.inpe.br)"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(TerraClass, INPE, 2015, www.inpe.br)</w:t>
      </w:r>
      <w:r w:rsidRPr="008608AA">
        <w:rPr>
          <w:rFonts w:eastAsia="Droid Sans Fallback"/>
        </w:rPr>
        <w:fldChar w:fldCharType="end"/>
      </w:r>
      <w:r w:rsidRPr="008608AA">
        <w:rPr>
          <w:rFonts w:eastAsia="Droid Sans Fallback"/>
        </w:rPr>
        <w:t xml:space="preserve">. These systems, associated with the agricultural census, provided useful information on the major characteristic of the rural properties, which reflected in a better mapping of the deforestation paths and characteristics </w:t>
      </w:r>
      <w:r w:rsidRPr="008608AA">
        <w:rPr>
          <w:rFonts w:eastAsia="Droid Sans Fallback"/>
        </w:rPr>
        <w:fldChar w:fldCharType="begin" w:fldLock="1"/>
      </w:r>
      <w:r w:rsidRPr="008608AA">
        <w:rPr>
          <w:rFonts w:eastAsia="Droid Sans Fallback"/>
        </w:rPr>
        <w:instrText>ADDIN CSL_CITATION { "citationItems" : [ { "id" : "ITEM-1", "itemData" : { "DOI" : "10.1073/pnas.1508418112", "ISSN" : "0027-8424", "author" : [ { "dropping-particle" : "", "family" : "Godar", "given" : "Javier", "non-dropping-particle" : "", "parse-names" : false, "suffix" : "" }, { "dropping-particle" : "", "family" : "Gardner", "given" : "Toby A", "non-dropping-particle" : "", "parse-names" : false, "suffix" : "" }, { "dropping-particle" : "", "family" : "Tizado", "given" : "E Jorge", "non-dropping-particle" : "", "parse-names" : false, "suffix" : "" }, { "dropping-particle" : "", "family" : "Pacheco", "given" : "Pablo", "non-dropping-particle" : "", "parse-names" : false, "suffix" : "" } ], "container-title" : "Proceedings of the National Academy of Sciences", "id" : "ITEM-1", "issue" : "23", "issued" : { "date-parts" : [ [ "2015", "6", "9" ] ] }, "page" : "E3089-E3089", "title" : "Correction for Godar et al., Actor-specific contributions to the deforestation slowdown in the Brazilian Amazon", "type" : "article-journal", "volume" : "112" }, "uris" : [ "http://www.mendeley.com/documents/?uuid=8af9f4a0-93b2-4cc7-8a88-e687edfa92eb" ] } ], "mendeley" : { "formattedCitation" : "(Godar, Gardner, Tizado, &amp; Pacheco, 2015)", "plainTextFormattedCitation" : "(Godar, Gardner, Tizado, &amp; Pacheco, 2015)", "previouslyFormattedCitation" : "(Godar, Gardner, Tizado, &amp; Pacheco, 2015)"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(Godar</w:t>
      </w:r>
      <w:r w:rsidRPr="008608AA">
        <w:rPr>
          <w:rFonts w:eastAsia="Droid Sans Fallback"/>
          <w:noProof/>
        </w:rPr>
        <w:t xml:space="preserve"> et al., 2015)</w:t>
      </w:r>
      <w:r w:rsidRPr="008608AA">
        <w:rPr>
          <w:rFonts w:eastAsia="Droid Sans Fallback"/>
        </w:rPr>
        <w:fldChar w:fldCharType="end"/>
      </w:r>
      <w:r w:rsidRPr="008608AA">
        <w:rPr>
          <w:rFonts w:eastAsia="Droid Sans Fallback"/>
        </w:rPr>
        <w:t>. Those initiatives were associated to a Government act named (in Portuguese), “</w:t>
      </w:r>
      <w:r w:rsidRPr="008608AA">
        <w:rPr>
          <w:rFonts w:eastAsia="Droid Sans Fallback"/>
          <w:i/>
        </w:rPr>
        <w:t xml:space="preserve">Plano de Ação para Prevenção e Controle do Desmatamento na Amazônia Legal”, </w:t>
      </w:r>
      <w:r w:rsidRPr="008608AA">
        <w:rPr>
          <w:rFonts w:eastAsia="Droid Sans Fallback"/>
        </w:rPr>
        <w:t>Brazilian Ministry of Environment, 2004, important to reduce the rate of deforestation observed in 2004, at 27,772 km</w:t>
      </w:r>
      <w:r w:rsidRPr="008608AA">
        <w:rPr>
          <w:rFonts w:eastAsia="Droid Sans Fallback"/>
          <w:vertAlign w:val="superscript"/>
        </w:rPr>
        <w:t>2</w:t>
      </w:r>
      <w:r w:rsidRPr="008608AA">
        <w:rPr>
          <w:rFonts w:eastAsia="Droid Sans Fallback"/>
        </w:rPr>
        <w:t>, to 4571 km</w:t>
      </w:r>
      <w:r w:rsidRPr="008608AA">
        <w:rPr>
          <w:rFonts w:eastAsia="Droid Sans Fallback"/>
          <w:vertAlign w:val="superscript"/>
        </w:rPr>
        <w:t>2</w:t>
      </w:r>
      <w:r w:rsidRPr="008608AA">
        <w:rPr>
          <w:rFonts w:eastAsia="Droid Sans Fallback"/>
        </w:rPr>
        <w:t xml:space="preserve"> in 2012. Since then, deforestation has an increasing trend, reaching 7,893 Km</w:t>
      </w:r>
      <w:r w:rsidRPr="008608AA">
        <w:rPr>
          <w:rFonts w:eastAsia="Droid Sans Fallback"/>
          <w:vertAlign w:val="superscript"/>
        </w:rPr>
        <w:t>2</w:t>
      </w:r>
      <w:r w:rsidRPr="008608AA">
        <w:rPr>
          <w:rFonts w:eastAsia="Droid Sans Fallback"/>
        </w:rPr>
        <w:t xml:space="preserve"> in 2016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"INPE", "given" : "", "non-dropping-particle" : "", "parse-names" : false, "suffix" : "" } ], "id" : "ITEM-1", "issued" : { "date-parts" : [ [ "2017" ] ] }, "publisher-place" : "S\u00e3o Jos\u00e9 dos Campos, SP, Brazil", "title" : "Projeto PRODES: Monitoramento da Floresta Amaz\u00f4nica Brasileira por Sat\u00e9lite", "type" : "report" }, "uris" : [ "http://www.mendeley.com/documents/?uuid=084f0d74-df10-4e97-a3f1-ad5a1aafd174" ] } ], "mendeley" : { "formattedCitation" : "(INPE, 2017)", "plainTextFormattedCitation" : "(INPE, 2017)", "previouslyFormattedCitation" : "(INPE, 2017)"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(INPE, 2017)</w:t>
      </w:r>
      <w:r w:rsidRPr="008608AA">
        <w:rPr>
          <w:rFonts w:eastAsia="Droid Sans Fallback"/>
        </w:rPr>
        <w:fldChar w:fldCharType="end"/>
      </w:r>
      <w:r w:rsidRPr="008608AA">
        <w:rPr>
          <w:rFonts w:eastAsia="Droid Sans Fallback"/>
        </w:rPr>
        <w:t xml:space="preserve">. However, the revision of the Brazilian forest code might threaten, under legal terms, forests from the biomes Amazon, Cerrado and Atlantic forest, mainly by the broad possibilities of reducing the requirement to preserve natural vegetation outside the farm boundaries and the relaxation of the rules for private farms established before 2008 </w:t>
      </w:r>
      <w:r w:rsidRPr="008608AA">
        <w:rPr>
          <w:rFonts w:eastAsia="Droid Sans Fallback"/>
        </w:rPr>
        <w:fldChar w:fldCharType="begin" w:fldLock="1"/>
      </w:r>
      <w:r w:rsidRPr="008608AA">
        <w:rPr>
          <w:rFonts w:eastAsia="Droid Sans Fallback"/>
        </w:rPr>
        <w:instrText>ADDIN CSL_CITATION { "citationItems" : [ { "id" : "ITEM-1", "itemData" : { "DOI" : "10.1021/acs.est.5b01300", "ISSN" : "0013-936X", "PMID" : "26241204", "abstract" : "The 2012 revision of the Brazilian Forest Act changed the relative importance of private and public governance for nature conservation and agricultural production. We present a spatially explicit land-use model for Brazilian agricultural production and nature conservation that considers the spatial distribution of agricultural land suitability, technological and management options, legal command, and control frameworks including the Atlantic Forest Law, the revised Forest Act, and the Amazonian land-titling, \"Terra Legal,\" and also market-driven land use regulations. The model is used to analyze land use allocation under three scenarios with varying priorities among agricultural production and environmental protection objectives. In all scenarios, the legal command and control frameworks were the most important determinants of conservation outcomes, protecting at least 80% of the existing natural vegetation. Situations where such frameworks are not expected to be effective can be identified and targeted for additional conservation (beyond legal requirements) through voluntary actions or self-regulation in response to markets. All scenarios allow for a substantial increase in crop production, using an area 1.5-2.7 times the current cropland area, with much of new cropland occurring on current pastureland. Current public arrangements that promote conservation can, in conjunction with voluntary schemes on private lands where conversion to agriculture is favored, provide important additional nature conservation without conflicting with national agricultural production objectives.", "author" : [ { "dropping-particle" : "", "family" : "Sparovek", "given" : "Gerd", "non-dropping-particle" : "", "parse-names" : false, "suffix" : "" }, { "dropping-particle" : "", "family" : "Barretto", "given" : "Alberto Giaroli de Oliveira Pereira", "non-dropping-particle" : "", "parse-names" : false, "suffix" : "" }, { "dropping-particle" : "", "family" : "Matsumoto", "given" : "Marcelo", "non-dropping-particle" : "", "parse-names" : false, "suffix" : "" }, { "dropping-particle" : "", "family" : "Berndes", "given" : "G\u00f6ran", "non-dropping-particle" : "", "parse-names" : false, "suffix" : "" } ], "container-title" : "Environmental Science &amp; Technology", "id" : "ITEM-1", "issue" : "17", "issued" : { "date-parts" : [ [ "2015", "9", "12" ] ] }, "page" : "10285-10293", "title" : "Effects of Governance on Availability of Land for Agriculture and Conservation in Brazil", "type" : "article-journal", "volume" : "49" }, "uris" : [ "http://www.mendeley.com/documents/?uuid=a3161101-17ef-3c00-ab1f-3aaa6e488668" ] }, { "id" : "ITEM-2", "itemData" : { "DOI" : "10.1016/j.ncon.2016.03.004", "ISBN" : "3521", "ISSN" : "16790073", "abstract" : "The Native Vegetation Protection Law (NVPL) of Brazil, which replaced the Forest Code from 1965, is still undergoing regulation at federal and state levels, and the constitutionality of some clauses are still in question. In order to support legal rulings, decisions by public officers, and to inform other stakeholders, we present a balanced assessment of the positive and negative consequences of NVPL in light of current scientific knowledge. Key advances were noted in the systems of controls and incentives, which promoted new mechanisms and policies to support the implementation of this law. The main environmental setbacks were i) the removal of protection of certain environmentally fragile areas, ii) the concession of amnesty of fines incurred for violating the preceding legislation, iii) allowing continuous farming or maintenance of infrastructure in areas protected by law, without full recovery native vegetation. The weakening of NVPL may hamper soil and watershed protection, biodiversity conservation, and even agricultural productivity, without manifest benefits for the country. On that account, we recommend: i) that judiciary rulings and state and county regulations to correct pending issues with the NVPL based on scientific knowledge and with wider citizen participation; ii) the strengthening of agencies for rural technical assistance; iii) the development of incentives to develop the supply chain for native vegetation recovery; iv) the regulation of compensation for Legal Reserves based on clear and robust environmental criteria; and that v) that the assessment of legal compliance has also to be based on the environmental quality of recovered areas.", "author" : [ { "dropping-particle" : "", "family" : "Brancalion", "given" : "Pedro H.S.", "non-dropping-particle" : "", "parse-names" : false, "suffix" : "" }, { "dropping-particle" : "", "family" : "Garcia", "given" : "Let\u00edcia C.", "non-dropping-particle" : "", "parse-names" : false, "suffix" : "" }, { "dropping-particle" : "", "family" : "Loyola", "given" : "Rafael", "non-dropping-particle" : "", "parse-names" : false, "suffix" : "" }, { "dropping-particle" : "", "family" : "Rodrigues", "given" : "Ricardo R.", "non-dropping-particle" : "", "parse-names" : false, "suffix" : "" }, { "dropping-particle" : "", "family" : "Pillar", "given" : "Val\u00e9rio D.", "non-dropping-particle" : "", "parse-names" : false, "suffix" : "" }, { "dropping-particle" : "", "family" : "Lewinsohn", "given" : "Thomas M.", "non-dropping-particle" : "", "parse-names" : false, "suffix" : "" } ], "container-title" : "Natureza &amp; Conserva\u00e7\u00e3o", "id" : "ITEM-2", "issue" : "2012", "issued" : { "date-parts" : [ [ "2016", "4" ] ] }, "page" : "e1-e16", "title" : "An\u00e1lise cr\u00edtica da Lei de Prote\u00e7\u00e3o da Vegeta\u00e7\u00e3o Nativa (2012), que substituiu o antigo C\u00f3digo Florestal: atualiza\u00e7\u00f5es e a\u00e7\u00f5es em curso", "type" : "article-journal", "volume" : "14" }, "uris" : [ "http://www.mendeley.com/documents/?uuid=ef1dc705-0c90-4d25-9030-a5fe155fd362" ] } ], "mendeley" : { "formattedCitation" : "(Brancalion et al., 2016; Sparovek, Barretto, Matsumoto, &amp; Berndes, 2015)", "plainTextFormattedCitation" : "(Brancalion et al., 2016; Sparovek, Barretto, Matsumoto, &amp; Berndes, 2015)", "previouslyFormattedCitation" : "(Brancalion et al., 2016; Sparovek, Barretto, Matsumoto, &amp; Berndes,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(Br</w:t>
      </w:r>
      <w:r w:rsidR="002C171D" w:rsidRPr="008608AA">
        <w:rPr>
          <w:rFonts w:eastAsia="Droid Sans Fallback"/>
          <w:noProof/>
        </w:rPr>
        <w:t>ancalion et al., 2016; Sparovek</w:t>
      </w:r>
      <w:r w:rsidRPr="008608AA">
        <w:rPr>
          <w:rFonts w:eastAsia="Droid Sans Fallback"/>
          <w:noProof/>
        </w:rPr>
        <w:t xml:space="preserve"> et al., 2015)</w:t>
      </w:r>
      <w:r w:rsidRPr="008608AA">
        <w:rPr>
          <w:rFonts w:eastAsia="Droid Sans Fallback"/>
        </w:rPr>
        <w:fldChar w:fldCharType="end"/>
      </w:r>
      <w:r w:rsidRPr="008608AA">
        <w:rPr>
          <w:rFonts w:eastAsia="Droid Sans Fallback"/>
        </w:rPr>
        <w:t xml:space="preserve">. The dynamic of land cover change, implementation of agricultural production areas or, otherwise, further abandonment, defines important patterns of land use in the region, with similar patterns in other forests in Latin America </w:t>
      </w:r>
      <w:r w:rsidRPr="008608AA">
        <w:rPr>
          <w:rFonts w:eastAsia="Droid Sans Fallback"/>
        </w:rPr>
        <w:fldChar w:fldCharType="begin" w:fldLock="1"/>
      </w:r>
      <w:r w:rsidRPr="008608AA">
        <w:rPr>
          <w:rFonts w:eastAsia="Droid Sans Fallback"/>
        </w:rPr>
        <w:instrText>ADDIN CSL_CITATION { "citationItems" : [ { "id" : "ITEM-1", "itemData" : { "DOI" : "10.1016/J.COSUST.2017.01.015", "ISSN" : "1877-3435", "author" : [ { "dropping-particle" : "", "family" : "Boillat", "given" : "S", "non-dropping-particle" : "", "parse-names" : false, "suffix" : "" }, { "dropping-particle" : "", "family" : "Scarpa", "given" : "FM", "non-dropping-particle" : "", "parse-names" : false, "suffix" : "" }, { "dropping-particle" : "", "family" : "Robson", "given" : "JP", "non-dropping-particle" : "", "parse-names" : false, "suffix" : "" }, { "dropping-particle" : "", "family" : "Gasparri", "given" : "I", "non-dropping-particle" : "", "parse-names" : false, "suffix" : "" }, { "dropping-particle" : "", "family" : "Aide", "given" : "TM", "non-dropping-particle" : "", "parse-names" : false, "suffix" : "" }, { "dropping-particle" : "", "family" : "Aguiar", "given" : "APD", "non-dropping-particle" : "", "parse-names" : false, "suffix" : "" }, { "dropping-particle" : "", "family" : "Anderson", "given" : "LO", "non-dropping-particle" : "", "parse-names" : false, "suffix" : "" }, { "dropping-particle" : "", "family" : "Batistella", "given" : "M", "non-dropping-particle" : "", "parse-names" : false, "suffix" : "" }, { "dropping-particle" : "", "family" : "Fonseca", "given" : "MG", "non-dropping-particle" : "", "parse-names" : false, "suffix" : "" }, { "dropping-particle" : "", "family" : "Futemma", "given" : "C", "non-dropping-particle" : "", "parse-names" : false, "suffix" : "" }, { "dropping-particle" : "", "family" : "Grau", "given" : "HR", "non-dropping-particle" : "", "parse-names" : false, "suffix" : "" }, { "dropping-particle" : "", "family" : "Mathez-Stiefel", "given" : "S-L", "non-dropping-particle" : "", "parse-names" : false, "suffix" : "" }, { "dropping-particle" : "", "family" : "Metzger", "given" : "JP", "non-dropping-particle" : "", "parse-names" : false, "suffix" : "" }, { "dropping-particle" : "", "family" : "Ometto", "given" : "JPHB", "non-dropping-particle" : "", "parse-names" : false, "suffix" : "" }, { "dropping-particle" : "", "family" : "Pedlowski", "given" : "MA", "non-dropping-particle" : "", "parse-names" : false, "suffix" : "" }, { "dropping-particle" : "", "family" : "Perz", "given" : "SG", "non-dropping-particle" : "", "parse-names" : false, "suffix" : "" }, { "dropping-particle" : "", "family" : "Robiglio", "given" : "V", "non-dropping-particle" : "", "parse-names" : false, "suffix" : "" }, { "dropping-particle" : "", "family" : "Soler", "given" : "L", "non-dropping-particle" : "", "parse-names" : false, "suffix" : "" }, { "dropping-particle" : "", "family" : "Vieira", "given" : "I", "non-dropping-particle" : "", "parse-names" : false, "suffix" : "" }, { "dropping-particle" : "", "family" : "Brondizio", "given" : "ES", "non-dropping-particle" : "", "parse-names" : false, "suffix" : "" } ], "container-title" : "Current Opinion in Environmental Sustainability", "id" : "ITEM-1", "issued" : { "date-parts" : [ [ "2017", "6", "1" ] ] }, "page" : "37-46", "publisher" : "Elsevier", "title" : "Land system science in Latin America: challenges and perspectives", "type" : "article-journal", "volume" : "26-27" }, "uris" : [ "http://www.mendeley.com/documents/?uuid=cce7fb44-1a82-36af-95c3-573ca81101a4" ] } ], "mendeley" : { "formattedCitation" : "(Boillat et al., 2017)", "plainTextFormattedCitation" : "(Boillat et al., 2017)", "previouslyFormattedCitation" : "(Boillat et al., 2017)"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(Boillat et al., 2017)</w:t>
      </w:r>
      <w:r w:rsidRPr="008608AA">
        <w:rPr>
          <w:rFonts w:eastAsia="Droid Sans Fallback"/>
        </w:rPr>
        <w:fldChar w:fldCharType="end"/>
      </w:r>
      <w:r w:rsidRPr="008608AA">
        <w:rPr>
          <w:rFonts w:eastAsia="Droid Sans Fallback"/>
        </w:rPr>
        <w:t xml:space="preserve">. </w:t>
      </w:r>
    </w:p>
    <w:p w14:paraId="1CAE3511" w14:textId="77777777" w:rsidR="00D33974" w:rsidRPr="008608AA" w:rsidRDefault="00D33974" w:rsidP="00EE708F">
      <w:pPr>
        <w:suppressAutoHyphens/>
        <w:rPr>
          <w:rFonts w:eastAsia="Droid Sans Fallback"/>
        </w:rPr>
      </w:pPr>
    </w:p>
    <w:p w14:paraId="243AC687" w14:textId="77777777" w:rsidR="00D33974" w:rsidRPr="008608AA" w:rsidRDefault="00490494" w:rsidP="00EE708F">
      <w:pPr>
        <w:suppressAutoHyphens/>
        <w:rPr>
          <w:rFonts w:eastAsia="Droid Sans Fallback"/>
        </w:rPr>
      </w:pPr>
      <w:r w:rsidRPr="008608AA">
        <w:rPr>
          <w:rFonts w:eastAsia="Droid Sans Fallback"/>
        </w:rPr>
        <w:t xml:space="preserve">Although, not advocating the maintenance of the replacement of natural vegetation, local societal needs ought to be in consideration. A deep analysis in the policies addressing environmental conservation and the relation to societal need, or poverty alleviation, shows a dichotomy </w:t>
      </w:r>
      <w:r w:rsidRPr="008608AA">
        <w:rPr>
          <w:rFonts w:eastAsia="Droid Sans Fallback"/>
        </w:rPr>
        <w:fldChar w:fldCharType="begin" w:fldLock="1"/>
      </w:r>
      <w:r w:rsidRPr="008608AA">
        <w:rPr>
          <w:rFonts w:eastAsia="Droid Sans Fallback"/>
        </w:rPr>
        <w:instrText>ADDIN CSL_CITATION { "citationItems" : [ { "id" : "ITEM-1", "itemData" : { "DOI" : "10.1016/j.ecoser.2014.03.002", "ISSN" : "22120416", "author" : [ { "dropping-particle" : "", "family" : "Pinho", "given" : "Patricia Fernanda", "non-dropping-particle" : "", "parse-names" : false, "suffix" : "" }, { "dropping-particle" : "", "family" : "Patenaude", "given" : "Genevieve", "non-dropping-particle" : "", "parse-names" : false, "suffix" : "" }, { "dropping-particle" : "", "family" : "Ometto", "given" : "Jean P", "non-dropping-particle" : "", "parse-names" : false, "suffix" : "" }, { "dropping-particle" : "", "family" : "Meir", "given" : "Patrick", "non-dropping-particle" : "", "parse-names" : false, "suffix" : "" }, { "dropping-particle" : "", "family" : "Toledo", "given" : "Peter M", "non-dropping-particle" : "", "parse-names" : false, "suffix" : "" }, { "dropping-particle" : "", "family" : "Coelho", "given" : "Andrea", "non-dropping-particle" : "", "parse-names" : false, "suffix" : "" }, { "dropping-particle" : "", "family" : "Young", "given" : "Carlos Eduardo Frickmann", "non-dropping-particle" : "", "parse-names" : false, "suffix" : "" } ], "container-title" : "Ecosystem Services", "id" : "ITEM-1", "issued" : { "date-parts" : [ [ "2014", "6" ] ] }, "page" : "97-109", "title" : "Ecosystem protection and poverty alleviation in the tropics: Perspective from a historical evolution of policy-making in the Brazilian Amazon", "type" : "article-journal", "volume" : "8" }, "uris" : [ "http://www.mendeley.com/documents/?uuid=442473dd-e23d-4a27-aa94-68db16f51ef6" ] } ], "mendeley" : { "formattedCitation" : "(Pinho et al., 2014)", "plainTextFormattedCitation" : "(Pinho et al., 2014)", "previouslyFormattedCitation" : "(Pinho et al.,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(Pinho et al., 2014)</w:t>
      </w:r>
      <w:r w:rsidRPr="008608AA">
        <w:rPr>
          <w:rFonts w:eastAsia="Droid Sans Fallback"/>
        </w:rPr>
        <w:fldChar w:fldCharType="end"/>
      </w:r>
      <w:r w:rsidRPr="008608AA">
        <w:rPr>
          <w:rFonts w:eastAsia="Droid Sans Fallback"/>
        </w:rPr>
        <w:t xml:space="preserve">, indicating the need of deeper action towards a sustainable future for the </w:t>
      </w:r>
      <w:r w:rsidR="00790916" w:rsidRPr="008608AA">
        <w:rPr>
          <w:rFonts w:eastAsia="Droid Sans Fallback"/>
        </w:rPr>
        <w:t>moist</w:t>
      </w:r>
      <w:r w:rsidRPr="008608AA">
        <w:rPr>
          <w:rFonts w:eastAsia="Droid Sans Fallback"/>
        </w:rPr>
        <w:t xml:space="preserve"> </w:t>
      </w:r>
      <w:r w:rsidR="002C171D" w:rsidRPr="008608AA">
        <w:rPr>
          <w:rFonts w:eastAsia="Droid Sans Fallback"/>
        </w:rPr>
        <w:t>tropical forests. Boillat et al.</w:t>
      </w:r>
      <w:r w:rsidRPr="008608AA">
        <w:rPr>
          <w:rFonts w:eastAsia="Droid Sans Fallback"/>
        </w:rPr>
        <w:t xml:space="preserve"> (2017), on analysing land systems in Latin America, identified that the dynamic of land change process in the region tends to be persistent in the future. The identification of the high value services provided by the forest in comparison to what agriculture, or beef, production does goes back more than 20 years, as observed by Chomitz and Kumari </w:t>
      </w:r>
      <w:r w:rsidRPr="008608AA">
        <w:rPr>
          <w:rFonts w:eastAsia="Droid Sans Fallback"/>
        </w:rPr>
        <w:fldChar w:fldCharType="begin" w:fldLock="1"/>
      </w:r>
      <w:r w:rsidRPr="008608AA">
        <w:rPr>
          <w:rFonts w:eastAsia="Droid Sans Fallback"/>
        </w:rPr>
        <w:instrText>ADDIN CSL_CITATION { "citationItems" : [ { "id" : "ITEM-1", "itemData" : { "ISSN" : "0257-3032", "PMID" : "12295970", "abstract" : "This review focuses on forests in the humid tropics and on two of their potentially most important benefits. These include hydrological benefits, such as erosion control and regulation of stream flows, and non-timber forest products, such as rubber, rattan, fruits, and nuts. The first benefit is motivational. Host countries capture only a small proportion of the global benefits, which stem from biodiversity conservation. Demonstration of palpable local benefits could help to build support for biodiversity-oriented projects. The second benefit is the magnitude of domestic benefits that could influence project financing. Sufficiently large net domestic benefits could justify financing of a project on narrow economic grounds, with biodiversity conservation as a by-product. Overall, it is noted that the quantifiable benefits of forest preservation in providing hydrological services and non-timber forest products are highly variable. These classes of domestic benefits may in general be smaller than popularly supposed. In view of this, the need for financing conservation from the Global Environmental Facility or other global sources is emphasized rather than placing the burden on domestic resources.", "author" : [ { "dropping-particle" : "", "family" : "Chomitz", "given" : "K M", "non-dropping-particle" : "", "parse-names" : false, "suffix" : "" }, { "dropping-particle" : "", "family" : "Kumari", "given" : "K", "non-dropping-particle" : "", "parse-names" : false, "suffix" : "" } ], "container-title" : "The World Bank research observer", "id" : "ITEM-1", "issue" : "1", "issued" : { "date-parts" : [ [ "1998", "2" ] ] }, "page" : "13-35", "title" : "The domestic benefits of tropical forests: a critical review.", "type" : "article-journal", "volume" : "13" }, "suppress-author" : 1, "uris" : [ "http://www.mendeley.com/documents/?uuid=e13e1a3b-9b86-3c0a-a986-a4692aa9b74b" ] } ], "mendeley" : { "formattedCitation" : "(1998)", "plainTextFormattedCitation" : "(1998)", "previouslyFormattedCitation" : "(1998)"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(1998)</w:t>
      </w:r>
      <w:r w:rsidRPr="008608AA">
        <w:rPr>
          <w:rFonts w:eastAsia="Droid Sans Fallback"/>
        </w:rPr>
        <w:fldChar w:fldCharType="end"/>
      </w:r>
      <w:r w:rsidRPr="008608AA">
        <w:rPr>
          <w:rFonts w:eastAsia="Droid Sans Fallback"/>
        </w:rPr>
        <w:t xml:space="preserve"> and Fearnside </w:t>
      </w:r>
      <w:r w:rsidRPr="008608AA">
        <w:rPr>
          <w:rFonts w:eastAsia="Droid Sans Fallback"/>
        </w:rPr>
        <w:fldChar w:fldCharType="begin" w:fldLock="1"/>
      </w:r>
      <w:r w:rsidRPr="008608AA">
        <w:rPr>
          <w:rFonts w:eastAsia="Droid Sans Fallback"/>
        </w:rPr>
        <w:instrText>ADDIN CSL_CITATION { "citationItems" : [ { "id" : "ITEM-1", "itemData" : { "DOI" : "10.1016/S0921-8009(96)00066-3", "ISSN" : "09218009", "author" : [ { "dropping-particle" : "", "family" : "Fearnside", "given" : "Philip M.", "non-dropping-particle" : "", "parse-names" : false, "suffix" : "" } ], "container-title" : "Ecological Economics", "id" : "ITEM-1", "issue" : "1", "issued" : { "date-parts" : [ [ "1997", "1" ] ] }, "page" : "53-70", "title" : "Environmental services as a strategy for sustainable development in rural Amazonia", "type" : "article-journal", "volume" : "20" }, "suppress-author" : 1, "uris" : [ "http://www.mendeley.com/documents/?uuid=feab61a5-bae7-48a4-ac20-8776642b9550" ] } ], "mendeley" : { "formattedCitation" : "(1997)", "plainTextFormattedCitation" : "(1997)", "previouslyFormattedCitation" : "(1997)"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(1997)</w:t>
      </w:r>
      <w:r w:rsidRPr="008608AA">
        <w:rPr>
          <w:rFonts w:eastAsia="Droid Sans Fallback"/>
        </w:rPr>
        <w:fldChar w:fldCharType="end"/>
      </w:r>
      <w:r w:rsidRPr="008608AA">
        <w:rPr>
          <w:rFonts w:eastAsia="Droid Sans Fallback"/>
        </w:rPr>
        <w:t xml:space="preserve">,  however, the strong historical connections to the global market </w:t>
      </w:r>
      <w:r w:rsidRPr="008608AA">
        <w:rPr>
          <w:rFonts w:eastAsia="Droid Sans Fallback"/>
        </w:rPr>
        <w:fldChar w:fldCharType="begin" w:fldLock="1"/>
      </w:r>
      <w:r w:rsidRPr="008608AA">
        <w:rPr>
          <w:rFonts w:eastAsia="Droid Sans Fallback"/>
        </w:rPr>
        <w:instrText>ADDIN CSL_CITATION { "citationItems" : [ { "id" : "ITEM-1", "itemData" : { "DOI" : "10.1016/j.landusepol.2014.02.004", "ISBN" : "02648377", "ISSN" : "02648377", "abstract" : "Land cover change in the Neotropics represents one of the major drivers of global environmental change. Several models have been proposed to explore future trajectories of land use and cover change, particularly in the Amazon. Despite the remarkable development of these tools, model results are still surrounded by uncertainties. None of the model projections available in the literature plausibly captured the overall trajectory of land use and cover change that has been observed in the Amazon over the last decade. In this context, this study aims to review and analyze the general structure of the land use models that have most recently been used to explore land use change in the Amazon, seeking to investigate methodological factors that could explain the divergence between the observed and projected rates, paying special attention to the land demand calculations. Based on this review, the primary limitations inherent to this type of model and the extent to which these limitations can affect the consistency of the projections will also be analyzed. Finally, we discuss potential drivers that could have influenced the recent dynamic of the land use system in the Amazon and produced the unforeseen land cover change trajectory observed in this period. In a complementary way, the primary challenges of the new generation of land use models for the Amazon are synthesized. ?? 2014 Elsevier Ltd. All rights reserved.", "author" : [ { "dropping-particle" : "", "family" : "Dalla-Nora", "given" : "Eloi Lennon", "non-dropping-particle" : "", "parse-names" : false, "suffix" : "" }, { "dropping-particle" : "", "family" : "Dutra de Aguiar", "given" : "Ana Paula", "non-dropping-particle" : "", "parse-names" : false, "suffix" : "" }, { "dropping-particle" : "", "family" : "Montenegro Lapola", "given" : "David", "non-dropping-particle" : "", "parse-names" : false, "suffix" : "" }, { "dropping-particle" : "", "family" : "Woltjer", "given" : "Geert", "non-dropping-particle" : "", "parse-names" : false, "suffix" : "" } ], "container-title" : "Land Use Policy", "id" : "ITEM-1", "issue" : "January 2016", "issued" : { "date-parts" : [ [ "2014" ] ] }, "page" : "403-411", "title" : "Why have land use change models for the Amazon failed to capture the amount of deforestation over the last decade?", "type" : "article-journal", "volume" : "39" }, "uris" : [ "http://www.mendeley.com/documents/?uuid=38dd22bf-2c1f-4e81-8f4a-fcff5e5b2208" ] } ], "mendeley" : { "formattedCitation" : "(Dalla-Nora, Dutra de Aguiar, Montenegro Lapola, &amp; Woltjer, 2014)", "plainTextFormattedCitation" : "(Dalla-Nora, Dutra de Aguiar, Montenegro Lapola, &amp; Woltjer, 2014)", "previouslyFormattedCitation" : "(Dalla-Nora, Dutra de Aguiar, Montenegro Lapola, &amp; Woltjer, 2014)"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(Dalla-Nora</w:t>
      </w:r>
      <w:r w:rsidRPr="008608AA">
        <w:rPr>
          <w:rFonts w:eastAsia="Droid Sans Fallback"/>
          <w:noProof/>
        </w:rPr>
        <w:t xml:space="preserve"> et al., 2014)</w:t>
      </w:r>
      <w:r w:rsidRPr="008608AA">
        <w:rPr>
          <w:rFonts w:eastAsia="Droid Sans Fallback"/>
        </w:rPr>
        <w:fldChar w:fldCharType="end"/>
      </w:r>
      <w:r w:rsidRPr="008608AA">
        <w:rPr>
          <w:rFonts w:eastAsia="Droid Sans Fallback"/>
        </w:rPr>
        <w:t xml:space="preserve">, the importance of commodities for the region’s economies </w:t>
      </w:r>
      <w:r w:rsidRPr="008608AA">
        <w:rPr>
          <w:rFonts w:eastAsia="Droid Sans Fallback"/>
        </w:rPr>
        <w:fldChar w:fldCharType="begin" w:fldLock="1"/>
      </w:r>
      <w:r w:rsidRPr="008608AA">
        <w:rPr>
          <w:rFonts w:eastAsia="Droid Sans Fallback"/>
        </w:rPr>
        <w:instrText>ADDIN CSL_CITATION { "citationItems" : [ { "id" : "ITEM-1", "itemData" : { "DOI" : "10.1038/nclimate2056", "ISSN" : "1758-678X", "abstract" : "This Review considers the evolving relationship between land-use change and greenhouse gas emissions in Brazil. Despite the intensification of agriculture over the past decade or so, deforestation has decreased, resulting in reduced greenhouse gas emissions. However, inequality in land ownership and city growth fuelled by rural\u2013urban migration remain pressing issues for policymakers.", "author" : [ { "dropping-particle" : "", "family" : "Lapola", "given" : "David M.", "non-dropping-particle" : "", "parse-names" : false, "suffix" : "" }, { "dropping-particle" : "", "family" : "Martinelli", "given" : "Luiz A.", "non-dropping-particle" : "", "parse-names" : false, "suffix" : "" }, { "dropping-particle" : "", "family" : "Peres", "given" : "Carlos A.", "non-dropping-particle" : "", "parse-names" : false, "suffix" : "" }, { "dropping-particle" : "", "family" : "Ometto", "given" : "Jean P. H. B.", "non-dropping-particle" : "", "parse-names" : false, "suffix" : "" }, { "dropping-particle" : "", "family" : "Ferreira", "given" : "Manuel E.", "non-dropping-particle" : "", "parse-names" : false, "suffix" : "" }, { "dropping-particle" : "", "family" : "Nobre", "given" : "Carlos A.", "non-dropping-particle" : "", "parse-names" : false, "suffix" : "" }, { "dropping-particle" : "", "family" : "Aguiar", "given" : "Ana Paula D.", "non-dropping-particle" : "", "parse-names" : false, "suffix" : "" }, { "dropping-particle" : "", "family" : "Bustamante", "given" : "Mercedes M. C.", "non-dropping-particle" : "", "parse-names" : false, "suffix" : "" }, { "dropping-particle" : "", "family" : "Cardoso", "given" : "Manoel F.", "non-dropping-particle" : "", "parse-names" : false, "suffix" : "" }, { "dropping-particle" : "", "family" : "Costa", "given" : "Marcos H.", "non-dropping-particle" : "", "parse-names" : false, "suffix" : "" }, { "dropping-particle" : "", "family" : "Joly", "given" : "Carlos A.", "non-dropping-particle" : "", "parse-names" : false, "suffix" : "" }, { "dropping-particle" : "", "family" : "Leite", "given" : "Christiane C.", "non-dropping-particle" : "", "parse-names" : false, "suffix" : "" }, { "dropping-particle" : "", "family" : "Moutinho", "given" : "Paulo", "non-dropping-particle" : "", "parse-names" : false, "suffix" : "" }, { "dropping-particle" : "", "family" : "Sampaio", "given" : "Gilvan", "non-dropping-particle" : "", "parse-names" : false, "suffix" : "" }, { "dropping-particle" : "", "family" : "Strassburg", "given" : "Bernardo B. N.", "non-dropping-particle" : "", "parse-names" : false, "suffix" : "" }, { "dropping-particle" : "", "family" : "Vieira", "given" : "Ima C. G.", "non-dropping-particle" : "", "parse-names" : false, "suffix" : "" } ], "container-title" : "Nature Climate Change", "id" : "ITEM-1", "issue" : "1", "issued" : { "date-parts" : [ [ "2013", "12", "20" ] ] }, "page" : "27-35", "publisher" : "Nature Publishing Group", "title" : "Pervasive transition of the Brazilian land-use system", "type" : "article-journal", "volume" : "4" }, "uris" : [ "http://www.mendeley.com/documents/?uuid=e4190645-02e8-3d88-baac-0c269eabbe96" ] } ], "mendeley" : { "formattedCitation" : "(Lapola et al., 2013)", "plainTextFormattedCitation" : "(Lapola et al., 2013)", "previouslyFormattedCitation" : "(Lapola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(Lapola et al., 2013)</w:t>
      </w:r>
      <w:r w:rsidRPr="008608AA">
        <w:rPr>
          <w:rFonts w:eastAsia="Droid Sans Fallback"/>
        </w:rPr>
        <w:fldChar w:fldCharType="end"/>
      </w:r>
      <w:r w:rsidRPr="008608AA">
        <w:rPr>
          <w:rFonts w:eastAsia="Droid Sans Fallback"/>
        </w:rPr>
        <w:t>, land tenure and governance, with lack of socio-ecological inclusive strategy might lead to a persistence of depletion of natural vegetati</w:t>
      </w:r>
      <w:r w:rsidR="002C171D" w:rsidRPr="008608AA">
        <w:rPr>
          <w:rFonts w:eastAsia="Droid Sans Fallback"/>
        </w:rPr>
        <w:t xml:space="preserve">on in the region. </w:t>
      </w:r>
    </w:p>
    <w:p w14:paraId="1570144D" w14:textId="77777777" w:rsidR="00D33974" w:rsidRPr="008608AA" w:rsidRDefault="00D33974" w:rsidP="00EE708F">
      <w:pPr>
        <w:suppressAutoHyphens/>
        <w:rPr>
          <w:rFonts w:eastAsia="Droid Sans Fallback"/>
        </w:rPr>
      </w:pPr>
    </w:p>
    <w:p w14:paraId="7F480BA7" w14:textId="7DDEF6BD" w:rsidR="00490494" w:rsidRPr="008608AA" w:rsidRDefault="002C171D" w:rsidP="00EE708F">
      <w:pPr>
        <w:suppressAutoHyphens/>
        <w:rPr>
          <w:rFonts w:eastAsia="Droid Sans Fallback"/>
        </w:rPr>
      </w:pPr>
      <w:r w:rsidRPr="008608AA">
        <w:rPr>
          <w:rFonts w:eastAsia="Droid Sans Fallback"/>
        </w:rPr>
        <w:t>Aguiar et al.</w:t>
      </w:r>
      <w:r w:rsidR="00490494" w:rsidRPr="008608AA">
        <w:rPr>
          <w:rFonts w:eastAsia="Droid Sans Fallback"/>
        </w:rPr>
        <w:t xml:space="preserve"> </w:t>
      </w:r>
      <w:r w:rsidR="00490494" w:rsidRPr="008608AA">
        <w:rPr>
          <w:rFonts w:eastAsia="Droid Sans Fallback"/>
        </w:rPr>
        <w:fldChar w:fldCharType="begin" w:fldLock="1"/>
      </w:r>
      <w:r w:rsidR="00490494" w:rsidRPr="008608AA">
        <w:rPr>
          <w:rFonts w:eastAsia="Droid Sans Fallback"/>
        </w:rPr>
        <w:instrText>ADDIN CSL_CITATION { "citationItems" : [ { "id" : "ITEM-1", "itemData" : { "DOI" : "10.1111/gcb.13134", "ISBN" : "1365-2486 (Electronic)\\r1354-1013 (Linking)", "ISSN" : "13541013", "PMID" : "26511401", "abstract" : "Accepted Author Manuscript", "author" : [ { "dropping-particle" : "", "family" : "Aguiar", "given" : "Ana Paula Dutra", "non-dropping-particle" : "", "parse-names" : false, "suffix" : "" }, { "dropping-particle" : "", "family" : "Vieira", "given" : "Ima C\u00e9lia Guimar\u00e3es", "non-dropping-particle" : "", "parse-names" : false, "suffix" : "" }, { "dropping-particle" : "", "family" : "Assis", "given" : "Talita Oliveira", "non-dropping-particle" : "", "parse-names" : false, "suffix" : "" }, { "dropping-particle" : "", "family" : "Dalla-Nora", "given" : "Eloi L.", "non-dropping-particle" : "", "parse-names" : false, "suffix" : "" }, { "dropping-particle" : "", "family" : "Toledo", "given" : "Peter Mann", "non-dropping-particle" : "", "parse-names" : false, "suffix" : "" }, { "dropping-particle" : "", "family" : "Oliveira Santos-Junior", "given" : "Roberto Ara\u00fajo", "non-dropping-particle" : "", "parse-names" : false, "suffix" : "" }, { "dropping-particle" : "", "family" : "Batistella", "given" : "Mateus", "non-dropping-particle" : "", "parse-names" : false, "suffix" : "" }, { "dropping-particle" : "", "family" : "Coelho", "given" : "Andrea Santos", "non-dropping-particle" : "", "parse-names" : false, "suffix" : "" }, { "dropping-particle" : "", "family" : "Savaget", "given" : "Elza Kawakami", "non-dropping-particle" : "", "parse-names" : false, "suffix" : "" }, { "dropping-particle" : "", "family" : "Arag\u00e3o", "given" : "Luiz Eduardo Oliveira Cruz", "non-dropping-particle" : "", "parse-names" : false, "suffix" : "" }, { "dropping-particle" : "", "family" : "Nobre", "given" : "Carlos Afonso", "non-dropping-particle" : "", "parse-names" : false, "suffix" : "" }, { "dropping-particle" : "", "family" : "Ometto", "given" : "Jean Pierre H", "non-dropping-particle" : "", "parse-names" : false, "suffix" : "" } ], "container-title" : "Global Change Biology", "id" : "ITEM-1", "issue" : "5", "issued" : { "date-parts" : [ [ "2016", "5" ] ] }, "page" : "1821-1840", "title" : "Land use change emission scenarios: anticipating a forest transition process in the Brazilian Amazon", "type" : "article-journal", "volume" : "22" }, "suppress-author" : 1, "uris" : [ "http://www.mendeley.com/documents/?uuid=63f83b62-c789-4c2f-b59d-cbd987d02d71" ] } ], "mendeley" : { "formattedCitation" : "(2016)", "plainTextFormattedCitation" : "(2016)", "previouslyFormattedCitation" : "(2016)" }, "properties" : {  }, "schema" : "https://github.com/citation-style-language/schema/raw/master/csl-citation.json" }</w:instrText>
      </w:r>
      <w:r w:rsidR="00490494" w:rsidRPr="008608AA">
        <w:rPr>
          <w:rFonts w:eastAsia="Droid Sans Fallback"/>
        </w:rPr>
        <w:fldChar w:fldCharType="separate"/>
      </w:r>
      <w:r w:rsidR="00490494" w:rsidRPr="008608AA">
        <w:rPr>
          <w:rFonts w:eastAsia="Droid Sans Fallback"/>
          <w:noProof/>
        </w:rPr>
        <w:t>(2016)</w:t>
      </w:r>
      <w:r w:rsidR="00490494" w:rsidRPr="008608AA">
        <w:rPr>
          <w:rFonts w:eastAsia="Droid Sans Fallback"/>
        </w:rPr>
        <w:fldChar w:fldCharType="end"/>
      </w:r>
      <w:r w:rsidR="00490494" w:rsidRPr="008608AA">
        <w:rPr>
          <w:rFonts w:eastAsia="Droid Sans Fallback"/>
        </w:rPr>
        <w:t xml:space="preserve"> used several socio-economic scenarios approach to calculate future carbon emissions for the Amazon region and conclude that unless a “forest based transition economy evolves in the region the land use and forest sector in Brazil shall have a limited capacity of mitigating other sectors emissions in the next decades”. Historically, for the countries in Latin America and, especially considering areas of </w:t>
      </w:r>
      <w:r w:rsidR="00790916" w:rsidRPr="008608AA">
        <w:rPr>
          <w:rFonts w:eastAsia="Droid Sans Fallback"/>
        </w:rPr>
        <w:t>moist</w:t>
      </w:r>
      <w:r w:rsidR="00490494" w:rsidRPr="008608AA">
        <w:rPr>
          <w:rFonts w:eastAsia="Droid Sans Fallback"/>
        </w:rPr>
        <w:t xml:space="preserve"> and dry forests, both, deforestation and forest degradation, are important drivers of carbon dioxide emissions to the atmosphere, contributing significantly to the country emissions profiles (as observed in the past two National Communications that Brazil has submitted to the United Nations Framework Convention on Climate Change, </w:t>
      </w:r>
      <w:hyperlink r:id="rId1057" w:history="1">
        <w:r w:rsidR="00D33974" w:rsidRPr="008608AA">
          <w:rPr>
            <w:rStyle w:val="Hyperlink"/>
            <w:rFonts w:eastAsia="Droid Sans Fallback"/>
          </w:rPr>
          <w:t>http://sirene.mcti.gov.br</w:t>
        </w:r>
      </w:hyperlink>
      <w:r w:rsidR="00490494" w:rsidRPr="008608AA">
        <w:rPr>
          <w:rFonts w:eastAsia="Droid Sans Fallback"/>
        </w:rPr>
        <w:t>).</w:t>
      </w:r>
    </w:p>
    <w:p w14:paraId="555B09CB" w14:textId="77777777" w:rsidR="00D33974" w:rsidRPr="008608AA" w:rsidRDefault="00D33974" w:rsidP="00EE708F">
      <w:pPr>
        <w:suppressAutoHyphens/>
        <w:rPr>
          <w:rFonts w:eastAsia="Droid Sans Fallback"/>
        </w:rPr>
      </w:pPr>
    </w:p>
    <w:p w14:paraId="09F40187" w14:textId="77777777" w:rsidR="00490494" w:rsidRPr="008608AA" w:rsidRDefault="00490494" w:rsidP="00EE708F">
      <w:pPr>
        <w:suppressAutoHyphens/>
        <w:rPr>
          <w:rFonts w:eastAsia="Droid Sans Fallback"/>
        </w:rPr>
      </w:pPr>
      <w:r w:rsidRPr="008608AA">
        <w:rPr>
          <w:rFonts w:eastAsia="Calibri"/>
        </w:rPr>
        <w:t xml:space="preserve">For these reasons, Foley </w:t>
      </w:r>
      <w:r w:rsidRPr="008608AA">
        <w:rPr>
          <w:rFonts w:eastAsia="Calibri"/>
        </w:rPr>
        <w:fldChar w:fldCharType="begin" w:fldLock="1"/>
      </w:r>
      <w:r w:rsidRPr="008608AA">
        <w:rPr>
          <w:rFonts w:eastAsia="Calibri"/>
        </w:rPr>
        <w:instrText>ADDIN CSL_CITATION { "citationItems" : [ { "id" : "ITEM-1", "itemData" : { "DOI" : "10.1126/science.1111772", "ISSN" : "0036-8075", "author" : [ { "dropping-particle" : "", "family" : "Foley", "given" : "Jonathan A", "non-dropping-particle" : "", "parse-names" : false, "suffix" : "" } ], "container-title" : "Science", "id" : "ITEM-1", "issue" : "5734", "issued" : { "date-parts" : [ [ "2005", "7", "22" ] ] }, "page" : "570-574", "title" : "Global Consequences of Land Use", "type" : "article-journal", "volume" : "309" }, "suppress-author" : 1, "uris" : [ "http://www.mendeley.com/documents/?uuid=b74b20de-1a32-44e0-8ff8-eba4450c837f" ] } ], "mendeley" : { "formattedCitation" : "(2005)", "plainTextFormattedCitation" : "(2005)", "previouslyFormattedCitation" : "(2005)" }, "properties" : {  }, "schema" : "https://github.com/citation-style-language/schema/raw/master/csl-citation.json" }</w:instrText>
      </w:r>
      <w:r w:rsidRPr="008608AA">
        <w:rPr>
          <w:rFonts w:eastAsia="Calibri"/>
        </w:rPr>
        <w:fldChar w:fldCharType="separate"/>
      </w:r>
      <w:r w:rsidRPr="008608AA">
        <w:rPr>
          <w:rFonts w:eastAsia="Calibri"/>
          <w:noProof/>
        </w:rPr>
        <w:t>(2005)</w:t>
      </w:r>
      <w:r w:rsidRPr="008608AA">
        <w:rPr>
          <w:rFonts w:eastAsia="Calibri"/>
        </w:rPr>
        <w:fldChar w:fldCharType="end"/>
      </w:r>
      <w:r w:rsidRPr="008608AA">
        <w:rPr>
          <w:rFonts w:eastAsia="Calibri"/>
        </w:rPr>
        <w:t xml:space="preserve"> argues it is appropriate (in order to make more informed decisions) to balance the trade-offs between “the societal benefits (typically the short-term realization of ecosystem goods and commercially valuable commodities) against the long-term costs of ecological degradation (associated with the functioning of the ecosystem). </w:t>
      </w:r>
      <w:r w:rsidRPr="008608AA">
        <w:rPr>
          <w:rFonts w:eastAsia="Droid Sans Fallback"/>
        </w:rPr>
        <w:t>Adding to this is the fact that, in large, NCP descend from common goods (such as clean air and water, soil formation, climate regulation, waste treatment, aesthetic values and good health), which are generally taken for granted, as they do not pass through the money economy (Costanza et al., 1997).</w:t>
      </w:r>
    </w:p>
    <w:p w14:paraId="70EB5542" w14:textId="77777777" w:rsidR="00490494" w:rsidRPr="008608AA" w:rsidRDefault="00490494" w:rsidP="00490494">
      <w:pPr>
        <w:keepNext/>
        <w:keepLines/>
        <w:suppressAutoHyphens/>
        <w:spacing w:before="200"/>
        <w:outlineLvl w:val="3"/>
        <w:rPr>
          <w:rFonts w:eastAsia="Droid Sans Fallback"/>
          <w:b/>
          <w:bCs/>
          <w:iCs/>
        </w:rPr>
      </w:pPr>
      <w:bookmarkStart w:id="2198" w:name="_Toc517393422"/>
      <w:bookmarkStart w:id="2199" w:name="_Toc517719163"/>
      <w:bookmarkStart w:id="2200" w:name="_Toc517797120"/>
      <w:r w:rsidRPr="008608AA">
        <w:rPr>
          <w:rFonts w:eastAsia="Droid Sans Fallback"/>
          <w:b/>
          <w:bCs/>
          <w:iCs/>
        </w:rPr>
        <w:t>Case 3: Urban Telecoupling</w:t>
      </w:r>
      <w:bookmarkEnd w:id="2198"/>
      <w:bookmarkEnd w:id="2199"/>
      <w:bookmarkEnd w:id="2200"/>
      <w:r w:rsidRPr="008608AA">
        <w:rPr>
          <w:rFonts w:eastAsia="Droid Sans Fallback"/>
          <w:b/>
          <w:bCs/>
          <w:iCs/>
        </w:rPr>
        <w:t xml:space="preserve"> </w:t>
      </w:r>
    </w:p>
    <w:p w14:paraId="0F32AE2E" w14:textId="1EDE53D5" w:rsidR="00490494" w:rsidRPr="008608AA" w:rsidRDefault="00490494" w:rsidP="00EE708F">
      <w:pPr>
        <w:suppressAutoHyphens/>
        <w:rPr>
          <w:rFonts w:eastAsia="Droid Sans Fallback"/>
        </w:rPr>
      </w:pPr>
      <w:r w:rsidRPr="008608AA">
        <w:rPr>
          <w:rFonts w:eastAsia="Droid Sans Fallback"/>
        </w:rPr>
        <w:t xml:space="preserve">The world is increasingly urban and interconnected. This alone makes urban processes of fundamental importance to better understand global change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"Huang", "given" : "SL", "non-dropping-particle" : "", "parse-names" : false, "suffix" : "" }, { "dropping-particle" : "", "family" : "Yeh", "given" : "C.J.", "non-dropping-particle" : "", "parse-names" : false, "suffix" : "" }, { "dropping-particle" : "", "family" : "Chang", "given" : "F.L.", "non-dropping-particle" : "", "parse-names" : false, "suffix" : "" } ], "container-title" : "Environmental Sustainability", "id" : "ITEM-1", "issue" : "2", "issued" : { "date-parts" : [ [ "2010" ] ] }, "page" : "136-143.", "title" : "The transition to an urbanizing world and the demand for natural resources.", "type" : "article-journal", "volume" : "2" }, "uris" : [ "http://www.mendeley.com/documents/?uuid=73d8aec4-ffbc-366c-a135-ad1a64cbd7b5" ] } ], "mendeley" : { "formattedCitation" : "(Huang, Yeh, &amp; Chang, 2010)", "plainTextFormattedCitation" : "(Huang, Yeh, &amp; Chang, 2010)", "previouslyFormattedCitation" : "(Huang, Yeh, &amp; Chang, 2010)"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(Huang</w:t>
      </w:r>
      <w:r w:rsidRPr="008608AA">
        <w:rPr>
          <w:rFonts w:eastAsia="Droid Sans Fallback"/>
          <w:noProof/>
        </w:rPr>
        <w:t xml:space="preserve"> et al., 2010)</w:t>
      </w:r>
      <w:r w:rsidRPr="008608AA">
        <w:rPr>
          <w:rFonts w:eastAsia="Droid Sans Fallback"/>
        </w:rPr>
        <w:fldChar w:fldCharType="end"/>
      </w:r>
      <w:r w:rsidRPr="008608AA">
        <w:rPr>
          <w:rFonts w:eastAsia="Droid Sans Fallback"/>
        </w:rPr>
        <w:t xml:space="preserve"> and respond to it. Today’s population of 7.6 billion is expected to reach 9.8 billion in 2050, when about two-thirds of the world’s population is projected to be urban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"UN", "given" : "", "non-dropping-particle" : "", "parse-names" : false, "suffix" : "" } ], "id" : "ITEM-1", "issued" : { "date-parts" : [ [ "2017" ] ] }, "publisher-place" : "Quito, Ecuador", "title" : "New Urban Agenda", "type" : "report" }, "uris" : [ "http://www.mendeley.com/documents/?uuid=f677eeff-e58a-3341-b970-92c4d8f43015" ] } ], "mendeley" : { "formattedCitation" : "(UN, 2017)", "plainTextFormattedCitation" : "(UN, 2017)", "previouslyFormattedCitation" : "(UN, 2017)"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(UN, 2017)</w:t>
      </w:r>
      <w:r w:rsidRPr="008608AA">
        <w:rPr>
          <w:rFonts w:eastAsia="Droid Sans Fallback"/>
        </w:rPr>
        <w:fldChar w:fldCharType="end"/>
      </w:r>
      <w:r w:rsidRPr="008608AA">
        <w:rPr>
          <w:rFonts w:eastAsia="Droid Sans Fallback"/>
        </w:rPr>
        <w:t xml:space="preserve">. This unprecedented state is posing consequences regarding the balance between demand and supply of ecosystem services in order to assure human well-being. After all, urbanization should be understood not only as a demographic or socioeconomic phenomenon but also as a process of ecological transformation by humans, affecting land ecosystems from local to global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"Huang", "given" : "SL", "non-dropping-particle" : "", "parse-names" : false, "suffix" : "" }, { "dropping-particle" : "", "family" : "Yeh", "given" : "C.J.", "non-dropping-particle" : "", "parse-names" : false, "suffix" : "" }, { "dropping-particle" : "", "family" : "Chang", "given" : "F.L.", "non-dropping-particle" : "", "parse-names" : false, "suffix" : "" } ], "container-title" : "Environmental Sustainability", "id" : "ITEM-1", "issue" : "2", "issued" : { "date-parts" : [ [ "2010" ] ] }, "page" : "136-143.", "title" : "The transition to an urbanizing world and the demand for natural resources.", "type" : "article-journal", "volume" : "2" }, "uris" : [ "http://www.mendeley.com/documents/?uuid=73d8aec4-ffbc-366c-a135-ad1a64cbd7b5" ] } ], "mendeley" : { "formattedCitation" : "(Huang et al., 2010)", "plainTextFormattedCitation" : "(Huang et al., 2010)", "previouslyFormattedCitation" : "(Huang et al., 2010)"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(Huang et al., 2010)</w:t>
      </w:r>
      <w:r w:rsidRPr="008608AA">
        <w:rPr>
          <w:rFonts w:eastAsia="Droid Sans Fallback"/>
        </w:rPr>
        <w:fldChar w:fldCharType="end"/>
      </w:r>
      <w:r w:rsidRPr="008608AA">
        <w:rPr>
          <w:rFonts w:eastAsia="Droid Sans Fallback"/>
        </w:rPr>
        <w:t xml:space="preserve">. This occurs for at least two intertwined reasons. First, because the increasing magnitude and pace of urbanization directly reshape land use locally in an accumulative fashion throughout the world </w:t>
      </w:r>
      <w:r w:rsidRPr="008608AA">
        <w:rPr>
          <w:rFonts w:eastAsia="Droid Sans Fallback"/>
        </w:rPr>
        <w:fldChar w:fldCharType="begin" w:fldLock="1"/>
      </w:r>
      <w:r w:rsidRPr="008608AA">
        <w:rPr>
          <w:rFonts w:eastAsia="Droid Sans Fallback"/>
        </w:rPr>
        <w:instrText>ADDIN CSL_CITATION { "citationItems" : [ { "id" : "ITEM-1", "itemData" : { "DOI" : "10.1073/pnas.1117622109", "ISBN" : "1091-6490 (Electronic)\\r0027-8424 (Linking)", "ISSN" : "0027-8424", "PMID" : "22550174", "abstract" : "This paper introduces urban land teleconnections as a conceptual framework that explicitly links land changes to underlying urbanization dynamics. We illustrate how three key themes that are currently addressed separately in the urban sustainability and land change literatures can lead to incorrect conclusions and misleading results when they are not examined jointly: the traditional system of land classification that is based on discrete categories and reinforces the false idea of a rural-urban dichotomy; the spatial quantification of land change that is based on place-based relationships, ignoring the connections between distant places, especially between urban functions and rural land uses; and the implicit assumptions about path dependency and sequential land changes that underlie current conceptualizations of land transitions. We then examine several environmental \"grand challenges\" and discuss how urban land teleconnections could help research communities frame scientific inquiries. Finally, we point to existing analytical approaches that can be used to advance development and application of the concept.", "author" : [ { "dropping-particle" : "", "family" : "Seto", "given" : "K.C.", "non-dropping-particle" : "", "parse-names" : false, "suffix" : "" }, { "dropping-particle" : "", "family" : "Reenberg", "given" : "A.", "non-dropping-particle" : "", "parse-names" : false, "suffix" : "" }, { "dropping-particle" : "", "family" : "Boone", "given" : "C.G.", "non-dropping-particle" : "", "parse-names" : false, "suffix" : "" }, { "dropping-particle" : "", "family" : "Fragkias", "given" : "M.", "non-dropping-particle" : "", "parse-names" : false, "suffix" : "" }, { "dropping-particle" : "", "family" : "Haase", "given" : "D.", "non-dropping-particle" : "", "parse-names" : false, "suffix" : "" }, { "dropping-particle" : "", "family" : "Langanke", "given" : "T.", "non-dropping-particle" : "", "parse-names" : false, "suffix" : "" }, { "dropping-particle" : "", "family" : "Marcotullio", "given" : "P.", "non-dropping-particle" : "", "parse-names" : false, "suffix" : "" }, { "dropping-particle" : "", "family" : "Munroe", "given" : "D.K.", "non-dropping-particle" : "", "parse-names" : false, "suffix" : "" }, { "dropping-particle" : "", "family" : "Olah", "given" : "B.", "non-dropping-particle" : "", "parse-names" : false, "suffix" : "" }, { "dropping-particle" : "", "family" : "Simon", "given" : "D.", "non-dropping-particle" : "", "parse-names" : false, "suffix" : "" } ], "container-title" : "Proceedings of the National Academy of Sciences", "id" : "ITEM-1", "issue" : "20", "issued" : { "date-parts" : [ [ "2012", "5", "15" ] ] }, "page" : "7687-7692", "title" : "Urban land teleconnections and sustainability", "type" : "article-journal", "volume" : "109" }, "uris" : [ "http://www.mendeley.com/documents/?uuid=39d3bcd7-d4d5-3a77-89cc-2841d56581ba" ] } ], "mendeley" : { "formattedCitation" : "(K.C. Seto et al., 2012)", "plainTextFormattedCitation" : "(K.C. Seto et al., 2012)", "previouslyFormattedCitation" : "(K.C. Seto et al., 2012)" }, "properties" : {  }, "schema" : "https://github.com/citation-style-language/schema/raw/master/csl-citation.json" }</w:instrText>
      </w:r>
      <w:r w:rsidRPr="008608AA">
        <w:rPr>
          <w:rFonts w:eastAsia="Droid Sans Fallback"/>
        </w:rPr>
        <w:fldChar w:fldCharType="separate"/>
      </w:r>
      <w:r w:rsidR="00D33974" w:rsidRPr="008608AA">
        <w:rPr>
          <w:rFonts w:eastAsia="Droid Sans Fallback"/>
          <w:noProof/>
        </w:rPr>
        <w:t>(</w:t>
      </w:r>
      <w:r w:rsidRPr="008608AA">
        <w:rPr>
          <w:rFonts w:eastAsia="Droid Sans Fallback"/>
          <w:noProof/>
        </w:rPr>
        <w:t>Seto et al., 2012)</w:t>
      </w:r>
      <w:r w:rsidRPr="008608AA">
        <w:rPr>
          <w:rFonts w:eastAsia="Droid Sans Fallback"/>
        </w:rPr>
        <w:fldChar w:fldCharType="end"/>
      </w:r>
      <w:r w:rsidRPr="008608AA">
        <w:rPr>
          <w:rFonts w:eastAsia="Droid Sans Fallback"/>
        </w:rPr>
        <w:t xml:space="preserve">. More than 1.5 million square kilometers of global urban land area is expected to be added by 2030 </w:t>
      </w:r>
      <w:r w:rsidRPr="008608AA">
        <w:rPr>
          <w:rFonts w:eastAsia="Droid Sans Fallback"/>
        </w:rPr>
        <w:fldChar w:fldCharType="begin" w:fldLock="1"/>
      </w:r>
      <w:r w:rsidRPr="008608AA">
        <w:rPr>
          <w:rFonts w:eastAsia="Droid Sans Fallback"/>
        </w:rPr>
        <w:instrText>ADDIN CSL_CITATION { "citationItems" : [ { "id" : "ITEM-1", "itemData" : { "DOI" : "10.1371/journal.pone.0023777", "ISSN" : "1932-6203", "author" : [ { "dropping-particle" : "", "family" : "Seto", "given" : "Karen C.", "non-dropping-particle" : "", "parse-names" : false, "suffix" : "" }, { "dropping-particle" : "", "family" : "Fragkias", "given" : "Michail", "non-dropping-particle" : "", "parse-names" : false, "suffix" : "" }, { "dropping-particle" : "", "family" : "G\u00fcneralp", "given" : "Burak", "non-dropping-particle" : "", "parse-names" : false, "suffix" : "" }, { "dropping-particle" : "", "family" : "Reilly", "given" : "Michael K.", "non-dropping-particle" : "", "parse-names" : false, "suffix" : "" } ], "container-title" : "PLoS ONE", "editor" : [ { "dropping-particle" : "", "family" : "A\u00f1el", "given" : "Juan A.", "non-dropping-particle" : "", "parse-names" : false, "suffix" : "" } ], "id" : "ITEM-1", "issue" : "8", "issued" : { "date-parts" : [ [ "2011", "8", "18" ] ] }, "page" : "e23777", "publisher" : "Public Library of Science", "title" : "A Meta-Analysis of Global Urban Land Expansion", "type" : "article-journal", "volume" : "6" }, "uris" : [ "http://www.mendeley.com/documents/?uuid=8ec507fc-f9df-38a4-b13e-80388e49b91f" ] } ], "mendeley" : { "formattedCitation" : "(Karen C. Seto, Fragkias, G\u00fcneralp, &amp; Reilly, 2011)", "plainTextFormattedCitation" : "(Karen C. Seto, Fragkias, G\u00fcneralp, &amp; Reilly, 2011)", "previouslyFormattedCitation" : "(Karen C. Seto, Fragkias, G\u00fcneralp, &amp; Reilly, 2011)"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(Seto</w:t>
      </w:r>
      <w:r w:rsidRPr="008608AA">
        <w:rPr>
          <w:rFonts w:eastAsia="Droid Sans Fallback"/>
          <w:noProof/>
        </w:rPr>
        <w:t xml:space="preserve"> et al., 2011)</w:t>
      </w:r>
      <w:r w:rsidRPr="008608AA">
        <w:rPr>
          <w:rFonts w:eastAsia="Droid Sans Fallback"/>
        </w:rPr>
        <w:fldChar w:fldCharType="end"/>
      </w:r>
      <w:r w:rsidRPr="008608AA">
        <w:rPr>
          <w:rFonts w:eastAsia="Droid Sans Fallback"/>
        </w:rPr>
        <w:t xml:space="preserve">. This expansion is expected to occur at the cost of high quality agricultural land as well as high biodiversity sites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"Fragkias", "given" : "M.", "non-dropping-particle" : "", "parse-names" : false, "suffix" : "" }, { "dropping-particle" : "", "family" : "Langanke", "given" : "T.", "non-dropping-particle" : "", "parse-names" : false, "suffix" : "" }, { "dropping-particle" : "", "family" : "Boone", "given" : "C.G.", "non-dropping-particle" : "", "parse-names" : false, "suffix" : "" }, { "dropping-particle" : "", "family" : "Haase", "given" : "D.", "non-dropping-particle" : "", "parse-names" : false, "suffix" : "" }, { "dropping-particle" : "", "family" : "Marcotullio", "given" : "P. J.", "non-dropping-particle" : "", "parse-names" : false, "suffix" : "" }, { "dropping-particle" : "", "family" : "Munroe", "given" : "D.", "non-dropping-particle" : "", "parse-names" : false, "suffix" : "" }, { "dropping-particle" : "", "family" : "Olah", "given" : "B.", "non-dropping-particle" : "", "parse-names" : false, "suffix" : "" }, { "dropping-particle" : "", "family" : "Reenberg", "given" : "A.", "non-dropping-particle" : "", "parse-names" : false, "suffix" : "" }, { "dropping-particle" : "", "family" : "Seto", "given" : "K. C.", "non-dropping-particle" : "", "parse-names" : false, "suffix" : "" }, { "dropping-particle" : "", "family" : "Simon", "given" : "D.", "non-dropping-particle" : "", "parse-names" : false, "suffix" : "" } ], "id" : "ITEM-1", "issued" : { "date-parts" : [ [ "2012" ] ] }, "title" : "Land teleconnections in an Urbanizing World \u2013 A workshop report. GLP Report No. 5; GLP-IPO, Copenhagen. UGEC Report No. 6; UGEC-IPO, Tempe", "type" : "report" }, "uris" : [ "http://www.mendeley.com/documents/?uuid=279d113f-534b-3d3e-814d-8c60d177ec0d" ] } ], "mendeley" : { "formattedCitation" : "(Fragkias et al., 2012)", "plainTextFormattedCitation" : "(Fragkias et al., 2012)", "previouslyFormattedCitation" : "(Fragkias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(Fragkias et al., 2012)</w:t>
      </w:r>
      <w:r w:rsidRPr="008608AA">
        <w:rPr>
          <w:rFonts w:eastAsia="Droid Sans Fallback"/>
        </w:rPr>
        <w:fldChar w:fldCharType="end"/>
      </w:r>
      <w:r w:rsidRPr="008608AA">
        <w:rPr>
          <w:rFonts w:eastAsia="Droid Sans Fallback"/>
        </w:rPr>
        <w:t xml:space="preserve">. Additionally, at a global scale, the physical expansion of urban areas is growing twice as fast as urban population </w:t>
      </w:r>
      <w:r w:rsidRPr="008608AA">
        <w:rPr>
          <w:rFonts w:eastAsia="Droid Sans Fallback"/>
        </w:rPr>
        <w:fldChar w:fldCharType="begin" w:fldLock="1"/>
      </w:r>
      <w:r w:rsidRPr="008608AA">
        <w:rPr>
          <w:rFonts w:eastAsia="Droid Sans Fallback"/>
        </w:rPr>
        <w:instrText>ADDIN CSL_CITATION { "citationItems" : [ { "id" : "ITEM-1", "itemData" : { "DOI" : "10.1126/science.aaf7439", "ISSN" : "1095-9203", "PMID" : "27199419", "abstract" : "Global societies are becoming increasingly urban. This shift toward urban living is changing our relationship with food, including how we shop and what we buy, as well as ideas about sanitation and freshness. Achieving food security in an era of rapid urbanization will require considerably more understanding about how urban and food systems are intertwined. Here we discuss some potential understudied linkages that are ripe for further examination.", "author" : [ { "dropping-particle" : "", "family" : "Seto", "given" : "Karen C", "non-dropping-particle" : "", "parse-names" : false, "suffix" : "" }, { "dropping-particle" : "", "family" : "Ramankutty", "given" : "Navin", "non-dropping-particle" : "", "parse-names" : false, "suffix" : "" } ], "container-title" : "Science", "id" : "ITEM-1", "issue" : "6288", "issued" : { "date-parts" : [ [ "2016", "5", "20" ] ] }, "page" : "943-5", "publisher" : "American Association for the Advancement of Science", "title" : "Hidden linkages between urbanization and food systems.", "type" : "article-journal", "volume" : "352" }, "uris" : [ "http://www.mendeley.com/documents/?uuid=d7849115-6fb6-3eb0-ae07-7196898c8677" ] } ], "mendeley" : { "formattedCitation" : "(Karen C Seto &amp; Ramankutty, 2016)", "plainTextFormattedCitation" : "(Karen C Seto &amp; Ramankutty, 2016)", "previouslyFormattedCitation" : "(Karen C Seto &amp; Ramankutty,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(Seto &amp; Ramankutty, 2016)</w:t>
      </w:r>
      <w:r w:rsidRPr="008608AA">
        <w:rPr>
          <w:rFonts w:eastAsia="Droid Sans Fallback"/>
        </w:rPr>
        <w:fldChar w:fldCharType="end"/>
      </w:r>
      <w:r w:rsidRPr="008608AA">
        <w:rPr>
          <w:rFonts w:eastAsia="Droid Sans Fallback"/>
        </w:rPr>
        <w:t xml:space="preserve">. New expansion is expected to increasingly take place close to biodiversity hotspots. By 2030, 1.8 % additional area from biodiversity hotspots will be converted into urban use </w:t>
      </w:r>
      <w:r w:rsidRPr="008608AA">
        <w:rPr>
          <w:rFonts w:eastAsia="Droid Sans Fallback"/>
        </w:rPr>
        <w:fldChar w:fldCharType="begin" w:fldLock="1"/>
      </w:r>
      <w:r w:rsidRPr="008608AA">
        <w:rPr>
          <w:rFonts w:eastAsia="Droid Sans Fallback"/>
        </w:rPr>
        <w:instrText>ADDIN CSL_CITATION { "citationItems" : [ { "id" : "ITEM-1", "itemData" : { "DOI" : "10.1073/pnas.1211658109", "ISBN" : "0027-8424", "ISSN" : "0027-8424", "PMID" : "22988086", "abstract" : "Urban land-cover change threatens biodiversity and affects ecosystem productivity through loss of habitat, biomass, and carbon storage. However, despite projections that world urban populations will increase to nearly 5 billion by 2030, little is known about future locations, magnitudes, and rates of urban expansion. Here we develop spatially explicit probabilistic forecasts of global urban land-cover change and explore the direct impacts on biodiversity hotspots and tropical carbon biomass. If current trends in population density continue and all areas with high probabilities of urban expansion undergo change, then by 2030, urban land cover will increase by 1.2 million km(2), nearly tripling the global urban land area circa 2000. This increase would result in considerable loss of habitats in key biodiversity hotspots, with the highest rates of forecasted urban growth to take place in regions that were relatively undisturbed by urban development in 2000: the Eastern Afromontane, the Guinean Forests of West Africa, and the Western Ghats and Sri Lanka hotspots. Within the pan-tropics, loss in vegetation biomass from areas with high probability of urban expansion is estimated to be 1.38 PgC (0.05 PgC yr(-1)), equal to \u223c5% of emissions from tropical deforestation and land-use change. Although urbanization is often considered a local issue, the aggregate global impacts of projected urban expansion will require significant policy changes to affect future growth trajectories to minimize global biodiversity and vegetation carbon losses.", "author" : [ { "dropping-particle" : "", "family" : "Seto", "given" : "K. C.", "non-dropping-particle" : "", "parse-names" : false, "suffix" : "" }, { "dropping-particle" : "", "family" : "Guneralp", "given" : "B.", "non-dropping-particle" : "", "parse-names" : false, "suffix" : "" }, { "dropping-particle" : "", "family" : "Hutyra", "given" : "L. R.", "non-dropping-particle" : "", "parse-names" : false, "suffix" : "" } ], "container-title" : "Proceedings of the National Academy of Sciences", "id" : "ITEM-1", "issue" : "40", "issued" : { "date-parts" : [ [ "2012", "10", "2" ] ] }, "page" : "16083-16088", "title" : "Global forecasts of urban expansion to 2030 and direct impacts on biodiversity and carbon pools", "type" : "article-journal", "volume" : "109" }, "uris" : [ "http://www.mendeley.com/documents/?uuid=15535f52-48e4-314d-9876-837cbcfe87eb" ] } ], "mendeley" : { "formattedCitation" : "(K. C. Seto, Guneralp, &amp; Hutyra, 2012)", "plainTextFormattedCitation" : "(K. C. Seto, Guneralp, &amp; Hutyra, 2012)", "previouslyFormattedCitation" : "(K. C. Seto, Guneralp, &amp; Hutyra, 2012)"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(Seto</w:t>
      </w:r>
      <w:r w:rsidRPr="008608AA">
        <w:rPr>
          <w:rFonts w:eastAsia="Droid Sans Fallback"/>
          <w:noProof/>
        </w:rPr>
        <w:t xml:space="preserve"> et al., 2012)</w:t>
      </w:r>
      <w:r w:rsidRPr="008608AA">
        <w:rPr>
          <w:rFonts w:eastAsia="Droid Sans Fallback"/>
        </w:rPr>
        <w:fldChar w:fldCharType="end"/>
      </w:r>
      <w:r w:rsidRPr="008608AA">
        <w:rPr>
          <w:rFonts w:eastAsia="Droid Sans Fallback"/>
        </w:rPr>
        <w:t>. It is in South America where the most pronounced increase in the amount of urban land (forecasted at 100,000 Km</w:t>
      </w:r>
      <w:r w:rsidRPr="008608AA">
        <w:rPr>
          <w:rFonts w:eastAsia="Droid Sans Fallback"/>
          <w:vertAlign w:val="superscript"/>
        </w:rPr>
        <w:t>2</w:t>
      </w:r>
      <w:r w:rsidRPr="008608AA">
        <w:rPr>
          <w:rFonts w:eastAsia="Droid Sans Fallback"/>
        </w:rPr>
        <w:t xml:space="preserve">) in biodiversity hotspots will take place </w:t>
      </w:r>
      <w:r w:rsidRPr="008608AA">
        <w:rPr>
          <w:rFonts w:eastAsia="Droid Sans Fallback"/>
        </w:rPr>
        <w:fldChar w:fldCharType="begin" w:fldLock="1"/>
      </w:r>
      <w:r w:rsidRPr="008608AA">
        <w:rPr>
          <w:rFonts w:eastAsia="Droid Sans Fallback"/>
        </w:rPr>
        <w:instrText>ADDIN CSL_CITATION { "citationItems" : [ { "id" : "ITEM-1", "itemData" : { "DOI" : "10.1016/j.cosust.2013.08.003", "ISBN" : "1877-3435", "ISSN" : "18773435", "abstract" : "That urban and rural places are connected through trade, people, and policies has long been recognized. The urban land teleconnections (ULT) framework aims advancing conventional conceptualizations of urbanization and land. The conceptual framework thus opens way to identify and examine the processes that link urbanization dynamics and associated land changes that are not necessarily colocated. In this paper, we review recent literature on four manifestations of urbanization that, along the lines of the ULT framework, highlight the importance of process-based conceptualizations of urbanization and land along a continuum of land systems. We then discuss potential approaches to improve the knowledge base on how and where urbanization is driving land change. \u00a9 2013 Elsevier B.V.", "author" : [ { "dropping-particle" : "", "family" : "G\u00fcneralp", "given" : "Burak", "non-dropping-particle" : "", "parse-names" : false, "suffix" : "" }, { "dropping-particle" : "", "family" : "Seto", "given" : "Karen C.", "non-dropping-particle" : "", "parse-names" : false, "suffix" : "" }, { "dropping-particle" : "", "family" : "Ramachandran", "given" : "Mahesh", "non-dropping-particle" : "", "parse-names" : false, "suffix" : "" } ], "container-title" : "Current Opinion in Environmental Sustainability", "id" : "ITEM-1", "issue" : "5", "issued" : { "date-parts" : [ [ "2013", "10" ] ] }, "page" : "445-451", "title" : "Evidence of urban land teleconnections and impacts on hinterlands", "type" : "article-journal", "volume" : "5" }, "uris" : [ "http://www.mendeley.com/documents/?uuid=79c3cb04-eebe-383a-927c-3a03d3fee8f6" ] } ], "mendeley" : { "formattedCitation" : "(G\u00fcneralp, Seto, &amp; Ramachandran, 2013)", "plainTextFormattedCitation" : "(G\u00fcneralp, Seto, &amp; Ramachandran, 2013)", "previouslyFormattedCitation" : "(G\u00fcneralp, Seto, &amp; Ramachandran, 2013)"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(Güneralp</w:t>
      </w:r>
      <w:r w:rsidRPr="008608AA">
        <w:rPr>
          <w:rFonts w:eastAsia="Droid Sans Fallback"/>
          <w:noProof/>
        </w:rPr>
        <w:t xml:space="preserve"> et al., 2013)</w:t>
      </w:r>
      <w:r w:rsidRPr="008608AA">
        <w:rPr>
          <w:rFonts w:eastAsia="Droid Sans Fallback"/>
        </w:rPr>
        <w:fldChar w:fldCharType="end"/>
      </w:r>
      <w:r w:rsidRPr="008608AA">
        <w:rPr>
          <w:rFonts w:eastAsia="Droid Sans Fallback"/>
        </w:rPr>
        <w:t xml:space="preserve"> and in the Americas, in general, where the highest number of species already highly threatened will be impacted by urban expansion </w:t>
      </w:r>
      <w:r w:rsidRPr="008608AA">
        <w:rPr>
          <w:rFonts w:eastAsia="Droid Sans Fallback"/>
        </w:rPr>
        <w:fldChar w:fldCharType="begin" w:fldLock="1"/>
      </w:r>
      <w:r w:rsidRPr="008608AA">
        <w:rPr>
          <w:rFonts w:eastAsia="Droid Sans Fallback"/>
        </w:rPr>
        <w:instrText>ADDIN CSL_CITATION { "citationItems" : [ { "id" : "ITEM-1", "itemData" : { "DOI" : "10.1073/pnas.1211658109", "ISBN" : "0027-8424", "ISSN" : "0027-8424", "PMID" : "22988086", "abstract" : "Urban land-cover change threatens biodiversity and affects ecosystem productivity through loss of habitat, biomass, and carbon storage. However, despite projections that world urban populations will increase to nearly 5 billion by 2030, little is known about future locations, magnitudes, and rates of urban expansion. Here we develop spatially explicit probabilistic forecasts of global urban land-cover change and explore the direct impacts on biodiversity hotspots and tropical carbon biomass. If current trends in population density continue and all areas with high probabilities of urban expansion undergo change, then by 2030, urban land cover will increase by 1.2 million km(2), nearly tripling the global urban land area circa 2000. This increase would result in considerable loss of habitats in key biodiversity hotspots, with the highest rates of forecasted urban growth to take place in regions that were relatively undisturbed by urban development in 2000: the Eastern Afromontane, the Guinean Forests of West Africa, and the Western Ghats and Sri Lanka hotspots. Within the pan-tropics, loss in vegetation biomass from areas with high probability of urban expansion is estimated to be 1.38 PgC (0.05 PgC yr(-1)), equal to \u223c5% of emissions from tropical deforestation and land-use change. Although urbanization is often considered a local issue, the aggregate global impacts of projected urban expansion will require significant policy changes to affect future growth trajectories to minimize global biodiversity and vegetation carbon losses.", "author" : [ { "dropping-particle" : "", "family" : "Seto", "given" : "K. C.", "non-dropping-particle" : "", "parse-names" : false, "suffix" : "" }, { "dropping-particle" : "", "family" : "Guneralp", "given" : "B.", "non-dropping-particle" : "", "parse-names" : false, "suffix" : "" }, { "dropping-particle" : "", "family" : "Hutyra", "given" : "L. R.", "non-dropping-particle" : "", "parse-names" : false, "suffix" : "" } ], "container-title" : "Proceedings of the National Academy of Sciences", "id" : "ITEM-1", "issue" : "40", "issued" : { "date-parts" : [ [ "2012", "10", "2" ] ] }, "page" : "16083-16088", "title" : "Global forecasts of urban expansion to 2030 and direct impacts on biodiversity and carbon pools", "type" : "article-journal", "volume" : "109" }, "uris" : [ "http://www.mendeley.com/documents/?uuid=15535f52-48e4-314d-9876-837cbcfe87eb" ] } ], "mendeley" : { "formattedCitation" : "(K. C. Seto et al., 2012)", "plainTextFormattedCitation" : "(K. C. Seto et al., 2012)", "previouslyFormattedCitation" : "(K. C. Seto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(Seto et al., 2012)</w:t>
      </w:r>
      <w:r w:rsidRPr="008608AA">
        <w:rPr>
          <w:rFonts w:eastAsia="Droid Sans Fallback"/>
        </w:rPr>
        <w:fldChar w:fldCharType="end"/>
      </w:r>
      <w:r w:rsidRPr="008608AA">
        <w:rPr>
          <w:rFonts w:eastAsia="Droid Sans Fallback"/>
        </w:rPr>
        <w:t xml:space="preserve">. </w:t>
      </w:r>
    </w:p>
    <w:p w14:paraId="3C7EFC11" w14:textId="77777777" w:rsidR="00D33974" w:rsidRPr="008608AA" w:rsidRDefault="00490494" w:rsidP="00EE708F">
      <w:pPr>
        <w:suppressAutoHyphens/>
        <w:rPr>
          <w:rFonts w:eastAsia="Droid Sans Fallback"/>
        </w:rPr>
      </w:pPr>
      <w:r w:rsidRPr="008608AA">
        <w:rPr>
          <w:rFonts w:eastAsia="Droid Sans Fallback"/>
        </w:rPr>
        <w:t>The second reason, captured by the concept of telecoupling, is linked to trends in urban consumption patterns that unintentionally affect ecosystems at different spatial scales. However, despite conceptual advances, there is a gap in studies demonstrating these linkages. This is partially because telecoupling between places of consumption and places of production are largely unnoticed at subnational levels.</w:t>
      </w:r>
    </w:p>
    <w:p w14:paraId="2650CF16" w14:textId="6E98E520" w:rsidR="00490494" w:rsidRPr="008608AA" w:rsidRDefault="00490494" w:rsidP="00EE708F">
      <w:pPr>
        <w:suppressAutoHyphens/>
        <w:rPr>
          <w:rFonts w:eastAsia="Droid Sans Fallback"/>
        </w:rPr>
      </w:pPr>
      <w:r w:rsidRPr="008608AA">
        <w:rPr>
          <w:rFonts w:eastAsia="Droid Sans Fallback"/>
        </w:rPr>
        <w:t xml:space="preserve"> </w:t>
      </w:r>
    </w:p>
    <w:p w14:paraId="05255790" w14:textId="34C84C8F" w:rsidR="00490494" w:rsidRPr="008608AA" w:rsidRDefault="00490494" w:rsidP="00EE708F">
      <w:pPr>
        <w:suppressAutoHyphens/>
        <w:rPr>
          <w:rFonts w:eastAsia="Droid Sans Fallback"/>
        </w:rPr>
      </w:pPr>
      <w:r w:rsidRPr="008608AA">
        <w:rPr>
          <w:rFonts w:eastAsia="Droid Sans Fallback"/>
        </w:rPr>
        <w:t xml:space="preserve">As opposed to non-urban, urban residents tend to consume differently </w:t>
      </w:r>
      <w:r w:rsidRPr="008608AA">
        <w:rPr>
          <w:rFonts w:eastAsia="Droid Sans Fallback"/>
        </w:rPr>
        <w:fldChar w:fldCharType="begin" w:fldLock="1"/>
      </w:r>
      <w:r w:rsidRPr="008608AA">
        <w:rPr>
          <w:rFonts w:eastAsia="Droid Sans Fallback"/>
        </w:rPr>
        <w:instrText>ADDIN CSL_CITATION { "citationItems" : [ { "id" : "ITEM-1", "itemData" : { "abstract" : "Urban consumption of ecosystems services such as food generates environmental impacts at different geographical scales. In the last few decades Tokyoites have shown an increasing appetite for meat. This study examines the environmental implications of Tokyo's increasing meat consumption by analyzing how this trend has affected land use and cover change in areas near and far away. Historical databases (1970\u20132005) are employed in order to explore meat consumption patterns in Tokyo and to relate it with beef and pork production in areas within the country and abroad. It also integrates the historical analysis of pro-duction and consumption patterns with a discussion of the drivers (e.g., wealth, price, policies and seafood availabil-ity) behind these trends. We identified that meat production in Japan followed three distinct phases between 1877 and 2005. In the first period it took 50 years for production to increase by 50%, while during the next phase production showed the same growth in just half the time. Major changes in land use/cover change because of domestic meat production occurred mainly during the second phase and, thereafter, when domestic production declined and was substituted to a great extent by imports. Despite the increasing consumption of imported meat, Tokyo relies greatly on domestic meat produced in its neighboring prefectures. The paper concludes that regional planning can be used as an effective instrument to protect the environ-ment and secure protein for the population of mega-urban areas such as Tokyo.", "author" : [ { "dropping-particle" : "", "family" : "Gadda", "given" : "Tatiana", "non-dropping-particle" : "", "parse-names" : false, "suffix" : "" }, { "dropping-particle" : "", "family" : "Gasparatos", "given" : "Alexandros", "non-dropping-particle" : "", "parse-names" : false, "suffix" : "" } ], "container-title" : "Sustainability Science", "id" : "ITEM-1", "issue" : "4", "issued" : { "date-parts" : [ [ "2009" ] ] }, "page" : "165 - 177", "title" : "Land use and cover change in Japan and Tokyo's appetite for meat", "type" : "article-journal", "volume" : "4" }, "prefix" : "see ", "uris" : [ "http://www.mendeley.com/documents/?uuid=975a8b40-0cc2-3b19-82fb-456a377f2ef1" ] }, { "id" : "ITEM-2", "itemData" : { "DOI" : "10.1073/pnas.0812540106", "ISSN" : "1091-6490", "PMID" : "19955435", "abstract" : "Does the intensification of agriculture reduce cultivated areas and, in so doing, spare some lands by concentrating production on other lands? Such sparing is important for many reasons, among them the enhanced abilities of released lands to sequester carbon and provide other environmental services. Difficulties measuring the extent of spared land make it impossible to investigate fully the hypothesized causal chain from agricultural intensification to declines in cultivated areas and then to increases in spared land. We analyze the historical circumstances in which rising yields have been accompanied by declines in cultivated areas, thereby leading to land-sparing. We use national-level United Nations Food and Agricultural Organization data on trends in cropland from 1970-2005, with particular emphasis on the 1990-2005 period, for 10 major crop types. Cropland has increased more slowly than population during this period, but paired increases in yields and declines in cropland occurred infrequently, both globally and nationally. Agricultural intensification was not generally accompanied by decline or stasis in cropland area at a national scale during this time period, except in countries with grain imports and conservation set-aside programs. Future projections of cropland abandonment and ensuing environmental services cannot be assumed without explicit policy intervention.", "author" : [ { "dropping-particle" : "", "family" : "Rudel", "given" : "Thomas K", "non-dropping-particle" : "", "parse-names" : false, "suffix" : "" }, { "dropping-particle" : "", "family" : "Schneider", "given" : "Laura", "non-dropping-particle" : "", "parse-names" : false, "suffix" : "" }, { "dropping-particle" : "", "family" : "Uriarte", "given" : "Maria", "non-dropping-particle" : "", "parse-names" : false, "suffix" : "" }, { "dropping-particle" : "", "family" : "Turner", "given" : "B L", "non-dropping-particle" : "", "parse-names" : false, "suffix" : "" }, { "dropping-particle" : "", "family" : "DeFries", "given" : "Ruth", "non-dropping-particle" : "", "parse-names" : false, "suffix" : "" }, { "dropping-particle" : "", "family" : "Lawrence", "given" : "Deborah", "non-dropping-particle" : "", "parse-names" : false, "suffix" : "" }, { "dropping-particle" : "", "family" : "Geoghegan", "given" : "Jacqueline", "non-dropping-particle" : "", "parse-names" : false, "suffix" : "" }, { "dropping-particle" : "", "family" : "Hecht", "given" : "Susanna", "non-dropping-particle" : "", "parse-names" : false, "suffix" : "" }, { "dropping-particle" : "", "family" : "Ickowitz", "given" : "Amy", "non-dropping-particle" : "", "parse-names" : false, "suffix" : "" }, { "dropping-particle" : "", "family" : "Lambin", "given" : "Eric F", "non-dropping-particle" : "", "parse-names" : false, "suffix" : "" }, { "dropping-particle" : "", "family" : "Birkenholtz", "given" : "Trevor", "non-dropping-particle" : "", "parse-names" : false, "suffix" : "" }, { "dropping-particle" : "", "family" : "Baptista", "given" : "Sandra", "non-dropping-particle" : "", "parse-names" : false, "suffix" : "" }, { "dropping-particle" : "", "family" : "Grau", "given" : "Ricardo", "non-dropping-particle" : "", "parse-names" : false, "suffix" : "" } ], "container-title" : "Proceedings of the National Academy of Sciences of the United States of America", "id" : "ITEM-2", "issue" : "49", "issued" : { "date-parts" : [ [ "2009", "12", "8" ] ] }, "page" : "20675-80", "publisher" : "National Academy of Sciences", "title" : "Agricultural intensification and changes in cultivated areas, 1970-2005.", "type" : "article-journal", "volume" : "106" }, "uris" : [ "http://www.mendeley.com/documents/?uuid=ab5b1e21-5ab6-4e04-86fb-63f83b1193d7" ] }, { "id" : "ITEM-3", "itemData" : { "DOI" : "10.1016/j.gloenvcha.2013.04.006", "ISBN" : "09593780", "ISSN" : "09593780", "abstract" : "Globalization increases the interconnectedness of people and places around the world. In a connected world, goods and services consumed in one country are often produced in other countries and exchanged via international trade. Thus, local consumption is increasingly met by global supply chains oftentimes involving large geographical distances and leading to global environmental change. In this study, we connect local consumption to global land use through tracking global commodity and value chains via international trade flows. Using a global multiregional input-output model with sectoral detail allows for the accounting of land use attributed to \"unusual\" sectors - from a land use perspective - including services, machinery and equipment, and construction. Our results show how developed countries consume a large amount of goods and services from both domestic and international markets, and thus impose pressure not only on their domestic land resources, but also displace land in other countries, thus displacing other uses. For example, 33% of total U.S. land use for consumption purposes is displaced from other countries. This ratio becomes much larger for the EU (more than 50%) and Japan (92%). Our analysis shows that 47% of Brazilian and 88% of Argentinean cropland is used for consumption purposes outside of their territories, mainly in EU countries and China. In addition, consumers in rich countries tend to displace land by consuming non-agricultural products, such as services, clothing and household appliances, which account for more than 50% of their total land displacement. By contrast, for developing economies, such as African countries, the share of land use for non-agricultural products is much lower, with an average of 7%. The emerging economies and population giants, China and India, are likely to further increase their appetite for land from other countries, such as Africa, Russia and Latin America, to satisfy their own land needs driven by their fast economic growth and the needs and lifestyles of their growing populations. \u00a9 2013 Elsevier Ltd.", "author" : [ { "dropping-particle" : "", "family" : "Yu", "given" : "Yang", "non-dropping-particle" : "", "parse-names" : false, "suffix" : "" }, { "dropping-particle" : "", "family" : "Feng", "given" : "Kuishuang", "non-dropping-particle" : "", "parse-names" : false, "suffix" : "" }, { "dropping-particle" : "", "family" : "Hubacek", "given" : "Klaus", "non-dropping-particle" : "", "parse-names" : false, "suffix" : "" } ], "container-title" : "Global Environmental Change", "id" : "ITEM-3", "issue" : "5", "issued" : { "date-parts" : [ [ "2013", "10" ] ] }, "page" : "1178-1186", "title" : "Tele-connecting local consumption to global land use", "type" : "article-journal", "volume" : "23" }, "uris" : [ "http://www.mendeley.com/documents/?uuid=582999db-66f7-3376-a767-f86c6102a1d3" ] } ], "mendeley" : { "formattedCitation" : "(see Gadda &amp; Gasparatos, 2009; Rudel et al., 2009; Yu, Feng, &amp; Hubacek, 2013)", "plainTextFormattedCitation" : "(see Gadda &amp; Gasparatos, 2009; Rudel et al., 2009; Yu, Feng, &amp; Hubacek, 2013)", "previouslyFormattedCitation" : "(see Gadda &amp; Gasparatos, 2009; Rudel et al., 2009; Yu, Feng, &amp; Hubacek,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(Gadda &amp; Gasparato</w:t>
      </w:r>
      <w:r w:rsidR="002C171D" w:rsidRPr="008608AA">
        <w:rPr>
          <w:rFonts w:eastAsia="Droid Sans Fallback"/>
          <w:noProof/>
        </w:rPr>
        <w:t>s, 2009; Rudel et al., 2009; Yu</w:t>
      </w:r>
      <w:r w:rsidRPr="008608AA">
        <w:rPr>
          <w:rFonts w:eastAsia="Droid Sans Fallback"/>
          <w:noProof/>
        </w:rPr>
        <w:t xml:space="preserve"> et al., 2013)</w:t>
      </w:r>
      <w:r w:rsidRPr="008608AA">
        <w:rPr>
          <w:rFonts w:eastAsia="Droid Sans Fallback"/>
        </w:rPr>
        <w:fldChar w:fldCharType="end"/>
      </w:r>
      <w:r w:rsidRPr="008608AA">
        <w:rPr>
          <w:rFonts w:eastAsia="Droid Sans Fallback"/>
        </w:rPr>
        <w:t xml:space="preserve">, artificially detached to the source of the ecosystem service. This means that urban residents, “appropriate” natural ecosystems, ecosystem goods and services, and natural capital from one or more “different elsewheres” and therefore indirectly affect land use at scales ranging from the hinterlands of the urban area to a single or multiple remote geographical unit(s) </w:t>
      </w:r>
      <w:r w:rsidRPr="008608AA">
        <w:rPr>
          <w:rFonts w:eastAsia="Droid Sans Fallback"/>
        </w:rPr>
        <w:fldChar w:fldCharType="begin" w:fldLock="1"/>
      </w:r>
      <w:r w:rsidRPr="008608AA">
        <w:rPr>
          <w:rFonts w:eastAsia="Droid Sans Fallback"/>
        </w:rPr>
        <w:instrText>ADDIN CSL_CITATION { "citationItems" : [ { "id" : "ITEM-1", "itemData" : { "DOI" : "10.1073/pnas.1117622109", "ISBN" : "1091-6490 (Electronic)\\r0027-8424 (Linking)", "ISSN" : "0027-8424", "PMID" : "22550174", "abstract" : "This paper introduces urban land teleconnections as a conceptual framework that explicitly links land changes to underlying urbanization dynamics. We illustrate how three key themes that are currently addressed separately in the urban sustainability and land change literatures can lead to incorrect conclusions and misleading results when they are not examined jointly: the traditional system of land classification that is based on discrete categories and reinforces the false idea of a rural-urban dichotomy; the spatial quantification of land change that is based on place-based relationships, ignoring the connections between distant places, especially between urban functions and rural land uses; and the implicit assumptions about path dependency and sequential land changes that underlie current conceptualizations of land transitions. We then examine several environmental \"grand challenges\" and discuss how urban land teleconnections could help research communities frame scientific inquiries. Finally, we point to existing analytical approaches that can be used to advance development and application of the concept.", "author" : [ { "dropping-particle" : "", "family" : "Seto", "given" : "K.C.", "non-dropping-particle" : "", "parse-names" : false, "suffix" : "" }, { "dropping-particle" : "", "family" : "Reenberg", "given" : "A.", "non-dropping-particle" : "", "parse-names" : false, "suffix" : "" }, { "dropping-particle" : "", "family" : "Boone", "given" : "C.G.", "non-dropping-particle" : "", "parse-names" : false, "suffix" : "" }, { "dropping-particle" : "", "family" : "Fragkias", "given" : "M.", "non-dropping-particle" : "", "parse-names" : false, "suffix" : "" }, { "dropping-particle" : "", "family" : "Haase", "given" : "D.", "non-dropping-particle" : "", "parse-names" : false, "suffix" : "" }, { "dropping-particle" : "", "family" : "Langanke", "given" : "T.", "non-dropping-particle" : "", "parse-names" : false, "suffix" : "" }, { "dropping-particle" : "", "family" : "Marcotullio", "given" : "P.", "non-dropping-particle" : "", "parse-names" : false, "suffix" : "" }, { "dropping-particle" : "", "family" : "Munroe", "given" : "D.K.", "non-dropping-particle" : "", "parse-names" : false, "suffix" : "" }, { "dropping-particle" : "", "family" : "Olah", "given" : "B.", "non-dropping-particle" : "", "parse-names" : false, "suffix" : "" }, { "dropping-particle" : "", "family" : "Simon", "given" : "D.", "non-dropping-particle" : "", "parse-names" : false, "suffix" : "" } ], "container-title" : "Proceedings of the National Academy of Sciences", "id" : "ITEM-1", "issue" : "20", "issued" : { "date-parts" : [ [ "2012", "5", "15" ] ] }, "page" : "7687-7692", "title" : "Urban land teleconnections and sustainability", "type" : "article-journal", "volume" : "109" }, "uris" : [ "http://www.mendeley.com/documents/?uuid=39d3bcd7-d4d5-3a77-89cc-2841d56581ba" ] }, { "id" : "ITEM-2", "itemData" : { "DOI" : "10.1007/s13280-012-0353-7", "ISSN" : "0044-7447", "author" : [ { "dropping-particle" : "", "family" : "Seitzinger", "given" : "Sybil P.", "non-dropping-particle" : "", "parse-names" : false, "suffix" : "" }, { "dropping-particle" : "", "family" : "Svedin", "given" : "Uno", "non-dropping-particle" : "", "parse-names" : false, "suffix" : "" }, { "dropping-particle" : "", "family" : "Crumley", "given" : "Carole L.", "non-dropping-particle" : "", "parse-names" : false, "suffix" : "" }, { "dropping-particle" : "", "family" : "Steffen", "given" : "Will", "non-dropping-particle" : "", "parse-names" : false, "suffix" : "" }, { "dropping-particle" : "", "family" : "Abdullah", "given" : "Saiful Arif", "non-dropping-particle" : "", "parse-names" : false, "suffix" : "" }, { "dropping-particle" : "", "family" : "Alfsen", "given" : "Christine", "non-dropping-particle" : "", "parse-names" : false, "suffix" : "" }, { "dropping-particle" : "", "family" : "Broadgate", "given" : "Wendy J.", "non-dropping-particle" : "", "parse-names" : false, "suffix" : "" }, { "dropping-particle" : "", "family" : "Biermann", "given" : "Frank", "non-dropping-particle" : "", "parse-names" : false, "suffix" : "" }, { "dropping-particle" : "", "family" : "Bondre", "given" : "Ninad R.", "non-dropping-particle" : "", "parse-names" : false, "suffix" : "" }, { "dropping-particle" : "", "family" : "Dearing", "given" : "John A.", "non-dropping-particle" : "", "parse-names" : false, "suffix" : "" }, { "dropping-particle" : "", "family" : "Deutsch", "given" : "Lisa", "non-dropping-particle" : "", "parse-names" : false, "suffix" : "" }, { "dropping-particle" : "", "family" : "Dhakal", "given" : "Shobhakar", "non-dropping-particle" : "", "parse-names" : false, "suffix" : "" }, { "dropping-particle" : "", "family" : "Elmqvist", "given" : "Thomas", "non-dropping-particle" : "", "parse-names" : false, "suffix" : "" }, { "dropping-particle" : "", "family" : "Farahbakhshazad", "given" : "Neda", "non-dropping-particle" : "", "parse-names" : false, "suffix" : "" }, { "dropping-particle" : "", "family" : "Gaffney", "given" : "Owen", "non-dropping-particle" : "", "parse-names" : false, "suffix" : "" }, { "dropping-particle" : "", "family" : "Haberl", "given" : "Helmut", "non-dropping-particle" : "", "parse-names" : false, "suffix" : "" }, { "dropping-particle" : "", "family" : "Lavorel", "given" : "Sandra", "non-dropping-particle" : "", "parse-names" : false, "suffix" : "" }, { "dropping-particle" : "", "family" : "Mbow", "given" : "Cheikh", "non-dropping-particle" : "", "parse-names" : false, "suffix" : "" }, { "dropping-particle" : "", "family" : "McMichael", "given" : "Anthony J.", "non-dropping-particle" : "", "parse-names" : false, "suffix" : "" }, { "dropping-particle" : "", "family" : "deMorais", "given" : "Joao M. F.", "non-dropping-particle" : "", "parse-names" : false, "suffix" : "" }, { "dropping-particle" : "", "family" : "Olsson", "given" : "Per", "non-dropping-particle" : "", "parse-names" : false, "suffix" : "" }, { "dropping-particle" : "", "family" : "Pinho", "given" : "Patricia Fernanda", "non-dropping-particle" : "", "parse-names" : false, "suffix" : "" }, { "dropping-particle" : "", "family" : "Seto", "given" : "Karen C.", "non-dropping-particle" : "", "parse-names" : false, "suffix" : "" }, { "dropping-particle" : "", "family" : "Sinclair", "given" : "Paul", "non-dropping-particle" : "", "parse-names" : false, "suffix" : "" }, { "dropping-particle" : "", "family" : "Stafford Smith", "given" : "Mark", "non-dropping-particle" : "", "parse-names" : false, "suffix" : "" }, { "dropping-particle" : "", "family" : "Sugar", "given" : "Lorraine", "non-dropping-particle" : "", "parse-names" : false, "suffix" : "" } ], "container-title" : "AMBIO", "id" : "ITEM-2", "issue" : "8", "issued" : { "date-parts" : [ [ "2012", "12", "18" ] ] }, "page" : "787-794", "publisher" : "Springer Netherlands", "title" : "Planetary Stewardship in an Urbanizing World: Beyond City Limits", "type" : "article-journal", "volume" : "41" }, "uris" : [ "http://www.mendeley.com/documents/?uuid=64ac40db-d973-3bbf-b202-dd0d17b41ff2" ] } ], "mendeley" : { "formattedCitation" : "(Seitzinger et al., 2012; K.C. Seto et al., 2012)", "plainTextFormattedCitation" : "(Seitzinger et al., 2012; K.C. Seto et al., 2012)", "previouslyFormattedCitation" : "(Seitzinger et al., 2012; K.C. Seto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(Seitzinger et al., 2012; Seto et al., 2012)</w:t>
      </w:r>
      <w:r w:rsidRPr="008608AA">
        <w:rPr>
          <w:rFonts w:eastAsia="Droid Sans Fallback"/>
        </w:rPr>
        <w:fldChar w:fldCharType="end"/>
      </w:r>
      <w:r w:rsidRPr="008608AA">
        <w:rPr>
          <w:rFonts w:eastAsia="Droid Sans Fallback"/>
        </w:rPr>
        <w:t xml:space="preserve">. This is largely driven by economic complexities and dynamic interrelations among scales (local, regional, and global processes) and flows of goods and services. Along these lines, </w:t>
      </w:r>
      <w:r w:rsidRPr="008608AA">
        <w:rPr>
          <w:rFonts w:eastAsia="Droid Sans Fallback"/>
        </w:rPr>
        <w:fldChar w:fldCharType="begin" w:fldLock="1"/>
      </w:r>
      <w:r w:rsidRPr="008608AA">
        <w:rPr>
          <w:rFonts w:eastAsia="Droid Sans Fallback"/>
        </w:rPr>
        <w:instrText>ADDIN CSL_CITATION { "citationItems" : [ { "id" : "ITEM-1", "itemData" : { "DOI" : "10.1073/pnas.1117622109", "ISBN" : "1091-6490 (Electronic)\\r0027-8424 (Linking)", "ISSN" : "0027-8424", "PMID" : "22550174", "abstract" : "This paper introduces urban land teleconnections as a conceptual framework that explicitly links land changes to underlying urbanization dynamics. We illustrate how three key themes that are currently addressed separately in the urban sustainability and land change literatures can lead to incorrect conclusions and misleading results when they are not examined jointly: the traditional system of land classification that is based on discrete categories and reinforces the false idea of a rural-urban dichotomy; the spatial quantification of land change that is based on place-based relationships, ignoring the connections between distant places, especially between urban functions and rural land uses; and the implicit assumptions about path dependency and sequential land changes that underlie current conceptualizations of land transitions. We then examine several environmental \"grand challenges\" and discuss how urban land teleconnections could help research communities frame scientific inquiries. Finally, we point to existing analytical approaches that can be used to advance development and application of the concept.", "author" : [ { "dropping-particle" : "", "family" : "Seto", "given" : "K.C.", "non-dropping-particle" : "", "parse-names" : false, "suffix" : "" }, { "dropping-particle" : "", "family" : "Reenberg", "given" : "A.", "non-dropping-particle" : "", "parse-names" : false, "suffix" : "" }, { "dropping-particle" : "", "family" : "Boone", "given" : "C.G.", "non-dropping-particle" : "", "parse-names" : false, "suffix" : "" }, { "dropping-particle" : "", "family" : "Fragkias", "given" : "M.", "non-dropping-particle" : "", "parse-names" : false, "suffix" : "" }, { "dropping-particle" : "", "family" : "Haase", "given" : "D.", "non-dropping-particle" : "", "parse-names" : false, "suffix" : "" }, { "dropping-particle" : "", "family" : "Langanke", "given" : "T.", "non-dropping-particle" : "", "parse-names" : false, "suffix" : "" }, { "dropping-particle" : "", "family" : "Marcotullio", "given" : "P.", "non-dropping-particle" : "", "parse-names" : false, "suffix" : "" }, { "dropping-particle" : "", "family" : "Munroe", "given" : "D.K.", "non-dropping-particle" : "", "parse-names" : false, "suffix" : "" }, { "dropping-particle" : "", "family" : "Olah", "given" : "B.", "non-dropping-particle" : "", "parse-names" : false, "suffix" : "" }, { "dropping-particle" : "", "family" : "Simon", "given" : "D.", "non-dropping-particle" : "", "parse-names" : false, "suffix" : "" } ], "container-title" : "Proceedings of the National Academy of Sciences", "id" : "ITEM-1", "issue" : "20", "issued" : { "date-parts" : [ [ "2012", "5", "15" ] ] }, "page" : "7687-7692", "title" : "Urban land teleconnections and sustainability", "type" : "article-journal", "volume" : "109" }, "uris" : [ "http://www.mendeley.com/documents/?uuid=39d3bcd7-d4d5-3a77-89cc-2841d56581ba" ] } ], "mendeley" : { "formattedCitation" : "(K.C. Seto et al., 2012)", "plainTextFormattedCitation" : "(K.C. Seto et al., 2012)", "previouslyFormattedCitation" : "(K.C. Seto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Seto et al. (2012)</w:t>
      </w:r>
      <w:r w:rsidRPr="008608AA">
        <w:rPr>
          <w:rFonts w:eastAsia="Droid Sans Fallback"/>
        </w:rPr>
        <w:fldChar w:fldCharType="end"/>
      </w:r>
      <w:r w:rsidRPr="008608AA">
        <w:rPr>
          <w:rFonts w:eastAsia="Droid Sans Fallback"/>
        </w:rPr>
        <w:t xml:space="preserve"> argue that since urban economies currently generate more than 90% of global gross value added, there may be few non-urban systems unaffected by urbanization. An outstanding example is the indirect impact that shifts in urban dietary preferences </w:t>
      </w:r>
      <w:r w:rsidRPr="008608AA">
        <w:rPr>
          <w:rFonts w:eastAsia="Droid Sans Fallback"/>
        </w:rPr>
        <w:fldChar w:fldCharType="begin" w:fldLock="1"/>
      </w:r>
      <w:r w:rsidRPr="008608AA">
        <w:rPr>
          <w:rFonts w:eastAsia="Droid Sans Fallback"/>
        </w:rPr>
        <w:instrText>ADDIN CSL_CITATION { "citationItems" : [ { "id" : "ITEM-1", "itemData" : { "DOI" : "10.1098/rstb.2010.0136", "ISBN" : "0962-8436\\r1471-2970", "ISSN" : "0962-8436", "PMID" : "20713396", "abstract" : "This paper discusses the influences on food and farming of an increasingly urbanized world and a declining ratio of food producers to food consumers. Urbanization has been underpinned by the rapid growth in the world economy and in the proportion of gross world product and of workers in industrial and service enterprises. Globally, agriculture has met the demands from this rapidly growing urban population, including food that is more energy-, land-, water- and greenhouse gas emission-intensive. But hundreds of millions of urban dwellers suffer under-nutrition. So the key issues with regard to agriculture and urbanization are whether the growing and changing demands for agricultural products from growing urban populations can be sustained while at the same time underpinning agricultural prosperity and reducing rural and urban poverty. To this are added the need to reduce greenhouse gas emissions and to build resilience in agriculture and urban development to climate change impacts. The paper gives particular attention to low- and middle-income nations since these have more than three-quarters of the world's urban population and most of its largest cities and these include nations where issues of food security are most pressing.", "author" : [ { "dropping-particle" : "", "family" : "Satterthwaite", "given" : "David", "non-dropping-particle" : "", "parse-names" : false, "suffix" : "" }, { "dropping-particle" : "", "family" : "McGranahan", "given" : "Gordon", "non-dropping-particle" : "", "parse-names" : false, "suffix" : "" }, { "dropping-particle" : "", "family" : "Tacoli", "given" : "Cecilia", "non-dropping-particle" : "", "parse-names" : false, "suffix" : "" } ], "container-title" : "Philosophical Transactions of the Royal Society B: Biological Sciences", "id" : "ITEM-1", "issue" : "1554", "issued" : { "date-parts" : [ [ "2010", "9", "27" ] ] }, "page" : "2809-2820", "publisher" : "The Royal Society", "title" : "Urbanization and its implications for food and farming", "type" : "article-journal", "volume" : "365" }, "uris" : [ "http://www.mendeley.com/documents/?uuid=b48b2862-0d4e-4071-906a-969115aec41e" ] }, { "id" : "ITEM-2", "itemData" : { "abstract" : "Urban consumption of ecosystems services such as food generates environmental impacts at different geographical scales. In the last few decades Tokyoites have shown an increasing appetite for meat. This study examines the environmental implications of Tokyo's increasing meat consumption by analyzing how this trend has affected land use and cover change in areas near and far away. Historical databases (1970\u20132005) are employed in order to explore meat consumption patterns in Tokyo and to relate it with beef and pork production in areas within the country and abroad. It also integrates the historical analysis of pro-duction and consumption patterns with a discussion of the drivers (e.g., wealth, price, policies and seafood availabil-ity) behind these trends. We identified that meat production in Japan followed three distinct phases between 1877 and 2005. In the first period it took 50 years for production to increase by 50%, while during the next phase production showed the same growth in just half the time. Major changes in land use/cover change because of domestic meat production occurred mainly during the second phase and, thereafter, when domestic production declined and was substituted to a great extent by imports. Despite the increasing consumption of imported meat, Tokyo relies greatly on domestic meat produced in its neighboring prefectures. The paper concludes that regional planning can be used as an effective instrument to protect the environ-ment and secure protein for the population of mega-urban areas such as Tokyo.", "author" : [ { "dropping-particle" : "", "family" : "Gadda", "given" : "Tatiana", "non-dropping-particle" : "", "parse-names" : false, "suffix" : "" }, { "dropping-particle" : "", "family" : "Gasparatos", "given" : "Alexandros", "non-dropping-particle" : "", "parse-names" : false, "suffix" : "" } ], "container-title" : "Sustainability Science", "id" : "ITEM-2", "issue" : "4", "issued" : { "date-parts" : [ [ "2009" ] ] }, "page" : "165 - 177", "title" : "Land use and cover change in Japan and Tokyo's appetite for meat", "type" : "article-journal", "volume" : "4" }, "uris" : [ "http://www.mendeley.com/documents/?uuid=975a8b40-0cc2-3b19-82fb-456a377f2ef1" ] } ], "mendeley" : { "formattedCitation" : "(Gadda &amp; Gasparatos, 2009; Satterthwaite, McGranahan, &amp; Tacoli, 2010)", "plainTextFormattedCitation" : "(Gadda &amp; Gasparatos, 2009; Satterthwaite, McGranahan, &amp; Tacoli, 2010)", "previouslyFormattedCitation" : "(Gadda &amp; Gasparatos, 2009; Satterthwaite, McGranahan, &amp; Tacoli, 2010)"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 xml:space="preserve">(Gadda &amp; </w:t>
      </w:r>
      <w:r w:rsidR="002C171D" w:rsidRPr="008608AA">
        <w:rPr>
          <w:rFonts w:eastAsia="Droid Sans Fallback"/>
          <w:noProof/>
        </w:rPr>
        <w:t>Gasparatos, 2009; Satterthwaite</w:t>
      </w:r>
      <w:r w:rsidRPr="008608AA">
        <w:rPr>
          <w:rFonts w:eastAsia="Droid Sans Fallback"/>
          <w:noProof/>
        </w:rPr>
        <w:t xml:space="preserve"> et al., 2010)</w:t>
      </w:r>
      <w:r w:rsidRPr="008608AA">
        <w:rPr>
          <w:rFonts w:eastAsia="Droid Sans Fallback"/>
        </w:rPr>
        <w:fldChar w:fldCharType="end"/>
      </w:r>
      <w:r w:rsidRPr="008608AA">
        <w:rPr>
          <w:rFonts w:eastAsia="Droid Sans Fallback"/>
        </w:rPr>
        <w:t xml:space="preserve"> is having on new agricultural lands and which is expected to continue growing into the future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"FAO", "given" : "", "non-dropping-particle" : "", "parse-names" : false, "suffix" : "" } ], "id" : "ITEM-1", "issued" : { "date-parts" : [ [ "2017" ] ] }, "publisher-place" : "Rome", "title" : "The future of food and agriculture - trends and challenges", "type" : "report" }, "uris" : [ "http://www.mendeley.com/documents/?uuid=394b7a0e-6271-4734-abc2-f3027544bedc" ] } ], "mendeley" : { "formattedCitation" : "(FAO, 2017b)", "plainTextFormattedCitation" : "(FAO, 2017b)", "previouslyFormattedCitation" : "(FAO, 2017b)"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(FAO, 2017b)</w:t>
      </w:r>
      <w:r w:rsidRPr="008608AA">
        <w:rPr>
          <w:rFonts w:eastAsia="Droid Sans Fallback"/>
        </w:rPr>
        <w:fldChar w:fldCharType="end"/>
      </w:r>
      <w:r w:rsidRPr="008608AA">
        <w:rPr>
          <w:rFonts w:eastAsia="Droid Sans Fallback"/>
        </w:rPr>
        <w:t xml:space="preserve">. This is well illustrated by the growing demand for animal protein expected to continue throughout the urban world, at least until 2050. After all, more land is needed to produce meat (and dairy-based foods) than vegetable and grain-based diet </w:t>
      </w:r>
      <w:r w:rsidRPr="008608AA">
        <w:rPr>
          <w:rFonts w:eastAsia="Droid Sans Fallback"/>
        </w:rPr>
        <w:fldChar w:fldCharType="begin" w:fldLock="1"/>
      </w:r>
      <w:r w:rsidRPr="008608AA">
        <w:rPr>
          <w:rFonts w:eastAsia="Droid Sans Fallback"/>
        </w:rPr>
        <w:instrText>ADDIN CSL_CITATION { "citationItems" : [ { "id" : "ITEM-1", "itemData" : { "DOI" : "10.1016/j.cosust.2013.08.003", "ISBN" : "1877-3435", "ISSN" : "18773435", "abstract" : "That urban and rural places are connected through trade, people, and policies has long been recognized. The urban land teleconnections (ULT) framework aims advancing conventional conceptualizations of urbanization and land. The conceptual framework thus opens way to identify and examine the processes that link urbanization dynamics and associated land changes that are not necessarily colocated. In this paper, we review recent literature on four manifestations of urbanization that, along the lines of the ULT framework, highlight the importance of process-based conceptualizations of urbanization and land along a continuum of land systems. We then discuss potential approaches to improve the knowledge base on how and where urbanization is driving land change. \u00a9 2013 Elsevier B.V.", "author" : [ { "dropping-particle" : "", "family" : "G\u00fcneralp", "given" : "Burak", "non-dropping-particle" : "", "parse-names" : false, "suffix" : "" }, { "dropping-particle" : "", "family" : "Seto", "given" : "Karen C.", "non-dropping-particle" : "", "parse-names" : false, "suffix" : "" }, { "dropping-particle" : "", "family" : "Ramachandran", "given" : "Mahesh", "non-dropping-particle" : "", "parse-names" : false, "suffix" : "" } ], "container-title" : "Current Opinion in Environmental Sustainability", "id" : "ITEM-1", "issue" : "5", "issued" : { "date-parts" : [ [ "2013", "10" ] ] }, "page" : "445-451", "title" : "Evidence of urban land teleconnections and impacts on hinterlands", "type" : "article-journal", "volume" : "5" }, "uris" : [ "http://www.mendeley.com/documents/?uuid=79c3cb04-eebe-383a-927c-3a03d3fee8f6" ] } ], "mendeley" : { "formattedCitation" : "(G\u00fcneralp et al., 2013)", "plainTextFormattedCitation" : "(G\u00fcneralp et al., 2013)", "previouslyFormattedCitation" : "(G\u00fcneralp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(Güneralp et al., 2013)</w:t>
      </w:r>
      <w:r w:rsidRPr="008608AA">
        <w:rPr>
          <w:rFonts w:eastAsia="Droid Sans Fallback"/>
        </w:rPr>
        <w:fldChar w:fldCharType="end"/>
      </w:r>
      <w:r w:rsidRPr="008608AA">
        <w:rPr>
          <w:rFonts w:eastAsia="Droid Sans Fallback"/>
        </w:rPr>
        <w:t xml:space="preserve">. And, as demands for agricultural products grow, large remaining forest area is likely to experience increasing pressures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"FAO", "given" : "", "non-dropping-particle" : "", "parse-names" : false, "suffix" : "" } ], "id" : "ITEM-1", "issued" : { "date-parts" : [ [ "2017" ] ] }, "publisher-place" : "Rome", "title" : "The future of food and agriculture - trends and challenges", "type" : "report" }, "uris" : [ "http://www.mendeley.com/documents/?uuid=394b7a0e-6271-4734-abc2-f3027544bedc" ] }, { "id" : "ITEM-2", "itemData" : { "DOI" : "10.1038/ngeo756", "ISBN" : "1752-0894", "ISSN" : "17520894", "PMID" : "18167019", "abstract" : "Nature Geoscience 3, 178 (2010). doi:10.1038/ngeo756", "author" : [ { "dropping-particle" : "", "family" : "Defries", "given" : "Ruth S.", "non-dropping-particle" : "", "parse-names" : false, "suffix" : "" }, { "dropping-particle" : "", "family" : "Rudel", "given" : "Thomas", "non-dropping-particle" : "", "parse-names" : false, "suffix" : "" }, { "dropping-particle" : "", "family" : "Uriarte", "given" : "Maria", "non-dropping-particle" : "", "parse-names" : false, "suffix" : "" }, { "dropping-particle" : "", "family" : "Hansen", "given" : "Matthew", "non-dropping-particle" : "", "parse-names" : false, "suffix" : "" } ], "container-title" : "Nature Geoscience", "id" : "ITEM-2", "issued" : { "date-parts" : [ [ "2010" ] ] }, "title" : "Deforestation driven by urban population growth and agricultural trade in the twenty-first century", "type" : "article-journal" }, "uris" : [ "http://www.mendeley.com/documents/?uuid=22c7fe5e-d0b1-3145-9165-301f3cbb7ded" ] } ], "mendeley" : { "formattedCitation" : "(Defries, Rudel, Uriarte, &amp; Hansen, 2010; FAO, 2017b)", "plainTextFormattedCitation" : "(Defries, Rudel, Uriarte, &amp; Hansen, 2010; FAO, 2017b)", "previouslyFormattedCitation" : "(Defries, Rudel, Uriarte, &amp; Hansen, 2010; FAO, 2017b)"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(Defries</w:t>
      </w:r>
      <w:r w:rsidRPr="008608AA">
        <w:rPr>
          <w:rFonts w:eastAsia="Droid Sans Fallback"/>
          <w:noProof/>
        </w:rPr>
        <w:t xml:space="preserve"> et al., 2010; FAO, 2017b)</w:t>
      </w:r>
      <w:r w:rsidRPr="008608AA">
        <w:rPr>
          <w:rFonts w:eastAsia="Droid Sans Fallback"/>
        </w:rPr>
        <w:fldChar w:fldCharType="end"/>
      </w:r>
      <w:r w:rsidRPr="008608AA">
        <w:rPr>
          <w:rFonts w:eastAsia="Droid Sans Fallback"/>
        </w:rPr>
        <w:t xml:space="preserve"> especially in developing countries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"FAO", "given" : "", "non-dropping-particle" : "", "parse-names" : false, "suffix" : "" } ], "id" : "ITEM-1", "issued" : { "date-parts" : [ [ "2017" ] ] }, "publisher-place" : "Rome", "title" : "The future of food and agriculture - trends and challenges", "type" : "report" }, "uris" : [ "http://www.mendeley.com/documents/?uuid=394b7a0e-6271-4734-abc2-f3027544bedc" ] } ], "mendeley" : { "formattedCitation" : "(FAO, 2017b)", "plainTextFormattedCitation" : "(FAO, 2017b)", "previouslyFormattedCitation" : "(FAO, 2017b)"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(FAO, 2017b)</w:t>
      </w:r>
      <w:r w:rsidRPr="008608AA">
        <w:rPr>
          <w:rFonts w:eastAsia="Droid Sans Fallback"/>
        </w:rPr>
        <w:fldChar w:fldCharType="end"/>
      </w:r>
      <w:r w:rsidRPr="008608AA">
        <w:rPr>
          <w:rFonts w:eastAsia="Droid Sans Fallback"/>
        </w:rPr>
        <w:t xml:space="preserve">. Therefore, not only is there a strong connection between urbanization and economic growth but also between affluence (and urban preferences) and the global displacement of land use particularly from high-income to low-income countries </w:t>
      </w:r>
      <w:r w:rsidRPr="008608AA">
        <w:rPr>
          <w:rFonts w:eastAsia="Droid Sans Fallback"/>
        </w:rPr>
        <w:fldChar w:fldCharType="begin" w:fldLock="1"/>
      </w:r>
      <w:r w:rsidRPr="008608AA">
        <w:rPr>
          <w:rFonts w:eastAsia="Droid Sans Fallback"/>
        </w:rPr>
        <w:instrText>ADDIN CSL_CITATION { "citationItems" : [ { "id" : "ITEM-1", "itemData" : { "DOI" : "10.1016/j.gloenvcha.2012.12.010", "ISBN" : "0959-3780", "ISSN" : "09593780", "abstract" : "Increasing affluence is often postulated as a main driver for the human footprint on biologically productive areas, identified among the main causes of biodiversity loss, but causal relationships are obscured by international trade. Here, we trace the use of land and ocean area through international supply chains to final consumption, modeling agricultural, food, and forestry products on a high level of resolution while also including the land requirements of manufactured goods and services. In 2004, high-income countries required more biologically productive land per capita than low-income countries, but this connection could only be identified when land used to produce internationally traded products was taken into account, because higher-income countries tend to displace a larger fraction of land use. The equivalent land and ocean area footprint of nations increased by a third for each doubling of income, with all variables analyzed on a per capita basis. This increase came largely from imports, which increased proportionally to income. Export depended mostly on the capacity of countries to produce useful biomass, the biocapacity. Our analysis clearly shows that countries with a high biocapacity per capita tend to spare more land for nature. Biocapacity per capita can be increased through more intensive production or by reducing population density. The net displacement of land use from high-income to low-income countries amounted to 6% of the global land demand, even though high-income countries had more land available per capita than low-income countries. In particular, Europe and Japan placed high pressure on ecosystems in lower-income countries. \u00a9 2013 Elsevier Ltd.", "author" : [ { "dropping-particle" : "", "family" : "Weinzettel", "given" : "Jan", "non-dropping-particle" : "", "parse-names" : false, "suffix" : "" }, { "dropping-particle" : "", "family" : "Hertwich", "given" : "Edgar G.", "non-dropping-particle" : "", "parse-names" : false, "suffix" : "" }, { "dropping-particle" : "", "family" : "Peters", "given" : "Glen P.", "non-dropping-particle" : "", "parse-names" : false, "suffix" : "" }, { "dropping-particle" : "", "family" : "Steen-Olsen", "given" : "Kjartan", "non-dropping-particle" : "", "parse-names" : false, "suffix" : "" }, { "dropping-particle" : "", "family" : "Galli", "given" : "Alessandro", "non-dropping-particle" : "", "parse-names" : false, "suffix" : "" } ], "container-title" : "Global Environmental Change", "id" : "ITEM-1", "issue" : "2", "issued" : { "date-parts" : [ [ "2013", "4" ] ] }, "page" : "433-438", "title" : "Affluence drives the global displacement of land use", "type" : "article-journal", "volume" : "23" }, "uris" : [ "http://www.mendeley.com/documents/?uuid=e4b68efa-1b55-3201-833d-02a7af802211" ] } ], "mendeley" : { "formattedCitation" : "(Weinzettel, Hertwich, Peters, Steen-Olsen, &amp; Galli, 2013)", "plainTextFormattedCitation" : "(Weinzettel, Hertwich, Peters, Steen-Olsen, &amp; Galli, 2013)", "previouslyFormattedCitation" : "(Weinzettel, Hertwich, Peters, Steen-Olsen, &amp; Galli,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(Weinzettel et al., 2013)</w:t>
      </w:r>
      <w:r w:rsidRPr="008608AA">
        <w:rPr>
          <w:rFonts w:eastAsia="Droid Sans Fallback"/>
        </w:rPr>
        <w:fldChar w:fldCharType="end"/>
      </w:r>
      <w:r w:rsidRPr="008608AA">
        <w:rPr>
          <w:rFonts w:eastAsia="Droid Sans Fallback"/>
        </w:rPr>
        <w:t xml:space="preserve">. Despite increasing evidence of these trends, the underlying processes relevant to better manage the increasing telecoupled urban world are still not well captured </w:t>
      </w:r>
      <w:r w:rsidRPr="008608AA">
        <w:rPr>
          <w:rFonts w:eastAsia="Droid Sans Fallback"/>
        </w:rPr>
        <w:fldChar w:fldCharType="begin" w:fldLock="1"/>
      </w:r>
      <w:r w:rsidRPr="008608AA">
        <w:rPr>
          <w:rFonts w:eastAsia="Droid Sans Fallback"/>
        </w:rPr>
        <w:instrText>ADDIN CSL_CITATION { "citationItems" : [ { "id" : "ITEM-1", "itemData" : { "DOI" : "10.5751/ES-05873-180226", "ISSN" : "1708-3087", "author" : [ { "dropping-particle" : "", "family" : "Liu", "given" : "Jianguo", "non-dropping-particle" : "", "parse-names" : false, "suffix" : "" }, { "dropping-particle" : "", "family" : "Hull", "given" : "Vanessa", "non-dropping-particle" : "", "parse-names" : false, "suffix" : "" }, { "dropping-particle" : "", "family" : "Batistella", "given" : "Mateus", "non-dropping-particle" : "", "parse-names" : false, "suffix" : "" }, { "dropping-particle" : "", "family" : "DeFries", "given" : "Ruth", "non-dropping-particle" : "", "parse-names" : false, "suffix" : "" }, { "dropping-particle" : "", "family" : "Dietz", "given" : "Thomas", "non-dropping-particle" : "", "parse-names" : false, "suffix" : "" }, { "dropping-particle" : "", "family" : "Fu", "given" : "Feng", "non-dropping-particle" : "", "parse-names" : false, "suffix" : "" }, { "dropping-particle" : "", "family" : "Hertel", "given" : "Thomas W.", "non-dropping-particle" : "", "parse-names" : false, "suffix" : "" }, { "dropping-particle" : "", "family" : "Izaurralde", "given" : "R. Cesar", "non-dropping-particle" : "", "parse-names" : false, "suffix" : "" }, { "dropping-particle" : "", "family" : "Lambin", "given" : "Eric F.", "non-dropping-particle" : "", "parse-names" : false, "suffix" : "" }, { "dropping-particle" : "", "family" : "Li", "given" : "Shuxin", "non-dropping-particle" : "", "parse-names" : false, "suffix" : "" }, { "dropping-particle" : "", "family" : "Martinelli", "given" : "Luiz A.", "non-dropping-particle" : "", "parse-names" : false, "suffix" : "" }, { "dropping-particle" : "", "family" : "McConnell", "given" : "William J.", "non-dropping-particle" : "", "parse-names" : false, "suffix" : "" }, { "dropping-particle" : "", "family" : "Moran", "given" : "Emilio F.", "non-dropping-particle" : "", "parse-names" : false, "suffix" : "" }, { "dropping-particle" : "", "family" : "Naylor", "given" : "Rosamond", "non-dropping-particle" : "", "parse-names" : false, "suffix" : "" }, { "dropping-particle" : "", "family" : "Ouyang", "given" : "Zhiyun", "non-dropping-particle" : "", "parse-names" : false, "suffix" : "" }, { "dropping-particle" : "", "family" : "Polenske", "given" : "Karen R.", "non-dropping-particle" : "", "parse-names" : false, "suffix" : "" }, { "dropping-particle" : "", "family" : "Reenberg", "given" : "Anette", "non-dropping-particle" : "", "parse-names" : false, "suffix" : "" }, { "dropping-particle" : "", "family" : "Miranda Rocha", "given" : "Gilberto", "non-dropping-particle" : "de", "parse-names" : false, "suffix" : "" }, { "dropping-particle" : "", "family" : "Simmons", "given" : "Cynthia S.", "non-dropping-particle" : "", "parse-names" : false, "suffix" : "" }, { "dropping-particle" : "", "family" : "Verburg", "given" : "Peter H.", "non-dropping-particle" : "", "parse-names" : false, "suffix" : "" }, { "dropping-particle" : "", "family" : "Vitousek", "given" : "Peter M.", "non-dropping-particle" : "", "parse-names" : false, "suffix" : "" }, { "dropping-particle" : "", "family" : "Zhang", "given" : "Fusuo", "non-dropping-particle" : "", "parse-names" : false, "suffix" : "" }, { "dropping-particle" : "", "family" : "Zhu", "given" : "Chunquan", "non-dropping-particle" : "", "parse-names" : false, "suffix" : "" } ], "container-title" : "Ecology and Society", "id" : "ITEM-1", "issue" : "2", "issued" : { "date-parts" : [ [ "2013", "6", "17" ] ] }, "page" : "art26", "publisher" : "The Resilience Alliance", "title" : "Framing Sustainability in a Telecoupled World", "type" : "article-journal", "volume" : "18" }, "uris" : [ "http://www.mendeley.com/documents/?uuid=8cb87d28-a4bc-3432-b974-c553ebc21fc1" ] }, { "id" : "ITEM-2", "itemData" : { "DOI" : "10.1126/science.aaf7439", "ISSN" : "1095-9203", "PMID" : "27199419", "abstract" : "Global societies are becoming increasingly urban. This shift toward urban living is changing our relationship with food, including how we shop and what we buy, as well as ideas about sanitation and freshness. Achieving food security in an era of rapid urbanization will require considerably more understanding about how urban and food systems are intertwined. Here we discuss some potential understudied linkages that are ripe for further examination.", "author" : [ { "dropping-particle" : "", "family" : "Seto", "given" : "Karen C", "non-dropping-particle" : "", "parse-names" : false, "suffix" : "" }, { "dropping-particle" : "", "family" : "Ramankutty", "given" : "Navin", "non-dropping-particle" : "", "parse-names" : false, "suffix" : "" } ], "container-title" : "Science", "id" : "ITEM-2", "issue" : "6288", "issued" : { "date-parts" : [ [ "2016", "5", "20" ] ] }, "page" : "943-5", "publisher" : "American Association for the Advancement of Science", "title" : "Hidden linkages between urbanization and food systems.", "type" : "article-journal", "volume" : "352" }, "uris" : [ "http://www.mendeley.com/documents/?uuid=d7849115-6fb6-3eb0-ae07-7196898c8677" ] } ], "mendeley" : { "formattedCitation" : "(Liu, Hull, Batistella, DeFries, et al., 2013; Karen C Seto &amp; Ramankutty, 2016)", "plainTextFormattedCitation" : "(Liu, Hull, Batistella, DeFries, et al., 2013; Karen C Seto &amp; Ramankutty, 2016)", "previouslyFormattedCitation" : "(Liu, Hull, Batistella, DeFries, et al., 2013; Karen C Seto &amp; Ramankutty, 2016)"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(Liu</w:t>
      </w:r>
      <w:r w:rsidRPr="008608AA">
        <w:rPr>
          <w:rFonts w:eastAsia="Droid Sans Fallback"/>
          <w:noProof/>
        </w:rPr>
        <w:t xml:space="preserve"> et al., 2013; Seto &amp; Ramankutty, 2016)</w:t>
      </w:r>
      <w:r w:rsidRPr="008608AA">
        <w:rPr>
          <w:rFonts w:eastAsia="Droid Sans Fallback"/>
        </w:rPr>
        <w:fldChar w:fldCharType="end"/>
      </w:r>
      <w:r w:rsidRPr="008608AA">
        <w:rPr>
          <w:rFonts w:eastAsia="Droid Sans Fallback"/>
        </w:rPr>
        <w:t xml:space="preserve">. </w:t>
      </w:r>
    </w:p>
    <w:p w14:paraId="63E107E5" w14:textId="77777777" w:rsidR="00D33974" w:rsidRPr="008608AA" w:rsidRDefault="00D33974" w:rsidP="00EE708F">
      <w:pPr>
        <w:suppressAutoHyphens/>
        <w:rPr>
          <w:rFonts w:eastAsia="Droid Sans Fallback"/>
        </w:rPr>
      </w:pPr>
    </w:p>
    <w:p w14:paraId="049CD741" w14:textId="449BB2CD" w:rsidR="00490494" w:rsidRPr="008608AA" w:rsidRDefault="00490494" w:rsidP="00EE708F">
      <w:pPr>
        <w:suppressAutoHyphens/>
        <w:rPr>
          <w:rFonts w:eastAsia="Droid Sans Fallback"/>
        </w:rPr>
      </w:pPr>
      <w:r w:rsidRPr="008608AA">
        <w:rPr>
          <w:rFonts w:eastAsia="Droid Sans Fallback"/>
        </w:rPr>
        <w:t xml:space="preserve">While land-use and land-cover change have been well documented, its linkage with urbanization is less well studied. As land is a finite resource, the increasing competition for land globally (e.g. for agricultural products, energy production, biomass, infrastructure and settlements, conservation and recreation, as well as a large range of other ecosystem services) and the degree of global environmental change associated with it (embedded in the general phenomenon of the “Great Acceleration”) makes the understanding between land-use and urbanization an urgent need. Most studies have focused on land-use changes driven by international food trade and its great influence on global food production and the environment. After all, agricultural products are an outstanding illustration of ecosystem services of global demand. Among studies, a particular emphasis has been around global demand for cash crops. One reported case is of continued deforestation in South America in general, and in the Amazon rainforest in particular, due to the demand for soybean </w:t>
      </w:r>
      <w:r w:rsidRPr="008608AA">
        <w:rPr>
          <w:rFonts w:eastAsia="Droid Sans Fallback"/>
        </w:rPr>
        <w:fldChar w:fldCharType="begin" w:fldLock="1"/>
      </w:r>
      <w:r w:rsidRPr="008608AA">
        <w:rPr>
          <w:rFonts w:eastAsia="Droid Sans Fallback"/>
        </w:rPr>
        <w:instrText>ADDIN CSL_CITATION { "citationItems" : [ { "id" : "ITEM-1", "itemData" : { "DOI" : "10.1088/1748-9326/10/3/034017", "ISSN" : "1748-9326", "author" : [ { "dropping-particle" : "", "family" : "Graesser", "given" : "Jordan", "non-dropping-particle" : "", "parse-names" : false, "suffix" : "" }, { "dropping-particle" : "", "family" : "Aide", "given" : "T Mitchell", "non-dropping-particle" : "", "parse-names" : false, "suffix" : "" }, { "dropping-particle" : "", "family" : "Grau", "given" : "H Ricardo", "non-dropping-particle" : "", "parse-names" : false, "suffix" : "" }, { "dropping-particle" : "", "family" : "Ramankutty", "given" : "Navin", "non-dropping-particle" : "", "parse-names" : false, "suffix" : "" } ], "container-title" : "Environmental Research Letters", "id" : "ITEM-1", "issue" : "3", "issued" : { "date-parts" : [ [ "2015", "3", "1" ] ] }, "page" : "1748-9326", "publisher" : "IOP Publishing", "title" : "Cropland/pastureland dynamics and the slowdown of deforestation in Latin America", "type" : "article-journal", "volume" : "10" }, "uris" : [ "http://www.mendeley.com/documents/?uuid=b4c4d250-bbe6-3fe6-a16d-4a63677f5069" ] } ], "mendeley" : { "formattedCitation" : "(Graesser et al., 2015)", "plainTextFormattedCitation" : "(Graesser et al., 2015)", "previouslyFormattedCitation" : "(Graesser et al.,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(Graesser et al., 2015)</w:t>
      </w:r>
      <w:r w:rsidRPr="008608AA">
        <w:rPr>
          <w:rFonts w:eastAsia="Droid Sans Fallback"/>
        </w:rPr>
        <w:fldChar w:fldCharType="end"/>
      </w:r>
      <w:r w:rsidRPr="008608AA">
        <w:rPr>
          <w:rFonts w:eastAsia="Droid Sans Fallback"/>
        </w:rPr>
        <w:t xml:space="preserve"> by urbanized and affluent European Union countries, USA, Japan and by increasingly urbanized China, </w:t>
      </w:r>
      <w:r w:rsidRPr="008608AA">
        <w:rPr>
          <w:rFonts w:eastAsia="Droid Sans Fallback"/>
        </w:rPr>
        <w:fldChar w:fldCharType="begin" w:fldLock="1"/>
      </w:r>
      <w:r w:rsidRPr="008608AA">
        <w:rPr>
          <w:rFonts w:eastAsia="Droid Sans Fallback"/>
        </w:rPr>
        <w:instrText>ADDIN CSL_CITATION { "citationItems" : [ { "id" : "ITEM-1", "itemData" : { "DOI" : "10.1016/S2095-3119(16)61528-9", "ISBN" : "2095-3119", "ISSN" : "20953119", "abstract" : "International food trade has become a key driving force of agricultural land-use changes in trading countries, which has influenced food production and the global environment. Researchers have studied agricultural land-use changes and related environmental issues across multi-trading countries together, but most studies rely on statistic data without spatial attributes. However, agricultural land-use changes are spatially heterogeneous. Uncovering spatial attributes can reveal more critical information that is of scientific significance and has policy implications for enhancing food security and protecting the environment. Based on an integrated framework of telecoupling (socioeconomic and environmental interactions over distances), we studied spatial attributes of soybean land changes within and among trading countries at the same time. Three distant countries \u2013 Brazil, China, and the United States \u2013 constitute an excellent example of telecoupled systems through the process of soybean trade. Our results presented the spatial distribution of soybean land changes \u2013 highlighting the hotspots of soybean gain and soybean loss, and indicated these changes were spatially clustered, different across multi-spatial scales, and varied among the trading countries. Assisted by the results, global challenges like food security and biodiversity loss within and among trading countries can be targeted and managed efficiently. Our work provides simultaneously spatial information for understanding agricultural land-use changes caused by international food trade globally, highlights the needs of coordination among trading countries, and promotes global sustainability.", "author" : [ { "dropping-particle" : "", "family" : "Sun", "given" : "Jing", "non-dropping-particle" : "", "parse-names" : false, "suffix" : "" }, { "dropping-particle" : "", "family" : "TONG", "given" : "Yu-xin", "non-dropping-particle" : "", "parse-names" : false, "suffix" : "" }, { "dropping-particle" : "", "family" : "Liu", "given" : "Jianguo", "non-dropping-particle" : "", "parse-names" : false, "suffix" : "" } ], "container-title" : "Journal of Integrative Agriculture", "id" : "ITEM-1", "issue" : "2", "issued" : { "date-parts" : [ [ "2017", "2" ] ] }, "page" : "368-376", "title" : "Telecoupled land-use changes in distant countries", "type" : "article-journal", "volume" : "16" }, "uris" : [ "http://www.mendeley.com/documents/?uuid=e1014d64-2db7-32af-b2f5-17ff28f8e908" ] }, { "id" : "ITEM-2", "itemData" : { "DOI" : "10.1073/pnas.0812540106", "ISSN" : "1091-6490", "PMID" : "19955435", "abstract" : "Does the intensification of agriculture reduce cultivated areas and, in so doing, spare some lands by concentrating production on other lands? Such sparing is important for many reasons, among them the enhanced abilities of released lands to sequester carbon and provide other environmental services. Difficulties measuring the extent of spared land make it impossible to investigate fully the hypothesized causal chain from agricultural intensification to declines in cultivated areas and then to increases in spared land. We analyze the historical circumstances in which rising yields have been accompanied by declines in cultivated areas, thereby leading to land-sparing. We use national-level United Nations Food and Agricultural Organization data on trends in cropland from 1970-2005, with particular emphasis on the 1990-2005 period, for 10 major crop types. Cropland has increased more slowly than population during this period, but paired increases in yields and declines in cropland occurred infrequently, both globally and nationally. Agricultural intensification was not generally accompanied by decline or stasis in cropland area at a national scale during this time period, except in countries with grain imports and conservation set-aside programs. Future projections of cropland abandonment and ensuing environmental services cannot be assumed without explicit policy intervention.", "author" : [ { "dropping-particle" : "", "family" : "Rudel", "given" : "Thomas K", "non-dropping-particle" : "", "parse-names" : false, "suffix" : "" }, { "dropping-particle" : "", "family" : "Schneider", "given" : "Laura", "non-dropping-particle" : "", "parse-names" : false, "suffix" : "" }, { "dropping-particle" : "", "family" : "Uriarte", "given" : "Maria", "non-dropping-particle" : "", "parse-names" : false, "suffix" : "" }, { "dropping-particle" : "", "family" : "Turner", "given" : "B L", "non-dropping-particle" : "", "parse-names" : false, "suffix" : "" }, { "dropping-particle" : "", "family" : "DeFries", "given" : "Ruth", "non-dropping-particle" : "", "parse-names" : false, "suffix" : "" }, { "dropping-particle" : "", "family" : "Lawrence", "given" : "Deborah", "non-dropping-particle" : "", "parse-names" : false, "suffix" : "" }, { "dropping-particle" : "", "family" : "Geoghegan", "given" : "Jacqueline", "non-dropping-particle" : "", "parse-names" : false, "suffix" : "" }, { "dropping-particle" : "", "family" : "Hecht", "given" : "Susanna", "non-dropping-particle" : "", "parse-names" : false, "suffix" : "" }, { "dropping-particle" : "", "family" : "Ickowitz", "gi</w:instrText>
      </w:r>
      <w:r w:rsidRPr="008608AA">
        <w:rPr>
          <w:rFonts w:eastAsia="Droid Sans Fallback"/>
          <w:lang w:val="fr-CA"/>
        </w:rPr>
        <w:instrText>ven" : "Amy", "non-dropping-particle" : "", "parse-names" : false, "suffix" : "" }, { "dropping-particle" : "", "family" : "Lambin", "given" : "Eric F", "non-dropping-particle" : "", "parse-names" : false, "suffix" : "" }, { "dropping-particle" : "", "family" : "Birkenholtz", "given" : "Trevor", "non-dropping-particle" : "", "parse-names" : false, "suffix" : "" }, { "dropping-particle" : "", "family" : "Baptista", "given" : "Sandra", "non-dropping-particle" : "", "parse-names" : false, "suffix" : "" }, { "dropping-particle" : "", "family" : "Grau", "given" : "Ricardo", "non-dropping-particle" : "", "parse-names" : false, "suffix" : "" } ], "container-title" : "Proceedings of the National Academy of Sciences of the United States of America", "id" : "ITEM-2", "issue" : "49", "issued" : { "date-parts" : [ [ "2009", "12", "8" ] ] }, "page" : "20675-80", "publisher" : "National Academy of Sciences", "title" : "Agricultural intensification and changes in cultivated areas, 1970-2005.", "type" : "article-journal", "volume" : "106" }, "uris" : [ "http://www.mendeley.com/documents/?uuid=ab5b1e21-5ab6-4e04-86fb-63f83b1193d7" ] } ], "mendeley" : { "formattedCitation" : "(Rudel et al., 2009; Sun, TONG, &amp; Liu, 2017)", "plainTextFormattedCitation" : "(Rudel et al., 2009; Sun, TONG, &amp; Liu, 2017)", "previouslyFormattedCitation" : "(Rudel et al., 2009; Sun, TONG, &amp; Liu, 2017)"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lang w:val="fr-CA"/>
        </w:rPr>
        <w:t>(Rudel et al., 2009; Sun</w:t>
      </w:r>
      <w:r w:rsidRPr="008608AA">
        <w:rPr>
          <w:rFonts w:eastAsia="Droid Sans Fallback"/>
          <w:noProof/>
          <w:lang w:val="fr-CA"/>
        </w:rPr>
        <w:t xml:space="preserve"> et al., 2017)</w:t>
      </w:r>
      <w:r w:rsidRPr="008608AA">
        <w:rPr>
          <w:rFonts w:eastAsia="Droid Sans Fallback"/>
        </w:rPr>
        <w:fldChar w:fldCharType="end"/>
      </w:r>
      <w:r w:rsidRPr="008608AA">
        <w:rPr>
          <w:rFonts w:eastAsia="Droid Sans Fallback"/>
          <w:lang w:val="fr-CA"/>
        </w:rPr>
        <w:t xml:space="preserve">, among others. Yu et al. </w:t>
      </w:r>
      <w:r w:rsidRPr="008608AA">
        <w:rPr>
          <w:rFonts w:eastAsia="Droid Sans Fallback"/>
        </w:rPr>
        <w:fldChar w:fldCharType="begin" w:fldLock="1"/>
      </w:r>
      <w:r w:rsidRPr="008608AA">
        <w:rPr>
          <w:rFonts w:eastAsia="Droid Sans Fallback"/>
          <w:lang w:val="fr-CA"/>
        </w:rPr>
        <w:instrText>ADDIN CSL_CITATION { "citationItems" : [ { "id" : "ITEM-1", "itemData" : { "DOI" : "10.1016/j.gloenvcha.2013.04.006", "ISBN" : "09593780", "ISSN" : "09593780", "abstract" : "Globalization increases the interconnectedness of people and places around the world. In a connected world, goods and services consumed in one country are often produced in other countries and exchanged via international trade. Thus, local consumption is increasingly met by global supply chains oftentimes involving large geographical distances and leading to global environmental change. In this study, we connect local consumption to global land use through tracking global commodity and value chains via international trade flows. Using a global multiregional input-output model with sectoral detail allows for the accounting of land use attributed to \"unusual\" sectors - from a land use perspective - including services, machinery and equipment, and construction. Our results show how developed countries consume a large amount of goods and services from both domestic and international markets, and thus impose pressure not only on their domestic land resources, but also displace land in other countries, thus displacing other uses. For example, 33% of total U.S. land use for consumption purposes is displaced from other countries. This ratio becomes much larger for the EU (more than 50%) and Japan (92%). Our analysis shows that 47% of Brazilian and 88% of Argentinean cropland is used for consumption p</w:instrText>
      </w:r>
      <w:r w:rsidRPr="008608AA">
        <w:rPr>
          <w:rFonts w:eastAsia="Droid Sans Fallback"/>
        </w:rPr>
        <w:instrText>urposes outside of their territories, mainly in EU countries and China. In addition, consumers in rich countries tend to displace land by consuming non-agricultural products, such as services, clothing and household appliances, which account for more than 50% of their total land displacement. By contrast, for developing economies, such as African countries, the share of land use for non-agricultural products is much lower, with an average of 7%. The emerging economies and population giants, China and India, are likely to further increase their appetite for land from other countries, such as Africa, Russia and Latin America, to satisfy their own land needs driven by their fast economic growth and the needs and lifestyles of their growing populations. \u00a9 2013 Elsevier Ltd.", "author" : [ { "dropping-particle" : "", "family" : "Yu", "given" : "Yang", "non-dropping-particle" : "", "parse-names" : false, "suffix" : "" }, { "dropping-particle" : "", "family" : "Feng", "given" : "Kuishuang", "non-dropping-particle" : "", "parse-names" : false, "suffix" : "" }, { "dropping-particle" : "", "family" : "Hubacek", "given" : "Klaus", "non-dropping-particle" : "", "parse-names" : false, "suffix" : "" } ], "container-title" : "Global Environmental Change", "id" : "ITEM-1", "issue" : "5", "issued" : { "date-parts" : [ [ "2013", "10" ] ] }, "page" : "1178-1186", "title" : "Tele-connecting local consumption to global land use", "type" : "article-journal", "volume" : "23" }, "suppress-author" : 1, "uris" : [ "http://www.mendeley.com/documents/?uuid=582999db-66f7-3376-a767-f86c6102a1d3" ] } ], "mendeley" : { "formattedCitation" : "(2013)", "plainTextFormattedCitation" : "(2013)", "previouslyFormattedCitation" :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(2013)</w:t>
      </w:r>
      <w:r w:rsidRPr="008608AA">
        <w:rPr>
          <w:rFonts w:eastAsia="Droid Sans Fallback"/>
        </w:rPr>
        <w:fldChar w:fldCharType="end"/>
      </w:r>
      <w:r w:rsidRPr="008608AA">
        <w:rPr>
          <w:rFonts w:eastAsia="Droid Sans Fallback"/>
        </w:rPr>
        <w:t xml:space="preserve"> show that 47% and 88% of cropland in Brazil and Argentina, respectively, are used for consumption in other countries, mainly the European Union and China. China alone displaces 5 Mha pf cropland in Brazil, mainly for soybeans. China’s appropriation of virtual water embodied in soybeans from Brazil nearly doubled between 2001 and 2007 </w:t>
      </w:r>
      <w:r w:rsidRPr="008608AA">
        <w:rPr>
          <w:rFonts w:eastAsia="Droid Sans Fallback"/>
        </w:rPr>
        <w:fldChar w:fldCharType="begin" w:fldLock="1"/>
      </w:r>
      <w:r w:rsidRPr="008608AA">
        <w:rPr>
          <w:rFonts w:eastAsia="Droid Sans Fallback"/>
        </w:rPr>
        <w:instrText>ADDIN CSL_CITATION { "citationItems" : [ { "id" : "ITEM-1", "itemData" : { "DOI" : "10.5751/ES-07868-200344", "ISSN" : "17083087", "abstract" : "Increasingly, the world is becoming socioeconomically and environmentally connected, but many studies have focused on human-environment interactions within a particular area. Although some studies have considered the impacts of external factors, there is little research on multiple reciprocal socioeconomic and environmental interactions between a focal area and other areas. Here we address this important knowledge gap by applying the new integrated framework of telecouplings (socioeconomic and environmental interactions between two or more areas over distances). Results show that even a protected area - i.e., the Wolong Nature Reserve for giant pandas in southwest China - has multiple telecoupling processes with the rest of the world; these include panda loans, tourism, information dissemination, conservation subsidies, and trade of agricultural and industrial products. The telecoupling processes exhibit nonlinear patterns, they change over time, and they have varying socioeconomic and environmental effects across the world. We also find complex relationships among different telecouplings - e.g., amplification, offsetting, spatial overlaps - which cannot be detected by traditional separate studies. Such an integrated study leads to a more comprehensive understanding of distant human-environment interactions and has significant implications for global sustainability and human well-being.", "author" : [ { "dropping-particle" : "", "family" : "Liu", "given" : "Jianguo", "non-dropping-particle" : "", "parse-names" : false, "suffix" : "" }, { "dropping-particle" : "", "family" : "Hull", "given" : "Vanessa", "non-dropping-particle" : "", "parse-names" : false, "suffix" : "" }, { "dropping-particle" : "", "family" : "Luo", "given" : "Junyan", "non-dropping-particle" : "", "parse-names" : false, "suffix" : "" }, { "dropping-particle" : "", "family" : "Yang", "given" : "Wu", "non-dropping-particle" : "", "parse-names" : false, "suffix" : "" }, { "dropping-particle" : "", "family" : "Liu", "given" : "Wei", "non-dropping-particle" : "", "parse-names" : false, "suffix" : "" }, { "dropping-particle" : "", "family" : "Vi??a", "given" : "Andr??s", "non-dropping-particle" : "", "parse-names" : false, "suffix" : "" }, { "dropping-particle" : "", "family" : "Vogt", "given" : "Christine", "non-dropping-particle" : "", "parse-names" : false, "suffix" : "" }, { "dropping-particle" : "", "family" : "Xu", "given" : "Zhenci", "non-dropping-particle" : "", "parse-names" : false, "suffix" : "" }, { "dropping-particle" : "", "family" : "Yang", "given" : "Hongbo", "non-dropping-particle" : "", "parse-names" : false, "suffix" : "" }, { "dropping-particle" : "", "family" : "Zhang", "given" : "Jindong", "non-dropping-particle" : "", "parse-names" : false, "suffix" : "" }, { "dropping-particle" : "", "family" : "An", "given" : "Li", "non-dropping-particle" : "", "parse-names" : false, "suffix" : "" }, { "dropping-particle" : "", "family" : "Chen", "given" : "Xiaodong", "non-dropping-particle" : "", "parse-names" : false, "suffix" : "" }, { "dropping-particle" : "", "family" : "Li", "given" : "Shuxin", "non-dropping-particle" : "", "parse-names" : false, "suffix" : "" }, { "dropping-particle" : "", "family" : "Ouyang", "given" : "Zhiyun", "non-dropping-particle" : "", "parse-names" : false, "suffix" : "" }, { "dropping-particle" : "", "family" : "Xu", "given" : "Weihua", "non-dropping-particle" : "", "parse-names" : false, "suffix" : "" }, { "dropping-particle" : "", "family" : "Zhang", "given" : "Hemin", "non-dropping-particle" : "", "parse-names" : false, "suffix" : "" } ], "container-title" : "Ecology and Society", "id" : "ITEM-1", "issue" : "3", "issued" : { "date-parts" : [ [ "2015" ] ] }, "page" : "44", "title" : "Multiple telecouplings and their complex interrelationships", "type" : "article-journal", "volume" : "20" }, "uris" : [ "http://www.mendeley.com/documents/?uuid=55e04227-d4b4-4031-bfa3-387fd15fdfe5" ] } ], "mendeley" : { "formattedCitation" : "(Liu et al., 2015)", "plainTextFormattedCitation" : "(Liu et al., 2015)", "previouslyFormattedCitation" : "(Liu et al.,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(Liu et al., 2015)</w:t>
      </w:r>
      <w:r w:rsidRPr="008608AA">
        <w:rPr>
          <w:rFonts w:eastAsia="Droid Sans Fallback"/>
        </w:rPr>
        <w:fldChar w:fldCharType="end"/>
      </w:r>
      <w:r w:rsidRPr="008608AA">
        <w:rPr>
          <w:rFonts w:eastAsia="Droid Sans Fallback"/>
        </w:rPr>
        <w:t xml:space="preserve">. Commoditization of agriculture in the South is, therefore, a key driver affecting land cover </w:t>
      </w:r>
      <w:r w:rsidRPr="008608AA">
        <w:rPr>
          <w:rFonts w:eastAsia="Droid Sans Fallback"/>
        </w:rPr>
        <w:fldChar w:fldCharType="begin" w:fldLock="1"/>
      </w:r>
      <w:r w:rsidRPr="008608AA">
        <w:rPr>
          <w:rFonts w:eastAsia="Droid Sans Fallback"/>
        </w:rPr>
        <w:instrText>ADDIN CSL_CITATION { "citationItems" : [ { "id" : "ITEM-1", "itemData" : { "DOI" : "10.1038/nclimate2056", "ISSN" : "1758-678X", "abstract" : "This Review considers the evolving relationship between land-use change and greenhouse gas emissions in Brazil. Despite the intensification of agriculture over the past decade or so, deforestation has decreased, resulting in reduced greenhouse gas emissions. However, inequality in land ownership and city growth fuelled by rural\u2013urban migration remain pressing issues for policymakers.", "author" : [ { "dropping-particle" : "", "family" : "Lapola", "given" : "David M.", "non-dropping-particle" : "", "parse-names" : false, "suffix" : "" }, { "dropping-particle" : "", "family" : "Martinelli", "given" : "Luiz A.", "non-dropping-particle" : "", "parse-names" : false, "suffix" : "" }, { "dropping-particle" : "", "family" : "Peres", "given" : "Carlos A.", "non-dropping-particle" : "", "parse-names" : false, "suffix" : "" }, { "dropping-particle" : "", "family" : "Ometto", "given" : "Jean P. H. B.", "non-dropping-particle" : "", "parse-names" : false, "suffix" : "" }, { "dropping-particle" : "", "family" : "Ferreira", "given" : "Manuel E.", "non-dropping-particle" : "", "parse-names" : false, "suffix" : "" }, { "dropping-particle" : "", "family" : "Nobre", "given" : "Carlos A.", "non-dropping-particle" : "", "parse-names" : false, "suffix" : "" }, { "dropping-particle" : "", "family" : "Aguiar", "given" : "Ana Paula D.", "non-dropping-particle" : "", "parse-names" : false, "suffix" : "" }, { "dropping-particle" : "", "family" : "Bustamante", "given" : "Mercedes M. C.", "non-dropping-particle" : "", "parse-names" : false, "suffix" : "" }, { "dropping-particle" : "", "family" : "Cardoso", "given" : "Manoel F.", "non-dropping-particle" : "", "parse-names" : false, "suffix" : "" }, { "dropping-particle" : "", "family" : "Costa", "given" : "Marcos H.", "non-dropping-particle" : "", "parse-names" : false, "suffix" : "" }, { "dropping-particle" : "", "family" : "Joly", "given" : "Carlos A.", "non-dropping-particle" : "", "parse-names" : false, "suffix" : "" }, { "dropping-particle" : "", "family" : "Leite", "given" : "Christiane C.", "non-dropping-particle" : "", "parse-names" : false, "suffix" : "" }, { "dropping-particle" : "", "family" : "Moutinho", "given" : "Paulo", "non-dropping-particle" : "", "parse-names" : false, "suffix" : "" }, { "dropping-particle" : "", "family" : "Sampaio", "given" : "Gilvan", "non-dropping-particle" : "", "parse-names" : false, "suffix" : "" }, { "dropping-particle" : "", "family" : "Strassburg", "given" : "Bernardo B. N.", "non-dropping-particle" : "", "parse-names" : false, "suffix" : "" }, { "dropping-particle" : "", "family" : "Vieira", "given" : "Ima C. G.", "non-dropping-particle" : "", "parse-names" : false, "suffix" : "" } ], "container-title" : "Nature Climate Change", "id" : "ITEM-1", "issue" : "1", "issued" : { "date-parts" : [ [ "2013", "12", "20" ] ] }, "page" : "27-35", "publisher" : "Nature Publishing Group", "title" : "Pervasive transition of the Brazilian land-use system", "type" : "article-journal", "volume" : "4" }, "uris" : [ "http://www.mendeley.com/documents/?uuid=e4190645-02e8-3d88-baac-0c269eabbe96" ] } ], "mendeley" : { "formattedCitation" : "(Lapola et al., 2013)", "plainTextFormattedCitation" : "(Lapola et al., 2013)", "previouslyFormattedCitation" : "(Lapola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(Lapola et al., 2013)</w:t>
      </w:r>
      <w:r w:rsidRPr="008608AA">
        <w:rPr>
          <w:rFonts w:eastAsia="Droid Sans Fallback"/>
        </w:rPr>
        <w:fldChar w:fldCharType="end"/>
      </w:r>
      <w:r w:rsidRPr="008608AA">
        <w:rPr>
          <w:rFonts w:eastAsia="Droid Sans Fallback"/>
        </w:rPr>
        <w:t>, well illustrating the interconnection and cross-scale issues of a globalized urban world. That is, telecoupling in the agriculture sector shows a very strong interaction among agri-social-ecological systems over long distances and scales.</w:t>
      </w:r>
    </w:p>
    <w:p w14:paraId="13BED9A2" w14:textId="77777777" w:rsidR="00D33974" w:rsidRPr="008608AA" w:rsidRDefault="00D33974" w:rsidP="00EE708F">
      <w:pPr>
        <w:suppressAutoHyphens/>
        <w:rPr>
          <w:rFonts w:eastAsia="Droid Sans Fallback"/>
        </w:rPr>
      </w:pPr>
    </w:p>
    <w:p w14:paraId="6091921F" w14:textId="7188D2B0" w:rsidR="00EE708F" w:rsidRPr="008608AA" w:rsidRDefault="00490494" w:rsidP="00BD2CBD">
      <w:pPr>
        <w:suppressAutoHyphens/>
        <w:rPr>
          <w:rFonts w:eastAsia="Droid Sans Fallback"/>
        </w:rPr>
      </w:pPr>
      <w:r w:rsidRPr="008608AA">
        <w:rPr>
          <w:rFonts w:eastAsia="Droid Sans Fallback"/>
        </w:rPr>
        <w:t xml:space="preserve">These trends are expected to continue into the future. For example, it is expected that the demand for food between 2012 and 2050 will increase by 50%. The underlying factors will continue to be urbanization, population growth and increases in income. This increasing demand will happen as natural capacity for producing the needed food will be under increasing stress. This includes the need for additional land. It is expected that by 2050, 100 million ha of new land will be required (FAO, 2017), very likely at the expense of forested areas (e.g. natural ecosystems). This poses a threat to priority areas for biodiversity conservation in many places of Latin America, for example. In fact, the rising international demand for land embodied in food trade has been growing and is expected to continue rising throughout the coming decades, mostly at the cost of land cover conversion to new arable land in developing countries (Figure 5.29). In other words, “doubling global food supply without extensive additional environmental degradation to non urban areas presents a major challenge” </w:t>
      </w:r>
      <w:r w:rsidRPr="008608AA">
        <w:rPr>
          <w:rFonts w:eastAsia="Droid Sans Fallback"/>
        </w:rPr>
        <w:fldChar w:fldCharType="begin" w:fldLock="1"/>
      </w:r>
      <w:r w:rsidRPr="008608AA">
        <w:rPr>
          <w:rFonts w:eastAsia="Droid Sans Fallback"/>
        </w:rPr>
        <w:instrText>ADDIN CSL_CITATION { "citationItems" : [ { "id" : "ITEM-1", "itemData" : { "DOI" : "10.1007/s13280-012-0353-7", "ISSN" : "0044-7447", "author" : [ { "dropping-particle" : "", "family" : "Seitzinger", "given" : "Sybil P.", "non-dropping-particle" : "", "parse-names" : false, "suffix" : "" }, { "dropping-particle" : "", "family" : "Svedin", "given" : "Uno", "non-dropping-particle" : "", "parse-names" : false, "suffix" : "" }, { "dropping-particle" : "", "family" : "Crumley", "given" : "Carole L.", "non-dropping-particle" : "", "parse-names" : false, "suffix" : "" }, { "dropping-particle" : "", "family" : "Steffen", "given" : "Will", "non-dropping-particle" : "", "parse-names" : false, "suffix" : "" }, { "dropping-particle" : "", "family" : "Abdullah", "given" : "Saiful Arif", "non-dropping-particle" : "", "parse-names" : false, "suffix" : "" }, { "dropping-particle" : "", "family" : "Alfsen", "given" : "Christine", "non-dropping-particle" : "", "parse-names" : false, "suffix" : "" }, { "dropping-particle" : "", "family" : "Broadgate", "given" : "Wendy J.", "non-dropping-particle" : "", "parse-names" : false, "suffix" : "" }, { "dropping-particle" : "", "family" : "Biermann", "given" : "Frank", "non-dropping-particle" : "", "parse-names" : false, "suffix" : "" }, { "dropping-particle" : "", "family" : "Bondre", "given" : "Ninad R.", "non-dropping-particle" : "", "parse-names" : false, "suffix" : "" }, { "dropping-particle" : "", "family" : "Dearing", "given" : "John A.", "non-dropping-particle" : "", "parse-names" : false, "suffix" : "" }, { "dropping-particle" : "", "family" : "Deutsch", "given" : "Lisa", "non-dropping-particle" : "", "parse-names" : false, "suffix" : "" }, { "dropping-particle" : "", "family" : "Dhakal", "given" : "Shobhakar", "non-dropping-particle" : "", "parse-names" : false, "suffix" : "" }, { "dropping-particle" : "", "family" : "Elmqvist", "given" : "Thomas", "non-dropping-particle" : "", "parse-names" : false, "suffix" : "" }, { "dropping-particle" : "", "family" : "Farahbakhshazad", "given" : "Neda", "non-dropping-particle" : "", "parse-names" : false, "suffix" : "" }, { "dropping-particle" : "", "family" : "Gaffney", "given" : "Owen", "non-dropping-particle" : "", "parse-names" : false, "suffix" : "" }, { "dropping-particle" : "", "family" : "Haberl", "given" : "Helmut", "non-dropping-particle" : "", "parse-names" : false, "suffix" : "" }, { "dropping-particle" : "", "family" : "Lavorel", "given" : "Sandra", "non-dropping-particle" : "", "parse-names" : false, "suffix" : "" }, { "dropping-particle" : "", "family" : "Mbow", "given" : "Cheikh", "non-dropping-particle" : "", "parse-names" : false, "suffix" : "" }, { "dropping-particle" : "", "family" : "McMichael", "given" : "Anthony J.", "non-dropping-particle" : "", "parse-names" : false, "suffix" : "" }, { "dropping-particle" : "", "family" : "deMorais", "given" : "Joao M. F.", "non-dropping-particle" : "", "parse-names" : false, "suffix" : "" }, { "dropping-particle" : "", "family" : "Olsson", "given" : "Per", "non-dropping-particle" : "", "parse-names" : false, "suffix" : "" }, { "dropping-particle" : "", "family" : "Pinho", "given" : "Patricia Fernanda", "non-dropping-particle" : "", "parse-names" : false, "suffix" : "" }, { "dropping-particle" : "", "family" : "Seto", "given" : "Karen C.", "non-dropping-particle" : "", "parse-names" : false, "suffix" : "" }, { "dropping-particle" : "", "family" : "Sinclair", "given" : "Paul", "non-dropping-particle" : "", "parse-names" : false, "suffix" : "" }, { "dropping-particle" : "", "family" : "Stafford Smith", "given" : "Mark", "non-dropping-particle" : "", "parse-names" : false, "suffix" : "" }, { "dropping-particle" : "", "family" : "Sugar", "given" : "Lorraine", "non-dropping-particle" : "", "parse-names" : false, "suffix" : "" } ], "container-title" : "AMBIO", "id" : "ITEM-1", "issue" : "8", "issued" : { "date-parts" : [ [ "2012", "12", "18" ] ] }, "page" : "787-794", "publisher" : "Springer Netherlands", "title" : "Planetary Stewardship in an Urbanizing World: Beyond City Limits", "type" : "article-journal", "volume" : "41" }, "uris" : [ "http://www.mendeley.com/documents/?uuid=64ac40db-d973-3bbf-b202-dd0d17b41ff2" ] } ], "mendeley" : { "formattedCitation" : "(Seitzinger et al., 2012)", "plainTextFormattedCitation" : "(Seitzinger et al., 2012)", "previouslyFormattedCitation" : "(Seitzinger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(Seitzinger et al., 2012)</w:t>
      </w:r>
      <w:r w:rsidRPr="008608AA">
        <w:rPr>
          <w:rFonts w:eastAsia="Droid Sans Fallback"/>
        </w:rPr>
        <w:fldChar w:fldCharType="end"/>
      </w:r>
      <w:r w:rsidR="00BD2CBD" w:rsidRPr="008608AA">
        <w:rPr>
          <w:rFonts w:eastAsia="Droid Sans Fallback"/>
        </w:rPr>
        <w:t xml:space="preserve">. </w:t>
      </w:r>
    </w:p>
    <w:p w14:paraId="4B9F9CF5" w14:textId="75F7CDF5" w:rsidR="00EE708F" w:rsidRPr="008608AA" w:rsidRDefault="00BD2CBD" w:rsidP="00EE708F">
      <w:pPr>
        <w:suppressAutoHyphens/>
        <w:spacing w:before="240"/>
        <w:jc w:val="center"/>
        <w:rPr>
          <w:rFonts w:eastAsia="Droid Sans Fallback"/>
        </w:rPr>
      </w:pPr>
      <w:r w:rsidRPr="008608AA">
        <w:rPr>
          <w:rFonts w:eastAsia="Droid Sans Fallback"/>
          <w:noProof/>
          <w:lang w:val="en-GB" w:eastAsia="en-GB"/>
        </w:rPr>
        <w:drawing>
          <wp:inline distT="0" distB="0" distL="0" distR="0" wp14:anchorId="542C6057" wp14:editId="5E04235E">
            <wp:extent cx="5934075" cy="3448050"/>
            <wp:effectExtent l="0" t="0" r="9525" b="0"/>
            <wp:docPr id="91" name="Imagen 91" descr="C:\Users\Alejandro Valderrama\Downloads\Fig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1" descr="C:\Users\Alejandro Valderrama\Downloads\Fig5.29.jpg"/>
                    <pic:cNvPicPr>
                      <a:picLocks noChangeAspect="1" noChangeArrowheads="1"/>
                    </pic:cNvPicPr>
                  </pic:nvPicPr>
                  <pic:blipFill rotWithShape="1">
                    <a:blip r:embed="rId1058">
                      <a:extLst>
                        <a:ext uri="{28A0092B-C50C-407E-A947-70E740481C1C}">
                          <a14:useLocalDpi xmlns:a14="http://schemas.microsoft.com/office/drawing/2010/main" val="0"/>
                        </a:ext>
                      </a:extLst>
                    </a:blip>
                    <a:srcRect b="59688"/>
                    <a:stretch/>
                  </pic:blipFill>
                  <pic:spPr bwMode="auto">
                    <a:xfrm>
                      <a:off x="0" y="0"/>
                      <a:ext cx="5934075" cy="3448050"/>
                    </a:xfrm>
                    <a:prstGeom prst="rect">
                      <a:avLst/>
                    </a:prstGeom>
                    <a:noFill/>
                    <a:ln>
                      <a:noFill/>
                    </a:ln>
                    <a:extLst>
                      <a:ext uri="{53640926-AAD7-44D8-BBD7-CCE9431645EC}">
                        <a14:shadowObscured xmlns:a14="http://schemas.microsoft.com/office/drawing/2010/main"/>
                      </a:ext>
                    </a:extLst>
                  </pic:spPr>
                </pic:pic>
              </a:graphicData>
            </a:graphic>
          </wp:inline>
        </w:drawing>
      </w:r>
    </w:p>
    <w:p w14:paraId="76E6C061" w14:textId="77777777" w:rsidR="00506943" w:rsidRPr="008608AA" w:rsidRDefault="00490494" w:rsidP="00EE708F">
      <w:pPr>
        <w:suppressAutoHyphens/>
        <w:spacing w:before="240"/>
        <w:rPr>
          <w:rFonts w:eastAsia="Droid Sans Fallback"/>
        </w:rPr>
      </w:pPr>
      <w:r w:rsidRPr="008608AA">
        <w:rPr>
          <w:rFonts w:eastAsia="Droid Sans Fallback"/>
        </w:rPr>
        <w:t xml:space="preserve">While cities are often solely perceived as a driver of environmental degradation, consequently affecting human well-being, they also offer important opportunities to reduce these impacts, if well managed. Therefore, urbanization has increasingly been recognized as a key element for a sustainable future, with impacts beyond urban borders. Urban environmental sustainability is now an important pillar of the new urban agenda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"Habitat III", "given" : "UN.", "non-dropping-particle" : "", "parse-names" : false, "suffix" : "" } ], "id" : "ITEM-1", "issued" : { "date-parts" : [ [ "2016" ] ] }, "publisher-place" : "Quito", "title" : "A new urban agenda. Quito declaration on sustainable cities and human settlements for all.", "type" : "report" }, "uris" : [ "http://www.mendeley.com/documents/?uuid=6575334e-a5c6-3628-a1c2-4cca6db5f63b" ] } ], "mendeley" : { "formattedCitation" : "(Habitat III, 2016)", "plainTextFormattedCitation" : "(Habitat III, 2016)", "previouslyFormattedCitation" : "(Habitat III,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(Habitat III, 2016)</w:t>
      </w:r>
      <w:r w:rsidRPr="008608AA">
        <w:rPr>
          <w:rFonts w:eastAsia="Droid Sans Fallback"/>
        </w:rPr>
        <w:fldChar w:fldCharType="end"/>
      </w:r>
      <w:r w:rsidRPr="008608AA">
        <w:rPr>
          <w:rFonts w:eastAsia="Droid Sans Fallback"/>
        </w:rPr>
        <w:t xml:space="preserve">. Included in the vision shared by signatories of the United Nations Conference on Housing and Sustainable Urban Development is that urban food security and strengthening of urban-rural linkages will play a major role towards sustainable urban development. Moreover, governments are committed to ensuring environmental sustainability by several measures, including the protection and improvement of ecosystem services and biodiversity. </w:t>
      </w:r>
    </w:p>
    <w:p w14:paraId="3C5D17D2" w14:textId="0D6F4B9E" w:rsidR="00490494" w:rsidRPr="008608AA" w:rsidRDefault="00490494" w:rsidP="00EE708F">
      <w:pPr>
        <w:suppressAutoHyphens/>
        <w:spacing w:before="240"/>
        <w:rPr>
          <w:rFonts w:eastAsia="Droid Sans Fallback"/>
        </w:rPr>
      </w:pPr>
      <w:r w:rsidRPr="008608AA">
        <w:rPr>
          <w:rFonts w:eastAsia="Droid Sans Fallback"/>
        </w:rPr>
        <w:t xml:space="preserve">For this end, however, the sustainability of cities needs to be understood beyond place-based concepts that advocate for decisions that are local in scope (e.g. efforts of self-sufficiency at the local level) as these decisions do not account for critical consequences of telecouplings in distant places and people. Urban telecoupling (as an analytical tool) can assist in concentrating decisions concerning urban processes (flows of capital, information, people, goods, materials, energy, and services) that spill over large geographical areas with the advantage of having both well-being and equity issues more explicit </w:t>
      </w:r>
      <w:r w:rsidRPr="008608AA">
        <w:rPr>
          <w:rFonts w:eastAsia="Droid Sans Fallback"/>
        </w:rPr>
        <w:fldChar w:fldCharType="begin" w:fldLock="1"/>
      </w:r>
      <w:r w:rsidRPr="008608AA">
        <w:rPr>
          <w:rFonts w:eastAsia="Droid Sans Fallback"/>
        </w:rPr>
        <w:instrText>ADDIN CSL_CITATION { "citationItems" : [ { "id" : "ITEM-1", "itemData" : { "DOI" : "10.1073/pnas.1117622109", "ISBN" : "1091-6490 (Electronic)\\r0027-8424 (Linking)", "ISSN" : "0027-8424", "PMID" : "22550174", "abstract" : "This paper introduces urban land teleconnections as a conceptual framework that explicitly links land changes to underlying urbanization dynamics. We illustrate how three key themes that are currently addressed separately in the urban sustainability and land change literatures can lead to incorrect conclusions and misleading results when they are not examined jointly: the traditional system of land classification that is based on discrete categories and reinforces the false idea of a rural-urban dichotomy; the spatial quantification of land change that is based on place-based relationships, ignoring the connections between distant places, especially between urban functions and rural land uses; and the implicit assumptions about path dependency and sequential land changes that underlie current conceptualizations of land transitions. We then examine several environmental \"grand challenges\" and discuss how urban land teleconnections could help research communities frame scientific inquiries. Finally, we point to existing analytical approaches that can be used to advance development and application of the concept.", "author" : [ { "dropping-particle" : "", "family" : "Seto", "given" : "K.C.", "non-dropping-particle" : "", "parse-names" : false, "suffix" : "" }, { "dropping-particle" : "", "family" : "Reenberg", "given" : "A.", "non-dropping-particle" : "", "parse-names" : false, "suffix" : "" }, { "dropping-particle" : "", "family" : "Boone", "given" : "C.G.", "non-dropping-particle" : "", "parse-names" : false, "suffix" : "" }, { "dropping-particle" : "", "family" : "Fragkias", "given" : "M.", "non-dropping-particle" : "", "parse-names" : false, "suffix" : "" }, { "dropping-particle" : "", "family" : "Haase", "given" : "D.", "non-dropping-particle" : "", "parse-names" : false, "suffix" : "" }, { "dropping-particle" : "", "family" : "Langanke", "given" : "T.", "non-dropping-particle" : "", "parse-names" : false, "suffix" : "" }, { "dropping-particle" : "", "family" : "Marcotullio", "given" : "P.", "non-dropping-particle" : "", "parse-names" : false, "suffix" : "" }, { "dropping-particle" : "", "family" : "Munroe", "given" : "D.K.", "non-dropping-particle" : "", "parse-names" : false, "suffix" : "" }, { "dropping-particle" : "", "family" : "Olah", "given" : "B.", "non-dropping-particle" : "", "parse-names" : false, "suffix" : "" }, { "dropping-particle" : "", "family" : "Simon", "given" : "D.", "non-dropping-particle" : "", "parse-names" : false, "suffix" : "" } ], "container-title" : "Proceedings of the National Academy of Sciences", "id" : "ITEM-1", "issue" : "20", "issued" : { "date-parts" : [ [ "2012", "5", "15" ] ] }, "page" : "7687-7692", "title" : "Urban land teleconnections and sustainability", "type" : "article-journal", "volume" : "109" }, "uris" : [ "http://www.mendeley.com/documents/?uuid=39d3bcd7-d4d5-3a77-89cc-2841d56581ba" ] } ], "mendeley" : { "formattedCitation" : "(K.C. Seto et al., 2012)", "plainTextFormattedCitation" : "(K.C. Seto et al., 2012)", "previouslyFormattedCitation" : "(K.C. Seto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(Seto et al., 2012)</w:t>
      </w:r>
      <w:r w:rsidRPr="008608AA">
        <w:rPr>
          <w:rFonts w:eastAsia="Droid Sans Fallback"/>
        </w:rPr>
        <w:fldChar w:fldCharType="end"/>
      </w:r>
      <w:r w:rsidRPr="008608AA">
        <w:rPr>
          <w:rFonts w:eastAsia="Droid Sans Fallback"/>
        </w:rPr>
        <w:t>. Urbanization, after all, can be conceptualized as “a multidimensional, social and biophysical process driven by continuous changes across space and time in various subsystems including biophysical, built environment, and socio-institutional (</w:t>
      </w:r>
      <w:r w:rsidR="00847F60" w:rsidRPr="008608AA">
        <w:rPr>
          <w:rFonts w:eastAsia="Droid Sans Fallback"/>
        </w:rPr>
        <w:t>e.g.</w:t>
      </w:r>
      <w:r w:rsidRPr="008608AA">
        <w:rPr>
          <w:rFonts w:eastAsia="Droid Sans Fallback"/>
        </w:rPr>
        <w:t xml:space="preserve"> economic, political, demographic, behavioral, and sociological)” </w:t>
      </w:r>
      <w:r w:rsidRPr="008608AA">
        <w:rPr>
          <w:rFonts w:eastAsia="Droid Sans Fallback"/>
        </w:rPr>
        <w:fldChar w:fldCharType="begin" w:fldLock="1"/>
      </w:r>
      <w:r w:rsidRPr="008608AA">
        <w:rPr>
          <w:rFonts w:eastAsia="Droid Sans Fallback"/>
        </w:rPr>
        <w:instrText>ADDIN CSL_CITATION { "citationItems" : [ { "id" : "ITEM-1", "itemData" : { "DOI" : "10.1002/2014EF000257", "ISSN" : "23284277", "author" : [ { "dropping-particle" : "", "family" : "Marcotullio", "given" : "Peter J.", "non-dropping-particle" : "", "parse-names" : false, "suffix" : "" }, { "dropping-particle" : "", "family" : "Hughes", "given" : "Sara", "non-dropping-particle" : "", "parse-names" : false, "suffix" : "" }, { "dropping-particle" : "", "family" : "Sarzynski", "given" : "Andrea", "non-dropping-particle" : "", "parse-names" : false, "suffix" : "" }, { "dropping-particle" : "", "family" : "Pincetl", "given" : "Stephanie", "non-dropping-particle" : "", "parse-names" : false, "suffix" : "" }, { "dropping-particle" : "", "family" : "Sanchez Pe\u00f1a", "given" : "Landy", "non-dropping-particle" : "", "parse-names" : false, "suffix" : "" }, { "dropping-particle" : "", "family" : "Romero-Lankao", "given" : "Patricia", "non-dropping-particle" : "", "parse-names" : false, "suffix" : "" }, { "dropping-particle" : "", "family" : "Runfola", "given" : "Daniel", "non-dropping-particle" : "", "parse-names" : false, "suffix" : "" }, { "dropping-particle" : "", "family" : "Seto", "given" : "Karen C.", "non-dropping-particle" : "", "parse-names" : false, "suffix" : "" } ], "container-title" : "Earth's Future", "id" : "ITEM-1", "issue" : "10", "issued" : { "date-parts" : [ [ "2014", "10", "1" ] ] }, "page" : "496-514", "publisher" : "Wiley Periodicals, Inc.", "title" : "Urbanization and the carbon cycle: Contributions from social science", "type" : "article-journal", "volume" : "2" }, "uris" : [ "http://www.mendeley.com/documents/?uuid=300e3fe1-24cf-3ceb-80ed-d4b703f0067b" ] } ], "mendeley" : { "formattedCitation" : "(Marcotullio et al., 2014)", "plainTextFormattedCitation" : "(Marcotullio et al., 2014)", "previouslyFormattedCitation" : "(Marcotullio et al., 2014)"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(Marcotullio et al., 2014)</w:t>
      </w:r>
      <w:r w:rsidRPr="008608AA">
        <w:rPr>
          <w:rFonts w:eastAsia="Droid Sans Fallback"/>
        </w:rPr>
        <w:fldChar w:fldCharType="end"/>
      </w:r>
      <w:r w:rsidRPr="008608AA">
        <w:rPr>
          <w:rFonts w:eastAsia="Droid Sans Fallback"/>
        </w:rPr>
        <w:t xml:space="preserve">. As such, urbanization with appropriate governance, incentives, and cultural capacities </w:t>
      </w:r>
      <w:r w:rsidRPr="008608AA">
        <w:rPr>
          <w:rFonts w:eastAsia="Droid Sans Fallback"/>
        </w:rPr>
        <w:fldChar w:fldCharType="begin" w:fldLock="1"/>
      </w:r>
      <w:r w:rsidRPr="008608AA">
        <w:rPr>
          <w:rFonts w:eastAsia="Droid Sans Fallback"/>
        </w:rPr>
        <w:instrText>ADDIN CSL_CITATION { "citationItems" : [ { "id" : "ITEM-1", "itemData" : { "DOI" : "10.1098/rstb.2010.0136", "ISBN" : "0962-8436\\r1471-2970", "ISSN" : "0962-8436", "PMID" : "20713396", "abstract" : "This paper discusses the influences on food and farming of an increasingly urbanized world and a declining ratio of food producers to food consumers. Urbanization has been underpinned by the rapid growth in the world economy and in the proportion of gross world product and of workers in industrial and service enterprises. Globally, agriculture has met the demands from this rapidly growing urban population, including food that is more energy-, land-, water- and greenhouse gas emission-intensive. But hundreds of millions of urban dwellers suffer under-nutrition. So the key issues with regard to agriculture and urbanization are whether the growing and changing demands for agricultural products from growing urban populations can be sustained while at the same time underpinning agricultural prosperity and reducing rural and urban poverty. To this are added the need to reduce greenhouse gas emissions and to build resilience in agriculture and urban development to climate change impacts. The paper gives particular attention to low- and middle-income nations since these have more than three-quarters of the world's urban population and most of its largest cities and these include nations where issues of food security are most pressing.", "author" : [ { "dropping-particle" : "", "family" : "Satterthwaite", "given" : "David", "non-dropping-particle" : "", "parse-names" : false, "suffix" : "" }, { "dropping-particle" : "", "family" : "McGranahan", "given" : "Gordon", "non-dropping-particle" : "", "parse-names" : false, "suffix" : "" }, { "dropping-particle" : "", "family" : "Tacoli", "given" : "Cecilia", "non-dropping-particle" : "", "parse-names" : false, "suffix" : "" } ], "container-title" : "Philosophical Transactions of the Royal Society B: Biological Sciences", "id" : "ITEM-1", "issue" : "1554", "issued" : { "date-parts" : [ [ "2010", "9", "27" ] ] }, "page" : "2809-2820", "publisher" : "The Royal Society", "title" : "Urbanization and its implications for food and farming", "type" : "article-journal", "volume" : "365" }, "uris" : [ "http://www.mendeley.com/documents/?uuid=b48b2862-0d4e-4071-906a-969115aec41e" ] } ], "mendeley" : { "formattedCitation" : "(Satterthwaite et al., 2010)", "plainTextFormattedCitation" : "(Satterthwaite et al., 2010)", "previouslyFormattedCitation" : "(Satterthwaite et al., 2010)"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(Satterthwaite et al., 2010)</w:t>
      </w:r>
      <w:r w:rsidRPr="008608AA">
        <w:rPr>
          <w:rFonts w:eastAsia="Droid Sans Fallback"/>
        </w:rPr>
        <w:fldChar w:fldCharType="end"/>
      </w:r>
      <w:r w:rsidRPr="008608AA">
        <w:rPr>
          <w:rFonts w:eastAsia="Droid Sans Fallback"/>
        </w:rPr>
        <w:t xml:space="preserve"> that adopt planetary stewardship </w:t>
      </w:r>
      <w:r w:rsidRPr="008608AA">
        <w:rPr>
          <w:rFonts w:eastAsia="Droid Sans Fallback"/>
        </w:rPr>
        <w:fldChar w:fldCharType="begin" w:fldLock="1"/>
      </w:r>
      <w:r w:rsidRPr="008608AA">
        <w:rPr>
          <w:rFonts w:eastAsia="Droid Sans Fallback"/>
        </w:rPr>
        <w:instrText>ADDIN CSL_CITATION { "citationItems" : [ { "id" : "ITEM-1", "itemData" : { "DOI" : "10.1007/s13280-012-0353-7", "ISSN" : "0044-7447", "author" : [ { "dropping-particle" : "", "family" : "Seitzinger", "given" : "Sybil P.", "non-dropping-particle" : "", "parse-names" : false, "suffix" : "" }, { "dropping-particle" : "", "family" : "Svedin", "given" : "Uno", "non-dropping-particle" : "", "parse-names" : false, "suffix" : "" }, { "dropping-particle" : "", "family" : "Crumley", "given" : "Carole L.", "non-dropping-particle" : "", "parse-names" : false, "suffix" : "" }, { "dropping-particle" : "", "family" : "Steffen", "given" : "Will", "non-dropping-particle" : "", "parse-names" : false, "suffix" : "" }, { "dropping-particle" : "", "family" : "Abdullah", "given" : "Saiful Arif", "non-dropping-particle" : "", "parse-names" : false, "suffix" : "" }, { "dropping-particle" : "", "family" : "Alfsen", "given" : "Christine", "non-dropping-particle" : "", "parse-names" : false, "suffix" : "" }, { "dropping-particle" : "", "family" : "Broadgate", "given" : "Wendy J.", "non-dropping-particle" : "", "parse-names" : false, "suffix" : "" }, { "dropping-particle" : "", "family" : "Biermann", "given" : "Frank", "non-dropping-particle" : "", "parse-names" : false, "suffix" : "" }, { "dropping-particle" : "", "family" : "Bondre", "given" : "Ninad R.", "non-dropping-particle" : "", "parse-names" : false, "suffix" : "" }, { "dropping-particle" : "", "family" : "Dearing", "given" : "John A.", "non-dropping-particle" : "", "parse-names" : false, "suffix" : "" }, { "dropping-particle" : "", "family" : "Deutsch", "given" : "Lisa", "non-dropping-particle" : "", "parse-names" : false, "suffix" : "" }, { "dropping-particle" : "", "family" : "Dhakal", "given" : "Shobhakar", "non-dropping-particle" : "", "parse-names" : false, "suffix" : "" }, { "dropping-particle" : "", "family" : "Elmqvist", "given" : "Thomas", "non-dropping-particle" : "", "parse-names" : false, "suffix" : "" }, { "dropping-particle" : "", "family" : "Farahbakhshazad", "given" : "Neda", "non-dropping-particle" : "", "parse-names" : false, "suffix" : "" }, { "dropping-particle" : "", "family" : "Gaffney", "given" : "Owen", "non-dropping-particle" : "", "parse-names" : false, "suffix" : "" }, { "dropping-particle" : "", "family" : "Haberl", "given" : "Helmut", "non-dropping-particle" : "", "parse-names" : false, "suffix" : "" }, { "dropping-particle" : "", "family" : "Lavorel", "given" : "Sandra", "non-dropping-particle" : "", "parse-names" : false, "suffix" : "" }, { "dropping-particle" : "", "family" : "Mbow", "given" : "Cheikh", "non-dropping-particle" : "", "parse-names" : false, "suffix" : "" }, { "dropping-particle" : "", "family" : "McMichael", "given" : "Anthony J.", "non-dropping-particle" : "", "parse-names" : false, "suffix" : "" }, { "dropping-particle" : "", "family" : "deMorais", "given" : "Joao M. F.", "non-dropping-particle" : "", "parse-names" : false, "suffix" : "" }, { "dropping-particle" : "", "family" : "Olsson", "given" : "Per", "non-dropping-particle" : "", "parse-names" : false, "suffix" : "" }, { "dropping-particle" : "", "family" : "Pinho", "given" : "Patricia Fernanda", "non-dropping-particle" : "", "parse-names" : false, "suffix" : "" }, { "dropping-particle" : "", "family" : "Seto", "given" : "Karen C.", "non-dropping-particle" : "", "parse-names" : false, "suffix" : "" }, { "dropping-particle" : "", "family" : "Sinclair", "given" : "Paul", "non-dropping-particle" : "", "parse-names" : false, "suffix" : "" }, { "dropping-particle" : "", "family" : "Stafford Smith", "given" : "Mark", "non-dropping-particle" : "", "parse-names" : false, "suffix" : "" }, { "dropping-particle" : "", "family" : "Sugar", "given" : "Lorraine", "non-dropping-particle" : "", "parse-names" : false, "suffix" : "" } ], "container-title" : "AMBIO", "id" : "ITEM-1", "issue" : "8", "issued" : { "date-parts" : [ [ "2012", "12", "18" ] ] }, "page" : "787-794", "publisher" : "Springer Netherlands", "title" : "Planetary Stewardship in an Urbanizing World: Beyond City Limits", "type" : "article-journal", "volume" : "41" }, "uris" : [ "http://www.mendeley.com/documents/?uuid=64ac40db-d973-3bbf-b202-dd0d17b41ff2" ] } ], "mendeley" : { "formattedCitation" : "(Seitzinger et al., 2012)", "plainTextFormattedCitation" : "(Seitzinger et al., 2012)", "previouslyFormattedCitation" : "(Seitzinger et al., 2012)"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(Seitzinger et al., 2012)</w:t>
      </w:r>
      <w:r w:rsidRPr="008608AA">
        <w:rPr>
          <w:rFonts w:eastAsia="Droid Sans Fallback"/>
        </w:rPr>
        <w:fldChar w:fldCharType="end"/>
      </w:r>
      <w:r w:rsidRPr="008608AA">
        <w:rPr>
          <w:rFonts w:eastAsia="Droid Sans Fallback"/>
        </w:rPr>
        <w:t xml:space="preserve"> may well lead the path towards a desirable global future. For example, urban residents tend to have a higher willingness to pay for ecosystem services than non-urban counterparts do. Urban citizens from Italy and the United Kingdom were willing to pay almost $44 to protect 5% of the Brazilian Amazon rain forest and therefore protect an existence value; that is, protect an ecosystem that they may not ever visit or use directly </w:t>
      </w:r>
      <w:r w:rsidRPr="008608AA">
        <w:rPr>
          <w:rFonts w:eastAsia="Droid Sans Fallback"/>
        </w:rPr>
        <w:fldChar w:fldCharType="begin" w:fldLock="1"/>
      </w:r>
      <w:r w:rsidRPr="008608AA">
        <w:rPr>
          <w:rFonts w:eastAsia="Droid Sans Fallback"/>
        </w:rPr>
        <w:instrText>ADDIN CSL_CITATION { "citationItems" : [ { "id" : "ITEM-1", "itemData" : { "DOI" : "10.1016/j.cosust.2013.08.003", "ISBN" : "1877-3435", "ISSN" : "18773435", "abstract" : "That urban and rural places are connected through trade, people, and policies has long been recognized. The urban land teleconnections (ULT) framework aims advancing conventional conceptualizations of urbanization and land. The conceptual framework thus opens way to identify and examine the processes that link urbanization dynamics and associated land changes that are not necessarily colocated. In this paper, we review recent literature on four manifestations of urbanization that, along the lines of the ULT framework, highlight the importance of process-based conceptualizations of urbanization and land along a continuum of land systems. We then discuss potential approaches to improve the knowledge base on how and where urbanization is driving land change. \u00a9 2013 Elsevier B.V.", "author" : [ { "dropping-particle" : "", "family" : "G\u00fcneralp", "given" : "Burak", "non-dropping-particle" : "", "parse-names" : false, "suffix" : "" }, { "dropping-particle" : "", "family" : "Seto", "given" : "Karen C.", "non-dropping-particle" : "", "parse-names" : false, "suffix" : "" }, { "dropping-particle" : "", "family" : "Ramachandran", "given" : "Mahesh", "non-dropping-particle" : "", "parse-names" : false, "suffix" : "" } ], "container-title" : "Current Opinion in Environmental Sustainability", "id" : "ITEM-1", "issue" : "5", "issued" : { "date-parts" : [ [ "2013", "10" ] ] }, "page" : "445-451", "title" : "Evidence of urban land teleconnections and impacts on hinterlands", "type" : "article-journal", "volume" : "5" }, "uris" : [ "http://www.mendeley.com/documents/?uuid=79c3cb04-eebe-383a-927c-3a03d3fee8f6" ] } ], "mendeley" : { "formattedCitation" : "(G\u00fcneralp et al., 2013)", "plainTextFormattedCitation" : "(G\u00fcneralp et al., 2013)", "previouslyFormattedCitation" : "(G\u00fcneralp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(Güneralp et al., 2013)</w:t>
      </w:r>
      <w:r w:rsidRPr="008608AA">
        <w:rPr>
          <w:rFonts w:eastAsia="Droid Sans Fallback"/>
        </w:rPr>
        <w:fldChar w:fldCharType="end"/>
      </w:r>
      <w:r w:rsidRPr="008608AA">
        <w:rPr>
          <w:rFonts w:eastAsia="Droid Sans Fallback"/>
        </w:rPr>
        <w:t xml:space="preserve">. Also, changes in urban consumption patterns can have far-reaching consequences that are less environmentally harmful. One example is the increasing European preference for organic food that has developed a new supply chain of these products in South America </w:t>
      </w:r>
      <w:r w:rsidRPr="008608AA">
        <w:rPr>
          <w:rFonts w:eastAsia="Droid Sans Fallback"/>
        </w:rPr>
        <w:fldChar w:fldCharType="begin" w:fldLock="1"/>
      </w:r>
      <w:r w:rsidRPr="008608AA">
        <w:rPr>
          <w:rFonts w:eastAsia="Droid Sans Fallback"/>
        </w:rPr>
        <w:instrText>ADDIN CSL_CITATION { "citationItems" : [ { "id" : "ITEM-1", "itemData" : { "DOI" : "10.1126/science.aaf7439", "ISSN" : "1095-9203", "PMID" : "27199419", "abstract" : "Global societies are becoming increasingly urban. This shift toward urban living is changing our relationship with food, including how we shop and what we buy, as well as ideas about sanitation and freshness. Achieving food security in an era of rapid urbanization will require considerably more understanding about how urban and food systems are intertwined. Here we discuss some potential understudied linkages that are ripe for further examination.", "author" : [ { "dropping-particle" : "", "family" : "Seto", "given" : "Karen C", "non-dropping-particle" : "", "parse-names" : false, "suffix" : "" }, { "dropping-particle" : "", "family" : "Ramankutty", "given" : "Navin", "non-dropping-particle" : "", "parse-names" : false, "suffix" : "" } ], "container-title" : "Science", "id" : "ITEM-1", "issue" : "6288", "issued" : { "date-parts" : [ [ "2016", "5", "20" ] ] }, "page" : "943-5", "publisher" : "American Association for the Advancement of Science", "title" : "Hidden linkages between urbanization and food systems.", "type" : "article-journal", "volume" : "352" }, "uris" : [ "http://www.mendeley.com/documents/?uuid=d7849115-6fb6-3eb0-ae07-7196898c8677" ] } ], "mendeley" : { "formattedCitation" : "(Karen C Seto &amp; Ramankutty, 2016)", "plainTextFormattedCitation" : "(Karen C Seto &amp; Ramankutty, 2016)", "previouslyFormattedCitation" : "(Karen C Seto &amp; Ramankutty,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(Seto &amp; Ramankutty, 2016)</w:t>
      </w:r>
      <w:r w:rsidRPr="008608AA">
        <w:rPr>
          <w:rFonts w:eastAsia="Droid Sans Fallback"/>
        </w:rPr>
        <w:fldChar w:fldCharType="end"/>
      </w:r>
      <w:r w:rsidRPr="008608AA">
        <w:rPr>
          <w:rFonts w:eastAsia="Droid Sans Fallback"/>
        </w:rPr>
        <w:t xml:space="preserve">. Moreover, urban citizens and organizations have the potential of self- organizing to ensure better decisions.  The next couple of decades offer us the opportunity to showcase how cities can be responsible stewards of biodiversity and ecosystem services at all scales </w:t>
      </w:r>
      <w:r w:rsidRPr="008608AA">
        <w:rPr>
          <w:rFonts w:eastAsia="Droid Sans Fallback"/>
        </w:rPr>
        <w:fldChar w:fldCharType="begin" w:fldLock="1"/>
      </w:r>
      <w:r w:rsidRPr="008608AA">
        <w:rPr>
          <w:rFonts w:eastAsia="Droid Sans Fallback"/>
        </w:rPr>
        <w:instrText>ADDIN CSL_CITATION { "citationItems" : [ { "id" : "ITEM-1", "itemData" : { "DOI" : "10.1007/978-94-007-7088-1_33", "ISBN" : "9789400770881", "ISSN" : "1083-8155", "PMID" : "10493538", "abstract" : "We are entering a new urban era in which the ecology of the planet as a whole is increasingly infl uenced by human activities (Turner et al. 1990 ; Ellis 2011 ; Steffen et al. 2011a , b ; Folke et al. 2011 ). Cities have become a central nexus of the relation- ship between people and nature, both as crucial centres of demand of ecosystem services, and as sources of environmental impacts. Approximately 60 % of the urban land present in 2030 is forecast to be built in the period 2000\u20132030 (Chap. 21 ). Urbanization therefore presents challenges but also opportunities. In the next two to three decades, we have unprecedented chances to vastly improve global sustainability through designing systems for increased resource efficiency, as well as through exploring how cities can be responsible stewards of biodiversity and ecosystem services, both within and beyond city boundaries.", "author" : [ { "dropping-particle" : "", "family" : "Elmqvist", "given" : "Thomas", "non-dropping-particle" : "", "parse-names" : false, "suffix" : "" }, { "dropping-particle" : "", "family" : "Fragkias", "given" : "Michail", "non-dropping-particle" : "", "parse-names" : false, "suffix" : "" }, { "dropping-particle" : "", "family" : "Goodness", "given" : "Julie", "non-dropping-particle" : "", "parse-names" : false, "suffix" : "" }, { "dropping-particle" : "", "family" : "G\u00fcneralp", "given" : "Burak", "non-dropping-particle" : "", "parse-names" : false, "suffix" : "" }, { "dropping-particle" : "", "family" : "Marcotullio", "given" : "Peter J.", "non-dropping-particle" : "", "parse-names" : false, "suffix" : "" }, { "dropping-particle" : "", "family" : "McDonald", "given" : "Robert I.", "non-dropping-particle" : "", "parse-names" : false, "suffix" : "" }, { "dropping-particle" : "", "family" : "Parnell", "given" : "Susan", "non-dropping-particle" : "", "parse-names" : false, "suffix" : "" }, { "dropping-particle" : "", "family" : "Schewenius", "given" : "Maria", "non-dropping-particle" : "", "parse-names" : false, "suffix" : "" }, { "dropping-particle" : "", "family" : "Sendstad", "given" : "Marte", "non-dropping-particle" : "", "parse-names" : false, "suffix" : "" }, { "dropping-particle" : "", "family" : "Seto", "given" : "Karen C.", "non-dropping-particle" : "", "parse-names" : false, "suffix" : "" }, { "dropping-particle" : "", "family" : "Wilkinson", "given" : "Cathy", "non-dropping-particle" : "", "parse-names" : false, "suffix" : "" }, { "dropping-particle" : "", "family" : "Alberti", "given" : "Marina", "non-dropping-particle" : "", "parse-names" : false, "suffix" : "" }, { "dropping-particle" : "", "family" : "Folke", "given" : "Carl", "non-dropping-particle" : "", "parse-names" : false, "suffix" : "" }, { "dropping-particle" : "", "family" : "Frantzeskaki", "given" : "Niki", "non-dropping-particle" : "", "parse-names" : false, "suffix" : "" }, { "dropping-particle" : "", "family" : "Haase", "given" : "Dagmar", "non-dropping-particle" : "", "parse-names" : false, "suffix" : "" }, { "dropping-particle" : "", "family" : "Katti", "given" : "Madhusudan", "non-dropping-particle" : "", "parse-names" : false, "suffix" : "" }, { "dropping-particle" : "", "family" : "Nagendra", "given" : "Harini", "non-dropping-particle" : "", "parse-names" : false, "suffix" : "" }, { "dropping-particle" : "", "family" : "Niemel\u00e4", "given" : "Jari", "non-dropping-particle" : "", "parse-names" : false, "suffix" : "" }, { "dropping-particle" : "", "family" : "Pickett", "given" : "Steward T.A.", "non-dropping-particle" : "", "parse-names" : false, "suffix" : "" }, { "dropping-particle" : "", "family" : "Redman", "given" : "Charles L.", "non-dropping-particle" : "", "parse-names" : false, "suffix" : "" }, { "dropping-particle" : "", "family" : "Tidball", "given" : "Keith", "non-dropping-particle" : "", "parse-names" : false, "suffix" : "" } ], "container-title" : "Urbanization, Biodiversity and Ecosystem Services: Challenges and Opportunities", "id" : "ITEM-1", "issued" : { "date-parts" : [ [ "2013" ] ] }, "page" : "719-746", "publisher" : "Springer Netherlands", "title" : "Stewardship of the biosphere in the urban era", "type" : "chapter" }, "uris" : [ "http://www.mendeley.com/documents/?uuid=5cb100ed-886c-3a1c-b56b-18235b3b38c6" ] } ], "mendeley" : { "formattedCitation" : "(Elmqvist et al., 2013)", "plainTextFormattedCitation" : "(Elmqvist et al., 2013)", "previouslyFormattedCitation" : "(Elmqvist et al.,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(Elmqvist et al., 2013)</w:t>
      </w:r>
      <w:r w:rsidRPr="008608AA">
        <w:rPr>
          <w:rFonts w:eastAsia="Droid Sans Fallback"/>
        </w:rPr>
        <w:fldChar w:fldCharType="end"/>
      </w:r>
      <w:r w:rsidRPr="008608AA">
        <w:rPr>
          <w:rFonts w:eastAsia="Droid Sans Fallback"/>
        </w:rPr>
        <w:t>.</w:t>
      </w:r>
    </w:p>
    <w:p w14:paraId="5A679899" w14:textId="77777777" w:rsidR="00490494" w:rsidRPr="008608AA" w:rsidRDefault="00490494" w:rsidP="00490494">
      <w:pPr>
        <w:keepNext/>
        <w:keepLines/>
        <w:suppressAutoHyphens/>
        <w:spacing w:before="200"/>
        <w:outlineLvl w:val="3"/>
        <w:rPr>
          <w:rFonts w:eastAsia="Droid Sans Fallback"/>
          <w:b/>
          <w:bCs/>
          <w:iCs/>
        </w:rPr>
      </w:pPr>
      <w:bookmarkStart w:id="2201" w:name="_Toc517393423"/>
      <w:bookmarkStart w:id="2202" w:name="_Toc517719164"/>
      <w:bookmarkStart w:id="2203" w:name="_Toc517797121"/>
      <w:r w:rsidRPr="008608AA">
        <w:rPr>
          <w:rFonts w:eastAsia="Droid Sans Fallback"/>
          <w:b/>
          <w:bCs/>
          <w:iCs/>
        </w:rPr>
        <w:t>Case 4: Biomass burn</w:t>
      </w:r>
      <w:bookmarkEnd w:id="2201"/>
      <w:bookmarkEnd w:id="2202"/>
      <w:bookmarkEnd w:id="2203"/>
      <w:r w:rsidRPr="008608AA">
        <w:rPr>
          <w:rFonts w:eastAsia="Droid Sans Fallback"/>
          <w:b/>
          <w:bCs/>
          <w:iCs/>
        </w:rPr>
        <w:t xml:space="preserve"> </w:t>
      </w:r>
    </w:p>
    <w:p w14:paraId="72292E49" w14:textId="77777777" w:rsidR="00506943" w:rsidRPr="008608AA" w:rsidRDefault="00490494" w:rsidP="00EE708F">
      <w:pPr>
        <w:suppressAutoHyphens/>
        <w:rPr>
          <w:rFonts w:eastAsia="Droid Sans Fallback"/>
        </w:rPr>
      </w:pPr>
      <w:r w:rsidRPr="008608AA">
        <w:rPr>
          <w:rFonts w:eastAsia="Droid Sans Fallback"/>
        </w:rPr>
        <w:t xml:space="preserve">Despite the local effect of fire, especially the high frequency of fire events in the tropical ecosystems, in general affecting biodiversity, the process of atmospheric transfer of biomass burning plume takes material and chemicals to further distances. Until 2100, atmospheric deposition of reactive nitrogen shall be the third-largest determinant of biodiversity loss, behind land use and climate changes </w:t>
      </w:r>
      <w:r w:rsidRPr="008608AA">
        <w:rPr>
          <w:rFonts w:eastAsia="Droid Sans Fallback"/>
        </w:rPr>
        <w:fldChar w:fldCharType="begin" w:fldLock="1"/>
      </w:r>
      <w:r w:rsidRPr="008608AA">
        <w:rPr>
          <w:rFonts w:eastAsia="Droid Sans Fallback"/>
        </w:rPr>
        <w:instrText>ADDIN CSL_CITATION { "citationItems" : [ { "id" : "ITEM-1", "itemData" : { "DOI" : "10.1126/science.287.5459.1770", "ISSN" : "00368075", "author" : [ { "dropping-particle" : "", "family" : "Sala", "given" : "O. E.", "non-dropping-particle" : "", "parse-names" : false, "suffix" : "" } ], "container-title" : "Science", "id" : "ITEM-1", "issue" : "5459", "issued" : { "date-parts" : [ [ "2000", "3", "10" ] ] }, "page" : "1770-1774", "title" : "Global Biodiversity Scenarios for the Year 2100&amp;amp;nbsp;", "type" : "article-journal", "volume" : "287" }, "uris" : [ "http://www.mendeley.com/documents/?uuid=6f33024f-25f3-4275-939f-63a8ef698b7e" ] } ], "mendeley" : { "formattedCitation" : "(Sala, 2000)", "plainTextFormattedCitation" : "(Sala, 2000)", "previouslyFormattedCitation" : "(Sala, 2000)"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(Sala, 2000)</w:t>
      </w:r>
      <w:r w:rsidRPr="008608AA">
        <w:rPr>
          <w:rFonts w:eastAsia="Droid Sans Fallback"/>
        </w:rPr>
        <w:fldChar w:fldCharType="end"/>
      </w:r>
      <w:r w:rsidRPr="008608AA">
        <w:rPr>
          <w:rFonts w:eastAsia="Droid Sans Fallback"/>
        </w:rPr>
        <w:t xml:space="preserve">. Plant community composition is tightly related, at larger scale, to nutrient availability, and for several ecosystems low fertility is determinant of community process stability. Therefore, changes in nitrogen input may directly impact ecosystems and constitute a major ecological threat. Among the ecological disruption processes one can highlight, nitrophilous plant species are favored in a high nitrogen input systems resulting in declining species diversity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"Bobbink", "given" : "R.", "non-dropping-particle" : "", "parse-names" : false, "suffix" : "" }, { "dropping-particle" : "", "family" : "Lamers", "given" : "L.P.M .", "non-dropping-particle" : "", "parse-names" : false, "suffix" : "" } ], "container-title" : "Air pollution and plant life", "editor" : [ { "dropping-particle" : "", "family" : "Bell", "given" : "J. N. B.", "non-dropping-particle" : "", "parse-names" : false, "suffix" : "" }, { "dropping-particle" : "", "family" : "Treshow", "given" : "M.", "non-dropping-particle" : "", "parse-names" : false, "suffix" : "" } ], "id" : "ITEM-1", "issued" : { "date-parts" : [ [ "2002" ] ] }, "page" : ". 201-235", "publisher" : "John Wiley &amp; Sons", "publisher-place" : "Chichester", "title" : "Effects of increased nitrogen deposition", "type" : "chapter" }, "uris" : [ "http://www.mendeley.com/documents/?uuid=fe858ded-cb73-4feb-ba20-d0037dd8f726" ] } ], "mendeley" : { "formattedCitation" : "(Bobbink &amp; Lamers, 2002)", "plainTextFormattedCitation" : "(Bobbink &amp; Lamers, 2002)", "previouslyFormattedCitation" : "(Bobbink &amp; Lamers, 2002)"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(Bobbink &amp; Lamers, 2002)</w:t>
      </w:r>
      <w:r w:rsidRPr="008608AA">
        <w:rPr>
          <w:rFonts w:eastAsia="Droid Sans Fallback"/>
        </w:rPr>
        <w:fldChar w:fldCharType="end"/>
      </w:r>
      <w:r w:rsidRPr="008608AA">
        <w:rPr>
          <w:rFonts w:eastAsia="Droid Sans Fallback"/>
        </w:rPr>
        <w:t>; soil acidification, herbivory and susceptibly to drought, can lead to competitive exclusion and biodiversity loss.</w:t>
      </w:r>
    </w:p>
    <w:p w14:paraId="53560018" w14:textId="30E18EBF" w:rsidR="00490494" w:rsidRPr="008608AA" w:rsidRDefault="00490494" w:rsidP="00EE708F">
      <w:pPr>
        <w:suppressAutoHyphens/>
        <w:rPr>
          <w:rFonts w:eastAsia="Droid Sans Fallback"/>
        </w:rPr>
      </w:pPr>
      <w:r w:rsidRPr="008608AA">
        <w:rPr>
          <w:rFonts w:eastAsia="Droid Sans Fallback"/>
        </w:rPr>
        <w:t xml:space="preserve"> </w:t>
      </w:r>
    </w:p>
    <w:p w14:paraId="254E82BF" w14:textId="0C3EAE65" w:rsidR="00490494" w:rsidRPr="008608AA" w:rsidRDefault="00490494" w:rsidP="00EE708F">
      <w:pPr>
        <w:suppressAutoHyphens/>
        <w:rPr>
          <w:rFonts w:eastAsia="Droid Sans Fallback"/>
        </w:rPr>
      </w:pPr>
      <w:r w:rsidRPr="008608AA">
        <w:rPr>
          <w:rFonts w:eastAsia="Droid Sans Fallback"/>
        </w:rPr>
        <w:t xml:space="preserve">Reactive nitrogen input in natural ecosystems, derived from atmospheric deposition is associated with several factors, such as use of fertilizer in agriculture, industrial gaseous waste/fossil fuel combustion and biomass burning. Austin et al. </w:t>
      </w:r>
      <w:r w:rsidRPr="008608AA">
        <w:rPr>
          <w:rFonts w:eastAsia="Droid Sans Fallback"/>
        </w:rPr>
        <w:fldChar w:fldCharType="begin" w:fldLock="1"/>
      </w:r>
      <w:r w:rsidRPr="008608AA">
        <w:rPr>
          <w:rFonts w:eastAsia="Droid Sans Fallback"/>
        </w:rPr>
        <w:instrText>ADDIN CSL_CITATION { "citationItems" : [ { "id" : "ITEM-1", "itemData" : { "DOI" : "10.1126/science.1231679", "ISSN" : "0036-8075", "author" : [ { "dropping-particle" : "", "family" : "Austin", "given" : "A. T.", "non-dropping-particle" : "", "parse-names" : false, "suffix" : "" }, { "dropping-particle" : "", "family" : "Bustamante", "given" : "M. M. C.", "non-dropping-particle" : "", "parse-names" : false, "suffix" : "" }, { "dropping-particle" : "", "family" : "Nardoto", "given" : "G. B.", "non-dropping-particle" : "", "parse-names" : false, "suffix" : "" }, { "dropping-particle" : "", "family" : "Mitre", "given" : "S. K.", "non-dropping-particle" : "", "parse-names" : false, "suffix" : "" }, { "dropping-particle" : "", "family" : "Perez", "given" : "T.", "non-dropping-particle" : "", "parse-names" : false, "suffix" : "" }, { "dropping-particle" : "", "family" : "Ometto", "given" : "J. P. H. B.", "non-dropping-particle" : "", "parse-names" : false, "suffix" : "" }, { "dropping-particle" : "", "family" : "Ascarrunz", "given" : "N. L.", "non-dropping-particle" : "", "parse-names" : false, "suffix" : "" }, { "dropping-particle" : "", "family" : "Forti", "given" : "M. C.", "non-dropping-particle" : "", "parse-names" : false, "suffix" : "" }, { "dropping-particle" : "", "family" : "Longo", "given" : "K.", "non-dropping-particle" : "", "parse-names" : false, "suffix" : "" }, { "dropping-particle" : "", "family" : "Gavito", "given" : "M. E.", "non-dropping-particle" : "", "parse-names" : false, "suffix" : "" }, { "dropping-particle" : "", "family" : "Enrich-Prast", "given" : "A.", "non-dropping-particle" : "", "parse-names" : false, "suffix" : "" }, { "dropping-particle" : "", "family" : "Martinelli", "given" : "L. A.", "non-dropping-particle" : "", "parse-names" : false, "suffix" : "" } ], "container-title" : "Science", "id" : "ITEM-1", "issue" : "6129", "issued" : { "date-parts" : [ [ "2013", "4", "12" ] ] }, "page" : "149-149", "title" : "Latin America's Nitrogen Challenge", "type" : "article-journal", "volume" : "340" }, "suppress-author" : 1, "uris" : [ "http://www.mendeley.com/documents/?uuid=a0c24f6f-b5a2-4c68-8595-77f9644f214d" ] } ], "mendeley" : { "formattedCitation" : "(2013)", "plainTextFormattedCitation" : "(2013)", "previouslyFormattedCitation" : "(2013)"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(2013)</w:t>
      </w:r>
      <w:r w:rsidRPr="008608AA">
        <w:rPr>
          <w:rFonts w:eastAsia="Droid Sans Fallback"/>
        </w:rPr>
        <w:fldChar w:fldCharType="end"/>
      </w:r>
      <w:r w:rsidRPr="008608AA">
        <w:rPr>
          <w:rFonts w:eastAsia="Droid Sans Fallback"/>
        </w:rPr>
        <w:t xml:space="preserve"> discuss the uneven use of nitrogen fertilizers among different countries in the Americas. In South America, especially Brazil, the use of fire is a common management practice in agricultural areas, which very often burns areas of natural vegetation marginal to the production areas. Amazonian fires contribute a flow of smoke following the jet streams associated to the Intertropical Convergence Zone, towards the southern area of the continent, including areas of Bolivia, Paraguay, Northern Argentina and substantial area of Brazil. In regions closer to highly urbanized areas, with strong industrialization, in southeastern Brazil, as well in the Central area of the Country, dominated by Cerrado biome, the nitrogen budget indicates an increase of anthropogenically derived nitrogen atmospheric deposition </w:t>
      </w:r>
      <w:r w:rsidRPr="008608AA">
        <w:rPr>
          <w:rFonts w:eastAsia="Droid Sans Fallback"/>
        </w:rPr>
        <w:fldChar w:fldCharType="begin" w:fldLock="1"/>
      </w:r>
      <w:r w:rsidRPr="008608AA">
        <w:rPr>
          <w:rFonts w:eastAsia="Droid Sans Fallback"/>
        </w:rPr>
        <w:instrText>ADDIN CSL_CITATION { "citationItems" : [ { "id" : "ITEM-1", "itemData" : { "DOI" : "10.1016/S1352-2310(01)00198-4", "ISSN" : "13522310", "author" : [ { "dropping-particle" : "", "family" : "Lara", "given" : "L.B.L.S", "non-dropping-particle" : "", "parse-names" : false, "suffix" : "" }, { "dropping-particle" : "", "family" : "Artaxo", "given" : "P", "non-dropping-particle" : "", "parse-names" : false, "suffix" : "" }, { "dropping-particle" : "", "family" : "Martinelli", "given" : "L.A", "non-dropping-particle" : "", "parse-names" : false, "suffix" : "" }, { "dropping-particle" : "", "family" : "Victoria", "given" : "R.L", "non-dropping-particle" : "", "parse-names" : false, "suffix" : "" }, { "dropping-particle" : "", "family" : "Camargo", "given" : "P.B", "non-dropping-particle" : "", "parse-names" : false, "suffix" : "" }, { "dropping-particle" : "", "family" : "Krusche", "given" : "A", "non-dropping-particle" : "", "parse-names" : false, "suffix" : "" }, { "dropping-particle" : "", "family" : "Ayers", "given" : "G.P", "non-dropping-particle" : "", "parse-names" : false, "suffix" : "" }, { "dropping-particle" : "", "family" : "Ferraz", "given" : "E.S.B", "non-dropping-particle" : "", "parse-names" : false, "suffix" : "" }, { "dropping-particle" : "", "family" : "Ballester", "given" : "M.V", "non-dropping-particle" : "", "parse-names" : false, "suffix" : "" } ], "container-title" : "Atmospheric Environment", "id" : "ITEM-1", "issue" : "29", "issued" : { "date-parts" : [ [ "2001", "10" ] ] }, "page" : "4937-4945", "title" : "Chemical composition of rainwater and anthropogenic influences in the Piracicaba River Basin, Southeast Brazil", "type" : "article-journal", "volume" : "35" }, "uris" : [ "http://www.mendeley.com/documents/?uuid=2defab84-aba2-4bd3-8b7c-7c3559a583b0" ] }, { "id" : "ITEM-2", "itemData" : { "DOI" : "10.1007/978-1-4020-5517-1_4", "author" : [ { "dropping-particle" : "", "family" : "Filoso", "given" : "Solange", "non-dropping-particle" : "", "parse-names" : false, "suffix" : "" }, { "dropping-particle" : "", "family" : "Martinelli", "given" : "Luiz Antonio", "non-dropping-particle" : "", "parse-names" : false, "suffix" : "" }, { "dropping-particle" : "", "family" : "Howarth", "given" : "Robert W.", "non-dropping-particle" : "", "parse-names" : false, "suffix" : "" }, { "dropping-particle" : "", "family" : "Boyer", "given" : "Elizabeth W.", "non-dropping-particle" : "", "parse-names" : false, "suffix" : "" }, { "dropping-particle" : "", "family" : "Dentener", "given" : "Frank", "non-dropping-particle" : "", "parse-names" : false, "suffix" : "" } ], "container-title" : "Nitrogen Cycling in the Americas: Natural and Anthropogenic Influences and Controls", "editor" : [ { "dropping-particle" : "", "family" : "Martinelli", "given" : "L.A.", "non-dropping-particle" : "", "parse-names" : false, "suffix" : "" }, { "dropping-particle" : "", "family" : "Howarth", "given" : "R.W.", "non-dropping-particle" : "", "parse-names" : false, "suffix" : "" } ], "id" : "ITEM-2", "issued" : { "date-parts" : [ [ "2006" ] ] }, "page" : "61-89", "publisher" : "Springer Netherlands", "publisher-place" : "Dordrecht", "title" : "Human activities changing the nitrogen cycle in Brazil", "type" : "chapter" }, "uris" : [ "http://www.mendeley.com/documents/?uuid=ea4ecea5-40ce-4e3e-b4e8-0ad6ee6c1213" ] } ], "mendeley" : { "formattedCitation" : "(Filoso, Martinelli, Howarth, Boyer, &amp; Dentener, 2006; Lara et al., 2001)", "plainTextFormattedCitation" : "(Filoso, Martinelli, Howarth, Boyer, &amp; Dentener, 2006; Lara et al., 2001)", "previouslyFormattedCitation" : "(Filoso, Martinelli, Howarth, Boyer, &amp; Dentener, 2006; Lara et al., 2001)"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(Filoso</w:t>
      </w:r>
      <w:r w:rsidRPr="008608AA">
        <w:rPr>
          <w:rFonts w:eastAsia="Droid Sans Fallback"/>
          <w:noProof/>
        </w:rPr>
        <w:t xml:space="preserve"> et al., 2006; Lara et al., 2001)</w:t>
      </w:r>
      <w:r w:rsidRPr="008608AA">
        <w:rPr>
          <w:rFonts w:eastAsia="Droid Sans Fallback"/>
        </w:rPr>
        <w:fldChar w:fldCharType="end"/>
      </w:r>
      <w:r w:rsidRPr="008608AA">
        <w:rPr>
          <w:rFonts w:eastAsia="Droid Sans Fallback"/>
        </w:rPr>
        <w:t>.</w:t>
      </w:r>
    </w:p>
    <w:p w14:paraId="5DC385C4" w14:textId="77777777" w:rsidR="00506943" w:rsidRPr="008608AA" w:rsidRDefault="00506943" w:rsidP="00EE708F">
      <w:pPr>
        <w:suppressAutoHyphens/>
        <w:rPr>
          <w:rFonts w:eastAsia="Droid Sans Fallback"/>
        </w:rPr>
      </w:pPr>
    </w:p>
    <w:p w14:paraId="4FFA8DB0" w14:textId="1471CD7E" w:rsidR="00490494" w:rsidRPr="008608AA" w:rsidRDefault="00490494" w:rsidP="00EE708F">
      <w:pPr>
        <w:suppressAutoHyphens/>
        <w:rPr>
          <w:rFonts w:eastAsia="Droid Sans Fallback"/>
        </w:rPr>
      </w:pPr>
      <w:r w:rsidRPr="008608AA">
        <w:rPr>
          <w:rFonts w:eastAsia="Droid Sans Fallback"/>
        </w:rPr>
        <w:t xml:space="preserve">Nitrogen deposition might affect biodiversity in priority areas for conservation in developing countries, especially in tropical and subtropical regions of the Americas. Despite the fact that the surface covered by hotspots for biodiversity conservation in these areas (2.1% of Earth’s land surface), they host circa of 50% of the world’s vascular plant diversity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"Mittermeier", "given" : "C.", "non-dropping-particle" : "", "parse-names" : false, "suffix" : "" }, { "dropping-particle" : "", "family" : "Lamoreux", "given" : "J.", "non-dropping-particle" : "", "parse-names" : false, "suffix" : "" }, { "dropping-particle" : "", "family" : "Fonseca", "given" : "G.A.B", "non-dropping-particle" : "", "parse-names" : false, "suffix" : "" } ], "id" : "ITEM-1", "issued" : { "date-parts" : [ [ "2005" ] ] }, "publisher-place" : "Washington D.C.", "title" : "Hotspots Revisited: Earth's Biologically Richest and Most Endangered Terrestrial Ecoregions", "type" : "report" }, "uris" : [ "http://www.mendeley.com/documents/?uuid=e8d7b8c2-e3b9-40fd-a02b-b0627a500c5b" ] }, { "id" : "ITEM-2", "itemData" : { "DOI" : "10.1111/j.1365-2486.2006.01104.x", "ISSN" : "1354-1013", "author" : [ { "dropping-particle" : "", "family" : "PHOENIX", "given" : "GARETH K.", "non-dropping-particle" : "", "parse-names" : false, "suffix" : "" }, { "dropping-particle" : "", "family" : "HICKS", "given" : "W. KEVIN", "non-dropping-particle" : "", "parse-names" : false, "suffix" : "" }, { "dropping-particle" : "", "family" : "CINDERBY", "given" : "STEVE", "non-dropping-particle" : "", "parse-names" : false, "suffix" : "" }, { "dropping-particle" : "", "family" : "KUYLENSTIERNA", "given" : "JOHAN C. I.", "non-dropping-particle" : "", "parse-names" : false, "suffix" : "" }, { "dropping-particle" : "", "family" : "STOCK", "given" : "WILLIAM D.", "non-dropping-particle" : "", "parse-names" : false, "suffix" : "" }, { "dropping-particle" : "", "family" : "DENTENER", "given" : "FRANK J.", "non-dropping-particle" : "", "parse-names" : false, "suffix" : "" }, { "dropping-particle" : "", "family" : "GILLER", "given" : "KEN E.", "non-dropping-particle" : "", "parse-names" : false, "suffix" : "" }, { "dropping-particle" : "", "family" : "AUSTIN", "given" : "AMY T.", "non-dropping-particle" : "", "parse-names" : false, "suffix" : "" }, { "dropping-particle" : "", "family" : "LEFROY", "given" : "ROD D. B.", "non-dropping-particle" : "", "parse-names" : false, "suffix" : "" }, { "dropping-particle" : "", "family" : "GIMENO", "given" : "BEN S.", "non-dropping-particle" : "", "parse-names" : false, "suffix" : "" }, { "dropping-particle" : "", "family" : "ASHMORE", "given" : "MIKE R.", "non-dropping-particle" : "", "parse-names" : false, "suffix" : "" }, { "dropping-particle" : "", "family" : "INESON", "given" : "PHILIP", "non-dropping-particle" : "", "parse-names" : false, "suffix" : "" } ], "container-title" : "Global Change Biology", "id" : "ITEM-2", "issue" : "3", "issued" : { "date-parts" : [ [ "2006", "3" ] ] }, "page" : "470-476", "title" : "Atmospheric nitrogen deposition in world biodiversity hotspots: the need for a greater global perspective in assessing N deposition impacts", "type" : "article-journal", "volume" : "12" }, "uris" : [ "http://www.mendeley.com/documents/?uuid=ff4f887d-756f-4ccd-8d40-1c90309a5664" ] } ], "mendeley" : { "formattedCitation" : "(Mittermeier, Lamoreux, &amp; Fonseca, 2005; PHOENIX et al., 2006)", "plainTextFormattedCitation" : "(Mittermeier, Lamoreux, &amp; Fonseca, 2005; PHOENIX et al., 2006)", "previouslyFormattedCitation" : "(Mittermeier, Lamoreux, &amp; Fonseca, 2005; PHOENIX et al., 2006)"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(Mi</w:t>
      </w:r>
      <w:r w:rsidR="002C171D" w:rsidRPr="008608AA">
        <w:rPr>
          <w:rFonts w:eastAsia="Droid Sans Fallback"/>
          <w:noProof/>
        </w:rPr>
        <w:t>ttermeier</w:t>
      </w:r>
      <w:r w:rsidRPr="008608AA">
        <w:rPr>
          <w:rFonts w:eastAsia="Droid Sans Fallback"/>
          <w:noProof/>
        </w:rPr>
        <w:t xml:space="preserve"> et al., 2005; PHOENIX et al., 2006)</w:t>
      </w:r>
      <w:r w:rsidRPr="008608AA">
        <w:rPr>
          <w:rFonts w:eastAsia="Droid Sans Fallback"/>
        </w:rPr>
        <w:fldChar w:fldCharType="end"/>
      </w:r>
      <w:r w:rsidRPr="008608AA">
        <w:rPr>
          <w:rFonts w:eastAsia="Droid Sans Fallback"/>
        </w:rPr>
        <w:t>. Deposition rates for reactive nitrogen deposition, modeled for 2050, indicate values exceeding 15KgN ha</w:t>
      </w:r>
      <w:r w:rsidRPr="008608AA">
        <w:rPr>
          <w:rFonts w:eastAsia="Droid Sans Fallback"/>
          <w:vertAlign w:val="superscript"/>
        </w:rPr>
        <w:t>-1</w:t>
      </w:r>
      <w:r w:rsidRPr="008608AA">
        <w:rPr>
          <w:rFonts w:eastAsia="Droid Sans Fallback"/>
        </w:rPr>
        <w:t xml:space="preserve"> y</w:t>
      </w:r>
      <w:r w:rsidRPr="008608AA">
        <w:rPr>
          <w:rFonts w:eastAsia="Droid Sans Fallback"/>
          <w:vertAlign w:val="superscript"/>
        </w:rPr>
        <w:t>-1</w:t>
      </w:r>
      <w:r w:rsidRPr="008608AA">
        <w:rPr>
          <w:rFonts w:eastAsia="Droid Sans Fallback"/>
        </w:rPr>
        <w:t xml:space="preserve"> in areas of South America that are hot spots for endemic plants, as the tropical Andes and the Atlantic Forest in Brazil. Another aspect to highlight refers to the relation of nutrient availability (nitrogen and phosphorus) and carbon cycling, affecting the prediction of productivity responses of tropical ecosystems to climate changes </w:t>
      </w:r>
      <w:r w:rsidRPr="008608AA">
        <w:rPr>
          <w:rFonts w:eastAsia="Droid Sans Fallback"/>
        </w:rPr>
        <w:fldChar w:fldCharType="begin" w:fldLock="1"/>
      </w:r>
      <w:r w:rsidRPr="008608AA">
        <w:rPr>
          <w:rFonts w:eastAsia="Droid Sans Fallback"/>
        </w:rPr>
        <w:instrText>ADDIN CSL_CITATION { "citationItems" : [ { "id" : "ITEM-1", "itemData" : { "DOI" : "10.3390/su3112307", "ISSN" : "2071-1050", "author" : [ { "dropping-particle" : "", "family" : "Cleveland", "given" : "Cutler J.", "non-dropping-particle" : "", "parse-names" : false, "suffix" : "" }, { "dropping-particle" : "", "family" : "O\u2019Connor", "given" : "Peter A.", "non-dropping-particle" : "", "parse-names" : false, "suffix" : "" } ], "container-title" : "Sustainability", "id" : "ITEM-1", "issue" : "12", "issued" : { "date-parts" : [ [ "2011", "11", "22" ] ] }, "page" : "2307-2322", "title" : "Energy Return on Investment (EROI) of Oil Shale", "type" : "article-journal", "volume" : "3" }, "uris" : [ "http://www.mendeley.com/documents/?uuid=77a0c91c-2adc-47a0-b888-1982d0bbfd88" ] } ], "mendeley" : { "formattedCitation" : "(Cleveland &amp; O\u2019Connor, 2011)", "plainTextFormattedCitation" : "(Cleveland &amp; O\u2019Connor, 2011)", "previouslyFormattedCitation" : "(Cleveland &amp; O\u2019Connor, 2011)"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(Cleveland &amp; O’Connor, 2011)</w:t>
      </w:r>
      <w:r w:rsidRPr="008608AA">
        <w:rPr>
          <w:rFonts w:eastAsia="Droid Sans Fallback"/>
        </w:rPr>
        <w:fldChar w:fldCharType="end"/>
      </w:r>
      <w:r w:rsidRPr="008608AA">
        <w:rPr>
          <w:rFonts w:eastAsia="Droid Sans Fallback"/>
        </w:rPr>
        <w:t>.</w:t>
      </w:r>
    </w:p>
    <w:p w14:paraId="52A487F2" w14:textId="77777777" w:rsidR="00506943" w:rsidRPr="008608AA" w:rsidRDefault="00506943" w:rsidP="00EE708F">
      <w:pPr>
        <w:suppressAutoHyphens/>
        <w:rPr>
          <w:rFonts w:eastAsia="Droid Sans Fallback"/>
        </w:rPr>
      </w:pPr>
    </w:p>
    <w:p w14:paraId="5A1A6A88" w14:textId="4A4AD4D4" w:rsidR="00490494" w:rsidRPr="008608AA" w:rsidRDefault="00490494" w:rsidP="00EE708F">
      <w:pPr>
        <w:suppressAutoHyphens/>
        <w:rPr>
          <w:rFonts w:eastAsia="Droid Sans Fallback"/>
        </w:rPr>
      </w:pPr>
      <w:r w:rsidRPr="008608AA">
        <w:rPr>
          <w:rFonts w:eastAsia="Droid Sans Fallback"/>
        </w:rPr>
        <w:t xml:space="preserve">Biomass burning in Southern and Eastern Brazilian Amazon, Central Brazil and Western Bolivia (www.inpe.br/queimadas) feed the atmosphere with a broad distribution of chemical compounds, including nitrogen oxides and organic substances; long-range transport of reactive nitrogen compounds are observed by smoke plume rise and transport modeling </w:t>
      </w:r>
      <w:r w:rsidRPr="008608AA">
        <w:rPr>
          <w:rFonts w:eastAsia="Droid Sans Fallback"/>
        </w:rPr>
        <w:fldChar w:fldCharType="begin" w:fldLock="1"/>
      </w:r>
      <w:r w:rsidRPr="008608AA">
        <w:rPr>
          <w:rFonts w:eastAsia="Droid Sans Fallback"/>
        </w:rPr>
        <w:instrText>ADDIN CSL_CITATION { "citationItems" : [ { "id" : "ITEM-1", "itemData" : { "DOI" : "10.1029/2008GM000717", "ISBN" : "9781118670347", "author" : [ { "dropping-particle" : "", "family" : "Longo", "given" : "K M", "non-dropping-particle" : "", "parse-names" : false, "suffix" : "" }, { "dropping-particle" : "", "family" : "Freitas", "given" : "S R", "non-dropping-particle" : "", "parse-names" : false, "suffix" : "" }, { "dropping-particle" : "", "family" : "Andreae", "given" : "M O", "non-dropping-particle" : "", "parse-names" : false, "suffix" : "" }, { "dropping-particle" : "", "family" : "Yokelson", "given" : "R", "non-dropping-particle" : "", "parse-names" : false, "suffix" : "" }, { "dropping-particle" : "", "family" : "Artaxo", "given" : "Pedro", "non-dropping-particle" : "", "parse-names" : false, "suffix" : "" } ], "container-title" : "Amazonia and Global Change", "editor" : [ { "dropping-particle" : "", "family" : "Keller", "given" : "Michael", "non-dropping-particle" : "", "parse-names" : false, "suffix" : "" }, { "dropping-particle" : "", "family" : "Bustamante", "given" : "Michael", "non-dropping-particle" : "", "parse-names" : false, "suffix" : "" }, { "dropping-particle" : "", "family" : "Gash", "given" : "John", "non-dropping-particle" : "", "parse-names" : false, "suffix" : "" }, { "dropping-particle" : "", "family" : "Silva Dias", "given" : "Pedro", "non-dropping-particle" : "", "parse-names" : false, "suffix" : "" } ], "id" : "ITEM-1", "issued" : { "date-parts" : [ [ "2009" ] ] }, "page" : "207-232", "publisher" : "American Geophysical Union", "title" : "Biomass Burning in Amazonia: Emissions, Long-Range Transport of Smoke and Its Regional and Remote Impacts", "type" : "chapter" }, "uris" : [ "http://www.mendeley.com/documents/?uuid=776f4fdf-7131-497b-8e58-c6bfa29dff34" ] } ], "mendeley" : { "formattedCitation" : "(Longo, Freitas, Andreae, Yokelson, &amp; Artaxo, 2009)", "plainTextFormattedCitation" : "(Longo, Freitas, Andreae, Yokelson, &amp; Artaxo, 2009)", "previouslyFormattedCitation" : "(Longo, Freitas, Andreae, Yokelson, &amp; Artaxo, 2009)"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(Longo</w:t>
      </w:r>
      <w:r w:rsidRPr="008608AA">
        <w:rPr>
          <w:rFonts w:eastAsia="Droid Sans Fallback"/>
          <w:noProof/>
        </w:rPr>
        <w:t xml:space="preserve"> et al., 2009)</w:t>
      </w:r>
      <w:r w:rsidRPr="008608AA">
        <w:rPr>
          <w:rFonts w:eastAsia="Droid Sans Fallback"/>
        </w:rPr>
        <w:fldChar w:fldCharType="end"/>
      </w:r>
      <w:r w:rsidRPr="008608AA">
        <w:rPr>
          <w:rFonts w:eastAsia="Droid Sans Fallback"/>
        </w:rPr>
        <w:t xml:space="preserve">. This transport takes the chemical compounds to the Southern portion of Brazil, Uruguay and Northern Argentina </w:t>
      </w:r>
      <w:r w:rsidRPr="008608AA">
        <w:rPr>
          <w:rFonts w:eastAsia="Droid Sans Fallback"/>
        </w:rPr>
        <w:fldChar w:fldCharType="begin" w:fldLock="1"/>
      </w:r>
      <w:r w:rsidRPr="008608AA">
        <w:rPr>
          <w:rFonts w:eastAsia="Droid Sans Fallback"/>
        </w:rPr>
        <w:instrText>ADDIN CSL_CITATION { "citationItems" : [ { "id" : "ITEM-1", "itemData" : { "DOI" : "10.1016/S1352-2310(03)00007-4", "ISSN" : "13522310", "author" : [ { "dropping-particle" : "", "family" : "Zunckel", "given" : "M", "non-dropping-particle" : "", "parse-names" : false, "suffix" : "" }, { "dropping-particle" : "", "family" : "Saizar", "given" : "C", "non-dropping-particle" : "", "parse-names" : false, "suffix" : "" }, { "dropping-particle" : "", "family" : "Zarauz", "given" : "J", "non-dropping-particle" : "", "parse-names" : false, "suffix" : "" } ], "container-title" : "Atmospheric Environment", "id" : "ITEM-1", "issue" : "12", "issued" : { "date-parts" : [ [ "2003", "4" ] ] }, "page" : "1601-1611", "title" : "Rainwater composition in northeast Uruguay", "type" : "article-journal", "volume" : "37" }, "uris" : [ "http://www.mendeley.com/documents/?uuid=f357d689-57e1-4148-9889-67cf9519d9f5" ] } ], "mendeley" : { "formattedCitation" : "(Zunckel, Saizar, &amp; Zarauz, 2003)", "plainTextFormattedCitation" : "(Zunckel, Saizar, &amp; Zarauz, 2003)", "previouslyFormattedCitation" : "(Zunckel, Saizar, &amp; Zarauz, 2003)"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(Zunckel</w:t>
      </w:r>
      <w:r w:rsidRPr="008608AA">
        <w:rPr>
          <w:rFonts w:eastAsia="Droid Sans Fallback"/>
          <w:noProof/>
        </w:rPr>
        <w:t xml:space="preserve"> et al., 2003)</w:t>
      </w:r>
      <w:r w:rsidRPr="008608AA">
        <w:rPr>
          <w:rFonts w:eastAsia="Droid Sans Fallback"/>
        </w:rPr>
        <w:fldChar w:fldCharType="end"/>
      </w:r>
      <w:r w:rsidRPr="008608AA">
        <w:rPr>
          <w:rFonts w:eastAsia="Droid Sans Fallback"/>
        </w:rPr>
        <w:t xml:space="preserve">. The photochemical reaction in the atmosphere my lead to the production of ozone, in lower altitudes, by the high nitrogen oxide presence. Ozone in lower atmosphere is phytotoxic, impacting plant communities, but also human health </w:t>
      </w:r>
      <w:r w:rsidRPr="008608AA">
        <w:rPr>
          <w:rFonts w:eastAsia="Droid Sans Fallback"/>
        </w:rPr>
        <w:fldChar w:fldCharType="begin" w:fldLock="1"/>
      </w:r>
      <w:r w:rsidRPr="008608AA">
        <w:rPr>
          <w:rFonts w:eastAsia="Droid Sans Fallback"/>
        </w:rPr>
        <w:instrText>ADDIN CSL_CITATION { "citationItems" : [ { "id" : "ITEM-1", "itemData" : { "DOI" : "10.5194/acp-8-4529-2008", "ISSN" : "1680-7324", "author" : [ { "dropping-particle" : "", "family" : "Butler", "given" : "T. M.", "non-dropping-particle" : "", "parse-names" : false, "suffix" : "" }, { "dropping-particle" : "", "family" : "Taraborrelli", "given" : "D.", "non-dropping-particle" : "", "parse-names" : false, "suffix" : "" }, { "dropping-particle" : "", "family" : "Br\u00fchl", "given" : "C.", "non-dropping-particle" : "", "parse-names" : false, "suffix" : "" }, { "dropping-particle" : "", "family" : "Fischer", "given" : "H.", "non-dropping-particle" : "", "parse-names" : false, "suffix" : "" }, { "dropping-particle" : "", "family" : "Harder", "given" : "H.", "non-dropping-particle" : "", "parse-names" : false, "suffix" : "" }, { "dropping-particle" : "", "family" : "Martinez", "given" : "M.", "non-dropping-particle" : "", "parse-names" : false, "suffix" : "" }, { "dropping-particle" : "", "family" : "Williams", "given" : "J.", "non-dropping-particle" : "", "parse-names" : false, "suffix" : "" }, { "dropping-particle" : "", "family" : "Lawrence", "given" : "M. G.", "non-dropping-particle" : "", "parse-names" : false, "suffix" : "" }, { "dropping-particle" : "", "family" : "Lelieveld", "given" : "J.", "non-dropping-particle" : "", "parse-names" : false, "suffix" : "" } ], "container-title" : "Atmospheric Chemistry and Physics", "id" : "ITEM-1", "issue" : "16", "issued" : { "date-parts" : [ [ "2008", "8", "5" ] ] }, "page" : "4529-4546", "title" : "Improved simulation of isoprene oxidation chemistry with the ECHAM5/MESSy chemistry-climate model: lessons from the GABRIEL airborne field campaign", "type" : "article-journal", "volume" : "8" }, "uris" : [ "http://www.mendeley.com/documents/?uuid=9e281b87-20af-4223-840b-2a68f092893b" ] }, { "id" : "ITEM-2", "itemData" : { "DOI" : "10.1029/2008GM000847", "ISBN" : "9781118670347", "author" : [ { "dropping-particle" : "", "family" : "Artaxo", "given" : "Paulo", "non-dropping-particle" : "", "parse-names" : false, "suffix" : "" }, { "dropping-particle" : "V", "family" : "Rizzo", "given" : "Luciana", "non-dropping-particle" : "", "parse-names" : false, "suffix" : "" }, { "dropping-particle" : "", "family" : "Paix\u00e3o", "given" : "Melina", "non-dropping-particle" : "", "parse-names" : false, "suffix" : "" }, { "dropping-particle" : "", "family" : "Lucca", "given" : "Silvia", "non-dropping-particle" : "De", "parse-names" : false, "suffix" : "" }, { "dropping-particle" : "", "family" : "Oliveira", "given" : "Paulo H", "non-dropping-particle" : "", "parse-names" : false, "suffix" : "" }, { "dropping-particle" : "", "family" : "Lara", "given" : "Luciene L", "non-dropping-particle" : "", "parse-names" : false, "suffix" : "" }, { "dropping-particle" : "", "family" : "Wiedemann", "given" : "Kenia T", "non-dropping-particle" : "", "parse-names" : false, "suffix" : "" }, { "dropping-particle" : "", "family" : "Andreae", "given" : "Meinrat O", "non-dropping-particle" : "", "parse-names" : false, "suffix" : "" }, { "dropping-particle" : "", "family" : "Holben", "given" : "Brent", "non-dropping-particle" : "", "parse-names" : false, "suffix" : "" }, { "dropping-particle" : "", "family" : "Schafer", "given" : "Joel", "non-dropping-particle" : "", "parse-names" : false, "suffix" : "" }, { "dropping-particle" : "", "family" : "Correia", "given" : "Alexandre L", "non-dropping-particle" : "", "parse-names" : false, "suffix" : "" }, { "dropping-particle" : "", "family" : "Pauliquevis", "given" : "Theot\u00f4Nio M", "non-dropping-particle" : "", "parse-names" : false, "suffix" : "" } ], "container-title" : "Amazonia and Global Change", "editor" : [ { "dropping-particle" : "", "family" : "Keller", "given" : "Michael", "non-dropping-particle" : "", "parse-names" : false, "suffix" : "" }, { "dropping-particle" : "", "family" : "Bustamante", "given" : "Michael", "non-dropping-particle" : "", "parse-names" : false, "suffix" : "" }, { "dropping-particle" : "", "family" : "Gash", "given" : "John", "non-dropping-particle" : "", "parse-names" : false, "suffix" : "" }, { "dropping-particle" : "", "family" : "Silva Dias", "given" : "Pedro", "non-dropping-particle" : "", "parse-names" : false, "suffix" : "" } ], "id" : "ITEM-2", "issued" : { "date-parts" : [ [ "2009" ] ] }, "page" : "233-250", "publisher" : "American Geophysical Union", "title" : "Aerosol Particles in Amazonia: Their Composition, Role in the Radiation Balance, Cloud Formation, and Nutrient Cycles", "type" : "chapter" }, "uris" : [ "http://www.mendeley.com/documents/?uuid=b71aa123-b1fd-4848-802c-1054761bd633" ] } ], "mendeley" : { "formattedCitation" : "(Artaxo et al., 2009; Butler et al., 2008)", "plainTextFormattedCitation" : "(Artaxo et al., 2009; Butler et al., 2008)", "previouslyFormattedCitation" : "(Artaxo et al., 2009; Butler et al., 2008)"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(Artaxo et al., 2009; Butler et al., 2008)</w:t>
      </w:r>
      <w:r w:rsidRPr="008608AA">
        <w:rPr>
          <w:rFonts w:eastAsia="Droid Sans Fallback"/>
        </w:rPr>
        <w:fldChar w:fldCharType="end"/>
      </w:r>
      <w:r w:rsidRPr="008608AA">
        <w:rPr>
          <w:rFonts w:eastAsia="Droid Sans Fallback"/>
        </w:rPr>
        <w:t>.</w:t>
      </w:r>
    </w:p>
    <w:p w14:paraId="5CE21748" w14:textId="77777777" w:rsidR="00EE708F" w:rsidRPr="008608AA" w:rsidRDefault="00EE708F" w:rsidP="00EE708F">
      <w:pPr>
        <w:suppressAutoHyphens/>
        <w:rPr>
          <w:rFonts w:eastAsia="Droid Sans Fallback"/>
        </w:rPr>
      </w:pPr>
    </w:p>
    <w:p w14:paraId="4275DC31" w14:textId="77777777" w:rsidR="00490494" w:rsidRPr="008608AA" w:rsidRDefault="00490494" w:rsidP="00EE708F">
      <w:pPr>
        <w:pStyle w:val="Heading3"/>
        <w:rPr>
          <w:rFonts w:eastAsia="Droid Sans Fallback"/>
        </w:rPr>
      </w:pPr>
      <w:bookmarkStart w:id="2204" w:name="_Toc499256902"/>
      <w:bookmarkStart w:id="2205" w:name="_Toc502953649"/>
      <w:bookmarkStart w:id="2206" w:name="_Toc502954942"/>
      <w:bookmarkStart w:id="2207" w:name="_Toc502957749"/>
      <w:bookmarkStart w:id="2208" w:name="_Toc502957948"/>
      <w:bookmarkStart w:id="2209" w:name="_Toc502958102"/>
      <w:bookmarkStart w:id="2210" w:name="_Toc503293171"/>
      <w:bookmarkStart w:id="2211" w:name="_Toc503293769"/>
      <w:bookmarkStart w:id="2212" w:name="_Toc503294031"/>
      <w:bookmarkStart w:id="2213" w:name="_Toc503863424"/>
      <w:bookmarkStart w:id="2214" w:name="_Toc503863652"/>
      <w:bookmarkStart w:id="2215" w:name="_Toc517393424"/>
      <w:bookmarkStart w:id="2216" w:name="_Toc517719165"/>
      <w:bookmarkStart w:id="2217" w:name="_Toc517797122"/>
      <w:r w:rsidRPr="008608AA">
        <w:rPr>
          <w:rFonts w:eastAsia="Droid Sans Fallback"/>
        </w:rPr>
        <w:t>Recognition and inclusion of multiple values</w:t>
      </w:r>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r w:rsidRPr="008608AA">
        <w:rPr>
          <w:rFonts w:eastAsia="Droid Sans Fallback"/>
        </w:rPr>
        <w:t xml:space="preserve"> </w:t>
      </w:r>
    </w:p>
    <w:p w14:paraId="451F095D" w14:textId="77777777" w:rsidR="00506943" w:rsidRPr="008608AA" w:rsidRDefault="00490494" w:rsidP="00EE708F">
      <w:pPr>
        <w:suppressAutoHyphens/>
        <w:rPr>
          <w:rFonts w:eastAsia="Droid Sans Fallback"/>
        </w:rPr>
      </w:pPr>
      <w:r w:rsidRPr="008608AA">
        <w:rPr>
          <w:rFonts w:eastAsia="Droid Sans Fallback"/>
        </w:rPr>
        <w:t xml:space="preserve">Models and scenarios are powerful tools to assist in the identification of policy and management options. The arena for the design and implementation of these options is characterized by a diversity of values of nature and its contributions to people’s good quality of life, associated with different cultural and institutional contexts. Stakeholders’ values of nature and NCP conflict in most contexts of the Americas, affecting the way sustainability is conceived and policy and management decisions are made </w:t>
      </w:r>
      <w:r w:rsidRPr="008608AA">
        <w:rPr>
          <w:rFonts w:eastAsia="Droid Sans Fallback"/>
        </w:rPr>
        <w:fldChar w:fldCharType="begin" w:fldLock="1"/>
      </w:r>
      <w:r w:rsidRPr="008608AA">
        <w:rPr>
          <w:rFonts w:eastAsia="Droid Sans Fallback"/>
        </w:rPr>
        <w:instrText>ADDIN CSL_CITATION { "citationItems" : [ { "id" : "ITEM-1", "itemData" : { "DOI" : "10.1016/j.cosust.2016.12.006", "ISBN" : "8415683111", "ISSN" : "18773435", "PMID" : "25811845", "abstract" : "Nature is perceived and valued in starkly different and often conflicting ways. This paper presents the rationale for the inclusive valuation of nature's contributions to people (NCP) in decision making, as well as broad methodological steps for doing so. While developed within the context of the Intergovernmental Platform on Biodiversity and Ecosystem Services (IPBES), this approach is more widely applicable to initiatives at the knowledge\u2013policy interface, which require a pluralistic approach to recognizing the diversity of values. We argue that transformative practices aiming at sustainable futures would benefit from embracing such diversity, which require recognizing and addressing power relationships across stakeholder groups that hold different values on human nature-relations and NCP.", "author" : [ { "dropping-particle" : "", "family" : "Pascual", "given" : "Unai", "non-dropping-particle" : "", "parse-names" : false, "suffix" : "" }, { "dropping-particle" : "", "family" : "Balvanera", "given" : "Patricia", "non-dropping-particle" : "", "parse-names" : false, "suffix" : "" }, { "dropping-particle" : "", "family" : "D\u00edaz", "given" : "Sandra", "non-dropping-particle" : "", "parse-names" : false, "suffix" : "" }, { "dropping-particle" : "", "family" : "Pataki", "given" : "Gy\u00f6rgy", "non-dropping-particle" : "", "parse-names" : false, "suffix" : "" }, { "dropping-particle" : "", "family" : "Roth", "given" : "Eva", "non-dropping-particle" : "", "parse-names" : false, "suffix" : "" }, { "dropping-particle" : "", "family" : "Stenseke", "given" : "Marie", "non-dropping-particle" : "", "parse-names" : false, "suffix" : "" }, { "dropping-particle" : "", "family" : "Watson", "given" : "Robert T.", "non-dropping-particle" : "", "parse-names" : false, "suffix" : "" }, { "dropping-particle" : "", "family" : "Ba\u015fak Dessane", "given" : "Esra", "non-dropping-particle" : "", "parse-names" : false, "suffix" : "" }, { "dropping-particle" : "", "family" : "Islar", "given" : "Mine", "non-dropping-particle" : "", "parse-names" : false, "suffix" : "" }, { "dropping-particle" : "", "family" : "Kelemen", "given" : "Eszter", "non-dropping-particle" : "", "parse-names" : false, "suffix" : "" }, { "dropping-particle" : "", "family" : "Maris", "given" : "Virginie", "non-dropping-particle" : "", "parse-names" : false, "suffix" : "" }, { "dropping-particle" : "", "family" : "Quaas", "given" : "Martin", "non-dropping-particle" : "", "parse-names" : false, "suffix" : "" }, { "dropping-particle" : "", "family" : "Subramanian", "given" : "Suneetha M.", "non-dropping-particle" : "", "parse-names" : false, "suffix" : "" }, { "dropping-particle" : "", "family" : "Wittmer", "given" : "Heidi", "non-dropping-particle" : "", "parse-names" : false, "suffix" : "" }, { "dropping-particle" : "", "family" : "Adlan", "given" : "Asia", "non-dropping-particle" : "", "parse-names" : false, "suffix" : "" }, { "dropping-particle" : "", "family" : "Ahn", "given" : "So Eun", "non-dropping-particle" : "", "parse-names" : false, "suffix" : "" }, { "dropping-particle" : "", "family" : "Al-Hafedh", "given" : "Yousef S.", "non-dropping-particle" : "", "parse-names" : false, "suffix" : "" }, { "dropping-particle" : "", "family" : "Amankwah", "given" : "Edward", "non-dropping-particle" : "", "parse-names" : false, "suffix" : "" }, { "dropping-particle" : "", "family" : "Asah", "given" : "Stanley T.", "non-dropping-particle" : "", "parse-names" : false, "suffix" : "" }, { "dropping-particle" : "", "family" : "Berry", "given" : "Pam", "non-dropping-particle" : "", "parse-names" : false, "suffix" : "" }, { "dropping-particle" : "", "family" : "Bilgin", "given" : "Adem", "non-dropping-particle" : "", "parse-names" : false, "suffix" : "" }, { "dropping-particle" : "", "family" : "Breslow", "given" : "Sara J.", "non-dropping-particle" : "", "parse-names" : false, "suffix" : "" }, { "dropping-particle" : "", "family" : "Bullock", "given" : "Craig", "non-dropping-particle" : "", "parse-names" : false, "suffix" : "" }, { "dropping-particle" : "", "family" : "C\u00e1ceres", "given" : "Daniel", "non-dropping-particle" : "", "parse-names" : false, "suffix" : "" }, { "dropping-particle" : "", "family" : "Daly-Hassen", "given" : "Hamed", "non-dropping-particle" : "", "parse-names" : false, "suffix" : "" }, { "dropping-particle" : "", "family" : "Figueroa", "given" : "Eugenio", "non-dropping-particle" : "", "parse-names" : false, "suffix" : "" }, { "dropping-particle" : "", "family" : "Golden", "given" : "Christopher D.", "non-dropping-particle" : "", "parse-names" : false, "suffix" : "" }, { "dropping-particle" : "", "family" : "G\u00f3mez-Baggethun", "given" : "Erik", "non-dropping-particle" : "", "parse-names" : false, "suffix" : "" }, { "dropping-particle" : "", "family" : "Gonz\u00e1lez-Jim\u00e9nez", "given" : "David", "non-dropping-particle" : "", "parse-names" : false, "suffix" : "" }, { "dropping-particle" : "", "family" : "Houdet", "given" : "Jo\u00ebl", "non-dropping-particle" : "", "parse-names" : false, "suffix" : "" }, { "dropping-particle" : "", "family" : "Keune", "given" : "Hans", "non-dropping-particle" : "", "parse-names" : false, "suffix" : "" }, { "dropping-particle" : "", "family" : "Kumar", "given" : "Ritesh", "non-dropping-particle" : "", "parse-names" : false, "suffix" : "" }, { "dropping-particle" : "", "family" : "Ma", "given" : "Keping", "non-dropping-particle" : "", "parse-names" : false, "suffix" : "" }, { "dropping-particle" : "", "family" : "May", "given" : "Peter H.", "non-dropping-particle" : "", "parse-names" : false, "suffix" : "" }, { "dropping-particle" : "", "family" : "Mead", "given" : "Aroha", "non-dropping-particle" : "", "parse-names" : false, "suffix" : "" }, { "dropping-particle" : "", "family" : "O'Farrell", "given" : "Patrick", "non-dropping-particle" : "", "parse-names" : false, "suffix" : "" }, { "dropping-particle" : "", "family" : "Pandit", "given" : "Ram", "non-dropping-particle" : "", "parse-names" : false, "suffix" : "" }, { "dropping-particle" : "", "family" : "Pengue", "given" : "Walter", "non-dropping-particle" : "", "parse-names" : false, "suffix" : "" }, { "dropping-particle" : "", "family" : "Pichis-Madruga", "given" : "Ram\u00f3n", "non-dropping-particle" : "", "parse-names" : false, "suffix" : "" }, { "dropping-particle" : "", "family" : "Popa", "given" : "Florin", "non-dropping-particle" : "", "parse-names" : false, "suffix" : "" }, { "dropping-particle" : "", "family" : "Preston", "given" : "Susan", "non-dropping-particle" : "", "parse-names" : false, "suffix" : "" }, { "dropping-particle" : "", "family" : "Pacheco-Balanza", "given" : "Diego", "non-dropping-particle" : "", "parse-names" : false, "suffix" : "" }, { "dropping-particle" : "", "family" : "Saarikoski", "given" : "Heli", "non-dropping-particle" : "", "parse-names" : false, "suffix" : "" }, { "dropping-particle" : "", "family" : "Strassburg", "given" : "Bernardo B.", "non-dropping-particle" : "", "parse-names" : false, "suffix" : "" }, { "dropping-particle" : "", "family" : "Belt", "given" : "Marjan", "non-dropping-particle" : "van den", "parse-names" : false, "suffix" : "" }, { "dropping-particle" : "", "family" : "Verma", "given" : "Madhu", "non-dropping-particle" : "", "parse-names" : false, "suffix" : "" }, { "dropping-particle" : "", "family" : "Wickson", "given" : "Fern", "non-dropping-particle" : "", "parse-names" : false, "suffix" : "" }, { "dropping-particle" : "", "family" : "Yagi", "given" : "Noboyuki", "non-dropping-particle" : "", "parse-names" : false, "suffix" : "" } ], "container-title" : "Current Opinion in Environmental Sustainability", "id" : "ITEM-1", "issued" : { "date-parts" : [ [ "2017" ] ] }, "title" : "Valuing nature's contributions to people: the IPBES approach", "type" : "article" }, "uris" : [ "http://www.mendeley.com/documents/?uuid=36ca9d74-5f1f-3a29-af7f-b2ecda21857a" ] } ], "mendeley" : { "formattedCitation" : "(U. Pascual, Balvanera, et al., 2017)", "plainTextFormattedCitation" : "(U. Pascual, Balvanera, et al., 2017)", "previouslyFormattedCitation" : "(U. Pascual, Balvanera, et al., 2017)"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(Pascual</w:t>
      </w:r>
      <w:r w:rsidRPr="008608AA">
        <w:rPr>
          <w:rFonts w:eastAsia="Droid Sans Fallback"/>
          <w:noProof/>
        </w:rPr>
        <w:t xml:space="preserve">  et al., 2017)</w:t>
      </w:r>
      <w:r w:rsidRPr="008608AA">
        <w:rPr>
          <w:rFonts w:eastAsia="Droid Sans Fallback"/>
        </w:rPr>
        <w:fldChar w:fldCharType="end"/>
      </w:r>
      <w:r w:rsidRPr="008608AA">
        <w:rPr>
          <w:rFonts w:eastAsia="Droid Sans Fallback"/>
        </w:rPr>
        <w:t xml:space="preserve">. Thus, the full range of values should be considered when building models and scenarios if they are to assist in the development of effective, legitimate, adaptive and equitable options towards sustainability. Value conflicts arise because stakeholders hold different identities and beliefs of their relationship with nature, which produces different and sometimes contrasting preferences over NCP and ways to manage these </w:t>
      </w:r>
      <w:r w:rsidRPr="008608AA">
        <w:rPr>
          <w:rFonts w:eastAsia="Droid Sans Fallback"/>
        </w:rPr>
        <w:fldChar w:fldCharType="begin" w:fldLock="1"/>
      </w:r>
      <w:r w:rsidRPr="008608AA">
        <w:rPr>
          <w:rFonts w:eastAsia="Droid Sans Fallback"/>
        </w:rPr>
        <w:instrText>ADDIN CSL_CITATION { "citationItems" : [ { "id" : "ITEM-1", "itemData" : { "DOI" : "10.5751/ES-07186-200120", "ISSN" : "1708-3087", "abstract" : "Agricultural intensification in rural areas of developing countries compromises the provision of ecosystem services. Social conflict arises among landholders with different preferences for ecosystem services and land-use practices in agricultural frontiers of the Argentine Dry Chaco. We explored policy and management options by assessing the actual and potential outcomes of alternative land-use systems and scenarios. We first constructed the efficiency frontier for avian habitat and agricultural productivity to analyze the combinations of ecosystem services that can be achieved under different land-use intensities. A nonlinear, concave efficiency frontier indicated opportunities to achieve large gains for production with small losses for conservation, for instance, by transitioning from low-to intermediate-intensity systems. Second, we projected production and conservation outcomes, which can be achieved through the implementation of five alternative policy options. The land sharing with conservation scenario, 70% of the landscape covered by intermediate-intensity systems and 30% by undisturbed forests, yielded the higher combination of avian habitat and agricultural productivity. Third, we constructed indifference curves of three landholder groups, i.e., preproductivist, multifunctional, and productivist, by assessing their intentions (proxies for preferences) to conserve and convert remnant forests in their landholdings. Multifunctional landholders showed balanced preferences for conserving and converting forests in their landholdings, and maintaining intermediate-intensity systems. A general willingness to conserve forests coexisted in preproductivist landholders with the intention to clear some portions of the landholding and intensify landuse, indicating the potential of an endogenously motivated transition toward a multifunctional regime. Such transition may increase their productivity by 35-65% without compromising avian habitat. Productivist landholders showed a strong inclination toward converting forests for pasture cultivation, despite the observation that they can increase their conservation outcomes by 30-50% without significantly reducing productivity by transitioning toward a multifunctional regime. Promoting this transition will require exogenous incentives and regulations tailored to the behavior of this landholder group.", "author" : [ { "dropping-particle" : "", "family" : "Mastrangelo", "given" : "Matias E.", "non-dropping-particle" : "", "parse-names" : false, "suffix" : "" }, { "dropping-particle" : "", "family" : "Laterra", "given" : "Pedro", "non-dropping-particle" : "", "parse-names" : false, "suffix" : "" } ], "container-title" : "Ecology and Society", "id" : "ITEM-1", "issue" : "1", "issued" : { "date-parts" : [ [ "2015" ] ] }, "page" : "art20", "title" : "From biophysical to social-ecological trade-offs: integrating biodiversity conservation and agricultural production in the Argentine Dry Chaco", "type" : "article-journal", "volume" : "20" }, "uris" : [ "http://www.mendeley.com/documents/?uuid=cb6a3a2c-4c27-49cf-b202-b5fd2061a955" ] } ], "mendeley" : { "formattedCitation" : "(Mastrangelo &amp; Laterra, 2015)", "plainTextFormattedCitation" : "(Mastrangelo &amp; Laterra, 2015)", "previouslyFormattedCitation" : "(Mastrangelo &amp; Laterra,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(Mastrangelo &amp; Laterra, 2015)</w:t>
      </w:r>
      <w:r w:rsidRPr="008608AA">
        <w:rPr>
          <w:rFonts w:eastAsia="Droid Sans Fallback"/>
        </w:rPr>
        <w:fldChar w:fldCharType="end"/>
      </w:r>
      <w:r w:rsidRPr="008608AA">
        <w:rPr>
          <w:rFonts w:eastAsia="Droid Sans Fallback"/>
        </w:rPr>
        <w:t xml:space="preserve">. Most of the literature on value conflicts tends to emphasize the dichotomy between instrumental (i.e. values of living entities as means to achieve human ends, or satisfy human preferences) vs. intrinsic (i.e. values inherent to nature, independent of human judgement) dimensions of nature </w:t>
      </w:r>
      <w:r w:rsidRPr="008608AA">
        <w:rPr>
          <w:rFonts w:eastAsia="Droid Sans Fallback"/>
        </w:rPr>
        <w:fldChar w:fldCharType="begin" w:fldLock="1"/>
      </w:r>
      <w:r w:rsidRPr="008608AA">
        <w:rPr>
          <w:rFonts w:eastAsia="Droid Sans Fallback"/>
        </w:rPr>
        <w:instrText>ADDIN CSL_CITATION { "citationItems" : [ { "id" : "ITEM-1", "itemData" : { "DOI" : "10.1016/j.cosust.2016.12.006", "ISBN" : "8415683111", "ISSN" : "18773435", "PMID" : "25811845", "abstract" : "Nature is perceived and valued in starkly different and often conflicting ways. This paper presents the rationale for the inclusive valuation of nature's contributions to people (NCP) in decision making, as well as broad methodological steps for doing so. While developed within the context of the Intergovernmental Platform on Biodiversity and Ecosystem Services (IPBES), this approach is more widely applicable to initiatives at the knowledge\u2013policy interface, which require a pluralistic approach to recognizing the diversity of values. We argue that transformative practices aiming at sustainable futures would benefit from embracing such diversity, which require recognizing and addressing power relationships across stakeholder groups that hold different values on human nature-relations and NCP.", "author" : [ { "dropping-particle" : "", "family" : "Pascual", "given" : "Unai", "non-dropping-particle" : "", "parse-names" : false, "suffix" : "" }, { "dropping-particle" : "", "family" : "Balvanera", "given" : "Patricia", "non-dropping-particle" : "", "parse-names" : false, "suffix" : "" }, { "dropping-particle" : "", "family" : "D\u00edaz", "given" : "Sandra", "non-dropping-particle" : "", "parse-names" : false, "suffix" : "" }, { "dropping-particle" : "", "family" : "Pataki", "given" : "Gy\u00f6rgy", "non-dropping-particle" : "", "parse-names" : false, "suffix" : "" }, { "dropping-particle" : "", "family" : "Roth", "given" : "Eva", "non-dropping-particle" : "", "parse-names" : false, "suffix" : "" }, { "dropping-particle" : "", "family" : "Stenseke", "given" : "Marie", "non-dropping-particle" : "", "parse-names" : false, "suffix" : "" }, { "dropping-particle" : "", "family" : "Watson", "given" : "Robert T.", "non-dropping-particle" : "", "parse-names" : false, "suffix" : "" }, { "dropping-particle" : "", "family" : "Ba\u015fak Dessane", "given" : "Esra", "non-dropping-particle" : "", "parse-names" : false, "suffix" : "" }, { "dropping-particle" : "", "family" : "Islar", "given" : "Mine", "non-dropping-particle" : "", "parse-names" : false, "suffix" : "" }, { "dropping-particle" : "", "family" : "Kelemen", "given" : "Eszter", "non-dropping-particle" : "", "parse-names" : false, "suffix" : "" }, { "dropping-particle" : "", "family" : "Maris", "given" : "Virginie", "non-dropping-particle" : "", "parse-names" : false, "suffix" : "" }, { "dropping-particle" : "", "family" : "Quaas", "given" : "Martin", "non-dropping-particle" : "", "parse-names" : false, "suffix" : "" }, { "dropping-particle" : "", "family" : "Subramanian", "given" : "Suneetha M.", "non-dropping-particle" : "", "parse-names" : false, "suffix" : "" }, { "dropping-particle" : "", "family" : "Wittmer", "given" : "Heidi", "non-dropping-particle" : "", "parse-names" : false, "suffix" : "" }, { "dropping-particle" : "", "family" : "Adlan", "given" : "Asia", "non-dropping-particle" : "", "parse-names" : false, "suffix" : "" }, { "dropping-particle" : "", "family" : "Ahn", "given" : "So Eun", "non-dropping-particle" : "", "parse-names" : false, "suffix" : "" }, { "dropping-particle" : "", "family" : "Al-Hafedh", "given" : "Yousef S.", "non-dropping-particle" : "", "parse-names" : false, "suffix" : "" }, { "dropping-particle" : "", "family" : "Amankwah", "given" : "Edward", "non-dropping-particle" : "", "parse-names" : false, "suffix" : "" }, { "dropping-particle" : "", "family" : "Asah", "given" : "Stanley T.", "non-dropping-particle" : "", "parse-names" : false, "suffix" : "" }, { "dropping-particle" : "", "family" : "Berry", "given" : "Pam", "non-dropping-particle" : "", "parse-names" : false, "suffix" : "" }, { "dropping-particle" : "", "family" : "Bilgin", "given" : "Adem", "non-dropping-particle" : "", "parse-names" : false, "suffix" : "" }, { "dropping-particle" : "", "family" : "Breslow", "given" : "Sara J.", "non-dropping-particle" : "", "parse-names" : false, "suffix" : "" }, { "dropping-particle" : "", "family" : "Bullock", "given" : "Craig", "non-dropping-particle" : "", "parse-names" : false, "suffix" : "" }, { "dropping-particle" : "", "family" : "C\u00e1ceres", "given" : "Daniel", "non-dropping-particle" : "", "parse-names" : false, "suffix" : "" }, { "dropping-particle" : "", "family" : "Daly-Hassen", "given" : "Hamed", "non-dropping-particle" : "", "parse-names" : false, "suffix" : "" }, { "dropping-particle" : "", "family" : "Figueroa", "given" : "Eugenio", "non-dropping-particle" : "", "parse-names" : false, "suffix" : "" }, { "dropping-particle" : "", "family" : "Golden", "given" : "Christopher D.", "non-dropping-particle" : "", "parse-names" : false, "suffix" : "" }, { "dropping-particle" : "", "family" : "G\u00f3mez-Baggethun", "given" : "Erik", "non-dropping-particle" : "", "parse-names" : false, "suffix" : "" }, { "dropping-particle" : "", "family" : "Gonz\u00e1lez-Jim\u00e9nez", "given" : "David", "non-dropping-particle" : "", "parse-names" : false, "suffix" : "" }, { "dropping-particle" : "", "family" : "Houdet", "given" : "Jo\u00ebl", "non-dropping-particle" : "", "parse-names" : false, "suffix" : "" }, { "dropping-particle" : "", "family" : "Keune", "given" : "Hans", "non-dropping-particle" : "", "parse-names" : false, "suffix" : "" }, { "dropping-particle" : "", "family" : "Kumar", "given" : "Ritesh", "non-dropping-particle" : "", "parse-names" : false, "suffix" : "" }, { "dropping-particle" : "", "family" : "Ma", "given" : "Keping", "non-dropping-particle" : "", "parse-names" : false, "suffix" : "" }, { "dropping-particle" : "", "family" : "May", "given" : "Peter H.", "non-dropping-particle" : "", "parse-names" : false, "suffix" : "" }, { "dropping-particle" : "", "family" : "Mead", "given" : "Aroha", "non-dropping-particle" : "", "parse-names" : false, "suffix" : "" }, { "dropping-particle" : "", "family" : "O'Farrell", "given" : "Patrick", "non-dropping-particle" : "", "parse-names" : false, "suffix" : "" }, { "dropping-particle" : "", "family" : "Pandit", "given" : "Ram", "non-dropping-particle" : "", "parse-names" : false, "suffix" : "" }, { "dropping-particle" : "", "family" : "Pengue", "given" : "Walter", "non-dropping-particle" : "", "parse-names" : false, "suffix" : "" }, { "dropping-particle" : "", "family" : "Pichis-Madruga", "given" : "Ram\u00f3n", "non-dropping-particle" : "", "parse-names" : false, "suffix" : "" }, { "dropping-particle" : "", "family" : "Popa", "given" : "Florin", "non-dropping-particle" : "", "parse-names" : false, "suffix" : "" }, { "dropping-particle" : "", "family" : "Preston", "given" : "Susan", "non-dropping-particle" : "", "parse-names" : false, "suffix" : "" }, { "dropping-particle" : "", "family" : "Pacheco-Balanza", "given" : "Diego", "non-dropping-particle" : "", "parse-names" : false, "suffix" : "" }, { "dropping-particle" : "", "family" : "Saarikoski", "given" : "Heli", "non-dropping-particle" : "", "parse-names" : false, "suffix" : "" }, { "dropping-particle" : "", "family" : "Strassburg", "given" : "Bernardo B.", "non-dropping-particle" : "", "parse-names" : false, "suffix" : "" }, { "dropping-particle" : "", "family" : "Belt", "given" : "Marjan", "non-dropping-particle" : "van den", "parse-names" : false, "suffix" : "" }, { "dropping-particle" : "", "family" : "Verma", "given" : "Madhu", "non-dropping-particle" : "", "parse-names" : false, "suffix" : "" }, { "dropping-particle" : "", "family" : "Wickson", "given" : "Fern", "non-dropping-particle" : "", "parse-names" : false, "suffix" : "" }, { "dropping-particle" : "", "family" : "Yagi", "given" : "Noboyuki", "non-dropping-particle" : "", "parse-names" : false, "suffix" : "" } ], "container-title" : "Current Opinion in Environmental Sustainability", "id" : "ITEM-1", "issued" : { "date-parts" : [ [ "2017" ] ] }, "title" : "Valuing nature's contributions to people: the IPBES approach", "type" : "article" }, "uris" : [ "http://www.mendeley.com/documents/?uuid=36ca9d74-5f1f-3a29-af7f-b2ecda21857a" ] } ], "mendeley" : { "formattedCitation" : "(U. Pascual, Balvanera, et al., 2017)", "plainTextFormattedCitation" : "(U. Pascual, Balvanera, et al., 2017)", "previouslyFormattedCitation" : "(U. Pascual, Balvanera, et al., 2017)"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(Pascual  et al., 2017)</w:t>
      </w:r>
      <w:r w:rsidRPr="008608AA">
        <w:rPr>
          <w:rFonts w:eastAsia="Droid Sans Fallback"/>
        </w:rPr>
        <w:fldChar w:fldCharType="end"/>
      </w:r>
      <w:r w:rsidRPr="008608AA">
        <w:rPr>
          <w:rFonts w:eastAsia="Droid Sans Fallback"/>
        </w:rPr>
        <w:t>.</w:t>
      </w:r>
    </w:p>
    <w:p w14:paraId="3E8D1626" w14:textId="52B70974" w:rsidR="00490494" w:rsidRPr="008608AA" w:rsidRDefault="00490494" w:rsidP="00EE708F">
      <w:pPr>
        <w:suppressAutoHyphens/>
        <w:rPr>
          <w:rFonts w:eastAsia="Droid Sans Fallback"/>
        </w:rPr>
      </w:pPr>
      <w:r w:rsidRPr="008608AA">
        <w:rPr>
          <w:rFonts w:eastAsia="Droid Sans Fallback"/>
        </w:rPr>
        <w:t xml:space="preserve"> </w:t>
      </w:r>
    </w:p>
    <w:p w14:paraId="45977B2F" w14:textId="53815A31" w:rsidR="00490494" w:rsidRPr="008608AA" w:rsidRDefault="00490494" w:rsidP="00EE708F">
      <w:pPr>
        <w:suppressAutoHyphens/>
        <w:rPr>
          <w:rFonts w:eastAsia="Droid Sans Fallback"/>
        </w:rPr>
      </w:pPr>
      <w:r w:rsidRPr="008608AA">
        <w:rPr>
          <w:rFonts w:eastAsia="Droid Sans Fallback"/>
        </w:rPr>
        <w:t xml:space="preserve">A pluralistic approach to the diversity of values underpinning nature–human relationships also recognizes that NCP can embody symbolic relationships with natural entities that define “relational values”, i.e. values that do not directly emanate from nature but are derivative of our relationships with it and our responsibilities towards it </w:t>
      </w:r>
      <w:r w:rsidRPr="008608AA">
        <w:rPr>
          <w:rFonts w:eastAsia="Droid Sans Fallback"/>
        </w:rPr>
        <w:fldChar w:fldCharType="begin" w:fldLock="1"/>
      </w:r>
      <w:r w:rsidRPr="008608AA">
        <w:rPr>
          <w:rFonts w:eastAsia="Droid Sans Fallback"/>
        </w:rPr>
        <w:instrText>ADDIN CSL_CITATION { "citationItems" : [ { "id" : "ITEM-1", "itemData" : { "DOI" : "10.1073/pnas.1525002113", "ISBN" : "1091-6490 (Electronic)\\r0027-8424 (Linking)", "ISSN" : "0027-8424", "PMID" : "26862158", "abstract" : "A cornerstone of environmental policy is the debate over protecting nature for humans\u2019 sake (instrumental values) or for nature\u2019s (intrinsic values) (1). We propose that focusing only on instrumental or intrinsic values may fail to resonate with views on personal and col- lective well-being, or \u201cwhat is right,\u201d with regard to nature and the environment. Without complementary attention to other ways that value is expressed and realized by people, such a focus may inadvertently promote worldviews at odds with fair and desirable futures. It is time to engage seriously with a third class of values, one with diverse roots and current expres- sions: relational values. By doing so, we reframe the discussion about environmental protection, and open the door to new, potentially more productive policy approaches.", "author" : [ { "dropping-particle" : "", "family" : "Chan", "given" : "Kai M. A.", "non-dropping-particle" : "", "parse-names" : false, "suffix" : "" }, { "dropping-particle" : "", "family" : "Balvanera", "given" : "Patricia", "non-dropping-particle" : "", "parse-names" : false, "suffix" : "" }, { "dropping-particle" : "", "family" : "Benessaiah", "given" : "Karina", "non-dropping-particle" : "", "parse-names" : false, "suffix" : "" }, { "dropping-particle" : "", "family" : "Chapman", "given" : "Mollie", "non-dropping-particle" : "", "parse-names" : false, "suffix" : "" }, { "dropping-particle" : "", "family" : "D\u00edaz", "given" : "Sandra", "non-dropping-particle" : "", "parse-names" : false, "suffix" : "" }, { "dropping-particle" : "", "family" : "G\u00f3mez-Baggethun", "given" : "Erik", "non-dropping-particle" : "", "parse-names" : false, "suffix" : "" }, { "dropping-particle" : "", "family" : "Gould", "given" : "Rachelle", "non-dropping-particle" : "", "parse-names" : false, "suffix" : "" }, { "dropping-particle" : "", "family" : "Hannahs", "given" : "Neil", "non-dropping-particle" : "", "parse-names" : false, "suffix" : "" }, { "dropping-particle" : "", "family" : "Jax", "given" : "Kurt", "non-dropping-particle" : "", "parse-names" : false, "suffix" : "" }, { "dropping-particle" : "", "family" : "Klain", "given" : "Sarah", "non-dropping-particle" : "", "parse-names" : false, "suffix" : "" }, { "dropping-particle" : "", "family" : "Luck", "given" : "Gary W.", "non-dropping-particle" : "", "parse-names" : false, "suffix" : "" }, { "dropping-particle" : "", "family" : "Mart\u00edn-L\u00f3pez", "given" : "Berta", "non-dropping-particle" : "", "parse-names" : false, "suffix" : "" }, { "dropping-particle" : "", "family" : "Muraca", "given" : "Barbara", "non-dropping-particle" : "", "parse-names" : false, "suffix" : "" }, { "dropping-particle" : "", "family" : "Norton", "given" : "Bryan", "non-dropping-particle" : "", "parse-names" : false, "suffix" : "" }, { "dropping-particle" : "", "family" : "Ott", "given" : "Konrad", "non-dropping-particle" : "", "parse-names" : false, "suffix" : "" }, { "dropping-particle" : "", "family" : "Pascual", "given" : "Unai", "non-dropping-particle" : "", "parse-names" : false, "suffix" : "" }, { "dropping-particle" : "", "family" : "Satterfield", "given" : "Terre", "non-dropping-particle" : "", "parse-names" : false, "suffix" : "" }, { "dropping-particle" : "", "family" : "Tadaki", "given" : "Marc", "non-dropping-particle" : "", "parse-names" : false, "suffix" : "" }, { "dropping-particle" : "", "family" : "Taggart", "given" : "Jonathan", "non-dropping-particle" : "", "parse-names" : false, "suffix" : "" }, { "dropping-particle" : "", "family" : "Turner", "given" : "Nancy", "non-dropping-particle" : "", "parse-names" : false, "suffix" : "" } ], "container-title" : "Proceedings of the National Academy of Sciences", "id" : "ITEM-1", "issued" : { "date-parts" : [ [ "2016" ] ] }, "title" : "Opinion: Why protect nature? Rethinking values and the environment", "type" : "article-journal" }, "uris" : [ "http://www.mendeley.com/documents/?uuid=418f71a9-3e2c-38dc-b764-21dbe103d82a" ] } ], "mendeley" : { "formattedCitation" : "(Chan et al., 2016)", "plainTextFormattedCitation" : "(Chan et al., 2016)", "previouslyFormattedCitation" : "(Chan et al., 2016)"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(Chan et al., 2016)</w:t>
      </w:r>
      <w:r w:rsidRPr="008608AA">
        <w:rPr>
          <w:rFonts w:eastAsia="Droid Sans Fallback"/>
        </w:rPr>
        <w:fldChar w:fldCharType="end"/>
      </w:r>
      <w:r w:rsidRPr="008608AA">
        <w:rPr>
          <w:rFonts w:eastAsia="Droid Sans Fallback"/>
        </w:rPr>
        <w:t xml:space="preserve">. Capturing this diversity of values in models and scenarios requires an integrated valuation approach. However, most valuation efforts to date have relied on unidimensional valuation approaches, by which, either economic, ecological or socio-cultural values are elicited separately. Ecological or biophysical values have been the most frequently incorporated in models and scenarios, with ecological values of multiple NCP being used in protocols for assessing and mapping NCP at regional scales such as InVEST </w:t>
      </w:r>
      <w:r w:rsidRPr="008608AA">
        <w:rPr>
          <w:rFonts w:eastAsia="Droid Sans Fallback"/>
        </w:rPr>
        <w:fldChar w:fldCharType="begin" w:fldLock="1"/>
      </w:r>
      <w:r w:rsidRPr="008608AA">
        <w:rPr>
          <w:rFonts w:eastAsia="Droid Sans Fallback"/>
        </w:rPr>
        <w:instrText>ADDIN CSL_CITATION { "citationItems" : [ { "id" : "ITEM-1", "itemData" : { "DOI" : "10.1890/080023", "ISBN" : "1540-9295", "ISSN" : "15409295", "abstract" : "Nature provides a wide range of benefits to people. There is increasing consensus about the importance of incorporating these \"ecosystem services\" into resource management decisions, but quantifying the levels and values of these services has proven difficult. We use a spatially explicit modeling tool, Integrated Valuation of Ecosystem Services and Tradeoffs (InVEST), to predict changes in ecosystem services, biodiversity conservation, and commodity production levels. We apply InVEST to stakeholder-defined scenarios of land-use/land-cover change in the Willamette Basin, Oregon. We found that scenarios that received high scores for a variety of ecosystem services also had high scores for biodiversity, suggesting there is little tradeoff between biodiversity conservation and ecosystem services. Scenarios involving more development had higher commodity production values, but lower levels of biodiversity conservation and ecosystem services. However, including payments for carbon sequestration alleviates this tradeoff. Quantifying ecosystem services in a spatially explicit manner, and analyzing tradeoffs between them, can help to make natural resource decisions more effective, efficient, and defensible.", "author" : [ { "dropping-particle" : "", "family" : "Nelson", "given" : "Erik", "non-dropping-particle" : "", "parse-names" : false, "suffix" : "" }, { "dropping-particle" : "", "family" : "Mendoza", "given" : "Guillermo", "non-dropping-particle" : "", "parse-names" : false, "suffix" : "" }, { "dropping-particle" : "", "family" : "Regetz", "given" : "James", "non-dropping-particle" : "", "parse-names" : false, "suffix" : "" }, { "dropping-particle" : "", "family" : "Polasky", "given" : "Stephen", "non-dropping-particle" : "", "parse-names" : false, "suffix" : "" }, { "dropping-particle" : "", "family" : "Tallis", "given" : "Heather", "non-dropping-particle" : "", "parse-names" : false, "suffix" : "" }, { "dropping-particle" : "", "family" : "Cameron", "given" : "D. Richard", "non-dropping-particle" : "", "parse-names" : false, "suffix" : "" }, { "dropping-particle" : "", "family" : "Chan", "given" : "Kai M a", "non-dropping-particle" : "", "parse-names" : false, "suffix" : "" }, { "dropping-particle" : "", "family" : "Daily", "given" : "Gretchen C.", "non-dropping-particle" : "", "parse-names" : false, "suffix" : "" }, { "dropping-particle" : "", "family" : "Goldstein", "given" : "Joshua", "non-dropping-particle" : "", "parse-names" : false, "suffix" : "" }, { "dropping-particle" : "", "family" : "Kareiva", "given" : "Peter M.", "non-dropping-particle" : "", "parse-names" : false, "suffix" : "" }, { "dropping-particle" : "", "family" : "Lonsdorf", "given" : "Eric", "non-dropping-particle" : "", "parse-names" : false, "suffix" : "" }, { "dropping-particle" : "", "family" : "Naidoo", "given" : "Robin", "non-dropping-particle" : "", "parse-names" : false, "suffix" : "" }, { "dropping-particle" : "", "family" : "Ricketts", "given" : "Taylor H.", "non-dropping-particle" : "", "parse-names" : false, "suffix" : "" }, { "dropping-particle" : "", "family" : "Shaw", "given" : "M. Rebecca", "non-dropping-particle" : "", "parse-names" : false, "suffix" : "" } ], "container-title" : "Frontiers in Ecology and the Environment", "id" : "ITEM-1", "issue" : "1", "issued" : { "date-parts" : [ [ "2009" ] ] }, "page" : "4-11", "title" : "Modeling multiple ecosystem services, biodiversity conservation, commodity production, and tradeoffs at landscape scales", "type" : "article-journal", "volume" : "7" }, "uris" : [ "http://www.mendeley.com/documents/?uuid=931ef43f-30ca-434f-8fbd-300f320d88e5" ] } ], "mendeley" : { "formattedCitation" : "(Nelson et al., 2009)", "plainTextFormattedCitation" : "(Nelson et al., 2009)", "previouslyFormattedCitation" : "(Nelson et al., 2009)"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(Nelson et al., 2009)</w:t>
      </w:r>
      <w:r w:rsidRPr="008608AA">
        <w:rPr>
          <w:rFonts w:eastAsia="Droid Sans Fallback"/>
        </w:rPr>
        <w:fldChar w:fldCharType="end"/>
      </w:r>
      <w:r w:rsidRPr="008608AA">
        <w:rPr>
          <w:rFonts w:eastAsia="Droid Sans Fallback"/>
        </w:rPr>
        <w:t xml:space="preserve"> and ECOSER </w:t>
      </w:r>
      <w:r w:rsidRPr="008608AA">
        <w:rPr>
          <w:rFonts w:eastAsia="Droid Sans Fallback"/>
        </w:rPr>
        <w:fldChar w:fldCharType="begin" w:fldLock="1"/>
      </w:r>
      <w:r w:rsidRPr="008608AA">
        <w:rPr>
          <w:rFonts w:eastAsia="Droid Sans Fallback"/>
        </w:rPr>
        <w:instrText>ADDIN CSL_CITATION { "citationItems" : [ { "id" : "ITEM-1", "itemData" : { "DOI" : "10.1016/j.agee.2011.05.013", "ISBN" : "0167-8809", "ISSN" : "01678809", "abstract" : "Despite general agreement on antagonist relationships between ecosystems capacity to simultaneously sustain the availability of regulating services and agricultural production, it is not clear how these tradeoffs operate in response to complexity loss at the rural landscapes level. Here we present a novel evaluation framework of ecosystem services (ES) and pose different response models to landscape complexity. Therefore, we tested the hypothesis that complementarities among different ES types increase and the strength of their apparent tradeoffs diminishes with the spatial complexity of the rural landscapes, using a one million has basin of the Argentine pampas as study case. According to correlation and principal component analysis, main ES tradeoffs among ES availability observed at two spatial scales were represented by crop production vs. the other evaluated ES types (OES), and in contrast with our prediction, their strength was not higher for the fine- than for the coarse-scale (relatively large and internally complex observation units). Landscape composition and configuration indices showed a complementary capacity to explain spatial variation in OES, but combinations of configuration indices showed a higher explanatory value than composition ones. Widely accepted tradeoffs among ecosystem services at local levels, not only were able to explain their antagonistic but also their synergistic availability at intermediate levels of conversion of managed grasslands to croplands, depending on the evaluation scale. Despite intermediate complexity hypothesis was only partly supported by our results, these offer novel evidences about emergent responses in the form of nonlinearities and thresholds of total ES in relation to landscape complexity, which deserve further attention because of their relevance for land use planning. \u00a9 2011 Elsevier B.V.", "author" : [ { "dropping-particle" : "", "family" : "Laterra", "given" : "Pedro", "non-dropping-particle" : "", "parse-names" : false, "suffix" : "" }, { "dropping-particle" : "", "family" : "Or\u00fae", "given" : "Mar\u00eda E.", "non-dropping-particle" : "", "parse-names" : false, "suffix" : "" }, { "dropping-particle" : "", "family" : "Booman", "given" : "Gisel C.", "non-dropping-particle" : "", "parse-names" : false, "suffix" : "" } ], "container-title" : "Agriculture, Ecosystems &amp; Environment", "id" : "ITEM-1", "issued" : { "date-parts" : [ [ "2012", "7" ] ] }, "page" : "56-67", "title" : "Spatial complexity and ecosystem services in rural landscapes", "type" : "article-journal", "volume" : "154" }, "uris" : [ "http://www.mendeley.com/documents/?uuid=42afc108-3350-3f67-9e18-6afef13e1ca4" ] } ], "mendeley" : { "formattedCitation" : "(Pedro Laterra, Or\u00fae, &amp; Booman, 2012)", "plainTextFormattedCitation" : "(Pedro Laterra, Or\u00fae, &amp; Booman, 2012)", "previouslyFormattedCitation" : "(Pedro Laterra, Or\u00fae, &amp; Booman, 2012)"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(Laterra</w:t>
      </w:r>
      <w:r w:rsidRPr="008608AA">
        <w:rPr>
          <w:rFonts w:eastAsia="Droid Sans Fallback"/>
          <w:noProof/>
        </w:rPr>
        <w:t xml:space="preserve"> et al., 2012)</w:t>
      </w:r>
      <w:r w:rsidRPr="008608AA">
        <w:rPr>
          <w:rFonts w:eastAsia="Droid Sans Fallback"/>
        </w:rPr>
        <w:fldChar w:fldCharType="end"/>
      </w:r>
      <w:r w:rsidRPr="008608AA">
        <w:rPr>
          <w:rFonts w:eastAsia="Droid Sans Fallback"/>
        </w:rPr>
        <w:t xml:space="preserve">. Economic or monetary values have often been incorporated into models and scenarios, for example, to make global estimates of the value of ecosystems and their services </w:t>
      </w:r>
      <w:r w:rsidRPr="008608AA">
        <w:rPr>
          <w:rFonts w:eastAsia="Droid Sans Fallback"/>
        </w:rPr>
        <w:fldChar w:fldCharType="begin" w:fldLock="1"/>
      </w:r>
      <w:r w:rsidRPr="008608AA">
        <w:rPr>
          <w:rFonts w:eastAsia="Droid Sans Fallback"/>
        </w:rPr>
        <w:instrText>ADDIN CSL_CITATION { "citationItems" : [ { "id" : "ITEM-1", "itemData" : { "DOI" : "10.1016/j.ecoser.2017.05.004", "ISBN" : "9789588343990", "ISSN" : "22120416", "abstract" : "We estimated the future value of ecosystem services in monetary units for 4 alternative global land use and management scenarios based on the Great Transition Initiative (GTI) scenarios to the year 2050. We used previous estimates of the per biome values of ecosystem services in 2011 as the basis for comparison. We mapped projected land-use for 16\u00a0biomes at 1\u00a0km2 resolution globally for each scenario. This, combined with differences in land management for each scenario, created estimates of global ecosystem services values that also allowed for examinations of individual countries. Results show that under different scenarios the global value of ecosystem services can decline by $51\u00a0trillion/yr or increase by USD $30\u00a0trillion/yr. In addition to the global values, we report totals for all countries and maps for a few example countries. Results show that adopting a set of policies similar to those required to achieve the UN Sustainable Development Goals, would greatly enhance ecosystem services, human wellbeing and sustainability.", "author" : [ { "dropping-particle" : "", "family" : "Kubiszewski", "given" : "Ida", "non-dropping-particle" : "", "parse-names" : false, "suffix" : "" }, { "dropping-particle" : "", "family" : "Costanza", "given" : "Robert", "non-dropping-particle" : "", "parse-names" : false, "suffix" : "" }, { "dropping-particle" : "", "family" : "Anderson", "given" : "Sharolyn", "non-dropping-particle" : "", "parse-names" : false, "suffix" : "" }, { "dropping-particle" : "", "family" : "Sutton", "given" : "Paul", "non-dropping-particle" : "", "parse-names" : false, "suffix" : "" } ], "container-title" : "Ecosystem Services", "id" : "ITEM-1", "issued" : { "date-parts" : [ [ "2017" ] ] }, "page" : "289-301", "publisher" : "Elsevier B.V.", "title" : "The future value of ecosystem services: Global scenarios and national implications", "type" : "article-journal", "volume" : "26" }, "uris" : [ "http://www.mendeley.com/documents/?uuid=9d823675-a63d-41cb-82ed-8b5055c49590" ] } ], "mendeley" : { "formattedCitation" : "(Kubiszewski et al., 2017a)", "plainTextFormattedCitation" : "(Kubiszewski et al., 2017a)", "previouslyFormattedCitation" : "(Kubiszewski et al., 2017a)"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(Kubiszewski et al., 2017a)</w:t>
      </w:r>
      <w:r w:rsidRPr="008608AA">
        <w:rPr>
          <w:rFonts w:eastAsia="Droid Sans Fallback"/>
        </w:rPr>
        <w:fldChar w:fldCharType="end"/>
      </w:r>
      <w:r w:rsidRPr="008608AA">
        <w:rPr>
          <w:rFonts w:eastAsia="Droid Sans Fallback"/>
        </w:rPr>
        <w:t xml:space="preserve"> (Box 5.3). In contrast, social and cultural values of nature and NCP have been rarely incorporated in models and scenarios. This represents a significant research gap as the knowledge and values of local stakeholders have been demonstrated to confer legitimacy, flexibility and adaptive capacity to policy and management actions </w:t>
      </w:r>
      <w:r w:rsidRPr="008608AA">
        <w:rPr>
          <w:rFonts w:eastAsia="Droid Sans Fallback"/>
        </w:rPr>
        <w:fldChar w:fldCharType="begin" w:fldLock="1"/>
      </w:r>
      <w:r w:rsidRPr="008608AA">
        <w:rPr>
          <w:rFonts w:eastAsia="Droid Sans Fallback"/>
        </w:rPr>
        <w:instrText>ADDIN CSL_CITATION { "citationItems" : [ { "id" : "ITEM-1", "itemData" : { "DOI" : "10.1016/j.cosust.2016.12.006", "ISBN" : "8415683111", "ISSN" : "18773435", "PMID" : "25811845", "abstract" : "Nature is perceived and valued in starkly different and often conflicting ways. This paper presents the rationale for the inclusive valuation of nature's contributions to people (NCP) in decision making, as well as broad methodological steps for doing so. While developed within the context of the Intergovernmental Platform on Biodiversity and Ecosystem Services (IPBES), this approach is more widely applicable to initiatives at the knowledge\u2013policy interface, which require a pluralistic approach to recognizing the diversity of values. We argue that transformative practices aiming at sustainable futures would benefit from embracing such diversity, which require recognizing and addressing power relationships across stakeholder groups that hold different values on human nature-relations and NCP.", "author" : [ { "dropping-particle" : "", "family" : "Pascual", "given" : "Unai", "non-dropping-particle" : "", "parse-names" : false, "suffix" : "" }, { "dropping-particle" : "", "family" : "Balvanera", "given" : "Patricia", "non-dropping-particle" : "", "parse-names" : false, "suffix" : "" }, { "dropping-particle" : "", "family" : "D\u00edaz", "given" : "Sandra", "non-dropping-particle" : "", "parse-names" : false, "suffix" : "" }, { "dropping-particle" : "", "family" : "Pataki", "given" : "Gy\u00f6rgy", "non-dropping-particle" : "", "parse-names" : false, "suffix" : "" }, { "dropping-particle" : "", "family" : "Roth", "given" : "Eva", "non-dropping-particle" : "", "parse-names" : false, "suffix" : "" }, { "dropping-particle" : "", "family" : "Stenseke", "given" : "Marie", "non-dropping-particle" : "", "parse-names" : false, "suffix" : "" }, { "dropping-particle" : "", "family" : "Watson", "given" : "Robert T.", "non-dropping-particle" : "", "parse-names" : false, "suffix" : "" }, { "dropping-particle" : "", "family" : "Ba\u015fak Dessane", "given" : "Esra", "non-dropping-particle" : "", "parse-names" : false, "suffix" : "" }, { "dropping-particle" : "", "family" : "Islar", "given" : "Mine", "non-dropping-particle" : "", "parse-names" : false, "suffix" : "" }, { "dropping-particle" : "", "family" : "Kelemen", "given" : "Eszter", "non-dropping-particle" : "", "parse-names" : false, "suffix" : "" }, { "dropping-particle" : "", "family" : "Maris", "given" : "Virginie", "non-dropping-particle" : "", "parse-names" : false, "suffix" : "" }, { "dropping-particle" : "", "family" : "Quaas", "given" : "Martin", "non-dropping-particle" : "", "parse-names" : false, "suffix" : "" }, { "dropping-particle" : "", "family" : "Subramanian", "given" : "Suneetha M.", "non-dropping-particle" : "", "parse-names" : false, "suffix" : "" }, { "dropping-particle" : "", "family" : "Wittmer", "given" : "Heidi", "non-dropping-particle" : "", "parse-names" : false, "suffix" : "" }, { "dropping-particle" : "", "family" : "Adlan", "given" : "Asia", "non-dropping-particle" : "", "parse-names" : false, "suffix" : "" }, { "dropping-particle" : "", "family" : "Ahn", "given" : "So Eun", "non-dropping-particle" : "", "parse-names" : false, "suffix" : "" }, { "dropping-particle" : "", "family" : "Al-Hafedh", "given" : "Yousef S.", "non-dropping-particle" : "", "parse-names" : false, "suffix" : "" }, { "dropping-particle" : "", "family" : "Amankwah", "given" : "Edward", "non-dropping-particle" : "", "parse-names" : false, "suffix" : "" }, { "dropping-particle" : "", "family" : "Asah", "given" : "Stanley T.", "non-dropping-particle" : "", "parse-names" : false, "suffix" : "" }, { "dropping-particle" : "", "family" : "Berry", "given" : "Pam", "non-dropping-particle" : "", "parse-names" : false, "suffix" : "" }, { "dropping-particle" : "", "family" : "Bilgin", "given" : "Adem", "non-dropping-particle" : "", "parse-names" : false, "suffix" : "" }, { "dropping-particle" : "", "family" : "Breslow", "given" : "Sara J.", "non-dropping-particle" : "", "parse-names" : false, "suffix" : "" }, { "dropping-particle" : "", "family" : "Bullock", "given" : "Craig", "non-dropping-particle" : "", "parse-names" : false, "suffix" : "" }, { "dropping-particle" : "", "family" : "C\u00e1ceres", "given" : "Daniel", "non-dropping-particle" : "", "parse-names" : false, "suffix" : "" }, { "dropping-particle" : "", "family" : "Daly-Hassen", "given" : "Hamed", "non-dropping-particle" : "", "parse-names" : false, "suffix" : "" }, { "dropping-particle" : "", "family" : "Figueroa", "given" : "Eugenio", "non-dropping-particle" : "", "parse-names" : false, "suffix" : "" }, { "dropping-particle" : "", "family" : "Golden", "given" : "Christopher D.", "non-dropping-particle" : "", "parse-names" : false, "suffix" : "" }, { "dropping-particle" : "", "family" : "G\u00f3mez-Baggethun", "given" : "Erik", "non-dropping-particle" : "", "parse-names" : false, "suffix" : "" }, { "dropping-particle" : "", "family" : "Gonz\u00e1lez-Jim\u00e9nez", "given" : "David", "non-dropping-particle" : "", "parse-names" : false, "suffix" : "" }, { "dropping-particle" : "", "family" : "Houdet", "given" : "Jo\u00ebl", "non-dropping-particle" : "", "parse-names" : false, "suffix" : "" }, { "dropping-particle" : "", "family" : "Keune", "given" : "Hans", "non-dropping-particle" : "", "parse-names" : false, "suffix" : "" }, { "dropping-particle" : "", "family" : "Kumar", "given" : "Ritesh", "non-dropping-particle" : "", "parse-names" : false, "suffix" : "" }, { "dropping-particle" : "", "family" : "Ma", "given" : "Keping", "non-dropping-particle" : "", "parse-names" : false, "suffix" : "" }, { "dropping-particle" : "", "family" : "May", "given" : "Peter H.", "non-dropping-particle" : "", "parse-names" : false, "suffix" : "" }, { "dropping-particle" : "", "family" : "Mead", "given" : "Aroha", "non-dropping-particle" : "", "parse-names" : false, "suffix" : "" }, { "dropping-particle" : "", "family" : "O'Farrell", "given" : "Patrick", "non-dropping-particle" : "", "parse-names" : false, "suffix" : "" }, { "dropping-particle" : "", "family" : "Pandit", "given" : "Ram", "non-dropping-particle" : "", "parse-names" : false, "suffix" : "" }, { "dropping-particle" : "", "family" : "Pengue", "given" : "Walter", "non-dropping-particle" : "", "parse-names" : false, "suffix" : "" }, { "dropping-particle" : "", "family" : "Pichis-Madruga", "given" : "Ram\u00f3n", "non-dropping-particle" : "", "parse-names" : false, "suffix" : "" }, { "dropping-particle" : "", "family" : "Popa", "given" : "Florin", "non-dropping-particle" : "", "parse-names" : false, "suffix" : "" }, { "dropping-particle" : "", "family" : "Preston", "given" : "Susan", "non-dropping-particle" : "", "parse-names" : false, "suffix" : "" }, { "dropping-particle" : "", "family" : "Pacheco-Balanza", "given" : "Diego", "non-dropping-particle" : "", "parse-names" : false, "suffix" : "" }, { "dropping-particle" : "", "family" : "Saarikoski", "given" : "Heli", "non-dropping-particle" : "", "parse-names" : false, "suffix" : "" }, { "dropping-particle" : "", "family" : "Strassburg", "given" : "Bernardo B.", "non-dropping-particle" : "", "parse-names" : false, "suffix" : "" }, { "dropping-particle" : "", "family" : "Belt", "given" : "Marjan", "non-dropping-particle" : "van den", "parse-names" : false, "suffix" : "" }, { "dropping-particle" : "", "family" : "Verma", "given" : "Madhu", "non-dropping-particle" : "", "parse-names" : false, "suffix" : "" }, { "dropping-particle" : "", "family" : "Wickson", "given" : "Fern", "non-dropping-particle" : "", "parse-names" : false, "suffix" : "" }, { "dropping-particle" : "", "family" : "Yagi", "given" : "Noboyuki", "non-dropping-particle" : "", "parse-names" : false, "suffix" : "" } ], "container-title" : "Current Opinion in Environmental Sustainability", "id" : "ITEM-1", "issued" : { "date-parts" : [ [ "2017" ] ] }, "title" : "Valuing nature's contributions to people: the IPBES approach", "type" : "article" }, "uris" : [ "http://www.mendeley.com/documents/?uuid=36ca9d74-5f1f-3a29-af7f-b2ecda21857a" ] } ], "mendeley" : { "formattedCitation" : "(U. Pascual, Balvanera, et al., 2017)", "plainTextFormattedCitation" : "(U. Pascual, Balvanera, et al., 2017)", "previouslyFormattedCitation" : "(U. Pascual, Balvanera, et al., 2017)"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(Pascual</w:t>
      </w:r>
      <w:r w:rsidRPr="008608AA">
        <w:rPr>
          <w:rFonts w:eastAsia="Droid Sans Fallback"/>
          <w:noProof/>
        </w:rPr>
        <w:t xml:space="preserve"> et al., 2017)</w:t>
      </w:r>
      <w:r w:rsidRPr="008608AA">
        <w:rPr>
          <w:rFonts w:eastAsia="Droid Sans Fallback"/>
        </w:rPr>
        <w:fldChar w:fldCharType="end"/>
      </w:r>
      <w:r w:rsidRPr="008608AA">
        <w:rPr>
          <w:rFonts w:eastAsia="Droid Sans Fallback"/>
        </w:rPr>
        <w:t xml:space="preserve">. </w:t>
      </w:r>
    </w:p>
    <w:p w14:paraId="0697EBD7" w14:textId="77777777" w:rsidR="00506943" w:rsidRPr="008608AA" w:rsidRDefault="00506943" w:rsidP="00EE708F">
      <w:pPr>
        <w:suppressAutoHyphens/>
        <w:rPr>
          <w:rFonts w:eastAsia="Droid Sans Fallback"/>
        </w:rPr>
      </w:pPr>
    </w:p>
    <w:p w14:paraId="5F5D8992" w14:textId="492CF70D" w:rsidR="00490494" w:rsidRDefault="00490494" w:rsidP="00EE708F">
      <w:pPr>
        <w:suppressAutoHyphens/>
        <w:rPr>
          <w:rFonts w:eastAsia="Droid Sans Fallback"/>
        </w:rPr>
      </w:pPr>
      <w:r w:rsidRPr="008608AA">
        <w:rPr>
          <w:rFonts w:eastAsia="Droid Sans Fallback"/>
        </w:rPr>
        <w:t xml:space="preserve">Integrated valuation approaches that incorporate social and cultural values allow capturing the knowledge and values of </w:t>
      </w:r>
      <w:r w:rsidR="00F33124" w:rsidRPr="008608AA">
        <w:rPr>
          <w:rFonts w:eastAsia="Droid Sans Fallback"/>
        </w:rPr>
        <w:t>indigenous and local people. Indigenous and local knowledge</w:t>
      </w:r>
      <w:r w:rsidRPr="008608AA">
        <w:rPr>
          <w:rFonts w:eastAsia="Droid Sans Fallback"/>
        </w:rPr>
        <w:t xml:space="preserve"> can provide an important catalyst for scoping and developing management actions in response to larger-scale drivers of change </w:t>
      </w:r>
      <w:r w:rsidRPr="008608AA">
        <w:rPr>
          <w:rFonts w:eastAsia="Droid Sans Fallback"/>
        </w:rPr>
        <w:fldChar w:fldCharType="begin" w:fldLock="1"/>
      </w:r>
      <w:r w:rsidRPr="008608AA">
        <w:rPr>
          <w:rFonts w:eastAsia="Droid Sans Fallback"/>
        </w:rPr>
        <w:instrText>ADDIN CSL_CITATION { "citationItems" : [ { "id" : "ITEM-1", "itemData" : { "author" : [ { "dropping-particle" : "", "family" : "Folke", "given" : "Carl", "non-dropping-particle" : "", "parse-names" : false, "suffix" : "" }, { "dropping-particle" : "", "family" : "Hahn", "given" : "Thomas", "non-dropping-particle" : "", "parse-names" : false, "suffix" : "" }, { "dropping-particle" : "", "family" : "Olsson", "given" : "Per", "non-dropping-particle" : "", "parse-names" : false, "suffix" : "" }, { "dropping-particle" : "", "family" : "Norberg", "given" : "Jon", "non-dropping-particle" : "", "parse-names" : false, "suffix" : "" } ], "container-title" : "Annual Review of Environment and Resources", "id" : "ITEM-1", "issued" : { "date-parts" : [ [ "2005" ] ] }, "page" : "441-473", "title" : "ADAPTIVE GOVERNANCE OF SOCIAL-ECOLOGICAL SYSTEMS", "type" : "article-journal", "volume" : "30" }, "uris" : [ "http://www.mendeley.com/documents/?uuid=d766033b-70cd-4a1b-b00d-a33dfe594fac" ] } ], "mendeley" : { "formattedCitation" : "(Folke, Hahn, Olsson, &amp; Norberg, 2005)", "plainTextFormattedCitation" : "(Folke, Hahn, Olsson, &amp; Norberg, 2005)", "previouslyFormattedCitation" : "(Folke, Hahn, Olsson, &amp; Norberg, 2005)" }, "properties" : {  }, "schema" : "https://github.com/citation-style-language/schema/raw/master/csl-citation.json" }</w:instrText>
      </w:r>
      <w:r w:rsidRPr="008608AA">
        <w:rPr>
          <w:rFonts w:eastAsia="Droid Sans Fallback"/>
        </w:rPr>
        <w:fldChar w:fldCharType="separate"/>
      </w:r>
      <w:r w:rsidR="002C171D" w:rsidRPr="008608AA">
        <w:rPr>
          <w:rFonts w:eastAsia="Droid Sans Fallback"/>
          <w:noProof/>
        </w:rPr>
        <w:t>(Folke</w:t>
      </w:r>
      <w:r w:rsidRPr="008608AA">
        <w:rPr>
          <w:rFonts w:eastAsia="Droid Sans Fallback"/>
          <w:noProof/>
        </w:rPr>
        <w:t xml:space="preserve"> et al., 2005)</w:t>
      </w:r>
      <w:r w:rsidRPr="008608AA">
        <w:rPr>
          <w:rFonts w:eastAsia="Droid Sans Fallback"/>
        </w:rPr>
        <w:fldChar w:fldCharType="end"/>
      </w:r>
      <w:r w:rsidRPr="008608AA">
        <w:rPr>
          <w:rFonts w:eastAsia="Droid Sans Fallback"/>
        </w:rPr>
        <w:t xml:space="preserve">. Given the scale of environmental problems, most efforts at building models and scenarios have been done at </w:t>
      </w:r>
      <w:r w:rsidR="007C45FD" w:rsidRPr="008608AA">
        <w:rPr>
          <w:rFonts w:eastAsia="Droid Sans Fallback"/>
        </w:rPr>
        <w:t>sub</w:t>
      </w:r>
      <w:r w:rsidRPr="008608AA">
        <w:rPr>
          <w:rFonts w:eastAsia="Droid Sans Fallback"/>
        </w:rPr>
        <w:t xml:space="preserve">regional to global scales. Incorporating ILK into these broad-scale models and scenarios becomes important as most scenario archetypes, although considering a range of drivers and impacts, make implicit assumptions on underlying worldviews and values </w:t>
      </w:r>
      <w:r w:rsidRPr="008608AA">
        <w:rPr>
          <w:rFonts w:eastAsia="Droid Sans Fallback"/>
        </w:rPr>
        <w:fldChar w:fldCharType="begin" w:fldLock="1"/>
      </w:r>
      <w:r w:rsidRPr="008608AA">
        <w:rPr>
          <w:rFonts w:eastAsia="Droid Sans Fallback"/>
        </w:rPr>
        <w:instrText>ADDIN CSL_CITATION { "citationItems" : [ { "id" : "ITEM-1", "itemData" : { "DOI" : "10.1016/j.ecoser.2017.05.004", "ISBN" : "9789588343990", "ISSN" : "22120416", "abstract" : "We estimated the future value of ecosystem services in monetary units for 4 alternative global land use and management scenarios based on the Great Transition Initiative (GTI) scenarios to the year 2050. We used previous estimates of the per biome values of ecosystem services in 2011 as the basis for comparison. We mapped projected land-use for 16\u00a0biomes at 1\u00a0km2 resolution globally for each scenario. This, combined with differences in land management for each scenario, created estimates of global ecosystem services values that also allowed for examinations of individual countries. Results show that under different scenarios the global value of ecosystem services can decline by $51\u00a0trillion/yr or increase by USD $30\u00a0trillion/yr. In addition to the global values, we report totals for all countries and maps for a few example countries. Results show that adopting a set of policies similar to those required to achieve the UN Sustainable Development Goals, would greatly enhance ecosystem services, human wellbeing and sustainability.", "author" : [ { "dropping-particle" : "", "family" : "Kubiszewski", "given" : "Ida", "non-dropping-particle" : "", "parse-names" : false, "suffix" : "" }, { "dropping-particle" : "", "family" : "Costanza", "given" : "Robert", "non-dropping-particle" : "", "parse-names" : false, "suffix" : "" }, { "dropping-particle" : "", "family" : "Anderson", "given" : "Sharolyn", "non-dropping-particle" : "", "parse-names" : false, "suffix" : "" }, { "dropping-particle" : "", "family" : "Sutton", "given" : "Paul", "non-dropping-particle" : "", "parse-names" : false, "suffix" : "" } ], "container-title" : "Ecosystem Services", "id" : "ITEM-1", "issued" : { "date-parts" : [ [ "2017" ] ] }, "page" : "289-301", "publisher" : "Elsevier B.V.", "title" : "The future value of ecosystem services: Global scenarios and national implications", "type" : "article-journal", "volume" : "26" }, "uris" : [ "http://www.mendeley.com/documents/?uuid=9d823675-a63d-41cb-82ed-8b5055c49590" ] } ], "mendeley" : { "formattedCitation" : "(Kubiszewski et al., 2017a)", "plainTextFormattedCitation" : "(Kubiszewski et al., 2017a)", "previouslyFormattedCitation" : "(Kubiszewski et al., 2017a)"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(Kubiszewski et al., 2017a)</w:t>
      </w:r>
      <w:r w:rsidRPr="008608AA">
        <w:rPr>
          <w:rFonts w:eastAsia="Droid Sans Fallback"/>
        </w:rPr>
        <w:fldChar w:fldCharType="end"/>
      </w:r>
      <w:r w:rsidRPr="008608AA">
        <w:rPr>
          <w:rFonts w:eastAsia="Droid Sans Fallback"/>
        </w:rPr>
        <w:t xml:space="preserve">. Participatory scenario planning is one technique to incorporate multiple stakeholder values, including ILK, into models to explore plausible futures or support decisions to reach desirable futures. Participatory scenario planning is a process in which stakeholders, frequently guided by researchers, are engaged in a highly collaborative process and develop a leadership role within some or all stages of a scenario development process to investigate alternative futures </w:t>
      </w:r>
      <w:r w:rsidRPr="008608AA">
        <w:rPr>
          <w:rFonts w:eastAsia="Droid Sans Fallback"/>
        </w:rPr>
        <w:fldChar w:fldCharType="begin" w:fldLock="1"/>
      </w:r>
      <w:r w:rsidRPr="008608AA">
        <w:rPr>
          <w:rFonts w:eastAsia="Droid Sans Fallback"/>
        </w:rPr>
        <w:instrText>ADDIN CSL_CITATION { "citationItems" : [ { "id" : "ITEM-1", "itemData" : { "DOI" : "10.5751/ES-07985-200432", "ISBN" : "0798520043", "ISSN" : "17083087", "abstract" : "Participatory scenario planning (PSP) is an increasingly popular tool in place-based environmental research for evaluating alternative futures of social-ecological systems. Although a range of guidelines on PSP methods are available in the scientific and grey literature, there is a need to reflect on existing practices and their appropriate application for different objectives and contexts at the local scale, as well as on their potential perceived outcomes. We contribute to theoretical and empirical frameworks by analyzing how and why researchers assess social-ecological systems using place-based PSP, hence facilitating the appropriate uptake of such scenario tools in the future. We analyzed 23 PSP case studies conducted by the authors in a wide range of social-ecological settings by exploring seven aspects: (1) the context; (2) the original motivations and objectives; (3) the methodological approach; (4) the process; (5) the content of the scenarios; (6) the outputs of the research; and (7) the monitoring and evaluation of the PSP process. This was complemented by a reflection on strengths and weaknesses of using PSP for the place-based social-ecological research. We conclude that the application of PSP, particularly when tailored to shared objectives between local people and researchers, has enriched environmental management and scientific research through building common understanding and fostering learning about future planning of social-ecological systems. However, PSP still requires greater systematic monitoring and evaluation to assess its impact on the promotion of collective action for transitions to sustainability and the adaptation to global environmental change and its challenges.", "author" : [ { "dropping-particle" : "", "family" : "Oteros-Rozas", "given" : "Elisa", "non-dropping-particle" : "", "parse-names" : false, "suffix" : "" }, { "dropping-particle" : "", "family" : "Mart\u00edn-L\u00f3pez", "given" : "Berta", "non-dropping-particle" : "", "parse-names" : false, "suffix" : "" }, { "dropping-particle" : "", "family" : "Daw", "given" : "Tim M.", "non-dropping-particle" : "", "parse-names" : false, "suffix" : "" }, { "dropping-particle" : "", "family" : "Bohensky", "given" : "Erin L.", "non-dropping-particle" : "", "parse-names" : false, "suffix" : "" }, { "dropping-particle" : "", "family" : "Butler", "given" : "James R A", "non-dropping-particle" : "", "parse-names" : false, "suffix" : "" }, { "dropping-particle" : "", "family" : "Hill", "given" : "Rosemary", "non-dropping-particle" : "", "parse-names" : false, "suffix" : "" }, { "dropping-particle" : "", "family" : "Martin-Ortega", "given" : "Julia", "non-dropping-particle" : "", "parse-names" : false, "suffix" : "" }, { "dropping-particle" : "", "family" : "Quinlan", "given" : "Allyson", "non-dropping-particle" : "", "parse-names" : false, "suffix" : "" }, { "dropping-particle" : "", "family" : "Ravera", "given" : "Federica", "non-dropping-particle" : "", "parse-names" : false, "suffix" : "" }, { "dropping-particle" : "", "family" : "Ruiz-Mall\u00e9n", "given" : "Isabel", "non-dropping-particle" : "", "parse-names" : false, "suffix" : "" }, { "dropping-particle" : "", "family" : "Thyresson", "given" : "Matilda", "non-dropping-particle" : "", "parse-names" : false, "suffix" : "" }, { "dropping-particle" : "", "family" : "Mistry", "given" : "Jayalaxshmi", "non-dropping-particle" : "", "parse-names" : false, "suffix" : "" }, { "dropping-particle" : "", "family" : "Palomo", "given" : "Ignacio", "non-dropping-particle" : "", "parse-names" : false, "suffix" : "" }, { "dropping-particle" : "", "family" : "Peterson", "given" : "Garry D.", "non-dropping-particle" : "", "parse-names" : false, "suffix" : "" }, { "dropping-particle" : "", "family" : "Plieninger", "given" : "Tobias", "non-dropping-particle" : "", "parse-names" : false, "suffix" : "" }, { "dropping-particle" : "", "family" : "Waylen", "given" : "Kerry A.", "non-dropping-particle" : "", "parse-names" : false, "suffix" : "" }, { "dropping-particle" : "", "family" : "Beach", "given" : "Dylan M.", "non-dropping-particle" : "", "parse-names" : false, "suffix" : "" }, { "dropping-particle" : "", "family" : "Bohnet", "given" : "Iris C.", "non-dropping-particle" : "", "parse-names" : false, "suffix" : "" }, { "dropping-particle" : "", "family" : "Hamann", "given" : "Maike", "non-dropping-particle" : "", "parse-names" : false, "suffix" : "" }, { "dropping-particle" : "", "family" : "Hanspach", "given" : "Jan", "non-dropping-particle" : "", "parse-names" : false, "suffix" : "" }, { "dropping-particle" : "", "family" : "Hubacek", "given" : "Klaus", "non-dropping-particle" : "", "parse-names" : false, "suffix" : "" }, { "dropping-particle" : "", "family" : "Lavorel", "given" : "Sandra", "non-dropping-particle" : "", "parse-names" : false, "suffix" : "" }, { "dropping-particle" : "", "family" : "Vilardy", "given" : "Sandra P.", "non-dropping-particle" : "", "parse-names" : false, "suffix" : "" } ], "container-title" : "Ecology and Society", "id" : "ITEM-1", "issue" : "4", "issued" : { "date-parts" : [ [ "2015" ] ] }, "title" : "Participatory scenario planning in place-based social-ecological research: Insights and experiences from 23 case studies", "type" : "book", "volume" : "20" }, "uris" : [ "http://www.mendeley.com/documents/?uuid=6b655864-014d-4ed9-aa24-b0c9720cf308" ] } ], "mendeley" : { "formattedCitation" : "(Oteros-Rozas et al., 2015)", "plainTextFormattedCitation" : "(Oteros-Rozas et al., 2015)", "previouslyFormattedCitation" : "(Oteros-Rozas et al.,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(Oteros-Rozas et al., 2015)</w:t>
      </w:r>
      <w:r w:rsidRPr="008608AA">
        <w:rPr>
          <w:rFonts w:eastAsia="Droid Sans Fallback"/>
        </w:rPr>
        <w:fldChar w:fldCharType="end"/>
      </w:r>
      <w:r w:rsidRPr="008608AA">
        <w:rPr>
          <w:rFonts w:eastAsia="Droid Sans Fallback"/>
        </w:rPr>
        <w:t xml:space="preserve">. Participatory scenario planning has been applied in some socio-ecological contexts of the Americas; however, the lack of systematic monitoring and evaluation to assess its impact on the promotion of collective action and social learning precludes us from determining the actual potential of participatory scenario planning for linking broad-scale models and scenarios and ILK </w:t>
      </w:r>
      <w:r w:rsidRPr="008608AA">
        <w:rPr>
          <w:rFonts w:eastAsia="Droid Sans Fallback"/>
        </w:rPr>
        <w:fldChar w:fldCharType="begin" w:fldLock="1"/>
      </w:r>
      <w:r w:rsidRPr="008608AA">
        <w:rPr>
          <w:rFonts w:eastAsia="Droid Sans Fallback"/>
        </w:rPr>
        <w:instrText>ADDIN CSL_CITATION { "citationItems" : [ { "id" : "ITEM-1", "itemData" : { "DOI" : "10.5751/ES-07985-200432", "ISBN" : "0798520043", "ISSN" : "17083087", "abstract" : "Participatory scenario planning (PSP) is an increasingly popular tool in place-based environmental research for evaluating alternative futures of social-ecological systems. Although a range of guidelines on PSP methods are available in the scientific and grey literature, there is a need to reflect on existing practices and their appropriate application for different objectives and contexts at the local scale, as well as on their potential perceived outcomes. We contribute to theoretical and empirical frameworks by analyzing how and why researchers assess social-ecological systems using place-based PSP, hence facilitating the appropriate uptake of such scenario tools in the future. We analyzed 23 PSP case studies conducted by the authors in a wide range of social-ecological settings by exploring seven aspects: (1) the context; (2) the original motivations and objectives; (3) the methodological approach; (4) the process; (5) the content of the scenarios; (6) the outputs of the research; and (7) the monitoring and evaluation of the PSP process. This was complemented by a reflection on strengths and weaknesses of using PSP for the place-based social-ecological research. We conclude that the application of PSP, particularly when tailored to shared objectives between local people and researchers, has enriched environmental management and scientific research through building common understanding and fostering learning about future planning of social-ecological systems. However, PSP still requires greater systematic monitoring and evaluation to assess its impact on the promotion of collective action for transitions to sustainability and the adaptation to global environmental change and its challenges.", "author" : [ { "dropping-particle" : "", "family" : "Oteros-Rozas", "given" : "Elisa", "non-dropping-particle" : "", "parse-names" : false, "suffix" : "" }, { "dropping-particle" : "", "family" : "Mart\u00edn-L\u00f3pez", "given" : "Berta", "non-dropping-particle" : "", "parse-names" : false, "suffix" : "" }, { "dropping-particle" : "", "family" : "Daw", "given" : "Tim M.", "non-dropping-particle" : "", "parse-names" : false, "suffix" : "" }, { "dropping-particle" : "", "family" : "Bohensky", "given" : "Erin L.", "non-dropping-particle" : "", "parse-names" : false, "suffix" : "" }, { "dropping-particle" : "", "family" : "Butler", "given" : "James R A", "non-dropping-particle" : "", "parse-names" : false, "suffix" : "" }, { "dropping-particle" : "", "family" : "Hill", "given" : "Rosemary", "non-dropping-particle" : "", "parse-names" : false, "suffix" : "" }, { "dropping-particle" : "", "family" : "Martin-Ortega", "given" : "Julia", "non-dropping-particle" : "", "parse-names" : false, "suffix" : "" }, { "dropping-particle" : "", "family" : "Quinlan", "given" : "Allyson", "non-dropping-particle" : "", "parse-names" : false, "suffix" : "" }, { "dropping-particle" : "", "family" : "Ravera", "given" : "Federica", "non-dropping-particle" : "", "parse-names" : false, "suffix" : "" }, { "dropping-particle" : "", "family" : "Ruiz-Mall\u00e9n", "given" : "Isabel", "non-dropping-particle" : "", "parse-names" : false, "suffix" : "" }, { "dropping-particle" : "", "family" : "Thyresson", "given" : "Matilda", "non-dropping-particle" : "", "parse-names" : false, "suffix" : "" }, { "dropping-particle" : "", "family" : "Mistry", "given" : "Jayalaxshmi", "non-dropping-particle" : "", "parse-names" : false, "suffix" : "" }, { "dropping-particle" : "", "family" : "Palomo", "given" : "Ignacio", "non-dropping-particle" : "", "parse-names" : false, "suffix" : "" }, { "dropping-particle" : "", "family" : "Peterson", "given" : "Garry D.", "non-dropping-particle" : "", "parse-names" : false, "suffix" : "" }, { "dropping-particle" : "", "family" : "Plieninger", "given" : "Tobias", "non-dropping-particle" : "", "parse-names" : false, "suffix" : "" }, { "dropping-particle" : "", "family" : "Waylen", "given" : "Kerry A.", "non-dropping-particle" : "", "parse-names" : false, "suffix" : "" }, { "dropping-particle" : "", "family" : "Beach", "given" : "Dylan M.", "non-dropping-particle" : "", "parse-names" : false, "suffix" : "" }, { "dropping-particle" : "", "family" : "Bohnet", "given" : "Iris C.", "non-dropping-particle" : "", "parse-names" : false, "suffix" : "" }, { "dropping-particle" : "", "family" : "Hamann", "given" : "Maike", "non-dropping-particle" : "", "parse-names" : false, "suffix" : "" }, { "dropping-particle" : "", "family" : "Hanspach", "given" : "Jan", "non-dropping-particle" : "", "parse-names" : false, "suffix" : "" }, { "dropping-particle" : "", "family" : "Hubacek", "given" : "Klaus", "non-dropping-particle" : "", "parse-names" : false, "suffix" : "" }, { "dropping-particle" : "", "family" : "Lavorel", "given" : "Sandra", "non-dropping-particle" : "", "parse-names" : false, "suffix" : "" }, { "dropping-particle" : "", "family" : "Vilardy", "given" : "Sandra P.", "non-dropping-particle" : "", "parse-names" : false, "suffix" : "" } ], "container-title" : "Ecology and Society", "id" : "ITEM-1", "issue" : "4", "issued" : { "date-parts" : [ [ "2015" ] ] }, "title" : "Participatory scenario planning in place-based social-ecological research: Insights and experiences from 23 case studies", "type" : "book", "volume" : "20" }, "uris" : [ "http://www.mendeley.com/documents/?uuid=6b655864-014d-4ed9-aa24-b0c9720cf308" ] }, { "id" : "ITEM-2", "itemData" : { "DOI" : "10.1007/s10113-015-0898-7", "ISSN" : "1436-3798", "author" : [ { "dropping-particle" : "", "family" : "Brown", "given" : "Iain", "non-dropping-particle" : "", "parse-names" : false, "suffix" : "" }, { "dropping-particle" : "", "family" : "Martin-Ortega", "given" : "Julia", "non-dropping-particle" : "", "parse-names" : false, "suffix" : "" }, { "dropping-particle" : "", "family" : "Waylen", "given" : "Kerry", "non-dropping-particle" : "", "parse-names" : false, "suffix" : "" }, { "dropping-particle" : "", "family" : "Blackstock", "given" : "Kirsty", "non-dropping-particle" : "", "parse-names" : false, "suffix" : "" } ], "container-title" : "Regional Environmental Change", "id" : "ITEM-2", "issued" : { "date-parts" : [ [ "2016" ] ] }, "publisher" : "Springer Berlin Heidelberg", "title" : "Participatory scenario planning for developing innovation in community adaptation responses: three contrasting examples from Latin America", "type" : "article-journal" }, "uris" : [ "http://www.mendeley.com/documents/?uuid=28c1f4ca-d99b-4823-86ce-c8ae3d9ceba3" ] } ], "mendeley" : { "formattedCitation" : "(I. Brown et al., 2016; Oteros-Rozas et al., 2015)", "plainTextFormattedCitation" : "(I. Brown et al., 2016; Oteros-Rozas et al., 2015)", "previouslyFormattedCitation" : "(I. Brown et al., 2016; Oteros-Rozas et al., 2015)" }, "properties" : {  }, "schema" : "https://github.com/citation-style-language/schema/raw/master/csl-citation.json" }</w:instrText>
      </w:r>
      <w:r w:rsidRPr="008608AA">
        <w:rPr>
          <w:rFonts w:eastAsia="Droid Sans Fallback"/>
        </w:rPr>
        <w:fldChar w:fldCharType="separate"/>
      </w:r>
      <w:r w:rsidRPr="008608AA">
        <w:rPr>
          <w:rFonts w:eastAsia="Droid Sans Fallback"/>
          <w:noProof/>
        </w:rPr>
        <w:t>(Brown et al., 2016; Oteros-Rozas et al., 2015)</w:t>
      </w:r>
      <w:r w:rsidRPr="008608AA">
        <w:rPr>
          <w:rFonts w:eastAsia="Droid Sans Fallback"/>
        </w:rPr>
        <w:fldChar w:fldCharType="end"/>
      </w:r>
      <w:r w:rsidRPr="008608AA">
        <w:rPr>
          <w:rFonts w:eastAsia="Droid Sans Fallback"/>
        </w:rPr>
        <w:t>. Nevertheless, participatory scenario planning holds promise as the use of intuitive stakeholder-based scenarios rather than more formal scenarios (e.g. quantitative model outputs) reportedly engendered a greater sense of ownership of the process because participants could modify and customize narratives that incorporated local knowledge (Brown et al.</w:t>
      </w:r>
      <w:r w:rsidR="002C171D" w:rsidRPr="008608AA">
        <w:rPr>
          <w:rFonts w:eastAsia="Droid Sans Fallback"/>
        </w:rPr>
        <w:t>,</w:t>
      </w:r>
      <w:r w:rsidRPr="008608AA">
        <w:rPr>
          <w:rFonts w:eastAsia="Droid Sans Fallback"/>
        </w:rPr>
        <w:t xml:space="preserve"> 2016). </w:t>
      </w:r>
    </w:p>
    <w:p w14:paraId="5D0E9A98" w14:textId="66B6EBBE" w:rsidR="00967BF4" w:rsidRDefault="00967BF4" w:rsidP="00EE708F">
      <w:pPr>
        <w:suppressAutoHyphens/>
        <w:rPr>
          <w:rFonts w:eastAsia="Droid Sans Fallback"/>
        </w:rPr>
      </w:pPr>
    </w:p>
    <w:p w14:paraId="127ED42F" w14:textId="4592EFAA" w:rsidR="00967BF4" w:rsidRDefault="00967BF4" w:rsidP="00EE708F">
      <w:pPr>
        <w:suppressAutoHyphens/>
        <w:rPr>
          <w:rFonts w:eastAsia="Droid Sans Fallback"/>
        </w:rPr>
      </w:pPr>
    </w:p>
    <w:p w14:paraId="310136B5" w14:textId="76A53DAE" w:rsidR="00967BF4" w:rsidRDefault="00967BF4" w:rsidP="00EE708F">
      <w:pPr>
        <w:suppressAutoHyphens/>
        <w:rPr>
          <w:rFonts w:eastAsia="Droid Sans Fallback"/>
        </w:rPr>
      </w:pPr>
    </w:p>
    <w:p w14:paraId="3C3C3E23" w14:textId="09CBA658" w:rsidR="00967BF4" w:rsidRDefault="00967BF4" w:rsidP="00EE708F">
      <w:pPr>
        <w:suppressAutoHyphens/>
        <w:rPr>
          <w:rFonts w:eastAsia="Droid Sans Fallback"/>
        </w:rPr>
      </w:pPr>
    </w:p>
    <w:p w14:paraId="64B946B9" w14:textId="5FBC109C" w:rsidR="00967BF4" w:rsidRDefault="00967BF4" w:rsidP="00EE708F">
      <w:pPr>
        <w:suppressAutoHyphens/>
        <w:rPr>
          <w:rFonts w:eastAsia="Droid Sans Fallback"/>
        </w:rPr>
      </w:pPr>
    </w:p>
    <w:p w14:paraId="4CD61C6B" w14:textId="2EBE5B13" w:rsidR="00967BF4" w:rsidRDefault="00967BF4" w:rsidP="00EE708F">
      <w:pPr>
        <w:suppressAutoHyphens/>
        <w:rPr>
          <w:rFonts w:eastAsia="Droid Sans Fallback"/>
        </w:rPr>
      </w:pPr>
    </w:p>
    <w:p w14:paraId="57B8A3B2" w14:textId="154D6CD8" w:rsidR="00967BF4" w:rsidRDefault="00967BF4" w:rsidP="00EE708F">
      <w:pPr>
        <w:suppressAutoHyphens/>
        <w:rPr>
          <w:rFonts w:eastAsia="Droid Sans Fallback"/>
        </w:rPr>
      </w:pPr>
    </w:p>
    <w:p w14:paraId="56555AC2" w14:textId="14B63D2F" w:rsidR="00967BF4" w:rsidRDefault="00967BF4" w:rsidP="00EE708F">
      <w:pPr>
        <w:suppressAutoHyphens/>
        <w:rPr>
          <w:rFonts w:eastAsia="Droid Sans Fallback"/>
        </w:rPr>
      </w:pPr>
    </w:p>
    <w:p w14:paraId="2E55DF76" w14:textId="77777777" w:rsidR="00967BF4" w:rsidRPr="008608AA" w:rsidRDefault="00967BF4" w:rsidP="00EE708F">
      <w:pPr>
        <w:suppressAutoHyphens/>
        <w:rPr>
          <w:rFonts w:eastAsia="Droid Sans Fallback"/>
        </w:rPr>
      </w:pPr>
    </w:p>
    <w:p w14:paraId="22739B87" w14:textId="39C8A88E" w:rsidR="00490494" w:rsidRPr="008608AA" w:rsidRDefault="00EE708F" w:rsidP="00EE708F">
      <w:pPr>
        <w:pStyle w:val="Caption"/>
        <w:rPr>
          <w:bCs w:val="0"/>
        </w:rPr>
      </w:pPr>
      <w:bookmarkStart w:id="2218" w:name="_Toc499256994"/>
      <w:bookmarkStart w:id="2219" w:name="_Toc499575685"/>
      <w:bookmarkStart w:id="2220" w:name="_Toc499817445"/>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5</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3</w:t>
      </w:r>
      <w:r w:rsidR="000E562E">
        <w:rPr>
          <w:noProof/>
        </w:rPr>
        <w:fldChar w:fldCharType="end"/>
      </w:r>
      <w:r w:rsidR="00490494" w:rsidRPr="008608AA">
        <w:t xml:space="preserve">. </w:t>
      </w:r>
      <w:r w:rsidR="00490494" w:rsidRPr="008608AA">
        <w:rPr>
          <w:bCs w:val="0"/>
        </w:rPr>
        <w:t>Future changes in the monetary value of ecosystems services</w:t>
      </w:r>
      <w:bookmarkEnd w:id="2218"/>
      <w:bookmarkEnd w:id="2219"/>
      <w:bookmarkEnd w:id="2220"/>
    </w:p>
    <w:tbl>
      <w:tblPr>
        <w:tblStyle w:val="TableGrid"/>
        <w:tblW w:w="0" w:type="auto"/>
        <w:tblLook w:val="04A0" w:firstRow="1" w:lastRow="0" w:firstColumn="1" w:lastColumn="0" w:noHBand="0" w:noVBand="1"/>
      </w:tblPr>
      <w:tblGrid>
        <w:gridCol w:w="9487"/>
      </w:tblGrid>
      <w:tr w:rsidR="005133B7" w:rsidRPr="00D16BCD" w14:paraId="306B7503" w14:textId="77777777" w:rsidTr="005133B7">
        <w:tc>
          <w:tcPr>
            <w:tcW w:w="9637" w:type="dxa"/>
          </w:tcPr>
          <w:p w14:paraId="169A03DC" w14:textId="058E9AB6" w:rsidR="005133B7" w:rsidRPr="00D16BCD" w:rsidRDefault="005133B7" w:rsidP="005133B7">
            <w:pPr>
              <w:rPr>
                <w:szCs w:val="22"/>
                <w:lang w:eastAsia="ja-JP"/>
              </w:rPr>
            </w:pPr>
            <w:r w:rsidRPr="00D16BCD">
              <w:rPr>
                <w:szCs w:val="22"/>
                <w:lang w:eastAsia="ja-JP"/>
              </w:rPr>
              <w:t>Kubiszewski et al</w:t>
            </w:r>
            <w:r w:rsidR="00F33124" w:rsidRPr="00D16BCD">
              <w:rPr>
                <w:szCs w:val="22"/>
                <w:lang w:eastAsia="ja-JP"/>
              </w:rPr>
              <w:t>.</w:t>
            </w:r>
            <w:r w:rsidRPr="00D16BCD">
              <w:rPr>
                <w:szCs w:val="22"/>
                <w:lang w:eastAsia="ja-JP"/>
              </w:rPr>
              <w:t xml:space="preserve"> (2017a) evaluated scenarios for ecosystem services in the Anthropocene globally, assessing the future change of total ecosystem services values due to land-use change decisions. The study used four scenarios archetypes of the “Great Transition Initiative” (Raskin et al., 2002) presented in section 5.2.</w:t>
            </w:r>
          </w:p>
          <w:p w14:paraId="4AD1D93C" w14:textId="77777777" w:rsidR="00F33124" w:rsidRPr="00D16BCD" w:rsidRDefault="00F33124" w:rsidP="005133B7">
            <w:pPr>
              <w:rPr>
                <w:szCs w:val="22"/>
                <w:lang w:eastAsia="ja-JP"/>
              </w:rPr>
            </w:pPr>
          </w:p>
          <w:p w14:paraId="2F87B5A3" w14:textId="77777777" w:rsidR="00206AE3" w:rsidRPr="00D16BCD" w:rsidRDefault="005133B7" w:rsidP="00206AE3">
            <w:pPr>
              <w:rPr>
                <w:szCs w:val="22"/>
                <w:lang w:eastAsia="ja-JP"/>
              </w:rPr>
            </w:pPr>
            <w:r w:rsidRPr="00D16BCD">
              <w:rPr>
                <w:szCs w:val="22"/>
                <w:lang w:eastAsia="ja-JP"/>
              </w:rPr>
              <w:t>The change in the value of ecosystem services in each scenario was calculated considering two factors: 1) change in area covered by each ecosystem type; and 2) change in the “unit value”  based on policy and management assumptions that are likely to happen in each scenario. The plausible estimates of the magnitude of change that may occur under each scenario are based roughly on the estimates from (Bateman et al., 2013) of future scenarios for the United Kingdom:</w:t>
            </w:r>
            <w:r w:rsidR="00206AE3" w:rsidRPr="00D16BCD">
              <w:rPr>
                <w:szCs w:val="22"/>
                <w:lang w:eastAsia="ja-JP"/>
              </w:rPr>
              <w:t xml:space="preserve"> </w:t>
            </w:r>
          </w:p>
          <w:p w14:paraId="66033E31" w14:textId="044FEB96" w:rsidR="00206AE3" w:rsidRPr="00D16BCD" w:rsidRDefault="00206AE3" w:rsidP="00B33BD5">
            <w:pPr>
              <w:pStyle w:val="ListParagraph"/>
              <w:numPr>
                <w:ilvl w:val="0"/>
                <w:numId w:val="28"/>
              </w:numPr>
              <w:rPr>
                <w:lang w:eastAsia="ja-JP"/>
              </w:rPr>
            </w:pPr>
            <w:r w:rsidRPr="00D16BCD">
              <w:rPr>
                <w:lang w:eastAsia="ja-JP"/>
              </w:rPr>
              <w:t>Market Forces: 10% reduction in unit values from their 2011 levels due to a decrease in environmental and non-market factors.</w:t>
            </w:r>
          </w:p>
          <w:p w14:paraId="2575D17E" w14:textId="77777777" w:rsidR="00206AE3" w:rsidRPr="00D16BCD" w:rsidRDefault="00206AE3" w:rsidP="00B33BD5">
            <w:pPr>
              <w:pStyle w:val="ListParagraph"/>
              <w:numPr>
                <w:ilvl w:val="0"/>
                <w:numId w:val="28"/>
              </w:numPr>
              <w:rPr>
                <w:lang w:eastAsia="ja-JP"/>
              </w:rPr>
            </w:pPr>
            <w:r w:rsidRPr="00D16BCD">
              <w:rPr>
                <w:lang w:eastAsia="ja-JP"/>
              </w:rPr>
              <w:t>Fortress World: 20% reduction in unit values from their 2011 levels due to a significant decrease in consideration of environmental and non-market factors.</w:t>
            </w:r>
          </w:p>
          <w:p w14:paraId="55A2EEBC" w14:textId="77777777" w:rsidR="00206AE3" w:rsidRPr="00D16BCD" w:rsidRDefault="00206AE3" w:rsidP="00B33BD5">
            <w:pPr>
              <w:pStyle w:val="ListParagraph"/>
              <w:numPr>
                <w:ilvl w:val="0"/>
                <w:numId w:val="28"/>
              </w:numPr>
              <w:rPr>
                <w:lang w:eastAsia="ja-JP"/>
              </w:rPr>
            </w:pPr>
            <w:r w:rsidRPr="00D16BCD">
              <w:rPr>
                <w:lang w:eastAsia="ja-JP"/>
              </w:rPr>
              <w:t>Policy Reform: no significant change in unit values from their 2011 estimates due to a slight improvement from 2011 policies and management.</w:t>
            </w:r>
          </w:p>
          <w:p w14:paraId="0A242007" w14:textId="77777777" w:rsidR="005133B7" w:rsidRDefault="00206AE3" w:rsidP="00B33BD5">
            <w:pPr>
              <w:pStyle w:val="ListParagraph"/>
              <w:numPr>
                <w:ilvl w:val="0"/>
                <w:numId w:val="28"/>
              </w:numPr>
              <w:rPr>
                <w:lang w:eastAsia="ja-JP"/>
              </w:rPr>
            </w:pPr>
            <w:r w:rsidRPr="00D16BCD">
              <w:rPr>
                <w:lang w:eastAsia="ja-JP"/>
              </w:rPr>
              <w:t>Great Transition: 20% increase in unit values from their 2011 levels due to a significant increase in consideration of environmental and non-market factors.</w:t>
            </w:r>
          </w:p>
          <w:p w14:paraId="2E253A03" w14:textId="77777777" w:rsidR="00400706" w:rsidRDefault="00400706" w:rsidP="00400706">
            <w:pPr>
              <w:rPr>
                <w:lang w:eastAsia="ja-JP"/>
              </w:rPr>
            </w:pPr>
          </w:p>
          <w:p w14:paraId="00A90F7D" w14:textId="50DB8FFD" w:rsidR="00400706" w:rsidRDefault="00400706" w:rsidP="00400706">
            <w:pPr>
              <w:rPr>
                <w:lang w:eastAsia="ja-JP"/>
              </w:rPr>
            </w:pPr>
            <w:r w:rsidRPr="008608AA">
              <w:rPr>
                <w:noProof/>
                <w:lang w:val="en-GB" w:eastAsia="en-GB"/>
              </w:rPr>
              <w:drawing>
                <wp:inline distT="0" distB="0" distL="0" distR="0" wp14:anchorId="5AB7FE2A" wp14:editId="5F9E6507">
                  <wp:extent cx="5934075" cy="4438650"/>
                  <wp:effectExtent l="0" t="0" r="9525" b="0"/>
                  <wp:docPr id="92" name="Imagen 92" descr="C:\Users\Alejandro Valderrama\Downloads\Fig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2" descr="C:\Users\Alejandro Valderrama\Downloads\Fig5.30.jpg"/>
                          <pic:cNvPicPr>
                            <a:picLocks noChangeAspect="1" noChangeArrowheads="1"/>
                          </pic:cNvPicPr>
                        </pic:nvPicPr>
                        <pic:blipFill rotWithShape="1">
                          <a:blip r:embed="rId1059">
                            <a:extLst>
                              <a:ext uri="{28A0092B-C50C-407E-A947-70E740481C1C}">
                                <a14:useLocalDpi xmlns:a14="http://schemas.microsoft.com/office/drawing/2010/main" val="0"/>
                              </a:ext>
                            </a:extLst>
                          </a:blip>
                          <a:srcRect b="48107"/>
                          <a:stretch/>
                        </pic:blipFill>
                        <pic:spPr bwMode="auto">
                          <a:xfrm>
                            <a:off x="0" y="0"/>
                            <a:ext cx="5934075" cy="4438650"/>
                          </a:xfrm>
                          <a:prstGeom prst="rect">
                            <a:avLst/>
                          </a:prstGeom>
                          <a:noFill/>
                          <a:ln>
                            <a:noFill/>
                          </a:ln>
                          <a:extLst>
                            <a:ext uri="{53640926-AAD7-44D8-BBD7-CCE9431645EC}">
                              <a14:shadowObscured xmlns:a14="http://schemas.microsoft.com/office/drawing/2010/main"/>
                            </a:ext>
                          </a:extLst>
                        </pic:spPr>
                      </pic:pic>
                    </a:graphicData>
                  </a:graphic>
                </wp:inline>
              </w:drawing>
            </w:r>
          </w:p>
          <w:p w14:paraId="122FCC55" w14:textId="2CA31BEB" w:rsidR="00400706" w:rsidRDefault="00400706" w:rsidP="00400706">
            <w:pPr>
              <w:rPr>
                <w:lang w:eastAsia="ja-JP"/>
              </w:rPr>
            </w:pPr>
          </w:p>
          <w:p w14:paraId="0872E42F" w14:textId="200658BF" w:rsidR="00400706" w:rsidRPr="00400706" w:rsidRDefault="00400706" w:rsidP="00400706">
            <w:pPr>
              <w:rPr>
                <w:szCs w:val="22"/>
                <w:lang w:eastAsia="ja-JP"/>
              </w:rPr>
            </w:pPr>
            <w:r w:rsidRPr="00400706">
              <w:rPr>
                <w:szCs w:val="22"/>
                <w:lang w:eastAsia="ja-JP"/>
              </w:rPr>
              <w:t>Under the Market Forces and the Fortress World scenarios all countries in the Americas show a decrease in ecosystem services value (Figure 5.30), with an average negative change of 24% and 36% for Market Forces and Fortress World respectively. The highest negative percentage changes are particularly experience by islands in the Caribbean. For example, Saint Vincent and the Grenadines is expected to have a decrease in ecosystem services value of 79% under the Fortress World scenario. Within the inland countries, Bolivia shows the biggest loss (69%). In comparison, Brazil will show a decrease of 45%, equivalent to a loss of $3,717 billion/year due to losses of Tropical Forest, while USA will have a decrease of 38% ($3,279 billion/year). In the Policy Reform scenario most countries in the Americas experience an increase in ecosystem service values except for Argentina and Chile and the Caribbean islands but the magnitude of the changes are very small. In contrast, the increment in ecosystem services value is greater under the Great Transition scenario (23% average increment). </w:t>
            </w:r>
          </w:p>
          <w:p w14:paraId="3CAC1341" w14:textId="7CEBE47A" w:rsidR="00400706" w:rsidRPr="00D16BCD" w:rsidRDefault="00400706" w:rsidP="00400706">
            <w:pPr>
              <w:rPr>
                <w:lang w:eastAsia="ja-JP"/>
              </w:rPr>
            </w:pPr>
          </w:p>
        </w:tc>
      </w:tr>
    </w:tbl>
    <w:p w14:paraId="5F0A64DF" w14:textId="77777777" w:rsidR="00206AE3" w:rsidRPr="008608AA" w:rsidRDefault="00206AE3" w:rsidP="005133B7">
      <w:pPr>
        <w:rPr>
          <w:lang w:eastAsia="ja-JP"/>
        </w:rPr>
      </w:pPr>
    </w:p>
    <w:p w14:paraId="62767756" w14:textId="68EDA737" w:rsidR="00206AE3" w:rsidRPr="008608AA" w:rsidRDefault="00206AE3" w:rsidP="005133B7">
      <w:pPr>
        <w:rPr>
          <w:lang w:eastAsia="ja-JP"/>
        </w:rPr>
      </w:pPr>
    </w:p>
    <w:p w14:paraId="3F64A6C9" w14:textId="77777777" w:rsidR="00D16BCD" w:rsidRDefault="00D16BCD" w:rsidP="008B3BCD">
      <w:bookmarkStart w:id="2221" w:name="_Toc499256903"/>
      <w:bookmarkStart w:id="2222" w:name="_Toc502953650"/>
      <w:bookmarkStart w:id="2223" w:name="_Toc502954943"/>
      <w:bookmarkStart w:id="2224" w:name="_Toc502957750"/>
      <w:bookmarkStart w:id="2225" w:name="_Toc502957949"/>
      <w:bookmarkStart w:id="2226" w:name="_Toc502958103"/>
      <w:bookmarkStart w:id="2227" w:name="_Toc503293172"/>
      <w:bookmarkStart w:id="2228" w:name="_Toc503293770"/>
      <w:bookmarkStart w:id="2229" w:name="_Toc503294032"/>
      <w:bookmarkStart w:id="2230" w:name="_Toc503863425"/>
      <w:bookmarkStart w:id="2231" w:name="_Toc503863653"/>
      <w:bookmarkStart w:id="2232" w:name="_Toc517393425"/>
      <w:bookmarkStart w:id="2233" w:name="_Toc517719166"/>
    </w:p>
    <w:p w14:paraId="6C9EFC88" w14:textId="45A0017A" w:rsidR="00490494" w:rsidRDefault="00490494" w:rsidP="00A93934">
      <w:pPr>
        <w:pStyle w:val="Heading2"/>
      </w:pPr>
      <w:bookmarkStart w:id="2234" w:name="_Toc517797123"/>
      <w:r w:rsidRPr="008608AA">
        <w:t>Conclusions regarding modeling, scenarios, and pathways</w:t>
      </w:r>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p>
    <w:p w14:paraId="26656F93" w14:textId="77777777" w:rsidR="00D16BCD" w:rsidRPr="00D16BCD" w:rsidRDefault="00D16BCD" w:rsidP="00D16BCD">
      <w:pPr>
        <w:rPr>
          <w:lang w:val="en-GB" w:eastAsia="es-CO"/>
        </w:rPr>
      </w:pPr>
    </w:p>
    <w:p w14:paraId="2A4AEA77" w14:textId="77777777" w:rsidR="00490494" w:rsidRPr="008608AA" w:rsidRDefault="00490494" w:rsidP="00136FB9">
      <w:pPr>
        <w:suppressAutoHyphens/>
        <w:rPr>
          <w:rFonts w:eastAsia="Droid Sans Fallback"/>
        </w:rPr>
      </w:pPr>
      <w:r w:rsidRPr="008608AA">
        <w:rPr>
          <w:rFonts w:eastAsia="Droid Sans Fallback"/>
        </w:rPr>
        <w:t>Scenarios and models (both qualitative and quantitative) have formed a thread throughout this chapter and we believe that several conclusions regarding their utility, use, construction, and state-of-the-art with respect to the Americas can be stated.</w:t>
      </w:r>
    </w:p>
    <w:p w14:paraId="171190DA" w14:textId="4224208F" w:rsidR="00490494" w:rsidRPr="008608AA" w:rsidRDefault="00490494" w:rsidP="00B33BD5">
      <w:pPr>
        <w:numPr>
          <w:ilvl w:val="0"/>
          <w:numId w:val="12"/>
        </w:numPr>
        <w:suppressAutoHyphens/>
        <w:rPr>
          <w:rFonts w:eastAsia="MS Mincho"/>
        </w:rPr>
      </w:pPr>
      <w:r w:rsidRPr="008608AA">
        <w:rPr>
          <w:rFonts w:eastAsia="MS Mincho"/>
        </w:rPr>
        <w:t xml:space="preserve">While the links between the various components of the IPBES framework are easy to conceptualize qualitatively, much work remains to be done to define the relationships quantitatively, as evidenced throughout this chapter. Yet, the utility of both qualitative and quantitative modeling is clearly demonstrated by use of the IPBES framework in </w:t>
      </w:r>
      <w:r w:rsidR="00A47F44" w:rsidRPr="008608AA">
        <w:rPr>
          <w:rFonts w:eastAsia="MS Mincho"/>
        </w:rPr>
        <w:t xml:space="preserve">section </w:t>
      </w:r>
      <w:r w:rsidRPr="008608AA">
        <w:rPr>
          <w:rFonts w:eastAsia="MS Mincho"/>
        </w:rPr>
        <w:t>5</w:t>
      </w:r>
      <w:r w:rsidR="00F33124" w:rsidRPr="008608AA">
        <w:rPr>
          <w:rFonts w:eastAsia="MS Mincho"/>
        </w:rPr>
        <w:t>.4 and the Global Biodiversity M</w:t>
      </w:r>
      <w:r w:rsidRPr="008608AA">
        <w:rPr>
          <w:rFonts w:eastAsia="MS Mincho"/>
        </w:rPr>
        <w:t xml:space="preserve">odel for policy support considerations presented in </w:t>
      </w:r>
      <w:r w:rsidR="00A47F44" w:rsidRPr="008608AA">
        <w:rPr>
          <w:rFonts w:eastAsia="MS Mincho"/>
        </w:rPr>
        <w:t xml:space="preserve">section </w:t>
      </w:r>
      <w:r w:rsidRPr="008608AA">
        <w:rPr>
          <w:rFonts w:eastAsia="MS Mincho"/>
        </w:rPr>
        <w:t>5.5, respectively.</w:t>
      </w:r>
    </w:p>
    <w:p w14:paraId="17EEC8D3" w14:textId="77777777" w:rsidR="00490494" w:rsidRPr="008608AA" w:rsidRDefault="00490494" w:rsidP="00B33BD5">
      <w:pPr>
        <w:numPr>
          <w:ilvl w:val="0"/>
          <w:numId w:val="12"/>
        </w:numPr>
        <w:suppressAutoHyphens/>
        <w:rPr>
          <w:rFonts w:eastAsia="MS Mincho"/>
        </w:rPr>
      </w:pPr>
      <w:r w:rsidRPr="008608AA">
        <w:rPr>
          <w:rFonts w:eastAsia="MS Mincho"/>
        </w:rPr>
        <w:t xml:space="preserve">From Chapters 3 and 4, it is clear that region-level datasets are lacking for many taxa and drivers and this will continue to be a challenge for regional and </w:t>
      </w:r>
      <w:r w:rsidR="007C45FD" w:rsidRPr="008608AA">
        <w:rPr>
          <w:rFonts w:eastAsia="MS Mincho"/>
        </w:rPr>
        <w:t>sub</w:t>
      </w:r>
      <w:r w:rsidRPr="008608AA">
        <w:rPr>
          <w:rFonts w:eastAsia="MS Mincho"/>
        </w:rPr>
        <w:t>regional modeling in the Americas.</w:t>
      </w:r>
    </w:p>
    <w:p w14:paraId="3E9B0106" w14:textId="77777777" w:rsidR="00490494" w:rsidRPr="008608AA" w:rsidRDefault="00490494" w:rsidP="00B33BD5">
      <w:pPr>
        <w:numPr>
          <w:ilvl w:val="0"/>
          <w:numId w:val="12"/>
        </w:numPr>
        <w:suppressAutoHyphens/>
        <w:rPr>
          <w:rFonts w:eastAsia="MS Mincho"/>
        </w:rPr>
      </w:pPr>
      <w:r w:rsidRPr="008608AA">
        <w:rPr>
          <w:rFonts w:eastAsia="MS Mincho"/>
        </w:rPr>
        <w:t>Scenarios and scenario building will provide only some of the process and raw intellectual material for development of solutions for the wicked problem of biodiversity conservation. Development of new approaches to governance and new policy tools will be necessary for those solutions. Modeling will help evaluate policy options that are inherent in scenarios and both will lend themselves to development of visions of achievable and desirable futures and the most efficacious pathways to those futures. This ex-ante modeling to evaluate the effectiveness of policies is critical; as some policies and efforts may have unintended consequences.</w:t>
      </w:r>
    </w:p>
    <w:p w14:paraId="5B8309C3" w14:textId="09513DA7" w:rsidR="00490494" w:rsidRPr="008608AA" w:rsidRDefault="00490494" w:rsidP="00B33BD5">
      <w:pPr>
        <w:numPr>
          <w:ilvl w:val="0"/>
          <w:numId w:val="12"/>
        </w:numPr>
        <w:suppressAutoHyphens/>
        <w:rPr>
          <w:rFonts w:eastAsia="MS Mincho"/>
        </w:rPr>
      </w:pPr>
      <w:r w:rsidRPr="008608AA">
        <w:rPr>
          <w:rFonts w:eastAsia="MS Mincho"/>
        </w:rPr>
        <w:t xml:space="preserve">Scenarios are descriptions of plausible futures, but the futures themselves need to be carefully defined with clear endpoints in mind and implemented at the national and international levels. Progress is being made on defining desireable endpoints through the Aichi </w:t>
      </w:r>
      <w:r w:rsidR="00847F60" w:rsidRPr="008608AA">
        <w:rPr>
          <w:rFonts w:eastAsia="MS Mincho"/>
        </w:rPr>
        <w:t>target</w:t>
      </w:r>
      <w:r w:rsidRPr="008608AA">
        <w:rPr>
          <w:rFonts w:eastAsia="MS Mincho"/>
        </w:rPr>
        <w:t xml:space="preserve">s, the Paris Accord, and the SDG, but consistent with Aichi </w:t>
      </w:r>
      <w:r w:rsidR="00847F60" w:rsidRPr="008608AA">
        <w:rPr>
          <w:rFonts w:eastAsia="MS Mincho"/>
        </w:rPr>
        <w:t>target</w:t>
      </w:r>
      <w:r w:rsidRPr="008608AA">
        <w:rPr>
          <w:rFonts w:eastAsia="MS Mincho"/>
        </w:rPr>
        <w:t xml:space="preserve"> 2, critical to the effectiveness of both is mainstreaming of the targets and goals throughout governance systems at all scales. With well-defined goals, the development of target-seekiing scenarios would likely prove productive. </w:t>
      </w:r>
    </w:p>
    <w:p w14:paraId="4D1A5BB9" w14:textId="77777777" w:rsidR="00490494" w:rsidRPr="008608AA" w:rsidRDefault="00490494" w:rsidP="00B33BD5">
      <w:pPr>
        <w:numPr>
          <w:ilvl w:val="0"/>
          <w:numId w:val="12"/>
        </w:numPr>
        <w:suppressAutoHyphens/>
        <w:rPr>
          <w:rFonts w:eastAsia="MS Mincho"/>
        </w:rPr>
      </w:pPr>
      <w:r w:rsidRPr="008608AA">
        <w:rPr>
          <w:rFonts w:eastAsia="MS Mincho"/>
        </w:rPr>
        <w:t>A number of considerations have been identified throughout this chapter that are necessary to insuring effective and comprehensive scenarios and modeling efforts:</w:t>
      </w:r>
    </w:p>
    <w:p w14:paraId="073DB8E7" w14:textId="77777777" w:rsidR="00490494" w:rsidRPr="008608AA" w:rsidRDefault="00490494" w:rsidP="00B33BD5">
      <w:pPr>
        <w:numPr>
          <w:ilvl w:val="1"/>
          <w:numId w:val="12"/>
        </w:numPr>
        <w:suppressAutoHyphens/>
        <w:rPr>
          <w:rFonts w:eastAsia="MS Mincho"/>
        </w:rPr>
      </w:pPr>
      <w:r w:rsidRPr="008608AA">
        <w:rPr>
          <w:rFonts w:eastAsia="MS Mincho"/>
        </w:rPr>
        <w:t>Making use of all sources of knowledge</w:t>
      </w:r>
    </w:p>
    <w:p w14:paraId="65EB3096" w14:textId="77777777" w:rsidR="00490494" w:rsidRPr="008608AA" w:rsidRDefault="00490494" w:rsidP="00B33BD5">
      <w:pPr>
        <w:numPr>
          <w:ilvl w:val="1"/>
          <w:numId w:val="12"/>
        </w:numPr>
        <w:suppressAutoHyphens/>
        <w:rPr>
          <w:rFonts w:eastAsia="MS Mincho"/>
        </w:rPr>
      </w:pPr>
      <w:r w:rsidRPr="008608AA">
        <w:rPr>
          <w:rFonts w:eastAsia="MS Mincho"/>
        </w:rPr>
        <w:t>Consideration of different value systems</w:t>
      </w:r>
    </w:p>
    <w:p w14:paraId="0AB3CCF4" w14:textId="77777777" w:rsidR="00490494" w:rsidRPr="008608AA" w:rsidRDefault="00490494" w:rsidP="00B33BD5">
      <w:pPr>
        <w:numPr>
          <w:ilvl w:val="1"/>
          <w:numId w:val="12"/>
        </w:numPr>
        <w:suppressAutoHyphens/>
        <w:rPr>
          <w:rFonts w:eastAsia="MS Mincho"/>
        </w:rPr>
      </w:pPr>
      <w:r w:rsidRPr="008608AA">
        <w:rPr>
          <w:rFonts w:eastAsia="MS Mincho"/>
        </w:rPr>
        <w:t>Hundreds of scenarios already exist, more effort by practitioners should go towards integration of these scenarios rather than development new ones</w:t>
      </w:r>
    </w:p>
    <w:p w14:paraId="2ECA53AE" w14:textId="77777777" w:rsidR="00490494" w:rsidRPr="008608AA" w:rsidRDefault="00490494" w:rsidP="00B33BD5">
      <w:pPr>
        <w:numPr>
          <w:ilvl w:val="1"/>
          <w:numId w:val="12"/>
        </w:numPr>
        <w:suppressAutoHyphens/>
        <w:rPr>
          <w:rFonts w:eastAsia="MS Mincho"/>
        </w:rPr>
      </w:pPr>
      <w:r w:rsidRPr="008608AA">
        <w:rPr>
          <w:rFonts w:eastAsia="MS Mincho"/>
        </w:rPr>
        <w:t>Telecoupling</w:t>
      </w:r>
    </w:p>
    <w:p w14:paraId="22F9060A" w14:textId="77777777" w:rsidR="00490494" w:rsidRPr="008608AA" w:rsidRDefault="00490494" w:rsidP="00B33BD5">
      <w:pPr>
        <w:numPr>
          <w:ilvl w:val="1"/>
          <w:numId w:val="12"/>
        </w:numPr>
        <w:suppressAutoHyphens/>
        <w:rPr>
          <w:rFonts w:eastAsia="MS Mincho"/>
        </w:rPr>
      </w:pPr>
      <w:r w:rsidRPr="008608AA">
        <w:rPr>
          <w:rFonts w:eastAsia="MS Mincho"/>
        </w:rPr>
        <w:t>Feedback systems in nature, especially as related to tipping points and thresholds</w:t>
      </w:r>
    </w:p>
    <w:p w14:paraId="46698094" w14:textId="77777777" w:rsidR="00490494" w:rsidRPr="008608AA" w:rsidRDefault="00490494" w:rsidP="00B33BD5">
      <w:pPr>
        <w:numPr>
          <w:ilvl w:val="1"/>
          <w:numId w:val="12"/>
        </w:numPr>
        <w:suppressAutoHyphens/>
        <w:rPr>
          <w:rFonts w:eastAsia="MS Mincho"/>
        </w:rPr>
      </w:pPr>
      <w:r w:rsidRPr="008608AA">
        <w:rPr>
          <w:rFonts w:eastAsia="MS Mincho"/>
        </w:rPr>
        <w:t>Synergies among drivers</w:t>
      </w:r>
    </w:p>
    <w:p w14:paraId="58768A87" w14:textId="77777777" w:rsidR="00490494" w:rsidRPr="008608AA" w:rsidRDefault="00490494" w:rsidP="00B33BD5">
      <w:pPr>
        <w:numPr>
          <w:ilvl w:val="0"/>
          <w:numId w:val="12"/>
        </w:numPr>
        <w:suppressAutoHyphens/>
        <w:rPr>
          <w:rFonts w:eastAsia="MS Mincho"/>
        </w:rPr>
      </w:pPr>
      <w:r w:rsidRPr="008608AA">
        <w:rPr>
          <w:rFonts w:eastAsia="MS Mincho"/>
        </w:rPr>
        <w:t>As with the search for modeling studies that comprehensively address the IPBES framework, no regional level visions or pathways for the Americas Region were identified through this assessment. However, a number of studies have identified principles that have met with success in more limited situations. The following are emerging principles/efforts in this area specifically from studies for the Americas.</w:t>
      </w:r>
    </w:p>
    <w:p w14:paraId="56AD31F0" w14:textId="01D26420" w:rsidR="00490494" w:rsidRPr="008608AA" w:rsidRDefault="00490494" w:rsidP="00B33BD5">
      <w:pPr>
        <w:numPr>
          <w:ilvl w:val="1"/>
          <w:numId w:val="12"/>
        </w:numPr>
        <w:suppressAutoHyphens/>
        <w:rPr>
          <w:rFonts w:eastAsia="MS Mincho"/>
        </w:rPr>
      </w:pPr>
      <w:r w:rsidRPr="008608AA">
        <w:rPr>
          <w:rFonts w:eastAsia="MS Mincho"/>
        </w:rPr>
        <w:t xml:space="preserve">Developing countries will be key factors in biodiversity conservation, as they are by definition expanding their economy, and hence, ecological footprint and have the potential to disproportionately influence progress towards biodiversity conservation by 2050 </w:t>
      </w:r>
      <w:r w:rsidRPr="008608AA">
        <w:rPr>
          <w:rFonts w:eastAsia="MS Mincho"/>
        </w:rPr>
        <w:fldChar w:fldCharType="begin" w:fldLock="1"/>
      </w:r>
      <w:r w:rsidRPr="008608AA">
        <w:rPr>
          <w:rFonts w:eastAsia="MS Mincho"/>
        </w:rPr>
        <w:instrText>ADDIN CSL_CITATION { "citationItems" : [ { "id" : "ITEM-1", "itemData" : { "DOI" : "10.3390/su7010271", "ISSN" : "2071-1050", "abstract" : "The 2014 Conference of the Parties (COP 12) for the Convention on Biological Diversity (CBD) was another step on the road to achieving the Aichi Targets the CBD agreed in 2010. It was also a key step on the way to making progress towards the vision of a more balanced relationship between people and the rest of biodiversity by 2050. Many key issues were left for this COP by negotiators from COP 11 and earlier meetings; such as settling financial issues, articulating clearly the Aichi Targets for national implementation by 2020, or providing clear guidance on capacity-building for developing states. This paper utilizes 22 stakeholder interviews taken at the 2012 Hyderabad COP to develop discussion of ongoing issues in the CBD negotiations. These interviews yielded a number of tractable policy opportunities available for the 2014 Conference to create significant space for developing countries to contribute effectively to global achievement of the Aichi Targets. Breakthroughs and developments at the COP, despite the inevitability of some difficult discussions, will be provided by developing country perspectives. Despite that potential traction, Ministers at the high-level segment noted that progress towards the Aichi targets is insufficient and recognizing there was still much to do on resource mobilization, reaffirmed their commitment to mobilize financial resources from all sources for the effective implementation of the Strategic Plan for Biodiversity 2011\u20132020. As we enter the second half of the 2011\u20132020 decade, developing countries must be placed at the center of efforts to improve sustainable use, conservation and benefit sharing of biodiversity around the world.", "author" : [ { "dropping-particle" : "", "family" : "Adenle", "given" : "Ademola", "non-dropping-particle" : "", "parse-names" : false, "suffix" : "" }, { "dropping-particle" : "", "family" : "Stevens", "given" : "Casey", "non-dropping-particle" : "", "parse-names" : false, "suffix" : "" }, { "dropping-particle" : "", "family" : "Bridgewater", "given" : "Peter", "non-dropping-particle" : "", "parse-names" : false, "suffix" : "" } ], "container-title" : "Sustainability", "id" : "ITEM-1", "issue" : "1", "issued" : { "date-parts" : [ [ "2014", "12", "29" ] ] }, "page" : "271-293", "title" : "Stakeholder Visions for Biodiversity Conservation in Developing Countries", "type" : "article-journal", "volume" : "7" }, "uris" : [ "http://www.mendeley.com/documents/?uuid=b45cca08-ba88-41a8-81d1-642573452bcd" ] }, { "id" : "ITEM-2", "itemData" : { "DOI" : "10.1016/j.worlddev.2015.01.013", "ISSN" : "0305750X", "author" : [ { "dropping-particle" : "", "family" : "Joshi", "given" : "Devin K", "non-dropping-particle" : "", "parse-names" : false, "suffix" : "" }, { "dropping-particle" : "", "family" : "Hughes", "given" : "Barry B", "non-dropping-particle" : "", "parse-names" : false, "suffix" : "" }, { "dropping-particle" : "", "family" : "Sisk", "given" : "Timothy D", "non-dropping-particle" : "", "parse-names" : false, "suffix" : "" } ], "container-title" : "World Development", "id" : "ITEM-2", "issued" : { "date-parts" : [ [ "2015", "6" ] ] }, "page" : "286-302", "publisher" : "Elsevier Ltd", "title" : "Improving Governance for the Post-2015 Sustainable Development Goals: Scenario Forecasting the Next 50years", "type" : "article-journal", "volume" : "70" }, "uris" : [ "http://www.mendeley.com/documents/?uuid=e9f40eea-53d7-4cb2-837f-e1963879cec9" ] } ], "mendeley" : { "formattedCitation" : "(Adenle, Stevens, &amp; Bridgewater, 2014; Joshi, Hughes, &amp; Sisk, 2015)", "plainTextFormattedCitation" : "(Adenle, Stevens, &amp; Bridgewater, 2014; Joshi, Hughes, &amp; Sisk, 2015)", "previouslyFormattedCitation" : "(Adenle, Stevens, &amp; Bridgewater, 2014; Joshi, Hughes, &amp; Sisk, 2015)" }, "properties" : {  }, "schema" : "https://github.com/citation-style-language/schema/raw/master/csl-citation.json" }</w:instrText>
      </w:r>
      <w:r w:rsidRPr="008608AA">
        <w:rPr>
          <w:rFonts w:eastAsia="MS Mincho"/>
        </w:rPr>
        <w:fldChar w:fldCharType="separate"/>
      </w:r>
      <w:r w:rsidR="002C171D" w:rsidRPr="008608AA">
        <w:rPr>
          <w:rFonts w:eastAsia="MS Mincho"/>
          <w:noProof/>
        </w:rPr>
        <w:t>(Adenle</w:t>
      </w:r>
      <w:r w:rsidRPr="008608AA">
        <w:rPr>
          <w:rFonts w:eastAsia="MS Mincho"/>
          <w:noProof/>
        </w:rPr>
        <w:t xml:space="preserve"> et al., 2014; Jo</w:t>
      </w:r>
      <w:r w:rsidR="002C171D" w:rsidRPr="008608AA">
        <w:rPr>
          <w:rFonts w:eastAsia="MS Mincho"/>
          <w:noProof/>
        </w:rPr>
        <w:t>shi</w:t>
      </w:r>
      <w:r w:rsidRPr="008608AA">
        <w:rPr>
          <w:rFonts w:eastAsia="MS Mincho"/>
          <w:noProof/>
        </w:rPr>
        <w:t xml:space="preserve"> et al., 2015)</w:t>
      </w:r>
      <w:r w:rsidRPr="008608AA">
        <w:rPr>
          <w:rFonts w:eastAsia="MS Mincho"/>
        </w:rPr>
        <w:fldChar w:fldCharType="end"/>
      </w:r>
      <w:r w:rsidRPr="008608AA">
        <w:rPr>
          <w:rFonts w:eastAsia="MS Mincho"/>
        </w:rPr>
        <w:t>.</w:t>
      </w:r>
    </w:p>
    <w:p w14:paraId="4D61964F" w14:textId="328D4DD6" w:rsidR="00490494" w:rsidRPr="00A3137A" w:rsidRDefault="00490494" w:rsidP="00B33BD5">
      <w:pPr>
        <w:numPr>
          <w:ilvl w:val="1"/>
          <w:numId w:val="12"/>
        </w:numPr>
        <w:suppressAutoHyphens/>
        <w:rPr>
          <w:rFonts w:eastAsia="MS Mincho"/>
          <w:lang w:val="fr-FR"/>
        </w:rPr>
      </w:pPr>
      <w:r w:rsidRPr="008608AA">
        <w:rPr>
          <w:rFonts w:eastAsia="MS Mincho"/>
        </w:rPr>
        <w:t xml:space="preserve">Participatory approaches to scenario development are helpful in insuring their achievability and the lack of participatory mechanisms can be detrimental to resource management </w:t>
      </w:r>
      <w:r w:rsidRPr="008608AA">
        <w:rPr>
          <w:rFonts w:eastAsia="MS Mincho"/>
        </w:rPr>
        <w:fldChar w:fldCharType="begin" w:fldLock="1"/>
      </w:r>
      <w:r w:rsidRPr="008608AA">
        <w:rPr>
          <w:rFonts w:eastAsia="MS Mincho"/>
        </w:rPr>
        <w:instrText>ADDIN CSL_CITATION { "citationItems" : [ { "id" : "ITEM-1", "itemData" : { "DOI" : "10.3390/su2082686", "abstract" : "Both scenario visioning and participatory system dynamics modeling emphasize the dynamic and uncontrollable nature of complex socio-ecological systems, and the significance of multiple feedback mechanisms. These two methodologies complement one another, but are rarely used together. We partnered with regional organizations in Minnesota to design a future visioning process that incorporated both scenarios and participatory system dynamics modeling. The three purposes of this exercise were: first, to assist regional leaders in making strategic decisions that would make their communities sustainable; second, to identify research gaps that could impede the ability of regional and state groups to plan for the future; and finally, to introduce more systems thinking into planning and policy-making around environmental issues. We found that scenarios and modeling complemented one another, and that both techniques allowed regional groups to focus on the sustainability of fundamental support systems (energy, food, and water supply). The process introduced some creative tensions between imaginative scenario visioning and quantitative system dynamics modeling, and between creating desired futures (a strong cultural norm) and inhabiting the future (a premise of the Minnesota 2050 exercise). We suggest that these tensions can stimulate more agile, strategic thinking about the future.", "author" : [ { "dropping-particle" : "", "family" : "Schmitt-Olabisi", "given" : "Laura K", "non-dropping-particle" : "", "parse-names" : false, "suffix" : "" }, { "dropping-particle" : "", "family" : "Kapuscinski", "given" : "Anne R", "non-dropping-particle" : "", "parse-names" : false, "suffix" : "" }, { "dropping-particle" : "", "family" : "Johnson", "given" : "Kris A", "non-dropping-particle" : "", "parse-names" : false, "suffix" : "" }, { "dropping-particle" : "", "family" : "Reich", "given" : "Peter B", "non-dropping-particle" : "", "parse-names" : false, "suffix" : "" }, { "dropping-particle" : "", "family" : "Stenquist", "given" : "Brian", "non-dropping-particle" : "", "parse-names" : false, "suffix" : "" }, { "dropping-particle" : "", "family" : "Draeger", "given" : "Kathryn J", "non-dropping-particle" : "", "parse-names" : false, "suffix" : "" } ], "container-title" : "Sustainability", "id" : "ITEM-1", "issue" : "2", "issued" : { "date-parts" : [ [ "2010" ] ] }, "page" : "2686-2706", "title" : "Using Scenario Visioning and Participatory System Dynamics Modeling to Investigate the Future: Lessons from Minnesota 2050", "type" : "article-journal", "volume" : "2010" }, "uris" : [ "http://www.mendeley.com/documents/?uuid=2dc07615-47bc-4e51-98d5-101cf232cfc6" ] }, { "id" : "ITEM-2", "itemData" : { "DOI" : "10.1007/s10113-010-0143-3", "author" : [ { "dropping-particle" : "", "family" : "Bohunovsky", "given" : "Lisa", "non-dropping-particle" : "", "parse-names" : false, "suffix" : "" }, { "dropping-particle" : "", "family" : "Ja", "given" : "Jill", "non-dropping-particle" : "", "parse-names" : false, "suffix" : "" }, { "dropping-particle" : "", "family" : "Omann", "given" : "Ines", "non-dropping-particle" : "", "parse-names" : false, "suffix" : "" } ], "container-title" : "Regional Environmental Change", "id" : "ITEM-2", "issued" : { "date-parts" : [ [ "2011" ] ] }, "page" : "271-284", "title" : "Participatory scenario development for integrated sustainability assessment", "type" : "article-journal", "volume" : "11" }, "uris" : [ "http://www.mendeley.com/documents/?uuid=f729670d-4dd4-4629-817a-e210338c7a53" ] }, { "id" : "ITEM-3", "itemData" : { "DOI" : "10.1177/1070496511416915", "author" : [ { "dropping-particle" : "", "family" : "Seghezzo", "given" : "Lucas", "non-dropping-particle" : "", "parse-names" : false, "suffix" : "" }, { "dropping-particle" : "", "family" : "Volante", "given" : "Jos\u00e9 N", "non-dropping-particle" : "", "parse-names" : false, "suffix" : "" }, { "dropping-particle" : "", "family" : "Paruelo", "given" : "Jos\u00e9 M", "non-dropping-particle" : "", "parse-names" : false, "suffix" : "" }, { "dropping-particle" : "", "family" : "Somma", "given" : "Daniel J", "non-dropping-particle" : "", "parse-names" : false, "suffix" : "" }, { "dropping-particle" : "", "family" : "Buliubasich", "given" : "E Catalina", "non-dropping-particle" : "", "parse-names" : false, "suffix" : "" }, { "dropping-particle" : "", "family" : "Rodr\u00edguez", "given" : "H\u00e9ctor E", "non-dropping-particle" : "", "parse-names" : false, "suffix" : "" }, { "dropping-particle" : "", "family" : "Gagnon", "given" : "Sandra", "non-dropping-particle" : "", "parse-names" : false, "suffix" : "" }, { "dropping-particle" : "", "family" : "Hufty", "given" : "Marc", "non-dropping-particle" : "", "parse-names" : false, "suffix" : "" } ], "container-title" : "Journal of Environment and Development", "id" : "ITEM-3", "issue" : "3", "issued" : { "date-parts" : [ [ "2011" ] ] }, "page" : "251-277", "title" : "Native Forests and Agriculture in Salta ( Argentina ): Conflicting Visions of Development", "type" : "article-journal", "volume" : "20" }, "uris" : [ "http://www.mendeley.com/documents/?uuid=64ea2fd5-0be6-477f-859d-f8c843695bc2" ] }, { "id" : "ITEM-4", "itemData" : { "author" : [ { "dropping-particle" : "", "family" : "Quinn", "given" : "John E", "non-dropping-particle" : "", "parse-names" : false, "suffix" : "" }, { "dropping-particle" : "", "family" : "Brandle", "given" : "James R", "non-dropping-particle" : "", "parse-names" : false, "suffix" : "" }, { "dropping-particle" : "", "family" : "Johnson", "given" : "Ron J", "non-dropping-particle" : "", "parse-names" : false, "suffix" : "" } ], "container-title" : "International Journal of Agricultural Sustainability", "id" : "ITEM-4", "issue" : "2", "issued" : { "date-parts" : [ [ "2013" ] ] }, "page" : "176-192", "title" : "A farm-scale biodiversity and ecosystem services assessment tool : the healthy farm index", "type" : "article-journal", "volume" : "11" }, "uris" : [ "http://www.mendeley.com/documents/?uuid=f8e35e56-c9f9-49b0-9ad9-b522200d7163" ] }, { "id"</w:instrText>
      </w:r>
      <w:r w:rsidRPr="00A3137A">
        <w:rPr>
          <w:rFonts w:eastAsia="MS Mincho"/>
          <w:lang w:val="fr-FR"/>
        </w:rPr>
        <w:instrText xml:space="preserve"> : "ITEM-5", "itemData" : { "DOI" : "10.1016/j.marpol.2017.03.003", "ISSN" : "0308-597X", "author" : [ { "dropping-particle" : "", "family" : "Gonzalez-Bernat", "given" : "Maria J", "non-dropping-particle" : "", "parse-names" : false, "suffix" : "" }, { "dropping-particle" : "", "family" : "Clifton", "given" : "Julian", "non-dropping-particle" : "", "parse-names" : false, "suffix" : "" } ], "container-title" : "Marine Policy", "id" : "ITEM-5", "issue" : "March", "issued" : { "date-parts" : [ [ "2017" ] ] }, "page" : "9-20", "publisher" : "Elsevier Ltd", "title" : "\"Living with our backs to the sea\": A critical analysis of marine and coastal governance in Guatemala", "type" : "article-journal", "volume" : "81" }, "uris" : [ "http://www.mendeley.com/documents/?uuid=9f554614-42b5-46d6-8dfe-739974db157e" ] } ], "mendeley" : { "formattedCitation" : "(Bohunovsky, Ja, &amp; Omann, 2011; Gonzalez-Bernat &amp; Clifton, 2017; Quinn, Brandle, &amp; Johnson, 2013; Schmitt-Olabisi et al., 2010; Seghezzo et al., 2011)", "plainTextFormattedCitation" : "(Bohunovsky, Ja, &amp; Omann, 2011; Gonzalez-Bernat &amp; Clifton, 2017; Quinn, Brandle, &amp; Johnson, 2013; Schmitt-Olabisi et al., 2010; Seghezzo et al., 2011)", "previouslyFormattedCitation" : "(Bohunovsky, Ja, &amp; Omann, 2011; Gonzalez-Bernat &amp; Clifton, 2017; Quinn, Brandle, &amp; Johnson, 2013; Schmitt-Olabisi et al., 2010; Seghezzo et al., 2011)" }, "properties" : {  }, "schema" : "https://github.com/citation-style-language/schema/raw/master/csl-citation.json" }</w:instrText>
      </w:r>
      <w:r w:rsidRPr="008608AA">
        <w:rPr>
          <w:rFonts w:eastAsia="MS Mincho"/>
        </w:rPr>
        <w:fldChar w:fldCharType="separate"/>
      </w:r>
      <w:r w:rsidRPr="00A3137A">
        <w:rPr>
          <w:rFonts w:eastAsia="MS Mincho"/>
          <w:noProof/>
          <w:lang w:val="fr-FR"/>
        </w:rPr>
        <w:t>(Bohunovsky et al., 2011; Gonzalez-Bernat &amp;</w:t>
      </w:r>
      <w:r w:rsidR="002C171D" w:rsidRPr="00A3137A">
        <w:rPr>
          <w:rFonts w:eastAsia="MS Mincho"/>
          <w:noProof/>
          <w:lang w:val="fr-FR"/>
        </w:rPr>
        <w:t xml:space="preserve"> Clifton, 2017; Quinn</w:t>
      </w:r>
      <w:r w:rsidRPr="00A3137A">
        <w:rPr>
          <w:rFonts w:eastAsia="MS Mincho"/>
          <w:noProof/>
          <w:lang w:val="fr-FR"/>
        </w:rPr>
        <w:t xml:space="preserve"> et al., 2013; Schmitt-Olabisi et al., 2010; Seghezzo et al., 2011)</w:t>
      </w:r>
      <w:r w:rsidRPr="008608AA">
        <w:rPr>
          <w:rFonts w:eastAsia="MS Mincho"/>
        </w:rPr>
        <w:fldChar w:fldCharType="end"/>
      </w:r>
      <w:r w:rsidRPr="00A3137A">
        <w:rPr>
          <w:rFonts w:eastAsia="MS Mincho"/>
          <w:lang w:val="fr-FR"/>
        </w:rPr>
        <w:t>.</w:t>
      </w:r>
    </w:p>
    <w:p w14:paraId="33D03189" w14:textId="77777777" w:rsidR="00490494" w:rsidRPr="008608AA" w:rsidRDefault="00490494" w:rsidP="00B33BD5">
      <w:pPr>
        <w:numPr>
          <w:ilvl w:val="1"/>
          <w:numId w:val="12"/>
        </w:numPr>
        <w:suppressAutoHyphens/>
        <w:rPr>
          <w:rFonts w:eastAsia="MS Mincho"/>
        </w:rPr>
      </w:pPr>
      <w:r w:rsidRPr="008608AA">
        <w:rPr>
          <w:rFonts w:eastAsia="MS Mincho"/>
        </w:rPr>
        <w:t xml:space="preserve">Refocusing and directing resources in direct support of biodiversity projects, especially in developing countries, may be a viable component of future pathways </w:t>
      </w:r>
      <w:r w:rsidRPr="008608AA">
        <w:rPr>
          <w:rFonts w:eastAsia="MS Mincho"/>
        </w:rPr>
        <w:fldChar w:fldCharType="begin" w:fldLock="1"/>
      </w:r>
      <w:r w:rsidRPr="008608AA">
        <w:rPr>
          <w:rFonts w:eastAsia="MS Mincho"/>
        </w:rPr>
        <w:instrText>ADDIN CSL_CITATION { "citationItems" : [ { "id" : "ITEM-1", "itemData" : { "DOI" : "10.3390/su7010271", "ISSN" : "2071-1050", "abstract" : "The 2014 Conference of the Parties (COP 12) for the Convention on Biological Diversity (CBD) was another step on the road to achieving the Aichi Targets the CBD agreed in 2010. It was also a key step on the way to making progress towards the vision of a more balanced relationship between people and the rest of biodiversity by 2050. Many key issues were left for this COP by negotiators from COP 11 and earlier meetings; such as settling financial issues, articulating clearly the Aichi Targets for national implementation by 2020, or providing clear guidance on capacity-building for developing states. This paper utilizes 22 stakeholder interviews taken at the 2012 Hyderabad COP to develop discussion of ongoing issues in the CBD negotiations. These interviews yielded a number of tractable policy opportunities available for the 2014 Conference to create significant space for developing countries to contribute effectively to global achievement of the Aichi Targets. Breakthroughs and developments at the COP, despite the inevitability of some difficult discussions, will be provided by developing country perspectives. Despite that potential traction, Ministers at the high-level segment noted that progress towards the Aichi targets is insufficient and recognizing there was still much to do on resource mobilization, reaffirmed their commitment to mobilize financial resources from all sources for the effective implementation of the Strategic Plan for Biodiversity 2011\u20132020. As we enter the second half of the 2011\u20132020 decade, developing countries must be placed at the center of efforts to improve sustainable use, conservation and benefit sharing of biodiversity around the world.", "author" : [ { "dropping-particle" : "", "family" : "Adenle", "given" : "Ademola", "non-dropping-particle" : "", "parse-names" : false, "suffix" : "" }, { "dropping-particle" : "", "family" : "Stevens", "given" : "Casey", "non-dropping-particle" : "", "parse-names" : false, "suffix" : "" }, { "dropping-particle" : "", "family" : "Bridgewater", "given" : "Peter", "non-dropping-particle" : "", "parse-names" : false, "suffix" : "" } ], "container-title" : "Sustainability", "id" : "ITEM-1", "issue" : "1", "issued" : { "date-parts" : [ [ "2014", "12", "29" ] ] }, "page" : "271-293", "title" : "Stakeholder Visions for Biodiversity Conservation in Developing Countries", "type" : "article-journal", "volume" : "7" }, "uris" : [ "http://www.mendeley.com/documents/?uuid=b45cca08-ba88-41a8-81d1-642573452bcd" ] }, { "id" : "ITEM-2", "itemData" : { "DOI" : "10.1111/gcb.13355", "author" : [ { "dropping-particle" : "", "family" : "Boit", "given" : "Alice", "non-dropping-particle" : "", "parse-names" : false, "suffix" : "" }, { "dropping-particle" : "", "family" : "Sakschewski", "given" : "Boris", "non-dropping-particle" : "", "parse-names" : false, "suffix" : "" }, { "dropping-particle" : "", "family" : "Boysen", "given" : "Lena", "non-dropping-particle" : "", "parse-names" : false, "suffix" : "" }, { "dropping-particle" : "", "family" : "Cano-Crespo", "given" : "Ana", "non-dropping-particle" : "", "parse-names" : false, "suffix" : "" }, { "dropping-particle" : "", "family" : "Clement", "given" : "Jan", "non-dropping-particle" : "", "parse-names" : false, "suffix" : "" }, { "dropping-particle" : "", "family" : "Alaniz", "given" : "Nahieli Garcia", "non-dropping-particle" : "", "parse-names" : false, "suffix" : "" }, { "dropping-particle" : "", "family" : "Kok", "given" : "Kasper", "non-dropping-particle" : "", "parse-names" : false, "suffix" : "" }, { "dropping-particle" : "", "family" : "Kolb", "given" : "Melanie", "non-dropping-particle" : "", "parse-names" : false, "suffix" : "" }, { "dropping-particle" : "", "family" : "Langerwisch", "given" : "Fanny", "non-dropping-particle" : "", "parse-names" : false, "suffix" : "" }, { "dropping-particle" : "", "family" : "Rammig", "given" : "Anja", "non-dropping-particle" : "", "parse-names" : false, "suffix" : "" }, { "dropping-particle" : "", "family" : "Sachse", "given" : "Rene", "non-dropping-particle" : "", "parse-names" : false, "suffix" : "" }, { "dropping-particle" : "", "family" : "Eupen", "given" : "Michiel", "non-dropping-particle" : "van", "parse-names" : false, "suffix" : "" }, { "dropping-particle" : "", "family" : "Bloh", "given" : "Werner", "non-dropping-particle" : "von", "parse-names" : false, "suffix" : "" }, { "dropping-particle" : "", "family" : "Zemp", "given" : "Delphine", "non-dropping-particle" : "", "parse-names" : false, "suffix" : "" }, { "dropping-particle" : "", "family" : "Thonicke", "given" : "Kirsten", "non-dropping-particle" : "", "parse-names" : false, "suffix" : "" } ], "container-title" : "Global Change Biology", "id" : "ITEM-2", "issue" : "11", "issued" : { "date-parts" : [ [ "2016" ] ] }, "title" : "Large-scale impact of climate change versus land-use change on future biome shifts in Latin America", "type" : "article-journal", "volume" : "22" }, "uris" : [ "http://www.mendeley.com/documents/?uuid=6fd72e9e-3082-47d1-9317-4919ec191c61" ] } ], "mendeley" : { "formattedCitation" : "(Adenle et al., 2014; Boit et al., 2016)", "plainTextFormattedCitation" : "(Adenle et al., 2014; Boit et al., 2016)", "previouslyFormattedCitation" : "(Adenle et al., 2014; Boit et al., 2016)" }, "properties" : {  }, "schema" : "https://github.com/citation-style-language/schema/raw/master/csl-citation.json" }</w:instrText>
      </w:r>
      <w:r w:rsidRPr="008608AA">
        <w:rPr>
          <w:rFonts w:eastAsia="MS Mincho"/>
        </w:rPr>
        <w:fldChar w:fldCharType="separate"/>
      </w:r>
      <w:r w:rsidRPr="008608AA">
        <w:rPr>
          <w:rFonts w:eastAsia="MS Mincho"/>
          <w:noProof/>
        </w:rPr>
        <w:t>(Adenle et al., 2014; Boit et al., 2016)</w:t>
      </w:r>
      <w:r w:rsidRPr="008608AA">
        <w:rPr>
          <w:rFonts w:eastAsia="MS Mincho"/>
        </w:rPr>
        <w:fldChar w:fldCharType="end"/>
      </w:r>
      <w:r w:rsidRPr="008608AA">
        <w:rPr>
          <w:rFonts w:eastAsia="MS Mincho"/>
        </w:rPr>
        <w:t>.</w:t>
      </w:r>
    </w:p>
    <w:p w14:paraId="550930A1" w14:textId="77777777" w:rsidR="00490494" w:rsidRPr="008608AA" w:rsidRDefault="00490494" w:rsidP="00B33BD5">
      <w:pPr>
        <w:numPr>
          <w:ilvl w:val="1"/>
          <w:numId w:val="12"/>
        </w:numPr>
        <w:suppressAutoHyphens/>
        <w:rPr>
          <w:rFonts w:eastAsia="MS Mincho"/>
        </w:rPr>
      </w:pPr>
      <w:r w:rsidRPr="008608AA">
        <w:rPr>
          <w:rFonts w:eastAsia="MS Mincho"/>
        </w:rPr>
        <w:t xml:space="preserve">Environmental management would benefit from systematic and complete reviews of available evidence and data </w:t>
      </w:r>
      <w:r w:rsidRPr="008608AA">
        <w:rPr>
          <w:rFonts w:eastAsia="MS Mincho"/>
        </w:rPr>
        <w:fldChar w:fldCharType="begin" w:fldLock="1"/>
      </w:r>
      <w:r w:rsidRPr="008608AA">
        <w:rPr>
          <w:rFonts w:eastAsia="MS Mincho"/>
        </w:rPr>
        <w:instrText>ADDIN CSL_CITATION { "citationItems" : [ { "id" : "ITEM-1", "itemData" : { "DOI" : "10.1186/s13750-016-0065-8", "ISBN" : "1375001600658", "author" : [ { "dropping-particle" : "", "family" : "Cooke", "given" : "Steven J", "non-dropping-particle" : "", "parse-names" : false, "suffix" : "" }, { "dropping-particle" : "", "family" : "Rice", "given" : "Jake C", "non-dropping-particle" : "", "parse-names" : false, "suffix" : "" }, { "dropping-particle" : "", "family" : "Prior", "given" : "Kent A", "non-dropping-particle" : "", "parse-names" : false, "suffix" : "" }, { "dropping-particle" : "", "family" : "Bloom", "given" : "Robin", "non-dropping-particle" : "", "parse-names" : false, "suffix" : "" }, { "dropping-particle" : "", "family" : "Jensen", "given" : "Olaf", "non-dropping-particle" : "", "parse-names" : false, "suffix" : "" }, { "dropping-particle" : "", "family" : "Browne", "given" : "David R", "non-dropping-particle" : "", "parse-names" : false, "suffix" : "" }, { "dropping-particle" : "", "family" : "Donaldson", "given" : "Lisa A", "non-dropping-particle" : "", "parse-names" : false, "suffix" : "" }, { "dropping-particle" : "", "family" : "Bennett", "given" : "Joseph R", "non-dropping-particle" : "", "parse-names" : false, "suffix" : "" }, { "dropping-particle" : "", "family" : "Vermaire", "given" : "Jesse C", "non-dropping-particle" : "", "parse-names" : false, "suffix" : "" }, { "dropping-particle" : "", "family" : "Auld", "given" : "Graeme", "non-dropping-particle" : "", "parse-names" : false, "suffix" : "" } ], "container-title" : "Environmental Evidence", "id" : "ITEM-1", "issued" : { "date-parts" : [ [ "2016" ] ] }, "page" : "1-9", "title" : "The Canadian context for evidence \u2011 based conservation and environmental management", "type" : "article-journal", "volume" : "5" }, "uris" : [ "http://www.mendeley.com/documents/?uuid=5cdae039-4c11-4ab4-8882-8e044fc2727c" ] }, { "id" : "ITEM-2", "itemData" : { "DOI" : "10.1111/nyas.12845", "ISSN" : "00778923", "author" : [ { "dropping-particle" : "", "family" : "Kremen", "given" : "Claire", "non-dropping-particle" : "", "parse-names" : false, "suffix" : "" } ], "container-title" : "Annals of the New York Academy of Sciences", "id" : "ITEM-2", "issue" : "1", "issued" : { "date-parts" : [ [ "2015", "10" ] ] }, "page" : "52-76", "title" : "Reframing the land-sparing/land-sharing debate for biodiversity conservation", "type" : "article-journal", "volume" : "1355" }, "uris" : [ "http://www.mendeley.com/documents/?uuid=ac8174b2-0eb9-4087-9668-33996cedbc2d" ] } ], "mendeley" : { "formattedCitation" : "(Cooke et al., 2016; Kremen, 2015)", "plainTextFormattedCitation" : "(Cooke et al., 2016; Kremen, 2015)", "previouslyFormattedCitation" : "(Cooke et al., 2016; Kremen, 2015)" }, "properties" : {  }, "schema" : "https://github.com/citation-style-language/schema/raw/master/csl-citation.json" }</w:instrText>
      </w:r>
      <w:r w:rsidRPr="008608AA">
        <w:rPr>
          <w:rFonts w:eastAsia="MS Mincho"/>
        </w:rPr>
        <w:fldChar w:fldCharType="separate"/>
      </w:r>
      <w:r w:rsidRPr="008608AA">
        <w:rPr>
          <w:rFonts w:eastAsia="MS Mincho"/>
          <w:noProof/>
        </w:rPr>
        <w:t>(Cooke et al., 2016; Kremen, 2015)</w:t>
      </w:r>
      <w:r w:rsidRPr="008608AA">
        <w:rPr>
          <w:rFonts w:eastAsia="MS Mincho"/>
        </w:rPr>
        <w:fldChar w:fldCharType="end"/>
      </w:r>
      <w:r w:rsidRPr="008608AA">
        <w:rPr>
          <w:rFonts w:eastAsia="MS Mincho"/>
        </w:rPr>
        <w:t xml:space="preserve">; this concept is applicable to scenario-modeling development as well. </w:t>
      </w:r>
    </w:p>
    <w:p w14:paraId="5C9B84DA" w14:textId="41D91649" w:rsidR="00490494" w:rsidRPr="008608AA" w:rsidRDefault="00490494" w:rsidP="00B33BD5">
      <w:pPr>
        <w:numPr>
          <w:ilvl w:val="1"/>
          <w:numId w:val="12"/>
        </w:numPr>
        <w:suppressAutoHyphens/>
        <w:rPr>
          <w:rFonts w:eastAsia="MS Mincho"/>
        </w:rPr>
      </w:pPr>
      <w:r w:rsidRPr="008608AA">
        <w:rPr>
          <w:rFonts w:eastAsia="MS Mincho"/>
        </w:rPr>
        <w:t xml:space="preserve">Pathways, which by necessity must include socio-ecological-governance systems, can be more effective if adaptive capacity is designed into them via cooperative networks; conversely, lack of capacity can be a significant hindrance to even the best intended policies </w:t>
      </w:r>
      <w:r w:rsidRPr="008608AA">
        <w:rPr>
          <w:rFonts w:eastAsia="MS Mincho"/>
        </w:rPr>
        <w:fldChar w:fldCharType="begin" w:fldLock="1"/>
      </w:r>
      <w:r w:rsidRPr="008608AA">
        <w:rPr>
          <w:rFonts w:eastAsia="MS Mincho"/>
        </w:rPr>
        <w:instrText>ADDIN CSL_CITATION { "citationItems" : [ { "id" : "ITEM-1", "itemData" : { "author" : [ { "dropping-particle" : "", "family" : "Folke", "given" : "Carl", "non-dropping-particle" : "", "parse-names" : false, "suffix" : "" }, { "dropping-particle" : "", "family" : "Hahn", "given" : "Thomas", "non-dropping-particle" : "", "parse-names" : false, "suffix" : "" }, { "dropping-particle" : "", "family" : "Olsson", "given" : "Per", "non-dropping-particle" : "", "parse-names" : false, "suffix" : "" }, { "dropping-particle" : "", "family" : "Norberg", "given" : "Jon", "non-dropping-particle" : "", "parse-names" : false, "suffix" : "" } ], "container-title" : "Annual Review of Environment and Resources", "id" : "ITEM-1", "issued" : { "date-parts" : [ [ "2005" ] ] }, "page" : "441-473", "title" : "ADAPTIVE GOVERNANCE OF SOCIAL-ECOLOGICAL SYSTEMS", "type" : "article-journal", "volume" : "30" }, "uris" : [ "http://www.mendeley.com/documents/?uuid=d766033b-70cd-4a1b-b00d-a33dfe594fac" ] }, { "id" : "ITEM-2", "itemData" : { "DOI" : "10.1007/s10531-013-0607-0", "author" : [ { "dropping-particle" : "", "family" : "Young", "given" : "Juliette C", "non-dropping-particle" : "", "parse-names" : false, "suffix" : "" }, { "dropping-particle" : "", "family" : "Waylen", "given" : "Kerry A", "non-dropping-particle" : "", "parse-names" : false, "suffix" : "" }, { "dropping-particle" : "", "family" : "Sarkki", "given" : "Simo", "non-dropping-particle" : "", "parse-names" : false, "suffix" : "" }, { "dropping-particle" : "", "family" : "Albon", "given" : "Steve", "non-dropping-particle" : "", "parse-names" : false, "suffix" : "" }, { "dropping-particle" : "", "family" : "Bainbridge", "given" : "Ian", "non-dropping-particle" : "", "parse-names" : false, "suffix" : "" }, { "dropping-particle" : "", "family" : "Balian", "given" : "Estelle", "non-dropping-particle" : "", "parse-names" : false, "suffix" : "" }, { "dropping-particle" : "", "family" : "Davidson", "given" : "James", "non-dropping-particle" : "", "parse-names" : false, "suffix" : "" }, { "dropping-particle" : "", "family" : "Edwards", "given" : "David", "non-dropping-particle" : "", "parse-names" : false, "suffix" : "" }, { "dropping-particle" : "", "family" : "Fairley", "given" : "Roddy", "non-dropping-particle" : "", "parse-names" : false, "suffix" : "" }, { "dropping-particle" : "", "family" : "Margerison", "given" : "Ceri", "non-dropping-particle" : "", "parse-names" : false, "suffix" : "" }, { "dropping-particle" : "", "family" : "Mccracken", "given" : "Davy", "non-dropping-particle" : "", "parse-names" : false, "suffix" : "" }, { "dropping-particle" : "", "family" : "Owen", "given" : "Roger", "non-dropping-particle" : "", "parse-names" : false, "suffix" : "" }, { "dropping-particle" : "", "family" : "Quine", "given" : "Christopher P", "non-dropping-particle" : "", "parse-names" : false, "suffix" : "" }, { "dropping-particle" : "", "family" : "Stewart-roper", "given" : "Charles", "non-dropping-particle" : "", "parse-names" : false, "suffix" : "" }, { "dropping-particle" : "", "family" : "Thompson", "given" : "Des", "non-dropping-particle" : "", "parse-names" : false, "suffix" : "" }, { "dropping-particle" : "", "family" : "Tinch", "given" : "Rob", "non-dropping-particle" : "", "parse-names" : false, "suffix" : "" }, { "dropping-particle" : "Van Den", "family" : "Hove", "given" : "Sybille", "non-dropping-particle" : "", "parse-names" : false, "suffix" : "" }, { "dropping-particle" : "", "family" : "Watt", "given" : "Allan", "non-dropping-particle" : "", "parse-names" : false, "suffix" : "" } ], "container-title" : "Biodiversity Conservation", "id" : "ITEM-2", "issued" : { "date-parts" : [ [ "2014" ] ] }, "page" : "387-404", "title" : "Improving the science-policy dialogue to meet the challenges of biodiversity conservation : having conversations rather than talking at one-another", "type" : "article-journal", "volume" : "23" }, "uris" : [ "http://www.mendeley.com/documents/?uuid=1df40af3-e0e6-4ddd-84b8-5941a1079ce8" ] }, { "id" : "ITEM-3", "itemData" : { "DOI" : "10.1016/j.worlddev.2015.01.013", "ISSN" : "0305750X", "author" : [ { "dropping-particle" : "", "family" : "Joshi", "given" : "Devin K", "non-dropping-particle" : "", "parse-names" : false, "suffix" : "" }, { "dropping-particle" : "", "family" : "Hughes", "given" : "Barry B", "non-dropping-particle" : "", "parse-names" : false, "suffix" : "" }, { "dropping-particle" : "", "family" : "Sisk", "given" : "Timothy D", "non-dropping-particle" : "", "parse-names" : false, "suffix" : "" } ], "container-title" : "World Development", "id" : "ITEM-3", "issued" : { "date-parts" : [ [ "2015", "6" ] ] }, "page" : "286-302", "publisher" : "Elsevier Ltd", "title" : "Improving Governance for the Post-2015 Sustainable Development Goals: Scenario Forecasting the Next 50years", "type" : "article-journal", "volume" : "70" }, "uris" : [ "http://www.mendeley.com/documents/?uuid=e9f40eea-53d7-4cb2-837f-e1963879cec9" ] }, { "id" : "ITEM-4", "itemData" : { "DOI" : "10.1016/j.marpol.2017.03.003", "ISSN" : "0308-597X", "author" : [ { "dropping-particle" : "", "family" : "Gonzalez-Bernat", "given" : "Maria J", "non-dropping-particle" : "", "parse-names" : false, "suffix" : "" }, { "dropping-particle" : "", "family" : "Clifton", "given" : "Julian", "non-dropping-particle" : "", "parse-names" : false, "suffix" : "" } ], "container-title" : "Marine Policy", "id" : "ITEM-4", "issue" : "March", "issued" : { "date-parts" : [ [ "2017" ] ] }, "page" : "9-20", "publisher" : "Elsevier Ltd", "title" : "\"Living with our backs to the sea\": A critical analysis of marine and coastal governance in Guatemala", "type" : "article-journal", "volume" : "81" }, "uris" : [ "http://www.mendeley.com/documents/?uuid=9f554614-42b5-46d6-8dfe-739974db157e" ] }, { "id" : "ITEM-5", "itemData" : { "DOI" : "10.3390/su9020165", "ISSN" : "2071-1050", "author" : [ { "dropping-particle" : "", "family" : "Howes", "given" : "Michael", "non-dropping-particle" : "", "parse-names" : false, "suffix" : "" }, { "dropping-particle" : "", "family" : "Wortley", "given" : "Liana", "non-dropping-particle" : "", "parse-names" : false, "suffix" : "" }, { "dropping-particle" : "", "family" : "Potts", "given" : "Ruth", "non-dropping-particle" : "", "parse-names" : false, "suffix" : "" }, { "dropping-particle" : "", "family" : "Dedekorkut-Howes", "given" : "Aysin", "non-dropping-particle" : "", "parse-names" : false, "suffix" : "" }, { "dropping-particle" : "", "family" : "Serrao-Neumann", "given" : "Silvia", "non-dropping-particle" : "", "parse-names" : false, "suffix" : "" }, { "dropping-particle" : "", "family" : "Davidson", "given" : "Julie", "non-dropping-particle" : "", "parse-names" : false, "suffix" : "" }, { "dropping-particle" : "", "family" : "Smith", "given" : "Timothy", "non-dropping-particle" : "", "parse-names" : false, "suffix" : "" }, { "dropping-particle" : "", "family" : "Nunn", "given" : "Patrick", "non-dropping-particle" : "", "parse-names" : false, "suffix" : "" } ], "container-title" : "Sustainability", "id" : "ITEM-5", "issue" : "2", "issued" : { "date-parts" : [ [ "2017", "1", "24" ] ] }, "page" : "165", "title" : "Environmental Sustainability: A Case of Policy Implementation Failure?", "type" : "article-journal", "volume" : "9" }, "uris" : [ "http://www.mendeley.com/documents/?uuid=7200a100-53e9-4f90-825a-076be4ff74d5" ] } ], "mendeley" : { "formattedCitation" : "(Folke et al., 2005; Gonzalez-Bernat &amp; Clifton, 2017; Howes et al., 2017; Joshi et al., 2015; Young et al., 2014)", "plainTextFormattedCitation" : "(Folke et al., 2005; Gonzalez-Bernat &amp; Clifton, 2017; Howes et al., 2017; Joshi et al., 2015; Young et al., 2014)", "previouslyFormattedCitation" : "(Folke et al., 2005; Gonzalez-Bernat &amp; Clifton, 2017; Howes et al., 2017; Joshi et al., 2015; Young et al., 2014)" }, "properties" : {  }, "schema" : "https://github.com/citation-style-language/schema/raw/master/csl-citation.json" }</w:instrText>
      </w:r>
      <w:r w:rsidRPr="008608AA">
        <w:rPr>
          <w:rFonts w:eastAsia="MS Mincho"/>
        </w:rPr>
        <w:fldChar w:fldCharType="separate"/>
      </w:r>
      <w:r w:rsidR="002C171D" w:rsidRPr="008608AA">
        <w:rPr>
          <w:rFonts w:eastAsia="MS Mincho"/>
          <w:noProof/>
        </w:rPr>
        <w:t>(Folke</w:t>
      </w:r>
      <w:r w:rsidRPr="008608AA">
        <w:rPr>
          <w:rFonts w:eastAsia="MS Mincho"/>
          <w:noProof/>
        </w:rPr>
        <w:t xml:space="preserve"> et al., 2005; Gonzale</w:t>
      </w:r>
      <w:r w:rsidR="002C171D" w:rsidRPr="008608AA">
        <w:rPr>
          <w:rFonts w:eastAsia="MS Mincho"/>
          <w:noProof/>
        </w:rPr>
        <w:t>z-Bernat &amp; Clifton, 2017; Howes et al., 2017; Joshi et al., 2015; Young</w:t>
      </w:r>
      <w:r w:rsidRPr="008608AA">
        <w:rPr>
          <w:rFonts w:eastAsia="MS Mincho"/>
          <w:noProof/>
        </w:rPr>
        <w:t xml:space="preserve"> et al., 2014)</w:t>
      </w:r>
      <w:r w:rsidRPr="008608AA">
        <w:rPr>
          <w:rFonts w:eastAsia="MS Mincho"/>
        </w:rPr>
        <w:fldChar w:fldCharType="end"/>
      </w:r>
    </w:p>
    <w:p w14:paraId="55447C68" w14:textId="33F03034" w:rsidR="00490494" w:rsidRPr="008608AA" w:rsidRDefault="00490494" w:rsidP="00B33BD5">
      <w:pPr>
        <w:numPr>
          <w:ilvl w:val="1"/>
          <w:numId w:val="12"/>
        </w:numPr>
        <w:suppressAutoHyphens/>
        <w:rPr>
          <w:b/>
          <w:bCs/>
          <w:sz w:val="28"/>
          <w:szCs w:val="26"/>
          <w:lang w:val="pt-BR" w:eastAsia="ja-JP"/>
        </w:rPr>
      </w:pPr>
      <w:r w:rsidRPr="008608AA">
        <w:rPr>
          <w:rFonts w:eastAsia="MS Mincho"/>
        </w:rPr>
        <w:t xml:space="preserve">While funding plays a role in the implementation of the Convention on Biological Diversity, general awareness among policy makers also plays a significant role, whereas lack of awareness among those responsible for policy implementation can be detrimental </w:t>
      </w:r>
      <w:r w:rsidRPr="008608AA">
        <w:rPr>
          <w:rFonts w:eastAsia="MS Mincho"/>
        </w:rPr>
        <w:fldChar w:fldCharType="begin" w:fldLock="1"/>
      </w:r>
      <w:r w:rsidRPr="008608AA">
        <w:rPr>
          <w:rFonts w:eastAsia="MS Mincho"/>
        </w:rPr>
        <w:instrText>ADDIN CSL_CITATION { "citationItems" : [ { "id" : "ITEM-1", "itemData" : { "DOI" : "10.1177/1070496514525404", "author" : [ { "dropping-particle" : "", "family" : "Gagnon-Legare", "given" : "Ariane", "non-dropping-particle" : "", "parse-names" : false, "suffix" : "" }, { "dropping-particle" : "Le", "family" : "Prestre", "given" : "Philippe", "non-dropping-particle" : "", "parse-names" : false, "suffix" : "" } ], "container-title" : "Journal of Environment and Development", "id" : "ITEM-1", "issue" : "2", "issued" : { "date-parts" : [ [ "2014" ] ] }, "page" : "220-246", "title" : "Explaining Variations in the Subnational Implementation of Global Agreements : The Case of Ecuador and the Convention on Biological Diversity", "type" : "article-journal", "volume" : "23" }, "uris" : [ "http://www.mendeley.com/documents/?uuid=76d37838-04f8-4493-930c-e2753c39e62e" ] }, { "id" : "ITEM-2", "itemData" : { "DOI" : "10.3390/su9020165", "ISSN" : "2071-1050", "author" : [ { "dropping-particle" : "", "family" : "Howes", "given" : "Michael", "non-dropping-particle" : "", "parse-names" : false, "suffix" : "" }, { "dropping-particle" : "", "family" : "Wortley", "given" : "Liana", "non-dropping-particle" : "", "parse-names" : false, "suffix" : "" }, { "dropping-particle" : "", "family" : "Potts", "given" : "Ruth", "non-dropping-particle" : "", "parse-names" : false, "suffix" : "" }, { "dropping-particle" : "", "family" : "Dedekorkut-Howes", "given" : "Aysin", "non-dropping-particle" : "", "parse-names" : false, "suffix" : "" }, { "dropping-particle" : "", "family" : "Serrao-Neumann", "given" : "Silvia", "non-dropping-particle" : "", "parse-names" : false, "suffix" : "" }, { "dropping-particle" : "", "family" : "Davidson", "given" : "Julie", "non-dropping-particle" : "", "parse-names" : false, "suffix" : "" }, { "dropping-particle" : "", "family" : "Smith", "given" : "Timothy", "non-dropping-particle" : "", "parse-names" : false, "suffix" : "" }, { "dropping-particle" : "", "family" : "Nunn", "given" : "Patrick", "non-dropping-particle" : "", "parse-names" : false, "suffix" : "" } ], "container-title" : "Sustainability", "id" : "ITEM-2", "issue" : "2", "issued" : { "date-parts" : [ [ "2017", "1", "24" ] ] }, "page" : "165", "title" : "Environmental Sustainability: A Case of Policy Implementation Failure?", "type" : "article-journal", "volume" : "9" }, "uris" : [ "http://www.mendeley.com/documents/?uuid=7200a100-53e9-4f90-825a-076be4ff74d5" ] } ], "mendeley" : { "formattedCitation" : "(Gagnon-Legare &amp; Prestre, 2014; Howes et al., 2017)", "plainTextFormattedCitation" : "(Gagnon-Legare &amp; Prestre, 2014; Howes et al., 2017)", "previouslyFormattedCitation" : "(Gagnon-Legare &amp; Prestre, 2014; Howes et al., 2017)" }, "properties" : {  }, "schema" : "https://github.com/citation-style-language/schema/raw/master/csl-citation.json" }</w:instrText>
      </w:r>
      <w:r w:rsidRPr="008608AA">
        <w:rPr>
          <w:rFonts w:eastAsia="MS Mincho"/>
        </w:rPr>
        <w:fldChar w:fldCharType="separate"/>
      </w:r>
      <w:r w:rsidRPr="008608AA">
        <w:rPr>
          <w:rFonts w:eastAsia="MS Mincho"/>
          <w:noProof/>
        </w:rPr>
        <w:t>(Gagno</w:t>
      </w:r>
      <w:r w:rsidR="002C171D" w:rsidRPr="008608AA">
        <w:rPr>
          <w:rFonts w:eastAsia="MS Mincho"/>
          <w:noProof/>
        </w:rPr>
        <w:t>n-Legare &amp; Prestre, 2014; Howes</w:t>
      </w:r>
      <w:r w:rsidRPr="008608AA">
        <w:rPr>
          <w:rFonts w:eastAsia="MS Mincho"/>
          <w:noProof/>
        </w:rPr>
        <w:t xml:space="preserve"> et al., 2017)</w:t>
      </w:r>
      <w:r w:rsidRPr="008608AA">
        <w:rPr>
          <w:rFonts w:eastAsia="MS Mincho"/>
        </w:rPr>
        <w:fldChar w:fldCharType="end"/>
      </w:r>
      <w:bookmarkStart w:id="2235" w:name="_Toc499256905"/>
      <w:bookmarkEnd w:id="2147"/>
      <w:r w:rsidRPr="008608AA">
        <w:rPr>
          <w:rFonts w:eastAsia="MS Mincho"/>
        </w:rPr>
        <w:t>.</w:t>
      </w:r>
      <w:r w:rsidRPr="008608AA">
        <w:rPr>
          <w:b/>
          <w:bCs/>
          <w:sz w:val="28"/>
          <w:szCs w:val="26"/>
          <w:lang w:eastAsia="ja-JP"/>
        </w:rPr>
        <w:t xml:space="preserve"> </w:t>
      </w:r>
      <w:r w:rsidRPr="008608AA">
        <w:rPr>
          <w:b/>
          <w:bCs/>
          <w:sz w:val="28"/>
          <w:szCs w:val="26"/>
          <w:lang w:val="pt-BR" w:eastAsia="ja-JP"/>
        </w:rPr>
        <w:br w:type="page"/>
      </w:r>
    </w:p>
    <w:p w14:paraId="3F657A1F" w14:textId="77777777" w:rsidR="00490494" w:rsidRPr="008608AA" w:rsidRDefault="00490494" w:rsidP="00A93934">
      <w:pPr>
        <w:pStyle w:val="Heading2"/>
        <w:rPr>
          <w:bCs/>
          <w:sz w:val="28"/>
          <w:szCs w:val="28"/>
          <w:lang w:val="en-AU" w:eastAsia="ja-JP"/>
        </w:rPr>
      </w:pPr>
      <w:bookmarkStart w:id="2236" w:name="_Toc502953651"/>
      <w:bookmarkStart w:id="2237" w:name="_Toc502954944"/>
      <w:bookmarkStart w:id="2238" w:name="_Toc502957751"/>
      <w:bookmarkStart w:id="2239" w:name="_Toc502957950"/>
      <w:bookmarkStart w:id="2240" w:name="_Toc502958104"/>
      <w:bookmarkStart w:id="2241" w:name="_Toc503293173"/>
      <w:bookmarkStart w:id="2242" w:name="_Toc503293771"/>
      <w:bookmarkStart w:id="2243" w:name="_Toc503294033"/>
      <w:bookmarkStart w:id="2244" w:name="_Toc503863426"/>
      <w:bookmarkStart w:id="2245" w:name="_Toc503863654"/>
      <w:bookmarkStart w:id="2246" w:name="_Toc517393426"/>
      <w:bookmarkStart w:id="2247" w:name="_Toc517719167"/>
      <w:bookmarkStart w:id="2248" w:name="_Toc517797124"/>
      <w:r w:rsidRPr="008608AA">
        <w:rPr>
          <w:rStyle w:val="a"/>
        </w:rPr>
        <w:t>References</w:t>
      </w:r>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p>
    <w:p w14:paraId="09F1B503" w14:textId="77777777" w:rsidR="00B16A15" w:rsidRPr="008608AA" w:rsidRDefault="00B16A15" w:rsidP="00B16A15">
      <w:pPr>
        <w:widowControl w:val="0"/>
        <w:autoSpaceDE w:val="0"/>
        <w:autoSpaceDN w:val="0"/>
        <w:adjustRightInd w:val="0"/>
        <w:ind w:left="709" w:hanging="709"/>
        <w:rPr>
          <w:noProof/>
        </w:rPr>
      </w:pPr>
      <w:r w:rsidRPr="008608AA">
        <w:rPr>
          <w:rFonts w:eastAsia="Droid Sans Fallback"/>
        </w:rPr>
        <w:fldChar w:fldCharType="begin" w:fldLock="1"/>
      </w:r>
      <w:r w:rsidRPr="008608AA">
        <w:rPr>
          <w:rFonts w:eastAsia="Droid Sans Fallback"/>
          <w:lang w:val="en-GB"/>
        </w:rPr>
        <w:instrText xml:space="preserve">ADDIN Mendeley Bibliography CSL_BIBLIOGRAPHY </w:instrText>
      </w:r>
      <w:r w:rsidRPr="008608AA">
        <w:rPr>
          <w:rFonts w:eastAsia="Droid Sans Fallback"/>
        </w:rPr>
        <w:fldChar w:fldCharType="separate"/>
      </w:r>
      <w:r w:rsidRPr="008608AA">
        <w:rPr>
          <w:noProof/>
        </w:rPr>
        <w:t xml:space="preserve">Abbott, B. W., Jones, J., Schuur, E., Chapin III, F. S., Bowden, W., Bret-Harte, M., Epstein, H., Flannigan, M., Harms, T., Hollingworth, T., Mack, M., McGuire, A. D., Natal, S., Rocha, A., Tank, S., Turetsky, M., Vonk, J. E., Wickland, K. P., Aiken, G. R., Alexander, H., Amon, R. M. W., &amp; Welker, J. (2016). Biomass offsets little or none of permafrost carbon release from soils, streams, and wildfire: an expert assessment. </w:t>
      </w:r>
      <w:r w:rsidRPr="008608AA">
        <w:rPr>
          <w:i/>
          <w:iCs/>
          <w:noProof/>
        </w:rPr>
        <w:t>Environmental Research Letters</w:t>
      </w:r>
      <w:r w:rsidRPr="008608AA">
        <w:rPr>
          <w:noProof/>
        </w:rPr>
        <w:t xml:space="preserve">, </w:t>
      </w:r>
      <w:r w:rsidRPr="008608AA">
        <w:rPr>
          <w:i/>
          <w:iCs/>
          <w:noProof/>
        </w:rPr>
        <w:t>11</w:t>
      </w:r>
      <w:r w:rsidRPr="008608AA">
        <w:rPr>
          <w:noProof/>
        </w:rPr>
        <w:t>(3), 034014. https://doi.org/10.1088/1748-9326/11/3/034014</w:t>
      </w:r>
    </w:p>
    <w:p w14:paraId="18B9E6E5"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Adenle, A., Stevens, C., &amp; Bridgewater, P. (2014). Stakeholder Visions for Biodiversity Conservation in Developing Countries. </w:t>
      </w:r>
      <w:r w:rsidRPr="008608AA">
        <w:rPr>
          <w:i/>
          <w:iCs/>
          <w:noProof/>
          <w:lang w:val="es-CO"/>
        </w:rPr>
        <w:t>Sustainability</w:t>
      </w:r>
      <w:r w:rsidRPr="008608AA">
        <w:rPr>
          <w:noProof/>
          <w:lang w:val="es-CO"/>
        </w:rPr>
        <w:t xml:space="preserve">, </w:t>
      </w:r>
      <w:r w:rsidRPr="008608AA">
        <w:rPr>
          <w:i/>
          <w:iCs/>
          <w:noProof/>
          <w:lang w:val="es-CO"/>
        </w:rPr>
        <w:t>7</w:t>
      </w:r>
      <w:r w:rsidRPr="008608AA">
        <w:rPr>
          <w:noProof/>
          <w:lang w:val="es-CO"/>
        </w:rPr>
        <w:t>(1), (pp. 271–293). http://doi.org/10.3390/su7010271</w:t>
      </w:r>
    </w:p>
    <w:p w14:paraId="2EDBA6E4" w14:textId="77777777" w:rsidR="00B16A15" w:rsidRPr="00CE0821" w:rsidRDefault="00B16A15" w:rsidP="00B16A15">
      <w:pPr>
        <w:widowControl w:val="0"/>
        <w:autoSpaceDE w:val="0"/>
        <w:autoSpaceDN w:val="0"/>
        <w:adjustRightInd w:val="0"/>
        <w:ind w:left="709" w:hanging="709"/>
        <w:rPr>
          <w:noProof/>
        </w:rPr>
      </w:pPr>
      <w:r w:rsidRPr="008608AA">
        <w:rPr>
          <w:noProof/>
          <w:lang w:val="es-ES"/>
        </w:rPr>
        <w:t xml:space="preserve">Aguiar, A. P. D., Ometto, J. P., Nobre, C., Lapola, D. M., Almeida, C., Vieira, I. C., Soares, J. V., Alvala, R., Saatchi, S., Valeriano, D., &amp; Castilla-Rubio, J. C. (2012). </w:t>
      </w:r>
      <w:r w:rsidRPr="008608AA">
        <w:rPr>
          <w:noProof/>
        </w:rPr>
        <w:t xml:space="preserve">Modeling the spatial and temporal heterogeneity of deforestation-driven carbon emissions: the INPE-EM framework applied to the Brazilian Amazon. </w:t>
      </w:r>
      <w:r w:rsidRPr="00CE0821">
        <w:rPr>
          <w:i/>
          <w:iCs/>
          <w:noProof/>
        </w:rPr>
        <w:t>Global Change Biology</w:t>
      </w:r>
      <w:r w:rsidRPr="00CE0821">
        <w:rPr>
          <w:noProof/>
        </w:rPr>
        <w:t xml:space="preserve">, </w:t>
      </w:r>
      <w:r w:rsidRPr="00CE0821">
        <w:rPr>
          <w:i/>
          <w:iCs/>
          <w:noProof/>
        </w:rPr>
        <w:t>18</w:t>
      </w:r>
      <w:r w:rsidRPr="00CE0821">
        <w:rPr>
          <w:noProof/>
        </w:rPr>
        <w:t>(11), 3346–3366. https://doi.org/10.1111/j.1365-2486.2012.02782.x</w:t>
      </w:r>
    </w:p>
    <w:p w14:paraId="3B9E3CE7" w14:textId="77777777" w:rsidR="00B16A15" w:rsidRPr="008608AA" w:rsidRDefault="00B16A15" w:rsidP="00B16A15">
      <w:pPr>
        <w:widowControl w:val="0"/>
        <w:autoSpaceDE w:val="0"/>
        <w:autoSpaceDN w:val="0"/>
        <w:adjustRightInd w:val="0"/>
        <w:ind w:left="709" w:hanging="709"/>
        <w:rPr>
          <w:noProof/>
        </w:rPr>
      </w:pPr>
      <w:r w:rsidRPr="00CE0821">
        <w:rPr>
          <w:noProof/>
        </w:rPr>
        <w:t xml:space="preserve">Aguiar, A. P. D., Vieira, I. C. G., Assis, T. O., Dalla-Nora, E. L., Toledo, P. M., Oliveira Santos-Junior, R. A., Batistella, M., Coelho, A. S., Savaget, E. K., Aragão, L. E. O. C., Nobre, C. A., &amp; Ometto, J. P. H. (2016). </w:t>
      </w:r>
      <w:r w:rsidRPr="008608AA">
        <w:rPr>
          <w:noProof/>
        </w:rPr>
        <w:t xml:space="preserve">Land use change emission scenarios: anticipating a forest transition process in the Brazilian Amazon. </w:t>
      </w:r>
      <w:r w:rsidRPr="008608AA">
        <w:rPr>
          <w:i/>
          <w:iCs/>
          <w:noProof/>
        </w:rPr>
        <w:t>Global Change Biology</w:t>
      </w:r>
      <w:r w:rsidRPr="008608AA">
        <w:rPr>
          <w:noProof/>
        </w:rPr>
        <w:t xml:space="preserve">, </w:t>
      </w:r>
      <w:r w:rsidRPr="008608AA">
        <w:rPr>
          <w:i/>
          <w:iCs/>
          <w:noProof/>
        </w:rPr>
        <w:t>22</w:t>
      </w:r>
      <w:r w:rsidRPr="008608AA">
        <w:rPr>
          <w:noProof/>
        </w:rPr>
        <w:t>(5), 1821–1840. https://doi.org/10.1111/gcb.13134</w:t>
      </w:r>
    </w:p>
    <w:p w14:paraId="4093315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Aguiar, A. P., Tejada, G., Assis, T., &amp; Dalla-Nora, E. (2014). </w:t>
      </w:r>
      <w:r w:rsidRPr="008608AA">
        <w:rPr>
          <w:i/>
          <w:iCs/>
          <w:noProof/>
        </w:rPr>
        <w:t>AMAZALERT PROJECT - Set of land-use scenarios for Brazil, linked to implications for policies: Final Report</w:t>
      </w:r>
      <w:r w:rsidRPr="008608AA">
        <w:rPr>
          <w:noProof/>
        </w:rPr>
        <w:t>.</w:t>
      </w:r>
    </w:p>
    <w:p w14:paraId="69D98ADC" w14:textId="77777777" w:rsidR="00B16A15" w:rsidRPr="008608AA" w:rsidRDefault="00B16A15" w:rsidP="00B16A15">
      <w:pPr>
        <w:widowControl w:val="0"/>
        <w:autoSpaceDE w:val="0"/>
        <w:autoSpaceDN w:val="0"/>
        <w:adjustRightInd w:val="0"/>
        <w:ind w:left="709" w:hanging="709"/>
        <w:rPr>
          <w:noProof/>
        </w:rPr>
      </w:pPr>
      <w:r w:rsidRPr="008608AA">
        <w:rPr>
          <w:noProof/>
          <w:lang w:val="de-DE"/>
        </w:rPr>
        <w:t xml:space="preserve">Alkemade, R., Van Oorschot, M., Miles, L., Nellemann, C., Bakkenes, M., &amp; Ten Brink, B. (2009). </w:t>
      </w:r>
      <w:r w:rsidRPr="008608AA">
        <w:rPr>
          <w:noProof/>
        </w:rPr>
        <w:t xml:space="preserve">GLOBIO3: A framework to investigate options for reducing global terrestrial biodiversity loss. </w:t>
      </w:r>
      <w:r w:rsidRPr="008608AA">
        <w:rPr>
          <w:i/>
          <w:iCs/>
          <w:noProof/>
        </w:rPr>
        <w:t>Ecosystems</w:t>
      </w:r>
      <w:r w:rsidRPr="008608AA">
        <w:rPr>
          <w:noProof/>
        </w:rPr>
        <w:t xml:space="preserve">, </w:t>
      </w:r>
      <w:r w:rsidRPr="008608AA">
        <w:rPr>
          <w:i/>
          <w:iCs/>
          <w:noProof/>
        </w:rPr>
        <w:t>12</w:t>
      </w:r>
      <w:r w:rsidRPr="008608AA">
        <w:rPr>
          <w:noProof/>
        </w:rPr>
        <w:t>(3), (pp. 374–390). http://doi.org/10.1007/s10021-009-9229-5</w:t>
      </w:r>
    </w:p>
    <w:p w14:paraId="59B0FE1A" w14:textId="77777777" w:rsidR="00B16A15" w:rsidRPr="00CE0821" w:rsidRDefault="00B16A15" w:rsidP="00B16A15">
      <w:pPr>
        <w:widowControl w:val="0"/>
        <w:autoSpaceDE w:val="0"/>
        <w:autoSpaceDN w:val="0"/>
        <w:adjustRightInd w:val="0"/>
        <w:ind w:left="709" w:hanging="709"/>
        <w:rPr>
          <w:noProof/>
          <w:lang w:val="es-CO"/>
        </w:rPr>
      </w:pPr>
      <w:r w:rsidRPr="008608AA">
        <w:rPr>
          <w:noProof/>
        </w:rPr>
        <w:t xml:space="preserve">Alongi, D. M. (2002). </w:t>
      </w:r>
      <w:r w:rsidRPr="008608AA">
        <w:rPr>
          <w:i/>
          <w:noProof/>
        </w:rPr>
        <w:t xml:space="preserve">Present state and future of the world’s mangrove forests. </w:t>
      </w:r>
      <w:r w:rsidRPr="00CE0821">
        <w:rPr>
          <w:i/>
          <w:iCs/>
          <w:noProof/>
          <w:lang w:val="es-CO"/>
        </w:rPr>
        <w:t>Environmental Conservation</w:t>
      </w:r>
      <w:r w:rsidRPr="00CE0821">
        <w:rPr>
          <w:noProof/>
          <w:lang w:val="es-CO"/>
        </w:rPr>
        <w:t xml:space="preserve">, </w:t>
      </w:r>
      <w:r w:rsidRPr="00CE0821">
        <w:rPr>
          <w:i/>
          <w:iCs/>
          <w:noProof/>
          <w:lang w:val="es-CO"/>
        </w:rPr>
        <w:t>29</w:t>
      </w:r>
      <w:r w:rsidRPr="00CE0821">
        <w:rPr>
          <w:noProof/>
          <w:lang w:val="es-CO"/>
        </w:rPr>
        <w:t>, (pp. 331–349). http://doi.org/10.1017/S0376892902000231</w:t>
      </w:r>
    </w:p>
    <w:p w14:paraId="7610FFA9" w14:textId="77777777" w:rsidR="00B16A15" w:rsidRPr="008608AA" w:rsidRDefault="00B16A15" w:rsidP="00B16A15">
      <w:pPr>
        <w:widowControl w:val="0"/>
        <w:autoSpaceDE w:val="0"/>
        <w:autoSpaceDN w:val="0"/>
        <w:adjustRightInd w:val="0"/>
        <w:ind w:left="709" w:hanging="709"/>
        <w:rPr>
          <w:noProof/>
        </w:rPr>
      </w:pPr>
      <w:r w:rsidRPr="00CE0821">
        <w:rPr>
          <w:noProof/>
          <w:lang w:val="es-CO"/>
        </w:rPr>
        <w:t xml:space="preserve">Anadón, J. D., Sala, O. E., &amp; Maestre, F. T. (2014). </w:t>
      </w:r>
      <w:r w:rsidRPr="008608AA">
        <w:rPr>
          <w:noProof/>
        </w:rPr>
        <w:t xml:space="preserve">Climate change will increase savannas at the expense of forests and treeless vegetation in tropical and subtropical Americas. </w:t>
      </w:r>
      <w:r w:rsidRPr="008608AA">
        <w:rPr>
          <w:i/>
          <w:iCs/>
          <w:noProof/>
        </w:rPr>
        <w:t>Journal of Ecology</w:t>
      </w:r>
      <w:r w:rsidRPr="008608AA">
        <w:rPr>
          <w:noProof/>
        </w:rPr>
        <w:t xml:space="preserve">, </w:t>
      </w:r>
      <w:r w:rsidRPr="008608AA">
        <w:rPr>
          <w:i/>
          <w:iCs/>
          <w:noProof/>
        </w:rPr>
        <w:t>102</w:t>
      </w:r>
      <w:r w:rsidRPr="008608AA">
        <w:rPr>
          <w:noProof/>
        </w:rPr>
        <w:t>(6), (pp. 1363–1373). http://doi.org/10.1111/1365-2745.12325</w:t>
      </w:r>
    </w:p>
    <w:p w14:paraId="052CFCE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Anthony, E. J., &amp; Gratiot, N. (2012a). Coastal engineering and large-scale mangrove destruction in Guyana, South America: Averting an environmental catastrophe in the making. </w:t>
      </w:r>
      <w:r w:rsidRPr="008608AA">
        <w:rPr>
          <w:i/>
          <w:iCs/>
          <w:noProof/>
        </w:rPr>
        <w:t>Ecological Engineering</w:t>
      </w:r>
      <w:r w:rsidRPr="008608AA">
        <w:rPr>
          <w:noProof/>
        </w:rPr>
        <w:t xml:space="preserve">, </w:t>
      </w:r>
      <w:r w:rsidRPr="008608AA">
        <w:rPr>
          <w:i/>
          <w:iCs/>
          <w:noProof/>
        </w:rPr>
        <w:t>47</w:t>
      </w:r>
      <w:r w:rsidRPr="008608AA">
        <w:rPr>
          <w:noProof/>
        </w:rPr>
        <w:t>, (pp. 268–273). http://doi.org/10.1016/j.ecoleng.2012.07.005</w:t>
      </w:r>
    </w:p>
    <w:p w14:paraId="29EE927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Anthony, E. J., &amp; Gratiot, N. (2012b). Coastal engineering and large-scale mangrove destruction in Guyana, South America: Averting an environmental catastrophe in the making. </w:t>
      </w:r>
      <w:r w:rsidRPr="008608AA">
        <w:rPr>
          <w:i/>
          <w:iCs/>
          <w:noProof/>
        </w:rPr>
        <w:t>Ecological Engineering</w:t>
      </w:r>
      <w:r w:rsidRPr="008608AA">
        <w:rPr>
          <w:noProof/>
        </w:rPr>
        <w:t xml:space="preserve">, </w:t>
      </w:r>
      <w:r w:rsidRPr="008608AA">
        <w:rPr>
          <w:i/>
          <w:iCs/>
          <w:noProof/>
        </w:rPr>
        <w:t>47</w:t>
      </w:r>
      <w:r w:rsidRPr="008608AA">
        <w:rPr>
          <w:noProof/>
        </w:rPr>
        <w:t>, (pp. 268–273). http://doi.org/10.1016/j.ecoleng.2012.07.005</w:t>
      </w:r>
    </w:p>
    <w:p w14:paraId="4075BEB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Aragão, L. E. O. C., Poulter, B., Barlow, J. B., Anderson, L. O., Malhi, Y., Saatchi, S., Phillips, O. L., &amp; Gloor, E. (2014). Environmental change and the carbon balance of Amazonian forests. </w:t>
      </w:r>
      <w:r w:rsidRPr="008608AA">
        <w:rPr>
          <w:i/>
          <w:iCs/>
          <w:noProof/>
        </w:rPr>
        <w:t>Biological Reviews</w:t>
      </w:r>
      <w:r w:rsidRPr="008608AA">
        <w:rPr>
          <w:noProof/>
        </w:rPr>
        <w:t xml:space="preserve">, </w:t>
      </w:r>
      <w:r w:rsidRPr="008608AA">
        <w:rPr>
          <w:i/>
          <w:iCs/>
          <w:noProof/>
        </w:rPr>
        <w:t>89</w:t>
      </w:r>
      <w:r w:rsidRPr="008608AA">
        <w:rPr>
          <w:noProof/>
        </w:rPr>
        <w:t>(4), 913–931. https://doi.org/10.1111/brv.12088</w:t>
      </w:r>
    </w:p>
    <w:p w14:paraId="00214F8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Arkema, K. K., Guannel, G., Verutes, G., Wood, S. a., Guerry, A., Ruckelshaus, M., Kareiva, P., Lacayo, M., &amp; Silver, J. M. (2013). Coastal habitats shield people and property from sea-level rise and storms. </w:t>
      </w:r>
      <w:r w:rsidRPr="008608AA">
        <w:rPr>
          <w:i/>
          <w:iCs/>
          <w:noProof/>
        </w:rPr>
        <w:t>Nature Climate Change</w:t>
      </w:r>
      <w:r w:rsidRPr="008608AA">
        <w:rPr>
          <w:noProof/>
        </w:rPr>
        <w:t xml:space="preserve">, </w:t>
      </w:r>
      <w:r w:rsidRPr="008608AA">
        <w:rPr>
          <w:i/>
          <w:iCs/>
          <w:noProof/>
        </w:rPr>
        <w:t>3</w:t>
      </w:r>
      <w:r w:rsidRPr="008608AA">
        <w:rPr>
          <w:noProof/>
        </w:rPr>
        <w:t>(10), 913–918. https://doi.org/10.1038/nclimate1944</w:t>
      </w:r>
    </w:p>
    <w:p w14:paraId="18F42BC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Artaxo, P., Rizzo, L. V, Paixão, M., De Lucca, S., Oliveira, P. H., Lara, L. L., Wiedemann, K. T., Andreae, M. O., Holben, B., Schafer, J., Correia, A. L., &amp; Pauliquevis, T. M. (2009). Aerosol Particles in Amazonia: Their Composition, Role in the Radiation Balance, Cloud Formation, and Nutrient Cycles. In M. Keller, M. Bustamante, J. Gash, &amp; P. Silva Dias (Eds.), </w:t>
      </w:r>
      <w:r w:rsidRPr="008608AA">
        <w:rPr>
          <w:i/>
          <w:iCs/>
          <w:noProof/>
        </w:rPr>
        <w:t>Amazonia and Global Change</w:t>
      </w:r>
      <w:r w:rsidRPr="008608AA">
        <w:rPr>
          <w:noProof/>
        </w:rPr>
        <w:t xml:space="preserve"> (pp. 233–250). American Geophysical Union. https://doi.org/10.1029/2008GM000847</w:t>
      </w:r>
    </w:p>
    <w:p w14:paraId="6A41682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Artic Council. (2016). </w:t>
      </w:r>
      <w:r w:rsidRPr="008608AA">
        <w:rPr>
          <w:i/>
          <w:iCs/>
          <w:noProof/>
        </w:rPr>
        <w:t>Arctic Resilience Report</w:t>
      </w:r>
      <w:r w:rsidRPr="008608AA">
        <w:rPr>
          <w:noProof/>
        </w:rPr>
        <w:t xml:space="preserve">. </w:t>
      </w:r>
      <w:r w:rsidRPr="008608AA">
        <w:rPr>
          <w:i/>
          <w:noProof/>
        </w:rPr>
        <w:t xml:space="preserve">(M. Carson &amp; G. Peterson, Eds.). </w:t>
      </w:r>
      <w:r w:rsidRPr="008608AA">
        <w:rPr>
          <w:noProof/>
        </w:rPr>
        <w:t>Stockholm: Stockholm Environment Institute and Stockholm Resilience Centre.</w:t>
      </w:r>
    </w:p>
    <w:p w14:paraId="6A45CB6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Asner, G. P., Rudel, T. K., Aide, T. M., Defries, R., &amp; Emerson, R. (2009). A Contemporary Assessment of Change in Humid Tropical Forests. </w:t>
      </w:r>
      <w:r w:rsidRPr="008608AA">
        <w:rPr>
          <w:i/>
          <w:iCs/>
          <w:noProof/>
        </w:rPr>
        <w:t>Conservation Biology</w:t>
      </w:r>
      <w:r w:rsidRPr="008608AA">
        <w:rPr>
          <w:noProof/>
        </w:rPr>
        <w:t xml:space="preserve">, </w:t>
      </w:r>
      <w:r w:rsidRPr="008608AA">
        <w:rPr>
          <w:i/>
          <w:iCs/>
          <w:noProof/>
        </w:rPr>
        <w:t>23</w:t>
      </w:r>
      <w:r w:rsidRPr="008608AA">
        <w:rPr>
          <w:noProof/>
        </w:rPr>
        <w:t>(6), (pp. 1386–1395). http://doi.org/10.1111/j.1523-1739.2009.01333.x</w:t>
      </w:r>
    </w:p>
    <w:p w14:paraId="129A4BE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Austin, A. T., Bustamante, M. M. C., Nardoto, G. B., Mitre, S. K., Perez, T., Ometto, J. P. H. B., Ascarrunz, N. L., Forti, M. C., Longo, K., Gavito, M. E., Enrich-Prast, A., &amp; Martinelli, L. A. (2013). Latin America’s Nitrogen Challenge. </w:t>
      </w:r>
      <w:r w:rsidRPr="008608AA">
        <w:rPr>
          <w:i/>
          <w:iCs/>
          <w:noProof/>
        </w:rPr>
        <w:t>Science</w:t>
      </w:r>
      <w:r w:rsidRPr="008608AA">
        <w:rPr>
          <w:noProof/>
        </w:rPr>
        <w:t xml:space="preserve">, </w:t>
      </w:r>
      <w:r w:rsidRPr="008608AA">
        <w:rPr>
          <w:i/>
          <w:iCs/>
          <w:noProof/>
        </w:rPr>
        <w:t>340</w:t>
      </w:r>
      <w:r w:rsidRPr="008608AA">
        <w:rPr>
          <w:noProof/>
        </w:rPr>
        <w:t>(6129), 149–149. https://doi.org/10.1126/science.1231679</w:t>
      </w:r>
    </w:p>
    <w:p w14:paraId="445D8F17"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Barillé, L., Robin, M., Harin, N., Bargain, A., &amp; Launeau, P. (2010). Increase in seagrass distribution at Bourgneuf Bay (France) detected by spatial remote sensing. </w:t>
      </w:r>
      <w:r w:rsidRPr="008608AA">
        <w:rPr>
          <w:i/>
          <w:iCs/>
          <w:noProof/>
        </w:rPr>
        <w:t>Aquatic Botany</w:t>
      </w:r>
      <w:r w:rsidRPr="008608AA">
        <w:rPr>
          <w:noProof/>
        </w:rPr>
        <w:t xml:space="preserve">, </w:t>
      </w:r>
      <w:r w:rsidRPr="008608AA">
        <w:rPr>
          <w:i/>
          <w:iCs/>
          <w:noProof/>
        </w:rPr>
        <w:t>92</w:t>
      </w:r>
      <w:r w:rsidRPr="008608AA">
        <w:rPr>
          <w:noProof/>
        </w:rPr>
        <w:t>(3), (pp. 185–194). http://doi.org/10.1016/j.aquabot.2009.11.006</w:t>
      </w:r>
    </w:p>
    <w:p w14:paraId="54474078" w14:textId="77777777" w:rsidR="00B16A15" w:rsidRPr="00A3137A" w:rsidRDefault="00B16A15" w:rsidP="00B16A15">
      <w:pPr>
        <w:widowControl w:val="0"/>
        <w:autoSpaceDE w:val="0"/>
        <w:autoSpaceDN w:val="0"/>
        <w:adjustRightInd w:val="0"/>
        <w:ind w:left="709" w:hanging="709"/>
        <w:rPr>
          <w:noProof/>
          <w:lang w:val="fr-FR"/>
        </w:rPr>
      </w:pPr>
      <w:r w:rsidRPr="008608AA">
        <w:rPr>
          <w:noProof/>
        </w:rPr>
        <w:t xml:space="preserve">Bateman, I. J., Harwood, A. R., Mace, G. M., Watson, R. T., Abson, D. J., Andrews, B., Binner, A., Crowe, A., Day, B. H., Dugdale, S., Fezzi, C., Foden, J., Hadley, D., Haines-Young, R., Hulme, M., Kontoleon, A., Lovett, A. a, Munday, P., Pascual, U., Paterson, J., Perino, G., Sen, A., Siriwardena, G., van Soest, D., &amp; Termansen, M. (2013). Bringing Ecosystem Services into Economic Decision-Making: Land Use in the United Kingdom. </w:t>
      </w:r>
      <w:r w:rsidRPr="00A3137A">
        <w:rPr>
          <w:i/>
          <w:iCs/>
          <w:noProof/>
          <w:lang w:val="fr-FR"/>
        </w:rPr>
        <w:t>Science</w:t>
      </w:r>
      <w:r w:rsidRPr="00A3137A">
        <w:rPr>
          <w:noProof/>
          <w:lang w:val="fr-FR"/>
        </w:rPr>
        <w:t xml:space="preserve">, </w:t>
      </w:r>
      <w:r w:rsidRPr="00A3137A">
        <w:rPr>
          <w:i/>
          <w:iCs/>
          <w:noProof/>
          <w:lang w:val="fr-FR"/>
        </w:rPr>
        <w:t>341</w:t>
      </w:r>
      <w:r w:rsidRPr="00A3137A">
        <w:rPr>
          <w:noProof/>
          <w:lang w:val="fr-FR"/>
        </w:rPr>
        <w:t>(6141), 45–50. https://doi.org/10.1126/science.1234379</w:t>
      </w:r>
    </w:p>
    <w:p w14:paraId="4C8110A3" w14:textId="77777777" w:rsidR="00B16A15" w:rsidRPr="008608AA" w:rsidRDefault="00B16A15" w:rsidP="00B16A15">
      <w:pPr>
        <w:widowControl w:val="0"/>
        <w:autoSpaceDE w:val="0"/>
        <w:autoSpaceDN w:val="0"/>
        <w:adjustRightInd w:val="0"/>
        <w:ind w:left="709" w:hanging="709"/>
        <w:rPr>
          <w:noProof/>
        </w:rPr>
      </w:pPr>
      <w:r w:rsidRPr="00A3137A">
        <w:rPr>
          <w:noProof/>
          <w:lang w:val="fr-FR"/>
        </w:rPr>
        <w:t xml:space="preserve">Beach, D. M., &amp; Clark, D. A. (2015). </w:t>
      </w:r>
      <w:r w:rsidRPr="008608AA">
        <w:rPr>
          <w:noProof/>
        </w:rPr>
        <w:t xml:space="preserve">Scenario planning during rapid ecological change: lessons and perspectives from workshops with southwest Yukon wildlife managers. </w:t>
      </w:r>
      <w:r w:rsidRPr="008608AA">
        <w:rPr>
          <w:i/>
          <w:iCs/>
          <w:noProof/>
        </w:rPr>
        <w:t>Ecology and Society</w:t>
      </w:r>
      <w:r w:rsidRPr="008608AA">
        <w:rPr>
          <w:noProof/>
        </w:rPr>
        <w:t xml:space="preserve">, </w:t>
      </w:r>
      <w:r w:rsidRPr="008608AA">
        <w:rPr>
          <w:i/>
          <w:iCs/>
          <w:noProof/>
        </w:rPr>
        <w:t>20</w:t>
      </w:r>
      <w:r w:rsidRPr="008608AA">
        <w:rPr>
          <w:noProof/>
        </w:rPr>
        <w:t>(1), (pp. 61). http://doi.org/10.5751/ES-07379-200161</w:t>
      </w:r>
    </w:p>
    <w:p w14:paraId="0E681D47" w14:textId="77777777" w:rsidR="00B16A15" w:rsidRPr="00A3137A" w:rsidRDefault="00B16A15" w:rsidP="00B16A15">
      <w:pPr>
        <w:widowControl w:val="0"/>
        <w:autoSpaceDE w:val="0"/>
        <w:autoSpaceDN w:val="0"/>
        <w:adjustRightInd w:val="0"/>
        <w:ind w:left="709" w:hanging="709"/>
        <w:rPr>
          <w:noProof/>
          <w:lang w:val="fr-FR"/>
        </w:rPr>
      </w:pPr>
      <w:r w:rsidRPr="008608AA">
        <w:rPr>
          <w:noProof/>
        </w:rPr>
        <w:t xml:space="preserve">Beaumont, N., Austen, M., Atkins, J. P., Burdon, D., Degraer, S., Dentinho, T., Derous, S., Holm, P., Horton, T., van Ierland, E., Marboe, A., Starkey, D., Townsend, M., &amp; Zarzycki, T. (2007). Identification, definition and quantification of goods and services provided by marine biodiversity: Implications for the ecosystem approach. </w:t>
      </w:r>
      <w:r w:rsidRPr="00A3137A">
        <w:rPr>
          <w:i/>
          <w:iCs/>
          <w:noProof/>
          <w:lang w:val="fr-FR"/>
        </w:rPr>
        <w:t>Marine Pollution Bulletin</w:t>
      </w:r>
      <w:r w:rsidRPr="00A3137A">
        <w:rPr>
          <w:noProof/>
          <w:lang w:val="fr-FR"/>
        </w:rPr>
        <w:t xml:space="preserve">, </w:t>
      </w:r>
      <w:r w:rsidRPr="00A3137A">
        <w:rPr>
          <w:i/>
          <w:iCs/>
          <w:noProof/>
          <w:lang w:val="fr-FR"/>
        </w:rPr>
        <w:t>54</w:t>
      </w:r>
      <w:r w:rsidRPr="00A3137A">
        <w:rPr>
          <w:noProof/>
          <w:lang w:val="fr-FR"/>
        </w:rPr>
        <w:t>(3), 253–265. https://doi.org/10.1016/j.marpolbul.2006.12.003</w:t>
      </w:r>
    </w:p>
    <w:p w14:paraId="4B37DB06" w14:textId="77777777" w:rsidR="00B16A15" w:rsidRPr="008608AA" w:rsidRDefault="00B16A15" w:rsidP="00B16A15">
      <w:pPr>
        <w:widowControl w:val="0"/>
        <w:autoSpaceDE w:val="0"/>
        <w:autoSpaceDN w:val="0"/>
        <w:adjustRightInd w:val="0"/>
        <w:ind w:left="709" w:hanging="709"/>
        <w:rPr>
          <w:noProof/>
        </w:rPr>
      </w:pPr>
      <w:r w:rsidRPr="00A3137A">
        <w:rPr>
          <w:noProof/>
          <w:lang w:val="fr-FR"/>
        </w:rPr>
        <w:t xml:space="preserve">Bello, C., Galetti, M., Pizo, M. A., Magnago, L. F. S., Rocha, M. F., Lima, R. A. F., Peres, C. A., Ovaskainen, O., &amp; Jordano, P. (2015). </w:t>
      </w:r>
      <w:r w:rsidRPr="008608AA">
        <w:rPr>
          <w:noProof/>
        </w:rPr>
        <w:t xml:space="preserve">Defaunation affects carbon storage in tropical forests. </w:t>
      </w:r>
      <w:r w:rsidRPr="008608AA">
        <w:rPr>
          <w:i/>
          <w:iCs/>
          <w:noProof/>
        </w:rPr>
        <w:t>Science Advances</w:t>
      </w:r>
      <w:r w:rsidRPr="008608AA">
        <w:rPr>
          <w:noProof/>
        </w:rPr>
        <w:t xml:space="preserve">, </w:t>
      </w:r>
      <w:r w:rsidRPr="008608AA">
        <w:rPr>
          <w:i/>
          <w:iCs/>
          <w:noProof/>
        </w:rPr>
        <w:t>1</w:t>
      </w:r>
      <w:r w:rsidRPr="008608AA">
        <w:rPr>
          <w:noProof/>
        </w:rPr>
        <w:t>(11), 1–11. https://doi.org/10.1126/sciadv.1501105</w:t>
      </w:r>
    </w:p>
    <w:p w14:paraId="38DA51C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Bhatt, U. S., Walker, D. A., Raynolds, M. K., Comiso, J. C., Epstein, H. E., Jia, G., Gens, R., Pinzon, J. E., Tucker, C. J., Tweedie, C. E., &amp; Webber, P. J. (2010). Circumpolar Arctic Tundra Vegetation Change Is Linked to Sea Ice Decline. </w:t>
      </w:r>
      <w:r w:rsidRPr="008608AA">
        <w:rPr>
          <w:i/>
          <w:iCs/>
          <w:noProof/>
        </w:rPr>
        <w:t>Earth Interactions</w:t>
      </w:r>
      <w:r w:rsidRPr="008608AA">
        <w:rPr>
          <w:noProof/>
        </w:rPr>
        <w:t xml:space="preserve">, </w:t>
      </w:r>
      <w:r w:rsidRPr="008608AA">
        <w:rPr>
          <w:i/>
          <w:iCs/>
          <w:noProof/>
        </w:rPr>
        <w:t>14</w:t>
      </w:r>
      <w:r w:rsidRPr="008608AA">
        <w:rPr>
          <w:noProof/>
        </w:rPr>
        <w:t>(8), 1–20. https://doi.org/10.1175/2010EI315.1</w:t>
      </w:r>
    </w:p>
    <w:p w14:paraId="2A809FB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Binding, C. E., Greenberg, T. A., Watson, S. B., Rastin, S., &amp; Gould, J. (2015). Long term water clarity changes in North America’s Great Lakes from multi-sensor satellite observations. </w:t>
      </w:r>
      <w:r w:rsidRPr="008608AA">
        <w:rPr>
          <w:i/>
          <w:iCs/>
          <w:noProof/>
        </w:rPr>
        <w:t>Limnology and Oceanography</w:t>
      </w:r>
      <w:r w:rsidRPr="008608AA">
        <w:rPr>
          <w:noProof/>
        </w:rPr>
        <w:t xml:space="preserve">, </w:t>
      </w:r>
      <w:r w:rsidRPr="008608AA">
        <w:rPr>
          <w:i/>
          <w:iCs/>
          <w:noProof/>
        </w:rPr>
        <w:t>60</w:t>
      </w:r>
      <w:r w:rsidRPr="008608AA">
        <w:rPr>
          <w:noProof/>
        </w:rPr>
        <w:t>(6), (pp. 1976–1995). http://doi.org/10.1002/lno.10146</w:t>
      </w:r>
    </w:p>
    <w:p w14:paraId="237B96C2"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Björk, M., Short, F. T., Mcleod, E., &amp; Beer, S. (2008). </w:t>
      </w:r>
      <w:r w:rsidRPr="008608AA">
        <w:rPr>
          <w:i/>
          <w:iCs/>
          <w:noProof/>
        </w:rPr>
        <w:t>Managing seagrasses for resilience to climate change</w:t>
      </w:r>
      <w:r w:rsidRPr="008608AA">
        <w:rPr>
          <w:noProof/>
        </w:rPr>
        <w:t xml:space="preserve"> (IUCN, Gland, Switzerland. 56pp.). </w:t>
      </w:r>
      <w:r w:rsidRPr="008608AA">
        <w:rPr>
          <w:i/>
          <w:iCs/>
          <w:noProof/>
        </w:rPr>
        <w:t>IUCN Resilience Science Group Working Paper Series</w:t>
      </w:r>
      <w:r w:rsidRPr="008608AA">
        <w:rPr>
          <w:noProof/>
        </w:rPr>
        <w:t xml:space="preserve"> (Vol. 3). IUCN, Gland, Switzerland, 56 pp.</w:t>
      </w:r>
    </w:p>
    <w:p w14:paraId="5753463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Bobbink, R., &amp; Lamers, L. P. . . (2002). Effects of increased nitrogen deposition. In J. N. B. Bell &amp; M. Treshow (Eds.), </w:t>
      </w:r>
      <w:r w:rsidRPr="008608AA">
        <w:rPr>
          <w:i/>
          <w:iCs/>
          <w:noProof/>
        </w:rPr>
        <w:t>Air pollution and plant life</w:t>
      </w:r>
      <w:r w:rsidRPr="008608AA">
        <w:rPr>
          <w:noProof/>
        </w:rPr>
        <w:t xml:space="preserve"> (pp. 201-235). Chichester: John Wiley &amp; Sons.</w:t>
      </w:r>
    </w:p>
    <w:p w14:paraId="30B8F56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Bohunovsky, L., Ja, J., &amp; Omann, I. (2011). Participatory scenario development for integrated sustainability assessment. </w:t>
      </w:r>
      <w:r w:rsidRPr="008608AA">
        <w:rPr>
          <w:i/>
          <w:iCs/>
          <w:noProof/>
        </w:rPr>
        <w:t>Regional Environmental Change</w:t>
      </w:r>
      <w:r w:rsidRPr="008608AA">
        <w:rPr>
          <w:noProof/>
        </w:rPr>
        <w:t xml:space="preserve">, </w:t>
      </w:r>
      <w:r w:rsidRPr="008608AA">
        <w:rPr>
          <w:i/>
          <w:iCs/>
          <w:noProof/>
        </w:rPr>
        <w:t>11</w:t>
      </w:r>
      <w:r w:rsidRPr="008608AA">
        <w:rPr>
          <w:noProof/>
        </w:rPr>
        <w:t>, (pp. 271–284). http://doi.org/10.1007/s10113-010-0143-3</w:t>
      </w:r>
    </w:p>
    <w:p w14:paraId="42AC742C"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Boillat, S., Scarpa, F. M., Robson, J. P., Gasparri, I., Aide, T. M., Aguiar, A. P. D., Anderson, L. O., Batistella, M., Fonseca, M. G., Futemma, C., Grau, H. R., Mathez-Stiefel, S.-L., Metzger, J. P., Ometto, J. P. H. B., Pedlowski, M. A., Perz, S. G., Robiglio, V., Soler, L., Vieira, I., &amp; Brondizio, E. S. (2017). Land system science in Latin America: challenges and perspectives. </w:t>
      </w:r>
      <w:r w:rsidRPr="008608AA">
        <w:rPr>
          <w:i/>
          <w:iCs/>
          <w:noProof/>
        </w:rPr>
        <w:t>Current Opinion in Environmental Sustainability</w:t>
      </w:r>
      <w:r w:rsidRPr="008608AA">
        <w:rPr>
          <w:noProof/>
        </w:rPr>
        <w:t xml:space="preserve">, </w:t>
      </w:r>
      <w:r w:rsidRPr="008608AA">
        <w:rPr>
          <w:i/>
          <w:iCs/>
          <w:noProof/>
        </w:rPr>
        <w:t>26</w:t>
      </w:r>
      <w:r w:rsidRPr="008608AA">
        <w:rPr>
          <w:noProof/>
        </w:rPr>
        <w:t>–</w:t>
      </w:r>
      <w:r w:rsidRPr="008608AA">
        <w:rPr>
          <w:i/>
          <w:iCs/>
          <w:noProof/>
        </w:rPr>
        <w:t>27</w:t>
      </w:r>
      <w:r w:rsidRPr="008608AA">
        <w:rPr>
          <w:noProof/>
        </w:rPr>
        <w:t>, 37–46. https://doi.org/10.1016/j.cosust.2017.01.015</w:t>
      </w:r>
    </w:p>
    <w:p w14:paraId="6CF19572"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Boit, A., Sakschewski, B., Boysen, L., Cano-Crespo, A., Clement, J., Garcia-alaniz, N., Kok, K., Kolb, M., Langerwisch, F., Rammig, A., Sachse, R., van Eupen, M., von Bloh, W., Clara Zemp, D., &amp; Thonicke, K. (2016). Large-scale impact of climate change vs. land-use change on future biome shifts in Latin America. </w:t>
      </w:r>
      <w:r w:rsidRPr="008608AA">
        <w:rPr>
          <w:i/>
          <w:iCs/>
          <w:noProof/>
        </w:rPr>
        <w:t>Global Change Biology</w:t>
      </w:r>
      <w:r w:rsidRPr="008608AA">
        <w:rPr>
          <w:noProof/>
        </w:rPr>
        <w:t xml:space="preserve">, </w:t>
      </w:r>
      <w:r w:rsidRPr="008608AA">
        <w:rPr>
          <w:i/>
          <w:iCs/>
          <w:noProof/>
        </w:rPr>
        <w:t>22</w:t>
      </w:r>
      <w:r w:rsidRPr="008608AA">
        <w:rPr>
          <w:noProof/>
        </w:rPr>
        <w:t>(11), 3689–3701. https://doi.org/10.1111/gcb.13355</w:t>
      </w:r>
    </w:p>
    <w:p w14:paraId="0AFF31F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Bonilla-Moheno, M., Redo, D. J., Aide, T. M., Clark, M. L., &amp; Grau, H. R. (2013). Vegetation change and land tenure in Mexico: A country-wide analysis. </w:t>
      </w:r>
      <w:r w:rsidRPr="008608AA">
        <w:rPr>
          <w:i/>
          <w:iCs/>
          <w:noProof/>
        </w:rPr>
        <w:t>Land Use Policy</w:t>
      </w:r>
      <w:r w:rsidRPr="008608AA">
        <w:rPr>
          <w:noProof/>
        </w:rPr>
        <w:t xml:space="preserve">, </w:t>
      </w:r>
      <w:r w:rsidRPr="008608AA">
        <w:rPr>
          <w:i/>
          <w:iCs/>
          <w:noProof/>
        </w:rPr>
        <w:t>30</w:t>
      </w:r>
      <w:r w:rsidRPr="008608AA">
        <w:rPr>
          <w:noProof/>
        </w:rPr>
        <w:t>(1), (pp. 355–364). http://doi.org/10.1016/j.landusepol.2012.04.002</w:t>
      </w:r>
    </w:p>
    <w:p w14:paraId="7B2CE52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Boudouresque, C. F., Charbonel, E., Meinesz, A., Pergent, G., Pergent-Martini, C., Cadiou, G., Bertrandy, M. C., Foret, P., Ragazzi, M., &amp; Rico-Raimondino, V. (2000). A monitoring network based on the seagrass Posidonia Oceanica in the Northwestern Mediterranean Sea. </w:t>
      </w:r>
      <w:r w:rsidRPr="008608AA">
        <w:rPr>
          <w:i/>
          <w:iCs/>
          <w:noProof/>
        </w:rPr>
        <w:t>Biologia Marina Mediterránea</w:t>
      </w:r>
      <w:r w:rsidRPr="008608AA">
        <w:rPr>
          <w:noProof/>
        </w:rPr>
        <w:t xml:space="preserve">, </w:t>
      </w:r>
      <w:r w:rsidRPr="008608AA">
        <w:rPr>
          <w:i/>
          <w:iCs/>
          <w:noProof/>
        </w:rPr>
        <w:t>7</w:t>
      </w:r>
      <w:r w:rsidRPr="008608AA">
        <w:rPr>
          <w:noProof/>
        </w:rPr>
        <w:t>, 328–331.</w:t>
      </w:r>
    </w:p>
    <w:p w14:paraId="04604F9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Bozec, Y.-M., O’Farrell, S., Bruggemann, J. H., Luckhurst, B. E., &amp; Mumby, P. J. (2016). Tradeoffs between fisheries harvest and the resilience of coral reefs. </w:t>
      </w:r>
      <w:r w:rsidRPr="008608AA">
        <w:rPr>
          <w:i/>
          <w:iCs/>
          <w:noProof/>
        </w:rPr>
        <w:t>Proceedings of the National Academy of Sciences of the United States of America</w:t>
      </w:r>
      <w:r w:rsidRPr="008608AA">
        <w:rPr>
          <w:noProof/>
        </w:rPr>
        <w:t xml:space="preserve">, </w:t>
      </w:r>
      <w:r w:rsidRPr="008608AA">
        <w:rPr>
          <w:i/>
          <w:iCs/>
          <w:noProof/>
        </w:rPr>
        <w:t>113</w:t>
      </w:r>
      <w:r w:rsidRPr="008608AA">
        <w:rPr>
          <w:noProof/>
        </w:rPr>
        <w:t>(16), (pp. 4536–41). http://doi.org/10.1073/pnas.1601529113</w:t>
      </w:r>
    </w:p>
    <w:p w14:paraId="7DD9BA00" w14:textId="77777777" w:rsidR="00B16A15" w:rsidRPr="008608AA" w:rsidRDefault="00B16A15" w:rsidP="00B16A15">
      <w:pPr>
        <w:widowControl w:val="0"/>
        <w:autoSpaceDE w:val="0"/>
        <w:autoSpaceDN w:val="0"/>
        <w:adjustRightInd w:val="0"/>
        <w:ind w:left="709" w:hanging="709"/>
        <w:rPr>
          <w:noProof/>
          <w:lang w:val="es-CO"/>
        </w:rPr>
      </w:pPr>
      <w:r w:rsidRPr="008608AA">
        <w:rPr>
          <w:noProof/>
          <w:lang w:val="es-CO"/>
        </w:rPr>
        <w:t xml:space="preserve">Brancalion, P. H. S., Garcia, L. C., Loyola, R., Rodrigues, R. R., Pillar, V. D., &amp; Lewinsohn, T. M. (2016). Análise crítica da Lei de Proteção da Vegetação Nativa (2012), que substituiu o antigo Código Florestal: atualizações e ações em curso. </w:t>
      </w:r>
      <w:r w:rsidRPr="008608AA">
        <w:rPr>
          <w:i/>
          <w:iCs/>
          <w:noProof/>
          <w:lang w:val="es-CO"/>
        </w:rPr>
        <w:t>Natureza &amp; Conservação</w:t>
      </w:r>
      <w:r w:rsidRPr="008608AA">
        <w:rPr>
          <w:noProof/>
          <w:lang w:val="es-CO"/>
        </w:rPr>
        <w:t xml:space="preserve">, </w:t>
      </w:r>
      <w:r w:rsidRPr="008608AA">
        <w:rPr>
          <w:i/>
          <w:iCs/>
          <w:noProof/>
          <w:lang w:val="es-CO"/>
        </w:rPr>
        <w:t>14</w:t>
      </w:r>
      <w:r w:rsidRPr="008608AA">
        <w:rPr>
          <w:noProof/>
          <w:lang w:val="es-CO"/>
        </w:rPr>
        <w:t>(2012), e1–e16. http://doi.org/10.1016/j.ncon.2016.03.004</w:t>
      </w:r>
    </w:p>
    <w:p w14:paraId="24C19F04" w14:textId="77777777" w:rsidR="00B16A15" w:rsidRPr="008608AA" w:rsidRDefault="00B16A15" w:rsidP="00B16A15">
      <w:pPr>
        <w:widowControl w:val="0"/>
        <w:autoSpaceDE w:val="0"/>
        <w:autoSpaceDN w:val="0"/>
        <w:adjustRightInd w:val="0"/>
        <w:ind w:left="709" w:hanging="709"/>
        <w:rPr>
          <w:noProof/>
        </w:rPr>
      </w:pPr>
      <w:r w:rsidRPr="008608AA">
        <w:rPr>
          <w:noProof/>
          <w:lang w:val="es-ES"/>
        </w:rPr>
        <w:t xml:space="preserve">Brienen, R. J. W., Phillips, O. L., Feldpausch, T. R., Gloor, E., Baker, T. R., Lloyd, J., Lopez-Gonzalez, G., Monteagudo-Mendoza, A., Malhi, Y., Lewis, S. L., Vásquez Martinez, R., Alexiades, M., Álvarez Dávila, E., Alvarez-Loayza, P., Andrade, A., Aragão, L. E. O. C., Araujo-Murakami, A., Arets, E. J. M. M., Arroyo, L., Aymard C., G. A., Bánki, O. S., Baraloto, C., Barroso, J., Bonal, D., Boot, R. G. A., Camargo, J. L. C., Castilho, C. V., Chama, V., Chao, K. J., Chave, J., Comiskey, J. A., Cornejo Valverde, F., da Costa, L., de Oliveira, E. A., Di Fiore, A., Erwin, T. L., Fauset, S., Forsthofer, M., Galbraith, D. R., Grahame, E. S., Groot, N., Hérault, B., Higuchi, N., Honorio Coronado, E. N., Keeling, H., Killeen, T. J., Laurance, W. F., Laurance, S., Licona, J., Magnussen, W. E., Marimon, B. S., Marimon-Junior, B. H., Mendoza, C., Neill, D. A., Nogueira, E. M., Núñez, P., Pallqui Camacho, N. C., Parada, A., Pardo-Molina, G., Peacock, J., Peña-Claros, M., Pickavance, G. C., Pitman, N. C. A., Poorter, L., Prieto, A., Quesada, C. A., Ramírez, F., Ramírez-Angulo, H., Restrepo, Z., Roopsind, A., Rudas, A., Salomão, R. P., Schwarz, M., Silva, N., Silva-Espejo, J. E., Silveira, M., Stropp, J., Talbot, J., ter Steege, H., Teran-Aguilar, J., Terborgh, J., Thomas-Caesar, R., Toledo, M., Torello-Raventos, M., Umetsu, R. K., van der Heijden, G. M. F., van der Hout, P., Guimarães Vieira, I. C., Vieira, S. A., Vilanova, E., Vos, V. A., &amp; Zagt, R. J. (2015). </w:t>
      </w:r>
      <w:r w:rsidRPr="008608AA">
        <w:rPr>
          <w:noProof/>
        </w:rPr>
        <w:t xml:space="preserve">Long-term decline of the Amazon carbon sink. </w:t>
      </w:r>
      <w:r w:rsidRPr="008608AA">
        <w:rPr>
          <w:i/>
          <w:iCs/>
          <w:noProof/>
        </w:rPr>
        <w:t>Nature</w:t>
      </w:r>
      <w:r w:rsidRPr="008608AA">
        <w:rPr>
          <w:noProof/>
        </w:rPr>
        <w:t xml:space="preserve">, </w:t>
      </w:r>
      <w:r w:rsidRPr="008608AA">
        <w:rPr>
          <w:i/>
          <w:iCs/>
          <w:noProof/>
        </w:rPr>
        <w:t>519</w:t>
      </w:r>
      <w:r w:rsidRPr="008608AA">
        <w:rPr>
          <w:noProof/>
        </w:rPr>
        <w:t>(7543), 344–348. https://doi.org/10.1038/nature14283</w:t>
      </w:r>
    </w:p>
    <w:p w14:paraId="32FE309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Brooks, T. M., Akçakaya, H. R., Burgess, N. D., Butchart, S. H. M., Hilton-Taylor, C., Hoffmann, M., Juffe-Bignoli, D., Kingston, N., MacSharry, B., Parr, M., Perianin, L., Regan, E. C., Rodrigues, A. S. L., Rondinini, C., Shennan-Farpon, Y., &amp; Young, B. E. (2016). Analysing biodiversity and conservation knowledge products to support regional environmental assessments. </w:t>
      </w:r>
      <w:r w:rsidRPr="008608AA">
        <w:rPr>
          <w:i/>
          <w:iCs/>
          <w:noProof/>
        </w:rPr>
        <w:t>Scientific Data</w:t>
      </w:r>
      <w:r w:rsidRPr="008608AA">
        <w:rPr>
          <w:noProof/>
        </w:rPr>
        <w:t xml:space="preserve">, </w:t>
      </w:r>
      <w:r w:rsidRPr="008608AA">
        <w:rPr>
          <w:i/>
          <w:iCs/>
          <w:noProof/>
        </w:rPr>
        <w:t>3</w:t>
      </w:r>
      <w:r w:rsidRPr="008608AA">
        <w:rPr>
          <w:noProof/>
        </w:rPr>
        <w:t>, 160007. https://doi.org/10.1038/sdata.2016.7</w:t>
      </w:r>
    </w:p>
    <w:p w14:paraId="5C9B36B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Bustamante, M. M. C., Nobre, C. A., Smeraldi, R., Aguiar, A. P. D., Barioni, L. G., Ferreira, L. G., Longo, K., May, P., Pinto, A. S., &amp; Ometto, J. P. H. B. (2012). Estimating greenhouse gas emissions from cattle raising in Brazil. </w:t>
      </w:r>
      <w:r w:rsidRPr="008608AA">
        <w:rPr>
          <w:i/>
          <w:iCs/>
          <w:noProof/>
        </w:rPr>
        <w:t>Climatic Change</w:t>
      </w:r>
      <w:r w:rsidRPr="008608AA">
        <w:rPr>
          <w:noProof/>
        </w:rPr>
        <w:t xml:space="preserve">, </w:t>
      </w:r>
      <w:r w:rsidRPr="008608AA">
        <w:rPr>
          <w:i/>
          <w:iCs/>
          <w:noProof/>
        </w:rPr>
        <w:t>115</w:t>
      </w:r>
      <w:r w:rsidRPr="008608AA">
        <w:rPr>
          <w:noProof/>
        </w:rPr>
        <w:t>(3–4), 559–577. https://doi.org/10.1007/s10584-012-0443-3</w:t>
      </w:r>
    </w:p>
    <w:p w14:paraId="49901D12"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Bustamante, M. M. C., Roitman, I., Aide, T. M., Alencar, A., Anderson, L. O., Aragão, L., Asner, G. P., Barlow, J., Berenguer, E., Chambers, J., Costa, M. H., Fanin, T., Ferreira, L. G., Ferreira, J., Keller, M., Magnusson, W. E., Morales-Barquero, L., Morton, D., Ometto, J. P. H. B., Palace, M., Peres, C. A., Silvério, D., Trumbore, S., &amp; Vieira, I. C. G. (2016). Toward an integrated monitoring framework to assess the effects of tropical forest degradation and recovery on carbon stocks and biodiversity. </w:t>
      </w:r>
      <w:r w:rsidRPr="008608AA">
        <w:rPr>
          <w:i/>
          <w:iCs/>
          <w:noProof/>
        </w:rPr>
        <w:t>Global Change Biology</w:t>
      </w:r>
      <w:r w:rsidRPr="008608AA">
        <w:rPr>
          <w:noProof/>
        </w:rPr>
        <w:t xml:space="preserve">, </w:t>
      </w:r>
      <w:r w:rsidRPr="008608AA">
        <w:rPr>
          <w:i/>
          <w:iCs/>
          <w:noProof/>
        </w:rPr>
        <w:t>22</w:t>
      </w:r>
      <w:r w:rsidRPr="008608AA">
        <w:rPr>
          <w:noProof/>
        </w:rPr>
        <w:t>(1), 92–109. https://doi.org/10.1111/gcb.13087</w:t>
      </w:r>
    </w:p>
    <w:p w14:paraId="38B813A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Butler, T. M., Taraborrelli, D., Brühl, C., Fischer, H., Harder, H., Martinez, M., Williams, J., Lawrence, M. G., &amp; Lelieveld, J. (2008). Improved simulation of isoprene oxidation chemistry with the ECHAM5/MESSy chemistry-climate model: lessons from the GABRIEL airborne field campaign. </w:t>
      </w:r>
      <w:r w:rsidRPr="008608AA">
        <w:rPr>
          <w:i/>
          <w:iCs/>
          <w:noProof/>
        </w:rPr>
        <w:t>Atmospheric Chemistry and Physics</w:t>
      </w:r>
      <w:r w:rsidRPr="008608AA">
        <w:rPr>
          <w:noProof/>
        </w:rPr>
        <w:t xml:space="preserve">, </w:t>
      </w:r>
      <w:r w:rsidRPr="008608AA">
        <w:rPr>
          <w:i/>
          <w:iCs/>
          <w:noProof/>
        </w:rPr>
        <w:t>8</w:t>
      </w:r>
      <w:r w:rsidRPr="008608AA">
        <w:rPr>
          <w:noProof/>
        </w:rPr>
        <w:t>(16), 4529–4546. https://doi.org/10.5194/acp-8-4529-2008</w:t>
      </w:r>
    </w:p>
    <w:p w14:paraId="08D6DEE3"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Buytaert, W., Cuesta-Camacho, F., &amp; Tobón, C. (2011). Potential impacts of climate change on the environmental services of humid tropical alpine regions. </w:t>
      </w:r>
      <w:r w:rsidRPr="008608AA">
        <w:rPr>
          <w:i/>
          <w:iCs/>
          <w:noProof/>
          <w:lang w:val="es-CO"/>
        </w:rPr>
        <w:t>Global Ecology and Biogeography</w:t>
      </w:r>
      <w:r w:rsidRPr="008608AA">
        <w:rPr>
          <w:noProof/>
          <w:lang w:val="es-CO"/>
        </w:rPr>
        <w:t>. http://doi.org/10.1111/j.1466-8238.2010.00585.x</w:t>
      </w:r>
    </w:p>
    <w:p w14:paraId="36316F8D"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Caballero, J., Palacios, F., Arévalos, F., Rodas, O., &amp; Yanosky, A. A. (2013). Cambio de uso de la tierra en el Gran Chaco Americano en el año 2013. </w:t>
      </w:r>
      <w:r w:rsidRPr="008608AA">
        <w:rPr>
          <w:i/>
          <w:iCs/>
          <w:noProof/>
        </w:rPr>
        <w:t>Paraquaria Natural</w:t>
      </w:r>
      <w:r w:rsidRPr="008608AA">
        <w:rPr>
          <w:noProof/>
        </w:rPr>
        <w:t xml:space="preserve">, </w:t>
      </w:r>
      <w:r w:rsidRPr="008608AA">
        <w:rPr>
          <w:i/>
          <w:iCs/>
          <w:noProof/>
        </w:rPr>
        <w:t>2</w:t>
      </w:r>
      <w:r w:rsidRPr="008608AA">
        <w:rPr>
          <w:noProof/>
        </w:rPr>
        <w:t>(1), 21–28.</w:t>
      </w:r>
    </w:p>
    <w:p w14:paraId="219139D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CAFF. (2013). </w:t>
      </w:r>
      <w:r w:rsidRPr="008608AA">
        <w:rPr>
          <w:i/>
          <w:iCs/>
          <w:noProof/>
        </w:rPr>
        <w:t>Arctic Biodiversity Assessment - Status and Trends in Arctic Biodiversity</w:t>
      </w:r>
      <w:r w:rsidRPr="008608AA">
        <w:rPr>
          <w:noProof/>
        </w:rPr>
        <w:t xml:space="preserve">. </w:t>
      </w:r>
      <w:r w:rsidRPr="008608AA">
        <w:rPr>
          <w:i/>
          <w:iCs/>
          <w:noProof/>
        </w:rPr>
        <w:t>Arctic Biodiversity Assessment</w:t>
      </w:r>
      <w:r w:rsidRPr="008608AA">
        <w:rPr>
          <w:noProof/>
        </w:rPr>
        <w:t>.</w:t>
      </w:r>
    </w:p>
    <w:p w14:paraId="5B647067"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Canada, G. of. (1991). </w:t>
      </w:r>
      <w:r w:rsidRPr="008608AA">
        <w:rPr>
          <w:i/>
          <w:iCs/>
          <w:noProof/>
        </w:rPr>
        <w:t>THE FEDERAL POLICY ON WETLAND CONSERVATION Government of Canada 1991</w:t>
      </w:r>
      <w:r w:rsidRPr="008608AA">
        <w:rPr>
          <w:noProof/>
        </w:rPr>
        <w:t xml:space="preserve">. </w:t>
      </w:r>
      <w:r w:rsidRPr="008608AA">
        <w:rPr>
          <w:noProof/>
          <w:lang w:val="es-CO"/>
        </w:rPr>
        <w:t>Ottawa, ON.</w:t>
      </w:r>
    </w:p>
    <w:p w14:paraId="3738F8F5"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Capellán-Pérez, I., Mediavilla, M., de Castro, C., Carpintero, Ó., &amp; Miguel, L. J. (2015). </w:t>
      </w:r>
      <w:r w:rsidRPr="008608AA">
        <w:rPr>
          <w:noProof/>
        </w:rPr>
        <w:t xml:space="preserve">More growth? An unfeasible option to overcome critical energy constraints and climate change. </w:t>
      </w:r>
      <w:r w:rsidRPr="008608AA">
        <w:rPr>
          <w:i/>
          <w:iCs/>
          <w:noProof/>
        </w:rPr>
        <w:t>Sustainability Science</w:t>
      </w:r>
      <w:r w:rsidRPr="008608AA">
        <w:rPr>
          <w:noProof/>
        </w:rPr>
        <w:t xml:space="preserve">, </w:t>
      </w:r>
      <w:r w:rsidRPr="008608AA">
        <w:rPr>
          <w:i/>
          <w:iCs/>
          <w:noProof/>
        </w:rPr>
        <w:t>10</w:t>
      </w:r>
      <w:r w:rsidRPr="008608AA">
        <w:rPr>
          <w:noProof/>
        </w:rPr>
        <w:t>(10), (pp. 397–411). http://doi.org/10.1007/s11625-015-0299-3</w:t>
      </w:r>
    </w:p>
    <w:p w14:paraId="1FB3AB2B" w14:textId="77777777" w:rsidR="00B16A15" w:rsidRPr="008608AA" w:rsidRDefault="00B16A15" w:rsidP="00B16A15">
      <w:pPr>
        <w:widowControl w:val="0"/>
        <w:autoSpaceDE w:val="0"/>
        <w:autoSpaceDN w:val="0"/>
        <w:adjustRightInd w:val="0"/>
        <w:ind w:left="709" w:hanging="709"/>
        <w:rPr>
          <w:noProof/>
          <w:lang w:val="pt-BR"/>
        </w:rPr>
      </w:pPr>
      <w:r w:rsidRPr="008608AA">
        <w:rPr>
          <w:noProof/>
        </w:rPr>
        <w:t xml:space="preserve">Cárcamo, P. F., Garay-Flühmann, R., Squeo, F. A., &amp; Gaymer, C. F. (2014). Using stakeholders’ perspective of ecosystem services and biodiversity features to plan a marine protected area. </w:t>
      </w:r>
      <w:r w:rsidRPr="008608AA">
        <w:rPr>
          <w:i/>
          <w:iCs/>
          <w:noProof/>
          <w:lang w:val="pt-BR"/>
        </w:rPr>
        <w:t>Environmental Science &amp; Policy</w:t>
      </w:r>
      <w:r w:rsidRPr="008608AA">
        <w:rPr>
          <w:noProof/>
          <w:lang w:val="pt-BR"/>
        </w:rPr>
        <w:t xml:space="preserve">, </w:t>
      </w:r>
      <w:r w:rsidRPr="008608AA">
        <w:rPr>
          <w:i/>
          <w:iCs/>
          <w:noProof/>
          <w:lang w:val="pt-BR"/>
        </w:rPr>
        <w:t>40</w:t>
      </w:r>
      <w:r w:rsidRPr="008608AA">
        <w:rPr>
          <w:noProof/>
          <w:lang w:val="pt-BR"/>
        </w:rPr>
        <w:t>(40), (pp. 116–131). http://doi.org/10.1016/j.envsci.2014.03.003</w:t>
      </w:r>
    </w:p>
    <w:p w14:paraId="4ABA5422" w14:textId="77777777" w:rsidR="00B16A15" w:rsidRPr="008608AA" w:rsidRDefault="00B16A15" w:rsidP="00B16A15">
      <w:pPr>
        <w:widowControl w:val="0"/>
        <w:autoSpaceDE w:val="0"/>
        <w:autoSpaceDN w:val="0"/>
        <w:adjustRightInd w:val="0"/>
        <w:ind w:left="709" w:hanging="709"/>
        <w:rPr>
          <w:noProof/>
          <w:lang w:val="de-DE"/>
        </w:rPr>
      </w:pPr>
      <w:r w:rsidRPr="008608AA">
        <w:rPr>
          <w:noProof/>
          <w:lang w:val="pt-BR"/>
        </w:rPr>
        <w:t xml:space="preserve">Cardoso, M., Nobre, C., Sampaio, G., Hirota, M., Valeriano, D., &amp; Câmara, G. (2009). </w:t>
      </w:r>
      <w:r w:rsidRPr="008608AA">
        <w:rPr>
          <w:noProof/>
        </w:rPr>
        <w:t xml:space="preserve">Long-term potential for tropical-forest degradation due to deforestation and fires in the Brazilian Amazon. </w:t>
      </w:r>
      <w:r w:rsidRPr="008608AA">
        <w:rPr>
          <w:i/>
          <w:iCs/>
          <w:noProof/>
          <w:lang w:val="de-DE"/>
        </w:rPr>
        <w:t>Biologia</w:t>
      </w:r>
      <w:r w:rsidRPr="008608AA">
        <w:rPr>
          <w:noProof/>
          <w:lang w:val="de-DE"/>
        </w:rPr>
        <w:t xml:space="preserve">, </w:t>
      </w:r>
      <w:r w:rsidRPr="008608AA">
        <w:rPr>
          <w:i/>
          <w:iCs/>
          <w:noProof/>
          <w:lang w:val="de-DE"/>
        </w:rPr>
        <w:t>64</w:t>
      </w:r>
      <w:r w:rsidRPr="008608AA">
        <w:rPr>
          <w:noProof/>
          <w:lang w:val="de-DE"/>
        </w:rPr>
        <w:t>(3). http://doi.org/10.2478/s11756-009-0076-9</w:t>
      </w:r>
    </w:p>
    <w:p w14:paraId="693A6913" w14:textId="77777777" w:rsidR="00B16A15" w:rsidRPr="008608AA" w:rsidRDefault="00B16A15" w:rsidP="00B16A15">
      <w:pPr>
        <w:widowControl w:val="0"/>
        <w:autoSpaceDE w:val="0"/>
        <w:autoSpaceDN w:val="0"/>
        <w:adjustRightInd w:val="0"/>
        <w:ind w:left="709" w:hanging="709"/>
        <w:rPr>
          <w:noProof/>
        </w:rPr>
      </w:pPr>
      <w:r w:rsidRPr="008608AA">
        <w:rPr>
          <w:noProof/>
          <w:lang w:val="de-DE"/>
        </w:rPr>
        <w:t xml:space="preserve">Cavanaugh, K. C., Kellner, J. R., Forde, A. J., Gruner, D. S., Parker, J. D., Rodriguez, W., &amp; Feller, I. C. (2014). </w:t>
      </w:r>
      <w:r w:rsidRPr="008608AA">
        <w:rPr>
          <w:noProof/>
        </w:rPr>
        <w:t xml:space="preserve">Poleward expansion of mangroves is a threshold response to decreased frequency of extreme cold events. </w:t>
      </w:r>
      <w:r w:rsidRPr="008608AA">
        <w:rPr>
          <w:i/>
          <w:iCs/>
          <w:noProof/>
        </w:rPr>
        <w:t>Proceedings of the National Academy of Sciences of the United States of America</w:t>
      </w:r>
      <w:r w:rsidRPr="008608AA">
        <w:rPr>
          <w:noProof/>
        </w:rPr>
        <w:t>. http://doi.org/10.1073/pnas.1315800111</w:t>
      </w:r>
    </w:p>
    <w:p w14:paraId="00DDFE1C"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Chan, K. M. A., Balvanera, P., Benessaiah, K., Chapman, M., Díaz, S., Gómez-Baggethun, E., Gould, R., Hannahs, N., Jax, K., Klain, S., Luck, G. W., Martín-López, B., Muraca, B., Norton, B., Ott, K., Pascual, U., Satterfield, T., Tadaki, M., Taggart, J., &amp; Turner, N. (2016b). Why protect nature? Rethinking values and the environment. </w:t>
      </w:r>
      <w:r w:rsidRPr="008608AA">
        <w:rPr>
          <w:i/>
          <w:iCs/>
          <w:noProof/>
        </w:rPr>
        <w:t>PNAS</w:t>
      </w:r>
      <w:r w:rsidRPr="008608AA">
        <w:rPr>
          <w:noProof/>
        </w:rPr>
        <w:t xml:space="preserve">, </w:t>
      </w:r>
      <w:r w:rsidRPr="008608AA">
        <w:rPr>
          <w:i/>
          <w:iCs/>
          <w:noProof/>
        </w:rPr>
        <w:t>113</w:t>
      </w:r>
      <w:r w:rsidRPr="008608AA">
        <w:rPr>
          <w:noProof/>
        </w:rPr>
        <w:t>(6), (pp. 1462–1465). https://doi.org/doi/10.1073/pnas.1525002113</w:t>
      </w:r>
    </w:p>
    <w:p w14:paraId="5F6A237B" w14:textId="77777777" w:rsidR="00B16A15" w:rsidRPr="008608AA" w:rsidRDefault="00B16A15" w:rsidP="00B16A15">
      <w:pPr>
        <w:widowControl w:val="0"/>
        <w:autoSpaceDE w:val="0"/>
        <w:autoSpaceDN w:val="0"/>
        <w:adjustRightInd w:val="0"/>
        <w:ind w:left="709" w:hanging="709"/>
        <w:rPr>
          <w:noProof/>
        </w:rPr>
      </w:pPr>
      <w:r w:rsidRPr="008608AA">
        <w:rPr>
          <w:noProof/>
          <w:lang w:val="es-ES"/>
        </w:rPr>
        <w:t xml:space="preserve">Chapin, F. S., Zavaleta, E. S., Eviner, V. T., Naylor, R. L., Vitousek, P. M., Reynolds, H. L., Hooper, D. U., Lavorel, S., Sala, O. E., Hobbie, S. E., Mack, M. C., &amp; Díaz, S. (2000). </w:t>
      </w:r>
      <w:r w:rsidRPr="008608AA">
        <w:rPr>
          <w:noProof/>
        </w:rPr>
        <w:t xml:space="preserve">Consequences of changing biodiversity. </w:t>
      </w:r>
      <w:r w:rsidRPr="008608AA">
        <w:rPr>
          <w:i/>
          <w:iCs/>
          <w:noProof/>
        </w:rPr>
        <w:t>Nature</w:t>
      </w:r>
      <w:r w:rsidRPr="008608AA">
        <w:rPr>
          <w:noProof/>
        </w:rPr>
        <w:t xml:space="preserve">, </w:t>
      </w:r>
      <w:r w:rsidRPr="008608AA">
        <w:rPr>
          <w:i/>
          <w:iCs/>
          <w:noProof/>
        </w:rPr>
        <w:t>405</w:t>
      </w:r>
      <w:r w:rsidRPr="008608AA">
        <w:rPr>
          <w:noProof/>
        </w:rPr>
        <w:t>(6783), 234–242. https://doi.org/10.1038/35012241</w:t>
      </w:r>
    </w:p>
    <w:p w14:paraId="05DFFF1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Chaplin-Kramer, R., Sharp, R. P., Mandle, L., Sim, S., Johnson, J., Butnar, I., Milà i Canals, L., Eichelberger, B. A., Ramler, I., Mueller, C., McLachlan, N., Yousefi, A., King, H., &amp; Kareiva, P. M. (2015). Spatial patterns of agricultural expansion determine impacts on biodiversity and carbon storage. </w:t>
      </w:r>
      <w:r w:rsidRPr="008608AA">
        <w:rPr>
          <w:i/>
          <w:iCs/>
          <w:noProof/>
        </w:rPr>
        <w:t>Proceedings of the National Academy of Sciences</w:t>
      </w:r>
      <w:r w:rsidRPr="008608AA">
        <w:rPr>
          <w:noProof/>
        </w:rPr>
        <w:t xml:space="preserve">, </w:t>
      </w:r>
      <w:r w:rsidRPr="008608AA">
        <w:rPr>
          <w:i/>
          <w:iCs/>
          <w:noProof/>
        </w:rPr>
        <w:t>112</w:t>
      </w:r>
      <w:r w:rsidRPr="008608AA">
        <w:rPr>
          <w:noProof/>
        </w:rPr>
        <w:t>(24), 7402–7407. https://doi.org/10.1073/pnas.1406485112</w:t>
      </w:r>
    </w:p>
    <w:p w14:paraId="7D495597"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Chapra, S. C., Dove, A., &amp; Rockwell, D. C. (2009). Great Lakes chloride trends: Long-term mass balance and loading analysis. </w:t>
      </w:r>
      <w:r w:rsidRPr="008608AA">
        <w:rPr>
          <w:i/>
          <w:iCs/>
          <w:noProof/>
        </w:rPr>
        <w:t>Journal of Great Lakes Research</w:t>
      </w:r>
      <w:r w:rsidRPr="008608AA">
        <w:rPr>
          <w:noProof/>
        </w:rPr>
        <w:t xml:space="preserve">, </w:t>
      </w:r>
      <w:r w:rsidRPr="008608AA">
        <w:rPr>
          <w:i/>
          <w:iCs/>
          <w:noProof/>
        </w:rPr>
        <w:t>35</w:t>
      </w:r>
      <w:r w:rsidRPr="008608AA">
        <w:rPr>
          <w:noProof/>
        </w:rPr>
        <w:t>(2), (pp. 272–284). http://doi.org/10.1016/J.JGLR.2008.11.013</w:t>
      </w:r>
    </w:p>
    <w:p w14:paraId="01656BF5" w14:textId="77777777" w:rsidR="00B16A15" w:rsidRPr="008608AA" w:rsidRDefault="00B16A15" w:rsidP="00B16A15">
      <w:pPr>
        <w:widowControl w:val="0"/>
        <w:autoSpaceDE w:val="0"/>
        <w:autoSpaceDN w:val="0"/>
        <w:adjustRightInd w:val="0"/>
        <w:ind w:left="709" w:hanging="709"/>
        <w:rPr>
          <w:noProof/>
        </w:rPr>
      </w:pPr>
      <w:r w:rsidRPr="00A3137A">
        <w:rPr>
          <w:noProof/>
          <w:lang w:val="fr-FR"/>
        </w:rPr>
        <w:t xml:space="preserve">Chomitz, K. M., &amp; Kumari, K. (1998). </w:t>
      </w:r>
      <w:r w:rsidRPr="008608AA">
        <w:rPr>
          <w:noProof/>
        </w:rPr>
        <w:t xml:space="preserve">The domestic benefits of tropical forests: a critical review. </w:t>
      </w:r>
      <w:r w:rsidRPr="008608AA">
        <w:rPr>
          <w:i/>
          <w:iCs/>
          <w:noProof/>
        </w:rPr>
        <w:t>The World Bank Research Observer</w:t>
      </w:r>
      <w:r w:rsidRPr="008608AA">
        <w:rPr>
          <w:noProof/>
        </w:rPr>
        <w:t xml:space="preserve">, </w:t>
      </w:r>
      <w:r w:rsidRPr="008608AA">
        <w:rPr>
          <w:i/>
          <w:iCs/>
          <w:noProof/>
        </w:rPr>
        <w:t>13</w:t>
      </w:r>
      <w:r w:rsidRPr="008608AA">
        <w:rPr>
          <w:noProof/>
        </w:rPr>
        <w:t>(1), (pp. 13–35).</w:t>
      </w:r>
    </w:p>
    <w:p w14:paraId="2AEB514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Christianen, M. J., van Belzen, J., Herman, P. M. J., van Katwijk, M. M., Lamers, L. P. M., van Leent, P. J. M., &amp; Bouma, T. J. (2013). Low-canopy seagrass beds still provide important coastal protection services. </w:t>
      </w:r>
      <w:r w:rsidRPr="008608AA">
        <w:rPr>
          <w:i/>
          <w:iCs/>
          <w:noProof/>
        </w:rPr>
        <w:t>PloS One</w:t>
      </w:r>
      <w:r w:rsidRPr="008608AA">
        <w:rPr>
          <w:noProof/>
        </w:rPr>
        <w:t xml:space="preserve">, </w:t>
      </w:r>
      <w:r w:rsidRPr="008608AA">
        <w:rPr>
          <w:i/>
          <w:iCs/>
          <w:noProof/>
        </w:rPr>
        <w:t>8</w:t>
      </w:r>
      <w:r w:rsidRPr="008608AA">
        <w:rPr>
          <w:noProof/>
        </w:rPr>
        <w:t>(5), e62413. http://doi.org/10.1371/journal.pone.0062413</w:t>
      </w:r>
    </w:p>
    <w:p w14:paraId="2099B7E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Church, J. A., Gregory, J. M., White, N. J., Platten, S. M., &amp; Mitrovica, J. X. (2011). Understanding and projecting sea level change. </w:t>
      </w:r>
      <w:r w:rsidRPr="008608AA">
        <w:rPr>
          <w:i/>
          <w:iCs/>
          <w:noProof/>
        </w:rPr>
        <w:t>Oceanography</w:t>
      </w:r>
      <w:r w:rsidRPr="008608AA">
        <w:rPr>
          <w:noProof/>
        </w:rPr>
        <w:t xml:space="preserve">, </w:t>
      </w:r>
      <w:r w:rsidRPr="008608AA">
        <w:rPr>
          <w:i/>
          <w:iCs/>
          <w:noProof/>
        </w:rPr>
        <w:t>24</w:t>
      </w:r>
      <w:r w:rsidRPr="008608AA">
        <w:rPr>
          <w:noProof/>
        </w:rPr>
        <w:t>(2), (pp. 130–143). http://doi.org/10.5670/oceanog.2011.33.COPYRIGHT</w:t>
      </w:r>
    </w:p>
    <w:p w14:paraId="44311D94" w14:textId="77777777" w:rsidR="00B16A15" w:rsidRPr="008608AA" w:rsidRDefault="00B16A15" w:rsidP="00B16A15">
      <w:pPr>
        <w:widowControl w:val="0"/>
        <w:autoSpaceDE w:val="0"/>
        <w:autoSpaceDN w:val="0"/>
        <w:adjustRightInd w:val="0"/>
        <w:ind w:left="709" w:hanging="709"/>
        <w:rPr>
          <w:noProof/>
        </w:rPr>
      </w:pPr>
      <w:r w:rsidRPr="008608AA">
        <w:rPr>
          <w:noProof/>
          <w:lang w:val="es-ES"/>
        </w:rPr>
        <w:t xml:space="preserve">Chust, G., Albaina, A., Aranburu, A., Borja, Á., Diekmann, O. E., Estonba, A., Franco, J., Garmendia, J. M., Iriondo, M., Muxika, I., Rendo, F., Rodríguez, J. G., Ruiz-Larrañaga, O., Serrão, E. A., &amp; Valle, M. (2013). </w:t>
      </w:r>
      <w:r w:rsidRPr="008608AA">
        <w:rPr>
          <w:noProof/>
        </w:rPr>
        <w:t xml:space="preserve">Connectivity, neutral theories and the assessment of species vulnerability to global change in temperate estuaries. </w:t>
      </w:r>
      <w:r w:rsidRPr="008608AA">
        <w:rPr>
          <w:i/>
          <w:iCs/>
          <w:noProof/>
        </w:rPr>
        <w:t>Estuarine, Coastal and Shelf Science</w:t>
      </w:r>
      <w:r w:rsidRPr="008608AA">
        <w:rPr>
          <w:noProof/>
        </w:rPr>
        <w:t xml:space="preserve">, </w:t>
      </w:r>
      <w:r w:rsidRPr="008608AA">
        <w:rPr>
          <w:i/>
          <w:iCs/>
          <w:noProof/>
        </w:rPr>
        <w:t>131</w:t>
      </w:r>
      <w:r w:rsidRPr="008608AA">
        <w:rPr>
          <w:noProof/>
        </w:rPr>
        <w:t>, 52–63. https://doi.org/10.1016/j.ecss.2013.08.005</w:t>
      </w:r>
    </w:p>
    <w:p w14:paraId="2B48943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Cimprich, B., &amp; Ronis, D. L. (2003). An environmental intervention to restore attention in women with newly diagnosed breast cancer. </w:t>
      </w:r>
      <w:r w:rsidRPr="008608AA">
        <w:rPr>
          <w:i/>
          <w:iCs/>
          <w:noProof/>
        </w:rPr>
        <w:t>Cancer Nursing</w:t>
      </w:r>
      <w:r w:rsidRPr="008608AA">
        <w:rPr>
          <w:noProof/>
        </w:rPr>
        <w:t xml:space="preserve">, </w:t>
      </w:r>
      <w:r w:rsidRPr="008608AA">
        <w:rPr>
          <w:i/>
          <w:iCs/>
          <w:noProof/>
        </w:rPr>
        <w:t>26</w:t>
      </w:r>
      <w:r w:rsidRPr="008608AA">
        <w:rPr>
          <w:noProof/>
        </w:rPr>
        <w:t>(4), 284-92–4.</w:t>
      </w:r>
    </w:p>
    <w:p w14:paraId="1A6BC5AC"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Cleveland, C. J., Betke, M., Federico, P., Frank, J. D., Hallam, T. G., Horn, J., Jr, J. D. L., Mccracken, G. F., Medellín, R. A., Moreno-valdez, A., Sansone, C. G., Westbrook, J. K., &amp; Kunz, T. H. (2006). Economic value of the pest control service provided by Brazilian free-tailed bats in south-central Texas. </w:t>
      </w:r>
      <w:r w:rsidRPr="008608AA">
        <w:rPr>
          <w:i/>
          <w:iCs/>
          <w:noProof/>
        </w:rPr>
        <w:t>Frontiers in Ecology and Environment</w:t>
      </w:r>
      <w:r w:rsidRPr="008608AA">
        <w:rPr>
          <w:noProof/>
        </w:rPr>
        <w:t xml:space="preserve">, </w:t>
      </w:r>
      <w:r w:rsidRPr="008608AA">
        <w:rPr>
          <w:i/>
          <w:iCs/>
          <w:noProof/>
        </w:rPr>
        <w:t>4</w:t>
      </w:r>
      <w:r w:rsidRPr="008608AA">
        <w:rPr>
          <w:noProof/>
        </w:rPr>
        <w:t>(5), 238–243.</w:t>
      </w:r>
    </w:p>
    <w:p w14:paraId="338B255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Cleveland, C. J., &amp; O’Connor, P. A. (2011). Energy Return on Investment (EROI) of Oil Shale. </w:t>
      </w:r>
      <w:r w:rsidRPr="008608AA">
        <w:rPr>
          <w:i/>
          <w:iCs/>
          <w:noProof/>
        </w:rPr>
        <w:t>Sustainability</w:t>
      </w:r>
      <w:r w:rsidRPr="008608AA">
        <w:rPr>
          <w:noProof/>
        </w:rPr>
        <w:t xml:space="preserve">, </w:t>
      </w:r>
      <w:r w:rsidRPr="008608AA">
        <w:rPr>
          <w:i/>
          <w:iCs/>
          <w:noProof/>
        </w:rPr>
        <w:t>3</w:t>
      </w:r>
      <w:r w:rsidRPr="008608AA">
        <w:rPr>
          <w:noProof/>
        </w:rPr>
        <w:t>(12), (pp. 2307–2322). http://doi.org/10.3390/su3112307</w:t>
      </w:r>
    </w:p>
    <w:p w14:paraId="7C24238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Cohen, J., Slaughter, B., Kost, M., &amp; Albert, D. (2015). </w:t>
      </w:r>
      <w:r w:rsidRPr="008608AA">
        <w:rPr>
          <w:i/>
          <w:iCs/>
          <w:noProof/>
        </w:rPr>
        <w:t>A field guide to the natural communities of Michigan.</w:t>
      </w:r>
      <w:r w:rsidRPr="008608AA">
        <w:rPr>
          <w:noProof/>
        </w:rPr>
        <w:t xml:space="preserve"> East Lansing, Michigan USA: Michigan State Unversity Press.</w:t>
      </w:r>
    </w:p>
    <w:p w14:paraId="11735F8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Collins, M., Chandler, R. E., Cox, P. M., Huthnance, J. M., Rougier, J., &amp; Stephenson, D. B. (2012). Quantifying future climate change. </w:t>
      </w:r>
      <w:r w:rsidRPr="008608AA">
        <w:rPr>
          <w:i/>
          <w:iCs/>
          <w:noProof/>
        </w:rPr>
        <w:t>Nature Climate Change</w:t>
      </w:r>
      <w:r w:rsidRPr="008608AA">
        <w:rPr>
          <w:noProof/>
        </w:rPr>
        <w:t xml:space="preserve">, </w:t>
      </w:r>
      <w:r w:rsidRPr="008608AA">
        <w:rPr>
          <w:i/>
          <w:iCs/>
          <w:noProof/>
        </w:rPr>
        <w:t>2</w:t>
      </w:r>
      <w:r w:rsidRPr="008608AA">
        <w:rPr>
          <w:noProof/>
        </w:rPr>
        <w:t>(6), (pp. 403–409). http://doi.org/10.1038/nclimate1414</w:t>
      </w:r>
    </w:p>
    <w:p w14:paraId="1224E9D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Cook, B. I., &amp; Seager, R. (2013). The response of the North American Monsoon to increased greenhouse gas forcing. </w:t>
      </w:r>
      <w:r w:rsidRPr="008608AA">
        <w:rPr>
          <w:i/>
          <w:iCs/>
          <w:noProof/>
        </w:rPr>
        <w:t>Journal of Geophysical Research Atmospheres</w:t>
      </w:r>
      <w:r w:rsidRPr="008608AA">
        <w:rPr>
          <w:noProof/>
        </w:rPr>
        <w:t xml:space="preserve">, </w:t>
      </w:r>
      <w:r w:rsidRPr="008608AA">
        <w:rPr>
          <w:i/>
          <w:iCs/>
          <w:noProof/>
        </w:rPr>
        <w:t>118</w:t>
      </w:r>
      <w:r w:rsidRPr="008608AA">
        <w:rPr>
          <w:noProof/>
        </w:rPr>
        <w:t>(4), (pp. 1690–1699). http://doi.org/10.1002/jgrd.50111</w:t>
      </w:r>
    </w:p>
    <w:p w14:paraId="2D2C3D4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Cooke, S. J., Rice, J. C., Prior, K. A., Bloom, R., Jensen, O., Browne, D. R., Donaldson, L. A., Bennett, J. R., Vermaire, J. C., &amp; Auld, G. (2016). The Canadian context for evidence-based conservation and environmental management. </w:t>
      </w:r>
      <w:r w:rsidRPr="008608AA">
        <w:rPr>
          <w:i/>
          <w:iCs/>
          <w:noProof/>
        </w:rPr>
        <w:t>Environmental Evidence</w:t>
      </w:r>
      <w:r w:rsidRPr="008608AA">
        <w:rPr>
          <w:noProof/>
        </w:rPr>
        <w:t xml:space="preserve">, </w:t>
      </w:r>
      <w:r w:rsidRPr="008608AA">
        <w:rPr>
          <w:i/>
          <w:iCs/>
          <w:noProof/>
        </w:rPr>
        <w:t>5</w:t>
      </w:r>
      <w:r w:rsidRPr="008608AA">
        <w:rPr>
          <w:noProof/>
        </w:rPr>
        <w:t>(1), 14. https://doi.org/10.1186/s13750-016-0065-8</w:t>
      </w:r>
    </w:p>
    <w:p w14:paraId="15382BB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Costanza, R., D’Arge, R., de Groot, R., Farber, S., Grasso, M., Hannon, B., Limburg, K., Naeem, S., O’Neill, R. V., Paruelo, J., Raskin, R. G., Sutton, P., &amp; van den Belt, M. (1997). The value of the world’s ecosystem services and natural capital. </w:t>
      </w:r>
      <w:r w:rsidRPr="008608AA">
        <w:rPr>
          <w:i/>
          <w:iCs/>
          <w:noProof/>
        </w:rPr>
        <w:t>Nature</w:t>
      </w:r>
      <w:r w:rsidRPr="008608AA">
        <w:rPr>
          <w:noProof/>
        </w:rPr>
        <w:t xml:space="preserve">, </w:t>
      </w:r>
      <w:r w:rsidRPr="008608AA">
        <w:rPr>
          <w:i/>
          <w:iCs/>
          <w:noProof/>
        </w:rPr>
        <w:t>387</w:t>
      </w:r>
      <w:r w:rsidRPr="008608AA">
        <w:rPr>
          <w:noProof/>
        </w:rPr>
        <w:t>(6630), 253–260. https://doi.org/10.1038/387253a0</w:t>
      </w:r>
    </w:p>
    <w:p w14:paraId="26F180D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Costanza, R., de Groot, R., Sutton, P., van der Ploeg, S., Anderson, S. J., Kubiszewski, I., Farber, S., &amp; Turner, R. K. (2014). Changes in the global value of ecosystem services. </w:t>
      </w:r>
      <w:r w:rsidRPr="008608AA">
        <w:rPr>
          <w:i/>
          <w:iCs/>
          <w:noProof/>
        </w:rPr>
        <w:t>Global Environmental Change</w:t>
      </w:r>
      <w:r w:rsidRPr="008608AA">
        <w:rPr>
          <w:noProof/>
        </w:rPr>
        <w:t xml:space="preserve">, </w:t>
      </w:r>
      <w:r w:rsidRPr="008608AA">
        <w:rPr>
          <w:i/>
          <w:iCs/>
          <w:noProof/>
        </w:rPr>
        <w:t>26</w:t>
      </w:r>
      <w:r w:rsidRPr="008608AA">
        <w:rPr>
          <w:noProof/>
        </w:rPr>
        <w:t>, 152–158. https://doi.org/10.1016/j.gloenvcha.2014.04.002</w:t>
      </w:r>
    </w:p>
    <w:p w14:paraId="19E899E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Cox, P. M., Betts, R. A., Collins, M., Harris, P. P., Huntingford, C., &amp; Jones, C. D. (2004). Amazonian forest dieback under climate-carbon cycle projections for the 21st century. </w:t>
      </w:r>
      <w:r w:rsidRPr="008608AA">
        <w:rPr>
          <w:i/>
          <w:iCs/>
          <w:noProof/>
        </w:rPr>
        <w:t>Theoretical and Applied Climatology</w:t>
      </w:r>
      <w:r w:rsidRPr="008608AA">
        <w:rPr>
          <w:noProof/>
        </w:rPr>
        <w:t xml:space="preserve">, </w:t>
      </w:r>
      <w:r w:rsidRPr="008608AA">
        <w:rPr>
          <w:i/>
          <w:iCs/>
          <w:noProof/>
        </w:rPr>
        <w:t>78</w:t>
      </w:r>
      <w:r w:rsidRPr="008608AA">
        <w:rPr>
          <w:noProof/>
        </w:rPr>
        <w:t>(1–3), (pp. 137–156). http://doi.org/10.1007/s00704-004-0049-4</w:t>
      </w:r>
    </w:p>
    <w:p w14:paraId="0B6474E2"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Cox, P. M., Pearson, D., Booth, B. B., Friedlingstein, P., Huntingford, C., Jones, C. D., &amp; Luke, C. M. (2013). Sensitivity of tropical carbon to climate change constrained by carbon dioxide variability. </w:t>
      </w:r>
      <w:r w:rsidRPr="008608AA">
        <w:rPr>
          <w:i/>
          <w:iCs/>
          <w:noProof/>
        </w:rPr>
        <w:t>Nature</w:t>
      </w:r>
      <w:r w:rsidRPr="008608AA">
        <w:rPr>
          <w:noProof/>
        </w:rPr>
        <w:t xml:space="preserve">, </w:t>
      </w:r>
      <w:r w:rsidRPr="008608AA">
        <w:rPr>
          <w:i/>
          <w:iCs/>
          <w:noProof/>
        </w:rPr>
        <w:t>494</w:t>
      </w:r>
      <w:r w:rsidRPr="008608AA">
        <w:rPr>
          <w:noProof/>
        </w:rPr>
        <w:t>(7437), (pp. 341–344). http://doi.org/10.1038/nature11882</w:t>
      </w:r>
    </w:p>
    <w:p w14:paraId="27E4A64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Cullen-Unsworth, L. C., &amp; Unsworth, R. (2013). Seagrass Meadows, Ecosystem Services, and Sustainability. </w:t>
      </w:r>
      <w:r w:rsidRPr="008608AA">
        <w:rPr>
          <w:i/>
          <w:iCs/>
          <w:noProof/>
        </w:rPr>
        <w:t>Environment: Science and Policy for Sustainable Development</w:t>
      </w:r>
      <w:r w:rsidRPr="008608AA">
        <w:rPr>
          <w:noProof/>
        </w:rPr>
        <w:t xml:space="preserve">, </w:t>
      </w:r>
      <w:r w:rsidRPr="008608AA">
        <w:rPr>
          <w:i/>
          <w:iCs/>
          <w:noProof/>
        </w:rPr>
        <w:t>55</w:t>
      </w:r>
      <w:r w:rsidRPr="008608AA">
        <w:rPr>
          <w:noProof/>
        </w:rPr>
        <w:t>(3), (pp. 14–28).</w:t>
      </w:r>
    </w:p>
    <w:p w14:paraId="09CC5AD3"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Dahl, T. E. (2011). </w:t>
      </w:r>
      <w:r w:rsidRPr="008608AA">
        <w:rPr>
          <w:i/>
          <w:noProof/>
        </w:rPr>
        <w:t xml:space="preserve">Status and Trends of Wetlands in the Conterminous United States 2004 to 2009. </w:t>
      </w:r>
      <w:r w:rsidRPr="008608AA">
        <w:rPr>
          <w:i/>
          <w:iCs/>
          <w:noProof/>
          <w:lang w:val="es-CO"/>
        </w:rPr>
        <w:t>Habitat</w:t>
      </w:r>
      <w:r w:rsidRPr="008608AA">
        <w:rPr>
          <w:noProof/>
          <w:lang w:val="es-CO"/>
        </w:rPr>
        <w:t>, (November), (pp. 3–106).</w:t>
      </w:r>
    </w:p>
    <w:p w14:paraId="7FC50061"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Dalla-Nora, E. L., Dutra de Aguiar, A. P., Montenegro Lapola, D., &amp; Woltjer, G. (2014). </w:t>
      </w:r>
      <w:r w:rsidRPr="008608AA">
        <w:rPr>
          <w:noProof/>
        </w:rPr>
        <w:t xml:space="preserve">Why have land use change models for the Amazon failed to capture the amount of deforestation over the last decade? </w:t>
      </w:r>
      <w:r w:rsidRPr="008608AA">
        <w:rPr>
          <w:i/>
          <w:iCs/>
          <w:noProof/>
        </w:rPr>
        <w:t>Land Use Policy</w:t>
      </w:r>
      <w:r w:rsidRPr="008608AA">
        <w:rPr>
          <w:noProof/>
        </w:rPr>
        <w:t xml:space="preserve">, </w:t>
      </w:r>
      <w:r w:rsidRPr="008608AA">
        <w:rPr>
          <w:i/>
          <w:iCs/>
          <w:noProof/>
        </w:rPr>
        <w:t>39</w:t>
      </w:r>
      <w:r w:rsidRPr="008608AA">
        <w:rPr>
          <w:noProof/>
        </w:rPr>
        <w:t>(January 2016), (pp. 403–411). http://doi.org/10.1016/j.landusepol.2014.02.004</w:t>
      </w:r>
    </w:p>
    <w:p w14:paraId="43AC7E2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Danielsen, F. (2005). </w:t>
      </w:r>
      <w:r w:rsidRPr="008608AA">
        <w:rPr>
          <w:i/>
          <w:noProof/>
        </w:rPr>
        <w:t>The Asian Tsunami: A Protective Role for Coastal Vegetation.</w:t>
      </w:r>
      <w:r w:rsidRPr="008608AA">
        <w:rPr>
          <w:noProof/>
        </w:rPr>
        <w:t xml:space="preserve"> </w:t>
      </w:r>
      <w:r w:rsidRPr="008608AA">
        <w:rPr>
          <w:i/>
          <w:iCs/>
          <w:noProof/>
        </w:rPr>
        <w:t>Science</w:t>
      </w:r>
      <w:r w:rsidRPr="008608AA">
        <w:rPr>
          <w:noProof/>
        </w:rPr>
        <w:t xml:space="preserve">, </w:t>
      </w:r>
      <w:r w:rsidRPr="008608AA">
        <w:rPr>
          <w:i/>
          <w:iCs/>
          <w:noProof/>
        </w:rPr>
        <w:t>310</w:t>
      </w:r>
      <w:r w:rsidRPr="008608AA">
        <w:rPr>
          <w:noProof/>
        </w:rPr>
        <w:t>(5748), (pp. 643–643). http://doi.org/10.1126/science.1118387</w:t>
      </w:r>
    </w:p>
    <w:p w14:paraId="4B6F794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Datta, D., Chattopadhyay, R. N., &amp; Guha, P. (2012). Community based mangrove management: A review on status and sustainability. </w:t>
      </w:r>
      <w:r w:rsidRPr="008608AA">
        <w:rPr>
          <w:i/>
          <w:iCs/>
          <w:noProof/>
        </w:rPr>
        <w:t>Journal of Environmental Management</w:t>
      </w:r>
      <w:r w:rsidRPr="008608AA">
        <w:rPr>
          <w:noProof/>
        </w:rPr>
        <w:t xml:space="preserve">, </w:t>
      </w:r>
      <w:r w:rsidRPr="008608AA">
        <w:rPr>
          <w:i/>
          <w:iCs/>
          <w:noProof/>
        </w:rPr>
        <w:t>107</w:t>
      </w:r>
      <w:r w:rsidRPr="008608AA">
        <w:rPr>
          <w:noProof/>
        </w:rPr>
        <w:t>, (pp. 84–95). http://doi.org/10.1016/j.jenvman.2012.04.013</w:t>
      </w:r>
    </w:p>
    <w:p w14:paraId="0E8B6E1C"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Davidson, E. A., de Araújo, A. C., Artaxo, P., Balch, J. K., Brown, I. F., C. Bustamante, M. M., Coe, M. T., DeFries, R. S., Keller, M., Longo, M., Munger, J. W., Schroeder, W., Soares-Filho, B. S., Souza, C. M., &amp; Wofsy, S. C. (2012). The Amazon basin in transition. </w:t>
      </w:r>
      <w:r w:rsidRPr="008608AA">
        <w:rPr>
          <w:i/>
          <w:iCs/>
          <w:noProof/>
        </w:rPr>
        <w:t>Nature</w:t>
      </w:r>
      <w:r w:rsidRPr="008608AA">
        <w:rPr>
          <w:noProof/>
        </w:rPr>
        <w:t xml:space="preserve">, </w:t>
      </w:r>
      <w:r w:rsidRPr="008608AA">
        <w:rPr>
          <w:i/>
          <w:iCs/>
          <w:noProof/>
        </w:rPr>
        <w:t>481</w:t>
      </w:r>
      <w:r w:rsidRPr="008608AA">
        <w:rPr>
          <w:noProof/>
        </w:rPr>
        <w:t>(7381), 321–328. https://doi.org/10.1038/nature10717</w:t>
      </w:r>
    </w:p>
    <w:p w14:paraId="160BE431"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Davidson, N. C. (2014). </w:t>
      </w:r>
      <w:r w:rsidRPr="008608AA">
        <w:rPr>
          <w:i/>
          <w:noProof/>
        </w:rPr>
        <w:t xml:space="preserve">How much wetland has the world lost? Long-term and recent trends in global wetland area. </w:t>
      </w:r>
      <w:r w:rsidRPr="008608AA">
        <w:rPr>
          <w:i/>
          <w:iCs/>
          <w:noProof/>
        </w:rPr>
        <w:t>Marine and Freshwater Research</w:t>
      </w:r>
      <w:r w:rsidRPr="008608AA">
        <w:rPr>
          <w:i/>
          <w:noProof/>
        </w:rPr>
        <w:t>,</w:t>
      </w:r>
      <w:r w:rsidRPr="008608AA">
        <w:rPr>
          <w:noProof/>
        </w:rPr>
        <w:t xml:space="preserve"> </w:t>
      </w:r>
      <w:r w:rsidRPr="008608AA">
        <w:rPr>
          <w:i/>
          <w:iCs/>
          <w:noProof/>
        </w:rPr>
        <w:t>65</w:t>
      </w:r>
      <w:r w:rsidRPr="008608AA">
        <w:rPr>
          <w:noProof/>
        </w:rPr>
        <w:t>(10), (pp. 934–941).</w:t>
      </w:r>
    </w:p>
    <w:p w14:paraId="613DF23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De Araújo, F. M., Ferreira, L. G., &amp; Arantes, A. E. (2012). Distribution Patterns of Burned Areas in the Brazilian Biomes: An Analysis Based on Satellite Data for the 2002-2010 Period. </w:t>
      </w:r>
      <w:r w:rsidRPr="008608AA">
        <w:rPr>
          <w:i/>
          <w:iCs/>
          <w:noProof/>
        </w:rPr>
        <w:t>Remote Sensing</w:t>
      </w:r>
      <w:r w:rsidRPr="008608AA">
        <w:rPr>
          <w:noProof/>
        </w:rPr>
        <w:t>. http://doi.org/10.3390/rs4071929</w:t>
      </w:r>
    </w:p>
    <w:p w14:paraId="2082B7B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De Costa, W. A. J. M. (2011). </w:t>
      </w:r>
      <w:r w:rsidRPr="008608AA">
        <w:rPr>
          <w:i/>
          <w:noProof/>
        </w:rPr>
        <w:t xml:space="preserve">A review of the possible impacts of climate change on forests in the humid tropics. </w:t>
      </w:r>
      <w:r w:rsidRPr="008608AA">
        <w:rPr>
          <w:i/>
          <w:iCs/>
          <w:noProof/>
        </w:rPr>
        <w:t>Journal of the National Science Foundation of Sri Lanka</w:t>
      </w:r>
      <w:r w:rsidRPr="008608AA">
        <w:rPr>
          <w:noProof/>
        </w:rPr>
        <w:t xml:space="preserve">, </w:t>
      </w:r>
      <w:r w:rsidRPr="008608AA">
        <w:rPr>
          <w:i/>
          <w:iCs/>
          <w:noProof/>
        </w:rPr>
        <w:t>39</w:t>
      </w:r>
      <w:r w:rsidRPr="008608AA">
        <w:rPr>
          <w:noProof/>
        </w:rPr>
        <w:t>(4), (pp. 281). http://doi.org/10.4038/jnsfsr.v39i4.3879</w:t>
      </w:r>
    </w:p>
    <w:p w14:paraId="51CFECF5" w14:textId="77777777" w:rsidR="00B16A15" w:rsidRPr="00CE0821" w:rsidRDefault="00B16A15" w:rsidP="00B16A15">
      <w:pPr>
        <w:widowControl w:val="0"/>
        <w:autoSpaceDE w:val="0"/>
        <w:autoSpaceDN w:val="0"/>
        <w:adjustRightInd w:val="0"/>
        <w:ind w:left="709" w:hanging="709"/>
        <w:rPr>
          <w:noProof/>
          <w:lang w:val="es-CO"/>
        </w:rPr>
      </w:pPr>
      <w:r w:rsidRPr="008608AA">
        <w:rPr>
          <w:noProof/>
          <w:lang w:val="es-CO"/>
        </w:rPr>
        <w:t xml:space="preserve">Defries, R. S., Rudel, T., Uriarte, M., &amp; Hansen, M. (2010). </w:t>
      </w:r>
      <w:r w:rsidRPr="008608AA">
        <w:rPr>
          <w:noProof/>
        </w:rPr>
        <w:t xml:space="preserve">Deforestation driven by urban population growth and agricultural trade in the twenty-first century. </w:t>
      </w:r>
      <w:r w:rsidRPr="00CE0821">
        <w:rPr>
          <w:i/>
          <w:iCs/>
          <w:noProof/>
          <w:lang w:val="es-CO"/>
        </w:rPr>
        <w:t>Nature Geoscience</w:t>
      </w:r>
      <w:r w:rsidRPr="00CE0821">
        <w:rPr>
          <w:noProof/>
          <w:lang w:val="es-CO"/>
        </w:rPr>
        <w:t>. http://doi.org/10.1038/ngeo756</w:t>
      </w:r>
    </w:p>
    <w:p w14:paraId="30C2534A" w14:textId="77777777" w:rsidR="00B16A15" w:rsidRPr="008608AA" w:rsidRDefault="00B16A15" w:rsidP="00B16A15">
      <w:pPr>
        <w:widowControl w:val="0"/>
        <w:autoSpaceDE w:val="0"/>
        <w:autoSpaceDN w:val="0"/>
        <w:adjustRightInd w:val="0"/>
        <w:ind w:left="709" w:hanging="709"/>
        <w:rPr>
          <w:noProof/>
        </w:rPr>
      </w:pPr>
      <w:r w:rsidRPr="00CE0821">
        <w:rPr>
          <w:noProof/>
          <w:lang w:val="es-CO"/>
        </w:rPr>
        <w:t xml:space="preserve">Del Toro, I., Silva, R. R., &amp; Ellison, A. M. (2015). </w:t>
      </w:r>
      <w:r w:rsidRPr="008608AA">
        <w:rPr>
          <w:noProof/>
        </w:rPr>
        <w:t xml:space="preserve">Predicted impacts of climatic change on ant functional diversity and distributions in eastern North American forests. </w:t>
      </w:r>
      <w:r w:rsidRPr="008608AA">
        <w:rPr>
          <w:i/>
          <w:iCs/>
          <w:noProof/>
        </w:rPr>
        <w:t>Diversity and Distributions</w:t>
      </w:r>
      <w:r w:rsidRPr="008608AA">
        <w:rPr>
          <w:noProof/>
        </w:rPr>
        <w:t xml:space="preserve">, </w:t>
      </w:r>
      <w:r w:rsidRPr="008608AA">
        <w:rPr>
          <w:i/>
          <w:iCs/>
          <w:noProof/>
        </w:rPr>
        <w:t>21</w:t>
      </w:r>
      <w:r w:rsidRPr="008608AA">
        <w:rPr>
          <w:noProof/>
        </w:rPr>
        <w:t>(7), (pp. 781–791). http://doi.org/10.1111/ddi.12331</w:t>
      </w:r>
    </w:p>
    <w:p w14:paraId="2A02010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Delworth, T. L., Zeng, F., Vecchi, G. A., Yang, X., Zhang, L., &amp; Zhang, R. (2016). The North Atlantic Oscillation as a driving force for observed rapid Arctic sea ice change , hemispheric warming , and Atlantic tropical cyclone variability. </w:t>
      </w:r>
      <w:r w:rsidRPr="008608AA">
        <w:rPr>
          <w:i/>
          <w:iCs/>
          <w:noProof/>
        </w:rPr>
        <w:t>Nature Geoscience</w:t>
      </w:r>
      <w:r w:rsidRPr="008608AA">
        <w:rPr>
          <w:noProof/>
        </w:rPr>
        <w:t xml:space="preserve">, </w:t>
      </w:r>
      <w:r w:rsidRPr="008608AA">
        <w:rPr>
          <w:i/>
          <w:iCs/>
          <w:noProof/>
        </w:rPr>
        <w:t>9</w:t>
      </w:r>
      <w:r w:rsidRPr="008608AA">
        <w:rPr>
          <w:noProof/>
        </w:rPr>
        <w:t>, (pp. 509–512). http://doi.org/10.1038/ngeo2738</w:t>
      </w:r>
    </w:p>
    <w:p w14:paraId="29EDED11"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Dennison, W. C., Orth, R. J., Moore, K. A., Stevenson, J. C., Carter, V., Kollar, S., Bergstrom, P. W., &amp; Batiuk, R. A. (1993). Assessing Water Quality with Submersed Aquatic Vegetation. </w:t>
      </w:r>
      <w:r w:rsidRPr="008608AA">
        <w:rPr>
          <w:i/>
          <w:iCs/>
          <w:noProof/>
        </w:rPr>
        <w:t>BioScience</w:t>
      </w:r>
      <w:r w:rsidRPr="008608AA">
        <w:rPr>
          <w:noProof/>
        </w:rPr>
        <w:t xml:space="preserve">, </w:t>
      </w:r>
      <w:r w:rsidRPr="008608AA">
        <w:rPr>
          <w:i/>
          <w:iCs/>
          <w:noProof/>
        </w:rPr>
        <w:t>43</w:t>
      </w:r>
      <w:r w:rsidRPr="008608AA">
        <w:rPr>
          <w:noProof/>
        </w:rPr>
        <w:t>(2), 86–94.</w:t>
      </w:r>
    </w:p>
    <w:p w14:paraId="27AC6D42"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Dentener, F., Drevet, J., Lamarque, J. F., Bey, I., Eickhout, B., Fiore, A. M., Hauglustaine, D., Horowitz, L. W., Krol, M., Kulshrestha, U. C., Lawrence, M., Galy-Lacaux, C., Rast, S., Shindell, D., Stevenson, D., Van Noije, T., Atherton, C., Bell, N., Bergman, D., Butler, T., Cofala, J., Collins, B., Doherty, R., Ellingsen, K., Galloway, J., Gauss, M., Montanaro, V., Müller, J. F., Pitari, G., Rodriguez, J., Sanderson, M., Solmon, F., Strahan, S., Schultz, M., Sudo, K., Szopa, S., &amp; Wild, O. (2006). Nitrogen and sulfur deposition on regional and global scales: A multimodel evaluation. </w:t>
      </w:r>
      <w:r w:rsidRPr="008608AA">
        <w:rPr>
          <w:i/>
          <w:iCs/>
          <w:noProof/>
        </w:rPr>
        <w:t>Global Biogeochemical Cycles</w:t>
      </w:r>
      <w:r w:rsidRPr="008608AA">
        <w:rPr>
          <w:noProof/>
        </w:rPr>
        <w:t xml:space="preserve">, </w:t>
      </w:r>
      <w:r w:rsidRPr="008608AA">
        <w:rPr>
          <w:i/>
          <w:iCs/>
          <w:noProof/>
        </w:rPr>
        <w:t>20</w:t>
      </w:r>
      <w:r w:rsidRPr="008608AA">
        <w:rPr>
          <w:noProof/>
        </w:rPr>
        <w:t>(4), n/a-n/a. https://doi.org/10.1029/2005GB002672</w:t>
      </w:r>
    </w:p>
    <w:p w14:paraId="1CE84CC7"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Diekmann, O. E., Coyer, J. A., Ferreira, J., Olsen, J. L., Stam, W. T., Pearson, G. A., &amp; Serrão, E. A. (2005). Population genetics of Zostera noltii along the west Iberian coast : consequences of small population size, habitat discontinuity and near-shore currents. </w:t>
      </w:r>
      <w:r w:rsidRPr="008608AA">
        <w:rPr>
          <w:i/>
          <w:iCs/>
          <w:noProof/>
        </w:rPr>
        <w:t>Marine Ecology Progress Series</w:t>
      </w:r>
      <w:r w:rsidRPr="008608AA">
        <w:rPr>
          <w:noProof/>
        </w:rPr>
        <w:t xml:space="preserve">, </w:t>
      </w:r>
      <w:r w:rsidRPr="008608AA">
        <w:rPr>
          <w:i/>
          <w:iCs/>
          <w:noProof/>
        </w:rPr>
        <w:t>290</w:t>
      </w:r>
      <w:r w:rsidRPr="008608AA">
        <w:rPr>
          <w:noProof/>
        </w:rPr>
        <w:t>, (pp. 89–96).</w:t>
      </w:r>
    </w:p>
    <w:p w14:paraId="16D632E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Dirzo, R., &amp; Raven, P. H. (2003). Global State of Biodiversity and Loss. </w:t>
      </w:r>
      <w:r w:rsidRPr="008608AA">
        <w:rPr>
          <w:i/>
          <w:iCs/>
          <w:noProof/>
        </w:rPr>
        <w:t>Annual Review of Environment and Resources</w:t>
      </w:r>
      <w:r w:rsidRPr="008608AA">
        <w:rPr>
          <w:noProof/>
        </w:rPr>
        <w:t xml:space="preserve">, </w:t>
      </w:r>
      <w:r w:rsidRPr="008608AA">
        <w:rPr>
          <w:i/>
          <w:iCs/>
          <w:noProof/>
        </w:rPr>
        <w:t>28</w:t>
      </w:r>
      <w:r w:rsidRPr="008608AA">
        <w:rPr>
          <w:noProof/>
        </w:rPr>
        <w:t>(1), (pp. 137–167). http://doi.org/10.1146/annurev.energy.28.050302.105532</w:t>
      </w:r>
    </w:p>
    <w:p w14:paraId="326C96A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Dixon, M. J. R., Loh, J., Davidson, N. C., Beltrame, C., Freeman, R., &amp; Walpole, M. (2016). Tracking global change in ecosystem area: The Wetland Extent Trends index. </w:t>
      </w:r>
      <w:r w:rsidRPr="008608AA">
        <w:rPr>
          <w:i/>
          <w:iCs/>
          <w:noProof/>
        </w:rPr>
        <w:t>Biological Conservation</w:t>
      </w:r>
      <w:r w:rsidRPr="008608AA">
        <w:rPr>
          <w:noProof/>
        </w:rPr>
        <w:t xml:space="preserve">, </w:t>
      </w:r>
      <w:r w:rsidRPr="008608AA">
        <w:rPr>
          <w:i/>
          <w:iCs/>
          <w:noProof/>
        </w:rPr>
        <w:t>193</w:t>
      </w:r>
      <w:r w:rsidRPr="008608AA">
        <w:rPr>
          <w:noProof/>
        </w:rPr>
        <w:t>, (pp. 27–35). http://doi.org/10.1016/j.biocon.2015.10.023</w:t>
      </w:r>
    </w:p>
    <w:p w14:paraId="0ADB3A8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Dolch, T., Buschbaum, C., &amp; Reise, K. (2013). Persisting intertidal seagrass beds in the northern Wadden Sea since the 1930s. </w:t>
      </w:r>
      <w:r w:rsidRPr="008608AA">
        <w:rPr>
          <w:i/>
          <w:iCs/>
          <w:noProof/>
        </w:rPr>
        <w:t>Journal of Sea Research</w:t>
      </w:r>
      <w:r w:rsidRPr="008608AA">
        <w:rPr>
          <w:noProof/>
        </w:rPr>
        <w:t xml:space="preserve">, </w:t>
      </w:r>
      <w:r w:rsidRPr="008608AA">
        <w:rPr>
          <w:i/>
          <w:iCs/>
          <w:noProof/>
        </w:rPr>
        <w:t>82</w:t>
      </w:r>
      <w:r w:rsidRPr="008608AA">
        <w:rPr>
          <w:noProof/>
        </w:rPr>
        <w:t>, (pp. 134–141).</w:t>
      </w:r>
    </w:p>
    <w:p w14:paraId="17608AE2"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Dove, A. (2009). </w:t>
      </w:r>
      <w:r w:rsidRPr="008608AA">
        <w:rPr>
          <w:i/>
          <w:noProof/>
        </w:rPr>
        <w:t xml:space="preserve">Long-term trends in major ions and nutrients in Lake Ontario. </w:t>
      </w:r>
      <w:r w:rsidRPr="008608AA">
        <w:rPr>
          <w:i/>
          <w:iCs/>
          <w:noProof/>
        </w:rPr>
        <w:t>Aquatic Ecosystem Health &amp; Management</w:t>
      </w:r>
      <w:r w:rsidRPr="008608AA">
        <w:rPr>
          <w:noProof/>
        </w:rPr>
        <w:t xml:space="preserve">, </w:t>
      </w:r>
      <w:r w:rsidRPr="008608AA">
        <w:rPr>
          <w:i/>
          <w:iCs/>
          <w:noProof/>
        </w:rPr>
        <w:t>12</w:t>
      </w:r>
      <w:r w:rsidRPr="008608AA">
        <w:rPr>
          <w:noProof/>
        </w:rPr>
        <w:t>(3), (pp. 281–295). http://doi.org/10.1080/14634980903136388</w:t>
      </w:r>
    </w:p>
    <w:p w14:paraId="6DBCCB07"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Dove, A., &amp; Chapra, S. C. (2015). Long-term trends of nutrients and trophic response variables for the Great Lakes. </w:t>
      </w:r>
      <w:r w:rsidRPr="008608AA">
        <w:rPr>
          <w:i/>
          <w:iCs/>
          <w:noProof/>
        </w:rPr>
        <w:t>Limnology and Oceanography</w:t>
      </w:r>
      <w:r w:rsidRPr="008608AA">
        <w:rPr>
          <w:noProof/>
        </w:rPr>
        <w:t xml:space="preserve">, </w:t>
      </w:r>
      <w:r w:rsidRPr="008608AA">
        <w:rPr>
          <w:i/>
          <w:iCs/>
          <w:noProof/>
        </w:rPr>
        <w:t>60</w:t>
      </w:r>
      <w:r w:rsidRPr="008608AA">
        <w:rPr>
          <w:noProof/>
        </w:rPr>
        <w:t>(2), (pp. 696–721). http://doi.org/10.1002/lno.10055</w:t>
      </w:r>
    </w:p>
    <w:p w14:paraId="7EC5BDF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Duarte, C. (1995). </w:t>
      </w:r>
      <w:r w:rsidRPr="008608AA">
        <w:rPr>
          <w:i/>
          <w:noProof/>
        </w:rPr>
        <w:t>Submerged aquatic vegetation in relation to different nutrient regimes.</w:t>
      </w:r>
      <w:r w:rsidRPr="008608AA">
        <w:rPr>
          <w:noProof/>
        </w:rPr>
        <w:t xml:space="preserve"> </w:t>
      </w:r>
      <w:r w:rsidRPr="008608AA">
        <w:rPr>
          <w:i/>
          <w:iCs/>
          <w:noProof/>
        </w:rPr>
        <w:t>Ophelia</w:t>
      </w:r>
      <w:r w:rsidRPr="008608AA">
        <w:rPr>
          <w:noProof/>
        </w:rPr>
        <w:t xml:space="preserve">, </w:t>
      </w:r>
      <w:r w:rsidRPr="008608AA">
        <w:rPr>
          <w:i/>
          <w:iCs/>
          <w:noProof/>
        </w:rPr>
        <w:t>41</w:t>
      </w:r>
      <w:r w:rsidRPr="008608AA">
        <w:rPr>
          <w:noProof/>
        </w:rPr>
        <w:t>, (pp. 87–112).</w:t>
      </w:r>
    </w:p>
    <w:p w14:paraId="031547EF" w14:textId="77777777" w:rsidR="00B16A15" w:rsidRPr="008608AA" w:rsidRDefault="00B16A15" w:rsidP="00B16A15">
      <w:pPr>
        <w:widowControl w:val="0"/>
        <w:autoSpaceDE w:val="0"/>
        <w:autoSpaceDN w:val="0"/>
        <w:adjustRightInd w:val="0"/>
        <w:ind w:left="709" w:hanging="709"/>
        <w:rPr>
          <w:noProof/>
          <w:lang w:val="fr-CA"/>
        </w:rPr>
      </w:pPr>
      <w:r w:rsidRPr="008608AA">
        <w:rPr>
          <w:noProof/>
        </w:rPr>
        <w:t xml:space="preserve">Duarte, C. M. (2002). </w:t>
      </w:r>
      <w:r w:rsidRPr="008608AA">
        <w:rPr>
          <w:i/>
          <w:noProof/>
        </w:rPr>
        <w:t>The future of seagrass meadows</w:t>
      </w:r>
      <w:r w:rsidRPr="008608AA">
        <w:rPr>
          <w:noProof/>
        </w:rPr>
        <w:t xml:space="preserve">. </w:t>
      </w:r>
      <w:r w:rsidRPr="008608AA">
        <w:rPr>
          <w:i/>
          <w:iCs/>
          <w:noProof/>
          <w:lang w:val="fr-CA"/>
        </w:rPr>
        <w:t>Environmental Conservation</w:t>
      </w:r>
      <w:r w:rsidRPr="008608AA">
        <w:rPr>
          <w:noProof/>
          <w:lang w:val="fr-CA"/>
        </w:rPr>
        <w:t xml:space="preserve">, </w:t>
      </w:r>
      <w:r w:rsidRPr="008608AA">
        <w:rPr>
          <w:i/>
          <w:iCs/>
          <w:noProof/>
          <w:lang w:val="fr-CA"/>
        </w:rPr>
        <w:t>29</w:t>
      </w:r>
      <w:r w:rsidRPr="008608AA">
        <w:rPr>
          <w:noProof/>
          <w:lang w:val="fr-CA"/>
        </w:rPr>
        <w:t>(2), (pp. 192–206). http://doi.org/10.1017/S0376892902000127</w:t>
      </w:r>
    </w:p>
    <w:p w14:paraId="62754CE7"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Duarte, C. M., Borum, J., Short, F. T., &amp; Walker, D. I. (2008). Seagrass ecosystem: their global status and prospects. In N. V. C. Polunin (Ed.), </w:t>
      </w:r>
      <w:r w:rsidRPr="008608AA">
        <w:rPr>
          <w:i/>
          <w:iCs/>
          <w:noProof/>
        </w:rPr>
        <w:t>Aquatic Ecosystems: Trend and Global Prospects</w:t>
      </w:r>
      <w:r w:rsidRPr="008608AA">
        <w:rPr>
          <w:noProof/>
        </w:rPr>
        <w:t xml:space="preserve"> (pp. 281–294). Cambridge: Cambridge University Press.</w:t>
      </w:r>
    </w:p>
    <w:p w14:paraId="491412C9" w14:textId="77777777" w:rsidR="00B16A15" w:rsidRPr="008608AA" w:rsidRDefault="00B16A15" w:rsidP="00B16A15">
      <w:pPr>
        <w:widowControl w:val="0"/>
        <w:autoSpaceDE w:val="0"/>
        <w:autoSpaceDN w:val="0"/>
        <w:adjustRightInd w:val="0"/>
        <w:ind w:left="709" w:hanging="709"/>
        <w:rPr>
          <w:noProof/>
          <w:lang w:val="de-DE"/>
        </w:rPr>
      </w:pPr>
      <w:r w:rsidRPr="008608AA">
        <w:rPr>
          <w:noProof/>
        </w:rPr>
        <w:t xml:space="preserve">Duarte, C. M., Losada, I. J., Hendriks, I. E., Mazarrasa, I., &amp; Marbà, N. (2013). The role of coastal plant communities for climate change mitigation and adaptation. </w:t>
      </w:r>
      <w:r w:rsidRPr="008608AA">
        <w:rPr>
          <w:i/>
          <w:iCs/>
          <w:noProof/>
          <w:lang w:val="de-DE"/>
        </w:rPr>
        <w:t>Nature Climate Change</w:t>
      </w:r>
      <w:r w:rsidRPr="008608AA">
        <w:rPr>
          <w:noProof/>
          <w:lang w:val="de-DE"/>
        </w:rPr>
        <w:t xml:space="preserve">, </w:t>
      </w:r>
      <w:r w:rsidRPr="008608AA">
        <w:rPr>
          <w:i/>
          <w:iCs/>
          <w:noProof/>
          <w:lang w:val="de-DE"/>
        </w:rPr>
        <w:t>3</w:t>
      </w:r>
      <w:r w:rsidRPr="008608AA">
        <w:rPr>
          <w:noProof/>
          <w:lang w:val="de-DE"/>
        </w:rPr>
        <w:t xml:space="preserve">(11), </w:t>
      </w:r>
      <w:r w:rsidRPr="008608AA">
        <w:rPr>
          <w:noProof/>
        </w:rPr>
        <w:t xml:space="preserve">(pp. </w:t>
      </w:r>
      <w:r w:rsidRPr="008608AA">
        <w:rPr>
          <w:noProof/>
          <w:lang w:val="de-DE"/>
        </w:rPr>
        <w:t>961–968). http://doi.org/10.1038/nclimate1970</w:t>
      </w:r>
    </w:p>
    <w:p w14:paraId="222183D6" w14:textId="77777777" w:rsidR="00B16A15" w:rsidRPr="008608AA" w:rsidRDefault="00B16A15" w:rsidP="00B16A15">
      <w:pPr>
        <w:widowControl w:val="0"/>
        <w:autoSpaceDE w:val="0"/>
        <w:autoSpaceDN w:val="0"/>
        <w:adjustRightInd w:val="0"/>
        <w:ind w:left="709" w:hanging="709"/>
        <w:rPr>
          <w:noProof/>
        </w:rPr>
      </w:pPr>
      <w:r w:rsidRPr="008608AA">
        <w:rPr>
          <w:noProof/>
          <w:lang w:val="de-DE"/>
        </w:rPr>
        <w:t xml:space="preserve">Duggan, J. M., Eichelberger, B. A., Ma, S., Lawler, J. J., &amp; Ziv, G. (2015). </w:t>
      </w:r>
      <w:r w:rsidRPr="008608AA">
        <w:rPr>
          <w:noProof/>
        </w:rPr>
        <w:t xml:space="preserve">Informing management of rare species with an approach combining scenario modeling and spatially explicit risk assessment. </w:t>
      </w:r>
      <w:r w:rsidRPr="008608AA">
        <w:rPr>
          <w:i/>
          <w:iCs/>
          <w:noProof/>
        </w:rPr>
        <w:t>Ecosystem Health and Sustainability</w:t>
      </w:r>
      <w:r w:rsidRPr="008608AA">
        <w:rPr>
          <w:noProof/>
        </w:rPr>
        <w:t xml:space="preserve">, </w:t>
      </w:r>
      <w:r w:rsidRPr="008608AA">
        <w:rPr>
          <w:i/>
          <w:iCs/>
          <w:noProof/>
        </w:rPr>
        <w:t>1</w:t>
      </w:r>
      <w:r w:rsidRPr="008608AA">
        <w:rPr>
          <w:noProof/>
        </w:rPr>
        <w:t>(6), (pp. 22). http://doi.org/10.1890/EHS14-0009.1</w:t>
      </w:r>
    </w:p>
    <w:p w14:paraId="7ACB61E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Ellison, A. M., &amp; Farnsworth, E. J. (1996). Anthropogenic Disturbance of Caribbean Mangrove Ecosystems: Past Impacts, Present Trends, and Future Predictions. </w:t>
      </w:r>
      <w:r w:rsidRPr="008608AA">
        <w:rPr>
          <w:i/>
          <w:iCs/>
          <w:noProof/>
        </w:rPr>
        <w:t>Biotropica</w:t>
      </w:r>
      <w:r w:rsidRPr="008608AA">
        <w:rPr>
          <w:noProof/>
        </w:rPr>
        <w:t xml:space="preserve">, </w:t>
      </w:r>
      <w:r w:rsidRPr="008608AA">
        <w:rPr>
          <w:i/>
          <w:iCs/>
          <w:noProof/>
        </w:rPr>
        <w:t>28</w:t>
      </w:r>
      <w:r w:rsidRPr="008608AA">
        <w:rPr>
          <w:noProof/>
        </w:rPr>
        <w:t>(4), (pp. 549–565). http://doi.org/10.2307/2389096</w:t>
      </w:r>
    </w:p>
    <w:p w14:paraId="6778182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Elmqvist, T., Fragkias, M., Goodness, J., Güneralp, B., Marcotullio, P. J., McDonald, R. I., Parnell, S., Schewenius, M., Sendstad, M., Seto, K. C., Wilkinson, C., Alberti, M., Folke, C., Frantzeskaki, N., Haase, D., Katti, M., Nagendra, H., Niemelä, J., Pickett, S. T. A., Redman, C. L., &amp; Tidball, K. (2013). Stewardship of the biosphere in the urban era. In </w:t>
      </w:r>
      <w:r w:rsidRPr="008608AA">
        <w:rPr>
          <w:i/>
          <w:iCs/>
          <w:noProof/>
        </w:rPr>
        <w:t>Urbanization, Biodiversity and Ecosystem Services: Challenges and Opportunities</w:t>
      </w:r>
      <w:r w:rsidRPr="008608AA">
        <w:rPr>
          <w:noProof/>
        </w:rPr>
        <w:t xml:space="preserve"> (pp. 719–746). Springer Netherlands. https://doi.org/10.1007/978-94-007-7088-1_33</w:t>
      </w:r>
    </w:p>
    <w:p w14:paraId="0544BCB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Engle, V. D. (2011). Estimating the Provision of Ecosystem Services by Gulf of Mexico Coastal Wetlands. </w:t>
      </w:r>
      <w:r w:rsidRPr="008608AA">
        <w:rPr>
          <w:i/>
          <w:iCs/>
          <w:noProof/>
        </w:rPr>
        <w:t>Wetlands</w:t>
      </w:r>
      <w:r w:rsidRPr="008608AA">
        <w:rPr>
          <w:noProof/>
        </w:rPr>
        <w:t xml:space="preserve">, </w:t>
      </w:r>
      <w:r w:rsidRPr="008608AA">
        <w:rPr>
          <w:i/>
          <w:iCs/>
          <w:noProof/>
        </w:rPr>
        <w:t>31</w:t>
      </w:r>
      <w:r w:rsidRPr="008608AA">
        <w:rPr>
          <w:noProof/>
        </w:rPr>
        <w:t>(1), 179–193. https://doi.org/10.1007/s13157-010-0132-9</w:t>
      </w:r>
    </w:p>
    <w:p w14:paraId="390757D9" w14:textId="77777777" w:rsidR="00B16A15" w:rsidRPr="008608AA" w:rsidRDefault="00B16A15" w:rsidP="00B16A15">
      <w:pPr>
        <w:widowControl w:val="0"/>
        <w:autoSpaceDE w:val="0"/>
        <w:autoSpaceDN w:val="0"/>
        <w:adjustRightInd w:val="0"/>
        <w:ind w:left="709" w:hanging="709"/>
        <w:rPr>
          <w:noProof/>
        </w:rPr>
      </w:pPr>
      <w:r w:rsidRPr="008608AA">
        <w:rPr>
          <w:i/>
          <w:noProof/>
        </w:rPr>
        <w:t>Wetlands.</w:t>
      </w:r>
      <w:r w:rsidRPr="008608AA">
        <w:rPr>
          <w:noProof/>
        </w:rPr>
        <w:t xml:space="preserve"> </w:t>
      </w:r>
      <w:r w:rsidRPr="008608AA">
        <w:rPr>
          <w:i/>
          <w:iCs/>
          <w:noProof/>
        </w:rPr>
        <w:t>Wetlands</w:t>
      </w:r>
      <w:r w:rsidRPr="008608AA">
        <w:rPr>
          <w:noProof/>
        </w:rPr>
        <w:t xml:space="preserve">, </w:t>
      </w:r>
      <w:r w:rsidRPr="008608AA">
        <w:rPr>
          <w:i/>
          <w:iCs/>
          <w:noProof/>
        </w:rPr>
        <w:t>31</w:t>
      </w:r>
      <w:r w:rsidRPr="008608AA">
        <w:rPr>
          <w:noProof/>
        </w:rPr>
        <w:t>, (pp. 179–193). http://doi.org/10.1007/s13157-010-0132-9</w:t>
      </w:r>
    </w:p>
    <w:p w14:paraId="69C1E43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Environment Canada. (2016). </w:t>
      </w:r>
      <w:r w:rsidRPr="008608AA">
        <w:rPr>
          <w:i/>
          <w:iCs/>
          <w:noProof/>
        </w:rPr>
        <w:t>2020 Biodiversity Goals and Targets for Canada</w:t>
      </w:r>
      <w:r w:rsidRPr="008608AA">
        <w:rPr>
          <w:noProof/>
        </w:rPr>
        <w:t>.</w:t>
      </w:r>
    </w:p>
    <w:p w14:paraId="4E5DF22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Escobar, A. (2015). </w:t>
      </w:r>
      <w:r w:rsidRPr="008608AA">
        <w:rPr>
          <w:i/>
          <w:noProof/>
        </w:rPr>
        <w:t>Degrowth, postdevelopment, and transitions: a preliminary conversation.</w:t>
      </w:r>
      <w:r w:rsidRPr="008608AA">
        <w:rPr>
          <w:noProof/>
        </w:rPr>
        <w:t xml:space="preserve"> </w:t>
      </w:r>
      <w:r w:rsidRPr="008608AA">
        <w:rPr>
          <w:i/>
          <w:iCs/>
          <w:noProof/>
        </w:rPr>
        <w:t>Sustainability Science</w:t>
      </w:r>
      <w:r w:rsidRPr="008608AA">
        <w:rPr>
          <w:noProof/>
        </w:rPr>
        <w:t xml:space="preserve">, </w:t>
      </w:r>
      <w:r w:rsidRPr="008608AA">
        <w:rPr>
          <w:i/>
          <w:iCs/>
          <w:noProof/>
        </w:rPr>
        <w:t>10</w:t>
      </w:r>
      <w:r w:rsidRPr="008608AA">
        <w:rPr>
          <w:noProof/>
        </w:rPr>
        <w:t>(3), (pp. 451–462). http://doi.org/10.1007/s11625-015-0297-5</w:t>
      </w:r>
    </w:p>
    <w:p w14:paraId="051F4432"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Evans, T., Manire, A., de Castro, F., Brondizio, E., &amp; McCracken, S. (2001). A dynamic model of household decision-making and parcel level landcover change in the eastern Amazon. </w:t>
      </w:r>
      <w:r w:rsidRPr="008608AA">
        <w:rPr>
          <w:i/>
          <w:iCs/>
          <w:noProof/>
        </w:rPr>
        <w:t>Ecological Modelling</w:t>
      </w:r>
      <w:r w:rsidRPr="008608AA">
        <w:rPr>
          <w:noProof/>
        </w:rPr>
        <w:t xml:space="preserve">, </w:t>
      </w:r>
      <w:r w:rsidRPr="008608AA">
        <w:rPr>
          <w:i/>
          <w:iCs/>
          <w:noProof/>
        </w:rPr>
        <w:t>143</w:t>
      </w:r>
      <w:r w:rsidRPr="008608AA">
        <w:rPr>
          <w:noProof/>
        </w:rPr>
        <w:t>, (pp. 95–113).</w:t>
      </w:r>
    </w:p>
    <w:p w14:paraId="1B87E1F9" w14:textId="77777777" w:rsidR="00B16A15" w:rsidRPr="008608AA" w:rsidRDefault="00B16A15" w:rsidP="00B16A15">
      <w:pPr>
        <w:widowControl w:val="0"/>
        <w:autoSpaceDE w:val="0"/>
        <w:autoSpaceDN w:val="0"/>
        <w:adjustRightInd w:val="0"/>
        <w:ind w:left="709" w:hanging="709"/>
        <w:rPr>
          <w:noProof/>
        </w:rPr>
      </w:pPr>
      <w:r w:rsidRPr="008608AA">
        <w:t>Food and Agriculture Organisation (</w:t>
      </w:r>
      <w:r w:rsidRPr="008608AA">
        <w:rPr>
          <w:noProof/>
          <w:lang w:val="en-GB"/>
        </w:rPr>
        <w:t>FAO). (2009). Food and Agriculture Organization Statistics. Fisheries and aquaculture section, FAOSTAT, United Nations. New York</w:t>
      </w:r>
    </w:p>
    <w:p w14:paraId="46F4BC96" w14:textId="77777777" w:rsidR="00B16A15" w:rsidRPr="008608AA" w:rsidRDefault="00B16A15" w:rsidP="00B16A15">
      <w:pPr>
        <w:widowControl w:val="0"/>
        <w:autoSpaceDE w:val="0"/>
        <w:autoSpaceDN w:val="0"/>
        <w:adjustRightInd w:val="0"/>
        <w:ind w:left="709" w:hanging="709"/>
        <w:rPr>
          <w:noProof/>
        </w:rPr>
      </w:pPr>
      <w:r w:rsidRPr="008608AA">
        <w:t>Food and Agriculture Organisation (</w:t>
      </w:r>
      <w:r w:rsidRPr="008608AA">
        <w:rPr>
          <w:noProof/>
          <w:lang w:val="en-GB"/>
        </w:rPr>
        <w:t xml:space="preserve">FAO). </w:t>
      </w:r>
      <w:r w:rsidRPr="008608AA">
        <w:rPr>
          <w:noProof/>
        </w:rPr>
        <w:t xml:space="preserve"> (2015). </w:t>
      </w:r>
      <w:r w:rsidRPr="008608AA">
        <w:rPr>
          <w:i/>
          <w:iCs/>
          <w:noProof/>
        </w:rPr>
        <w:t>Global Forest Resources Assessment 2015</w:t>
      </w:r>
      <w:r w:rsidRPr="008608AA">
        <w:rPr>
          <w:noProof/>
        </w:rPr>
        <w:t>. Rome.</w:t>
      </w:r>
    </w:p>
    <w:p w14:paraId="35F3A9FF" w14:textId="77777777" w:rsidR="00B16A15" w:rsidRPr="008608AA" w:rsidRDefault="00B16A15" w:rsidP="00B16A15">
      <w:pPr>
        <w:widowControl w:val="0"/>
        <w:autoSpaceDE w:val="0"/>
        <w:autoSpaceDN w:val="0"/>
        <w:adjustRightInd w:val="0"/>
        <w:ind w:left="709" w:hanging="709"/>
        <w:rPr>
          <w:noProof/>
        </w:rPr>
      </w:pPr>
      <w:r w:rsidRPr="008608AA">
        <w:t>Food and Agriculture Organisation (</w:t>
      </w:r>
      <w:r w:rsidRPr="008608AA">
        <w:rPr>
          <w:noProof/>
          <w:lang w:val="en-GB"/>
        </w:rPr>
        <w:t xml:space="preserve">FAO). </w:t>
      </w:r>
      <w:r w:rsidRPr="008608AA">
        <w:rPr>
          <w:noProof/>
        </w:rPr>
        <w:t xml:space="preserve"> (2017a). </w:t>
      </w:r>
      <w:r w:rsidRPr="008608AA">
        <w:rPr>
          <w:i/>
          <w:iCs/>
          <w:noProof/>
        </w:rPr>
        <w:t>The Future of food and agriculture</w:t>
      </w:r>
      <w:r w:rsidRPr="008608AA">
        <w:rPr>
          <w:noProof/>
        </w:rPr>
        <w:t>.</w:t>
      </w:r>
    </w:p>
    <w:p w14:paraId="5FCD7DDE" w14:textId="77777777" w:rsidR="00B16A15" w:rsidRPr="008608AA" w:rsidRDefault="00B16A15" w:rsidP="00B16A15">
      <w:pPr>
        <w:widowControl w:val="0"/>
        <w:autoSpaceDE w:val="0"/>
        <w:autoSpaceDN w:val="0"/>
        <w:adjustRightInd w:val="0"/>
        <w:ind w:left="709" w:hanging="709"/>
        <w:rPr>
          <w:noProof/>
        </w:rPr>
      </w:pPr>
      <w:r w:rsidRPr="008608AA">
        <w:t>Food and Agriculture Organisation (</w:t>
      </w:r>
      <w:r w:rsidRPr="008608AA">
        <w:rPr>
          <w:noProof/>
          <w:lang w:val="en-GB"/>
        </w:rPr>
        <w:t xml:space="preserve">FAO). </w:t>
      </w:r>
      <w:r w:rsidRPr="008608AA">
        <w:rPr>
          <w:noProof/>
        </w:rPr>
        <w:t xml:space="preserve">(2017b). </w:t>
      </w:r>
      <w:r w:rsidRPr="008608AA">
        <w:rPr>
          <w:i/>
          <w:iCs/>
          <w:noProof/>
        </w:rPr>
        <w:t>The future of food and agriculture - trends and challenges</w:t>
      </w:r>
      <w:r w:rsidRPr="008608AA">
        <w:rPr>
          <w:noProof/>
        </w:rPr>
        <w:t>. Rome.</w:t>
      </w:r>
    </w:p>
    <w:p w14:paraId="69628C81"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Fearnside, P. M. (1997). </w:t>
      </w:r>
      <w:r w:rsidRPr="008608AA">
        <w:rPr>
          <w:i/>
          <w:noProof/>
        </w:rPr>
        <w:t xml:space="preserve">Environmental services as a strategy for sustainable development in rural Amazonia. </w:t>
      </w:r>
      <w:r w:rsidRPr="008608AA">
        <w:rPr>
          <w:i/>
          <w:iCs/>
          <w:noProof/>
        </w:rPr>
        <w:t>Ecological Economics</w:t>
      </w:r>
      <w:r w:rsidRPr="008608AA">
        <w:rPr>
          <w:noProof/>
        </w:rPr>
        <w:t xml:space="preserve">, </w:t>
      </w:r>
      <w:r w:rsidRPr="008608AA">
        <w:rPr>
          <w:i/>
          <w:iCs/>
          <w:noProof/>
        </w:rPr>
        <w:t>20</w:t>
      </w:r>
      <w:r w:rsidRPr="008608AA">
        <w:rPr>
          <w:noProof/>
        </w:rPr>
        <w:t>(1), (pp. 53–70). http://doi.org/10.1016/S0921-8009(96)00066-3</w:t>
      </w:r>
    </w:p>
    <w:p w14:paraId="04B52F6C"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Fearnside, P. M. (2008). </w:t>
      </w:r>
      <w:r w:rsidRPr="008608AA">
        <w:rPr>
          <w:i/>
          <w:noProof/>
        </w:rPr>
        <w:t xml:space="preserve">Amazon forest maintenance as a source of environmental services. </w:t>
      </w:r>
      <w:r w:rsidRPr="008608AA">
        <w:rPr>
          <w:i/>
          <w:iCs/>
          <w:noProof/>
          <w:lang w:val="es-CO"/>
        </w:rPr>
        <w:t>Anais Da Academia Brasileira de Ciencias</w:t>
      </w:r>
      <w:r w:rsidRPr="008608AA">
        <w:rPr>
          <w:noProof/>
          <w:lang w:val="es-CO"/>
        </w:rPr>
        <w:t xml:space="preserve">, </w:t>
      </w:r>
      <w:r w:rsidRPr="008608AA">
        <w:rPr>
          <w:i/>
          <w:iCs/>
          <w:noProof/>
          <w:lang w:val="es-CO"/>
        </w:rPr>
        <w:t>80</w:t>
      </w:r>
      <w:r w:rsidRPr="008608AA">
        <w:rPr>
          <w:noProof/>
          <w:lang w:val="es-CO"/>
        </w:rPr>
        <w:t>(1), 101–114. http://doi.org/10.1590/S0001-37652008000100006</w:t>
      </w:r>
    </w:p>
    <w:p w14:paraId="35E8EDB2" w14:textId="77777777" w:rsidR="00B16A15" w:rsidRPr="008608AA" w:rsidRDefault="00B16A15" w:rsidP="00B16A15">
      <w:pPr>
        <w:widowControl w:val="0"/>
        <w:autoSpaceDE w:val="0"/>
        <w:autoSpaceDN w:val="0"/>
        <w:adjustRightInd w:val="0"/>
        <w:ind w:left="709" w:hanging="709"/>
        <w:rPr>
          <w:noProof/>
        </w:rPr>
      </w:pPr>
      <w:r w:rsidRPr="008608AA">
        <w:rPr>
          <w:noProof/>
          <w:lang w:val="en-GB"/>
        </w:rPr>
        <w:t xml:space="preserve">Federal, Provincial and Territorial Governments of Canada. (2010). </w:t>
      </w:r>
      <w:r w:rsidRPr="008608AA">
        <w:rPr>
          <w:i/>
          <w:noProof/>
          <w:lang w:val="en-GB"/>
        </w:rPr>
        <w:t>Canadian Biodiversity: Ecosystem Status and Trends 2010</w:t>
      </w:r>
      <w:r w:rsidRPr="008608AA">
        <w:rPr>
          <w:noProof/>
          <w:lang w:val="en-GB"/>
        </w:rPr>
        <w:t>. Canadian Councils of Resource Ministers. Ottawa, ON. 146 p.      http://www.pcap-sk.org/rsu_docs/documents/Canadian_Biodiversity_Ecosystem_Status_Trends_2010.pdf</w:t>
      </w:r>
    </w:p>
    <w:p w14:paraId="43F386A1"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Federico, P., Hallam, T. G., McCracken, G. F., Purucker, S. T., Grant, W. E., Correa-Sandoval, A. N., Westbrook, J. K., Medellin, R. A., Cleveland, C. J., Sansone, C. G., López, J. D., Betke, M., Moreno-Valdez, A., &amp; Kunz, T. H. (2008). Brazilian free-tailed bats as insect pest regulators in transgenic and conventional cotton crops. </w:t>
      </w:r>
      <w:r w:rsidRPr="008608AA">
        <w:rPr>
          <w:i/>
          <w:iCs/>
          <w:noProof/>
        </w:rPr>
        <w:t>Ecological Applications</w:t>
      </w:r>
      <w:r w:rsidRPr="008608AA">
        <w:rPr>
          <w:noProof/>
        </w:rPr>
        <w:t xml:space="preserve">, </w:t>
      </w:r>
      <w:r w:rsidRPr="008608AA">
        <w:rPr>
          <w:i/>
          <w:iCs/>
          <w:noProof/>
        </w:rPr>
        <w:t>18</w:t>
      </w:r>
      <w:r w:rsidRPr="008608AA">
        <w:rPr>
          <w:noProof/>
        </w:rPr>
        <w:t>(4), 826–837. Retrieved from http://www.ncbi.nlm.nih.gov/pubmed/18536245</w:t>
      </w:r>
    </w:p>
    <w:p w14:paraId="7080947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Feldpausch, T. R., Lloyd, J., Lewis, S. L., Brienen, R. J. W., Gloor, M., Monteagudo Mendoza, A., Lopez-Gonzalez, G., Banin, L., Abu Salim, K., Affum-Baffoe, K., Alexiades, M., Almeida, S., Amaral, I., Andrade, A., Aragão, L. E. O. C., Araujo Murakami, A., Arets, E. J. M. M., Arroyo, L., Aymard C., G. A., Baker, T. R., Bánki, O. S., Berry, N. J., Cardozo, N., Chave, J., Comiskey, J. A., Alvarez, E., de Oliveira, A., Di Fiore, A., Djagbletey, G., Domingues, T. F., Erwin, T. L., Fearnside, P. M., França, M. B., Freitas, M. A., Higuchi, N., E. Honorio C., Iida, Y., Jiménez, E., Kassim, A. R., Killeen, T. J., Laurance, W. F., Lovett, J. C., Malhi, Y., Marimon, B. S., Marimon-Junior, B. H., Lenza, E., Marshall, A. R., Mendoza, C., Metcalfe, D. J., Mitchard, E. T. A., Neill, D. A., Nelson, B. W., Nilus, R., Nogueira, E. M., Parada, A., Peh, K. S.-H., Pena Cruz, A., Peñuela, M. C., Pitman, N. C. A., Prieto, A., Quesada, C. A., Ramírez, F., Ramírez-Angulo, H., Reitsma, J. M., Rudas, A., Saiz, G., Salomão, R. P., Schwarz, M., Silva, N., Silva-Espejo, J. E., Silveira, M., Sonké, B., Stropp, J., Taedoumg, H. E., Tan, S., ter Steege, H., Terborgh, J., Torello-Raventos, M., van der Heijden, G. M. F., Vásquez, R., Vilanova, E., Vos, V. A., White, L., Willcock, S., Woell, H., &amp; Phillips, O. L. (2012). Tree height integrated into pantropical forest biomass estimates. </w:t>
      </w:r>
      <w:r w:rsidRPr="008608AA">
        <w:rPr>
          <w:i/>
          <w:iCs/>
          <w:noProof/>
        </w:rPr>
        <w:t>Biogeosciences</w:t>
      </w:r>
      <w:r w:rsidRPr="008608AA">
        <w:rPr>
          <w:noProof/>
        </w:rPr>
        <w:t xml:space="preserve">, </w:t>
      </w:r>
      <w:r w:rsidRPr="008608AA">
        <w:rPr>
          <w:i/>
          <w:iCs/>
          <w:noProof/>
        </w:rPr>
        <w:t>9</w:t>
      </w:r>
      <w:r w:rsidRPr="008608AA">
        <w:rPr>
          <w:noProof/>
        </w:rPr>
        <w:t>(8), 3381–3403. https://doi.org/10.5194/bg-9-3381-2012</w:t>
      </w:r>
    </w:p>
    <w:p w14:paraId="0FCCB27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Feldpausch, T. R., Phillips, O. L., Brienen, R. J. W., Gloor, E., Lloyd, J., Lopez-Gonzalez, G., Monteagudo-Mendoza, A., Malhi, Y., Alarcón, A., Álvarez Dávila, E., Alvarez-Loayza, P., Andrade, A., Aragao, L. E. O. C., Arroyo, L., Aymard C., G. A., Baker, T. R., Baraloto, C., Barroso, J., Bonal, D., Castro, W., Chama, V., Chave, J., Domingues, T. F., Fauset, S., Groot, N., Honorio Coronado, E., Laurance, S., Laurance, W. F., Lewis, S. L., Licona, J. C., Marimon, B. S., Marimon-Junior, B. H., Mendoza Bautista, C., Neill, D. A., Oliveira, E. A., Oliveira dos Santos, C., Pallqui Camacho, N. C., Pardo-Molina, G., Prieto, A., Quesada, C. A., Ramírez, F., Ramírez-Angulo, H., Réjou-Méchain, M., Rudas, A., Saiz, G., Salomão, R. P., Silva-Espejo, J. E., Silveira, M., ter Steege, H., Stropp, J., Terborgh, J., Thomas-Caesar, R., van der Heijden, G. M. F., Vásquez Martinez, R., Vilanova, E., &amp; Vos, V. A. (2016). Amazon forest response to repeated droughts. </w:t>
      </w:r>
      <w:r w:rsidRPr="008608AA">
        <w:rPr>
          <w:i/>
          <w:iCs/>
          <w:noProof/>
        </w:rPr>
        <w:t>Global Biogeochemical Cycles</w:t>
      </w:r>
      <w:r w:rsidRPr="008608AA">
        <w:rPr>
          <w:noProof/>
        </w:rPr>
        <w:t xml:space="preserve">, </w:t>
      </w:r>
      <w:r w:rsidRPr="008608AA">
        <w:rPr>
          <w:i/>
          <w:iCs/>
          <w:noProof/>
        </w:rPr>
        <w:t>30</w:t>
      </w:r>
      <w:r w:rsidRPr="008608AA">
        <w:rPr>
          <w:noProof/>
        </w:rPr>
        <w:t>(7), 964–982. https://doi.org/10.1002/2015GB005133</w:t>
      </w:r>
    </w:p>
    <w:p w14:paraId="3AE71DE0" w14:textId="77777777" w:rsidR="00B16A15" w:rsidRPr="008608AA" w:rsidRDefault="00B16A15" w:rsidP="00B16A15">
      <w:pPr>
        <w:widowControl w:val="0"/>
        <w:autoSpaceDE w:val="0"/>
        <w:autoSpaceDN w:val="0"/>
        <w:adjustRightInd w:val="0"/>
        <w:ind w:left="709" w:hanging="709"/>
        <w:rPr>
          <w:noProof/>
        </w:rPr>
      </w:pPr>
      <w:r w:rsidRPr="008608AA">
        <w:rPr>
          <w:noProof/>
          <w:lang w:val="es-ES"/>
        </w:rPr>
        <w:t xml:space="preserve">Ferreira, J., Aragao, L. E. O. C., Barlow, J., Barreto, P., Berenguer, E., Bustamante, M., Gardner, T. A., Lees, A. C., Lima, A., Louzada, J., Pardini, R., Parry, L., Peres, C. A., Pompeu, P. S., Tabarelli, M., &amp; Zuanon, J. (2014). </w:t>
      </w:r>
      <w:r w:rsidRPr="008608AA">
        <w:rPr>
          <w:noProof/>
        </w:rPr>
        <w:t xml:space="preserve">Brazil’s environmental leadership at risk. </w:t>
      </w:r>
      <w:r w:rsidRPr="008608AA">
        <w:rPr>
          <w:i/>
          <w:iCs/>
          <w:noProof/>
        </w:rPr>
        <w:t>Science</w:t>
      </w:r>
      <w:r w:rsidRPr="008608AA">
        <w:rPr>
          <w:noProof/>
        </w:rPr>
        <w:t xml:space="preserve">, </w:t>
      </w:r>
      <w:r w:rsidRPr="008608AA">
        <w:rPr>
          <w:i/>
          <w:iCs/>
          <w:noProof/>
        </w:rPr>
        <w:t>346</w:t>
      </w:r>
      <w:r w:rsidRPr="008608AA">
        <w:rPr>
          <w:noProof/>
        </w:rPr>
        <w:t>(6210), 706–707. https://doi.org/10.1126/science.1260194</w:t>
      </w:r>
    </w:p>
    <w:p w14:paraId="4F71FF61"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Field, C., Barros, V., Mach, K., &amp; Mastrandrea, M. (2014). </w:t>
      </w:r>
      <w:r w:rsidRPr="008608AA">
        <w:rPr>
          <w:i/>
          <w:iCs/>
          <w:noProof/>
        </w:rPr>
        <w:t>Climate change 2014: impacts, adaptation, and vulnerability</w:t>
      </w:r>
      <w:r w:rsidRPr="008608AA">
        <w:rPr>
          <w:noProof/>
        </w:rPr>
        <w:t>.</w:t>
      </w:r>
    </w:p>
    <w:p w14:paraId="635F0062" w14:textId="77777777" w:rsidR="00B16A15" w:rsidRPr="008608AA" w:rsidRDefault="00B16A15" w:rsidP="00B16A15">
      <w:pPr>
        <w:widowControl w:val="0"/>
        <w:autoSpaceDE w:val="0"/>
        <w:autoSpaceDN w:val="0"/>
        <w:adjustRightInd w:val="0"/>
        <w:ind w:left="709" w:hanging="709"/>
        <w:rPr>
          <w:noProof/>
          <w:lang w:val="de-DE"/>
        </w:rPr>
      </w:pPr>
      <w:r w:rsidRPr="008608AA">
        <w:rPr>
          <w:noProof/>
        </w:rPr>
        <w:t xml:space="preserve">Filoso, S., Martinelli, L. A., Howarth, R. W., Boyer, E. W., &amp; Dentener, F. (2006). Human activities changing the nitrogen cycle in Brazil. In L. A. Martinelli &amp; R. W. Howarth (Eds.), </w:t>
      </w:r>
      <w:r w:rsidRPr="008608AA">
        <w:rPr>
          <w:i/>
          <w:iCs/>
          <w:noProof/>
        </w:rPr>
        <w:t>Nitrogen Cycling in the Americas: Natural and Anthropogenic Influences and Controls</w:t>
      </w:r>
      <w:r w:rsidRPr="008608AA">
        <w:rPr>
          <w:noProof/>
        </w:rPr>
        <w:t xml:space="preserve"> (pp. 61–89). </w:t>
      </w:r>
      <w:r w:rsidRPr="008608AA">
        <w:rPr>
          <w:noProof/>
          <w:lang w:val="de-DE"/>
        </w:rPr>
        <w:t>Dordrecht: Springer Netherlands. http://doi.org/10.1007/978-1-4020-5517-1_4</w:t>
      </w:r>
    </w:p>
    <w:p w14:paraId="4E9E88C4" w14:textId="77777777" w:rsidR="00B16A15" w:rsidRPr="008608AA" w:rsidRDefault="00B16A15" w:rsidP="00B16A15">
      <w:pPr>
        <w:widowControl w:val="0"/>
        <w:autoSpaceDE w:val="0"/>
        <w:autoSpaceDN w:val="0"/>
        <w:adjustRightInd w:val="0"/>
        <w:ind w:left="709" w:hanging="709"/>
        <w:rPr>
          <w:noProof/>
        </w:rPr>
      </w:pPr>
      <w:r w:rsidRPr="008608AA">
        <w:rPr>
          <w:noProof/>
          <w:lang w:val="de-DE"/>
        </w:rPr>
        <w:t xml:space="preserve">Fish, M. R., Lombana, A., &amp; Drews., C. (2009). </w:t>
      </w:r>
      <w:r w:rsidRPr="008608AA">
        <w:rPr>
          <w:i/>
          <w:iCs/>
          <w:noProof/>
        </w:rPr>
        <w:t>Regional climate projections: climate change and marine turtles in the Wider Caribbean</w:t>
      </w:r>
      <w:r w:rsidRPr="008608AA">
        <w:rPr>
          <w:noProof/>
        </w:rPr>
        <w:t>. San José, Costa Rica.</w:t>
      </w:r>
    </w:p>
    <w:p w14:paraId="32F1A6E3" w14:textId="77777777" w:rsidR="00B16A15" w:rsidRPr="008608AA" w:rsidRDefault="00B16A15" w:rsidP="00B16A15">
      <w:pPr>
        <w:widowControl w:val="0"/>
        <w:autoSpaceDE w:val="0"/>
        <w:autoSpaceDN w:val="0"/>
        <w:adjustRightInd w:val="0"/>
        <w:ind w:left="709" w:hanging="709"/>
        <w:rPr>
          <w:noProof/>
          <w:lang w:val="fr-CA"/>
        </w:rPr>
      </w:pPr>
      <w:r w:rsidRPr="008608AA">
        <w:rPr>
          <w:noProof/>
        </w:rPr>
        <w:t xml:space="preserve">Foley, J. A. (2005). </w:t>
      </w:r>
      <w:r w:rsidRPr="008608AA">
        <w:rPr>
          <w:i/>
          <w:noProof/>
        </w:rPr>
        <w:t>Global Consequences of Land Use.</w:t>
      </w:r>
      <w:r w:rsidRPr="008608AA">
        <w:rPr>
          <w:noProof/>
        </w:rPr>
        <w:t xml:space="preserve"> </w:t>
      </w:r>
      <w:r w:rsidRPr="008608AA">
        <w:rPr>
          <w:i/>
          <w:iCs/>
          <w:noProof/>
          <w:lang w:val="fr-CA"/>
        </w:rPr>
        <w:t>Science</w:t>
      </w:r>
      <w:r w:rsidRPr="008608AA">
        <w:rPr>
          <w:noProof/>
          <w:lang w:val="fr-CA"/>
        </w:rPr>
        <w:t xml:space="preserve">, </w:t>
      </w:r>
      <w:r w:rsidRPr="008608AA">
        <w:rPr>
          <w:i/>
          <w:iCs/>
          <w:noProof/>
          <w:lang w:val="fr-CA"/>
        </w:rPr>
        <w:t>309</w:t>
      </w:r>
      <w:r w:rsidRPr="008608AA">
        <w:rPr>
          <w:noProof/>
          <w:lang w:val="fr-CA"/>
        </w:rPr>
        <w:t>(5734), (pp. 570–574). http://doi.org/10.1126/science.1111772</w:t>
      </w:r>
    </w:p>
    <w:p w14:paraId="7B9C2A9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Foley, J. A., Defries, R., Asner, G. P., Barford, C., Bonan, G., Carpenter, S. R., Chapin, F. S., Coe, M. T., Daily, G. C., Gibbs, H. K., Helkowski, J. H., Holloway, T., Howard, E. A., Kucharik, C. J., Monfreda, C., Patz, J. A., Prentice, I. C., Ramankutty, N., &amp; Snyder, P. K. (2005). Global consequences of land use. </w:t>
      </w:r>
      <w:r w:rsidRPr="008608AA">
        <w:rPr>
          <w:i/>
          <w:iCs/>
          <w:noProof/>
        </w:rPr>
        <w:t>Science (New York, N.Y.)</w:t>
      </w:r>
      <w:r w:rsidRPr="008608AA">
        <w:rPr>
          <w:noProof/>
        </w:rPr>
        <w:t xml:space="preserve">, </w:t>
      </w:r>
      <w:r w:rsidRPr="008608AA">
        <w:rPr>
          <w:i/>
          <w:iCs/>
          <w:noProof/>
        </w:rPr>
        <w:t>309</w:t>
      </w:r>
      <w:r w:rsidRPr="008608AA">
        <w:rPr>
          <w:noProof/>
        </w:rPr>
        <w:t>(5734), 570–574. https://doi.org/10.1126/science.1111772</w:t>
      </w:r>
    </w:p>
    <w:p w14:paraId="311A60FC" w14:textId="77777777" w:rsidR="00B16A15" w:rsidRPr="008608AA" w:rsidRDefault="00B16A15" w:rsidP="00B16A15">
      <w:pPr>
        <w:widowControl w:val="0"/>
        <w:autoSpaceDE w:val="0"/>
        <w:autoSpaceDN w:val="0"/>
        <w:adjustRightInd w:val="0"/>
        <w:ind w:left="709" w:hanging="709"/>
        <w:rPr>
          <w:noProof/>
        </w:rPr>
      </w:pPr>
      <w:r w:rsidRPr="008608AA">
        <w:rPr>
          <w:noProof/>
          <w:lang w:val="de-DE"/>
        </w:rPr>
        <w:t xml:space="preserve">Folke, C., Hahn, T., Olsson, P., &amp; Norberg, J. (2005). </w:t>
      </w:r>
      <w:r w:rsidRPr="008608AA">
        <w:rPr>
          <w:noProof/>
        </w:rPr>
        <w:t xml:space="preserve">ADAPTIVE GOVERNANCE OF SOCIAL-ECOLOGICAL SYSTEMS. </w:t>
      </w:r>
      <w:r w:rsidRPr="008608AA">
        <w:rPr>
          <w:i/>
          <w:iCs/>
          <w:noProof/>
        </w:rPr>
        <w:t>Annual Review of Environment and Resources</w:t>
      </w:r>
      <w:r w:rsidRPr="008608AA">
        <w:rPr>
          <w:noProof/>
        </w:rPr>
        <w:t xml:space="preserve">, </w:t>
      </w:r>
      <w:r w:rsidRPr="008608AA">
        <w:rPr>
          <w:i/>
          <w:iCs/>
          <w:noProof/>
        </w:rPr>
        <w:t>30</w:t>
      </w:r>
      <w:r w:rsidRPr="008608AA">
        <w:rPr>
          <w:noProof/>
        </w:rPr>
        <w:t>, (pp. 441–473).</w:t>
      </w:r>
    </w:p>
    <w:p w14:paraId="5C0768B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Ford, M. A., Cahoon, D., &amp; Lynch, J. (1999). Restoring marsh elevation in a rapidly subsiding salt marsh by thin layer deposition of dredged material. </w:t>
      </w:r>
      <w:r w:rsidRPr="008608AA">
        <w:rPr>
          <w:i/>
          <w:iCs/>
          <w:noProof/>
        </w:rPr>
        <w:t>Ecological Engineering</w:t>
      </w:r>
      <w:r w:rsidRPr="008608AA">
        <w:rPr>
          <w:noProof/>
        </w:rPr>
        <w:t xml:space="preserve">, </w:t>
      </w:r>
      <w:r w:rsidRPr="008608AA">
        <w:rPr>
          <w:i/>
          <w:iCs/>
          <w:noProof/>
        </w:rPr>
        <w:t>12</w:t>
      </w:r>
      <w:r w:rsidRPr="008608AA">
        <w:rPr>
          <w:noProof/>
        </w:rPr>
        <w:t>, (pp. 189–205).</w:t>
      </w:r>
    </w:p>
    <w:p w14:paraId="2348B45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Fourqurean, J. W., Duarte, C. M., Kennedy, H., Marbà, N., Holmer, M., Mateo, M. A., Apostolaki, E. T., Kendrick, G. A. G. a., Krause-jensen, D., McGlathery, K. J., &amp; Serrano, O. (2012). Seagrass ecosystems as a globally significant carbon stock. </w:t>
      </w:r>
      <w:r w:rsidRPr="008608AA">
        <w:rPr>
          <w:i/>
          <w:iCs/>
          <w:noProof/>
        </w:rPr>
        <w:t>Nature Geoscience</w:t>
      </w:r>
      <w:r w:rsidRPr="008608AA">
        <w:rPr>
          <w:noProof/>
        </w:rPr>
        <w:t xml:space="preserve">, </w:t>
      </w:r>
      <w:r w:rsidRPr="008608AA">
        <w:rPr>
          <w:i/>
          <w:iCs/>
          <w:noProof/>
        </w:rPr>
        <w:t>5</w:t>
      </w:r>
      <w:r w:rsidRPr="008608AA">
        <w:rPr>
          <w:noProof/>
        </w:rPr>
        <w:t>(7), 505–509. https://doi.org/10.1038/ngeo1477</w:t>
      </w:r>
    </w:p>
    <w:p w14:paraId="373AECC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Fragkias, M., Langanke, T., Boone, C. G., Haase, D., Marcotullio, P. J., Munroe, D., Olah, B., Reenberg, A., Seto, K. C., &amp; Simon, D. (2012). </w:t>
      </w:r>
      <w:r w:rsidRPr="008608AA">
        <w:rPr>
          <w:i/>
          <w:iCs/>
          <w:noProof/>
        </w:rPr>
        <w:t>Land teleconnections in an Urbanizing World – A workshop report. GLP Report No. 5; GLP-IPO, Copenhagen. UGEC Report No. 6; UGEC-IPO, Tempe</w:t>
      </w:r>
      <w:r w:rsidRPr="008608AA">
        <w:rPr>
          <w:noProof/>
        </w:rPr>
        <w:t>.</w:t>
      </w:r>
    </w:p>
    <w:p w14:paraId="6A9A8E91"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Frick, W. F., Baerwald, E. F., Pollock, J. F., Barclay, R. M. R., Szymanski, J. A., Weller, T. J., Russell, A. L., Loeb, S. C., Medellin, R. A., &amp; McGuire, L. P. (2017). Fatalities at wind turbines may threaten population viability of a migratory bat. </w:t>
      </w:r>
      <w:r w:rsidRPr="008608AA">
        <w:rPr>
          <w:i/>
          <w:iCs/>
          <w:noProof/>
        </w:rPr>
        <w:t>Biological Conservation</w:t>
      </w:r>
      <w:r w:rsidRPr="008608AA">
        <w:rPr>
          <w:noProof/>
        </w:rPr>
        <w:t xml:space="preserve">, </w:t>
      </w:r>
      <w:r w:rsidRPr="008608AA">
        <w:rPr>
          <w:i/>
          <w:iCs/>
          <w:noProof/>
        </w:rPr>
        <w:t>209</w:t>
      </w:r>
      <w:r w:rsidRPr="008608AA">
        <w:rPr>
          <w:noProof/>
        </w:rPr>
        <w:t>(209), 172–177. https://doi.org/10.1016/j.biocon.2017.02.023</w:t>
      </w:r>
    </w:p>
    <w:p w14:paraId="465C4FA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Gadda, T., &amp; Gasparatos, A. (2009). Land use and cover change in Japan and Tokyo’s appetite for meat. </w:t>
      </w:r>
      <w:r w:rsidRPr="008608AA">
        <w:rPr>
          <w:i/>
          <w:iCs/>
          <w:noProof/>
        </w:rPr>
        <w:t>Sustainability Science</w:t>
      </w:r>
      <w:r w:rsidRPr="008608AA">
        <w:rPr>
          <w:noProof/>
        </w:rPr>
        <w:t xml:space="preserve">, </w:t>
      </w:r>
      <w:r w:rsidRPr="008608AA">
        <w:rPr>
          <w:i/>
          <w:iCs/>
          <w:noProof/>
        </w:rPr>
        <w:t>4</w:t>
      </w:r>
      <w:r w:rsidRPr="008608AA">
        <w:rPr>
          <w:noProof/>
        </w:rPr>
        <w:t>(4), (pp. 165–177).</w:t>
      </w:r>
    </w:p>
    <w:p w14:paraId="5E699B7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Gagnon-Legare, A., &amp; Prestre, P. Le. (2014). Explaining Variations in the Subnational Implementation of Global Agreements : The Case of Ecuador and the Convention on Biological Diversity. </w:t>
      </w:r>
      <w:r w:rsidRPr="008608AA">
        <w:rPr>
          <w:i/>
          <w:iCs/>
          <w:noProof/>
        </w:rPr>
        <w:t>Journal of Environment and Development</w:t>
      </w:r>
      <w:r w:rsidRPr="008608AA">
        <w:rPr>
          <w:noProof/>
        </w:rPr>
        <w:t xml:space="preserve">, </w:t>
      </w:r>
      <w:r w:rsidRPr="008608AA">
        <w:rPr>
          <w:i/>
          <w:iCs/>
          <w:noProof/>
        </w:rPr>
        <w:t>23</w:t>
      </w:r>
      <w:r w:rsidRPr="008608AA">
        <w:rPr>
          <w:noProof/>
        </w:rPr>
        <w:t>(2), (pp. 220–246). http://doi.org/10.1177/1070496514525404</w:t>
      </w:r>
    </w:p>
    <w:p w14:paraId="147E8C4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Galatowitsch, S., Frelich, L., &amp; Phillips-Mao, L. (2009). Regional climate change adaptation strategies for biodiversity conservation in a midcontinental region of North America. </w:t>
      </w:r>
      <w:r w:rsidRPr="008608AA">
        <w:rPr>
          <w:i/>
          <w:iCs/>
          <w:noProof/>
        </w:rPr>
        <w:t>Biological Conservation</w:t>
      </w:r>
      <w:r w:rsidRPr="008608AA">
        <w:rPr>
          <w:noProof/>
        </w:rPr>
        <w:t xml:space="preserve">, </w:t>
      </w:r>
      <w:r w:rsidRPr="008608AA">
        <w:rPr>
          <w:i/>
          <w:iCs/>
          <w:noProof/>
        </w:rPr>
        <w:t>142</w:t>
      </w:r>
      <w:r w:rsidRPr="008608AA">
        <w:rPr>
          <w:noProof/>
        </w:rPr>
        <w:t>(10), (pp. 2012–2022). http://doi.org/10.1016/j.biocon.2009.03.030</w:t>
      </w:r>
    </w:p>
    <w:p w14:paraId="55D894C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Gallopín, G. C., &amp; Raskin, P. D. (2003). </w:t>
      </w:r>
      <w:r w:rsidRPr="008608AA">
        <w:rPr>
          <w:i/>
          <w:iCs/>
          <w:noProof/>
        </w:rPr>
        <w:t>Global sustainability: Bending the curve.</w:t>
      </w:r>
      <w:r w:rsidRPr="008608AA">
        <w:rPr>
          <w:noProof/>
        </w:rPr>
        <w:t xml:space="preserve"> Routledge.</w:t>
      </w:r>
    </w:p>
    <w:p w14:paraId="70CF677C" w14:textId="77777777" w:rsidR="00B16A15" w:rsidRPr="00CE0821" w:rsidRDefault="00B16A15" w:rsidP="00B16A15">
      <w:pPr>
        <w:widowControl w:val="0"/>
        <w:autoSpaceDE w:val="0"/>
        <w:autoSpaceDN w:val="0"/>
        <w:adjustRightInd w:val="0"/>
        <w:ind w:left="709" w:hanging="709"/>
        <w:rPr>
          <w:noProof/>
        </w:rPr>
      </w:pPr>
      <w:r w:rsidRPr="008608AA">
        <w:rPr>
          <w:noProof/>
        </w:rPr>
        <w:t xml:space="preserve">Gallopin, G. C., &amp; Rijsberman, F. (1997). Three global water scenarios. </w:t>
      </w:r>
      <w:r w:rsidRPr="00CE0821">
        <w:rPr>
          <w:i/>
          <w:iCs/>
          <w:noProof/>
        </w:rPr>
        <w:t>Int. J. Water</w:t>
      </w:r>
      <w:r w:rsidRPr="00CE0821">
        <w:rPr>
          <w:noProof/>
        </w:rPr>
        <w:t xml:space="preserve">, </w:t>
      </w:r>
      <w:r w:rsidRPr="00CE0821">
        <w:rPr>
          <w:i/>
          <w:iCs/>
          <w:noProof/>
        </w:rPr>
        <w:t>1</w:t>
      </w:r>
      <w:r w:rsidRPr="00CE0821">
        <w:rPr>
          <w:noProof/>
        </w:rPr>
        <w:t>(1), (pp. 16–40).</w:t>
      </w:r>
    </w:p>
    <w:p w14:paraId="5FC1E2CD" w14:textId="77777777" w:rsidR="00B16A15" w:rsidRPr="008608AA" w:rsidRDefault="00B16A15" w:rsidP="00B16A15">
      <w:pPr>
        <w:widowControl w:val="0"/>
        <w:autoSpaceDE w:val="0"/>
        <w:autoSpaceDN w:val="0"/>
        <w:adjustRightInd w:val="0"/>
        <w:ind w:left="709" w:hanging="709"/>
        <w:rPr>
          <w:noProof/>
        </w:rPr>
      </w:pPr>
      <w:r w:rsidRPr="00CE0821">
        <w:rPr>
          <w:noProof/>
        </w:rPr>
        <w:t xml:space="preserve">Garfin, G., Franco, G., Blanco, H., Comrie, A., Gonzalez, P., Piechota, T., Smyth, R., &amp; Waskom, R. (2014). </w:t>
      </w:r>
      <w:r w:rsidRPr="008608AA">
        <w:rPr>
          <w:noProof/>
        </w:rPr>
        <w:t xml:space="preserve">Ch. 20: Southwest. Climate Change Impacts in the United States: The Third National Climate Assessment. In  and G. W. Y. J. M. Melillo, Terese (T.C.) Richmond (Ed.), </w:t>
      </w:r>
      <w:r w:rsidRPr="008608AA">
        <w:rPr>
          <w:i/>
          <w:iCs/>
          <w:noProof/>
        </w:rPr>
        <w:t>U.S. Global Change Research Program</w:t>
      </w:r>
      <w:r w:rsidRPr="008608AA">
        <w:rPr>
          <w:noProof/>
        </w:rPr>
        <w:t xml:space="preserve"> (pp. 462–486). USGCRP.</w:t>
      </w:r>
    </w:p>
    <w:p w14:paraId="2C26BBE6" w14:textId="77777777" w:rsidR="00B16A15" w:rsidRPr="008608AA" w:rsidRDefault="00B16A15" w:rsidP="00B16A15">
      <w:pPr>
        <w:widowControl w:val="0"/>
        <w:autoSpaceDE w:val="0"/>
        <w:autoSpaceDN w:val="0"/>
        <w:adjustRightInd w:val="0"/>
        <w:ind w:left="709" w:hanging="709"/>
        <w:rPr>
          <w:noProof/>
          <w:lang w:val="es-ES"/>
        </w:rPr>
      </w:pPr>
      <w:r w:rsidRPr="008608AA">
        <w:rPr>
          <w:noProof/>
        </w:rPr>
        <w:t xml:space="preserve">Gatti, L. V., Gloor, M., Miller, J. B., Doughty, C. E., Malhi, Y., Domingues, L. G., Basso, L. S., Martinewski, A., Correia, C. S. C., Borges, V. F., Freitas, S., Braz, R., Anderson, L. O., Rocha, H., Grace, J., Phillips, O. L., &amp; Lloyd, J. (2014). Drought sensitivity of Amazonian carbon balance revealed by atmospheric measurements. </w:t>
      </w:r>
      <w:r w:rsidRPr="008608AA">
        <w:rPr>
          <w:i/>
          <w:iCs/>
          <w:noProof/>
          <w:lang w:val="es-ES"/>
        </w:rPr>
        <w:t>Nature</w:t>
      </w:r>
      <w:r w:rsidRPr="008608AA">
        <w:rPr>
          <w:noProof/>
          <w:lang w:val="es-ES"/>
        </w:rPr>
        <w:t xml:space="preserve">, </w:t>
      </w:r>
      <w:r w:rsidRPr="008608AA">
        <w:rPr>
          <w:i/>
          <w:iCs/>
          <w:noProof/>
          <w:lang w:val="es-ES"/>
        </w:rPr>
        <w:t>506</w:t>
      </w:r>
      <w:r w:rsidRPr="008608AA">
        <w:rPr>
          <w:noProof/>
          <w:lang w:val="es-ES"/>
        </w:rPr>
        <w:t>(7486), 76–80. https://doi.org/10.1038/nature12957</w:t>
      </w:r>
    </w:p>
    <w:p w14:paraId="65032FD5" w14:textId="77777777" w:rsidR="00B16A15" w:rsidRPr="008608AA" w:rsidRDefault="00B16A15" w:rsidP="00B16A15">
      <w:pPr>
        <w:widowControl w:val="0"/>
        <w:autoSpaceDE w:val="0"/>
        <w:autoSpaceDN w:val="0"/>
        <w:adjustRightInd w:val="0"/>
        <w:ind w:left="709" w:hanging="709"/>
        <w:rPr>
          <w:noProof/>
          <w:lang w:val="es-CO"/>
        </w:rPr>
      </w:pPr>
      <w:r w:rsidRPr="008608AA">
        <w:rPr>
          <w:noProof/>
          <w:lang w:val="es-CO"/>
        </w:rPr>
        <w:t xml:space="preserve">Giannini, T. C., Tambosi, L. R., Acosta, A. L., Jaffé, R., Saraiva, A. M., Imperatriz-Fonseca, V. L., &amp; Metzger, J. P. (2015). </w:t>
      </w:r>
      <w:r w:rsidRPr="008608AA">
        <w:rPr>
          <w:noProof/>
        </w:rPr>
        <w:t xml:space="preserve">Safeguarding Ecosystem Services: A Methodological Framework to Buffer the Joint Effect of Habitat Configuration and Climate Change. </w:t>
      </w:r>
      <w:r w:rsidRPr="008608AA">
        <w:rPr>
          <w:i/>
          <w:iCs/>
          <w:noProof/>
          <w:lang w:val="es-CO"/>
        </w:rPr>
        <w:t>PloS One</w:t>
      </w:r>
      <w:r w:rsidRPr="008608AA">
        <w:rPr>
          <w:noProof/>
          <w:lang w:val="es-CO"/>
        </w:rPr>
        <w:t xml:space="preserve">, </w:t>
      </w:r>
      <w:r w:rsidRPr="008608AA">
        <w:rPr>
          <w:i/>
          <w:iCs/>
          <w:noProof/>
          <w:lang w:val="es-CO"/>
        </w:rPr>
        <w:t>10</w:t>
      </w:r>
      <w:r w:rsidRPr="008608AA">
        <w:rPr>
          <w:noProof/>
          <w:lang w:val="es-CO"/>
        </w:rPr>
        <w:t>(6), e0129225. http://doi.org/10.1371/journal.pone.0129225</w:t>
      </w:r>
    </w:p>
    <w:p w14:paraId="464EF0F2" w14:textId="77777777" w:rsidR="00B16A15" w:rsidRPr="008608AA" w:rsidRDefault="00B16A15" w:rsidP="00B16A15">
      <w:pPr>
        <w:widowControl w:val="0"/>
        <w:autoSpaceDE w:val="0"/>
        <w:autoSpaceDN w:val="0"/>
        <w:adjustRightInd w:val="0"/>
        <w:ind w:left="709" w:hanging="709"/>
        <w:rPr>
          <w:noProof/>
          <w:lang w:val="de-DE"/>
        </w:rPr>
      </w:pPr>
      <w:r w:rsidRPr="008608AA">
        <w:rPr>
          <w:noProof/>
          <w:lang w:val="es-CO"/>
        </w:rPr>
        <w:t xml:space="preserve">Giovanelli, J. G. R., Haddad, C. F. B., &amp; Alexandrino, J. (2008). </w:t>
      </w:r>
      <w:r w:rsidRPr="008608AA">
        <w:rPr>
          <w:noProof/>
        </w:rPr>
        <w:t xml:space="preserve">Predicting the potential distribution of the alien invasive American bullfrog (Lithobates catesbeianus) in Brazil. </w:t>
      </w:r>
      <w:r w:rsidRPr="008608AA">
        <w:rPr>
          <w:i/>
          <w:iCs/>
          <w:noProof/>
          <w:lang w:val="de-DE"/>
        </w:rPr>
        <w:t>Biological Invasions</w:t>
      </w:r>
      <w:r w:rsidRPr="008608AA">
        <w:rPr>
          <w:noProof/>
          <w:lang w:val="de-DE"/>
        </w:rPr>
        <w:t xml:space="preserve">, </w:t>
      </w:r>
      <w:r w:rsidRPr="008608AA">
        <w:rPr>
          <w:i/>
          <w:iCs/>
          <w:noProof/>
          <w:lang w:val="de-DE"/>
        </w:rPr>
        <w:t>10</w:t>
      </w:r>
      <w:r w:rsidRPr="008608AA">
        <w:rPr>
          <w:noProof/>
          <w:lang w:val="de-DE"/>
        </w:rPr>
        <w:t xml:space="preserve">(5), </w:t>
      </w:r>
      <w:r w:rsidRPr="008608AA">
        <w:rPr>
          <w:noProof/>
        </w:rPr>
        <w:t xml:space="preserve">(pp. </w:t>
      </w:r>
      <w:r w:rsidRPr="008608AA">
        <w:rPr>
          <w:noProof/>
          <w:lang w:val="de-DE"/>
        </w:rPr>
        <w:t>585–590). http://doi.org/10.1007/s10530-007-9154-5</w:t>
      </w:r>
    </w:p>
    <w:p w14:paraId="5D7E4356" w14:textId="77777777" w:rsidR="00B16A15" w:rsidRPr="00CE0821" w:rsidRDefault="00B16A15" w:rsidP="00B16A15">
      <w:pPr>
        <w:widowControl w:val="0"/>
        <w:autoSpaceDE w:val="0"/>
        <w:autoSpaceDN w:val="0"/>
        <w:adjustRightInd w:val="0"/>
        <w:ind w:left="709" w:hanging="709"/>
        <w:rPr>
          <w:noProof/>
        </w:rPr>
      </w:pPr>
      <w:r w:rsidRPr="008608AA">
        <w:rPr>
          <w:noProof/>
        </w:rPr>
        <w:t xml:space="preserve">Gloor, M., Barichivich, J., Ziv, G., Brienen, R., Schöngart, J., Peylin, P., Ladvocat Cintra, B. B., Feldpausch, T., Phillips, O., &amp; Baker, J. (2015). Recent Amazon climate as background for possible ongoing and future changes of Amazon humid forests. </w:t>
      </w:r>
      <w:r w:rsidRPr="00CE0821">
        <w:rPr>
          <w:i/>
          <w:iCs/>
          <w:noProof/>
        </w:rPr>
        <w:t>Global Biogeochemical Cycles</w:t>
      </w:r>
      <w:r w:rsidRPr="00CE0821">
        <w:rPr>
          <w:noProof/>
        </w:rPr>
        <w:t xml:space="preserve">, </w:t>
      </w:r>
      <w:r w:rsidRPr="00CE0821">
        <w:rPr>
          <w:i/>
          <w:iCs/>
          <w:noProof/>
        </w:rPr>
        <w:t>29</w:t>
      </w:r>
      <w:r w:rsidRPr="00CE0821">
        <w:rPr>
          <w:noProof/>
        </w:rPr>
        <w:t>(9), 1384–1399. https://doi.org/10.1002/2014GB005080</w:t>
      </w:r>
    </w:p>
    <w:p w14:paraId="4FEA28C3" w14:textId="77777777" w:rsidR="00B16A15" w:rsidRPr="008608AA" w:rsidRDefault="00B16A15" w:rsidP="00B16A15">
      <w:pPr>
        <w:widowControl w:val="0"/>
        <w:autoSpaceDE w:val="0"/>
        <w:autoSpaceDN w:val="0"/>
        <w:adjustRightInd w:val="0"/>
        <w:ind w:left="709" w:hanging="709"/>
        <w:rPr>
          <w:noProof/>
        </w:rPr>
      </w:pPr>
      <w:r w:rsidRPr="00CE0821">
        <w:rPr>
          <w:noProof/>
        </w:rPr>
        <w:t xml:space="preserve">Godar, J., Gardner, T. A., Tizado, E. J., &amp; Pacheco, P. (2015). </w:t>
      </w:r>
      <w:r w:rsidRPr="008608AA">
        <w:rPr>
          <w:noProof/>
        </w:rPr>
        <w:t xml:space="preserve">Correction for Godar et al., Actor-specific contributions to the deforestation slowdown in the Brazilian Amazon. </w:t>
      </w:r>
      <w:r w:rsidRPr="008608AA">
        <w:rPr>
          <w:i/>
          <w:iCs/>
          <w:noProof/>
        </w:rPr>
        <w:t>Proceedings of the National Academy of Sciences</w:t>
      </w:r>
      <w:r w:rsidRPr="008608AA">
        <w:rPr>
          <w:noProof/>
        </w:rPr>
        <w:t xml:space="preserve">, </w:t>
      </w:r>
      <w:r w:rsidRPr="008608AA">
        <w:rPr>
          <w:i/>
          <w:iCs/>
          <w:noProof/>
        </w:rPr>
        <w:t>112</w:t>
      </w:r>
      <w:r w:rsidRPr="008608AA">
        <w:rPr>
          <w:noProof/>
        </w:rPr>
        <w:t>(23), E3089–E3089. http://doi.org/10.1073/pnas.1508418112</w:t>
      </w:r>
    </w:p>
    <w:p w14:paraId="652A979B" w14:textId="77777777" w:rsidR="00B16A15" w:rsidRPr="008608AA" w:rsidRDefault="00B16A15" w:rsidP="00B16A15">
      <w:pPr>
        <w:widowControl w:val="0"/>
        <w:autoSpaceDE w:val="0"/>
        <w:autoSpaceDN w:val="0"/>
        <w:adjustRightInd w:val="0"/>
        <w:ind w:left="709" w:hanging="709"/>
        <w:rPr>
          <w:noProof/>
        </w:rPr>
      </w:pPr>
      <w:r w:rsidRPr="00CE0821">
        <w:rPr>
          <w:noProof/>
        </w:rPr>
        <w:t xml:space="preserve">Gonzalez-Bernat, M. J., &amp; Clifton, J. (2017). </w:t>
      </w:r>
      <w:r w:rsidRPr="008608AA">
        <w:rPr>
          <w:noProof/>
        </w:rPr>
        <w:t xml:space="preserve">“Living with our backs to the sea”: A critical analysis of marine and coastal governance in Guatemala. </w:t>
      </w:r>
      <w:r w:rsidRPr="008608AA">
        <w:rPr>
          <w:i/>
          <w:iCs/>
          <w:noProof/>
        </w:rPr>
        <w:t>Marine Policy</w:t>
      </w:r>
      <w:r w:rsidRPr="008608AA">
        <w:rPr>
          <w:noProof/>
        </w:rPr>
        <w:t xml:space="preserve">, </w:t>
      </w:r>
      <w:r w:rsidRPr="008608AA">
        <w:rPr>
          <w:i/>
          <w:iCs/>
          <w:noProof/>
        </w:rPr>
        <w:t>81</w:t>
      </w:r>
      <w:r w:rsidRPr="008608AA">
        <w:rPr>
          <w:noProof/>
        </w:rPr>
        <w:t>(March), (pp. 9–20). http://doi.org/10.1016/j.marpol.2017.03.003</w:t>
      </w:r>
    </w:p>
    <w:p w14:paraId="2E06FC3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Gorell, J. M., Peterson, E. L., Rybicki, B. A., &amp; Johnson, C. C. (2004). Multiple risk factors for Parkinson’s disease. </w:t>
      </w:r>
      <w:r w:rsidRPr="008608AA">
        <w:rPr>
          <w:i/>
          <w:iCs/>
          <w:noProof/>
        </w:rPr>
        <w:t>Journal of the Neurological Sciences</w:t>
      </w:r>
      <w:r w:rsidRPr="008608AA">
        <w:rPr>
          <w:noProof/>
        </w:rPr>
        <w:t xml:space="preserve">, </w:t>
      </w:r>
      <w:r w:rsidRPr="008608AA">
        <w:rPr>
          <w:i/>
          <w:iCs/>
          <w:noProof/>
        </w:rPr>
        <w:t>217</w:t>
      </w:r>
      <w:r w:rsidRPr="008608AA">
        <w:rPr>
          <w:noProof/>
        </w:rPr>
        <w:t>(2), (pp. 169–174). http://doi.org/10.1016/j.jns.2003.09.014</w:t>
      </w:r>
    </w:p>
    <w:p w14:paraId="5D057FF9" w14:textId="77777777" w:rsidR="00B16A15" w:rsidRPr="008608AA" w:rsidRDefault="00B16A15" w:rsidP="00B16A15">
      <w:pPr>
        <w:widowControl w:val="0"/>
        <w:autoSpaceDE w:val="0"/>
        <w:autoSpaceDN w:val="0"/>
        <w:adjustRightInd w:val="0"/>
        <w:ind w:left="709" w:hanging="709"/>
        <w:rPr>
          <w:noProof/>
        </w:rPr>
      </w:pPr>
      <w:r w:rsidRPr="008608AA">
        <w:rPr>
          <w:noProof/>
          <w:lang w:val="de-DE"/>
        </w:rPr>
        <w:t xml:space="preserve">Graesser, J., Aide, T. M., Grau, H. R., &amp; Ramankutty, N. (2015). </w:t>
      </w:r>
      <w:r w:rsidRPr="008608AA">
        <w:rPr>
          <w:noProof/>
        </w:rPr>
        <w:t xml:space="preserve">Cropland/pastureland dynamics and the slowdown of deforestation in Latin America. </w:t>
      </w:r>
      <w:r w:rsidRPr="008608AA">
        <w:rPr>
          <w:i/>
          <w:iCs/>
          <w:noProof/>
        </w:rPr>
        <w:t>Environmental Research Letters</w:t>
      </w:r>
      <w:r w:rsidRPr="008608AA">
        <w:rPr>
          <w:noProof/>
        </w:rPr>
        <w:t xml:space="preserve">, </w:t>
      </w:r>
      <w:r w:rsidRPr="008608AA">
        <w:rPr>
          <w:i/>
          <w:iCs/>
          <w:noProof/>
        </w:rPr>
        <w:t>10</w:t>
      </w:r>
      <w:r w:rsidRPr="008608AA">
        <w:rPr>
          <w:noProof/>
        </w:rPr>
        <w:t>(3), (pp. 1748–9326). http://doi.org/10.1088/1748-9326/10/3/034017</w:t>
      </w:r>
    </w:p>
    <w:p w14:paraId="370B58B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Green, E. P., &amp; Short, F. T. (2003). </w:t>
      </w:r>
      <w:r w:rsidRPr="008608AA">
        <w:rPr>
          <w:i/>
          <w:iCs/>
          <w:noProof/>
        </w:rPr>
        <w:t>World atlas of seagrasses. Prepared by the UNEP World Conservation Monitoring Centre.</w:t>
      </w:r>
      <w:r w:rsidRPr="008608AA">
        <w:rPr>
          <w:noProof/>
        </w:rPr>
        <w:t xml:space="preserve"> </w:t>
      </w:r>
      <w:r w:rsidRPr="008608AA">
        <w:rPr>
          <w:i/>
          <w:iCs/>
          <w:noProof/>
        </w:rPr>
        <w:t>Botanica Marina</w:t>
      </w:r>
      <w:r w:rsidRPr="008608AA">
        <w:rPr>
          <w:noProof/>
        </w:rPr>
        <w:t xml:space="preserve"> (Vol. 47). Berkeley. USA: University of California Press, 298 pp. http://doi.org/10.1515/BOT.2004.029</w:t>
      </w:r>
    </w:p>
    <w:p w14:paraId="49561AA0" w14:textId="77777777" w:rsidR="00B16A15" w:rsidRPr="008608AA" w:rsidRDefault="00B16A15" w:rsidP="00B16A15">
      <w:pPr>
        <w:widowControl w:val="0"/>
        <w:autoSpaceDE w:val="0"/>
        <w:autoSpaceDN w:val="0"/>
        <w:adjustRightInd w:val="0"/>
        <w:ind w:left="709" w:hanging="709"/>
        <w:rPr>
          <w:noProof/>
        </w:rPr>
      </w:pPr>
      <w:r w:rsidRPr="008608AA">
        <w:rPr>
          <w:noProof/>
          <w:lang w:val="de-DE"/>
        </w:rPr>
        <w:t xml:space="preserve">Greve, T. M., &amp; Binzer, T. (2004). </w:t>
      </w:r>
      <w:r w:rsidRPr="008608AA">
        <w:rPr>
          <w:noProof/>
        </w:rPr>
        <w:t xml:space="preserve">Which factors regulate seagrass growth and distribution? In J. Borum, C. M. Duarte, D. Krause-Jensen, &amp; T. M. Greve (Eds.), </w:t>
      </w:r>
      <w:r w:rsidRPr="008608AA">
        <w:rPr>
          <w:i/>
          <w:iCs/>
          <w:noProof/>
        </w:rPr>
        <w:t>European seagrasses: an introduction to monitoring and management</w:t>
      </w:r>
      <w:r w:rsidRPr="008608AA">
        <w:rPr>
          <w:noProof/>
        </w:rPr>
        <w:t xml:space="preserve"> (pp. 19–23). EU project Monitoring and Managing of European Seagrasses.</w:t>
      </w:r>
    </w:p>
    <w:p w14:paraId="074838E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Gudynas, E. (2011). </w:t>
      </w:r>
      <w:r w:rsidRPr="008608AA">
        <w:rPr>
          <w:i/>
          <w:noProof/>
        </w:rPr>
        <w:t>Buen Vivir: today’s tomorrow.</w:t>
      </w:r>
      <w:r w:rsidRPr="008608AA">
        <w:rPr>
          <w:noProof/>
        </w:rPr>
        <w:t xml:space="preserve"> </w:t>
      </w:r>
      <w:r w:rsidRPr="008608AA">
        <w:rPr>
          <w:i/>
          <w:iCs/>
          <w:noProof/>
        </w:rPr>
        <w:t>Development</w:t>
      </w:r>
      <w:r w:rsidRPr="008608AA">
        <w:rPr>
          <w:noProof/>
        </w:rPr>
        <w:t xml:space="preserve">, </w:t>
      </w:r>
      <w:r w:rsidRPr="008608AA">
        <w:rPr>
          <w:i/>
          <w:iCs/>
          <w:noProof/>
        </w:rPr>
        <w:t>54</w:t>
      </w:r>
      <w:r w:rsidRPr="008608AA">
        <w:rPr>
          <w:noProof/>
        </w:rPr>
        <w:t>(4), (pp. 441–447).</w:t>
      </w:r>
    </w:p>
    <w:p w14:paraId="78BCBCE7"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Güneralp, B., Seto, K. C., &amp; Ramachandran, M. (2013). Evidence of urban land teleconnections and impacts on hinterlands. </w:t>
      </w:r>
      <w:r w:rsidRPr="008608AA">
        <w:rPr>
          <w:i/>
          <w:iCs/>
          <w:noProof/>
        </w:rPr>
        <w:t>Current Opinion in Environmental Sustainability</w:t>
      </w:r>
      <w:r w:rsidRPr="008608AA">
        <w:rPr>
          <w:noProof/>
        </w:rPr>
        <w:t xml:space="preserve">, </w:t>
      </w:r>
      <w:r w:rsidRPr="008608AA">
        <w:rPr>
          <w:i/>
          <w:iCs/>
          <w:noProof/>
        </w:rPr>
        <w:t>5</w:t>
      </w:r>
      <w:r w:rsidRPr="008608AA">
        <w:rPr>
          <w:noProof/>
        </w:rPr>
        <w:t>(5), (pp. 445–451). http://doi.org/10.1016/j.cosust.2013.08.003</w:t>
      </w:r>
    </w:p>
    <w:p w14:paraId="7BA7DDD4" w14:textId="77777777" w:rsidR="00B16A15" w:rsidRPr="008608AA" w:rsidRDefault="00B16A15" w:rsidP="00B16A15">
      <w:pPr>
        <w:widowControl w:val="0"/>
        <w:autoSpaceDE w:val="0"/>
        <w:autoSpaceDN w:val="0"/>
        <w:adjustRightInd w:val="0"/>
        <w:ind w:left="709" w:hanging="709"/>
        <w:rPr>
          <w:noProof/>
        </w:rPr>
      </w:pPr>
      <w:r w:rsidRPr="008608AA">
        <w:rPr>
          <w:noProof/>
          <w:lang w:val="de-DE"/>
        </w:rPr>
        <w:t xml:space="preserve">Gunn, A., Russell, D., &amp; Eamer, J. (2011). </w:t>
      </w:r>
      <w:r w:rsidRPr="008608AA">
        <w:rPr>
          <w:i/>
          <w:iCs/>
          <w:noProof/>
        </w:rPr>
        <w:t>Northern caribou population trends in Canada</w:t>
      </w:r>
      <w:r w:rsidRPr="008608AA">
        <w:rPr>
          <w:noProof/>
        </w:rPr>
        <w:t>.</w:t>
      </w:r>
    </w:p>
    <w:p w14:paraId="71F60E37" w14:textId="77777777" w:rsidR="00B16A15" w:rsidRPr="008608AA" w:rsidRDefault="00B16A15" w:rsidP="00B16A15">
      <w:pPr>
        <w:widowControl w:val="0"/>
        <w:autoSpaceDE w:val="0"/>
        <w:autoSpaceDN w:val="0"/>
        <w:adjustRightInd w:val="0"/>
        <w:ind w:left="709" w:hanging="709"/>
        <w:rPr>
          <w:noProof/>
          <w:lang w:val="de-DE"/>
        </w:rPr>
      </w:pPr>
      <w:r w:rsidRPr="008608AA">
        <w:rPr>
          <w:noProof/>
          <w:lang w:val="fr-CA"/>
        </w:rPr>
        <w:t xml:space="preserve">Habitat III, U. (2016). </w:t>
      </w:r>
      <w:r w:rsidRPr="008608AA">
        <w:rPr>
          <w:i/>
          <w:iCs/>
          <w:noProof/>
          <w:lang w:val="fr-CA"/>
        </w:rPr>
        <w:t xml:space="preserve">A new urban agenda. </w:t>
      </w:r>
      <w:r w:rsidRPr="008608AA">
        <w:rPr>
          <w:i/>
          <w:iCs/>
          <w:noProof/>
        </w:rPr>
        <w:t>Quito declaration on sustainable cities and human settlements for all.</w:t>
      </w:r>
      <w:r w:rsidRPr="008608AA">
        <w:rPr>
          <w:noProof/>
        </w:rPr>
        <w:t xml:space="preserve"> </w:t>
      </w:r>
      <w:r w:rsidRPr="008608AA">
        <w:rPr>
          <w:noProof/>
          <w:lang w:val="de-DE"/>
        </w:rPr>
        <w:t>Quito.</w:t>
      </w:r>
    </w:p>
    <w:p w14:paraId="078C4C1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Halpern, B. S., Walbridge, S., Selkoe, K. A., Kappel, C. V., Micheli, F., D’Agrosa, C., Bruno, J. F., Casey, K. S., Ebert, C., Fox, H. E., Fujita, R., Heinemann, D., Lenihan, H. S., Madin, E. M. P., Perry, M. T., Selig, E. R., Spalding, M., Steneck, R., &amp; Watson, R. (2008). A Global Map of Human Impact on Marine Ecosystems. </w:t>
      </w:r>
      <w:r w:rsidRPr="008608AA">
        <w:rPr>
          <w:i/>
          <w:iCs/>
          <w:noProof/>
        </w:rPr>
        <w:t>Science</w:t>
      </w:r>
      <w:r w:rsidRPr="008608AA">
        <w:rPr>
          <w:noProof/>
        </w:rPr>
        <w:t xml:space="preserve">, </w:t>
      </w:r>
      <w:r w:rsidRPr="008608AA">
        <w:rPr>
          <w:i/>
          <w:iCs/>
          <w:noProof/>
        </w:rPr>
        <w:t>319</w:t>
      </w:r>
      <w:r w:rsidRPr="008608AA">
        <w:rPr>
          <w:noProof/>
        </w:rPr>
        <w:t>(5865), 948–952. https://doi.org/10.1126/science.1149345</w:t>
      </w:r>
    </w:p>
    <w:p w14:paraId="2C4FEEC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Harley, C. D. G., &amp; Paine, R. T. (2009). Contingencies and compounded rare perturbations dictate sudden distributional shifts during periods of gradual climate change. </w:t>
      </w:r>
      <w:r w:rsidRPr="008608AA">
        <w:rPr>
          <w:i/>
          <w:iCs/>
          <w:noProof/>
        </w:rPr>
        <w:t>Proceedings of the National Academy of Sciences of the United States of America</w:t>
      </w:r>
      <w:r w:rsidRPr="008608AA">
        <w:rPr>
          <w:noProof/>
        </w:rPr>
        <w:t xml:space="preserve">, </w:t>
      </w:r>
      <w:r w:rsidRPr="008608AA">
        <w:rPr>
          <w:i/>
          <w:iCs/>
          <w:noProof/>
        </w:rPr>
        <w:t>106</w:t>
      </w:r>
      <w:r w:rsidRPr="008608AA">
        <w:rPr>
          <w:noProof/>
        </w:rPr>
        <w:t>, (pp. 11172–11176). http://doi.org/10.1073/pnas.0904946106</w:t>
      </w:r>
    </w:p>
    <w:p w14:paraId="11888C75" w14:textId="77777777" w:rsidR="00B16A15" w:rsidRPr="008608AA" w:rsidRDefault="00B16A15" w:rsidP="00B16A15">
      <w:pPr>
        <w:widowControl w:val="0"/>
        <w:autoSpaceDE w:val="0"/>
        <w:autoSpaceDN w:val="0"/>
        <w:adjustRightInd w:val="0"/>
        <w:ind w:left="709" w:hanging="709"/>
        <w:rPr>
          <w:noProof/>
        </w:rPr>
      </w:pPr>
      <w:r w:rsidRPr="008608AA">
        <w:rPr>
          <w:noProof/>
        </w:rPr>
        <w:t>Harsch, M. A., Hulme, P. E., McGlone, M. S., &amp; Duncan, R. P. (2009). Are treelines advancing? A global meta</w:t>
      </w:r>
      <w:r w:rsidRPr="008608AA">
        <w:rPr>
          <w:rFonts w:ascii="Cambria Math" w:hAnsi="Cambria Math" w:cs="Cambria Math"/>
          <w:noProof/>
        </w:rPr>
        <w:t>‐</w:t>
      </w:r>
      <w:r w:rsidRPr="008608AA">
        <w:rPr>
          <w:noProof/>
        </w:rPr>
        <w:t xml:space="preserve">analysis of treeline response to climate warming. </w:t>
      </w:r>
      <w:r w:rsidRPr="008608AA">
        <w:rPr>
          <w:i/>
          <w:iCs/>
          <w:noProof/>
        </w:rPr>
        <w:t>Ecology Letters</w:t>
      </w:r>
      <w:r w:rsidRPr="008608AA">
        <w:rPr>
          <w:noProof/>
        </w:rPr>
        <w:t xml:space="preserve">, </w:t>
      </w:r>
      <w:r w:rsidRPr="008608AA">
        <w:rPr>
          <w:i/>
          <w:iCs/>
          <w:noProof/>
        </w:rPr>
        <w:t>12</w:t>
      </w:r>
      <w:r w:rsidRPr="008608AA">
        <w:rPr>
          <w:noProof/>
        </w:rPr>
        <w:t>(10), (pp. 1040–1049).</w:t>
      </w:r>
    </w:p>
    <w:p w14:paraId="3E812C8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Hartig, J. H., Zarull, M. A., Ciborowski, J. J. H., Gannon, J. E., Wilke, E., Norwood, G., &amp; Vincent, A. N. (2009). Long-term ecosystem monitoring and assessment of the Detroit River and Western Lake Erie. </w:t>
      </w:r>
      <w:r w:rsidRPr="008608AA">
        <w:rPr>
          <w:i/>
          <w:iCs/>
          <w:noProof/>
        </w:rPr>
        <w:t>Environmental Monitoring and Assessment</w:t>
      </w:r>
      <w:r w:rsidRPr="008608AA">
        <w:rPr>
          <w:noProof/>
        </w:rPr>
        <w:t xml:space="preserve">, </w:t>
      </w:r>
      <w:r w:rsidRPr="008608AA">
        <w:rPr>
          <w:i/>
          <w:iCs/>
          <w:noProof/>
        </w:rPr>
        <w:t>158</w:t>
      </w:r>
      <w:r w:rsidRPr="008608AA">
        <w:rPr>
          <w:noProof/>
        </w:rPr>
        <w:t>(1–4), (pp. 87–104). http://doi.org/10.1007/s10661-008-0567-0</w:t>
      </w:r>
    </w:p>
    <w:p w14:paraId="7C95666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Hecht, S. B. (2014). </w:t>
      </w:r>
      <w:r w:rsidRPr="008608AA">
        <w:rPr>
          <w:i/>
          <w:noProof/>
        </w:rPr>
        <w:t xml:space="preserve">Forests lost and found in tropical Latin America: the woodland “green revolution.” </w:t>
      </w:r>
      <w:r w:rsidRPr="008608AA">
        <w:rPr>
          <w:i/>
          <w:iCs/>
          <w:noProof/>
        </w:rPr>
        <w:t>The Journal of Peasant Studies</w:t>
      </w:r>
      <w:r w:rsidRPr="008608AA">
        <w:rPr>
          <w:noProof/>
        </w:rPr>
        <w:t xml:space="preserve">, </w:t>
      </w:r>
      <w:r w:rsidRPr="008608AA">
        <w:rPr>
          <w:i/>
          <w:iCs/>
          <w:noProof/>
        </w:rPr>
        <w:t>41</w:t>
      </w:r>
      <w:r w:rsidRPr="008608AA">
        <w:rPr>
          <w:noProof/>
        </w:rPr>
        <w:t>(5), (pp. 877–909). http://doi.org/10.1080/03066150.2014.917371</w:t>
      </w:r>
    </w:p>
    <w:p w14:paraId="0A8705F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Hemminga, M. A., &amp; Duarte, C. M. (2000). </w:t>
      </w:r>
      <w:r w:rsidRPr="008608AA">
        <w:rPr>
          <w:i/>
          <w:iCs/>
          <w:noProof/>
        </w:rPr>
        <w:t>Seagrass ecology</w:t>
      </w:r>
      <w:r w:rsidRPr="008608AA">
        <w:rPr>
          <w:noProof/>
        </w:rPr>
        <w:t xml:space="preserve">. </w:t>
      </w:r>
      <w:r w:rsidRPr="008608AA">
        <w:rPr>
          <w:i/>
          <w:iCs/>
          <w:noProof/>
        </w:rPr>
        <w:t>Psychodynamic psychiatry</w:t>
      </w:r>
      <w:r w:rsidRPr="008608AA">
        <w:rPr>
          <w:noProof/>
        </w:rPr>
        <w:t xml:space="preserve"> (Vol. 42). Cambridge University Press. http://doi.org/10.1521/pdps.2014.42.2.319</w:t>
      </w:r>
    </w:p>
    <w:p w14:paraId="78FDA322"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Hill, M., &amp; Clérici, C. (2013). </w:t>
      </w:r>
      <w:r w:rsidRPr="008608AA">
        <w:rPr>
          <w:i/>
          <w:iCs/>
          <w:noProof/>
          <w:lang w:val="es-CO"/>
        </w:rPr>
        <w:t>Implementación de planes de uso y manejo responsable del suelo. III Simposio nacional de agricultura 2013</w:t>
      </w:r>
      <w:r w:rsidRPr="008608AA">
        <w:rPr>
          <w:noProof/>
          <w:lang w:val="es-CO"/>
        </w:rPr>
        <w:t>.</w:t>
      </w:r>
    </w:p>
    <w:p w14:paraId="35684298"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Hootsmans, M. J. M., Vermaat, J. E., &amp; Van Vierssen, W. (1987). </w:t>
      </w:r>
      <w:r w:rsidRPr="008608AA">
        <w:rPr>
          <w:noProof/>
        </w:rPr>
        <w:t xml:space="preserve">Seed-bank development, germination and early seedling survival of two seagrass species from The Netherlands: Zostera marina L. and Zostera noltii hornem. </w:t>
      </w:r>
      <w:r w:rsidRPr="008608AA">
        <w:rPr>
          <w:i/>
          <w:iCs/>
          <w:noProof/>
        </w:rPr>
        <w:t>Aquatic Botany</w:t>
      </w:r>
      <w:r w:rsidRPr="008608AA">
        <w:rPr>
          <w:noProof/>
        </w:rPr>
        <w:t xml:space="preserve">, </w:t>
      </w:r>
      <w:r w:rsidRPr="008608AA">
        <w:rPr>
          <w:i/>
          <w:iCs/>
          <w:noProof/>
        </w:rPr>
        <w:t>28</w:t>
      </w:r>
      <w:r w:rsidRPr="008608AA">
        <w:rPr>
          <w:noProof/>
        </w:rPr>
        <w:t>(3–4), (pp. 275–285). http://doi.org/10.1016/0304-3770(87)90005-2</w:t>
      </w:r>
    </w:p>
    <w:p w14:paraId="7BCF82C7"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Hope, A. G., Waltari, E., Malaney, J. L., Payer, D. C., Cook, J. A., &amp; Talbot, S. L. (2015). Arctic biodiversity: increasing richness accompanies shrinking refugia for a cold-associated tundra fauna. </w:t>
      </w:r>
      <w:r w:rsidRPr="008608AA">
        <w:rPr>
          <w:i/>
          <w:iCs/>
          <w:noProof/>
        </w:rPr>
        <w:t>Ecosphere</w:t>
      </w:r>
      <w:r w:rsidRPr="008608AA">
        <w:rPr>
          <w:noProof/>
        </w:rPr>
        <w:t xml:space="preserve">, </w:t>
      </w:r>
      <w:r w:rsidRPr="008608AA">
        <w:rPr>
          <w:i/>
          <w:iCs/>
          <w:noProof/>
        </w:rPr>
        <w:t>6</w:t>
      </w:r>
      <w:r w:rsidRPr="008608AA">
        <w:rPr>
          <w:noProof/>
        </w:rPr>
        <w:t>(9), art159. http://doi.org/10.1890/ES15-00104.1</w:t>
      </w:r>
    </w:p>
    <w:p w14:paraId="62D90A0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Howes, M., Wortley, L., Potts, R., Dedekorkut-Howes, A., Serrao-Neumann, S., Davidson, J., Smith, T., &amp; Nunn, P. (2017). Environmental Sustainability: A Case of Policy Implementation Failure? </w:t>
      </w:r>
      <w:r w:rsidRPr="008608AA">
        <w:rPr>
          <w:i/>
          <w:iCs/>
          <w:noProof/>
        </w:rPr>
        <w:t>Sustainability</w:t>
      </w:r>
      <w:r w:rsidRPr="008608AA">
        <w:rPr>
          <w:noProof/>
        </w:rPr>
        <w:t xml:space="preserve">, </w:t>
      </w:r>
      <w:r w:rsidRPr="008608AA">
        <w:rPr>
          <w:i/>
          <w:iCs/>
          <w:noProof/>
        </w:rPr>
        <w:t>9</w:t>
      </w:r>
      <w:r w:rsidRPr="008608AA">
        <w:rPr>
          <w:noProof/>
        </w:rPr>
        <w:t>(2), 165. https://doi.org/10.3390/su9020165</w:t>
      </w:r>
    </w:p>
    <w:p w14:paraId="3B625A3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Hu, F. S., Higuera, P. E., Duffy, P., Chipman, M. L., Rocha, A. V, Young, A. M., Kelly, R., &amp; Dietze, M. C. (2015). Arctic tundra fires: natural variability and responses to climate change. </w:t>
      </w:r>
      <w:r w:rsidRPr="008608AA">
        <w:rPr>
          <w:i/>
          <w:iCs/>
          <w:noProof/>
        </w:rPr>
        <w:t>Frontiers in Ecology and the Environment</w:t>
      </w:r>
      <w:r w:rsidRPr="008608AA">
        <w:rPr>
          <w:noProof/>
        </w:rPr>
        <w:t xml:space="preserve">, </w:t>
      </w:r>
      <w:r w:rsidRPr="008608AA">
        <w:rPr>
          <w:i/>
          <w:iCs/>
          <w:noProof/>
        </w:rPr>
        <w:t>13</w:t>
      </w:r>
      <w:r w:rsidRPr="008608AA">
        <w:rPr>
          <w:noProof/>
        </w:rPr>
        <w:t>(7), 369–377. https://doi.org/10.1890/150063</w:t>
      </w:r>
    </w:p>
    <w:p w14:paraId="472C38F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Hu, F. S., Higuera, P. E., Walsh, J. E., Chapman, W. L., Duffy, P. A., Brubaker, L. B., &amp; Chipman, M. L. (2010). Tundra burning in Alaska: Linkages to climatic change and sea ice retreat. </w:t>
      </w:r>
      <w:r w:rsidRPr="008608AA">
        <w:rPr>
          <w:i/>
          <w:iCs/>
          <w:noProof/>
        </w:rPr>
        <w:t>Journal of Geophysical Research</w:t>
      </w:r>
      <w:r w:rsidRPr="008608AA">
        <w:rPr>
          <w:noProof/>
        </w:rPr>
        <w:t xml:space="preserve">, </w:t>
      </w:r>
      <w:r w:rsidRPr="008608AA">
        <w:rPr>
          <w:i/>
          <w:iCs/>
          <w:noProof/>
        </w:rPr>
        <w:t>115</w:t>
      </w:r>
      <w:r w:rsidRPr="008608AA">
        <w:rPr>
          <w:noProof/>
        </w:rPr>
        <w:t>(G4), G04002. http://doi.org/10.1029/2009JG001270</w:t>
      </w:r>
    </w:p>
    <w:p w14:paraId="06912F2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Hu, Y., Chang, X., Lin, X., Wang, Y., Wang, S., Duan, J., Zhang, Z., Yang, X., Luo, C., Xu, G., &amp; Zhao, X. (2010). Effects of warming and grazing on N2O fluxes in an alpine meadow ecosystem on the Tibetan plateau. </w:t>
      </w:r>
      <w:r w:rsidRPr="008608AA">
        <w:rPr>
          <w:i/>
          <w:iCs/>
          <w:noProof/>
        </w:rPr>
        <w:t>Soil Biology and Biochemistry</w:t>
      </w:r>
      <w:r w:rsidRPr="008608AA">
        <w:rPr>
          <w:noProof/>
        </w:rPr>
        <w:t xml:space="preserve">, </w:t>
      </w:r>
      <w:r w:rsidRPr="008608AA">
        <w:rPr>
          <w:i/>
          <w:iCs/>
          <w:noProof/>
        </w:rPr>
        <w:t>42</w:t>
      </w:r>
      <w:r w:rsidRPr="008608AA">
        <w:rPr>
          <w:noProof/>
        </w:rPr>
        <w:t>(6), 944–952. https://doi.org/10.1016/J.SOILBIO.2010.02.011</w:t>
      </w:r>
    </w:p>
    <w:p w14:paraId="0ACB789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Huang, S., Yeh, C. J., &amp; Chang, F. L. (2010). The transition to an urbanizing world and the demand for natural resources. </w:t>
      </w:r>
      <w:r w:rsidRPr="008608AA">
        <w:rPr>
          <w:i/>
          <w:iCs/>
          <w:noProof/>
        </w:rPr>
        <w:t>Environmental Sustainability</w:t>
      </w:r>
      <w:r w:rsidRPr="008608AA">
        <w:rPr>
          <w:noProof/>
        </w:rPr>
        <w:t xml:space="preserve">, </w:t>
      </w:r>
      <w:r w:rsidRPr="008608AA">
        <w:rPr>
          <w:i/>
          <w:iCs/>
          <w:noProof/>
        </w:rPr>
        <w:t>2</w:t>
      </w:r>
      <w:r w:rsidRPr="008608AA">
        <w:rPr>
          <w:noProof/>
        </w:rPr>
        <w:t>(2), (pp. 136–143).</w:t>
      </w:r>
    </w:p>
    <w:p w14:paraId="3ADED96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Hughes, R. G., Williams, S. L., Duarte, C. M., Heck, K. L., &amp; Waycott, M. (2009). Associations of concern: declining seagrasses and threatened dependent species. </w:t>
      </w:r>
      <w:r w:rsidRPr="008608AA">
        <w:rPr>
          <w:i/>
          <w:iCs/>
          <w:noProof/>
        </w:rPr>
        <w:t>Frontiers in Ecology and the Environment</w:t>
      </w:r>
      <w:r w:rsidRPr="008608AA">
        <w:rPr>
          <w:noProof/>
        </w:rPr>
        <w:t xml:space="preserve">, </w:t>
      </w:r>
      <w:r w:rsidRPr="008608AA">
        <w:rPr>
          <w:i/>
          <w:iCs/>
          <w:noProof/>
        </w:rPr>
        <w:t>7</w:t>
      </w:r>
      <w:r w:rsidRPr="008608AA">
        <w:rPr>
          <w:noProof/>
        </w:rPr>
        <w:t>(5), (pp. 242–246). http://doi.org/10.1890/080041</w:t>
      </w:r>
    </w:p>
    <w:p w14:paraId="1247315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Hunt, D. V. L., Lombardi, D. R., Atkinson, S., Barber, A. R. G., Barnes, M., Boyko, C. T., Brown, J., Bryson, J., Butler, D., Caputo, S., Caserio, M., Coles, R., Cooper, R. F. D., Farmani, R., Gaterell, M., Hale, J., Hales, C., Hewitt, C. N., Jankovic, L., Jefferson, I., Leach, J., MacKenzie, A. R., Memon, F. A., Sadler, J. P., Weingaertner, C., Whyatt, J. D., &amp; Rogers, C. D. F. (2012). Scenario Archetypes: Converging Rather than Diverging Themes. </w:t>
      </w:r>
      <w:r w:rsidRPr="008608AA">
        <w:rPr>
          <w:i/>
          <w:iCs/>
          <w:noProof/>
        </w:rPr>
        <w:t>Sustainability</w:t>
      </w:r>
      <w:r w:rsidRPr="008608AA">
        <w:rPr>
          <w:noProof/>
        </w:rPr>
        <w:t xml:space="preserve">, </w:t>
      </w:r>
      <w:r w:rsidRPr="008608AA">
        <w:rPr>
          <w:i/>
          <w:iCs/>
          <w:noProof/>
        </w:rPr>
        <w:t>4</w:t>
      </w:r>
      <w:r w:rsidRPr="008608AA">
        <w:rPr>
          <w:noProof/>
        </w:rPr>
        <w:t>(12), 740–772. https://doi.org/10.3390/su4040740</w:t>
      </w:r>
    </w:p>
    <w:p w14:paraId="503D9AA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Huntingford, C., Zelazowski, P., Galbraith, D., Mercado, L. M., Sitch, S., Fisher, R., Lomas, M., Walker, A. P., Jones, C. D., Booth, B. B. B., Malhi, Y., Hemming, D., Kay, G., Good, P., Lewis, S. L., Phillips, O. L., Atkin, O. K., Lloyd, J., Gloor, E., Zaragoza-Castells, J., Meir, P., Betts, R., Harris, P. P., Nobre, C., Marengo, J., &amp; Cox, P. M. (2013). Simulated resilience of tropical rainforests to CO2-induced climate change. </w:t>
      </w:r>
      <w:r w:rsidRPr="008608AA">
        <w:rPr>
          <w:i/>
          <w:iCs/>
          <w:noProof/>
        </w:rPr>
        <w:t>Nature Geoscience</w:t>
      </w:r>
      <w:r w:rsidRPr="008608AA">
        <w:rPr>
          <w:noProof/>
        </w:rPr>
        <w:t xml:space="preserve">, </w:t>
      </w:r>
      <w:r w:rsidRPr="008608AA">
        <w:rPr>
          <w:i/>
          <w:iCs/>
          <w:noProof/>
        </w:rPr>
        <w:t>6</w:t>
      </w:r>
      <w:r w:rsidRPr="008608AA">
        <w:rPr>
          <w:noProof/>
        </w:rPr>
        <w:t>(4), 268–273. https://doi.org/10.1038/ngeo1741</w:t>
      </w:r>
    </w:p>
    <w:p w14:paraId="666382D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Huntington, H. P., Boyle, M., Flowers, G. E., Weatherly, J. W., Hamilton, L. C., Hinzman, L., Gerlach, C., Zulueta, R., Nicolson, C., &amp; Overpeck, J. (2007). The influence of human activity in the Arctic on climate and climate impacts. </w:t>
      </w:r>
      <w:r w:rsidRPr="008608AA">
        <w:rPr>
          <w:i/>
          <w:iCs/>
          <w:noProof/>
        </w:rPr>
        <w:t>Climatic Change</w:t>
      </w:r>
      <w:r w:rsidRPr="008608AA">
        <w:rPr>
          <w:noProof/>
        </w:rPr>
        <w:t xml:space="preserve">, </w:t>
      </w:r>
      <w:r w:rsidRPr="008608AA">
        <w:rPr>
          <w:i/>
          <w:iCs/>
          <w:noProof/>
        </w:rPr>
        <w:t>82</w:t>
      </w:r>
      <w:r w:rsidRPr="008608AA">
        <w:rPr>
          <w:noProof/>
        </w:rPr>
        <w:t>(1–2), 77–92. https://doi.org/10.1007/s10584-006-9162-y</w:t>
      </w:r>
    </w:p>
    <w:p w14:paraId="129E469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Inniss, L., &amp; Simcock, A. (2016). </w:t>
      </w:r>
      <w:r w:rsidRPr="008608AA">
        <w:rPr>
          <w:i/>
          <w:iCs/>
          <w:noProof/>
        </w:rPr>
        <w:t>The First Global Integrated Marine Assessment: World Ocean Assessment I</w:t>
      </w:r>
      <w:r w:rsidRPr="008608AA">
        <w:rPr>
          <w:noProof/>
        </w:rPr>
        <w:t>.</w:t>
      </w:r>
    </w:p>
    <w:p w14:paraId="5D0717AC" w14:textId="77777777" w:rsidR="00B16A15" w:rsidRPr="008608AA" w:rsidRDefault="00B16A15" w:rsidP="00B16A15">
      <w:pPr>
        <w:widowControl w:val="0"/>
        <w:autoSpaceDE w:val="0"/>
        <w:autoSpaceDN w:val="0"/>
        <w:adjustRightInd w:val="0"/>
        <w:ind w:left="709" w:hanging="709"/>
        <w:rPr>
          <w:noProof/>
          <w:lang w:val="es-CO"/>
        </w:rPr>
      </w:pPr>
      <w:r w:rsidRPr="008608AA">
        <w:rPr>
          <w:noProof/>
          <w:lang w:val="es-CO"/>
        </w:rPr>
        <w:t xml:space="preserve">INPE. (2014). </w:t>
      </w:r>
      <w:r w:rsidRPr="008608AA">
        <w:rPr>
          <w:i/>
          <w:iCs/>
          <w:noProof/>
          <w:lang w:val="es-CO"/>
        </w:rPr>
        <w:t>Sistema DEGRAD</w:t>
      </w:r>
      <w:r w:rsidRPr="008608AA">
        <w:rPr>
          <w:noProof/>
          <w:lang w:val="es-CO"/>
        </w:rPr>
        <w:t>. São José dos Campos, SP, Brazil.</w:t>
      </w:r>
    </w:p>
    <w:p w14:paraId="7424153F" w14:textId="77777777" w:rsidR="00B16A15" w:rsidRPr="008608AA" w:rsidRDefault="00B16A15" w:rsidP="00B16A15">
      <w:pPr>
        <w:widowControl w:val="0"/>
        <w:autoSpaceDE w:val="0"/>
        <w:autoSpaceDN w:val="0"/>
        <w:adjustRightInd w:val="0"/>
        <w:ind w:left="709" w:hanging="709"/>
        <w:rPr>
          <w:noProof/>
          <w:lang w:val="es-CO"/>
        </w:rPr>
      </w:pPr>
      <w:r w:rsidRPr="008608AA">
        <w:rPr>
          <w:noProof/>
          <w:lang w:val="es-CO"/>
        </w:rPr>
        <w:t xml:space="preserve">INPE. (2015). </w:t>
      </w:r>
      <w:r w:rsidRPr="008608AA">
        <w:rPr>
          <w:i/>
          <w:iCs/>
          <w:noProof/>
          <w:lang w:val="es-CO"/>
        </w:rPr>
        <w:t>Terra Class</w:t>
      </w:r>
      <w:r w:rsidRPr="008608AA">
        <w:rPr>
          <w:noProof/>
          <w:lang w:val="es-CO"/>
        </w:rPr>
        <w:t>. São José dos Campos, São Paulo, SP, Brazil.</w:t>
      </w:r>
    </w:p>
    <w:p w14:paraId="27500414" w14:textId="77777777" w:rsidR="00B16A15" w:rsidRPr="00A3137A" w:rsidRDefault="00B16A15" w:rsidP="00B16A15">
      <w:pPr>
        <w:widowControl w:val="0"/>
        <w:autoSpaceDE w:val="0"/>
        <w:autoSpaceDN w:val="0"/>
        <w:adjustRightInd w:val="0"/>
        <w:ind w:left="709" w:hanging="709"/>
        <w:rPr>
          <w:noProof/>
        </w:rPr>
      </w:pPr>
      <w:r w:rsidRPr="008608AA">
        <w:rPr>
          <w:noProof/>
          <w:lang w:val="es-CO"/>
        </w:rPr>
        <w:t xml:space="preserve">INPE. (2017). </w:t>
      </w:r>
      <w:r w:rsidRPr="008608AA">
        <w:rPr>
          <w:i/>
          <w:iCs/>
          <w:noProof/>
          <w:lang w:val="es-CO"/>
        </w:rPr>
        <w:t>Projeto PRODES: Monitoramento da Floresta Amazônica Brasileira por Satélite</w:t>
      </w:r>
      <w:r w:rsidRPr="008608AA">
        <w:rPr>
          <w:noProof/>
          <w:lang w:val="es-CO"/>
        </w:rPr>
        <w:t xml:space="preserve">. </w:t>
      </w:r>
      <w:r w:rsidRPr="00A3137A">
        <w:rPr>
          <w:noProof/>
        </w:rPr>
        <w:t>São José dos Campos, SP, Brazil.</w:t>
      </w:r>
    </w:p>
    <w:p w14:paraId="43B9463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International Joint Commission. (2016). </w:t>
      </w:r>
      <w:r w:rsidRPr="008608AA">
        <w:rPr>
          <w:i/>
          <w:iCs/>
          <w:noProof/>
        </w:rPr>
        <w:t>Protection of the Waters of the Great Lakes: 2015 Review of the Recommendations in the February 2000 report</w:t>
      </w:r>
      <w:r w:rsidRPr="008608AA">
        <w:rPr>
          <w:noProof/>
        </w:rPr>
        <w:t>.</w:t>
      </w:r>
    </w:p>
    <w:p w14:paraId="35C76261"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IPBES. (2016). </w:t>
      </w:r>
      <w:r w:rsidRPr="008608AA">
        <w:rPr>
          <w:i/>
          <w:iCs/>
          <w:noProof/>
        </w:rPr>
        <w:t>The methodological assessment report on scenarios and models of biodiversity and ecosystem services</w:t>
      </w:r>
      <w:r w:rsidRPr="008608AA">
        <w:rPr>
          <w:noProof/>
        </w:rPr>
        <w:t>. Bonn, Germany.</w:t>
      </w:r>
    </w:p>
    <w:p w14:paraId="3D15F822"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IPCC. (2013a). </w:t>
      </w:r>
      <w:r w:rsidRPr="008608AA">
        <w:rPr>
          <w:i/>
          <w:iCs/>
          <w:noProof/>
        </w:rPr>
        <w:t>Climate Change 2013: The Physical Science Basis. Contribution of Working Group I to the Fifth Assessment Report of the Intergovern- mental Panel on Climate Change</w:t>
      </w:r>
      <w:r w:rsidRPr="008608AA">
        <w:rPr>
          <w:noProof/>
        </w:rPr>
        <w:t>. [Stocker, T.F., D. Qin, G.-K. Plattner, M. Tignor, S.K. Allen, J. Boschung, A. Nauels, Y. Xia, V. Bex and P.M. Midgley (eds.)].  Cambridge, United Kingdom and New York, NY, USA: Cambridge University Press.</w:t>
      </w:r>
    </w:p>
    <w:p w14:paraId="0EDD027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IPCC. (2013b). </w:t>
      </w:r>
      <w:r w:rsidRPr="008608AA">
        <w:rPr>
          <w:i/>
          <w:iCs/>
          <w:noProof/>
        </w:rPr>
        <w:t>Summary for policymakers. In: Stocker, T.F., Qin, D., Plattner, G.K., Tignor, M., Allen, S.K., Boschung, J., Nauels, A., Xia, Y., Bex, V., Midgley, P.M. (Eds.), Climate Change 2013: The Physical Science Basis. Contribution of Working Group I</w:t>
      </w:r>
      <w:r w:rsidRPr="008608AA">
        <w:rPr>
          <w:noProof/>
        </w:rPr>
        <w:t>.</w:t>
      </w:r>
    </w:p>
    <w:p w14:paraId="4FB4B8CB" w14:textId="77777777" w:rsidR="00B16A15" w:rsidRPr="008608AA" w:rsidRDefault="00B16A15" w:rsidP="00B16A15">
      <w:pPr>
        <w:widowControl w:val="0"/>
        <w:autoSpaceDE w:val="0"/>
        <w:autoSpaceDN w:val="0"/>
        <w:adjustRightInd w:val="0"/>
        <w:ind w:left="709" w:hanging="709"/>
        <w:rPr>
          <w:noProof/>
        </w:rPr>
      </w:pPr>
      <w:r w:rsidRPr="008608AA">
        <w:rPr>
          <w:noProof/>
        </w:rPr>
        <w:t>IPCC. (2014). S</w:t>
      </w:r>
      <w:r w:rsidRPr="008608AA">
        <w:rPr>
          <w:i/>
          <w:noProof/>
        </w:rPr>
        <w:t>ummary for Policymakers. In C. et. al Field (Ed.)</w:t>
      </w:r>
      <w:r w:rsidRPr="008608AA">
        <w:rPr>
          <w:noProof/>
        </w:rPr>
        <w:t xml:space="preserve">, </w:t>
      </w:r>
      <w:r w:rsidRPr="008608AA">
        <w:rPr>
          <w:i/>
          <w:iCs/>
          <w:noProof/>
        </w:rPr>
        <w:t>Climate Change 2014: Impacts, Adaptation, and Vulnerability. Contribution of Working Group II to the Fifth Assessment Report of the Intergovernmental Panel on Climate Change</w:t>
      </w:r>
      <w:r w:rsidRPr="008608AA">
        <w:rPr>
          <w:noProof/>
        </w:rPr>
        <w:t>. Cambridge University Press, Cambridge, United Kingdom and New York, NY, USA.</w:t>
      </w:r>
    </w:p>
    <w:p w14:paraId="63221F9B" w14:textId="77777777" w:rsidR="00B16A15" w:rsidRPr="008608AA" w:rsidRDefault="00B16A15" w:rsidP="00B16A15">
      <w:pPr>
        <w:widowControl w:val="0"/>
        <w:autoSpaceDE w:val="0"/>
        <w:autoSpaceDN w:val="0"/>
        <w:adjustRightInd w:val="0"/>
        <w:ind w:left="709" w:hanging="709"/>
        <w:rPr>
          <w:noProof/>
          <w:lang w:val="de-DE"/>
        </w:rPr>
      </w:pPr>
      <w:r w:rsidRPr="008608AA">
        <w:rPr>
          <w:noProof/>
        </w:rPr>
        <w:t xml:space="preserve">Jarnevich, C., Young, N., Sheffels, T., Carter, J., Sytsma, M., &amp; Talbert, C. (2017). Evaluating simplistic methods to understand current distributions and forecast distribution changes under climate change scenarios: an example with coypu (Myocastor coypus). </w:t>
      </w:r>
      <w:r w:rsidRPr="008608AA">
        <w:rPr>
          <w:i/>
          <w:iCs/>
          <w:noProof/>
          <w:lang w:val="de-DE"/>
        </w:rPr>
        <w:t>NeoBiota</w:t>
      </w:r>
      <w:r w:rsidRPr="008608AA">
        <w:rPr>
          <w:noProof/>
          <w:lang w:val="de-DE"/>
        </w:rPr>
        <w:t xml:space="preserve">, </w:t>
      </w:r>
      <w:r w:rsidRPr="008608AA">
        <w:rPr>
          <w:i/>
          <w:iCs/>
          <w:noProof/>
          <w:lang w:val="de-DE"/>
        </w:rPr>
        <w:t>32</w:t>
      </w:r>
      <w:r w:rsidRPr="008608AA">
        <w:rPr>
          <w:noProof/>
          <w:lang w:val="de-DE"/>
        </w:rPr>
        <w:t xml:space="preserve">, </w:t>
      </w:r>
      <w:r w:rsidRPr="008608AA">
        <w:rPr>
          <w:noProof/>
        </w:rPr>
        <w:t xml:space="preserve">(pp. </w:t>
      </w:r>
      <w:r w:rsidRPr="008608AA">
        <w:rPr>
          <w:noProof/>
          <w:lang w:val="de-DE"/>
        </w:rPr>
        <w:t>107–125). http://doi.org/10.3897/neobiota.32.8884</w:t>
      </w:r>
    </w:p>
    <w:p w14:paraId="2F2371AC" w14:textId="77777777" w:rsidR="00B16A15" w:rsidRPr="008608AA" w:rsidRDefault="00B16A15" w:rsidP="00B16A15">
      <w:pPr>
        <w:widowControl w:val="0"/>
        <w:autoSpaceDE w:val="0"/>
        <w:autoSpaceDN w:val="0"/>
        <w:adjustRightInd w:val="0"/>
        <w:ind w:left="709" w:hanging="709"/>
        <w:rPr>
          <w:noProof/>
        </w:rPr>
      </w:pPr>
      <w:r w:rsidRPr="008608AA">
        <w:rPr>
          <w:noProof/>
          <w:lang w:val="de-DE"/>
        </w:rPr>
        <w:t xml:space="preserve">Jeffries, M. O., Richter-Menge, J. A., &amp; Overland, J. E. (Eds. . </w:t>
      </w:r>
      <w:r w:rsidRPr="008608AA">
        <w:rPr>
          <w:noProof/>
        </w:rPr>
        <w:t>(2013). Arctic Report Card 2013.</w:t>
      </w:r>
    </w:p>
    <w:p w14:paraId="7DCCB0B1"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Johnson, W. C., Millett, B. V, Gilmanov, T., Voldseth, R. A., Guntenspergen, G. R., &amp; Naugle, D. E. (2005). Vulnerability of Northern Prairie Wetlands to Climate Change. </w:t>
      </w:r>
      <w:r w:rsidRPr="008608AA">
        <w:rPr>
          <w:i/>
          <w:iCs/>
          <w:noProof/>
        </w:rPr>
        <w:t>Bioscience</w:t>
      </w:r>
      <w:r w:rsidRPr="008608AA">
        <w:rPr>
          <w:noProof/>
        </w:rPr>
        <w:t xml:space="preserve">, </w:t>
      </w:r>
      <w:r w:rsidRPr="008608AA">
        <w:rPr>
          <w:i/>
          <w:iCs/>
          <w:noProof/>
        </w:rPr>
        <w:t>55</w:t>
      </w:r>
      <w:r w:rsidRPr="008608AA">
        <w:rPr>
          <w:noProof/>
        </w:rPr>
        <w:t>(10), (pp. 863–872). http://doi.org/10.1641/0006-3568</w:t>
      </w:r>
    </w:p>
    <w:p w14:paraId="30A37501" w14:textId="77777777" w:rsidR="00B16A15" w:rsidRPr="008608AA" w:rsidRDefault="00B16A15" w:rsidP="00B16A15">
      <w:pPr>
        <w:widowControl w:val="0"/>
        <w:autoSpaceDE w:val="0"/>
        <w:autoSpaceDN w:val="0"/>
        <w:adjustRightInd w:val="0"/>
        <w:ind w:left="709" w:hanging="709"/>
        <w:rPr>
          <w:noProof/>
          <w:lang w:val="fr-CA"/>
        </w:rPr>
      </w:pPr>
      <w:r w:rsidRPr="00CE0821">
        <w:rPr>
          <w:noProof/>
          <w:lang w:val="es-CO"/>
        </w:rPr>
        <w:t xml:space="preserve">Jordà, G., Marbà, N., &amp; Duarte, C. M. (2012a). </w:t>
      </w:r>
      <w:r w:rsidRPr="008608AA">
        <w:rPr>
          <w:noProof/>
        </w:rPr>
        <w:t xml:space="preserve">Mediterranean seagrass vulnerable to regional climate warming. </w:t>
      </w:r>
      <w:r w:rsidRPr="008608AA">
        <w:rPr>
          <w:i/>
          <w:iCs/>
          <w:noProof/>
          <w:lang w:val="fr-CA"/>
        </w:rPr>
        <w:t>Nature Climate Change</w:t>
      </w:r>
      <w:r w:rsidRPr="008608AA">
        <w:rPr>
          <w:noProof/>
          <w:lang w:val="fr-CA"/>
        </w:rPr>
        <w:t xml:space="preserve">, </w:t>
      </w:r>
      <w:r w:rsidRPr="008608AA">
        <w:rPr>
          <w:i/>
          <w:iCs/>
          <w:noProof/>
          <w:lang w:val="fr-CA"/>
        </w:rPr>
        <w:t>2</w:t>
      </w:r>
      <w:r w:rsidRPr="008608AA">
        <w:rPr>
          <w:noProof/>
          <w:lang w:val="fr-CA"/>
        </w:rPr>
        <w:t>, (pp. 821–824). http://doi.org/10.1038/NCLIMATE1533</w:t>
      </w:r>
    </w:p>
    <w:p w14:paraId="09CC8733" w14:textId="77777777" w:rsidR="00B16A15" w:rsidRPr="008608AA" w:rsidRDefault="00B16A15" w:rsidP="00B16A15">
      <w:pPr>
        <w:widowControl w:val="0"/>
        <w:autoSpaceDE w:val="0"/>
        <w:autoSpaceDN w:val="0"/>
        <w:adjustRightInd w:val="0"/>
        <w:ind w:left="709" w:hanging="709"/>
        <w:rPr>
          <w:noProof/>
        </w:rPr>
      </w:pPr>
      <w:r w:rsidRPr="008608AA">
        <w:rPr>
          <w:noProof/>
          <w:lang w:val="fr-CA"/>
        </w:rPr>
        <w:t xml:space="preserve">Jordà, G., Marbà, N., &amp; Duarte, C. M. (2012b). </w:t>
      </w:r>
      <w:r w:rsidRPr="008608AA">
        <w:rPr>
          <w:noProof/>
        </w:rPr>
        <w:t xml:space="preserve">Mediterranean seagrass vulnerable to regional climate warming. </w:t>
      </w:r>
      <w:r w:rsidRPr="008608AA">
        <w:rPr>
          <w:i/>
          <w:iCs/>
          <w:noProof/>
        </w:rPr>
        <w:t>Nature Climate Change</w:t>
      </w:r>
      <w:r w:rsidRPr="008608AA">
        <w:rPr>
          <w:noProof/>
        </w:rPr>
        <w:t xml:space="preserve">, </w:t>
      </w:r>
      <w:r w:rsidRPr="008608AA">
        <w:rPr>
          <w:i/>
          <w:iCs/>
          <w:noProof/>
        </w:rPr>
        <w:t>2</w:t>
      </w:r>
      <w:r w:rsidRPr="008608AA">
        <w:rPr>
          <w:noProof/>
        </w:rPr>
        <w:t>(11), (pp. 821–824). http://doi.org/10.1038/nclimate1533</w:t>
      </w:r>
    </w:p>
    <w:p w14:paraId="066B6F3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Joshi, D. K., Hughes, B. B., &amp; Sisk, T. D. (2015). Improving Governance for the Post-2015 Sustainable Development Goals: Scenario Forecasting the Next 50years. </w:t>
      </w:r>
      <w:r w:rsidRPr="008608AA">
        <w:rPr>
          <w:i/>
          <w:iCs/>
          <w:noProof/>
        </w:rPr>
        <w:t>World Development</w:t>
      </w:r>
      <w:r w:rsidRPr="008608AA">
        <w:rPr>
          <w:noProof/>
        </w:rPr>
        <w:t xml:space="preserve">, </w:t>
      </w:r>
      <w:r w:rsidRPr="008608AA">
        <w:rPr>
          <w:i/>
          <w:iCs/>
          <w:noProof/>
        </w:rPr>
        <w:t>70</w:t>
      </w:r>
      <w:r w:rsidRPr="008608AA">
        <w:rPr>
          <w:noProof/>
        </w:rPr>
        <w:t>, (pp. 286–302). http://doi.org/10.1016/j.worlddev.2015.01.013</w:t>
      </w:r>
    </w:p>
    <w:p w14:paraId="629679F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Junk, W. J. (2013). </w:t>
      </w:r>
      <w:r w:rsidRPr="008608AA">
        <w:rPr>
          <w:i/>
          <w:noProof/>
        </w:rPr>
        <w:t xml:space="preserve">Current state of knowledge regarding South America wetlands and their future under global climate change. </w:t>
      </w:r>
      <w:r w:rsidRPr="008608AA">
        <w:rPr>
          <w:i/>
          <w:iCs/>
          <w:noProof/>
        </w:rPr>
        <w:t>Aquatic Sciences</w:t>
      </w:r>
      <w:r w:rsidRPr="008608AA">
        <w:rPr>
          <w:noProof/>
        </w:rPr>
        <w:t xml:space="preserve">, </w:t>
      </w:r>
      <w:r w:rsidRPr="008608AA">
        <w:rPr>
          <w:i/>
          <w:iCs/>
          <w:noProof/>
        </w:rPr>
        <w:t>75</w:t>
      </w:r>
      <w:r w:rsidRPr="008608AA">
        <w:rPr>
          <w:noProof/>
        </w:rPr>
        <w:t>, (pp. 113–131).</w:t>
      </w:r>
    </w:p>
    <w:p w14:paraId="41D171D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Kaplan, J. O., &amp; New, M. (2006). Arctic climate change with a 2 </w:t>
      </w:r>
      <w:r w:rsidRPr="008608AA">
        <w:rPr>
          <w:rFonts w:ascii="Cambria Math" w:hAnsi="Cambria Math" w:cs="Cambria Math"/>
          <w:noProof/>
        </w:rPr>
        <w:t>∘</w:t>
      </w:r>
      <w:r w:rsidRPr="008608AA">
        <w:rPr>
          <w:noProof/>
        </w:rPr>
        <w:t xml:space="preserve">C global warming: Timing, climate patterns and vegetation change. </w:t>
      </w:r>
      <w:r w:rsidRPr="008608AA">
        <w:rPr>
          <w:i/>
          <w:iCs/>
          <w:noProof/>
        </w:rPr>
        <w:t>Climatic Change</w:t>
      </w:r>
      <w:r w:rsidRPr="008608AA">
        <w:rPr>
          <w:noProof/>
        </w:rPr>
        <w:t xml:space="preserve">, </w:t>
      </w:r>
      <w:r w:rsidRPr="008608AA">
        <w:rPr>
          <w:i/>
          <w:iCs/>
          <w:noProof/>
        </w:rPr>
        <w:t>79</w:t>
      </w:r>
      <w:r w:rsidRPr="008608AA">
        <w:rPr>
          <w:noProof/>
        </w:rPr>
        <w:t>(3–4), (pp. 213–241). http://doi.org/10.1007/s10584-006-9113-7</w:t>
      </w:r>
    </w:p>
    <w:p w14:paraId="1B0903AC"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Keenan, R. J., Reams, G. A., Achard, F., de Freitas, J. V., Grainger, A., &amp; Lindquist, E. (2015). Dynamics of global forest area: Results from the FAO Global Forest Resources Assessment 2015. </w:t>
      </w:r>
      <w:r w:rsidRPr="008608AA">
        <w:rPr>
          <w:i/>
          <w:iCs/>
          <w:noProof/>
        </w:rPr>
        <w:t>Forest Ecology and Management</w:t>
      </w:r>
      <w:r w:rsidRPr="008608AA">
        <w:rPr>
          <w:noProof/>
        </w:rPr>
        <w:t xml:space="preserve">, </w:t>
      </w:r>
      <w:r w:rsidRPr="008608AA">
        <w:rPr>
          <w:i/>
          <w:iCs/>
          <w:noProof/>
        </w:rPr>
        <w:t>352</w:t>
      </w:r>
      <w:r w:rsidRPr="008608AA">
        <w:rPr>
          <w:noProof/>
        </w:rPr>
        <w:t>, (pp. 9–20). http://doi.org/10.1016/j.foreco.2015.06.014</w:t>
      </w:r>
    </w:p>
    <w:p w14:paraId="43DEAAA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Kirkman, H. (1997). </w:t>
      </w:r>
      <w:r w:rsidRPr="008608AA">
        <w:rPr>
          <w:i/>
          <w:iCs/>
          <w:noProof/>
        </w:rPr>
        <w:t>Seagrasses of Australia</w:t>
      </w:r>
      <w:r w:rsidRPr="008608AA">
        <w:rPr>
          <w:noProof/>
        </w:rPr>
        <w:t xml:space="preserve"> (Australia: State of the Environment Technical Paper Series (Estuaries and the Sea)).</w:t>
      </w:r>
    </w:p>
    <w:p w14:paraId="5045F2AE" w14:textId="77777777" w:rsidR="00B16A15" w:rsidRPr="008608AA" w:rsidRDefault="00B16A15" w:rsidP="00B16A15">
      <w:pPr>
        <w:widowControl w:val="0"/>
        <w:autoSpaceDE w:val="0"/>
        <w:autoSpaceDN w:val="0"/>
        <w:adjustRightInd w:val="0"/>
        <w:ind w:left="709" w:hanging="709"/>
        <w:rPr>
          <w:noProof/>
        </w:rPr>
      </w:pPr>
      <w:r w:rsidRPr="008608AA">
        <w:rPr>
          <w:noProof/>
          <w:lang w:val="de-DE"/>
        </w:rPr>
        <w:t xml:space="preserve">Klatt, B. J., &amp; Gehring, J. L. (2013). </w:t>
      </w:r>
      <w:r w:rsidRPr="008608AA">
        <w:rPr>
          <w:i/>
          <w:iCs/>
          <w:noProof/>
        </w:rPr>
        <w:t>Assessing Bat Community Structure in Riparian and Agricultural Habitats in a High Wind Resource Area of Southeast Michigan – A Preliminary Analysis - Report Number 2013-05</w:t>
      </w:r>
      <w:r w:rsidRPr="008608AA">
        <w:rPr>
          <w:noProof/>
        </w:rPr>
        <w:t>. Lansing, MI.</w:t>
      </w:r>
    </w:p>
    <w:p w14:paraId="267BDC8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Knowlton, N. (2001). The future of coral reefs. </w:t>
      </w:r>
      <w:r w:rsidRPr="008608AA">
        <w:rPr>
          <w:i/>
          <w:iCs/>
          <w:noProof/>
        </w:rPr>
        <w:t>Proceedings of the National Academy of Sciences of the United States of America</w:t>
      </w:r>
      <w:r w:rsidRPr="008608AA">
        <w:rPr>
          <w:noProof/>
        </w:rPr>
        <w:t xml:space="preserve">, </w:t>
      </w:r>
      <w:r w:rsidRPr="008608AA">
        <w:rPr>
          <w:i/>
          <w:iCs/>
          <w:noProof/>
        </w:rPr>
        <w:t>98</w:t>
      </w:r>
      <w:r w:rsidRPr="008608AA">
        <w:rPr>
          <w:noProof/>
        </w:rPr>
        <w:t>(10), (pp. 5419–25). http://doi.org/10.1073/pnas.091092998</w:t>
      </w:r>
    </w:p>
    <w:p w14:paraId="78C7B5F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Koch, M., Bowes, G., Ross, C., &amp; Zhang, X.-H. (2013). Climate change and ocean acidification effects on seagrasses and marine macroalgae. </w:t>
      </w:r>
      <w:r w:rsidRPr="008608AA">
        <w:rPr>
          <w:i/>
          <w:iCs/>
          <w:noProof/>
        </w:rPr>
        <w:t>Global Change Biology</w:t>
      </w:r>
      <w:r w:rsidRPr="008608AA">
        <w:rPr>
          <w:noProof/>
        </w:rPr>
        <w:t xml:space="preserve">, </w:t>
      </w:r>
      <w:r w:rsidRPr="008608AA">
        <w:rPr>
          <w:i/>
          <w:iCs/>
          <w:noProof/>
        </w:rPr>
        <w:t>19</w:t>
      </w:r>
      <w:r w:rsidRPr="008608AA">
        <w:rPr>
          <w:noProof/>
        </w:rPr>
        <w:t>(1), (pp. 103–132). http://doi.org/10.1111/j.1365-2486.2012.02791.x</w:t>
      </w:r>
    </w:p>
    <w:p w14:paraId="209C311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Kok, M. T. J., Kok, K., Peterson, G. D., Hill, R., Agard, J., &amp; Carpenter, S. R. (2017). Biodiversity and ecosystem services require IPBES to take novel approach to scenarios. </w:t>
      </w:r>
      <w:r w:rsidRPr="008608AA">
        <w:rPr>
          <w:i/>
          <w:iCs/>
          <w:noProof/>
        </w:rPr>
        <w:t>Sustainability Science</w:t>
      </w:r>
      <w:r w:rsidRPr="008608AA">
        <w:rPr>
          <w:noProof/>
        </w:rPr>
        <w:t xml:space="preserve">, </w:t>
      </w:r>
      <w:r w:rsidRPr="008608AA">
        <w:rPr>
          <w:i/>
          <w:iCs/>
          <w:noProof/>
        </w:rPr>
        <w:t>12</w:t>
      </w:r>
      <w:r w:rsidRPr="008608AA">
        <w:rPr>
          <w:noProof/>
        </w:rPr>
        <w:t>(1), (pp. 177–181). http://doi.org/10.1007/s11625-016-0354-8</w:t>
      </w:r>
    </w:p>
    <w:p w14:paraId="231475C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Krause-Jensen, D., Sagert, S., Schubert, H., &amp; Boström, C. (2008). Empirical relationships linking distribution and abundance of marine vegetation to eutrophication. </w:t>
      </w:r>
      <w:r w:rsidRPr="008608AA">
        <w:rPr>
          <w:i/>
          <w:iCs/>
          <w:noProof/>
        </w:rPr>
        <w:t>Ecological Indicators</w:t>
      </w:r>
      <w:r w:rsidRPr="008608AA">
        <w:rPr>
          <w:noProof/>
        </w:rPr>
        <w:t xml:space="preserve">, </w:t>
      </w:r>
      <w:r w:rsidRPr="008608AA">
        <w:rPr>
          <w:i/>
          <w:iCs/>
          <w:noProof/>
        </w:rPr>
        <w:t>8</w:t>
      </w:r>
      <w:r w:rsidRPr="008608AA">
        <w:rPr>
          <w:noProof/>
        </w:rPr>
        <w:t>(5), (pp. 515–529). http://doi.org/10.1016/j.ecolind.2007.06.004</w:t>
      </w:r>
    </w:p>
    <w:p w14:paraId="62F844F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Kremen, C. (2015). </w:t>
      </w:r>
      <w:r w:rsidRPr="008608AA">
        <w:rPr>
          <w:i/>
          <w:noProof/>
        </w:rPr>
        <w:t xml:space="preserve">Reframing the land-sparing/land-sharing debate for biodiversity conservation. </w:t>
      </w:r>
      <w:r w:rsidRPr="008608AA">
        <w:rPr>
          <w:i/>
          <w:iCs/>
          <w:noProof/>
        </w:rPr>
        <w:t>Annals of the New York Academy of Sciences</w:t>
      </w:r>
      <w:r w:rsidRPr="008608AA">
        <w:rPr>
          <w:noProof/>
        </w:rPr>
        <w:t xml:space="preserve">, </w:t>
      </w:r>
      <w:r w:rsidRPr="008608AA">
        <w:rPr>
          <w:i/>
          <w:iCs/>
          <w:noProof/>
        </w:rPr>
        <w:t>1355</w:t>
      </w:r>
      <w:r w:rsidRPr="008608AA">
        <w:rPr>
          <w:noProof/>
        </w:rPr>
        <w:t>(1), (pp. 52–76). http://doi.org/10.1111/nyas.12845</w:t>
      </w:r>
    </w:p>
    <w:p w14:paraId="697B7FF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Kubiszewski, I., Costanza, R., Anderson, S., &amp; Sutton, P. (2017a). The future value of ecosystem services: Global scenarios and national implications. </w:t>
      </w:r>
      <w:r w:rsidRPr="008608AA">
        <w:rPr>
          <w:i/>
          <w:iCs/>
          <w:noProof/>
        </w:rPr>
        <w:t>Ecosystem Services</w:t>
      </w:r>
      <w:r w:rsidRPr="008608AA">
        <w:rPr>
          <w:noProof/>
        </w:rPr>
        <w:t xml:space="preserve">, </w:t>
      </w:r>
      <w:r w:rsidRPr="008608AA">
        <w:rPr>
          <w:i/>
          <w:iCs/>
          <w:noProof/>
        </w:rPr>
        <w:t>26</w:t>
      </w:r>
      <w:r w:rsidRPr="008608AA">
        <w:rPr>
          <w:noProof/>
        </w:rPr>
        <w:t>, (pp. 289–301). http://doi.org/10.1016/j.ecoser.2017.05.004</w:t>
      </w:r>
    </w:p>
    <w:p w14:paraId="41EA0432"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Kubiszewski, I., Costanza, R., Anderson, S., &amp; Sutton, P. (2017b). The future value of ecosystem services: Global scenarios and national implications. </w:t>
      </w:r>
      <w:r w:rsidRPr="008608AA">
        <w:rPr>
          <w:i/>
          <w:iCs/>
          <w:noProof/>
        </w:rPr>
        <w:t>Ecosystem Services</w:t>
      </w:r>
      <w:r w:rsidRPr="008608AA">
        <w:rPr>
          <w:noProof/>
        </w:rPr>
        <w:t xml:space="preserve">, </w:t>
      </w:r>
      <w:r w:rsidRPr="008608AA">
        <w:rPr>
          <w:i/>
          <w:iCs/>
          <w:noProof/>
        </w:rPr>
        <w:t>26</w:t>
      </w:r>
      <w:r w:rsidRPr="008608AA">
        <w:rPr>
          <w:noProof/>
        </w:rPr>
        <w:t>, (pp. 289–301). http://doi.org/10.1016/j.ecoser.2017.05.004</w:t>
      </w:r>
    </w:p>
    <w:p w14:paraId="49AFD29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Kunz, T. H., Arnett, E. B., Cooper, B. M., Erickson, W. P., Larkin, R. P., Mabee, T., Morrison, M. L., Strickland, M. D., &amp; Szewczak, J. M. (2007). Assessing Impacts of Wind-Energy Development on Nocturnally Active Birds and Bats: A Guidance Document. </w:t>
      </w:r>
      <w:r w:rsidRPr="008608AA">
        <w:rPr>
          <w:i/>
          <w:iCs/>
          <w:noProof/>
        </w:rPr>
        <w:t>Journal of Wildlife Management</w:t>
      </w:r>
      <w:r w:rsidRPr="008608AA">
        <w:rPr>
          <w:noProof/>
        </w:rPr>
        <w:t xml:space="preserve">, </w:t>
      </w:r>
      <w:r w:rsidRPr="008608AA">
        <w:rPr>
          <w:i/>
          <w:iCs/>
          <w:noProof/>
        </w:rPr>
        <w:t>71</w:t>
      </w:r>
      <w:r w:rsidRPr="008608AA">
        <w:rPr>
          <w:noProof/>
        </w:rPr>
        <w:t>(8), 2449–2486. https://doi.org/10.2193/2007-270</w:t>
      </w:r>
    </w:p>
    <w:p w14:paraId="792F08A7"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Laboratory, E. (1987). </w:t>
      </w:r>
      <w:r w:rsidRPr="008608AA">
        <w:rPr>
          <w:i/>
          <w:iCs/>
          <w:noProof/>
        </w:rPr>
        <w:t>Corps of Engineers Wetlands Delineation Manual</w:t>
      </w:r>
      <w:r w:rsidRPr="008608AA">
        <w:rPr>
          <w:noProof/>
        </w:rPr>
        <w:t xml:space="preserve"> (Vol. 1). Vicksburg, Mississippi USA.</w:t>
      </w:r>
    </w:p>
    <w:p w14:paraId="1C6BDD0A" w14:textId="77777777" w:rsidR="00B16A15" w:rsidRPr="00CE0821" w:rsidRDefault="00B16A15" w:rsidP="00B16A15">
      <w:pPr>
        <w:widowControl w:val="0"/>
        <w:autoSpaceDE w:val="0"/>
        <w:autoSpaceDN w:val="0"/>
        <w:adjustRightInd w:val="0"/>
        <w:ind w:left="709" w:hanging="709"/>
        <w:rPr>
          <w:noProof/>
        </w:rPr>
      </w:pPr>
      <w:r w:rsidRPr="008608AA">
        <w:rPr>
          <w:noProof/>
        </w:rPr>
        <w:t xml:space="preserve">Lambin, E. F., Gibbs, H. K., Ferreira, L., Grau, R., Mayaux, P., Meyfroidt, P., Morton, D. C., Rudel, T. K., Gasparri, I., &amp; Munger, J. (2013). Estimating the world’s potentially available cropland using a bottom-up approach. </w:t>
      </w:r>
      <w:r w:rsidRPr="00CE0821">
        <w:rPr>
          <w:i/>
          <w:iCs/>
          <w:noProof/>
        </w:rPr>
        <w:t>Global Environmental Change</w:t>
      </w:r>
      <w:r w:rsidRPr="00CE0821">
        <w:rPr>
          <w:noProof/>
        </w:rPr>
        <w:t xml:space="preserve">, </w:t>
      </w:r>
      <w:r w:rsidRPr="00CE0821">
        <w:rPr>
          <w:i/>
          <w:iCs/>
          <w:noProof/>
        </w:rPr>
        <w:t>23</w:t>
      </w:r>
      <w:r w:rsidRPr="00CE0821">
        <w:rPr>
          <w:noProof/>
        </w:rPr>
        <w:t>(5), 892–901. https://doi.org/10.1016/J.GLOENVCHA.2013.05.005</w:t>
      </w:r>
    </w:p>
    <w:p w14:paraId="710B9189" w14:textId="77777777" w:rsidR="00B16A15" w:rsidRPr="008608AA" w:rsidRDefault="00B16A15" w:rsidP="00B16A15">
      <w:pPr>
        <w:widowControl w:val="0"/>
        <w:autoSpaceDE w:val="0"/>
        <w:autoSpaceDN w:val="0"/>
        <w:adjustRightInd w:val="0"/>
        <w:ind w:left="709" w:hanging="709"/>
        <w:rPr>
          <w:noProof/>
        </w:rPr>
      </w:pPr>
      <w:r w:rsidRPr="00CE0821">
        <w:rPr>
          <w:noProof/>
        </w:rPr>
        <w:t xml:space="preserve">Lapola, D. M., Martinelli, L. A., Peres, C. A., Ometto, J. P. H. B., Ferreira, M. E., Nobre, C. A., Aguiar, A. P. D., Bustamante, M. M. C., Cardoso, M. F., Costa, M. H., Joly, C. A., Leite, C. C., Moutinho, P., Sampaio, G., Strassburg, B. B. N., &amp; Vieira, I. C. G. (2013). </w:t>
      </w:r>
      <w:r w:rsidRPr="008608AA">
        <w:rPr>
          <w:noProof/>
        </w:rPr>
        <w:t xml:space="preserve">Pervasive transition of the Brazilian land-use system. </w:t>
      </w:r>
      <w:r w:rsidRPr="008608AA">
        <w:rPr>
          <w:i/>
          <w:iCs/>
          <w:noProof/>
        </w:rPr>
        <w:t>Nature Climate Change</w:t>
      </w:r>
      <w:r w:rsidRPr="008608AA">
        <w:rPr>
          <w:noProof/>
        </w:rPr>
        <w:t xml:space="preserve">, </w:t>
      </w:r>
      <w:r w:rsidRPr="008608AA">
        <w:rPr>
          <w:i/>
          <w:iCs/>
          <w:noProof/>
        </w:rPr>
        <w:t>4</w:t>
      </w:r>
      <w:r w:rsidRPr="008608AA">
        <w:rPr>
          <w:noProof/>
        </w:rPr>
        <w:t>(1), 27–35. https://doi.org/10.1038/nclimate2056</w:t>
      </w:r>
    </w:p>
    <w:p w14:paraId="63DB2AD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Lara, M. J., Johnson, D. R., Andresen, C., Hollister, R. D., &amp; Tweedie, C. E. (2017). Peak season carbon exchange shifts from a sink to a source following 50+ years of herbivore exclusion in an Arctic tundra ecosystem. </w:t>
      </w:r>
      <w:r w:rsidRPr="008608AA">
        <w:rPr>
          <w:i/>
          <w:iCs/>
          <w:noProof/>
        </w:rPr>
        <w:t>Journal of Ecology</w:t>
      </w:r>
      <w:r w:rsidRPr="008608AA">
        <w:rPr>
          <w:noProof/>
        </w:rPr>
        <w:t xml:space="preserve">, </w:t>
      </w:r>
      <w:r w:rsidRPr="008608AA">
        <w:rPr>
          <w:i/>
          <w:iCs/>
          <w:noProof/>
        </w:rPr>
        <w:t>105</w:t>
      </w:r>
      <w:r w:rsidRPr="008608AA">
        <w:rPr>
          <w:noProof/>
        </w:rPr>
        <w:t>(1), (pp. 122–131).</w:t>
      </w:r>
    </w:p>
    <w:p w14:paraId="6A07F79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Lara, L. B. L., Artaxo, P., Martinelli, L., Victoria, R., Camargo, P., Krusche, A., Ayers, G., Ferraz, E. S., &amp; Ballester, M. (2001). Chemical composition of rainwater and anthropogenic influences in the Piracicaba River Basin, Southeast Brazil. </w:t>
      </w:r>
      <w:r w:rsidRPr="008608AA">
        <w:rPr>
          <w:i/>
          <w:iCs/>
          <w:noProof/>
        </w:rPr>
        <w:t>Atmospheric Environment</w:t>
      </w:r>
      <w:r w:rsidRPr="008608AA">
        <w:rPr>
          <w:noProof/>
        </w:rPr>
        <w:t xml:space="preserve">, </w:t>
      </w:r>
      <w:r w:rsidRPr="008608AA">
        <w:rPr>
          <w:i/>
          <w:iCs/>
          <w:noProof/>
        </w:rPr>
        <w:t>35</w:t>
      </w:r>
      <w:r w:rsidRPr="008608AA">
        <w:rPr>
          <w:noProof/>
        </w:rPr>
        <w:t>(29), 4937–4945. https://doi.org/10.1016/S1352-2310(01)00198-4</w:t>
      </w:r>
    </w:p>
    <w:p w14:paraId="4EB2222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Latawiec, A. E., Strassburg, B. B. N., Rodriguez, A. M., Matt, E., Nijbroek, R., &amp; Silos, M. (2014). Suriname: Reconciling agricultural development and conservation of unique natural wealth. </w:t>
      </w:r>
      <w:r w:rsidRPr="008608AA">
        <w:rPr>
          <w:i/>
          <w:iCs/>
          <w:noProof/>
        </w:rPr>
        <w:t>Land Use Policy</w:t>
      </w:r>
      <w:r w:rsidRPr="008608AA">
        <w:rPr>
          <w:noProof/>
        </w:rPr>
        <w:t xml:space="preserve">, </w:t>
      </w:r>
      <w:r w:rsidRPr="008608AA">
        <w:rPr>
          <w:i/>
          <w:iCs/>
          <w:noProof/>
        </w:rPr>
        <w:t>38</w:t>
      </w:r>
      <w:r w:rsidRPr="008608AA">
        <w:rPr>
          <w:noProof/>
        </w:rPr>
        <w:t>(38), (pp. 627–636). http://doi.org/10.1016/j.landusepol.2014.01.007</w:t>
      </w:r>
    </w:p>
    <w:p w14:paraId="22D4811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Laterra, P., Orúe, M. E., &amp; Booman, G. C. (2012). Spatial complexity and ecosystem services in rural landscapes. </w:t>
      </w:r>
      <w:r w:rsidRPr="008608AA">
        <w:rPr>
          <w:i/>
          <w:iCs/>
          <w:noProof/>
        </w:rPr>
        <w:t>Agriculture, Ecosystems &amp; Environment</w:t>
      </w:r>
      <w:r w:rsidRPr="008608AA">
        <w:rPr>
          <w:noProof/>
        </w:rPr>
        <w:t xml:space="preserve">, </w:t>
      </w:r>
      <w:r w:rsidRPr="008608AA">
        <w:rPr>
          <w:i/>
          <w:iCs/>
          <w:noProof/>
        </w:rPr>
        <w:t>154</w:t>
      </w:r>
      <w:r w:rsidRPr="008608AA">
        <w:rPr>
          <w:noProof/>
        </w:rPr>
        <w:t>, (pp. 56–67). http://doi.org/10.1016/j.agee.2011.05.013</w:t>
      </w:r>
    </w:p>
    <w:p w14:paraId="4D692A2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Laurance, W. F., Oliveira, A. A., Laurance, S. G., Condit, R., Nascimento, H. E. M., Sanchez-Thorin, A. C., Lovejoy, T. E., Andrade, A., D’Angelo, S., Ribeiro, J. E., &amp; Dick, C. W. (2004). Pervasive alteration of tree communities in undisturbed Amazonian forests. </w:t>
      </w:r>
      <w:r w:rsidRPr="008608AA">
        <w:rPr>
          <w:i/>
          <w:iCs/>
          <w:noProof/>
        </w:rPr>
        <w:t>Nature</w:t>
      </w:r>
      <w:r w:rsidRPr="008608AA">
        <w:rPr>
          <w:noProof/>
        </w:rPr>
        <w:t xml:space="preserve">, </w:t>
      </w:r>
      <w:r w:rsidRPr="008608AA">
        <w:rPr>
          <w:i/>
          <w:iCs/>
          <w:noProof/>
        </w:rPr>
        <w:t>428</w:t>
      </w:r>
      <w:r w:rsidRPr="008608AA">
        <w:rPr>
          <w:noProof/>
        </w:rPr>
        <w:t>(6979), 171–175. https://doi.org/10.1038/nature02383</w:t>
      </w:r>
    </w:p>
    <w:p w14:paraId="56839327"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Lawler, J. J., Lewis, D. J., Nelson, E., Plantinga, A. J., Polasky, S., Withey, J. C., Helmers, D. P., Martinuzzi, S., Pennington, D., &amp; Radeloff, V. C. (2014). Projected land-use change impacts on ecosystem services in the United States. </w:t>
      </w:r>
      <w:r w:rsidRPr="008608AA">
        <w:rPr>
          <w:i/>
          <w:iCs/>
          <w:noProof/>
        </w:rPr>
        <w:t>Proceedings of the National Academy of Sciences of the United States of America</w:t>
      </w:r>
      <w:r w:rsidRPr="008608AA">
        <w:rPr>
          <w:noProof/>
        </w:rPr>
        <w:t xml:space="preserve">, </w:t>
      </w:r>
      <w:r w:rsidRPr="008608AA">
        <w:rPr>
          <w:i/>
          <w:iCs/>
          <w:noProof/>
        </w:rPr>
        <w:t>111</w:t>
      </w:r>
      <w:r w:rsidRPr="008608AA">
        <w:rPr>
          <w:noProof/>
        </w:rPr>
        <w:t>(20), 7492–7497. https://doi.org/10.1073/pnas.1405557111</w:t>
      </w:r>
    </w:p>
    <w:p w14:paraId="10B12FB7" w14:textId="77777777" w:rsidR="00B16A15" w:rsidRPr="008608AA" w:rsidRDefault="00B16A15" w:rsidP="00B16A15">
      <w:pPr>
        <w:widowControl w:val="0"/>
        <w:autoSpaceDE w:val="0"/>
        <w:autoSpaceDN w:val="0"/>
        <w:adjustRightInd w:val="0"/>
        <w:ind w:left="709" w:hanging="709"/>
        <w:rPr>
          <w:noProof/>
          <w:lang w:val="pt-BR"/>
        </w:rPr>
      </w:pPr>
      <w:r w:rsidRPr="008608AA">
        <w:rPr>
          <w:noProof/>
        </w:rPr>
        <w:t xml:space="preserve">Lawrence, D., &amp; Vandecar, K. (2014). Effects of tropical deforestation on climate and agriculture. </w:t>
      </w:r>
      <w:r w:rsidRPr="008608AA">
        <w:rPr>
          <w:i/>
          <w:iCs/>
          <w:noProof/>
          <w:lang w:val="pt-BR"/>
        </w:rPr>
        <w:t>Nature Climate Change</w:t>
      </w:r>
      <w:r w:rsidRPr="008608AA">
        <w:rPr>
          <w:noProof/>
          <w:lang w:val="pt-BR"/>
        </w:rPr>
        <w:t xml:space="preserve">, </w:t>
      </w:r>
      <w:r w:rsidRPr="008608AA">
        <w:rPr>
          <w:i/>
          <w:iCs/>
          <w:noProof/>
          <w:lang w:val="pt-BR"/>
        </w:rPr>
        <w:t>5</w:t>
      </w:r>
      <w:r w:rsidRPr="008608AA">
        <w:rPr>
          <w:noProof/>
          <w:lang w:val="pt-BR"/>
        </w:rPr>
        <w:t>(1), (pp. 27–36). http://doi.org/10.1038/nclimate2430</w:t>
      </w:r>
    </w:p>
    <w:p w14:paraId="78802C36" w14:textId="77777777" w:rsidR="00B16A15" w:rsidRPr="008608AA" w:rsidRDefault="00B16A15" w:rsidP="00B16A15">
      <w:pPr>
        <w:widowControl w:val="0"/>
        <w:autoSpaceDE w:val="0"/>
        <w:autoSpaceDN w:val="0"/>
        <w:adjustRightInd w:val="0"/>
        <w:ind w:left="709" w:hanging="709"/>
        <w:rPr>
          <w:noProof/>
        </w:rPr>
      </w:pPr>
      <w:r w:rsidRPr="008608AA">
        <w:rPr>
          <w:noProof/>
          <w:lang w:val="pt-BR"/>
        </w:rPr>
        <w:t xml:space="preserve">Leadley, P., Pereira, H. M., Alkemade, R., Fernandez-Manjarrés, J. F., Proença, V., Scharlemann, J. P. W., &amp; Walpole, M. J. (2010). </w:t>
      </w:r>
      <w:r w:rsidRPr="008608AA">
        <w:rPr>
          <w:i/>
          <w:iCs/>
          <w:noProof/>
        </w:rPr>
        <w:t>Biodiversity Scenarios: Projections of 21st century change in biodiversity and associated ecosystem services. CBD Technical Series No. 50</w:t>
      </w:r>
      <w:r w:rsidRPr="008608AA">
        <w:rPr>
          <w:noProof/>
        </w:rPr>
        <w:t>. Montreal.</w:t>
      </w:r>
    </w:p>
    <w:p w14:paraId="682CFE50"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Lenton, T. M. (2012). </w:t>
      </w:r>
      <w:r w:rsidRPr="008608AA">
        <w:rPr>
          <w:i/>
          <w:noProof/>
        </w:rPr>
        <w:t xml:space="preserve">Arctic Climate Tipping Points. </w:t>
      </w:r>
      <w:r w:rsidRPr="008608AA">
        <w:rPr>
          <w:i/>
          <w:iCs/>
          <w:noProof/>
          <w:lang w:val="es-CO"/>
        </w:rPr>
        <w:t>AMBIO</w:t>
      </w:r>
      <w:r w:rsidRPr="008608AA">
        <w:rPr>
          <w:noProof/>
          <w:lang w:val="es-CO"/>
        </w:rPr>
        <w:t xml:space="preserve">, </w:t>
      </w:r>
      <w:r w:rsidRPr="008608AA">
        <w:rPr>
          <w:i/>
          <w:iCs/>
          <w:noProof/>
          <w:lang w:val="es-CO"/>
        </w:rPr>
        <w:t>41</w:t>
      </w:r>
      <w:r w:rsidRPr="008608AA">
        <w:rPr>
          <w:noProof/>
          <w:lang w:val="es-CO"/>
        </w:rPr>
        <w:t>(1), (pp. 10–22). http://doi.org/10.1007/s13280-011-0221-x</w:t>
      </w:r>
    </w:p>
    <w:p w14:paraId="2125361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Les, D. H. D., Cleland, M., &amp; Waycott, M. (1997). Phylogenetic studies in Alismatidae, II: Evolution of Marine Angiosperms (seagrasses) and Hydrophily. </w:t>
      </w:r>
      <w:r w:rsidRPr="008608AA">
        <w:rPr>
          <w:i/>
          <w:iCs/>
          <w:noProof/>
        </w:rPr>
        <w:t>Systematic Botany</w:t>
      </w:r>
      <w:r w:rsidRPr="008608AA">
        <w:rPr>
          <w:noProof/>
        </w:rPr>
        <w:t xml:space="preserve">, </w:t>
      </w:r>
      <w:r w:rsidRPr="008608AA">
        <w:rPr>
          <w:i/>
          <w:iCs/>
          <w:noProof/>
        </w:rPr>
        <w:t>22</w:t>
      </w:r>
      <w:r w:rsidRPr="008608AA">
        <w:rPr>
          <w:noProof/>
        </w:rPr>
        <w:t>, (pp. 443–463).</w:t>
      </w:r>
    </w:p>
    <w:p w14:paraId="2B98702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Lewis, S. L., Malhi, Y., &amp; Phillips, O. L. (2004). Fingerprinting the impacts of global change on tropical forests. </w:t>
      </w:r>
      <w:r w:rsidRPr="008608AA">
        <w:rPr>
          <w:i/>
          <w:iCs/>
          <w:noProof/>
        </w:rPr>
        <w:t>Philosophical Transactions of the Royal Society B: Biological Sciences</w:t>
      </w:r>
      <w:r w:rsidRPr="008608AA">
        <w:rPr>
          <w:noProof/>
        </w:rPr>
        <w:t xml:space="preserve">, </w:t>
      </w:r>
      <w:r w:rsidRPr="008608AA">
        <w:rPr>
          <w:i/>
          <w:iCs/>
          <w:noProof/>
        </w:rPr>
        <w:t>359</w:t>
      </w:r>
      <w:r w:rsidRPr="008608AA">
        <w:rPr>
          <w:noProof/>
        </w:rPr>
        <w:t>(1443), (pp. 437–462). http://doi.org/10.1098/rstb.2003.1432</w:t>
      </w:r>
    </w:p>
    <w:p w14:paraId="1212C483" w14:textId="77777777" w:rsidR="00B16A15" w:rsidRPr="008608AA" w:rsidRDefault="00B16A15" w:rsidP="00B16A15">
      <w:pPr>
        <w:widowControl w:val="0"/>
        <w:autoSpaceDE w:val="0"/>
        <w:autoSpaceDN w:val="0"/>
        <w:adjustRightInd w:val="0"/>
        <w:ind w:left="709" w:hanging="709"/>
        <w:rPr>
          <w:noProof/>
        </w:rPr>
      </w:pPr>
      <w:r w:rsidRPr="008608AA">
        <w:rPr>
          <w:noProof/>
          <w:lang w:val="de-DE"/>
        </w:rPr>
        <w:t xml:space="preserve">Li, J., Luo, Y., Natali, S., Schuur, E. A. G., Xia, J., Kowalczyk, E., &amp; Wang, Y. (2014). </w:t>
      </w:r>
      <w:r w:rsidRPr="008608AA">
        <w:rPr>
          <w:noProof/>
        </w:rPr>
        <w:t xml:space="preserve">Modeling permafrost thaw and ecosystem carbon cycle under annual and seasonal warming at an Arctic tundra site in Alaska. </w:t>
      </w:r>
      <w:r w:rsidRPr="008608AA">
        <w:rPr>
          <w:i/>
          <w:iCs/>
          <w:noProof/>
        </w:rPr>
        <w:t>Journal of Geophysical Research: Biogeosciences</w:t>
      </w:r>
      <w:r w:rsidRPr="008608AA">
        <w:rPr>
          <w:noProof/>
        </w:rPr>
        <w:t>. http://doi.org/10.1002/2013JG002569</w:t>
      </w:r>
    </w:p>
    <w:p w14:paraId="7509883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Liu, J., Hull, V., Batistella, M., DeFries, R., Dietz, T., Fu, F., Hertel, T. W., Izaurralde, R. C., Lambin, E. F., Li, S., Martinelli, L. A., McConnell, W. J., Moran, E. F., Naylor, R., Ouyang, Z., Polenske, K. R., Reenberg, A., de Miranda Rocha, G., Simmons, C. S., Verburg, P. H., Vitousek, P. M., Zhang, F., &amp; Zhu, C. (2013). Framing Sustainability in a Telecoupled World. </w:t>
      </w:r>
      <w:r w:rsidRPr="008608AA">
        <w:rPr>
          <w:i/>
          <w:iCs/>
          <w:noProof/>
        </w:rPr>
        <w:t>Ecology and Society</w:t>
      </w:r>
      <w:r w:rsidRPr="008608AA">
        <w:rPr>
          <w:noProof/>
        </w:rPr>
        <w:t xml:space="preserve">, </w:t>
      </w:r>
      <w:r w:rsidRPr="008608AA">
        <w:rPr>
          <w:i/>
          <w:iCs/>
          <w:noProof/>
        </w:rPr>
        <w:t>18</w:t>
      </w:r>
      <w:r w:rsidRPr="008608AA">
        <w:rPr>
          <w:noProof/>
        </w:rPr>
        <w:t>(2), art26. https://doi.org/10.5751/ES-05873-180226</w:t>
      </w:r>
    </w:p>
    <w:p w14:paraId="09BC844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Liu, J., Hull, V., Luo, J., Yang, W., Liu, W., Vi??a, A., Vogt, C., Xu, Z., Yang, H., Zhang, J., An, L., Chen, X., Li, S., Ouyang, Z., Xu, W., &amp; Zhang, H. (2015). Multiple telecouplings and their complex interrelationships. </w:t>
      </w:r>
      <w:r w:rsidRPr="008608AA">
        <w:rPr>
          <w:i/>
          <w:iCs/>
          <w:noProof/>
        </w:rPr>
        <w:t>Ecology and Society</w:t>
      </w:r>
      <w:r w:rsidRPr="008608AA">
        <w:rPr>
          <w:noProof/>
        </w:rPr>
        <w:t xml:space="preserve">, </w:t>
      </w:r>
      <w:r w:rsidRPr="008608AA">
        <w:rPr>
          <w:i/>
          <w:iCs/>
          <w:noProof/>
        </w:rPr>
        <w:t>20</w:t>
      </w:r>
      <w:r w:rsidRPr="008608AA">
        <w:rPr>
          <w:noProof/>
        </w:rPr>
        <w:t>(3), 44. https://doi.org/10.5751/ES-07868-200344</w:t>
      </w:r>
    </w:p>
    <w:p w14:paraId="202B2B8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Lloyd, A. H., Yoshikawa, K., Fastie, C. L., Hinzman, L., &amp; Fraver, M. (2003). Effects of permafrost degradation on woody vegetation at arctic treeline on the Seward Peninsula, Alaska. </w:t>
      </w:r>
      <w:r w:rsidRPr="008608AA">
        <w:rPr>
          <w:i/>
          <w:iCs/>
          <w:noProof/>
        </w:rPr>
        <w:t>Permafrost and Periglacial Processes</w:t>
      </w:r>
      <w:r w:rsidRPr="008608AA">
        <w:rPr>
          <w:noProof/>
        </w:rPr>
        <w:t xml:space="preserve">, </w:t>
      </w:r>
      <w:r w:rsidRPr="008608AA">
        <w:rPr>
          <w:i/>
          <w:iCs/>
          <w:noProof/>
        </w:rPr>
        <w:t>14</w:t>
      </w:r>
      <w:r w:rsidRPr="008608AA">
        <w:rPr>
          <w:noProof/>
        </w:rPr>
        <w:t>(2), (pp. 93–101). http://doi.org/10.1002/ppp.446</w:t>
      </w:r>
    </w:p>
    <w:p w14:paraId="33309E9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Longo, K. M., Freitas, S. R., Andreae, M. O., Yokelson, R., &amp; Artaxo, P. (2009). Biomass Burning in Amazonia: Emissions, Long-Range Transport of Smoke and Its Regional and Remote Impacts. In M. Keller, M. Bustamante, J. Gash, &amp; P. Silva Dias (Eds.), </w:t>
      </w:r>
      <w:r w:rsidRPr="008608AA">
        <w:rPr>
          <w:i/>
          <w:iCs/>
          <w:noProof/>
        </w:rPr>
        <w:t>Amazonia and Global Change</w:t>
      </w:r>
      <w:r w:rsidRPr="008608AA">
        <w:rPr>
          <w:noProof/>
        </w:rPr>
        <w:t xml:space="preserve"> (pp. 207–232). American Geophysical Union. http://doi.org/10.1029/2008GM000717</w:t>
      </w:r>
    </w:p>
    <w:p w14:paraId="6B40356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Louv, R. (2008). </w:t>
      </w:r>
      <w:r w:rsidRPr="008608AA">
        <w:rPr>
          <w:i/>
          <w:iCs/>
          <w:noProof/>
        </w:rPr>
        <w:t>Last child in the woods: saving our children from nature-deficit disorder</w:t>
      </w:r>
      <w:r w:rsidRPr="008608AA">
        <w:rPr>
          <w:noProof/>
        </w:rPr>
        <w:t>. Chapel Hill, North Carolina, USA: Algonquin Books of Chapel Hill.</w:t>
      </w:r>
    </w:p>
    <w:p w14:paraId="194DC5FA"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Lubchenco, J., Navarrete, S. A., Tissot, B. N., &amp; Castilla, J. C. (1993). </w:t>
      </w:r>
      <w:r w:rsidRPr="008608AA">
        <w:rPr>
          <w:noProof/>
        </w:rPr>
        <w:t xml:space="preserve">Possible ecological responses to global climate change: nearshore benthis biota of northeastern Pacific coastal ecosystems. In </w:t>
      </w:r>
      <w:r w:rsidRPr="008608AA">
        <w:rPr>
          <w:i/>
          <w:iCs/>
          <w:noProof/>
        </w:rPr>
        <w:t>Earth System Responses to Global Change</w:t>
      </w:r>
      <w:r w:rsidRPr="008608AA">
        <w:rPr>
          <w:noProof/>
        </w:rPr>
        <w:t xml:space="preserve"> (pp. 147–166). San Diego, CA: Academic Press.</w:t>
      </w:r>
    </w:p>
    <w:p w14:paraId="57B0D09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Macarthur, R., &amp; Wilson, E. O. (1967). </w:t>
      </w:r>
      <w:r w:rsidRPr="008608AA">
        <w:rPr>
          <w:i/>
          <w:iCs/>
          <w:noProof/>
        </w:rPr>
        <w:t>Theory of island biogeography</w:t>
      </w:r>
      <w:r w:rsidRPr="008608AA">
        <w:rPr>
          <w:noProof/>
        </w:rPr>
        <w:t>. Princeton, New Jersey USA: Princeton University Press.</w:t>
      </w:r>
    </w:p>
    <w:p w14:paraId="353E7F8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Mack, M. C., Bret-Harte, M. S., Hollingsworth, T. N., Jandt, R. R., Schuur, E. A. G., Shaver, G. R., &amp; Verbyla, D. L. (2011). Carbon loss from an unprecedented Arctic tundra wildfire. </w:t>
      </w:r>
      <w:r w:rsidRPr="008608AA">
        <w:rPr>
          <w:i/>
          <w:iCs/>
          <w:noProof/>
        </w:rPr>
        <w:t>Nature</w:t>
      </w:r>
      <w:r w:rsidRPr="008608AA">
        <w:rPr>
          <w:noProof/>
        </w:rPr>
        <w:t xml:space="preserve">, </w:t>
      </w:r>
      <w:r w:rsidRPr="008608AA">
        <w:rPr>
          <w:i/>
          <w:iCs/>
          <w:noProof/>
        </w:rPr>
        <w:t>475</w:t>
      </w:r>
      <w:r w:rsidRPr="008608AA">
        <w:rPr>
          <w:noProof/>
        </w:rPr>
        <w:t>(7357), (pp. 489–492). http://doi.org/10.1038/nature10283</w:t>
      </w:r>
    </w:p>
    <w:p w14:paraId="39B0307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Mack, M. C., Schuur, E. A., Bret-Harte, M. S., Shaver, G. R., &amp; Chapin III, F. S. (2004). Ecosystem carbon storage in arctic tundra reduced by long-term nutrient fertilization. </w:t>
      </w:r>
      <w:r w:rsidRPr="008608AA">
        <w:rPr>
          <w:i/>
          <w:iCs/>
          <w:noProof/>
        </w:rPr>
        <w:t>Nature</w:t>
      </w:r>
      <w:r w:rsidRPr="008608AA">
        <w:rPr>
          <w:noProof/>
        </w:rPr>
        <w:t>. http://doi.org/10.1038/nature02887</w:t>
      </w:r>
    </w:p>
    <w:p w14:paraId="37413DAC"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Maeda, E. E., Kim, H., Aragão, L. E. O. C., Famiglietti, J. S., &amp; Oki, T. (2015). Disruption of hydroecological equilibrium in southwest Amazon mediated by drought. </w:t>
      </w:r>
      <w:r w:rsidRPr="008608AA">
        <w:rPr>
          <w:i/>
          <w:iCs/>
          <w:noProof/>
        </w:rPr>
        <w:t>Geophysical Research Letters</w:t>
      </w:r>
      <w:r w:rsidRPr="008608AA">
        <w:rPr>
          <w:noProof/>
        </w:rPr>
        <w:t xml:space="preserve">, </w:t>
      </w:r>
      <w:r w:rsidRPr="008608AA">
        <w:rPr>
          <w:i/>
          <w:iCs/>
          <w:noProof/>
        </w:rPr>
        <w:t>42</w:t>
      </w:r>
      <w:r w:rsidRPr="008608AA">
        <w:rPr>
          <w:noProof/>
        </w:rPr>
        <w:t>(18), (pp. 7546–7553). http://doi.org/10.1002/2015GL065252</w:t>
      </w:r>
    </w:p>
    <w:p w14:paraId="5CE7B88A" w14:textId="77777777" w:rsidR="00B16A15" w:rsidRPr="008608AA" w:rsidRDefault="00B16A15" w:rsidP="00B16A15">
      <w:pPr>
        <w:widowControl w:val="0"/>
        <w:autoSpaceDE w:val="0"/>
        <w:autoSpaceDN w:val="0"/>
        <w:adjustRightInd w:val="0"/>
        <w:ind w:left="709" w:hanging="709"/>
        <w:rPr>
          <w:noProof/>
        </w:rPr>
      </w:pPr>
      <w:r w:rsidRPr="008608AA">
        <w:rPr>
          <w:noProof/>
        </w:rPr>
        <w:t>Magrin, G.O., J.A. Marengo, J.-P. Boulanger, M.S. Buckeridge, E. Castellanos, G. Poveda, F.R. Scarano &amp; S. Vicuña (2014),</w:t>
      </w:r>
      <w:r w:rsidRPr="008608AA">
        <w:rPr>
          <w:i/>
          <w:noProof/>
        </w:rPr>
        <w:t xml:space="preserve"> Central and South America</w:t>
      </w:r>
      <w:r w:rsidRPr="008608AA">
        <w:rPr>
          <w:noProof/>
        </w:rPr>
        <w:t xml:space="preserve">. In: </w:t>
      </w:r>
      <w:r w:rsidRPr="008608AA">
        <w:rPr>
          <w:i/>
          <w:noProof/>
        </w:rPr>
        <w:t>Climate Change 2014: Impacts, Adaptation, and Vulnerability</w:t>
      </w:r>
      <w:r w:rsidRPr="008608AA">
        <w:rPr>
          <w:noProof/>
        </w:rPr>
        <w:t>. Part B: Regional Aspects. Contribution of Working Group II to the Fifth Assessment Report of the Intergovernmental Panel on Climate Change [Barros, V.R., C.B. Field, D.J. Dokken, M.D. Mastrandrea, K.J. Mach, T.E. Bilir, M. Chatterjee, K.L. Ebi, Y.O. Estrada, R.C. Genova, B. Girma, E.S. Kissel, A.N. Levy, S. MacCracken, P.R. Mastrandrea, and L.L. White (eds.)]. Cambridge University Press, Cambridge, United Kingdom and New York, NY, USA, pp. 1499-1566</w:t>
      </w:r>
    </w:p>
    <w:p w14:paraId="409F63C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Maier, H. R., Guillaume, J. H. A., Deldena, H. van, Riddell, G. A., Haasnoot, M., &amp; Kwakkel, J. H. (2016). An uncertain future, deep uncertainty, scenarios, robustness and adaptation: How do they fit together? </w:t>
      </w:r>
      <w:r w:rsidRPr="008608AA">
        <w:rPr>
          <w:i/>
          <w:iCs/>
          <w:noProof/>
        </w:rPr>
        <w:t>Environmental Modelling &amp; Software</w:t>
      </w:r>
      <w:r w:rsidRPr="008608AA">
        <w:rPr>
          <w:noProof/>
        </w:rPr>
        <w:t xml:space="preserve">, </w:t>
      </w:r>
      <w:r w:rsidRPr="008608AA">
        <w:rPr>
          <w:i/>
          <w:iCs/>
          <w:noProof/>
        </w:rPr>
        <w:t>81</w:t>
      </w:r>
      <w:r w:rsidRPr="008608AA">
        <w:rPr>
          <w:noProof/>
        </w:rPr>
        <w:t>(81), (pp. 154–164). http://doi.org/10.1016/J.ENVSOFT.2016.03.014</w:t>
      </w:r>
    </w:p>
    <w:p w14:paraId="3DC43E8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Maine, J. J., &amp; Boyles, J. G. (2015). Bats initiate vital agroecological interactions in corn. </w:t>
      </w:r>
      <w:r w:rsidRPr="008608AA">
        <w:rPr>
          <w:i/>
          <w:iCs/>
          <w:noProof/>
        </w:rPr>
        <w:t>Proceedings of the National Academy of Sciences of the United States of America</w:t>
      </w:r>
      <w:r w:rsidRPr="008608AA">
        <w:rPr>
          <w:noProof/>
        </w:rPr>
        <w:t xml:space="preserve">, </w:t>
      </w:r>
      <w:r w:rsidRPr="008608AA">
        <w:rPr>
          <w:i/>
          <w:iCs/>
          <w:noProof/>
        </w:rPr>
        <w:t>112</w:t>
      </w:r>
      <w:r w:rsidRPr="008608AA">
        <w:rPr>
          <w:noProof/>
        </w:rPr>
        <w:t>(40), (pp. 12438–43). http://doi.org/10.1073/pnas.1505413112</w:t>
      </w:r>
    </w:p>
    <w:p w14:paraId="2C9FD4C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Makropoulos, C., Memon, F. A., Shirley-Smith, C., &amp; Butler, D. (2009). Futures: An exploration of scenarios for sustainable urban water management. </w:t>
      </w:r>
      <w:r w:rsidRPr="008608AA">
        <w:rPr>
          <w:i/>
          <w:iCs/>
          <w:noProof/>
        </w:rPr>
        <w:t>Water Policy</w:t>
      </w:r>
      <w:r w:rsidRPr="008608AA">
        <w:rPr>
          <w:noProof/>
        </w:rPr>
        <w:t xml:space="preserve">, </w:t>
      </w:r>
      <w:r w:rsidRPr="008608AA">
        <w:rPr>
          <w:i/>
          <w:iCs/>
          <w:noProof/>
        </w:rPr>
        <w:t>10</w:t>
      </w:r>
      <w:r w:rsidRPr="008608AA">
        <w:rPr>
          <w:noProof/>
        </w:rPr>
        <w:t>(10), (pp. 345–373).</w:t>
      </w:r>
    </w:p>
    <w:p w14:paraId="0AB39DC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Malhi, Y., Aragão, L. E. O. C., Galbraith, D., Huntingford, C., Fisher, R., Zelazowski, P., Sitch, S., McSweeney, C., &amp; Meir, P. (2009). Exploring the likelihood and mechanism of a climate-change-induced dieback of the Amazon rainforest. </w:t>
      </w:r>
      <w:r w:rsidRPr="008608AA">
        <w:rPr>
          <w:i/>
          <w:iCs/>
          <w:noProof/>
        </w:rPr>
        <w:t>Proceedings of the National Academy of Sciences of the United States of America</w:t>
      </w:r>
      <w:r w:rsidRPr="008608AA">
        <w:rPr>
          <w:noProof/>
        </w:rPr>
        <w:t xml:space="preserve">, </w:t>
      </w:r>
      <w:r w:rsidRPr="008608AA">
        <w:rPr>
          <w:i/>
          <w:iCs/>
          <w:noProof/>
        </w:rPr>
        <w:t>106</w:t>
      </w:r>
      <w:r w:rsidRPr="008608AA">
        <w:rPr>
          <w:noProof/>
        </w:rPr>
        <w:t>(49), 20610–20615. https://doi.org/10.1073/pnas.0804619106</w:t>
      </w:r>
    </w:p>
    <w:p w14:paraId="27B9BFCE" w14:textId="77777777" w:rsidR="00B16A15" w:rsidRPr="008608AA" w:rsidRDefault="00B16A15" w:rsidP="00B16A15">
      <w:pPr>
        <w:widowControl w:val="0"/>
        <w:autoSpaceDE w:val="0"/>
        <w:autoSpaceDN w:val="0"/>
        <w:adjustRightInd w:val="0"/>
        <w:ind w:left="709" w:hanging="709"/>
        <w:rPr>
          <w:noProof/>
        </w:rPr>
      </w:pPr>
      <w:r w:rsidRPr="008608AA">
        <w:rPr>
          <w:noProof/>
          <w:lang w:val="es-ES"/>
        </w:rPr>
        <w:t xml:space="preserve">Malhi, Y., Aragão, L. E. O. C., Metcalfe, D. B., Paiva, R., Quesada, C. A., Almeida, S., Anderson, L., Brando, P., Chambers, J. Q., Da Costa, A. C. L., Hutyra, L. R., Oliveira, P., Patiño, S., Pyle, E. H., Robertson, A. L., &amp; Teixeira, L. M. (2009). </w:t>
      </w:r>
      <w:r w:rsidRPr="008608AA">
        <w:rPr>
          <w:noProof/>
        </w:rPr>
        <w:t xml:space="preserve">Comprehensive assessment of carbon productivity, allocation and storage in three Amazonian forests. </w:t>
      </w:r>
      <w:r w:rsidRPr="008608AA">
        <w:rPr>
          <w:i/>
          <w:iCs/>
          <w:noProof/>
        </w:rPr>
        <w:t>Global Change Biology</w:t>
      </w:r>
      <w:r w:rsidRPr="008608AA">
        <w:rPr>
          <w:noProof/>
        </w:rPr>
        <w:t xml:space="preserve">, </w:t>
      </w:r>
      <w:r w:rsidRPr="008608AA">
        <w:rPr>
          <w:i/>
          <w:iCs/>
          <w:noProof/>
        </w:rPr>
        <w:t>15</w:t>
      </w:r>
      <w:r w:rsidRPr="008608AA">
        <w:rPr>
          <w:noProof/>
        </w:rPr>
        <w:t>(5), 1255–1274. https://doi.org/10.1111/j.1365-2486.2008.01780.x</w:t>
      </w:r>
    </w:p>
    <w:p w14:paraId="1BFFFEC1"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Malhi, Y., Roberts, J. T., Betts, R. A., Killeen, T. J., Li, W., &amp; Nobre, C. A. (2008). Climate Change, Deforestation, and the Fate of the Amazon. </w:t>
      </w:r>
      <w:r w:rsidRPr="008608AA">
        <w:rPr>
          <w:i/>
          <w:iCs/>
          <w:noProof/>
        </w:rPr>
        <w:t>Science</w:t>
      </w:r>
      <w:r w:rsidRPr="008608AA">
        <w:rPr>
          <w:noProof/>
        </w:rPr>
        <w:t xml:space="preserve">, </w:t>
      </w:r>
      <w:r w:rsidRPr="008608AA">
        <w:rPr>
          <w:i/>
          <w:iCs/>
          <w:noProof/>
        </w:rPr>
        <w:t>319</w:t>
      </w:r>
      <w:r w:rsidRPr="008608AA">
        <w:rPr>
          <w:noProof/>
        </w:rPr>
        <w:t>(5860), (pp. 169–172). http://doi.org/10.1126/science.1146961</w:t>
      </w:r>
    </w:p>
    <w:p w14:paraId="46DCFF70" w14:textId="77777777" w:rsidR="00B16A15" w:rsidRPr="008608AA" w:rsidRDefault="00B16A15" w:rsidP="00B16A15">
      <w:pPr>
        <w:widowControl w:val="0"/>
        <w:autoSpaceDE w:val="0"/>
        <w:autoSpaceDN w:val="0"/>
        <w:adjustRightInd w:val="0"/>
        <w:ind w:left="709" w:hanging="709"/>
        <w:rPr>
          <w:noProof/>
          <w:lang w:val="es-ES"/>
        </w:rPr>
      </w:pPr>
      <w:r w:rsidRPr="008608AA">
        <w:rPr>
          <w:noProof/>
          <w:lang w:val="es-ES"/>
        </w:rPr>
        <w:t xml:space="preserve">Manuel-Navarrete, D., Gallopín, G., Blanco, M., Díaz-Zorrita, M., Ferraro, D., Herzer, H., Laterra, P., Morello, J., Murmis, M., Pengue, W., Pineiro, M., Podestá, G., Satorre, E., Torrent, M., Torres, F., Viglizzo, E., Caputo, M., &amp; Celis, A. (2005). </w:t>
      </w:r>
      <w:r w:rsidRPr="008608AA">
        <w:rPr>
          <w:i/>
          <w:iCs/>
          <w:noProof/>
          <w:lang w:val="es-ES"/>
        </w:rPr>
        <w:t>Análisis sistémico de la agriculturización en la pampa húmeda argentina y sus consecuencias en regiones extra- pampeanas: sostenibilidad, brechas de conocimiento e integración de políticas</w:t>
      </w:r>
      <w:r w:rsidRPr="008608AA">
        <w:rPr>
          <w:noProof/>
          <w:lang w:val="es-ES"/>
        </w:rPr>
        <w:t xml:space="preserve">. </w:t>
      </w:r>
      <w:r w:rsidRPr="008608AA">
        <w:rPr>
          <w:i/>
          <w:iCs/>
          <w:noProof/>
          <w:lang w:val="es-ES"/>
        </w:rPr>
        <w:t>Serie de Medio Ambiente y Desarrollo</w:t>
      </w:r>
      <w:r w:rsidRPr="008608AA">
        <w:rPr>
          <w:noProof/>
          <w:lang w:val="es-ES"/>
        </w:rPr>
        <w:t xml:space="preserve"> (Vol. 118). Santiago de Chile.</w:t>
      </w:r>
    </w:p>
    <w:p w14:paraId="274056E9" w14:textId="77777777" w:rsidR="00B16A15" w:rsidRPr="008608AA" w:rsidRDefault="00B16A15" w:rsidP="00B16A15">
      <w:pPr>
        <w:widowControl w:val="0"/>
        <w:autoSpaceDE w:val="0"/>
        <w:autoSpaceDN w:val="0"/>
        <w:adjustRightInd w:val="0"/>
        <w:ind w:left="709" w:hanging="709"/>
        <w:rPr>
          <w:noProof/>
        </w:rPr>
      </w:pPr>
      <w:r w:rsidRPr="008608AA">
        <w:rPr>
          <w:noProof/>
          <w:lang w:val="de-DE"/>
        </w:rPr>
        <w:t xml:space="preserve">Manuschevich, D., &amp; Beier, C. M. (2016). </w:t>
      </w:r>
      <w:r w:rsidRPr="008608AA">
        <w:rPr>
          <w:noProof/>
        </w:rPr>
        <w:t xml:space="preserve">Simulating land use changes under alternative policy scenarios for conservation of native forests in south-central Chile. </w:t>
      </w:r>
      <w:r w:rsidRPr="008608AA">
        <w:rPr>
          <w:i/>
          <w:iCs/>
          <w:noProof/>
        </w:rPr>
        <w:t>Land Use Policy</w:t>
      </w:r>
      <w:r w:rsidRPr="008608AA">
        <w:rPr>
          <w:noProof/>
        </w:rPr>
        <w:t xml:space="preserve">, </w:t>
      </w:r>
      <w:r w:rsidRPr="008608AA">
        <w:rPr>
          <w:i/>
          <w:iCs/>
          <w:noProof/>
        </w:rPr>
        <w:t>51</w:t>
      </w:r>
      <w:r w:rsidRPr="008608AA">
        <w:rPr>
          <w:noProof/>
        </w:rPr>
        <w:t>, (pp. 350–362). http://doi.org/10.1016/j.landusepol.2015.08.032</w:t>
      </w:r>
    </w:p>
    <w:p w14:paraId="6A52FFB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Marcotullio, P. J., Hughes, S., Sarzynski, A., Pincetl, S., Sanchez Peña, L., Romero-Lankao, P., Runfola, D., &amp; Seto, K. C. (2014). Urbanization and the carbon cycle: Contributions from social science. </w:t>
      </w:r>
      <w:r w:rsidRPr="008608AA">
        <w:rPr>
          <w:i/>
          <w:iCs/>
          <w:noProof/>
        </w:rPr>
        <w:t>Earth’s Future</w:t>
      </w:r>
      <w:r w:rsidRPr="008608AA">
        <w:rPr>
          <w:noProof/>
        </w:rPr>
        <w:t xml:space="preserve">, </w:t>
      </w:r>
      <w:r w:rsidRPr="008608AA">
        <w:rPr>
          <w:i/>
          <w:iCs/>
          <w:noProof/>
        </w:rPr>
        <w:t>2</w:t>
      </w:r>
      <w:r w:rsidRPr="008608AA">
        <w:rPr>
          <w:noProof/>
        </w:rPr>
        <w:t>(10), 496–514. https://doi.org/10.1002/2014EF000257</w:t>
      </w:r>
    </w:p>
    <w:p w14:paraId="0D28C582" w14:textId="77777777" w:rsidR="00B16A15" w:rsidRPr="008608AA" w:rsidRDefault="00B16A15" w:rsidP="00B16A15">
      <w:pPr>
        <w:widowControl w:val="0"/>
        <w:autoSpaceDE w:val="0"/>
        <w:autoSpaceDN w:val="0"/>
        <w:adjustRightInd w:val="0"/>
        <w:ind w:left="709" w:hanging="709"/>
        <w:rPr>
          <w:noProof/>
          <w:lang w:val="pt-BR"/>
        </w:rPr>
      </w:pPr>
      <w:r w:rsidRPr="008608AA">
        <w:rPr>
          <w:noProof/>
          <w:lang w:val="es-CO"/>
        </w:rPr>
        <w:t xml:space="preserve">Marengo, J. A., Alves, L. M., &amp; Torres, R. R. (2016). </w:t>
      </w:r>
      <w:r w:rsidRPr="008608AA">
        <w:rPr>
          <w:noProof/>
        </w:rPr>
        <w:t xml:space="preserve">Regional climate change scenarios in the Brazilian Pantanal watershed. </w:t>
      </w:r>
      <w:r w:rsidRPr="008608AA">
        <w:rPr>
          <w:i/>
          <w:iCs/>
          <w:noProof/>
          <w:lang w:val="pt-BR"/>
        </w:rPr>
        <w:t>Climate Research</w:t>
      </w:r>
      <w:r w:rsidRPr="008608AA">
        <w:rPr>
          <w:noProof/>
          <w:lang w:val="pt-BR"/>
        </w:rPr>
        <w:t xml:space="preserve">, </w:t>
      </w:r>
      <w:r w:rsidRPr="008608AA">
        <w:rPr>
          <w:i/>
          <w:iCs/>
          <w:noProof/>
          <w:lang w:val="pt-BR"/>
        </w:rPr>
        <w:t>68</w:t>
      </w:r>
      <w:r w:rsidRPr="008608AA">
        <w:rPr>
          <w:noProof/>
          <w:lang w:val="pt-BR"/>
        </w:rPr>
        <w:t>, (pp. 201–213).</w:t>
      </w:r>
    </w:p>
    <w:p w14:paraId="702DBE47" w14:textId="77777777" w:rsidR="00B16A15" w:rsidRPr="008608AA" w:rsidRDefault="00B16A15" w:rsidP="00B16A15">
      <w:pPr>
        <w:widowControl w:val="0"/>
        <w:autoSpaceDE w:val="0"/>
        <w:autoSpaceDN w:val="0"/>
        <w:adjustRightInd w:val="0"/>
        <w:ind w:left="709" w:hanging="709"/>
        <w:rPr>
          <w:noProof/>
        </w:rPr>
      </w:pPr>
      <w:r w:rsidRPr="008608AA">
        <w:rPr>
          <w:noProof/>
          <w:lang w:val="pt-BR"/>
        </w:rPr>
        <w:t xml:space="preserve">Marengo, J. A., Soares, W. R., Saulo, C., &amp; Nicolini, M. (2004). </w:t>
      </w:r>
      <w:r w:rsidRPr="008608AA">
        <w:rPr>
          <w:noProof/>
        </w:rPr>
        <w:t xml:space="preserve">Climatology of the Low-Level Jet East of the Andes as Derived from the NCEP–NCAR Reanalyses: Characteristics and Temporal Variability. </w:t>
      </w:r>
      <w:r w:rsidRPr="008608AA">
        <w:rPr>
          <w:i/>
          <w:iCs/>
          <w:noProof/>
        </w:rPr>
        <w:t>Journal of Climate</w:t>
      </w:r>
      <w:r w:rsidRPr="008608AA">
        <w:rPr>
          <w:noProof/>
        </w:rPr>
        <w:t xml:space="preserve">, </w:t>
      </w:r>
      <w:r w:rsidRPr="008608AA">
        <w:rPr>
          <w:i/>
          <w:iCs/>
          <w:noProof/>
        </w:rPr>
        <w:t>17</w:t>
      </w:r>
      <w:r w:rsidRPr="008608AA">
        <w:rPr>
          <w:noProof/>
        </w:rPr>
        <w:t>(12), (pp. 2261–2280). http://doi.org/10.1175/1520-0442(2004)017&lt;2261:COTLJE&gt;2.0.CO;2</w:t>
      </w:r>
    </w:p>
    <w:p w14:paraId="25E9908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Marois, D. E., &amp; Mitsch, W. J. (2015). Coastal protection from tsunamis and cyclones provided by mangrove wetlands - A review. </w:t>
      </w:r>
      <w:r w:rsidRPr="008608AA">
        <w:rPr>
          <w:i/>
          <w:iCs/>
          <w:noProof/>
        </w:rPr>
        <w:t>International Journal of Biodiversity Science, Ecosystem Services and Management</w:t>
      </w:r>
      <w:r w:rsidRPr="008608AA">
        <w:rPr>
          <w:noProof/>
        </w:rPr>
        <w:t xml:space="preserve">, </w:t>
      </w:r>
      <w:r w:rsidRPr="008608AA">
        <w:rPr>
          <w:i/>
          <w:iCs/>
          <w:noProof/>
        </w:rPr>
        <w:t>11</w:t>
      </w:r>
      <w:r w:rsidRPr="008608AA">
        <w:rPr>
          <w:noProof/>
        </w:rPr>
        <w:t>(1), 71–83. http://doi.org/10.1080/21513732.2014.997292</w:t>
      </w:r>
    </w:p>
    <w:p w14:paraId="0C5A195C"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Martinelli, L. A. (2012). </w:t>
      </w:r>
      <w:r w:rsidRPr="008608AA">
        <w:rPr>
          <w:i/>
          <w:iCs/>
          <w:noProof/>
        </w:rPr>
        <w:t>Ecosystem Services and Latin America and Ecosystem Services and Agricultural Production in Latin America and Caribbean</w:t>
      </w:r>
      <w:r w:rsidRPr="008608AA">
        <w:rPr>
          <w:noProof/>
        </w:rPr>
        <w:t>.</w:t>
      </w:r>
    </w:p>
    <w:p w14:paraId="778B8621"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Martínez-Crego, B., Vergés, A., Alcoverro, T., &amp; Romero, J. (2008). </w:t>
      </w:r>
      <w:r w:rsidRPr="008608AA">
        <w:rPr>
          <w:noProof/>
        </w:rPr>
        <w:t xml:space="preserve">Selection of multiple seagrass indicators for environmental biomonitoring. </w:t>
      </w:r>
      <w:r w:rsidRPr="008608AA">
        <w:rPr>
          <w:i/>
          <w:iCs/>
          <w:noProof/>
        </w:rPr>
        <w:t>Marine Ecology Progress Series</w:t>
      </w:r>
      <w:r w:rsidRPr="008608AA">
        <w:rPr>
          <w:noProof/>
        </w:rPr>
        <w:t xml:space="preserve">, </w:t>
      </w:r>
      <w:r w:rsidRPr="008608AA">
        <w:rPr>
          <w:i/>
          <w:iCs/>
          <w:noProof/>
        </w:rPr>
        <w:t>361</w:t>
      </w:r>
      <w:r w:rsidRPr="008608AA">
        <w:rPr>
          <w:noProof/>
        </w:rPr>
        <w:t>, (pp. 93–109). http://doi.org/10.3354/meps07358</w:t>
      </w:r>
    </w:p>
    <w:p w14:paraId="3EA5AA88" w14:textId="77777777" w:rsidR="00B16A15" w:rsidRPr="00CE0821" w:rsidRDefault="00B16A15" w:rsidP="00B16A15">
      <w:pPr>
        <w:widowControl w:val="0"/>
        <w:autoSpaceDE w:val="0"/>
        <w:autoSpaceDN w:val="0"/>
        <w:adjustRightInd w:val="0"/>
        <w:ind w:left="709" w:hanging="709"/>
        <w:rPr>
          <w:noProof/>
          <w:lang w:val="es-CO"/>
        </w:rPr>
      </w:pPr>
      <w:r w:rsidRPr="008608AA">
        <w:rPr>
          <w:noProof/>
        </w:rPr>
        <w:t xml:space="preserve">Massa, S. I., Arnaud-Haond, S., Pearson, G. A., &amp; Serrão, E. A. (2009). Temperature tolerance and survival of intertidal populations of the seagrass Zostera noltii (Hornemann) in Southern Europe (Ria Formosa, Portugal). </w:t>
      </w:r>
      <w:r w:rsidRPr="00CE0821">
        <w:rPr>
          <w:i/>
          <w:iCs/>
          <w:noProof/>
          <w:lang w:val="es-CO"/>
        </w:rPr>
        <w:t>Hydrobiologia</w:t>
      </w:r>
      <w:r w:rsidRPr="00CE0821">
        <w:rPr>
          <w:noProof/>
          <w:lang w:val="es-CO"/>
        </w:rPr>
        <w:t xml:space="preserve">, </w:t>
      </w:r>
      <w:r w:rsidRPr="00CE0821">
        <w:rPr>
          <w:i/>
          <w:iCs/>
          <w:noProof/>
          <w:lang w:val="es-CO"/>
        </w:rPr>
        <w:t>619</w:t>
      </w:r>
      <w:r w:rsidRPr="00CE0821">
        <w:rPr>
          <w:noProof/>
          <w:lang w:val="es-CO"/>
        </w:rPr>
        <w:t>(1), (pp. 195–201). http://doi.org/10.1007/s10750-008-9609-4</w:t>
      </w:r>
    </w:p>
    <w:p w14:paraId="748BF7B3" w14:textId="77777777" w:rsidR="00B16A15" w:rsidRPr="008608AA" w:rsidRDefault="00B16A15" w:rsidP="00B16A15">
      <w:pPr>
        <w:widowControl w:val="0"/>
        <w:autoSpaceDE w:val="0"/>
        <w:autoSpaceDN w:val="0"/>
        <w:adjustRightInd w:val="0"/>
        <w:ind w:left="709" w:hanging="709"/>
        <w:rPr>
          <w:noProof/>
        </w:rPr>
      </w:pPr>
      <w:r w:rsidRPr="00CE0821">
        <w:rPr>
          <w:noProof/>
          <w:lang w:val="es-CO"/>
        </w:rPr>
        <w:t xml:space="preserve">Mastrangelo, M. E., &amp; Laterra, P. (2015). </w:t>
      </w:r>
      <w:r w:rsidRPr="008608AA">
        <w:rPr>
          <w:noProof/>
        </w:rPr>
        <w:t xml:space="preserve">From biophysical to social-ecological trade-offs: integrating biodiversity conservation and agricultural production in the Argentine Dry Chaco. </w:t>
      </w:r>
      <w:r w:rsidRPr="008608AA">
        <w:rPr>
          <w:i/>
          <w:iCs/>
          <w:noProof/>
        </w:rPr>
        <w:t>Ecology and Society</w:t>
      </w:r>
      <w:r w:rsidRPr="008608AA">
        <w:rPr>
          <w:noProof/>
        </w:rPr>
        <w:t xml:space="preserve">, </w:t>
      </w:r>
      <w:r w:rsidRPr="008608AA">
        <w:rPr>
          <w:i/>
          <w:iCs/>
          <w:noProof/>
        </w:rPr>
        <w:t>20</w:t>
      </w:r>
      <w:r w:rsidRPr="008608AA">
        <w:rPr>
          <w:noProof/>
        </w:rPr>
        <w:t>(1), art20. http://doi.org/10.5751/ES-07186-200120</w:t>
      </w:r>
    </w:p>
    <w:p w14:paraId="38AA7521"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Mayaux, P., Holmgren, P., Achard, F., Eva, H., Stibig, H.-J., &amp; Branthomme, A. (2005). Tropical forest cover change in the 1990s and options for future monitoring. </w:t>
      </w:r>
      <w:r w:rsidRPr="008608AA">
        <w:rPr>
          <w:i/>
          <w:iCs/>
          <w:noProof/>
        </w:rPr>
        <w:t>Philosophical Transactions of the Royal Society B: Biological Sciences</w:t>
      </w:r>
      <w:r w:rsidRPr="008608AA">
        <w:rPr>
          <w:noProof/>
        </w:rPr>
        <w:t xml:space="preserve">, </w:t>
      </w:r>
      <w:r w:rsidRPr="008608AA">
        <w:rPr>
          <w:i/>
          <w:iCs/>
          <w:noProof/>
        </w:rPr>
        <w:t>360</w:t>
      </w:r>
      <w:r w:rsidRPr="008608AA">
        <w:rPr>
          <w:noProof/>
        </w:rPr>
        <w:t>(1454), (pp. 373–384). http://doi.org/10.1098/rstb.2004.1590</w:t>
      </w:r>
    </w:p>
    <w:p w14:paraId="7E5C4A6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McKee, L. K., D., C. R., &amp; Feller I. C. (2007). Caribbean mangroves adjust to rising sea level through biotic controls on change in soil elevation. </w:t>
      </w:r>
      <w:r w:rsidRPr="008608AA">
        <w:rPr>
          <w:i/>
          <w:iCs/>
          <w:noProof/>
        </w:rPr>
        <w:t>Global Ecol. Biogeogr.</w:t>
      </w:r>
      <w:r w:rsidRPr="008608AA">
        <w:rPr>
          <w:noProof/>
        </w:rPr>
        <w:t xml:space="preserve">, </w:t>
      </w:r>
      <w:r w:rsidRPr="008608AA">
        <w:rPr>
          <w:i/>
          <w:iCs/>
          <w:noProof/>
        </w:rPr>
        <w:t>16</w:t>
      </w:r>
      <w:r w:rsidRPr="008608AA">
        <w:rPr>
          <w:noProof/>
        </w:rPr>
        <w:t>, (pp. 545–556).</w:t>
      </w:r>
    </w:p>
    <w:p w14:paraId="35A036D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McKenney, D. W., Pedlar, J. H., Lawrence, K., Campbell, K., &amp; Hutchinson, M. F. (2007). Potential Impacts of Climate Change on the Distribution of North American Trees. </w:t>
      </w:r>
      <w:r w:rsidRPr="008608AA">
        <w:rPr>
          <w:i/>
          <w:iCs/>
          <w:noProof/>
        </w:rPr>
        <w:t>BioScience</w:t>
      </w:r>
      <w:r w:rsidRPr="008608AA">
        <w:rPr>
          <w:noProof/>
        </w:rPr>
        <w:t xml:space="preserve">, </w:t>
      </w:r>
      <w:r w:rsidRPr="008608AA">
        <w:rPr>
          <w:i/>
          <w:iCs/>
          <w:noProof/>
        </w:rPr>
        <w:t>57</w:t>
      </w:r>
      <w:r w:rsidRPr="008608AA">
        <w:rPr>
          <w:noProof/>
        </w:rPr>
        <w:t>(11), (pp. 939). http://doi.org/10.1641/B571106</w:t>
      </w:r>
    </w:p>
    <w:p w14:paraId="5E6426F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MEA (Millenium Ecosystem Assessment). (2005). </w:t>
      </w:r>
      <w:r w:rsidRPr="008608AA">
        <w:rPr>
          <w:i/>
          <w:iCs/>
          <w:noProof/>
        </w:rPr>
        <w:t>Ecosystems and Human Well-Being: Wetlands and Water</w:t>
      </w:r>
      <w:r w:rsidRPr="008608AA">
        <w:rPr>
          <w:noProof/>
        </w:rPr>
        <w:t>. Washington DC: World Resources Institute (WRI).</w:t>
      </w:r>
    </w:p>
    <w:p w14:paraId="433814F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Meltofte, H. (ed. . (2013). </w:t>
      </w:r>
      <w:r w:rsidRPr="008608AA">
        <w:rPr>
          <w:i/>
          <w:iCs/>
          <w:noProof/>
        </w:rPr>
        <w:t>Arctic Biodiversity Assessment - Status and Trends in Arctic Biodiversity</w:t>
      </w:r>
      <w:r w:rsidRPr="008608AA">
        <w:rPr>
          <w:noProof/>
        </w:rPr>
        <w:t xml:space="preserve">. </w:t>
      </w:r>
      <w:r w:rsidRPr="008608AA">
        <w:rPr>
          <w:i/>
          <w:iCs/>
          <w:noProof/>
        </w:rPr>
        <w:t>Arctic Biodiversity Assessment</w:t>
      </w:r>
      <w:r w:rsidRPr="008608AA">
        <w:rPr>
          <w:noProof/>
        </w:rPr>
        <w:t>.</w:t>
      </w:r>
    </w:p>
    <w:p w14:paraId="598A3BC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Meyfroidt, P., Lambin, E. F., Erb, K. H., &amp; Hertel, T. W. (2013). Globalization of land use: Distant drivers of land change and geographic displacement of land use. </w:t>
      </w:r>
      <w:r w:rsidRPr="008608AA">
        <w:rPr>
          <w:i/>
          <w:iCs/>
          <w:noProof/>
        </w:rPr>
        <w:t>Current Opinion in Environmental Sustainability</w:t>
      </w:r>
      <w:r w:rsidRPr="008608AA">
        <w:rPr>
          <w:noProof/>
        </w:rPr>
        <w:t xml:space="preserve">, </w:t>
      </w:r>
      <w:r w:rsidRPr="008608AA">
        <w:rPr>
          <w:i/>
          <w:iCs/>
          <w:noProof/>
        </w:rPr>
        <w:t>5</w:t>
      </w:r>
      <w:r w:rsidRPr="008608AA">
        <w:rPr>
          <w:noProof/>
        </w:rPr>
        <w:t>(5), (pp. 438–444). http://doi.org/10.1016/j.cosust.2013.04.003</w:t>
      </w:r>
    </w:p>
    <w:p w14:paraId="272308AC"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Michelson, A. (2008). </w:t>
      </w:r>
      <w:r w:rsidRPr="008608AA">
        <w:rPr>
          <w:i/>
          <w:iCs/>
          <w:noProof/>
        </w:rPr>
        <w:t>Temperate Grasslands of South America. Prepared for the World Temperate Grasslands Conservation Initiative Workshop</w:t>
      </w:r>
      <w:r w:rsidRPr="008608AA">
        <w:rPr>
          <w:noProof/>
        </w:rPr>
        <w:t>. Hohhot, China.</w:t>
      </w:r>
    </w:p>
    <w:p w14:paraId="061072B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Mistry, J., Tschirhart, C., Verwer, C., Glastra, R., Davis, O., Jafferally, D., Haynes, L., Benjamin, R., Albert, G., Xavier, R., Bovolo, I., &amp; Berardi, A. (2014). Our common future? Cross-scalar scenario analysis for social–ecological sustainability of the Guiana Shield, South America. </w:t>
      </w:r>
      <w:r w:rsidRPr="008608AA">
        <w:rPr>
          <w:i/>
          <w:iCs/>
          <w:noProof/>
        </w:rPr>
        <w:t>Environmental Science &amp; Policy</w:t>
      </w:r>
      <w:r w:rsidRPr="008608AA">
        <w:rPr>
          <w:noProof/>
        </w:rPr>
        <w:t xml:space="preserve">, </w:t>
      </w:r>
      <w:r w:rsidRPr="008608AA">
        <w:rPr>
          <w:i/>
          <w:iCs/>
          <w:noProof/>
        </w:rPr>
        <w:t>44</w:t>
      </w:r>
      <w:r w:rsidRPr="008608AA">
        <w:rPr>
          <w:noProof/>
        </w:rPr>
        <w:t>, 126–148. https://doi.org/http://dx.doi.org/10.1016/j.envsci.2014.05.007</w:t>
      </w:r>
    </w:p>
    <w:p w14:paraId="400ECF12" w14:textId="77777777" w:rsidR="00B16A15" w:rsidRPr="008608AA" w:rsidRDefault="00B16A15" w:rsidP="00B16A15">
      <w:pPr>
        <w:widowControl w:val="0"/>
        <w:autoSpaceDE w:val="0"/>
        <w:autoSpaceDN w:val="0"/>
        <w:adjustRightInd w:val="0"/>
        <w:ind w:left="709" w:hanging="709"/>
        <w:rPr>
          <w:noProof/>
        </w:rPr>
      </w:pPr>
      <w:r w:rsidRPr="008608AA">
        <w:rPr>
          <w:noProof/>
          <w:lang w:val="de-DE"/>
        </w:rPr>
        <w:t xml:space="preserve">Mitsch, W. J., &amp; Gosselink, J. G. (2007). </w:t>
      </w:r>
      <w:r w:rsidRPr="008608AA">
        <w:rPr>
          <w:i/>
          <w:iCs/>
          <w:noProof/>
        </w:rPr>
        <w:t>Wetlands</w:t>
      </w:r>
      <w:r w:rsidRPr="008608AA">
        <w:rPr>
          <w:noProof/>
        </w:rPr>
        <w:t xml:space="preserve"> (5th ed.). New York: John Wiley and Sons, Inc.</w:t>
      </w:r>
    </w:p>
    <w:p w14:paraId="132ABC89" w14:textId="77777777" w:rsidR="00B16A15" w:rsidRPr="008608AA" w:rsidRDefault="00B16A15" w:rsidP="00B16A15">
      <w:pPr>
        <w:widowControl w:val="0"/>
        <w:autoSpaceDE w:val="0"/>
        <w:autoSpaceDN w:val="0"/>
        <w:adjustRightInd w:val="0"/>
        <w:ind w:left="709" w:hanging="709"/>
        <w:rPr>
          <w:noProof/>
        </w:rPr>
      </w:pPr>
      <w:r w:rsidRPr="00A3137A">
        <w:rPr>
          <w:noProof/>
          <w:lang w:val="fr-FR"/>
        </w:rPr>
        <w:t xml:space="preserve">Mittermeier, C., Lamoreux, J., &amp; Fonseca, G. A. . </w:t>
      </w:r>
      <w:r w:rsidRPr="008608AA">
        <w:rPr>
          <w:noProof/>
        </w:rPr>
        <w:t xml:space="preserve">(2005). </w:t>
      </w:r>
      <w:r w:rsidRPr="008608AA">
        <w:rPr>
          <w:i/>
          <w:iCs/>
          <w:noProof/>
        </w:rPr>
        <w:t>Hotspots Revisited: Earth’s Biologically Richest and Most Endangered Terrestrial Ecoregions</w:t>
      </w:r>
      <w:r w:rsidRPr="008608AA">
        <w:rPr>
          <w:noProof/>
        </w:rPr>
        <w:t>. Washington D.C.</w:t>
      </w:r>
    </w:p>
    <w:p w14:paraId="698F82D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Moore, K. A., &amp; Short, F. T. (2006). Zostera: biology, ecology and management. In T. Larkum, R. Orth, &amp; C. Duarte (Eds.), </w:t>
      </w:r>
      <w:r w:rsidRPr="008608AA">
        <w:rPr>
          <w:i/>
          <w:iCs/>
          <w:noProof/>
        </w:rPr>
        <w:t>Seagrasses: Biology, Ecology and Conservation</w:t>
      </w:r>
      <w:r w:rsidRPr="008608AA">
        <w:rPr>
          <w:noProof/>
        </w:rPr>
        <w:t xml:space="preserve"> (pp. 361–386). The Netherlands: Springer.</w:t>
      </w:r>
    </w:p>
    <w:p w14:paraId="419AB530"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Moran, D., &amp; Kanemoto, K. (2017). Identifying species threat hotspots from global supply chains. </w:t>
      </w:r>
      <w:r w:rsidRPr="008608AA">
        <w:rPr>
          <w:i/>
          <w:iCs/>
          <w:noProof/>
          <w:lang w:val="es-CO"/>
        </w:rPr>
        <w:t>Nature Ecology &amp; Evolution</w:t>
      </w:r>
      <w:r w:rsidRPr="008608AA">
        <w:rPr>
          <w:noProof/>
          <w:lang w:val="es-CO"/>
        </w:rPr>
        <w:t>. http://doi.org/10.1038/s41559-016-0023</w:t>
      </w:r>
    </w:p>
    <w:p w14:paraId="6725D8CA" w14:textId="77777777" w:rsidR="00B16A15" w:rsidRPr="008608AA" w:rsidRDefault="00B16A15" w:rsidP="00B16A15">
      <w:pPr>
        <w:widowControl w:val="0"/>
        <w:autoSpaceDE w:val="0"/>
        <w:autoSpaceDN w:val="0"/>
        <w:adjustRightInd w:val="0"/>
        <w:ind w:left="709" w:hanging="709"/>
        <w:rPr>
          <w:noProof/>
          <w:lang w:val="es-CO"/>
        </w:rPr>
      </w:pPr>
      <w:r w:rsidRPr="008608AA">
        <w:rPr>
          <w:noProof/>
          <w:lang w:val="es-CO"/>
        </w:rPr>
        <w:t xml:space="preserve">Morello, J., Matteucci, S. D., Rodríguez, A. F., &amp; Silva, M. E. (2012). </w:t>
      </w:r>
      <w:r w:rsidRPr="008608AA">
        <w:rPr>
          <w:i/>
          <w:iCs/>
          <w:noProof/>
          <w:lang w:val="es-CO"/>
        </w:rPr>
        <w:t>Ecorregiones y Complejos Ecosistémicos Argentinos</w:t>
      </w:r>
      <w:r w:rsidRPr="008608AA">
        <w:rPr>
          <w:noProof/>
          <w:lang w:val="es-CO"/>
        </w:rPr>
        <w:t>. Buenos Aires, Argentina: Editorial Orientación Gráfica.</w:t>
      </w:r>
    </w:p>
    <w:p w14:paraId="31FA9BDE"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Muehlstein, L. K., Porter, D., &amp; Short, F. T. (1991). </w:t>
      </w:r>
      <w:r w:rsidRPr="008608AA">
        <w:rPr>
          <w:noProof/>
        </w:rPr>
        <w:t xml:space="preserve">Labyrinthula zosterae sp. nov., the causative agent of wasting disease of eelgrass, Zostera marina. </w:t>
      </w:r>
      <w:r w:rsidRPr="008608AA">
        <w:rPr>
          <w:i/>
          <w:iCs/>
          <w:noProof/>
        </w:rPr>
        <w:t>Mycologia</w:t>
      </w:r>
      <w:r w:rsidRPr="008608AA">
        <w:rPr>
          <w:noProof/>
        </w:rPr>
        <w:t xml:space="preserve">, </w:t>
      </w:r>
      <w:r w:rsidRPr="008608AA">
        <w:rPr>
          <w:i/>
          <w:iCs/>
          <w:noProof/>
        </w:rPr>
        <w:t>83</w:t>
      </w:r>
      <w:r w:rsidRPr="008608AA">
        <w:rPr>
          <w:noProof/>
        </w:rPr>
        <w:t>, (pp. 180–191).</w:t>
      </w:r>
    </w:p>
    <w:p w14:paraId="763A6F5C" w14:textId="77777777" w:rsidR="00B16A15" w:rsidRPr="00CE0821" w:rsidRDefault="00B16A15" w:rsidP="00B16A15">
      <w:pPr>
        <w:widowControl w:val="0"/>
        <w:autoSpaceDE w:val="0"/>
        <w:autoSpaceDN w:val="0"/>
        <w:adjustRightInd w:val="0"/>
        <w:ind w:left="709" w:hanging="709"/>
        <w:rPr>
          <w:noProof/>
        </w:rPr>
      </w:pPr>
      <w:r w:rsidRPr="008608AA">
        <w:rPr>
          <w:noProof/>
        </w:rPr>
        <w:t xml:space="preserve">Mulhouse, J., Hallett, M., &amp; Collins, S. (2017). The influence of seasonal precipitation and grass competition on 20 years of forb dynamics in northern Chihuahuan Desert grassland. </w:t>
      </w:r>
      <w:r w:rsidRPr="00CE0821">
        <w:rPr>
          <w:i/>
          <w:iCs/>
          <w:noProof/>
        </w:rPr>
        <w:t>Journal of Vegetation Science</w:t>
      </w:r>
      <w:r w:rsidRPr="00CE0821">
        <w:rPr>
          <w:noProof/>
        </w:rPr>
        <w:t xml:space="preserve">, </w:t>
      </w:r>
      <w:r w:rsidRPr="00CE0821">
        <w:rPr>
          <w:i/>
          <w:iCs/>
          <w:noProof/>
        </w:rPr>
        <w:t>28</w:t>
      </w:r>
      <w:r w:rsidRPr="00CE0821">
        <w:rPr>
          <w:noProof/>
        </w:rPr>
        <w:t>, (pp. 250–259).</w:t>
      </w:r>
    </w:p>
    <w:p w14:paraId="3ACF02D9" w14:textId="77777777" w:rsidR="00B16A15" w:rsidRPr="008608AA" w:rsidRDefault="00B16A15" w:rsidP="00B16A15">
      <w:pPr>
        <w:widowControl w:val="0"/>
        <w:autoSpaceDE w:val="0"/>
        <w:autoSpaceDN w:val="0"/>
        <w:adjustRightInd w:val="0"/>
        <w:ind w:left="709" w:hanging="709"/>
        <w:rPr>
          <w:noProof/>
          <w:lang w:val="es-CO"/>
        </w:rPr>
      </w:pPr>
      <w:r w:rsidRPr="00CE0821">
        <w:rPr>
          <w:noProof/>
        </w:rPr>
        <w:t xml:space="preserve">Müller, R., Larrea-Alcázar, D. M., Cuéllar, S., &amp; Espinoza, S. (2014). </w:t>
      </w:r>
      <w:r w:rsidRPr="008608AA">
        <w:rPr>
          <w:noProof/>
          <w:lang w:val="es-CO"/>
        </w:rPr>
        <w:t xml:space="preserve">Causas directas de la deforestación reciente (2000-2010) y modelado de dos escenarios futuros en las tierras bajas de Bolivia lowlands and modeling of future scenarios. </w:t>
      </w:r>
      <w:r w:rsidRPr="008608AA">
        <w:rPr>
          <w:i/>
          <w:iCs/>
          <w:noProof/>
          <w:lang w:val="es-CO"/>
        </w:rPr>
        <w:t>Ecología En Bolivia</w:t>
      </w:r>
      <w:r w:rsidRPr="008608AA">
        <w:rPr>
          <w:noProof/>
          <w:lang w:val="es-CO"/>
        </w:rPr>
        <w:t xml:space="preserve">, </w:t>
      </w:r>
      <w:r w:rsidRPr="008608AA">
        <w:rPr>
          <w:i/>
          <w:iCs/>
          <w:noProof/>
          <w:lang w:val="es-CO"/>
        </w:rPr>
        <w:t>49</w:t>
      </w:r>
      <w:r w:rsidRPr="008608AA">
        <w:rPr>
          <w:noProof/>
          <w:lang w:val="es-CO"/>
        </w:rPr>
        <w:t>(1), (pp. 20–34).</w:t>
      </w:r>
    </w:p>
    <w:p w14:paraId="32AD245C"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Myers, P., Lundrigan, B. L., Hoffman, S. M. G., Haraminac, A. P., &amp; Seto, S. H. (2009). </w:t>
      </w:r>
      <w:r w:rsidRPr="008608AA">
        <w:rPr>
          <w:noProof/>
        </w:rPr>
        <w:t xml:space="preserve">Climate-induced changes in the small mammal communities of the Northern Great Lakes Region. </w:t>
      </w:r>
      <w:r w:rsidRPr="008608AA">
        <w:rPr>
          <w:i/>
          <w:iCs/>
          <w:noProof/>
        </w:rPr>
        <w:t>Global Change Biology</w:t>
      </w:r>
      <w:r w:rsidRPr="008608AA">
        <w:rPr>
          <w:noProof/>
        </w:rPr>
        <w:t xml:space="preserve">, </w:t>
      </w:r>
      <w:r w:rsidRPr="008608AA">
        <w:rPr>
          <w:i/>
          <w:iCs/>
          <w:noProof/>
        </w:rPr>
        <w:t>15</w:t>
      </w:r>
      <w:r w:rsidRPr="008608AA">
        <w:rPr>
          <w:noProof/>
        </w:rPr>
        <w:t>(6), (pp. 1434–1454). http://doi.org/10.1111/j.1365-2486.2009.01846.x</w:t>
      </w:r>
    </w:p>
    <w:p w14:paraId="3758BBF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NAS (National Academy of Sciences)Agencies, F. (2007). </w:t>
      </w:r>
      <w:r w:rsidRPr="008608AA">
        <w:rPr>
          <w:i/>
          <w:iCs/>
          <w:noProof/>
        </w:rPr>
        <w:t>Environmental Impacts of Wind-Energy Projects</w:t>
      </w:r>
      <w:r w:rsidRPr="008608AA">
        <w:rPr>
          <w:noProof/>
        </w:rPr>
        <w:t>. http://doi.org/10.17226/11935</w:t>
      </w:r>
    </w:p>
    <w:p w14:paraId="62306ED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Natali, S. M., Schuur, E. A. G., Mauritz, M., Schade, J. D., Celis, G., Crummer, K. G., Johnston, C., Krapek, J., Pegoraro, E., Salmon, V. G., &amp; Webb, E. E. (2015). Permafrost thaw and soil moisture driving CO2 and CH4 release from upland tundra. </w:t>
      </w:r>
      <w:r w:rsidRPr="008608AA">
        <w:rPr>
          <w:i/>
          <w:iCs/>
          <w:noProof/>
        </w:rPr>
        <w:t>Journal of Geophysical Research G: Biogeosciences</w:t>
      </w:r>
      <w:r w:rsidRPr="008608AA">
        <w:rPr>
          <w:noProof/>
        </w:rPr>
        <w:t>. https://doi.org/10.1002/2014JG002872</w:t>
      </w:r>
    </w:p>
    <w:p w14:paraId="7719F697" w14:textId="77777777" w:rsidR="00B16A15" w:rsidRPr="008608AA" w:rsidRDefault="00B16A15" w:rsidP="00B16A15">
      <w:pPr>
        <w:widowControl w:val="0"/>
        <w:autoSpaceDE w:val="0"/>
        <w:autoSpaceDN w:val="0"/>
        <w:adjustRightInd w:val="0"/>
        <w:ind w:left="709" w:hanging="709"/>
        <w:rPr>
          <w:noProof/>
        </w:rPr>
      </w:pPr>
      <w:r w:rsidRPr="008608AA">
        <w:rPr>
          <w:noProof/>
        </w:rPr>
        <w:t>http://doi.org/10.1002/2014JG002872</w:t>
      </w:r>
    </w:p>
    <w:p w14:paraId="3A15E4A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National Academy of Science. (2007). </w:t>
      </w:r>
      <w:r w:rsidRPr="008608AA">
        <w:rPr>
          <w:i/>
          <w:iCs/>
          <w:noProof/>
        </w:rPr>
        <w:t>Environmental Impacts of Wind-Energy Projects</w:t>
      </w:r>
      <w:r w:rsidRPr="008608AA">
        <w:rPr>
          <w:noProof/>
        </w:rPr>
        <w:t>.</w:t>
      </w:r>
    </w:p>
    <w:p w14:paraId="74F2E1B7" w14:textId="77777777" w:rsidR="00B16A15" w:rsidRPr="008608AA" w:rsidRDefault="00B16A15" w:rsidP="00B16A15">
      <w:pPr>
        <w:widowControl w:val="0"/>
        <w:autoSpaceDE w:val="0"/>
        <w:autoSpaceDN w:val="0"/>
        <w:adjustRightInd w:val="0"/>
        <w:ind w:left="709" w:hanging="709"/>
        <w:rPr>
          <w:noProof/>
        </w:rPr>
      </w:pPr>
      <w:r w:rsidRPr="008608AA">
        <w:rPr>
          <w:noProof/>
        </w:rPr>
        <w:t>National Research Council. (2014). Progress Toward Restoring the Everglades: The Fifth Biennial Review: 2014. Washington, DC: The National Academies Press. http://doi.org/10.17226/18809</w:t>
      </w:r>
    </w:p>
    <w:p w14:paraId="24CA290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Nelson, E., Mendoza, G., Regetz, J., Polasky, S., Tallis, H., Cameron, D. R., Chan, K. M. a, Daily, G. C., Goldstein, J., Kareiva, P. M., Lonsdorf, E., Naidoo, R., Ricketts, T. H., &amp; Shaw, M. R. (2009). Modeling multiple ecosystem services, biodiversity conservation, commodity production, and tradeoffs at landscape scales. </w:t>
      </w:r>
      <w:r w:rsidRPr="008608AA">
        <w:rPr>
          <w:i/>
          <w:iCs/>
          <w:noProof/>
        </w:rPr>
        <w:t>Frontiers in Ecology and the Environment</w:t>
      </w:r>
      <w:r w:rsidRPr="008608AA">
        <w:rPr>
          <w:noProof/>
        </w:rPr>
        <w:t xml:space="preserve">, </w:t>
      </w:r>
      <w:r w:rsidRPr="008608AA">
        <w:rPr>
          <w:i/>
          <w:iCs/>
          <w:noProof/>
        </w:rPr>
        <w:t>7</w:t>
      </w:r>
      <w:r w:rsidRPr="008608AA">
        <w:rPr>
          <w:noProof/>
        </w:rPr>
        <w:t>(1), 4–11. https://doi.org/10.1890/080023</w:t>
      </w:r>
    </w:p>
    <w:p w14:paraId="7A94118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Nicholls, R. J., Wong, P. P., Burkett, V. R., Codignotto, J. O., Hay, J. E., McLean, R. F., Ragoonaden, S., &amp; Woodroffe, C. D. (2007). Coastal systems and low-lying areas. In M. L. Parry, O. F. Canziani, J. P. Palutikof, P. J. van der Linden, &amp; C. E. Hanson (Eds.), </w:t>
      </w:r>
      <w:r w:rsidRPr="008608AA">
        <w:rPr>
          <w:i/>
          <w:iCs/>
          <w:noProof/>
        </w:rPr>
        <w:t>Climate Change 2007: Impacts, Adaptation and Vulnerability.Contribution of Working Group II to the Fourth Assessment Report of the Intergovernmental Panel on Climate Change</w:t>
      </w:r>
      <w:r w:rsidRPr="008608AA">
        <w:rPr>
          <w:noProof/>
        </w:rPr>
        <w:t xml:space="preserve"> (pp. 315–356). Cambridge, UK: Cambridge University Press.</w:t>
      </w:r>
    </w:p>
    <w:p w14:paraId="1D728101"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Nogueira, E. M., Yanai, A. M., Fonseca, F. O. R., &amp; Fearnside, P. M. (2015). Carbon stock loss from deforestation through 2013 in Brazilian Amazonia. </w:t>
      </w:r>
      <w:r w:rsidRPr="008608AA">
        <w:rPr>
          <w:i/>
          <w:iCs/>
          <w:noProof/>
        </w:rPr>
        <w:t>Global Change Biology</w:t>
      </w:r>
      <w:r w:rsidRPr="008608AA">
        <w:rPr>
          <w:noProof/>
        </w:rPr>
        <w:t xml:space="preserve">, </w:t>
      </w:r>
      <w:r w:rsidRPr="008608AA">
        <w:rPr>
          <w:i/>
          <w:iCs/>
          <w:noProof/>
        </w:rPr>
        <w:t>21</w:t>
      </w:r>
      <w:r w:rsidRPr="008608AA">
        <w:rPr>
          <w:noProof/>
        </w:rPr>
        <w:t>(3), (pp. 1271–1292). http://doi.org/10.1111/gcb.12798</w:t>
      </w:r>
    </w:p>
    <w:p w14:paraId="4CCBC620" w14:textId="77777777" w:rsidR="00B16A15" w:rsidRPr="008608AA" w:rsidRDefault="00B16A15" w:rsidP="00B16A15">
      <w:pPr>
        <w:widowControl w:val="0"/>
        <w:autoSpaceDE w:val="0"/>
        <w:autoSpaceDN w:val="0"/>
        <w:adjustRightInd w:val="0"/>
        <w:ind w:left="709" w:hanging="709"/>
        <w:rPr>
          <w:noProof/>
          <w:lang w:val="es-ES"/>
        </w:rPr>
      </w:pPr>
      <w:r w:rsidRPr="008608AA">
        <w:rPr>
          <w:noProof/>
        </w:rPr>
        <w:t xml:space="preserve">O’Neill, B. C., Kriegler, E., Riahi, K., Ebi, K. L., Hallegatte, S., Carter, T. R., Mathur, R., &amp; van Vuuren, D. P. (2014). A new scenario framework for climate change research: the concept of shared socioeconomic pathways. </w:t>
      </w:r>
      <w:r w:rsidRPr="008608AA">
        <w:rPr>
          <w:i/>
          <w:iCs/>
          <w:noProof/>
          <w:lang w:val="es-ES"/>
        </w:rPr>
        <w:t>Climatic Change</w:t>
      </w:r>
      <w:r w:rsidRPr="008608AA">
        <w:rPr>
          <w:noProof/>
          <w:lang w:val="es-ES"/>
        </w:rPr>
        <w:t xml:space="preserve">, </w:t>
      </w:r>
      <w:r w:rsidRPr="008608AA">
        <w:rPr>
          <w:i/>
          <w:iCs/>
          <w:noProof/>
          <w:lang w:val="es-ES"/>
        </w:rPr>
        <w:t>122</w:t>
      </w:r>
      <w:r w:rsidRPr="008608AA">
        <w:rPr>
          <w:noProof/>
          <w:lang w:val="es-ES"/>
        </w:rPr>
        <w:t>(3), 387–400. https://doi.org/10.1007/s10584-013-0905-2</w:t>
      </w:r>
    </w:p>
    <w:p w14:paraId="407C8D65" w14:textId="77777777" w:rsidR="00B16A15" w:rsidRPr="008608AA" w:rsidRDefault="00B16A15" w:rsidP="00B16A15">
      <w:pPr>
        <w:widowControl w:val="0"/>
        <w:autoSpaceDE w:val="0"/>
        <w:autoSpaceDN w:val="0"/>
        <w:adjustRightInd w:val="0"/>
        <w:ind w:left="709" w:hanging="709"/>
        <w:rPr>
          <w:noProof/>
          <w:lang w:val="es-CO"/>
        </w:rPr>
      </w:pPr>
      <w:r w:rsidRPr="008608AA">
        <w:rPr>
          <w:noProof/>
          <w:lang w:val="es-CO"/>
        </w:rPr>
        <w:t xml:space="preserve">ODEPA. (2013). </w:t>
      </w:r>
      <w:r w:rsidRPr="008608AA">
        <w:rPr>
          <w:i/>
          <w:noProof/>
          <w:lang w:val="es-CO"/>
        </w:rPr>
        <w:t>Uva de mesa: se ratifica liderazgo exportador mundial de Chile.</w:t>
      </w:r>
    </w:p>
    <w:p w14:paraId="05493862"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OECD. (2012). </w:t>
      </w:r>
      <w:r w:rsidRPr="008608AA">
        <w:rPr>
          <w:i/>
          <w:iCs/>
          <w:noProof/>
        </w:rPr>
        <w:t>OECD Environmental Outlook to 2050: The Consequences of Inaction</w:t>
      </w:r>
      <w:r w:rsidRPr="008608AA">
        <w:rPr>
          <w:noProof/>
        </w:rPr>
        <w:t xml:space="preserve">. </w:t>
      </w:r>
      <w:r w:rsidRPr="008608AA">
        <w:rPr>
          <w:i/>
          <w:iCs/>
          <w:noProof/>
        </w:rPr>
        <w:t>Outlook</w:t>
      </w:r>
      <w:r w:rsidRPr="008608AA">
        <w:rPr>
          <w:noProof/>
        </w:rPr>
        <w:t>. http://doi.org/10.1787/9789264122246-en</w:t>
      </w:r>
    </w:p>
    <w:p w14:paraId="6504AF29" w14:textId="77777777" w:rsidR="00B16A15" w:rsidRPr="008608AA" w:rsidRDefault="00B16A15" w:rsidP="00B16A15">
      <w:pPr>
        <w:widowControl w:val="0"/>
        <w:autoSpaceDE w:val="0"/>
        <w:autoSpaceDN w:val="0"/>
        <w:adjustRightInd w:val="0"/>
        <w:ind w:left="709" w:hanging="709"/>
        <w:rPr>
          <w:noProof/>
        </w:rPr>
      </w:pPr>
      <w:r w:rsidRPr="008608AA">
        <w:rPr>
          <w:noProof/>
        </w:rPr>
        <w:t>Oerke, E. C. (2006). C</w:t>
      </w:r>
      <w:r w:rsidRPr="008608AA">
        <w:rPr>
          <w:i/>
          <w:noProof/>
        </w:rPr>
        <w:t>rop losses to pests.</w:t>
      </w:r>
      <w:r w:rsidRPr="008608AA">
        <w:rPr>
          <w:noProof/>
        </w:rPr>
        <w:t xml:space="preserve"> </w:t>
      </w:r>
      <w:r w:rsidRPr="008608AA">
        <w:rPr>
          <w:i/>
          <w:iCs/>
          <w:noProof/>
        </w:rPr>
        <w:t>The Journal of Agricultural Science</w:t>
      </w:r>
      <w:r w:rsidRPr="008608AA">
        <w:rPr>
          <w:noProof/>
        </w:rPr>
        <w:t xml:space="preserve">, </w:t>
      </w:r>
      <w:r w:rsidRPr="008608AA">
        <w:rPr>
          <w:i/>
          <w:iCs/>
          <w:noProof/>
        </w:rPr>
        <w:t>144</w:t>
      </w:r>
      <w:r w:rsidRPr="008608AA">
        <w:rPr>
          <w:noProof/>
        </w:rPr>
        <w:t>(1), 31. http://doi.org/10.1017/S0021859605005708</w:t>
      </w:r>
    </w:p>
    <w:p w14:paraId="7FC0B47F" w14:textId="77777777" w:rsidR="00B16A15" w:rsidRPr="00A3137A" w:rsidRDefault="00B16A15" w:rsidP="00B16A15">
      <w:pPr>
        <w:widowControl w:val="0"/>
        <w:autoSpaceDE w:val="0"/>
        <w:autoSpaceDN w:val="0"/>
        <w:adjustRightInd w:val="0"/>
        <w:ind w:left="709" w:hanging="709"/>
        <w:rPr>
          <w:noProof/>
          <w:lang w:val="fr-FR"/>
        </w:rPr>
      </w:pPr>
      <w:r w:rsidRPr="008608AA">
        <w:rPr>
          <w:noProof/>
          <w:lang w:val="es-CO"/>
        </w:rPr>
        <w:t xml:space="preserve">Oliveira, C. M., Auad, A. M., Mendes, S. M., &amp; Frizzas, M. R. (2014). </w:t>
      </w:r>
      <w:r w:rsidRPr="008608AA">
        <w:rPr>
          <w:noProof/>
        </w:rPr>
        <w:t xml:space="preserve">Crop losses and the economic impact of insect pests on Brazilian agriculture. </w:t>
      </w:r>
      <w:r w:rsidRPr="00A3137A">
        <w:rPr>
          <w:i/>
          <w:iCs/>
          <w:noProof/>
          <w:lang w:val="fr-FR"/>
        </w:rPr>
        <w:t>Crop Protection</w:t>
      </w:r>
      <w:r w:rsidRPr="00A3137A">
        <w:rPr>
          <w:noProof/>
          <w:lang w:val="fr-FR"/>
        </w:rPr>
        <w:t xml:space="preserve">, </w:t>
      </w:r>
      <w:r w:rsidRPr="00A3137A">
        <w:rPr>
          <w:i/>
          <w:iCs/>
          <w:noProof/>
          <w:lang w:val="fr-FR"/>
        </w:rPr>
        <w:t>56</w:t>
      </w:r>
      <w:r w:rsidRPr="00A3137A">
        <w:rPr>
          <w:noProof/>
          <w:lang w:val="fr-FR"/>
        </w:rPr>
        <w:t>(56), (pp. 50–54). http://doi.org/10.1016/J.CROPRO.2013.10.022</w:t>
      </w:r>
    </w:p>
    <w:p w14:paraId="1ED96EF7" w14:textId="77777777" w:rsidR="00B16A15" w:rsidRPr="008608AA" w:rsidRDefault="00B16A15" w:rsidP="00B16A15">
      <w:pPr>
        <w:widowControl w:val="0"/>
        <w:autoSpaceDE w:val="0"/>
        <w:autoSpaceDN w:val="0"/>
        <w:adjustRightInd w:val="0"/>
        <w:ind w:left="709" w:hanging="709"/>
        <w:rPr>
          <w:noProof/>
          <w:lang w:val="es-CO"/>
        </w:rPr>
      </w:pPr>
      <w:r w:rsidRPr="00A3137A">
        <w:rPr>
          <w:noProof/>
          <w:lang w:val="fr-FR"/>
        </w:rPr>
        <w:t xml:space="preserve">Oliveira, H. R., &amp; Cassemiro, F. A. S. (2013). </w:t>
      </w:r>
      <w:r w:rsidRPr="008608AA">
        <w:rPr>
          <w:noProof/>
        </w:rPr>
        <w:t xml:space="preserve">Potential effects of climate change on the distribution of a Caatinga’s frog Rhinella granulosa (Anura, Bufonidae) . </w:t>
      </w:r>
      <w:r w:rsidRPr="008608AA">
        <w:rPr>
          <w:i/>
          <w:iCs/>
          <w:noProof/>
          <w:lang w:val="es-CO"/>
        </w:rPr>
        <w:t>Iheringia - Serie Zoologia</w:t>
      </w:r>
      <w:r w:rsidRPr="008608AA">
        <w:rPr>
          <w:noProof/>
          <w:lang w:val="es-CO"/>
        </w:rPr>
        <w:t>. http://doi.org/10.1590/S0073-47212013000300010</w:t>
      </w:r>
    </w:p>
    <w:p w14:paraId="1682B2E7"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Olsen, Y. S., Sánchez-Camacho, M., Marbà, N., &amp; Duarte, C. M. (2012). </w:t>
      </w:r>
      <w:r w:rsidRPr="008608AA">
        <w:rPr>
          <w:noProof/>
        </w:rPr>
        <w:t xml:space="preserve">Mediterranean Seagrass Growth and Demography Responses to Experimental Warming. </w:t>
      </w:r>
      <w:r w:rsidRPr="008608AA">
        <w:rPr>
          <w:i/>
          <w:iCs/>
          <w:noProof/>
        </w:rPr>
        <w:t>Estuaries and Coasts</w:t>
      </w:r>
      <w:r w:rsidRPr="008608AA">
        <w:rPr>
          <w:noProof/>
        </w:rPr>
        <w:t xml:space="preserve">, </w:t>
      </w:r>
      <w:r w:rsidRPr="008608AA">
        <w:rPr>
          <w:i/>
          <w:iCs/>
          <w:noProof/>
        </w:rPr>
        <w:t>35</w:t>
      </w:r>
      <w:r w:rsidRPr="008608AA">
        <w:rPr>
          <w:noProof/>
        </w:rPr>
        <w:t>(5), (pp. 1205–1213). http://doi.org/10.1007/s12237-012-9521-z</w:t>
      </w:r>
    </w:p>
    <w:p w14:paraId="2F161219" w14:textId="77777777" w:rsidR="00B16A15" w:rsidRPr="008608AA" w:rsidRDefault="00B16A15" w:rsidP="00B16A15">
      <w:pPr>
        <w:widowControl w:val="0"/>
        <w:autoSpaceDE w:val="0"/>
        <w:autoSpaceDN w:val="0"/>
        <w:adjustRightInd w:val="0"/>
        <w:ind w:left="709" w:hanging="709"/>
        <w:rPr>
          <w:noProof/>
          <w:lang w:val="es-ES"/>
        </w:rPr>
      </w:pPr>
      <w:r w:rsidRPr="008608AA">
        <w:rPr>
          <w:noProof/>
        </w:rPr>
        <w:t xml:space="preserve">Olson, D. M., Dinerstein, E., Wikramanayake, E. D., Burgess, N. D., Powell, G. V. N., Underwood, E. C., D’Amico, J. A., Itoua, I., Strand, H. E., Morrison, J. C., Loucks, C. J., Allnutt, T. F., Ricketts, T. H., Kura, Y., Lamoreux, J. F., Wettengel, W. W., Hedao, P., &amp; Kassem, K. R. (2001). Terrestrial Ecoregions of the World: A New Map of Life on Earth. </w:t>
      </w:r>
      <w:r w:rsidRPr="008608AA">
        <w:rPr>
          <w:i/>
          <w:iCs/>
          <w:noProof/>
          <w:lang w:val="es-ES"/>
        </w:rPr>
        <w:t>BioScience</w:t>
      </w:r>
      <w:r w:rsidRPr="008608AA">
        <w:rPr>
          <w:noProof/>
          <w:lang w:val="es-ES"/>
        </w:rPr>
        <w:t xml:space="preserve">, </w:t>
      </w:r>
      <w:r w:rsidRPr="008608AA">
        <w:rPr>
          <w:i/>
          <w:iCs/>
          <w:noProof/>
          <w:lang w:val="es-ES"/>
        </w:rPr>
        <w:t>51</w:t>
      </w:r>
      <w:r w:rsidRPr="008608AA">
        <w:rPr>
          <w:noProof/>
          <w:lang w:val="es-ES"/>
        </w:rPr>
        <w:t>, 933–938.</w:t>
      </w:r>
    </w:p>
    <w:p w14:paraId="7CC11C2D" w14:textId="77777777" w:rsidR="00B16A15" w:rsidRPr="008608AA" w:rsidRDefault="00B16A15" w:rsidP="00B16A15">
      <w:pPr>
        <w:widowControl w:val="0"/>
        <w:autoSpaceDE w:val="0"/>
        <w:autoSpaceDN w:val="0"/>
        <w:adjustRightInd w:val="0"/>
        <w:ind w:left="709" w:hanging="709"/>
        <w:rPr>
          <w:noProof/>
        </w:rPr>
      </w:pPr>
      <w:r w:rsidRPr="008608AA">
        <w:rPr>
          <w:noProof/>
          <w:lang w:val="es-ES"/>
        </w:rPr>
        <w:t xml:space="preserve">Ometto, J. P., Aguiar, A. P., Assis, T., Soler, L., Valle, P., Tejada, G., Lapola, D. M., &amp; Meir, P. (2014). </w:t>
      </w:r>
      <w:r w:rsidRPr="008608AA">
        <w:rPr>
          <w:noProof/>
        </w:rPr>
        <w:t xml:space="preserve">Amazon forest biomass density maps: tackling the uncertainty in carbon emission estimates. </w:t>
      </w:r>
      <w:r w:rsidRPr="008608AA">
        <w:rPr>
          <w:i/>
          <w:iCs/>
          <w:noProof/>
        </w:rPr>
        <w:t>Climatic Change</w:t>
      </w:r>
      <w:r w:rsidRPr="008608AA">
        <w:rPr>
          <w:noProof/>
        </w:rPr>
        <w:t xml:space="preserve">, </w:t>
      </w:r>
      <w:r w:rsidRPr="008608AA">
        <w:rPr>
          <w:i/>
          <w:iCs/>
          <w:noProof/>
        </w:rPr>
        <w:t>124</w:t>
      </w:r>
      <w:r w:rsidRPr="008608AA">
        <w:rPr>
          <w:noProof/>
        </w:rPr>
        <w:t>(3), 545–560. https://doi.org/10.1007/s10584-014-1058-7</w:t>
      </w:r>
    </w:p>
    <w:p w14:paraId="1762D50C"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Ometto, J. P., Aguiar, A. P. D., &amp; Martinelli, L. A. (2011). Amazon deforestation in Brazil: effects, drivers and challenges. </w:t>
      </w:r>
      <w:r w:rsidRPr="008608AA">
        <w:rPr>
          <w:i/>
          <w:iCs/>
          <w:noProof/>
          <w:lang w:val="es-CO"/>
        </w:rPr>
        <w:t>Carbon Management</w:t>
      </w:r>
      <w:r w:rsidRPr="008608AA">
        <w:rPr>
          <w:noProof/>
          <w:lang w:val="es-CO"/>
        </w:rPr>
        <w:t xml:space="preserve">, </w:t>
      </w:r>
      <w:r w:rsidRPr="008608AA">
        <w:rPr>
          <w:i/>
          <w:iCs/>
          <w:noProof/>
          <w:lang w:val="es-CO"/>
        </w:rPr>
        <w:t>2</w:t>
      </w:r>
      <w:r w:rsidRPr="008608AA">
        <w:rPr>
          <w:noProof/>
          <w:lang w:val="es-CO"/>
        </w:rPr>
        <w:t>(5), (pp. 575–585). http://doi.org/10.4155/cmt.11.48</w:t>
      </w:r>
    </w:p>
    <w:p w14:paraId="4593FA03"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Ondiviela, B., Losada, I. J., Lara, J. L., Maza, M., Galván, C., Bouma, T. J., &amp; van Belzen, J. (2014). </w:t>
      </w:r>
      <w:r w:rsidRPr="008608AA">
        <w:rPr>
          <w:noProof/>
        </w:rPr>
        <w:t xml:space="preserve">The role of seagrasses in coastal protection in a changing climate. </w:t>
      </w:r>
      <w:r w:rsidRPr="008608AA">
        <w:rPr>
          <w:i/>
          <w:iCs/>
          <w:noProof/>
        </w:rPr>
        <w:t>Coastal Engineering</w:t>
      </w:r>
      <w:r w:rsidRPr="008608AA">
        <w:rPr>
          <w:noProof/>
        </w:rPr>
        <w:t xml:space="preserve">, </w:t>
      </w:r>
      <w:r w:rsidRPr="008608AA">
        <w:rPr>
          <w:i/>
          <w:iCs/>
          <w:noProof/>
        </w:rPr>
        <w:t>87</w:t>
      </w:r>
      <w:r w:rsidRPr="008608AA">
        <w:rPr>
          <w:noProof/>
        </w:rPr>
        <w:t>, (pp. 158–168). http://doi.org/10.1016/j.coastaleng.2013.11.005</w:t>
      </w:r>
    </w:p>
    <w:p w14:paraId="58EB17F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Orth, R. J., Carruthers, T. J. B., Dennison, W. C., Duarte, C. M., Fourqurean, J. W., Heck, K. L., Hughes, A. R., Kendrick, G. A., Kenworthy, W. J., Olyarnik, S., Short, F. T., Waycott, M., &amp; Williams, S. L. (2006). A Global Crisis for Seagrass Ecosystems. </w:t>
      </w:r>
      <w:r w:rsidRPr="008608AA">
        <w:rPr>
          <w:i/>
          <w:iCs/>
          <w:noProof/>
        </w:rPr>
        <w:t>BioScience</w:t>
      </w:r>
      <w:r w:rsidRPr="008608AA">
        <w:rPr>
          <w:noProof/>
        </w:rPr>
        <w:t xml:space="preserve">, </w:t>
      </w:r>
      <w:r w:rsidRPr="008608AA">
        <w:rPr>
          <w:i/>
          <w:iCs/>
          <w:noProof/>
        </w:rPr>
        <w:t>56</w:t>
      </w:r>
      <w:r w:rsidRPr="008608AA">
        <w:rPr>
          <w:noProof/>
        </w:rPr>
        <w:t>(12), 987–996.</w:t>
      </w:r>
    </w:p>
    <w:p w14:paraId="4E030E2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Osland, M. J., Gonzalez, E., &amp; C. J. Richardson. (2011). Coastal Freshwater Wetland Plant Community Response to Seasonal Drought and Flooding in Northwestern Costa Rica. </w:t>
      </w:r>
      <w:r w:rsidRPr="008608AA">
        <w:rPr>
          <w:i/>
          <w:iCs/>
          <w:noProof/>
        </w:rPr>
        <w:t>Wetlands</w:t>
      </w:r>
      <w:r w:rsidRPr="008608AA">
        <w:rPr>
          <w:noProof/>
        </w:rPr>
        <w:t xml:space="preserve">, </w:t>
      </w:r>
      <w:r w:rsidRPr="008608AA">
        <w:rPr>
          <w:i/>
          <w:iCs/>
          <w:noProof/>
        </w:rPr>
        <w:t>31</w:t>
      </w:r>
      <w:r w:rsidRPr="008608AA">
        <w:rPr>
          <w:noProof/>
        </w:rPr>
        <w:t>, (pp. 641–652).</w:t>
      </w:r>
    </w:p>
    <w:p w14:paraId="664313E8" w14:textId="77777777" w:rsidR="00B16A15" w:rsidRPr="008608AA" w:rsidRDefault="00B16A15" w:rsidP="00B16A15">
      <w:pPr>
        <w:widowControl w:val="0"/>
        <w:autoSpaceDE w:val="0"/>
        <w:autoSpaceDN w:val="0"/>
        <w:adjustRightInd w:val="0"/>
        <w:ind w:left="709" w:hanging="709"/>
        <w:rPr>
          <w:noProof/>
        </w:rPr>
      </w:pPr>
      <w:r w:rsidRPr="008608AA">
        <w:rPr>
          <w:noProof/>
        </w:rPr>
        <w:t>Oswalt, S. N., &amp; Smith, B. W. (2014). US forest resource facts and historical trends. Forest Service FS-1035 August 2014.</w:t>
      </w:r>
    </w:p>
    <w:p w14:paraId="365FA36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Oteros-Rozas, E., Martín-López, B., Daw, T. M., Bohensky, E. L., Butler, J. R. A., Hill, R., Martin-Ortega, J., Quinlan, A., Ravera, F., Ruiz-Mallén, I., Thyresson, M., Mistry, J., Palomo, I., Peterson, G. D., Plieninger, T., Waylen, K. A., Beach, D. M., Bohnet, I. C., Hamann, M., Hanspach, J., Hubacek, K., Lavorel, S., &amp; Vilardy, S. P. (2015). Participatory scenario planning in place-based social-ecological research: insights and experiences from 23 case studies. </w:t>
      </w:r>
      <w:r w:rsidRPr="008608AA">
        <w:rPr>
          <w:i/>
          <w:iCs/>
          <w:noProof/>
        </w:rPr>
        <w:t>Ecology and Society</w:t>
      </w:r>
      <w:r w:rsidRPr="008608AA">
        <w:rPr>
          <w:noProof/>
        </w:rPr>
        <w:t xml:space="preserve">, </w:t>
      </w:r>
      <w:r w:rsidRPr="008608AA">
        <w:rPr>
          <w:i/>
          <w:iCs/>
          <w:noProof/>
        </w:rPr>
        <w:t>20</w:t>
      </w:r>
      <w:r w:rsidRPr="008608AA">
        <w:rPr>
          <w:noProof/>
        </w:rPr>
        <w:t>(4), art32. https://doi.org/10.5751/ES-07985-200432</w:t>
      </w:r>
    </w:p>
    <w:p w14:paraId="0E0C13B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Outeiro, L., Häussermann, V., Viddi, F., Hucke-Gaete, R., Försterra, G., Oyarzo, H., Kosiel, K., &amp; Villasante, S. (2014). Using ecosystem services mapping for marine spatial planning in southern Chile under scenario assessment. </w:t>
      </w:r>
      <w:r w:rsidRPr="008608AA">
        <w:rPr>
          <w:i/>
          <w:iCs/>
          <w:noProof/>
        </w:rPr>
        <w:t>Ecosystem Services</w:t>
      </w:r>
      <w:r w:rsidRPr="008608AA">
        <w:rPr>
          <w:noProof/>
        </w:rPr>
        <w:t xml:space="preserve">, </w:t>
      </w:r>
      <w:r w:rsidRPr="008608AA">
        <w:rPr>
          <w:i/>
          <w:iCs/>
          <w:noProof/>
        </w:rPr>
        <w:t>16</w:t>
      </w:r>
      <w:r w:rsidRPr="008608AA">
        <w:rPr>
          <w:noProof/>
        </w:rPr>
        <w:t>(16), 341–353. https://doi.org/10.1016/j.ecoser.2015.03.004</w:t>
      </w:r>
    </w:p>
    <w:p w14:paraId="005C110C"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Pan, Y., Birdsey, R. A., Fang, J., Houghton, R., Kauppi, P. E., Kurz, W. A., Phillips, O. L., Shvidenko, A., Lewis, S. L., Canadell, J. G., Ciais, P., Jackson, R. B., Pacala, S. W., McGuire, A. D., Piao, S., Rautiainen, A., Sitch, S., &amp; Hayes, D. (2011). A Large and Persistent Carbon Sink in the World’s Forests. </w:t>
      </w:r>
      <w:r w:rsidRPr="008608AA">
        <w:rPr>
          <w:i/>
          <w:iCs/>
          <w:noProof/>
        </w:rPr>
        <w:t>Science</w:t>
      </w:r>
      <w:r w:rsidRPr="008608AA">
        <w:rPr>
          <w:noProof/>
        </w:rPr>
        <w:t xml:space="preserve">, </w:t>
      </w:r>
      <w:r w:rsidRPr="008608AA">
        <w:rPr>
          <w:i/>
          <w:iCs/>
          <w:noProof/>
        </w:rPr>
        <w:t>333</w:t>
      </w:r>
      <w:r w:rsidRPr="008608AA">
        <w:rPr>
          <w:noProof/>
        </w:rPr>
        <w:t>(6045), 988–993. https://doi.org/10.1126/science.1201609</w:t>
      </w:r>
    </w:p>
    <w:p w14:paraId="67069F1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Parlee, B., Thorpe, N., &amp; McNabb, T. (2013). </w:t>
      </w:r>
      <w:r w:rsidRPr="008608AA">
        <w:rPr>
          <w:i/>
          <w:iCs/>
          <w:noProof/>
        </w:rPr>
        <w:t>Traditional Knowledge of Barren Ground Caribou</w:t>
      </w:r>
      <w:r w:rsidRPr="008608AA">
        <w:rPr>
          <w:noProof/>
        </w:rPr>
        <w:t>. Edmonton.</w:t>
      </w:r>
    </w:p>
    <w:p w14:paraId="04135716" w14:textId="77777777" w:rsidR="00B16A15" w:rsidRPr="00CE0821" w:rsidRDefault="00B16A15" w:rsidP="00B16A15">
      <w:pPr>
        <w:widowControl w:val="0"/>
        <w:autoSpaceDE w:val="0"/>
        <w:autoSpaceDN w:val="0"/>
        <w:adjustRightInd w:val="0"/>
        <w:ind w:left="709" w:hanging="709"/>
        <w:rPr>
          <w:noProof/>
          <w:lang w:val="es-CO"/>
        </w:rPr>
      </w:pPr>
      <w:r w:rsidRPr="008608AA">
        <w:rPr>
          <w:noProof/>
        </w:rPr>
        <w:t xml:space="preserve">Parmentier, F.-J. W., Christensen, T. R., Sørensen, L. L., Rysgaard, S., Mcguire, A. D., Miller, P. A., &amp; Walker, D. A. (2013). The impact of lower sea-ice extent on Arctic greenhouse-gas exchange. </w:t>
      </w:r>
      <w:r w:rsidRPr="00CE0821">
        <w:rPr>
          <w:i/>
          <w:iCs/>
          <w:noProof/>
          <w:lang w:val="es-CO"/>
        </w:rPr>
        <w:t>Nature Climate Change</w:t>
      </w:r>
      <w:r w:rsidRPr="00CE0821">
        <w:rPr>
          <w:noProof/>
          <w:lang w:val="es-CO"/>
        </w:rPr>
        <w:t xml:space="preserve">, </w:t>
      </w:r>
      <w:r w:rsidRPr="00CE0821">
        <w:rPr>
          <w:i/>
          <w:iCs/>
          <w:noProof/>
          <w:lang w:val="es-CO"/>
        </w:rPr>
        <w:t>3</w:t>
      </w:r>
      <w:r w:rsidRPr="00CE0821">
        <w:rPr>
          <w:noProof/>
          <w:lang w:val="es-CO"/>
        </w:rPr>
        <w:t>(3), (pp. 195–202). http://doi.org/10.1038/nclimate1784</w:t>
      </w:r>
    </w:p>
    <w:p w14:paraId="75009B4A" w14:textId="77777777" w:rsidR="00B16A15" w:rsidRPr="008608AA" w:rsidRDefault="00B16A15" w:rsidP="00B16A15">
      <w:pPr>
        <w:widowControl w:val="0"/>
        <w:autoSpaceDE w:val="0"/>
        <w:autoSpaceDN w:val="0"/>
        <w:adjustRightInd w:val="0"/>
        <w:ind w:left="709" w:hanging="709"/>
        <w:rPr>
          <w:noProof/>
        </w:rPr>
      </w:pPr>
      <w:r w:rsidRPr="00CE0821">
        <w:rPr>
          <w:noProof/>
          <w:lang w:val="es-CO"/>
        </w:rPr>
        <w:t xml:space="preserve">Pascual, A., &amp; Rodriguez-Lazaro, J. (2006). </w:t>
      </w:r>
      <w:r w:rsidRPr="008608AA">
        <w:rPr>
          <w:noProof/>
        </w:rPr>
        <w:t xml:space="preserve">Marsh development and sea level changes in the Gernika Estuary (southern Bay of Biscay): foraminifers as tidal indicators. </w:t>
      </w:r>
      <w:r w:rsidRPr="008608AA">
        <w:rPr>
          <w:i/>
          <w:iCs/>
          <w:noProof/>
        </w:rPr>
        <w:t>Scientia Marina</w:t>
      </w:r>
      <w:r w:rsidRPr="008608AA">
        <w:rPr>
          <w:noProof/>
        </w:rPr>
        <w:t xml:space="preserve">, </w:t>
      </w:r>
      <w:r w:rsidRPr="008608AA">
        <w:rPr>
          <w:i/>
          <w:iCs/>
          <w:noProof/>
        </w:rPr>
        <w:t>70S1</w:t>
      </w:r>
      <w:r w:rsidRPr="008608AA">
        <w:rPr>
          <w:noProof/>
        </w:rPr>
        <w:t>(70S1), (pp. 101–117).</w:t>
      </w:r>
    </w:p>
    <w:p w14:paraId="33525DD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Pascual, U., Balvanera, P., Díaz, S., Pataki, G., Roth, E., Stenseke, M., Watson, R. T., Başak Dessane, E., Islar, M., Kelemen, E., Maris, V., Quaas, M., Subramanian, S. M., Wittmer, H., Adlan, A., Ahn, S. E., Al-Hafedh, Y. S., Amankwah, E., Asah, S. T., Berry, P., Bilgin, A., Breslow, S. J., Bullock, C., Cáceres, D., Daly-Hassen, H., Figueroa, E., Golden, C. D., Gómez-Baggethun, E., González-Jiménez, D., Houdet, J., Keune, H., Kumar, R., Ma, K., May, P. H., Mead, A., O’Farrell, P., Pandit, R., Pengue, W., Pichis-Madruga, R., Popa, F., Preston, S., Pacheco-Balanza, D., Saarikoski, H., Strassburg, B. B., van den Belt, M., Verma, M., Wickson, F., &amp; Yagi, N. (2017). Valuing nature’s contributions to people: the IPBES approach. </w:t>
      </w:r>
      <w:r w:rsidRPr="008608AA">
        <w:rPr>
          <w:i/>
          <w:iCs/>
          <w:noProof/>
        </w:rPr>
        <w:t>Current Opinion in Environmental Sustainability</w:t>
      </w:r>
      <w:r w:rsidRPr="008608AA">
        <w:rPr>
          <w:noProof/>
        </w:rPr>
        <w:t>. https://doi.org/10.1016/j.cosust.2016.12.006</w:t>
      </w:r>
    </w:p>
    <w:p w14:paraId="79E6F9F6" w14:textId="77777777" w:rsidR="00B16A15" w:rsidRPr="008608AA" w:rsidRDefault="00B16A15" w:rsidP="00B16A15">
      <w:pPr>
        <w:widowControl w:val="0"/>
        <w:autoSpaceDE w:val="0"/>
        <w:autoSpaceDN w:val="0"/>
        <w:adjustRightInd w:val="0"/>
        <w:ind w:left="709" w:hanging="709"/>
        <w:rPr>
          <w:noProof/>
        </w:rPr>
      </w:pPr>
      <w:r w:rsidRPr="008608AA">
        <w:rPr>
          <w:noProof/>
          <w:lang w:val="es-ES"/>
        </w:rPr>
        <w:t xml:space="preserve">Pascual, U., Palomo, I., Adams, W. M., Chan, K. M. A., Daw, T. M., Garmendia, E., Gómez-Baggethun, E., de Groot, R. S., Mace, G. M., Martín-López, B., &amp; Phelps, J. (2017). </w:t>
      </w:r>
      <w:r w:rsidRPr="008608AA">
        <w:rPr>
          <w:noProof/>
        </w:rPr>
        <w:t xml:space="preserve">Off-stage ecosystem service burdens: A blind spot for global sustainability. </w:t>
      </w:r>
      <w:r w:rsidRPr="008608AA">
        <w:rPr>
          <w:i/>
          <w:iCs/>
          <w:noProof/>
        </w:rPr>
        <w:t>Environmental Research Letters</w:t>
      </w:r>
      <w:r w:rsidRPr="008608AA">
        <w:rPr>
          <w:noProof/>
        </w:rPr>
        <w:t xml:space="preserve">, </w:t>
      </w:r>
      <w:r w:rsidRPr="008608AA">
        <w:rPr>
          <w:i/>
          <w:iCs/>
          <w:noProof/>
        </w:rPr>
        <w:t>12</w:t>
      </w:r>
      <w:r w:rsidRPr="008608AA">
        <w:rPr>
          <w:noProof/>
        </w:rPr>
        <w:t>(7), 075001. https://doi.org/10.1088/1748-9326/aa7392</w:t>
      </w:r>
    </w:p>
    <w:p w14:paraId="2D10520C"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PBL. (2012). </w:t>
      </w:r>
      <w:r w:rsidRPr="008608AA">
        <w:rPr>
          <w:i/>
          <w:iCs/>
          <w:noProof/>
        </w:rPr>
        <w:t>Roads from Rio+20. Pathways to achieve global sustainability goals by 2050</w:t>
      </w:r>
      <w:r w:rsidRPr="008608AA">
        <w:rPr>
          <w:noProof/>
        </w:rPr>
        <w:t>. The Hague.</w:t>
      </w:r>
    </w:p>
    <w:p w14:paraId="66285D9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PBL. (2014). </w:t>
      </w:r>
      <w:r w:rsidRPr="008608AA">
        <w:rPr>
          <w:i/>
          <w:noProof/>
        </w:rPr>
        <w:t>How Sectors Can Contribute to Sustainable Use and Conservation of Biodiversity. CBD Technical Series No. 79, (79)</w:t>
      </w:r>
      <w:r w:rsidRPr="008608AA">
        <w:rPr>
          <w:noProof/>
        </w:rPr>
        <w:t>, (pp. 232).</w:t>
      </w:r>
    </w:p>
    <w:p w14:paraId="359C464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PBL. (2016). </w:t>
      </w:r>
      <w:r w:rsidRPr="008608AA">
        <w:rPr>
          <w:i/>
          <w:iCs/>
          <w:noProof/>
        </w:rPr>
        <w:t>The GLOBIO model. A technical description of version 3.5.</w:t>
      </w:r>
      <w:r w:rsidRPr="008608AA">
        <w:rPr>
          <w:noProof/>
        </w:rPr>
        <w:t xml:space="preserve"> The Hague.</w:t>
      </w:r>
    </w:p>
    <w:p w14:paraId="4740B708"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Pearson, R. G., Phillips, S. J., Loranty, M. M., Beck, P. S., Damoulas, T., Knight, S. J., &amp; Goetz, S. J. (2013). Shifts in Arctic vegetation and associated feedbacks under climate change. </w:t>
      </w:r>
      <w:r w:rsidRPr="008608AA">
        <w:rPr>
          <w:i/>
          <w:iCs/>
          <w:noProof/>
          <w:lang w:val="es-CO"/>
        </w:rPr>
        <w:t>Nature Climate Change</w:t>
      </w:r>
      <w:r w:rsidRPr="008608AA">
        <w:rPr>
          <w:noProof/>
          <w:lang w:val="es-CO"/>
        </w:rPr>
        <w:t xml:space="preserve">, </w:t>
      </w:r>
      <w:r w:rsidRPr="008608AA">
        <w:rPr>
          <w:i/>
          <w:iCs/>
          <w:noProof/>
          <w:lang w:val="es-CO"/>
        </w:rPr>
        <w:t>3</w:t>
      </w:r>
      <w:r w:rsidRPr="008608AA">
        <w:rPr>
          <w:noProof/>
          <w:lang w:val="es-CO"/>
        </w:rPr>
        <w:t>(7), (pp. 673–677).</w:t>
      </w:r>
    </w:p>
    <w:p w14:paraId="18BA9250" w14:textId="77777777" w:rsidR="00B16A15" w:rsidRPr="008608AA" w:rsidRDefault="00B16A15" w:rsidP="00B16A15">
      <w:pPr>
        <w:widowControl w:val="0"/>
        <w:autoSpaceDE w:val="0"/>
        <w:autoSpaceDN w:val="0"/>
        <w:adjustRightInd w:val="0"/>
        <w:ind w:left="709" w:hanging="709"/>
        <w:rPr>
          <w:noProof/>
          <w:lang w:val="es-CO"/>
        </w:rPr>
      </w:pPr>
      <w:r w:rsidRPr="008608AA">
        <w:rPr>
          <w:noProof/>
          <w:lang w:val="es-CO"/>
        </w:rPr>
        <w:t xml:space="preserve">Pengue, W. (2000). </w:t>
      </w:r>
      <w:r w:rsidRPr="008608AA">
        <w:rPr>
          <w:i/>
          <w:iCs/>
          <w:noProof/>
          <w:lang w:val="es-CO"/>
        </w:rPr>
        <w:t>Cultivos transgénicos, ¿Hacia dónde vamos?</w:t>
      </w:r>
    </w:p>
    <w:p w14:paraId="488BC9D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Pengue, W. A. (2005). </w:t>
      </w:r>
      <w:r w:rsidRPr="008608AA">
        <w:rPr>
          <w:i/>
          <w:noProof/>
        </w:rPr>
        <w:t xml:space="preserve">Transgenic Crops in Argentina: The Ecological and Social Debt. </w:t>
      </w:r>
      <w:r w:rsidRPr="008608AA">
        <w:rPr>
          <w:i/>
          <w:iCs/>
          <w:noProof/>
        </w:rPr>
        <w:t>Bulletin of Science, Technology &amp; Society</w:t>
      </w:r>
      <w:r w:rsidRPr="008608AA">
        <w:rPr>
          <w:i/>
          <w:noProof/>
        </w:rPr>
        <w:t xml:space="preserve">, </w:t>
      </w:r>
      <w:r w:rsidRPr="008608AA">
        <w:rPr>
          <w:i/>
          <w:iCs/>
          <w:noProof/>
        </w:rPr>
        <w:t>25</w:t>
      </w:r>
      <w:r w:rsidRPr="008608AA">
        <w:rPr>
          <w:noProof/>
        </w:rPr>
        <w:t>(4), (pp. 314–322). http://doi.org/10.1177/0270467605277290</w:t>
      </w:r>
    </w:p>
    <w:p w14:paraId="35CA776C"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Pengue, W., Monterroso, I., &amp; Binimelis, R. (2009). </w:t>
      </w:r>
      <w:r w:rsidRPr="008608AA">
        <w:rPr>
          <w:noProof/>
          <w:lang w:val="es-CO"/>
        </w:rPr>
        <w:t xml:space="preserve">El caso del Sorgo de Alepo (SARG) en la agricultura argentina. </w:t>
      </w:r>
      <w:r w:rsidRPr="008608AA">
        <w:rPr>
          <w:i/>
          <w:iCs/>
          <w:noProof/>
          <w:lang w:val="es-CO"/>
        </w:rPr>
        <w:t>Bioinvasiones Y Bioeconomia</w:t>
      </w:r>
      <w:r w:rsidRPr="008608AA">
        <w:rPr>
          <w:noProof/>
          <w:lang w:val="es-CO"/>
        </w:rPr>
        <w:t xml:space="preserve">, </w:t>
      </w:r>
      <w:r w:rsidRPr="008608AA">
        <w:rPr>
          <w:i/>
          <w:iCs/>
          <w:noProof/>
          <w:lang w:val="es-CO"/>
        </w:rPr>
        <w:t>1</w:t>
      </w:r>
      <w:r w:rsidRPr="008608AA">
        <w:rPr>
          <w:noProof/>
          <w:lang w:val="es-CO"/>
        </w:rPr>
        <w:t>(1).</w:t>
      </w:r>
    </w:p>
    <w:p w14:paraId="335446EC" w14:textId="77777777" w:rsidR="00B16A15" w:rsidRPr="008608AA" w:rsidRDefault="00B16A15" w:rsidP="00B16A15">
      <w:pPr>
        <w:widowControl w:val="0"/>
        <w:autoSpaceDE w:val="0"/>
        <w:autoSpaceDN w:val="0"/>
        <w:adjustRightInd w:val="0"/>
        <w:ind w:left="709" w:hanging="709"/>
        <w:rPr>
          <w:noProof/>
        </w:rPr>
      </w:pPr>
      <w:r w:rsidRPr="008608AA">
        <w:rPr>
          <w:noProof/>
          <w:lang w:val="es-ES"/>
        </w:rPr>
        <w:t xml:space="preserve">Pereira, H. M., Leadley, P., Proença, V., Alkemade, R., Scharlemann, J. P. W., Fernandez-Manjarrés, J. F., Araújo, M. B., Balvanera, P., Biggs, R., Cheung, W. W. L., Chini, L., Cooper, H. D., Gilman, E. L., Guénette, S., Hurtt, G. C., Huntington, H. P., Mace, G. M., Oberdorff, T., Revenga, C., Rodrigues, P., Scholes, R. J., Sumaila, U. R., &amp; Walpole, M. (2010). </w:t>
      </w:r>
      <w:r w:rsidRPr="008608AA">
        <w:rPr>
          <w:noProof/>
        </w:rPr>
        <w:t xml:space="preserve">Scenarios for global biodiversity in the 21st century. </w:t>
      </w:r>
      <w:r w:rsidRPr="008608AA">
        <w:rPr>
          <w:i/>
          <w:iCs/>
          <w:noProof/>
        </w:rPr>
        <w:t>Science</w:t>
      </w:r>
      <w:r w:rsidRPr="008608AA">
        <w:rPr>
          <w:noProof/>
        </w:rPr>
        <w:t xml:space="preserve">, </w:t>
      </w:r>
      <w:r w:rsidRPr="008608AA">
        <w:rPr>
          <w:i/>
          <w:iCs/>
          <w:noProof/>
        </w:rPr>
        <w:t>330</w:t>
      </w:r>
      <w:r w:rsidRPr="008608AA">
        <w:rPr>
          <w:noProof/>
        </w:rPr>
        <w:t>(6010), 1496–1501. https://doi.org/10.1126/science.1196624</w:t>
      </w:r>
    </w:p>
    <w:p w14:paraId="433199A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Peterson, G. D., Beard, T. D. J., Beisner, B. E., Bennett, E. M., Carpenter, S. R., Cumming, G. S., Dent, C. L., &amp; Havlicek, T. D. (2003). Assessing Future Ecosystem Services : a Case Study of the Northern Highlands Lake District , Wisconsin. </w:t>
      </w:r>
      <w:r w:rsidRPr="008608AA">
        <w:rPr>
          <w:i/>
          <w:iCs/>
          <w:noProof/>
        </w:rPr>
        <w:t>Conservation Ecology</w:t>
      </w:r>
      <w:r w:rsidRPr="008608AA">
        <w:rPr>
          <w:noProof/>
        </w:rPr>
        <w:t xml:space="preserve">, </w:t>
      </w:r>
      <w:r w:rsidRPr="008608AA">
        <w:rPr>
          <w:i/>
          <w:iCs/>
          <w:noProof/>
        </w:rPr>
        <w:t>7</w:t>
      </w:r>
      <w:r w:rsidRPr="008608AA">
        <w:rPr>
          <w:noProof/>
        </w:rPr>
        <w:t>(3), 1. https://doi.org/Artn 1</w:t>
      </w:r>
    </w:p>
    <w:p w14:paraId="60E0BEA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Phillips, O. L., Aragão, L. E. O. C., Lewis, S. L., Fisher, J. B., Lloyd, J., López-González, G., Malhi, Y., Monteagudo, A., Peacock, J., Quesada, C. A., van der Heijden, G., Almeida, S., Amaral, I., Arroyo, L., Aymard, G., Baker, T. R., Bánki, O., Blanc, L., Bonal, D., Brando, P., Chave, J., de Oliveira, Á. C. A., Cardozo, N. D., Czimczik, C. I., Feldpausch, T. R., Freitas, M. A., Gloor, E., Higuchi, N., Jiménez, E., Lloyd, G., Meir, P., Mendoza, C., Morel, A., Neill, D. A., Nepstad, D., Patiño, S., Peñuela, M. C., Prieto, A., Ramírez, F., Schwarz, M., Silva, J., Silveira, M., Thomas, A. S., Steege, H. ter, Stropp, J., Vásquez, R., Zelazowski, P., Dávila, E. A., Andelman, S., Andrade, A., Chao, K.-J., Erwin, T., Di Fiore, A., C., E. H., Keeling, H., Killeen, T. J., Laurance, W. F., Cruz, A. P., Pitman, N. C. A., Vargas, P. N., Ramírez-Angulo, H., Rudas, A., Salamão, R., Silva, N., Terborgh, J., &amp; Torres-Lezama, A. (2009). Drought Sensitivity of the Amazon Rainforest. </w:t>
      </w:r>
      <w:r w:rsidRPr="008608AA">
        <w:rPr>
          <w:i/>
          <w:iCs/>
          <w:noProof/>
        </w:rPr>
        <w:t>Science</w:t>
      </w:r>
      <w:r w:rsidRPr="008608AA">
        <w:rPr>
          <w:noProof/>
        </w:rPr>
        <w:t xml:space="preserve">, </w:t>
      </w:r>
      <w:r w:rsidRPr="008608AA">
        <w:rPr>
          <w:i/>
          <w:iCs/>
          <w:noProof/>
        </w:rPr>
        <w:t>323</w:t>
      </w:r>
      <w:r w:rsidRPr="008608AA">
        <w:rPr>
          <w:noProof/>
        </w:rPr>
        <w:t>(5919), 1344 LP-1347. Retrieved from http://science.sciencemag.org/content/323/5919/1344.abstract</w:t>
      </w:r>
    </w:p>
    <w:p w14:paraId="28FE4FA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Phillips, O. L., Baker, T. R., Arroyo, L., Higuchi, N., Killeen, T. J., Laurance, W. F., Lewis, S. L., Lloyd, J., Malhi, Y., Monteagudo, A., Neill, D. A., Nunez Vargas, P., Silva, J. N. M., Terborgh, J., Vasquez Martinez, R., Alexiades, M., Almeida, S., Brown, S., Chave, J., Comiskey, J. A., Czimczik, C. I., Di Fiore, A., Erwin, T., Kuebler, C., Laurance, S. G., Nascimento, H. E. M., Olivier, J., Palacios, W., Patino, S., Pitman, N. C. A., Quesada, C. A., Saldias, M., Torres Lezama, A., &amp; Vinceti, B. (2004). Pattern and process in Amazon tree turnover, 1976-2001. </w:t>
      </w:r>
      <w:r w:rsidRPr="008608AA">
        <w:rPr>
          <w:i/>
          <w:iCs/>
          <w:noProof/>
        </w:rPr>
        <w:t>Philosophical Transactions of the Royal Society B: Biological Sciences</w:t>
      </w:r>
      <w:r w:rsidRPr="008608AA">
        <w:rPr>
          <w:noProof/>
        </w:rPr>
        <w:t xml:space="preserve">, </w:t>
      </w:r>
      <w:r w:rsidRPr="008608AA">
        <w:rPr>
          <w:i/>
          <w:iCs/>
          <w:noProof/>
        </w:rPr>
        <w:t>359</w:t>
      </w:r>
      <w:r w:rsidRPr="008608AA">
        <w:rPr>
          <w:noProof/>
        </w:rPr>
        <w:t>(1443), 381–407. https://doi.org/10.1098/rstb.2003.1438</w:t>
      </w:r>
    </w:p>
    <w:p w14:paraId="3F437F3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Phoenix, G. K., Hicks, W. K., Cinderby, S., Kuylenstierna, J. C. I., Stock, W. D., Dentener, F. J., Giller, K. E., Austin, A. T., Lefroy, R. D. B., Gimeno, B. S., Ashmore, M. R., &amp; Ineson, P. (2006). Atmospheric nitrogen deposition in world biodiversity hotspots: the need for a greater global perspective in assessing N deposition impacts. </w:t>
      </w:r>
      <w:r w:rsidRPr="008608AA">
        <w:rPr>
          <w:i/>
          <w:iCs/>
          <w:noProof/>
        </w:rPr>
        <w:t>Global Change Biology</w:t>
      </w:r>
      <w:r w:rsidRPr="008608AA">
        <w:rPr>
          <w:noProof/>
        </w:rPr>
        <w:t xml:space="preserve">, </w:t>
      </w:r>
      <w:r w:rsidRPr="008608AA">
        <w:rPr>
          <w:i/>
          <w:iCs/>
          <w:noProof/>
        </w:rPr>
        <w:t>12</w:t>
      </w:r>
      <w:r w:rsidRPr="008608AA">
        <w:rPr>
          <w:noProof/>
        </w:rPr>
        <w:t>(3), 470–476. https://doi.org/10.1111/j.1365-2486.2006.01104.x</w:t>
      </w:r>
    </w:p>
    <w:p w14:paraId="1B74DD0B"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Pinho, P. F., Patenaude, G., Ometto, J. P., Meir, P., Toledo, P. M., Coelho, A., &amp; Young, C. E. F. (2014). Ecosystem protection and poverty alleviation in the tropics: Perspective from a historical evolution of policy-making in the Brazilian Amazon. </w:t>
      </w:r>
      <w:r w:rsidRPr="008608AA">
        <w:rPr>
          <w:i/>
          <w:iCs/>
          <w:noProof/>
          <w:lang w:val="es-CO"/>
        </w:rPr>
        <w:t>Ecosystem Services</w:t>
      </w:r>
      <w:r w:rsidRPr="008608AA">
        <w:rPr>
          <w:noProof/>
          <w:lang w:val="es-CO"/>
        </w:rPr>
        <w:t xml:space="preserve">, </w:t>
      </w:r>
      <w:r w:rsidRPr="008608AA">
        <w:rPr>
          <w:i/>
          <w:iCs/>
          <w:noProof/>
          <w:lang w:val="es-CO"/>
        </w:rPr>
        <w:t>8</w:t>
      </w:r>
      <w:r w:rsidRPr="008608AA">
        <w:rPr>
          <w:noProof/>
          <w:lang w:val="es-CO"/>
        </w:rPr>
        <w:t>, (pp. 97–109). http://doi.org/10.1016/j.ecoser.2014.03.002</w:t>
      </w:r>
    </w:p>
    <w:p w14:paraId="6D50A3F8"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Piquer-Rodríguez, M., Torella, S., Gavier-Pizarro, G., Volante, J., Somma, D., Ginzburg, R., &amp; Kuemmerle, T. (2015). </w:t>
      </w:r>
      <w:r w:rsidRPr="008608AA">
        <w:rPr>
          <w:noProof/>
        </w:rPr>
        <w:t xml:space="preserve">Effects of past and future land conversions on forest connectivity in the Argentine Chaco. </w:t>
      </w:r>
      <w:r w:rsidRPr="008608AA">
        <w:rPr>
          <w:i/>
          <w:iCs/>
          <w:noProof/>
        </w:rPr>
        <w:t>Landscape Ecology</w:t>
      </w:r>
      <w:r w:rsidRPr="008608AA">
        <w:rPr>
          <w:noProof/>
        </w:rPr>
        <w:t xml:space="preserve">, </w:t>
      </w:r>
      <w:r w:rsidRPr="008608AA">
        <w:rPr>
          <w:i/>
          <w:iCs/>
          <w:noProof/>
        </w:rPr>
        <w:t>30</w:t>
      </w:r>
      <w:r w:rsidRPr="008608AA">
        <w:rPr>
          <w:noProof/>
        </w:rPr>
        <w:t>(5), (pp. 817–833). http://doi.org/10.1007/s10980-014-0147-3</w:t>
      </w:r>
    </w:p>
    <w:p w14:paraId="49AF4B0B" w14:textId="77777777" w:rsidR="00B16A15" w:rsidRPr="00A3137A" w:rsidRDefault="00B16A15" w:rsidP="00B16A15">
      <w:pPr>
        <w:widowControl w:val="0"/>
        <w:autoSpaceDE w:val="0"/>
        <w:autoSpaceDN w:val="0"/>
        <w:adjustRightInd w:val="0"/>
        <w:ind w:left="709" w:hanging="709"/>
        <w:rPr>
          <w:noProof/>
          <w:lang w:val="fr-FR"/>
        </w:rPr>
      </w:pPr>
      <w:r w:rsidRPr="008608AA">
        <w:rPr>
          <w:noProof/>
        </w:rPr>
        <w:t xml:space="preserve">Pithan, F., &amp; Mauritsen, T. (2014). Arctic amplification dominated by temperature feedbacks in contemporary climate models. </w:t>
      </w:r>
      <w:r w:rsidRPr="00A3137A">
        <w:rPr>
          <w:i/>
          <w:iCs/>
          <w:noProof/>
          <w:lang w:val="fr-FR"/>
        </w:rPr>
        <w:t>Nature Geoscience</w:t>
      </w:r>
      <w:r w:rsidRPr="00A3137A">
        <w:rPr>
          <w:noProof/>
          <w:lang w:val="fr-FR"/>
        </w:rPr>
        <w:t>. http://doi.org/10.1038/NGEO2071</w:t>
      </w:r>
    </w:p>
    <w:p w14:paraId="64DEB8D7" w14:textId="77777777" w:rsidR="00B16A15" w:rsidRPr="008608AA" w:rsidRDefault="00B16A15" w:rsidP="00B16A15">
      <w:pPr>
        <w:widowControl w:val="0"/>
        <w:autoSpaceDE w:val="0"/>
        <w:autoSpaceDN w:val="0"/>
        <w:adjustRightInd w:val="0"/>
        <w:ind w:left="709" w:hanging="709"/>
        <w:rPr>
          <w:noProof/>
        </w:rPr>
      </w:pPr>
      <w:r w:rsidRPr="00A3137A">
        <w:rPr>
          <w:noProof/>
          <w:lang w:val="fr-FR"/>
        </w:rPr>
        <w:t xml:space="preserve">Plummer, D. A., Caya, D., Frigon, A., Côté, H., Giguère, M., Paquin, D., Biner, S., Harvey, R., &amp; de Elia, R. (2006). </w:t>
      </w:r>
      <w:r w:rsidRPr="008608AA">
        <w:rPr>
          <w:noProof/>
        </w:rPr>
        <w:t xml:space="preserve">Climate and Climate Change over North America as Simulated by the Canadian RCM. </w:t>
      </w:r>
      <w:r w:rsidRPr="008608AA">
        <w:rPr>
          <w:i/>
          <w:iCs/>
          <w:noProof/>
        </w:rPr>
        <w:t>Journal of Climate</w:t>
      </w:r>
      <w:r w:rsidRPr="008608AA">
        <w:rPr>
          <w:noProof/>
        </w:rPr>
        <w:t xml:space="preserve">, </w:t>
      </w:r>
      <w:r w:rsidRPr="008608AA">
        <w:rPr>
          <w:i/>
          <w:iCs/>
          <w:noProof/>
        </w:rPr>
        <w:t>19</w:t>
      </w:r>
      <w:r w:rsidRPr="008608AA">
        <w:rPr>
          <w:noProof/>
        </w:rPr>
        <w:t>(13), 3112–3132. https://doi.org/10.1175/JCLI3769.1</w:t>
      </w:r>
    </w:p>
    <w:p w14:paraId="4F65F3C2" w14:textId="77777777" w:rsidR="00B16A15" w:rsidRPr="008608AA" w:rsidRDefault="00B16A15" w:rsidP="00B16A15">
      <w:pPr>
        <w:widowControl w:val="0"/>
        <w:autoSpaceDE w:val="0"/>
        <w:autoSpaceDN w:val="0"/>
        <w:adjustRightInd w:val="0"/>
        <w:ind w:left="709" w:hanging="709"/>
        <w:rPr>
          <w:noProof/>
          <w:lang w:val="fr-CA"/>
        </w:rPr>
      </w:pPr>
      <w:r w:rsidRPr="008608AA">
        <w:rPr>
          <w:noProof/>
        </w:rPr>
        <w:t xml:space="preserve">Potter, C., Klooster, S., &amp; Genovese, V. (2009). Carbon emissions from deforestation in the Brazilian Amazon Region. </w:t>
      </w:r>
      <w:r w:rsidRPr="008608AA">
        <w:rPr>
          <w:i/>
          <w:iCs/>
          <w:noProof/>
          <w:lang w:val="fr-CA"/>
        </w:rPr>
        <w:t>Biogeosciences</w:t>
      </w:r>
      <w:r w:rsidRPr="008608AA">
        <w:rPr>
          <w:noProof/>
          <w:lang w:val="fr-CA"/>
        </w:rPr>
        <w:t xml:space="preserve">, </w:t>
      </w:r>
      <w:r w:rsidRPr="008608AA">
        <w:rPr>
          <w:i/>
          <w:iCs/>
          <w:noProof/>
          <w:lang w:val="fr-CA"/>
        </w:rPr>
        <w:t>6</w:t>
      </w:r>
      <w:r w:rsidRPr="008608AA">
        <w:rPr>
          <w:noProof/>
          <w:lang w:val="fr-CA"/>
        </w:rPr>
        <w:t>(11), (pp. 2369–2381). http://doi.org/10.5194/bg-6-2369-2009</w:t>
      </w:r>
    </w:p>
    <w:p w14:paraId="154549A6" w14:textId="77777777" w:rsidR="00B16A15" w:rsidRPr="008608AA" w:rsidRDefault="00B16A15" w:rsidP="00B16A15">
      <w:pPr>
        <w:widowControl w:val="0"/>
        <w:autoSpaceDE w:val="0"/>
        <w:autoSpaceDN w:val="0"/>
        <w:adjustRightInd w:val="0"/>
        <w:ind w:left="709" w:hanging="709"/>
        <w:rPr>
          <w:noProof/>
        </w:rPr>
      </w:pPr>
      <w:r w:rsidRPr="008608AA">
        <w:rPr>
          <w:noProof/>
          <w:lang w:val="fr-CA"/>
        </w:rPr>
        <w:t xml:space="preserve">Poulin, M., Pellerin, S., Cimon-Morin, J., Lavallée, S., Courchesne, G., &amp; Tendland, Y. (2016). </w:t>
      </w:r>
      <w:r w:rsidRPr="008608AA">
        <w:rPr>
          <w:noProof/>
        </w:rPr>
        <w:t xml:space="preserve">Inefficacy of wetland legislation for conserving Quebec wetlands as revealed by mapping of recent disturbances. </w:t>
      </w:r>
      <w:r w:rsidRPr="008608AA">
        <w:rPr>
          <w:i/>
          <w:iCs/>
          <w:noProof/>
        </w:rPr>
        <w:t>Wetlands Ecology and Management</w:t>
      </w:r>
      <w:r w:rsidRPr="008608AA">
        <w:rPr>
          <w:noProof/>
        </w:rPr>
        <w:t xml:space="preserve">, </w:t>
      </w:r>
      <w:r w:rsidRPr="008608AA">
        <w:rPr>
          <w:i/>
          <w:iCs/>
          <w:noProof/>
        </w:rPr>
        <w:t>24</w:t>
      </w:r>
      <w:r w:rsidRPr="008608AA">
        <w:rPr>
          <w:noProof/>
        </w:rPr>
        <w:t>(6), (pp. 651–665). http://doi.org/10.1007/s11273-016-9494-y</w:t>
      </w:r>
    </w:p>
    <w:p w14:paraId="1E27159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Poulter, B., Frank, D. C., Hodson, E. L., &amp; Zimmermann, N. E. (2011). Impacts of land cover and climate data selection on understanding terrestrial carbon dynamics and the CO2 airborne fraction. </w:t>
      </w:r>
      <w:r w:rsidRPr="008608AA">
        <w:rPr>
          <w:i/>
          <w:iCs/>
          <w:noProof/>
        </w:rPr>
        <w:t>Biogeosciences</w:t>
      </w:r>
      <w:r w:rsidRPr="008608AA">
        <w:rPr>
          <w:noProof/>
        </w:rPr>
        <w:t xml:space="preserve">, </w:t>
      </w:r>
      <w:r w:rsidRPr="008608AA">
        <w:rPr>
          <w:i/>
          <w:iCs/>
          <w:noProof/>
        </w:rPr>
        <w:t>8</w:t>
      </w:r>
      <w:r w:rsidRPr="008608AA">
        <w:rPr>
          <w:noProof/>
        </w:rPr>
        <w:t>(8), 2027–2036. https://doi.org/10.5194/bg-8-2027-2011</w:t>
      </w:r>
    </w:p>
    <w:p w14:paraId="5C72E7E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Price, D. T., Alfaro, R. I., Brown, K. J., Flannigan, M. D., Fleming, R. A., Hogg, E. H., Girardin, M. P., Lakusta, T., Johnston, M., McKenney, D. W., Pedlar, J. H., Stratton, T., Sturrock, R. N., Thompson, I. D., Trofymow, J. A., &amp; Venier, L. A. (2013). Anticipating the consequences of climate change for Canada’s boreal forest ecosystems. </w:t>
      </w:r>
      <w:r w:rsidRPr="008608AA">
        <w:rPr>
          <w:i/>
          <w:iCs/>
          <w:noProof/>
        </w:rPr>
        <w:t>Environmental Review</w:t>
      </w:r>
      <w:r w:rsidRPr="008608AA">
        <w:rPr>
          <w:noProof/>
        </w:rPr>
        <w:t xml:space="preserve">, </w:t>
      </w:r>
      <w:r w:rsidRPr="008608AA">
        <w:rPr>
          <w:i/>
          <w:iCs/>
          <w:noProof/>
        </w:rPr>
        <w:t>21</w:t>
      </w:r>
      <w:r w:rsidRPr="008608AA">
        <w:rPr>
          <w:noProof/>
        </w:rPr>
        <w:t>, 322–365.</w:t>
      </w:r>
    </w:p>
    <w:p w14:paraId="3F36E09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Quinlan, A. (2012). </w:t>
      </w:r>
      <w:r w:rsidRPr="008608AA">
        <w:rPr>
          <w:i/>
          <w:iCs/>
          <w:noProof/>
        </w:rPr>
        <w:t>Using future scenarios to explore alternate governance trajectories</w:t>
      </w:r>
      <w:r w:rsidRPr="008608AA">
        <w:rPr>
          <w:noProof/>
        </w:rPr>
        <w:t xml:space="preserve">. </w:t>
      </w:r>
      <w:r w:rsidRPr="008608AA">
        <w:rPr>
          <w:i/>
          <w:iCs/>
          <w:noProof/>
        </w:rPr>
        <w:t>Assessing ecosystem service governance: interactions among actors in a rural watershed in eastern Ontario</w:t>
      </w:r>
      <w:r w:rsidRPr="008608AA">
        <w:rPr>
          <w:noProof/>
        </w:rPr>
        <w:t>. Carleton University, Ottawa, Ontario, Canada.</w:t>
      </w:r>
    </w:p>
    <w:p w14:paraId="37537EC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Quinn, J. E., Brandle, J. R., &amp; Johnson, R. J. (2013). A farm-scale biodiversity and ecosystem services assessment tool : the healthy farm index. </w:t>
      </w:r>
      <w:r w:rsidRPr="008608AA">
        <w:rPr>
          <w:i/>
          <w:iCs/>
          <w:noProof/>
        </w:rPr>
        <w:t>International Journal of Agricultural Sustainability</w:t>
      </w:r>
      <w:r w:rsidRPr="008608AA">
        <w:rPr>
          <w:noProof/>
        </w:rPr>
        <w:t xml:space="preserve">, </w:t>
      </w:r>
      <w:r w:rsidRPr="008608AA">
        <w:rPr>
          <w:i/>
          <w:iCs/>
          <w:noProof/>
        </w:rPr>
        <w:t>11</w:t>
      </w:r>
      <w:r w:rsidRPr="008608AA">
        <w:rPr>
          <w:noProof/>
        </w:rPr>
        <w:t>(2), (pp. 176–192).</w:t>
      </w:r>
    </w:p>
    <w:p w14:paraId="1933D51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Radeloff, V. C., Nelson, E., Plantinga, A. J., Lewis, D. J., Helmers, D., Lawler, J. J., Withey, J. C., Beaudry, F., Martinuzzi, S., Butsic, V., Lonsdorf, E., White, D., &amp; Polasky, S. (2012). Economic-based projections of future land use in the conterminous United States under alternative policy scenarios. </w:t>
      </w:r>
      <w:r w:rsidRPr="008608AA">
        <w:rPr>
          <w:i/>
          <w:iCs/>
          <w:noProof/>
        </w:rPr>
        <w:t>Ecological Applications</w:t>
      </w:r>
      <w:r w:rsidRPr="008608AA">
        <w:rPr>
          <w:noProof/>
        </w:rPr>
        <w:t xml:space="preserve">, </w:t>
      </w:r>
      <w:r w:rsidRPr="008608AA">
        <w:rPr>
          <w:i/>
          <w:iCs/>
          <w:noProof/>
        </w:rPr>
        <w:t>22</w:t>
      </w:r>
      <w:r w:rsidRPr="008608AA">
        <w:rPr>
          <w:noProof/>
        </w:rPr>
        <w:t>(3), 1036–1049. https://doi.org/10.1890/11-0306.1</w:t>
      </w:r>
    </w:p>
    <w:p w14:paraId="7483892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Ramirez-Villegas, J., Cuesta, F., Devenish, C., Peralvo, M., Jarvis, A., &amp; Arnillas, C. A. (2014). Using species distributions models for designing conservation strategies of Tropical Andean biodiversity under climate change. </w:t>
      </w:r>
      <w:r w:rsidRPr="008608AA">
        <w:rPr>
          <w:i/>
          <w:iCs/>
          <w:noProof/>
        </w:rPr>
        <w:t>Journal for Nature Conservation</w:t>
      </w:r>
      <w:r w:rsidRPr="008608AA">
        <w:rPr>
          <w:noProof/>
        </w:rPr>
        <w:t>. http://doi.org/10.1016/j.jnc.2014.03.007</w:t>
      </w:r>
    </w:p>
    <w:p w14:paraId="7532AD22" w14:textId="77777777" w:rsidR="00B16A15" w:rsidRPr="008608AA" w:rsidRDefault="00B16A15" w:rsidP="00B16A15">
      <w:pPr>
        <w:widowControl w:val="0"/>
        <w:autoSpaceDE w:val="0"/>
        <w:autoSpaceDN w:val="0"/>
        <w:adjustRightInd w:val="0"/>
        <w:ind w:left="709" w:hanging="709"/>
        <w:rPr>
          <w:i/>
          <w:noProof/>
        </w:rPr>
      </w:pPr>
      <w:r w:rsidRPr="008608AA">
        <w:rPr>
          <w:noProof/>
        </w:rPr>
        <w:t xml:space="preserve">Ramsar. (2006). </w:t>
      </w:r>
      <w:r w:rsidRPr="008608AA">
        <w:rPr>
          <w:i/>
          <w:noProof/>
        </w:rPr>
        <w:t>Wetlands : a global disappearing act.</w:t>
      </w:r>
    </w:p>
    <w:p w14:paraId="3428E24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Rangoonwala, A., Jones, C. E., &amp; Ramsey, E. (III). (2016). Wetland shoreline recession in the Mississippi River Delta from petroleum oiling and cyclonic storms. </w:t>
      </w:r>
      <w:r w:rsidRPr="008608AA">
        <w:rPr>
          <w:i/>
          <w:iCs/>
          <w:noProof/>
        </w:rPr>
        <w:t>Geophysical Research Letters</w:t>
      </w:r>
      <w:r w:rsidRPr="008608AA">
        <w:rPr>
          <w:noProof/>
        </w:rPr>
        <w:t xml:space="preserve">, </w:t>
      </w:r>
      <w:r w:rsidRPr="008608AA">
        <w:rPr>
          <w:i/>
          <w:iCs/>
          <w:noProof/>
        </w:rPr>
        <w:t>43</w:t>
      </w:r>
      <w:r w:rsidRPr="008608AA">
        <w:rPr>
          <w:noProof/>
        </w:rPr>
        <w:t>(11), (pp. 652–660). http://doi.org/10.1002/2016GL070624</w:t>
      </w:r>
    </w:p>
    <w:p w14:paraId="1F7D40B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Raskin, P., Banuri, T., Gallopin, G., Gutman, P., Hammond, A., Kates, R., &amp; Swart, R. (2002). </w:t>
      </w:r>
      <w:r w:rsidRPr="008608AA">
        <w:rPr>
          <w:i/>
          <w:iCs/>
          <w:noProof/>
        </w:rPr>
        <w:t>Great transition: the promise of lure of the times ahead</w:t>
      </w:r>
      <w:r w:rsidRPr="008608AA">
        <w:rPr>
          <w:noProof/>
        </w:rPr>
        <w:t>. Boston.</w:t>
      </w:r>
    </w:p>
    <w:p w14:paraId="2328898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Ravera, F., Hubacek, K., Reed, M., &amp; Tarrasón, D. (2011). Learning from Experiences in Adaptive Action Research: a Critical Comparison of two Case Studies Applying Participatory Scenario Development and Modelling Approaches. </w:t>
      </w:r>
      <w:r w:rsidRPr="008608AA">
        <w:rPr>
          <w:i/>
          <w:iCs/>
          <w:noProof/>
        </w:rPr>
        <w:t>Environmental Policy and Governance</w:t>
      </w:r>
      <w:r w:rsidRPr="008608AA">
        <w:rPr>
          <w:noProof/>
        </w:rPr>
        <w:t xml:space="preserve">, </w:t>
      </w:r>
      <w:r w:rsidRPr="008608AA">
        <w:rPr>
          <w:i/>
          <w:iCs/>
          <w:noProof/>
        </w:rPr>
        <w:t>21</w:t>
      </w:r>
      <w:r w:rsidRPr="008608AA">
        <w:rPr>
          <w:noProof/>
        </w:rPr>
        <w:t>(6), (pp. 433–453). http://doi.org/10.1002/eet.585</w:t>
      </w:r>
    </w:p>
    <w:p w14:paraId="653163E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Ravera, F., Tarrasón, D., &amp; Simelton, E. (2011). Envisioning adaptive strategies to change: Participatory scenarios for agropastoral semiarid systems in Nicaragua. </w:t>
      </w:r>
      <w:r w:rsidRPr="008608AA">
        <w:rPr>
          <w:i/>
          <w:iCs/>
          <w:noProof/>
        </w:rPr>
        <w:t>Ecology and Society</w:t>
      </w:r>
      <w:r w:rsidRPr="008608AA">
        <w:rPr>
          <w:noProof/>
        </w:rPr>
        <w:t xml:space="preserve">, </w:t>
      </w:r>
      <w:r w:rsidRPr="008608AA">
        <w:rPr>
          <w:i/>
          <w:iCs/>
          <w:noProof/>
        </w:rPr>
        <w:t>16</w:t>
      </w:r>
      <w:r w:rsidRPr="008608AA">
        <w:rPr>
          <w:noProof/>
        </w:rPr>
        <w:t>(1).</w:t>
      </w:r>
    </w:p>
    <w:p w14:paraId="32D2568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Raynolds, M. K., Walker, D. A., Ambrosius, K. J., Brown, J., Everett, K. R., Kanevskiy, M., Kofinas, G. P., Romanovsky, V. E., Shur, Y., &amp; Webber, P. J. (2014). Cumulative geoecological effects of 62 years of infrastructure and climate change in ice-rich permafrost landscapes, Prudhoe Bay Oilfield, Alaska. </w:t>
      </w:r>
      <w:r w:rsidRPr="008608AA">
        <w:rPr>
          <w:i/>
          <w:iCs/>
          <w:noProof/>
        </w:rPr>
        <w:t>Global Change Biology</w:t>
      </w:r>
      <w:r w:rsidRPr="008608AA">
        <w:rPr>
          <w:noProof/>
        </w:rPr>
        <w:t xml:space="preserve">, </w:t>
      </w:r>
      <w:r w:rsidRPr="008608AA">
        <w:rPr>
          <w:i/>
          <w:iCs/>
          <w:noProof/>
        </w:rPr>
        <w:t>20</w:t>
      </w:r>
      <w:r w:rsidRPr="008608AA">
        <w:rPr>
          <w:noProof/>
        </w:rPr>
        <w:t>(4), 1211–1224. https://doi.org/10.1111/gcb.12500</w:t>
      </w:r>
    </w:p>
    <w:p w14:paraId="4A4F63EC"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Richardson, A., Brown, C. J., Brander, K. M., Bruno, J. F., Buckley, L. B., Burrows, M. T., Duarte, C. M., Halpern, B. S., Hoegh-Guldberg, O., Holding, J., Kappel, C. V., Kiessling, W., Moore, P. J., O’Connor, M. I., Pandolfi, J. M., Parmesan, C., Schoeman, D. S., Schwing, F., Sydeman, W. J., &amp; Poloczanska, E. S. (2012). Climate change and marine life. </w:t>
      </w:r>
      <w:r w:rsidRPr="008608AA">
        <w:rPr>
          <w:i/>
          <w:iCs/>
          <w:noProof/>
        </w:rPr>
        <w:t>Biology Letters</w:t>
      </w:r>
      <w:r w:rsidRPr="008608AA">
        <w:rPr>
          <w:noProof/>
        </w:rPr>
        <w:t xml:space="preserve">, </w:t>
      </w:r>
      <w:r w:rsidRPr="008608AA">
        <w:rPr>
          <w:i/>
          <w:iCs/>
          <w:noProof/>
        </w:rPr>
        <w:t>8</w:t>
      </w:r>
      <w:r w:rsidRPr="008608AA">
        <w:rPr>
          <w:noProof/>
        </w:rPr>
        <w:t>(6), 907–909. https://doi.org/10.1098/rsbl.2012.0530</w:t>
      </w:r>
    </w:p>
    <w:p w14:paraId="62B92282"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Riensche, M., Castillo, A., Flores-Díaz, A., &amp; Maass, M. (2015). </w:t>
      </w:r>
      <w:r w:rsidRPr="008608AA">
        <w:rPr>
          <w:noProof/>
        </w:rPr>
        <w:t xml:space="preserve">Tourism at Costalegre, Mexico: An ecosystem services-based exploration of current challenges and alternative futures. </w:t>
      </w:r>
      <w:r w:rsidRPr="008608AA">
        <w:rPr>
          <w:i/>
          <w:iCs/>
          <w:noProof/>
        </w:rPr>
        <w:t>Futures</w:t>
      </w:r>
      <w:r w:rsidRPr="008608AA">
        <w:rPr>
          <w:noProof/>
        </w:rPr>
        <w:t xml:space="preserve">, </w:t>
      </w:r>
      <w:r w:rsidRPr="008608AA">
        <w:rPr>
          <w:i/>
          <w:iCs/>
          <w:noProof/>
        </w:rPr>
        <w:t>66</w:t>
      </w:r>
      <w:r w:rsidRPr="008608AA">
        <w:rPr>
          <w:noProof/>
        </w:rPr>
        <w:t>, (pp. 70–84). http://doi.org/10.1016/j.futures.2014.12.012</w:t>
      </w:r>
    </w:p>
    <w:p w14:paraId="736DC3E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Rooth, J. E., &amp; Stevenson, J. C. (2000). Sediment deposition patterns in Phragmites australis communities: Implications for coastal areas threatened by rising sea-level. </w:t>
      </w:r>
      <w:r w:rsidRPr="008608AA">
        <w:rPr>
          <w:i/>
          <w:iCs/>
          <w:noProof/>
        </w:rPr>
        <w:t>Wetlands Ecology and Management</w:t>
      </w:r>
      <w:r w:rsidRPr="008608AA">
        <w:rPr>
          <w:noProof/>
        </w:rPr>
        <w:t>. http://doi.org/10.1023/a:1008444502859</w:t>
      </w:r>
    </w:p>
    <w:p w14:paraId="55010CE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Rosa, I. M. D., Pereira, H. M., Ferrier, S., Alkemade, R., Acosta, L. A., Akcakaya, H. R., Den Belder, E., Fazel, A. M., Fujimori, S., Harfoot, M., Harhash, K. A., Harrison, P. A., Hauck, J., Hendriks, R. J. J., Hernández, G., Jetz, W., Karlsson-Vinkhuyzen, S. I., Kim, H., King, N., Kok, M. T. J., Kolomytsev, G. O., Lazarova, T., Leadley, P., Lundquist, C. J., García Márquez, J., Meyer, C., Navarro, L. M., Nesshöver, C., Ngo, H. T., Ninan, K. N., Palomo, M. G., Pereira, L. M., Peterson, G. D., Pichs, R., Popp, A., Purvis, A., Ravera, F., Rondinini, C., Sathyapalan, J., Schipper, A. M., Seppelt, R., Settele, J., Sitas, N., &amp; Van Vuuren, D. (2017). Multiscale scenarios for nature futures. </w:t>
      </w:r>
      <w:r w:rsidRPr="008608AA">
        <w:rPr>
          <w:i/>
          <w:iCs/>
          <w:noProof/>
        </w:rPr>
        <w:t>Nature Ecology and Evolution</w:t>
      </w:r>
      <w:r w:rsidRPr="008608AA">
        <w:rPr>
          <w:noProof/>
        </w:rPr>
        <w:t xml:space="preserve">, </w:t>
      </w:r>
      <w:r w:rsidRPr="008608AA">
        <w:rPr>
          <w:i/>
          <w:iCs/>
          <w:noProof/>
        </w:rPr>
        <w:t>1</w:t>
      </w:r>
      <w:r w:rsidRPr="008608AA">
        <w:rPr>
          <w:noProof/>
        </w:rPr>
        <w:t>(10), 1416–1419. https://doi.org/10.1038/s41559-017-0273-9</w:t>
      </w:r>
    </w:p>
    <w:p w14:paraId="24588BD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Rosenthal, A., Arkema, K., Verutes, G., Bood, N., Cantor, D., Fish, M., Griffin, R., &amp; Panuncio, M. (2013). </w:t>
      </w:r>
      <w:r w:rsidRPr="008608AA">
        <w:rPr>
          <w:i/>
          <w:iCs/>
          <w:noProof/>
        </w:rPr>
        <w:t>Identification and Valuation of Adaptation Options in Coastal-Marine Ecosystems : Test case from Placencia , Belize</w:t>
      </w:r>
      <w:r w:rsidRPr="008608AA">
        <w:rPr>
          <w:noProof/>
        </w:rPr>
        <w:t>.</w:t>
      </w:r>
    </w:p>
    <w:p w14:paraId="73F9074C" w14:textId="77777777" w:rsidR="00B16A15" w:rsidRPr="008608AA" w:rsidRDefault="00B16A15" w:rsidP="00B16A15">
      <w:pPr>
        <w:widowControl w:val="0"/>
        <w:autoSpaceDE w:val="0"/>
        <w:autoSpaceDN w:val="0"/>
        <w:adjustRightInd w:val="0"/>
        <w:ind w:left="709" w:hanging="709"/>
        <w:rPr>
          <w:noProof/>
        </w:rPr>
      </w:pPr>
      <w:r w:rsidRPr="00CE0821">
        <w:rPr>
          <w:noProof/>
          <w:lang w:val="es-CO"/>
        </w:rPr>
        <w:t xml:space="preserve">Roura-Pascual, N., &amp; Suarez, A. (2008). </w:t>
      </w:r>
      <w:r w:rsidRPr="008608AA">
        <w:rPr>
          <w:noProof/>
        </w:rPr>
        <w:t xml:space="preserve">The utility of species distribution models to predict the spread of invasive ants (Hymenoptera: Formicidae) and to anticipate changes in their ranges in the face of. </w:t>
      </w:r>
      <w:r w:rsidRPr="008608AA">
        <w:rPr>
          <w:i/>
          <w:iCs/>
          <w:noProof/>
        </w:rPr>
        <w:t>Myrmecol News</w:t>
      </w:r>
      <w:r w:rsidRPr="008608AA">
        <w:rPr>
          <w:noProof/>
        </w:rPr>
        <w:t xml:space="preserve">, </w:t>
      </w:r>
      <w:r w:rsidRPr="008608AA">
        <w:rPr>
          <w:i/>
          <w:iCs/>
          <w:noProof/>
        </w:rPr>
        <w:t>11</w:t>
      </w:r>
      <w:r w:rsidRPr="008608AA">
        <w:rPr>
          <w:noProof/>
        </w:rPr>
        <w:t>(11), (pp. 67–77). http://doi.org/10.1007/s10530/007-9145-6</w:t>
      </w:r>
    </w:p>
    <w:p w14:paraId="3399F32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Rubec, C. D. A., &amp; Hanson, A. R. (2009). Wetland mitigation and compensation : Canadian experience. </w:t>
      </w:r>
      <w:r w:rsidRPr="008608AA">
        <w:rPr>
          <w:i/>
          <w:iCs/>
          <w:noProof/>
        </w:rPr>
        <w:t>Wetlands Ecology and Management</w:t>
      </w:r>
      <w:r w:rsidRPr="008608AA">
        <w:rPr>
          <w:noProof/>
        </w:rPr>
        <w:t xml:space="preserve">, </w:t>
      </w:r>
      <w:r w:rsidRPr="008608AA">
        <w:rPr>
          <w:i/>
          <w:iCs/>
          <w:noProof/>
        </w:rPr>
        <w:t>17</w:t>
      </w:r>
      <w:r w:rsidRPr="008608AA">
        <w:rPr>
          <w:noProof/>
        </w:rPr>
        <w:t>, (pp. 3–14). http://doi.org/10.1007/s11273-008-9078-6</w:t>
      </w:r>
    </w:p>
    <w:p w14:paraId="34122BC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Rudel, T. K., Schneider, L., Uriarte, M., Turner, B. L., DeFries, R., Lawrence, D., Geoghegan, J., Hecht, S., Ickowitz, A., Lambin, E. F., Birkenholtz, T., Baptista, S., &amp; Grau, R. (2009). Agricultural intensification and changes in cultivated areas, 1970-2005. </w:t>
      </w:r>
      <w:r w:rsidRPr="008608AA">
        <w:rPr>
          <w:i/>
          <w:iCs/>
          <w:noProof/>
        </w:rPr>
        <w:t>Proceedings of the National Academy of Sciences of the United States of America</w:t>
      </w:r>
      <w:r w:rsidRPr="008608AA">
        <w:rPr>
          <w:noProof/>
        </w:rPr>
        <w:t xml:space="preserve">, </w:t>
      </w:r>
      <w:r w:rsidRPr="008608AA">
        <w:rPr>
          <w:i/>
          <w:iCs/>
          <w:noProof/>
        </w:rPr>
        <w:t>106</w:t>
      </w:r>
      <w:r w:rsidRPr="008608AA">
        <w:rPr>
          <w:noProof/>
        </w:rPr>
        <w:t>(49), 20675–20680. https://doi.org/10.1073/pnas.0812540106</w:t>
      </w:r>
    </w:p>
    <w:p w14:paraId="38277BB7"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Ruiz-Mallén, I., Corbera, E., Calvo-Boyero, D., &amp; Reyes-García, V. (2015). </w:t>
      </w:r>
      <w:r w:rsidRPr="008608AA">
        <w:rPr>
          <w:noProof/>
        </w:rPr>
        <w:t xml:space="preserve">Participatory scenarios to explore local adaptation to global change in biosphere reserves: Experiences from Bolivia and Mexico. </w:t>
      </w:r>
      <w:r w:rsidRPr="008608AA">
        <w:rPr>
          <w:i/>
          <w:iCs/>
          <w:noProof/>
        </w:rPr>
        <w:t>Environmental Science &amp; Policy</w:t>
      </w:r>
      <w:r w:rsidRPr="008608AA">
        <w:rPr>
          <w:noProof/>
        </w:rPr>
        <w:t xml:space="preserve">, </w:t>
      </w:r>
      <w:r w:rsidRPr="008608AA">
        <w:rPr>
          <w:i/>
          <w:iCs/>
          <w:noProof/>
        </w:rPr>
        <w:t>54</w:t>
      </w:r>
      <w:r w:rsidRPr="008608AA">
        <w:rPr>
          <w:noProof/>
        </w:rPr>
        <w:t>(54), (pp. 398–408). http://doi.org/10.1016/J.ENVSCI.2015.07.027</w:t>
      </w:r>
    </w:p>
    <w:p w14:paraId="5DC1FB5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Saatchi, S. S., Houghton, R. A., Dos Santos Alvalá, R. C., Soares, J. V., &amp; Yu, Y. (2007). Distribution of aboveground live biomass in the Amazon basin. </w:t>
      </w:r>
      <w:r w:rsidRPr="008608AA">
        <w:rPr>
          <w:i/>
          <w:iCs/>
          <w:noProof/>
        </w:rPr>
        <w:t>Global Change Biology</w:t>
      </w:r>
      <w:r w:rsidRPr="008608AA">
        <w:rPr>
          <w:noProof/>
        </w:rPr>
        <w:t xml:space="preserve">, </w:t>
      </w:r>
      <w:r w:rsidRPr="008608AA">
        <w:rPr>
          <w:i/>
          <w:iCs/>
          <w:noProof/>
        </w:rPr>
        <w:t>13</w:t>
      </w:r>
      <w:r w:rsidRPr="008608AA">
        <w:rPr>
          <w:noProof/>
        </w:rPr>
        <w:t>(4), (pp. 816–837). http://doi.org/10.1111/j.1365-2486.2007.01323.x</w:t>
      </w:r>
    </w:p>
    <w:p w14:paraId="75D3121D" w14:textId="77777777" w:rsidR="00B16A15" w:rsidRPr="008608AA" w:rsidRDefault="00B16A15" w:rsidP="00B16A15">
      <w:pPr>
        <w:widowControl w:val="0"/>
        <w:autoSpaceDE w:val="0"/>
        <w:autoSpaceDN w:val="0"/>
        <w:adjustRightInd w:val="0"/>
        <w:ind w:left="709" w:hanging="709"/>
        <w:rPr>
          <w:noProof/>
        </w:rPr>
      </w:pPr>
      <w:r w:rsidRPr="008608AA">
        <w:rPr>
          <w:noProof/>
        </w:rPr>
        <w:t>Sala, O. E. (2000).</w:t>
      </w:r>
      <w:r w:rsidRPr="008608AA">
        <w:rPr>
          <w:i/>
          <w:noProof/>
        </w:rPr>
        <w:t xml:space="preserve"> Global Biodiversity Scenarios for the Year 2100&amp;amp;nbsp;</w:t>
      </w:r>
      <w:r w:rsidRPr="008608AA">
        <w:rPr>
          <w:noProof/>
        </w:rPr>
        <w:t xml:space="preserve"> </w:t>
      </w:r>
      <w:r w:rsidRPr="008608AA">
        <w:rPr>
          <w:i/>
          <w:iCs/>
          <w:noProof/>
        </w:rPr>
        <w:t>Science</w:t>
      </w:r>
      <w:r w:rsidRPr="008608AA">
        <w:rPr>
          <w:noProof/>
        </w:rPr>
        <w:t xml:space="preserve">, </w:t>
      </w:r>
      <w:r w:rsidRPr="008608AA">
        <w:rPr>
          <w:i/>
          <w:iCs/>
          <w:noProof/>
        </w:rPr>
        <w:t>287</w:t>
      </w:r>
      <w:r w:rsidRPr="008608AA">
        <w:rPr>
          <w:noProof/>
        </w:rPr>
        <w:t>(5459), (pp. 1770–1774). http://doi.org/10.1126/science.287.5459.1770</w:t>
      </w:r>
    </w:p>
    <w:p w14:paraId="3D6ACB83" w14:textId="77777777" w:rsidR="00B16A15" w:rsidRPr="008608AA" w:rsidRDefault="00B16A15" w:rsidP="00B16A15">
      <w:pPr>
        <w:widowControl w:val="0"/>
        <w:autoSpaceDE w:val="0"/>
        <w:autoSpaceDN w:val="0"/>
        <w:adjustRightInd w:val="0"/>
        <w:ind w:left="709" w:hanging="709"/>
        <w:rPr>
          <w:noProof/>
        </w:rPr>
      </w:pPr>
      <w:r w:rsidRPr="008608AA">
        <w:rPr>
          <w:noProof/>
          <w:lang w:val="pt-BR"/>
        </w:rPr>
        <w:t xml:space="preserve">Sampaio, G., Nobre, C., Costa, M. H., Satyamurty, P., Soares-Filho, B. S., &amp; Cardoso, M. (2007). </w:t>
      </w:r>
      <w:r w:rsidRPr="008608AA">
        <w:rPr>
          <w:noProof/>
        </w:rPr>
        <w:t xml:space="preserve">Regional climate change over eastern Amazonia caused by pasture and soybean cropland expansion. </w:t>
      </w:r>
      <w:r w:rsidRPr="008608AA">
        <w:rPr>
          <w:i/>
          <w:iCs/>
          <w:noProof/>
        </w:rPr>
        <w:t>Geophysical Research Letters</w:t>
      </w:r>
      <w:r w:rsidRPr="008608AA">
        <w:rPr>
          <w:noProof/>
        </w:rPr>
        <w:t xml:space="preserve">, </w:t>
      </w:r>
      <w:r w:rsidRPr="008608AA">
        <w:rPr>
          <w:i/>
          <w:iCs/>
          <w:noProof/>
        </w:rPr>
        <w:t>34</w:t>
      </w:r>
      <w:r w:rsidRPr="008608AA">
        <w:rPr>
          <w:noProof/>
        </w:rPr>
        <w:t>(17), L17709. http://doi.org/10.1029/2007GL030612</w:t>
      </w:r>
    </w:p>
    <w:p w14:paraId="450E267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Satorre, E. (2005). </w:t>
      </w:r>
      <w:r w:rsidRPr="008608AA">
        <w:rPr>
          <w:i/>
          <w:noProof/>
          <w:lang w:val="es-CO"/>
        </w:rPr>
        <w:t>Cambios tecnológicos en la agricultura argentina actual.</w:t>
      </w:r>
      <w:r w:rsidRPr="008608AA">
        <w:rPr>
          <w:noProof/>
          <w:lang w:val="es-CO"/>
        </w:rPr>
        <w:t xml:space="preserve"> </w:t>
      </w:r>
      <w:r w:rsidRPr="008608AA">
        <w:rPr>
          <w:i/>
          <w:iCs/>
          <w:noProof/>
        </w:rPr>
        <w:t>Ciencia Hoy</w:t>
      </w:r>
      <w:r w:rsidRPr="008608AA">
        <w:rPr>
          <w:noProof/>
        </w:rPr>
        <w:t xml:space="preserve">, </w:t>
      </w:r>
      <w:r w:rsidRPr="008608AA">
        <w:rPr>
          <w:i/>
          <w:iCs/>
          <w:noProof/>
        </w:rPr>
        <w:t>15</w:t>
      </w:r>
      <w:r w:rsidRPr="008608AA">
        <w:rPr>
          <w:noProof/>
        </w:rPr>
        <w:t>(87), (pp. 24–31).</w:t>
      </w:r>
    </w:p>
    <w:p w14:paraId="4AE7C20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Satterthwaite, D., McGranahan, G., &amp; Tacoli, C. (2010). Urbanization and its implications for food and farming. </w:t>
      </w:r>
      <w:r w:rsidRPr="008608AA">
        <w:rPr>
          <w:i/>
          <w:iCs/>
          <w:noProof/>
        </w:rPr>
        <w:t>Philosophical Transactions of the Royal Society B: Biological Sciences</w:t>
      </w:r>
      <w:r w:rsidRPr="008608AA">
        <w:rPr>
          <w:noProof/>
        </w:rPr>
        <w:t xml:space="preserve">, </w:t>
      </w:r>
      <w:r w:rsidRPr="008608AA">
        <w:rPr>
          <w:i/>
          <w:iCs/>
          <w:noProof/>
        </w:rPr>
        <w:t>365</w:t>
      </w:r>
      <w:r w:rsidRPr="008608AA">
        <w:rPr>
          <w:noProof/>
        </w:rPr>
        <w:t>(1554), (pp. 2809–2820). http://doi.org/10.1098/rstb.2010.0136</w:t>
      </w:r>
    </w:p>
    <w:p w14:paraId="380B9C5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Saunders, M. I., Leon, J., Phinn, S., Callaghan, D. P., O’Brien, K. R., Roelfsema, C. M., Lovelock, C. E., Lyons, M. B., &amp; Mumby, P. J. (2013). Coastal retreat and improved water quality mitigate losses of seagrass from sea level rise. </w:t>
      </w:r>
      <w:r w:rsidRPr="008608AA">
        <w:rPr>
          <w:i/>
          <w:iCs/>
          <w:noProof/>
        </w:rPr>
        <w:t>Global Change Biology</w:t>
      </w:r>
      <w:r w:rsidRPr="008608AA">
        <w:rPr>
          <w:noProof/>
        </w:rPr>
        <w:t xml:space="preserve">, </w:t>
      </w:r>
      <w:r w:rsidRPr="008608AA">
        <w:rPr>
          <w:i/>
          <w:iCs/>
          <w:noProof/>
        </w:rPr>
        <w:t>19</w:t>
      </w:r>
      <w:r w:rsidRPr="008608AA">
        <w:rPr>
          <w:noProof/>
        </w:rPr>
        <w:t>(8), 2569–2583. https://doi.org/10.1111/gcb.12218</w:t>
      </w:r>
    </w:p>
    <w:p w14:paraId="3078F9D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Scheffer, M., Hirota, M., Holmgren, M., Van Nes, E. H., &amp; Chapin, F. S. (2012). Thresholds for boreal biome transitions. </w:t>
      </w:r>
      <w:r w:rsidRPr="008608AA">
        <w:rPr>
          <w:i/>
          <w:iCs/>
          <w:noProof/>
        </w:rPr>
        <w:t>Proceedings of the National Academy of Sciences</w:t>
      </w:r>
      <w:r w:rsidRPr="008608AA">
        <w:rPr>
          <w:noProof/>
        </w:rPr>
        <w:t xml:space="preserve">, </w:t>
      </w:r>
      <w:r w:rsidRPr="008608AA">
        <w:rPr>
          <w:i/>
          <w:iCs/>
          <w:noProof/>
        </w:rPr>
        <w:t>109</w:t>
      </w:r>
      <w:r w:rsidRPr="008608AA">
        <w:rPr>
          <w:noProof/>
        </w:rPr>
        <w:t>(52), 21384–21389. https://doi.org/10.1073/pnas.1219844110</w:t>
      </w:r>
    </w:p>
    <w:p w14:paraId="2C147C5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Schmidt-Nielsen, K. (1997). </w:t>
      </w:r>
      <w:r w:rsidRPr="008608AA">
        <w:rPr>
          <w:i/>
          <w:iCs/>
          <w:noProof/>
        </w:rPr>
        <w:t>Animal physiology: adaptation and environment</w:t>
      </w:r>
      <w:r w:rsidRPr="008608AA">
        <w:rPr>
          <w:noProof/>
        </w:rPr>
        <w:t>. Cambridge University Press.</w:t>
      </w:r>
    </w:p>
    <w:p w14:paraId="28F34FB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Schmitt-Olabisi, L. K., Kapuscinski, A. R., Johnson, K. A., Reich, P. B., Stenquist, B., &amp; Draeger, K. J. (2010). Using Scenario Visioning and Participatory System Dynamics Modeling to Investigate the Future: Lessons from Minnesota 2050. </w:t>
      </w:r>
      <w:r w:rsidRPr="008608AA">
        <w:rPr>
          <w:i/>
          <w:iCs/>
          <w:noProof/>
        </w:rPr>
        <w:t>Sustainability</w:t>
      </w:r>
      <w:r w:rsidRPr="008608AA">
        <w:rPr>
          <w:noProof/>
        </w:rPr>
        <w:t xml:space="preserve">, </w:t>
      </w:r>
      <w:r w:rsidRPr="008608AA">
        <w:rPr>
          <w:i/>
          <w:iCs/>
          <w:noProof/>
        </w:rPr>
        <w:t>2010</w:t>
      </w:r>
      <w:r w:rsidRPr="008608AA">
        <w:rPr>
          <w:noProof/>
        </w:rPr>
        <w:t>(2), (pp. 2686–2706). http://doi.org/10.3390/su2082686</w:t>
      </w:r>
    </w:p>
    <w:p w14:paraId="194673E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Schneider, A., Logan, K. E., &amp; Kucharik, C. J. (2012). Impacts of Urbanization on Ecosystem Goods and Services in the U.S. Corn Belt. </w:t>
      </w:r>
      <w:r w:rsidRPr="008608AA">
        <w:rPr>
          <w:i/>
          <w:iCs/>
          <w:noProof/>
        </w:rPr>
        <w:t>Ecosystems</w:t>
      </w:r>
      <w:r w:rsidRPr="008608AA">
        <w:rPr>
          <w:noProof/>
        </w:rPr>
        <w:t xml:space="preserve">, </w:t>
      </w:r>
      <w:r w:rsidRPr="008608AA">
        <w:rPr>
          <w:i/>
          <w:iCs/>
          <w:noProof/>
        </w:rPr>
        <w:t>15</w:t>
      </w:r>
      <w:r w:rsidRPr="008608AA">
        <w:rPr>
          <w:noProof/>
        </w:rPr>
        <w:t>(4), (pp. 519–541). http://doi.org/10.1007/s10021-012-9519-1</w:t>
      </w:r>
    </w:p>
    <w:p w14:paraId="3ED93CE2"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Schneider, F., Kallis, G., &amp; Martinez-Alier, J. (2010). Crisis or opportunity? Economic degrowth for social equity and ecological sustainability. Introduction to this special issue. </w:t>
      </w:r>
      <w:r w:rsidRPr="008608AA">
        <w:rPr>
          <w:i/>
          <w:iCs/>
          <w:noProof/>
        </w:rPr>
        <w:t>Journal of Cleaner Production</w:t>
      </w:r>
      <w:r w:rsidRPr="008608AA">
        <w:rPr>
          <w:noProof/>
        </w:rPr>
        <w:t xml:space="preserve">, </w:t>
      </w:r>
      <w:r w:rsidRPr="008608AA">
        <w:rPr>
          <w:i/>
          <w:iCs/>
          <w:noProof/>
        </w:rPr>
        <w:t>18</w:t>
      </w:r>
      <w:r w:rsidRPr="008608AA">
        <w:rPr>
          <w:noProof/>
        </w:rPr>
        <w:t>(6), (pp. 511–518). http://doi.org/10.1016/J.JCLEPRO.2010.01.014</w:t>
      </w:r>
    </w:p>
    <w:p w14:paraId="2F018D62"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Schuur, E. A. G., Abbott, B. W., Bowden, W. B., Brovkin, V., Camill, P., Canadell, J. G., Chanton, J. P., Chapin, F. S., Christensen, T. R., Ciais, P., Crosby, B. T., Czimczik, C. I., Grosse, G., Harden, J., Hayes, D. J., Hugelius, G., Jastrow, J. D., Jones, J. B., Kleinen, T., Koven, C. D., Krinner, G., Kuhry, P., Lawrence, D. M., McGuire, A. D., Natali, S. M., O’Donnell, J. A., Ping, C. L., Riley, W. J., Rinke, A., Romanovsky, V. E., Sannel, A. B. K., Schädel, C., Schaefer, K., Sky, J., Subin, Z. M., Tarnocai, C., Turetsky, M. R., Waldrop, M. P., Walter Anthony, K. M., Wickland, K. P., Wilson, C. J., &amp; Zimov, S. A. (2013). Expert assessment of vulnerability of permafrost carbon to climate change. </w:t>
      </w:r>
      <w:r w:rsidRPr="008608AA">
        <w:rPr>
          <w:i/>
          <w:iCs/>
          <w:noProof/>
        </w:rPr>
        <w:t>Climatic Change</w:t>
      </w:r>
      <w:r w:rsidRPr="008608AA">
        <w:rPr>
          <w:noProof/>
        </w:rPr>
        <w:t>. https://doi.org/10.1007/s10584-013-0730-7</w:t>
      </w:r>
    </w:p>
    <w:p w14:paraId="6999B5E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Schuur, E. A. G., McGuire, A. D., Grosse, G., Harden, J. W., Hayes, D. J., Hugelius, G., Koven, C. D., &amp; Kuhry, P. (2015). Climate change and the permafrost carbon feedback. </w:t>
      </w:r>
      <w:r w:rsidRPr="008608AA">
        <w:rPr>
          <w:i/>
          <w:iCs/>
          <w:noProof/>
        </w:rPr>
        <w:t>Nature</w:t>
      </w:r>
      <w:r w:rsidRPr="008608AA">
        <w:rPr>
          <w:noProof/>
        </w:rPr>
        <w:t xml:space="preserve">, </w:t>
      </w:r>
      <w:r w:rsidRPr="008608AA">
        <w:rPr>
          <w:i/>
          <w:iCs/>
          <w:noProof/>
        </w:rPr>
        <w:t>520</w:t>
      </w:r>
      <w:r w:rsidRPr="008608AA">
        <w:rPr>
          <w:noProof/>
        </w:rPr>
        <w:t>(January 2016), 171–179. https://doi.org/10.1038/nature14338</w:t>
      </w:r>
    </w:p>
    <w:p w14:paraId="48E53052" w14:textId="77777777" w:rsidR="00B16A15" w:rsidRPr="008608AA" w:rsidRDefault="00B16A15" w:rsidP="00B16A15">
      <w:pPr>
        <w:widowControl w:val="0"/>
        <w:autoSpaceDE w:val="0"/>
        <w:autoSpaceDN w:val="0"/>
        <w:adjustRightInd w:val="0"/>
        <w:ind w:left="709" w:hanging="709"/>
        <w:rPr>
          <w:noProof/>
          <w:lang w:val="fr-CA"/>
        </w:rPr>
      </w:pPr>
      <w:r w:rsidRPr="008608AA">
        <w:rPr>
          <w:noProof/>
          <w:lang w:val="de-DE"/>
        </w:rPr>
        <w:t xml:space="preserve">Schwartzman, S., Moutinho, P., &amp; Hamburg, S. (2012). </w:t>
      </w:r>
      <w:r w:rsidRPr="008608AA">
        <w:rPr>
          <w:noProof/>
        </w:rPr>
        <w:t xml:space="preserve">Policy Update: Amazon deforestation and Brazil’s forest code: a crossroads for climate change. </w:t>
      </w:r>
      <w:r w:rsidRPr="008608AA">
        <w:rPr>
          <w:i/>
          <w:iCs/>
          <w:noProof/>
          <w:lang w:val="fr-CA"/>
        </w:rPr>
        <w:t>Carbon Management</w:t>
      </w:r>
      <w:r w:rsidRPr="008608AA">
        <w:rPr>
          <w:noProof/>
          <w:lang w:val="fr-CA"/>
        </w:rPr>
        <w:t xml:space="preserve">, </w:t>
      </w:r>
      <w:r w:rsidRPr="008608AA">
        <w:rPr>
          <w:i/>
          <w:iCs/>
          <w:noProof/>
          <w:lang w:val="fr-CA"/>
        </w:rPr>
        <w:t>3</w:t>
      </w:r>
      <w:r w:rsidRPr="008608AA">
        <w:rPr>
          <w:noProof/>
          <w:lang w:val="fr-CA"/>
        </w:rPr>
        <w:t>(4), (pp. 341–343). http://doi.org/10.4155/cmt.12.34</w:t>
      </w:r>
    </w:p>
    <w:p w14:paraId="1B7B90DC" w14:textId="77777777" w:rsidR="00B16A15" w:rsidRPr="00CE0821" w:rsidRDefault="00B16A15" w:rsidP="00B16A15">
      <w:pPr>
        <w:widowControl w:val="0"/>
        <w:autoSpaceDE w:val="0"/>
        <w:autoSpaceDN w:val="0"/>
        <w:adjustRightInd w:val="0"/>
        <w:ind w:left="709" w:hanging="709"/>
        <w:rPr>
          <w:noProof/>
          <w:lang w:val="es-CO"/>
        </w:rPr>
      </w:pPr>
      <w:r w:rsidRPr="008608AA">
        <w:rPr>
          <w:noProof/>
          <w:lang w:val="fr-CA"/>
        </w:rPr>
        <w:t xml:space="preserve">Screen, J. A., &amp; Simmonds, I. (2010). </w:t>
      </w:r>
      <w:r w:rsidRPr="008608AA">
        <w:rPr>
          <w:noProof/>
        </w:rPr>
        <w:t xml:space="preserve">The central role of diminishing sea ice in recent Arctic temperature amplification. </w:t>
      </w:r>
      <w:r w:rsidRPr="00CE0821">
        <w:rPr>
          <w:i/>
          <w:iCs/>
          <w:noProof/>
          <w:lang w:val="es-CO"/>
        </w:rPr>
        <w:t>Nature</w:t>
      </w:r>
      <w:r w:rsidRPr="00CE0821">
        <w:rPr>
          <w:noProof/>
          <w:lang w:val="es-CO"/>
        </w:rPr>
        <w:t>. http://doi.org/10.1038/nature09051</w:t>
      </w:r>
    </w:p>
    <w:p w14:paraId="6E70FDF1" w14:textId="77777777" w:rsidR="00B16A15" w:rsidRPr="008608AA" w:rsidRDefault="00B16A15" w:rsidP="00B16A15">
      <w:pPr>
        <w:widowControl w:val="0"/>
        <w:autoSpaceDE w:val="0"/>
        <w:autoSpaceDN w:val="0"/>
        <w:adjustRightInd w:val="0"/>
        <w:ind w:left="709" w:hanging="709"/>
        <w:rPr>
          <w:noProof/>
        </w:rPr>
      </w:pPr>
      <w:r w:rsidRPr="00CE0821">
        <w:rPr>
          <w:noProof/>
          <w:lang w:val="es-CO"/>
        </w:rPr>
        <w:t xml:space="preserve">Seghezzo, L., Volante, J. N., Paruelo, J. M., Somma, D. J., Buliubasich, E. C., Rodríguez, H. E., Gagnon, S., &amp; Hufty, M. (2011). </w:t>
      </w:r>
      <w:r w:rsidRPr="008608AA">
        <w:rPr>
          <w:noProof/>
        </w:rPr>
        <w:t xml:space="preserve">Native Forests and Agriculture in Salta ( Argentina ): Conflicting Visions of Development. </w:t>
      </w:r>
      <w:r w:rsidRPr="008608AA">
        <w:rPr>
          <w:i/>
          <w:iCs/>
          <w:noProof/>
        </w:rPr>
        <w:t>Journal of Environment and Development</w:t>
      </w:r>
      <w:r w:rsidRPr="008608AA">
        <w:rPr>
          <w:noProof/>
        </w:rPr>
        <w:t xml:space="preserve">, </w:t>
      </w:r>
      <w:r w:rsidRPr="008608AA">
        <w:rPr>
          <w:i/>
          <w:iCs/>
          <w:noProof/>
        </w:rPr>
        <w:t>20</w:t>
      </w:r>
      <w:r w:rsidRPr="008608AA">
        <w:rPr>
          <w:noProof/>
        </w:rPr>
        <w:t>(3), 251–277. https://doi.org/10.1177/1070496511416915</w:t>
      </w:r>
    </w:p>
    <w:p w14:paraId="7FCB055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Seitzinger, S. P., Svedin, U., Crumley, C. L., Steffen, W., Abdullah, S. A., Alfsen, C., Broadgate, W. J., Biermann, F., Bondre, N. R., Dearing, J. A., Deutsch, L., Dhakal, S., Elmqvist, T., Farahbakhshazad, N., Gaffney, O., Haberl, H., Lavorel, S., Mbow, C., McMichael, A. J., deMorais, J. M. F., Olsson, P., Pinho, P. F., Seto, K. C., Sinclair, P., Stafford Smith, M., &amp; Sugar, L. (2012). Planetary Stewardship in an Urbanizing World: Beyond City Limits. </w:t>
      </w:r>
      <w:r w:rsidRPr="008608AA">
        <w:rPr>
          <w:i/>
          <w:iCs/>
          <w:noProof/>
        </w:rPr>
        <w:t>AMBIO</w:t>
      </w:r>
      <w:r w:rsidRPr="008608AA">
        <w:rPr>
          <w:noProof/>
        </w:rPr>
        <w:t xml:space="preserve">, </w:t>
      </w:r>
      <w:r w:rsidRPr="008608AA">
        <w:rPr>
          <w:i/>
          <w:iCs/>
          <w:noProof/>
        </w:rPr>
        <w:t>41</w:t>
      </w:r>
      <w:r w:rsidRPr="008608AA">
        <w:rPr>
          <w:noProof/>
        </w:rPr>
        <w:t>(8), 787–794. https://doi.org/10.1007/s13280-012-0353-7</w:t>
      </w:r>
    </w:p>
    <w:p w14:paraId="2A984E3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Seto, K. C., Fragkias, M., Güneralp, B., &amp; Reilly, M. K. (2011). A Meta-Analysis of Global Urban Land Expansion. </w:t>
      </w:r>
      <w:r w:rsidRPr="008608AA">
        <w:rPr>
          <w:i/>
          <w:iCs/>
          <w:noProof/>
        </w:rPr>
        <w:t>PLoS ONE</w:t>
      </w:r>
      <w:r w:rsidRPr="008608AA">
        <w:rPr>
          <w:noProof/>
        </w:rPr>
        <w:t xml:space="preserve">, </w:t>
      </w:r>
      <w:r w:rsidRPr="008608AA">
        <w:rPr>
          <w:i/>
          <w:iCs/>
          <w:noProof/>
        </w:rPr>
        <w:t>6</w:t>
      </w:r>
      <w:r w:rsidRPr="008608AA">
        <w:rPr>
          <w:noProof/>
        </w:rPr>
        <w:t>(8), e23777. http://doi.org/10.1371/journal.pone.0023777</w:t>
      </w:r>
    </w:p>
    <w:p w14:paraId="2FFE7B90" w14:textId="77777777" w:rsidR="00B16A15" w:rsidRPr="008608AA" w:rsidRDefault="00B16A15" w:rsidP="00B16A15">
      <w:pPr>
        <w:widowControl w:val="0"/>
        <w:autoSpaceDE w:val="0"/>
        <w:autoSpaceDN w:val="0"/>
        <w:adjustRightInd w:val="0"/>
        <w:ind w:left="709" w:hanging="709"/>
        <w:rPr>
          <w:noProof/>
        </w:rPr>
      </w:pPr>
      <w:r w:rsidRPr="008608AA">
        <w:rPr>
          <w:noProof/>
          <w:lang w:val="pt-BR"/>
        </w:rPr>
        <w:t xml:space="preserve">Seto, K. C., Guneralp, B., &amp; Hutyra, L. R. (2012). </w:t>
      </w:r>
      <w:r w:rsidRPr="008608AA">
        <w:rPr>
          <w:noProof/>
        </w:rPr>
        <w:t xml:space="preserve">Global forecasts of urban expansion to 2030 and direct impacts on biodiversity and carbon pools. </w:t>
      </w:r>
      <w:r w:rsidRPr="008608AA">
        <w:rPr>
          <w:i/>
          <w:iCs/>
          <w:noProof/>
        </w:rPr>
        <w:t>Proceedings of the National Academy of Sciences</w:t>
      </w:r>
      <w:r w:rsidRPr="008608AA">
        <w:rPr>
          <w:noProof/>
        </w:rPr>
        <w:t xml:space="preserve">, </w:t>
      </w:r>
      <w:r w:rsidRPr="008608AA">
        <w:rPr>
          <w:i/>
          <w:iCs/>
          <w:noProof/>
        </w:rPr>
        <w:t>109</w:t>
      </w:r>
      <w:r w:rsidRPr="008608AA">
        <w:rPr>
          <w:noProof/>
        </w:rPr>
        <w:t>(40), (pp. 16083–16088). http://doi.org/10.1073/pnas.1211658109</w:t>
      </w:r>
    </w:p>
    <w:p w14:paraId="50D7116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Seto, K. C., &amp; Ramankutty, N. (2016). Hidden linkages between urbanization and food systems. </w:t>
      </w:r>
      <w:r w:rsidRPr="008608AA">
        <w:rPr>
          <w:i/>
          <w:iCs/>
          <w:noProof/>
        </w:rPr>
        <w:t>Science</w:t>
      </w:r>
      <w:r w:rsidRPr="008608AA">
        <w:rPr>
          <w:noProof/>
        </w:rPr>
        <w:t xml:space="preserve">, </w:t>
      </w:r>
      <w:r w:rsidRPr="008608AA">
        <w:rPr>
          <w:i/>
          <w:iCs/>
          <w:noProof/>
        </w:rPr>
        <w:t>352</w:t>
      </w:r>
      <w:r w:rsidRPr="008608AA">
        <w:rPr>
          <w:noProof/>
        </w:rPr>
        <w:t>(6288), (pp. 943–5). http://doi.org/10.1126/science.aaf7439</w:t>
      </w:r>
    </w:p>
    <w:p w14:paraId="65C2E72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Seto, K. C., Reenberg, A., Boone, C. G., Fragkias, M., Haase, D., Langanke, T., Marcotullio, P., Munroe, D. K., Olah, B., &amp; Simon, D. (2012). Urban land teleconnections and sustainability. </w:t>
      </w:r>
      <w:r w:rsidRPr="008608AA">
        <w:rPr>
          <w:i/>
          <w:iCs/>
          <w:noProof/>
        </w:rPr>
        <w:t>Proceedings of the National Academy of Sciences</w:t>
      </w:r>
      <w:r w:rsidRPr="008608AA">
        <w:rPr>
          <w:noProof/>
        </w:rPr>
        <w:t xml:space="preserve">, </w:t>
      </w:r>
      <w:r w:rsidRPr="008608AA">
        <w:rPr>
          <w:i/>
          <w:iCs/>
          <w:noProof/>
        </w:rPr>
        <w:t>109</w:t>
      </w:r>
      <w:r w:rsidRPr="008608AA">
        <w:rPr>
          <w:noProof/>
        </w:rPr>
        <w:t>(20), 7687–7692. https://doi.org/10.1073/pnas.1117622109</w:t>
      </w:r>
    </w:p>
    <w:p w14:paraId="012A4AA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Shanahan, D. F., Bush, R., Gaston, K. J., Lin, B. B., Dean, J., Barber, E., &amp; Fuller, R. A. (2016). Health Benefits from Nature Experiences Depend on Dose. </w:t>
      </w:r>
      <w:r w:rsidRPr="008608AA">
        <w:rPr>
          <w:i/>
          <w:iCs/>
          <w:noProof/>
        </w:rPr>
        <w:t>Nature: Scientific Reports</w:t>
      </w:r>
      <w:r w:rsidRPr="008608AA">
        <w:rPr>
          <w:noProof/>
        </w:rPr>
        <w:t>, (June), (pp. 1–10). http://doi.org/10.1038/srep28551</w:t>
      </w:r>
    </w:p>
    <w:p w14:paraId="4E7F1587"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Shaughnessy, F. J., Gilkerson, W., Black, J. M., Ward, D. H., &amp; Petrie, M. (2012). Predicted eelgrass response to sea level rise and its availability to foraging Black Brant in Pacific coast estuaries. </w:t>
      </w:r>
      <w:r w:rsidRPr="008608AA">
        <w:rPr>
          <w:i/>
          <w:iCs/>
          <w:noProof/>
        </w:rPr>
        <w:t>Ecological Applications</w:t>
      </w:r>
      <w:r w:rsidRPr="008608AA">
        <w:rPr>
          <w:noProof/>
        </w:rPr>
        <w:t xml:space="preserve">, </w:t>
      </w:r>
      <w:r w:rsidRPr="008608AA">
        <w:rPr>
          <w:i/>
          <w:iCs/>
          <w:noProof/>
        </w:rPr>
        <w:t>22</w:t>
      </w:r>
      <w:r w:rsidRPr="008608AA">
        <w:rPr>
          <w:noProof/>
        </w:rPr>
        <w:t>(6), (pp. 1743–1761).</w:t>
      </w:r>
    </w:p>
    <w:p w14:paraId="7C69B79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Short, F. T., &amp; Burdick, D. M. (1996). Quantifying Eelgrass Habitat Loss in Relation to Housing Development and Nitrogen Loading in Waquoit Bay, Massachusetts. </w:t>
      </w:r>
      <w:r w:rsidRPr="008608AA">
        <w:rPr>
          <w:i/>
          <w:iCs/>
          <w:noProof/>
        </w:rPr>
        <w:t>Estuaries</w:t>
      </w:r>
      <w:r w:rsidRPr="008608AA">
        <w:rPr>
          <w:noProof/>
        </w:rPr>
        <w:t xml:space="preserve">, </w:t>
      </w:r>
      <w:r w:rsidRPr="008608AA">
        <w:rPr>
          <w:i/>
          <w:iCs/>
          <w:noProof/>
        </w:rPr>
        <w:t>19</w:t>
      </w:r>
      <w:r w:rsidRPr="008608AA">
        <w:rPr>
          <w:noProof/>
        </w:rPr>
        <w:t>(3), (pp. 730). http://doi.org/10.2307/1352532</w:t>
      </w:r>
    </w:p>
    <w:p w14:paraId="7EB59942"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Short, F. T., Carruthers, T. J. B., Dennison, W. C., &amp; Waycott, M. (2007). Global seagrass distribution and diversity: A bioregional model. </w:t>
      </w:r>
      <w:r w:rsidRPr="008608AA">
        <w:rPr>
          <w:i/>
          <w:iCs/>
          <w:noProof/>
        </w:rPr>
        <w:t>Journal of Experimental Marine Biology and Ecology</w:t>
      </w:r>
      <w:r w:rsidRPr="008608AA">
        <w:rPr>
          <w:noProof/>
        </w:rPr>
        <w:t xml:space="preserve">, </w:t>
      </w:r>
      <w:r w:rsidRPr="008608AA">
        <w:rPr>
          <w:i/>
          <w:iCs/>
          <w:noProof/>
        </w:rPr>
        <w:t>350</w:t>
      </w:r>
      <w:r w:rsidRPr="008608AA">
        <w:rPr>
          <w:noProof/>
        </w:rPr>
        <w:t>(1–2), (pp. 3–20). http://doi.org/10.1016/j.jembe.2007.06.012</w:t>
      </w:r>
    </w:p>
    <w:p w14:paraId="17C5852C"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Short, F. T., Koch, E. W., Creed, J. C., Magalhães, K. M., Fernandez, E., &amp; Gaeckle, J. L. (2006). SeagrassNet monitoring across the Americas: case studies of seagrass decline. </w:t>
      </w:r>
      <w:r w:rsidRPr="008608AA">
        <w:rPr>
          <w:i/>
          <w:iCs/>
          <w:noProof/>
        </w:rPr>
        <w:t>Marine Ecology</w:t>
      </w:r>
      <w:r w:rsidRPr="008608AA">
        <w:rPr>
          <w:noProof/>
        </w:rPr>
        <w:t xml:space="preserve">, </w:t>
      </w:r>
      <w:r w:rsidRPr="008608AA">
        <w:rPr>
          <w:i/>
          <w:iCs/>
          <w:noProof/>
        </w:rPr>
        <w:t>27</w:t>
      </w:r>
      <w:r w:rsidRPr="008608AA">
        <w:rPr>
          <w:noProof/>
        </w:rPr>
        <w:t>(4), (pp. 277–289). http://doi.org/10.1111/j.1439-0485.2006.00095.x</w:t>
      </w:r>
    </w:p>
    <w:p w14:paraId="0F9296C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Short, F. T., &amp; Neckles, H. A. (1999). The effects of global climate change on seagrasses. </w:t>
      </w:r>
      <w:r w:rsidRPr="008608AA">
        <w:rPr>
          <w:i/>
          <w:iCs/>
          <w:noProof/>
        </w:rPr>
        <w:t>Aquatic Botany</w:t>
      </w:r>
      <w:r w:rsidRPr="008608AA">
        <w:rPr>
          <w:noProof/>
        </w:rPr>
        <w:t xml:space="preserve">, </w:t>
      </w:r>
      <w:r w:rsidRPr="008608AA">
        <w:rPr>
          <w:i/>
          <w:iCs/>
          <w:noProof/>
        </w:rPr>
        <w:t>63</w:t>
      </w:r>
      <w:r w:rsidRPr="008608AA">
        <w:rPr>
          <w:noProof/>
        </w:rPr>
        <w:t>(3–4), (pp. 169–196). http://doi.org/10.1016/S0304-3770(98)00117-X</w:t>
      </w:r>
    </w:p>
    <w:p w14:paraId="05AEB65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Short, F. T., Polidoro, B., Livingstone, S. R., Carpenter, K. E., Bandeira, S., Sidik Bujang, J., Calumpong, H. P., Carruthers, T. J. B., Coles, R. G., Dennison, W. C., Erftemeijer, P. L. A., Fortes, M. D., Freeman, A. S., Jagtap, T. G., Kamal, A. H. M., Kendrick, G. A., Kenworthy, W. J., La Nafie, Y. A., Nasution, I. M., Orth, R. J., Prathep, A., Sanciangco, J. C., van Tussenbroek, B., Vergara, S. G., Waycott, M., &amp; Zieman, J. C. (2011). Extinction risk assessment of the world’s seagrass species. </w:t>
      </w:r>
      <w:r w:rsidRPr="008608AA">
        <w:rPr>
          <w:i/>
          <w:iCs/>
          <w:noProof/>
        </w:rPr>
        <w:t>Biological Conservation</w:t>
      </w:r>
      <w:r w:rsidRPr="008608AA">
        <w:rPr>
          <w:noProof/>
        </w:rPr>
        <w:t xml:space="preserve">, </w:t>
      </w:r>
      <w:r w:rsidRPr="008608AA">
        <w:rPr>
          <w:i/>
          <w:iCs/>
          <w:noProof/>
        </w:rPr>
        <w:t>144</w:t>
      </w:r>
      <w:r w:rsidRPr="008608AA">
        <w:rPr>
          <w:noProof/>
        </w:rPr>
        <w:t>(7), 1961–1971. https://doi.org/10.1016/j.biocon.2011.04.010</w:t>
      </w:r>
    </w:p>
    <w:p w14:paraId="1A9713D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Sistla, S. a, Moore, J. C., Simpson, R. T., Gough, L., Shaver, G. R., &amp; Schimel, J. P. (2013). Long-term warming restructures Arctic tundra without changing net soil carbon storage. </w:t>
      </w:r>
      <w:r w:rsidRPr="008608AA">
        <w:rPr>
          <w:i/>
          <w:iCs/>
          <w:noProof/>
        </w:rPr>
        <w:t>Nature</w:t>
      </w:r>
      <w:r w:rsidRPr="008608AA">
        <w:rPr>
          <w:noProof/>
        </w:rPr>
        <w:t>. http://doi.org/10.1038/nature12129</w:t>
      </w:r>
    </w:p>
    <w:p w14:paraId="30E0AA7F"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Sitch, S., David Mcguire, A., Kimball, J., Gedney, N., Gamon, J., Engstrom, R., Wolf, A., Zhuang, Q., Clein, J., &amp; McDonald, K. C. (2007). Assessing the carbon balance of circumpolar Arctic tundra using remote sensing and process modeling. </w:t>
      </w:r>
      <w:r w:rsidRPr="008608AA">
        <w:rPr>
          <w:i/>
          <w:iCs/>
          <w:noProof/>
        </w:rPr>
        <w:t>Ecological Applications</w:t>
      </w:r>
      <w:r w:rsidRPr="008608AA">
        <w:rPr>
          <w:noProof/>
        </w:rPr>
        <w:t>. https://doi.org/10.1890/1051-0761(2007)017[0213:ATCBOC]2.0.CO;2</w:t>
      </w:r>
    </w:p>
    <w:p w14:paraId="35F994FE" w14:textId="77777777" w:rsidR="00B16A15" w:rsidRPr="008608AA" w:rsidRDefault="00B16A15" w:rsidP="00B16A15">
      <w:pPr>
        <w:widowControl w:val="0"/>
        <w:autoSpaceDE w:val="0"/>
        <w:autoSpaceDN w:val="0"/>
        <w:adjustRightInd w:val="0"/>
        <w:ind w:left="709" w:hanging="709"/>
        <w:rPr>
          <w:noProof/>
          <w:lang w:val="pt-BR"/>
        </w:rPr>
      </w:pPr>
      <w:r w:rsidRPr="008608AA">
        <w:rPr>
          <w:noProof/>
        </w:rPr>
        <w:t xml:space="preserve">Souza, R., Feng, X., Antonino, A., Montenegro, S., Souza, E., &amp; Porporato, A. (2016). Vegetation response to rainfall seasonality and interannual variability in tropical dry forests. </w:t>
      </w:r>
      <w:r w:rsidRPr="008608AA">
        <w:rPr>
          <w:i/>
          <w:iCs/>
          <w:noProof/>
          <w:lang w:val="pt-BR"/>
        </w:rPr>
        <w:t>Hydrological Processes</w:t>
      </w:r>
      <w:r w:rsidRPr="008608AA">
        <w:rPr>
          <w:noProof/>
          <w:lang w:val="pt-BR"/>
        </w:rPr>
        <w:t>, (30), (pp. 3583–3595).</w:t>
      </w:r>
    </w:p>
    <w:p w14:paraId="42D5995C" w14:textId="77777777" w:rsidR="00B16A15" w:rsidRPr="00A3137A" w:rsidRDefault="00B16A15" w:rsidP="00B16A15">
      <w:pPr>
        <w:widowControl w:val="0"/>
        <w:autoSpaceDE w:val="0"/>
        <w:autoSpaceDN w:val="0"/>
        <w:adjustRightInd w:val="0"/>
        <w:ind w:left="709" w:hanging="709"/>
        <w:rPr>
          <w:noProof/>
          <w:lang w:val="fr-FR"/>
        </w:rPr>
      </w:pPr>
      <w:r w:rsidRPr="008608AA">
        <w:rPr>
          <w:noProof/>
          <w:lang w:val="pt-BR"/>
        </w:rPr>
        <w:t xml:space="preserve">Sparovek, G., Barretto, A. G. de O. P., Matsumoto, M., &amp; Berndes, G. (2015). </w:t>
      </w:r>
      <w:r w:rsidRPr="008608AA">
        <w:rPr>
          <w:noProof/>
        </w:rPr>
        <w:t xml:space="preserve">Effects of Governance on Availability of Land for Agriculture and Conservation in Brazil. </w:t>
      </w:r>
      <w:r w:rsidRPr="00A3137A">
        <w:rPr>
          <w:i/>
          <w:iCs/>
          <w:noProof/>
          <w:lang w:val="fr-FR"/>
        </w:rPr>
        <w:t>Environmental Science &amp; Technology</w:t>
      </w:r>
      <w:r w:rsidRPr="00A3137A">
        <w:rPr>
          <w:noProof/>
          <w:lang w:val="fr-FR"/>
        </w:rPr>
        <w:t xml:space="preserve">, </w:t>
      </w:r>
      <w:r w:rsidRPr="00A3137A">
        <w:rPr>
          <w:i/>
          <w:iCs/>
          <w:noProof/>
          <w:lang w:val="fr-FR"/>
        </w:rPr>
        <w:t>49</w:t>
      </w:r>
      <w:r w:rsidRPr="00A3137A">
        <w:rPr>
          <w:noProof/>
          <w:lang w:val="fr-FR"/>
        </w:rPr>
        <w:t>(17), (pp. 10285–10293). http://doi.org/10.1021/acs.est.5b01300</w:t>
      </w:r>
    </w:p>
    <w:p w14:paraId="17692408" w14:textId="77777777" w:rsidR="00B16A15" w:rsidRPr="008608AA" w:rsidRDefault="00B16A15" w:rsidP="00B16A15">
      <w:pPr>
        <w:widowControl w:val="0"/>
        <w:autoSpaceDE w:val="0"/>
        <w:autoSpaceDN w:val="0"/>
        <w:adjustRightInd w:val="0"/>
        <w:ind w:left="709" w:hanging="709"/>
        <w:rPr>
          <w:noProof/>
        </w:rPr>
      </w:pPr>
      <w:r w:rsidRPr="00A3137A">
        <w:rPr>
          <w:noProof/>
          <w:lang w:val="fr-FR"/>
        </w:rPr>
        <w:t xml:space="preserve">Spracklen, D. V., &amp; Garcia-Carreras, L. (2015). </w:t>
      </w:r>
      <w:r w:rsidRPr="008608AA">
        <w:rPr>
          <w:noProof/>
        </w:rPr>
        <w:t xml:space="preserve">The impact of Amazonian deforestation on Amazon basin rainfall. </w:t>
      </w:r>
      <w:r w:rsidRPr="008608AA">
        <w:rPr>
          <w:i/>
          <w:iCs/>
          <w:noProof/>
        </w:rPr>
        <w:t>Geophysical Research Letters</w:t>
      </w:r>
      <w:r w:rsidRPr="008608AA">
        <w:rPr>
          <w:noProof/>
        </w:rPr>
        <w:t xml:space="preserve">, </w:t>
      </w:r>
      <w:r w:rsidRPr="008608AA">
        <w:rPr>
          <w:i/>
          <w:iCs/>
          <w:noProof/>
        </w:rPr>
        <w:t>42</w:t>
      </w:r>
      <w:r w:rsidRPr="008608AA">
        <w:rPr>
          <w:noProof/>
        </w:rPr>
        <w:t>(21), (pp. 9546–9552). http://doi.org/10.1002/2015GL066063</w:t>
      </w:r>
    </w:p>
    <w:p w14:paraId="379816E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Stehfest, E., Bouwman, L., Van Vuuren, D. P., Den Elzen, M. G. J., Eickhout, B., &amp; Kabat, P. (2009). Climate benefits of changing diet. </w:t>
      </w:r>
      <w:r w:rsidRPr="008608AA">
        <w:rPr>
          <w:i/>
          <w:iCs/>
          <w:noProof/>
        </w:rPr>
        <w:t>Climatic Change</w:t>
      </w:r>
      <w:r w:rsidRPr="008608AA">
        <w:rPr>
          <w:noProof/>
        </w:rPr>
        <w:t xml:space="preserve">, </w:t>
      </w:r>
      <w:r w:rsidRPr="008608AA">
        <w:rPr>
          <w:i/>
          <w:iCs/>
          <w:noProof/>
        </w:rPr>
        <w:t>95</w:t>
      </w:r>
      <w:r w:rsidRPr="008608AA">
        <w:rPr>
          <w:noProof/>
        </w:rPr>
        <w:t>(1–2), (pp. 83–102). http://doi.org/10.1007/s10584-008-9534-6</w:t>
      </w:r>
    </w:p>
    <w:p w14:paraId="60B4820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Stehfest, E., van Vuuren, D., Kram, T., Bouwman, L., Alkemade, R., Bakkenes, M., Biemans, H., Bouwman, A., den Elzen, M., Janse, J., Lucas, P., van Minnen, J., Muller, M., &amp; Prins, A. G. (2014). </w:t>
      </w:r>
      <w:r w:rsidRPr="008608AA">
        <w:rPr>
          <w:i/>
          <w:iCs/>
          <w:noProof/>
        </w:rPr>
        <w:t>Integrated Assessment of Global Environmental Change with IMAGE 3.0 - Model description and policy applications</w:t>
      </w:r>
      <w:r w:rsidRPr="008608AA">
        <w:rPr>
          <w:noProof/>
        </w:rPr>
        <w:t>. The Hague: PBL Netherlands Environmental Assessment Agency.</w:t>
      </w:r>
    </w:p>
    <w:p w14:paraId="07EC162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Stewart, E. J., Liggett, D., &amp; Dawson, J. (2017). The evolution of polar tourism scholarship : research themes , networks and agendas. </w:t>
      </w:r>
      <w:r w:rsidRPr="008608AA">
        <w:rPr>
          <w:i/>
          <w:iCs/>
          <w:noProof/>
        </w:rPr>
        <w:t>Polar Geography</w:t>
      </w:r>
      <w:r w:rsidRPr="008608AA">
        <w:rPr>
          <w:noProof/>
        </w:rPr>
        <w:t xml:space="preserve">, </w:t>
      </w:r>
      <w:r w:rsidRPr="008608AA">
        <w:rPr>
          <w:i/>
          <w:iCs/>
          <w:noProof/>
        </w:rPr>
        <w:t>40</w:t>
      </w:r>
      <w:r w:rsidRPr="008608AA">
        <w:rPr>
          <w:noProof/>
        </w:rPr>
        <w:t>(1), (pp. 59–84). http://doi.org/10.1080/1088937X.2016.1274789</w:t>
      </w:r>
    </w:p>
    <w:p w14:paraId="071B0CC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Strickland, M. D., Arnett, E. B., Erickson, W. P., Johnson, D. H., Johnson, G. D., M.L., M., Shaffer, J. A., &amp; Warren-Hicks, W. (2011). </w:t>
      </w:r>
      <w:r w:rsidRPr="008608AA">
        <w:rPr>
          <w:i/>
          <w:iCs/>
          <w:noProof/>
        </w:rPr>
        <w:t>Comprehensive Guide to Studying Wind Energy/Wildlife Interactions</w:t>
      </w:r>
      <w:r w:rsidRPr="008608AA">
        <w:rPr>
          <w:noProof/>
        </w:rPr>
        <w:t>. Washington, D.C., USA.</w:t>
      </w:r>
    </w:p>
    <w:p w14:paraId="33C5AE4B"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Sun, J., TONG, Y., &amp; Liu, J. (2017). Telecoupled land-use changes in distant countries. </w:t>
      </w:r>
      <w:r w:rsidRPr="008608AA">
        <w:rPr>
          <w:i/>
          <w:iCs/>
          <w:noProof/>
        </w:rPr>
        <w:t>Journal of Integrative Agriculture</w:t>
      </w:r>
      <w:r w:rsidRPr="008608AA">
        <w:rPr>
          <w:noProof/>
        </w:rPr>
        <w:t xml:space="preserve">, </w:t>
      </w:r>
      <w:r w:rsidRPr="008608AA">
        <w:rPr>
          <w:i/>
          <w:iCs/>
          <w:noProof/>
        </w:rPr>
        <w:t>16</w:t>
      </w:r>
      <w:r w:rsidRPr="008608AA">
        <w:rPr>
          <w:noProof/>
        </w:rPr>
        <w:t>(2), (pp. 368–376). http://doi.org/10.1016/S2095-3119(16)61528-9</w:t>
      </w:r>
    </w:p>
    <w:p w14:paraId="41BC4D1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Sweet, S. K., Griffin, K. L., Steltzer, H., Gough, L., &amp; Boelman, N. T. (2015). Greater deciduous shrub abundance extends tundra peak season and increases modeled net CO2 uptake. </w:t>
      </w:r>
      <w:r w:rsidRPr="008608AA">
        <w:rPr>
          <w:i/>
          <w:iCs/>
          <w:noProof/>
        </w:rPr>
        <w:t>Global Change Biology</w:t>
      </w:r>
      <w:r w:rsidRPr="008608AA">
        <w:rPr>
          <w:noProof/>
        </w:rPr>
        <w:t>. http://doi.org/10.1111/gcb.12852</w:t>
      </w:r>
    </w:p>
    <w:p w14:paraId="6FE616A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Sy, V. De, Herold, M., Achard, F., Beuchle, R., Clevers, J. G. P. W., Lindquist, E., &amp; Verchot, L. (2015). Land use patterns and related carbon losses following deforestation in South America. </w:t>
      </w:r>
      <w:r w:rsidRPr="008608AA">
        <w:rPr>
          <w:i/>
          <w:iCs/>
          <w:noProof/>
        </w:rPr>
        <w:t>Environmental Research Letters</w:t>
      </w:r>
      <w:r w:rsidRPr="008608AA">
        <w:rPr>
          <w:noProof/>
        </w:rPr>
        <w:t xml:space="preserve">, </w:t>
      </w:r>
      <w:r w:rsidRPr="008608AA">
        <w:rPr>
          <w:i/>
          <w:iCs/>
          <w:noProof/>
        </w:rPr>
        <w:t>10</w:t>
      </w:r>
      <w:r w:rsidRPr="008608AA">
        <w:rPr>
          <w:noProof/>
        </w:rPr>
        <w:t>(12), 124004. http://doi.org/10.1088/1748-9326/10/12/124004</w:t>
      </w:r>
    </w:p>
    <w:p w14:paraId="69005125" w14:textId="77777777" w:rsidR="00B16A15" w:rsidRPr="008608AA" w:rsidRDefault="00B16A15" w:rsidP="00B16A15">
      <w:pPr>
        <w:widowControl w:val="0"/>
        <w:autoSpaceDE w:val="0"/>
        <w:autoSpaceDN w:val="0"/>
        <w:adjustRightInd w:val="0"/>
        <w:ind w:left="709" w:hanging="709"/>
        <w:rPr>
          <w:noProof/>
          <w:lang w:val="pt-BR"/>
        </w:rPr>
      </w:pPr>
      <w:r w:rsidRPr="008608AA">
        <w:rPr>
          <w:noProof/>
        </w:rPr>
        <w:t xml:space="preserve">Tarnocai, C., Canadell, J. G., Schuur, E. A. G., Kuhry, P., Mazhitova, G., &amp; Zimov, S. (2009). Soil organic carbon pools in the northern circumpolar permafrost region. </w:t>
      </w:r>
      <w:r w:rsidRPr="008608AA">
        <w:rPr>
          <w:i/>
          <w:iCs/>
          <w:noProof/>
          <w:lang w:val="pt-BR"/>
        </w:rPr>
        <w:t>Global Biogeochemical Cycles</w:t>
      </w:r>
      <w:r w:rsidRPr="008608AA">
        <w:rPr>
          <w:noProof/>
          <w:lang w:val="pt-BR"/>
        </w:rPr>
        <w:t xml:space="preserve">, </w:t>
      </w:r>
      <w:r w:rsidRPr="008608AA">
        <w:rPr>
          <w:i/>
          <w:iCs/>
          <w:noProof/>
          <w:lang w:val="pt-BR"/>
        </w:rPr>
        <w:t>23</w:t>
      </w:r>
      <w:r w:rsidRPr="008608AA">
        <w:rPr>
          <w:noProof/>
          <w:lang w:val="pt-BR"/>
        </w:rPr>
        <w:t>(2), n/a-n/a. http://doi.org/10.1029/2008GB003327</w:t>
      </w:r>
    </w:p>
    <w:p w14:paraId="4C35ED1B"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Teh, L. S. L., Cheung, W. W. L., &amp; Sumaila, U. R. (2016). Scenarios for investigating the future of Canada’s oceans and marine fisheries under environmental and socioeconomic change. </w:t>
      </w:r>
      <w:r w:rsidRPr="008608AA">
        <w:rPr>
          <w:i/>
          <w:iCs/>
          <w:noProof/>
          <w:lang w:val="es-CO"/>
        </w:rPr>
        <w:t>Regional Environmental Change</w:t>
      </w:r>
      <w:r w:rsidRPr="008608AA">
        <w:rPr>
          <w:noProof/>
          <w:lang w:val="es-CO"/>
        </w:rPr>
        <w:t>. http://doi.org/10.1007/s10113-016-1081-5</w:t>
      </w:r>
    </w:p>
    <w:p w14:paraId="4BD5F787"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Tejada, G., Dalla-Nora, E., Cordoba, D., Lafortezza, R., Ovando, A., Assis, T., &amp; Aguiar, A. P. (2016). </w:t>
      </w:r>
      <w:r w:rsidRPr="008608AA">
        <w:rPr>
          <w:noProof/>
        </w:rPr>
        <w:t xml:space="preserve">Deforestation scenarios for the Bolivian lowlands. </w:t>
      </w:r>
      <w:r w:rsidRPr="008608AA">
        <w:rPr>
          <w:i/>
          <w:iCs/>
          <w:noProof/>
        </w:rPr>
        <w:t>Environmental Research</w:t>
      </w:r>
      <w:r w:rsidRPr="008608AA">
        <w:rPr>
          <w:noProof/>
        </w:rPr>
        <w:t xml:space="preserve">, </w:t>
      </w:r>
      <w:r w:rsidRPr="008608AA">
        <w:rPr>
          <w:i/>
          <w:iCs/>
          <w:noProof/>
        </w:rPr>
        <w:t>144</w:t>
      </w:r>
      <w:r w:rsidRPr="008608AA">
        <w:rPr>
          <w:noProof/>
        </w:rPr>
        <w:t xml:space="preserve">, </w:t>
      </w:r>
      <w:r w:rsidRPr="008608AA">
        <w:rPr>
          <w:i/>
          <w:iCs/>
          <w:noProof/>
        </w:rPr>
        <w:t>PartB</w:t>
      </w:r>
      <w:r w:rsidRPr="008608AA">
        <w:rPr>
          <w:noProof/>
        </w:rPr>
        <w:t>, (pp. 49–63). http://doi.org/10.1016/j.envres.2015.10.010</w:t>
      </w:r>
    </w:p>
    <w:p w14:paraId="6A85E443" w14:textId="77777777" w:rsidR="00B16A15" w:rsidRPr="008608AA" w:rsidRDefault="00B16A15" w:rsidP="00B16A15">
      <w:pPr>
        <w:widowControl w:val="0"/>
        <w:autoSpaceDE w:val="0"/>
        <w:autoSpaceDN w:val="0"/>
        <w:adjustRightInd w:val="0"/>
        <w:ind w:left="709" w:hanging="709"/>
        <w:rPr>
          <w:noProof/>
        </w:rPr>
      </w:pPr>
      <w:r w:rsidRPr="00CE0821">
        <w:rPr>
          <w:noProof/>
          <w:lang w:val="es-CO"/>
        </w:rPr>
        <w:t xml:space="preserve">Ter Steege, H., Pitman, N., Sabatier, D., Castellanos, H., Van Der Hout, P., Daly, D. C., Silveira, M., Phillips, O., Vasquez, R., Van Andel, T., Duivenvoorden, J., De Oliveira, A. A., Ek, R., Lilwah, R., Thomas, R., Van Essen, J., Baider, C., Maas, P., Mori, S., Terborgh, J., NúÑez Vargas, P., Mogollón, H., &amp; Morawetz, W. (2003). </w:t>
      </w:r>
      <w:r w:rsidRPr="008608AA">
        <w:rPr>
          <w:noProof/>
        </w:rPr>
        <w:t xml:space="preserve">A spatial model of tree </w:t>
      </w:r>
      <w:r w:rsidRPr="008608AA">
        <w:rPr>
          <w:noProof/>
          <w:lang w:val="es-ES"/>
        </w:rPr>
        <w:t>α</w:t>
      </w:r>
      <w:r w:rsidRPr="008608AA">
        <w:rPr>
          <w:noProof/>
        </w:rPr>
        <w:t xml:space="preserve">-diversity and tree density for the Amazon. </w:t>
      </w:r>
      <w:r w:rsidRPr="008608AA">
        <w:rPr>
          <w:i/>
          <w:iCs/>
          <w:noProof/>
        </w:rPr>
        <w:t>Biodiversity and Conservation</w:t>
      </w:r>
      <w:r w:rsidRPr="008608AA">
        <w:rPr>
          <w:noProof/>
        </w:rPr>
        <w:t xml:space="preserve">, </w:t>
      </w:r>
      <w:r w:rsidRPr="008608AA">
        <w:rPr>
          <w:i/>
          <w:iCs/>
          <w:noProof/>
        </w:rPr>
        <w:t>12</w:t>
      </w:r>
      <w:r w:rsidRPr="008608AA">
        <w:rPr>
          <w:noProof/>
        </w:rPr>
        <w:t>(11), 2255–2277. https://doi.org/10.1023/A:1024593414624</w:t>
      </w:r>
    </w:p>
    <w:p w14:paraId="2D92BF99" w14:textId="77777777" w:rsidR="00B16A15" w:rsidRPr="00CE0821" w:rsidRDefault="00B16A15" w:rsidP="00B16A15">
      <w:pPr>
        <w:widowControl w:val="0"/>
        <w:autoSpaceDE w:val="0"/>
        <w:autoSpaceDN w:val="0"/>
        <w:adjustRightInd w:val="0"/>
        <w:ind w:left="709" w:hanging="709"/>
        <w:rPr>
          <w:noProof/>
        </w:rPr>
      </w:pPr>
      <w:r w:rsidRPr="008608AA">
        <w:rPr>
          <w:noProof/>
        </w:rPr>
        <w:t xml:space="preserve">Uden, D. R., Allen, C. R. ., Bishop, A. A., Grosse, R., Jorgensen, C. F., LaGrange, T. G., Stutheit, R. G., &amp; Vrtiska, M. P. (2015). Predictions of future ephemeral springtime waterbird stopover habitat availability under global change. </w:t>
      </w:r>
      <w:r w:rsidRPr="00CE0821">
        <w:rPr>
          <w:i/>
          <w:iCs/>
          <w:noProof/>
        </w:rPr>
        <w:t>Ecosphere</w:t>
      </w:r>
      <w:r w:rsidRPr="00CE0821">
        <w:rPr>
          <w:noProof/>
        </w:rPr>
        <w:t xml:space="preserve">, </w:t>
      </w:r>
      <w:r w:rsidRPr="00CE0821">
        <w:rPr>
          <w:i/>
          <w:iCs/>
          <w:noProof/>
        </w:rPr>
        <w:t>6</w:t>
      </w:r>
      <w:r w:rsidRPr="00CE0821">
        <w:rPr>
          <w:noProof/>
        </w:rPr>
        <w:t>(11), Article 215. https://doi.org/10.1890/ES15-00256.1</w:t>
      </w:r>
    </w:p>
    <w:p w14:paraId="71CD2194" w14:textId="77777777" w:rsidR="00B16A15" w:rsidRPr="00CE0821" w:rsidRDefault="00B16A15" w:rsidP="00B16A15">
      <w:pPr>
        <w:widowControl w:val="0"/>
        <w:autoSpaceDE w:val="0"/>
        <w:autoSpaceDN w:val="0"/>
        <w:adjustRightInd w:val="0"/>
        <w:ind w:left="709" w:hanging="709"/>
        <w:rPr>
          <w:noProof/>
        </w:rPr>
      </w:pPr>
      <w:r w:rsidRPr="00CE0821">
        <w:rPr>
          <w:noProof/>
        </w:rPr>
        <w:t xml:space="preserve">UN. (2017). </w:t>
      </w:r>
      <w:r w:rsidRPr="00CE0821">
        <w:rPr>
          <w:i/>
          <w:iCs/>
          <w:noProof/>
        </w:rPr>
        <w:t>New Urban Agenda</w:t>
      </w:r>
      <w:r w:rsidRPr="00CE0821">
        <w:rPr>
          <w:noProof/>
        </w:rPr>
        <w:t>. Quito, Ecuador.</w:t>
      </w:r>
    </w:p>
    <w:p w14:paraId="658E122A" w14:textId="77777777" w:rsidR="00B16A15" w:rsidRPr="008608AA" w:rsidRDefault="00B16A15" w:rsidP="00B16A15">
      <w:pPr>
        <w:widowControl w:val="0"/>
        <w:autoSpaceDE w:val="0"/>
        <w:autoSpaceDN w:val="0"/>
        <w:adjustRightInd w:val="0"/>
        <w:ind w:left="709" w:hanging="709"/>
        <w:rPr>
          <w:noProof/>
          <w:lang w:val="en-GB"/>
        </w:rPr>
      </w:pPr>
      <w:r w:rsidRPr="008608AA">
        <w:rPr>
          <w:noProof/>
          <w:lang w:val="en-GB"/>
        </w:rPr>
        <w:t xml:space="preserve">UNEP (2010) </w:t>
      </w:r>
      <w:r w:rsidRPr="008608AA">
        <w:rPr>
          <w:i/>
          <w:noProof/>
          <w:lang w:val="en-GB"/>
        </w:rPr>
        <w:t>Assessing the Environmental Impacts of Consumption and Production: Priority Products and Materials, A Report of the Working Group on the Environmental Impacts of Products and  Materials to the International Panel for Sustainable Resource Management.</w:t>
      </w:r>
      <w:r w:rsidRPr="008608AA">
        <w:rPr>
          <w:noProof/>
          <w:lang w:val="en-GB"/>
        </w:rPr>
        <w:t xml:space="preserve"> Hertwich, E., van der Voet, E., Suh, S., Tukker, A, Huijbregts M., Kazmierczyk, P., Lenzen, M., McNeely, J., Moriguchi, Y. http://www.resourcepanel.org/sites/default/files/documents/document/media/assessing_scp_summary_report_english.pdf</w:t>
      </w:r>
    </w:p>
    <w:p w14:paraId="165BC89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UNEP. (2014). </w:t>
      </w:r>
      <w:r w:rsidRPr="008608AA">
        <w:rPr>
          <w:i/>
          <w:iCs/>
          <w:noProof/>
        </w:rPr>
        <w:t>Annual Report 2014</w:t>
      </w:r>
      <w:r w:rsidRPr="008608AA">
        <w:rPr>
          <w:noProof/>
        </w:rPr>
        <w:t>.</w:t>
      </w:r>
    </w:p>
    <w:p w14:paraId="5A2A77C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UNEP. (2016a). </w:t>
      </w:r>
      <w:r w:rsidRPr="008608AA">
        <w:rPr>
          <w:i/>
          <w:iCs/>
          <w:noProof/>
        </w:rPr>
        <w:t>GEO-6 Regional Assessment for Latin America and the Caribbean</w:t>
      </w:r>
      <w:r w:rsidRPr="008608AA">
        <w:rPr>
          <w:noProof/>
        </w:rPr>
        <w:t>. Nairobi, Kenya: United Nations Environment Programme.</w:t>
      </w:r>
    </w:p>
    <w:p w14:paraId="2A421F54"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UNEP. (2016b). </w:t>
      </w:r>
      <w:r w:rsidRPr="008608AA">
        <w:rPr>
          <w:i/>
          <w:iCs/>
          <w:noProof/>
        </w:rPr>
        <w:t>GEO-6 Regional Assessment for North America</w:t>
      </w:r>
      <w:r w:rsidRPr="008608AA">
        <w:rPr>
          <w:noProof/>
        </w:rPr>
        <w:t xml:space="preserve">. </w:t>
      </w:r>
      <w:r w:rsidRPr="008608AA">
        <w:rPr>
          <w:noProof/>
          <w:lang w:val="es-CO"/>
        </w:rPr>
        <w:t>Nairobi, Kenya.</w:t>
      </w:r>
    </w:p>
    <w:p w14:paraId="45B8B407" w14:textId="77777777" w:rsidR="00B16A15" w:rsidRPr="008608AA" w:rsidRDefault="00B16A15" w:rsidP="00B16A15">
      <w:pPr>
        <w:widowControl w:val="0"/>
        <w:autoSpaceDE w:val="0"/>
        <w:autoSpaceDN w:val="0"/>
        <w:adjustRightInd w:val="0"/>
        <w:ind w:left="709" w:hanging="709"/>
        <w:rPr>
          <w:noProof/>
          <w:lang w:val="es-CO"/>
        </w:rPr>
      </w:pPr>
      <w:r w:rsidRPr="008608AA">
        <w:rPr>
          <w:noProof/>
          <w:lang w:val="es-CO"/>
        </w:rPr>
        <w:t xml:space="preserve">Urbina-Cardona, J. N., &amp; Castro, F. (2010). Distribución actual y futura de anfibios y reptiles con potencial invasor en Colombia: una aproximación usando modelos de nicho ecológico. </w:t>
      </w:r>
      <w:r w:rsidRPr="008608AA">
        <w:rPr>
          <w:i/>
          <w:iCs/>
          <w:noProof/>
          <w:lang w:val="es-CO"/>
        </w:rPr>
        <w:t>Diversidad Y Cambio Climático</w:t>
      </w:r>
      <w:r w:rsidRPr="008608AA">
        <w:rPr>
          <w:noProof/>
          <w:lang w:val="es-CO"/>
        </w:rPr>
        <w:t xml:space="preserve">, </w:t>
      </w:r>
      <w:r w:rsidRPr="008608AA">
        <w:rPr>
          <w:i/>
          <w:iCs/>
          <w:noProof/>
          <w:lang w:val="es-CO"/>
        </w:rPr>
        <w:t>1</w:t>
      </w:r>
      <w:r w:rsidRPr="008608AA">
        <w:rPr>
          <w:noProof/>
          <w:lang w:val="es-CO"/>
        </w:rPr>
        <w:t>(1), (pp. 65–72). http://doi.org/10.1016/j.jns.2003.09.014</w:t>
      </w:r>
    </w:p>
    <w:p w14:paraId="59DF5A91"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Urbina-Cardona, J. N., &amp; Flores-Villela, O. (2010). </w:t>
      </w:r>
      <w:r w:rsidRPr="008608AA">
        <w:rPr>
          <w:noProof/>
        </w:rPr>
        <w:t xml:space="preserve">Ecological-niche modeling and prioritization of conservation-area networks for Mexican herpetofauna. </w:t>
      </w:r>
      <w:r w:rsidRPr="008608AA">
        <w:rPr>
          <w:i/>
          <w:iCs/>
          <w:noProof/>
        </w:rPr>
        <w:t>Conservation Biology</w:t>
      </w:r>
      <w:r w:rsidRPr="008608AA">
        <w:rPr>
          <w:noProof/>
        </w:rPr>
        <w:t xml:space="preserve">, </w:t>
      </w:r>
      <w:r w:rsidRPr="008608AA">
        <w:rPr>
          <w:i/>
          <w:iCs/>
          <w:noProof/>
        </w:rPr>
        <w:t>24</w:t>
      </w:r>
      <w:r w:rsidRPr="008608AA">
        <w:rPr>
          <w:noProof/>
        </w:rPr>
        <w:t>(4), (pp. 1031–41). http://doi.org/10.1111/j.1523-1739.2009.01432.x</w:t>
      </w:r>
    </w:p>
    <w:p w14:paraId="68A24756" w14:textId="77777777" w:rsidR="00B16A15" w:rsidRPr="008608AA" w:rsidRDefault="00B16A15" w:rsidP="00B16A15">
      <w:pPr>
        <w:widowControl w:val="0"/>
        <w:autoSpaceDE w:val="0"/>
        <w:autoSpaceDN w:val="0"/>
        <w:adjustRightInd w:val="0"/>
        <w:ind w:left="709" w:hanging="709"/>
        <w:rPr>
          <w:noProof/>
        </w:rPr>
      </w:pPr>
      <w:r w:rsidRPr="008608AA">
        <w:rPr>
          <w:noProof/>
          <w:lang w:val="en-GB"/>
        </w:rPr>
        <w:t xml:space="preserve">USDA. (2009). </w:t>
      </w:r>
      <w:r w:rsidRPr="008608AA">
        <w:rPr>
          <w:i/>
          <w:noProof/>
          <w:lang w:val="en-GB"/>
        </w:rPr>
        <w:t>World Crop Production summary</w:t>
      </w:r>
      <w:r w:rsidRPr="008608AA">
        <w:rPr>
          <w:noProof/>
          <w:lang w:val="en-GB"/>
        </w:rPr>
        <w:t>. Washington D.C., USA: Foreign Agricultural Service, United States Department of Agriculture (USDA).</w:t>
      </w:r>
    </w:p>
    <w:p w14:paraId="3497A63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USEPA. (2011). </w:t>
      </w:r>
      <w:r w:rsidRPr="008608AA">
        <w:rPr>
          <w:i/>
          <w:iCs/>
          <w:noProof/>
        </w:rPr>
        <w:t>National Wetland Condition Assessment: 2011 Technical Report. EPA-843-R-15-006</w:t>
      </w:r>
      <w:r w:rsidRPr="008608AA">
        <w:rPr>
          <w:noProof/>
        </w:rPr>
        <w:t>. Washington D.C.</w:t>
      </w:r>
    </w:p>
    <w:p w14:paraId="38CFEB5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Valle, M., Chust, G., del Campo, A., Wisz, M. S., Olsen, S. M., Garmendia, J. M., &amp; Borja, Á. (2014). Projecting future distribution of the seagrass Zostera noltii under global warming and sea level rise. </w:t>
      </w:r>
      <w:r w:rsidRPr="008608AA">
        <w:rPr>
          <w:i/>
          <w:iCs/>
          <w:noProof/>
        </w:rPr>
        <w:t>Biological Conservation</w:t>
      </w:r>
      <w:r w:rsidRPr="008608AA">
        <w:rPr>
          <w:noProof/>
        </w:rPr>
        <w:t xml:space="preserve">, </w:t>
      </w:r>
      <w:r w:rsidRPr="008608AA">
        <w:rPr>
          <w:i/>
          <w:iCs/>
          <w:noProof/>
        </w:rPr>
        <w:t>170</w:t>
      </w:r>
      <w:r w:rsidRPr="008608AA">
        <w:rPr>
          <w:noProof/>
        </w:rPr>
        <w:t>, (pp. 74–85). http://doi.org/10.1016/j.biocon.2013.12.017</w:t>
      </w:r>
    </w:p>
    <w:p w14:paraId="1B832E6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van Soesbergen, A. J. J., &amp; Mulligan, M. (2014). Modelling multiple threats to water security in the Peruvian Amazon using the WaterWorld policy support system. </w:t>
      </w:r>
      <w:r w:rsidRPr="008608AA">
        <w:rPr>
          <w:i/>
          <w:iCs/>
          <w:noProof/>
        </w:rPr>
        <w:t>Earth System Dynamics</w:t>
      </w:r>
      <w:r w:rsidRPr="008608AA">
        <w:rPr>
          <w:noProof/>
        </w:rPr>
        <w:t xml:space="preserve">, </w:t>
      </w:r>
      <w:r w:rsidRPr="008608AA">
        <w:rPr>
          <w:i/>
          <w:iCs/>
          <w:noProof/>
        </w:rPr>
        <w:t>5</w:t>
      </w:r>
      <w:r w:rsidRPr="008608AA">
        <w:rPr>
          <w:noProof/>
        </w:rPr>
        <w:t>(1), (pp. 55–65). http://doi.org/10.5194/esd-5-55-2014</w:t>
      </w:r>
    </w:p>
    <w:p w14:paraId="12983D87" w14:textId="77777777" w:rsidR="00B16A15" w:rsidRPr="008608AA" w:rsidRDefault="00B16A15" w:rsidP="00B16A15">
      <w:pPr>
        <w:widowControl w:val="0"/>
        <w:autoSpaceDE w:val="0"/>
        <w:autoSpaceDN w:val="0"/>
        <w:adjustRightInd w:val="0"/>
        <w:ind w:left="709" w:hanging="709"/>
        <w:rPr>
          <w:noProof/>
          <w:lang w:val="fr-CA"/>
        </w:rPr>
      </w:pPr>
      <w:r w:rsidRPr="008608AA">
        <w:rPr>
          <w:noProof/>
        </w:rPr>
        <w:t xml:space="preserve">van Vuuren, D. P., Kok, M. T. J., Girod, B., Lucas, P. L., &amp; de Vries, B. (2012). Scenarios in Global Environmental Assessments: Key characteristics and lessons for future use. </w:t>
      </w:r>
      <w:r w:rsidRPr="008608AA">
        <w:rPr>
          <w:i/>
          <w:iCs/>
          <w:noProof/>
          <w:lang w:val="fr-CA"/>
        </w:rPr>
        <w:t>Global Environmental Change</w:t>
      </w:r>
      <w:r w:rsidRPr="008608AA">
        <w:rPr>
          <w:noProof/>
          <w:lang w:val="fr-CA"/>
        </w:rPr>
        <w:t xml:space="preserve">, </w:t>
      </w:r>
      <w:r w:rsidRPr="008608AA">
        <w:rPr>
          <w:i/>
          <w:iCs/>
          <w:noProof/>
          <w:lang w:val="fr-CA"/>
        </w:rPr>
        <w:t>22</w:t>
      </w:r>
      <w:r w:rsidRPr="008608AA">
        <w:rPr>
          <w:noProof/>
          <w:lang w:val="fr-CA"/>
        </w:rPr>
        <w:t>(4), (pp. 884–895). http://doi.org/10.1016/j.gloenvcha.2012.06.001</w:t>
      </w:r>
    </w:p>
    <w:p w14:paraId="757D0D2D" w14:textId="77777777" w:rsidR="00B16A15" w:rsidRPr="008608AA" w:rsidRDefault="00B16A15" w:rsidP="00B16A15">
      <w:pPr>
        <w:widowControl w:val="0"/>
        <w:autoSpaceDE w:val="0"/>
        <w:autoSpaceDN w:val="0"/>
        <w:adjustRightInd w:val="0"/>
        <w:ind w:left="709" w:hanging="709"/>
        <w:rPr>
          <w:noProof/>
        </w:rPr>
      </w:pPr>
      <w:r w:rsidRPr="008608AA">
        <w:rPr>
          <w:noProof/>
          <w:lang w:val="fr-CA"/>
        </w:rPr>
        <w:t xml:space="preserve">Velasquez-Tibata, J., P. Salaman, &amp; Graham, C. H. (2013). </w:t>
      </w:r>
      <w:r w:rsidRPr="008608AA">
        <w:rPr>
          <w:noProof/>
        </w:rPr>
        <w:t xml:space="preserve">Effects of climate change on species distribution, community structure, and conservation of birds in protected areas in Colombia. </w:t>
      </w:r>
      <w:r w:rsidRPr="008608AA">
        <w:rPr>
          <w:i/>
          <w:iCs/>
          <w:noProof/>
        </w:rPr>
        <w:t>Regional Environmental Change</w:t>
      </w:r>
      <w:r w:rsidRPr="008608AA">
        <w:rPr>
          <w:noProof/>
        </w:rPr>
        <w:t xml:space="preserve">, </w:t>
      </w:r>
      <w:r w:rsidRPr="008608AA">
        <w:rPr>
          <w:i/>
          <w:iCs/>
          <w:noProof/>
        </w:rPr>
        <w:t>13</w:t>
      </w:r>
      <w:r w:rsidRPr="008608AA">
        <w:rPr>
          <w:noProof/>
        </w:rPr>
        <w:t>, (pp. 235–248).</w:t>
      </w:r>
    </w:p>
    <w:p w14:paraId="596F6CD6" w14:textId="77777777" w:rsidR="00B16A15" w:rsidRPr="00A3137A" w:rsidRDefault="00B16A15" w:rsidP="00B16A15">
      <w:pPr>
        <w:widowControl w:val="0"/>
        <w:autoSpaceDE w:val="0"/>
        <w:autoSpaceDN w:val="0"/>
        <w:adjustRightInd w:val="0"/>
        <w:ind w:left="709" w:hanging="709"/>
        <w:rPr>
          <w:noProof/>
        </w:rPr>
      </w:pPr>
      <w:r w:rsidRPr="008608AA">
        <w:rPr>
          <w:noProof/>
        </w:rPr>
        <w:t xml:space="preserve">Vennum, T. (1988). </w:t>
      </w:r>
      <w:r w:rsidRPr="008608AA">
        <w:rPr>
          <w:i/>
          <w:iCs/>
          <w:noProof/>
        </w:rPr>
        <w:t>Wild rice and the Ojibway people</w:t>
      </w:r>
      <w:r w:rsidRPr="008608AA">
        <w:rPr>
          <w:noProof/>
        </w:rPr>
        <w:t xml:space="preserve">. (M. H. S. Press, Ed.). </w:t>
      </w:r>
      <w:r w:rsidRPr="00A3137A">
        <w:rPr>
          <w:noProof/>
        </w:rPr>
        <w:t>St. Paul, Minnesota, USA.</w:t>
      </w:r>
    </w:p>
    <w:p w14:paraId="22AF2064" w14:textId="77777777" w:rsidR="00B16A15" w:rsidRPr="008608AA" w:rsidRDefault="00B16A15" w:rsidP="00B16A15">
      <w:pPr>
        <w:widowControl w:val="0"/>
        <w:autoSpaceDE w:val="0"/>
        <w:autoSpaceDN w:val="0"/>
        <w:adjustRightInd w:val="0"/>
        <w:ind w:left="709" w:hanging="709"/>
        <w:rPr>
          <w:noProof/>
        </w:rPr>
      </w:pPr>
      <w:r w:rsidRPr="00A3137A">
        <w:rPr>
          <w:noProof/>
        </w:rPr>
        <w:t xml:space="preserve">Verutes, G. M., Huang, C., Estrella, R. R., &amp; Loyd, K. (2014). </w:t>
      </w:r>
      <w:r w:rsidRPr="008608AA">
        <w:rPr>
          <w:noProof/>
        </w:rPr>
        <w:t xml:space="preserve">Exploring scenarios of light pollution from coastal development reaching sea turtle nesting beaches near Cabo Pulmo, Mexico. </w:t>
      </w:r>
      <w:r w:rsidRPr="008608AA">
        <w:rPr>
          <w:i/>
          <w:iCs/>
          <w:noProof/>
        </w:rPr>
        <w:t>Global Ecology and Conservation</w:t>
      </w:r>
      <w:r w:rsidRPr="008608AA">
        <w:rPr>
          <w:noProof/>
        </w:rPr>
        <w:t xml:space="preserve">, </w:t>
      </w:r>
      <w:r w:rsidRPr="008608AA">
        <w:rPr>
          <w:i/>
          <w:iCs/>
          <w:noProof/>
        </w:rPr>
        <w:t>2</w:t>
      </w:r>
      <w:r w:rsidRPr="008608AA">
        <w:rPr>
          <w:noProof/>
        </w:rPr>
        <w:t>(2), (pp. 170–180). http://doi.org/10.1016/j.gecco.2014.09.001</w:t>
      </w:r>
    </w:p>
    <w:p w14:paraId="337A5D38"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Victor, P. A. (2012). </w:t>
      </w:r>
      <w:r w:rsidRPr="008608AA">
        <w:rPr>
          <w:i/>
          <w:noProof/>
        </w:rPr>
        <w:t xml:space="preserve">Growth, degrowth and climate change: A scenario analysis. </w:t>
      </w:r>
      <w:r w:rsidRPr="008608AA">
        <w:rPr>
          <w:i/>
          <w:iCs/>
          <w:noProof/>
          <w:lang w:val="es-CO"/>
        </w:rPr>
        <w:t>Ecological Economics</w:t>
      </w:r>
      <w:r w:rsidRPr="008608AA">
        <w:rPr>
          <w:i/>
          <w:noProof/>
          <w:lang w:val="es-CO"/>
        </w:rPr>
        <w:t xml:space="preserve">, </w:t>
      </w:r>
      <w:r w:rsidRPr="008608AA">
        <w:rPr>
          <w:i/>
          <w:iCs/>
          <w:noProof/>
          <w:lang w:val="es-CO"/>
        </w:rPr>
        <w:t>84</w:t>
      </w:r>
      <w:r w:rsidRPr="008608AA">
        <w:rPr>
          <w:noProof/>
          <w:lang w:val="es-CO"/>
        </w:rPr>
        <w:t>, (pp. 206–212). http://doi.org/10.1016/j.ecolecon.2011.04.013</w:t>
      </w:r>
    </w:p>
    <w:p w14:paraId="7856EC5B" w14:textId="77777777" w:rsidR="00B16A15" w:rsidRPr="008608AA" w:rsidRDefault="00B16A15" w:rsidP="00B16A15">
      <w:pPr>
        <w:widowControl w:val="0"/>
        <w:autoSpaceDE w:val="0"/>
        <w:autoSpaceDN w:val="0"/>
        <w:adjustRightInd w:val="0"/>
        <w:ind w:left="709" w:hanging="709"/>
        <w:rPr>
          <w:noProof/>
          <w:lang w:val="es-CO"/>
        </w:rPr>
      </w:pPr>
      <w:r w:rsidRPr="008608AA">
        <w:rPr>
          <w:noProof/>
          <w:lang w:val="es-CO"/>
        </w:rPr>
        <w:t xml:space="preserve">Viglizzo, E., Carreno, L., Volante, J. N., &amp; Mosciaro, M. J. (2011). Valuación de los Bienes y Servicios Ecosistémicos: Verdad objetiva o cuento de la buena pipa? In P. Laterra, E. Jobbágy, &amp; J. Paruelo (Eds.), </w:t>
      </w:r>
      <w:r w:rsidRPr="008608AA">
        <w:rPr>
          <w:i/>
          <w:iCs/>
          <w:noProof/>
          <w:lang w:val="es-CO"/>
        </w:rPr>
        <w:t>Valoración de Servicios Ecosistémicos, Conceptos, herramientas y aplicaciones para el ordenamiento territorial</w:t>
      </w:r>
      <w:r w:rsidRPr="008608AA">
        <w:rPr>
          <w:noProof/>
          <w:lang w:val="es-CO"/>
        </w:rPr>
        <w:t>. Ediciones INTA.</w:t>
      </w:r>
    </w:p>
    <w:p w14:paraId="39B6560C" w14:textId="77777777" w:rsidR="00B16A15" w:rsidRPr="008608AA" w:rsidRDefault="00B16A15" w:rsidP="00B16A15">
      <w:pPr>
        <w:widowControl w:val="0"/>
        <w:autoSpaceDE w:val="0"/>
        <w:autoSpaceDN w:val="0"/>
        <w:adjustRightInd w:val="0"/>
        <w:ind w:left="709" w:hanging="709"/>
        <w:rPr>
          <w:noProof/>
          <w:lang w:val="es-CO"/>
        </w:rPr>
      </w:pPr>
      <w:r w:rsidRPr="008608AA">
        <w:rPr>
          <w:noProof/>
          <w:lang w:val="es-CO"/>
        </w:rPr>
        <w:t xml:space="preserve">Vilardy-Quiroga, S. P., &amp; González Novoa, J. A. (2011). </w:t>
      </w:r>
      <w:r w:rsidRPr="008608AA">
        <w:rPr>
          <w:i/>
          <w:iCs/>
          <w:noProof/>
          <w:lang w:val="es-CO"/>
        </w:rPr>
        <w:t>Repensando la Ciénaga: Nuevas miradas y estrategias para la sostenibilidad en la Ciénaga Grande de Santa Marta</w:t>
      </w:r>
      <w:r w:rsidRPr="008608AA">
        <w:rPr>
          <w:noProof/>
          <w:lang w:val="es-CO"/>
        </w:rPr>
        <w:t xml:space="preserve"> (Vol. 1). http://doi.org/10.1017/CBO9781107415324.004</w:t>
      </w:r>
    </w:p>
    <w:p w14:paraId="230FCEEC" w14:textId="77777777" w:rsidR="00B16A15" w:rsidRPr="008608AA" w:rsidRDefault="00B16A15" w:rsidP="00B16A15">
      <w:pPr>
        <w:widowControl w:val="0"/>
        <w:autoSpaceDE w:val="0"/>
        <w:autoSpaceDN w:val="0"/>
        <w:adjustRightInd w:val="0"/>
        <w:ind w:left="709" w:hanging="709"/>
        <w:rPr>
          <w:noProof/>
        </w:rPr>
      </w:pPr>
      <w:r w:rsidRPr="008608AA">
        <w:rPr>
          <w:noProof/>
          <w:lang w:val="es-ES"/>
        </w:rPr>
        <w:t xml:space="preserve">Visconti, P., Bakkenes, M., Baisero, D., Brooks, T., Butchart, S. H. M., Joppa, L., Alkemade, R., Di Marco, M., Santini, L., Hoffmann, M., Maiorano, L., Pressey, R. L., Arponen, A., Boitani, L., Reside, A. E., van Vuuren, D. P., &amp; Rondinini, C. (2016). </w:t>
      </w:r>
      <w:r w:rsidRPr="008608AA">
        <w:rPr>
          <w:noProof/>
        </w:rPr>
        <w:t xml:space="preserve">Projecting Global Biodiversity Indicators under Future Development Scenarios. </w:t>
      </w:r>
      <w:r w:rsidRPr="008608AA">
        <w:rPr>
          <w:i/>
          <w:iCs/>
          <w:noProof/>
        </w:rPr>
        <w:t>Conservation Letters</w:t>
      </w:r>
      <w:r w:rsidRPr="008608AA">
        <w:rPr>
          <w:noProof/>
        </w:rPr>
        <w:t xml:space="preserve">, </w:t>
      </w:r>
      <w:r w:rsidRPr="008608AA">
        <w:rPr>
          <w:i/>
          <w:iCs/>
          <w:noProof/>
        </w:rPr>
        <w:t>9</w:t>
      </w:r>
      <w:r w:rsidRPr="008608AA">
        <w:rPr>
          <w:noProof/>
        </w:rPr>
        <w:t>(1), 5–13. https://doi.org/10.1111/conl.12159</w:t>
      </w:r>
    </w:p>
    <w:p w14:paraId="3081EEE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Vuille, M. (2013). </w:t>
      </w:r>
      <w:r w:rsidRPr="008608AA">
        <w:rPr>
          <w:i/>
          <w:noProof/>
        </w:rPr>
        <w:t>Climate Change and Water Resources in the Tropical Andes. Inter-American Development Bank Environmental Safeguards Unit</w:t>
      </w:r>
      <w:r w:rsidRPr="008608AA">
        <w:rPr>
          <w:noProof/>
        </w:rPr>
        <w:t>. Technical Note No. IDB-TN-515.</w:t>
      </w:r>
    </w:p>
    <w:p w14:paraId="03B7E6F9"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Walker, D. . (1991). </w:t>
      </w:r>
      <w:r w:rsidRPr="008608AA">
        <w:rPr>
          <w:i/>
          <w:noProof/>
        </w:rPr>
        <w:t xml:space="preserve">The effect of sea temperature on seagrasses and algae on the Western Australian coastline. </w:t>
      </w:r>
      <w:r w:rsidRPr="008608AA">
        <w:rPr>
          <w:i/>
          <w:iCs/>
          <w:noProof/>
        </w:rPr>
        <w:t>Journal of the Royal Society of Western Australia</w:t>
      </w:r>
      <w:r w:rsidRPr="008608AA">
        <w:rPr>
          <w:noProof/>
        </w:rPr>
        <w:t xml:space="preserve">, </w:t>
      </w:r>
      <w:r w:rsidRPr="008608AA">
        <w:rPr>
          <w:i/>
          <w:iCs/>
          <w:noProof/>
        </w:rPr>
        <w:t>74</w:t>
      </w:r>
      <w:r w:rsidRPr="008608AA">
        <w:rPr>
          <w:noProof/>
        </w:rPr>
        <w:t>, (pp. 71–77).</w:t>
      </w:r>
    </w:p>
    <w:p w14:paraId="41248F0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Walker, M. D., Wahren, C. H., Hollister, R. D., Henry, G. H. R., Ahlquist, L. E., Alatalo, J. M., Bret-Harte, M. S., Calef, M. P., Callaghan, T. V, Carroll, A. B., Epstein, H. E., Jónsdóttir, I. S., Klein, J. A., Magnússon, B., Molau, U., Oberbauer, S. F., Rewa, S. P., Robinson, C. H., Shaver, G. R., Suding, K. N., Thompson, C. C., Tolvanen, A., Totland, Ø., Turner, P. L., Tweedie, C. E., Webber, P. J., &amp; Wookey, P. A. (2006). Plant community responses to experimental warming across the tundra biome. </w:t>
      </w:r>
      <w:r w:rsidRPr="008608AA">
        <w:rPr>
          <w:i/>
          <w:iCs/>
          <w:noProof/>
        </w:rPr>
        <w:t>Proceedings of the National Academy of Sciences</w:t>
      </w:r>
      <w:r w:rsidRPr="008608AA">
        <w:rPr>
          <w:noProof/>
        </w:rPr>
        <w:t>. https://doi.org/10.1073/pnas.0503198103</w:t>
      </w:r>
    </w:p>
    <w:p w14:paraId="328F348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Ward, J. D., Sutton, P. C., Werner, A. D., Costanza, R., Mohr, S. H., &amp; Simmons, C. T. (2016). Is decoupling GDP growth from environmental impact possible? </w:t>
      </w:r>
      <w:r w:rsidRPr="008608AA">
        <w:rPr>
          <w:i/>
          <w:iCs/>
          <w:noProof/>
        </w:rPr>
        <w:t>PLoS ONE</w:t>
      </w:r>
      <w:r w:rsidRPr="008608AA">
        <w:rPr>
          <w:noProof/>
        </w:rPr>
        <w:t xml:space="preserve">, </w:t>
      </w:r>
      <w:r w:rsidRPr="008608AA">
        <w:rPr>
          <w:i/>
          <w:iCs/>
          <w:noProof/>
        </w:rPr>
        <w:t>11</w:t>
      </w:r>
      <w:r w:rsidRPr="008608AA">
        <w:rPr>
          <w:noProof/>
        </w:rPr>
        <w:t>(10), (pp. 1–14). http://doi.org/10.1371/journal.pone.0164733</w:t>
      </w:r>
    </w:p>
    <w:p w14:paraId="3ADF72C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Waycott, M., Collier, C., Mcmahon, K., Ralph, P., Mckenzie, L., Udy, J., &amp; Grech, A. (2007). Vulnerability of seagrasses in the Great Barrier Reef to climate change. In J. E. Johnson &amp; P. A. Marshal (Eds.), </w:t>
      </w:r>
      <w:r w:rsidRPr="008608AA">
        <w:rPr>
          <w:i/>
          <w:iCs/>
          <w:noProof/>
        </w:rPr>
        <w:t>Climate Change and the Great Barrier Reef: A Vulnerability Assessment</w:t>
      </w:r>
      <w:r w:rsidRPr="008608AA">
        <w:rPr>
          <w:noProof/>
        </w:rPr>
        <w:t xml:space="preserve"> (pp. 193–299). Australia: Great Barrier Reef Marine Park Authority and Australian Greenhouse Office.</w:t>
      </w:r>
    </w:p>
    <w:p w14:paraId="2943955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Waycott, M., Duarte, C. M., Carruthers, T. J. B., Orth, R. J., Dennison, W. C., Olyarnik, S., Calladine, A., Fourqurean, J. W., Heck, K. L., Hughes, R. G., Kendrick, G. A., Kenworthy, W. J., Short, F. T., &amp; Williams, S. L. (2009). Accelerating loss of seagrasses across the globe threatens coastal ecosystems. </w:t>
      </w:r>
      <w:r w:rsidRPr="008608AA">
        <w:rPr>
          <w:i/>
          <w:iCs/>
          <w:noProof/>
        </w:rPr>
        <w:t>Proceedings of the National Academy of Sciences of the United States of America</w:t>
      </w:r>
      <w:r w:rsidRPr="008608AA">
        <w:rPr>
          <w:noProof/>
        </w:rPr>
        <w:t xml:space="preserve">, </w:t>
      </w:r>
      <w:r w:rsidRPr="008608AA">
        <w:rPr>
          <w:i/>
          <w:iCs/>
          <w:noProof/>
        </w:rPr>
        <w:t>106</w:t>
      </w:r>
      <w:r w:rsidRPr="008608AA">
        <w:rPr>
          <w:noProof/>
        </w:rPr>
        <w:t>(30), 12377–12381. https://doi.org/10.1073/pnas.0905620106</w:t>
      </w:r>
    </w:p>
    <w:p w14:paraId="20C5CC6E" w14:textId="77777777" w:rsidR="00B16A15" w:rsidRPr="008608AA" w:rsidRDefault="00B16A15" w:rsidP="00B16A15">
      <w:pPr>
        <w:widowControl w:val="0"/>
        <w:autoSpaceDE w:val="0"/>
        <w:autoSpaceDN w:val="0"/>
        <w:adjustRightInd w:val="0"/>
        <w:ind w:left="709" w:hanging="709"/>
        <w:rPr>
          <w:noProof/>
        </w:rPr>
      </w:pPr>
      <w:r w:rsidRPr="00CE0821">
        <w:rPr>
          <w:noProof/>
          <w:lang w:val="es-CO"/>
        </w:rPr>
        <w:t xml:space="preserve">Waylen, K. A., Martin-Ortega, J., Blackstock, K. L., Brown, I., Avendaño Uribe, B. E., Basurto Hernández, S., Bertoni, M. B., Bustos, M. L., Cruz Bayer, A. X., Escalante Semerena, R. I., Farah Quijano, M. A., Ferrelli, F., Fidalgo, G. L., Hernández López, I., Huamantinco Cisneros, M. A., London, S., Maya Vélez, D. L., Ocampo-Díaz, N., Ortiz-Guerrero, C. E., Pascale, J. C., Perillo, G. M. E., Piccolo, M. C., Pinzón Martínez, L. N., Rojas, M. L., Scordo, F., Vitale, V., &amp; Zilio, M. I. (2015). </w:t>
      </w:r>
      <w:r w:rsidRPr="008608AA">
        <w:rPr>
          <w:noProof/>
        </w:rPr>
        <w:t xml:space="preserve">Can scenario-planning support community-based natural resource management? Experiences from three countries in Latin America. </w:t>
      </w:r>
      <w:r w:rsidRPr="008608AA">
        <w:rPr>
          <w:i/>
          <w:iCs/>
          <w:noProof/>
        </w:rPr>
        <w:t>Ecology and Society</w:t>
      </w:r>
      <w:r w:rsidRPr="008608AA">
        <w:rPr>
          <w:noProof/>
        </w:rPr>
        <w:t xml:space="preserve">, </w:t>
      </w:r>
      <w:r w:rsidRPr="008608AA">
        <w:rPr>
          <w:i/>
          <w:iCs/>
          <w:noProof/>
        </w:rPr>
        <w:t>20</w:t>
      </w:r>
      <w:r w:rsidRPr="008608AA">
        <w:rPr>
          <w:noProof/>
        </w:rPr>
        <w:t>(4), 28. https://doi.org/10.5751/ES-07926-200428</w:t>
      </w:r>
    </w:p>
    <w:p w14:paraId="5F4061EA" w14:textId="77777777" w:rsidR="00B16A15" w:rsidRPr="008608AA" w:rsidRDefault="00B16A15" w:rsidP="00B16A15">
      <w:pPr>
        <w:widowControl w:val="0"/>
        <w:autoSpaceDE w:val="0"/>
        <w:autoSpaceDN w:val="0"/>
        <w:adjustRightInd w:val="0"/>
        <w:ind w:left="709" w:hanging="709"/>
        <w:rPr>
          <w:noProof/>
          <w:lang w:val="de-DE"/>
        </w:rPr>
      </w:pPr>
      <w:r w:rsidRPr="008608AA">
        <w:rPr>
          <w:noProof/>
          <w:lang w:val="de-DE"/>
        </w:rPr>
        <w:t xml:space="preserve">Weatherbee, E. E., &amp; Klatt, B. (2004). </w:t>
      </w:r>
      <w:r w:rsidRPr="008608AA">
        <w:rPr>
          <w:i/>
          <w:iCs/>
          <w:noProof/>
        </w:rPr>
        <w:t>Detroit Parks: Plant surveys and community characterizations</w:t>
      </w:r>
      <w:r w:rsidRPr="008608AA">
        <w:rPr>
          <w:noProof/>
        </w:rPr>
        <w:t xml:space="preserve">. </w:t>
      </w:r>
      <w:r w:rsidRPr="008608AA">
        <w:rPr>
          <w:noProof/>
          <w:lang w:val="de-DE"/>
        </w:rPr>
        <w:t>Pinckney, Michigan USA.</w:t>
      </w:r>
    </w:p>
    <w:p w14:paraId="43F9329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Webb, E. E., Schuur, E. A. G., Natali, S. M., Oken, K. L., Bracho, R., Krapek, J. P., Risk, D., &amp; Nickerson, N. R. (2016). Increased wintertime CO 2 loss as a result of sustained tundra warming. </w:t>
      </w:r>
      <w:r w:rsidRPr="008608AA">
        <w:rPr>
          <w:i/>
          <w:iCs/>
          <w:noProof/>
        </w:rPr>
        <w:t>Journal of Geophysical Research: Biogeosciences</w:t>
      </w:r>
      <w:r w:rsidRPr="008608AA">
        <w:rPr>
          <w:noProof/>
        </w:rPr>
        <w:t xml:space="preserve">, </w:t>
      </w:r>
      <w:r w:rsidRPr="008608AA">
        <w:rPr>
          <w:i/>
          <w:iCs/>
          <w:noProof/>
        </w:rPr>
        <w:t>121</w:t>
      </w:r>
      <w:r w:rsidRPr="008608AA">
        <w:rPr>
          <w:noProof/>
        </w:rPr>
        <w:t>(2), 249–265. https://doi.org/10.1002/2014JG002795</w:t>
      </w:r>
    </w:p>
    <w:p w14:paraId="4A158F03"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Weinzettel, J., Hertwich, E. G., Peters, G. P., Steen-Olsen, K., &amp; Galli, A. (2013). Affluence drives the global displacement of land use. </w:t>
      </w:r>
      <w:r w:rsidRPr="008608AA">
        <w:rPr>
          <w:i/>
          <w:iCs/>
          <w:noProof/>
        </w:rPr>
        <w:t>Global Environmental Change</w:t>
      </w:r>
      <w:r w:rsidRPr="008608AA">
        <w:rPr>
          <w:noProof/>
        </w:rPr>
        <w:t xml:space="preserve">, </w:t>
      </w:r>
      <w:r w:rsidRPr="008608AA">
        <w:rPr>
          <w:i/>
          <w:iCs/>
          <w:noProof/>
        </w:rPr>
        <w:t>23</w:t>
      </w:r>
      <w:r w:rsidRPr="008608AA">
        <w:rPr>
          <w:noProof/>
        </w:rPr>
        <w:t>(2), (pp. 433–438). http://doi.org/10.1016/j.gloenvcha.2012.12.010</w:t>
      </w:r>
    </w:p>
    <w:p w14:paraId="381C319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Wernberg, T., Russell, B. D., Thomsen, M. S., Gurgel, C. F. D., Bradshaw, C. J. a, Poloczanska, E. S., &amp; Connell, S. D. (2011). Seaweed communities in retreat from ocean warming. </w:t>
      </w:r>
      <w:r w:rsidRPr="008608AA">
        <w:rPr>
          <w:i/>
          <w:iCs/>
          <w:noProof/>
        </w:rPr>
        <w:t>Current Biology : CB</w:t>
      </w:r>
      <w:r w:rsidRPr="008608AA">
        <w:rPr>
          <w:noProof/>
        </w:rPr>
        <w:t xml:space="preserve">, </w:t>
      </w:r>
      <w:r w:rsidRPr="008608AA">
        <w:rPr>
          <w:i/>
          <w:iCs/>
          <w:noProof/>
        </w:rPr>
        <w:t>21</w:t>
      </w:r>
      <w:r w:rsidRPr="008608AA">
        <w:rPr>
          <w:noProof/>
        </w:rPr>
        <w:t>(21), (pp. 1828–32). http://doi.org/10.1016/j.cub.2011.09.028</w:t>
      </w:r>
    </w:p>
    <w:p w14:paraId="2CA857D6"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Werth, D. (2002). </w:t>
      </w:r>
      <w:r w:rsidRPr="008608AA">
        <w:rPr>
          <w:i/>
          <w:noProof/>
        </w:rPr>
        <w:t>The local and global effects of Amazon deforestation.</w:t>
      </w:r>
      <w:r w:rsidRPr="008608AA">
        <w:rPr>
          <w:noProof/>
        </w:rPr>
        <w:t xml:space="preserve"> </w:t>
      </w:r>
      <w:r w:rsidRPr="008608AA">
        <w:rPr>
          <w:i/>
          <w:iCs/>
          <w:noProof/>
        </w:rPr>
        <w:t>Journal of Geophysical Research</w:t>
      </w:r>
      <w:r w:rsidRPr="008608AA">
        <w:rPr>
          <w:noProof/>
        </w:rPr>
        <w:t xml:space="preserve">, </w:t>
      </w:r>
      <w:r w:rsidRPr="008608AA">
        <w:rPr>
          <w:i/>
          <w:iCs/>
          <w:noProof/>
        </w:rPr>
        <w:t>107</w:t>
      </w:r>
      <w:r w:rsidRPr="008608AA">
        <w:rPr>
          <w:noProof/>
        </w:rPr>
        <w:t>(D20), 8087. http://doi.org/10.1029/2001JD000717</w:t>
      </w:r>
    </w:p>
    <w:p w14:paraId="513E73A0" w14:textId="77777777" w:rsidR="00B16A15" w:rsidRPr="008608AA" w:rsidRDefault="00B16A15" w:rsidP="00B16A15">
      <w:pPr>
        <w:widowControl w:val="0"/>
        <w:autoSpaceDE w:val="0"/>
        <w:autoSpaceDN w:val="0"/>
        <w:adjustRightInd w:val="0"/>
        <w:ind w:left="709" w:hanging="709"/>
        <w:rPr>
          <w:noProof/>
          <w:lang w:val="es-CO"/>
        </w:rPr>
      </w:pPr>
      <w:r w:rsidRPr="008608AA">
        <w:rPr>
          <w:noProof/>
        </w:rPr>
        <w:t xml:space="preserve">West, A. M., Kumar, S., Wakie, T., Brown, C. S., Stohlgren, T. J., Laituri, M., &amp; Bromberg, J. (2015). Using High-Resolution Future Climate Scenarios to Forecast Bromus tectorum Invasion in Rocky Mountain National Park. </w:t>
      </w:r>
      <w:r w:rsidRPr="008608AA">
        <w:rPr>
          <w:i/>
          <w:iCs/>
          <w:noProof/>
          <w:lang w:val="es-CO"/>
        </w:rPr>
        <w:t>PloS One</w:t>
      </w:r>
      <w:r w:rsidRPr="008608AA">
        <w:rPr>
          <w:noProof/>
          <w:lang w:val="es-CO"/>
        </w:rPr>
        <w:t xml:space="preserve">, </w:t>
      </w:r>
      <w:r w:rsidRPr="008608AA">
        <w:rPr>
          <w:i/>
          <w:iCs/>
          <w:noProof/>
          <w:lang w:val="es-CO"/>
        </w:rPr>
        <w:t>10</w:t>
      </w:r>
      <w:r w:rsidRPr="008608AA">
        <w:rPr>
          <w:noProof/>
          <w:lang w:val="es-CO"/>
        </w:rPr>
        <w:t>(2), e0117893. http://doi.org/10.1371/journal.pone.0117893</w:t>
      </w:r>
    </w:p>
    <w:p w14:paraId="63E69485" w14:textId="77777777" w:rsidR="00B16A15" w:rsidRPr="008608AA" w:rsidRDefault="00B16A15" w:rsidP="00B16A15">
      <w:pPr>
        <w:widowControl w:val="0"/>
        <w:autoSpaceDE w:val="0"/>
        <w:autoSpaceDN w:val="0"/>
        <w:adjustRightInd w:val="0"/>
        <w:ind w:left="709" w:hanging="709"/>
        <w:rPr>
          <w:noProof/>
        </w:rPr>
      </w:pPr>
      <w:r w:rsidRPr="008608AA">
        <w:rPr>
          <w:noProof/>
          <w:lang w:val="es-CO"/>
        </w:rPr>
        <w:t xml:space="preserve">Willaarts, B. A., Salmoral, G., Farinaci, J., &amp; Sanz-Sánchez, M. J. (2014). </w:t>
      </w:r>
      <w:r w:rsidRPr="008608AA">
        <w:rPr>
          <w:noProof/>
        </w:rPr>
        <w:t xml:space="preserve">Trends in land use and ecosystem services. In B. A. Willaarts, A. Garrido, &amp; M. R. Llamas (Eds.), </w:t>
      </w:r>
      <w:r w:rsidRPr="008608AA">
        <w:rPr>
          <w:i/>
          <w:iCs/>
          <w:noProof/>
        </w:rPr>
        <w:t>Water for Food and Wellbeing in Latin America and the Caribbean. Social and Environmental Implications for a Globalized Economy</w:t>
      </w:r>
      <w:r w:rsidRPr="008608AA">
        <w:rPr>
          <w:noProof/>
        </w:rPr>
        <w:t xml:space="preserve"> (pp. 55–80). Oxon and New York: Routledge.</w:t>
      </w:r>
    </w:p>
    <w:p w14:paraId="1FDC9287"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Willett, W. (2001). </w:t>
      </w:r>
      <w:r w:rsidRPr="008608AA">
        <w:rPr>
          <w:i/>
          <w:iCs/>
          <w:noProof/>
        </w:rPr>
        <w:t>Eat, drink, and be healthy: the Harvard Medical School guide to healthy eating</w:t>
      </w:r>
      <w:r w:rsidRPr="008608AA">
        <w:rPr>
          <w:noProof/>
        </w:rPr>
        <w:t>. New York: Simon &amp; Schuster.</w:t>
      </w:r>
    </w:p>
    <w:p w14:paraId="6BEE013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Wong, P. P., Losada, I. J., Gattusso, J. P., Hinkel, J., Khattabi, A., McInnes, K., Saito, Y., &amp; Sallenger, A. (2014). Coastal systems and low-lying areas. In C. et al. Field (Ed.), </w:t>
      </w:r>
      <w:r w:rsidRPr="008608AA">
        <w:rPr>
          <w:i/>
          <w:iCs/>
          <w:noProof/>
        </w:rPr>
        <w:t>Climate Change 2014: Impacts, Adaptation, and Vulnerability. Contribution of Working Group II to the Fifth Assessment Report of the Intergovernmental Panel on Climate Change</w:t>
      </w:r>
      <w:r w:rsidRPr="008608AA">
        <w:rPr>
          <w:noProof/>
        </w:rPr>
        <w:t xml:space="preserve"> (p. in press). Cambridge; United Kingdom and New York; NY; USA: Cambridge University Press.</w:t>
      </w:r>
    </w:p>
    <w:p w14:paraId="24B148FD"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WWAP (United Nations World Water Assessment Programme). (2015). </w:t>
      </w:r>
      <w:r w:rsidRPr="008608AA">
        <w:rPr>
          <w:i/>
          <w:iCs/>
          <w:noProof/>
        </w:rPr>
        <w:t>The United Nations World Water Development Report 2015: Water for a sustainable world</w:t>
      </w:r>
      <w:r w:rsidRPr="008608AA">
        <w:rPr>
          <w:noProof/>
        </w:rPr>
        <w:t>.</w:t>
      </w:r>
    </w:p>
    <w:p w14:paraId="4049D9C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WWAP (United Nations World Water Assessment Programme). (2016). </w:t>
      </w:r>
      <w:r w:rsidRPr="008608AA">
        <w:rPr>
          <w:i/>
          <w:iCs/>
          <w:noProof/>
        </w:rPr>
        <w:t>The United Nations World Water Development Report 2016: Water and Jobs</w:t>
      </w:r>
      <w:r w:rsidRPr="008608AA">
        <w:rPr>
          <w:noProof/>
        </w:rPr>
        <w:t>.</w:t>
      </w:r>
    </w:p>
    <w:p w14:paraId="6C34157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WWAP (United Nations World Water Assessment Programme). (2017). </w:t>
      </w:r>
      <w:r w:rsidRPr="008608AA">
        <w:rPr>
          <w:i/>
          <w:iCs/>
          <w:noProof/>
        </w:rPr>
        <w:t>The United Nations World Water Development Report 2017</w:t>
      </w:r>
      <w:r w:rsidRPr="008608AA">
        <w:rPr>
          <w:noProof/>
        </w:rPr>
        <w:t>.</w:t>
      </w:r>
    </w:p>
    <w:p w14:paraId="252820DE" w14:textId="77777777" w:rsidR="00B16A15" w:rsidRPr="008608AA" w:rsidRDefault="00B16A15" w:rsidP="00B16A15">
      <w:pPr>
        <w:widowControl w:val="0"/>
        <w:autoSpaceDE w:val="0"/>
        <w:autoSpaceDN w:val="0"/>
        <w:adjustRightInd w:val="0"/>
        <w:ind w:left="709" w:hanging="709"/>
        <w:rPr>
          <w:noProof/>
          <w:lang w:val="en-GB"/>
        </w:rPr>
      </w:pPr>
      <w:r w:rsidRPr="008608AA">
        <w:rPr>
          <w:noProof/>
          <w:lang w:val="en-GB"/>
        </w:rPr>
        <w:t>WWF (2016). Charity, S., Dudley, N., Oliveira, D. and S. Stolton (editors). 2016. Living Amazon Report 2016: A regional approach to conservation in the Amazon. WWF Living Amazon Initiative, Brasília and Quito.</w:t>
      </w:r>
    </w:p>
    <w:p w14:paraId="0F81A5C4"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Young, J. C., Waylen, K. A., Sarkki, S., Albon, S., Bainbridge, I., Balian, E., Davidson, J., Edwards, D., Fairley, R., Margerison, C., Mccracken, D., Owen, R., Quine, C. P., Stewart-roper, C., Thompson, D., Tinch, R., Hove, S. Van Den, &amp; Watt, A. (2014). Improving the science-policy dialogue to meet the challenges of biodiversity conservation : having conversations rather than talking at one-another. </w:t>
      </w:r>
      <w:r w:rsidRPr="008608AA">
        <w:rPr>
          <w:i/>
          <w:iCs/>
          <w:noProof/>
        </w:rPr>
        <w:t>Biodiversity Conservation</w:t>
      </w:r>
      <w:r w:rsidRPr="008608AA">
        <w:rPr>
          <w:noProof/>
        </w:rPr>
        <w:t xml:space="preserve">, </w:t>
      </w:r>
      <w:r w:rsidRPr="008608AA">
        <w:rPr>
          <w:i/>
          <w:iCs/>
          <w:noProof/>
        </w:rPr>
        <w:t>23</w:t>
      </w:r>
      <w:r w:rsidRPr="008608AA">
        <w:rPr>
          <w:noProof/>
        </w:rPr>
        <w:t>, 387–404. https://doi.org/10.1007/s10531-013-0607-0</w:t>
      </w:r>
    </w:p>
    <w:p w14:paraId="7BC0FDC2" w14:textId="77777777" w:rsidR="00B16A15" w:rsidRPr="00CE0821" w:rsidRDefault="00B16A15" w:rsidP="00B16A15">
      <w:pPr>
        <w:widowControl w:val="0"/>
        <w:autoSpaceDE w:val="0"/>
        <w:autoSpaceDN w:val="0"/>
        <w:adjustRightInd w:val="0"/>
        <w:ind w:left="709" w:hanging="709"/>
        <w:rPr>
          <w:noProof/>
          <w:lang w:val="es-CO"/>
        </w:rPr>
      </w:pPr>
      <w:r w:rsidRPr="008608AA">
        <w:rPr>
          <w:noProof/>
        </w:rPr>
        <w:t xml:space="preserve">Yu, Y., Feng, K., &amp; Hubacek, K. (2013). Tele-connecting local consumption to global land use. </w:t>
      </w:r>
      <w:r w:rsidRPr="00CE0821">
        <w:rPr>
          <w:i/>
          <w:iCs/>
          <w:noProof/>
          <w:lang w:val="es-CO"/>
        </w:rPr>
        <w:t>Global Environmental Change</w:t>
      </w:r>
      <w:r w:rsidRPr="00CE0821">
        <w:rPr>
          <w:noProof/>
          <w:lang w:val="es-CO"/>
        </w:rPr>
        <w:t xml:space="preserve">, </w:t>
      </w:r>
      <w:r w:rsidRPr="00CE0821">
        <w:rPr>
          <w:i/>
          <w:iCs/>
          <w:noProof/>
          <w:lang w:val="es-CO"/>
        </w:rPr>
        <w:t>23</w:t>
      </w:r>
      <w:r w:rsidRPr="00CE0821">
        <w:rPr>
          <w:noProof/>
          <w:lang w:val="es-CO"/>
        </w:rPr>
        <w:t>(5), (pp. 1178–1186). http://doi.org/10.1016/j.gloenvcha.2013.04.006</w:t>
      </w:r>
    </w:p>
    <w:p w14:paraId="35D3E61A" w14:textId="77777777" w:rsidR="00B16A15" w:rsidRPr="008608AA" w:rsidRDefault="00B16A15" w:rsidP="00B16A15">
      <w:pPr>
        <w:widowControl w:val="0"/>
        <w:autoSpaceDE w:val="0"/>
        <w:autoSpaceDN w:val="0"/>
        <w:adjustRightInd w:val="0"/>
        <w:ind w:left="709" w:hanging="709"/>
        <w:rPr>
          <w:noProof/>
        </w:rPr>
      </w:pPr>
      <w:r w:rsidRPr="00CE0821">
        <w:rPr>
          <w:noProof/>
          <w:lang w:val="es-CO"/>
        </w:rPr>
        <w:t xml:space="preserve">Zanella, L., Tristão Borém, R. A., Gusmão Souza, C., Ramos Alves, H. M., &amp; Meira Borem, F. (2012). </w:t>
      </w:r>
      <w:r w:rsidRPr="008608AA">
        <w:rPr>
          <w:noProof/>
        </w:rPr>
        <w:t xml:space="preserve">Atlantic Forest Fragmentation Analysis and Landscape Restoration Management Scenarios. </w:t>
      </w:r>
      <w:r w:rsidRPr="008608AA">
        <w:rPr>
          <w:i/>
          <w:iCs/>
          <w:noProof/>
        </w:rPr>
        <w:t>Natureza &amp; Conservação</w:t>
      </w:r>
      <w:r w:rsidRPr="008608AA">
        <w:rPr>
          <w:noProof/>
        </w:rPr>
        <w:t xml:space="preserve">, </w:t>
      </w:r>
      <w:r w:rsidRPr="008608AA">
        <w:rPr>
          <w:i/>
          <w:iCs/>
          <w:noProof/>
        </w:rPr>
        <w:t>10</w:t>
      </w:r>
      <w:r w:rsidRPr="008608AA">
        <w:rPr>
          <w:noProof/>
        </w:rPr>
        <w:t>(1), (pp. 57–63). http://doi.org/10.4322/natcon.2012.010</w:t>
      </w:r>
    </w:p>
    <w:p w14:paraId="1D2F3935"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Zelazowski, P., Malhi, Y., Huntingford, C., Sitch, S., &amp; Fisher, J. B. (2011). Changes in the potential distribution of humid tropical forests on a warmer planet. </w:t>
      </w:r>
      <w:r w:rsidRPr="008608AA">
        <w:rPr>
          <w:i/>
          <w:iCs/>
          <w:noProof/>
        </w:rPr>
        <w:t>Philosophical Transactions of the Royal Society A: Mathematical, Physical and Engineering Sciences</w:t>
      </w:r>
      <w:r w:rsidRPr="008608AA">
        <w:rPr>
          <w:noProof/>
        </w:rPr>
        <w:t xml:space="preserve">, </w:t>
      </w:r>
      <w:r w:rsidRPr="008608AA">
        <w:rPr>
          <w:i/>
          <w:iCs/>
          <w:noProof/>
        </w:rPr>
        <w:t>369</w:t>
      </w:r>
      <w:r w:rsidRPr="008608AA">
        <w:rPr>
          <w:noProof/>
        </w:rPr>
        <w:t>(1934), (pp. 137–160). http://doi.org/10.1098/rsta.2010.0238</w:t>
      </w:r>
    </w:p>
    <w:p w14:paraId="37B25DDA"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Zemp, D. C., Schleussner, C.-F., Barbosa, H. M. J., Hirota, M., Montade, V., Sampaio, G., Staal, A., Wang-Erlandsson, L., &amp; Rammig, A. (2017). Self-amplified Amazon forest loss due to vegetation-atmosphere feedbacks. </w:t>
      </w:r>
      <w:r w:rsidRPr="008608AA">
        <w:rPr>
          <w:i/>
          <w:iCs/>
          <w:noProof/>
        </w:rPr>
        <w:t>Nature Communications</w:t>
      </w:r>
      <w:r w:rsidRPr="008608AA">
        <w:rPr>
          <w:noProof/>
        </w:rPr>
        <w:t xml:space="preserve">, </w:t>
      </w:r>
      <w:r w:rsidRPr="008608AA">
        <w:rPr>
          <w:i/>
          <w:iCs/>
          <w:noProof/>
        </w:rPr>
        <w:t>8</w:t>
      </w:r>
      <w:r w:rsidRPr="008608AA">
        <w:rPr>
          <w:noProof/>
        </w:rPr>
        <w:t>, 14681. https://doi.org/10.1038/ncomms14681</w:t>
      </w:r>
    </w:p>
    <w:p w14:paraId="50C7457E"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Zhang, K., Liu, H., Li, Y., Xu, H., Shen, J., Rhome, J., &amp; Smith, T. J. (2012). The role of mangroves in attenuating storm surges. </w:t>
      </w:r>
      <w:r w:rsidRPr="008608AA">
        <w:rPr>
          <w:i/>
          <w:iCs/>
          <w:noProof/>
        </w:rPr>
        <w:t>Estuarine, Coastal and Shelf Science</w:t>
      </w:r>
      <w:r w:rsidRPr="008608AA">
        <w:rPr>
          <w:noProof/>
        </w:rPr>
        <w:t xml:space="preserve">, </w:t>
      </w:r>
      <w:r w:rsidRPr="008608AA">
        <w:rPr>
          <w:i/>
          <w:iCs/>
          <w:noProof/>
        </w:rPr>
        <w:t>102</w:t>
      </w:r>
      <w:r w:rsidRPr="008608AA">
        <w:rPr>
          <w:noProof/>
        </w:rPr>
        <w:t>–</w:t>
      </w:r>
      <w:r w:rsidRPr="008608AA">
        <w:rPr>
          <w:i/>
          <w:iCs/>
          <w:noProof/>
        </w:rPr>
        <w:t>103</w:t>
      </w:r>
      <w:r w:rsidRPr="008608AA">
        <w:rPr>
          <w:noProof/>
        </w:rPr>
        <w:t>, (pp. 11–23). http://doi.org/10.1016/j.ecss.2012.02.021</w:t>
      </w:r>
    </w:p>
    <w:p w14:paraId="07C1CFB0"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Zhao, M., &amp; Running, S. W. (2010). Drought-Induced Reduction in Global Terrestrial Net Primary Production from 2000 Through 2009. </w:t>
      </w:r>
      <w:r w:rsidRPr="008608AA">
        <w:rPr>
          <w:i/>
          <w:iCs/>
          <w:noProof/>
        </w:rPr>
        <w:t>Science</w:t>
      </w:r>
      <w:r w:rsidRPr="008608AA">
        <w:rPr>
          <w:noProof/>
        </w:rPr>
        <w:t xml:space="preserve">, </w:t>
      </w:r>
      <w:r w:rsidRPr="008608AA">
        <w:rPr>
          <w:i/>
          <w:iCs/>
          <w:noProof/>
        </w:rPr>
        <w:t>329</w:t>
      </w:r>
      <w:r w:rsidRPr="008608AA">
        <w:rPr>
          <w:noProof/>
        </w:rPr>
        <w:t>(5994), (pp. 940–943). http://doi.org/10.1126/science.1192666</w:t>
      </w:r>
    </w:p>
    <w:p w14:paraId="31494F68" w14:textId="77777777" w:rsidR="00B16A15" w:rsidRPr="008608AA" w:rsidRDefault="00B16A15" w:rsidP="00B16A15">
      <w:pPr>
        <w:widowControl w:val="0"/>
        <w:autoSpaceDE w:val="0"/>
        <w:autoSpaceDN w:val="0"/>
        <w:adjustRightInd w:val="0"/>
        <w:ind w:left="709" w:hanging="709"/>
        <w:rPr>
          <w:noProof/>
        </w:rPr>
      </w:pPr>
      <w:r w:rsidRPr="008608AA">
        <w:rPr>
          <w:noProof/>
        </w:rPr>
        <w:t xml:space="preserve">Zunckel, M., Saizar, C., &amp; Zarauz, J. (2003). Rainwater composition in northeast Uruguay. </w:t>
      </w:r>
      <w:r w:rsidRPr="008608AA">
        <w:rPr>
          <w:i/>
          <w:iCs/>
          <w:noProof/>
        </w:rPr>
        <w:t>Atmospheric Environment</w:t>
      </w:r>
      <w:r w:rsidRPr="008608AA">
        <w:rPr>
          <w:noProof/>
        </w:rPr>
        <w:t xml:space="preserve">, </w:t>
      </w:r>
      <w:r w:rsidRPr="008608AA">
        <w:rPr>
          <w:i/>
          <w:iCs/>
          <w:noProof/>
        </w:rPr>
        <w:t>37</w:t>
      </w:r>
      <w:r w:rsidRPr="008608AA">
        <w:rPr>
          <w:noProof/>
        </w:rPr>
        <w:t>(12), (pp. 1601–1611). http://doi.org/10.1016/S1352-2310(03)00007-4</w:t>
      </w:r>
    </w:p>
    <w:p w14:paraId="647812A9" w14:textId="321991BE" w:rsidR="00B16A15" w:rsidRPr="008608AA" w:rsidRDefault="00B16A15" w:rsidP="00B16A15">
      <w:pPr>
        <w:ind w:left="709" w:hanging="709"/>
      </w:pPr>
      <w:r w:rsidRPr="008608AA">
        <w:rPr>
          <w:rFonts w:eastAsia="Droid Sans Fallback"/>
        </w:rPr>
        <w:fldChar w:fldCharType="end"/>
      </w:r>
    </w:p>
    <w:p w14:paraId="3C7E2423" w14:textId="05714AF7" w:rsidR="00507CA5" w:rsidRPr="008608AA" w:rsidRDefault="00507CA5" w:rsidP="00C656E9">
      <w:pPr>
        <w:widowControl w:val="0"/>
        <w:autoSpaceDE w:val="0"/>
        <w:autoSpaceDN w:val="0"/>
        <w:adjustRightInd w:val="0"/>
        <w:rPr>
          <w:rFonts w:eastAsia="Droid Sans Fallback"/>
        </w:rPr>
      </w:pPr>
    </w:p>
    <w:bookmarkEnd w:id="1837"/>
    <w:p w14:paraId="4E3D21EA" w14:textId="77777777" w:rsidR="00507CA5" w:rsidRPr="008608AA" w:rsidRDefault="00507CA5" w:rsidP="00490494">
      <w:pPr>
        <w:widowControl w:val="0"/>
        <w:autoSpaceDE w:val="0"/>
        <w:autoSpaceDN w:val="0"/>
        <w:adjustRightInd w:val="0"/>
        <w:ind w:left="480" w:hanging="480"/>
        <w:rPr>
          <w:rFonts w:eastAsia="Droid Sans Fallback"/>
        </w:rPr>
        <w:sectPr w:rsidR="00507CA5" w:rsidRPr="008608AA" w:rsidSect="00EE708F">
          <w:pgSz w:w="11907" w:h="16839" w:code="9"/>
          <w:pgMar w:top="907" w:right="992" w:bottom="1418" w:left="1418" w:header="720" w:footer="720" w:gutter="0"/>
          <w:cols w:space="720"/>
          <w:docGrid w:linePitch="326"/>
        </w:sectPr>
      </w:pPr>
    </w:p>
    <w:p w14:paraId="1A4AE7A0" w14:textId="58E83830" w:rsidR="00507CA5" w:rsidRPr="008608AA" w:rsidRDefault="007235B9" w:rsidP="00FE4CC2">
      <w:pPr>
        <w:pStyle w:val="Heading1"/>
        <w:numPr>
          <w:ilvl w:val="0"/>
          <w:numId w:val="0"/>
        </w:numPr>
        <w:ind w:left="432" w:hanging="432"/>
      </w:pPr>
      <w:bookmarkStart w:id="2249" w:name="_Toc502954945"/>
      <w:bookmarkStart w:id="2250" w:name="_Toc502957752"/>
      <w:bookmarkStart w:id="2251" w:name="_Toc502957951"/>
      <w:bookmarkStart w:id="2252" w:name="_Toc502958105"/>
      <w:bookmarkStart w:id="2253" w:name="_Toc503293174"/>
      <w:bookmarkStart w:id="2254" w:name="_Toc503293772"/>
      <w:bookmarkStart w:id="2255" w:name="_Toc503294034"/>
      <w:bookmarkStart w:id="2256" w:name="_Toc503863427"/>
      <w:bookmarkStart w:id="2257" w:name="_Toc517393427"/>
      <w:bookmarkStart w:id="2258" w:name="_Toc517719168"/>
      <w:bookmarkStart w:id="2259" w:name="_Toc517726342"/>
      <w:bookmarkStart w:id="2260" w:name="_Toc517796855"/>
      <w:bookmarkStart w:id="2261" w:name="_Toc517797125"/>
      <w:bookmarkStart w:id="2262" w:name="Chap6"/>
      <w:r w:rsidRPr="008608AA">
        <w:t>Chapter 6:</w:t>
      </w:r>
      <w:r w:rsidR="009E18F7" w:rsidRPr="008608AA">
        <w:t xml:space="preserve"> </w:t>
      </w:r>
      <w:r w:rsidR="00507CA5" w:rsidRPr="00FE4CC2">
        <w:t>Options</w:t>
      </w:r>
      <w:r w:rsidR="00507CA5" w:rsidRPr="008608AA">
        <w:t xml:space="preserve"> fo</w:t>
      </w:r>
      <w:r w:rsidR="009E18F7" w:rsidRPr="008608AA">
        <w:t>r governance and decision-making across scales and sectors</w:t>
      </w:r>
      <w:bookmarkEnd w:id="2249"/>
      <w:bookmarkEnd w:id="2250"/>
      <w:bookmarkEnd w:id="2251"/>
      <w:bookmarkEnd w:id="2252"/>
      <w:bookmarkEnd w:id="2253"/>
      <w:bookmarkEnd w:id="2254"/>
      <w:bookmarkEnd w:id="2255"/>
      <w:bookmarkEnd w:id="2256"/>
      <w:bookmarkEnd w:id="2257"/>
      <w:bookmarkEnd w:id="2258"/>
      <w:bookmarkEnd w:id="2259"/>
      <w:bookmarkEnd w:id="2260"/>
      <w:bookmarkEnd w:id="2261"/>
    </w:p>
    <w:p w14:paraId="46A4A1E4" w14:textId="77777777" w:rsidR="00507CA5" w:rsidRPr="008608AA" w:rsidRDefault="00507CA5" w:rsidP="00432AE1">
      <w:pPr>
        <w:rPr>
          <w:b/>
          <w:sz w:val="28"/>
          <w:szCs w:val="28"/>
        </w:rPr>
      </w:pPr>
    </w:p>
    <w:p w14:paraId="34E38D95" w14:textId="77777777" w:rsidR="00507CA5" w:rsidRPr="008608AA" w:rsidRDefault="00507CA5" w:rsidP="00507CA5">
      <w:pPr>
        <w:rPr>
          <w:b/>
          <w:lang w:val="es-AR"/>
        </w:rPr>
      </w:pPr>
      <w:r w:rsidRPr="008608AA">
        <w:rPr>
          <w:b/>
          <w:lang w:val="es-AR"/>
        </w:rPr>
        <w:t>Coordinating Lead Authors:</w:t>
      </w:r>
    </w:p>
    <w:p w14:paraId="18BB5A3C" w14:textId="55CF3364" w:rsidR="00507CA5" w:rsidRPr="008608AA" w:rsidRDefault="00D20561" w:rsidP="00507CA5">
      <w:pPr>
        <w:rPr>
          <w:lang w:val="es-AR"/>
        </w:rPr>
      </w:pPr>
      <w:r w:rsidRPr="008608AA">
        <w:rPr>
          <w:lang w:val="es-AR"/>
        </w:rPr>
        <w:t xml:space="preserve">Fabio R. Scarano (Brazil), Keisha Garcia (Trinidad and Tobago), </w:t>
      </w:r>
      <w:r w:rsidR="00382633" w:rsidRPr="008608AA">
        <w:rPr>
          <w:lang w:val="es-AR"/>
        </w:rPr>
        <w:t>Antonio Diaz-de-Leon (Mexico)</w:t>
      </w:r>
      <w:r w:rsidR="00507CA5" w:rsidRPr="008608AA">
        <w:rPr>
          <w:lang w:val="es-AR"/>
        </w:rPr>
        <w:t xml:space="preserve"> </w:t>
      </w:r>
    </w:p>
    <w:p w14:paraId="66815FC0" w14:textId="77777777" w:rsidR="00507CA5" w:rsidRPr="008608AA" w:rsidRDefault="00507CA5" w:rsidP="00507CA5">
      <w:pPr>
        <w:rPr>
          <w:lang w:val="es-AR"/>
        </w:rPr>
      </w:pPr>
    </w:p>
    <w:p w14:paraId="0C432C2F" w14:textId="77777777" w:rsidR="00507CA5" w:rsidRPr="008608AA" w:rsidRDefault="00507CA5" w:rsidP="00507CA5">
      <w:pPr>
        <w:rPr>
          <w:b/>
          <w:lang w:val="es-AR"/>
        </w:rPr>
      </w:pPr>
      <w:r w:rsidRPr="008608AA">
        <w:rPr>
          <w:b/>
          <w:lang w:val="es-AR"/>
        </w:rPr>
        <w:t>Lead Authors:</w:t>
      </w:r>
    </w:p>
    <w:p w14:paraId="0802BBFA" w14:textId="17C5578D" w:rsidR="00507CA5" w:rsidRPr="008608AA" w:rsidRDefault="00D20561" w:rsidP="00507CA5">
      <w:pPr>
        <w:rPr>
          <w:lang w:val="es-CO"/>
        </w:rPr>
      </w:pPr>
      <w:r w:rsidRPr="008608AA">
        <w:rPr>
          <w:lang w:val="es-CO"/>
        </w:rPr>
        <w:t>Helder Lima Queiroz (Brazil), Vanesa Rodr</w:t>
      </w:r>
      <w:r w:rsidR="00485329" w:rsidRPr="008608AA">
        <w:rPr>
          <w:lang w:val="es-ES"/>
        </w:rPr>
        <w:t>í</w:t>
      </w:r>
      <w:r w:rsidRPr="008608AA">
        <w:rPr>
          <w:lang w:val="es-CO"/>
        </w:rPr>
        <w:t>guez Osuna (Bolivia</w:t>
      </w:r>
      <w:r w:rsidR="00521438" w:rsidRPr="008608AA">
        <w:rPr>
          <w:lang w:val="es-CO"/>
        </w:rPr>
        <w:t xml:space="preserve"> &amp; USA</w:t>
      </w:r>
      <w:r w:rsidRPr="008608AA">
        <w:rPr>
          <w:lang w:val="es-CO"/>
        </w:rPr>
        <w:t xml:space="preserve">), Luciana C. Silvestri (Argentina), </w:t>
      </w:r>
      <w:r w:rsidR="00507CA5" w:rsidRPr="008608AA">
        <w:rPr>
          <w:lang w:val="es-CO"/>
        </w:rPr>
        <w:t xml:space="preserve">Cristóbal F. Díaz M. (Cuba), Octavio Pérez-Maqueo (Mexico), Marina Rosales B. (Peru), Dalia M. Salabarria F. (Cuba), Ederson A. Zanetti (Brazil) </w:t>
      </w:r>
    </w:p>
    <w:p w14:paraId="6BF2226F" w14:textId="77777777" w:rsidR="00507CA5" w:rsidRPr="008608AA" w:rsidRDefault="00507CA5" w:rsidP="00507CA5">
      <w:pPr>
        <w:rPr>
          <w:lang w:val="es-CO"/>
        </w:rPr>
      </w:pPr>
    </w:p>
    <w:p w14:paraId="431FFA81" w14:textId="77777777" w:rsidR="00507CA5" w:rsidRPr="008608AA" w:rsidRDefault="00507CA5" w:rsidP="00507CA5">
      <w:pPr>
        <w:rPr>
          <w:b/>
          <w:lang w:val="es-AR"/>
        </w:rPr>
      </w:pPr>
      <w:r w:rsidRPr="008608AA">
        <w:rPr>
          <w:b/>
          <w:lang w:val="es-AR"/>
        </w:rPr>
        <w:t>Fellow:</w:t>
      </w:r>
    </w:p>
    <w:p w14:paraId="3CD9FC35" w14:textId="77777777" w:rsidR="00507CA5" w:rsidRPr="008608AA" w:rsidRDefault="00507CA5" w:rsidP="00507CA5">
      <w:pPr>
        <w:rPr>
          <w:lang w:val="es-AR"/>
        </w:rPr>
      </w:pPr>
      <w:r w:rsidRPr="008608AA">
        <w:rPr>
          <w:lang w:val="es-AR"/>
        </w:rPr>
        <w:t>Juliana S. Farinaci (Brazil)</w:t>
      </w:r>
    </w:p>
    <w:p w14:paraId="11AD52D3" w14:textId="77777777" w:rsidR="00507CA5" w:rsidRPr="008608AA" w:rsidRDefault="00507CA5" w:rsidP="00507CA5">
      <w:pPr>
        <w:rPr>
          <w:lang w:val="es-AR"/>
        </w:rPr>
      </w:pPr>
    </w:p>
    <w:p w14:paraId="414F2CC3" w14:textId="77777777" w:rsidR="00507CA5" w:rsidRPr="008608AA" w:rsidRDefault="00507CA5" w:rsidP="00507CA5">
      <w:pPr>
        <w:rPr>
          <w:b/>
          <w:lang w:val="es-AR"/>
        </w:rPr>
      </w:pPr>
      <w:r w:rsidRPr="008608AA">
        <w:rPr>
          <w:b/>
          <w:lang w:val="es-AR"/>
        </w:rPr>
        <w:t>Review Editors:</w:t>
      </w:r>
    </w:p>
    <w:p w14:paraId="17ACC11D" w14:textId="77777777" w:rsidR="007E743B" w:rsidRPr="008608AA" w:rsidRDefault="00507CA5" w:rsidP="00507CA5">
      <w:pPr>
        <w:rPr>
          <w:lang w:val="es-AR"/>
        </w:rPr>
      </w:pPr>
      <w:r w:rsidRPr="008608AA">
        <w:rPr>
          <w:lang w:val="es-AR"/>
        </w:rPr>
        <w:t>Gustavo A.B. Fonseca (Brazil/USA), Laura Nahuelhual M. (Chile)</w:t>
      </w:r>
    </w:p>
    <w:p w14:paraId="1A439173" w14:textId="77777777" w:rsidR="007E743B" w:rsidRPr="008608AA" w:rsidRDefault="007E743B" w:rsidP="00507CA5">
      <w:pPr>
        <w:rPr>
          <w:lang w:val="es-AR"/>
        </w:rPr>
      </w:pPr>
    </w:p>
    <w:p w14:paraId="2E023A17" w14:textId="77777777" w:rsidR="000206EC" w:rsidRPr="008608AA" w:rsidRDefault="000206EC" w:rsidP="00507CA5">
      <w:pPr>
        <w:rPr>
          <w:lang w:val="es-AR"/>
        </w:rPr>
      </w:pPr>
    </w:p>
    <w:p w14:paraId="267B5B59" w14:textId="77777777" w:rsidR="000206EC" w:rsidRPr="008608AA" w:rsidRDefault="000206EC" w:rsidP="00507CA5">
      <w:pPr>
        <w:rPr>
          <w:lang w:val="es-AR"/>
        </w:rPr>
      </w:pPr>
    </w:p>
    <w:p w14:paraId="656C3AC0" w14:textId="77777777" w:rsidR="000206EC" w:rsidRPr="008608AA" w:rsidRDefault="000206EC" w:rsidP="00507CA5">
      <w:pPr>
        <w:rPr>
          <w:lang w:val="es-AR"/>
        </w:rPr>
      </w:pPr>
    </w:p>
    <w:p w14:paraId="0416B44A" w14:textId="77777777" w:rsidR="000206EC" w:rsidRPr="008608AA" w:rsidRDefault="000206EC" w:rsidP="00507CA5">
      <w:pPr>
        <w:rPr>
          <w:lang w:val="es-AR"/>
        </w:rPr>
      </w:pPr>
    </w:p>
    <w:p w14:paraId="760F3ADE" w14:textId="77777777" w:rsidR="000206EC" w:rsidRPr="008608AA" w:rsidRDefault="000206EC" w:rsidP="00507CA5">
      <w:pPr>
        <w:rPr>
          <w:lang w:val="es-AR"/>
        </w:rPr>
      </w:pPr>
    </w:p>
    <w:p w14:paraId="41525B7F" w14:textId="77777777" w:rsidR="000206EC" w:rsidRPr="008608AA" w:rsidRDefault="000206EC" w:rsidP="00507CA5">
      <w:pPr>
        <w:rPr>
          <w:lang w:val="es-AR"/>
        </w:rPr>
      </w:pPr>
    </w:p>
    <w:p w14:paraId="0F8CF2ED" w14:textId="77777777" w:rsidR="000206EC" w:rsidRPr="008608AA" w:rsidRDefault="000206EC" w:rsidP="00507CA5">
      <w:pPr>
        <w:rPr>
          <w:lang w:val="es-AR"/>
        </w:rPr>
      </w:pPr>
    </w:p>
    <w:p w14:paraId="2D503522" w14:textId="77777777" w:rsidR="000206EC" w:rsidRPr="008608AA" w:rsidRDefault="000206EC" w:rsidP="00507CA5">
      <w:pPr>
        <w:rPr>
          <w:lang w:val="es-AR"/>
        </w:rPr>
      </w:pPr>
    </w:p>
    <w:p w14:paraId="79131451" w14:textId="77777777" w:rsidR="000206EC" w:rsidRPr="008608AA" w:rsidRDefault="000206EC" w:rsidP="00507CA5">
      <w:pPr>
        <w:rPr>
          <w:lang w:val="es-AR"/>
        </w:rPr>
      </w:pPr>
    </w:p>
    <w:p w14:paraId="6BFF65C1" w14:textId="77777777" w:rsidR="000206EC" w:rsidRPr="008608AA" w:rsidRDefault="000206EC" w:rsidP="00507CA5">
      <w:pPr>
        <w:rPr>
          <w:lang w:val="es-AR"/>
        </w:rPr>
      </w:pPr>
    </w:p>
    <w:p w14:paraId="3FEF808B" w14:textId="77777777" w:rsidR="000206EC" w:rsidRPr="008608AA" w:rsidRDefault="000206EC" w:rsidP="00507CA5">
      <w:pPr>
        <w:rPr>
          <w:lang w:val="es-AR"/>
        </w:rPr>
      </w:pPr>
    </w:p>
    <w:p w14:paraId="62232FD5" w14:textId="77777777" w:rsidR="000206EC" w:rsidRPr="008608AA" w:rsidRDefault="000206EC" w:rsidP="00507CA5">
      <w:pPr>
        <w:rPr>
          <w:lang w:val="es-AR"/>
        </w:rPr>
      </w:pPr>
    </w:p>
    <w:p w14:paraId="7AEEE853" w14:textId="77777777" w:rsidR="000206EC" w:rsidRPr="008608AA" w:rsidRDefault="000206EC" w:rsidP="00507CA5">
      <w:pPr>
        <w:rPr>
          <w:lang w:val="es-AR"/>
        </w:rPr>
      </w:pPr>
    </w:p>
    <w:p w14:paraId="3A53B236" w14:textId="77777777" w:rsidR="000206EC" w:rsidRPr="008608AA" w:rsidRDefault="000206EC" w:rsidP="00507CA5">
      <w:pPr>
        <w:rPr>
          <w:lang w:val="es-AR"/>
        </w:rPr>
      </w:pPr>
    </w:p>
    <w:p w14:paraId="37E89769" w14:textId="77777777" w:rsidR="000206EC" w:rsidRPr="008608AA" w:rsidRDefault="000206EC" w:rsidP="00507CA5">
      <w:pPr>
        <w:rPr>
          <w:lang w:val="es-AR"/>
        </w:rPr>
      </w:pPr>
    </w:p>
    <w:p w14:paraId="71057028" w14:textId="77777777" w:rsidR="000206EC" w:rsidRPr="008608AA" w:rsidRDefault="000206EC" w:rsidP="00507CA5">
      <w:pPr>
        <w:rPr>
          <w:lang w:val="es-AR"/>
        </w:rPr>
      </w:pPr>
    </w:p>
    <w:p w14:paraId="78ACA6A3" w14:textId="77777777" w:rsidR="000206EC" w:rsidRPr="008608AA" w:rsidRDefault="000206EC" w:rsidP="00507CA5">
      <w:pPr>
        <w:rPr>
          <w:lang w:val="es-AR"/>
        </w:rPr>
      </w:pPr>
    </w:p>
    <w:p w14:paraId="1281C204" w14:textId="77777777" w:rsidR="000206EC" w:rsidRPr="008608AA" w:rsidRDefault="000206EC" w:rsidP="00507CA5">
      <w:pPr>
        <w:rPr>
          <w:lang w:val="es-AR"/>
        </w:rPr>
      </w:pPr>
    </w:p>
    <w:p w14:paraId="16FCBE3D" w14:textId="77777777" w:rsidR="000206EC" w:rsidRPr="008608AA" w:rsidRDefault="000206EC" w:rsidP="00507CA5">
      <w:pPr>
        <w:rPr>
          <w:lang w:val="es-AR"/>
        </w:rPr>
      </w:pPr>
    </w:p>
    <w:p w14:paraId="791AF922" w14:textId="77777777" w:rsidR="000206EC" w:rsidRPr="008608AA" w:rsidRDefault="000206EC" w:rsidP="00507CA5">
      <w:pPr>
        <w:rPr>
          <w:lang w:val="es-AR"/>
        </w:rPr>
      </w:pPr>
    </w:p>
    <w:p w14:paraId="1AD4786D" w14:textId="77777777" w:rsidR="000206EC" w:rsidRPr="008608AA" w:rsidRDefault="000206EC" w:rsidP="00507CA5">
      <w:pPr>
        <w:rPr>
          <w:lang w:val="es-AR"/>
        </w:rPr>
      </w:pPr>
    </w:p>
    <w:p w14:paraId="641CB6CD" w14:textId="77777777" w:rsidR="000206EC" w:rsidRPr="008608AA" w:rsidRDefault="000206EC" w:rsidP="00507CA5">
      <w:pPr>
        <w:rPr>
          <w:lang w:val="es-AR"/>
        </w:rPr>
      </w:pPr>
    </w:p>
    <w:p w14:paraId="2D2FBAAD" w14:textId="11CE2F88" w:rsidR="007E743B" w:rsidRPr="008608AA" w:rsidRDefault="000206EC" w:rsidP="007E743B">
      <w:pPr>
        <w:tabs>
          <w:tab w:val="left" w:pos="4082"/>
        </w:tabs>
        <w:rPr>
          <w:b/>
          <w:lang w:val="pt-BR"/>
        </w:rPr>
      </w:pPr>
      <w:r w:rsidRPr="008608AA">
        <w:rPr>
          <w:b/>
          <w:lang w:val="pt-BR"/>
        </w:rPr>
        <w:t>To be cited as</w:t>
      </w:r>
      <w:r w:rsidR="007E743B" w:rsidRPr="008608AA">
        <w:rPr>
          <w:b/>
          <w:lang w:val="pt-BR"/>
        </w:rPr>
        <w:t>:</w:t>
      </w:r>
    </w:p>
    <w:p w14:paraId="5DB91C41" w14:textId="63BC62E2" w:rsidR="00382633" w:rsidRPr="008608AA" w:rsidRDefault="00382633" w:rsidP="007E743B">
      <w:pPr>
        <w:tabs>
          <w:tab w:val="left" w:pos="4082"/>
        </w:tabs>
        <w:rPr>
          <w:lang w:val="pt-BR"/>
        </w:rPr>
      </w:pPr>
      <w:r w:rsidRPr="008608AA">
        <w:rPr>
          <w:color w:val="000000"/>
          <w:lang w:val="pt-BR"/>
        </w:rPr>
        <w:t>Scarano, F. R., Garcia, K., Diaz-de-Leon, A., Queiroz., H. L., Rodríguez Osuna., V., Silvestri, L. C., Díaz M., C. F., Pérez-Maqueo, O., Rosa</w:t>
      </w:r>
      <w:r w:rsidR="008F05F8" w:rsidRPr="008608AA">
        <w:rPr>
          <w:color w:val="000000"/>
          <w:lang w:val="pt-BR"/>
        </w:rPr>
        <w:t>les B., M., Salabarria F., D.</w:t>
      </w:r>
      <w:r w:rsidRPr="008608AA">
        <w:rPr>
          <w:color w:val="000000"/>
          <w:lang w:val="pt-BR"/>
        </w:rPr>
        <w:t xml:space="preserve"> M., Zanetti, E. A., and Farinacci, J. S. Chapter 6: Options for governance and decision-making across scales and sectors. </w:t>
      </w:r>
      <w:r w:rsidRPr="008608AA">
        <w:rPr>
          <w:color w:val="000000"/>
          <w:lang w:val="en-GB"/>
        </w:rPr>
        <w:t>In IPBES (2018): The IPBES regional assessment report on biodiversity and ecosystem services for the Americas. Rice, J., Seixas, C. S., Zaccagnini, M. E., Bedoya-Gaitán, M., and Valderrama</w:t>
      </w:r>
      <w:r w:rsidR="008F05F8" w:rsidRPr="008608AA">
        <w:rPr>
          <w:color w:val="000000"/>
          <w:lang w:val="en-GB"/>
        </w:rPr>
        <w:t>,</w:t>
      </w:r>
      <w:r w:rsidRPr="008608AA">
        <w:rPr>
          <w:color w:val="000000"/>
          <w:lang w:val="en-GB"/>
        </w:rPr>
        <w:t xml:space="preserve"> N. (eds.). Secretariat of the </w:t>
      </w:r>
      <w:r w:rsidRPr="00B24A76">
        <w:rPr>
          <w:color w:val="000000"/>
          <w:lang w:val="en-GB"/>
        </w:rPr>
        <w:t>Intergovernmental Science-Policy Platform</w:t>
      </w:r>
      <w:r w:rsidR="008F05F8" w:rsidRPr="00B24A76">
        <w:rPr>
          <w:color w:val="000000"/>
          <w:lang w:val="en-GB"/>
        </w:rPr>
        <w:t xml:space="preserve"> on Biodiversity and Ecosystem S</w:t>
      </w:r>
      <w:r w:rsidRPr="00B24A76">
        <w:rPr>
          <w:color w:val="000000"/>
          <w:lang w:val="en-GB"/>
        </w:rPr>
        <w:t xml:space="preserve">ervices, Bonn, Germany, </w:t>
      </w:r>
      <w:r w:rsidR="00F454E7">
        <w:rPr>
          <w:color w:val="000000"/>
          <w:lang w:val="en-GB"/>
        </w:rPr>
        <w:t xml:space="preserve">pp. </w:t>
      </w:r>
      <w:r w:rsidR="00B460F2">
        <w:rPr>
          <w:color w:val="000000"/>
          <w:lang w:val="en-GB"/>
        </w:rPr>
        <w:t>xx-xx</w:t>
      </w:r>
      <w:r w:rsidR="00F454E7">
        <w:rPr>
          <w:color w:val="000000"/>
          <w:lang w:val="en-GB"/>
        </w:rPr>
        <w:t>.</w:t>
      </w:r>
    </w:p>
    <w:p w14:paraId="157512F4" w14:textId="2762786F" w:rsidR="009E18F7" w:rsidRPr="008608AA" w:rsidRDefault="009E18F7" w:rsidP="006A0635">
      <w:pPr>
        <w:tabs>
          <w:tab w:val="left" w:pos="4082"/>
        </w:tabs>
        <w:rPr>
          <w:lang w:val="pt-BR"/>
        </w:rPr>
      </w:pPr>
      <w:r w:rsidRPr="008608AA">
        <w:rPr>
          <w:lang w:val="en-GB"/>
        </w:rPr>
        <w:br w:type="page"/>
      </w:r>
    </w:p>
    <w:p w14:paraId="629CED87" w14:textId="7033C83E" w:rsidR="00735D6C" w:rsidRPr="008608AA" w:rsidRDefault="00735D6C" w:rsidP="00735D6C">
      <w:pPr>
        <w:tabs>
          <w:tab w:val="left" w:pos="4082"/>
        </w:tabs>
        <w:rPr>
          <w:b/>
          <w:sz w:val="28"/>
        </w:rPr>
      </w:pPr>
      <w:bookmarkStart w:id="2263" w:name="_Toc356492298"/>
      <w:r w:rsidRPr="008608AA">
        <w:rPr>
          <w:b/>
          <w:sz w:val="28"/>
        </w:rPr>
        <w:t>Table of contents</w:t>
      </w:r>
      <w:r w:rsidR="009F0E42" w:rsidRPr="008608AA">
        <w:rPr>
          <w:b/>
          <w:sz w:val="28"/>
        </w:rPr>
        <w:t xml:space="preserve"> Chapter </w:t>
      </w:r>
      <w:r w:rsidR="002F3654" w:rsidRPr="008608AA">
        <w:rPr>
          <w:b/>
          <w:sz w:val="28"/>
        </w:rPr>
        <w:t>6</w:t>
      </w:r>
    </w:p>
    <w:p w14:paraId="22ED4D2D" w14:textId="441ED3B1" w:rsidR="00225D9C" w:rsidRPr="008608AA" w:rsidRDefault="00225D9C" w:rsidP="00735D6C">
      <w:pPr>
        <w:spacing w:after="100"/>
        <w:rPr>
          <w:rFonts w:eastAsia="Calibri" w:cs="Calibri"/>
          <w:b/>
          <w:szCs w:val="26"/>
        </w:rPr>
      </w:pPr>
      <w:bookmarkStart w:id="2264" w:name="_Toc502957753"/>
      <w:bookmarkStart w:id="2265" w:name="_Toc502957952"/>
      <w:bookmarkStart w:id="2266" w:name="_Toc502958106"/>
      <w:bookmarkStart w:id="2267" w:name="_Toc503293175"/>
      <w:bookmarkStart w:id="2268" w:name="_Toc503293773"/>
      <w:bookmarkStart w:id="2269" w:name="_Toc503294035"/>
    </w:p>
    <w:p w14:paraId="1F895E3E" w14:textId="36BDF7AB" w:rsidR="00C40619" w:rsidRDefault="00AB1280">
      <w:pPr>
        <w:pStyle w:val="TOC1"/>
        <w:rPr>
          <w:rFonts w:asciiTheme="minorHAnsi" w:eastAsiaTheme="minorEastAsia" w:hAnsiTheme="minorHAnsi" w:cstheme="minorBidi"/>
          <w:b w:val="0"/>
          <w:bCs w:val="0"/>
          <w:szCs w:val="22"/>
          <w:lang w:val="es-CO" w:eastAsia="es-CO"/>
        </w:rPr>
      </w:pPr>
      <w:r w:rsidRPr="008608AA">
        <w:rPr>
          <w:rFonts w:eastAsia="Calibri" w:cs="Calibri"/>
          <w:b w:val="0"/>
          <w:szCs w:val="26"/>
        </w:rPr>
        <w:fldChar w:fldCharType="begin"/>
      </w:r>
      <w:r w:rsidRPr="008608AA">
        <w:rPr>
          <w:rFonts w:eastAsia="Calibri" w:cs="Calibri"/>
          <w:b w:val="0"/>
          <w:szCs w:val="26"/>
        </w:rPr>
        <w:instrText xml:space="preserve"> </w:instrText>
      </w:r>
      <w:r w:rsidR="00D854E9" w:rsidRPr="008608AA">
        <w:rPr>
          <w:rFonts w:eastAsia="Calibri" w:cs="Calibri"/>
          <w:b w:val="0"/>
          <w:szCs w:val="26"/>
        </w:rPr>
        <w:instrText>TOC \o "1-4" \h \z \u \b "Chap</w:instrText>
      </w:r>
      <w:r w:rsidRPr="008608AA">
        <w:rPr>
          <w:rFonts w:eastAsia="Calibri" w:cs="Calibri"/>
          <w:b w:val="0"/>
          <w:szCs w:val="26"/>
        </w:rPr>
        <w:instrText xml:space="preserve">6" </w:instrText>
      </w:r>
      <w:r w:rsidRPr="008608AA">
        <w:rPr>
          <w:rFonts w:eastAsia="Calibri" w:cs="Calibri"/>
          <w:b w:val="0"/>
          <w:szCs w:val="26"/>
        </w:rPr>
        <w:fldChar w:fldCharType="separate"/>
      </w:r>
      <w:hyperlink w:anchor="_Toc517797125" w:history="1">
        <w:r w:rsidR="00C40619" w:rsidRPr="00BF54B8">
          <w:rPr>
            <w:rStyle w:val="Hyperlink"/>
          </w:rPr>
          <w:t>Chapter 6: Options for governance and decision-making across scales and sectors</w:t>
        </w:r>
        <w:r w:rsidR="00C40619">
          <w:rPr>
            <w:webHidden/>
          </w:rPr>
          <w:tab/>
        </w:r>
        <w:r w:rsidR="00C40619">
          <w:rPr>
            <w:webHidden/>
          </w:rPr>
          <w:fldChar w:fldCharType="begin"/>
        </w:r>
        <w:r w:rsidR="00C40619">
          <w:rPr>
            <w:webHidden/>
          </w:rPr>
          <w:instrText xml:space="preserve"> PAGEREF _Toc517797125 \h </w:instrText>
        </w:r>
        <w:r w:rsidR="00C40619">
          <w:rPr>
            <w:webHidden/>
          </w:rPr>
        </w:r>
        <w:r w:rsidR="00C40619">
          <w:rPr>
            <w:webHidden/>
          </w:rPr>
          <w:fldChar w:fldCharType="separate"/>
        </w:r>
        <w:r w:rsidR="00402074">
          <w:rPr>
            <w:webHidden/>
          </w:rPr>
          <w:t>632</w:t>
        </w:r>
        <w:r w:rsidR="00C40619">
          <w:rPr>
            <w:webHidden/>
          </w:rPr>
          <w:fldChar w:fldCharType="end"/>
        </w:r>
      </w:hyperlink>
    </w:p>
    <w:p w14:paraId="73F128A4" w14:textId="3734DB09" w:rsidR="00C40619" w:rsidRDefault="00E84199">
      <w:pPr>
        <w:pStyle w:val="TOC1"/>
        <w:rPr>
          <w:rFonts w:asciiTheme="minorHAnsi" w:eastAsiaTheme="minorEastAsia" w:hAnsiTheme="minorHAnsi" w:cstheme="minorBidi"/>
          <w:b w:val="0"/>
          <w:bCs w:val="0"/>
          <w:szCs w:val="22"/>
          <w:lang w:val="es-CO" w:eastAsia="es-CO"/>
        </w:rPr>
      </w:pPr>
      <w:hyperlink w:anchor="_Toc517797126" w:history="1">
        <w:r w:rsidR="00C40619" w:rsidRPr="00BF54B8">
          <w:rPr>
            <w:rStyle w:val="Hyperlink"/>
          </w:rPr>
          <w:t>6</w:t>
        </w:r>
        <w:r w:rsidR="00C40619">
          <w:rPr>
            <w:rFonts w:asciiTheme="minorHAnsi" w:eastAsiaTheme="minorEastAsia" w:hAnsiTheme="minorHAnsi" w:cstheme="minorBidi"/>
            <w:b w:val="0"/>
            <w:bCs w:val="0"/>
            <w:szCs w:val="22"/>
            <w:lang w:val="es-CO" w:eastAsia="es-CO"/>
          </w:rPr>
          <w:tab/>
        </w:r>
        <w:r w:rsidR="00C40619" w:rsidRPr="00BF54B8">
          <w:rPr>
            <w:rStyle w:val="Hyperlink"/>
          </w:rPr>
          <w:t>Executive summary</w:t>
        </w:r>
        <w:r w:rsidR="00C40619">
          <w:rPr>
            <w:webHidden/>
          </w:rPr>
          <w:tab/>
        </w:r>
        <w:r w:rsidR="00C40619">
          <w:rPr>
            <w:webHidden/>
          </w:rPr>
          <w:fldChar w:fldCharType="begin"/>
        </w:r>
        <w:r w:rsidR="00C40619">
          <w:rPr>
            <w:webHidden/>
          </w:rPr>
          <w:instrText xml:space="preserve"> PAGEREF _Toc517797126 \h </w:instrText>
        </w:r>
        <w:r w:rsidR="00C40619">
          <w:rPr>
            <w:webHidden/>
          </w:rPr>
        </w:r>
        <w:r w:rsidR="00C40619">
          <w:rPr>
            <w:webHidden/>
          </w:rPr>
          <w:fldChar w:fldCharType="separate"/>
        </w:r>
        <w:r w:rsidR="00402074">
          <w:rPr>
            <w:webHidden/>
          </w:rPr>
          <w:t>634</w:t>
        </w:r>
        <w:r w:rsidR="00C40619">
          <w:rPr>
            <w:webHidden/>
          </w:rPr>
          <w:fldChar w:fldCharType="end"/>
        </w:r>
      </w:hyperlink>
    </w:p>
    <w:p w14:paraId="05B11DA8" w14:textId="3816D26B" w:rsidR="00C40619" w:rsidRDefault="00E84199">
      <w:pPr>
        <w:pStyle w:val="TOC2"/>
        <w:rPr>
          <w:rFonts w:asciiTheme="minorHAnsi" w:eastAsiaTheme="minorEastAsia" w:hAnsiTheme="minorHAnsi" w:cstheme="minorBidi"/>
          <w:b w:val="0"/>
          <w:bCs w:val="0"/>
          <w:noProof/>
          <w:szCs w:val="22"/>
          <w:lang w:val="es-CO" w:eastAsia="es-CO"/>
        </w:rPr>
      </w:pPr>
      <w:hyperlink w:anchor="_Toc517797127" w:history="1">
        <w:r w:rsidR="00C40619" w:rsidRPr="00BF54B8">
          <w:rPr>
            <w:rStyle w:val="Hyperlink"/>
            <w:noProof/>
            <w14:scene3d>
              <w14:camera w14:prst="orthographicFront"/>
              <w14:lightRig w14:rig="threePt" w14:dir="t">
                <w14:rot w14:lat="0" w14:lon="0" w14:rev="0"/>
              </w14:lightRig>
            </w14:scene3d>
          </w:rPr>
          <w:t>6.1</w:t>
        </w:r>
        <w:r w:rsidR="00C40619">
          <w:rPr>
            <w:rFonts w:asciiTheme="minorHAnsi" w:eastAsiaTheme="minorEastAsia" w:hAnsiTheme="minorHAnsi" w:cstheme="minorBidi"/>
            <w:b w:val="0"/>
            <w:bCs w:val="0"/>
            <w:noProof/>
            <w:szCs w:val="22"/>
            <w:lang w:val="es-CO" w:eastAsia="es-CO"/>
          </w:rPr>
          <w:tab/>
        </w:r>
        <w:r w:rsidR="00C40619" w:rsidRPr="00BF54B8">
          <w:rPr>
            <w:rStyle w:val="Hyperlink"/>
            <w:noProof/>
          </w:rPr>
          <w:t>Setting the scene</w:t>
        </w:r>
        <w:r w:rsidR="00C40619">
          <w:rPr>
            <w:noProof/>
            <w:webHidden/>
          </w:rPr>
          <w:tab/>
        </w:r>
        <w:r w:rsidR="00C40619">
          <w:rPr>
            <w:noProof/>
            <w:webHidden/>
          </w:rPr>
          <w:fldChar w:fldCharType="begin"/>
        </w:r>
        <w:r w:rsidR="00C40619">
          <w:rPr>
            <w:noProof/>
            <w:webHidden/>
          </w:rPr>
          <w:instrText xml:space="preserve"> PAGEREF _Toc517797127 \h </w:instrText>
        </w:r>
        <w:r w:rsidR="00C40619">
          <w:rPr>
            <w:noProof/>
            <w:webHidden/>
          </w:rPr>
        </w:r>
        <w:r w:rsidR="00C40619">
          <w:rPr>
            <w:noProof/>
            <w:webHidden/>
          </w:rPr>
          <w:fldChar w:fldCharType="separate"/>
        </w:r>
        <w:r w:rsidR="00402074">
          <w:rPr>
            <w:noProof/>
            <w:webHidden/>
          </w:rPr>
          <w:t>636</w:t>
        </w:r>
        <w:r w:rsidR="00C40619">
          <w:rPr>
            <w:noProof/>
            <w:webHidden/>
          </w:rPr>
          <w:fldChar w:fldCharType="end"/>
        </w:r>
      </w:hyperlink>
    </w:p>
    <w:p w14:paraId="76CB7618" w14:textId="7A0420F8"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28" w:history="1">
        <w:r w:rsidR="00C40619" w:rsidRPr="00BF54B8">
          <w:rPr>
            <w:rStyle w:val="Hyperlink"/>
            <w:noProof/>
            <w14:scene3d>
              <w14:camera w14:prst="orthographicFront"/>
              <w14:lightRig w14:rig="threePt" w14:dir="t">
                <w14:rot w14:lat="0" w14:lon="0" w14:rev="0"/>
              </w14:lightRig>
            </w14:scene3d>
          </w:rPr>
          <w:t>6.1.1</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Americas in context</w:t>
        </w:r>
        <w:r w:rsidR="00C40619">
          <w:rPr>
            <w:noProof/>
            <w:webHidden/>
          </w:rPr>
          <w:tab/>
        </w:r>
        <w:r w:rsidR="00C40619">
          <w:rPr>
            <w:noProof/>
            <w:webHidden/>
          </w:rPr>
          <w:fldChar w:fldCharType="begin"/>
        </w:r>
        <w:r w:rsidR="00C40619">
          <w:rPr>
            <w:noProof/>
            <w:webHidden/>
          </w:rPr>
          <w:instrText xml:space="preserve"> PAGEREF _Toc517797128 \h </w:instrText>
        </w:r>
        <w:r w:rsidR="00C40619">
          <w:rPr>
            <w:noProof/>
            <w:webHidden/>
          </w:rPr>
        </w:r>
        <w:r w:rsidR="00C40619">
          <w:rPr>
            <w:noProof/>
            <w:webHidden/>
          </w:rPr>
          <w:fldChar w:fldCharType="separate"/>
        </w:r>
        <w:r w:rsidR="00402074">
          <w:rPr>
            <w:noProof/>
            <w:webHidden/>
          </w:rPr>
          <w:t>636</w:t>
        </w:r>
        <w:r w:rsidR="00C40619">
          <w:rPr>
            <w:noProof/>
            <w:webHidden/>
          </w:rPr>
          <w:fldChar w:fldCharType="end"/>
        </w:r>
      </w:hyperlink>
    </w:p>
    <w:p w14:paraId="767E5C2B" w14:textId="712D2998"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29" w:history="1">
        <w:r w:rsidR="00C40619" w:rsidRPr="00BF54B8">
          <w:rPr>
            <w:rStyle w:val="Hyperlink"/>
            <w:noProof/>
            <w14:scene3d>
              <w14:camera w14:prst="orthographicFront"/>
              <w14:lightRig w14:rig="threePt" w14:dir="t">
                <w14:rot w14:lat="0" w14:lon="0" w14:rev="0"/>
              </w14:lightRig>
            </w14:scene3d>
          </w:rPr>
          <w:t>6.1.2</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Our approach to assessing governance and policy</w:t>
        </w:r>
        <w:r w:rsidR="00C40619">
          <w:rPr>
            <w:noProof/>
            <w:webHidden/>
          </w:rPr>
          <w:tab/>
        </w:r>
        <w:r w:rsidR="00C40619">
          <w:rPr>
            <w:noProof/>
            <w:webHidden/>
          </w:rPr>
          <w:fldChar w:fldCharType="begin"/>
        </w:r>
        <w:r w:rsidR="00C40619">
          <w:rPr>
            <w:noProof/>
            <w:webHidden/>
          </w:rPr>
          <w:instrText xml:space="preserve"> PAGEREF _Toc517797129 \h </w:instrText>
        </w:r>
        <w:r w:rsidR="00C40619">
          <w:rPr>
            <w:noProof/>
            <w:webHidden/>
          </w:rPr>
        </w:r>
        <w:r w:rsidR="00C40619">
          <w:rPr>
            <w:noProof/>
            <w:webHidden/>
          </w:rPr>
          <w:fldChar w:fldCharType="separate"/>
        </w:r>
        <w:r w:rsidR="00402074">
          <w:rPr>
            <w:noProof/>
            <w:webHidden/>
          </w:rPr>
          <w:t>637</w:t>
        </w:r>
        <w:r w:rsidR="00C40619">
          <w:rPr>
            <w:noProof/>
            <w:webHidden/>
          </w:rPr>
          <w:fldChar w:fldCharType="end"/>
        </w:r>
      </w:hyperlink>
    </w:p>
    <w:p w14:paraId="68A2DBB9" w14:textId="32350C5E" w:rsidR="00C40619" w:rsidRDefault="00E84199">
      <w:pPr>
        <w:pStyle w:val="TOC2"/>
        <w:rPr>
          <w:rFonts w:asciiTheme="minorHAnsi" w:eastAsiaTheme="minorEastAsia" w:hAnsiTheme="minorHAnsi" w:cstheme="minorBidi"/>
          <w:b w:val="0"/>
          <w:bCs w:val="0"/>
          <w:noProof/>
          <w:szCs w:val="22"/>
          <w:lang w:val="es-CO" w:eastAsia="es-CO"/>
        </w:rPr>
      </w:pPr>
      <w:hyperlink w:anchor="_Toc517797130" w:history="1">
        <w:r w:rsidR="00C40619" w:rsidRPr="00BF54B8">
          <w:rPr>
            <w:rStyle w:val="Hyperlink"/>
            <w:noProof/>
            <w14:scene3d>
              <w14:camera w14:prst="orthographicFront"/>
              <w14:lightRig w14:rig="threePt" w14:dir="t">
                <w14:rot w14:lat="0" w14:lon="0" w14:rev="0"/>
              </w14:lightRig>
            </w14:scene3d>
          </w:rPr>
          <w:t>6.2</w:t>
        </w:r>
        <w:r w:rsidR="00C40619">
          <w:rPr>
            <w:rFonts w:asciiTheme="minorHAnsi" w:eastAsiaTheme="minorEastAsia" w:hAnsiTheme="minorHAnsi" w:cstheme="minorBidi"/>
            <w:b w:val="0"/>
            <w:bCs w:val="0"/>
            <w:noProof/>
            <w:szCs w:val="22"/>
            <w:lang w:val="es-CO" w:eastAsia="es-CO"/>
          </w:rPr>
          <w:tab/>
        </w:r>
        <w:r w:rsidR="00C40619" w:rsidRPr="00BF54B8">
          <w:rPr>
            <w:rStyle w:val="Hyperlink"/>
            <w:noProof/>
          </w:rPr>
          <w:t>Sectoral versus integrated policies</w:t>
        </w:r>
        <w:r w:rsidR="00C40619">
          <w:rPr>
            <w:noProof/>
            <w:webHidden/>
          </w:rPr>
          <w:tab/>
        </w:r>
        <w:r w:rsidR="00C40619">
          <w:rPr>
            <w:noProof/>
            <w:webHidden/>
          </w:rPr>
          <w:fldChar w:fldCharType="begin"/>
        </w:r>
        <w:r w:rsidR="00C40619">
          <w:rPr>
            <w:noProof/>
            <w:webHidden/>
          </w:rPr>
          <w:instrText xml:space="preserve"> PAGEREF _Toc517797130 \h </w:instrText>
        </w:r>
        <w:r w:rsidR="00C40619">
          <w:rPr>
            <w:noProof/>
            <w:webHidden/>
          </w:rPr>
        </w:r>
        <w:r w:rsidR="00C40619">
          <w:rPr>
            <w:noProof/>
            <w:webHidden/>
          </w:rPr>
          <w:fldChar w:fldCharType="separate"/>
        </w:r>
        <w:r w:rsidR="00402074">
          <w:rPr>
            <w:noProof/>
            <w:webHidden/>
          </w:rPr>
          <w:t>639</w:t>
        </w:r>
        <w:r w:rsidR="00C40619">
          <w:rPr>
            <w:noProof/>
            <w:webHidden/>
          </w:rPr>
          <w:fldChar w:fldCharType="end"/>
        </w:r>
      </w:hyperlink>
    </w:p>
    <w:p w14:paraId="4AD43D05" w14:textId="004C8BC9" w:rsidR="00C40619" w:rsidRDefault="00E84199">
      <w:pPr>
        <w:pStyle w:val="TOC2"/>
        <w:rPr>
          <w:rFonts w:asciiTheme="minorHAnsi" w:eastAsiaTheme="minorEastAsia" w:hAnsiTheme="minorHAnsi" w:cstheme="minorBidi"/>
          <w:b w:val="0"/>
          <w:bCs w:val="0"/>
          <w:noProof/>
          <w:szCs w:val="22"/>
          <w:lang w:val="es-CO" w:eastAsia="es-CO"/>
        </w:rPr>
      </w:pPr>
      <w:hyperlink w:anchor="_Toc517797131" w:history="1">
        <w:r w:rsidR="00C40619" w:rsidRPr="00BF54B8">
          <w:rPr>
            <w:rStyle w:val="Hyperlink"/>
            <w:noProof/>
            <w14:scene3d>
              <w14:camera w14:prst="orthographicFront"/>
              <w14:lightRig w14:rig="threePt" w14:dir="t">
                <w14:rot w14:lat="0" w14:lon="0" w14:rev="0"/>
              </w14:lightRig>
            </w14:scene3d>
          </w:rPr>
          <w:t>6.3</w:t>
        </w:r>
        <w:r w:rsidR="00C40619">
          <w:rPr>
            <w:rFonts w:asciiTheme="minorHAnsi" w:eastAsiaTheme="minorEastAsia" w:hAnsiTheme="minorHAnsi" w:cstheme="minorBidi"/>
            <w:b w:val="0"/>
            <w:bCs w:val="0"/>
            <w:noProof/>
            <w:szCs w:val="22"/>
            <w:lang w:val="es-CO" w:eastAsia="es-CO"/>
          </w:rPr>
          <w:tab/>
        </w:r>
        <w:r w:rsidR="00C40619" w:rsidRPr="00BF54B8">
          <w:rPr>
            <w:rStyle w:val="Hyperlink"/>
            <w:noProof/>
          </w:rPr>
          <w:t>Governance</w:t>
        </w:r>
        <w:r w:rsidR="00C40619">
          <w:rPr>
            <w:noProof/>
            <w:webHidden/>
          </w:rPr>
          <w:tab/>
        </w:r>
        <w:r w:rsidR="00C40619">
          <w:rPr>
            <w:noProof/>
            <w:webHidden/>
          </w:rPr>
          <w:fldChar w:fldCharType="begin"/>
        </w:r>
        <w:r w:rsidR="00C40619">
          <w:rPr>
            <w:noProof/>
            <w:webHidden/>
          </w:rPr>
          <w:instrText xml:space="preserve"> PAGEREF _Toc517797131 \h </w:instrText>
        </w:r>
        <w:r w:rsidR="00C40619">
          <w:rPr>
            <w:noProof/>
            <w:webHidden/>
          </w:rPr>
        </w:r>
        <w:r w:rsidR="00C40619">
          <w:rPr>
            <w:noProof/>
            <w:webHidden/>
          </w:rPr>
          <w:fldChar w:fldCharType="separate"/>
        </w:r>
        <w:r w:rsidR="00402074">
          <w:rPr>
            <w:noProof/>
            <w:webHidden/>
          </w:rPr>
          <w:t>641</w:t>
        </w:r>
        <w:r w:rsidR="00C40619">
          <w:rPr>
            <w:noProof/>
            <w:webHidden/>
          </w:rPr>
          <w:fldChar w:fldCharType="end"/>
        </w:r>
      </w:hyperlink>
    </w:p>
    <w:p w14:paraId="4B35C979" w14:textId="4CEFAD10"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32" w:history="1">
        <w:r w:rsidR="00C40619" w:rsidRPr="00BF54B8">
          <w:rPr>
            <w:rStyle w:val="Hyperlink"/>
            <w:noProof/>
            <w14:scene3d>
              <w14:camera w14:prst="orthographicFront"/>
              <w14:lightRig w14:rig="threePt" w14:dir="t">
                <w14:rot w14:lat="0" w14:lon="0" w14:rev="0"/>
              </w14:lightRig>
            </w14:scene3d>
          </w:rPr>
          <w:t>6.3.1</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Moving from a state-centered approach to greater participation</w:t>
        </w:r>
        <w:r w:rsidR="00C40619">
          <w:rPr>
            <w:noProof/>
            <w:webHidden/>
          </w:rPr>
          <w:tab/>
        </w:r>
        <w:r w:rsidR="00C40619">
          <w:rPr>
            <w:noProof/>
            <w:webHidden/>
          </w:rPr>
          <w:fldChar w:fldCharType="begin"/>
        </w:r>
        <w:r w:rsidR="00C40619">
          <w:rPr>
            <w:noProof/>
            <w:webHidden/>
          </w:rPr>
          <w:instrText xml:space="preserve"> PAGEREF _Toc517797132 \h </w:instrText>
        </w:r>
        <w:r w:rsidR="00C40619">
          <w:rPr>
            <w:noProof/>
            <w:webHidden/>
          </w:rPr>
        </w:r>
        <w:r w:rsidR="00C40619">
          <w:rPr>
            <w:noProof/>
            <w:webHidden/>
          </w:rPr>
          <w:fldChar w:fldCharType="separate"/>
        </w:r>
        <w:r w:rsidR="00402074">
          <w:rPr>
            <w:noProof/>
            <w:webHidden/>
          </w:rPr>
          <w:t>641</w:t>
        </w:r>
        <w:r w:rsidR="00C40619">
          <w:rPr>
            <w:noProof/>
            <w:webHidden/>
          </w:rPr>
          <w:fldChar w:fldCharType="end"/>
        </w:r>
      </w:hyperlink>
    </w:p>
    <w:p w14:paraId="697F0CEF" w14:textId="5A3BC929"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33" w:history="1">
        <w:r w:rsidR="00C40619" w:rsidRPr="00BF54B8">
          <w:rPr>
            <w:rStyle w:val="Hyperlink"/>
            <w:noProof/>
            <w14:scene3d>
              <w14:camera w14:prst="orthographicFront"/>
              <w14:lightRig w14:rig="threePt" w14:dir="t">
                <w14:rot w14:lat="0" w14:lon="0" w14:rev="0"/>
              </w14:lightRig>
            </w14:scene3d>
          </w:rPr>
          <w:t>6.3.2</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Addressing socioecological complexity in governance systems</w:t>
        </w:r>
        <w:r w:rsidR="00C40619">
          <w:rPr>
            <w:noProof/>
            <w:webHidden/>
          </w:rPr>
          <w:tab/>
        </w:r>
        <w:r w:rsidR="00C40619">
          <w:rPr>
            <w:noProof/>
            <w:webHidden/>
          </w:rPr>
          <w:fldChar w:fldCharType="begin"/>
        </w:r>
        <w:r w:rsidR="00C40619">
          <w:rPr>
            <w:noProof/>
            <w:webHidden/>
          </w:rPr>
          <w:instrText xml:space="preserve"> PAGEREF _Toc517797133 \h </w:instrText>
        </w:r>
        <w:r w:rsidR="00C40619">
          <w:rPr>
            <w:noProof/>
            <w:webHidden/>
          </w:rPr>
        </w:r>
        <w:r w:rsidR="00C40619">
          <w:rPr>
            <w:noProof/>
            <w:webHidden/>
          </w:rPr>
          <w:fldChar w:fldCharType="separate"/>
        </w:r>
        <w:r w:rsidR="00402074">
          <w:rPr>
            <w:noProof/>
            <w:webHidden/>
          </w:rPr>
          <w:t>645</w:t>
        </w:r>
        <w:r w:rsidR="00C40619">
          <w:rPr>
            <w:noProof/>
            <w:webHidden/>
          </w:rPr>
          <w:fldChar w:fldCharType="end"/>
        </w:r>
      </w:hyperlink>
    </w:p>
    <w:p w14:paraId="4A200ED5" w14:textId="64A05DA5"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34" w:history="1">
        <w:r w:rsidR="00C40619" w:rsidRPr="00BF54B8">
          <w:rPr>
            <w:rStyle w:val="Hyperlink"/>
            <w:noProof/>
            <w14:scene3d>
              <w14:camera w14:prst="orthographicFront"/>
              <w14:lightRig w14:rig="threePt" w14:dir="t">
                <w14:rot w14:lat="0" w14:lon="0" w14:rev="0"/>
              </w14:lightRig>
            </w14:scene3d>
          </w:rPr>
          <w:t>6.3.3</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Achieving better integration in policy through effective governance</w:t>
        </w:r>
        <w:r w:rsidR="00C40619">
          <w:rPr>
            <w:noProof/>
            <w:webHidden/>
          </w:rPr>
          <w:tab/>
        </w:r>
        <w:r w:rsidR="00C40619">
          <w:rPr>
            <w:noProof/>
            <w:webHidden/>
          </w:rPr>
          <w:fldChar w:fldCharType="begin"/>
        </w:r>
        <w:r w:rsidR="00C40619">
          <w:rPr>
            <w:noProof/>
            <w:webHidden/>
          </w:rPr>
          <w:instrText xml:space="preserve"> PAGEREF _Toc517797134 \h </w:instrText>
        </w:r>
        <w:r w:rsidR="00C40619">
          <w:rPr>
            <w:noProof/>
            <w:webHidden/>
          </w:rPr>
        </w:r>
        <w:r w:rsidR="00C40619">
          <w:rPr>
            <w:noProof/>
            <w:webHidden/>
          </w:rPr>
          <w:fldChar w:fldCharType="separate"/>
        </w:r>
        <w:r w:rsidR="00402074">
          <w:rPr>
            <w:noProof/>
            <w:webHidden/>
          </w:rPr>
          <w:t>646</w:t>
        </w:r>
        <w:r w:rsidR="00C40619">
          <w:rPr>
            <w:noProof/>
            <w:webHidden/>
          </w:rPr>
          <w:fldChar w:fldCharType="end"/>
        </w:r>
      </w:hyperlink>
    </w:p>
    <w:p w14:paraId="4AE5CB55" w14:textId="6D1BAB11"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35" w:history="1">
        <w:r w:rsidR="00C40619" w:rsidRPr="00BF54B8">
          <w:rPr>
            <w:rStyle w:val="Hyperlink"/>
            <w:noProof/>
            <w14:scene3d>
              <w14:camera w14:prst="orthographicFront"/>
              <w14:lightRig w14:rig="threePt" w14:dir="t">
                <w14:rot w14:lat="0" w14:lon="0" w14:rev="0"/>
              </w14:lightRig>
            </w14:scene3d>
          </w:rPr>
          <w:t>6.3.4</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Factoring scale into governance arrangements</w:t>
        </w:r>
        <w:r w:rsidR="00C40619">
          <w:rPr>
            <w:noProof/>
            <w:webHidden/>
          </w:rPr>
          <w:tab/>
        </w:r>
        <w:r w:rsidR="00C40619">
          <w:rPr>
            <w:noProof/>
            <w:webHidden/>
          </w:rPr>
          <w:fldChar w:fldCharType="begin"/>
        </w:r>
        <w:r w:rsidR="00C40619">
          <w:rPr>
            <w:noProof/>
            <w:webHidden/>
          </w:rPr>
          <w:instrText xml:space="preserve"> PAGEREF _Toc517797135 \h </w:instrText>
        </w:r>
        <w:r w:rsidR="00C40619">
          <w:rPr>
            <w:noProof/>
            <w:webHidden/>
          </w:rPr>
        </w:r>
        <w:r w:rsidR="00C40619">
          <w:rPr>
            <w:noProof/>
            <w:webHidden/>
          </w:rPr>
          <w:fldChar w:fldCharType="separate"/>
        </w:r>
        <w:r w:rsidR="00402074">
          <w:rPr>
            <w:noProof/>
            <w:webHidden/>
          </w:rPr>
          <w:t>646</w:t>
        </w:r>
        <w:r w:rsidR="00C40619">
          <w:rPr>
            <w:noProof/>
            <w:webHidden/>
          </w:rPr>
          <w:fldChar w:fldCharType="end"/>
        </w:r>
      </w:hyperlink>
    </w:p>
    <w:p w14:paraId="6CB6606E" w14:textId="7079656A"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36" w:history="1">
        <w:r w:rsidR="00C40619" w:rsidRPr="00BF54B8">
          <w:rPr>
            <w:rStyle w:val="Hyperlink"/>
            <w:noProof/>
            <w14:scene3d>
              <w14:camera w14:prst="orthographicFront"/>
              <w14:lightRig w14:rig="threePt" w14:dir="t">
                <w14:rot w14:lat="0" w14:lon="0" w14:rev="0"/>
              </w14:lightRig>
            </w14:scene3d>
          </w:rPr>
          <w:t>6.3.5</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Indigenous and local knowledge systems</w:t>
        </w:r>
        <w:r w:rsidR="00C40619">
          <w:rPr>
            <w:noProof/>
            <w:webHidden/>
          </w:rPr>
          <w:tab/>
        </w:r>
        <w:r w:rsidR="00C40619">
          <w:rPr>
            <w:noProof/>
            <w:webHidden/>
          </w:rPr>
          <w:fldChar w:fldCharType="begin"/>
        </w:r>
        <w:r w:rsidR="00C40619">
          <w:rPr>
            <w:noProof/>
            <w:webHidden/>
          </w:rPr>
          <w:instrText xml:space="preserve"> PAGEREF _Toc517797136 \h </w:instrText>
        </w:r>
        <w:r w:rsidR="00C40619">
          <w:rPr>
            <w:noProof/>
            <w:webHidden/>
          </w:rPr>
        </w:r>
        <w:r w:rsidR="00C40619">
          <w:rPr>
            <w:noProof/>
            <w:webHidden/>
          </w:rPr>
          <w:fldChar w:fldCharType="separate"/>
        </w:r>
        <w:r w:rsidR="00402074">
          <w:rPr>
            <w:noProof/>
            <w:webHidden/>
          </w:rPr>
          <w:t>647</w:t>
        </w:r>
        <w:r w:rsidR="00C40619">
          <w:rPr>
            <w:noProof/>
            <w:webHidden/>
          </w:rPr>
          <w:fldChar w:fldCharType="end"/>
        </w:r>
      </w:hyperlink>
    </w:p>
    <w:p w14:paraId="2B9E5306" w14:textId="57273E80" w:rsidR="00C40619" w:rsidRDefault="00E84199">
      <w:pPr>
        <w:pStyle w:val="TOC2"/>
        <w:rPr>
          <w:rFonts w:asciiTheme="minorHAnsi" w:eastAsiaTheme="minorEastAsia" w:hAnsiTheme="minorHAnsi" w:cstheme="minorBidi"/>
          <w:b w:val="0"/>
          <w:bCs w:val="0"/>
          <w:noProof/>
          <w:szCs w:val="22"/>
          <w:lang w:val="es-CO" w:eastAsia="es-CO"/>
        </w:rPr>
      </w:pPr>
      <w:hyperlink w:anchor="_Toc517797137" w:history="1">
        <w:r w:rsidR="00C40619" w:rsidRPr="00BF54B8">
          <w:rPr>
            <w:rStyle w:val="Hyperlink"/>
            <w:noProof/>
            <w14:scene3d>
              <w14:camera w14:prst="orthographicFront"/>
              <w14:lightRig w14:rig="threePt" w14:dir="t">
                <w14:rot w14:lat="0" w14:lon="0" w14:rev="0"/>
              </w14:lightRig>
            </w14:scene3d>
          </w:rPr>
          <w:t>6.4</w:t>
        </w:r>
        <w:r w:rsidR="00C40619">
          <w:rPr>
            <w:rFonts w:asciiTheme="minorHAnsi" w:eastAsiaTheme="minorEastAsia" w:hAnsiTheme="minorHAnsi" w:cstheme="minorBidi"/>
            <w:b w:val="0"/>
            <w:bCs w:val="0"/>
            <w:noProof/>
            <w:szCs w:val="22"/>
            <w:lang w:val="es-CO" w:eastAsia="es-CO"/>
          </w:rPr>
          <w:tab/>
        </w:r>
        <w:r w:rsidR="00C40619" w:rsidRPr="00BF54B8">
          <w:rPr>
            <w:rStyle w:val="Hyperlink"/>
            <w:noProof/>
          </w:rPr>
          <w:t>Policy instruments, support tools and methodologies related to biodiversity and ecosystem services</w:t>
        </w:r>
        <w:r w:rsidR="00C40619">
          <w:rPr>
            <w:noProof/>
            <w:webHidden/>
          </w:rPr>
          <w:tab/>
        </w:r>
        <w:r w:rsidR="00C40619">
          <w:rPr>
            <w:noProof/>
            <w:webHidden/>
          </w:rPr>
          <w:fldChar w:fldCharType="begin"/>
        </w:r>
        <w:r w:rsidR="00C40619">
          <w:rPr>
            <w:noProof/>
            <w:webHidden/>
          </w:rPr>
          <w:instrText xml:space="preserve"> PAGEREF _Toc517797137 \h </w:instrText>
        </w:r>
        <w:r w:rsidR="00C40619">
          <w:rPr>
            <w:noProof/>
            <w:webHidden/>
          </w:rPr>
        </w:r>
        <w:r w:rsidR="00C40619">
          <w:rPr>
            <w:noProof/>
            <w:webHidden/>
          </w:rPr>
          <w:fldChar w:fldCharType="separate"/>
        </w:r>
        <w:r w:rsidR="00402074">
          <w:rPr>
            <w:noProof/>
            <w:webHidden/>
          </w:rPr>
          <w:t>648</w:t>
        </w:r>
        <w:r w:rsidR="00C40619">
          <w:rPr>
            <w:noProof/>
            <w:webHidden/>
          </w:rPr>
          <w:fldChar w:fldCharType="end"/>
        </w:r>
      </w:hyperlink>
    </w:p>
    <w:p w14:paraId="73E3D8C8" w14:textId="714C8934"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38" w:history="1">
        <w:r w:rsidR="00C40619" w:rsidRPr="00BF54B8">
          <w:rPr>
            <w:rStyle w:val="Hyperlink"/>
            <w:noProof/>
            <w14:scene3d>
              <w14:camera w14:prst="orthographicFront"/>
              <w14:lightRig w14:rig="threePt" w14:dir="t">
                <w14:rot w14:lat="0" w14:lon="0" w14:rev="0"/>
              </w14:lightRig>
            </w14:scene3d>
          </w:rPr>
          <w:t>6.4.1</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Regulatory mechanisms</w:t>
        </w:r>
        <w:r w:rsidR="00C40619">
          <w:rPr>
            <w:noProof/>
            <w:webHidden/>
          </w:rPr>
          <w:tab/>
        </w:r>
        <w:r w:rsidR="00C40619">
          <w:rPr>
            <w:noProof/>
            <w:webHidden/>
          </w:rPr>
          <w:fldChar w:fldCharType="begin"/>
        </w:r>
        <w:r w:rsidR="00C40619">
          <w:rPr>
            <w:noProof/>
            <w:webHidden/>
          </w:rPr>
          <w:instrText xml:space="preserve"> PAGEREF _Toc517797138 \h </w:instrText>
        </w:r>
        <w:r w:rsidR="00C40619">
          <w:rPr>
            <w:noProof/>
            <w:webHidden/>
          </w:rPr>
        </w:r>
        <w:r w:rsidR="00C40619">
          <w:rPr>
            <w:noProof/>
            <w:webHidden/>
          </w:rPr>
          <w:fldChar w:fldCharType="separate"/>
        </w:r>
        <w:r w:rsidR="00402074">
          <w:rPr>
            <w:noProof/>
            <w:webHidden/>
          </w:rPr>
          <w:t>650</w:t>
        </w:r>
        <w:r w:rsidR="00C40619">
          <w:rPr>
            <w:noProof/>
            <w:webHidden/>
          </w:rPr>
          <w:fldChar w:fldCharType="end"/>
        </w:r>
      </w:hyperlink>
    </w:p>
    <w:p w14:paraId="07005510" w14:textId="3CD0443A"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139" w:history="1">
        <w:r w:rsidR="00C40619" w:rsidRPr="00BF54B8">
          <w:rPr>
            <w:rStyle w:val="Hyperlink"/>
            <w:noProof/>
          </w:rPr>
          <w:t>6.4.1.1</w:t>
        </w:r>
        <w:r w:rsidR="00C40619">
          <w:rPr>
            <w:rFonts w:asciiTheme="minorHAnsi" w:eastAsiaTheme="minorEastAsia" w:hAnsiTheme="minorHAnsi" w:cstheme="minorBidi"/>
            <w:noProof/>
            <w:szCs w:val="22"/>
            <w:lang w:val="es-CO" w:eastAsia="es-CO"/>
          </w:rPr>
          <w:tab/>
        </w:r>
        <w:r w:rsidR="00C40619" w:rsidRPr="00BF54B8">
          <w:rPr>
            <w:rStyle w:val="Hyperlink"/>
            <w:noProof/>
          </w:rPr>
          <w:t>Protected areas</w:t>
        </w:r>
        <w:r w:rsidR="00C40619">
          <w:rPr>
            <w:noProof/>
            <w:webHidden/>
          </w:rPr>
          <w:tab/>
        </w:r>
        <w:r w:rsidR="00C40619">
          <w:rPr>
            <w:noProof/>
            <w:webHidden/>
          </w:rPr>
          <w:fldChar w:fldCharType="begin"/>
        </w:r>
        <w:r w:rsidR="00C40619">
          <w:rPr>
            <w:noProof/>
            <w:webHidden/>
          </w:rPr>
          <w:instrText xml:space="preserve"> PAGEREF _Toc517797139 \h </w:instrText>
        </w:r>
        <w:r w:rsidR="00C40619">
          <w:rPr>
            <w:noProof/>
            <w:webHidden/>
          </w:rPr>
        </w:r>
        <w:r w:rsidR="00C40619">
          <w:rPr>
            <w:noProof/>
            <w:webHidden/>
          </w:rPr>
          <w:fldChar w:fldCharType="separate"/>
        </w:r>
        <w:r w:rsidR="00402074">
          <w:rPr>
            <w:noProof/>
            <w:webHidden/>
          </w:rPr>
          <w:t>650</w:t>
        </w:r>
        <w:r w:rsidR="00C40619">
          <w:rPr>
            <w:noProof/>
            <w:webHidden/>
          </w:rPr>
          <w:fldChar w:fldCharType="end"/>
        </w:r>
      </w:hyperlink>
    </w:p>
    <w:p w14:paraId="32CC0993" w14:textId="3E868714"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140" w:history="1">
        <w:r w:rsidR="00C40619" w:rsidRPr="00BF54B8">
          <w:rPr>
            <w:rStyle w:val="Hyperlink"/>
            <w:noProof/>
          </w:rPr>
          <w:t>6.4.1.2</w:t>
        </w:r>
        <w:r w:rsidR="00C40619">
          <w:rPr>
            <w:rFonts w:asciiTheme="minorHAnsi" w:eastAsiaTheme="minorEastAsia" w:hAnsiTheme="minorHAnsi" w:cstheme="minorBidi"/>
            <w:noProof/>
            <w:szCs w:val="22"/>
            <w:lang w:val="es-CO" w:eastAsia="es-CO"/>
          </w:rPr>
          <w:tab/>
        </w:r>
        <w:r w:rsidR="00C40619" w:rsidRPr="00BF54B8">
          <w:rPr>
            <w:rStyle w:val="Hyperlink"/>
            <w:noProof/>
          </w:rPr>
          <w:t>Ecosystem restoration</w:t>
        </w:r>
        <w:r w:rsidR="00C40619">
          <w:rPr>
            <w:noProof/>
            <w:webHidden/>
          </w:rPr>
          <w:tab/>
        </w:r>
        <w:r w:rsidR="00C40619">
          <w:rPr>
            <w:noProof/>
            <w:webHidden/>
          </w:rPr>
          <w:fldChar w:fldCharType="begin"/>
        </w:r>
        <w:r w:rsidR="00C40619">
          <w:rPr>
            <w:noProof/>
            <w:webHidden/>
          </w:rPr>
          <w:instrText xml:space="preserve"> PAGEREF _Toc517797140 \h </w:instrText>
        </w:r>
        <w:r w:rsidR="00C40619">
          <w:rPr>
            <w:noProof/>
            <w:webHidden/>
          </w:rPr>
        </w:r>
        <w:r w:rsidR="00C40619">
          <w:rPr>
            <w:noProof/>
            <w:webHidden/>
          </w:rPr>
          <w:fldChar w:fldCharType="separate"/>
        </w:r>
        <w:r w:rsidR="00402074">
          <w:rPr>
            <w:noProof/>
            <w:webHidden/>
          </w:rPr>
          <w:t>653</w:t>
        </w:r>
        <w:r w:rsidR="00C40619">
          <w:rPr>
            <w:noProof/>
            <w:webHidden/>
          </w:rPr>
          <w:fldChar w:fldCharType="end"/>
        </w:r>
      </w:hyperlink>
    </w:p>
    <w:p w14:paraId="5898202C" w14:textId="3A2182C9"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41" w:history="1">
        <w:r w:rsidR="00C40619" w:rsidRPr="00BF54B8">
          <w:rPr>
            <w:rStyle w:val="Hyperlink"/>
            <w:noProof/>
            <w14:scene3d>
              <w14:camera w14:prst="orthographicFront"/>
              <w14:lightRig w14:rig="threePt" w14:dir="t">
                <w14:rot w14:lat="0" w14:lon="0" w14:rev="0"/>
              </w14:lightRig>
            </w14:scene3d>
          </w:rPr>
          <w:t>6.4.2</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Incentive mechanisms</w:t>
        </w:r>
        <w:r w:rsidR="00C40619">
          <w:rPr>
            <w:noProof/>
            <w:webHidden/>
          </w:rPr>
          <w:tab/>
        </w:r>
        <w:r w:rsidR="00C40619">
          <w:rPr>
            <w:noProof/>
            <w:webHidden/>
          </w:rPr>
          <w:fldChar w:fldCharType="begin"/>
        </w:r>
        <w:r w:rsidR="00C40619">
          <w:rPr>
            <w:noProof/>
            <w:webHidden/>
          </w:rPr>
          <w:instrText xml:space="preserve"> PAGEREF _Toc517797141 \h </w:instrText>
        </w:r>
        <w:r w:rsidR="00C40619">
          <w:rPr>
            <w:noProof/>
            <w:webHidden/>
          </w:rPr>
        </w:r>
        <w:r w:rsidR="00C40619">
          <w:rPr>
            <w:noProof/>
            <w:webHidden/>
          </w:rPr>
          <w:fldChar w:fldCharType="separate"/>
        </w:r>
        <w:r w:rsidR="00402074">
          <w:rPr>
            <w:noProof/>
            <w:webHidden/>
          </w:rPr>
          <w:t>654</w:t>
        </w:r>
        <w:r w:rsidR="00C40619">
          <w:rPr>
            <w:noProof/>
            <w:webHidden/>
          </w:rPr>
          <w:fldChar w:fldCharType="end"/>
        </w:r>
      </w:hyperlink>
    </w:p>
    <w:p w14:paraId="5F1714AB" w14:textId="73666106"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142" w:history="1">
        <w:r w:rsidR="00C40619" w:rsidRPr="00BF54B8">
          <w:rPr>
            <w:rStyle w:val="Hyperlink"/>
            <w:noProof/>
          </w:rPr>
          <w:t>6.4.2.1</w:t>
        </w:r>
        <w:r w:rsidR="00C40619">
          <w:rPr>
            <w:rFonts w:asciiTheme="minorHAnsi" w:eastAsiaTheme="minorEastAsia" w:hAnsiTheme="minorHAnsi" w:cstheme="minorBidi"/>
            <w:noProof/>
            <w:szCs w:val="22"/>
            <w:lang w:val="es-CO" w:eastAsia="es-CO"/>
          </w:rPr>
          <w:tab/>
        </w:r>
        <w:r w:rsidR="00C40619" w:rsidRPr="00BF54B8">
          <w:rPr>
            <w:rStyle w:val="Hyperlink"/>
            <w:noProof/>
          </w:rPr>
          <w:t>Conservation incentives</w:t>
        </w:r>
        <w:r w:rsidR="00C40619">
          <w:rPr>
            <w:noProof/>
            <w:webHidden/>
          </w:rPr>
          <w:tab/>
        </w:r>
        <w:r w:rsidR="00C40619">
          <w:rPr>
            <w:noProof/>
            <w:webHidden/>
          </w:rPr>
          <w:fldChar w:fldCharType="begin"/>
        </w:r>
        <w:r w:rsidR="00C40619">
          <w:rPr>
            <w:noProof/>
            <w:webHidden/>
          </w:rPr>
          <w:instrText xml:space="preserve"> PAGEREF _Toc517797142 \h </w:instrText>
        </w:r>
        <w:r w:rsidR="00C40619">
          <w:rPr>
            <w:noProof/>
            <w:webHidden/>
          </w:rPr>
        </w:r>
        <w:r w:rsidR="00C40619">
          <w:rPr>
            <w:noProof/>
            <w:webHidden/>
          </w:rPr>
          <w:fldChar w:fldCharType="separate"/>
        </w:r>
        <w:r w:rsidR="00402074">
          <w:rPr>
            <w:noProof/>
            <w:webHidden/>
          </w:rPr>
          <w:t>654</w:t>
        </w:r>
        <w:r w:rsidR="00C40619">
          <w:rPr>
            <w:noProof/>
            <w:webHidden/>
          </w:rPr>
          <w:fldChar w:fldCharType="end"/>
        </w:r>
      </w:hyperlink>
    </w:p>
    <w:p w14:paraId="1380D86A" w14:textId="444EF550"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143" w:history="1">
        <w:r w:rsidR="00C40619" w:rsidRPr="00BF54B8">
          <w:rPr>
            <w:rStyle w:val="Hyperlink"/>
            <w:noProof/>
          </w:rPr>
          <w:t>6.4.2.2</w:t>
        </w:r>
        <w:r w:rsidR="00C40619">
          <w:rPr>
            <w:rFonts w:asciiTheme="minorHAnsi" w:eastAsiaTheme="minorEastAsia" w:hAnsiTheme="minorHAnsi" w:cstheme="minorBidi"/>
            <w:noProof/>
            <w:szCs w:val="22"/>
            <w:lang w:val="es-CO" w:eastAsia="es-CO"/>
          </w:rPr>
          <w:tab/>
        </w:r>
        <w:r w:rsidR="00C40619" w:rsidRPr="00BF54B8">
          <w:rPr>
            <w:rStyle w:val="Hyperlink"/>
            <w:noProof/>
          </w:rPr>
          <w:t>Offset and compensation</w:t>
        </w:r>
        <w:r w:rsidR="00C40619">
          <w:rPr>
            <w:noProof/>
            <w:webHidden/>
          </w:rPr>
          <w:tab/>
        </w:r>
        <w:r w:rsidR="00C40619">
          <w:rPr>
            <w:noProof/>
            <w:webHidden/>
          </w:rPr>
          <w:fldChar w:fldCharType="begin"/>
        </w:r>
        <w:r w:rsidR="00C40619">
          <w:rPr>
            <w:noProof/>
            <w:webHidden/>
          </w:rPr>
          <w:instrText xml:space="preserve"> PAGEREF _Toc517797143 \h </w:instrText>
        </w:r>
        <w:r w:rsidR="00C40619">
          <w:rPr>
            <w:noProof/>
            <w:webHidden/>
          </w:rPr>
        </w:r>
        <w:r w:rsidR="00C40619">
          <w:rPr>
            <w:noProof/>
            <w:webHidden/>
          </w:rPr>
          <w:fldChar w:fldCharType="separate"/>
        </w:r>
        <w:r w:rsidR="00402074">
          <w:rPr>
            <w:noProof/>
            <w:webHidden/>
          </w:rPr>
          <w:t>658</w:t>
        </w:r>
        <w:r w:rsidR="00C40619">
          <w:rPr>
            <w:noProof/>
            <w:webHidden/>
          </w:rPr>
          <w:fldChar w:fldCharType="end"/>
        </w:r>
      </w:hyperlink>
    </w:p>
    <w:p w14:paraId="50FB0A63" w14:textId="2B5FD50B"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144" w:history="1">
        <w:r w:rsidR="00C40619" w:rsidRPr="00BF54B8">
          <w:rPr>
            <w:rStyle w:val="Hyperlink"/>
            <w:noProof/>
          </w:rPr>
          <w:t>6.4.2.3</w:t>
        </w:r>
        <w:r w:rsidR="00C40619">
          <w:rPr>
            <w:rFonts w:asciiTheme="minorHAnsi" w:eastAsiaTheme="minorEastAsia" w:hAnsiTheme="minorHAnsi" w:cstheme="minorBidi"/>
            <w:noProof/>
            <w:szCs w:val="22"/>
            <w:lang w:val="es-CO" w:eastAsia="es-CO"/>
          </w:rPr>
          <w:tab/>
        </w:r>
        <w:r w:rsidR="00C40619" w:rsidRPr="00BF54B8">
          <w:rPr>
            <w:rStyle w:val="Hyperlink"/>
            <w:noProof/>
          </w:rPr>
          <w:t>Eco-certification and other mechanisms related to markets and trade</w:t>
        </w:r>
        <w:r w:rsidR="00C40619">
          <w:rPr>
            <w:noProof/>
            <w:webHidden/>
          </w:rPr>
          <w:tab/>
        </w:r>
        <w:r w:rsidR="00C40619">
          <w:rPr>
            <w:noProof/>
            <w:webHidden/>
          </w:rPr>
          <w:fldChar w:fldCharType="begin"/>
        </w:r>
        <w:r w:rsidR="00C40619">
          <w:rPr>
            <w:noProof/>
            <w:webHidden/>
          </w:rPr>
          <w:instrText xml:space="preserve"> PAGEREF _Toc517797144 \h </w:instrText>
        </w:r>
        <w:r w:rsidR="00C40619">
          <w:rPr>
            <w:noProof/>
            <w:webHidden/>
          </w:rPr>
        </w:r>
        <w:r w:rsidR="00C40619">
          <w:rPr>
            <w:noProof/>
            <w:webHidden/>
          </w:rPr>
          <w:fldChar w:fldCharType="separate"/>
        </w:r>
        <w:r w:rsidR="00402074">
          <w:rPr>
            <w:noProof/>
            <w:webHidden/>
          </w:rPr>
          <w:t>660</w:t>
        </w:r>
        <w:r w:rsidR="00C40619">
          <w:rPr>
            <w:noProof/>
            <w:webHidden/>
          </w:rPr>
          <w:fldChar w:fldCharType="end"/>
        </w:r>
      </w:hyperlink>
    </w:p>
    <w:p w14:paraId="49CA546D" w14:textId="550ECACA"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45" w:history="1">
        <w:r w:rsidR="00C40619" w:rsidRPr="00BF54B8">
          <w:rPr>
            <w:rStyle w:val="Hyperlink"/>
            <w:noProof/>
            <w14:scene3d>
              <w14:camera w14:prst="orthographicFront"/>
              <w14:lightRig w14:rig="threePt" w14:dir="t">
                <w14:rot w14:lat="0" w14:lon="0" w14:rev="0"/>
              </w14:lightRig>
            </w14:scene3d>
          </w:rPr>
          <w:t>6.4.3</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Rights-based approaches</w:t>
        </w:r>
        <w:r w:rsidR="00C40619">
          <w:rPr>
            <w:noProof/>
            <w:webHidden/>
          </w:rPr>
          <w:tab/>
        </w:r>
        <w:r w:rsidR="00C40619">
          <w:rPr>
            <w:noProof/>
            <w:webHidden/>
          </w:rPr>
          <w:fldChar w:fldCharType="begin"/>
        </w:r>
        <w:r w:rsidR="00C40619">
          <w:rPr>
            <w:noProof/>
            <w:webHidden/>
          </w:rPr>
          <w:instrText xml:space="preserve"> PAGEREF _Toc517797145 \h </w:instrText>
        </w:r>
        <w:r w:rsidR="00C40619">
          <w:rPr>
            <w:noProof/>
            <w:webHidden/>
          </w:rPr>
        </w:r>
        <w:r w:rsidR="00C40619">
          <w:rPr>
            <w:noProof/>
            <w:webHidden/>
          </w:rPr>
          <w:fldChar w:fldCharType="separate"/>
        </w:r>
        <w:r w:rsidR="00402074">
          <w:rPr>
            <w:noProof/>
            <w:webHidden/>
          </w:rPr>
          <w:t>664</w:t>
        </w:r>
        <w:r w:rsidR="00C40619">
          <w:rPr>
            <w:noProof/>
            <w:webHidden/>
          </w:rPr>
          <w:fldChar w:fldCharType="end"/>
        </w:r>
      </w:hyperlink>
    </w:p>
    <w:p w14:paraId="7215B8FB" w14:textId="1215FE0C"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146" w:history="1">
        <w:r w:rsidR="00C40619" w:rsidRPr="00BF54B8">
          <w:rPr>
            <w:rStyle w:val="Hyperlink"/>
            <w:noProof/>
          </w:rPr>
          <w:t>6.4.3.1</w:t>
        </w:r>
        <w:r w:rsidR="00C40619">
          <w:rPr>
            <w:rFonts w:asciiTheme="minorHAnsi" w:eastAsiaTheme="minorEastAsia" w:hAnsiTheme="minorHAnsi" w:cstheme="minorBidi"/>
            <w:noProof/>
            <w:szCs w:val="22"/>
            <w:lang w:val="es-CO" w:eastAsia="es-CO"/>
          </w:rPr>
          <w:tab/>
        </w:r>
        <w:r w:rsidR="00C40619" w:rsidRPr="00BF54B8">
          <w:rPr>
            <w:rStyle w:val="Hyperlink"/>
            <w:noProof/>
          </w:rPr>
          <w:t>Access and benefit-sharing</w:t>
        </w:r>
        <w:r w:rsidR="00C40619">
          <w:rPr>
            <w:noProof/>
            <w:webHidden/>
          </w:rPr>
          <w:tab/>
        </w:r>
        <w:r w:rsidR="00C40619">
          <w:rPr>
            <w:noProof/>
            <w:webHidden/>
          </w:rPr>
          <w:fldChar w:fldCharType="begin"/>
        </w:r>
        <w:r w:rsidR="00C40619">
          <w:rPr>
            <w:noProof/>
            <w:webHidden/>
          </w:rPr>
          <w:instrText xml:space="preserve"> PAGEREF _Toc517797146 \h </w:instrText>
        </w:r>
        <w:r w:rsidR="00C40619">
          <w:rPr>
            <w:noProof/>
            <w:webHidden/>
          </w:rPr>
        </w:r>
        <w:r w:rsidR="00C40619">
          <w:rPr>
            <w:noProof/>
            <w:webHidden/>
          </w:rPr>
          <w:fldChar w:fldCharType="separate"/>
        </w:r>
        <w:r w:rsidR="00402074">
          <w:rPr>
            <w:noProof/>
            <w:webHidden/>
          </w:rPr>
          <w:t>664</w:t>
        </w:r>
        <w:r w:rsidR="00C40619">
          <w:rPr>
            <w:noProof/>
            <w:webHidden/>
          </w:rPr>
          <w:fldChar w:fldCharType="end"/>
        </w:r>
      </w:hyperlink>
    </w:p>
    <w:p w14:paraId="466657CA" w14:textId="774067F0" w:rsidR="00C40619" w:rsidRDefault="00E84199">
      <w:pPr>
        <w:pStyle w:val="TOC4"/>
        <w:tabs>
          <w:tab w:val="left" w:pos="1440"/>
          <w:tab w:val="right" w:leader="dot" w:pos="9487"/>
        </w:tabs>
        <w:rPr>
          <w:rFonts w:asciiTheme="minorHAnsi" w:eastAsiaTheme="minorEastAsia" w:hAnsiTheme="minorHAnsi" w:cstheme="minorBidi"/>
          <w:noProof/>
          <w:szCs w:val="22"/>
          <w:lang w:val="es-CO" w:eastAsia="es-CO"/>
        </w:rPr>
      </w:pPr>
      <w:hyperlink w:anchor="_Toc517797147" w:history="1">
        <w:r w:rsidR="00C40619" w:rsidRPr="00BF54B8">
          <w:rPr>
            <w:rStyle w:val="Hyperlink"/>
            <w:noProof/>
          </w:rPr>
          <w:t>6.4.3.2</w:t>
        </w:r>
        <w:r w:rsidR="00C40619">
          <w:rPr>
            <w:rFonts w:asciiTheme="minorHAnsi" w:eastAsiaTheme="minorEastAsia" w:hAnsiTheme="minorHAnsi" w:cstheme="minorBidi"/>
            <w:noProof/>
            <w:szCs w:val="22"/>
            <w:lang w:val="es-CO" w:eastAsia="es-CO"/>
          </w:rPr>
          <w:tab/>
        </w:r>
        <w:r w:rsidR="00C40619" w:rsidRPr="00BF54B8">
          <w:rPr>
            <w:rStyle w:val="Hyperlink"/>
            <w:noProof/>
          </w:rPr>
          <w:t>Rights of Mother Earth</w:t>
        </w:r>
        <w:r w:rsidR="00C40619">
          <w:rPr>
            <w:noProof/>
            <w:webHidden/>
          </w:rPr>
          <w:tab/>
        </w:r>
        <w:r w:rsidR="00C40619">
          <w:rPr>
            <w:noProof/>
            <w:webHidden/>
          </w:rPr>
          <w:fldChar w:fldCharType="begin"/>
        </w:r>
        <w:r w:rsidR="00C40619">
          <w:rPr>
            <w:noProof/>
            <w:webHidden/>
          </w:rPr>
          <w:instrText xml:space="preserve"> PAGEREF _Toc517797147 \h </w:instrText>
        </w:r>
        <w:r w:rsidR="00C40619">
          <w:rPr>
            <w:noProof/>
            <w:webHidden/>
          </w:rPr>
        </w:r>
        <w:r w:rsidR="00C40619">
          <w:rPr>
            <w:noProof/>
            <w:webHidden/>
          </w:rPr>
          <w:fldChar w:fldCharType="separate"/>
        </w:r>
        <w:r w:rsidR="00402074">
          <w:rPr>
            <w:noProof/>
            <w:webHidden/>
          </w:rPr>
          <w:t>665</w:t>
        </w:r>
        <w:r w:rsidR="00C40619">
          <w:rPr>
            <w:noProof/>
            <w:webHidden/>
          </w:rPr>
          <w:fldChar w:fldCharType="end"/>
        </w:r>
      </w:hyperlink>
    </w:p>
    <w:p w14:paraId="5F42BBB8" w14:textId="01349337" w:rsidR="00C40619" w:rsidRDefault="00E84199">
      <w:pPr>
        <w:pStyle w:val="TOC2"/>
        <w:rPr>
          <w:rFonts w:asciiTheme="minorHAnsi" w:eastAsiaTheme="minorEastAsia" w:hAnsiTheme="minorHAnsi" w:cstheme="minorBidi"/>
          <w:b w:val="0"/>
          <w:bCs w:val="0"/>
          <w:noProof/>
          <w:szCs w:val="22"/>
          <w:lang w:val="es-CO" w:eastAsia="es-CO"/>
        </w:rPr>
      </w:pPr>
      <w:hyperlink w:anchor="_Toc517797148" w:history="1">
        <w:r w:rsidR="00C40619" w:rsidRPr="00BF54B8">
          <w:rPr>
            <w:rStyle w:val="Hyperlink"/>
            <w:noProof/>
            <w14:scene3d>
              <w14:camera w14:prst="orthographicFront"/>
              <w14:lightRig w14:rig="threePt" w14:dir="t">
                <w14:rot w14:lat="0" w14:lon="0" w14:rev="0"/>
              </w14:lightRig>
            </w14:scene3d>
          </w:rPr>
          <w:t>6.5</w:t>
        </w:r>
        <w:r w:rsidR="00C40619">
          <w:rPr>
            <w:rFonts w:asciiTheme="minorHAnsi" w:eastAsiaTheme="minorEastAsia" w:hAnsiTheme="minorHAnsi" w:cstheme="minorBidi"/>
            <w:b w:val="0"/>
            <w:bCs w:val="0"/>
            <w:noProof/>
            <w:szCs w:val="22"/>
            <w:lang w:val="es-CO" w:eastAsia="es-CO"/>
          </w:rPr>
          <w:tab/>
        </w:r>
        <w:r w:rsidR="00C40619" w:rsidRPr="00BF54B8">
          <w:rPr>
            <w:rStyle w:val="Hyperlink"/>
            <w:noProof/>
          </w:rPr>
          <w:t>Regional adherence to global policies related to biodiversity and ecosystem services</w:t>
        </w:r>
        <w:r w:rsidR="00C40619">
          <w:rPr>
            <w:noProof/>
            <w:webHidden/>
          </w:rPr>
          <w:tab/>
        </w:r>
        <w:r w:rsidR="00C40619">
          <w:rPr>
            <w:noProof/>
            <w:webHidden/>
          </w:rPr>
          <w:fldChar w:fldCharType="begin"/>
        </w:r>
        <w:r w:rsidR="00C40619">
          <w:rPr>
            <w:noProof/>
            <w:webHidden/>
          </w:rPr>
          <w:instrText xml:space="preserve"> PAGEREF _Toc517797148 \h </w:instrText>
        </w:r>
        <w:r w:rsidR="00C40619">
          <w:rPr>
            <w:noProof/>
            <w:webHidden/>
          </w:rPr>
        </w:r>
        <w:r w:rsidR="00C40619">
          <w:rPr>
            <w:noProof/>
            <w:webHidden/>
          </w:rPr>
          <w:fldChar w:fldCharType="separate"/>
        </w:r>
        <w:r w:rsidR="00402074">
          <w:rPr>
            <w:noProof/>
            <w:webHidden/>
          </w:rPr>
          <w:t>666</w:t>
        </w:r>
        <w:r w:rsidR="00C40619">
          <w:rPr>
            <w:noProof/>
            <w:webHidden/>
          </w:rPr>
          <w:fldChar w:fldCharType="end"/>
        </w:r>
      </w:hyperlink>
    </w:p>
    <w:p w14:paraId="1E286BCB" w14:textId="07640639"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49" w:history="1">
        <w:r w:rsidR="00C40619" w:rsidRPr="00BF54B8">
          <w:rPr>
            <w:rStyle w:val="Hyperlink"/>
            <w:noProof/>
            <w14:scene3d>
              <w14:camera w14:prst="orthographicFront"/>
              <w14:lightRig w14:rig="threePt" w14:dir="t">
                <w14:rot w14:lat="0" w14:lon="0" w14:rev="0"/>
              </w14:lightRig>
            </w14:scene3d>
          </w:rPr>
          <w:t>6.5.1</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Convention of Biological Diversity</w:t>
        </w:r>
        <w:r w:rsidR="00C40619">
          <w:rPr>
            <w:noProof/>
            <w:webHidden/>
          </w:rPr>
          <w:tab/>
        </w:r>
        <w:r w:rsidR="00C40619">
          <w:rPr>
            <w:noProof/>
            <w:webHidden/>
          </w:rPr>
          <w:fldChar w:fldCharType="begin"/>
        </w:r>
        <w:r w:rsidR="00C40619">
          <w:rPr>
            <w:noProof/>
            <w:webHidden/>
          </w:rPr>
          <w:instrText xml:space="preserve"> PAGEREF _Toc517797149 \h </w:instrText>
        </w:r>
        <w:r w:rsidR="00C40619">
          <w:rPr>
            <w:noProof/>
            <w:webHidden/>
          </w:rPr>
        </w:r>
        <w:r w:rsidR="00C40619">
          <w:rPr>
            <w:noProof/>
            <w:webHidden/>
          </w:rPr>
          <w:fldChar w:fldCharType="separate"/>
        </w:r>
        <w:r w:rsidR="00402074">
          <w:rPr>
            <w:noProof/>
            <w:webHidden/>
          </w:rPr>
          <w:t>668</w:t>
        </w:r>
        <w:r w:rsidR="00C40619">
          <w:rPr>
            <w:noProof/>
            <w:webHidden/>
          </w:rPr>
          <w:fldChar w:fldCharType="end"/>
        </w:r>
      </w:hyperlink>
    </w:p>
    <w:p w14:paraId="0FBC1E72" w14:textId="6771B2B3"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50" w:history="1">
        <w:r w:rsidR="00C40619" w:rsidRPr="00BF54B8">
          <w:rPr>
            <w:rStyle w:val="Hyperlink"/>
            <w:noProof/>
            <w14:scene3d>
              <w14:camera w14:prst="orthographicFront"/>
              <w14:lightRig w14:rig="threePt" w14:dir="t">
                <w14:rot w14:lat="0" w14:lon="0" w14:rev="0"/>
              </w14:lightRig>
            </w14:scene3d>
          </w:rPr>
          <w:t>6.5.2</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United Nations Framework Convention on Climate Change nationally determined contributions</w:t>
        </w:r>
        <w:r w:rsidR="00C40619">
          <w:rPr>
            <w:noProof/>
            <w:webHidden/>
          </w:rPr>
          <w:tab/>
        </w:r>
        <w:r w:rsidR="00C40619">
          <w:rPr>
            <w:noProof/>
            <w:webHidden/>
          </w:rPr>
          <w:fldChar w:fldCharType="begin"/>
        </w:r>
        <w:r w:rsidR="00C40619">
          <w:rPr>
            <w:noProof/>
            <w:webHidden/>
          </w:rPr>
          <w:instrText xml:space="preserve"> PAGEREF _Toc517797150 \h </w:instrText>
        </w:r>
        <w:r w:rsidR="00C40619">
          <w:rPr>
            <w:noProof/>
            <w:webHidden/>
          </w:rPr>
        </w:r>
        <w:r w:rsidR="00C40619">
          <w:rPr>
            <w:noProof/>
            <w:webHidden/>
          </w:rPr>
          <w:fldChar w:fldCharType="separate"/>
        </w:r>
        <w:r w:rsidR="00402074">
          <w:rPr>
            <w:noProof/>
            <w:webHidden/>
          </w:rPr>
          <w:t>670</w:t>
        </w:r>
        <w:r w:rsidR="00C40619">
          <w:rPr>
            <w:noProof/>
            <w:webHidden/>
          </w:rPr>
          <w:fldChar w:fldCharType="end"/>
        </w:r>
      </w:hyperlink>
    </w:p>
    <w:p w14:paraId="3EE8AAC5" w14:textId="3DCCF1E3"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51" w:history="1">
        <w:r w:rsidR="00C40619" w:rsidRPr="00BF54B8">
          <w:rPr>
            <w:rStyle w:val="Hyperlink"/>
            <w:noProof/>
            <w14:scene3d>
              <w14:camera w14:prst="orthographicFront"/>
              <w14:lightRig w14:rig="threePt" w14:dir="t">
                <w14:rot w14:lat="0" w14:lon="0" w14:rev="0"/>
              </w14:lightRig>
            </w14:scene3d>
          </w:rPr>
          <w:t>6.5.3</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Sustainable Development Goals</w:t>
        </w:r>
        <w:r w:rsidR="00C40619">
          <w:rPr>
            <w:noProof/>
            <w:webHidden/>
          </w:rPr>
          <w:tab/>
        </w:r>
        <w:r w:rsidR="00C40619">
          <w:rPr>
            <w:noProof/>
            <w:webHidden/>
          </w:rPr>
          <w:fldChar w:fldCharType="begin"/>
        </w:r>
        <w:r w:rsidR="00C40619">
          <w:rPr>
            <w:noProof/>
            <w:webHidden/>
          </w:rPr>
          <w:instrText xml:space="preserve"> PAGEREF _Toc517797151 \h </w:instrText>
        </w:r>
        <w:r w:rsidR="00C40619">
          <w:rPr>
            <w:noProof/>
            <w:webHidden/>
          </w:rPr>
        </w:r>
        <w:r w:rsidR="00C40619">
          <w:rPr>
            <w:noProof/>
            <w:webHidden/>
          </w:rPr>
          <w:fldChar w:fldCharType="separate"/>
        </w:r>
        <w:r w:rsidR="00402074">
          <w:rPr>
            <w:noProof/>
            <w:webHidden/>
          </w:rPr>
          <w:t>670</w:t>
        </w:r>
        <w:r w:rsidR="00C40619">
          <w:rPr>
            <w:noProof/>
            <w:webHidden/>
          </w:rPr>
          <w:fldChar w:fldCharType="end"/>
        </w:r>
      </w:hyperlink>
    </w:p>
    <w:p w14:paraId="7EEC199C" w14:textId="5C0774B4" w:rsidR="00C40619" w:rsidRDefault="00E84199">
      <w:pPr>
        <w:pStyle w:val="TOC2"/>
        <w:rPr>
          <w:rFonts w:asciiTheme="minorHAnsi" w:eastAsiaTheme="minorEastAsia" w:hAnsiTheme="minorHAnsi" w:cstheme="minorBidi"/>
          <w:b w:val="0"/>
          <w:bCs w:val="0"/>
          <w:noProof/>
          <w:szCs w:val="22"/>
          <w:lang w:val="es-CO" w:eastAsia="es-CO"/>
        </w:rPr>
      </w:pPr>
      <w:hyperlink w:anchor="_Toc517797152" w:history="1">
        <w:r w:rsidR="00C40619" w:rsidRPr="00BF54B8">
          <w:rPr>
            <w:rStyle w:val="Hyperlink"/>
            <w:noProof/>
            <w14:scene3d>
              <w14:camera w14:prst="orthographicFront"/>
              <w14:lightRig w14:rig="threePt" w14:dir="t">
                <w14:rot w14:lat="0" w14:lon="0" w14:rev="0"/>
              </w14:lightRig>
            </w14:scene3d>
          </w:rPr>
          <w:t>6.6</w:t>
        </w:r>
        <w:r w:rsidR="00C40619">
          <w:rPr>
            <w:rFonts w:asciiTheme="minorHAnsi" w:eastAsiaTheme="minorEastAsia" w:hAnsiTheme="minorHAnsi" w:cstheme="minorBidi"/>
            <w:b w:val="0"/>
            <w:bCs w:val="0"/>
            <w:noProof/>
            <w:szCs w:val="22"/>
            <w:lang w:val="es-CO" w:eastAsia="es-CO"/>
          </w:rPr>
          <w:tab/>
        </w:r>
        <w:r w:rsidR="00C40619" w:rsidRPr="00BF54B8">
          <w:rPr>
            <w:rStyle w:val="Hyperlink"/>
            <w:noProof/>
          </w:rPr>
          <w:t>Case studies highlighting cross-cutting issues in policy and governance</w:t>
        </w:r>
        <w:r w:rsidR="00C40619">
          <w:rPr>
            <w:noProof/>
            <w:webHidden/>
          </w:rPr>
          <w:tab/>
        </w:r>
        <w:r w:rsidR="00C40619">
          <w:rPr>
            <w:noProof/>
            <w:webHidden/>
          </w:rPr>
          <w:fldChar w:fldCharType="begin"/>
        </w:r>
        <w:r w:rsidR="00C40619">
          <w:rPr>
            <w:noProof/>
            <w:webHidden/>
          </w:rPr>
          <w:instrText xml:space="preserve"> PAGEREF _Toc517797152 \h </w:instrText>
        </w:r>
        <w:r w:rsidR="00C40619">
          <w:rPr>
            <w:noProof/>
            <w:webHidden/>
          </w:rPr>
        </w:r>
        <w:r w:rsidR="00C40619">
          <w:rPr>
            <w:noProof/>
            <w:webHidden/>
          </w:rPr>
          <w:fldChar w:fldCharType="separate"/>
        </w:r>
        <w:r w:rsidR="00402074">
          <w:rPr>
            <w:noProof/>
            <w:webHidden/>
          </w:rPr>
          <w:t>673</w:t>
        </w:r>
        <w:r w:rsidR="00C40619">
          <w:rPr>
            <w:noProof/>
            <w:webHidden/>
          </w:rPr>
          <w:fldChar w:fldCharType="end"/>
        </w:r>
      </w:hyperlink>
    </w:p>
    <w:p w14:paraId="429F71E7" w14:textId="4E77915B"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53" w:history="1">
        <w:r w:rsidR="00C40619" w:rsidRPr="00BF54B8">
          <w:rPr>
            <w:rStyle w:val="Hyperlink"/>
            <w:noProof/>
            <w14:scene3d>
              <w14:camera w14:prst="orthographicFront"/>
              <w14:lightRig w14:rig="threePt" w14:dir="t">
                <w14:rot w14:lat="0" w14:lon="0" w14:rev="0"/>
              </w14:lightRig>
            </w14:scene3d>
          </w:rPr>
          <w:t>6.6.1</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Case 1: Ecotourism</w:t>
        </w:r>
        <w:r w:rsidR="00C40619">
          <w:rPr>
            <w:noProof/>
            <w:webHidden/>
          </w:rPr>
          <w:tab/>
        </w:r>
        <w:r w:rsidR="00C40619">
          <w:rPr>
            <w:noProof/>
            <w:webHidden/>
          </w:rPr>
          <w:fldChar w:fldCharType="begin"/>
        </w:r>
        <w:r w:rsidR="00C40619">
          <w:rPr>
            <w:noProof/>
            <w:webHidden/>
          </w:rPr>
          <w:instrText xml:space="preserve"> PAGEREF _Toc517797153 \h </w:instrText>
        </w:r>
        <w:r w:rsidR="00C40619">
          <w:rPr>
            <w:noProof/>
            <w:webHidden/>
          </w:rPr>
        </w:r>
        <w:r w:rsidR="00C40619">
          <w:rPr>
            <w:noProof/>
            <w:webHidden/>
          </w:rPr>
          <w:fldChar w:fldCharType="separate"/>
        </w:r>
        <w:r w:rsidR="00402074">
          <w:rPr>
            <w:noProof/>
            <w:webHidden/>
          </w:rPr>
          <w:t>673</w:t>
        </w:r>
        <w:r w:rsidR="00C40619">
          <w:rPr>
            <w:noProof/>
            <w:webHidden/>
          </w:rPr>
          <w:fldChar w:fldCharType="end"/>
        </w:r>
      </w:hyperlink>
    </w:p>
    <w:p w14:paraId="79E18B0C" w14:textId="5F923B5A"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54" w:history="1">
        <w:r w:rsidR="00C40619" w:rsidRPr="00BF54B8">
          <w:rPr>
            <w:rStyle w:val="Hyperlink"/>
            <w:noProof/>
            <w14:scene3d>
              <w14:camera w14:prst="orthographicFront"/>
              <w14:lightRig w14:rig="threePt" w14:dir="t">
                <w14:rot w14:lat="0" w14:lon="0" w14:rev="0"/>
              </w14:lightRig>
            </w14:scene3d>
          </w:rPr>
          <w:t>6.6.2</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Case 2: Genetically modified crops</w:t>
        </w:r>
        <w:r w:rsidR="00C40619">
          <w:rPr>
            <w:noProof/>
            <w:webHidden/>
          </w:rPr>
          <w:tab/>
        </w:r>
        <w:r w:rsidR="00C40619">
          <w:rPr>
            <w:noProof/>
            <w:webHidden/>
          </w:rPr>
          <w:fldChar w:fldCharType="begin"/>
        </w:r>
        <w:r w:rsidR="00C40619">
          <w:rPr>
            <w:noProof/>
            <w:webHidden/>
          </w:rPr>
          <w:instrText xml:space="preserve"> PAGEREF _Toc517797154 \h </w:instrText>
        </w:r>
        <w:r w:rsidR="00C40619">
          <w:rPr>
            <w:noProof/>
            <w:webHidden/>
          </w:rPr>
        </w:r>
        <w:r w:rsidR="00C40619">
          <w:rPr>
            <w:noProof/>
            <w:webHidden/>
          </w:rPr>
          <w:fldChar w:fldCharType="separate"/>
        </w:r>
        <w:r w:rsidR="00402074">
          <w:rPr>
            <w:noProof/>
            <w:webHidden/>
          </w:rPr>
          <w:t>675</w:t>
        </w:r>
        <w:r w:rsidR="00C40619">
          <w:rPr>
            <w:noProof/>
            <w:webHidden/>
          </w:rPr>
          <w:fldChar w:fldCharType="end"/>
        </w:r>
      </w:hyperlink>
    </w:p>
    <w:p w14:paraId="5CA04D49" w14:textId="0038A413"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55" w:history="1">
        <w:r w:rsidR="00C40619" w:rsidRPr="00BF54B8">
          <w:rPr>
            <w:rStyle w:val="Hyperlink"/>
            <w:noProof/>
            <w14:scene3d>
              <w14:camera w14:prst="orthographicFront"/>
              <w14:lightRig w14:rig="threePt" w14:dir="t">
                <w14:rot w14:lat="0" w14:lon="0" w14:rev="0"/>
              </w14:lightRig>
            </w14:scene3d>
          </w:rPr>
          <w:t>6.6.3</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Case 3: Ecosystem-based adaptation to climate change and to disaster risk reduction</w:t>
        </w:r>
        <w:r w:rsidR="00C40619">
          <w:rPr>
            <w:noProof/>
            <w:webHidden/>
          </w:rPr>
          <w:tab/>
        </w:r>
        <w:r w:rsidR="00C40619">
          <w:rPr>
            <w:noProof/>
            <w:webHidden/>
          </w:rPr>
          <w:fldChar w:fldCharType="begin"/>
        </w:r>
        <w:r w:rsidR="00C40619">
          <w:rPr>
            <w:noProof/>
            <w:webHidden/>
          </w:rPr>
          <w:instrText xml:space="preserve"> PAGEREF _Toc517797155 \h </w:instrText>
        </w:r>
        <w:r w:rsidR="00C40619">
          <w:rPr>
            <w:noProof/>
            <w:webHidden/>
          </w:rPr>
        </w:r>
        <w:r w:rsidR="00C40619">
          <w:rPr>
            <w:noProof/>
            <w:webHidden/>
          </w:rPr>
          <w:fldChar w:fldCharType="separate"/>
        </w:r>
        <w:r w:rsidR="00402074">
          <w:rPr>
            <w:noProof/>
            <w:webHidden/>
          </w:rPr>
          <w:t>675</w:t>
        </w:r>
        <w:r w:rsidR="00C40619">
          <w:rPr>
            <w:noProof/>
            <w:webHidden/>
          </w:rPr>
          <w:fldChar w:fldCharType="end"/>
        </w:r>
      </w:hyperlink>
    </w:p>
    <w:p w14:paraId="0CC1C22A" w14:textId="670490F0"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56" w:history="1">
        <w:r w:rsidR="00C40619" w:rsidRPr="00BF54B8">
          <w:rPr>
            <w:rStyle w:val="Hyperlink"/>
            <w:noProof/>
            <w14:scene3d>
              <w14:camera w14:prst="orthographicFront"/>
              <w14:lightRig w14:rig="threePt" w14:dir="t">
                <w14:rot w14:lat="0" w14:lon="0" w14:rev="0"/>
              </w14:lightRig>
            </w14:scene3d>
          </w:rPr>
          <w:t>6.6.4</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Case 4: Science-policy interface</w:t>
        </w:r>
        <w:r w:rsidR="00C40619">
          <w:rPr>
            <w:noProof/>
            <w:webHidden/>
          </w:rPr>
          <w:tab/>
        </w:r>
        <w:r w:rsidR="00C40619">
          <w:rPr>
            <w:noProof/>
            <w:webHidden/>
          </w:rPr>
          <w:fldChar w:fldCharType="begin"/>
        </w:r>
        <w:r w:rsidR="00C40619">
          <w:rPr>
            <w:noProof/>
            <w:webHidden/>
          </w:rPr>
          <w:instrText xml:space="preserve"> PAGEREF _Toc517797156 \h </w:instrText>
        </w:r>
        <w:r w:rsidR="00C40619">
          <w:rPr>
            <w:noProof/>
            <w:webHidden/>
          </w:rPr>
        </w:r>
        <w:r w:rsidR="00C40619">
          <w:rPr>
            <w:noProof/>
            <w:webHidden/>
          </w:rPr>
          <w:fldChar w:fldCharType="separate"/>
        </w:r>
        <w:r w:rsidR="00402074">
          <w:rPr>
            <w:noProof/>
            <w:webHidden/>
          </w:rPr>
          <w:t>677</w:t>
        </w:r>
        <w:r w:rsidR="00C40619">
          <w:rPr>
            <w:noProof/>
            <w:webHidden/>
          </w:rPr>
          <w:fldChar w:fldCharType="end"/>
        </w:r>
      </w:hyperlink>
    </w:p>
    <w:p w14:paraId="0042742B" w14:textId="62A94104" w:rsidR="00C40619" w:rsidRDefault="00E84199">
      <w:pPr>
        <w:pStyle w:val="TOC2"/>
        <w:rPr>
          <w:rFonts w:asciiTheme="minorHAnsi" w:eastAsiaTheme="minorEastAsia" w:hAnsiTheme="minorHAnsi" w:cstheme="minorBidi"/>
          <w:b w:val="0"/>
          <w:bCs w:val="0"/>
          <w:noProof/>
          <w:szCs w:val="22"/>
          <w:lang w:val="es-CO" w:eastAsia="es-CO"/>
        </w:rPr>
      </w:pPr>
      <w:hyperlink w:anchor="_Toc517797157" w:history="1">
        <w:r w:rsidR="00C40619" w:rsidRPr="00BF54B8">
          <w:rPr>
            <w:rStyle w:val="Hyperlink"/>
            <w:noProof/>
            <w14:scene3d>
              <w14:camera w14:prst="orthographicFront"/>
              <w14:lightRig w14:rig="threePt" w14:dir="t">
                <w14:rot w14:lat="0" w14:lon="0" w14:rev="0"/>
              </w14:lightRig>
            </w14:scene3d>
          </w:rPr>
          <w:t>6.7</w:t>
        </w:r>
        <w:r w:rsidR="00C40619">
          <w:rPr>
            <w:rFonts w:asciiTheme="minorHAnsi" w:eastAsiaTheme="minorEastAsia" w:hAnsiTheme="minorHAnsi" w:cstheme="minorBidi"/>
            <w:b w:val="0"/>
            <w:bCs w:val="0"/>
            <w:noProof/>
            <w:szCs w:val="22"/>
            <w:lang w:val="es-CO" w:eastAsia="es-CO"/>
          </w:rPr>
          <w:tab/>
        </w:r>
        <w:r w:rsidR="00C40619" w:rsidRPr="00BF54B8">
          <w:rPr>
            <w:rStyle w:val="Hyperlink"/>
            <w:noProof/>
          </w:rPr>
          <w:t>Urgent issues and emerging solutions</w:t>
        </w:r>
        <w:r w:rsidR="00C40619">
          <w:rPr>
            <w:noProof/>
            <w:webHidden/>
          </w:rPr>
          <w:tab/>
        </w:r>
        <w:r w:rsidR="00C40619">
          <w:rPr>
            <w:noProof/>
            <w:webHidden/>
          </w:rPr>
          <w:fldChar w:fldCharType="begin"/>
        </w:r>
        <w:r w:rsidR="00C40619">
          <w:rPr>
            <w:noProof/>
            <w:webHidden/>
          </w:rPr>
          <w:instrText xml:space="preserve"> PAGEREF _Toc517797157 \h </w:instrText>
        </w:r>
        <w:r w:rsidR="00C40619">
          <w:rPr>
            <w:noProof/>
            <w:webHidden/>
          </w:rPr>
        </w:r>
        <w:r w:rsidR="00C40619">
          <w:rPr>
            <w:noProof/>
            <w:webHidden/>
          </w:rPr>
          <w:fldChar w:fldCharType="separate"/>
        </w:r>
        <w:r w:rsidR="00402074">
          <w:rPr>
            <w:noProof/>
            <w:webHidden/>
          </w:rPr>
          <w:t>678</w:t>
        </w:r>
        <w:r w:rsidR="00C40619">
          <w:rPr>
            <w:noProof/>
            <w:webHidden/>
          </w:rPr>
          <w:fldChar w:fldCharType="end"/>
        </w:r>
      </w:hyperlink>
    </w:p>
    <w:p w14:paraId="106F3DDC" w14:textId="4B0B6060"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58" w:history="1">
        <w:r w:rsidR="00C40619" w:rsidRPr="00BF54B8">
          <w:rPr>
            <w:rStyle w:val="Hyperlink"/>
            <w:noProof/>
            <w14:scene3d>
              <w14:camera w14:prst="orthographicFront"/>
              <w14:lightRig w14:rig="threePt" w14:dir="t">
                <w14:rot w14:lat="0" w14:lon="0" w14:rev="0"/>
              </w14:lightRig>
            </w14:scene3d>
          </w:rPr>
          <w:t>6.7.1</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Future scenarios</w:t>
        </w:r>
        <w:r w:rsidR="00C40619">
          <w:rPr>
            <w:noProof/>
            <w:webHidden/>
          </w:rPr>
          <w:tab/>
        </w:r>
        <w:r w:rsidR="00C40619">
          <w:rPr>
            <w:noProof/>
            <w:webHidden/>
          </w:rPr>
          <w:fldChar w:fldCharType="begin"/>
        </w:r>
        <w:r w:rsidR="00C40619">
          <w:rPr>
            <w:noProof/>
            <w:webHidden/>
          </w:rPr>
          <w:instrText xml:space="preserve"> PAGEREF _Toc517797158 \h </w:instrText>
        </w:r>
        <w:r w:rsidR="00C40619">
          <w:rPr>
            <w:noProof/>
            <w:webHidden/>
          </w:rPr>
        </w:r>
        <w:r w:rsidR="00C40619">
          <w:rPr>
            <w:noProof/>
            <w:webHidden/>
          </w:rPr>
          <w:fldChar w:fldCharType="separate"/>
        </w:r>
        <w:r w:rsidR="00402074">
          <w:rPr>
            <w:noProof/>
            <w:webHidden/>
          </w:rPr>
          <w:t>678</w:t>
        </w:r>
        <w:r w:rsidR="00C40619">
          <w:rPr>
            <w:noProof/>
            <w:webHidden/>
          </w:rPr>
          <w:fldChar w:fldCharType="end"/>
        </w:r>
      </w:hyperlink>
    </w:p>
    <w:p w14:paraId="16A4E928" w14:textId="2E4FA229"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59" w:history="1">
        <w:r w:rsidR="00C40619" w:rsidRPr="00BF54B8">
          <w:rPr>
            <w:rStyle w:val="Hyperlink"/>
            <w:noProof/>
            <w14:scene3d>
              <w14:camera w14:prst="orthographicFront"/>
              <w14:lightRig w14:rig="threePt" w14:dir="t">
                <w14:rot w14:lat="0" w14:lon="0" w14:rev="0"/>
              </w14:lightRig>
            </w14:scene3d>
          </w:rPr>
          <w:t>6.7.2</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Urgent issues</w:t>
        </w:r>
        <w:r w:rsidR="00C40619">
          <w:rPr>
            <w:noProof/>
            <w:webHidden/>
          </w:rPr>
          <w:tab/>
        </w:r>
        <w:r w:rsidR="00C40619">
          <w:rPr>
            <w:noProof/>
            <w:webHidden/>
          </w:rPr>
          <w:fldChar w:fldCharType="begin"/>
        </w:r>
        <w:r w:rsidR="00C40619">
          <w:rPr>
            <w:noProof/>
            <w:webHidden/>
          </w:rPr>
          <w:instrText xml:space="preserve"> PAGEREF _Toc517797159 \h </w:instrText>
        </w:r>
        <w:r w:rsidR="00C40619">
          <w:rPr>
            <w:noProof/>
            <w:webHidden/>
          </w:rPr>
        </w:r>
        <w:r w:rsidR="00C40619">
          <w:rPr>
            <w:noProof/>
            <w:webHidden/>
          </w:rPr>
          <w:fldChar w:fldCharType="separate"/>
        </w:r>
        <w:r w:rsidR="00402074">
          <w:rPr>
            <w:noProof/>
            <w:webHidden/>
          </w:rPr>
          <w:t>679</w:t>
        </w:r>
        <w:r w:rsidR="00C40619">
          <w:rPr>
            <w:noProof/>
            <w:webHidden/>
          </w:rPr>
          <w:fldChar w:fldCharType="end"/>
        </w:r>
      </w:hyperlink>
    </w:p>
    <w:p w14:paraId="4F916945" w14:textId="18D0CB43" w:rsidR="00C40619" w:rsidRDefault="00E84199">
      <w:pPr>
        <w:pStyle w:val="TOC3"/>
        <w:tabs>
          <w:tab w:val="left" w:pos="960"/>
          <w:tab w:val="right" w:leader="dot" w:pos="9487"/>
        </w:tabs>
        <w:rPr>
          <w:rFonts w:asciiTheme="minorHAnsi" w:eastAsiaTheme="minorEastAsia" w:hAnsiTheme="minorHAnsi" w:cstheme="minorBidi"/>
          <w:noProof/>
          <w:sz w:val="22"/>
          <w:szCs w:val="22"/>
          <w:lang w:val="es-CO" w:eastAsia="es-CO"/>
        </w:rPr>
      </w:pPr>
      <w:hyperlink w:anchor="_Toc517797160" w:history="1">
        <w:r w:rsidR="00C40619" w:rsidRPr="00BF54B8">
          <w:rPr>
            <w:rStyle w:val="Hyperlink"/>
            <w:noProof/>
            <w14:scene3d>
              <w14:camera w14:prst="orthographicFront"/>
              <w14:lightRig w14:rig="threePt" w14:dir="t">
                <w14:rot w14:lat="0" w14:lon="0" w14:rev="0"/>
              </w14:lightRig>
            </w14:scene3d>
          </w:rPr>
          <w:t>6.7.3</w:t>
        </w:r>
        <w:r w:rsidR="00C40619">
          <w:rPr>
            <w:rFonts w:asciiTheme="minorHAnsi" w:eastAsiaTheme="minorEastAsia" w:hAnsiTheme="minorHAnsi" w:cstheme="minorBidi"/>
            <w:noProof/>
            <w:sz w:val="22"/>
            <w:szCs w:val="22"/>
            <w:lang w:val="es-CO" w:eastAsia="es-CO"/>
          </w:rPr>
          <w:tab/>
        </w:r>
        <w:r w:rsidR="00C40619" w:rsidRPr="00BF54B8">
          <w:rPr>
            <w:rStyle w:val="Hyperlink"/>
            <w:noProof/>
          </w:rPr>
          <w:t>Emerging solutions</w:t>
        </w:r>
        <w:r w:rsidR="00C40619">
          <w:rPr>
            <w:noProof/>
            <w:webHidden/>
          </w:rPr>
          <w:tab/>
        </w:r>
        <w:r w:rsidR="00C40619">
          <w:rPr>
            <w:noProof/>
            <w:webHidden/>
          </w:rPr>
          <w:fldChar w:fldCharType="begin"/>
        </w:r>
        <w:r w:rsidR="00C40619">
          <w:rPr>
            <w:noProof/>
            <w:webHidden/>
          </w:rPr>
          <w:instrText xml:space="preserve"> PAGEREF _Toc517797160 \h </w:instrText>
        </w:r>
        <w:r w:rsidR="00C40619">
          <w:rPr>
            <w:noProof/>
            <w:webHidden/>
          </w:rPr>
        </w:r>
        <w:r w:rsidR="00C40619">
          <w:rPr>
            <w:noProof/>
            <w:webHidden/>
          </w:rPr>
          <w:fldChar w:fldCharType="separate"/>
        </w:r>
        <w:r w:rsidR="00402074">
          <w:rPr>
            <w:noProof/>
            <w:webHidden/>
          </w:rPr>
          <w:t>680</w:t>
        </w:r>
        <w:r w:rsidR="00C40619">
          <w:rPr>
            <w:noProof/>
            <w:webHidden/>
          </w:rPr>
          <w:fldChar w:fldCharType="end"/>
        </w:r>
      </w:hyperlink>
    </w:p>
    <w:p w14:paraId="188061E1" w14:textId="79B14E9B" w:rsidR="00C40619" w:rsidRDefault="00E84199">
      <w:pPr>
        <w:pStyle w:val="TOC2"/>
        <w:rPr>
          <w:rFonts w:asciiTheme="minorHAnsi" w:eastAsiaTheme="minorEastAsia" w:hAnsiTheme="minorHAnsi" w:cstheme="minorBidi"/>
          <w:b w:val="0"/>
          <w:bCs w:val="0"/>
          <w:noProof/>
          <w:szCs w:val="22"/>
          <w:lang w:val="es-CO" w:eastAsia="es-CO"/>
        </w:rPr>
      </w:pPr>
      <w:hyperlink w:anchor="_Toc517797161" w:history="1">
        <w:r w:rsidR="00C40619" w:rsidRPr="00BF54B8">
          <w:rPr>
            <w:rStyle w:val="Hyperlink"/>
            <w:noProof/>
            <w14:scene3d>
              <w14:camera w14:prst="orthographicFront"/>
              <w14:lightRig w14:rig="threePt" w14:dir="t">
                <w14:rot w14:lat="0" w14:lon="0" w14:rev="0"/>
              </w14:lightRig>
            </w14:scene3d>
          </w:rPr>
          <w:t>6.8</w:t>
        </w:r>
        <w:r w:rsidR="00C40619">
          <w:rPr>
            <w:rFonts w:asciiTheme="minorHAnsi" w:eastAsiaTheme="minorEastAsia" w:hAnsiTheme="minorHAnsi" w:cstheme="minorBidi"/>
            <w:b w:val="0"/>
            <w:bCs w:val="0"/>
            <w:noProof/>
            <w:szCs w:val="22"/>
            <w:lang w:val="es-CO" w:eastAsia="es-CO"/>
          </w:rPr>
          <w:tab/>
        </w:r>
        <w:r w:rsidR="00C40619" w:rsidRPr="00BF54B8">
          <w:rPr>
            <w:rStyle w:val="Hyperlink"/>
            <w:noProof/>
          </w:rPr>
          <w:t>Conclusions</w:t>
        </w:r>
        <w:r w:rsidR="00C40619">
          <w:rPr>
            <w:noProof/>
            <w:webHidden/>
          </w:rPr>
          <w:tab/>
        </w:r>
        <w:r w:rsidR="00C40619">
          <w:rPr>
            <w:noProof/>
            <w:webHidden/>
          </w:rPr>
          <w:fldChar w:fldCharType="begin"/>
        </w:r>
        <w:r w:rsidR="00C40619">
          <w:rPr>
            <w:noProof/>
            <w:webHidden/>
          </w:rPr>
          <w:instrText xml:space="preserve"> PAGEREF _Toc517797161 \h </w:instrText>
        </w:r>
        <w:r w:rsidR="00C40619">
          <w:rPr>
            <w:noProof/>
            <w:webHidden/>
          </w:rPr>
        </w:r>
        <w:r w:rsidR="00C40619">
          <w:rPr>
            <w:noProof/>
            <w:webHidden/>
          </w:rPr>
          <w:fldChar w:fldCharType="separate"/>
        </w:r>
        <w:r w:rsidR="00402074">
          <w:rPr>
            <w:noProof/>
            <w:webHidden/>
          </w:rPr>
          <w:t>681</w:t>
        </w:r>
        <w:r w:rsidR="00C40619">
          <w:rPr>
            <w:noProof/>
            <w:webHidden/>
          </w:rPr>
          <w:fldChar w:fldCharType="end"/>
        </w:r>
      </w:hyperlink>
    </w:p>
    <w:p w14:paraId="1037AA51" w14:textId="536FE43F" w:rsidR="00C40619" w:rsidRDefault="00E84199">
      <w:pPr>
        <w:pStyle w:val="TOC2"/>
        <w:rPr>
          <w:rFonts w:asciiTheme="minorHAnsi" w:eastAsiaTheme="minorEastAsia" w:hAnsiTheme="minorHAnsi" w:cstheme="minorBidi"/>
          <w:b w:val="0"/>
          <w:bCs w:val="0"/>
          <w:noProof/>
          <w:szCs w:val="22"/>
          <w:lang w:val="es-CO" w:eastAsia="es-CO"/>
        </w:rPr>
      </w:pPr>
      <w:hyperlink w:anchor="_Toc517797162" w:history="1">
        <w:r w:rsidR="00C40619" w:rsidRPr="00BF54B8">
          <w:rPr>
            <w:rStyle w:val="Hyperlink"/>
            <w:noProof/>
            <w14:scene3d>
              <w14:camera w14:prst="orthographicFront"/>
              <w14:lightRig w14:rig="threePt" w14:dir="t">
                <w14:rot w14:lat="0" w14:lon="0" w14:rev="0"/>
              </w14:lightRig>
            </w14:scene3d>
          </w:rPr>
          <w:t>6.9</w:t>
        </w:r>
        <w:r w:rsidR="00C40619">
          <w:rPr>
            <w:rFonts w:asciiTheme="minorHAnsi" w:eastAsiaTheme="minorEastAsia" w:hAnsiTheme="minorHAnsi" w:cstheme="minorBidi"/>
            <w:b w:val="0"/>
            <w:bCs w:val="0"/>
            <w:noProof/>
            <w:szCs w:val="22"/>
            <w:lang w:val="es-CO" w:eastAsia="es-CO"/>
          </w:rPr>
          <w:tab/>
        </w:r>
        <w:r w:rsidR="00C40619" w:rsidRPr="00BF54B8">
          <w:rPr>
            <w:rStyle w:val="Hyperlink"/>
            <w:noProof/>
          </w:rPr>
          <w:t>References</w:t>
        </w:r>
        <w:r w:rsidR="00C40619">
          <w:rPr>
            <w:noProof/>
            <w:webHidden/>
          </w:rPr>
          <w:tab/>
        </w:r>
        <w:r w:rsidR="00C40619">
          <w:rPr>
            <w:noProof/>
            <w:webHidden/>
          </w:rPr>
          <w:fldChar w:fldCharType="begin"/>
        </w:r>
        <w:r w:rsidR="00C40619">
          <w:rPr>
            <w:noProof/>
            <w:webHidden/>
          </w:rPr>
          <w:instrText xml:space="preserve"> PAGEREF _Toc517797162 \h </w:instrText>
        </w:r>
        <w:r w:rsidR="00C40619">
          <w:rPr>
            <w:noProof/>
            <w:webHidden/>
          </w:rPr>
        </w:r>
        <w:r w:rsidR="00C40619">
          <w:rPr>
            <w:noProof/>
            <w:webHidden/>
          </w:rPr>
          <w:fldChar w:fldCharType="separate"/>
        </w:r>
        <w:r w:rsidR="00402074">
          <w:rPr>
            <w:noProof/>
            <w:webHidden/>
          </w:rPr>
          <w:t>685</w:t>
        </w:r>
        <w:r w:rsidR="00C40619">
          <w:rPr>
            <w:noProof/>
            <w:webHidden/>
          </w:rPr>
          <w:fldChar w:fldCharType="end"/>
        </w:r>
      </w:hyperlink>
    </w:p>
    <w:p w14:paraId="6DAC16F2" w14:textId="3620B340" w:rsidR="00AB1280" w:rsidRPr="008608AA" w:rsidRDefault="00AB1280" w:rsidP="00735D6C">
      <w:pPr>
        <w:spacing w:after="100"/>
        <w:rPr>
          <w:rFonts w:eastAsia="Calibri" w:cs="Calibri"/>
          <w:b/>
          <w:szCs w:val="26"/>
        </w:rPr>
      </w:pPr>
      <w:r w:rsidRPr="008608AA">
        <w:rPr>
          <w:rFonts w:eastAsia="Calibri" w:cs="Calibri"/>
          <w:b/>
          <w:szCs w:val="26"/>
        </w:rPr>
        <w:fldChar w:fldCharType="end"/>
      </w:r>
    </w:p>
    <w:p w14:paraId="79B3C567" w14:textId="21CFE800" w:rsidR="00AB1280" w:rsidRPr="008608AA" w:rsidRDefault="00AB1280" w:rsidP="00735D6C">
      <w:pPr>
        <w:spacing w:after="100"/>
        <w:rPr>
          <w:rFonts w:eastAsia="Calibri" w:cs="Calibri"/>
          <w:b/>
          <w:szCs w:val="26"/>
        </w:rPr>
      </w:pPr>
      <w:r w:rsidRPr="008608AA">
        <w:rPr>
          <w:rFonts w:eastAsia="Calibri" w:cs="Calibri"/>
          <w:b/>
          <w:szCs w:val="26"/>
        </w:rPr>
        <w:br w:type="page"/>
      </w:r>
    </w:p>
    <w:p w14:paraId="4D353134" w14:textId="59BC313D" w:rsidR="009E18F7" w:rsidRPr="008608AA" w:rsidRDefault="009E18F7" w:rsidP="00FE4CC2">
      <w:pPr>
        <w:pStyle w:val="Heading1"/>
      </w:pPr>
      <w:bookmarkStart w:id="2270" w:name="_Toc503863428"/>
      <w:bookmarkStart w:id="2271" w:name="_Toc503863656"/>
      <w:bookmarkStart w:id="2272" w:name="_Toc517393428"/>
      <w:bookmarkStart w:id="2273" w:name="_Toc517396060"/>
      <w:bookmarkStart w:id="2274" w:name="_Toc517717339"/>
      <w:bookmarkStart w:id="2275" w:name="_Toc517719169"/>
      <w:bookmarkStart w:id="2276" w:name="_Toc517719960"/>
      <w:bookmarkStart w:id="2277" w:name="_Toc517726343"/>
      <w:bookmarkStart w:id="2278" w:name="_Toc517795125"/>
      <w:bookmarkStart w:id="2279" w:name="_Toc517796812"/>
      <w:bookmarkStart w:id="2280" w:name="_Toc517796856"/>
      <w:bookmarkStart w:id="2281" w:name="_Toc517797126"/>
      <w:r w:rsidRPr="00FE4CC2">
        <w:t>Executive</w:t>
      </w:r>
      <w:r w:rsidRPr="008608AA">
        <w:t xml:space="preserve"> summary</w:t>
      </w:r>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p>
    <w:p w14:paraId="0CAD8750" w14:textId="75A126A0" w:rsidR="009E18F7" w:rsidRPr="008608AA" w:rsidRDefault="009E18F7" w:rsidP="00B33BD5">
      <w:pPr>
        <w:pStyle w:val="ListParagraph"/>
        <w:numPr>
          <w:ilvl w:val="0"/>
          <w:numId w:val="1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rPr>
          <w:sz w:val="24"/>
          <w:szCs w:val="24"/>
        </w:rPr>
      </w:pPr>
      <w:r w:rsidRPr="008608AA">
        <w:rPr>
          <w:b/>
          <w:sz w:val="24"/>
          <w:szCs w:val="24"/>
        </w:rPr>
        <w:t>For most countries of the region, environment is mostly dealt with as a separate sector in national planning, and has hitherto not been effectively mainstreamed across development sectors (</w:t>
      </w:r>
      <w:r w:rsidRPr="008608AA">
        <w:rPr>
          <w:b/>
          <w:i/>
          <w:sz w:val="24"/>
          <w:szCs w:val="24"/>
        </w:rPr>
        <w:t>well established</w:t>
      </w:r>
      <w:r w:rsidRPr="008608AA">
        <w:rPr>
          <w:b/>
          <w:sz w:val="24"/>
          <w:szCs w:val="24"/>
        </w:rPr>
        <w:t>).</w:t>
      </w:r>
      <w:r w:rsidRPr="008608AA">
        <w:rPr>
          <w:sz w:val="24"/>
          <w:szCs w:val="24"/>
        </w:rPr>
        <w:t xml:space="preserve"> Moreover, the development pressures outpace or outweigh the development and implementation of policies that can attend to the growing drivers affecting biodiversity and ecosystem services. This is especially true for the developing countries in the Americas region; and accounts for many of the negative trends in biodiversity and ecosystem services that are evident across the region </w:t>
      </w:r>
      <w:r w:rsidRPr="008608AA">
        <w:rPr>
          <w:i/>
          <w:sz w:val="24"/>
          <w:szCs w:val="24"/>
        </w:rPr>
        <w:t>(well established)</w:t>
      </w:r>
      <w:r w:rsidRPr="008608AA">
        <w:rPr>
          <w:sz w:val="24"/>
          <w:szCs w:val="24"/>
        </w:rPr>
        <w:t xml:space="preserve">. For example, in Latin America and the Caribbean, natural resource use policies often come into place only when fundamental shifts in land-use are already underway such that interventions tend to become more costly and have limited influence </w:t>
      </w:r>
      <w:r w:rsidRPr="008608AA">
        <w:rPr>
          <w:i/>
          <w:sz w:val="24"/>
          <w:szCs w:val="24"/>
        </w:rPr>
        <w:t>(established but incomplete)</w:t>
      </w:r>
      <w:r w:rsidR="009C3E20" w:rsidRPr="008608AA">
        <w:rPr>
          <w:sz w:val="24"/>
          <w:szCs w:val="24"/>
        </w:rPr>
        <w:t>. {6.1.1, 6.2, 6.3.1, 6.3.4,</w:t>
      </w:r>
      <w:r w:rsidRPr="008608AA">
        <w:rPr>
          <w:sz w:val="24"/>
          <w:szCs w:val="24"/>
        </w:rPr>
        <w:t xml:space="preserve"> 6.4}</w:t>
      </w:r>
    </w:p>
    <w:p w14:paraId="782CBF5B" w14:textId="784CD3F6" w:rsidR="009E18F7" w:rsidRPr="008608AA" w:rsidRDefault="009E18F7" w:rsidP="00B33BD5">
      <w:pPr>
        <w:pStyle w:val="ListParagraph"/>
        <w:numPr>
          <w:ilvl w:val="0"/>
          <w:numId w:val="1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rPr>
          <w:sz w:val="24"/>
          <w:szCs w:val="24"/>
        </w:rPr>
      </w:pPr>
      <w:r w:rsidRPr="008608AA">
        <w:rPr>
          <w:b/>
          <w:sz w:val="24"/>
          <w:szCs w:val="24"/>
        </w:rPr>
        <w:t>Despite reported reductions in the rate of loss in specific biomes in the Americas, the net loss that is currently evident in almost every aspect of the region’s natural ecosystems is expected to continue through to 2050, driven largely by unsustainable agricultural practices and climate change (</w:t>
      </w:r>
      <w:r w:rsidRPr="008608AA">
        <w:rPr>
          <w:b/>
          <w:i/>
          <w:sz w:val="24"/>
          <w:szCs w:val="24"/>
        </w:rPr>
        <w:t>established but incomplete</w:t>
      </w:r>
      <w:r w:rsidRPr="008608AA">
        <w:rPr>
          <w:b/>
          <w:sz w:val="24"/>
          <w:szCs w:val="24"/>
        </w:rPr>
        <w:t>)</w:t>
      </w:r>
      <w:r w:rsidRPr="008608AA">
        <w:rPr>
          <w:sz w:val="24"/>
          <w:szCs w:val="24"/>
        </w:rPr>
        <w:t xml:space="preserve">. This will result in reductions in the adaptive capacity of the societies throughout the region, especially </w:t>
      </w:r>
      <w:r w:rsidRPr="008608AA">
        <w:rPr>
          <w:sz w:val="24"/>
          <w:szCs w:val="24"/>
          <w:lang w:val="en-US"/>
        </w:rPr>
        <w:t>economically vulnerable</w:t>
      </w:r>
      <w:r w:rsidRPr="008608AA">
        <w:rPr>
          <w:sz w:val="24"/>
          <w:szCs w:val="24"/>
        </w:rPr>
        <w:t xml:space="preserve"> communities in Latin America and the Caribbean (</w:t>
      </w:r>
      <w:r w:rsidRPr="008608AA">
        <w:rPr>
          <w:i/>
          <w:sz w:val="24"/>
          <w:szCs w:val="24"/>
        </w:rPr>
        <w:t>established but incomplete</w:t>
      </w:r>
      <w:r w:rsidRPr="008608AA">
        <w:rPr>
          <w:sz w:val="24"/>
          <w:szCs w:val="24"/>
        </w:rPr>
        <w:t xml:space="preserve">). </w:t>
      </w:r>
      <w:r w:rsidR="008568BE" w:rsidRPr="008608AA">
        <w:rPr>
          <w:sz w:val="24"/>
          <w:szCs w:val="24"/>
        </w:rPr>
        <w:t>{</w:t>
      </w:r>
      <w:r w:rsidR="009C3E20" w:rsidRPr="008608AA">
        <w:rPr>
          <w:sz w:val="24"/>
          <w:szCs w:val="24"/>
        </w:rPr>
        <w:t>6.1.1,</w:t>
      </w:r>
      <w:r w:rsidRPr="008608AA">
        <w:rPr>
          <w:sz w:val="24"/>
          <w:szCs w:val="24"/>
        </w:rPr>
        <w:t xml:space="preserve"> </w:t>
      </w:r>
      <w:r w:rsidR="009C3E20" w:rsidRPr="008608AA">
        <w:rPr>
          <w:sz w:val="24"/>
          <w:szCs w:val="24"/>
        </w:rPr>
        <w:t>6.4,</w:t>
      </w:r>
      <w:r w:rsidR="008568BE" w:rsidRPr="008608AA">
        <w:rPr>
          <w:sz w:val="24"/>
          <w:szCs w:val="24"/>
        </w:rPr>
        <w:t xml:space="preserve"> 6.6.4}</w:t>
      </w:r>
    </w:p>
    <w:p w14:paraId="67B60835" w14:textId="09A37A6B" w:rsidR="009E18F7" w:rsidRPr="008608AA" w:rsidRDefault="009E18F7" w:rsidP="00B33BD5">
      <w:pPr>
        <w:pStyle w:val="ListParagraph"/>
        <w:numPr>
          <w:ilvl w:val="0"/>
          <w:numId w:val="1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rPr>
          <w:sz w:val="24"/>
          <w:szCs w:val="24"/>
        </w:rPr>
      </w:pPr>
      <w:r w:rsidRPr="008608AA">
        <w:rPr>
          <w:b/>
          <w:bCs/>
          <w:sz w:val="24"/>
          <w:szCs w:val="24"/>
        </w:rPr>
        <w:t>There are t</w:t>
      </w:r>
      <w:r w:rsidRPr="008608AA">
        <w:rPr>
          <w:b/>
          <w:sz w:val="24"/>
          <w:szCs w:val="24"/>
        </w:rPr>
        <w:t>hreats to the goal of achieving a fair balance between a healthy environment and enhanced quality of life</w:t>
      </w:r>
      <w:r w:rsidRPr="008608AA">
        <w:rPr>
          <w:sz w:val="24"/>
          <w:szCs w:val="24"/>
        </w:rPr>
        <w:t xml:space="preserve"> </w:t>
      </w:r>
      <w:r w:rsidRPr="008608AA">
        <w:rPr>
          <w:b/>
          <w:sz w:val="24"/>
          <w:szCs w:val="24"/>
        </w:rPr>
        <w:t xml:space="preserve">across the region. </w:t>
      </w:r>
      <w:r w:rsidRPr="008608AA">
        <w:rPr>
          <w:sz w:val="24"/>
          <w:szCs w:val="24"/>
        </w:rPr>
        <w:t xml:space="preserve">In addition to </w:t>
      </w:r>
      <w:r w:rsidRPr="008608AA">
        <w:rPr>
          <w:bCs/>
          <w:sz w:val="24"/>
          <w:szCs w:val="24"/>
        </w:rPr>
        <w:t>the speed of climate and land use change, and the persistence of poverty, the region continues to be challenged by failure to implement designed policies, lack of transparency and/or accountability of key stakeholders, failure to acknowledge i</w:t>
      </w:r>
      <w:r w:rsidRPr="008608AA">
        <w:rPr>
          <w:sz w:val="24"/>
          <w:szCs w:val="24"/>
        </w:rPr>
        <w:t>ndigenous and local knowledge and practices</w:t>
      </w:r>
      <w:r w:rsidRPr="008608AA">
        <w:rPr>
          <w:bCs/>
          <w:sz w:val="24"/>
          <w:szCs w:val="24"/>
        </w:rPr>
        <w:t>, difficulty in engaging the public or developing truly participatory mechanisms for decision-making</w:t>
      </w:r>
      <w:r w:rsidRPr="008608AA">
        <w:rPr>
          <w:b/>
          <w:bCs/>
          <w:sz w:val="24"/>
          <w:szCs w:val="24"/>
        </w:rPr>
        <w:t xml:space="preserve"> </w:t>
      </w:r>
      <w:r w:rsidRPr="008608AA">
        <w:rPr>
          <w:bCs/>
          <w:sz w:val="24"/>
          <w:szCs w:val="24"/>
        </w:rPr>
        <w:t>(</w:t>
      </w:r>
      <w:r w:rsidR="00D20561" w:rsidRPr="008608AA">
        <w:rPr>
          <w:bCs/>
          <w:i/>
          <w:sz w:val="24"/>
          <w:szCs w:val="24"/>
        </w:rPr>
        <w:t>established but incomplete</w:t>
      </w:r>
      <w:r w:rsidRPr="008608AA">
        <w:rPr>
          <w:bCs/>
          <w:sz w:val="24"/>
          <w:szCs w:val="24"/>
        </w:rPr>
        <w:t>)</w:t>
      </w:r>
      <w:r w:rsidRPr="008608AA">
        <w:rPr>
          <w:sz w:val="24"/>
          <w:szCs w:val="24"/>
        </w:rPr>
        <w:t xml:space="preserve">. </w:t>
      </w:r>
      <w:r w:rsidR="008568BE" w:rsidRPr="008608AA">
        <w:rPr>
          <w:sz w:val="24"/>
          <w:szCs w:val="24"/>
        </w:rPr>
        <w:t>{</w:t>
      </w:r>
      <w:r w:rsidR="009C3E20" w:rsidRPr="008608AA">
        <w:rPr>
          <w:sz w:val="24"/>
          <w:szCs w:val="24"/>
        </w:rPr>
        <w:t>6.1.1, 6.2, 6.3, 6.4,</w:t>
      </w:r>
      <w:r w:rsidRPr="008608AA">
        <w:rPr>
          <w:sz w:val="24"/>
          <w:szCs w:val="24"/>
        </w:rPr>
        <w:t xml:space="preserve"> </w:t>
      </w:r>
      <w:r w:rsidR="009C3E20" w:rsidRPr="008608AA">
        <w:rPr>
          <w:sz w:val="24"/>
          <w:szCs w:val="24"/>
        </w:rPr>
        <w:t>6.5, 6.6,</w:t>
      </w:r>
      <w:r w:rsidR="008568BE" w:rsidRPr="008608AA">
        <w:rPr>
          <w:sz w:val="24"/>
          <w:szCs w:val="24"/>
        </w:rPr>
        <w:t xml:space="preserve"> 6.7}</w:t>
      </w:r>
    </w:p>
    <w:p w14:paraId="4D65C6B9" w14:textId="77777777" w:rsidR="009E18F7" w:rsidRPr="008608AA" w:rsidRDefault="009E18F7" w:rsidP="00B33BD5">
      <w:pPr>
        <w:pStyle w:val="ListParagraph"/>
        <w:numPr>
          <w:ilvl w:val="0"/>
          <w:numId w:val="1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rPr>
          <w:sz w:val="24"/>
          <w:szCs w:val="24"/>
        </w:rPr>
      </w:pPr>
      <w:r w:rsidRPr="008608AA">
        <w:rPr>
          <w:b/>
          <w:sz w:val="24"/>
          <w:szCs w:val="24"/>
        </w:rPr>
        <w:t>There are evidences of leakage and spillover effects in many levels and scales across the region, but they remain understudied.</w:t>
      </w:r>
      <w:r w:rsidRPr="008608AA">
        <w:rPr>
          <w:sz w:val="24"/>
          <w:szCs w:val="24"/>
        </w:rPr>
        <w:t xml:space="preserve"> Cases where environmentally damaging activities are relocated elsewhere after being stopped locally are found from protected area level to biome level (</w:t>
      </w:r>
      <w:r w:rsidRPr="008608AA">
        <w:rPr>
          <w:i/>
          <w:sz w:val="24"/>
          <w:szCs w:val="24"/>
        </w:rPr>
        <w:t>established but incomplete</w:t>
      </w:r>
      <w:r w:rsidRPr="008608AA">
        <w:rPr>
          <w:sz w:val="24"/>
          <w:szCs w:val="24"/>
        </w:rPr>
        <w:t>). Such issues are often unforeseen either due to lack of systemic planning or adequate mapping of potential stakeholders (</w:t>
      </w:r>
      <w:r w:rsidRPr="008608AA">
        <w:rPr>
          <w:i/>
          <w:sz w:val="24"/>
          <w:szCs w:val="24"/>
        </w:rPr>
        <w:t>inconclusive</w:t>
      </w:r>
      <w:r w:rsidRPr="008608AA">
        <w:rPr>
          <w:sz w:val="24"/>
          <w:szCs w:val="24"/>
        </w:rPr>
        <w:t xml:space="preserve">). </w:t>
      </w:r>
      <w:r w:rsidR="008568BE" w:rsidRPr="008608AA">
        <w:rPr>
          <w:sz w:val="24"/>
          <w:szCs w:val="24"/>
        </w:rPr>
        <w:t>{</w:t>
      </w:r>
      <w:r w:rsidRPr="008608AA">
        <w:rPr>
          <w:sz w:val="24"/>
          <w:szCs w:val="24"/>
        </w:rPr>
        <w:t>6.3.4</w:t>
      </w:r>
      <w:r w:rsidR="008568BE" w:rsidRPr="008608AA">
        <w:rPr>
          <w:sz w:val="24"/>
          <w:szCs w:val="24"/>
        </w:rPr>
        <w:t>}</w:t>
      </w:r>
    </w:p>
    <w:p w14:paraId="54858F82" w14:textId="00D97C86" w:rsidR="009E18F7" w:rsidRPr="008608AA" w:rsidRDefault="00D20561" w:rsidP="00B33BD5">
      <w:pPr>
        <w:pStyle w:val="ListParagraph"/>
        <w:numPr>
          <w:ilvl w:val="0"/>
          <w:numId w:val="1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rPr>
          <w:sz w:val="24"/>
          <w:szCs w:val="24"/>
        </w:rPr>
      </w:pPr>
      <w:r w:rsidRPr="008608AA">
        <w:rPr>
          <w:b/>
          <w:bCs/>
          <w:sz w:val="24"/>
          <w:szCs w:val="24"/>
        </w:rPr>
        <w:t>Ecological restoration is having positive effects at local scales, speeding up ecosystem recovery in many cases (</w:t>
      </w:r>
      <w:r w:rsidRPr="008608AA">
        <w:rPr>
          <w:b/>
          <w:bCs/>
          <w:i/>
          <w:sz w:val="24"/>
          <w:szCs w:val="24"/>
        </w:rPr>
        <w:t>established but incomplete</w:t>
      </w:r>
      <w:r w:rsidRPr="008608AA">
        <w:rPr>
          <w:b/>
          <w:bCs/>
          <w:sz w:val="24"/>
          <w:szCs w:val="24"/>
        </w:rPr>
        <w:t xml:space="preserve">). </w:t>
      </w:r>
      <w:r w:rsidRPr="008608AA">
        <w:rPr>
          <w:sz w:val="24"/>
          <w:szCs w:val="24"/>
        </w:rPr>
        <w:t>However, restoration of ecosystems and species has high up-front costs and usually requires long periods of time (</w:t>
      </w:r>
      <w:r w:rsidR="009C3E20" w:rsidRPr="008608AA">
        <w:rPr>
          <w:i/>
          <w:sz w:val="24"/>
          <w:szCs w:val="24"/>
        </w:rPr>
        <w:t xml:space="preserve">well </w:t>
      </w:r>
      <w:r w:rsidRPr="008608AA">
        <w:rPr>
          <w:i/>
          <w:sz w:val="24"/>
          <w:szCs w:val="24"/>
        </w:rPr>
        <w:t>established</w:t>
      </w:r>
      <w:r w:rsidRPr="008608AA">
        <w:rPr>
          <w:sz w:val="24"/>
          <w:szCs w:val="24"/>
        </w:rPr>
        <w:t>). Furthermore, full reversal of degradation, if possible at all, has not been demonstrated (</w:t>
      </w:r>
      <w:r w:rsidRPr="008608AA">
        <w:rPr>
          <w:i/>
          <w:sz w:val="24"/>
          <w:szCs w:val="24"/>
        </w:rPr>
        <w:t>established but incomplete</w:t>
      </w:r>
      <w:r w:rsidRPr="008608AA">
        <w:rPr>
          <w:sz w:val="24"/>
          <w:szCs w:val="24"/>
        </w:rPr>
        <w:t xml:space="preserve">). </w:t>
      </w:r>
      <w:r w:rsidR="009E18F7" w:rsidRPr="008608AA">
        <w:rPr>
          <w:bCs/>
          <w:sz w:val="24"/>
          <w:szCs w:val="24"/>
        </w:rPr>
        <w:t xml:space="preserve">This indicates that countries are </w:t>
      </w:r>
      <w:r w:rsidR="009E18F7" w:rsidRPr="008608AA">
        <w:rPr>
          <w:sz w:val="24"/>
          <w:szCs w:val="24"/>
        </w:rPr>
        <w:t>likely</w:t>
      </w:r>
      <w:r w:rsidR="009E18F7" w:rsidRPr="008608AA">
        <w:rPr>
          <w:bCs/>
          <w:sz w:val="24"/>
          <w:szCs w:val="24"/>
        </w:rPr>
        <w:t xml:space="preserve"> to benefit from acting quickly to invest in the </w:t>
      </w:r>
      <w:r w:rsidR="00480F7B" w:rsidRPr="008608AA">
        <w:rPr>
          <w:bCs/>
          <w:sz w:val="24"/>
          <w:szCs w:val="24"/>
        </w:rPr>
        <w:t>conser</w:t>
      </w:r>
      <w:r w:rsidR="009E18F7" w:rsidRPr="008608AA">
        <w:rPr>
          <w:bCs/>
          <w:sz w:val="24"/>
          <w:szCs w:val="24"/>
        </w:rPr>
        <w:t xml:space="preserve">vation and sustainable use of their existing ecological infrastructure. In this context, ecosystem-based </w:t>
      </w:r>
      <w:r w:rsidR="009E18F7" w:rsidRPr="008608AA">
        <w:rPr>
          <w:sz w:val="24"/>
          <w:szCs w:val="24"/>
        </w:rPr>
        <w:t xml:space="preserve">strategies incorporated into national and sub-national-level planning are a </w:t>
      </w:r>
      <w:r w:rsidR="008568BE" w:rsidRPr="008608AA">
        <w:rPr>
          <w:sz w:val="24"/>
          <w:szCs w:val="24"/>
        </w:rPr>
        <w:t>gap to be filled in the region.{</w:t>
      </w:r>
      <w:r w:rsidR="009C3E20" w:rsidRPr="008608AA">
        <w:rPr>
          <w:sz w:val="24"/>
          <w:szCs w:val="24"/>
        </w:rPr>
        <w:t>6.4,</w:t>
      </w:r>
      <w:r w:rsidR="009E18F7" w:rsidRPr="008608AA">
        <w:rPr>
          <w:sz w:val="24"/>
          <w:szCs w:val="24"/>
        </w:rPr>
        <w:t xml:space="preserve"> 6.6</w:t>
      </w:r>
      <w:r w:rsidR="008568BE" w:rsidRPr="008608AA">
        <w:rPr>
          <w:sz w:val="24"/>
          <w:szCs w:val="24"/>
        </w:rPr>
        <w:t>.3}</w:t>
      </w:r>
    </w:p>
    <w:p w14:paraId="22DF4213" w14:textId="65B0A45D" w:rsidR="009E18F7" w:rsidRPr="008608AA" w:rsidRDefault="009E18F7" w:rsidP="00B33BD5">
      <w:pPr>
        <w:pStyle w:val="ListParagraph"/>
        <w:numPr>
          <w:ilvl w:val="0"/>
          <w:numId w:val="1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rPr>
          <w:bCs/>
          <w:sz w:val="24"/>
          <w:szCs w:val="24"/>
        </w:rPr>
      </w:pPr>
      <w:r w:rsidRPr="008608AA">
        <w:rPr>
          <w:b/>
          <w:bCs/>
          <w:sz w:val="24"/>
          <w:szCs w:val="24"/>
        </w:rPr>
        <w:t xml:space="preserve">For most countries, global </w:t>
      </w:r>
      <w:r w:rsidR="00480F7B" w:rsidRPr="008608AA">
        <w:rPr>
          <w:b/>
          <w:bCs/>
          <w:sz w:val="24"/>
          <w:szCs w:val="24"/>
        </w:rPr>
        <w:t xml:space="preserve">goals, targets and aspirations </w:t>
      </w:r>
      <w:r w:rsidRPr="008608AA">
        <w:rPr>
          <w:b/>
          <w:bCs/>
          <w:sz w:val="24"/>
          <w:szCs w:val="24"/>
        </w:rPr>
        <w:t>(Sus</w:t>
      </w:r>
      <w:r w:rsidR="009C3E20" w:rsidRPr="008608AA">
        <w:rPr>
          <w:b/>
          <w:bCs/>
          <w:sz w:val="24"/>
          <w:szCs w:val="24"/>
        </w:rPr>
        <w:t>tainable Development Goals, Aichi targets, national determined c</w:t>
      </w:r>
      <w:r w:rsidRPr="008608AA">
        <w:rPr>
          <w:b/>
          <w:bCs/>
          <w:sz w:val="24"/>
          <w:szCs w:val="24"/>
        </w:rPr>
        <w:t xml:space="preserve">ontributions) are neither aligned with nor integrated into national policies </w:t>
      </w:r>
      <w:r w:rsidRPr="008608AA">
        <w:rPr>
          <w:b/>
          <w:bCs/>
          <w:i/>
          <w:sz w:val="24"/>
          <w:szCs w:val="24"/>
        </w:rPr>
        <w:t>(inconclusive)</w:t>
      </w:r>
      <w:r w:rsidRPr="008608AA">
        <w:rPr>
          <w:b/>
          <w:bCs/>
          <w:sz w:val="24"/>
          <w:szCs w:val="24"/>
        </w:rPr>
        <w:t xml:space="preserve">. </w:t>
      </w:r>
      <w:r w:rsidRPr="008608AA">
        <w:rPr>
          <w:bCs/>
          <w:sz w:val="24"/>
          <w:szCs w:val="24"/>
        </w:rPr>
        <w:t xml:space="preserve">As a result, the rate of achievement of global commitments vary largely between countries. For </w:t>
      </w:r>
      <w:r w:rsidR="009C3E20" w:rsidRPr="008608AA">
        <w:rPr>
          <w:bCs/>
          <w:sz w:val="24"/>
          <w:szCs w:val="24"/>
        </w:rPr>
        <w:t xml:space="preserve">instance, among the 2020 Aichi targets of the </w:t>
      </w:r>
      <w:r w:rsidRPr="008608AA">
        <w:rPr>
          <w:bCs/>
          <w:sz w:val="24"/>
          <w:szCs w:val="24"/>
        </w:rPr>
        <w:t>Con</w:t>
      </w:r>
      <w:r w:rsidR="009C3E20" w:rsidRPr="008608AA">
        <w:rPr>
          <w:bCs/>
          <w:sz w:val="24"/>
          <w:szCs w:val="24"/>
        </w:rPr>
        <w:t>vention on Biological Diversity</w:t>
      </w:r>
      <w:r w:rsidRPr="008608AA">
        <w:rPr>
          <w:bCs/>
          <w:sz w:val="24"/>
          <w:szCs w:val="24"/>
        </w:rPr>
        <w:t>, in Canada and Latin America and the Caribbean, m</w:t>
      </w:r>
      <w:r w:rsidRPr="008608AA">
        <w:rPr>
          <w:sz w:val="24"/>
          <w:szCs w:val="24"/>
        </w:rPr>
        <w:t>ost progr</w:t>
      </w:r>
      <w:r w:rsidR="009C3E20" w:rsidRPr="008608AA">
        <w:rPr>
          <w:sz w:val="24"/>
          <w:szCs w:val="24"/>
        </w:rPr>
        <w:t xml:space="preserve">ess has been reported in </w:t>
      </w:r>
      <w:r w:rsidR="00847F60" w:rsidRPr="008608AA">
        <w:rPr>
          <w:sz w:val="24"/>
          <w:szCs w:val="24"/>
        </w:rPr>
        <w:t>target</w:t>
      </w:r>
      <w:r w:rsidRPr="008608AA">
        <w:rPr>
          <w:sz w:val="24"/>
          <w:szCs w:val="24"/>
        </w:rPr>
        <w:t xml:space="preserve"> 11 (protected areas). In Latin America and the Caribbean, there is a</w:t>
      </w:r>
      <w:r w:rsidR="009C3E20" w:rsidRPr="008608AA">
        <w:rPr>
          <w:sz w:val="24"/>
          <w:szCs w:val="24"/>
        </w:rPr>
        <w:t xml:space="preserve">lso reported progress on </w:t>
      </w:r>
      <w:r w:rsidR="00847F60" w:rsidRPr="008608AA">
        <w:rPr>
          <w:sz w:val="24"/>
          <w:szCs w:val="24"/>
        </w:rPr>
        <w:t>target</w:t>
      </w:r>
      <w:r w:rsidRPr="008608AA">
        <w:rPr>
          <w:sz w:val="24"/>
          <w:szCs w:val="24"/>
        </w:rPr>
        <w:t xml:space="preserve"> 17 (adoption and implementation of policy instruments), </w:t>
      </w:r>
      <w:r w:rsidR="00847F60" w:rsidRPr="008608AA">
        <w:rPr>
          <w:sz w:val="24"/>
          <w:szCs w:val="24"/>
        </w:rPr>
        <w:t>target</w:t>
      </w:r>
      <w:r w:rsidR="009C3E20" w:rsidRPr="008608AA">
        <w:rPr>
          <w:sz w:val="24"/>
          <w:szCs w:val="24"/>
        </w:rPr>
        <w:t xml:space="preserve"> </w:t>
      </w:r>
      <w:r w:rsidRPr="008608AA">
        <w:rPr>
          <w:sz w:val="24"/>
          <w:szCs w:val="24"/>
        </w:rPr>
        <w:t xml:space="preserve">1 (people aware of the value of biodiversity and the steps to conserve and sustainably use it), </w:t>
      </w:r>
      <w:r w:rsidR="00847F60" w:rsidRPr="008608AA">
        <w:rPr>
          <w:sz w:val="24"/>
          <w:szCs w:val="24"/>
        </w:rPr>
        <w:t>target</w:t>
      </w:r>
      <w:r w:rsidR="009C3E20" w:rsidRPr="008608AA">
        <w:rPr>
          <w:sz w:val="24"/>
          <w:szCs w:val="24"/>
        </w:rPr>
        <w:t xml:space="preserve"> </w:t>
      </w:r>
      <w:r w:rsidRPr="008608AA">
        <w:rPr>
          <w:sz w:val="24"/>
          <w:szCs w:val="24"/>
        </w:rPr>
        <w:t xml:space="preserve">16 (Nagoya Protocol) and </w:t>
      </w:r>
      <w:r w:rsidR="00847F60" w:rsidRPr="008608AA">
        <w:rPr>
          <w:sz w:val="24"/>
          <w:szCs w:val="24"/>
        </w:rPr>
        <w:t>target</w:t>
      </w:r>
      <w:r w:rsidR="009C3E20" w:rsidRPr="008608AA">
        <w:rPr>
          <w:sz w:val="24"/>
          <w:szCs w:val="24"/>
        </w:rPr>
        <w:t xml:space="preserve"> </w:t>
      </w:r>
      <w:r w:rsidRPr="008608AA">
        <w:rPr>
          <w:sz w:val="24"/>
          <w:szCs w:val="24"/>
        </w:rPr>
        <w:t xml:space="preserve">19 (improved biodiversity information sharing). In Latin </w:t>
      </w:r>
      <w:r w:rsidR="009C3E20" w:rsidRPr="008608AA">
        <w:rPr>
          <w:sz w:val="24"/>
          <w:szCs w:val="24"/>
        </w:rPr>
        <w:t>America and the Caribbean, the t</w:t>
      </w:r>
      <w:r w:rsidRPr="008608AA">
        <w:rPr>
          <w:sz w:val="24"/>
          <w:szCs w:val="24"/>
        </w:rPr>
        <w:t xml:space="preserve">argets most lagging behind however are </w:t>
      </w:r>
      <w:r w:rsidR="00847F60" w:rsidRPr="008608AA">
        <w:rPr>
          <w:sz w:val="24"/>
          <w:szCs w:val="24"/>
        </w:rPr>
        <w:t>target</w:t>
      </w:r>
      <w:r w:rsidR="009C3E20" w:rsidRPr="008608AA">
        <w:rPr>
          <w:sz w:val="24"/>
          <w:szCs w:val="24"/>
        </w:rPr>
        <w:t xml:space="preserve"> </w:t>
      </w:r>
      <w:r w:rsidRPr="008608AA">
        <w:rPr>
          <w:sz w:val="24"/>
          <w:szCs w:val="24"/>
        </w:rPr>
        <w:t xml:space="preserve">6 (anthropogenic pressures/ direct drivers of change minimized) and </w:t>
      </w:r>
      <w:r w:rsidR="00847F60" w:rsidRPr="008608AA">
        <w:rPr>
          <w:sz w:val="24"/>
          <w:szCs w:val="24"/>
        </w:rPr>
        <w:t>target</w:t>
      </w:r>
      <w:r w:rsidR="009C3E20" w:rsidRPr="008608AA">
        <w:rPr>
          <w:sz w:val="24"/>
          <w:szCs w:val="24"/>
        </w:rPr>
        <w:t xml:space="preserve"> </w:t>
      </w:r>
      <w:r w:rsidRPr="008608AA">
        <w:rPr>
          <w:sz w:val="24"/>
          <w:szCs w:val="24"/>
        </w:rPr>
        <w:t>10 (management of fish a</w:t>
      </w:r>
      <w:r w:rsidR="009C3E20" w:rsidRPr="008608AA">
        <w:rPr>
          <w:sz w:val="24"/>
          <w:szCs w:val="24"/>
        </w:rPr>
        <w:t>nd aquatic invertebrate stocks)</w:t>
      </w:r>
      <w:r w:rsidRPr="008608AA">
        <w:rPr>
          <w:sz w:val="24"/>
          <w:szCs w:val="24"/>
        </w:rPr>
        <w:t xml:space="preserve"> </w:t>
      </w:r>
      <w:r w:rsidR="008568BE" w:rsidRPr="008608AA">
        <w:rPr>
          <w:sz w:val="24"/>
          <w:szCs w:val="24"/>
        </w:rPr>
        <w:t>{</w:t>
      </w:r>
      <w:r w:rsidRPr="008608AA">
        <w:rPr>
          <w:sz w:val="24"/>
          <w:szCs w:val="24"/>
        </w:rPr>
        <w:t>6.5</w:t>
      </w:r>
      <w:r w:rsidR="008568BE" w:rsidRPr="008608AA">
        <w:rPr>
          <w:sz w:val="24"/>
          <w:szCs w:val="24"/>
        </w:rPr>
        <w:t>}</w:t>
      </w:r>
      <w:r w:rsidR="009C3E20" w:rsidRPr="008608AA">
        <w:rPr>
          <w:sz w:val="24"/>
          <w:szCs w:val="24"/>
        </w:rPr>
        <w:t>.</w:t>
      </w:r>
    </w:p>
    <w:p w14:paraId="69F69031" w14:textId="576A769B" w:rsidR="009E18F7" w:rsidRPr="008608AA" w:rsidRDefault="009E18F7" w:rsidP="00B33BD5">
      <w:pPr>
        <w:pStyle w:val="ListParagraph"/>
        <w:numPr>
          <w:ilvl w:val="0"/>
          <w:numId w:val="1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rPr>
          <w:bCs/>
          <w:sz w:val="24"/>
          <w:szCs w:val="24"/>
        </w:rPr>
      </w:pPr>
      <w:r w:rsidRPr="008608AA">
        <w:rPr>
          <w:b/>
          <w:bCs/>
          <w:sz w:val="24"/>
          <w:szCs w:val="24"/>
        </w:rPr>
        <w:t>There is an overall lack of policy evaluation in the Americas, which is more pronounced in Latin America and the Caribbean than it is in North America</w:t>
      </w:r>
      <w:r w:rsidRPr="008608AA">
        <w:rPr>
          <w:bCs/>
          <w:sz w:val="24"/>
          <w:szCs w:val="24"/>
        </w:rPr>
        <w:t xml:space="preserve"> </w:t>
      </w:r>
      <w:r w:rsidRPr="008608AA">
        <w:rPr>
          <w:b/>
          <w:bCs/>
          <w:sz w:val="24"/>
          <w:szCs w:val="24"/>
        </w:rPr>
        <w:t>(</w:t>
      </w:r>
      <w:r w:rsidRPr="008608AA">
        <w:rPr>
          <w:b/>
          <w:bCs/>
          <w:i/>
          <w:sz w:val="24"/>
          <w:szCs w:val="24"/>
        </w:rPr>
        <w:t>established but incomplete</w:t>
      </w:r>
      <w:r w:rsidRPr="008608AA">
        <w:rPr>
          <w:b/>
          <w:bCs/>
          <w:sz w:val="24"/>
          <w:szCs w:val="24"/>
        </w:rPr>
        <w:t>).</w:t>
      </w:r>
      <w:r w:rsidRPr="008608AA">
        <w:rPr>
          <w:bCs/>
          <w:sz w:val="24"/>
          <w:szCs w:val="24"/>
        </w:rPr>
        <w:t xml:space="preserve"> Information on policy effectiveness is often derived through case</w:t>
      </w:r>
      <w:r w:rsidR="009C3E20" w:rsidRPr="008608AA">
        <w:rPr>
          <w:bCs/>
          <w:sz w:val="24"/>
          <w:szCs w:val="24"/>
        </w:rPr>
        <w:t xml:space="preserve"> studies and anecdotal accounts</w:t>
      </w:r>
      <w:r w:rsidRPr="008608AA">
        <w:rPr>
          <w:bCs/>
          <w:sz w:val="24"/>
          <w:szCs w:val="24"/>
        </w:rPr>
        <w:t xml:space="preserve"> </w:t>
      </w:r>
      <w:r w:rsidR="008568BE" w:rsidRPr="008608AA">
        <w:rPr>
          <w:sz w:val="24"/>
          <w:szCs w:val="24"/>
        </w:rPr>
        <w:t>{</w:t>
      </w:r>
      <w:r w:rsidR="009C3E20" w:rsidRPr="008608AA">
        <w:rPr>
          <w:sz w:val="24"/>
          <w:szCs w:val="24"/>
        </w:rPr>
        <w:t>6.4.1, 6.6.1,</w:t>
      </w:r>
      <w:r w:rsidRPr="008608AA">
        <w:rPr>
          <w:sz w:val="24"/>
          <w:szCs w:val="24"/>
        </w:rPr>
        <w:t xml:space="preserve"> 6.7</w:t>
      </w:r>
      <w:r w:rsidR="008568BE" w:rsidRPr="008608AA">
        <w:rPr>
          <w:sz w:val="24"/>
          <w:szCs w:val="24"/>
        </w:rPr>
        <w:t>}</w:t>
      </w:r>
      <w:r w:rsidR="009C3E20" w:rsidRPr="008608AA">
        <w:rPr>
          <w:sz w:val="24"/>
          <w:szCs w:val="24"/>
        </w:rPr>
        <w:t>.</w:t>
      </w:r>
    </w:p>
    <w:p w14:paraId="330697F8" w14:textId="7B597C8C" w:rsidR="009E18F7" w:rsidRPr="008608AA" w:rsidRDefault="009E18F7" w:rsidP="00B33BD5">
      <w:pPr>
        <w:pStyle w:val="ListParagraph"/>
        <w:numPr>
          <w:ilvl w:val="0"/>
          <w:numId w:val="1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rPr>
          <w:sz w:val="24"/>
          <w:szCs w:val="24"/>
        </w:rPr>
      </w:pPr>
      <w:r w:rsidRPr="008608AA">
        <w:rPr>
          <w:b/>
          <w:bCs/>
          <w:sz w:val="24"/>
          <w:szCs w:val="24"/>
        </w:rPr>
        <w:t xml:space="preserve">Participatory deliberative processes </w:t>
      </w:r>
      <w:r w:rsidRPr="008608AA">
        <w:rPr>
          <w:b/>
          <w:sz w:val="24"/>
          <w:szCs w:val="24"/>
        </w:rPr>
        <w:t>contribute to a large class of problem-solving situations and</w:t>
      </w:r>
      <w:r w:rsidRPr="008608AA">
        <w:rPr>
          <w:b/>
          <w:bCs/>
          <w:sz w:val="24"/>
          <w:szCs w:val="24"/>
        </w:rPr>
        <w:t xml:space="preserve"> can support successful governance (</w:t>
      </w:r>
      <w:r w:rsidRPr="008608AA">
        <w:rPr>
          <w:b/>
          <w:bCs/>
          <w:i/>
          <w:sz w:val="24"/>
          <w:szCs w:val="24"/>
        </w:rPr>
        <w:t>established but incomplete</w:t>
      </w:r>
      <w:r w:rsidRPr="008608AA">
        <w:rPr>
          <w:b/>
          <w:bCs/>
          <w:sz w:val="24"/>
          <w:szCs w:val="24"/>
        </w:rPr>
        <w:t xml:space="preserve">). </w:t>
      </w:r>
      <w:r w:rsidRPr="008608AA">
        <w:rPr>
          <w:bCs/>
          <w:sz w:val="24"/>
          <w:szCs w:val="24"/>
        </w:rPr>
        <w:t>This is</w:t>
      </w:r>
      <w:r w:rsidRPr="008608AA">
        <w:rPr>
          <w:b/>
          <w:bCs/>
          <w:sz w:val="24"/>
          <w:szCs w:val="24"/>
        </w:rPr>
        <w:t xml:space="preserve"> </w:t>
      </w:r>
      <w:r w:rsidRPr="008608AA">
        <w:rPr>
          <w:sz w:val="24"/>
          <w:szCs w:val="24"/>
        </w:rPr>
        <w:t xml:space="preserve">evidenced by a diversity of cases across policy areas, levels of economic development, and political cultures. However, there are reports of cases when the participatory process is flawed </w:t>
      </w:r>
      <w:r w:rsidR="008568BE" w:rsidRPr="008608AA">
        <w:rPr>
          <w:sz w:val="24"/>
          <w:szCs w:val="24"/>
        </w:rPr>
        <w:t>{</w:t>
      </w:r>
      <w:r w:rsidR="009C3E20" w:rsidRPr="008608AA">
        <w:rPr>
          <w:sz w:val="24"/>
          <w:szCs w:val="24"/>
        </w:rPr>
        <w:t>6.3, 6.4.1,</w:t>
      </w:r>
      <w:r w:rsidRPr="008608AA">
        <w:rPr>
          <w:sz w:val="24"/>
          <w:szCs w:val="24"/>
        </w:rPr>
        <w:t xml:space="preserve"> 6.6</w:t>
      </w:r>
      <w:r w:rsidR="008568BE" w:rsidRPr="008608AA">
        <w:rPr>
          <w:sz w:val="24"/>
          <w:szCs w:val="24"/>
        </w:rPr>
        <w:t>.4}</w:t>
      </w:r>
      <w:r w:rsidRPr="008608AA">
        <w:rPr>
          <w:sz w:val="24"/>
          <w:szCs w:val="24"/>
        </w:rPr>
        <w:t>.</w:t>
      </w:r>
    </w:p>
    <w:p w14:paraId="1F00DBB7" w14:textId="4547A1B8" w:rsidR="009E18F7" w:rsidRPr="008608AA" w:rsidRDefault="009E18F7" w:rsidP="00B33BD5">
      <w:pPr>
        <w:pStyle w:val="ListParagraph"/>
        <w:numPr>
          <w:ilvl w:val="0"/>
          <w:numId w:val="1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rPr>
          <w:sz w:val="24"/>
          <w:szCs w:val="24"/>
        </w:rPr>
      </w:pPr>
      <w:r w:rsidRPr="008608AA">
        <w:rPr>
          <w:b/>
          <w:bCs/>
          <w:sz w:val="24"/>
          <w:szCs w:val="24"/>
        </w:rPr>
        <w:t>There is use or interest in a broad array of policy instruments by a range of actors to support biodiversity and ecosystem services management, but their implementation, even when effective locally, often do not add up to overall effectiveness at national or regional scales (</w:t>
      </w:r>
      <w:r w:rsidRPr="008608AA">
        <w:rPr>
          <w:b/>
          <w:bCs/>
          <w:i/>
          <w:sz w:val="24"/>
          <w:szCs w:val="24"/>
        </w:rPr>
        <w:t>inconclusive</w:t>
      </w:r>
      <w:r w:rsidRPr="008608AA">
        <w:rPr>
          <w:b/>
          <w:bCs/>
          <w:sz w:val="24"/>
          <w:szCs w:val="24"/>
        </w:rPr>
        <w:t>)</w:t>
      </w:r>
      <w:r w:rsidRPr="008608AA">
        <w:rPr>
          <w:bCs/>
          <w:sz w:val="24"/>
          <w:szCs w:val="24"/>
        </w:rPr>
        <w:t>. This is evidenced by the persistent, growing intensity of most driving forces, and the negative trends apparent in biodiversity and ecosystem services across the region. Types of policy instruments found in the region include c</w:t>
      </w:r>
      <w:r w:rsidRPr="008608AA">
        <w:rPr>
          <w:sz w:val="24"/>
          <w:szCs w:val="24"/>
        </w:rPr>
        <w:t>onserva</w:t>
      </w:r>
      <w:r w:rsidR="009C3E20" w:rsidRPr="008608AA">
        <w:rPr>
          <w:sz w:val="24"/>
          <w:szCs w:val="24"/>
        </w:rPr>
        <w:t>tion incentive mechanisms (e.g.</w:t>
      </w:r>
      <w:r w:rsidRPr="008608AA">
        <w:rPr>
          <w:sz w:val="24"/>
          <w:szCs w:val="24"/>
        </w:rPr>
        <w:t xml:space="preserve"> Socio-Bosque in Ecuador, Bolsa Verde in Brazil; Fonafifo in Cos</w:t>
      </w:r>
      <w:r w:rsidR="009C3E20" w:rsidRPr="008608AA">
        <w:rPr>
          <w:sz w:val="24"/>
          <w:szCs w:val="24"/>
        </w:rPr>
        <w:t>ta Rica); protected areas (e.g.</w:t>
      </w:r>
      <w:r w:rsidRPr="008608AA">
        <w:rPr>
          <w:sz w:val="24"/>
          <w:szCs w:val="24"/>
        </w:rPr>
        <w:t xml:space="preserve"> the large terrestrial cover attained in the Amazon), including marine protected areas (e.g</w:t>
      </w:r>
      <w:r w:rsidR="009C3E20" w:rsidRPr="008608AA">
        <w:rPr>
          <w:sz w:val="24"/>
          <w:szCs w:val="24"/>
        </w:rPr>
        <w:t>.</w:t>
      </w:r>
      <w:r w:rsidRPr="008608AA">
        <w:rPr>
          <w:sz w:val="24"/>
          <w:szCs w:val="24"/>
        </w:rPr>
        <w:t xml:space="preserve"> network governance schemes in Colombia, Ecuador, Jamaica, United States</w:t>
      </w:r>
      <w:r w:rsidR="009C3E20" w:rsidRPr="008608AA">
        <w:rPr>
          <w:sz w:val="24"/>
          <w:szCs w:val="24"/>
        </w:rPr>
        <w:t xml:space="preserve"> of America</w:t>
      </w:r>
      <w:r w:rsidRPr="008608AA">
        <w:rPr>
          <w:sz w:val="24"/>
          <w:szCs w:val="24"/>
        </w:rPr>
        <w:t xml:space="preserve">); natural capital accounting (e.g. North America); eco-certification (managed by governments, research institutions, </w:t>
      </w:r>
      <w:r w:rsidR="009C3E20" w:rsidRPr="008608AA">
        <w:rPr>
          <w:sz w:val="24"/>
          <w:szCs w:val="24"/>
        </w:rPr>
        <w:t>non-governmental organizations</w:t>
      </w:r>
      <w:r w:rsidRPr="008608AA">
        <w:rPr>
          <w:sz w:val="24"/>
          <w:szCs w:val="24"/>
        </w:rPr>
        <w:t>, multiple stakeholders or individual companies across the region); and biodiversity of</w:t>
      </w:r>
      <w:r w:rsidR="009C3E20" w:rsidRPr="008608AA">
        <w:rPr>
          <w:sz w:val="24"/>
          <w:szCs w:val="24"/>
        </w:rPr>
        <w:t>fsets (mainly in North America)</w:t>
      </w:r>
      <w:r w:rsidRPr="008608AA">
        <w:rPr>
          <w:sz w:val="24"/>
          <w:szCs w:val="24"/>
        </w:rPr>
        <w:t xml:space="preserve"> </w:t>
      </w:r>
      <w:r w:rsidR="008568BE" w:rsidRPr="008608AA">
        <w:rPr>
          <w:bCs/>
          <w:sz w:val="24"/>
          <w:szCs w:val="24"/>
        </w:rPr>
        <w:t>{</w:t>
      </w:r>
      <w:r w:rsidRPr="008608AA">
        <w:rPr>
          <w:bCs/>
          <w:sz w:val="24"/>
          <w:szCs w:val="24"/>
        </w:rPr>
        <w:t>6.4</w:t>
      </w:r>
      <w:r w:rsidR="008568BE" w:rsidRPr="008608AA">
        <w:rPr>
          <w:bCs/>
          <w:sz w:val="24"/>
          <w:szCs w:val="24"/>
        </w:rPr>
        <w:t>}</w:t>
      </w:r>
      <w:r w:rsidR="009C3E20" w:rsidRPr="008608AA">
        <w:rPr>
          <w:bCs/>
          <w:sz w:val="24"/>
          <w:szCs w:val="24"/>
        </w:rPr>
        <w:t>.</w:t>
      </w:r>
    </w:p>
    <w:p w14:paraId="4B97403A" w14:textId="699EE355" w:rsidR="008568BE" w:rsidRPr="008608AA" w:rsidRDefault="009E18F7" w:rsidP="00B33BD5">
      <w:pPr>
        <w:pStyle w:val="ListParagraph"/>
        <w:numPr>
          <w:ilvl w:val="0"/>
          <w:numId w:val="1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rPr>
          <w:bCs/>
        </w:rPr>
      </w:pPr>
      <w:r w:rsidRPr="008608AA">
        <w:rPr>
          <w:b/>
          <w:sz w:val="24"/>
          <w:szCs w:val="24"/>
        </w:rPr>
        <w:t xml:space="preserve">Indigenous peoples throughout the Americas have developed many different socioecological and governance systems (nationally and locally), which exist in </w:t>
      </w:r>
      <w:r w:rsidRPr="008608AA">
        <w:rPr>
          <w:b/>
          <w:bCs/>
          <w:sz w:val="24"/>
          <w:szCs w:val="24"/>
        </w:rPr>
        <w:t>parallel to mainstream governance (</w:t>
      </w:r>
      <w:r w:rsidRPr="008608AA">
        <w:rPr>
          <w:b/>
          <w:bCs/>
          <w:i/>
          <w:sz w:val="24"/>
          <w:szCs w:val="24"/>
        </w:rPr>
        <w:t>well established</w:t>
      </w:r>
      <w:r w:rsidRPr="008608AA">
        <w:rPr>
          <w:b/>
          <w:bCs/>
          <w:sz w:val="24"/>
          <w:szCs w:val="24"/>
        </w:rPr>
        <w:t>)</w:t>
      </w:r>
      <w:r w:rsidRPr="008608AA">
        <w:rPr>
          <w:b/>
          <w:sz w:val="24"/>
          <w:szCs w:val="24"/>
        </w:rPr>
        <w:t>.</w:t>
      </w:r>
      <w:r w:rsidRPr="008608AA">
        <w:rPr>
          <w:sz w:val="24"/>
          <w:szCs w:val="24"/>
        </w:rPr>
        <w:t xml:space="preserve"> Although </w:t>
      </w:r>
      <w:r w:rsidRPr="008608AA">
        <w:rPr>
          <w:bCs/>
          <w:sz w:val="24"/>
          <w:szCs w:val="24"/>
        </w:rPr>
        <w:t xml:space="preserve">conflicts persist both in </w:t>
      </w:r>
      <w:r w:rsidR="00B52412" w:rsidRPr="008608AA">
        <w:rPr>
          <w:bCs/>
          <w:sz w:val="24"/>
          <w:szCs w:val="24"/>
        </w:rPr>
        <w:t xml:space="preserve">15 </w:t>
      </w:r>
      <w:r w:rsidRPr="008608AA">
        <w:rPr>
          <w:bCs/>
          <w:sz w:val="24"/>
          <w:szCs w:val="24"/>
        </w:rPr>
        <w:t>countries that forma</w:t>
      </w:r>
      <w:r w:rsidR="00B52412" w:rsidRPr="008608AA">
        <w:rPr>
          <w:bCs/>
          <w:sz w:val="24"/>
          <w:szCs w:val="24"/>
        </w:rPr>
        <w:t>lly acknowledge such rights</w:t>
      </w:r>
      <w:r w:rsidRPr="008608AA">
        <w:rPr>
          <w:bCs/>
          <w:sz w:val="24"/>
          <w:szCs w:val="24"/>
        </w:rPr>
        <w:t xml:space="preserve"> and</w:t>
      </w:r>
      <w:r w:rsidR="00B52412" w:rsidRPr="008608AA">
        <w:rPr>
          <w:bCs/>
          <w:sz w:val="24"/>
          <w:szCs w:val="24"/>
        </w:rPr>
        <w:t xml:space="preserve"> 20 countries that do not</w:t>
      </w:r>
      <w:r w:rsidRPr="008608AA">
        <w:rPr>
          <w:bCs/>
          <w:sz w:val="24"/>
          <w:szCs w:val="24"/>
        </w:rPr>
        <w:t>, i</w:t>
      </w:r>
      <w:r w:rsidRPr="008608AA">
        <w:rPr>
          <w:sz w:val="24"/>
          <w:szCs w:val="24"/>
        </w:rPr>
        <w:t>ndigenous and local knowledge and practices are expressions of social capital that can positively influence biodiversity and ecosystem services (</w:t>
      </w:r>
      <w:r w:rsidRPr="008608AA">
        <w:rPr>
          <w:i/>
          <w:sz w:val="24"/>
          <w:szCs w:val="24"/>
        </w:rPr>
        <w:t>established but incomplete</w:t>
      </w:r>
      <w:r w:rsidR="00B52412" w:rsidRPr="008608AA">
        <w:rPr>
          <w:sz w:val="24"/>
          <w:szCs w:val="24"/>
        </w:rPr>
        <w:t>)</w:t>
      </w:r>
      <w:r w:rsidRPr="008608AA">
        <w:rPr>
          <w:bCs/>
          <w:sz w:val="24"/>
          <w:szCs w:val="24"/>
        </w:rPr>
        <w:t xml:space="preserve"> </w:t>
      </w:r>
      <w:r w:rsidR="008568BE" w:rsidRPr="008608AA">
        <w:rPr>
          <w:bCs/>
          <w:sz w:val="24"/>
          <w:szCs w:val="24"/>
        </w:rPr>
        <w:t>{</w:t>
      </w:r>
      <w:r w:rsidR="00B52412" w:rsidRPr="008608AA">
        <w:rPr>
          <w:bCs/>
          <w:sz w:val="24"/>
          <w:szCs w:val="24"/>
        </w:rPr>
        <w:t>6.3.5, 6.4.1.1,</w:t>
      </w:r>
      <w:r w:rsidRPr="008608AA">
        <w:rPr>
          <w:bCs/>
          <w:sz w:val="24"/>
          <w:szCs w:val="24"/>
        </w:rPr>
        <w:t xml:space="preserve"> 6.4.3</w:t>
      </w:r>
      <w:r w:rsidR="008568BE" w:rsidRPr="008608AA">
        <w:rPr>
          <w:bCs/>
          <w:sz w:val="24"/>
          <w:szCs w:val="24"/>
        </w:rPr>
        <w:t>}</w:t>
      </w:r>
      <w:r w:rsidR="00B52412" w:rsidRPr="008608AA">
        <w:rPr>
          <w:bCs/>
          <w:sz w:val="24"/>
          <w:szCs w:val="24"/>
        </w:rPr>
        <w:t>.</w:t>
      </w:r>
      <w:r w:rsidR="008568BE" w:rsidRPr="008608AA">
        <w:rPr>
          <w:bCs/>
        </w:rPr>
        <w:br w:type="page"/>
      </w:r>
    </w:p>
    <w:p w14:paraId="0487D5B4" w14:textId="77777777" w:rsidR="009E18F7" w:rsidRPr="008608AA" w:rsidRDefault="009E18F7" w:rsidP="00BD08BA">
      <w:pPr>
        <w:pStyle w:val="Heading2"/>
      </w:pPr>
      <w:bookmarkStart w:id="2282" w:name="_Setting_the_scene"/>
      <w:bookmarkStart w:id="2283" w:name="_Toc356492299"/>
      <w:bookmarkStart w:id="2284" w:name="_Toc502957754"/>
      <w:bookmarkStart w:id="2285" w:name="_Toc502957953"/>
      <w:bookmarkStart w:id="2286" w:name="_Toc502958107"/>
      <w:bookmarkStart w:id="2287" w:name="_Toc503293176"/>
      <w:bookmarkStart w:id="2288" w:name="_Toc503293774"/>
      <w:bookmarkStart w:id="2289" w:name="_Toc503294036"/>
      <w:bookmarkStart w:id="2290" w:name="_Toc503863429"/>
      <w:bookmarkStart w:id="2291" w:name="_Toc503863657"/>
      <w:bookmarkStart w:id="2292" w:name="_Toc517393429"/>
      <w:bookmarkStart w:id="2293" w:name="_Toc517719170"/>
      <w:bookmarkStart w:id="2294" w:name="_Toc517797127"/>
      <w:bookmarkEnd w:id="2282"/>
      <w:r w:rsidRPr="008608AA">
        <w:t>Setting the scene</w:t>
      </w:r>
      <w:bookmarkEnd w:id="2283"/>
      <w:bookmarkEnd w:id="2284"/>
      <w:bookmarkEnd w:id="2285"/>
      <w:bookmarkEnd w:id="2286"/>
      <w:bookmarkEnd w:id="2287"/>
      <w:bookmarkEnd w:id="2288"/>
      <w:bookmarkEnd w:id="2289"/>
      <w:bookmarkEnd w:id="2290"/>
      <w:bookmarkEnd w:id="2291"/>
      <w:bookmarkEnd w:id="2292"/>
      <w:bookmarkEnd w:id="2293"/>
      <w:bookmarkEnd w:id="2294"/>
      <w:r w:rsidRPr="008608AA">
        <w:t xml:space="preserve"> </w:t>
      </w:r>
    </w:p>
    <w:p w14:paraId="0E0DA948" w14:textId="77777777" w:rsidR="00BD08BA" w:rsidRPr="008608AA" w:rsidRDefault="00BD08BA" w:rsidP="00BD08BA">
      <w:pPr>
        <w:rPr>
          <w:lang w:val="en-GB" w:eastAsia="es-CO"/>
        </w:rPr>
      </w:pPr>
    </w:p>
    <w:p w14:paraId="6A1E0BB1" w14:textId="77777777" w:rsidR="009E18F7" w:rsidRPr="008608AA" w:rsidRDefault="009E18F7" w:rsidP="00BD08BA">
      <w:pPr>
        <w:pStyle w:val="Heading3"/>
        <w:rPr>
          <w:lang w:val="en-US"/>
        </w:rPr>
      </w:pPr>
      <w:bookmarkStart w:id="2295" w:name="_Toc356492300"/>
      <w:bookmarkStart w:id="2296" w:name="_Toc502957755"/>
      <w:bookmarkStart w:id="2297" w:name="_Toc502957954"/>
      <w:bookmarkStart w:id="2298" w:name="_Toc502958108"/>
      <w:bookmarkStart w:id="2299" w:name="_Toc503293177"/>
      <w:bookmarkStart w:id="2300" w:name="_Toc503293775"/>
      <w:bookmarkStart w:id="2301" w:name="_Toc503294037"/>
      <w:bookmarkStart w:id="2302" w:name="_Toc503863430"/>
      <w:bookmarkStart w:id="2303" w:name="_Toc503863658"/>
      <w:bookmarkStart w:id="2304" w:name="_Toc517393430"/>
      <w:bookmarkStart w:id="2305" w:name="_Toc517719171"/>
      <w:bookmarkStart w:id="2306" w:name="_Toc517797128"/>
      <w:r w:rsidRPr="008608AA">
        <w:t>Americas</w:t>
      </w:r>
      <w:r w:rsidRPr="008608AA">
        <w:rPr>
          <w:lang w:val="en-US"/>
        </w:rPr>
        <w:t xml:space="preserve"> in context</w:t>
      </w:r>
      <w:bookmarkEnd w:id="2295"/>
      <w:bookmarkEnd w:id="2296"/>
      <w:bookmarkEnd w:id="2297"/>
      <w:bookmarkEnd w:id="2298"/>
      <w:bookmarkEnd w:id="2299"/>
      <w:bookmarkEnd w:id="2300"/>
      <w:bookmarkEnd w:id="2301"/>
      <w:bookmarkEnd w:id="2302"/>
      <w:bookmarkEnd w:id="2303"/>
      <w:bookmarkEnd w:id="2304"/>
      <w:bookmarkEnd w:id="2305"/>
      <w:bookmarkEnd w:id="2306"/>
    </w:p>
    <w:p w14:paraId="0FAD7FD4" w14:textId="77777777" w:rsidR="00BD08BA" w:rsidRPr="008608AA" w:rsidRDefault="00BD08BA" w:rsidP="00BD08BA">
      <w:pPr>
        <w:rPr>
          <w:lang w:eastAsia="es-CO"/>
        </w:rPr>
      </w:pPr>
    </w:p>
    <w:p w14:paraId="1DB37313" w14:textId="77777777" w:rsidR="009E18F7" w:rsidRPr="008608AA" w:rsidRDefault="009E18F7" w:rsidP="00BD08BA">
      <w:r w:rsidRPr="008608AA">
        <w:t xml:space="preserve">In parallel to holding the largest biological diversity on the planet and several of the world’s megadiverse countries, the Americas display a mosaic of socioeconomic conditions, cultures, and political systems, as well as countries that range from island-size to continental-size (Chapters 1, 2). The region’s diversity is also evident in the fact that the Americas spans the full spectrum both of human development and of environmental performance - from highest to lowest (Martins et al., 2006) – as illustrated in Figure 6.1. </w:t>
      </w:r>
    </w:p>
    <w:p w14:paraId="25EDC4B0" w14:textId="77777777" w:rsidR="00BD08BA" w:rsidRPr="008608AA" w:rsidRDefault="00BD08BA" w:rsidP="004C28E3">
      <w:pPr>
        <w:spacing w:before="120"/>
      </w:pPr>
    </w:p>
    <w:p w14:paraId="1C88A4A6" w14:textId="49DE0652" w:rsidR="00BD08BA" w:rsidRPr="008608AA" w:rsidRDefault="00025B55" w:rsidP="00BD08BA">
      <w:pPr>
        <w:spacing w:before="120"/>
        <w:jc w:val="center"/>
      </w:pPr>
      <w:r w:rsidRPr="008608AA">
        <w:rPr>
          <w:noProof/>
          <w:lang w:val="en-GB" w:eastAsia="en-GB"/>
        </w:rPr>
        <w:drawing>
          <wp:inline distT="0" distB="0" distL="0" distR="0" wp14:anchorId="1BC5E045" wp14:editId="15445C1E">
            <wp:extent cx="5934075" cy="5734050"/>
            <wp:effectExtent l="0" t="0" r="9525" b="0"/>
            <wp:docPr id="93" name="Imagen 93" descr="C:\Users\Alejandro Valderrama\Downloads\Fig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4" descr="C:\Users\Alejandro Valderrama\Downloads\Fig6.1.jpg"/>
                    <pic:cNvPicPr>
                      <a:picLocks noChangeAspect="1" noChangeArrowheads="1"/>
                    </pic:cNvPicPr>
                  </pic:nvPicPr>
                  <pic:blipFill rotWithShape="1">
                    <a:blip r:embed="rId1060">
                      <a:extLst>
                        <a:ext uri="{28A0092B-C50C-407E-A947-70E740481C1C}">
                          <a14:useLocalDpi xmlns:a14="http://schemas.microsoft.com/office/drawing/2010/main" val="0"/>
                        </a:ext>
                      </a:extLst>
                    </a:blip>
                    <a:srcRect b="32962"/>
                    <a:stretch/>
                  </pic:blipFill>
                  <pic:spPr bwMode="auto">
                    <a:xfrm>
                      <a:off x="0" y="0"/>
                      <a:ext cx="5934075" cy="5734050"/>
                    </a:xfrm>
                    <a:prstGeom prst="rect">
                      <a:avLst/>
                    </a:prstGeom>
                    <a:noFill/>
                    <a:ln>
                      <a:noFill/>
                    </a:ln>
                    <a:extLst>
                      <a:ext uri="{53640926-AAD7-44D8-BBD7-CCE9431645EC}">
                        <a14:shadowObscured xmlns:a14="http://schemas.microsoft.com/office/drawing/2010/main"/>
                      </a:ext>
                    </a:extLst>
                  </pic:spPr>
                </pic:pic>
              </a:graphicData>
            </a:graphic>
          </wp:inline>
        </w:drawing>
      </w:r>
    </w:p>
    <w:p w14:paraId="329237B7" w14:textId="77777777" w:rsidR="00BD08BA" w:rsidRPr="008608AA" w:rsidRDefault="00BD08BA" w:rsidP="004C28E3">
      <w:pPr>
        <w:spacing w:before="120"/>
      </w:pPr>
    </w:p>
    <w:p w14:paraId="1C7CE8F8" w14:textId="412138F0" w:rsidR="004C28E3" w:rsidRPr="008608AA" w:rsidRDefault="009E18F7" w:rsidP="00BD08BA">
      <w:pPr>
        <w:spacing w:before="120"/>
      </w:pPr>
      <w:r w:rsidRPr="008608AA">
        <w:t>All across the Americas there has been steady economic growth, accelerated urbanization, and significant demographic changes in the last decade, despite unevenness and inequality (Chapter 4). There is evidence that poverty and inequality are decreasing at a slow pace in the region, particularly in Latin America (ECLAC, 2011; UN, 2015a; Chapter 4), which remains as one of the most unequal regions in the world (ECLAC, 2016). Steffen et al. (2015a) defined the process of development that took place from 2000 to 2010 as an extension of the ´Great Acceleration´ described for the period from 1750 to 2000. This has boosted patterns of production and consumption in the region, which in turn has also been a key driver of environmental impact (Visconti et al., 2015).</w:t>
      </w:r>
      <w:r w:rsidR="004C28E3" w:rsidRPr="008608AA">
        <w:t xml:space="preserve"> </w:t>
      </w:r>
    </w:p>
    <w:p w14:paraId="49D9654D" w14:textId="4BE2315F" w:rsidR="004C28E3" w:rsidRPr="008608AA" w:rsidRDefault="009E18F7" w:rsidP="00BD08BA">
      <w:pPr>
        <w:spacing w:before="120"/>
      </w:pPr>
      <w:r w:rsidRPr="008608AA">
        <w:t xml:space="preserve">Climate change also remains high on the agenda within the region (UN, 2016). </w:t>
      </w:r>
      <w:r w:rsidRPr="008608AA">
        <w:rPr>
          <w:iCs/>
        </w:rPr>
        <w:t>Despite a high environmental performance index, the USA in 2013 accounted for the second highest share (16%</w:t>
      </w:r>
      <w:r w:rsidR="00543B4A" w:rsidRPr="008608AA">
        <w:rPr>
          <w:iCs/>
        </w:rPr>
        <w:t>) of global greenhouse gas</w:t>
      </w:r>
      <w:r w:rsidRPr="008608AA">
        <w:rPr>
          <w:iCs/>
        </w:rPr>
        <w:t xml:space="preserve"> emission, and Brazil, Mexico and Canada were among the top 15 emitters worldwide (Boden et al., 2015). </w:t>
      </w:r>
      <w:r w:rsidRPr="008608AA">
        <w:t>Furthermore, although poverty alleviation and development initiatives have improved adaptive capacity across the region (McGray et al., 2007; Magrin et al., 2014), dramatic forecasts of biome shifts due to global climate change on regional biomes where many people live (e.g. North American prairies, tropical rainforests, tropical alpine environments, the Brazilian caatinga, and coastal/marine environments such as in the Caribbean) indicate that there are limits for adaptation (Seddon et al., 2016). Climate change and biosphere integrity (including massive land conversion, soil and air pollution, and ocean acidification) – although contested by some authors (</w:t>
      </w:r>
      <w:r w:rsidR="00847F60" w:rsidRPr="008608AA">
        <w:t>e.g.</w:t>
      </w:r>
      <w:r w:rsidR="004C28E3" w:rsidRPr="008608AA">
        <w:t xml:space="preserve"> Brook et al., 2013),</w:t>
      </w:r>
      <w:r w:rsidRPr="008608AA">
        <w:t xml:space="preserve"> have been recognized as planetary boundaries mankind persistently trespasses (Steffen et al., 2015b), and this is a serious concern fo</w:t>
      </w:r>
      <w:r w:rsidR="004C28E3" w:rsidRPr="008608AA">
        <w:t xml:space="preserve">r the countries of the Americas. </w:t>
      </w:r>
    </w:p>
    <w:p w14:paraId="49E54715" w14:textId="77777777" w:rsidR="004C28E3" w:rsidRPr="008608AA" w:rsidRDefault="009E18F7" w:rsidP="00BD08BA">
      <w:pPr>
        <w:spacing w:before="120"/>
      </w:pPr>
      <w:r w:rsidRPr="008608AA">
        <w:t xml:space="preserve">Countries within the Americas continue to face the challenge of decoupling economic growth and resource consumption. The main challenges and opportunities for protecting and sustainably using the region’s biodiversity and ecosystem services are intricately tied to the region’s distinct contrasts. On the one hand, the Americas hold what is probably the largest wealth of renewable natural resources on the planet (Mittermeier et al., 2002; 2005), along with a number of creative policies and governance mechanisms to protect and use natural wealth sustainably (Chapters 2, 3). On the other hand, the Americas is also the region with the largest area of agricultural expansion in recent years (Foley et al., 2011), an increasing potential for exploitation of extractives (CEPAL, 2012), and the highest proportion of urban population on the planet (Chapter 4; World Bank, 2012; Magrin et al., 2014). </w:t>
      </w:r>
    </w:p>
    <w:p w14:paraId="671F9FC9" w14:textId="7BE4BF00" w:rsidR="009E18F7" w:rsidRPr="008608AA" w:rsidRDefault="009E18F7" w:rsidP="00BD08BA">
      <w:pPr>
        <w:spacing w:before="120"/>
      </w:pPr>
      <w:r w:rsidRPr="008608AA">
        <w:t xml:space="preserve">Another outcome of these combined features is a landscape mosaic of socioecological systems that often imply distinct governance arrangements. For instance, conservation incentives such as the schemes broadly known as payment for ecosystem services (PES) are now more common in Central and South America than anywhere else in the world (Balvanera et al., 2012; Magrin et al., 2014). In terms of percentage of land protected, North America, Mesoamerica, Caribbean and South America hold some of the highest values in the world (Chape et al., 2005). Brazil alone </w:t>
      </w:r>
      <w:r w:rsidRPr="008608AA">
        <w:rPr>
          <w:rFonts w:cs="Minion Pro"/>
        </w:rPr>
        <w:t>was responsible for 70% of new land brought under protection across the globe be</w:t>
      </w:r>
      <w:r w:rsidR="0009057F" w:rsidRPr="008608AA">
        <w:rPr>
          <w:rFonts w:cs="Minion Pro"/>
        </w:rPr>
        <w:t>tween 2003 and 2008 (Jenkins &amp;</w:t>
      </w:r>
      <w:r w:rsidRPr="008608AA">
        <w:rPr>
          <w:rFonts w:cs="Minion Pro"/>
        </w:rPr>
        <w:t xml:space="preserve"> Joppa, 2009), although most of that was concentrated on the Amazon biome.</w:t>
      </w:r>
      <w:r w:rsidRPr="008608AA">
        <w:t xml:space="preserve"> Despite pockets of noteworthy progress, many policies that define and guide conservation incentives are designed almost solely from an environmental standpoint. In parallel, the outcome of business-as-usual development policies that do not account for the socio-ecological component has often been widespread, unsustainable land use change in rural and urban areas that eventually drive climate change (Chapter 4; Magrin et al., 2014; Nurse et al., 2014; Romero-Lankao et al., 2014).</w:t>
      </w:r>
    </w:p>
    <w:p w14:paraId="29AD4C08" w14:textId="77777777" w:rsidR="004C28E3" w:rsidRPr="008608AA" w:rsidRDefault="004C28E3" w:rsidP="00BD08BA">
      <w:pPr>
        <w:spacing w:before="120"/>
      </w:pPr>
    </w:p>
    <w:p w14:paraId="4EE11BD7" w14:textId="4C70D02B" w:rsidR="004C28E3" w:rsidRPr="008608AA" w:rsidRDefault="009E18F7" w:rsidP="00BD08BA">
      <w:pPr>
        <w:rPr>
          <w:iCs/>
        </w:rPr>
      </w:pPr>
      <w:r w:rsidRPr="008608AA">
        <w:t xml:space="preserve">Reconciling nature conservation and socio-economic development, especially in the context of the 2030 Sustainability Agenda, is the main challenge for the Americas (CEPAL, 2015); and achieving more sustainable use of biological resources is crucial for societies both in and outside of the region, especially in the context of a changing climate (Lucas et al., 2014). From a regional perspective, the clustering of countries at the center of Figure 6.1 suggests some level of similarity in the socio-ecological challenges faced by countries. And although each country will need to tailor development strategies and pathways to suit its own context, regional and </w:t>
      </w:r>
      <w:r w:rsidR="007C45FD" w:rsidRPr="008608AA">
        <w:t>sub</w:t>
      </w:r>
      <w:r w:rsidRPr="008608AA">
        <w:t>regional cooperation could enhance the exchange of solutions (</w:t>
      </w:r>
      <w:r w:rsidRPr="008608AA">
        <w:rPr>
          <w:iCs/>
        </w:rPr>
        <w:t>Ölund-Wingqvist, 2009), and this could potentially accelerate the region’s progress towards meeting the</w:t>
      </w:r>
      <w:r w:rsidR="00543B4A" w:rsidRPr="008608AA">
        <w:rPr>
          <w:iCs/>
        </w:rPr>
        <w:t xml:space="preserve"> Sustainable Development Goals</w:t>
      </w:r>
      <w:r w:rsidRPr="008608AA">
        <w:rPr>
          <w:iCs/>
        </w:rPr>
        <w:t xml:space="preserve"> </w:t>
      </w:r>
      <w:r w:rsidR="00543B4A" w:rsidRPr="008608AA">
        <w:rPr>
          <w:iCs/>
        </w:rPr>
        <w:t>(</w:t>
      </w:r>
      <w:r w:rsidRPr="008608AA">
        <w:rPr>
          <w:iCs/>
        </w:rPr>
        <w:t>SDG</w:t>
      </w:r>
      <w:r w:rsidR="00543B4A" w:rsidRPr="008608AA">
        <w:rPr>
          <w:iCs/>
        </w:rPr>
        <w:t>s)</w:t>
      </w:r>
      <w:r w:rsidRPr="008608AA">
        <w:rPr>
          <w:iCs/>
        </w:rPr>
        <w:t>.</w:t>
      </w:r>
    </w:p>
    <w:p w14:paraId="4341D81B" w14:textId="2CF5E3A5" w:rsidR="009E18F7" w:rsidRPr="008608AA" w:rsidRDefault="009E18F7" w:rsidP="00C32AE2">
      <w:r w:rsidRPr="008608AA">
        <w:rPr>
          <w:iCs/>
        </w:rPr>
        <w:t xml:space="preserve"> </w:t>
      </w:r>
    </w:p>
    <w:p w14:paraId="500C67D6" w14:textId="351718E9" w:rsidR="009E18F7" w:rsidRPr="008608AA" w:rsidRDefault="009E18F7" w:rsidP="00BD08BA">
      <w:pPr>
        <w:pStyle w:val="Heading3"/>
        <w:rPr>
          <w:lang w:val="en-US"/>
        </w:rPr>
      </w:pPr>
      <w:bookmarkStart w:id="2307" w:name="_Toc356492301"/>
      <w:bookmarkStart w:id="2308" w:name="_Toc502957756"/>
      <w:bookmarkStart w:id="2309" w:name="_Toc502957955"/>
      <w:bookmarkStart w:id="2310" w:name="_Toc502958109"/>
      <w:bookmarkStart w:id="2311" w:name="_Toc503293178"/>
      <w:bookmarkStart w:id="2312" w:name="_Toc503293776"/>
      <w:bookmarkStart w:id="2313" w:name="_Toc503294038"/>
      <w:bookmarkStart w:id="2314" w:name="_Toc503863431"/>
      <w:bookmarkStart w:id="2315" w:name="_Toc503863659"/>
      <w:bookmarkStart w:id="2316" w:name="_Toc517393431"/>
      <w:bookmarkStart w:id="2317" w:name="_Toc517719172"/>
      <w:bookmarkStart w:id="2318" w:name="_Toc517797129"/>
      <w:r w:rsidRPr="008608AA">
        <w:rPr>
          <w:lang w:val="en-US"/>
        </w:rPr>
        <w:t xml:space="preserve">Our approach to </w:t>
      </w:r>
      <w:r w:rsidRPr="008608AA">
        <w:t>assessing</w:t>
      </w:r>
      <w:r w:rsidRPr="008608AA">
        <w:rPr>
          <w:lang w:val="en-US"/>
        </w:rPr>
        <w:t xml:space="preserve"> governance and policy</w:t>
      </w:r>
      <w:bookmarkEnd w:id="2307"/>
      <w:bookmarkEnd w:id="2308"/>
      <w:bookmarkEnd w:id="2309"/>
      <w:bookmarkEnd w:id="2310"/>
      <w:bookmarkEnd w:id="2311"/>
      <w:bookmarkEnd w:id="2312"/>
      <w:bookmarkEnd w:id="2313"/>
      <w:bookmarkEnd w:id="2314"/>
      <w:bookmarkEnd w:id="2315"/>
      <w:bookmarkEnd w:id="2316"/>
      <w:bookmarkEnd w:id="2317"/>
      <w:bookmarkEnd w:id="2318"/>
      <w:r w:rsidRPr="008608AA">
        <w:rPr>
          <w:lang w:val="en-US"/>
        </w:rPr>
        <w:t xml:space="preserve"> </w:t>
      </w:r>
    </w:p>
    <w:p w14:paraId="6AC204DF" w14:textId="77777777" w:rsidR="00543B4A" w:rsidRPr="008608AA" w:rsidRDefault="009E18F7" w:rsidP="00BD08BA">
      <w:r w:rsidRPr="008608AA">
        <w:t>This Chapter starts from the premise that biodiversity and ecosystem services is an important consideration in the sustainability transition process, whereby a given society moves away from unsustainable development trajectories towards a sustainable development paradigm. Such transition processes entail a great deal of complexity, are pushed forward by policies, and are supported by governance options that vary in impact and success (Figure 6.2).</w:t>
      </w:r>
    </w:p>
    <w:p w14:paraId="06F86964" w14:textId="3041C823" w:rsidR="009E18F7" w:rsidRPr="008608AA" w:rsidRDefault="009E18F7" w:rsidP="00BD08BA">
      <w:r w:rsidRPr="008608AA">
        <w:t xml:space="preserve"> </w:t>
      </w:r>
    </w:p>
    <w:p w14:paraId="3DFA21AF" w14:textId="66410FE3" w:rsidR="00543B4A" w:rsidRPr="008608AA" w:rsidRDefault="009E18F7" w:rsidP="00BD08BA">
      <w:r w:rsidRPr="008608AA">
        <w:t xml:space="preserve">This Chapter follows a set of principles to select the main policies and their respective components that will receive attention in the following sections: (1) To highlight the relevance of the selected options of governance systems and policies for the conservation and sustainable use of biodiversity and ecosystem services, long-term human well-being and sustainable development, rather than to prescribe specific policies or actions. In the process of examining institutions (rules-in-use) and institutional arrangements (formal or informal regimes and coalitions for collective action) in place in the Americas at different levels, equal weight is given to options described as solutions or apparent successes as compared to options described as problematic or challenging. (2) To examine the entire cycle of selected governance systems whenever possible: agenda setting, design, implementation, monitoring and evaluation. (3) To assess feasibility of implementation, scalability from local to higher governance levels, sustainability in time, types of governance systems and processes, institutional capacity and resource allocation, relationship to the private sector, and policy integration for all selected policies. Whenever applicable, the Chapter will take account of potential leakage and spillover effects amongst territories and sectors, be it at regional, </w:t>
      </w:r>
      <w:r w:rsidR="007C45FD" w:rsidRPr="008608AA">
        <w:t>sub</w:t>
      </w:r>
      <w:r w:rsidRPr="008608AA">
        <w:t xml:space="preserve">regional, national or sub-national levels. (4) To provide a balanced view among the four macro </w:t>
      </w:r>
      <w:r w:rsidR="007C45FD" w:rsidRPr="008608AA">
        <w:t>sub</w:t>
      </w:r>
      <w:r w:rsidRPr="008608AA">
        <w:t xml:space="preserve">regions defined for the Americas: North America (Canada and </w:t>
      </w:r>
      <w:r w:rsidR="001A006C" w:rsidRPr="008608AA">
        <w:t>the USA</w:t>
      </w:r>
      <w:r w:rsidRPr="008608AA">
        <w:t>), Mesoamerica (Mexico and Central America), Caribbean, and South America.</w:t>
      </w:r>
    </w:p>
    <w:p w14:paraId="02EFE358" w14:textId="3FEB0B78" w:rsidR="009E18F7" w:rsidRPr="008608AA" w:rsidRDefault="009E18F7" w:rsidP="00BD08BA">
      <w:r w:rsidRPr="008608AA">
        <w:t xml:space="preserve"> </w:t>
      </w:r>
    </w:p>
    <w:p w14:paraId="47F15B6B" w14:textId="77777777" w:rsidR="009E18F7" w:rsidRPr="008608AA" w:rsidRDefault="009E18F7" w:rsidP="00BD08BA">
      <w:r w:rsidRPr="008608AA">
        <w:t>Unlike the previous Chapters in this assessment, treatment is not given to specific biomes - unless in relevant cases where biome-specific policies exist. Rather, a fair balance between inland and marine cases is provided. The Chapter will also attempt to balance the relative effectiveness of policies in cases where there is socio-economic stratification.</w:t>
      </w:r>
    </w:p>
    <w:p w14:paraId="52236A33" w14:textId="21E30486" w:rsidR="00BD08BA" w:rsidRPr="008608AA" w:rsidRDefault="00025B55" w:rsidP="00BD08BA">
      <w:pPr>
        <w:jc w:val="center"/>
      </w:pPr>
      <w:r w:rsidRPr="008608AA">
        <w:rPr>
          <w:noProof/>
          <w:lang w:val="en-GB" w:eastAsia="en-GB"/>
        </w:rPr>
        <w:drawing>
          <wp:inline distT="0" distB="0" distL="0" distR="0" wp14:anchorId="592DA4B7" wp14:editId="6EB70E48">
            <wp:extent cx="5934075" cy="5057775"/>
            <wp:effectExtent l="0" t="0" r="9525" b="9525"/>
            <wp:docPr id="94" name="Imagen 94" descr="C:\Users\Alejandro Valderrama\Downloads\Fig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6" descr="C:\Users\Alejandro Valderrama\Downloads\Fig6.2.jpg"/>
                    <pic:cNvPicPr>
                      <a:picLocks noChangeAspect="1" noChangeArrowheads="1"/>
                    </pic:cNvPicPr>
                  </pic:nvPicPr>
                  <pic:blipFill rotWithShape="1">
                    <a:blip r:embed="rId1061">
                      <a:extLst>
                        <a:ext uri="{28A0092B-C50C-407E-A947-70E740481C1C}">
                          <a14:useLocalDpi xmlns:a14="http://schemas.microsoft.com/office/drawing/2010/main" val="0"/>
                        </a:ext>
                      </a:extLst>
                    </a:blip>
                    <a:srcRect b="40868"/>
                    <a:stretch/>
                  </pic:blipFill>
                  <pic:spPr bwMode="auto">
                    <a:xfrm>
                      <a:off x="0" y="0"/>
                      <a:ext cx="5934075" cy="5057775"/>
                    </a:xfrm>
                    <a:prstGeom prst="rect">
                      <a:avLst/>
                    </a:prstGeom>
                    <a:noFill/>
                    <a:ln>
                      <a:noFill/>
                    </a:ln>
                    <a:extLst>
                      <a:ext uri="{53640926-AAD7-44D8-BBD7-CCE9431645EC}">
                        <a14:shadowObscured xmlns:a14="http://schemas.microsoft.com/office/drawing/2010/main"/>
                      </a:ext>
                    </a:extLst>
                  </pic:spPr>
                </pic:pic>
              </a:graphicData>
            </a:graphic>
          </wp:inline>
        </w:drawing>
      </w:r>
    </w:p>
    <w:p w14:paraId="35707B1B" w14:textId="77777777" w:rsidR="00BD08BA" w:rsidRPr="008608AA" w:rsidRDefault="00BD08BA" w:rsidP="00BD08BA">
      <w:pPr>
        <w:jc w:val="center"/>
      </w:pPr>
    </w:p>
    <w:p w14:paraId="540B85AB" w14:textId="3019BB9D" w:rsidR="008568BE" w:rsidRPr="008608AA" w:rsidRDefault="009E18F7" w:rsidP="00BD08BA">
      <w:pPr>
        <w:pStyle w:val="Heading2"/>
      </w:pPr>
      <w:bookmarkStart w:id="2319" w:name="_Toc502957757"/>
      <w:bookmarkStart w:id="2320" w:name="_Toc502957956"/>
      <w:bookmarkStart w:id="2321" w:name="_Toc502958110"/>
      <w:bookmarkStart w:id="2322" w:name="_Toc503293179"/>
      <w:bookmarkStart w:id="2323" w:name="_Toc503293777"/>
      <w:bookmarkStart w:id="2324" w:name="_Toc503294039"/>
      <w:bookmarkStart w:id="2325" w:name="_Toc503863432"/>
      <w:bookmarkStart w:id="2326" w:name="_Toc503863660"/>
      <w:bookmarkStart w:id="2327" w:name="_Toc517393432"/>
      <w:bookmarkStart w:id="2328" w:name="_Toc517719173"/>
      <w:bookmarkStart w:id="2329" w:name="_Toc517797130"/>
      <w:r w:rsidRPr="008608AA">
        <w:t>Sectoral</w:t>
      </w:r>
      <w:r w:rsidR="000D52E0" w:rsidRPr="008608AA">
        <w:t xml:space="preserve"> versus</w:t>
      </w:r>
      <w:r w:rsidRPr="008608AA">
        <w:t xml:space="preserve"> integrated policies</w:t>
      </w:r>
      <w:bookmarkEnd w:id="2319"/>
      <w:bookmarkEnd w:id="2320"/>
      <w:bookmarkEnd w:id="2321"/>
      <w:bookmarkEnd w:id="2322"/>
      <w:bookmarkEnd w:id="2323"/>
      <w:bookmarkEnd w:id="2324"/>
      <w:bookmarkEnd w:id="2325"/>
      <w:bookmarkEnd w:id="2326"/>
      <w:bookmarkEnd w:id="2327"/>
      <w:bookmarkEnd w:id="2328"/>
      <w:bookmarkEnd w:id="2329"/>
    </w:p>
    <w:p w14:paraId="5913CB09" w14:textId="4DAFB683" w:rsidR="009E18F7" w:rsidRPr="008608AA" w:rsidRDefault="009E18F7" w:rsidP="00BD08BA">
      <w:r w:rsidRPr="008608AA">
        <w:t>Policies are often designed from a sectoral perspective (Gomar, 2014; Lima et al., 2017). The topics of interest to IPBES - biodiversity, ecosystem services, and human wellbeing - comprise sectors themselves: environmental sector (in the case of biodiversity and ecosystem services) and social welfare sector (at least partly, for the case of human wellbeing), which tend to have specific policies. Conventional development and market forces also display sectoral policies that affect and are affected by biodiversity and ecosystem services and human wellbeing. There is an increasing body of evidence showing that environmental conflicts and unsustainability emerge largely from the lack of integration between/ among sectors and between/among sectoral policies, particularly when development and market policies do not account for environmental and/or social issues (</w:t>
      </w:r>
      <w:r w:rsidR="00847F60" w:rsidRPr="008608AA">
        <w:t>e.g.</w:t>
      </w:r>
      <w:r w:rsidRPr="008608AA">
        <w:t xml:space="preserve"> Franks et al., 2014)</w:t>
      </w:r>
      <w:r w:rsidR="0009057F" w:rsidRPr="008608AA">
        <w:t xml:space="preserve"> and vice-versa (</w:t>
      </w:r>
      <w:r w:rsidR="00847F60" w:rsidRPr="008608AA">
        <w:t>e.g.</w:t>
      </w:r>
      <w:r w:rsidR="0009057F" w:rsidRPr="008608AA">
        <w:t xml:space="preserve"> Adams &amp;</w:t>
      </w:r>
      <w:r w:rsidRPr="008608AA">
        <w:t xml:space="preserve"> Hutton, 2007). This is especially important given the finding in Chapter 4 that impacts on biodiversity and ecosystem services are often the result of multiple driving forces working in tandem.</w:t>
      </w:r>
    </w:p>
    <w:p w14:paraId="56BDEB6F" w14:textId="77777777" w:rsidR="00543B4A" w:rsidRPr="008608AA" w:rsidRDefault="00543B4A" w:rsidP="00BD08BA"/>
    <w:p w14:paraId="7ED22629" w14:textId="77777777" w:rsidR="00543B4A" w:rsidRPr="008608AA" w:rsidRDefault="009E18F7" w:rsidP="00BD08BA">
      <w:pPr>
        <w:rPr>
          <w:rFonts w:cs="CklhnpAdvPTimes"/>
        </w:rPr>
      </w:pPr>
      <w:r w:rsidRPr="008608AA">
        <w:t>Bennett et al. (2015) have stated that</w:t>
      </w:r>
      <w:r w:rsidRPr="008608AA">
        <w:rPr>
          <w:rFonts w:cs="CklhnpAdvPTimes"/>
        </w:rPr>
        <w:t xml:space="preserve"> focus on a single driver of change is often the result of a problem-centered, rather than a community-centered, approach. Based on an extensive review, these authors argue that various socioeconomic and biophysical changes may take place concurrently and at multiple scales to result in different outcomes for communities in different places. This is why, they propose, that when the predominant focus of vulnerability and adaptation research, policy and practice lie solely on one problem (e.g. biodiversity conservation or climate change) it undermines the complexity of multiple interacting variables. A community-centered approach requires multifactorial, transdisciplinary analysis and subsequent interventions, but remains more theoretical than empirical.</w:t>
      </w:r>
    </w:p>
    <w:p w14:paraId="6760F0E8" w14:textId="5F0EF32C" w:rsidR="009E18F7" w:rsidRPr="008608AA" w:rsidRDefault="009E18F7" w:rsidP="00BD08BA">
      <w:r w:rsidRPr="008608AA">
        <w:t xml:space="preserve"> </w:t>
      </w:r>
    </w:p>
    <w:p w14:paraId="04341852" w14:textId="3A48F35E" w:rsidR="00BE6EBD" w:rsidRPr="008608AA" w:rsidRDefault="009E18F7" w:rsidP="00BD08BA">
      <w:r w:rsidRPr="008608AA">
        <w:t>One example that relates to the argument of Bennett et al. (2015) is the impact of policies to combat narcotraffic on policies to combat deforestation. For instance, policies to eradicate drug plantations (coca, opium poppy and marijuana) in the Andes often push growers into ecologically sensitive zones causing environmental impacts in those areas (McSweeney et al., 2014). In addition to this case study, these authors use examples from Mexico, Honduras, Guatemala to postulate that well-targeted narcopolicy reforms could yield important socio-ecological benefits, by reducing pressure on forests and local communities (including indigenous ones) while reinforcing governance of protected areas. A second example is related to</w:t>
      </w:r>
      <w:r w:rsidR="00543B4A" w:rsidRPr="008608AA">
        <w:t xml:space="preserve"> </w:t>
      </w:r>
      <w:r w:rsidR="00543B4A" w:rsidRPr="008608AA">
        <w:rPr>
          <w:rFonts w:cstheme="minorHAnsi"/>
          <w:shd w:val="clear" w:color="auto" w:fill="FFFFFF"/>
        </w:rPr>
        <w:t>Reducing Emissions from Deforestation and Forest Degradation Plus</w:t>
      </w:r>
      <w:r w:rsidR="00543B4A" w:rsidRPr="008608AA">
        <w:t xml:space="preserve"> (</w:t>
      </w:r>
      <w:r w:rsidRPr="008608AA">
        <w:t>REDD+</w:t>
      </w:r>
      <w:r w:rsidR="00543B4A" w:rsidRPr="008608AA">
        <w:t xml:space="preserve"> (the “+” refers to additional benefits, such as those derived from biodiversity conservation, for instance))</w:t>
      </w:r>
      <w:r w:rsidRPr="008608AA">
        <w:t>. Phelps et al. (2012) illustrate the potentially challenging trade-offs between climate change and the “+” related to biodiversity conservation; and the demands and needs related to livelihoods of forest-dependent communities, extractive industries and national economies (see 6.4.2 for specific</w:t>
      </w:r>
      <w:r w:rsidR="00543B4A" w:rsidRPr="008608AA">
        <w:t xml:space="preserve"> examples in the region). </w:t>
      </w:r>
      <w:r w:rsidRPr="008608AA">
        <w:t xml:space="preserve">Moreover, Faith (2014) warns that over focus on </w:t>
      </w:r>
      <w:r w:rsidRPr="008608AA">
        <w:rPr>
          <w:rFonts w:cs="GoudyOlSt BT"/>
        </w:rPr>
        <w:t>local carbon/biodiversity win-wins could mean a collapse in the regional capacity to conserve biodiversity.</w:t>
      </w:r>
    </w:p>
    <w:p w14:paraId="288D8F42" w14:textId="77777777" w:rsidR="00543B4A" w:rsidRPr="008608AA" w:rsidRDefault="00543B4A" w:rsidP="00BD08BA">
      <w:pPr>
        <w:rPr>
          <w:rFonts w:cs="GoudyOlSt BT"/>
        </w:rPr>
      </w:pPr>
    </w:p>
    <w:p w14:paraId="7CDE55EF" w14:textId="6C4C15B8" w:rsidR="00543B4A" w:rsidRPr="008608AA" w:rsidRDefault="00480F7B" w:rsidP="00BD08BA">
      <w:pPr>
        <w:rPr>
          <w:rFonts w:cstheme="minorHAnsi"/>
          <w:shd w:val="clear" w:color="auto" w:fill="FFFFFF"/>
        </w:rPr>
      </w:pPr>
      <w:r w:rsidRPr="008608AA">
        <w:t>Greater m</w:t>
      </w:r>
      <w:r w:rsidRPr="008608AA">
        <w:rPr>
          <w:rFonts w:cstheme="minorHAnsi"/>
          <w:shd w:val="clear" w:color="auto" w:fill="FFFFFF"/>
        </w:rPr>
        <w:t xml:space="preserve">ainstreaming of </w:t>
      </w:r>
      <w:r w:rsidR="00543B4A" w:rsidRPr="008608AA">
        <w:rPr>
          <w:rFonts w:cstheme="minorHAnsi"/>
          <w:shd w:val="clear" w:color="auto" w:fill="FFFFFF"/>
        </w:rPr>
        <w:t>biodiversity and ecosystem services</w:t>
      </w:r>
      <w:r w:rsidRPr="008608AA">
        <w:rPr>
          <w:rFonts w:cstheme="minorHAnsi"/>
          <w:shd w:val="clear" w:color="auto" w:fill="FFFFFF"/>
        </w:rPr>
        <w:t xml:space="preserve"> considerations into important development sectors</w:t>
      </w:r>
      <w:r w:rsidRPr="008608AA">
        <w:t xml:space="preserve"> such as energy and agriculture is occurring in many governments, but scope for substantially more progress has been identified (CBD, 2016a)</w:t>
      </w:r>
      <w:r w:rsidRPr="008608AA">
        <w:rPr>
          <w:rFonts w:cstheme="minorHAnsi"/>
          <w:shd w:val="clear" w:color="auto" w:fill="FFFFFF"/>
        </w:rPr>
        <w:t xml:space="preserve">. </w:t>
      </w:r>
      <w:r w:rsidR="009E18F7" w:rsidRPr="008608AA">
        <w:rPr>
          <w:rFonts w:cstheme="minorHAnsi"/>
          <w:shd w:val="clear" w:color="auto" w:fill="FFFFFF"/>
        </w:rPr>
        <w:t xml:space="preserve">In the region and elsewhere, there is a reported recent trend </w:t>
      </w:r>
      <w:r w:rsidR="009E18F7" w:rsidRPr="008608AA">
        <w:t xml:space="preserve">toward developing more domestic energy sources partly due to political uncertainties in the relationships with some oil-rich nations and part due to the desire to maintain energy security (Jones et al., 2015). This trend is exemplified by the </w:t>
      </w:r>
      <w:r w:rsidR="00253825" w:rsidRPr="008608AA">
        <w:t>USA</w:t>
      </w:r>
      <w:r w:rsidR="009E18F7" w:rsidRPr="008608AA">
        <w:t xml:space="preserve">, where wind energy increased 23-fold since 2000, and natural gas production has risen by almost 21% over the last two decades. </w:t>
      </w:r>
      <w:r w:rsidR="009E18F7" w:rsidRPr="008608AA">
        <w:rPr>
          <w:rFonts w:cstheme="minorHAnsi"/>
          <w:shd w:val="clear" w:color="auto" w:fill="FFFFFF"/>
        </w:rPr>
        <w:t xml:space="preserve">While changes in energy systems seems to be taking place fast, scientific literature on the relationship between the energy sector and biodiversity and ecosystem services remains biased geographically, with the </w:t>
      </w:r>
      <w:r w:rsidR="00253825" w:rsidRPr="008608AA">
        <w:rPr>
          <w:rFonts w:cstheme="minorHAnsi"/>
          <w:shd w:val="clear" w:color="auto" w:fill="FFFFFF"/>
        </w:rPr>
        <w:t>USA</w:t>
      </w:r>
      <w:r w:rsidR="009E18F7" w:rsidRPr="008608AA">
        <w:rPr>
          <w:rFonts w:cstheme="minorHAnsi"/>
          <w:shd w:val="clear" w:color="auto" w:fill="FFFFFF"/>
        </w:rPr>
        <w:t xml:space="preserve"> and Canada housing most of the studies (Jones et al., 2015). Political decision-making in this regard is therefore uneven in most countries. Two facts, however, are relevant for policy design and implementation in the energy sector during its transition to a model that is less carbon intensive, and less harmful to biodiversity and ecosystem services. First, </w:t>
      </w:r>
      <w:r w:rsidR="009E18F7" w:rsidRPr="008608AA">
        <w:rPr>
          <w:rFonts w:cstheme="minorHAnsi"/>
        </w:rPr>
        <w:t xml:space="preserve">there are no renewable energy pathways that have zero environmental impact, especially if they are to be deployed at a large-scale (Gasparatos et al., 2017). Thus, compensation and offset logic ought to be applied to energy projects (see 6.4.2.2) and biodiversity and ecosystem services policy instruments should also be used in energy policy design. Central America has been pointed out as a particularly vulnerable region in terms of biodiversity impacts from renewable energy expansion (Santangeli et al., 2016). Secondly, most </w:t>
      </w:r>
      <w:r w:rsidR="009E18F7" w:rsidRPr="008608AA">
        <w:rPr>
          <w:rFonts w:cstheme="minorHAnsi"/>
          <w:shd w:val="clear" w:color="auto" w:fill="FFFFFF"/>
        </w:rPr>
        <w:t>energy sources depend on good flow of ecosystem services. Typical examples are water for hydropower (see Medeiros et al., 2011, on the role of protected areas in Brazil; and Sáenz et al., 2014, on the role of cloud forests in Colombia) and pollinators for agriculture (in the region, the agricultural G</w:t>
      </w:r>
      <w:r w:rsidR="009234AB" w:rsidRPr="008608AA">
        <w:rPr>
          <w:rFonts w:cstheme="minorHAnsi"/>
          <w:shd w:val="clear" w:color="auto" w:fill="FFFFFF"/>
        </w:rPr>
        <w:t xml:space="preserve">ross </w:t>
      </w:r>
      <w:r w:rsidR="009E18F7" w:rsidRPr="008608AA">
        <w:rPr>
          <w:rFonts w:cstheme="minorHAnsi"/>
          <w:shd w:val="clear" w:color="auto" w:fill="FFFFFF"/>
        </w:rPr>
        <w:t>D</w:t>
      </w:r>
      <w:r w:rsidR="009234AB" w:rsidRPr="008608AA">
        <w:rPr>
          <w:rFonts w:cstheme="minorHAnsi"/>
          <w:shd w:val="clear" w:color="auto" w:fill="FFFFFF"/>
        </w:rPr>
        <w:t xml:space="preserve">omestic </w:t>
      </w:r>
      <w:r w:rsidR="009E18F7" w:rsidRPr="008608AA">
        <w:rPr>
          <w:rFonts w:cstheme="minorHAnsi"/>
          <w:shd w:val="clear" w:color="auto" w:fill="FFFFFF"/>
        </w:rPr>
        <w:t>P</w:t>
      </w:r>
      <w:r w:rsidR="009234AB" w:rsidRPr="008608AA">
        <w:rPr>
          <w:rFonts w:cstheme="minorHAnsi"/>
          <w:shd w:val="clear" w:color="auto" w:fill="FFFFFF"/>
        </w:rPr>
        <w:t>roduct (GDP)</w:t>
      </w:r>
      <w:r w:rsidR="009E18F7" w:rsidRPr="008608AA">
        <w:rPr>
          <w:rFonts w:cstheme="minorHAnsi"/>
          <w:shd w:val="clear" w:color="auto" w:fill="FFFFFF"/>
        </w:rPr>
        <w:t xml:space="preserve"> of countries like US</w:t>
      </w:r>
      <w:r w:rsidR="009234AB" w:rsidRPr="008608AA">
        <w:rPr>
          <w:rFonts w:cstheme="minorHAnsi"/>
          <w:shd w:val="clear" w:color="auto" w:fill="FFFFFF"/>
        </w:rPr>
        <w:t>A</w:t>
      </w:r>
      <w:r w:rsidR="009E18F7" w:rsidRPr="008608AA">
        <w:rPr>
          <w:rFonts w:cstheme="minorHAnsi"/>
          <w:shd w:val="clear" w:color="auto" w:fill="FFFFFF"/>
        </w:rPr>
        <w:t>, Brazil and Argentina are largely dependent on pollinators; Lautenbach et al., 2012; see also Chapter 2).</w:t>
      </w:r>
    </w:p>
    <w:p w14:paraId="5E2EB29B" w14:textId="7893ACEE" w:rsidR="009E18F7" w:rsidRPr="008608AA" w:rsidRDefault="009E18F7" w:rsidP="00BD08BA">
      <w:pPr>
        <w:rPr>
          <w:rFonts w:cstheme="minorHAnsi"/>
          <w:shd w:val="clear" w:color="auto" w:fill="FFFFFF"/>
        </w:rPr>
      </w:pPr>
      <w:r w:rsidRPr="008608AA">
        <w:rPr>
          <w:rFonts w:cstheme="minorHAnsi"/>
          <w:shd w:val="clear" w:color="auto" w:fill="FFFFFF"/>
        </w:rPr>
        <w:t xml:space="preserve"> </w:t>
      </w:r>
    </w:p>
    <w:p w14:paraId="4086D2E7" w14:textId="32AED263" w:rsidR="009E18F7" w:rsidRPr="008608AA" w:rsidRDefault="009E18F7" w:rsidP="00BD08BA">
      <w:r w:rsidRPr="008608AA">
        <w:rPr>
          <w:shd w:val="clear" w:color="auto" w:fill="FFFFFF"/>
        </w:rPr>
        <w:t xml:space="preserve">There are also persistent challenges to mainstreaming biodiversity and ecosystem services into the agricultural sector. Most policies and practices are designed specifically either for farm, or for landscape, or for the agri-food system that has national to global reach (Foley et al., 2011). Moreover, </w:t>
      </w:r>
      <w:r w:rsidRPr="008608AA">
        <w:t>agri-food systems are under pressure from external factors - such as globalisation, climate change, and scarcity of resources - and internal factors - such as changes in market relations, asymmetric price transmission, input suppliers and retails concentration, changing consumer demands (Hubeau et al., 2017; Lowitt et al., 2015). In turn, such global systems impact biodiversity a</w:t>
      </w:r>
      <w:r w:rsidR="0009057F" w:rsidRPr="008608AA">
        <w:t>nd ecosystem services (Moran &amp;</w:t>
      </w:r>
      <w:r w:rsidRPr="008608AA">
        <w:t xml:space="preserve"> Kanemoto, 2017). For instance, in the case of Brazil, the third largest agricultural exporter in the world (after EU and US</w:t>
      </w:r>
      <w:r w:rsidR="009234AB" w:rsidRPr="008608AA">
        <w:t>A</w:t>
      </w:r>
      <w:r w:rsidRPr="008608AA">
        <w:t xml:space="preserve">; Handford et al., 2015), recent national-level legislation on conservation and restoration within private properties to be delivered at farm level will have positive landscape consequences related to connectivity and protection of biodiversity and ecosystem services, and will feed into the country´s commitments at various global conventions (Soares-Filho et al., 2014; Brancalion et al., 2016; Scarano, 2017; see also 6.6.3). In parallel, governmental incentives for low carbon agriculture (Soares-Filho et al., 2014; Rodríguez-Osuña et al., in press) and existing state-level payment for ecosystem services legislation are well aligned with that (Zanella et al., 2014). In contrast, lack of policy integration is perceived when existing farm-level policies and standards (see Handford et al., 2015) do not keep the country from being the largest worldwide user of agrochemicals in commodities (Gerage et al., 2017); when logistic and infrastructural limitations at national level cause large </w:t>
      </w:r>
      <w:r w:rsidR="00543B4A" w:rsidRPr="008608AA">
        <w:t xml:space="preserve">global greenhouse gas </w:t>
      </w:r>
      <w:r w:rsidRPr="008608AA">
        <w:t xml:space="preserve">emissions from transportation of agricultural goods and beef (Soysal et al., 2014); when export policies of commodities create biodiversity footprint hotspots driven by market demands of </w:t>
      </w:r>
      <w:r w:rsidR="00B40E9F" w:rsidRPr="008608AA">
        <w:t>the U</w:t>
      </w:r>
      <w:r w:rsidR="0009057F" w:rsidRPr="008608AA">
        <w:t>S</w:t>
      </w:r>
      <w:r w:rsidR="00B40E9F" w:rsidRPr="008608AA">
        <w:t>A and the European Union</w:t>
      </w:r>
      <w:r w:rsidR="0009057F" w:rsidRPr="008608AA">
        <w:t xml:space="preserve"> (Moran &amp;</w:t>
      </w:r>
      <w:r w:rsidRPr="008608AA">
        <w:t xml:space="preserve"> Kanemoto, 2017); and when many smallholder farmers who produce food remain poor and vulnerable to climate change (Burney et al., 2014; Guedes et al.</w:t>
      </w:r>
      <w:r w:rsidR="0009057F" w:rsidRPr="008608AA">
        <w:t>,</w:t>
      </w:r>
      <w:r w:rsidRPr="008608AA">
        <w:t xml:space="preserve"> 2014). These contradictory policies related to Brazilian agriculture and its impacts on biodiversity and ecosystem services are being transferred to Mozambique to some extent, in the realm of the cooperation of the two coun</w:t>
      </w:r>
      <w:r w:rsidR="0009057F" w:rsidRPr="008608AA">
        <w:t>tries in this field (Zanella &amp;</w:t>
      </w:r>
      <w:r w:rsidRPr="008608AA">
        <w:t xml:space="preserve"> Milhorance, 2015).</w:t>
      </w:r>
    </w:p>
    <w:p w14:paraId="5A502332" w14:textId="77777777" w:rsidR="00B40E9F" w:rsidRPr="008608AA" w:rsidRDefault="00B40E9F" w:rsidP="00BD08BA"/>
    <w:p w14:paraId="0F55C5A8" w14:textId="1FAFA50E" w:rsidR="009E18F7" w:rsidRPr="008608AA" w:rsidRDefault="009E18F7" w:rsidP="00BD08BA">
      <w:pPr>
        <w:rPr>
          <w:rFonts w:cstheme="minorHAnsi"/>
          <w:shd w:val="clear" w:color="auto" w:fill="FFFFFF"/>
        </w:rPr>
      </w:pPr>
      <w:r w:rsidRPr="008608AA">
        <w:t>The role and impact of private sector in biodiversity and ecosystem services management is another key dimension. Private sector practices are often influenced by government-led policies and vice-versa. Franks et al. (2014) showed major losses of mining and hydrocarbon companies due to conflicts that emerged locally when environmental (</w:t>
      </w:r>
      <w:r w:rsidR="00847F60" w:rsidRPr="008608AA">
        <w:t>e.g.</w:t>
      </w:r>
      <w:r w:rsidRPr="008608AA">
        <w:t xml:space="preserve"> biodiversity and ecosystem services) and social (</w:t>
      </w:r>
      <w:r w:rsidR="00847F60" w:rsidRPr="008608AA">
        <w:t>e.g.</w:t>
      </w:r>
      <w:r w:rsidRPr="008608AA">
        <w:t xml:space="preserve"> consent, culture) variables were not accounted for in their policies and governance systems, including countries such as Argentina and Peru. They concluded that to ensure sound management of environmental and social risks and to deal constructively with conflicts, the policy environment should encourage:</w:t>
      </w:r>
      <w:r w:rsidRPr="008608AA">
        <w:rPr>
          <w:rFonts w:ascii="AdvOT88ac8687" w:hAnsi="AdvOT88ac8687" w:cs="AdvOT88ac8687"/>
          <w:sz w:val="18"/>
          <w:szCs w:val="18"/>
        </w:rPr>
        <w:t xml:space="preserve"> </w:t>
      </w:r>
      <w:r w:rsidRPr="008608AA">
        <w:rPr>
          <w:rFonts w:cs="AdvOT88ac8687"/>
        </w:rPr>
        <w:t>(1) effective predictive assessment and management of environmental and social impacts; (2) greater community involvement in dialogue and decision-making during the early stages of projects (including addressing community held expectations for consent); (3) the formalization of such dialogue into agreements between companies and their employees, indigenous peoples, and communities; and (4) the implementation of conflict resolution and grievance handling approaches. This rationale is in harmony with the assessment made by Jaskoski (2014) who, in a case study in Peru, found</w:t>
      </w:r>
      <w:r w:rsidRPr="008608AA">
        <w:rPr>
          <w:rFonts w:ascii="Arial" w:hAnsi="Arial" w:cs="Arial"/>
          <w:color w:val="2E2E2E"/>
          <w:shd w:val="clear" w:color="auto" w:fill="FFFFFF"/>
        </w:rPr>
        <w:t xml:space="preserve"> </w:t>
      </w:r>
      <w:r w:rsidRPr="008608AA">
        <w:rPr>
          <w:rFonts w:cs="AdvOT88ac8687"/>
        </w:rPr>
        <w:t>that</w:t>
      </w:r>
      <w:r w:rsidRPr="008608AA">
        <w:rPr>
          <w:rFonts w:cstheme="minorHAnsi"/>
          <w:shd w:val="clear" w:color="auto" w:fill="FFFFFF"/>
        </w:rPr>
        <w:t xml:space="preserve"> reduced space for community participation in the environmental impact assessment process led to the stalling of major extractive projects.</w:t>
      </w:r>
    </w:p>
    <w:p w14:paraId="3BAEF7DA" w14:textId="77777777" w:rsidR="00543B4A" w:rsidRPr="008608AA" w:rsidRDefault="00543B4A" w:rsidP="00C32AE2">
      <w:pPr>
        <w:rPr>
          <w:rFonts w:cstheme="minorHAnsi"/>
          <w:shd w:val="clear" w:color="auto" w:fill="FFFFFF"/>
        </w:rPr>
      </w:pPr>
    </w:p>
    <w:p w14:paraId="688C7A6C" w14:textId="77777777" w:rsidR="008568BE" w:rsidRPr="008608AA" w:rsidRDefault="009E18F7" w:rsidP="00BD08BA">
      <w:pPr>
        <w:pStyle w:val="Heading2"/>
      </w:pPr>
      <w:r w:rsidRPr="008608AA">
        <w:t xml:space="preserve"> </w:t>
      </w:r>
      <w:bookmarkStart w:id="2330" w:name="_Toc502957758"/>
      <w:bookmarkStart w:id="2331" w:name="_Toc502957957"/>
      <w:bookmarkStart w:id="2332" w:name="_Toc502958111"/>
      <w:bookmarkStart w:id="2333" w:name="_Toc503293180"/>
      <w:bookmarkStart w:id="2334" w:name="_Toc503293778"/>
      <w:bookmarkStart w:id="2335" w:name="_Toc503294040"/>
      <w:bookmarkStart w:id="2336" w:name="_Toc503863433"/>
      <w:bookmarkStart w:id="2337" w:name="_Toc503863661"/>
      <w:bookmarkStart w:id="2338" w:name="_Toc517393433"/>
      <w:bookmarkStart w:id="2339" w:name="_Toc517719174"/>
      <w:bookmarkStart w:id="2340" w:name="_Toc517797131"/>
      <w:r w:rsidRPr="008608AA">
        <w:t>Governance</w:t>
      </w:r>
      <w:bookmarkEnd w:id="2330"/>
      <w:bookmarkEnd w:id="2331"/>
      <w:bookmarkEnd w:id="2332"/>
      <w:bookmarkEnd w:id="2333"/>
      <w:bookmarkEnd w:id="2334"/>
      <w:bookmarkEnd w:id="2335"/>
      <w:bookmarkEnd w:id="2336"/>
      <w:bookmarkEnd w:id="2337"/>
      <w:bookmarkEnd w:id="2338"/>
      <w:bookmarkEnd w:id="2339"/>
      <w:bookmarkEnd w:id="2340"/>
    </w:p>
    <w:p w14:paraId="0B40B04F" w14:textId="77777777" w:rsidR="00BD08BA" w:rsidRPr="008608AA" w:rsidRDefault="00BD08BA" w:rsidP="00BD08BA">
      <w:pPr>
        <w:rPr>
          <w:lang w:val="en-GB" w:eastAsia="es-CO"/>
        </w:rPr>
      </w:pPr>
    </w:p>
    <w:p w14:paraId="4BB87574" w14:textId="506A87F1" w:rsidR="00BD08BA" w:rsidRPr="008608AA" w:rsidRDefault="009E18F7" w:rsidP="00BD08BA">
      <w:pPr>
        <w:pStyle w:val="Heading3"/>
        <w:spacing w:before="0"/>
        <w:rPr>
          <w:lang w:val="en-US"/>
        </w:rPr>
      </w:pPr>
      <w:bookmarkStart w:id="2341" w:name="_Toc502957759"/>
      <w:bookmarkStart w:id="2342" w:name="_Toc502957958"/>
      <w:bookmarkStart w:id="2343" w:name="_Toc502958112"/>
      <w:bookmarkStart w:id="2344" w:name="_Toc503293181"/>
      <w:bookmarkStart w:id="2345" w:name="_Toc503293779"/>
      <w:bookmarkStart w:id="2346" w:name="_Toc503294041"/>
      <w:bookmarkStart w:id="2347" w:name="_Toc503863434"/>
      <w:bookmarkStart w:id="2348" w:name="_Toc503863662"/>
      <w:bookmarkStart w:id="2349" w:name="_Toc517393434"/>
      <w:bookmarkStart w:id="2350" w:name="_Toc517719175"/>
      <w:bookmarkStart w:id="2351" w:name="_Toc517797132"/>
      <w:r w:rsidRPr="008608AA">
        <w:rPr>
          <w:lang w:val="en-US"/>
        </w:rPr>
        <w:t>Moving from a state-centered approach to greater participation</w:t>
      </w:r>
      <w:bookmarkEnd w:id="2341"/>
      <w:bookmarkEnd w:id="2342"/>
      <w:bookmarkEnd w:id="2343"/>
      <w:bookmarkEnd w:id="2344"/>
      <w:bookmarkEnd w:id="2345"/>
      <w:bookmarkEnd w:id="2346"/>
      <w:bookmarkEnd w:id="2347"/>
      <w:bookmarkEnd w:id="2348"/>
      <w:bookmarkEnd w:id="2349"/>
      <w:bookmarkEnd w:id="2350"/>
      <w:bookmarkEnd w:id="2351"/>
    </w:p>
    <w:p w14:paraId="189FDEF0" w14:textId="0581298B" w:rsidR="009E18F7" w:rsidRPr="008608AA" w:rsidRDefault="009E18F7" w:rsidP="00BD08BA">
      <w:r w:rsidRPr="008608AA">
        <w:t>Diverse forms of socio-ecological governance strategies are being practiced worldwide, and it is now clear that market, state, or civil society-based strategies depend on support from other domains of social interactions for their efficacy. The complex nature of socioecological challenges and the occasional reluctance or inability of nation states to regulate the sources of these problems or to enforce solutions lead to increasingly decentralized governance schemes, where nonstate actors are capable of generating</w:t>
      </w:r>
      <w:r w:rsidR="0009057F" w:rsidRPr="008608AA">
        <w:t xml:space="preserve"> innovative solutions (Lemos &amp;</w:t>
      </w:r>
      <w:r w:rsidRPr="008608AA">
        <w:t xml:space="preserve"> Agrawal, 2006). This is an emerging trend in the Americas.</w:t>
      </w:r>
    </w:p>
    <w:p w14:paraId="7696B914" w14:textId="77777777" w:rsidR="00B40E9F" w:rsidRPr="008608AA" w:rsidRDefault="00B40E9F" w:rsidP="00BD08BA"/>
    <w:p w14:paraId="48384B45" w14:textId="7CF27838" w:rsidR="009E18F7" w:rsidRPr="008608AA" w:rsidRDefault="009E18F7" w:rsidP="00BD08BA">
      <w:r w:rsidRPr="008608AA">
        <w:t>Until the 1990’s, state-centered governance dominated most of the Americas region - particularly Latin America, where several countries were under military dictatorship -, with top-down decision-making procedures controlled by a technocratic elite and grounded in a nationalist discourse of state sovereignty (Castro et al., 2016). In the 1990’s, most Latin American societies - which were not already democratic - went through a process of democratization but, at the same time, continued to be influenced by policies from international institutions, particularly the International Monetary Fund, the World Bank and the Inter-America</w:t>
      </w:r>
      <w:r w:rsidR="0009057F" w:rsidRPr="008608AA">
        <w:t>n Development Bank (Liverman &amp;</w:t>
      </w:r>
      <w:r w:rsidRPr="008608AA">
        <w:t xml:space="preserve"> Vilas, 2006). These policies called for a market-based approach to self-governance, through self-designed corporate mechanisms such as social responsibility, certification and compensation schemes (Castro et al., 2016).</w:t>
      </w:r>
    </w:p>
    <w:p w14:paraId="719CB0F9" w14:textId="77777777" w:rsidR="00B40E9F" w:rsidRPr="008608AA" w:rsidRDefault="00B40E9F" w:rsidP="00BD08BA"/>
    <w:p w14:paraId="3554825D" w14:textId="77777777" w:rsidR="00B40E9F" w:rsidRPr="008608AA" w:rsidRDefault="009E18F7" w:rsidP="00BD08BA">
      <w:r w:rsidRPr="008608AA">
        <w:t>At the same time, another type of self-governance approach began to become visible: governance systems relying primarily on collective action to regulate the access to and use of natural resources (common-pool resources, or simply the commons). Stemming from evidence collected in multiple disciplines, this mode of self-governance gained the attention of society by environmental justice movements and transnational activism networks (Castro et al., 2016). Defying a widespread theory that resource users are incapable of self-organizing to maintain their resources – and therefore the only way to avoid a “tragedy of the commons” (sensu Hardin, 1968) would be privatization or State rigorous control –, an extensive body of literature shows many cases where human groups (with an important presence of indigenous peoples) have used their resources sustainably for generations</w:t>
      </w:r>
      <w:r w:rsidRPr="008608AA">
        <w:rPr>
          <w:sz w:val="18"/>
          <w:szCs w:val="18"/>
        </w:rPr>
        <w:t xml:space="preserve"> </w:t>
      </w:r>
      <w:r w:rsidRPr="008608AA">
        <w:t>(</w:t>
      </w:r>
      <w:r w:rsidR="00847F60" w:rsidRPr="008608AA">
        <w:t>e.g.</w:t>
      </w:r>
      <w:r w:rsidRPr="008608AA">
        <w:t xml:space="preserve"> Brondizio et al., 2009; Gibson et al., 2000; Ostrom et al., 2002), whereas some government policies have accelerated resource depletion (Ostrom, 2009). </w:t>
      </w:r>
    </w:p>
    <w:p w14:paraId="1CA49321" w14:textId="77777777" w:rsidR="00B40E9F" w:rsidRPr="008608AA" w:rsidRDefault="00B40E9F" w:rsidP="00BD08BA"/>
    <w:p w14:paraId="32AC64BE" w14:textId="0AAAE5B1" w:rsidR="009E18F7" w:rsidRPr="008608AA" w:rsidRDefault="009E18F7" w:rsidP="00BD08BA">
      <w:r w:rsidRPr="008608AA">
        <w:t xml:space="preserve">Analyses of cases all around the world support the idea that groups who are capable of self-organizing to successfully manage their resources tend to follow some principles such as clearly defined boundaries, equitable rules for sharing benefits and costs, effective monitoring arrangements, graduated sanctions for those who violate rules, mechanisms for conflict resolution, and recognition of rights to organize (Cox et al., 2010; Ostrom, 1990). Sattler et al. (2016) reached similar conclusions in an analysis of four cases of multilevel community governance in Latin America (three in Brazil, one in Costa Rica). Furthermore, they acknowledged that </w:t>
      </w:r>
      <w:r w:rsidRPr="008608AA">
        <w:rPr>
          <w:rFonts w:cstheme="minorHAnsi"/>
        </w:rPr>
        <w:t>complex solutions that work for a specific context often cannot be transferred directly to another context.</w:t>
      </w:r>
    </w:p>
    <w:p w14:paraId="5C247EAA" w14:textId="77777777" w:rsidR="00B40E9F" w:rsidRPr="008608AA" w:rsidRDefault="00B40E9F" w:rsidP="00BD08BA"/>
    <w:p w14:paraId="1AA19C3A" w14:textId="5B95E864" w:rsidR="009E18F7" w:rsidRPr="008608AA" w:rsidRDefault="009E18F7" w:rsidP="00BD08BA">
      <w:r w:rsidRPr="008608AA">
        <w:t xml:space="preserve">Participatory governance emerged in this context in the 2000s and became a central element of environmental governance in the Americas (Castro et al., 2016). Viewed as an alternative capable of deepening democracy and citizenship, it seeks to integrate environment with other societal concerns – such as poverty alleviation, inclusion of minorities and local and indigenous populations, and social justice; and to devise strategies and solutions that differ from the top-down ones, in terms of greater inclusion of local knowledge, greater learning capacities, and </w:t>
      </w:r>
      <w:r w:rsidR="0009057F" w:rsidRPr="008608AA">
        <w:t>improved accountability (Fung &amp;</w:t>
      </w:r>
      <w:r w:rsidRPr="008608AA">
        <w:t xml:space="preserve"> Wright, 2001). In state-, community- or market-based governance, participatory governance is based on partnerships between relevant actors to set goals and to design and implement initiatives. It ranges from models of partnership between state and local communities developing a plan for territories, to more complex arrangements including multistakeholders and multiscale institutions. It represents a new layer in hybrid governance models composed by state-centered, market-based and local-based mechanisms (Castro et al., 2016) (see also Table 6.1 for more examples across the region).</w:t>
      </w:r>
    </w:p>
    <w:p w14:paraId="3F87515F" w14:textId="77777777" w:rsidR="00B40E9F" w:rsidRPr="008608AA" w:rsidRDefault="00B40E9F" w:rsidP="00BD08BA"/>
    <w:p w14:paraId="6EA31E7E" w14:textId="2D010A86" w:rsidR="00B40E9F" w:rsidRPr="008608AA" w:rsidRDefault="009E18F7" w:rsidP="00BD08BA">
      <w:r w:rsidRPr="008608AA">
        <w:t>Participatory governance has not been without its challenges however. The effectiveness of these arrangements depends on the manner in which different worldviews and interests are negotiated, how problems are prioritized, and how compatible the proposed solutions are with the social, institutional and environmental context. Examples of success stories range from the soybean moratorium in Brazilian Amazonia to watershed management in Montana, US</w:t>
      </w:r>
      <w:r w:rsidR="00B40E9F" w:rsidRPr="008608AA">
        <w:t>A</w:t>
      </w:r>
      <w:r w:rsidRPr="008608AA">
        <w:t xml:space="preserve">. Soybean moratorium was encouraged by </w:t>
      </w:r>
      <w:r w:rsidR="00713969" w:rsidRPr="008608AA">
        <w:t>non-governmental organizations (</w:t>
      </w:r>
      <w:r w:rsidRPr="008608AA">
        <w:t>NGOs</w:t>
      </w:r>
      <w:r w:rsidR="00713969" w:rsidRPr="008608AA">
        <w:t>)</w:t>
      </w:r>
      <w:r w:rsidRPr="008608AA">
        <w:t xml:space="preserve"> and soybean retailers and resulted in significant reduction in deforestation due to soybean production (</w:t>
      </w:r>
      <w:r w:rsidRPr="008608AA">
        <w:rPr>
          <w:rFonts w:cs="Arial"/>
        </w:rPr>
        <w:t xml:space="preserve">Nepstad et al., 2014; </w:t>
      </w:r>
      <w:r w:rsidRPr="008608AA">
        <w:t>see also 6.3.4). In Montana´s Yellowstone River Basin, dissensus – as a particular aspect of collaboration in a collaborative planning effort for water use measurement– has been essential to disrupt modes of inquiry, open alternative perspectives, and provide innovative possibilities, even among sanctioned participant voices operating within otherwise established, depoliticized governing arenas (Anderson et al., 2016).</w:t>
      </w:r>
    </w:p>
    <w:p w14:paraId="44F31052" w14:textId="02D5B360" w:rsidR="009E18F7" w:rsidRPr="008608AA" w:rsidRDefault="009E18F7" w:rsidP="00BD08BA">
      <w:r w:rsidRPr="008608AA">
        <w:t xml:space="preserve"> </w:t>
      </w:r>
    </w:p>
    <w:p w14:paraId="3BC5FCEB" w14:textId="72356EA8" w:rsidR="009E18F7" w:rsidRPr="008608AA" w:rsidRDefault="009E18F7" w:rsidP="00BD08BA">
      <w:r w:rsidRPr="008608AA">
        <w:t>Therefore, a diversity of cases across policy areas, levels of economic development, and political cultures around the globe suggest that p</w:t>
      </w:r>
      <w:r w:rsidRPr="008608AA">
        <w:rPr>
          <w:bCs/>
        </w:rPr>
        <w:t xml:space="preserve">artnerships and participatory deliberative processes </w:t>
      </w:r>
      <w:r w:rsidRPr="008608AA">
        <w:t>contribute to a large class of problem-solving situations and</w:t>
      </w:r>
      <w:r w:rsidRPr="008608AA">
        <w:rPr>
          <w:bCs/>
        </w:rPr>
        <w:t xml:space="preserve"> can support successful governance</w:t>
      </w:r>
      <w:r w:rsidRPr="008608AA">
        <w:t xml:space="preserve"> of so</w:t>
      </w:r>
      <w:r w:rsidR="0009057F" w:rsidRPr="008608AA">
        <w:t>cio-ecological systems (Fung &amp;</w:t>
      </w:r>
      <w:r w:rsidRPr="008608AA">
        <w:t xml:space="preserve"> Wright, 2001; Tucker, 2010; see also 6.4.2, 6.4.3). However, there is recent theory on the existence of conditioning factors for participation to lead to successful environmental outcomes (</w:t>
      </w:r>
      <w:r w:rsidR="00847F60" w:rsidRPr="008608AA">
        <w:t>e.g.</w:t>
      </w:r>
      <w:r w:rsidRPr="008608AA">
        <w:t xml:space="preserve"> Newig et al., 2017), which still requires testing. One potential weakness in participatory processes occurs when participation is treated or included as a façade. In such cases, state and/or other privileged actors retain the authority to govern within a given arena - while giving the impression of being more decentralized or democratic - while less privileged stakeholders merely approve top-down designed policies (Anderson et al., 2016). </w:t>
      </w:r>
    </w:p>
    <w:p w14:paraId="3584A920" w14:textId="77777777" w:rsidR="009E18F7" w:rsidRPr="008608AA" w:rsidRDefault="009E18F7" w:rsidP="00C32AE2">
      <w:pPr>
        <w:sectPr w:rsidR="009E18F7" w:rsidRPr="008608AA" w:rsidSect="00BD08BA">
          <w:headerReference w:type="even" r:id="rId1062"/>
          <w:headerReference w:type="default" r:id="rId1063"/>
          <w:headerReference w:type="first" r:id="rId1064"/>
          <w:pgSz w:w="11907" w:h="16839" w:code="9"/>
          <w:pgMar w:top="907" w:right="992" w:bottom="1418" w:left="1418" w:header="794" w:footer="708" w:gutter="0"/>
          <w:cols w:space="708"/>
          <w:docGrid w:linePitch="360"/>
        </w:sectPr>
      </w:pPr>
    </w:p>
    <w:p w14:paraId="3D58FDBA" w14:textId="7E56B362" w:rsidR="009E18F7" w:rsidRPr="008608AA" w:rsidRDefault="00BD08BA" w:rsidP="00BD08BA">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6</w:t>
      </w:r>
      <w:r w:rsidR="000E562E">
        <w:rPr>
          <w:noProof/>
        </w:rPr>
        <w:fldChar w:fldCharType="end"/>
      </w:r>
      <w:r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1</w:t>
      </w:r>
      <w:r w:rsidR="000E562E">
        <w:rPr>
          <w:noProof/>
        </w:rPr>
        <w:fldChar w:fldCharType="end"/>
      </w:r>
      <w:r w:rsidR="009E18F7" w:rsidRPr="008608AA">
        <w:t xml:space="preserve">Examples of participatory processes in the Americas that take place in protected areas and/or in community-based management areas: </w:t>
      </w:r>
      <w:r w:rsidR="009E18F7" w:rsidRPr="008608AA">
        <w:rPr>
          <w:lang w:val="en-US"/>
        </w:rPr>
        <w:t>public policies with the involvement and participation of social actors in the design, implementation, monitoring and/or evaluation stages</w:t>
      </w:r>
    </w:p>
    <w:tbl>
      <w:tblPr>
        <w:tblStyle w:val="TableGrid"/>
        <w:tblW w:w="5000" w:type="pct"/>
        <w:tblLook w:val="04A0" w:firstRow="1" w:lastRow="0" w:firstColumn="1" w:lastColumn="0" w:noHBand="0" w:noVBand="1"/>
      </w:tblPr>
      <w:tblGrid>
        <w:gridCol w:w="1331"/>
        <w:gridCol w:w="1810"/>
        <w:gridCol w:w="2991"/>
        <w:gridCol w:w="8372"/>
      </w:tblGrid>
      <w:tr w:rsidR="009E18F7" w:rsidRPr="008608AA" w14:paraId="4C739B14" w14:textId="77777777" w:rsidTr="00BD08BA">
        <w:tc>
          <w:tcPr>
            <w:tcW w:w="459" w:type="pct"/>
            <w:shd w:val="clear" w:color="auto" w:fill="D9D9D9" w:themeFill="background1" w:themeFillShade="D9"/>
          </w:tcPr>
          <w:p w14:paraId="1A0A9EE4" w14:textId="77777777" w:rsidR="009E18F7" w:rsidRPr="008608AA" w:rsidRDefault="009E18F7" w:rsidP="008568BE">
            <w:pPr>
              <w:rPr>
                <w:b/>
                <w:sz w:val="18"/>
                <w:szCs w:val="18"/>
              </w:rPr>
            </w:pPr>
            <w:r w:rsidRPr="008608AA">
              <w:rPr>
                <w:b/>
                <w:sz w:val="18"/>
                <w:szCs w:val="18"/>
              </w:rPr>
              <w:t>Instrument</w:t>
            </w:r>
          </w:p>
        </w:tc>
        <w:tc>
          <w:tcPr>
            <w:tcW w:w="624" w:type="pct"/>
            <w:shd w:val="clear" w:color="auto" w:fill="D9D9D9" w:themeFill="background1" w:themeFillShade="D9"/>
          </w:tcPr>
          <w:p w14:paraId="247E4DE6" w14:textId="77777777" w:rsidR="009E18F7" w:rsidRPr="008608AA" w:rsidRDefault="009E18F7" w:rsidP="008568BE">
            <w:pPr>
              <w:rPr>
                <w:b/>
                <w:sz w:val="18"/>
                <w:szCs w:val="18"/>
              </w:rPr>
            </w:pPr>
            <w:r w:rsidRPr="008608AA">
              <w:rPr>
                <w:b/>
                <w:sz w:val="18"/>
                <w:szCs w:val="18"/>
              </w:rPr>
              <w:t>Type</w:t>
            </w:r>
          </w:p>
        </w:tc>
        <w:tc>
          <w:tcPr>
            <w:tcW w:w="1031" w:type="pct"/>
            <w:shd w:val="clear" w:color="auto" w:fill="D9D9D9" w:themeFill="background1" w:themeFillShade="D9"/>
          </w:tcPr>
          <w:p w14:paraId="1C7F2575" w14:textId="77777777" w:rsidR="009E18F7" w:rsidRPr="008608AA" w:rsidRDefault="009E18F7" w:rsidP="008568BE">
            <w:pPr>
              <w:rPr>
                <w:b/>
                <w:sz w:val="18"/>
                <w:szCs w:val="18"/>
              </w:rPr>
            </w:pPr>
            <w:r w:rsidRPr="008608AA">
              <w:rPr>
                <w:b/>
                <w:sz w:val="18"/>
                <w:szCs w:val="18"/>
              </w:rPr>
              <w:t>Country (and sub-national unit)</w:t>
            </w:r>
          </w:p>
        </w:tc>
        <w:tc>
          <w:tcPr>
            <w:tcW w:w="2886" w:type="pct"/>
            <w:shd w:val="clear" w:color="auto" w:fill="D9D9D9" w:themeFill="background1" w:themeFillShade="D9"/>
          </w:tcPr>
          <w:p w14:paraId="54CCB61F" w14:textId="77777777" w:rsidR="009E18F7" w:rsidRPr="008608AA" w:rsidRDefault="009E18F7" w:rsidP="008568BE">
            <w:pPr>
              <w:rPr>
                <w:b/>
                <w:sz w:val="18"/>
                <w:szCs w:val="18"/>
              </w:rPr>
            </w:pPr>
            <w:r w:rsidRPr="008608AA">
              <w:rPr>
                <w:b/>
                <w:sz w:val="18"/>
                <w:szCs w:val="18"/>
              </w:rPr>
              <w:t>Brief description</w:t>
            </w:r>
          </w:p>
        </w:tc>
      </w:tr>
      <w:tr w:rsidR="009E18F7" w:rsidRPr="00A3137A" w14:paraId="4AA66F9A" w14:textId="77777777" w:rsidTr="00C656E9">
        <w:tc>
          <w:tcPr>
            <w:tcW w:w="459" w:type="pct"/>
            <w:vMerge w:val="restart"/>
          </w:tcPr>
          <w:p w14:paraId="0A11239D" w14:textId="77777777" w:rsidR="009E18F7" w:rsidRPr="008608AA" w:rsidRDefault="009E18F7" w:rsidP="008568BE">
            <w:pPr>
              <w:rPr>
                <w:sz w:val="18"/>
                <w:szCs w:val="18"/>
              </w:rPr>
            </w:pPr>
            <w:r w:rsidRPr="008608AA">
              <w:rPr>
                <w:sz w:val="18"/>
                <w:szCs w:val="18"/>
              </w:rPr>
              <w:t>Protected areas</w:t>
            </w:r>
          </w:p>
        </w:tc>
        <w:tc>
          <w:tcPr>
            <w:tcW w:w="624" w:type="pct"/>
            <w:vMerge w:val="restart"/>
          </w:tcPr>
          <w:p w14:paraId="4E8FED3D" w14:textId="77777777" w:rsidR="009E18F7" w:rsidRPr="008608AA" w:rsidRDefault="009E18F7" w:rsidP="008568BE">
            <w:pPr>
              <w:rPr>
                <w:sz w:val="18"/>
                <w:szCs w:val="18"/>
              </w:rPr>
            </w:pPr>
            <w:r w:rsidRPr="008608AA">
              <w:rPr>
                <w:sz w:val="18"/>
                <w:szCs w:val="18"/>
                <w:lang w:eastAsia="en-GB"/>
              </w:rPr>
              <w:t>Shared management with NGOs, companies, and/or other civil society institutions</w:t>
            </w:r>
          </w:p>
        </w:tc>
        <w:tc>
          <w:tcPr>
            <w:tcW w:w="1031" w:type="pct"/>
          </w:tcPr>
          <w:p w14:paraId="028D27A3" w14:textId="30806F4C" w:rsidR="009E18F7" w:rsidRPr="008608AA" w:rsidRDefault="009E18F7" w:rsidP="008568BE">
            <w:pPr>
              <w:rPr>
                <w:sz w:val="18"/>
                <w:szCs w:val="18"/>
                <w:lang w:val="pt-BR"/>
              </w:rPr>
            </w:pPr>
            <w:r w:rsidRPr="008608AA">
              <w:rPr>
                <w:sz w:val="18"/>
                <w:szCs w:val="18"/>
                <w:lang w:val="pt-BR" w:eastAsia="en-GB"/>
              </w:rPr>
              <w:t>Brazil (</w:t>
            </w:r>
            <w:r w:rsidR="00847F60" w:rsidRPr="008608AA">
              <w:rPr>
                <w:sz w:val="18"/>
                <w:szCs w:val="18"/>
                <w:lang w:val="pt-BR" w:eastAsia="en-GB"/>
              </w:rPr>
              <w:t>e.g.</w:t>
            </w:r>
            <w:r w:rsidRPr="008608AA">
              <w:rPr>
                <w:sz w:val="18"/>
                <w:szCs w:val="18"/>
                <w:lang w:val="pt-BR" w:eastAsia="en-GB"/>
              </w:rPr>
              <w:t xml:space="preserve"> Amazonas and São Paulo states)</w:t>
            </w:r>
          </w:p>
        </w:tc>
        <w:tc>
          <w:tcPr>
            <w:tcW w:w="2886" w:type="pct"/>
          </w:tcPr>
          <w:p w14:paraId="7C364FF5" w14:textId="426BED01" w:rsidR="009E18F7" w:rsidRPr="00A3137A" w:rsidRDefault="009E18F7" w:rsidP="000D52E0">
            <w:pPr>
              <w:rPr>
                <w:sz w:val="18"/>
                <w:szCs w:val="18"/>
                <w:lang w:val="pt-BR"/>
              </w:rPr>
            </w:pPr>
            <w:r w:rsidRPr="00A3137A">
              <w:rPr>
                <w:sz w:val="18"/>
                <w:szCs w:val="18"/>
                <w:lang w:val="pt-BR" w:eastAsia="en-GB"/>
              </w:rPr>
              <w:t xml:space="preserve">Often informal support to management by non-governmental institutions (Koury </w:t>
            </w:r>
            <w:r w:rsidR="000D52E0" w:rsidRPr="00A3137A">
              <w:rPr>
                <w:sz w:val="18"/>
                <w:szCs w:val="18"/>
                <w:lang w:val="pt-BR" w:eastAsia="en-GB"/>
              </w:rPr>
              <w:t>&amp;</w:t>
            </w:r>
            <w:r w:rsidRPr="00A3137A">
              <w:rPr>
                <w:sz w:val="18"/>
                <w:szCs w:val="18"/>
                <w:lang w:val="pt-BR" w:eastAsia="en-GB"/>
              </w:rPr>
              <w:t xml:space="preserve"> Guimarães, 2012; Borrini-Feyerabend </w:t>
            </w:r>
            <w:r w:rsidRPr="00A3137A">
              <w:rPr>
                <w:i/>
                <w:sz w:val="18"/>
                <w:szCs w:val="18"/>
                <w:lang w:val="pt-BR" w:eastAsia="en-GB"/>
              </w:rPr>
              <w:t>et al</w:t>
            </w:r>
            <w:r w:rsidRPr="00A3137A">
              <w:rPr>
                <w:sz w:val="18"/>
                <w:szCs w:val="18"/>
                <w:lang w:val="pt-BR" w:eastAsia="en-GB"/>
              </w:rPr>
              <w:t xml:space="preserve">., 2004; Lima </w:t>
            </w:r>
            <w:r w:rsidR="000D52E0" w:rsidRPr="00A3137A">
              <w:rPr>
                <w:sz w:val="18"/>
                <w:szCs w:val="18"/>
                <w:lang w:val="pt-BR" w:eastAsia="en-GB"/>
              </w:rPr>
              <w:t>&amp;</w:t>
            </w:r>
            <w:r w:rsidRPr="00A3137A">
              <w:rPr>
                <w:sz w:val="18"/>
                <w:szCs w:val="18"/>
                <w:lang w:val="pt-BR" w:eastAsia="en-GB"/>
              </w:rPr>
              <w:t xml:space="preserve"> Pozzobon, 2005; Maccord </w:t>
            </w:r>
            <w:r w:rsidRPr="00A3137A">
              <w:rPr>
                <w:i/>
                <w:sz w:val="18"/>
                <w:szCs w:val="18"/>
                <w:lang w:val="pt-BR" w:eastAsia="en-GB"/>
              </w:rPr>
              <w:t>et al</w:t>
            </w:r>
            <w:r w:rsidRPr="00A3137A">
              <w:rPr>
                <w:sz w:val="18"/>
                <w:szCs w:val="18"/>
                <w:lang w:val="pt-BR" w:eastAsia="en-GB"/>
              </w:rPr>
              <w:t>., 2007)</w:t>
            </w:r>
          </w:p>
        </w:tc>
      </w:tr>
      <w:tr w:rsidR="009E18F7" w:rsidRPr="008608AA" w14:paraId="24164BC5" w14:textId="77777777" w:rsidTr="00C656E9">
        <w:tc>
          <w:tcPr>
            <w:tcW w:w="459" w:type="pct"/>
            <w:vMerge/>
          </w:tcPr>
          <w:p w14:paraId="6E14529D" w14:textId="77777777" w:rsidR="009E18F7" w:rsidRPr="00A3137A" w:rsidRDefault="009E18F7" w:rsidP="008568BE">
            <w:pPr>
              <w:rPr>
                <w:sz w:val="18"/>
                <w:szCs w:val="18"/>
                <w:lang w:val="pt-BR"/>
              </w:rPr>
            </w:pPr>
          </w:p>
        </w:tc>
        <w:tc>
          <w:tcPr>
            <w:tcW w:w="624" w:type="pct"/>
            <w:vMerge/>
          </w:tcPr>
          <w:p w14:paraId="1CB251EA" w14:textId="77777777" w:rsidR="009E18F7" w:rsidRPr="00A3137A" w:rsidRDefault="009E18F7" w:rsidP="008568BE">
            <w:pPr>
              <w:rPr>
                <w:sz w:val="18"/>
                <w:szCs w:val="18"/>
                <w:lang w:val="pt-BR"/>
              </w:rPr>
            </w:pPr>
          </w:p>
        </w:tc>
        <w:tc>
          <w:tcPr>
            <w:tcW w:w="1031" w:type="pct"/>
            <w:vAlign w:val="center"/>
          </w:tcPr>
          <w:p w14:paraId="7FFD41AA" w14:textId="77777777" w:rsidR="009E18F7" w:rsidRPr="008608AA" w:rsidRDefault="009E18F7" w:rsidP="008568BE">
            <w:pPr>
              <w:rPr>
                <w:sz w:val="18"/>
                <w:szCs w:val="18"/>
                <w:lang w:eastAsia="en-GB"/>
              </w:rPr>
            </w:pPr>
            <w:r w:rsidRPr="008608AA">
              <w:rPr>
                <w:sz w:val="18"/>
                <w:szCs w:val="18"/>
                <w:lang w:eastAsia="en-GB"/>
              </w:rPr>
              <w:t>Canada</w:t>
            </w:r>
          </w:p>
        </w:tc>
        <w:tc>
          <w:tcPr>
            <w:tcW w:w="2886" w:type="pct"/>
            <w:vAlign w:val="center"/>
          </w:tcPr>
          <w:p w14:paraId="31CD17C9" w14:textId="77777777" w:rsidR="009E18F7" w:rsidRPr="008608AA" w:rsidRDefault="009E18F7" w:rsidP="008568BE">
            <w:pPr>
              <w:rPr>
                <w:sz w:val="18"/>
                <w:szCs w:val="18"/>
                <w:lang w:eastAsia="en-GB"/>
              </w:rPr>
            </w:pPr>
            <w:r w:rsidRPr="008608AA">
              <w:rPr>
                <w:sz w:val="18"/>
                <w:szCs w:val="18"/>
                <w:lang w:eastAsia="en-GB"/>
              </w:rPr>
              <w:t xml:space="preserve">Organizations with indigenous representation in co-management agreements (Armitage, 2005; Borrini-Feyerabend </w:t>
            </w:r>
            <w:r w:rsidRPr="008608AA">
              <w:rPr>
                <w:i/>
                <w:sz w:val="18"/>
                <w:szCs w:val="18"/>
                <w:lang w:eastAsia="en-GB"/>
              </w:rPr>
              <w:t>et al</w:t>
            </w:r>
            <w:r w:rsidRPr="008608AA">
              <w:rPr>
                <w:sz w:val="18"/>
                <w:szCs w:val="18"/>
                <w:lang w:eastAsia="en-GB"/>
              </w:rPr>
              <w:t>., 2004)</w:t>
            </w:r>
          </w:p>
        </w:tc>
      </w:tr>
      <w:tr w:rsidR="009E18F7" w:rsidRPr="008608AA" w14:paraId="7C00EDC7" w14:textId="77777777" w:rsidTr="00C656E9">
        <w:tc>
          <w:tcPr>
            <w:tcW w:w="459" w:type="pct"/>
            <w:vMerge/>
          </w:tcPr>
          <w:p w14:paraId="06657E91" w14:textId="77777777" w:rsidR="009E18F7" w:rsidRPr="008608AA" w:rsidRDefault="009E18F7" w:rsidP="008568BE">
            <w:pPr>
              <w:rPr>
                <w:sz w:val="18"/>
                <w:szCs w:val="18"/>
              </w:rPr>
            </w:pPr>
          </w:p>
        </w:tc>
        <w:tc>
          <w:tcPr>
            <w:tcW w:w="624" w:type="pct"/>
            <w:vMerge/>
          </w:tcPr>
          <w:p w14:paraId="7EB5246A" w14:textId="77777777" w:rsidR="009E18F7" w:rsidRPr="008608AA" w:rsidRDefault="009E18F7" w:rsidP="008568BE">
            <w:pPr>
              <w:rPr>
                <w:sz w:val="18"/>
                <w:szCs w:val="18"/>
              </w:rPr>
            </w:pPr>
          </w:p>
        </w:tc>
        <w:tc>
          <w:tcPr>
            <w:tcW w:w="1031" w:type="pct"/>
            <w:vAlign w:val="center"/>
          </w:tcPr>
          <w:p w14:paraId="0642E901" w14:textId="77777777" w:rsidR="009E18F7" w:rsidRPr="008608AA" w:rsidRDefault="009E18F7" w:rsidP="008568BE">
            <w:pPr>
              <w:rPr>
                <w:sz w:val="18"/>
                <w:szCs w:val="18"/>
                <w:lang w:eastAsia="en-GB"/>
              </w:rPr>
            </w:pPr>
            <w:r w:rsidRPr="008608AA">
              <w:rPr>
                <w:sz w:val="18"/>
                <w:szCs w:val="18"/>
                <w:lang w:eastAsia="en-GB"/>
              </w:rPr>
              <w:t>Paraguay</w:t>
            </w:r>
          </w:p>
        </w:tc>
        <w:tc>
          <w:tcPr>
            <w:tcW w:w="2886" w:type="pct"/>
            <w:vAlign w:val="center"/>
          </w:tcPr>
          <w:p w14:paraId="4FF16D74" w14:textId="02E00473" w:rsidR="009E18F7" w:rsidRPr="008608AA" w:rsidRDefault="009E18F7" w:rsidP="000D52E0">
            <w:pPr>
              <w:rPr>
                <w:sz w:val="18"/>
                <w:szCs w:val="18"/>
                <w:lang w:eastAsia="en-GB"/>
              </w:rPr>
            </w:pPr>
            <w:r w:rsidRPr="008608AA">
              <w:rPr>
                <w:sz w:val="18"/>
                <w:szCs w:val="18"/>
                <w:lang w:eastAsia="en-GB"/>
              </w:rPr>
              <w:t xml:space="preserve">Co-management with participation of the private sector (Sienra </w:t>
            </w:r>
            <w:r w:rsidR="000D52E0" w:rsidRPr="008608AA">
              <w:rPr>
                <w:sz w:val="18"/>
                <w:szCs w:val="18"/>
                <w:lang w:eastAsia="en-GB"/>
              </w:rPr>
              <w:t>&amp;</w:t>
            </w:r>
            <w:r w:rsidRPr="008608AA">
              <w:rPr>
                <w:sz w:val="18"/>
                <w:szCs w:val="18"/>
                <w:lang w:eastAsia="en-GB"/>
              </w:rPr>
              <w:t xml:space="preserve"> Medina, 2013)</w:t>
            </w:r>
          </w:p>
        </w:tc>
      </w:tr>
      <w:tr w:rsidR="009E18F7" w:rsidRPr="008608AA" w14:paraId="63A847AF" w14:textId="77777777" w:rsidTr="00C656E9">
        <w:tc>
          <w:tcPr>
            <w:tcW w:w="459" w:type="pct"/>
            <w:vMerge/>
          </w:tcPr>
          <w:p w14:paraId="4AAEE80C" w14:textId="77777777" w:rsidR="009E18F7" w:rsidRPr="008608AA" w:rsidRDefault="009E18F7" w:rsidP="008568BE">
            <w:pPr>
              <w:rPr>
                <w:sz w:val="18"/>
                <w:szCs w:val="18"/>
              </w:rPr>
            </w:pPr>
          </w:p>
        </w:tc>
        <w:tc>
          <w:tcPr>
            <w:tcW w:w="624" w:type="pct"/>
            <w:vMerge/>
          </w:tcPr>
          <w:p w14:paraId="3308FED5" w14:textId="77777777" w:rsidR="009E18F7" w:rsidRPr="008608AA" w:rsidRDefault="009E18F7" w:rsidP="008568BE">
            <w:pPr>
              <w:rPr>
                <w:sz w:val="18"/>
                <w:szCs w:val="18"/>
              </w:rPr>
            </w:pPr>
          </w:p>
        </w:tc>
        <w:tc>
          <w:tcPr>
            <w:tcW w:w="1031" w:type="pct"/>
            <w:vAlign w:val="center"/>
          </w:tcPr>
          <w:p w14:paraId="7B250F7C" w14:textId="77777777" w:rsidR="009E18F7" w:rsidRPr="008608AA" w:rsidRDefault="009E18F7" w:rsidP="008568BE">
            <w:pPr>
              <w:rPr>
                <w:sz w:val="18"/>
                <w:szCs w:val="18"/>
                <w:lang w:eastAsia="en-GB"/>
              </w:rPr>
            </w:pPr>
            <w:r w:rsidRPr="008608AA">
              <w:rPr>
                <w:sz w:val="18"/>
                <w:szCs w:val="18"/>
                <w:lang w:eastAsia="en-GB"/>
              </w:rPr>
              <w:t>St. Lucia, Trinidad and Tobago,</w:t>
            </w:r>
          </w:p>
        </w:tc>
        <w:tc>
          <w:tcPr>
            <w:tcW w:w="2886" w:type="pct"/>
            <w:vAlign w:val="center"/>
          </w:tcPr>
          <w:p w14:paraId="57D00DA5" w14:textId="77777777" w:rsidR="009E18F7" w:rsidRPr="008608AA" w:rsidRDefault="009E18F7" w:rsidP="008568BE">
            <w:pPr>
              <w:rPr>
                <w:sz w:val="18"/>
                <w:szCs w:val="18"/>
                <w:lang w:eastAsia="en-GB"/>
              </w:rPr>
            </w:pPr>
            <w:r w:rsidRPr="008608AA">
              <w:rPr>
                <w:sz w:val="18"/>
                <w:szCs w:val="18"/>
                <w:lang w:eastAsia="en-GB"/>
              </w:rPr>
              <w:t xml:space="preserve">Co-management with participation of the private sector and other groups of interest (Adger </w:t>
            </w:r>
            <w:r w:rsidRPr="008608AA">
              <w:rPr>
                <w:i/>
                <w:sz w:val="18"/>
                <w:szCs w:val="18"/>
                <w:lang w:eastAsia="en-GB"/>
              </w:rPr>
              <w:t>et al.,</w:t>
            </w:r>
            <w:r w:rsidRPr="008608AA">
              <w:rPr>
                <w:sz w:val="18"/>
                <w:szCs w:val="18"/>
                <w:lang w:eastAsia="en-GB"/>
              </w:rPr>
              <w:t xml:space="preserve"> 2006)</w:t>
            </w:r>
          </w:p>
        </w:tc>
      </w:tr>
      <w:tr w:rsidR="009E18F7" w:rsidRPr="008608AA" w14:paraId="75542485" w14:textId="77777777" w:rsidTr="00C656E9">
        <w:tc>
          <w:tcPr>
            <w:tcW w:w="459" w:type="pct"/>
            <w:vMerge/>
          </w:tcPr>
          <w:p w14:paraId="49D2EF1F" w14:textId="77777777" w:rsidR="009E18F7" w:rsidRPr="008608AA" w:rsidRDefault="009E18F7" w:rsidP="008568BE">
            <w:pPr>
              <w:rPr>
                <w:sz w:val="18"/>
                <w:szCs w:val="18"/>
              </w:rPr>
            </w:pPr>
          </w:p>
        </w:tc>
        <w:tc>
          <w:tcPr>
            <w:tcW w:w="624" w:type="pct"/>
            <w:vMerge w:val="restart"/>
          </w:tcPr>
          <w:p w14:paraId="3C2C5D57" w14:textId="77777777" w:rsidR="009E18F7" w:rsidRPr="008608AA" w:rsidRDefault="009E18F7" w:rsidP="008568BE">
            <w:pPr>
              <w:rPr>
                <w:sz w:val="18"/>
                <w:szCs w:val="18"/>
              </w:rPr>
            </w:pPr>
            <w:r w:rsidRPr="008608AA">
              <w:rPr>
                <w:sz w:val="18"/>
                <w:szCs w:val="18"/>
              </w:rPr>
              <w:t>Shared management with local communities</w:t>
            </w:r>
          </w:p>
        </w:tc>
        <w:tc>
          <w:tcPr>
            <w:tcW w:w="1031" w:type="pct"/>
            <w:vAlign w:val="center"/>
          </w:tcPr>
          <w:p w14:paraId="0D05ADB9" w14:textId="77777777" w:rsidR="009E18F7" w:rsidRPr="008608AA" w:rsidRDefault="009E18F7" w:rsidP="008568BE">
            <w:pPr>
              <w:rPr>
                <w:sz w:val="18"/>
                <w:szCs w:val="18"/>
                <w:lang w:eastAsia="en-GB"/>
              </w:rPr>
            </w:pPr>
            <w:r w:rsidRPr="008608AA">
              <w:rPr>
                <w:sz w:val="18"/>
                <w:szCs w:val="18"/>
                <w:lang w:eastAsia="en-GB"/>
              </w:rPr>
              <w:t>Argentina (Patagonia)</w:t>
            </w:r>
          </w:p>
        </w:tc>
        <w:tc>
          <w:tcPr>
            <w:tcW w:w="2886" w:type="pct"/>
            <w:vAlign w:val="center"/>
          </w:tcPr>
          <w:p w14:paraId="2DE640E4" w14:textId="77777777" w:rsidR="009E18F7" w:rsidRPr="008608AA" w:rsidRDefault="009E18F7" w:rsidP="008568BE">
            <w:pPr>
              <w:rPr>
                <w:sz w:val="18"/>
                <w:szCs w:val="18"/>
                <w:lang w:eastAsia="en-GB"/>
              </w:rPr>
            </w:pPr>
            <w:r w:rsidRPr="008608AA">
              <w:rPr>
                <w:sz w:val="18"/>
                <w:szCs w:val="18"/>
                <w:lang w:eastAsia="en-GB"/>
              </w:rPr>
              <w:t>Involvement of indigenous and local coastal communities (Garcia, 2003)</w:t>
            </w:r>
          </w:p>
        </w:tc>
      </w:tr>
      <w:tr w:rsidR="009E18F7" w:rsidRPr="008608AA" w14:paraId="25F54CA8" w14:textId="77777777" w:rsidTr="00C656E9">
        <w:tc>
          <w:tcPr>
            <w:tcW w:w="459" w:type="pct"/>
            <w:vMerge/>
          </w:tcPr>
          <w:p w14:paraId="3809FD46" w14:textId="77777777" w:rsidR="009E18F7" w:rsidRPr="008608AA" w:rsidRDefault="009E18F7" w:rsidP="008568BE">
            <w:pPr>
              <w:rPr>
                <w:sz w:val="18"/>
                <w:szCs w:val="18"/>
              </w:rPr>
            </w:pPr>
          </w:p>
        </w:tc>
        <w:tc>
          <w:tcPr>
            <w:tcW w:w="624" w:type="pct"/>
            <w:vMerge/>
          </w:tcPr>
          <w:p w14:paraId="7246431D" w14:textId="77777777" w:rsidR="009E18F7" w:rsidRPr="008608AA" w:rsidRDefault="009E18F7" w:rsidP="008568BE">
            <w:pPr>
              <w:rPr>
                <w:sz w:val="18"/>
                <w:szCs w:val="18"/>
              </w:rPr>
            </w:pPr>
          </w:p>
        </w:tc>
        <w:tc>
          <w:tcPr>
            <w:tcW w:w="1031" w:type="pct"/>
            <w:vAlign w:val="center"/>
          </w:tcPr>
          <w:p w14:paraId="0C89A3D4" w14:textId="77777777" w:rsidR="009E18F7" w:rsidRPr="008608AA" w:rsidRDefault="009E18F7" w:rsidP="008568BE">
            <w:pPr>
              <w:rPr>
                <w:sz w:val="18"/>
                <w:szCs w:val="18"/>
                <w:lang w:eastAsia="en-GB"/>
              </w:rPr>
            </w:pPr>
            <w:r w:rsidRPr="008608AA">
              <w:rPr>
                <w:sz w:val="18"/>
                <w:szCs w:val="18"/>
                <w:lang w:eastAsia="en-GB"/>
              </w:rPr>
              <w:t>Brazil</w:t>
            </w:r>
          </w:p>
        </w:tc>
        <w:tc>
          <w:tcPr>
            <w:tcW w:w="2886" w:type="pct"/>
            <w:vAlign w:val="center"/>
          </w:tcPr>
          <w:p w14:paraId="175EABE6" w14:textId="05649C05" w:rsidR="009E18F7" w:rsidRPr="008608AA" w:rsidRDefault="009E18F7" w:rsidP="000D52E0">
            <w:pPr>
              <w:rPr>
                <w:sz w:val="18"/>
                <w:szCs w:val="18"/>
                <w:lang w:eastAsia="en-GB"/>
              </w:rPr>
            </w:pPr>
            <w:r w:rsidRPr="008608AA">
              <w:rPr>
                <w:sz w:val="18"/>
                <w:szCs w:val="18"/>
                <w:lang w:eastAsia="en-GB"/>
              </w:rPr>
              <w:t xml:space="preserve">Involvement and participation of local communities in the decision-making process through deliberative or advisory councils (Queiroz, 2005; Queiroz </w:t>
            </w:r>
            <w:r w:rsidR="000D52E0" w:rsidRPr="008608AA">
              <w:rPr>
                <w:sz w:val="18"/>
                <w:szCs w:val="18"/>
                <w:lang w:eastAsia="en-GB"/>
              </w:rPr>
              <w:t>&amp;</w:t>
            </w:r>
            <w:r w:rsidRPr="008608AA">
              <w:rPr>
                <w:sz w:val="18"/>
                <w:szCs w:val="18"/>
                <w:lang w:eastAsia="en-GB"/>
              </w:rPr>
              <w:t xml:space="preserve"> Peralta, 2006; Silvano </w:t>
            </w:r>
            <w:r w:rsidRPr="008608AA">
              <w:rPr>
                <w:i/>
                <w:sz w:val="18"/>
                <w:szCs w:val="18"/>
                <w:lang w:eastAsia="en-GB"/>
              </w:rPr>
              <w:t>et al</w:t>
            </w:r>
            <w:r w:rsidRPr="008608AA">
              <w:rPr>
                <w:sz w:val="18"/>
                <w:szCs w:val="18"/>
                <w:lang w:eastAsia="en-GB"/>
              </w:rPr>
              <w:t>., 2014)</w:t>
            </w:r>
          </w:p>
        </w:tc>
      </w:tr>
      <w:tr w:rsidR="009E18F7" w:rsidRPr="008608AA" w14:paraId="633A8422" w14:textId="77777777" w:rsidTr="00C656E9">
        <w:tc>
          <w:tcPr>
            <w:tcW w:w="459" w:type="pct"/>
            <w:vMerge/>
          </w:tcPr>
          <w:p w14:paraId="4E8A820D" w14:textId="77777777" w:rsidR="009E18F7" w:rsidRPr="008608AA" w:rsidRDefault="009E18F7" w:rsidP="008568BE">
            <w:pPr>
              <w:rPr>
                <w:sz w:val="18"/>
                <w:szCs w:val="18"/>
              </w:rPr>
            </w:pPr>
          </w:p>
        </w:tc>
        <w:tc>
          <w:tcPr>
            <w:tcW w:w="624" w:type="pct"/>
            <w:vMerge/>
          </w:tcPr>
          <w:p w14:paraId="32AC0F54" w14:textId="77777777" w:rsidR="009E18F7" w:rsidRPr="008608AA" w:rsidRDefault="009E18F7" w:rsidP="008568BE">
            <w:pPr>
              <w:rPr>
                <w:sz w:val="18"/>
                <w:szCs w:val="18"/>
              </w:rPr>
            </w:pPr>
          </w:p>
        </w:tc>
        <w:tc>
          <w:tcPr>
            <w:tcW w:w="1031" w:type="pct"/>
            <w:vAlign w:val="center"/>
          </w:tcPr>
          <w:p w14:paraId="0DD4E4DB" w14:textId="77777777" w:rsidR="009E18F7" w:rsidRPr="008608AA" w:rsidRDefault="009E18F7" w:rsidP="008568BE">
            <w:pPr>
              <w:rPr>
                <w:sz w:val="18"/>
                <w:szCs w:val="18"/>
                <w:lang w:eastAsia="en-GB"/>
              </w:rPr>
            </w:pPr>
            <w:r w:rsidRPr="008608AA">
              <w:rPr>
                <w:sz w:val="18"/>
                <w:szCs w:val="18"/>
                <w:lang w:eastAsia="en-GB"/>
              </w:rPr>
              <w:t>Canadá</w:t>
            </w:r>
          </w:p>
        </w:tc>
        <w:tc>
          <w:tcPr>
            <w:tcW w:w="2886" w:type="pct"/>
            <w:vAlign w:val="center"/>
          </w:tcPr>
          <w:p w14:paraId="3B5C6925" w14:textId="77777777" w:rsidR="009E18F7" w:rsidRPr="008608AA" w:rsidRDefault="009E18F7" w:rsidP="008568BE">
            <w:pPr>
              <w:rPr>
                <w:sz w:val="18"/>
                <w:szCs w:val="18"/>
                <w:lang w:eastAsia="en-GB"/>
              </w:rPr>
            </w:pPr>
            <w:r w:rsidRPr="008608AA">
              <w:rPr>
                <w:sz w:val="18"/>
                <w:szCs w:val="18"/>
                <w:lang w:eastAsia="en-GB"/>
              </w:rPr>
              <w:t xml:space="preserve">Involvement of indigenous communities in territorial management (Armitage, 2005; Borrini-Feyerabend </w:t>
            </w:r>
            <w:r w:rsidRPr="008608AA">
              <w:rPr>
                <w:i/>
                <w:sz w:val="18"/>
                <w:szCs w:val="18"/>
                <w:lang w:eastAsia="en-GB"/>
              </w:rPr>
              <w:t>et al</w:t>
            </w:r>
            <w:r w:rsidRPr="008608AA">
              <w:rPr>
                <w:sz w:val="18"/>
                <w:szCs w:val="18"/>
                <w:lang w:eastAsia="en-GB"/>
              </w:rPr>
              <w:t>., 2004)</w:t>
            </w:r>
          </w:p>
        </w:tc>
      </w:tr>
      <w:tr w:rsidR="009E18F7" w:rsidRPr="008608AA" w14:paraId="4C496B55" w14:textId="77777777" w:rsidTr="00C656E9">
        <w:tc>
          <w:tcPr>
            <w:tcW w:w="459" w:type="pct"/>
            <w:vMerge/>
          </w:tcPr>
          <w:p w14:paraId="56EC086F" w14:textId="77777777" w:rsidR="009E18F7" w:rsidRPr="008608AA" w:rsidRDefault="009E18F7" w:rsidP="008568BE">
            <w:pPr>
              <w:rPr>
                <w:sz w:val="18"/>
                <w:szCs w:val="18"/>
              </w:rPr>
            </w:pPr>
          </w:p>
        </w:tc>
        <w:tc>
          <w:tcPr>
            <w:tcW w:w="624" w:type="pct"/>
            <w:vMerge/>
          </w:tcPr>
          <w:p w14:paraId="380C5C5F" w14:textId="77777777" w:rsidR="009E18F7" w:rsidRPr="008608AA" w:rsidRDefault="009E18F7" w:rsidP="008568BE">
            <w:pPr>
              <w:rPr>
                <w:sz w:val="18"/>
                <w:szCs w:val="18"/>
              </w:rPr>
            </w:pPr>
          </w:p>
        </w:tc>
        <w:tc>
          <w:tcPr>
            <w:tcW w:w="1031" w:type="pct"/>
            <w:vAlign w:val="center"/>
          </w:tcPr>
          <w:p w14:paraId="4D407E61" w14:textId="77777777" w:rsidR="009E18F7" w:rsidRPr="008608AA" w:rsidRDefault="009E18F7" w:rsidP="008568BE">
            <w:pPr>
              <w:rPr>
                <w:sz w:val="18"/>
                <w:szCs w:val="18"/>
                <w:lang w:eastAsia="en-GB"/>
              </w:rPr>
            </w:pPr>
            <w:r w:rsidRPr="008608AA">
              <w:rPr>
                <w:sz w:val="18"/>
                <w:szCs w:val="18"/>
                <w:lang w:eastAsia="en-GB"/>
              </w:rPr>
              <w:t>Mexico</w:t>
            </w:r>
          </w:p>
        </w:tc>
        <w:tc>
          <w:tcPr>
            <w:tcW w:w="2886" w:type="pct"/>
            <w:vAlign w:val="center"/>
          </w:tcPr>
          <w:p w14:paraId="3E3D2F39" w14:textId="77777777" w:rsidR="009E18F7" w:rsidRPr="008608AA" w:rsidRDefault="009E18F7" w:rsidP="008568BE">
            <w:pPr>
              <w:rPr>
                <w:sz w:val="18"/>
                <w:szCs w:val="18"/>
                <w:lang w:eastAsia="en-GB"/>
              </w:rPr>
            </w:pPr>
            <w:r w:rsidRPr="008608AA">
              <w:rPr>
                <w:sz w:val="18"/>
                <w:szCs w:val="18"/>
                <w:lang w:eastAsia="en-GB"/>
              </w:rPr>
              <w:t xml:space="preserve">Participatory land management by local communities (Porter-Bolland </w:t>
            </w:r>
            <w:r w:rsidRPr="008608AA">
              <w:rPr>
                <w:i/>
                <w:sz w:val="18"/>
                <w:szCs w:val="18"/>
                <w:lang w:eastAsia="en-GB"/>
              </w:rPr>
              <w:t>et al</w:t>
            </w:r>
            <w:r w:rsidRPr="008608AA">
              <w:rPr>
                <w:sz w:val="18"/>
                <w:szCs w:val="18"/>
                <w:lang w:eastAsia="en-GB"/>
              </w:rPr>
              <w:t>., 2013)</w:t>
            </w:r>
          </w:p>
        </w:tc>
      </w:tr>
      <w:tr w:rsidR="009E18F7" w:rsidRPr="008608AA" w14:paraId="2535D7DE" w14:textId="77777777" w:rsidTr="00C656E9">
        <w:tc>
          <w:tcPr>
            <w:tcW w:w="459" w:type="pct"/>
            <w:vMerge/>
          </w:tcPr>
          <w:p w14:paraId="37A77C9D" w14:textId="77777777" w:rsidR="009E18F7" w:rsidRPr="008608AA" w:rsidRDefault="009E18F7" w:rsidP="008568BE">
            <w:pPr>
              <w:rPr>
                <w:sz w:val="18"/>
                <w:szCs w:val="18"/>
              </w:rPr>
            </w:pPr>
          </w:p>
        </w:tc>
        <w:tc>
          <w:tcPr>
            <w:tcW w:w="624" w:type="pct"/>
            <w:vMerge/>
          </w:tcPr>
          <w:p w14:paraId="2F64599E" w14:textId="77777777" w:rsidR="009E18F7" w:rsidRPr="008608AA" w:rsidRDefault="009E18F7" w:rsidP="008568BE">
            <w:pPr>
              <w:rPr>
                <w:sz w:val="18"/>
                <w:szCs w:val="18"/>
              </w:rPr>
            </w:pPr>
          </w:p>
        </w:tc>
        <w:tc>
          <w:tcPr>
            <w:tcW w:w="1031" w:type="pct"/>
            <w:vAlign w:val="center"/>
          </w:tcPr>
          <w:p w14:paraId="37CEE049" w14:textId="77777777" w:rsidR="009E18F7" w:rsidRPr="008608AA" w:rsidRDefault="009E18F7" w:rsidP="008568BE">
            <w:pPr>
              <w:rPr>
                <w:sz w:val="18"/>
                <w:szCs w:val="18"/>
                <w:lang w:eastAsia="en-GB"/>
              </w:rPr>
            </w:pPr>
            <w:r w:rsidRPr="008608AA">
              <w:rPr>
                <w:sz w:val="18"/>
                <w:szCs w:val="18"/>
                <w:lang w:eastAsia="en-GB"/>
              </w:rPr>
              <w:t>Paraguay</w:t>
            </w:r>
          </w:p>
        </w:tc>
        <w:tc>
          <w:tcPr>
            <w:tcW w:w="2886" w:type="pct"/>
            <w:vAlign w:val="center"/>
          </w:tcPr>
          <w:p w14:paraId="167F1ADA" w14:textId="77777777" w:rsidR="009E18F7" w:rsidRPr="008608AA" w:rsidRDefault="009E18F7" w:rsidP="008568BE">
            <w:pPr>
              <w:rPr>
                <w:sz w:val="18"/>
                <w:szCs w:val="18"/>
                <w:lang w:eastAsia="en-GB"/>
              </w:rPr>
            </w:pPr>
            <w:r w:rsidRPr="008608AA">
              <w:rPr>
                <w:sz w:val="18"/>
                <w:szCs w:val="18"/>
                <w:lang w:eastAsia="en-GB"/>
              </w:rPr>
              <w:t>Involvement of indigenous populations on management of natural áreas (Fogel, 2007)</w:t>
            </w:r>
          </w:p>
        </w:tc>
      </w:tr>
      <w:tr w:rsidR="009E18F7" w:rsidRPr="008608AA" w14:paraId="7CAD8B41" w14:textId="77777777" w:rsidTr="00C656E9">
        <w:tc>
          <w:tcPr>
            <w:tcW w:w="459" w:type="pct"/>
            <w:vMerge/>
          </w:tcPr>
          <w:p w14:paraId="1DA71BBE" w14:textId="77777777" w:rsidR="009E18F7" w:rsidRPr="008608AA" w:rsidRDefault="009E18F7" w:rsidP="008568BE">
            <w:pPr>
              <w:rPr>
                <w:sz w:val="18"/>
                <w:szCs w:val="18"/>
              </w:rPr>
            </w:pPr>
          </w:p>
        </w:tc>
        <w:tc>
          <w:tcPr>
            <w:tcW w:w="624" w:type="pct"/>
          </w:tcPr>
          <w:p w14:paraId="2EE0156D" w14:textId="77777777" w:rsidR="009E18F7" w:rsidRPr="008608AA" w:rsidRDefault="009E18F7" w:rsidP="008568BE">
            <w:pPr>
              <w:rPr>
                <w:sz w:val="18"/>
                <w:szCs w:val="18"/>
              </w:rPr>
            </w:pPr>
            <w:r w:rsidRPr="008608AA">
              <w:rPr>
                <w:sz w:val="18"/>
                <w:szCs w:val="18"/>
              </w:rPr>
              <w:t>Control and surveillance</w:t>
            </w:r>
          </w:p>
        </w:tc>
        <w:tc>
          <w:tcPr>
            <w:tcW w:w="1031" w:type="pct"/>
          </w:tcPr>
          <w:p w14:paraId="65A2C26C" w14:textId="77777777" w:rsidR="009E18F7" w:rsidRPr="008608AA" w:rsidRDefault="009E18F7" w:rsidP="008568BE">
            <w:pPr>
              <w:rPr>
                <w:sz w:val="18"/>
                <w:szCs w:val="18"/>
              </w:rPr>
            </w:pPr>
            <w:r w:rsidRPr="008608AA">
              <w:rPr>
                <w:sz w:val="18"/>
                <w:szCs w:val="18"/>
              </w:rPr>
              <w:t>Brazil</w:t>
            </w:r>
          </w:p>
        </w:tc>
        <w:tc>
          <w:tcPr>
            <w:tcW w:w="2886" w:type="pct"/>
          </w:tcPr>
          <w:p w14:paraId="3009A28B" w14:textId="637FBA04" w:rsidR="009E18F7" w:rsidRPr="008608AA" w:rsidRDefault="009E18F7" w:rsidP="000D52E0">
            <w:pPr>
              <w:rPr>
                <w:sz w:val="18"/>
                <w:szCs w:val="18"/>
                <w:lang w:eastAsia="en-GB"/>
              </w:rPr>
            </w:pPr>
            <w:r w:rsidRPr="008608AA">
              <w:rPr>
                <w:sz w:val="18"/>
                <w:szCs w:val="18"/>
                <w:lang w:eastAsia="en-GB"/>
              </w:rPr>
              <w:t xml:space="preserve">Voluntary agents from local communities (Souza </w:t>
            </w:r>
            <w:r w:rsidR="000D52E0" w:rsidRPr="008608AA">
              <w:rPr>
                <w:sz w:val="18"/>
                <w:szCs w:val="18"/>
                <w:lang w:eastAsia="en-GB"/>
              </w:rPr>
              <w:t>&amp;</w:t>
            </w:r>
            <w:r w:rsidRPr="008608AA">
              <w:rPr>
                <w:sz w:val="18"/>
                <w:szCs w:val="18"/>
                <w:lang w:eastAsia="en-GB"/>
              </w:rPr>
              <w:t xml:space="preserve"> Queiroz, 2008; Lima </w:t>
            </w:r>
            <w:r w:rsidR="000D52E0" w:rsidRPr="008608AA">
              <w:rPr>
                <w:sz w:val="18"/>
                <w:szCs w:val="18"/>
                <w:lang w:eastAsia="en-GB"/>
              </w:rPr>
              <w:t>&amp;</w:t>
            </w:r>
            <w:r w:rsidRPr="008608AA">
              <w:rPr>
                <w:sz w:val="18"/>
                <w:szCs w:val="18"/>
                <w:lang w:eastAsia="en-GB"/>
              </w:rPr>
              <w:t xml:space="preserve"> Pozzobon, 2005)</w:t>
            </w:r>
          </w:p>
        </w:tc>
      </w:tr>
      <w:tr w:rsidR="009E18F7" w:rsidRPr="008608AA" w14:paraId="4576D62D" w14:textId="77777777" w:rsidTr="00C656E9">
        <w:trPr>
          <w:trHeight w:val="20"/>
        </w:trPr>
        <w:tc>
          <w:tcPr>
            <w:tcW w:w="459" w:type="pct"/>
            <w:vMerge/>
          </w:tcPr>
          <w:p w14:paraId="28C437DF" w14:textId="77777777" w:rsidR="009E18F7" w:rsidRPr="008608AA" w:rsidRDefault="009E18F7" w:rsidP="008568BE">
            <w:pPr>
              <w:rPr>
                <w:sz w:val="18"/>
                <w:szCs w:val="18"/>
              </w:rPr>
            </w:pPr>
          </w:p>
        </w:tc>
        <w:tc>
          <w:tcPr>
            <w:tcW w:w="624" w:type="pct"/>
          </w:tcPr>
          <w:p w14:paraId="0AA03836" w14:textId="77777777" w:rsidR="009E18F7" w:rsidRPr="008608AA" w:rsidRDefault="009E18F7" w:rsidP="008568BE">
            <w:pPr>
              <w:rPr>
                <w:sz w:val="18"/>
                <w:szCs w:val="18"/>
              </w:rPr>
            </w:pPr>
            <w:r w:rsidRPr="008608AA">
              <w:rPr>
                <w:sz w:val="18"/>
                <w:szCs w:val="18"/>
              </w:rPr>
              <w:t>Private PAs officially recognized</w:t>
            </w:r>
          </w:p>
        </w:tc>
        <w:tc>
          <w:tcPr>
            <w:tcW w:w="1031" w:type="pct"/>
            <w:vAlign w:val="center"/>
          </w:tcPr>
          <w:p w14:paraId="3F992D0F" w14:textId="77777777" w:rsidR="009E18F7" w:rsidRPr="008608AA" w:rsidRDefault="009E18F7" w:rsidP="008568BE">
            <w:pPr>
              <w:rPr>
                <w:sz w:val="18"/>
                <w:szCs w:val="18"/>
                <w:lang w:val="es-CO" w:eastAsia="en-GB"/>
              </w:rPr>
            </w:pPr>
            <w:r w:rsidRPr="008608AA">
              <w:rPr>
                <w:sz w:val="18"/>
                <w:szCs w:val="18"/>
                <w:lang w:val="es-CO" w:eastAsia="en-GB"/>
              </w:rPr>
              <w:t>Belize, Brazil, Costa Rica, Ecuador, Dominican Republic, Guatemala, Peru, Trinidad and Tobago, Venezuela</w:t>
            </w:r>
          </w:p>
        </w:tc>
        <w:tc>
          <w:tcPr>
            <w:tcW w:w="2886" w:type="pct"/>
            <w:vAlign w:val="center"/>
          </w:tcPr>
          <w:p w14:paraId="72627030" w14:textId="77777777" w:rsidR="009E18F7" w:rsidRPr="008608AA" w:rsidRDefault="009E18F7" w:rsidP="008568BE">
            <w:pPr>
              <w:rPr>
                <w:sz w:val="18"/>
                <w:szCs w:val="18"/>
                <w:lang w:eastAsia="en-GB"/>
              </w:rPr>
            </w:pPr>
            <w:r w:rsidRPr="008608AA">
              <w:rPr>
                <w:sz w:val="18"/>
                <w:szCs w:val="18"/>
                <w:lang w:eastAsia="en-GB"/>
              </w:rPr>
              <w:t>Mostly dedicated to ecotourism (Langholz, 1996)</w:t>
            </w:r>
          </w:p>
        </w:tc>
      </w:tr>
      <w:tr w:rsidR="009E18F7" w:rsidRPr="008608AA" w14:paraId="2047CFAB" w14:textId="77777777" w:rsidTr="00C656E9">
        <w:tc>
          <w:tcPr>
            <w:tcW w:w="459" w:type="pct"/>
            <w:vMerge w:val="restart"/>
          </w:tcPr>
          <w:p w14:paraId="7B03562F" w14:textId="77777777" w:rsidR="009E18F7" w:rsidRPr="008608AA" w:rsidRDefault="009E18F7" w:rsidP="008568BE">
            <w:pPr>
              <w:rPr>
                <w:sz w:val="18"/>
                <w:szCs w:val="18"/>
              </w:rPr>
            </w:pPr>
            <w:r w:rsidRPr="008608AA">
              <w:rPr>
                <w:sz w:val="18"/>
                <w:szCs w:val="18"/>
              </w:rPr>
              <w:t>Community-based management</w:t>
            </w:r>
          </w:p>
        </w:tc>
        <w:tc>
          <w:tcPr>
            <w:tcW w:w="624" w:type="pct"/>
            <w:vMerge w:val="restart"/>
          </w:tcPr>
          <w:p w14:paraId="4A0E411C" w14:textId="77777777" w:rsidR="009E18F7" w:rsidRPr="008608AA" w:rsidRDefault="009E18F7" w:rsidP="008568BE">
            <w:pPr>
              <w:rPr>
                <w:sz w:val="18"/>
                <w:szCs w:val="18"/>
              </w:rPr>
            </w:pPr>
            <w:r w:rsidRPr="008608AA">
              <w:rPr>
                <w:sz w:val="18"/>
                <w:szCs w:val="18"/>
              </w:rPr>
              <w:t>Fisheries</w:t>
            </w:r>
          </w:p>
        </w:tc>
        <w:tc>
          <w:tcPr>
            <w:tcW w:w="1031" w:type="pct"/>
          </w:tcPr>
          <w:p w14:paraId="1FE4A8B7" w14:textId="77777777" w:rsidR="009E18F7" w:rsidRPr="008608AA" w:rsidRDefault="009E18F7" w:rsidP="008568BE">
            <w:pPr>
              <w:rPr>
                <w:sz w:val="18"/>
                <w:szCs w:val="18"/>
                <w:lang w:val="es-CO"/>
              </w:rPr>
            </w:pPr>
            <w:r w:rsidRPr="008608AA">
              <w:rPr>
                <w:sz w:val="18"/>
                <w:szCs w:val="18"/>
                <w:lang w:val="es-CO"/>
              </w:rPr>
              <w:t>Antigua, Argentina, Barbados, Belize, Chile, Colombia, Costa Rica, Cuba, Dominica, Dominican Republic, Ecuador, Guatemala, Guyana,</w:t>
            </w:r>
            <w:r w:rsidRPr="008608AA">
              <w:rPr>
                <w:sz w:val="18"/>
                <w:szCs w:val="18"/>
                <w:lang w:val="es-CO" w:eastAsia="en-GB"/>
              </w:rPr>
              <w:t xml:space="preserve"> Mexico, Nicaragua, Panama, Peru, Puerto Rico, St. Vincent &amp; Granadines, Trinidad and Tobago, Uruguay, Venezuela</w:t>
            </w:r>
          </w:p>
        </w:tc>
        <w:tc>
          <w:tcPr>
            <w:tcW w:w="2886" w:type="pct"/>
            <w:vAlign w:val="center"/>
          </w:tcPr>
          <w:p w14:paraId="22292A48" w14:textId="77777777" w:rsidR="009E18F7" w:rsidRPr="008608AA" w:rsidRDefault="009E18F7" w:rsidP="008568BE">
            <w:pPr>
              <w:rPr>
                <w:sz w:val="18"/>
                <w:szCs w:val="18"/>
                <w:lang w:eastAsia="en-GB"/>
              </w:rPr>
            </w:pPr>
            <w:r w:rsidRPr="008608AA">
              <w:rPr>
                <w:sz w:val="18"/>
                <w:szCs w:val="18"/>
                <w:lang w:eastAsia="en-GB"/>
              </w:rPr>
              <w:t xml:space="preserve">Participatory management by coastal communities and private sector: marine (Salas </w:t>
            </w:r>
            <w:r w:rsidRPr="008608AA">
              <w:rPr>
                <w:i/>
                <w:sz w:val="18"/>
                <w:szCs w:val="18"/>
                <w:lang w:eastAsia="en-GB"/>
              </w:rPr>
              <w:t>et al</w:t>
            </w:r>
            <w:r w:rsidRPr="008608AA">
              <w:rPr>
                <w:sz w:val="18"/>
                <w:szCs w:val="18"/>
                <w:lang w:eastAsia="en-GB"/>
              </w:rPr>
              <w:t>., 2007)</w:t>
            </w:r>
          </w:p>
        </w:tc>
      </w:tr>
      <w:tr w:rsidR="009E18F7" w:rsidRPr="008608AA" w14:paraId="46648DB9" w14:textId="77777777" w:rsidTr="00C656E9">
        <w:tc>
          <w:tcPr>
            <w:tcW w:w="459" w:type="pct"/>
            <w:vMerge/>
          </w:tcPr>
          <w:p w14:paraId="7DF69FD8" w14:textId="77777777" w:rsidR="009E18F7" w:rsidRPr="008608AA" w:rsidRDefault="009E18F7" w:rsidP="008568BE">
            <w:pPr>
              <w:rPr>
                <w:sz w:val="18"/>
                <w:szCs w:val="18"/>
              </w:rPr>
            </w:pPr>
          </w:p>
        </w:tc>
        <w:tc>
          <w:tcPr>
            <w:tcW w:w="624" w:type="pct"/>
            <w:vMerge/>
          </w:tcPr>
          <w:p w14:paraId="795F21AB" w14:textId="77777777" w:rsidR="009E18F7" w:rsidRPr="008608AA" w:rsidRDefault="009E18F7" w:rsidP="008568BE">
            <w:pPr>
              <w:rPr>
                <w:sz w:val="18"/>
                <w:szCs w:val="18"/>
              </w:rPr>
            </w:pPr>
          </w:p>
        </w:tc>
        <w:tc>
          <w:tcPr>
            <w:tcW w:w="1031" w:type="pct"/>
            <w:vMerge w:val="restart"/>
          </w:tcPr>
          <w:p w14:paraId="519B953B" w14:textId="77777777" w:rsidR="009E18F7" w:rsidRPr="008608AA" w:rsidRDefault="009E18F7" w:rsidP="008568BE">
            <w:pPr>
              <w:rPr>
                <w:sz w:val="18"/>
                <w:szCs w:val="18"/>
              </w:rPr>
            </w:pPr>
            <w:r w:rsidRPr="008608AA">
              <w:rPr>
                <w:sz w:val="18"/>
                <w:szCs w:val="18"/>
              </w:rPr>
              <w:t>Brazil</w:t>
            </w:r>
          </w:p>
        </w:tc>
        <w:tc>
          <w:tcPr>
            <w:tcW w:w="2886" w:type="pct"/>
            <w:vAlign w:val="center"/>
          </w:tcPr>
          <w:p w14:paraId="58B8D8DD" w14:textId="23A17223" w:rsidR="009E18F7" w:rsidRPr="008608AA" w:rsidRDefault="009E18F7" w:rsidP="000D52E0">
            <w:pPr>
              <w:rPr>
                <w:sz w:val="18"/>
                <w:szCs w:val="18"/>
                <w:lang w:eastAsia="en-GB"/>
              </w:rPr>
            </w:pPr>
            <w:r w:rsidRPr="008608AA">
              <w:rPr>
                <w:sz w:val="18"/>
                <w:szCs w:val="18"/>
                <w:lang w:eastAsia="en-GB"/>
              </w:rPr>
              <w:t xml:space="preserve">Participatory management by riverine communities in Amazonia: freshwater (Castello </w:t>
            </w:r>
            <w:r w:rsidRPr="008608AA">
              <w:rPr>
                <w:i/>
                <w:sz w:val="18"/>
                <w:szCs w:val="18"/>
                <w:lang w:eastAsia="en-GB"/>
              </w:rPr>
              <w:t>et al</w:t>
            </w:r>
            <w:r w:rsidRPr="008608AA">
              <w:rPr>
                <w:sz w:val="18"/>
                <w:szCs w:val="18"/>
                <w:lang w:eastAsia="en-GB"/>
              </w:rPr>
              <w:t xml:space="preserve">., 2009, 2011; Kalikoski </w:t>
            </w:r>
            <w:r w:rsidRPr="008608AA">
              <w:rPr>
                <w:i/>
                <w:sz w:val="18"/>
                <w:szCs w:val="18"/>
                <w:lang w:eastAsia="en-GB"/>
              </w:rPr>
              <w:t>et al</w:t>
            </w:r>
            <w:r w:rsidRPr="008608AA">
              <w:rPr>
                <w:sz w:val="18"/>
                <w:szCs w:val="18"/>
                <w:lang w:eastAsia="en-GB"/>
              </w:rPr>
              <w:t xml:space="preserve">., 2009; McGrath </w:t>
            </w:r>
            <w:r w:rsidRPr="008608AA">
              <w:rPr>
                <w:i/>
                <w:sz w:val="18"/>
                <w:szCs w:val="18"/>
                <w:lang w:eastAsia="en-GB"/>
              </w:rPr>
              <w:t>et al</w:t>
            </w:r>
            <w:r w:rsidRPr="008608AA">
              <w:rPr>
                <w:sz w:val="18"/>
                <w:szCs w:val="18"/>
                <w:lang w:eastAsia="en-GB"/>
              </w:rPr>
              <w:t xml:space="preserve">., 1993; Silvano </w:t>
            </w:r>
            <w:r w:rsidRPr="008608AA">
              <w:rPr>
                <w:i/>
                <w:sz w:val="18"/>
                <w:szCs w:val="18"/>
                <w:lang w:eastAsia="en-GB"/>
              </w:rPr>
              <w:t>et al</w:t>
            </w:r>
            <w:r w:rsidRPr="008608AA">
              <w:rPr>
                <w:sz w:val="18"/>
                <w:szCs w:val="18"/>
                <w:lang w:eastAsia="en-GB"/>
              </w:rPr>
              <w:t xml:space="preserve">., 2014; Arantes </w:t>
            </w:r>
            <w:r w:rsidR="000D52E0" w:rsidRPr="008608AA">
              <w:rPr>
                <w:sz w:val="18"/>
                <w:szCs w:val="18"/>
                <w:lang w:eastAsia="en-GB"/>
              </w:rPr>
              <w:t>&amp;</w:t>
            </w:r>
            <w:r w:rsidRPr="008608AA">
              <w:rPr>
                <w:sz w:val="18"/>
                <w:szCs w:val="18"/>
                <w:lang w:eastAsia="en-GB"/>
              </w:rPr>
              <w:t xml:space="preserve"> Freitas, 2016)</w:t>
            </w:r>
          </w:p>
        </w:tc>
      </w:tr>
      <w:tr w:rsidR="009E18F7" w:rsidRPr="008608AA" w14:paraId="56387EAC" w14:textId="77777777" w:rsidTr="00C656E9">
        <w:tc>
          <w:tcPr>
            <w:tcW w:w="459" w:type="pct"/>
            <w:vMerge/>
          </w:tcPr>
          <w:p w14:paraId="1A9DBA37" w14:textId="77777777" w:rsidR="009E18F7" w:rsidRPr="008608AA" w:rsidRDefault="009E18F7" w:rsidP="008568BE">
            <w:pPr>
              <w:rPr>
                <w:sz w:val="18"/>
                <w:szCs w:val="18"/>
              </w:rPr>
            </w:pPr>
          </w:p>
        </w:tc>
        <w:tc>
          <w:tcPr>
            <w:tcW w:w="624" w:type="pct"/>
            <w:vMerge/>
          </w:tcPr>
          <w:p w14:paraId="2FFD98D0" w14:textId="77777777" w:rsidR="009E18F7" w:rsidRPr="008608AA" w:rsidRDefault="009E18F7" w:rsidP="008568BE">
            <w:pPr>
              <w:rPr>
                <w:sz w:val="18"/>
                <w:szCs w:val="18"/>
              </w:rPr>
            </w:pPr>
          </w:p>
        </w:tc>
        <w:tc>
          <w:tcPr>
            <w:tcW w:w="1031" w:type="pct"/>
            <w:vMerge/>
          </w:tcPr>
          <w:p w14:paraId="2EDC2C52" w14:textId="77777777" w:rsidR="009E18F7" w:rsidRPr="008608AA" w:rsidRDefault="009E18F7" w:rsidP="008568BE">
            <w:pPr>
              <w:rPr>
                <w:sz w:val="18"/>
                <w:szCs w:val="18"/>
              </w:rPr>
            </w:pPr>
          </w:p>
        </w:tc>
        <w:tc>
          <w:tcPr>
            <w:tcW w:w="2886" w:type="pct"/>
            <w:vAlign w:val="center"/>
          </w:tcPr>
          <w:p w14:paraId="4F9D0793" w14:textId="0F2104E6" w:rsidR="009E18F7" w:rsidRPr="008608AA" w:rsidRDefault="009E18F7" w:rsidP="000D52E0">
            <w:pPr>
              <w:rPr>
                <w:sz w:val="18"/>
                <w:szCs w:val="18"/>
                <w:lang w:eastAsia="en-GB"/>
              </w:rPr>
            </w:pPr>
            <w:r w:rsidRPr="008608AA">
              <w:rPr>
                <w:sz w:val="18"/>
                <w:szCs w:val="18"/>
                <w:lang w:eastAsia="en-GB"/>
              </w:rPr>
              <w:t xml:space="preserve">Participatory management by coastal communities: marine (Diegues, 2008; Freitas </w:t>
            </w:r>
            <w:r w:rsidR="000D52E0" w:rsidRPr="008608AA">
              <w:rPr>
                <w:sz w:val="18"/>
                <w:szCs w:val="18"/>
                <w:lang w:eastAsia="en-GB"/>
              </w:rPr>
              <w:t>&amp;</w:t>
            </w:r>
            <w:r w:rsidRPr="008608AA">
              <w:rPr>
                <w:sz w:val="18"/>
                <w:szCs w:val="18"/>
                <w:lang w:eastAsia="en-GB"/>
              </w:rPr>
              <w:t xml:space="preserve"> Tagliani, 2009; Lopes </w:t>
            </w:r>
            <w:r w:rsidRPr="008608AA">
              <w:rPr>
                <w:i/>
                <w:sz w:val="18"/>
                <w:szCs w:val="18"/>
                <w:lang w:eastAsia="en-GB"/>
              </w:rPr>
              <w:t>et al</w:t>
            </w:r>
            <w:r w:rsidRPr="008608AA">
              <w:rPr>
                <w:sz w:val="18"/>
                <w:szCs w:val="18"/>
                <w:lang w:eastAsia="en-GB"/>
              </w:rPr>
              <w:t>., 2013;  Reis</w:t>
            </w:r>
            <w:r w:rsidR="000D52E0" w:rsidRPr="008608AA">
              <w:rPr>
                <w:sz w:val="18"/>
                <w:szCs w:val="18"/>
                <w:lang w:eastAsia="en-GB"/>
              </w:rPr>
              <w:t xml:space="preserve"> &amp;</w:t>
            </w:r>
            <w:r w:rsidRPr="008608AA">
              <w:rPr>
                <w:sz w:val="18"/>
                <w:szCs w:val="18"/>
                <w:lang w:eastAsia="en-GB"/>
              </w:rPr>
              <w:t xml:space="preserve"> D´Incao, 2000; Schafer </w:t>
            </w:r>
            <w:r w:rsidR="000D52E0" w:rsidRPr="008608AA">
              <w:rPr>
                <w:sz w:val="18"/>
                <w:szCs w:val="18"/>
                <w:lang w:eastAsia="en-GB"/>
              </w:rPr>
              <w:t>&amp;</w:t>
            </w:r>
            <w:r w:rsidRPr="008608AA">
              <w:rPr>
                <w:sz w:val="18"/>
                <w:szCs w:val="18"/>
                <w:lang w:eastAsia="en-GB"/>
              </w:rPr>
              <w:t xml:space="preserve"> Reis, 2008; Salas </w:t>
            </w:r>
            <w:r w:rsidRPr="008608AA">
              <w:rPr>
                <w:i/>
                <w:sz w:val="18"/>
                <w:szCs w:val="18"/>
                <w:lang w:eastAsia="en-GB"/>
              </w:rPr>
              <w:t>et al</w:t>
            </w:r>
            <w:r w:rsidRPr="008608AA">
              <w:rPr>
                <w:sz w:val="18"/>
                <w:szCs w:val="18"/>
                <w:lang w:eastAsia="en-GB"/>
              </w:rPr>
              <w:t>., 2007)</w:t>
            </w:r>
          </w:p>
        </w:tc>
      </w:tr>
      <w:tr w:rsidR="009E18F7" w:rsidRPr="008608AA" w14:paraId="017DFD64" w14:textId="77777777" w:rsidTr="00C656E9">
        <w:tc>
          <w:tcPr>
            <w:tcW w:w="459" w:type="pct"/>
            <w:vMerge/>
          </w:tcPr>
          <w:p w14:paraId="50607861" w14:textId="77777777" w:rsidR="009E18F7" w:rsidRPr="008608AA" w:rsidRDefault="009E18F7" w:rsidP="008568BE">
            <w:pPr>
              <w:rPr>
                <w:sz w:val="18"/>
                <w:szCs w:val="18"/>
              </w:rPr>
            </w:pPr>
          </w:p>
        </w:tc>
        <w:tc>
          <w:tcPr>
            <w:tcW w:w="624" w:type="pct"/>
            <w:vMerge/>
          </w:tcPr>
          <w:p w14:paraId="1FF710A9" w14:textId="77777777" w:rsidR="009E18F7" w:rsidRPr="008608AA" w:rsidRDefault="009E18F7" w:rsidP="008568BE">
            <w:pPr>
              <w:rPr>
                <w:sz w:val="18"/>
                <w:szCs w:val="18"/>
              </w:rPr>
            </w:pPr>
          </w:p>
        </w:tc>
        <w:tc>
          <w:tcPr>
            <w:tcW w:w="1031" w:type="pct"/>
            <w:vAlign w:val="center"/>
          </w:tcPr>
          <w:p w14:paraId="6446DAB1" w14:textId="77777777" w:rsidR="009E18F7" w:rsidRPr="008608AA" w:rsidRDefault="009E18F7" w:rsidP="008568BE">
            <w:pPr>
              <w:rPr>
                <w:sz w:val="18"/>
                <w:szCs w:val="18"/>
                <w:lang w:eastAsia="en-GB"/>
              </w:rPr>
            </w:pPr>
            <w:r w:rsidRPr="008608AA">
              <w:rPr>
                <w:sz w:val="18"/>
                <w:szCs w:val="18"/>
                <w:lang w:eastAsia="en-GB"/>
              </w:rPr>
              <w:t>Canada</w:t>
            </w:r>
          </w:p>
        </w:tc>
        <w:tc>
          <w:tcPr>
            <w:tcW w:w="2886" w:type="pct"/>
            <w:vAlign w:val="center"/>
          </w:tcPr>
          <w:p w14:paraId="0D409417" w14:textId="38110BFA" w:rsidR="009E18F7" w:rsidRPr="008608AA" w:rsidRDefault="009E18F7" w:rsidP="000D52E0">
            <w:pPr>
              <w:rPr>
                <w:sz w:val="18"/>
                <w:szCs w:val="18"/>
                <w:lang w:eastAsia="en-GB"/>
              </w:rPr>
            </w:pPr>
            <w:r w:rsidRPr="008608AA">
              <w:rPr>
                <w:sz w:val="18"/>
                <w:szCs w:val="18"/>
                <w:lang w:eastAsia="en-GB"/>
              </w:rPr>
              <w:t xml:space="preserve">Participatory management by coastal communities: marine (Kearney </w:t>
            </w:r>
            <w:r w:rsidRPr="008608AA">
              <w:rPr>
                <w:i/>
                <w:sz w:val="18"/>
                <w:szCs w:val="18"/>
                <w:lang w:eastAsia="en-GB"/>
              </w:rPr>
              <w:t>et al.,</w:t>
            </w:r>
            <w:r w:rsidRPr="008608AA">
              <w:rPr>
                <w:sz w:val="18"/>
                <w:szCs w:val="18"/>
                <w:lang w:eastAsia="en-GB"/>
              </w:rPr>
              <w:t xml:space="preserve"> 2007; Pinkerton </w:t>
            </w:r>
            <w:r w:rsidR="000D52E0" w:rsidRPr="008608AA">
              <w:rPr>
                <w:sz w:val="18"/>
                <w:szCs w:val="18"/>
                <w:lang w:eastAsia="en-GB"/>
              </w:rPr>
              <w:t>&amp;</w:t>
            </w:r>
            <w:r w:rsidRPr="008608AA">
              <w:rPr>
                <w:sz w:val="18"/>
                <w:szCs w:val="18"/>
                <w:lang w:eastAsia="en-GB"/>
              </w:rPr>
              <w:t xml:space="preserve"> Weinstein, 1995; Wiber </w:t>
            </w:r>
            <w:r w:rsidRPr="008608AA">
              <w:rPr>
                <w:i/>
                <w:sz w:val="18"/>
                <w:szCs w:val="18"/>
                <w:lang w:eastAsia="en-GB"/>
              </w:rPr>
              <w:t>et al</w:t>
            </w:r>
            <w:r w:rsidRPr="008608AA">
              <w:rPr>
                <w:sz w:val="18"/>
                <w:szCs w:val="18"/>
                <w:lang w:eastAsia="en-GB"/>
              </w:rPr>
              <w:t>., 2004)</w:t>
            </w:r>
          </w:p>
        </w:tc>
      </w:tr>
      <w:tr w:rsidR="009E18F7" w:rsidRPr="008608AA" w14:paraId="72C35B0C" w14:textId="77777777" w:rsidTr="00C656E9">
        <w:tc>
          <w:tcPr>
            <w:tcW w:w="459" w:type="pct"/>
            <w:vMerge/>
          </w:tcPr>
          <w:p w14:paraId="596EA04C" w14:textId="77777777" w:rsidR="009E18F7" w:rsidRPr="008608AA" w:rsidRDefault="009E18F7" w:rsidP="008568BE">
            <w:pPr>
              <w:rPr>
                <w:sz w:val="18"/>
                <w:szCs w:val="18"/>
              </w:rPr>
            </w:pPr>
          </w:p>
        </w:tc>
        <w:tc>
          <w:tcPr>
            <w:tcW w:w="624" w:type="pct"/>
            <w:vMerge/>
          </w:tcPr>
          <w:p w14:paraId="04085B95" w14:textId="77777777" w:rsidR="009E18F7" w:rsidRPr="008608AA" w:rsidRDefault="009E18F7" w:rsidP="008568BE">
            <w:pPr>
              <w:rPr>
                <w:sz w:val="18"/>
                <w:szCs w:val="18"/>
              </w:rPr>
            </w:pPr>
          </w:p>
        </w:tc>
        <w:tc>
          <w:tcPr>
            <w:tcW w:w="1031" w:type="pct"/>
          </w:tcPr>
          <w:p w14:paraId="4FAE0525" w14:textId="77777777" w:rsidR="009E18F7" w:rsidRPr="008608AA" w:rsidRDefault="009E18F7" w:rsidP="008568BE">
            <w:pPr>
              <w:rPr>
                <w:sz w:val="18"/>
                <w:szCs w:val="18"/>
              </w:rPr>
            </w:pPr>
            <w:r w:rsidRPr="008608AA">
              <w:rPr>
                <w:sz w:val="18"/>
                <w:szCs w:val="18"/>
              </w:rPr>
              <w:t>Chile, Mexico</w:t>
            </w:r>
          </w:p>
        </w:tc>
        <w:tc>
          <w:tcPr>
            <w:tcW w:w="2886" w:type="pct"/>
          </w:tcPr>
          <w:p w14:paraId="6208481D" w14:textId="77777777" w:rsidR="009E18F7" w:rsidRPr="008608AA" w:rsidRDefault="009E18F7" w:rsidP="008568BE">
            <w:pPr>
              <w:rPr>
                <w:sz w:val="18"/>
                <w:szCs w:val="18"/>
              </w:rPr>
            </w:pPr>
            <w:r w:rsidRPr="008608AA">
              <w:rPr>
                <w:sz w:val="18"/>
                <w:szCs w:val="18"/>
                <w:lang w:eastAsia="en-GB"/>
              </w:rPr>
              <w:t xml:space="preserve">Participatory management of small scale benthonic fisheries (Basurto </w:t>
            </w:r>
            <w:r w:rsidRPr="008608AA">
              <w:rPr>
                <w:i/>
                <w:sz w:val="18"/>
                <w:szCs w:val="18"/>
                <w:lang w:eastAsia="en-GB"/>
              </w:rPr>
              <w:t>et al.,</w:t>
            </w:r>
            <w:r w:rsidRPr="008608AA">
              <w:rPr>
                <w:sz w:val="18"/>
                <w:szCs w:val="18"/>
                <w:lang w:eastAsia="en-GB"/>
              </w:rPr>
              <w:t xml:space="preserve"> 2013)</w:t>
            </w:r>
          </w:p>
        </w:tc>
      </w:tr>
      <w:tr w:rsidR="009E18F7" w:rsidRPr="008608AA" w14:paraId="6EB9CA3D" w14:textId="77777777" w:rsidTr="00C656E9">
        <w:tc>
          <w:tcPr>
            <w:tcW w:w="459" w:type="pct"/>
            <w:vMerge/>
          </w:tcPr>
          <w:p w14:paraId="4B88C562" w14:textId="77777777" w:rsidR="009E18F7" w:rsidRPr="008608AA" w:rsidRDefault="009E18F7" w:rsidP="008568BE">
            <w:pPr>
              <w:rPr>
                <w:sz w:val="18"/>
                <w:szCs w:val="18"/>
              </w:rPr>
            </w:pPr>
          </w:p>
        </w:tc>
        <w:tc>
          <w:tcPr>
            <w:tcW w:w="624" w:type="pct"/>
            <w:vMerge/>
          </w:tcPr>
          <w:p w14:paraId="59091B57" w14:textId="77777777" w:rsidR="009E18F7" w:rsidRPr="008608AA" w:rsidRDefault="009E18F7" w:rsidP="008568BE">
            <w:pPr>
              <w:rPr>
                <w:sz w:val="18"/>
                <w:szCs w:val="18"/>
              </w:rPr>
            </w:pPr>
          </w:p>
        </w:tc>
        <w:tc>
          <w:tcPr>
            <w:tcW w:w="1031" w:type="pct"/>
            <w:vAlign w:val="center"/>
          </w:tcPr>
          <w:p w14:paraId="4D6AB12C" w14:textId="77777777" w:rsidR="009E18F7" w:rsidRPr="008608AA" w:rsidRDefault="009E18F7" w:rsidP="008568BE">
            <w:pPr>
              <w:rPr>
                <w:sz w:val="18"/>
                <w:szCs w:val="18"/>
                <w:lang w:eastAsia="en-GB"/>
              </w:rPr>
            </w:pPr>
            <w:r w:rsidRPr="008608AA">
              <w:rPr>
                <w:sz w:val="18"/>
                <w:szCs w:val="18"/>
                <w:lang w:eastAsia="en-GB"/>
              </w:rPr>
              <w:t>Mexico</w:t>
            </w:r>
          </w:p>
        </w:tc>
        <w:tc>
          <w:tcPr>
            <w:tcW w:w="2886" w:type="pct"/>
            <w:vAlign w:val="center"/>
          </w:tcPr>
          <w:p w14:paraId="111BB34A" w14:textId="77777777" w:rsidR="009E18F7" w:rsidRPr="008608AA" w:rsidRDefault="009E18F7" w:rsidP="008568BE">
            <w:pPr>
              <w:rPr>
                <w:sz w:val="18"/>
                <w:szCs w:val="18"/>
                <w:lang w:eastAsia="en-GB"/>
              </w:rPr>
            </w:pPr>
            <w:r w:rsidRPr="008608AA">
              <w:rPr>
                <w:sz w:val="18"/>
                <w:szCs w:val="18"/>
                <w:lang w:eastAsia="en-GB"/>
              </w:rPr>
              <w:t xml:space="preserve">Participatory management of watersheds, water and fisheries (Porter-Bolland </w:t>
            </w:r>
            <w:r w:rsidRPr="008608AA">
              <w:rPr>
                <w:i/>
                <w:sz w:val="18"/>
                <w:szCs w:val="18"/>
                <w:lang w:eastAsia="en-GB"/>
              </w:rPr>
              <w:t>et al</w:t>
            </w:r>
            <w:r w:rsidRPr="008608AA">
              <w:rPr>
                <w:sz w:val="18"/>
                <w:szCs w:val="18"/>
                <w:lang w:eastAsia="en-GB"/>
              </w:rPr>
              <w:t>., 2013)</w:t>
            </w:r>
          </w:p>
        </w:tc>
      </w:tr>
      <w:tr w:rsidR="009E18F7" w:rsidRPr="008608AA" w14:paraId="2303D345" w14:textId="77777777" w:rsidTr="00C656E9">
        <w:tc>
          <w:tcPr>
            <w:tcW w:w="459" w:type="pct"/>
            <w:vMerge/>
          </w:tcPr>
          <w:p w14:paraId="68907461" w14:textId="77777777" w:rsidR="009E18F7" w:rsidRPr="008608AA" w:rsidRDefault="009E18F7" w:rsidP="008568BE">
            <w:pPr>
              <w:rPr>
                <w:sz w:val="18"/>
                <w:szCs w:val="18"/>
              </w:rPr>
            </w:pPr>
          </w:p>
        </w:tc>
        <w:tc>
          <w:tcPr>
            <w:tcW w:w="624" w:type="pct"/>
            <w:vMerge/>
          </w:tcPr>
          <w:p w14:paraId="08CD8E93" w14:textId="77777777" w:rsidR="009E18F7" w:rsidRPr="008608AA" w:rsidRDefault="009E18F7" w:rsidP="008568BE">
            <w:pPr>
              <w:rPr>
                <w:sz w:val="18"/>
                <w:szCs w:val="18"/>
              </w:rPr>
            </w:pPr>
          </w:p>
        </w:tc>
        <w:tc>
          <w:tcPr>
            <w:tcW w:w="1031" w:type="pct"/>
            <w:vAlign w:val="center"/>
          </w:tcPr>
          <w:p w14:paraId="50E34F01" w14:textId="77777777" w:rsidR="009E18F7" w:rsidRPr="008608AA" w:rsidRDefault="009E18F7" w:rsidP="008568BE">
            <w:pPr>
              <w:rPr>
                <w:sz w:val="18"/>
                <w:szCs w:val="18"/>
                <w:lang w:eastAsia="en-GB"/>
              </w:rPr>
            </w:pPr>
            <w:r w:rsidRPr="008608AA">
              <w:rPr>
                <w:sz w:val="18"/>
                <w:szCs w:val="18"/>
                <w:lang w:eastAsia="en-GB"/>
              </w:rPr>
              <w:t>St. Lucia, Trinidad and Tobago</w:t>
            </w:r>
          </w:p>
        </w:tc>
        <w:tc>
          <w:tcPr>
            <w:tcW w:w="2886" w:type="pct"/>
            <w:vAlign w:val="center"/>
          </w:tcPr>
          <w:p w14:paraId="3B5ABCA5" w14:textId="77777777" w:rsidR="009E18F7" w:rsidRPr="008608AA" w:rsidRDefault="009E18F7" w:rsidP="008568BE">
            <w:pPr>
              <w:rPr>
                <w:sz w:val="18"/>
                <w:szCs w:val="18"/>
                <w:lang w:eastAsia="en-GB"/>
              </w:rPr>
            </w:pPr>
            <w:r w:rsidRPr="008608AA">
              <w:rPr>
                <w:sz w:val="18"/>
                <w:szCs w:val="18"/>
                <w:lang w:eastAsia="en-GB"/>
              </w:rPr>
              <w:t xml:space="preserve">Participatory management of coastal fisheries in National Parks (Adger </w:t>
            </w:r>
            <w:r w:rsidRPr="008608AA">
              <w:rPr>
                <w:i/>
                <w:sz w:val="18"/>
                <w:szCs w:val="18"/>
                <w:lang w:eastAsia="en-GB"/>
              </w:rPr>
              <w:t>et al</w:t>
            </w:r>
            <w:r w:rsidRPr="008608AA">
              <w:rPr>
                <w:sz w:val="18"/>
                <w:szCs w:val="18"/>
                <w:lang w:eastAsia="en-GB"/>
              </w:rPr>
              <w:t>., 2006)</w:t>
            </w:r>
          </w:p>
        </w:tc>
      </w:tr>
      <w:tr w:rsidR="009E18F7" w:rsidRPr="008608AA" w14:paraId="47835BC9" w14:textId="77777777" w:rsidTr="00C656E9">
        <w:tc>
          <w:tcPr>
            <w:tcW w:w="459" w:type="pct"/>
            <w:vMerge/>
          </w:tcPr>
          <w:p w14:paraId="64CCC2EC" w14:textId="77777777" w:rsidR="009E18F7" w:rsidRPr="008608AA" w:rsidRDefault="009E18F7" w:rsidP="008568BE"/>
        </w:tc>
        <w:tc>
          <w:tcPr>
            <w:tcW w:w="624" w:type="pct"/>
            <w:vMerge/>
          </w:tcPr>
          <w:p w14:paraId="1E5ED52B" w14:textId="77777777" w:rsidR="009E18F7" w:rsidRPr="008608AA" w:rsidRDefault="009E18F7" w:rsidP="008568BE"/>
        </w:tc>
        <w:tc>
          <w:tcPr>
            <w:tcW w:w="1031" w:type="pct"/>
          </w:tcPr>
          <w:p w14:paraId="372488A5" w14:textId="7ABD7E9F" w:rsidR="009E18F7" w:rsidRPr="008608AA" w:rsidRDefault="00F90B7C" w:rsidP="008568BE">
            <w:pPr>
              <w:rPr>
                <w:sz w:val="18"/>
                <w:szCs w:val="18"/>
              </w:rPr>
            </w:pPr>
            <w:r w:rsidRPr="008608AA">
              <w:rPr>
                <w:sz w:val="18"/>
                <w:szCs w:val="18"/>
              </w:rPr>
              <w:t>USA</w:t>
            </w:r>
            <w:r w:rsidR="009E18F7" w:rsidRPr="008608AA">
              <w:rPr>
                <w:sz w:val="18"/>
                <w:szCs w:val="18"/>
              </w:rPr>
              <w:t xml:space="preserve"> (Alaska and Washington) </w:t>
            </w:r>
          </w:p>
        </w:tc>
        <w:tc>
          <w:tcPr>
            <w:tcW w:w="2886" w:type="pct"/>
          </w:tcPr>
          <w:p w14:paraId="0F9AFA5C" w14:textId="77777777" w:rsidR="009E18F7" w:rsidRPr="008608AA" w:rsidRDefault="009E18F7" w:rsidP="008568BE">
            <w:pPr>
              <w:rPr>
                <w:sz w:val="18"/>
                <w:szCs w:val="18"/>
              </w:rPr>
            </w:pPr>
            <w:r w:rsidRPr="008608AA">
              <w:rPr>
                <w:sz w:val="18"/>
                <w:szCs w:val="18"/>
              </w:rPr>
              <w:t xml:space="preserve">Participatory management of freshwater salmon by the Pacific (Kellert </w:t>
            </w:r>
            <w:r w:rsidRPr="008608AA">
              <w:rPr>
                <w:i/>
                <w:sz w:val="18"/>
                <w:szCs w:val="18"/>
              </w:rPr>
              <w:t>et al</w:t>
            </w:r>
            <w:r w:rsidRPr="008608AA">
              <w:rPr>
                <w:sz w:val="18"/>
                <w:szCs w:val="18"/>
              </w:rPr>
              <w:t>., 2000)</w:t>
            </w:r>
          </w:p>
        </w:tc>
      </w:tr>
      <w:tr w:rsidR="009E18F7" w:rsidRPr="00A3137A" w14:paraId="2AE5DBD8" w14:textId="77777777" w:rsidTr="00C656E9">
        <w:tc>
          <w:tcPr>
            <w:tcW w:w="459" w:type="pct"/>
            <w:vMerge/>
          </w:tcPr>
          <w:p w14:paraId="156508FC" w14:textId="77777777" w:rsidR="009E18F7" w:rsidRPr="008608AA" w:rsidRDefault="009E18F7" w:rsidP="008568BE"/>
        </w:tc>
        <w:tc>
          <w:tcPr>
            <w:tcW w:w="624" w:type="pct"/>
            <w:vMerge w:val="restart"/>
          </w:tcPr>
          <w:p w14:paraId="601672A7" w14:textId="77777777" w:rsidR="009E18F7" w:rsidRPr="008608AA" w:rsidRDefault="009E18F7" w:rsidP="008568BE">
            <w:pPr>
              <w:rPr>
                <w:sz w:val="18"/>
                <w:szCs w:val="18"/>
              </w:rPr>
            </w:pPr>
            <w:r w:rsidRPr="008608AA">
              <w:rPr>
                <w:sz w:val="18"/>
                <w:szCs w:val="18"/>
              </w:rPr>
              <w:t>Forestry</w:t>
            </w:r>
          </w:p>
        </w:tc>
        <w:tc>
          <w:tcPr>
            <w:tcW w:w="1031" w:type="pct"/>
            <w:vAlign w:val="center"/>
          </w:tcPr>
          <w:p w14:paraId="583958F8" w14:textId="77777777" w:rsidR="009E18F7" w:rsidRPr="008608AA" w:rsidRDefault="009E18F7" w:rsidP="008568BE">
            <w:pPr>
              <w:rPr>
                <w:sz w:val="18"/>
                <w:szCs w:val="18"/>
                <w:lang w:val="es-CO" w:eastAsia="en-GB"/>
              </w:rPr>
            </w:pPr>
            <w:r w:rsidRPr="008608AA">
              <w:rPr>
                <w:sz w:val="18"/>
                <w:szCs w:val="18"/>
                <w:lang w:val="es-CO" w:eastAsia="en-GB"/>
              </w:rPr>
              <w:t>Belize, Costa Rica, El Salvador, Guatemala, Panamá</w:t>
            </w:r>
          </w:p>
        </w:tc>
        <w:tc>
          <w:tcPr>
            <w:tcW w:w="2886" w:type="pct"/>
            <w:vAlign w:val="center"/>
          </w:tcPr>
          <w:p w14:paraId="2B16F5F1" w14:textId="1F0A8154" w:rsidR="009E18F7" w:rsidRPr="00A3137A" w:rsidRDefault="009E18F7" w:rsidP="000D52E0">
            <w:pPr>
              <w:rPr>
                <w:sz w:val="18"/>
                <w:szCs w:val="18"/>
                <w:lang w:val="fr-FR" w:eastAsia="en-GB"/>
              </w:rPr>
            </w:pPr>
            <w:r w:rsidRPr="00A3137A">
              <w:rPr>
                <w:sz w:val="18"/>
                <w:szCs w:val="18"/>
                <w:lang w:val="fr-FR" w:eastAsia="en-GB"/>
              </w:rPr>
              <w:t xml:space="preserve">Forest community management (Gómez </w:t>
            </w:r>
            <w:r w:rsidR="000D52E0" w:rsidRPr="00A3137A">
              <w:rPr>
                <w:sz w:val="18"/>
                <w:szCs w:val="18"/>
                <w:lang w:val="fr-FR" w:eastAsia="en-GB"/>
              </w:rPr>
              <w:t>&amp;</w:t>
            </w:r>
            <w:r w:rsidRPr="00A3137A">
              <w:rPr>
                <w:sz w:val="18"/>
                <w:szCs w:val="18"/>
                <w:lang w:val="fr-FR" w:eastAsia="en-GB"/>
              </w:rPr>
              <w:t xml:space="preserve"> Méndez, 2005; Hogdon </w:t>
            </w:r>
            <w:r w:rsidRPr="00A3137A">
              <w:rPr>
                <w:i/>
                <w:sz w:val="18"/>
                <w:szCs w:val="18"/>
                <w:lang w:val="fr-FR" w:eastAsia="en-GB"/>
              </w:rPr>
              <w:t>et al</w:t>
            </w:r>
            <w:r w:rsidRPr="00A3137A">
              <w:rPr>
                <w:sz w:val="18"/>
                <w:szCs w:val="18"/>
                <w:lang w:val="fr-FR" w:eastAsia="en-GB"/>
              </w:rPr>
              <w:t xml:space="preserve">., 2015; Larson, 2003; 2005; Primack </w:t>
            </w:r>
            <w:r w:rsidRPr="00A3137A">
              <w:rPr>
                <w:i/>
                <w:sz w:val="18"/>
                <w:szCs w:val="18"/>
                <w:lang w:val="fr-FR" w:eastAsia="en-GB"/>
              </w:rPr>
              <w:t>et al</w:t>
            </w:r>
            <w:r w:rsidRPr="00A3137A">
              <w:rPr>
                <w:sz w:val="18"/>
                <w:szCs w:val="18"/>
                <w:lang w:val="fr-FR" w:eastAsia="en-GB"/>
              </w:rPr>
              <w:t xml:space="preserve">., 1998; Radachowsky </w:t>
            </w:r>
            <w:r w:rsidRPr="00A3137A">
              <w:rPr>
                <w:i/>
                <w:sz w:val="18"/>
                <w:szCs w:val="18"/>
                <w:lang w:val="fr-FR" w:eastAsia="en-GB"/>
              </w:rPr>
              <w:t>et al.,</w:t>
            </w:r>
            <w:r w:rsidRPr="00A3137A">
              <w:rPr>
                <w:sz w:val="18"/>
                <w:szCs w:val="18"/>
                <w:lang w:val="fr-FR" w:eastAsia="en-GB"/>
              </w:rPr>
              <w:t xml:space="preserve"> 2011; Sayer </w:t>
            </w:r>
            <w:r w:rsidR="000D52E0" w:rsidRPr="00A3137A">
              <w:rPr>
                <w:sz w:val="18"/>
                <w:szCs w:val="18"/>
                <w:lang w:val="fr-FR" w:eastAsia="en-GB"/>
              </w:rPr>
              <w:t>&amp;</w:t>
            </w:r>
            <w:r w:rsidRPr="00A3137A">
              <w:rPr>
                <w:sz w:val="18"/>
                <w:szCs w:val="18"/>
                <w:lang w:val="fr-FR" w:eastAsia="en-GB"/>
              </w:rPr>
              <w:t xml:space="preserve"> Campbell, 2004) </w:t>
            </w:r>
          </w:p>
        </w:tc>
      </w:tr>
      <w:tr w:rsidR="009E18F7" w:rsidRPr="008608AA" w14:paraId="6E75A619" w14:textId="77777777" w:rsidTr="00C656E9">
        <w:tc>
          <w:tcPr>
            <w:tcW w:w="459" w:type="pct"/>
            <w:vMerge/>
          </w:tcPr>
          <w:p w14:paraId="4F2FB746" w14:textId="77777777" w:rsidR="009E18F7" w:rsidRPr="00A3137A" w:rsidRDefault="009E18F7" w:rsidP="008568BE">
            <w:pPr>
              <w:rPr>
                <w:lang w:val="fr-FR"/>
              </w:rPr>
            </w:pPr>
          </w:p>
        </w:tc>
        <w:tc>
          <w:tcPr>
            <w:tcW w:w="624" w:type="pct"/>
            <w:vMerge/>
          </w:tcPr>
          <w:p w14:paraId="7496CF0B" w14:textId="77777777" w:rsidR="009E18F7" w:rsidRPr="00A3137A" w:rsidRDefault="009E18F7" w:rsidP="008568BE">
            <w:pPr>
              <w:rPr>
                <w:sz w:val="18"/>
                <w:szCs w:val="18"/>
                <w:lang w:val="fr-FR"/>
              </w:rPr>
            </w:pPr>
          </w:p>
        </w:tc>
        <w:tc>
          <w:tcPr>
            <w:tcW w:w="1031" w:type="pct"/>
            <w:vAlign w:val="center"/>
          </w:tcPr>
          <w:p w14:paraId="5891D84C" w14:textId="77777777" w:rsidR="009E18F7" w:rsidRPr="008608AA" w:rsidRDefault="009E18F7" w:rsidP="008568BE">
            <w:pPr>
              <w:rPr>
                <w:sz w:val="18"/>
                <w:szCs w:val="18"/>
                <w:lang w:eastAsia="en-GB"/>
              </w:rPr>
            </w:pPr>
            <w:r w:rsidRPr="008608AA">
              <w:rPr>
                <w:sz w:val="18"/>
                <w:szCs w:val="18"/>
                <w:lang w:eastAsia="en-GB"/>
              </w:rPr>
              <w:t>Bolivia, Colombia, Peru</w:t>
            </w:r>
          </w:p>
        </w:tc>
        <w:tc>
          <w:tcPr>
            <w:tcW w:w="2886" w:type="pct"/>
            <w:vAlign w:val="center"/>
          </w:tcPr>
          <w:p w14:paraId="6E23CCD3" w14:textId="6BADEF09" w:rsidR="009E18F7" w:rsidRPr="008608AA" w:rsidRDefault="009E18F7" w:rsidP="000D52E0">
            <w:pPr>
              <w:rPr>
                <w:sz w:val="18"/>
                <w:szCs w:val="18"/>
                <w:lang w:eastAsia="en-GB"/>
              </w:rPr>
            </w:pPr>
            <w:r w:rsidRPr="008608AA">
              <w:rPr>
                <w:sz w:val="18"/>
                <w:szCs w:val="18"/>
                <w:lang w:eastAsia="en-GB"/>
              </w:rPr>
              <w:t>Community management associated to strengthening of family-based agriculture in the Andes (Sayer</w:t>
            </w:r>
            <w:r w:rsidR="000D52E0" w:rsidRPr="008608AA">
              <w:rPr>
                <w:sz w:val="18"/>
                <w:szCs w:val="18"/>
                <w:lang w:eastAsia="en-GB"/>
              </w:rPr>
              <w:t xml:space="preserve"> &amp;</w:t>
            </w:r>
            <w:r w:rsidRPr="008608AA">
              <w:rPr>
                <w:sz w:val="18"/>
                <w:szCs w:val="18"/>
                <w:lang w:eastAsia="en-GB"/>
              </w:rPr>
              <w:t xml:space="preserve"> Campbell, 2004; Larson, 2003; 2005)</w:t>
            </w:r>
          </w:p>
        </w:tc>
      </w:tr>
      <w:tr w:rsidR="009E18F7" w:rsidRPr="008608AA" w14:paraId="6B545F9B" w14:textId="77777777" w:rsidTr="00C656E9">
        <w:tc>
          <w:tcPr>
            <w:tcW w:w="459" w:type="pct"/>
            <w:vMerge/>
          </w:tcPr>
          <w:p w14:paraId="3271F934" w14:textId="77777777" w:rsidR="009E18F7" w:rsidRPr="008608AA" w:rsidRDefault="009E18F7" w:rsidP="008568BE"/>
        </w:tc>
        <w:tc>
          <w:tcPr>
            <w:tcW w:w="624" w:type="pct"/>
            <w:vMerge/>
          </w:tcPr>
          <w:p w14:paraId="59721DED" w14:textId="77777777" w:rsidR="009E18F7" w:rsidRPr="008608AA" w:rsidRDefault="009E18F7" w:rsidP="008568BE"/>
        </w:tc>
        <w:tc>
          <w:tcPr>
            <w:tcW w:w="1031" w:type="pct"/>
            <w:vAlign w:val="center"/>
          </w:tcPr>
          <w:p w14:paraId="09F2E55E" w14:textId="77777777" w:rsidR="009E18F7" w:rsidRPr="008608AA" w:rsidRDefault="009E18F7" w:rsidP="008568BE">
            <w:pPr>
              <w:rPr>
                <w:sz w:val="18"/>
                <w:szCs w:val="18"/>
                <w:lang w:eastAsia="en-GB"/>
              </w:rPr>
            </w:pPr>
            <w:r w:rsidRPr="008608AA">
              <w:rPr>
                <w:sz w:val="18"/>
                <w:szCs w:val="18"/>
                <w:lang w:eastAsia="en-GB"/>
              </w:rPr>
              <w:t>Brazil</w:t>
            </w:r>
          </w:p>
        </w:tc>
        <w:tc>
          <w:tcPr>
            <w:tcW w:w="2886" w:type="pct"/>
            <w:vAlign w:val="center"/>
          </w:tcPr>
          <w:p w14:paraId="4655F993" w14:textId="5510A0D4" w:rsidR="009E18F7" w:rsidRPr="008608AA" w:rsidRDefault="009E18F7" w:rsidP="000D52E0">
            <w:pPr>
              <w:rPr>
                <w:sz w:val="18"/>
                <w:szCs w:val="18"/>
                <w:lang w:eastAsia="en-GB"/>
              </w:rPr>
            </w:pPr>
            <w:r w:rsidRPr="008608AA">
              <w:rPr>
                <w:sz w:val="18"/>
                <w:szCs w:val="18"/>
                <w:lang w:eastAsia="en-GB"/>
              </w:rPr>
              <w:t xml:space="preserve">Low impact, timber and non-timber management, in Amazonian flooded forests (Schöngart </w:t>
            </w:r>
            <w:r w:rsidR="000D52E0" w:rsidRPr="008608AA">
              <w:rPr>
                <w:sz w:val="18"/>
                <w:szCs w:val="18"/>
                <w:lang w:eastAsia="en-GB"/>
              </w:rPr>
              <w:t>&amp;</w:t>
            </w:r>
            <w:r w:rsidRPr="008608AA">
              <w:rPr>
                <w:sz w:val="18"/>
                <w:szCs w:val="18"/>
                <w:lang w:eastAsia="en-GB"/>
              </w:rPr>
              <w:t xml:space="preserve"> Queiroz, 2010; Larson, 2003)</w:t>
            </w:r>
          </w:p>
        </w:tc>
      </w:tr>
      <w:tr w:rsidR="009E18F7" w:rsidRPr="008608AA" w14:paraId="63244FFC" w14:textId="77777777" w:rsidTr="00C656E9">
        <w:tc>
          <w:tcPr>
            <w:tcW w:w="459" w:type="pct"/>
            <w:vMerge/>
          </w:tcPr>
          <w:p w14:paraId="1EE4AA08" w14:textId="77777777" w:rsidR="009E18F7" w:rsidRPr="008608AA" w:rsidRDefault="009E18F7" w:rsidP="008568BE"/>
        </w:tc>
        <w:tc>
          <w:tcPr>
            <w:tcW w:w="624" w:type="pct"/>
            <w:vMerge/>
          </w:tcPr>
          <w:p w14:paraId="455BBDF6" w14:textId="77777777" w:rsidR="009E18F7" w:rsidRPr="008608AA" w:rsidRDefault="009E18F7" w:rsidP="008568BE"/>
        </w:tc>
        <w:tc>
          <w:tcPr>
            <w:tcW w:w="1031" w:type="pct"/>
          </w:tcPr>
          <w:p w14:paraId="6B936406" w14:textId="77777777" w:rsidR="009E18F7" w:rsidRPr="008608AA" w:rsidRDefault="009E18F7" w:rsidP="008568BE">
            <w:pPr>
              <w:rPr>
                <w:sz w:val="18"/>
                <w:szCs w:val="18"/>
              </w:rPr>
            </w:pPr>
            <w:r w:rsidRPr="008608AA">
              <w:rPr>
                <w:sz w:val="18"/>
                <w:szCs w:val="18"/>
              </w:rPr>
              <w:t>Canada</w:t>
            </w:r>
          </w:p>
        </w:tc>
        <w:tc>
          <w:tcPr>
            <w:tcW w:w="2886" w:type="pct"/>
          </w:tcPr>
          <w:p w14:paraId="10713C55" w14:textId="0B99F700" w:rsidR="009E18F7" w:rsidRPr="008608AA" w:rsidRDefault="009E18F7" w:rsidP="000D52E0">
            <w:pPr>
              <w:rPr>
                <w:sz w:val="18"/>
                <w:szCs w:val="18"/>
              </w:rPr>
            </w:pPr>
            <w:r w:rsidRPr="008608AA">
              <w:rPr>
                <w:sz w:val="18"/>
                <w:szCs w:val="18"/>
              </w:rPr>
              <w:t xml:space="preserve">Management by indigenous peoples and their organizations (Natcher </w:t>
            </w:r>
            <w:r w:rsidR="000D52E0" w:rsidRPr="008608AA">
              <w:rPr>
                <w:sz w:val="18"/>
                <w:szCs w:val="18"/>
              </w:rPr>
              <w:t>&amp;</w:t>
            </w:r>
            <w:r w:rsidRPr="008608AA">
              <w:rPr>
                <w:sz w:val="18"/>
                <w:szCs w:val="18"/>
              </w:rPr>
              <w:t xml:space="preserve"> Hickey, 2002)</w:t>
            </w:r>
          </w:p>
        </w:tc>
      </w:tr>
      <w:tr w:rsidR="009E18F7" w:rsidRPr="008608AA" w14:paraId="7F2F9B08" w14:textId="77777777" w:rsidTr="00C656E9">
        <w:tc>
          <w:tcPr>
            <w:tcW w:w="459" w:type="pct"/>
            <w:vMerge/>
            <w:tcBorders>
              <w:bottom w:val="nil"/>
            </w:tcBorders>
          </w:tcPr>
          <w:p w14:paraId="031D5EDA" w14:textId="77777777" w:rsidR="009E18F7" w:rsidRPr="008608AA" w:rsidRDefault="009E18F7" w:rsidP="008568BE"/>
        </w:tc>
        <w:tc>
          <w:tcPr>
            <w:tcW w:w="624" w:type="pct"/>
            <w:vMerge/>
            <w:tcBorders>
              <w:bottom w:val="nil"/>
            </w:tcBorders>
          </w:tcPr>
          <w:p w14:paraId="18CC7EAE" w14:textId="77777777" w:rsidR="009E18F7" w:rsidRPr="008608AA" w:rsidRDefault="009E18F7" w:rsidP="008568BE"/>
        </w:tc>
        <w:tc>
          <w:tcPr>
            <w:tcW w:w="1031" w:type="pct"/>
            <w:vAlign w:val="center"/>
          </w:tcPr>
          <w:p w14:paraId="78249680" w14:textId="77777777" w:rsidR="009E18F7" w:rsidRPr="008608AA" w:rsidRDefault="009E18F7" w:rsidP="008568BE">
            <w:pPr>
              <w:rPr>
                <w:sz w:val="18"/>
                <w:szCs w:val="18"/>
                <w:lang w:eastAsia="en-GB"/>
              </w:rPr>
            </w:pPr>
            <w:r w:rsidRPr="008608AA">
              <w:rPr>
                <w:sz w:val="18"/>
                <w:szCs w:val="18"/>
                <w:lang w:eastAsia="en-GB"/>
              </w:rPr>
              <w:t>Honduras, Nicaragua</w:t>
            </w:r>
          </w:p>
        </w:tc>
        <w:tc>
          <w:tcPr>
            <w:tcW w:w="2886" w:type="pct"/>
            <w:vAlign w:val="center"/>
          </w:tcPr>
          <w:p w14:paraId="2EAEB3AC" w14:textId="60A61A56" w:rsidR="009E18F7" w:rsidRPr="008608AA" w:rsidRDefault="009E18F7" w:rsidP="000D52E0">
            <w:pPr>
              <w:rPr>
                <w:sz w:val="18"/>
                <w:szCs w:val="18"/>
                <w:lang w:eastAsia="en-GB"/>
              </w:rPr>
            </w:pPr>
            <w:r w:rsidRPr="008608AA">
              <w:rPr>
                <w:sz w:val="18"/>
                <w:szCs w:val="18"/>
                <w:lang w:eastAsia="en-GB"/>
              </w:rPr>
              <w:t>Participatory management with communities, organizations, local and central government (Nygren, 2005; Larson, 2003; 2005; Sayer</w:t>
            </w:r>
            <w:r w:rsidR="000D52E0" w:rsidRPr="008608AA">
              <w:rPr>
                <w:sz w:val="18"/>
                <w:szCs w:val="18"/>
                <w:lang w:eastAsia="en-GB"/>
              </w:rPr>
              <w:t>&amp;</w:t>
            </w:r>
            <w:r w:rsidRPr="008608AA">
              <w:rPr>
                <w:sz w:val="18"/>
                <w:szCs w:val="18"/>
                <w:lang w:eastAsia="en-GB"/>
              </w:rPr>
              <w:t>Campbell, 2004)</w:t>
            </w:r>
          </w:p>
        </w:tc>
      </w:tr>
      <w:tr w:rsidR="009E18F7" w:rsidRPr="008608AA" w14:paraId="0DDA9499" w14:textId="77777777" w:rsidTr="00C656E9">
        <w:tc>
          <w:tcPr>
            <w:tcW w:w="459" w:type="pct"/>
            <w:vMerge w:val="restart"/>
            <w:tcBorders>
              <w:top w:val="nil"/>
            </w:tcBorders>
          </w:tcPr>
          <w:p w14:paraId="605B8208" w14:textId="77777777" w:rsidR="009E18F7" w:rsidRPr="008608AA" w:rsidRDefault="009E18F7" w:rsidP="008568BE">
            <w:pPr>
              <w:rPr>
                <w:sz w:val="18"/>
                <w:szCs w:val="18"/>
              </w:rPr>
            </w:pPr>
            <w:r w:rsidRPr="008608AA">
              <w:rPr>
                <w:sz w:val="18"/>
                <w:szCs w:val="18"/>
              </w:rPr>
              <w:t>Community-based management (cont.)</w:t>
            </w:r>
          </w:p>
        </w:tc>
        <w:tc>
          <w:tcPr>
            <w:tcW w:w="624" w:type="pct"/>
            <w:vMerge w:val="restart"/>
            <w:tcBorders>
              <w:top w:val="nil"/>
            </w:tcBorders>
          </w:tcPr>
          <w:p w14:paraId="31985E20" w14:textId="77777777" w:rsidR="009E18F7" w:rsidRPr="008608AA" w:rsidRDefault="009E18F7" w:rsidP="008568BE">
            <w:pPr>
              <w:rPr>
                <w:sz w:val="18"/>
                <w:szCs w:val="18"/>
              </w:rPr>
            </w:pPr>
          </w:p>
        </w:tc>
        <w:tc>
          <w:tcPr>
            <w:tcW w:w="1031" w:type="pct"/>
            <w:vAlign w:val="center"/>
          </w:tcPr>
          <w:p w14:paraId="3D5FB6B6" w14:textId="77777777" w:rsidR="009E18F7" w:rsidRPr="008608AA" w:rsidRDefault="009E18F7" w:rsidP="008568BE">
            <w:pPr>
              <w:rPr>
                <w:sz w:val="18"/>
                <w:szCs w:val="18"/>
                <w:lang w:eastAsia="en-GB"/>
              </w:rPr>
            </w:pPr>
            <w:r w:rsidRPr="008608AA">
              <w:rPr>
                <w:sz w:val="18"/>
                <w:szCs w:val="18"/>
                <w:lang w:eastAsia="en-GB"/>
              </w:rPr>
              <w:t>Mexico</w:t>
            </w:r>
          </w:p>
        </w:tc>
        <w:tc>
          <w:tcPr>
            <w:tcW w:w="2886" w:type="pct"/>
            <w:vAlign w:val="center"/>
          </w:tcPr>
          <w:p w14:paraId="1BF129BA" w14:textId="326CA3C3" w:rsidR="009E18F7" w:rsidRPr="008608AA" w:rsidRDefault="009E18F7" w:rsidP="000D52E0">
            <w:pPr>
              <w:rPr>
                <w:sz w:val="18"/>
                <w:szCs w:val="18"/>
                <w:lang w:eastAsia="en-GB"/>
              </w:rPr>
            </w:pPr>
            <w:r w:rsidRPr="008608AA">
              <w:rPr>
                <w:sz w:val="18"/>
                <w:szCs w:val="18"/>
                <w:lang w:eastAsia="en-GB"/>
              </w:rPr>
              <w:t xml:space="preserve">Management inside and outside protected areas, by community-based companies (Ellis </w:t>
            </w:r>
            <w:r w:rsidR="000D52E0" w:rsidRPr="008608AA">
              <w:rPr>
                <w:sz w:val="18"/>
                <w:szCs w:val="18"/>
                <w:lang w:eastAsia="en-GB"/>
              </w:rPr>
              <w:t>&amp;</w:t>
            </w:r>
            <w:r w:rsidRPr="008608AA">
              <w:rPr>
                <w:sz w:val="18"/>
                <w:szCs w:val="18"/>
                <w:lang w:eastAsia="en-GB"/>
              </w:rPr>
              <w:t xml:space="preserve"> Porter-Bolland, 2008; Porter-Bolland </w:t>
            </w:r>
            <w:r w:rsidRPr="008608AA">
              <w:rPr>
                <w:i/>
                <w:sz w:val="18"/>
                <w:szCs w:val="18"/>
                <w:lang w:eastAsia="en-GB"/>
              </w:rPr>
              <w:t>et al</w:t>
            </w:r>
            <w:r w:rsidRPr="008608AA">
              <w:rPr>
                <w:sz w:val="18"/>
                <w:szCs w:val="18"/>
                <w:lang w:eastAsia="en-GB"/>
              </w:rPr>
              <w:t>., 2013)</w:t>
            </w:r>
          </w:p>
        </w:tc>
      </w:tr>
      <w:tr w:rsidR="009E18F7" w:rsidRPr="008608AA" w14:paraId="05225B58" w14:textId="77777777" w:rsidTr="00C656E9">
        <w:tc>
          <w:tcPr>
            <w:tcW w:w="459" w:type="pct"/>
            <w:vMerge/>
          </w:tcPr>
          <w:p w14:paraId="158364C3" w14:textId="77777777" w:rsidR="009E18F7" w:rsidRPr="008608AA" w:rsidRDefault="009E18F7" w:rsidP="008568BE"/>
        </w:tc>
        <w:tc>
          <w:tcPr>
            <w:tcW w:w="624" w:type="pct"/>
            <w:vMerge/>
          </w:tcPr>
          <w:p w14:paraId="6CBD42A3" w14:textId="77777777" w:rsidR="009E18F7" w:rsidRPr="008608AA" w:rsidRDefault="009E18F7" w:rsidP="008568BE"/>
        </w:tc>
        <w:tc>
          <w:tcPr>
            <w:tcW w:w="1031" w:type="pct"/>
            <w:vAlign w:val="center"/>
          </w:tcPr>
          <w:p w14:paraId="33B25117" w14:textId="5D708625" w:rsidR="009E18F7" w:rsidRPr="008608AA" w:rsidRDefault="00BD08BA" w:rsidP="008568BE">
            <w:pPr>
              <w:rPr>
                <w:sz w:val="18"/>
                <w:szCs w:val="18"/>
                <w:lang w:eastAsia="en-GB"/>
              </w:rPr>
            </w:pPr>
            <w:r w:rsidRPr="008608AA">
              <w:rPr>
                <w:sz w:val="18"/>
                <w:szCs w:val="18"/>
                <w:lang w:eastAsia="en-GB"/>
              </w:rPr>
              <w:t>US</w:t>
            </w:r>
          </w:p>
        </w:tc>
        <w:tc>
          <w:tcPr>
            <w:tcW w:w="2886" w:type="pct"/>
            <w:vAlign w:val="center"/>
          </w:tcPr>
          <w:p w14:paraId="5ADDAC28" w14:textId="77777777" w:rsidR="009E18F7" w:rsidRPr="008608AA" w:rsidRDefault="009E18F7" w:rsidP="008568BE">
            <w:pPr>
              <w:rPr>
                <w:sz w:val="18"/>
                <w:szCs w:val="18"/>
                <w:lang w:eastAsia="en-GB"/>
              </w:rPr>
            </w:pPr>
            <w:r w:rsidRPr="008608AA">
              <w:rPr>
                <w:sz w:val="18"/>
                <w:szCs w:val="18"/>
                <w:lang w:eastAsia="en-GB"/>
              </w:rPr>
              <w:t xml:space="preserve">Collaborative management and monitoring by community-based organizations (Fernandez-Gimenez </w:t>
            </w:r>
            <w:r w:rsidRPr="008608AA">
              <w:rPr>
                <w:i/>
                <w:sz w:val="18"/>
                <w:szCs w:val="18"/>
                <w:lang w:eastAsia="en-GB"/>
              </w:rPr>
              <w:t>et al</w:t>
            </w:r>
            <w:r w:rsidRPr="008608AA">
              <w:rPr>
                <w:sz w:val="18"/>
                <w:szCs w:val="18"/>
                <w:lang w:eastAsia="en-GB"/>
              </w:rPr>
              <w:t xml:space="preserve">., 2008; Meffe </w:t>
            </w:r>
            <w:r w:rsidRPr="008608AA">
              <w:rPr>
                <w:i/>
                <w:sz w:val="18"/>
                <w:szCs w:val="18"/>
                <w:lang w:eastAsia="en-GB"/>
              </w:rPr>
              <w:t>et al</w:t>
            </w:r>
            <w:r w:rsidRPr="008608AA">
              <w:rPr>
                <w:sz w:val="18"/>
                <w:szCs w:val="18"/>
                <w:lang w:eastAsia="en-GB"/>
              </w:rPr>
              <w:t>., 2002)</w:t>
            </w:r>
          </w:p>
        </w:tc>
      </w:tr>
      <w:tr w:rsidR="009E18F7" w:rsidRPr="008608AA" w14:paraId="18D22341" w14:textId="77777777" w:rsidTr="00C656E9">
        <w:tc>
          <w:tcPr>
            <w:tcW w:w="459" w:type="pct"/>
            <w:vMerge/>
          </w:tcPr>
          <w:p w14:paraId="1216E629" w14:textId="77777777" w:rsidR="009E18F7" w:rsidRPr="008608AA" w:rsidRDefault="009E18F7" w:rsidP="008568BE"/>
        </w:tc>
        <w:tc>
          <w:tcPr>
            <w:tcW w:w="624" w:type="pct"/>
            <w:vMerge w:val="restart"/>
          </w:tcPr>
          <w:p w14:paraId="1388664C" w14:textId="77777777" w:rsidR="009E18F7" w:rsidRPr="008608AA" w:rsidRDefault="009E18F7" w:rsidP="008568BE">
            <w:pPr>
              <w:rPr>
                <w:sz w:val="18"/>
                <w:szCs w:val="18"/>
              </w:rPr>
            </w:pPr>
            <w:r w:rsidRPr="008608AA">
              <w:rPr>
                <w:sz w:val="18"/>
                <w:szCs w:val="18"/>
              </w:rPr>
              <w:t>Hunting</w:t>
            </w:r>
          </w:p>
        </w:tc>
        <w:tc>
          <w:tcPr>
            <w:tcW w:w="1031" w:type="pct"/>
          </w:tcPr>
          <w:p w14:paraId="72C93C4F" w14:textId="77777777" w:rsidR="009E18F7" w:rsidRPr="008608AA" w:rsidRDefault="009E18F7" w:rsidP="008568BE">
            <w:pPr>
              <w:rPr>
                <w:sz w:val="18"/>
                <w:szCs w:val="18"/>
              </w:rPr>
            </w:pPr>
            <w:r w:rsidRPr="008608AA">
              <w:rPr>
                <w:sz w:val="18"/>
                <w:szCs w:val="18"/>
              </w:rPr>
              <w:t>Canada</w:t>
            </w:r>
          </w:p>
        </w:tc>
        <w:tc>
          <w:tcPr>
            <w:tcW w:w="2886" w:type="pct"/>
          </w:tcPr>
          <w:p w14:paraId="2D1BA693" w14:textId="77777777" w:rsidR="009E18F7" w:rsidRPr="008608AA" w:rsidRDefault="009E18F7" w:rsidP="008568BE">
            <w:pPr>
              <w:rPr>
                <w:sz w:val="18"/>
                <w:szCs w:val="18"/>
              </w:rPr>
            </w:pPr>
            <w:r w:rsidRPr="008608AA">
              <w:rPr>
                <w:sz w:val="18"/>
                <w:szCs w:val="18"/>
                <w:lang w:eastAsia="en-GB"/>
              </w:rPr>
              <w:t>Participatory management of hunting and fishing by indigenous communities (Armitage, 2005)</w:t>
            </w:r>
          </w:p>
        </w:tc>
      </w:tr>
      <w:tr w:rsidR="009E18F7" w:rsidRPr="008608AA" w14:paraId="4CDD685F" w14:textId="77777777" w:rsidTr="00C656E9">
        <w:tc>
          <w:tcPr>
            <w:tcW w:w="459" w:type="pct"/>
            <w:vMerge/>
          </w:tcPr>
          <w:p w14:paraId="509F43E3" w14:textId="77777777" w:rsidR="009E18F7" w:rsidRPr="008608AA" w:rsidRDefault="009E18F7" w:rsidP="008568BE"/>
        </w:tc>
        <w:tc>
          <w:tcPr>
            <w:tcW w:w="624" w:type="pct"/>
            <w:vMerge/>
          </w:tcPr>
          <w:p w14:paraId="08FC3C0D" w14:textId="77777777" w:rsidR="009E18F7" w:rsidRPr="008608AA" w:rsidRDefault="009E18F7" w:rsidP="008568BE"/>
        </w:tc>
        <w:tc>
          <w:tcPr>
            <w:tcW w:w="1031" w:type="pct"/>
          </w:tcPr>
          <w:p w14:paraId="4F98775E" w14:textId="77777777" w:rsidR="009E18F7" w:rsidRPr="008608AA" w:rsidRDefault="009E18F7" w:rsidP="008568BE">
            <w:pPr>
              <w:rPr>
                <w:sz w:val="18"/>
                <w:szCs w:val="18"/>
              </w:rPr>
            </w:pPr>
            <w:r w:rsidRPr="008608AA">
              <w:rPr>
                <w:sz w:val="18"/>
                <w:szCs w:val="18"/>
              </w:rPr>
              <w:t>United States</w:t>
            </w:r>
          </w:p>
        </w:tc>
        <w:tc>
          <w:tcPr>
            <w:tcW w:w="2886" w:type="pct"/>
          </w:tcPr>
          <w:p w14:paraId="27283747" w14:textId="77777777" w:rsidR="009E18F7" w:rsidRPr="008608AA" w:rsidRDefault="009E18F7" w:rsidP="008568BE">
            <w:pPr>
              <w:rPr>
                <w:sz w:val="18"/>
                <w:szCs w:val="18"/>
              </w:rPr>
            </w:pPr>
            <w:r w:rsidRPr="008608AA">
              <w:rPr>
                <w:sz w:val="18"/>
                <w:szCs w:val="18"/>
              </w:rPr>
              <w:t xml:space="preserve">Community management of hunting (Decker </w:t>
            </w:r>
            <w:r w:rsidRPr="008608AA">
              <w:rPr>
                <w:i/>
                <w:sz w:val="18"/>
                <w:szCs w:val="18"/>
              </w:rPr>
              <w:t>et al</w:t>
            </w:r>
            <w:r w:rsidRPr="008608AA">
              <w:rPr>
                <w:sz w:val="18"/>
                <w:szCs w:val="18"/>
              </w:rPr>
              <w:t xml:space="preserve">., 2004; Meffe </w:t>
            </w:r>
            <w:r w:rsidRPr="008608AA">
              <w:rPr>
                <w:i/>
                <w:sz w:val="18"/>
                <w:szCs w:val="18"/>
              </w:rPr>
              <w:t>et al</w:t>
            </w:r>
            <w:r w:rsidRPr="008608AA">
              <w:rPr>
                <w:sz w:val="18"/>
                <w:szCs w:val="18"/>
              </w:rPr>
              <w:t>., 2002)</w:t>
            </w:r>
          </w:p>
        </w:tc>
      </w:tr>
      <w:tr w:rsidR="009E18F7" w:rsidRPr="008608AA" w14:paraId="6C68E448" w14:textId="77777777" w:rsidTr="00C656E9">
        <w:tc>
          <w:tcPr>
            <w:tcW w:w="459" w:type="pct"/>
            <w:vMerge/>
          </w:tcPr>
          <w:p w14:paraId="64F9EC96" w14:textId="77777777" w:rsidR="009E18F7" w:rsidRPr="008608AA" w:rsidRDefault="009E18F7" w:rsidP="008568BE"/>
        </w:tc>
        <w:tc>
          <w:tcPr>
            <w:tcW w:w="624" w:type="pct"/>
            <w:vMerge w:val="restart"/>
          </w:tcPr>
          <w:p w14:paraId="62F61BCB" w14:textId="77777777" w:rsidR="009E18F7" w:rsidRPr="008608AA" w:rsidRDefault="009E18F7" w:rsidP="008568BE">
            <w:pPr>
              <w:rPr>
                <w:sz w:val="18"/>
                <w:szCs w:val="18"/>
              </w:rPr>
            </w:pPr>
            <w:r w:rsidRPr="008608AA">
              <w:rPr>
                <w:sz w:val="18"/>
                <w:szCs w:val="18"/>
              </w:rPr>
              <w:t>Water</w:t>
            </w:r>
          </w:p>
        </w:tc>
        <w:tc>
          <w:tcPr>
            <w:tcW w:w="1031" w:type="pct"/>
            <w:vAlign w:val="center"/>
          </w:tcPr>
          <w:p w14:paraId="16952AC4" w14:textId="77777777" w:rsidR="009E18F7" w:rsidRPr="008608AA" w:rsidRDefault="009E18F7" w:rsidP="008568BE">
            <w:pPr>
              <w:rPr>
                <w:sz w:val="18"/>
                <w:szCs w:val="18"/>
                <w:lang w:eastAsia="en-GB"/>
              </w:rPr>
            </w:pPr>
            <w:r w:rsidRPr="008608AA">
              <w:rPr>
                <w:sz w:val="18"/>
                <w:szCs w:val="18"/>
                <w:lang w:eastAsia="en-GB"/>
              </w:rPr>
              <w:t>Brazil</w:t>
            </w:r>
          </w:p>
        </w:tc>
        <w:tc>
          <w:tcPr>
            <w:tcW w:w="2886" w:type="pct"/>
            <w:vAlign w:val="center"/>
          </w:tcPr>
          <w:p w14:paraId="739669E1" w14:textId="77777777" w:rsidR="009E18F7" w:rsidRPr="008608AA" w:rsidRDefault="009E18F7" w:rsidP="008568BE">
            <w:pPr>
              <w:rPr>
                <w:sz w:val="18"/>
                <w:szCs w:val="18"/>
                <w:lang w:eastAsia="en-GB"/>
              </w:rPr>
            </w:pPr>
            <w:r w:rsidRPr="008608AA">
              <w:rPr>
                <w:sz w:val="18"/>
                <w:szCs w:val="18"/>
                <w:lang w:eastAsia="en-GB"/>
              </w:rPr>
              <w:t>Multistakeholder watershed management and governance of water resources</w:t>
            </w:r>
          </w:p>
        </w:tc>
      </w:tr>
      <w:tr w:rsidR="009E18F7" w:rsidRPr="008608AA" w14:paraId="5A924098" w14:textId="77777777" w:rsidTr="00C656E9">
        <w:tc>
          <w:tcPr>
            <w:tcW w:w="459" w:type="pct"/>
            <w:vMerge/>
          </w:tcPr>
          <w:p w14:paraId="0F0A8EA0" w14:textId="77777777" w:rsidR="009E18F7" w:rsidRPr="008608AA" w:rsidRDefault="009E18F7" w:rsidP="008568BE"/>
        </w:tc>
        <w:tc>
          <w:tcPr>
            <w:tcW w:w="624" w:type="pct"/>
            <w:vMerge/>
          </w:tcPr>
          <w:p w14:paraId="230E5C54" w14:textId="77777777" w:rsidR="009E18F7" w:rsidRPr="008608AA" w:rsidRDefault="009E18F7" w:rsidP="008568BE"/>
        </w:tc>
        <w:tc>
          <w:tcPr>
            <w:tcW w:w="1031" w:type="pct"/>
          </w:tcPr>
          <w:p w14:paraId="78F8D1F0" w14:textId="77777777" w:rsidR="009E18F7" w:rsidRPr="008608AA" w:rsidRDefault="009E18F7" w:rsidP="008568BE">
            <w:pPr>
              <w:rPr>
                <w:sz w:val="18"/>
                <w:szCs w:val="18"/>
              </w:rPr>
            </w:pPr>
            <w:r w:rsidRPr="008608AA">
              <w:rPr>
                <w:sz w:val="18"/>
                <w:szCs w:val="18"/>
              </w:rPr>
              <w:t>Paraguay</w:t>
            </w:r>
          </w:p>
        </w:tc>
        <w:tc>
          <w:tcPr>
            <w:tcW w:w="2886" w:type="pct"/>
          </w:tcPr>
          <w:p w14:paraId="7C9AD2B4" w14:textId="77777777" w:rsidR="009E18F7" w:rsidRPr="008608AA" w:rsidRDefault="009E18F7" w:rsidP="008568BE">
            <w:pPr>
              <w:rPr>
                <w:sz w:val="18"/>
                <w:szCs w:val="18"/>
              </w:rPr>
            </w:pPr>
            <w:r w:rsidRPr="008608AA">
              <w:rPr>
                <w:sz w:val="18"/>
                <w:szCs w:val="18"/>
              </w:rPr>
              <w:t>Management by indigenous peoples inside their territories (Fogel, 2007)</w:t>
            </w:r>
          </w:p>
        </w:tc>
      </w:tr>
      <w:tr w:rsidR="009E18F7" w:rsidRPr="008608AA" w14:paraId="605E8BD5" w14:textId="77777777" w:rsidTr="00C656E9">
        <w:tc>
          <w:tcPr>
            <w:tcW w:w="459" w:type="pct"/>
            <w:vMerge/>
          </w:tcPr>
          <w:p w14:paraId="37C4F524" w14:textId="77777777" w:rsidR="009E18F7" w:rsidRPr="008608AA" w:rsidRDefault="009E18F7" w:rsidP="008568BE"/>
        </w:tc>
        <w:tc>
          <w:tcPr>
            <w:tcW w:w="624" w:type="pct"/>
            <w:vMerge/>
          </w:tcPr>
          <w:p w14:paraId="19FD2B77" w14:textId="77777777" w:rsidR="009E18F7" w:rsidRPr="008608AA" w:rsidRDefault="009E18F7" w:rsidP="008568BE"/>
        </w:tc>
        <w:tc>
          <w:tcPr>
            <w:tcW w:w="1031" w:type="pct"/>
          </w:tcPr>
          <w:p w14:paraId="20792F5A" w14:textId="77777777" w:rsidR="009E18F7" w:rsidRPr="008608AA" w:rsidRDefault="009E18F7" w:rsidP="008568BE">
            <w:pPr>
              <w:rPr>
                <w:sz w:val="18"/>
                <w:szCs w:val="18"/>
              </w:rPr>
            </w:pPr>
            <w:r w:rsidRPr="008608AA">
              <w:rPr>
                <w:sz w:val="18"/>
                <w:szCs w:val="18"/>
              </w:rPr>
              <w:t>United States</w:t>
            </w:r>
          </w:p>
        </w:tc>
        <w:tc>
          <w:tcPr>
            <w:tcW w:w="2886" w:type="pct"/>
          </w:tcPr>
          <w:p w14:paraId="641A4F3C" w14:textId="77777777" w:rsidR="009E18F7" w:rsidRPr="008608AA" w:rsidRDefault="009E18F7" w:rsidP="008568BE">
            <w:pPr>
              <w:rPr>
                <w:sz w:val="18"/>
                <w:szCs w:val="18"/>
              </w:rPr>
            </w:pPr>
            <w:r w:rsidRPr="008608AA">
              <w:rPr>
                <w:sz w:val="18"/>
                <w:szCs w:val="18"/>
              </w:rPr>
              <w:t xml:space="preserve">Participatory co-management of watersheds and water resources (Rhoads </w:t>
            </w:r>
            <w:r w:rsidRPr="008608AA">
              <w:rPr>
                <w:i/>
                <w:sz w:val="18"/>
                <w:szCs w:val="18"/>
              </w:rPr>
              <w:t>et al</w:t>
            </w:r>
            <w:r w:rsidRPr="008608AA">
              <w:rPr>
                <w:sz w:val="18"/>
                <w:szCs w:val="18"/>
              </w:rPr>
              <w:t>., 1999)</w:t>
            </w:r>
          </w:p>
        </w:tc>
      </w:tr>
      <w:tr w:rsidR="009E18F7" w:rsidRPr="008608AA" w14:paraId="26E03069" w14:textId="77777777" w:rsidTr="00C656E9">
        <w:tc>
          <w:tcPr>
            <w:tcW w:w="459" w:type="pct"/>
            <w:vMerge w:val="restart"/>
          </w:tcPr>
          <w:p w14:paraId="26275ED2" w14:textId="77777777" w:rsidR="009E18F7" w:rsidRPr="008608AA" w:rsidRDefault="009E18F7" w:rsidP="008568BE">
            <w:pPr>
              <w:rPr>
                <w:sz w:val="20"/>
                <w:szCs w:val="20"/>
              </w:rPr>
            </w:pPr>
            <w:r w:rsidRPr="008608AA">
              <w:rPr>
                <w:sz w:val="20"/>
                <w:szCs w:val="20"/>
              </w:rPr>
              <w:t>Monitoring</w:t>
            </w:r>
          </w:p>
        </w:tc>
        <w:tc>
          <w:tcPr>
            <w:tcW w:w="624" w:type="pct"/>
          </w:tcPr>
          <w:p w14:paraId="4F6D5C1B" w14:textId="77777777" w:rsidR="009E18F7" w:rsidRPr="008608AA" w:rsidRDefault="009E18F7" w:rsidP="008568BE">
            <w:pPr>
              <w:rPr>
                <w:sz w:val="18"/>
                <w:szCs w:val="18"/>
              </w:rPr>
            </w:pPr>
            <w:r w:rsidRPr="008608AA">
              <w:rPr>
                <w:sz w:val="18"/>
                <w:szCs w:val="18"/>
              </w:rPr>
              <w:t>Biodiversity and natural resource monitoring</w:t>
            </w:r>
          </w:p>
        </w:tc>
        <w:tc>
          <w:tcPr>
            <w:tcW w:w="1031" w:type="pct"/>
            <w:vAlign w:val="center"/>
          </w:tcPr>
          <w:p w14:paraId="31734C07" w14:textId="77777777" w:rsidR="009E18F7" w:rsidRPr="008608AA" w:rsidRDefault="009E18F7" w:rsidP="008568BE">
            <w:pPr>
              <w:rPr>
                <w:sz w:val="18"/>
                <w:szCs w:val="18"/>
                <w:lang w:val="es-CO" w:eastAsia="en-GB"/>
              </w:rPr>
            </w:pPr>
            <w:r w:rsidRPr="008608AA">
              <w:rPr>
                <w:sz w:val="18"/>
                <w:szCs w:val="18"/>
                <w:lang w:val="es-CO" w:eastAsia="en-GB"/>
              </w:rPr>
              <w:t>Bolivia, Canada, Colombia, Ecuador, México, Nicaragua, Peru</w:t>
            </w:r>
          </w:p>
        </w:tc>
        <w:tc>
          <w:tcPr>
            <w:tcW w:w="2886" w:type="pct"/>
            <w:vAlign w:val="center"/>
          </w:tcPr>
          <w:p w14:paraId="2F3888AD" w14:textId="209BEB70" w:rsidR="009E18F7" w:rsidRPr="008608AA" w:rsidRDefault="009E18F7" w:rsidP="000D52E0">
            <w:pPr>
              <w:rPr>
                <w:sz w:val="18"/>
                <w:szCs w:val="18"/>
                <w:lang w:eastAsia="en-GB"/>
              </w:rPr>
            </w:pPr>
            <w:r w:rsidRPr="008608AA">
              <w:rPr>
                <w:sz w:val="18"/>
                <w:szCs w:val="18"/>
                <w:lang w:eastAsia="en-GB"/>
              </w:rPr>
              <w:t xml:space="preserve">Citizen monitoring by using transects, camera traps, species lists (Danielsen </w:t>
            </w:r>
            <w:r w:rsidRPr="008608AA">
              <w:rPr>
                <w:i/>
                <w:sz w:val="18"/>
                <w:szCs w:val="18"/>
                <w:lang w:eastAsia="en-GB"/>
              </w:rPr>
              <w:t>et al</w:t>
            </w:r>
            <w:r w:rsidRPr="008608AA">
              <w:rPr>
                <w:sz w:val="18"/>
                <w:szCs w:val="18"/>
                <w:lang w:eastAsia="en-GB"/>
              </w:rPr>
              <w:t xml:space="preserve">., 2005; 2008; 2014; Pasteur </w:t>
            </w:r>
            <w:r w:rsidR="000D52E0" w:rsidRPr="008608AA">
              <w:rPr>
                <w:sz w:val="18"/>
                <w:szCs w:val="18"/>
                <w:lang w:eastAsia="en-GB"/>
              </w:rPr>
              <w:t>&amp;</w:t>
            </w:r>
            <w:r w:rsidRPr="008608AA">
              <w:rPr>
                <w:sz w:val="18"/>
                <w:szCs w:val="18"/>
                <w:lang w:eastAsia="en-GB"/>
              </w:rPr>
              <w:t xml:space="preserve"> Blauert, 2000)</w:t>
            </w:r>
          </w:p>
        </w:tc>
      </w:tr>
      <w:tr w:rsidR="009E18F7" w:rsidRPr="008608AA" w14:paraId="6D728D13" w14:textId="77777777" w:rsidTr="00C656E9">
        <w:tc>
          <w:tcPr>
            <w:tcW w:w="459" w:type="pct"/>
            <w:vMerge/>
          </w:tcPr>
          <w:p w14:paraId="01AE04A4" w14:textId="77777777" w:rsidR="009E18F7" w:rsidRPr="008608AA" w:rsidRDefault="009E18F7" w:rsidP="008568BE"/>
        </w:tc>
        <w:tc>
          <w:tcPr>
            <w:tcW w:w="624" w:type="pct"/>
          </w:tcPr>
          <w:p w14:paraId="0BF4A88D" w14:textId="77777777" w:rsidR="009E18F7" w:rsidRPr="008608AA" w:rsidRDefault="009E18F7" w:rsidP="008568BE">
            <w:pPr>
              <w:rPr>
                <w:sz w:val="18"/>
                <w:szCs w:val="18"/>
              </w:rPr>
            </w:pPr>
            <w:r w:rsidRPr="008608AA">
              <w:rPr>
                <w:sz w:val="18"/>
                <w:szCs w:val="18"/>
              </w:rPr>
              <w:t>Monitoring of invasions of protected areas</w:t>
            </w:r>
          </w:p>
        </w:tc>
        <w:tc>
          <w:tcPr>
            <w:tcW w:w="1031" w:type="pct"/>
            <w:vAlign w:val="center"/>
          </w:tcPr>
          <w:p w14:paraId="43F2D9B4" w14:textId="77777777" w:rsidR="009E18F7" w:rsidRPr="008608AA" w:rsidRDefault="009E18F7" w:rsidP="008568BE">
            <w:pPr>
              <w:rPr>
                <w:sz w:val="18"/>
                <w:szCs w:val="18"/>
                <w:lang w:eastAsia="en-GB"/>
              </w:rPr>
            </w:pPr>
            <w:r w:rsidRPr="008608AA">
              <w:rPr>
                <w:sz w:val="18"/>
                <w:szCs w:val="18"/>
                <w:lang w:eastAsia="en-GB"/>
              </w:rPr>
              <w:t>Ecuador</w:t>
            </w:r>
          </w:p>
        </w:tc>
        <w:tc>
          <w:tcPr>
            <w:tcW w:w="2886" w:type="pct"/>
            <w:vAlign w:val="center"/>
          </w:tcPr>
          <w:p w14:paraId="5696ACDD" w14:textId="77777777" w:rsidR="009E18F7" w:rsidRPr="008608AA" w:rsidRDefault="009E18F7" w:rsidP="008568BE">
            <w:pPr>
              <w:rPr>
                <w:sz w:val="18"/>
                <w:szCs w:val="18"/>
                <w:lang w:eastAsia="en-GB"/>
              </w:rPr>
            </w:pPr>
            <w:r w:rsidRPr="008608AA">
              <w:rPr>
                <w:sz w:val="18"/>
                <w:szCs w:val="18"/>
                <w:lang w:eastAsia="en-GB"/>
              </w:rPr>
              <w:t xml:space="preserve">Community-based, with no participation of official agencies (Danielsen </w:t>
            </w:r>
            <w:r w:rsidRPr="008608AA">
              <w:rPr>
                <w:i/>
                <w:sz w:val="18"/>
                <w:szCs w:val="18"/>
                <w:lang w:eastAsia="en-GB"/>
              </w:rPr>
              <w:t>et al</w:t>
            </w:r>
            <w:r w:rsidRPr="008608AA">
              <w:rPr>
                <w:sz w:val="18"/>
                <w:szCs w:val="18"/>
                <w:lang w:eastAsia="en-GB"/>
              </w:rPr>
              <w:t>., 2008)</w:t>
            </w:r>
          </w:p>
        </w:tc>
      </w:tr>
    </w:tbl>
    <w:p w14:paraId="5E9AF63B" w14:textId="77777777" w:rsidR="009E18F7" w:rsidRPr="008608AA" w:rsidRDefault="009E18F7" w:rsidP="009E18F7">
      <w:pPr>
        <w:autoSpaceDE w:val="0"/>
        <w:autoSpaceDN w:val="0"/>
        <w:adjustRightInd w:val="0"/>
        <w:ind w:left="567" w:right="849"/>
        <w:rPr>
          <w:b/>
        </w:rPr>
        <w:sectPr w:rsidR="009E18F7" w:rsidRPr="008608AA" w:rsidSect="00BD08BA">
          <w:pgSz w:w="16839" w:h="11907" w:orient="landscape" w:code="9"/>
          <w:pgMar w:top="992" w:right="1418" w:bottom="1418" w:left="907" w:header="708" w:footer="708" w:gutter="0"/>
          <w:cols w:space="708"/>
          <w:docGrid w:linePitch="360"/>
        </w:sectPr>
      </w:pPr>
    </w:p>
    <w:p w14:paraId="199F9D3C" w14:textId="77777777" w:rsidR="00BD08BA" w:rsidRPr="008608AA" w:rsidRDefault="00BD08BA" w:rsidP="008B3BCD">
      <w:bookmarkStart w:id="2352" w:name="_Toc502957760"/>
      <w:bookmarkStart w:id="2353" w:name="_Toc502957959"/>
      <w:bookmarkStart w:id="2354" w:name="_Toc502958113"/>
      <w:bookmarkStart w:id="2355" w:name="_Toc503293182"/>
      <w:bookmarkStart w:id="2356" w:name="_Toc503293780"/>
      <w:bookmarkStart w:id="2357" w:name="_Toc503294042"/>
      <w:bookmarkStart w:id="2358" w:name="_Toc503863435"/>
      <w:bookmarkStart w:id="2359" w:name="_Toc503863663"/>
    </w:p>
    <w:p w14:paraId="79E517A9" w14:textId="164B046B" w:rsidR="009E18F7" w:rsidRPr="008608AA" w:rsidRDefault="009E18F7" w:rsidP="00C32AE2">
      <w:pPr>
        <w:pStyle w:val="Heading3"/>
        <w:spacing w:before="0"/>
        <w:rPr>
          <w:lang w:val="en-US"/>
        </w:rPr>
      </w:pPr>
      <w:bookmarkStart w:id="2360" w:name="_Toc517393435"/>
      <w:bookmarkStart w:id="2361" w:name="_Toc517719176"/>
      <w:bookmarkStart w:id="2362" w:name="_Toc517797133"/>
      <w:r w:rsidRPr="008608AA">
        <w:rPr>
          <w:lang w:val="en-US"/>
        </w:rPr>
        <w:t>Addressing socioecological complexity in governance systems</w:t>
      </w:r>
      <w:bookmarkEnd w:id="2352"/>
      <w:bookmarkEnd w:id="2353"/>
      <w:bookmarkEnd w:id="2354"/>
      <w:bookmarkEnd w:id="2355"/>
      <w:bookmarkEnd w:id="2356"/>
      <w:bookmarkEnd w:id="2357"/>
      <w:bookmarkEnd w:id="2358"/>
      <w:bookmarkEnd w:id="2359"/>
      <w:bookmarkEnd w:id="2360"/>
      <w:bookmarkEnd w:id="2361"/>
      <w:bookmarkEnd w:id="2362"/>
    </w:p>
    <w:p w14:paraId="0A531E15" w14:textId="77777777" w:rsidR="009B6AD8" w:rsidRPr="008608AA" w:rsidRDefault="009E18F7" w:rsidP="00BD08BA">
      <w:r w:rsidRPr="008608AA">
        <w:t>Facing the intrinsic complexity of coupled human-environment systems and, consequently, of contemporary problems, societies increasingly acknowledge the absence of one-size-fits-all solutions; in other words, there are no panaceas for socio-ecological governance (Ostrom et al., 2007). Complexity here means that these systems are self-organizing, interconnected within and across scales and levels, and their trajectories are highly unpredictable, nonlinear, and frequently surprising. Therefore, some argue that in order to manage complex problems, governance approaches should aim to build socio-ecological resilience, as a perspective for understanding how co-evolving societies and natural systems can cope with, and develop from, disturbances and chang</w:t>
      </w:r>
      <w:r w:rsidR="0009057F" w:rsidRPr="008608AA">
        <w:t>e (Duit et al., 2010; Walker &amp;</w:t>
      </w:r>
      <w:r w:rsidRPr="008608AA">
        <w:t xml:space="preserve"> Salt, 2012). A resilience approach to governance may enable understanding of the dynamics of rapid, interlinked and multiscale change, as decision-makers try to deal with converging trends of global interconnectedness and increasing pressure on socio-ecological systems. However, criticism on resilience thinking ranges from lack of consensus around the definition of resilience to lack of clarity or difficulties at establishing its practical application (see Walsh-Dilley et al., 2016). Walker and Salt (2012) argue that resilience practice is largely dependent on understanding limits, thresholds, tipping points, so as to have a perspective of regime shifts – which are often difficult to detect. </w:t>
      </w:r>
    </w:p>
    <w:p w14:paraId="64C9B39D" w14:textId="31B5BD75" w:rsidR="009E18F7" w:rsidRPr="008608AA" w:rsidRDefault="009E18F7" w:rsidP="00BD08BA">
      <w:r w:rsidRPr="008608AA">
        <w:t xml:space="preserve"> </w:t>
      </w:r>
    </w:p>
    <w:p w14:paraId="28FC8CBE" w14:textId="434BA2E2" w:rsidR="009E18F7" w:rsidRPr="008608AA" w:rsidRDefault="009E18F7" w:rsidP="00BD08BA">
      <w:r w:rsidRPr="008608AA">
        <w:t>Biggs et al. (2012) present a set of general principles for building resilience into socio-ecological systems, which are discussed specifically in terms of enhancing the resilience of ecosystem services. The seven principles are (1) maintain diversity and redundancy, (2) manage connectivity, (3) manage slow variables (</w:t>
      </w:r>
      <w:r w:rsidR="00847F60" w:rsidRPr="008608AA">
        <w:t>e.g.</w:t>
      </w:r>
      <w:r w:rsidRPr="008608AA">
        <w:t xml:space="preserve"> composition of soil or sediment nutrient) and feedbacks (i.e., slow responses in the system to change in given variables), (4) foster an understanding of social-ecological systems as complex adaptive systems, (5) encourage learning and experimentation, (6) broaden participation, and (7) promote polycentric governance systems. In accordance with this view, there is rich discussion in the literature, based both on empirical data and theoretical construction, proposing adaptive management, adaptive co-management and adaptive governance as systems more suitable to overcome contemporary socio-environmental problems. Adaptive management emphasizes learning and uses structured experimentation in combination with flexibility to foster learning. Adaptive co-management explicitly links learning and collaboration to facilitate effective governance. Adaptive governance connects individuals, organizations, agencies, and institutions at multiple organizational levels. Adaptive governance systems often self-organize as social networks with teams and actor groups that form a learning environment to draw on various knowledge systems and experiences to tackle complex environmental issues (Stockholm University, 2014). Knowledge generation, bridging organizations, social learning and collaboration are in the core of these systems (Armitage et al., 2009; Berkes, 2009; Folke et al., 2005).</w:t>
      </w:r>
    </w:p>
    <w:p w14:paraId="2233105D" w14:textId="77777777" w:rsidR="003425BA" w:rsidRPr="008608AA" w:rsidRDefault="003425BA" w:rsidP="00BD08BA"/>
    <w:p w14:paraId="7BB00E6A" w14:textId="21BA3F63" w:rsidR="009E18F7" w:rsidRPr="008608AA" w:rsidRDefault="009E18F7" w:rsidP="00BD08BA">
      <w:r w:rsidRPr="008608AA">
        <w:t>Similarly, Crozier (2008) points out that generating knowledge, authority and legitimacy to effectively respond to societal issues requires the involvement of multiple actors from different scales and levels through interactive structures and processes to stimulate communication and the sharing of responsibilities among actors. Networks seem to offer a way to manage processes that involve multiple actors with diverse interests and orientations. Different evaluations of network governance agree on the importance of facilitating interactive processes, mediating interactions between actors, and focusing on goal searching rather than goal sett</w:t>
      </w:r>
      <w:r w:rsidR="0009057F" w:rsidRPr="008608AA">
        <w:t>ing (Crozier, 2008; Scarlett &amp;</w:t>
      </w:r>
      <w:r w:rsidRPr="008608AA">
        <w:t xml:space="preserve"> McKinney, 2016). In the region, there are a number of examples of network governance to achieve goals related to restoration (</w:t>
      </w:r>
      <w:r w:rsidR="00847F60" w:rsidRPr="008608AA">
        <w:t>e.g.</w:t>
      </w:r>
      <w:r w:rsidRPr="008608AA">
        <w:t xml:space="preserve"> Americas Longleaf Restoration Initiative - US, Scarlett and McKinney, 2016; Atlantic Forest Restoration Pact – Brazil, Pinto et al., 2014), control of invasive alien species (</w:t>
      </w:r>
      <w:r w:rsidR="00847F60" w:rsidRPr="008608AA">
        <w:t>e.g.</w:t>
      </w:r>
      <w:r w:rsidRPr="008608AA">
        <w:t xml:space="preserve"> Invasive Spartina P</w:t>
      </w:r>
      <w:r w:rsidR="004F124C" w:rsidRPr="008608AA">
        <w:t>roject – US, Lubell et al., 2017</w:t>
      </w:r>
      <w:r w:rsidRPr="008608AA">
        <w:t>), fisheries (</w:t>
      </w:r>
      <w:r w:rsidR="00847F60" w:rsidRPr="008608AA">
        <w:t>e.g.</w:t>
      </w:r>
      <w:r w:rsidRPr="008608AA">
        <w:t xml:space="preserve"> Special Fisheries Conservation Areas – Jamaica, Alexander et al., 2016), among others.</w:t>
      </w:r>
      <w:r w:rsidR="003425BA" w:rsidRPr="008608AA">
        <w:t xml:space="preserve"> The Fire Learning Network, in the USA</w:t>
      </w:r>
      <w:r w:rsidRPr="008608AA">
        <w:t>, exemplifies a network based on an interacting process of adaptive learning. It facilitates information flow across scales, involving diverse actors, stimulating innovative solutions, influencing plans and policies, and then using this learning to enable further experimentation and innovation. It builds socio-ecological resilience by overcoming the rigidity traps that characterize many natural resource mana</w:t>
      </w:r>
      <w:r w:rsidR="0009057F" w:rsidRPr="008608AA">
        <w:t>gement bureaucracies (Butler &amp;</w:t>
      </w:r>
      <w:r w:rsidRPr="008608AA">
        <w:t xml:space="preserve"> Goldstein, 2010; see also </w:t>
      </w:r>
      <w:hyperlink r:id="rId1065" w:history="1">
        <w:r w:rsidRPr="008608AA">
          <w:rPr>
            <w:rStyle w:val="Hyperlink"/>
          </w:rPr>
          <w:t>http://fireadaptednetwork.org</w:t>
        </w:r>
      </w:hyperlink>
      <w:r w:rsidRPr="008608AA">
        <w:t xml:space="preserve">; and </w:t>
      </w:r>
      <w:hyperlink r:id="rId1066" w:history="1">
        <w:r w:rsidRPr="008608AA">
          <w:rPr>
            <w:rStyle w:val="Hyperlink"/>
          </w:rPr>
          <w:t>https://www.conservationgateway.org/ ConservationPractices/FireLandscapes/FireLearningNetwork/Pages/fire-learning-network.aspx</w:t>
        </w:r>
      </w:hyperlink>
      <w:r w:rsidRPr="008608AA">
        <w:t>)</w:t>
      </w:r>
    </w:p>
    <w:p w14:paraId="46CC8F50" w14:textId="77777777" w:rsidR="00BD08BA" w:rsidRPr="008608AA" w:rsidRDefault="00BD08BA" w:rsidP="00BD08BA"/>
    <w:p w14:paraId="4EEC73D4" w14:textId="77777777" w:rsidR="00BE6EBD" w:rsidRPr="008608AA" w:rsidRDefault="00BE6EBD" w:rsidP="00C32AE2"/>
    <w:p w14:paraId="2C25FDF5" w14:textId="1B5FD71F" w:rsidR="009E18F7" w:rsidRPr="008608AA" w:rsidRDefault="009E18F7" w:rsidP="00C32AE2">
      <w:pPr>
        <w:pStyle w:val="Heading3"/>
        <w:spacing w:before="0"/>
        <w:rPr>
          <w:lang w:val="en-US"/>
        </w:rPr>
      </w:pPr>
      <w:bookmarkStart w:id="2363" w:name="_Toc502957761"/>
      <w:bookmarkStart w:id="2364" w:name="_Toc502957960"/>
      <w:bookmarkStart w:id="2365" w:name="_Toc502958114"/>
      <w:bookmarkStart w:id="2366" w:name="_Toc503293183"/>
      <w:bookmarkStart w:id="2367" w:name="_Toc503293781"/>
      <w:bookmarkStart w:id="2368" w:name="_Toc503294043"/>
      <w:bookmarkStart w:id="2369" w:name="_Toc503863436"/>
      <w:bookmarkStart w:id="2370" w:name="_Toc503863664"/>
      <w:bookmarkStart w:id="2371" w:name="_Toc517393436"/>
      <w:bookmarkStart w:id="2372" w:name="_Toc517719177"/>
      <w:bookmarkStart w:id="2373" w:name="_Toc517797134"/>
      <w:r w:rsidRPr="008608AA">
        <w:rPr>
          <w:lang w:val="en-US"/>
        </w:rPr>
        <w:t>Achieving better integration in policy through effective governance</w:t>
      </w:r>
      <w:bookmarkEnd w:id="2363"/>
      <w:bookmarkEnd w:id="2364"/>
      <w:bookmarkEnd w:id="2365"/>
      <w:bookmarkEnd w:id="2366"/>
      <w:bookmarkEnd w:id="2367"/>
      <w:bookmarkEnd w:id="2368"/>
      <w:bookmarkEnd w:id="2369"/>
      <w:bookmarkEnd w:id="2370"/>
      <w:bookmarkEnd w:id="2371"/>
      <w:bookmarkEnd w:id="2372"/>
      <w:bookmarkEnd w:id="2373"/>
      <w:r w:rsidRPr="008608AA">
        <w:rPr>
          <w:lang w:val="en-US"/>
        </w:rPr>
        <w:t xml:space="preserve"> </w:t>
      </w:r>
    </w:p>
    <w:p w14:paraId="488C66D0" w14:textId="69559C85" w:rsidR="009E18F7" w:rsidRPr="008608AA" w:rsidRDefault="009E18F7" w:rsidP="00BD08BA">
      <w:r w:rsidRPr="008608AA">
        <w:rPr>
          <w:rFonts w:cs="CklhnpAdvPTimes"/>
        </w:rPr>
        <w:t xml:space="preserve">Design and implementation of multidimensional, multifactoral policies require effective governance systems. For instance, </w:t>
      </w:r>
      <w:r w:rsidRPr="008608AA">
        <w:t>it is estimated that the developing world suffers 1</w:t>
      </w:r>
      <w:r w:rsidR="003425BA" w:rsidRPr="008608AA">
        <w:t xml:space="preserve">40,000 child deaths and loses </w:t>
      </w:r>
      <w:r w:rsidRPr="008608AA">
        <w:t>$1 trillion every year because of corruption and poor governance, which is a monetary measure of the negative costs of ineffective governance (Joshi et al., 2015). Corruption is still a major issue in Latin America and the Caribbean (CEPAL, 2007; Kaufmann, 2015), despite efforts to combat these through strengthened national regulations and increased international cooperation (OECD, 2016). Joshi et al. (2015) showed that high-income countries (including US</w:t>
      </w:r>
      <w:r w:rsidR="003425BA" w:rsidRPr="008608AA">
        <w:t>A</w:t>
      </w:r>
      <w:r w:rsidRPr="008608AA">
        <w:t xml:space="preserve"> and Canada) had, by 2010, the highest compos</w:t>
      </w:r>
      <w:r w:rsidR="003433E2" w:rsidRPr="008608AA">
        <w:t xml:space="preserve">ite governance (0.86) and </w:t>
      </w:r>
      <w:r w:rsidRPr="008608AA">
        <w:t>HDI =</w:t>
      </w:r>
      <w:r w:rsidR="003433E2" w:rsidRPr="008608AA">
        <w:t xml:space="preserve"> 0.87</w:t>
      </w:r>
      <w:r w:rsidRPr="008608AA">
        <w:t>. Latin America and the Caribbean came second in this world ranking, both in terms of composite governance index (0.66) and HDI (0.70). These data are in harmony with Figure 6.1 and suggest that some Latin America and the Caribbean countries still have room for improvement in terms of governance effectiveness, which might be an obstacle for design and implementation of integrated policies that foster sustainability.</w:t>
      </w:r>
    </w:p>
    <w:p w14:paraId="187C9DE3" w14:textId="77777777" w:rsidR="003433E2" w:rsidRPr="008608AA" w:rsidRDefault="003433E2" w:rsidP="00BD08BA">
      <w:pPr>
        <w:rPr>
          <w:rFonts w:cs="CklhnpAdvPTimes"/>
          <w:b/>
        </w:rPr>
      </w:pPr>
    </w:p>
    <w:p w14:paraId="78EABBBD" w14:textId="77777777" w:rsidR="003433E2" w:rsidRPr="008608AA" w:rsidRDefault="009E18F7" w:rsidP="00BD08BA">
      <w:r w:rsidRPr="008608AA">
        <w:t xml:space="preserve">However, the Latin America and the Caribbean </w:t>
      </w:r>
      <w:r w:rsidR="007C45FD" w:rsidRPr="008608AA">
        <w:t>sub</w:t>
      </w:r>
      <w:r w:rsidRPr="008608AA">
        <w:t xml:space="preserve">region displays some interesting examples of effective governance systems related to cross-cutting issues and policies. Estrada-Carmona et al. (2014) surveyed 104 initiatives of integrated landscape management in 21 Latin America and the Caribbean countries, which aim at reconciling food production, livelihood improvement and biodiversity and ecosystem services conservation. They found that positive results were often related to institutional planning and coordination of the local governance systems, whereas setbacks and challenges were related to the long time span necessary to bring results to scale, unsupportive public policy frameworks, and lack of private sector engagement. </w:t>
      </w:r>
      <w:r w:rsidR="00713969" w:rsidRPr="008608AA">
        <w:t>Non-governmental organizations</w:t>
      </w:r>
      <w:r w:rsidRPr="008608AA">
        <w:t xml:space="preserve"> were important stakeholders in 87% of the initiatives surveyed.</w:t>
      </w:r>
    </w:p>
    <w:p w14:paraId="30A2BBBE" w14:textId="77777777" w:rsidR="00BD08BA" w:rsidRPr="008608AA" w:rsidRDefault="00BD08BA" w:rsidP="00BD08BA"/>
    <w:p w14:paraId="4D5105FD" w14:textId="603133B3" w:rsidR="009E18F7" w:rsidRPr="008608AA" w:rsidRDefault="009E18F7" w:rsidP="00BD08BA">
      <w:r w:rsidRPr="008608AA">
        <w:t xml:space="preserve"> </w:t>
      </w:r>
    </w:p>
    <w:p w14:paraId="385F9F3D" w14:textId="6E092D08" w:rsidR="009E18F7" w:rsidRPr="008608AA" w:rsidRDefault="009E18F7" w:rsidP="00C32AE2">
      <w:pPr>
        <w:pStyle w:val="Heading3"/>
        <w:spacing w:before="0"/>
        <w:rPr>
          <w:lang w:val="en-US"/>
        </w:rPr>
      </w:pPr>
      <w:bookmarkStart w:id="2374" w:name="_Toc502957762"/>
      <w:bookmarkStart w:id="2375" w:name="_Toc502957961"/>
      <w:bookmarkStart w:id="2376" w:name="_Toc502958115"/>
      <w:bookmarkStart w:id="2377" w:name="_Toc503293184"/>
      <w:bookmarkStart w:id="2378" w:name="_Toc503293782"/>
      <w:bookmarkStart w:id="2379" w:name="_Toc503294044"/>
      <w:bookmarkStart w:id="2380" w:name="_Toc503863437"/>
      <w:bookmarkStart w:id="2381" w:name="_Toc503863665"/>
      <w:bookmarkStart w:id="2382" w:name="_Toc517393437"/>
      <w:bookmarkStart w:id="2383" w:name="_Toc517719178"/>
      <w:bookmarkStart w:id="2384" w:name="_Toc517797135"/>
      <w:r w:rsidRPr="008608AA">
        <w:rPr>
          <w:lang w:val="en-US"/>
        </w:rPr>
        <w:t>Factoring scale into governance arrangements</w:t>
      </w:r>
      <w:bookmarkEnd w:id="2374"/>
      <w:bookmarkEnd w:id="2375"/>
      <w:bookmarkEnd w:id="2376"/>
      <w:bookmarkEnd w:id="2377"/>
      <w:bookmarkEnd w:id="2378"/>
      <w:bookmarkEnd w:id="2379"/>
      <w:bookmarkEnd w:id="2380"/>
      <w:bookmarkEnd w:id="2381"/>
      <w:bookmarkEnd w:id="2382"/>
      <w:bookmarkEnd w:id="2383"/>
      <w:bookmarkEnd w:id="2384"/>
    </w:p>
    <w:p w14:paraId="476CC951" w14:textId="77777777" w:rsidR="009E18F7" w:rsidRPr="008608AA" w:rsidRDefault="009E18F7" w:rsidP="00BD08BA">
      <w:pPr>
        <w:rPr>
          <w:rFonts w:cstheme="minorHAnsi"/>
        </w:rPr>
      </w:pPr>
      <w:r w:rsidRPr="008608AA">
        <w:t xml:space="preserve">Multiple socioeconomic and biophysical changes take place simultaneously at different scales and levels, interacting to produce different outcomes for communities in different places (Bennett et al., 2015). There is often no </w:t>
      </w:r>
      <w:r w:rsidRPr="008608AA">
        <w:rPr>
          <w:szCs w:val="18"/>
        </w:rPr>
        <w:t>fixed scale or level that is sufficiently appropriate for governing ecosystems and the services they provide (Brondizio et al., 2009).</w:t>
      </w:r>
      <w:r w:rsidRPr="008608AA">
        <w:rPr>
          <w:rFonts w:cstheme="minorHAnsi"/>
        </w:rPr>
        <w:t xml:space="preserve"> Sustainability in agriculture will require good practices at all three levels – farm, landscape and market: although policies are usually set at national or sub-national level, they normally respond to market demands (which can range from local to international) and are implemented at farm and landscape levels. However, it is only rarely that all three levels are dealt with in an integrated fashion, scientifically or politically (see Clapp, 2015). </w:t>
      </w:r>
    </w:p>
    <w:p w14:paraId="10F2B97B" w14:textId="77777777" w:rsidR="003433E2" w:rsidRPr="008608AA" w:rsidRDefault="003433E2" w:rsidP="00BD08BA">
      <w:pPr>
        <w:rPr>
          <w:rFonts w:cstheme="minorHAnsi"/>
        </w:rPr>
      </w:pPr>
    </w:p>
    <w:p w14:paraId="0AEBB301" w14:textId="77777777" w:rsidR="003433E2" w:rsidRPr="008608AA" w:rsidRDefault="009E18F7" w:rsidP="00BD08BA">
      <w:pPr>
        <w:rPr>
          <w:szCs w:val="18"/>
        </w:rPr>
      </w:pPr>
      <w:r w:rsidRPr="008608AA">
        <w:rPr>
          <w:rFonts w:cstheme="minorHAnsi"/>
        </w:rPr>
        <w:t>Thus, socio-ecological</w:t>
      </w:r>
      <w:r w:rsidRPr="008608AA">
        <w:rPr>
          <w:szCs w:val="18"/>
        </w:rPr>
        <w:t xml:space="preserve"> challenges often have a multilevel nature and require connecting different institutions across levels to facilitate governance and build on social capital that is essential for the long-term protection of ecosystems and the well-being of human populations (Brondizio et al., 2009). Cross-scale and cross-level problems may emerge when this is not considered. Leakage is a typical case. For instance, Lui and Coomes (2015) </w:t>
      </w:r>
      <w:r w:rsidRPr="008608AA">
        <w:t xml:space="preserve">showed that for c. 80% of 60 protected areas (including 20 in tropical America) deforestation rates increased gradually from their interiors to the outer periphery of their buffer zones. Another example is that of the soybean moratorium in Brazil: an arrangement whereby major soybean traders agreed not to </w:t>
      </w:r>
      <w:r w:rsidRPr="008608AA">
        <w:rPr>
          <w:rFonts w:cstheme="minorHAnsi"/>
        </w:rPr>
        <w:t xml:space="preserve">purchase soy grown on lands deforested after July 2006. The result of this movement, incentivized by NGOs and soybean retailers, was that deforestation in Brazilian Amazon due to soy expansion dropped to less than 1% (Rudorff et al., 2011; Gibbs et al., 2015). </w:t>
      </w:r>
      <w:r w:rsidRPr="008608AA">
        <w:t>However, deforestation for soy expansion leaked into neighbouring biomes such as the Brazilian Cerrado (Morton et al., 2016).</w:t>
      </w:r>
      <w:r w:rsidRPr="008608AA">
        <w:rPr>
          <w:szCs w:val="18"/>
        </w:rPr>
        <w:t xml:space="preserve"> </w:t>
      </w:r>
    </w:p>
    <w:p w14:paraId="33740051" w14:textId="0F3EE8A3" w:rsidR="009E18F7" w:rsidRPr="008608AA" w:rsidRDefault="009E18F7" w:rsidP="00BD08BA">
      <w:pPr>
        <w:rPr>
          <w:rFonts w:cs="AdvOT88ac8687"/>
        </w:rPr>
      </w:pPr>
      <w:r w:rsidRPr="008608AA">
        <w:rPr>
          <w:szCs w:val="18"/>
        </w:rPr>
        <w:t xml:space="preserve"> </w:t>
      </w:r>
    </w:p>
    <w:p w14:paraId="043CFFBE" w14:textId="68418787" w:rsidR="009E18F7" w:rsidRPr="008608AA" w:rsidRDefault="009E18F7" w:rsidP="00BD08BA">
      <w:r w:rsidRPr="008608AA">
        <w:t xml:space="preserve">Environmental problems and the human actions to overcome them frequently display a scale mismatch. A common mismatch on time-scale arises, for example, when public policies depend on short electoral cycles that conflict with long-term planning needs </w:t>
      </w:r>
      <w:r w:rsidRPr="008608AA">
        <w:rPr>
          <w:rFonts w:cs="AdvOT88ac8687"/>
        </w:rPr>
        <w:t xml:space="preserve">(Cash et al., 2006). </w:t>
      </w:r>
      <w:r w:rsidRPr="008608AA">
        <w:t>Thus, i</w:t>
      </w:r>
      <w:r w:rsidRPr="008608AA">
        <w:rPr>
          <w:rFonts w:cs="AdvPTimes"/>
        </w:rPr>
        <w:t>ntegration across functions, space, time, institutions, fields of knowledge, governance, and other dimensions are important and essential for the sustainability of ecosystems and societies (Ascher</w:t>
      </w:r>
      <w:r w:rsidR="0009057F" w:rsidRPr="008608AA">
        <w:rPr>
          <w:rFonts w:cs="AdvPTimes"/>
        </w:rPr>
        <w:t>,</w:t>
      </w:r>
      <w:r w:rsidRPr="008608AA">
        <w:rPr>
          <w:rFonts w:cs="AdvPTimes"/>
        </w:rPr>
        <w:t xml:space="preserve"> 2007).</w:t>
      </w:r>
      <w:r w:rsidRPr="008608AA">
        <w:t xml:space="preserve"> Regarding governance scale, policies can be local, subnational, national, regional or global. How lessons learnt on governance scale up from local practice to become policies at any level, and how policies agreed upon and designed globally or nationally are mainstreamed into local practices is a matter of interest to allow amplification of solutions and best practices. </w:t>
      </w:r>
    </w:p>
    <w:p w14:paraId="478DBD5E" w14:textId="77777777" w:rsidR="003433E2" w:rsidRPr="008608AA" w:rsidRDefault="003433E2" w:rsidP="00BD08BA"/>
    <w:p w14:paraId="268562FF" w14:textId="77777777" w:rsidR="003433E2" w:rsidRPr="008608AA" w:rsidRDefault="009E18F7" w:rsidP="00BD08BA">
      <w:r w:rsidRPr="008608AA">
        <w:rPr>
          <w:rFonts w:cstheme="minorHAnsi"/>
        </w:rPr>
        <w:t>One important concept regarding cross-scale governance, and top-down/bottom-up</w:t>
      </w:r>
      <w:r w:rsidRPr="008608AA">
        <w:t xml:space="preserve"> relationships, is that of boundary objects. Marine protected areas have been defined by Gray et al. (2014) as one such boundary objects, since they “range in size, purpose, resource use policies, and governance structures, for example, from large no-take areas identified for their ecological value and administered by states, to small, multi-use areas protected by communities”. Thus, while individual marine protected areas are the outcome of particular local-to-national political processes, the cumulative global increase in these areas´ number and coverage is the result of a coordinated international effort. </w:t>
      </w:r>
    </w:p>
    <w:p w14:paraId="63313191" w14:textId="77777777" w:rsidR="003433E2" w:rsidRPr="008608AA" w:rsidRDefault="003433E2" w:rsidP="00BD08BA"/>
    <w:p w14:paraId="475B9FC6" w14:textId="6BDEFE3C" w:rsidR="003433E2" w:rsidRPr="008608AA" w:rsidRDefault="009E18F7" w:rsidP="00BD08BA">
      <w:pPr>
        <w:rPr>
          <w:rFonts w:cstheme="minorHAnsi"/>
          <w:shd w:val="clear" w:color="auto" w:fill="FFFFFF"/>
        </w:rPr>
      </w:pPr>
      <w:r w:rsidRPr="008608AA">
        <w:t>In insular Caribbean, for instance, a combination of national initiatives, with regional efforts such as the Caribbean Challenge Initiative to protect by 2020 “at least 20% of nearsho</w:t>
      </w:r>
      <w:r w:rsidR="003433E2" w:rsidRPr="008608AA">
        <w:t>re marine and coastal habitats”</w:t>
      </w:r>
      <w:r w:rsidRPr="008608AA">
        <w:t xml:space="preserve"> and international efforts of multilaterals and NGOs to ensure data consistency, have resulted in an marine protected areas coverage comparable to global figures and not as far below global CBD (United Nations Convention of Biological Diversity) targets (Knowles et al., 2016). For an example in another realm, Holden (2013) suggests that </w:t>
      </w:r>
      <w:r w:rsidRPr="008608AA">
        <w:rPr>
          <w:rFonts w:cstheme="minorHAnsi"/>
          <w:shd w:val="clear" w:color="auto" w:fill="FFFFFF"/>
        </w:rPr>
        <w:t>indicator systems should be applied as boundary objects, in other words, tools which “open up dialogue, information sharing, learning and consensus-building across different policy boundaries: between experts and nonexperts, formal government and different nongovernment actors, higher-order governments and lower-order governments”. The application of this approach in the urban context in Seattle (US</w:t>
      </w:r>
      <w:r w:rsidR="003433E2" w:rsidRPr="008608AA">
        <w:rPr>
          <w:rFonts w:cstheme="minorHAnsi"/>
          <w:shd w:val="clear" w:color="auto" w:fill="FFFFFF"/>
        </w:rPr>
        <w:t>A</w:t>
      </w:r>
      <w:r w:rsidRPr="008608AA">
        <w:rPr>
          <w:rFonts w:cstheme="minorHAnsi"/>
          <w:shd w:val="clear" w:color="auto" w:fill="FFFFFF"/>
        </w:rPr>
        <w:t>) and Vancouver (Canada), according to this study, indicates the</w:t>
      </w:r>
      <w:r w:rsidRPr="008608AA">
        <w:rPr>
          <w:rStyle w:val="apple-converted-space"/>
          <w:rFonts w:ascii="Arial" w:hAnsi="Arial" w:cs="Arial"/>
          <w:color w:val="2E2E2E"/>
          <w:shd w:val="clear" w:color="auto" w:fill="FFFFFF"/>
        </w:rPr>
        <w:t> </w:t>
      </w:r>
      <w:r w:rsidRPr="008608AA">
        <w:rPr>
          <w:rFonts w:cstheme="minorHAnsi"/>
          <w:shd w:val="clear" w:color="auto" w:fill="FFFFFF"/>
        </w:rPr>
        <w:t>usability of non</w:t>
      </w:r>
      <w:r w:rsidR="003433E2" w:rsidRPr="008608AA">
        <w:rPr>
          <w:rFonts w:cstheme="minorHAnsi"/>
          <w:shd w:val="clear" w:color="auto" w:fill="FFFFFF"/>
        </w:rPr>
        <w:t>-</w:t>
      </w:r>
      <w:r w:rsidRPr="008608AA">
        <w:rPr>
          <w:rFonts w:cstheme="minorHAnsi"/>
          <w:shd w:val="clear" w:color="auto" w:fill="FFFFFF"/>
        </w:rPr>
        <w:t>governmental indicator systems designed for use as boundary objects, as a leap forward for indicator work aiming to change policy, from a governance perspective.</w:t>
      </w:r>
    </w:p>
    <w:p w14:paraId="332BC71C" w14:textId="210D5835" w:rsidR="009E18F7" w:rsidRPr="008608AA" w:rsidRDefault="009E18F7" w:rsidP="00C32AE2">
      <w:r w:rsidRPr="008608AA">
        <w:rPr>
          <w:rFonts w:cstheme="minorHAnsi"/>
          <w:shd w:val="clear" w:color="auto" w:fill="FFFFFF"/>
        </w:rPr>
        <w:t xml:space="preserve"> </w:t>
      </w:r>
      <w:r w:rsidRPr="008608AA">
        <w:t xml:space="preserve"> </w:t>
      </w:r>
    </w:p>
    <w:p w14:paraId="318241A8" w14:textId="711170E8" w:rsidR="009E18F7" w:rsidRPr="008608AA" w:rsidRDefault="009E18F7" w:rsidP="00C32AE2">
      <w:pPr>
        <w:pStyle w:val="Heading3"/>
        <w:spacing w:before="0"/>
        <w:rPr>
          <w:lang w:val="en-US"/>
        </w:rPr>
      </w:pPr>
      <w:bookmarkStart w:id="2385" w:name="_Toc502957763"/>
      <w:bookmarkStart w:id="2386" w:name="_Toc502957962"/>
      <w:bookmarkStart w:id="2387" w:name="_Toc502958116"/>
      <w:bookmarkStart w:id="2388" w:name="_Toc503293185"/>
      <w:bookmarkStart w:id="2389" w:name="_Toc503293783"/>
      <w:bookmarkStart w:id="2390" w:name="_Toc503294045"/>
      <w:bookmarkStart w:id="2391" w:name="_Toc503863438"/>
      <w:bookmarkStart w:id="2392" w:name="_Toc503863666"/>
      <w:bookmarkStart w:id="2393" w:name="_Toc517393438"/>
      <w:bookmarkStart w:id="2394" w:name="_Toc517719179"/>
      <w:bookmarkStart w:id="2395" w:name="_Toc517797136"/>
      <w:r w:rsidRPr="008608AA">
        <w:rPr>
          <w:lang w:val="en-US"/>
        </w:rPr>
        <w:t>Indigenous and local knowledge systems</w:t>
      </w:r>
      <w:bookmarkEnd w:id="2385"/>
      <w:bookmarkEnd w:id="2386"/>
      <w:bookmarkEnd w:id="2387"/>
      <w:bookmarkEnd w:id="2388"/>
      <w:bookmarkEnd w:id="2389"/>
      <w:bookmarkEnd w:id="2390"/>
      <w:bookmarkEnd w:id="2391"/>
      <w:bookmarkEnd w:id="2392"/>
      <w:bookmarkEnd w:id="2393"/>
      <w:bookmarkEnd w:id="2394"/>
      <w:bookmarkEnd w:id="2395"/>
      <w:r w:rsidRPr="008608AA">
        <w:rPr>
          <w:lang w:val="en-US"/>
        </w:rPr>
        <w:t xml:space="preserve"> </w:t>
      </w:r>
    </w:p>
    <w:p w14:paraId="6D1DA49E" w14:textId="6B53FF8E" w:rsidR="009E18F7" w:rsidRPr="008608AA" w:rsidRDefault="009E18F7" w:rsidP="00BD08BA">
      <w:r w:rsidRPr="008608AA">
        <w:t>Especially considering the issue of scale, and in the context of the Americas, it is particularly relevant to address local and indigenous groups that have their own governance or environmental management systems based on an extensive and detailed ecological knowledge accumulated throughout several generations. The region has hundreds of indigenous communities as well as other local communities that have a close and traditional dependence on biological resources. For instance, while in most countries indigenous peoples are perceived as minorities, in some (</w:t>
      </w:r>
      <w:r w:rsidR="00847F60" w:rsidRPr="008608AA">
        <w:t>e.g.</w:t>
      </w:r>
      <w:r w:rsidRPr="008608AA">
        <w:t xml:space="preserve"> Bolivia, Guatemala, Mexico, Peru) they constitute a significantly large percentage of the population. Other local groups living in traditional dependence on biological resources include afro-rural communities (</w:t>
      </w:r>
      <w:r w:rsidR="00847F60" w:rsidRPr="008608AA">
        <w:t>e.g.</w:t>
      </w:r>
      <w:r w:rsidRPr="008608AA">
        <w:t xml:space="preserve"> Brazil, Ecuador, Panama, Surinam – IPEA, 2012), raizales in Caribbean Colombia, and caiçaras in coastal Brazil, among others. Many but not all governments</w:t>
      </w:r>
      <w:r w:rsidRPr="008608AA">
        <w:rPr>
          <w:rStyle w:val="FootnoteReference"/>
          <w:lang w:val="en-GB"/>
        </w:rPr>
        <w:footnoteReference w:id="36"/>
      </w:r>
      <w:r w:rsidRPr="008608AA">
        <w:t xml:space="preserve"> acknowledge the ethnic and cultural identity of these populations’ governance and/or management systems and the rights to coexist with the mainstream (western-based) governance system. However, both in countries with and without acknowledgement of such indigenous and local governance systems, there are accounts of many related conflicts both with governments and with the private sector (</w:t>
      </w:r>
      <w:r w:rsidR="00847F60" w:rsidRPr="008608AA">
        <w:t>e.g.</w:t>
      </w:r>
      <w:r w:rsidR="0009057F" w:rsidRPr="008608AA">
        <w:t xml:space="preserve"> Franks et al., 2014; Haslam &amp;</w:t>
      </w:r>
      <w:r w:rsidRPr="008608AA">
        <w:t xml:space="preserve"> Tanimoune, 2016; see also 6.4.1.1).</w:t>
      </w:r>
    </w:p>
    <w:p w14:paraId="6AC8C0C0" w14:textId="77777777" w:rsidR="003433E2" w:rsidRPr="008608AA" w:rsidRDefault="003433E2" w:rsidP="00BD08BA"/>
    <w:p w14:paraId="4607DB02" w14:textId="77777777" w:rsidR="007151CF" w:rsidRPr="008608AA" w:rsidRDefault="009E18F7" w:rsidP="00BD08BA">
      <w:r w:rsidRPr="008608AA">
        <w:t>Many such systems related to local and indigenous groups are based on worldviews that consider biotic, abiotic and human dimensions as integral parts of a whole. Although several countries in the Americas formally recognize such self-governance systems, in most cases these groups are marginalized and have little political power under the authority of a central government (Vin</w:t>
      </w:r>
      <w:r w:rsidR="0009057F" w:rsidRPr="008608AA">
        <w:t>ding &amp;</w:t>
      </w:r>
      <w:r w:rsidRPr="008608AA">
        <w:t xml:space="preserve"> Jensen, 2016). In a few cases, such as the Plurinational State of Bolivia (Pacheco, 2014; UNEP, 2013) and aboriginal peoples (including The First Nations) in Canada (Slowley, 2001; Preston, 2016), there is enough political decentralization allowing for the coexistence of self-governing and western-based systems – although conflicts occasionally occur. In Tomave, Bolivian Andes, the Ayllu Sullka people have their own political and social system, an autonomous government that sometimes share decisions with the State authorities, but, in general, decisions are taken from the bottom-up, by consensus of assemblies. With the exception of the “wise elder” of the communities, there is rotation in every other government’s position. The Ayllu Sullka ecological-territorial management is based on the concept of living well, in harmony and balance with Mother Nature, and depends on principles</w:t>
      </w:r>
      <w:r w:rsidRPr="008608AA">
        <w:rPr>
          <w:rFonts w:cs="Calibri"/>
        </w:rPr>
        <w:t xml:space="preserve"> </w:t>
      </w:r>
      <w:r w:rsidRPr="008608AA">
        <w:t xml:space="preserve">such as: indigenous government; exchange of products and seeds; integral and communal management of the territory; food sovereignty; spiritual practices in sacred locations and medicinal plants; communal land ownership, including land redistribution to accommodate the needs of all families. This system ensures the conservation of the ecosystem as a whole, including cultivated plants, especially potatoes and quinua, and domesticated animals, especially camelids (Mamani Machaca, 2017). </w:t>
      </w:r>
    </w:p>
    <w:p w14:paraId="5984459A" w14:textId="77777777" w:rsidR="007151CF" w:rsidRPr="008608AA" w:rsidRDefault="007151CF" w:rsidP="00BD08BA"/>
    <w:p w14:paraId="25413264" w14:textId="3669B15F" w:rsidR="009E18F7" w:rsidRPr="008608AA" w:rsidRDefault="009E18F7" w:rsidP="00BD08BA">
      <w:r w:rsidRPr="008608AA">
        <w:t>In Tungurahua, Ecuador, local communities challenged an international model of watershed management reform that coupled conservation with markets for ecosystem services, and negotiated with transnational advocates to create an alternative model rooted i</w:t>
      </w:r>
      <w:r w:rsidR="0009057F" w:rsidRPr="008608AA">
        <w:t>n indigenous norms (Kauffman &amp;</w:t>
      </w:r>
      <w:r w:rsidRPr="008608AA">
        <w:t xml:space="preserve"> Martin, 2014). They did not reject the idea of reforming watershed management, but aimed to do so by realizing the Quichua concept “sumah hawsay” (</w:t>
      </w:r>
      <w:r w:rsidRPr="008608AA">
        <w:rPr>
          <w:i/>
        </w:rPr>
        <w:t>buen vivir</w:t>
      </w:r>
      <w:r w:rsidRPr="008608AA">
        <w:t xml:space="preserve"> in Spanish or wellbeing in English), which refers to living in harmony with nature, rather than dominating nature or removing human presence through preservation. The government of Ecuador has brought the attention of this case to various international fora. It shows how new environmental governance regimes can emerge locally by a participatory process where global, international agendas are critically questioned and revised according to local culture and principles, and how, in turn, such learning poses a reflection at global level that might challenge dominant international norms (see also 6.4.3.2). </w:t>
      </w:r>
    </w:p>
    <w:p w14:paraId="64E8D1DD" w14:textId="77777777" w:rsidR="007151CF" w:rsidRPr="008608AA" w:rsidRDefault="007151CF" w:rsidP="00BD08BA"/>
    <w:p w14:paraId="206E80E7" w14:textId="77777777" w:rsidR="007151CF" w:rsidRPr="008608AA" w:rsidRDefault="009E18F7" w:rsidP="00BD08BA">
      <w:r w:rsidRPr="008608AA">
        <w:t>The outcomes of the study by Evans et al. (2014) on the perception of REDD by community members in the Amazonian state of Loreto, Peru, have followed a similar logic to the Ecuadorian case (see also Vasseur et al., 2017). Indigenous interviewees were skeptical about REDD’s long-term positive impacts for communities and forests, including benefit distribution, and also revealed uncertainty about the future and lack of trust in governance regimes. Community priorities included work opportunities, educational opportunities for their children, and improving the quality of their forest. The author’s conclusions were that REDD design should recognize local communities as active participants in global and national climate management. Indeed, a recent study by Ochieng et al. (2016) has shown that whenever overall effectiveness of REDD+ schemes is only moderate it is due to either issues with exercising good governance (</w:t>
      </w:r>
      <w:r w:rsidR="00847F60" w:rsidRPr="008608AA">
        <w:t>e.g.</w:t>
      </w:r>
      <w:r w:rsidRPr="008608AA">
        <w:t xml:space="preserve"> Bolivia) or with lack of ownership of technical methods (</w:t>
      </w:r>
      <w:r w:rsidR="00847F60" w:rsidRPr="008608AA">
        <w:t>e.g.</w:t>
      </w:r>
      <w:r w:rsidRPr="008608AA">
        <w:t xml:space="preserve"> Peru). Further issues regarding carbon benefits from REDD relate to the realism of baselines and the treatment of leakage and permanence (Vitel et al., 2013). </w:t>
      </w:r>
    </w:p>
    <w:p w14:paraId="5136FCDF" w14:textId="4A53E0E7" w:rsidR="009E18F7" w:rsidRPr="008608AA" w:rsidRDefault="009E18F7" w:rsidP="00C32AE2">
      <w:r w:rsidRPr="008608AA">
        <w:t xml:space="preserve"> </w:t>
      </w:r>
    </w:p>
    <w:p w14:paraId="458FC8FC" w14:textId="77777777" w:rsidR="009E18F7" w:rsidRPr="008608AA" w:rsidRDefault="009E18F7" w:rsidP="00BD08BA">
      <w:pPr>
        <w:pStyle w:val="Heading2"/>
      </w:pPr>
      <w:bookmarkStart w:id="2396" w:name="_Toc356492306"/>
      <w:bookmarkStart w:id="2397" w:name="_Toc502957764"/>
      <w:bookmarkStart w:id="2398" w:name="_Toc502957963"/>
      <w:bookmarkStart w:id="2399" w:name="_Toc502958117"/>
      <w:bookmarkStart w:id="2400" w:name="_Toc503293186"/>
      <w:bookmarkStart w:id="2401" w:name="_Toc503293784"/>
      <w:bookmarkStart w:id="2402" w:name="_Toc503294046"/>
      <w:bookmarkStart w:id="2403" w:name="_Toc503863439"/>
      <w:bookmarkStart w:id="2404" w:name="_Toc503863667"/>
      <w:bookmarkStart w:id="2405" w:name="_Toc517393439"/>
      <w:bookmarkStart w:id="2406" w:name="_Toc517719180"/>
      <w:bookmarkStart w:id="2407" w:name="_Toc517797137"/>
      <w:r w:rsidRPr="008608AA">
        <w:t>Policy instruments, support tools and methodologies related to biodiversity and ecosystem services</w:t>
      </w:r>
      <w:bookmarkEnd w:id="2396"/>
      <w:bookmarkEnd w:id="2397"/>
      <w:bookmarkEnd w:id="2398"/>
      <w:bookmarkEnd w:id="2399"/>
      <w:bookmarkEnd w:id="2400"/>
      <w:bookmarkEnd w:id="2401"/>
      <w:bookmarkEnd w:id="2402"/>
      <w:bookmarkEnd w:id="2403"/>
      <w:bookmarkEnd w:id="2404"/>
      <w:bookmarkEnd w:id="2405"/>
      <w:bookmarkEnd w:id="2406"/>
      <w:bookmarkEnd w:id="2407"/>
      <w:r w:rsidRPr="008608AA">
        <w:t xml:space="preserve"> </w:t>
      </w:r>
    </w:p>
    <w:p w14:paraId="059A7085" w14:textId="553CA5A8" w:rsidR="007151CF" w:rsidRPr="008608AA" w:rsidRDefault="009E18F7" w:rsidP="00156F2A">
      <w:pPr>
        <w:rPr>
          <w:rFonts w:cs="Calibri"/>
          <w:sz w:val="18"/>
          <w:szCs w:val="18"/>
        </w:rPr>
      </w:pPr>
      <w:r w:rsidRPr="008608AA">
        <w:t>Several existing policy instruments are applicable to different biodiversity and ecosystem services-related policy types, be they sectoral or integrated. However, they can often be perceived as environment-related only, and being neutral or even negative to socio-economic aspects. This section examines relevant biodiversity and ecosystem services-related instruments and how they relate to human well-being and sustainable development. They are divided into three groups of instruments: regulatory mechanisms, incentive mechanisms, and rights-based approaches. This classification is for schematic purposes only: we understand that there is a significant overlap between these groups. For instance, protected areas and ecosystem restoration are often regulatory, but can emerge out of incentive mechanisms or voluntarily. Their design and implementation can also follow a rights-based approach. Policy instruments are developed and adopted by the use and application of policy support tools and methodologies. The draft guidance of IPBES (IPBES, 2016) defines policy support tools and methodologies as</w:t>
      </w:r>
      <w:r w:rsidRPr="008608AA">
        <w:rPr>
          <w:rFonts w:cs="Calibri"/>
        </w:rPr>
        <w:t xml:space="preserve"> </w:t>
      </w:r>
      <w:r w:rsidRPr="008608AA">
        <w:rPr>
          <w:rFonts w:cs="Calibri,Italic"/>
          <w:iCs/>
        </w:rPr>
        <w:t>“approaches and techniques based on science and other knowledge systems that can inform and assist policy-making and implementation at local, national, regional and international levels to protect and promote nature, nature’s benefits to peo</w:t>
      </w:r>
      <w:r w:rsidR="007151CF" w:rsidRPr="008608AA">
        <w:rPr>
          <w:rFonts w:cs="Calibri,Italic"/>
          <w:iCs/>
        </w:rPr>
        <w:t>ple, and a good quality of life</w:t>
      </w:r>
      <w:r w:rsidRPr="008608AA">
        <w:rPr>
          <w:rFonts w:cs="Calibri,Italic"/>
          <w:iCs/>
        </w:rPr>
        <w:t>”</w:t>
      </w:r>
      <w:r w:rsidR="007151CF" w:rsidRPr="008608AA">
        <w:rPr>
          <w:rFonts w:cs="Calibri,Italic"/>
          <w:iCs/>
        </w:rPr>
        <w:t>.</w:t>
      </w:r>
      <w:r w:rsidRPr="008608AA">
        <w:rPr>
          <w:rFonts w:cs="Calibri,Italic"/>
          <w:iCs/>
        </w:rPr>
        <w:t xml:space="preserve"> These support tools and methodologies have been organized in a typology of families and this section will examine examples from each of them (Box 6.1).</w:t>
      </w:r>
      <w:r w:rsidRPr="008608AA">
        <w:rPr>
          <w:rFonts w:cs="Calibri"/>
          <w:sz w:val="18"/>
          <w:szCs w:val="18"/>
        </w:rPr>
        <w:t xml:space="preserve"> </w:t>
      </w:r>
    </w:p>
    <w:p w14:paraId="7AB50B84" w14:textId="234ED458" w:rsidR="009E18F7" w:rsidRPr="008608AA" w:rsidRDefault="00BD08BA" w:rsidP="00BD08BA">
      <w:pPr>
        <w:pStyle w:val="Caption"/>
      </w:pPr>
      <w:bookmarkStart w:id="2408" w:name="_Toc482710287"/>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6</w:t>
      </w:r>
      <w:r w:rsidR="000E562E">
        <w:rPr>
          <w:noProof/>
        </w:rPr>
        <w:fldChar w:fldCharType="end"/>
      </w:r>
      <w:r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1</w:t>
      </w:r>
      <w:r w:rsidR="000E562E">
        <w:rPr>
          <w:noProof/>
        </w:rPr>
        <w:fldChar w:fldCharType="end"/>
      </w:r>
      <w:r w:rsidRPr="008608AA">
        <w:t xml:space="preserve">. </w:t>
      </w:r>
      <w:r w:rsidR="009E18F7" w:rsidRPr="008608AA">
        <w:t>Families of policy support tools and methodologies</w:t>
      </w:r>
      <w:bookmarkEnd w:id="2408"/>
    </w:p>
    <w:tbl>
      <w:tblPr>
        <w:tblStyle w:val="TableGrid"/>
        <w:tblW w:w="5000" w:type="pct"/>
        <w:tblLook w:val="04A0" w:firstRow="1" w:lastRow="0" w:firstColumn="1" w:lastColumn="0" w:noHBand="0" w:noVBand="1"/>
      </w:tblPr>
      <w:tblGrid>
        <w:gridCol w:w="9487"/>
      </w:tblGrid>
      <w:tr w:rsidR="00C32AE2" w:rsidRPr="00FE4CC2" w14:paraId="243E81D7" w14:textId="77777777" w:rsidTr="00C32AE2">
        <w:tc>
          <w:tcPr>
            <w:tcW w:w="5000" w:type="pct"/>
          </w:tcPr>
          <w:p w14:paraId="7256377C" w14:textId="77777777" w:rsidR="00C32AE2" w:rsidRPr="00FE4CC2" w:rsidRDefault="00C32AE2" w:rsidP="00BD08BA">
            <w:pPr>
              <w:spacing w:before="120"/>
              <w:rPr>
                <w:szCs w:val="22"/>
                <w:lang w:eastAsia="ja-JP"/>
              </w:rPr>
            </w:pPr>
            <w:r w:rsidRPr="00FE4CC2">
              <w:rPr>
                <w:szCs w:val="22"/>
                <w:lang w:eastAsia="ja-JP"/>
              </w:rPr>
              <w:t xml:space="preserve">Assembling data and knowledge: this family includes monitoring, indicators, oral history, mapping of ecosystem services, census data, population dynamics. </w:t>
            </w:r>
          </w:p>
          <w:p w14:paraId="709B7EDD" w14:textId="77777777" w:rsidR="00C32AE2" w:rsidRPr="00FE4CC2" w:rsidRDefault="00C32AE2" w:rsidP="00BD08BA">
            <w:pPr>
              <w:spacing w:before="120"/>
              <w:rPr>
                <w:szCs w:val="22"/>
                <w:lang w:eastAsia="ja-JP"/>
              </w:rPr>
            </w:pPr>
            <w:r w:rsidRPr="00FE4CC2">
              <w:rPr>
                <w:szCs w:val="22"/>
                <w:lang w:eastAsia="ja-JP"/>
              </w:rPr>
              <w:t xml:space="preserve">Assessment and evaluation: this family includes trade-off analysis, management effectiveness, trend analysis, identification and assessment of indigenous and community conserved areas (ICCAs), quantitative modelling, cost-benefit analysis, non-monetary valuation, scenarios. </w:t>
            </w:r>
          </w:p>
          <w:p w14:paraId="185ED701" w14:textId="77777777" w:rsidR="00C32AE2" w:rsidRPr="00FE4CC2" w:rsidRDefault="00C32AE2" w:rsidP="00BD08BA">
            <w:pPr>
              <w:spacing w:before="120"/>
              <w:rPr>
                <w:szCs w:val="22"/>
                <w:lang w:eastAsia="ja-JP"/>
              </w:rPr>
            </w:pPr>
            <w:r w:rsidRPr="00FE4CC2">
              <w:rPr>
                <w:szCs w:val="22"/>
                <w:lang w:eastAsia="ja-JP"/>
              </w:rPr>
              <w:t xml:space="preserve">Participatory processes: this family includes expert interviews, stakeholder consultation, cultural mapping and implications for policy goals and criteria, social media tools. </w:t>
            </w:r>
          </w:p>
          <w:p w14:paraId="57604261" w14:textId="77777777" w:rsidR="00C32AE2" w:rsidRPr="00FE4CC2" w:rsidRDefault="00C32AE2" w:rsidP="00BD08BA">
            <w:pPr>
              <w:spacing w:before="120"/>
              <w:rPr>
                <w:szCs w:val="22"/>
                <w:lang w:eastAsia="ja-JP"/>
              </w:rPr>
            </w:pPr>
            <w:r w:rsidRPr="00FE4CC2">
              <w:rPr>
                <w:szCs w:val="22"/>
                <w:lang w:eastAsia="ja-JP"/>
              </w:rPr>
              <w:t xml:space="preserve">Selection and design of policy instruments: this family includes instrument impact evaluation, ex-ante evaluation of options and scenarios, designing of individual territory sets or systems of protected areas. </w:t>
            </w:r>
          </w:p>
          <w:p w14:paraId="67C9A791" w14:textId="02497335" w:rsidR="00C32AE2" w:rsidRPr="00FE4CC2" w:rsidRDefault="00C32AE2" w:rsidP="00BD08BA">
            <w:pPr>
              <w:spacing w:before="120"/>
              <w:rPr>
                <w:szCs w:val="22"/>
                <w:lang w:eastAsia="ja-JP"/>
              </w:rPr>
            </w:pPr>
            <w:r w:rsidRPr="00FE4CC2">
              <w:rPr>
                <w:szCs w:val="22"/>
                <w:lang w:eastAsia="ja-JP"/>
              </w:rPr>
              <w:t>Implementation, outreach and enforcement: this family includes audits, risk-based enforcement effort</w:t>
            </w:r>
            <w:r w:rsidR="00736DCF" w:rsidRPr="00FE4CC2">
              <w:rPr>
                <w:szCs w:val="22"/>
                <w:lang w:eastAsia="ja-JP"/>
              </w:rPr>
              <w:t>s</w:t>
            </w:r>
            <w:r w:rsidRPr="00FE4CC2">
              <w:rPr>
                <w:szCs w:val="22"/>
                <w:lang w:eastAsia="ja-JP"/>
              </w:rPr>
              <w:t>, process standards (e.g</w:t>
            </w:r>
            <w:r w:rsidR="00736DCF" w:rsidRPr="00FE4CC2">
              <w:rPr>
                <w:szCs w:val="22"/>
                <w:lang w:eastAsia="ja-JP"/>
              </w:rPr>
              <w:t xml:space="preserve">. ISO), </w:t>
            </w:r>
            <w:r w:rsidRPr="00FE4CC2">
              <w:rPr>
                <w:szCs w:val="22"/>
                <w:lang w:eastAsia="ja-JP"/>
              </w:rPr>
              <w:t>monito</w:t>
            </w:r>
            <w:r w:rsidR="00736DCF" w:rsidRPr="00FE4CC2">
              <w:rPr>
                <w:szCs w:val="22"/>
                <w:lang w:eastAsia="ja-JP"/>
              </w:rPr>
              <w:t>ring reporting and verification</w:t>
            </w:r>
            <w:r w:rsidRPr="00FE4CC2">
              <w:rPr>
                <w:szCs w:val="22"/>
                <w:lang w:eastAsia="ja-JP"/>
              </w:rPr>
              <w:t xml:space="preserve">. </w:t>
            </w:r>
          </w:p>
          <w:p w14:paraId="3E2E5F6F" w14:textId="77777777" w:rsidR="00C32AE2" w:rsidRPr="00FE4CC2" w:rsidRDefault="00C32AE2" w:rsidP="00BD08BA">
            <w:pPr>
              <w:spacing w:before="120"/>
              <w:rPr>
                <w:szCs w:val="22"/>
                <w:lang w:eastAsia="ja-JP"/>
              </w:rPr>
            </w:pPr>
            <w:r w:rsidRPr="00FE4CC2">
              <w:rPr>
                <w:szCs w:val="22"/>
                <w:lang w:eastAsia="ja-JP"/>
              </w:rPr>
              <w:t xml:space="preserve">Capacity building: this family includes handbooks, manuals, guides, e-learning resources, webinars, training, education, knowledge sharing. </w:t>
            </w:r>
          </w:p>
          <w:p w14:paraId="14100589" w14:textId="77777777" w:rsidR="00C32AE2" w:rsidRPr="00FE4CC2" w:rsidRDefault="00C32AE2" w:rsidP="00BD08BA">
            <w:pPr>
              <w:spacing w:before="120"/>
              <w:rPr>
                <w:szCs w:val="22"/>
                <w:lang w:eastAsia="ja-JP"/>
              </w:rPr>
            </w:pPr>
            <w:r w:rsidRPr="00FE4CC2">
              <w:rPr>
                <w:szCs w:val="22"/>
                <w:lang w:eastAsia="ja-JP"/>
              </w:rPr>
              <w:t xml:space="preserve">Social learning, innovation and adaptive governance: this family includes strategic adaptive management and social learning theory. </w:t>
            </w:r>
          </w:p>
          <w:p w14:paraId="5B0D31DB" w14:textId="60E9D6B4" w:rsidR="00C32AE2" w:rsidRPr="00FE4CC2" w:rsidRDefault="00C32AE2" w:rsidP="00B328AE">
            <w:pPr>
              <w:spacing w:before="120"/>
              <w:rPr>
                <w:szCs w:val="22"/>
                <w:lang w:val="fr-CA" w:eastAsia="ja-JP"/>
              </w:rPr>
            </w:pPr>
            <w:r w:rsidRPr="00FE4CC2">
              <w:rPr>
                <w:szCs w:val="22"/>
                <w:lang w:val="fr-CA" w:eastAsia="ja-JP"/>
              </w:rPr>
              <w:t xml:space="preserve">Source: </w:t>
            </w:r>
            <w:r w:rsidR="00B328AE" w:rsidRPr="00FE4CC2">
              <w:rPr>
                <w:szCs w:val="22"/>
                <w:lang w:val="fr-CA" w:eastAsia="ja-JP"/>
              </w:rPr>
              <w:t xml:space="preserve">IPBES Policy support catalogue available at </w:t>
            </w:r>
            <w:hyperlink r:id="rId1067" w:history="1">
              <w:r w:rsidRPr="00FE4CC2">
                <w:rPr>
                  <w:rStyle w:val="Hyperlink"/>
                  <w:szCs w:val="22"/>
                  <w:lang w:val="fr-CA" w:eastAsia="ja-JP"/>
                </w:rPr>
                <w:t>http://ipbes-demo.net/node/140</w:t>
              </w:r>
            </w:hyperlink>
          </w:p>
        </w:tc>
      </w:tr>
    </w:tbl>
    <w:p w14:paraId="66527A88" w14:textId="77777777" w:rsidR="00BD08BA" w:rsidRPr="00A3137A" w:rsidRDefault="00BD08BA" w:rsidP="008B3BCD">
      <w:pPr>
        <w:rPr>
          <w:lang w:val="fr-FR"/>
        </w:rPr>
      </w:pPr>
      <w:bookmarkStart w:id="2409" w:name="_Toc356492307"/>
      <w:bookmarkStart w:id="2410" w:name="_Toc502957765"/>
      <w:bookmarkStart w:id="2411" w:name="_Toc502957964"/>
      <w:bookmarkStart w:id="2412" w:name="_Toc502958118"/>
      <w:bookmarkStart w:id="2413" w:name="_Toc503293187"/>
      <w:bookmarkStart w:id="2414" w:name="_Toc503293785"/>
      <w:bookmarkStart w:id="2415" w:name="_Toc503294047"/>
      <w:bookmarkStart w:id="2416" w:name="_Toc503863440"/>
      <w:bookmarkStart w:id="2417" w:name="_Toc503863668"/>
    </w:p>
    <w:p w14:paraId="05339471" w14:textId="71FEABD7" w:rsidR="00BD08BA" w:rsidRPr="00A3137A" w:rsidRDefault="00BD08BA" w:rsidP="00BD08BA">
      <w:pPr>
        <w:rPr>
          <w:lang w:val="fr-FR" w:eastAsia="es-CO"/>
        </w:rPr>
      </w:pPr>
      <w:r w:rsidRPr="00A3137A">
        <w:rPr>
          <w:lang w:val="fr-FR" w:eastAsia="es-CO"/>
        </w:rPr>
        <w:br w:type="page"/>
      </w:r>
    </w:p>
    <w:p w14:paraId="5213494C" w14:textId="77777777" w:rsidR="00BD08BA" w:rsidRPr="00A3137A" w:rsidRDefault="00BD08BA" w:rsidP="00BD08BA">
      <w:pPr>
        <w:rPr>
          <w:lang w:val="fr-FR" w:eastAsia="es-CO"/>
        </w:rPr>
      </w:pPr>
    </w:p>
    <w:p w14:paraId="37C0A1A1" w14:textId="6F64184F" w:rsidR="009E18F7" w:rsidRPr="008608AA" w:rsidRDefault="009E18F7" w:rsidP="00C32AE2">
      <w:pPr>
        <w:pStyle w:val="Heading3"/>
        <w:rPr>
          <w:lang w:val="en-US"/>
        </w:rPr>
      </w:pPr>
      <w:bookmarkStart w:id="2418" w:name="_Toc517393440"/>
      <w:bookmarkStart w:id="2419" w:name="_Toc517719181"/>
      <w:bookmarkStart w:id="2420" w:name="_Toc517797138"/>
      <w:r w:rsidRPr="008608AA">
        <w:rPr>
          <w:lang w:val="en-US"/>
        </w:rPr>
        <w:t>Regulatory mechanisms</w:t>
      </w:r>
      <w:bookmarkEnd w:id="2409"/>
      <w:bookmarkEnd w:id="2410"/>
      <w:bookmarkEnd w:id="2411"/>
      <w:bookmarkEnd w:id="2412"/>
      <w:bookmarkEnd w:id="2413"/>
      <w:bookmarkEnd w:id="2414"/>
      <w:bookmarkEnd w:id="2415"/>
      <w:bookmarkEnd w:id="2416"/>
      <w:bookmarkEnd w:id="2417"/>
      <w:bookmarkEnd w:id="2418"/>
      <w:bookmarkEnd w:id="2419"/>
      <w:bookmarkEnd w:id="2420"/>
    </w:p>
    <w:p w14:paraId="6E0577AC" w14:textId="77777777" w:rsidR="00BD08BA" w:rsidRPr="008608AA" w:rsidRDefault="00BD08BA" w:rsidP="00BD08BA">
      <w:pPr>
        <w:rPr>
          <w:lang w:eastAsia="es-CO"/>
        </w:rPr>
      </w:pPr>
    </w:p>
    <w:p w14:paraId="74056FDE" w14:textId="39247797" w:rsidR="009E18F7" w:rsidRPr="008608AA" w:rsidRDefault="009E18F7" w:rsidP="00C32AE2">
      <w:pPr>
        <w:pStyle w:val="Heading4"/>
        <w:spacing w:after="120" w:line="240" w:lineRule="auto"/>
        <w:ind w:left="0" w:firstLine="0"/>
        <w:rPr>
          <w:lang w:val="en-US"/>
        </w:rPr>
      </w:pPr>
      <w:bookmarkStart w:id="2421" w:name="_Toc517393441"/>
      <w:bookmarkStart w:id="2422" w:name="_Toc517719182"/>
      <w:bookmarkStart w:id="2423" w:name="_Toc517797139"/>
      <w:r w:rsidRPr="008608AA">
        <w:rPr>
          <w:lang w:val="en-US"/>
        </w:rPr>
        <w:t>Protected areas</w:t>
      </w:r>
      <w:bookmarkEnd w:id="2421"/>
      <w:bookmarkEnd w:id="2422"/>
      <w:bookmarkEnd w:id="2423"/>
      <w:r w:rsidRPr="008608AA">
        <w:rPr>
          <w:lang w:val="en-US"/>
        </w:rPr>
        <w:t xml:space="preserve"> </w:t>
      </w:r>
    </w:p>
    <w:p w14:paraId="0FA1A005" w14:textId="5F50C8CD" w:rsidR="009E18F7" w:rsidRPr="008608AA" w:rsidRDefault="009E18F7" w:rsidP="00BD08BA">
      <w:r w:rsidRPr="008608AA">
        <w:t>Areas of particular importance for biodiversity, ecosystem services and human wellbeing (including protected areas, ICCAs, other area-based conservation measures, and biodiversity, ecological and conservation corridors) are among the main policy instruments that address biodiversity and ecosystem conservation in the region. Supporting tools and methodologies such as species and ecosystem redlists and participatory processes are often used. The region presents a broad diversity in the history of use and application of such instruments and tools.</w:t>
      </w:r>
    </w:p>
    <w:p w14:paraId="02FB9FE0" w14:textId="77777777" w:rsidR="00736DCF" w:rsidRPr="008608AA" w:rsidRDefault="00736DCF" w:rsidP="00BD08BA"/>
    <w:p w14:paraId="4684A9C5" w14:textId="7EE3B30D" w:rsidR="009E18F7" w:rsidRPr="008608AA" w:rsidRDefault="009E18F7" w:rsidP="00BD08BA">
      <w:r w:rsidRPr="008608AA">
        <w:t xml:space="preserve">Protected areas - public, communal and private - have been a key element in biodiversity and ecosystem services conservation, in promoting tourism (see also 6.6.1) and also in generating social and community benefits across the region and elsewhere (Watson et al., 2014). In the Americas, the proportion of protected areas following IUCN (International Union for Conservation of Nature) definition by 2017, was higher than the global average: North America had 11.3% of its terrestrial area protected and 25% of its marine areas protected, Mesoamerica 17.5% terrestrial and 2% marine, Caribbean 17.5% terrestrial and 5.7% marine, and South America 24.0%, and 5.9% marine (UNEP-WCMC and IUCN, 2017). By 2014, Latin America and the Caribbean altogether continued to lead globally with 23% of its land under protection (UN, 2015a). The region has thus been progressing well towards Aichi </w:t>
      </w:r>
      <w:r w:rsidR="00847F60" w:rsidRPr="008608AA">
        <w:t>target</w:t>
      </w:r>
      <w:r w:rsidRPr="008608AA">
        <w:t xml:space="preserve"> 11 (see 6.5.1). Two main questions deriving from this are: how effective are such protected areas (1) for nature conservation and (2) to provide direct and indirect socio-economic development benefits.</w:t>
      </w:r>
    </w:p>
    <w:p w14:paraId="193AB69D" w14:textId="77777777" w:rsidR="00C40463" w:rsidRPr="008608AA" w:rsidRDefault="00C40463" w:rsidP="00BD08BA"/>
    <w:p w14:paraId="6A71CF1E" w14:textId="4EA07AFE" w:rsidR="009E18F7" w:rsidRPr="008608AA" w:rsidRDefault="009E18F7" w:rsidP="00BD08BA">
      <w:r w:rsidRPr="008608AA">
        <w:t>On the distribution and coverage of protected areas, there seems to be greater emphasis on forests (especially tropical and subtropical) and other highly diverse ecosystems, at</w:t>
      </w:r>
      <w:r w:rsidR="0009057F" w:rsidRPr="008608AA">
        <w:t xml:space="preserve"> a global level (Anthamatten &amp;</w:t>
      </w:r>
      <w:r w:rsidRPr="008608AA">
        <w:t xml:space="preserve"> Hazen, 2014). This also holds even in terms of other environment-related policies, such as restoration, conservation incentives, etc. (</w:t>
      </w:r>
      <w:r w:rsidR="00847F60" w:rsidRPr="008608AA">
        <w:t>e.g.</w:t>
      </w:r>
      <w:r w:rsidRPr="008608AA">
        <w:t xml:space="preserve"> Overbeck et al., 2015). On the effectiveness of protected areas for biodiversity and ecosystem services conservation, there are mixed viewpoints, but there remains a clear gap regarding impact assessment (Coad et al., 2014; Pressey et al., 2015). While some meta-analyses indicate an overall positive impact of protected areas on conservation (</w:t>
      </w:r>
      <w:r w:rsidR="00847F60" w:rsidRPr="008608AA">
        <w:t>e.g.</w:t>
      </w:r>
      <w:r w:rsidRPr="008608AA">
        <w:t xml:space="preserve"> Bruner et al., 2001; Geldmann et al., 2013), other authors argue that little is known about how much difference protected areas actually make (Pressey et al., 2015). On the positive side, Bruner et al. (2001) analysed 93 parks in 22 tropical countries (34 of them in the Americas) and concluded that most of them are effective, especially at protecting from land clearing and, to a lesser degree, at mitigating logging, hunting, fire, and grazing. As they found the effectiveness of parks to correlate with basic management activities such as enforcement, boundary demarcation, and direct compensation to local communities, they suggest that even modest increases in funding would improve parks effectiveness. This is consistent with the meta-analysis more recently performed by Geldmann et al. (2013) including 35 cases from Central and South America and one from North America, which found a positive impact of protected areas on conservation in 86% of cases. GEFIEO (2015), in a study that analysed 618 projects funded by the </w:t>
      </w:r>
      <w:r w:rsidR="00F41E65" w:rsidRPr="008608AA">
        <w:t>Global Environment Facility</w:t>
      </w:r>
      <w:r w:rsidRPr="008608AA">
        <w:t xml:space="preserve"> in protected areas of 137 countries, found that a combination of good governance, effective protected area management, and community engagement explain why protected areas funded by the </w:t>
      </w:r>
      <w:r w:rsidR="00F41E65" w:rsidRPr="008608AA">
        <w:t xml:space="preserve">Global Environment Facility </w:t>
      </w:r>
      <w:r w:rsidRPr="008608AA">
        <w:t xml:space="preserve">are more effective in delivering conservation outcomes than those not funded. </w:t>
      </w:r>
    </w:p>
    <w:p w14:paraId="2B3872B4" w14:textId="77777777" w:rsidR="00C40463" w:rsidRPr="008608AA" w:rsidRDefault="00C40463" w:rsidP="00BD08BA"/>
    <w:p w14:paraId="2B23A8F6" w14:textId="629D1E97" w:rsidR="009E18F7" w:rsidRPr="008608AA" w:rsidRDefault="009E18F7" w:rsidP="00BD08BA">
      <w:r w:rsidRPr="008608AA">
        <w:t>However, Watson et al. (2014) demonstrated that recent years have seen a decline in the effectiveness of protected areas across the region, with problems such as major budget cuts (</w:t>
      </w:r>
      <w:r w:rsidR="00847F60" w:rsidRPr="008608AA">
        <w:t>e.g.</w:t>
      </w:r>
      <w:r w:rsidR="00F41E65" w:rsidRPr="008608AA">
        <w:t xml:space="preserve"> USA</w:t>
      </w:r>
      <w:r w:rsidRPr="008608AA">
        <w:t>), extractive activities inside national parks (</w:t>
      </w:r>
      <w:r w:rsidR="00847F60" w:rsidRPr="008608AA">
        <w:t>e.g.</w:t>
      </w:r>
      <w:r w:rsidRPr="008608AA">
        <w:t xml:space="preserve"> Belize), and increasingly frequent protected area downgradin</w:t>
      </w:r>
      <w:r w:rsidR="00F41E65" w:rsidRPr="008608AA">
        <w:t>g, downsizing and degazettement</w:t>
      </w:r>
      <w:r w:rsidRPr="008608AA">
        <w:t xml:space="preserve"> </w:t>
      </w:r>
      <w:r w:rsidR="00F41E65" w:rsidRPr="008608AA">
        <w:t>(</w:t>
      </w:r>
      <w:r w:rsidR="00847F60" w:rsidRPr="008608AA">
        <w:t>e.g.</w:t>
      </w:r>
      <w:r w:rsidRPr="008608AA">
        <w:t xml:space="preserve"> Brazil). For some species, climate change poses an additional threat to the effectiveness of biodiversity conservation in protected areas in the region, be it at taxa level (</w:t>
      </w:r>
      <w:r w:rsidR="00847F60" w:rsidRPr="008608AA">
        <w:t>e.g.</w:t>
      </w:r>
      <w:r w:rsidRPr="008608AA">
        <w:t xml:space="preserve"> Ferro et al., 2014; Lemes et al., 2013; Loyola et al., 2012; Nori et al., 2015), or from an evolutionary history perspective (Loyola et al., 2014). Geldmann et al</w:t>
      </w:r>
      <w:r w:rsidR="0009057F" w:rsidRPr="008608AA">
        <w:t>.</w:t>
      </w:r>
      <w:r w:rsidRPr="008608AA">
        <w:t xml:space="preserve"> (2013) argue that there is limited evidence for understanding the exact conditions or combinations of circumstances under which this policy instrument succeeds or fails to deliver conservation outcomes. </w:t>
      </w:r>
    </w:p>
    <w:p w14:paraId="6C45F3B4" w14:textId="77777777" w:rsidR="00AA0989" w:rsidRPr="008608AA" w:rsidRDefault="00AA0989" w:rsidP="00BD08BA"/>
    <w:p w14:paraId="3941D669" w14:textId="77777777" w:rsidR="00AA0989" w:rsidRPr="008608AA" w:rsidRDefault="009E18F7" w:rsidP="00BD08BA">
      <w:r w:rsidRPr="008608AA">
        <w:t>Marine protected areas are smaller than their terrestrial counterparts in proportional coverage, in the region and elsewhere (Gray et al., 2014), although their numbers are increasing rapidly in line with global targets agreed under the CBD. In a meta-analysis that included some 20 marine protected areas across the Americas (mainly in the Caribbean, Central America and at Northwestern South America), Edgar et al. (2014) concluded that effectiveness is related to good design, isolation by deep water or sand, durable management and compliance related to “no-take” (or no fishing in specific zones or specific moments in the year). Other studies in the region relate effectiveness to environmental zoning, management plans, and participatory management (</w:t>
      </w:r>
      <w:r w:rsidR="00847F60" w:rsidRPr="008608AA">
        <w:t>e.g.</w:t>
      </w:r>
      <w:r w:rsidRPr="008608AA">
        <w:t xml:space="preserve"> state of Ceará, Brazil: Andrade </w:t>
      </w:r>
      <w:r w:rsidR="00AA0989" w:rsidRPr="008608AA">
        <w:t>&amp;</w:t>
      </w:r>
      <w:r w:rsidRPr="008608AA">
        <w:t xml:space="preserve"> Soares, 2017) or to network management (state of California, USA: Mach et al., 2017) (see also 6.3.2). Another peculiarity of marine protected areas is related to size. Most marine protected areas are relatively small in size (global median of 3.3 km</w:t>
      </w:r>
      <w:r w:rsidRPr="008608AA">
        <w:rPr>
          <w:vertAlign w:val="superscript"/>
        </w:rPr>
        <w:t>2</w:t>
      </w:r>
      <w:r w:rsidRPr="008608AA">
        <w:t>) and the current expansion on the creation of large marine protected areas, led Ban et al. (2017) to investigate the social and ecological effectiveness of marine protected areas. After examining 12</w:t>
      </w:r>
      <w:r w:rsidR="00AA0989" w:rsidRPr="008608AA">
        <w:t xml:space="preserve"> large marine protected areas, three</w:t>
      </w:r>
      <w:r w:rsidRPr="008608AA">
        <w:t xml:space="preserve"> of them in the Americas (Galápagos, Ecuador: 133,000 km</w:t>
      </w:r>
      <w:r w:rsidRPr="008608AA">
        <w:rPr>
          <w:vertAlign w:val="superscript"/>
        </w:rPr>
        <w:t>2</w:t>
      </w:r>
      <w:r w:rsidRPr="008608AA">
        <w:t>; Seaflower, Colombia: 65,000 km</w:t>
      </w:r>
      <w:r w:rsidRPr="008608AA">
        <w:rPr>
          <w:vertAlign w:val="superscript"/>
        </w:rPr>
        <w:t>2</w:t>
      </w:r>
      <w:r w:rsidRPr="008608AA">
        <w:t>; and Central California National Marine Sanctuaries: 27,645 km</w:t>
      </w:r>
      <w:r w:rsidRPr="008608AA">
        <w:rPr>
          <w:vertAlign w:val="superscript"/>
        </w:rPr>
        <w:t>2</w:t>
      </w:r>
      <w:r w:rsidRPr="008608AA">
        <w:t>), they found that effectiveness was related to age of the marine protected area, enforcement and, again, participatory processes. Nevertheless, considering both small and large marine protected areas, Davidson and Dulvy (2017) demonstrate</w:t>
      </w:r>
      <w:r w:rsidR="00AA0989" w:rsidRPr="008608AA">
        <w:t>d</w:t>
      </w:r>
      <w:r w:rsidRPr="008608AA">
        <w:t xml:space="preserve"> that shortfall in marine protected areas remains significant when it comes to the conservation of endangered species. By using systematic conservation planning to prioritize conservation actions for sharks, rays and chimaeras (class with the highest proportion of threatened marine species), they found 12 nations with more th</w:t>
      </w:r>
      <w:r w:rsidR="00AA0989" w:rsidRPr="008608AA">
        <w:t>an 50% of imperilled endemics, four</w:t>
      </w:r>
      <w:r w:rsidRPr="008608AA">
        <w:t xml:space="preserve"> of which are in the Americas: Colombia, Brazil, Uruguay, and Argentina. Among those, they found that Brazil and Argentina have low conservation likelihood (an index built based on </w:t>
      </w:r>
      <w:r w:rsidR="00AA0989" w:rsidRPr="008608AA">
        <w:t>10</w:t>
      </w:r>
      <w:r w:rsidRPr="008608AA">
        <w:t xml:space="preserve"> national measures including governance, economics and welfare, fishing, and human pressure).</w:t>
      </w:r>
    </w:p>
    <w:p w14:paraId="1215B0E6" w14:textId="2DCB5482" w:rsidR="009E18F7" w:rsidRPr="008608AA" w:rsidRDefault="009E18F7" w:rsidP="00BD08BA">
      <w:pPr>
        <w:rPr>
          <w:b/>
        </w:rPr>
      </w:pPr>
      <w:r w:rsidRPr="008608AA">
        <w:t xml:space="preserve"> </w:t>
      </w:r>
    </w:p>
    <w:p w14:paraId="65301EA0" w14:textId="2FDBFF54" w:rsidR="009E18F7" w:rsidRPr="008608AA" w:rsidRDefault="009E18F7" w:rsidP="00BD08BA">
      <w:pPr>
        <w:rPr>
          <w:rFonts w:cs="FrutigerLTPro-Condensed"/>
        </w:rPr>
      </w:pPr>
      <w:r w:rsidRPr="008608AA">
        <w:t xml:space="preserve">Indigenous peoples’ and community </w:t>
      </w:r>
      <w:r w:rsidR="00AA0989" w:rsidRPr="008608AA">
        <w:t>conserved territories and areas</w:t>
      </w:r>
      <w:r w:rsidRPr="008608AA">
        <w:t xml:space="preserve"> are found around the globe and have a long-standing history in the Americas. Under this umbrella, many types of areas exist: indigenous territories, community forests, sacred natural sites, community-managed coastal and marine areas, among others. They may cover at least as much area as non-ICCA protected areas do, help sustain ecosystems and services, and are the basis of livelihoods for millions of people. They are seen as efficient instruments to mitigate (Ricketts et al., 2010) and adapt (Magrin et al., 2014) to climate change and to reconcile biodiversity conservation with human development </w:t>
      </w:r>
      <w:r w:rsidRPr="008608AA">
        <w:rPr>
          <w:rFonts w:cs="FrutigerLTPro-Condensed"/>
        </w:rPr>
        <w:t>(</w:t>
      </w:r>
      <w:r w:rsidR="00847F60" w:rsidRPr="008608AA">
        <w:rPr>
          <w:rFonts w:cs="FrutigerLTPro-Condensed"/>
        </w:rPr>
        <w:t>e.g.</w:t>
      </w:r>
      <w:r w:rsidRPr="008608AA">
        <w:rPr>
          <w:rFonts w:cs="FrutigerLTPro-Condensed"/>
        </w:rPr>
        <w:t xml:space="preserve"> Argentinian Chaco: Marinaro et al., 2015; Bolivian Andes: Hoffmann et al., 2011; Panama: Oestreicher et al., 2009). There is an inconclusive discussion as to whether protected areas without people inside or protected areas with people inside are more effective at promoting conservation. For instance, a comparative meta-analysis for reserves in different parts of the world, most of which in the Americas, showed that protected areas without people inside have higher deforestation rates than areas under community management (Porter-Bolland et al., 2012). Similarly, Nelson and Chomitz (2011) found for Latin America and the Caribbean that (1) protected areas of restricted use reduced fire substantially, but multi-use protected areas are even more effective; and (2) in indigenous reserves the incidence of forest fire was reduced by 16% as compared to non-protected areas. On the other hand, Miteva et al. (2012) found opposite results and suggested that fully protected areas are more efficient in constraining deforestation. </w:t>
      </w:r>
    </w:p>
    <w:p w14:paraId="0213CD60" w14:textId="42ED5DB0" w:rsidR="009E18F7" w:rsidRPr="008608AA" w:rsidRDefault="009E18F7" w:rsidP="00BD08BA">
      <w:r w:rsidRPr="008608AA">
        <w:rPr>
          <w:rFonts w:cs="FrutigerLTPro-Condensed"/>
        </w:rPr>
        <w:t xml:space="preserve">Despite mixed reviews, there are </w:t>
      </w:r>
      <w:r w:rsidRPr="008608AA">
        <w:t xml:space="preserve">new, successful experiences in the </w:t>
      </w:r>
      <w:r w:rsidR="0009057F" w:rsidRPr="008608AA">
        <w:t>Americas (Nygren, 2005; Lima &amp;</w:t>
      </w:r>
      <w:r w:rsidRPr="008608AA">
        <w:t xml:space="preserve"> Pozzobon, 2005; Silvano et al</w:t>
      </w:r>
      <w:r w:rsidR="0009057F" w:rsidRPr="008608AA">
        <w:t>.</w:t>
      </w:r>
      <w:r w:rsidRPr="008608AA">
        <w:t>, 2014) that show potential for enhancing biodiversity and ecosystem services conservation in the region. Some useful examples of adaptive community management include community forest concessions (</w:t>
      </w:r>
      <w:r w:rsidR="00847F60" w:rsidRPr="008608AA">
        <w:t>e.g.</w:t>
      </w:r>
      <w:r w:rsidRPr="008608AA">
        <w:t xml:space="preserve"> Guatemala: Radachowsky et al., 2012), multiple-use management of forests (Guariguata et al., 2012; see also examples in Bolivia: Cronkleton et al., 2012 </w:t>
      </w:r>
      <w:r w:rsidR="0009057F" w:rsidRPr="008608AA">
        <w:t>and Brazil: Klimas et al., 2012;</w:t>
      </w:r>
      <w:r w:rsidRPr="008608AA">
        <w:t xml:space="preserve"> Soriano et al., 2012); and local communities where payments are made to promote citizen collection of primary scientific data (Luzar et al., 2011). One of the main critiques of community-based management has to do with scalability, since many such local successes do not operate well at larger levels (Berkes, 2006). Moreover, one must consider that the ecosystems currently called ‘native’ have probably been, to some extent, managed by humans, as the work by Levis et al. (2017) on the effects of pre-Columbian plant domestication over the structure of tree communities in Amazonia indicates. Another important related aspect is the relevance of indigenous peoples and local communities to conserving agrobiodiversity. These populations provide a largely under-recognised contribution to </w:t>
      </w:r>
      <w:r w:rsidRPr="008608AA">
        <w:rPr>
          <w:i/>
        </w:rPr>
        <w:t>in-situ</w:t>
      </w:r>
      <w:r w:rsidRPr="008608AA">
        <w:t xml:space="preserve"> conservation and enhancement of crop diversity, as well as to high forest biodiversity, providing a free service that economists call positive externality </w:t>
      </w:r>
      <w:r w:rsidR="0009057F" w:rsidRPr="008608AA">
        <w:t>(Carneiro da Cunha &amp;</w:t>
      </w:r>
      <w:r w:rsidRPr="008608AA">
        <w:t xml:space="preserve"> Morim de Lima, 2017; Emparaire, 2017). Consequently, assuring the rights of indigenous and local populations to land and to keeping traditional management practices - inside or outside protected areas - is not only a matter of social justice; it is intimately related to a conservation strategy for biodiversity and ecosystem services conservation at a relatively low cost. This seems especially relevant for food security in the current global context of climate change, increasing population and an eroding genetic diversity of plant cultivars. </w:t>
      </w:r>
    </w:p>
    <w:p w14:paraId="2D6FDB17" w14:textId="77777777" w:rsidR="00AA0989" w:rsidRPr="008608AA" w:rsidRDefault="00AA0989" w:rsidP="00BD08BA">
      <w:pPr>
        <w:rPr>
          <w:rFonts w:ascii="Times" w:hAnsi="Times"/>
        </w:rPr>
      </w:pPr>
    </w:p>
    <w:p w14:paraId="57C41963" w14:textId="77777777" w:rsidR="00022C5E" w:rsidRPr="008608AA" w:rsidRDefault="009E18F7" w:rsidP="00BD08BA">
      <w:r w:rsidRPr="008608AA">
        <w:t>Biodiversity, ecological and conservation corridors provide connectivity and are essential to ensure flow of genetic material and ecosystem services (Hilty et al., 2006), despite the fact that they may not be equally efficient for different groups of species (Snäll et al., 2016). Therefore, policy design to address such concerns takes place at landscape scale and applies corridors as a policy instrument that will frequently have complementarity to existing protected area and/or ICCA networks, and may need to include ecosystem restoration (see 6.4.1.2) as an implementation tool. It is an instrument that potentially links units of conservation to promote an integrated conservation system within productive landscapes, and it has recently been argued that they may also serve as carbon corridors under REDD+ schemes, based on studies conducted in the Amazon, specifically in the Guiana Shield (Jantz et al., 2014). IUCN (2007) reported Latin America as leading international connectivity efforts, since, up to that time, more than 100 corridors had been created in 16 countries. Moreover, more than 20 of these corridors were multicountry. Although only Bolivia, Brazil and Venezuela had, by then, specific national legislation enabling corridors, there are examples at sub-national level (</w:t>
      </w:r>
      <w:r w:rsidR="00847F60" w:rsidRPr="008608AA">
        <w:t>e.g.</w:t>
      </w:r>
      <w:r w:rsidRPr="008608AA">
        <w:t xml:space="preserve"> Argentina, Ecuador). </w:t>
      </w:r>
    </w:p>
    <w:p w14:paraId="24FD3402" w14:textId="77777777" w:rsidR="00022C5E" w:rsidRPr="008608AA" w:rsidRDefault="00022C5E" w:rsidP="00BD08BA"/>
    <w:p w14:paraId="4CBA88E8" w14:textId="0FCEEB6A" w:rsidR="009E18F7" w:rsidRPr="008608AA" w:rsidRDefault="009E18F7" w:rsidP="00BD08BA">
      <w:r w:rsidRPr="008608AA">
        <w:t>Another multicountry example is the Mesoamerican Biological Corridor, launched in 1994 (IUCN, 2007). It covers 27% of Mesoamerican territory and encompasses 26 indigenous groups, all the major Mayan archaeological sites, and 368 protected areas. Finally, in North America, the most important initiatives are driven by NGOs that aim to achieve their goals through broad-based stakeholder processes. This includes collaboration with government authorities to secure support through conservation policy and public land management. The corridor initiatives centre on biodiversity conservation and wilderness concepts. The best-known North American continental scale initiative is the Yellowstone to Yuk</w:t>
      </w:r>
      <w:r w:rsidR="00022C5E" w:rsidRPr="008608AA">
        <w:t>on Conservation Initiative</w:t>
      </w:r>
      <w:r w:rsidRPr="008608AA">
        <w:t xml:space="preserve">, extending along 3,200 km of the northern Rocky Mountains from Wyoming to the Arctic Circle. It includes areas protected under the national legislation of Canada and the </w:t>
      </w:r>
      <w:r w:rsidR="00253825" w:rsidRPr="008608AA">
        <w:t>USA</w:t>
      </w:r>
      <w:r w:rsidRPr="008608AA">
        <w:t>, as well as private lands (IUCN, 2007). As a result of these various initiatives, the connectivity between protected areas in the Americas – alongside with Africa – is high when compared to other regions, and the networks of countries such as Argentina, Brazil and Canada are important to promote continental connectivity (Santini et al., 2016).</w:t>
      </w:r>
    </w:p>
    <w:p w14:paraId="2A49477B" w14:textId="77777777" w:rsidR="00AA0989" w:rsidRPr="008608AA" w:rsidRDefault="00AA0989" w:rsidP="00BD08BA"/>
    <w:p w14:paraId="085E766D" w14:textId="39BD0E1A" w:rsidR="00022C5E" w:rsidRPr="008608AA" w:rsidRDefault="009E18F7" w:rsidP="00BD08BA">
      <w:r w:rsidRPr="008608AA">
        <w:t xml:space="preserve">Other effective area-based conservation measures are considered as conservation mechanisms by Aichi </w:t>
      </w:r>
      <w:r w:rsidR="00847F60" w:rsidRPr="008608AA">
        <w:t>target</w:t>
      </w:r>
      <w:r w:rsidRPr="008608AA">
        <w:t xml:space="preserve"> 11. Other effective area-based conservation measures must contribute to both the quantitative and qualitative aspects of </w:t>
      </w:r>
      <w:r w:rsidR="00847F60" w:rsidRPr="008608AA">
        <w:t>target</w:t>
      </w:r>
      <w:r w:rsidRPr="008608AA">
        <w:t xml:space="preserve"> 11, and have the potential to contribute greatly to elements such as representativeness and connectivity, and to contribute to conservation in relevant places such as Key Biodiversity Areas, especially in cases where protected areas are not an option. Key Biodiversity Areas are sites that contribute significantly to the global persistence of biodiversity, including Important Bird and Biodiversity Areas, Alliance for Zero Extinction sites, and similar networks (UNEP-WCMC and IUCN, 2016). Key Biodiversity Areas, Important Bird and Biodiversity Areas and Alliance for Zero Extinction sites derive from analyses of threatened biodiversity, restricted-range biodiversity, ecological integrity, biological processes, and irreplaceability, across genetic, species, and ecosystem levels (IUCN, 2016). For that, the Red List of species is an important tool. </w:t>
      </w:r>
      <w:r w:rsidRPr="008608AA">
        <w:rPr>
          <w:rFonts w:cs="Arial"/>
        </w:rPr>
        <w:t xml:space="preserve">The Red List of species is a 50 year old tool put in place by IUCN, which is </w:t>
      </w:r>
      <w:r w:rsidRPr="008608AA">
        <w:t>the most widely used global imperiled species list (Rodrigues et al., 2006; Schipper et al., 2008)</w:t>
      </w:r>
      <w:r w:rsidRPr="008608AA">
        <w:rPr>
          <w:rFonts w:cs="Arial"/>
        </w:rPr>
        <w:t xml:space="preserve">. </w:t>
      </w:r>
      <w:r w:rsidRPr="008608AA">
        <w:t xml:space="preserve">The use and application of the list varies across the region, but mainly there are differences between national lists and the IUCN Redlist. In the </w:t>
      </w:r>
      <w:r w:rsidR="00253825" w:rsidRPr="008608AA">
        <w:t>USA</w:t>
      </w:r>
      <w:r w:rsidRPr="008608AA">
        <w:t xml:space="preserve"> (Harris et al., 2012), Brazil and Colombia (Brito et al., 2010), the IUCN Redlist has a longer list of endangered species than in the country’s official lists. </w:t>
      </w:r>
    </w:p>
    <w:p w14:paraId="392B7082" w14:textId="77777777" w:rsidR="00022C5E" w:rsidRPr="008608AA" w:rsidRDefault="00022C5E" w:rsidP="00BD08BA"/>
    <w:p w14:paraId="2B230C7E" w14:textId="250EBF0C" w:rsidR="009E18F7" w:rsidRPr="008608AA" w:rsidRDefault="009E18F7" w:rsidP="00BD08BA">
      <w:pPr>
        <w:rPr>
          <w:rFonts w:cs="AdvP4DF60E"/>
        </w:rPr>
      </w:pPr>
      <w:r w:rsidRPr="008608AA">
        <w:t>With respect to the relationship between the redlist and the design of marine protected areas, Agardy et al. (2011) highlight the need for protecting the core habitat of threatened species, to avoid population decline as found in the 1990’s for</w:t>
      </w:r>
      <w:r w:rsidRPr="008608AA">
        <w:rPr>
          <w:rFonts w:cs="AdvP4DF60E"/>
        </w:rPr>
        <w:t xml:space="preserve"> </w:t>
      </w:r>
      <w:r w:rsidR="00022C5E" w:rsidRPr="008608AA">
        <w:rPr>
          <w:rFonts w:cs="AdvP4DF60E"/>
        </w:rPr>
        <w:t xml:space="preserve">the </w:t>
      </w:r>
      <w:r w:rsidRPr="008608AA">
        <w:rPr>
          <w:rFonts w:cs="AdvP4DF60E"/>
        </w:rPr>
        <w:t>vaquita (</w:t>
      </w:r>
      <w:r w:rsidRPr="008608AA">
        <w:rPr>
          <w:rFonts w:cs="AdvP4DF60F"/>
          <w:i/>
        </w:rPr>
        <w:t>Phocoena sinus</w:t>
      </w:r>
      <w:r w:rsidRPr="008608AA">
        <w:rPr>
          <w:rFonts w:cs="AdvP4DF60E"/>
        </w:rPr>
        <w:t>), a small porpoise endemic to the northern Gulf of California, Mexico. However, the IUCN mechanism has been criticized for falling short on capturing functional and phylogenetic diversity, for instance, in the case of Brazilian birds (Hidasi-Neto et al., 2013). Mace et al. (2008) provide a detailed analysis a description of IUCN methods and its potential limitations. Measure</w:t>
      </w:r>
      <w:r w:rsidR="005A5FFB" w:rsidRPr="008608AA">
        <w:rPr>
          <w:rFonts w:cs="AdvP4DF60E"/>
        </w:rPr>
        <w:t>s of phylogenetic diversity</w:t>
      </w:r>
      <w:r w:rsidRPr="008608AA">
        <w:rPr>
          <w:rFonts w:cs="AdvP4DF60E"/>
        </w:rPr>
        <w:t xml:space="preserve"> and evolutionary distinctiveness are becoming more widespread and can potentially help to circumvent existing limitations (Faith, 2016). Controversy also exists around marine fisheries in the relationship between CITES (Convention on International Trade in Endangered Species of Wild Fauna and Flora), FAO (Food and Agriculture Organization, which revises CITES criteria periodically) and nations on the relevance of listing on CITES species that are commercially exploited (Cochrane, 2015).</w:t>
      </w:r>
    </w:p>
    <w:p w14:paraId="0EEFE72C" w14:textId="77777777" w:rsidR="00022C5E" w:rsidRPr="008608AA" w:rsidRDefault="00022C5E" w:rsidP="00BD08BA">
      <w:pPr>
        <w:rPr>
          <w:rFonts w:cs="AdvP4DF60E"/>
        </w:rPr>
      </w:pPr>
    </w:p>
    <w:p w14:paraId="7AA310F1" w14:textId="77777777" w:rsidR="009E18F7" w:rsidRPr="008608AA" w:rsidRDefault="009E18F7" w:rsidP="00BD08BA">
      <w:pPr>
        <w:rPr>
          <w:rFonts w:cs="Meridien-Roman"/>
        </w:rPr>
      </w:pPr>
      <w:r w:rsidRPr="008608AA">
        <w:rPr>
          <w:rFonts w:cs="AdvP4DF60E"/>
        </w:rPr>
        <w:t xml:space="preserve">Following the same logic, IUCN is in the process of developing a RedList for threatened ecosystems. Current challenges include </w:t>
      </w:r>
      <w:r w:rsidRPr="008608AA">
        <w:rPr>
          <w:rFonts w:cs="Meridien-Roman"/>
        </w:rPr>
        <w:t>ecosystem classification, measuring ecosystem dynamics, degradation and collapse, and setting thresholds to define categories of threat. Examples of potential applications of Red Lists of Ecosystems in legislation, policy, environmental management and education in the Americas region are found in the province of Manitoba (Canada) – a law on threatened ecosystems - and in Venezuela, which has a National Ecosystem Redlist (Keith et al., 2015).</w:t>
      </w:r>
    </w:p>
    <w:p w14:paraId="5097FCF3" w14:textId="77777777" w:rsidR="005A5FFB" w:rsidRPr="008608AA" w:rsidRDefault="005A5FFB" w:rsidP="00C32AE2"/>
    <w:p w14:paraId="5CCDDF37" w14:textId="470CB6BE" w:rsidR="009E18F7" w:rsidRPr="008608AA" w:rsidRDefault="009E18F7" w:rsidP="00C32AE2">
      <w:pPr>
        <w:pStyle w:val="Heading4"/>
        <w:spacing w:after="120" w:line="240" w:lineRule="auto"/>
        <w:ind w:left="0" w:firstLine="0"/>
        <w:rPr>
          <w:lang w:val="en-US"/>
        </w:rPr>
      </w:pPr>
      <w:bookmarkStart w:id="2424" w:name="_Toc517393442"/>
      <w:bookmarkStart w:id="2425" w:name="_Toc517719183"/>
      <w:bookmarkStart w:id="2426" w:name="_Toc517797140"/>
      <w:r w:rsidRPr="008608AA">
        <w:rPr>
          <w:lang w:val="en-US"/>
        </w:rPr>
        <w:t>Ecosystem restoration</w:t>
      </w:r>
      <w:bookmarkEnd w:id="2424"/>
      <w:bookmarkEnd w:id="2425"/>
      <w:bookmarkEnd w:id="2426"/>
      <w:r w:rsidRPr="008608AA">
        <w:rPr>
          <w:lang w:val="en-US"/>
        </w:rPr>
        <w:t xml:space="preserve"> </w:t>
      </w:r>
    </w:p>
    <w:p w14:paraId="6C61E230" w14:textId="162F91C6" w:rsidR="009F2AD4" w:rsidRPr="008608AA" w:rsidRDefault="009E18F7" w:rsidP="00BD08BA">
      <w:r w:rsidRPr="008608AA">
        <w:t>Ecosystem restoration is a practice that is becoming widespread across the region. It can serve different purposes, such as climate change mitigation and adaptation, or circumvention of biodiversity loss. It can also help promote the integrity of existing protected areas and ICCAs and create biodiversity corridors. Furthermore, a meta-analysis of studies on ecological restoration of agroec</w:t>
      </w:r>
      <w:r w:rsidR="005A5FFB" w:rsidRPr="008608AA">
        <w:t>osystems (54 published papers, five</w:t>
      </w:r>
      <w:r w:rsidRPr="008608AA">
        <w:t xml:space="preserve"> in the Americas) has shown that this practice is generally effective and can enhance biodiversity and the supply of supporting and regulating </w:t>
      </w:r>
      <w:r w:rsidR="009F2AD4" w:rsidRPr="008608AA">
        <w:t>ecosystem services</w:t>
      </w:r>
      <w:r w:rsidRPr="008608AA">
        <w:t xml:space="preserve"> in agricultural landscapes (Barral et al., 2015). Another meta-analysis (Crouzeilles et al., 2016) performed on 221 landscapes worldwide (&gt;50% in the Americas) that have undergone forest restoration found that it enhances biodiversity by 15–84% and vegetation structure by 36–77%, compared with degraded ecosystems. These authors also found that the main ecological drivers of forest restoration success are the time elapsed since restoration began, disturbance type and landscape context. Therefore, success in restoration efforts can help to positively influence the status of conservation of species, habitats and ecosystems (see also Chapter 4). However, there is still a limited repertoire of studies and practical actions related to ecological restoration policy and practice (Aronson et al., 2010; Baker et al., 2013). For instance, J</w:t>
      </w:r>
      <w:r w:rsidRPr="008608AA">
        <w:rPr>
          <w:rFonts w:cs="TimesNewRomanMTStd-Italic"/>
          <w:iCs/>
        </w:rPr>
        <w:t>ø</w:t>
      </w:r>
      <w:r w:rsidRPr="008608AA">
        <w:t xml:space="preserve">rgensen et al. (2014) showed that only three out of 58 articles in restoration-related journals globally identified specific policies relevant to their research results. Nevertheless, the increasing relevance of ecosystem restoration in the international agenda - such as the CBD; Aichi </w:t>
      </w:r>
      <w:r w:rsidR="00847F60" w:rsidRPr="008608AA">
        <w:t>target</w:t>
      </w:r>
      <w:r w:rsidRPr="008608AA">
        <w:t xml:space="preserve"> 15 (J</w:t>
      </w:r>
      <w:r w:rsidRPr="008608AA">
        <w:rPr>
          <w:rFonts w:cs="TimesNewRomanMTStd-Italic"/>
          <w:iCs/>
        </w:rPr>
        <w:t>ø</w:t>
      </w:r>
      <w:r w:rsidRPr="008608AA">
        <w:t>rgensen, 2015; Murcia et al., 201</w:t>
      </w:r>
      <w:r w:rsidR="004F124C" w:rsidRPr="008608AA">
        <w:t>6</w:t>
      </w:r>
      <w:r w:rsidRPr="008608AA">
        <w:t>), or the Bonn Challenge (Liu et al., 2017) – can impact national policies. For instance, the Nationally Determined Contributions of Brazil to the Paris agreement of the United Nations Framework Convention on Climate Change (UNFCCC) is echoed by recently designed national restoration policies (Scarano, 2017).</w:t>
      </w:r>
    </w:p>
    <w:p w14:paraId="60F92FF3" w14:textId="022F2FFF" w:rsidR="009E18F7" w:rsidRPr="008608AA" w:rsidRDefault="009E18F7" w:rsidP="00BD08BA">
      <w:r w:rsidRPr="008608AA">
        <w:t xml:space="preserve">  </w:t>
      </w:r>
    </w:p>
    <w:p w14:paraId="52B1577D" w14:textId="7BF823D6" w:rsidR="009E18F7" w:rsidRPr="008608AA" w:rsidRDefault="009E18F7" w:rsidP="00BD08BA">
      <w:r w:rsidRPr="008608AA">
        <w:t>Globally, there is an apparent emphasis on restoration efforts related to forest, coastal and freshwater ecosystems as opposed to dry and semiarid ecosystems (Aronson et al., 2010; Crouzeilles et al., 2016), which is a pattern mirrored in the Americas. Aronson et al. (2010) also indicate that restoration efforts tend to be more common in high income than in low income countries. In the Americas, however, restoration is already present in national legislation and policies of several countries, such as the US</w:t>
      </w:r>
      <w:r w:rsidR="009F2AD4" w:rsidRPr="008608AA">
        <w:t>A</w:t>
      </w:r>
      <w:r w:rsidRPr="008608AA">
        <w:t xml:space="preserve"> (Baker et al., 2013; Palmer and Ruhl, 2015), Brazil, Colomb</w:t>
      </w:r>
      <w:r w:rsidR="004F124C" w:rsidRPr="008608AA">
        <w:t>ia, Ecuador (Murcia et al., 2016</w:t>
      </w:r>
      <w:r w:rsidRPr="008608AA">
        <w:t>) and Mexico (Ceccon et al., 2015). There is also a wealth of emerging bottom-up restoration initiatives, such as new international and national associations and collaborations including both practicioners and academics, in Latin America and the Caribbean (Echeverría et al., 2015).</w:t>
      </w:r>
    </w:p>
    <w:p w14:paraId="680BE30F" w14:textId="77777777" w:rsidR="009F2AD4" w:rsidRPr="008608AA" w:rsidRDefault="009F2AD4" w:rsidP="00BD08BA"/>
    <w:p w14:paraId="78764AEC" w14:textId="217C5DCD" w:rsidR="009E18F7" w:rsidRPr="008608AA" w:rsidRDefault="009E18F7" w:rsidP="00BD08BA">
      <w:pPr>
        <w:rPr>
          <w:rFonts w:cs="TimesLTStd-Bold"/>
          <w:bCs/>
        </w:rPr>
      </w:pPr>
      <w:r w:rsidRPr="008608AA">
        <w:t xml:space="preserve">There is a debate on the links between restoration science and policy, including legislation. Palmer and Ruhl (2015) argue that </w:t>
      </w:r>
      <w:r w:rsidRPr="008608AA">
        <w:rPr>
          <w:rFonts w:cs="StoneSerif-Semibold"/>
          <w:bCs/>
        </w:rPr>
        <w:t>the US</w:t>
      </w:r>
      <w:r w:rsidR="009F2AD4" w:rsidRPr="008608AA">
        <w:rPr>
          <w:rFonts w:cs="StoneSerif-Semibold"/>
          <w:bCs/>
        </w:rPr>
        <w:t>A</w:t>
      </w:r>
      <w:r w:rsidRPr="008608AA">
        <w:rPr>
          <w:rFonts w:cs="StoneSerif-Semibold"/>
          <w:bCs/>
        </w:rPr>
        <w:t xml:space="preserve"> legal system fails to distinguish between ecosystem restoration and any other type of environmental intervention, which, they argue, may imply continuation of net ecological losses</w:t>
      </w:r>
      <w:r w:rsidRPr="008608AA">
        <w:t>. However, there are relevant national policies such as the Estuary Restoration Act that created a federal interagency (the Estuary Habitat Restoration Council) that leverages resources and expertise from different agencies to help restoration practitioners, such as local and state agencies, tribes and nongovernmental organizations (Schrack et al., 2012). More recently, a policy support tool has been developed that integrates network analysis results with ecological habitat data to subsidize a socioecological restoration planning for US</w:t>
      </w:r>
      <w:r w:rsidR="009F2AD4" w:rsidRPr="008608AA">
        <w:t>A</w:t>
      </w:r>
      <w:r w:rsidR="0009057F" w:rsidRPr="008608AA">
        <w:t xml:space="preserve"> estuaries (Sayles &amp;</w:t>
      </w:r>
      <w:r w:rsidRPr="008608AA">
        <w:t xml:space="preserve"> Baggio, 2017). In Mexico, Ceccon et al. (2015) claim that despite the existence of legal instruments at a national level to regulate ecosystem restoration, there are </w:t>
      </w:r>
      <w:r w:rsidRPr="008608AA">
        <w:rPr>
          <w:rFonts w:cs="TimesLTStd-Bold"/>
          <w:bCs/>
        </w:rPr>
        <w:t xml:space="preserve">no specific instruments defining basic concepts, criteria and standards, required actions, or regulations to implement and evaluate ecological restoration. In Brazil, there was subnational legislation in the state of São Paulo that imposed high species diversity for restoration, which for many academics was a misinterpretation of the best science available (Durigan et al., 2010; Aronson et al., 2011). This eventually led to the legislation being overruled and being replaced by a new legal instrument that assesses success of restoration projects based on: ground coverage with native vegetation, density of native plants spontaneously regenerating, and number of spontaneously regenerating native species (Chaves et al., 2015). </w:t>
      </w:r>
    </w:p>
    <w:p w14:paraId="3FF40212" w14:textId="77777777" w:rsidR="009F2AD4" w:rsidRPr="008608AA" w:rsidRDefault="009F2AD4" w:rsidP="00BD08BA"/>
    <w:p w14:paraId="6D252AE1" w14:textId="77777777" w:rsidR="009E18F7" w:rsidRPr="008608AA" w:rsidRDefault="009E18F7" w:rsidP="00BD08BA">
      <w:r w:rsidRPr="008608AA">
        <w:t>Given the inherent high costs of ecosystem restoration, it can be promoted by economic incentives such as PES (Bullock et al., 2011) and/or by biodiversity-offset policies (Maron et al., 2012). These topics are discussed next (6.4.2). Clearly, however, the costs of restoring are much higher than the costs of conserving (Chapter 4). Thus, in cases where old-growth mature forest remains, such as in the Amazon, restoration of degraded areas is less of a priority than avoiding further deforestation (Fearnside, 2003). Finally,</w:t>
      </w:r>
      <w:r w:rsidRPr="008608AA">
        <w:rPr>
          <w:b/>
        </w:rPr>
        <w:t xml:space="preserve"> </w:t>
      </w:r>
      <w:r w:rsidRPr="008608AA">
        <w:t>another type of ecosystem intervention that might have regulatory backing in some cases is the control and eradication of invasive alien species, which is explored in Box 6.2.</w:t>
      </w:r>
    </w:p>
    <w:p w14:paraId="1979E18E" w14:textId="77777777" w:rsidR="009F2AD4" w:rsidRPr="008608AA" w:rsidRDefault="009F2AD4" w:rsidP="00C32AE2"/>
    <w:p w14:paraId="45EAF05A" w14:textId="4DCB7D86" w:rsidR="009E18F7" w:rsidRPr="008608AA" w:rsidRDefault="009E18F7" w:rsidP="00C32AE2">
      <w:pPr>
        <w:pStyle w:val="Heading3"/>
        <w:spacing w:before="0"/>
        <w:rPr>
          <w:lang w:val="en-US"/>
        </w:rPr>
      </w:pPr>
      <w:bookmarkStart w:id="2427" w:name="_Toc356492308"/>
      <w:bookmarkStart w:id="2428" w:name="_Toc502957766"/>
      <w:bookmarkStart w:id="2429" w:name="_Toc502957965"/>
      <w:bookmarkStart w:id="2430" w:name="_Toc502958119"/>
      <w:bookmarkStart w:id="2431" w:name="_Toc503293188"/>
      <w:bookmarkStart w:id="2432" w:name="_Toc503293786"/>
      <w:bookmarkStart w:id="2433" w:name="_Toc503294048"/>
      <w:bookmarkStart w:id="2434" w:name="_Toc503863441"/>
      <w:bookmarkStart w:id="2435" w:name="_Toc503863669"/>
      <w:bookmarkStart w:id="2436" w:name="_Toc517393443"/>
      <w:bookmarkStart w:id="2437" w:name="_Toc517719184"/>
      <w:bookmarkStart w:id="2438" w:name="_Toc517797141"/>
      <w:r w:rsidRPr="008608AA">
        <w:rPr>
          <w:lang w:val="en-US"/>
        </w:rPr>
        <w:t>Incentive mechanisms</w:t>
      </w:r>
      <w:bookmarkEnd w:id="2427"/>
      <w:bookmarkEnd w:id="2428"/>
      <w:bookmarkEnd w:id="2429"/>
      <w:bookmarkEnd w:id="2430"/>
      <w:bookmarkEnd w:id="2431"/>
      <w:bookmarkEnd w:id="2432"/>
      <w:bookmarkEnd w:id="2433"/>
      <w:bookmarkEnd w:id="2434"/>
      <w:bookmarkEnd w:id="2435"/>
      <w:bookmarkEnd w:id="2436"/>
      <w:bookmarkEnd w:id="2437"/>
      <w:bookmarkEnd w:id="2438"/>
    </w:p>
    <w:p w14:paraId="129B6A1B" w14:textId="77777777" w:rsidR="00BD08BA" w:rsidRPr="008608AA" w:rsidRDefault="00BD08BA" w:rsidP="00BD08BA">
      <w:pPr>
        <w:rPr>
          <w:lang w:eastAsia="es-CO"/>
        </w:rPr>
      </w:pPr>
    </w:p>
    <w:p w14:paraId="611374D9" w14:textId="6F423AEA" w:rsidR="009E18F7" w:rsidRPr="008608AA" w:rsidRDefault="009E18F7" w:rsidP="00C32AE2">
      <w:pPr>
        <w:pStyle w:val="Heading4"/>
        <w:spacing w:after="120" w:line="240" w:lineRule="auto"/>
        <w:ind w:left="0" w:firstLine="0"/>
        <w:rPr>
          <w:lang w:val="en-US"/>
        </w:rPr>
      </w:pPr>
      <w:bookmarkStart w:id="2439" w:name="_Toc517393444"/>
      <w:bookmarkStart w:id="2440" w:name="_Toc517719185"/>
      <w:bookmarkStart w:id="2441" w:name="_Toc517797142"/>
      <w:r w:rsidRPr="008608AA">
        <w:rPr>
          <w:lang w:val="en-US"/>
        </w:rPr>
        <w:t>Conservation incentives</w:t>
      </w:r>
      <w:bookmarkEnd w:id="2439"/>
      <w:bookmarkEnd w:id="2440"/>
      <w:bookmarkEnd w:id="2441"/>
    </w:p>
    <w:p w14:paraId="4276A5F6" w14:textId="2B5EDB4A" w:rsidR="009E18F7" w:rsidRPr="008608AA" w:rsidRDefault="009E18F7" w:rsidP="00BD08BA">
      <w:r w:rsidRPr="008608AA">
        <w:t xml:space="preserve">The global leaders’ commitments to SDG aim at a sustainable use of the oceans, seas and marine resources as well as the protection of life on land including the sustainable management of forests, and halting biodiversity loss (SDG 14 and 15) (UN, 2015b). Furthermore, there is a clear need stated in Aichi </w:t>
      </w:r>
      <w:r w:rsidR="00847F60" w:rsidRPr="008608AA">
        <w:t>target</w:t>
      </w:r>
      <w:r w:rsidRPr="008608AA">
        <w:t xml:space="preserve"> 17, related to the development, adoption and early implementation by 2015 of a policy instrument aligned with each signatory’s national biodiversity strategy and action plan (CBD/UNEP</w:t>
      </w:r>
      <w:r w:rsidR="00FD5748" w:rsidRPr="008608AA">
        <w:t>,</w:t>
      </w:r>
      <w:r w:rsidRPr="008608AA">
        <w:t xml:space="preserve"> 2010). Given the level of political uncertainty and governance changes, it is strategic to seek for additional policy instruments to fund biodiversity and ecosystem conservation and its range of benefits. This is even more important, considering the severe under-funding of protected areas and the high costs of restoration, yet evident high value provided by nature and its benefits to people.</w:t>
      </w:r>
    </w:p>
    <w:p w14:paraId="6430C379" w14:textId="77777777" w:rsidR="00A85378" w:rsidRPr="008608AA" w:rsidRDefault="00A85378" w:rsidP="00BD08BA"/>
    <w:p w14:paraId="5CC9B53E" w14:textId="3E3A49AC" w:rsidR="009E18F7" w:rsidRPr="008608AA" w:rsidRDefault="009E18F7" w:rsidP="00BD08BA">
      <w:r w:rsidRPr="008608AA">
        <w:rPr>
          <w:color w:val="000000" w:themeColor="text1"/>
        </w:rPr>
        <w:t xml:space="preserve">Conservation incentives are increasingly implemented as complementary and allegedly cost-effective means to </w:t>
      </w:r>
      <w:r w:rsidRPr="008608AA">
        <w:t>align biodiversity and ecosystem services conservation efforts with a good quality of life in the Americas and elsewhere (Magrin et al., 2014). Such incentives are an alternative to governmental command-and-control measures, are contingent upon defined environmental outcomes, and are intended to encourage the adoption of more sustainable land uses. Different from the “polluter pays” principle, which is based upon land users bearing compliance costs, conservation incentives enable mechanisms where the beneficiaries compensate the providers for the additional provision or maintenance of desired ecosystem services (</w:t>
      </w:r>
      <w:r w:rsidR="00847F60" w:rsidRPr="008608AA">
        <w:t>e.g.</w:t>
      </w:r>
      <w:r w:rsidRPr="008608AA">
        <w:t xml:space="preserve"> regulation of freshwater quantity). Examples of conservation incentives in the Americas include Payment for Ecosystem Services, REDD+, environmental certification, conservation easements, as well as sustainable finance instruments.</w:t>
      </w:r>
    </w:p>
    <w:p w14:paraId="2EB437F6" w14:textId="77777777" w:rsidR="00717109" w:rsidRPr="008608AA" w:rsidRDefault="00717109" w:rsidP="00BD08BA"/>
    <w:p w14:paraId="413AF46C" w14:textId="7B40BA91" w:rsidR="009E18F7" w:rsidRPr="008608AA" w:rsidRDefault="009E18F7" w:rsidP="00BD08BA">
      <w:r w:rsidRPr="008608AA">
        <w:rPr>
          <w:color w:val="000000" w:themeColor="text1"/>
        </w:rPr>
        <w:t>P</w:t>
      </w:r>
      <w:r w:rsidR="00717109" w:rsidRPr="008608AA">
        <w:rPr>
          <w:color w:val="000000" w:themeColor="text1"/>
        </w:rPr>
        <w:t>ayment for ecosystem services</w:t>
      </w:r>
      <w:r w:rsidRPr="008608AA">
        <w:rPr>
          <w:color w:val="000000" w:themeColor="text1"/>
        </w:rPr>
        <w:t xml:space="preserve"> schemes are one of the most common examples of conservation incentives in the Americas. The focus of a PES scheme varies according to their purpose. For example, the main focus of PES is often to support and improve ecosystem management (especially related to carbon sequestration and storage, watershed protection, landscape aesthetics, and biodiversity protection), although some PES schemes also attempt to achieve multiple goals (i.e., poverty reduction, regional development or political objectives) (Rodriguez-Osuna, 2015). PES worldwide and in the Americas primarily target water-related ecosystem services (Ezzine-de-Blas et al., 20</w:t>
      </w:r>
      <w:r w:rsidR="00717109" w:rsidRPr="008608AA">
        <w:rPr>
          <w:color w:val="000000" w:themeColor="text1"/>
        </w:rPr>
        <w:t>16). Amongst all types of PES, payments for watershed s</w:t>
      </w:r>
      <w:r w:rsidRPr="008608AA">
        <w:rPr>
          <w:color w:val="000000" w:themeColor="text1"/>
        </w:rPr>
        <w:t>ervices</w:t>
      </w:r>
      <w:r w:rsidR="00717109" w:rsidRPr="008608AA">
        <w:rPr>
          <w:color w:val="000000" w:themeColor="text1"/>
        </w:rPr>
        <w:t xml:space="preserve"> and reciprocal agreements for w</w:t>
      </w:r>
      <w:r w:rsidRPr="008608AA">
        <w:rPr>
          <w:color w:val="000000" w:themeColor="text1"/>
        </w:rPr>
        <w:t>ater</w:t>
      </w:r>
      <w:r w:rsidRPr="008608AA">
        <w:t xml:space="preserve">, known also as water funds, are becoming the most significant incentive-based tool for watershed conservation </w:t>
      </w:r>
      <w:r w:rsidRPr="008608AA">
        <w:rPr>
          <w:color w:val="000000" w:themeColor="text1"/>
        </w:rPr>
        <w:t xml:space="preserve">in Latin America (Goldman-Benner et al., 2012; Martin-Ortega et al., </w:t>
      </w:r>
      <w:r w:rsidRPr="008608AA">
        <w:t xml:space="preserve">2013; Rodriguez-Osuna, 2015; Grima et al., 2016). </w:t>
      </w:r>
    </w:p>
    <w:p w14:paraId="7D424947" w14:textId="77777777" w:rsidR="00717109" w:rsidRPr="008608AA" w:rsidRDefault="00717109" w:rsidP="00BD08BA"/>
    <w:p w14:paraId="0DBFB877" w14:textId="77777777" w:rsidR="009E18F7" w:rsidRPr="008608AA" w:rsidRDefault="009E18F7" w:rsidP="00BD08BA">
      <w:r w:rsidRPr="008608AA">
        <w:t>Grima et al. (2016) identified 40 cases of PES across Latin America and they concluded that successful PES programs have in common four features: (1) the way ecosystem services are traded (i.e., securing the continued provisioning and quality of a critical resource while positively contributing to local livelihoods); (2) spatial and time scales are more likely to succeed (local and regional schemes with a duration between 10-30 years); (3) transaction types: in-kind contributions are preferred as opposed to solely using cash payments; and (4) successful schemes tend to involve mostly private stakeholders, and no intermediaries between buyers and sellers. Other authors (Wünscher et al., 2008; Southgate et al., 2009) highlight that PES program efficiency increases (especially in the case of budget constraints) when payments reflect differences in opportunity costs, transaction and direct protection costs, all of which vary across space. Furthermore, a meta-analysis of 55 PES schemes worldwide found that there are three key factors contributing to the likelihood of a PES scheme to have environmental additionality: 1) spatial targeting of contracts focused on hotspots of high ecosystem service intensity or high threat; 2) differentiated payments that consider variable provision costs across providers; and 3) to a lower extent, the degree of conditionality which refers to the implementer´s ability to monitor and sanction non-compliance (Ezzine-de-Blas et al., 2016). However, Börner et al. (2016) on a global synthesis including various studies across the Americas showed that the effectiveness of forest conservation instruments in the same category, including incentive mechanisms, vary greatly and suggest that it is too early for generalizations about pre-requisites for success.</w:t>
      </w:r>
    </w:p>
    <w:p w14:paraId="2F6C6F09" w14:textId="6F585D6F" w:rsidR="00BD08BA" w:rsidRDefault="009E18F7" w:rsidP="00BD08BA">
      <w:pPr>
        <w:pStyle w:val="Caption"/>
        <w:rPr>
          <w:b w:val="0"/>
        </w:rPr>
      </w:pPr>
      <w:r w:rsidRPr="008608AA">
        <w:rPr>
          <w:rFonts w:eastAsia="Times New Roman"/>
          <w:b w:val="0"/>
          <w:bCs w:val="0"/>
          <w:sz w:val="24"/>
          <w:lang w:val="en-US" w:eastAsia="en-US"/>
        </w:rPr>
        <w:t>Factors that were common across PES schemes that had a low degree of success include: schemes that did not reduce pressure on ecosystems, investors were not convinced of the impact of their investments, opportunity costs were not met, local livelihoods were not improved, land tenure arrangements and power structures were weakened and showed an unfair distribution of benefits (Grima et al., 2016). Other additional factors that might negatively impact the feasibility and implementation of PES schemes are: a perceptions of commoditization of nature, schemes that are not able to achieve poverty reduction, slow or absence of trust building between service users and providers and gender and land tenure issues (Asquith et al., 2008; Balvanera et al</w:t>
      </w:r>
      <w:r w:rsidR="00C32AE2" w:rsidRPr="008608AA">
        <w:rPr>
          <w:rFonts w:eastAsia="Times New Roman"/>
          <w:b w:val="0"/>
          <w:bCs w:val="0"/>
          <w:sz w:val="24"/>
          <w:lang w:val="en-US" w:eastAsia="en-US"/>
        </w:rPr>
        <w:t>., 2012; Magrin et al.,</w:t>
      </w:r>
      <w:r w:rsidR="00C32AE2" w:rsidRPr="008608AA">
        <w:rPr>
          <w:b w:val="0"/>
        </w:rPr>
        <w:t xml:space="preserve"> 2014).</w:t>
      </w:r>
    </w:p>
    <w:p w14:paraId="2C056336" w14:textId="544444AC" w:rsidR="00400706" w:rsidRDefault="00400706" w:rsidP="00400706">
      <w:pPr>
        <w:rPr>
          <w:lang w:val="en-GB" w:eastAsia="ja-JP"/>
        </w:rPr>
      </w:pPr>
    </w:p>
    <w:p w14:paraId="5A0B505A" w14:textId="3ED51FC4" w:rsidR="00400706" w:rsidRDefault="00400706" w:rsidP="00400706">
      <w:pPr>
        <w:rPr>
          <w:lang w:val="en-GB" w:eastAsia="ja-JP"/>
        </w:rPr>
      </w:pPr>
    </w:p>
    <w:p w14:paraId="11307082" w14:textId="50EA7C65" w:rsidR="00400706" w:rsidRDefault="00400706" w:rsidP="00400706">
      <w:pPr>
        <w:rPr>
          <w:lang w:val="en-GB" w:eastAsia="ja-JP"/>
        </w:rPr>
      </w:pPr>
    </w:p>
    <w:p w14:paraId="4EB303F6" w14:textId="0C38F704" w:rsidR="00400706" w:rsidRDefault="00400706" w:rsidP="00400706">
      <w:pPr>
        <w:rPr>
          <w:lang w:val="en-GB" w:eastAsia="ja-JP"/>
        </w:rPr>
      </w:pPr>
    </w:p>
    <w:p w14:paraId="00690263" w14:textId="2719D08B" w:rsidR="00400706" w:rsidRDefault="00400706" w:rsidP="00400706">
      <w:pPr>
        <w:rPr>
          <w:lang w:val="en-GB" w:eastAsia="ja-JP"/>
        </w:rPr>
      </w:pPr>
    </w:p>
    <w:p w14:paraId="246231F9" w14:textId="6FA40928" w:rsidR="00400706" w:rsidRDefault="00400706" w:rsidP="00400706">
      <w:pPr>
        <w:rPr>
          <w:lang w:val="en-GB" w:eastAsia="ja-JP"/>
        </w:rPr>
      </w:pPr>
    </w:p>
    <w:p w14:paraId="03004037" w14:textId="0FCB6DE3" w:rsidR="00400706" w:rsidRDefault="00400706" w:rsidP="00400706">
      <w:pPr>
        <w:rPr>
          <w:lang w:val="en-GB" w:eastAsia="ja-JP"/>
        </w:rPr>
      </w:pPr>
    </w:p>
    <w:p w14:paraId="0A434CC0" w14:textId="3BC5CF78" w:rsidR="00400706" w:rsidRDefault="00400706" w:rsidP="00400706">
      <w:pPr>
        <w:rPr>
          <w:lang w:val="en-GB" w:eastAsia="ja-JP"/>
        </w:rPr>
      </w:pPr>
    </w:p>
    <w:p w14:paraId="2EB510FA" w14:textId="0D60FC05" w:rsidR="00400706" w:rsidRDefault="00400706" w:rsidP="00400706">
      <w:pPr>
        <w:rPr>
          <w:lang w:val="en-GB" w:eastAsia="ja-JP"/>
        </w:rPr>
      </w:pPr>
    </w:p>
    <w:p w14:paraId="5CB11099" w14:textId="5ECA508E" w:rsidR="00400706" w:rsidRDefault="00400706" w:rsidP="00400706">
      <w:pPr>
        <w:rPr>
          <w:lang w:val="en-GB" w:eastAsia="ja-JP"/>
        </w:rPr>
      </w:pPr>
    </w:p>
    <w:p w14:paraId="12813B3E" w14:textId="2556F847" w:rsidR="00400706" w:rsidRDefault="00400706" w:rsidP="00400706">
      <w:pPr>
        <w:rPr>
          <w:lang w:val="en-GB" w:eastAsia="ja-JP"/>
        </w:rPr>
      </w:pPr>
    </w:p>
    <w:p w14:paraId="147F7843" w14:textId="4844288A" w:rsidR="00400706" w:rsidRDefault="00400706" w:rsidP="00400706">
      <w:pPr>
        <w:rPr>
          <w:lang w:val="en-GB" w:eastAsia="ja-JP"/>
        </w:rPr>
      </w:pPr>
    </w:p>
    <w:p w14:paraId="79D40867" w14:textId="6FF6F4F1" w:rsidR="00400706" w:rsidRDefault="00400706" w:rsidP="00400706">
      <w:pPr>
        <w:rPr>
          <w:lang w:val="en-GB" w:eastAsia="ja-JP"/>
        </w:rPr>
      </w:pPr>
    </w:p>
    <w:p w14:paraId="701FB503" w14:textId="253ECA29" w:rsidR="00400706" w:rsidRDefault="00400706" w:rsidP="00400706">
      <w:pPr>
        <w:rPr>
          <w:lang w:val="en-GB" w:eastAsia="ja-JP"/>
        </w:rPr>
      </w:pPr>
    </w:p>
    <w:p w14:paraId="74DE441C" w14:textId="77777777" w:rsidR="00400706" w:rsidRPr="00400706" w:rsidRDefault="00400706" w:rsidP="00400706">
      <w:pPr>
        <w:rPr>
          <w:lang w:val="en-GB" w:eastAsia="ja-JP"/>
        </w:rPr>
      </w:pPr>
    </w:p>
    <w:p w14:paraId="36A93947" w14:textId="61C7DD23" w:rsidR="00C32AE2" w:rsidRPr="008608AA" w:rsidRDefault="00C32AE2" w:rsidP="00BD08BA">
      <w:pPr>
        <w:pStyle w:val="Caption"/>
        <w:rPr>
          <w:sz w:val="24"/>
          <w:lang w:val="en-US"/>
        </w:rPr>
      </w:pPr>
      <w:r w:rsidRPr="008608AA">
        <w:t xml:space="preserve"> </w:t>
      </w:r>
      <w:r w:rsidR="00BD08BA"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6</w:t>
      </w:r>
      <w:r w:rsidR="000E562E">
        <w:rPr>
          <w:noProof/>
        </w:rPr>
        <w:fldChar w:fldCharType="end"/>
      </w:r>
      <w:r w:rsidR="00BD08BA"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2</w:t>
      </w:r>
      <w:r w:rsidR="000E562E">
        <w:rPr>
          <w:noProof/>
        </w:rPr>
        <w:fldChar w:fldCharType="end"/>
      </w:r>
      <w:r w:rsidR="00BD08BA" w:rsidRPr="008608AA">
        <w:t>.</w:t>
      </w:r>
      <w:r w:rsidRPr="008608AA">
        <w:rPr>
          <w:sz w:val="20"/>
          <w:szCs w:val="20"/>
          <w:lang w:val="en-US"/>
        </w:rPr>
        <w:t xml:space="preserve"> </w:t>
      </w:r>
      <w:r w:rsidRPr="008608AA">
        <w:t>Control and eradication of invasive alien species</w:t>
      </w:r>
    </w:p>
    <w:tbl>
      <w:tblPr>
        <w:tblStyle w:val="TableGrid"/>
        <w:tblW w:w="5000" w:type="pct"/>
        <w:tblLook w:val="04A0" w:firstRow="1" w:lastRow="0" w:firstColumn="1" w:lastColumn="0" w:noHBand="0" w:noVBand="1"/>
      </w:tblPr>
      <w:tblGrid>
        <w:gridCol w:w="9487"/>
      </w:tblGrid>
      <w:tr w:rsidR="009E18F7" w:rsidRPr="00400706" w14:paraId="47FA5865" w14:textId="77777777" w:rsidTr="00686508">
        <w:tc>
          <w:tcPr>
            <w:tcW w:w="5000" w:type="pct"/>
          </w:tcPr>
          <w:p w14:paraId="5BD3204C" w14:textId="5BC3BFFB" w:rsidR="009E18F7" w:rsidRPr="00400706" w:rsidRDefault="009E18F7" w:rsidP="00C32AE2">
            <w:pPr>
              <w:spacing w:after="120"/>
              <w:rPr>
                <w:rFonts w:cs="Lucida Sans Unicode"/>
                <w:sz w:val="20"/>
                <w:szCs w:val="20"/>
                <w:shd w:val="clear" w:color="auto" w:fill="FFFFFF"/>
              </w:rPr>
            </w:pPr>
            <w:r w:rsidRPr="00400706">
              <w:rPr>
                <w:rFonts w:cs="Lucida Sans Unicode"/>
                <w:sz w:val="20"/>
                <w:szCs w:val="20"/>
                <w:shd w:val="clear" w:color="auto" w:fill="FFFFFF"/>
              </w:rPr>
              <w:t xml:space="preserve">At the international level, the eradication of invasive alien species is one of the priority targets for the CBD’s Aichi </w:t>
            </w:r>
            <w:r w:rsidR="00847F60" w:rsidRPr="00400706">
              <w:rPr>
                <w:rFonts w:cs="Lucida Sans Unicode"/>
                <w:sz w:val="20"/>
                <w:szCs w:val="20"/>
                <w:shd w:val="clear" w:color="auto" w:fill="FFFFFF"/>
              </w:rPr>
              <w:t>target</w:t>
            </w:r>
            <w:r w:rsidRPr="00400706">
              <w:rPr>
                <w:rFonts w:cs="Lucida Sans Unicode"/>
                <w:sz w:val="20"/>
                <w:szCs w:val="20"/>
                <w:shd w:val="clear" w:color="auto" w:fill="FFFFFF"/>
              </w:rPr>
              <w:t xml:space="preserve">s. Invasive alien species </w:t>
            </w:r>
            <w:r w:rsidRPr="00400706">
              <w:rPr>
                <w:sz w:val="20"/>
                <w:szCs w:val="20"/>
              </w:rPr>
              <w:t xml:space="preserve">are the second greatest agent of species endangerment and extinction after </w:t>
            </w:r>
            <w:r w:rsidR="0023266C" w:rsidRPr="00400706">
              <w:rPr>
                <w:sz w:val="20"/>
                <w:szCs w:val="20"/>
              </w:rPr>
              <w:t>habitat destruction (Pejchar &amp;</w:t>
            </w:r>
            <w:r w:rsidRPr="00400706">
              <w:rPr>
                <w:sz w:val="20"/>
                <w:szCs w:val="20"/>
              </w:rPr>
              <w:t xml:space="preserve"> Mooney, 2009; see also Chapters 3 and 4), and drive economic setbacks. </w:t>
            </w:r>
            <w:r w:rsidRPr="00400706">
              <w:rPr>
                <w:rFonts w:cs="Lucida Sans Unicode"/>
                <w:sz w:val="20"/>
                <w:szCs w:val="20"/>
                <w:shd w:val="clear" w:color="auto" w:fill="FFFFFF"/>
              </w:rPr>
              <w:t>Indeed, this is a true international issue, since historically and up to this day, many species invasions are brought about by an indirect effect of trade or economic flows between countries and regions (Liu et al., 2013). Therefore, regarding coordination across jurisdictio</w:t>
            </w:r>
            <w:r w:rsidR="00717109" w:rsidRPr="00400706">
              <w:rPr>
                <w:rFonts w:cs="Lucida Sans Unicode"/>
                <w:sz w:val="20"/>
                <w:szCs w:val="20"/>
                <w:shd w:val="clear" w:color="auto" w:fill="FFFFFF"/>
              </w:rPr>
              <w:t>nal boundaries, one of the CBD guiding p</w:t>
            </w:r>
            <w:r w:rsidRPr="00400706">
              <w:rPr>
                <w:rFonts w:cs="Lucida Sans Unicode"/>
                <w:sz w:val="20"/>
                <w:szCs w:val="20"/>
                <w:shd w:val="clear" w:color="auto" w:fill="FFFFFF"/>
              </w:rPr>
              <w:t>rinciples on invasive alien</w:t>
            </w:r>
            <w:r w:rsidR="00717109" w:rsidRPr="00400706">
              <w:rPr>
                <w:rFonts w:cs="Lucida Sans Unicode"/>
                <w:sz w:val="20"/>
                <w:szCs w:val="20"/>
                <w:shd w:val="clear" w:color="auto" w:fill="FFFFFF"/>
              </w:rPr>
              <w:t xml:space="preserve"> species is c</w:t>
            </w:r>
            <w:r w:rsidRPr="00400706">
              <w:rPr>
                <w:rFonts w:cs="Lucida Sans Unicode"/>
                <w:sz w:val="20"/>
                <w:szCs w:val="20"/>
                <w:shd w:val="clear" w:color="auto" w:fill="FFFFFF"/>
              </w:rPr>
              <w:t>ooperation (</w:t>
            </w:r>
            <w:hyperlink r:id="rId1068" w:history="1">
              <w:r w:rsidRPr="00400706">
                <w:rPr>
                  <w:rStyle w:val="Hyperlink"/>
                  <w:rFonts w:cs="Lucida Sans Unicode"/>
                  <w:sz w:val="20"/>
                  <w:szCs w:val="20"/>
                  <w:shd w:val="clear" w:color="auto" w:fill="FFFFFF"/>
                </w:rPr>
                <w:t>https://www.cbd.int/decision/cop/?id=7197</w:t>
              </w:r>
            </w:hyperlink>
            <w:r w:rsidRPr="00400706">
              <w:rPr>
                <w:rFonts w:cs="Lucida Sans Unicode"/>
                <w:sz w:val="20"/>
                <w:szCs w:val="20"/>
                <w:shd w:val="clear" w:color="auto" w:fill="FFFFFF"/>
              </w:rPr>
              <w:t>), which suggests efforts related to information sharing and agreements (including on trade) between countries.</w:t>
            </w:r>
          </w:p>
          <w:p w14:paraId="635B7694" w14:textId="52E23F86" w:rsidR="009E18F7" w:rsidRPr="00400706" w:rsidRDefault="009E18F7" w:rsidP="00C32AE2">
            <w:pPr>
              <w:spacing w:after="120"/>
              <w:rPr>
                <w:sz w:val="20"/>
                <w:szCs w:val="20"/>
              </w:rPr>
            </w:pPr>
            <w:r w:rsidRPr="00400706">
              <w:rPr>
                <w:rFonts w:cs="Lucida Sans Unicode"/>
                <w:sz w:val="20"/>
                <w:szCs w:val="20"/>
                <w:shd w:val="clear" w:color="auto" w:fill="FFFFFF"/>
              </w:rPr>
              <w:t>However, solutions are on most occasions addressed at the local level, where the impacts are most felt. For instance, in the US</w:t>
            </w:r>
            <w:r w:rsidR="00717109" w:rsidRPr="00400706">
              <w:rPr>
                <w:rFonts w:cs="Lucida Sans Unicode"/>
                <w:sz w:val="20"/>
                <w:szCs w:val="20"/>
                <w:shd w:val="clear" w:color="auto" w:fill="FFFFFF"/>
              </w:rPr>
              <w:t>A</w:t>
            </w:r>
            <w:r w:rsidRPr="00400706">
              <w:rPr>
                <w:rFonts w:cs="Lucida Sans Unicode"/>
                <w:sz w:val="20"/>
                <w:szCs w:val="20"/>
                <w:shd w:val="clear" w:color="auto" w:fill="FFFFFF"/>
              </w:rPr>
              <w:t>, where many national and sub-national policies and research regarding invasive alien species are in place (</w:t>
            </w:r>
            <w:r w:rsidR="00847F60" w:rsidRPr="00400706">
              <w:rPr>
                <w:rFonts w:cs="Lucida Sans Unicode"/>
                <w:sz w:val="20"/>
                <w:szCs w:val="20"/>
                <w:shd w:val="clear" w:color="auto" w:fill="FFFFFF"/>
              </w:rPr>
              <w:t>e.g.</w:t>
            </w:r>
            <w:r w:rsidRPr="00400706">
              <w:rPr>
                <w:rFonts w:cs="Lucida Sans Unicode"/>
                <w:sz w:val="20"/>
                <w:szCs w:val="20"/>
                <w:shd w:val="clear" w:color="auto" w:fill="FFFFFF"/>
              </w:rPr>
              <w:t xml:space="preserve"> Crowl e</w:t>
            </w:r>
            <w:r w:rsidR="0023266C" w:rsidRPr="00400706">
              <w:rPr>
                <w:rFonts w:cs="Lucida Sans Unicode"/>
                <w:sz w:val="20"/>
                <w:szCs w:val="20"/>
                <w:shd w:val="clear" w:color="auto" w:fill="FFFFFF"/>
              </w:rPr>
              <w:t>t al., 2008; García-de-Lomas &amp;</w:t>
            </w:r>
            <w:r w:rsidRPr="00400706">
              <w:rPr>
                <w:rFonts w:cs="Lucida Sans Unicode"/>
                <w:sz w:val="20"/>
                <w:szCs w:val="20"/>
                <w:shd w:val="clear" w:color="auto" w:fill="FFFFFF"/>
              </w:rPr>
              <w:t xml:space="preserve"> Vilá, 2015), </w:t>
            </w:r>
            <w:r w:rsidRPr="00400706">
              <w:rPr>
                <w:rFonts w:cs="TimesTen-Roman"/>
                <w:sz w:val="20"/>
                <w:szCs w:val="20"/>
              </w:rPr>
              <w:t>there is evidence showing that even small amounts of cooperation to control bioinvasions between neighboring individuals or groups can provide large social benefits. Therefore, coordination among managers across jurisdictional boundaries can have profound effects on the outcomes of invasive alien specie</w:t>
            </w:r>
            <w:r w:rsidR="0023266C" w:rsidRPr="00400706">
              <w:rPr>
                <w:rFonts w:cs="TimesTen-Roman"/>
                <w:sz w:val="20"/>
                <w:szCs w:val="20"/>
              </w:rPr>
              <w:t>s management (Epanchin-Niell &amp;</w:t>
            </w:r>
            <w:r w:rsidRPr="00400706">
              <w:rPr>
                <w:rFonts w:cs="TimesTen-Roman"/>
                <w:sz w:val="20"/>
                <w:szCs w:val="20"/>
              </w:rPr>
              <w:t xml:space="preserve"> Wilen, 2014). This conclusion also applies to transboundary multinational relations. </w:t>
            </w:r>
            <w:r w:rsidRPr="00400706">
              <w:rPr>
                <w:rFonts w:cs="Lucida Sans Unicode"/>
                <w:sz w:val="20"/>
                <w:szCs w:val="20"/>
                <w:shd w:val="clear" w:color="auto" w:fill="FFFFFF"/>
              </w:rPr>
              <w:t>For instance, in the region, North America has several mechanisms of collaboration</w:t>
            </w:r>
            <w:r w:rsidR="00717109" w:rsidRPr="00400706">
              <w:rPr>
                <w:rFonts w:cs="Lucida Sans Unicode"/>
                <w:sz w:val="20"/>
                <w:szCs w:val="20"/>
                <w:shd w:val="clear" w:color="auto" w:fill="FFFFFF"/>
              </w:rPr>
              <w:t xml:space="preserve"> between countries (Canada, USA</w:t>
            </w:r>
            <w:r w:rsidRPr="00400706">
              <w:rPr>
                <w:rFonts w:cs="Lucida Sans Unicode"/>
                <w:sz w:val="20"/>
                <w:szCs w:val="20"/>
                <w:shd w:val="clear" w:color="auto" w:fill="FFFFFF"/>
              </w:rPr>
              <w:t>, and Mexico), such as the North American Plant Protection Organization (</w:t>
            </w:r>
            <w:hyperlink r:id="rId1069" w:history="1">
              <w:r w:rsidRPr="00400706">
                <w:rPr>
                  <w:rStyle w:val="Hyperlink"/>
                  <w:rFonts w:cs="Lucida Sans Unicode"/>
                  <w:sz w:val="20"/>
                  <w:szCs w:val="20"/>
                  <w:shd w:val="clear" w:color="auto" w:fill="FFFFFF"/>
                </w:rPr>
                <w:t>http://www.nappo.org/</w:t>
              </w:r>
            </w:hyperlink>
            <w:r w:rsidRPr="00400706">
              <w:rPr>
                <w:rFonts w:cs="Lucida Sans Unicode"/>
                <w:sz w:val="20"/>
                <w:szCs w:val="20"/>
                <w:shd w:val="clear" w:color="auto" w:fill="FFFFFF"/>
              </w:rPr>
              <w:t xml:space="preserve">; under the International Plant Protection Convention): the Forest Insects &amp; Disease and Invasive Plants Working Group of the North American Forestry Commission (under the umbrella of the FAO;  </w:t>
            </w:r>
            <w:hyperlink r:id="rId1070" w:history="1">
              <w:r w:rsidRPr="00400706">
                <w:rPr>
                  <w:rStyle w:val="Hyperlink"/>
                  <w:rFonts w:cs="Lucida Sans Unicode"/>
                  <w:sz w:val="20"/>
                  <w:szCs w:val="20"/>
                  <w:shd w:val="clear" w:color="auto" w:fill="FFFFFF"/>
                </w:rPr>
                <w:t>http://www.fs.fed.us/</w:t>
              </w:r>
            </w:hyperlink>
            <w:r w:rsidRPr="00400706">
              <w:rPr>
                <w:rFonts w:cs="Lucida Sans Unicode"/>
                <w:color w:val="002060"/>
                <w:sz w:val="20"/>
                <w:szCs w:val="20"/>
                <w:u w:val="single"/>
                <w:shd w:val="clear" w:color="auto" w:fill="FFFFFF"/>
              </w:rPr>
              <w:t>global/nafc/insects/ aboutus.htm</w:t>
            </w:r>
            <w:r w:rsidRPr="00400706">
              <w:rPr>
                <w:rFonts w:cs="Lucida Sans Unicode"/>
                <w:color w:val="002060"/>
                <w:sz w:val="20"/>
                <w:szCs w:val="20"/>
                <w:shd w:val="clear" w:color="auto" w:fill="FFFFFF"/>
              </w:rPr>
              <w:t xml:space="preserve">) </w:t>
            </w:r>
            <w:r w:rsidRPr="00400706">
              <w:rPr>
                <w:rFonts w:cs="Lucida Sans Unicode"/>
                <w:sz w:val="20"/>
                <w:szCs w:val="20"/>
                <w:shd w:val="clear" w:color="auto" w:fill="FFFFFF"/>
              </w:rPr>
              <w:t>and the North American Invasive Species Network (</w:t>
            </w:r>
            <w:hyperlink r:id="rId1071" w:history="1">
              <w:r w:rsidRPr="00400706">
                <w:rPr>
                  <w:rStyle w:val="Hyperlink"/>
                  <w:rFonts w:cs="Lucida Sans Unicode"/>
                  <w:sz w:val="20"/>
                  <w:szCs w:val="20"/>
                  <w:shd w:val="clear" w:color="auto" w:fill="FFFFFF"/>
                </w:rPr>
                <w:t>http://www.naisn.org/</w:t>
              </w:r>
            </w:hyperlink>
            <w:r w:rsidRPr="00400706">
              <w:rPr>
                <w:rFonts w:cs="Lucida Sans Unicode"/>
                <w:sz w:val="20"/>
                <w:szCs w:val="20"/>
                <w:shd w:val="clear" w:color="auto" w:fill="FFFFFF"/>
              </w:rPr>
              <w:t xml:space="preserve">). </w:t>
            </w:r>
            <w:r w:rsidRPr="00400706">
              <w:rPr>
                <w:rFonts w:cs="TimesTen-Roman"/>
                <w:sz w:val="20"/>
                <w:szCs w:val="20"/>
              </w:rPr>
              <w:t xml:space="preserve">Fonseca et al. (2013) </w:t>
            </w:r>
            <w:r w:rsidRPr="00400706">
              <w:rPr>
                <w:sz w:val="20"/>
                <w:szCs w:val="20"/>
              </w:rPr>
              <w:t>describe a tri-national initiative created to face the challenge of the invasive alien species associated with the South American Pampas, a grassland vegetation type that covers parts of southern Brazil, Argentina and the whole of Uruguay. They suggest that regional legislation to manage invasive alien species should be designed. At present, however, in the case of Latin America, national invasive alien species policies (Speziale et al., 2012) and research (Gardener et al., 2012) are less well developed. Existing national policies mainly deal with alien species threatening productive systems (Speziale et al., 2012).</w:t>
            </w:r>
          </w:p>
          <w:p w14:paraId="3D6216A5" w14:textId="70E4E267" w:rsidR="009E18F7" w:rsidRPr="00400706" w:rsidRDefault="009E18F7" w:rsidP="00C32AE2">
            <w:pPr>
              <w:spacing w:after="120"/>
              <w:rPr>
                <w:rFonts w:cs="Helvetica"/>
                <w:sz w:val="20"/>
                <w:szCs w:val="20"/>
              </w:rPr>
            </w:pPr>
            <w:r w:rsidRPr="00400706">
              <w:rPr>
                <w:rFonts w:cs="Lucida Sans Unicode"/>
                <w:sz w:val="20"/>
                <w:szCs w:val="20"/>
                <w:shd w:val="clear" w:color="auto" w:fill="FFFFFF"/>
              </w:rPr>
              <w:t>The harmful effects of invasive alien species can be particularly serious in islands (</w:t>
            </w:r>
            <w:r w:rsidRPr="00400706">
              <w:rPr>
                <w:rFonts w:cs="AdvTT4e89fb21"/>
                <w:sz w:val="20"/>
                <w:szCs w:val="20"/>
              </w:rPr>
              <w:t xml:space="preserve">Simberloff, 2011), and are a concern in the Caribbean. Since the beginning of this decade, </w:t>
            </w:r>
            <w:r w:rsidR="00DD0C0C" w:rsidRPr="00400706">
              <w:rPr>
                <w:rFonts w:cs="AdvTT4e89fb21"/>
                <w:sz w:val="20"/>
                <w:szCs w:val="20"/>
              </w:rPr>
              <w:t xml:space="preserve">The </w:t>
            </w:r>
            <w:r w:rsidRPr="00400706">
              <w:rPr>
                <w:rFonts w:cs="Helvetica"/>
                <w:sz w:val="20"/>
                <w:szCs w:val="20"/>
              </w:rPr>
              <w:t>Bahamas, Dominican Republic, Jamaica, Saint Lucia and Trinidad and Tobago either revised or started developing national invasive alien species strategies, as well as regional invasive alien species strategies for freshwater, marine and terrestrial ecosystems. Challenges to success include shortage of scientific data, trained personnel and public awareness, insufficient coordination and collaboration, ease of introduction and movement of invasive alien species and inadequate quarantine facilities, and inadequate funding (GEF/UNEP/CABI, 2011). In Cuba, invasive alien species is dealt with by policies such as the National Environmental Strategy, the National Biodiversity Strategy,</w:t>
            </w:r>
            <w:r w:rsidRPr="00400706">
              <w:rPr>
                <w:sz w:val="20"/>
                <w:szCs w:val="20"/>
              </w:rPr>
              <w:t xml:space="preserve"> the Environmental Regulation System, and the Biosafety Regulations System. Since 2012-2013, a specific National Strategy has been developed and launched, which produced risk assessments and the elaboration of a List of Harmful Alien Species. In other Caribbean countries, invasive alien species prevention control, management and eradication has often been related to National Biodiversity Strategies and Actions Plans (NBSAPs) within the realm of the CBD. Finally, the Caribbean has </w:t>
            </w:r>
            <w:r w:rsidRPr="00400706">
              <w:rPr>
                <w:rFonts w:cs="Helvetica"/>
                <w:sz w:val="20"/>
                <w:szCs w:val="20"/>
              </w:rPr>
              <w:t xml:space="preserve">launched </w:t>
            </w:r>
            <w:r w:rsidRPr="00400706">
              <w:rPr>
                <w:sz w:val="20"/>
                <w:szCs w:val="20"/>
              </w:rPr>
              <w:t xml:space="preserve">a regional initiative </w:t>
            </w:r>
            <w:r w:rsidRPr="00400706">
              <w:rPr>
                <w:rFonts w:cs="Helvetica"/>
                <w:sz w:val="20"/>
                <w:szCs w:val="20"/>
              </w:rPr>
              <w:t>in 2012-2013:</w:t>
            </w:r>
            <w:r w:rsidRPr="00400706">
              <w:rPr>
                <w:sz w:val="20"/>
                <w:szCs w:val="20"/>
              </w:rPr>
              <w:t xml:space="preserve"> </w:t>
            </w:r>
            <w:r w:rsidRPr="00400706">
              <w:rPr>
                <w:rFonts w:cs="Helvetica"/>
                <w:sz w:val="20"/>
                <w:szCs w:val="20"/>
              </w:rPr>
              <w:t>The Regional Strategy for the Control of Invasive Lionfish in the Wider Caribbean. It has a broad participation from countries (including US</w:t>
            </w:r>
            <w:r w:rsidR="00717109" w:rsidRPr="00400706">
              <w:rPr>
                <w:rFonts w:cs="Helvetica"/>
                <w:sz w:val="20"/>
                <w:szCs w:val="20"/>
              </w:rPr>
              <w:t>A</w:t>
            </w:r>
            <w:r w:rsidRPr="00400706">
              <w:rPr>
                <w:rFonts w:cs="Helvetica"/>
                <w:sz w:val="20"/>
                <w:szCs w:val="20"/>
              </w:rPr>
              <w:t xml:space="preserve"> and Mexico), specialists and regional institutions, under the umbrella of </w:t>
            </w:r>
            <w:r w:rsidRPr="00400706">
              <w:rPr>
                <w:sz w:val="20"/>
                <w:szCs w:val="20"/>
              </w:rPr>
              <w:t xml:space="preserve">the </w:t>
            </w:r>
            <w:r w:rsidRPr="00400706">
              <w:rPr>
                <w:rFonts w:cs="Helvetica"/>
                <w:sz w:val="20"/>
                <w:szCs w:val="20"/>
              </w:rPr>
              <w:t>International Coral Reef Initiative. Collaboration on expertise exchange, integration of monitoring and legal alignment between countries increase effectiveness of this collaboration (Gómez Lozano et al., 2013).</w:t>
            </w:r>
          </w:p>
          <w:p w14:paraId="104F2991" w14:textId="77777777" w:rsidR="009E18F7" w:rsidRPr="00400706" w:rsidRDefault="009E18F7" w:rsidP="00C32AE2">
            <w:pPr>
              <w:spacing w:after="120"/>
              <w:rPr>
                <w:sz w:val="20"/>
                <w:szCs w:val="20"/>
              </w:rPr>
            </w:pPr>
            <w:r w:rsidRPr="00400706">
              <w:rPr>
                <w:rFonts w:cs="Helvetica"/>
                <w:sz w:val="20"/>
                <w:szCs w:val="20"/>
              </w:rPr>
              <w:t xml:space="preserve">A review of 190 publications on invasions by introduced mammals in southern South America forwarded a set of recommendations that are applicable to all invasive alien species (Ballari et al., 2016): to </w:t>
            </w:r>
            <w:r w:rsidRPr="00400706">
              <w:rPr>
                <w:sz w:val="20"/>
                <w:szCs w:val="20"/>
              </w:rPr>
              <w:t>recognise the presence and spread of these species in pristine or protected areas; to improve controls to prevent new introductions and escapes; to include social and cultural aspects of biological invasions in research and management plans; to establish long-term programmes to monitor distribution and dispersion; to achieve societal involvement in management programmes to ensure public acceptance; and to develop prioritisation tools.</w:t>
            </w:r>
          </w:p>
        </w:tc>
      </w:tr>
    </w:tbl>
    <w:p w14:paraId="1D1D95D8" w14:textId="6CA3DBAD" w:rsidR="009E18F7" w:rsidRPr="008608AA" w:rsidRDefault="009E18F7" w:rsidP="00BD08BA">
      <w:pPr>
        <w:spacing w:before="240"/>
        <w:rPr>
          <w:shd w:val="clear" w:color="auto" w:fill="FFFFFF"/>
        </w:rPr>
      </w:pPr>
      <w:r w:rsidRPr="008608AA">
        <w:t>In Latin America, PES schemes are mostly publicly funded (65%) while the rest are private commercial and private non-commercial initiatives. North America shows a higher frequency of publicly funded PES (70%) (Ezzine-de-Blas et al., 2016). For example, payments made to preserve upstate New York watersheds that supply New York City with its wat</w:t>
      </w:r>
      <w:r w:rsidR="00717109" w:rsidRPr="008608AA">
        <w:t xml:space="preserve">er, while seemingly costly at </w:t>
      </w:r>
      <w:r w:rsidRPr="008608AA">
        <w:t>$1-1.5 billion, ar</w:t>
      </w:r>
      <w:r w:rsidR="006621DC" w:rsidRPr="008608AA">
        <w:t xml:space="preserve">e substantially less than the </w:t>
      </w:r>
      <w:r w:rsidRPr="008608AA">
        <w:t>$6-8 billion needed to construct an additional f</w:t>
      </w:r>
      <w:r w:rsidR="00717109" w:rsidRPr="008608AA">
        <w:t>iltration plant plus another $</w:t>
      </w:r>
      <w:r w:rsidRPr="008608AA">
        <w:t>300-500 million in annual operating costs (Hanson et al., 2011). Another example is the so-called “</w:t>
      </w:r>
      <w:r w:rsidR="00717109" w:rsidRPr="008608AA">
        <w:t>Swampbuster program” of the USA</w:t>
      </w:r>
      <w:r w:rsidRPr="008608AA">
        <w:t xml:space="preserve"> (</w:t>
      </w:r>
      <w:r w:rsidRPr="008608AA">
        <w:rPr>
          <w:shd w:val="clear" w:color="auto" w:fill="FFFFFF"/>
        </w:rPr>
        <w:t>Highly Erodible Land Conservation and Wetland Conservation Compliance Provisions) that financially incentivizes farmers</w:t>
      </w:r>
      <w:r w:rsidR="0023266C" w:rsidRPr="008608AA">
        <w:rPr>
          <w:shd w:val="clear" w:color="auto" w:fill="FFFFFF"/>
        </w:rPr>
        <w:t xml:space="preserve"> to conserve wetlands (Geyer &amp;</w:t>
      </w:r>
      <w:r w:rsidRPr="008608AA">
        <w:rPr>
          <w:shd w:val="clear" w:color="auto" w:fill="FFFFFF"/>
        </w:rPr>
        <w:t xml:space="preserve"> Lawler, 2016).</w:t>
      </w:r>
    </w:p>
    <w:p w14:paraId="76302C28" w14:textId="77777777" w:rsidR="006621DC" w:rsidRPr="008608AA" w:rsidRDefault="006621DC" w:rsidP="00BD08BA"/>
    <w:p w14:paraId="7F231464" w14:textId="1892F472" w:rsidR="006621DC" w:rsidRPr="008608AA" w:rsidRDefault="009E18F7" w:rsidP="00BD08BA">
      <w:pPr>
        <w:rPr>
          <w:rFonts w:cs="FrutigerLTPro-Condensed"/>
        </w:rPr>
      </w:pPr>
      <w:r w:rsidRPr="008608AA">
        <w:t xml:space="preserve">Examples of publicly funded national schemes that launched PES are Mexico and Costa Rica. </w:t>
      </w:r>
      <w:r w:rsidRPr="008608AA">
        <w:rPr>
          <w:rFonts w:cs="FrutigerLTPro-Condensed"/>
        </w:rPr>
        <w:t xml:space="preserve">Since 2003, Mexico implements a federal PES program remunerating communities for forest conservation (now called PRONAFOR) that represents a significant additionality (12-15% of forested area protected) to conservation (Costedoat et al., 2015; LeVelly et al., 2015). </w:t>
      </w:r>
      <w:r w:rsidRPr="008608AA">
        <w:t xml:space="preserve">Since 1997, Costa Rica’s National Fund for Forest Financing has provided incentives for farms that provide upstream watershed protection, and also for carbon sequestration, biodiversity conservation and landscape aesthetic features. The major source of funds for Costa Rica’s PES is a national tax on fossil </w:t>
      </w:r>
      <w:r w:rsidR="0023266C" w:rsidRPr="008608AA">
        <w:t>fuel utilization (Montagnini &amp;</w:t>
      </w:r>
      <w:r w:rsidRPr="008608AA">
        <w:t xml:space="preserve"> Finney, 2011). Guatemala, with its Program of Forest Incentives, benefited 4,171 beneficiaries who planted 94,151 ha of forest and put 155,790 ha of natural forest under protection by 2009 (INE, 2011). Ecuador launched </w:t>
      </w:r>
      <w:r w:rsidRPr="008608AA">
        <w:rPr>
          <w:i/>
        </w:rPr>
        <w:t>Socio-Bosque</w:t>
      </w:r>
      <w:r w:rsidRPr="008608AA">
        <w:t xml:space="preserve"> in 2008 and by 2010 the program already incl</w:t>
      </w:r>
      <w:r w:rsidR="006621DC" w:rsidRPr="008608AA">
        <w:t>uded more than half a million hectares</w:t>
      </w:r>
      <w:r w:rsidRPr="008608AA">
        <w:t xml:space="preserve"> of natural ecosystems protected with more than 60,000 beneficiaries (De Koning et al., 2011). </w:t>
      </w:r>
      <w:r w:rsidRPr="008608AA">
        <w:rPr>
          <w:rFonts w:cs="FrutigerLTPro-Condensed"/>
        </w:rPr>
        <w:t>In Trinidad and Tobago, the Green Fund (established by law in 2004 by a national environmental fund) provides incentives for local communities and other non-business entities to undertake projects and programs that focus on: reforestation, restoration, conservation and education (UNEP, 2012). Peru has a program called “Conditioned Direct Transfers” that incentivizes sustainable production in the Amazon region, currently benefitting 57 native communities. Since 2014, Peru has also had a national law called “Compensation Mechanism for Ecosystem Services”, which promotes voluntary agreements for water, carbon and biodiversity conservation.</w:t>
      </w:r>
    </w:p>
    <w:p w14:paraId="130A418F" w14:textId="7FD243D3" w:rsidR="009E18F7" w:rsidRPr="008608AA" w:rsidRDefault="009E18F7" w:rsidP="00BD08BA">
      <w:r w:rsidRPr="008608AA">
        <w:rPr>
          <w:rFonts w:cs="FrutigerLTPro-Condensed"/>
        </w:rPr>
        <w:t xml:space="preserve"> </w:t>
      </w:r>
    </w:p>
    <w:p w14:paraId="7BA8FC11" w14:textId="77777777" w:rsidR="006621DC" w:rsidRPr="008608AA" w:rsidRDefault="009E18F7" w:rsidP="00BD08BA">
      <w:pPr>
        <w:rPr>
          <w:rFonts w:cs="Times"/>
        </w:rPr>
      </w:pPr>
      <w:r w:rsidRPr="008608AA">
        <w:rPr>
          <w:rStyle w:val="Strong"/>
          <w:rFonts w:cs="Arial"/>
          <w:b w:val="0"/>
        </w:rPr>
        <w:t>Regional initiatives include Watershared (launched in 2015), which involves more than 125 local governments across the Andes of Bolivia, Peru, Ecuador and Colombia and uses reciprocal water agreements to preserve forests and to get downstream water users support upstream forest owners. This initiative includes 2</w:t>
      </w:r>
      <w:r w:rsidRPr="008608AA">
        <w:rPr>
          <w:rFonts w:cs="Times"/>
        </w:rPr>
        <w:t>00,000-signed agreements benefiting around 4,000 families that conserve 200,000 ha of forests (Fundación Natura, 2016).</w:t>
      </w:r>
    </w:p>
    <w:p w14:paraId="0B81C65F" w14:textId="1CDB069F" w:rsidR="009E18F7" w:rsidRPr="008608AA" w:rsidRDefault="009E18F7" w:rsidP="00BD08BA">
      <w:pPr>
        <w:rPr>
          <w:rFonts w:cs="Times"/>
        </w:rPr>
      </w:pPr>
      <w:r w:rsidRPr="008608AA">
        <w:rPr>
          <w:rFonts w:cs="Times"/>
        </w:rPr>
        <w:t xml:space="preserve"> </w:t>
      </w:r>
    </w:p>
    <w:p w14:paraId="0CA3DF90" w14:textId="6A6F8B03" w:rsidR="009E18F7" w:rsidRPr="008608AA" w:rsidRDefault="009E18F7" w:rsidP="00BD08BA">
      <w:r w:rsidRPr="008608AA">
        <w:t>The private sector and businesses offer incentives (through different instruments such as PES and sustainable investments) for conserving and maintaining nature’s contributions to society (Natur</w:t>
      </w:r>
      <w:r w:rsidR="0023266C" w:rsidRPr="008608AA">
        <w:t>evest &amp;</w:t>
      </w:r>
      <w:r w:rsidRPr="008608AA">
        <w:t xml:space="preserve"> EKO, 2014). This sector has shown a growing awareness about their increasing exposure to risks (</w:t>
      </w:r>
      <w:r w:rsidR="00847F60" w:rsidRPr="008608AA">
        <w:t>e.g.</w:t>
      </w:r>
      <w:r w:rsidRPr="008608AA">
        <w:t xml:space="preserve"> to water scarcity, extreme weather events) as well as opportunities (sustainable investment) that can contribute to biodiversity and ecosystem service enhancement (UNEP FI, 2010; 2015; TEEB, 2010; WEF, 2015; WBCSD, 2017). For example, business incentives for ecosystem services include carbon sequestration and storage (</w:t>
      </w:r>
      <w:r w:rsidR="00847F60" w:rsidRPr="008608AA">
        <w:t>e.g.</w:t>
      </w:r>
      <w:r w:rsidRPr="008608AA">
        <w:t xml:space="preserve"> through forest restoration activities). This ecosystem service is commonly traded in two types of markets where transactions for greenhouse gas emission reductions are in place. On one side, the compliance markets are ruled by the UNFCCC framework and on the other side, voluntary markets operate with requirements that are more flexible and where voluntary buyers drive demand. These markets allow companies, governments, NGOs and individuals to counterbalance their emissions through the purchase of offsets, commonly by certification of emission reduction credits (Rodríguez-Osuna et al., in press). The major share of voluntary carbon transactions came from REDD+ projects, which increased to nearly 50% of the total market share in 2013. In this context, Latin America has been the most important sourcing region, tripling their 2012 act</w:t>
      </w:r>
      <w:r w:rsidR="0023266C" w:rsidRPr="008608AA">
        <w:t>ivity (Goldstein &amp;</w:t>
      </w:r>
      <w:r w:rsidRPr="008608AA">
        <w:t xml:space="preserve"> Gonzalez, 2014).</w:t>
      </w:r>
    </w:p>
    <w:p w14:paraId="50220AF3" w14:textId="77777777" w:rsidR="006621DC" w:rsidRPr="008608AA" w:rsidRDefault="006621DC" w:rsidP="00BD08BA"/>
    <w:p w14:paraId="05C461DF" w14:textId="6701A916" w:rsidR="009E18F7" w:rsidRPr="008608AA" w:rsidRDefault="009E18F7" w:rsidP="00BD08BA">
      <w:r w:rsidRPr="008608AA">
        <w:t xml:space="preserve">Most of voluntary carbon transactions have been developed for the private sector, as well as local or international non-profit organizations and public entities. A significant value arose from Germany´s REDD Early Movers financing program in 2013 (government to government deal with the State of Acre in Brazil), which is a national program to avoid emissions based on performance. In this agreement, the State of Acre agreed to supply 8 </w:t>
      </w:r>
      <w:r w:rsidR="00D97663" w:rsidRPr="008608AA">
        <w:t>million tons of carbon dioxide equivalent</w:t>
      </w:r>
      <w:r w:rsidRPr="008608AA">
        <w:t xml:space="preserve"> to the German Development Ban</w:t>
      </w:r>
      <w:r w:rsidR="0023266C" w:rsidRPr="008608AA">
        <w:t>k in 2013 (Goldstein &amp;</w:t>
      </w:r>
      <w:r w:rsidR="0060512E" w:rsidRPr="008608AA">
        <w:t xml:space="preserve"> Gonzalez, 2014; Hamrick</w:t>
      </w:r>
      <w:r w:rsidRPr="008608AA">
        <w:t>, 2015). Cumulatively, mostly voluntary offset supply came from the</w:t>
      </w:r>
      <w:r w:rsidR="00D97663" w:rsidRPr="008608AA">
        <w:t xml:space="preserve"> </w:t>
      </w:r>
      <w:r w:rsidR="006621DC" w:rsidRPr="008608AA">
        <w:t>USA</w:t>
      </w:r>
      <w:r w:rsidR="00D97663" w:rsidRPr="008608AA">
        <w:t xml:space="preserve"> (136 million tons of carbon dioxide equivalent</w:t>
      </w:r>
      <w:r w:rsidRPr="008608AA">
        <w:t xml:space="preserve"> w</w:t>
      </w:r>
      <w:r w:rsidR="00D97663" w:rsidRPr="008608AA">
        <w:t>orth $656 millions</w:t>
      </w:r>
      <w:r w:rsidRPr="008608AA">
        <w:t>), Brazil and Turkey (Hamrick et al., 2015). The most important buyer motivations for forest carbon transactions are corporate social responsibility (40%), demonstrating climate leadership (22%), compliance (17%), demonstrating industry leadership (13%) and taking action on cli</w:t>
      </w:r>
      <w:r w:rsidR="0023266C" w:rsidRPr="008608AA">
        <w:t>mate change (12%) (Goldstein &amp;</w:t>
      </w:r>
      <w:r w:rsidRPr="008608AA">
        <w:t xml:space="preserve"> Gonzalez, 2014).</w:t>
      </w:r>
    </w:p>
    <w:p w14:paraId="463F9533" w14:textId="77777777" w:rsidR="006621DC" w:rsidRPr="008608AA" w:rsidRDefault="006621DC" w:rsidP="00BD08BA"/>
    <w:p w14:paraId="44305CDA" w14:textId="77777777" w:rsidR="006621DC" w:rsidRPr="008608AA" w:rsidRDefault="009E18F7" w:rsidP="00BD08BA">
      <w:pPr>
        <w:rPr>
          <w:rFonts w:cs="Arial"/>
        </w:rPr>
      </w:pPr>
      <w:r w:rsidRPr="008608AA">
        <w:t xml:space="preserve">Consumer preferences, investor’s motivations as well as international agreements and agendas such as the </w:t>
      </w:r>
      <w:r w:rsidR="006621DC" w:rsidRPr="008608AA">
        <w:t>SDGs</w:t>
      </w:r>
      <w:r w:rsidRPr="008608AA">
        <w:t xml:space="preserve"> and the Paris Agreement are increasingly driving the need for environmental certification and sustainable finance (Lewis et al., 2016). For example, the </w:t>
      </w:r>
      <w:r w:rsidRPr="008608AA">
        <w:rPr>
          <w:rFonts w:cs="FrutigerLTPro-Condensed"/>
        </w:rPr>
        <w:t xml:space="preserve">decline in deforestation in </w:t>
      </w:r>
      <w:r w:rsidRPr="008608AA">
        <w:t>t</w:t>
      </w:r>
      <w:r w:rsidRPr="008608AA">
        <w:rPr>
          <w:rFonts w:cs="FrutigerLTPro-Condensed"/>
        </w:rPr>
        <w:t xml:space="preserve">he Brazilian Amazon was partly driven by supply chain interventions, as in the example of the </w:t>
      </w:r>
      <w:r w:rsidRPr="008608AA">
        <w:rPr>
          <w:rFonts w:cs="Arial"/>
        </w:rPr>
        <w:t>soy moratorium (see also 6.3.1, 6.3.4). Market opportunities for the business sector rise with increasing consumer preferences and demands for certification schemes for “climate neutral” products and services, sustainable fisheries, deforestation free products, among others (WEF, 2017).</w:t>
      </w:r>
    </w:p>
    <w:p w14:paraId="59EB5139" w14:textId="0E66F010" w:rsidR="009E18F7" w:rsidRPr="008608AA" w:rsidRDefault="009E18F7" w:rsidP="00BD08BA">
      <w:r w:rsidRPr="008608AA">
        <w:rPr>
          <w:rFonts w:cs="Arial"/>
        </w:rPr>
        <w:t xml:space="preserve"> </w:t>
      </w:r>
    </w:p>
    <w:p w14:paraId="1B84B76C" w14:textId="6E419B94" w:rsidR="00C76994" w:rsidRPr="008608AA" w:rsidRDefault="009E18F7" w:rsidP="00BD08BA">
      <w:r w:rsidRPr="008608AA">
        <w:rPr>
          <w:rFonts w:cs="Arial"/>
        </w:rPr>
        <w:t>Businesses can significantly foster conservation efforts and have a key role to play in halting biodiversity and ecosystem service loss as well as addressing the challenges posed by climate change. Already, the effects of climate change and the transition to a low carbon economy have progressively become a major feature driving adoption of corporate sustainable developme</w:t>
      </w:r>
      <w:r w:rsidR="00ED7409" w:rsidRPr="008608AA">
        <w:rPr>
          <w:rFonts w:cs="Arial"/>
        </w:rPr>
        <w:t>nt strategies</w:t>
      </w:r>
      <w:r w:rsidRPr="008608AA">
        <w:rPr>
          <w:rFonts w:cs="Arial"/>
        </w:rPr>
        <w:t xml:space="preserve"> </w:t>
      </w:r>
      <w:r w:rsidR="00ED7409" w:rsidRPr="008608AA">
        <w:rPr>
          <w:rFonts w:cs="Arial"/>
        </w:rPr>
        <w:t>(</w:t>
      </w:r>
      <w:r w:rsidRPr="008608AA">
        <w:rPr>
          <w:rFonts w:cs="Arial"/>
        </w:rPr>
        <w:t xml:space="preserve">KPMG, 2015). </w:t>
      </w:r>
      <w:r w:rsidRPr="008608AA">
        <w:t>Most large global companies and many small and medium sized enterprises issues annual corporate sustainability reports (KPMG, 2013). The growing interest in sustainable finance is evidenced by several alliances and initiatives such as the Natural Capital Finance Alliance, with 90 financial institutions that have committed to collaborate towards understanding the natural capital risks and opportunities in their products and services (Redford et al., 2015; NC</w:t>
      </w:r>
      <w:r w:rsidR="00ED7409" w:rsidRPr="008608AA">
        <w:t>F</w:t>
      </w:r>
      <w:r w:rsidRPr="008608AA">
        <w:t>A, 2016).</w:t>
      </w:r>
    </w:p>
    <w:p w14:paraId="3397CDCD" w14:textId="4D7D7310" w:rsidR="009E18F7" w:rsidRPr="008608AA" w:rsidRDefault="009E18F7" w:rsidP="00BD08BA">
      <w:r w:rsidRPr="008608AA">
        <w:t xml:space="preserve"> </w:t>
      </w:r>
    </w:p>
    <w:p w14:paraId="61BEFFFF" w14:textId="3E749E12" w:rsidR="009E18F7" w:rsidRPr="008608AA" w:rsidRDefault="009E18F7" w:rsidP="00BD08BA">
      <w:r w:rsidRPr="008608AA">
        <w:t>Conservation easements help protect private land from development and overuse, in exchange for a payment, tax reduction, or permit. The institutional context for conservation easements involve strained financial capacity, decentralized governance, and a mix of regulatory, incentive and market mechanisms (Rissman et al., 2015). They are</w:t>
      </w:r>
      <w:r w:rsidR="00C76994" w:rsidRPr="008608AA">
        <w:t xml:space="preserve"> particularly common in the USA</w:t>
      </w:r>
      <w:r w:rsidRPr="008608AA">
        <w:t xml:space="preserve"> and </w:t>
      </w:r>
      <w:r w:rsidRPr="008608AA">
        <w:rPr>
          <w:shd w:val="clear" w:color="auto" w:fill="F9F9F9"/>
        </w:rPr>
        <w:t xml:space="preserve">while they can significantly prevent habitat loss in agricultural regions (Braza, 2017), </w:t>
      </w:r>
      <w:r w:rsidRPr="008608AA">
        <w:t>technical assistance and monitoring are frequently mentione</w:t>
      </w:r>
      <w:r w:rsidR="0023266C" w:rsidRPr="008608AA">
        <w:t>d bottlenecks (</w:t>
      </w:r>
      <w:r w:rsidR="00847F60" w:rsidRPr="008608AA">
        <w:t>e.g.</w:t>
      </w:r>
      <w:r w:rsidR="0023266C" w:rsidRPr="008608AA">
        <w:t xml:space="preserve"> Stroman &amp;</w:t>
      </w:r>
      <w:r w:rsidRPr="008608AA">
        <w:t xml:space="preserve"> Kreuter, 2014).</w:t>
      </w:r>
    </w:p>
    <w:p w14:paraId="776FC142" w14:textId="1293D753" w:rsidR="009E18F7" w:rsidRPr="008608AA" w:rsidRDefault="00C76994" w:rsidP="00BD08BA">
      <w:r w:rsidRPr="008608AA">
        <w:t>According to a survey of 1200 chief executive officer</w:t>
      </w:r>
      <w:r w:rsidR="009E18F7" w:rsidRPr="008608AA">
        <w:t>s worldwide in 2010, more executives in Latin America were concerned about biodiversity loss as a threat to business growth prospects than in North America (12%) (PwC, 2010). However, by 2016, the USA alone accounted for $8.7 trillion worth of sustainable assets under management integrated into their investment decisions (GSIA, 2016). In 2015, a well-supported investor initiative requested global major publicly listed companies to disclose their water and climate-related corporate risks. This request was made on behalf of 617 investors with $63 trillion worth of assets interested in climate corporate disclosure as well as 822 investors with $95 trillion worth of assets interested in water-related corporate disclosure (CDP</w:t>
      </w:r>
      <w:r w:rsidR="0023266C" w:rsidRPr="008608AA">
        <w:t>,</w:t>
      </w:r>
      <w:r w:rsidR="009E18F7" w:rsidRPr="008608AA">
        <w:t xml:space="preserve"> 2015a,b). These efforts indicate the growing opportunities for sustainable finance to fill the gaps needed to fund biodiversity and ecosystem’s conservatio</w:t>
      </w:r>
      <w:r w:rsidR="0023266C" w:rsidRPr="008608AA">
        <w:t>n (Naturevest &amp;</w:t>
      </w:r>
      <w:r w:rsidR="009E18F7" w:rsidRPr="008608AA">
        <w:t xml:space="preserve"> EKO, 2014).</w:t>
      </w:r>
    </w:p>
    <w:p w14:paraId="29C150AC" w14:textId="77777777" w:rsidR="00C76994" w:rsidRPr="008608AA" w:rsidRDefault="00C76994" w:rsidP="00C32AE2"/>
    <w:p w14:paraId="15560933" w14:textId="2ECA8DEE" w:rsidR="009E18F7" w:rsidRPr="008608AA" w:rsidRDefault="009E18F7" w:rsidP="00C32AE2">
      <w:pPr>
        <w:pStyle w:val="Heading4"/>
        <w:spacing w:after="120" w:line="240" w:lineRule="auto"/>
        <w:ind w:left="0" w:firstLine="0"/>
        <w:rPr>
          <w:lang w:val="en-US"/>
        </w:rPr>
      </w:pPr>
      <w:bookmarkStart w:id="2442" w:name="_Toc517393445"/>
      <w:bookmarkStart w:id="2443" w:name="_Toc517719186"/>
      <w:bookmarkStart w:id="2444" w:name="_Toc517797143"/>
      <w:r w:rsidRPr="008608AA">
        <w:rPr>
          <w:lang w:val="en-US"/>
        </w:rPr>
        <w:t>Offset and compensation</w:t>
      </w:r>
      <w:bookmarkEnd w:id="2442"/>
      <w:bookmarkEnd w:id="2443"/>
      <w:bookmarkEnd w:id="2444"/>
    </w:p>
    <w:p w14:paraId="19338556" w14:textId="77777777" w:rsidR="00C76994" w:rsidRPr="008608AA" w:rsidRDefault="009E18F7" w:rsidP="00BD08BA">
      <w:pPr>
        <w:autoSpaceDE w:val="0"/>
        <w:autoSpaceDN w:val="0"/>
        <w:adjustRightInd w:val="0"/>
      </w:pPr>
      <w:r w:rsidRPr="008608AA">
        <w:t>Considerable progress has been made in developing good practice for biodiversity offsets (</w:t>
      </w:r>
      <w:r w:rsidR="00847F60" w:rsidRPr="008608AA">
        <w:t>e.g.</w:t>
      </w:r>
      <w:r w:rsidRPr="008608AA">
        <w:t xml:space="preserve"> BBOP, 2012; Gardner et al., 2013), which are part of efforts to achieve no net loss of biodiversity while implementing development projects (Gardner et al., 2013). In the region they are</w:t>
      </w:r>
      <w:r w:rsidR="00C76994" w:rsidRPr="008608AA">
        <w:t xml:space="preserve"> particularly common in the USA</w:t>
      </w:r>
      <w:r w:rsidRPr="008608AA">
        <w:t xml:space="preserve"> and Canada (Coralie et al., 2015). Overall, there is a lack of integration of biodiversity and ecosystem services in impact assessment of large projects (mining, dams, roads), which set the scene for offset and co</w:t>
      </w:r>
      <w:r w:rsidR="0023266C" w:rsidRPr="008608AA">
        <w:t>mpensation schemes (Brownlie &amp;</w:t>
      </w:r>
      <w:r w:rsidRPr="008608AA">
        <w:t xml:space="preserve"> Treweek, 2013; Geneletti, 2016; Rodríguez-Osuna et al., 2017). Many of the historical problems with the application of biodiversity offsets have been assigned to lack of enforcement, poor governance, patchy monitoring, badly defined liabilities and lack of formal methods for designing and sizing </w:t>
      </w:r>
      <w:r w:rsidR="0023266C" w:rsidRPr="008608AA">
        <w:t>offset requirements (Quétier &amp;</w:t>
      </w:r>
      <w:r w:rsidRPr="008608AA">
        <w:t xml:space="preserve"> Lavorel, 2011)</w:t>
      </w:r>
      <w:r w:rsidRPr="008608AA">
        <w:rPr>
          <w:rFonts w:ascii="AdvGulliv-R" w:hAnsi="AdvGulliv-R" w:cs="AdvGulliv-R"/>
          <w:sz w:val="14"/>
          <w:szCs w:val="14"/>
        </w:rPr>
        <w:t xml:space="preserve">. </w:t>
      </w:r>
      <w:r w:rsidRPr="008608AA">
        <w:rPr>
          <w:rFonts w:cstheme="minorHAnsi"/>
        </w:rPr>
        <w:t>Indeed, it is</w:t>
      </w:r>
      <w:r w:rsidRPr="008608AA">
        <w:t xml:space="preserve"> often very difficult to consider all ecological dimensions of biodiversity (structural, functional, time, etc.) when offset calculations are made and final balance may fail to offset loss (Curran et al., 2014). They involve complex issues, even from an ethical viewpoint, such as the notion of species expendability (</w:t>
      </w:r>
      <w:r w:rsidR="00847F60" w:rsidRPr="008608AA">
        <w:t>e.g.</w:t>
      </w:r>
      <w:r w:rsidRPr="008608AA">
        <w:t xml:space="preserve"> Kareiva </w:t>
      </w:r>
      <w:r w:rsidR="00C76994" w:rsidRPr="008608AA">
        <w:t>&amp;</w:t>
      </w:r>
      <w:r w:rsidRPr="008608AA">
        <w:t xml:space="preserve"> Levin, 2003). Gonçalves et al. (2015) in an extensive literature review found conceptual (choice of metric, spatial delivery of offsets, equivalence, additionality, time-scales, longevity, ratios and reversibility) and practical challenges (compliance, monitoring, transparency and timing of credits release) to biodiversity offset that deserve scientific attention.</w:t>
      </w:r>
      <w:r w:rsidRPr="008608AA">
        <w:rPr>
          <w:sz w:val="17"/>
          <w:szCs w:val="17"/>
        </w:rPr>
        <w:t xml:space="preserve"> </w:t>
      </w:r>
      <w:r w:rsidRPr="008608AA">
        <w:t>Furthermore, they argue that</w:t>
      </w:r>
      <w:r w:rsidRPr="008608AA">
        <w:rPr>
          <w:sz w:val="17"/>
          <w:szCs w:val="17"/>
        </w:rPr>
        <w:t xml:space="preserve"> </w:t>
      </w:r>
      <w:r w:rsidRPr="008608AA">
        <w:rPr>
          <w:szCs w:val="20"/>
        </w:rPr>
        <w:t xml:space="preserve">biodiversity offset locations could contribute towards a global network of biodiversity monitoring sites. On the other hand, </w:t>
      </w:r>
      <w:r w:rsidRPr="008608AA">
        <w:t>Coralie et al. (2015) have a more skeptical view and argue that biodiversity offset discourse is framed by an economic rethoric resulting from political influence rather than by scientific robustness. In one point all these authors agree: more research is urgently needed to strengthen the evidence base on ways to achieve no net loss (Coralie et al., 2015; Gardner et al., 2013; Gonçalves et al., 2015). The concerns of climate scientist with the need for a “science of loss” (Barnett et al., 2016) also applies to biodiversity and ecosystem services. While biodiversity offset research can increasingly address damage, it remains challenging to address human losses that might derive from biodiversity loss, such as natural landscapes, cultures (such as those of indigenous peoples), and social cohesion (such as belonging to a community of knowledge or practice related to biodiversity and ecosystem services).</w:t>
      </w:r>
    </w:p>
    <w:p w14:paraId="20ABA5B2" w14:textId="688EF7C0" w:rsidR="009E18F7" w:rsidRPr="008608AA" w:rsidRDefault="009E18F7" w:rsidP="00BD08BA">
      <w:pPr>
        <w:autoSpaceDE w:val="0"/>
        <w:autoSpaceDN w:val="0"/>
        <w:adjustRightInd w:val="0"/>
      </w:pPr>
      <w:r w:rsidRPr="008608AA">
        <w:t xml:space="preserve"> </w:t>
      </w:r>
    </w:p>
    <w:p w14:paraId="74007208" w14:textId="441DA0A3" w:rsidR="009E18F7" w:rsidRPr="008608AA" w:rsidRDefault="009E18F7" w:rsidP="00BD08BA">
      <w:pPr>
        <w:rPr>
          <w:color w:val="000000" w:themeColor="text1"/>
        </w:rPr>
      </w:pPr>
      <w:r w:rsidRPr="008608AA">
        <w:t>There is a rather uneven distribution of biodiversity offset studies in the region, which suggests a similar unevenness in practical application of this instrument. In a survey of 477 papers published globally be</w:t>
      </w:r>
      <w:r w:rsidR="00C76994" w:rsidRPr="008608AA">
        <w:t xml:space="preserve">tween 1984 and 2014, the USA </w:t>
      </w:r>
      <w:r w:rsidRPr="008608AA">
        <w:t>produced 57%, Canada 6.5%, Colombia 2.3%, and Brazil and Costa Rica with less than 1% - these were the only representatives of the Americas (Coralie et al., 2015). Gelcich et al. (2017) found similar results</w:t>
      </w:r>
      <w:r w:rsidRPr="008608AA">
        <w:rPr>
          <w:rFonts w:cstheme="minorHAnsi"/>
        </w:rPr>
        <w:t>. However, it has been argued that while most offset research occurs in the US</w:t>
      </w:r>
      <w:r w:rsidR="00C76994" w:rsidRPr="008608AA">
        <w:rPr>
          <w:rFonts w:cstheme="minorHAnsi"/>
        </w:rPr>
        <w:t>A</w:t>
      </w:r>
      <w:r w:rsidRPr="008608AA">
        <w:rPr>
          <w:rFonts w:cstheme="minorHAnsi"/>
        </w:rPr>
        <w:t xml:space="preserve">, the majority of offset policies and programs are occurring in many middle- and low-income countries (Villarroya et al., 2014). Elsewhere in the Americas, most countries have policies that enable biodiversity offset (Gelcich et al., 2017), and indeed in Latin America, Brazil, Colombia, Mexico and Peru even explicitly require their implementation (Villarroya et al., 2014). </w:t>
      </w:r>
      <w:r w:rsidRPr="008608AA">
        <w:t>The near absence of published papers or case studies on biodiversity offsets by Latin America and the Caribbean authors</w:t>
      </w:r>
      <w:r w:rsidRPr="008608AA">
        <w:rPr>
          <w:rFonts w:cstheme="minorHAnsi"/>
        </w:rPr>
        <w:t xml:space="preserve"> is a clear </w:t>
      </w:r>
      <w:r w:rsidRPr="008608AA">
        <w:t>gap, given the intensive productive sector, the rich biodiversity, and the existence of enabling policies in most countries. This unevenness is also perceived between ecosystems. Most studies are concentrated on wetlands (Gelcich et al., 2017), perhaps because of the recommendation in the early 1970´s of the Ramsar</w:t>
      </w:r>
      <w:r w:rsidRPr="008608AA">
        <w:rPr>
          <w:u w:val="single"/>
        </w:rPr>
        <w:t xml:space="preserve"> </w:t>
      </w:r>
      <w:r w:rsidRPr="008608AA">
        <w:t>Convention to compensate for damage to biodiversity (Hrabanski, 2015). The US</w:t>
      </w:r>
      <w:r w:rsidR="00C76994" w:rsidRPr="008608AA">
        <w:t>A</w:t>
      </w:r>
      <w:r w:rsidRPr="008608AA">
        <w:t xml:space="preserve"> is also predominant in such types of studies on wetlands (Gelcich et al., 2017). However, Matthews and Endress (2008) reviewed monitoring information for 76 wetlands constructed between 1992 and 2002 in the US</w:t>
      </w:r>
      <w:r w:rsidR="00C76994" w:rsidRPr="008608AA">
        <w:t>A</w:t>
      </w:r>
      <w:r w:rsidRPr="008608AA">
        <w:t>, and found several problems with the performance criteria used to measure progress and assess compliance. Thus, some argue that wetland offset programs in the US</w:t>
      </w:r>
      <w:r w:rsidR="005B25AA" w:rsidRPr="008608AA">
        <w:t>A</w:t>
      </w:r>
      <w:r w:rsidRPr="008608AA">
        <w:t xml:space="preserve"> have often failed to meet their objectives, and have a poor track record of effective implementation and monitoring (Gelcich et al., 2017). Coastal and marine ecosystems are the ones with fewer studies on offsets, both regionally and globally (Gelcich et al., 2017). The US</w:t>
      </w:r>
      <w:r w:rsidR="005B25AA" w:rsidRPr="008608AA">
        <w:t>A</w:t>
      </w:r>
      <w:r w:rsidRPr="008608AA">
        <w:t xml:space="preserve"> again the main exception with a large number of studies. For instance, Levrel et al. (2012) reviewed cases in coastal and marine ecosystems in Florida over a ten-year period and found problems related to methodology, monitoring and uncertainties related to time-scale. For another coastal case in the region, in Brazil there is a</w:t>
      </w:r>
      <w:r w:rsidRPr="008608AA">
        <w:rPr>
          <w:color w:val="000000" w:themeColor="text1"/>
        </w:rPr>
        <w:t xml:space="preserve"> type of financial compensation for giving up activities such as fishing certain species (including shrimp and lobster) during reproductive season, both in coastal and continental waters, which is called </w:t>
      </w:r>
      <w:r w:rsidRPr="008608AA">
        <w:rPr>
          <w:i/>
          <w:color w:val="000000" w:themeColor="text1"/>
        </w:rPr>
        <w:t>defeso</w:t>
      </w:r>
      <w:r w:rsidRPr="008608AA">
        <w:rPr>
          <w:color w:val="000000" w:themeColor="text1"/>
        </w:rPr>
        <w:t xml:space="preserve"> (Begossi et al., 2011). On the positive side, the program by 2011 had benefitted nearly 650 thousand people, but the negative side of it is that there is evidence that funds have been transferred to people who are not involved in fishing activities (Camp</w:t>
      </w:r>
      <w:r w:rsidR="0023266C" w:rsidRPr="008608AA">
        <w:rPr>
          <w:color w:val="000000" w:themeColor="text1"/>
        </w:rPr>
        <w:t>os &amp;</w:t>
      </w:r>
      <w:r w:rsidRPr="008608AA">
        <w:rPr>
          <w:color w:val="000000" w:themeColor="text1"/>
        </w:rPr>
        <w:t xml:space="preserve"> Chaves, 2014). </w:t>
      </w:r>
    </w:p>
    <w:p w14:paraId="11E61E3D" w14:textId="77777777" w:rsidR="005B25AA" w:rsidRPr="008608AA" w:rsidRDefault="005B25AA" w:rsidP="00BD08BA"/>
    <w:p w14:paraId="50238AFA" w14:textId="09AC708E" w:rsidR="009E18F7" w:rsidRPr="008608AA" w:rsidRDefault="009E18F7" w:rsidP="00BD08BA">
      <w:r w:rsidRPr="008608AA">
        <w:t>Brazil has recently introduced a new mechanism, known as Env</w:t>
      </w:r>
      <w:r w:rsidR="005B25AA" w:rsidRPr="008608AA">
        <w:t>ironmental Reserve Quotas</w:t>
      </w:r>
      <w:r w:rsidRPr="008608AA">
        <w:t xml:space="preserve"> that are tradable pieces of native or regenerating native vegetation, which are additional to what is required by the Brazilian environmental legislation. This mechanism allows landowners to offset surplus and deficits of legal reserve (minimum area required by law to be forest in private properties) and thus provide incentives to comply with the Native Vegetation Protection Law (Soares-Filho et al., 2014, 2016; May et al., in press).</w:t>
      </w:r>
    </w:p>
    <w:p w14:paraId="79C9B0FA" w14:textId="77777777" w:rsidR="005B25AA" w:rsidRPr="008608AA" w:rsidRDefault="005B25AA" w:rsidP="00BD08BA"/>
    <w:p w14:paraId="7E976C36" w14:textId="0913710F" w:rsidR="009E18F7" w:rsidRPr="008608AA" w:rsidRDefault="009E18F7" w:rsidP="00BD08BA">
      <w:pPr>
        <w:autoSpaceDE w:val="0"/>
        <w:autoSpaceDN w:val="0"/>
        <w:adjustRightInd w:val="0"/>
      </w:pPr>
      <w:r w:rsidRPr="008608AA">
        <w:t>There have also been advances on valuation and assessment of the economic component of biodiversity and ecosystem services, with regional-, national- or ecosystem-level application of t</w:t>
      </w:r>
      <w:r w:rsidR="005B25AA" w:rsidRPr="008608AA">
        <w:t>ools such as The Economics of Ecosystems and Biodiversity in Business and Enterprise</w:t>
      </w:r>
      <w:r w:rsidRPr="008608AA">
        <w:t xml:space="preserve"> </w:t>
      </w:r>
      <w:r w:rsidR="005B25AA" w:rsidRPr="008608AA">
        <w:t>(</w:t>
      </w:r>
      <w:r w:rsidRPr="008608AA">
        <w:t xml:space="preserve">Bishop, 2012; Kumar et al., 2013) and </w:t>
      </w:r>
      <w:r w:rsidR="005B25AA" w:rsidRPr="008608AA">
        <w:t xml:space="preserve">the </w:t>
      </w:r>
      <w:r w:rsidRPr="008608AA">
        <w:rPr>
          <w:shd w:val="clear" w:color="auto" w:fill="FFFFFF"/>
        </w:rPr>
        <w:t>World Bank׳s Wealth</w:t>
      </w:r>
      <w:r w:rsidRPr="008608AA">
        <w:t xml:space="preserve"> </w:t>
      </w:r>
      <w:r w:rsidRPr="008608AA">
        <w:rPr>
          <w:shd w:val="clear" w:color="auto" w:fill="FFFFFF"/>
        </w:rPr>
        <w:t xml:space="preserve">Accounting and the Valuation of Ecosystem Services. </w:t>
      </w:r>
      <w:r w:rsidRPr="008608AA">
        <w:t>These tools have challenges related to interpretation and direct application to policy (</w:t>
      </w:r>
      <w:r w:rsidR="00847F60" w:rsidRPr="008608AA">
        <w:t>e.g.</w:t>
      </w:r>
      <w:r w:rsidRPr="008608AA">
        <w:t xml:space="preserve"> Ri</w:t>
      </w:r>
      <w:r w:rsidR="0023266C" w:rsidRPr="008608AA">
        <w:t>ng et al., 2010; Spangenberg &amp;</w:t>
      </w:r>
      <w:r w:rsidRPr="008608AA">
        <w:t xml:space="preserve"> Settele, 2010; Bartelmus, 2015). In the region, their influence on decision-making is still reduced in some countries (</w:t>
      </w:r>
      <w:r w:rsidR="00847F60" w:rsidRPr="008608AA">
        <w:t>e.g.</w:t>
      </w:r>
      <w:r w:rsidRPr="008608AA">
        <w:t xml:space="preserve"> </w:t>
      </w:r>
      <w:r w:rsidR="00AB2DDF" w:rsidRPr="008608AA">
        <w:t xml:space="preserve">The Economics of Ecosystems and Biodiversity in Business and Enterprise </w:t>
      </w:r>
      <w:r w:rsidRPr="008608AA">
        <w:t xml:space="preserve">in Brazil - Roma et al., 2013; </w:t>
      </w:r>
      <w:r w:rsidR="00AB2DDF" w:rsidRPr="008608AA">
        <w:t xml:space="preserve">the </w:t>
      </w:r>
      <w:r w:rsidR="00AB2DDF" w:rsidRPr="008608AA">
        <w:rPr>
          <w:shd w:val="clear" w:color="auto" w:fill="FFFFFF"/>
        </w:rPr>
        <w:t>World Bank׳s Wealth</w:t>
      </w:r>
      <w:r w:rsidR="00AB2DDF" w:rsidRPr="008608AA">
        <w:t xml:space="preserve"> </w:t>
      </w:r>
      <w:r w:rsidR="00AB2DDF" w:rsidRPr="008608AA">
        <w:rPr>
          <w:shd w:val="clear" w:color="auto" w:fill="FFFFFF"/>
        </w:rPr>
        <w:t>Accounting and the Valuation of Ecosystem Services</w:t>
      </w:r>
      <w:r w:rsidR="00AB2DDF" w:rsidRPr="008608AA">
        <w:t xml:space="preserve"> </w:t>
      </w:r>
      <w:r w:rsidRPr="008608AA">
        <w:t>in the Caribbean - Waite et al., 2015), while in others such types of approaches have often been incorporated to policies (</w:t>
      </w:r>
      <w:r w:rsidR="00847F60" w:rsidRPr="008608AA">
        <w:t>e.g.</w:t>
      </w:r>
      <w:r w:rsidR="00AB2DDF" w:rsidRPr="008608AA">
        <w:t xml:space="preserve"> USA</w:t>
      </w:r>
      <w:r w:rsidRPr="008608AA">
        <w:t xml:space="preserve"> – Schaefer et al., 2015).</w:t>
      </w:r>
    </w:p>
    <w:p w14:paraId="28723028" w14:textId="77777777" w:rsidR="00BD08BA" w:rsidRPr="008608AA" w:rsidRDefault="00BD08BA" w:rsidP="00BD08BA">
      <w:pPr>
        <w:autoSpaceDE w:val="0"/>
        <w:autoSpaceDN w:val="0"/>
        <w:adjustRightInd w:val="0"/>
      </w:pPr>
    </w:p>
    <w:p w14:paraId="121F5A31" w14:textId="2BB3B6A2" w:rsidR="009E18F7" w:rsidRPr="008608AA" w:rsidRDefault="009E18F7" w:rsidP="00C32AE2">
      <w:pPr>
        <w:pStyle w:val="Heading4"/>
        <w:spacing w:after="120" w:line="240" w:lineRule="auto"/>
        <w:ind w:left="0" w:firstLine="0"/>
        <w:rPr>
          <w:lang w:val="en-US"/>
        </w:rPr>
      </w:pPr>
      <w:bookmarkStart w:id="2445" w:name="_Toc517393446"/>
      <w:bookmarkStart w:id="2446" w:name="_Toc517719187"/>
      <w:bookmarkStart w:id="2447" w:name="_Toc517797144"/>
      <w:r w:rsidRPr="008608AA">
        <w:rPr>
          <w:lang w:val="en-US"/>
        </w:rPr>
        <w:t>Eco-certification and other mechanisms related to markets and trade</w:t>
      </w:r>
      <w:bookmarkEnd w:id="2445"/>
      <w:bookmarkEnd w:id="2446"/>
      <w:bookmarkEnd w:id="2447"/>
    </w:p>
    <w:p w14:paraId="57D3C5F8" w14:textId="6FA15FFF" w:rsidR="009E18F7" w:rsidRPr="008608AA" w:rsidRDefault="009E18F7" w:rsidP="00BD08BA">
      <w:pPr>
        <w:rPr>
          <w:rFonts w:cs="AdvOTb65e897d.B"/>
        </w:rPr>
      </w:pPr>
      <w:r w:rsidRPr="008608AA">
        <w:t xml:space="preserve">The local, subnational, national, intraregional and international trade is often regulated by policies, including incentives, disincentives and subsidies applied by each country and subregion. They can have a large impact, positive or negative, on biodiversity and ecosystem services. State’s capacities to govern for sustainability are challenged by processes of globalization, such as the telecoupling (Lenschow et al., 2015; Chapter 5). For instance, Lenzen et al. (2012) have shown that </w:t>
      </w:r>
      <w:r w:rsidRPr="008608AA">
        <w:rPr>
          <w:rFonts w:cs="AdvOTb65e897d.B"/>
        </w:rPr>
        <w:t xml:space="preserve">30% of global species threats are due to international trade, and that consumers in developed countries cause threats to species through their demand of commodities that are ultimately produced in developing countries. Many developed countries cause a larger biodiversity footprint abroad than at home, due to the consumption of imported coffee, tea, sugar, textiles, meat, fish, timber, extractives, and other manufactured items. In the world ranking of net importers of biodiversity threat, the </w:t>
      </w:r>
      <w:r w:rsidR="00AB2DDF" w:rsidRPr="008608AA">
        <w:rPr>
          <w:rFonts w:cs="AdvOTb65e897d.B"/>
        </w:rPr>
        <w:t>USA</w:t>
      </w:r>
      <w:r w:rsidRPr="008608AA">
        <w:rPr>
          <w:rFonts w:cs="AdvOTb65e897d.B"/>
        </w:rPr>
        <w:t xml:space="preserve"> is first and Canada is ninth. Honduras is among the main net exporters. </w:t>
      </w:r>
    </w:p>
    <w:p w14:paraId="0A6A3E00" w14:textId="0BAE9203" w:rsidR="00AB2DDF" w:rsidRPr="008608AA" w:rsidRDefault="009E18F7" w:rsidP="00BD08BA">
      <w:pPr>
        <w:rPr>
          <w:color w:val="000000" w:themeColor="text1"/>
        </w:rPr>
      </w:pPr>
      <w:r w:rsidRPr="008608AA">
        <w:rPr>
          <w:color w:val="000000" w:themeColor="text1"/>
        </w:rPr>
        <w:t>Trade linkages between producers of commodities (</w:t>
      </w:r>
      <w:r w:rsidR="00847F60" w:rsidRPr="008608AA">
        <w:rPr>
          <w:color w:val="000000" w:themeColor="text1"/>
        </w:rPr>
        <w:t>e.g.</w:t>
      </w:r>
      <w:r w:rsidRPr="008608AA">
        <w:rPr>
          <w:color w:val="000000" w:themeColor="text1"/>
        </w:rPr>
        <w:t xml:space="preserve"> soybean, coffee, palm oil, paper and pulp and beef) and distant consumers have turned the Americas a key world commodity producer (see Chapters 1 and 4), which involves a significant ecological footpri</w:t>
      </w:r>
      <w:r w:rsidR="0023266C" w:rsidRPr="008608AA">
        <w:rPr>
          <w:color w:val="000000" w:themeColor="text1"/>
        </w:rPr>
        <w:t>nt (Moran &amp;</w:t>
      </w:r>
      <w:r w:rsidRPr="008608AA">
        <w:rPr>
          <w:color w:val="000000" w:themeColor="text1"/>
        </w:rPr>
        <w:t xml:space="preserve"> Kanemoto, 2017). </w:t>
      </w:r>
      <w:r w:rsidRPr="008608AA">
        <w:t xml:space="preserve">World’s total food and grains exports have increased tenfold in the past couple of decades. More than 80% of soybeans used by China’s food industry are </w:t>
      </w:r>
      <w:r w:rsidR="00AB2DDF" w:rsidRPr="008608AA">
        <w:t>imported from Brazil and the USA</w:t>
      </w:r>
      <w:r w:rsidRPr="008608AA">
        <w:t>. The soybean trade between these countries plays a major role in global trade markets and prices, carbon emissions, ecosystem services, and livelihoods in many coupled human and natural systems in China, Brazil, and beyond (Liu et al., 2013). In this context, eco-certification</w:t>
      </w:r>
      <w:r w:rsidRPr="008608AA">
        <w:rPr>
          <w:color w:val="000000" w:themeColor="text1"/>
        </w:rPr>
        <w:t xml:space="preserve"> has emerged - partly due to consumer preferences and public legislation in industrialized countries that demand standards to ensure food safety and environmental sustainability in food </w:t>
      </w:r>
      <w:r w:rsidRPr="008608AA">
        <w:rPr>
          <w:color w:val="000000" w:themeColor="text1"/>
        </w:rPr>
        <w:fldChar w:fldCharType="begin" w:fldLock="1"/>
      </w:r>
      <w:r w:rsidRPr="008608AA">
        <w:rPr>
          <w:color w:val="000000" w:themeColor="text1"/>
        </w:rPr>
        <w:instrText>ADDIN CSL_CITATION { "citationItems" : [ { "id" : "ITEM-1", "itemData" : { "DOI" : "10.1088/1748-9326/8/4/044055", "ISSN" : "1748-9326", "author" : [ { "dropping-particle" : "", "family" : "Garrett", "given" : "Rachael D", "non-dropping-particle" : "", "parse-names" : false, "suffix" : "" }, { "dropping-particle" : "", "family" : "Rueda", "given" : "Ximena", "non-dropping-particle" : "", "parse-names" : false, "suffix" : "" }, { "dropping-particle" : "", "family" : "Lambin", "given" : "Eric F", "non-dropping-particle" : "", "parse-names" : false, "suffix" : "" } ], "container-title" : "Environmental Research Letters", "id" : "ITEM-1", "issue" : "4", "issued" : { "date-parts" : [ [ "2013", "12", "1" ] ] }, "page" : "044055", "publisher" : "IOP Publishing", "title" : "Globalization\u2019s unexpected impact on soybean production in South America: linkages between preferences for non-genetically modified crops, eco-certifications, and land use", "type" : "article-journal", "volume" : "8" }, "uris" : [ "http://www.mendeley.com/documents/?uuid=f1d1018c-73c0-3599-b33b-710466cc8535" ] }, { "id" : "ITEM-2", "itemData" : { "DOI" : "10.1016/j.gloenvcha.2014.06.007", "ISSN" : "09593780", "author" : [ { "dropping-particle" : "", "family" : "Lambin", "given" : "Eric F.", "non-dropping-particle" : "", "parse-names" : false, "suffix" : "" }, { "dropping-particle" : "", "family" : "Meyfroidt", "given" : "Patrick", "non-dropping-particle" : "", "parse-names" : false, "suffix" : "" }, { "dropping-particle" : "", "family" : "Rueda", "given" : "Ximena", "non-dropping-particle" : "", "parse-names" : false, "suffix" : "" }, { "dropping-particle" : "", "family" : "Blackman", "given" : "Allen", "non-dropping-particle" : "", "parse-names" : false, "suffix" : "" }, { "dropping-particle" : "", "family" : "B\u00f6rner", "given" : "Jan", "non-dropping-particle" : "", "parse-names" : false, "suffix" : "" }, { "dropping-particle" : "", "family" : "Cerutti", "given" : "Paolo Omar", "non-dropping-particle" : "", "parse-names" : false, "suffix" : "" }, { "dropping-particle" : "", "family" : "Dietsch", "given" : "Thomas", "non-dropping-particle" : "", "parse-names" : false, "suffix" : "" }, { "dropping-particle" : "", "family" : "Jungmann", "given" : "Laura", "non-dropping-particle" : "", "parse-names" : false, "suffix" : "" }, { "dropping-particle" : "", "family" : "Lamarque", "given" : "P\u00e9n\u00e9lope", "non-dropping-particle" : "", "parse-names" : false, "suffix" : "" }, { "dropping-particle" : "", "family" : "Lister", "given" : "Jane", "non-dropping-particle" : "", "parse-names" : false, "suffix" : "" }, { "dropping-particle" : "", "family" : "Walker", "given" : "Nathalie F.", "non-dropping-particle" : "", "parse-names" : false, "suffix" : "" }, { "dropping-particle" : "", "family" : "Wunder", "given" : "Sven", "non-dropping-particle" : "", "parse-names" : false, "suffix" : "" } ], "container-title" : "Global Environmental Change", "id" : "ITEM-2", "issued" : { "date-parts" : [ [ "2014", "9" ] ] }, "page" : "129-140", "title" : "Effectiveness and synergies of policy instruments for land use governance in tropical regions", "type" : "article-journal", "volume" : "28" }, "uris" : [ "http://www.mendeley.com/documents/?uuid=6989d439-9a4f-37a0-979c-24e5a8a00d43" ] } ], "mendeley" : { "formattedCitation" : "(Garrett, Rueda and Lambin, 2013; Lambin &lt;i&gt;et al.&lt;/i&gt;, 2014)", "plainTextFormattedCitation" : "(Garrett, Rueda and Lambin, 2013; Lambin et al., 2014)", "previouslyFormattedCitation" : "(Garrett, Rueda and Lambin, 2013; Lambin &lt;i&gt;et al.&lt;/i&gt;, 2014)"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(Garrett et al., 2013; Lambin et al., 2014; WEF 2017)</w:t>
      </w:r>
      <w:r w:rsidRPr="008608AA">
        <w:rPr>
          <w:color w:val="000000" w:themeColor="text1"/>
        </w:rPr>
        <w:fldChar w:fldCharType="end"/>
      </w:r>
      <w:r w:rsidRPr="008608AA">
        <w:rPr>
          <w:color w:val="000000" w:themeColor="text1"/>
        </w:rPr>
        <w:t>, or timber (Polisar et al., 2017), or mining production (</w:t>
      </w:r>
      <w:r w:rsidR="00847F60" w:rsidRPr="008608AA">
        <w:rPr>
          <w:color w:val="000000" w:themeColor="text1"/>
        </w:rPr>
        <w:t>e.g.</w:t>
      </w:r>
      <w:r w:rsidRPr="008608AA">
        <w:rPr>
          <w:color w:val="000000" w:themeColor="text1"/>
        </w:rPr>
        <w:t xml:space="preserve"> Ribeiro-Duthie et al., 2017), among others. In the Americas (see also Table 6.2) and elsewhere, eco-certification is managed by governments (</w:t>
      </w:r>
      <w:r w:rsidR="00847F60" w:rsidRPr="008608AA">
        <w:rPr>
          <w:color w:val="000000" w:themeColor="text1"/>
        </w:rPr>
        <w:t>e.g.</w:t>
      </w:r>
      <w:r w:rsidRPr="008608AA">
        <w:rPr>
          <w:color w:val="000000" w:themeColor="text1"/>
        </w:rPr>
        <w:t xml:space="preserve"> U</w:t>
      </w:r>
      <w:r w:rsidR="00AB2DDF" w:rsidRPr="008608AA">
        <w:rPr>
          <w:color w:val="000000" w:themeColor="text1"/>
        </w:rPr>
        <w:t xml:space="preserve">nited Sates Department of Agriculture’s </w:t>
      </w:r>
      <w:r w:rsidRPr="008608AA">
        <w:rPr>
          <w:color w:val="000000" w:themeColor="text1"/>
        </w:rPr>
        <w:t xml:space="preserve">organic certification in </w:t>
      </w:r>
      <w:r w:rsidR="00AB2DDF" w:rsidRPr="008608AA">
        <w:rPr>
          <w:color w:val="000000" w:themeColor="text1"/>
        </w:rPr>
        <w:t xml:space="preserve">the </w:t>
      </w:r>
      <w:r w:rsidRPr="008608AA">
        <w:rPr>
          <w:color w:val="000000" w:themeColor="text1"/>
        </w:rPr>
        <w:t>USA), research institutions (</w:t>
      </w:r>
      <w:r w:rsidR="00847F60" w:rsidRPr="008608AA">
        <w:rPr>
          <w:color w:val="000000" w:themeColor="text1"/>
        </w:rPr>
        <w:t>e.g.</w:t>
      </w:r>
      <w:r w:rsidRPr="008608AA">
        <w:rPr>
          <w:color w:val="000000" w:themeColor="text1"/>
        </w:rPr>
        <w:t xml:space="preserve"> </w:t>
      </w:r>
      <w:r w:rsidRPr="008608AA">
        <w:rPr>
          <w:rFonts w:cs="Helvetica Neue"/>
          <w:bCs/>
          <w:color w:val="000000" w:themeColor="text1"/>
        </w:rPr>
        <w:t>Smithsonian Center’s Bird Friendly Coffee)</w:t>
      </w:r>
      <w:r w:rsidRPr="008608AA">
        <w:rPr>
          <w:color w:val="000000" w:themeColor="text1"/>
        </w:rPr>
        <w:t>, NGOs (</w:t>
      </w:r>
      <w:r w:rsidR="00847F60" w:rsidRPr="008608AA">
        <w:rPr>
          <w:color w:val="000000" w:themeColor="text1"/>
        </w:rPr>
        <w:t>e.g.</w:t>
      </w:r>
      <w:r w:rsidRPr="008608AA">
        <w:rPr>
          <w:color w:val="000000" w:themeColor="text1"/>
        </w:rPr>
        <w:t xml:space="preserve"> Rainforest Alliance), multiple stakeholders (</w:t>
      </w:r>
      <w:r w:rsidR="00847F60" w:rsidRPr="008608AA">
        <w:rPr>
          <w:color w:val="000000" w:themeColor="text1"/>
        </w:rPr>
        <w:t>e.g.</w:t>
      </w:r>
      <w:r w:rsidRPr="008608AA">
        <w:rPr>
          <w:color w:val="000000" w:themeColor="text1"/>
        </w:rPr>
        <w:t xml:space="preserve"> Forest Stewardship Council) or individual companies (</w:t>
      </w:r>
      <w:r w:rsidR="00847F60" w:rsidRPr="008608AA">
        <w:rPr>
          <w:color w:val="000000" w:themeColor="text1"/>
        </w:rPr>
        <w:t>e.g.</w:t>
      </w:r>
      <w:r w:rsidRPr="008608AA">
        <w:rPr>
          <w:color w:val="000000" w:themeColor="text1"/>
        </w:rPr>
        <w:t xml:space="preserve"> Starbucks; C.A.F.E Practices) </w:t>
      </w:r>
      <w:r w:rsidRPr="008608AA">
        <w:rPr>
          <w:color w:val="000000" w:themeColor="text1"/>
        </w:rPr>
        <w:fldChar w:fldCharType="begin" w:fldLock="1"/>
      </w:r>
      <w:r w:rsidRPr="008608AA">
        <w:rPr>
          <w:color w:val="000000" w:themeColor="text1"/>
        </w:rPr>
        <w:instrText>ADDIN CSL_CITATION { "citationItems" : [ { "id" : "ITEM-1", "itemData" : { "DOI" : "10.1016/j.gloenvcha.2014.06.007", "ISSN" : "09593780", "author" : [ { "dropping-particle" : "", "family" : "Lambin", "given" : "Eric F.", "non-dropping-particle" : "", "parse-names" : false, "suffix" : "" }, { "dropping-particle" : "", "family" : "Meyfroidt", "given" : "Patrick", "non-dropping-particle" : "", "parse-names" : false, "suffix" : "" }, { "dropping-particle" : "", "family" : "Rueda", "given" : "Ximena", "non-dropping-particle" : "", "parse-names" : false, "suffix" : "" }, { "dropping-particle" : "", "family" : "Blackman", "given" : "Allen", "non-dropping-particle" : "", "parse-names" : false, "suffix" : "" }, { "dropping-particle" : "", "family" : "B\u00f6rner", "given" : "Jan", "non-dropping-particle" : "", "parse-names" : false, "suffix" : "" }, { "dropping-particle" : "", "family" : "Cerutti", "given" : "Paolo Omar", "non-dropping-particle" : "", "parse-names" : false, "suffix" : "" }, { "dropping-particle" : "", "family" : "Dietsch", "given" : "Thomas", "non-dropping-particle" : "", "parse-names" : false, "suffix" : "" }, { "dropping-particle" : "", "family" : "Jungmann", "given" : "Laura", "non-dropping-particle" : "", "parse-names" : false, "suffix" : "" }, { "dropping-particle" : "", "family" : "Lamarque", "given" : "P\u00e9n\u00e9lope", "non-dropping-particle" : "", "parse-names" : false, "suffix" : "" }, { "dropping-particle" : "", "family" : "Lister", "given" : "Jane", "non-dropping-particle" : "", "parse-names" : false, "suffix" : "" }, { "dropping-particle" : "", "family" : "Walker", "given" : "Nathalie F.", "non-dropping-particle" : "", "parse-names" : false, "suffix" : "" }, { "dropping-particle" : "", "family" : "Wunder", "given" : "Sven", "non-dropping-particle" : "", "parse-names" : false, "suffix" : "" } ], "container-title" : "Global Environmental Change", "id" : "ITEM-1", "issued" : { "date-parts" : [ [ "2014", "9" ] ] }, "page" : "129-140", "title" : "Effectiveness and synergies of policy instruments for land use governance in tropical regions", "type" : "article-journal", "volume" : "28" }, "uris" : [ "http://www.mendeley.com/documents/?uuid=6989d439-9a4f-37a0-979c-24e5a8a00d43" ] } ], "mendeley" : { "formattedCitation" : "(Lambin &lt;i&gt;et al.&lt;/i&gt;, 2014)", "plainTextFormattedCitation" : "(Lambin et al., 2014)", "previouslyFormattedCitation" : "(Lambin &lt;i&gt;et al.&lt;/i&gt;, 2014)"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(Lambin et al., 2014)</w:t>
      </w:r>
      <w:r w:rsidRPr="008608AA">
        <w:rPr>
          <w:color w:val="000000" w:themeColor="text1"/>
        </w:rPr>
        <w:fldChar w:fldCharType="end"/>
      </w:r>
      <w:r w:rsidRPr="008608AA">
        <w:rPr>
          <w:color w:val="000000" w:themeColor="text1"/>
        </w:rPr>
        <w:t>.</w:t>
      </w:r>
    </w:p>
    <w:p w14:paraId="725E8F76" w14:textId="28D9362E" w:rsidR="009E18F7" w:rsidRPr="008608AA" w:rsidRDefault="009E18F7" w:rsidP="00BD08BA">
      <w:pPr>
        <w:rPr>
          <w:color w:val="000000" w:themeColor="text1"/>
        </w:rPr>
      </w:pPr>
      <w:r w:rsidRPr="008608AA">
        <w:rPr>
          <w:color w:val="000000" w:themeColor="text1"/>
        </w:rPr>
        <w:t xml:space="preserve"> </w:t>
      </w:r>
    </w:p>
    <w:p w14:paraId="30B28FF0" w14:textId="563944B1" w:rsidR="009E18F7" w:rsidRPr="008608AA" w:rsidRDefault="00AB2DDF" w:rsidP="00BD08BA">
      <w:r w:rsidRPr="008608AA">
        <w:rPr>
          <w:color w:val="000000" w:themeColor="text1"/>
        </w:rPr>
        <w:t>The Marine Stewardship Council</w:t>
      </w:r>
      <w:r w:rsidR="009E18F7" w:rsidRPr="008608AA">
        <w:rPr>
          <w:color w:val="000000" w:themeColor="text1"/>
        </w:rPr>
        <w:t xml:space="preserve"> is a non-profit organization that delivers the most widespread fisheries certification program. However, </w:t>
      </w:r>
      <w:r w:rsidR="009E18F7" w:rsidRPr="008608AA">
        <w:t xml:space="preserve">there are only 10 </w:t>
      </w:r>
      <w:r w:rsidRPr="008608AA">
        <w:rPr>
          <w:color w:val="000000" w:themeColor="text1"/>
        </w:rPr>
        <w:t xml:space="preserve">Marine Stewardship Council </w:t>
      </w:r>
      <w:r w:rsidR="009E18F7" w:rsidRPr="008608AA">
        <w:t>-certified fisheries in Latin America and the Caribbean, 4% of the total number of certified fisheries globally (Pérez-Ramirez et al., 2015). These authors argue that Latin America and the Caribbean certified fisheries have good performance indicators for stock status, governance and management systems, and that shortage of information and high costs prevent more fisheries to adhering to the certification scheme in the region. Globally, however, the scheme has received some criticism regarding sustainability of the target fish stock, low impacts on the ecosystem, and effective responsive management (Christian et al., 2013).</w:t>
      </w:r>
    </w:p>
    <w:p w14:paraId="6A9EA814" w14:textId="77777777" w:rsidR="00AB2DDF" w:rsidRPr="008608AA" w:rsidRDefault="00AB2DDF" w:rsidP="00BD08BA">
      <w:pPr>
        <w:rPr>
          <w:color w:val="000000" w:themeColor="text1"/>
        </w:rPr>
      </w:pPr>
    </w:p>
    <w:p w14:paraId="4D48BD95" w14:textId="6D522BD0" w:rsidR="009E18F7" w:rsidRPr="008608AA" w:rsidRDefault="009E18F7" w:rsidP="00BD08BA">
      <w:r w:rsidRPr="008608AA">
        <w:rPr>
          <w:color w:val="000000" w:themeColor="text1"/>
        </w:rPr>
        <w:t xml:space="preserve">Despite criticism in some fronts, several authors argue for the high potential additionality and low risk of leakage associated to eco-certification schemes (Lambin et al., 2014). Such schemes can create economic incentives linked to monitoring and enforcement efforts to deal with externalities caused by commodity production such as deforestation, soil erosion and agrochemical pollution. </w:t>
      </w:r>
      <w:r w:rsidRPr="008608AA">
        <w:t>‘Bat-Friendly Tequila’ brands were introduced in 2014 - a</w:t>
      </w:r>
      <w:r w:rsidR="00AB2DDF" w:rsidRPr="008608AA">
        <w:t xml:space="preserve">s a result from a Mexico-USA </w:t>
      </w:r>
      <w:r w:rsidRPr="008608AA">
        <w:t xml:space="preserve">partnership comprising scientists, tequila producers, responsible bartenders associations – and contributed significantly to bat conservation efforts. The lesser-long bat was declared ‘endangered’ in 1994 in Mexico and in 1998 in the </w:t>
      </w:r>
      <w:r w:rsidR="00AB2DDF" w:rsidRPr="008608AA">
        <w:t>USA</w:t>
      </w:r>
      <w:r w:rsidRPr="008608AA">
        <w:t xml:space="preserve"> but now its population has recovered, resulting on its removal from the endangered lists in 2015. This certification promotes blue agave (raw material for tequila) crops to blossom naturally, allowing these plants to be pollinated by bats, which in return make crops more diverse and healthy. A growing environmental awareness and public demand motivates growers, which in 2016 produced 300,000 bottles in five </w:t>
      </w:r>
      <w:r w:rsidR="00AB2DDF" w:rsidRPr="008608AA">
        <w:t>brands reaching Mexican and USA</w:t>
      </w:r>
      <w:r w:rsidRPr="008608AA">
        <w:t xml:space="preserve"> markets </w:t>
      </w:r>
      <w:r w:rsidRPr="008608AA">
        <w:rPr>
          <w:shd w:val="clear" w:color="auto" w:fill="FFFFFF"/>
        </w:rPr>
        <w:t>(</w:t>
      </w:r>
      <w:r w:rsidRPr="008608AA">
        <w:t>Trejo-Salazar et al. 2016).</w:t>
      </w:r>
    </w:p>
    <w:p w14:paraId="520A1D02" w14:textId="77777777" w:rsidR="00AB2DDF" w:rsidRPr="008608AA" w:rsidRDefault="00AB2DDF" w:rsidP="00BD08BA"/>
    <w:p w14:paraId="7A9DDD55" w14:textId="5189C92C" w:rsidR="009E18F7" w:rsidRPr="008608AA" w:rsidRDefault="009E18F7" w:rsidP="00BD08BA">
      <w:pPr>
        <w:rPr>
          <w:rFonts w:cs="MinionPro-Regular"/>
        </w:rPr>
      </w:pPr>
      <w:r w:rsidRPr="008608AA">
        <w:rPr>
          <w:color w:val="000000" w:themeColor="text1"/>
        </w:rPr>
        <w:t xml:space="preserve">The effectiveness of eco-certification varies widely and depends on the ability to enforce standards, exclude unsustainable producers, generate price premiums or other economic rewards that are sufficiently high to certify farmers </w:t>
      </w:r>
      <w:r w:rsidRPr="008608AA">
        <w:rPr>
          <w:color w:val="000000" w:themeColor="text1"/>
        </w:rPr>
        <w:fldChar w:fldCharType="begin" w:fldLock="1"/>
      </w:r>
      <w:r w:rsidRPr="008608AA">
        <w:rPr>
          <w:color w:val="000000" w:themeColor="text1"/>
        </w:rPr>
        <w:instrText>ADDIN CSL_CITATION { "citationItems" : [ { "id" : "ITEM-1", "itemData" : { "DOI" : "10.1016/j.gloenvcha.2014.06.007", "ISSN" : "09593780", "author" : [ { "dropping-particle" : "", "family" : "Lambin", "given" : "Eric F.", "non-dropping-particle" : "", "parse-names" : false, "suffix" : "" }, { "dropping-particle" : "", "family" : "Meyfroidt", "given" : "Patrick", "non-dropping-particle" : "", "parse-names" : false, "suffix" : "" }, { "dropping-particle" : "", "family" : "Rueda", "given" : "Ximena", "non-dropping-particle" : "", "parse-names" : false, "suffix" : "" }, { "dropping-particle" : "", "family" : "Blackman", "given" : "Allen", "non-dropping-particle" : "", "parse-names" : false, "suffix" : "" }, { "dropping-particle" : "", "family" : "B\u00f6rner", "given" : "Jan", "non-dropping-particle" : "", "parse-names" : false, "suffix" : "" }, { "dropping-particle" : "", "family" : "Cerutti", "given" : "Paolo Omar", "non-dropping-particle" : "", "parse-names" : false, "suffix" : "" }, { "dropping-particle" : "", "family" : "Dietsch", "given" : "Thomas", "non-dropping-particle" : "", "parse-names" : false, "suffix" : "" }, { "dropping-particle" : "", "family" : "Jungmann", "given" : "Laura", "non-dropping-particle" : "", "parse-names" : false, "suffix" : "" }, { "dropping-particle" : "", "family" : "Lamarque", "given" : "P\u00e9n\u00e9lope", "non-dropping-particle" : "", "parse-names" : false, "suffix" : "" }, { "dropping-particle" : "", "family" : "Lister", "given" : "Jane", "non-dropping-particle" : "", "parse-names" : false, "suffix" : "" }, { "dropping-particle" : "", "family" : "Walker", "given" : "Nathalie F.", "non-dropping-particle" : "", "parse-names" : false, "suffix" : "" }, { "dropping-particle" : "", "family" : "Wunder", "given" : "Sven", "non-dropping-particle" : "", "parse-names" : false, "suffix" : "" } ], "container-title" : "Global Environmental Change", "id" : "ITEM-1", "issued" : { "date-parts" : [ [ "2014", "9" ] ] }, "page" : "129-140", "title" : "Effectiveness and synergies of policy instruments for land use governance in tropical regions", "type" : "article-journal", "volume" : "28" }, "uris" : [ "http://www.mendeley.com/documents/?uuid=6989d439-9a4f-37a0-979c-24e5a8a00d43" ] } ], "mendeley" : { "formattedCitation" : "(Lambin &lt;i&gt;et al.&lt;/i&gt;, 2014)", "plainTextFormattedCitation" : "(Lambin et al., 2014)", "previouslyFormattedCitation" : "(Lambin &lt;i&gt;et al.&lt;/i&gt;, 2014)"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(Lambin et al., 2014)</w:t>
      </w:r>
      <w:r w:rsidRPr="008608AA">
        <w:rPr>
          <w:color w:val="000000" w:themeColor="text1"/>
        </w:rPr>
        <w:fldChar w:fldCharType="end"/>
      </w:r>
      <w:r w:rsidRPr="008608AA">
        <w:rPr>
          <w:color w:val="000000" w:themeColor="text1"/>
        </w:rPr>
        <w:t xml:space="preserve">. The few studies that measured farmer-level benefits from eco-certification found reduced economic benefits but key social and environmental impacts under favourable conditions, especially in the certified coffee production </w:t>
      </w:r>
      <w:r w:rsidRPr="008608AA">
        <w:rPr>
          <w:color w:val="000000" w:themeColor="text1"/>
        </w:rPr>
        <w:fldChar w:fldCharType="begin" w:fldLock="1"/>
      </w:r>
      <w:r w:rsidRPr="008608AA">
        <w:rPr>
          <w:color w:val="000000" w:themeColor="text1"/>
        </w:rPr>
        <w:instrText>ADDIN CSL_CITATION { "citationItems" : [ { "id" : "ITEM-1", "itemData" : { "DOI" : "10.1111/j.1523-1739.2011.01774.x", "ISSN" : "08888892", "author" : [ { "dropping-particle" : "", "family" : "BLACKMAN", "given" : "ALLEN", "non-dropping-particle" : "", "parse-names" : false, "suffix" : "" }, { "dropping-particle" : "", "family" : "RIVERA", "given" : "JORGE", "non-dropping-particle" : "", "parse-names" : false, "suffix" : "" } ], "container-title" : "Conservation Biology", "id" : "ITEM-1", "issue" : "6", "issued" : { "date-parts" : [ [ "2011", "12" ] ] }, "page" : "1176-1185", "publisher" : "Blackwell Publishing Inc", "title" : "Producer-Level Benefits of Sustainability Certification", "type" : "article-journal", "volume" : "25" }, "uris" : [ "http://www.mendeley.com/documents/?uuid=7729d1eb-4e15-3df5-a536-f375ca3c1951" ] }, { "id" : "ITEM-2", "itemData" : { "DOI" : "10.1016/j.ecolecon.2012.08.001", "ISSN" : "09218009", "author" : [ { "dropping-particle" : "", "family" : "Blackman", "given" : "Allen", "non-dropping-particle" : "", "parse-names" : false, "suffix" : "" }, { "dropping-particle" : "", "family" : "Naranjo", "given" : "Maria A.", "non-dropping-particle" : "", "parse-names" : false, "suffix" : "" } ], "container-title" : "Ecological Economics", "id" : "ITEM-2", "issued" : { "date-parts" : [ [ "2012", "11" ] ] }, "page" : "58-66", "title" : "Does eco-certification have environmental benefits? Organic coffee in Costa Rica", "type" : "article-journal", "volume" : "83" }, "uris" : [ "http://www.mendeley.com/documents/?uuid=7c337fc6-acb0-3e67-bd5a-851fa533b864" ] }, { "id" : "ITEM-3", "itemData" : { "DOI" : "10.5751/ES-05595-180321", "ISSN" : "1708-3087", "author" : [ { "dropping-particle" : "", "family" : "Rueda", "given" : "Ximena", "non-dropping-particle" : "", "parse-names" : false, "suffix" : "" }, { "dropping-particle" : "", "family" : "Lambin", "given" : "Eric F.", "non-dropping-particle" : "", "parse-names" : false, "suffix" : "" } ], "container-title" : "Ecology and Society", "id" : "ITEM-3", "issue" : "3", "issued" : { "date-parts" : [ [ "2013" ] ] }, "page" : "art21", "publisher" : "The Resilience Alliance", "title" : "Responding to Globalization: Impacts of Certification on Colombian Small-Scale Coffee Growers", "type" : "article-journal", "volume" : "18" }, "uris" : [ "http://www.mendeley.com/documents/?uuid=7609d5d6-c256-38c1-98a9-e428126cf9ad" ] }, { "id" : "ITEM-4", "itemData" : { "DOI" : "10.1890/02-5225", "ISSN" : "1051-0761", "author" : [ { "dropping-particle" : "", "family" : "Mas", "given" : "Alexandre H.", "non-dropping-particle" : "", "parse-names" : false, "suffix" : "" }, { "dropping-particle" : "V.", "family" : "Dietsch", "given" : "Thomas", "non-dropping-particle" : "", "parse-names" : false, "suffix" : "" } ], "container-title" : "Ecological Applications", "id" : "ITEM-4", "issue" : "3", "issued" : { "date-parts" : [ [ "2004", "6" ] ] }, "page" : "642-654", "publisher" : "Ecological Society of America", "title" : "LINKING SHADE COFFEE CERTIFICATION TO BIODIVERSITY CONSERVATION: BUTTERFLIES AND BIRDS IN CHIAPAS, MEXICO", "type" : "article-journal", "volume" : "14" }, "uris" : [ "http://www.mendeley.com/documents/?uuid=6e20f1dc-1fb7-3132-93ea-261a1de4b9cb" ] } ], "mendeley" : { "formattedCitation" : "(Mas and Dietsch, 2004; BLACKMAN and RIVERA, 2011; Blackman and Naranjo, 2012; Rueda and Lambin, 2013)", "plainTextFormattedCitation" : "(Mas and Dietsch, 2004; BLACKMAN and RIVERA, 2011; Blackman and Naranjo, 2012; Rueda and Lambin, 2013)" }, "properties" : { "noteIndex" : 0 }, "schema" : "https://github.com/citation-style-language/schema/raw/master/csl-citation.json" }</w:instrText>
      </w:r>
      <w:r w:rsidRPr="008608AA">
        <w:rPr>
          <w:color w:val="000000" w:themeColor="text1"/>
        </w:rPr>
        <w:fldChar w:fldCharType="separate"/>
      </w:r>
      <w:r w:rsidR="0023266C" w:rsidRPr="008608AA">
        <w:rPr>
          <w:noProof/>
          <w:color w:val="000000" w:themeColor="text1"/>
        </w:rPr>
        <w:t>(Mas &amp; Dietsch, 2004; Blackman &amp; Rivera, 2011; Blackman &amp; Naranjo, 2012; Rueda &amp;</w:t>
      </w:r>
      <w:r w:rsidRPr="008608AA">
        <w:rPr>
          <w:noProof/>
          <w:color w:val="000000" w:themeColor="text1"/>
        </w:rPr>
        <w:t xml:space="preserve"> Lambin, 2013)</w:t>
      </w:r>
      <w:r w:rsidRPr="008608AA">
        <w:rPr>
          <w:color w:val="000000" w:themeColor="text1"/>
        </w:rPr>
        <w:fldChar w:fldCharType="end"/>
      </w:r>
      <w:r w:rsidRPr="008608AA">
        <w:rPr>
          <w:color w:val="000000" w:themeColor="text1"/>
        </w:rPr>
        <w:t xml:space="preserve">. Overall, there is a need for improved evaluation of the effectiveness of eco-certification </w:t>
      </w:r>
      <w:r w:rsidRPr="008608AA">
        <w:rPr>
          <w:color w:val="000000" w:themeColor="text1"/>
        </w:rPr>
        <w:fldChar w:fldCharType="begin" w:fldLock="1"/>
      </w:r>
      <w:r w:rsidRPr="008608AA">
        <w:rPr>
          <w:color w:val="000000" w:themeColor="text1"/>
        </w:rPr>
        <w:instrText>ADDIN CSL_CITATION { "citationItems" : [ { "id" : "ITEM-1", "itemData" : { "DOI" : "10.1016/j.gloenvcha.2014.06.007", "ISSN" : "09593780", "author" : [ { "dropping-particle" : "", "family" : "Lambin", "given" : "Eric F.", "non-dropping-particle" : "", "parse-names" : false, "suffix" : "" }, { "dropping-particle" : "", "family" : "Meyfroidt", "given" : "Patrick", "non-dropping-particle" : "", "parse-names" : false, "suffix" : "" }, { "dropping-particle" : "", "family" : "Rueda", "given" : "Ximena", "non-dropping-particle" : "", "parse-names" : false, "suffix" : "" }, { "dropping-particle" : "", "family" : "Blackman", "given" : "Allen", "non-dropping-particle" : "", "parse-names" : false, "suffix" : "" }, { "dropping-particle" : "", "family" : "B\u00f6rner", "given" : "Jan", "non-dropping-particle" : "", "parse-names" : false, "suffix" : "" }, { "dropping-particle" : "", "family" : "Cerutti", "given" : "Paolo Omar", "non-dropping-particle" : "", "parse-names" : false, "suffix" : "" }, { "dropping-particle" : "", "family" : "Dietsch", "given" : "Thomas", "non-dropping-particle" : "", "parse-names" : false, "suffix" : "" }, { "dropping-particle" : "", "family" : "Jungmann", "given" : "Laura", "non-dropping-particle" : "", "parse-names" : false, "suffix" : "" }, { "dropping-particle" : "", "family" : "Lamarque", "given" : "P\u00e9n\u00e9lope", "non-dropping-particle" : "", "parse-names" : false, "suffix" : "" }, { "dropping-particle" : "", "family" : "Lister", "given" : "Jane", "non-dropping-particle" : "", "parse-names" : false, "suffix" : "" }, { "dropping-particle" : "", "family" : "Walker", "given" : "Nathalie F.", "non-dropping-particle" : "", "parse-names" : false, "suffix" : "" }, { "dropping-particle" : "", "family" : "Wunder", "given" : "Sven", "non-dropping-particle" : "", "parse-names" : false, "suffix" : "" } ], "container-title" : "Global Environmental Change", "id" : "ITEM-1", "issued" : { "date-parts" : [ [ "2014", "9" ] ] }, "page" : "129-140", "title" : "Effectiveness and synergies of policy instruments for land use governance in tropical regions", "type" : "article-journal", "volume" : "28" }, "uris" : [ "http://www.mendeley.com/documents/?uuid=6989d439-9a4f-37a0-979c-24e5a8a00d43" ] }, { "id" : "ITEM-2", "itemData" : { "DOI" : "10.1111/conl.12314", "ISSN" : "1755263X", "author" : [ { "dropping-particle" : "", "family" : "Tayleur", "given" : "Catherine", "non-dropping-particle" : "", "parse-names" : false, "suffix" : "" }, { "dropping-particle" : "", "family" : "Balmford", "given" : "Andrew", "non-dropping-particle" : "", "parse-names" : false, "suffix" : "" }, { "dropping-particle" : "", "family" : "Buchanan", "given" : "Graeme M.", "non-dropping-particle" : "", "parse-names" : false, "suffix" : "" }, { "dropping-particle" : "", "family" : "Butchart", "given" : "Stuart H. M.", "non-dropping-particle" : "", "parse-names" : false, "suffix" : "" }, { "dropping-particle" : "", "family" : "Ducharme", "given" : "Heather", "non-dropping-particle" : "", "parse-names" : false, "suffix" : "" }, { "dropping-particle" : "", "family" : "Green", "given" : "Rhys E.", "non-dropping-particle" : "", "parse-names" : false, "suffix" : "" }, { "dropping-particle" : "", "family" : "Milder", "given" : "Jeffrey C.", "non-dropping-particle" : "", "parse-names" : false, "suffix" : "" }, { "dropping-particle" : "", "family" : "Sanderson", "given" : "Fiona J.", "non-dropping-particle" : "", "parse-names" : false, "suffix" : "" }, { "dropping-particle" : "", "family" : "Thomas", "given" : "David H. L.", "non-dropping-particle" : "", "parse-names" : false, "suffix" : "" }, { "dropping-particle" : "", "family" : "Vickery", "given" : "Juliet", "non-dropping-particle" : "", "parse-names" : false, "suffix" : "" }, { "dropping-particle" : "", "family" : "Phalan", "given" : "Ben", "non-dropping-particle" : "", "parse-names" : false, "suffix" : "" } ], "container-title" : "Conservation Letters", "id" : "ITEM-2", "issued" : { "date-parts" : [ [ "2016", "11" ] ] }, "title" : "Global Coverage of Agricultural Sustainability Standards, and Their Role in Conserving Biodiversity", "type" : "article-journal" }, "uris" : [ "http://www.mendeley.com/documents/?uuid=f0f0d62a-aef5-3672-b103-c5a767695cdb" ] } ], "mendeley" : { "formattedCitation" : "(Lambin &lt;i&gt;et al.&lt;/i&gt;, 2014; Tayleur &lt;i&gt;et al.&lt;/i&gt;, 2016)", "plainTextFormattedCitation" : "(Lambin et al., 2014; Tayleur et al., 2016)", "previouslyFormattedCitation" : "(Lambin &lt;i&gt;et al.&lt;/i&gt;, 2014; Tayleur &lt;i&gt;et al.&lt;/i&gt;, 2016)" }, "properties" : { "noteIndex" : 0 }, "schema" : "https://github.com/citation-style-language/schema/raw/master/csl-citation.json" }</w:instrText>
      </w:r>
      <w:r w:rsidRPr="008608AA">
        <w:rPr>
          <w:color w:val="000000" w:themeColor="text1"/>
        </w:rPr>
        <w:fldChar w:fldCharType="separate"/>
      </w:r>
      <w:r w:rsidRPr="008608AA">
        <w:rPr>
          <w:noProof/>
          <w:color w:val="000000" w:themeColor="text1"/>
        </w:rPr>
        <w:t>(Lambin et</w:t>
      </w:r>
      <w:r w:rsidR="004F124C" w:rsidRPr="008608AA">
        <w:rPr>
          <w:noProof/>
          <w:color w:val="000000" w:themeColor="text1"/>
        </w:rPr>
        <w:t xml:space="preserve"> al., 2014; Tayleur et al., 2017</w:t>
      </w:r>
      <w:r w:rsidRPr="008608AA">
        <w:rPr>
          <w:noProof/>
          <w:color w:val="000000" w:themeColor="text1"/>
        </w:rPr>
        <w:t>)</w:t>
      </w:r>
      <w:r w:rsidRPr="008608AA">
        <w:rPr>
          <w:color w:val="000000" w:themeColor="text1"/>
        </w:rPr>
        <w:fldChar w:fldCharType="end"/>
      </w:r>
      <w:r w:rsidRPr="008608AA">
        <w:rPr>
          <w:color w:val="000000" w:themeColor="text1"/>
        </w:rPr>
        <w:t xml:space="preserve">. In addition, to promote lasting impacts, eco-certification shall strengthen institutions and partnerships on the demand side and ensure that farmers are compensated for the added costs associated with certification on the supply side </w:t>
      </w:r>
      <w:r w:rsidRPr="008608AA">
        <w:rPr>
          <w:rFonts w:cs="MinionPro-Regular"/>
        </w:rPr>
        <w:fldChar w:fldCharType="begin" w:fldLock="1"/>
      </w:r>
      <w:r w:rsidRPr="008608AA">
        <w:rPr>
          <w:rFonts w:cs="MinionPro-Regular"/>
        </w:rPr>
        <w:instrText>ADDIN CSL_CITATION { "citationItems" : [ { "id" : "ITEM-1", "itemData" : { "DOI" : "10.1088/1748-9326/9/3/031002", "ISSN" : "1748-9326", "author" : [ { "dropping-particle" : "", "family" : "VanWey", "given" : "Leah K", "non-dropping-particle" : "", "parse-names" : false, "suffix" : "" }, { "dropping-particle" : "", "family" : "Richards", "given" : "Peter D", "non-dropping-particle" : "", "parse-names" : false, "suffix" : "" } ], "container-title" : "Environmental Research Letters", "id" : "ITEM-1", "issue" : "3", "issued" : { "date-parts" : [ [ "2014", "3", "1" ] ] }, "page" : "031002", "publisher" : "IOP Publishing", "title" : "Eco-certification and greening the Brazilian soy and corn supply chains", "type" : "article-journal", "volume" : "9" }, "uris" : [ "http://www.mendeley.com/documents/?uuid=e448e1d7-a28e-376e-8235-e86a597b5983" ] } ], "mendeley" : { "formattedCitation" : "(VanWey and Richards, 2014)", "plainTextFormattedCitation" : "(VanWey and Richards, 2014)", "previouslyFormattedCitation" : "(VanWey and Richards, 2014)" }, "properties" : { "noteIndex" : 0 }, "schema" : "https://github.com/citation-style-language/schema/raw/master/csl-citation.json" }</w:instrText>
      </w:r>
      <w:r w:rsidRPr="008608AA">
        <w:rPr>
          <w:rFonts w:cs="MinionPro-Regular"/>
        </w:rPr>
        <w:fldChar w:fldCharType="separate"/>
      </w:r>
      <w:r w:rsidR="0023266C" w:rsidRPr="008608AA">
        <w:rPr>
          <w:rFonts w:cs="MinionPro-Regular"/>
          <w:noProof/>
        </w:rPr>
        <w:t>(VanWey &amp;</w:t>
      </w:r>
      <w:r w:rsidRPr="008608AA">
        <w:rPr>
          <w:rFonts w:cs="MinionPro-Regular"/>
          <w:noProof/>
        </w:rPr>
        <w:t xml:space="preserve"> Richards, 2014)</w:t>
      </w:r>
      <w:r w:rsidRPr="008608AA">
        <w:rPr>
          <w:rFonts w:cs="MinionPro-Regular"/>
        </w:rPr>
        <w:fldChar w:fldCharType="end"/>
      </w:r>
      <w:r w:rsidRPr="008608AA">
        <w:rPr>
          <w:rFonts w:cs="MinionPro-Regular"/>
        </w:rPr>
        <w:t xml:space="preserve">. </w:t>
      </w:r>
    </w:p>
    <w:p w14:paraId="15410EC7" w14:textId="77777777" w:rsidR="009E18F7" w:rsidRPr="008608AA" w:rsidRDefault="009E18F7" w:rsidP="00BD08BA">
      <w:r w:rsidRPr="008608AA">
        <w:t xml:space="preserve">Environmental bonds are still another type of market mechanism. It is a deposit-refund system that secures environmental restitution in cases of high impact and harmful practices (Gerard, 2000; Boyd, 2002). This instrument can incentivize land users, industries, and companies to improve monitoring and management systems, and could be based on the potential loss of the environmental services and relative risk of possible damages (Garcia et al., 2017). </w:t>
      </w:r>
    </w:p>
    <w:p w14:paraId="7BE0965F" w14:textId="595FF7E6" w:rsidR="009E18F7" w:rsidRPr="008608AA" w:rsidRDefault="009E18F7" w:rsidP="00BD08BA">
      <w:pPr>
        <w:rPr>
          <w:b/>
        </w:rPr>
      </w:pPr>
      <w:r w:rsidRPr="008608AA">
        <w:t xml:space="preserve">Other examples of </w:t>
      </w:r>
      <w:r w:rsidR="007C45FD" w:rsidRPr="008608AA">
        <w:t>sub</w:t>
      </w:r>
      <w:r w:rsidRPr="008608AA">
        <w:t>regional policies and entities regarding the regulation and freedom of markets and perceived results are summarized in Box 6.3 (</w:t>
      </w:r>
      <w:r w:rsidR="00B20C8E" w:rsidRPr="008608AA">
        <w:t>section</w:t>
      </w:r>
      <w:r w:rsidR="00A47F44" w:rsidRPr="008608AA">
        <w:t xml:space="preserve"> </w:t>
      </w:r>
      <w:r w:rsidRPr="008608AA">
        <w:t>6.5).</w:t>
      </w:r>
      <w:r w:rsidRPr="008608AA">
        <w:rPr>
          <w:b/>
        </w:rPr>
        <w:t xml:space="preserve"> </w:t>
      </w:r>
    </w:p>
    <w:p w14:paraId="71F5AF8C" w14:textId="77777777" w:rsidR="009E18F7" w:rsidRPr="008608AA" w:rsidRDefault="009E18F7" w:rsidP="00C32AE2">
      <w:pPr>
        <w:rPr>
          <w:color w:val="000000" w:themeColor="text1"/>
        </w:rPr>
        <w:sectPr w:rsidR="009E18F7" w:rsidRPr="008608AA" w:rsidSect="00BD08BA">
          <w:pgSz w:w="11907" w:h="16839" w:code="9"/>
          <w:pgMar w:top="907" w:right="992" w:bottom="1418" w:left="1418" w:header="708" w:footer="708" w:gutter="0"/>
          <w:cols w:space="708"/>
          <w:docGrid w:linePitch="360"/>
        </w:sectPr>
      </w:pPr>
    </w:p>
    <w:p w14:paraId="795C8392" w14:textId="5A162096" w:rsidR="009E18F7" w:rsidRPr="008608AA" w:rsidRDefault="00BD08BA" w:rsidP="00BD08BA">
      <w:pPr>
        <w:pStyle w:val="Caption"/>
        <w:rPr>
          <w:szCs w:val="20"/>
        </w:rPr>
      </w:pPr>
      <w:bookmarkStart w:id="2448" w:name="_Toc482710198"/>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6</w:t>
      </w:r>
      <w:r w:rsidR="000E562E">
        <w:rPr>
          <w:noProof/>
        </w:rPr>
        <w:fldChar w:fldCharType="end"/>
      </w:r>
      <w:r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2</w:t>
      </w:r>
      <w:r w:rsidR="000E562E">
        <w:rPr>
          <w:noProof/>
        </w:rPr>
        <w:fldChar w:fldCharType="end"/>
      </w:r>
      <w:r w:rsidRPr="008608AA">
        <w:t xml:space="preserve">. </w:t>
      </w:r>
      <w:r w:rsidR="009E18F7" w:rsidRPr="008608AA">
        <w:rPr>
          <w:szCs w:val="20"/>
        </w:rPr>
        <w:t>Certification schemes for soybeans, coffee and cattle in the Americas including the type of eco-certification and a brief summary of what is certified, by whom it is managed and the countries where the certification is found.</w:t>
      </w:r>
      <w:bookmarkEnd w:id="2448"/>
    </w:p>
    <w:p w14:paraId="6D305FAA" w14:textId="09AF2D28" w:rsidR="009E18F7" w:rsidRPr="008608AA" w:rsidRDefault="009E18F7" w:rsidP="005D0F18">
      <w:pPr>
        <w:autoSpaceDE w:val="0"/>
        <w:autoSpaceDN w:val="0"/>
        <w:adjustRightInd w:val="0"/>
        <w:ind w:right="851"/>
        <w:rPr>
          <w:rFonts w:cs="MinionPro-Regular"/>
          <w:b/>
          <w:sz w:val="20"/>
          <w:szCs w:val="20"/>
          <w:lang w:val="es-CO"/>
        </w:rPr>
      </w:pPr>
      <w:r w:rsidRPr="008608AA">
        <w:rPr>
          <w:rFonts w:cs="MinionPro-Regular"/>
          <w:b/>
          <w:sz w:val="20"/>
          <w:szCs w:val="20"/>
          <w:lang w:val="es-CO"/>
        </w:rPr>
        <w:t>Countries are (1) Argentina, (2) , (3) Bolivia, (4) Brazil, (5) Canada, (6) Chile, (7) Colombia, (8) Costa Rica, (9) Ecuador, (10) El Salvador, (11) Guatemala, (12) Mexico, (13) Paraguay, (14) Peru, (15)</w:t>
      </w:r>
      <w:r w:rsidR="00F90B7C" w:rsidRPr="008608AA">
        <w:rPr>
          <w:rFonts w:cs="MinionPro-Regular"/>
          <w:b/>
          <w:sz w:val="20"/>
          <w:szCs w:val="20"/>
          <w:lang w:val="es-CO"/>
        </w:rPr>
        <w:t xml:space="preserve"> Puerto Rico, (16) USA</w:t>
      </w:r>
      <w:r w:rsidRPr="008608AA">
        <w:rPr>
          <w:rFonts w:cs="MinionPro-Regular"/>
          <w:b/>
          <w:sz w:val="20"/>
          <w:szCs w:val="20"/>
          <w:lang w:val="es-CO"/>
        </w:rPr>
        <w:t>.</w:t>
      </w:r>
    </w:p>
    <w:tbl>
      <w:tblPr>
        <w:tblStyle w:val="TableGrid"/>
        <w:tblW w:w="5000" w:type="pct"/>
        <w:tblLayout w:type="fixed"/>
        <w:tblLook w:val="04A0" w:firstRow="1" w:lastRow="0" w:firstColumn="1" w:lastColumn="0" w:noHBand="0" w:noVBand="1"/>
      </w:tblPr>
      <w:tblGrid>
        <w:gridCol w:w="1460"/>
        <w:gridCol w:w="2138"/>
        <w:gridCol w:w="4380"/>
        <w:gridCol w:w="2094"/>
        <w:gridCol w:w="1256"/>
        <w:gridCol w:w="3176"/>
      </w:tblGrid>
      <w:tr w:rsidR="00686508" w:rsidRPr="00FE4CC2" w14:paraId="7257C858" w14:textId="77777777" w:rsidTr="00BD08BA">
        <w:tc>
          <w:tcPr>
            <w:tcW w:w="503" w:type="pct"/>
            <w:shd w:val="clear" w:color="auto" w:fill="BFBFBF" w:themeFill="background1" w:themeFillShade="BF"/>
          </w:tcPr>
          <w:p w14:paraId="73D2DEB0" w14:textId="77777777" w:rsidR="009E18F7" w:rsidRPr="00FE4CC2" w:rsidRDefault="009E18F7" w:rsidP="005D0F18">
            <w:pPr>
              <w:widowControl w:val="0"/>
              <w:rPr>
                <w:b/>
                <w:color w:val="000000" w:themeColor="text1"/>
                <w:szCs w:val="22"/>
              </w:rPr>
            </w:pPr>
            <w:r w:rsidRPr="00FE4CC2">
              <w:rPr>
                <w:b/>
                <w:color w:val="000000" w:themeColor="text1"/>
                <w:szCs w:val="22"/>
              </w:rPr>
              <w:t>Commodity</w:t>
            </w:r>
          </w:p>
        </w:tc>
        <w:tc>
          <w:tcPr>
            <w:tcW w:w="737" w:type="pct"/>
            <w:shd w:val="clear" w:color="auto" w:fill="BFBFBF" w:themeFill="background1" w:themeFillShade="BF"/>
          </w:tcPr>
          <w:p w14:paraId="7BB5EF5C" w14:textId="77777777" w:rsidR="009E18F7" w:rsidRPr="00FE4CC2" w:rsidRDefault="009E18F7" w:rsidP="005D0F18">
            <w:pPr>
              <w:widowControl w:val="0"/>
              <w:rPr>
                <w:b/>
                <w:color w:val="000000" w:themeColor="text1"/>
                <w:szCs w:val="22"/>
              </w:rPr>
            </w:pPr>
            <w:r w:rsidRPr="00FE4CC2">
              <w:rPr>
                <w:b/>
                <w:color w:val="000000" w:themeColor="text1"/>
                <w:szCs w:val="22"/>
              </w:rPr>
              <w:t>Certification type</w:t>
            </w:r>
          </w:p>
        </w:tc>
        <w:tc>
          <w:tcPr>
            <w:tcW w:w="1510" w:type="pct"/>
            <w:shd w:val="clear" w:color="auto" w:fill="BFBFBF" w:themeFill="background1" w:themeFillShade="BF"/>
          </w:tcPr>
          <w:p w14:paraId="0DAC8C25" w14:textId="77777777" w:rsidR="009E18F7" w:rsidRPr="00FE4CC2" w:rsidRDefault="009E18F7" w:rsidP="005D0F18">
            <w:pPr>
              <w:widowControl w:val="0"/>
              <w:rPr>
                <w:b/>
                <w:color w:val="000000" w:themeColor="text1"/>
                <w:szCs w:val="22"/>
              </w:rPr>
            </w:pPr>
            <w:r w:rsidRPr="00FE4CC2">
              <w:rPr>
                <w:b/>
                <w:color w:val="000000" w:themeColor="text1"/>
                <w:szCs w:val="22"/>
              </w:rPr>
              <w:t>Brief description</w:t>
            </w:r>
          </w:p>
        </w:tc>
        <w:tc>
          <w:tcPr>
            <w:tcW w:w="722" w:type="pct"/>
            <w:shd w:val="clear" w:color="auto" w:fill="BFBFBF" w:themeFill="background1" w:themeFillShade="BF"/>
          </w:tcPr>
          <w:p w14:paraId="2F891453" w14:textId="77777777" w:rsidR="009E18F7" w:rsidRPr="00FE4CC2" w:rsidRDefault="009E18F7" w:rsidP="005D0F18">
            <w:pPr>
              <w:widowControl w:val="0"/>
              <w:rPr>
                <w:b/>
                <w:color w:val="000000" w:themeColor="text1"/>
                <w:szCs w:val="22"/>
              </w:rPr>
            </w:pPr>
            <w:r w:rsidRPr="00FE4CC2">
              <w:rPr>
                <w:b/>
                <w:color w:val="000000" w:themeColor="text1"/>
                <w:szCs w:val="22"/>
              </w:rPr>
              <w:t>Managed by</w:t>
            </w:r>
          </w:p>
        </w:tc>
        <w:tc>
          <w:tcPr>
            <w:tcW w:w="433" w:type="pct"/>
            <w:shd w:val="clear" w:color="auto" w:fill="BFBFBF" w:themeFill="background1" w:themeFillShade="BF"/>
          </w:tcPr>
          <w:p w14:paraId="38DD866D" w14:textId="77777777" w:rsidR="009E18F7" w:rsidRPr="00FE4CC2" w:rsidRDefault="009E18F7" w:rsidP="005D0F18">
            <w:pPr>
              <w:widowControl w:val="0"/>
              <w:rPr>
                <w:b/>
                <w:color w:val="000000" w:themeColor="text1"/>
                <w:szCs w:val="22"/>
              </w:rPr>
            </w:pPr>
            <w:r w:rsidRPr="00FE4CC2">
              <w:rPr>
                <w:b/>
                <w:color w:val="000000" w:themeColor="text1"/>
                <w:szCs w:val="22"/>
              </w:rPr>
              <w:t xml:space="preserve">Countries </w:t>
            </w:r>
          </w:p>
        </w:tc>
        <w:tc>
          <w:tcPr>
            <w:tcW w:w="1095" w:type="pct"/>
            <w:shd w:val="clear" w:color="auto" w:fill="BFBFBF" w:themeFill="background1" w:themeFillShade="BF"/>
          </w:tcPr>
          <w:p w14:paraId="257AC802" w14:textId="77777777" w:rsidR="009E18F7" w:rsidRPr="00FE4CC2" w:rsidRDefault="009E18F7" w:rsidP="005D0F18">
            <w:pPr>
              <w:widowControl w:val="0"/>
              <w:rPr>
                <w:b/>
                <w:color w:val="000000" w:themeColor="text1"/>
                <w:szCs w:val="22"/>
              </w:rPr>
            </w:pPr>
            <w:r w:rsidRPr="00FE4CC2">
              <w:rPr>
                <w:b/>
                <w:color w:val="000000" w:themeColor="text1"/>
                <w:szCs w:val="22"/>
              </w:rPr>
              <w:t>References/weblinks</w:t>
            </w:r>
          </w:p>
        </w:tc>
      </w:tr>
      <w:tr w:rsidR="00686508" w:rsidRPr="00FE4CC2" w14:paraId="47B410AA" w14:textId="77777777" w:rsidTr="00BD08BA">
        <w:trPr>
          <w:trHeight w:val="449"/>
        </w:trPr>
        <w:tc>
          <w:tcPr>
            <w:tcW w:w="503" w:type="pct"/>
            <w:vMerge w:val="restart"/>
          </w:tcPr>
          <w:p w14:paraId="2CADCD15" w14:textId="77777777" w:rsidR="009E18F7" w:rsidRPr="00FE4CC2" w:rsidRDefault="009E18F7" w:rsidP="005D0F18">
            <w:pPr>
              <w:widowControl w:val="0"/>
              <w:rPr>
                <w:color w:val="000000" w:themeColor="text1"/>
                <w:szCs w:val="22"/>
              </w:rPr>
            </w:pPr>
            <w:r w:rsidRPr="00FE4CC2">
              <w:rPr>
                <w:color w:val="000000" w:themeColor="text1"/>
                <w:szCs w:val="22"/>
              </w:rPr>
              <w:t>Soybean*</w:t>
            </w:r>
          </w:p>
        </w:tc>
        <w:tc>
          <w:tcPr>
            <w:tcW w:w="737" w:type="pct"/>
          </w:tcPr>
          <w:p w14:paraId="22A174E0" w14:textId="57005F9D" w:rsidR="009E18F7" w:rsidRPr="00FE4CC2" w:rsidRDefault="009E18F7" w:rsidP="005D0F18">
            <w:pPr>
              <w:widowControl w:val="0"/>
              <w:rPr>
                <w:color w:val="000000" w:themeColor="text1"/>
                <w:szCs w:val="22"/>
                <w:lang w:val="es-CO"/>
              </w:rPr>
            </w:pPr>
            <w:r w:rsidRPr="00FE4CC2">
              <w:rPr>
                <w:color w:val="000000" w:themeColor="text1"/>
                <w:szCs w:val="22"/>
                <w:lang w:val="es-CO"/>
              </w:rPr>
              <w:t>U</w:t>
            </w:r>
            <w:r w:rsidR="00BD08BA" w:rsidRPr="00FE4CC2">
              <w:rPr>
                <w:color w:val="000000" w:themeColor="text1"/>
                <w:szCs w:val="22"/>
                <w:lang w:val="es-CO"/>
              </w:rPr>
              <w:t>SA</w:t>
            </w:r>
            <w:r w:rsidRPr="00FE4CC2">
              <w:rPr>
                <w:color w:val="000000" w:themeColor="text1"/>
                <w:szCs w:val="22"/>
                <w:lang w:val="es-CO"/>
              </w:rPr>
              <w:t xml:space="preserve"> Soy Sustainability Assurance Protocol (SSAP)</w:t>
            </w:r>
          </w:p>
        </w:tc>
        <w:tc>
          <w:tcPr>
            <w:tcW w:w="1510" w:type="pct"/>
          </w:tcPr>
          <w:p w14:paraId="270D6B7A" w14:textId="77777777" w:rsidR="009E18F7" w:rsidRPr="00FE4CC2" w:rsidRDefault="009E18F7" w:rsidP="005D0F18">
            <w:pPr>
              <w:widowControl w:val="0"/>
              <w:rPr>
                <w:color w:val="000000" w:themeColor="text1"/>
                <w:szCs w:val="22"/>
              </w:rPr>
            </w:pPr>
            <w:r w:rsidRPr="00FE4CC2">
              <w:rPr>
                <w:color w:val="000000" w:themeColor="text1"/>
                <w:szCs w:val="22"/>
              </w:rPr>
              <w:t>Certification of Sustainability U.S. Soy based on participation in U.S. farm program</w:t>
            </w:r>
          </w:p>
        </w:tc>
        <w:tc>
          <w:tcPr>
            <w:tcW w:w="722" w:type="pct"/>
          </w:tcPr>
          <w:p w14:paraId="48E0E057" w14:textId="77777777" w:rsidR="009E18F7" w:rsidRPr="00FE4CC2" w:rsidRDefault="009E18F7" w:rsidP="005D0F18">
            <w:pPr>
              <w:widowControl w:val="0"/>
              <w:rPr>
                <w:color w:val="000000" w:themeColor="text1"/>
                <w:szCs w:val="22"/>
              </w:rPr>
            </w:pPr>
            <w:r w:rsidRPr="00FE4CC2">
              <w:rPr>
                <w:color w:val="000000" w:themeColor="text1"/>
                <w:szCs w:val="22"/>
              </w:rPr>
              <w:t>The U.S. Soybean Export Council (USSEC)</w:t>
            </w:r>
          </w:p>
        </w:tc>
        <w:tc>
          <w:tcPr>
            <w:tcW w:w="433" w:type="pct"/>
          </w:tcPr>
          <w:p w14:paraId="760B4C35" w14:textId="77777777" w:rsidR="009E18F7" w:rsidRPr="00FE4CC2" w:rsidRDefault="009E18F7" w:rsidP="005D0F18">
            <w:pPr>
              <w:widowControl w:val="0"/>
              <w:rPr>
                <w:color w:val="000000" w:themeColor="text1"/>
                <w:szCs w:val="22"/>
              </w:rPr>
            </w:pPr>
            <w:r w:rsidRPr="00FE4CC2">
              <w:rPr>
                <w:color w:val="000000" w:themeColor="text1"/>
                <w:szCs w:val="22"/>
              </w:rPr>
              <w:t>16</w:t>
            </w:r>
          </w:p>
        </w:tc>
        <w:tc>
          <w:tcPr>
            <w:tcW w:w="1095" w:type="pct"/>
          </w:tcPr>
          <w:p w14:paraId="2A778EF5" w14:textId="53F12AE4" w:rsidR="009E18F7" w:rsidRPr="00FE4CC2" w:rsidRDefault="00E84199" w:rsidP="005D0F18">
            <w:pPr>
              <w:widowControl w:val="0"/>
              <w:autoSpaceDE w:val="0"/>
              <w:autoSpaceDN w:val="0"/>
              <w:adjustRightInd w:val="0"/>
              <w:ind w:left="480" w:hanging="480"/>
              <w:rPr>
                <w:noProof/>
                <w:szCs w:val="22"/>
              </w:rPr>
            </w:pPr>
            <w:hyperlink r:id="rId1072" w:history="1">
              <w:r w:rsidR="009E18F7" w:rsidRPr="00FE4CC2">
                <w:rPr>
                  <w:rStyle w:val="Hyperlink"/>
                  <w:noProof/>
                  <w:szCs w:val="22"/>
                </w:rPr>
                <w:t>https://certification.ussec.org/</w:t>
              </w:r>
            </w:hyperlink>
          </w:p>
        </w:tc>
      </w:tr>
      <w:tr w:rsidR="00686508" w:rsidRPr="00FE4CC2" w14:paraId="0D942AE4" w14:textId="77777777" w:rsidTr="00BD08BA">
        <w:trPr>
          <w:trHeight w:val="1106"/>
        </w:trPr>
        <w:tc>
          <w:tcPr>
            <w:tcW w:w="503" w:type="pct"/>
            <w:vMerge/>
          </w:tcPr>
          <w:p w14:paraId="61F0246B" w14:textId="77777777" w:rsidR="009E18F7" w:rsidRPr="00FE4CC2" w:rsidRDefault="009E18F7" w:rsidP="005D0F18">
            <w:pPr>
              <w:widowControl w:val="0"/>
              <w:rPr>
                <w:color w:val="000000" w:themeColor="text1"/>
                <w:szCs w:val="22"/>
              </w:rPr>
            </w:pPr>
          </w:p>
        </w:tc>
        <w:tc>
          <w:tcPr>
            <w:tcW w:w="737" w:type="pct"/>
          </w:tcPr>
          <w:p w14:paraId="54B214D5" w14:textId="77777777" w:rsidR="009E18F7" w:rsidRPr="00FE4CC2" w:rsidRDefault="009E18F7" w:rsidP="005D0F18">
            <w:pPr>
              <w:widowControl w:val="0"/>
              <w:rPr>
                <w:color w:val="000000" w:themeColor="text1"/>
                <w:szCs w:val="22"/>
                <w:lang w:val="fr-CA"/>
              </w:rPr>
            </w:pPr>
            <w:r w:rsidRPr="00FE4CC2">
              <w:rPr>
                <w:color w:val="000000" w:themeColor="text1"/>
                <w:szCs w:val="22"/>
                <w:lang w:val="fr-CA"/>
              </w:rPr>
              <w:t>Cert ID Non-GMO Soy Certification/ Proterra Standard</w:t>
            </w:r>
          </w:p>
        </w:tc>
        <w:tc>
          <w:tcPr>
            <w:tcW w:w="1510" w:type="pct"/>
          </w:tcPr>
          <w:p w14:paraId="4ED601CD" w14:textId="77777777" w:rsidR="009E18F7" w:rsidRPr="00FE4CC2" w:rsidRDefault="009E18F7" w:rsidP="005D0F18">
            <w:pPr>
              <w:widowControl w:val="0"/>
              <w:rPr>
                <w:color w:val="000000" w:themeColor="text1"/>
                <w:szCs w:val="22"/>
              </w:rPr>
            </w:pPr>
            <w:r w:rsidRPr="00FE4CC2">
              <w:rPr>
                <w:color w:val="000000" w:themeColor="text1"/>
                <w:szCs w:val="22"/>
              </w:rPr>
              <w:t xml:space="preserve">Cert ID certifies soybean that is not genetically modified and the Proterra standard is designed to demonstrate social responsibility and environmental sustainability based on the Basel Criteria on Responsible Soy.  </w:t>
            </w:r>
          </w:p>
        </w:tc>
        <w:tc>
          <w:tcPr>
            <w:tcW w:w="722" w:type="pct"/>
          </w:tcPr>
          <w:p w14:paraId="030FE7D3" w14:textId="77777777" w:rsidR="009E18F7" w:rsidRPr="00FE4CC2" w:rsidRDefault="009E18F7" w:rsidP="005D0F18">
            <w:pPr>
              <w:widowControl w:val="0"/>
              <w:rPr>
                <w:color w:val="000000" w:themeColor="text1"/>
                <w:szCs w:val="22"/>
              </w:rPr>
            </w:pPr>
            <w:r w:rsidRPr="00FE4CC2">
              <w:rPr>
                <w:color w:val="000000" w:themeColor="text1"/>
                <w:szCs w:val="22"/>
              </w:rPr>
              <w:t>Cert ID Europe Limited</w:t>
            </w:r>
          </w:p>
        </w:tc>
        <w:tc>
          <w:tcPr>
            <w:tcW w:w="433" w:type="pct"/>
          </w:tcPr>
          <w:p w14:paraId="143D2EAC" w14:textId="77777777" w:rsidR="009E18F7" w:rsidRPr="00FE4CC2" w:rsidRDefault="009E18F7" w:rsidP="005D0F18">
            <w:pPr>
              <w:widowControl w:val="0"/>
              <w:rPr>
                <w:color w:val="000000" w:themeColor="text1"/>
                <w:szCs w:val="22"/>
              </w:rPr>
            </w:pPr>
            <w:r w:rsidRPr="00FE4CC2">
              <w:rPr>
                <w:color w:val="000000" w:themeColor="text1"/>
                <w:szCs w:val="22"/>
              </w:rPr>
              <w:t>4</w:t>
            </w:r>
          </w:p>
        </w:tc>
        <w:tc>
          <w:tcPr>
            <w:tcW w:w="1095" w:type="pct"/>
          </w:tcPr>
          <w:p w14:paraId="0A3425A0" w14:textId="6BAEE89A" w:rsidR="009E18F7" w:rsidRPr="00FE4CC2" w:rsidRDefault="00E84199" w:rsidP="005D0F18">
            <w:pPr>
              <w:widowControl w:val="0"/>
              <w:autoSpaceDE w:val="0"/>
              <w:autoSpaceDN w:val="0"/>
              <w:adjustRightInd w:val="0"/>
              <w:ind w:left="480" w:hanging="480"/>
              <w:rPr>
                <w:noProof/>
                <w:szCs w:val="22"/>
              </w:rPr>
            </w:pPr>
            <w:hyperlink r:id="rId1073" w:history="1">
              <w:r w:rsidR="009E18F7" w:rsidRPr="00FE4CC2">
                <w:rPr>
                  <w:rStyle w:val="Hyperlink"/>
                  <w:noProof/>
                  <w:szCs w:val="22"/>
                </w:rPr>
                <w:t>https://www.cert-id.eu/Certification-Programmes/Non-GMO-Certification/Non-GMO-Soy-Certification</w:t>
              </w:r>
            </w:hyperlink>
          </w:p>
        </w:tc>
      </w:tr>
      <w:tr w:rsidR="00686508" w:rsidRPr="00FE4CC2" w14:paraId="3992FD81" w14:textId="77777777" w:rsidTr="00BD08BA">
        <w:tc>
          <w:tcPr>
            <w:tcW w:w="503" w:type="pct"/>
            <w:vMerge/>
          </w:tcPr>
          <w:p w14:paraId="083E3669" w14:textId="77777777" w:rsidR="009E18F7" w:rsidRPr="00FE4CC2" w:rsidRDefault="009E18F7" w:rsidP="005D0F18">
            <w:pPr>
              <w:widowControl w:val="0"/>
              <w:rPr>
                <w:color w:val="000000" w:themeColor="text1"/>
                <w:szCs w:val="22"/>
              </w:rPr>
            </w:pPr>
          </w:p>
        </w:tc>
        <w:tc>
          <w:tcPr>
            <w:tcW w:w="737" w:type="pct"/>
          </w:tcPr>
          <w:p w14:paraId="55BA1BDB" w14:textId="77777777" w:rsidR="009E18F7" w:rsidRPr="00FE4CC2" w:rsidRDefault="009E18F7" w:rsidP="005D0F18">
            <w:pPr>
              <w:widowControl w:val="0"/>
              <w:rPr>
                <w:color w:val="000000" w:themeColor="text1"/>
                <w:szCs w:val="22"/>
              </w:rPr>
            </w:pPr>
            <w:r w:rsidRPr="00FE4CC2">
              <w:rPr>
                <w:color w:val="000000" w:themeColor="text1"/>
                <w:szCs w:val="22"/>
              </w:rPr>
              <w:t>Round Table on Responsible Soy (</w:t>
            </w:r>
            <w:r w:rsidRPr="00FE4CC2">
              <w:rPr>
                <w:rFonts w:cs="Helvetica Neue"/>
                <w:bCs/>
                <w:color w:val="000000" w:themeColor="text1"/>
                <w:szCs w:val="22"/>
              </w:rPr>
              <w:t>RTRS) Certified Soy</w:t>
            </w:r>
          </w:p>
        </w:tc>
        <w:tc>
          <w:tcPr>
            <w:tcW w:w="1510" w:type="pct"/>
          </w:tcPr>
          <w:p w14:paraId="5FCB85DC" w14:textId="77777777" w:rsidR="009E18F7" w:rsidRPr="00FE4CC2" w:rsidRDefault="009E18F7" w:rsidP="005D0F18">
            <w:pPr>
              <w:widowControl w:val="0"/>
              <w:rPr>
                <w:color w:val="000000" w:themeColor="text1"/>
                <w:szCs w:val="22"/>
              </w:rPr>
            </w:pPr>
            <w:r w:rsidRPr="00FE4CC2">
              <w:rPr>
                <w:rFonts w:cs="Helvetica Neue"/>
                <w:szCs w:val="22"/>
              </w:rPr>
              <w:t>Certifies soy, derivatives and soy products along the supply chain, including flows of material and associated claims. RTRS is a global platform of stakeholders of the soy value chain, which aims to promote the production of responsible soy through cooperation and open dialogue with the parties involved for making it economically feasible, socially beneficial and environmentally appropriate.</w:t>
            </w:r>
          </w:p>
        </w:tc>
        <w:tc>
          <w:tcPr>
            <w:tcW w:w="722" w:type="pct"/>
          </w:tcPr>
          <w:p w14:paraId="1DDB38F1" w14:textId="77777777" w:rsidR="009E18F7" w:rsidRPr="00FE4CC2" w:rsidRDefault="009E18F7" w:rsidP="005D0F18">
            <w:pPr>
              <w:widowControl w:val="0"/>
              <w:rPr>
                <w:color w:val="000000" w:themeColor="text1"/>
                <w:szCs w:val="22"/>
              </w:rPr>
            </w:pPr>
            <w:r w:rsidRPr="00FE4CC2">
              <w:rPr>
                <w:rFonts w:cs="Helvetica Neue"/>
                <w:bCs/>
                <w:color w:val="000000" w:themeColor="text1"/>
                <w:szCs w:val="22"/>
              </w:rPr>
              <w:t>RTRS Association</w:t>
            </w:r>
          </w:p>
        </w:tc>
        <w:tc>
          <w:tcPr>
            <w:tcW w:w="433" w:type="pct"/>
          </w:tcPr>
          <w:p w14:paraId="7E243E3A" w14:textId="77777777" w:rsidR="009E18F7" w:rsidRPr="00FE4CC2" w:rsidRDefault="009E18F7" w:rsidP="005D0F18">
            <w:pPr>
              <w:widowControl w:val="0"/>
              <w:rPr>
                <w:color w:val="000000" w:themeColor="text1"/>
                <w:szCs w:val="22"/>
              </w:rPr>
            </w:pPr>
            <w:r w:rsidRPr="00FE4CC2">
              <w:rPr>
                <w:color w:val="000000" w:themeColor="text1"/>
                <w:szCs w:val="22"/>
              </w:rPr>
              <w:t>4</w:t>
            </w:r>
          </w:p>
        </w:tc>
        <w:tc>
          <w:tcPr>
            <w:tcW w:w="1095" w:type="pct"/>
          </w:tcPr>
          <w:p w14:paraId="4F743E9D" w14:textId="77777777" w:rsidR="009E18F7" w:rsidRPr="00FE4CC2" w:rsidRDefault="00E84199" w:rsidP="005D0F18">
            <w:pPr>
              <w:widowControl w:val="0"/>
              <w:rPr>
                <w:color w:val="000000" w:themeColor="text1"/>
                <w:szCs w:val="22"/>
              </w:rPr>
            </w:pPr>
            <w:hyperlink r:id="rId1074" w:history="1">
              <w:r w:rsidR="009E18F7" w:rsidRPr="00FE4CC2">
                <w:rPr>
                  <w:rStyle w:val="Hyperlink"/>
                  <w:szCs w:val="22"/>
                </w:rPr>
                <w:t>http://www.responsiblesoy.org</w:t>
              </w:r>
            </w:hyperlink>
          </w:p>
        </w:tc>
      </w:tr>
      <w:tr w:rsidR="00686508" w:rsidRPr="00FE4CC2" w14:paraId="44BA3C8F" w14:textId="77777777" w:rsidTr="00BD08BA">
        <w:trPr>
          <w:trHeight w:val="872"/>
        </w:trPr>
        <w:tc>
          <w:tcPr>
            <w:tcW w:w="503" w:type="pct"/>
            <w:vMerge w:val="restart"/>
          </w:tcPr>
          <w:p w14:paraId="571409FD" w14:textId="77777777" w:rsidR="009E18F7" w:rsidRPr="00FE4CC2" w:rsidRDefault="009E18F7" w:rsidP="005D0F18">
            <w:pPr>
              <w:widowControl w:val="0"/>
              <w:rPr>
                <w:color w:val="000000" w:themeColor="text1"/>
                <w:szCs w:val="22"/>
              </w:rPr>
            </w:pPr>
            <w:r w:rsidRPr="00FE4CC2">
              <w:rPr>
                <w:color w:val="000000" w:themeColor="text1"/>
                <w:szCs w:val="22"/>
              </w:rPr>
              <w:t>Coffee</w:t>
            </w:r>
          </w:p>
        </w:tc>
        <w:tc>
          <w:tcPr>
            <w:tcW w:w="737" w:type="pct"/>
          </w:tcPr>
          <w:p w14:paraId="36D01DBB" w14:textId="77777777" w:rsidR="009E18F7" w:rsidRPr="00FE4CC2" w:rsidRDefault="009E18F7" w:rsidP="005D0F18">
            <w:pPr>
              <w:widowControl w:val="0"/>
              <w:rPr>
                <w:color w:val="000000" w:themeColor="text1"/>
                <w:szCs w:val="22"/>
              </w:rPr>
            </w:pPr>
            <w:r w:rsidRPr="00FE4CC2">
              <w:rPr>
                <w:rFonts w:cs="Helvetica Neue"/>
                <w:bCs/>
                <w:color w:val="000000" w:themeColor="text1"/>
                <w:szCs w:val="22"/>
              </w:rPr>
              <w:t>Bird Friendly Coffee</w:t>
            </w:r>
          </w:p>
        </w:tc>
        <w:tc>
          <w:tcPr>
            <w:tcW w:w="1510" w:type="pct"/>
          </w:tcPr>
          <w:p w14:paraId="69115B35" w14:textId="77777777" w:rsidR="009E18F7" w:rsidRPr="00FE4CC2" w:rsidRDefault="009E18F7" w:rsidP="005D0F18">
            <w:pPr>
              <w:widowControl w:val="0"/>
              <w:rPr>
                <w:color w:val="000000" w:themeColor="text1"/>
                <w:szCs w:val="22"/>
              </w:rPr>
            </w:pPr>
            <w:r w:rsidRPr="00FE4CC2">
              <w:rPr>
                <w:color w:val="000000" w:themeColor="text1"/>
                <w:szCs w:val="22"/>
              </w:rPr>
              <w:t>Identifies and verifies that the produced organic coffee has been grown using shade management practices that provide good bird habitats.</w:t>
            </w:r>
          </w:p>
        </w:tc>
        <w:tc>
          <w:tcPr>
            <w:tcW w:w="722" w:type="pct"/>
          </w:tcPr>
          <w:p w14:paraId="59E4FD02" w14:textId="77777777" w:rsidR="009E18F7" w:rsidRPr="00FE4CC2" w:rsidRDefault="009E18F7" w:rsidP="005D0F18">
            <w:pPr>
              <w:widowControl w:val="0"/>
              <w:rPr>
                <w:color w:val="000000" w:themeColor="text1"/>
                <w:szCs w:val="22"/>
              </w:rPr>
            </w:pPr>
            <w:r w:rsidRPr="00FE4CC2">
              <w:rPr>
                <w:rFonts w:cs="Helvetica Neue"/>
                <w:bCs/>
                <w:color w:val="000000" w:themeColor="text1"/>
                <w:szCs w:val="22"/>
              </w:rPr>
              <w:t>Smithsonian Migratory Bird Center at the National Zoological Park</w:t>
            </w:r>
          </w:p>
        </w:tc>
        <w:tc>
          <w:tcPr>
            <w:tcW w:w="433" w:type="pct"/>
          </w:tcPr>
          <w:p w14:paraId="40CB2020" w14:textId="77777777" w:rsidR="009E18F7" w:rsidRPr="00FE4CC2" w:rsidRDefault="009E18F7" w:rsidP="005D0F18">
            <w:pPr>
              <w:widowControl w:val="0"/>
              <w:rPr>
                <w:color w:val="000000" w:themeColor="text1"/>
                <w:szCs w:val="22"/>
              </w:rPr>
            </w:pPr>
            <w:r w:rsidRPr="00FE4CC2">
              <w:rPr>
                <w:szCs w:val="22"/>
              </w:rPr>
              <w:t>3,5,6,7</w:t>
            </w:r>
            <w:r w:rsidRPr="00FE4CC2">
              <w:rPr>
                <w:rFonts w:cs="Helvetica Neue"/>
                <w:color w:val="000000" w:themeColor="text1"/>
                <w:szCs w:val="22"/>
              </w:rPr>
              <w:t>,9,10,11,12,13,14,16</w:t>
            </w:r>
            <w:r w:rsidRPr="00FE4CC2">
              <w:rPr>
                <w:color w:val="000000" w:themeColor="text1"/>
                <w:szCs w:val="22"/>
              </w:rPr>
              <w:t xml:space="preserve"> </w:t>
            </w:r>
          </w:p>
        </w:tc>
        <w:tc>
          <w:tcPr>
            <w:tcW w:w="1095" w:type="pct"/>
          </w:tcPr>
          <w:p w14:paraId="4B9C42C4" w14:textId="77777777" w:rsidR="009E18F7" w:rsidRPr="00FE4CC2" w:rsidRDefault="00E84199" w:rsidP="005D0F18">
            <w:pPr>
              <w:widowControl w:val="0"/>
              <w:rPr>
                <w:color w:val="000000" w:themeColor="text1"/>
                <w:szCs w:val="22"/>
              </w:rPr>
            </w:pPr>
            <w:hyperlink r:id="rId1075" w:history="1">
              <w:r w:rsidR="009E18F7" w:rsidRPr="00FE4CC2">
                <w:rPr>
                  <w:rStyle w:val="Hyperlink"/>
                  <w:szCs w:val="22"/>
                </w:rPr>
                <w:t>https://nationalzoo.si.edu/migratory-birds/bird-friendly-coffee</w:t>
              </w:r>
            </w:hyperlink>
          </w:p>
        </w:tc>
      </w:tr>
      <w:tr w:rsidR="00686508" w:rsidRPr="00FE4CC2" w14:paraId="783D8B8A" w14:textId="77777777" w:rsidTr="00BD08BA">
        <w:tc>
          <w:tcPr>
            <w:tcW w:w="503" w:type="pct"/>
            <w:vMerge/>
          </w:tcPr>
          <w:p w14:paraId="37B20E3F" w14:textId="77777777" w:rsidR="009E18F7" w:rsidRPr="00FE4CC2" w:rsidRDefault="009E18F7" w:rsidP="005D0F18">
            <w:pPr>
              <w:widowControl w:val="0"/>
              <w:rPr>
                <w:color w:val="000000" w:themeColor="text1"/>
                <w:szCs w:val="22"/>
              </w:rPr>
            </w:pPr>
          </w:p>
        </w:tc>
        <w:tc>
          <w:tcPr>
            <w:tcW w:w="737" w:type="pct"/>
          </w:tcPr>
          <w:p w14:paraId="44D947A0" w14:textId="77777777" w:rsidR="009E18F7" w:rsidRPr="00FE4CC2" w:rsidRDefault="009E18F7" w:rsidP="005D0F18">
            <w:pPr>
              <w:widowControl w:val="0"/>
              <w:rPr>
                <w:rFonts w:cs="Helvetica Neue"/>
                <w:bCs/>
                <w:color w:val="000000" w:themeColor="text1"/>
                <w:szCs w:val="22"/>
              </w:rPr>
            </w:pPr>
            <w:r w:rsidRPr="00FE4CC2">
              <w:rPr>
                <w:rFonts w:cs="Helvetica Neue"/>
                <w:bCs/>
                <w:color w:val="000000" w:themeColor="text1"/>
                <w:szCs w:val="22"/>
              </w:rPr>
              <w:t>C.A.F.E. Practices</w:t>
            </w:r>
          </w:p>
        </w:tc>
        <w:tc>
          <w:tcPr>
            <w:tcW w:w="1510" w:type="pct"/>
          </w:tcPr>
          <w:p w14:paraId="5E9D9C91" w14:textId="77777777" w:rsidR="009E18F7" w:rsidRPr="00FE4CC2" w:rsidRDefault="009E18F7" w:rsidP="005D0F18">
            <w:pPr>
              <w:widowControl w:val="0"/>
              <w:rPr>
                <w:color w:val="000000" w:themeColor="text1"/>
                <w:szCs w:val="22"/>
              </w:rPr>
            </w:pPr>
            <w:r w:rsidRPr="00FE4CC2">
              <w:rPr>
                <w:color w:val="000000" w:themeColor="text1"/>
                <w:szCs w:val="22"/>
              </w:rPr>
              <w:t>Evaluates, recognizes and rewards producers of high-quality sustainably grown coffee for Starbucks stores, by examining</w:t>
            </w:r>
            <w:r w:rsidRPr="00FE4CC2">
              <w:rPr>
                <w:rFonts w:cs="Helvetica Neue"/>
                <w:szCs w:val="22"/>
              </w:rPr>
              <w:t xml:space="preserve"> the economic, social and environmental aspects of coffee production against a defined set of criteria. </w:t>
            </w:r>
          </w:p>
        </w:tc>
        <w:tc>
          <w:tcPr>
            <w:tcW w:w="722" w:type="pct"/>
          </w:tcPr>
          <w:p w14:paraId="5F8C3F8A" w14:textId="77777777" w:rsidR="009E18F7" w:rsidRPr="00FE4CC2" w:rsidRDefault="009E18F7" w:rsidP="005D0F18">
            <w:pPr>
              <w:widowControl w:val="0"/>
              <w:rPr>
                <w:rFonts w:cs="Helvetica Neue"/>
                <w:bCs/>
                <w:color w:val="000000" w:themeColor="text1"/>
                <w:szCs w:val="22"/>
              </w:rPr>
            </w:pPr>
            <w:r w:rsidRPr="00FE4CC2">
              <w:rPr>
                <w:rFonts w:cs="Helvetica Neue"/>
                <w:bCs/>
                <w:color w:val="000000" w:themeColor="text1"/>
                <w:szCs w:val="22"/>
              </w:rPr>
              <w:t>Starbucks Coffee Company</w:t>
            </w:r>
          </w:p>
        </w:tc>
        <w:tc>
          <w:tcPr>
            <w:tcW w:w="433" w:type="pct"/>
          </w:tcPr>
          <w:p w14:paraId="226E7B4F" w14:textId="77777777" w:rsidR="009E18F7" w:rsidRPr="00FE4CC2" w:rsidRDefault="009E18F7" w:rsidP="005D0F18">
            <w:pPr>
              <w:widowControl w:val="0"/>
              <w:rPr>
                <w:color w:val="000000" w:themeColor="text1"/>
                <w:szCs w:val="22"/>
              </w:rPr>
            </w:pPr>
            <w:r w:rsidRPr="00FE4CC2">
              <w:rPr>
                <w:color w:val="000000" w:themeColor="text1"/>
                <w:szCs w:val="22"/>
              </w:rPr>
              <w:t>1,2,4,5,6,10, 11,12,14,15</w:t>
            </w:r>
          </w:p>
        </w:tc>
        <w:tc>
          <w:tcPr>
            <w:tcW w:w="1095" w:type="pct"/>
          </w:tcPr>
          <w:p w14:paraId="037D47F1" w14:textId="77777777" w:rsidR="009E18F7" w:rsidRPr="00FE4CC2" w:rsidRDefault="00E84199" w:rsidP="005D0F18">
            <w:pPr>
              <w:widowControl w:val="0"/>
              <w:rPr>
                <w:color w:val="000000" w:themeColor="text1"/>
                <w:szCs w:val="22"/>
              </w:rPr>
            </w:pPr>
            <w:hyperlink r:id="rId1076" w:history="1">
              <w:r w:rsidR="009E18F7" w:rsidRPr="00FE4CC2">
                <w:rPr>
                  <w:rStyle w:val="Hyperlink"/>
                  <w:szCs w:val="22"/>
                </w:rPr>
                <w:t>https://www.starbucks.com/responsibility/sourcing/coffee</w:t>
              </w:r>
            </w:hyperlink>
          </w:p>
        </w:tc>
      </w:tr>
      <w:tr w:rsidR="00686508" w:rsidRPr="00FE4CC2" w14:paraId="3109E197" w14:textId="77777777" w:rsidTr="00BD08BA">
        <w:tc>
          <w:tcPr>
            <w:tcW w:w="503" w:type="pct"/>
          </w:tcPr>
          <w:p w14:paraId="6C1F26AA" w14:textId="77777777" w:rsidR="009E18F7" w:rsidRPr="00FE4CC2" w:rsidRDefault="009E18F7" w:rsidP="005D0F18">
            <w:pPr>
              <w:widowControl w:val="0"/>
              <w:rPr>
                <w:color w:val="000000" w:themeColor="text1"/>
                <w:szCs w:val="22"/>
              </w:rPr>
            </w:pPr>
            <w:r w:rsidRPr="00FE4CC2">
              <w:rPr>
                <w:color w:val="000000" w:themeColor="text1"/>
                <w:szCs w:val="22"/>
              </w:rPr>
              <w:t>Various</w:t>
            </w:r>
          </w:p>
        </w:tc>
        <w:tc>
          <w:tcPr>
            <w:tcW w:w="737" w:type="pct"/>
          </w:tcPr>
          <w:p w14:paraId="021B3994" w14:textId="77777777" w:rsidR="009E18F7" w:rsidRPr="00FE4CC2" w:rsidRDefault="009E18F7" w:rsidP="005D0F18">
            <w:pPr>
              <w:widowControl w:val="0"/>
              <w:rPr>
                <w:rFonts w:cs="Helvetica Neue"/>
                <w:bCs/>
                <w:color w:val="000000" w:themeColor="text1"/>
                <w:szCs w:val="22"/>
              </w:rPr>
            </w:pPr>
            <w:r w:rsidRPr="00FE4CC2">
              <w:rPr>
                <w:rFonts w:cs="Helvetica Neue"/>
                <w:bCs/>
                <w:color w:val="262626"/>
                <w:szCs w:val="22"/>
              </w:rPr>
              <w:t>Rainforest Alliance Certified</w:t>
            </w:r>
          </w:p>
        </w:tc>
        <w:tc>
          <w:tcPr>
            <w:tcW w:w="1510" w:type="pct"/>
          </w:tcPr>
          <w:p w14:paraId="697C92F1" w14:textId="3DE714A2" w:rsidR="009E18F7" w:rsidRPr="00FE4CC2" w:rsidRDefault="009E18F7" w:rsidP="005D0F18">
            <w:pPr>
              <w:widowControl w:val="0"/>
              <w:rPr>
                <w:color w:val="000000" w:themeColor="text1"/>
                <w:szCs w:val="22"/>
              </w:rPr>
            </w:pPr>
            <w:r w:rsidRPr="00FE4CC2">
              <w:rPr>
                <w:rFonts w:cs="Helvetica Neue"/>
                <w:color w:val="262626"/>
                <w:szCs w:val="22"/>
              </w:rPr>
              <w:t>Ensures that a product (</w:t>
            </w:r>
            <w:r w:rsidR="00847F60" w:rsidRPr="00FE4CC2">
              <w:rPr>
                <w:rFonts w:cs="Helvetica Neue"/>
                <w:color w:val="262626"/>
                <w:szCs w:val="22"/>
              </w:rPr>
              <w:t>e.g.</w:t>
            </w:r>
            <w:r w:rsidRPr="00FE4CC2">
              <w:rPr>
                <w:rFonts w:cs="Helvetica Neue"/>
                <w:color w:val="262626"/>
                <w:szCs w:val="22"/>
              </w:rPr>
              <w:t xml:space="preserve"> coffee, tea, chocolate, fruit, ready-to-drink beverages and juices, flowers, paper and tissue products, furniture and more) comes from a farm or forest operation that meets comprehensive standards that protect the environment and promote the rights and well-being of workers, their families and communities.</w:t>
            </w:r>
          </w:p>
        </w:tc>
        <w:tc>
          <w:tcPr>
            <w:tcW w:w="722" w:type="pct"/>
          </w:tcPr>
          <w:p w14:paraId="6B1E1FE3" w14:textId="77777777" w:rsidR="009E18F7" w:rsidRPr="00FE4CC2" w:rsidRDefault="009E18F7" w:rsidP="005D0F18">
            <w:pPr>
              <w:widowControl w:val="0"/>
              <w:rPr>
                <w:rFonts w:cs="Helvetica Neue"/>
                <w:bCs/>
                <w:color w:val="000000" w:themeColor="text1"/>
                <w:szCs w:val="22"/>
              </w:rPr>
            </w:pPr>
            <w:r w:rsidRPr="00FE4CC2">
              <w:rPr>
                <w:rFonts w:cs="Helvetica Neue"/>
                <w:bCs/>
                <w:color w:val="000000" w:themeColor="text1"/>
                <w:szCs w:val="22"/>
              </w:rPr>
              <w:t>The Rainforest Alliance</w:t>
            </w:r>
          </w:p>
        </w:tc>
        <w:tc>
          <w:tcPr>
            <w:tcW w:w="433" w:type="pct"/>
          </w:tcPr>
          <w:p w14:paraId="7DBA2D5D" w14:textId="77777777" w:rsidR="009E18F7" w:rsidRPr="00FE4CC2" w:rsidRDefault="009E18F7" w:rsidP="005D0F18">
            <w:pPr>
              <w:widowControl w:val="0"/>
              <w:rPr>
                <w:color w:val="000000" w:themeColor="text1"/>
                <w:szCs w:val="22"/>
              </w:rPr>
            </w:pPr>
            <w:r w:rsidRPr="00FE4CC2">
              <w:rPr>
                <w:color w:val="000000" w:themeColor="text1"/>
                <w:szCs w:val="22"/>
              </w:rPr>
              <w:t>5,16</w:t>
            </w:r>
          </w:p>
        </w:tc>
        <w:tc>
          <w:tcPr>
            <w:tcW w:w="1095" w:type="pct"/>
          </w:tcPr>
          <w:p w14:paraId="6A6B4A2F" w14:textId="77777777" w:rsidR="009E18F7" w:rsidRPr="00FE4CC2" w:rsidRDefault="00E84199" w:rsidP="005D0F18">
            <w:pPr>
              <w:widowControl w:val="0"/>
              <w:rPr>
                <w:color w:val="000000" w:themeColor="text1"/>
                <w:szCs w:val="22"/>
              </w:rPr>
            </w:pPr>
            <w:hyperlink r:id="rId1077" w:history="1">
              <w:r w:rsidR="009E18F7" w:rsidRPr="00FE4CC2">
                <w:rPr>
                  <w:rStyle w:val="Hyperlink"/>
                  <w:szCs w:val="22"/>
                </w:rPr>
                <w:t>http://www.rainforest-alliance.org/find-certified</w:t>
              </w:r>
            </w:hyperlink>
          </w:p>
        </w:tc>
      </w:tr>
    </w:tbl>
    <w:p w14:paraId="632022A3" w14:textId="77777777" w:rsidR="009E18F7" w:rsidRPr="008608AA" w:rsidRDefault="009E18F7" w:rsidP="009E18F7">
      <w:pPr>
        <w:rPr>
          <w:color w:val="000000" w:themeColor="text1"/>
          <w:sz w:val="18"/>
          <w:szCs w:val="18"/>
        </w:rPr>
        <w:sectPr w:rsidR="009E18F7" w:rsidRPr="008608AA" w:rsidSect="00BD08BA">
          <w:pgSz w:w="16839" w:h="11907" w:orient="landscape" w:code="9"/>
          <w:pgMar w:top="992" w:right="1418" w:bottom="1418" w:left="907" w:header="708" w:footer="708" w:gutter="0"/>
          <w:cols w:space="708"/>
          <w:docGrid w:linePitch="360"/>
        </w:sectPr>
      </w:pPr>
      <w:r w:rsidRPr="008608AA">
        <w:rPr>
          <w:color w:val="000000" w:themeColor="text1"/>
          <w:sz w:val="18"/>
          <w:szCs w:val="18"/>
        </w:rPr>
        <w:t>*Even if certification schemes are in place, certified soybeans have only 2% of the global market share (WEF, 2017)</w:t>
      </w:r>
    </w:p>
    <w:p w14:paraId="62DDBDAD" w14:textId="68B75F89" w:rsidR="009E18F7" w:rsidRDefault="009E18F7" w:rsidP="00BD08BA">
      <w:pPr>
        <w:pStyle w:val="Heading3"/>
      </w:pPr>
      <w:bookmarkStart w:id="2449" w:name="_Toc502957767"/>
      <w:bookmarkStart w:id="2450" w:name="_Toc502957966"/>
      <w:bookmarkStart w:id="2451" w:name="_Toc502958120"/>
      <w:bookmarkStart w:id="2452" w:name="_Toc503293189"/>
      <w:bookmarkStart w:id="2453" w:name="_Toc503293787"/>
      <w:bookmarkStart w:id="2454" w:name="_Toc503294049"/>
      <w:bookmarkStart w:id="2455" w:name="_Toc503863442"/>
      <w:bookmarkStart w:id="2456" w:name="_Toc503863670"/>
      <w:bookmarkStart w:id="2457" w:name="_Toc517393447"/>
      <w:bookmarkStart w:id="2458" w:name="_Toc517719188"/>
      <w:bookmarkStart w:id="2459" w:name="_Toc517797145"/>
      <w:bookmarkStart w:id="2460" w:name="_Toc482710288"/>
      <w:r w:rsidRPr="008608AA">
        <w:rPr>
          <w:lang w:val="en-US"/>
        </w:rPr>
        <w:t>Rights-based approaches</w:t>
      </w:r>
      <w:bookmarkEnd w:id="2449"/>
      <w:bookmarkEnd w:id="2450"/>
      <w:bookmarkEnd w:id="2451"/>
      <w:bookmarkEnd w:id="2452"/>
      <w:bookmarkEnd w:id="2453"/>
      <w:bookmarkEnd w:id="2454"/>
      <w:bookmarkEnd w:id="2455"/>
      <w:bookmarkEnd w:id="2456"/>
      <w:bookmarkEnd w:id="2457"/>
      <w:bookmarkEnd w:id="2458"/>
      <w:bookmarkEnd w:id="2459"/>
      <w:r w:rsidRPr="008608AA">
        <w:t xml:space="preserve"> </w:t>
      </w:r>
    </w:p>
    <w:p w14:paraId="5DD8FDB5" w14:textId="77777777" w:rsidR="00FE4CC2" w:rsidRPr="00FE4CC2" w:rsidRDefault="00FE4CC2" w:rsidP="00FE4CC2">
      <w:pPr>
        <w:rPr>
          <w:lang w:val="en-GB" w:eastAsia="es-CO"/>
        </w:rPr>
      </w:pPr>
    </w:p>
    <w:p w14:paraId="6FC2765A" w14:textId="100D5FF4" w:rsidR="009E18F7" w:rsidRPr="008608AA" w:rsidRDefault="009E18F7" w:rsidP="00BD08BA">
      <w:r w:rsidRPr="008608AA">
        <w:t>Human rights and human dignity are key principles of the 2030 Agenda for Sustainable</w:t>
      </w:r>
      <w:r w:rsidRPr="008608AA">
        <w:rPr>
          <w:u w:val="single"/>
        </w:rPr>
        <w:t xml:space="preserve"> </w:t>
      </w:r>
      <w:r w:rsidRPr="008608AA">
        <w:t>Development (UN, 2015b). Rights-based approaches are, therefore, essencial to be applied in initiatives related to nature conservation, sustainable use and sustainable development. Therefore, in the Americas, many policies and governance schemes have rights-based approaches as background. For instance, the delimitation of ICCAs (see 6.4.4.1), decentralization of natural resource management (Hajjar et al., 2017; see also 6.3.5), participatory processes (see 6.3.1) are types of initiatives and actions that must adopt rights-based approaches, and many of those have already been explored in this Chapter. This section examines two specific actions that take into accoun</w:t>
      </w:r>
      <w:r w:rsidR="00AB2DDF" w:rsidRPr="008608AA">
        <w:t>t these principles: Access and</w:t>
      </w:r>
      <w:r w:rsidR="00936EC1" w:rsidRPr="008608AA">
        <w:t xml:space="preserve"> benefit sharing and rights of M</w:t>
      </w:r>
      <w:r w:rsidR="00AB2DDF" w:rsidRPr="008608AA">
        <w:t xml:space="preserve">other </w:t>
      </w:r>
      <w:r w:rsidR="00936EC1" w:rsidRPr="008608AA">
        <w:t>Earth</w:t>
      </w:r>
      <w:r w:rsidRPr="008608AA">
        <w:t>.</w:t>
      </w:r>
    </w:p>
    <w:p w14:paraId="729D261E" w14:textId="77777777" w:rsidR="00AB2DDF" w:rsidRPr="008608AA" w:rsidRDefault="00AB2DDF" w:rsidP="000558F1"/>
    <w:p w14:paraId="1243591A" w14:textId="07AD27F8" w:rsidR="009E18F7" w:rsidRPr="008608AA" w:rsidRDefault="009E18F7" w:rsidP="000558F1">
      <w:pPr>
        <w:pStyle w:val="Heading4"/>
        <w:spacing w:after="120" w:line="240" w:lineRule="auto"/>
        <w:ind w:left="0" w:firstLine="0"/>
        <w:rPr>
          <w:lang w:val="en-US"/>
        </w:rPr>
      </w:pPr>
      <w:bookmarkStart w:id="2461" w:name="_Toc517393448"/>
      <w:bookmarkStart w:id="2462" w:name="_Toc517719189"/>
      <w:bookmarkStart w:id="2463" w:name="_Toc517797146"/>
      <w:r w:rsidRPr="008608AA">
        <w:rPr>
          <w:lang w:val="en-US"/>
        </w:rPr>
        <w:t>Access and benefit-sharing</w:t>
      </w:r>
      <w:bookmarkEnd w:id="2461"/>
      <w:bookmarkEnd w:id="2462"/>
      <w:bookmarkEnd w:id="2463"/>
    </w:p>
    <w:p w14:paraId="5AFE1334" w14:textId="4306EA82" w:rsidR="00AB2DDF" w:rsidRPr="008608AA" w:rsidRDefault="009E18F7" w:rsidP="00BD08BA">
      <w:r w:rsidRPr="008608AA">
        <w:t xml:space="preserve">Despite broad agreement at the Conference of the Parties of the CBD, designing and implementing an access and benefit-sharing regime at the national level remains challenging. Lack of human and institutional capacities to grant access, monitor and negotiate mutually agreed terms, legal gaps, unrealistic expectations of quantity of monetary benefits, and ill-informed laws draft without the benefit of a multi-stake policy planning process, among other reasons, hinder the effectiveness and efficiency of the access and benefit-sharing mechanism </w:t>
      </w:r>
      <w:r w:rsidRPr="008608AA">
        <w:rPr>
          <w:rFonts w:cs="Calibri"/>
        </w:rPr>
        <w:t>(</w:t>
      </w:r>
      <w:r w:rsidR="0023266C" w:rsidRPr="008608AA">
        <w:t>Chishakwe &amp;</w:t>
      </w:r>
      <w:r w:rsidRPr="008608AA">
        <w:t xml:space="preserve"> Young, 2003; Correa, 2005; Glowka, 2000; Lewis-Letti</w:t>
      </w:r>
      <w:r w:rsidR="0023266C" w:rsidRPr="008608AA">
        <w:t>ngton et al., 2006; Ten Kate &amp;</w:t>
      </w:r>
      <w:r w:rsidRPr="008608AA">
        <w:t xml:space="preserve"> Wells</w:t>
      </w:r>
      <w:r w:rsidR="00936EC1" w:rsidRPr="008608AA">
        <w:t>,</w:t>
      </w:r>
      <w:r w:rsidRPr="008608AA">
        <w:t xml:space="preserve"> 2001). In the Americas, 15 countries signed the protocol and eight ratified (see Table 6.3). Experience in these countries often shows similar challenges, including lack of experience on the subject, issues with management and personnel, the existence of legal loopholes, complex and lengthy procedures, etc. The cases of signatories (Argentina, Colombia, Costa Rica, Cuba, Dominican Republic and Panama) and non-signataries (</w:t>
      </w:r>
      <w:r w:rsidR="00AB2DDF" w:rsidRPr="008608AA">
        <w:t xml:space="preserve">USA </w:t>
      </w:r>
      <w:r w:rsidRPr="008608AA">
        <w:t>and Canada) are discussed next.</w:t>
      </w:r>
    </w:p>
    <w:p w14:paraId="3CBDFE68" w14:textId="60338E33" w:rsidR="009E18F7" w:rsidRPr="008608AA" w:rsidRDefault="009E18F7" w:rsidP="00BD08BA">
      <w:pPr>
        <w:rPr>
          <w:rFonts w:cs="Calibri"/>
        </w:rPr>
      </w:pPr>
      <w:r w:rsidRPr="008608AA">
        <w:rPr>
          <w:rFonts w:cs="Calibri"/>
        </w:rPr>
        <w:t xml:space="preserve"> </w:t>
      </w:r>
    </w:p>
    <w:p w14:paraId="2F94EABE" w14:textId="2D5C9974" w:rsidR="00936EC1" w:rsidRPr="008608AA" w:rsidRDefault="009E18F7" w:rsidP="00BD08BA">
      <w:r w:rsidRPr="008608AA">
        <w:t>In Argentina, national legislation on access and benefit-sharing is at an early stage of development, and it currently lacks regulation on the requisites or procedure to obtain prior informed consent or the potential benefits to be negotiated or prioritized (Silvestri, 2015).</w:t>
      </w:r>
      <w:r w:rsidRPr="008608AA">
        <w:rPr>
          <w:b/>
        </w:rPr>
        <w:t xml:space="preserve"> </w:t>
      </w:r>
      <w:r w:rsidRPr="008608AA">
        <w:t xml:space="preserve">Access and benefit-sharing legislation at the provincial level is incipient and found in eight out of 23 provinces that have passed regulations on the topic, and the cases of Tierra del Fuego and Jujuy are interesting in that they demand an agreement on scientific collaboration between local and foreign research institutions if genetic resources are to be accessed (Silvestri, 2015). Further north, in the Andes, the Andean Community established common rules on access and benefit-sharing for Bolivia, Colombia, Ecuador and Peru. In the case of Colombia, which has signed but not yet ratified the Nagoya Protocol, the national regime </w:t>
      </w:r>
      <w:r w:rsidR="00936EC1" w:rsidRPr="008608AA">
        <w:t>is the one given by the Andean D</w:t>
      </w:r>
      <w:r w:rsidRPr="008608AA">
        <w:t>ecision. Most important challenges are related to the fact that access and benefit-sharing legislation is mostly spread in different resolutions and, therefore, lack specificity. Nearly 130 access and benefit-sharing agreements – pursuing mainly non-commercial research purposes – have been signed between year 2003 and 2016 (Ministerio Ambiente Colombia, 2016), and until 2010 no monetary benefits resulted from this regime (Nemogá et al., 2010). Other points that require improvements are related to participation of local and indigenous communities (Nemogá, 2005), to the absence of specific procedures for obtaining prior informed consent, and to complex b</w:t>
      </w:r>
      <w:r w:rsidR="0023266C" w:rsidRPr="008608AA">
        <w:t>ureaucracy (Vargas Roncancio &amp;</w:t>
      </w:r>
      <w:r w:rsidRPr="008608AA">
        <w:t xml:space="preserve"> Nemogá Soto, 2010). However, the recently lifted administrative obstacles that paralyzed the non-commercial research on genetic resources seem a leap forward, which will need to be evaluated in the future.</w:t>
      </w:r>
    </w:p>
    <w:p w14:paraId="5FD5ABF4" w14:textId="7EFE3E28" w:rsidR="009E18F7" w:rsidRPr="008608AA" w:rsidRDefault="009E18F7" w:rsidP="00BD08BA">
      <w:r w:rsidRPr="008608AA">
        <w:t xml:space="preserve"> </w:t>
      </w:r>
    </w:p>
    <w:p w14:paraId="01FAC457" w14:textId="77777777" w:rsidR="00936EC1" w:rsidRPr="008608AA" w:rsidRDefault="009E18F7" w:rsidP="00BD08BA">
      <w:bookmarkStart w:id="2464" w:name="_Toc482710199"/>
      <w:r w:rsidRPr="008608AA">
        <w:t>Panama was one of the first countries to regulate the access to its genetic resources in 1998 and to ratify the Nagoya Protocol. Panama’s legislation requires a certificate of origin or provenance, issued by the national authority that serves as the legal recognition of the source or origin of the genetic material following the Nagoya Protocol’s recommendation. This certificate of origin is required for patent applications based on Panama’s genetic resources, irrespective of the country where the petition is filed (Cabrera Medaglia, 2013). Challenges include clarifying distinction between accesses to genetic resources for commercial vs. scientific purposes, protocols for access to indigenous knowledge, and the absence of a fund to manage the economic benefits derived from access and benefit-shar</w:t>
      </w:r>
      <w:r w:rsidR="0023266C" w:rsidRPr="008608AA">
        <w:t>ing contracts (Lago Candeira &amp;</w:t>
      </w:r>
      <w:r w:rsidRPr="008608AA">
        <w:t xml:space="preserve"> Silvestri, 2013).</w:t>
      </w:r>
    </w:p>
    <w:p w14:paraId="2332971E" w14:textId="0C4AFF8C" w:rsidR="009E18F7" w:rsidRPr="008608AA" w:rsidRDefault="009E18F7" w:rsidP="00BD08BA">
      <w:r w:rsidRPr="008608AA">
        <w:t xml:space="preserve"> </w:t>
      </w:r>
    </w:p>
    <w:bookmarkEnd w:id="2464"/>
    <w:p w14:paraId="66DC2DD1" w14:textId="24BCF49C" w:rsidR="009E18F7" w:rsidRPr="008608AA" w:rsidRDefault="009E18F7" w:rsidP="00BD08BA">
      <w:r w:rsidRPr="008608AA">
        <w:t>In Costa Rica, The Nationa</w:t>
      </w:r>
      <w:r w:rsidR="00936EC1" w:rsidRPr="008608AA">
        <w:t>l Biodiversity Institute</w:t>
      </w:r>
      <w:r w:rsidRPr="008608AA">
        <w:t xml:space="preserve"> has signed more than 60 bioprospecting contracts –all of which have been duly authorized by the national competent authority, and more than 180 permits have been issued between year 2005 and 2010 (Cabrera Medaglia, 2013). Costa Rica counts on a coherent and strategic legal framework. By law, benefits to be negotiated between Costa Rica´s Nationa</w:t>
      </w:r>
      <w:r w:rsidR="00936EC1" w:rsidRPr="008608AA">
        <w:t>l Biodiversity Institute</w:t>
      </w:r>
      <w:r w:rsidRPr="008608AA">
        <w:t xml:space="preserve"> and the user of genetic resources include a front payment that could amount to up 10% of the total research budget and is directly allocated to the National Ministry of Envi</w:t>
      </w:r>
      <w:r w:rsidR="00936EC1" w:rsidRPr="008608AA">
        <w:t xml:space="preserve">roment and Energy </w:t>
      </w:r>
      <w:r w:rsidRPr="008608AA">
        <w:t xml:space="preserve">for biodiversity conservation. One setback in this process is that the monetary benefits are small (Richerzhagen </w:t>
      </w:r>
      <w:r w:rsidR="00936EC1" w:rsidRPr="008608AA">
        <w:t>&amp;</w:t>
      </w:r>
      <w:r w:rsidRPr="008608AA">
        <w:t xml:space="preserve"> Holm-Mueller, 2005). Another setback is that as of 2014 </w:t>
      </w:r>
      <w:r w:rsidR="00936EC1" w:rsidRPr="008608AA">
        <w:t xml:space="preserve">the National Biodiversity Institute </w:t>
      </w:r>
      <w:r w:rsidRPr="008608AA">
        <w:t>began to financially decline and collections were transferred to government (Fonseca, 2015).</w:t>
      </w:r>
    </w:p>
    <w:p w14:paraId="40F7E153" w14:textId="77777777" w:rsidR="00936EC1" w:rsidRPr="008608AA" w:rsidRDefault="00936EC1" w:rsidP="00BD08BA"/>
    <w:p w14:paraId="27D6958D" w14:textId="77777777" w:rsidR="009E18F7" w:rsidRPr="008608AA" w:rsidRDefault="009E18F7" w:rsidP="00BD08BA">
      <w:r w:rsidRPr="008608AA">
        <w:t>In the Caribbean, both the Dominican Republic and Cuba are discussing draft regulations on access and benefit-sharing. In any case it is mentionable Cuba has established in 2011 the Cuban Intellectual Property Office. Such an office verifies the legality of the access to Cuban and other countries´ genetic resources in the framework of intellectual property rights petitions.</w:t>
      </w:r>
    </w:p>
    <w:p w14:paraId="7EB5752F" w14:textId="77777777" w:rsidR="00936EC1" w:rsidRPr="008608AA" w:rsidRDefault="00936EC1" w:rsidP="00BD08BA"/>
    <w:p w14:paraId="6E3407E7" w14:textId="2CAECF17" w:rsidR="009E18F7" w:rsidRPr="008608AA" w:rsidRDefault="009E18F7" w:rsidP="00BD08BA">
      <w:r w:rsidRPr="008608AA">
        <w:t>Canada has not developed yet a comprehensive access and benefit-sharing regime; however, it is working towards that goal at different levels within government. Today some laws and regulations at the federal, provincial and territorial levels cover some elements of access and benefit-sharing. In the USA, even though the country has not ratified the CBD or the Nagoya Protocol, rules for access to genetic resources located within national parks are in place. The regime does not differentiate between biological or genetic resources but it includes all scientific and development activities that may be performed on any specimens of biodiversity. The equalization has led to greater flexibility which in turn has a positive impact on the benefits gained by the country. Sale and commercial use of biodiversity elements are prohibited because their property belongs to the federal government; however, subsequent developments and knowledge generated from any specimens of biodiversity may be privately owned and negotiated. The access and benefit-sharing regime is not focused on the access to genetic resources per se, but on the subsequent potential commercial and industrial uses. Therefore, the cornerstone of the USA’s access and benefit-sharing system is an agreement of intellectual prope</w:t>
      </w:r>
      <w:r w:rsidR="0023266C" w:rsidRPr="008608AA">
        <w:t>rty rights (Vargas Roncancio &amp;</w:t>
      </w:r>
      <w:r w:rsidRPr="008608AA">
        <w:t xml:space="preserve"> Nemogá Soto, 2010).</w:t>
      </w:r>
    </w:p>
    <w:p w14:paraId="322F8F90" w14:textId="77777777" w:rsidR="00936EC1" w:rsidRPr="008608AA" w:rsidRDefault="00936EC1" w:rsidP="00BD08BA"/>
    <w:p w14:paraId="5D202646" w14:textId="23CA337A" w:rsidR="009E18F7" w:rsidRPr="008608AA" w:rsidRDefault="009E18F7" w:rsidP="00BD08BA">
      <w:r w:rsidRPr="008608AA">
        <w:t xml:space="preserve">Bioprospecting does not lead to biodiversity threat as long as it is undertaken under national and international access and benefit-sharing principles and regulations (Singh </w:t>
      </w:r>
      <w:r w:rsidR="00936EC1" w:rsidRPr="008608AA">
        <w:t>&amp;</w:t>
      </w:r>
      <w:r w:rsidRPr="008608AA">
        <w:t xml:space="preserve"> Singh, 2015). However, the impact of access and benefit-sharing agreements in reducing biodiversity loss is yet to been seen, since such agreements are still limited and experience on the topic is poor, as discussed here. At this point in time, there is a range of impressions: from optimism with bioprospecting and access and benefit-sharing potential (Skirycz et al., 2016) to doubts about the potential of this value for maintaining large areas of tropical forest in Amazonia (Fearnside et al., 1999); and from optimism about the potential to conserve biodiversity (Richerzhagen, 2011) to the overall concerns with potential to promote social justice and biodiversity cons</w:t>
      </w:r>
      <w:r w:rsidR="00936EC1" w:rsidRPr="008608AA">
        <w:t>ervation (Martin et al., 2013).</w:t>
      </w:r>
    </w:p>
    <w:p w14:paraId="34F48362" w14:textId="77777777" w:rsidR="00936EC1" w:rsidRPr="008608AA" w:rsidRDefault="00936EC1" w:rsidP="000558F1"/>
    <w:p w14:paraId="356920ED" w14:textId="18E2FEAF" w:rsidR="009E18F7" w:rsidRPr="008608AA" w:rsidRDefault="009E18F7" w:rsidP="000558F1">
      <w:pPr>
        <w:pStyle w:val="Heading4"/>
        <w:spacing w:after="120" w:line="240" w:lineRule="auto"/>
        <w:ind w:left="0" w:firstLine="0"/>
        <w:rPr>
          <w:lang w:val="en-US"/>
        </w:rPr>
      </w:pPr>
      <w:bookmarkStart w:id="2465" w:name="_Toc517393449"/>
      <w:bookmarkStart w:id="2466" w:name="_Toc517719190"/>
      <w:bookmarkStart w:id="2467" w:name="_Toc517797147"/>
      <w:r w:rsidRPr="008608AA">
        <w:rPr>
          <w:lang w:val="en-US"/>
        </w:rPr>
        <w:t>Rights of Mother Earth</w:t>
      </w:r>
      <w:bookmarkEnd w:id="2465"/>
      <w:bookmarkEnd w:id="2466"/>
      <w:bookmarkEnd w:id="2467"/>
      <w:r w:rsidRPr="008608AA">
        <w:rPr>
          <w:lang w:val="en-US"/>
        </w:rPr>
        <w:t xml:space="preserve"> </w:t>
      </w:r>
    </w:p>
    <w:p w14:paraId="1D20E13E" w14:textId="1E5FDA6D" w:rsidR="009E18F7" w:rsidRPr="008608AA" w:rsidRDefault="00936EC1" w:rsidP="00BD08BA">
      <w:pPr>
        <w:pStyle w:val="Default"/>
        <w:spacing w:after="120"/>
        <w:jc w:val="both"/>
        <w:rPr>
          <w:rFonts w:ascii="Times New Roman" w:hAnsi="Times New Roman" w:cs="Times New Roman"/>
          <w:lang w:val="en-GB"/>
        </w:rPr>
      </w:pPr>
      <w:r w:rsidRPr="008608AA">
        <w:rPr>
          <w:rFonts w:ascii="Times New Roman" w:hAnsi="Times New Roman" w:cs="Times New Roman"/>
          <w:lang w:val="en-US"/>
        </w:rPr>
        <w:t>The r</w:t>
      </w:r>
      <w:r w:rsidR="009E18F7" w:rsidRPr="008608AA">
        <w:rPr>
          <w:rFonts w:ascii="Times New Roman" w:hAnsi="Times New Roman" w:cs="Times New Roman"/>
          <w:lang w:val="en-US"/>
        </w:rPr>
        <w:t xml:space="preserve">ights of Mother Earth emerge from a cosmovision that, unlike the predominant anthropocentric western vision, perceives mankind and nature as one indivisible being (Pacheco, 2014). Bolivia and Ecuador are two examples of countries in the region that have affirmed these rights in their national legislations. For instance, in Bolivia, key components of their legislation includes: </w:t>
      </w:r>
      <w:r w:rsidR="009E18F7" w:rsidRPr="008608AA">
        <w:rPr>
          <w:rFonts w:ascii="Times New Roman" w:hAnsi="Times New Roman" w:cs="Times New Roman"/>
          <w:lang w:val="en-GB"/>
        </w:rPr>
        <w:t xml:space="preserve">a) Right to life and the diversity of life; b) Right to stabilize concentrations of greenhouse gases in the atmosphere at a level that would prevent dangerous anthropogenic interference with the climate system, and in sufficient time to allow the components of Mother Earth to adapt naturally to climate change; c) Non-commodification of the environmental functions of Mother Earth; d) Right to support the restoration and regeneration capabilities of all its components that enables the continuity of life cycles; and e) Right to clean air and live without contamination (Pacheco, 2014). The concept of </w:t>
      </w:r>
      <w:r w:rsidR="009E18F7" w:rsidRPr="008608AA">
        <w:rPr>
          <w:rFonts w:ascii="Times New Roman" w:hAnsi="Times New Roman" w:cs="Times New Roman"/>
          <w:i/>
          <w:lang w:val="en-GB"/>
        </w:rPr>
        <w:t xml:space="preserve">buen vivir </w:t>
      </w:r>
      <w:r w:rsidR="009E18F7" w:rsidRPr="008608AA">
        <w:rPr>
          <w:rFonts w:ascii="Times New Roman" w:hAnsi="Times New Roman" w:cs="Times New Roman"/>
          <w:lang w:val="en-GB"/>
        </w:rPr>
        <w:t xml:space="preserve">– living well with oneself, living well with the community and living well with nature - is an essential piece in this cosmovision and set of rights. The case of Tungurahua, Ecuador, where the local community decided on a watershed management model rooted in indigenous norms, following buen vivir principles, is an example of how this instrument </w:t>
      </w:r>
      <w:r w:rsidR="0023266C" w:rsidRPr="008608AA">
        <w:rPr>
          <w:rFonts w:ascii="Times New Roman" w:hAnsi="Times New Roman" w:cs="Times New Roman"/>
          <w:lang w:val="en-GB"/>
        </w:rPr>
        <w:t>is put in practice (Kauffman &amp;</w:t>
      </w:r>
      <w:r w:rsidR="009E18F7" w:rsidRPr="008608AA">
        <w:rPr>
          <w:rFonts w:ascii="Times New Roman" w:hAnsi="Times New Roman" w:cs="Times New Roman"/>
          <w:lang w:val="en-GB"/>
        </w:rPr>
        <w:t xml:space="preserve"> Martin, 2014; see also 6.3.5). </w:t>
      </w:r>
    </w:p>
    <w:p w14:paraId="116DC365" w14:textId="2C2A0632" w:rsidR="009E18F7" w:rsidRPr="008608AA" w:rsidRDefault="009E18F7" w:rsidP="00BD08BA">
      <w:pPr>
        <w:pStyle w:val="Default"/>
        <w:spacing w:after="120"/>
        <w:jc w:val="both"/>
        <w:rPr>
          <w:rFonts w:ascii="Times New Roman" w:hAnsi="Times New Roman" w:cs="Times New Roman"/>
          <w:lang w:val="en-GB"/>
        </w:rPr>
      </w:pPr>
      <w:r w:rsidRPr="008608AA">
        <w:rPr>
          <w:rFonts w:ascii="Times New Roman" w:hAnsi="Times New Roman" w:cs="Times New Roman"/>
          <w:lang w:val="en-GB"/>
        </w:rPr>
        <w:t xml:space="preserve">The examples of these countries are beginning to reverberate in other countries. For instance, in Brazil, for the first time in history, a river (Rio Doce, in the State of Minas Gerais), represented by an NGO (Associação Pachamama), has entered a lawsuit (available at </w:t>
      </w:r>
      <w:hyperlink r:id="rId1078" w:history="1">
        <w:r w:rsidRPr="008608AA">
          <w:rPr>
            <w:rStyle w:val="Hyperlink"/>
            <w:rFonts w:ascii="Times New Roman" w:hAnsi="Times New Roman" w:cs="Times New Roman"/>
            <w:lang w:val="en-GB"/>
          </w:rPr>
          <w:t>https://docs.wixstatic.com/ugd/da3e7c_8a0e636930d54e848e208a395d6e917c.pdf</w:t>
        </w:r>
      </w:hyperlink>
      <w:r w:rsidRPr="008608AA">
        <w:rPr>
          <w:rFonts w:ascii="Times New Roman" w:hAnsi="Times New Roman" w:cs="Times New Roman"/>
          <w:lang w:val="en-GB"/>
        </w:rPr>
        <w:t>) in the state´s capital city. It asked for the recognition of its rights to life and demanding a plan for disaster risk reduction for the local population in the watershed. This took place in November 5</w:t>
      </w:r>
      <w:r w:rsidRPr="008608AA">
        <w:rPr>
          <w:rFonts w:ascii="Times New Roman" w:hAnsi="Times New Roman" w:cs="Times New Roman"/>
          <w:vertAlign w:val="superscript"/>
          <w:lang w:val="en-GB"/>
        </w:rPr>
        <w:t>th</w:t>
      </w:r>
      <w:r w:rsidRPr="008608AA">
        <w:rPr>
          <w:rFonts w:ascii="Times New Roman" w:hAnsi="Times New Roman" w:cs="Times New Roman"/>
          <w:lang w:val="en-GB"/>
        </w:rPr>
        <w:t>, 2017, exactly two years after the river was victim of the worst environmental disaster in Brazil´s history, with the collapse of a dam and the spill of 40–62 million m</w:t>
      </w:r>
      <w:r w:rsidRPr="008608AA">
        <w:rPr>
          <w:rFonts w:ascii="Times New Roman" w:hAnsi="Times New Roman" w:cs="Times New Roman"/>
          <w:vertAlign w:val="superscript"/>
          <w:lang w:val="en-GB"/>
        </w:rPr>
        <w:t>3</w:t>
      </w:r>
      <w:r w:rsidRPr="008608AA">
        <w:rPr>
          <w:rFonts w:ascii="Times New Roman" w:hAnsi="Times New Roman" w:cs="Times New Roman"/>
          <w:lang w:val="en-GB"/>
        </w:rPr>
        <w:t xml:space="preserve"> of mining tailings in the river (Garcia et al., 2017). </w:t>
      </w:r>
      <w:r w:rsidR="004F124C" w:rsidRPr="008608AA">
        <w:rPr>
          <w:rFonts w:ascii="Times New Roman" w:hAnsi="Times New Roman" w:cs="Times New Roman"/>
          <w:lang w:val="en-GB"/>
        </w:rPr>
        <w:t>In Colombia, Chaves et al. (2018</w:t>
      </w:r>
      <w:r w:rsidRPr="008608AA">
        <w:rPr>
          <w:rFonts w:ascii="Times New Roman" w:hAnsi="Times New Roman" w:cs="Times New Roman"/>
          <w:lang w:val="en-GB"/>
        </w:rPr>
        <w:t xml:space="preserve">) examined the adoption of the concept of </w:t>
      </w:r>
      <w:r w:rsidRPr="008608AA">
        <w:rPr>
          <w:rFonts w:ascii="Times New Roman" w:hAnsi="Times New Roman" w:cs="Times New Roman"/>
          <w:i/>
          <w:lang w:val="en-GB"/>
        </w:rPr>
        <w:t>buen vivir</w:t>
      </w:r>
      <w:r w:rsidRPr="008608AA">
        <w:rPr>
          <w:rFonts w:ascii="Times New Roman" w:hAnsi="Times New Roman" w:cs="Times New Roman"/>
          <w:lang w:val="en-GB"/>
        </w:rPr>
        <w:t xml:space="preserve"> by a network of sustainability initiatives in rural areas. Although the authors believe the network still has some way to go as regards full accomplishment of </w:t>
      </w:r>
      <w:r w:rsidRPr="008608AA">
        <w:rPr>
          <w:rFonts w:ascii="Times New Roman" w:hAnsi="Times New Roman" w:cs="Times New Roman"/>
          <w:i/>
          <w:lang w:val="en-GB"/>
        </w:rPr>
        <w:t>buen vivir</w:t>
      </w:r>
      <w:r w:rsidRPr="008608AA">
        <w:rPr>
          <w:rFonts w:ascii="Times New Roman" w:hAnsi="Times New Roman" w:cs="Times New Roman"/>
          <w:lang w:val="en-GB"/>
        </w:rPr>
        <w:t>, they argue that they play an important role in articulating and promoting novel t</w:t>
      </w:r>
      <w:r w:rsidR="00AF64FC" w:rsidRPr="008608AA">
        <w:rPr>
          <w:rFonts w:ascii="Times New Roman" w:hAnsi="Times New Roman" w:cs="Times New Roman"/>
          <w:lang w:val="en-GB"/>
        </w:rPr>
        <w:t>erritorial relations. Building “territories of peace”</w:t>
      </w:r>
      <w:r w:rsidRPr="008608AA">
        <w:rPr>
          <w:rFonts w:ascii="Times New Roman" w:hAnsi="Times New Roman" w:cs="Times New Roman"/>
          <w:lang w:val="en-GB"/>
        </w:rPr>
        <w:t xml:space="preserve">, as the authors call them, will be a great asset for post-conflict reconstruction in the country.   </w:t>
      </w:r>
    </w:p>
    <w:p w14:paraId="6B1FC588" w14:textId="77777777" w:rsidR="00BD08BA" w:rsidRPr="008608AA" w:rsidRDefault="00BD08BA" w:rsidP="00BD08BA">
      <w:pPr>
        <w:pStyle w:val="Default"/>
        <w:spacing w:after="120"/>
        <w:jc w:val="both"/>
        <w:rPr>
          <w:rFonts w:ascii="Times New Roman" w:hAnsi="Times New Roman" w:cs="Times New Roman"/>
          <w:lang w:val="en-GB"/>
        </w:rPr>
      </w:pPr>
    </w:p>
    <w:p w14:paraId="3AEDB230" w14:textId="77777777" w:rsidR="009E18F7" w:rsidRPr="008608AA" w:rsidRDefault="009E18F7" w:rsidP="00BD08BA">
      <w:pPr>
        <w:pStyle w:val="Heading2"/>
      </w:pPr>
      <w:bookmarkStart w:id="2468" w:name="_Toc356492309"/>
      <w:r w:rsidRPr="008608AA">
        <w:t xml:space="preserve"> </w:t>
      </w:r>
      <w:bookmarkStart w:id="2469" w:name="_Toc502957768"/>
      <w:bookmarkStart w:id="2470" w:name="_Toc502957967"/>
      <w:bookmarkStart w:id="2471" w:name="_Toc502958121"/>
      <w:bookmarkStart w:id="2472" w:name="_Toc503293190"/>
      <w:bookmarkStart w:id="2473" w:name="_Toc503293788"/>
      <w:bookmarkStart w:id="2474" w:name="_Toc503294050"/>
      <w:bookmarkStart w:id="2475" w:name="_Toc503863443"/>
      <w:bookmarkStart w:id="2476" w:name="_Toc503863671"/>
      <w:bookmarkStart w:id="2477" w:name="_Toc517393450"/>
      <w:bookmarkStart w:id="2478" w:name="_Toc517719191"/>
      <w:bookmarkStart w:id="2479" w:name="_Toc517797148"/>
      <w:r w:rsidRPr="008608AA">
        <w:t>Regional adherence to global policies related to biodiversity and ecosystem services</w:t>
      </w:r>
      <w:bookmarkEnd w:id="2468"/>
      <w:bookmarkEnd w:id="2469"/>
      <w:bookmarkEnd w:id="2470"/>
      <w:bookmarkEnd w:id="2471"/>
      <w:bookmarkEnd w:id="2472"/>
      <w:bookmarkEnd w:id="2473"/>
      <w:bookmarkEnd w:id="2474"/>
      <w:bookmarkEnd w:id="2475"/>
      <w:bookmarkEnd w:id="2476"/>
      <w:bookmarkEnd w:id="2477"/>
      <w:bookmarkEnd w:id="2478"/>
      <w:bookmarkEnd w:id="2479"/>
    </w:p>
    <w:p w14:paraId="14EC770B" w14:textId="2AADAA83" w:rsidR="00AF64FC" w:rsidRPr="008608AA" w:rsidRDefault="009E18F7" w:rsidP="000558F1">
      <w:r w:rsidRPr="008608AA">
        <w:t>This section covers the participation of the countries in the region in the global conventions (CBD, UNFCCC) and also in regard to the SDG</w:t>
      </w:r>
      <w:r w:rsidR="00AF64FC" w:rsidRPr="008608AA">
        <w:t>s</w:t>
      </w:r>
      <w:r w:rsidRPr="008608AA">
        <w:t>. Box 6.3 shows especially multicountry agreements within t</w:t>
      </w:r>
      <w:r w:rsidR="00FE4CC2">
        <w:t>he region and related entities.</w:t>
      </w:r>
    </w:p>
    <w:p w14:paraId="79CCF94F" w14:textId="651BD0D2" w:rsidR="009E18F7" w:rsidRPr="008608AA" w:rsidRDefault="00BD08BA" w:rsidP="00BD08BA">
      <w:pPr>
        <w:pStyle w:val="Caption"/>
        <w:rPr>
          <w:sz w:val="20"/>
          <w:szCs w:val="20"/>
        </w:rPr>
      </w:pPr>
      <w:r w:rsidRPr="008608AA">
        <w:t xml:space="preserve">Box </w:t>
      </w:r>
      <w:r w:rsidR="000E562E">
        <w:rPr>
          <w:noProof/>
        </w:rPr>
        <w:fldChar w:fldCharType="begin"/>
      </w:r>
      <w:r w:rsidR="000E562E">
        <w:rPr>
          <w:noProof/>
        </w:rPr>
        <w:instrText xml:space="preserve"> STYLEREF 1 \s </w:instrText>
      </w:r>
      <w:r w:rsidR="000E562E">
        <w:rPr>
          <w:noProof/>
        </w:rPr>
        <w:fldChar w:fldCharType="separate"/>
      </w:r>
      <w:r w:rsidR="00402074">
        <w:rPr>
          <w:noProof/>
        </w:rPr>
        <w:t>6</w:t>
      </w:r>
      <w:r w:rsidR="000E562E">
        <w:rPr>
          <w:noProof/>
        </w:rPr>
        <w:fldChar w:fldCharType="end"/>
      </w:r>
      <w:r w:rsidRPr="008608AA">
        <w:t>.</w:t>
      </w:r>
      <w:r w:rsidR="000E562E">
        <w:rPr>
          <w:noProof/>
        </w:rPr>
        <w:fldChar w:fldCharType="begin"/>
      </w:r>
      <w:r w:rsidR="000E562E">
        <w:rPr>
          <w:noProof/>
        </w:rPr>
        <w:instrText xml:space="preserve"> SEQ Box \* ARABIC \s 1 </w:instrText>
      </w:r>
      <w:r w:rsidR="000E562E">
        <w:rPr>
          <w:noProof/>
        </w:rPr>
        <w:fldChar w:fldCharType="separate"/>
      </w:r>
      <w:r w:rsidR="00402074">
        <w:rPr>
          <w:noProof/>
        </w:rPr>
        <w:t>3</w:t>
      </w:r>
      <w:r w:rsidR="000E562E">
        <w:rPr>
          <w:noProof/>
        </w:rPr>
        <w:fldChar w:fldCharType="end"/>
      </w:r>
      <w:r w:rsidRPr="008608AA">
        <w:t xml:space="preserve">. </w:t>
      </w:r>
      <w:r w:rsidR="009E18F7" w:rsidRPr="008608AA">
        <w:rPr>
          <w:sz w:val="20"/>
          <w:szCs w:val="20"/>
        </w:rPr>
        <w:t xml:space="preserve">Global, regional and </w:t>
      </w:r>
      <w:r w:rsidR="007C45FD" w:rsidRPr="008608AA">
        <w:rPr>
          <w:sz w:val="20"/>
          <w:szCs w:val="20"/>
        </w:rPr>
        <w:t>sub</w:t>
      </w:r>
      <w:r w:rsidR="009E18F7" w:rsidRPr="008608AA">
        <w:rPr>
          <w:sz w:val="20"/>
          <w:szCs w:val="20"/>
        </w:rPr>
        <w:t>regional cooperation agreements and/or entities, often related to trade, infrastructure or governance, and that address directly or indirectly sustainable development and/or biodiversity and ecosystem services.</w:t>
      </w:r>
    </w:p>
    <w:p w14:paraId="47853306" w14:textId="538C6ACB" w:rsidR="009E18F7" w:rsidRPr="00FE4CC2" w:rsidRDefault="009E18F7" w:rsidP="00BD08BA">
      <w:pPr>
        <w:pStyle w:val="ListParagraph"/>
        <w:pBdr>
          <w:top w:val="single" w:sz="4" w:space="1" w:color="auto"/>
          <w:left w:val="single" w:sz="4" w:space="4" w:color="auto"/>
          <w:bottom w:val="single" w:sz="4" w:space="1" w:color="auto"/>
          <w:right w:val="single" w:sz="4" w:space="4" w:color="auto"/>
        </w:pBdr>
        <w:ind w:left="0"/>
        <w:rPr>
          <w:color w:val="000000" w:themeColor="text1"/>
          <w:shd w:val="clear" w:color="auto" w:fill="FFFFFF"/>
          <w:lang w:val="en-US"/>
        </w:rPr>
      </w:pPr>
      <w:r w:rsidRPr="00FE4CC2">
        <w:rPr>
          <w:lang w:val="en-US"/>
        </w:rPr>
        <w:t xml:space="preserve">Amazonian </w:t>
      </w:r>
      <w:r w:rsidR="00AF64FC" w:rsidRPr="00FE4CC2">
        <w:rPr>
          <w:lang w:val="en-US"/>
        </w:rPr>
        <w:t>Cooperation Treaty Organization</w:t>
      </w:r>
      <w:r w:rsidRPr="00FE4CC2">
        <w:rPr>
          <w:lang w:val="en-US"/>
        </w:rPr>
        <w:t xml:space="preserve">: it aggregates all Amazonian countries and has four strategic actions in its portfolio: </w:t>
      </w:r>
      <w:r w:rsidRPr="00FE4CC2">
        <w:rPr>
          <w:color w:val="000000" w:themeColor="text1"/>
          <w:shd w:val="clear" w:color="auto" w:fill="FFFFFF"/>
          <w:lang w:val="en-US"/>
        </w:rPr>
        <w:t>“conservation, protection and sustainable use of renewable natural resources”, “indigenous affairs”, “regional health management, infrastructure and transport”, “tourism” and “emerging topics”. The latter includes climate change, regional development and energy). The topic “Conservation, protection and sustainable use of renewable natural resources” has six subtopis: forest, water resources, management, monitoring and control of wild fauna and flora species endangered by trade, protected areas, sustainable use of biodiversity and promotion of biotrade and research, technology and innovation in Amazonian biodiversity (ACTO, 2014).</w:t>
      </w:r>
    </w:p>
    <w:p w14:paraId="28C638FC" w14:textId="2F686CC4" w:rsidR="009E18F7" w:rsidRPr="00FE4CC2" w:rsidRDefault="009E18F7" w:rsidP="00BD08BA">
      <w:pPr>
        <w:pStyle w:val="ListParagraph"/>
        <w:pBdr>
          <w:top w:val="single" w:sz="4" w:space="1" w:color="auto"/>
          <w:left w:val="single" w:sz="4" w:space="4" w:color="auto"/>
          <w:bottom w:val="single" w:sz="4" w:space="1" w:color="auto"/>
          <w:right w:val="single" w:sz="4" w:space="4" w:color="auto"/>
        </w:pBdr>
        <w:ind w:left="0"/>
      </w:pPr>
      <w:r w:rsidRPr="00FE4CC2">
        <w:rPr>
          <w:lang w:val="en-US"/>
        </w:rPr>
        <w:t xml:space="preserve">Antarctic Treaty: it is responsible for governance of the Antarctic. Challenges include assessing financial penalties for environmental damage and regulating bioprospecting, the establishment of marine protected areas, international regulation of tourism (Kennicutt et al., 2014). </w:t>
      </w:r>
      <w:r w:rsidR="008E16F3" w:rsidRPr="00FE4CC2">
        <w:rPr>
          <w:lang w:val="en-US"/>
        </w:rPr>
        <w:t>Fifty-three countries are Parties to the Treaty, twelve</w:t>
      </w:r>
      <w:r w:rsidR="00AF64FC" w:rsidRPr="00FE4CC2">
        <w:rPr>
          <w:lang w:val="en-US"/>
        </w:rPr>
        <w:t xml:space="preserve"> of which are in the Americas: seven</w:t>
      </w:r>
      <w:r w:rsidR="008E16F3" w:rsidRPr="00FE4CC2">
        <w:rPr>
          <w:lang w:val="en-US"/>
        </w:rPr>
        <w:t xml:space="preserve"> Consultative Parties (Argentina, Brazil, Chile, Ecuador, Peru, </w:t>
      </w:r>
      <w:r w:rsidR="00AF64FC" w:rsidRPr="00FE4CC2">
        <w:rPr>
          <w:lang w:val="en-US"/>
        </w:rPr>
        <w:t>USA, Uruguay) and five</w:t>
      </w:r>
      <w:r w:rsidR="008E16F3" w:rsidRPr="00FE4CC2">
        <w:rPr>
          <w:lang w:val="en-US"/>
        </w:rPr>
        <w:t xml:space="preserve"> Non-Consultative Parties (Canada, Colombi</w:t>
      </w:r>
      <w:r w:rsidR="003A1EE2" w:rsidRPr="00FE4CC2">
        <w:rPr>
          <w:lang w:val="en-US"/>
        </w:rPr>
        <w:t xml:space="preserve">a, Cuba, Guatemala, Venezuela). </w:t>
      </w:r>
      <w:r w:rsidRPr="00FE4CC2">
        <w:rPr>
          <w:lang w:val="en-US"/>
        </w:rPr>
        <w:t xml:space="preserve">Arctic governance entities: there is a multitude of </w:t>
      </w:r>
      <w:r w:rsidRPr="00FE4CC2">
        <w:t>Arctic governance structures and Arctic</w:t>
      </w:r>
      <w:r w:rsidR="0023266C" w:rsidRPr="00FE4CC2">
        <w:t xml:space="preserve"> scientific bodies (Depledge &amp;</w:t>
      </w:r>
      <w:r w:rsidRPr="00FE4CC2">
        <w:t xml:space="preserve"> Dodds, 2017), but efforts are underway to strengthen the Arctic Council - currently a nonregulatory forum - and the possibility of a United Nations Regional Seas Programme is being considered as a management tool f</w:t>
      </w:r>
      <w:r w:rsidR="0023266C" w:rsidRPr="00FE4CC2">
        <w:t>or the Arctic Ocean (Fleming &amp;</w:t>
      </w:r>
      <w:r w:rsidRPr="00FE4CC2">
        <w:t xml:space="preserve"> Pyenson, 2017). </w:t>
      </w:r>
    </w:p>
    <w:p w14:paraId="2203316F" w14:textId="720558CC" w:rsidR="009E18F7" w:rsidRPr="00FE4CC2" w:rsidRDefault="009E18F7" w:rsidP="00BD08BA">
      <w:pPr>
        <w:pStyle w:val="ListParagraph"/>
        <w:pBdr>
          <w:top w:val="single" w:sz="4" w:space="1" w:color="auto"/>
          <w:left w:val="single" w:sz="4" w:space="4" w:color="auto"/>
          <w:bottom w:val="single" w:sz="4" w:space="1" w:color="auto"/>
          <w:right w:val="single" w:sz="4" w:space="4" w:color="auto"/>
        </w:pBdr>
        <w:ind w:left="0"/>
        <w:rPr>
          <w:lang w:val="en-US"/>
        </w:rPr>
      </w:pPr>
      <w:r w:rsidRPr="00FE4CC2">
        <w:rPr>
          <w:lang w:val="en-US"/>
        </w:rPr>
        <w:t xml:space="preserve">CAFTA-TR: agreement between the </w:t>
      </w:r>
      <w:r w:rsidR="00057FDE" w:rsidRPr="00FE4CC2">
        <w:rPr>
          <w:lang w:val="en-US"/>
        </w:rPr>
        <w:t>USA</w:t>
      </w:r>
      <w:r w:rsidRPr="00FE4CC2">
        <w:rPr>
          <w:lang w:val="en-US"/>
        </w:rPr>
        <w:t>, the Dominican Republic, Costa Rica, El Salvador, Guatemala, Honduras, and Nicaragua that creates economic opportunities by eliminating tariffs, opening markets, reducing barriers to services, and promoting transparency.</w:t>
      </w:r>
    </w:p>
    <w:p w14:paraId="6FCF10BE" w14:textId="11349A5A" w:rsidR="009E18F7" w:rsidRPr="00FE4CC2" w:rsidRDefault="001A30BA" w:rsidP="00BD08BA">
      <w:pPr>
        <w:pBdr>
          <w:top w:val="single" w:sz="4" w:space="1" w:color="auto"/>
          <w:left w:val="single" w:sz="4" w:space="4" w:color="auto"/>
          <w:bottom w:val="single" w:sz="4" w:space="1" w:color="auto"/>
          <w:right w:val="single" w:sz="4" w:space="4" w:color="auto"/>
        </w:pBdr>
        <w:rPr>
          <w:szCs w:val="22"/>
        </w:rPr>
      </w:pPr>
      <w:r w:rsidRPr="00FE4CC2">
        <w:rPr>
          <w:szCs w:val="22"/>
        </w:rPr>
        <w:t>CARICOM</w:t>
      </w:r>
      <w:r w:rsidR="003A1EE2" w:rsidRPr="00FE4CC2">
        <w:rPr>
          <w:szCs w:val="22"/>
        </w:rPr>
        <w:t xml:space="preserve"> (the Caribbean Community)</w:t>
      </w:r>
      <w:r w:rsidR="009E18F7" w:rsidRPr="00FE4CC2">
        <w:rPr>
          <w:szCs w:val="22"/>
        </w:rPr>
        <w:t>:</w:t>
      </w:r>
      <w:r w:rsidR="009E18F7" w:rsidRPr="00FE4CC2">
        <w:rPr>
          <w:b/>
          <w:szCs w:val="22"/>
        </w:rPr>
        <w:t xml:space="preserve"> </w:t>
      </w:r>
      <w:r w:rsidR="009E18F7" w:rsidRPr="00FE4CC2">
        <w:rPr>
          <w:szCs w:val="22"/>
        </w:rPr>
        <w:t xml:space="preserve">members (Antigua and Barbuda, </w:t>
      </w:r>
      <w:r w:rsidR="003A1EE2" w:rsidRPr="00FE4CC2">
        <w:rPr>
          <w:szCs w:val="22"/>
        </w:rPr>
        <w:t xml:space="preserve">The </w:t>
      </w:r>
      <w:r w:rsidR="009E18F7" w:rsidRPr="00FE4CC2">
        <w:rPr>
          <w:szCs w:val="22"/>
        </w:rPr>
        <w:t>Bahamas, Barbados, Belize, Dominica, Grenade, Gu</w:t>
      </w:r>
      <w:r w:rsidR="003A1EE2" w:rsidRPr="00FE4CC2">
        <w:rPr>
          <w:szCs w:val="22"/>
        </w:rPr>
        <w:t>yana, Haiti, Jamaica, Saint Lucia</w:t>
      </w:r>
      <w:r w:rsidR="009E18F7" w:rsidRPr="00FE4CC2">
        <w:rPr>
          <w:szCs w:val="22"/>
        </w:rPr>
        <w:t>, St. Kitts and Nevis, St. Vicente and the Grenadines, Suriname and Trinidad and Tobago) aim to improve 1) standards of living and work, 2) employment of labor, 3) sustained economic development and convergence, 4) breadth of trade and economic relations with other States, 5) levels of international competitiveness, 6) organisation for increased production and productivity, 7) economic</w:t>
      </w:r>
      <w:r w:rsidR="003A1EE2" w:rsidRPr="00FE4CC2">
        <w:rPr>
          <w:szCs w:val="22"/>
        </w:rPr>
        <w:t xml:space="preserve"> leverage and effectiveness of m</w:t>
      </w:r>
      <w:r w:rsidR="009E18F7" w:rsidRPr="00FE4CC2">
        <w:rPr>
          <w:szCs w:val="22"/>
        </w:rPr>
        <w:t>ember States in dealing with other States and entities, 8) co-ordination of Member States' foreign and economic policies, and 9) functional co-operation (</w:t>
      </w:r>
      <w:r w:rsidR="0060408A" w:rsidRPr="00FE4CC2">
        <w:rPr>
          <w:szCs w:val="22"/>
        </w:rPr>
        <w:t>www.caricom.org</w:t>
      </w:r>
      <w:r w:rsidR="009E18F7" w:rsidRPr="00FE4CC2">
        <w:rPr>
          <w:szCs w:val="22"/>
        </w:rPr>
        <w:t xml:space="preserve">). It promoted, in partnership with the </w:t>
      </w:r>
      <w:r w:rsidR="009E18F7" w:rsidRPr="00FE4CC2">
        <w:rPr>
          <w:szCs w:val="22"/>
          <w:lang w:eastAsia="es-ES"/>
        </w:rPr>
        <w:t xml:space="preserve">Caribbean Community Climate Change Centre, major regional projects to strengthen institutional, national, and human capacities. </w:t>
      </w:r>
      <w:r w:rsidR="003A1EE2" w:rsidRPr="00FE4CC2">
        <w:rPr>
          <w:szCs w:val="22"/>
          <w:lang w:eastAsia="es-ES"/>
        </w:rPr>
        <w:t>CARICOM</w:t>
      </w:r>
      <w:r w:rsidRPr="00FE4CC2">
        <w:rPr>
          <w:szCs w:val="22"/>
          <w:lang w:eastAsia="es-ES"/>
        </w:rPr>
        <w:t xml:space="preserve"> heads of Government</w:t>
      </w:r>
      <w:r w:rsidR="009E18F7" w:rsidRPr="00FE4CC2">
        <w:rPr>
          <w:szCs w:val="22"/>
          <w:lang w:eastAsia="es-ES"/>
        </w:rPr>
        <w:t xml:space="preserve"> adopted the Regional Framework for Achieving Development Resilient to Climate Change and mandated the </w:t>
      </w:r>
      <w:r w:rsidRPr="00FE4CC2">
        <w:rPr>
          <w:szCs w:val="22"/>
          <w:lang w:eastAsia="es-ES"/>
        </w:rPr>
        <w:t xml:space="preserve">Caribbean Community Climate Change Centre </w:t>
      </w:r>
      <w:r w:rsidR="009E18F7" w:rsidRPr="00FE4CC2">
        <w:rPr>
          <w:szCs w:val="22"/>
          <w:lang w:eastAsia="es-ES"/>
        </w:rPr>
        <w:t>to develop a regional plan to implement this strategy, in addition to an investment program, a governance regime and a monitoring and evaluation system (</w:t>
      </w:r>
      <w:r w:rsidR="009E18F7" w:rsidRPr="00FE4CC2">
        <w:rPr>
          <w:szCs w:val="22"/>
        </w:rPr>
        <w:t>ECLAC, 2013).</w:t>
      </w:r>
    </w:p>
    <w:p w14:paraId="3FA8836F" w14:textId="77777777" w:rsidR="001A30BA" w:rsidRPr="00FE4CC2" w:rsidRDefault="001A30BA" w:rsidP="00BD08BA">
      <w:pPr>
        <w:pBdr>
          <w:top w:val="single" w:sz="4" w:space="1" w:color="auto"/>
          <w:left w:val="single" w:sz="4" w:space="4" w:color="auto"/>
          <w:bottom w:val="single" w:sz="4" w:space="1" w:color="auto"/>
          <w:right w:val="single" w:sz="4" w:space="4" w:color="auto"/>
        </w:pBdr>
        <w:rPr>
          <w:szCs w:val="22"/>
        </w:rPr>
      </w:pPr>
    </w:p>
    <w:p w14:paraId="38C81018" w14:textId="7B5FA1B8" w:rsidR="009E18F7" w:rsidRPr="00FE4CC2" w:rsidRDefault="009E18F7" w:rsidP="00BD08BA">
      <w:pPr>
        <w:pBdr>
          <w:top w:val="single" w:sz="4" w:space="1" w:color="auto"/>
          <w:left w:val="single" w:sz="4" w:space="4" w:color="auto"/>
          <w:bottom w:val="single" w:sz="4" w:space="1" w:color="auto"/>
          <w:right w:val="single" w:sz="4" w:space="4" w:color="auto"/>
        </w:pBdr>
        <w:rPr>
          <w:szCs w:val="22"/>
        </w:rPr>
      </w:pPr>
      <w:r w:rsidRPr="00FE4CC2">
        <w:rPr>
          <w:szCs w:val="22"/>
        </w:rPr>
        <w:t>Fair trade: it approaches production and service chains looking for equitable sharing of income, improving conditions for consumers on every day shopping decision-making to cope with producers and service providers’ better livelihoods. It is spread all over Americ</w:t>
      </w:r>
      <w:r w:rsidR="001A30BA" w:rsidRPr="00FE4CC2">
        <w:rPr>
          <w:szCs w:val="22"/>
        </w:rPr>
        <w:t>as and works with producers of banana, cocoa, coffee, cotton, flowers, sugars, tea, composite products, fresh fruit, gold, honey, juices, rice, spice and herbs, sports balls and w</w:t>
      </w:r>
      <w:r w:rsidRPr="00FE4CC2">
        <w:rPr>
          <w:szCs w:val="22"/>
        </w:rPr>
        <w:t>ine (</w:t>
      </w:r>
      <w:r w:rsidR="0060408A" w:rsidRPr="00FE4CC2">
        <w:rPr>
          <w:szCs w:val="22"/>
        </w:rPr>
        <w:t>http://www.fairtradeamerica.org/Fairtrade-Products</w:t>
      </w:r>
      <w:r w:rsidRPr="00FE4CC2">
        <w:rPr>
          <w:szCs w:val="22"/>
        </w:rPr>
        <w:t>).</w:t>
      </w:r>
    </w:p>
    <w:p w14:paraId="1D63CE4C" w14:textId="77777777" w:rsidR="001A30BA" w:rsidRPr="00FE4CC2" w:rsidRDefault="001A30BA" w:rsidP="00BD08BA">
      <w:pPr>
        <w:pBdr>
          <w:top w:val="single" w:sz="4" w:space="1" w:color="auto"/>
          <w:left w:val="single" w:sz="4" w:space="4" w:color="auto"/>
          <w:bottom w:val="single" w:sz="4" w:space="1" w:color="auto"/>
          <w:right w:val="single" w:sz="4" w:space="4" w:color="auto"/>
        </w:pBdr>
        <w:rPr>
          <w:szCs w:val="22"/>
        </w:rPr>
      </w:pPr>
    </w:p>
    <w:p w14:paraId="1A313685" w14:textId="7FD539B3" w:rsidR="009E18F7" w:rsidRPr="00FE4CC2" w:rsidRDefault="009E18F7" w:rsidP="00BD08BA">
      <w:pPr>
        <w:pBdr>
          <w:top w:val="single" w:sz="4" w:space="1" w:color="auto"/>
          <w:left w:val="single" w:sz="4" w:space="4" w:color="auto"/>
          <w:bottom w:val="single" w:sz="4" w:space="1" w:color="auto"/>
          <w:right w:val="single" w:sz="4" w:space="4" w:color="auto"/>
        </w:pBdr>
        <w:rPr>
          <w:szCs w:val="22"/>
        </w:rPr>
      </w:pPr>
      <w:r w:rsidRPr="00FE4CC2">
        <w:rPr>
          <w:szCs w:val="22"/>
        </w:rPr>
        <w:t xml:space="preserve">Green commodities: </w:t>
      </w:r>
      <w:r w:rsidR="001A30BA" w:rsidRPr="00FE4CC2">
        <w:rPr>
          <w:szCs w:val="22"/>
        </w:rPr>
        <w:t>United Nations Development Programme´s</w:t>
      </w:r>
      <w:r w:rsidRPr="00FE4CC2">
        <w:rPr>
          <w:szCs w:val="22"/>
        </w:rPr>
        <w:t xml:space="preserve"> G</w:t>
      </w:r>
      <w:r w:rsidR="001A30BA" w:rsidRPr="00FE4CC2">
        <w:rPr>
          <w:szCs w:val="22"/>
        </w:rPr>
        <w:t>reen Commodities Programme</w:t>
      </w:r>
      <w:r w:rsidRPr="00FE4CC2">
        <w:rPr>
          <w:szCs w:val="22"/>
        </w:rPr>
        <w:t xml:space="preserve"> aims to improve the social economic, and environmental performance of agricultural commodity sectors of nations. </w:t>
      </w:r>
      <w:r w:rsidR="001A30BA" w:rsidRPr="00FE4CC2">
        <w:rPr>
          <w:szCs w:val="22"/>
        </w:rPr>
        <w:t>The Programme</w:t>
      </w:r>
      <w:r w:rsidRPr="00FE4CC2">
        <w:rPr>
          <w:szCs w:val="22"/>
        </w:rPr>
        <w:t xml:space="preserve"> works to improve rural livelihoods, mitigate climate change, and maintain ecosystem services and resilience of landscapes and seascapes. By targeting agricultural commodities that have high economic and political national relevance and are part of aggregated supply chains, </w:t>
      </w:r>
      <w:r w:rsidR="001A30BA" w:rsidRPr="00FE4CC2">
        <w:rPr>
          <w:szCs w:val="22"/>
        </w:rPr>
        <w:t>the Green Commodities Programme</w:t>
      </w:r>
      <w:r w:rsidRPr="00FE4CC2">
        <w:rPr>
          <w:szCs w:val="22"/>
        </w:rPr>
        <w:t xml:space="preserve"> optimizes the potential of pu</w:t>
      </w:r>
      <w:r w:rsidR="001A30BA" w:rsidRPr="00FE4CC2">
        <w:rPr>
          <w:szCs w:val="22"/>
        </w:rPr>
        <w:t>blic-private partnerships</w:t>
      </w:r>
      <w:r w:rsidRPr="00FE4CC2">
        <w:rPr>
          <w:szCs w:val="22"/>
        </w:rPr>
        <w:t xml:space="preserve"> to support long-term sustainable change. </w:t>
      </w:r>
      <w:r w:rsidR="001A30BA" w:rsidRPr="00FE4CC2">
        <w:rPr>
          <w:szCs w:val="22"/>
        </w:rPr>
        <w:t>The Programme</w:t>
      </w:r>
      <w:r w:rsidRPr="00FE4CC2">
        <w:rPr>
          <w:szCs w:val="22"/>
        </w:rPr>
        <w:t xml:space="preserve"> aims by 2020 to contribute to enabling eight million farmers, managing 20 million hectares, to improve the sustainability of their practices and their livelihoods. There ongoing are </w:t>
      </w:r>
      <w:r w:rsidR="001A30BA" w:rsidRPr="00FE4CC2">
        <w:rPr>
          <w:szCs w:val="22"/>
        </w:rPr>
        <w:t xml:space="preserve">public-private partnerships </w:t>
      </w:r>
      <w:r w:rsidRPr="00FE4CC2">
        <w:rPr>
          <w:szCs w:val="22"/>
        </w:rPr>
        <w:t>in Costa Rica, Dominican Republic, Ecuador, Honduras, Paraguay and Peru (UNDP, 2015).</w:t>
      </w:r>
    </w:p>
    <w:p w14:paraId="2CAC76D7" w14:textId="77777777" w:rsidR="001A30BA" w:rsidRPr="00FE4CC2" w:rsidRDefault="001A30BA" w:rsidP="00BD08BA">
      <w:pPr>
        <w:pBdr>
          <w:top w:val="single" w:sz="4" w:space="1" w:color="auto"/>
          <w:left w:val="single" w:sz="4" w:space="4" w:color="auto"/>
          <w:bottom w:val="single" w:sz="4" w:space="1" w:color="auto"/>
          <w:right w:val="single" w:sz="4" w:space="4" w:color="auto"/>
        </w:pBdr>
        <w:rPr>
          <w:szCs w:val="22"/>
        </w:rPr>
      </w:pPr>
    </w:p>
    <w:p w14:paraId="7FCE84FF" w14:textId="2E10B061" w:rsidR="009E18F7" w:rsidRPr="00FE4CC2" w:rsidRDefault="008C1268" w:rsidP="00BD08BA">
      <w:pPr>
        <w:pBdr>
          <w:top w:val="single" w:sz="4" w:space="1" w:color="auto"/>
          <w:left w:val="single" w:sz="4" w:space="4" w:color="auto"/>
          <w:bottom w:val="single" w:sz="4" w:space="1" w:color="auto"/>
          <w:right w:val="single" w:sz="4" w:space="4" w:color="auto"/>
        </w:pBdr>
        <w:rPr>
          <w:szCs w:val="22"/>
        </w:rPr>
      </w:pPr>
      <w:r w:rsidRPr="00FE4CC2">
        <w:rPr>
          <w:szCs w:val="22"/>
        </w:rPr>
        <w:t>Initiative for the Integration of Regional Infrastructure of South America (</w:t>
      </w:r>
      <w:r w:rsidR="009E18F7" w:rsidRPr="00FE4CC2">
        <w:rPr>
          <w:szCs w:val="22"/>
        </w:rPr>
        <w:t>IIRSA</w:t>
      </w:r>
      <w:r w:rsidRPr="00FE4CC2">
        <w:rPr>
          <w:szCs w:val="22"/>
        </w:rPr>
        <w:t>)</w:t>
      </w:r>
      <w:r w:rsidR="009E18F7" w:rsidRPr="00FE4CC2">
        <w:rPr>
          <w:b/>
          <w:szCs w:val="22"/>
        </w:rPr>
        <w:t xml:space="preserve">: </w:t>
      </w:r>
      <w:r w:rsidR="009E18F7" w:rsidRPr="00FE4CC2">
        <w:rPr>
          <w:szCs w:val="22"/>
        </w:rPr>
        <w:t xml:space="preserve">South American countries agreement on joint action to further promote regional integration towards infrastructure investments. </w:t>
      </w:r>
      <w:r w:rsidR="009E18F7" w:rsidRPr="00FE4CC2">
        <w:rPr>
          <w:szCs w:val="22"/>
          <w:lang w:val="es-CO"/>
        </w:rPr>
        <w:t>Members are Argentina, Bolivia, Brazil, Chile, Colombia, Ecuador, Guyana, Paraguay, Peru, Suriname, Uruguay and Venezuela (</w:t>
      </w:r>
      <w:r w:rsidR="0060408A" w:rsidRPr="00FE4CC2">
        <w:rPr>
          <w:szCs w:val="22"/>
          <w:lang w:val="es-CO"/>
        </w:rPr>
        <w:t>http://www.iirsa.org/Page/Detail?menuItemId=29</w:t>
      </w:r>
      <w:r w:rsidR="009E18F7" w:rsidRPr="00FE4CC2">
        <w:rPr>
          <w:szCs w:val="22"/>
          <w:lang w:val="es-CO"/>
        </w:rPr>
        <w:t xml:space="preserve">). </w:t>
      </w:r>
      <w:r w:rsidR="009E18F7" w:rsidRPr="00FE4CC2">
        <w:rPr>
          <w:szCs w:val="22"/>
        </w:rPr>
        <w:t xml:space="preserve">While some authors point out for the innovative nature of infrastructure financing of </w:t>
      </w:r>
      <w:r w:rsidRPr="00FE4CC2">
        <w:rPr>
          <w:szCs w:val="22"/>
        </w:rPr>
        <w:t>this international initiative</w:t>
      </w:r>
      <w:r w:rsidR="009E18F7" w:rsidRPr="00FE4CC2">
        <w:rPr>
          <w:szCs w:val="22"/>
        </w:rPr>
        <w:t xml:space="preserve"> (Vitte</w:t>
      </w:r>
      <w:r w:rsidRPr="00FE4CC2">
        <w:rPr>
          <w:szCs w:val="22"/>
        </w:rPr>
        <w:t>,</w:t>
      </w:r>
      <w:r w:rsidR="009E18F7" w:rsidRPr="00FE4CC2">
        <w:rPr>
          <w:szCs w:val="22"/>
        </w:rPr>
        <w:t xml:space="preserve"> 2011; Souza</w:t>
      </w:r>
      <w:r w:rsidRPr="00FE4CC2">
        <w:rPr>
          <w:szCs w:val="22"/>
        </w:rPr>
        <w:t>,</w:t>
      </w:r>
      <w:r w:rsidR="009E18F7" w:rsidRPr="00FE4CC2">
        <w:rPr>
          <w:szCs w:val="22"/>
        </w:rPr>
        <w:t xml:space="preserve"> 2015), others highlight the need for new environmental and social standards (Costa et al., 2015) or the risks of deforestation (De Lisio, 2013; 2014). </w:t>
      </w:r>
    </w:p>
    <w:p w14:paraId="2EF0C07E" w14:textId="77777777" w:rsidR="001A30BA" w:rsidRPr="00FE4CC2" w:rsidRDefault="001A30BA" w:rsidP="00BD08BA">
      <w:pPr>
        <w:pBdr>
          <w:top w:val="single" w:sz="4" w:space="1" w:color="auto"/>
          <w:left w:val="single" w:sz="4" w:space="4" w:color="auto"/>
          <w:bottom w:val="single" w:sz="4" w:space="1" w:color="auto"/>
          <w:right w:val="single" w:sz="4" w:space="4" w:color="auto"/>
        </w:pBdr>
        <w:rPr>
          <w:szCs w:val="22"/>
        </w:rPr>
      </w:pPr>
    </w:p>
    <w:p w14:paraId="64A73D5E" w14:textId="557684AD" w:rsidR="009E18F7" w:rsidRPr="00FE4CC2" w:rsidRDefault="008C1268" w:rsidP="00BD08BA">
      <w:pPr>
        <w:pBdr>
          <w:top w:val="single" w:sz="4" w:space="1" w:color="auto"/>
          <w:left w:val="single" w:sz="4" w:space="4" w:color="auto"/>
          <w:bottom w:val="single" w:sz="4" w:space="1" w:color="auto"/>
          <w:right w:val="single" w:sz="4" w:space="4" w:color="auto"/>
        </w:pBdr>
        <w:rPr>
          <w:szCs w:val="22"/>
        </w:rPr>
      </w:pPr>
      <w:r w:rsidRPr="00FE4CC2">
        <w:rPr>
          <w:szCs w:val="22"/>
        </w:rPr>
        <w:t>The Common Market of South (</w:t>
      </w:r>
      <w:r w:rsidR="009E18F7" w:rsidRPr="00FE4CC2">
        <w:rPr>
          <w:szCs w:val="22"/>
        </w:rPr>
        <w:t>Mercosur</w:t>
      </w:r>
      <w:r w:rsidRPr="00FE4CC2">
        <w:rPr>
          <w:szCs w:val="22"/>
        </w:rPr>
        <w:t>),</w:t>
      </w:r>
      <w:r w:rsidR="009E18F7" w:rsidRPr="00FE4CC2">
        <w:rPr>
          <w:b/>
          <w:szCs w:val="22"/>
        </w:rPr>
        <w:t xml:space="preserve"> </w:t>
      </w:r>
      <w:r w:rsidR="009E18F7" w:rsidRPr="00FE4CC2">
        <w:rPr>
          <w:szCs w:val="22"/>
        </w:rPr>
        <w:t>is a regional integration process initiated by Argentina, Brazil, Paraguay and Uruguay and which incor</w:t>
      </w:r>
      <w:r w:rsidRPr="00FE4CC2">
        <w:rPr>
          <w:szCs w:val="22"/>
        </w:rPr>
        <w:t xml:space="preserve">porated Venezuela and Bolivia. </w:t>
      </w:r>
      <w:r w:rsidR="009E18F7" w:rsidRPr="00FE4CC2">
        <w:rPr>
          <w:szCs w:val="22"/>
        </w:rPr>
        <w:t>It is dedicated to create an open space for generating commercial opportunities and investments through competitive integration of national economies (</w:t>
      </w:r>
      <w:r w:rsidR="0060408A" w:rsidRPr="00FE4CC2">
        <w:rPr>
          <w:szCs w:val="22"/>
        </w:rPr>
        <w:t>http://www.mercosur.int/innovaportal/v/3862/2/innova.front/en-pocas-palabras</w:t>
      </w:r>
      <w:r w:rsidR="009E18F7" w:rsidRPr="00FE4CC2">
        <w:rPr>
          <w:szCs w:val="22"/>
        </w:rPr>
        <w:t>).</w:t>
      </w:r>
    </w:p>
    <w:p w14:paraId="1FE4F734" w14:textId="77777777" w:rsidR="001A30BA" w:rsidRPr="00FE4CC2" w:rsidRDefault="001A30BA" w:rsidP="00BD08BA">
      <w:pPr>
        <w:pBdr>
          <w:top w:val="single" w:sz="4" w:space="1" w:color="auto"/>
          <w:left w:val="single" w:sz="4" w:space="4" w:color="auto"/>
          <w:bottom w:val="single" w:sz="4" w:space="1" w:color="auto"/>
          <w:right w:val="single" w:sz="4" w:space="4" w:color="auto"/>
        </w:pBdr>
        <w:rPr>
          <w:szCs w:val="22"/>
        </w:rPr>
      </w:pPr>
    </w:p>
    <w:p w14:paraId="76998A66" w14:textId="394C6428" w:rsidR="009E18F7" w:rsidRPr="00FE4CC2" w:rsidRDefault="009E18F7" w:rsidP="00BD08BA">
      <w:pPr>
        <w:pBdr>
          <w:top w:val="single" w:sz="4" w:space="1" w:color="auto"/>
          <w:left w:val="single" w:sz="4" w:space="4" w:color="auto"/>
          <w:bottom w:val="single" w:sz="4" w:space="1" w:color="auto"/>
          <w:right w:val="single" w:sz="4" w:space="4" w:color="auto"/>
        </w:pBdr>
        <w:rPr>
          <w:szCs w:val="22"/>
        </w:rPr>
      </w:pPr>
      <w:r w:rsidRPr="00FE4CC2">
        <w:rPr>
          <w:szCs w:val="22"/>
        </w:rPr>
        <w:t>The North American Free Trade Agreement</w:t>
      </w:r>
      <w:r w:rsidR="008C1268" w:rsidRPr="00FE4CC2">
        <w:rPr>
          <w:szCs w:val="22"/>
        </w:rPr>
        <w:t xml:space="preserve"> (NAFTA),</w:t>
      </w:r>
      <w:r w:rsidRPr="00FE4CC2">
        <w:rPr>
          <w:szCs w:val="22"/>
        </w:rPr>
        <w:t xml:space="preserve"> is </w:t>
      </w:r>
      <w:r w:rsidRPr="00FE4CC2">
        <w:rPr>
          <w:szCs w:val="22"/>
          <w:shd w:val="clear" w:color="auto" w:fill="FFFFFF"/>
        </w:rPr>
        <w:t xml:space="preserve">the largest free trade region in the world, generating economic growth and helping to raise the standard of living for the people of Canada, USA and Mexico. NAFTA has benefited North American businesses through increased export opportunities resulting from lower tariffs, predictable rules, and reductions in technical barriers to trade. Along with increasing exports and imports, firms have become more specialized and thus more competitive </w:t>
      </w:r>
      <w:r w:rsidR="0023266C" w:rsidRPr="00FE4CC2">
        <w:rPr>
          <w:szCs w:val="22"/>
        </w:rPr>
        <w:t xml:space="preserve">(Canada, 2014; </w:t>
      </w:r>
      <w:r w:rsidR="00CF54EA" w:rsidRPr="00FE4CC2">
        <w:rPr>
          <w:szCs w:val="22"/>
        </w:rPr>
        <w:t>Villareal &amp; Fergusson, 2017</w:t>
      </w:r>
      <w:r w:rsidRPr="00FE4CC2">
        <w:rPr>
          <w:szCs w:val="22"/>
        </w:rPr>
        <w:t xml:space="preserve">). The Commission for Environmental Cooperation was established in concert with NAFTA, the trade agreement, to foster conservation and to monitor and report on the impact of trade on the North American environment through </w:t>
      </w:r>
      <w:r w:rsidR="008C1268" w:rsidRPr="00FE4CC2">
        <w:rPr>
          <w:szCs w:val="22"/>
        </w:rPr>
        <w:t xml:space="preserve">the </w:t>
      </w:r>
      <w:r w:rsidRPr="00FE4CC2">
        <w:rPr>
          <w:szCs w:val="22"/>
        </w:rPr>
        <w:t>North America Agreeme</w:t>
      </w:r>
      <w:r w:rsidR="008C1268" w:rsidRPr="00FE4CC2">
        <w:rPr>
          <w:szCs w:val="22"/>
        </w:rPr>
        <w:t>nt on Environmental Cooperation, NAAEC</w:t>
      </w:r>
      <w:r w:rsidRPr="00FE4CC2">
        <w:rPr>
          <w:szCs w:val="22"/>
        </w:rPr>
        <w:t>.</w:t>
      </w:r>
    </w:p>
    <w:p w14:paraId="1058EC99" w14:textId="77777777" w:rsidR="001A30BA" w:rsidRPr="00FE4CC2" w:rsidRDefault="001A30BA" w:rsidP="00BD08BA">
      <w:pPr>
        <w:pBdr>
          <w:top w:val="single" w:sz="4" w:space="1" w:color="auto"/>
          <w:left w:val="single" w:sz="4" w:space="4" w:color="auto"/>
          <w:bottom w:val="single" w:sz="4" w:space="1" w:color="auto"/>
          <w:right w:val="single" w:sz="4" w:space="4" w:color="auto"/>
        </w:pBdr>
        <w:rPr>
          <w:szCs w:val="22"/>
        </w:rPr>
      </w:pPr>
    </w:p>
    <w:p w14:paraId="12F97EE3" w14:textId="479C0ED5" w:rsidR="009E18F7" w:rsidRPr="00FE4CC2" w:rsidRDefault="008C1268" w:rsidP="00BD08BA">
      <w:pPr>
        <w:pBdr>
          <w:top w:val="single" w:sz="4" w:space="1" w:color="auto"/>
          <w:left w:val="single" w:sz="4" w:space="4" w:color="auto"/>
          <w:bottom w:val="single" w:sz="4" w:space="1" w:color="auto"/>
          <w:right w:val="single" w:sz="4" w:space="4" w:color="auto"/>
        </w:pBdr>
        <w:rPr>
          <w:szCs w:val="22"/>
        </w:rPr>
      </w:pPr>
      <w:r w:rsidRPr="00FE4CC2">
        <w:rPr>
          <w:szCs w:val="22"/>
        </w:rPr>
        <w:t>The Union of South American Nations (</w:t>
      </w:r>
      <w:r w:rsidR="009E18F7" w:rsidRPr="00FE4CC2">
        <w:rPr>
          <w:szCs w:val="22"/>
        </w:rPr>
        <w:t>UNASUR</w:t>
      </w:r>
      <w:r w:rsidRPr="00FE4CC2">
        <w:rPr>
          <w:szCs w:val="22"/>
        </w:rPr>
        <w:t>)</w:t>
      </w:r>
      <w:r w:rsidR="009E18F7" w:rsidRPr="00FE4CC2">
        <w:rPr>
          <w:szCs w:val="22"/>
        </w:rPr>
        <w:t>: mechanism for the convergence of political and strategic objectives of Southern American countries and regional forum for conciliation, includi</w:t>
      </w:r>
      <w:r w:rsidR="0023266C" w:rsidRPr="00FE4CC2">
        <w:rPr>
          <w:szCs w:val="22"/>
        </w:rPr>
        <w:t>ng over the environment (Silva &amp;</w:t>
      </w:r>
      <w:r w:rsidR="009E18F7" w:rsidRPr="00FE4CC2">
        <w:rPr>
          <w:szCs w:val="22"/>
        </w:rPr>
        <w:t xml:space="preserve"> Brancher, 2014).</w:t>
      </w:r>
    </w:p>
    <w:p w14:paraId="2CE594ED" w14:textId="77777777" w:rsidR="008C1268" w:rsidRPr="00FE4CC2" w:rsidRDefault="008C1268" w:rsidP="00BD08BA">
      <w:pPr>
        <w:pBdr>
          <w:top w:val="single" w:sz="4" w:space="1" w:color="auto"/>
          <w:left w:val="single" w:sz="4" w:space="4" w:color="auto"/>
          <w:bottom w:val="single" w:sz="4" w:space="1" w:color="auto"/>
          <w:right w:val="single" w:sz="4" w:space="4" w:color="auto"/>
        </w:pBdr>
        <w:rPr>
          <w:szCs w:val="22"/>
        </w:rPr>
      </w:pPr>
    </w:p>
    <w:p w14:paraId="05570B8D" w14:textId="2E7F5BFC" w:rsidR="009E18F7" w:rsidRPr="00FE4CC2" w:rsidRDefault="00F10054" w:rsidP="00BD08BA">
      <w:pPr>
        <w:pBdr>
          <w:top w:val="single" w:sz="4" w:space="1" w:color="auto"/>
          <w:left w:val="single" w:sz="4" w:space="4" w:color="auto"/>
          <w:bottom w:val="single" w:sz="4" w:space="1" w:color="auto"/>
          <w:right w:val="single" w:sz="4" w:space="4" w:color="auto"/>
        </w:pBdr>
        <w:rPr>
          <w:szCs w:val="22"/>
          <w:shd w:val="clear" w:color="auto" w:fill="FFFFFF"/>
        </w:rPr>
      </w:pPr>
      <w:r w:rsidRPr="00FE4CC2">
        <w:rPr>
          <w:szCs w:val="22"/>
        </w:rPr>
        <w:t>World Trade Organization (</w:t>
      </w:r>
      <w:r w:rsidR="009E18F7" w:rsidRPr="00FE4CC2">
        <w:rPr>
          <w:szCs w:val="22"/>
        </w:rPr>
        <w:t>WTO</w:t>
      </w:r>
      <w:r w:rsidRPr="00FE4CC2">
        <w:rPr>
          <w:szCs w:val="22"/>
        </w:rPr>
        <w:t>)</w:t>
      </w:r>
      <w:r w:rsidR="009E18F7" w:rsidRPr="00FE4CC2">
        <w:rPr>
          <w:b/>
          <w:szCs w:val="22"/>
        </w:rPr>
        <w:t xml:space="preserve">: </w:t>
      </w:r>
      <w:r w:rsidR="009E18F7" w:rsidRPr="00FE4CC2">
        <w:rPr>
          <w:szCs w:val="22"/>
          <w:shd w:val="clear" w:color="auto" w:fill="FFFFFF"/>
        </w:rPr>
        <w:t xml:space="preserve">agreements cover goods, services and intellectual property. They 1) spell out the principles of liberalization, and the permitted exceptions; 2) include individual countries’ commitments to lower customs tariffs and other trade barriers, and to open and keep open services markets; 3) set procedures for settling disputes; 4) prescribe special treatment for developing countries; 5) require governments to make their trade policies transparent by notifying the </w:t>
      </w:r>
      <w:r w:rsidRPr="00FE4CC2">
        <w:rPr>
          <w:szCs w:val="22"/>
          <w:shd w:val="clear" w:color="auto" w:fill="FFFFFF"/>
        </w:rPr>
        <w:t>Organization</w:t>
      </w:r>
      <w:r w:rsidR="009E18F7" w:rsidRPr="00FE4CC2">
        <w:rPr>
          <w:szCs w:val="22"/>
          <w:shd w:val="clear" w:color="auto" w:fill="FFFFFF"/>
        </w:rPr>
        <w:t xml:space="preserve"> about laws in force and measures adopted, and through regular reports by the secretariat on countries’ trade policies. </w:t>
      </w:r>
    </w:p>
    <w:p w14:paraId="18AEC2EE" w14:textId="77777777" w:rsidR="00BD08BA" w:rsidRPr="008608AA" w:rsidRDefault="00BD08BA" w:rsidP="00BD08BA">
      <w:pPr>
        <w:rPr>
          <w:lang w:eastAsia="es-CO"/>
        </w:rPr>
      </w:pPr>
      <w:bookmarkStart w:id="2480" w:name="_Toc356492310"/>
      <w:bookmarkStart w:id="2481" w:name="_Toc502957769"/>
      <w:bookmarkStart w:id="2482" w:name="_Toc502957968"/>
      <w:bookmarkStart w:id="2483" w:name="_Toc502958122"/>
      <w:bookmarkStart w:id="2484" w:name="_Toc503293191"/>
      <w:bookmarkStart w:id="2485" w:name="_Toc503293789"/>
      <w:bookmarkStart w:id="2486" w:name="_Toc503294051"/>
      <w:bookmarkStart w:id="2487" w:name="_Toc503863444"/>
      <w:bookmarkStart w:id="2488" w:name="_Toc503863672"/>
      <w:bookmarkEnd w:id="2460"/>
    </w:p>
    <w:p w14:paraId="2806AD2E" w14:textId="7BE1A30A" w:rsidR="009E18F7" w:rsidRDefault="009E18F7" w:rsidP="000558F1">
      <w:pPr>
        <w:pStyle w:val="Heading3"/>
        <w:spacing w:before="0"/>
        <w:rPr>
          <w:lang w:val="en-US"/>
        </w:rPr>
      </w:pPr>
      <w:bookmarkStart w:id="2489" w:name="_Toc517393451"/>
      <w:bookmarkStart w:id="2490" w:name="_Toc517719192"/>
      <w:bookmarkStart w:id="2491" w:name="_Toc517797149"/>
      <w:r w:rsidRPr="008608AA">
        <w:rPr>
          <w:lang w:val="en-US"/>
        </w:rPr>
        <w:t>Convention of Biological Diversity</w:t>
      </w:r>
      <w:bookmarkEnd w:id="2480"/>
      <w:bookmarkEnd w:id="2481"/>
      <w:bookmarkEnd w:id="2482"/>
      <w:bookmarkEnd w:id="2483"/>
      <w:bookmarkEnd w:id="2484"/>
      <w:bookmarkEnd w:id="2485"/>
      <w:bookmarkEnd w:id="2486"/>
      <w:bookmarkEnd w:id="2487"/>
      <w:bookmarkEnd w:id="2488"/>
      <w:bookmarkEnd w:id="2489"/>
      <w:bookmarkEnd w:id="2490"/>
      <w:bookmarkEnd w:id="2491"/>
    </w:p>
    <w:p w14:paraId="1A38A920" w14:textId="77777777" w:rsidR="00FE4CC2" w:rsidRPr="00FE4CC2" w:rsidRDefault="00FE4CC2" w:rsidP="00FE4CC2">
      <w:pPr>
        <w:rPr>
          <w:lang w:eastAsia="es-CO"/>
        </w:rPr>
      </w:pPr>
    </w:p>
    <w:p w14:paraId="232E89C4" w14:textId="77777777" w:rsidR="009E18F7" w:rsidRPr="008608AA" w:rsidRDefault="009E18F7" w:rsidP="00BD08BA">
      <w:r w:rsidRPr="008608AA">
        <w:t>In the Americas, all countries, with the exception of the USA, have ratified the CBD agreement. So, next we will examine Latin America and the Caribbean countries and Canada.</w:t>
      </w:r>
    </w:p>
    <w:p w14:paraId="7C7BDDCA" w14:textId="77777777" w:rsidR="006907D1" w:rsidRPr="008608AA" w:rsidRDefault="006907D1" w:rsidP="00BD08BA"/>
    <w:p w14:paraId="020D693E" w14:textId="77777777" w:rsidR="006907D1" w:rsidRPr="008608AA" w:rsidRDefault="009E18F7" w:rsidP="00BD08BA">
      <w:r w:rsidRPr="008608AA">
        <w:t xml:space="preserve">Based on a mid-term assessment (2015) of the Strategic Plan, and with inputs from 24 countries in Latin America and the Caribbean, national governments of the Latin America and Caribbean region have thus far reported mixed results in progress towards the Biodiversity 2020 Aichi </w:t>
      </w:r>
      <w:r w:rsidR="00847F60" w:rsidRPr="008608AA">
        <w:t>target</w:t>
      </w:r>
      <w:r w:rsidRPr="008608AA">
        <w:t xml:space="preserve">s (UNEP-WCMC, 2016). Most progress has been reported in </w:t>
      </w:r>
      <w:r w:rsidR="00847F60" w:rsidRPr="008608AA">
        <w:t>target</w:t>
      </w:r>
      <w:r w:rsidR="006907D1" w:rsidRPr="008608AA">
        <w:t>s 11 (Protected a</w:t>
      </w:r>
      <w:r w:rsidRPr="008608AA">
        <w:t xml:space="preserve">reas) and </w:t>
      </w:r>
      <w:r w:rsidR="00847F60" w:rsidRPr="008608AA">
        <w:t>target</w:t>
      </w:r>
      <w:r w:rsidRPr="008608AA">
        <w:t xml:space="preserve"> 1</w:t>
      </w:r>
      <w:r w:rsidR="006907D1" w:rsidRPr="008608AA">
        <w:t>7 (A</w:t>
      </w:r>
      <w:r w:rsidRPr="008608AA">
        <w:t xml:space="preserve">doption and implementation of policy instruments). There is evidence of good progress in </w:t>
      </w:r>
      <w:r w:rsidR="00847F60" w:rsidRPr="008608AA">
        <w:t>target</w:t>
      </w:r>
      <w:r w:rsidR="006907D1" w:rsidRPr="008608AA">
        <w:t xml:space="preserve"> 1 (P</w:t>
      </w:r>
      <w:r w:rsidRPr="008608AA">
        <w:t>eople aware of the value of biodiversity and the steps to conserve and sustainable use it)</w:t>
      </w:r>
      <w:r w:rsidR="008A7234" w:rsidRPr="008608AA">
        <w:t xml:space="preserve">; </w:t>
      </w:r>
      <w:r w:rsidR="00847F60" w:rsidRPr="008608AA">
        <w:t>target</w:t>
      </w:r>
      <w:r w:rsidR="008A7234" w:rsidRPr="008608AA">
        <w:t xml:space="preserve"> 16 (Nagoya Protocol – </w:t>
      </w:r>
      <w:r w:rsidR="00B20C8E" w:rsidRPr="008608AA">
        <w:t>section</w:t>
      </w:r>
      <w:r w:rsidRPr="008608AA">
        <w:t xml:space="preserve"> 6.3.2.5) and </w:t>
      </w:r>
      <w:r w:rsidR="00847F60" w:rsidRPr="008608AA">
        <w:t>target</w:t>
      </w:r>
      <w:r w:rsidRPr="008608AA">
        <w:t xml:space="preserve"> 19 </w:t>
      </w:r>
      <w:r w:rsidR="006907D1" w:rsidRPr="008608AA">
        <w:t>(I</w:t>
      </w:r>
      <w:r w:rsidRPr="008608AA">
        <w:t xml:space="preserve">mproved biodiversity information sharing). The </w:t>
      </w:r>
      <w:r w:rsidR="00847F60" w:rsidRPr="008608AA">
        <w:t>target</w:t>
      </w:r>
      <w:r w:rsidRPr="008608AA">
        <w:t xml:space="preserve">s most lagging behind however are </w:t>
      </w:r>
      <w:r w:rsidR="00847F60" w:rsidRPr="008608AA">
        <w:t>target</w:t>
      </w:r>
      <w:r w:rsidR="006907D1" w:rsidRPr="008608AA">
        <w:t>s 6 (A</w:t>
      </w:r>
      <w:r w:rsidRPr="008608AA">
        <w:t>nthropogenic pressures/ direct driver</w:t>
      </w:r>
      <w:r w:rsidR="006907D1" w:rsidRPr="008608AA">
        <w:t>s of change minimized) and 10 (M</w:t>
      </w:r>
      <w:r w:rsidRPr="008608AA">
        <w:t xml:space="preserve">anagement of fish and aquatic invertebrate stocks).  </w:t>
      </w:r>
    </w:p>
    <w:p w14:paraId="159B4EAA" w14:textId="77777777" w:rsidR="006907D1" w:rsidRPr="008608AA" w:rsidRDefault="006907D1" w:rsidP="00BD08BA"/>
    <w:p w14:paraId="50A74556" w14:textId="33841874" w:rsidR="00BD08BA" w:rsidRPr="008608AA" w:rsidRDefault="009E18F7" w:rsidP="00BD08BA">
      <w:r w:rsidRPr="008608AA">
        <w:t xml:space="preserve">Results from the 24 countries in Latin America and the Caribbean are summarized in Figure 6.3. Canada has similarly recorded progress in </w:t>
      </w:r>
      <w:r w:rsidR="00847F60" w:rsidRPr="008608AA">
        <w:t>target</w:t>
      </w:r>
      <w:r w:rsidRPr="008608AA">
        <w:t xml:space="preserve"> 11 through the designation of several Protected Areas (Canada, 2014). Moreover, in Canada’s biodiversity goals and targets (Canada, 2016) there is recognition of the relevance of traditional knowledge, innovations and practices of Indigenous communities for implementing all targets.</w:t>
      </w:r>
    </w:p>
    <w:p w14:paraId="3C1BE682" w14:textId="3ED82468" w:rsidR="00BD08BA" w:rsidRPr="008608AA" w:rsidRDefault="00025B55" w:rsidP="00BD08BA">
      <w:pPr>
        <w:spacing w:before="240"/>
        <w:jc w:val="center"/>
        <w:rPr>
          <w:shd w:val="clear" w:color="auto" w:fill="FFFFFF"/>
        </w:rPr>
      </w:pPr>
      <w:r w:rsidRPr="008608AA">
        <w:rPr>
          <w:noProof/>
          <w:shd w:val="clear" w:color="auto" w:fill="FFFFFF"/>
          <w:lang w:val="en-GB" w:eastAsia="en-GB"/>
        </w:rPr>
        <w:drawing>
          <wp:inline distT="0" distB="0" distL="0" distR="0" wp14:anchorId="582D36B2" wp14:editId="424C0D80">
            <wp:extent cx="5934075" cy="7324725"/>
            <wp:effectExtent l="0" t="0" r="9525" b="9525"/>
            <wp:docPr id="95" name="Imagen 95" descr="C:\Users\Alejandro Valderrama\Downloads\Fig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8" descr="C:\Users\Alejandro Valderrama\Downloads\Fig6.3.jpg"/>
                    <pic:cNvPicPr>
                      <a:picLocks noChangeAspect="1" noChangeArrowheads="1"/>
                    </pic:cNvPicPr>
                  </pic:nvPicPr>
                  <pic:blipFill rotWithShape="1">
                    <a:blip r:embed="rId1079">
                      <a:extLst>
                        <a:ext uri="{28A0092B-C50C-407E-A947-70E740481C1C}">
                          <a14:useLocalDpi xmlns:a14="http://schemas.microsoft.com/office/drawing/2010/main" val="0"/>
                        </a:ext>
                      </a:extLst>
                    </a:blip>
                    <a:srcRect b="14366"/>
                    <a:stretch/>
                  </pic:blipFill>
                  <pic:spPr bwMode="auto">
                    <a:xfrm>
                      <a:off x="0" y="0"/>
                      <a:ext cx="5934075" cy="7324725"/>
                    </a:xfrm>
                    <a:prstGeom prst="rect">
                      <a:avLst/>
                    </a:prstGeom>
                    <a:noFill/>
                    <a:ln>
                      <a:noFill/>
                    </a:ln>
                    <a:extLst>
                      <a:ext uri="{53640926-AAD7-44D8-BBD7-CCE9431645EC}">
                        <a14:shadowObscured xmlns:a14="http://schemas.microsoft.com/office/drawing/2010/main"/>
                      </a:ext>
                    </a:extLst>
                  </pic:spPr>
                </pic:pic>
              </a:graphicData>
            </a:graphic>
          </wp:inline>
        </w:drawing>
      </w:r>
    </w:p>
    <w:p w14:paraId="1C1F9C55" w14:textId="6E3CA76A" w:rsidR="006907D1" w:rsidRPr="008608AA" w:rsidRDefault="009E18F7" w:rsidP="00BD08BA">
      <w:pPr>
        <w:spacing w:before="240"/>
        <w:rPr>
          <w:iCs/>
          <w:shd w:val="clear" w:color="auto" w:fill="FFFFFF"/>
        </w:rPr>
      </w:pPr>
      <w:r w:rsidRPr="008608AA">
        <w:rPr>
          <w:shd w:val="clear" w:color="auto" w:fill="FFFFFF"/>
        </w:rPr>
        <w:t>The</w:t>
      </w:r>
      <w:r w:rsidR="005D0F18" w:rsidRPr="008608AA">
        <w:rPr>
          <w:rStyle w:val="apple-converted-space"/>
          <w:rFonts w:cs="Arial"/>
          <w:shd w:val="clear" w:color="auto" w:fill="FFFFFF"/>
        </w:rPr>
        <w:t xml:space="preserve"> </w:t>
      </w:r>
      <w:r w:rsidRPr="008608AA">
        <w:rPr>
          <w:iCs/>
          <w:shd w:val="clear" w:color="auto" w:fill="FFFFFF"/>
        </w:rPr>
        <w:t>Carta</w:t>
      </w:r>
      <w:r w:rsidR="006907D1" w:rsidRPr="008608AA">
        <w:rPr>
          <w:iCs/>
          <w:shd w:val="clear" w:color="auto" w:fill="FFFFFF"/>
        </w:rPr>
        <w:t>gena Protocol on Biosafety</w:t>
      </w:r>
      <w:r w:rsidRPr="008608AA">
        <w:rPr>
          <w:iCs/>
          <w:shd w:val="clear" w:color="auto" w:fill="FFFFFF"/>
        </w:rPr>
        <w:t xml:space="preserve"> to the </w:t>
      </w:r>
      <w:r w:rsidR="006907D1" w:rsidRPr="008608AA">
        <w:rPr>
          <w:iCs/>
          <w:shd w:val="clear" w:color="auto" w:fill="FFFFFF"/>
        </w:rPr>
        <w:t>CBD</w:t>
      </w:r>
      <w:r w:rsidRPr="008608AA">
        <w:rPr>
          <w:iCs/>
          <w:shd w:val="clear" w:color="auto" w:fill="FFFFFF"/>
        </w:rPr>
        <w:t xml:space="preserve">, regulates </w:t>
      </w:r>
      <w:r w:rsidRPr="008608AA">
        <w:rPr>
          <w:shd w:val="clear" w:color="auto" w:fill="FFFFFF"/>
        </w:rPr>
        <w:t xml:space="preserve">the safe handling, transport and use of </w:t>
      </w:r>
      <w:r w:rsidR="006907D1" w:rsidRPr="008608AA">
        <w:rPr>
          <w:shd w:val="clear" w:color="auto" w:fill="FFFFFF"/>
        </w:rPr>
        <w:t>living modified organisms</w:t>
      </w:r>
      <w:r w:rsidRPr="008608AA">
        <w:rPr>
          <w:shd w:val="clear" w:color="auto" w:fill="FFFFFF"/>
        </w:rPr>
        <w:t xml:space="preserve"> resulting from modern biotechnology that may have adverse effects on biological diversity, taking also into account risks to human health. </w:t>
      </w:r>
      <w:r w:rsidRPr="008608AA">
        <w:rPr>
          <w:rStyle w:val="apple-converted-space"/>
          <w:rFonts w:cs="Arial"/>
          <w:shd w:val="clear" w:color="auto" w:fill="FFFFFF"/>
        </w:rPr>
        <w:t xml:space="preserve">Countries of America are 30 Parties (Table 6.3). </w:t>
      </w:r>
      <w:r w:rsidRPr="008608AA">
        <w:rPr>
          <w:iCs/>
          <w:shd w:val="clear" w:color="auto" w:fill="FFFFFF"/>
        </w:rPr>
        <w:t xml:space="preserve">All Latin America and the Caribbean countries are Party to the </w:t>
      </w:r>
      <w:r w:rsidR="006907D1" w:rsidRPr="008608AA">
        <w:rPr>
          <w:iCs/>
          <w:shd w:val="clear" w:color="auto" w:fill="FFFFFF"/>
        </w:rPr>
        <w:t>Cartagena Protocol on Biosafety</w:t>
      </w:r>
      <w:r w:rsidRPr="008608AA">
        <w:rPr>
          <w:iCs/>
          <w:shd w:val="clear" w:color="auto" w:fill="FFFFFF"/>
        </w:rPr>
        <w:t>, and some have a domestic regulatory framework fully in place (</w:t>
      </w:r>
      <w:r w:rsidR="00847F60" w:rsidRPr="008608AA">
        <w:rPr>
          <w:iCs/>
          <w:shd w:val="clear" w:color="auto" w:fill="FFFFFF"/>
        </w:rPr>
        <w:t>e.g.</w:t>
      </w:r>
      <w:r w:rsidRPr="008608AA">
        <w:rPr>
          <w:iCs/>
          <w:shd w:val="clear" w:color="auto" w:fill="FFFFFF"/>
        </w:rPr>
        <w:t xml:space="preserve"> Brazil, Colombia, Saint Kit</w:t>
      </w:r>
      <w:r w:rsidR="00F9298D" w:rsidRPr="008608AA">
        <w:rPr>
          <w:iCs/>
          <w:shd w:val="clear" w:color="auto" w:fill="FFFFFF"/>
        </w:rPr>
        <w:t>t</w:t>
      </w:r>
      <w:r w:rsidRPr="008608AA">
        <w:rPr>
          <w:iCs/>
          <w:shd w:val="clear" w:color="auto" w:fill="FFFFFF"/>
        </w:rPr>
        <w:t>s and Nevis), others are partially in place (</w:t>
      </w:r>
      <w:r w:rsidR="00847F60" w:rsidRPr="008608AA">
        <w:rPr>
          <w:iCs/>
          <w:shd w:val="clear" w:color="auto" w:fill="FFFFFF"/>
        </w:rPr>
        <w:t>e.g.</w:t>
      </w:r>
      <w:r w:rsidRPr="008608AA">
        <w:rPr>
          <w:iCs/>
          <w:shd w:val="clear" w:color="auto" w:fill="FFFFFF"/>
        </w:rPr>
        <w:t xml:space="preserve"> Bolivia, Costa Rica, Cuba, Dominique, Ecuador, Guatemala, Honduras, Mexico, Peru and Uruguay), while other countries do not have measures yet (</w:t>
      </w:r>
      <w:r w:rsidR="00847F60" w:rsidRPr="008608AA">
        <w:rPr>
          <w:iCs/>
          <w:shd w:val="clear" w:color="auto" w:fill="FFFFFF"/>
        </w:rPr>
        <w:t>e.g.</w:t>
      </w:r>
      <w:r w:rsidRPr="008608AA">
        <w:rPr>
          <w:iCs/>
          <w:shd w:val="clear" w:color="auto" w:fill="FFFFFF"/>
        </w:rPr>
        <w:t xml:space="preserve">  and Dominican Republic).</w:t>
      </w:r>
      <w:bookmarkStart w:id="2492" w:name="_Toc356492311"/>
      <w:bookmarkStart w:id="2493" w:name="_Toc502957770"/>
      <w:bookmarkStart w:id="2494" w:name="_Toc502957969"/>
      <w:bookmarkStart w:id="2495" w:name="_Toc502958123"/>
      <w:bookmarkStart w:id="2496" w:name="_Toc503293192"/>
      <w:bookmarkStart w:id="2497" w:name="_Toc503293790"/>
      <w:bookmarkStart w:id="2498" w:name="_Toc503294052"/>
      <w:bookmarkStart w:id="2499" w:name="_Toc503863445"/>
      <w:bookmarkStart w:id="2500" w:name="_Toc503863673"/>
    </w:p>
    <w:p w14:paraId="15D95031" w14:textId="77777777" w:rsidR="00BD08BA" w:rsidRPr="008608AA" w:rsidRDefault="00BD08BA" w:rsidP="00BD08BA">
      <w:pPr>
        <w:spacing w:before="240"/>
        <w:rPr>
          <w:iCs/>
          <w:shd w:val="clear" w:color="auto" w:fill="FFFFFF"/>
        </w:rPr>
      </w:pPr>
    </w:p>
    <w:p w14:paraId="72C70117" w14:textId="77777777" w:rsidR="006907D1" w:rsidRPr="008608AA" w:rsidRDefault="006907D1" w:rsidP="008B3BCD"/>
    <w:p w14:paraId="21B6A1BE" w14:textId="404AF4AE" w:rsidR="009E18F7" w:rsidRDefault="009E18F7" w:rsidP="00BD08BA">
      <w:pPr>
        <w:pStyle w:val="Heading3"/>
        <w:rPr>
          <w:lang w:val="en-US"/>
        </w:rPr>
      </w:pPr>
      <w:bookmarkStart w:id="2501" w:name="_Toc517393452"/>
      <w:bookmarkStart w:id="2502" w:name="_Toc517719193"/>
      <w:bookmarkStart w:id="2503" w:name="_Toc517797150"/>
      <w:r w:rsidRPr="008608AA">
        <w:rPr>
          <w:lang w:val="en-US"/>
        </w:rPr>
        <w:t xml:space="preserve">United </w:t>
      </w:r>
      <w:r w:rsidRPr="008608AA">
        <w:t>Nations</w:t>
      </w:r>
      <w:r w:rsidRPr="008608AA">
        <w:rPr>
          <w:lang w:val="en-US"/>
        </w:rPr>
        <w:t xml:space="preserve"> Framework Convention on Climate Change nationally determined contributions</w:t>
      </w:r>
      <w:bookmarkEnd w:id="2492"/>
      <w:bookmarkEnd w:id="2493"/>
      <w:bookmarkEnd w:id="2494"/>
      <w:bookmarkEnd w:id="2495"/>
      <w:bookmarkEnd w:id="2496"/>
      <w:bookmarkEnd w:id="2497"/>
      <w:bookmarkEnd w:id="2498"/>
      <w:bookmarkEnd w:id="2499"/>
      <w:bookmarkEnd w:id="2500"/>
      <w:bookmarkEnd w:id="2501"/>
      <w:bookmarkEnd w:id="2502"/>
      <w:bookmarkEnd w:id="2503"/>
      <w:r w:rsidRPr="008608AA">
        <w:rPr>
          <w:lang w:val="en-US"/>
        </w:rPr>
        <w:t xml:space="preserve"> </w:t>
      </w:r>
    </w:p>
    <w:p w14:paraId="1699945A" w14:textId="77777777" w:rsidR="00FE4CC2" w:rsidRPr="00FE4CC2" w:rsidRDefault="00FE4CC2" w:rsidP="00FE4CC2">
      <w:pPr>
        <w:rPr>
          <w:lang w:eastAsia="es-CO"/>
        </w:rPr>
      </w:pPr>
    </w:p>
    <w:p w14:paraId="43F47175" w14:textId="359A26C3" w:rsidR="006907D1" w:rsidRPr="008608AA" w:rsidRDefault="006907D1" w:rsidP="00BD08BA">
      <w:pPr>
        <w:rPr>
          <w:rStyle w:val="A1"/>
          <w:color w:val="auto"/>
          <w:sz w:val="24"/>
          <w:szCs w:val="24"/>
        </w:rPr>
      </w:pPr>
      <w:r w:rsidRPr="008608AA">
        <w:rPr>
          <w:rStyle w:val="A2"/>
          <w:color w:val="auto"/>
          <w:sz w:val="24"/>
          <w:szCs w:val="24"/>
        </w:rPr>
        <w:t>The USA</w:t>
      </w:r>
      <w:r w:rsidR="009E18F7" w:rsidRPr="008608AA">
        <w:rPr>
          <w:rStyle w:val="A2"/>
          <w:color w:val="auto"/>
          <w:sz w:val="24"/>
          <w:szCs w:val="24"/>
        </w:rPr>
        <w:t xml:space="preserve">, Canada, 17 Latin American countries </w:t>
      </w:r>
      <w:r w:rsidR="009E18F7" w:rsidRPr="008608AA">
        <w:rPr>
          <w:rStyle w:val="A1"/>
          <w:color w:val="auto"/>
          <w:sz w:val="24"/>
          <w:szCs w:val="24"/>
        </w:rPr>
        <w:t>(Argentina, Belize, Bolivia, Brazil, Chile, Colombia, Costa Rica, Dominican Republ</w:t>
      </w:r>
      <w:r w:rsidR="005D0F18" w:rsidRPr="008608AA">
        <w:rPr>
          <w:rStyle w:val="A1"/>
          <w:color w:val="auto"/>
          <w:sz w:val="24"/>
          <w:szCs w:val="24"/>
        </w:rPr>
        <w:t>ic, Ecuador, El Salvador, Guate</w:t>
      </w:r>
      <w:r w:rsidR="009E18F7" w:rsidRPr="008608AA">
        <w:rPr>
          <w:rStyle w:val="A1"/>
          <w:color w:val="auto"/>
          <w:sz w:val="24"/>
          <w:szCs w:val="24"/>
        </w:rPr>
        <w:t>mala, Honduras, M</w:t>
      </w:r>
      <w:r w:rsidR="005D0F18" w:rsidRPr="008608AA">
        <w:rPr>
          <w:rStyle w:val="A1"/>
          <w:color w:val="auto"/>
          <w:sz w:val="24"/>
          <w:szCs w:val="24"/>
        </w:rPr>
        <w:t>éxico, Paraguay, Peru, Uruguay and</w:t>
      </w:r>
      <w:r w:rsidR="009E18F7" w:rsidRPr="008608AA">
        <w:rPr>
          <w:rStyle w:val="A1"/>
          <w:color w:val="auto"/>
          <w:sz w:val="24"/>
          <w:szCs w:val="24"/>
        </w:rPr>
        <w:t xml:space="preserve"> Venezuela) and 15 Caribbean countries </w:t>
      </w:r>
      <w:r w:rsidR="009E18F7" w:rsidRPr="008608AA">
        <w:rPr>
          <w:rStyle w:val="A2"/>
          <w:color w:val="auto"/>
          <w:sz w:val="24"/>
          <w:szCs w:val="24"/>
        </w:rPr>
        <w:t>(</w:t>
      </w:r>
      <w:r w:rsidR="009E18F7" w:rsidRPr="008608AA">
        <w:rPr>
          <w:rStyle w:val="A1"/>
          <w:color w:val="auto"/>
          <w:sz w:val="24"/>
          <w:szCs w:val="24"/>
        </w:rPr>
        <w:t>Antigua and Barbuda, The Bahamas, Barbados, Belize, Cuba, Domin</w:t>
      </w:r>
      <w:r w:rsidR="005D0F18" w:rsidRPr="008608AA">
        <w:rPr>
          <w:rStyle w:val="A1"/>
          <w:color w:val="auto"/>
          <w:sz w:val="24"/>
          <w:szCs w:val="24"/>
        </w:rPr>
        <w:t>ica, Grenada, Guyana, Haiti, Ja</w:t>
      </w:r>
      <w:r w:rsidR="009E18F7" w:rsidRPr="008608AA">
        <w:rPr>
          <w:rStyle w:val="A1"/>
          <w:color w:val="auto"/>
          <w:sz w:val="24"/>
          <w:szCs w:val="24"/>
        </w:rPr>
        <w:t xml:space="preserve">maica, Saint Kitts and Nevis, Saint Vincent and the Grenadines, Saint Lucia, Suriname, and </w:t>
      </w:r>
      <w:r w:rsidRPr="008608AA">
        <w:rPr>
          <w:rStyle w:val="A1"/>
          <w:color w:val="auto"/>
          <w:sz w:val="24"/>
          <w:szCs w:val="24"/>
        </w:rPr>
        <w:t>Trinidad and Tobago) presented intended nationally determined c</w:t>
      </w:r>
      <w:r w:rsidR="009E18F7" w:rsidRPr="008608AA">
        <w:rPr>
          <w:rStyle w:val="A1"/>
          <w:color w:val="auto"/>
          <w:sz w:val="24"/>
          <w:szCs w:val="24"/>
        </w:rPr>
        <w:t xml:space="preserve">ontributions </w:t>
      </w:r>
      <w:r w:rsidR="009234AB" w:rsidRPr="008608AA">
        <w:rPr>
          <w:rStyle w:val="A1"/>
          <w:color w:val="auto"/>
          <w:sz w:val="24"/>
          <w:szCs w:val="24"/>
        </w:rPr>
        <w:t>in</w:t>
      </w:r>
      <w:r w:rsidR="009E18F7" w:rsidRPr="008608AA">
        <w:rPr>
          <w:rStyle w:val="A1"/>
          <w:color w:val="auto"/>
          <w:sz w:val="24"/>
          <w:szCs w:val="24"/>
        </w:rPr>
        <w:t xml:space="preserve"> the 21</w:t>
      </w:r>
      <w:r w:rsidR="009E18F7" w:rsidRPr="008608AA">
        <w:rPr>
          <w:rStyle w:val="A1"/>
          <w:color w:val="auto"/>
          <w:sz w:val="24"/>
          <w:szCs w:val="24"/>
          <w:vertAlign w:val="superscript"/>
        </w:rPr>
        <w:t>st</w:t>
      </w:r>
      <w:r w:rsidR="009E18F7" w:rsidRPr="008608AA">
        <w:rPr>
          <w:rStyle w:val="A1"/>
          <w:color w:val="auto"/>
          <w:sz w:val="24"/>
          <w:szCs w:val="24"/>
        </w:rPr>
        <w:t xml:space="preserve"> Conference of Parties of the UNFCCC (</w:t>
      </w:r>
      <w:r w:rsidR="0023266C" w:rsidRPr="008608AA">
        <w:rPr>
          <w:rStyle w:val="A2"/>
          <w:color w:val="auto"/>
          <w:sz w:val="24"/>
          <w:szCs w:val="24"/>
        </w:rPr>
        <w:t>Witkowski &amp;</w:t>
      </w:r>
      <w:r w:rsidR="009E18F7" w:rsidRPr="008608AA">
        <w:rPr>
          <w:rStyle w:val="A2"/>
          <w:color w:val="auto"/>
          <w:sz w:val="24"/>
          <w:szCs w:val="24"/>
        </w:rPr>
        <w:t xml:space="preserve"> Medina, 2016; Witkowski et al., 2016). Mostly, </w:t>
      </w:r>
      <w:r w:rsidR="009E18F7" w:rsidRPr="008608AA">
        <w:rPr>
          <w:rStyle w:val="A1"/>
          <w:color w:val="auto"/>
          <w:sz w:val="24"/>
          <w:szCs w:val="24"/>
        </w:rPr>
        <w:t xml:space="preserve">Latin American countries presented mitigation goals based on renewable energy and some with forestry. On adaptation the focus in on ecosystems, their conservation and services vulnerability risks, together with water management and efficient use. </w:t>
      </w:r>
      <w:r w:rsidR="009E18F7" w:rsidRPr="008608AA">
        <w:rPr>
          <w:rStyle w:val="A2"/>
          <w:color w:val="auto"/>
          <w:sz w:val="24"/>
          <w:szCs w:val="24"/>
        </w:rPr>
        <w:t>Caribbean countries have</w:t>
      </w:r>
      <w:r w:rsidR="009E18F7" w:rsidRPr="008608AA">
        <w:rPr>
          <w:rStyle w:val="A1"/>
          <w:color w:val="auto"/>
          <w:sz w:val="24"/>
          <w:szCs w:val="24"/>
        </w:rPr>
        <w:t xml:space="preserve"> mitigation plans for energy, transportation, forestry, agriculture, industry, waste management and land use. Adaptation and building resilience are priority issues, the sectors identified as most vulnerable to climate change include agriculture, water, fisheries, tourism, human health, and coastal resources, as well as human settlements.</w:t>
      </w:r>
    </w:p>
    <w:p w14:paraId="7667C6B8" w14:textId="13B16E26" w:rsidR="009E18F7" w:rsidRPr="008608AA" w:rsidRDefault="009E18F7" w:rsidP="000558F1">
      <w:r w:rsidRPr="008608AA">
        <w:rPr>
          <w:rStyle w:val="A1"/>
          <w:color w:val="auto"/>
          <w:sz w:val="22"/>
          <w:szCs w:val="22"/>
        </w:rPr>
        <w:t xml:space="preserve"> </w:t>
      </w:r>
    </w:p>
    <w:p w14:paraId="063F72BD" w14:textId="4967454F" w:rsidR="009E18F7" w:rsidRDefault="009E18F7" w:rsidP="00BD08BA">
      <w:pPr>
        <w:pStyle w:val="Heading3"/>
        <w:rPr>
          <w:lang w:val="en-US"/>
        </w:rPr>
      </w:pPr>
      <w:bookmarkStart w:id="2504" w:name="_Toc502957771"/>
      <w:bookmarkStart w:id="2505" w:name="_Toc502957970"/>
      <w:bookmarkStart w:id="2506" w:name="_Toc502958124"/>
      <w:bookmarkStart w:id="2507" w:name="_Toc503293193"/>
      <w:bookmarkStart w:id="2508" w:name="_Toc503293791"/>
      <w:bookmarkStart w:id="2509" w:name="_Toc503294053"/>
      <w:bookmarkStart w:id="2510" w:name="_Toc503863446"/>
      <w:bookmarkStart w:id="2511" w:name="_Toc503863674"/>
      <w:bookmarkStart w:id="2512" w:name="_Toc517393453"/>
      <w:bookmarkStart w:id="2513" w:name="_Toc517719194"/>
      <w:bookmarkStart w:id="2514" w:name="_Toc517797151"/>
      <w:bookmarkStart w:id="2515" w:name="_Toc356492312"/>
      <w:r w:rsidRPr="008608AA">
        <w:rPr>
          <w:lang w:val="en-US"/>
        </w:rPr>
        <w:t xml:space="preserve">Sustainable </w:t>
      </w:r>
      <w:r w:rsidRPr="008608AA">
        <w:t>Development</w:t>
      </w:r>
      <w:r w:rsidRPr="008608AA">
        <w:rPr>
          <w:lang w:val="en-US"/>
        </w:rPr>
        <w:t xml:space="preserve"> Goals</w:t>
      </w:r>
      <w:bookmarkEnd w:id="2504"/>
      <w:bookmarkEnd w:id="2505"/>
      <w:bookmarkEnd w:id="2506"/>
      <w:bookmarkEnd w:id="2507"/>
      <w:bookmarkEnd w:id="2508"/>
      <w:bookmarkEnd w:id="2509"/>
      <w:bookmarkEnd w:id="2510"/>
      <w:bookmarkEnd w:id="2511"/>
      <w:bookmarkEnd w:id="2512"/>
      <w:bookmarkEnd w:id="2513"/>
      <w:bookmarkEnd w:id="2514"/>
      <w:r w:rsidRPr="008608AA">
        <w:rPr>
          <w:lang w:val="en-US"/>
        </w:rPr>
        <w:t xml:space="preserve"> </w:t>
      </w:r>
      <w:bookmarkEnd w:id="2515"/>
    </w:p>
    <w:p w14:paraId="19DAB687" w14:textId="77777777" w:rsidR="00FE4CC2" w:rsidRPr="00FE4CC2" w:rsidRDefault="00FE4CC2" w:rsidP="00FE4CC2">
      <w:pPr>
        <w:rPr>
          <w:lang w:eastAsia="es-CO"/>
        </w:rPr>
      </w:pPr>
    </w:p>
    <w:p w14:paraId="4B2173BB" w14:textId="3BB3736C" w:rsidR="009E18F7" w:rsidRPr="008608AA" w:rsidRDefault="009E18F7" w:rsidP="00BD08BA">
      <w:r w:rsidRPr="008608AA">
        <w:t>The United Nations Rio+20 s</w:t>
      </w:r>
      <w:r w:rsidR="009234AB" w:rsidRPr="008608AA">
        <w:t>ummit that took place in Brazil in</w:t>
      </w:r>
      <w:r w:rsidRPr="008608AA">
        <w:t xml:space="preserve"> 2012, committed </w:t>
      </w:r>
      <w:r w:rsidR="00BE6EBD" w:rsidRPr="008608AA">
        <w:t xml:space="preserve">governments to create a set of </w:t>
      </w:r>
      <w:r w:rsidR="009234AB" w:rsidRPr="008608AA">
        <w:t>SDGs</w:t>
      </w:r>
      <w:r w:rsidRPr="008608AA">
        <w:t xml:space="preserve"> that would be integrated into the follow-up to the Mi</w:t>
      </w:r>
      <w:r w:rsidR="009234AB" w:rsidRPr="008608AA">
        <w:t>llennium Development Goals</w:t>
      </w:r>
      <w:r w:rsidRPr="008608AA">
        <w:t xml:space="preserve"> after their 2015 deadline. In September 2015, 17 SDG, along with their 169 targets, were adopted by governments around the world as a part of the Global 2030 Agenda for Sustainable Development</w:t>
      </w:r>
      <w:r w:rsidRPr="008608AA">
        <w:rPr>
          <w:rStyle w:val="FootnoteReference"/>
          <w:lang w:val="en-GB"/>
        </w:rPr>
        <w:footnoteReference w:id="37"/>
      </w:r>
      <w:r w:rsidRPr="008608AA">
        <w:t xml:space="preserve">. The SDG are important in the Americas context to help advance the progress already made under the </w:t>
      </w:r>
      <w:r w:rsidR="009234AB" w:rsidRPr="008608AA">
        <w:t xml:space="preserve">Millennium Development Goals </w:t>
      </w:r>
      <w:r w:rsidRPr="008608AA">
        <w:t>(such as the incre</w:t>
      </w:r>
      <w:r w:rsidR="009234AB" w:rsidRPr="008608AA">
        <w:t>ase in the number of Protected a</w:t>
      </w:r>
      <w:r w:rsidRPr="008608AA">
        <w:t>reas). The SDG also provide an opportunity to address some of the persistent environmental challenges in the region (e.g. the net loss of forest in Latin America – especially South America – despite the development of a number of forest laws and policies across the region)</w:t>
      </w:r>
      <w:r w:rsidRPr="008608AA">
        <w:rPr>
          <w:rStyle w:val="FootnoteReference"/>
          <w:lang w:val="en-GB"/>
        </w:rPr>
        <w:footnoteReference w:id="38"/>
      </w:r>
      <w:r w:rsidRPr="008608AA">
        <w:t xml:space="preserve">. </w:t>
      </w:r>
    </w:p>
    <w:p w14:paraId="5D61BA2D" w14:textId="77777777" w:rsidR="009E18F7" w:rsidRPr="008608AA" w:rsidRDefault="009E18F7" w:rsidP="009E18F7">
      <w:pPr>
        <w:spacing w:after="200"/>
        <w:rPr>
          <w:iCs/>
          <w:shd w:val="clear" w:color="auto" w:fill="FFFFFF"/>
        </w:rPr>
      </w:pPr>
      <w:r w:rsidRPr="008608AA">
        <w:rPr>
          <w:iCs/>
          <w:shd w:val="clear" w:color="auto" w:fill="FFFFFF"/>
        </w:rPr>
        <w:br w:type="page"/>
      </w:r>
    </w:p>
    <w:p w14:paraId="09304A1C" w14:textId="6D5E5BCA" w:rsidR="009E18F7" w:rsidRPr="008608AA" w:rsidRDefault="00BD08BA" w:rsidP="00BD08BA">
      <w:pPr>
        <w:pStyle w:val="Caption"/>
        <w:rPr>
          <w:szCs w:val="20"/>
          <w:lang w:val="en-US"/>
        </w:rPr>
      </w:pPr>
      <w:bookmarkStart w:id="2516" w:name="_Toc482710200"/>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6</w:t>
      </w:r>
      <w:r w:rsidR="000E562E">
        <w:rPr>
          <w:noProof/>
        </w:rPr>
        <w:fldChar w:fldCharType="end"/>
      </w:r>
      <w:r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3</w:t>
      </w:r>
      <w:r w:rsidR="000E562E">
        <w:rPr>
          <w:noProof/>
        </w:rPr>
        <w:fldChar w:fldCharType="end"/>
      </w:r>
      <w:r w:rsidRPr="008608AA">
        <w:t xml:space="preserve">. </w:t>
      </w:r>
      <w:r w:rsidR="009E18F7" w:rsidRPr="008608AA">
        <w:rPr>
          <w:szCs w:val="20"/>
        </w:rPr>
        <w:t>Status</w:t>
      </w:r>
      <w:r w:rsidR="009E18F7" w:rsidRPr="008608AA">
        <w:rPr>
          <w:bCs w:val="0"/>
          <w:color w:val="000000"/>
          <w:szCs w:val="20"/>
          <w:lang w:val="en-US"/>
        </w:rPr>
        <w:t xml:space="preserve"> </w:t>
      </w:r>
      <w:r w:rsidR="009E18F7" w:rsidRPr="008608AA">
        <w:rPr>
          <w:szCs w:val="20"/>
          <w:lang w:val="en-US"/>
        </w:rPr>
        <w:t>of countries regarding two protocols from the Convention of Biological diversity: the Nagoya Protocol on Access and Benefit Sharing and the Cartagena Protocol on Biosafety.</w:t>
      </w:r>
      <w:bookmarkEnd w:id="2516"/>
    </w:p>
    <w:p w14:paraId="1C97CE05" w14:textId="77777777" w:rsidR="009E18F7" w:rsidRPr="008608AA" w:rsidRDefault="009E18F7" w:rsidP="005D0F18">
      <w:pPr>
        <w:pStyle w:val="Caption"/>
        <w:spacing w:before="0" w:beforeAutospacing="0" w:after="100"/>
        <w:rPr>
          <w:szCs w:val="20"/>
        </w:rPr>
      </w:pPr>
      <w:r w:rsidRPr="008608AA">
        <w:rPr>
          <w:szCs w:val="20"/>
          <w:lang w:val="en-US"/>
        </w:rPr>
        <w:t>Status S= signed; R= ratified; √ = under implementation</w:t>
      </w:r>
    </w:p>
    <w:tbl>
      <w:tblPr>
        <w:tblStyle w:val="TableGrid"/>
        <w:tblW w:w="8252" w:type="dxa"/>
        <w:jc w:val="center"/>
        <w:tblLayout w:type="fixed"/>
        <w:tblLook w:val="04A0" w:firstRow="1" w:lastRow="0" w:firstColumn="1" w:lastColumn="0" w:noHBand="0" w:noVBand="1"/>
      </w:tblPr>
      <w:tblGrid>
        <w:gridCol w:w="2376"/>
        <w:gridCol w:w="1985"/>
        <w:gridCol w:w="1446"/>
        <w:gridCol w:w="2445"/>
      </w:tblGrid>
      <w:tr w:rsidR="009E18F7" w:rsidRPr="00FE4CC2" w14:paraId="2F45E8BC" w14:textId="77777777" w:rsidTr="00BD08BA">
        <w:trPr>
          <w:jc w:val="center"/>
        </w:trPr>
        <w:tc>
          <w:tcPr>
            <w:tcW w:w="2376" w:type="dxa"/>
            <w:shd w:val="clear" w:color="auto" w:fill="BFBFBF" w:themeFill="background1" w:themeFillShade="BF"/>
            <w:vAlign w:val="center"/>
          </w:tcPr>
          <w:p w14:paraId="06C751FD" w14:textId="77777777" w:rsidR="009E18F7" w:rsidRPr="00FE4CC2" w:rsidRDefault="009E18F7" w:rsidP="005D0F18">
            <w:pPr>
              <w:rPr>
                <w:b/>
                <w:szCs w:val="22"/>
              </w:rPr>
            </w:pPr>
            <w:r w:rsidRPr="00FE4CC2">
              <w:rPr>
                <w:b/>
                <w:szCs w:val="22"/>
              </w:rPr>
              <w:t>Country</w:t>
            </w:r>
          </w:p>
        </w:tc>
        <w:tc>
          <w:tcPr>
            <w:tcW w:w="1985" w:type="dxa"/>
            <w:shd w:val="clear" w:color="auto" w:fill="BFBFBF" w:themeFill="background1" w:themeFillShade="BF"/>
            <w:vAlign w:val="center"/>
          </w:tcPr>
          <w:p w14:paraId="27A104EB" w14:textId="77777777" w:rsidR="009E18F7" w:rsidRPr="00FE4CC2" w:rsidRDefault="007C45FD" w:rsidP="005D0F18">
            <w:pPr>
              <w:rPr>
                <w:b/>
                <w:szCs w:val="22"/>
              </w:rPr>
            </w:pPr>
            <w:r w:rsidRPr="00FE4CC2">
              <w:rPr>
                <w:b/>
                <w:szCs w:val="22"/>
              </w:rPr>
              <w:t>Sub</w:t>
            </w:r>
            <w:r w:rsidR="009E18F7" w:rsidRPr="00FE4CC2">
              <w:rPr>
                <w:b/>
                <w:szCs w:val="22"/>
              </w:rPr>
              <w:t>region</w:t>
            </w:r>
          </w:p>
        </w:tc>
        <w:tc>
          <w:tcPr>
            <w:tcW w:w="1446" w:type="dxa"/>
            <w:shd w:val="clear" w:color="auto" w:fill="BFBFBF" w:themeFill="background1" w:themeFillShade="BF"/>
          </w:tcPr>
          <w:p w14:paraId="67467313" w14:textId="77777777" w:rsidR="009E18F7" w:rsidRPr="00FE4CC2" w:rsidRDefault="009E18F7" w:rsidP="005D0F18">
            <w:pPr>
              <w:tabs>
                <w:tab w:val="left" w:pos="629"/>
              </w:tabs>
              <w:autoSpaceDE w:val="0"/>
              <w:autoSpaceDN w:val="0"/>
              <w:adjustRightInd w:val="0"/>
              <w:ind w:right="536"/>
              <w:rPr>
                <w:b/>
                <w:szCs w:val="22"/>
              </w:rPr>
            </w:pPr>
            <w:r w:rsidRPr="00FE4CC2">
              <w:rPr>
                <w:b/>
                <w:szCs w:val="22"/>
              </w:rPr>
              <w:t>Nagoya</w:t>
            </w:r>
          </w:p>
        </w:tc>
        <w:tc>
          <w:tcPr>
            <w:tcW w:w="2445" w:type="dxa"/>
            <w:shd w:val="clear" w:color="auto" w:fill="BFBFBF" w:themeFill="background1" w:themeFillShade="BF"/>
          </w:tcPr>
          <w:p w14:paraId="14B99997" w14:textId="77777777" w:rsidR="009E18F7" w:rsidRPr="00FE4CC2" w:rsidRDefault="009E18F7" w:rsidP="005D0F18">
            <w:pPr>
              <w:autoSpaceDE w:val="0"/>
              <w:autoSpaceDN w:val="0"/>
              <w:adjustRightInd w:val="0"/>
              <w:ind w:right="849"/>
              <w:rPr>
                <w:b/>
                <w:szCs w:val="22"/>
              </w:rPr>
            </w:pPr>
            <w:r w:rsidRPr="00FE4CC2">
              <w:rPr>
                <w:b/>
                <w:szCs w:val="22"/>
              </w:rPr>
              <w:t>Cartagena</w:t>
            </w:r>
          </w:p>
        </w:tc>
      </w:tr>
      <w:tr w:rsidR="009E18F7" w:rsidRPr="00FE4CC2" w14:paraId="62034D71" w14:textId="77777777" w:rsidTr="008568BE">
        <w:trPr>
          <w:jc w:val="center"/>
        </w:trPr>
        <w:tc>
          <w:tcPr>
            <w:tcW w:w="2376" w:type="dxa"/>
            <w:vAlign w:val="center"/>
          </w:tcPr>
          <w:p w14:paraId="27FE3496" w14:textId="77777777" w:rsidR="009E18F7" w:rsidRPr="00FE4CC2" w:rsidRDefault="009E18F7" w:rsidP="005D0F18">
            <w:pPr>
              <w:rPr>
                <w:szCs w:val="22"/>
              </w:rPr>
            </w:pPr>
            <w:r w:rsidRPr="00FE4CC2">
              <w:rPr>
                <w:szCs w:val="22"/>
              </w:rPr>
              <w:t>Antigua and Barbuda</w:t>
            </w:r>
          </w:p>
        </w:tc>
        <w:tc>
          <w:tcPr>
            <w:tcW w:w="1985" w:type="dxa"/>
            <w:vAlign w:val="center"/>
          </w:tcPr>
          <w:p w14:paraId="5E34327C" w14:textId="77777777" w:rsidR="009E18F7" w:rsidRPr="00FE4CC2" w:rsidRDefault="009E18F7" w:rsidP="005D0F18">
            <w:pPr>
              <w:rPr>
                <w:szCs w:val="22"/>
              </w:rPr>
            </w:pPr>
            <w:r w:rsidRPr="00FE4CC2">
              <w:rPr>
                <w:szCs w:val="22"/>
              </w:rPr>
              <w:t>Caribbean</w:t>
            </w:r>
          </w:p>
        </w:tc>
        <w:tc>
          <w:tcPr>
            <w:tcW w:w="1446" w:type="dxa"/>
          </w:tcPr>
          <w:p w14:paraId="1381B0A4" w14:textId="77777777" w:rsidR="009E18F7" w:rsidRPr="00FE4CC2" w:rsidRDefault="009E18F7" w:rsidP="005D0F18">
            <w:pPr>
              <w:autoSpaceDE w:val="0"/>
              <w:autoSpaceDN w:val="0"/>
              <w:adjustRightInd w:val="0"/>
              <w:ind w:right="849"/>
              <w:jc w:val="center"/>
              <w:rPr>
                <w:szCs w:val="22"/>
              </w:rPr>
            </w:pPr>
            <w:r w:rsidRPr="00FE4CC2">
              <w:rPr>
                <w:szCs w:val="22"/>
              </w:rPr>
              <w:t>R</w:t>
            </w:r>
          </w:p>
        </w:tc>
        <w:tc>
          <w:tcPr>
            <w:tcW w:w="2445" w:type="dxa"/>
            <w:vAlign w:val="center"/>
          </w:tcPr>
          <w:p w14:paraId="71624523" w14:textId="77777777" w:rsidR="009E18F7" w:rsidRPr="00FE4CC2" w:rsidRDefault="009E18F7" w:rsidP="005D0F18">
            <w:pPr>
              <w:jc w:val="center"/>
              <w:rPr>
                <w:szCs w:val="22"/>
              </w:rPr>
            </w:pPr>
            <w:r w:rsidRPr="00FE4CC2">
              <w:rPr>
                <w:szCs w:val="22"/>
              </w:rPr>
              <w:t>√</w:t>
            </w:r>
          </w:p>
        </w:tc>
      </w:tr>
      <w:tr w:rsidR="009E18F7" w:rsidRPr="00FE4CC2" w14:paraId="3DEA9464" w14:textId="77777777" w:rsidTr="008568BE">
        <w:trPr>
          <w:jc w:val="center"/>
        </w:trPr>
        <w:tc>
          <w:tcPr>
            <w:tcW w:w="2376" w:type="dxa"/>
            <w:vAlign w:val="center"/>
          </w:tcPr>
          <w:p w14:paraId="33BEE076" w14:textId="77777777" w:rsidR="009E18F7" w:rsidRPr="00FE4CC2" w:rsidRDefault="009E18F7" w:rsidP="005D0F18">
            <w:pPr>
              <w:rPr>
                <w:szCs w:val="22"/>
              </w:rPr>
            </w:pPr>
            <w:r w:rsidRPr="00FE4CC2">
              <w:rPr>
                <w:szCs w:val="22"/>
              </w:rPr>
              <w:t>Argentina</w:t>
            </w:r>
          </w:p>
        </w:tc>
        <w:tc>
          <w:tcPr>
            <w:tcW w:w="1985" w:type="dxa"/>
            <w:vAlign w:val="center"/>
          </w:tcPr>
          <w:p w14:paraId="3CB5E4BC" w14:textId="77777777" w:rsidR="009E18F7" w:rsidRPr="00FE4CC2" w:rsidRDefault="009E18F7" w:rsidP="005D0F18">
            <w:pPr>
              <w:rPr>
                <w:szCs w:val="22"/>
              </w:rPr>
            </w:pPr>
            <w:r w:rsidRPr="00FE4CC2">
              <w:rPr>
                <w:szCs w:val="22"/>
              </w:rPr>
              <w:t>South America</w:t>
            </w:r>
          </w:p>
        </w:tc>
        <w:tc>
          <w:tcPr>
            <w:tcW w:w="1446" w:type="dxa"/>
          </w:tcPr>
          <w:p w14:paraId="2914E048" w14:textId="77777777" w:rsidR="009E18F7" w:rsidRPr="00FE4CC2" w:rsidRDefault="009E18F7" w:rsidP="005D0F18">
            <w:pPr>
              <w:autoSpaceDE w:val="0"/>
              <w:autoSpaceDN w:val="0"/>
              <w:adjustRightInd w:val="0"/>
              <w:ind w:right="849"/>
              <w:jc w:val="center"/>
              <w:rPr>
                <w:szCs w:val="22"/>
              </w:rPr>
            </w:pPr>
            <w:r w:rsidRPr="00FE4CC2">
              <w:rPr>
                <w:szCs w:val="22"/>
              </w:rPr>
              <w:t>R</w:t>
            </w:r>
          </w:p>
        </w:tc>
        <w:tc>
          <w:tcPr>
            <w:tcW w:w="2445" w:type="dxa"/>
            <w:vAlign w:val="center"/>
          </w:tcPr>
          <w:p w14:paraId="20ECF7C9" w14:textId="77777777" w:rsidR="009E18F7" w:rsidRPr="00FE4CC2" w:rsidRDefault="009E18F7" w:rsidP="005D0F18">
            <w:pPr>
              <w:jc w:val="center"/>
              <w:rPr>
                <w:szCs w:val="22"/>
              </w:rPr>
            </w:pPr>
            <w:r w:rsidRPr="00FE4CC2">
              <w:rPr>
                <w:szCs w:val="22"/>
              </w:rPr>
              <w:t> </w:t>
            </w:r>
          </w:p>
        </w:tc>
      </w:tr>
      <w:tr w:rsidR="009E18F7" w:rsidRPr="00FE4CC2" w14:paraId="4DC2ACDD" w14:textId="77777777" w:rsidTr="008568BE">
        <w:trPr>
          <w:jc w:val="center"/>
        </w:trPr>
        <w:tc>
          <w:tcPr>
            <w:tcW w:w="2376" w:type="dxa"/>
            <w:vAlign w:val="center"/>
          </w:tcPr>
          <w:p w14:paraId="6B4B86E9" w14:textId="61F49B23" w:rsidR="009E18F7" w:rsidRPr="00FE4CC2" w:rsidRDefault="00BD08BA" w:rsidP="005D0F18">
            <w:pPr>
              <w:rPr>
                <w:szCs w:val="22"/>
              </w:rPr>
            </w:pPr>
            <w:r w:rsidRPr="00FE4CC2">
              <w:rPr>
                <w:szCs w:val="22"/>
              </w:rPr>
              <w:t xml:space="preserve">The </w:t>
            </w:r>
            <w:r w:rsidR="009E18F7" w:rsidRPr="00FE4CC2">
              <w:rPr>
                <w:szCs w:val="22"/>
              </w:rPr>
              <w:t>Bahamas</w:t>
            </w:r>
          </w:p>
        </w:tc>
        <w:tc>
          <w:tcPr>
            <w:tcW w:w="1985" w:type="dxa"/>
            <w:vAlign w:val="center"/>
          </w:tcPr>
          <w:p w14:paraId="4B837688" w14:textId="77777777" w:rsidR="009E18F7" w:rsidRPr="00FE4CC2" w:rsidRDefault="009E18F7" w:rsidP="005D0F18">
            <w:pPr>
              <w:rPr>
                <w:szCs w:val="22"/>
              </w:rPr>
            </w:pPr>
            <w:r w:rsidRPr="00FE4CC2">
              <w:rPr>
                <w:szCs w:val="22"/>
              </w:rPr>
              <w:t>Caribbean</w:t>
            </w:r>
          </w:p>
        </w:tc>
        <w:tc>
          <w:tcPr>
            <w:tcW w:w="1446" w:type="dxa"/>
          </w:tcPr>
          <w:p w14:paraId="0D6709D0" w14:textId="77777777" w:rsidR="009E18F7" w:rsidRPr="00FE4CC2" w:rsidRDefault="009E18F7" w:rsidP="005D0F18">
            <w:pPr>
              <w:autoSpaceDE w:val="0"/>
              <w:autoSpaceDN w:val="0"/>
              <w:adjustRightInd w:val="0"/>
              <w:ind w:right="849"/>
              <w:jc w:val="center"/>
              <w:rPr>
                <w:szCs w:val="22"/>
              </w:rPr>
            </w:pPr>
          </w:p>
        </w:tc>
        <w:tc>
          <w:tcPr>
            <w:tcW w:w="2445" w:type="dxa"/>
          </w:tcPr>
          <w:p w14:paraId="44F03233" w14:textId="77777777" w:rsidR="009E18F7" w:rsidRPr="00FE4CC2" w:rsidRDefault="009E18F7" w:rsidP="005D0F18">
            <w:pPr>
              <w:jc w:val="center"/>
              <w:rPr>
                <w:szCs w:val="22"/>
              </w:rPr>
            </w:pPr>
            <w:r w:rsidRPr="00FE4CC2">
              <w:rPr>
                <w:szCs w:val="22"/>
              </w:rPr>
              <w:t>√</w:t>
            </w:r>
          </w:p>
        </w:tc>
      </w:tr>
      <w:tr w:rsidR="009E18F7" w:rsidRPr="00FE4CC2" w14:paraId="14128A6B" w14:textId="77777777" w:rsidTr="008568BE">
        <w:trPr>
          <w:jc w:val="center"/>
        </w:trPr>
        <w:tc>
          <w:tcPr>
            <w:tcW w:w="2376" w:type="dxa"/>
            <w:vAlign w:val="center"/>
          </w:tcPr>
          <w:p w14:paraId="406E6810" w14:textId="77777777" w:rsidR="009E18F7" w:rsidRPr="00FE4CC2" w:rsidRDefault="009E18F7" w:rsidP="005D0F18">
            <w:pPr>
              <w:rPr>
                <w:szCs w:val="22"/>
              </w:rPr>
            </w:pPr>
            <w:r w:rsidRPr="00FE4CC2">
              <w:rPr>
                <w:szCs w:val="22"/>
              </w:rPr>
              <w:t>Barbados</w:t>
            </w:r>
          </w:p>
        </w:tc>
        <w:tc>
          <w:tcPr>
            <w:tcW w:w="1985" w:type="dxa"/>
            <w:vAlign w:val="center"/>
          </w:tcPr>
          <w:p w14:paraId="669AF61E" w14:textId="77777777" w:rsidR="009E18F7" w:rsidRPr="00FE4CC2" w:rsidRDefault="009E18F7" w:rsidP="005D0F18">
            <w:pPr>
              <w:rPr>
                <w:szCs w:val="22"/>
              </w:rPr>
            </w:pPr>
            <w:r w:rsidRPr="00FE4CC2">
              <w:rPr>
                <w:szCs w:val="22"/>
              </w:rPr>
              <w:t>Caribbean</w:t>
            </w:r>
          </w:p>
        </w:tc>
        <w:tc>
          <w:tcPr>
            <w:tcW w:w="1446" w:type="dxa"/>
          </w:tcPr>
          <w:p w14:paraId="61E0C19A" w14:textId="77777777" w:rsidR="009E18F7" w:rsidRPr="00FE4CC2" w:rsidRDefault="009E18F7" w:rsidP="005D0F18">
            <w:pPr>
              <w:autoSpaceDE w:val="0"/>
              <w:autoSpaceDN w:val="0"/>
              <w:adjustRightInd w:val="0"/>
              <w:ind w:right="849"/>
              <w:jc w:val="center"/>
              <w:rPr>
                <w:szCs w:val="22"/>
              </w:rPr>
            </w:pPr>
          </w:p>
        </w:tc>
        <w:tc>
          <w:tcPr>
            <w:tcW w:w="2445" w:type="dxa"/>
          </w:tcPr>
          <w:p w14:paraId="06700F95" w14:textId="77777777" w:rsidR="009E18F7" w:rsidRPr="00FE4CC2" w:rsidRDefault="009E18F7" w:rsidP="005D0F18">
            <w:pPr>
              <w:jc w:val="center"/>
              <w:rPr>
                <w:szCs w:val="22"/>
              </w:rPr>
            </w:pPr>
            <w:r w:rsidRPr="00FE4CC2">
              <w:rPr>
                <w:szCs w:val="22"/>
              </w:rPr>
              <w:t>√</w:t>
            </w:r>
          </w:p>
        </w:tc>
      </w:tr>
      <w:tr w:rsidR="009E18F7" w:rsidRPr="00FE4CC2" w14:paraId="61246FC2" w14:textId="77777777" w:rsidTr="008568BE">
        <w:trPr>
          <w:jc w:val="center"/>
        </w:trPr>
        <w:tc>
          <w:tcPr>
            <w:tcW w:w="2376" w:type="dxa"/>
            <w:vAlign w:val="center"/>
          </w:tcPr>
          <w:p w14:paraId="2654E2B2" w14:textId="77777777" w:rsidR="009E18F7" w:rsidRPr="00FE4CC2" w:rsidRDefault="009E18F7" w:rsidP="005D0F18">
            <w:pPr>
              <w:rPr>
                <w:szCs w:val="22"/>
              </w:rPr>
            </w:pPr>
            <w:r w:rsidRPr="00FE4CC2">
              <w:rPr>
                <w:szCs w:val="22"/>
              </w:rPr>
              <w:t>Belize</w:t>
            </w:r>
          </w:p>
        </w:tc>
        <w:tc>
          <w:tcPr>
            <w:tcW w:w="1985" w:type="dxa"/>
            <w:vAlign w:val="center"/>
          </w:tcPr>
          <w:p w14:paraId="21898681" w14:textId="77777777" w:rsidR="009E18F7" w:rsidRPr="00FE4CC2" w:rsidRDefault="009E18F7" w:rsidP="005D0F18">
            <w:pPr>
              <w:rPr>
                <w:szCs w:val="22"/>
              </w:rPr>
            </w:pPr>
            <w:r w:rsidRPr="00FE4CC2">
              <w:rPr>
                <w:szCs w:val="22"/>
              </w:rPr>
              <w:t>Mesoamerica</w:t>
            </w:r>
          </w:p>
        </w:tc>
        <w:tc>
          <w:tcPr>
            <w:tcW w:w="1446" w:type="dxa"/>
          </w:tcPr>
          <w:p w14:paraId="33F9D36A" w14:textId="77777777" w:rsidR="009E18F7" w:rsidRPr="00FE4CC2" w:rsidRDefault="009E18F7" w:rsidP="005D0F18">
            <w:pPr>
              <w:autoSpaceDE w:val="0"/>
              <w:autoSpaceDN w:val="0"/>
              <w:adjustRightInd w:val="0"/>
              <w:ind w:right="849"/>
              <w:jc w:val="center"/>
              <w:rPr>
                <w:szCs w:val="22"/>
              </w:rPr>
            </w:pPr>
          </w:p>
        </w:tc>
        <w:tc>
          <w:tcPr>
            <w:tcW w:w="2445" w:type="dxa"/>
          </w:tcPr>
          <w:p w14:paraId="1230471A" w14:textId="77777777" w:rsidR="009E18F7" w:rsidRPr="00FE4CC2" w:rsidRDefault="009E18F7" w:rsidP="005D0F18">
            <w:pPr>
              <w:jc w:val="center"/>
              <w:rPr>
                <w:szCs w:val="22"/>
              </w:rPr>
            </w:pPr>
            <w:r w:rsidRPr="00FE4CC2">
              <w:rPr>
                <w:szCs w:val="22"/>
              </w:rPr>
              <w:t>√</w:t>
            </w:r>
          </w:p>
        </w:tc>
      </w:tr>
      <w:tr w:rsidR="009E18F7" w:rsidRPr="00FE4CC2" w14:paraId="0AF311B6" w14:textId="77777777" w:rsidTr="008568BE">
        <w:trPr>
          <w:jc w:val="center"/>
        </w:trPr>
        <w:tc>
          <w:tcPr>
            <w:tcW w:w="2376" w:type="dxa"/>
            <w:vAlign w:val="center"/>
          </w:tcPr>
          <w:p w14:paraId="4DE051F9" w14:textId="77777777" w:rsidR="009E18F7" w:rsidRPr="00FE4CC2" w:rsidRDefault="009E18F7" w:rsidP="005D0F18">
            <w:pPr>
              <w:rPr>
                <w:szCs w:val="22"/>
              </w:rPr>
            </w:pPr>
            <w:r w:rsidRPr="00FE4CC2">
              <w:rPr>
                <w:szCs w:val="22"/>
              </w:rPr>
              <w:t xml:space="preserve">Bolivia </w:t>
            </w:r>
          </w:p>
        </w:tc>
        <w:tc>
          <w:tcPr>
            <w:tcW w:w="1985" w:type="dxa"/>
            <w:vAlign w:val="center"/>
          </w:tcPr>
          <w:p w14:paraId="31B597E6" w14:textId="77777777" w:rsidR="009E18F7" w:rsidRPr="00FE4CC2" w:rsidRDefault="009E18F7" w:rsidP="005D0F18">
            <w:pPr>
              <w:rPr>
                <w:szCs w:val="22"/>
              </w:rPr>
            </w:pPr>
            <w:r w:rsidRPr="00FE4CC2">
              <w:rPr>
                <w:szCs w:val="22"/>
              </w:rPr>
              <w:t>South America</w:t>
            </w:r>
          </w:p>
        </w:tc>
        <w:tc>
          <w:tcPr>
            <w:tcW w:w="1446" w:type="dxa"/>
          </w:tcPr>
          <w:p w14:paraId="1E910F40" w14:textId="77777777" w:rsidR="009E18F7" w:rsidRPr="00FE4CC2" w:rsidRDefault="009E18F7" w:rsidP="005D0F18">
            <w:pPr>
              <w:autoSpaceDE w:val="0"/>
              <w:autoSpaceDN w:val="0"/>
              <w:adjustRightInd w:val="0"/>
              <w:ind w:right="849"/>
              <w:jc w:val="center"/>
              <w:rPr>
                <w:szCs w:val="22"/>
              </w:rPr>
            </w:pPr>
            <w:r w:rsidRPr="00FE4CC2">
              <w:rPr>
                <w:szCs w:val="22"/>
              </w:rPr>
              <w:t>R</w:t>
            </w:r>
          </w:p>
        </w:tc>
        <w:tc>
          <w:tcPr>
            <w:tcW w:w="2445" w:type="dxa"/>
          </w:tcPr>
          <w:p w14:paraId="3E02C2AC" w14:textId="77777777" w:rsidR="009E18F7" w:rsidRPr="00FE4CC2" w:rsidRDefault="009E18F7" w:rsidP="005D0F18">
            <w:pPr>
              <w:jc w:val="center"/>
              <w:rPr>
                <w:szCs w:val="22"/>
              </w:rPr>
            </w:pPr>
            <w:r w:rsidRPr="00FE4CC2">
              <w:rPr>
                <w:szCs w:val="22"/>
              </w:rPr>
              <w:t>√</w:t>
            </w:r>
          </w:p>
        </w:tc>
      </w:tr>
      <w:tr w:rsidR="009E18F7" w:rsidRPr="00FE4CC2" w14:paraId="793A399A" w14:textId="77777777" w:rsidTr="008568BE">
        <w:trPr>
          <w:jc w:val="center"/>
        </w:trPr>
        <w:tc>
          <w:tcPr>
            <w:tcW w:w="2376" w:type="dxa"/>
            <w:vAlign w:val="center"/>
          </w:tcPr>
          <w:p w14:paraId="29FB22B3" w14:textId="77777777" w:rsidR="009E18F7" w:rsidRPr="00FE4CC2" w:rsidRDefault="009E18F7" w:rsidP="005D0F18">
            <w:pPr>
              <w:rPr>
                <w:szCs w:val="22"/>
              </w:rPr>
            </w:pPr>
            <w:r w:rsidRPr="00FE4CC2">
              <w:rPr>
                <w:szCs w:val="22"/>
              </w:rPr>
              <w:t>Brazil</w:t>
            </w:r>
          </w:p>
        </w:tc>
        <w:tc>
          <w:tcPr>
            <w:tcW w:w="1985" w:type="dxa"/>
            <w:vAlign w:val="center"/>
          </w:tcPr>
          <w:p w14:paraId="226EED9E" w14:textId="77777777" w:rsidR="009E18F7" w:rsidRPr="00FE4CC2" w:rsidRDefault="009E18F7" w:rsidP="005D0F18">
            <w:pPr>
              <w:rPr>
                <w:szCs w:val="22"/>
              </w:rPr>
            </w:pPr>
            <w:r w:rsidRPr="00FE4CC2">
              <w:rPr>
                <w:szCs w:val="22"/>
              </w:rPr>
              <w:t>South America</w:t>
            </w:r>
          </w:p>
        </w:tc>
        <w:tc>
          <w:tcPr>
            <w:tcW w:w="1446" w:type="dxa"/>
          </w:tcPr>
          <w:p w14:paraId="149E8FE8" w14:textId="77777777" w:rsidR="009E18F7" w:rsidRPr="00FE4CC2" w:rsidRDefault="009E18F7" w:rsidP="005D0F18">
            <w:pPr>
              <w:autoSpaceDE w:val="0"/>
              <w:autoSpaceDN w:val="0"/>
              <w:adjustRightInd w:val="0"/>
              <w:ind w:right="849"/>
              <w:jc w:val="center"/>
              <w:rPr>
                <w:szCs w:val="22"/>
              </w:rPr>
            </w:pPr>
            <w:r w:rsidRPr="00FE4CC2">
              <w:rPr>
                <w:szCs w:val="22"/>
              </w:rPr>
              <w:t>S</w:t>
            </w:r>
          </w:p>
        </w:tc>
        <w:tc>
          <w:tcPr>
            <w:tcW w:w="2445" w:type="dxa"/>
          </w:tcPr>
          <w:p w14:paraId="22037207" w14:textId="77777777" w:rsidR="009E18F7" w:rsidRPr="00FE4CC2" w:rsidRDefault="009E18F7" w:rsidP="005D0F18">
            <w:pPr>
              <w:jc w:val="center"/>
              <w:rPr>
                <w:szCs w:val="22"/>
              </w:rPr>
            </w:pPr>
            <w:r w:rsidRPr="00FE4CC2">
              <w:rPr>
                <w:szCs w:val="22"/>
              </w:rPr>
              <w:t>√</w:t>
            </w:r>
          </w:p>
        </w:tc>
      </w:tr>
      <w:tr w:rsidR="009E18F7" w:rsidRPr="00FE4CC2" w14:paraId="7D259014" w14:textId="77777777" w:rsidTr="008568BE">
        <w:trPr>
          <w:jc w:val="center"/>
        </w:trPr>
        <w:tc>
          <w:tcPr>
            <w:tcW w:w="2376" w:type="dxa"/>
            <w:vAlign w:val="center"/>
          </w:tcPr>
          <w:p w14:paraId="49C0B897" w14:textId="77777777" w:rsidR="009E18F7" w:rsidRPr="00FE4CC2" w:rsidRDefault="009E18F7" w:rsidP="005D0F18">
            <w:pPr>
              <w:rPr>
                <w:szCs w:val="22"/>
              </w:rPr>
            </w:pPr>
            <w:r w:rsidRPr="00FE4CC2">
              <w:rPr>
                <w:szCs w:val="22"/>
              </w:rPr>
              <w:t>Canada</w:t>
            </w:r>
          </w:p>
        </w:tc>
        <w:tc>
          <w:tcPr>
            <w:tcW w:w="1985" w:type="dxa"/>
            <w:vAlign w:val="center"/>
          </w:tcPr>
          <w:p w14:paraId="01764536" w14:textId="77777777" w:rsidR="009E18F7" w:rsidRPr="00FE4CC2" w:rsidRDefault="009E18F7" w:rsidP="005D0F18">
            <w:pPr>
              <w:rPr>
                <w:szCs w:val="22"/>
              </w:rPr>
            </w:pPr>
            <w:r w:rsidRPr="00FE4CC2">
              <w:rPr>
                <w:szCs w:val="22"/>
              </w:rPr>
              <w:t>North America</w:t>
            </w:r>
          </w:p>
        </w:tc>
        <w:tc>
          <w:tcPr>
            <w:tcW w:w="1446" w:type="dxa"/>
          </w:tcPr>
          <w:p w14:paraId="3149DF9E" w14:textId="77777777" w:rsidR="009E18F7" w:rsidRPr="00FE4CC2" w:rsidRDefault="009E18F7" w:rsidP="005D0F18">
            <w:pPr>
              <w:autoSpaceDE w:val="0"/>
              <w:autoSpaceDN w:val="0"/>
              <w:adjustRightInd w:val="0"/>
              <w:ind w:right="849"/>
              <w:jc w:val="center"/>
              <w:rPr>
                <w:szCs w:val="22"/>
              </w:rPr>
            </w:pPr>
          </w:p>
        </w:tc>
        <w:tc>
          <w:tcPr>
            <w:tcW w:w="2445" w:type="dxa"/>
            <w:vAlign w:val="center"/>
          </w:tcPr>
          <w:p w14:paraId="7A14704F" w14:textId="77777777" w:rsidR="009E18F7" w:rsidRPr="00FE4CC2" w:rsidRDefault="009E18F7" w:rsidP="005D0F18">
            <w:pPr>
              <w:jc w:val="center"/>
              <w:rPr>
                <w:szCs w:val="22"/>
              </w:rPr>
            </w:pPr>
            <w:r w:rsidRPr="00FE4CC2">
              <w:rPr>
                <w:szCs w:val="22"/>
              </w:rPr>
              <w:t> </w:t>
            </w:r>
          </w:p>
        </w:tc>
      </w:tr>
      <w:tr w:rsidR="009E18F7" w:rsidRPr="00FE4CC2" w14:paraId="4BB93CC9" w14:textId="77777777" w:rsidTr="008568BE">
        <w:trPr>
          <w:jc w:val="center"/>
        </w:trPr>
        <w:tc>
          <w:tcPr>
            <w:tcW w:w="2376" w:type="dxa"/>
            <w:vAlign w:val="center"/>
          </w:tcPr>
          <w:p w14:paraId="25153DC9" w14:textId="77777777" w:rsidR="009E18F7" w:rsidRPr="00FE4CC2" w:rsidRDefault="009E18F7" w:rsidP="005D0F18">
            <w:pPr>
              <w:rPr>
                <w:szCs w:val="22"/>
              </w:rPr>
            </w:pPr>
            <w:r w:rsidRPr="00FE4CC2">
              <w:rPr>
                <w:szCs w:val="22"/>
              </w:rPr>
              <w:t>Chile</w:t>
            </w:r>
          </w:p>
        </w:tc>
        <w:tc>
          <w:tcPr>
            <w:tcW w:w="1985" w:type="dxa"/>
            <w:vAlign w:val="center"/>
          </w:tcPr>
          <w:p w14:paraId="3AF01EDD" w14:textId="77777777" w:rsidR="009E18F7" w:rsidRPr="00FE4CC2" w:rsidRDefault="009E18F7" w:rsidP="005D0F18">
            <w:pPr>
              <w:rPr>
                <w:szCs w:val="22"/>
              </w:rPr>
            </w:pPr>
            <w:r w:rsidRPr="00FE4CC2">
              <w:rPr>
                <w:szCs w:val="22"/>
              </w:rPr>
              <w:t>South America</w:t>
            </w:r>
          </w:p>
        </w:tc>
        <w:tc>
          <w:tcPr>
            <w:tcW w:w="1446" w:type="dxa"/>
          </w:tcPr>
          <w:p w14:paraId="28DCCBC5" w14:textId="77777777" w:rsidR="009E18F7" w:rsidRPr="00FE4CC2" w:rsidRDefault="009E18F7" w:rsidP="005D0F18">
            <w:pPr>
              <w:autoSpaceDE w:val="0"/>
              <w:autoSpaceDN w:val="0"/>
              <w:adjustRightInd w:val="0"/>
              <w:ind w:right="849"/>
              <w:jc w:val="center"/>
              <w:rPr>
                <w:szCs w:val="22"/>
              </w:rPr>
            </w:pPr>
          </w:p>
        </w:tc>
        <w:tc>
          <w:tcPr>
            <w:tcW w:w="2445" w:type="dxa"/>
            <w:vAlign w:val="center"/>
          </w:tcPr>
          <w:p w14:paraId="398202FB" w14:textId="77777777" w:rsidR="009E18F7" w:rsidRPr="00FE4CC2" w:rsidRDefault="009E18F7" w:rsidP="005D0F18">
            <w:pPr>
              <w:jc w:val="center"/>
              <w:rPr>
                <w:szCs w:val="22"/>
              </w:rPr>
            </w:pPr>
            <w:r w:rsidRPr="00FE4CC2">
              <w:rPr>
                <w:szCs w:val="22"/>
              </w:rPr>
              <w:t> </w:t>
            </w:r>
          </w:p>
        </w:tc>
      </w:tr>
      <w:tr w:rsidR="009E18F7" w:rsidRPr="00FE4CC2" w14:paraId="3699C7DF" w14:textId="77777777" w:rsidTr="008568BE">
        <w:trPr>
          <w:jc w:val="center"/>
        </w:trPr>
        <w:tc>
          <w:tcPr>
            <w:tcW w:w="2376" w:type="dxa"/>
            <w:vAlign w:val="center"/>
          </w:tcPr>
          <w:p w14:paraId="1C5DD08D" w14:textId="77777777" w:rsidR="009E18F7" w:rsidRPr="00FE4CC2" w:rsidRDefault="009E18F7" w:rsidP="005D0F18">
            <w:pPr>
              <w:rPr>
                <w:szCs w:val="22"/>
              </w:rPr>
            </w:pPr>
            <w:r w:rsidRPr="00FE4CC2">
              <w:rPr>
                <w:szCs w:val="22"/>
              </w:rPr>
              <w:t>Colombia</w:t>
            </w:r>
          </w:p>
        </w:tc>
        <w:tc>
          <w:tcPr>
            <w:tcW w:w="1985" w:type="dxa"/>
            <w:vAlign w:val="center"/>
          </w:tcPr>
          <w:p w14:paraId="5616696B" w14:textId="77777777" w:rsidR="009E18F7" w:rsidRPr="00FE4CC2" w:rsidRDefault="009E18F7" w:rsidP="005D0F18">
            <w:pPr>
              <w:rPr>
                <w:szCs w:val="22"/>
              </w:rPr>
            </w:pPr>
            <w:r w:rsidRPr="00FE4CC2">
              <w:rPr>
                <w:szCs w:val="22"/>
              </w:rPr>
              <w:t>South America</w:t>
            </w:r>
          </w:p>
        </w:tc>
        <w:tc>
          <w:tcPr>
            <w:tcW w:w="1446" w:type="dxa"/>
          </w:tcPr>
          <w:p w14:paraId="34D7108D" w14:textId="77777777" w:rsidR="009E18F7" w:rsidRPr="00FE4CC2" w:rsidRDefault="009E18F7" w:rsidP="005D0F18">
            <w:pPr>
              <w:autoSpaceDE w:val="0"/>
              <w:autoSpaceDN w:val="0"/>
              <w:adjustRightInd w:val="0"/>
              <w:ind w:right="849"/>
              <w:jc w:val="center"/>
              <w:rPr>
                <w:szCs w:val="22"/>
              </w:rPr>
            </w:pPr>
            <w:r w:rsidRPr="00FE4CC2">
              <w:rPr>
                <w:szCs w:val="22"/>
              </w:rPr>
              <w:t>S</w:t>
            </w:r>
          </w:p>
        </w:tc>
        <w:tc>
          <w:tcPr>
            <w:tcW w:w="2445" w:type="dxa"/>
          </w:tcPr>
          <w:p w14:paraId="39A2D387" w14:textId="77777777" w:rsidR="009E18F7" w:rsidRPr="00FE4CC2" w:rsidRDefault="009E18F7" w:rsidP="005D0F18">
            <w:pPr>
              <w:jc w:val="center"/>
              <w:rPr>
                <w:szCs w:val="22"/>
              </w:rPr>
            </w:pPr>
            <w:r w:rsidRPr="00FE4CC2">
              <w:rPr>
                <w:szCs w:val="22"/>
              </w:rPr>
              <w:t>√</w:t>
            </w:r>
          </w:p>
        </w:tc>
      </w:tr>
      <w:tr w:rsidR="009E18F7" w:rsidRPr="00FE4CC2" w14:paraId="252EAE44" w14:textId="77777777" w:rsidTr="008568BE">
        <w:trPr>
          <w:jc w:val="center"/>
        </w:trPr>
        <w:tc>
          <w:tcPr>
            <w:tcW w:w="2376" w:type="dxa"/>
            <w:vAlign w:val="center"/>
          </w:tcPr>
          <w:p w14:paraId="44958A15" w14:textId="77777777" w:rsidR="009E18F7" w:rsidRPr="00FE4CC2" w:rsidRDefault="009E18F7" w:rsidP="005D0F18">
            <w:pPr>
              <w:rPr>
                <w:szCs w:val="22"/>
              </w:rPr>
            </w:pPr>
            <w:r w:rsidRPr="00FE4CC2">
              <w:rPr>
                <w:szCs w:val="22"/>
              </w:rPr>
              <w:t>Costa Rica</w:t>
            </w:r>
          </w:p>
        </w:tc>
        <w:tc>
          <w:tcPr>
            <w:tcW w:w="1985" w:type="dxa"/>
            <w:vAlign w:val="center"/>
          </w:tcPr>
          <w:p w14:paraId="37DF19D3" w14:textId="77777777" w:rsidR="009E18F7" w:rsidRPr="00FE4CC2" w:rsidRDefault="009E18F7" w:rsidP="005D0F18">
            <w:pPr>
              <w:rPr>
                <w:szCs w:val="22"/>
              </w:rPr>
            </w:pPr>
            <w:r w:rsidRPr="00FE4CC2">
              <w:rPr>
                <w:szCs w:val="22"/>
              </w:rPr>
              <w:t>Mesoamerica</w:t>
            </w:r>
          </w:p>
        </w:tc>
        <w:tc>
          <w:tcPr>
            <w:tcW w:w="1446" w:type="dxa"/>
          </w:tcPr>
          <w:p w14:paraId="04EE9776" w14:textId="77777777" w:rsidR="009E18F7" w:rsidRPr="00FE4CC2" w:rsidRDefault="009E18F7" w:rsidP="005D0F18">
            <w:pPr>
              <w:autoSpaceDE w:val="0"/>
              <w:autoSpaceDN w:val="0"/>
              <w:adjustRightInd w:val="0"/>
              <w:ind w:right="849"/>
              <w:jc w:val="center"/>
              <w:rPr>
                <w:szCs w:val="22"/>
              </w:rPr>
            </w:pPr>
            <w:r w:rsidRPr="00FE4CC2">
              <w:rPr>
                <w:szCs w:val="22"/>
              </w:rPr>
              <w:t>S</w:t>
            </w:r>
          </w:p>
        </w:tc>
        <w:tc>
          <w:tcPr>
            <w:tcW w:w="2445" w:type="dxa"/>
          </w:tcPr>
          <w:p w14:paraId="50353B3F" w14:textId="77777777" w:rsidR="009E18F7" w:rsidRPr="00FE4CC2" w:rsidRDefault="009E18F7" w:rsidP="005D0F18">
            <w:pPr>
              <w:jc w:val="center"/>
              <w:rPr>
                <w:szCs w:val="22"/>
              </w:rPr>
            </w:pPr>
            <w:r w:rsidRPr="00FE4CC2">
              <w:rPr>
                <w:szCs w:val="22"/>
              </w:rPr>
              <w:t>√</w:t>
            </w:r>
          </w:p>
        </w:tc>
      </w:tr>
      <w:tr w:rsidR="009E18F7" w:rsidRPr="00FE4CC2" w14:paraId="4B508184" w14:textId="77777777" w:rsidTr="008568BE">
        <w:trPr>
          <w:jc w:val="center"/>
        </w:trPr>
        <w:tc>
          <w:tcPr>
            <w:tcW w:w="2376" w:type="dxa"/>
            <w:vAlign w:val="center"/>
          </w:tcPr>
          <w:p w14:paraId="0AE01A08" w14:textId="77777777" w:rsidR="009E18F7" w:rsidRPr="00FE4CC2" w:rsidRDefault="009E18F7" w:rsidP="005D0F18">
            <w:pPr>
              <w:rPr>
                <w:szCs w:val="22"/>
              </w:rPr>
            </w:pPr>
            <w:r w:rsidRPr="00FE4CC2">
              <w:rPr>
                <w:szCs w:val="22"/>
              </w:rPr>
              <w:t>Cuba</w:t>
            </w:r>
          </w:p>
        </w:tc>
        <w:tc>
          <w:tcPr>
            <w:tcW w:w="1985" w:type="dxa"/>
            <w:vAlign w:val="center"/>
          </w:tcPr>
          <w:p w14:paraId="525368A4" w14:textId="77777777" w:rsidR="009E18F7" w:rsidRPr="00FE4CC2" w:rsidRDefault="009E18F7" w:rsidP="005D0F18">
            <w:pPr>
              <w:rPr>
                <w:szCs w:val="22"/>
              </w:rPr>
            </w:pPr>
            <w:r w:rsidRPr="00FE4CC2">
              <w:rPr>
                <w:szCs w:val="22"/>
              </w:rPr>
              <w:t>Caribbean</w:t>
            </w:r>
          </w:p>
        </w:tc>
        <w:tc>
          <w:tcPr>
            <w:tcW w:w="1446" w:type="dxa"/>
          </w:tcPr>
          <w:p w14:paraId="64E23D35" w14:textId="77777777" w:rsidR="009E18F7" w:rsidRPr="00FE4CC2" w:rsidRDefault="009E18F7" w:rsidP="005D0F18">
            <w:pPr>
              <w:autoSpaceDE w:val="0"/>
              <w:autoSpaceDN w:val="0"/>
              <w:adjustRightInd w:val="0"/>
              <w:ind w:right="849"/>
              <w:jc w:val="center"/>
              <w:rPr>
                <w:szCs w:val="22"/>
              </w:rPr>
            </w:pPr>
            <w:r w:rsidRPr="00FE4CC2">
              <w:rPr>
                <w:szCs w:val="22"/>
              </w:rPr>
              <w:t>R</w:t>
            </w:r>
          </w:p>
        </w:tc>
        <w:tc>
          <w:tcPr>
            <w:tcW w:w="2445" w:type="dxa"/>
          </w:tcPr>
          <w:p w14:paraId="56530E18" w14:textId="77777777" w:rsidR="009E18F7" w:rsidRPr="00FE4CC2" w:rsidRDefault="009E18F7" w:rsidP="005D0F18">
            <w:pPr>
              <w:jc w:val="center"/>
              <w:rPr>
                <w:szCs w:val="22"/>
              </w:rPr>
            </w:pPr>
            <w:r w:rsidRPr="00FE4CC2">
              <w:rPr>
                <w:szCs w:val="22"/>
              </w:rPr>
              <w:t>√</w:t>
            </w:r>
          </w:p>
        </w:tc>
      </w:tr>
      <w:tr w:rsidR="009E18F7" w:rsidRPr="00FE4CC2" w14:paraId="45D8D430" w14:textId="77777777" w:rsidTr="008568BE">
        <w:trPr>
          <w:jc w:val="center"/>
        </w:trPr>
        <w:tc>
          <w:tcPr>
            <w:tcW w:w="2376" w:type="dxa"/>
            <w:vAlign w:val="center"/>
          </w:tcPr>
          <w:p w14:paraId="6A8573C7" w14:textId="77777777" w:rsidR="009E18F7" w:rsidRPr="00FE4CC2" w:rsidRDefault="009E18F7" w:rsidP="005D0F18">
            <w:pPr>
              <w:rPr>
                <w:szCs w:val="22"/>
              </w:rPr>
            </w:pPr>
            <w:r w:rsidRPr="00FE4CC2">
              <w:rPr>
                <w:szCs w:val="22"/>
              </w:rPr>
              <w:t>Dominica</w:t>
            </w:r>
          </w:p>
        </w:tc>
        <w:tc>
          <w:tcPr>
            <w:tcW w:w="1985" w:type="dxa"/>
            <w:vAlign w:val="center"/>
          </w:tcPr>
          <w:p w14:paraId="1CB7766E" w14:textId="77777777" w:rsidR="009E18F7" w:rsidRPr="00FE4CC2" w:rsidRDefault="009E18F7" w:rsidP="005D0F18">
            <w:pPr>
              <w:rPr>
                <w:szCs w:val="22"/>
              </w:rPr>
            </w:pPr>
            <w:r w:rsidRPr="00FE4CC2">
              <w:rPr>
                <w:szCs w:val="22"/>
              </w:rPr>
              <w:t>Caribbean</w:t>
            </w:r>
          </w:p>
        </w:tc>
        <w:tc>
          <w:tcPr>
            <w:tcW w:w="1446" w:type="dxa"/>
          </w:tcPr>
          <w:p w14:paraId="45472B55" w14:textId="77777777" w:rsidR="009E18F7" w:rsidRPr="00FE4CC2" w:rsidRDefault="009E18F7" w:rsidP="005D0F18">
            <w:pPr>
              <w:autoSpaceDE w:val="0"/>
              <w:autoSpaceDN w:val="0"/>
              <w:adjustRightInd w:val="0"/>
              <w:ind w:right="849"/>
              <w:jc w:val="center"/>
              <w:rPr>
                <w:szCs w:val="22"/>
              </w:rPr>
            </w:pPr>
          </w:p>
        </w:tc>
        <w:tc>
          <w:tcPr>
            <w:tcW w:w="2445" w:type="dxa"/>
          </w:tcPr>
          <w:p w14:paraId="56563FC2" w14:textId="77777777" w:rsidR="009E18F7" w:rsidRPr="00FE4CC2" w:rsidRDefault="009E18F7" w:rsidP="005D0F18">
            <w:pPr>
              <w:jc w:val="center"/>
              <w:rPr>
                <w:szCs w:val="22"/>
              </w:rPr>
            </w:pPr>
            <w:r w:rsidRPr="00FE4CC2">
              <w:rPr>
                <w:szCs w:val="22"/>
              </w:rPr>
              <w:t>√</w:t>
            </w:r>
          </w:p>
        </w:tc>
      </w:tr>
      <w:tr w:rsidR="009E18F7" w:rsidRPr="00FE4CC2" w14:paraId="1B58676A" w14:textId="77777777" w:rsidTr="008568BE">
        <w:trPr>
          <w:jc w:val="center"/>
        </w:trPr>
        <w:tc>
          <w:tcPr>
            <w:tcW w:w="2376" w:type="dxa"/>
            <w:vAlign w:val="center"/>
          </w:tcPr>
          <w:p w14:paraId="2A50FFB1" w14:textId="77777777" w:rsidR="009E18F7" w:rsidRPr="00FE4CC2" w:rsidRDefault="009E18F7" w:rsidP="005D0F18">
            <w:pPr>
              <w:rPr>
                <w:szCs w:val="22"/>
              </w:rPr>
            </w:pPr>
            <w:r w:rsidRPr="00FE4CC2">
              <w:rPr>
                <w:szCs w:val="22"/>
              </w:rPr>
              <w:t>Dominican Republic</w:t>
            </w:r>
          </w:p>
        </w:tc>
        <w:tc>
          <w:tcPr>
            <w:tcW w:w="1985" w:type="dxa"/>
            <w:vAlign w:val="center"/>
          </w:tcPr>
          <w:p w14:paraId="006E035E" w14:textId="77777777" w:rsidR="009E18F7" w:rsidRPr="00FE4CC2" w:rsidRDefault="009E18F7" w:rsidP="005D0F18">
            <w:pPr>
              <w:rPr>
                <w:szCs w:val="22"/>
              </w:rPr>
            </w:pPr>
            <w:r w:rsidRPr="00FE4CC2">
              <w:rPr>
                <w:szCs w:val="22"/>
              </w:rPr>
              <w:t>Caribbean</w:t>
            </w:r>
          </w:p>
        </w:tc>
        <w:tc>
          <w:tcPr>
            <w:tcW w:w="1446" w:type="dxa"/>
          </w:tcPr>
          <w:p w14:paraId="1783ED5D" w14:textId="77777777" w:rsidR="009E18F7" w:rsidRPr="00FE4CC2" w:rsidRDefault="009E18F7" w:rsidP="005D0F18">
            <w:pPr>
              <w:autoSpaceDE w:val="0"/>
              <w:autoSpaceDN w:val="0"/>
              <w:adjustRightInd w:val="0"/>
              <w:ind w:right="849"/>
              <w:jc w:val="center"/>
              <w:rPr>
                <w:szCs w:val="22"/>
              </w:rPr>
            </w:pPr>
            <w:r w:rsidRPr="00FE4CC2">
              <w:rPr>
                <w:szCs w:val="22"/>
              </w:rPr>
              <w:t>R</w:t>
            </w:r>
          </w:p>
        </w:tc>
        <w:tc>
          <w:tcPr>
            <w:tcW w:w="2445" w:type="dxa"/>
          </w:tcPr>
          <w:p w14:paraId="3B35D5D0" w14:textId="77777777" w:rsidR="009E18F7" w:rsidRPr="00FE4CC2" w:rsidRDefault="009E18F7" w:rsidP="005D0F18">
            <w:pPr>
              <w:jc w:val="center"/>
              <w:rPr>
                <w:szCs w:val="22"/>
              </w:rPr>
            </w:pPr>
            <w:r w:rsidRPr="00FE4CC2">
              <w:rPr>
                <w:szCs w:val="22"/>
              </w:rPr>
              <w:t>√</w:t>
            </w:r>
          </w:p>
        </w:tc>
      </w:tr>
      <w:tr w:rsidR="009E18F7" w:rsidRPr="00FE4CC2" w14:paraId="2F1D5948" w14:textId="77777777" w:rsidTr="008568BE">
        <w:trPr>
          <w:jc w:val="center"/>
        </w:trPr>
        <w:tc>
          <w:tcPr>
            <w:tcW w:w="2376" w:type="dxa"/>
            <w:vAlign w:val="center"/>
          </w:tcPr>
          <w:p w14:paraId="29841D62" w14:textId="77777777" w:rsidR="009E18F7" w:rsidRPr="00FE4CC2" w:rsidRDefault="009E18F7" w:rsidP="005D0F18">
            <w:pPr>
              <w:rPr>
                <w:szCs w:val="22"/>
              </w:rPr>
            </w:pPr>
            <w:r w:rsidRPr="00FE4CC2">
              <w:rPr>
                <w:szCs w:val="22"/>
              </w:rPr>
              <w:t>Ecuador</w:t>
            </w:r>
          </w:p>
        </w:tc>
        <w:tc>
          <w:tcPr>
            <w:tcW w:w="1985" w:type="dxa"/>
            <w:vAlign w:val="center"/>
          </w:tcPr>
          <w:p w14:paraId="4C680434" w14:textId="77777777" w:rsidR="009E18F7" w:rsidRPr="00FE4CC2" w:rsidRDefault="009E18F7" w:rsidP="005D0F18">
            <w:pPr>
              <w:rPr>
                <w:szCs w:val="22"/>
              </w:rPr>
            </w:pPr>
            <w:r w:rsidRPr="00FE4CC2">
              <w:rPr>
                <w:szCs w:val="22"/>
              </w:rPr>
              <w:t>South America</w:t>
            </w:r>
          </w:p>
        </w:tc>
        <w:tc>
          <w:tcPr>
            <w:tcW w:w="1446" w:type="dxa"/>
          </w:tcPr>
          <w:p w14:paraId="4D76234B" w14:textId="77777777" w:rsidR="009E18F7" w:rsidRPr="00FE4CC2" w:rsidRDefault="009E18F7" w:rsidP="005D0F18">
            <w:pPr>
              <w:autoSpaceDE w:val="0"/>
              <w:autoSpaceDN w:val="0"/>
              <w:adjustRightInd w:val="0"/>
              <w:ind w:right="849"/>
              <w:jc w:val="center"/>
              <w:rPr>
                <w:szCs w:val="22"/>
              </w:rPr>
            </w:pPr>
            <w:r w:rsidRPr="00FE4CC2">
              <w:rPr>
                <w:szCs w:val="22"/>
              </w:rPr>
              <w:t>R</w:t>
            </w:r>
          </w:p>
        </w:tc>
        <w:tc>
          <w:tcPr>
            <w:tcW w:w="2445" w:type="dxa"/>
          </w:tcPr>
          <w:p w14:paraId="4834DD5F" w14:textId="77777777" w:rsidR="009E18F7" w:rsidRPr="00FE4CC2" w:rsidRDefault="009E18F7" w:rsidP="005D0F18">
            <w:pPr>
              <w:jc w:val="center"/>
              <w:rPr>
                <w:szCs w:val="22"/>
              </w:rPr>
            </w:pPr>
            <w:r w:rsidRPr="00FE4CC2">
              <w:rPr>
                <w:szCs w:val="22"/>
              </w:rPr>
              <w:t>√</w:t>
            </w:r>
          </w:p>
        </w:tc>
      </w:tr>
      <w:tr w:rsidR="009E18F7" w:rsidRPr="00FE4CC2" w14:paraId="4E64280D" w14:textId="77777777" w:rsidTr="008568BE">
        <w:trPr>
          <w:jc w:val="center"/>
        </w:trPr>
        <w:tc>
          <w:tcPr>
            <w:tcW w:w="2376" w:type="dxa"/>
            <w:vAlign w:val="center"/>
          </w:tcPr>
          <w:p w14:paraId="13F6FBD8" w14:textId="77777777" w:rsidR="009E18F7" w:rsidRPr="00FE4CC2" w:rsidRDefault="009E18F7" w:rsidP="005D0F18">
            <w:pPr>
              <w:rPr>
                <w:szCs w:val="22"/>
              </w:rPr>
            </w:pPr>
            <w:r w:rsidRPr="00FE4CC2">
              <w:rPr>
                <w:szCs w:val="22"/>
              </w:rPr>
              <w:t>El Salvador</w:t>
            </w:r>
          </w:p>
        </w:tc>
        <w:tc>
          <w:tcPr>
            <w:tcW w:w="1985" w:type="dxa"/>
            <w:vAlign w:val="center"/>
          </w:tcPr>
          <w:p w14:paraId="05285B66" w14:textId="77777777" w:rsidR="009E18F7" w:rsidRPr="00FE4CC2" w:rsidRDefault="009E18F7" w:rsidP="005D0F18">
            <w:pPr>
              <w:rPr>
                <w:szCs w:val="22"/>
              </w:rPr>
            </w:pPr>
            <w:r w:rsidRPr="00FE4CC2">
              <w:rPr>
                <w:szCs w:val="22"/>
              </w:rPr>
              <w:t>Mesoamerica</w:t>
            </w:r>
          </w:p>
        </w:tc>
        <w:tc>
          <w:tcPr>
            <w:tcW w:w="1446" w:type="dxa"/>
          </w:tcPr>
          <w:p w14:paraId="784707EE" w14:textId="77777777" w:rsidR="009E18F7" w:rsidRPr="00FE4CC2" w:rsidRDefault="009E18F7" w:rsidP="005D0F18">
            <w:pPr>
              <w:autoSpaceDE w:val="0"/>
              <w:autoSpaceDN w:val="0"/>
              <w:adjustRightInd w:val="0"/>
              <w:ind w:right="849"/>
              <w:jc w:val="center"/>
              <w:rPr>
                <w:szCs w:val="22"/>
              </w:rPr>
            </w:pPr>
            <w:r w:rsidRPr="00FE4CC2">
              <w:rPr>
                <w:szCs w:val="22"/>
              </w:rPr>
              <w:t>S</w:t>
            </w:r>
          </w:p>
        </w:tc>
        <w:tc>
          <w:tcPr>
            <w:tcW w:w="2445" w:type="dxa"/>
          </w:tcPr>
          <w:p w14:paraId="58083849" w14:textId="77777777" w:rsidR="009E18F7" w:rsidRPr="00FE4CC2" w:rsidRDefault="009E18F7" w:rsidP="005D0F18">
            <w:pPr>
              <w:jc w:val="center"/>
              <w:rPr>
                <w:szCs w:val="22"/>
              </w:rPr>
            </w:pPr>
            <w:r w:rsidRPr="00FE4CC2">
              <w:rPr>
                <w:szCs w:val="22"/>
              </w:rPr>
              <w:t>√</w:t>
            </w:r>
          </w:p>
        </w:tc>
      </w:tr>
      <w:tr w:rsidR="009E18F7" w:rsidRPr="00FE4CC2" w14:paraId="1C787AD4" w14:textId="77777777" w:rsidTr="008568BE">
        <w:trPr>
          <w:jc w:val="center"/>
        </w:trPr>
        <w:tc>
          <w:tcPr>
            <w:tcW w:w="2376" w:type="dxa"/>
            <w:vAlign w:val="center"/>
          </w:tcPr>
          <w:p w14:paraId="73616B43" w14:textId="77777777" w:rsidR="009E18F7" w:rsidRPr="00FE4CC2" w:rsidRDefault="009E18F7" w:rsidP="005D0F18">
            <w:pPr>
              <w:rPr>
                <w:szCs w:val="22"/>
              </w:rPr>
            </w:pPr>
            <w:r w:rsidRPr="00FE4CC2">
              <w:rPr>
                <w:szCs w:val="22"/>
              </w:rPr>
              <w:t>Grenada</w:t>
            </w:r>
          </w:p>
        </w:tc>
        <w:tc>
          <w:tcPr>
            <w:tcW w:w="1985" w:type="dxa"/>
            <w:vAlign w:val="center"/>
          </w:tcPr>
          <w:p w14:paraId="7B5CE2CC" w14:textId="77777777" w:rsidR="009E18F7" w:rsidRPr="00FE4CC2" w:rsidRDefault="009E18F7" w:rsidP="005D0F18">
            <w:pPr>
              <w:rPr>
                <w:szCs w:val="22"/>
              </w:rPr>
            </w:pPr>
            <w:r w:rsidRPr="00FE4CC2">
              <w:rPr>
                <w:szCs w:val="22"/>
              </w:rPr>
              <w:t>Caribbean</w:t>
            </w:r>
          </w:p>
        </w:tc>
        <w:tc>
          <w:tcPr>
            <w:tcW w:w="1446" w:type="dxa"/>
          </w:tcPr>
          <w:p w14:paraId="357596E2" w14:textId="77777777" w:rsidR="009E18F7" w:rsidRPr="00FE4CC2" w:rsidRDefault="009E18F7" w:rsidP="005D0F18">
            <w:pPr>
              <w:autoSpaceDE w:val="0"/>
              <w:autoSpaceDN w:val="0"/>
              <w:adjustRightInd w:val="0"/>
              <w:ind w:right="849"/>
              <w:jc w:val="center"/>
              <w:rPr>
                <w:szCs w:val="22"/>
              </w:rPr>
            </w:pPr>
            <w:r w:rsidRPr="00FE4CC2">
              <w:rPr>
                <w:szCs w:val="22"/>
              </w:rPr>
              <w:t>S</w:t>
            </w:r>
          </w:p>
        </w:tc>
        <w:tc>
          <w:tcPr>
            <w:tcW w:w="2445" w:type="dxa"/>
          </w:tcPr>
          <w:p w14:paraId="7B2A2FCB" w14:textId="77777777" w:rsidR="009E18F7" w:rsidRPr="00FE4CC2" w:rsidRDefault="009E18F7" w:rsidP="005D0F18">
            <w:pPr>
              <w:jc w:val="center"/>
              <w:rPr>
                <w:szCs w:val="22"/>
              </w:rPr>
            </w:pPr>
            <w:r w:rsidRPr="00FE4CC2">
              <w:rPr>
                <w:szCs w:val="22"/>
              </w:rPr>
              <w:t>√</w:t>
            </w:r>
          </w:p>
        </w:tc>
      </w:tr>
      <w:tr w:rsidR="009E18F7" w:rsidRPr="00FE4CC2" w14:paraId="24586FFD" w14:textId="77777777" w:rsidTr="008568BE">
        <w:trPr>
          <w:jc w:val="center"/>
        </w:trPr>
        <w:tc>
          <w:tcPr>
            <w:tcW w:w="2376" w:type="dxa"/>
            <w:vAlign w:val="center"/>
          </w:tcPr>
          <w:p w14:paraId="550CE910" w14:textId="77777777" w:rsidR="009E18F7" w:rsidRPr="00FE4CC2" w:rsidRDefault="009E18F7" w:rsidP="005D0F18">
            <w:pPr>
              <w:rPr>
                <w:szCs w:val="22"/>
              </w:rPr>
            </w:pPr>
            <w:r w:rsidRPr="00FE4CC2">
              <w:rPr>
                <w:szCs w:val="22"/>
              </w:rPr>
              <w:t>Guatemala</w:t>
            </w:r>
          </w:p>
        </w:tc>
        <w:tc>
          <w:tcPr>
            <w:tcW w:w="1985" w:type="dxa"/>
            <w:vAlign w:val="center"/>
          </w:tcPr>
          <w:p w14:paraId="6B55E0AE" w14:textId="77777777" w:rsidR="009E18F7" w:rsidRPr="00FE4CC2" w:rsidRDefault="009E18F7" w:rsidP="005D0F18">
            <w:pPr>
              <w:rPr>
                <w:szCs w:val="22"/>
              </w:rPr>
            </w:pPr>
            <w:r w:rsidRPr="00FE4CC2">
              <w:rPr>
                <w:szCs w:val="22"/>
              </w:rPr>
              <w:t>Mesoamerica</w:t>
            </w:r>
          </w:p>
        </w:tc>
        <w:tc>
          <w:tcPr>
            <w:tcW w:w="1446" w:type="dxa"/>
          </w:tcPr>
          <w:p w14:paraId="58995331" w14:textId="77777777" w:rsidR="009E18F7" w:rsidRPr="00FE4CC2" w:rsidRDefault="009E18F7" w:rsidP="005D0F18">
            <w:pPr>
              <w:autoSpaceDE w:val="0"/>
              <w:autoSpaceDN w:val="0"/>
              <w:adjustRightInd w:val="0"/>
              <w:ind w:right="849"/>
              <w:jc w:val="center"/>
              <w:rPr>
                <w:szCs w:val="22"/>
              </w:rPr>
            </w:pPr>
            <w:r w:rsidRPr="00FE4CC2">
              <w:rPr>
                <w:szCs w:val="22"/>
              </w:rPr>
              <w:t>R</w:t>
            </w:r>
          </w:p>
        </w:tc>
        <w:tc>
          <w:tcPr>
            <w:tcW w:w="2445" w:type="dxa"/>
          </w:tcPr>
          <w:p w14:paraId="0D1972DE" w14:textId="77777777" w:rsidR="009E18F7" w:rsidRPr="00FE4CC2" w:rsidRDefault="009E18F7" w:rsidP="005D0F18">
            <w:pPr>
              <w:jc w:val="center"/>
              <w:rPr>
                <w:szCs w:val="22"/>
              </w:rPr>
            </w:pPr>
            <w:r w:rsidRPr="00FE4CC2">
              <w:rPr>
                <w:szCs w:val="22"/>
              </w:rPr>
              <w:t>√</w:t>
            </w:r>
          </w:p>
        </w:tc>
      </w:tr>
      <w:tr w:rsidR="009E18F7" w:rsidRPr="00FE4CC2" w14:paraId="6B717A1A" w14:textId="77777777" w:rsidTr="008568BE">
        <w:trPr>
          <w:jc w:val="center"/>
        </w:trPr>
        <w:tc>
          <w:tcPr>
            <w:tcW w:w="2376" w:type="dxa"/>
            <w:vAlign w:val="center"/>
          </w:tcPr>
          <w:p w14:paraId="6FCCFF5E" w14:textId="77777777" w:rsidR="009E18F7" w:rsidRPr="00FE4CC2" w:rsidRDefault="009E18F7" w:rsidP="005D0F18">
            <w:pPr>
              <w:rPr>
                <w:szCs w:val="22"/>
              </w:rPr>
            </w:pPr>
            <w:r w:rsidRPr="00FE4CC2">
              <w:rPr>
                <w:szCs w:val="22"/>
              </w:rPr>
              <w:t>Guyana</w:t>
            </w:r>
          </w:p>
        </w:tc>
        <w:tc>
          <w:tcPr>
            <w:tcW w:w="1985" w:type="dxa"/>
            <w:vAlign w:val="center"/>
          </w:tcPr>
          <w:p w14:paraId="266DBDC6" w14:textId="77777777" w:rsidR="009E18F7" w:rsidRPr="00FE4CC2" w:rsidRDefault="009E18F7" w:rsidP="005D0F18">
            <w:pPr>
              <w:rPr>
                <w:szCs w:val="22"/>
              </w:rPr>
            </w:pPr>
            <w:r w:rsidRPr="00FE4CC2">
              <w:rPr>
                <w:szCs w:val="22"/>
              </w:rPr>
              <w:t>South America</w:t>
            </w:r>
          </w:p>
        </w:tc>
        <w:tc>
          <w:tcPr>
            <w:tcW w:w="1446" w:type="dxa"/>
          </w:tcPr>
          <w:p w14:paraId="5B161BE3" w14:textId="77777777" w:rsidR="009E18F7" w:rsidRPr="00FE4CC2" w:rsidRDefault="009E18F7" w:rsidP="005D0F18">
            <w:pPr>
              <w:autoSpaceDE w:val="0"/>
              <w:autoSpaceDN w:val="0"/>
              <w:adjustRightInd w:val="0"/>
              <w:ind w:right="849"/>
              <w:jc w:val="center"/>
              <w:rPr>
                <w:szCs w:val="22"/>
              </w:rPr>
            </w:pPr>
            <w:r w:rsidRPr="00FE4CC2">
              <w:rPr>
                <w:szCs w:val="22"/>
              </w:rPr>
              <w:t>R</w:t>
            </w:r>
          </w:p>
        </w:tc>
        <w:tc>
          <w:tcPr>
            <w:tcW w:w="2445" w:type="dxa"/>
          </w:tcPr>
          <w:p w14:paraId="7A38ADD3" w14:textId="77777777" w:rsidR="009E18F7" w:rsidRPr="00FE4CC2" w:rsidRDefault="009E18F7" w:rsidP="005D0F18">
            <w:pPr>
              <w:jc w:val="center"/>
              <w:rPr>
                <w:szCs w:val="22"/>
              </w:rPr>
            </w:pPr>
            <w:r w:rsidRPr="00FE4CC2">
              <w:rPr>
                <w:szCs w:val="22"/>
              </w:rPr>
              <w:t>√</w:t>
            </w:r>
          </w:p>
        </w:tc>
      </w:tr>
      <w:tr w:rsidR="009E18F7" w:rsidRPr="00FE4CC2" w14:paraId="2F762768" w14:textId="77777777" w:rsidTr="008568BE">
        <w:trPr>
          <w:jc w:val="center"/>
        </w:trPr>
        <w:tc>
          <w:tcPr>
            <w:tcW w:w="2376" w:type="dxa"/>
            <w:vAlign w:val="center"/>
          </w:tcPr>
          <w:p w14:paraId="7B661A6C" w14:textId="77777777" w:rsidR="009E18F7" w:rsidRPr="00FE4CC2" w:rsidRDefault="009E18F7" w:rsidP="005D0F18">
            <w:pPr>
              <w:rPr>
                <w:szCs w:val="22"/>
              </w:rPr>
            </w:pPr>
            <w:r w:rsidRPr="00FE4CC2">
              <w:rPr>
                <w:szCs w:val="22"/>
              </w:rPr>
              <w:t>Haiti</w:t>
            </w:r>
          </w:p>
        </w:tc>
        <w:tc>
          <w:tcPr>
            <w:tcW w:w="1985" w:type="dxa"/>
            <w:vAlign w:val="center"/>
          </w:tcPr>
          <w:p w14:paraId="17109F7E" w14:textId="77777777" w:rsidR="009E18F7" w:rsidRPr="00FE4CC2" w:rsidRDefault="009E18F7" w:rsidP="005D0F18">
            <w:pPr>
              <w:rPr>
                <w:szCs w:val="22"/>
              </w:rPr>
            </w:pPr>
            <w:r w:rsidRPr="00FE4CC2">
              <w:rPr>
                <w:szCs w:val="22"/>
              </w:rPr>
              <w:t>Caribbean</w:t>
            </w:r>
          </w:p>
        </w:tc>
        <w:tc>
          <w:tcPr>
            <w:tcW w:w="1446" w:type="dxa"/>
          </w:tcPr>
          <w:p w14:paraId="73C35ACB" w14:textId="77777777" w:rsidR="009E18F7" w:rsidRPr="00FE4CC2" w:rsidRDefault="009E18F7" w:rsidP="005D0F18">
            <w:pPr>
              <w:autoSpaceDE w:val="0"/>
              <w:autoSpaceDN w:val="0"/>
              <w:adjustRightInd w:val="0"/>
              <w:ind w:right="849"/>
              <w:jc w:val="center"/>
              <w:rPr>
                <w:szCs w:val="22"/>
              </w:rPr>
            </w:pPr>
          </w:p>
        </w:tc>
        <w:tc>
          <w:tcPr>
            <w:tcW w:w="2445" w:type="dxa"/>
            <w:vAlign w:val="center"/>
          </w:tcPr>
          <w:p w14:paraId="287F1C87" w14:textId="77777777" w:rsidR="009E18F7" w:rsidRPr="00FE4CC2" w:rsidRDefault="009E18F7" w:rsidP="005D0F18">
            <w:pPr>
              <w:jc w:val="center"/>
              <w:rPr>
                <w:szCs w:val="22"/>
              </w:rPr>
            </w:pPr>
            <w:r w:rsidRPr="00FE4CC2">
              <w:rPr>
                <w:szCs w:val="22"/>
              </w:rPr>
              <w:t> </w:t>
            </w:r>
          </w:p>
        </w:tc>
      </w:tr>
      <w:tr w:rsidR="009E18F7" w:rsidRPr="00FE4CC2" w14:paraId="7947220A" w14:textId="77777777" w:rsidTr="008568BE">
        <w:trPr>
          <w:jc w:val="center"/>
        </w:trPr>
        <w:tc>
          <w:tcPr>
            <w:tcW w:w="2376" w:type="dxa"/>
            <w:vAlign w:val="center"/>
          </w:tcPr>
          <w:p w14:paraId="62D29BBE" w14:textId="77777777" w:rsidR="009E18F7" w:rsidRPr="00FE4CC2" w:rsidRDefault="009E18F7" w:rsidP="005D0F18">
            <w:pPr>
              <w:rPr>
                <w:szCs w:val="22"/>
              </w:rPr>
            </w:pPr>
            <w:r w:rsidRPr="00FE4CC2">
              <w:rPr>
                <w:szCs w:val="22"/>
              </w:rPr>
              <w:t>Honduras</w:t>
            </w:r>
          </w:p>
        </w:tc>
        <w:tc>
          <w:tcPr>
            <w:tcW w:w="1985" w:type="dxa"/>
            <w:vAlign w:val="center"/>
          </w:tcPr>
          <w:p w14:paraId="44ADB57E" w14:textId="77777777" w:rsidR="009E18F7" w:rsidRPr="00FE4CC2" w:rsidRDefault="009E18F7" w:rsidP="005D0F18">
            <w:pPr>
              <w:rPr>
                <w:szCs w:val="22"/>
              </w:rPr>
            </w:pPr>
            <w:r w:rsidRPr="00FE4CC2">
              <w:rPr>
                <w:szCs w:val="22"/>
              </w:rPr>
              <w:t>Mesoamerica</w:t>
            </w:r>
          </w:p>
        </w:tc>
        <w:tc>
          <w:tcPr>
            <w:tcW w:w="1446" w:type="dxa"/>
          </w:tcPr>
          <w:p w14:paraId="57188B13" w14:textId="77777777" w:rsidR="009E18F7" w:rsidRPr="00FE4CC2" w:rsidRDefault="009E18F7" w:rsidP="005D0F18">
            <w:pPr>
              <w:autoSpaceDE w:val="0"/>
              <w:autoSpaceDN w:val="0"/>
              <w:adjustRightInd w:val="0"/>
              <w:ind w:right="849"/>
              <w:jc w:val="center"/>
              <w:rPr>
                <w:szCs w:val="22"/>
              </w:rPr>
            </w:pPr>
            <w:r w:rsidRPr="00FE4CC2">
              <w:rPr>
                <w:szCs w:val="22"/>
              </w:rPr>
              <w:t>R</w:t>
            </w:r>
          </w:p>
        </w:tc>
        <w:tc>
          <w:tcPr>
            <w:tcW w:w="2445" w:type="dxa"/>
          </w:tcPr>
          <w:p w14:paraId="639C2BBF" w14:textId="77777777" w:rsidR="009E18F7" w:rsidRPr="00FE4CC2" w:rsidRDefault="009E18F7" w:rsidP="005D0F18">
            <w:pPr>
              <w:jc w:val="center"/>
              <w:rPr>
                <w:szCs w:val="22"/>
              </w:rPr>
            </w:pPr>
            <w:r w:rsidRPr="00FE4CC2">
              <w:rPr>
                <w:szCs w:val="22"/>
              </w:rPr>
              <w:t>√</w:t>
            </w:r>
          </w:p>
        </w:tc>
      </w:tr>
      <w:tr w:rsidR="009E18F7" w:rsidRPr="00FE4CC2" w14:paraId="1B0487A6" w14:textId="77777777" w:rsidTr="008568BE">
        <w:trPr>
          <w:jc w:val="center"/>
        </w:trPr>
        <w:tc>
          <w:tcPr>
            <w:tcW w:w="2376" w:type="dxa"/>
            <w:vAlign w:val="center"/>
          </w:tcPr>
          <w:p w14:paraId="38F1C9CD" w14:textId="77777777" w:rsidR="009E18F7" w:rsidRPr="00FE4CC2" w:rsidRDefault="009E18F7" w:rsidP="005D0F18">
            <w:pPr>
              <w:rPr>
                <w:szCs w:val="22"/>
              </w:rPr>
            </w:pPr>
            <w:r w:rsidRPr="00FE4CC2">
              <w:rPr>
                <w:szCs w:val="22"/>
              </w:rPr>
              <w:t>Jamaica</w:t>
            </w:r>
          </w:p>
        </w:tc>
        <w:tc>
          <w:tcPr>
            <w:tcW w:w="1985" w:type="dxa"/>
            <w:vAlign w:val="center"/>
          </w:tcPr>
          <w:p w14:paraId="2ED7942B" w14:textId="77777777" w:rsidR="009E18F7" w:rsidRPr="00FE4CC2" w:rsidRDefault="009E18F7" w:rsidP="005D0F18">
            <w:pPr>
              <w:rPr>
                <w:szCs w:val="22"/>
              </w:rPr>
            </w:pPr>
            <w:r w:rsidRPr="00FE4CC2">
              <w:rPr>
                <w:szCs w:val="22"/>
              </w:rPr>
              <w:t>Caribbean</w:t>
            </w:r>
          </w:p>
        </w:tc>
        <w:tc>
          <w:tcPr>
            <w:tcW w:w="1446" w:type="dxa"/>
          </w:tcPr>
          <w:p w14:paraId="1F5BEF2B" w14:textId="77777777" w:rsidR="009E18F7" w:rsidRPr="00FE4CC2" w:rsidRDefault="009E18F7" w:rsidP="005D0F18">
            <w:pPr>
              <w:autoSpaceDE w:val="0"/>
              <w:autoSpaceDN w:val="0"/>
              <w:adjustRightInd w:val="0"/>
              <w:ind w:right="849"/>
              <w:jc w:val="center"/>
              <w:rPr>
                <w:szCs w:val="22"/>
              </w:rPr>
            </w:pPr>
          </w:p>
        </w:tc>
        <w:tc>
          <w:tcPr>
            <w:tcW w:w="2445" w:type="dxa"/>
          </w:tcPr>
          <w:p w14:paraId="24F30B48" w14:textId="77777777" w:rsidR="009E18F7" w:rsidRPr="00FE4CC2" w:rsidRDefault="009E18F7" w:rsidP="005D0F18">
            <w:pPr>
              <w:jc w:val="center"/>
              <w:rPr>
                <w:szCs w:val="22"/>
              </w:rPr>
            </w:pPr>
            <w:r w:rsidRPr="00FE4CC2">
              <w:rPr>
                <w:szCs w:val="22"/>
              </w:rPr>
              <w:t>√</w:t>
            </w:r>
          </w:p>
        </w:tc>
      </w:tr>
      <w:tr w:rsidR="009E18F7" w:rsidRPr="00FE4CC2" w14:paraId="16DEBA3B" w14:textId="77777777" w:rsidTr="008568BE">
        <w:trPr>
          <w:jc w:val="center"/>
        </w:trPr>
        <w:tc>
          <w:tcPr>
            <w:tcW w:w="2376" w:type="dxa"/>
            <w:vAlign w:val="center"/>
          </w:tcPr>
          <w:p w14:paraId="17D4B184" w14:textId="77777777" w:rsidR="009E18F7" w:rsidRPr="00FE4CC2" w:rsidRDefault="009E18F7" w:rsidP="005D0F18">
            <w:pPr>
              <w:rPr>
                <w:szCs w:val="22"/>
              </w:rPr>
            </w:pPr>
            <w:r w:rsidRPr="00FE4CC2">
              <w:rPr>
                <w:szCs w:val="22"/>
              </w:rPr>
              <w:t>Mexico</w:t>
            </w:r>
          </w:p>
        </w:tc>
        <w:tc>
          <w:tcPr>
            <w:tcW w:w="1985" w:type="dxa"/>
            <w:vAlign w:val="center"/>
          </w:tcPr>
          <w:p w14:paraId="55AACFFF" w14:textId="77777777" w:rsidR="009E18F7" w:rsidRPr="00FE4CC2" w:rsidRDefault="009E18F7" w:rsidP="005D0F18">
            <w:pPr>
              <w:rPr>
                <w:szCs w:val="22"/>
              </w:rPr>
            </w:pPr>
            <w:r w:rsidRPr="00FE4CC2">
              <w:rPr>
                <w:szCs w:val="22"/>
              </w:rPr>
              <w:t>Mesoamerica</w:t>
            </w:r>
          </w:p>
        </w:tc>
        <w:tc>
          <w:tcPr>
            <w:tcW w:w="1446" w:type="dxa"/>
          </w:tcPr>
          <w:p w14:paraId="14FA4893" w14:textId="77777777" w:rsidR="009E18F7" w:rsidRPr="00FE4CC2" w:rsidRDefault="009E18F7" w:rsidP="005D0F18">
            <w:pPr>
              <w:autoSpaceDE w:val="0"/>
              <w:autoSpaceDN w:val="0"/>
              <w:adjustRightInd w:val="0"/>
              <w:ind w:right="849"/>
              <w:jc w:val="center"/>
              <w:rPr>
                <w:szCs w:val="22"/>
              </w:rPr>
            </w:pPr>
            <w:r w:rsidRPr="00FE4CC2">
              <w:rPr>
                <w:szCs w:val="22"/>
              </w:rPr>
              <w:t>R</w:t>
            </w:r>
          </w:p>
        </w:tc>
        <w:tc>
          <w:tcPr>
            <w:tcW w:w="2445" w:type="dxa"/>
          </w:tcPr>
          <w:p w14:paraId="60BEE832" w14:textId="77777777" w:rsidR="009E18F7" w:rsidRPr="00FE4CC2" w:rsidRDefault="009E18F7" w:rsidP="005D0F18">
            <w:pPr>
              <w:jc w:val="center"/>
              <w:rPr>
                <w:szCs w:val="22"/>
              </w:rPr>
            </w:pPr>
            <w:r w:rsidRPr="00FE4CC2">
              <w:rPr>
                <w:szCs w:val="22"/>
              </w:rPr>
              <w:t>√</w:t>
            </w:r>
          </w:p>
        </w:tc>
      </w:tr>
      <w:tr w:rsidR="009E18F7" w:rsidRPr="00FE4CC2" w14:paraId="72BAB513" w14:textId="77777777" w:rsidTr="008568BE">
        <w:trPr>
          <w:jc w:val="center"/>
        </w:trPr>
        <w:tc>
          <w:tcPr>
            <w:tcW w:w="2376" w:type="dxa"/>
            <w:vAlign w:val="center"/>
          </w:tcPr>
          <w:p w14:paraId="799B2AC5" w14:textId="77777777" w:rsidR="009E18F7" w:rsidRPr="00FE4CC2" w:rsidRDefault="009E18F7" w:rsidP="005D0F18">
            <w:pPr>
              <w:rPr>
                <w:szCs w:val="22"/>
              </w:rPr>
            </w:pPr>
            <w:r w:rsidRPr="00FE4CC2">
              <w:rPr>
                <w:szCs w:val="22"/>
              </w:rPr>
              <w:t>Nicaragua</w:t>
            </w:r>
          </w:p>
        </w:tc>
        <w:tc>
          <w:tcPr>
            <w:tcW w:w="1985" w:type="dxa"/>
            <w:vAlign w:val="center"/>
          </w:tcPr>
          <w:p w14:paraId="50C4B064" w14:textId="77777777" w:rsidR="009E18F7" w:rsidRPr="00FE4CC2" w:rsidRDefault="009E18F7" w:rsidP="005D0F18">
            <w:pPr>
              <w:rPr>
                <w:szCs w:val="22"/>
              </w:rPr>
            </w:pPr>
            <w:r w:rsidRPr="00FE4CC2">
              <w:rPr>
                <w:szCs w:val="22"/>
              </w:rPr>
              <w:t>Mesoamerica</w:t>
            </w:r>
          </w:p>
        </w:tc>
        <w:tc>
          <w:tcPr>
            <w:tcW w:w="1446" w:type="dxa"/>
          </w:tcPr>
          <w:p w14:paraId="24AFCAAA" w14:textId="77777777" w:rsidR="009E18F7" w:rsidRPr="00FE4CC2" w:rsidRDefault="009E18F7" w:rsidP="005D0F18">
            <w:pPr>
              <w:autoSpaceDE w:val="0"/>
              <w:autoSpaceDN w:val="0"/>
              <w:adjustRightInd w:val="0"/>
              <w:ind w:right="849"/>
              <w:jc w:val="center"/>
              <w:rPr>
                <w:szCs w:val="22"/>
              </w:rPr>
            </w:pPr>
          </w:p>
        </w:tc>
        <w:tc>
          <w:tcPr>
            <w:tcW w:w="2445" w:type="dxa"/>
          </w:tcPr>
          <w:p w14:paraId="06FEA98A" w14:textId="77777777" w:rsidR="009E18F7" w:rsidRPr="00FE4CC2" w:rsidRDefault="009E18F7" w:rsidP="005D0F18">
            <w:pPr>
              <w:jc w:val="center"/>
              <w:rPr>
                <w:szCs w:val="22"/>
              </w:rPr>
            </w:pPr>
            <w:r w:rsidRPr="00FE4CC2">
              <w:rPr>
                <w:szCs w:val="22"/>
              </w:rPr>
              <w:t>√</w:t>
            </w:r>
          </w:p>
        </w:tc>
      </w:tr>
      <w:tr w:rsidR="009E18F7" w:rsidRPr="00FE4CC2" w14:paraId="18F5A55D" w14:textId="77777777" w:rsidTr="008568BE">
        <w:trPr>
          <w:jc w:val="center"/>
        </w:trPr>
        <w:tc>
          <w:tcPr>
            <w:tcW w:w="2376" w:type="dxa"/>
            <w:vAlign w:val="center"/>
          </w:tcPr>
          <w:p w14:paraId="7FC17E9A" w14:textId="77777777" w:rsidR="009E18F7" w:rsidRPr="00FE4CC2" w:rsidRDefault="009E18F7" w:rsidP="005D0F18">
            <w:pPr>
              <w:rPr>
                <w:szCs w:val="22"/>
              </w:rPr>
            </w:pPr>
            <w:r w:rsidRPr="00FE4CC2">
              <w:rPr>
                <w:szCs w:val="22"/>
              </w:rPr>
              <w:t>Panama</w:t>
            </w:r>
          </w:p>
        </w:tc>
        <w:tc>
          <w:tcPr>
            <w:tcW w:w="1985" w:type="dxa"/>
            <w:vAlign w:val="center"/>
          </w:tcPr>
          <w:p w14:paraId="3D22DEF2" w14:textId="77777777" w:rsidR="009E18F7" w:rsidRPr="00FE4CC2" w:rsidRDefault="009E18F7" w:rsidP="005D0F18">
            <w:pPr>
              <w:rPr>
                <w:szCs w:val="22"/>
              </w:rPr>
            </w:pPr>
            <w:r w:rsidRPr="00FE4CC2">
              <w:rPr>
                <w:szCs w:val="22"/>
              </w:rPr>
              <w:t>Mesoamerica</w:t>
            </w:r>
          </w:p>
        </w:tc>
        <w:tc>
          <w:tcPr>
            <w:tcW w:w="1446" w:type="dxa"/>
          </w:tcPr>
          <w:p w14:paraId="7DCFAD45" w14:textId="77777777" w:rsidR="009E18F7" w:rsidRPr="00FE4CC2" w:rsidRDefault="009E18F7" w:rsidP="005D0F18">
            <w:pPr>
              <w:autoSpaceDE w:val="0"/>
              <w:autoSpaceDN w:val="0"/>
              <w:adjustRightInd w:val="0"/>
              <w:ind w:right="849"/>
              <w:jc w:val="center"/>
              <w:rPr>
                <w:szCs w:val="22"/>
              </w:rPr>
            </w:pPr>
            <w:r w:rsidRPr="00FE4CC2">
              <w:rPr>
                <w:szCs w:val="22"/>
              </w:rPr>
              <w:t>R</w:t>
            </w:r>
          </w:p>
        </w:tc>
        <w:tc>
          <w:tcPr>
            <w:tcW w:w="2445" w:type="dxa"/>
          </w:tcPr>
          <w:p w14:paraId="23373B96" w14:textId="77777777" w:rsidR="009E18F7" w:rsidRPr="00FE4CC2" w:rsidRDefault="009E18F7" w:rsidP="005D0F18">
            <w:pPr>
              <w:jc w:val="center"/>
              <w:rPr>
                <w:szCs w:val="22"/>
              </w:rPr>
            </w:pPr>
            <w:r w:rsidRPr="00FE4CC2">
              <w:rPr>
                <w:szCs w:val="22"/>
              </w:rPr>
              <w:t>√</w:t>
            </w:r>
          </w:p>
        </w:tc>
      </w:tr>
      <w:tr w:rsidR="009E18F7" w:rsidRPr="00FE4CC2" w14:paraId="2D51AC1F" w14:textId="77777777" w:rsidTr="008568BE">
        <w:trPr>
          <w:jc w:val="center"/>
        </w:trPr>
        <w:tc>
          <w:tcPr>
            <w:tcW w:w="2376" w:type="dxa"/>
            <w:vAlign w:val="center"/>
          </w:tcPr>
          <w:p w14:paraId="22D59948" w14:textId="77777777" w:rsidR="009E18F7" w:rsidRPr="00FE4CC2" w:rsidRDefault="009E18F7" w:rsidP="005D0F18">
            <w:pPr>
              <w:rPr>
                <w:szCs w:val="22"/>
              </w:rPr>
            </w:pPr>
            <w:r w:rsidRPr="00FE4CC2">
              <w:rPr>
                <w:szCs w:val="22"/>
              </w:rPr>
              <w:t>Paraguay</w:t>
            </w:r>
          </w:p>
        </w:tc>
        <w:tc>
          <w:tcPr>
            <w:tcW w:w="1985" w:type="dxa"/>
            <w:vAlign w:val="center"/>
          </w:tcPr>
          <w:p w14:paraId="77663758" w14:textId="77777777" w:rsidR="009E18F7" w:rsidRPr="00FE4CC2" w:rsidRDefault="009E18F7" w:rsidP="005D0F18">
            <w:pPr>
              <w:rPr>
                <w:szCs w:val="22"/>
              </w:rPr>
            </w:pPr>
            <w:r w:rsidRPr="00FE4CC2">
              <w:rPr>
                <w:szCs w:val="22"/>
              </w:rPr>
              <w:t>South America</w:t>
            </w:r>
          </w:p>
        </w:tc>
        <w:tc>
          <w:tcPr>
            <w:tcW w:w="1446" w:type="dxa"/>
          </w:tcPr>
          <w:p w14:paraId="27662328" w14:textId="77777777" w:rsidR="009E18F7" w:rsidRPr="00FE4CC2" w:rsidRDefault="009E18F7" w:rsidP="005D0F18">
            <w:pPr>
              <w:autoSpaceDE w:val="0"/>
              <w:autoSpaceDN w:val="0"/>
              <w:adjustRightInd w:val="0"/>
              <w:ind w:right="849"/>
              <w:jc w:val="center"/>
              <w:rPr>
                <w:szCs w:val="22"/>
              </w:rPr>
            </w:pPr>
          </w:p>
        </w:tc>
        <w:tc>
          <w:tcPr>
            <w:tcW w:w="2445" w:type="dxa"/>
          </w:tcPr>
          <w:p w14:paraId="145F767F" w14:textId="77777777" w:rsidR="009E18F7" w:rsidRPr="00FE4CC2" w:rsidRDefault="009E18F7" w:rsidP="005D0F18">
            <w:pPr>
              <w:jc w:val="center"/>
              <w:rPr>
                <w:szCs w:val="22"/>
              </w:rPr>
            </w:pPr>
            <w:r w:rsidRPr="00FE4CC2">
              <w:rPr>
                <w:szCs w:val="22"/>
              </w:rPr>
              <w:t>√</w:t>
            </w:r>
          </w:p>
        </w:tc>
      </w:tr>
      <w:tr w:rsidR="009E18F7" w:rsidRPr="00FE4CC2" w14:paraId="5F17053E" w14:textId="77777777" w:rsidTr="008568BE">
        <w:trPr>
          <w:jc w:val="center"/>
        </w:trPr>
        <w:tc>
          <w:tcPr>
            <w:tcW w:w="2376" w:type="dxa"/>
            <w:vAlign w:val="center"/>
          </w:tcPr>
          <w:p w14:paraId="3144EDC4" w14:textId="77777777" w:rsidR="009E18F7" w:rsidRPr="00FE4CC2" w:rsidRDefault="009E18F7" w:rsidP="005D0F18">
            <w:pPr>
              <w:rPr>
                <w:szCs w:val="22"/>
              </w:rPr>
            </w:pPr>
            <w:r w:rsidRPr="00FE4CC2">
              <w:rPr>
                <w:szCs w:val="22"/>
              </w:rPr>
              <w:t>Peru</w:t>
            </w:r>
          </w:p>
        </w:tc>
        <w:tc>
          <w:tcPr>
            <w:tcW w:w="1985" w:type="dxa"/>
            <w:vAlign w:val="center"/>
          </w:tcPr>
          <w:p w14:paraId="3C623D23" w14:textId="77777777" w:rsidR="009E18F7" w:rsidRPr="00FE4CC2" w:rsidRDefault="009E18F7" w:rsidP="005D0F18">
            <w:pPr>
              <w:rPr>
                <w:szCs w:val="22"/>
              </w:rPr>
            </w:pPr>
            <w:r w:rsidRPr="00FE4CC2">
              <w:rPr>
                <w:szCs w:val="22"/>
              </w:rPr>
              <w:t>South America</w:t>
            </w:r>
          </w:p>
        </w:tc>
        <w:tc>
          <w:tcPr>
            <w:tcW w:w="1446" w:type="dxa"/>
          </w:tcPr>
          <w:p w14:paraId="1FD045C1" w14:textId="77777777" w:rsidR="009E18F7" w:rsidRPr="00FE4CC2" w:rsidRDefault="009E18F7" w:rsidP="005D0F18">
            <w:pPr>
              <w:autoSpaceDE w:val="0"/>
              <w:autoSpaceDN w:val="0"/>
              <w:adjustRightInd w:val="0"/>
              <w:ind w:right="849"/>
              <w:jc w:val="center"/>
              <w:rPr>
                <w:szCs w:val="22"/>
              </w:rPr>
            </w:pPr>
            <w:r w:rsidRPr="00FE4CC2">
              <w:rPr>
                <w:szCs w:val="22"/>
              </w:rPr>
              <w:t>R</w:t>
            </w:r>
          </w:p>
        </w:tc>
        <w:tc>
          <w:tcPr>
            <w:tcW w:w="2445" w:type="dxa"/>
          </w:tcPr>
          <w:p w14:paraId="1410AF05" w14:textId="77777777" w:rsidR="009E18F7" w:rsidRPr="00FE4CC2" w:rsidRDefault="009E18F7" w:rsidP="005D0F18">
            <w:pPr>
              <w:jc w:val="center"/>
              <w:rPr>
                <w:szCs w:val="22"/>
              </w:rPr>
            </w:pPr>
            <w:r w:rsidRPr="00FE4CC2">
              <w:rPr>
                <w:szCs w:val="22"/>
              </w:rPr>
              <w:t>√</w:t>
            </w:r>
          </w:p>
        </w:tc>
      </w:tr>
      <w:tr w:rsidR="009E18F7" w:rsidRPr="00FE4CC2" w14:paraId="2AAE33C0" w14:textId="77777777" w:rsidTr="008568BE">
        <w:trPr>
          <w:jc w:val="center"/>
        </w:trPr>
        <w:tc>
          <w:tcPr>
            <w:tcW w:w="2376" w:type="dxa"/>
            <w:vAlign w:val="center"/>
          </w:tcPr>
          <w:p w14:paraId="1130FEBB" w14:textId="77777777" w:rsidR="009E18F7" w:rsidRPr="00FE4CC2" w:rsidRDefault="009E18F7" w:rsidP="005D0F18">
            <w:pPr>
              <w:rPr>
                <w:szCs w:val="22"/>
              </w:rPr>
            </w:pPr>
            <w:r w:rsidRPr="00FE4CC2">
              <w:rPr>
                <w:szCs w:val="22"/>
              </w:rPr>
              <w:t>Saint Kitts and Nevis</w:t>
            </w:r>
          </w:p>
        </w:tc>
        <w:tc>
          <w:tcPr>
            <w:tcW w:w="1985" w:type="dxa"/>
            <w:vAlign w:val="center"/>
          </w:tcPr>
          <w:p w14:paraId="1FA9124B" w14:textId="77777777" w:rsidR="009E18F7" w:rsidRPr="00FE4CC2" w:rsidRDefault="009E18F7" w:rsidP="005D0F18">
            <w:pPr>
              <w:rPr>
                <w:szCs w:val="22"/>
              </w:rPr>
            </w:pPr>
            <w:r w:rsidRPr="00FE4CC2">
              <w:rPr>
                <w:szCs w:val="22"/>
              </w:rPr>
              <w:t>Caribbean</w:t>
            </w:r>
          </w:p>
        </w:tc>
        <w:tc>
          <w:tcPr>
            <w:tcW w:w="1446" w:type="dxa"/>
          </w:tcPr>
          <w:p w14:paraId="342F903A" w14:textId="77777777" w:rsidR="009E18F7" w:rsidRPr="00FE4CC2" w:rsidRDefault="009E18F7" w:rsidP="005D0F18">
            <w:pPr>
              <w:autoSpaceDE w:val="0"/>
              <w:autoSpaceDN w:val="0"/>
              <w:adjustRightInd w:val="0"/>
              <w:ind w:right="849"/>
              <w:jc w:val="center"/>
              <w:rPr>
                <w:szCs w:val="22"/>
              </w:rPr>
            </w:pPr>
          </w:p>
        </w:tc>
        <w:tc>
          <w:tcPr>
            <w:tcW w:w="2445" w:type="dxa"/>
          </w:tcPr>
          <w:p w14:paraId="1FBCD7C4" w14:textId="77777777" w:rsidR="009E18F7" w:rsidRPr="00FE4CC2" w:rsidRDefault="009E18F7" w:rsidP="005D0F18">
            <w:pPr>
              <w:jc w:val="center"/>
              <w:rPr>
                <w:szCs w:val="22"/>
              </w:rPr>
            </w:pPr>
            <w:r w:rsidRPr="00FE4CC2">
              <w:rPr>
                <w:szCs w:val="22"/>
              </w:rPr>
              <w:t>√</w:t>
            </w:r>
          </w:p>
        </w:tc>
      </w:tr>
      <w:tr w:rsidR="009E18F7" w:rsidRPr="00FE4CC2" w14:paraId="4954064B" w14:textId="77777777" w:rsidTr="008568BE">
        <w:trPr>
          <w:jc w:val="center"/>
        </w:trPr>
        <w:tc>
          <w:tcPr>
            <w:tcW w:w="2376" w:type="dxa"/>
            <w:vAlign w:val="center"/>
          </w:tcPr>
          <w:p w14:paraId="78041367" w14:textId="77777777" w:rsidR="009E18F7" w:rsidRPr="00FE4CC2" w:rsidRDefault="009E18F7" w:rsidP="005D0F18">
            <w:pPr>
              <w:rPr>
                <w:szCs w:val="22"/>
              </w:rPr>
            </w:pPr>
            <w:r w:rsidRPr="00FE4CC2">
              <w:rPr>
                <w:szCs w:val="22"/>
              </w:rPr>
              <w:t>Saint Lucia</w:t>
            </w:r>
          </w:p>
        </w:tc>
        <w:tc>
          <w:tcPr>
            <w:tcW w:w="1985" w:type="dxa"/>
            <w:vAlign w:val="center"/>
          </w:tcPr>
          <w:p w14:paraId="4F6961A2" w14:textId="77777777" w:rsidR="009E18F7" w:rsidRPr="00FE4CC2" w:rsidRDefault="009E18F7" w:rsidP="005D0F18">
            <w:pPr>
              <w:rPr>
                <w:szCs w:val="22"/>
              </w:rPr>
            </w:pPr>
            <w:r w:rsidRPr="00FE4CC2">
              <w:rPr>
                <w:szCs w:val="22"/>
              </w:rPr>
              <w:t>Caribbean</w:t>
            </w:r>
          </w:p>
        </w:tc>
        <w:tc>
          <w:tcPr>
            <w:tcW w:w="1446" w:type="dxa"/>
          </w:tcPr>
          <w:p w14:paraId="18D37093" w14:textId="77777777" w:rsidR="009E18F7" w:rsidRPr="00FE4CC2" w:rsidRDefault="009E18F7" w:rsidP="005D0F18">
            <w:pPr>
              <w:autoSpaceDE w:val="0"/>
              <w:autoSpaceDN w:val="0"/>
              <w:adjustRightInd w:val="0"/>
              <w:ind w:right="849"/>
              <w:jc w:val="center"/>
              <w:rPr>
                <w:szCs w:val="22"/>
              </w:rPr>
            </w:pPr>
          </w:p>
        </w:tc>
        <w:tc>
          <w:tcPr>
            <w:tcW w:w="2445" w:type="dxa"/>
          </w:tcPr>
          <w:p w14:paraId="02928063" w14:textId="77777777" w:rsidR="009E18F7" w:rsidRPr="00FE4CC2" w:rsidRDefault="009E18F7" w:rsidP="005D0F18">
            <w:pPr>
              <w:jc w:val="center"/>
              <w:rPr>
                <w:szCs w:val="22"/>
              </w:rPr>
            </w:pPr>
            <w:r w:rsidRPr="00FE4CC2">
              <w:rPr>
                <w:szCs w:val="22"/>
              </w:rPr>
              <w:t>√</w:t>
            </w:r>
          </w:p>
        </w:tc>
      </w:tr>
      <w:tr w:rsidR="009E18F7" w:rsidRPr="00FE4CC2" w14:paraId="26A2E2CC" w14:textId="77777777" w:rsidTr="008568BE">
        <w:trPr>
          <w:jc w:val="center"/>
        </w:trPr>
        <w:tc>
          <w:tcPr>
            <w:tcW w:w="2376" w:type="dxa"/>
            <w:vAlign w:val="center"/>
          </w:tcPr>
          <w:p w14:paraId="37824B28" w14:textId="77777777" w:rsidR="009E18F7" w:rsidRPr="00FE4CC2" w:rsidRDefault="009E18F7" w:rsidP="005D0F18">
            <w:pPr>
              <w:rPr>
                <w:szCs w:val="22"/>
              </w:rPr>
            </w:pPr>
            <w:r w:rsidRPr="00FE4CC2">
              <w:rPr>
                <w:szCs w:val="22"/>
              </w:rPr>
              <w:t>Saint Vincent and the Grenadines</w:t>
            </w:r>
          </w:p>
        </w:tc>
        <w:tc>
          <w:tcPr>
            <w:tcW w:w="1985" w:type="dxa"/>
            <w:vAlign w:val="center"/>
          </w:tcPr>
          <w:p w14:paraId="1C8A1B32" w14:textId="77777777" w:rsidR="009E18F7" w:rsidRPr="00FE4CC2" w:rsidRDefault="009E18F7" w:rsidP="005D0F18">
            <w:pPr>
              <w:rPr>
                <w:szCs w:val="22"/>
              </w:rPr>
            </w:pPr>
            <w:r w:rsidRPr="00FE4CC2">
              <w:rPr>
                <w:szCs w:val="22"/>
              </w:rPr>
              <w:t>Caribbean</w:t>
            </w:r>
          </w:p>
        </w:tc>
        <w:tc>
          <w:tcPr>
            <w:tcW w:w="1446" w:type="dxa"/>
          </w:tcPr>
          <w:p w14:paraId="79420296" w14:textId="77777777" w:rsidR="009E18F7" w:rsidRPr="00FE4CC2" w:rsidRDefault="009E18F7" w:rsidP="005D0F18">
            <w:pPr>
              <w:autoSpaceDE w:val="0"/>
              <w:autoSpaceDN w:val="0"/>
              <w:adjustRightInd w:val="0"/>
              <w:ind w:right="849"/>
              <w:jc w:val="center"/>
              <w:rPr>
                <w:szCs w:val="22"/>
              </w:rPr>
            </w:pPr>
          </w:p>
        </w:tc>
        <w:tc>
          <w:tcPr>
            <w:tcW w:w="2445" w:type="dxa"/>
          </w:tcPr>
          <w:p w14:paraId="746A21E2" w14:textId="77777777" w:rsidR="009E18F7" w:rsidRPr="00FE4CC2" w:rsidRDefault="009E18F7" w:rsidP="005D0F18">
            <w:pPr>
              <w:jc w:val="center"/>
              <w:rPr>
                <w:szCs w:val="22"/>
              </w:rPr>
            </w:pPr>
            <w:r w:rsidRPr="00FE4CC2">
              <w:rPr>
                <w:szCs w:val="22"/>
              </w:rPr>
              <w:t>√</w:t>
            </w:r>
          </w:p>
        </w:tc>
      </w:tr>
      <w:tr w:rsidR="009E18F7" w:rsidRPr="00FE4CC2" w14:paraId="66C53E3A" w14:textId="77777777" w:rsidTr="008568BE">
        <w:trPr>
          <w:jc w:val="center"/>
        </w:trPr>
        <w:tc>
          <w:tcPr>
            <w:tcW w:w="2376" w:type="dxa"/>
            <w:vAlign w:val="center"/>
          </w:tcPr>
          <w:p w14:paraId="51E38426" w14:textId="77777777" w:rsidR="009E18F7" w:rsidRPr="00FE4CC2" w:rsidRDefault="009E18F7" w:rsidP="005D0F18">
            <w:pPr>
              <w:rPr>
                <w:szCs w:val="22"/>
              </w:rPr>
            </w:pPr>
            <w:r w:rsidRPr="00FE4CC2">
              <w:rPr>
                <w:szCs w:val="22"/>
              </w:rPr>
              <w:t>Suriname</w:t>
            </w:r>
          </w:p>
        </w:tc>
        <w:tc>
          <w:tcPr>
            <w:tcW w:w="1985" w:type="dxa"/>
            <w:vAlign w:val="center"/>
          </w:tcPr>
          <w:p w14:paraId="2051900E" w14:textId="77777777" w:rsidR="009E18F7" w:rsidRPr="00FE4CC2" w:rsidRDefault="009E18F7" w:rsidP="005D0F18">
            <w:pPr>
              <w:rPr>
                <w:szCs w:val="22"/>
              </w:rPr>
            </w:pPr>
            <w:r w:rsidRPr="00FE4CC2">
              <w:rPr>
                <w:szCs w:val="22"/>
              </w:rPr>
              <w:t>South America</w:t>
            </w:r>
          </w:p>
        </w:tc>
        <w:tc>
          <w:tcPr>
            <w:tcW w:w="1446" w:type="dxa"/>
          </w:tcPr>
          <w:p w14:paraId="7410324A" w14:textId="77777777" w:rsidR="009E18F7" w:rsidRPr="00FE4CC2" w:rsidRDefault="009E18F7" w:rsidP="005D0F18">
            <w:pPr>
              <w:autoSpaceDE w:val="0"/>
              <w:autoSpaceDN w:val="0"/>
              <w:adjustRightInd w:val="0"/>
              <w:ind w:right="849"/>
              <w:jc w:val="center"/>
              <w:rPr>
                <w:szCs w:val="22"/>
              </w:rPr>
            </w:pPr>
          </w:p>
        </w:tc>
        <w:tc>
          <w:tcPr>
            <w:tcW w:w="2445" w:type="dxa"/>
          </w:tcPr>
          <w:p w14:paraId="2C662C7B" w14:textId="77777777" w:rsidR="009E18F7" w:rsidRPr="00FE4CC2" w:rsidRDefault="009E18F7" w:rsidP="005D0F18">
            <w:pPr>
              <w:jc w:val="center"/>
              <w:rPr>
                <w:szCs w:val="22"/>
              </w:rPr>
            </w:pPr>
            <w:r w:rsidRPr="00FE4CC2">
              <w:rPr>
                <w:szCs w:val="22"/>
              </w:rPr>
              <w:t>√</w:t>
            </w:r>
          </w:p>
        </w:tc>
      </w:tr>
      <w:tr w:rsidR="009E18F7" w:rsidRPr="00FE4CC2" w14:paraId="37D4D8EB" w14:textId="77777777" w:rsidTr="008568BE">
        <w:trPr>
          <w:jc w:val="center"/>
        </w:trPr>
        <w:tc>
          <w:tcPr>
            <w:tcW w:w="2376" w:type="dxa"/>
            <w:vAlign w:val="center"/>
          </w:tcPr>
          <w:p w14:paraId="37F12537" w14:textId="77777777" w:rsidR="009E18F7" w:rsidRPr="00FE4CC2" w:rsidRDefault="009E18F7" w:rsidP="005D0F18">
            <w:pPr>
              <w:rPr>
                <w:szCs w:val="22"/>
              </w:rPr>
            </w:pPr>
            <w:r w:rsidRPr="00FE4CC2">
              <w:rPr>
                <w:szCs w:val="22"/>
              </w:rPr>
              <w:t>Trinidad and Tobago</w:t>
            </w:r>
          </w:p>
        </w:tc>
        <w:tc>
          <w:tcPr>
            <w:tcW w:w="1985" w:type="dxa"/>
            <w:vAlign w:val="center"/>
          </w:tcPr>
          <w:p w14:paraId="392D8945" w14:textId="77777777" w:rsidR="009E18F7" w:rsidRPr="00FE4CC2" w:rsidRDefault="009E18F7" w:rsidP="005D0F18">
            <w:pPr>
              <w:rPr>
                <w:szCs w:val="22"/>
              </w:rPr>
            </w:pPr>
            <w:r w:rsidRPr="00FE4CC2">
              <w:rPr>
                <w:szCs w:val="22"/>
              </w:rPr>
              <w:t>Caribbean</w:t>
            </w:r>
          </w:p>
        </w:tc>
        <w:tc>
          <w:tcPr>
            <w:tcW w:w="1446" w:type="dxa"/>
          </w:tcPr>
          <w:p w14:paraId="22F7F130" w14:textId="77777777" w:rsidR="009E18F7" w:rsidRPr="00FE4CC2" w:rsidRDefault="009E18F7" w:rsidP="005D0F18">
            <w:pPr>
              <w:autoSpaceDE w:val="0"/>
              <w:autoSpaceDN w:val="0"/>
              <w:adjustRightInd w:val="0"/>
              <w:ind w:right="849"/>
              <w:jc w:val="center"/>
              <w:rPr>
                <w:szCs w:val="22"/>
              </w:rPr>
            </w:pPr>
          </w:p>
        </w:tc>
        <w:tc>
          <w:tcPr>
            <w:tcW w:w="2445" w:type="dxa"/>
            <w:vAlign w:val="center"/>
          </w:tcPr>
          <w:p w14:paraId="1CEC7F1A" w14:textId="77777777" w:rsidR="009E18F7" w:rsidRPr="00FE4CC2" w:rsidRDefault="009E18F7" w:rsidP="005D0F18">
            <w:pPr>
              <w:jc w:val="center"/>
              <w:rPr>
                <w:szCs w:val="22"/>
              </w:rPr>
            </w:pPr>
            <w:r w:rsidRPr="00FE4CC2">
              <w:rPr>
                <w:szCs w:val="22"/>
              </w:rPr>
              <w:t>√</w:t>
            </w:r>
          </w:p>
        </w:tc>
      </w:tr>
      <w:tr w:rsidR="009E18F7" w:rsidRPr="00FE4CC2" w14:paraId="604E6348" w14:textId="77777777" w:rsidTr="008568BE">
        <w:trPr>
          <w:jc w:val="center"/>
        </w:trPr>
        <w:tc>
          <w:tcPr>
            <w:tcW w:w="2376" w:type="dxa"/>
            <w:vAlign w:val="center"/>
          </w:tcPr>
          <w:p w14:paraId="7B928C5B" w14:textId="1588339C" w:rsidR="009E18F7" w:rsidRPr="00FE4CC2" w:rsidRDefault="00F90B7C" w:rsidP="005D0F18">
            <w:pPr>
              <w:rPr>
                <w:szCs w:val="22"/>
              </w:rPr>
            </w:pPr>
            <w:r w:rsidRPr="00FE4CC2">
              <w:rPr>
                <w:szCs w:val="22"/>
              </w:rPr>
              <w:t>USA</w:t>
            </w:r>
          </w:p>
        </w:tc>
        <w:tc>
          <w:tcPr>
            <w:tcW w:w="1985" w:type="dxa"/>
            <w:vAlign w:val="center"/>
          </w:tcPr>
          <w:p w14:paraId="401F68DC" w14:textId="77777777" w:rsidR="009E18F7" w:rsidRPr="00FE4CC2" w:rsidRDefault="009E18F7" w:rsidP="005D0F18">
            <w:pPr>
              <w:rPr>
                <w:szCs w:val="22"/>
              </w:rPr>
            </w:pPr>
            <w:r w:rsidRPr="00FE4CC2">
              <w:rPr>
                <w:szCs w:val="22"/>
              </w:rPr>
              <w:t>North America</w:t>
            </w:r>
          </w:p>
        </w:tc>
        <w:tc>
          <w:tcPr>
            <w:tcW w:w="1446" w:type="dxa"/>
          </w:tcPr>
          <w:p w14:paraId="100685AF" w14:textId="77777777" w:rsidR="009E18F7" w:rsidRPr="00FE4CC2" w:rsidRDefault="009E18F7" w:rsidP="005D0F18">
            <w:pPr>
              <w:autoSpaceDE w:val="0"/>
              <w:autoSpaceDN w:val="0"/>
              <w:adjustRightInd w:val="0"/>
              <w:ind w:right="849"/>
              <w:jc w:val="center"/>
              <w:rPr>
                <w:szCs w:val="22"/>
              </w:rPr>
            </w:pPr>
          </w:p>
        </w:tc>
        <w:tc>
          <w:tcPr>
            <w:tcW w:w="2445" w:type="dxa"/>
            <w:vAlign w:val="center"/>
          </w:tcPr>
          <w:p w14:paraId="6543422B" w14:textId="77777777" w:rsidR="009E18F7" w:rsidRPr="00FE4CC2" w:rsidRDefault="009E18F7" w:rsidP="005D0F18">
            <w:pPr>
              <w:jc w:val="center"/>
              <w:rPr>
                <w:szCs w:val="22"/>
              </w:rPr>
            </w:pPr>
            <w:r w:rsidRPr="00FE4CC2">
              <w:rPr>
                <w:szCs w:val="22"/>
              </w:rPr>
              <w:t> </w:t>
            </w:r>
          </w:p>
        </w:tc>
      </w:tr>
      <w:tr w:rsidR="009E18F7" w:rsidRPr="00FE4CC2" w14:paraId="3C04F003" w14:textId="77777777" w:rsidTr="008568BE">
        <w:trPr>
          <w:jc w:val="center"/>
        </w:trPr>
        <w:tc>
          <w:tcPr>
            <w:tcW w:w="2376" w:type="dxa"/>
            <w:vAlign w:val="center"/>
          </w:tcPr>
          <w:p w14:paraId="3A439E11" w14:textId="77777777" w:rsidR="009E18F7" w:rsidRPr="00FE4CC2" w:rsidRDefault="009E18F7" w:rsidP="005D0F18">
            <w:pPr>
              <w:rPr>
                <w:szCs w:val="22"/>
              </w:rPr>
            </w:pPr>
            <w:r w:rsidRPr="00FE4CC2">
              <w:rPr>
                <w:szCs w:val="22"/>
              </w:rPr>
              <w:t>Uruguay</w:t>
            </w:r>
          </w:p>
        </w:tc>
        <w:tc>
          <w:tcPr>
            <w:tcW w:w="1985" w:type="dxa"/>
            <w:vAlign w:val="center"/>
          </w:tcPr>
          <w:p w14:paraId="4F13D501" w14:textId="77777777" w:rsidR="009E18F7" w:rsidRPr="00FE4CC2" w:rsidRDefault="009E18F7" w:rsidP="005D0F18">
            <w:pPr>
              <w:rPr>
                <w:szCs w:val="22"/>
              </w:rPr>
            </w:pPr>
            <w:r w:rsidRPr="00FE4CC2">
              <w:rPr>
                <w:szCs w:val="22"/>
              </w:rPr>
              <w:t>South America</w:t>
            </w:r>
          </w:p>
        </w:tc>
        <w:tc>
          <w:tcPr>
            <w:tcW w:w="1446" w:type="dxa"/>
          </w:tcPr>
          <w:p w14:paraId="46DF779B" w14:textId="77777777" w:rsidR="009E18F7" w:rsidRPr="00FE4CC2" w:rsidRDefault="009E18F7" w:rsidP="005D0F18">
            <w:pPr>
              <w:autoSpaceDE w:val="0"/>
              <w:autoSpaceDN w:val="0"/>
              <w:adjustRightInd w:val="0"/>
              <w:ind w:right="849"/>
              <w:jc w:val="center"/>
              <w:rPr>
                <w:szCs w:val="22"/>
              </w:rPr>
            </w:pPr>
            <w:r w:rsidRPr="00FE4CC2">
              <w:rPr>
                <w:szCs w:val="22"/>
              </w:rPr>
              <w:t>R</w:t>
            </w:r>
          </w:p>
        </w:tc>
        <w:tc>
          <w:tcPr>
            <w:tcW w:w="2445" w:type="dxa"/>
          </w:tcPr>
          <w:p w14:paraId="05FC52E6" w14:textId="77777777" w:rsidR="009E18F7" w:rsidRPr="00FE4CC2" w:rsidRDefault="009E18F7" w:rsidP="005D0F18">
            <w:pPr>
              <w:jc w:val="center"/>
              <w:rPr>
                <w:szCs w:val="22"/>
              </w:rPr>
            </w:pPr>
            <w:r w:rsidRPr="00FE4CC2">
              <w:rPr>
                <w:szCs w:val="22"/>
              </w:rPr>
              <w:t>√</w:t>
            </w:r>
          </w:p>
        </w:tc>
      </w:tr>
      <w:tr w:rsidR="009E18F7" w:rsidRPr="00FE4CC2" w14:paraId="32912AAE" w14:textId="77777777" w:rsidTr="008568BE">
        <w:trPr>
          <w:jc w:val="center"/>
        </w:trPr>
        <w:tc>
          <w:tcPr>
            <w:tcW w:w="2376" w:type="dxa"/>
            <w:vAlign w:val="center"/>
          </w:tcPr>
          <w:p w14:paraId="24786E3F" w14:textId="77777777" w:rsidR="009E18F7" w:rsidRPr="00FE4CC2" w:rsidRDefault="009E18F7" w:rsidP="005D0F18">
            <w:pPr>
              <w:rPr>
                <w:szCs w:val="22"/>
              </w:rPr>
            </w:pPr>
            <w:r w:rsidRPr="00FE4CC2">
              <w:rPr>
                <w:szCs w:val="22"/>
              </w:rPr>
              <w:t>Venezuela</w:t>
            </w:r>
          </w:p>
        </w:tc>
        <w:tc>
          <w:tcPr>
            <w:tcW w:w="1985" w:type="dxa"/>
            <w:vAlign w:val="center"/>
          </w:tcPr>
          <w:p w14:paraId="3B2A217B" w14:textId="77777777" w:rsidR="009E18F7" w:rsidRPr="00FE4CC2" w:rsidRDefault="009E18F7" w:rsidP="005D0F18">
            <w:pPr>
              <w:rPr>
                <w:szCs w:val="22"/>
              </w:rPr>
            </w:pPr>
            <w:r w:rsidRPr="00FE4CC2">
              <w:rPr>
                <w:szCs w:val="22"/>
              </w:rPr>
              <w:t>South America</w:t>
            </w:r>
          </w:p>
        </w:tc>
        <w:tc>
          <w:tcPr>
            <w:tcW w:w="1446" w:type="dxa"/>
          </w:tcPr>
          <w:p w14:paraId="5A53472B" w14:textId="77777777" w:rsidR="009E18F7" w:rsidRPr="00FE4CC2" w:rsidRDefault="009E18F7" w:rsidP="005D0F18">
            <w:pPr>
              <w:autoSpaceDE w:val="0"/>
              <w:autoSpaceDN w:val="0"/>
              <w:adjustRightInd w:val="0"/>
              <w:ind w:right="849"/>
              <w:jc w:val="center"/>
              <w:rPr>
                <w:szCs w:val="22"/>
              </w:rPr>
            </w:pPr>
          </w:p>
        </w:tc>
        <w:tc>
          <w:tcPr>
            <w:tcW w:w="2445" w:type="dxa"/>
          </w:tcPr>
          <w:p w14:paraId="47DE3482" w14:textId="77777777" w:rsidR="009E18F7" w:rsidRPr="00FE4CC2" w:rsidRDefault="009E18F7" w:rsidP="005D0F18">
            <w:pPr>
              <w:jc w:val="center"/>
              <w:rPr>
                <w:szCs w:val="22"/>
              </w:rPr>
            </w:pPr>
            <w:r w:rsidRPr="00FE4CC2">
              <w:rPr>
                <w:szCs w:val="22"/>
              </w:rPr>
              <w:t>√</w:t>
            </w:r>
          </w:p>
        </w:tc>
      </w:tr>
    </w:tbl>
    <w:p w14:paraId="061F2BAF" w14:textId="68A21C36" w:rsidR="009E18F7" w:rsidRPr="008608AA" w:rsidRDefault="009E18F7" w:rsidP="005D0F18">
      <w:pPr>
        <w:pStyle w:val="Caption"/>
        <w:spacing w:before="0" w:beforeAutospacing="0"/>
        <w:rPr>
          <w:b w:val="0"/>
          <w:sz w:val="20"/>
          <w:szCs w:val="20"/>
          <w:lang w:val="en-US" w:eastAsia="pt-BR"/>
        </w:rPr>
      </w:pPr>
      <w:r w:rsidRPr="008608AA">
        <w:rPr>
          <w:b w:val="0"/>
          <w:sz w:val="20"/>
          <w:szCs w:val="20"/>
          <w:lang w:val="en-US"/>
        </w:rPr>
        <w:t>Sources:</w:t>
      </w:r>
      <w:r w:rsidRPr="008608AA">
        <w:rPr>
          <w:b w:val="0"/>
          <w:sz w:val="20"/>
          <w:szCs w:val="20"/>
          <w:lang w:val="en-US" w:eastAsia="pt-BR"/>
        </w:rPr>
        <w:t xml:space="preserve"> Parties to the Protocol and signature and ratification of the Supplementary Protocol at </w:t>
      </w:r>
      <w:hyperlink r:id="rId1080" w:history="1">
        <w:r w:rsidRPr="008608AA">
          <w:rPr>
            <w:rStyle w:val="Hyperlink"/>
            <w:b w:val="0"/>
            <w:sz w:val="20"/>
            <w:szCs w:val="20"/>
            <w:lang w:val="en-US" w:eastAsia="pt-BR"/>
          </w:rPr>
          <w:t>https://www.cbd.int/abs/nagoya-protocol/signatories/default.shtml</w:t>
        </w:r>
      </w:hyperlink>
      <w:r w:rsidRPr="008608AA">
        <w:rPr>
          <w:b w:val="0"/>
          <w:sz w:val="20"/>
          <w:szCs w:val="20"/>
          <w:lang w:val="en-US" w:eastAsia="pt-BR"/>
        </w:rPr>
        <w:t>)</w:t>
      </w:r>
    </w:p>
    <w:p w14:paraId="74DB7D36" w14:textId="2B0F04C2" w:rsidR="009E18F7" w:rsidRPr="008608AA" w:rsidRDefault="009E18F7" w:rsidP="005D0F18">
      <w:pPr>
        <w:pStyle w:val="Caption"/>
        <w:spacing w:before="0" w:beforeAutospacing="0"/>
        <w:rPr>
          <w:lang w:val="en-US" w:eastAsia="pt-BR"/>
        </w:rPr>
      </w:pPr>
      <w:r w:rsidRPr="008608AA">
        <w:rPr>
          <w:b w:val="0"/>
          <w:sz w:val="20"/>
          <w:szCs w:val="20"/>
          <w:lang w:val="en-US" w:eastAsia="pt-BR"/>
        </w:rPr>
        <w:t xml:space="preserve">The Access and Benefit Sharing Clearing-House. </w:t>
      </w:r>
      <w:hyperlink r:id="rId1081" w:history="1">
        <w:r w:rsidRPr="008608AA">
          <w:rPr>
            <w:rStyle w:val="Hyperlink"/>
            <w:b w:val="0"/>
            <w:sz w:val="20"/>
            <w:szCs w:val="20"/>
            <w:lang w:val="en-US" w:eastAsia="pt-BR"/>
          </w:rPr>
          <w:t>https://absch.cbd.int/search/countries</w:t>
        </w:r>
      </w:hyperlink>
      <w:r w:rsidRPr="008608AA">
        <w:rPr>
          <w:b w:val="0"/>
          <w:sz w:val="20"/>
          <w:szCs w:val="20"/>
          <w:lang w:val="en-US" w:eastAsia="pt-BR"/>
        </w:rPr>
        <w:t xml:space="preserve"> (</w:t>
      </w:r>
      <w:r w:rsidR="00B328AE" w:rsidRPr="008608AA">
        <w:rPr>
          <w:b w:val="0"/>
          <w:sz w:val="20"/>
          <w:szCs w:val="20"/>
          <w:lang w:val="en-US" w:eastAsia="pt-BR"/>
        </w:rPr>
        <w:t>Accessed November 22, 2017</w:t>
      </w:r>
      <w:r w:rsidRPr="008608AA">
        <w:rPr>
          <w:b w:val="0"/>
          <w:lang w:val="en-US" w:eastAsia="pt-BR"/>
        </w:rPr>
        <w:t>)</w:t>
      </w:r>
    </w:p>
    <w:p w14:paraId="20D835BB" w14:textId="4837A347" w:rsidR="009E18F7" w:rsidRPr="008608AA" w:rsidRDefault="009E18F7" w:rsidP="00BD08BA">
      <w:pPr>
        <w:spacing w:before="240"/>
      </w:pPr>
      <w:r w:rsidRPr="008608AA">
        <w:t>Although the SDG are not legally binding, governments are expected to integrate all 17 goals into their national planning frameworks. Two of the SDG relate directly to the management of biodiversity and ecosystem services: Goal 14 (Life below water: Conserve and sustainably use the oceans, seas and marine resources for sustainable dev</w:t>
      </w:r>
      <w:r w:rsidR="009234AB" w:rsidRPr="008608AA">
        <w:t>elopment) and Goal 15 (Life on l</w:t>
      </w:r>
      <w:r w:rsidRPr="008608AA">
        <w:t xml:space="preserve">and: Protect, restore and promote sustainable use of terrestrial ecosystems, sustainably manage forests, combat desertification and halt and reverse land degradation and halt biodiversity loss). The remaining </w:t>
      </w:r>
      <w:r w:rsidR="009234AB" w:rsidRPr="008608AA">
        <w:t>15</w:t>
      </w:r>
      <w:r w:rsidRPr="008608AA">
        <w:t xml:space="preserve"> goals are all considered relevant from a biodiversity and ecosystem services mainstreaming standpoint. Some goals are actions</w:t>
      </w:r>
      <w:r w:rsidR="009234AB" w:rsidRPr="008608AA">
        <w:t xml:space="preserve"> that are necessary to support/</w:t>
      </w:r>
      <w:r w:rsidRPr="008608AA">
        <w:t>enable biodiversity and ecosystem services manag</w:t>
      </w:r>
      <w:r w:rsidR="009234AB" w:rsidRPr="008608AA">
        <w:t>ement (e.g. Goal 13 on Climate a</w:t>
      </w:r>
      <w:r w:rsidRPr="008608AA">
        <w:t>ction and Goal 12 on Responsible consumption and production); while other goals can be supported and partially achieved (to varying extents) by effective biodiversity and ecosystem services m</w:t>
      </w:r>
      <w:r w:rsidR="009234AB" w:rsidRPr="008608AA">
        <w:t>anagement (e.g. Goal 3 on Good health and w</w:t>
      </w:r>
      <w:r w:rsidRPr="008608AA">
        <w:t xml:space="preserve">ell-being and Goal 1 – No poverty). </w:t>
      </w:r>
    </w:p>
    <w:p w14:paraId="219217B5" w14:textId="77777777" w:rsidR="009E18F7" w:rsidRPr="008608AA" w:rsidRDefault="009E18F7" w:rsidP="00BD08BA">
      <w:r w:rsidRPr="008608AA">
        <w:t xml:space="preserve">The SDG are already showing signs of stimulating countries to identifying critical policy entry points for attending to the wide range of drivers affecting biodiversity and ecosystem services. While it is still too early to assess SDG impact on biodiversity and ecosystem services policies and management frameworks in the Americas, one example alights from Trinidad and Tobago. The country development of a new policy instrument – the National Spatial Development Strategy (which replaces the country’s 1984 National Land Use Plan) – which has placed the protection of ecosystems at the core of spatial planning (Figure 6.4). </w:t>
      </w:r>
    </w:p>
    <w:p w14:paraId="0E143D62" w14:textId="77777777" w:rsidR="00BD08BA" w:rsidRPr="008608AA" w:rsidRDefault="00BD08BA" w:rsidP="00BD08BA"/>
    <w:p w14:paraId="4A9C78E6" w14:textId="501F73EB" w:rsidR="00BD08BA" w:rsidRPr="008608AA" w:rsidRDefault="00025B55" w:rsidP="00BD08BA">
      <w:pPr>
        <w:spacing w:before="240"/>
        <w:jc w:val="center"/>
      </w:pPr>
      <w:r w:rsidRPr="008608AA">
        <w:rPr>
          <w:noProof/>
          <w:lang w:val="en-GB" w:eastAsia="en-GB"/>
        </w:rPr>
        <w:drawing>
          <wp:inline distT="0" distB="0" distL="0" distR="0" wp14:anchorId="2D1CB1D3" wp14:editId="0CBA7502">
            <wp:extent cx="5934075" cy="5029200"/>
            <wp:effectExtent l="0" t="0" r="9525" b="0"/>
            <wp:docPr id="96" name="Imagen 96" descr="C:\Users\Alejandro Valderrama\Downloads\Fig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0" descr="C:\Users\Alejandro Valderrama\Downloads\Fig6.4.jpg"/>
                    <pic:cNvPicPr>
                      <a:picLocks noChangeAspect="1" noChangeArrowheads="1"/>
                    </pic:cNvPicPr>
                  </pic:nvPicPr>
                  <pic:blipFill rotWithShape="1">
                    <a:blip r:embed="rId1082">
                      <a:extLst>
                        <a:ext uri="{28A0092B-C50C-407E-A947-70E740481C1C}">
                          <a14:useLocalDpi xmlns:a14="http://schemas.microsoft.com/office/drawing/2010/main" val="0"/>
                        </a:ext>
                      </a:extLst>
                    </a:blip>
                    <a:srcRect b="41203"/>
                    <a:stretch/>
                  </pic:blipFill>
                  <pic:spPr bwMode="auto">
                    <a:xfrm>
                      <a:off x="0" y="0"/>
                      <a:ext cx="5934075" cy="5029200"/>
                    </a:xfrm>
                    <a:prstGeom prst="rect">
                      <a:avLst/>
                    </a:prstGeom>
                    <a:noFill/>
                    <a:ln>
                      <a:noFill/>
                    </a:ln>
                    <a:extLst>
                      <a:ext uri="{53640926-AAD7-44D8-BBD7-CCE9431645EC}">
                        <a14:shadowObscured xmlns:a14="http://schemas.microsoft.com/office/drawing/2010/main"/>
                      </a:ext>
                    </a:extLst>
                  </pic:spPr>
                </pic:pic>
              </a:graphicData>
            </a:graphic>
          </wp:inline>
        </w:drawing>
      </w:r>
    </w:p>
    <w:p w14:paraId="2AE50646" w14:textId="6FD6E9EA" w:rsidR="009234AB" w:rsidRPr="008608AA" w:rsidRDefault="009E18F7" w:rsidP="00BD08BA">
      <w:pPr>
        <w:spacing w:before="240"/>
      </w:pPr>
      <w:r w:rsidRPr="008608AA">
        <w:t xml:space="preserve">Given that CBD Parties continue to work towards the 2020 Aichi </w:t>
      </w:r>
      <w:r w:rsidR="00847F60" w:rsidRPr="008608AA">
        <w:t>target</w:t>
      </w:r>
      <w:r w:rsidRPr="008608AA">
        <w:t>s (</w:t>
      </w:r>
      <w:r w:rsidR="00B20C8E" w:rsidRPr="008608AA">
        <w:t>section</w:t>
      </w:r>
      <w:r w:rsidRPr="008608AA">
        <w:t xml:space="preserve"> 6.4.1), the linkages between the SDG and the Aichi </w:t>
      </w:r>
      <w:r w:rsidR="00847F60" w:rsidRPr="008608AA">
        <w:t>target</w:t>
      </w:r>
      <w:r w:rsidRPr="008608AA">
        <w:t xml:space="preserve">s have been carefully considered so that efforts can be effectively aligned (Table 6.4). In many cases, the links between SDG and Aichi </w:t>
      </w:r>
      <w:r w:rsidR="00847F60" w:rsidRPr="008608AA">
        <w:t>target</w:t>
      </w:r>
      <w:r w:rsidRPr="008608AA">
        <w:t xml:space="preserve">s are strong and clear, and this implies that where governments have put measures in place to achieve the Aichi </w:t>
      </w:r>
      <w:r w:rsidR="00847F60" w:rsidRPr="008608AA">
        <w:t>target</w:t>
      </w:r>
      <w:r w:rsidRPr="008608AA">
        <w:t>s, there will already be progress under corresponding SDG.</w:t>
      </w:r>
      <w:r w:rsidR="009234AB" w:rsidRPr="008608AA">
        <w:t xml:space="preserve"> </w:t>
      </w:r>
    </w:p>
    <w:p w14:paraId="3185D369" w14:textId="2F2E7FBA" w:rsidR="005D0F18" w:rsidRPr="008608AA" w:rsidRDefault="009E18F7" w:rsidP="00BD08BA">
      <w:pPr>
        <w:spacing w:before="240"/>
      </w:pPr>
      <w:r w:rsidRPr="008608AA">
        <w:t>Fulfilling the goals and targets of the 2030 Agenda for Sustainable Development will require a considerable effort to mobilize development financing, with both public- and private-sector involvement. In terms of domestic resource mobilization, one of the key challenges for the America’s governments is raising the tax burden and improving the tax structure. This means addressing the problems of tax evasion and avoidance, both domestically and on the external front (ECLAC, 2016).</w:t>
      </w:r>
      <w:r w:rsidR="005D0F18" w:rsidRPr="008608AA">
        <w:br w:type="page"/>
      </w:r>
    </w:p>
    <w:p w14:paraId="760C3FD4" w14:textId="5B75F2CB" w:rsidR="009E18F7" w:rsidRPr="008608AA" w:rsidRDefault="00BD08BA" w:rsidP="00BD08BA">
      <w:pPr>
        <w:pStyle w:val="Caption"/>
      </w:pPr>
      <w:bookmarkStart w:id="2517" w:name="_Toc482710201"/>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6</w:t>
      </w:r>
      <w:r w:rsidR="000E562E">
        <w:rPr>
          <w:noProof/>
        </w:rPr>
        <w:fldChar w:fldCharType="end"/>
      </w:r>
      <w:r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4</w:t>
      </w:r>
      <w:r w:rsidR="000E562E">
        <w:rPr>
          <w:noProof/>
        </w:rPr>
        <w:fldChar w:fldCharType="end"/>
      </w:r>
      <w:r w:rsidRPr="008608AA">
        <w:t xml:space="preserve">. </w:t>
      </w:r>
      <w:r w:rsidR="009E18F7" w:rsidRPr="008608AA">
        <w:t xml:space="preserve">Links between the Sustainable Development Goals and the Aichi </w:t>
      </w:r>
      <w:r w:rsidR="00847F60" w:rsidRPr="008608AA">
        <w:t>target</w:t>
      </w:r>
      <w:r w:rsidR="009E18F7" w:rsidRPr="008608AA">
        <w:t>s</w:t>
      </w:r>
      <w:bookmarkEnd w:id="2517"/>
      <w:r w:rsidR="009E18F7" w:rsidRPr="008608AA">
        <w:t>. Source: CBD (2016).</w:t>
      </w:r>
    </w:p>
    <w:p w14:paraId="4EF99C4E" w14:textId="77777777" w:rsidR="009E18F7" w:rsidRPr="008608AA" w:rsidRDefault="009E18F7" w:rsidP="000558F1">
      <w:r w:rsidRPr="008608AA">
        <w:rPr>
          <w:noProof/>
          <w:lang w:val="en-GB" w:eastAsia="en-GB"/>
        </w:rPr>
        <w:drawing>
          <wp:inline distT="0" distB="0" distL="0" distR="0" wp14:anchorId="1B6CC226" wp14:editId="3660F277">
            <wp:extent cx="5400040" cy="5305136"/>
            <wp:effectExtent l="0" t="0" r="10160" b="3810"/>
            <wp:docPr id="21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5400040" cy="5305136"/>
                    </a:xfrm>
                    <a:prstGeom prst="rect">
                      <a:avLst/>
                    </a:prstGeom>
                    <a:noFill/>
                    <a:ln>
                      <a:noFill/>
                    </a:ln>
                  </pic:spPr>
                </pic:pic>
              </a:graphicData>
            </a:graphic>
          </wp:inline>
        </w:drawing>
      </w:r>
    </w:p>
    <w:p w14:paraId="1F4500A9" w14:textId="77777777" w:rsidR="00BD08BA" w:rsidRPr="008608AA" w:rsidRDefault="00BD08BA" w:rsidP="000558F1"/>
    <w:p w14:paraId="58EE3294" w14:textId="77777777" w:rsidR="009E18F7" w:rsidRPr="008608AA" w:rsidRDefault="009E18F7" w:rsidP="00BD08BA">
      <w:pPr>
        <w:pStyle w:val="Heading2"/>
      </w:pPr>
      <w:bookmarkStart w:id="2518" w:name="_Toc502957772"/>
      <w:bookmarkStart w:id="2519" w:name="_Toc502957971"/>
      <w:bookmarkStart w:id="2520" w:name="_Toc502958125"/>
      <w:bookmarkStart w:id="2521" w:name="_Toc503293194"/>
      <w:bookmarkStart w:id="2522" w:name="_Toc503293792"/>
      <w:bookmarkStart w:id="2523" w:name="_Toc503294054"/>
      <w:bookmarkStart w:id="2524" w:name="_Toc503863447"/>
      <w:bookmarkStart w:id="2525" w:name="_Toc503863675"/>
      <w:bookmarkStart w:id="2526" w:name="_Toc517393454"/>
      <w:bookmarkStart w:id="2527" w:name="_Toc517719195"/>
      <w:bookmarkStart w:id="2528" w:name="_Toc517797152"/>
      <w:r w:rsidRPr="008608AA">
        <w:t xml:space="preserve">Case </w:t>
      </w:r>
      <w:r w:rsidR="005D0F18" w:rsidRPr="008608AA">
        <w:t>studies highlighting cross-cutting issues in policy and governance</w:t>
      </w:r>
      <w:bookmarkEnd w:id="2518"/>
      <w:bookmarkEnd w:id="2519"/>
      <w:bookmarkEnd w:id="2520"/>
      <w:bookmarkEnd w:id="2521"/>
      <w:bookmarkEnd w:id="2522"/>
      <w:bookmarkEnd w:id="2523"/>
      <w:bookmarkEnd w:id="2524"/>
      <w:bookmarkEnd w:id="2525"/>
      <w:bookmarkEnd w:id="2526"/>
      <w:bookmarkEnd w:id="2527"/>
      <w:bookmarkEnd w:id="2528"/>
    </w:p>
    <w:p w14:paraId="4517343A" w14:textId="427923C1" w:rsidR="009E18F7" w:rsidRPr="008608AA" w:rsidRDefault="009E18F7" w:rsidP="00BD08BA">
      <w:r w:rsidRPr="008608AA">
        <w:t>Four topics have been selected for a closer examination in this section – (</w:t>
      </w:r>
      <w:r w:rsidR="009234AB" w:rsidRPr="008608AA">
        <w:t>1) Ecotourism, (2) Genetically modified c</w:t>
      </w:r>
      <w:r w:rsidRPr="008608AA">
        <w:t>rops, (3) Ecosystem-based adaptation to climate change and disaster risk reduction and (4) Science-policy interface. These studies seek to highlight some of the cross-cutting issues that have arisen in the assessment of policy and governance, and the include the following underlying considerations a) they have social, economic and environmental relevance all across the region; b) they link various points discussed in this Chapter, from policy mixes and instruments to cross-scale issues to regional integration; c) they represent large opportunities and/or involve major risks; d) science is largely inconclusive or unresolved about them; e) they represent significant science-policy communication challenges; and f) they point to knowledge and policy gaps, limitations and needs.</w:t>
      </w:r>
    </w:p>
    <w:p w14:paraId="2B82E863" w14:textId="21FFC21A" w:rsidR="009234AB" w:rsidRPr="008608AA" w:rsidRDefault="009234AB" w:rsidP="000558F1"/>
    <w:p w14:paraId="263B7475" w14:textId="4E56E19E" w:rsidR="009E18F7" w:rsidRDefault="009E18F7" w:rsidP="000558F1">
      <w:pPr>
        <w:pStyle w:val="Heading3"/>
        <w:spacing w:before="0"/>
        <w:rPr>
          <w:lang w:val="en-US"/>
        </w:rPr>
      </w:pPr>
      <w:bookmarkStart w:id="2529" w:name="_Toc356492315"/>
      <w:bookmarkStart w:id="2530" w:name="_Toc502957773"/>
      <w:bookmarkStart w:id="2531" w:name="_Toc502957972"/>
      <w:bookmarkStart w:id="2532" w:name="_Toc502958126"/>
      <w:bookmarkStart w:id="2533" w:name="_Toc503293195"/>
      <w:bookmarkStart w:id="2534" w:name="_Toc503293793"/>
      <w:bookmarkStart w:id="2535" w:name="_Toc503294055"/>
      <w:bookmarkStart w:id="2536" w:name="_Toc503863448"/>
      <w:bookmarkStart w:id="2537" w:name="_Toc503863676"/>
      <w:bookmarkStart w:id="2538" w:name="_Toc517393455"/>
      <w:bookmarkStart w:id="2539" w:name="_Toc517719196"/>
      <w:bookmarkStart w:id="2540" w:name="_Toc517797153"/>
      <w:r w:rsidRPr="008608AA">
        <w:rPr>
          <w:lang w:val="en-US"/>
        </w:rPr>
        <w:t>Case 1: Ecotourism</w:t>
      </w:r>
      <w:bookmarkEnd w:id="2529"/>
      <w:bookmarkEnd w:id="2530"/>
      <w:bookmarkEnd w:id="2531"/>
      <w:bookmarkEnd w:id="2532"/>
      <w:bookmarkEnd w:id="2533"/>
      <w:bookmarkEnd w:id="2534"/>
      <w:bookmarkEnd w:id="2535"/>
      <w:bookmarkEnd w:id="2536"/>
      <w:bookmarkEnd w:id="2537"/>
      <w:bookmarkEnd w:id="2538"/>
      <w:bookmarkEnd w:id="2539"/>
      <w:bookmarkEnd w:id="2540"/>
      <w:r w:rsidRPr="008608AA">
        <w:rPr>
          <w:lang w:val="en-US"/>
        </w:rPr>
        <w:t xml:space="preserve"> </w:t>
      </w:r>
    </w:p>
    <w:p w14:paraId="761A5A57" w14:textId="77777777" w:rsidR="00FE4CC2" w:rsidRPr="00FE4CC2" w:rsidRDefault="00FE4CC2" w:rsidP="00FE4CC2">
      <w:pPr>
        <w:rPr>
          <w:lang w:eastAsia="es-CO"/>
        </w:rPr>
      </w:pPr>
    </w:p>
    <w:p w14:paraId="036989D1" w14:textId="71F30A76" w:rsidR="009234AB" w:rsidRPr="008608AA" w:rsidRDefault="009E18F7" w:rsidP="00BD08BA">
      <w:r w:rsidRPr="008608AA">
        <w:t>Travel and tourism industry generates nearly 10% of the GDP and 10% of all employment in the world</w:t>
      </w:r>
      <w:r w:rsidRPr="008608AA">
        <w:rPr>
          <w:b/>
        </w:rPr>
        <w:t>.</w:t>
      </w:r>
      <w:r w:rsidRPr="008608AA">
        <w:t xml:space="preserve"> In the Americas, travel and tourism GDP is three times larger than auto manufacturing (WTTC, 2016). Possibly one billion tourists travel around the world every year (Stronza, 2008). Tourism is therefore one of the world’s largest economic sectors and ecotourism is its fastest growing component (Klak, 2007). For instance, visits to protected areas in the </w:t>
      </w:r>
      <w:r w:rsidR="00F90B7C" w:rsidRPr="008608AA">
        <w:t>USA</w:t>
      </w:r>
      <w:r w:rsidRPr="008608AA">
        <w:t xml:space="preserve"> and Canada have been estimated at 3.3 billion people per year (Balmford et al., 2015). Such numbers can be both promising and worrisome for nature conservation and socioeconomic sustainability. Clearly, a lot of the optimism in the 1990’s about the potential positive impacts of ecotourism to nature conservation and sustainable development, has been challenged by negative views including the notion that tourism of any kind poses threat to nature conservation, and that revenues created by ecotourism are too small to support conservation on a larger scale (Krüger, 2005).</w:t>
      </w:r>
    </w:p>
    <w:p w14:paraId="113DF4A7" w14:textId="77777777" w:rsidR="009234AB" w:rsidRPr="008608AA" w:rsidRDefault="009234AB" w:rsidP="00BD08BA"/>
    <w:p w14:paraId="51EF68BF" w14:textId="0BC4C765" w:rsidR="009E18F7" w:rsidRPr="008608AA" w:rsidRDefault="009E18F7" w:rsidP="00BD08BA">
      <w:r w:rsidRPr="008608AA">
        <w:t>Some of the evidence is therefore conflicting or contradictory. For instance, while comparing 251 ecotourism case studies around the globe, Krüger (2005) found that ecotourism was perceived as less sustainable in South America, as well as in islands (such as in many places in the Caribbean) and mountain habitats. Moreover, even renowned ecotourism destinations, such as the Galapagos Islands, are challenged by socioeconomic issues associated with land-use practices and tourism management strategies (Durham, 2008). This result contrasts to the findings of Gunter et al. (2017) showing that ecotourism has a positive impact in poverty alleviation in 12 Central American and Caribbean countries. Indigenous or community-based ecotourism are indeed common across the region (</w:t>
      </w:r>
      <w:r w:rsidR="00847F60" w:rsidRPr="008608AA">
        <w:t>e.g.</w:t>
      </w:r>
      <w:r w:rsidRPr="008608AA">
        <w:t xml:space="preserve"> Amazon: Gordillo-Jordan et al., 2008; Rodrí</w:t>
      </w:r>
      <w:r w:rsidR="0023266C" w:rsidRPr="008608AA">
        <w:t>guez, 2008; Canada: Williams &amp;</w:t>
      </w:r>
      <w:r w:rsidRPr="008608AA">
        <w:t xml:space="preserve"> Peters, 2008; Panamá: Pereiro, 2016), and while some see it as sustainable and beneficial to local</w:t>
      </w:r>
      <w:r w:rsidR="0023266C" w:rsidRPr="008608AA">
        <w:t xml:space="preserve"> communities (</w:t>
      </w:r>
      <w:r w:rsidR="00847F60" w:rsidRPr="008608AA">
        <w:t>e.g.</w:t>
      </w:r>
      <w:r w:rsidR="0023266C" w:rsidRPr="008608AA">
        <w:t xml:space="preserve"> Whitford &amp;</w:t>
      </w:r>
      <w:r w:rsidRPr="008608AA">
        <w:t xml:space="preserve"> Ruhanen, 2016), others argue that it has often failed to deliver conservation and social benefits due to issues such as shortage of human, social and financial capital, lack of mechanisms for sharing benefits</w:t>
      </w:r>
      <w:r w:rsidR="0023266C" w:rsidRPr="008608AA">
        <w:t>, and land insecurity (Coria &amp;</w:t>
      </w:r>
      <w:r w:rsidRPr="008608AA">
        <w:t xml:space="preserve"> Calfucura, 2012). Such contrasting viewpoints can be related to a) the fact that evaluation is difficult, and starts from how an ecotouristic activity is defined (Buckley, 2009); and b) to intrinsic biophysical or political properties of localities or communities where the activity takes place. </w:t>
      </w:r>
    </w:p>
    <w:p w14:paraId="3BE33B5F" w14:textId="77777777" w:rsidR="009234AB" w:rsidRPr="008608AA" w:rsidRDefault="009234AB" w:rsidP="00BD08BA"/>
    <w:p w14:paraId="689242B9" w14:textId="409EF65C" w:rsidR="009E18F7" w:rsidRPr="008608AA" w:rsidRDefault="009E18F7" w:rsidP="00BD08BA">
      <w:r w:rsidRPr="008608AA">
        <w:t xml:space="preserve">In the Americas, there is a marked contrast between and within </w:t>
      </w:r>
      <w:r w:rsidR="007C45FD" w:rsidRPr="008608AA">
        <w:t>sub</w:t>
      </w:r>
      <w:r w:rsidRPr="008608AA">
        <w:t xml:space="preserve">regions. In Canada and the </w:t>
      </w:r>
      <w:r w:rsidR="009234AB" w:rsidRPr="008608AA">
        <w:t>USA</w:t>
      </w:r>
      <w:r w:rsidRPr="008608AA">
        <w:t xml:space="preserve"> the annual economic impact of visits to prote</w:t>
      </w:r>
      <w:r w:rsidR="009234AB" w:rsidRPr="008608AA">
        <w:t xml:space="preserve">cted areas alone is minimally </w:t>
      </w:r>
      <w:r w:rsidRPr="008608AA">
        <w:t>$300 billion (Balmford et al., 2015). In Latin America and the Caribbean, Costa Rica, Belize, Bolivia, Ecuador, Mexico and Peru are popular destinations, while Cuba has an increasing potential and Brazil is currently developing its ecotourism potential (Borges Hernández et al., 2008). A comparative study between tourism in protected areas between Canada and Brazil is illustrative of how policies influence the impact of ecotourism on conservation and human wellbeing in and around protected areas. While these countries have two of the largest protected area systems in the world, policies are different: the Canadian focus is on leisure and recreation activities, while in Brazil it is on lo</w:t>
      </w:r>
      <w:r w:rsidR="0023266C" w:rsidRPr="008608AA">
        <w:t>w impact activities (Matheus &amp;</w:t>
      </w:r>
      <w:r w:rsidRPr="008608AA">
        <w:t xml:space="preserve"> Raimundo, 2016). Thus, revenues are larger in the Canada system and promotes local economies. In parallel, these authors argue, conservation is more related in both countries to monitoring and enforcement than to the presence or absence of visitors.</w:t>
      </w:r>
    </w:p>
    <w:p w14:paraId="6523DE53" w14:textId="77777777" w:rsidR="009234AB" w:rsidRPr="008608AA" w:rsidRDefault="009234AB" w:rsidP="00BD08BA"/>
    <w:p w14:paraId="2411F771" w14:textId="77777777" w:rsidR="00EC392B" w:rsidRPr="008608AA" w:rsidRDefault="009E18F7" w:rsidP="00BD08BA">
      <w:r w:rsidRPr="008608AA">
        <w:t>Rural Mesoamerica and the Caribbean contain other promising ecotourism landscapes and sites. These regions are therefore an interesting starting point for innovations on the topic. Klak (2007), by examining ecotourism in these two regions and especially cases in Mexico (the Monarch Buttefly Reserve), Costa Rica and Dominica, argued that ecotourism has synegies with cultural, historical, and agro-tourism, and that such components should be treated as a sustainable tourism ensemble, so as to combine ecological integrity, economic viability, and social justice.</w:t>
      </w:r>
    </w:p>
    <w:p w14:paraId="4E169D28" w14:textId="604E5CB3" w:rsidR="009E18F7" w:rsidRPr="008608AA" w:rsidRDefault="009E18F7" w:rsidP="00BD08BA">
      <w:r w:rsidRPr="008608AA">
        <w:t xml:space="preserve">  </w:t>
      </w:r>
    </w:p>
    <w:p w14:paraId="54CF8369" w14:textId="77777777" w:rsidR="00EC392B" w:rsidRPr="008608AA" w:rsidRDefault="009E18F7" w:rsidP="00BD08BA">
      <w:r w:rsidRPr="008608AA">
        <w:t xml:space="preserve">Finally, the sustainability of ecotourism depends not only on implementation and management at the local level but also on large-scale external socioecological changes. For instance, disasters caused by extreme climatic or geological events (as seen during the past ten years in Brazil, Chile, Costa Rica, Guatemala, Haiti, Peru, </w:t>
      </w:r>
      <w:r w:rsidR="00EC392B" w:rsidRPr="008608AA">
        <w:t>USA</w:t>
      </w:r>
      <w:r w:rsidRPr="008608AA">
        <w:t>; see also 6.5.3), social unrest (as seen in Mexico and Venezuela), and epidemic diseases (such as recently seen in Brazil and elsewhere in the Americas for dengue fever and zika virus), can lead to significant decline in tourism reve</w:t>
      </w:r>
      <w:r w:rsidR="0023266C" w:rsidRPr="008608AA">
        <w:t>nues (Pegas &amp; Buckley, 2012; Woosnam &amp;</w:t>
      </w:r>
      <w:r w:rsidRPr="008608AA">
        <w:t xml:space="preserve"> Kim, 2014).</w:t>
      </w:r>
    </w:p>
    <w:p w14:paraId="5497DB3A" w14:textId="37F14915" w:rsidR="009E18F7" w:rsidRPr="008608AA" w:rsidRDefault="009E18F7" w:rsidP="00BD08BA">
      <w:r w:rsidRPr="008608AA">
        <w:t xml:space="preserve"> </w:t>
      </w:r>
    </w:p>
    <w:p w14:paraId="60C215C9" w14:textId="77777777" w:rsidR="009E18F7" w:rsidRPr="008608AA" w:rsidRDefault="009E18F7" w:rsidP="00BD08BA">
      <w:r w:rsidRPr="008608AA">
        <w:t xml:space="preserve">Thus, the success of ecotourism depends on policies that mix nature conservation goals with income generation and, in given areas, poverty reduction. Participatory governance, social stability, and sociocultural ties with nature are also essential, particularly when community- or indigenous-based ecotourism is the case in question. </w:t>
      </w:r>
    </w:p>
    <w:p w14:paraId="5DACB5F1" w14:textId="76387333" w:rsidR="00EC392B" w:rsidRPr="008608AA" w:rsidRDefault="00EC392B" w:rsidP="000558F1"/>
    <w:p w14:paraId="10CAB86F" w14:textId="4CD75B26" w:rsidR="009E18F7" w:rsidRDefault="009E18F7" w:rsidP="000558F1">
      <w:pPr>
        <w:pStyle w:val="Heading3"/>
        <w:spacing w:before="0"/>
      </w:pPr>
      <w:bookmarkStart w:id="2541" w:name="_Toc356492316"/>
      <w:bookmarkStart w:id="2542" w:name="_Toc502957774"/>
      <w:bookmarkStart w:id="2543" w:name="_Toc502957973"/>
      <w:bookmarkStart w:id="2544" w:name="_Toc502958127"/>
      <w:bookmarkStart w:id="2545" w:name="_Toc503293196"/>
      <w:bookmarkStart w:id="2546" w:name="_Toc503293794"/>
      <w:bookmarkStart w:id="2547" w:name="_Toc503294056"/>
      <w:bookmarkStart w:id="2548" w:name="_Toc503863449"/>
      <w:bookmarkStart w:id="2549" w:name="_Toc503863677"/>
      <w:bookmarkStart w:id="2550" w:name="_Toc517393456"/>
      <w:bookmarkStart w:id="2551" w:name="_Toc517719197"/>
      <w:bookmarkStart w:id="2552" w:name="_Toc517797154"/>
      <w:r w:rsidRPr="008608AA">
        <w:t xml:space="preserve">Case 2: Genetically </w:t>
      </w:r>
      <w:r w:rsidR="005D0F18" w:rsidRPr="008608AA">
        <w:t>modified crops</w:t>
      </w:r>
      <w:bookmarkEnd w:id="2541"/>
      <w:bookmarkEnd w:id="2542"/>
      <w:bookmarkEnd w:id="2543"/>
      <w:bookmarkEnd w:id="2544"/>
      <w:bookmarkEnd w:id="2545"/>
      <w:bookmarkEnd w:id="2546"/>
      <w:bookmarkEnd w:id="2547"/>
      <w:bookmarkEnd w:id="2548"/>
      <w:bookmarkEnd w:id="2549"/>
      <w:bookmarkEnd w:id="2550"/>
      <w:bookmarkEnd w:id="2551"/>
      <w:bookmarkEnd w:id="2552"/>
    </w:p>
    <w:p w14:paraId="7CD0A9B3" w14:textId="77777777" w:rsidR="00FE4CC2" w:rsidRPr="00FE4CC2" w:rsidRDefault="00FE4CC2" w:rsidP="00FE4CC2">
      <w:pPr>
        <w:rPr>
          <w:lang w:val="en-GB" w:eastAsia="es-CO"/>
        </w:rPr>
      </w:pPr>
    </w:p>
    <w:p w14:paraId="22A7DC6F" w14:textId="77777777" w:rsidR="00EC392B" w:rsidRPr="008608AA" w:rsidRDefault="009E18F7" w:rsidP="00BD08BA">
      <w:r w:rsidRPr="008608AA">
        <w:t>The use of genetically modified (GM) crops for many countries is an additional alternative within a range from more traditional to more industrialized production systems that include options (such as organic agriculture) that need to be maintained as viable options for food production (Burgeff et al., 2014). Doubts remain as to whether there are trade-offs between GM</w:t>
      </w:r>
      <w:r w:rsidR="00EC392B" w:rsidRPr="008608AA">
        <w:t xml:space="preserve"> crop</w:t>
      </w:r>
      <w:r w:rsidR="000D0E1A" w:rsidRPr="008608AA">
        <w:t>s and organic farming (Azadi &amp;</w:t>
      </w:r>
      <w:r w:rsidRPr="008608AA">
        <w:t xml:space="preserve"> Ho, 2010). Meanwhile, research, release in the environment, commercialization and the consumption of GM crops and associated products has been motivating debates regarding their potential benefits and possible risks. Although debates seem far from reaching consensus, many acknowledge</w:t>
      </w:r>
      <w:r w:rsidR="00EC392B" w:rsidRPr="008608AA">
        <w:t>:</w:t>
      </w:r>
      <w:r w:rsidRPr="008608AA">
        <w:t xml:space="preserve"> a) the potential of GM technology to increase food supply (at least in the short term), and b) the potential risks related mainly to fear of food safety and consequently, health and </w:t>
      </w:r>
      <w:r w:rsidR="000D0E1A" w:rsidRPr="008608AA">
        <w:t>environmental impacts (Azadi &amp;</w:t>
      </w:r>
      <w:r w:rsidRPr="008608AA">
        <w:t xml:space="preserve"> Ho, 2010; Hilbeck et al., 2015; Fahlgren et al., 2016). </w:t>
      </w:r>
    </w:p>
    <w:p w14:paraId="4DD4164E" w14:textId="77777777" w:rsidR="00EC392B" w:rsidRPr="008608AA" w:rsidRDefault="00EC392B" w:rsidP="00BD08BA"/>
    <w:p w14:paraId="4E1438E8" w14:textId="77777777" w:rsidR="00EC392B" w:rsidRPr="008608AA" w:rsidRDefault="009E18F7" w:rsidP="00BD08BA">
      <w:r w:rsidRPr="008608AA">
        <w:t xml:space="preserve">This debate has been particularly intense in the Americas that by 2004 had 94% of the world’s GM area (Traxler, 2006). To this day, the four world leaders in area of GM crops are the </w:t>
      </w:r>
      <w:r w:rsidR="00EC392B" w:rsidRPr="008608AA">
        <w:t>USA</w:t>
      </w:r>
      <w:r w:rsidRPr="008608AA">
        <w:t>, Argentina, Brazil and Canada (Jacobsen et al., 2013). Out of these four countries, only Brazil has adhered to the CBD’s Cartagena Biosafety Protocol (see Table 6.3). In Latin America and the Caribbean, only nine countries (Argentina, Brazil, Chile, Colombia, Cuba, Honduras, Mexico, Paraguay, Venezuela) have experience with biosafety regulatory activities, which indicates the need for regional partnerships in exchanging c</w:t>
      </w:r>
      <w:r w:rsidR="000D0E1A" w:rsidRPr="008608AA">
        <w:t>apacity and know-how (Rosado &amp;</w:t>
      </w:r>
      <w:r w:rsidRPr="008608AA">
        <w:t xml:space="preserve"> Craig, 2017). </w:t>
      </w:r>
    </w:p>
    <w:p w14:paraId="2E15FB22" w14:textId="77777777" w:rsidR="00EC392B" w:rsidRPr="008608AA" w:rsidRDefault="00EC392B" w:rsidP="00BD08BA"/>
    <w:p w14:paraId="4C1229D4" w14:textId="78D7FB83" w:rsidR="009E18F7" w:rsidRPr="008608AA" w:rsidRDefault="009E18F7" w:rsidP="00BD08BA">
      <w:r w:rsidRPr="008608AA">
        <w:t>The controversy around GM use and the regulatory gaps across the region suggest that this topic should be discussed on a case-by-case basis</w:t>
      </w:r>
      <w:r w:rsidR="000D0E1A" w:rsidRPr="008608AA">
        <w:t xml:space="preserve"> at this point in time (Juma &amp;</w:t>
      </w:r>
      <w:r w:rsidRPr="008608AA">
        <w:t xml:space="preserve"> Gordon, 2014).</w:t>
      </w:r>
    </w:p>
    <w:p w14:paraId="6FDB89FF" w14:textId="2EB26ECD" w:rsidR="009E18F7" w:rsidRPr="008608AA" w:rsidRDefault="009E18F7" w:rsidP="00BD08BA">
      <w:pPr>
        <w:autoSpaceDE w:val="0"/>
        <w:autoSpaceDN w:val="0"/>
        <w:adjustRightInd w:val="0"/>
      </w:pPr>
      <w:r w:rsidRPr="008608AA">
        <w:t xml:space="preserve">The debate in the Americas is also intense because of the fact that the region has some of the main centres of origin of crop diversity in the world, in places such as </w:t>
      </w:r>
      <w:r w:rsidRPr="008608AA">
        <w:rPr>
          <w:color w:val="231F20"/>
        </w:rPr>
        <w:t xml:space="preserve">Central America and Mexico; parts of the Andes, Chile and Brazil–Paraguay (Khoury et al., 2016). </w:t>
      </w:r>
      <w:r w:rsidRPr="008608AA">
        <w:t xml:space="preserve">These countries and </w:t>
      </w:r>
      <w:r w:rsidR="007C45FD" w:rsidRPr="008608AA">
        <w:t>sub</w:t>
      </w:r>
      <w:r w:rsidRPr="008608AA">
        <w:t>regions have responsibilities regarding conservation and maintenance of the genetic pools of the crops represented in the wild relatives and landraces present within the country’s boundaries, since any factor that might affect their integrity threatens genetic diversity for future global needs (Burgeff et al., 2014). This is reason for concern particularly in face of evidence of genetic erosion of such crop varieties in the aforementioned countries (</w:t>
      </w:r>
      <w:r w:rsidR="00847F60" w:rsidRPr="008608AA">
        <w:t>e.g.</w:t>
      </w:r>
      <w:r w:rsidRPr="008608AA">
        <w:t xml:space="preserve"> Van Heerewaarden et al., 2009; Dyer et al., 2014). Burgeff et al. (2014) refer to the challenges related to coexistence of GM, conventional and organic options, especially for maize and cotton, in Mexico, which is a megadiverse country and also a centre of origin and genetic diversity for these two crops. They discuss the efficiency of the risk avoidance strategies such as setting distances between GM and non-GM producing fields to avoid pollen flow and genetic contamination, particularly if commercial releases take place. They also argue, although the guidelines for monitoring, verification and compliance of biosafety measures of GM crop releases have been established, that full implementation has not been achieved yet. Furthermore, this paper also examines the relationship between GM soybean and honey production in the Yucatan Peninsula:  they claim that coexistence of these two activities in the same territory creates the risk of GM pollen as part of the honey produced. If so, Burgeff et al. (2014) argue that public perception may impact the acceptability by honey consumers, affecting the economy of thousands of rural people.</w:t>
      </w:r>
    </w:p>
    <w:p w14:paraId="21219D01" w14:textId="77777777" w:rsidR="00EC392B" w:rsidRPr="008608AA" w:rsidRDefault="00EC392B" w:rsidP="000558F1">
      <w:pPr>
        <w:autoSpaceDE w:val="0"/>
        <w:autoSpaceDN w:val="0"/>
        <w:adjustRightInd w:val="0"/>
      </w:pPr>
    </w:p>
    <w:p w14:paraId="5449EFA0" w14:textId="14444862" w:rsidR="009E18F7" w:rsidRDefault="009E18F7" w:rsidP="000558F1">
      <w:pPr>
        <w:pStyle w:val="Heading3"/>
        <w:spacing w:before="0"/>
        <w:rPr>
          <w:lang w:val="en-US"/>
        </w:rPr>
      </w:pPr>
      <w:bookmarkStart w:id="2553" w:name="_Toc356492317"/>
      <w:bookmarkStart w:id="2554" w:name="_Toc502957775"/>
      <w:bookmarkStart w:id="2555" w:name="_Toc502957974"/>
      <w:bookmarkStart w:id="2556" w:name="_Toc502958128"/>
      <w:bookmarkStart w:id="2557" w:name="_Toc503293197"/>
      <w:bookmarkStart w:id="2558" w:name="_Toc503293795"/>
      <w:bookmarkStart w:id="2559" w:name="_Toc503294057"/>
      <w:bookmarkStart w:id="2560" w:name="_Toc503863450"/>
      <w:bookmarkStart w:id="2561" w:name="_Toc503863678"/>
      <w:bookmarkStart w:id="2562" w:name="_Toc517393457"/>
      <w:bookmarkStart w:id="2563" w:name="_Toc517719198"/>
      <w:bookmarkStart w:id="2564" w:name="_Toc517797155"/>
      <w:r w:rsidRPr="008608AA">
        <w:rPr>
          <w:lang w:val="en-US"/>
        </w:rPr>
        <w:t>Case 3: Ecosystem-based adaptation to climate change and to disaster risk reduction</w:t>
      </w:r>
      <w:bookmarkEnd w:id="2553"/>
      <w:bookmarkEnd w:id="2554"/>
      <w:bookmarkEnd w:id="2555"/>
      <w:bookmarkEnd w:id="2556"/>
      <w:bookmarkEnd w:id="2557"/>
      <w:bookmarkEnd w:id="2558"/>
      <w:bookmarkEnd w:id="2559"/>
      <w:bookmarkEnd w:id="2560"/>
      <w:bookmarkEnd w:id="2561"/>
      <w:bookmarkEnd w:id="2562"/>
      <w:bookmarkEnd w:id="2563"/>
      <w:bookmarkEnd w:id="2564"/>
    </w:p>
    <w:p w14:paraId="1A998516" w14:textId="77777777" w:rsidR="00FE4CC2" w:rsidRPr="00FE4CC2" w:rsidRDefault="00FE4CC2" w:rsidP="00FE4CC2">
      <w:pPr>
        <w:rPr>
          <w:lang w:eastAsia="es-CO"/>
        </w:rPr>
      </w:pPr>
    </w:p>
    <w:p w14:paraId="337AADDC" w14:textId="77777777" w:rsidR="009E18F7" w:rsidRPr="008608AA" w:rsidRDefault="009E18F7" w:rsidP="00BD08BA">
      <w:r w:rsidRPr="008608AA">
        <w:t>Adaptation requires capacity to allocate and to combine different types of resources for an uncertain future in a given place (Lemos et al., 2016). Thus, the deployment of ecosystem-based adaptive strategies and instruments shall vary depending on the local setting. Whether the locality in question is urban, rural, coastal, or in the middle of low populated wilderness areas - such as in most of the Amazon, for instance - the adaptive strategy will vary largely (Scarano, 2017). This section will examine two adaptive practices and policies that are becoming common across the region but that still have major knowledge and policy gaps: ecosystem-based adaptation to climate change (EbA) and ecosystem-based disaster risk reduction (Eco-DRR).</w:t>
      </w:r>
    </w:p>
    <w:p w14:paraId="60B2FE60" w14:textId="77777777" w:rsidR="00EC392B" w:rsidRPr="008608AA" w:rsidRDefault="00EC392B" w:rsidP="00BD08BA"/>
    <w:p w14:paraId="046C9782" w14:textId="5E619542" w:rsidR="009E18F7" w:rsidRPr="008608AA" w:rsidRDefault="009E18F7" w:rsidP="00BD08BA">
      <w:r w:rsidRPr="008608AA">
        <w:t xml:space="preserve">Starting from the premise that places more vulnerable to climate change and natural disasters are those that lost their life supporting systems and that the people more vulnerable to such hazards are the poor people (Fisher et al., 2014; IPCC, 2014; Magrin et al., 2014), policies and practices that reduce poverty while protecting or restoring nature are adaptive. In the case of EbA, such actions should also mitigate carbon emission (Locatelli et al., 2011; Scarano, 2017). Although EbA and Eco-DRR have much in common, they bear some relevant differences that hamper communication and exchange between these two fields: they operate under different policy fora (climate change adaptation vs. disaster risk reduction), they address different types of hazard (climate vs. multiple), and they function under different time-spans (long-term vs. response, recovery </w:t>
      </w:r>
      <w:r w:rsidR="000D0E1A" w:rsidRPr="008608AA">
        <w:t>and reconstruction) (Doswald &amp;</w:t>
      </w:r>
      <w:r w:rsidRPr="008608AA">
        <w:t xml:space="preserve"> Estrella, 2015).</w:t>
      </w:r>
    </w:p>
    <w:p w14:paraId="0555D45F" w14:textId="77777777" w:rsidR="005E013D" w:rsidRPr="008608AA" w:rsidRDefault="005E013D" w:rsidP="00BD08BA"/>
    <w:p w14:paraId="3F5A688A" w14:textId="77777777" w:rsidR="005E013D" w:rsidRPr="008608AA" w:rsidRDefault="005E013D" w:rsidP="00BD08BA">
      <w:r w:rsidRPr="008608AA">
        <w:t xml:space="preserve">Ecosystem-based adaptation to climate change </w:t>
      </w:r>
      <w:r w:rsidR="009E18F7" w:rsidRPr="008608AA">
        <w:t xml:space="preserve">and Eco-DRR policies currently vary from global agreements to national adaptation plans to municipal strategies to local governance arrangements at smaller territories. However, global agreements do not necessarily percolate to national and sub-national policies, whereas local ecosystem-based approaches and solutions do not always scale up beyond the community that developed them (Scarano, 2017). In the international arena, barriers for mainstreaming it into climate policy are related to governance, effectiveness, time scale of processes, financing and scientific uncertainty (Ojea, 2015). </w:t>
      </w:r>
    </w:p>
    <w:p w14:paraId="73CC5FCF" w14:textId="77777777" w:rsidR="005E013D" w:rsidRPr="008608AA" w:rsidRDefault="005E013D" w:rsidP="00BD08BA"/>
    <w:p w14:paraId="0C171DCE" w14:textId="244269D0" w:rsidR="0069569C" w:rsidRPr="008608AA" w:rsidRDefault="009E18F7" w:rsidP="00BD08BA">
      <w:r w:rsidRPr="008608AA">
        <w:t>At national level, a review by Pramova et al. (2012) showed that only 22% of the National Adaptat</w:t>
      </w:r>
      <w:r w:rsidR="0069569C" w:rsidRPr="008608AA">
        <w:t>ion Programmes of Actions</w:t>
      </w:r>
      <w:r w:rsidRPr="008608AA">
        <w:t xml:space="preserve"> 44 least developed countries incorporated ecosystem components. From the Americas, only Haiti was part of this study and its </w:t>
      </w:r>
      <w:r w:rsidR="0069569C" w:rsidRPr="008608AA">
        <w:t xml:space="preserve">National Adaptation Programme of Action, </w:t>
      </w:r>
      <w:r w:rsidRPr="008608AA">
        <w:t xml:space="preserve">suggests reforestation together with technical solutions (dry walls, gabions and stone lines) in several projects targeting watershed restoration for reducing the negative impacts of extreme climate events. </w:t>
      </w:r>
    </w:p>
    <w:p w14:paraId="2E1B3990" w14:textId="77777777" w:rsidR="0069569C" w:rsidRPr="008608AA" w:rsidRDefault="0069569C" w:rsidP="00BD08BA"/>
    <w:p w14:paraId="6D250B53" w14:textId="77777777" w:rsidR="0069569C" w:rsidRPr="008608AA" w:rsidRDefault="009E18F7" w:rsidP="00BD08BA">
      <w:r w:rsidRPr="008608AA">
        <w:t>At sub-national level,  the use of ecosystems in helping people adapt to climate change is limited by the lack of information on where ecosystems have the highest potential to do so, which can be at least partially overcome by spatial prioritization efforts (Bourne et al., 2016; Kasecker et al., 2017). However, whenever such policies already exist, approaches vary. Moreover, ecosystem-based approaches to climate change are not often systematized or labelled as such across the planet (Munroe et al., 2011). Similarly to policy actions, scientific literature on EbA is divided between global and local focus, and at local level it is divided according to the setting. Munroe et al. (2011) reviewed 132 papers on EbA and found that nearly half (45%) were from developing countries. They also found a predominance of papers focused on urban or rural, wetlands, forests and coastal ecosystems. However, a recent review on urban EbA covered 110 papers in 112 cities and there was a strong bias towards Europe and North America (Brink et al., 2016). Coastal vegetation, including mangroves, both in continental and in small island countries, have been highlighted as important for EbA (Mercer et al., 201</w:t>
      </w:r>
      <w:r w:rsidR="000D0E1A" w:rsidRPr="008608AA">
        <w:t>2; Duarte et al., 2013; Martin &amp;</w:t>
      </w:r>
      <w:r w:rsidRPr="008608AA">
        <w:t xml:space="preserve"> Watson, 2016), but still lack a thorough and integrated review effort. In rural areas, for smallholder farmers - especially based on studies located in Mesoamerica (Vignola et al., 2015) - EbA practices may improve the ability of crops and livestock to maintain crop yields and/or buffer biophysical impacts of extreme weather events or increased temperatures under climate change. In another review, Renaud et al. (2016) indicate that three major applications of Eco-DRR are conservation and management of a) coastal ecosystems for coastline protection (</w:t>
      </w:r>
      <w:r w:rsidR="00847F60" w:rsidRPr="008608AA">
        <w:t>e.g.</w:t>
      </w:r>
      <w:r w:rsidRPr="008608AA">
        <w:t xml:space="preserve"> Chile - Nehren et al., 2016; </w:t>
      </w:r>
      <w:r w:rsidR="0069569C" w:rsidRPr="008608AA">
        <w:t>USA</w:t>
      </w:r>
      <w:r w:rsidRPr="008608AA">
        <w:t xml:space="preserve"> – David et al., 2016); b) riverine ecosystems for floods protection (</w:t>
      </w:r>
      <w:r w:rsidR="00847F60" w:rsidRPr="008608AA">
        <w:t>e.g.</w:t>
      </w:r>
      <w:r w:rsidRPr="008608AA">
        <w:t xml:space="preserve"> Argentina – Zimmermann et al., 2016); and c) protection of forests for landslide risk reduction (</w:t>
      </w:r>
      <w:r w:rsidR="00847F60" w:rsidRPr="008608AA">
        <w:t>e.g.</w:t>
      </w:r>
      <w:r w:rsidRPr="008608AA">
        <w:t xml:space="preserve"> Brazil – Lange et al., 2016).</w:t>
      </w:r>
    </w:p>
    <w:p w14:paraId="54FD0DBF" w14:textId="413066F7" w:rsidR="009E18F7" w:rsidRPr="008608AA" w:rsidRDefault="009E18F7" w:rsidP="00BD08BA">
      <w:r w:rsidRPr="008608AA">
        <w:t xml:space="preserve"> </w:t>
      </w:r>
    </w:p>
    <w:p w14:paraId="0B054915" w14:textId="14581620" w:rsidR="009E18F7" w:rsidRPr="008608AA" w:rsidRDefault="009E18F7" w:rsidP="00BD08BA">
      <w:r w:rsidRPr="008608AA">
        <w:t>Estrella et al. (2016), reviewing experiences around the world, suggest that having an enabling policy, legal and institutional environment is needed to encourage implementation of Eco-DRR and EbA initiatives. They recognize, however, that due to the multi-disciplinary and multi-sectoral nature of ecosystem-based approaches, it becomes challenging to working with existing sectoral policies, and sectoral legal and institutional frameworks that often do not favour integrated approaches. Triyanti and Chu (2017) propose that future studies on governance systems for Eco-DRR and EbA should build operationalization strategies based on existing governance theories and methodologies, while also aiming for integrated assessments that evaluate socio-political, institutional, and power dynamics across different scales and political arenas</w:t>
      </w:r>
      <w:r w:rsidR="0069569C" w:rsidRPr="008608AA">
        <w:t>.</w:t>
      </w:r>
    </w:p>
    <w:p w14:paraId="3983E795" w14:textId="77777777" w:rsidR="0069569C" w:rsidRPr="008608AA" w:rsidRDefault="0069569C" w:rsidP="000558F1"/>
    <w:p w14:paraId="64D1654C" w14:textId="1BB1F2AD" w:rsidR="009E18F7" w:rsidRDefault="009E18F7" w:rsidP="00BD08BA">
      <w:pPr>
        <w:pStyle w:val="Heading3"/>
        <w:rPr>
          <w:lang w:val="en-US"/>
        </w:rPr>
      </w:pPr>
      <w:bookmarkStart w:id="2565" w:name="_Toc356492318"/>
      <w:bookmarkStart w:id="2566" w:name="_Toc502957776"/>
      <w:bookmarkStart w:id="2567" w:name="_Toc502957975"/>
      <w:bookmarkStart w:id="2568" w:name="_Toc502958129"/>
      <w:bookmarkStart w:id="2569" w:name="_Toc503293198"/>
      <w:bookmarkStart w:id="2570" w:name="_Toc503293796"/>
      <w:bookmarkStart w:id="2571" w:name="_Toc503294058"/>
      <w:bookmarkStart w:id="2572" w:name="_Toc503863451"/>
      <w:bookmarkStart w:id="2573" w:name="_Toc503863679"/>
      <w:bookmarkStart w:id="2574" w:name="_Toc517393458"/>
      <w:bookmarkStart w:id="2575" w:name="_Toc517719199"/>
      <w:bookmarkStart w:id="2576" w:name="_Toc517797156"/>
      <w:r w:rsidRPr="008608AA">
        <w:rPr>
          <w:lang w:val="en-US"/>
        </w:rPr>
        <w:t xml:space="preserve">Case 4: </w:t>
      </w:r>
      <w:r w:rsidRPr="008608AA">
        <w:t>Science</w:t>
      </w:r>
      <w:r w:rsidRPr="008608AA">
        <w:rPr>
          <w:lang w:val="en-US"/>
        </w:rPr>
        <w:t>-policy interface</w:t>
      </w:r>
      <w:bookmarkEnd w:id="2565"/>
      <w:bookmarkEnd w:id="2566"/>
      <w:bookmarkEnd w:id="2567"/>
      <w:bookmarkEnd w:id="2568"/>
      <w:bookmarkEnd w:id="2569"/>
      <w:bookmarkEnd w:id="2570"/>
      <w:bookmarkEnd w:id="2571"/>
      <w:bookmarkEnd w:id="2572"/>
      <w:bookmarkEnd w:id="2573"/>
      <w:bookmarkEnd w:id="2574"/>
      <w:bookmarkEnd w:id="2575"/>
      <w:bookmarkEnd w:id="2576"/>
    </w:p>
    <w:p w14:paraId="14B7A527" w14:textId="77777777" w:rsidR="00FE4CC2" w:rsidRPr="00FE4CC2" w:rsidRDefault="00FE4CC2" w:rsidP="00FE4CC2">
      <w:pPr>
        <w:rPr>
          <w:lang w:eastAsia="es-CO"/>
        </w:rPr>
      </w:pPr>
    </w:p>
    <w:p w14:paraId="04ADAD4E" w14:textId="77777777" w:rsidR="00F801B1" w:rsidRPr="008608AA" w:rsidRDefault="009E18F7" w:rsidP="00BD08BA">
      <w:pPr>
        <w:rPr>
          <w:szCs w:val="20"/>
        </w:rPr>
      </w:pPr>
      <w:r w:rsidRPr="008608AA">
        <w:rPr>
          <w:szCs w:val="20"/>
        </w:rPr>
        <w:t>There are different perspectives on how efficiently scientific findings are translated into policy action. Some authors (</w:t>
      </w:r>
      <w:r w:rsidR="00847F60" w:rsidRPr="008608AA">
        <w:rPr>
          <w:szCs w:val="20"/>
        </w:rPr>
        <w:t>e.g.</w:t>
      </w:r>
      <w:r w:rsidRPr="008608AA">
        <w:rPr>
          <w:szCs w:val="20"/>
        </w:rPr>
        <w:t xml:space="preserve"> Cáceres et al., 2016) envisage two models: the “information deficit model” (or deficit model or science deficit model) and the “power dynamics model”. The first proposes that poor translation of scientific findings into policy implementation results from the lack of understanding of science or access to good data by decision-makers (</w:t>
      </w:r>
      <w:r w:rsidR="00847F60" w:rsidRPr="008608AA">
        <w:rPr>
          <w:szCs w:val="20"/>
        </w:rPr>
        <w:t>e.g.</w:t>
      </w:r>
      <w:r w:rsidRPr="008608AA">
        <w:rPr>
          <w:szCs w:val="20"/>
        </w:rPr>
        <w:t xml:space="preserve"> Posner et al., 2016). In the second, science is just one additional element among many that are taken into account in the process towards an inherently political decision (</w:t>
      </w:r>
      <w:r w:rsidR="00847F60" w:rsidRPr="008608AA">
        <w:rPr>
          <w:szCs w:val="20"/>
        </w:rPr>
        <w:t>e.g.</w:t>
      </w:r>
      <w:r w:rsidRPr="008608AA">
        <w:rPr>
          <w:szCs w:val="20"/>
        </w:rPr>
        <w:t xml:space="preserve"> Azevedo-Santos et al., 2017). Other authors propose that for science to have impact on policy it must have three properties: credibility, legitimacy and relevance (Sarkki et al., 2014). Sarkki et al. (2015) added iterativity to these three properties, and listed 14 features of the science-policy interface. Irrespective of the model used, fact is that policy makers</w:t>
      </w:r>
      <w:r w:rsidRPr="008608AA">
        <w:t xml:space="preserve"> use insufficiently the research-based knowledge available and researchers typically produce insufficiently knowledge that is directly usable</w:t>
      </w:r>
      <w:r w:rsidRPr="008608AA">
        <w:rPr>
          <w:szCs w:val="20"/>
        </w:rPr>
        <w:t xml:space="preserve"> (</w:t>
      </w:r>
      <w:r w:rsidR="000D0E1A" w:rsidRPr="008608AA">
        <w:t>Weichselgartner &amp;</w:t>
      </w:r>
      <w:r w:rsidRPr="008608AA">
        <w:t xml:space="preserve"> Kasperson, 2010).</w:t>
      </w:r>
      <w:r w:rsidRPr="008608AA">
        <w:rPr>
          <w:szCs w:val="20"/>
        </w:rPr>
        <w:t xml:space="preserve"> Here we examine three different cases at the science-policy interface and discuss how they relate to these different models.</w:t>
      </w:r>
    </w:p>
    <w:p w14:paraId="5027F711" w14:textId="15DE413C" w:rsidR="009E18F7" w:rsidRPr="008608AA" w:rsidRDefault="009E18F7" w:rsidP="00BD08BA">
      <w:pPr>
        <w:rPr>
          <w:b/>
          <w:szCs w:val="20"/>
        </w:rPr>
      </w:pPr>
      <w:r w:rsidRPr="008608AA">
        <w:rPr>
          <w:szCs w:val="20"/>
        </w:rPr>
        <w:t xml:space="preserve">  </w:t>
      </w:r>
    </w:p>
    <w:p w14:paraId="283E1494" w14:textId="77777777" w:rsidR="009E18F7" w:rsidRPr="008608AA" w:rsidRDefault="009E18F7" w:rsidP="00BD08BA">
      <w:pPr>
        <w:rPr>
          <w:szCs w:val="20"/>
        </w:rPr>
      </w:pPr>
      <w:r w:rsidRPr="008608AA">
        <w:rPr>
          <w:szCs w:val="20"/>
        </w:rPr>
        <w:t>For the Caribbean, Jacobs et al. (2016) examined empirical evidence of 130 conservation organizations in 21 countries to conclude that bridging the science-policy equals to bridging the knowing-doing gap. They argue that barriers to overcome this gap include lack of information and data sharing, political constraints, competition, limited resources and technical capacity, and ineffective communications. They claim that boundary organizations, i.e., groups that facilitate the transfer of knowledge between science and action can use the social sciences and humanities and practitioner expertise to successfully become knowledge brokers. Some Caribbean conservation organizations report that their greatest needs are not for more information but for capacity building in science and technology. They recommend that the focus should be on connecting the information to the appropriate users, providing support services to existing governance structures instead of developing new management frameworks and communicating the information in a way that users can understand and apply. Conservation partnerships are rendered ineffective when research results are not communicated to managers and translated to actions. Thus, in cases of failure in the science-policy communication, the Caribbean case seems to fit the Information Deficit Model, explained above, or the conservation science conveyed to policy makers may lack credibility, legitimacy or relevance.</w:t>
      </w:r>
    </w:p>
    <w:p w14:paraId="2A4111FB" w14:textId="77777777" w:rsidR="00F801B1" w:rsidRPr="008608AA" w:rsidRDefault="00F801B1" w:rsidP="00BD08BA">
      <w:pPr>
        <w:rPr>
          <w:szCs w:val="20"/>
        </w:rPr>
      </w:pPr>
    </w:p>
    <w:p w14:paraId="70A83D97" w14:textId="488EF5FF" w:rsidR="009E18F7" w:rsidRPr="008608AA" w:rsidRDefault="009E18F7" w:rsidP="00BD08BA">
      <w:r w:rsidRPr="008608AA">
        <w:t xml:space="preserve">The </w:t>
      </w:r>
      <w:r w:rsidR="00F801B1" w:rsidRPr="008608AA">
        <w:t>case of the Brazilian Official list of threatened plant s</w:t>
      </w:r>
      <w:r w:rsidRPr="008608AA">
        <w:t>pecies starts in 2009, when the publication of the list did not satisfy scientists or environmentalist, since the total number of threatened species was much smaller than that indicated by academics, based on IUCN criteria. Scarano and Martinelli (2010) interpreted that there was a large disagreement between scientists and policy-makers on the degree of scientific certainty required to define a species as threatened. The imbroglio surrounding the publication of the list was contemporary to a period of economic growth and high infrastructural investment in Brazil. Since Brazilian legislation strictly limits or forbids human activities in areas where threatened species occur, the national political stand was then somewhat conservative as regards threatened species conservation and environmental issues as a whole. Thus, decision-makers claim for higher certainty was hardly surprising. The turning point was the fact that, during negotiations for publication of the list, a National Center for Conservation of the Flora was created inside the Botanical Gardens of Rio de Janeiro. Five years later, the Center – with a better structured information database and scientific network established – updated the list from 417 (in the 2009 official list) to 2,118 (in the 2013 Brazilian Red List), and the official list, published in 2014, considered as threatened all 2,118 plant species proposed by the Center (Scarano, 2014). So, in this case, a Power Dynamics Model operated in the 2009 list, and was superseded by better information and communication in 2014, which fits better the Information Deficit Model. It can also be seen as a case where the first list lacked credibility from the policy-makers’ perspective, given the different perceptions of uncertainty and risk that the listing method generated to different stakeholder groups. The second list resolved the different risk tolerances of scientists and policy-makers and agreement was reached.</w:t>
      </w:r>
    </w:p>
    <w:p w14:paraId="11A75083" w14:textId="77777777" w:rsidR="00F801B1" w:rsidRPr="008608AA" w:rsidRDefault="00F801B1" w:rsidP="00BD08BA"/>
    <w:p w14:paraId="26DFA25D" w14:textId="77777777" w:rsidR="00F801B1" w:rsidRPr="008608AA" w:rsidRDefault="009E18F7" w:rsidP="00BD08BA">
      <w:pPr>
        <w:rPr>
          <w:szCs w:val="20"/>
        </w:rPr>
      </w:pPr>
      <w:r w:rsidRPr="008608AA">
        <w:rPr>
          <w:szCs w:val="20"/>
        </w:rPr>
        <w:t>Finally, the case described in the same paper by Cáceres et al. (2016) fits the Power Dynamics model. The case relates to the process leading to the Córdoba Provincial Law for the Protection of Native Forests, in Argentina. Viewpoints between actors of the agribusiness sector and of some political parties contrasted with that of environmental groups and campesinos organizations. The authors argue that the result was the expression of a power dynamics that disregarded scientific evidence. The authors also pointed to similar cases observed in other provinces, where power asymmetries between actors with contrasting interests hindered participatory process. Thus, in this case, and according to these authors, insufficient knowledge was not the reason why social-ecological science failed to be incorporated into environmental policy. Rather, it represents the outcome of a wider interplay of socio-political factors.</w:t>
      </w:r>
    </w:p>
    <w:p w14:paraId="014FC32B" w14:textId="6C647F6E" w:rsidR="009E18F7" w:rsidRPr="008608AA" w:rsidRDefault="009E18F7" w:rsidP="00BD08BA">
      <w:pPr>
        <w:rPr>
          <w:szCs w:val="20"/>
        </w:rPr>
      </w:pPr>
      <w:r w:rsidRPr="008608AA">
        <w:rPr>
          <w:szCs w:val="20"/>
        </w:rPr>
        <w:t xml:space="preserve"> </w:t>
      </w:r>
    </w:p>
    <w:p w14:paraId="7E214D5A" w14:textId="77777777" w:rsidR="00F801B1" w:rsidRPr="008608AA" w:rsidRDefault="009E18F7" w:rsidP="00BD08BA">
      <w:pPr>
        <w:rPr>
          <w:szCs w:val="20"/>
        </w:rPr>
      </w:pPr>
      <w:r w:rsidRPr="008608AA">
        <w:rPr>
          <w:szCs w:val="20"/>
        </w:rPr>
        <w:t>Based on these cases, it would therefore be possible to anticipate the likelihood of a piece of scientific knowledge to influence environmental policy design and implementation, if - unlike the case described for Caribbean and partly the case in Brazil - it is granted that scientific evidence is solid and relevant to the issue at hand (credibility, legitimacy and relevance), and available in a friendly format to the stakeholders involved. Four pre-requisites, according to Cáceres et al. (2016) are: the engagement of the sectors of society that are likely to benefit or lose, the ability to communicate compelling narratives, the integration with wider social-actor networks, and the emergence of sociopolitical windows of opportunity.</w:t>
      </w:r>
    </w:p>
    <w:p w14:paraId="6BFEFF17" w14:textId="5EA182EF" w:rsidR="009E18F7" w:rsidRPr="008608AA" w:rsidRDefault="009E18F7" w:rsidP="00BD08BA">
      <w:pPr>
        <w:rPr>
          <w:szCs w:val="20"/>
        </w:rPr>
      </w:pPr>
      <w:r w:rsidRPr="008608AA">
        <w:rPr>
          <w:szCs w:val="20"/>
        </w:rPr>
        <w:t xml:space="preserve"> </w:t>
      </w:r>
    </w:p>
    <w:p w14:paraId="6F4E912F" w14:textId="77777777" w:rsidR="00F801B1" w:rsidRPr="008608AA" w:rsidRDefault="009E18F7" w:rsidP="00BD08BA">
      <w:r w:rsidRPr="008608AA">
        <w:rPr>
          <w:szCs w:val="20"/>
        </w:rPr>
        <w:t xml:space="preserve">Finally, based on the case of the Arctic, Fleming and Pyenson (2017) argue that </w:t>
      </w:r>
      <w:r w:rsidRPr="008608AA">
        <w:t>the publication of policy-relevant findings in scientific journals is not enough to inform policy. Thus, they suggest that Arctic scientists must directly engage in policy review and revision.</w:t>
      </w:r>
    </w:p>
    <w:p w14:paraId="308D1795" w14:textId="3424BDD3" w:rsidR="009E18F7" w:rsidRPr="008608AA" w:rsidRDefault="009E18F7" w:rsidP="000558F1">
      <w:pPr>
        <w:rPr>
          <w:szCs w:val="20"/>
        </w:rPr>
      </w:pPr>
      <w:r w:rsidRPr="008608AA">
        <w:t xml:space="preserve"> </w:t>
      </w:r>
    </w:p>
    <w:p w14:paraId="2FCE88AB" w14:textId="1A2C33BD" w:rsidR="009E18F7" w:rsidRPr="008608AA" w:rsidRDefault="00E2639F" w:rsidP="00BD08BA">
      <w:pPr>
        <w:pStyle w:val="Heading2"/>
      </w:pPr>
      <w:bookmarkStart w:id="2577" w:name="_Toc502957777"/>
      <w:bookmarkStart w:id="2578" w:name="_Toc502957976"/>
      <w:bookmarkStart w:id="2579" w:name="_Toc502958130"/>
      <w:bookmarkStart w:id="2580" w:name="_Toc503293199"/>
      <w:bookmarkStart w:id="2581" w:name="_Toc503293797"/>
      <w:bookmarkStart w:id="2582" w:name="_Toc503294059"/>
      <w:bookmarkStart w:id="2583" w:name="_Toc503863452"/>
      <w:bookmarkStart w:id="2584" w:name="_Toc503863680"/>
      <w:bookmarkStart w:id="2585" w:name="_Toc517393459"/>
      <w:bookmarkStart w:id="2586" w:name="_Toc517719200"/>
      <w:bookmarkStart w:id="2587" w:name="_Toc517797157"/>
      <w:r w:rsidRPr="008608AA">
        <w:t>Urgent i</w:t>
      </w:r>
      <w:r w:rsidR="009E18F7" w:rsidRPr="008608AA">
        <w:t xml:space="preserve">ssues </w:t>
      </w:r>
      <w:r w:rsidRPr="008608AA">
        <w:t>and emerging s</w:t>
      </w:r>
      <w:r w:rsidR="009E18F7" w:rsidRPr="008608AA">
        <w:t>olutions</w:t>
      </w:r>
      <w:bookmarkEnd w:id="2577"/>
      <w:bookmarkEnd w:id="2578"/>
      <w:bookmarkEnd w:id="2579"/>
      <w:bookmarkEnd w:id="2580"/>
      <w:bookmarkEnd w:id="2581"/>
      <w:bookmarkEnd w:id="2582"/>
      <w:bookmarkEnd w:id="2583"/>
      <w:bookmarkEnd w:id="2584"/>
      <w:bookmarkEnd w:id="2585"/>
      <w:bookmarkEnd w:id="2586"/>
      <w:bookmarkEnd w:id="2587"/>
    </w:p>
    <w:p w14:paraId="215DE449" w14:textId="4C2F3B87" w:rsidR="009E18F7" w:rsidRDefault="009E18F7" w:rsidP="000558F1">
      <w:pPr>
        <w:pStyle w:val="Heading3"/>
        <w:spacing w:before="0"/>
      </w:pPr>
      <w:bookmarkStart w:id="2588" w:name="_Toc502957778"/>
      <w:bookmarkStart w:id="2589" w:name="_Toc502957977"/>
      <w:bookmarkStart w:id="2590" w:name="_Toc502958131"/>
      <w:bookmarkStart w:id="2591" w:name="_Toc503293200"/>
      <w:bookmarkStart w:id="2592" w:name="_Toc503293798"/>
      <w:bookmarkStart w:id="2593" w:name="_Toc503294060"/>
      <w:bookmarkStart w:id="2594" w:name="_Toc503863453"/>
      <w:bookmarkStart w:id="2595" w:name="_Toc503863681"/>
      <w:bookmarkStart w:id="2596" w:name="_Toc517393460"/>
      <w:bookmarkStart w:id="2597" w:name="_Toc517719201"/>
      <w:bookmarkStart w:id="2598" w:name="_Toc517797158"/>
      <w:r w:rsidRPr="008608AA">
        <w:t>Future scenarios</w:t>
      </w:r>
      <w:bookmarkEnd w:id="2588"/>
      <w:bookmarkEnd w:id="2589"/>
      <w:bookmarkEnd w:id="2590"/>
      <w:bookmarkEnd w:id="2591"/>
      <w:bookmarkEnd w:id="2592"/>
      <w:bookmarkEnd w:id="2593"/>
      <w:bookmarkEnd w:id="2594"/>
      <w:bookmarkEnd w:id="2595"/>
      <w:bookmarkEnd w:id="2596"/>
      <w:bookmarkEnd w:id="2597"/>
      <w:bookmarkEnd w:id="2598"/>
    </w:p>
    <w:p w14:paraId="4B0B75CC" w14:textId="77777777" w:rsidR="00FE4CC2" w:rsidRPr="00FE4CC2" w:rsidRDefault="00FE4CC2" w:rsidP="00FE4CC2">
      <w:pPr>
        <w:rPr>
          <w:lang w:val="en-GB" w:eastAsia="es-CO"/>
        </w:rPr>
      </w:pPr>
    </w:p>
    <w:p w14:paraId="2A0B8808" w14:textId="56176D91" w:rsidR="009E18F7" w:rsidRPr="008608AA" w:rsidRDefault="009E18F7" w:rsidP="00BD08BA">
      <w:r w:rsidRPr="008608AA">
        <w:t>Recent modelling exercises project future scenarios for the Americas that provide an indication of some policy needs for the region, be it in terms of design</w:t>
      </w:r>
      <w:r w:rsidR="00F801B1" w:rsidRPr="008608AA">
        <w:t xml:space="preserve">, implementation or evaluation. </w:t>
      </w:r>
      <w:r w:rsidRPr="008608AA">
        <w:t>Collectively, such modelling exercises indicate that policy needs are often related to the necessity to reduce greenhouse gas emissions and vulnerability to climate change, to conserve or restore biodiversity and ecosystem services, and to the synergies between these two demands, including the effects on socioeconomic trends. For instance, Chapter 5 shows the results of the GLOBIO model for the Americas, which aims to facilitate the development of policies and strategies to achieve conservation targets and sustainable use of natural resources. GLOBIO employs mean abu</w:t>
      </w:r>
      <w:r w:rsidR="00F801B1" w:rsidRPr="008608AA">
        <w:t>ndance of original species</w:t>
      </w:r>
      <w:r w:rsidRPr="008608AA">
        <w:t xml:space="preserve"> relative to their abundance in undisturbed ecosystems (%) and natural areas (km</w:t>
      </w:r>
      <w:r w:rsidRPr="008608AA">
        <w:rPr>
          <w:vertAlign w:val="superscript"/>
        </w:rPr>
        <w:t>2</w:t>
      </w:r>
      <w:r w:rsidRPr="008608AA">
        <w:t xml:space="preserve">) as indicators of biodiversity (Alkemade et al., 2009). </w:t>
      </w:r>
      <w:r w:rsidR="00F801B1" w:rsidRPr="008608AA">
        <w:t xml:space="preserve">Mean abundance of original species </w:t>
      </w:r>
      <w:r w:rsidRPr="008608AA">
        <w:t>can be interpreted as an indicator for intactness of ecosystems. It shows results for four scenarios (Business as usual or baseline; Gl</w:t>
      </w:r>
      <w:r w:rsidR="00F801B1" w:rsidRPr="008608AA">
        <w:t>obal technology; Decentralized solutions; and Consumption c</w:t>
      </w:r>
      <w:r w:rsidRPr="008608AA">
        <w:t xml:space="preserve">hange). For the Americas, the Business as usual scenario will produce the highest decrease in </w:t>
      </w:r>
      <w:r w:rsidR="00F801B1" w:rsidRPr="008608AA">
        <w:t xml:space="preserve">mean abundance of original species </w:t>
      </w:r>
      <w:r w:rsidRPr="008608AA">
        <w:t>and</w:t>
      </w:r>
      <w:r w:rsidRPr="008608AA">
        <w:rPr>
          <w:lang w:eastAsia="ja-JP"/>
        </w:rPr>
        <w:t xml:space="preserve"> there are no substantial differences between the remaining scenarios. However, a small increment in </w:t>
      </w:r>
      <w:r w:rsidR="00F801B1" w:rsidRPr="008608AA">
        <w:t xml:space="preserve">mean abundance of original species </w:t>
      </w:r>
      <w:r w:rsidRPr="008608AA">
        <w:rPr>
          <w:lang w:eastAsia="ja-JP"/>
        </w:rPr>
        <w:t xml:space="preserve">could be expected for </w:t>
      </w:r>
      <w:r w:rsidRPr="008608AA">
        <w:t xml:space="preserve">the Decentralized Solutions scenario in 2050 in South America, Central America and the Caribbean. This scenario </w:t>
      </w:r>
      <w:r w:rsidRPr="008608AA">
        <w:rPr>
          <w:lang w:eastAsia="ja-JP"/>
        </w:rPr>
        <w:t>relies on local and regional efforts to ensure a sustainable quality of life from a “bottom-up” managed system where small-scale and decentralised technologies are prioritised.</w:t>
      </w:r>
      <w:r w:rsidRPr="008608AA">
        <w:t xml:space="preserve"> On the other hand, a</w:t>
      </w:r>
      <w:r w:rsidRPr="008608AA">
        <w:rPr>
          <w:lang w:eastAsia="ja-JP"/>
        </w:rPr>
        <w:t>n increase in natural areas is probable under Consumption Change pathways for Mexico and South America. Results from GLOBIO show that c</w:t>
      </w:r>
      <w:r w:rsidRPr="008608AA">
        <w:t xml:space="preserve">rop and livestock are the most important drivers in </w:t>
      </w:r>
      <w:r w:rsidR="00F801B1" w:rsidRPr="008608AA">
        <w:t xml:space="preserve">mean abundance of original species </w:t>
      </w:r>
      <w:r w:rsidRPr="008608AA">
        <w:t xml:space="preserve">and natural areas reduction. It is important to emphasize that GLOBIO does not consider telecoupling processes (see also 6.4.2.3 and Glossary). It is expected that new policy solutions will emerge when telecoupling processes are better understood and incorporated in modelling exercises (Chapter 5). </w:t>
      </w:r>
    </w:p>
    <w:p w14:paraId="6054E639" w14:textId="77777777" w:rsidR="00F801B1" w:rsidRPr="008608AA" w:rsidRDefault="00F801B1" w:rsidP="00BD08BA"/>
    <w:p w14:paraId="092D8B9E" w14:textId="77777777" w:rsidR="00F801B1" w:rsidRPr="008608AA" w:rsidRDefault="009E18F7" w:rsidP="00BD08BA">
      <w:r w:rsidRPr="008608AA">
        <w:t xml:space="preserve">Based on the sensitivity of different ecosystems to climatic variations in the past 14 years, Seddon et al. (2016) argue that the </w:t>
      </w:r>
      <w:r w:rsidRPr="008608AA">
        <w:rPr>
          <w:bCs/>
        </w:rPr>
        <w:t>Arctic tundra (Canada), parts of the boreal forest belt (US</w:t>
      </w:r>
      <w:r w:rsidR="00F801B1" w:rsidRPr="008608AA">
        <w:rPr>
          <w:bCs/>
        </w:rPr>
        <w:t>A</w:t>
      </w:r>
      <w:r w:rsidRPr="008608AA">
        <w:rPr>
          <w:bCs/>
        </w:rPr>
        <w:t xml:space="preserve"> and Canada), the tropical rainforest (especially the Amazon), high montane regions (in the US</w:t>
      </w:r>
      <w:r w:rsidR="00F801B1" w:rsidRPr="008608AA">
        <w:rPr>
          <w:bCs/>
        </w:rPr>
        <w:t>A</w:t>
      </w:r>
      <w:r w:rsidRPr="008608AA">
        <w:rPr>
          <w:bCs/>
        </w:rPr>
        <w:t>, Central America and the Andes), prairies and steppe of North and South America, and the Caatinga deciduous forest in Brazil are probably the most sensitive to climate change in the Americas. Vulnerability is also true for the Caribbean islands, in issues such as sea level rise, natural disasters, water security and biodiversity conservation (Nurse et al., 2014).</w:t>
      </w:r>
      <w:r w:rsidRPr="008608AA">
        <w:t xml:space="preserve"> </w:t>
      </w:r>
    </w:p>
    <w:p w14:paraId="1FC1FFAE" w14:textId="77777777" w:rsidR="00F801B1" w:rsidRPr="008608AA" w:rsidRDefault="00F801B1" w:rsidP="00BD08BA"/>
    <w:p w14:paraId="4D342A5E" w14:textId="77777777" w:rsidR="00F801B1" w:rsidRPr="008608AA" w:rsidRDefault="009E18F7" w:rsidP="00BD08BA">
      <w:r w:rsidRPr="008608AA">
        <w:t>All these results to a large extent match the study of Segan et al. (2016) that have modelled the interaction of climate change with land use change and, aiming at reduced climate vulnerability, recommended priorities for conservation and restoration in the Americas and elsewhere. While most of North America (including Mexico</w:t>
      </w:r>
      <w:r w:rsidR="00F801B1" w:rsidRPr="008608AA">
        <w:t>), Amazonia, the Andes and the Southern C</w:t>
      </w:r>
      <w:r w:rsidRPr="008608AA">
        <w:t>one are conservation priorities, the prairies in the US</w:t>
      </w:r>
      <w:r w:rsidR="00F801B1" w:rsidRPr="008608AA">
        <w:t>A</w:t>
      </w:r>
      <w:r w:rsidRPr="008608AA">
        <w:t xml:space="preserve">, Central America and the Caribbean, the Brazilian biodiversity hotspots (Atlantic forest and Cerrado) and the southern grasslands (“pampas”) are restoration priorities. </w:t>
      </w:r>
    </w:p>
    <w:p w14:paraId="1504AABD" w14:textId="77777777" w:rsidR="00F801B1" w:rsidRPr="008608AA" w:rsidRDefault="00F801B1" w:rsidP="00BD08BA"/>
    <w:p w14:paraId="176E67A3" w14:textId="654A26E5" w:rsidR="009E18F7" w:rsidRPr="008608AA" w:rsidRDefault="009E18F7" w:rsidP="00BD08BA">
      <w:r w:rsidRPr="008608AA">
        <w:t>These results are also aligned with the findings of Leadley et al. (2014) that investigated the potential impacts of regime shifts on human-environment systems in the Andes, Amazonia, Cerrado and Caatinga. Their study suggests that moderate to high rates of land-use change at regional scales could act synergistically with high levels of global climate change to cause severe habitat degradation or even habitat loss in terrestrial and freshwater systems. In addition, these regime shifts could have large negative effects on a wide range of ecosystem services. Policies that reduce the possibility of regional-scale regime shifts occurring in central South America will have to deal with local land use change, freshwater management and global climate change, including conservation and restoration. At the regional scale, it would be necessary to reduce the conversion of humid tropical forests and other pristine ecosystems to croplands and pastures and to limit the use of fire. At the global scale, one important challenge is to mitigate climate change without increasing pressure on land use for bioenergy.</w:t>
      </w:r>
    </w:p>
    <w:p w14:paraId="4D815A57" w14:textId="77777777" w:rsidR="00F801B1" w:rsidRPr="008608AA" w:rsidRDefault="00F801B1" w:rsidP="000558F1"/>
    <w:p w14:paraId="018A8BB2" w14:textId="44467D63" w:rsidR="009E18F7" w:rsidRDefault="009E18F7" w:rsidP="000558F1">
      <w:pPr>
        <w:pStyle w:val="Heading3"/>
        <w:spacing w:before="0"/>
      </w:pPr>
      <w:bookmarkStart w:id="2599" w:name="_Toc502957779"/>
      <w:bookmarkStart w:id="2600" w:name="_Toc502957978"/>
      <w:bookmarkStart w:id="2601" w:name="_Toc502958132"/>
      <w:bookmarkStart w:id="2602" w:name="_Toc503293201"/>
      <w:bookmarkStart w:id="2603" w:name="_Toc503293799"/>
      <w:bookmarkStart w:id="2604" w:name="_Toc503294061"/>
      <w:bookmarkStart w:id="2605" w:name="_Toc503863454"/>
      <w:bookmarkStart w:id="2606" w:name="_Toc503863682"/>
      <w:bookmarkStart w:id="2607" w:name="_Toc517393461"/>
      <w:bookmarkStart w:id="2608" w:name="_Toc517719202"/>
      <w:bookmarkStart w:id="2609" w:name="_Toc517797159"/>
      <w:r w:rsidRPr="008608AA">
        <w:t>Urgent issues</w:t>
      </w:r>
      <w:bookmarkEnd w:id="2599"/>
      <w:bookmarkEnd w:id="2600"/>
      <w:bookmarkEnd w:id="2601"/>
      <w:bookmarkEnd w:id="2602"/>
      <w:bookmarkEnd w:id="2603"/>
      <w:bookmarkEnd w:id="2604"/>
      <w:bookmarkEnd w:id="2605"/>
      <w:bookmarkEnd w:id="2606"/>
      <w:bookmarkEnd w:id="2607"/>
      <w:bookmarkEnd w:id="2608"/>
      <w:bookmarkEnd w:id="2609"/>
    </w:p>
    <w:p w14:paraId="5F450B51" w14:textId="77777777" w:rsidR="00FE4CC2" w:rsidRPr="00FE4CC2" w:rsidRDefault="00FE4CC2" w:rsidP="00FE4CC2">
      <w:pPr>
        <w:rPr>
          <w:lang w:val="en-GB" w:eastAsia="es-CO"/>
        </w:rPr>
      </w:pPr>
    </w:p>
    <w:p w14:paraId="40581953" w14:textId="77777777" w:rsidR="00F801B1" w:rsidRPr="008608AA" w:rsidRDefault="009E18F7" w:rsidP="00BD08BA">
      <w:r w:rsidRPr="008608AA">
        <w:t>Climate and land-use change, biodiversity and ecosystem loss, and persistence of poverty and inequality are all urgent issues to be addressed in the region, as this Chapter demonstrates. However, in many cases it can be hard to foresee whether existing policies and governance schemes will drive or halt some of the future scenarios described in 6.7.1 (see also Chapter 5). In addition to the challenge related to the fact demonstrated in this Chapter that policies are often designed sectorally (</w:t>
      </w:r>
      <w:r w:rsidR="00847F60" w:rsidRPr="008608AA">
        <w:t>e.g.</w:t>
      </w:r>
      <w:r w:rsidRPr="008608AA">
        <w:t xml:space="preserve"> 6.2), policy evaluation remains a significant a gap. </w:t>
      </w:r>
    </w:p>
    <w:p w14:paraId="6958462A" w14:textId="77777777" w:rsidR="00F801B1" w:rsidRPr="008608AA" w:rsidRDefault="00F801B1" w:rsidP="00BD08BA"/>
    <w:p w14:paraId="6A6EC752" w14:textId="19BCADA4" w:rsidR="00F801B1" w:rsidRPr="008608AA" w:rsidRDefault="009E18F7" w:rsidP="00BD08BA">
      <w:r w:rsidRPr="008608AA">
        <w:t>In some countries of the region this can be at least partly related to insufficiency of monitoring programs that track ecosystem dynamics, their relations with ecosystem services, and human wellbeing. For that purpose, monitoring programs of biodiversity and ecosystem services need to be extended beyond conservation areas. Coordinated monitoring programs are emerging in the region to obtain data on biodiversity and ecosystem services. There are internationally coordinated monitoring programs, such as GLORIA for high mountain biodiversity in the context of climate change, which includes site-based networks i</w:t>
      </w:r>
      <w:r w:rsidR="000D0E1A" w:rsidRPr="008608AA">
        <w:t>n both North America (Millar &amp;</w:t>
      </w:r>
      <w:r w:rsidRPr="008608AA">
        <w:t xml:space="preserve"> F</w:t>
      </w:r>
      <w:r w:rsidR="0060408A" w:rsidRPr="008608AA">
        <w:t>agre, 2007) and South America (C</w:t>
      </w:r>
      <w:r w:rsidRPr="008608AA">
        <w:t xml:space="preserve">uesta et al., 2017). The installation of the basic GLORIA permanent plot settings for vascular plants also stimulated further monitoring approaches on both continents, such as on different animal groups or on socio-economic aspects in the studied regions (Pauli et al. 2015). </w:t>
      </w:r>
    </w:p>
    <w:p w14:paraId="0A8D5B10" w14:textId="77777777" w:rsidR="00F801B1" w:rsidRPr="008608AA" w:rsidRDefault="00F801B1" w:rsidP="00BD08BA"/>
    <w:p w14:paraId="46872FA1" w14:textId="0845FD21" w:rsidR="00BF7DF0" w:rsidRPr="008608AA" w:rsidRDefault="009E18F7" w:rsidP="00BD08BA">
      <w:r w:rsidRPr="008608AA">
        <w:t xml:space="preserve">Many programs are also arising at the national scale. For example, </w:t>
      </w:r>
      <w:r w:rsidR="005A5FFB" w:rsidRPr="008608AA">
        <w:t>the FAO</w:t>
      </w:r>
      <w:r w:rsidRPr="008608AA">
        <w:t xml:space="preserve"> is conducting a program focused on helping countries in the region with developing national forest monitoring systems and assessments: Belize, Brazil, Costa Rica, Dominican Republic, Ecuador, El Salvador, Guatemala, Honduras, Nicaragua, Panama, Peru, and Uruguay are part of this program (</w:t>
      </w:r>
      <w:hyperlink r:id="rId1084" w:history="1">
        <w:r w:rsidRPr="008608AA">
          <w:rPr>
            <w:rStyle w:val="Hyperlink"/>
          </w:rPr>
          <w:t>http://www.fao.org/forestry/fma/73410/en/</w:t>
        </w:r>
      </w:hyperlink>
      <w:r w:rsidRPr="008608AA">
        <w:t>). On the other hand, since 2004, the fore</w:t>
      </w:r>
      <w:r w:rsidR="00F801B1" w:rsidRPr="008608AA">
        <w:t xml:space="preserve">st and soils inventories </w:t>
      </w:r>
      <w:r w:rsidRPr="008608AA">
        <w:t>were established in Mexico. In this inventory, 152 tree and soil variables are obtained every five years, in more than 26,000 sites that cover 57 types of vegetation (</w:t>
      </w:r>
      <w:hyperlink r:id="rId1085" w:history="1">
        <w:r w:rsidRPr="008608AA">
          <w:rPr>
            <w:rStyle w:val="Hyperlink"/>
          </w:rPr>
          <w:t>http://www.cnf.gob.mx:8090/snif/portal/infys</w:t>
        </w:r>
      </w:hyperlink>
      <w:r w:rsidRPr="008608AA">
        <w:t xml:space="preserve">). In addition, given the need of a more reliable monitoring program, this effort expanded and thus the National Biodiversity and Ecosystem Degradation Monitoring System </w:t>
      </w:r>
      <w:r w:rsidR="00F801B1" w:rsidRPr="008608AA">
        <w:t>(</w:t>
      </w:r>
      <w:r w:rsidR="000D0E1A" w:rsidRPr="008608AA">
        <w:t>García-Alaníz et</w:t>
      </w:r>
      <w:r w:rsidRPr="008608AA">
        <w:t xml:space="preserve"> al</w:t>
      </w:r>
      <w:r w:rsidR="000D0E1A" w:rsidRPr="008608AA">
        <w:t>.</w:t>
      </w:r>
      <w:r w:rsidR="00F801B1" w:rsidRPr="008608AA">
        <w:t>,</w:t>
      </w:r>
      <w:r w:rsidRPr="008608AA">
        <w:t xml:space="preserve"> 2017) was created in 2016. </w:t>
      </w:r>
      <w:r w:rsidR="00F801B1" w:rsidRPr="008608AA">
        <w:t>This monitoring system</w:t>
      </w:r>
      <w:r w:rsidRPr="008608AA">
        <w:t xml:space="preserve"> is a multi-institutional project that collects information on vegetation and wildlife using different sources of information (camera traps, sound recorders, remote sensing and fieldwork) and analyses large amounts of data through machine learning techniques. </w:t>
      </w:r>
    </w:p>
    <w:p w14:paraId="724B0217" w14:textId="77777777" w:rsidR="00BF7DF0" w:rsidRPr="008608AA" w:rsidRDefault="00BF7DF0" w:rsidP="00BD08BA"/>
    <w:p w14:paraId="3B1DD6F9" w14:textId="4B3B186B" w:rsidR="009E18F7" w:rsidRPr="008608AA" w:rsidRDefault="009E18F7" w:rsidP="00BD08BA">
      <w:r w:rsidRPr="008608AA">
        <w:t>New opportunities open up to conduct monitoring programs and use large datasets thanks to: the technological advances in remote sensing; the innovation of in situ data collection (camera traps, acoustic recording, drones among others); the continuous increase in observations made through citizen science; the development of algorithms to process large amounts of data; and more user-friendly platforms to display these data (Stephenson et al</w:t>
      </w:r>
      <w:r w:rsidR="000D0E1A" w:rsidRPr="008608AA">
        <w:t>.</w:t>
      </w:r>
      <w:r w:rsidRPr="008608AA">
        <w:t>, 2017). Because of regional and local socioeconomic differences, the benefits of all these technologies and social initiatives would not be experienced equally in the whole region. This will also depend, for example, on the feasibility to access sites for monitoring, given the natural and safety conditions or social circumstances. A common challenge for the Americas is to find ways to process and translate the generated data into useful and timely information for decision makers. Strategies to merge and interpret all the obtained data will be necessary. In Mexico, field and remote sensing data are integrated in an index that evaluates the integrity of terrestrial ecosystems (Equihua et al., 2014). Maps of this ecosystem integrity index are produced annually and wall-to- wall at a resolution of 1 km</w:t>
      </w:r>
      <w:r w:rsidRPr="008608AA">
        <w:rPr>
          <w:vertAlign w:val="superscript"/>
        </w:rPr>
        <w:t>2</w:t>
      </w:r>
      <w:r w:rsidRPr="008608AA">
        <w:t>. The measurement of ecosystem integrity allows an integrated assessment of ecosystems and their capacity to provide ecosystem services and it is planned to guide public policy, providing a platform for evaluating anthropogenic effects on biodiversity and ecosystem services.</w:t>
      </w:r>
    </w:p>
    <w:p w14:paraId="1525F6FE" w14:textId="77777777" w:rsidR="00BF7DF0" w:rsidRPr="008608AA" w:rsidRDefault="00BF7DF0" w:rsidP="000558F1"/>
    <w:p w14:paraId="02CCE7DA" w14:textId="2C4D3492" w:rsidR="009E18F7" w:rsidRDefault="009E18F7" w:rsidP="000558F1">
      <w:pPr>
        <w:pStyle w:val="Heading3"/>
        <w:spacing w:before="0"/>
      </w:pPr>
      <w:bookmarkStart w:id="2610" w:name="_Toc502957780"/>
      <w:bookmarkStart w:id="2611" w:name="_Toc502957979"/>
      <w:bookmarkStart w:id="2612" w:name="_Toc502958133"/>
      <w:bookmarkStart w:id="2613" w:name="_Toc503293202"/>
      <w:bookmarkStart w:id="2614" w:name="_Toc503293800"/>
      <w:bookmarkStart w:id="2615" w:name="_Toc503294062"/>
      <w:bookmarkStart w:id="2616" w:name="_Toc503863455"/>
      <w:bookmarkStart w:id="2617" w:name="_Toc503863683"/>
      <w:bookmarkStart w:id="2618" w:name="_Toc517393462"/>
      <w:bookmarkStart w:id="2619" w:name="_Toc517719203"/>
      <w:bookmarkStart w:id="2620" w:name="_Toc517797160"/>
      <w:r w:rsidRPr="008608AA">
        <w:t>Emerging solutions</w:t>
      </w:r>
      <w:bookmarkEnd w:id="2610"/>
      <w:bookmarkEnd w:id="2611"/>
      <w:bookmarkEnd w:id="2612"/>
      <w:bookmarkEnd w:id="2613"/>
      <w:bookmarkEnd w:id="2614"/>
      <w:bookmarkEnd w:id="2615"/>
      <w:bookmarkEnd w:id="2616"/>
      <w:bookmarkEnd w:id="2617"/>
      <w:bookmarkEnd w:id="2618"/>
      <w:bookmarkEnd w:id="2619"/>
      <w:bookmarkEnd w:id="2620"/>
    </w:p>
    <w:p w14:paraId="28E69F54" w14:textId="77777777" w:rsidR="00FE4CC2" w:rsidRPr="00FE4CC2" w:rsidRDefault="00FE4CC2" w:rsidP="00FE4CC2">
      <w:pPr>
        <w:rPr>
          <w:lang w:val="en-GB" w:eastAsia="es-CO"/>
        </w:rPr>
      </w:pPr>
    </w:p>
    <w:p w14:paraId="7B745204" w14:textId="77777777" w:rsidR="00BF7DF0" w:rsidRPr="008608AA" w:rsidRDefault="009E18F7" w:rsidP="00BD08BA">
      <w:r w:rsidRPr="008608AA">
        <w:t xml:space="preserve">To the urgent and often integrated issues related to climate and land-use change, biodiversity and ecosystem loss, and persistence of poverty and inequality, this Chapter uncovers some emerging solution. For instance, as seen in 6.6.3, ecosystem-based approaches to climate change adaptation and disaster risk reduction are a great opportunity for the region. Such policies combine biodiversity conservation with climate change mitigation and improvement of livelihoods. For instance, Jantz et al. (2014) demonstrated that it is possible to obtain large benefits in terms of carbon storage and biodiversity conservation if carbon funds are directed at corridors that link existing protected areas (see also Venter, 2014). Preserving corridors between protected areas could maintain habitat connectivity across landscapes, mitigate the effects of land use and climate change on biodiversity, and improve livelihoods. </w:t>
      </w:r>
    </w:p>
    <w:p w14:paraId="6EA47809" w14:textId="77777777" w:rsidR="00BF7DF0" w:rsidRPr="008608AA" w:rsidRDefault="00BF7DF0" w:rsidP="00BD08BA"/>
    <w:p w14:paraId="04A628B1" w14:textId="77777777" w:rsidR="00BF7DF0" w:rsidRPr="008608AA" w:rsidRDefault="009E18F7" w:rsidP="00BD08BA">
      <w:r w:rsidRPr="008608AA">
        <w:t>The US</w:t>
      </w:r>
      <w:r w:rsidR="00BF7DF0" w:rsidRPr="008608AA">
        <w:t>A</w:t>
      </w:r>
      <w:r w:rsidRPr="008608AA">
        <w:t xml:space="preserve"> has a number of existing policies that potentially address landscape connectivity and permeability (Kostyack et al., 2011). Many of the existing networks (local, national, and international; see 6.3.1, 6.3.2) provide an opportunity for sharing both information and solutions, which facilitate mainstreaming and scalability of ecosystem-based approaches. </w:t>
      </w:r>
      <w:r w:rsidRPr="008608AA">
        <w:rPr>
          <w:color w:val="131413"/>
        </w:rPr>
        <w:t>Whereas adaptation policies primarily address vulnerability and risks (see 6.6.3), sustainable development policies aim to reduce poverty via economic growth, address inequality via redistribution of wealth, and prevent environmental degradation by using re</w:t>
      </w:r>
      <w:r w:rsidR="000D0E1A" w:rsidRPr="008608AA">
        <w:rPr>
          <w:color w:val="131413"/>
        </w:rPr>
        <w:t>sources sustainably (Agrawal &amp;</w:t>
      </w:r>
      <w:r w:rsidRPr="008608AA">
        <w:rPr>
          <w:color w:val="131413"/>
        </w:rPr>
        <w:t xml:space="preserve"> Lemos, </w:t>
      </w:r>
      <w:r w:rsidRPr="008608AA">
        <w:rPr>
          <w:color w:val="3A2A98"/>
        </w:rPr>
        <w:t>2015</w:t>
      </w:r>
      <w:r w:rsidRPr="008608AA">
        <w:rPr>
          <w:color w:val="131413"/>
        </w:rPr>
        <w:t>). However, whenever adaptation avoids or reduces climate risks without negatively impacting human systems and natural systems, it becomes an important subset of the sustainable development agenda (</w:t>
      </w:r>
      <w:r w:rsidRPr="008608AA">
        <w:t>Juhola et al.</w:t>
      </w:r>
      <w:r w:rsidR="000D0E1A" w:rsidRPr="008608AA">
        <w:t>,</w:t>
      </w:r>
      <w:r w:rsidRPr="008608AA">
        <w:t xml:space="preserve"> 2016; Pant et al.</w:t>
      </w:r>
      <w:r w:rsidR="000D0E1A" w:rsidRPr="008608AA">
        <w:t>,</w:t>
      </w:r>
      <w:r w:rsidRPr="008608AA">
        <w:t xml:space="preserve"> 2015; Kasecker et al.</w:t>
      </w:r>
      <w:r w:rsidR="000D0E1A" w:rsidRPr="008608AA">
        <w:t>,</w:t>
      </w:r>
      <w:r w:rsidRPr="008608AA">
        <w:t xml:space="preserve"> 2017). </w:t>
      </w:r>
    </w:p>
    <w:p w14:paraId="65CDF379" w14:textId="77777777" w:rsidR="00BF7DF0" w:rsidRPr="008608AA" w:rsidRDefault="00BF7DF0" w:rsidP="00BD08BA"/>
    <w:p w14:paraId="37A59A5F" w14:textId="77777777" w:rsidR="00BF7DF0" w:rsidRPr="008608AA" w:rsidRDefault="009E18F7" w:rsidP="00BD08BA">
      <w:pPr>
        <w:rPr>
          <w:color w:val="131413"/>
        </w:rPr>
      </w:pPr>
      <w:r w:rsidRPr="008608AA">
        <w:t>Therefore, policies and actions that reduce poverty while protecting and/or restoring ecosystems are potentially adaptive to climate change, particularly in developing countries (Scarano</w:t>
      </w:r>
      <w:r w:rsidR="000D0E1A" w:rsidRPr="008608AA">
        <w:t>,</w:t>
      </w:r>
      <w:r w:rsidRPr="008608AA">
        <w:t xml:space="preserve"> 2017). In parallel, actions that enable sustainable development locally or nationally can accelerate successful climate change adaptation globally (IPCC</w:t>
      </w:r>
      <w:r w:rsidR="000D0E1A" w:rsidRPr="008608AA">
        <w:t>,</w:t>
      </w:r>
      <w:r w:rsidRPr="008608AA">
        <w:t xml:space="preserve"> 2014). Adaptation is an </w:t>
      </w:r>
      <w:r w:rsidRPr="008608AA">
        <w:rPr>
          <w:color w:val="131413"/>
        </w:rPr>
        <w:t xml:space="preserve">important step in the transition to sustainability, and such actions require capacity, investment, integrated policies and adequate governance – all of which require participation and dialogue. </w:t>
      </w:r>
    </w:p>
    <w:p w14:paraId="770478B1" w14:textId="77777777" w:rsidR="00BF7DF0" w:rsidRPr="008608AA" w:rsidRDefault="00BF7DF0" w:rsidP="00BD08BA">
      <w:pPr>
        <w:rPr>
          <w:color w:val="131413"/>
        </w:rPr>
      </w:pPr>
    </w:p>
    <w:p w14:paraId="7366EF85" w14:textId="25AAD646" w:rsidR="00F801B1" w:rsidRPr="008608AA" w:rsidRDefault="009E18F7" w:rsidP="00BD08BA">
      <w:pPr>
        <w:rPr>
          <w:color w:val="131413"/>
        </w:rPr>
      </w:pPr>
      <w:r w:rsidRPr="008608AA">
        <w:rPr>
          <w:color w:val="131413"/>
        </w:rPr>
        <w:t>As seen throughout this Chapter, the region has many local solutions emerging (</w:t>
      </w:r>
      <w:r w:rsidR="00847F60" w:rsidRPr="008608AA">
        <w:rPr>
          <w:color w:val="131413"/>
        </w:rPr>
        <w:t>e.g.</w:t>
      </w:r>
      <w:r w:rsidRPr="008608AA">
        <w:rPr>
          <w:color w:val="131413"/>
        </w:rPr>
        <w:t xml:space="preserve"> Table 6.1), but still many national and regional contradictions in this respect (</w:t>
      </w:r>
      <w:r w:rsidR="00847F60" w:rsidRPr="008608AA">
        <w:rPr>
          <w:color w:val="131413"/>
        </w:rPr>
        <w:t>e.g.</w:t>
      </w:r>
      <w:r w:rsidRPr="008608AA">
        <w:rPr>
          <w:color w:val="131413"/>
        </w:rPr>
        <w:t xml:space="preserve"> Figure 6.1). Perhaps even more relevant is the notion that sustainable development is one among other existing options. Other options emerge in the region from distinct cosmovisions, such as in the case of buen vivir (see 6.4.3.2), or as a rejection of economic growth as the only alternative, in the case of degrowth (Kothari et al., 2014). Although scientific output on degrowth is largely European, US</w:t>
      </w:r>
      <w:r w:rsidR="00264A3D" w:rsidRPr="008608AA">
        <w:rPr>
          <w:color w:val="131413"/>
        </w:rPr>
        <w:t>A</w:t>
      </w:r>
      <w:r w:rsidRPr="008608AA">
        <w:rPr>
          <w:color w:val="131413"/>
        </w:rPr>
        <w:t xml:space="preserve"> and Canada also have a relevant contribution to this line of thought and, as a movement, it has presence in other countries in the region such as Colombia and Cuba as </w:t>
      </w:r>
      <w:r w:rsidR="000D0E1A" w:rsidRPr="008608AA">
        <w:rPr>
          <w:color w:val="131413"/>
        </w:rPr>
        <w:t>well (Weiss &amp;</w:t>
      </w:r>
      <w:r w:rsidRPr="008608AA">
        <w:rPr>
          <w:color w:val="131413"/>
        </w:rPr>
        <w:t xml:space="preserve"> Cattaneo, 2017). Beling et al. (2018) suggest that synergies between sustainable development, buen vivir and degrowth can compensate for the caveats of each discourse and “open pathways towards a global new Great Transformation”.</w:t>
      </w:r>
    </w:p>
    <w:p w14:paraId="09E74986" w14:textId="40AD6C59" w:rsidR="009E18F7" w:rsidRPr="008608AA" w:rsidRDefault="00F801B1" w:rsidP="000558F1">
      <w:pPr>
        <w:rPr>
          <w:color w:val="131413"/>
        </w:rPr>
      </w:pPr>
      <w:r w:rsidRPr="008608AA">
        <w:rPr>
          <w:color w:val="131413"/>
        </w:rPr>
        <w:t xml:space="preserve">  </w:t>
      </w:r>
      <w:r w:rsidR="009E18F7" w:rsidRPr="008608AA">
        <w:rPr>
          <w:color w:val="131413"/>
        </w:rPr>
        <w:t xml:space="preserve"> </w:t>
      </w:r>
    </w:p>
    <w:p w14:paraId="08FC5D6C" w14:textId="0FE27A78" w:rsidR="009E18F7" w:rsidRDefault="009E18F7" w:rsidP="00BD08BA">
      <w:pPr>
        <w:pStyle w:val="Heading2"/>
      </w:pPr>
      <w:bookmarkStart w:id="2621" w:name="_Toc356492320"/>
      <w:bookmarkStart w:id="2622" w:name="_Toc502957781"/>
      <w:bookmarkStart w:id="2623" w:name="_Toc502957980"/>
      <w:bookmarkStart w:id="2624" w:name="_Toc502958134"/>
      <w:bookmarkStart w:id="2625" w:name="_Toc503293203"/>
      <w:bookmarkStart w:id="2626" w:name="_Toc503293801"/>
      <w:bookmarkStart w:id="2627" w:name="_Toc503294063"/>
      <w:bookmarkStart w:id="2628" w:name="_Toc503863456"/>
      <w:bookmarkStart w:id="2629" w:name="_Toc503863684"/>
      <w:bookmarkStart w:id="2630" w:name="_Toc517393463"/>
      <w:bookmarkStart w:id="2631" w:name="_Toc517719204"/>
      <w:bookmarkStart w:id="2632" w:name="_Toc517797161"/>
      <w:r w:rsidRPr="008608AA">
        <w:t>Conclusions</w:t>
      </w:r>
      <w:bookmarkEnd w:id="2621"/>
      <w:bookmarkEnd w:id="2622"/>
      <w:bookmarkEnd w:id="2623"/>
      <w:bookmarkEnd w:id="2624"/>
      <w:bookmarkEnd w:id="2625"/>
      <w:bookmarkEnd w:id="2626"/>
      <w:bookmarkEnd w:id="2627"/>
      <w:bookmarkEnd w:id="2628"/>
      <w:bookmarkEnd w:id="2629"/>
      <w:bookmarkEnd w:id="2630"/>
      <w:bookmarkEnd w:id="2631"/>
      <w:bookmarkEnd w:id="2632"/>
      <w:r w:rsidRPr="008608AA">
        <w:t xml:space="preserve"> </w:t>
      </w:r>
    </w:p>
    <w:p w14:paraId="7E81161F" w14:textId="77777777" w:rsidR="00FE4CC2" w:rsidRPr="00FE4CC2" w:rsidRDefault="00FE4CC2" w:rsidP="00FE4CC2">
      <w:pPr>
        <w:rPr>
          <w:lang w:val="en-GB" w:eastAsia="es-CO"/>
        </w:rPr>
      </w:pPr>
    </w:p>
    <w:p w14:paraId="5498A422" w14:textId="2737A27B" w:rsidR="009E18F7" w:rsidRPr="008608AA" w:rsidRDefault="009E18F7" w:rsidP="00BD08BA">
      <w:r w:rsidRPr="008608AA">
        <w:t>This Chapter concludes that for most countries of the region, environmental and development policies are often conceived, designed and implemented separately, from a sectoral viewpoint (see 6.2). Since development pressures frequently outpace or outweigh environmental policies, the development process becomes unsustainable and a key driver of biodiversity and ecosystem services loss (6.1.1). This is especially true for the developing countries in the Americas region, and accounts for many of the negative trends in biodiversity and ecosystem services that are evident across the region. On the positive side, however, the region still harbors astonishing biodiversity and ecosystem services of local and global importance related to water, climate and food security (6.1.1). Moreover, there are reported reductions in rate of habitat loss in specific biomes. Although success in this respect is often times more local than national or subregional, it can be at least partly attributed to a broad array of policy instruments, which include regulatory (</w:t>
      </w:r>
      <w:r w:rsidR="00847F60" w:rsidRPr="008608AA">
        <w:t>e.g.</w:t>
      </w:r>
      <w:r w:rsidRPr="008608AA">
        <w:t xml:space="preserve"> protected areas) and incentive mechanisms (</w:t>
      </w:r>
      <w:r w:rsidR="00847F60" w:rsidRPr="008608AA">
        <w:t>e.g.</w:t>
      </w:r>
      <w:r w:rsidRPr="008608AA">
        <w:t xml:space="preserve"> eco-certification, financial incentives, offsets), as well as those originated from diverse views of the relationship between man and nature (</w:t>
      </w:r>
      <w:r w:rsidR="00847F60" w:rsidRPr="008608AA">
        <w:t>e.g.</w:t>
      </w:r>
      <w:r w:rsidRPr="008608AA">
        <w:t xml:space="preserve"> management of the system of life applied in Bolivia, based in rights, duties and obligations) (6.4; and Table 6.5). A diversity of cases across policy areas, levels of economic development, and political cultures suggest that p</w:t>
      </w:r>
      <w:r w:rsidRPr="008608AA">
        <w:rPr>
          <w:bCs/>
        </w:rPr>
        <w:t xml:space="preserve">artnerships and participatory deliberative processes </w:t>
      </w:r>
      <w:r w:rsidRPr="008608AA">
        <w:t>contribute to a large class of problem-solving situations and</w:t>
      </w:r>
      <w:r w:rsidRPr="008608AA">
        <w:rPr>
          <w:bCs/>
        </w:rPr>
        <w:t xml:space="preserve"> can support successful governance (6.3.1), and this Chapter also uncovers a number of examples of such good practices (</w:t>
      </w:r>
      <w:r w:rsidR="00847F60" w:rsidRPr="008608AA">
        <w:rPr>
          <w:bCs/>
        </w:rPr>
        <w:t>e.g.</w:t>
      </w:r>
      <w:r w:rsidRPr="008608AA">
        <w:rPr>
          <w:bCs/>
        </w:rPr>
        <w:t xml:space="preserve"> Table 6.1).</w:t>
      </w:r>
    </w:p>
    <w:p w14:paraId="7EDD87DD" w14:textId="77777777" w:rsidR="009E18F7" w:rsidRPr="008608AA" w:rsidRDefault="009E18F7" w:rsidP="00BD08BA">
      <w:pPr>
        <w:rPr>
          <w:bCs/>
        </w:rPr>
      </w:pPr>
      <w:r w:rsidRPr="008608AA">
        <w:t>Despite some of these good news, the net biodiversity and ecosystem services loss that is currently evident in almost every aspect of the region’s natural ecosystems is expected to continue through to 2050, if society does not change business-as-usual patterns of land-use change and greenhouse gas emissions (6.7.1).  This will result in reductions in the adaptive capacity of the societies throughout the region, especially poor communities in Latin America and the Caribbean (6.6.3; 6.7.3).</w:t>
      </w:r>
      <w:r w:rsidRPr="008608AA">
        <w:rPr>
          <w:bCs/>
        </w:rPr>
        <w:t xml:space="preserve"> There is a great regional opportunity to incorporate ecosystem-based </w:t>
      </w:r>
      <w:r w:rsidRPr="008608AA">
        <w:t>strategies into national and sub-national-level development planning and this can be done sooner than later (6.6.3; 6.7.3), especially if one considers that t</w:t>
      </w:r>
      <w:r w:rsidRPr="008608AA">
        <w:rPr>
          <w:bCs/>
        </w:rPr>
        <w:t>he cost of recovery of ecosystems and species is high (6.4.1.2). Although there is much optimism and some evidence of the potential of habitat restoration in the region, this is often costly (6.4.1.2).</w:t>
      </w:r>
      <w:r w:rsidRPr="008608AA">
        <w:t xml:space="preserve"> </w:t>
      </w:r>
      <w:r w:rsidRPr="008608AA">
        <w:rPr>
          <w:bCs/>
        </w:rPr>
        <w:t xml:space="preserve">This indicates that countries are </w:t>
      </w:r>
      <w:r w:rsidRPr="008608AA">
        <w:t>likely</w:t>
      </w:r>
      <w:r w:rsidRPr="008608AA">
        <w:rPr>
          <w:bCs/>
        </w:rPr>
        <w:t xml:space="preserve"> to benefit from acting quickly to invest in the preservation and sustainable use of their existing ecological infrastructure. </w:t>
      </w:r>
    </w:p>
    <w:p w14:paraId="4215A7D7" w14:textId="77777777" w:rsidR="00F801B1" w:rsidRPr="008608AA" w:rsidRDefault="00F801B1" w:rsidP="00BD08BA">
      <w:pPr>
        <w:rPr>
          <w:bCs/>
        </w:rPr>
      </w:pPr>
    </w:p>
    <w:p w14:paraId="13B22897" w14:textId="77777777" w:rsidR="009E18F7" w:rsidRPr="008608AA" w:rsidRDefault="009E18F7" w:rsidP="00BD08BA">
      <w:r w:rsidRPr="008608AA">
        <w:rPr>
          <w:bCs/>
        </w:rPr>
        <w:t xml:space="preserve">There is an overall gap of policy evaluation in the Americas, which is more pronounced in Latin America and the Caribbean than it is in North America (6.7.2). Information on policy effectiveness is often derived through case studies and anecdotal accounts. Evaluation could benefit from improved monitoring systems, involving both new technologies and community-based monitoring at local level. It could also benefit from improved analytical tools that integrate biodiversity and ecosystem services variables and human and socioeconomic development variables (6.7.2). For instance, although there begin to emerge </w:t>
      </w:r>
      <w:r w:rsidRPr="008608AA">
        <w:t>evidences of leakage and spillover effects in many levels and scales across the region, they remain understudied. Cases where environmentally damaging activities are relocated elsewhere after being stopped locally are found from protected area level to biome level. Leakage and spillover effects are often unforeseen either due to lack of systemic planning or adequate mapping of potential stakeholders (6.3.4; 6.4.2.3).</w:t>
      </w:r>
    </w:p>
    <w:p w14:paraId="34CBF3B6" w14:textId="77777777" w:rsidR="009E18F7" w:rsidRPr="008608AA" w:rsidRDefault="009E18F7" w:rsidP="00BD08BA">
      <w:r w:rsidRPr="008608AA">
        <w:t xml:space="preserve">The sociocultural diversity of the region is also an untapped opportunity. Indigenous peoples throughout the Americas have developed many different socioecological and governance systems (nationally and locally), which exist in </w:t>
      </w:r>
      <w:r w:rsidRPr="008608AA">
        <w:rPr>
          <w:bCs/>
        </w:rPr>
        <w:t>parallel to mainstream governance (6.3.5)</w:t>
      </w:r>
      <w:r w:rsidRPr="008608AA">
        <w:t xml:space="preserve">. Although </w:t>
      </w:r>
      <w:r w:rsidRPr="008608AA">
        <w:rPr>
          <w:bCs/>
        </w:rPr>
        <w:t>conflicts persist both in countries that acknowledge such rights and countries that do not, i</w:t>
      </w:r>
      <w:r w:rsidRPr="008608AA">
        <w:t>ndigenous and local knowledge and practices can positively influence biodiversity and ecosystem services (6.3.1; 6.3.5; 6.4.1.1; 6.4.3.2; 6.6.1).</w:t>
      </w:r>
    </w:p>
    <w:p w14:paraId="0C4EB09C" w14:textId="77777777" w:rsidR="00F801B1" w:rsidRPr="008608AA" w:rsidRDefault="00F801B1" w:rsidP="00BD08BA"/>
    <w:p w14:paraId="0F515234" w14:textId="48DDB23B" w:rsidR="00156F2A" w:rsidRPr="008608AA" w:rsidRDefault="009E18F7" w:rsidP="00BD08BA">
      <w:pPr>
        <w:rPr>
          <w:bCs/>
        </w:rPr>
      </w:pPr>
      <w:r w:rsidRPr="008608AA">
        <w:rPr>
          <w:bCs/>
        </w:rPr>
        <w:t xml:space="preserve">For most countries in the region, global commitments (SDG, Aichi </w:t>
      </w:r>
      <w:r w:rsidR="00847F60" w:rsidRPr="008608AA">
        <w:rPr>
          <w:bCs/>
        </w:rPr>
        <w:t>target</w:t>
      </w:r>
      <w:r w:rsidRPr="008608AA">
        <w:rPr>
          <w:bCs/>
        </w:rPr>
        <w:t>s, Paris Accord) are often uncoupled from national policies. As a result, the rate of achievement of global commitments vary largely between countries. Thus, bringing global commitments down to local level implementation, and scaling up local solutions to global diplomacy remains challenging (6.5). Some of the difficulties might be related to issues such as the possible confusion created by excessive list of targets to be achieved and indicators to measure them (Easterly, 2015; Lomborg, 2017), or to science gaps around key concepts such as sustainability or planetary boundaries, fo</w:t>
      </w:r>
      <w:r w:rsidR="004F124C" w:rsidRPr="008608AA">
        <w:rPr>
          <w:bCs/>
        </w:rPr>
        <w:t>r instance (Montoya et al., 2018</w:t>
      </w:r>
      <w:r w:rsidRPr="008608AA">
        <w:rPr>
          <w:bCs/>
        </w:rPr>
        <w:t>). Understanding synergies and trade-offs between goals within specific global agreements (</w:t>
      </w:r>
      <w:r w:rsidR="00847F60" w:rsidRPr="008608AA">
        <w:rPr>
          <w:bCs/>
        </w:rPr>
        <w:t>e.g.</w:t>
      </w:r>
      <w:r w:rsidRPr="008608AA">
        <w:rPr>
          <w:bCs/>
        </w:rPr>
        <w:t xml:space="preserve"> Di Marco et al., 2015; Pradhan et al., 2017) and between distinct global agreements (</w:t>
      </w:r>
      <w:r w:rsidR="00847F60" w:rsidRPr="008608AA">
        <w:rPr>
          <w:bCs/>
        </w:rPr>
        <w:t>e.g.</w:t>
      </w:r>
      <w:r w:rsidRPr="008608AA">
        <w:rPr>
          <w:bCs/>
        </w:rPr>
        <w:t xml:space="preserve"> Von Stechow et al., 2016; Le Gouvello et al., 2017) can be an important step to reduce confusion and enhance focus for policy design and implementation at national and local level. </w:t>
      </w:r>
      <w:r w:rsidR="00156F2A" w:rsidRPr="008608AA">
        <w:rPr>
          <w:bCs/>
        </w:rPr>
        <w:br w:type="page"/>
      </w:r>
    </w:p>
    <w:p w14:paraId="3D5BB086" w14:textId="75647379" w:rsidR="009E18F7" w:rsidRPr="008608AA" w:rsidRDefault="00BD08BA" w:rsidP="00BD08BA">
      <w:pPr>
        <w:pStyle w:val="Caption"/>
      </w:pPr>
      <w:r w:rsidRPr="008608AA">
        <w:t xml:space="preserve">Table </w:t>
      </w:r>
      <w:r w:rsidR="000E562E">
        <w:rPr>
          <w:noProof/>
        </w:rPr>
        <w:fldChar w:fldCharType="begin"/>
      </w:r>
      <w:r w:rsidR="000E562E">
        <w:rPr>
          <w:noProof/>
        </w:rPr>
        <w:instrText xml:space="preserve"> STYLEREF 1 \s </w:instrText>
      </w:r>
      <w:r w:rsidR="000E562E">
        <w:rPr>
          <w:noProof/>
        </w:rPr>
        <w:fldChar w:fldCharType="separate"/>
      </w:r>
      <w:r w:rsidR="00402074">
        <w:rPr>
          <w:noProof/>
        </w:rPr>
        <w:t>6</w:t>
      </w:r>
      <w:r w:rsidR="000E562E">
        <w:rPr>
          <w:noProof/>
        </w:rPr>
        <w:fldChar w:fldCharType="end"/>
      </w:r>
      <w:r w:rsidRPr="008608AA">
        <w:t>.</w:t>
      </w:r>
      <w:r w:rsidR="000E562E">
        <w:rPr>
          <w:noProof/>
        </w:rPr>
        <w:fldChar w:fldCharType="begin"/>
      </w:r>
      <w:r w:rsidR="000E562E">
        <w:rPr>
          <w:noProof/>
        </w:rPr>
        <w:instrText xml:space="preserve"> SEQ Table \* ARABIC \s 1 </w:instrText>
      </w:r>
      <w:r w:rsidR="000E562E">
        <w:rPr>
          <w:noProof/>
        </w:rPr>
        <w:fldChar w:fldCharType="separate"/>
      </w:r>
      <w:r w:rsidR="00402074">
        <w:rPr>
          <w:noProof/>
        </w:rPr>
        <w:t>5</w:t>
      </w:r>
      <w:r w:rsidR="000E562E">
        <w:rPr>
          <w:noProof/>
        </w:rPr>
        <w:fldChar w:fldCharType="end"/>
      </w:r>
      <w:r w:rsidR="009E18F7" w:rsidRPr="008608AA">
        <w:t>. Policy options in the Americas: instruments, enabling factors and country-level challenges. Chapter sections cited include those in this Chapter 6, but also sections of the other Chapters in this report. SU=sustainable use; RE = recovery or rehabilitation of natural and/or human systems; PR = protection.</w:t>
      </w:r>
    </w:p>
    <w:p w14:paraId="0270BB41" w14:textId="79363B05" w:rsidR="00156F2A" w:rsidRPr="008608AA" w:rsidRDefault="00156F2A" w:rsidP="00FE4CC2">
      <w:pPr>
        <w:jc w:val="center"/>
        <w:rPr>
          <w:lang w:val="en-GB" w:eastAsia="ja-JP"/>
        </w:rPr>
      </w:pPr>
      <w:r w:rsidRPr="008608AA">
        <w:rPr>
          <w:noProof/>
          <w:lang w:val="en-GB" w:eastAsia="en-GB"/>
        </w:rPr>
        <w:drawing>
          <wp:inline distT="0" distB="0" distL="0" distR="0" wp14:anchorId="44150C99" wp14:editId="0256A838">
            <wp:extent cx="5568211" cy="8241475"/>
            <wp:effectExtent l="0" t="0" r="0" b="7620"/>
            <wp:docPr id="32" name="Imagen 32" descr="C:\Users\laura.valderrama.ANTCO\Downloads\AM_Table 6.5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valderrama.ANTCO\Downloads\AM_Table 6.5_page1.jpg"/>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5572714" cy="8248140"/>
                    </a:xfrm>
                    <a:prstGeom prst="rect">
                      <a:avLst/>
                    </a:prstGeom>
                    <a:noFill/>
                    <a:ln>
                      <a:noFill/>
                    </a:ln>
                  </pic:spPr>
                </pic:pic>
              </a:graphicData>
            </a:graphic>
          </wp:inline>
        </w:drawing>
      </w:r>
    </w:p>
    <w:p w14:paraId="30831ACA" w14:textId="039B9C64" w:rsidR="00156F2A" w:rsidRPr="008608AA" w:rsidRDefault="00156F2A" w:rsidP="00156F2A">
      <w:pPr>
        <w:rPr>
          <w:lang w:val="en-GB" w:eastAsia="ja-JP"/>
        </w:rPr>
      </w:pPr>
      <w:r w:rsidRPr="008608AA">
        <w:rPr>
          <w:noProof/>
          <w:lang w:val="en-GB" w:eastAsia="en-GB"/>
        </w:rPr>
        <w:drawing>
          <wp:inline distT="0" distB="0" distL="0" distR="0" wp14:anchorId="7C9877CE" wp14:editId="596A2888">
            <wp:extent cx="5848350" cy="8666577"/>
            <wp:effectExtent l="0" t="0" r="0" b="1270"/>
            <wp:docPr id="33" name="Imagen 33" descr="C:\Users\laura.valderrama.ANTCO\Downloads\AM_Table 6.5_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valderrama.ANTCO\Downloads\AM_Table 6.5_page2.jpg"/>
                    <pic:cNvPicPr>
                      <a:picLocks noChangeAspect="1" noChangeArrowheads="1"/>
                    </pic:cNvPicPr>
                  </pic:nvPicPr>
                  <pic:blipFill rotWithShape="1">
                    <a:blip r:embed="rId1087">
                      <a:extLst>
                        <a:ext uri="{28A0092B-C50C-407E-A947-70E740481C1C}">
                          <a14:useLocalDpi xmlns:a14="http://schemas.microsoft.com/office/drawing/2010/main" val="0"/>
                        </a:ext>
                      </a:extLst>
                    </a:blip>
                    <a:srcRect l="6172" r="6486"/>
                    <a:stretch/>
                  </pic:blipFill>
                  <pic:spPr bwMode="auto">
                    <a:xfrm>
                      <a:off x="0" y="0"/>
                      <a:ext cx="5849712" cy="8668596"/>
                    </a:xfrm>
                    <a:prstGeom prst="rect">
                      <a:avLst/>
                    </a:prstGeom>
                    <a:noFill/>
                    <a:ln>
                      <a:noFill/>
                    </a:ln>
                    <a:extLst>
                      <a:ext uri="{53640926-AAD7-44D8-BBD7-CCE9431645EC}">
                        <a14:shadowObscured xmlns:a14="http://schemas.microsoft.com/office/drawing/2010/main"/>
                      </a:ext>
                    </a:extLst>
                  </pic:spPr>
                </pic:pic>
              </a:graphicData>
            </a:graphic>
          </wp:inline>
        </w:drawing>
      </w:r>
    </w:p>
    <w:p w14:paraId="17D549D4" w14:textId="50C80E61" w:rsidR="00156F2A" w:rsidRPr="008608AA" w:rsidRDefault="00156F2A" w:rsidP="00156F2A">
      <w:pPr>
        <w:rPr>
          <w:lang w:val="en-GB" w:eastAsia="ja-JP"/>
        </w:rPr>
      </w:pPr>
    </w:p>
    <w:p w14:paraId="25DC903B" w14:textId="77777777" w:rsidR="00156F2A" w:rsidRPr="008608AA" w:rsidRDefault="00156F2A" w:rsidP="00156F2A">
      <w:pPr>
        <w:rPr>
          <w:lang w:val="en-GB" w:eastAsia="ja-JP"/>
        </w:rPr>
      </w:pPr>
    </w:p>
    <w:p w14:paraId="2EF9FC30" w14:textId="77777777" w:rsidR="009E18F7" w:rsidRPr="008608AA" w:rsidRDefault="009E18F7" w:rsidP="00A26F6D">
      <w:pPr>
        <w:pStyle w:val="Heading2"/>
      </w:pPr>
      <w:bookmarkStart w:id="2633" w:name="_Toc356492321"/>
      <w:bookmarkStart w:id="2634" w:name="_Toc502957782"/>
      <w:bookmarkStart w:id="2635" w:name="_Toc502957981"/>
      <w:bookmarkStart w:id="2636" w:name="_Toc502958135"/>
      <w:bookmarkStart w:id="2637" w:name="_Toc503293204"/>
      <w:bookmarkStart w:id="2638" w:name="_Toc503293802"/>
      <w:bookmarkStart w:id="2639" w:name="_Toc503294064"/>
      <w:bookmarkStart w:id="2640" w:name="_Toc503863457"/>
      <w:bookmarkStart w:id="2641" w:name="_Toc503863685"/>
      <w:bookmarkStart w:id="2642" w:name="_Toc517393464"/>
      <w:bookmarkStart w:id="2643" w:name="_Toc517719205"/>
      <w:bookmarkStart w:id="2644" w:name="_Toc517797162"/>
      <w:r w:rsidRPr="008608AA">
        <w:t>References</w:t>
      </w:r>
      <w:bookmarkEnd w:id="2633"/>
      <w:bookmarkEnd w:id="2634"/>
      <w:bookmarkEnd w:id="2635"/>
      <w:bookmarkEnd w:id="2636"/>
      <w:bookmarkEnd w:id="2637"/>
      <w:bookmarkEnd w:id="2638"/>
      <w:bookmarkEnd w:id="2639"/>
      <w:bookmarkEnd w:id="2640"/>
      <w:bookmarkEnd w:id="2641"/>
      <w:bookmarkEnd w:id="2642"/>
      <w:bookmarkEnd w:id="2643"/>
      <w:bookmarkEnd w:id="2644"/>
      <w:r w:rsidRPr="008608AA">
        <w:t xml:space="preserve"> </w:t>
      </w:r>
    </w:p>
    <w:p w14:paraId="123F664F" w14:textId="77777777" w:rsidR="006969D3" w:rsidRPr="008608AA" w:rsidRDefault="006969D3" w:rsidP="006969D3">
      <w:pPr>
        <w:ind w:left="851" w:hanging="851"/>
      </w:pPr>
    </w:p>
    <w:p w14:paraId="25449674" w14:textId="77777777" w:rsidR="006969D3" w:rsidRPr="00FE4CC2" w:rsidRDefault="006969D3" w:rsidP="006969D3">
      <w:pPr>
        <w:ind w:left="851" w:hanging="851"/>
        <w:contextualSpacing/>
        <w:rPr>
          <w:rStyle w:val="referencia"/>
          <w:rFonts w:ascii="Calibri" w:hAnsi="Calibri"/>
          <w:b/>
          <w:bCs/>
          <w:iCs/>
          <w:szCs w:val="22"/>
        </w:rPr>
      </w:pPr>
      <w:r w:rsidRPr="00FE4CC2">
        <w:rPr>
          <w:rStyle w:val="referencia"/>
          <w:rFonts w:ascii="Calibri" w:hAnsi="Calibri"/>
          <w:szCs w:val="22"/>
        </w:rPr>
        <w:t xml:space="preserve">ACTO (2014). </w:t>
      </w:r>
      <w:r w:rsidRPr="00FE4CC2">
        <w:rPr>
          <w:rStyle w:val="referencia"/>
          <w:rFonts w:ascii="Calibri" w:hAnsi="Calibri"/>
          <w:i/>
          <w:szCs w:val="22"/>
        </w:rPr>
        <w:t xml:space="preserve">Work Plan 2014. </w:t>
      </w:r>
      <w:r w:rsidRPr="00FE4CC2">
        <w:rPr>
          <w:rStyle w:val="referencia"/>
          <w:rFonts w:ascii="Calibri" w:hAnsi="Calibri"/>
          <w:szCs w:val="22"/>
        </w:rPr>
        <w:t xml:space="preserve">Amazon Cooperation Treaty Organization, 22 p.  Available at: </w:t>
      </w:r>
      <w:hyperlink r:id="rId1088" w:history="1">
        <w:r w:rsidRPr="00FE4CC2">
          <w:rPr>
            <w:rStyle w:val="referencia"/>
            <w:rFonts w:ascii="Calibri" w:hAnsi="Calibri"/>
            <w:szCs w:val="22"/>
          </w:rPr>
          <w:t>http://otca.info/portal/admin/_upload/plano_trabalho/201-WORK.PLAN_2014.pdf</w:t>
        </w:r>
      </w:hyperlink>
    </w:p>
    <w:p w14:paraId="534CAAF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Adams, W. M., &amp; Hutton, J. (2007). People, parks and poverty: political ecology and biodiversity conservation. </w:t>
      </w:r>
      <w:r w:rsidRPr="00FE4CC2">
        <w:rPr>
          <w:rStyle w:val="referencia"/>
          <w:rFonts w:ascii="Calibri" w:hAnsi="Calibri"/>
          <w:i/>
          <w:szCs w:val="22"/>
        </w:rPr>
        <w:t>Conservation and Society</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5,</w:t>
      </w:r>
      <w:r w:rsidRPr="00FE4CC2">
        <w:rPr>
          <w:noProof/>
          <w:szCs w:val="22"/>
        </w:rPr>
        <w:t xml:space="preserve"> </w:t>
      </w:r>
      <w:r w:rsidRPr="00FE4CC2">
        <w:rPr>
          <w:rStyle w:val="referencia"/>
          <w:rFonts w:ascii="Calibri" w:hAnsi="Calibri"/>
          <w:szCs w:val="22"/>
        </w:rPr>
        <w:t>147-183.</w:t>
      </w:r>
    </w:p>
    <w:p w14:paraId="3F48BDB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Adger, W. N., Brown, K., &amp; Tompkins, E.L. (2006). The political economy of cross-scale networks in resource co-management. </w:t>
      </w:r>
      <w:r w:rsidRPr="00FE4CC2">
        <w:rPr>
          <w:rStyle w:val="referencia"/>
          <w:rFonts w:ascii="Calibri" w:hAnsi="Calibri"/>
          <w:i/>
          <w:szCs w:val="22"/>
        </w:rPr>
        <w:t>Ecology and Society</w:t>
      </w:r>
      <w:r w:rsidRPr="00FE4CC2">
        <w:rPr>
          <w:rStyle w:val="referencia"/>
          <w:rFonts w:ascii="Calibri" w:hAnsi="Calibri"/>
          <w:szCs w:val="22"/>
        </w:rPr>
        <w:t>, 10(2), 9</w:t>
      </w:r>
    </w:p>
    <w:p w14:paraId="64A327D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Agardy, T., di Sciara, G. N., &amp; Christie, P. (2011). Mind the gap: addressing the shortcomings of marine protected areas through large scale marine spatial planning. </w:t>
      </w:r>
      <w:r w:rsidRPr="00FE4CC2">
        <w:rPr>
          <w:rStyle w:val="referencia"/>
          <w:rFonts w:ascii="Calibri" w:hAnsi="Calibri"/>
          <w:i/>
          <w:szCs w:val="22"/>
        </w:rPr>
        <w:t>Marine Policy</w:t>
      </w:r>
      <w:r w:rsidRPr="00FE4CC2">
        <w:rPr>
          <w:rStyle w:val="referencia"/>
          <w:rFonts w:ascii="Calibri" w:hAnsi="Calibri"/>
          <w:szCs w:val="22"/>
        </w:rPr>
        <w:t>, 35,</w:t>
      </w:r>
      <w:r w:rsidRPr="00FE4CC2">
        <w:rPr>
          <w:noProof/>
          <w:szCs w:val="22"/>
        </w:rPr>
        <w:t xml:space="preserve"> </w:t>
      </w:r>
      <w:r w:rsidRPr="00FE4CC2">
        <w:rPr>
          <w:rStyle w:val="referencia"/>
          <w:rFonts w:ascii="Calibri" w:hAnsi="Calibri"/>
          <w:szCs w:val="22"/>
        </w:rPr>
        <w:t>226-232.</w:t>
      </w:r>
    </w:p>
    <w:p w14:paraId="623B4CF3" w14:textId="77777777" w:rsidR="006969D3" w:rsidRPr="00FE4CC2" w:rsidRDefault="006969D3" w:rsidP="006969D3">
      <w:pPr>
        <w:ind w:left="851" w:hanging="851"/>
        <w:contextualSpacing/>
        <w:rPr>
          <w:rStyle w:val="referencia"/>
          <w:rFonts w:ascii="Calibri" w:hAnsi="Calibri"/>
          <w:szCs w:val="22"/>
        </w:rPr>
      </w:pPr>
      <w:r w:rsidRPr="00FE4CC2">
        <w:rPr>
          <w:color w:val="131413"/>
          <w:szCs w:val="22"/>
        </w:rPr>
        <w:t xml:space="preserve">Agrawal, A., &amp; Lemos, M.C. (2015). Adaptive development. </w:t>
      </w:r>
      <w:r w:rsidRPr="00FE4CC2">
        <w:rPr>
          <w:i/>
          <w:color w:val="131413"/>
          <w:szCs w:val="22"/>
        </w:rPr>
        <w:t>Nature Climate Change</w:t>
      </w:r>
      <w:r w:rsidRPr="00FE4CC2">
        <w:rPr>
          <w:color w:val="131413"/>
          <w:szCs w:val="22"/>
        </w:rPr>
        <w:t>, 5, 186–187.</w:t>
      </w:r>
    </w:p>
    <w:p w14:paraId="1803DFD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Alexander, S. M., Andrachuk, M., &amp; Armitage, D. (2016). Navigating governance networks for community-based conservation. </w:t>
      </w:r>
      <w:r w:rsidRPr="00FE4CC2">
        <w:rPr>
          <w:rStyle w:val="referencia"/>
          <w:rFonts w:ascii="Calibri" w:hAnsi="Calibri"/>
          <w:i/>
          <w:szCs w:val="22"/>
        </w:rPr>
        <w:t>Frontiers in Ecology and the Environment</w:t>
      </w:r>
      <w:r w:rsidRPr="00FE4CC2">
        <w:rPr>
          <w:rStyle w:val="referencia"/>
          <w:rFonts w:ascii="Calibri" w:hAnsi="Calibri"/>
          <w:szCs w:val="22"/>
        </w:rPr>
        <w:t xml:space="preserve">, 14(3), 155-164. </w:t>
      </w:r>
    </w:p>
    <w:p w14:paraId="67AE311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Alkemade, R., Van Oorschot, M., Miles, L., Nellemann, C., Bakkenes, M., &amp; Ten Brink, B. (2009). GLOBIO3: A framework to investigate options for reducing global terrestrial biodiversity loss. </w:t>
      </w:r>
      <w:r w:rsidRPr="00FE4CC2">
        <w:rPr>
          <w:rStyle w:val="referencia"/>
          <w:rFonts w:ascii="Calibri" w:hAnsi="Calibri"/>
          <w:i/>
          <w:szCs w:val="22"/>
        </w:rPr>
        <w:t>Ecosystems</w:t>
      </w:r>
      <w:r w:rsidRPr="00FE4CC2">
        <w:rPr>
          <w:rStyle w:val="referencia"/>
          <w:rFonts w:ascii="Calibri" w:hAnsi="Calibri"/>
          <w:szCs w:val="22"/>
        </w:rPr>
        <w:t>, 12, 374–390.</w:t>
      </w:r>
    </w:p>
    <w:p w14:paraId="209E02DE"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Anderson, M. B., Hall, D. M., McEvoy, J., Gilbertz, S. J., Ward, L., &amp; Rode, A. (2016). Defending dissensus: participatory governance and the politics of water measurement in Montana’s Yellowstone River Basin. </w:t>
      </w:r>
      <w:r w:rsidRPr="00FE4CC2">
        <w:rPr>
          <w:rStyle w:val="referencia"/>
          <w:rFonts w:ascii="Calibri" w:hAnsi="Calibri"/>
          <w:i/>
          <w:szCs w:val="22"/>
          <w:lang w:val="pt-BR"/>
        </w:rPr>
        <w:t>Environmental Politics</w:t>
      </w:r>
      <w:r w:rsidRPr="00FE4CC2">
        <w:rPr>
          <w:rStyle w:val="referencia"/>
          <w:rFonts w:ascii="Calibri" w:hAnsi="Calibri"/>
          <w:szCs w:val="22"/>
          <w:lang w:val="pt-BR"/>
        </w:rPr>
        <w:t>, https://doi.org/10.1080/09644016.2016.1189237</w:t>
      </w:r>
    </w:p>
    <w:p w14:paraId="68E0CB5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Andrade, A. B. de, &amp; Soares, M. O. (2017). </w:t>
      </w:r>
      <w:r w:rsidRPr="00FE4CC2">
        <w:rPr>
          <w:rStyle w:val="referencia"/>
          <w:rFonts w:ascii="Calibri" w:hAnsi="Calibri"/>
          <w:szCs w:val="22"/>
        </w:rPr>
        <w:t xml:space="preserve">Offshore marine protected areas: Divergent perceptions of divers and artisanal fishers. </w:t>
      </w:r>
      <w:r w:rsidRPr="00FE4CC2">
        <w:rPr>
          <w:rStyle w:val="referencia"/>
          <w:rFonts w:ascii="Calibri" w:hAnsi="Calibri"/>
          <w:i/>
          <w:szCs w:val="22"/>
        </w:rPr>
        <w:t>Marine Policy</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 xml:space="preserve">76, 107–113. </w:t>
      </w:r>
    </w:p>
    <w:p w14:paraId="12E6FBB8"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Anthamatten, P., &amp; Hazen, H. (2014). Changes in the global distribution of protected areas, 2003–2012. </w:t>
      </w:r>
      <w:r w:rsidRPr="00FE4CC2">
        <w:rPr>
          <w:rStyle w:val="referencia"/>
          <w:rFonts w:ascii="Calibri" w:hAnsi="Calibri"/>
          <w:i/>
          <w:szCs w:val="22"/>
          <w:lang w:val="pt-BR"/>
        </w:rPr>
        <w:t>The Professional Geographer</w:t>
      </w:r>
      <w:r w:rsidRPr="00FE4CC2">
        <w:rPr>
          <w:rStyle w:val="referencia"/>
          <w:rFonts w:ascii="Calibri" w:hAnsi="Calibri"/>
          <w:szCs w:val="22"/>
          <w:lang w:val="pt-BR"/>
        </w:rPr>
        <w:t>, 67(2), 195-203.</w:t>
      </w:r>
    </w:p>
    <w:p w14:paraId="42536D2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Arantes, M. L., &amp; Freitas, C. E. C. (2016). </w:t>
      </w:r>
      <w:r w:rsidRPr="00FE4CC2">
        <w:rPr>
          <w:rStyle w:val="referencia"/>
          <w:rFonts w:ascii="Calibri" w:hAnsi="Calibri"/>
          <w:szCs w:val="22"/>
        </w:rPr>
        <w:t>Effects of fisheries zoning and environmental characteristics on population parameters of the tambaqui (</w:t>
      </w:r>
      <w:r w:rsidRPr="00FE4CC2">
        <w:rPr>
          <w:rStyle w:val="referencia"/>
          <w:rFonts w:ascii="Calibri" w:hAnsi="Calibri"/>
          <w:i/>
          <w:szCs w:val="22"/>
        </w:rPr>
        <w:t>Colossoma macropomum</w:t>
      </w:r>
      <w:r w:rsidRPr="00FE4CC2">
        <w:rPr>
          <w:rStyle w:val="referencia"/>
          <w:rFonts w:ascii="Calibri" w:hAnsi="Calibri"/>
          <w:szCs w:val="22"/>
        </w:rPr>
        <w:t xml:space="preserve">) in managed floodplain lakes in the Central Amazon. </w:t>
      </w:r>
      <w:r w:rsidRPr="00FE4CC2">
        <w:rPr>
          <w:rStyle w:val="referencia"/>
          <w:rFonts w:ascii="Calibri" w:hAnsi="Calibri"/>
          <w:i/>
          <w:szCs w:val="22"/>
        </w:rPr>
        <w:t xml:space="preserve">Fisheries Management and Ecology, </w:t>
      </w:r>
      <w:r w:rsidRPr="00FE4CC2">
        <w:rPr>
          <w:rStyle w:val="referencia"/>
          <w:rFonts w:ascii="Calibri" w:hAnsi="Calibri"/>
          <w:szCs w:val="22"/>
        </w:rPr>
        <w:t>23(2), 133-143.</w:t>
      </w:r>
    </w:p>
    <w:p w14:paraId="158F4A8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Armitage, D. R. (2005). Adaptive capacity and community-based natural resources management.</w:t>
      </w:r>
      <w:r w:rsidRPr="00FE4CC2">
        <w:rPr>
          <w:rStyle w:val="referencia"/>
          <w:rFonts w:ascii="Calibri" w:hAnsi="Calibri"/>
          <w:i/>
          <w:szCs w:val="22"/>
        </w:rPr>
        <w:t xml:space="preserve"> Environmental Management</w:t>
      </w:r>
      <w:r w:rsidRPr="00FE4CC2">
        <w:rPr>
          <w:rStyle w:val="referencia"/>
          <w:rFonts w:ascii="Calibri" w:hAnsi="Calibri"/>
          <w:szCs w:val="22"/>
        </w:rPr>
        <w:t>, 35(6),</w:t>
      </w:r>
      <w:r w:rsidRPr="00FE4CC2">
        <w:rPr>
          <w:noProof/>
          <w:szCs w:val="22"/>
        </w:rPr>
        <w:t xml:space="preserve"> </w:t>
      </w:r>
      <w:r w:rsidRPr="00FE4CC2">
        <w:rPr>
          <w:rStyle w:val="referencia"/>
          <w:rFonts w:ascii="Calibri" w:hAnsi="Calibri"/>
          <w:szCs w:val="22"/>
        </w:rPr>
        <w:t>703-715.</w:t>
      </w:r>
    </w:p>
    <w:p w14:paraId="352C1E2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Armitage, D. R., Plummer, R., Berkes, F., Arthur, R. I., Charles, A. T., Davidson-Hunt, I. J,. Diduck, A. P., Doubleday, N. C., Johnson, D. S., Marschke, M., McConney, P., Pinkerton, E. W., &amp; Wollenberg, E. K. (2009). Adaptive co-management for social–ecological complexity. </w:t>
      </w:r>
      <w:r w:rsidRPr="00FE4CC2">
        <w:rPr>
          <w:rStyle w:val="referencia"/>
          <w:rFonts w:ascii="Calibri" w:hAnsi="Calibri"/>
          <w:i/>
          <w:szCs w:val="22"/>
        </w:rPr>
        <w:t>Frontiers in Ecology and the Environment</w:t>
      </w:r>
      <w:r w:rsidRPr="00FE4CC2">
        <w:rPr>
          <w:rStyle w:val="referencia"/>
          <w:rFonts w:ascii="Calibri" w:hAnsi="Calibri"/>
          <w:szCs w:val="22"/>
        </w:rPr>
        <w:t>, 7(2), 95–102.</w:t>
      </w:r>
    </w:p>
    <w:p w14:paraId="788E7019"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fr-FR"/>
        </w:rPr>
        <w:t xml:space="preserve">Aronson, J., Blignaut, J. N., Milton, S. J., Le Maitre, D., Esler, K. J., Limouzin, A., Fontaine, C., de Wit, M. P., Mugido, W., Prinsloo, P., van der Elst, L., &amp; Lederer, N. (2010). </w:t>
      </w:r>
      <w:r w:rsidRPr="00FE4CC2">
        <w:rPr>
          <w:rStyle w:val="referencia"/>
          <w:rFonts w:ascii="Calibri" w:hAnsi="Calibri"/>
          <w:szCs w:val="22"/>
        </w:rPr>
        <w:t>Are socioeconomic benefits of restoration adequately quantified? A meta-analysis of recent papers (2000–2008) in Restoration Ecology and 12 other scientific journals</w:t>
      </w:r>
      <w:r w:rsidRPr="00FE4CC2">
        <w:rPr>
          <w:rStyle w:val="referencia"/>
          <w:rFonts w:ascii="Calibri" w:hAnsi="Calibri"/>
          <w:i/>
          <w:szCs w:val="22"/>
        </w:rPr>
        <w:t xml:space="preserve">. </w:t>
      </w:r>
      <w:r w:rsidRPr="00FE4CC2">
        <w:rPr>
          <w:rStyle w:val="referencia"/>
          <w:rFonts w:ascii="Calibri" w:hAnsi="Calibri"/>
          <w:i/>
          <w:szCs w:val="22"/>
          <w:lang w:val="es-CO"/>
        </w:rPr>
        <w:t>Restoration Ecology</w:t>
      </w:r>
      <w:r w:rsidRPr="00FE4CC2">
        <w:rPr>
          <w:rStyle w:val="referencia"/>
          <w:rFonts w:ascii="Calibri" w:hAnsi="Calibri"/>
          <w:szCs w:val="22"/>
          <w:lang w:val="es-CO"/>
        </w:rPr>
        <w:t>, 18 (2), 143–154.</w:t>
      </w:r>
    </w:p>
    <w:p w14:paraId="0B6F616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Aronson, J., Brancalion, P. H. S., Durigan, G., Rodrigues, R. R., Engel, V. L., Tabarelli, M., Torezan, J. M. D., Gandolfi, S., de Melo, A. C. G., Kageyama,  P. Y., Marques, M. C. M., Nave, A. G., Martins, S. V., Gandara, F. B., Reis, A., Barbosa, L. M., &amp; Scarano, F. R. (2011). </w:t>
      </w:r>
      <w:r w:rsidRPr="00FE4CC2">
        <w:rPr>
          <w:rStyle w:val="referencia"/>
          <w:rFonts w:ascii="Calibri" w:hAnsi="Calibri"/>
          <w:szCs w:val="22"/>
        </w:rPr>
        <w:t xml:space="preserve">What role should government regulation play in ecological restoration: ongoing debate in São Paulo State, Brazil. </w:t>
      </w:r>
      <w:r w:rsidRPr="00FE4CC2">
        <w:rPr>
          <w:rStyle w:val="referencia"/>
          <w:rFonts w:ascii="Calibri" w:hAnsi="Calibri"/>
          <w:i/>
          <w:szCs w:val="22"/>
        </w:rPr>
        <w:t>Restoration Ecology</w:t>
      </w:r>
      <w:r w:rsidRPr="00FE4CC2">
        <w:rPr>
          <w:rStyle w:val="referencia"/>
          <w:rFonts w:ascii="Calibri" w:hAnsi="Calibri"/>
          <w:szCs w:val="22"/>
        </w:rPr>
        <w:t>, 19, 690–695.</w:t>
      </w:r>
    </w:p>
    <w:p w14:paraId="4AF94D4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Ascher, W. (2007). Policy sciences contributions to analysis to promote sustainability.</w:t>
      </w:r>
      <w:r w:rsidRPr="00FE4CC2">
        <w:rPr>
          <w:rStyle w:val="referencia"/>
          <w:rFonts w:ascii="Calibri" w:hAnsi="Calibri"/>
          <w:i/>
          <w:szCs w:val="22"/>
        </w:rPr>
        <w:t xml:space="preserve"> Sustainability Science</w:t>
      </w:r>
      <w:r w:rsidRPr="00FE4CC2">
        <w:rPr>
          <w:rStyle w:val="referencia"/>
          <w:rFonts w:ascii="Calibri" w:hAnsi="Calibri"/>
          <w:szCs w:val="22"/>
        </w:rPr>
        <w:t>, 2, 141-149.</w:t>
      </w:r>
    </w:p>
    <w:p w14:paraId="59160C2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Asquith, N. M., Vargas, M. T., &amp; Wunder, S. (2008). Selling two environmental services: In-kind payments for bird habitat and watershed protection in Los Negros, Bolivia. </w:t>
      </w:r>
      <w:r w:rsidRPr="00FE4CC2">
        <w:rPr>
          <w:rStyle w:val="referencia"/>
          <w:rFonts w:ascii="Calibri" w:hAnsi="Calibri"/>
          <w:i/>
          <w:szCs w:val="22"/>
        </w:rPr>
        <w:t>Ecological Economics</w:t>
      </w:r>
      <w:r w:rsidRPr="00FE4CC2">
        <w:rPr>
          <w:rStyle w:val="referencia"/>
          <w:rFonts w:ascii="Calibri" w:hAnsi="Calibri"/>
          <w:szCs w:val="22"/>
        </w:rPr>
        <w:t>, 65, 675-684.</w:t>
      </w:r>
    </w:p>
    <w:p w14:paraId="3DDD4E4C"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Azadi, H., &amp; Ho, P. (2010). Genetically modified and organic crops in developing countries: a review of options for food security. </w:t>
      </w:r>
      <w:r w:rsidRPr="00FE4CC2">
        <w:rPr>
          <w:rStyle w:val="referencia"/>
          <w:rFonts w:ascii="Calibri" w:hAnsi="Calibri"/>
          <w:i/>
          <w:szCs w:val="22"/>
          <w:lang w:val="pt-BR"/>
        </w:rPr>
        <w:t>Biotechnology Advances</w:t>
      </w:r>
      <w:r w:rsidRPr="00FE4CC2">
        <w:rPr>
          <w:rStyle w:val="referencia"/>
          <w:rFonts w:ascii="Calibri" w:hAnsi="Calibri"/>
          <w:szCs w:val="22"/>
          <w:lang w:val="pt-BR"/>
        </w:rPr>
        <w:t>, 28, 160–168.</w:t>
      </w:r>
    </w:p>
    <w:p w14:paraId="6E11856F" w14:textId="77777777" w:rsidR="006969D3" w:rsidRPr="00FE4CC2" w:rsidRDefault="006969D3" w:rsidP="006969D3">
      <w:pPr>
        <w:autoSpaceDE w:val="0"/>
        <w:autoSpaceDN w:val="0"/>
        <w:adjustRightInd w:val="0"/>
        <w:ind w:left="851" w:hanging="851"/>
        <w:rPr>
          <w:rStyle w:val="referencia"/>
          <w:rFonts w:ascii="Calibri" w:hAnsi="Calibri"/>
          <w:szCs w:val="22"/>
        </w:rPr>
      </w:pPr>
      <w:r w:rsidRPr="00FE4CC2">
        <w:rPr>
          <w:rStyle w:val="referencia"/>
          <w:rFonts w:ascii="Calibri" w:hAnsi="Calibri"/>
          <w:szCs w:val="22"/>
          <w:lang w:val="pt-BR"/>
        </w:rPr>
        <w:t xml:space="preserve">Azevedo-Santos, V. M., Fearnside, P. M., Oliveira, C. S., </w:t>
      </w:r>
      <w:r w:rsidRPr="00FE4CC2">
        <w:rPr>
          <w:rFonts w:eastAsiaTheme="minorEastAsia"/>
          <w:szCs w:val="22"/>
          <w:lang w:val="pt-BR" w:eastAsia="es-ES"/>
        </w:rPr>
        <w:t>Padial, A. A., Pelicice, F. M., Lima Jr, D. P., Simberloff, D., Lovejoy, T. E., Magalhães, A. L. B., Orsi, M. L., Agostinho, A. A., Esteves, F. A., Pompeu, P. S., Laurance, W. F., Petrere Jr, M., Mormul, R. P., &amp; Vitule, J. R. S.</w:t>
      </w:r>
      <w:r w:rsidRPr="00FE4CC2">
        <w:rPr>
          <w:rStyle w:val="referencia"/>
          <w:rFonts w:ascii="Calibri" w:hAnsi="Calibri"/>
          <w:szCs w:val="22"/>
          <w:lang w:val="pt-BR"/>
        </w:rPr>
        <w:t xml:space="preserve"> (2017). </w:t>
      </w:r>
      <w:r w:rsidRPr="00FE4CC2">
        <w:rPr>
          <w:rStyle w:val="referencia"/>
          <w:rFonts w:ascii="Calibri" w:hAnsi="Calibri"/>
          <w:szCs w:val="22"/>
          <w:lang w:val="en-GB"/>
        </w:rPr>
        <w:t xml:space="preserve">Removing the abyss between conservation science and policy decisions in Brazil. </w:t>
      </w:r>
      <w:r w:rsidRPr="00FE4CC2">
        <w:rPr>
          <w:rStyle w:val="referencia"/>
          <w:rFonts w:ascii="Calibri" w:hAnsi="Calibri"/>
          <w:i/>
          <w:szCs w:val="22"/>
        </w:rPr>
        <w:t>Biodiversity Conservation</w:t>
      </w:r>
      <w:r w:rsidRPr="00FE4CC2">
        <w:rPr>
          <w:rStyle w:val="referencia"/>
          <w:rFonts w:ascii="Calibri" w:hAnsi="Calibri"/>
          <w:szCs w:val="22"/>
        </w:rPr>
        <w:t xml:space="preserve">, 26(7), 1745-1752. </w:t>
      </w:r>
      <w:r w:rsidRPr="00FE4CC2">
        <w:rPr>
          <w:rStyle w:val="referencia"/>
          <w:rFonts w:ascii="Calibri" w:hAnsi="Calibri"/>
          <w:szCs w:val="22"/>
          <w:lang w:val="en-GB"/>
        </w:rPr>
        <w:t>https://doi.org/</w:t>
      </w:r>
      <w:r w:rsidRPr="00FE4CC2">
        <w:rPr>
          <w:rStyle w:val="referencia"/>
          <w:rFonts w:ascii="Calibri" w:hAnsi="Calibri"/>
          <w:szCs w:val="22"/>
        </w:rPr>
        <w:t xml:space="preserve">10.1007/s10531-017-1316-x. </w:t>
      </w:r>
    </w:p>
    <w:p w14:paraId="3138ECA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Baker, S., Eckerberg, K., &amp; Zachrisson, A. (2013). Political science and ecological restoration. </w:t>
      </w:r>
      <w:r w:rsidRPr="00FE4CC2">
        <w:rPr>
          <w:rStyle w:val="referencia"/>
          <w:rFonts w:ascii="Calibri" w:hAnsi="Calibri"/>
          <w:i/>
          <w:szCs w:val="22"/>
        </w:rPr>
        <w:t>Environmental Politics</w:t>
      </w:r>
      <w:r w:rsidRPr="00FE4CC2">
        <w:rPr>
          <w:rStyle w:val="referencia"/>
          <w:rFonts w:ascii="Calibri" w:hAnsi="Calibri"/>
          <w:szCs w:val="22"/>
        </w:rPr>
        <w:t>, 23(3), 509-524.</w:t>
      </w:r>
    </w:p>
    <w:p w14:paraId="6FDADFA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Ballari, S. A., Anderson, C. B., &amp; Valenzuela, E. J. (2016). Understanding trends in biological invasions by introduced mammals in southern South America: a review of research and management. </w:t>
      </w:r>
      <w:r w:rsidRPr="00FE4CC2">
        <w:rPr>
          <w:rStyle w:val="referencia"/>
          <w:rFonts w:ascii="Calibri" w:hAnsi="Calibri"/>
          <w:i/>
          <w:szCs w:val="22"/>
        </w:rPr>
        <w:t>Mammal Review</w:t>
      </w:r>
      <w:r w:rsidRPr="00FE4CC2">
        <w:rPr>
          <w:rStyle w:val="referencia"/>
          <w:rFonts w:ascii="Calibri" w:hAnsi="Calibri"/>
          <w:szCs w:val="22"/>
        </w:rPr>
        <w:t xml:space="preserve">, 46(3), 229-240. </w:t>
      </w:r>
      <w:r w:rsidRPr="00FE4CC2">
        <w:rPr>
          <w:rStyle w:val="referencia"/>
          <w:rFonts w:ascii="Calibri" w:hAnsi="Calibri"/>
          <w:szCs w:val="22"/>
          <w:lang w:val="en-GB"/>
        </w:rPr>
        <w:t>https://doi.org/</w:t>
      </w:r>
      <w:r w:rsidRPr="00FE4CC2">
        <w:rPr>
          <w:rStyle w:val="referencia"/>
          <w:rFonts w:ascii="Calibri" w:hAnsi="Calibri"/>
          <w:szCs w:val="22"/>
        </w:rPr>
        <w:t>10.1111/mam.12065.</w:t>
      </w:r>
    </w:p>
    <w:p w14:paraId="3AC43ECD"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Balmford, A., Green, J. M. H., Anderson, M., Beresford, J., Huang, C., Naidoo, R., Walpole, M., &amp; Manica, A. (2015). Walk on the wild side: estimating the global magnitude of visits to protected areas. </w:t>
      </w:r>
      <w:r w:rsidRPr="00FE4CC2">
        <w:rPr>
          <w:rStyle w:val="referencia"/>
          <w:rFonts w:ascii="Calibri" w:hAnsi="Calibri"/>
          <w:i/>
          <w:szCs w:val="22"/>
          <w:lang w:val="pt-BR"/>
        </w:rPr>
        <w:t>PLoS Biology</w:t>
      </w:r>
      <w:r w:rsidRPr="00FE4CC2">
        <w:rPr>
          <w:rStyle w:val="referencia"/>
          <w:rFonts w:ascii="Calibri" w:hAnsi="Calibri"/>
          <w:szCs w:val="22"/>
          <w:lang w:val="pt-BR"/>
        </w:rPr>
        <w:t>,</w:t>
      </w:r>
      <w:r w:rsidRPr="00FE4CC2">
        <w:rPr>
          <w:rStyle w:val="referencia"/>
          <w:rFonts w:ascii="Calibri" w:hAnsi="Calibri"/>
          <w:i/>
          <w:szCs w:val="22"/>
          <w:lang w:val="pt-BR"/>
        </w:rPr>
        <w:t xml:space="preserve"> </w:t>
      </w:r>
      <w:r w:rsidRPr="00FE4CC2">
        <w:rPr>
          <w:rStyle w:val="referencia"/>
          <w:rFonts w:ascii="Calibri" w:hAnsi="Calibri"/>
          <w:szCs w:val="22"/>
          <w:lang w:val="pt-BR"/>
        </w:rPr>
        <w:t>13(2), e1002074. https://doi.org/10.1371/journal.pbio.1002074</w:t>
      </w:r>
    </w:p>
    <w:p w14:paraId="15AA0CA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Balvanera, P., Uriarte, M., Almeida-Leñero, L., Altesor, A., DeClerck, F., Gardner, T., Hall, J., Lara, A., Laterra, P., Peña-Claros, M., Silva Matos, D. M., Vogl, A. L., Romero-Duque, L. P., Arreola L. F., Caro-Borrero, Á. P., Gallego, F., Jain, M., Little, C., de Oliveira Xavier, R., Paruelo, J. M., Peinado, J. E., Poorter, L., Ascarrunz, N., Correa, F., Cunha-Santino, M. B., Hernández-Sánchez, A. P., &amp; Vallejos, M. (2012): Ecosystem services research in Latin America: the state of the art. </w:t>
      </w:r>
      <w:r w:rsidRPr="00FE4CC2">
        <w:rPr>
          <w:rStyle w:val="referencia"/>
          <w:rFonts w:ascii="Calibri" w:hAnsi="Calibri"/>
          <w:i/>
          <w:szCs w:val="22"/>
        </w:rPr>
        <w:t>Ecosystem Services</w:t>
      </w:r>
      <w:r w:rsidRPr="00FE4CC2">
        <w:rPr>
          <w:rStyle w:val="referencia"/>
          <w:rFonts w:ascii="Calibri" w:hAnsi="Calibri"/>
          <w:szCs w:val="22"/>
        </w:rPr>
        <w:t>, 2, 56-70.</w:t>
      </w:r>
    </w:p>
    <w:p w14:paraId="37B31AE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Ban, N. C., Davies, T., Aguilera, S. E., Brooks, C., Cox, M., Epstein, G., Evans, L. S., Maxwell, S. M., &amp; Nenadovic, M. (2017). Social and ecological effectiveness of large marine protected areas. </w:t>
      </w:r>
      <w:r w:rsidRPr="00FE4CC2">
        <w:rPr>
          <w:rStyle w:val="referencia"/>
          <w:rFonts w:ascii="Calibri" w:hAnsi="Calibri"/>
          <w:i/>
          <w:szCs w:val="22"/>
        </w:rPr>
        <w:t>Global Environmental Change</w:t>
      </w:r>
      <w:r w:rsidRPr="00FE4CC2">
        <w:rPr>
          <w:rStyle w:val="referencia"/>
          <w:rFonts w:ascii="Calibri" w:hAnsi="Calibri"/>
          <w:szCs w:val="22"/>
        </w:rPr>
        <w:t xml:space="preserve">, 43, 82–91. </w:t>
      </w:r>
    </w:p>
    <w:p w14:paraId="6D1C2CBE" w14:textId="77777777" w:rsidR="006969D3" w:rsidRPr="00FE4CC2" w:rsidRDefault="006969D3" w:rsidP="006969D3">
      <w:pPr>
        <w:ind w:left="851" w:hanging="851"/>
        <w:contextualSpacing/>
        <w:rPr>
          <w:color w:val="000000"/>
          <w:szCs w:val="22"/>
        </w:rPr>
      </w:pPr>
      <w:r w:rsidRPr="00FE4CC2">
        <w:rPr>
          <w:rStyle w:val="referencia"/>
          <w:rFonts w:ascii="Calibri" w:hAnsi="Calibri"/>
          <w:szCs w:val="22"/>
        </w:rPr>
        <w:t xml:space="preserve">Barnett, J., Tschakert, P., Head, L., &amp; Adger, W. N. (2016) A science of loss. </w:t>
      </w:r>
      <w:r w:rsidRPr="00FE4CC2">
        <w:rPr>
          <w:rStyle w:val="referencia"/>
          <w:rFonts w:ascii="Calibri" w:hAnsi="Calibri"/>
          <w:i/>
          <w:szCs w:val="22"/>
        </w:rPr>
        <w:t>Nature Climate Change</w:t>
      </w:r>
      <w:r w:rsidRPr="00FE4CC2">
        <w:rPr>
          <w:rStyle w:val="referencia"/>
          <w:rFonts w:ascii="Calibri" w:hAnsi="Calibri"/>
          <w:szCs w:val="22"/>
        </w:rPr>
        <w:t>, 6(11), 976-978.</w:t>
      </w:r>
    </w:p>
    <w:p w14:paraId="6CED558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Barral, P., Rey Benayas, J. M., Meli P., &amp; Maceira, N. (2015): Quantifying the impacts of ecological restoration on biodiversity and ecosystem services in agroecosystems: a global meta-analysis. </w:t>
      </w:r>
      <w:r w:rsidRPr="00FE4CC2">
        <w:rPr>
          <w:rStyle w:val="referencia"/>
          <w:rFonts w:ascii="Calibri" w:hAnsi="Calibri"/>
          <w:i/>
          <w:szCs w:val="22"/>
        </w:rPr>
        <w:t>Agriculture, Ecosystem and Environment</w:t>
      </w:r>
      <w:r w:rsidRPr="00FE4CC2">
        <w:rPr>
          <w:rStyle w:val="referencia"/>
          <w:rFonts w:ascii="Calibri" w:hAnsi="Calibri"/>
          <w:szCs w:val="22"/>
        </w:rPr>
        <w:t>, 202, 223–231.</w:t>
      </w:r>
    </w:p>
    <w:p w14:paraId="67F71A7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Bartelmus, P. (2015). Do we need ecosystem accounts?</w:t>
      </w:r>
      <w:r w:rsidRPr="00FE4CC2">
        <w:rPr>
          <w:rStyle w:val="referencia"/>
          <w:rFonts w:ascii="Calibri" w:hAnsi="Calibri"/>
          <w:i/>
          <w:szCs w:val="22"/>
        </w:rPr>
        <w:t xml:space="preserve"> Ecological Economics</w:t>
      </w:r>
      <w:r w:rsidRPr="00FE4CC2">
        <w:rPr>
          <w:rStyle w:val="referencia"/>
          <w:rFonts w:ascii="Calibri" w:hAnsi="Calibri"/>
          <w:szCs w:val="22"/>
        </w:rPr>
        <w:t>, 118, 292-298.</w:t>
      </w:r>
    </w:p>
    <w:p w14:paraId="0DBE71B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Basurto, X., Gelcich, S., &amp; Ostrom, E. (2013). </w:t>
      </w:r>
      <w:r w:rsidRPr="00FE4CC2">
        <w:rPr>
          <w:rStyle w:val="referencia"/>
          <w:rFonts w:ascii="Calibri" w:hAnsi="Calibri"/>
          <w:szCs w:val="22"/>
        </w:rPr>
        <w:t xml:space="preserve">The socio-ecological system framework as a knowledge classification system for benthic small-scale fisheries. </w:t>
      </w:r>
      <w:r w:rsidRPr="00FE4CC2">
        <w:rPr>
          <w:rStyle w:val="referencia"/>
          <w:rFonts w:ascii="Calibri" w:hAnsi="Calibri"/>
          <w:i/>
          <w:szCs w:val="22"/>
        </w:rPr>
        <w:t>Global Environmental Change</w:t>
      </w:r>
      <w:r w:rsidRPr="00FE4CC2">
        <w:rPr>
          <w:rStyle w:val="referencia"/>
          <w:rFonts w:ascii="Calibri" w:hAnsi="Calibri"/>
          <w:szCs w:val="22"/>
        </w:rPr>
        <w:t>, 23(6),</w:t>
      </w:r>
      <w:r w:rsidRPr="00FE4CC2">
        <w:rPr>
          <w:noProof/>
          <w:szCs w:val="22"/>
        </w:rPr>
        <w:t xml:space="preserve"> </w:t>
      </w:r>
      <w:r w:rsidRPr="00FE4CC2">
        <w:rPr>
          <w:rStyle w:val="referencia"/>
          <w:rFonts w:ascii="Calibri" w:hAnsi="Calibri"/>
          <w:szCs w:val="22"/>
        </w:rPr>
        <w:t>1366-1380.</w:t>
      </w:r>
    </w:p>
    <w:p w14:paraId="5E1E2FD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BBOP (2012). </w:t>
      </w:r>
      <w:r w:rsidRPr="00FE4CC2">
        <w:rPr>
          <w:rStyle w:val="referencia"/>
          <w:rFonts w:ascii="Calibri" w:hAnsi="Calibri"/>
          <w:i/>
          <w:szCs w:val="22"/>
        </w:rPr>
        <w:t xml:space="preserve">Resource Paper: No net loss and loss–gain calculations in biodiversity offsets. </w:t>
      </w:r>
      <w:r w:rsidRPr="00FE4CC2">
        <w:rPr>
          <w:rStyle w:val="referencia"/>
          <w:rFonts w:ascii="Calibri" w:hAnsi="Calibri"/>
          <w:szCs w:val="22"/>
        </w:rPr>
        <w:t>Business and Biodiversity Offsets Programme, Washington, DC.</w:t>
      </w:r>
    </w:p>
    <w:p w14:paraId="471DE5D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Begossi, A., May, P. H., Lopes, P. F., Oliveira, L. E. C., da Vinha, V., &amp; Silvano, R. A. M. (2011). </w:t>
      </w:r>
      <w:r w:rsidRPr="00FE4CC2">
        <w:rPr>
          <w:rStyle w:val="referencia"/>
          <w:rFonts w:ascii="Calibri" w:hAnsi="Calibri"/>
          <w:szCs w:val="22"/>
        </w:rPr>
        <w:t xml:space="preserve">Compensation for environmental services from artisanal fisheries in SE Brazil: policy and technical strategies. </w:t>
      </w:r>
      <w:r w:rsidRPr="00FE4CC2">
        <w:rPr>
          <w:rStyle w:val="referencia"/>
          <w:rFonts w:ascii="Calibri" w:hAnsi="Calibri"/>
          <w:i/>
          <w:szCs w:val="22"/>
        </w:rPr>
        <w:t>Ecological Economics</w:t>
      </w:r>
      <w:r w:rsidRPr="00FE4CC2">
        <w:rPr>
          <w:rStyle w:val="referencia"/>
          <w:rFonts w:ascii="Calibri" w:hAnsi="Calibri"/>
          <w:szCs w:val="22"/>
        </w:rPr>
        <w:t>, 71, 25-32.</w:t>
      </w:r>
    </w:p>
    <w:p w14:paraId="6107D67A" w14:textId="77777777" w:rsidR="006969D3" w:rsidRPr="00FE4CC2" w:rsidRDefault="006969D3" w:rsidP="006969D3">
      <w:pPr>
        <w:autoSpaceDE w:val="0"/>
        <w:autoSpaceDN w:val="0"/>
        <w:adjustRightInd w:val="0"/>
        <w:ind w:left="851" w:hanging="851"/>
        <w:contextualSpacing/>
        <w:rPr>
          <w:szCs w:val="22"/>
        </w:rPr>
      </w:pPr>
      <w:r w:rsidRPr="00FE4CC2">
        <w:rPr>
          <w:rStyle w:val="referencia"/>
          <w:rFonts w:ascii="Calibri" w:hAnsi="Calibri"/>
          <w:szCs w:val="22"/>
        </w:rPr>
        <w:t xml:space="preserve">Beling, </w:t>
      </w:r>
      <w:r w:rsidRPr="00FE4CC2">
        <w:rPr>
          <w:szCs w:val="22"/>
        </w:rPr>
        <w:t xml:space="preserve">A. E., Vanhulst, J., Demaria, F., Rabi, V., Carballo, A. E., &amp; Pelenc, J. (2018). Discursive synergies for a ‘Great Transformation’ towards sustainability: Pragmatic contributions to a necessary dialogue between Human Development, Degrowth, and Buen Vivir. </w:t>
      </w:r>
      <w:r w:rsidRPr="00FE4CC2">
        <w:rPr>
          <w:i/>
          <w:szCs w:val="22"/>
        </w:rPr>
        <w:t>Ecological Economics</w:t>
      </w:r>
      <w:r w:rsidRPr="00FE4CC2">
        <w:rPr>
          <w:szCs w:val="22"/>
        </w:rPr>
        <w:t>, 144, 304-313.</w:t>
      </w:r>
    </w:p>
    <w:p w14:paraId="04BBF0F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Bennett, N. J., Blythe, J., Tyler, S., &amp; Ban, N. C. (2015). Communities and change in the Anthropocene: understanding social-ecological vulnerability and planning adaptations to multiple interacting exposures. </w:t>
      </w:r>
      <w:r w:rsidRPr="00FE4CC2">
        <w:rPr>
          <w:rStyle w:val="referencia"/>
          <w:rFonts w:ascii="Calibri" w:hAnsi="Calibri"/>
          <w:i/>
          <w:szCs w:val="22"/>
        </w:rPr>
        <w:t>Regional Environmental Change</w:t>
      </w:r>
      <w:r w:rsidRPr="00FE4CC2">
        <w:rPr>
          <w:rStyle w:val="referencia"/>
          <w:rFonts w:ascii="Calibri" w:hAnsi="Calibri"/>
          <w:szCs w:val="22"/>
        </w:rPr>
        <w:t>, 16(4), 907-926.</w:t>
      </w:r>
    </w:p>
    <w:p w14:paraId="3917399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Berkes, F. (2006). From community-based resource management to complex systems: the scale issue and marine commons. </w:t>
      </w:r>
      <w:r w:rsidRPr="00FE4CC2">
        <w:rPr>
          <w:rStyle w:val="referencia"/>
          <w:rFonts w:ascii="Calibri" w:hAnsi="Calibri"/>
          <w:i/>
          <w:szCs w:val="22"/>
        </w:rPr>
        <w:t>Ecology and Society</w:t>
      </w:r>
      <w:r w:rsidRPr="00FE4CC2">
        <w:rPr>
          <w:rStyle w:val="referencia"/>
          <w:rFonts w:ascii="Calibri" w:hAnsi="Calibri"/>
          <w:szCs w:val="22"/>
        </w:rPr>
        <w:t>, 11(1), 45-56.</w:t>
      </w:r>
    </w:p>
    <w:p w14:paraId="4B09799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Berkes, F. (2009). Evolution of co-management: Role of knowledge generation, bridging organizations and social learning. </w:t>
      </w:r>
      <w:r w:rsidRPr="00FE4CC2">
        <w:rPr>
          <w:rStyle w:val="referencia"/>
          <w:rFonts w:ascii="Calibri" w:hAnsi="Calibri"/>
          <w:i/>
          <w:szCs w:val="22"/>
        </w:rPr>
        <w:t>Journal of Environmental Management</w:t>
      </w:r>
      <w:r w:rsidRPr="00FE4CC2">
        <w:rPr>
          <w:rStyle w:val="referencia"/>
          <w:rFonts w:ascii="Calibri" w:hAnsi="Calibri"/>
          <w:szCs w:val="22"/>
        </w:rPr>
        <w:t>, 90, 1692–1702.</w:t>
      </w:r>
    </w:p>
    <w:p w14:paraId="4589D1D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Biggs, R., Schlüter, M., Biggs, D., Bohensky, E. L., BurnSilver, S., Cundill, G., Dakos, V., Daw, T. M., Evans, L. S., Kotschy, K., Leitch, A. M., Meek, C., Quinlan, A., Raudsepp-Hearne, C., Robards, M. D., Schoon, M. L., Schultz, L., &amp; West, P. C. (2012). Toward principles for enhancing the resilience of ecosystem services. </w:t>
      </w:r>
      <w:r w:rsidRPr="00FE4CC2">
        <w:rPr>
          <w:rStyle w:val="referencia"/>
          <w:rFonts w:ascii="Calibri" w:hAnsi="Calibri"/>
          <w:i/>
          <w:szCs w:val="22"/>
        </w:rPr>
        <w:t>Annual Review of Environmental Resources</w:t>
      </w:r>
      <w:r w:rsidRPr="00FE4CC2">
        <w:rPr>
          <w:rStyle w:val="referencia"/>
          <w:rFonts w:ascii="Calibri" w:hAnsi="Calibri"/>
          <w:szCs w:val="22"/>
        </w:rPr>
        <w:t>, 37, 421–48.</w:t>
      </w:r>
    </w:p>
    <w:p w14:paraId="534341D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Bishop, J. (Ed.), (2012). </w:t>
      </w:r>
      <w:r w:rsidRPr="00FE4CC2">
        <w:rPr>
          <w:rStyle w:val="referencia"/>
          <w:rFonts w:ascii="Calibri" w:hAnsi="Calibri"/>
          <w:i/>
          <w:szCs w:val="22"/>
        </w:rPr>
        <w:t>TEEB – The economics of ecosystem and biodiversity in business and enterprise.</w:t>
      </w:r>
      <w:r w:rsidRPr="00FE4CC2">
        <w:rPr>
          <w:rStyle w:val="referencia"/>
          <w:rFonts w:ascii="Calibri" w:hAnsi="Calibri"/>
          <w:szCs w:val="22"/>
        </w:rPr>
        <w:t xml:space="preserve"> Earthscan, Routledge, London.</w:t>
      </w:r>
    </w:p>
    <w:p w14:paraId="5641220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Blackman, A., &amp; Naranjo, M. A. (2012). Does eco-certification have environmental benefits? Organic coffee in Costa Rica. </w:t>
      </w:r>
      <w:r w:rsidRPr="00FE4CC2">
        <w:rPr>
          <w:rStyle w:val="referencia"/>
          <w:rFonts w:ascii="Calibri" w:hAnsi="Calibri"/>
          <w:i/>
          <w:szCs w:val="22"/>
        </w:rPr>
        <w:t>Ecological Economics</w:t>
      </w:r>
      <w:r w:rsidRPr="00FE4CC2">
        <w:rPr>
          <w:rStyle w:val="referencia"/>
          <w:rFonts w:ascii="Calibri" w:hAnsi="Calibri"/>
          <w:szCs w:val="22"/>
        </w:rPr>
        <w:t xml:space="preserve">, 83, 58–66. </w:t>
      </w:r>
    </w:p>
    <w:p w14:paraId="1BC25EDA"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Blackman, A., &amp; Rivera, J. (2011). Producer-level benefits of sustainability certification. </w:t>
      </w:r>
      <w:r w:rsidRPr="00FE4CC2">
        <w:rPr>
          <w:rStyle w:val="referencia"/>
          <w:rFonts w:ascii="Calibri" w:hAnsi="Calibri"/>
          <w:i/>
          <w:szCs w:val="22"/>
        </w:rPr>
        <w:t>Conservation Biology</w:t>
      </w:r>
      <w:r w:rsidRPr="00FE4CC2">
        <w:rPr>
          <w:rStyle w:val="referencia"/>
          <w:rFonts w:ascii="Calibri" w:hAnsi="Calibri"/>
          <w:szCs w:val="22"/>
        </w:rPr>
        <w:t xml:space="preserve">, 25(6), 1176–1185. </w:t>
      </w:r>
    </w:p>
    <w:p w14:paraId="0ABD868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Boden, T. A., Marland, G., &amp; Andres, R. J. (2015). </w:t>
      </w:r>
      <w:r w:rsidRPr="00FE4CC2">
        <w:rPr>
          <w:rStyle w:val="referencia"/>
          <w:rFonts w:ascii="Calibri" w:hAnsi="Calibri"/>
          <w:i/>
          <w:szCs w:val="22"/>
        </w:rPr>
        <w:t>National CO</w:t>
      </w:r>
      <w:r w:rsidRPr="00FE4CC2">
        <w:rPr>
          <w:rStyle w:val="referencia"/>
          <w:rFonts w:ascii="Calibri" w:hAnsi="Calibri"/>
          <w:i/>
          <w:szCs w:val="22"/>
          <w:vertAlign w:val="subscript"/>
        </w:rPr>
        <w:t>2</w:t>
      </w:r>
      <w:r w:rsidRPr="00FE4CC2">
        <w:rPr>
          <w:rStyle w:val="referencia"/>
          <w:rFonts w:ascii="Calibri" w:hAnsi="Calibri"/>
          <w:i/>
          <w:szCs w:val="22"/>
        </w:rPr>
        <w:t xml:space="preserve"> Emissions from Fossil-Fuel Burning, Cement Manufacture, and Gas Flaring: 1751-2011</w:t>
      </w:r>
      <w:r w:rsidRPr="00FE4CC2">
        <w:rPr>
          <w:rStyle w:val="referencia"/>
          <w:rFonts w:ascii="Calibri" w:hAnsi="Calibri"/>
          <w:szCs w:val="22"/>
        </w:rPr>
        <w:t xml:space="preserve">, Carbon Dioxide Information Analysis Center, Oak Ridge National Laboratory, U.S. Department of Energy. </w:t>
      </w:r>
      <w:r w:rsidRPr="00FE4CC2">
        <w:rPr>
          <w:rStyle w:val="referencia"/>
          <w:rFonts w:ascii="Calibri" w:hAnsi="Calibri"/>
          <w:szCs w:val="22"/>
          <w:lang w:val="en-GB"/>
        </w:rPr>
        <w:t>https://doi.org/</w:t>
      </w:r>
      <w:r w:rsidRPr="00FE4CC2">
        <w:rPr>
          <w:rStyle w:val="referencia"/>
          <w:rFonts w:ascii="Calibri" w:hAnsi="Calibri"/>
          <w:szCs w:val="22"/>
        </w:rPr>
        <w:t>10.3334/CDIAC/00001_,V2015.</w:t>
      </w:r>
    </w:p>
    <w:p w14:paraId="23DF68E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Borges Hernández, T., Coya de la Fuente, L., &amp; Wald, K. L. (2008). </w:t>
      </w:r>
      <w:r w:rsidRPr="00FE4CC2">
        <w:rPr>
          <w:rStyle w:val="referencia"/>
          <w:rFonts w:ascii="Calibri" w:hAnsi="Calibri"/>
          <w:szCs w:val="22"/>
        </w:rPr>
        <w:t xml:space="preserve">Protected areas and tourism in Cuba. In A. Stronza &amp; W. H. Durham (Eds.), </w:t>
      </w:r>
      <w:r w:rsidRPr="00FE4CC2">
        <w:rPr>
          <w:rStyle w:val="referencia"/>
          <w:rFonts w:ascii="Calibri" w:hAnsi="Calibri"/>
          <w:i/>
          <w:szCs w:val="22"/>
        </w:rPr>
        <w:t>Ecotourism and Conservation in the Americas</w:t>
      </w:r>
      <w:r w:rsidRPr="00FE4CC2">
        <w:rPr>
          <w:rStyle w:val="referencia"/>
          <w:rFonts w:ascii="Calibri" w:hAnsi="Calibri"/>
          <w:szCs w:val="22"/>
        </w:rPr>
        <w:t xml:space="preserve"> </w:t>
      </w:r>
      <w:r w:rsidRPr="00FE4CC2">
        <w:rPr>
          <w:noProof/>
          <w:szCs w:val="22"/>
        </w:rPr>
        <w:t xml:space="preserve">(pp. </w:t>
      </w:r>
      <w:r w:rsidRPr="00FE4CC2">
        <w:rPr>
          <w:rStyle w:val="referencia"/>
          <w:rFonts w:ascii="Calibri" w:hAnsi="Calibri"/>
          <w:szCs w:val="22"/>
        </w:rPr>
        <w:t xml:space="preserve">179-90). Wallingford, UK: Cabi International. </w:t>
      </w:r>
    </w:p>
    <w:p w14:paraId="4CC90B3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Börner, J., Baylis, K., Corbera, E., Ezzine-de-Blas, D., Ferraro, P., Honey-Rosés, J., Lapeyre, R., Persson, M., &amp; Wunder, S. (2016). Emerging evidence on the effectiveness of tropical forest conservation. </w:t>
      </w:r>
      <w:r w:rsidRPr="00FE4CC2">
        <w:rPr>
          <w:rStyle w:val="referencia"/>
          <w:rFonts w:ascii="Calibri" w:hAnsi="Calibri"/>
          <w:i/>
          <w:szCs w:val="22"/>
        </w:rPr>
        <w:t>PLoS One</w:t>
      </w:r>
      <w:r w:rsidRPr="00FE4CC2">
        <w:rPr>
          <w:rStyle w:val="referencia"/>
          <w:rFonts w:ascii="Calibri" w:hAnsi="Calibri"/>
          <w:szCs w:val="22"/>
        </w:rPr>
        <w:t>, 11(11), e0159152</w:t>
      </w:r>
    </w:p>
    <w:p w14:paraId="57BF080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Borrini-Feyerabend, G., Kothari, A., &amp; Oviedo, G. (2004). </w:t>
      </w:r>
      <w:r w:rsidRPr="00FE4CC2">
        <w:rPr>
          <w:rStyle w:val="referencia"/>
          <w:rFonts w:ascii="Calibri" w:hAnsi="Calibri"/>
          <w:i/>
          <w:szCs w:val="22"/>
        </w:rPr>
        <w:t>Indigenous and Local Communities and Protected Areas - Towards Equity and Enhanced Conservation: Guidance on policy and practice for co-managed areas and Community Conserved Areas.</w:t>
      </w:r>
      <w:r w:rsidRPr="00FE4CC2">
        <w:rPr>
          <w:rStyle w:val="referencia"/>
          <w:rFonts w:ascii="Calibri" w:hAnsi="Calibri"/>
          <w:szCs w:val="22"/>
        </w:rPr>
        <w:t xml:space="preserve"> (Best Practice Protected Area Guidelines Series n.11 - Adrian Phillips, Series Editor). World Commission on Protected Areas (WCPA). IUCN. </w:t>
      </w:r>
      <w:r w:rsidRPr="00FE4CC2">
        <w:rPr>
          <w:noProof/>
          <w:szCs w:val="22"/>
        </w:rPr>
        <w:t xml:space="preserve">(pp. </w:t>
      </w:r>
      <w:r w:rsidRPr="00FE4CC2">
        <w:rPr>
          <w:rStyle w:val="referencia"/>
          <w:rFonts w:ascii="Calibri" w:hAnsi="Calibri"/>
          <w:szCs w:val="22"/>
        </w:rPr>
        <w:t>139)</w:t>
      </w:r>
    </w:p>
    <w:p w14:paraId="56A3DB58"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Bourne, A., Holness, S., Holden, P. et al., (2016). A socio-ecological approach for identifying and contextualising spatial ecosystem-based adaptation priorities at the sub-national level. </w:t>
      </w:r>
      <w:r w:rsidRPr="00FE4CC2">
        <w:rPr>
          <w:rStyle w:val="referencia"/>
          <w:rFonts w:ascii="Calibri" w:hAnsi="Calibri"/>
          <w:i/>
          <w:szCs w:val="22"/>
          <w:lang w:val="pt-BR"/>
        </w:rPr>
        <w:t>PLoS One</w:t>
      </w:r>
      <w:r w:rsidRPr="00FE4CC2">
        <w:rPr>
          <w:rStyle w:val="referencia"/>
          <w:rFonts w:ascii="Calibri" w:hAnsi="Calibri"/>
          <w:szCs w:val="22"/>
          <w:lang w:val="pt-BR"/>
        </w:rPr>
        <w:t>,</w:t>
      </w:r>
      <w:r w:rsidRPr="00FE4CC2">
        <w:rPr>
          <w:rStyle w:val="referencia"/>
          <w:rFonts w:ascii="Calibri" w:hAnsi="Calibri"/>
          <w:i/>
          <w:szCs w:val="22"/>
          <w:lang w:val="pt-BR"/>
        </w:rPr>
        <w:t xml:space="preserve"> </w:t>
      </w:r>
      <w:r w:rsidRPr="00FE4CC2">
        <w:rPr>
          <w:rStyle w:val="referencia"/>
          <w:rFonts w:ascii="Calibri" w:hAnsi="Calibri"/>
          <w:szCs w:val="22"/>
          <w:lang w:val="pt-BR"/>
        </w:rPr>
        <w:t>11(5), e0155235. https://doi.org/10.1371/journal.pone.0155235</w:t>
      </w:r>
    </w:p>
    <w:p w14:paraId="6722A0E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Boyd, J. (2002). </w:t>
      </w:r>
      <w:r w:rsidRPr="00FE4CC2">
        <w:rPr>
          <w:rStyle w:val="referencia"/>
          <w:rFonts w:ascii="Calibri" w:hAnsi="Calibri"/>
          <w:szCs w:val="22"/>
        </w:rPr>
        <w:t xml:space="preserve">Financial responsibility for environmental obligations: Are bonding and assurance rules fulfilling their promises? </w:t>
      </w:r>
      <w:r w:rsidRPr="00FE4CC2">
        <w:rPr>
          <w:rStyle w:val="referencia"/>
          <w:rFonts w:ascii="Calibri" w:hAnsi="Calibri"/>
          <w:i/>
          <w:szCs w:val="22"/>
        </w:rPr>
        <w:t>Research in Law and Economics</w:t>
      </w:r>
      <w:r w:rsidRPr="00FE4CC2">
        <w:rPr>
          <w:rStyle w:val="referencia"/>
          <w:rFonts w:ascii="Calibri" w:hAnsi="Calibri"/>
          <w:szCs w:val="22"/>
        </w:rPr>
        <w:t>, 20, 417–486.</w:t>
      </w:r>
    </w:p>
    <w:p w14:paraId="368380E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Brancalion, P. H. S., Garcia, L. C., Loyola, R., Rodrigues, R. R., Pillar, V. D., &amp; Lewinsohn, T. M. (2016). A critical analysis of the Native Vegetation Protection Law of Brazil (2012): updates and ongoing initiatives. </w:t>
      </w:r>
      <w:r w:rsidRPr="00FE4CC2">
        <w:rPr>
          <w:rStyle w:val="referencia"/>
          <w:rFonts w:ascii="Calibri" w:hAnsi="Calibri"/>
          <w:i/>
          <w:szCs w:val="22"/>
        </w:rPr>
        <w:t>Natureza e Conservação</w:t>
      </w:r>
      <w:r w:rsidRPr="00FE4CC2">
        <w:rPr>
          <w:rStyle w:val="referencia"/>
          <w:rFonts w:ascii="Calibri" w:hAnsi="Calibri"/>
          <w:szCs w:val="22"/>
        </w:rPr>
        <w:t>, 14(S1), 1-15.</w:t>
      </w:r>
    </w:p>
    <w:p w14:paraId="6DF5069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Braza, M. (2017). </w:t>
      </w:r>
      <w:r w:rsidRPr="00FE4CC2">
        <w:rPr>
          <w:szCs w:val="22"/>
        </w:rPr>
        <w:t>Effectiveness of conservation easements in agricultural regions.</w:t>
      </w:r>
      <w:r w:rsidRPr="00FE4CC2">
        <w:rPr>
          <w:i/>
          <w:szCs w:val="22"/>
        </w:rPr>
        <w:t xml:space="preserve"> </w:t>
      </w:r>
      <w:r w:rsidRPr="00FE4CC2">
        <w:rPr>
          <w:rStyle w:val="referencia"/>
          <w:rFonts w:ascii="Calibri" w:hAnsi="Calibri"/>
          <w:i/>
          <w:szCs w:val="22"/>
        </w:rPr>
        <w:t>Conservation Biology</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31, 848-859.</w:t>
      </w:r>
    </w:p>
    <w:p w14:paraId="6C0AC58A" w14:textId="77777777" w:rsidR="006969D3" w:rsidRPr="00FE4CC2" w:rsidRDefault="006969D3" w:rsidP="006969D3">
      <w:pPr>
        <w:autoSpaceDE w:val="0"/>
        <w:autoSpaceDN w:val="0"/>
        <w:adjustRightInd w:val="0"/>
        <w:ind w:left="851" w:hanging="851"/>
        <w:rPr>
          <w:rStyle w:val="referencia"/>
          <w:rFonts w:ascii="Calibri" w:hAnsi="Calibri"/>
          <w:szCs w:val="22"/>
          <w:lang w:val="pt-BR"/>
        </w:rPr>
      </w:pPr>
      <w:r w:rsidRPr="00FE4CC2">
        <w:rPr>
          <w:rStyle w:val="referencia"/>
          <w:rFonts w:ascii="Calibri" w:hAnsi="Calibri"/>
          <w:szCs w:val="22"/>
        </w:rPr>
        <w:t xml:space="preserve">Brink, E., Aalders, T., Ádám, D., </w:t>
      </w:r>
      <w:r w:rsidRPr="00FE4CC2">
        <w:rPr>
          <w:rFonts w:eastAsiaTheme="minorEastAsia"/>
          <w:color w:val="000000"/>
          <w:szCs w:val="22"/>
          <w:lang w:val="en-GB" w:eastAsia="es-ES"/>
        </w:rPr>
        <w:t>Feller, R., Henselek, Y., Hoffmann, A., Ibe, K., Matthey-Doret, A., Meyer, M., Negrut, N. L., Rau, A.-L., Riewerts, B., von Schuckmann, L., Törnros, S., von Wehrden, H., Abson, D. J., &amp; Wamsler, C.</w:t>
      </w:r>
      <w:r w:rsidRPr="00FE4CC2">
        <w:rPr>
          <w:rStyle w:val="referencia"/>
          <w:rFonts w:ascii="Calibri" w:hAnsi="Calibri"/>
          <w:szCs w:val="22"/>
        </w:rPr>
        <w:t xml:space="preserve"> (2016). Cascades of green: A review of ecosystem-based adaptation in urban areas. </w:t>
      </w:r>
      <w:r w:rsidRPr="00FE4CC2">
        <w:rPr>
          <w:rStyle w:val="referencia"/>
          <w:rFonts w:ascii="Calibri" w:hAnsi="Calibri"/>
          <w:i/>
          <w:szCs w:val="22"/>
          <w:lang w:val="pt-BR"/>
        </w:rPr>
        <w:t>Global Environmental Change</w:t>
      </w:r>
      <w:r w:rsidRPr="00FE4CC2">
        <w:rPr>
          <w:rStyle w:val="referencia"/>
          <w:rFonts w:ascii="Calibri" w:hAnsi="Calibri"/>
          <w:szCs w:val="22"/>
          <w:lang w:val="pt-BR"/>
        </w:rPr>
        <w:t>, 36, 111-123.</w:t>
      </w:r>
    </w:p>
    <w:p w14:paraId="7449348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Brito, D., Ambal, R. G., Brooks, T., De Silva, N., Foster, M., Hao, W., Hilton-Taylor, C., Paglia, A., Rodríguez, J. P., &amp; Rodríguez, J. V. (2010). </w:t>
      </w:r>
      <w:r w:rsidRPr="00FE4CC2">
        <w:rPr>
          <w:rStyle w:val="referencia"/>
          <w:rFonts w:ascii="Calibri" w:hAnsi="Calibri"/>
          <w:szCs w:val="22"/>
        </w:rPr>
        <w:t xml:space="preserve">How similar are national red lists and the IUCN Red List? </w:t>
      </w:r>
      <w:r w:rsidRPr="00FE4CC2">
        <w:rPr>
          <w:rStyle w:val="referencia"/>
          <w:rFonts w:ascii="Calibri" w:hAnsi="Calibri"/>
          <w:i/>
          <w:szCs w:val="22"/>
        </w:rPr>
        <w:t>Biological Conservation</w:t>
      </w:r>
      <w:r w:rsidRPr="00FE4CC2">
        <w:rPr>
          <w:rStyle w:val="referencia"/>
          <w:rFonts w:ascii="Calibri" w:hAnsi="Calibri"/>
          <w:szCs w:val="22"/>
        </w:rPr>
        <w:t>, 143(5), 1154-1158.</w:t>
      </w:r>
    </w:p>
    <w:p w14:paraId="3771AA9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Brondizio, E.S., Ostrom, E., &amp; Young, O. R. (2009). </w:t>
      </w:r>
      <w:r w:rsidRPr="00FE4CC2">
        <w:rPr>
          <w:rStyle w:val="referencia"/>
          <w:rFonts w:ascii="Calibri" w:hAnsi="Calibri"/>
          <w:szCs w:val="22"/>
        </w:rPr>
        <w:t xml:space="preserve">Connectivity and the governance of multilevel social-ecological systems: the role of social capital. </w:t>
      </w:r>
      <w:r w:rsidRPr="00FE4CC2">
        <w:rPr>
          <w:rStyle w:val="referencia"/>
          <w:rFonts w:ascii="Calibri" w:hAnsi="Calibri"/>
          <w:i/>
          <w:szCs w:val="22"/>
        </w:rPr>
        <w:t>Annual Review of Environmental Resources</w:t>
      </w:r>
      <w:r w:rsidRPr="00FE4CC2">
        <w:rPr>
          <w:rStyle w:val="referencia"/>
          <w:rFonts w:ascii="Calibri" w:hAnsi="Calibri"/>
          <w:szCs w:val="22"/>
        </w:rPr>
        <w:t>, 34, 253-278.</w:t>
      </w:r>
    </w:p>
    <w:p w14:paraId="1EAB1517" w14:textId="77777777" w:rsidR="006969D3" w:rsidRPr="00FE4CC2" w:rsidRDefault="006969D3" w:rsidP="006969D3">
      <w:pPr>
        <w:ind w:left="851" w:hanging="851"/>
        <w:contextualSpacing/>
        <w:rPr>
          <w:rStyle w:val="referencia"/>
          <w:rFonts w:ascii="Calibri" w:hAnsi="Calibri"/>
          <w:szCs w:val="22"/>
        </w:rPr>
      </w:pPr>
      <w:r w:rsidRPr="00FE4CC2">
        <w:rPr>
          <w:szCs w:val="22"/>
        </w:rPr>
        <w:t xml:space="preserve">Brook, B. W., Ellis, E. C., Perring, M. P., Mackay, A. W., &amp; Blomqvist, L. (2013). Does the terrestrial biosphere have planetary tipping points? </w:t>
      </w:r>
      <w:r w:rsidRPr="00FE4CC2">
        <w:rPr>
          <w:i/>
          <w:szCs w:val="22"/>
        </w:rPr>
        <w:t>Trends in Ecology and Evolution</w:t>
      </w:r>
      <w:r w:rsidRPr="00FE4CC2">
        <w:rPr>
          <w:szCs w:val="22"/>
        </w:rPr>
        <w:t>, 28, 396-401.</w:t>
      </w:r>
    </w:p>
    <w:p w14:paraId="2454D4D8" w14:textId="77777777" w:rsidR="006969D3" w:rsidRPr="00FE4CC2" w:rsidRDefault="006969D3" w:rsidP="006969D3">
      <w:pPr>
        <w:widowControl w:val="0"/>
        <w:autoSpaceDE w:val="0"/>
        <w:autoSpaceDN w:val="0"/>
        <w:adjustRightInd w:val="0"/>
        <w:ind w:left="851" w:hanging="851"/>
        <w:contextualSpacing/>
        <w:rPr>
          <w:noProof/>
          <w:szCs w:val="22"/>
        </w:rPr>
      </w:pPr>
      <w:r w:rsidRPr="00FE4CC2">
        <w:rPr>
          <w:noProof/>
          <w:szCs w:val="22"/>
        </w:rPr>
        <w:t xml:space="preserve">Brownlie, S., King, N., &amp; Treweek, J. (2013). Biodiversity tradeoffs and offsets in impact assessment and decision making: can we stop the loss? </w:t>
      </w:r>
      <w:r w:rsidRPr="00FE4CC2">
        <w:rPr>
          <w:i/>
          <w:iCs/>
          <w:noProof/>
          <w:szCs w:val="22"/>
        </w:rPr>
        <w:t>Impact Assessment and Project Appraisal</w:t>
      </w:r>
      <w:r w:rsidRPr="00FE4CC2">
        <w:rPr>
          <w:i/>
          <w:noProof/>
          <w:szCs w:val="22"/>
        </w:rPr>
        <w:t xml:space="preserve">, </w:t>
      </w:r>
      <w:r w:rsidRPr="00FE4CC2">
        <w:rPr>
          <w:iCs/>
          <w:noProof/>
          <w:szCs w:val="22"/>
        </w:rPr>
        <w:t>31</w:t>
      </w:r>
      <w:r w:rsidRPr="00FE4CC2">
        <w:rPr>
          <w:noProof/>
          <w:szCs w:val="22"/>
        </w:rPr>
        <w:t xml:space="preserve">(1), 24–33. </w:t>
      </w:r>
    </w:p>
    <w:p w14:paraId="657632D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Bruner, A. G., Gullison, R. E., Rice, R. E., &amp; da Fonseca, G. A. B. (2001). Effectiveness of parks in protecting biodiversity. </w:t>
      </w:r>
      <w:r w:rsidRPr="00FE4CC2">
        <w:rPr>
          <w:rStyle w:val="referencia"/>
          <w:rFonts w:ascii="Calibri" w:hAnsi="Calibri"/>
          <w:i/>
          <w:szCs w:val="22"/>
        </w:rPr>
        <w:t>Science</w:t>
      </w:r>
      <w:r w:rsidRPr="00FE4CC2">
        <w:rPr>
          <w:rStyle w:val="referencia"/>
          <w:rFonts w:ascii="Calibri" w:hAnsi="Calibri"/>
          <w:szCs w:val="22"/>
        </w:rPr>
        <w:t>, 291, 125-128.</w:t>
      </w:r>
    </w:p>
    <w:p w14:paraId="028A44A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Buckley, R., (2009). Evaluating the net effects of ecotourism on the environment: a framework, first assessment and future research.</w:t>
      </w:r>
      <w:r w:rsidRPr="00FE4CC2">
        <w:rPr>
          <w:rStyle w:val="referencia"/>
          <w:rFonts w:ascii="Calibri" w:hAnsi="Calibri"/>
          <w:i/>
          <w:szCs w:val="22"/>
        </w:rPr>
        <w:t xml:space="preserve"> Journal of Sustainable Tourism</w:t>
      </w:r>
      <w:r w:rsidRPr="00FE4CC2">
        <w:rPr>
          <w:rStyle w:val="referencia"/>
          <w:rFonts w:ascii="Calibri" w:hAnsi="Calibri"/>
          <w:szCs w:val="22"/>
        </w:rPr>
        <w:t>, 17(6), 643–672.</w:t>
      </w:r>
    </w:p>
    <w:p w14:paraId="0D791BA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Bullock, J. M., Aronson, J., Newton, A. C., Pywell, R. F., &amp; Rey-Benayas, J. M. (2011). Restoration of ecosystem services and biodiversity: conflicts and opportunities. </w:t>
      </w:r>
      <w:r w:rsidRPr="00FE4CC2">
        <w:rPr>
          <w:rStyle w:val="referencia"/>
          <w:rFonts w:ascii="Calibri" w:hAnsi="Calibri"/>
          <w:i/>
          <w:szCs w:val="22"/>
        </w:rPr>
        <w:t>Trends in Ecology and Evolution</w:t>
      </w:r>
      <w:r w:rsidRPr="00FE4CC2">
        <w:rPr>
          <w:rStyle w:val="referencia"/>
          <w:rFonts w:ascii="Calibri" w:hAnsi="Calibri"/>
          <w:szCs w:val="22"/>
        </w:rPr>
        <w:t>, 23(10), 541-549.</w:t>
      </w:r>
    </w:p>
    <w:p w14:paraId="7A27A79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Burgeff, C., Huerta, E., Acevedo, F., &amp; Sarukhán, J. (2014). </w:t>
      </w:r>
      <w:r w:rsidRPr="00FE4CC2">
        <w:rPr>
          <w:rStyle w:val="referencia"/>
          <w:rFonts w:ascii="Calibri" w:hAnsi="Calibri"/>
          <w:szCs w:val="22"/>
        </w:rPr>
        <w:t xml:space="preserve">How much can GMO and non-GMO cultivars coexist in a megadiverse country? </w:t>
      </w:r>
      <w:r w:rsidRPr="00FE4CC2">
        <w:rPr>
          <w:rStyle w:val="referencia"/>
          <w:rFonts w:ascii="Calibri" w:hAnsi="Calibri"/>
          <w:i/>
          <w:szCs w:val="22"/>
        </w:rPr>
        <w:t>AgBioForum</w:t>
      </w:r>
      <w:r w:rsidRPr="00FE4CC2">
        <w:rPr>
          <w:rStyle w:val="referencia"/>
          <w:rFonts w:ascii="Calibri" w:hAnsi="Calibri"/>
          <w:szCs w:val="22"/>
        </w:rPr>
        <w:t>, 17(1), 90-101.</w:t>
      </w:r>
    </w:p>
    <w:p w14:paraId="5E556AB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Burney, J., Cesano, D., Russell, J., La Rovere, E. L., Corral, T., Coelho, N. S., &amp; Santos, L. (2014). Climate change adaptation strategies for smallholder farmers in the Brazilian Sertão. </w:t>
      </w:r>
      <w:r w:rsidRPr="00FE4CC2">
        <w:rPr>
          <w:rStyle w:val="referencia"/>
          <w:rFonts w:ascii="Calibri" w:hAnsi="Calibri"/>
          <w:i/>
          <w:szCs w:val="22"/>
        </w:rPr>
        <w:t>Climatic Change</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126, 45–59.</w:t>
      </w:r>
    </w:p>
    <w:p w14:paraId="0DEB583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Butler, W.H., &amp; Goldstein, B. E. (2010). The US Fire Learning Network: Springing a Rigidity Trap through Multiscalar Collaborative Networks. </w:t>
      </w:r>
      <w:r w:rsidRPr="00FE4CC2">
        <w:rPr>
          <w:rStyle w:val="referencia"/>
          <w:rFonts w:ascii="Calibri" w:hAnsi="Calibri"/>
          <w:i/>
          <w:szCs w:val="22"/>
        </w:rPr>
        <w:t>Ecology and Society</w:t>
      </w:r>
      <w:r w:rsidRPr="00FE4CC2">
        <w:rPr>
          <w:rStyle w:val="referencia"/>
          <w:rFonts w:ascii="Calibri" w:hAnsi="Calibri"/>
          <w:szCs w:val="22"/>
        </w:rPr>
        <w:t xml:space="preserve">, 15(3), 21.  http://www. ecologyandsociety.org/vol15/iss3/art21/ </w:t>
      </w:r>
    </w:p>
    <w:p w14:paraId="18A484E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Cabrera Medaglia, J., (2013). </w:t>
      </w:r>
      <w:r w:rsidRPr="00FE4CC2">
        <w:rPr>
          <w:rStyle w:val="referencia"/>
          <w:rFonts w:ascii="Calibri" w:hAnsi="Calibri"/>
          <w:i/>
          <w:szCs w:val="22"/>
        </w:rPr>
        <w:t xml:space="preserve">The implementation of the Nagoya Protocol in Latin America and the Caribbean: Challenges and Opportunities. </w:t>
      </w:r>
      <w:r w:rsidRPr="00FE4CC2">
        <w:rPr>
          <w:rStyle w:val="referencia"/>
          <w:rFonts w:ascii="Calibri" w:hAnsi="Calibri"/>
          <w:szCs w:val="22"/>
        </w:rPr>
        <w:t>In</w:t>
      </w:r>
      <w:r w:rsidRPr="00FE4CC2">
        <w:rPr>
          <w:rStyle w:val="referencia"/>
          <w:rFonts w:ascii="Calibri" w:hAnsi="Calibri"/>
          <w:i/>
          <w:szCs w:val="22"/>
        </w:rPr>
        <w:t xml:space="preserve"> </w:t>
      </w:r>
      <w:r w:rsidRPr="00FE4CC2">
        <w:rPr>
          <w:rStyle w:val="referencia"/>
          <w:rFonts w:ascii="Calibri" w:hAnsi="Calibri"/>
          <w:szCs w:val="22"/>
        </w:rPr>
        <w:t xml:space="preserve">E. Morgera, M. Buck, &amp; E. Tsioumani (Eds.), </w:t>
      </w:r>
      <w:r w:rsidRPr="00FE4CC2">
        <w:rPr>
          <w:rStyle w:val="referencia"/>
          <w:rFonts w:ascii="Calibri" w:hAnsi="Calibri"/>
          <w:i/>
          <w:szCs w:val="22"/>
        </w:rPr>
        <w:t xml:space="preserve">The 2010 Nagoya Protocol on Access and Benefit-Sharing in Perspective - Implications for International Law and Implementation Challenges </w:t>
      </w:r>
      <w:r w:rsidRPr="00FE4CC2">
        <w:rPr>
          <w:rStyle w:val="referencia"/>
          <w:rFonts w:ascii="Calibri" w:hAnsi="Calibri"/>
          <w:szCs w:val="22"/>
        </w:rPr>
        <w:t xml:space="preserve">(pp. 331-368). Leiden, Netherlands, Boston, United States: Martinus Nijhoff, </w:t>
      </w:r>
    </w:p>
    <w:p w14:paraId="7A8C92D2"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n-GB"/>
        </w:rPr>
        <w:t xml:space="preserve">Cáceres, D. M., Silvetti, F., &amp; Díaz, S. (2016). </w:t>
      </w:r>
      <w:r w:rsidRPr="00FE4CC2">
        <w:rPr>
          <w:rStyle w:val="referencia"/>
          <w:rFonts w:ascii="Calibri" w:hAnsi="Calibri"/>
          <w:szCs w:val="22"/>
        </w:rPr>
        <w:t xml:space="preserve">The rocky path from policy-relevant science to policy implementation — a case study from the South American Chaco. </w:t>
      </w:r>
      <w:r w:rsidRPr="00FE4CC2">
        <w:rPr>
          <w:rStyle w:val="referencia"/>
          <w:rFonts w:ascii="Calibri" w:hAnsi="Calibri"/>
          <w:i/>
          <w:szCs w:val="22"/>
          <w:lang w:val="es-CO"/>
        </w:rPr>
        <w:t>Current Opinion in Environmental Sustainability</w:t>
      </w:r>
      <w:r w:rsidRPr="00FE4CC2">
        <w:rPr>
          <w:rStyle w:val="referencia"/>
          <w:rFonts w:ascii="Calibri" w:hAnsi="Calibri"/>
          <w:szCs w:val="22"/>
          <w:lang w:val="es-CO"/>
        </w:rPr>
        <w:t>, 19, 57–66.</w:t>
      </w:r>
    </w:p>
    <w:p w14:paraId="7DE985DC"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Campos, A. G., &amp; Chaves, J. V. (2014). </w:t>
      </w:r>
      <w:r w:rsidRPr="00FE4CC2">
        <w:rPr>
          <w:rStyle w:val="referencia"/>
          <w:rFonts w:ascii="Calibri" w:hAnsi="Calibri"/>
          <w:i/>
          <w:szCs w:val="22"/>
          <w:lang w:val="es-CO"/>
        </w:rPr>
        <w:t>Seguro defeso: Diagnóstico dos problemas enfrentados pelo programa, Texto para Discussão</w:t>
      </w:r>
      <w:r w:rsidRPr="00FE4CC2">
        <w:rPr>
          <w:rStyle w:val="referencia"/>
          <w:rFonts w:ascii="Calibri" w:hAnsi="Calibri"/>
          <w:szCs w:val="22"/>
          <w:lang w:val="es-CO"/>
        </w:rPr>
        <w:t>, Instituto de Pesquisa Econômica Aplicada (IPEA), No. 1956, Brasília, Brasil.</w:t>
      </w:r>
    </w:p>
    <w:p w14:paraId="02C147A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Canada (2014). </w:t>
      </w:r>
      <w:r w:rsidRPr="00FE4CC2">
        <w:rPr>
          <w:rStyle w:val="referencia"/>
          <w:rFonts w:ascii="Calibri" w:hAnsi="Calibri"/>
          <w:i/>
          <w:szCs w:val="22"/>
        </w:rPr>
        <w:t xml:space="preserve">Canada´s Fifth National Report to the Convention on Biological Diversity. </w:t>
      </w:r>
      <w:r w:rsidRPr="00FE4CC2">
        <w:rPr>
          <w:rStyle w:val="referencia"/>
          <w:rFonts w:ascii="Calibri" w:hAnsi="Calibri"/>
          <w:szCs w:val="22"/>
        </w:rPr>
        <w:t xml:space="preserve">Canada Wildlife Service, Environment Canada, 112 p. Available at: </w:t>
      </w:r>
      <w:hyperlink r:id="rId1089" w:history="1">
        <w:r w:rsidRPr="00FE4CC2">
          <w:rPr>
            <w:rStyle w:val="referencia"/>
            <w:rFonts w:ascii="Calibri" w:hAnsi="Calibri"/>
            <w:szCs w:val="22"/>
          </w:rPr>
          <w:t>https://www.cbd.int/doc/ world/ca/ca-nr-05-en.pdf</w:t>
        </w:r>
      </w:hyperlink>
    </w:p>
    <w:p w14:paraId="4BE5A4F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Canada (2016). </w:t>
      </w:r>
      <w:r w:rsidRPr="00FE4CC2">
        <w:rPr>
          <w:rStyle w:val="referencia"/>
          <w:rFonts w:ascii="Calibri" w:hAnsi="Calibri"/>
          <w:i/>
          <w:szCs w:val="22"/>
        </w:rPr>
        <w:t xml:space="preserve">2020 Biodiversity goals and targets for Canada, </w:t>
      </w:r>
      <w:r w:rsidRPr="00FE4CC2">
        <w:rPr>
          <w:rStyle w:val="referencia"/>
          <w:rFonts w:ascii="Calibri" w:hAnsi="Calibri"/>
          <w:szCs w:val="22"/>
        </w:rPr>
        <w:t>4 p. Available at: http://publications.gc.ca/collections/collection_2016/eccc/CW66-524-2016-eng.pdf</w:t>
      </w:r>
    </w:p>
    <w:p w14:paraId="43F6310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Carneiro da Cunha, M., &amp; Morim de Lima, A. G. (2017) How Amazonian indigenous peoples contribute to biodiversity. </w:t>
      </w:r>
      <w:r w:rsidRPr="00FE4CC2">
        <w:rPr>
          <w:rStyle w:val="referencia"/>
          <w:rFonts w:ascii="Calibri" w:hAnsi="Calibri"/>
          <w:szCs w:val="22"/>
          <w:lang w:val="en-GB"/>
        </w:rPr>
        <w:t>In B. Baptiste, D. Pacheco, M. Carneiro da Cunha, &amp; S. Diaz (Eds.), </w:t>
      </w:r>
      <w:r w:rsidRPr="00FE4CC2">
        <w:rPr>
          <w:rStyle w:val="referencia"/>
          <w:rFonts w:ascii="Calibri" w:hAnsi="Calibri"/>
          <w:i/>
          <w:szCs w:val="22"/>
        </w:rPr>
        <w:t>Knowing our Lands and Resources: Indigenous and Local Knowledge of Biodiversity and Ecosystem Services in the Americas</w:t>
      </w:r>
      <w:r w:rsidRPr="00FE4CC2">
        <w:rPr>
          <w:rStyle w:val="referencia"/>
          <w:rFonts w:ascii="Calibri" w:hAnsi="Calibri"/>
          <w:szCs w:val="22"/>
        </w:rPr>
        <w:t xml:space="preserve">. Knowledges of Nature 11 (pp. 63-81). UNESCO: Paris. </w:t>
      </w:r>
    </w:p>
    <w:p w14:paraId="56C4E61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Cash, D. W., </w:t>
      </w:r>
      <w:hyperlink r:id="rId1090" w:history="1">
        <w:r w:rsidRPr="00FE4CC2">
          <w:rPr>
            <w:rStyle w:val="referencia"/>
            <w:rFonts w:ascii="Calibri" w:hAnsi="Calibri"/>
            <w:szCs w:val="22"/>
          </w:rPr>
          <w:t>Adger</w:t>
        </w:r>
      </w:hyperlink>
      <w:r w:rsidRPr="00FE4CC2">
        <w:rPr>
          <w:rStyle w:val="referencia"/>
          <w:rFonts w:ascii="Calibri" w:hAnsi="Calibri"/>
          <w:szCs w:val="22"/>
        </w:rPr>
        <w:t xml:space="preserve">, W. N., </w:t>
      </w:r>
      <w:hyperlink r:id="rId1091" w:history="1">
        <w:r w:rsidRPr="00FE4CC2">
          <w:rPr>
            <w:rStyle w:val="referencia"/>
            <w:rFonts w:ascii="Calibri" w:hAnsi="Calibri"/>
            <w:szCs w:val="22"/>
          </w:rPr>
          <w:t xml:space="preserve"> Berkes</w:t>
        </w:r>
      </w:hyperlink>
      <w:r w:rsidRPr="00FE4CC2">
        <w:rPr>
          <w:rStyle w:val="referencia"/>
          <w:rFonts w:ascii="Calibri" w:hAnsi="Calibri"/>
          <w:szCs w:val="22"/>
        </w:rPr>
        <w:t xml:space="preserve">, F., </w:t>
      </w:r>
      <w:hyperlink r:id="rId1092" w:history="1">
        <w:r w:rsidRPr="00FE4CC2">
          <w:rPr>
            <w:rStyle w:val="referencia"/>
            <w:rFonts w:ascii="Calibri" w:hAnsi="Calibri"/>
            <w:szCs w:val="22"/>
          </w:rPr>
          <w:t xml:space="preserve"> Garden</w:t>
        </w:r>
      </w:hyperlink>
      <w:r w:rsidRPr="00FE4CC2">
        <w:rPr>
          <w:rStyle w:val="referencia"/>
          <w:rFonts w:ascii="Calibri" w:hAnsi="Calibri"/>
          <w:szCs w:val="22"/>
        </w:rPr>
        <w:t xml:space="preserve">, P., </w:t>
      </w:r>
      <w:hyperlink r:id="rId1093" w:history="1">
        <w:r w:rsidRPr="00FE4CC2">
          <w:rPr>
            <w:rStyle w:val="referencia"/>
            <w:rFonts w:ascii="Calibri" w:hAnsi="Calibri"/>
            <w:szCs w:val="22"/>
          </w:rPr>
          <w:t xml:space="preserve"> Lebel</w:t>
        </w:r>
      </w:hyperlink>
      <w:r w:rsidRPr="00FE4CC2">
        <w:rPr>
          <w:rStyle w:val="referencia"/>
          <w:rFonts w:ascii="Calibri" w:hAnsi="Calibri"/>
          <w:szCs w:val="22"/>
        </w:rPr>
        <w:t xml:space="preserve">, L., </w:t>
      </w:r>
      <w:hyperlink r:id="rId1094" w:history="1">
        <w:r w:rsidRPr="00FE4CC2">
          <w:rPr>
            <w:rStyle w:val="referencia"/>
            <w:rFonts w:ascii="Calibri" w:hAnsi="Calibri"/>
            <w:szCs w:val="22"/>
          </w:rPr>
          <w:t>Olsson</w:t>
        </w:r>
      </w:hyperlink>
      <w:r w:rsidRPr="00FE4CC2">
        <w:rPr>
          <w:rStyle w:val="referencia"/>
          <w:rFonts w:ascii="Calibri" w:hAnsi="Calibri"/>
          <w:szCs w:val="22"/>
        </w:rPr>
        <w:t xml:space="preserve">, P., </w:t>
      </w:r>
      <w:hyperlink r:id="rId1095" w:history="1">
        <w:r w:rsidRPr="00FE4CC2">
          <w:rPr>
            <w:rStyle w:val="referencia"/>
            <w:rFonts w:ascii="Calibri" w:hAnsi="Calibri"/>
            <w:szCs w:val="22"/>
          </w:rPr>
          <w:t xml:space="preserve"> Pritchard</w:t>
        </w:r>
      </w:hyperlink>
      <w:r w:rsidRPr="00FE4CC2">
        <w:rPr>
          <w:rStyle w:val="referencia"/>
          <w:rFonts w:ascii="Calibri" w:hAnsi="Calibri"/>
          <w:szCs w:val="22"/>
        </w:rPr>
        <w:t xml:space="preserve">, L., &amp; </w:t>
      </w:r>
      <w:hyperlink r:id="rId1096" w:history="1">
        <w:r w:rsidRPr="00FE4CC2">
          <w:rPr>
            <w:rStyle w:val="referencia"/>
            <w:rFonts w:ascii="Calibri" w:hAnsi="Calibri"/>
            <w:szCs w:val="22"/>
          </w:rPr>
          <w:t>Young</w:t>
        </w:r>
      </w:hyperlink>
      <w:r w:rsidRPr="00FE4CC2">
        <w:rPr>
          <w:rStyle w:val="referencia"/>
          <w:rFonts w:ascii="Calibri" w:hAnsi="Calibri"/>
          <w:szCs w:val="22"/>
        </w:rPr>
        <w:t xml:space="preserve">, O. (2006). Scale and cross-scale dynamics: governance and information in a multilevel world. </w:t>
      </w:r>
      <w:r w:rsidRPr="00FE4CC2">
        <w:rPr>
          <w:rStyle w:val="referencia"/>
          <w:rFonts w:ascii="Calibri" w:hAnsi="Calibri"/>
          <w:i/>
          <w:szCs w:val="22"/>
        </w:rPr>
        <w:t>Ecology and Society</w:t>
      </w:r>
      <w:r w:rsidRPr="00FE4CC2">
        <w:rPr>
          <w:rStyle w:val="referencia"/>
          <w:rFonts w:ascii="Calibri" w:hAnsi="Calibri"/>
          <w:szCs w:val="22"/>
        </w:rPr>
        <w:t xml:space="preserve">, 11(2), 8. </w:t>
      </w:r>
      <w:hyperlink r:id="rId1097" w:history="1">
        <w:r w:rsidRPr="00FE4CC2">
          <w:rPr>
            <w:rStyle w:val="referencia"/>
            <w:rFonts w:ascii="Calibri" w:hAnsi="Calibri"/>
            <w:szCs w:val="22"/>
          </w:rPr>
          <w:t>http://www.ecologyandsociety.org/vol11/iss2/art8/</w:t>
        </w:r>
      </w:hyperlink>
    </w:p>
    <w:p w14:paraId="5ABAD6F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Castello, L., McGrath, D. &amp; Beck, P. S. A. (2011). Resource sustainability in small-scale fisheries in the Lower Amazon floodplains. </w:t>
      </w:r>
      <w:r w:rsidRPr="00FE4CC2">
        <w:rPr>
          <w:rStyle w:val="referencia"/>
          <w:rFonts w:ascii="Calibri" w:hAnsi="Calibri"/>
          <w:i/>
          <w:szCs w:val="22"/>
        </w:rPr>
        <w:t>Fisheries Research</w:t>
      </w:r>
      <w:r w:rsidRPr="00FE4CC2">
        <w:rPr>
          <w:rStyle w:val="referencia"/>
          <w:rFonts w:ascii="Calibri" w:hAnsi="Calibri"/>
          <w:szCs w:val="22"/>
        </w:rPr>
        <w:t>, 110, 356-364.</w:t>
      </w:r>
    </w:p>
    <w:p w14:paraId="4CD4C14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Castello, L., Viana, J. P., Watkins, G., Pinedo-Vasquez, M., &amp; Luzadir, V. A. (2009). </w:t>
      </w:r>
      <w:r w:rsidRPr="00FE4CC2">
        <w:rPr>
          <w:rStyle w:val="referencia"/>
          <w:rFonts w:ascii="Calibri" w:hAnsi="Calibri"/>
          <w:szCs w:val="22"/>
        </w:rPr>
        <w:t xml:space="preserve">Lessons from integrating fishers of Arapaima in small-scale fisheries management at the Mamirauá Reserve, Amazon. </w:t>
      </w:r>
      <w:r w:rsidRPr="00FE4CC2">
        <w:rPr>
          <w:rStyle w:val="referencia"/>
          <w:rFonts w:ascii="Calibri" w:hAnsi="Calibri"/>
          <w:i/>
          <w:szCs w:val="22"/>
        </w:rPr>
        <w:t>Environmental Management</w:t>
      </w:r>
      <w:r w:rsidRPr="00FE4CC2">
        <w:rPr>
          <w:rStyle w:val="referencia"/>
          <w:rFonts w:ascii="Calibri" w:hAnsi="Calibri"/>
          <w:szCs w:val="22"/>
        </w:rPr>
        <w:t>, 43, 197-209.</w:t>
      </w:r>
    </w:p>
    <w:p w14:paraId="19089A7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Castro, F de, Hogenboom, B., &amp; Baud, M. (2016). </w:t>
      </w:r>
      <w:r w:rsidRPr="00FE4CC2">
        <w:rPr>
          <w:rStyle w:val="referencia"/>
          <w:rFonts w:ascii="Calibri" w:hAnsi="Calibri"/>
          <w:szCs w:val="22"/>
        </w:rPr>
        <w:t xml:space="preserve">Introduction: Environment and Society in Contemporary Latin America. In Castro, F de, B. Hogenboom, &amp; M. Baud (Eds.) </w:t>
      </w:r>
      <w:r w:rsidRPr="00FE4CC2">
        <w:rPr>
          <w:rStyle w:val="referencia"/>
          <w:rFonts w:ascii="Calibri" w:hAnsi="Calibri"/>
          <w:i/>
          <w:szCs w:val="22"/>
        </w:rPr>
        <w:t>Environmental Governance in Latin America</w:t>
      </w:r>
      <w:r w:rsidRPr="00FE4CC2">
        <w:rPr>
          <w:rStyle w:val="referencia"/>
          <w:rFonts w:ascii="Calibri" w:hAnsi="Calibri"/>
          <w:szCs w:val="22"/>
        </w:rPr>
        <w:t xml:space="preserve"> (pp. 1-25). Hampshire, United Kingdom: Palgrave MacMillan.</w:t>
      </w:r>
    </w:p>
    <w:p w14:paraId="7A19910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CBD (2012). </w:t>
      </w:r>
      <w:r w:rsidRPr="00FE4CC2">
        <w:rPr>
          <w:rStyle w:val="referencia"/>
          <w:rFonts w:ascii="Calibri" w:hAnsi="Calibri"/>
          <w:i/>
          <w:szCs w:val="22"/>
        </w:rPr>
        <w:t xml:space="preserve">Climate Change and Biodiversity. </w:t>
      </w:r>
      <w:r w:rsidRPr="00FE4CC2">
        <w:rPr>
          <w:rStyle w:val="referencia"/>
          <w:rFonts w:ascii="Calibri" w:hAnsi="Calibri"/>
          <w:szCs w:val="22"/>
        </w:rPr>
        <w:t xml:space="preserve">Convention of Biological Diversity. Available at: </w:t>
      </w:r>
      <w:hyperlink r:id="rId1098" w:history="1">
        <w:r w:rsidRPr="00FE4CC2">
          <w:rPr>
            <w:rStyle w:val="referencia"/>
            <w:rFonts w:ascii="Calibri" w:hAnsi="Calibri"/>
            <w:szCs w:val="22"/>
          </w:rPr>
          <w:t>https://www.cbd.int/climate/intro.shtml</w:t>
        </w:r>
      </w:hyperlink>
    </w:p>
    <w:p w14:paraId="41DCB6CB" w14:textId="77777777" w:rsidR="006969D3" w:rsidRPr="00FE4CC2" w:rsidRDefault="006969D3" w:rsidP="006969D3">
      <w:pPr>
        <w:ind w:left="851" w:hanging="851"/>
        <w:contextualSpacing/>
        <w:rPr>
          <w:szCs w:val="22"/>
        </w:rPr>
      </w:pPr>
      <w:r w:rsidRPr="00FE4CC2">
        <w:rPr>
          <w:szCs w:val="22"/>
        </w:rPr>
        <w:t xml:space="preserve">CBD (2016). </w:t>
      </w:r>
      <w:r w:rsidRPr="00FE4CC2">
        <w:rPr>
          <w:i/>
          <w:szCs w:val="22"/>
        </w:rPr>
        <w:t xml:space="preserve">Biodiversity and the 2030 Agenda for Sustainable Development. Technical Note. </w:t>
      </w:r>
      <w:r w:rsidRPr="00FE4CC2">
        <w:rPr>
          <w:szCs w:val="22"/>
        </w:rPr>
        <w:t xml:space="preserve">Convention on Biological Diversity. Available at: </w:t>
      </w:r>
      <w:hyperlink r:id="rId1099" w:history="1">
        <w:r w:rsidRPr="00FE4CC2">
          <w:rPr>
            <w:rStyle w:val="Hyperlink"/>
            <w:szCs w:val="22"/>
          </w:rPr>
          <w:t>https://www.cbd.int/development/doc/ biodiversity-2030-agenda-technical-note-en.pdf. Accessed August 2017</w:t>
        </w:r>
      </w:hyperlink>
      <w:r w:rsidRPr="00FE4CC2">
        <w:rPr>
          <w:szCs w:val="22"/>
        </w:rPr>
        <w:t>.</w:t>
      </w:r>
    </w:p>
    <w:p w14:paraId="4B5D651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CBD/UNEP (2010). </w:t>
      </w:r>
      <w:r w:rsidRPr="00FE4CC2">
        <w:rPr>
          <w:rStyle w:val="referencia"/>
          <w:rFonts w:ascii="Calibri" w:hAnsi="Calibri"/>
          <w:i/>
          <w:szCs w:val="22"/>
        </w:rPr>
        <w:t>Strategic Plan for Biodiversity 2011-2020 and the Aichi Targets “Living in Harmony with Nature”</w:t>
      </w:r>
      <w:r w:rsidRPr="00FE4CC2">
        <w:rPr>
          <w:rStyle w:val="referencia"/>
          <w:rFonts w:ascii="Calibri" w:hAnsi="Calibri"/>
          <w:szCs w:val="22"/>
        </w:rPr>
        <w:t xml:space="preserve">. Convention of Biological Diversity, United Nations Environment Programme. </w:t>
      </w:r>
      <w:hyperlink r:id="rId1100" w:history="1">
        <w:r w:rsidRPr="00FE4CC2">
          <w:rPr>
            <w:rStyle w:val="referencia"/>
            <w:rFonts w:ascii="Calibri" w:hAnsi="Calibri"/>
            <w:szCs w:val="22"/>
          </w:rPr>
          <w:t>https://www.cbd.int/sp/default.shtml</w:t>
        </w:r>
      </w:hyperlink>
    </w:p>
    <w:p w14:paraId="58FBC09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CDP (2015a). </w:t>
      </w:r>
      <w:r w:rsidRPr="00FE4CC2">
        <w:rPr>
          <w:rStyle w:val="referencia"/>
          <w:rFonts w:ascii="Calibri" w:hAnsi="Calibri"/>
          <w:i/>
          <w:szCs w:val="22"/>
        </w:rPr>
        <w:t xml:space="preserve">Accelerating action CDP Global Water Report 2015. </w:t>
      </w:r>
      <w:r w:rsidRPr="00FE4CC2">
        <w:rPr>
          <w:rStyle w:val="referencia"/>
          <w:rFonts w:ascii="Calibri" w:hAnsi="Calibri"/>
          <w:szCs w:val="22"/>
        </w:rPr>
        <w:t>The Carbon Disclosure Project.</w:t>
      </w:r>
    </w:p>
    <w:p w14:paraId="4D17C17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CDP. (2015b). </w:t>
      </w:r>
      <w:r w:rsidRPr="00FE4CC2">
        <w:rPr>
          <w:rStyle w:val="referencia"/>
          <w:rFonts w:ascii="Calibri" w:hAnsi="Calibri"/>
          <w:i/>
          <w:szCs w:val="22"/>
        </w:rPr>
        <w:t xml:space="preserve">CDP Global Climate Change Report 2015. </w:t>
      </w:r>
      <w:r w:rsidRPr="00FE4CC2">
        <w:rPr>
          <w:rStyle w:val="referencia"/>
          <w:rFonts w:ascii="Calibri" w:hAnsi="Calibri"/>
          <w:szCs w:val="22"/>
        </w:rPr>
        <w:t>The Carbon Disclosure Project.</w:t>
      </w:r>
    </w:p>
    <w:p w14:paraId="2365A196"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rPr>
        <w:t xml:space="preserve">Ceccon, E., Barrera-Cataño, J. I., Aronson, J., &amp; Martínez-Garza, C. (2015). The socioecological complexity of ecological restoration in Mexico. </w:t>
      </w:r>
      <w:r w:rsidRPr="00FE4CC2">
        <w:rPr>
          <w:rStyle w:val="referencia"/>
          <w:rFonts w:ascii="Calibri" w:hAnsi="Calibri"/>
          <w:i/>
          <w:szCs w:val="22"/>
          <w:lang w:val="es-CO"/>
        </w:rPr>
        <w:t>Restoration Ecology</w:t>
      </w:r>
      <w:r w:rsidRPr="00FE4CC2">
        <w:rPr>
          <w:rStyle w:val="referencia"/>
          <w:rFonts w:ascii="Calibri" w:hAnsi="Calibri"/>
          <w:szCs w:val="22"/>
          <w:lang w:val="es-CO"/>
        </w:rPr>
        <w:t>, 23(4), 331-336.</w:t>
      </w:r>
    </w:p>
    <w:p w14:paraId="0CF4C98B"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CEPAL (2007). </w:t>
      </w:r>
      <w:r w:rsidRPr="00FE4CC2">
        <w:rPr>
          <w:rStyle w:val="referencia"/>
          <w:rFonts w:ascii="Calibri" w:hAnsi="Calibri"/>
          <w:i/>
          <w:szCs w:val="22"/>
          <w:lang w:val="es-CO"/>
        </w:rPr>
        <w:t>Políticas sociales. La corrupción y la impunidad en el marco del desarrollo en América Latina y el Caribe: un enfoque centrado en derechos desde la perspectiva de las Naciones Unidas</w:t>
      </w:r>
      <w:r w:rsidRPr="00FE4CC2">
        <w:rPr>
          <w:rStyle w:val="referencia"/>
          <w:rFonts w:ascii="Calibri" w:hAnsi="Calibri"/>
          <w:szCs w:val="22"/>
          <w:lang w:val="es-CO"/>
        </w:rPr>
        <w:t>. CEPAL, Santiago de Chile.</w:t>
      </w:r>
    </w:p>
    <w:p w14:paraId="25E48901"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CEPAL (2012). </w:t>
      </w:r>
      <w:r w:rsidRPr="00FE4CC2">
        <w:rPr>
          <w:rStyle w:val="referencia"/>
          <w:rFonts w:ascii="Calibri" w:hAnsi="Calibri"/>
          <w:i/>
          <w:szCs w:val="22"/>
          <w:lang w:val="es-CO"/>
        </w:rPr>
        <w:t>La inversion extranjera directa em America Latina y Caribe</w:t>
      </w:r>
      <w:r w:rsidRPr="00FE4CC2">
        <w:rPr>
          <w:rStyle w:val="referencia"/>
          <w:rFonts w:ascii="Calibri" w:hAnsi="Calibri"/>
          <w:szCs w:val="22"/>
          <w:lang w:val="es-CO"/>
        </w:rPr>
        <w:t>. CEPAL, Santiago de Chile.</w:t>
      </w:r>
    </w:p>
    <w:p w14:paraId="4B68A4F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CEPAL (2015). </w:t>
      </w:r>
      <w:r w:rsidRPr="00FE4CC2">
        <w:rPr>
          <w:rStyle w:val="referencia"/>
          <w:rFonts w:ascii="Calibri" w:hAnsi="Calibri"/>
          <w:i/>
          <w:szCs w:val="22"/>
          <w:lang w:val="es-CO"/>
        </w:rPr>
        <w:t xml:space="preserve">Planificación y prospectiva para la construcción de futuro en América Latina y el Caribe. </w:t>
      </w:r>
      <w:r w:rsidRPr="00FE4CC2">
        <w:rPr>
          <w:rStyle w:val="referencia"/>
          <w:rFonts w:ascii="Calibri" w:hAnsi="Calibri"/>
          <w:szCs w:val="22"/>
        </w:rPr>
        <w:t>Textos seleccionados 2013-2016.</w:t>
      </w:r>
    </w:p>
    <w:p w14:paraId="088E252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Chape, S., Harrison, J., Spalding, M., &amp; Lysenko, I. (2005). Measuring the extent and effectiveness of protected areas as an indicator for meeting global biodiversity targets. </w:t>
      </w:r>
      <w:r w:rsidRPr="00FE4CC2">
        <w:rPr>
          <w:rStyle w:val="referencia"/>
          <w:rFonts w:ascii="Calibri" w:hAnsi="Calibri"/>
          <w:i/>
          <w:szCs w:val="22"/>
        </w:rPr>
        <w:t>Philosophical Transactions of the Royal Society B</w:t>
      </w:r>
      <w:r w:rsidRPr="00FE4CC2">
        <w:rPr>
          <w:rStyle w:val="referencia"/>
          <w:rFonts w:ascii="Calibri" w:hAnsi="Calibri"/>
          <w:szCs w:val="22"/>
        </w:rPr>
        <w:t>, 360, 443–455.</w:t>
      </w:r>
    </w:p>
    <w:p w14:paraId="5034E9B7" w14:textId="77777777" w:rsidR="006969D3" w:rsidRPr="00FE4CC2" w:rsidRDefault="006969D3" w:rsidP="006969D3">
      <w:pPr>
        <w:ind w:left="851" w:hanging="851"/>
        <w:contextualSpacing/>
        <w:rPr>
          <w:rStyle w:val="referencia"/>
          <w:rFonts w:ascii="Calibri" w:hAnsi="Calibri"/>
          <w:szCs w:val="22"/>
        </w:rPr>
      </w:pPr>
      <w:r w:rsidRPr="00FE4CC2">
        <w:rPr>
          <w:szCs w:val="22"/>
        </w:rPr>
        <w:t xml:space="preserve">Chaves, M., Macintyre, T., Verschoor, G., &amp; Wals, A. E. J. (2018). Radical ruralities in practice: Negotiating </w:t>
      </w:r>
      <w:r w:rsidRPr="00FE4CC2">
        <w:rPr>
          <w:i/>
          <w:szCs w:val="22"/>
        </w:rPr>
        <w:t>buen vivir</w:t>
      </w:r>
      <w:r w:rsidRPr="00FE4CC2">
        <w:rPr>
          <w:szCs w:val="22"/>
        </w:rPr>
        <w:t xml:space="preserve"> in a Colombian network of sustainability. </w:t>
      </w:r>
      <w:r w:rsidRPr="00FE4CC2">
        <w:rPr>
          <w:i/>
          <w:szCs w:val="22"/>
        </w:rPr>
        <w:t>Journal of Rural Studies</w:t>
      </w:r>
      <w:r w:rsidRPr="00FE4CC2">
        <w:rPr>
          <w:szCs w:val="22"/>
        </w:rPr>
        <w:t xml:space="preserve">, 59, 153-162. </w:t>
      </w:r>
      <w:hyperlink r:id="rId1101" w:tgtFrame="_blank" w:tooltip="Persistent link using digital object identifier" w:history="1">
        <w:r w:rsidRPr="00FE4CC2">
          <w:rPr>
            <w:rStyle w:val="Hyperlink"/>
            <w:szCs w:val="22"/>
          </w:rPr>
          <w:t>https://doi.org/10.1016/j.jrurstud.2017.02.007</w:t>
        </w:r>
      </w:hyperlink>
      <w:r w:rsidRPr="00FE4CC2">
        <w:rPr>
          <w:szCs w:val="22"/>
        </w:rPr>
        <w:t xml:space="preserve"> </w:t>
      </w:r>
    </w:p>
    <w:p w14:paraId="18F6FE6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Chaves, R. B., Durigan, G., Brancalion, P. H. S., &amp; Aronson, J. (2015). On the need of legal frameworks for assessing restoration projects success: new perspectives from São Paulo state (Brazil). </w:t>
      </w:r>
      <w:r w:rsidRPr="00FE4CC2">
        <w:rPr>
          <w:rStyle w:val="referencia"/>
          <w:rFonts w:ascii="Calibri" w:hAnsi="Calibri"/>
          <w:i/>
          <w:szCs w:val="22"/>
        </w:rPr>
        <w:t>Restoration Ecology</w:t>
      </w:r>
      <w:r w:rsidRPr="00FE4CC2">
        <w:rPr>
          <w:rStyle w:val="referencia"/>
          <w:rFonts w:ascii="Calibri" w:hAnsi="Calibri"/>
          <w:szCs w:val="22"/>
        </w:rPr>
        <w:t>, 23(6), 754-759.</w:t>
      </w:r>
    </w:p>
    <w:p w14:paraId="568B797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Chishakwe, N., &amp; Young, T. R. (2003). Access to Genetic Resources, and Sharing the Benefits of their Use: International and Sub-regional Issues. </w:t>
      </w:r>
      <w:r w:rsidRPr="00FE4CC2">
        <w:rPr>
          <w:rStyle w:val="referencia"/>
          <w:rFonts w:ascii="Calibri" w:hAnsi="Calibri"/>
          <w:i/>
          <w:szCs w:val="22"/>
        </w:rPr>
        <w:t>Informe inédito, IUCN</w:t>
      </w:r>
      <w:r w:rsidRPr="00FE4CC2">
        <w:rPr>
          <w:rStyle w:val="referencia"/>
          <w:rFonts w:ascii="Calibri" w:hAnsi="Calibri"/>
          <w:szCs w:val="22"/>
        </w:rPr>
        <w:t>, Switzerland, 18 pp.</w:t>
      </w:r>
    </w:p>
    <w:p w14:paraId="3FC05460" w14:textId="77777777" w:rsidR="006969D3" w:rsidRPr="00FE4CC2" w:rsidRDefault="006969D3" w:rsidP="006969D3">
      <w:pPr>
        <w:ind w:left="851" w:hanging="851"/>
        <w:contextualSpacing/>
        <w:rPr>
          <w:rStyle w:val="referencia"/>
          <w:rFonts w:ascii="Calibri" w:hAnsi="Calibri"/>
          <w:szCs w:val="22"/>
        </w:rPr>
      </w:pPr>
      <w:r w:rsidRPr="00FE4CC2">
        <w:rPr>
          <w:szCs w:val="22"/>
        </w:rPr>
        <w:t xml:space="preserve">Christian, C., Ainley, D., Bailey, M., Dayton, P., Hocevar, J., LeVine, M., Nikoloyuk, J., Nouvian, C., Velarde, E., Werner, R. &amp; Jacquet, J. (2013). Questionable stewardship: A review of formal objections to MSC fisheries certifications. </w:t>
      </w:r>
      <w:r w:rsidRPr="00FE4CC2">
        <w:rPr>
          <w:i/>
          <w:szCs w:val="22"/>
        </w:rPr>
        <w:t>Biological Conservation</w:t>
      </w:r>
      <w:r w:rsidRPr="00FE4CC2">
        <w:rPr>
          <w:szCs w:val="22"/>
        </w:rPr>
        <w:t xml:space="preserve">, 161, 10-17. </w:t>
      </w:r>
    </w:p>
    <w:p w14:paraId="5071C7E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Clapp, J. (2015). Distant agricultural landscapes.</w:t>
      </w:r>
      <w:r w:rsidRPr="00FE4CC2">
        <w:rPr>
          <w:rStyle w:val="referencia"/>
          <w:rFonts w:ascii="Calibri" w:hAnsi="Calibri"/>
          <w:i/>
          <w:szCs w:val="22"/>
        </w:rPr>
        <w:t xml:space="preserve"> Sustainability Science</w:t>
      </w:r>
      <w:r w:rsidRPr="00FE4CC2">
        <w:rPr>
          <w:rStyle w:val="referencia"/>
          <w:rFonts w:ascii="Calibri" w:hAnsi="Calibri"/>
          <w:szCs w:val="22"/>
        </w:rPr>
        <w:t>, 10, 305–316.</w:t>
      </w:r>
    </w:p>
    <w:p w14:paraId="380EF1B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Coad L., Leverington, F., Knights, K., Geldmann, J., Eassom, A., Kapos, V., Kingston, N., de Lima, M., Zamora, C., Cuardros, I., Nolte, C., Burgess, N. D., &amp; Hockings, M. (2015). Measuring impact of protected area management interventions: current and future use of the Global Database of Protected Area Management Effectiveness. </w:t>
      </w:r>
      <w:r w:rsidRPr="00FE4CC2">
        <w:rPr>
          <w:rStyle w:val="referencia"/>
          <w:rFonts w:ascii="Calibri" w:hAnsi="Calibri"/>
          <w:i/>
          <w:szCs w:val="22"/>
        </w:rPr>
        <w:t xml:space="preserve">Philosophical Transactions of the Royal Society B </w:t>
      </w:r>
      <w:r w:rsidRPr="00FE4CC2">
        <w:rPr>
          <w:rStyle w:val="referencia"/>
          <w:rFonts w:ascii="Calibri" w:hAnsi="Calibri"/>
          <w:szCs w:val="22"/>
        </w:rPr>
        <w:t xml:space="preserve">370, 20140281. </w:t>
      </w:r>
      <w:hyperlink r:id="rId1102" w:history="1">
        <w:r w:rsidRPr="00FE4CC2">
          <w:rPr>
            <w:rStyle w:val="referencia"/>
            <w:rFonts w:ascii="Calibri" w:hAnsi="Calibri"/>
            <w:szCs w:val="22"/>
          </w:rPr>
          <w:t>http://dx.doi.org/10.1098/rstb.2014.0281</w:t>
        </w:r>
      </w:hyperlink>
    </w:p>
    <w:p w14:paraId="305CAD1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Cochrane, K. (2015). Use and misuse of CITES as a management tool for commercially-exploited aquatic species.</w:t>
      </w:r>
      <w:r w:rsidRPr="00FE4CC2">
        <w:rPr>
          <w:rStyle w:val="referencia"/>
          <w:rFonts w:ascii="Calibri" w:hAnsi="Calibri"/>
          <w:i/>
          <w:szCs w:val="22"/>
        </w:rPr>
        <w:t xml:space="preserve"> Marine Policy</w:t>
      </w:r>
      <w:r w:rsidRPr="00FE4CC2">
        <w:rPr>
          <w:rStyle w:val="referencia"/>
          <w:rFonts w:ascii="Calibri" w:hAnsi="Calibri"/>
          <w:szCs w:val="22"/>
        </w:rPr>
        <w:t>, 59, 16-31.</w:t>
      </w:r>
    </w:p>
    <w:p w14:paraId="6E680AA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Coralie, C., Guillaume, O., &amp; Claude, N. (2015). Tracking the origins and development of biodiversity offsetting in academic research and its implications for conservation: a review. </w:t>
      </w:r>
      <w:r w:rsidRPr="00FE4CC2">
        <w:rPr>
          <w:rStyle w:val="referencia"/>
          <w:rFonts w:ascii="Calibri" w:hAnsi="Calibri"/>
          <w:i/>
          <w:szCs w:val="22"/>
        </w:rPr>
        <w:t>Biological Conservation</w:t>
      </w:r>
      <w:r w:rsidRPr="00FE4CC2">
        <w:rPr>
          <w:rStyle w:val="referencia"/>
          <w:rFonts w:ascii="Calibri" w:hAnsi="Calibri"/>
          <w:szCs w:val="22"/>
        </w:rPr>
        <w:t xml:space="preserve">, 192, 492-503. </w:t>
      </w:r>
      <w:r w:rsidRPr="00FE4CC2">
        <w:rPr>
          <w:rStyle w:val="referencia"/>
          <w:rFonts w:ascii="Calibri" w:hAnsi="Calibri"/>
          <w:szCs w:val="22"/>
          <w:lang w:val="en-GB"/>
        </w:rPr>
        <w:t>https://doi.org/</w:t>
      </w:r>
      <w:r w:rsidRPr="00FE4CC2">
        <w:rPr>
          <w:rStyle w:val="referencia"/>
          <w:rFonts w:ascii="Calibri" w:hAnsi="Calibri"/>
          <w:szCs w:val="22"/>
        </w:rPr>
        <w:t>10.1016/j.biocon.2015.08.036.</w:t>
      </w:r>
    </w:p>
    <w:p w14:paraId="286D088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Coria, J., &amp; Calfucura, E. (2012). Ecotourism and the development of indigenous communities: The good, the bad, and the ugly. </w:t>
      </w:r>
      <w:r w:rsidRPr="00FE4CC2">
        <w:rPr>
          <w:rStyle w:val="referencia"/>
          <w:rFonts w:ascii="Calibri" w:hAnsi="Calibri"/>
          <w:i/>
          <w:szCs w:val="22"/>
        </w:rPr>
        <w:t>Ecological Economics</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73, 47–55.</w:t>
      </w:r>
    </w:p>
    <w:p w14:paraId="79ECD98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Correa, C. (2005). Do national access regimes promote the use of genetic resources and benefit sharing? </w:t>
      </w:r>
      <w:r w:rsidRPr="00FE4CC2">
        <w:rPr>
          <w:rStyle w:val="referencia"/>
          <w:rFonts w:ascii="Calibri" w:hAnsi="Calibri"/>
          <w:i/>
          <w:szCs w:val="22"/>
        </w:rPr>
        <w:t>International Journal of Environment and Sustainable Development</w:t>
      </w:r>
      <w:r w:rsidRPr="00FE4CC2">
        <w:rPr>
          <w:rStyle w:val="referencia"/>
          <w:rFonts w:ascii="Calibri" w:hAnsi="Calibri"/>
          <w:szCs w:val="22"/>
        </w:rPr>
        <w:t>, 4(4), 444-463.</w:t>
      </w:r>
    </w:p>
    <w:p w14:paraId="0E6178D2" w14:textId="77777777" w:rsidR="006969D3" w:rsidRPr="00FE4CC2" w:rsidRDefault="006969D3" w:rsidP="006969D3">
      <w:pPr>
        <w:ind w:left="851" w:hanging="851"/>
        <w:contextualSpacing/>
        <w:rPr>
          <w:rStyle w:val="referencia"/>
          <w:rFonts w:ascii="Calibri" w:hAnsi="Calibri"/>
          <w:szCs w:val="22"/>
          <w:lang w:val="en-GB"/>
        </w:rPr>
      </w:pPr>
      <w:r w:rsidRPr="00FE4CC2">
        <w:rPr>
          <w:rStyle w:val="referencia"/>
          <w:rFonts w:ascii="Calibri" w:hAnsi="Calibri"/>
          <w:szCs w:val="22"/>
          <w:lang w:val="en-GB"/>
        </w:rPr>
        <w:t xml:space="preserve">Costa, G. D. F, Menger, K. R., &amp; Tancredi, L. (2015). </w:t>
      </w:r>
      <w:r w:rsidRPr="00FE4CC2">
        <w:rPr>
          <w:rStyle w:val="referencia"/>
          <w:rFonts w:ascii="Calibri" w:hAnsi="Calibri"/>
          <w:szCs w:val="22"/>
          <w:lang w:val="pt-BR"/>
        </w:rPr>
        <w:t xml:space="preserve">A reformulação dos eixos da IIRSA. </w:t>
      </w:r>
      <w:r w:rsidRPr="00FE4CC2">
        <w:rPr>
          <w:rStyle w:val="referencia"/>
          <w:rFonts w:ascii="Calibri" w:hAnsi="Calibri"/>
          <w:i/>
          <w:szCs w:val="22"/>
          <w:lang w:val="en-GB"/>
        </w:rPr>
        <w:t>UFRGSMUN - UFRGS Model United Nations</w:t>
      </w:r>
      <w:r w:rsidRPr="00FE4CC2">
        <w:rPr>
          <w:rStyle w:val="referencia"/>
          <w:rFonts w:ascii="Calibri" w:hAnsi="Calibri"/>
          <w:szCs w:val="22"/>
          <w:lang w:val="en-GB"/>
        </w:rPr>
        <w:t>, 3, 135-168.</w:t>
      </w:r>
    </w:p>
    <w:p w14:paraId="4C64B81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Costedoat, S., Corbera, E., Ezzine-de-Blas, D., Honey-Rosés, J., Baylis, K., &amp; Castillo-Santiago, M. A. (2015). How effective are biodiversity conservation payments in Mexico? </w:t>
      </w:r>
      <w:r w:rsidRPr="00FE4CC2">
        <w:rPr>
          <w:rStyle w:val="referencia"/>
          <w:rFonts w:ascii="Calibri" w:hAnsi="Calibri"/>
          <w:i/>
          <w:szCs w:val="22"/>
        </w:rPr>
        <w:t>PLoS One</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 xml:space="preserve">10(3), e0119881. </w:t>
      </w:r>
      <w:r w:rsidRPr="00FE4CC2">
        <w:rPr>
          <w:rStyle w:val="referencia"/>
          <w:rFonts w:ascii="Calibri" w:hAnsi="Calibri"/>
          <w:szCs w:val="22"/>
          <w:lang w:val="en-GB"/>
        </w:rPr>
        <w:t>https://doi.org/</w:t>
      </w:r>
      <w:r w:rsidRPr="00FE4CC2">
        <w:rPr>
          <w:rStyle w:val="referencia"/>
          <w:rFonts w:ascii="Calibri" w:hAnsi="Calibri"/>
          <w:szCs w:val="22"/>
        </w:rPr>
        <w:t>10.1371/journal.pone.0119881.</w:t>
      </w:r>
    </w:p>
    <w:p w14:paraId="4EF69C0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Cox, M., Arnold, G., &amp; Tomás, S. V. (2010). A review of design principles for community-based natural resource management. </w:t>
      </w:r>
      <w:r w:rsidRPr="00FE4CC2">
        <w:rPr>
          <w:rStyle w:val="referencia"/>
          <w:rFonts w:ascii="Calibri" w:hAnsi="Calibri"/>
          <w:i/>
          <w:szCs w:val="22"/>
        </w:rPr>
        <w:t>Ecology and Society</w:t>
      </w:r>
      <w:r w:rsidRPr="00FE4CC2">
        <w:rPr>
          <w:rStyle w:val="referencia"/>
          <w:rFonts w:ascii="Calibri" w:hAnsi="Calibri"/>
          <w:szCs w:val="22"/>
        </w:rPr>
        <w:t>, 15(4), 38. http://www. ecologyandsociety.org/vol15/iss4/art38/</w:t>
      </w:r>
    </w:p>
    <w:p w14:paraId="65CD6ED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Cronkleton, P., Guariguata, M. R., &amp; Albornoz, M. A. (2012). </w:t>
      </w:r>
      <w:r w:rsidRPr="00FE4CC2">
        <w:rPr>
          <w:rStyle w:val="referencia"/>
          <w:rFonts w:ascii="Calibri" w:hAnsi="Calibri"/>
          <w:szCs w:val="22"/>
        </w:rPr>
        <w:t xml:space="preserve">Multiple use forestry planning: timber and Brazil nut management in the community forests of Northern Bolivia. </w:t>
      </w:r>
      <w:r w:rsidRPr="00FE4CC2">
        <w:rPr>
          <w:rStyle w:val="referencia"/>
          <w:rFonts w:ascii="Calibri" w:hAnsi="Calibri"/>
          <w:i/>
          <w:szCs w:val="22"/>
        </w:rPr>
        <w:t>Forest Ecology and Management</w:t>
      </w:r>
      <w:r w:rsidRPr="00FE4CC2">
        <w:rPr>
          <w:rStyle w:val="referencia"/>
          <w:rFonts w:ascii="Calibri" w:hAnsi="Calibri"/>
          <w:szCs w:val="22"/>
        </w:rPr>
        <w:t>, 268, 49-56.</w:t>
      </w:r>
    </w:p>
    <w:p w14:paraId="15214EC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Crouzeilles, A. R., Curran, M., Ferreira, M. S., David, B., Grelle, C. E. V, Benayas, J. M. R. (2016). Ecological drivers of forest restoration success: a global meta-analysis. </w:t>
      </w:r>
      <w:r w:rsidRPr="00FE4CC2">
        <w:rPr>
          <w:rStyle w:val="referencia"/>
          <w:rFonts w:ascii="Calibri" w:hAnsi="Calibri"/>
          <w:i/>
          <w:szCs w:val="22"/>
        </w:rPr>
        <w:t>Nature Communications</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 xml:space="preserve">7, 1–8. </w:t>
      </w:r>
      <w:r w:rsidRPr="00FE4CC2">
        <w:rPr>
          <w:rStyle w:val="referencia"/>
          <w:rFonts w:ascii="Calibri" w:hAnsi="Calibri"/>
          <w:szCs w:val="22"/>
          <w:lang w:val="en-GB"/>
        </w:rPr>
        <w:t>https://doi.org/</w:t>
      </w:r>
      <w:r w:rsidRPr="00FE4CC2">
        <w:rPr>
          <w:rStyle w:val="referencia"/>
          <w:rFonts w:ascii="Calibri" w:hAnsi="Calibri"/>
          <w:szCs w:val="22"/>
        </w:rPr>
        <w:t>10.1038/ncomms11666</w:t>
      </w:r>
    </w:p>
    <w:p w14:paraId="39D8C02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Crowl, T. A., Crist, T. O., Parmenter, R. R., Belovsky, G., &amp; Lugo, A. E. (2008). The spread of invasive species and infectious disease as drivers of ecosystem change. </w:t>
      </w:r>
      <w:r w:rsidRPr="00FE4CC2">
        <w:rPr>
          <w:rStyle w:val="referencia"/>
          <w:rFonts w:ascii="Calibri" w:hAnsi="Calibri"/>
          <w:i/>
          <w:szCs w:val="22"/>
        </w:rPr>
        <w:t>Frontiers in Ecology and the Environment</w:t>
      </w:r>
      <w:r w:rsidRPr="00FE4CC2">
        <w:rPr>
          <w:rStyle w:val="referencia"/>
          <w:rFonts w:ascii="Calibri" w:hAnsi="Calibri"/>
          <w:szCs w:val="22"/>
        </w:rPr>
        <w:t>, 6(5), 238–246.</w:t>
      </w:r>
    </w:p>
    <w:p w14:paraId="4B505C0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Crozier, M. (2008). Listening, learning, steering: new governance, communication and interactive policy formation.</w:t>
      </w:r>
      <w:r w:rsidRPr="00FE4CC2">
        <w:rPr>
          <w:rStyle w:val="referencia"/>
          <w:rFonts w:ascii="Calibri" w:hAnsi="Calibri"/>
          <w:i/>
          <w:szCs w:val="22"/>
        </w:rPr>
        <w:t xml:space="preserve"> Policy and Politics</w:t>
      </w:r>
      <w:r w:rsidRPr="00FE4CC2">
        <w:rPr>
          <w:rStyle w:val="referencia"/>
          <w:rFonts w:ascii="Calibri" w:hAnsi="Calibri"/>
          <w:szCs w:val="22"/>
        </w:rPr>
        <w:t>, 36(1), 3-9.</w:t>
      </w:r>
    </w:p>
    <w:p w14:paraId="64E84E4A"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Curran, M., Hellweg, S., and Beck, J. (2014). Is there any empirical support for biodiversity offset policy? </w:t>
      </w:r>
      <w:r w:rsidRPr="00FE4CC2">
        <w:rPr>
          <w:rStyle w:val="referencia"/>
          <w:rFonts w:ascii="Calibri" w:hAnsi="Calibri"/>
          <w:i/>
          <w:szCs w:val="22"/>
        </w:rPr>
        <w:t>Ecological Applications</w:t>
      </w:r>
      <w:r w:rsidRPr="00FE4CC2">
        <w:rPr>
          <w:rStyle w:val="referencia"/>
          <w:rFonts w:ascii="Calibri" w:hAnsi="Calibri"/>
          <w:szCs w:val="22"/>
        </w:rPr>
        <w:t>, 24(4), 617–632.</w:t>
      </w:r>
    </w:p>
    <w:p w14:paraId="3F10587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Danielsen, F., Burgess, N. D., &amp; Balmford, A. (2005). Monitoring matters: examining the potencial of locally-based approaches. </w:t>
      </w:r>
      <w:r w:rsidRPr="00FE4CC2">
        <w:rPr>
          <w:rStyle w:val="referencia"/>
          <w:rFonts w:ascii="Calibri" w:hAnsi="Calibri"/>
          <w:i/>
          <w:szCs w:val="22"/>
        </w:rPr>
        <w:t>Biodiversity and Conservation</w:t>
      </w:r>
      <w:r w:rsidRPr="00FE4CC2">
        <w:rPr>
          <w:rStyle w:val="referencia"/>
          <w:rFonts w:ascii="Calibri" w:hAnsi="Calibri"/>
          <w:szCs w:val="22"/>
        </w:rPr>
        <w:t>, 14, 2507-2542.</w:t>
      </w:r>
    </w:p>
    <w:p w14:paraId="711F3A3A"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Danielsen, F., Burgess, N. D., Balmford, A., Donald, P. F., Funder, M., Jones, J. P. G., Alviola, P., Balete, D. S., Blomley, T., Brashares, J., Child, B., Enghoff, M., Fjeldsa, J., Holt, S., Hubertz, H., Jensen, A. E., Jensen, P. M., Massao, J., Mendoza, M. M., Ngaga, Y., Poulsen, K., Rueda, R., Sam, M., Skielboe, T., Stuart-Hill, G., Topp-Jorhensen, E., &amp; Yonten, D. (2008). Local participation in natural resource monitoring: a characterization of approaches. </w:t>
      </w:r>
      <w:r w:rsidRPr="00FE4CC2">
        <w:rPr>
          <w:rStyle w:val="referencia"/>
          <w:rFonts w:ascii="Calibri" w:hAnsi="Calibri"/>
          <w:i/>
          <w:szCs w:val="22"/>
        </w:rPr>
        <w:t>Conservation Biology</w:t>
      </w:r>
      <w:r w:rsidRPr="00FE4CC2">
        <w:rPr>
          <w:rStyle w:val="referencia"/>
          <w:rFonts w:ascii="Calibri" w:hAnsi="Calibri"/>
          <w:szCs w:val="22"/>
        </w:rPr>
        <w:t>, 23(1), 31-42.</w:t>
      </w:r>
    </w:p>
    <w:p w14:paraId="5609B13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Danielsen, F., Jensen, P. M., Burgess, N. D., Altamirano, R., Alviola, P. A., Andrianangrasana, H., Brashares, J. S., Burton, A. C., Coronado, I., Corpuz, N., Enghoff, M., Fjeldsa, J., Funder, M., Holt, S., Hubertz, H., Jensen, A. E., Lewis, R., Massao, J., Mendoza, M. M., Ngaga, Y., Pipper, C. B., Poulson, M. K., Rueda, R. M., Sam, M. K., Skielbe, T., Sorensen, M., &amp; Young, R. (2014): A multicountry assessment of tropical resource monitoring by local communities. </w:t>
      </w:r>
      <w:r w:rsidRPr="00FE4CC2">
        <w:rPr>
          <w:rStyle w:val="referencia"/>
          <w:rFonts w:ascii="Calibri" w:hAnsi="Calibri"/>
          <w:i/>
          <w:szCs w:val="22"/>
        </w:rPr>
        <w:t>BioScience</w:t>
      </w:r>
      <w:r w:rsidRPr="00FE4CC2">
        <w:rPr>
          <w:rStyle w:val="referencia"/>
          <w:rFonts w:ascii="Calibri" w:hAnsi="Calibri"/>
          <w:szCs w:val="22"/>
        </w:rPr>
        <w:t>, 64(3), 236-252.</w:t>
      </w:r>
    </w:p>
    <w:p w14:paraId="4CE0656B" w14:textId="77777777" w:rsidR="006969D3" w:rsidRPr="00FE4CC2" w:rsidRDefault="006969D3" w:rsidP="006969D3">
      <w:pPr>
        <w:autoSpaceDE w:val="0"/>
        <w:autoSpaceDN w:val="0"/>
        <w:adjustRightInd w:val="0"/>
        <w:ind w:left="851" w:hanging="851"/>
        <w:contextualSpacing/>
        <w:rPr>
          <w:rStyle w:val="referencia"/>
          <w:rFonts w:ascii="Calibri" w:hAnsi="Calibri"/>
          <w:szCs w:val="22"/>
        </w:rPr>
      </w:pPr>
      <w:r w:rsidRPr="00FE4CC2">
        <w:rPr>
          <w:rFonts w:eastAsia="AdvP6F01"/>
          <w:color w:val="231F20"/>
          <w:szCs w:val="22"/>
        </w:rPr>
        <w:t xml:space="preserve">David, C. G., </w:t>
      </w:r>
      <w:r w:rsidRPr="00FE4CC2">
        <w:rPr>
          <w:rFonts w:eastAsia="AdvP6975"/>
          <w:color w:val="231F20"/>
          <w:szCs w:val="22"/>
        </w:rPr>
        <w:t xml:space="preserve">Schulz, N., &amp; Schlurmann, T. (2016). </w:t>
      </w:r>
      <w:r w:rsidRPr="00FE4CC2">
        <w:rPr>
          <w:rFonts w:eastAsia="AdvP6F01"/>
          <w:color w:val="231F20"/>
          <w:szCs w:val="22"/>
        </w:rPr>
        <w:t xml:space="preserve">Assessing the application potential of selected ecosystem-based, low-regret coastal protection measures. </w:t>
      </w:r>
      <w:r w:rsidRPr="00FE4CC2">
        <w:rPr>
          <w:rFonts w:eastAsia="AdvP6F01"/>
          <w:color w:val="231F20"/>
          <w:szCs w:val="22"/>
          <w:lang w:val="de-DE"/>
        </w:rPr>
        <w:t xml:space="preserve">In </w:t>
      </w:r>
      <w:r w:rsidRPr="00FE4CC2">
        <w:rPr>
          <w:rFonts w:eastAsia="AdvP6975"/>
          <w:color w:val="231F20"/>
          <w:szCs w:val="22"/>
          <w:lang w:val="de-DE"/>
        </w:rPr>
        <w:t>F. G. Renaud, K. Sudmeier-Rieux, M. Estrella, &amp; U. Nehren</w:t>
      </w:r>
      <w:r w:rsidRPr="00FE4CC2">
        <w:rPr>
          <w:rStyle w:val="referencia"/>
          <w:rFonts w:ascii="Calibri" w:hAnsi="Calibri"/>
          <w:szCs w:val="22"/>
          <w:lang w:val="de-DE"/>
        </w:rPr>
        <w:t xml:space="preserve"> </w:t>
      </w:r>
      <w:r w:rsidRPr="00FE4CC2">
        <w:rPr>
          <w:rStyle w:val="referencia"/>
          <w:rFonts w:ascii="Calibri" w:hAnsi="Calibri"/>
          <w:szCs w:val="22"/>
        </w:rPr>
        <w:t>(Eds.), </w:t>
      </w:r>
      <w:r w:rsidRPr="00FE4CC2">
        <w:rPr>
          <w:rStyle w:val="referencia"/>
          <w:rFonts w:ascii="Calibri" w:hAnsi="Calibri"/>
          <w:i/>
          <w:szCs w:val="22"/>
        </w:rPr>
        <w:t>Ecosystem-based disaster risk reduction and adaptation in practice</w:t>
      </w:r>
      <w:r w:rsidRPr="00FE4CC2">
        <w:rPr>
          <w:rStyle w:val="referencia"/>
          <w:rFonts w:ascii="Calibri" w:hAnsi="Calibri"/>
          <w:szCs w:val="22"/>
        </w:rPr>
        <w:t xml:space="preserve"> (pp. 457-482), Cham, Switzerland: Springer. </w:t>
      </w:r>
    </w:p>
    <w:p w14:paraId="579F9CE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Davidson, L. N. K., &amp; Dulvy, N. K. (2017). Global marine protected areas to prevent extinctions. </w:t>
      </w:r>
      <w:r w:rsidRPr="00FE4CC2">
        <w:rPr>
          <w:rStyle w:val="referencia"/>
          <w:rFonts w:ascii="Calibri" w:hAnsi="Calibri"/>
          <w:i/>
          <w:szCs w:val="22"/>
        </w:rPr>
        <w:t xml:space="preserve">Nature Ecology and Evolution </w:t>
      </w:r>
      <w:r w:rsidRPr="00FE4CC2">
        <w:rPr>
          <w:rStyle w:val="referencia"/>
          <w:rFonts w:ascii="Calibri" w:hAnsi="Calibri"/>
          <w:szCs w:val="22"/>
        </w:rPr>
        <w:t xml:space="preserve">1, 0040. </w:t>
      </w:r>
      <w:r w:rsidRPr="00FE4CC2">
        <w:rPr>
          <w:rStyle w:val="referencia"/>
          <w:rFonts w:ascii="Calibri" w:hAnsi="Calibri"/>
          <w:szCs w:val="22"/>
          <w:lang w:val="en-GB"/>
        </w:rPr>
        <w:t>https://doi.org/</w:t>
      </w:r>
      <w:r w:rsidRPr="00FE4CC2">
        <w:rPr>
          <w:rStyle w:val="referencia"/>
          <w:rFonts w:ascii="Calibri" w:hAnsi="Calibri"/>
          <w:szCs w:val="22"/>
        </w:rPr>
        <w:t xml:space="preserve">10.1038/s41559-016-0040 </w:t>
      </w:r>
    </w:p>
    <w:p w14:paraId="21540EE2"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rPr>
        <w:t xml:space="preserve">De Koning, F., Aguiñaga, M., Bravo, M., Chiu, M., Lascano, M., Lozada, T., &amp; Suarez, L. (2011). Bridging the gap between forest conservation and poverty alleviation: the Ecuadorian Socio Bosque program. </w:t>
      </w:r>
      <w:r w:rsidRPr="00FE4CC2">
        <w:rPr>
          <w:rStyle w:val="referencia"/>
          <w:rFonts w:ascii="Calibri" w:hAnsi="Calibri"/>
          <w:i/>
          <w:szCs w:val="22"/>
          <w:lang w:val="es-CO"/>
        </w:rPr>
        <w:t>Environmental Science and Policy</w:t>
      </w:r>
      <w:r w:rsidRPr="00FE4CC2">
        <w:rPr>
          <w:rStyle w:val="referencia"/>
          <w:rFonts w:ascii="Calibri" w:hAnsi="Calibri"/>
          <w:szCs w:val="22"/>
          <w:lang w:val="es-CO"/>
        </w:rPr>
        <w:t>, 14(5), 531-542.</w:t>
      </w:r>
    </w:p>
    <w:p w14:paraId="30CBC553"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De Lisio, A. (2013): </w:t>
      </w:r>
      <w:r w:rsidRPr="00FE4CC2">
        <w:rPr>
          <w:rStyle w:val="referencia"/>
          <w:rFonts w:ascii="Calibri" w:hAnsi="Calibri"/>
          <w:i/>
          <w:szCs w:val="22"/>
          <w:lang w:val="es-CO"/>
        </w:rPr>
        <w:t>La IIRSA o la integración física suramericana como dilema eco-sociopolítico. Doc. de trabajo</w:t>
      </w:r>
      <w:r w:rsidRPr="00FE4CC2">
        <w:rPr>
          <w:rStyle w:val="referencia"/>
          <w:rFonts w:ascii="Calibri" w:hAnsi="Calibri"/>
          <w:szCs w:val="22"/>
          <w:lang w:val="es-CO"/>
        </w:rPr>
        <w:t>.</w:t>
      </w:r>
      <w:r w:rsidRPr="00FE4CC2">
        <w:rPr>
          <w:rStyle w:val="referencia"/>
          <w:rFonts w:ascii="Calibri" w:hAnsi="Calibri"/>
          <w:i/>
          <w:szCs w:val="22"/>
          <w:lang w:val="es-CO"/>
        </w:rPr>
        <w:t xml:space="preserve"> </w:t>
      </w:r>
      <w:r w:rsidRPr="00FE4CC2">
        <w:rPr>
          <w:rStyle w:val="referencia"/>
          <w:rFonts w:ascii="Calibri" w:hAnsi="Calibri"/>
          <w:szCs w:val="22"/>
          <w:lang w:val="es-CO"/>
        </w:rPr>
        <w:t>Informe.</w:t>
      </w:r>
      <w:r w:rsidRPr="00FE4CC2">
        <w:rPr>
          <w:rStyle w:val="referencia"/>
          <w:rFonts w:ascii="Calibri" w:hAnsi="Calibri"/>
          <w:i/>
          <w:szCs w:val="22"/>
          <w:lang w:val="es-CO"/>
        </w:rPr>
        <w:t xml:space="preserve"> CLACSO</w:t>
      </w:r>
      <w:r w:rsidRPr="00FE4CC2">
        <w:rPr>
          <w:rStyle w:val="referencia"/>
          <w:rFonts w:ascii="Calibri" w:hAnsi="Calibri"/>
          <w:szCs w:val="22"/>
          <w:lang w:val="es-CO"/>
        </w:rPr>
        <w:t xml:space="preserve">. Buenos Aires, Argentina. (pp. 236). </w:t>
      </w:r>
    </w:p>
    <w:p w14:paraId="145DD71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De Lisio, A. (2014): </w:t>
      </w:r>
      <w:r w:rsidRPr="00FE4CC2">
        <w:rPr>
          <w:rStyle w:val="referencia"/>
          <w:rFonts w:ascii="Calibri" w:hAnsi="Calibri"/>
          <w:i/>
          <w:szCs w:val="22"/>
          <w:lang w:val="es-CO"/>
        </w:rPr>
        <w:t xml:space="preserve">Desarrollo sostenible/cambio climático/IIRSA: elementos de ecología política em América Latina y El Caribe. </w:t>
      </w:r>
      <w:r w:rsidRPr="00FE4CC2">
        <w:rPr>
          <w:rStyle w:val="referencia"/>
          <w:rFonts w:ascii="Calibri" w:hAnsi="Calibri"/>
          <w:i/>
          <w:szCs w:val="22"/>
        </w:rPr>
        <w:t>ENGOV Working Paper Series no. 9.</w:t>
      </w:r>
      <w:r w:rsidRPr="00FE4CC2">
        <w:rPr>
          <w:rStyle w:val="referencia"/>
          <w:rFonts w:ascii="Calibri" w:hAnsi="Calibri"/>
          <w:szCs w:val="22"/>
        </w:rPr>
        <w:t xml:space="preserve"> (pp. 23).</w:t>
      </w:r>
    </w:p>
    <w:p w14:paraId="6F119AA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Decker, D. J., Raik, D., &amp; Siemer, W. F. (2004). A Practitioner's Guide - Community-Based Deer Management. Cornell University, Ithaca, New York. </w:t>
      </w:r>
      <w:r w:rsidRPr="00FE4CC2">
        <w:rPr>
          <w:rStyle w:val="referencia"/>
          <w:rFonts w:ascii="Calibri" w:hAnsi="Calibri"/>
          <w:i/>
          <w:szCs w:val="22"/>
        </w:rPr>
        <w:t>Northeast Wildlife Damage Management Research and Outreach Cooperative</w:t>
      </w:r>
      <w:r w:rsidRPr="00FE4CC2">
        <w:rPr>
          <w:rStyle w:val="referencia"/>
          <w:rFonts w:ascii="Calibri" w:hAnsi="Calibri"/>
          <w:szCs w:val="22"/>
        </w:rPr>
        <w:t>. (pp. 56)</w:t>
      </w:r>
    </w:p>
    <w:p w14:paraId="116781F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Depledge, D., &amp; Dodds, K. (2017): </w:t>
      </w:r>
      <w:r w:rsidRPr="00FE4CC2">
        <w:rPr>
          <w:szCs w:val="22"/>
        </w:rPr>
        <w:t xml:space="preserve">Bazaar governance: situating the Arctic Circle. In K. Keil &amp; S. Knecht (Eds.), </w:t>
      </w:r>
      <w:r w:rsidRPr="00FE4CC2">
        <w:rPr>
          <w:i/>
          <w:szCs w:val="22"/>
        </w:rPr>
        <w:t>Governing Arctic Change</w:t>
      </w:r>
      <w:r w:rsidRPr="00FE4CC2">
        <w:rPr>
          <w:szCs w:val="22"/>
        </w:rPr>
        <w:t xml:space="preserve"> (pp. 141-160). London, UK: Palgrave MacMillan. </w:t>
      </w:r>
    </w:p>
    <w:p w14:paraId="4AF2A81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Di Marco, M., </w:t>
      </w:r>
      <w:r w:rsidRPr="00FE4CC2">
        <w:rPr>
          <w:szCs w:val="22"/>
          <w:lang w:val="pt-BR"/>
        </w:rPr>
        <w:t xml:space="preserve">Butchart, S. H. M., Visconti, P., Buchanan, G. M., Ficetola, G. F., &amp; Rondinini, C. (2015). </w:t>
      </w:r>
      <w:r w:rsidRPr="00FE4CC2">
        <w:rPr>
          <w:szCs w:val="22"/>
        </w:rPr>
        <w:t xml:space="preserve">Synergies and trade-offs in achieving global biodiversity targets. </w:t>
      </w:r>
      <w:r w:rsidRPr="00FE4CC2">
        <w:rPr>
          <w:i/>
          <w:szCs w:val="22"/>
        </w:rPr>
        <w:t>Conservation Biology</w:t>
      </w:r>
      <w:r w:rsidRPr="00FE4CC2">
        <w:rPr>
          <w:szCs w:val="22"/>
        </w:rPr>
        <w:t xml:space="preserve">, 30, 189-195. </w:t>
      </w:r>
      <w:r w:rsidRPr="00FE4CC2">
        <w:rPr>
          <w:rStyle w:val="referencia"/>
          <w:rFonts w:ascii="Calibri" w:hAnsi="Calibri"/>
          <w:szCs w:val="22"/>
        </w:rPr>
        <w:t xml:space="preserve"> </w:t>
      </w:r>
    </w:p>
    <w:p w14:paraId="5A276ABF"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Diegues, A. C. (2008). </w:t>
      </w:r>
      <w:r w:rsidRPr="00FE4CC2">
        <w:rPr>
          <w:rStyle w:val="referencia"/>
          <w:rFonts w:ascii="Calibri" w:hAnsi="Calibri"/>
          <w:i/>
          <w:szCs w:val="22"/>
        </w:rPr>
        <w:t xml:space="preserve">Marine Protected Areas and Artisanal Fisheries in Brazil. Samudra Monograph. Ed. Anil Menon. International Collective in Support of Fisherworkers. </w:t>
      </w:r>
      <w:r w:rsidRPr="00FE4CC2">
        <w:rPr>
          <w:rStyle w:val="referencia"/>
          <w:rFonts w:ascii="Calibri" w:hAnsi="Calibri"/>
          <w:i/>
          <w:szCs w:val="22"/>
          <w:lang w:val="pt-BR"/>
        </w:rPr>
        <w:t>India</w:t>
      </w:r>
      <w:r w:rsidRPr="00FE4CC2">
        <w:rPr>
          <w:rStyle w:val="referencia"/>
          <w:rFonts w:ascii="Calibri" w:hAnsi="Calibri"/>
          <w:szCs w:val="22"/>
          <w:lang w:val="pt-BR"/>
        </w:rPr>
        <w:t>. (pp. 68).</w:t>
      </w:r>
    </w:p>
    <w:p w14:paraId="35370CE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Doswald, N., &amp; Estrella, M. (2015): Promoting Ecosystems for Disaster Risk Reduction and Climate Change Adaptation. </w:t>
      </w:r>
      <w:r w:rsidRPr="00FE4CC2">
        <w:rPr>
          <w:rStyle w:val="referencia"/>
          <w:rFonts w:ascii="Calibri" w:hAnsi="Calibri"/>
          <w:i/>
          <w:szCs w:val="22"/>
        </w:rPr>
        <w:t>UNEP Discussion Paper</w:t>
      </w:r>
      <w:r w:rsidRPr="00FE4CC2">
        <w:rPr>
          <w:rStyle w:val="referencia"/>
          <w:rFonts w:ascii="Calibri" w:hAnsi="Calibri"/>
          <w:szCs w:val="22"/>
        </w:rPr>
        <w:t xml:space="preserve">. Available at: </w:t>
      </w:r>
      <w:hyperlink r:id="rId1103" w:history="1">
        <w:r w:rsidRPr="00FE4CC2">
          <w:rPr>
            <w:rStyle w:val="referencia"/>
            <w:rFonts w:ascii="Calibri" w:hAnsi="Calibri"/>
            <w:szCs w:val="22"/>
          </w:rPr>
          <w:t>https://wedocs.unep</w:t>
        </w:r>
      </w:hyperlink>
      <w:r w:rsidRPr="00FE4CC2">
        <w:rPr>
          <w:rStyle w:val="referencia"/>
          <w:rFonts w:ascii="Calibri" w:hAnsi="Calibri"/>
          <w:szCs w:val="22"/>
        </w:rPr>
        <w:t>. org/handle/20.500.11822/14071.</w:t>
      </w:r>
    </w:p>
    <w:p w14:paraId="1BF71339" w14:textId="77777777" w:rsidR="006969D3" w:rsidRPr="00FE4CC2" w:rsidRDefault="006969D3" w:rsidP="006969D3">
      <w:pPr>
        <w:ind w:left="851" w:hanging="851"/>
        <w:contextualSpacing/>
        <w:rPr>
          <w:rStyle w:val="referencia"/>
          <w:rFonts w:ascii="Calibri" w:hAnsi="Calibri"/>
          <w:szCs w:val="22"/>
          <w:lang w:val="fr-FR"/>
        </w:rPr>
      </w:pPr>
      <w:r w:rsidRPr="00FE4CC2">
        <w:rPr>
          <w:rStyle w:val="referencia"/>
          <w:rFonts w:ascii="Calibri" w:hAnsi="Calibri"/>
          <w:szCs w:val="22"/>
          <w:lang w:val="pt-BR"/>
        </w:rPr>
        <w:t xml:space="preserve">Duarte, C. M., Losada, I. J., Hendriks, I. E., </w:t>
      </w:r>
      <w:r w:rsidRPr="00FE4CC2">
        <w:rPr>
          <w:rFonts w:eastAsiaTheme="minorEastAsia"/>
          <w:szCs w:val="22"/>
          <w:lang w:val="pt-BR" w:eastAsia="es-ES"/>
        </w:rPr>
        <w:t>IMazarrasa, I., &amp; Marbà, N.</w:t>
      </w:r>
      <w:r w:rsidRPr="00FE4CC2">
        <w:rPr>
          <w:rStyle w:val="referencia"/>
          <w:rFonts w:ascii="Calibri" w:hAnsi="Calibri"/>
          <w:szCs w:val="22"/>
          <w:lang w:val="pt-BR"/>
        </w:rPr>
        <w:t xml:space="preserve"> (2013). </w:t>
      </w:r>
      <w:r w:rsidRPr="00FE4CC2">
        <w:rPr>
          <w:rStyle w:val="referencia"/>
          <w:rFonts w:ascii="Calibri" w:hAnsi="Calibri"/>
          <w:szCs w:val="22"/>
        </w:rPr>
        <w:t xml:space="preserve">The role of coastal plant communities for climate change mitigation and adaptation. </w:t>
      </w:r>
      <w:r w:rsidRPr="00FE4CC2">
        <w:rPr>
          <w:rStyle w:val="referencia"/>
          <w:rFonts w:ascii="Calibri" w:hAnsi="Calibri"/>
          <w:i/>
          <w:szCs w:val="22"/>
          <w:lang w:val="fr-FR"/>
        </w:rPr>
        <w:t>Nature Climate Change</w:t>
      </w:r>
      <w:r w:rsidRPr="00FE4CC2">
        <w:rPr>
          <w:rStyle w:val="referencia"/>
          <w:rFonts w:ascii="Calibri" w:hAnsi="Calibri"/>
          <w:szCs w:val="22"/>
          <w:lang w:val="fr-FR"/>
        </w:rPr>
        <w:t xml:space="preserve">, 3, 961-968. </w:t>
      </w:r>
    </w:p>
    <w:p w14:paraId="70A93D9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fr-FR"/>
        </w:rPr>
        <w:t xml:space="preserve">Duit, A., Galaz, V., Eckerberg, K., &amp; Ebbesson, J. (2010). </w:t>
      </w:r>
      <w:r w:rsidRPr="00FE4CC2">
        <w:rPr>
          <w:rStyle w:val="referencia"/>
          <w:rFonts w:ascii="Calibri" w:hAnsi="Calibri"/>
          <w:szCs w:val="22"/>
        </w:rPr>
        <w:t xml:space="preserve">Introduction: Governance, complexity, and resilience. </w:t>
      </w:r>
      <w:r w:rsidRPr="00FE4CC2">
        <w:rPr>
          <w:rStyle w:val="referencia"/>
          <w:rFonts w:ascii="Calibri" w:hAnsi="Calibri"/>
          <w:i/>
          <w:szCs w:val="22"/>
        </w:rPr>
        <w:t>Global Environmental Change</w:t>
      </w:r>
      <w:r w:rsidRPr="00FE4CC2">
        <w:rPr>
          <w:rStyle w:val="referencia"/>
          <w:rFonts w:ascii="Calibri" w:hAnsi="Calibri"/>
          <w:szCs w:val="22"/>
        </w:rPr>
        <w:t>, 20, 363–368.</w:t>
      </w:r>
    </w:p>
    <w:p w14:paraId="27AD639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Durham W. H. (2008). Fishing for solutions: ecotourism and conservation in Galapagos National Park.</w:t>
      </w:r>
      <w:r w:rsidRPr="00FE4CC2">
        <w:rPr>
          <w:rStyle w:val="referencia"/>
          <w:rFonts w:ascii="Calibri" w:hAnsi="Calibri"/>
          <w:i/>
          <w:szCs w:val="22"/>
        </w:rPr>
        <w:t xml:space="preserve"> </w:t>
      </w:r>
      <w:r w:rsidRPr="00FE4CC2">
        <w:rPr>
          <w:rStyle w:val="referencia"/>
          <w:rFonts w:ascii="Calibri" w:hAnsi="Calibri"/>
          <w:szCs w:val="22"/>
        </w:rPr>
        <w:t>In:</w:t>
      </w:r>
      <w:r w:rsidRPr="00FE4CC2">
        <w:rPr>
          <w:rStyle w:val="referencia"/>
          <w:rFonts w:ascii="Calibri" w:hAnsi="Calibri"/>
          <w:i/>
          <w:szCs w:val="22"/>
        </w:rPr>
        <w:t xml:space="preserve"> </w:t>
      </w:r>
      <w:r w:rsidRPr="00FE4CC2">
        <w:rPr>
          <w:rStyle w:val="referencia"/>
          <w:rFonts w:ascii="Calibri" w:hAnsi="Calibri"/>
          <w:szCs w:val="22"/>
        </w:rPr>
        <w:t xml:space="preserve">A. Stronza &amp; W. H. Durham (Eds.), </w:t>
      </w:r>
      <w:r w:rsidRPr="00FE4CC2">
        <w:rPr>
          <w:rStyle w:val="referencia"/>
          <w:rFonts w:ascii="Calibri" w:hAnsi="Calibri"/>
          <w:i/>
          <w:szCs w:val="22"/>
        </w:rPr>
        <w:t>Ecotourism and Conservation in the Americas</w:t>
      </w:r>
      <w:r w:rsidRPr="00FE4CC2">
        <w:rPr>
          <w:rStyle w:val="referencia"/>
          <w:rFonts w:ascii="Calibri" w:hAnsi="Calibri"/>
          <w:szCs w:val="22"/>
        </w:rPr>
        <w:t xml:space="preserve"> (pp. 66-90). Wallingford, UK: Cabi International. </w:t>
      </w:r>
    </w:p>
    <w:p w14:paraId="41D24A22"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Durigan, G., Engel, V. L., Torezan, J. M., Melo, A. C. G., Marques, M. C. M., Martins, S. V., Reis, A., &amp; Scarano, F. R. (2010). </w:t>
      </w:r>
      <w:r w:rsidRPr="00FE4CC2">
        <w:rPr>
          <w:rStyle w:val="referencia"/>
          <w:rFonts w:ascii="Calibri" w:hAnsi="Calibri"/>
          <w:szCs w:val="22"/>
          <w:lang w:val="es-CO"/>
        </w:rPr>
        <w:t xml:space="preserve">Normas jurídicas para a restauração ecológica: uma barreira a mais para dificultar o êxito das iniciativas? </w:t>
      </w:r>
      <w:r w:rsidRPr="00FE4CC2">
        <w:rPr>
          <w:rStyle w:val="referencia"/>
          <w:rFonts w:ascii="Calibri" w:hAnsi="Calibri"/>
          <w:i/>
          <w:szCs w:val="22"/>
          <w:lang w:val="pt-BR"/>
        </w:rPr>
        <w:t>Revista Árvore</w:t>
      </w:r>
      <w:r w:rsidRPr="00FE4CC2">
        <w:rPr>
          <w:rStyle w:val="referencia"/>
          <w:rFonts w:ascii="Calibri" w:hAnsi="Calibri"/>
          <w:szCs w:val="22"/>
          <w:lang w:val="pt-BR"/>
        </w:rPr>
        <w:t>, 34, 471–485.</w:t>
      </w:r>
    </w:p>
    <w:p w14:paraId="3B72CF9F" w14:textId="77777777" w:rsidR="006969D3" w:rsidRPr="00FE4CC2" w:rsidRDefault="006969D3" w:rsidP="006969D3">
      <w:pPr>
        <w:ind w:left="851" w:hanging="851"/>
        <w:contextualSpacing/>
        <w:rPr>
          <w:rStyle w:val="referencia"/>
          <w:rFonts w:ascii="Calibri" w:hAnsi="Calibri"/>
          <w:szCs w:val="22"/>
        </w:rPr>
      </w:pPr>
      <w:r w:rsidRPr="00FE4CC2">
        <w:rPr>
          <w:szCs w:val="22"/>
          <w:lang w:val="pt-BR"/>
        </w:rPr>
        <w:t xml:space="preserve">Dyer, G. A., López-Feldman, A., Yúnez-Naude, A., &amp; Taylor, J. E. (2014). </w:t>
      </w:r>
      <w:r w:rsidRPr="00FE4CC2">
        <w:rPr>
          <w:szCs w:val="22"/>
        </w:rPr>
        <w:t xml:space="preserve">Genetic erosion in maize’s center of origin. </w:t>
      </w:r>
      <w:r w:rsidRPr="00FE4CC2">
        <w:rPr>
          <w:i/>
          <w:szCs w:val="22"/>
        </w:rPr>
        <w:t>Proceedings of the National Academy of Sciences</w:t>
      </w:r>
      <w:r w:rsidRPr="00FE4CC2">
        <w:rPr>
          <w:szCs w:val="22"/>
        </w:rPr>
        <w:t>,</w:t>
      </w:r>
      <w:r w:rsidRPr="00FE4CC2">
        <w:rPr>
          <w:i/>
          <w:szCs w:val="22"/>
        </w:rPr>
        <w:t xml:space="preserve"> </w:t>
      </w:r>
      <w:r w:rsidRPr="00FE4CC2">
        <w:rPr>
          <w:szCs w:val="22"/>
        </w:rPr>
        <w:t xml:space="preserve">111, 14094-14099. </w:t>
      </w:r>
    </w:p>
    <w:p w14:paraId="3E93D55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Easterly, W. (2015). The SDGs should stand for senseless, dreamy, garbled.</w:t>
      </w:r>
      <w:r w:rsidRPr="00FE4CC2">
        <w:rPr>
          <w:rStyle w:val="referencia"/>
          <w:rFonts w:ascii="Calibri" w:hAnsi="Calibri"/>
          <w:i/>
          <w:szCs w:val="22"/>
        </w:rPr>
        <w:t xml:space="preserve"> Foreign Policy,</w:t>
      </w:r>
      <w:r w:rsidRPr="00FE4CC2">
        <w:rPr>
          <w:rStyle w:val="referencia"/>
          <w:rFonts w:ascii="Calibri" w:hAnsi="Calibri"/>
          <w:szCs w:val="22"/>
        </w:rPr>
        <w:t xml:space="preserve"> Available at: http://foreignpolicy.com/2015/09/28/the-sdgs-are-utopian-and-worthless-mdgs-development-rise-of-the-rest/</w:t>
      </w:r>
    </w:p>
    <w:p w14:paraId="486D190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Echeverría, C., Smith-Ramírez, C., Aronson, J., &amp; Barrera-Cataño, J. I. (2015). </w:t>
      </w:r>
      <w:r w:rsidRPr="00FE4CC2">
        <w:rPr>
          <w:rStyle w:val="referencia"/>
          <w:rFonts w:ascii="Calibri" w:hAnsi="Calibri"/>
          <w:szCs w:val="22"/>
        </w:rPr>
        <w:t xml:space="preserve">Good news from Latin America and the Caribbean: national and international restoration networks are moving ahead. </w:t>
      </w:r>
      <w:r w:rsidRPr="00FE4CC2">
        <w:rPr>
          <w:rStyle w:val="referencia"/>
          <w:rFonts w:ascii="Calibri" w:hAnsi="Calibri"/>
          <w:i/>
          <w:szCs w:val="22"/>
        </w:rPr>
        <w:t>Restoration Ecology</w:t>
      </w:r>
      <w:r w:rsidRPr="00FE4CC2">
        <w:rPr>
          <w:rStyle w:val="referencia"/>
          <w:rFonts w:ascii="Calibri" w:hAnsi="Calibri"/>
          <w:szCs w:val="22"/>
        </w:rPr>
        <w:t>, 23(1), 1–3.</w:t>
      </w:r>
    </w:p>
    <w:p w14:paraId="1C658C3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ECLAC (2011): </w:t>
      </w:r>
      <w:r w:rsidRPr="00FE4CC2">
        <w:rPr>
          <w:rStyle w:val="referencia"/>
          <w:rFonts w:ascii="Calibri" w:hAnsi="Calibri"/>
          <w:i/>
          <w:szCs w:val="22"/>
        </w:rPr>
        <w:t>Social Panorama of Latin America 2011. Briefing Paper, Economic Commission for Latin America and the Caribbean (ECLAC)</w:t>
      </w:r>
      <w:r w:rsidRPr="00FE4CC2">
        <w:rPr>
          <w:rStyle w:val="referencia"/>
          <w:rFonts w:ascii="Calibri" w:hAnsi="Calibri"/>
          <w:szCs w:val="22"/>
        </w:rPr>
        <w:t xml:space="preserve">, Santiago, Chile, (pp. 49). </w:t>
      </w:r>
    </w:p>
    <w:p w14:paraId="7EBFF031" w14:textId="77777777" w:rsidR="006969D3" w:rsidRPr="00FE4CC2" w:rsidRDefault="006969D3" w:rsidP="006969D3">
      <w:pPr>
        <w:ind w:left="851" w:hanging="851"/>
        <w:contextualSpacing/>
        <w:rPr>
          <w:color w:val="000000"/>
          <w:szCs w:val="22"/>
        </w:rPr>
      </w:pPr>
      <w:r w:rsidRPr="00FE4CC2">
        <w:rPr>
          <w:color w:val="000000"/>
          <w:szCs w:val="22"/>
        </w:rPr>
        <w:t xml:space="preserve">ECLAC (2013). </w:t>
      </w:r>
      <w:r w:rsidRPr="00FE4CC2">
        <w:rPr>
          <w:i/>
          <w:color w:val="000000"/>
          <w:szCs w:val="22"/>
        </w:rPr>
        <w:t>An assessment of the economic and social impacts of climate change on the agriculture sector in the Caribbean.</w:t>
      </w:r>
      <w:r w:rsidRPr="00FE4CC2">
        <w:rPr>
          <w:color w:val="000000"/>
          <w:szCs w:val="22"/>
        </w:rPr>
        <w:t xml:space="preserve"> Economic Commission for Latin America and the Caribbean (S. Hutchinson, C. Gomes, D. Alleyne, &amp; W. Phillips, Eds.). Port of Spain: United Nations. </w:t>
      </w:r>
    </w:p>
    <w:p w14:paraId="246E711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ECLAC, (2016): </w:t>
      </w:r>
      <w:r w:rsidRPr="00FE4CC2">
        <w:rPr>
          <w:rStyle w:val="referencia"/>
          <w:rFonts w:ascii="Calibri" w:hAnsi="Calibri"/>
          <w:i/>
          <w:szCs w:val="22"/>
        </w:rPr>
        <w:t>Economic Survey of Latin America and the Caribbean, 2016. Economic Commission for Latin America and the Caribbean</w:t>
      </w:r>
      <w:r w:rsidRPr="00FE4CC2">
        <w:rPr>
          <w:rStyle w:val="referencia"/>
          <w:rFonts w:ascii="Calibri" w:hAnsi="Calibri"/>
          <w:szCs w:val="22"/>
        </w:rPr>
        <w:t>, Santiago, Chile.</w:t>
      </w:r>
    </w:p>
    <w:p w14:paraId="3BF4C7AF" w14:textId="77777777" w:rsidR="006969D3" w:rsidRPr="00FE4CC2" w:rsidRDefault="006969D3" w:rsidP="006969D3">
      <w:pPr>
        <w:autoSpaceDE w:val="0"/>
        <w:autoSpaceDN w:val="0"/>
        <w:adjustRightInd w:val="0"/>
        <w:ind w:left="851" w:hanging="851"/>
        <w:contextualSpacing/>
        <w:rPr>
          <w:rStyle w:val="referencia"/>
          <w:rFonts w:ascii="Calibri" w:hAnsi="Calibri"/>
          <w:szCs w:val="22"/>
        </w:rPr>
      </w:pPr>
      <w:r w:rsidRPr="00FE4CC2">
        <w:rPr>
          <w:rStyle w:val="referencia"/>
          <w:rFonts w:ascii="Calibri" w:hAnsi="Calibri"/>
          <w:szCs w:val="22"/>
        </w:rPr>
        <w:t xml:space="preserve">Edgar, G. J., Stuart-Smith, R. D., Willis, T. J., Kininmonth, S., Baker, S. C., Banks, S., Barrett, N. S., Becerro, M. A., Bernard, A. T. F., Berkhout, J., Buxton, C. D., Campbell, S. J., Cooper, A. T., Davey, M., Edgar, S. C., Försterra, G., Galván, D. E., Irigoyen, A. J., Kushner, D. J., Moura, R., Parnell, P. E., Shears, N. T., Soler, G., Strain, E. M. A., &amp; Thomson, R. J. (2014). Global conservation outcomes depend on marine protected areas with five key features. </w:t>
      </w:r>
      <w:r w:rsidRPr="00FE4CC2">
        <w:rPr>
          <w:rStyle w:val="referencia"/>
          <w:rFonts w:ascii="Calibri" w:hAnsi="Calibri"/>
          <w:i/>
          <w:szCs w:val="22"/>
        </w:rPr>
        <w:t>Nature</w:t>
      </w:r>
      <w:r w:rsidRPr="00FE4CC2">
        <w:rPr>
          <w:rStyle w:val="referencia"/>
          <w:rFonts w:ascii="Calibri" w:hAnsi="Calibri"/>
          <w:szCs w:val="22"/>
        </w:rPr>
        <w:t>, 506, 216-220.</w:t>
      </w:r>
    </w:p>
    <w:p w14:paraId="389D5FFD"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rPr>
        <w:t xml:space="preserve">Ellis, E. A., &amp; Porter-Bolland, L. (2008). Is community-based forest management more effective than protected areas? A comparison of land use/land cover change in two neighboring study areas of the Central Yucatan Peninsula, Mexico. </w:t>
      </w:r>
      <w:r w:rsidRPr="00FE4CC2">
        <w:rPr>
          <w:rStyle w:val="referencia"/>
          <w:rFonts w:ascii="Calibri" w:hAnsi="Calibri"/>
          <w:i/>
          <w:szCs w:val="22"/>
          <w:lang w:val="es-CO"/>
        </w:rPr>
        <w:t>Forest Ecology and Management</w:t>
      </w:r>
      <w:r w:rsidRPr="00FE4CC2">
        <w:rPr>
          <w:rStyle w:val="referencia"/>
          <w:rFonts w:ascii="Calibri" w:hAnsi="Calibri"/>
          <w:szCs w:val="22"/>
          <w:lang w:val="es-CO"/>
        </w:rPr>
        <w:t>, 256, 1971-1983.</w:t>
      </w:r>
    </w:p>
    <w:p w14:paraId="0878377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Emperaire, L. (2017) Saberes tradicionais e diversidade das plantas cultivadas na Amazônia.</w:t>
      </w:r>
      <w:r w:rsidRPr="00FE4CC2">
        <w:rPr>
          <w:rStyle w:val="referencia"/>
          <w:rFonts w:ascii="Calibri" w:hAnsi="Calibri"/>
          <w:i/>
          <w:szCs w:val="22"/>
          <w:lang w:val="pt-BR"/>
        </w:rPr>
        <w:t xml:space="preserve"> </w:t>
      </w:r>
      <w:r w:rsidRPr="00FE4CC2">
        <w:rPr>
          <w:rStyle w:val="referencia"/>
          <w:rFonts w:ascii="Calibri" w:hAnsi="Calibri"/>
          <w:szCs w:val="22"/>
          <w:lang w:val="pt-BR"/>
        </w:rPr>
        <w:t>In B. Baptiste, D. Pacheco, M. Carneiro da Cunha, &amp; S. Diaz (Eds.).</w:t>
      </w:r>
      <w:r w:rsidRPr="00FE4CC2">
        <w:rPr>
          <w:rStyle w:val="referencia"/>
          <w:rFonts w:ascii="Calibri" w:hAnsi="Calibri"/>
          <w:i/>
          <w:szCs w:val="22"/>
          <w:lang w:val="pt-BR"/>
        </w:rPr>
        <w:t xml:space="preserve"> </w:t>
      </w:r>
      <w:r w:rsidRPr="00FE4CC2">
        <w:rPr>
          <w:rStyle w:val="referencia"/>
          <w:rFonts w:ascii="Calibri" w:hAnsi="Calibri"/>
          <w:i/>
          <w:szCs w:val="22"/>
        </w:rPr>
        <w:t>Knowing our Lands and Resources: Indigenous and Local Knowledge of Biodiversity and Ecosystem Services in the Americas. </w:t>
      </w:r>
      <w:r w:rsidRPr="00FE4CC2">
        <w:rPr>
          <w:rStyle w:val="referencia"/>
          <w:rFonts w:ascii="Calibri" w:hAnsi="Calibri"/>
          <w:szCs w:val="22"/>
        </w:rPr>
        <w:t>Knowledges of Nature 11. (pp. 41-62). UNESCO: Paris.</w:t>
      </w:r>
    </w:p>
    <w:p w14:paraId="06F49FCF"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rPr>
        <w:t xml:space="preserve">Epanchin-Niell, R. S., &amp; Wilen, J. E. (2014).  Individual and cooperative management of invasive species in human-mediated landscapes. </w:t>
      </w:r>
      <w:r w:rsidRPr="00FE4CC2">
        <w:rPr>
          <w:rStyle w:val="referencia"/>
          <w:rFonts w:ascii="Calibri" w:hAnsi="Calibri"/>
          <w:i/>
          <w:szCs w:val="22"/>
          <w:lang w:val="es-CO"/>
        </w:rPr>
        <w:t>American Journal of Agricultural Economics</w:t>
      </w:r>
      <w:r w:rsidRPr="00FE4CC2">
        <w:rPr>
          <w:rStyle w:val="referencia"/>
          <w:rFonts w:ascii="Calibri" w:hAnsi="Calibri"/>
          <w:szCs w:val="22"/>
          <w:lang w:val="es-CO"/>
        </w:rPr>
        <w:t>, 97(1), 180–198.</w:t>
      </w:r>
    </w:p>
    <w:p w14:paraId="71A377ED"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Equihua Zamora, M., García Alaniz, N., Pérez-Maqueo, O., Benítez Badillo, G., Kolb, M., Schmidt, M., Equihua-Benítez, J., Maeda, P., &amp; Álvarez Palacios, J. L. (2014). Integridad Ecológica como Indicador de la Calidad Ambiental. </w:t>
      </w:r>
      <w:r w:rsidRPr="00FE4CC2">
        <w:rPr>
          <w:rStyle w:val="referencia"/>
          <w:rFonts w:ascii="Calibri" w:hAnsi="Calibri"/>
          <w:szCs w:val="22"/>
          <w:lang w:val="pt-BR"/>
        </w:rPr>
        <w:t xml:space="preserve">In C. A. González Zuarth, A. Vallarino, J. C. Pérez Jiménez, &amp; A. M. Low Pfeng (Eds.), </w:t>
      </w:r>
      <w:r w:rsidRPr="00FE4CC2">
        <w:rPr>
          <w:rStyle w:val="referencia"/>
          <w:rFonts w:ascii="Calibri" w:hAnsi="Calibri"/>
          <w:i/>
          <w:szCs w:val="22"/>
          <w:lang w:val="es-CO"/>
        </w:rPr>
        <w:t>Bioindicadores: Guardianes de nuestro futuro ambiental</w:t>
      </w:r>
      <w:r w:rsidRPr="00FE4CC2">
        <w:rPr>
          <w:rStyle w:val="referencia"/>
          <w:rFonts w:ascii="Calibri" w:hAnsi="Calibri"/>
          <w:szCs w:val="22"/>
          <w:lang w:val="es-CO"/>
        </w:rPr>
        <w:t xml:space="preserve"> (pp. 695–718).</w:t>
      </w:r>
      <w:r w:rsidRPr="00FE4CC2">
        <w:rPr>
          <w:rStyle w:val="referencia"/>
          <w:rFonts w:ascii="Calibri" w:hAnsi="Calibri"/>
          <w:i/>
          <w:szCs w:val="22"/>
          <w:lang w:val="es-CO"/>
        </w:rPr>
        <w:t xml:space="preserve"> </w:t>
      </w:r>
      <w:r w:rsidRPr="00FE4CC2">
        <w:rPr>
          <w:rStyle w:val="referencia"/>
          <w:rFonts w:ascii="Calibri" w:hAnsi="Calibri"/>
          <w:szCs w:val="22"/>
          <w:lang w:val="es-CO"/>
        </w:rPr>
        <w:t>Mexico City: El Colegio de la Frontera Sur (ECOSUR).</w:t>
      </w:r>
    </w:p>
    <w:p w14:paraId="273CB3F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Estrada-Carmona, N., Hart, A. K., DeClerck, F. A. J., Harvey, C. A., &amp; Milder, J. C. (2014). </w:t>
      </w:r>
      <w:r w:rsidRPr="00FE4CC2">
        <w:rPr>
          <w:rStyle w:val="referencia"/>
          <w:rFonts w:ascii="Calibri" w:hAnsi="Calibri"/>
          <w:szCs w:val="22"/>
        </w:rPr>
        <w:t xml:space="preserve">Integrated landscape management for agriculture, rural livelihoods, and ecosystem conservation: an assessment of experience from Latin America and the Caribbean. </w:t>
      </w:r>
      <w:r w:rsidRPr="00FE4CC2">
        <w:rPr>
          <w:rStyle w:val="referencia"/>
          <w:rFonts w:ascii="Calibri" w:hAnsi="Calibri"/>
          <w:i/>
          <w:szCs w:val="22"/>
        </w:rPr>
        <w:t>Landscape and Urban Planning</w:t>
      </w:r>
      <w:r w:rsidRPr="00FE4CC2">
        <w:rPr>
          <w:rStyle w:val="referencia"/>
          <w:rFonts w:ascii="Calibri" w:hAnsi="Calibri"/>
          <w:szCs w:val="22"/>
        </w:rPr>
        <w:t>, 129, 1–11.</w:t>
      </w:r>
    </w:p>
    <w:p w14:paraId="5ED1B22C" w14:textId="77777777" w:rsidR="006969D3" w:rsidRPr="00FE4CC2" w:rsidRDefault="006969D3" w:rsidP="006969D3">
      <w:pPr>
        <w:ind w:left="851" w:hanging="851"/>
        <w:contextualSpacing/>
        <w:rPr>
          <w:rStyle w:val="referencia"/>
          <w:rFonts w:ascii="Calibri" w:hAnsi="Calibri"/>
          <w:szCs w:val="22"/>
        </w:rPr>
      </w:pPr>
      <w:r w:rsidRPr="00FE4CC2">
        <w:rPr>
          <w:szCs w:val="22"/>
        </w:rPr>
        <w:t xml:space="preserve">Estrella, M., Renaud, F. G., Sudmeier-Rieux, K., &amp; Nehren, U. (2016). Defining new pathways for ecosystem-based disaster risk reduction and adaptation in the post-2015 Sustainable Development Agenda. </w:t>
      </w:r>
      <w:r w:rsidRPr="00FE4CC2">
        <w:rPr>
          <w:rStyle w:val="referencia"/>
          <w:rFonts w:ascii="Calibri" w:hAnsi="Calibri"/>
          <w:szCs w:val="22"/>
          <w:lang w:val="de-DE"/>
        </w:rPr>
        <w:t xml:space="preserve">In </w:t>
      </w:r>
      <w:r w:rsidRPr="00FE4CC2">
        <w:rPr>
          <w:szCs w:val="22"/>
          <w:lang w:val="de-DE"/>
        </w:rPr>
        <w:t xml:space="preserve">F. G. Renaud, K. Sudmeier-Rieux, M. Estrella, &amp; U. Nehren </w:t>
      </w:r>
      <w:r w:rsidRPr="00FE4CC2">
        <w:rPr>
          <w:rStyle w:val="referencia"/>
          <w:rFonts w:ascii="Calibri" w:hAnsi="Calibri"/>
          <w:szCs w:val="22"/>
          <w:lang w:val="de-DE"/>
        </w:rPr>
        <w:t xml:space="preserve">(Eds.), </w:t>
      </w:r>
      <w:r w:rsidRPr="00FE4CC2">
        <w:rPr>
          <w:i/>
          <w:szCs w:val="22"/>
        </w:rPr>
        <w:t xml:space="preserve">Ecosystem-Based Disaster Risk Reduction and Adaptation in Practice, </w:t>
      </w:r>
      <w:r w:rsidRPr="00FE4CC2">
        <w:rPr>
          <w:szCs w:val="22"/>
        </w:rPr>
        <w:t>Advances in Natural and Technological Hazards Research 42 (</w:t>
      </w:r>
      <w:r w:rsidRPr="00FE4CC2">
        <w:rPr>
          <w:rStyle w:val="referencia"/>
          <w:rFonts w:ascii="Calibri" w:hAnsi="Calibri"/>
          <w:szCs w:val="22"/>
        </w:rPr>
        <w:t xml:space="preserve">pp. 553–591). </w:t>
      </w:r>
      <w:r w:rsidRPr="00FE4CC2">
        <w:rPr>
          <w:szCs w:val="22"/>
        </w:rPr>
        <w:t xml:space="preserve">Cham, Switzerland: Springer, </w:t>
      </w:r>
    </w:p>
    <w:p w14:paraId="2DAD23D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Evans, K., Murphy, L., &amp; de Jong, W. (2014). Global versus local narratives of REDD: a case study from Peru’s Amazon. </w:t>
      </w:r>
      <w:r w:rsidRPr="00FE4CC2">
        <w:rPr>
          <w:rStyle w:val="referencia"/>
          <w:rFonts w:ascii="Calibri" w:hAnsi="Calibri"/>
          <w:i/>
          <w:szCs w:val="22"/>
        </w:rPr>
        <w:t>Environmental Science and Policy</w:t>
      </w:r>
      <w:r w:rsidRPr="00FE4CC2">
        <w:rPr>
          <w:rStyle w:val="referencia"/>
          <w:rFonts w:ascii="Calibri" w:hAnsi="Calibri"/>
          <w:szCs w:val="22"/>
        </w:rPr>
        <w:t xml:space="preserve">, 35, 98-108. </w:t>
      </w:r>
    </w:p>
    <w:p w14:paraId="6644D17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Ezzine-de-Blas, D., Wunder, S., Ruiz-Pérez, M., &amp; Moreno-Sanchez, R. d. P. (2016). </w:t>
      </w:r>
      <w:r w:rsidRPr="00FE4CC2">
        <w:rPr>
          <w:rStyle w:val="referencia"/>
          <w:rFonts w:ascii="Calibri" w:hAnsi="Calibri"/>
          <w:szCs w:val="22"/>
        </w:rPr>
        <w:t xml:space="preserve">Global patterns in the implementation of payments for environmental services. </w:t>
      </w:r>
      <w:r w:rsidRPr="00FE4CC2">
        <w:rPr>
          <w:rStyle w:val="referencia"/>
          <w:rFonts w:ascii="Calibri" w:hAnsi="Calibri"/>
          <w:i/>
          <w:szCs w:val="22"/>
        </w:rPr>
        <w:t xml:space="preserve">PLoS One </w:t>
      </w:r>
      <w:r w:rsidRPr="00FE4CC2">
        <w:rPr>
          <w:rStyle w:val="referencia"/>
          <w:rFonts w:ascii="Calibri" w:hAnsi="Calibri"/>
          <w:szCs w:val="22"/>
        </w:rPr>
        <w:t xml:space="preserve">11(3), e0149847. </w:t>
      </w:r>
      <w:r w:rsidRPr="00FE4CC2">
        <w:rPr>
          <w:rStyle w:val="referencia"/>
          <w:rFonts w:ascii="Calibri" w:hAnsi="Calibri"/>
          <w:szCs w:val="22"/>
          <w:lang w:val="en-GB"/>
        </w:rPr>
        <w:t>https://doi.org/</w:t>
      </w:r>
      <w:r w:rsidRPr="00FE4CC2">
        <w:rPr>
          <w:rStyle w:val="referencia"/>
          <w:rFonts w:ascii="Calibri" w:hAnsi="Calibri"/>
          <w:szCs w:val="22"/>
        </w:rPr>
        <w:t>10.1371/ journal.pone.0149847</w:t>
      </w:r>
    </w:p>
    <w:p w14:paraId="79256ED7" w14:textId="77777777" w:rsidR="006969D3" w:rsidRPr="00FE4CC2" w:rsidRDefault="006969D3" w:rsidP="006969D3">
      <w:pPr>
        <w:ind w:left="851" w:hanging="851"/>
        <w:contextualSpacing/>
        <w:rPr>
          <w:bCs/>
          <w:szCs w:val="22"/>
        </w:rPr>
      </w:pPr>
      <w:r w:rsidRPr="00FE4CC2">
        <w:rPr>
          <w:bCs/>
          <w:szCs w:val="22"/>
        </w:rPr>
        <w:t xml:space="preserve">Fahlgren, N., Bart, R., Herrera-Estrella, L., Réllan-Álvarez, R., Chitwood, D. H., &amp; Dinneny, J. R. (2016). Plant scientists: GM technology is safe. </w:t>
      </w:r>
      <w:r w:rsidRPr="00FE4CC2">
        <w:rPr>
          <w:bCs/>
          <w:i/>
          <w:szCs w:val="22"/>
        </w:rPr>
        <w:t>Science 351</w:t>
      </w:r>
      <w:r w:rsidRPr="00FE4CC2">
        <w:rPr>
          <w:bCs/>
          <w:szCs w:val="22"/>
        </w:rPr>
        <w:t>: 824.</w:t>
      </w:r>
    </w:p>
    <w:p w14:paraId="2C1A246B" w14:textId="77777777" w:rsidR="006969D3" w:rsidRPr="00FE4CC2" w:rsidRDefault="006969D3" w:rsidP="006969D3">
      <w:pPr>
        <w:ind w:left="851" w:hanging="851"/>
        <w:contextualSpacing/>
        <w:rPr>
          <w:bCs/>
          <w:szCs w:val="22"/>
        </w:rPr>
      </w:pPr>
      <w:r w:rsidRPr="00FE4CC2">
        <w:rPr>
          <w:rStyle w:val="referencia"/>
          <w:rFonts w:ascii="Calibri" w:hAnsi="Calibri"/>
          <w:szCs w:val="22"/>
        </w:rPr>
        <w:t xml:space="preserve">Faith, D. P. (2014). </w:t>
      </w:r>
      <w:r w:rsidRPr="00FE4CC2">
        <w:rPr>
          <w:bCs/>
          <w:szCs w:val="22"/>
        </w:rPr>
        <w:t>Ecosystem services can promote conservation over conversion and protect local biodiversity, but these local win-wins can be a regional disaster.</w:t>
      </w:r>
      <w:r w:rsidRPr="00FE4CC2">
        <w:rPr>
          <w:bCs/>
          <w:i/>
          <w:szCs w:val="22"/>
        </w:rPr>
        <w:t xml:space="preserve"> Australian Zoologist</w:t>
      </w:r>
      <w:r w:rsidRPr="00FE4CC2">
        <w:rPr>
          <w:bCs/>
          <w:szCs w:val="22"/>
        </w:rPr>
        <w:t>, 38, 477-487.</w:t>
      </w:r>
    </w:p>
    <w:p w14:paraId="01F3EF85" w14:textId="77777777" w:rsidR="006969D3" w:rsidRPr="00FE4CC2" w:rsidRDefault="006969D3" w:rsidP="006969D3">
      <w:pPr>
        <w:ind w:left="851" w:hanging="851"/>
        <w:contextualSpacing/>
        <w:rPr>
          <w:bCs/>
          <w:szCs w:val="22"/>
        </w:rPr>
      </w:pPr>
      <w:r w:rsidRPr="00FE4CC2">
        <w:rPr>
          <w:color w:val="000000"/>
          <w:szCs w:val="22"/>
        </w:rPr>
        <w:t xml:space="preserve">Faith, D. P. (2016). The PD Phylogenetic diversity framework: linking evolutionary history to feature diversity for biodiversity conservation. In R. Pellens &amp; P. Grandcolas (Eds.), </w:t>
      </w:r>
      <w:r w:rsidRPr="00FE4CC2">
        <w:rPr>
          <w:i/>
          <w:color w:val="000000"/>
          <w:szCs w:val="22"/>
        </w:rPr>
        <w:t>Biodiversity Conservation and Phylogenetic Systematics</w:t>
      </w:r>
      <w:r w:rsidRPr="00FE4CC2">
        <w:rPr>
          <w:color w:val="000000"/>
          <w:szCs w:val="22"/>
        </w:rPr>
        <w:t xml:space="preserve"> (pp. 39–56). Cham, Switzerland: Springer.</w:t>
      </w:r>
    </w:p>
    <w:p w14:paraId="0638823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Fearnside, P. M. (1999). Biodiversity as an environmental service in Brazil's Amazonian forests: Risks, value and conservation. </w:t>
      </w:r>
      <w:r w:rsidRPr="00FE4CC2">
        <w:rPr>
          <w:rStyle w:val="referencia"/>
          <w:rFonts w:ascii="Calibri" w:hAnsi="Calibri"/>
          <w:i/>
          <w:szCs w:val="22"/>
        </w:rPr>
        <w:t>Environmental Conservation</w:t>
      </w:r>
      <w:r w:rsidRPr="00FE4CC2">
        <w:rPr>
          <w:rStyle w:val="referencia"/>
          <w:rFonts w:ascii="Calibri" w:hAnsi="Calibri"/>
          <w:szCs w:val="22"/>
        </w:rPr>
        <w:t xml:space="preserve">, 26(4), 305-321. </w:t>
      </w:r>
    </w:p>
    <w:p w14:paraId="40E7EA4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Fearnside, P. M. (2003). Conservation policy in Brazilian Amazonia: Understanding the dilemmas.</w:t>
      </w:r>
      <w:r w:rsidRPr="00FE4CC2">
        <w:rPr>
          <w:rStyle w:val="referencia"/>
          <w:rFonts w:ascii="Calibri" w:hAnsi="Calibri"/>
          <w:i/>
          <w:szCs w:val="22"/>
        </w:rPr>
        <w:t xml:space="preserve"> World Development</w:t>
      </w:r>
      <w:r w:rsidRPr="00FE4CC2">
        <w:rPr>
          <w:rStyle w:val="referencia"/>
          <w:rFonts w:ascii="Calibri" w:hAnsi="Calibri"/>
          <w:szCs w:val="22"/>
        </w:rPr>
        <w:t>, 31(5), 757-779.</w:t>
      </w:r>
    </w:p>
    <w:p w14:paraId="1C1340A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Fernandez-Gimenez, M. E., Ballard, H. L., &amp; Sturtevant V. E. (2008). Adaptive management and social learning in collaborative and community-based monitoring: a study of five community-based forest organizations in the western USA. </w:t>
      </w:r>
      <w:r w:rsidRPr="00FE4CC2">
        <w:rPr>
          <w:rStyle w:val="referencia"/>
          <w:rFonts w:ascii="Calibri" w:hAnsi="Calibri"/>
          <w:i/>
          <w:szCs w:val="22"/>
        </w:rPr>
        <w:t>Ecology and Society</w:t>
      </w:r>
      <w:r w:rsidRPr="00FE4CC2">
        <w:rPr>
          <w:rStyle w:val="referencia"/>
          <w:rFonts w:ascii="Calibri" w:hAnsi="Calibri"/>
          <w:szCs w:val="22"/>
        </w:rPr>
        <w:t xml:space="preserve">, 13(2), 4. </w:t>
      </w:r>
    </w:p>
    <w:p w14:paraId="29A54C2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Ferro, V. G., Lemes, P., Melo, A. S., &amp; Loyola, R. (2014). </w:t>
      </w:r>
      <w:r w:rsidRPr="00FE4CC2">
        <w:rPr>
          <w:rStyle w:val="referencia"/>
          <w:rFonts w:ascii="Calibri" w:hAnsi="Calibri"/>
          <w:szCs w:val="22"/>
        </w:rPr>
        <w:t xml:space="preserve">The reduced effectiveness of protected areas under climate change threatens Atlantic Forest tiger moths. </w:t>
      </w:r>
      <w:r w:rsidRPr="00FE4CC2">
        <w:rPr>
          <w:rStyle w:val="referencia"/>
          <w:rFonts w:ascii="Calibri" w:hAnsi="Calibri"/>
          <w:i/>
          <w:szCs w:val="22"/>
        </w:rPr>
        <w:t>PLoS One</w:t>
      </w:r>
      <w:r w:rsidRPr="00FE4CC2">
        <w:rPr>
          <w:rStyle w:val="referencia"/>
          <w:rFonts w:ascii="Calibri" w:hAnsi="Calibri"/>
          <w:szCs w:val="22"/>
        </w:rPr>
        <w:t xml:space="preserve">, 9(9), e107792. </w:t>
      </w:r>
      <w:r w:rsidRPr="00FE4CC2">
        <w:rPr>
          <w:rStyle w:val="referencia"/>
          <w:rFonts w:ascii="Calibri" w:hAnsi="Calibri"/>
          <w:szCs w:val="22"/>
          <w:lang w:val="en-GB"/>
        </w:rPr>
        <w:t>https://doi.org/</w:t>
      </w:r>
      <w:r w:rsidRPr="00FE4CC2">
        <w:rPr>
          <w:rStyle w:val="referencia"/>
          <w:rFonts w:ascii="Calibri" w:hAnsi="Calibri"/>
          <w:szCs w:val="22"/>
        </w:rPr>
        <w:t>10.1371/journal.pone.0107792.</w:t>
      </w:r>
    </w:p>
    <w:p w14:paraId="456707B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Fisher, J.A., Patenaude, G., </w:t>
      </w:r>
      <w:r w:rsidRPr="00FE4CC2">
        <w:rPr>
          <w:szCs w:val="22"/>
        </w:rPr>
        <w:t xml:space="preserve">Giri, K., Lewis, K., Meir, P., Pinho, P., Rounsevell, M. D. A., Williams, M. </w:t>
      </w:r>
      <w:r w:rsidRPr="00FE4CC2">
        <w:rPr>
          <w:rStyle w:val="referencia"/>
          <w:rFonts w:ascii="Calibri" w:hAnsi="Calibri"/>
          <w:szCs w:val="22"/>
        </w:rPr>
        <w:t xml:space="preserve">(2014). Understanding the relationships between ecosystem services and poverty alleviation: a conceptual framework. </w:t>
      </w:r>
      <w:r w:rsidRPr="00FE4CC2">
        <w:rPr>
          <w:rStyle w:val="referencia"/>
          <w:rFonts w:ascii="Calibri" w:hAnsi="Calibri"/>
          <w:i/>
          <w:szCs w:val="22"/>
        </w:rPr>
        <w:t>Ecosystem Services</w:t>
      </w:r>
      <w:r w:rsidRPr="00FE4CC2">
        <w:rPr>
          <w:rStyle w:val="referencia"/>
          <w:rFonts w:ascii="Calibri" w:hAnsi="Calibri"/>
          <w:szCs w:val="22"/>
        </w:rPr>
        <w:t>, 7, 34-45.</w:t>
      </w:r>
    </w:p>
    <w:p w14:paraId="1CA02DB5"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rPr>
        <w:t xml:space="preserve">Fleming, A. H., &amp; Pyenson, N. D. (2017). </w:t>
      </w:r>
      <w:r w:rsidRPr="00FE4CC2">
        <w:rPr>
          <w:szCs w:val="22"/>
        </w:rPr>
        <w:t xml:space="preserve">How to produce translational research to guide Arctic policy. </w:t>
      </w:r>
      <w:r w:rsidRPr="00FE4CC2">
        <w:rPr>
          <w:i/>
          <w:szCs w:val="22"/>
          <w:lang w:val="es-CO"/>
        </w:rPr>
        <w:t>BioScience</w:t>
      </w:r>
      <w:r w:rsidRPr="00FE4CC2">
        <w:rPr>
          <w:szCs w:val="22"/>
          <w:lang w:val="es-CO"/>
        </w:rPr>
        <w:t>, 67,</w:t>
      </w:r>
      <w:r w:rsidRPr="00FE4CC2">
        <w:rPr>
          <w:rStyle w:val="referencia"/>
          <w:rFonts w:ascii="Calibri" w:hAnsi="Calibri"/>
          <w:szCs w:val="22"/>
          <w:lang w:val="pt-BR"/>
        </w:rPr>
        <w:t xml:space="preserve"> </w:t>
      </w:r>
      <w:r w:rsidRPr="00FE4CC2">
        <w:rPr>
          <w:szCs w:val="22"/>
          <w:lang w:val="es-CO"/>
        </w:rPr>
        <w:t>490-493.</w:t>
      </w:r>
    </w:p>
    <w:p w14:paraId="4806490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Fogel, R. (2007). </w:t>
      </w:r>
      <w:r w:rsidRPr="00FE4CC2">
        <w:rPr>
          <w:rStyle w:val="referencia"/>
          <w:rFonts w:ascii="Calibri" w:hAnsi="Calibri"/>
          <w:i/>
          <w:szCs w:val="22"/>
          <w:lang w:val="es-CO"/>
        </w:rPr>
        <w:t xml:space="preserve">Diversidad cultural y biodiversidad: El caso de las comunidades indígenas. In: Biodiversidad del Paraguay, uma aproximación a sus realidades. </w:t>
      </w:r>
      <w:r w:rsidRPr="00FE4CC2">
        <w:rPr>
          <w:rStyle w:val="referencia"/>
          <w:rFonts w:ascii="Calibri" w:hAnsi="Calibri"/>
          <w:szCs w:val="22"/>
          <w:lang w:val="es-CO"/>
        </w:rPr>
        <w:t>D. A.</w:t>
      </w:r>
      <w:r w:rsidRPr="00FE4CC2">
        <w:rPr>
          <w:rStyle w:val="referencia"/>
          <w:rFonts w:ascii="Calibri" w:hAnsi="Calibri"/>
          <w:i/>
          <w:szCs w:val="22"/>
          <w:lang w:val="es-CO"/>
        </w:rPr>
        <w:t xml:space="preserve"> </w:t>
      </w:r>
      <w:r w:rsidRPr="00FE4CC2">
        <w:rPr>
          <w:rStyle w:val="referencia"/>
          <w:rFonts w:ascii="Calibri" w:hAnsi="Calibri"/>
          <w:szCs w:val="22"/>
          <w:lang w:val="es-CO"/>
        </w:rPr>
        <w:t>Salas-Dueñas &amp;</w:t>
      </w:r>
      <w:r w:rsidRPr="00FE4CC2">
        <w:rPr>
          <w:rStyle w:val="referencia"/>
          <w:rFonts w:ascii="Calibri" w:hAnsi="Calibri"/>
          <w:i/>
          <w:szCs w:val="22"/>
          <w:lang w:val="es-CO"/>
        </w:rPr>
        <w:t xml:space="preserve"> </w:t>
      </w:r>
      <w:r w:rsidRPr="00FE4CC2">
        <w:rPr>
          <w:rStyle w:val="referencia"/>
          <w:rFonts w:ascii="Calibri" w:hAnsi="Calibri"/>
          <w:szCs w:val="22"/>
          <w:lang w:val="es-CO"/>
        </w:rPr>
        <w:t xml:space="preserve">J.F. Facetti (Eds.). </w:t>
      </w:r>
      <w:r w:rsidRPr="00FE4CC2">
        <w:rPr>
          <w:rStyle w:val="referencia"/>
          <w:rFonts w:ascii="Calibri" w:hAnsi="Calibri"/>
          <w:szCs w:val="22"/>
        </w:rPr>
        <w:t xml:space="preserve">Fundación Moisés Bertoni, USAID, GEF/BM.. </w:t>
      </w:r>
    </w:p>
    <w:p w14:paraId="342B737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Foley, J. A., Ramankutty, N., Brauman, K. A., Cassidy, E. S., Gerber, J. S., Johnston, M., Mueller, N. D., O'Connell, C., Ray, D. K., West, P. C., Balzer, C., Bennett, E. M., Carpenter, S. R., Hill, J., Monfreda, C., Polasky, S., Rockstrom, J., Sheehan, J., Siebert, S., Tilman, D., &amp; Zaks, D. P. (2011). Solutions for a cultivated planet. </w:t>
      </w:r>
      <w:r w:rsidRPr="00FE4CC2">
        <w:rPr>
          <w:rStyle w:val="referencia"/>
          <w:rFonts w:ascii="Calibri" w:hAnsi="Calibri"/>
          <w:i/>
          <w:szCs w:val="22"/>
        </w:rPr>
        <w:t>Nature</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478, 337-342.</w:t>
      </w:r>
    </w:p>
    <w:p w14:paraId="01F8AC3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Folke, C., Hahn, T., Olsson, P., &amp; Norberg, J. (2005). Adaptive governance of social-ecological systems. </w:t>
      </w:r>
      <w:r w:rsidRPr="00FE4CC2">
        <w:rPr>
          <w:rStyle w:val="referencia"/>
          <w:rFonts w:ascii="Calibri" w:hAnsi="Calibri"/>
          <w:i/>
          <w:szCs w:val="22"/>
        </w:rPr>
        <w:t>Annual Reviews of Environmental Resources</w:t>
      </w:r>
      <w:r w:rsidRPr="00FE4CC2">
        <w:rPr>
          <w:rStyle w:val="referencia"/>
          <w:rFonts w:ascii="Calibri" w:hAnsi="Calibri"/>
          <w:szCs w:val="22"/>
        </w:rPr>
        <w:t>, 30, 441–73.</w:t>
      </w:r>
    </w:p>
    <w:p w14:paraId="3BF37E9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Fonseca, C. R., Guadagnin, D. L., Emer, C., Masciadri, S., Germain, P., &amp; Zalba, S. M. (2013). </w:t>
      </w:r>
      <w:r w:rsidRPr="00FE4CC2">
        <w:rPr>
          <w:rStyle w:val="referencia"/>
          <w:rFonts w:ascii="Calibri" w:hAnsi="Calibri"/>
          <w:szCs w:val="22"/>
        </w:rPr>
        <w:t xml:space="preserve">Invasive alien plants in the Pampas grasslands: a tri-national cooperation challenge. </w:t>
      </w:r>
      <w:r w:rsidRPr="00FE4CC2">
        <w:rPr>
          <w:rStyle w:val="referencia"/>
          <w:rFonts w:ascii="Calibri" w:hAnsi="Calibri"/>
          <w:i/>
          <w:szCs w:val="22"/>
        </w:rPr>
        <w:t>Biological Invasions</w:t>
      </w:r>
      <w:r w:rsidRPr="00FE4CC2">
        <w:rPr>
          <w:rStyle w:val="referencia"/>
          <w:rFonts w:ascii="Calibri" w:hAnsi="Calibri"/>
          <w:szCs w:val="22"/>
        </w:rPr>
        <w:t>, 15, 1751–1763.</w:t>
      </w:r>
    </w:p>
    <w:p w14:paraId="074D359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Fonseca, P. (2015). A major center of biodiversity research crumbles.</w:t>
      </w:r>
      <w:r w:rsidRPr="00FE4CC2">
        <w:rPr>
          <w:rStyle w:val="referencia"/>
          <w:rFonts w:ascii="Calibri" w:hAnsi="Calibri"/>
          <w:i/>
          <w:szCs w:val="22"/>
        </w:rPr>
        <w:t xml:space="preserve"> Scientific American</w:t>
      </w:r>
      <w:r w:rsidRPr="00FE4CC2">
        <w:rPr>
          <w:rStyle w:val="referencia"/>
          <w:rFonts w:ascii="Calibri" w:hAnsi="Calibri"/>
          <w:szCs w:val="22"/>
        </w:rPr>
        <w:t>, available at: https://www.scientificamerican.com/article/a-major-center-of-biodiversity-research-crumbles/</w:t>
      </w:r>
    </w:p>
    <w:p w14:paraId="380CAEB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Franks, D. M., Davis, R., Bebbington, A. J., Ali, S. H., Kempa, D., &amp; Scurrahg, M. (2014). Conflict translates environmental and social risk into business costs. </w:t>
      </w:r>
      <w:r w:rsidRPr="00FE4CC2">
        <w:rPr>
          <w:rStyle w:val="referencia"/>
          <w:rFonts w:ascii="Calibri" w:hAnsi="Calibri"/>
          <w:i/>
          <w:szCs w:val="22"/>
        </w:rPr>
        <w:t>Proceedings of the National Academy of Sciences</w:t>
      </w:r>
      <w:r w:rsidRPr="00FE4CC2">
        <w:rPr>
          <w:rStyle w:val="referencia"/>
          <w:rFonts w:ascii="Calibri" w:hAnsi="Calibri"/>
          <w:szCs w:val="22"/>
        </w:rPr>
        <w:t>, 111, 7576-7581.</w:t>
      </w:r>
    </w:p>
    <w:p w14:paraId="5996FD9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Freitas, D. M., &amp; Tagliani, R. A. (2009). </w:t>
      </w:r>
      <w:r w:rsidRPr="00FE4CC2">
        <w:rPr>
          <w:rStyle w:val="referencia"/>
          <w:rFonts w:ascii="Calibri" w:hAnsi="Calibri"/>
          <w:szCs w:val="22"/>
        </w:rPr>
        <w:t xml:space="preserve">The use of GIS for the integration of traditional and scientific knowledge in supporting artisanal fisheries management in southern Brazil. </w:t>
      </w:r>
      <w:r w:rsidRPr="00FE4CC2">
        <w:rPr>
          <w:rStyle w:val="referencia"/>
          <w:rFonts w:ascii="Calibri" w:hAnsi="Calibri"/>
          <w:i/>
          <w:szCs w:val="22"/>
        </w:rPr>
        <w:t>Journal of Environmental Management</w:t>
      </w:r>
      <w:r w:rsidRPr="00FE4CC2">
        <w:rPr>
          <w:rStyle w:val="referencia"/>
          <w:rFonts w:ascii="Calibri" w:hAnsi="Calibri"/>
          <w:szCs w:val="22"/>
        </w:rPr>
        <w:t>, 90, 2071-2080.</w:t>
      </w:r>
    </w:p>
    <w:p w14:paraId="108C622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Fundación Natura. (2016). </w:t>
      </w:r>
      <w:r w:rsidRPr="00FE4CC2">
        <w:rPr>
          <w:rStyle w:val="referencia"/>
          <w:rFonts w:ascii="Calibri" w:hAnsi="Calibri"/>
          <w:i/>
          <w:szCs w:val="22"/>
        </w:rPr>
        <w:t>WaterShared. Bolivia</w:t>
      </w:r>
      <w:r w:rsidRPr="00FE4CC2">
        <w:rPr>
          <w:rStyle w:val="referencia"/>
          <w:rFonts w:ascii="Calibri" w:hAnsi="Calibri"/>
          <w:szCs w:val="22"/>
        </w:rPr>
        <w:t xml:space="preserve">. Available at: </w:t>
      </w:r>
      <w:hyperlink r:id="rId1104" w:history="1">
        <w:r w:rsidRPr="00FE4CC2">
          <w:rPr>
            <w:rStyle w:val="referencia"/>
            <w:rFonts w:ascii="Calibri" w:hAnsi="Calibri"/>
            <w:szCs w:val="22"/>
          </w:rPr>
          <w:t>http://www.watershared.net/</w:t>
        </w:r>
      </w:hyperlink>
      <w:r w:rsidRPr="00FE4CC2">
        <w:rPr>
          <w:rStyle w:val="referencia"/>
          <w:rFonts w:ascii="Calibri" w:hAnsi="Calibri"/>
          <w:szCs w:val="22"/>
        </w:rPr>
        <w:t xml:space="preserve"> ?page_id=12.</w:t>
      </w:r>
    </w:p>
    <w:p w14:paraId="749E3E24"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Fung, A., &amp; Wright, E. O. (2001). Deepening democracy: Innovations in empowered participatory governance. </w:t>
      </w:r>
      <w:r w:rsidRPr="00FE4CC2">
        <w:rPr>
          <w:rStyle w:val="referencia"/>
          <w:rFonts w:ascii="Calibri" w:hAnsi="Calibri"/>
          <w:i/>
          <w:szCs w:val="22"/>
          <w:lang w:val="pt-BR"/>
        </w:rPr>
        <w:t>Politics and Society</w:t>
      </w:r>
      <w:r w:rsidRPr="00FE4CC2">
        <w:rPr>
          <w:rStyle w:val="referencia"/>
          <w:rFonts w:ascii="Calibri" w:hAnsi="Calibri"/>
          <w:szCs w:val="22"/>
          <w:lang w:val="pt-BR"/>
        </w:rPr>
        <w:t xml:space="preserve">, 29(1), 5-41. </w:t>
      </w:r>
    </w:p>
    <w:p w14:paraId="75C2F252" w14:textId="77777777" w:rsidR="006969D3" w:rsidRPr="00FE4CC2" w:rsidRDefault="006969D3" w:rsidP="006969D3">
      <w:pPr>
        <w:ind w:left="851" w:hanging="851"/>
        <w:contextualSpacing/>
        <w:rPr>
          <w:rStyle w:val="referencia"/>
          <w:rFonts w:ascii="Calibri" w:hAnsi="Calibri"/>
          <w:szCs w:val="22"/>
          <w:lang w:val="es-CO"/>
        </w:rPr>
      </w:pPr>
      <w:r w:rsidRPr="00FE4CC2">
        <w:rPr>
          <w:szCs w:val="22"/>
          <w:lang w:val="pt-BR"/>
        </w:rPr>
        <w:t xml:space="preserve">Garcia, L. C., Ribeiro, D. B., Oliveira Roque, F. de, Ochoa-Quintero, J. M., &amp; Laurance, W. F. (2017). </w:t>
      </w:r>
      <w:r w:rsidRPr="00FE4CC2">
        <w:rPr>
          <w:szCs w:val="22"/>
        </w:rPr>
        <w:t xml:space="preserve">Brazil’s worst mining disaster: corporations must be compelled to pay the actual environmental costs. </w:t>
      </w:r>
      <w:r w:rsidRPr="00FE4CC2">
        <w:rPr>
          <w:i/>
          <w:szCs w:val="22"/>
          <w:lang w:val="es-CO"/>
        </w:rPr>
        <w:t>Ecological Applications</w:t>
      </w:r>
      <w:r w:rsidRPr="00FE4CC2">
        <w:rPr>
          <w:szCs w:val="22"/>
          <w:lang w:val="es-CO"/>
        </w:rPr>
        <w:t>, 27, 5–9.</w:t>
      </w:r>
    </w:p>
    <w:p w14:paraId="52D72EBF"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lang w:val="es-CO"/>
        </w:rPr>
        <w:t xml:space="preserve">Garcia, M. C. (2003): </w:t>
      </w:r>
      <w:r w:rsidRPr="00FE4CC2">
        <w:rPr>
          <w:rStyle w:val="referencia"/>
          <w:rFonts w:ascii="Calibri" w:hAnsi="Calibri"/>
          <w:i/>
          <w:szCs w:val="22"/>
          <w:lang w:val="es-CO"/>
        </w:rPr>
        <w:t>Participación Publica: Herramientas de Participación para la Gestión Costera Patagónica</w:t>
      </w:r>
      <w:r w:rsidRPr="00FE4CC2">
        <w:rPr>
          <w:rStyle w:val="referencia"/>
          <w:rFonts w:ascii="Calibri" w:hAnsi="Calibri"/>
          <w:szCs w:val="22"/>
          <w:lang w:val="es-CO"/>
        </w:rPr>
        <w:t xml:space="preserve">. </w:t>
      </w:r>
      <w:r w:rsidRPr="00FE4CC2">
        <w:rPr>
          <w:rStyle w:val="referencia"/>
          <w:rFonts w:ascii="Calibri" w:hAnsi="Calibri"/>
          <w:szCs w:val="22"/>
          <w:lang w:val="pt-BR"/>
        </w:rPr>
        <w:t xml:space="preserve">Fundación Patagonia Natural. 59p. </w:t>
      </w:r>
    </w:p>
    <w:p w14:paraId="2429321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García-Alaníz, N., Equihua, M., Pérez-Maqueo, O., Equihua Benítez, J., Maeda, P., Pardo Urrutia, F., Flores Martínez, J. J., Villela Gaytán, S. A., Schmidt, M. (2017). </w:t>
      </w:r>
      <w:r w:rsidRPr="00FE4CC2">
        <w:rPr>
          <w:rStyle w:val="referencia"/>
          <w:rFonts w:ascii="Calibri" w:hAnsi="Calibri"/>
          <w:szCs w:val="22"/>
        </w:rPr>
        <w:t xml:space="preserve">The Mexican national biodiversity and ecosystem degradation monitoring system. </w:t>
      </w:r>
      <w:r w:rsidRPr="00FE4CC2">
        <w:rPr>
          <w:rStyle w:val="referencia"/>
          <w:rFonts w:ascii="Calibri" w:hAnsi="Calibri"/>
          <w:i/>
          <w:szCs w:val="22"/>
        </w:rPr>
        <w:t>Current Opinion in Environmental Sustainability</w:t>
      </w:r>
      <w:r w:rsidRPr="00FE4CC2">
        <w:rPr>
          <w:rStyle w:val="referencia"/>
          <w:rFonts w:ascii="Calibri" w:hAnsi="Calibri"/>
          <w:szCs w:val="22"/>
        </w:rPr>
        <w:t xml:space="preserve">, 26, 62–68. </w:t>
      </w:r>
      <w:r w:rsidRPr="00FE4CC2">
        <w:rPr>
          <w:rStyle w:val="referencia"/>
          <w:rFonts w:ascii="Calibri" w:hAnsi="Calibri"/>
          <w:szCs w:val="22"/>
          <w:lang w:val="en-GB"/>
        </w:rPr>
        <w:t>https://doi.org/</w:t>
      </w:r>
      <w:r w:rsidRPr="00FE4CC2">
        <w:rPr>
          <w:rStyle w:val="referencia"/>
          <w:rFonts w:ascii="Calibri" w:hAnsi="Calibri"/>
          <w:szCs w:val="22"/>
        </w:rPr>
        <w:t>10.1016/j.cosust.2017.01.001</w:t>
      </w:r>
    </w:p>
    <w:p w14:paraId="5B72D0D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García-de-Lomas, J., &amp; Vilà, M. (2015). </w:t>
      </w:r>
      <w:r w:rsidRPr="00FE4CC2">
        <w:rPr>
          <w:rStyle w:val="referencia"/>
          <w:rFonts w:ascii="Calibri" w:hAnsi="Calibri"/>
          <w:szCs w:val="22"/>
        </w:rPr>
        <w:t xml:space="preserve">Lists of harmful alien organisms: are the national regulations adapted to the global world? </w:t>
      </w:r>
      <w:r w:rsidRPr="00FE4CC2">
        <w:rPr>
          <w:rStyle w:val="referencia"/>
          <w:rFonts w:ascii="Calibri" w:hAnsi="Calibri"/>
          <w:i/>
          <w:szCs w:val="22"/>
        </w:rPr>
        <w:t>Biological Invasions</w:t>
      </w:r>
      <w:r w:rsidRPr="00FE4CC2">
        <w:rPr>
          <w:rStyle w:val="referencia"/>
          <w:rFonts w:ascii="Calibri" w:hAnsi="Calibri"/>
          <w:szCs w:val="22"/>
        </w:rPr>
        <w:t>, 17(11), 3081-3091.</w:t>
      </w:r>
    </w:p>
    <w:p w14:paraId="5EC22B4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Gardener, M. R, Bustamante, R. O., Herrera, I., Durigan, G., Pivello, V. R., Moro, M. F., Stoll, A., Langdon, B., Baruch, Z., Rico, A., Arredondo-Nuñez, A., &amp; Flores, S. (2012). </w:t>
      </w:r>
      <w:r w:rsidRPr="00FE4CC2">
        <w:rPr>
          <w:rStyle w:val="referencia"/>
          <w:rFonts w:ascii="Calibri" w:hAnsi="Calibri"/>
          <w:szCs w:val="22"/>
        </w:rPr>
        <w:t xml:space="preserve">Plant invasions research in Latin America: fast track to a more focused agenda. </w:t>
      </w:r>
      <w:r w:rsidRPr="00FE4CC2">
        <w:rPr>
          <w:rStyle w:val="referencia"/>
          <w:rFonts w:ascii="Calibri" w:hAnsi="Calibri"/>
          <w:i/>
          <w:szCs w:val="22"/>
        </w:rPr>
        <w:t>Plant Ecology and Diversity</w:t>
      </w:r>
      <w:r w:rsidRPr="00FE4CC2">
        <w:rPr>
          <w:rStyle w:val="referencia"/>
          <w:rFonts w:ascii="Calibri" w:hAnsi="Calibri"/>
          <w:szCs w:val="22"/>
        </w:rPr>
        <w:t>, 5(2), 225-232.</w:t>
      </w:r>
    </w:p>
    <w:p w14:paraId="5A025F7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Gardner, T. A., Von Hase, A., Brownlie, S., Ekstrom, J. M. M., Pilgrim, J. D., Savy, C. E., Stephens, R. T. T., Treweek, J., Ussher, G. T., Ward, G., &amp; Kate, K. T. (2013). Biodiversity offsets and the challenge of achieving no net loss. </w:t>
      </w:r>
      <w:r w:rsidRPr="00FE4CC2">
        <w:rPr>
          <w:rStyle w:val="referencia"/>
          <w:rFonts w:ascii="Calibri" w:hAnsi="Calibri"/>
          <w:i/>
          <w:szCs w:val="22"/>
        </w:rPr>
        <w:t>Conservation Biology</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27, 1254-1264.</w:t>
      </w:r>
    </w:p>
    <w:p w14:paraId="28142B1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Garrett, R. D., Rueda, X., &amp; Lambin, E. F. (2013). </w:t>
      </w:r>
      <w:r w:rsidRPr="00FE4CC2">
        <w:rPr>
          <w:rStyle w:val="referencia"/>
          <w:rFonts w:ascii="Calibri" w:hAnsi="Calibri"/>
          <w:szCs w:val="22"/>
        </w:rPr>
        <w:t xml:space="preserve">Globalization’s unexpected impact on soybean production in South America: linkages between preferences for non-genetically modified crops, eco-certifications, and land use. </w:t>
      </w:r>
      <w:r w:rsidRPr="00FE4CC2">
        <w:rPr>
          <w:rStyle w:val="referencia"/>
          <w:rFonts w:ascii="Calibri" w:hAnsi="Calibri"/>
          <w:i/>
          <w:szCs w:val="22"/>
        </w:rPr>
        <w:t>Environmental Research Letters</w:t>
      </w:r>
      <w:r w:rsidRPr="00FE4CC2">
        <w:rPr>
          <w:rStyle w:val="referencia"/>
          <w:rFonts w:ascii="Calibri" w:hAnsi="Calibri"/>
          <w:szCs w:val="22"/>
        </w:rPr>
        <w:t xml:space="preserve">, 8(4), 44055. </w:t>
      </w:r>
      <w:r w:rsidRPr="00FE4CC2">
        <w:rPr>
          <w:rStyle w:val="referencia"/>
          <w:rFonts w:ascii="Calibri" w:hAnsi="Calibri"/>
          <w:szCs w:val="22"/>
          <w:lang w:val="en-GB"/>
        </w:rPr>
        <w:t>https://doi.org/</w:t>
      </w:r>
      <w:r w:rsidRPr="00FE4CC2">
        <w:rPr>
          <w:rStyle w:val="referencia"/>
          <w:rFonts w:ascii="Calibri" w:hAnsi="Calibri"/>
          <w:szCs w:val="22"/>
        </w:rPr>
        <w:t xml:space="preserve">10.1088/1748-9326/8/4/044055. </w:t>
      </w:r>
    </w:p>
    <w:p w14:paraId="28C5342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Gasparatos, A., Doll, C. N. H., Esteban, M., Ahmed, A. &amp; Olang, T. A. (2017): Renewable energy and biodiversity: Implications for transitioning to a Green Economy. </w:t>
      </w:r>
      <w:r w:rsidRPr="00FE4CC2">
        <w:rPr>
          <w:rStyle w:val="referencia"/>
          <w:rFonts w:ascii="Calibri" w:hAnsi="Calibri"/>
          <w:i/>
          <w:szCs w:val="22"/>
        </w:rPr>
        <w:t>Renewable and Sustainable Energy Reviews</w:t>
      </w:r>
      <w:r w:rsidRPr="00FE4CC2">
        <w:rPr>
          <w:rStyle w:val="referencia"/>
          <w:rFonts w:ascii="Calibri" w:hAnsi="Calibri"/>
          <w:szCs w:val="22"/>
        </w:rPr>
        <w:t>, 70, 161–184.</w:t>
      </w:r>
    </w:p>
    <w:p w14:paraId="306E4AC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GEF/UNEP/CABI, (2011): </w:t>
      </w:r>
      <w:r w:rsidRPr="00FE4CC2">
        <w:rPr>
          <w:rStyle w:val="referencia"/>
          <w:rFonts w:ascii="Calibri" w:hAnsi="Calibri"/>
          <w:i/>
          <w:szCs w:val="22"/>
        </w:rPr>
        <w:t>Strategy and Action Plan for Invasive Alien Species in the Caribbean Region 2011-2016</w:t>
      </w:r>
      <w:r w:rsidRPr="00FE4CC2">
        <w:rPr>
          <w:rStyle w:val="referencia"/>
          <w:rFonts w:ascii="Calibri" w:hAnsi="Calibri"/>
          <w:szCs w:val="22"/>
        </w:rPr>
        <w:t>. Trinidad and Tobago, 53 pp.</w:t>
      </w:r>
    </w:p>
    <w:p w14:paraId="12379E3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GEFIEO (2015). </w:t>
      </w:r>
      <w:r w:rsidRPr="00FE4CC2">
        <w:rPr>
          <w:rStyle w:val="referencia"/>
          <w:rFonts w:ascii="Calibri" w:hAnsi="Calibri"/>
          <w:i/>
          <w:szCs w:val="22"/>
        </w:rPr>
        <w:t xml:space="preserve">Impact Evaluation of GEF Support to Protected Areas and Protected Area Systems: Highlights. </w:t>
      </w:r>
      <w:r w:rsidRPr="00FE4CC2">
        <w:rPr>
          <w:rStyle w:val="referencia"/>
          <w:rFonts w:ascii="Calibri" w:hAnsi="Calibri"/>
          <w:szCs w:val="22"/>
        </w:rPr>
        <w:t>Global Environmental Facility Independent Evaluation Office, Washington, DC.</w:t>
      </w:r>
    </w:p>
    <w:p w14:paraId="7ABE843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Gelcich, S., Vargas, C., Carreras, M. J., Castilla, J. C., Donlan, C. J. (2017). Achieving biodiversity benefits with offsets: Research gaps, challenges, and needs. </w:t>
      </w:r>
      <w:r w:rsidRPr="00FE4CC2">
        <w:rPr>
          <w:rStyle w:val="referencia"/>
          <w:rFonts w:ascii="Calibri" w:hAnsi="Calibri"/>
          <w:i/>
          <w:szCs w:val="22"/>
        </w:rPr>
        <w:t>Ambio</w:t>
      </w:r>
      <w:r w:rsidRPr="00FE4CC2">
        <w:rPr>
          <w:rStyle w:val="referencia"/>
          <w:rFonts w:ascii="Calibri" w:hAnsi="Calibri"/>
          <w:szCs w:val="22"/>
        </w:rPr>
        <w:t>, 46(2), 184–189.</w:t>
      </w:r>
    </w:p>
    <w:p w14:paraId="79E32E0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Geldmann, J., Barnes, M., Coad, L., Craigie, I. D., Hockings, M., &amp; Burgess, N. D. (2013). Effectiveness of terrestrial protected areas in reducing habitat loss and population declines. </w:t>
      </w:r>
      <w:r w:rsidRPr="00FE4CC2">
        <w:rPr>
          <w:rStyle w:val="referencia"/>
          <w:rFonts w:ascii="Calibri" w:hAnsi="Calibri"/>
          <w:i/>
          <w:szCs w:val="22"/>
        </w:rPr>
        <w:t>Biological Conservation</w:t>
      </w:r>
      <w:r w:rsidRPr="00FE4CC2">
        <w:rPr>
          <w:rStyle w:val="referencia"/>
          <w:rFonts w:ascii="Calibri" w:hAnsi="Calibri"/>
          <w:szCs w:val="22"/>
        </w:rPr>
        <w:t>, 161, 230–238.</w:t>
      </w:r>
    </w:p>
    <w:p w14:paraId="1B6AEDDD" w14:textId="77777777" w:rsidR="006969D3" w:rsidRPr="00FE4CC2" w:rsidRDefault="006969D3" w:rsidP="006969D3">
      <w:pPr>
        <w:ind w:left="851" w:hanging="851"/>
        <w:contextualSpacing/>
        <w:rPr>
          <w:b/>
          <w:szCs w:val="22"/>
        </w:rPr>
      </w:pPr>
      <w:r w:rsidRPr="00FE4CC2">
        <w:rPr>
          <w:noProof/>
          <w:szCs w:val="22"/>
        </w:rPr>
        <w:t>Geneletti, D. (2016). Strengthening biodiversity and ecosystem services in impact assessment decisions for better decisions</w:t>
      </w:r>
      <w:r w:rsidRPr="00FE4CC2">
        <w:rPr>
          <w:i/>
          <w:noProof/>
          <w:szCs w:val="22"/>
        </w:rPr>
        <w:t xml:space="preserve">. </w:t>
      </w:r>
      <w:r w:rsidRPr="00FE4CC2">
        <w:rPr>
          <w:noProof/>
          <w:szCs w:val="22"/>
        </w:rPr>
        <w:t>In</w:t>
      </w:r>
      <w:r w:rsidRPr="00FE4CC2">
        <w:rPr>
          <w:i/>
          <w:noProof/>
          <w:szCs w:val="22"/>
        </w:rPr>
        <w:t xml:space="preserve"> </w:t>
      </w:r>
      <w:r w:rsidRPr="00FE4CC2">
        <w:rPr>
          <w:noProof/>
          <w:szCs w:val="22"/>
        </w:rPr>
        <w:t>D. Geneletti (Ed.),</w:t>
      </w:r>
      <w:r w:rsidRPr="00FE4CC2">
        <w:rPr>
          <w:i/>
          <w:noProof/>
          <w:szCs w:val="22"/>
        </w:rPr>
        <w:t xml:space="preserve"> </w:t>
      </w:r>
      <w:r w:rsidRPr="00FE4CC2">
        <w:rPr>
          <w:i/>
          <w:iCs/>
          <w:noProof/>
          <w:szCs w:val="22"/>
        </w:rPr>
        <w:t>Handbook on Biodiversity and Ecosystem Services in Impact Assessment</w:t>
      </w:r>
      <w:r w:rsidRPr="00FE4CC2">
        <w:rPr>
          <w:i/>
          <w:noProof/>
          <w:szCs w:val="22"/>
        </w:rPr>
        <w:t xml:space="preserve"> </w:t>
      </w:r>
      <w:r w:rsidRPr="00FE4CC2">
        <w:rPr>
          <w:noProof/>
          <w:szCs w:val="22"/>
        </w:rPr>
        <w:t>(pp. 477-486) Cheltenham, UK: Edward Elgar Publishing.</w:t>
      </w:r>
    </w:p>
    <w:p w14:paraId="7033E6D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Gerage, J. M., Meira, A. P. G. , &amp; da Silva, M. V. (2017). </w:t>
      </w:r>
      <w:r w:rsidRPr="00FE4CC2">
        <w:rPr>
          <w:rStyle w:val="referencia"/>
          <w:rFonts w:ascii="Calibri" w:hAnsi="Calibri"/>
          <w:szCs w:val="22"/>
        </w:rPr>
        <w:t xml:space="preserve">Food and nutrition security: pesticide residues in food. </w:t>
      </w:r>
      <w:r w:rsidRPr="00FE4CC2">
        <w:rPr>
          <w:rStyle w:val="referencia"/>
          <w:rFonts w:ascii="Calibri" w:hAnsi="Calibri"/>
          <w:i/>
          <w:szCs w:val="22"/>
        </w:rPr>
        <w:t>Nutrire</w:t>
      </w:r>
      <w:r w:rsidRPr="00FE4CC2">
        <w:rPr>
          <w:rStyle w:val="referencia"/>
          <w:rFonts w:ascii="Calibri" w:hAnsi="Calibri"/>
          <w:szCs w:val="22"/>
        </w:rPr>
        <w:t xml:space="preserve">, 42, 3. </w:t>
      </w:r>
      <w:r w:rsidRPr="00FE4CC2">
        <w:rPr>
          <w:rStyle w:val="referencia"/>
          <w:rFonts w:ascii="Calibri" w:hAnsi="Calibri"/>
          <w:szCs w:val="22"/>
          <w:lang w:val="en-GB"/>
        </w:rPr>
        <w:t>https://doi.org/</w:t>
      </w:r>
      <w:r w:rsidRPr="00FE4CC2">
        <w:rPr>
          <w:rStyle w:val="referencia"/>
          <w:rFonts w:ascii="Calibri" w:hAnsi="Calibri"/>
          <w:szCs w:val="22"/>
        </w:rPr>
        <w:t>10.1186/s41110-016-0028-4.</w:t>
      </w:r>
    </w:p>
    <w:p w14:paraId="122C933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Gerard, D. 2000. The law and economics of reclamation bonds.</w:t>
      </w:r>
      <w:r w:rsidRPr="00FE4CC2">
        <w:rPr>
          <w:rStyle w:val="referencia"/>
          <w:rFonts w:ascii="Calibri" w:hAnsi="Calibri"/>
          <w:i/>
          <w:szCs w:val="22"/>
        </w:rPr>
        <w:t xml:space="preserve"> Resources Policy</w:t>
      </w:r>
      <w:r w:rsidRPr="00FE4CC2">
        <w:rPr>
          <w:rStyle w:val="referencia"/>
          <w:rFonts w:ascii="Calibri" w:hAnsi="Calibri"/>
          <w:szCs w:val="22"/>
        </w:rPr>
        <w:t xml:space="preserve">, 26, 189–197.    </w:t>
      </w:r>
    </w:p>
    <w:p w14:paraId="531954D0" w14:textId="77777777" w:rsidR="006969D3" w:rsidRPr="00FE4CC2" w:rsidRDefault="006969D3" w:rsidP="006969D3">
      <w:pPr>
        <w:shd w:val="clear" w:color="auto" w:fill="FFFFFF"/>
        <w:ind w:left="851" w:hanging="851"/>
        <w:contextualSpacing/>
        <w:textAlignment w:val="baseline"/>
        <w:rPr>
          <w:spacing w:val="5"/>
          <w:szCs w:val="22"/>
          <w:lang w:val="en"/>
        </w:rPr>
      </w:pPr>
      <w:r w:rsidRPr="00FE4CC2">
        <w:rPr>
          <w:rStyle w:val="referencia"/>
          <w:rFonts w:ascii="Calibri" w:hAnsi="Calibri"/>
          <w:szCs w:val="22"/>
        </w:rPr>
        <w:t xml:space="preserve">Geyer, L. L., &amp; Lawler, D. (2016). </w:t>
      </w:r>
      <w:r w:rsidRPr="00FE4CC2">
        <w:rPr>
          <w:bCs/>
          <w:spacing w:val="5"/>
          <w:szCs w:val="22"/>
          <w:lang w:val="en"/>
        </w:rPr>
        <w:t>Avoiding loss of a</w:t>
      </w:r>
      <w:r w:rsidRPr="00FE4CC2">
        <w:rPr>
          <w:spacing w:val="5"/>
          <w:szCs w:val="22"/>
          <w:lang w:val="en"/>
        </w:rPr>
        <w:t xml:space="preserve">gricultural </w:t>
      </w:r>
      <w:r w:rsidRPr="00FE4CC2">
        <w:rPr>
          <w:bCs/>
          <w:spacing w:val="5"/>
          <w:szCs w:val="22"/>
          <w:lang w:val="en"/>
        </w:rPr>
        <w:t>s</w:t>
      </w:r>
      <w:r w:rsidRPr="00FE4CC2">
        <w:rPr>
          <w:spacing w:val="5"/>
          <w:szCs w:val="22"/>
          <w:lang w:val="en"/>
        </w:rPr>
        <w:t>ubsidies: Swampbuster</w:t>
      </w:r>
      <w:r w:rsidRPr="00FE4CC2">
        <w:rPr>
          <w:bCs/>
          <w:spacing w:val="5"/>
          <w:szCs w:val="22"/>
          <w:lang w:val="en"/>
        </w:rPr>
        <w:t xml:space="preserve">. </w:t>
      </w:r>
      <w:r w:rsidRPr="00FE4CC2">
        <w:rPr>
          <w:noProof/>
          <w:szCs w:val="22"/>
        </w:rPr>
        <w:t xml:space="preserve">In: </w:t>
      </w:r>
      <w:r w:rsidRPr="00FE4CC2">
        <w:rPr>
          <w:szCs w:val="22"/>
          <w:bdr w:val="none" w:sz="0" w:space="0" w:color="auto" w:frame="1"/>
        </w:rPr>
        <w:t xml:space="preserve"> </w:t>
      </w:r>
      <w:r w:rsidRPr="00FE4CC2">
        <w:rPr>
          <w:szCs w:val="22"/>
        </w:rPr>
        <w:t xml:space="preserve">C. M. </w:t>
      </w:r>
      <w:r w:rsidRPr="00FE4CC2">
        <w:rPr>
          <w:szCs w:val="22"/>
          <w:bdr w:val="none" w:sz="0" w:space="0" w:color="auto" w:frame="1"/>
        </w:rPr>
        <w:t>Finlayson</w:t>
      </w:r>
      <w:r w:rsidRPr="00FE4CC2">
        <w:rPr>
          <w:szCs w:val="22"/>
        </w:rPr>
        <w:t xml:space="preserve">,  </w:t>
      </w:r>
      <w:r w:rsidRPr="00FE4CC2">
        <w:rPr>
          <w:szCs w:val="22"/>
          <w:bdr w:val="none" w:sz="0" w:space="0" w:color="auto" w:frame="1"/>
        </w:rPr>
        <w:t>M. Everard</w:t>
      </w:r>
      <w:r w:rsidRPr="00FE4CC2">
        <w:rPr>
          <w:szCs w:val="22"/>
        </w:rPr>
        <w:t xml:space="preserve">, </w:t>
      </w:r>
      <w:r w:rsidRPr="00FE4CC2">
        <w:rPr>
          <w:szCs w:val="22"/>
          <w:bdr w:val="none" w:sz="0" w:space="0" w:color="auto" w:frame="1"/>
        </w:rPr>
        <w:t>K. Irvine</w:t>
      </w:r>
      <w:r w:rsidRPr="00FE4CC2">
        <w:rPr>
          <w:szCs w:val="22"/>
        </w:rPr>
        <w:t xml:space="preserve">, </w:t>
      </w:r>
      <w:r w:rsidRPr="00FE4CC2">
        <w:rPr>
          <w:szCs w:val="22"/>
          <w:bdr w:val="none" w:sz="0" w:space="0" w:color="auto" w:frame="1"/>
        </w:rPr>
        <w:t>R. J. McInnes</w:t>
      </w:r>
      <w:r w:rsidRPr="00FE4CC2">
        <w:rPr>
          <w:szCs w:val="22"/>
        </w:rPr>
        <w:t xml:space="preserve">, </w:t>
      </w:r>
      <w:r w:rsidRPr="00FE4CC2">
        <w:rPr>
          <w:szCs w:val="22"/>
          <w:bdr w:val="none" w:sz="0" w:space="0" w:color="auto" w:frame="1"/>
        </w:rPr>
        <w:t>B. A. Middleton</w:t>
      </w:r>
      <w:r w:rsidRPr="00FE4CC2">
        <w:rPr>
          <w:szCs w:val="22"/>
        </w:rPr>
        <w:t xml:space="preserve">, </w:t>
      </w:r>
      <w:r w:rsidRPr="00FE4CC2">
        <w:rPr>
          <w:szCs w:val="22"/>
          <w:bdr w:val="none" w:sz="0" w:space="0" w:color="auto" w:frame="1"/>
        </w:rPr>
        <w:t>A. A. van Dam</w:t>
      </w:r>
      <w:r w:rsidRPr="00FE4CC2">
        <w:rPr>
          <w:szCs w:val="22"/>
        </w:rPr>
        <w:t xml:space="preserve">, </w:t>
      </w:r>
      <w:r w:rsidRPr="00FE4CC2">
        <w:rPr>
          <w:szCs w:val="22"/>
          <w:bdr w:val="none" w:sz="0" w:space="0" w:color="auto" w:frame="1"/>
        </w:rPr>
        <w:t>N. C. Davidson</w:t>
      </w:r>
      <w:r w:rsidRPr="00FE4CC2">
        <w:rPr>
          <w:b/>
          <w:noProof/>
          <w:szCs w:val="22"/>
        </w:rPr>
        <w:t xml:space="preserve"> </w:t>
      </w:r>
      <w:r w:rsidRPr="00FE4CC2">
        <w:rPr>
          <w:noProof/>
          <w:szCs w:val="22"/>
        </w:rPr>
        <w:t xml:space="preserve">(Eds.), </w:t>
      </w:r>
      <w:r w:rsidRPr="00FE4CC2">
        <w:rPr>
          <w:i/>
          <w:iCs/>
          <w:noProof/>
          <w:szCs w:val="22"/>
        </w:rPr>
        <w:t>The Wetland Book</w:t>
      </w:r>
      <w:r w:rsidRPr="00FE4CC2">
        <w:rPr>
          <w:noProof/>
          <w:szCs w:val="22"/>
        </w:rPr>
        <w:t xml:space="preserve"> (pp. 1-4). Netherlands: Springer.</w:t>
      </w:r>
    </w:p>
    <w:p w14:paraId="0DD79E9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Gibbs, H. K., Rausch, L., Munger, J., Schelly, I., Morton, D. C., Noojipady, P., Soares-Filho, B., Barreto, P., Micol, L., &amp; Walker, N. (2015). Brazil´s soy moratorium. </w:t>
      </w:r>
      <w:r w:rsidRPr="00FE4CC2">
        <w:rPr>
          <w:rStyle w:val="referencia"/>
          <w:rFonts w:ascii="Calibri" w:hAnsi="Calibri"/>
          <w:i/>
          <w:szCs w:val="22"/>
        </w:rPr>
        <w:t>Science</w:t>
      </w:r>
      <w:r w:rsidRPr="00FE4CC2">
        <w:rPr>
          <w:rStyle w:val="referencia"/>
          <w:rFonts w:ascii="Calibri" w:hAnsi="Calibri"/>
          <w:szCs w:val="22"/>
        </w:rPr>
        <w:t>, 347, 377-378.</w:t>
      </w:r>
    </w:p>
    <w:p w14:paraId="23EC817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Gibson, C. C, McKean, M. A., &amp; Ostrom, E. (2000). </w:t>
      </w:r>
      <w:r w:rsidRPr="00FE4CC2">
        <w:rPr>
          <w:rStyle w:val="referencia"/>
          <w:rFonts w:ascii="Calibri" w:hAnsi="Calibri"/>
          <w:i/>
          <w:szCs w:val="22"/>
        </w:rPr>
        <w:t>People and Forests: Communities, Institutions, and Governance</w:t>
      </w:r>
      <w:r w:rsidRPr="00FE4CC2">
        <w:rPr>
          <w:rStyle w:val="referencia"/>
          <w:rFonts w:ascii="Calibri" w:hAnsi="Calibri"/>
          <w:szCs w:val="22"/>
        </w:rPr>
        <w:t>. Cambridge and London: The MIT Press (pp. 274).</w:t>
      </w:r>
    </w:p>
    <w:p w14:paraId="433088C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Glowka, L. (2000). Bioprospecting, alien invasive species, and hydrothermal vents: three emerging legal issues in the conservation and sustainable use of biodiversity.</w:t>
      </w:r>
      <w:r w:rsidRPr="00FE4CC2">
        <w:rPr>
          <w:rStyle w:val="referencia"/>
          <w:rFonts w:ascii="Calibri" w:hAnsi="Calibri"/>
          <w:i/>
          <w:szCs w:val="22"/>
        </w:rPr>
        <w:t xml:space="preserve"> Tulane Environmental Law Journal</w:t>
      </w:r>
      <w:r w:rsidRPr="00FE4CC2">
        <w:rPr>
          <w:rStyle w:val="referencia"/>
          <w:rFonts w:ascii="Calibri" w:hAnsi="Calibri"/>
          <w:szCs w:val="22"/>
        </w:rPr>
        <w:t>, 13(2), 329-360.</w:t>
      </w:r>
    </w:p>
    <w:p w14:paraId="37FD0BF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Goldman-Benner, R. L., Benitez, S., Boucher, T., Calvache, A., Daily, G., Kareiva, P., Kroeger, T., &amp; Ramos, A. (2012). Water funds and payments for ecosystem services: practice learns from theory and theory can learn from practice. </w:t>
      </w:r>
      <w:r w:rsidRPr="00FE4CC2">
        <w:rPr>
          <w:rStyle w:val="referencia"/>
          <w:rFonts w:ascii="Calibri" w:hAnsi="Calibri"/>
          <w:i/>
          <w:szCs w:val="22"/>
        </w:rPr>
        <w:t>Oryx</w:t>
      </w:r>
      <w:r w:rsidRPr="00FE4CC2">
        <w:rPr>
          <w:rStyle w:val="referencia"/>
          <w:rFonts w:ascii="Calibri" w:hAnsi="Calibri"/>
          <w:szCs w:val="22"/>
        </w:rPr>
        <w:t>, 46(1), 55–63.</w:t>
      </w:r>
    </w:p>
    <w:p w14:paraId="01C20238" w14:textId="77777777" w:rsidR="006969D3" w:rsidRPr="00FE4CC2" w:rsidRDefault="006969D3" w:rsidP="006969D3">
      <w:pPr>
        <w:ind w:left="851" w:hanging="851"/>
        <w:contextualSpacing/>
        <w:rPr>
          <w:color w:val="000000"/>
          <w:szCs w:val="22"/>
        </w:rPr>
      </w:pPr>
      <w:r w:rsidRPr="00FE4CC2">
        <w:rPr>
          <w:color w:val="000000"/>
          <w:szCs w:val="22"/>
        </w:rPr>
        <w:t xml:space="preserve">Goldstein, A., &amp; Gonzalez, G. (2014). </w:t>
      </w:r>
      <w:r w:rsidRPr="00FE4CC2">
        <w:rPr>
          <w:i/>
          <w:color w:val="000000"/>
          <w:szCs w:val="22"/>
        </w:rPr>
        <w:t>Turning over a new leaf: state of the forest carbon markets 2014</w:t>
      </w:r>
      <w:r w:rsidRPr="00FE4CC2">
        <w:rPr>
          <w:color w:val="000000"/>
          <w:szCs w:val="22"/>
        </w:rPr>
        <w:t xml:space="preserve">. Forest Trends´ Ecosystem Marketplace. Available at: http://www.forest-trends.org/documents/files/doc_4770.pdf. </w:t>
      </w:r>
    </w:p>
    <w:p w14:paraId="0ADBC3E3" w14:textId="77777777" w:rsidR="006969D3" w:rsidRPr="00FE4CC2" w:rsidRDefault="006969D3" w:rsidP="006969D3">
      <w:pPr>
        <w:ind w:left="851" w:hanging="851"/>
        <w:contextualSpacing/>
        <w:rPr>
          <w:bCs/>
          <w:szCs w:val="22"/>
        </w:rPr>
      </w:pPr>
      <w:r w:rsidRPr="00FE4CC2">
        <w:rPr>
          <w:rStyle w:val="referencia"/>
          <w:rFonts w:ascii="Calibri" w:hAnsi="Calibri"/>
          <w:szCs w:val="22"/>
        </w:rPr>
        <w:t xml:space="preserve">Gomar, J. O. V. (2014). </w:t>
      </w:r>
      <w:r w:rsidRPr="00FE4CC2">
        <w:rPr>
          <w:szCs w:val="22"/>
        </w:rPr>
        <w:t xml:space="preserve">International targets and environmental policy integration: The 2010 Biodiversity Target and its impact on international policy and national implementation in Latin America and the Caribbean. </w:t>
      </w:r>
      <w:r w:rsidRPr="00FE4CC2">
        <w:rPr>
          <w:i/>
          <w:szCs w:val="22"/>
        </w:rPr>
        <w:t>Global Environmental Change</w:t>
      </w:r>
      <w:r w:rsidRPr="00FE4CC2">
        <w:rPr>
          <w:szCs w:val="22"/>
        </w:rPr>
        <w:t>, 29, 202-214.</w:t>
      </w:r>
    </w:p>
    <w:p w14:paraId="2BF68F05"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rPr>
        <w:t xml:space="preserve">Gómez Lozano, R., Anderson, L., Akins, J. L., Buddo, D. S. A., Garcia Moliner, G., Gourdin, F., Laurent, M., Lilyestron, C., Morris Jr., J. A., Ramnanan, N., &amp; Torres, R. (2013). </w:t>
      </w:r>
      <w:r w:rsidRPr="00FE4CC2">
        <w:rPr>
          <w:rStyle w:val="referencia"/>
          <w:rFonts w:ascii="Calibri" w:hAnsi="Calibri"/>
          <w:i/>
          <w:szCs w:val="22"/>
          <w:lang w:val="es-CO"/>
        </w:rPr>
        <w:t>Estrategia regional para el control del Pez León Invasor en el Gran Caribe.</w:t>
      </w:r>
      <w:r w:rsidRPr="00FE4CC2">
        <w:rPr>
          <w:rStyle w:val="referencia"/>
          <w:rFonts w:ascii="Calibri" w:hAnsi="Calibri"/>
          <w:szCs w:val="22"/>
          <w:lang w:val="es-CO"/>
        </w:rPr>
        <w:t xml:space="preserve"> Iniciativa Internacional sobre los Arrecifes Coralinos. (pp. 32).</w:t>
      </w:r>
    </w:p>
    <w:p w14:paraId="2CD97C17"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lang w:val="es-CO"/>
        </w:rPr>
        <w:t xml:space="preserve">Gómez, I., &amp; Méndez, V. E. (2005). </w:t>
      </w:r>
      <w:r w:rsidRPr="00FE4CC2">
        <w:rPr>
          <w:rStyle w:val="referencia"/>
          <w:rFonts w:ascii="Calibri" w:hAnsi="Calibri"/>
          <w:i/>
          <w:szCs w:val="22"/>
          <w:lang w:val="es-CO"/>
        </w:rPr>
        <w:t>Associación de comunidades forestales de Petén, Guatemala: Contexto, logros y desafíos.</w:t>
      </w:r>
      <w:r w:rsidRPr="00FE4CC2">
        <w:rPr>
          <w:rStyle w:val="referencia"/>
          <w:rFonts w:ascii="Calibri" w:hAnsi="Calibri"/>
          <w:i/>
          <w:szCs w:val="22"/>
          <w:lang w:val="pt-BR"/>
        </w:rPr>
        <w:t xml:space="preserve"> </w:t>
      </w:r>
      <w:r w:rsidRPr="00FE4CC2">
        <w:rPr>
          <w:rStyle w:val="referencia"/>
          <w:rFonts w:ascii="Calibri" w:hAnsi="Calibri"/>
          <w:szCs w:val="22"/>
          <w:lang w:val="pt-BR"/>
        </w:rPr>
        <w:t>Prisma. (pp. 60).</w:t>
      </w:r>
    </w:p>
    <w:p w14:paraId="2E7A3B5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Gonçalves, B., Marques, A., Soares, A. M. V. M., &amp; Pereira, H. M. (2015). </w:t>
      </w:r>
      <w:r w:rsidRPr="00FE4CC2">
        <w:rPr>
          <w:rStyle w:val="referencia"/>
          <w:rFonts w:ascii="Calibri" w:hAnsi="Calibri"/>
          <w:szCs w:val="22"/>
        </w:rPr>
        <w:t xml:space="preserve">Biodiversity offsets: from current challenges to harmonized metrics. </w:t>
      </w:r>
      <w:r w:rsidRPr="00FE4CC2">
        <w:rPr>
          <w:rStyle w:val="referencia"/>
          <w:rFonts w:ascii="Calibri" w:hAnsi="Calibri"/>
          <w:i/>
          <w:szCs w:val="22"/>
        </w:rPr>
        <w:t>Current Opinion in Environmental Sustainability</w:t>
      </w:r>
      <w:r w:rsidRPr="00FE4CC2">
        <w:rPr>
          <w:rStyle w:val="referencia"/>
          <w:rFonts w:ascii="Calibri" w:hAnsi="Calibri"/>
          <w:szCs w:val="22"/>
        </w:rPr>
        <w:t xml:space="preserve">, 14, 61–67.  </w:t>
      </w:r>
    </w:p>
    <w:p w14:paraId="224229B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Gordillo Jordan, J. F., Hunt C., &amp; Stronza, A. (2008). An ecotourism partnership in the Peruvian Amazon: the case of Posada Amazonas. In A. Stronza &amp; W.H. Durham (Eds.), </w:t>
      </w:r>
      <w:r w:rsidRPr="00FE4CC2">
        <w:rPr>
          <w:rStyle w:val="referencia"/>
          <w:rFonts w:ascii="Calibri" w:hAnsi="Calibri"/>
          <w:i/>
          <w:szCs w:val="22"/>
        </w:rPr>
        <w:t>Ecotourism and Conservation in the Americas</w:t>
      </w:r>
      <w:r w:rsidRPr="00FE4CC2">
        <w:rPr>
          <w:rStyle w:val="referencia"/>
          <w:rFonts w:ascii="Calibri" w:hAnsi="Calibri"/>
          <w:szCs w:val="22"/>
        </w:rPr>
        <w:t xml:space="preserve"> (pp. 30-48). Wallingford, UK: Cabi International.</w:t>
      </w:r>
    </w:p>
    <w:p w14:paraId="5F46414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Gray, N. J., Gruby, R. L., &amp; Campbell, L. M. (2014): Boundary objects and global consensus: scalar narratives of marine conservation in the Convention on Biological Diversity. </w:t>
      </w:r>
      <w:r w:rsidRPr="00FE4CC2">
        <w:rPr>
          <w:rStyle w:val="referencia"/>
          <w:rFonts w:ascii="Calibri" w:hAnsi="Calibri"/>
          <w:i/>
          <w:szCs w:val="22"/>
        </w:rPr>
        <w:t>Global Environmental Politics</w:t>
      </w:r>
      <w:r w:rsidRPr="00FE4CC2">
        <w:rPr>
          <w:rStyle w:val="referencia"/>
          <w:rFonts w:ascii="Calibri" w:hAnsi="Calibri"/>
          <w:szCs w:val="22"/>
        </w:rPr>
        <w:t>, 14(3), 64-83.</w:t>
      </w:r>
    </w:p>
    <w:p w14:paraId="25433E6A"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Grima, N., Singh, S. J., Smetschka, B., &amp; Ringhofer, L. (2016): Payment for ecosystem services (PES) in Latin America: analyzing the performance of 40 case studies. </w:t>
      </w:r>
      <w:r w:rsidRPr="00FE4CC2">
        <w:rPr>
          <w:rStyle w:val="referencia"/>
          <w:rFonts w:ascii="Calibri" w:hAnsi="Calibri"/>
          <w:i/>
          <w:szCs w:val="22"/>
        </w:rPr>
        <w:t>Ecosystem Services</w:t>
      </w:r>
      <w:r w:rsidRPr="00FE4CC2">
        <w:rPr>
          <w:rStyle w:val="referencia"/>
          <w:rFonts w:ascii="Calibri" w:hAnsi="Calibri"/>
          <w:szCs w:val="22"/>
        </w:rPr>
        <w:t xml:space="preserve">, 17, 24–32. </w:t>
      </w:r>
    </w:p>
    <w:p w14:paraId="1FBE1CC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GSIA (2016). </w:t>
      </w:r>
      <w:r w:rsidRPr="00FE4CC2">
        <w:rPr>
          <w:rStyle w:val="referencia"/>
          <w:rFonts w:ascii="Calibri" w:hAnsi="Calibri"/>
          <w:i/>
          <w:szCs w:val="22"/>
        </w:rPr>
        <w:t xml:space="preserve">2016 Global Sustainable Investment Review. </w:t>
      </w:r>
      <w:r w:rsidRPr="00FE4CC2">
        <w:rPr>
          <w:rStyle w:val="referencia"/>
          <w:rFonts w:ascii="Calibri" w:hAnsi="Calibri"/>
          <w:szCs w:val="22"/>
        </w:rPr>
        <w:t xml:space="preserve">Global Sustainable Investment Alliance. Available at: </w:t>
      </w:r>
      <w:hyperlink r:id="rId1105" w:history="1">
        <w:r w:rsidRPr="00FE4CC2">
          <w:rPr>
            <w:rStyle w:val="Hyperlink"/>
            <w:noProof/>
            <w:szCs w:val="22"/>
          </w:rPr>
          <w:t>http://www.gsi-alliance.org/wp-content/uploads/2017/03/ GSIR_Review 2016.F.pdf</w:t>
        </w:r>
      </w:hyperlink>
    </w:p>
    <w:p w14:paraId="5B6402C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Guariguata, M. R., Sist, P., &amp; Nasi, R. (2012). </w:t>
      </w:r>
      <w:r w:rsidRPr="00FE4CC2">
        <w:rPr>
          <w:rStyle w:val="referencia"/>
          <w:rFonts w:ascii="Calibri" w:hAnsi="Calibri"/>
          <w:szCs w:val="22"/>
        </w:rPr>
        <w:t xml:space="preserve">Multiple use management of tropical production forests: how can we move from concept to reality? </w:t>
      </w:r>
      <w:r w:rsidRPr="00FE4CC2">
        <w:rPr>
          <w:rStyle w:val="referencia"/>
          <w:rFonts w:ascii="Calibri" w:hAnsi="Calibri"/>
          <w:i/>
          <w:szCs w:val="22"/>
        </w:rPr>
        <w:t>Forest Ecology and Management</w:t>
      </w:r>
      <w:r w:rsidRPr="00FE4CC2">
        <w:rPr>
          <w:rStyle w:val="referencia"/>
          <w:rFonts w:ascii="Calibri" w:hAnsi="Calibri"/>
          <w:szCs w:val="22"/>
        </w:rPr>
        <w:t>, 268, 1-5.</w:t>
      </w:r>
    </w:p>
    <w:p w14:paraId="26CC1E8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Guedes, G.R., L.K. VanWey, J.R. Hull, M. Antigo, and A.F. Barbieri. (2014). Poverty dynamics, ecological endowments, and land use among smallholders in the Brazilian Amazon. </w:t>
      </w:r>
      <w:r w:rsidRPr="00FE4CC2">
        <w:rPr>
          <w:rStyle w:val="referencia"/>
          <w:rFonts w:ascii="Calibri" w:hAnsi="Calibri"/>
          <w:i/>
          <w:szCs w:val="22"/>
        </w:rPr>
        <w:t>Social Science Research</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43, 74-91.</w:t>
      </w:r>
    </w:p>
    <w:p w14:paraId="7FBC19C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Gunter, U., Ceddia, M. G., &amp; Tröster, B. (2017). International ecotourism and economic development in Central America and the Caribbean. </w:t>
      </w:r>
      <w:r w:rsidRPr="00FE4CC2">
        <w:rPr>
          <w:rStyle w:val="referencia"/>
          <w:rFonts w:ascii="Calibri" w:hAnsi="Calibri"/>
          <w:i/>
          <w:szCs w:val="22"/>
        </w:rPr>
        <w:t>Journal of Sustainable Tourism</w:t>
      </w:r>
      <w:r w:rsidRPr="00FE4CC2">
        <w:rPr>
          <w:rStyle w:val="referencia"/>
          <w:rFonts w:ascii="Calibri" w:hAnsi="Calibri"/>
          <w:szCs w:val="22"/>
        </w:rPr>
        <w:t xml:space="preserve">, </w:t>
      </w:r>
      <w:r w:rsidRPr="00FE4CC2">
        <w:rPr>
          <w:rStyle w:val="referencia"/>
          <w:rFonts w:ascii="Calibri" w:hAnsi="Calibri"/>
          <w:szCs w:val="22"/>
          <w:lang w:val="en-GB"/>
        </w:rPr>
        <w:t>25, 43-60. https://doi.org/</w:t>
      </w:r>
      <w:r w:rsidRPr="00FE4CC2">
        <w:rPr>
          <w:rStyle w:val="referencia"/>
          <w:rFonts w:ascii="Calibri" w:hAnsi="Calibri"/>
          <w:szCs w:val="22"/>
        </w:rPr>
        <w:t>10.1080/09669582.2016.1173043</w:t>
      </w:r>
    </w:p>
    <w:p w14:paraId="6E34CC7D" w14:textId="77777777" w:rsidR="006969D3" w:rsidRPr="00FE4CC2" w:rsidRDefault="006969D3" w:rsidP="006969D3">
      <w:pPr>
        <w:ind w:left="851" w:hanging="851"/>
        <w:contextualSpacing/>
        <w:rPr>
          <w:b/>
          <w:bCs/>
          <w:szCs w:val="22"/>
        </w:rPr>
      </w:pPr>
      <w:r w:rsidRPr="00FE4CC2">
        <w:rPr>
          <w:rStyle w:val="referencia"/>
          <w:rFonts w:ascii="Calibri" w:hAnsi="Calibri"/>
          <w:szCs w:val="22"/>
        </w:rPr>
        <w:t xml:space="preserve">Hajjar, R., Oldekop, J. A., Cronkleton, P., Etue, E., Newton, P., </w:t>
      </w:r>
      <w:r w:rsidRPr="00FE4CC2">
        <w:rPr>
          <w:szCs w:val="22"/>
        </w:rPr>
        <w:t>Russel,</w:t>
      </w:r>
      <w:r w:rsidRPr="00FE4CC2">
        <w:rPr>
          <w:rFonts w:eastAsia="MTSY"/>
          <w:szCs w:val="22"/>
        </w:rPr>
        <w:t xml:space="preserve"> </w:t>
      </w:r>
      <w:r w:rsidRPr="00FE4CC2">
        <w:rPr>
          <w:szCs w:val="22"/>
        </w:rPr>
        <w:t>A. J. M., Tjajadi,</w:t>
      </w:r>
      <w:r w:rsidRPr="00FE4CC2">
        <w:rPr>
          <w:rFonts w:eastAsia="MTSY"/>
          <w:szCs w:val="22"/>
        </w:rPr>
        <w:t xml:space="preserve"> </w:t>
      </w:r>
      <w:r w:rsidRPr="00FE4CC2">
        <w:rPr>
          <w:szCs w:val="22"/>
        </w:rPr>
        <w:t>J. S., Zhou,</w:t>
      </w:r>
      <w:r w:rsidRPr="00FE4CC2">
        <w:rPr>
          <w:rFonts w:eastAsia="MTSY"/>
          <w:szCs w:val="22"/>
        </w:rPr>
        <w:t xml:space="preserve"> </w:t>
      </w:r>
      <w:r w:rsidRPr="00FE4CC2">
        <w:rPr>
          <w:szCs w:val="22"/>
        </w:rPr>
        <w:t xml:space="preserve">W., &amp; Agrawal, A. (2017). </w:t>
      </w:r>
      <w:r w:rsidRPr="00FE4CC2">
        <w:rPr>
          <w:bCs/>
          <w:szCs w:val="22"/>
        </w:rPr>
        <w:t xml:space="preserve">The data not collected on community forestry. </w:t>
      </w:r>
      <w:r w:rsidRPr="00FE4CC2">
        <w:rPr>
          <w:bCs/>
          <w:i/>
          <w:szCs w:val="22"/>
        </w:rPr>
        <w:t>Conservation Biology</w:t>
      </w:r>
      <w:r w:rsidRPr="00FE4CC2">
        <w:rPr>
          <w:bCs/>
          <w:szCs w:val="22"/>
        </w:rPr>
        <w:t>, 30, 1357-1362.</w:t>
      </w:r>
    </w:p>
    <w:p w14:paraId="7A95CD6B" w14:textId="77777777" w:rsidR="006969D3" w:rsidRPr="00FE4CC2" w:rsidRDefault="006969D3" w:rsidP="006969D3">
      <w:pPr>
        <w:ind w:left="851" w:hanging="851"/>
        <w:contextualSpacing/>
        <w:rPr>
          <w:color w:val="000000"/>
          <w:szCs w:val="22"/>
        </w:rPr>
      </w:pPr>
      <w:r w:rsidRPr="00FE4CC2">
        <w:rPr>
          <w:color w:val="000000"/>
          <w:szCs w:val="22"/>
        </w:rPr>
        <w:t xml:space="preserve">Hamrick, K. (2015) </w:t>
      </w:r>
      <w:r w:rsidRPr="00FE4CC2">
        <w:rPr>
          <w:i/>
          <w:color w:val="000000"/>
          <w:szCs w:val="22"/>
        </w:rPr>
        <w:t>Ahead of the curve. State of the Voluntary Carbon Markets 2015.</w:t>
      </w:r>
      <w:r w:rsidRPr="00FE4CC2">
        <w:rPr>
          <w:color w:val="000000"/>
          <w:szCs w:val="22"/>
        </w:rPr>
        <w:t xml:space="preserve"> Forest Trends´s Ecosystem Marketplace. Available at: </w:t>
      </w:r>
      <w:hyperlink r:id="rId1106" w:history="1">
        <w:r w:rsidRPr="00FE4CC2">
          <w:rPr>
            <w:rStyle w:val="Hyperlink"/>
            <w:szCs w:val="22"/>
          </w:rPr>
          <w:t>https://www.forest-trends.org/publications/ahead-of-the-curve/</w:t>
        </w:r>
      </w:hyperlink>
    </w:p>
    <w:p w14:paraId="5FF6855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Handford, C. E., Elliott, C. T., &amp; Campbell, K. (2015). A review of the global pesticide legislation and the scale of challenge in reaching the global harmonization of food safety standards. </w:t>
      </w:r>
      <w:r w:rsidRPr="00FE4CC2">
        <w:rPr>
          <w:rStyle w:val="referencia"/>
          <w:rFonts w:ascii="Calibri" w:hAnsi="Calibri"/>
          <w:i/>
          <w:szCs w:val="22"/>
        </w:rPr>
        <w:t>Integrated Environmental Assessment and Management</w:t>
      </w:r>
      <w:r w:rsidRPr="00FE4CC2">
        <w:rPr>
          <w:rStyle w:val="referencia"/>
          <w:rFonts w:ascii="Calibri" w:hAnsi="Calibri"/>
          <w:szCs w:val="22"/>
        </w:rPr>
        <w:t>, 9999, 1–12.</w:t>
      </w:r>
    </w:p>
    <w:p w14:paraId="0F675EF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Hanson, C., Talberth, J., &amp; Yonavjak, L. (2011). Forests for Water: Exploring Payments for Watershed Services in the U.S. South. Southern Forests for the Future Incentives Series (WRI Issue Brief 2), Washington, DC.: World Resources Institute. Available at </w:t>
      </w:r>
      <w:hyperlink r:id="rId1107" w:history="1">
        <w:r w:rsidRPr="00FE4CC2">
          <w:rPr>
            <w:rStyle w:val="referencia"/>
            <w:rFonts w:ascii="Calibri" w:hAnsi="Calibri"/>
            <w:szCs w:val="22"/>
          </w:rPr>
          <w:t>http://www.wri.org/publication/</w:t>
        </w:r>
      </w:hyperlink>
      <w:r w:rsidRPr="00FE4CC2">
        <w:rPr>
          <w:rStyle w:val="referencia"/>
          <w:rFonts w:ascii="Calibri" w:hAnsi="Calibri"/>
          <w:szCs w:val="22"/>
        </w:rPr>
        <w:t xml:space="preserve"> forests-water.</w:t>
      </w:r>
    </w:p>
    <w:p w14:paraId="0BB2C7D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Hardin, G. (1968). The tragedy of the commons.</w:t>
      </w:r>
      <w:r w:rsidRPr="00FE4CC2">
        <w:rPr>
          <w:rStyle w:val="referencia"/>
          <w:rFonts w:ascii="Calibri" w:hAnsi="Calibri"/>
          <w:i/>
          <w:szCs w:val="22"/>
        </w:rPr>
        <w:t xml:space="preserve"> Science</w:t>
      </w:r>
      <w:r w:rsidRPr="00FE4CC2">
        <w:rPr>
          <w:rStyle w:val="referencia"/>
          <w:rFonts w:ascii="Calibri" w:hAnsi="Calibri"/>
          <w:szCs w:val="22"/>
        </w:rPr>
        <w:t>, 162, 1243-1248.</w:t>
      </w:r>
    </w:p>
    <w:p w14:paraId="64A9D0C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Harris, J. B. C., Reid, J. L., Scheffers, B. R., Wanger, T. C., Sodhi, N. S., Fordham, D. A., &amp; Brook, B. W. (2012). Conserving imperiled species: a comparison of the IUCN Red List and U.S. Endangered Species Act</w:t>
      </w:r>
      <w:r w:rsidRPr="00FE4CC2">
        <w:rPr>
          <w:rStyle w:val="referencia"/>
          <w:rFonts w:ascii="Calibri" w:hAnsi="Calibri"/>
          <w:i/>
          <w:szCs w:val="22"/>
        </w:rPr>
        <w:t>. Conservation Letters</w:t>
      </w:r>
      <w:r w:rsidRPr="00FE4CC2">
        <w:rPr>
          <w:rStyle w:val="referencia"/>
          <w:rFonts w:ascii="Calibri" w:hAnsi="Calibri"/>
          <w:szCs w:val="22"/>
        </w:rPr>
        <w:t xml:space="preserve">, 5(1), 64-72. </w:t>
      </w:r>
    </w:p>
    <w:p w14:paraId="61BB79A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Haslam, P. A., &amp; Tanimoune, N. A. (2016). The determinants of social conflict in the Latin American mining sector: new evidence with quantitative data. </w:t>
      </w:r>
      <w:r w:rsidRPr="00FE4CC2">
        <w:rPr>
          <w:rStyle w:val="referencia"/>
          <w:rFonts w:ascii="Calibri" w:hAnsi="Calibri"/>
          <w:i/>
          <w:szCs w:val="22"/>
        </w:rPr>
        <w:t>World Development</w:t>
      </w:r>
      <w:r w:rsidRPr="00FE4CC2">
        <w:rPr>
          <w:rStyle w:val="referencia"/>
          <w:rFonts w:ascii="Calibri" w:hAnsi="Calibri"/>
          <w:szCs w:val="22"/>
        </w:rPr>
        <w:t>, 78, 401-419.</w:t>
      </w:r>
    </w:p>
    <w:p w14:paraId="7036ABD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Hidasi-Neto, J., Loyola, R. D., &amp; Cianciaruso, M. V. (2013). </w:t>
      </w:r>
      <w:r w:rsidRPr="00FE4CC2">
        <w:rPr>
          <w:rStyle w:val="referencia"/>
          <w:rFonts w:ascii="Calibri" w:hAnsi="Calibri"/>
          <w:szCs w:val="22"/>
        </w:rPr>
        <w:t xml:space="preserve">Conservation actions based on red lists do not capture the functional and phylogenetic diversity of birds in Brazil. </w:t>
      </w:r>
      <w:r w:rsidRPr="00FE4CC2">
        <w:rPr>
          <w:rStyle w:val="referencia"/>
          <w:rFonts w:ascii="Calibri" w:hAnsi="Calibri"/>
          <w:i/>
          <w:szCs w:val="22"/>
        </w:rPr>
        <w:t>PLoS One</w:t>
      </w:r>
      <w:r w:rsidRPr="00FE4CC2">
        <w:rPr>
          <w:rStyle w:val="referencia"/>
          <w:rFonts w:ascii="Calibri" w:hAnsi="Calibri"/>
          <w:szCs w:val="22"/>
        </w:rPr>
        <w:t xml:space="preserve">, 8, e73431. </w:t>
      </w:r>
      <w:r w:rsidRPr="00FE4CC2">
        <w:rPr>
          <w:rStyle w:val="referencia"/>
          <w:rFonts w:ascii="Calibri" w:hAnsi="Calibri"/>
          <w:szCs w:val="22"/>
          <w:lang w:val="en-GB"/>
        </w:rPr>
        <w:t>https://doi.org/</w:t>
      </w:r>
      <w:r w:rsidRPr="00FE4CC2">
        <w:rPr>
          <w:rStyle w:val="referencia"/>
          <w:rFonts w:ascii="Calibri" w:hAnsi="Calibri"/>
          <w:szCs w:val="22"/>
        </w:rPr>
        <w:t>10.1371/journal.pone.0073431</w:t>
      </w:r>
    </w:p>
    <w:p w14:paraId="7C6B75CD" w14:textId="77777777" w:rsidR="006969D3" w:rsidRPr="00FE4CC2" w:rsidRDefault="006969D3" w:rsidP="006969D3">
      <w:pPr>
        <w:ind w:left="851" w:hanging="851"/>
        <w:contextualSpacing/>
        <w:rPr>
          <w:rStyle w:val="referencia"/>
          <w:rFonts w:ascii="Calibri" w:hAnsi="Calibri"/>
          <w:szCs w:val="22"/>
        </w:rPr>
      </w:pPr>
      <w:r w:rsidRPr="00FE4CC2">
        <w:rPr>
          <w:szCs w:val="22"/>
        </w:rPr>
        <w:t xml:space="preserve">Hilbeck, A., Binimelis, R., Defarge, N., Steinbrecher, R., Székács, A., Wickson, F., Antoniou, M., Bereano, P. L, Clark, E. A., Hansen, M., Novotny, E., Heinemann, J., Meyer, H., Shiva, V., &amp; Wynne, B. (2015). No scientific consensus on GMO safety. </w:t>
      </w:r>
      <w:r w:rsidRPr="00FE4CC2">
        <w:rPr>
          <w:i/>
          <w:szCs w:val="22"/>
        </w:rPr>
        <w:t>Environmental Sciences Europe</w:t>
      </w:r>
      <w:r w:rsidRPr="00FE4CC2">
        <w:rPr>
          <w:szCs w:val="22"/>
        </w:rPr>
        <w:t xml:space="preserve">, 27, 4. </w:t>
      </w:r>
    </w:p>
    <w:p w14:paraId="41932EE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Hilty, J. A., Lidicker Jr, W. Z., &amp; Merenlender, A. (2006). </w:t>
      </w:r>
      <w:r w:rsidRPr="00FE4CC2">
        <w:rPr>
          <w:rStyle w:val="referencia"/>
          <w:rFonts w:ascii="Calibri" w:hAnsi="Calibri"/>
          <w:i/>
          <w:szCs w:val="22"/>
        </w:rPr>
        <w:t>Corridor Ecology</w:t>
      </w:r>
      <w:r w:rsidRPr="00FE4CC2">
        <w:rPr>
          <w:rStyle w:val="referencia"/>
          <w:rFonts w:ascii="Calibri" w:hAnsi="Calibri"/>
          <w:szCs w:val="22"/>
        </w:rPr>
        <w:t>. Washington, US: Island Press (pp. 344).</w:t>
      </w:r>
    </w:p>
    <w:p w14:paraId="467A863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Hoffmann, D., Oetting, I., Arnillas, C. A., &amp; Ulloa, R. (2011). Climate change and protected areas in the Tropical Andes. In S. K. Herzog, R. Martínez, P. M. Jørgensen, &amp; H. Tiessen (Eds.), </w:t>
      </w:r>
      <w:r w:rsidRPr="00FE4CC2">
        <w:rPr>
          <w:rStyle w:val="referencia"/>
          <w:rFonts w:ascii="Calibri" w:hAnsi="Calibri"/>
          <w:i/>
          <w:szCs w:val="22"/>
        </w:rPr>
        <w:t xml:space="preserve">Climate Change and Biodiversity in the Tropical Andes </w:t>
      </w:r>
      <w:r w:rsidRPr="00FE4CC2">
        <w:rPr>
          <w:rStyle w:val="referencia"/>
          <w:rFonts w:ascii="Calibri" w:hAnsi="Calibri"/>
          <w:szCs w:val="22"/>
        </w:rPr>
        <w:t>(pp. 311-325). São José dos Campos, Brazil: Inter-American Institute for Global Change Research (IAI); Paris:</w:t>
      </w:r>
      <w:r w:rsidRPr="00FE4CC2">
        <w:rPr>
          <w:rStyle w:val="referencia"/>
          <w:rFonts w:ascii="Calibri" w:hAnsi="Calibri"/>
          <w:i/>
          <w:szCs w:val="22"/>
        </w:rPr>
        <w:t xml:space="preserve"> </w:t>
      </w:r>
      <w:r w:rsidRPr="00FE4CC2">
        <w:rPr>
          <w:rStyle w:val="referencia"/>
          <w:rFonts w:ascii="Calibri" w:hAnsi="Calibri"/>
          <w:szCs w:val="22"/>
        </w:rPr>
        <w:t xml:space="preserve">Scientific Committee on Problems of the Environment (SCOPE). </w:t>
      </w:r>
    </w:p>
    <w:p w14:paraId="657BDE5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Hogdon, B. D., Hghell, D., Ramos, V. H., &amp; McNab, R. B. (2015). </w:t>
      </w:r>
      <w:r w:rsidRPr="00FE4CC2">
        <w:rPr>
          <w:rStyle w:val="referencia"/>
          <w:rFonts w:ascii="Calibri" w:hAnsi="Calibri"/>
          <w:i/>
          <w:szCs w:val="22"/>
        </w:rPr>
        <w:t>Deforestation trends in the Maya Biosphere Reserve</w:t>
      </w:r>
      <w:r w:rsidRPr="00FE4CC2">
        <w:rPr>
          <w:rStyle w:val="referencia"/>
          <w:rFonts w:ascii="Calibri" w:hAnsi="Calibri"/>
          <w:szCs w:val="22"/>
        </w:rPr>
        <w:t>. Guatemala: USAID. 14p.</w:t>
      </w:r>
    </w:p>
    <w:p w14:paraId="5C0CD0A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Holden, M., (2013). Sustainability indicator systems within urban governance: Usability analysis of sustainability indicator systems as boundary objects.</w:t>
      </w:r>
      <w:r w:rsidRPr="00FE4CC2">
        <w:rPr>
          <w:rStyle w:val="referencia"/>
          <w:rFonts w:ascii="Calibri" w:hAnsi="Calibri"/>
          <w:i/>
          <w:szCs w:val="22"/>
        </w:rPr>
        <w:t xml:space="preserve"> Ecological Indicators</w:t>
      </w:r>
      <w:r w:rsidRPr="00FE4CC2">
        <w:rPr>
          <w:rStyle w:val="referencia"/>
          <w:rFonts w:ascii="Calibri" w:hAnsi="Calibri"/>
          <w:szCs w:val="22"/>
        </w:rPr>
        <w:t>, 32, 89-96.</w:t>
      </w:r>
    </w:p>
    <w:p w14:paraId="72AE2B0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Hrabanski, M., (2015). The biodiversity offsets as market-based instruments in global governance: Origins, success and controversies</w:t>
      </w:r>
      <w:r w:rsidRPr="00FE4CC2">
        <w:rPr>
          <w:rStyle w:val="referencia"/>
          <w:rFonts w:ascii="Calibri" w:hAnsi="Calibri"/>
          <w:i/>
          <w:szCs w:val="22"/>
        </w:rPr>
        <w:t>. Ecosystem Services</w:t>
      </w:r>
      <w:r w:rsidRPr="00FE4CC2">
        <w:rPr>
          <w:rStyle w:val="referencia"/>
          <w:rFonts w:ascii="Calibri" w:hAnsi="Calibri"/>
          <w:szCs w:val="22"/>
        </w:rPr>
        <w:t>, 15, 143-151.</w:t>
      </w:r>
    </w:p>
    <w:p w14:paraId="1EB49B02" w14:textId="77777777" w:rsidR="006969D3" w:rsidRPr="00FE4CC2" w:rsidRDefault="006969D3" w:rsidP="006969D3">
      <w:pPr>
        <w:autoSpaceDE w:val="0"/>
        <w:autoSpaceDN w:val="0"/>
        <w:adjustRightInd w:val="0"/>
        <w:ind w:left="851" w:hanging="851"/>
        <w:rPr>
          <w:rStyle w:val="referencia"/>
          <w:rFonts w:ascii="Calibri" w:hAnsi="Calibri"/>
          <w:szCs w:val="22"/>
        </w:rPr>
      </w:pPr>
      <w:r w:rsidRPr="00FE4CC2">
        <w:rPr>
          <w:rStyle w:val="referencia"/>
          <w:rFonts w:ascii="Calibri" w:hAnsi="Calibri"/>
          <w:szCs w:val="22"/>
          <w:lang w:val="en-GB"/>
        </w:rPr>
        <w:t xml:space="preserve">Hsu, A., </w:t>
      </w:r>
      <w:r w:rsidRPr="00FE4CC2">
        <w:rPr>
          <w:rFonts w:eastAsiaTheme="minorEastAsia"/>
          <w:szCs w:val="22"/>
          <w:lang w:val="en-GB" w:eastAsia="es-ES"/>
        </w:rPr>
        <w:t>Alexandre, N, Cohen, S., Jao, P, Khusainova, E, Mosteller, D, Peng, Y, Rosengarten, C, Schwartz, J. D., Spawn, A., Weinfurter, A., Xu, K., Yin, D., Ivanenko, M., Cook, A. R., Foo, J. M., Yi, J., Sarathy, J., Torres-Quintanilla, D., Wong, D., Yick, C., Young, A., Zomer, A.</w:t>
      </w:r>
      <w:r w:rsidRPr="00FE4CC2">
        <w:rPr>
          <w:rStyle w:val="referencia"/>
          <w:rFonts w:ascii="Calibri" w:hAnsi="Calibri"/>
          <w:szCs w:val="22"/>
        </w:rPr>
        <w:t xml:space="preserve">, </w:t>
      </w:r>
      <w:r w:rsidRPr="00FE4CC2">
        <w:rPr>
          <w:rFonts w:eastAsiaTheme="minorEastAsia"/>
          <w:szCs w:val="22"/>
          <w:lang w:val="en-GB" w:eastAsia="es-ES"/>
        </w:rPr>
        <w:t>Hirsch, P., Householder, A., Nestor, C., Shah, S., Song, Y., Yan, C.</w:t>
      </w:r>
      <w:r w:rsidRPr="00FE4CC2">
        <w:rPr>
          <w:rStyle w:val="referencia"/>
          <w:rFonts w:ascii="Calibri" w:hAnsi="Calibri"/>
          <w:szCs w:val="22"/>
        </w:rPr>
        <w:t xml:space="preserve">, </w:t>
      </w:r>
      <w:r w:rsidRPr="00FE4CC2">
        <w:rPr>
          <w:rFonts w:eastAsiaTheme="minorEastAsia"/>
          <w:szCs w:val="22"/>
          <w:lang w:val="en-GB" w:eastAsia="es-ES"/>
        </w:rPr>
        <w:t>Levy, M. A., de Sherbinin, A., Jaiteh, M., Chai-Onn, T., Esty, D. C., Dale, L.</w:t>
      </w:r>
      <w:r w:rsidRPr="00FE4CC2">
        <w:rPr>
          <w:rStyle w:val="referencia"/>
          <w:rFonts w:ascii="Calibri" w:hAnsi="Calibri"/>
          <w:szCs w:val="22"/>
        </w:rPr>
        <w:t xml:space="preserve">, </w:t>
      </w:r>
      <w:r w:rsidRPr="00FE4CC2">
        <w:rPr>
          <w:rFonts w:eastAsiaTheme="minorEastAsia"/>
          <w:szCs w:val="22"/>
          <w:lang w:val="en-GB" w:eastAsia="es-ES"/>
        </w:rPr>
        <w:t xml:space="preserve">Rosengarten, C., Rosengarten, T., Seven, H., &amp; </w:t>
      </w:r>
      <w:r w:rsidRPr="00FE4CC2">
        <w:rPr>
          <w:rStyle w:val="referencia"/>
          <w:rFonts w:ascii="Calibri" w:hAnsi="Calibri"/>
          <w:szCs w:val="22"/>
        </w:rPr>
        <w:t xml:space="preserve"> Weeks, C. (2016): </w:t>
      </w:r>
      <w:r w:rsidRPr="00FE4CC2">
        <w:rPr>
          <w:rStyle w:val="referencia"/>
          <w:rFonts w:ascii="Calibri" w:hAnsi="Calibri"/>
          <w:i/>
          <w:szCs w:val="22"/>
        </w:rPr>
        <w:t>2016 Environmental Performance Index</w:t>
      </w:r>
      <w:r w:rsidRPr="00FE4CC2">
        <w:rPr>
          <w:rStyle w:val="referencia"/>
          <w:rFonts w:ascii="Calibri" w:hAnsi="Calibri"/>
          <w:szCs w:val="22"/>
        </w:rPr>
        <w:t xml:space="preserve">. New Haven, CT: Yale University. Available: </w:t>
      </w:r>
      <w:hyperlink r:id="rId1108" w:history="1">
        <w:r w:rsidRPr="00FE4CC2">
          <w:rPr>
            <w:rStyle w:val="referencia"/>
            <w:rFonts w:ascii="Calibri" w:hAnsi="Calibri"/>
            <w:szCs w:val="22"/>
          </w:rPr>
          <w:t>www.epi.yale.edu</w:t>
        </w:r>
      </w:hyperlink>
      <w:r w:rsidRPr="00FE4CC2">
        <w:rPr>
          <w:rStyle w:val="referencia"/>
          <w:rFonts w:ascii="Calibri" w:hAnsi="Calibri"/>
          <w:szCs w:val="22"/>
        </w:rPr>
        <w:t>.</w:t>
      </w:r>
    </w:p>
    <w:p w14:paraId="11AB66E2"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rPr>
        <w:t xml:space="preserve">Hubeau, M., Marchand, F., Coteur, I., Mondelaers, K., Debruyne, L., &amp; Van Huylenbroeck, G. (2017): A new agri-food systems sustainability approach to identify shared transformation pathways towards sustainability. </w:t>
      </w:r>
      <w:r w:rsidRPr="00FE4CC2">
        <w:rPr>
          <w:rStyle w:val="referencia"/>
          <w:rFonts w:ascii="Calibri" w:hAnsi="Calibri"/>
          <w:i/>
          <w:szCs w:val="22"/>
          <w:lang w:val="es-CO"/>
        </w:rPr>
        <w:t>Ecological Economics</w:t>
      </w:r>
      <w:r w:rsidRPr="00FE4CC2">
        <w:rPr>
          <w:rStyle w:val="referencia"/>
          <w:rFonts w:ascii="Calibri" w:hAnsi="Calibri"/>
          <w:szCs w:val="22"/>
          <w:lang w:val="es-CO"/>
        </w:rPr>
        <w:t>, 131, 52-63.</w:t>
      </w:r>
    </w:p>
    <w:p w14:paraId="7796A6B1"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INE (2011). </w:t>
      </w:r>
      <w:r w:rsidRPr="00FE4CC2">
        <w:rPr>
          <w:rStyle w:val="referencia"/>
          <w:rFonts w:ascii="Calibri" w:hAnsi="Calibri"/>
          <w:i/>
          <w:szCs w:val="22"/>
          <w:lang w:val="es-CO"/>
        </w:rPr>
        <w:t>Compendio Estadístico Ambiental de Guatemala (2010).</w:t>
      </w:r>
      <w:r w:rsidRPr="00FE4CC2">
        <w:rPr>
          <w:rStyle w:val="referencia"/>
          <w:rFonts w:ascii="Calibri" w:hAnsi="Calibri"/>
          <w:szCs w:val="22"/>
          <w:lang w:val="es-CO"/>
        </w:rPr>
        <w:t xml:space="preserve"> Instituto Nacional de Estadística (INE), Sección de Estadísticas Ambientales, Oficina Coordinadora Sectorial de Estadísticas de Ambiente y Recursos Naturales, OCSE/Ambiente, Ciudad de Guatemala, Guatemala (pp. 357). </w:t>
      </w:r>
    </w:p>
    <w:p w14:paraId="6985D62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IPBES (2016): </w:t>
      </w:r>
      <w:r w:rsidRPr="00FE4CC2">
        <w:rPr>
          <w:rStyle w:val="referencia"/>
          <w:rFonts w:ascii="Calibri" w:hAnsi="Calibri"/>
          <w:i/>
          <w:szCs w:val="22"/>
        </w:rPr>
        <w:t>Information on work related to policy support tools and methodologies (deliverable 4 (c)) (IPBES/4/INF/14). Kuala Lumpur: Intergovernmental Science-Policy Platform on Biodiversity and Ecosystem Services</w:t>
      </w:r>
      <w:r w:rsidRPr="00FE4CC2">
        <w:rPr>
          <w:rStyle w:val="referencia"/>
          <w:rFonts w:ascii="Calibri" w:hAnsi="Calibri"/>
          <w:szCs w:val="22"/>
        </w:rPr>
        <w:t xml:space="preserve">. Retrieved from </w:t>
      </w:r>
      <w:hyperlink r:id="rId1109" w:history="1">
        <w:r w:rsidRPr="00FE4CC2">
          <w:rPr>
            <w:rStyle w:val="referencia"/>
            <w:rFonts w:ascii="Calibri" w:hAnsi="Calibri"/>
            <w:szCs w:val="22"/>
          </w:rPr>
          <w:t>http://www.minambiente.it/sites/default/files/archivio/allegati/</w:t>
        </w:r>
      </w:hyperlink>
      <w:r w:rsidRPr="00FE4CC2">
        <w:rPr>
          <w:rStyle w:val="referencia"/>
          <w:rFonts w:ascii="Calibri" w:hAnsi="Calibri"/>
          <w:szCs w:val="22"/>
        </w:rPr>
        <w:t>biodiversita/ ipbes_3_5_advance.pdf</w:t>
      </w:r>
    </w:p>
    <w:p w14:paraId="4E7567C4" w14:textId="77777777" w:rsidR="006969D3" w:rsidRPr="00FE4CC2" w:rsidRDefault="006969D3" w:rsidP="006969D3">
      <w:pPr>
        <w:autoSpaceDE w:val="0"/>
        <w:autoSpaceDN w:val="0"/>
        <w:adjustRightInd w:val="0"/>
        <w:ind w:left="851" w:hanging="851"/>
        <w:rPr>
          <w:rStyle w:val="referencia"/>
          <w:rFonts w:ascii="Calibri" w:hAnsi="Calibri"/>
          <w:szCs w:val="22"/>
          <w:lang w:val="es-CO"/>
        </w:rPr>
      </w:pPr>
      <w:r w:rsidRPr="00FE4CC2">
        <w:rPr>
          <w:rStyle w:val="referencia"/>
          <w:rFonts w:ascii="Calibri" w:hAnsi="Calibri"/>
          <w:szCs w:val="22"/>
        </w:rPr>
        <w:t>IPCC (2014). Summary for policymakers.</w:t>
      </w:r>
      <w:r w:rsidRPr="00FE4CC2">
        <w:rPr>
          <w:rStyle w:val="referencia"/>
          <w:rFonts w:ascii="Calibri" w:hAnsi="Calibri"/>
          <w:i/>
          <w:szCs w:val="22"/>
        </w:rPr>
        <w:t xml:space="preserve"> </w:t>
      </w:r>
      <w:r w:rsidRPr="00FE4CC2">
        <w:rPr>
          <w:rStyle w:val="referencia"/>
          <w:rFonts w:ascii="Calibri" w:hAnsi="Calibri"/>
          <w:szCs w:val="22"/>
        </w:rPr>
        <w:t>In</w:t>
      </w:r>
      <w:r w:rsidRPr="00FE4CC2">
        <w:rPr>
          <w:rStyle w:val="referencia"/>
          <w:rFonts w:ascii="Calibri" w:hAnsi="Calibri"/>
          <w:i/>
          <w:szCs w:val="22"/>
        </w:rPr>
        <w:t xml:space="preserve"> </w:t>
      </w:r>
      <w:r w:rsidRPr="00FE4CC2">
        <w:rPr>
          <w:rStyle w:val="referencia"/>
          <w:rFonts w:ascii="Calibri" w:hAnsi="Calibri"/>
          <w:szCs w:val="22"/>
        </w:rPr>
        <w:t>C. B.</w:t>
      </w:r>
      <w:r w:rsidRPr="00FE4CC2">
        <w:rPr>
          <w:rStyle w:val="referencia"/>
          <w:rFonts w:ascii="Calibri" w:hAnsi="Calibri"/>
          <w:i/>
          <w:szCs w:val="22"/>
        </w:rPr>
        <w:t xml:space="preserve"> </w:t>
      </w:r>
      <w:r w:rsidRPr="00FE4CC2">
        <w:rPr>
          <w:rStyle w:val="referencia"/>
          <w:rFonts w:ascii="Calibri" w:hAnsi="Calibri"/>
          <w:szCs w:val="22"/>
        </w:rPr>
        <w:t xml:space="preserve">Field, </w:t>
      </w:r>
      <w:r w:rsidRPr="00FE4CC2">
        <w:rPr>
          <w:rFonts w:eastAsiaTheme="minorEastAsia"/>
          <w:szCs w:val="22"/>
          <w:lang w:val="en-GB" w:eastAsia="es-ES"/>
        </w:rPr>
        <w:t xml:space="preserve">V. R. Barros, D. J. Dokken, K. J. Mach, M. D. Mastrandrea, T. E. Bilir, M. Chatterjee, K. L. Ebi, Y. O. Estrada, R. C. Genova, B. Girma, E. S. Kissel, A. N. Levy, S. MacCracken, P. R. Mastrandrea, &amp; L. L. White </w:t>
      </w:r>
      <w:r w:rsidRPr="00FE4CC2">
        <w:rPr>
          <w:rStyle w:val="referencia"/>
          <w:rFonts w:ascii="Calibri" w:hAnsi="Calibri"/>
          <w:szCs w:val="22"/>
        </w:rPr>
        <w:t>(Eds.),</w:t>
      </w:r>
      <w:r w:rsidRPr="00FE4CC2">
        <w:rPr>
          <w:rStyle w:val="referencia"/>
          <w:rFonts w:ascii="Calibri" w:hAnsi="Calibri"/>
          <w:i/>
          <w:szCs w:val="22"/>
        </w:rPr>
        <w:t xml:space="preserve"> Climate Change 2014: Impacts, Adaptation, and Vulnerability. Part A: Global and Sectoral Aspects. Contribution of Working Group II to the Fifth Assessment Report of the Intergovernmental Panel on Climate Change</w:t>
      </w:r>
      <w:r w:rsidRPr="00FE4CC2">
        <w:rPr>
          <w:rStyle w:val="referencia"/>
          <w:rFonts w:ascii="Calibri" w:hAnsi="Calibri"/>
          <w:szCs w:val="22"/>
        </w:rPr>
        <w:t xml:space="preserve"> (pp. 1-32). </w:t>
      </w:r>
      <w:r w:rsidRPr="00FE4CC2">
        <w:rPr>
          <w:rStyle w:val="referencia"/>
          <w:rFonts w:ascii="Calibri" w:hAnsi="Calibri"/>
          <w:szCs w:val="22"/>
          <w:lang w:val="es-CO"/>
        </w:rPr>
        <w:t xml:space="preserve">Cambridge: Cambridge University Press. </w:t>
      </w:r>
    </w:p>
    <w:p w14:paraId="091A9CA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IPEA (2012). </w:t>
      </w:r>
      <w:r w:rsidRPr="00FE4CC2">
        <w:rPr>
          <w:rStyle w:val="referencia"/>
          <w:rFonts w:ascii="Calibri" w:hAnsi="Calibri"/>
          <w:i/>
          <w:szCs w:val="22"/>
          <w:lang w:val="es-CO"/>
        </w:rPr>
        <w:t>Quilombos das Américas: articulação de comunidades afrorrurais : documento síntese</w:t>
      </w:r>
      <w:r w:rsidRPr="00FE4CC2">
        <w:rPr>
          <w:rStyle w:val="referencia"/>
          <w:rFonts w:ascii="Calibri" w:hAnsi="Calibri"/>
          <w:szCs w:val="22"/>
          <w:lang w:val="es-CO"/>
        </w:rPr>
        <w:t xml:space="preserve">. </w:t>
      </w:r>
      <w:r w:rsidRPr="00FE4CC2">
        <w:rPr>
          <w:rStyle w:val="referencia"/>
          <w:rFonts w:ascii="Calibri" w:hAnsi="Calibri"/>
          <w:szCs w:val="22"/>
        </w:rPr>
        <w:t>Brasília:</w:t>
      </w:r>
      <w:r w:rsidRPr="00FE4CC2">
        <w:rPr>
          <w:rStyle w:val="referencia"/>
          <w:rFonts w:ascii="Calibri" w:hAnsi="Calibri"/>
          <w:szCs w:val="22"/>
          <w:lang w:val="en-GB"/>
        </w:rPr>
        <w:t xml:space="preserve"> Instituto de Pesquisas Econôm</w:t>
      </w:r>
      <w:r w:rsidRPr="00FE4CC2">
        <w:rPr>
          <w:rStyle w:val="referencia"/>
          <w:rFonts w:ascii="Calibri" w:hAnsi="Calibri"/>
          <w:szCs w:val="22"/>
        </w:rPr>
        <w:t>icas Aplicadas (pp. 79).</w:t>
      </w:r>
    </w:p>
    <w:p w14:paraId="5CF7787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IUCN (2007). </w:t>
      </w:r>
      <w:r w:rsidRPr="00FE4CC2">
        <w:rPr>
          <w:rStyle w:val="referencia"/>
          <w:rFonts w:ascii="Calibri" w:hAnsi="Calibri"/>
          <w:i/>
          <w:szCs w:val="22"/>
        </w:rPr>
        <w:t>Connectivity conservation: international experience in planning, establishment and management of biodiversity corridors</w:t>
      </w:r>
      <w:r w:rsidRPr="00FE4CC2">
        <w:rPr>
          <w:rStyle w:val="referencia"/>
          <w:rFonts w:ascii="Calibri" w:hAnsi="Calibri"/>
          <w:szCs w:val="22"/>
        </w:rPr>
        <w:t>. Switzerland: WCPA/ International Union for the Conservation of Nature (pp. 19)</w:t>
      </w:r>
    </w:p>
    <w:p w14:paraId="1CD5855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IUCN (2016). </w:t>
      </w:r>
      <w:r w:rsidRPr="00FE4CC2">
        <w:rPr>
          <w:rStyle w:val="referencia"/>
          <w:rFonts w:ascii="Calibri" w:hAnsi="Calibri"/>
          <w:i/>
          <w:szCs w:val="22"/>
        </w:rPr>
        <w:t>A global standard for the identification of Key Biodiversity Areas</w:t>
      </w:r>
      <w:r w:rsidRPr="00FE4CC2">
        <w:rPr>
          <w:rStyle w:val="referencia"/>
          <w:rFonts w:ascii="Calibri" w:hAnsi="Calibri"/>
          <w:szCs w:val="22"/>
        </w:rPr>
        <w:t>. International Union for the Conservation of Nature. Available at https://portals.iucn.org/library/node/46259.</w:t>
      </w:r>
    </w:p>
    <w:p w14:paraId="466903B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Jacobs, K. R., Nicholson, L., Murry, B. A., Maldonado-Román, M., &amp; Gould, W. A. (2016). </w:t>
      </w:r>
      <w:r w:rsidRPr="00FE4CC2">
        <w:rPr>
          <w:rStyle w:val="referencia"/>
          <w:rFonts w:ascii="Calibri" w:hAnsi="Calibri"/>
          <w:szCs w:val="22"/>
        </w:rPr>
        <w:t xml:space="preserve">Boundary organizations as an approach to overcoming science-delivery barriers in landscape conservation: a Caribbean case study. </w:t>
      </w:r>
      <w:r w:rsidRPr="00FE4CC2">
        <w:rPr>
          <w:rStyle w:val="referencia"/>
          <w:rFonts w:ascii="Calibri" w:hAnsi="Calibri"/>
          <w:i/>
          <w:szCs w:val="22"/>
        </w:rPr>
        <w:t>Caribbean Naturalist</w:t>
      </w:r>
      <w:r w:rsidRPr="00FE4CC2">
        <w:rPr>
          <w:rStyle w:val="referencia"/>
          <w:rFonts w:ascii="Calibri" w:hAnsi="Calibri"/>
          <w:szCs w:val="22"/>
        </w:rPr>
        <w:t>, Special Issue No.</w:t>
      </w:r>
      <w:r w:rsidRPr="00FE4CC2">
        <w:rPr>
          <w:rStyle w:val="referencia"/>
          <w:rFonts w:ascii="Calibri" w:hAnsi="Calibri"/>
          <w:i/>
          <w:szCs w:val="22"/>
        </w:rPr>
        <w:t xml:space="preserve"> </w:t>
      </w:r>
      <w:r w:rsidRPr="00FE4CC2">
        <w:rPr>
          <w:rStyle w:val="referencia"/>
          <w:rFonts w:ascii="Calibri" w:hAnsi="Calibri"/>
          <w:szCs w:val="22"/>
        </w:rPr>
        <w:t>1, 87–107.</w:t>
      </w:r>
    </w:p>
    <w:p w14:paraId="45C15F2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Jacobsen, S.-E., Sørensen, M., Pedersen, S. M., &amp; Weiner, J. (2013). Feeding the world: genetically modified crops versus agricultural biodiversity. </w:t>
      </w:r>
      <w:r w:rsidRPr="00FE4CC2">
        <w:rPr>
          <w:rStyle w:val="referencia"/>
          <w:rFonts w:ascii="Calibri" w:hAnsi="Calibri"/>
          <w:i/>
          <w:szCs w:val="22"/>
        </w:rPr>
        <w:t>Agronomy for Sustainable Development</w:t>
      </w:r>
      <w:r w:rsidRPr="00FE4CC2">
        <w:rPr>
          <w:rStyle w:val="referencia"/>
          <w:rFonts w:ascii="Calibri" w:hAnsi="Calibri"/>
          <w:szCs w:val="22"/>
        </w:rPr>
        <w:t>, 33,</w:t>
      </w:r>
      <w:r w:rsidRPr="00FE4CC2">
        <w:rPr>
          <w:rStyle w:val="referencia"/>
          <w:rFonts w:ascii="Calibri" w:hAnsi="Calibri"/>
          <w:i/>
          <w:szCs w:val="22"/>
        </w:rPr>
        <w:t xml:space="preserve"> </w:t>
      </w:r>
      <w:r w:rsidRPr="00FE4CC2">
        <w:rPr>
          <w:rStyle w:val="referencia"/>
          <w:rFonts w:ascii="Calibri" w:hAnsi="Calibri"/>
          <w:szCs w:val="22"/>
        </w:rPr>
        <w:t xml:space="preserve">651. </w:t>
      </w:r>
      <w:r w:rsidRPr="00FE4CC2">
        <w:rPr>
          <w:rStyle w:val="referencia"/>
          <w:rFonts w:ascii="Calibri" w:hAnsi="Calibri"/>
          <w:szCs w:val="22"/>
          <w:lang w:val="en-GB"/>
        </w:rPr>
        <w:t>https://doi.org/</w:t>
      </w:r>
      <w:r w:rsidRPr="00FE4CC2">
        <w:rPr>
          <w:rStyle w:val="referencia"/>
          <w:rFonts w:ascii="Calibri" w:hAnsi="Calibri"/>
          <w:szCs w:val="22"/>
        </w:rPr>
        <w:t>10.1007/s13593-013-0138-9.</w:t>
      </w:r>
    </w:p>
    <w:p w14:paraId="266C077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Jantz, P., Goetz, S. J., &amp; Laporte, N. (2014). </w:t>
      </w:r>
      <w:r w:rsidRPr="00FE4CC2">
        <w:rPr>
          <w:rStyle w:val="referencia"/>
          <w:rFonts w:ascii="Calibri" w:hAnsi="Calibri"/>
          <w:szCs w:val="22"/>
        </w:rPr>
        <w:t xml:space="preserve">Carbon stock corridors to mitigate climate change and promote biodiversity in the tropics. </w:t>
      </w:r>
      <w:r w:rsidRPr="00FE4CC2">
        <w:rPr>
          <w:rStyle w:val="referencia"/>
          <w:rFonts w:ascii="Calibri" w:hAnsi="Calibri"/>
          <w:i/>
          <w:szCs w:val="22"/>
        </w:rPr>
        <w:t>Nature Climate Change</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4, 138–142.</w:t>
      </w:r>
    </w:p>
    <w:p w14:paraId="1966AE0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Jaskoski, M. (2014). Environmental licensing and conflict in Peru’s mining sector: a path-dependent analysis.</w:t>
      </w:r>
      <w:r w:rsidRPr="00FE4CC2">
        <w:rPr>
          <w:rStyle w:val="referencia"/>
          <w:rFonts w:ascii="Calibri" w:hAnsi="Calibri"/>
          <w:i/>
          <w:szCs w:val="22"/>
        </w:rPr>
        <w:t xml:space="preserve"> World Development</w:t>
      </w:r>
      <w:r w:rsidRPr="00FE4CC2">
        <w:rPr>
          <w:rStyle w:val="referencia"/>
          <w:rFonts w:ascii="Calibri" w:hAnsi="Calibri"/>
          <w:szCs w:val="22"/>
        </w:rPr>
        <w:t>, 64, 873–883.</w:t>
      </w:r>
    </w:p>
    <w:p w14:paraId="132F27ED" w14:textId="77777777" w:rsidR="006969D3" w:rsidRPr="00FE4CC2" w:rsidRDefault="006969D3" w:rsidP="006969D3">
      <w:pPr>
        <w:ind w:left="851" w:hanging="851"/>
        <w:contextualSpacing/>
        <w:rPr>
          <w:rStyle w:val="referencia"/>
          <w:rFonts w:ascii="Calibri" w:hAnsi="Calibri"/>
          <w:szCs w:val="22"/>
        </w:rPr>
      </w:pPr>
      <w:r w:rsidRPr="00FE4CC2">
        <w:rPr>
          <w:szCs w:val="22"/>
        </w:rPr>
        <w:t xml:space="preserve">Jenkins, C.N., &amp; Joppa, L. (2009). Expansion of the global terrestrial protected area system. </w:t>
      </w:r>
      <w:r w:rsidRPr="00FE4CC2">
        <w:rPr>
          <w:i/>
          <w:szCs w:val="22"/>
        </w:rPr>
        <w:t>Biological Conservation</w:t>
      </w:r>
      <w:r w:rsidRPr="00FE4CC2">
        <w:rPr>
          <w:szCs w:val="22"/>
        </w:rPr>
        <w:t xml:space="preserve">, 142, 2166–2174.  </w:t>
      </w:r>
    </w:p>
    <w:p w14:paraId="131B595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Jones, N. F., Pejchar, L., &amp; Kiesecker, J. M. (2015). The energy footprint: how oil, natural gas, and wind energy affect land for biodiversity and the flow of ecosystem services. </w:t>
      </w:r>
      <w:r w:rsidRPr="00FE4CC2">
        <w:rPr>
          <w:rStyle w:val="referencia"/>
          <w:rFonts w:ascii="Calibri" w:hAnsi="Calibri"/>
          <w:i/>
          <w:szCs w:val="22"/>
        </w:rPr>
        <w:t>Bioscience</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65, 290-301.</w:t>
      </w:r>
    </w:p>
    <w:p w14:paraId="1B3FE2F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Jørgensen, D. (2015). Ecological restoration as objective, target, and tool in international biodiversity policy.</w:t>
      </w:r>
      <w:r w:rsidRPr="00FE4CC2">
        <w:rPr>
          <w:rStyle w:val="referencia"/>
          <w:rFonts w:ascii="Calibri" w:hAnsi="Calibri"/>
          <w:i/>
          <w:szCs w:val="22"/>
        </w:rPr>
        <w:t xml:space="preserve"> Ecology and Society</w:t>
      </w:r>
      <w:r w:rsidRPr="00FE4CC2">
        <w:rPr>
          <w:rStyle w:val="referencia"/>
          <w:rFonts w:ascii="Calibri" w:hAnsi="Calibri"/>
          <w:szCs w:val="22"/>
        </w:rPr>
        <w:t>, 20(4).</w:t>
      </w:r>
      <w:hyperlink r:id="rId1110" w:history="1">
        <w:r w:rsidRPr="00FE4CC2">
          <w:rPr>
            <w:rStyle w:val="referencia"/>
            <w:rFonts w:ascii="Calibri" w:hAnsi="Calibri"/>
            <w:szCs w:val="22"/>
            <w:lang w:val="en-GB"/>
          </w:rPr>
          <w:t xml:space="preserve"> https://doi.org/</w:t>
        </w:r>
        <w:r w:rsidRPr="00FE4CC2">
          <w:rPr>
            <w:rStyle w:val="referencia"/>
            <w:rFonts w:ascii="Calibri" w:hAnsi="Calibri"/>
            <w:szCs w:val="22"/>
          </w:rPr>
          <w:t>10.5751/ES-08149-200443</w:t>
        </w:r>
      </w:hyperlink>
      <w:r w:rsidRPr="00FE4CC2">
        <w:rPr>
          <w:rStyle w:val="referencia"/>
          <w:rFonts w:ascii="Calibri" w:hAnsi="Calibri"/>
          <w:szCs w:val="22"/>
        </w:rPr>
        <w:t>.</w:t>
      </w:r>
    </w:p>
    <w:p w14:paraId="7CF398B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Jørgensen, D., Nilsson, C., Hof, A. R., Hasselquist, E. M., Baker, S., Chapin III, F. S., Eckerberg, K., Hjältén, J., Polvi, L., &amp; Meyerson, L. A. (2014). Policy language in restoration ecology. </w:t>
      </w:r>
      <w:r w:rsidRPr="00FE4CC2">
        <w:rPr>
          <w:rStyle w:val="referencia"/>
          <w:rFonts w:ascii="Calibri" w:hAnsi="Calibri"/>
          <w:i/>
          <w:szCs w:val="22"/>
        </w:rPr>
        <w:t>Restoration Ecology</w:t>
      </w:r>
      <w:r w:rsidRPr="00FE4CC2">
        <w:rPr>
          <w:rStyle w:val="referencia"/>
          <w:rFonts w:ascii="Calibri" w:hAnsi="Calibri"/>
          <w:szCs w:val="22"/>
        </w:rPr>
        <w:t xml:space="preserve">, 22(1), 1-4.  </w:t>
      </w:r>
    </w:p>
    <w:p w14:paraId="2837778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Joshi, D. K., Hughes, B. B., &amp; Sisk, T. D. (2015). Improving governance for the post-2015 Sustainable Development Goals: scenario forecasting the next 50 years. </w:t>
      </w:r>
      <w:r w:rsidRPr="00FE4CC2">
        <w:rPr>
          <w:rStyle w:val="referencia"/>
          <w:rFonts w:ascii="Calibri" w:hAnsi="Calibri"/>
          <w:i/>
          <w:szCs w:val="22"/>
        </w:rPr>
        <w:t>World Development</w:t>
      </w:r>
      <w:r w:rsidRPr="00FE4CC2">
        <w:rPr>
          <w:rStyle w:val="referencia"/>
          <w:rFonts w:ascii="Calibri" w:hAnsi="Calibri"/>
          <w:szCs w:val="22"/>
        </w:rPr>
        <w:t>, 70, 286-302.</w:t>
      </w:r>
    </w:p>
    <w:p w14:paraId="72F17365" w14:textId="77777777" w:rsidR="006969D3" w:rsidRPr="00FE4CC2" w:rsidRDefault="006969D3" w:rsidP="006969D3">
      <w:pPr>
        <w:ind w:left="851" w:hanging="851"/>
        <w:contextualSpacing/>
        <w:rPr>
          <w:color w:val="131413"/>
          <w:szCs w:val="22"/>
        </w:rPr>
      </w:pPr>
      <w:r w:rsidRPr="00FE4CC2">
        <w:rPr>
          <w:color w:val="131413"/>
          <w:szCs w:val="22"/>
        </w:rPr>
        <w:t xml:space="preserve">Juhola, S., Glaas, E., Linnér, B.-O., &amp; Neset, T.-S. (2016). Redefining maladaptation. </w:t>
      </w:r>
      <w:r w:rsidRPr="00FE4CC2">
        <w:rPr>
          <w:i/>
          <w:color w:val="131413"/>
          <w:szCs w:val="22"/>
        </w:rPr>
        <w:t>Environmental Science and Policy</w:t>
      </w:r>
      <w:r w:rsidRPr="00FE4CC2">
        <w:rPr>
          <w:color w:val="131413"/>
          <w:szCs w:val="22"/>
        </w:rPr>
        <w:t>, 55, 135–140.</w:t>
      </w:r>
    </w:p>
    <w:p w14:paraId="33E4E579" w14:textId="77777777" w:rsidR="006969D3" w:rsidRPr="00FE4CC2" w:rsidRDefault="006969D3" w:rsidP="006969D3">
      <w:pPr>
        <w:ind w:left="851" w:hanging="851"/>
        <w:contextualSpacing/>
        <w:rPr>
          <w:rStyle w:val="referencia"/>
          <w:rFonts w:ascii="Calibri" w:hAnsi="Calibri"/>
          <w:szCs w:val="22"/>
        </w:rPr>
      </w:pPr>
      <w:r w:rsidRPr="00FE4CC2">
        <w:rPr>
          <w:color w:val="131413"/>
          <w:szCs w:val="22"/>
        </w:rPr>
        <w:t xml:space="preserve">Juma, C., &amp; Gordon, K. (2014). Transgenic crops and food security. In </w:t>
      </w:r>
      <w:r w:rsidRPr="00FE4CC2">
        <w:rPr>
          <w:rStyle w:val="referencia"/>
          <w:rFonts w:ascii="Calibri" w:hAnsi="Calibri"/>
          <w:szCs w:val="22"/>
        </w:rPr>
        <w:t xml:space="preserve">A. Ricroch &amp; S. J. Fleischer (Eds.). </w:t>
      </w:r>
      <w:r w:rsidRPr="00FE4CC2">
        <w:rPr>
          <w:i/>
          <w:color w:val="131413"/>
          <w:szCs w:val="22"/>
        </w:rPr>
        <w:t>Plant Biotechnology: Experience and Future Prospects</w:t>
      </w:r>
      <w:r w:rsidRPr="00FE4CC2">
        <w:rPr>
          <w:rStyle w:val="referencia"/>
          <w:rFonts w:ascii="Calibri" w:hAnsi="Calibri"/>
          <w:szCs w:val="22"/>
        </w:rPr>
        <w:t xml:space="preserve"> (pp. 45-58). Switzerland:</w:t>
      </w:r>
      <w:r w:rsidRPr="00FE4CC2">
        <w:rPr>
          <w:rStyle w:val="referencia"/>
          <w:rFonts w:ascii="Calibri" w:hAnsi="Calibri"/>
          <w:szCs w:val="22"/>
          <w:lang w:val="en-GB"/>
        </w:rPr>
        <w:t xml:space="preserve"> </w:t>
      </w:r>
      <w:r w:rsidRPr="00FE4CC2">
        <w:rPr>
          <w:rStyle w:val="referencia"/>
          <w:rFonts w:ascii="Calibri" w:hAnsi="Calibri"/>
          <w:szCs w:val="22"/>
        </w:rPr>
        <w:t>Springer.</w:t>
      </w:r>
    </w:p>
    <w:p w14:paraId="6F442F7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Kalikoski, D. C., Seixas, C. S., &amp; Almudi, T. (2009). </w:t>
      </w:r>
      <w:r w:rsidRPr="00FE4CC2">
        <w:rPr>
          <w:rStyle w:val="referencia"/>
          <w:rFonts w:ascii="Calibri" w:hAnsi="Calibri"/>
          <w:szCs w:val="22"/>
          <w:lang w:val="es-CO"/>
        </w:rPr>
        <w:t xml:space="preserve">Gestão compartilhada e comunitária da pesca no Brasil: Avanços e desafios. </w:t>
      </w:r>
      <w:r w:rsidRPr="00FE4CC2">
        <w:rPr>
          <w:rStyle w:val="referencia"/>
          <w:rFonts w:ascii="Calibri" w:hAnsi="Calibri"/>
          <w:i/>
          <w:szCs w:val="22"/>
        </w:rPr>
        <w:t>Ambiente e Sociedade</w:t>
      </w:r>
      <w:r w:rsidRPr="00FE4CC2">
        <w:rPr>
          <w:rStyle w:val="referencia"/>
          <w:rFonts w:ascii="Calibri" w:hAnsi="Calibri"/>
          <w:szCs w:val="22"/>
        </w:rPr>
        <w:t>, 12(1), 151-172.</w:t>
      </w:r>
    </w:p>
    <w:p w14:paraId="25DEDB2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Kareiva, P., &amp; Levin, S. A. (Eds.) </w:t>
      </w:r>
      <w:r w:rsidRPr="00FE4CC2">
        <w:rPr>
          <w:rStyle w:val="referencia"/>
          <w:rFonts w:ascii="Calibri" w:hAnsi="Calibri"/>
          <w:szCs w:val="22"/>
        </w:rPr>
        <w:t xml:space="preserve">(2003). </w:t>
      </w:r>
      <w:r w:rsidRPr="00FE4CC2">
        <w:rPr>
          <w:rStyle w:val="referencia"/>
          <w:rFonts w:ascii="Calibri" w:hAnsi="Calibri"/>
          <w:i/>
          <w:szCs w:val="22"/>
        </w:rPr>
        <w:t>The Importance of Species: Perspectives on Expendability and Triage</w:t>
      </w:r>
      <w:r w:rsidRPr="00FE4CC2">
        <w:rPr>
          <w:rStyle w:val="referencia"/>
          <w:rFonts w:ascii="Calibri" w:hAnsi="Calibri"/>
          <w:szCs w:val="22"/>
        </w:rPr>
        <w:t xml:space="preserve">. Princeton, US, and Oxford, UK: Princeton University Press. </w:t>
      </w:r>
    </w:p>
    <w:p w14:paraId="71893942" w14:textId="77777777" w:rsidR="006969D3" w:rsidRPr="00FE4CC2" w:rsidRDefault="006969D3" w:rsidP="006969D3">
      <w:pPr>
        <w:autoSpaceDE w:val="0"/>
        <w:autoSpaceDN w:val="0"/>
        <w:adjustRightInd w:val="0"/>
        <w:ind w:left="851" w:hanging="851"/>
        <w:contextualSpacing/>
        <w:rPr>
          <w:rStyle w:val="referencia"/>
          <w:rFonts w:ascii="Calibri" w:hAnsi="Calibri"/>
          <w:szCs w:val="22"/>
        </w:rPr>
      </w:pPr>
      <w:r w:rsidRPr="00FE4CC2">
        <w:rPr>
          <w:rStyle w:val="referencia"/>
          <w:rFonts w:ascii="Calibri" w:hAnsi="Calibri"/>
          <w:szCs w:val="22"/>
          <w:lang w:val="en-GB"/>
        </w:rPr>
        <w:t xml:space="preserve">Kasecker, T. P., Ramos-Neto, M. B., Silva, J. M. C. da, &amp; Scarano, F. R. (2017). </w:t>
      </w:r>
      <w:r w:rsidRPr="00FE4CC2">
        <w:rPr>
          <w:color w:val="131413"/>
          <w:szCs w:val="22"/>
        </w:rPr>
        <w:t xml:space="preserve">Ecosystem-based adaptation to climate change: defining hotspot municipalities for policy design and implementation in Brazil. </w:t>
      </w:r>
      <w:r w:rsidRPr="00FE4CC2">
        <w:rPr>
          <w:i/>
          <w:color w:val="131413"/>
          <w:szCs w:val="22"/>
        </w:rPr>
        <w:t>Mitigation and Adaptation Strategies to Global Change</w:t>
      </w:r>
      <w:r w:rsidRPr="00FE4CC2">
        <w:rPr>
          <w:color w:val="131413"/>
          <w:szCs w:val="22"/>
        </w:rPr>
        <w:t xml:space="preserve"> </w:t>
      </w:r>
      <w:r w:rsidRPr="00FE4CC2">
        <w:rPr>
          <w:rStyle w:val="referencia"/>
          <w:rFonts w:ascii="Calibri" w:hAnsi="Calibri"/>
          <w:szCs w:val="22"/>
          <w:lang w:val="en-GB"/>
        </w:rPr>
        <w:t>https://doi.org/</w:t>
      </w:r>
      <w:r w:rsidRPr="00FE4CC2">
        <w:rPr>
          <w:color w:val="131413"/>
          <w:szCs w:val="22"/>
        </w:rPr>
        <w:t>10.1007/s11027-017-9768-6.</w:t>
      </w:r>
    </w:p>
    <w:p w14:paraId="386682A0" w14:textId="77777777" w:rsidR="006969D3" w:rsidRPr="00FE4CC2" w:rsidRDefault="00E84199" w:rsidP="006969D3">
      <w:pPr>
        <w:ind w:left="851" w:hanging="851"/>
        <w:contextualSpacing/>
        <w:rPr>
          <w:rStyle w:val="referencia"/>
          <w:rFonts w:ascii="Calibri" w:hAnsi="Calibri"/>
          <w:szCs w:val="22"/>
        </w:rPr>
      </w:pPr>
      <w:hyperlink r:id="rId1111" w:history="1">
        <w:r w:rsidR="006969D3" w:rsidRPr="00FE4CC2">
          <w:rPr>
            <w:rStyle w:val="referencia"/>
            <w:rFonts w:ascii="Calibri" w:hAnsi="Calibri"/>
            <w:szCs w:val="22"/>
          </w:rPr>
          <w:t>Kauffman</w:t>
        </w:r>
      </w:hyperlink>
      <w:r w:rsidR="006969D3" w:rsidRPr="00FE4CC2">
        <w:rPr>
          <w:rStyle w:val="referencia"/>
          <w:rFonts w:ascii="Calibri" w:hAnsi="Calibri"/>
          <w:szCs w:val="22"/>
        </w:rPr>
        <w:t xml:space="preserve">, C. M., &amp; </w:t>
      </w:r>
      <w:hyperlink r:id="rId1112" w:history="1">
        <w:r w:rsidR="006969D3" w:rsidRPr="00FE4CC2">
          <w:rPr>
            <w:rStyle w:val="referencia"/>
            <w:rFonts w:ascii="Calibri" w:hAnsi="Calibri"/>
            <w:szCs w:val="22"/>
          </w:rPr>
          <w:t xml:space="preserve"> Martin</w:t>
        </w:r>
      </w:hyperlink>
      <w:r w:rsidR="006969D3" w:rsidRPr="00FE4CC2">
        <w:rPr>
          <w:rStyle w:val="referencia"/>
          <w:rFonts w:ascii="Calibri" w:hAnsi="Calibri"/>
          <w:szCs w:val="22"/>
        </w:rPr>
        <w:t>,</w:t>
      </w:r>
      <w:r w:rsidR="006969D3" w:rsidRPr="00FE4CC2">
        <w:rPr>
          <w:szCs w:val="22"/>
        </w:rPr>
        <w:t xml:space="preserve"> </w:t>
      </w:r>
      <w:r w:rsidR="006969D3" w:rsidRPr="00FE4CC2">
        <w:rPr>
          <w:rStyle w:val="referencia"/>
          <w:rFonts w:ascii="Calibri" w:hAnsi="Calibri"/>
          <w:szCs w:val="22"/>
        </w:rPr>
        <w:t>P. L. (2014). Scaling up Buen Vivir: globalizing local environmental governance from Ecuador. </w:t>
      </w:r>
      <w:hyperlink r:id="rId1113" w:history="1">
        <w:r w:rsidR="006969D3" w:rsidRPr="00FE4CC2">
          <w:rPr>
            <w:rStyle w:val="referencia"/>
            <w:rFonts w:ascii="Calibri" w:hAnsi="Calibri"/>
            <w:i/>
            <w:szCs w:val="22"/>
          </w:rPr>
          <w:t>Global Environmental Politics</w:t>
        </w:r>
      </w:hyperlink>
      <w:r w:rsidR="006969D3" w:rsidRPr="00FE4CC2">
        <w:rPr>
          <w:rStyle w:val="referencia"/>
          <w:rFonts w:ascii="Calibri" w:hAnsi="Calibri"/>
          <w:szCs w:val="22"/>
        </w:rPr>
        <w:t>,</w:t>
      </w:r>
      <w:hyperlink r:id="rId1114" w:history="1">
        <w:r w:rsidR="006969D3" w:rsidRPr="00FE4CC2">
          <w:rPr>
            <w:rStyle w:val="referencia"/>
            <w:rFonts w:ascii="Calibri" w:hAnsi="Calibri"/>
            <w:i/>
            <w:szCs w:val="22"/>
          </w:rPr>
          <w:t xml:space="preserve"> </w:t>
        </w:r>
        <w:r w:rsidR="006969D3" w:rsidRPr="00FE4CC2">
          <w:rPr>
            <w:rStyle w:val="referencia"/>
            <w:rFonts w:ascii="Calibri" w:hAnsi="Calibri"/>
            <w:szCs w:val="22"/>
          </w:rPr>
          <w:t>14(1),</w:t>
        </w:r>
        <w:r w:rsidR="006969D3" w:rsidRPr="00FE4CC2">
          <w:rPr>
            <w:rStyle w:val="referencia"/>
            <w:rFonts w:ascii="Calibri" w:hAnsi="Calibri"/>
            <w:i/>
            <w:szCs w:val="22"/>
          </w:rPr>
          <w:t xml:space="preserve"> </w:t>
        </w:r>
      </w:hyperlink>
      <w:r w:rsidR="006969D3" w:rsidRPr="00FE4CC2">
        <w:rPr>
          <w:rStyle w:val="referencia"/>
          <w:rFonts w:ascii="Calibri" w:hAnsi="Calibri"/>
          <w:szCs w:val="22"/>
        </w:rPr>
        <w:t>40-58.</w:t>
      </w:r>
    </w:p>
    <w:p w14:paraId="4FAE127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Kaufmann, D. (2015). Corruption matters. </w:t>
      </w:r>
      <w:r w:rsidRPr="00FE4CC2">
        <w:rPr>
          <w:rStyle w:val="referencia"/>
          <w:rFonts w:ascii="Calibri" w:hAnsi="Calibri"/>
          <w:i/>
          <w:szCs w:val="22"/>
        </w:rPr>
        <w:t>Finance &amp; Development</w:t>
      </w:r>
      <w:r w:rsidRPr="00FE4CC2">
        <w:rPr>
          <w:rStyle w:val="referencia"/>
          <w:rFonts w:ascii="Calibri" w:hAnsi="Calibri"/>
          <w:szCs w:val="22"/>
        </w:rPr>
        <w:t xml:space="preserve">, 52(3), 20-23. </w:t>
      </w:r>
    </w:p>
    <w:p w14:paraId="640706A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Kearney, J., Berkes, F., Charles, A., Pinkerton, E., &amp; Wiber, M. (2007). The role of participatory governance and community-based management in integrated coastal and ocean management in Canada. </w:t>
      </w:r>
      <w:r w:rsidRPr="00FE4CC2">
        <w:rPr>
          <w:rStyle w:val="referencia"/>
          <w:rFonts w:ascii="Calibri" w:hAnsi="Calibri"/>
          <w:i/>
          <w:szCs w:val="22"/>
        </w:rPr>
        <w:t>Coastal Management</w:t>
      </w:r>
      <w:r w:rsidRPr="00FE4CC2">
        <w:rPr>
          <w:rStyle w:val="referencia"/>
          <w:rFonts w:ascii="Calibri" w:hAnsi="Calibri"/>
          <w:szCs w:val="22"/>
        </w:rPr>
        <w:t>, 35, 79-104.</w:t>
      </w:r>
    </w:p>
    <w:p w14:paraId="7C96B03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Keith, D. A., Rodríguez, J. P., Brooks, T. M., Burgman, M. A., Barrow, E. G., Bland, L., Comer, P. J., Franklin, J., Link, J., McCarthy, M. A., Miller, R. M., Murray, N. J., Nel, J., Nicholson, E., Oliveira-Miranda, M. A., Regan, T. J., Rodríguez-Clark, K. M., Rouget, M., &amp; Spalding, M. D. (2015). The IUCN Red List of Ecosystems: motivations, challenges, and applications. </w:t>
      </w:r>
      <w:r w:rsidRPr="00FE4CC2">
        <w:rPr>
          <w:rStyle w:val="referencia"/>
          <w:rFonts w:ascii="Calibri" w:hAnsi="Calibri"/>
          <w:i/>
          <w:szCs w:val="22"/>
        </w:rPr>
        <w:t>Conservation Letters</w:t>
      </w:r>
      <w:r w:rsidRPr="00FE4CC2">
        <w:rPr>
          <w:rStyle w:val="referencia"/>
          <w:rFonts w:ascii="Calibri" w:hAnsi="Calibri"/>
          <w:szCs w:val="22"/>
        </w:rPr>
        <w:t>, 8(3), 214–226.</w:t>
      </w:r>
    </w:p>
    <w:p w14:paraId="3BF4459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Kellert, S. R., Mehta, J. N., Ebbin, S. A., &amp; Lichtenfeld, L. L. (2000). Community natural resources management: Promise, rhetoric, and reality. </w:t>
      </w:r>
      <w:r w:rsidRPr="00FE4CC2">
        <w:rPr>
          <w:rStyle w:val="referencia"/>
          <w:rFonts w:ascii="Calibri" w:hAnsi="Calibri"/>
          <w:i/>
          <w:szCs w:val="22"/>
        </w:rPr>
        <w:t>Society and Natural Resources</w:t>
      </w:r>
      <w:r w:rsidRPr="00FE4CC2">
        <w:rPr>
          <w:rStyle w:val="referencia"/>
          <w:rFonts w:ascii="Calibri" w:hAnsi="Calibri"/>
          <w:szCs w:val="22"/>
        </w:rPr>
        <w:t>, 13, 705-715.</w:t>
      </w:r>
    </w:p>
    <w:p w14:paraId="251E907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Kennicutt, M. C. II, Chown, S. L., Cassano, J. J., Liggett, D., Massom, R., Peck, L. S., Rintoul, S. R., Storey, J. W. V., Vaughan, D. G., Wilson, T. J., &amp; Sutherland, W. J. (2014). Six priorities for Antarctic science. </w:t>
      </w:r>
      <w:r w:rsidRPr="00FE4CC2">
        <w:rPr>
          <w:rStyle w:val="referencia"/>
          <w:rFonts w:ascii="Calibri" w:hAnsi="Calibri"/>
          <w:i/>
          <w:szCs w:val="22"/>
        </w:rPr>
        <w:t>Nature</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512, 23-25.</w:t>
      </w:r>
    </w:p>
    <w:p w14:paraId="2099F510" w14:textId="77777777" w:rsidR="006969D3" w:rsidRPr="00FE4CC2" w:rsidRDefault="006969D3" w:rsidP="006969D3">
      <w:pPr>
        <w:autoSpaceDE w:val="0"/>
        <w:autoSpaceDN w:val="0"/>
        <w:adjustRightInd w:val="0"/>
        <w:ind w:left="851" w:hanging="851"/>
        <w:contextualSpacing/>
        <w:rPr>
          <w:rStyle w:val="referencia"/>
          <w:rFonts w:ascii="Calibri" w:hAnsi="Calibri"/>
          <w:szCs w:val="22"/>
        </w:rPr>
      </w:pPr>
      <w:r w:rsidRPr="00FE4CC2">
        <w:rPr>
          <w:szCs w:val="22"/>
        </w:rPr>
        <w:t xml:space="preserve">Khoury, C. K., Achicanoy, H. A., Bjorkman, A. D., Navarro-Racines, C., Guarino, L., Flores-Palacios, X., Engels, J. M. M., Wiersema, J. H., Dempewolf, H., Sotelo, S., Ramírez-Villegas, J., Castañeda-Álvarez, N. P., Fowler, C., Jarvis, A., Rieseberg, L. H., &amp; Struik, P. C. (2016). Origins of food crops connect countries worldwide. </w:t>
      </w:r>
      <w:r w:rsidRPr="00FE4CC2">
        <w:rPr>
          <w:i/>
          <w:szCs w:val="22"/>
        </w:rPr>
        <w:t>Proceedings of the Royal Society B</w:t>
      </w:r>
      <w:r w:rsidRPr="00FE4CC2">
        <w:rPr>
          <w:szCs w:val="22"/>
        </w:rPr>
        <w:t>,</w:t>
      </w:r>
      <w:r w:rsidRPr="00FE4CC2">
        <w:rPr>
          <w:i/>
          <w:szCs w:val="22"/>
        </w:rPr>
        <w:t xml:space="preserve"> </w:t>
      </w:r>
      <w:r w:rsidRPr="00FE4CC2">
        <w:rPr>
          <w:szCs w:val="22"/>
        </w:rPr>
        <w:t>283, 20160792.</w:t>
      </w:r>
    </w:p>
    <w:p w14:paraId="4D5B1EA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Klak, T., (2007). Sustainable ecotourism development in Central America and the Caribbean: review of debates and conceptual reformulation</w:t>
      </w:r>
      <w:r w:rsidRPr="00FE4CC2">
        <w:rPr>
          <w:rStyle w:val="referencia"/>
          <w:rFonts w:ascii="Calibri" w:hAnsi="Calibri"/>
          <w:i/>
          <w:szCs w:val="22"/>
        </w:rPr>
        <w:t>. Geography Compass</w:t>
      </w:r>
      <w:r w:rsidRPr="00FE4CC2">
        <w:rPr>
          <w:rStyle w:val="referencia"/>
          <w:rFonts w:ascii="Calibri" w:hAnsi="Calibri"/>
          <w:szCs w:val="22"/>
        </w:rPr>
        <w:t>, 1/5, 1037–1057.</w:t>
      </w:r>
    </w:p>
    <w:p w14:paraId="3BB3130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Klimas, C. A., Kainer, K. A., &amp; Wadt, L. H. d. O. (2012). The economic value of sustainable seed and timber harvests of multi-use species: an example using </w:t>
      </w:r>
      <w:r w:rsidRPr="00FE4CC2">
        <w:rPr>
          <w:rStyle w:val="referencia"/>
          <w:rFonts w:ascii="Calibri" w:hAnsi="Calibri"/>
          <w:i/>
          <w:szCs w:val="22"/>
        </w:rPr>
        <w:t>Carapa guianensis</w:t>
      </w:r>
      <w:r w:rsidRPr="00FE4CC2">
        <w:rPr>
          <w:rStyle w:val="referencia"/>
          <w:rFonts w:ascii="Calibri" w:hAnsi="Calibri"/>
          <w:szCs w:val="22"/>
        </w:rPr>
        <w:t xml:space="preserve">. </w:t>
      </w:r>
      <w:r w:rsidRPr="00FE4CC2">
        <w:rPr>
          <w:rStyle w:val="referencia"/>
          <w:rFonts w:ascii="Calibri" w:hAnsi="Calibri"/>
          <w:i/>
          <w:szCs w:val="22"/>
        </w:rPr>
        <w:t>Forest Ecology and Management</w:t>
      </w:r>
      <w:r w:rsidRPr="00FE4CC2">
        <w:rPr>
          <w:rStyle w:val="referencia"/>
          <w:rFonts w:ascii="Calibri" w:hAnsi="Calibri"/>
          <w:szCs w:val="22"/>
        </w:rPr>
        <w:t>, 268, 81-91.</w:t>
      </w:r>
    </w:p>
    <w:p w14:paraId="5FEED0A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Knowles, J. E., Doyle, E., Schill, S. R., Roth, L. M., Milam, A., &amp; Raber, G. T. (2016). Establishing a marine conservation baseline for the insular Caribbean. </w:t>
      </w:r>
      <w:r w:rsidRPr="00FE4CC2">
        <w:rPr>
          <w:rStyle w:val="referencia"/>
          <w:rFonts w:ascii="Calibri" w:hAnsi="Calibri"/>
          <w:i/>
          <w:szCs w:val="22"/>
        </w:rPr>
        <w:t>Marine Policy</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 xml:space="preserve">60, 84-97. </w:t>
      </w:r>
    </w:p>
    <w:p w14:paraId="67C6BAC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Kostyack, J., Lawler, J. J., Goble, D. D., Olden, J. D., &amp; Scott, J. M. (2011). Beyond reserves and corridors: policy solutions to facilitate the movement of plants and animals in a changing climate. </w:t>
      </w:r>
      <w:r w:rsidRPr="00FE4CC2">
        <w:rPr>
          <w:rStyle w:val="referencia"/>
          <w:rFonts w:ascii="Calibri" w:hAnsi="Calibri"/>
          <w:i/>
          <w:szCs w:val="22"/>
        </w:rPr>
        <w:t>Bioscience</w:t>
      </w:r>
      <w:r w:rsidRPr="00FE4CC2">
        <w:rPr>
          <w:rStyle w:val="referencia"/>
          <w:rFonts w:ascii="Calibri" w:hAnsi="Calibri"/>
          <w:szCs w:val="22"/>
        </w:rPr>
        <w:t>, 61, 713-719.</w:t>
      </w:r>
    </w:p>
    <w:p w14:paraId="4DF95683" w14:textId="77777777" w:rsidR="006969D3" w:rsidRPr="00FE4CC2" w:rsidRDefault="006969D3" w:rsidP="006969D3">
      <w:pPr>
        <w:autoSpaceDE w:val="0"/>
        <w:autoSpaceDN w:val="0"/>
        <w:adjustRightInd w:val="0"/>
        <w:ind w:left="851" w:hanging="851"/>
        <w:contextualSpacing/>
        <w:rPr>
          <w:szCs w:val="22"/>
          <w:lang w:val="es-CO"/>
        </w:rPr>
      </w:pPr>
      <w:r w:rsidRPr="00FE4CC2">
        <w:rPr>
          <w:szCs w:val="22"/>
          <w:lang w:val="en-GB"/>
        </w:rPr>
        <w:t xml:space="preserve">Kothari, A., DeMaria, F., &amp; Acosta, A. (2014). </w:t>
      </w:r>
      <w:r w:rsidRPr="00FE4CC2">
        <w:rPr>
          <w:szCs w:val="22"/>
        </w:rPr>
        <w:t xml:space="preserve">Buen vivir, degrowth and ecological swaraj: Alternatives to sustainable development and the green economy. </w:t>
      </w:r>
      <w:r w:rsidRPr="00FE4CC2">
        <w:rPr>
          <w:i/>
          <w:szCs w:val="22"/>
          <w:lang w:val="es-CO"/>
        </w:rPr>
        <w:t>Development</w:t>
      </w:r>
      <w:r w:rsidRPr="00FE4CC2">
        <w:rPr>
          <w:szCs w:val="22"/>
          <w:lang w:val="es-CO"/>
        </w:rPr>
        <w:t>, 57(3–4), 362–375.</w:t>
      </w:r>
    </w:p>
    <w:p w14:paraId="7178CC15"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Koury, C. G., &amp; Guimarães, E. R. (2012). </w:t>
      </w:r>
      <w:r w:rsidRPr="00FE4CC2">
        <w:rPr>
          <w:rStyle w:val="referencia"/>
          <w:rFonts w:ascii="Calibri" w:hAnsi="Calibri"/>
          <w:i/>
          <w:szCs w:val="22"/>
          <w:lang w:val="es-CO"/>
        </w:rPr>
        <w:t>O Desafio da Gestão Participativa, Oportunidades: A Experiência na RDS Uatumã.</w:t>
      </w:r>
      <w:r w:rsidRPr="00FE4CC2">
        <w:rPr>
          <w:rStyle w:val="referencia"/>
          <w:rFonts w:ascii="Calibri" w:hAnsi="Calibri"/>
          <w:szCs w:val="22"/>
          <w:lang w:val="es-CO"/>
        </w:rPr>
        <w:t xml:space="preserve"> Série Integração, Transformação e Desenvolvimento: Áreas Protegidas e Biodiversidade. Rio de Janeiro: Fundo Vale para o Desenvolvimento Sustentável. </w:t>
      </w:r>
    </w:p>
    <w:p w14:paraId="423A426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KPMG (2013): </w:t>
      </w:r>
      <w:r w:rsidRPr="00FE4CC2">
        <w:rPr>
          <w:rStyle w:val="referencia"/>
          <w:rFonts w:ascii="Calibri" w:hAnsi="Calibri"/>
          <w:i/>
          <w:szCs w:val="22"/>
          <w:lang w:val="en-GB"/>
        </w:rPr>
        <w:t xml:space="preserve">The KPMG Survey of Corporate Responsibility Reporting 2013. </w:t>
      </w:r>
      <w:r w:rsidRPr="00FE4CC2">
        <w:rPr>
          <w:rStyle w:val="referencia"/>
          <w:rFonts w:ascii="Calibri" w:hAnsi="Calibri"/>
          <w:szCs w:val="22"/>
        </w:rPr>
        <w:t xml:space="preserve">KPMG International Cooperative. </w:t>
      </w:r>
    </w:p>
    <w:p w14:paraId="50135917" w14:textId="77777777" w:rsidR="006969D3" w:rsidRPr="00FE4CC2" w:rsidRDefault="006969D3" w:rsidP="006969D3">
      <w:pPr>
        <w:widowControl w:val="0"/>
        <w:autoSpaceDE w:val="0"/>
        <w:autoSpaceDN w:val="0"/>
        <w:adjustRightInd w:val="0"/>
        <w:ind w:left="851" w:hanging="851"/>
        <w:contextualSpacing/>
        <w:rPr>
          <w:noProof/>
          <w:szCs w:val="22"/>
        </w:rPr>
      </w:pPr>
      <w:r w:rsidRPr="00FE4CC2">
        <w:rPr>
          <w:noProof/>
          <w:szCs w:val="22"/>
        </w:rPr>
        <w:t xml:space="preserve">KPMG (2015). </w:t>
      </w:r>
      <w:r w:rsidRPr="00FE4CC2">
        <w:rPr>
          <w:iCs/>
          <w:noProof/>
          <w:szCs w:val="22"/>
        </w:rPr>
        <w:t>T</w:t>
      </w:r>
      <w:r w:rsidRPr="00FE4CC2">
        <w:rPr>
          <w:i/>
          <w:iCs/>
          <w:noProof/>
          <w:szCs w:val="22"/>
        </w:rPr>
        <w:t>he KPMG Survey of Corporate Responsibility Reporting 2015</w:t>
      </w:r>
      <w:r w:rsidRPr="00FE4CC2">
        <w:rPr>
          <w:i/>
          <w:noProof/>
          <w:szCs w:val="22"/>
        </w:rPr>
        <w:t xml:space="preserve">. International Cooperative. </w:t>
      </w:r>
      <w:r w:rsidRPr="00FE4CC2">
        <w:rPr>
          <w:noProof/>
          <w:szCs w:val="22"/>
        </w:rPr>
        <w:t xml:space="preserve">The Netherlands: Haymarket Network Ltd.. Available at: </w:t>
      </w:r>
      <w:hyperlink r:id="rId1115" w:history="1">
        <w:r w:rsidRPr="00FE4CC2">
          <w:rPr>
            <w:rStyle w:val="Hyperlink"/>
            <w:noProof/>
            <w:szCs w:val="22"/>
          </w:rPr>
          <w:t>https://assets.kpmg.com/</w:t>
        </w:r>
      </w:hyperlink>
      <w:r w:rsidRPr="00FE4CC2">
        <w:rPr>
          <w:noProof/>
          <w:szCs w:val="22"/>
        </w:rPr>
        <w:t xml:space="preserve"> content/dam/kpmg/pdf/2016/02/kpmg-international-survey-of-corporate-responsibility-reporting-2015.pdf</w:t>
      </w:r>
    </w:p>
    <w:p w14:paraId="114DAD1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Krüger, O. (2005). The role of ecotourism in conservation: panacea or Pandora’s box?</w:t>
      </w:r>
      <w:r w:rsidRPr="00FE4CC2">
        <w:rPr>
          <w:rStyle w:val="referencia"/>
          <w:rFonts w:ascii="Calibri" w:hAnsi="Calibri"/>
          <w:i/>
          <w:szCs w:val="22"/>
        </w:rPr>
        <w:t xml:space="preserve"> Biodiversity and Conservation</w:t>
      </w:r>
      <w:r w:rsidRPr="00FE4CC2">
        <w:rPr>
          <w:rStyle w:val="referencia"/>
          <w:rFonts w:ascii="Calibri" w:hAnsi="Calibri"/>
          <w:szCs w:val="22"/>
        </w:rPr>
        <w:t>, 14, 579–600.</w:t>
      </w:r>
    </w:p>
    <w:p w14:paraId="6BF6D84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Kumar, P., Brondizio, E., Gatzweiler, F., Gowdy, J., de Groot, D., Pascual, U., Reyers, B., &amp; Sukhdev, P. (2013): The economics of ecosystem services: from local analysis to national policies. </w:t>
      </w:r>
      <w:r w:rsidRPr="00FE4CC2">
        <w:rPr>
          <w:rStyle w:val="referencia"/>
          <w:rFonts w:ascii="Calibri" w:hAnsi="Calibri"/>
          <w:i/>
          <w:szCs w:val="22"/>
        </w:rPr>
        <w:t>Current Opinion in Environmental Sustainability</w:t>
      </w:r>
      <w:r w:rsidRPr="00FE4CC2">
        <w:rPr>
          <w:rStyle w:val="referencia"/>
          <w:rFonts w:ascii="Calibri" w:hAnsi="Calibri"/>
          <w:szCs w:val="22"/>
        </w:rPr>
        <w:t xml:space="preserve">, 5, 78-86. </w:t>
      </w:r>
    </w:p>
    <w:p w14:paraId="77D3CBBE"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Lago Candeira, A., and Silvestri, L. (2013). </w:t>
      </w:r>
      <w:r w:rsidRPr="00FE4CC2">
        <w:rPr>
          <w:rStyle w:val="referencia"/>
          <w:rFonts w:ascii="Calibri" w:hAnsi="Calibri"/>
          <w:i/>
          <w:szCs w:val="22"/>
          <w:lang w:val="es-CO"/>
        </w:rPr>
        <w:t>Análisis del Marco Legal de Panamá para la Implementación del Protocolo de Nagoya</w:t>
      </w:r>
      <w:r w:rsidRPr="00FE4CC2">
        <w:rPr>
          <w:rStyle w:val="referencia"/>
          <w:rFonts w:ascii="Calibri" w:hAnsi="Calibri"/>
          <w:szCs w:val="22"/>
          <w:lang w:val="es-CO"/>
        </w:rPr>
        <w:t xml:space="preserve">. Informe Proyecto Regional PNUMA/GEF ABS LAC. Madrid, España: Cátedra UNESCO de Territorio y Medio Ambiente </w:t>
      </w:r>
      <w:r w:rsidRPr="00FE4CC2">
        <w:rPr>
          <w:rStyle w:val="referencia"/>
          <w:rFonts w:ascii="Calibri" w:hAnsi="Calibri"/>
          <w:szCs w:val="22"/>
          <w:lang w:val="pt-BR"/>
        </w:rPr>
        <w:t>(pp. 51).</w:t>
      </w:r>
    </w:p>
    <w:p w14:paraId="133C41D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Lambin, E. F., Meyfroidt, P., Rueda, X., Blackman, A., Börner, J., Cerutti, P. O., Dietsch, T., Jungmann, L., Lamarque, P., Lister, J., Walker, N. F., &amp; Wunder, S. (2014). Effectiveness and synergies of policy instruments for land use governance in tropical regions. </w:t>
      </w:r>
      <w:r w:rsidRPr="00FE4CC2">
        <w:rPr>
          <w:rStyle w:val="referencia"/>
          <w:rFonts w:ascii="Calibri" w:hAnsi="Calibri"/>
          <w:i/>
          <w:szCs w:val="22"/>
        </w:rPr>
        <w:t>Global Environmental Change</w:t>
      </w:r>
      <w:r w:rsidRPr="00FE4CC2">
        <w:rPr>
          <w:rStyle w:val="referencia"/>
          <w:rFonts w:ascii="Calibri" w:hAnsi="Calibri"/>
          <w:szCs w:val="22"/>
        </w:rPr>
        <w:t xml:space="preserve">, 28, 129–140. </w:t>
      </w:r>
    </w:p>
    <w:p w14:paraId="09B5CA44" w14:textId="77777777" w:rsidR="006969D3" w:rsidRPr="00FE4CC2" w:rsidRDefault="006969D3" w:rsidP="006969D3">
      <w:pPr>
        <w:ind w:left="851" w:hanging="851"/>
        <w:contextualSpacing/>
        <w:rPr>
          <w:rFonts w:eastAsia="AdvP6975"/>
          <w:color w:val="231F20"/>
          <w:szCs w:val="22"/>
        </w:rPr>
      </w:pPr>
      <w:r w:rsidRPr="00FE4CC2">
        <w:rPr>
          <w:rFonts w:eastAsia="AdvP6975"/>
          <w:color w:val="231F20"/>
          <w:szCs w:val="22"/>
        </w:rPr>
        <w:t>Lange, W., Pirzer, C., D</w:t>
      </w:r>
      <w:r w:rsidRPr="00FE4CC2">
        <w:rPr>
          <w:rFonts w:eastAsia="AdvP6F01"/>
          <w:color w:val="231F20"/>
          <w:szCs w:val="22"/>
        </w:rPr>
        <w:t>ü</w:t>
      </w:r>
      <w:r w:rsidRPr="00FE4CC2">
        <w:rPr>
          <w:rFonts w:eastAsia="AdvP6975"/>
          <w:color w:val="231F20"/>
          <w:szCs w:val="22"/>
        </w:rPr>
        <w:t xml:space="preserve">now, L., &amp; Schelchen, A. (2016). </w:t>
      </w:r>
      <w:r w:rsidRPr="00FE4CC2">
        <w:rPr>
          <w:rFonts w:eastAsia="AdvP6F01"/>
          <w:color w:val="231F20"/>
          <w:szCs w:val="22"/>
        </w:rPr>
        <w:t xml:space="preserve">Risk perception for participatory ecosystem-based adaptation to climate change in the Mata Atlântica of Rio de Janeiro State, Brazil. </w:t>
      </w:r>
      <w:r w:rsidRPr="00FE4CC2">
        <w:rPr>
          <w:rFonts w:eastAsia="AdvP6F01"/>
          <w:color w:val="231F20"/>
          <w:szCs w:val="22"/>
          <w:lang w:val="de-DE"/>
        </w:rPr>
        <w:t xml:space="preserve">In </w:t>
      </w:r>
      <w:r w:rsidRPr="00FE4CC2">
        <w:rPr>
          <w:rFonts w:eastAsia="AdvP6975"/>
          <w:color w:val="231F20"/>
          <w:szCs w:val="22"/>
          <w:lang w:val="de-DE"/>
        </w:rPr>
        <w:t>F. G. Renaud, K. Sudmeier-Rieux, M. Estrella, &amp; U. Nehren</w:t>
      </w:r>
      <w:r w:rsidRPr="00FE4CC2">
        <w:rPr>
          <w:rStyle w:val="referencia"/>
          <w:rFonts w:ascii="Calibri" w:hAnsi="Calibri"/>
          <w:szCs w:val="22"/>
          <w:lang w:val="de-DE"/>
        </w:rPr>
        <w:t xml:space="preserve"> </w:t>
      </w:r>
      <w:r w:rsidRPr="00FE4CC2">
        <w:rPr>
          <w:rStyle w:val="referencia"/>
          <w:rFonts w:ascii="Calibri" w:hAnsi="Calibri"/>
          <w:szCs w:val="22"/>
        </w:rPr>
        <w:t>(Eds.), </w:t>
      </w:r>
      <w:r w:rsidRPr="00FE4CC2">
        <w:rPr>
          <w:rStyle w:val="referencia"/>
          <w:rFonts w:ascii="Calibri" w:hAnsi="Calibri"/>
          <w:i/>
          <w:szCs w:val="22"/>
        </w:rPr>
        <w:t>Ecosystem-based disaster risk reduction and adaptation in practice</w:t>
      </w:r>
      <w:r w:rsidRPr="00FE4CC2">
        <w:rPr>
          <w:rStyle w:val="referencia"/>
          <w:rFonts w:ascii="Calibri" w:hAnsi="Calibri"/>
          <w:szCs w:val="22"/>
        </w:rPr>
        <w:t xml:space="preserve"> (pp. 483-506).</w:t>
      </w:r>
      <w:r w:rsidRPr="00FE4CC2">
        <w:rPr>
          <w:rFonts w:eastAsia="AdvP6F01"/>
          <w:color w:val="231F20"/>
          <w:szCs w:val="22"/>
        </w:rPr>
        <w:t xml:space="preserve"> </w:t>
      </w:r>
      <w:r w:rsidRPr="00FE4CC2">
        <w:rPr>
          <w:rStyle w:val="referencia"/>
          <w:rFonts w:ascii="Calibri" w:hAnsi="Calibri"/>
          <w:szCs w:val="22"/>
        </w:rPr>
        <w:t xml:space="preserve">Switzerland: Springer. </w:t>
      </w:r>
    </w:p>
    <w:p w14:paraId="1E1D564A"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Langholz, J. (1996). Economics, objectives, and success of private nature reserves in Sub-Saharan Africa and Latin America</w:t>
      </w:r>
      <w:r w:rsidRPr="00FE4CC2">
        <w:rPr>
          <w:rStyle w:val="referencia"/>
          <w:rFonts w:ascii="Calibri" w:hAnsi="Calibri"/>
          <w:i/>
          <w:szCs w:val="22"/>
        </w:rPr>
        <w:t>. Conservation Biology</w:t>
      </w:r>
      <w:r w:rsidRPr="00FE4CC2">
        <w:rPr>
          <w:rStyle w:val="referencia"/>
          <w:rFonts w:ascii="Calibri" w:hAnsi="Calibri"/>
          <w:szCs w:val="22"/>
        </w:rPr>
        <w:t>, 10(1), 271-280.</w:t>
      </w:r>
    </w:p>
    <w:p w14:paraId="6684289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Larson, A. M. (2003). Decentralisation and forest management in Latin America: towards a working model.</w:t>
      </w:r>
      <w:r w:rsidRPr="00FE4CC2">
        <w:rPr>
          <w:rStyle w:val="referencia"/>
          <w:rFonts w:ascii="Calibri" w:hAnsi="Calibri"/>
          <w:i/>
          <w:szCs w:val="22"/>
        </w:rPr>
        <w:t xml:space="preserve"> Public Administration and Development</w:t>
      </w:r>
      <w:r w:rsidRPr="00FE4CC2">
        <w:rPr>
          <w:rStyle w:val="referencia"/>
          <w:rFonts w:ascii="Calibri" w:hAnsi="Calibri"/>
          <w:szCs w:val="22"/>
        </w:rPr>
        <w:t>, 23, 211-226.</w:t>
      </w:r>
    </w:p>
    <w:p w14:paraId="77158B7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Larson, A. M. (2005). Democratic decentralisation in the forestry sector: Lessons learned from Africa, Asia and Latin America.</w:t>
      </w:r>
      <w:r w:rsidRPr="00FE4CC2">
        <w:rPr>
          <w:rStyle w:val="referencia"/>
          <w:rFonts w:ascii="Calibri" w:hAnsi="Calibri"/>
          <w:i/>
          <w:szCs w:val="22"/>
        </w:rPr>
        <w:t xml:space="preserve"> </w:t>
      </w:r>
      <w:r w:rsidRPr="00FE4CC2">
        <w:rPr>
          <w:rStyle w:val="referencia"/>
          <w:rFonts w:ascii="Calibri" w:hAnsi="Calibri"/>
          <w:szCs w:val="22"/>
        </w:rPr>
        <w:t>In</w:t>
      </w:r>
      <w:r w:rsidRPr="00FE4CC2">
        <w:rPr>
          <w:rStyle w:val="referencia"/>
          <w:rFonts w:ascii="Calibri" w:hAnsi="Calibri"/>
          <w:i/>
          <w:szCs w:val="22"/>
        </w:rPr>
        <w:t xml:space="preserve"> </w:t>
      </w:r>
      <w:r w:rsidRPr="00FE4CC2">
        <w:rPr>
          <w:rStyle w:val="referencia"/>
          <w:rFonts w:ascii="Calibri" w:hAnsi="Calibri"/>
          <w:szCs w:val="22"/>
        </w:rPr>
        <w:t>C. J. P.</w:t>
      </w:r>
      <w:r w:rsidRPr="00FE4CC2">
        <w:rPr>
          <w:rStyle w:val="referencia"/>
          <w:rFonts w:ascii="Calibri" w:hAnsi="Calibri"/>
          <w:i/>
          <w:szCs w:val="22"/>
        </w:rPr>
        <w:t xml:space="preserve"> </w:t>
      </w:r>
      <w:r w:rsidRPr="00FE4CC2">
        <w:rPr>
          <w:rStyle w:val="referencia"/>
          <w:rFonts w:ascii="Calibri" w:hAnsi="Calibri"/>
          <w:szCs w:val="22"/>
        </w:rPr>
        <w:t xml:space="preserve">Colfer &amp; D. Capistrano (Eds.), </w:t>
      </w:r>
      <w:r w:rsidRPr="00FE4CC2">
        <w:rPr>
          <w:rStyle w:val="referencia"/>
          <w:rFonts w:ascii="Calibri" w:hAnsi="Calibri"/>
          <w:i/>
          <w:szCs w:val="22"/>
        </w:rPr>
        <w:t xml:space="preserve">The Politics of Decentralisation: Forests, People and Power </w:t>
      </w:r>
      <w:r w:rsidRPr="00FE4CC2">
        <w:rPr>
          <w:rStyle w:val="referencia"/>
          <w:rFonts w:ascii="Calibri" w:hAnsi="Calibri"/>
          <w:szCs w:val="22"/>
        </w:rPr>
        <w:t xml:space="preserve">(pp. 32-62). New York: CIFOR, Earthscan. </w:t>
      </w:r>
    </w:p>
    <w:p w14:paraId="1094E61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Lautenbach, S., Seppelt, R., Liebscher, J., &amp; Dormann, C. F. (2012). Spatial and temporal trends of global pollination benefit. </w:t>
      </w:r>
      <w:r w:rsidRPr="00FE4CC2">
        <w:rPr>
          <w:rStyle w:val="referencia"/>
          <w:rFonts w:ascii="Calibri" w:hAnsi="Calibri"/>
          <w:i/>
          <w:szCs w:val="22"/>
        </w:rPr>
        <w:t>PLoS One</w:t>
      </w:r>
      <w:r w:rsidRPr="00FE4CC2">
        <w:rPr>
          <w:rStyle w:val="referencia"/>
          <w:rFonts w:ascii="Calibri" w:hAnsi="Calibri"/>
          <w:szCs w:val="22"/>
        </w:rPr>
        <w:t>,</w:t>
      </w:r>
      <w:r w:rsidRPr="00FE4CC2">
        <w:rPr>
          <w:rStyle w:val="referencia"/>
          <w:rFonts w:ascii="Calibri" w:hAnsi="Calibri"/>
          <w:i/>
          <w:szCs w:val="22"/>
        </w:rPr>
        <w:t xml:space="preserve"> 7</w:t>
      </w:r>
      <w:r w:rsidRPr="00FE4CC2">
        <w:rPr>
          <w:rStyle w:val="referencia"/>
          <w:rFonts w:ascii="Calibri" w:hAnsi="Calibri"/>
          <w:szCs w:val="22"/>
        </w:rPr>
        <w:t xml:space="preserve">(4): e35954. </w:t>
      </w:r>
      <w:r w:rsidRPr="00FE4CC2">
        <w:rPr>
          <w:rStyle w:val="referencia"/>
          <w:rFonts w:ascii="Calibri" w:hAnsi="Calibri"/>
          <w:szCs w:val="22"/>
          <w:lang w:val="en-GB"/>
        </w:rPr>
        <w:t>https://doi.org/</w:t>
      </w:r>
      <w:r w:rsidRPr="00FE4CC2">
        <w:rPr>
          <w:rStyle w:val="referencia"/>
          <w:rFonts w:ascii="Calibri" w:hAnsi="Calibri"/>
          <w:szCs w:val="22"/>
        </w:rPr>
        <w:t>10.1371/journal.pone.0035954.</w:t>
      </w:r>
    </w:p>
    <w:p w14:paraId="3B4BFCAA" w14:textId="77777777" w:rsidR="006969D3" w:rsidRPr="00FE4CC2" w:rsidRDefault="006969D3" w:rsidP="006969D3">
      <w:pPr>
        <w:ind w:left="851" w:hanging="851"/>
        <w:contextualSpacing/>
        <w:rPr>
          <w:rStyle w:val="referencia"/>
          <w:rFonts w:ascii="Calibri" w:hAnsi="Calibri"/>
          <w:szCs w:val="22"/>
        </w:rPr>
      </w:pPr>
      <w:r w:rsidRPr="00FE4CC2">
        <w:rPr>
          <w:szCs w:val="22"/>
        </w:rPr>
        <w:t>Le Gouvello, R., Hochart, L.</w:t>
      </w:r>
      <w:r w:rsidRPr="00FE4CC2">
        <w:rPr>
          <w:rFonts w:cs="Cambria Math"/>
          <w:szCs w:val="22"/>
        </w:rPr>
        <w:t>‐</w:t>
      </w:r>
      <w:r w:rsidRPr="00FE4CC2">
        <w:rPr>
          <w:szCs w:val="22"/>
        </w:rPr>
        <w:t xml:space="preserve">E., Laffoley, D., Simard, F., Andrade, C., Angel, D., Callier, M., De Monbrison, D., Fezzardi, D., Haroun, R., Harris, A., Hughes, A., Massa, F., Roque, E., Soto, D., Stead, S., &amp; Marino, G. (2017). Aquaculture and marine protected areas: Potential opportunities and synergies. </w:t>
      </w:r>
      <w:r w:rsidRPr="00FE4CC2">
        <w:rPr>
          <w:i/>
          <w:szCs w:val="22"/>
        </w:rPr>
        <w:t>Aquatic Conservation: Marine and Freshwater Ecosystems</w:t>
      </w:r>
      <w:r w:rsidRPr="00FE4CC2">
        <w:rPr>
          <w:szCs w:val="22"/>
        </w:rPr>
        <w:t xml:space="preserve">, 27 (S1), 1–13. </w:t>
      </w:r>
    </w:p>
    <w:p w14:paraId="6D28C658" w14:textId="77777777" w:rsidR="006969D3" w:rsidRPr="00FE4CC2" w:rsidRDefault="006969D3" w:rsidP="006969D3">
      <w:pPr>
        <w:ind w:left="851" w:hanging="851"/>
        <w:contextualSpacing/>
        <w:rPr>
          <w:rStyle w:val="referencia"/>
          <w:rFonts w:ascii="Calibri" w:hAnsi="Calibri"/>
          <w:szCs w:val="22"/>
          <w:lang w:val="fr-CA"/>
        </w:rPr>
      </w:pPr>
      <w:r w:rsidRPr="00FE4CC2">
        <w:rPr>
          <w:rStyle w:val="referencia"/>
          <w:rFonts w:ascii="Calibri" w:hAnsi="Calibri"/>
          <w:szCs w:val="22"/>
          <w:lang w:val="pt-BR"/>
        </w:rPr>
        <w:t xml:space="preserve">Le Velly, G., Dutilly, C., Ezzine de Blas, D., &amp; Fernandez, C., (2015). </w:t>
      </w:r>
      <w:r w:rsidRPr="00FE4CC2">
        <w:rPr>
          <w:rStyle w:val="referencia"/>
          <w:rFonts w:ascii="Calibri" w:hAnsi="Calibri"/>
          <w:i/>
          <w:szCs w:val="22"/>
          <w:lang w:val="fr-FR"/>
        </w:rPr>
        <w:t xml:space="preserve">PES as Compensation? </w:t>
      </w:r>
      <w:r w:rsidRPr="00FE4CC2">
        <w:rPr>
          <w:rStyle w:val="referencia"/>
          <w:rFonts w:ascii="Calibri" w:hAnsi="Calibri"/>
          <w:i/>
          <w:szCs w:val="22"/>
        </w:rPr>
        <w:t>Redistribution of Payments for Forest Conservation in Mexican Common Forests</w:t>
      </w:r>
      <w:r w:rsidRPr="00FE4CC2">
        <w:rPr>
          <w:rStyle w:val="referencia"/>
          <w:rFonts w:ascii="Calibri" w:hAnsi="Calibri"/>
          <w:szCs w:val="22"/>
        </w:rPr>
        <w:t xml:space="preserve">. </w:t>
      </w:r>
      <w:r w:rsidRPr="00FE4CC2">
        <w:rPr>
          <w:rStyle w:val="referencia"/>
          <w:rFonts w:ascii="Calibri" w:hAnsi="Calibri"/>
          <w:szCs w:val="22"/>
          <w:lang w:val="fr-CA"/>
        </w:rPr>
        <w:t>Études et Documents, n° 28,</w:t>
      </w:r>
      <w:r w:rsidRPr="00FE4CC2">
        <w:rPr>
          <w:rStyle w:val="referencia"/>
          <w:rFonts w:ascii="Calibri" w:hAnsi="Calibri"/>
          <w:i/>
          <w:szCs w:val="22"/>
          <w:lang w:val="fr-CA"/>
        </w:rPr>
        <w:t xml:space="preserve"> CERDI</w:t>
      </w:r>
      <w:r w:rsidRPr="00FE4CC2">
        <w:rPr>
          <w:rStyle w:val="referencia"/>
          <w:rFonts w:ascii="Calibri" w:hAnsi="Calibri"/>
          <w:szCs w:val="22"/>
          <w:lang w:val="fr-CA"/>
        </w:rPr>
        <w:t xml:space="preserve">. </w:t>
      </w:r>
      <w:hyperlink r:id="rId1116" w:history="1">
        <w:r w:rsidRPr="00FE4CC2">
          <w:rPr>
            <w:rStyle w:val="referencia"/>
            <w:rFonts w:ascii="Calibri" w:hAnsi="Calibri"/>
            <w:szCs w:val="22"/>
            <w:lang w:val="fr-CA"/>
          </w:rPr>
          <w:t>http://cerdi.org/production/show/id/1758/type_ production_id/1</w:t>
        </w:r>
      </w:hyperlink>
    </w:p>
    <w:p w14:paraId="504E0DD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fr-CA"/>
        </w:rPr>
        <w:t xml:space="preserve">Leadley, P., Proença, V., Fernández-Manjarrés, J., Pereira, H. M., Alkemade, R., Biggs, R., Bruley, E., Cheung, W., Cooper, D., Figueiredo, J., Gilman, E., Guénette, S., Hurtt, G., Mbow, C., Oberdorff, T., Revenga, C., Scharlemann, J. P. W., Scholes, R., Smith, M. S., Sumaila, U. R., &amp; Walpole, M. (2014). </w:t>
      </w:r>
      <w:r w:rsidRPr="00FE4CC2">
        <w:rPr>
          <w:rStyle w:val="referencia"/>
          <w:rFonts w:ascii="Calibri" w:hAnsi="Calibri"/>
          <w:szCs w:val="22"/>
        </w:rPr>
        <w:t xml:space="preserve">Interacting regional-scale regime shifts for biodiversity and ecosystem services. </w:t>
      </w:r>
      <w:r w:rsidRPr="00FE4CC2">
        <w:rPr>
          <w:rStyle w:val="referencia"/>
          <w:rFonts w:ascii="Calibri" w:hAnsi="Calibri"/>
          <w:i/>
          <w:szCs w:val="22"/>
        </w:rPr>
        <w:t>Bioscience</w:t>
      </w:r>
      <w:r w:rsidRPr="00FE4CC2">
        <w:rPr>
          <w:rStyle w:val="referencia"/>
          <w:rFonts w:ascii="Calibri" w:hAnsi="Calibri"/>
          <w:szCs w:val="22"/>
        </w:rPr>
        <w:t>, 64, 665–679.</w:t>
      </w:r>
    </w:p>
    <w:p w14:paraId="5D75ABE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Lemes, P., Melo, A. S., &amp; Loyola, R. D. (2013). </w:t>
      </w:r>
      <w:r w:rsidRPr="00FE4CC2">
        <w:rPr>
          <w:rStyle w:val="referencia"/>
          <w:rFonts w:ascii="Calibri" w:hAnsi="Calibri"/>
          <w:szCs w:val="22"/>
        </w:rPr>
        <w:t xml:space="preserve">Climate change threatens protected areas of the Atlantic Forest. </w:t>
      </w:r>
      <w:r w:rsidRPr="00FE4CC2">
        <w:rPr>
          <w:rStyle w:val="referencia"/>
          <w:rFonts w:ascii="Calibri" w:hAnsi="Calibri"/>
          <w:i/>
          <w:szCs w:val="22"/>
        </w:rPr>
        <w:t>Biodiversity Conservation</w:t>
      </w:r>
      <w:r w:rsidRPr="00FE4CC2">
        <w:rPr>
          <w:rStyle w:val="referencia"/>
          <w:rFonts w:ascii="Calibri" w:hAnsi="Calibri"/>
          <w:szCs w:val="22"/>
        </w:rPr>
        <w:t xml:space="preserve">, 23, 357–368. </w:t>
      </w:r>
    </w:p>
    <w:p w14:paraId="06516D2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Lemos, M. C., &amp; Agrawal, A. (2006). Environmental Governance. </w:t>
      </w:r>
      <w:r w:rsidRPr="00FE4CC2">
        <w:rPr>
          <w:rStyle w:val="referencia"/>
          <w:rFonts w:ascii="Calibri" w:hAnsi="Calibri"/>
          <w:i/>
          <w:szCs w:val="22"/>
        </w:rPr>
        <w:t>Annual Review of Environmental Resources</w:t>
      </w:r>
      <w:r w:rsidRPr="00FE4CC2">
        <w:rPr>
          <w:rStyle w:val="referencia"/>
          <w:rFonts w:ascii="Calibri" w:hAnsi="Calibri"/>
          <w:szCs w:val="22"/>
        </w:rPr>
        <w:t>, 31, 297–325.</w:t>
      </w:r>
    </w:p>
    <w:p w14:paraId="7CD4502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Lemos, M. C., Lob, Y. -J., Nelson, D. R., Eakin, H., &amp; Bedran-Martins, A. M. (2016). Linking development to climate adaptation: Leveraging generic and specific capacities to reduce vulnerability to drought in NE Brazil. </w:t>
      </w:r>
      <w:r w:rsidRPr="00FE4CC2">
        <w:rPr>
          <w:rStyle w:val="referencia"/>
          <w:rFonts w:ascii="Calibri" w:hAnsi="Calibri"/>
          <w:i/>
          <w:szCs w:val="22"/>
        </w:rPr>
        <w:t>Global Environmental Change</w:t>
      </w:r>
      <w:r w:rsidRPr="00FE4CC2">
        <w:rPr>
          <w:rStyle w:val="referencia"/>
          <w:rFonts w:ascii="Calibri" w:hAnsi="Calibri"/>
          <w:szCs w:val="22"/>
        </w:rPr>
        <w:t>, 39, 170-179.</w:t>
      </w:r>
    </w:p>
    <w:p w14:paraId="78138E6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Lenschow, A., Newig, J., &amp; Challies, E. (2015). Globalization’s limits to the environmental state? Integrating telecoupling into global environmental governance. </w:t>
      </w:r>
      <w:r w:rsidRPr="00FE4CC2">
        <w:rPr>
          <w:rStyle w:val="referencia"/>
          <w:rFonts w:ascii="Calibri" w:hAnsi="Calibri"/>
          <w:i/>
          <w:szCs w:val="22"/>
        </w:rPr>
        <w:t>Environmental Politics</w:t>
      </w:r>
      <w:r w:rsidRPr="00FE4CC2">
        <w:rPr>
          <w:rStyle w:val="referencia"/>
          <w:rFonts w:ascii="Calibri" w:hAnsi="Calibri"/>
          <w:szCs w:val="22"/>
        </w:rPr>
        <w:t xml:space="preserve">, </w:t>
      </w:r>
      <w:r w:rsidRPr="00FE4CC2">
        <w:rPr>
          <w:szCs w:val="22"/>
          <w:shd w:val="clear" w:color="auto" w:fill="FFFFFF"/>
        </w:rPr>
        <w:t>25(1), 136-159</w:t>
      </w:r>
      <w:r w:rsidRPr="00FE4CC2">
        <w:rPr>
          <w:rStyle w:val="referencia"/>
          <w:rFonts w:ascii="Calibri" w:hAnsi="Calibri"/>
          <w:szCs w:val="22"/>
        </w:rPr>
        <w:t xml:space="preserve">. http://dx.doi.org/10.1080/09644016.2015.1074384 </w:t>
      </w:r>
    </w:p>
    <w:p w14:paraId="214A11A8"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lang w:val="es-CO"/>
        </w:rPr>
        <w:t xml:space="preserve">Lenzen, M., Moran, D., Kanemoto, K., Foran, B., Lobefaro, L., &amp; Geschke, A. (2012). </w:t>
      </w:r>
      <w:r w:rsidRPr="00FE4CC2">
        <w:rPr>
          <w:rStyle w:val="referencia"/>
          <w:rFonts w:ascii="Calibri" w:hAnsi="Calibri"/>
          <w:szCs w:val="22"/>
          <w:lang w:val="pt-BR"/>
        </w:rPr>
        <w:t xml:space="preserve">International trade drives biodiversity threats in developing nations. </w:t>
      </w:r>
      <w:r w:rsidRPr="00FE4CC2">
        <w:rPr>
          <w:rStyle w:val="referencia"/>
          <w:rFonts w:ascii="Calibri" w:hAnsi="Calibri"/>
          <w:i/>
          <w:szCs w:val="22"/>
          <w:lang w:val="pt-BR"/>
        </w:rPr>
        <w:t>Nature</w:t>
      </w:r>
      <w:r w:rsidRPr="00FE4CC2">
        <w:rPr>
          <w:rStyle w:val="referencia"/>
          <w:rFonts w:ascii="Calibri" w:hAnsi="Calibri"/>
          <w:szCs w:val="22"/>
          <w:lang w:val="pt-BR"/>
        </w:rPr>
        <w:t>, 486, 109-112.</w:t>
      </w:r>
    </w:p>
    <w:p w14:paraId="31941B98" w14:textId="77777777" w:rsidR="006969D3" w:rsidRPr="00FE4CC2" w:rsidRDefault="006969D3" w:rsidP="006969D3">
      <w:pPr>
        <w:shd w:val="clear" w:color="auto" w:fill="FFFFFF"/>
        <w:ind w:left="851" w:hanging="851"/>
        <w:rPr>
          <w:rStyle w:val="referencia"/>
          <w:rFonts w:ascii="Calibri" w:hAnsi="Calibri"/>
          <w:szCs w:val="22"/>
        </w:rPr>
      </w:pPr>
      <w:r w:rsidRPr="00FE4CC2">
        <w:rPr>
          <w:rStyle w:val="referencia"/>
          <w:rFonts w:ascii="Calibri" w:hAnsi="Calibri"/>
          <w:szCs w:val="22"/>
          <w:lang w:val="pt-BR"/>
        </w:rPr>
        <w:t xml:space="preserve">Levis, C., Costa, F. R. C., Bongers, F., </w:t>
      </w:r>
      <w:r w:rsidRPr="00FE4CC2">
        <w:rPr>
          <w:rStyle w:val="name"/>
          <w:bCs/>
          <w:szCs w:val="22"/>
          <w:lang w:val="pt-BR"/>
        </w:rPr>
        <w:t>Peña-Claros</w:t>
      </w:r>
      <w:r w:rsidRPr="00FE4CC2">
        <w:rPr>
          <w:bCs/>
          <w:szCs w:val="22"/>
          <w:lang w:val="pt-BR"/>
        </w:rPr>
        <w:t>, </w:t>
      </w:r>
      <w:r w:rsidRPr="00FE4CC2">
        <w:rPr>
          <w:rStyle w:val="name"/>
          <w:bCs/>
          <w:szCs w:val="22"/>
          <w:lang w:val="pt-BR"/>
        </w:rPr>
        <w:t>M., Clement</w:t>
      </w:r>
      <w:r w:rsidRPr="00FE4CC2">
        <w:rPr>
          <w:bCs/>
          <w:szCs w:val="22"/>
          <w:lang w:val="pt-BR"/>
        </w:rPr>
        <w:t>, </w:t>
      </w:r>
      <w:r w:rsidRPr="00FE4CC2">
        <w:rPr>
          <w:rStyle w:val="name"/>
          <w:bCs/>
          <w:szCs w:val="22"/>
          <w:lang w:val="pt-BR"/>
        </w:rPr>
        <w:t>C. R., Junqueira</w:t>
      </w:r>
      <w:r w:rsidRPr="00FE4CC2">
        <w:rPr>
          <w:bCs/>
          <w:szCs w:val="22"/>
          <w:lang w:val="pt-BR"/>
        </w:rPr>
        <w:t>, </w:t>
      </w:r>
      <w:r w:rsidRPr="00FE4CC2">
        <w:rPr>
          <w:rStyle w:val="name"/>
          <w:bCs/>
          <w:szCs w:val="22"/>
          <w:lang w:val="pt-BR"/>
        </w:rPr>
        <w:t>A. B., Neves</w:t>
      </w:r>
      <w:r w:rsidRPr="00FE4CC2">
        <w:rPr>
          <w:bCs/>
          <w:szCs w:val="22"/>
          <w:lang w:val="pt-BR"/>
        </w:rPr>
        <w:t>, </w:t>
      </w:r>
      <w:r w:rsidRPr="00FE4CC2">
        <w:rPr>
          <w:rStyle w:val="name"/>
          <w:bCs/>
          <w:szCs w:val="22"/>
          <w:lang w:val="pt-BR"/>
        </w:rPr>
        <w:t>E. G., Tamanaha</w:t>
      </w:r>
      <w:r w:rsidRPr="00FE4CC2">
        <w:rPr>
          <w:bCs/>
          <w:szCs w:val="22"/>
          <w:lang w:val="pt-BR"/>
        </w:rPr>
        <w:t>, </w:t>
      </w:r>
      <w:r w:rsidRPr="00FE4CC2">
        <w:rPr>
          <w:rStyle w:val="name"/>
          <w:bCs/>
          <w:szCs w:val="22"/>
          <w:lang w:val="pt-BR"/>
        </w:rPr>
        <w:t>E. K., Figueiredo</w:t>
      </w:r>
      <w:r w:rsidRPr="00FE4CC2">
        <w:rPr>
          <w:bCs/>
          <w:szCs w:val="22"/>
          <w:lang w:val="pt-BR"/>
        </w:rPr>
        <w:t>, </w:t>
      </w:r>
      <w:r w:rsidRPr="00FE4CC2">
        <w:rPr>
          <w:rStyle w:val="name"/>
          <w:bCs/>
          <w:szCs w:val="22"/>
          <w:lang w:val="pt-BR"/>
        </w:rPr>
        <w:t>F. O. G., Salomão</w:t>
      </w:r>
      <w:r w:rsidRPr="00FE4CC2">
        <w:rPr>
          <w:bCs/>
          <w:szCs w:val="22"/>
          <w:lang w:val="pt-BR"/>
        </w:rPr>
        <w:t>, </w:t>
      </w:r>
      <w:r w:rsidRPr="00FE4CC2">
        <w:rPr>
          <w:rStyle w:val="name"/>
          <w:bCs/>
          <w:szCs w:val="22"/>
          <w:lang w:val="pt-BR"/>
        </w:rPr>
        <w:t>R. P., Castilho</w:t>
      </w:r>
      <w:r w:rsidRPr="00FE4CC2">
        <w:rPr>
          <w:bCs/>
          <w:szCs w:val="22"/>
          <w:lang w:val="pt-BR"/>
        </w:rPr>
        <w:t>, </w:t>
      </w:r>
      <w:r w:rsidRPr="00FE4CC2">
        <w:rPr>
          <w:rStyle w:val="name"/>
          <w:bCs/>
          <w:szCs w:val="22"/>
          <w:lang w:val="pt-BR"/>
        </w:rPr>
        <w:t>C. V., Magnusson</w:t>
      </w:r>
      <w:r w:rsidRPr="00FE4CC2">
        <w:rPr>
          <w:bCs/>
          <w:szCs w:val="22"/>
          <w:lang w:val="pt-BR"/>
        </w:rPr>
        <w:t>, </w:t>
      </w:r>
      <w:r w:rsidRPr="00FE4CC2">
        <w:rPr>
          <w:rStyle w:val="name"/>
          <w:bCs/>
          <w:szCs w:val="22"/>
          <w:lang w:val="pt-BR"/>
        </w:rPr>
        <w:t>W. E., Phillips</w:t>
      </w:r>
      <w:r w:rsidRPr="00FE4CC2">
        <w:rPr>
          <w:bCs/>
          <w:szCs w:val="22"/>
          <w:lang w:val="pt-BR"/>
        </w:rPr>
        <w:t>, </w:t>
      </w:r>
      <w:r w:rsidRPr="00FE4CC2">
        <w:rPr>
          <w:rStyle w:val="name"/>
          <w:bCs/>
          <w:szCs w:val="22"/>
          <w:lang w:val="pt-BR"/>
        </w:rPr>
        <w:t>O. L., Guevara</w:t>
      </w:r>
      <w:r w:rsidRPr="00FE4CC2">
        <w:rPr>
          <w:bCs/>
          <w:szCs w:val="22"/>
          <w:lang w:val="pt-BR"/>
        </w:rPr>
        <w:t>, </w:t>
      </w:r>
      <w:r w:rsidRPr="00FE4CC2">
        <w:rPr>
          <w:rStyle w:val="name"/>
          <w:bCs/>
          <w:szCs w:val="22"/>
          <w:lang w:val="pt-BR"/>
        </w:rPr>
        <w:t>J. E., Sabatier</w:t>
      </w:r>
      <w:r w:rsidRPr="00FE4CC2">
        <w:rPr>
          <w:bCs/>
          <w:szCs w:val="22"/>
          <w:lang w:val="pt-BR"/>
        </w:rPr>
        <w:t>, </w:t>
      </w:r>
      <w:r w:rsidRPr="00FE4CC2">
        <w:rPr>
          <w:rStyle w:val="name"/>
          <w:bCs/>
          <w:szCs w:val="22"/>
          <w:lang w:val="pt-BR"/>
        </w:rPr>
        <w:t>D., Molino</w:t>
      </w:r>
      <w:r w:rsidRPr="00FE4CC2">
        <w:rPr>
          <w:bCs/>
          <w:szCs w:val="22"/>
          <w:lang w:val="pt-BR"/>
        </w:rPr>
        <w:t>, </w:t>
      </w:r>
      <w:r w:rsidRPr="00FE4CC2">
        <w:rPr>
          <w:rStyle w:val="name"/>
          <w:bCs/>
          <w:szCs w:val="22"/>
          <w:lang w:val="pt-BR"/>
        </w:rPr>
        <w:t>J.-F., Cárdenas López</w:t>
      </w:r>
      <w:r w:rsidRPr="00FE4CC2">
        <w:rPr>
          <w:bCs/>
          <w:szCs w:val="22"/>
          <w:lang w:val="pt-BR"/>
        </w:rPr>
        <w:t>, </w:t>
      </w:r>
      <w:r w:rsidRPr="00FE4CC2">
        <w:rPr>
          <w:rStyle w:val="name"/>
          <w:bCs/>
          <w:szCs w:val="22"/>
          <w:lang w:val="pt-BR"/>
        </w:rPr>
        <w:t>D., Mendoza</w:t>
      </w:r>
      <w:r w:rsidRPr="00FE4CC2">
        <w:rPr>
          <w:bCs/>
          <w:szCs w:val="22"/>
          <w:lang w:val="pt-BR"/>
        </w:rPr>
        <w:t>, </w:t>
      </w:r>
      <w:r w:rsidRPr="00FE4CC2">
        <w:rPr>
          <w:rStyle w:val="name"/>
          <w:bCs/>
          <w:szCs w:val="22"/>
          <w:lang w:val="pt-BR"/>
        </w:rPr>
        <w:t>A. M., Pitman</w:t>
      </w:r>
      <w:r w:rsidRPr="00FE4CC2">
        <w:rPr>
          <w:bCs/>
          <w:szCs w:val="22"/>
          <w:lang w:val="pt-BR"/>
        </w:rPr>
        <w:t>, </w:t>
      </w:r>
      <w:r w:rsidRPr="00FE4CC2">
        <w:rPr>
          <w:rStyle w:val="name"/>
          <w:bCs/>
          <w:szCs w:val="22"/>
          <w:lang w:val="pt-BR"/>
        </w:rPr>
        <w:t>N. C. A., Duque</w:t>
      </w:r>
      <w:r w:rsidRPr="00FE4CC2">
        <w:rPr>
          <w:bCs/>
          <w:szCs w:val="22"/>
          <w:lang w:val="pt-BR"/>
        </w:rPr>
        <w:t>, </w:t>
      </w:r>
      <w:r w:rsidRPr="00FE4CC2">
        <w:rPr>
          <w:rStyle w:val="name"/>
          <w:bCs/>
          <w:szCs w:val="22"/>
          <w:lang w:val="pt-BR"/>
        </w:rPr>
        <w:t>A., Núñez Vargas</w:t>
      </w:r>
      <w:r w:rsidRPr="00FE4CC2">
        <w:rPr>
          <w:bCs/>
          <w:szCs w:val="22"/>
          <w:lang w:val="pt-BR"/>
        </w:rPr>
        <w:t>, </w:t>
      </w:r>
      <w:r w:rsidRPr="00FE4CC2">
        <w:rPr>
          <w:rStyle w:val="name"/>
          <w:bCs/>
          <w:szCs w:val="22"/>
          <w:lang w:val="pt-BR"/>
        </w:rPr>
        <w:t>P., Zartman</w:t>
      </w:r>
      <w:r w:rsidRPr="00FE4CC2">
        <w:rPr>
          <w:bCs/>
          <w:szCs w:val="22"/>
          <w:lang w:val="pt-BR"/>
        </w:rPr>
        <w:t>, </w:t>
      </w:r>
      <w:r w:rsidRPr="00FE4CC2">
        <w:rPr>
          <w:rStyle w:val="name"/>
          <w:bCs/>
          <w:szCs w:val="22"/>
          <w:lang w:val="pt-BR"/>
        </w:rPr>
        <w:t>C. E., Vasquez</w:t>
      </w:r>
      <w:r w:rsidRPr="00FE4CC2">
        <w:rPr>
          <w:bCs/>
          <w:szCs w:val="22"/>
          <w:lang w:val="pt-BR"/>
        </w:rPr>
        <w:t>, </w:t>
      </w:r>
      <w:r w:rsidRPr="00FE4CC2">
        <w:rPr>
          <w:rStyle w:val="name"/>
          <w:bCs/>
          <w:szCs w:val="22"/>
          <w:lang w:val="pt-BR"/>
        </w:rPr>
        <w:t>R., Andrade</w:t>
      </w:r>
      <w:r w:rsidRPr="00FE4CC2">
        <w:rPr>
          <w:bCs/>
          <w:szCs w:val="22"/>
          <w:lang w:val="pt-BR"/>
        </w:rPr>
        <w:t>, </w:t>
      </w:r>
      <w:r w:rsidRPr="00FE4CC2">
        <w:rPr>
          <w:rStyle w:val="name"/>
          <w:bCs/>
          <w:szCs w:val="22"/>
          <w:lang w:val="pt-BR"/>
        </w:rPr>
        <w:t>A., Camargo</w:t>
      </w:r>
      <w:r w:rsidRPr="00FE4CC2">
        <w:rPr>
          <w:bCs/>
          <w:szCs w:val="22"/>
          <w:lang w:val="pt-BR"/>
        </w:rPr>
        <w:t>, </w:t>
      </w:r>
      <w:r w:rsidRPr="00FE4CC2">
        <w:rPr>
          <w:rStyle w:val="name"/>
          <w:bCs/>
          <w:szCs w:val="22"/>
          <w:lang w:val="pt-BR"/>
        </w:rPr>
        <w:t>J. L., Feldpausch</w:t>
      </w:r>
      <w:r w:rsidRPr="00FE4CC2">
        <w:rPr>
          <w:bCs/>
          <w:szCs w:val="22"/>
          <w:lang w:val="pt-BR"/>
        </w:rPr>
        <w:t>, </w:t>
      </w:r>
      <w:r w:rsidRPr="00FE4CC2">
        <w:rPr>
          <w:rStyle w:val="name"/>
          <w:bCs/>
          <w:szCs w:val="22"/>
          <w:lang w:val="pt-BR"/>
        </w:rPr>
        <w:t>T. R., Laurance</w:t>
      </w:r>
      <w:r w:rsidRPr="00FE4CC2">
        <w:rPr>
          <w:bCs/>
          <w:szCs w:val="22"/>
          <w:lang w:val="pt-BR"/>
        </w:rPr>
        <w:t>, </w:t>
      </w:r>
      <w:r w:rsidRPr="00FE4CC2">
        <w:rPr>
          <w:rStyle w:val="name"/>
          <w:bCs/>
          <w:szCs w:val="22"/>
          <w:lang w:val="pt-BR"/>
        </w:rPr>
        <w:t>S. G. W., Laurance</w:t>
      </w:r>
      <w:r w:rsidRPr="00FE4CC2">
        <w:rPr>
          <w:bCs/>
          <w:szCs w:val="22"/>
          <w:lang w:val="pt-BR"/>
        </w:rPr>
        <w:t>, </w:t>
      </w:r>
      <w:r w:rsidRPr="00FE4CC2">
        <w:rPr>
          <w:rStyle w:val="name"/>
          <w:bCs/>
          <w:szCs w:val="22"/>
          <w:lang w:val="pt-BR"/>
        </w:rPr>
        <w:t>W. F., Killeen</w:t>
      </w:r>
      <w:r w:rsidRPr="00FE4CC2">
        <w:rPr>
          <w:bCs/>
          <w:szCs w:val="22"/>
          <w:lang w:val="pt-BR"/>
        </w:rPr>
        <w:t>, </w:t>
      </w:r>
      <w:r w:rsidRPr="00FE4CC2">
        <w:rPr>
          <w:rStyle w:val="name"/>
          <w:bCs/>
          <w:szCs w:val="22"/>
          <w:lang w:val="pt-BR"/>
        </w:rPr>
        <w:t>T. J., Nascimento</w:t>
      </w:r>
      <w:r w:rsidRPr="00FE4CC2">
        <w:rPr>
          <w:bCs/>
          <w:szCs w:val="22"/>
          <w:lang w:val="pt-BR"/>
        </w:rPr>
        <w:t>, </w:t>
      </w:r>
      <w:r w:rsidRPr="00FE4CC2">
        <w:rPr>
          <w:rStyle w:val="name"/>
          <w:bCs/>
          <w:szCs w:val="22"/>
          <w:lang w:val="pt-BR"/>
        </w:rPr>
        <w:t>H. E. M, Montero</w:t>
      </w:r>
      <w:r w:rsidRPr="00FE4CC2">
        <w:rPr>
          <w:bCs/>
          <w:szCs w:val="22"/>
          <w:lang w:val="pt-BR"/>
        </w:rPr>
        <w:t>, </w:t>
      </w:r>
      <w:r w:rsidRPr="00FE4CC2">
        <w:rPr>
          <w:rStyle w:val="name"/>
          <w:bCs/>
          <w:szCs w:val="22"/>
          <w:lang w:val="pt-BR"/>
        </w:rPr>
        <w:t>J. C., Mostacedo</w:t>
      </w:r>
      <w:r w:rsidRPr="00FE4CC2">
        <w:rPr>
          <w:bCs/>
          <w:szCs w:val="22"/>
          <w:lang w:val="pt-BR"/>
        </w:rPr>
        <w:t>, </w:t>
      </w:r>
      <w:r w:rsidRPr="00FE4CC2">
        <w:rPr>
          <w:rStyle w:val="name"/>
          <w:bCs/>
          <w:szCs w:val="22"/>
          <w:lang w:val="pt-BR"/>
        </w:rPr>
        <w:t>B., Amaral</w:t>
      </w:r>
      <w:r w:rsidRPr="00FE4CC2">
        <w:rPr>
          <w:bCs/>
          <w:szCs w:val="22"/>
          <w:lang w:val="pt-BR"/>
        </w:rPr>
        <w:t>, </w:t>
      </w:r>
      <w:r w:rsidRPr="00FE4CC2">
        <w:rPr>
          <w:rStyle w:val="name"/>
          <w:bCs/>
          <w:szCs w:val="22"/>
          <w:lang w:val="pt-BR"/>
        </w:rPr>
        <w:t>I. L., Vieira</w:t>
      </w:r>
      <w:r w:rsidRPr="00FE4CC2">
        <w:rPr>
          <w:bCs/>
          <w:szCs w:val="22"/>
          <w:lang w:val="pt-BR"/>
        </w:rPr>
        <w:t>, </w:t>
      </w:r>
      <w:r w:rsidRPr="00FE4CC2">
        <w:rPr>
          <w:rStyle w:val="name"/>
          <w:bCs/>
          <w:szCs w:val="22"/>
          <w:lang w:val="pt-BR"/>
        </w:rPr>
        <w:t>I. C. G., Brienen</w:t>
      </w:r>
      <w:r w:rsidRPr="00FE4CC2">
        <w:rPr>
          <w:bCs/>
          <w:szCs w:val="22"/>
          <w:lang w:val="pt-BR"/>
        </w:rPr>
        <w:t>, </w:t>
      </w:r>
      <w:r w:rsidRPr="00FE4CC2">
        <w:rPr>
          <w:rStyle w:val="name"/>
          <w:bCs/>
          <w:szCs w:val="22"/>
          <w:lang w:val="pt-BR"/>
        </w:rPr>
        <w:t>R., Castellanos</w:t>
      </w:r>
      <w:r w:rsidRPr="00FE4CC2">
        <w:rPr>
          <w:bCs/>
          <w:szCs w:val="22"/>
          <w:lang w:val="pt-BR"/>
        </w:rPr>
        <w:t>, </w:t>
      </w:r>
      <w:r w:rsidRPr="00FE4CC2">
        <w:rPr>
          <w:rStyle w:val="name"/>
          <w:bCs/>
          <w:szCs w:val="22"/>
          <w:lang w:val="pt-BR"/>
        </w:rPr>
        <w:t>H., Terborgh</w:t>
      </w:r>
      <w:r w:rsidRPr="00FE4CC2">
        <w:rPr>
          <w:bCs/>
          <w:szCs w:val="22"/>
          <w:lang w:val="pt-BR"/>
        </w:rPr>
        <w:t>, </w:t>
      </w:r>
      <w:r w:rsidRPr="00FE4CC2">
        <w:rPr>
          <w:rStyle w:val="name"/>
          <w:bCs/>
          <w:szCs w:val="22"/>
          <w:lang w:val="pt-BR"/>
        </w:rPr>
        <w:t>J., Carim</w:t>
      </w:r>
      <w:r w:rsidRPr="00FE4CC2">
        <w:rPr>
          <w:bCs/>
          <w:szCs w:val="22"/>
          <w:lang w:val="pt-BR"/>
        </w:rPr>
        <w:t xml:space="preserve">, M. J. V., </w:t>
      </w:r>
      <w:r w:rsidRPr="00FE4CC2">
        <w:rPr>
          <w:rStyle w:val="name"/>
          <w:bCs/>
          <w:szCs w:val="22"/>
          <w:lang w:val="pt-BR"/>
        </w:rPr>
        <w:t>Guimarães</w:t>
      </w:r>
      <w:r w:rsidRPr="00FE4CC2">
        <w:rPr>
          <w:bCs/>
          <w:szCs w:val="22"/>
          <w:lang w:val="pt-BR"/>
        </w:rPr>
        <w:t xml:space="preserve">, J. R. S., </w:t>
      </w:r>
      <w:r w:rsidRPr="00FE4CC2">
        <w:rPr>
          <w:rStyle w:val="name"/>
          <w:bCs/>
          <w:szCs w:val="22"/>
          <w:lang w:val="pt-BR"/>
        </w:rPr>
        <w:t>Coelho</w:t>
      </w:r>
      <w:r w:rsidRPr="00FE4CC2">
        <w:rPr>
          <w:bCs/>
          <w:szCs w:val="22"/>
          <w:lang w:val="pt-BR"/>
        </w:rPr>
        <w:t xml:space="preserve">, L. S., </w:t>
      </w:r>
      <w:r w:rsidRPr="00FE4CC2">
        <w:rPr>
          <w:rStyle w:val="name"/>
          <w:bCs/>
          <w:szCs w:val="22"/>
          <w:lang w:val="pt-BR"/>
        </w:rPr>
        <w:t>Matos</w:t>
      </w:r>
      <w:r w:rsidRPr="00FE4CC2">
        <w:rPr>
          <w:bCs/>
          <w:szCs w:val="22"/>
          <w:lang w:val="pt-BR"/>
        </w:rPr>
        <w:t>, </w:t>
      </w:r>
      <w:r w:rsidRPr="00FE4CC2">
        <w:rPr>
          <w:rStyle w:val="name"/>
          <w:bCs/>
          <w:szCs w:val="22"/>
          <w:lang w:val="pt-BR"/>
        </w:rPr>
        <w:t>F. D. de A., Wittmann</w:t>
      </w:r>
      <w:r w:rsidRPr="00FE4CC2">
        <w:rPr>
          <w:bCs/>
          <w:szCs w:val="22"/>
          <w:lang w:val="pt-BR"/>
        </w:rPr>
        <w:t>, </w:t>
      </w:r>
      <w:r w:rsidRPr="00FE4CC2">
        <w:rPr>
          <w:rStyle w:val="name"/>
          <w:bCs/>
          <w:szCs w:val="22"/>
          <w:lang w:val="pt-BR"/>
        </w:rPr>
        <w:t>F., Mogollón</w:t>
      </w:r>
      <w:r w:rsidRPr="00FE4CC2">
        <w:rPr>
          <w:bCs/>
          <w:szCs w:val="22"/>
          <w:lang w:val="pt-BR"/>
        </w:rPr>
        <w:t>, </w:t>
      </w:r>
      <w:r w:rsidRPr="00FE4CC2">
        <w:rPr>
          <w:rStyle w:val="name"/>
          <w:bCs/>
          <w:szCs w:val="22"/>
          <w:lang w:val="pt-BR"/>
        </w:rPr>
        <w:t>H. F., Damasco, G.</w:t>
      </w:r>
      <w:r w:rsidRPr="00FE4CC2">
        <w:rPr>
          <w:bCs/>
          <w:szCs w:val="22"/>
          <w:lang w:val="pt-BR"/>
        </w:rPr>
        <w:t>, </w:t>
      </w:r>
      <w:r w:rsidRPr="00FE4CC2">
        <w:rPr>
          <w:rStyle w:val="name"/>
          <w:bCs/>
          <w:szCs w:val="22"/>
          <w:lang w:val="pt-BR"/>
        </w:rPr>
        <w:t xml:space="preserve"> Dávila</w:t>
      </w:r>
      <w:r w:rsidRPr="00FE4CC2">
        <w:rPr>
          <w:bCs/>
          <w:szCs w:val="22"/>
          <w:lang w:val="pt-BR"/>
        </w:rPr>
        <w:t>, </w:t>
      </w:r>
      <w:r w:rsidRPr="00FE4CC2">
        <w:rPr>
          <w:rStyle w:val="name"/>
          <w:bCs/>
          <w:szCs w:val="22"/>
          <w:lang w:val="pt-BR"/>
        </w:rPr>
        <w:t>N., García-Villacorta</w:t>
      </w:r>
      <w:r w:rsidRPr="00FE4CC2">
        <w:rPr>
          <w:bCs/>
          <w:szCs w:val="22"/>
          <w:lang w:val="pt-BR"/>
        </w:rPr>
        <w:t>, </w:t>
      </w:r>
      <w:r w:rsidRPr="00FE4CC2">
        <w:rPr>
          <w:rStyle w:val="name"/>
          <w:bCs/>
          <w:szCs w:val="22"/>
          <w:lang w:val="pt-BR"/>
        </w:rPr>
        <w:t>R., Coronado</w:t>
      </w:r>
      <w:r w:rsidRPr="00FE4CC2">
        <w:rPr>
          <w:bCs/>
          <w:szCs w:val="22"/>
          <w:lang w:val="pt-BR"/>
        </w:rPr>
        <w:t>, </w:t>
      </w:r>
      <w:r w:rsidRPr="00FE4CC2">
        <w:rPr>
          <w:rStyle w:val="name"/>
          <w:bCs/>
          <w:szCs w:val="22"/>
          <w:lang w:val="pt-BR"/>
        </w:rPr>
        <w:t>E. N. H., Emilio</w:t>
      </w:r>
      <w:r w:rsidRPr="00FE4CC2">
        <w:rPr>
          <w:bCs/>
          <w:szCs w:val="22"/>
          <w:lang w:val="pt-BR"/>
        </w:rPr>
        <w:t>, </w:t>
      </w:r>
      <w:r w:rsidRPr="00FE4CC2">
        <w:rPr>
          <w:rStyle w:val="name"/>
          <w:bCs/>
          <w:szCs w:val="22"/>
          <w:lang w:val="pt-BR"/>
        </w:rPr>
        <w:t>T., Lima Filho</w:t>
      </w:r>
      <w:r w:rsidRPr="00FE4CC2">
        <w:rPr>
          <w:bCs/>
          <w:szCs w:val="22"/>
          <w:lang w:val="pt-BR"/>
        </w:rPr>
        <w:t>, </w:t>
      </w:r>
      <w:r w:rsidRPr="00FE4CC2">
        <w:rPr>
          <w:rStyle w:val="name"/>
          <w:bCs/>
          <w:szCs w:val="22"/>
          <w:lang w:val="pt-BR"/>
        </w:rPr>
        <w:t>D. de A., Schietti</w:t>
      </w:r>
      <w:r w:rsidRPr="00FE4CC2">
        <w:rPr>
          <w:bCs/>
          <w:szCs w:val="22"/>
          <w:lang w:val="pt-BR"/>
        </w:rPr>
        <w:t xml:space="preserve">, J., </w:t>
      </w:r>
      <w:r w:rsidRPr="00FE4CC2">
        <w:rPr>
          <w:rStyle w:val="name"/>
          <w:bCs/>
          <w:szCs w:val="22"/>
          <w:lang w:val="pt-BR"/>
        </w:rPr>
        <w:t>Souza</w:t>
      </w:r>
      <w:r w:rsidRPr="00FE4CC2">
        <w:rPr>
          <w:bCs/>
          <w:szCs w:val="22"/>
          <w:lang w:val="pt-BR"/>
        </w:rPr>
        <w:t>, </w:t>
      </w:r>
      <w:r w:rsidRPr="00FE4CC2">
        <w:rPr>
          <w:rStyle w:val="name"/>
          <w:bCs/>
          <w:szCs w:val="22"/>
          <w:lang w:val="pt-BR"/>
        </w:rPr>
        <w:t>P., Targhetta</w:t>
      </w:r>
      <w:r w:rsidRPr="00FE4CC2">
        <w:rPr>
          <w:bCs/>
          <w:szCs w:val="22"/>
          <w:lang w:val="pt-BR"/>
        </w:rPr>
        <w:t>, </w:t>
      </w:r>
      <w:r w:rsidRPr="00FE4CC2">
        <w:rPr>
          <w:rStyle w:val="name"/>
          <w:bCs/>
          <w:szCs w:val="22"/>
          <w:lang w:val="pt-BR"/>
        </w:rPr>
        <w:t>N., Comiskey</w:t>
      </w:r>
      <w:r w:rsidRPr="00FE4CC2">
        <w:rPr>
          <w:bCs/>
          <w:szCs w:val="22"/>
          <w:lang w:val="pt-BR"/>
        </w:rPr>
        <w:t>, </w:t>
      </w:r>
      <w:r w:rsidRPr="00FE4CC2">
        <w:rPr>
          <w:rStyle w:val="name"/>
          <w:bCs/>
          <w:szCs w:val="22"/>
          <w:lang w:val="pt-BR"/>
        </w:rPr>
        <w:t>J. A., Marimon</w:t>
      </w:r>
      <w:r w:rsidRPr="00FE4CC2">
        <w:rPr>
          <w:bCs/>
          <w:szCs w:val="22"/>
          <w:lang w:val="pt-BR"/>
        </w:rPr>
        <w:t>, </w:t>
      </w:r>
      <w:r w:rsidRPr="00FE4CC2">
        <w:rPr>
          <w:rStyle w:val="name"/>
          <w:bCs/>
          <w:szCs w:val="22"/>
          <w:lang w:val="pt-BR"/>
        </w:rPr>
        <w:t>B. S., Marimon Jr.</w:t>
      </w:r>
      <w:r w:rsidRPr="00FE4CC2">
        <w:rPr>
          <w:bCs/>
          <w:szCs w:val="22"/>
          <w:lang w:val="pt-BR"/>
        </w:rPr>
        <w:t>, </w:t>
      </w:r>
      <w:r w:rsidRPr="00FE4CC2">
        <w:rPr>
          <w:rStyle w:val="name"/>
          <w:bCs/>
          <w:szCs w:val="22"/>
          <w:lang w:val="pt-BR"/>
        </w:rPr>
        <w:t>B.-H., Neill</w:t>
      </w:r>
      <w:r w:rsidRPr="00FE4CC2">
        <w:rPr>
          <w:bCs/>
          <w:szCs w:val="22"/>
          <w:lang w:val="pt-BR"/>
        </w:rPr>
        <w:t>, </w:t>
      </w:r>
      <w:r w:rsidRPr="00FE4CC2">
        <w:rPr>
          <w:rStyle w:val="name"/>
          <w:bCs/>
          <w:szCs w:val="22"/>
          <w:lang w:val="pt-BR"/>
        </w:rPr>
        <w:t>D., Alonso</w:t>
      </w:r>
      <w:r w:rsidRPr="00FE4CC2">
        <w:rPr>
          <w:bCs/>
          <w:szCs w:val="22"/>
          <w:lang w:val="pt-BR"/>
        </w:rPr>
        <w:t>, </w:t>
      </w:r>
      <w:r w:rsidRPr="00FE4CC2">
        <w:rPr>
          <w:rStyle w:val="name"/>
          <w:bCs/>
          <w:szCs w:val="22"/>
          <w:lang w:val="pt-BR"/>
        </w:rPr>
        <w:t>A., Arroyo</w:t>
      </w:r>
      <w:r w:rsidRPr="00FE4CC2">
        <w:rPr>
          <w:bCs/>
          <w:szCs w:val="22"/>
          <w:lang w:val="pt-BR"/>
        </w:rPr>
        <w:t>, </w:t>
      </w:r>
      <w:r w:rsidRPr="00FE4CC2">
        <w:rPr>
          <w:rStyle w:val="name"/>
          <w:bCs/>
          <w:szCs w:val="22"/>
          <w:lang w:val="pt-BR"/>
        </w:rPr>
        <w:t>L., Carvalho</w:t>
      </w:r>
      <w:r w:rsidRPr="00FE4CC2">
        <w:rPr>
          <w:bCs/>
          <w:szCs w:val="22"/>
          <w:lang w:val="pt-BR"/>
        </w:rPr>
        <w:t>, </w:t>
      </w:r>
      <w:r w:rsidRPr="00FE4CC2">
        <w:rPr>
          <w:rStyle w:val="name"/>
          <w:bCs/>
          <w:szCs w:val="22"/>
          <w:lang w:val="pt-BR"/>
        </w:rPr>
        <w:t>F. A., Souza</w:t>
      </w:r>
      <w:r w:rsidRPr="00FE4CC2">
        <w:rPr>
          <w:bCs/>
          <w:szCs w:val="22"/>
          <w:lang w:val="pt-BR"/>
        </w:rPr>
        <w:t>, </w:t>
      </w:r>
      <w:r w:rsidRPr="00FE4CC2">
        <w:rPr>
          <w:rStyle w:val="name"/>
          <w:bCs/>
          <w:szCs w:val="22"/>
          <w:lang w:val="pt-BR"/>
        </w:rPr>
        <w:t>F. C. de, Dallmeier</w:t>
      </w:r>
      <w:r w:rsidRPr="00FE4CC2">
        <w:rPr>
          <w:bCs/>
          <w:szCs w:val="22"/>
          <w:lang w:val="pt-BR"/>
        </w:rPr>
        <w:t>, </w:t>
      </w:r>
      <w:r w:rsidRPr="00FE4CC2">
        <w:rPr>
          <w:rStyle w:val="name"/>
          <w:bCs/>
          <w:szCs w:val="22"/>
          <w:lang w:val="pt-BR"/>
        </w:rPr>
        <w:t>F., Pansonato</w:t>
      </w:r>
      <w:r w:rsidRPr="00FE4CC2">
        <w:rPr>
          <w:bCs/>
          <w:szCs w:val="22"/>
          <w:lang w:val="pt-BR"/>
        </w:rPr>
        <w:t>, </w:t>
      </w:r>
      <w:r w:rsidRPr="00FE4CC2">
        <w:rPr>
          <w:rStyle w:val="name"/>
          <w:bCs/>
          <w:szCs w:val="22"/>
          <w:lang w:val="pt-BR"/>
        </w:rPr>
        <w:t>M. P., Duivenvoorden</w:t>
      </w:r>
      <w:r w:rsidRPr="00FE4CC2">
        <w:rPr>
          <w:bCs/>
          <w:szCs w:val="22"/>
          <w:lang w:val="pt-BR"/>
        </w:rPr>
        <w:t>, </w:t>
      </w:r>
      <w:r w:rsidRPr="00FE4CC2">
        <w:rPr>
          <w:rStyle w:val="name"/>
          <w:bCs/>
          <w:szCs w:val="22"/>
          <w:lang w:val="pt-BR"/>
        </w:rPr>
        <w:t>J. F., Fine</w:t>
      </w:r>
      <w:r w:rsidRPr="00FE4CC2">
        <w:rPr>
          <w:bCs/>
          <w:szCs w:val="22"/>
          <w:lang w:val="pt-BR"/>
        </w:rPr>
        <w:t>, </w:t>
      </w:r>
      <w:r w:rsidRPr="00FE4CC2">
        <w:rPr>
          <w:rStyle w:val="name"/>
          <w:bCs/>
          <w:szCs w:val="22"/>
          <w:lang w:val="pt-BR"/>
        </w:rPr>
        <w:t>P. V. A., Stevenson</w:t>
      </w:r>
      <w:r w:rsidRPr="00FE4CC2">
        <w:rPr>
          <w:bCs/>
          <w:szCs w:val="22"/>
          <w:lang w:val="pt-BR"/>
        </w:rPr>
        <w:t>, </w:t>
      </w:r>
      <w:r w:rsidRPr="00FE4CC2">
        <w:rPr>
          <w:rStyle w:val="name"/>
          <w:bCs/>
          <w:szCs w:val="22"/>
          <w:lang w:val="pt-BR"/>
        </w:rPr>
        <w:t>P. R., Araujo-Murakami</w:t>
      </w:r>
      <w:r w:rsidRPr="00FE4CC2">
        <w:rPr>
          <w:bCs/>
          <w:szCs w:val="22"/>
          <w:lang w:val="pt-BR"/>
        </w:rPr>
        <w:t>, </w:t>
      </w:r>
      <w:r w:rsidRPr="00FE4CC2">
        <w:rPr>
          <w:rStyle w:val="name"/>
          <w:bCs/>
          <w:szCs w:val="22"/>
          <w:lang w:val="pt-BR"/>
        </w:rPr>
        <w:t>A., Aymard C.</w:t>
      </w:r>
      <w:r w:rsidRPr="00FE4CC2">
        <w:rPr>
          <w:bCs/>
          <w:szCs w:val="22"/>
          <w:lang w:val="pt-BR"/>
        </w:rPr>
        <w:t>, </w:t>
      </w:r>
      <w:r w:rsidRPr="00FE4CC2">
        <w:rPr>
          <w:rStyle w:val="name"/>
          <w:bCs/>
          <w:szCs w:val="22"/>
          <w:lang w:val="pt-BR"/>
        </w:rPr>
        <w:t>G. A., Baraloto</w:t>
      </w:r>
      <w:r w:rsidRPr="00FE4CC2">
        <w:rPr>
          <w:bCs/>
          <w:szCs w:val="22"/>
          <w:lang w:val="pt-BR"/>
        </w:rPr>
        <w:t>, </w:t>
      </w:r>
      <w:r w:rsidRPr="00FE4CC2">
        <w:rPr>
          <w:rStyle w:val="name"/>
          <w:bCs/>
          <w:szCs w:val="22"/>
          <w:lang w:val="pt-BR"/>
        </w:rPr>
        <w:t>C., do Amaral</w:t>
      </w:r>
      <w:r w:rsidRPr="00FE4CC2">
        <w:rPr>
          <w:bCs/>
          <w:szCs w:val="22"/>
          <w:lang w:val="pt-BR"/>
        </w:rPr>
        <w:t>, </w:t>
      </w:r>
      <w:r w:rsidRPr="00FE4CC2">
        <w:rPr>
          <w:rStyle w:val="name"/>
          <w:bCs/>
          <w:szCs w:val="22"/>
          <w:lang w:val="pt-BR"/>
        </w:rPr>
        <w:t>D. D., Engel</w:t>
      </w:r>
      <w:r w:rsidRPr="00FE4CC2">
        <w:rPr>
          <w:bCs/>
          <w:szCs w:val="22"/>
          <w:lang w:val="pt-BR"/>
        </w:rPr>
        <w:t>, </w:t>
      </w:r>
      <w:r w:rsidRPr="00FE4CC2">
        <w:rPr>
          <w:rStyle w:val="name"/>
          <w:bCs/>
          <w:szCs w:val="22"/>
          <w:lang w:val="pt-BR"/>
        </w:rPr>
        <w:t>J., Henkel</w:t>
      </w:r>
      <w:r w:rsidRPr="00FE4CC2">
        <w:rPr>
          <w:bCs/>
          <w:szCs w:val="22"/>
          <w:lang w:val="pt-BR"/>
        </w:rPr>
        <w:t>, </w:t>
      </w:r>
      <w:r w:rsidRPr="00FE4CC2">
        <w:rPr>
          <w:rStyle w:val="name"/>
          <w:bCs/>
          <w:szCs w:val="22"/>
          <w:lang w:val="pt-BR"/>
        </w:rPr>
        <w:t>T. W., Maas</w:t>
      </w:r>
      <w:r w:rsidRPr="00FE4CC2">
        <w:rPr>
          <w:bCs/>
          <w:szCs w:val="22"/>
          <w:lang w:val="pt-BR"/>
        </w:rPr>
        <w:t>, </w:t>
      </w:r>
      <w:r w:rsidRPr="00FE4CC2">
        <w:rPr>
          <w:rStyle w:val="name"/>
          <w:bCs/>
          <w:szCs w:val="22"/>
          <w:lang w:val="pt-BR"/>
        </w:rPr>
        <w:t>P., Petronelli</w:t>
      </w:r>
      <w:r w:rsidRPr="00FE4CC2">
        <w:rPr>
          <w:bCs/>
          <w:szCs w:val="22"/>
          <w:lang w:val="pt-BR"/>
        </w:rPr>
        <w:t>, </w:t>
      </w:r>
      <w:r w:rsidRPr="00FE4CC2">
        <w:rPr>
          <w:rStyle w:val="name"/>
          <w:bCs/>
          <w:szCs w:val="22"/>
          <w:lang w:val="pt-BR"/>
        </w:rPr>
        <w:t>P., Cardenas Revilla</w:t>
      </w:r>
      <w:r w:rsidRPr="00FE4CC2">
        <w:rPr>
          <w:bCs/>
          <w:szCs w:val="22"/>
          <w:lang w:val="pt-BR"/>
        </w:rPr>
        <w:t>, </w:t>
      </w:r>
      <w:r w:rsidRPr="00FE4CC2">
        <w:rPr>
          <w:rStyle w:val="name"/>
          <w:bCs/>
          <w:szCs w:val="22"/>
          <w:lang w:val="pt-BR"/>
        </w:rPr>
        <w:t>J. D., Stropp</w:t>
      </w:r>
      <w:r w:rsidRPr="00FE4CC2">
        <w:rPr>
          <w:bCs/>
          <w:szCs w:val="22"/>
          <w:lang w:val="pt-BR"/>
        </w:rPr>
        <w:t>, </w:t>
      </w:r>
      <w:r w:rsidRPr="00FE4CC2">
        <w:rPr>
          <w:rStyle w:val="name"/>
          <w:bCs/>
          <w:szCs w:val="22"/>
          <w:lang w:val="pt-BR"/>
        </w:rPr>
        <w:t>J., Daly</w:t>
      </w:r>
      <w:r w:rsidRPr="00FE4CC2">
        <w:rPr>
          <w:bCs/>
          <w:szCs w:val="22"/>
          <w:lang w:val="pt-BR"/>
        </w:rPr>
        <w:t>, </w:t>
      </w:r>
      <w:r w:rsidRPr="00FE4CC2">
        <w:rPr>
          <w:rStyle w:val="name"/>
          <w:bCs/>
          <w:szCs w:val="22"/>
          <w:lang w:val="pt-BR"/>
        </w:rPr>
        <w:t>D., Gribel</w:t>
      </w:r>
      <w:r w:rsidRPr="00FE4CC2">
        <w:rPr>
          <w:bCs/>
          <w:szCs w:val="22"/>
          <w:lang w:val="pt-BR"/>
        </w:rPr>
        <w:t>, </w:t>
      </w:r>
      <w:r w:rsidRPr="00FE4CC2">
        <w:rPr>
          <w:rStyle w:val="name"/>
          <w:bCs/>
          <w:szCs w:val="22"/>
          <w:lang w:val="pt-BR"/>
        </w:rPr>
        <w:t>R., Ríos Paredes</w:t>
      </w:r>
      <w:r w:rsidRPr="00FE4CC2">
        <w:rPr>
          <w:bCs/>
          <w:szCs w:val="22"/>
          <w:lang w:val="pt-BR"/>
        </w:rPr>
        <w:t>, </w:t>
      </w:r>
      <w:r w:rsidRPr="00FE4CC2">
        <w:rPr>
          <w:rStyle w:val="name"/>
          <w:bCs/>
          <w:szCs w:val="22"/>
          <w:lang w:val="pt-BR"/>
        </w:rPr>
        <w:t>M., Silveira</w:t>
      </w:r>
      <w:r w:rsidRPr="00FE4CC2">
        <w:rPr>
          <w:bCs/>
          <w:szCs w:val="22"/>
          <w:lang w:val="pt-BR"/>
        </w:rPr>
        <w:t>, </w:t>
      </w:r>
      <w:r w:rsidRPr="00FE4CC2">
        <w:rPr>
          <w:rStyle w:val="name"/>
          <w:bCs/>
          <w:szCs w:val="22"/>
          <w:lang w:val="pt-BR"/>
        </w:rPr>
        <w:t>M., Thomas-Caesar</w:t>
      </w:r>
      <w:r w:rsidRPr="00FE4CC2">
        <w:rPr>
          <w:bCs/>
          <w:szCs w:val="22"/>
          <w:lang w:val="pt-BR"/>
        </w:rPr>
        <w:t>, </w:t>
      </w:r>
      <w:r w:rsidRPr="00FE4CC2">
        <w:rPr>
          <w:rStyle w:val="name"/>
          <w:bCs/>
          <w:szCs w:val="22"/>
          <w:lang w:val="pt-BR"/>
        </w:rPr>
        <w:t>R., Baker</w:t>
      </w:r>
      <w:r w:rsidRPr="00FE4CC2">
        <w:rPr>
          <w:bCs/>
          <w:szCs w:val="22"/>
          <w:lang w:val="pt-BR"/>
        </w:rPr>
        <w:t>, </w:t>
      </w:r>
      <w:r w:rsidRPr="00FE4CC2">
        <w:rPr>
          <w:rStyle w:val="name"/>
          <w:bCs/>
          <w:szCs w:val="22"/>
          <w:lang w:val="pt-BR"/>
        </w:rPr>
        <w:t>T. R., da Silva</w:t>
      </w:r>
      <w:r w:rsidRPr="00FE4CC2">
        <w:rPr>
          <w:bCs/>
          <w:szCs w:val="22"/>
          <w:lang w:val="pt-BR"/>
        </w:rPr>
        <w:t>, </w:t>
      </w:r>
      <w:r w:rsidRPr="00FE4CC2">
        <w:rPr>
          <w:rStyle w:val="name"/>
          <w:bCs/>
          <w:szCs w:val="22"/>
          <w:lang w:val="pt-BR"/>
        </w:rPr>
        <w:t>N. F., Ferreira</w:t>
      </w:r>
      <w:r w:rsidRPr="00FE4CC2">
        <w:rPr>
          <w:bCs/>
          <w:szCs w:val="22"/>
          <w:lang w:val="pt-BR"/>
        </w:rPr>
        <w:t>, </w:t>
      </w:r>
      <w:r w:rsidRPr="00FE4CC2">
        <w:rPr>
          <w:rStyle w:val="name"/>
          <w:bCs/>
          <w:szCs w:val="22"/>
          <w:lang w:val="pt-BR"/>
        </w:rPr>
        <w:t>L. V., Peres</w:t>
      </w:r>
      <w:r w:rsidRPr="00FE4CC2">
        <w:rPr>
          <w:bCs/>
          <w:szCs w:val="22"/>
          <w:lang w:val="pt-BR"/>
        </w:rPr>
        <w:t>, </w:t>
      </w:r>
      <w:r w:rsidRPr="00FE4CC2">
        <w:rPr>
          <w:rStyle w:val="name"/>
          <w:bCs/>
          <w:szCs w:val="22"/>
          <w:lang w:val="pt-BR"/>
        </w:rPr>
        <w:t>C. A., Silman</w:t>
      </w:r>
      <w:r w:rsidRPr="00FE4CC2">
        <w:rPr>
          <w:bCs/>
          <w:szCs w:val="22"/>
          <w:lang w:val="pt-BR"/>
        </w:rPr>
        <w:t>, </w:t>
      </w:r>
      <w:r w:rsidRPr="00FE4CC2">
        <w:rPr>
          <w:rStyle w:val="name"/>
          <w:bCs/>
          <w:szCs w:val="22"/>
          <w:lang w:val="pt-BR"/>
        </w:rPr>
        <w:t>M. R., Cerón</w:t>
      </w:r>
      <w:r w:rsidRPr="00FE4CC2">
        <w:rPr>
          <w:bCs/>
          <w:szCs w:val="22"/>
          <w:lang w:val="pt-BR"/>
        </w:rPr>
        <w:t>, </w:t>
      </w:r>
      <w:r w:rsidRPr="00FE4CC2">
        <w:rPr>
          <w:rStyle w:val="name"/>
          <w:bCs/>
          <w:szCs w:val="22"/>
          <w:lang w:val="pt-BR"/>
        </w:rPr>
        <w:t>C., Valverde</w:t>
      </w:r>
      <w:r w:rsidRPr="00FE4CC2">
        <w:rPr>
          <w:bCs/>
          <w:szCs w:val="22"/>
          <w:lang w:val="pt-BR"/>
        </w:rPr>
        <w:t>, </w:t>
      </w:r>
      <w:r w:rsidRPr="00FE4CC2">
        <w:rPr>
          <w:rStyle w:val="name"/>
          <w:bCs/>
          <w:szCs w:val="22"/>
          <w:lang w:val="pt-BR"/>
        </w:rPr>
        <w:t>F. C., Di Fiore</w:t>
      </w:r>
      <w:r w:rsidRPr="00FE4CC2">
        <w:rPr>
          <w:bCs/>
          <w:szCs w:val="22"/>
          <w:lang w:val="pt-BR"/>
        </w:rPr>
        <w:t>, </w:t>
      </w:r>
      <w:r w:rsidRPr="00FE4CC2">
        <w:rPr>
          <w:rStyle w:val="name"/>
          <w:bCs/>
          <w:szCs w:val="22"/>
          <w:lang w:val="pt-BR"/>
        </w:rPr>
        <w:t>A., Jimenez</w:t>
      </w:r>
      <w:r w:rsidRPr="00FE4CC2">
        <w:rPr>
          <w:bCs/>
          <w:szCs w:val="22"/>
          <w:lang w:val="pt-BR"/>
        </w:rPr>
        <w:t>, </w:t>
      </w:r>
      <w:r w:rsidRPr="00FE4CC2">
        <w:rPr>
          <w:rStyle w:val="name"/>
          <w:bCs/>
          <w:szCs w:val="22"/>
          <w:lang w:val="pt-BR"/>
        </w:rPr>
        <w:t>E. M., Peñuela Mora</w:t>
      </w:r>
      <w:r w:rsidRPr="00FE4CC2">
        <w:rPr>
          <w:bCs/>
          <w:szCs w:val="22"/>
          <w:lang w:val="pt-BR"/>
        </w:rPr>
        <w:t>, </w:t>
      </w:r>
      <w:r w:rsidRPr="00FE4CC2">
        <w:rPr>
          <w:rStyle w:val="name"/>
          <w:bCs/>
          <w:szCs w:val="22"/>
          <w:lang w:val="pt-BR"/>
        </w:rPr>
        <w:t>M. C., Toledo</w:t>
      </w:r>
      <w:r w:rsidRPr="00FE4CC2">
        <w:rPr>
          <w:bCs/>
          <w:szCs w:val="22"/>
          <w:lang w:val="pt-BR"/>
        </w:rPr>
        <w:t>, </w:t>
      </w:r>
      <w:r w:rsidRPr="00FE4CC2">
        <w:rPr>
          <w:rStyle w:val="name"/>
          <w:bCs/>
          <w:szCs w:val="22"/>
          <w:lang w:val="pt-BR"/>
        </w:rPr>
        <w:t>M., Barbosa</w:t>
      </w:r>
      <w:r w:rsidRPr="00FE4CC2">
        <w:rPr>
          <w:bCs/>
          <w:szCs w:val="22"/>
          <w:lang w:val="pt-BR"/>
        </w:rPr>
        <w:t>, </w:t>
      </w:r>
      <w:r w:rsidRPr="00FE4CC2">
        <w:rPr>
          <w:rStyle w:val="name"/>
          <w:bCs/>
          <w:szCs w:val="22"/>
          <w:lang w:val="pt-BR"/>
        </w:rPr>
        <w:t>E. M., Bonates</w:t>
      </w:r>
      <w:r w:rsidRPr="00FE4CC2">
        <w:rPr>
          <w:bCs/>
          <w:szCs w:val="22"/>
          <w:lang w:val="pt-BR"/>
        </w:rPr>
        <w:t>, </w:t>
      </w:r>
      <w:r w:rsidRPr="00FE4CC2">
        <w:rPr>
          <w:rStyle w:val="name"/>
          <w:bCs/>
          <w:szCs w:val="22"/>
          <w:lang w:val="pt-BR"/>
        </w:rPr>
        <w:t>L. C. de M., Arboleda</w:t>
      </w:r>
      <w:r w:rsidRPr="00FE4CC2">
        <w:rPr>
          <w:bCs/>
          <w:szCs w:val="22"/>
          <w:lang w:val="pt-BR"/>
        </w:rPr>
        <w:t>, </w:t>
      </w:r>
      <w:r w:rsidRPr="00FE4CC2">
        <w:rPr>
          <w:rStyle w:val="name"/>
          <w:bCs/>
          <w:szCs w:val="22"/>
          <w:lang w:val="pt-BR"/>
        </w:rPr>
        <w:t>N. C., Farias</w:t>
      </w:r>
      <w:r w:rsidRPr="00FE4CC2">
        <w:rPr>
          <w:bCs/>
          <w:szCs w:val="22"/>
          <w:lang w:val="pt-BR"/>
        </w:rPr>
        <w:t>, </w:t>
      </w:r>
      <w:r w:rsidRPr="00FE4CC2">
        <w:rPr>
          <w:rStyle w:val="name"/>
          <w:bCs/>
          <w:szCs w:val="22"/>
          <w:lang w:val="pt-BR"/>
        </w:rPr>
        <w:t>E. de S., Fuentes</w:t>
      </w:r>
      <w:r w:rsidRPr="00FE4CC2">
        <w:rPr>
          <w:bCs/>
          <w:szCs w:val="22"/>
          <w:lang w:val="pt-BR"/>
        </w:rPr>
        <w:t>, </w:t>
      </w:r>
      <w:r w:rsidRPr="00FE4CC2">
        <w:rPr>
          <w:rStyle w:val="name"/>
          <w:bCs/>
          <w:szCs w:val="22"/>
          <w:lang w:val="pt-BR"/>
        </w:rPr>
        <w:t>A., Guillaumet</w:t>
      </w:r>
      <w:r w:rsidRPr="00FE4CC2">
        <w:rPr>
          <w:bCs/>
          <w:szCs w:val="22"/>
          <w:lang w:val="pt-BR"/>
        </w:rPr>
        <w:t>, </w:t>
      </w:r>
      <w:r w:rsidRPr="00FE4CC2">
        <w:rPr>
          <w:rStyle w:val="name"/>
          <w:bCs/>
          <w:szCs w:val="22"/>
          <w:lang w:val="pt-BR"/>
        </w:rPr>
        <w:t>J. -L., Møller Jørgensen</w:t>
      </w:r>
      <w:r w:rsidRPr="00FE4CC2">
        <w:rPr>
          <w:bCs/>
          <w:szCs w:val="22"/>
          <w:lang w:val="pt-BR"/>
        </w:rPr>
        <w:t>, </w:t>
      </w:r>
      <w:r w:rsidRPr="00FE4CC2">
        <w:rPr>
          <w:rStyle w:val="name"/>
          <w:bCs/>
          <w:szCs w:val="22"/>
          <w:lang w:val="pt-BR"/>
        </w:rPr>
        <w:t>P., Malhi</w:t>
      </w:r>
      <w:r w:rsidRPr="00FE4CC2">
        <w:rPr>
          <w:bCs/>
          <w:szCs w:val="22"/>
          <w:lang w:val="pt-BR"/>
        </w:rPr>
        <w:t>, </w:t>
      </w:r>
      <w:r w:rsidRPr="00FE4CC2">
        <w:rPr>
          <w:rStyle w:val="name"/>
          <w:bCs/>
          <w:szCs w:val="22"/>
          <w:lang w:val="pt-BR"/>
        </w:rPr>
        <w:t>Y., Andrade Miranda</w:t>
      </w:r>
      <w:r w:rsidRPr="00FE4CC2">
        <w:rPr>
          <w:bCs/>
          <w:szCs w:val="22"/>
          <w:lang w:val="pt-BR"/>
        </w:rPr>
        <w:t>, </w:t>
      </w:r>
      <w:r w:rsidRPr="00FE4CC2">
        <w:rPr>
          <w:rStyle w:val="name"/>
          <w:bCs/>
          <w:szCs w:val="22"/>
          <w:lang w:val="pt-BR"/>
        </w:rPr>
        <w:t>I. P. de, Phillips</w:t>
      </w:r>
      <w:r w:rsidRPr="00FE4CC2">
        <w:rPr>
          <w:bCs/>
          <w:szCs w:val="22"/>
          <w:lang w:val="pt-BR"/>
        </w:rPr>
        <w:t>, </w:t>
      </w:r>
      <w:r w:rsidRPr="00FE4CC2">
        <w:rPr>
          <w:rStyle w:val="name"/>
          <w:bCs/>
          <w:szCs w:val="22"/>
          <w:lang w:val="pt-BR"/>
        </w:rPr>
        <w:t>J. F., Prieto</w:t>
      </w:r>
      <w:r w:rsidRPr="00FE4CC2">
        <w:rPr>
          <w:bCs/>
          <w:szCs w:val="22"/>
          <w:lang w:val="pt-BR"/>
        </w:rPr>
        <w:t>, </w:t>
      </w:r>
      <w:r w:rsidRPr="00FE4CC2">
        <w:rPr>
          <w:rStyle w:val="name"/>
          <w:bCs/>
          <w:szCs w:val="22"/>
          <w:lang w:val="pt-BR"/>
        </w:rPr>
        <w:t>A., Rudas</w:t>
      </w:r>
      <w:r w:rsidRPr="00FE4CC2">
        <w:rPr>
          <w:bCs/>
          <w:szCs w:val="22"/>
          <w:lang w:val="pt-BR"/>
        </w:rPr>
        <w:t>, </w:t>
      </w:r>
      <w:r w:rsidRPr="00FE4CC2">
        <w:rPr>
          <w:rStyle w:val="name"/>
          <w:bCs/>
          <w:szCs w:val="22"/>
          <w:lang w:val="pt-BR"/>
        </w:rPr>
        <w:t>A., Ruschel</w:t>
      </w:r>
      <w:r w:rsidRPr="00FE4CC2">
        <w:rPr>
          <w:bCs/>
          <w:szCs w:val="22"/>
          <w:lang w:val="pt-BR"/>
        </w:rPr>
        <w:t>, </w:t>
      </w:r>
      <w:r w:rsidRPr="00FE4CC2">
        <w:rPr>
          <w:rStyle w:val="name"/>
          <w:bCs/>
          <w:szCs w:val="22"/>
          <w:lang w:val="pt-BR"/>
        </w:rPr>
        <w:t>A. R., Silva</w:t>
      </w:r>
      <w:r w:rsidRPr="00FE4CC2">
        <w:rPr>
          <w:bCs/>
          <w:szCs w:val="22"/>
          <w:lang w:val="pt-BR"/>
        </w:rPr>
        <w:t>, </w:t>
      </w:r>
      <w:r w:rsidRPr="00FE4CC2">
        <w:rPr>
          <w:rStyle w:val="name"/>
          <w:bCs/>
          <w:szCs w:val="22"/>
          <w:lang w:val="pt-BR"/>
        </w:rPr>
        <w:t>N., von Hildebrand</w:t>
      </w:r>
      <w:r w:rsidRPr="00FE4CC2">
        <w:rPr>
          <w:bCs/>
          <w:szCs w:val="22"/>
          <w:lang w:val="pt-BR"/>
        </w:rPr>
        <w:t>, </w:t>
      </w:r>
      <w:r w:rsidRPr="00FE4CC2">
        <w:rPr>
          <w:rStyle w:val="name"/>
          <w:bCs/>
          <w:szCs w:val="22"/>
          <w:lang w:val="pt-BR"/>
        </w:rPr>
        <w:t>P., Vos</w:t>
      </w:r>
      <w:r w:rsidRPr="00FE4CC2">
        <w:rPr>
          <w:bCs/>
          <w:szCs w:val="22"/>
          <w:lang w:val="pt-BR"/>
        </w:rPr>
        <w:t>, </w:t>
      </w:r>
      <w:r w:rsidRPr="00FE4CC2">
        <w:rPr>
          <w:rStyle w:val="name"/>
          <w:bCs/>
          <w:szCs w:val="22"/>
          <w:lang w:val="pt-BR"/>
        </w:rPr>
        <w:t>V. A., Zent</w:t>
      </w:r>
      <w:r w:rsidRPr="00FE4CC2">
        <w:rPr>
          <w:bCs/>
          <w:szCs w:val="22"/>
          <w:lang w:val="pt-BR"/>
        </w:rPr>
        <w:t>, </w:t>
      </w:r>
      <w:r w:rsidRPr="00FE4CC2">
        <w:rPr>
          <w:rStyle w:val="name"/>
          <w:bCs/>
          <w:szCs w:val="22"/>
          <w:lang w:val="pt-BR"/>
        </w:rPr>
        <w:t>E. L., Zent</w:t>
      </w:r>
      <w:r w:rsidRPr="00FE4CC2">
        <w:rPr>
          <w:bCs/>
          <w:szCs w:val="22"/>
          <w:lang w:val="pt-BR"/>
        </w:rPr>
        <w:t>, </w:t>
      </w:r>
      <w:r w:rsidRPr="00FE4CC2">
        <w:rPr>
          <w:rStyle w:val="name"/>
          <w:bCs/>
          <w:szCs w:val="22"/>
          <w:lang w:val="pt-BR"/>
        </w:rPr>
        <w:t>S., Cintra</w:t>
      </w:r>
      <w:r w:rsidRPr="00FE4CC2">
        <w:rPr>
          <w:bCs/>
          <w:szCs w:val="22"/>
          <w:lang w:val="pt-BR"/>
        </w:rPr>
        <w:t>, </w:t>
      </w:r>
      <w:r w:rsidRPr="00FE4CC2">
        <w:rPr>
          <w:rStyle w:val="name"/>
          <w:bCs/>
          <w:szCs w:val="22"/>
          <w:lang w:val="pt-BR"/>
        </w:rPr>
        <w:t>B. B. L., Nascimento</w:t>
      </w:r>
      <w:r w:rsidRPr="00FE4CC2">
        <w:rPr>
          <w:bCs/>
          <w:szCs w:val="22"/>
          <w:lang w:val="pt-BR"/>
        </w:rPr>
        <w:t>, </w:t>
      </w:r>
      <w:r w:rsidRPr="00FE4CC2">
        <w:rPr>
          <w:rStyle w:val="name"/>
          <w:bCs/>
          <w:szCs w:val="22"/>
          <w:lang w:val="pt-BR"/>
        </w:rPr>
        <w:t>M. T., Oliveira</w:t>
      </w:r>
      <w:r w:rsidRPr="00FE4CC2">
        <w:rPr>
          <w:bCs/>
          <w:szCs w:val="22"/>
          <w:lang w:val="pt-BR"/>
        </w:rPr>
        <w:t>, </w:t>
      </w:r>
      <w:r w:rsidRPr="00FE4CC2">
        <w:rPr>
          <w:rStyle w:val="name"/>
          <w:bCs/>
          <w:szCs w:val="22"/>
          <w:lang w:val="pt-BR"/>
        </w:rPr>
        <w:t>A. A., Ramirez-Angulo</w:t>
      </w:r>
      <w:r w:rsidRPr="00FE4CC2">
        <w:rPr>
          <w:bCs/>
          <w:szCs w:val="22"/>
          <w:lang w:val="pt-BR"/>
        </w:rPr>
        <w:t>, </w:t>
      </w:r>
      <w:r w:rsidRPr="00FE4CC2">
        <w:rPr>
          <w:rStyle w:val="name"/>
          <w:bCs/>
          <w:szCs w:val="22"/>
          <w:lang w:val="pt-BR"/>
        </w:rPr>
        <w:t>H., Ramos</w:t>
      </w:r>
      <w:r w:rsidRPr="00FE4CC2">
        <w:rPr>
          <w:bCs/>
          <w:szCs w:val="22"/>
          <w:lang w:val="pt-BR"/>
        </w:rPr>
        <w:t>, </w:t>
      </w:r>
      <w:r w:rsidRPr="00FE4CC2">
        <w:rPr>
          <w:rStyle w:val="name"/>
          <w:bCs/>
          <w:szCs w:val="22"/>
          <w:lang w:val="pt-BR"/>
        </w:rPr>
        <w:t>J. F., Rivas</w:t>
      </w:r>
      <w:r w:rsidRPr="00FE4CC2">
        <w:rPr>
          <w:bCs/>
          <w:szCs w:val="22"/>
          <w:lang w:val="pt-BR"/>
        </w:rPr>
        <w:t>, </w:t>
      </w:r>
      <w:r w:rsidRPr="00FE4CC2">
        <w:rPr>
          <w:rStyle w:val="name"/>
          <w:bCs/>
          <w:szCs w:val="22"/>
          <w:lang w:val="pt-BR"/>
        </w:rPr>
        <w:t>G., Schöngart</w:t>
      </w:r>
      <w:r w:rsidRPr="00FE4CC2">
        <w:rPr>
          <w:bCs/>
          <w:szCs w:val="22"/>
          <w:lang w:val="pt-BR"/>
        </w:rPr>
        <w:t>, </w:t>
      </w:r>
      <w:r w:rsidRPr="00FE4CC2">
        <w:rPr>
          <w:rStyle w:val="name"/>
          <w:bCs/>
          <w:szCs w:val="22"/>
          <w:lang w:val="pt-BR"/>
        </w:rPr>
        <w:t>J., Sierra</w:t>
      </w:r>
      <w:r w:rsidRPr="00FE4CC2">
        <w:rPr>
          <w:bCs/>
          <w:szCs w:val="22"/>
          <w:lang w:val="pt-BR"/>
        </w:rPr>
        <w:t>, </w:t>
      </w:r>
      <w:r w:rsidRPr="00FE4CC2">
        <w:rPr>
          <w:rStyle w:val="name"/>
          <w:bCs/>
          <w:szCs w:val="22"/>
          <w:lang w:val="pt-BR"/>
        </w:rPr>
        <w:t>R., Tirado</w:t>
      </w:r>
      <w:r w:rsidRPr="00FE4CC2">
        <w:rPr>
          <w:bCs/>
          <w:szCs w:val="22"/>
          <w:lang w:val="pt-BR"/>
        </w:rPr>
        <w:t>, </w:t>
      </w:r>
      <w:r w:rsidRPr="00FE4CC2">
        <w:rPr>
          <w:rStyle w:val="name"/>
          <w:bCs/>
          <w:szCs w:val="22"/>
          <w:lang w:val="pt-BR"/>
        </w:rPr>
        <w:t>M., van der Heijden</w:t>
      </w:r>
      <w:r w:rsidRPr="00FE4CC2">
        <w:rPr>
          <w:bCs/>
          <w:szCs w:val="22"/>
          <w:lang w:val="pt-BR"/>
        </w:rPr>
        <w:t>, </w:t>
      </w:r>
      <w:r w:rsidRPr="00FE4CC2">
        <w:rPr>
          <w:rStyle w:val="name"/>
          <w:bCs/>
          <w:szCs w:val="22"/>
          <w:lang w:val="pt-BR"/>
        </w:rPr>
        <w:t>G., Torre</w:t>
      </w:r>
      <w:r w:rsidRPr="00FE4CC2">
        <w:rPr>
          <w:bCs/>
          <w:szCs w:val="22"/>
          <w:lang w:val="pt-BR"/>
        </w:rPr>
        <w:t>, </w:t>
      </w:r>
      <w:r w:rsidRPr="00FE4CC2">
        <w:rPr>
          <w:rStyle w:val="name"/>
          <w:bCs/>
          <w:szCs w:val="22"/>
          <w:lang w:val="pt-BR"/>
        </w:rPr>
        <w:t>E. V., Wang</w:t>
      </w:r>
      <w:r w:rsidRPr="00FE4CC2">
        <w:rPr>
          <w:bCs/>
          <w:szCs w:val="22"/>
          <w:lang w:val="pt-BR"/>
        </w:rPr>
        <w:t>, </w:t>
      </w:r>
      <w:r w:rsidRPr="00FE4CC2">
        <w:rPr>
          <w:rStyle w:val="name"/>
          <w:bCs/>
          <w:szCs w:val="22"/>
          <w:lang w:val="pt-BR"/>
        </w:rPr>
        <w:t>O., Young</w:t>
      </w:r>
      <w:r w:rsidRPr="00FE4CC2">
        <w:rPr>
          <w:bCs/>
          <w:szCs w:val="22"/>
          <w:lang w:val="pt-BR"/>
        </w:rPr>
        <w:t>, </w:t>
      </w:r>
      <w:r w:rsidRPr="00FE4CC2">
        <w:rPr>
          <w:rStyle w:val="name"/>
          <w:bCs/>
          <w:szCs w:val="22"/>
          <w:lang w:val="pt-BR"/>
        </w:rPr>
        <w:t>K. R., Baider</w:t>
      </w:r>
      <w:r w:rsidRPr="00FE4CC2">
        <w:rPr>
          <w:bCs/>
          <w:szCs w:val="22"/>
          <w:lang w:val="pt-BR"/>
        </w:rPr>
        <w:t>, </w:t>
      </w:r>
      <w:r w:rsidRPr="00FE4CC2">
        <w:rPr>
          <w:rStyle w:val="name"/>
          <w:bCs/>
          <w:szCs w:val="22"/>
          <w:lang w:val="pt-BR"/>
        </w:rPr>
        <w:t>C., Cano</w:t>
      </w:r>
      <w:r w:rsidRPr="00FE4CC2">
        <w:rPr>
          <w:bCs/>
          <w:szCs w:val="22"/>
          <w:lang w:val="pt-BR"/>
        </w:rPr>
        <w:t>, </w:t>
      </w:r>
      <w:r w:rsidRPr="00FE4CC2">
        <w:rPr>
          <w:rStyle w:val="name"/>
          <w:bCs/>
          <w:szCs w:val="22"/>
          <w:lang w:val="pt-BR"/>
        </w:rPr>
        <w:t>A., Farfan-Rios</w:t>
      </w:r>
      <w:r w:rsidRPr="00FE4CC2">
        <w:rPr>
          <w:bCs/>
          <w:szCs w:val="22"/>
          <w:lang w:val="pt-BR"/>
        </w:rPr>
        <w:t>, </w:t>
      </w:r>
      <w:r w:rsidRPr="00FE4CC2">
        <w:rPr>
          <w:rStyle w:val="name"/>
          <w:bCs/>
          <w:szCs w:val="22"/>
          <w:lang w:val="pt-BR"/>
        </w:rPr>
        <w:t>W., Ferreira</w:t>
      </w:r>
      <w:r w:rsidRPr="00FE4CC2">
        <w:rPr>
          <w:bCs/>
          <w:szCs w:val="22"/>
          <w:lang w:val="pt-BR"/>
        </w:rPr>
        <w:t>, </w:t>
      </w:r>
      <w:r w:rsidRPr="00FE4CC2">
        <w:rPr>
          <w:rStyle w:val="name"/>
          <w:bCs/>
          <w:szCs w:val="22"/>
          <w:lang w:val="pt-BR"/>
        </w:rPr>
        <w:t>C., Hoffman</w:t>
      </w:r>
      <w:r w:rsidRPr="00FE4CC2">
        <w:rPr>
          <w:bCs/>
          <w:szCs w:val="22"/>
          <w:lang w:val="pt-BR"/>
        </w:rPr>
        <w:t>, </w:t>
      </w:r>
      <w:r w:rsidRPr="00FE4CC2">
        <w:rPr>
          <w:rStyle w:val="name"/>
          <w:bCs/>
          <w:szCs w:val="22"/>
          <w:lang w:val="pt-BR"/>
        </w:rPr>
        <w:t>B., Mendoza</w:t>
      </w:r>
      <w:r w:rsidRPr="00FE4CC2">
        <w:rPr>
          <w:bCs/>
          <w:szCs w:val="22"/>
          <w:lang w:val="pt-BR"/>
        </w:rPr>
        <w:t>, </w:t>
      </w:r>
      <w:r w:rsidRPr="00FE4CC2">
        <w:rPr>
          <w:rStyle w:val="name"/>
          <w:bCs/>
          <w:szCs w:val="22"/>
          <w:lang w:val="pt-BR"/>
        </w:rPr>
        <w:t>C., Mesones</w:t>
      </w:r>
      <w:r w:rsidRPr="00FE4CC2">
        <w:rPr>
          <w:bCs/>
          <w:szCs w:val="22"/>
          <w:lang w:val="pt-BR"/>
        </w:rPr>
        <w:t>, </w:t>
      </w:r>
      <w:r w:rsidRPr="00FE4CC2">
        <w:rPr>
          <w:rStyle w:val="name"/>
          <w:bCs/>
          <w:szCs w:val="22"/>
          <w:lang w:val="pt-BR"/>
        </w:rPr>
        <w:t>I., Torres-Lezama</w:t>
      </w:r>
      <w:r w:rsidRPr="00FE4CC2">
        <w:rPr>
          <w:bCs/>
          <w:szCs w:val="22"/>
          <w:lang w:val="pt-BR"/>
        </w:rPr>
        <w:t>, </w:t>
      </w:r>
      <w:r w:rsidRPr="00FE4CC2">
        <w:rPr>
          <w:rStyle w:val="name"/>
          <w:bCs/>
          <w:szCs w:val="22"/>
          <w:lang w:val="pt-BR"/>
        </w:rPr>
        <w:t>A., Medina</w:t>
      </w:r>
      <w:r w:rsidRPr="00FE4CC2">
        <w:rPr>
          <w:bCs/>
          <w:szCs w:val="22"/>
          <w:lang w:val="pt-BR"/>
        </w:rPr>
        <w:t>, </w:t>
      </w:r>
      <w:r w:rsidRPr="00FE4CC2">
        <w:rPr>
          <w:rStyle w:val="name"/>
          <w:bCs/>
          <w:szCs w:val="22"/>
          <w:lang w:val="pt-BR"/>
        </w:rPr>
        <w:t>M. N. U., van Andel</w:t>
      </w:r>
      <w:r w:rsidRPr="00FE4CC2">
        <w:rPr>
          <w:bCs/>
          <w:szCs w:val="22"/>
          <w:lang w:val="pt-BR"/>
        </w:rPr>
        <w:t>, </w:t>
      </w:r>
      <w:r w:rsidRPr="00FE4CC2">
        <w:rPr>
          <w:rStyle w:val="name"/>
          <w:bCs/>
          <w:szCs w:val="22"/>
          <w:lang w:val="pt-BR"/>
        </w:rPr>
        <w:t>T. R., Villarroel</w:t>
      </w:r>
      <w:r w:rsidRPr="00FE4CC2">
        <w:rPr>
          <w:bCs/>
          <w:szCs w:val="22"/>
          <w:lang w:val="pt-BR"/>
        </w:rPr>
        <w:t>, </w:t>
      </w:r>
      <w:r w:rsidRPr="00FE4CC2">
        <w:rPr>
          <w:rStyle w:val="name"/>
          <w:bCs/>
          <w:szCs w:val="22"/>
          <w:lang w:val="pt-BR"/>
        </w:rPr>
        <w:t>D., Zagt</w:t>
      </w:r>
      <w:r w:rsidRPr="00FE4CC2">
        <w:rPr>
          <w:bCs/>
          <w:szCs w:val="22"/>
          <w:lang w:val="pt-BR"/>
        </w:rPr>
        <w:t>, </w:t>
      </w:r>
      <w:r w:rsidRPr="00FE4CC2">
        <w:rPr>
          <w:rStyle w:val="name"/>
          <w:bCs/>
          <w:szCs w:val="22"/>
          <w:lang w:val="pt-BR"/>
        </w:rPr>
        <w:t>R., Alexiades</w:t>
      </w:r>
      <w:r w:rsidRPr="00FE4CC2">
        <w:rPr>
          <w:bCs/>
          <w:szCs w:val="22"/>
          <w:lang w:val="pt-BR"/>
        </w:rPr>
        <w:t>, </w:t>
      </w:r>
      <w:r w:rsidRPr="00FE4CC2">
        <w:rPr>
          <w:rStyle w:val="name"/>
          <w:bCs/>
          <w:szCs w:val="22"/>
          <w:lang w:val="pt-BR"/>
        </w:rPr>
        <w:t>M. N., Balslev</w:t>
      </w:r>
      <w:r w:rsidRPr="00FE4CC2">
        <w:rPr>
          <w:bCs/>
          <w:szCs w:val="22"/>
          <w:lang w:val="pt-BR"/>
        </w:rPr>
        <w:t>, </w:t>
      </w:r>
      <w:r w:rsidRPr="00FE4CC2">
        <w:rPr>
          <w:rStyle w:val="name"/>
          <w:bCs/>
          <w:szCs w:val="22"/>
          <w:lang w:val="pt-BR"/>
        </w:rPr>
        <w:t>H., Garcia-Cabrera</w:t>
      </w:r>
      <w:r w:rsidRPr="00FE4CC2">
        <w:rPr>
          <w:bCs/>
          <w:szCs w:val="22"/>
          <w:lang w:val="pt-BR"/>
        </w:rPr>
        <w:t>, </w:t>
      </w:r>
      <w:r w:rsidRPr="00FE4CC2">
        <w:rPr>
          <w:rStyle w:val="name"/>
          <w:bCs/>
          <w:szCs w:val="22"/>
          <w:lang w:val="pt-BR"/>
        </w:rPr>
        <w:t>K., Gonzales</w:t>
      </w:r>
      <w:r w:rsidRPr="00FE4CC2">
        <w:rPr>
          <w:bCs/>
          <w:szCs w:val="22"/>
          <w:lang w:val="pt-BR"/>
        </w:rPr>
        <w:t>, </w:t>
      </w:r>
      <w:r w:rsidRPr="00FE4CC2">
        <w:rPr>
          <w:rStyle w:val="name"/>
          <w:bCs/>
          <w:szCs w:val="22"/>
          <w:lang w:val="pt-BR"/>
        </w:rPr>
        <w:t>T.,Hernandez</w:t>
      </w:r>
      <w:r w:rsidRPr="00FE4CC2">
        <w:rPr>
          <w:bCs/>
          <w:szCs w:val="22"/>
          <w:lang w:val="pt-BR"/>
        </w:rPr>
        <w:t>, </w:t>
      </w:r>
      <w:r w:rsidRPr="00FE4CC2">
        <w:rPr>
          <w:rStyle w:val="name"/>
          <w:bCs/>
          <w:szCs w:val="22"/>
          <w:lang w:val="pt-BR"/>
        </w:rPr>
        <w:t>L., Huamantupa-Chuquimaco</w:t>
      </w:r>
      <w:r w:rsidRPr="00FE4CC2">
        <w:rPr>
          <w:bCs/>
          <w:szCs w:val="22"/>
          <w:lang w:val="pt-BR"/>
        </w:rPr>
        <w:t>, </w:t>
      </w:r>
      <w:r w:rsidRPr="00FE4CC2">
        <w:rPr>
          <w:rStyle w:val="name"/>
          <w:bCs/>
          <w:szCs w:val="22"/>
          <w:lang w:val="pt-BR"/>
        </w:rPr>
        <w:t>I., Manzatto</w:t>
      </w:r>
      <w:r w:rsidRPr="00FE4CC2">
        <w:rPr>
          <w:bCs/>
          <w:szCs w:val="22"/>
          <w:lang w:val="pt-BR"/>
        </w:rPr>
        <w:t>, </w:t>
      </w:r>
      <w:r w:rsidRPr="00FE4CC2">
        <w:rPr>
          <w:rStyle w:val="name"/>
          <w:bCs/>
          <w:szCs w:val="22"/>
          <w:lang w:val="pt-BR"/>
        </w:rPr>
        <w:t>A. G., Milliken</w:t>
      </w:r>
      <w:r w:rsidRPr="00FE4CC2">
        <w:rPr>
          <w:bCs/>
          <w:szCs w:val="22"/>
          <w:lang w:val="pt-BR"/>
        </w:rPr>
        <w:t>, </w:t>
      </w:r>
      <w:r w:rsidRPr="00FE4CC2">
        <w:rPr>
          <w:rStyle w:val="name"/>
          <w:bCs/>
          <w:szCs w:val="22"/>
          <w:lang w:val="pt-BR"/>
        </w:rPr>
        <w:t>W., Cuenca</w:t>
      </w:r>
      <w:r w:rsidRPr="00FE4CC2">
        <w:rPr>
          <w:bCs/>
          <w:szCs w:val="22"/>
          <w:lang w:val="pt-BR"/>
        </w:rPr>
        <w:t>, </w:t>
      </w:r>
      <w:r w:rsidRPr="00FE4CC2">
        <w:rPr>
          <w:rStyle w:val="name"/>
          <w:bCs/>
          <w:szCs w:val="22"/>
          <w:lang w:val="pt-BR"/>
        </w:rPr>
        <w:t>W. P., Pansini</w:t>
      </w:r>
      <w:r w:rsidRPr="00FE4CC2">
        <w:rPr>
          <w:bCs/>
          <w:szCs w:val="22"/>
          <w:lang w:val="pt-BR"/>
        </w:rPr>
        <w:t>, </w:t>
      </w:r>
      <w:r w:rsidRPr="00FE4CC2">
        <w:rPr>
          <w:rStyle w:val="name"/>
          <w:bCs/>
          <w:szCs w:val="22"/>
          <w:lang w:val="pt-BR"/>
        </w:rPr>
        <w:t>S., Pauletto</w:t>
      </w:r>
      <w:r w:rsidRPr="00FE4CC2">
        <w:rPr>
          <w:bCs/>
          <w:szCs w:val="22"/>
          <w:lang w:val="pt-BR"/>
        </w:rPr>
        <w:t>, </w:t>
      </w:r>
      <w:r w:rsidRPr="00FE4CC2">
        <w:rPr>
          <w:rStyle w:val="name"/>
          <w:bCs/>
          <w:szCs w:val="22"/>
          <w:lang w:val="pt-BR"/>
        </w:rPr>
        <w:t>D., Arevalo</w:t>
      </w:r>
      <w:r w:rsidRPr="00FE4CC2">
        <w:rPr>
          <w:bCs/>
          <w:szCs w:val="22"/>
          <w:lang w:val="pt-BR"/>
        </w:rPr>
        <w:t>, </w:t>
      </w:r>
      <w:r w:rsidRPr="00FE4CC2">
        <w:rPr>
          <w:rStyle w:val="name"/>
          <w:bCs/>
          <w:szCs w:val="22"/>
          <w:lang w:val="pt-BR"/>
        </w:rPr>
        <w:t>F. R., Costa Reis</w:t>
      </w:r>
      <w:r w:rsidRPr="00FE4CC2">
        <w:rPr>
          <w:bCs/>
          <w:szCs w:val="22"/>
          <w:lang w:val="pt-BR"/>
        </w:rPr>
        <w:t>, </w:t>
      </w:r>
      <w:r w:rsidRPr="00FE4CC2">
        <w:rPr>
          <w:rStyle w:val="name"/>
          <w:bCs/>
          <w:szCs w:val="22"/>
          <w:lang w:val="pt-BR"/>
        </w:rPr>
        <w:t>N. F., Sampaio</w:t>
      </w:r>
      <w:r w:rsidRPr="00FE4CC2">
        <w:rPr>
          <w:bCs/>
          <w:szCs w:val="22"/>
          <w:lang w:val="pt-BR"/>
        </w:rPr>
        <w:t>, </w:t>
      </w:r>
      <w:r w:rsidRPr="00FE4CC2">
        <w:rPr>
          <w:rStyle w:val="name"/>
          <w:bCs/>
          <w:szCs w:val="22"/>
          <w:lang w:val="pt-BR"/>
        </w:rPr>
        <w:t>A. F., Urrego Giraldo</w:t>
      </w:r>
      <w:r w:rsidRPr="00FE4CC2">
        <w:rPr>
          <w:bCs/>
          <w:szCs w:val="22"/>
          <w:lang w:val="pt-BR"/>
        </w:rPr>
        <w:t>, </w:t>
      </w:r>
      <w:r w:rsidRPr="00FE4CC2">
        <w:rPr>
          <w:rStyle w:val="name"/>
          <w:bCs/>
          <w:szCs w:val="22"/>
          <w:lang w:val="pt-BR"/>
        </w:rPr>
        <w:t>L. E., Valderrama Sandoval</w:t>
      </w:r>
      <w:r w:rsidRPr="00FE4CC2">
        <w:rPr>
          <w:bCs/>
          <w:szCs w:val="22"/>
          <w:lang w:val="pt-BR"/>
        </w:rPr>
        <w:t>, </w:t>
      </w:r>
      <w:r w:rsidRPr="00FE4CC2">
        <w:rPr>
          <w:rStyle w:val="name"/>
          <w:bCs/>
          <w:szCs w:val="22"/>
          <w:lang w:val="pt-BR"/>
        </w:rPr>
        <w:t>E. H., Valenzuela Gamarra</w:t>
      </w:r>
      <w:r w:rsidRPr="00FE4CC2">
        <w:rPr>
          <w:bCs/>
          <w:szCs w:val="22"/>
          <w:lang w:val="pt-BR"/>
        </w:rPr>
        <w:t>, </w:t>
      </w:r>
      <w:r w:rsidRPr="00FE4CC2">
        <w:rPr>
          <w:rStyle w:val="name"/>
          <w:bCs/>
          <w:szCs w:val="22"/>
          <w:lang w:val="pt-BR"/>
        </w:rPr>
        <w:t>L., Vela</w:t>
      </w:r>
      <w:r w:rsidRPr="00FE4CC2">
        <w:rPr>
          <w:bCs/>
          <w:szCs w:val="22"/>
          <w:lang w:val="pt-BR"/>
        </w:rPr>
        <w:t>, </w:t>
      </w:r>
      <w:r w:rsidRPr="00FE4CC2">
        <w:rPr>
          <w:rStyle w:val="name"/>
          <w:bCs/>
          <w:szCs w:val="22"/>
          <w:lang w:val="pt-BR"/>
        </w:rPr>
        <w:t xml:space="preserve">C. I. A., ter Steege, H. </w:t>
      </w:r>
      <w:r w:rsidRPr="00FE4CC2">
        <w:rPr>
          <w:rStyle w:val="referencia"/>
          <w:rFonts w:ascii="Calibri" w:hAnsi="Calibri"/>
          <w:szCs w:val="22"/>
          <w:lang w:val="pt-BR"/>
        </w:rPr>
        <w:t xml:space="preserve"> </w:t>
      </w:r>
      <w:r w:rsidRPr="00FE4CC2">
        <w:rPr>
          <w:rStyle w:val="referencia"/>
          <w:rFonts w:ascii="Calibri" w:hAnsi="Calibri"/>
          <w:szCs w:val="22"/>
        </w:rPr>
        <w:t xml:space="preserve">(2017). Persistent effects of pre-Columbian plant domestication on Amazonian forest composition. </w:t>
      </w:r>
      <w:r w:rsidRPr="00FE4CC2">
        <w:rPr>
          <w:rStyle w:val="referencia"/>
          <w:rFonts w:ascii="Calibri" w:hAnsi="Calibri"/>
          <w:i/>
          <w:szCs w:val="22"/>
        </w:rPr>
        <w:t>Science</w:t>
      </w:r>
      <w:r w:rsidRPr="00FE4CC2">
        <w:rPr>
          <w:rStyle w:val="referencia"/>
          <w:rFonts w:ascii="Calibri" w:hAnsi="Calibri"/>
          <w:szCs w:val="22"/>
        </w:rPr>
        <w:t>, 355 (6328), 925-931.</w:t>
      </w:r>
    </w:p>
    <w:p w14:paraId="19F36D9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Levrel, H., Pioch, S., &amp; Spieler, R. (2012). Compensatory mitigation in marine ecosystems: Which indicators for assessing the “no</w:t>
      </w:r>
      <w:r w:rsidRPr="00FE4CC2">
        <w:rPr>
          <w:color w:val="000000" w:themeColor="text1"/>
          <w:szCs w:val="22"/>
        </w:rPr>
        <w:t xml:space="preserve"> </w:t>
      </w:r>
      <w:r w:rsidRPr="00FE4CC2">
        <w:rPr>
          <w:rStyle w:val="referencia"/>
          <w:rFonts w:ascii="Calibri" w:hAnsi="Calibri"/>
          <w:szCs w:val="22"/>
        </w:rPr>
        <w:t xml:space="preserve">net loss” goal of ecosystem services and ecological functions? </w:t>
      </w:r>
      <w:r w:rsidRPr="00FE4CC2">
        <w:rPr>
          <w:rStyle w:val="referencia"/>
          <w:rFonts w:ascii="Calibri" w:hAnsi="Calibri"/>
          <w:i/>
          <w:szCs w:val="22"/>
        </w:rPr>
        <w:t>Marine Policy</w:t>
      </w:r>
      <w:r w:rsidRPr="00FE4CC2">
        <w:rPr>
          <w:rStyle w:val="referencia"/>
          <w:rFonts w:ascii="Calibri" w:hAnsi="Calibri"/>
          <w:szCs w:val="22"/>
        </w:rPr>
        <w:t>, 36</w:t>
      </w:r>
      <w:r w:rsidRPr="00FE4CC2">
        <w:rPr>
          <w:rStyle w:val="referencia"/>
          <w:rFonts w:ascii="Calibri" w:hAnsi="Calibri"/>
          <w:i/>
          <w:szCs w:val="22"/>
        </w:rPr>
        <w:t xml:space="preserve"> </w:t>
      </w:r>
      <w:r w:rsidRPr="00FE4CC2">
        <w:rPr>
          <w:rStyle w:val="referencia"/>
          <w:rFonts w:ascii="Calibri" w:hAnsi="Calibri"/>
          <w:szCs w:val="22"/>
        </w:rPr>
        <w:t>(6), 1202–1210.</w:t>
      </w:r>
    </w:p>
    <w:p w14:paraId="2ABFE564" w14:textId="77777777" w:rsidR="006969D3" w:rsidRPr="00FE4CC2" w:rsidRDefault="006969D3" w:rsidP="006969D3">
      <w:pPr>
        <w:widowControl w:val="0"/>
        <w:autoSpaceDE w:val="0"/>
        <w:autoSpaceDN w:val="0"/>
        <w:adjustRightInd w:val="0"/>
        <w:ind w:left="851" w:hanging="851"/>
        <w:contextualSpacing/>
        <w:rPr>
          <w:noProof/>
          <w:szCs w:val="22"/>
        </w:rPr>
      </w:pPr>
      <w:r w:rsidRPr="00FE4CC2">
        <w:rPr>
          <w:noProof/>
          <w:szCs w:val="22"/>
        </w:rPr>
        <w:t xml:space="preserve">Lewis, E., Pinchot, A., &amp; Christianson, G. (2016). </w:t>
      </w:r>
      <w:r w:rsidRPr="00FE4CC2">
        <w:rPr>
          <w:i/>
          <w:iCs/>
          <w:noProof/>
          <w:szCs w:val="22"/>
        </w:rPr>
        <w:t>Navigating the Sustainable Investment Landscape</w:t>
      </w:r>
      <w:r w:rsidRPr="00FE4CC2">
        <w:rPr>
          <w:i/>
          <w:noProof/>
          <w:szCs w:val="22"/>
        </w:rPr>
        <w:t>.</w:t>
      </w:r>
      <w:r w:rsidRPr="00FE4CC2">
        <w:rPr>
          <w:noProof/>
          <w:szCs w:val="22"/>
        </w:rPr>
        <w:t xml:space="preserve"> Washington, DC: World Resources Institute</w:t>
      </w:r>
      <w:r w:rsidRPr="00FE4CC2">
        <w:rPr>
          <w:i/>
          <w:noProof/>
          <w:szCs w:val="22"/>
        </w:rPr>
        <w:t xml:space="preserve"> </w:t>
      </w:r>
      <w:r w:rsidRPr="00FE4CC2">
        <w:rPr>
          <w:noProof/>
          <w:szCs w:val="22"/>
        </w:rPr>
        <w:t>(WRI). Retrieved from https://www.wri.org/sites/default/files/Navigating_the_Sustainable_Investment_Landscape.pdf</w:t>
      </w:r>
    </w:p>
    <w:p w14:paraId="1ECFF543" w14:textId="77777777" w:rsidR="006969D3" w:rsidRPr="00FE4CC2" w:rsidRDefault="006969D3" w:rsidP="006969D3">
      <w:pPr>
        <w:ind w:left="851" w:hanging="851"/>
        <w:contextualSpacing/>
        <w:rPr>
          <w:rStyle w:val="referencia"/>
          <w:rFonts w:ascii="Calibri" w:hAnsi="Calibri"/>
          <w:szCs w:val="22"/>
          <w:lang w:val="en-GB"/>
        </w:rPr>
      </w:pPr>
      <w:r w:rsidRPr="00FE4CC2">
        <w:rPr>
          <w:rStyle w:val="referencia"/>
          <w:rFonts w:ascii="Calibri" w:hAnsi="Calibri"/>
          <w:szCs w:val="22"/>
        </w:rPr>
        <w:t xml:space="preserve">Lewis-Lettington, R. J., Müller, M. R., Young, T. R., Nnadozie, K. A., Halewood, M. &amp; Cabrera Medaglia, J. (2006). </w:t>
      </w:r>
      <w:r w:rsidRPr="00FE4CC2">
        <w:rPr>
          <w:rStyle w:val="referencia"/>
          <w:rFonts w:ascii="Calibri" w:hAnsi="Calibri"/>
          <w:i/>
          <w:szCs w:val="22"/>
        </w:rPr>
        <w:t>Methodology for Developing Policies and Laws for Access to Genetic Resources and Benefit Sharing</w:t>
      </w:r>
      <w:r w:rsidRPr="00FE4CC2">
        <w:rPr>
          <w:rStyle w:val="referencia"/>
          <w:rFonts w:ascii="Calibri" w:hAnsi="Calibri"/>
          <w:szCs w:val="22"/>
        </w:rPr>
        <w:t xml:space="preserve">. </w:t>
      </w:r>
      <w:r w:rsidRPr="00FE4CC2">
        <w:rPr>
          <w:rStyle w:val="referencia"/>
          <w:rFonts w:ascii="Calibri" w:hAnsi="Calibri"/>
          <w:szCs w:val="22"/>
          <w:lang w:val="en-GB"/>
        </w:rPr>
        <w:t>Rome, Italy: International Plant Genetic Resources Institute. (pp. 35).</w:t>
      </w:r>
    </w:p>
    <w:p w14:paraId="2B00CD34"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lang w:val="en-GB"/>
        </w:rPr>
        <w:t xml:space="preserve">Lima, D., &amp; Pozzobon, J. (2005). </w:t>
      </w:r>
      <w:r w:rsidRPr="00FE4CC2">
        <w:rPr>
          <w:rStyle w:val="referencia"/>
          <w:rFonts w:ascii="Calibri" w:hAnsi="Calibri"/>
          <w:szCs w:val="22"/>
          <w:lang w:val="pt-BR"/>
        </w:rPr>
        <w:t xml:space="preserve">Amazônia Sociambiental: sutentabilidade ecológica e diversidade social. </w:t>
      </w:r>
      <w:r w:rsidRPr="00FE4CC2">
        <w:rPr>
          <w:rStyle w:val="referencia"/>
          <w:rFonts w:ascii="Calibri" w:hAnsi="Calibri"/>
          <w:i/>
          <w:szCs w:val="22"/>
          <w:lang w:val="pt-BR"/>
        </w:rPr>
        <w:t>Estudos Avançados</w:t>
      </w:r>
      <w:r w:rsidRPr="00FE4CC2">
        <w:rPr>
          <w:rStyle w:val="referencia"/>
          <w:rFonts w:ascii="Calibri" w:hAnsi="Calibri"/>
          <w:szCs w:val="22"/>
          <w:lang w:val="pt-BR"/>
        </w:rPr>
        <w:t xml:space="preserve">, 19(54), 45-76. </w:t>
      </w:r>
    </w:p>
    <w:p w14:paraId="58CD10C4" w14:textId="77777777" w:rsidR="006969D3" w:rsidRPr="00FE4CC2" w:rsidRDefault="006969D3" w:rsidP="006969D3">
      <w:pPr>
        <w:ind w:left="851" w:hanging="851"/>
        <w:contextualSpacing/>
        <w:rPr>
          <w:szCs w:val="22"/>
        </w:rPr>
      </w:pPr>
      <w:r w:rsidRPr="00FE4CC2">
        <w:rPr>
          <w:bCs/>
          <w:szCs w:val="22"/>
          <w:lang w:val="pt-BR"/>
        </w:rPr>
        <w:t>Lima, M. G. B., Visseren-</w:t>
      </w:r>
      <w:r w:rsidRPr="00FE4CC2">
        <w:rPr>
          <w:szCs w:val="22"/>
          <w:lang w:val="pt-BR"/>
        </w:rPr>
        <w:t xml:space="preserve">Hamakers, I. J., Braña-Varela, J., Gupta, A. (2017). </w:t>
      </w:r>
      <w:r w:rsidRPr="00FE4CC2">
        <w:rPr>
          <w:bCs/>
          <w:szCs w:val="22"/>
        </w:rPr>
        <w:t xml:space="preserve">A reality check on the landscape approach to REDD+: Lessons from Latin America. </w:t>
      </w:r>
      <w:r w:rsidRPr="00FE4CC2">
        <w:rPr>
          <w:bCs/>
          <w:i/>
          <w:szCs w:val="22"/>
        </w:rPr>
        <w:t>Forest Policy and Economics</w:t>
      </w:r>
      <w:r w:rsidRPr="00FE4CC2">
        <w:rPr>
          <w:bCs/>
          <w:szCs w:val="22"/>
        </w:rPr>
        <w:t>, 78, 10-20.</w:t>
      </w:r>
    </w:p>
    <w:p w14:paraId="4E0916FA"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Liu, J., Calmon, M., Clewell, A., Liu, J., Denjean, B., Engel, V. L., &amp; Aronson, J. (2017). South–south cooperation for large-scale ecological restoration. </w:t>
      </w:r>
      <w:r w:rsidRPr="00FE4CC2">
        <w:rPr>
          <w:rStyle w:val="referencia"/>
          <w:rFonts w:ascii="Calibri" w:hAnsi="Calibri"/>
          <w:i/>
          <w:szCs w:val="22"/>
        </w:rPr>
        <w:t>Restoration Ecology</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 xml:space="preserve">25, 27-32. </w:t>
      </w:r>
    </w:p>
    <w:p w14:paraId="4DC3649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Liu, J., Hull, V., Batistella, M., DeFries, R., Dietz, T., Fu, F., Hertel, T. W., Izaurralde, R. C., Lambin, E. F., Li, S., Martinelli, L. A., McConnell, W. J., Moran, E. F., Naylor, R., Ouyang, Z., Polenske, K. R., Reenberg, A., Rocha, G. de M., Simmons, C. S., Verburg, P. H., Vitousek, P. M., Zhang, F., &amp; Zhu, C. (2013). Framing sustainability in a telecoupled world. </w:t>
      </w:r>
      <w:r w:rsidRPr="00FE4CC2">
        <w:rPr>
          <w:rStyle w:val="referencia"/>
          <w:rFonts w:ascii="Calibri" w:hAnsi="Calibri"/>
          <w:i/>
          <w:szCs w:val="22"/>
        </w:rPr>
        <w:t>Ecology and Society</w:t>
      </w:r>
      <w:r w:rsidRPr="00FE4CC2">
        <w:rPr>
          <w:rStyle w:val="referencia"/>
          <w:rFonts w:ascii="Calibri" w:hAnsi="Calibri"/>
          <w:szCs w:val="22"/>
        </w:rPr>
        <w:t xml:space="preserve">, 18(2), 26. </w:t>
      </w:r>
      <w:r w:rsidRPr="00FE4CC2">
        <w:rPr>
          <w:rStyle w:val="referencia"/>
          <w:rFonts w:ascii="Calibri" w:hAnsi="Calibri"/>
          <w:szCs w:val="22"/>
          <w:lang w:val="en-GB"/>
        </w:rPr>
        <w:t>https://doi.org/</w:t>
      </w:r>
      <w:hyperlink r:id="rId1117" w:history="1">
        <w:r w:rsidRPr="00FE4CC2">
          <w:rPr>
            <w:rStyle w:val="referencia"/>
            <w:rFonts w:ascii="Calibri" w:hAnsi="Calibri"/>
            <w:szCs w:val="22"/>
          </w:rPr>
          <w:t>10.5751/ES-05873-180226</w:t>
        </w:r>
      </w:hyperlink>
      <w:r w:rsidRPr="00FE4CC2">
        <w:rPr>
          <w:rStyle w:val="referencia"/>
          <w:rFonts w:ascii="Calibri" w:hAnsi="Calibri"/>
          <w:szCs w:val="22"/>
        </w:rPr>
        <w:t>.</w:t>
      </w:r>
    </w:p>
    <w:p w14:paraId="5BF7B52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Liverman, D. M., &amp; Vilas, S. (2006). Neoliberalism and the environment in Latin America. </w:t>
      </w:r>
      <w:r w:rsidRPr="00FE4CC2">
        <w:rPr>
          <w:rStyle w:val="referencia"/>
          <w:rFonts w:ascii="Calibri" w:hAnsi="Calibri"/>
          <w:i/>
          <w:szCs w:val="22"/>
        </w:rPr>
        <w:t>Annual Review Environment and Resources</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31, 327–363.</w:t>
      </w:r>
    </w:p>
    <w:p w14:paraId="48EE468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Locatelli, B., Evans, V., Wardell, A., Andrade, A., &amp; Vignola, R. (2011). Forest and climate change in Latin America: linking adaptation and mitigation. </w:t>
      </w:r>
      <w:r w:rsidRPr="00FE4CC2">
        <w:rPr>
          <w:rStyle w:val="referencia"/>
          <w:rFonts w:ascii="Calibri" w:hAnsi="Calibri"/>
          <w:i/>
          <w:szCs w:val="22"/>
        </w:rPr>
        <w:t>Forests</w:t>
      </w:r>
      <w:r w:rsidRPr="00FE4CC2">
        <w:rPr>
          <w:rStyle w:val="referencia"/>
          <w:rFonts w:ascii="Calibri" w:hAnsi="Calibri"/>
          <w:szCs w:val="22"/>
        </w:rPr>
        <w:t>,</w:t>
      </w:r>
      <w:r w:rsidRPr="00FE4CC2">
        <w:rPr>
          <w:rStyle w:val="referencia"/>
          <w:rFonts w:ascii="Calibri" w:hAnsi="Calibri"/>
          <w:i/>
          <w:szCs w:val="22"/>
        </w:rPr>
        <w:t xml:space="preserve"> 2</w:t>
      </w:r>
      <w:r w:rsidRPr="00FE4CC2">
        <w:rPr>
          <w:rStyle w:val="referencia"/>
          <w:rFonts w:ascii="Calibri" w:hAnsi="Calibri"/>
          <w:szCs w:val="22"/>
        </w:rPr>
        <w:t>, 431-450.</w:t>
      </w:r>
    </w:p>
    <w:p w14:paraId="7814984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Lomborg, B. (2017). </w:t>
      </w:r>
      <w:r w:rsidRPr="00FE4CC2">
        <w:rPr>
          <w:rStyle w:val="referencia"/>
          <w:rFonts w:ascii="Calibri" w:hAnsi="Calibri"/>
          <w:i/>
          <w:szCs w:val="22"/>
        </w:rPr>
        <w:t>The mismeasure of development. Project Syndicate</w:t>
      </w:r>
      <w:r w:rsidRPr="00FE4CC2">
        <w:rPr>
          <w:rStyle w:val="referencia"/>
          <w:rFonts w:ascii="Calibri" w:hAnsi="Calibri"/>
          <w:szCs w:val="22"/>
        </w:rPr>
        <w:t>, Available at: https://www.project-syndicate.org/commentary/sustainable-development-scorecards-problems-by-bjorn-lomborg-2017-10.</w:t>
      </w:r>
    </w:p>
    <w:p w14:paraId="492404C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Lopes, P. F. M., Rosa, E. M., Salyvonchyk, S., Nora, V., &amp; Begossi, A. (2013). </w:t>
      </w:r>
      <w:r w:rsidRPr="00FE4CC2">
        <w:rPr>
          <w:rStyle w:val="referencia"/>
          <w:rFonts w:ascii="Calibri" w:hAnsi="Calibri"/>
          <w:szCs w:val="22"/>
        </w:rPr>
        <w:t xml:space="preserve">Suggestions for fixing top-down coastal fisheries management through participatory approaches. </w:t>
      </w:r>
      <w:r w:rsidRPr="00FE4CC2">
        <w:rPr>
          <w:rStyle w:val="referencia"/>
          <w:rFonts w:ascii="Calibri" w:hAnsi="Calibri"/>
          <w:i/>
          <w:szCs w:val="22"/>
        </w:rPr>
        <w:t>Marine Policy</w:t>
      </w:r>
      <w:r w:rsidRPr="00FE4CC2">
        <w:rPr>
          <w:rStyle w:val="referencia"/>
          <w:rFonts w:ascii="Calibri" w:hAnsi="Calibri"/>
          <w:szCs w:val="22"/>
        </w:rPr>
        <w:t xml:space="preserve">, 40, 100-110. </w:t>
      </w:r>
    </w:p>
    <w:p w14:paraId="05D8770D"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Lowitt, K., Hickey, G. M., Saint Ville, A., Raeburn, K., Thompson-Colon, T., Laszlo, S., &amp; Phillip, L. E. (2015). Factors affecting the innovation potential of smallholder farmers in the Caribbean Community. </w:t>
      </w:r>
      <w:r w:rsidRPr="00FE4CC2">
        <w:rPr>
          <w:rStyle w:val="referencia"/>
          <w:rFonts w:ascii="Calibri" w:hAnsi="Calibri"/>
          <w:i/>
          <w:szCs w:val="22"/>
          <w:lang w:val="pt-BR"/>
        </w:rPr>
        <w:t xml:space="preserve">Regional Environmental Change, </w:t>
      </w:r>
      <w:r w:rsidRPr="00FE4CC2">
        <w:rPr>
          <w:rStyle w:val="referencia"/>
          <w:rFonts w:ascii="Calibri" w:hAnsi="Calibri"/>
          <w:szCs w:val="22"/>
          <w:lang w:val="pt-BR"/>
        </w:rPr>
        <w:t>15(7), 1367–1377.</w:t>
      </w:r>
    </w:p>
    <w:p w14:paraId="5C5BF40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Loyola, R. D., Lemes, P., Brum, F. T., Provete, D. B., &amp; Duarte, L. D. S. (2014). </w:t>
      </w:r>
      <w:r w:rsidRPr="00FE4CC2">
        <w:rPr>
          <w:rStyle w:val="referencia"/>
          <w:rFonts w:ascii="Calibri" w:hAnsi="Calibri"/>
          <w:szCs w:val="22"/>
        </w:rPr>
        <w:t xml:space="preserve">Clade-specific consequences of climate change to amphibians in Atlantic Forest protected areas. </w:t>
      </w:r>
      <w:r w:rsidRPr="00FE4CC2">
        <w:rPr>
          <w:rStyle w:val="referencia"/>
          <w:rFonts w:ascii="Calibri" w:hAnsi="Calibri"/>
          <w:i/>
          <w:szCs w:val="22"/>
        </w:rPr>
        <w:t>Ecography</w:t>
      </w:r>
      <w:r w:rsidRPr="00FE4CC2">
        <w:rPr>
          <w:rStyle w:val="referencia"/>
          <w:rFonts w:ascii="Calibri" w:hAnsi="Calibri"/>
          <w:szCs w:val="22"/>
        </w:rPr>
        <w:t xml:space="preserve">, 37, 65–72. </w:t>
      </w:r>
    </w:p>
    <w:p w14:paraId="4EACB2BD"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lang w:val="pt-BR"/>
        </w:rPr>
        <w:t xml:space="preserve">Loyola, R. D., Nabout, J. C., Trindade-Filho, J., Lemes, P., Urbina-Cardona, J. N., Dobrovolski, R., Sagnori, M. D., &amp; Diniz-Filho, J. A. F. (2012). </w:t>
      </w:r>
      <w:r w:rsidRPr="00FE4CC2">
        <w:rPr>
          <w:rStyle w:val="referencia"/>
          <w:rFonts w:ascii="Calibri" w:hAnsi="Calibri"/>
          <w:szCs w:val="22"/>
        </w:rPr>
        <w:t xml:space="preserve">Climate change might drive species into reserves: a case study of the American bullfrog in the Atlantic Forest Biodiversity Hotspot. </w:t>
      </w:r>
      <w:r w:rsidRPr="00FE4CC2">
        <w:rPr>
          <w:rStyle w:val="referencia"/>
          <w:rFonts w:ascii="Calibri" w:hAnsi="Calibri"/>
          <w:i/>
          <w:szCs w:val="22"/>
          <w:lang w:val="pt-BR"/>
        </w:rPr>
        <w:t>Alytes 29</w:t>
      </w:r>
      <w:r w:rsidRPr="00FE4CC2">
        <w:rPr>
          <w:rStyle w:val="referencia"/>
          <w:rFonts w:ascii="Calibri" w:hAnsi="Calibri"/>
          <w:szCs w:val="22"/>
          <w:lang w:val="pt-BR"/>
        </w:rPr>
        <w:t>, 61–74.</w:t>
      </w:r>
    </w:p>
    <w:p w14:paraId="5251D77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Lubell, M., Jasny, L., &amp; Hastings, A. (2017). Network governance for invasive species management. </w:t>
      </w:r>
      <w:r w:rsidRPr="00FE4CC2">
        <w:rPr>
          <w:rStyle w:val="referencia"/>
          <w:rFonts w:ascii="Calibri" w:hAnsi="Calibri"/>
          <w:i/>
          <w:szCs w:val="22"/>
        </w:rPr>
        <w:t>Conservation Letters</w:t>
      </w:r>
      <w:r w:rsidRPr="00FE4CC2">
        <w:rPr>
          <w:rStyle w:val="referencia"/>
          <w:rFonts w:ascii="Calibri" w:hAnsi="Calibri"/>
          <w:szCs w:val="22"/>
        </w:rPr>
        <w:t xml:space="preserve">, 10(6), 699-707. </w:t>
      </w:r>
    </w:p>
    <w:p w14:paraId="28C41C7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Lucas, P. L., Kok, M. T. J., Nilsson, M., Alkemade, R. (2014). Integrating biodiversity and ecosystem services in the post-2015 development agenda: goals structure, target areas and means of implementation. </w:t>
      </w:r>
      <w:r w:rsidRPr="00FE4CC2">
        <w:rPr>
          <w:rStyle w:val="referencia"/>
          <w:rFonts w:ascii="Calibri" w:hAnsi="Calibri"/>
          <w:i/>
          <w:szCs w:val="22"/>
        </w:rPr>
        <w:t>Sustainability</w:t>
      </w:r>
      <w:r w:rsidRPr="00FE4CC2">
        <w:rPr>
          <w:rStyle w:val="referencia"/>
          <w:rFonts w:ascii="Calibri" w:hAnsi="Calibri"/>
          <w:szCs w:val="22"/>
        </w:rPr>
        <w:t>, 6, 193-216.</w:t>
      </w:r>
    </w:p>
    <w:p w14:paraId="0685D7F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Lui, G. V., &amp; Coomes, D. A. (2015). </w:t>
      </w:r>
      <w:r w:rsidRPr="00FE4CC2">
        <w:rPr>
          <w:rStyle w:val="referencia"/>
          <w:rFonts w:ascii="Calibri" w:hAnsi="Calibri"/>
          <w:szCs w:val="22"/>
        </w:rPr>
        <w:t xml:space="preserve">Tropical nature reserves are losing their buffer zones, but leakage is not to blame. </w:t>
      </w:r>
      <w:r w:rsidRPr="00FE4CC2">
        <w:rPr>
          <w:rStyle w:val="referencia"/>
          <w:rFonts w:ascii="Calibri" w:hAnsi="Calibri"/>
          <w:i/>
          <w:szCs w:val="22"/>
        </w:rPr>
        <w:t>Environmental Research</w:t>
      </w:r>
      <w:r w:rsidRPr="00FE4CC2">
        <w:rPr>
          <w:rStyle w:val="referencia"/>
          <w:rFonts w:ascii="Calibri" w:hAnsi="Calibri"/>
          <w:szCs w:val="22"/>
        </w:rPr>
        <w:t>, 147, 580-589.</w:t>
      </w:r>
    </w:p>
    <w:p w14:paraId="57BA7EB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Luzar, J. B., Silvius, K. M., Overman, H., Giery, S. T., Read, J. M., &amp; Fragoso, J. M. V. (2011). Large-scale environmental monitoring by indigenous peoples. </w:t>
      </w:r>
      <w:r w:rsidRPr="00FE4CC2">
        <w:rPr>
          <w:rStyle w:val="referencia"/>
          <w:rFonts w:ascii="Calibri" w:hAnsi="Calibri"/>
          <w:i/>
          <w:szCs w:val="22"/>
        </w:rPr>
        <w:t>BioScience</w:t>
      </w:r>
      <w:r w:rsidRPr="00FE4CC2">
        <w:rPr>
          <w:rStyle w:val="referencia"/>
          <w:rFonts w:ascii="Calibri" w:hAnsi="Calibri"/>
          <w:szCs w:val="22"/>
        </w:rPr>
        <w:t>, 61(10), 771-781.</w:t>
      </w:r>
    </w:p>
    <w:p w14:paraId="289CDCF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Maccord, P. F. L., Silvano, R. A. M., Ramires, M. S., &amp; Begossi, M. C. (2007). Dynamics of artisanal fisheries in two Brazilian Amazonian reserves: implications to co-management. </w:t>
      </w:r>
      <w:r w:rsidRPr="00FE4CC2">
        <w:rPr>
          <w:rStyle w:val="referencia"/>
          <w:rFonts w:ascii="Calibri" w:hAnsi="Calibri"/>
          <w:i/>
          <w:szCs w:val="22"/>
        </w:rPr>
        <w:t>Hydrobiologia</w:t>
      </w:r>
      <w:r w:rsidRPr="00FE4CC2">
        <w:rPr>
          <w:rStyle w:val="referencia"/>
          <w:rFonts w:ascii="Calibri" w:hAnsi="Calibri"/>
          <w:szCs w:val="22"/>
        </w:rPr>
        <w:t xml:space="preserve">, 583, 365-376. </w:t>
      </w:r>
    </w:p>
    <w:p w14:paraId="24D6EF4A"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Mace, G. M., Collar, N. J., Gaston, K. J., Hilton-Taylor, C., Akçakaya, H. R., Leader-Williams, N., Milner-Gulland, E. J., &amp; Stuart, S. N. (2008). Quantification of extinction risk: IUCN’s system for classifying threatened species. </w:t>
      </w:r>
      <w:r w:rsidRPr="00FE4CC2">
        <w:rPr>
          <w:rStyle w:val="referencia"/>
          <w:rFonts w:ascii="Calibri" w:hAnsi="Calibri"/>
          <w:i/>
          <w:szCs w:val="22"/>
        </w:rPr>
        <w:t>Conservation Biology</w:t>
      </w:r>
      <w:r w:rsidRPr="00FE4CC2">
        <w:rPr>
          <w:rStyle w:val="referencia"/>
          <w:rFonts w:ascii="Calibri" w:hAnsi="Calibri"/>
          <w:szCs w:val="22"/>
        </w:rPr>
        <w:t>, 22, 1424-1442.</w:t>
      </w:r>
    </w:p>
    <w:p w14:paraId="64A6BCC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Mach, M. E., Wedding, L. M., Reiter, S. M., Micheli, F., Fujita, R. M., &amp; Martone, R. G. (2017). Assessment and management of cumulative impacts in California's network of marine protected areas. </w:t>
      </w:r>
      <w:r w:rsidRPr="00FE4CC2">
        <w:rPr>
          <w:rStyle w:val="referencia"/>
          <w:rFonts w:ascii="Calibri" w:hAnsi="Calibri"/>
          <w:i/>
          <w:szCs w:val="22"/>
        </w:rPr>
        <w:t>Ocean and Coastal Management</w:t>
      </w:r>
      <w:r w:rsidRPr="00FE4CC2">
        <w:rPr>
          <w:rStyle w:val="referencia"/>
          <w:rFonts w:ascii="Calibri" w:hAnsi="Calibri"/>
          <w:szCs w:val="22"/>
        </w:rPr>
        <w:t xml:space="preserve">, 137, 1-11. </w:t>
      </w:r>
    </w:p>
    <w:p w14:paraId="6BA40DE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Magrin, G. O., Marengo, J. A., Boulanger, J. -P., Buckeridge, M. S., Castellanos, E., Poveda, G., Scarano, F. R., &amp; Vicuña, S. (2014). </w:t>
      </w:r>
      <w:r w:rsidRPr="00FE4CC2">
        <w:rPr>
          <w:rStyle w:val="referencia"/>
          <w:rFonts w:ascii="Calibri" w:hAnsi="Calibri"/>
          <w:szCs w:val="22"/>
        </w:rPr>
        <w:t xml:space="preserve">Central and South America. In V. R. Barros, C. B. Field, D. J. Dokken, M. D. Mastrandrea, K. J. Mach, T. E. Bilir, M. Chatterjee, K. L. Ebi, Y. O. Estrada, R. C. Genova, B. Girma, E. S. Kissel, A. N. Levy, S. MacCracken, P. R. Mastrandrea, &amp; L. L. White (Eds.). </w:t>
      </w:r>
      <w:r w:rsidRPr="00FE4CC2">
        <w:rPr>
          <w:rStyle w:val="referencia"/>
          <w:rFonts w:ascii="Calibri" w:hAnsi="Calibri"/>
          <w:i/>
          <w:szCs w:val="22"/>
        </w:rPr>
        <w:t>Climate Change 2014: Impacts, Adaptation, and Vulnerability. Part B: Regional Aspects. Contribution of Working Group II to the Fifth Assessment Report of the Intergovernmental Panel on Climate Change</w:t>
      </w:r>
      <w:r w:rsidRPr="00FE4CC2">
        <w:rPr>
          <w:rStyle w:val="referencia"/>
          <w:rFonts w:ascii="Calibri" w:hAnsi="Calibri"/>
          <w:szCs w:val="22"/>
        </w:rPr>
        <w:t xml:space="preserve"> (pp. 1499-1566). Cambridge, United Kingdom and New York, NY, USA: Cambridge University Press. </w:t>
      </w:r>
    </w:p>
    <w:p w14:paraId="0FB6564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Mamani Machaca, E. F. (2017). Saberes y conocimientos del pueblo indígena del Ayllu Sullka del municipio de Tomave, Potosí, Bolivia.</w:t>
      </w:r>
      <w:r w:rsidRPr="00FE4CC2">
        <w:rPr>
          <w:rStyle w:val="referencia"/>
          <w:rFonts w:ascii="Calibri" w:hAnsi="Calibri"/>
          <w:i/>
          <w:szCs w:val="22"/>
          <w:lang w:val="es-CO"/>
        </w:rPr>
        <w:t xml:space="preserve"> </w:t>
      </w:r>
      <w:r w:rsidRPr="00FE4CC2">
        <w:rPr>
          <w:rStyle w:val="referencia"/>
          <w:rFonts w:ascii="Calibri" w:hAnsi="Calibri"/>
          <w:szCs w:val="22"/>
          <w:lang w:val="pt-BR"/>
        </w:rPr>
        <w:t>In</w:t>
      </w:r>
      <w:r w:rsidRPr="00FE4CC2">
        <w:rPr>
          <w:rStyle w:val="referencia"/>
          <w:rFonts w:ascii="Calibri" w:hAnsi="Calibri"/>
          <w:i/>
          <w:szCs w:val="22"/>
          <w:lang w:val="pt-BR"/>
        </w:rPr>
        <w:t xml:space="preserve"> </w:t>
      </w:r>
      <w:r w:rsidRPr="00FE4CC2">
        <w:rPr>
          <w:rStyle w:val="referencia"/>
          <w:rFonts w:ascii="Calibri" w:hAnsi="Calibri"/>
          <w:szCs w:val="22"/>
          <w:lang w:val="pt-BR"/>
        </w:rPr>
        <w:t>B. Baptiste, D. Pacheco, M. Carneiro da Cunha, &amp; S. Diaz (Eds.)</w:t>
      </w:r>
      <w:r w:rsidRPr="00FE4CC2">
        <w:rPr>
          <w:rStyle w:val="referencia"/>
          <w:rFonts w:ascii="Calibri" w:hAnsi="Calibri"/>
          <w:i/>
          <w:szCs w:val="22"/>
          <w:lang w:val="pt-BR"/>
        </w:rPr>
        <w:t>. </w:t>
      </w:r>
      <w:r w:rsidRPr="00FE4CC2">
        <w:rPr>
          <w:rStyle w:val="referencia"/>
          <w:rFonts w:ascii="Calibri" w:hAnsi="Calibri"/>
          <w:i/>
          <w:szCs w:val="22"/>
        </w:rPr>
        <w:t>Knowing our Lands and Resources: Indigenous and Local Knowledge of Biodiversity and Ecosystem Services in the Americas. </w:t>
      </w:r>
      <w:r w:rsidRPr="00FE4CC2">
        <w:rPr>
          <w:rStyle w:val="referencia"/>
          <w:rFonts w:ascii="Calibri" w:hAnsi="Calibri"/>
          <w:szCs w:val="22"/>
        </w:rPr>
        <w:t>Knowledges of Nature 11 (pp. 96-104). UNESCO: Paris.</w:t>
      </w:r>
    </w:p>
    <w:p w14:paraId="6119735B" w14:textId="77777777" w:rsidR="006969D3" w:rsidRPr="00FE4CC2" w:rsidRDefault="006969D3" w:rsidP="006969D3">
      <w:pPr>
        <w:ind w:left="851" w:hanging="851"/>
        <w:contextualSpacing/>
        <w:rPr>
          <w:rStyle w:val="referencia"/>
          <w:rFonts w:ascii="Calibri" w:hAnsi="Calibri"/>
          <w:szCs w:val="22"/>
        </w:rPr>
      </w:pPr>
      <w:r w:rsidRPr="00FE4CC2">
        <w:rPr>
          <w:szCs w:val="22"/>
          <w:shd w:val="clear" w:color="auto" w:fill="FFFFFF"/>
          <w:lang w:val="en-GB"/>
        </w:rPr>
        <w:t xml:space="preserve">Marinaro, M. S., Grau, H. R., Macchi, L. &amp; Zelaya, P. V. (2015). </w:t>
      </w:r>
      <w:r w:rsidRPr="00FE4CC2">
        <w:rPr>
          <w:szCs w:val="22"/>
          <w:shd w:val="clear" w:color="auto" w:fill="FFFFFF"/>
        </w:rPr>
        <w:t xml:space="preserve">Land tenure and biological communities in dry Chaco forests of northern Argentina. </w:t>
      </w:r>
      <w:r w:rsidRPr="00FE4CC2">
        <w:rPr>
          <w:i/>
          <w:szCs w:val="22"/>
          <w:shd w:val="clear" w:color="auto" w:fill="FFFFFF"/>
        </w:rPr>
        <w:t>Journal of Arid Environments</w:t>
      </w:r>
      <w:r w:rsidRPr="00FE4CC2">
        <w:rPr>
          <w:szCs w:val="22"/>
          <w:shd w:val="clear" w:color="auto" w:fill="FFFFFF"/>
        </w:rPr>
        <w:t>, 123, 60-67.</w:t>
      </w:r>
    </w:p>
    <w:p w14:paraId="286B4A6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Maron, M., Hobbs, R. J., Moilanen, A., Matthews, J. W., Christie, K., Gardner, T. A., Keith, D. A., Lindenmayer, D. B., &amp; McAlpine, C. A. (2012). Faustian bargains? Restoration realities in the context of biodiversity offset policies. </w:t>
      </w:r>
      <w:r w:rsidRPr="00FE4CC2">
        <w:rPr>
          <w:rStyle w:val="referencia"/>
          <w:rFonts w:ascii="Calibri" w:hAnsi="Calibri"/>
          <w:i/>
          <w:szCs w:val="22"/>
        </w:rPr>
        <w:t>Biological Conservation</w:t>
      </w:r>
      <w:r w:rsidRPr="00FE4CC2">
        <w:rPr>
          <w:rStyle w:val="referencia"/>
          <w:rFonts w:ascii="Calibri" w:hAnsi="Calibri"/>
          <w:szCs w:val="22"/>
        </w:rPr>
        <w:t>, 155, 141–148.</w:t>
      </w:r>
    </w:p>
    <w:p w14:paraId="3712B4FA"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Martin, A., McGuire, S., &amp; Sullivan, S. (2013). Global environmental justice and biodiversity conservation. </w:t>
      </w:r>
      <w:r w:rsidRPr="00FE4CC2">
        <w:rPr>
          <w:rStyle w:val="referencia"/>
          <w:rFonts w:ascii="Calibri" w:hAnsi="Calibri"/>
          <w:i/>
          <w:szCs w:val="22"/>
        </w:rPr>
        <w:t>The Geographical Journal</w:t>
      </w:r>
      <w:r w:rsidRPr="00FE4CC2">
        <w:rPr>
          <w:rStyle w:val="referencia"/>
          <w:rFonts w:ascii="Calibri" w:hAnsi="Calibri"/>
          <w:szCs w:val="22"/>
        </w:rPr>
        <w:t>, 179(2), 122–131.</w:t>
      </w:r>
    </w:p>
    <w:p w14:paraId="63B5A6F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Martin, T. G., &amp; Watson, J. E. M. (2016). Intact ecosystems provide best </w:t>
      </w:r>
      <w:r w:rsidRPr="00FE4CC2">
        <w:rPr>
          <w:rStyle w:val="referencia"/>
          <w:rFonts w:ascii="Calibri" w:hAnsi="Calibri"/>
          <w:szCs w:val="22"/>
          <w:lang w:val="en-GB"/>
        </w:rPr>
        <w:t>defence</w:t>
      </w:r>
      <w:r w:rsidRPr="00FE4CC2">
        <w:rPr>
          <w:rStyle w:val="referencia"/>
          <w:rFonts w:ascii="Calibri" w:hAnsi="Calibri"/>
          <w:szCs w:val="22"/>
        </w:rPr>
        <w:t xml:space="preserve"> against climate change. </w:t>
      </w:r>
      <w:r w:rsidRPr="00FE4CC2">
        <w:rPr>
          <w:rStyle w:val="referencia"/>
          <w:rFonts w:ascii="Calibri" w:hAnsi="Calibri"/>
          <w:i/>
          <w:szCs w:val="22"/>
        </w:rPr>
        <w:t>Nature Climate Change</w:t>
      </w:r>
      <w:r w:rsidRPr="00FE4CC2">
        <w:rPr>
          <w:rStyle w:val="referencia"/>
          <w:rFonts w:ascii="Calibri" w:hAnsi="Calibri"/>
          <w:szCs w:val="22"/>
        </w:rPr>
        <w:t>, 6, 122-124.</w:t>
      </w:r>
    </w:p>
    <w:p w14:paraId="4AD280BC"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n-GB"/>
        </w:rPr>
        <w:t xml:space="preserve">Martin-Ortega, J., Ojea, E., &amp; Roux, C. (2013). </w:t>
      </w:r>
      <w:r w:rsidRPr="00FE4CC2">
        <w:rPr>
          <w:rStyle w:val="referencia"/>
          <w:rFonts w:ascii="Calibri" w:hAnsi="Calibri"/>
          <w:szCs w:val="22"/>
        </w:rPr>
        <w:t xml:space="preserve">Payments for water ecosystem services in Latin America: a literature review and conceptual model. </w:t>
      </w:r>
      <w:r w:rsidRPr="00FE4CC2">
        <w:rPr>
          <w:rStyle w:val="referencia"/>
          <w:rFonts w:ascii="Calibri" w:hAnsi="Calibri"/>
          <w:i/>
          <w:szCs w:val="22"/>
          <w:lang w:val="es-CO"/>
        </w:rPr>
        <w:t>Ecosystem Services</w:t>
      </w:r>
      <w:r w:rsidRPr="00FE4CC2">
        <w:rPr>
          <w:rStyle w:val="referencia"/>
          <w:rFonts w:ascii="Calibri" w:hAnsi="Calibri"/>
          <w:szCs w:val="22"/>
          <w:lang w:val="es-CO"/>
        </w:rPr>
        <w:t>, 6, 122-132.</w:t>
      </w:r>
    </w:p>
    <w:p w14:paraId="08A1789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Martins, A. R. P., Ferraz, F. T., &amp; da Costa, M. M. (2006). Sustentabilidade ambiental como nova dimensão do Índice de Desenvolvimento Humano dos países. </w:t>
      </w:r>
      <w:r w:rsidRPr="00FE4CC2">
        <w:rPr>
          <w:rStyle w:val="referencia"/>
          <w:rFonts w:ascii="Calibri" w:hAnsi="Calibri"/>
          <w:i/>
          <w:szCs w:val="22"/>
        </w:rPr>
        <w:t>Revista do BNDES</w:t>
      </w:r>
      <w:r w:rsidRPr="00FE4CC2">
        <w:rPr>
          <w:rStyle w:val="referencia"/>
          <w:rFonts w:ascii="Calibri" w:hAnsi="Calibri"/>
          <w:szCs w:val="22"/>
        </w:rPr>
        <w:t>, 13(26), 139-162.</w:t>
      </w:r>
    </w:p>
    <w:p w14:paraId="359B75C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Mas, A. H., &amp; Dietsch, T. V. (2004). </w:t>
      </w:r>
      <w:r w:rsidRPr="00FE4CC2">
        <w:rPr>
          <w:rStyle w:val="referencia"/>
          <w:rFonts w:ascii="Calibri" w:hAnsi="Calibri"/>
          <w:szCs w:val="22"/>
        </w:rPr>
        <w:t xml:space="preserve">Linking shade coffee certification to biodiversity conservation: butterflies and birds in Chiapas, Mexico. </w:t>
      </w:r>
      <w:r w:rsidRPr="00FE4CC2">
        <w:rPr>
          <w:rStyle w:val="referencia"/>
          <w:rFonts w:ascii="Calibri" w:hAnsi="Calibri"/>
          <w:i/>
          <w:szCs w:val="22"/>
        </w:rPr>
        <w:t>Ecological Applications</w:t>
      </w:r>
      <w:r w:rsidRPr="00FE4CC2">
        <w:rPr>
          <w:rStyle w:val="referencia"/>
          <w:rFonts w:ascii="Calibri" w:hAnsi="Calibri"/>
          <w:szCs w:val="22"/>
        </w:rPr>
        <w:t>, 14(3), 642–654.</w:t>
      </w:r>
    </w:p>
    <w:p w14:paraId="2802D725" w14:textId="77777777" w:rsidR="006969D3" w:rsidRPr="00FE4CC2" w:rsidRDefault="006969D3" w:rsidP="006969D3">
      <w:pPr>
        <w:ind w:left="851" w:hanging="851"/>
        <w:contextualSpacing/>
        <w:rPr>
          <w:rStyle w:val="referencia"/>
          <w:rFonts w:ascii="Calibri" w:hAnsi="Calibri"/>
          <w:szCs w:val="22"/>
          <w:lang w:val="fr-FR"/>
        </w:rPr>
      </w:pPr>
      <w:r w:rsidRPr="00FE4CC2">
        <w:rPr>
          <w:rStyle w:val="referencia"/>
          <w:rFonts w:ascii="Calibri" w:hAnsi="Calibri"/>
          <w:szCs w:val="22"/>
          <w:lang w:val="en-GB"/>
        </w:rPr>
        <w:t xml:space="preserve">Matheus, F. S, &amp; Raimundo, S. (2016). </w:t>
      </w:r>
      <w:r w:rsidRPr="00FE4CC2">
        <w:rPr>
          <w:rStyle w:val="referencia"/>
          <w:rFonts w:ascii="Calibri" w:hAnsi="Calibri"/>
          <w:szCs w:val="22"/>
        </w:rPr>
        <w:t xml:space="preserve">Public use and ecotourism policies in Brazilian and Canadian protected areas. </w:t>
      </w:r>
      <w:r w:rsidRPr="00FE4CC2">
        <w:rPr>
          <w:rStyle w:val="referencia"/>
          <w:rFonts w:ascii="Calibri" w:hAnsi="Calibri"/>
          <w:i/>
          <w:szCs w:val="22"/>
          <w:lang w:val="fr-FR"/>
        </w:rPr>
        <w:t>Études Caribéennes</w:t>
      </w:r>
      <w:r w:rsidRPr="00FE4CC2">
        <w:rPr>
          <w:rStyle w:val="referencia"/>
          <w:rFonts w:ascii="Calibri" w:hAnsi="Calibri"/>
          <w:szCs w:val="22"/>
          <w:lang w:val="fr-FR"/>
        </w:rPr>
        <w:t xml:space="preserve">, 33- 34 (online). https://doi.org/10.4000/etudescaribeennes.9344   </w:t>
      </w:r>
    </w:p>
    <w:p w14:paraId="10047D96"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lang w:val="fr-FR"/>
        </w:rPr>
        <w:t xml:space="preserve">Matthews, J. W., &amp; Endress, A.G. (2008). </w:t>
      </w:r>
      <w:r w:rsidRPr="00FE4CC2">
        <w:rPr>
          <w:rStyle w:val="referencia"/>
          <w:rFonts w:ascii="Calibri" w:hAnsi="Calibri"/>
          <w:szCs w:val="22"/>
        </w:rPr>
        <w:t xml:space="preserve">Performance criteria, compliance success, and vegetation development in compensatory mitigation wetlands. </w:t>
      </w:r>
      <w:r w:rsidRPr="00FE4CC2">
        <w:rPr>
          <w:rStyle w:val="referencia"/>
          <w:rFonts w:ascii="Calibri" w:hAnsi="Calibri"/>
          <w:i/>
          <w:szCs w:val="22"/>
          <w:lang w:val="pt-BR"/>
        </w:rPr>
        <w:t>Environmental Management</w:t>
      </w:r>
      <w:r w:rsidRPr="00FE4CC2">
        <w:rPr>
          <w:rStyle w:val="referencia"/>
          <w:rFonts w:ascii="Calibri" w:hAnsi="Calibri"/>
          <w:szCs w:val="22"/>
          <w:lang w:val="pt-BR"/>
        </w:rPr>
        <w:t>, 41, 130–141.</w:t>
      </w:r>
    </w:p>
    <w:p w14:paraId="1752A07D" w14:textId="77777777" w:rsidR="006969D3" w:rsidRPr="00FE4CC2" w:rsidRDefault="006969D3" w:rsidP="006969D3">
      <w:pPr>
        <w:widowControl w:val="0"/>
        <w:autoSpaceDE w:val="0"/>
        <w:autoSpaceDN w:val="0"/>
        <w:adjustRightInd w:val="0"/>
        <w:ind w:left="851" w:hanging="851"/>
        <w:contextualSpacing/>
        <w:rPr>
          <w:noProof/>
          <w:color w:val="000000" w:themeColor="text1"/>
          <w:szCs w:val="22"/>
        </w:rPr>
      </w:pPr>
      <w:r w:rsidRPr="00FE4CC2">
        <w:rPr>
          <w:noProof/>
          <w:szCs w:val="22"/>
          <w:lang w:val="pt-BR"/>
        </w:rPr>
        <w:t xml:space="preserve">May, P., Fernandes, L. S., &amp; Rodríguez Osuna, V. (in press). </w:t>
      </w:r>
      <w:r w:rsidRPr="00FE4CC2">
        <w:rPr>
          <w:noProof/>
          <w:szCs w:val="22"/>
        </w:rPr>
        <w:t xml:space="preserve">Evolution of public policies and local innovation in landscape conservation in Rio de Janeiro. In U. Nehren, S. Schlueter, C. Raedig, D. </w:t>
      </w:r>
      <w:r w:rsidRPr="00FE4CC2">
        <w:rPr>
          <w:noProof/>
          <w:color w:val="000000" w:themeColor="text1"/>
          <w:szCs w:val="22"/>
        </w:rPr>
        <w:t xml:space="preserve">Sattler, &amp; H. Hissa (Eds.), </w:t>
      </w:r>
      <w:r w:rsidRPr="00FE4CC2">
        <w:rPr>
          <w:i/>
          <w:iCs/>
          <w:noProof/>
          <w:color w:val="000000" w:themeColor="text1"/>
          <w:szCs w:val="22"/>
        </w:rPr>
        <w:t>Strategies and tools for a sustainable Rio de Janeiro</w:t>
      </w:r>
      <w:r w:rsidRPr="00FE4CC2">
        <w:rPr>
          <w:noProof/>
          <w:color w:val="000000" w:themeColor="text1"/>
          <w:szCs w:val="22"/>
        </w:rPr>
        <w:t xml:space="preserve"> (in press). Cham, Switzerland: Springer.</w:t>
      </w:r>
    </w:p>
    <w:p w14:paraId="57E3895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McGrath, D. G., Castro, F., Futemma, C., Amaral, B.  </w:t>
      </w:r>
      <w:r w:rsidRPr="00FE4CC2">
        <w:rPr>
          <w:rStyle w:val="referencia"/>
          <w:rFonts w:ascii="Calibri" w:hAnsi="Calibri"/>
          <w:szCs w:val="22"/>
        </w:rPr>
        <w:t xml:space="preserve">D., &amp; Calabria, J. (1993). Fisheries and the evolution of resource management on the Lower Amazon Floodplain. </w:t>
      </w:r>
      <w:r w:rsidRPr="00FE4CC2">
        <w:rPr>
          <w:rStyle w:val="referencia"/>
          <w:rFonts w:ascii="Calibri" w:hAnsi="Calibri"/>
          <w:i/>
          <w:szCs w:val="22"/>
        </w:rPr>
        <w:t>Human Ecology</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21(2), 167-198.</w:t>
      </w:r>
    </w:p>
    <w:p w14:paraId="4F18B5B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McGray, H., Hammill, A., &amp; Bradley, R. (2007). </w:t>
      </w:r>
      <w:r w:rsidRPr="00FE4CC2">
        <w:rPr>
          <w:rStyle w:val="referencia"/>
          <w:rFonts w:ascii="Calibri" w:hAnsi="Calibri"/>
          <w:i/>
          <w:szCs w:val="22"/>
        </w:rPr>
        <w:t>Weathering the Storm - Options for Framing Adaptation and Development.</w:t>
      </w:r>
      <w:r w:rsidRPr="00FE4CC2">
        <w:rPr>
          <w:rStyle w:val="referencia"/>
          <w:rFonts w:ascii="Calibri" w:hAnsi="Calibri"/>
          <w:szCs w:val="22"/>
        </w:rPr>
        <w:t xml:space="preserve"> Washington, DC, US: World Resources Institute. </w:t>
      </w:r>
    </w:p>
    <w:p w14:paraId="01FFB83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McSweeney, K., Nielsen, E. A., Taylor, M. J., Wrathall, D. J., Pearson, Z., Wang, O., &amp; Plumb, S. T. (2014). </w:t>
      </w:r>
      <w:r w:rsidRPr="00FE4CC2">
        <w:rPr>
          <w:rStyle w:val="referencia"/>
          <w:rFonts w:ascii="Calibri" w:hAnsi="Calibri"/>
          <w:szCs w:val="22"/>
          <w:lang w:val="en-GB"/>
        </w:rPr>
        <w:t xml:space="preserve">Drug policy as conservation policy: narco-deforestation. </w:t>
      </w:r>
      <w:r w:rsidRPr="00FE4CC2">
        <w:rPr>
          <w:rStyle w:val="referencia"/>
          <w:rFonts w:ascii="Calibri" w:hAnsi="Calibri"/>
          <w:i/>
          <w:szCs w:val="22"/>
        </w:rPr>
        <w:t>Science</w:t>
      </w:r>
      <w:r w:rsidRPr="00FE4CC2">
        <w:rPr>
          <w:rStyle w:val="referencia"/>
          <w:rFonts w:ascii="Calibri" w:hAnsi="Calibri"/>
          <w:szCs w:val="22"/>
        </w:rPr>
        <w:t>, 343, 489-490.</w:t>
      </w:r>
    </w:p>
    <w:p w14:paraId="4A4A2F0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Medeiros, R., Young, C. E. F., Pavese, H. B., &amp; Araújo, F. F. S. (2011). </w:t>
      </w:r>
      <w:r w:rsidRPr="00FE4CC2">
        <w:rPr>
          <w:rStyle w:val="referencia"/>
          <w:rFonts w:ascii="Calibri" w:hAnsi="Calibri"/>
          <w:i/>
          <w:szCs w:val="22"/>
          <w:lang w:val="es-CO"/>
        </w:rPr>
        <w:t>Contribuição das Unidades de Conservação Brasileiras para a Economia Nacional: Sumário Executivo</w:t>
      </w:r>
      <w:r w:rsidRPr="00FE4CC2">
        <w:rPr>
          <w:rStyle w:val="referencia"/>
          <w:rFonts w:ascii="Calibri" w:hAnsi="Calibri"/>
          <w:szCs w:val="22"/>
          <w:lang w:val="es-CO"/>
        </w:rPr>
        <w:t xml:space="preserve">. </w:t>
      </w:r>
      <w:r w:rsidRPr="00FE4CC2">
        <w:rPr>
          <w:rStyle w:val="referencia"/>
          <w:rFonts w:ascii="Calibri" w:hAnsi="Calibri"/>
          <w:szCs w:val="22"/>
        </w:rPr>
        <w:t>Brasília: UNEP-WCMC (pp. 44).</w:t>
      </w:r>
    </w:p>
    <w:p w14:paraId="1AFB09B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Meffe, G. K., Nielsen, L. A., Knight, R. L., &amp; Schenborn, D. A. (2002). </w:t>
      </w:r>
      <w:r w:rsidRPr="00FE4CC2">
        <w:rPr>
          <w:rStyle w:val="referencia"/>
          <w:rFonts w:ascii="Calibri" w:hAnsi="Calibri"/>
          <w:i/>
          <w:szCs w:val="22"/>
        </w:rPr>
        <w:t>Ecosystem Management - Adaptive Community-Based Conservation</w:t>
      </w:r>
      <w:r w:rsidRPr="00FE4CC2">
        <w:rPr>
          <w:rStyle w:val="referencia"/>
          <w:rFonts w:ascii="Calibri" w:hAnsi="Calibri"/>
          <w:szCs w:val="22"/>
        </w:rPr>
        <w:t>. Washington: Island Press (pp. 333).</w:t>
      </w:r>
    </w:p>
    <w:p w14:paraId="2BB0B11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Mercer, J., Kelman, I., Alfthan, B., &amp; Kurvits, T. (2012). Ecosystem-based adaptation to climate change in Caribbean small island developing states: integrating local and external knowledge. </w:t>
      </w:r>
      <w:r w:rsidRPr="00FE4CC2">
        <w:rPr>
          <w:rStyle w:val="referencia"/>
          <w:rFonts w:ascii="Calibri" w:hAnsi="Calibri"/>
          <w:i/>
          <w:szCs w:val="22"/>
        </w:rPr>
        <w:t>Sustainability</w:t>
      </w:r>
      <w:r w:rsidRPr="00FE4CC2">
        <w:rPr>
          <w:rStyle w:val="referencia"/>
          <w:rFonts w:ascii="Calibri" w:hAnsi="Calibri"/>
          <w:szCs w:val="22"/>
        </w:rPr>
        <w:t>, 4, 1908-1932.</w:t>
      </w:r>
    </w:p>
    <w:p w14:paraId="34865948"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Millar, C., &amp; Fagre, D. (2007). Monitoring alpine plants for climate change: the North American GLORIA Project. </w:t>
      </w:r>
      <w:r w:rsidRPr="00FE4CC2">
        <w:rPr>
          <w:rStyle w:val="referencia"/>
          <w:rFonts w:ascii="Calibri" w:hAnsi="Calibri"/>
          <w:i/>
          <w:szCs w:val="22"/>
          <w:lang w:val="pt-BR"/>
        </w:rPr>
        <w:t xml:space="preserve">Cirmount, Mountain Views, </w:t>
      </w:r>
      <w:r w:rsidRPr="00FE4CC2">
        <w:rPr>
          <w:rStyle w:val="referencia"/>
          <w:rFonts w:ascii="Calibri" w:hAnsi="Calibri"/>
          <w:szCs w:val="22"/>
          <w:lang w:val="pt-BR"/>
        </w:rPr>
        <w:t>1/1, 12-15.</w:t>
      </w:r>
    </w:p>
    <w:p w14:paraId="211BF327" w14:textId="77777777" w:rsidR="006969D3" w:rsidRPr="00FE4CC2" w:rsidRDefault="006969D3" w:rsidP="006969D3">
      <w:pPr>
        <w:ind w:left="851" w:hanging="851"/>
        <w:contextualSpacing/>
        <w:rPr>
          <w:color w:val="000000"/>
          <w:szCs w:val="22"/>
        </w:rPr>
      </w:pPr>
      <w:r w:rsidRPr="00FE4CC2">
        <w:rPr>
          <w:color w:val="000000"/>
          <w:szCs w:val="22"/>
          <w:lang w:val="pt-BR"/>
        </w:rPr>
        <w:t xml:space="preserve">Minambiente (2016). </w:t>
      </w:r>
      <w:r w:rsidRPr="00FE4CC2">
        <w:rPr>
          <w:i/>
          <w:color w:val="000000"/>
          <w:szCs w:val="22"/>
          <w:lang w:val="pt-BR"/>
        </w:rPr>
        <w:t>Informe de Gestión</w:t>
      </w:r>
      <w:r w:rsidRPr="00FE4CC2">
        <w:rPr>
          <w:color w:val="000000"/>
          <w:szCs w:val="22"/>
          <w:lang w:val="pt-BR"/>
        </w:rPr>
        <w:t xml:space="preserve">. Ministerio de Ambiente y Desarollo Sostenible. </w:t>
      </w:r>
      <w:r w:rsidRPr="00FE4CC2">
        <w:rPr>
          <w:color w:val="000000"/>
          <w:szCs w:val="22"/>
        </w:rPr>
        <w:t xml:space="preserve">Available at </w:t>
      </w:r>
      <w:hyperlink r:id="rId1118" w:history="1">
        <w:r w:rsidRPr="00FE4CC2">
          <w:rPr>
            <w:rStyle w:val="Hyperlink"/>
            <w:szCs w:val="22"/>
          </w:rPr>
          <w:t>http://www.minambiente.gov.co/images/planeacion-y-seguimiento/pdf/Informes_de_Gesti%C3%B3n/Informe_de_Gesti%C3%B3n_MADS/Informe_de_Gesti%C3%B3n_MADS_2016_1.pdf</w:t>
        </w:r>
      </w:hyperlink>
    </w:p>
    <w:p w14:paraId="484BEA6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Miteva, D. A., Pattanayak, S. K., &amp; Ferraro, P. J. (2012). </w:t>
      </w:r>
      <w:r w:rsidRPr="00FE4CC2">
        <w:rPr>
          <w:rStyle w:val="referencia"/>
          <w:rFonts w:ascii="Calibri" w:hAnsi="Calibri"/>
          <w:szCs w:val="22"/>
        </w:rPr>
        <w:t xml:space="preserve">Evaluation of biodiversity policy instruments: what works and what doesn’t? </w:t>
      </w:r>
      <w:r w:rsidRPr="00FE4CC2">
        <w:rPr>
          <w:rStyle w:val="referencia"/>
          <w:rFonts w:ascii="Calibri" w:hAnsi="Calibri"/>
          <w:i/>
          <w:szCs w:val="22"/>
        </w:rPr>
        <w:t>Oxford Review of Economic Policy</w:t>
      </w:r>
      <w:r w:rsidRPr="00FE4CC2">
        <w:rPr>
          <w:rStyle w:val="referencia"/>
          <w:rFonts w:ascii="Calibri" w:hAnsi="Calibri"/>
          <w:szCs w:val="22"/>
        </w:rPr>
        <w:t>, 28(1), 69-92.</w:t>
      </w:r>
    </w:p>
    <w:p w14:paraId="236C0C9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Mittermeier, R. A., Gil, P. R., Hoffmann, M., Pilgrim, J., Brooks, T., Mittermeier, C. G., Lamoreux, J., &amp; Fonseca, G. A. B. (2005). </w:t>
      </w:r>
      <w:r w:rsidRPr="00FE4CC2">
        <w:rPr>
          <w:rStyle w:val="referencia"/>
          <w:rFonts w:ascii="Calibri" w:hAnsi="Calibri"/>
          <w:i/>
          <w:szCs w:val="22"/>
        </w:rPr>
        <w:t>Hotspots Revisited: Earth’s Biologically Richest and Most Endangered Terrestrial Ecoregions</w:t>
      </w:r>
      <w:r w:rsidRPr="00FE4CC2">
        <w:rPr>
          <w:rStyle w:val="referencia"/>
          <w:rFonts w:ascii="Calibri" w:hAnsi="Calibri"/>
          <w:szCs w:val="22"/>
        </w:rPr>
        <w:t>. 2nd ed..</w:t>
      </w:r>
      <w:r w:rsidRPr="00FE4CC2">
        <w:rPr>
          <w:rStyle w:val="referencia"/>
          <w:rFonts w:ascii="Calibri" w:hAnsi="Calibri"/>
          <w:i/>
          <w:szCs w:val="22"/>
        </w:rPr>
        <w:t xml:space="preserve"> </w:t>
      </w:r>
      <w:r w:rsidRPr="00FE4CC2">
        <w:rPr>
          <w:rStyle w:val="referencia"/>
          <w:rFonts w:ascii="Calibri" w:hAnsi="Calibri"/>
          <w:szCs w:val="22"/>
        </w:rPr>
        <w:t>Arlington, VA, USA: Conservation International (pp. 392).</w:t>
      </w:r>
    </w:p>
    <w:p w14:paraId="032CE0C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Mittermeier, R. A., Mittermeier, C. G., Robles Gil, P., Pilgrim, J., Fonseca, G. A. B., Konstant, W. R., &amp; Brooks, T. (2002). </w:t>
      </w:r>
      <w:hyperlink r:id="rId1119" w:history="1">
        <w:r w:rsidRPr="00FE4CC2">
          <w:rPr>
            <w:rStyle w:val="referencia"/>
            <w:rFonts w:ascii="Calibri" w:hAnsi="Calibri"/>
            <w:i/>
            <w:szCs w:val="22"/>
          </w:rPr>
          <w:t>Wilderness: Earth's Last Wild Places</w:t>
        </w:r>
      </w:hyperlink>
      <w:r w:rsidRPr="00FE4CC2">
        <w:rPr>
          <w:rStyle w:val="referencia"/>
          <w:rFonts w:ascii="Calibri" w:hAnsi="Calibri"/>
          <w:szCs w:val="22"/>
        </w:rPr>
        <w:t>. Arlington, VA, USA: Conservation International (pp. 576).</w:t>
      </w:r>
    </w:p>
    <w:p w14:paraId="6BB79119" w14:textId="77777777" w:rsidR="006969D3" w:rsidRPr="00FE4CC2" w:rsidRDefault="006969D3" w:rsidP="006969D3">
      <w:pPr>
        <w:ind w:left="851" w:hanging="851"/>
        <w:contextualSpacing/>
        <w:rPr>
          <w:rStyle w:val="referencia"/>
          <w:rFonts w:ascii="Calibri" w:hAnsi="Calibri"/>
          <w:szCs w:val="22"/>
          <w:lang w:val="en-GB"/>
        </w:rPr>
      </w:pPr>
      <w:r w:rsidRPr="00FE4CC2">
        <w:rPr>
          <w:rStyle w:val="referencia"/>
          <w:rFonts w:ascii="Calibri" w:hAnsi="Calibri"/>
          <w:szCs w:val="22"/>
        </w:rPr>
        <w:t xml:space="preserve">Montagnini, F., &amp; Finney, C. (2011). Payments for environmental services in Latin America as a tool for restoration and rural development. </w:t>
      </w:r>
      <w:r w:rsidRPr="00FE4CC2">
        <w:rPr>
          <w:rStyle w:val="referencia"/>
          <w:rFonts w:ascii="Calibri" w:hAnsi="Calibri"/>
          <w:i/>
          <w:szCs w:val="22"/>
          <w:lang w:val="en-GB"/>
        </w:rPr>
        <w:t>Ambio</w:t>
      </w:r>
      <w:r w:rsidRPr="00FE4CC2">
        <w:rPr>
          <w:rStyle w:val="referencia"/>
          <w:rFonts w:ascii="Calibri" w:hAnsi="Calibri"/>
          <w:szCs w:val="22"/>
          <w:lang w:val="en-GB"/>
        </w:rPr>
        <w:t>, 40(3), 285-297.</w:t>
      </w:r>
    </w:p>
    <w:p w14:paraId="7C465A60" w14:textId="77777777" w:rsidR="006969D3" w:rsidRPr="00FE4CC2" w:rsidRDefault="006969D3" w:rsidP="006969D3">
      <w:pPr>
        <w:ind w:left="851" w:hanging="851"/>
        <w:contextualSpacing/>
        <w:rPr>
          <w:rStyle w:val="referencia"/>
          <w:rFonts w:ascii="Calibri" w:hAnsi="Calibri"/>
          <w:szCs w:val="22"/>
        </w:rPr>
      </w:pPr>
      <w:r w:rsidRPr="00FE4CC2">
        <w:rPr>
          <w:szCs w:val="22"/>
        </w:rPr>
        <w:t xml:space="preserve">Montoya, J. M., Donohue, I., &amp; Pimm, S. L. (2018). Planetary boundaries for biodiversity: Implausible science, pernicious policies. </w:t>
      </w:r>
      <w:r w:rsidRPr="00FE4CC2">
        <w:rPr>
          <w:i/>
          <w:szCs w:val="22"/>
        </w:rPr>
        <w:t>Trends in Ecology and Evolution</w:t>
      </w:r>
      <w:r w:rsidRPr="00FE4CC2">
        <w:rPr>
          <w:szCs w:val="22"/>
        </w:rPr>
        <w:t xml:space="preserve">, 33(2), 71-73. </w:t>
      </w:r>
      <w:hyperlink r:id="rId1120" w:tgtFrame="_blank" w:tooltip="Persistent link using digital object identifier" w:history="1">
        <w:r w:rsidRPr="00FE4CC2">
          <w:rPr>
            <w:rStyle w:val="referencia"/>
            <w:rFonts w:ascii="Calibri" w:hAnsi="Calibri"/>
            <w:szCs w:val="22"/>
            <w:lang w:val="en-GB"/>
          </w:rPr>
          <w:t xml:space="preserve"> https://doi.org/</w:t>
        </w:r>
        <w:r w:rsidRPr="00FE4CC2">
          <w:rPr>
            <w:rStyle w:val="Hyperlink"/>
            <w:szCs w:val="22"/>
          </w:rPr>
          <w:t>10.1016/j.tree.2017.10.004</w:t>
        </w:r>
      </w:hyperlink>
      <w:r w:rsidRPr="00FE4CC2">
        <w:rPr>
          <w:szCs w:val="22"/>
        </w:rPr>
        <w:t xml:space="preserve"> </w:t>
      </w:r>
    </w:p>
    <w:p w14:paraId="3206142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Moran, D., &amp; Kanemoto, K. (2017). Identifying species threat hotspots from global supply chains. </w:t>
      </w:r>
      <w:r w:rsidRPr="00FE4CC2">
        <w:rPr>
          <w:rStyle w:val="referencia"/>
          <w:rFonts w:ascii="Calibri" w:hAnsi="Calibri"/>
          <w:i/>
          <w:szCs w:val="22"/>
        </w:rPr>
        <w:t>Nature Ecology and Evolution</w:t>
      </w:r>
      <w:r w:rsidRPr="00FE4CC2">
        <w:rPr>
          <w:rStyle w:val="referencia"/>
          <w:rFonts w:ascii="Calibri" w:hAnsi="Calibri"/>
          <w:szCs w:val="22"/>
        </w:rPr>
        <w:t xml:space="preserve">, 1, 0023, </w:t>
      </w:r>
      <w:r w:rsidRPr="00FE4CC2">
        <w:rPr>
          <w:rStyle w:val="referencia"/>
          <w:rFonts w:ascii="Calibri" w:hAnsi="Calibri"/>
          <w:szCs w:val="22"/>
          <w:lang w:val="en-GB"/>
        </w:rPr>
        <w:t>https://doi.org/</w:t>
      </w:r>
      <w:r w:rsidRPr="00FE4CC2">
        <w:rPr>
          <w:rStyle w:val="referencia"/>
          <w:rFonts w:ascii="Calibri" w:hAnsi="Calibri"/>
          <w:szCs w:val="22"/>
        </w:rPr>
        <w:t xml:space="preserve">10.1038/s41559-016-0023. </w:t>
      </w:r>
    </w:p>
    <w:p w14:paraId="2E40F39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Morton, D. C., Noojipady, P., Macedo, M. M., Gibbs, H., Victoria, D. C., Bolfe, E. L. (2016). Reevaluating suitability estimates based on dynamics of cropland expansion in the Brazilian Amazon. </w:t>
      </w:r>
      <w:r w:rsidRPr="00FE4CC2">
        <w:rPr>
          <w:rStyle w:val="referencia"/>
          <w:rFonts w:ascii="Calibri" w:hAnsi="Calibri"/>
          <w:i/>
          <w:szCs w:val="22"/>
        </w:rPr>
        <w:t>Global Environmental Change</w:t>
      </w:r>
      <w:r w:rsidRPr="00FE4CC2">
        <w:rPr>
          <w:rStyle w:val="referencia"/>
          <w:rFonts w:ascii="Calibri" w:hAnsi="Calibri"/>
          <w:szCs w:val="22"/>
        </w:rPr>
        <w:t xml:space="preserve">, 37, 92-101. </w:t>
      </w:r>
    </w:p>
    <w:p w14:paraId="0CCCC6C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Munroe, R., Nathalie, D., Roe, D., </w:t>
      </w:r>
      <w:r w:rsidRPr="00FE4CC2">
        <w:rPr>
          <w:szCs w:val="22"/>
        </w:rPr>
        <w:t>Reid, H., Giuliani, A., Castelli, I., Möller, I.</w:t>
      </w:r>
      <w:r w:rsidRPr="00FE4CC2">
        <w:rPr>
          <w:rStyle w:val="referencia"/>
          <w:rFonts w:ascii="Calibri" w:hAnsi="Calibri"/>
          <w:szCs w:val="22"/>
        </w:rPr>
        <w:t xml:space="preserve"> (2011). Does EbA work? A review of the evidence on the effectiveness of ecosystem-based approaches to adaptation. </w:t>
      </w:r>
      <w:r w:rsidRPr="00FE4CC2">
        <w:rPr>
          <w:rStyle w:val="referencia"/>
          <w:rFonts w:ascii="Calibri" w:hAnsi="Calibri"/>
          <w:i/>
          <w:szCs w:val="22"/>
        </w:rPr>
        <w:t>IIED Policy Briefs</w:t>
      </w:r>
      <w:r w:rsidRPr="00FE4CC2">
        <w:rPr>
          <w:rStyle w:val="referencia"/>
          <w:rFonts w:ascii="Calibri" w:hAnsi="Calibri"/>
          <w:szCs w:val="22"/>
        </w:rPr>
        <w:t>.</w:t>
      </w:r>
    </w:p>
    <w:p w14:paraId="26F1EC7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Murcia, C., Guariguata, M. R., Andrade, Á., Andrade, G. I., Aronson, J., Escobar, E. M., Etter, A., Moreno, F. H., Ramírez, W., &amp; Montes, E. (2016). Challenges and prospects for scaling-up ecological restoration to meet international commitments: Colombia as a case study. </w:t>
      </w:r>
      <w:r w:rsidRPr="00FE4CC2">
        <w:rPr>
          <w:rStyle w:val="referencia"/>
          <w:rFonts w:ascii="Calibri" w:hAnsi="Calibri"/>
          <w:i/>
          <w:szCs w:val="22"/>
        </w:rPr>
        <w:t>Conservation Letters</w:t>
      </w:r>
      <w:r w:rsidRPr="00FE4CC2">
        <w:rPr>
          <w:rStyle w:val="referencia"/>
          <w:rFonts w:ascii="Calibri" w:hAnsi="Calibri"/>
          <w:szCs w:val="22"/>
        </w:rPr>
        <w:t xml:space="preserve">, 9(3), 213-220. </w:t>
      </w:r>
      <w:r w:rsidRPr="00FE4CC2">
        <w:rPr>
          <w:rStyle w:val="referencia"/>
          <w:rFonts w:ascii="Calibri" w:hAnsi="Calibri"/>
          <w:szCs w:val="22"/>
          <w:lang w:val="en-GB"/>
        </w:rPr>
        <w:t>https://doi.org/</w:t>
      </w:r>
      <w:r w:rsidRPr="00FE4CC2">
        <w:rPr>
          <w:rStyle w:val="referencia"/>
          <w:rFonts w:ascii="Calibri" w:hAnsi="Calibri"/>
          <w:szCs w:val="22"/>
        </w:rPr>
        <w:t>10.1111/conl.12199.</w:t>
      </w:r>
    </w:p>
    <w:p w14:paraId="2A08C7C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Natcher, D. C., &amp; Hickey, C. G. (2002). Putting the community back into community-based resource management: a criteria and indicators approach to sustainability. </w:t>
      </w:r>
      <w:r w:rsidRPr="00FE4CC2">
        <w:rPr>
          <w:rStyle w:val="referencia"/>
          <w:rFonts w:ascii="Calibri" w:hAnsi="Calibri"/>
          <w:i/>
          <w:szCs w:val="22"/>
        </w:rPr>
        <w:t>Human Organization</w:t>
      </w:r>
      <w:r w:rsidRPr="00FE4CC2">
        <w:rPr>
          <w:rStyle w:val="referencia"/>
          <w:rFonts w:ascii="Calibri" w:hAnsi="Calibri"/>
          <w:szCs w:val="22"/>
        </w:rPr>
        <w:t>, 61(4), 350-363.</w:t>
      </w:r>
    </w:p>
    <w:p w14:paraId="2DE5DD03" w14:textId="77777777" w:rsidR="006969D3" w:rsidRPr="00FE4CC2" w:rsidRDefault="006969D3" w:rsidP="006969D3">
      <w:pPr>
        <w:ind w:left="851" w:hanging="851"/>
        <w:contextualSpacing/>
        <w:rPr>
          <w:noProof/>
          <w:color w:val="000000" w:themeColor="text1"/>
          <w:szCs w:val="22"/>
        </w:rPr>
      </w:pPr>
      <w:r w:rsidRPr="00FE4CC2">
        <w:rPr>
          <w:noProof/>
          <w:color w:val="000000" w:themeColor="text1"/>
          <w:szCs w:val="22"/>
        </w:rPr>
        <w:t xml:space="preserve">Naturevest &amp; EKO (2014). </w:t>
      </w:r>
      <w:r w:rsidRPr="00FE4CC2">
        <w:rPr>
          <w:i/>
          <w:color w:val="000000" w:themeColor="text1"/>
          <w:szCs w:val="22"/>
        </w:rPr>
        <w:t>Investing in Conservation: A Landscape Assessment of an Emerging Market.</w:t>
      </w:r>
      <w:r w:rsidRPr="00FE4CC2">
        <w:rPr>
          <w:color w:val="000000" w:themeColor="text1"/>
          <w:szCs w:val="22"/>
        </w:rPr>
        <w:t xml:space="preserve"> Natural Capital Investment Solutions and EKO Asset Management Partners. </w:t>
      </w:r>
      <w:r w:rsidRPr="00FE4CC2">
        <w:rPr>
          <w:noProof/>
          <w:color w:val="000000" w:themeColor="text1"/>
          <w:szCs w:val="22"/>
        </w:rPr>
        <w:t xml:space="preserve">Available at: </w:t>
      </w:r>
      <w:hyperlink r:id="rId1121" w:history="1">
        <w:r w:rsidRPr="00FE4CC2">
          <w:rPr>
            <w:rStyle w:val="Hyperlink"/>
            <w:noProof/>
            <w:szCs w:val="22"/>
          </w:rPr>
          <w:t>http://www.naturevesttnc.org/pdf/InvestingInConservation_Report.pdf</w:t>
        </w:r>
      </w:hyperlink>
    </w:p>
    <w:p w14:paraId="665C9840" w14:textId="77777777" w:rsidR="006969D3" w:rsidRPr="00FE4CC2" w:rsidRDefault="006969D3" w:rsidP="006969D3">
      <w:pPr>
        <w:autoSpaceDE w:val="0"/>
        <w:autoSpaceDN w:val="0"/>
        <w:adjustRightInd w:val="0"/>
        <w:ind w:left="851" w:hanging="851"/>
        <w:contextualSpacing/>
        <w:rPr>
          <w:rFonts w:eastAsia="AdvP6975"/>
          <w:color w:val="231F20"/>
          <w:szCs w:val="22"/>
        </w:rPr>
      </w:pPr>
      <w:r w:rsidRPr="00FE4CC2">
        <w:rPr>
          <w:rFonts w:eastAsia="AdvP6975"/>
          <w:color w:val="231F20"/>
          <w:szCs w:val="22"/>
        </w:rPr>
        <w:t xml:space="preserve">NCFA (2016). Available at: </w:t>
      </w:r>
      <w:hyperlink r:id="rId1122" w:history="1">
        <w:r w:rsidRPr="00FE4CC2">
          <w:rPr>
            <w:rStyle w:val="Hyperlink"/>
            <w:rFonts w:eastAsia="AdvP6975"/>
            <w:szCs w:val="22"/>
          </w:rPr>
          <w:t>http://www.naturalcapitalfinancealliance.org/softcommoditytool/</w:t>
        </w:r>
      </w:hyperlink>
    </w:p>
    <w:p w14:paraId="0949B921" w14:textId="77777777" w:rsidR="006969D3" w:rsidRPr="00FE4CC2" w:rsidRDefault="006969D3" w:rsidP="006969D3">
      <w:pPr>
        <w:autoSpaceDE w:val="0"/>
        <w:autoSpaceDN w:val="0"/>
        <w:adjustRightInd w:val="0"/>
        <w:ind w:left="851" w:hanging="851"/>
        <w:contextualSpacing/>
        <w:rPr>
          <w:rStyle w:val="referencia"/>
          <w:rFonts w:ascii="Calibri" w:hAnsi="Calibri"/>
          <w:szCs w:val="22"/>
        </w:rPr>
      </w:pPr>
      <w:r w:rsidRPr="00FE4CC2">
        <w:rPr>
          <w:rFonts w:eastAsia="AdvP6975"/>
          <w:color w:val="231F20"/>
          <w:szCs w:val="22"/>
        </w:rPr>
        <w:t xml:space="preserve">Nehren, U., Thai, H. H. D., Marfai, M. A., Raedig, C., Alfonso, S., Sartohadi, J., &amp; Castro, C. (2016). </w:t>
      </w:r>
      <w:r w:rsidRPr="00FE4CC2">
        <w:rPr>
          <w:rFonts w:eastAsia="AdvP6F01"/>
          <w:color w:val="231F20"/>
          <w:szCs w:val="22"/>
        </w:rPr>
        <w:t xml:space="preserve">Ecosystem services of coastal dune systems for hazard mitigation: Case studies from Vietnam, Indonesia, and Chile. </w:t>
      </w:r>
      <w:r w:rsidRPr="00FE4CC2">
        <w:rPr>
          <w:rFonts w:eastAsia="AdvP6F01"/>
          <w:color w:val="231F20"/>
          <w:szCs w:val="22"/>
          <w:lang w:val="de-DE"/>
        </w:rPr>
        <w:t xml:space="preserve">In </w:t>
      </w:r>
      <w:r w:rsidRPr="00FE4CC2">
        <w:rPr>
          <w:rFonts w:eastAsia="AdvP6975"/>
          <w:color w:val="231F20"/>
          <w:szCs w:val="22"/>
          <w:lang w:val="de-DE"/>
        </w:rPr>
        <w:t>F. G. Renaud, K. Sudmeier-Rieux, M. Estrella, U. Nehren</w:t>
      </w:r>
      <w:r w:rsidRPr="00FE4CC2">
        <w:rPr>
          <w:rStyle w:val="referencia"/>
          <w:rFonts w:ascii="Calibri" w:hAnsi="Calibri"/>
          <w:szCs w:val="22"/>
          <w:lang w:val="de-DE"/>
        </w:rPr>
        <w:t xml:space="preserve">. </w:t>
      </w:r>
      <w:r w:rsidRPr="00FE4CC2">
        <w:rPr>
          <w:rStyle w:val="referencia"/>
          <w:rFonts w:ascii="Calibri" w:hAnsi="Calibri"/>
          <w:szCs w:val="22"/>
        </w:rPr>
        <w:t>(Eds.). </w:t>
      </w:r>
      <w:r w:rsidRPr="00FE4CC2">
        <w:rPr>
          <w:rStyle w:val="referencia"/>
          <w:rFonts w:ascii="Calibri" w:hAnsi="Calibri"/>
          <w:i/>
          <w:szCs w:val="22"/>
        </w:rPr>
        <w:t>Ecosystem-based disaster risk reduction and adaptation in practice</w:t>
      </w:r>
      <w:r w:rsidRPr="00FE4CC2">
        <w:rPr>
          <w:rStyle w:val="referencia"/>
          <w:rFonts w:ascii="Calibri" w:hAnsi="Calibri"/>
          <w:szCs w:val="22"/>
        </w:rPr>
        <w:t xml:space="preserve"> (pp. 401-434). Cham, Switzerland: Springer. </w:t>
      </w:r>
    </w:p>
    <w:p w14:paraId="6C4FCD59"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Nelson, A., &amp; Chomitz, K. M. (2011). Effectiveness of strict vs. multiple use protected areas in reducing tropical forest fires: a global analysis using matching methods. </w:t>
      </w:r>
      <w:r w:rsidRPr="00FE4CC2">
        <w:rPr>
          <w:rStyle w:val="referencia"/>
          <w:rFonts w:ascii="Calibri" w:hAnsi="Calibri"/>
          <w:i/>
          <w:szCs w:val="22"/>
          <w:lang w:val="pt-BR"/>
        </w:rPr>
        <w:t>PLoS One</w:t>
      </w:r>
      <w:r w:rsidRPr="00FE4CC2">
        <w:rPr>
          <w:rStyle w:val="referencia"/>
          <w:rFonts w:ascii="Calibri" w:hAnsi="Calibri"/>
          <w:szCs w:val="22"/>
          <w:lang w:val="pt-BR"/>
        </w:rPr>
        <w:t>, 6(8), e22722. https://doi.org/10.1371/journal.pone.0022722.</w:t>
      </w:r>
    </w:p>
    <w:p w14:paraId="4C85CF89"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Nemogá, G. R. (2005). </w:t>
      </w:r>
      <w:r w:rsidRPr="00FE4CC2">
        <w:rPr>
          <w:rStyle w:val="referencia"/>
          <w:rFonts w:ascii="Calibri" w:hAnsi="Calibri"/>
          <w:i/>
          <w:szCs w:val="22"/>
          <w:lang w:val="es-CO"/>
        </w:rPr>
        <w:t xml:space="preserve">Regímenes de propiedad. In: Regímenes de Propiedad sobre Recursos Biológicos, Genéticos y Conocimiento Tradicional. </w:t>
      </w:r>
      <w:r w:rsidRPr="00FE4CC2">
        <w:rPr>
          <w:rStyle w:val="referencia"/>
          <w:rFonts w:ascii="Calibri" w:hAnsi="Calibri"/>
          <w:szCs w:val="22"/>
          <w:lang w:val="es-CO"/>
        </w:rPr>
        <w:t xml:space="preserve">In G. R. Nemogá (Ed.). Series Plebio Nº 1. </w:t>
      </w:r>
      <w:r w:rsidRPr="00FE4CC2">
        <w:rPr>
          <w:rStyle w:val="referencia"/>
          <w:rFonts w:ascii="Calibri" w:hAnsi="Calibri"/>
          <w:szCs w:val="22"/>
          <w:lang w:val="pt-BR"/>
        </w:rPr>
        <w:t xml:space="preserve">(pp. </w:t>
      </w:r>
      <w:r w:rsidRPr="00FE4CC2">
        <w:rPr>
          <w:rStyle w:val="referencia"/>
          <w:rFonts w:ascii="Calibri" w:hAnsi="Calibri"/>
          <w:szCs w:val="22"/>
          <w:lang w:val="es-CO"/>
        </w:rPr>
        <w:t>27-44). Bogotá: Universidad Nacional de Colombia.</w:t>
      </w:r>
    </w:p>
    <w:p w14:paraId="44778C84"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Nemogá, G., Chaparro, A., Pinto, L., Vallejo, F., Lizarazo, O., Rojas, D., Triana, V., Ávila, A., Blanco, J., Vanegas, P., &amp; Jimenéz, O. (2010). Informe Final de la Propuesta de Ajuste al Régimen de Acceso a Recursos Genéticos y Productos Derivados, y a la Decisión Andina 391 de 1996. In G. Nemogá (Ed.). Series Plebio Nº 4. </w:t>
      </w:r>
      <w:r w:rsidRPr="00FE4CC2">
        <w:rPr>
          <w:rStyle w:val="referencia"/>
          <w:rFonts w:ascii="Calibri" w:hAnsi="Calibri"/>
          <w:szCs w:val="22"/>
          <w:lang w:val="pt-BR"/>
        </w:rPr>
        <w:t xml:space="preserve">(pp. </w:t>
      </w:r>
      <w:r w:rsidRPr="00FE4CC2">
        <w:rPr>
          <w:rStyle w:val="referencia"/>
          <w:rFonts w:ascii="Calibri" w:hAnsi="Calibri"/>
          <w:szCs w:val="22"/>
          <w:lang w:val="es-CO"/>
        </w:rPr>
        <w:t>63). Bogotá: Universidad Nacional de Colombia.</w:t>
      </w:r>
    </w:p>
    <w:p w14:paraId="3956845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Nepstad, D., McGrath, D., Stickler, C., Alencar, A., Azevedo, A., Swette, B., Bezerra, T., Digiano, M., Shimada, J., Seroa da Motta, R., Armijo, E., Castello, L., Brando, P., Hansen, M. C., McGrath-Horn, Carvalho, M. O., &amp; Hess, L. (2014). </w:t>
      </w:r>
      <w:r w:rsidRPr="00FE4CC2">
        <w:rPr>
          <w:rStyle w:val="referencia"/>
          <w:rFonts w:ascii="Calibri" w:hAnsi="Calibri"/>
          <w:szCs w:val="22"/>
        </w:rPr>
        <w:t xml:space="preserve">Slowing amazon deforestation through public policy and interventions in beef and soy supply chains. </w:t>
      </w:r>
      <w:r w:rsidRPr="00FE4CC2">
        <w:rPr>
          <w:rStyle w:val="referencia"/>
          <w:rFonts w:ascii="Calibri" w:hAnsi="Calibri"/>
          <w:i/>
          <w:szCs w:val="22"/>
        </w:rPr>
        <w:t>Science</w:t>
      </w:r>
      <w:r w:rsidRPr="00FE4CC2">
        <w:rPr>
          <w:rStyle w:val="referencia"/>
          <w:rFonts w:ascii="Calibri" w:hAnsi="Calibri"/>
          <w:szCs w:val="22"/>
        </w:rPr>
        <w:t xml:space="preserve">, 344, 1118-1123. </w:t>
      </w:r>
    </w:p>
    <w:p w14:paraId="471EBB2B"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Newig, </w:t>
      </w:r>
      <w:r w:rsidRPr="00FE4CC2">
        <w:rPr>
          <w:szCs w:val="22"/>
        </w:rPr>
        <w:t xml:space="preserve">J., Challies, E., Jager, N. W., Kochskaemper, E., &amp; Adzersen, A. (2017). The environmental performance of participatory and collaborative governance: a framework of causal mechanisms. </w:t>
      </w:r>
      <w:r w:rsidRPr="00FE4CC2">
        <w:rPr>
          <w:i/>
          <w:szCs w:val="22"/>
          <w:lang w:val="pt-BR"/>
        </w:rPr>
        <w:t>Policy Studies Journal</w:t>
      </w:r>
      <w:r w:rsidRPr="00FE4CC2">
        <w:rPr>
          <w:szCs w:val="22"/>
          <w:lang w:val="pt-BR"/>
        </w:rPr>
        <w:t xml:space="preserve">, 46(2), 269-297. </w:t>
      </w:r>
      <w:r w:rsidRPr="00FE4CC2">
        <w:rPr>
          <w:rStyle w:val="referencia"/>
          <w:rFonts w:ascii="Calibri" w:hAnsi="Calibri"/>
          <w:szCs w:val="22"/>
          <w:lang w:val="pt-BR"/>
        </w:rPr>
        <w:t>https://doi.org/</w:t>
      </w:r>
      <w:r w:rsidRPr="00FE4CC2">
        <w:rPr>
          <w:rStyle w:val="article-headermeta-info-data"/>
          <w:szCs w:val="22"/>
          <w:bdr w:val="none" w:sz="0" w:space="0" w:color="auto" w:frame="1"/>
          <w:shd w:val="clear" w:color="auto" w:fill="FFFFFF"/>
          <w:lang w:val="pt-BR"/>
        </w:rPr>
        <w:t>10.1111/psj.12209.</w:t>
      </w:r>
      <w:r w:rsidRPr="00FE4CC2">
        <w:rPr>
          <w:szCs w:val="22"/>
          <w:lang w:val="pt-BR"/>
        </w:rPr>
        <w:t xml:space="preserve"> </w:t>
      </w:r>
    </w:p>
    <w:p w14:paraId="00FF2CC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Nori, J., Lemes, P., Urbina-Cardona, N., Baldo, D., Lescano, J., Loyola, R. (2015). </w:t>
      </w:r>
      <w:r w:rsidRPr="00FE4CC2">
        <w:rPr>
          <w:rStyle w:val="referencia"/>
          <w:rFonts w:ascii="Calibri" w:hAnsi="Calibri"/>
          <w:szCs w:val="22"/>
        </w:rPr>
        <w:t xml:space="preserve">Amphibian conservation, land-use changes and protected areas: A global overview. </w:t>
      </w:r>
      <w:r w:rsidRPr="00FE4CC2">
        <w:rPr>
          <w:rStyle w:val="referencia"/>
          <w:rFonts w:ascii="Calibri" w:hAnsi="Calibri"/>
          <w:i/>
          <w:szCs w:val="22"/>
        </w:rPr>
        <w:t>Biological Conservation</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191, 367–374.</w:t>
      </w:r>
    </w:p>
    <w:p w14:paraId="58648A3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Nurse, L. A., McLean, R. F., Agard, J., Briguglio, L. P., Duvat-Magnan, V., Pelesikoti, N., Tompkins, E. L., &amp;  Webb, A. (2014). Small islands. In V. R. Barros, C. B. Field, D. J. Dokken, M. D. Mastrandrea, K. J. Mach, T. E. Bilir, M. Chatterjee, K. L. Ebi, Y. O. Estrada, R. C. Genova, B. Girma, E. S. Kissel, A. N. Levy, S. MacCracken, P. R. Mastrandrea, &amp; L. L. White (Eds.). </w:t>
      </w:r>
      <w:r w:rsidRPr="00FE4CC2">
        <w:rPr>
          <w:rStyle w:val="referencia"/>
          <w:rFonts w:ascii="Calibri" w:hAnsi="Calibri"/>
          <w:i/>
          <w:szCs w:val="22"/>
        </w:rPr>
        <w:t>Climate Change (2014): Impacts, Adaptation, and Vulnerability. Part B: Regional Aspects. Contribution of Working Group II to the Fifth Assessment Report of the Intergovernmental Panel on Climate Change</w:t>
      </w:r>
      <w:r w:rsidRPr="00FE4CC2">
        <w:rPr>
          <w:rStyle w:val="referencia"/>
          <w:rFonts w:ascii="Calibri" w:hAnsi="Calibri"/>
          <w:szCs w:val="22"/>
        </w:rPr>
        <w:t xml:space="preserve"> (pp. 1613-1654). Cambridge, United Kingdom and New York, NY, USA: Cambridge University Press. </w:t>
      </w:r>
    </w:p>
    <w:p w14:paraId="2416DF8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Nygren, A. (2005). Community-based forest management within the context of institutional decentralization in Honduras</w:t>
      </w:r>
      <w:r w:rsidRPr="00FE4CC2">
        <w:rPr>
          <w:rStyle w:val="referencia"/>
          <w:rFonts w:ascii="Calibri" w:hAnsi="Calibri"/>
          <w:i/>
          <w:szCs w:val="22"/>
        </w:rPr>
        <w:t>. World Development</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33(4), 639-655.</w:t>
      </w:r>
    </w:p>
    <w:p w14:paraId="1C8A464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Ochieng, R. M., Visseren-Hamakers, I. J., Arts, B., Brockhaus, M. &amp; Herold, M. (2016). Institutional effectiveness of REDD+ MRV: Countries progress in implementing technical guidelines and good governance. </w:t>
      </w:r>
      <w:r w:rsidRPr="00FE4CC2">
        <w:rPr>
          <w:rStyle w:val="referencia"/>
          <w:rFonts w:ascii="Calibri" w:hAnsi="Calibri"/>
          <w:i/>
          <w:szCs w:val="22"/>
        </w:rPr>
        <w:t>Environmental Science &amp; Policy</w:t>
      </w:r>
      <w:r w:rsidRPr="00FE4CC2">
        <w:rPr>
          <w:rStyle w:val="referencia"/>
          <w:rFonts w:ascii="Calibri" w:hAnsi="Calibri"/>
          <w:szCs w:val="22"/>
        </w:rPr>
        <w:t>, 61, 42–52.</w:t>
      </w:r>
    </w:p>
    <w:p w14:paraId="7FB65AB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OECD (2016). </w:t>
      </w:r>
      <w:r w:rsidRPr="00FE4CC2">
        <w:rPr>
          <w:rStyle w:val="referencia"/>
          <w:rFonts w:ascii="Calibri" w:hAnsi="Calibri"/>
          <w:i/>
          <w:szCs w:val="22"/>
        </w:rPr>
        <w:t xml:space="preserve">Active with Latin America and the Caribbean. </w:t>
      </w:r>
      <w:r w:rsidRPr="00FE4CC2">
        <w:rPr>
          <w:rStyle w:val="referencia"/>
          <w:rFonts w:ascii="Calibri" w:hAnsi="Calibri"/>
          <w:szCs w:val="22"/>
        </w:rPr>
        <w:t>Paris, France: Organisation for Economic Co-operation and Development. Available at: http://www.oecd.org/globalrelations/Active-with- Latin-America-and-the-Caribbean.pdf</w:t>
      </w:r>
    </w:p>
    <w:p w14:paraId="11C331A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Oestreicher, J. S., Benessaiah, K., Ruiz-Jaen, M. C., Sloan, S., Turner, K., Pelletier, J., Guay, B., Clark, K. E., Roche, D. G., Meiners, M., &amp; Potvin, C. (2009). Avoiding deforestation in Panamanian protected areas: an analysis of protection effectiveness and implications for reducing emissions from deforestation and forest degradation. </w:t>
      </w:r>
      <w:r w:rsidRPr="00FE4CC2">
        <w:rPr>
          <w:rStyle w:val="referencia"/>
          <w:rFonts w:ascii="Calibri" w:hAnsi="Calibri"/>
          <w:i/>
          <w:szCs w:val="22"/>
        </w:rPr>
        <w:t>Global Environmental Change</w:t>
      </w:r>
      <w:r w:rsidRPr="00FE4CC2">
        <w:rPr>
          <w:rStyle w:val="referencia"/>
          <w:rFonts w:ascii="Calibri" w:hAnsi="Calibri"/>
          <w:szCs w:val="22"/>
        </w:rPr>
        <w:t>, 19(2), 279-291.</w:t>
      </w:r>
    </w:p>
    <w:p w14:paraId="0854308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Ojea, E., (2015). Challenges for mainstreaming ecosystem-based adaptation into the international climate agenda. </w:t>
      </w:r>
      <w:r w:rsidRPr="00FE4CC2">
        <w:rPr>
          <w:rStyle w:val="referencia"/>
          <w:rFonts w:ascii="Calibri" w:hAnsi="Calibri"/>
          <w:i/>
          <w:szCs w:val="22"/>
        </w:rPr>
        <w:t>Current Opinion in Environmental Sustainability</w:t>
      </w:r>
      <w:r w:rsidRPr="00FE4CC2">
        <w:rPr>
          <w:rStyle w:val="referencia"/>
          <w:rFonts w:ascii="Calibri" w:hAnsi="Calibri"/>
          <w:szCs w:val="22"/>
        </w:rPr>
        <w:t>, 14, 41-48.</w:t>
      </w:r>
    </w:p>
    <w:p w14:paraId="20D67D9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Ölund Wingqvist, G. (2009). </w:t>
      </w:r>
      <w:r w:rsidRPr="00FE4CC2">
        <w:rPr>
          <w:rStyle w:val="referencia"/>
          <w:rFonts w:ascii="Calibri" w:hAnsi="Calibri"/>
          <w:i/>
          <w:szCs w:val="22"/>
        </w:rPr>
        <w:t xml:space="preserve">Environmental and Climate Change in Latin America and the Caribbean - Policy Brief. </w:t>
      </w:r>
      <w:r w:rsidRPr="00FE4CC2">
        <w:rPr>
          <w:rStyle w:val="referencia"/>
          <w:rFonts w:ascii="Calibri" w:hAnsi="Calibri"/>
          <w:szCs w:val="22"/>
        </w:rPr>
        <w:t xml:space="preserve">Sida-EEU, University of Gothenburg (pp. 27). </w:t>
      </w:r>
    </w:p>
    <w:p w14:paraId="5F9DD05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Ostrom, E. (1990). </w:t>
      </w:r>
      <w:r w:rsidRPr="00FE4CC2">
        <w:rPr>
          <w:rStyle w:val="referencia"/>
          <w:rFonts w:ascii="Calibri" w:hAnsi="Calibri"/>
          <w:i/>
          <w:szCs w:val="22"/>
        </w:rPr>
        <w:t xml:space="preserve">Governing the Commons: the Evolution of Institutions for Collective Action. </w:t>
      </w:r>
      <w:r w:rsidRPr="00FE4CC2">
        <w:rPr>
          <w:rStyle w:val="referencia"/>
          <w:rFonts w:ascii="Calibri" w:hAnsi="Calibri"/>
          <w:szCs w:val="22"/>
        </w:rPr>
        <w:t>New York: Cambridge University Press (pp. 280).</w:t>
      </w:r>
    </w:p>
    <w:p w14:paraId="444D9CE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Ostrom, E. (2009). </w:t>
      </w:r>
      <w:r w:rsidRPr="00FE4CC2">
        <w:rPr>
          <w:rStyle w:val="referencia"/>
          <w:rFonts w:ascii="Calibri" w:hAnsi="Calibri"/>
          <w:i/>
          <w:szCs w:val="22"/>
        </w:rPr>
        <w:t>A General Framework for Analyzing Sustainability of Social-Ecological Systems. Science</w:t>
      </w:r>
      <w:r w:rsidRPr="00FE4CC2">
        <w:rPr>
          <w:rStyle w:val="referencia"/>
          <w:rFonts w:ascii="Calibri" w:hAnsi="Calibri"/>
          <w:szCs w:val="22"/>
        </w:rPr>
        <w:t>, 325, 419-422.</w:t>
      </w:r>
    </w:p>
    <w:p w14:paraId="708A005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Ostrom, E., Dietz, T., Dolsak, N., Stern, P. C., Stonich, S., &amp; Weber, E. U. (Eds.) (2002). </w:t>
      </w:r>
      <w:r w:rsidRPr="00FE4CC2">
        <w:rPr>
          <w:rStyle w:val="referencia"/>
          <w:rFonts w:ascii="Calibri" w:hAnsi="Calibri"/>
          <w:i/>
          <w:szCs w:val="22"/>
        </w:rPr>
        <w:t>The Drama of the Commons</w:t>
      </w:r>
      <w:r w:rsidRPr="00FE4CC2">
        <w:rPr>
          <w:rStyle w:val="referencia"/>
          <w:rFonts w:ascii="Calibri" w:hAnsi="Calibri"/>
          <w:szCs w:val="22"/>
        </w:rPr>
        <w:t>. Washington, DC:</w:t>
      </w:r>
      <w:r w:rsidRPr="00FE4CC2">
        <w:rPr>
          <w:rStyle w:val="referencia"/>
          <w:rFonts w:ascii="Calibri" w:hAnsi="Calibri"/>
          <w:i/>
          <w:szCs w:val="22"/>
        </w:rPr>
        <w:t xml:space="preserve"> </w:t>
      </w:r>
      <w:r w:rsidRPr="00FE4CC2">
        <w:rPr>
          <w:rStyle w:val="referencia"/>
          <w:rFonts w:ascii="Calibri" w:hAnsi="Calibri"/>
          <w:szCs w:val="22"/>
        </w:rPr>
        <w:t>National Academy Press.</w:t>
      </w:r>
    </w:p>
    <w:p w14:paraId="793C1E6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Ostrom, E., Janssen, M. A., &amp; Anderies, J. M. (2007). Going beyond panaceas. </w:t>
      </w:r>
      <w:r w:rsidRPr="00FE4CC2">
        <w:rPr>
          <w:rStyle w:val="referencia"/>
          <w:rFonts w:ascii="Calibri" w:hAnsi="Calibri"/>
          <w:i/>
          <w:szCs w:val="22"/>
        </w:rPr>
        <w:t>Proceedings of the National Academy of Sciences</w:t>
      </w:r>
      <w:r w:rsidRPr="00FE4CC2">
        <w:rPr>
          <w:rStyle w:val="referencia"/>
          <w:rFonts w:ascii="Calibri" w:hAnsi="Calibri"/>
          <w:szCs w:val="22"/>
        </w:rPr>
        <w:t xml:space="preserve">, 104(39), 15176–15178. </w:t>
      </w:r>
    </w:p>
    <w:p w14:paraId="1267987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Overbeck, G. E., Vélez-Martin, E., Scarano, F. R., Lewinsohn, T. M., Fonseca, C. R., Meyer, S. T., Müller, S. C., Ceotto, P., Dadalt, L., Durigan, G., Ganade, G., Gossner, M. M., Guadagnin, D. L., Lorenzen, K., Jacobi, C. M., Weisser, W. W., &amp; Pillar, V. D. (2015). Conservation in Brazil needs to include non-forest ecosystems. </w:t>
      </w:r>
      <w:r w:rsidRPr="00FE4CC2">
        <w:rPr>
          <w:rStyle w:val="referencia"/>
          <w:rFonts w:ascii="Calibri" w:hAnsi="Calibri"/>
          <w:i/>
          <w:szCs w:val="22"/>
        </w:rPr>
        <w:t>Diversity and Distributions</w:t>
      </w:r>
      <w:r w:rsidRPr="00FE4CC2">
        <w:rPr>
          <w:rStyle w:val="referencia"/>
          <w:rFonts w:ascii="Calibri" w:hAnsi="Calibri"/>
          <w:szCs w:val="22"/>
        </w:rPr>
        <w:t>, 21, 1455-1460.</w:t>
      </w:r>
    </w:p>
    <w:p w14:paraId="2B509327" w14:textId="77777777" w:rsidR="006969D3" w:rsidRPr="00FE4CC2" w:rsidRDefault="006969D3" w:rsidP="006969D3">
      <w:pPr>
        <w:ind w:left="851" w:hanging="851"/>
        <w:contextualSpacing/>
        <w:rPr>
          <w:szCs w:val="22"/>
          <w:lang w:val="es-CO"/>
        </w:rPr>
      </w:pPr>
      <w:r w:rsidRPr="00FE4CC2">
        <w:rPr>
          <w:rStyle w:val="referencia"/>
          <w:rFonts w:ascii="Calibri" w:hAnsi="Calibri"/>
          <w:szCs w:val="22"/>
        </w:rPr>
        <w:t xml:space="preserve">Pacheco, D. (2014). </w:t>
      </w:r>
      <w:r w:rsidRPr="00FE4CC2">
        <w:rPr>
          <w:rStyle w:val="referencia"/>
          <w:rFonts w:ascii="Calibri" w:hAnsi="Calibri"/>
          <w:i/>
          <w:szCs w:val="22"/>
        </w:rPr>
        <w:t>Living-Well in Harmony and Balance with Mother Earth: a Proposal for Establishing a New Global Relationship Between Human Beings and Mother Earth</w:t>
      </w:r>
      <w:r w:rsidRPr="00FE4CC2">
        <w:rPr>
          <w:rStyle w:val="referencia"/>
          <w:rFonts w:ascii="Calibri" w:hAnsi="Calibri"/>
          <w:szCs w:val="22"/>
        </w:rPr>
        <w:t xml:space="preserve">. </w:t>
      </w:r>
      <w:r w:rsidRPr="00FE4CC2">
        <w:rPr>
          <w:szCs w:val="22"/>
          <w:lang w:val="es-CO"/>
        </w:rPr>
        <w:t>La Paz:</w:t>
      </w:r>
      <w:r w:rsidRPr="00FE4CC2">
        <w:rPr>
          <w:rStyle w:val="referencia"/>
          <w:rFonts w:ascii="Calibri" w:hAnsi="Calibri"/>
          <w:szCs w:val="22"/>
          <w:lang w:val="es-CO"/>
        </w:rPr>
        <w:t xml:space="preserve"> Universidad de </w:t>
      </w:r>
      <w:r w:rsidRPr="00FE4CC2">
        <w:rPr>
          <w:szCs w:val="22"/>
          <w:lang w:val="es-CO"/>
        </w:rPr>
        <w:t xml:space="preserve">la Cordillera. </w:t>
      </w:r>
      <w:hyperlink r:id="rId1123" w:history="1">
        <w:r w:rsidRPr="00FE4CC2">
          <w:rPr>
            <w:szCs w:val="22"/>
            <w:lang w:val="es-CO"/>
          </w:rPr>
          <w:t>http://www.ucordillera.edu.bo/</w:t>
        </w:r>
      </w:hyperlink>
      <w:r w:rsidRPr="00FE4CC2">
        <w:rPr>
          <w:szCs w:val="22"/>
          <w:lang w:val="es-CO"/>
        </w:rPr>
        <w:t>descarga/livingwell. pdf.</w:t>
      </w:r>
    </w:p>
    <w:p w14:paraId="4D2A000E" w14:textId="77777777" w:rsidR="006969D3" w:rsidRPr="00FE4CC2" w:rsidRDefault="006969D3" w:rsidP="006969D3">
      <w:pPr>
        <w:ind w:left="851" w:hanging="851"/>
        <w:contextualSpacing/>
        <w:rPr>
          <w:color w:val="131413"/>
          <w:szCs w:val="22"/>
        </w:rPr>
      </w:pPr>
      <w:r w:rsidRPr="00FE4CC2">
        <w:rPr>
          <w:rStyle w:val="referencia"/>
          <w:rFonts w:ascii="Calibri" w:hAnsi="Calibri"/>
          <w:szCs w:val="22"/>
          <w:lang w:val="pt-BR"/>
        </w:rPr>
        <w:t xml:space="preserve">Palmer, M. A., &amp; Ruhl, J. B. (2015). </w:t>
      </w:r>
      <w:r w:rsidRPr="00FE4CC2">
        <w:rPr>
          <w:rStyle w:val="referencia"/>
          <w:rFonts w:ascii="Calibri" w:hAnsi="Calibri"/>
          <w:szCs w:val="22"/>
        </w:rPr>
        <w:t xml:space="preserve">Aligning restoration science and the law to sustain ecological infrastructure for the future. </w:t>
      </w:r>
      <w:r w:rsidRPr="00FE4CC2">
        <w:rPr>
          <w:rStyle w:val="referencia"/>
          <w:rFonts w:ascii="Calibri" w:hAnsi="Calibri"/>
          <w:i/>
          <w:szCs w:val="22"/>
        </w:rPr>
        <w:t>Frontiers in Ecology and the Environment</w:t>
      </w:r>
      <w:r w:rsidRPr="00FE4CC2">
        <w:rPr>
          <w:rStyle w:val="referencia"/>
          <w:rFonts w:ascii="Calibri" w:hAnsi="Calibri"/>
          <w:szCs w:val="22"/>
        </w:rPr>
        <w:t>, 13(9), 512–519.</w:t>
      </w:r>
      <w:r w:rsidRPr="00FE4CC2">
        <w:rPr>
          <w:color w:val="131413"/>
          <w:szCs w:val="22"/>
        </w:rPr>
        <w:t xml:space="preserve"> </w:t>
      </w:r>
    </w:p>
    <w:p w14:paraId="5F50FE76" w14:textId="77777777" w:rsidR="006969D3" w:rsidRPr="00FE4CC2" w:rsidRDefault="006969D3" w:rsidP="006969D3">
      <w:pPr>
        <w:ind w:left="851" w:hanging="851"/>
        <w:contextualSpacing/>
        <w:rPr>
          <w:rStyle w:val="referencia"/>
          <w:rFonts w:ascii="Calibri" w:hAnsi="Calibri"/>
          <w:szCs w:val="22"/>
        </w:rPr>
      </w:pPr>
      <w:r w:rsidRPr="00FE4CC2">
        <w:rPr>
          <w:color w:val="131413"/>
          <w:szCs w:val="22"/>
        </w:rPr>
        <w:t xml:space="preserve">Pant, L. P., Adhikari, B., &amp; Bhattarai, K. K. (2015). Adaptive transition for transformations to sustainability in developing countries. </w:t>
      </w:r>
      <w:r w:rsidRPr="00FE4CC2">
        <w:rPr>
          <w:i/>
          <w:color w:val="131413"/>
          <w:szCs w:val="22"/>
        </w:rPr>
        <w:t xml:space="preserve">Current Opinions in Environmental Sustainability, </w:t>
      </w:r>
      <w:r w:rsidRPr="00FE4CC2">
        <w:rPr>
          <w:color w:val="131413"/>
          <w:szCs w:val="22"/>
        </w:rPr>
        <w:t>14, 206–212.</w:t>
      </w:r>
    </w:p>
    <w:p w14:paraId="413EEBD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Pasteur, K., &amp; Blauert, J. (2000). </w:t>
      </w:r>
      <w:r w:rsidRPr="00FE4CC2">
        <w:rPr>
          <w:rStyle w:val="referencia"/>
          <w:rFonts w:ascii="Calibri" w:hAnsi="Calibri"/>
          <w:i/>
          <w:szCs w:val="22"/>
        </w:rPr>
        <w:t>Participatory Monitoring and Evaluation in Latin America: Overview of the Literature with Annotated Bibliography.</w:t>
      </w:r>
      <w:r w:rsidRPr="00FE4CC2">
        <w:rPr>
          <w:rStyle w:val="referencia"/>
          <w:rFonts w:ascii="Calibri" w:hAnsi="Calibri"/>
          <w:szCs w:val="22"/>
        </w:rPr>
        <w:t xml:space="preserve"> Development Bibliography, n.18. Brighton, England: Institute of Development Studies (pp. 81). </w:t>
      </w:r>
    </w:p>
    <w:p w14:paraId="25EAF51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Pauli, H., Gottfried, M., Lamprecht, A., Niessner, S., Rumpf, S., Winkler, M., Steinbauer, K., &amp; Grabherr, G. (Eds.) (2015). </w:t>
      </w:r>
      <w:r w:rsidRPr="00FE4CC2">
        <w:rPr>
          <w:rStyle w:val="referencia"/>
          <w:rFonts w:ascii="Calibri" w:hAnsi="Calibri"/>
          <w:i/>
          <w:szCs w:val="22"/>
        </w:rPr>
        <w:t>The GLORIA Field Manual – Standard Multi-Summit Approach, Supplementary Methods and Extra Approaches</w:t>
      </w:r>
      <w:r w:rsidRPr="00FE4CC2">
        <w:rPr>
          <w:rStyle w:val="referencia"/>
          <w:rFonts w:ascii="Calibri" w:hAnsi="Calibri"/>
          <w:szCs w:val="22"/>
        </w:rPr>
        <w:t xml:space="preserve">. 5th edition. GLORIA-Coordination. Vienna: Austrian Academy of Sciences &amp; University of Natural Resources and Life Sciences. </w:t>
      </w:r>
      <w:r w:rsidRPr="00FE4CC2">
        <w:rPr>
          <w:rStyle w:val="referencia"/>
          <w:rFonts w:ascii="Calibri" w:hAnsi="Calibri"/>
          <w:szCs w:val="22"/>
          <w:lang w:val="en-GB"/>
        </w:rPr>
        <w:t>https://doi.org/</w:t>
      </w:r>
      <w:r w:rsidRPr="00FE4CC2">
        <w:rPr>
          <w:rStyle w:val="referencia"/>
          <w:rFonts w:ascii="Calibri" w:hAnsi="Calibri"/>
          <w:szCs w:val="22"/>
        </w:rPr>
        <w:t>10.2777/095439.</w:t>
      </w:r>
    </w:p>
    <w:p w14:paraId="41CA617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Pegas, F. V., &amp; Buckley, R. (2012). </w:t>
      </w:r>
      <w:r w:rsidRPr="00FE4CC2">
        <w:rPr>
          <w:rStyle w:val="referencia"/>
          <w:rFonts w:ascii="Calibri" w:hAnsi="Calibri"/>
          <w:szCs w:val="22"/>
        </w:rPr>
        <w:t xml:space="preserve">Ecotourism (the Americas). In S. G. Beavis, M. L. Dougherty, &amp; T. Gonzales (Eds.). </w:t>
      </w:r>
      <w:r w:rsidRPr="00FE4CC2">
        <w:rPr>
          <w:rStyle w:val="referencia"/>
          <w:rFonts w:ascii="Calibri" w:hAnsi="Calibri"/>
          <w:i/>
          <w:szCs w:val="22"/>
        </w:rPr>
        <w:t>Berkshire Encyclopedia of Sustainability 8/10: The Americas and Oceania: Assessing Sustainability</w:t>
      </w:r>
      <w:r w:rsidRPr="00FE4CC2">
        <w:rPr>
          <w:rStyle w:val="referencia"/>
          <w:rFonts w:ascii="Calibri" w:hAnsi="Calibri"/>
          <w:szCs w:val="22"/>
        </w:rPr>
        <w:t xml:space="preserve"> (pp. 90-91). United States: Berkshire Publishing Group.</w:t>
      </w:r>
    </w:p>
    <w:p w14:paraId="0C098C0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Pejchar, L., &amp; Mooney, H. (2009). Invasive species, ecosystem services and human well-being. </w:t>
      </w:r>
      <w:r w:rsidRPr="00FE4CC2">
        <w:rPr>
          <w:rStyle w:val="referencia"/>
          <w:rFonts w:ascii="Calibri" w:hAnsi="Calibri"/>
          <w:i/>
          <w:szCs w:val="22"/>
        </w:rPr>
        <w:t>Trends in Ecology and Evolution</w:t>
      </w:r>
      <w:r w:rsidRPr="00FE4CC2">
        <w:rPr>
          <w:rStyle w:val="referencia"/>
          <w:rFonts w:ascii="Calibri" w:hAnsi="Calibri"/>
          <w:szCs w:val="22"/>
        </w:rPr>
        <w:t>, 24(9), 497-504.</w:t>
      </w:r>
    </w:p>
    <w:p w14:paraId="654D260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Pereiro, X. (2016). A review of Indigenous tourism in Latin America: reflections on an anthropological study of Guna tourism (Panama).</w:t>
      </w:r>
      <w:r w:rsidRPr="00FE4CC2">
        <w:rPr>
          <w:rStyle w:val="referencia"/>
          <w:rFonts w:ascii="Calibri" w:hAnsi="Calibri"/>
          <w:i/>
          <w:szCs w:val="22"/>
        </w:rPr>
        <w:t xml:space="preserve"> Journal of Sustainable Tourism</w:t>
      </w:r>
      <w:r w:rsidRPr="00FE4CC2">
        <w:rPr>
          <w:rStyle w:val="referencia"/>
          <w:rFonts w:ascii="Calibri" w:hAnsi="Calibri"/>
          <w:szCs w:val="22"/>
        </w:rPr>
        <w:t>, 24, 1121-1138.</w:t>
      </w:r>
    </w:p>
    <w:p w14:paraId="5BB7E92D" w14:textId="77777777" w:rsidR="006969D3" w:rsidRPr="00FE4CC2" w:rsidRDefault="006969D3" w:rsidP="006969D3">
      <w:pPr>
        <w:ind w:left="851" w:hanging="851"/>
        <w:contextualSpacing/>
        <w:rPr>
          <w:color w:val="000000"/>
          <w:szCs w:val="22"/>
        </w:rPr>
      </w:pPr>
      <w:r w:rsidRPr="00FE4CC2">
        <w:rPr>
          <w:color w:val="000000"/>
          <w:szCs w:val="22"/>
        </w:rPr>
        <w:t xml:space="preserve">Pérez-Ramírez, A., Castrejón, M., Gutiérrez, N. L., &amp; Defeo, O. (2016), The Marine Stewardship Council certification in Latin America and the Caribbean: A review of experiences, potentials and pitfalls. </w:t>
      </w:r>
      <w:r w:rsidRPr="00FE4CC2">
        <w:rPr>
          <w:i/>
          <w:color w:val="000000"/>
          <w:szCs w:val="22"/>
        </w:rPr>
        <w:t>Fisheries Research</w:t>
      </w:r>
      <w:r w:rsidRPr="00FE4CC2">
        <w:rPr>
          <w:color w:val="000000"/>
          <w:szCs w:val="22"/>
        </w:rPr>
        <w:t>, 182, 50-58</w:t>
      </w:r>
    </w:p>
    <w:p w14:paraId="3979440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Phelps, J., Friess, A. D., &amp; Webb, E. L. (2012). Win–win REDD+ approaches belie carbon–biodiversity trade-offs. </w:t>
      </w:r>
      <w:r w:rsidRPr="00FE4CC2">
        <w:rPr>
          <w:rStyle w:val="referencia"/>
          <w:rFonts w:ascii="Calibri" w:hAnsi="Calibri"/>
          <w:i/>
          <w:szCs w:val="22"/>
        </w:rPr>
        <w:t>Biological Conservation</w:t>
      </w:r>
      <w:r w:rsidRPr="00FE4CC2">
        <w:rPr>
          <w:rStyle w:val="referencia"/>
          <w:rFonts w:ascii="Calibri" w:hAnsi="Calibri"/>
          <w:szCs w:val="22"/>
        </w:rPr>
        <w:t>, 154, 53–60.</w:t>
      </w:r>
    </w:p>
    <w:p w14:paraId="7C32C05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Pinkerton, E., &amp; Weinstein, M. (1995). </w:t>
      </w:r>
      <w:r w:rsidRPr="00FE4CC2">
        <w:rPr>
          <w:rStyle w:val="referencia"/>
          <w:rFonts w:ascii="Calibri" w:hAnsi="Calibri"/>
          <w:i/>
          <w:szCs w:val="22"/>
        </w:rPr>
        <w:t>Fisheries that Work: Sustainability Through Community-Based Management</w:t>
      </w:r>
      <w:r w:rsidRPr="00FE4CC2">
        <w:rPr>
          <w:rStyle w:val="referencia"/>
          <w:rFonts w:ascii="Calibri" w:hAnsi="Calibri"/>
          <w:szCs w:val="22"/>
        </w:rPr>
        <w:t>.  A report to The David Suzuki Foundation. (pp. 212).</w:t>
      </w:r>
    </w:p>
    <w:p w14:paraId="4209AB9D"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pt-BR"/>
        </w:rPr>
        <w:t xml:space="preserve">Pinto, S. R., Melo, F., Tabarelli, M., Padovesi, A., Mesquita, C. A., Scaramuzza, C. A. M., Castro, P., Carrascosa, H., Calmon, M., Rodrigues, R., César, R. G., &amp; Brancalion, P. H. S. (2014). </w:t>
      </w:r>
      <w:r w:rsidRPr="00FE4CC2">
        <w:rPr>
          <w:rStyle w:val="referencia"/>
          <w:rFonts w:ascii="Calibri" w:hAnsi="Calibri"/>
          <w:szCs w:val="22"/>
        </w:rPr>
        <w:t xml:space="preserve">Governing and delivering a biome-wide restoration initiative: the case of Atlantic Forest Restoration Pact in Brazil. </w:t>
      </w:r>
      <w:r w:rsidRPr="00FE4CC2">
        <w:rPr>
          <w:rStyle w:val="referencia"/>
          <w:rFonts w:ascii="Calibri" w:hAnsi="Calibri"/>
          <w:i/>
          <w:szCs w:val="22"/>
          <w:lang w:val="es-CO"/>
        </w:rPr>
        <w:t>Forests</w:t>
      </w:r>
      <w:r w:rsidRPr="00FE4CC2">
        <w:rPr>
          <w:rStyle w:val="referencia"/>
          <w:rFonts w:ascii="Calibri" w:hAnsi="Calibri"/>
          <w:szCs w:val="22"/>
          <w:lang w:val="es-CO"/>
        </w:rPr>
        <w:t>, 5, 2212-2229.</w:t>
      </w:r>
    </w:p>
    <w:p w14:paraId="08096FFE" w14:textId="77777777" w:rsidR="006969D3" w:rsidRPr="00FE4CC2" w:rsidRDefault="006969D3" w:rsidP="006969D3">
      <w:pPr>
        <w:ind w:left="851" w:hanging="851"/>
        <w:contextualSpacing/>
        <w:rPr>
          <w:rStyle w:val="referencia"/>
          <w:rFonts w:ascii="Calibri" w:hAnsi="Calibri"/>
          <w:szCs w:val="22"/>
          <w:lang w:val="es-CO"/>
        </w:rPr>
      </w:pPr>
      <w:r w:rsidRPr="00FE4CC2">
        <w:rPr>
          <w:szCs w:val="22"/>
          <w:lang w:val="es-CO"/>
        </w:rPr>
        <w:t xml:space="preserve">Polisar, J., de Thoisy, B., Rumiz, D. I., Santos, F. D., McNab, R. B., Garcia-Anleu, R., Ponce-Santizo, G., Arispe, R., &amp; Venegas, C. (2017). </w:t>
      </w:r>
      <w:r w:rsidRPr="00FE4CC2">
        <w:rPr>
          <w:szCs w:val="22"/>
        </w:rPr>
        <w:t xml:space="preserve">Using certified timber extraction to benefit jaguar and ecosystem conservation. </w:t>
      </w:r>
      <w:r w:rsidRPr="00FE4CC2">
        <w:rPr>
          <w:i/>
          <w:szCs w:val="22"/>
          <w:lang w:val="es-CO"/>
        </w:rPr>
        <w:t>Ambio</w:t>
      </w:r>
      <w:r w:rsidRPr="00FE4CC2">
        <w:rPr>
          <w:szCs w:val="22"/>
          <w:lang w:val="es-CO"/>
        </w:rPr>
        <w:t>, 46,</w:t>
      </w:r>
      <w:r w:rsidRPr="00FE4CC2">
        <w:rPr>
          <w:rStyle w:val="referencia"/>
          <w:rFonts w:ascii="Calibri" w:hAnsi="Calibri"/>
          <w:szCs w:val="22"/>
          <w:lang w:val="es-CO"/>
        </w:rPr>
        <w:t xml:space="preserve"> </w:t>
      </w:r>
      <w:r w:rsidRPr="00FE4CC2">
        <w:rPr>
          <w:szCs w:val="22"/>
          <w:lang w:val="es-CO"/>
        </w:rPr>
        <w:t xml:space="preserve">588-603. </w:t>
      </w:r>
    </w:p>
    <w:p w14:paraId="6D1A217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Porter-Bolland, L., Ellis, E. A., Guariguata, M. R., Ruiz-Mallén, I., Negrete-Yankelevich, S., &amp; Reyes-García, V. (2012). </w:t>
      </w:r>
      <w:r w:rsidRPr="00FE4CC2">
        <w:rPr>
          <w:rStyle w:val="referencia"/>
          <w:rFonts w:ascii="Calibri" w:hAnsi="Calibri"/>
          <w:szCs w:val="22"/>
        </w:rPr>
        <w:t xml:space="preserve">Community managed forests and forest protected areas: an assessment of their conservation effectiveness across the tropics. </w:t>
      </w:r>
      <w:r w:rsidRPr="00FE4CC2">
        <w:rPr>
          <w:rStyle w:val="referencia"/>
          <w:rFonts w:ascii="Calibri" w:hAnsi="Calibri"/>
          <w:i/>
          <w:szCs w:val="22"/>
        </w:rPr>
        <w:t>Forest Ecology and Management</w:t>
      </w:r>
      <w:r w:rsidRPr="00FE4CC2">
        <w:rPr>
          <w:rStyle w:val="referencia"/>
          <w:rFonts w:ascii="Calibri" w:hAnsi="Calibri"/>
          <w:szCs w:val="22"/>
        </w:rPr>
        <w:t>, 268, 6-17.</w:t>
      </w:r>
    </w:p>
    <w:p w14:paraId="1E82A2E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Porter-Bolland, L., Ruiz-Mallén, I., Camacho-Benavides, C., &amp; McCandless, S. R. (Eds) (2013). </w:t>
      </w:r>
      <w:r w:rsidRPr="00FE4CC2">
        <w:rPr>
          <w:rStyle w:val="referencia"/>
          <w:rFonts w:ascii="Calibri" w:hAnsi="Calibri"/>
          <w:i/>
          <w:szCs w:val="22"/>
        </w:rPr>
        <w:t>Community Action for Conservation - Mexican Experiences</w:t>
      </w:r>
      <w:r w:rsidRPr="00FE4CC2">
        <w:rPr>
          <w:rStyle w:val="referencia"/>
          <w:rFonts w:ascii="Calibri" w:hAnsi="Calibri"/>
          <w:szCs w:val="22"/>
        </w:rPr>
        <w:t>. New York: Springer</w:t>
      </w:r>
      <w:r w:rsidRPr="00FE4CC2">
        <w:rPr>
          <w:rStyle w:val="referencia"/>
          <w:rFonts w:ascii="Calibri" w:hAnsi="Calibri"/>
          <w:i/>
          <w:szCs w:val="22"/>
        </w:rPr>
        <w:t xml:space="preserve"> </w:t>
      </w:r>
      <w:r w:rsidRPr="00FE4CC2">
        <w:rPr>
          <w:rStyle w:val="referencia"/>
          <w:rFonts w:ascii="Calibri" w:hAnsi="Calibri"/>
          <w:szCs w:val="22"/>
        </w:rPr>
        <w:t>(pp. 184).</w:t>
      </w:r>
    </w:p>
    <w:p w14:paraId="14B1501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Posner, S., Getz, C., &amp; Ricketts, T. (2016). Evaluating the impact of ecosystem service assessments on decision-makers. </w:t>
      </w:r>
      <w:r w:rsidRPr="00FE4CC2">
        <w:rPr>
          <w:rStyle w:val="referencia"/>
          <w:rFonts w:ascii="Calibri" w:hAnsi="Calibri"/>
          <w:i/>
          <w:szCs w:val="22"/>
        </w:rPr>
        <w:t>Environmental Science &amp; Policy</w:t>
      </w:r>
      <w:r w:rsidRPr="00FE4CC2">
        <w:rPr>
          <w:rStyle w:val="referencia"/>
          <w:rFonts w:ascii="Calibri" w:hAnsi="Calibri"/>
          <w:szCs w:val="22"/>
        </w:rPr>
        <w:t>, 64, 30–37.</w:t>
      </w:r>
    </w:p>
    <w:p w14:paraId="71595A37" w14:textId="77777777" w:rsidR="006969D3" w:rsidRPr="00FE4CC2" w:rsidRDefault="006969D3" w:rsidP="006969D3">
      <w:pPr>
        <w:ind w:left="851" w:hanging="851"/>
        <w:contextualSpacing/>
        <w:rPr>
          <w:rStyle w:val="referencia"/>
          <w:rFonts w:ascii="Calibri" w:hAnsi="Calibri"/>
          <w:szCs w:val="22"/>
        </w:rPr>
      </w:pPr>
      <w:r w:rsidRPr="00FE4CC2">
        <w:rPr>
          <w:szCs w:val="22"/>
        </w:rPr>
        <w:t xml:space="preserve">Pradhan, P., Costa, L., Rybski, D., Lucht, W., &amp; Kropp, J. P. (2017). A systematic study of Sustainable Development Goal (SDG) interactions. </w:t>
      </w:r>
      <w:r w:rsidRPr="00FE4CC2">
        <w:rPr>
          <w:i/>
          <w:szCs w:val="22"/>
        </w:rPr>
        <w:t>Earth’s Future</w:t>
      </w:r>
      <w:r w:rsidRPr="00FE4CC2">
        <w:rPr>
          <w:szCs w:val="22"/>
        </w:rPr>
        <w:t xml:space="preserve">, 5, 1169-1179. </w:t>
      </w:r>
      <w:r w:rsidRPr="00FE4CC2">
        <w:rPr>
          <w:rStyle w:val="referencia"/>
          <w:rFonts w:ascii="Calibri" w:hAnsi="Calibri"/>
          <w:szCs w:val="22"/>
          <w:lang w:val="en-GB"/>
        </w:rPr>
        <w:t>https://doi.org/</w:t>
      </w:r>
      <w:r w:rsidRPr="00FE4CC2">
        <w:rPr>
          <w:szCs w:val="22"/>
        </w:rPr>
        <w:t>10.1002/2017EF000632.</w:t>
      </w:r>
    </w:p>
    <w:p w14:paraId="0BE6D91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Pramova, E., Locatelli, B., Brockhaus, M., &amp; Fohlmeister, S. (2012). Ecosystem services in the National Adaptation Programmes of Action. </w:t>
      </w:r>
      <w:r w:rsidRPr="00FE4CC2">
        <w:rPr>
          <w:rStyle w:val="referencia"/>
          <w:rFonts w:ascii="Calibri" w:hAnsi="Calibri"/>
          <w:i/>
          <w:szCs w:val="22"/>
        </w:rPr>
        <w:t>Climate Policy</w:t>
      </w:r>
      <w:r w:rsidRPr="00FE4CC2">
        <w:rPr>
          <w:rStyle w:val="referencia"/>
          <w:rFonts w:ascii="Calibri" w:hAnsi="Calibri"/>
          <w:szCs w:val="22"/>
        </w:rPr>
        <w:t>, 12, 393-409.</w:t>
      </w:r>
    </w:p>
    <w:p w14:paraId="3223B4A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Pressey, R. L., Visconti, P., &amp; Ferraro, P. J. (2015). </w:t>
      </w:r>
      <w:r w:rsidRPr="00FE4CC2">
        <w:rPr>
          <w:rStyle w:val="referencia"/>
          <w:rFonts w:ascii="Calibri" w:hAnsi="Calibri"/>
          <w:szCs w:val="22"/>
        </w:rPr>
        <w:t xml:space="preserve">Making parks make a difference: poor alignment of policy, planning and management with protected-area impact, and ways forward. </w:t>
      </w:r>
      <w:r w:rsidRPr="00FE4CC2">
        <w:rPr>
          <w:rStyle w:val="referencia"/>
          <w:rFonts w:ascii="Calibri" w:hAnsi="Calibri"/>
          <w:i/>
          <w:szCs w:val="22"/>
        </w:rPr>
        <w:t>Philosophical Transactions of the Royal Society B Biological Sciences</w:t>
      </w:r>
      <w:r w:rsidRPr="00FE4CC2">
        <w:rPr>
          <w:rStyle w:val="referencia"/>
          <w:rFonts w:ascii="Calibri" w:hAnsi="Calibri"/>
          <w:szCs w:val="22"/>
        </w:rPr>
        <w:t>, 370, 20140280.</w:t>
      </w:r>
      <w:hyperlink r:id="rId1124" w:history="1">
        <w:r w:rsidRPr="00FE4CC2">
          <w:rPr>
            <w:rStyle w:val="Hyperlink"/>
            <w:szCs w:val="22"/>
          </w:rPr>
          <w:t>http://dx.doi.org/10.1098/rstb.2014.0280</w:t>
        </w:r>
      </w:hyperlink>
      <w:r w:rsidRPr="00FE4CC2">
        <w:rPr>
          <w:rStyle w:val="referencia"/>
          <w:rFonts w:ascii="Calibri" w:hAnsi="Calibri"/>
          <w:szCs w:val="22"/>
        </w:rPr>
        <w:t>.</w:t>
      </w:r>
    </w:p>
    <w:p w14:paraId="1ED64E5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Preston, J. (2016). Canada.</w:t>
      </w:r>
      <w:r w:rsidRPr="00FE4CC2">
        <w:rPr>
          <w:rStyle w:val="referencia"/>
          <w:rFonts w:ascii="Calibri" w:hAnsi="Calibri"/>
          <w:i/>
          <w:szCs w:val="22"/>
        </w:rPr>
        <w:t xml:space="preserve"> </w:t>
      </w:r>
      <w:r w:rsidRPr="00FE4CC2">
        <w:rPr>
          <w:rStyle w:val="referencia"/>
          <w:rFonts w:ascii="Calibri" w:hAnsi="Calibri"/>
          <w:szCs w:val="22"/>
        </w:rPr>
        <w:t>In</w:t>
      </w:r>
      <w:r w:rsidRPr="00FE4CC2">
        <w:rPr>
          <w:rStyle w:val="referencia"/>
          <w:rFonts w:ascii="Calibri" w:hAnsi="Calibri"/>
          <w:i/>
          <w:szCs w:val="22"/>
        </w:rPr>
        <w:t xml:space="preserve"> </w:t>
      </w:r>
      <w:r w:rsidRPr="00FE4CC2">
        <w:rPr>
          <w:rStyle w:val="referencia"/>
          <w:rFonts w:ascii="Calibri" w:hAnsi="Calibri"/>
          <w:szCs w:val="22"/>
        </w:rPr>
        <w:t xml:space="preserve">D. Vinding &amp; C. Mikkelsen (Eds.). </w:t>
      </w:r>
      <w:r w:rsidRPr="00FE4CC2">
        <w:rPr>
          <w:rStyle w:val="referencia"/>
          <w:rFonts w:ascii="Calibri" w:hAnsi="Calibri"/>
          <w:i/>
          <w:szCs w:val="22"/>
        </w:rPr>
        <w:t xml:space="preserve">The Indigenous World 2016 </w:t>
      </w:r>
      <w:r w:rsidRPr="00FE4CC2">
        <w:rPr>
          <w:rStyle w:val="referencia"/>
          <w:rFonts w:ascii="Calibri" w:hAnsi="Calibri"/>
          <w:szCs w:val="22"/>
        </w:rPr>
        <w:t xml:space="preserve">(pp. 54-64). Copenhagen, Denmark: International Work Group for Indigenous Affairs. </w:t>
      </w:r>
    </w:p>
    <w:p w14:paraId="1E878FF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Primack, R. B., Bray, D., Galletti, H. A., &amp; Ponciano, I. (1998). </w:t>
      </w:r>
      <w:r w:rsidRPr="00FE4CC2">
        <w:rPr>
          <w:rStyle w:val="referencia"/>
          <w:rFonts w:ascii="Calibri" w:hAnsi="Calibri"/>
          <w:i/>
          <w:szCs w:val="22"/>
        </w:rPr>
        <w:t>Timber, Tourists, and Temples: Conservation and Development in the Maya Forest of Belize, Guatemala and Mexico</w:t>
      </w:r>
      <w:r w:rsidRPr="00FE4CC2">
        <w:rPr>
          <w:rStyle w:val="referencia"/>
          <w:rFonts w:ascii="Calibri" w:hAnsi="Calibri"/>
          <w:szCs w:val="22"/>
        </w:rPr>
        <w:t>. Washington: Island Press. (pp. 449).</w:t>
      </w:r>
    </w:p>
    <w:p w14:paraId="51AA809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PwC. (2010). </w:t>
      </w:r>
      <w:r w:rsidRPr="00FE4CC2">
        <w:rPr>
          <w:rStyle w:val="referencia"/>
          <w:rFonts w:ascii="Calibri" w:hAnsi="Calibri"/>
          <w:i/>
          <w:szCs w:val="22"/>
        </w:rPr>
        <w:t>13th Annual Global CEO Survey 2010.</w:t>
      </w:r>
      <w:r w:rsidRPr="00FE4CC2">
        <w:rPr>
          <w:rStyle w:val="referencia"/>
          <w:rFonts w:ascii="Calibri" w:hAnsi="Calibri"/>
          <w:szCs w:val="22"/>
        </w:rPr>
        <w:t xml:space="preserve"> London: PricewaterhouseCoopers.</w:t>
      </w:r>
    </w:p>
    <w:p w14:paraId="15152CB4"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rPr>
        <w:t xml:space="preserve">Queiroz, H. L. (2005). </w:t>
      </w:r>
      <w:r w:rsidRPr="00FE4CC2">
        <w:rPr>
          <w:rStyle w:val="referencia"/>
          <w:rFonts w:ascii="Calibri" w:hAnsi="Calibri"/>
          <w:szCs w:val="22"/>
          <w:lang w:val="es-CO"/>
        </w:rPr>
        <w:t>A Reserva de Desenvolvimento Sustentável Mamirauá</w:t>
      </w:r>
      <w:r w:rsidRPr="00FE4CC2">
        <w:rPr>
          <w:rStyle w:val="referencia"/>
          <w:rFonts w:ascii="Calibri" w:hAnsi="Calibri"/>
          <w:i/>
          <w:szCs w:val="22"/>
          <w:lang w:val="es-CO"/>
        </w:rPr>
        <w:t xml:space="preserve">. Estudos Avançados, </w:t>
      </w:r>
      <w:r w:rsidRPr="00FE4CC2">
        <w:rPr>
          <w:rStyle w:val="referencia"/>
          <w:rFonts w:ascii="Calibri" w:hAnsi="Calibri"/>
          <w:szCs w:val="22"/>
          <w:lang w:val="es-CO"/>
        </w:rPr>
        <w:t>19(54), 183-203.</w:t>
      </w:r>
    </w:p>
    <w:p w14:paraId="6860C02B"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Queiroz, H. L., &amp; Peralta, N. (2006). Reserva de Desenvolvimento Sustentável: Manejo integrado dos recursos naturais e gestão participativa. In I. Garay &amp; B. Becker (Eds). </w:t>
      </w:r>
      <w:r w:rsidRPr="00FE4CC2">
        <w:rPr>
          <w:rStyle w:val="referencia"/>
          <w:rFonts w:ascii="Calibri" w:hAnsi="Calibri"/>
          <w:i/>
          <w:szCs w:val="22"/>
          <w:lang w:val="es-CO"/>
        </w:rPr>
        <w:t xml:space="preserve">Dimensões Humanas da Biodiversidade </w:t>
      </w:r>
      <w:r w:rsidRPr="00FE4CC2">
        <w:rPr>
          <w:rStyle w:val="referencia"/>
          <w:rFonts w:ascii="Calibri" w:hAnsi="Calibri"/>
          <w:szCs w:val="22"/>
          <w:lang w:val="es-CO"/>
        </w:rPr>
        <w:t xml:space="preserve">(pp. 447-476). </w:t>
      </w:r>
      <w:r w:rsidRPr="00FE4CC2">
        <w:rPr>
          <w:rStyle w:val="referencia"/>
          <w:rFonts w:ascii="Calibri" w:hAnsi="Calibri"/>
          <w:szCs w:val="22"/>
          <w:lang w:val="es-AR"/>
        </w:rPr>
        <w:t xml:space="preserve">Rio de Janeiro: Universidade Federal do Rio de Janeiro. </w:t>
      </w:r>
    </w:p>
    <w:p w14:paraId="62B9161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Quétier, F., &amp; Lavorel, S. (2011). </w:t>
      </w:r>
      <w:r w:rsidRPr="00FE4CC2">
        <w:rPr>
          <w:rStyle w:val="referencia"/>
          <w:rFonts w:ascii="Calibri" w:hAnsi="Calibri"/>
          <w:szCs w:val="22"/>
        </w:rPr>
        <w:t xml:space="preserve">Assessing ecological equivalence in biodiversity offset schemes: Key issues and solutions. </w:t>
      </w:r>
      <w:r w:rsidRPr="00FE4CC2">
        <w:rPr>
          <w:rStyle w:val="referencia"/>
          <w:rFonts w:ascii="Calibri" w:hAnsi="Calibri"/>
          <w:i/>
          <w:szCs w:val="22"/>
        </w:rPr>
        <w:t>Biological Conservation</w:t>
      </w:r>
      <w:r w:rsidRPr="00FE4CC2">
        <w:rPr>
          <w:rStyle w:val="referencia"/>
          <w:rFonts w:ascii="Calibri" w:hAnsi="Calibri"/>
          <w:szCs w:val="22"/>
        </w:rPr>
        <w:t xml:space="preserve">, 144, 2991–2999. </w:t>
      </w:r>
    </w:p>
    <w:p w14:paraId="7191AD2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Radachowsky, J., Ramos, V. H., McNab, R., Baur, E. H., &amp; Kazakov, N. (2012). Forest concessions in the Maya Biosphere Reserve, Guatemala: a decade later. </w:t>
      </w:r>
      <w:r w:rsidRPr="00FE4CC2">
        <w:rPr>
          <w:rStyle w:val="referencia"/>
          <w:rFonts w:ascii="Calibri" w:hAnsi="Calibri"/>
          <w:i/>
          <w:szCs w:val="22"/>
        </w:rPr>
        <w:t>Forest Ecology and Management</w:t>
      </w:r>
      <w:r w:rsidRPr="00FE4CC2">
        <w:rPr>
          <w:rStyle w:val="referencia"/>
          <w:rFonts w:ascii="Calibri" w:hAnsi="Calibri"/>
          <w:szCs w:val="22"/>
        </w:rPr>
        <w:t xml:space="preserve">, 268, 18-28. </w:t>
      </w:r>
    </w:p>
    <w:p w14:paraId="7CAD66F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Redford, K. H., Huntley, B. J., Roe, D., Hammond, T., Zimsky, M., Lovejoy, T. E., Fonseca, G. A. B. da, Rodriguez, C. M., &amp; Cowling, R. M. (2015). Mainstreaming biodiversity: conservation for the twenty-first century. </w:t>
      </w:r>
      <w:r w:rsidRPr="00FE4CC2">
        <w:rPr>
          <w:rStyle w:val="referencia"/>
          <w:rFonts w:ascii="Calibri" w:hAnsi="Calibri"/>
          <w:i/>
          <w:szCs w:val="22"/>
        </w:rPr>
        <w:t>Frontiers in Ecology and Evolution</w:t>
      </w:r>
      <w:r w:rsidRPr="00FE4CC2">
        <w:rPr>
          <w:rStyle w:val="referencia"/>
          <w:rFonts w:ascii="Calibri" w:hAnsi="Calibri"/>
          <w:szCs w:val="22"/>
        </w:rPr>
        <w:t>, 137, 1-7.</w:t>
      </w:r>
    </w:p>
    <w:p w14:paraId="235521C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Reis, E. G., &amp; D'Incao, F. (2000). </w:t>
      </w:r>
      <w:r w:rsidRPr="00FE4CC2">
        <w:rPr>
          <w:rStyle w:val="referencia"/>
          <w:rFonts w:ascii="Calibri" w:hAnsi="Calibri"/>
          <w:szCs w:val="22"/>
        </w:rPr>
        <w:t xml:space="preserve">The present status of artisanal fisheries of extreme Southern Brazil: an effort towards comminity-based management. </w:t>
      </w:r>
      <w:r w:rsidRPr="00FE4CC2">
        <w:rPr>
          <w:rStyle w:val="referencia"/>
          <w:rFonts w:ascii="Calibri" w:hAnsi="Calibri"/>
          <w:i/>
          <w:szCs w:val="22"/>
        </w:rPr>
        <w:t>Ocean and Coastal Management</w:t>
      </w:r>
      <w:r w:rsidRPr="00FE4CC2">
        <w:rPr>
          <w:rStyle w:val="referencia"/>
          <w:rFonts w:ascii="Calibri" w:hAnsi="Calibri"/>
          <w:szCs w:val="22"/>
        </w:rPr>
        <w:t xml:space="preserve">, 43, 585-595. </w:t>
      </w:r>
    </w:p>
    <w:p w14:paraId="13FD7A61" w14:textId="77777777" w:rsidR="006969D3" w:rsidRPr="00FE4CC2" w:rsidRDefault="006969D3" w:rsidP="006969D3">
      <w:pPr>
        <w:autoSpaceDE w:val="0"/>
        <w:autoSpaceDN w:val="0"/>
        <w:adjustRightInd w:val="0"/>
        <w:ind w:left="851" w:hanging="851"/>
        <w:contextualSpacing/>
        <w:rPr>
          <w:rStyle w:val="referencia"/>
          <w:rFonts w:ascii="Calibri" w:hAnsi="Calibri"/>
          <w:szCs w:val="22"/>
        </w:rPr>
      </w:pPr>
      <w:r w:rsidRPr="00FE4CC2">
        <w:rPr>
          <w:rFonts w:eastAsia="AdvP6975"/>
          <w:color w:val="231F20"/>
          <w:szCs w:val="22"/>
        </w:rPr>
        <w:t>Renaud, F. G., Nehren</w:t>
      </w:r>
      <w:r w:rsidRPr="00FE4CC2">
        <w:rPr>
          <w:rStyle w:val="referencia"/>
          <w:rFonts w:ascii="Calibri" w:hAnsi="Calibri"/>
          <w:szCs w:val="22"/>
        </w:rPr>
        <w:t xml:space="preserve">. </w:t>
      </w:r>
      <w:r w:rsidRPr="00FE4CC2">
        <w:rPr>
          <w:rFonts w:eastAsia="AdvP6975"/>
          <w:color w:val="231F20"/>
          <w:szCs w:val="22"/>
        </w:rPr>
        <w:t xml:space="preserve">U., Sudmeier-Rieux, K., &amp; Estrella, M. (2016). </w:t>
      </w:r>
      <w:r w:rsidRPr="00FE4CC2">
        <w:rPr>
          <w:rFonts w:eastAsia="AdvP6F01"/>
          <w:color w:val="231F20"/>
          <w:szCs w:val="22"/>
        </w:rPr>
        <w:t xml:space="preserve">Developments and opportunities for ecosystem-based disaster risk reduction and climate change adaptation. </w:t>
      </w:r>
      <w:r w:rsidRPr="00FE4CC2">
        <w:rPr>
          <w:rFonts w:eastAsia="AdvP6F01"/>
          <w:color w:val="231F20"/>
          <w:szCs w:val="22"/>
          <w:lang w:val="de-DE"/>
        </w:rPr>
        <w:t>In</w:t>
      </w:r>
      <w:r w:rsidRPr="00FE4CC2">
        <w:rPr>
          <w:rFonts w:eastAsia="AdvP6975"/>
          <w:color w:val="231F20"/>
          <w:szCs w:val="22"/>
          <w:lang w:val="de-DE"/>
        </w:rPr>
        <w:t xml:space="preserve"> F. G.</w:t>
      </w:r>
      <w:r w:rsidRPr="00FE4CC2">
        <w:rPr>
          <w:rFonts w:eastAsia="AdvP6F01"/>
          <w:color w:val="231F20"/>
          <w:szCs w:val="22"/>
          <w:lang w:val="de-DE"/>
        </w:rPr>
        <w:t xml:space="preserve"> </w:t>
      </w:r>
      <w:r w:rsidRPr="00FE4CC2">
        <w:rPr>
          <w:rFonts w:eastAsia="AdvP6975"/>
          <w:color w:val="231F20"/>
          <w:szCs w:val="22"/>
          <w:lang w:val="de-DE"/>
        </w:rPr>
        <w:t>Renaud, K. Sudmeier-Rieux, M. Estrella, &amp; U. Nehren</w:t>
      </w:r>
      <w:r w:rsidRPr="00FE4CC2">
        <w:rPr>
          <w:rStyle w:val="referencia"/>
          <w:rFonts w:ascii="Calibri" w:hAnsi="Calibri"/>
          <w:szCs w:val="22"/>
          <w:lang w:val="de-DE"/>
        </w:rPr>
        <w:t xml:space="preserve"> </w:t>
      </w:r>
      <w:r w:rsidRPr="00FE4CC2">
        <w:rPr>
          <w:rStyle w:val="referencia"/>
          <w:rFonts w:ascii="Calibri" w:hAnsi="Calibri"/>
          <w:szCs w:val="22"/>
          <w:lang w:val="fr-FR"/>
        </w:rPr>
        <w:t>(Eds.). </w:t>
      </w:r>
      <w:r w:rsidRPr="00FE4CC2">
        <w:rPr>
          <w:rStyle w:val="referencia"/>
          <w:rFonts w:ascii="Calibri" w:hAnsi="Calibri"/>
          <w:i/>
          <w:szCs w:val="22"/>
        </w:rPr>
        <w:t>Ecosystem-Based Disaster Risk Reduction and Adaptation in Practice</w:t>
      </w:r>
      <w:r w:rsidRPr="00FE4CC2">
        <w:rPr>
          <w:rStyle w:val="referencia"/>
          <w:rFonts w:ascii="Calibri" w:hAnsi="Calibri"/>
          <w:szCs w:val="22"/>
        </w:rPr>
        <w:t xml:space="preserve"> (pp. 401-434). Cham, Switzerland: Springer. </w:t>
      </w:r>
    </w:p>
    <w:p w14:paraId="7E4C9FB8" w14:textId="77777777" w:rsidR="006969D3" w:rsidRPr="00FE4CC2" w:rsidRDefault="006969D3" w:rsidP="006969D3">
      <w:pPr>
        <w:ind w:left="851" w:hanging="851"/>
        <w:contextualSpacing/>
        <w:rPr>
          <w:rStyle w:val="referencia"/>
          <w:rFonts w:ascii="Calibri" w:hAnsi="Calibri"/>
          <w:color w:val="000000" w:themeColor="text1"/>
          <w:szCs w:val="22"/>
          <w:lang w:val="pt-BR"/>
        </w:rPr>
      </w:pPr>
      <w:r w:rsidRPr="00FE4CC2">
        <w:rPr>
          <w:rStyle w:val="referencia"/>
          <w:rFonts w:ascii="Calibri" w:hAnsi="Calibri"/>
          <w:color w:val="000000" w:themeColor="text1"/>
          <w:szCs w:val="22"/>
        </w:rPr>
        <w:t xml:space="preserve">Rhoads, B. L., Wilson, D., Urban, M., &amp; Herricks, E. E. (1999). Interaction between scientists and nonscientists in community-based watershed management: emergence of the concept of stream naturalization. </w:t>
      </w:r>
      <w:r w:rsidRPr="00FE4CC2">
        <w:rPr>
          <w:rStyle w:val="referencia"/>
          <w:rFonts w:ascii="Calibri" w:hAnsi="Calibri"/>
          <w:i/>
          <w:color w:val="000000" w:themeColor="text1"/>
          <w:szCs w:val="22"/>
          <w:lang w:val="pt-BR"/>
        </w:rPr>
        <w:t>Environmental Management</w:t>
      </w:r>
      <w:r w:rsidRPr="00FE4CC2">
        <w:rPr>
          <w:rStyle w:val="referencia"/>
          <w:rFonts w:ascii="Calibri" w:hAnsi="Calibri"/>
          <w:color w:val="000000" w:themeColor="text1"/>
          <w:szCs w:val="22"/>
          <w:lang w:val="pt-BR"/>
        </w:rPr>
        <w:t>, 24(3), 297-308.</w:t>
      </w:r>
    </w:p>
    <w:p w14:paraId="5C9856CB" w14:textId="77777777" w:rsidR="006969D3" w:rsidRPr="00FE4CC2" w:rsidRDefault="006969D3" w:rsidP="006969D3">
      <w:pPr>
        <w:ind w:left="851" w:hanging="851"/>
        <w:contextualSpacing/>
        <w:rPr>
          <w:b/>
          <w:bCs/>
          <w:color w:val="000000" w:themeColor="text1"/>
          <w:spacing w:val="2"/>
          <w:szCs w:val="22"/>
          <w:lang w:val="en"/>
        </w:rPr>
      </w:pPr>
      <w:r w:rsidRPr="00FE4CC2">
        <w:rPr>
          <w:rStyle w:val="referencia"/>
          <w:rFonts w:ascii="Calibri" w:hAnsi="Calibri"/>
          <w:color w:val="000000" w:themeColor="text1"/>
          <w:szCs w:val="22"/>
          <w:lang w:val="pt-BR"/>
        </w:rPr>
        <w:t xml:space="preserve">Ribeiro-Duthie, A. C., </w:t>
      </w:r>
      <w:r w:rsidRPr="00FE4CC2">
        <w:rPr>
          <w:rStyle w:val="authorsname"/>
          <w:color w:val="000000" w:themeColor="text1"/>
          <w:szCs w:val="22"/>
          <w:lang w:val="pt-BR"/>
        </w:rPr>
        <w:t xml:space="preserve">Domingos, </w:t>
      </w:r>
      <w:r w:rsidRPr="00FE4CC2">
        <w:rPr>
          <w:rStyle w:val="referencia"/>
          <w:rFonts w:ascii="Calibri" w:hAnsi="Calibri"/>
          <w:color w:val="000000" w:themeColor="text1"/>
          <w:szCs w:val="22"/>
          <w:lang w:val="pt-BR"/>
        </w:rPr>
        <w:t xml:space="preserve">L. </w:t>
      </w:r>
      <w:r w:rsidRPr="00FE4CC2">
        <w:rPr>
          <w:rStyle w:val="authorsname"/>
          <w:color w:val="000000" w:themeColor="text1"/>
          <w:szCs w:val="22"/>
          <w:lang w:val="pt-BR"/>
        </w:rPr>
        <w:t xml:space="preserve">M. B.,  Oliveira, M. F.,  Araujo, P. C.,  Alamino, R. C. J.,  Silva, R. S. V.,  Ribeiro-Duthie, J. M., &amp; Castilhos, Z. C. (2017). </w:t>
      </w:r>
      <w:r w:rsidRPr="00FE4CC2">
        <w:rPr>
          <w:color w:val="000000" w:themeColor="text1"/>
          <w:spacing w:val="2"/>
          <w:szCs w:val="22"/>
          <w:lang w:val="en"/>
        </w:rPr>
        <w:t xml:space="preserve">Sustainable development opportunities within corporate social responsibility practices from LSM to ASM in the gold mining industry. </w:t>
      </w:r>
      <w:r w:rsidRPr="00FE4CC2">
        <w:rPr>
          <w:i/>
          <w:color w:val="000000" w:themeColor="text1"/>
          <w:spacing w:val="2"/>
          <w:szCs w:val="22"/>
          <w:lang w:val="en"/>
        </w:rPr>
        <w:t>Mineral Economics</w:t>
      </w:r>
      <w:r w:rsidRPr="00FE4CC2">
        <w:rPr>
          <w:color w:val="000000" w:themeColor="text1"/>
          <w:spacing w:val="2"/>
          <w:szCs w:val="22"/>
          <w:lang w:val="en"/>
        </w:rPr>
        <w:t>, 30, 141-152.</w:t>
      </w:r>
    </w:p>
    <w:p w14:paraId="5B469AD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Richerzhagen, C. &amp; Holm-Mueller, K. (2005). The effectiveness of access and benefit sharing in Costa Rica: Implications for national and international regimes. </w:t>
      </w:r>
      <w:r w:rsidRPr="00FE4CC2">
        <w:rPr>
          <w:rStyle w:val="referencia"/>
          <w:rFonts w:ascii="Calibri" w:hAnsi="Calibri"/>
          <w:i/>
          <w:szCs w:val="22"/>
        </w:rPr>
        <w:t>Ecological Economics</w:t>
      </w:r>
      <w:r w:rsidRPr="00FE4CC2">
        <w:rPr>
          <w:rStyle w:val="referencia"/>
          <w:rFonts w:ascii="Calibri" w:hAnsi="Calibri"/>
          <w:szCs w:val="22"/>
        </w:rPr>
        <w:t xml:space="preserve">, 53, 445-460. </w:t>
      </w:r>
    </w:p>
    <w:p w14:paraId="3EADFB1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Richerzhagen, C. (2011). Effective governance of access and benefit-sharing under the Convention on Biological Diversity.</w:t>
      </w:r>
      <w:r w:rsidRPr="00FE4CC2">
        <w:rPr>
          <w:rStyle w:val="referencia"/>
          <w:rFonts w:ascii="Calibri" w:hAnsi="Calibri"/>
          <w:i/>
          <w:szCs w:val="22"/>
        </w:rPr>
        <w:t xml:space="preserve"> Biodiversity and Conservation</w:t>
      </w:r>
      <w:r w:rsidRPr="00FE4CC2">
        <w:rPr>
          <w:rStyle w:val="referencia"/>
          <w:rFonts w:ascii="Calibri" w:hAnsi="Calibri"/>
          <w:szCs w:val="22"/>
        </w:rPr>
        <w:t>, 20, 2243-2261.</w:t>
      </w:r>
    </w:p>
    <w:p w14:paraId="3385D5C1" w14:textId="77777777" w:rsidR="006969D3" w:rsidRPr="00FE4CC2" w:rsidRDefault="006969D3" w:rsidP="006969D3">
      <w:pPr>
        <w:shd w:val="clear" w:color="auto" w:fill="FFFFFF"/>
        <w:ind w:left="851" w:hanging="851"/>
        <w:contextualSpacing/>
        <w:rPr>
          <w:rStyle w:val="referencia"/>
          <w:rFonts w:ascii="Calibri" w:hAnsi="Calibri"/>
          <w:szCs w:val="22"/>
        </w:rPr>
      </w:pPr>
      <w:r w:rsidRPr="00FE4CC2">
        <w:rPr>
          <w:rStyle w:val="referencia"/>
          <w:rFonts w:ascii="Calibri" w:hAnsi="Calibri"/>
          <w:szCs w:val="22"/>
        </w:rPr>
        <w:t xml:space="preserve">Ricketts, T. H., Soares-Filho, B., da Fonseca G. A. B., </w:t>
      </w:r>
      <w:r w:rsidRPr="00FE4CC2">
        <w:rPr>
          <w:szCs w:val="22"/>
        </w:rPr>
        <w:t xml:space="preserve">Nepstad, D., Pfaff, A., Petsonk, A., Anderson, A., Boucher, D., Cattaneo, A., Conte, M., Creighton, K., Linden, L., Maretti, C.,  Moutinho, P., Ullman, R., Victurine, R. </w:t>
      </w:r>
      <w:r w:rsidRPr="00FE4CC2">
        <w:rPr>
          <w:rStyle w:val="referencia"/>
          <w:rFonts w:ascii="Calibri" w:hAnsi="Calibri"/>
          <w:szCs w:val="22"/>
        </w:rPr>
        <w:t xml:space="preserve"> (2010): Indigenous lands, protected areas, and slowing climate change. </w:t>
      </w:r>
      <w:r w:rsidRPr="00FE4CC2">
        <w:rPr>
          <w:rStyle w:val="referencia"/>
          <w:rFonts w:ascii="Calibri" w:hAnsi="Calibri"/>
          <w:i/>
          <w:szCs w:val="22"/>
        </w:rPr>
        <w:t>PLoS Biology</w:t>
      </w:r>
      <w:r w:rsidRPr="00FE4CC2">
        <w:rPr>
          <w:rStyle w:val="referencia"/>
          <w:rFonts w:ascii="Calibri" w:hAnsi="Calibri"/>
          <w:szCs w:val="22"/>
        </w:rPr>
        <w:t xml:space="preserve">, 8(3), e1000331. </w:t>
      </w:r>
      <w:r w:rsidRPr="00FE4CC2">
        <w:rPr>
          <w:rStyle w:val="referencia"/>
          <w:rFonts w:ascii="Calibri" w:hAnsi="Calibri"/>
          <w:szCs w:val="22"/>
          <w:lang w:val="en-GB"/>
        </w:rPr>
        <w:t>https://doi.org/</w:t>
      </w:r>
      <w:r w:rsidRPr="00FE4CC2">
        <w:rPr>
          <w:rStyle w:val="referencia"/>
          <w:rFonts w:ascii="Calibri" w:hAnsi="Calibri"/>
          <w:szCs w:val="22"/>
        </w:rPr>
        <w:t xml:space="preserve">10.1371/journal.pbio. 1000331. </w:t>
      </w:r>
    </w:p>
    <w:p w14:paraId="30661C6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Ring, I., Hansjürgens, B., Elmqvist, T., Wittmer, H., &amp; Sukhdev, P. (2010). Challenges in framing the economics of ecosystems and biodiversity: the TEEB initiative. </w:t>
      </w:r>
      <w:r w:rsidRPr="00FE4CC2">
        <w:rPr>
          <w:rStyle w:val="referencia"/>
          <w:rFonts w:ascii="Calibri" w:hAnsi="Calibri"/>
          <w:i/>
          <w:szCs w:val="22"/>
        </w:rPr>
        <w:t>Current Opinion in Environmental Sustainability</w:t>
      </w:r>
      <w:r w:rsidRPr="00FE4CC2">
        <w:rPr>
          <w:rStyle w:val="referencia"/>
          <w:rFonts w:ascii="Calibri" w:hAnsi="Calibri"/>
          <w:szCs w:val="22"/>
        </w:rPr>
        <w:t>, 2, 15–26.</w:t>
      </w:r>
    </w:p>
    <w:p w14:paraId="585BE28C" w14:textId="77777777" w:rsidR="006969D3" w:rsidRPr="00FE4CC2" w:rsidRDefault="006969D3" w:rsidP="006969D3">
      <w:pPr>
        <w:ind w:left="851" w:hanging="851"/>
        <w:contextualSpacing/>
        <w:rPr>
          <w:rStyle w:val="referencia"/>
          <w:rFonts w:ascii="Calibri" w:hAnsi="Calibri"/>
          <w:szCs w:val="22"/>
          <w:lang w:val="fr-FR"/>
        </w:rPr>
      </w:pPr>
      <w:r w:rsidRPr="00FE4CC2">
        <w:rPr>
          <w:szCs w:val="22"/>
        </w:rPr>
        <w:t xml:space="preserve">Rissman, A. R., Owley, J., Shaw, M. R., &amp; Thompson, B. (2015). Adapting conservation easements to climate change. </w:t>
      </w:r>
      <w:r w:rsidRPr="00FE4CC2">
        <w:rPr>
          <w:i/>
          <w:szCs w:val="22"/>
          <w:lang w:val="fr-FR"/>
        </w:rPr>
        <w:t>Conservation Letters</w:t>
      </w:r>
      <w:r w:rsidRPr="00FE4CC2">
        <w:rPr>
          <w:szCs w:val="22"/>
          <w:lang w:val="fr-FR"/>
        </w:rPr>
        <w:t>, 8, 68-76.</w:t>
      </w:r>
    </w:p>
    <w:p w14:paraId="580EF3D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Rodrigues, A. S. L., Pilgrim, J. D., Lamoreux, J. F., Hoffmann, M., &amp; Brooks, T. M. (2006).  </w:t>
      </w:r>
      <w:r w:rsidRPr="00FE4CC2">
        <w:rPr>
          <w:rStyle w:val="referencia"/>
          <w:rFonts w:ascii="Calibri" w:hAnsi="Calibri"/>
          <w:szCs w:val="22"/>
        </w:rPr>
        <w:t xml:space="preserve">The value of the IUCN Red List for conservation. </w:t>
      </w:r>
      <w:r w:rsidRPr="00FE4CC2">
        <w:rPr>
          <w:rStyle w:val="referencia"/>
          <w:rFonts w:ascii="Calibri" w:hAnsi="Calibri"/>
          <w:i/>
          <w:szCs w:val="22"/>
        </w:rPr>
        <w:t>Trends in Ecology and Evolution</w:t>
      </w:r>
      <w:r w:rsidRPr="00FE4CC2">
        <w:rPr>
          <w:rStyle w:val="referencia"/>
          <w:rFonts w:ascii="Calibri" w:hAnsi="Calibri"/>
          <w:szCs w:val="22"/>
        </w:rPr>
        <w:t>, 21, 71–76.</w:t>
      </w:r>
    </w:p>
    <w:p w14:paraId="50AE71C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Rodriguez Osuna, V. (2015). </w:t>
      </w:r>
      <w:r w:rsidRPr="00FE4CC2">
        <w:rPr>
          <w:rStyle w:val="referencia"/>
          <w:rFonts w:ascii="Calibri" w:hAnsi="Calibri"/>
          <w:i/>
          <w:szCs w:val="22"/>
        </w:rPr>
        <w:t>Targeting watershed protection in the Guapiaçu-Macacu region of the Atlantic Forest, Brazil: An environmental and economic assessment of the potential for a payment for ecosystem services scheme.</w:t>
      </w:r>
      <w:r w:rsidRPr="00FE4CC2">
        <w:rPr>
          <w:rStyle w:val="referencia"/>
          <w:rFonts w:ascii="Calibri" w:hAnsi="Calibri"/>
          <w:szCs w:val="22"/>
        </w:rPr>
        <w:t xml:space="preserve"> Doctoral Thesis. Leipzig, Germany: Universität Leipzig.</w:t>
      </w:r>
    </w:p>
    <w:p w14:paraId="4F4FA8DF" w14:textId="77777777" w:rsidR="006969D3" w:rsidRPr="00FE4CC2" w:rsidRDefault="006969D3" w:rsidP="006969D3">
      <w:pPr>
        <w:widowControl w:val="0"/>
        <w:autoSpaceDE w:val="0"/>
        <w:autoSpaceDN w:val="0"/>
        <w:adjustRightInd w:val="0"/>
        <w:ind w:left="851" w:hanging="851"/>
        <w:contextualSpacing/>
        <w:rPr>
          <w:noProof/>
          <w:color w:val="000000" w:themeColor="text1"/>
          <w:szCs w:val="22"/>
        </w:rPr>
      </w:pPr>
      <w:r w:rsidRPr="00FE4CC2">
        <w:rPr>
          <w:noProof/>
          <w:szCs w:val="22"/>
          <w:lang w:val="pt-BR"/>
        </w:rPr>
        <w:t xml:space="preserve">Rodríguez Osuna, V., May, P., Monteiro, J., Wollenweber, R., Hissa, H., &amp; Costa, M. (in press). </w:t>
      </w:r>
      <w:r w:rsidRPr="00FE4CC2">
        <w:rPr>
          <w:noProof/>
          <w:szCs w:val="22"/>
        </w:rPr>
        <w:t xml:space="preserve">Promoting sustainable agriculture, boosting productivity and enhancing climate mitigation and adaptation through the Rio Rural Program, Brazil. In U. Nehren, S. Schlueter, C. Raedig, D. </w:t>
      </w:r>
      <w:r w:rsidRPr="00FE4CC2">
        <w:rPr>
          <w:noProof/>
          <w:color w:val="000000" w:themeColor="text1"/>
          <w:szCs w:val="22"/>
        </w:rPr>
        <w:t xml:space="preserve">Sattler, &amp; H. Hissa (Eds.), </w:t>
      </w:r>
      <w:r w:rsidRPr="00FE4CC2">
        <w:rPr>
          <w:i/>
          <w:iCs/>
          <w:noProof/>
          <w:color w:val="000000" w:themeColor="text1"/>
          <w:szCs w:val="22"/>
        </w:rPr>
        <w:t>Strategies and tools for a sustainable Rio de Janeiro</w:t>
      </w:r>
      <w:r w:rsidRPr="00FE4CC2">
        <w:rPr>
          <w:noProof/>
          <w:color w:val="000000" w:themeColor="text1"/>
          <w:szCs w:val="22"/>
        </w:rPr>
        <w:t xml:space="preserve"> (in press). Cham, Switzerland: Springer.</w:t>
      </w:r>
    </w:p>
    <w:p w14:paraId="3E0E5B16" w14:textId="77777777" w:rsidR="006969D3" w:rsidRPr="00FE4CC2" w:rsidRDefault="006969D3" w:rsidP="006969D3">
      <w:pPr>
        <w:widowControl w:val="0"/>
        <w:autoSpaceDE w:val="0"/>
        <w:autoSpaceDN w:val="0"/>
        <w:adjustRightInd w:val="0"/>
        <w:ind w:left="851" w:hanging="851"/>
        <w:contextualSpacing/>
        <w:rPr>
          <w:noProof/>
          <w:szCs w:val="22"/>
          <w:lang w:val="es-CO"/>
        </w:rPr>
      </w:pPr>
      <w:r w:rsidRPr="00FE4CC2">
        <w:rPr>
          <w:noProof/>
          <w:szCs w:val="22"/>
          <w:lang w:val="pt-BR"/>
        </w:rPr>
        <w:t xml:space="preserve">Rodríguez Osuna, V., Navarro Sánchez, G., Sommer, J. H., &amp; Biber-Freudenberger, L. (2017). </w:t>
      </w:r>
      <w:r w:rsidRPr="00FE4CC2">
        <w:rPr>
          <w:i/>
          <w:iCs/>
          <w:noProof/>
          <w:szCs w:val="22"/>
        </w:rPr>
        <w:t>Towards the Integration of Biodiversity in Environmental Impact Assessments of Bolivia</w:t>
      </w:r>
      <w:r w:rsidRPr="00FE4CC2">
        <w:rPr>
          <w:noProof/>
          <w:szCs w:val="22"/>
        </w:rPr>
        <w:t xml:space="preserve">. </w:t>
      </w:r>
      <w:r w:rsidRPr="00FE4CC2">
        <w:rPr>
          <w:noProof/>
          <w:szCs w:val="22"/>
          <w:lang w:val="es-CO"/>
        </w:rPr>
        <w:t xml:space="preserve">Center for Development Research (ZEF), Universidad Católica Boliviana (UCB). Cochabamba-Bolivia: Editoria INIA. </w:t>
      </w:r>
    </w:p>
    <w:p w14:paraId="47C9404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Rodríguez, A. (2008). Tourism, indigenous peoples and conservation in the Ecuadorian Amazon</w:t>
      </w:r>
      <w:r w:rsidRPr="00FE4CC2">
        <w:rPr>
          <w:rStyle w:val="referencia"/>
          <w:rFonts w:ascii="Calibri" w:hAnsi="Calibri"/>
          <w:i/>
          <w:szCs w:val="22"/>
        </w:rPr>
        <w:t xml:space="preserve">. </w:t>
      </w:r>
      <w:r w:rsidRPr="00FE4CC2">
        <w:rPr>
          <w:rStyle w:val="referencia"/>
          <w:rFonts w:ascii="Calibri" w:hAnsi="Calibri"/>
          <w:szCs w:val="22"/>
        </w:rPr>
        <w:t>In</w:t>
      </w:r>
      <w:r w:rsidRPr="00FE4CC2">
        <w:rPr>
          <w:rStyle w:val="referencia"/>
          <w:rFonts w:ascii="Calibri" w:hAnsi="Calibri"/>
          <w:i/>
          <w:szCs w:val="22"/>
        </w:rPr>
        <w:t xml:space="preserve"> </w:t>
      </w:r>
      <w:r w:rsidRPr="00FE4CC2">
        <w:rPr>
          <w:rStyle w:val="referencia"/>
          <w:rFonts w:ascii="Calibri" w:hAnsi="Calibri"/>
          <w:szCs w:val="22"/>
        </w:rPr>
        <w:t>A. Stronza &amp; W. H. Durham (Eds.).</w:t>
      </w:r>
      <w:r w:rsidRPr="00FE4CC2">
        <w:rPr>
          <w:rStyle w:val="referencia"/>
          <w:rFonts w:ascii="Calibri" w:hAnsi="Calibri"/>
          <w:i/>
          <w:szCs w:val="22"/>
        </w:rPr>
        <w:t xml:space="preserve"> Ecotourism and Conservation in the Americas </w:t>
      </w:r>
      <w:r w:rsidRPr="00FE4CC2">
        <w:rPr>
          <w:rStyle w:val="referencia"/>
          <w:rFonts w:ascii="Calibri" w:hAnsi="Calibri"/>
          <w:szCs w:val="22"/>
        </w:rPr>
        <w:t xml:space="preserve">(pp. 155-162).Wallingford, UK: Cabi International. </w:t>
      </w:r>
    </w:p>
    <w:p w14:paraId="0EB46D44" w14:textId="77777777" w:rsidR="006969D3" w:rsidRPr="00FE4CC2" w:rsidRDefault="006969D3" w:rsidP="006969D3">
      <w:pPr>
        <w:autoSpaceDE w:val="0"/>
        <w:autoSpaceDN w:val="0"/>
        <w:adjustRightInd w:val="0"/>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Roma, </w:t>
      </w:r>
      <w:r w:rsidRPr="00FE4CC2">
        <w:rPr>
          <w:rFonts w:eastAsia="ArialUnicodeMS"/>
          <w:szCs w:val="22"/>
          <w:lang w:val="es-CO"/>
        </w:rPr>
        <w:t xml:space="preserve">J. C., Saccaro, N. L., Mation, L. F., Paulsen, S. S., &amp; Vasconcellos, P. G. (2013). </w:t>
      </w:r>
      <w:r w:rsidRPr="00FE4CC2">
        <w:rPr>
          <w:rFonts w:eastAsia="ArialUnicodeMS"/>
          <w:i/>
          <w:szCs w:val="22"/>
          <w:lang w:val="es-CO"/>
        </w:rPr>
        <w:t>A Economia de Ecossistemas e da Biodiversidade no Brasil (TEEB-Brasil)</w:t>
      </w:r>
      <w:r w:rsidRPr="00FE4CC2">
        <w:rPr>
          <w:rFonts w:eastAsia="ArialUnicodeMS"/>
          <w:szCs w:val="22"/>
          <w:lang w:val="es-CO"/>
        </w:rPr>
        <w:t xml:space="preserve">: </w:t>
      </w:r>
      <w:r w:rsidRPr="00FE4CC2">
        <w:rPr>
          <w:rFonts w:eastAsia="ArialUnicodeMS"/>
          <w:i/>
          <w:szCs w:val="22"/>
          <w:lang w:val="es-CO"/>
        </w:rPr>
        <w:t>Análise de lacunas.</w:t>
      </w:r>
      <w:r w:rsidRPr="00FE4CC2">
        <w:rPr>
          <w:rFonts w:eastAsia="ArialUnicodeMS"/>
          <w:szCs w:val="22"/>
          <w:lang w:val="es-CO"/>
        </w:rPr>
        <w:t xml:space="preserve"> Rio de Janeiro:</w:t>
      </w:r>
      <w:r w:rsidRPr="00FE4CC2">
        <w:rPr>
          <w:rFonts w:eastAsia="ArialUnicodeMS"/>
          <w:i/>
          <w:szCs w:val="22"/>
          <w:lang w:val="es-CO"/>
        </w:rPr>
        <w:t xml:space="preserve"> </w:t>
      </w:r>
      <w:r w:rsidRPr="00FE4CC2">
        <w:rPr>
          <w:rFonts w:eastAsia="ArialUnicodeMS"/>
          <w:szCs w:val="22"/>
          <w:lang w:val="es-CO"/>
        </w:rPr>
        <w:t>Instituto de Pesquisa Econômica Aplicada (IPEA) no. 1912.</w:t>
      </w:r>
    </w:p>
    <w:p w14:paraId="3AD0926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Romero-Lankao, P., Gurney, K. R., Seto, K. C., Chester, M., Duren, R. M., Hughes, S., Hutyra, L. R., Marcotullio, P., Baker, L., Grimm, N. B., Kennedy, C., Larson, E., Pincetl, S., Runfola, D., Sanchez, L., Shrestha, G., Feddema, J., Sarzynski, A., Sperling, J., &amp; Stokes, E. (2014). A critical knowledge pathway to low-carbon, sustainable futures: Integrated understanding of urbanization, urban areas, and carbon. </w:t>
      </w:r>
      <w:r w:rsidRPr="00FE4CC2">
        <w:rPr>
          <w:rStyle w:val="referencia"/>
          <w:rFonts w:ascii="Calibri" w:hAnsi="Calibri"/>
          <w:i/>
          <w:szCs w:val="22"/>
        </w:rPr>
        <w:t>Earth’s Future</w:t>
      </w:r>
      <w:r w:rsidRPr="00FE4CC2">
        <w:rPr>
          <w:rStyle w:val="referencia"/>
          <w:rFonts w:ascii="Calibri" w:hAnsi="Calibri"/>
          <w:szCs w:val="22"/>
        </w:rPr>
        <w:t xml:space="preserve">, 2(10): 515-532. </w:t>
      </w:r>
      <w:r w:rsidRPr="00FE4CC2">
        <w:rPr>
          <w:rStyle w:val="referencia"/>
          <w:rFonts w:ascii="Calibri" w:hAnsi="Calibri"/>
          <w:szCs w:val="22"/>
          <w:lang w:val="en-GB"/>
        </w:rPr>
        <w:t>https://doi.org/</w:t>
      </w:r>
      <w:r w:rsidRPr="00FE4CC2">
        <w:rPr>
          <w:rStyle w:val="referencia"/>
          <w:rFonts w:ascii="Calibri" w:hAnsi="Calibri"/>
          <w:szCs w:val="22"/>
        </w:rPr>
        <w:t>10.1002/2014EF000258.</w:t>
      </w:r>
    </w:p>
    <w:p w14:paraId="6E8C9AC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Rosado, A. &amp; Craig, W. (2017). </w:t>
      </w:r>
      <w:r w:rsidRPr="00FE4CC2">
        <w:rPr>
          <w:szCs w:val="22"/>
        </w:rPr>
        <w:t xml:space="preserve">Biosafety regulatory systems overseeing the use of genetically modified organisms in the Latin America and Caribbean Region. </w:t>
      </w:r>
      <w:r w:rsidRPr="00FE4CC2">
        <w:rPr>
          <w:i/>
          <w:szCs w:val="22"/>
        </w:rPr>
        <w:t>AgBioForum</w:t>
      </w:r>
      <w:r w:rsidRPr="00FE4CC2">
        <w:rPr>
          <w:szCs w:val="22"/>
        </w:rPr>
        <w:t>, 20, 120-132.</w:t>
      </w:r>
    </w:p>
    <w:p w14:paraId="231ADB0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Rudorff, B. F. T., Adami, M., Aguiar, D. A., Moreira, M. A., Mello, M. P., Fabiani, L., Amaral, D. F., &amp; Pires, B. M. (2011). </w:t>
      </w:r>
      <w:r w:rsidRPr="00FE4CC2">
        <w:rPr>
          <w:rStyle w:val="referencia"/>
          <w:rFonts w:ascii="Calibri" w:hAnsi="Calibri"/>
          <w:szCs w:val="22"/>
        </w:rPr>
        <w:t xml:space="preserve">The Soy Moratorium in the Amazon Biome monitored by remote sensing images. </w:t>
      </w:r>
      <w:r w:rsidRPr="00FE4CC2">
        <w:rPr>
          <w:rStyle w:val="referencia"/>
          <w:rFonts w:ascii="Calibri" w:hAnsi="Calibri"/>
          <w:i/>
          <w:szCs w:val="22"/>
        </w:rPr>
        <w:t>Remote Sensing</w:t>
      </w:r>
      <w:r w:rsidRPr="00FE4CC2">
        <w:rPr>
          <w:rStyle w:val="referencia"/>
          <w:rFonts w:ascii="Calibri" w:hAnsi="Calibri"/>
          <w:szCs w:val="22"/>
        </w:rPr>
        <w:t>, 3, 185-202.</w:t>
      </w:r>
    </w:p>
    <w:p w14:paraId="585246E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Rueda, X., &amp; Lambin, E. F. (2013). </w:t>
      </w:r>
      <w:r w:rsidRPr="00FE4CC2">
        <w:rPr>
          <w:rStyle w:val="referencia"/>
          <w:rFonts w:ascii="Calibri" w:hAnsi="Calibri"/>
          <w:szCs w:val="22"/>
        </w:rPr>
        <w:t xml:space="preserve">Responding to globalization: impacts of certification on Colombian small-scale coffee growers. </w:t>
      </w:r>
      <w:r w:rsidRPr="00FE4CC2">
        <w:rPr>
          <w:rStyle w:val="referencia"/>
          <w:rFonts w:ascii="Calibri" w:hAnsi="Calibri"/>
          <w:i/>
          <w:szCs w:val="22"/>
        </w:rPr>
        <w:t>Ecology and Society</w:t>
      </w:r>
      <w:r w:rsidRPr="00FE4CC2">
        <w:rPr>
          <w:rStyle w:val="referencia"/>
          <w:rFonts w:ascii="Calibri" w:hAnsi="Calibri"/>
          <w:szCs w:val="22"/>
        </w:rPr>
        <w:t xml:space="preserve">, 18(3), p. art21. </w:t>
      </w:r>
      <w:r w:rsidRPr="00FE4CC2">
        <w:rPr>
          <w:rStyle w:val="referencia"/>
          <w:rFonts w:ascii="Calibri" w:hAnsi="Calibri"/>
          <w:szCs w:val="22"/>
          <w:lang w:val="en-GB"/>
        </w:rPr>
        <w:t>https://doi.org/</w:t>
      </w:r>
      <w:r w:rsidRPr="00FE4CC2">
        <w:rPr>
          <w:rStyle w:val="referencia"/>
          <w:rFonts w:ascii="Calibri" w:hAnsi="Calibri"/>
          <w:szCs w:val="22"/>
        </w:rPr>
        <w:t>10.5751/ES-05595-180321.</w:t>
      </w:r>
    </w:p>
    <w:p w14:paraId="677618A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Sáenz, L., Mulligan, M., Arjona, F., &amp; Gutierrez, T. (2014). </w:t>
      </w:r>
      <w:r w:rsidRPr="00FE4CC2">
        <w:rPr>
          <w:rStyle w:val="referencia"/>
          <w:rFonts w:ascii="Calibri" w:hAnsi="Calibri"/>
          <w:szCs w:val="22"/>
        </w:rPr>
        <w:t xml:space="preserve">The role of cloud forest restoration on energy security. </w:t>
      </w:r>
      <w:r w:rsidRPr="00FE4CC2">
        <w:rPr>
          <w:rStyle w:val="referencia"/>
          <w:rFonts w:ascii="Calibri" w:hAnsi="Calibri"/>
          <w:i/>
          <w:szCs w:val="22"/>
        </w:rPr>
        <w:t>Ecosystem Services</w:t>
      </w:r>
      <w:r w:rsidRPr="00FE4CC2">
        <w:rPr>
          <w:rStyle w:val="referencia"/>
          <w:rFonts w:ascii="Calibri" w:hAnsi="Calibri"/>
          <w:szCs w:val="22"/>
        </w:rPr>
        <w:t>, 9, 180-190.</w:t>
      </w:r>
    </w:p>
    <w:p w14:paraId="389D971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Salas, S., Chuenpagdee, R., Seijo, J. C., &amp; Charles, A. (2007). </w:t>
      </w:r>
      <w:r w:rsidRPr="00FE4CC2">
        <w:rPr>
          <w:rStyle w:val="referencia"/>
          <w:rFonts w:ascii="Calibri" w:hAnsi="Calibri"/>
          <w:szCs w:val="22"/>
        </w:rPr>
        <w:t xml:space="preserve">Challenges in the assessment and management of small-scale fisheries in Latin America and the Caribbean. </w:t>
      </w:r>
      <w:r w:rsidRPr="00FE4CC2">
        <w:rPr>
          <w:rStyle w:val="referencia"/>
          <w:rFonts w:ascii="Calibri" w:hAnsi="Calibri"/>
          <w:i/>
          <w:szCs w:val="22"/>
        </w:rPr>
        <w:t>Fisheries Research</w:t>
      </w:r>
      <w:r w:rsidRPr="00FE4CC2">
        <w:rPr>
          <w:rStyle w:val="referencia"/>
          <w:rFonts w:ascii="Calibri" w:hAnsi="Calibri"/>
          <w:szCs w:val="22"/>
        </w:rPr>
        <w:t>, 87, 5-16.</w:t>
      </w:r>
    </w:p>
    <w:p w14:paraId="10BB0D7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Santangeli, A., Toivonen, T., Pouzols, F. M., Pogson, M., Hastings, A., Smith, P., &amp; Moilanen, A. (2016). Global change synergies and trade-offs between renewable energy and biodiversity. </w:t>
      </w:r>
      <w:r w:rsidRPr="00FE4CC2">
        <w:rPr>
          <w:rStyle w:val="referencia"/>
          <w:rFonts w:ascii="Calibri" w:hAnsi="Calibri"/>
          <w:i/>
          <w:szCs w:val="22"/>
        </w:rPr>
        <w:t>Global Change Biology Bioenergy</w:t>
      </w:r>
      <w:r w:rsidRPr="00FE4CC2">
        <w:rPr>
          <w:rStyle w:val="referencia"/>
          <w:rFonts w:ascii="Calibri" w:hAnsi="Calibri"/>
          <w:szCs w:val="22"/>
        </w:rPr>
        <w:t>, 8, 941-951.</w:t>
      </w:r>
    </w:p>
    <w:p w14:paraId="72FFCD6A"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Santini, L., Saura, S., &amp; Rondinini, C. (2016). </w:t>
      </w:r>
      <w:r w:rsidRPr="00FE4CC2">
        <w:rPr>
          <w:rStyle w:val="referencia"/>
          <w:rFonts w:ascii="Calibri" w:hAnsi="Calibri"/>
          <w:szCs w:val="22"/>
        </w:rPr>
        <w:t xml:space="preserve">Connectivity of the global network of protected areas. </w:t>
      </w:r>
      <w:r w:rsidRPr="00FE4CC2">
        <w:rPr>
          <w:rStyle w:val="referencia"/>
          <w:rFonts w:ascii="Calibri" w:hAnsi="Calibri"/>
          <w:i/>
          <w:szCs w:val="22"/>
        </w:rPr>
        <w:t>Diversity and Distributions</w:t>
      </w:r>
      <w:r w:rsidRPr="00FE4CC2">
        <w:rPr>
          <w:rStyle w:val="referencia"/>
          <w:rFonts w:ascii="Calibri" w:hAnsi="Calibri"/>
          <w:szCs w:val="22"/>
        </w:rPr>
        <w:t>, 22, 199–211.</w:t>
      </w:r>
    </w:p>
    <w:p w14:paraId="5A78572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Sarkki, S., Niemelä, J., Tinch, R., van den Hove, S., Watt, A., &amp; Young, J. (2014). Balancing credibility, relevance and legitimacy: A critical assessment of trade-offs in science–policy interfaces. </w:t>
      </w:r>
      <w:r w:rsidRPr="00FE4CC2">
        <w:rPr>
          <w:rStyle w:val="referencia"/>
          <w:rFonts w:ascii="Calibri" w:hAnsi="Calibri"/>
          <w:i/>
          <w:szCs w:val="22"/>
        </w:rPr>
        <w:t>Science and Public Policy</w:t>
      </w:r>
      <w:r w:rsidRPr="00FE4CC2">
        <w:rPr>
          <w:rStyle w:val="referencia"/>
          <w:rFonts w:ascii="Calibri" w:hAnsi="Calibri"/>
          <w:szCs w:val="22"/>
        </w:rPr>
        <w:t>, 41, 194-206.</w:t>
      </w:r>
    </w:p>
    <w:p w14:paraId="55B3CED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Sarkki, S., Tinch, R., Niemelä, J., Heink, U., Waylen, K., Timaeus, J., Young, J., Watt, A., Neßhöver, C., &amp; van den Hove, S. (2015). Adding ‘iterativity’ to the credibility, relevance, legitimacy: A novel scheme to highlight dynamic aspects of science–policy interfaces. </w:t>
      </w:r>
      <w:r w:rsidRPr="00FE4CC2">
        <w:rPr>
          <w:rStyle w:val="referencia"/>
          <w:rFonts w:ascii="Calibri" w:hAnsi="Calibri"/>
          <w:i/>
          <w:szCs w:val="22"/>
        </w:rPr>
        <w:t>Environmental Science and Policy</w:t>
      </w:r>
      <w:r w:rsidRPr="00FE4CC2">
        <w:rPr>
          <w:rStyle w:val="referencia"/>
          <w:rFonts w:ascii="Calibri" w:hAnsi="Calibri"/>
          <w:szCs w:val="22"/>
        </w:rPr>
        <w:t>, 54, 505-512.</w:t>
      </w:r>
    </w:p>
    <w:p w14:paraId="6E12712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Sattler, C., Schröter, B., Meyer, A., Giersch, G., Meyer, C., &amp; Matzdorf, B. (2016). Multilevel governance in community-based environmental management: a case study comparison from Latin America. </w:t>
      </w:r>
      <w:r w:rsidRPr="00FE4CC2">
        <w:rPr>
          <w:rStyle w:val="referencia"/>
          <w:rFonts w:ascii="Calibri" w:hAnsi="Calibri"/>
          <w:i/>
          <w:szCs w:val="22"/>
        </w:rPr>
        <w:t>Ecology and Society</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 xml:space="preserve">21(4), 24. </w:t>
      </w:r>
      <w:hyperlink r:id="rId1125" w:history="1">
        <w:r w:rsidRPr="00FE4CC2">
          <w:rPr>
            <w:rStyle w:val="Hyperlink"/>
            <w:szCs w:val="22"/>
          </w:rPr>
          <w:t>https://doi.org/10.5751/ES-08475-210424</w:t>
        </w:r>
      </w:hyperlink>
      <w:r w:rsidRPr="00FE4CC2">
        <w:rPr>
          <w:rStyle w:val="referencia"/>
          <w:rFonts w:ascii="Calibri" w:hAnsi="Calibri"/>
          <w:szCs w:val="22"/>
        </w:rPr>
        <w:t>.</w:t>
      </w:r>
    </w:p>
    <w:p w14:paraId="548CED9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Sayer, J., &amp; Campbell, B. (2004). </w:t>
      </w:r>
      <w:r w:rsidRPr="00FE4CC2">
        <w:rPr>
          <w:rStyle w:val="referencia"/>
          <w:rFonts w:ascii="Calibri" w:hAnsi="Calibri"/>
          <w:i/>
          <w:szCs w:val="22"/>
        </w:rPr>
        <w:t>The Science of Sustainable Development: Local livelihoods and the Global Environment</w:t>
      </w:r>
      <w:r w:rsidRPr="00FE4CC2">
        <w:rPr>
          <w:rStyle w:val="referencia"/>
          <w:rFonts w:ascii="Calibri" w:hAnsi="Calibri"/>
          <w:szCs w:val="22"/>
        </w:rPr>
        <w:t xml:space="preserve">. Cambridge: Cambridge University Press (pp. 290). </w:t>
      </w:r>
    </w:p>
    <w:p w14:paraId="3D82B74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Sayles, J. S., &amp; Baggio, J. A. (2017). Social–ecological network analysis of scale mismatches in estuary watershed restoration. </w:t>
      </w:r>
      <w:r w:rsidRPr="00FE4CC2">
        <w:rPr>
          <w:rStyle w:val="referencia"/>
          <w:rFonts w:ascii="Calibri" w:hAnsi="Calibri"/>
          <w:i/>
          <w:szCs w:val="22"/>
        </w:rPr>
        <w:t>Proceedings of the National Academy of Sciences</w:t>
      </w:r>
      <w:r w:rsidRPr="00FE4CC2">
        <w:rPr>
          <w:rStyle w:val="referencia"/>
          <w:rFonts w:ascii="Calibri" w:hAnsi="Calibri"/>
          <w:szCs w:val="22"/>
        </w:rPr>
        <w:t xml:space="preserve">, </w:t>
      </w:r>
      <w:r w:rsidRPr="00FE4CC2">
        <w:rPr>
          <w:color w:val="000000"/>
          <w:szCs w:val="22"/>
          <w:shd w:val="clear" w:color="auto" w:fill="FFFFFF"/>
        </w:rPr>
        <w:t>114(10), E1776-E1785.</w:t>
      </w:r>
      <w:r w:rsidRPr="00FE4CC2">
        <w:rPr>
          <w:rStyle w:val="referencia"/>
          <w:rFonts w:ascii="Calibri" w:hAnsi="Calibri"/>
          <w:szCs w:val="22"/>
        </w:rPr>
        <w:t xml:space="preserve"> https://doi.org/10.1073/pnas.1604405114.  </w:t>
      </w:r>
    </w:p>
    <w:p w14:paraId="5ABD21D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Scarano, F. R. (2014). Plant conservation in Brazil: one hundred years in five.</w:t>
      </w:r>
      <w:r w:rsidRPr="00FE4CC2">
        <w:rPr>
          <w:rStyle w:val="referencia"/>
          <w:rFonts w:ascii="Calibri" w:hAnsi="Calibri"/>
          <w:i/>
          <w:szCs w:val="22"/>
        </w:rPr>
        <w:t xml:space="preserve"> Natureza e Conservação</w:t>
      </w:r>
      <w:r w:rsidRPr="00FE4CC2">
        <w:rPr>
          <w:rStyle w:val="referencia"/>
          <w:rFonts w:ascii="Calibri" w:hAnsi="Calibri"/>
          <w:szCs w:val="22"/>
        </w:rPr>
        <w:t>, 12(1), 90-91.</w:t>
      </w:r>
    </w:p>
    <w:p w14:paraId="24C7034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Scarano, F. R. (2017). Ecosystem-based adaptation to climate change: concept, scalability and a role for conservation science</w:t>
      </w:r>
      <w:r w:rsidRPr="00FE4CC2">
        <w:rPr>
          <w:rStyle w:val="referencia"/>
          <w:rFonts w:ascii="Calibri" w:hAnsi="Calibri"/>
          <w:i/>
          <w:szCs w:val="22"/>
        </w:rPr>
        <w:t>. Perspectives in Ecology and Conservation</w:t>
      </w:r>
      <w:r w:rsidRPr="00FE4CC2">
        <w:rPr>
          <w:rStyle w:val="referencia"/>
          <w:rFonts w:ascii="Calibri" w:hAnsi="Calibri"/>
          <w:szCs w:val="22"/>
        </w:rPr>
        <w:t>, 15, 65-73.</w:t>
      </w:r>
    </w:p>
    <w:p w14:paraId="01D6798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Scarano, F. R., &amp; Martinelli, G. (2010). </w:t>
      </w:r>
      <w:r w:rsidRPr="00FE4CC2">
        <w:rPr>
          <w:rStyle w:val="referencia"/>
          <w:rFonts w:ascii="Calibri" w:hAnsi="Calibri"/>
          <w:szCs w:val="22"/>
        </w:rPr>
        <w:t xml:space="preserve">Brazilian list of threatened plant species: reconciling scientific uncertainty and political decision-making. </w:t>
      </w:r>
      <w:r w:rsidRPr="00FE4CC2">
        <w:rPr>
          <w:rStyle w:val="referencia"/>
          <w:rFonts w:ascii="Calibri" w:hAnsi="Calibri"/>
          <w:i/>
          <w:szCs w:val="22"/>
        </w:rPr>
        <w:t>Natureza e Conservação</w:t>
      </w:r>
      <w:r w:rsidRPr="00FE4CC2">
        <w:rPr>
          <w:rStyle w:val="referencia"/>
          <w:rFonts w:ascii="Calibri" w:hAnsi="Calibri"/>
          <w:szCs w:val="22"/>
        </w:rPr>
        <w:t xml:space="preserve">, 8(1), 13-18.  </w:t>
      </w:r>
    </w:p>
    <w:p w14:paraId="1C01716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Scarlett, L., &amp; McKinney, M. (2016). Connecting people and places: the emerging role of network governance in large landscape conservation. </w:t>
      </w:r>
      <w:r w:rsidRPr="00FE4CC2">
        <w:rPr>
          <w:rStyle w:val="referencia"/>
          <w:rFonts w:ascii="Calibri" w:hAnsi="Calibri"/>
          <w:i/>
          <w:szCs w:val="22"/>
        </w:rPr>
        <w:t xml:space="preserve">Frontiers in Ecology and the Environment, </w:t>
      </w:r>
      <w:r w:rsidRPr="00FE4CC2">
        <w:rPr>
          <w:rStyle w:val="referencia"/>
          <w:rFonts w:ascii="Calibri" w:hAnsi="Calibri"/>
          <w:szCs w:val="22"/>
        </w:rPr>
        <w:t xml:space="preserve">14(3), 116-125. </w:t>
      </w:r>
    </w:p>
    <w:p w14:paraId="7E69820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Schack, E., Beck, M., Brumbaugh, R., Crisley, K., &amp; Hancock, B. (2012). </w:t>
      </w:r>
      <w:r w:rsidRPr="00FE4CC2">
        <w:rPr>
          <w:rStyle w:val="referencia"/>
          <w:rFonts w:ascii="Calibri" w:hAnsi="Calibri"/>
          <w:i/>
          <w:szCs w:val="22"/>
        </w:rPr>
        <w:t>Restoration Works: Highlights from a Decade of Partnership Between The Nature Conservancy and the National Oceanic and Atmospheric Administration’s Restoration Center</w:t>
      </w:r>
      <w:r w:rsidRPr="00FE4CC2">
        <w:rPr>
          <w:rStyle w:val="referencia"/>
          <w:rFonts w:ascii="Calibri" w:hAnsi="Calibri"/>
          <w:szCs w:val="22"/>
        </w:rPr>
        <w:t>. Arlington, USA:</w:t>
      </w:r>
      <w:r w:rsidRPr="00FE4CC2">
        <w:rPr>
          <w:rStyle w:val="referencia"/>
          <w:rFonts w:ascii="Calibri" w:hAnsi="Calibri"/>
          <w:i/>
          <w:szCs w:val="22"/>
        </w:rPr>
        <w:t xml:space="preserve"> </w:t>
      </w:r>
      <w:r w:rsidRPr="00FE4CC2">
        <w:rPr>
          <w:rStyle w:val="referencia"/>
          <w:rFonts w:ascii="Calibri" w:hAnsi="Calibri"/>
          <w:szCs w:val="22"/>
        </w:rPr>
        <w:t>The Nature Conservancy.</w:t>
      </w:r>
    </w:p>
    <w:p w14:paraId="30AEE538" w14:textId="77777777" w:rsidR="006969D3" w:rsidRPr="00FE4CC2" w:rsidRDefault="006969D3" w:rsidP="006969D3">
      <w:pPr>
        <w:ind w:left="851" w:hanging="851"/>
        <w:contextualSpacing/>
        <w:rPr>
          <w:rStyle w:val="referencia"/>
          <w:rFonts w:ascii="Calibri" w:hAnsi="Calibri"/>
          <w:szCs w:val="22"/>
        </w:rPr>
      </w:pPr>
      <w:r w:rsidRPr="00FE4CC2">
        <w:rPr>
          <w:szCs w:val="22"/>
        </w:rPr>
        <w:t xml:space="preserve">Schaefer, M., Goldman, E., Bartuska, A. M., Sutton-Grier, A., &amp; Lubchenco, J. (2015). Nature as capital: Advancing and incorporating ecosystem services in United States federal policies and programs. </w:t>
      </w:r>
      <w:r w:rsidRPr="00FE4CC2">
        <w:rPr>
          <w:i/>
          <w:szCs w:val="22"/>
        </w:rPr>
        <w:t>Proceedings of the National Academy of Sciences</w:t>
      </w:r>
      <w:r w:rsidRPr="00FE4CC2">
        <w:rPr>
          <w:szCs w:val="22"/>
        </w:rPr>
        <w:t>, 112,</w:t>
      </w:r>
      <w:r w:rsidRPr="00FE4CC2">
        <w:rPr>
          <w:rStyle w:val="referencia"/>
          <w:rFonts w:ascii="Calibri" w:hAnsi="Calibri"/>
          <w:szCs w:val="22"/>
        </w:rPr>
        <w:t xml:space="preserve"> </w:t>
      </w:r>
      <w:r w:rsidRPr="00FE4CC2">
        <w:rPr>
          <w:szCs w:val="22"/>
        </w:rPr>
        <w:t xml:space="preserve">7383-7389.  </w:t>
      </w:r>
    </w:p>
    <w:p w14:paraId="409C6DA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Schafer, A. G., &amp; Reis, E. G. (2008): Artisanal fishing areas and traditional ecological knowledge: the case study of the artisanal fisheries of the Patos Lagoon estuary (Brazil). </w:t>
      </w:r>
      <w:r w:rsidRPr="00FE4CC2">
        <w:rPr>
          <w:rStyle w:val="referencia"/>
          <w:rFonts w:ascii="Calibri" w:hAnsi="Calibri"/>
          <w:i/>
          <w:szCs w:val="22"/>
        </w:rPr>
        <w:t>Marine Policy</w:t>
      </w:r>
      <w:r w:rsidRPr="00FE4CC2">
        <w:rPr>
          <w:rStyle w:val="referencia"/>
          <w:rFonts w:ascii="Calibri" w:hAnsi="Calibri"/>
          <w:szCs w:val="22"/>
        </w:rPr>
        <w:t xml:space="preserve">, 32, 283-292. </w:t>
      </w:r>
    </w:p>
    <w:p w14:paraId="4C28B255" w14:textId="77777777" w:rsidR="006969D3" w:rsidRPr="00FE4CC2" w:rsidRDefault="006969D3" w:rsidP="006969D3">
      <w:pPr>
        <w:shd w:val="clear" w:color="auto" w:fill="FFFFFF"/>
        <w:ind w:left="851" w:hanging="851"/>
        <w:rPr>
          <w:rStyle w:val="referencia"/>
          <w:rFonts w:ascii="Calibri" w:hAnsi="Calibri"/>
          <w:szCs w:val="22"/>
        </w:rPr>
      </w:pPr>
      <w:r w:rsidRPr="00FE4CC2">
        <w:rPr>
          <w:rStyle w:val="referencia"/>
          <w:rFonts w:ascii="Calibri" w:hAnsi="Calibri"/>
          <w:szCs w:val="22"/>
        </w:rPr>
        <w:t xml:space="preserve">Schipper, J., Chanson, J. S., Chiozza F., </w:t>
      </w:r>
      <w:r w:rsidRPr="00FE4CC2">
        <w:rPr>
          <w:rStyle w:val="name"/>
          <w:bCs/>
          <w:szCs w:val="22"/>
        </w:rPr>
        <w:t>Cox, N. A., Hoffmann, M.</w:t>
      </w:r>
      <w:r w:rsidRPr="00FE4CC2">
        <w:rPr>
          <w:bCs/>
          <w:szCs w:val="22"/>
        </w:rPr>
        <w:t>, </w:t>
      </w:r>
      <w:r w:rsidRPr="00FE4CC2">
        <w:rPr>
          <w:rStyle w:val="name"/>
          <w:bCs/>
          <w:szCs w:val="22"/>
        </w:rPr>
        <w:t>Katariya</w:t>
      </w:r>
      <w:r w:rsidRPr="00FE4CC2">
        <w:rPr>
          <w:bCs/>
          <w:szCs w:val="22"/>
        </w:rPr>
        <w:t>, V., L</w:t>
      </w:r>
      <w:r w:rsidRPr="00FE4CC2">
        <w:rPr>
          <w:rStyle w:val="name"/>
          <w:bCs/>
          <w:szCs w:val="22"/>
        </w:rPr>
        <w:t>amoreux</w:t>
      </w:r>
      <w:r w:rsidRPr="00FE4CC2">
        <w:rPr>
          <w:bCs/>
          <w:szCs w:val="22"/>
        </w:rPr>
        <w:t xml:space="preserve">, J., </w:t>
      </w:r>
      <w:r w:rsidRPr="00FE4CC2">
        <w:rPr>
          <w:rStyle w:val="name"/>
          <w:bCs/>
          <w:szCs w:val="22"/>
        </w:rPr>
        <w:t>Rodrigues, A. S. L.</w:t>
      </w:r>
      <w:r w:rsidRPr="00FE4CC2">
        <w:rPr>
          <w:bCs/>
          <w:szCs w:val="22"/>
        </w:rPr>
        <w:t xml:space="preserve">, </w:t>
      </w:r>
      <w:r w:rsidRPr="00FE4CC2">
        <w:rPr>
          <w:rStyle w:val="name"/>
          <w:bCs/>
          <w:szCs w:val="22"/>
        </w:rPr>
        <w:t>Stuart</w:t>
      </w:r>
      <w:r w:rsidRPr="00FE4CC2">
        <w:rPr>
          <w:bCs/>
          <w:szCs w:val="22"/>
        </w:rPr>
        <w:t>, </w:t>
      </w:r>
      <w:r w:rsidRPr="00FE4CC2">
        <w:rPr>
          <w:rStyle w:val="name"/>
          <w:bCs/>
          <w:szCs w:val="22"/>
        </w:rPr>
        <w:t>S. N., Temple</w:t>
      </w:r>
      <w:r w:rsidRPr="00FE4CC2">
        <w:rPr>
          <w:bCs/>
          <w:szCs w:val="22"/>
        </w:rPr>
        <w:t>, </w:t>
      </w:r>
      <w:r w:rsidRPr="00FE4CC2">
        <w:rPr>
          <w:rStyle w:val="name"/>
          <w:bCs/>
          <w:szCs w:val="22"/>
        </w:rPr>
        <w:t>H. J., Baillie</w:t>
      </w:r>
      <w:r w:rsidRPr="00FE4CC2">
        <w:rPr>
          <w:bCs/>
          <w:szCs w:val="22"/>
        </w:rPr>
        <w:t>, </w:t>
      </w:r>
      <w:r w:rsidRPr="00FE4CC2">
        <w:rPr>
          <w:rStyle w:val="name"/>
          <w:bCs/>
          <w:szCs w:val="22"/>
        </w:rPr>
        <w:t>J., Boitani</w:t>
      </w:r>
      <w:r w:rsidRPr="00FE4CC2">
        <w:rPr>
          <w:bCs/>
          <w:szCs w:val="22"/>
        </w:rPr>
        <w:t>, </w:t>
      </w:r>
      <w:r w:rsidRPr="00FE4CC2">
        <w:rPr>
          <w:rStyle w:val="name"/>
          <w:bCs/>
          <w:szCs w:val="22"/>
        </w:rPr>
        <w:t>L., Lacher Jr.</w:t>
      </w:r>
      <w:r w:rsidRPr="00FE4CC2">
        <w:rPr>
          <w:bCs/>
          <w:szCs w:val="22"/>
        </w:rPr>
        <w:t>, </w:t>
      </w:r>
      <w:r w:rsidRPr="00FE4CC2">
        <w:rPr>
          <w:rStyle w:val="name"/>
          <w:bCs/>
          <w:szCs w:val="22"/>
        </w:rPr>
        <w:t>T. E., Mittermeier</w:t>
      </w:r>
      <w:r w:rsidRPr="00FE4CC2">
        <w:rPr>
          <w:bCs/>
          <w:szCs w:val="22"/>
        </w:rPr>
        <w:t>, </w:t>
      </w:r>
      <w:r w:rsidRPr="00FE4CC2">
        <w:rPr>
          <w:rStyle w:val="name"/>
          <w:bCs/>
          <w:szCs w:val="22"/>
        </w:rPr>
        <w:t>R. A., Smith</w:t>
      </w:r>
      <w:r w:rsidRPr="00FE4CC2">
        <w:rPr>
          <w:bCs/>
          <w:szCs w:val="22"/>
        </w:rPr>
        <w:t>, </w:t>
      </w:r>
      <w:r w:rsidRPr="00FE4CC2">
        <w:rPr>
          <w:rStyle w:val="name"/>
          <w:bCs/>
          <w:szCs w:val="22"/>
        </w:rPr>
        <w:t>A. T., Absolon</w:t>
      </w:r>
      <w:r w:rsidRPr="00FE4CC2">
        <w:rPr>
          <w:bCs/>
          <w:szCs w:val="22"/>
        </w:rPr>
        <w:t>, </w:t>
      </w:r>
      <w:r w:rsidRPr="00FE4CC2">
        <w:rPr>
          <w:rStyle w:val="name"/>
          <w:bCs/>
          <w:szCs w:val="22"/>
        </w:rPr>
        <w:t>D., Aguiar</w:t>
      </w:r>
      <w:r w:rsidRPr="00FE4CC2">
        <w:rPr>
          <w:bCs/>
          <w:szCs w:val="22"/>
        </w:rPr>
        <w:t>, </w:t>
      </w:r>
      <w:r w:rsidRPr="00FE4CC2">
        <w:rPr>
          <w:rStyle w:val="name"/>
          <w:bCs/>
          <w:szCs w:val="22"/>
        </w:rPr>
        <w:t>J. M., Amori</w:t>
      </w:r>
      <w:r w:rsidRPr="00FE4CC2">
        <w:rPr>
          <w:bCs/>
          <w:szCs w:val="22"/>
        </w:rPr>
        <w:t>, </w:t>
      </w:r>
      <w:r w:rsidRPr="00FE4CC2">
        <w:rPr>
          <w:rStyle w:val="name"/>
          <w:bCs/>
          <w:szCs w:val="22"/>
        </w:rPr>
        <w:t>G., Bakkour</w:t>
      </w:r>
      <w:r w:rsidRPr="00FE4CC2">
        <w:rPr>
          <w:bCs/>
          <w:szCs w:val="22"/>
        </w:rPr>
        <w:t>, </w:t>
      </w:r>
      <w:r w:rsidRPr="00FE4CC2">
        <w:rPr>
          <w:rStyle w:val="name"/>
          <w:bCs/>
          <w:szCs w:val="22"/>
        </w:rPr>
        <w:t>N., Baldi</w:t>
      </w:r>
      <w:r w:rsidRPr="00FE4CC2">
        <w:rPr>
          <w:bCs/>
          <w:szCs w:val="22"/>
        </w:rPr>
        <w:t>, </w:t>
      </w:r>
      <w:r w:rsidRPr="00FE4CC2">
        <w:rPr>
          <w:rStyle w:val="name"/>
          <w:bCs/>
          <w:szCs w:val="22"/>
        </w:rPr>
        <w:t>R., Berridge</w:t>
      </w:r>
      <w:r w:rsidRPr="00FE4CC2">
        <w:rPr>
          <w:bCs/>
          <w:szCs w:val="22"/>
        </w:rPr>
        <w:t>, </w:t>
      </w:r>
      <w:r w:rsidRPr="00FE4CC2">
        <w:rPr>
          <w:rStyle w:val="name"/>
          <w:bCs/>
          <w:szCs w:val="22"/>
        </w:rPr>
        <w:t>R. J., Bielby</w:t>
      </w:r>
      <w:r w:rsidRPr="00FE4CC2">
        <w:rPr>
          <w:bCs/>
          <w:szCs w:val="22"/>
        </w:rPr>
        <w:t>, </w:t>
      </w:r>
      <w:r w:rsidRPr="00FE4CC2">
        <w:rPr>
          <w:rStyle w:val="name"/>
          <w:bCs/>
          <w:szCs w:val="22"/>
        </w:rPr>
        <w:t>J., Black</w:t>
      </w:r>
      <w:hyperlink r:id="rId1126" w:anchor="aff-17" w:history="1"/>
      <w:r w:rsidRPr="00FE4CC2">
        <w:rPr>
          <w:bCs/>
          <w:szCs w:val="22"/>
        </w:rPr>
        <w:t>, </w:t>
      </w:r>
      <w:r w:rsidRPr="00FE4CC2">
        <w:rPr>
          <w:rStyle w:val="name"/>
          <w:bCs/>
          <w:szCs w:val="22"/>
        </w:rPr>
        <w:t>P. A., Blanc</w:t>
      </w:r>
      <w:r w:rsidRPr="00FE4CC2">
        <w:rPr>
          <w:bCs/>
          <w:szCs w:val="22"/>
        </w:rPr>
        <w:t>, </w:t>
      </w:r>
      <w:r w:rsidRPr="00FE4CC2">
        <w:rPr>
          <w:rStyle w:val="name"/>
          <w:bCs/>
          <w:szCs w:val="22"/>
        </w:rPr>
        <w:t>J. J., Brooks</w:t>
      </w:r>
      <w:r w:rsidRPr="00FE4CC2">
        <w:rPr>
          <w:bCs/>
          <w:szCs w:val="22"/>
        </w:rPr>
        <w:t>, </w:t>
      </w:r>
      <w:r w:rsidRPr="00FE4CC2">
        <w:rPr>
          <w:rStyle w:val="name"/>
          <w:bCs/>
          <w:szCs w:val="22"/>
        </w:rPr>
        <w:t>T. M., Burton</w:t>
      </w:r>
      <w:r w:rsidRPr="00FE4CC2">
        <w:rPr>
          <w:bCs/>
          <w:szCs w:val="22"/>
        </w:rPr>
        <w:t>, </w:t>
      </w:r>
      <w:r w:rsidRPr="00FE4CC2">
        <w:rPr>
          <w:rStyle w:val="name"/>
          <w:bCs/>
          <w:szCs w:val="22"/>
        </w:rPr>
        <w:t>J. A. Butynski</w:t>
      </w:r>
      <w:r w:rsidRPr="00FE4CC2">
        <w:rPr>
          <w:bCs/>
          <w:szCs w:val="22"/>
        </w:rPr>
        <w:t>, </w:t>
      </w:r>
      <w:r w:rsidRPr="00FE4CC2">
        <w:rPr>
          <w:rStyle w:val="name"/>
          <w:bCs/>
          <w:szCs w:val="22"/>
        </w:rPr>
        <w:t xml:space="preserve"> T. M. Catullo</w:t>
      </w:r>
      <w:r w:rsidRPr="00FE4CC2">
        <w:rPr>
          <w:bCs/>
          <w:szCs w:val="22"/>
        </w:rPr>
        <w:t>, </w:t>
      </w:r>
      <w:r w:rsidRPr="00FE4CC2">
        <w:rPr>
          <w:rStyle w:val="name"/>
          <w:bCs/>
          <w:szCs w:val="22"/>
        </w:rPr>
        <w:t>G., Chapman</w:t>
      </w:r>
      <w:r w:rsidRPr="00FE4CC2">
        <w:rPr>
          <w:bCs/>
          <w:szCs w:val="22"/>
        </w:rPr>
        <w:t>, </w:t>
      </w:r>
      <w:r w:rsidRPr="00FE4CC2">
        <w:rPr>
          <w:rStyle w:val="name"/>
          <w:bCs/>
          <w:szCs w:val="22"/>
        </w:rPr>
        <w:t>R., Cokeliss</w:t>
      </w:r>
      <w:r w:rsidRPr="00FE4CC2">
        <w:rPr>
          <w:bCs/>
          <w:szCs w:val="22"/>
        </w:rPr>
        <w:t>, </w:t>
      </w:r>
      <w:r w:rsidRPr="00FE4CC2">
        <w:rPr>
          <w:rStyle w:val="name"/>
          <w:bCs/>
          <w:szCs w:val="22"/>
        </w:rPr>
        <w:t>Z., Collen</w:t>
      </w:r>
      <w:r w:rsidRPr="00FE4CC2">
        <w:rPr>
          <w:bCs/>
          <w:szCs w:val="22"/>
        </w:rPr>
        <w:t>, </w:t>
      </w:r>
      <w:r w:rsidRPr="00FE4CC2">
        <w:rPr>
          <w:rStyle w:val="name"/>
          <w:bCs/>
          <w:szCs w:val="22"/>
        </w:rPr>
        <w:t>B., Conroy</w:t>
      </w:r>
      <w:hyperlink r:id="rId1127" w:anchor="aff-27" w:history="1"/>
      <w:r w:rsidRPr="00FE4CC2">
        <w:rPr>
          <w:bCs/>
          <w:szCs w:val="22"/>
        </w:rPr>
        <w:t>, </w:t>
      </w:r>
      <w:r w:rsidRPr="00FE4CC2">
        <w:rPr>
          <w:rStyle w:val="name"/>
          <w:bCs/>
          <w:szCs w:val="22"/>
        </w:rPr>
        <w:t>J., Cooke</w:t>
      </w:r>
      <w:hyperlink r:id="rId1128" w:anchor="aff-28" w:history="1"/>
      <w:r w:rsidRPr="00FE4CC2">
        <w:rPr>
          <w:bCs/>
          <w:szCs w:val="22"/>
        </w:rPr>
        <w:t>, </w:t>
      </w:r>
      <w:r w:rsidRPr="00FE4CC2">
        <w:rPr>
          <w:rStyle w:val="name"/>
          <w:bCs/>
          <w:szCs w:val="22"/>
        </w:rPr>
        <w:t xml:space="preserve">J. G., </w:t>
      </w:r>
      <w:r w:rsidRPr="00FE4CC2">
        <w:rPr>
          <w:rStyle w:val="name"/>
          <w:bCs/>
          <w:szCs w:val="22"/>
          <w:lang w:val="en-GB"/>
        </w:rPr>
        <w:t>da Fonseca</w:t>
      </w:r>
      <w:r w:rsidRPr="00FE4CC2">
        <w:rPr>
          <w:bCs/>
          <w:szCs w:val="22"/>
          <w:lang w:val="en-GB"/>
        </w:rPr>
        <w:t>, </w:t>
      </w:r>
      <w:r w:rsidRPr="00FE4CC2">
        <w:rPr>
          <w:rStyle w:val="name"/>
          <w:bCs/>
          <w:szCs w:val="22"/>
          <w:lang w:val="en-GB"/>
        </w:rPr>
        <w:t>G. A. B., Derocher</w:t>
      </w:r>
      <w:hyperlink r:id="rId1129" w:anchor="aff-31" w:history="1"/>
      <w:r w:rsidRPr="00FE4CC2">
        <w:rPr>
          <w:bCs/>
          <w:szCs w:val="22"/>
          <w:lang w:val="en-GB"/>
        </w:rPr>
        <w:t>, </w:t>
      </w:r>
      <w:r w:rsidRPr="00FE4CC2">
        <w:rPr>
          <w:rStyle w:val="name"/>
          <w:bCs/>
          <w:szCs w:val="22"/>
          <w:lang w:val="en-GB"/>
        </w:rPr>
        <w:t>A. E., Dublin</w:t>
      </w:r>
      <w:r w:rsidRPr="00FE4CC2">
        <w:rPr>
          <w:bCs/>
          <w:szCs w:val="22"/>
          <w:lang w:val="en-GB"/>
        </w:rPr>
        <w:t>, </w:t>
      </w:r>
      <w:r w:rsidRPr="00FE4CC2">
        <w:rPr>
          <w:rStyle w:val="name"/>
          <w:bCs/>
          <w:szCs w:val="22"/>
          <w:lang w:val="en-GB"/>
        </w:rPr>
        <w:t xml:space="preserve">H. T., </w:t>
      </w:r>
      <w:r w:rsidRPr="00FE4CC2">
        <w:rPr>
          <w:rStyle w:val="name"/>
          <w:bCs/>
          <w:szCs w:val="22"/>
        </w:rPr>
        <w:t>Duckworth</w:t>
      </w:r>
      <w:r w:rsidRPr="00FE4CC2">
        <w:rPr>
          <w:bCs/>
          <w:szCs w:val="22"/>
        </w:rPr>
        <w:t>, </w:t>
      </w:r>
      <w:r w:rsidRPr="00FE4CC2">
        <w:rPr>
          <w:rStyle w:val="name"/>
          <w:bCs/>
          <w:szCs w:val="22"/>
        </w:rPr>
        <w:t>J. W., Emmons</w:t>
      </w:r>
      <w:r w:rsidRPr="00FE4CC2">
        <w:rPr>
          <w:bCs/>
          <w:szCs w:val="22"/>
        </w:rPr>
        <w:t>, </w:t>
      </w:r>
      <w:r w:rsidRPr="00FE4CC2">
        <w:rPr>
          <w:rStyle w:val="name"/>
          <w:bCs/>
          <w:szCs w:val="22"/>
        </w:rPr>
        <w:t>L., Emslie</w:t>
      </w:r>
      <w:r w:rsidRPr="00FE4CC2">
        <w:rPr>
          <w:bCs/>
          <w:szCs w:val="22"/>
        </w:rPr>
        <w:t>, </w:t>
      </w:r>
      <w:r w:rsidRPr="00FE4CC2">
        <w:rPr>
          <w:rStyle w:val="name"/>
          <w:bCs/>
          <w:szCs w:val="22"/>
        </w:rPr>
        <w:t>R. H., Festa-Bianchet</w:t>
      </w:r>
      <w:r w:rsidRPr="00FE4CC2">
        <w:rPr>
          <w:bCs/>
          <w:szCs w:val="22"/>
        </w:rPr>
        <w:t>, </w:t>
      </w:r>
      <w:r w:rsidRPr="00FE4CC2">
        <w:rPr>
          <w:rStyle w:val="name"/>
          <w:bCs/>
          <w:szCs w:val="22"/>
        </w:rPr>
        <w:t>M., Foster</w:t>
      </w:r>
      <w:r w:rsidRPr="00FE4CC2">
        <w:rPr>
          <w:bCs/>
          <w:szCs w:val="22"/>
        </w:rPr>
        <w:t>, </w:t>
      </w:r>
      <w:r w:rsidRPr="00FE4CC2">
        <w:rPr>
          <w:rStyle w:val="name"/>
          <w:bCs/>
          <w:szCs w:val="22"/>
        </w:rPr>
        <w:t>M., Foster</w:t>
      </w:r>
      <w:r w:rsidRPr="00FE4CC2">
        <w:rPr>
          <w:bCs/>
          <w:szCs w:val="22"/>
        </w:rPr>
        <w:t>, </w:t>
      </w:r>
      <w:r w:rsidRPr="00FE4CC2">
        <w:rPr>
          <w:rStyle w:val="name"/>
          <w:bCs/>
          <w:szCs w:val="22"/>
        </w:rPr>
        <w:t>S., Garshelis</w:t>
      </w:r>
      <w:r w:rsidRPr="00FE4CC2">
        <w:rPr>
          <w:bCs/>
          <w:szCs w:val="22"/>
        </w:rPr>
        <w:t>, </w:t>
      </w:r>
      <w:r w:rsidRPr="00FE4CC2">
        <w:rPr>
          <w:rStyle w:val="name"/>
          <w:bCs/>
          <w:szCs w:val="22"/>
        </w:rPr>
        <w:t>D. L., Gates</w:t>
      </w:r>
      <w:r w:rsidRPr="00FE4CC2">
        <w:rPr>
          <w:bCs/>
          <w:szCs w:val="22"/>
        </w:rPr>
        <w:t>, </w:t>
      </w:r>
      <w:r w:rsidRPr="00FE4CC2">
        <w:rPr>
          <w:rStyle w:val="name"/>
          <w:bCs/>
          <w:szCs w:val="22"/>
        </w:rPr>
        <w:t>C., Gimenez-Dixon</w:t>
      </w:r>
      <w:r w:rsidRPr="00FE4CC2">
        <w:rPr>
          <w:bCs/>
          <w:szCs w:val="22"/>
        </w:rPr>
        <w:t>, </w:t>
      </w:r>
      <w:r w:rsidRPr="00FE4CC2">
        <w:rPr>
          <w:rStyle w:val="name"/>
          <w:bCs/>
          <w:szCs w:val="22"/>
        </w:rPr>
        <w:t>M., Gonzalez</w:t>
      </w:r>
      <w:r w:rsidRPr="00FE4CC2">
        <w:rPr>
          <w:bCs/>
          <w:szCs w:val="22"/>
        </w:rPr>
        <w:t>, </w:t>
      </w:r>
      <w:r w:rsidRPr="00FE4CC2">
        <w:rPr>
          <w:rStyle w:val="name"/>
          <w:bCs/>
          <w:szCs w:val="22"/>
        </w:rPr>
        <w:t>S., Gonzalez-Maya</w:t>
      </w:r>
      <w:r w:rsidRPr="00FE4CC2">
        <w:rPr>
          <w:bCs/>
          <w:szCs w:val="22"/>
        </w:rPr>
        <w:t>, </w:t>
      </w:r>
      <w:r w:rsidRPr="00FE4CC2">
        <w:rPr>
          <w:rStyle w:val="name"/>
          <w:bCs/>
          <w:szCs w:val="22"/>
        </w:rPr>
        <w:t>J. F., Good</w:t>
      </w:r>
      <w:r w:rsidRPr="00FE4CC2">
        <w:rPr>
          <w:bCs/>
          <w:szCs w:val="22"/>
        </w:rPr>
        <w:t>, </w:t>
      </w:r>
      <w:r w:rsidRPr="00FE4CC2">
        <w:rPr>
          <w:rStyle w:val="name"/>
          <w:bCs/>
          <w:szCs w:val="22"/>
        </w:rPr>
        <w:t>T. C., Hammerson, G.</w:t>
      </w:r>
      <w:r w:rsidRPr="00FE4CC2">
        <w:rPr>
          <w:bCs/>
          <w:szCs w:val="22"/>
        </w:rPr>
        <w:t>, </w:t>
      </w:r>
      <w:r w:rsidRPr="00FE4CC2">
        <w:rPr>
          <w:rStyle w:val="name"/>
          <w:bCs/>
          <w:szCs w:val="22"/>
        </w:rPr>
        <w:t>Hammond</w:t>
      </w:r>
      <w:r w:rsidRPr="00FE4CC2">
        <w:rPr>
          <w:bCs/>
          <w:szCs w:val="22"/>
        </w:rPr>
        <w:t>, </w:t>
      </w:r>
      <w:r w:rsidRPr="00FE4CC2">
        <w:rPr>
          <w:rStyle w:val="name"/>
          <w:bCs/>
          <w:szCs w:val="22"/>
        </w:rPr>
        <w:t>P. S., Happold</w:t>
      </w:r>
      <w:r w:rsidRPr="00FE4CC2">
        <w:rPr>
          <w:bCs/>
          <w:szCs w:val="22"/>
        </w:rPr>
        <w:t>, </w:t>
      </w:r>
      <w:r w:rsidRPr="00FE4CC2">
        <w:rPr>
          <w:rStyle w:val="name"/>
          <w:bCs/>
          <w:szCs w:val="22"/>
        </w:rPr>
        <w:t>D., Happold</w:t>
      </w:r>
      <w:r w:rsidRPr="00FE4CC2">
        <w:rPr>
          <w:bCs/>
          <w:szCs w:val="22"/>
        </w:rPr>
        <w:t>, </w:t>
      </w:r>
      <w:r w:rsidRPr="00FE4CC2">
        <w:rPr>
          <w:rStyle w:val="name"/>
          <w:bCs/>
          <w:szCs w:val="22"/>
        </w:rPr>
        <w:t>M., Hare</w:t>
      </w:r>
      <w:r w:rsidRPr="00FE4CC2">
        <w:rPr>
          <w:bCs/>
          <w:szCs w:val="22"/>
        </w:rPr>
        <w:t>, </w:t>
      </w:r>
      <w:r w:rsidRPr="00FE4CC2">
        <w:rPr>
          <w:rStyle w:val="name"/>
          <w:bCs/>
          <w:szCs w:val="22"/>
        </w:rPr>
        <w:t>J., Harris</w:t>
      </w:r>
      <w:r w:rsidRPr="00FE4CC2">
        <w:rPr>
          <w:bCs/>
          <w:szCs w:val="22"/>
        </w:rPr>
        <w:t>, </w:t>
      </w:r>
      <w:r w:rsidRPr="00FE4CC2">
        <w:rPr>
          <w:rStyle w:val="name"/>
          <w:bCs/>
          <w:szCs w:val="22"/>
        </w:rPr>
        <w:t>R. B., Hawkins</w:t>
      </w:r>
      <w:r w:rsidRPr="00FE4CC2">
        <w:rPr>
          <w:bCs/>
          <w:szCs w:val="22"/>
        </w:rPr>
        <w:t>, </w:t>
      </w:r>
      <w:r w:rsidRPr="00FE4CC2">
        <w:rPr>
          <w:rStyle w:val="name"/>
          <w:bCs/>
          <w:szCs w:val="22"/>
        </w:rPr>
        <w:t>C. E., Haywood</w:t>
      </w:r>
      <w:r w:rsidRPr="00FE4CC2">
        <w:rPr>
          <w:bCs/>
          <w:szCs w:val="22"/>
        </w:rPr>
        <w:t>, </w:t>
      </w:r>
      <w:r w:rsidRPr="00FE4CC2">
        <w:rPr>
          <w:rStyle w:val="name"/>
          <w:bCs/>
          <w:szCs w:val="22"/>
        </w:rPr>
        <w:t>M., Heaney</w:t>
      </w:r>
      <w:r w:rsidRPr="00FE4CC2">
        <w:rPr>
          <w:bCs/>
          <w:szCs w:val="22"/>
        </w:rPr>
        <w:t>, </w:t>
      </w:r>
      <w:r w:rsidRPr="00FE4CC2">
        <w:rPr>
          <w:rStyle w:val="name"/>
          <w:bCs/>
          <w:szCs w:val="22"/>
        </w:rPr>
        <w:t>L. R., Hedges</w:t>
      </w:r>
      <w:r w:rsidRPr="00FE4CC2">
        <w:rPr>
          <w:bCs/>
          <w:szCs w:val="22"/>
        </w:rPr>
        <w:t>, </w:t>
      </w:r>
      <w:r w:rsidRPr="00FE4CC2">
        <w:rPr>
          <w:rStyle w:val="name"/>
          <w:bCs/>
          <w:szCs w:val="22"/>
        </w:rPr>
        <w:t>S., Helgen</w:t>
      </w:r>
      <w:r w:rsidRPr="00FE4CC2">
        <w:rPr>
          <w:bCs/>
          <w:szCs w:val="22"/>
        </w:rPr>
        <w:t>, </w:t>
      </w:r>
      <w:r w:rsidRPr="00FE4CC2">
        <w:rPr>
          <w:rStyle w:val="name"/>
          <w:bCs/>
          <w:szCs w:val="22"/>
        </w:rPr>
        <w:t>K. M., Hilton-Taylor</w:t>
      </w:r>
      <w:r w:rsidRPr="00FE4CC2">
        <w:rPr>
          <w:bCs/>
          <w:szCs w:val="22"/>
        </w:rPr>
        <w:t>, </w:t>
      </w:r>
      <w:r w:rsidRPr="00FE4CC2">
        <w:rPr>
          <w:rStyle w:val="name"/>
          <w:bCs/>
          <w:szCs w:val="22"/>
        </w:rPr>
        <w:t>C., Hussain</w:t>
      </w:r>
      <w:r w:rsidRPr="00FE4CC2">
        <w:rPr>
          <w:bCs/>
          <w:szCs w:val="22"/>
        </w:rPr>
        <w:t>, </w:t>
      </w:r>
      <w:r w:rsidRPr="00FE4CC2">
        <w:rPr>
          <w:rStyle w:val="name"/>
          <w:bCs/>
          <w:szCs w:val="22"/>
        </w:rPr>
        <w:t>S. A., Ishii</w:t>
      </w:r>
      <w:r w:rsidRPr="00FE4CC2">
        <w:rPr>
          <w:bCs/>
          <w:szCs w:val="22"/>
        </w:rPr>
        <w:t>, </w:t>
      </w:r>
      <w:r w:rsidRPr="00FE4CC2">
        <w:rPr>
          <w:rStyle w:val="name"/>
          <w:bCs/>
          <w:szCs w:val="22"/>
        </w:rPr>
        <w:t>N., Jefferson</w:t>
      </w:r>
      <w:r w:rsidRPr="00FE4CC2">
        <w:rPr>
          <w:bCs/>
          <w:szCs w:val="22"/>
        </w:rPr>
        <w:t>, </w:t>
      </w:r>
      <w:r w:rsidRPr="00FE4CC2">
        <w:rPr>
          <w:rStyle w:val="name"/>
          <w:bCs/>
          <w:szCs w:val="22"/>
        </w:rPr>
        <w:t>T. A., Jenkins</w:t>
      </w:r>
      <w:r w:rsidRPr="00FE4CC2">
        <w:rPr>
          <w:bCs/>
          <w:szCs w:val="22"/>
        </w:rPr>
        <w:t>, </w:t>
      </w:r>
      <w:r w:rsidRPr="00FE4CC2">
        <w:rPr>
          <w:rStyle w:val="name"/>
          <w:bCs/>
          <w:szCs w:val="22"/>
        </w:rPr>
        <w:t>R. K. B., Johnston</w:t>
      </w:r>
      <w:r w:rsidRPr="00FE4CC2">
        <w:rPr>
          <w:bCs/>
          <w:szCs w:val="22"/>
        </w:rPr>
        <w:t>, </w:t>
      </w:r>
      <w:r w:rsidRPr="00FE4CC2">
        <w:rPr>
          <w:rStyle w:val="name"/>
          <w:bCs/>
          <w:szCs w:val="22"/>
        </w:rPr>
        <w:t>C. H., Keith</w:t>
      </w:r>
      <w:r w:rsidRPr="00FE4CC2">
        <w:rPr>
          <w:bCs/>
          <w:szCs w:val="22"/>
        </w:rPr>
        <w:t>, </w:t>
      </w:r>
      <w:r w:rsidRPr="00FE4CC2">
        <w:rPr>
          <w:rStyle w:val="name"/>
          <w:bCs/>
          <w:szCs w:val="22"/>
        </w:rPr>
        <w:t>M., Kingdon</w:t>
      </w:r>
      <w:r w:rsidRPr="00FE4CC2">
        <w:rPr>
          <w:bCs/>
          <w:szCs w:val="22"/>
        </w:rPr>
        <w:t>, </w:t>
      </w:r>
      <w:r w:rsidRPr="00FE4CC2">
        <w:rPr>
          <w:rStyle w:val="name"/>
          <w:bCs/>
          <w:szCs w:val="22"/>
        </w:rPr>
        <w:t>J., Knox</w:t>
      </w:r>
      <w:r w:rsidRPr="00FE4CC2">
        <w:rPr>
          <w:bCs/>
          <w:szCs w:val="22"/>
        </w:rPr>
        <w:t>, </w:t>
      </w:r>
      <w:r w:rsidRPr="00FE4CC2">
        <w:rPr>
          <w:rStyle w:val="name"/>
          <w:bCs/>
          <w:szCs w:val="22"/>
        </w:rPr>
        <w:t>D. H., Kovacs</w:t>
      </w:r>
      <w:r w:rsidRPr="00FE4CC2">
        <w:rPr>
          <w:bCs/>
          <w:szCs w:val="22"/>
        </w:rPr>
        <w:t>, </w:t>
      </w:r>
      <w:r w:rsidRPr="00FE4CC2">
        <w:rPr>
          <w:rStyle w:val="name"/>
          <w:bCs/>
          <w:szCs w:val="22"/>
        </w:rPr>
        <w:t>K. M., Langhammer</w:t>
      </w:r>
      <w:r w:rsidRPr="00FE4CC2">
        <w:rPr>
          <w:bCs/>
          <w:szCs w:val="22"/>
        </w:rPr>
        <w:t>, </w:t>
      </w:r>
      <w:r w:rsidRPr="00FE4CC2">
        <w:rPr>
          <w:rStyle w:val="name"/>
          <w:bCs/>
          <w:szCs w:val="22"/>
        </w:rPr>
        <w:t>P., Leus</w:t>
      </w:r>
      <w:r w:rsidRPr="00FE4CC2">
        <w:rPr>
          <w:bCs/>
          <w:szCs w:val="22"/>
        </w:rPr>
        <w:t>, </w:t>
      </w:r>
      <w:r w:rsidRPr="00FE4CC2">
        <w:rPr>
          <w:rStyle w:val="name"/>
          <w:bCs/>
          <w:szCs w:val="22"/>
        </w:rPr>
        <w:t>K., Lewison</w:t>
      </w:r>
      <w:r w:rsidRPr="00FE4CC2">
        <w:rPr>
          <w:bCs/>
          <w:szCs w:val="22"/>
        </w:rPr>
        <w:t>, </w:t>
      </w:r>
      <w:r w:rsidRPr="00FE4CC2">
        <w:rPr>
          <w:rStyle w:val="name"/>
          <w:bCs/>
          <w:szCs w:val="22"/>
        </w:rPr>
        <w:t>R., Lichtenstein</w:t>
      </w:r>
      <w:r w:rsidRPr="00FE4CC2">
        <w:rPr>
          <w:bCs/>
          <w:szCs w:val="22"/>
        </w:rPr>
        <w:t>, </w:t>
      </w:r>
      <w:r w:rsidRPr="00FE4CC2">
        <w:rPr>
          <w:rStyle w:val="name"/>
          <w:bCs/>
          <w:szCs w:val="22"/>
        </w:rPr>
        <w:t>G., Lowry</w:t>
      </w:r>
      <w:r w:rsidRPr="00FE4CC2">
        <w:rPr>
          <w:bCs/>
          <w:szCs w:val="22"/>
        </w:rPr>
        <w:t>, </w:t>
      </w:r>
      <w:r w:rsidRPr="00FE4CC2">
        <w:rPr>
          <w:rStyle w:val="name"/>
          <w:bCs/>
          <w:szCs w:val="22"/>
        </w:rPr>
        <w:t>L. F., Macavoy</w:t>
      </w:r>
      <w:r w:rsidRPr="00FE4CC2">
        <w:rPr>
          <w:bCs/>
          <w:szCs w:val="22"/>
        </w:rPr>
        <w:t>, </w:t>
      </w:r>
      <w:r w:rsidRPr="00FE4CC2">
        <w:rPr>
          <w:rStyle w:val="name"/>
          <w:bCs/>
          <w:szCs w:val="22"/>
        </w:rPr>
        <w:t>Z., Mace</w:t>
      </w:r>
      <w:r w:rsidRPr="00FE4CC2">
        <w:rPr>
          <w:bCs/>
          <w:szCs w:val="22"/>
        </w:rPr>
        <w:t>, </w:t>
      </w:r>
      <w:r w:rsidRPr="00FE4CC2">
        <w:rPr>
          <w:rStyle w:val="name"/>
          <w:bCs/>
          <w:szCs w:val="22"/>
        </w:rPr>
        <w:t>G. M., Mallon</w:t>
      </w:r>
      <w:r w:rsidRPr="00FE4CC2">
        <w:rPr>
          <w:bCs/>
          <w:szCs w:val="22"/>
        </w:rPr>
        <w:t>, </w:t>
      </w:r>
      <w:r w:rsidRPr="00FE4CC2">
        <w:rPr>
          <w:rStyle w:val="name"/>
          <w:bCs/>
          <w:szCs w:val="22"/>
        </w:rPr>
        <w:t>D. P., Masi</w:t>
      </w:r>
      <w:r w:rsidRPr="00FE4CC2">
        <w:rPr>
          <w:bCs/>
          <w:szCs w:val="22"/>
        </w:rPr>
        <w:t>, </w:t>
      </w:r>
      <w:r w:rsidRPr="00FE4CC2">
        <w:rPr>
          <w:rStyle w:val="name"/>
          <w:bCs/>
          <w:szCs w:val="22"/>
        </w:rPr>
        <w:t>M., McKnight</w:t>
      </w:r>
      <w:r w:rsidRPr="00FE4CC2">
        <w:rPr>
          <w:bCs/>
          <w:szCs w:val="22"/>
        </w:rPr>
        <w:t>, </w:t>
      </w:r>
      <w:r w:rsidRPr="00FE4CC2">
        <w:rPr>
          <w:rStyle w:val="name"/>
          <w:bCs/>
          <w:szCs w:val="22"/>
        </w:rPr>
        <w:t>M. W., Medellín</w:t>
      </w:r>
      <w:r w:rsidRPr="00FE4CC2">
        <w:rPr>
          <w:bCs/>
          <w:szCs w:val="22"/>
        </w:rPr>
        <w:t>, </w:t>
      </w:r>
      <w:r w:rsidRPr="00FE4CC2">
        <w:rPr>
          <w:rStyle w:val="name"/>
          <w:bCs/>
          <w:szCs w:val="22"/>
        </w:rPr>
        <w:t>R. A., Medici</w:t>
      </w:r>
      <w:r w:rsidRPr="00FE4CC2">
        <w:rPr>
          <w:bCs/>
          <w:szCs w:val="22"/>
        </w:rPr>
        <w:t>, </w:t>
      </w:r>
      <w:r w:rsidRPr="00FE4CC2">
        <w:rPr>
          <w:rStyle w:val="name"/>
          <w:bCs/>
          <w:szCs w:val="22"/>
        </w:rPr>
        <w:t>P., Mills</w:t>
      </w:r>
      <w:r w:rsidRPr="00FE4CC2">
        <w:rPr>
          <w:bCs/>
          <w:szCs w:val="22"/>
        </w:rPr>
        <w:t>, </w:t>
      </w:r>
      <w:r w:rsidRPr="00FE4CC2">
        <w:rPr>
          <w:rStyle w:val="name"/>
          <w:bCs/>
          <w:szCs w:val="22"/>
        </w:rPr>
        <w:t>G., Moehlman</w:t>
      </w:r>
      <w:r w:rsidRPr="00FE4CC2">
        <w:rPr>
          <w:bCs/>
          <w:szCs w:val="22"/>
        </w:rPr>
        <w:t>, </w:t>
      </w:r>
      <w:r w:rsidRPr="00FE4CC2">
        <w:rPr>
          <w:rStyle w:val="name"/>
          <w:bCs/>
          <w:szCs w:val="22"/>
        </w:rPr>
        <w:t>P. D., Molur</w:t>
      </w:r>
      <w:r w:rsidRPr="00FE4CC2">
        <w:rPr>
          <w:bCs/>
          <w:szCs w:val="22"/>
        </w:rPr>
        <w:t>, </w:t>
      </w:r>
      <w:r w:rsidRPr="00FE4CC2">
        <w:rPr>
          <w:rStyle w:val="name"/>
          <w:bCs/>
          <w:szCs w:val="22"/>
        </w:rPr>
        <w:t>S., Mora</w:t>
      </w:r>
      <w:r w:rsidRPr="00FE4CC2">
        <w:rPr>
          <w:bCs/>
          <w:szCs w:val="22"/>
        </w:rPr>
        <w:t>, </w:t>
      </w:r>
      <w:r w:rsidRPr="00FE4CC2">
        <w:rPr>
          <w:rStyle w:val="name"/>
          <w:bCs/>
          <w:szCs w:val="22"/>
        </w:rPr>
        <w:t>A., Nowell</w:t>
      </w:r>
      <w:r w:rsidRPr="00FE4CC2">
        <w:rPr>
          <w:bCs/>
          <w:szCs w:val="22"/>
        </w:rPr>
        <w:t>, </w:t>
      </w:r>
      <w:r w:rsidRPr="00FE4CC2">
        <w:rPr>
          <w:rStyle w:val="name"/>
          <w:bCs/>
          <w:szCs w:val="22"/>
        </w:rPr>
        <w:t>K., Oates</w:t>
      </w:r>
      <w:r w:rsidRPr="00FE4CC2">
        <w:rPr>
          <w:bCs/>
          <w:szCs w:val="22"/>
        </w:rPr>
        <w:t>, </w:t>
      </w:r>
      <w:r w:rsidRPr="00FE4CC2">
        <w:rPr>
          <w:rStyle w:val="name"/>
          <w:bCs/>
          <w:szCs w:val="22"/>
        </w:rPr>
        <w:t>J. F., Olech</w:t>
      </w:r>
      <w:r w:rsidRPr="00FE4CC2">
        <w:rPr>
          <w:bCs/>
          <w:szCs w:val="22"/>
        </w:rPr>
        <w:t>, </w:t>
      </w:r>
      <w:r w:rsidRPr="00FE4CC2">
        <w:rPr>
          <w:rStyle w:val="name"/>
          <w:bCs/>
          <w:szCs w:val="22"/>
        </w:rPr>
        <w:t>W., Oliver</w:t>
      </w:r>
      <w:r w:rsidRPr="00FE4CC2">
        <w:rPr>
          <w:bCs/>
          <w:szCs w:val="22"/>
        </w:rPr>
        <w:t>, </w:t>
      </w:r>
      <w:r w:rsidRPr="00FE4CC2">
        <w:rPr>
          <w:rStyle w:val="name"/>
          <w:bCs/>
          <w:szCs w:val="22"/>
        </w:rPr>
        <w:t>W. R. L., Oprea</w:t>
      </w:r>
      <w:r w:rsidRPr="00FE4CC2">
        <w:rPr>
          <w:bCs/>
          <w:szCs w:val="22"/>
        </w:rPr>
        <w:t>, </w:t>
      </w:r>
      <w:r w:rsidRPr="00FE4CC2">
        <w:rPr>
          <w:rStyle w:val="name"/>
          <w:bCs/>
          <w:szCs w:val="22"/>
        </w:rPr>
        <w:t>M., Patterson</w:t>
      </w:r>
      <w:r w:rsidRPr="00FE4CC2">
        <w:rPr>
          <w:bCs/>
          <w:szCs w:val="22"/>
        </w:rPr>
        <w:t>, </w:t>
      </w:r>
      <w:r w:rsidRPr="00FE4CC2">
        <w:rPr>
          <w:rStyle w:val="name"/>
          <w:bCs/>
          <w:szCs w:val="22"/>
        </w:rPr>
        <w:t>B. D., Perrin</w:t>
      </w:r>
      <w:r w:rsidRPr="00FE4CC2">
        <w:rPr>
          <w:bCs/>
          <w:szCs w:val="22"/>
        </w:rPr>
        <w:t>, </w:t>
      </w:r>
      <w:r w:rsidRPr="00FE4CC2">
        <w:rPr>
          <w:rStyle w:val="name"/>
          <w:bCs/>
          <w:szCs w:val="22"/>
        </w:rPr>
        <w:t>W. F., Polidoro</w:t>
      </w:r>
      <w:r w:rsidRPr="00FE4CC2">
        <w:rPr>
          <w:bCs/>
          <w:szCs w:val="22"/>
        </w:rPr>
        <w:t>, </w:t>
      </w:r>
      <w:r w:rsidRPr="00FE4CC2">
        <w:rPr>
          <w:rStyle w:val="name"/>
          <w:bCs/>
          <w:szCs w:val="22"/>
        </w:rPr>
        <w:t>B. A., Pollock</w:t>
      </w:r>
      <w:r w:rsidRPr="00FE4CC2">
        <w:rPr>
          <w:bCs/>
          <w:szCs w:val="22"/>
        </w:rPr>
        <w:t>, </w:t>
      </w:r>
      <w:r w:rsidRPr="00FE4CC2">
        <w:rPr>
          <w:rStyle w:val="name"/>
          <w:bCs/>
          <w:szCs w:val="22"/>
        </w:rPr>
        <w:t>C., Powel</w:t>
      </w:r>
      <w:r w:rsidRPr="00FE4CC2">
        <w:rPr>
          <w:bCs/>
          <w:szCs w:val="22"/>
        </w:rPr>
        <w:t>, </w:t>
      </w:r>
      <w:r w:rsidRPr="00FE4CC2">
        <w:rPr>
          <w:rStyle w:val="name"/>
          <w:bCs/>
          <w:szCs w:val="22"/>
        </w:rPr>
        <w:t>A., Protas</w:t>
      </w:r>
      <w:r w:rsidRPr="00FE4CC2">
        <w:rPr>
          <w:bCs/>
          <w:szCs w:val="22"/>
        </w:rPr>
        <w:t>, </w:t>
      </w:r>
      <w:r w:rsidRPr="00FE4CC2">
        <w:rPr>
          <w:rStyle w:val="name"/>
          <w:bCs/>
          <w:szCs w:val="22"/>
        </w:rPr>
        <w:t>Y., Racey</w:t>
      </w:r>
      <w:r w:rsidRPr="00FE4CC2">
        <w:rPr>
          <w:bCs/>
          <w:szCs w:val="22"/>
        </w:rPr>
        <w:t>, </w:t>
      </w:r>
      <w:r w:rsidRPr="00FE4CC2">
        <w:rPr>
          <w:rStyle w:val="name"/>
          <w:bCs/>
          <w:szCs w:val="22"/>
        </w:rPr>
        <w:t>P., Ragle</w:t>
      </w:r>
      <w:r w:rsidRPr="00FE4CC2">
        <w:rPr>
          <w:bCs/>
          <w:szCs w:val="22"/>
        </w:rPr>
        <w:t>, </w:t>
      </w:r>
      <w:r w:rsidRPr="00FE4CC2">
        <w:rPr>
          <w:rStyle w:val="name"/>
          <w:bCs/>
          <w:szCs w:val="22"/>
        </w:rPr>
        <w:t>J., Ramani</w:t>
      </w:r>
      <w:r w:rsidRPr="00FE4CC2">
        <w:rPr>
          <w:bCs/>
          <w:szCs w:val="22"/>
        </w:rPr>
        <w:t>, </w:t>
      </w:r>
      <w:r w:rsidRPr="00FE4CC2">
        <w:rPr>
          <w:rStyle w:val="name"/>
          <w:bCs/>
          <w:szCs w:val="22"/>
        </w:rPr>
        <w:t>P., Rathbun</w:t>
      </w:r>
      <w:r w:rsidRPr="00FE4CC2">
        <w:rPr>
          <w:bCs/>
          <w:szCs w:val="22"/>
        </w:rPr>
        <w:t>, </w:t>
      </w:r>
      <w:r w:rsidRPr="00FE4CC2">
        <w:rPr>
          <w:rStyle w:val="name"/>
          <w:bCs/>
          <w:szCs w:val="22"/>
        </w:rPr>
        <w:t>G., Reeves</w:t>
      </w:r>
      <w:r w:rsidRPr="00FE4CC2">
        <w:rPr>
          <w:bCs/>
          <w:szCs w:val="22"/>
        </w:rPr>
        <w:t>, </w:t>
      </w:r>
      <w:r w:rsidRPr="00FE4CC2">
        <w:rPr>
          <w:rStyle w:val="name"/>
          <w:bCs/>
          <w:szCs w:val="22"/>
        </w:rPr>
        <w:t>R. R., Reilly</w:t>
      </w:r>
      <w:r w:rsidRPr="00FE4CC2">
        <w:rPr>
          <w:bCs/>
          <w:szCs w:val="22"/>
        </w:rPr>
        <w:t>, </w:t>
      </w:r>
      <w:r w:rsidRPr="00FE4CC2">
        <w:rPr>
          <w:rStyle w:val="name"/>
          <w:bCs/>
          <w:szCs w:val="22"/>
        </w:rPr>
        <w:t>S. B., Reynolds III</w:t>
      </w:r>
      <w:r w:rsidRPr="00FE4CC2">
        <w:rPr>
          <w:bCs/>
          <w:szCs w:val="22"/>
        </w:rPr>
        <w:t>, </w:t>
      </w:r>
      <w:r w:rsidRPr="00FE4CC2">
        <w:rPr>
          <w:rStyle w:val="name"/>
          <w:bCs/>
          <w:szCs w:val="22"/>
        </w:rPr>
        <w:t>J. E., Rondinini</w:t>
      </w:r>
      <w:r w:rsidRPr="00FE4CC2">
        <w:rPr>
          <w:bCs/>
          <w:szCs w:val="22"/>
        </w:rPr>
        <w:t>, </w:t>
      </w:r>
      <w:r w:rsidRPr="00FE4CC2">
        <w:rPr>
          <w:rStyle w:val="name"/>
          <w:bCs/>
          <w:szCs w:val="22"/>
        </w:rPr>
        <w:t>C., Rosell-Ambal</w:t>
      </w:r>
      <w:r w:rsidRPr="00FE4CC2">
        <w:rPr>
          <w:bCs/>
          <w:szCs w:val="22"/>
        </w:rPr>
        <w:t>, </w:t>
      </w:r>
      <w:r w:rsidRPr="00FE4CC2">
        <w:rPr>
          <w:rStyle w:val="name"/>
          <w:bCs/>
          <w:szCs w:val="22"/>
        </w:rPr>
        <w:t>R. G., Rulli</w:t>
      </w:r>
      <w:r w:rsidRPr="00FE4CC2">
        <w:rPr>
          <w:bCs/>
          <w:szCs w:val="22"/>
        </w:rPr>
        <w:t>, </w:t>
      </w:r>
      <w:r w:rsidRPr="00FE4CC2">
        <w:rPr>
          <w:rStyle w:val="name"/>
          <w:bCs/>
          <w:szCs w:val="22"/>
        </w:rPr>
        <w:t>M., Rylands</w:t>
      </w:r>
      <w:r w:rsidRPr="00FE4CC2">
        <w:rPr>
          <w:bCs/>
          <w:szCs w:val="22"/>
        </w:rPr>
        <w:t>, </w:t>
      </w:r>
      <w:r w:rsidRPr="00FE4CC2">
        <w:rPr>
          <w:rStyle w:val="name"/>
          <w:bCs/>
          <w:szCs w:val="22"/>
        </w:rPr>
        <w:t>A. B., Savini</w:t>
      </w:r>
      <w:r w:rsidRPr="00FE4CC2">
        <w:rPr>
          <w:bCs/>
          <w:szCs w:val="22"/>
        </w:rPr>
        <w:t>, </w:t>
      </w:r>
      <w:r w:rsidRPr="00FE4CC2">
        <w:rPr>
          <w:rStyle w:val="name"/>
          <w:bCs/>
          <w:szCs w:val="22"/>
        </w:rPr>
        <w:t>S., Schank</w:t>
      </w:r>
      <w:r w:rsidRPr="00FE4CC2">
        <w:rPr>
          <w:bCs/>
          <w:szCs w:val="22"/>
        </w:rPr>
        <w:t>, </w:t>
      </w:r>
      <w:r w:rsidRPr="00FE4CC2">
        <w:rPr>
          <w:rStyle w:val="name"/>
          <w:bCs/>
          <w:szCs w:val="22"/>
        </w:rPr>
        <w:t>C. J., Sechrest</w:t>
      </w:r>
      <w:r w:rsidRPr="00FE4CC2">
        <w:rPr>
          <w:bCs/>
          <w:szCs w:val="22"/>
        </w:rPr>
        <w:t>, </w:t>
      </w:r>
      <w:r w:rsidRPr="00FE4CC2">
        <w:rPr>
          <w:rStyle w:val="name"/>
          <w:bCs/>
          <w:szCs w:val="22"/>
        </w:rPr>
        <w:t>W., Self-Sullivan</w:t>
      </w:r>
      <w:r w:rsidRPr="00FE4CC2">
        <w:rPr>
          <w:bCs/>
          <w:szCs w:val="22"/>
        </w:rPr>
        <w:t>, </w:t>
      </w:r>
      <w:r w:rsidRPr="00FE4CC2">
        <w:rPr>
          <w:rStyle w:val="name"/>
          <w:bCs/>
          <w:szCs w:val="22"/>
        </w:rPr>
        <w:t>C., Shoemaker</w:t>
      </w:r>
      <w:r w:rsidRPr="00FE4CC2">
        <w:rPr>
          <w:bCs/>
          <w:szCs w:val="22"/>
        </w:rPr>
        <w:t>, </w:t>
      </w:r>
      <w:r w:rsidRPr="00FE4CC2">
        <w:rPr>
          <w:rStyle w:val="name"/>
          <w:bCs/>
          <w:szCs w:val="22"/>
        </w:rPr>
        <w:t>A., Sillero-Zubiri</w:t>
      </w:r>
      <w:r w:rsidRPr="00FE4CC2">
        <w:rPr>
          <w:bCs/>
          <w:szCs w:val="22"/>
        </w:rPr>
        <w:t>, </w:t>
      </w:r>
      <w:r w:rsidRPr="00FE4CC2">
        <w:rPr>
          <w:rStyle w:val="name"/>
          <w:bCs/>
          <w:szCs w:val="22"/>
        </w:rPr>
        <w:t>C., De Silva</w:t>
      </w:r>
      <w:r w:rsidRPr="00FE4CC2">
        <w:rPr>
          <w:bCs/>
          <w:szCs w:val="22"/>
        </w:rPr>
        <w:t>, </w:t>
      </w:r>
      <w:r w:rsidRPr="00FE4CC2">
        <w:rPr>
          <w:rStyle w:val="name"/>
          <w:bCs/>
          <w:szCs w:val="22"/>
        </w:rPr>
        <w:t>N., Smith</w:t>
      </w:r>
      <w:r w:rsidRPr="00FE4CC2">
        <w:rPr>
          <w:bCs/>
          <w:szCs w:val="22"/>
        </w:rPr>
        <w:t>, </w:t>
      </w:r>
      <w:r w:rsidRPr="00FE4CC2">
        <w:rPr>
          <w:rStyle w:val="name"/>
          <w:bCs/>
          <w:szCs w:val="22"/>
        </w:rPr>
        <w:t>D. E., Srinivasulu</w:t>
      </w:r>
      <w:r w:rsidRPr="00FE4CC2">
        <w:rPr>
          <w:bCs/>
          <w:szCs w:val="22"/>
        </w:rPr>
        <w:t>, </w:t>
      </w:r>
      <w:r w:rsidRPr="00FE4CC2">
        <w:rPr>
          <w:rStyle w:val="name"/>
          <w:bCs/>
          <w:szCs w:val="22"/>
        </w:rPr>
        <w:t>C., Stephenson</w:t>
      </w:r>
      <w:r w:rsidRPr="00FE4CC2">
        <w:rPr>
          <w:bCs/>
          <w:szCs w:val="22"/>
        </w:rPr>
        <w:t>, </w:t>
      </w:r>
      <w:r w:rsidRPr="00FE4CC2">
        <w:rPr>
          <w:rStyle w:val="name"/>
          <w:bCs/>
          <w:szCs w:val="22"/>
        </w:rPr>
        <w:t>P. J., van Strien</w:t>
      </w:r>
      <w:r w:rsidRPr="00FE4CC2">
        <w:rPr>
          <w:bCs/>
          <w:szCs w:val="22"/>
        </w:rPr>
        <w:t>, </w:t>
      </w:r>
      <w:r w:rsidRPr="00FE4CC2">
        <w:rPr>
          <w:rStyle w:val="name"/>
          <w:bCs/>
          <w:szCs w:val="22"/>
        </w:rPr>
        <w:t>N., Talukdar</w:t>
      </w:r>
      <w:r w:rsidRPr="00FE4CC2">
        <w:rPr>
          <w:bCs/>
          <w:szCs w:val="22"/>
        </w:rPr>
        <w:t>, </w:t>
      </w:r>
      <w:r w:rsidRPr="00FE4CC2">
        <w:rPr>
          <w:rStyle w:val="name"/>
          <w:bCs/>
          <w:szCs w:val="22"/>
        </w:rPr>
        <w:t>B. K., Taylor</w:t>
      </w:r>
      <w:r w:rsidRPr="00FE4CC2">
        <w:rPr>
          <w:bCs/>
          <w:szCs w:val="22"/>
        </w:rPr>
        <w:t>, </w:t>
      </w:r>
      <w:r w:rsidRPr="00FE4CC2">
        <w:rPr>
          <w:rStyle w:val="name"/>
          <w:bCs/>
          <w:szCs w:val="22"/>
        </w:rPr>
        <w:t>B. L., Timmins</w:t>
      </w:r>
      <w:r w:rsidRPr="00FE4CC2">
        <w:rPr>
          <w:bCs/>
          <w:szCs w:val="22"/>
        </w:rPr>
        <w:t>, </w:t>
      </w:r>
      <w:r w:rsidRPr="00FE4CC2">
        <w:rPr>
          <w:rStyle w:val="name"/>
          <w:bCs/>
          <w:szCs w:val="22"/>
        </w:rPr>
        <w:t>R., Tirira</w:t>
      </w:r>
      <w:hyperlink r:id="rId1130" w:anchor="aff-95" w:history="1"/>
      <w:r w:rsidRPr="00FE4CC2">
        <w:rPr>
          <w:bCs/>
          <w:szCs w:val="22"/>
        </w:rPr>
        <w:t>, </w:t>
      </w:r>
      <w:r w:rsidRPr="00FE4CC2">
        <w:rPr>
          <w:rStyle w:val="name"/>
          <w:bCs/>
          <w:szCs w:val="22"/>
        </w:rPr>
        <w:t>D. G., Tognelli</w:t>
      </w:r>
      <w:r w:rsidRPr="00FE4CC2">
        <w:rPr>
          <w:bCs/>
          <w:szCs w:val="22"/>
        </w:rPr>
        <w:t>, </w:t>
      </w:r>
      <w:r w:rsidRPr="00FE4CC2">
        <w:rPr>
          <w:rStyle w:val="name"/>
          <w:bCs/>
          <w:szCs w:val="22"/>
        </w:rPr>
        <w:t>M. F., Tsytsulina</w:t>
      </w:r>
      <w:r w:rsidRPr="00FE4CC2">
        <w:rPr>
          <w:bCs/>
          <w:szCs w:val="22"/>
        </w:rPr>
        <w:t>, </w:t>
      </w:r>
      <w:r w:rsidRPr="00FE4CC2">
        <w:rPr>
          <w:rStyle w:val="name"/>
          <w:bCs/>
          <w:szCs w:val="22"/>
        </w:rPr>
        <w:t>K., Veiga</w:t>
      </w:r>
      <w:r w:rsidRPr="00FE4CC2">
        <w:rPr>
          <w:bCs/>
          <w:szCs w:val="22"/>
        </w:rPr>
        <w:t>, </w:t>
      </w:r>
      <w:r w:rsidRPr="00FE4CC2">
        <w:rPr>
          <w:rStyle w:val="name"/>
          <w:bCs/>
          <w:szCs w:val="22"/>
        </w:rPr>
        <w:t>L. M., Vié,</w:t>
      </w:r>
      <w:r w:rsidRPr="00FE4CC2">
        <w:rPr>
          <w:bCs/>
          <w:szCs w:val="22"/>
        </w:rPr>
        <w:t> </w:t>
      </w:r>
      <w:r w:rsidRPr="00FE4CC2">
        <w:rPr>
          <w:rStyle w:val="name"/>
          <w:bCs/>
          <w:szCs w:val="22"/>
        </w:rPr>
        <w:t>J. –C., Williamson</w:t>
      </w:r>
      <w:r w:rsidRPr="00FE4CC2">
        <w:rPr>
          <w:bCs/>
          <w:szCs w:val="22"/>
        </w:rPr>
        <w:t>, </w:t>
      </w:r>
      <w:r w:rsidRPr="00FE4CC2">
        <w:rPr>
          <w:rStyle w:val="name"/>
          <w:bCs/>
          <w:szCs w:val="22"/>
        </w:rPr>
        <w:t>E. A., Wyatt</w:t>
      </w:r>
      <w:r w:rsidRPr="00FE4CC2">
        <w:rPr>
          <w:bCs/>
          <w:szCs w:val="22"/>
        </w:rPr>
        <w:t xml:space="preserve">, </w:t>
      </w:r>
      <w:r w:rsidRPr="00FE4CC2">
        <w:rPr>
          <w:rStyle w:val="name"/>
          <w:bCs/>
          <w:szCs w:val="22"/>
        </w:rPr>
        <w:t>S. A., Xie</w:t>
      </w:r>
      <w:r w:rsidRPr="00FE4CC2">
        <w:rPr>
          <w:bCs/>
          <w:szCs w:val="22"/>
        </w:rPr>
        <w:t>, </w:t>
      </w:r>
      <w:r w:rsidRPr="00FE4CC2">
        <w:rPr>
          <w:rStyle w:val="name"/>
          <w:bCs/>
          <w:szCs w:val="22"/>
        </w:rPr>
        <w:t xml:space="preserve">Y., &amp; Young, B. E. </w:t>
      </w:r>
      <w:r w:rsidRPr="00FE4CC2">
        <w:rPr>
          <w:rStyle w:val="referencia"/>
          <w:rFonts w:ascii="Calibri" w:hAnsi="Calibri"/>
          <w:szCs w:val="22"/>
        </w:rPr>
        <w:t xml:space="preserve">(2008). The status of the world’s land and marine mammals: diversity, threat, and knowledge. </w:t>
      </w:r>
      <w:r w:rsidRPr="00FE4CC2">
        <w:rPr>
          <w:rStyle w:val="referencia"/>
          <w:rFonts w:ascii="Calibri" w:hAnsi="Calibri"/>
          <w:i/>
          <w:szCs w:val="22"/>
        </w:rPr>
        <w:t>Science</w:t>
      </w:r>
      <w:r w:rsidRPr="00FE4CC2">
        <w:rPr>
          <w:rStyle w:val="referencia"/>
          <w:rFonts w:ascii="Calibri" w:hAnsi="Calibri"/>
          <w:szCs w:val="22"/>
        </w:rPr>
        <w:t>, 322, 225–230.</w:t>
      </w:r>
    </w:p>
    <w:p w14:paraId="504E45F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Schöngart, J., &amp; Qu</w:t>
      </w:r>
      <w:r w:rsidRPr="00FE4CC2">
        <w:rPr>
          <w:rStyle w:val="referencia"/>
          <w:rFonts w:ascii="Calibri" w:hAnsi="Calibri"/>
          <w:szCs w:val="22"/>
          <w:lang w:val="pt-BR"/>
        </w:rPr>
        <w:t xml:space="preserve">eiroz, H. L. (2010). </w:t>
      </w:r>
      <w:r w:rsidRPr="00FE4CC2">
        <w:rPr>
          <w:rStyle w:val="referencia"/>
          <w:rFonts w:ascii="Calibri" w:hAnsi="Calibri"/>
          <w:szCs w:val="22"/>
        </w:rPr>
        <w:t xml:space="preserve">Traditional timber harvesting in the Central Amazonian Floodplains. In W. J. Junk, M. T. F. Piedade, F. Wittmann, J. Schöngart, &amp; P. Parolin (Eds.). </w:t>
      </w:r>
      <w:r w:rsidRPr="00FE4CC2">
        <w:rPr>
          <w:rStyle w:val="referencia"/>
          <w:rFonts w:ascii="Calibri" w:hAnsi="Calibri"/>
          <w:i/>
          <w:szCs w:val="22"/>
        </w:rPr>
        <w:t>Amazonian Floodplain Forests - Ecophysiology, Biodiversity and Sustainable Management</w:t>
      </w:r>
      <w:r w:rsidRPr="00FE4CC2">
        <w:rPr>
          <w:rStyle w:val="referencia"/>
          <w:rFonts w:ascii="Calibri" w:hAnsi="Calibri"/>
          <w:szCs w:val="22"/>
        </w:rPr>
        <w:t>. Ecological Studies Vol. 20. (pp. 419-436). New York: Springer.</w:t>
      </w:r>
    </w:p>
    <w:p w14:paraId="65DEDB7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Seddon, A. W. R., Macias-Fauria, M., Long, P. R., Benz, D., &amp; Willis, K. J. (2016). Sensitivity of global terrestrial ecosystems to climate variability. </w:t>
      </w:r>
      <w:r w:rsidRPr="00FE4CC2">
        <w:rPr>
          <w:rStyle w:val="referencia"/>
          <w:rFonts w:ascii="Calibri" w:hAnsi="Calibri"/>
          <w:i/>
          <w:szCs w:val="22"/>
        </w:rPr>
        <w:t>Nature</w:t>
      </w:r>
      <w:r w:rsidRPr="00FE4CC2">
        <w:rPr>
          <w:rStyle w:val="referencia"/>
          <w:rFonts w:ascii="Calibri" w:hAnsi="Calibri"/>
          <w:szCs w:val="22"/>
        </w:rPr>
        <w:t>, 531, 229-232.</w:t>
      </w:r>
    </w:p>
    <w:p w14:paraId="319629B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Segan, D. B., Murray, K. A., &amp; Watson, J. E. M. (2016). A global assessment of current and future biodiversity vulnerability to habitat loss–climate change interactions. </w:t>
      </w:r>
      <w:r w:rsidRPr="00FE4CC2">
        <w:rPr>
          <w:rStyle w:val="referencia"/>
          <w:rFonts w:ascii="Calibri" w:hAnsi="Calibri"/>
          <w:i/>
          <w:szCs w:val="22"/>
        </w:rPr>
        <w:t>Global Ecology and Conservation</w:t>
      </w:r>
      <w:r w:rsidRPr="00FE4CC2">
        <w:rPr>
          <w:rStyle w:val="referencia"/>
          <w:rFonts w:ascii="Calibri" w:hAnsi="Calibri"/>
          <w:szCs w:val="22"/>
        </w:rPr>
        <w:t>, 5, 12–21.</w:t>
      </w:r>
    </w:p>
    <w:p w14:paraId="68CA2D63"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rPr>
        <w:t xml:space="preserve">Sienra, A. M. M., &amp; Medina, C. E. (2013). </w:t>
      </w:r>
      <w:r w:rsidRPr="00FE4CC2">
        <w:rPr>
          <w:rStyle w:val="referencia"/>
          <w:rFonts w:ascii="Calibri" w:hAnsi="Calibri"/>
          <w:szCs w:val="22"/>
          <w:lang w:val="es-CO"/>
        </w:rPr>
        <w:t>Reservas naturales en el Paraguay. Aporte del sector privado a la conservación de la biodiversidad. In: F. Arano &amp; J. Egea ( Eds.).</w:t>
      </w:r>
      <w:r w:rsidRPr="00FE4CC2">
        <w:rPr>
          <w:rStyle w:val="referencia"/>
          <w:rFonts w:ascii="Calibri" w:hAnsi="Calibri"/>
          <w:i/>
          <w:szCs w:val="22"/>
          <w:lang w:val="es-CO"/>
        </w:rPr>
        <w:t xml:space="preserve"> Conjugando Producción y Conservación en el Chaco Paraguayo </w:t>
      </w:r>
      <w:r w:rsidRPr="00FE4CC2">
        <w:rPr>
          <w:rStyle w:val="referencia"/>
          <w:rFonts w:ascii="Calibri" w:hAnsi="Calibri"/>
          <w:szCs w:val="22"/>
          <w:lang w:val="es-CO"/>
        </w:rPr>
        <w:t>(pp. 24-29). Asunción, Paraguay: WCS-AVINA. (pp. 60).</w:t>
      </w:r>
    </w:p>
    <w:p w14:paraId="2F3C10BF"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lang w:val="es-CO"/>
        </w:rPr>
        <w:t xml:space="preserve">Silva, N. P., &amp; Brancher, P. T. (2014).  Economia e política externa: um balanço do governo Lula (2002/2010). </w:t>
      </w:r>
      <w:r w:rsidRPr="00FE4CC2">
        <w:rPr>
          <w:rStyle w:val="referencia"/>
          <w:rFonts w:ascii="Calibri" w:hAnsi="Calibri"/>
          <w:i/>
          <w:szCs w:val="22"/>
          <w:lang w:val="pt-BR"/>
        </w:rPr>
        <w:t>Revista Perspectivas do Desenvolvimento: um Enfoque Multidimensional 2</w:t>
      </w:r>
      <w:r w:rsidRPr="00FE4CC2">
        <w:rPr>
          <w:rStyle w:val="referencia"/>
          <w:rFonts w:ascii="Calibri" w:hAnsi="Calibri"/>
          <w:szCs w:val="22"/>
          <w:lang w:val="pt-BR"/>
        </w:rPr>
        <w:t xml:space="preserve">(3), 1-23. </w:t>
      </w:r>
    </w:p>
    <w:p w14:paraId="2E5B4ACD"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pt-BR"/>
        </w:rPr>
        <w:t xml:space="preserve">Silvano, R. A. M., Hallwass, G., Lopes, P. F., Ribeiro, A. R., Lima, R. P., Hasenack, H., Jura, A. A., &amp; Begossi, A. (2014). </w:t>
      </w:r>
      <w:r w:rsidRPr="00FE4CC2">
        <w:rPr>
          <w:rStyle w:val="referencia"/>
          <w:rFonts w:ascii="Calibri" w:hAnsi="Calibri"/>
          <w:szCs w:val="22"/>
          <w:lang w:val="en-GB"/>
        </w:rPr>
        <w:t>Co-management and spat</w:t>
      </w:r>
      <w:r w:rsidRPr="00FE4CC2">
        <w:rPr>
          <w:rStyle w:val="referencia"/>
          <w:rFonts w:ascii="Calibri" w:hAnsi="Calibri"/>
          <w:szCs w:val="22"/>
        </w:rPr>
        <w:t xml:space="preserve">ial features contribute to secure fish abundance and fishing yields in tropical floodplain lakes. </w:t>
      </w:r>
      <w:r w:rsidRPr="00FE4CC2">
        <w:rPr>
          <w:rStyle w:val="referencia"/>
          <w:rFonts w:ascii="Calibri" w:hAnsi="Calibri"/>
          <w:i/>
          <w:szCs w:val="22"/>
          <w:lang w:val="es-CO"/>
        </w:rPr>
        <w:t>Ecosystems</w:t>
      </w:r>
      <w:r w:rsidRPr="00FE4CC2">
        <w:rPr>
          <w:rStyle w:val="referencia"/>
          <w:rFonts w:ascii="Calibri" w:hAnsi="Calibri"/>
          <w:szCs w:val="22"/>
          <w:lang w:val="es-CO"/>
        </w:rPr>
        <w:t>, 17, 271-285.</w:t>
      </w:r>
    </w:p>
    <w:p w14:paraId="7F516506"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Silvestri, L. (2014). </w:t>
      </w:r>
      <w:r w:rsidRPr="00FE4CC2">
        <w:rPr>
          <w:rStyle w:val="referencia"/>
          <w:rFonts w:ascii="Calibri" w:hAnsi="Calibri"/>
          <w:i/>
          <w:szCs w:val="22"/>
          <w:lang w:val="es-CO"/>
        </w:rPr>
        <w:t xml:space="preserve">La obligación de participación justa y equitativa en los beneficios derivados de la utilización de recursos genéticos establecida en el protocolo de Nagoya: ¿una oportunidad de desarrollo para países ricos en biodiversidad? </w:t>
      </w:r>
      <w:r w:rsidRPr="00FE4CC2">
        <w:rPr>
          <w:rStyle w:val="referencia"/>
          <w:rFonts w:ascii="Calibri" w:hAnsi="Calibri"/>
          <w:szCs w:val="22"/>
          <w:lang w:val="es-CO"/>
        </w:rPr>
        <w:t>Doctoral thesis,</w:t>
      </w:r>
      <w:r w:rsidRPr="00FE4CC2">
        <w:rPr>
          <w:rStyle w:val="referencia"/>
          <w:rFonts w:ascii="Calibri" w:hAnsi="Calibri"/>
          <w:i/>
          <w:szCs w:val="22"/>
          <w:lang w:val="es-CO"/>
        </w:rPr>
        <w:t xml:space="preserve"> </w:t>
      </w:r>
      <w:r w:rsidRPr="00FE4CC2">
        <w:rPr>
          <w:rStyle w:val="referencia"/>
          <w:rFonts w:ascii="Calibri" w:hAnsi="Calibri"/>
          <w:szCs w:val="22"/>
          <w:lang w:val="es-CO"/>
        </w:rPr>
        <w:t xml:space="preserve">Madrid, España: Universidad Rey Juan Carlos (pp. 523). </w:t>
      </w:r>
    </w:p>
    <w:p w14:paraId="709D8D1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Silvestri, L., (2015): </w:t>
      </w:r>
      <w:r w:rsidRPr="00FE4CC2">
        <w:rPr>
          <w:rStyle w:val="referencia"/>
          <w:rFonts w:ascii="Calibri" w:hAnsi="Calibri"/>
          <w:i/>
          <w:szCs w:val="22"/>
          <w:lang w:val="es-CO"/>
        </w:rPr>
        <w:t xml:space="preserve">La conservación de la diversidad genética argentina: tres desafíos para implementar el régimen de acceso a los recursos genéticos y la distribución de los beneficios. </w:t>
      </w:r>
      <w:r w:rsidRPr="00FE4CC2">
        <w:rPr>
          <w:rStyle w:val="referencia"/>
          <w:rFonts w:ascii="Calibri" w:hAnsi="Calibri"/>
          <w:i/>
          <w:szCs w:val="22"/>
        </w:rPr>
        <w:t>Revista Ecología Austral</w:t>
      </w:r>
      <w:r w:rsidRPr="00FE4CC2">
        <w:rPr>
          <w:rStyle w:val="referencia"/>
          <w:rFonts w:ascii="Calibri" w:hAnsi="Calibri"/>
          <w:szCs w:val="22"/>
        </w:rPr>
        <w:t>, 25, 273 -278.</w:t>
      </w:r>
    </w:p>
    <w:p w14:paraId="673B8E2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Simberloff, D. (2011). </w:t>
      </w:r>
      <w:r w:rsidRPr="00FE4CC2">
        <w:rPr>
          <w:rStyle w:val="referencia"/>
          <w:rFonts w:ascii="Calibri" w:hAnsi="Calibri"/>
          <w:i/>
          <w:szCs w:val="22"/>
        </w:rPr>
        <w:t>How common are invasion-induced ecosystem impacts? Biological Invasions</w:t>
      </w:r>
      <w:r w:rsidRPr="00FE4CC2">
        <w:rPr>
          <w:rStyle w:val="referencia"/>
          <w:rFonts w:ascii="Calibri" w:hAnsi="Calibri"/>
          <w:szCs w:val="22"/>
        </w:rPr>
        <w:t>, 13, 1255–1268.</w:t>
      </w:r>
    </w:p>
    <w:p w14:paraId="72C8D79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Singh, S. P., &amp; Singh, A. M. (2015). Bioprospecting: enhancing the value of biodiversity and intellectual property. In R. K. Salgotra &amp; B. B. Gupta (Eds.). </w:t>
      </w:r>
      <w:r w:rsidRPr="00FE4CC2">
        <w:rPr>
          <w:rStyle w:val="referencia"/>
          <w:rFonts w:ascii="Calibri" w:hAnsi="Calibri"/>
          <w:i/>
          <w:szCs w:val="22"/>
        </w:rPr>
        <w:t>Plant genetic resources and traditional knowledge for food security</w:t>
      </w:r>
      <w:r w:rsidRPr="00FE4CC2">
        <w:rPr>
          <w:rStyle w:val="referencia"/>
          <w:rFonts w:ascii="Calibri" w:hAnsi="Calibri"/>
          <w:szCs w:val="22"/>
        </w:rPr>
        <w:t xml:space="preserve"> (pp. 231-236). Singapore: Springer. </w:t>
      </w:r>
    </w:p>
    <w:p w14:paraId="1E04886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Skirycz, A., Kierszniowska, S., Méret, M., Willmitzer, L., &amp; Tzotzos, G. (2016). Medicinal bioprospecting of the Amazon Rainforest: a modern Eldorado? </w:t>
      </w:r>
      <w:r w:rsidRPr="00FE4CC2">
        <w:rPr>
          <w:rStyle w:val="referencia"/>
          <w:rFonts w:ascii="Calibri" w:hAnsi="Calibri"/>
          <w:i/>
          <w:szCs w:val="22"/>
        </w:rPr>
        <w:t>Trends in Biotechnology</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34, 781-790.</w:t>
      </w:r>
    </w:p>
    <w:p w14:paraId="2EF11C9A"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Slowley, G. A. (2001). Globalization and self-government: impacts and implications for First Nations in Canada.</w:t>
      </w:r>
      <w:r w:rsidRPr="00FE4CC2">
        <w:rPr>
          <w:rStyle w:val="referencia"/>
          <w:rFonts w:ascii="Calibri" w:hAnsi="Calibri"/>
          <w:i/>
          <w:szCs w:val="22"/>
        </w:rPr>
        <w:t xml:space="preserve"> The American Review of Canadian Studies</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31(1-2), 265-281.</w:t>
      </w:r>
    </w:p>
    <w:p w14:paraId="72E3033A"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rPr>
        <w:t xml:space="preserve">Snäll, T., Lehtomäki, J., Arponen, A., Elith, J., &amp; Moilanen, A. (2016). Green infrastructure design based on spatial conservation prioritization and modeling of biodiversity features and ecosystem services. </w:t>
      </w:r>
      <w:r w:rsidRPr="00FE4CC2">
        <w:rPr>
          <w:rStyle w:val="referencia"/>
          <w:rFonts w:ascii="Calibri" w:hAnsi="Calibri"/>
          <w:i/>
          <w:szCs w:val="22"/>
          <w:lang w:val="pt-BR"/>
        </w:rPr>
        <w:t>Environmental Management</w:t>
      </w:r>
      <w:r w:rsidRPr="00FE4CC2">
        <w:rPr>
          <w:rStyle w:val="referencia"/>
          <w:rFonts w:ascii="Calibri" w:hAnsi="Calibri"/>
          <w:szCs w:val="22"/>
          <w:lang w:val="pt-BR"/>
        </w:rPr>
        <w:t>, 57, 251–256.</w:t>
      </w:r>
    </w:p>
    <w:p w14:paraId="09FFCC9F"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lang w:val="pt-BR"/>
        </w:rPr>
        <w:t xml:space="preserve">Soares-Filho, B., Rajão, R., Macedo, M., Carneiro, A., Costa, W., Coe, M., Rodrigues, H., &amp; Alencar, A. (2014). Cracking Brazil’s Forest Code. </w:t>
      </w:r>
      <w:r w:rsidRPr="00FE4CC2">
        <w:rPr>
          <w:rStyle w:val="referencia"/>
          <w:rFonts w:ascii="Calibri" w:hAnsi="Calibri"/>
          <w:i/>
          <w:szCs w:val="22"/>
          <w:lang w:val="pt-BR"/>
        </w:rPr>
        <w:t>Science</w:t>
      </w:r>
      <w:r w:rsidRPr="00FE4CC2">
        <w:rPr>
          <w:rStyle w:val="referencia"/>
          <w:rFonts w:ascii="Calibri" w:hAnsi="Calibri"/>
          <w:szCs w:val="22"/>
          <w:lang w:val="pt-BR"/>
        </w:rPr>
        <w:t>,</w:t>
      </w:r>
      <w:r w:rsidRPr="00FE4CC2">
        <w:rPr>
          <w:rStyle w:val="referencia"/>
          <w:rFonts w:ascii="Calibri" w:hAnsi="Calibri"/>
          <w:i/>
          <w:szCs w:val="22"/>
          <w:lang w:val="pt-BR"/>
        </w:rPr>
        <w:t xml:space="preserve"> </w:t>
      </w:r>
      <w:r w:rsidRPr="00FE4CC2">
        <w:rPr>
          <w:rStyle w:val="referencia"/>
          <w:rFonts w:ascii="Calibri" w:hAnsi="Calibri"/>
          <w:szCs w:val="22"/>
          <w:lang w:val="pt-BR"/>
        </w:rPr>
        <w:t>344, 363-364.</w:t>
      </w:r>
    </w:p>
    <w:p w14:paraId="3559AFAD" w14:textId="77777777" w:rsidR="006969D3" w:rsidRPr="00FE4CC2" w:rsidRDefault="006969D3" w:rsidP="006969D3">
      <w:pPr>
        <w:ind w:left="851" w:hanging="851"/>
        <w:contextualSpacing/>
        <w:rPr>
          <w:rStyle w:val="referencia"/>
          <w:rFonts w:ascii="Calibri" w:hAnsi="Calibri"/>
          <w:szCs w:val="22"/>
          <w:lang w:val="en-GB"/>
        </w:rPr>
      </w:pPr>
      <w:r w:rsidRPr="00FE4CC2">
        <w:rPr>
          <w:rStyle w:val="referencia"/>
          <w:rFonts w:ascii="Calibri" w:hAnsi="Calibri"/>
          <w:szCs w:val="22"/>
          <w:lang w:val="pt-BR"/>
        </w:rPr>
        <w:t xml:space="preserve">Soares-Filho, B., Rajão, R., Merry, F., Rodrigues, H., Davis, J., Lima, L., Macedo, M., Coe, M., Carneiro, A., &amp; Santiago, L. (2016). Brazil’s market for trading forest certificates. </w:t>
      </w:r>
      <w:r w:rsidRPr="00FE4CC2">
        <w:rPr>
          <w:rStyle w:val="referencia"/>
          <w:rFonts w:ascii="Calibri" w:hAnsi="Calibri"/>
          <w:i/>
          <w:szCs w:val="22"/>
          <w:lang w:val="en-GB"/>
        </w:rPr>
        <w:t>PLoS One</w:t>
      </w:r>
      <w:r w:rsidRPr="00FE4CC2">
        <w:rPr>
          <w:rStyle w:val="referencia"/>
          <w:rFonts w:ascii="Calibri" w:hAnsi="Calibri"/>
          <w:szCs w:val="22"/>
          <w:lang w:val="en-GB"/>
        </w:rPr>
        <w:t>,</w:t>
      </w:r>
      <w:r w:rsidRPr="00FE4CC2">
        <w:rPr>
          <w:rStyle w:val="referencia"/>
          <w:rFonts w:ascii="Calibri" w:hAnsi="Calibri"/>
          <w:i/>
          <w:szCs w:val="22"/>
          <w:lang w:val="en-GB"/>
        </w:rPr>
        <w:t xml:space="preserve"> </w:t>
      </w:r>
      <w:r w:rsidRPr="00FE4CC2">
        <w:rPr>
          <w:rStyle w:val="referencia"/>
          <w:rFonts w:ascii="Calibri" w:hAnsi="Calibri"/>
          <w:szCs w:val="22"/>
          <w:lang w:val="en-GB"/>
        </w:rPr>
        <w:t>11, e0152311. https://doi.org/10.1371/journal.pone.0152311</w:t>
      </w:r>
    </w:p>
    <w:p w14:paraId="4CB5575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n-GB"/>
        </w:rPr>
        <w:t xml:space="preserve">Soriano, </w:t>
      </w:r>
      <w:r w:rsidRPr="00FE4CC2">
        <w:rPr>
          <w:rStyle w:val="referencia"/>
          <w:rFonts w:ascii="Calibri" w:hAnsi="Calibri"/>
          <w:szCs w:val="22"/>
        </w:rPr>
        <w:t xml:space="preserve">M., Kainer, K. A., Staudhammer, C. L., &amp; Soriano, E. (2012). Implementing multiple forest management in Brazil nut-rich community forests: effects of logging on natural regeneration and forest disturbance. </w:t>
      </w:r>
      <w:r w:rsidRPr="00FE4CC2">
        <w:rPr>
          <w:rStyle w:val="referencia"/>
          <w:rFonts w:ascii="Calibri" w:hAnsi="Calibri"/>
          <w:i/>
          <w:szCs w:val="22"/>
        </w:rPr>
        <w:t>Forest Ecology and Management</w:t>
      </w:r>
      <w:r w:rsidRPr="00FE4CC2">
        <w:rPr>
          <w:rStyle w:val="referencia"/>
          <w:rFonts w:ascii="Calibri" w:hAnsi="Calibri"/>
          <w:szCs w:val="22"/>
        </w:rPr>
        <w:t>, 268, 92-102.</w:t>
      </w:r>
    </w:p>
    <w:p w14:paraId="63E56A9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Southgate, D., Haab, T., Lundine, J., &amp; Rodríguez, F. (2009). Payments for environmental services and rural livelihood strategies in Ecuador and Guatemala. </w:t>
      </w:r>
      <w:r w:rsidRPr="00FE4CC2">
        <w:rPr>
          <w:rStyle w:val="referencia"/>
          <w:rFonts w:ascii="Calibri" w:hAnsi="Calibri"/>
          <w:i/>
          <w:szCs w:val="22"/>
        </w:rPr>
        <w:t>Environment and Development Economics</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15, 21–37.</w:t>
      </w:r>
    </w:p>
    <w:p w14:paraId="73381573"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rPr>
        <w:t xml:space="preserve">Souza, P. R., &amp; Queiroz, H. L. (2008). </w:t>
      </w:r>
      <w:r w:rsidRPr="00FE4CC2">
        <w:rPr>
          <w:rStyle w:val="referencia"/>
          <w:rFonts w:ascii="Calibri" w:hAnsi="Calibri"/>
          <w:szCs w:val="22"/>
          <w:lang w:val="es-CO"/>
        </w:rPr>
        <w:t>A participação dos aruanãs (</w:t>
      </w:r>
      <w:r w:rsidRPr="00FE4CC2">
        <w:rPr>
          <w:rStyle w:val="referencia"/>
          <w:rFonts w:ascii="Calibri" w:hAnsi="Calibri"/>
          <w:i/>
          <w:szCs w:val="22"/>
          <w:lang w:val="es-CO"/>
        </w:rPr>
        <w:t>Osteoglossum bicirrhosum</w:t>
      </w:r>
      <w:r w:rsidRPr="00FE4CC2">
        <w:rPr>
          <w:rStyle w:val="referencia"/>
          <w:rFonts w:ascii="Calibri" w:hAnsi="Calibri"/>
          <w:szCs w:val="22"/>
          <w:lang w:val="es-CO"/>
        </w:rPr>
        <w:t xml:space="preserve">) nos ilícitos registrados pelo sistema de fiscalização da Reserva Mamirauá. </w:t>
      </w:r>
      <w:r w:rsidRPr="00FE4CC2">
        <w:rPr>
          <w:szCs w:val="22"/>
          <w:shd w:val="clear" w:color="auto" w:fill="FFFFFF"/>
          <w:lang w:val="pt-BR"/>
        </w:rPr>
        <w:t>In: H. L. Queiroz &amp; M. Camargo (Eds.). </w:t>
      </w:r>
      <w:r w:rsidRPr="00FE4CC2">
        <w:rPr>
          <w:rStyle w:val="Strong"/>
          <w:szCs w:val="22"/>
          <w:shd w:val="clear" w:color="auto" w:fill="FFFFFF"/>
          <w:lang w:val="pt-BR"/>
        </w:rPr>
        <w:t>Biologia, Conservação e Manejo dos Aruanãs na Amazônia Brasileira</w:t>
      </w:r>
      <w:r w:rsidRPr="00FE4CC2">
        <w:rPr>
          <w:szCs w:val="22"/>
          <w:shd w:val="clear" w:color="auto" w:fill="FFFFFF"/>
          <w:lang w:val="pt-BR"/>
        </w:rPr>
        <w:t xml:space="preserve"> (p. 41-60). Tefé, Brasil: Instituto de Desenvolvimento Sustentável Mamirauá. </w:t>
      </w:r>
    </w:p>
    <w:p w14:paraId="499BC5C0"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Souza, V. L. P. (2015). Integração territorial no Mercosul: o caso da IIRSA/COSIPLAN.</w:t>
      </w:r>
      <w:r w:rsidRPr="00FE4CC2">
        <w:rPr>
          <w:rStyle w:val="referencia"/>
          <w:rFonts w:ascii="Calibri" w:hAnsi="Calibri"/>
          <w:i/>
          <w:szCs w:val="22"/>
          <w:lang w:val="es-CO"/>
        </w:rPr>
        <w:t xml:space="preserve"> Sociedade e Natureza</w:t>
      </w:r>
      <w:r w:rsidRPr="00FE4CC2">
        <w:rPr>
          <w:rStyle w:val="referencia"/>
          <w:rFonts w:ascii="Calibri" w:hAnsi="Calibri"/>
          <w:szCs w:val="22"/>
          <w:lang w:val="es-CO"/>
        </w:rPr>
        <w:t>, 27(1), 21-35.</w:t>
      </w:r>
    </w:p>
    <w:p w14:paraId="77FE430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Soysal, M., Bloemhof-Ruwaard, J. M., &amp; van der Vorst, J. G. A. J. (2014). </w:t>
      </w:r>
      <w:r w:rsidRPr="00FE4CC2">
        <w:rPr>
          <w:rStyle w:val="referencia"/>
          <w:rFonts w:ascii="Calibri" w:hAnsi="Calibri"/>
          <w:szCs w:val="22"/>
        </w:rPr>
        <w:t xml:space="preserve">Modelling food logistics networks with emission considerations: The case of an international beef supply chain. </w:t>
      </w:r>
      <w:r w:rsidRPr="00FE4CC2">
        <w:rPr>
          <w:rStyle w:val="referencia"/>
          <w:rFonts w:ascii="Calibri" w:hAnsi="Calibri"/>
          <w:i/>
          <w:szCs w:val="22"/>
        </w:rPr>
        <w:t>International Journal of Production Economics</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152, 57–70.</w:t>
      </w:r>
    </w:p>
    <w:p w14:paraId="705E02B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Spangenberg, J. H., &amp; Settele, J. (2010). Precisely incorrect? Monetising the value of ecosystem services. </w:t>
      </w:r>
      <w:r w:rsidRPr="00FE4CC2">
        <w:rPr>
          <w:rStyle w:val="referencia"/>
          <w:rFonts w:ascii="Calibri" w:hAnsi="Calibri"/>
          <w:i/>
          <w:szCs w:val="22"/>
        </w:rPr>
        <w:t>Ecological Complexity</w:t>
      </w:r>
      <w:r w:rsidRPr="00FE4CC2">
        <w:rPr>
          <w:rStyle w:val="referencia"/>
          <w:rFonts w:ascii="Calibri" w:hAnsi="Calibri"/>
          <w:szCs w:val="22"/>
        </w:rPr>
        <w:t>, 7, 327-337.</w:t>
      </w:r>
    </w:p>
    <w:p w14:paraId="619AEF8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Speziale, K. L., Lambertucci, S. A., Carrete, M., &amp; Tella, J. L. (2012). Dealing with non-native species: what makes the difference in South America? </w:t>
      </w:r>
      <w:r w:rsidRPr="00FE4CC2">
        <w:rPr>
          <w:rStyle w:val="referencia"/>
          <w:rFonts w:ascii="Calibri" w:hAnsi="Calibri"/>
          <w:i/>
          <w:szCs w:val="22"/>
        </w:rPr>
        <w:t>Biological Invasions</w:t>
      </w:r>
      <w:r w:rsidRPr="00FE4CC2">
        <w:rPr>
          <w:rStyle w:val="referencia"/>
          <w:rFonts w:ascii="Calibri" w:hAnsi="Calibri"/>
          <w:szCs w:val="22"/>
        </w:rPr>
        <w:t>, 14, 1609–1621.</w:t>
      </w:r>
    </w:p>
    <w:p w14:paraId="0FE4388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Steffen, W., Broadgate, W., Deutsch, L., Gaffney, O., Ludwig, C. (2015a). The trajectory of the Anthropocene: the Great Acceleration. </w:t>
      </w:r>
      <w:r w:rsidRPr="00FE4CC2">
        <w:rPr>
          <w:rStyle w:val="referencia"/>
          <w:rFonts w:ascii="Calibri" w:hAnsi="Calibri"/>
          <w:i/>
          <w:szCs w:val="22"/>
        </w:rPr>
        <w:t>The Anthropocene Review</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2, 81-98.</w:t>
      </w:r>
    </w:p>
    <w:p w14:paraId="41588F9E" w14:textId="77777777" w:rsidR="006969D3" w:rsidRPr="00FE4CC2" w:rsidRDefault="006969D3" w:rsidP="006969D3">
      <w:pPr>
        <w:shd w:val="clear" w:color="auto" w:fill="FFFFFF"/>
        <w:ind w:left="851" w:hanging="851"/>
        <w:rPr>
          <w:rStyle w:val="referencia"/>
          <w:rFonts w:ascii="Calibri" w:hAnsi="Calibri"/>
          <w:szCs w:val="22"/>
        </w:rPr>
      </w:pPr>
      <w:r w:rsidRPr="00FE4CC2">
        <w:rPr>
          <w:rStyle w:val="referencia"/>
          <w:rFonts w:ascii="Calibri" w:hAnsi="Calibri"/>
          <w:szCs w:val="22"/>
        </w:rPr>
        <w:t xml:space="preserve">Steffen, W., Richardson, K., Rockström, J., </w:t>
      </w:r>
      <w:r w:rsidRPr="00FE4CC2">
        <w:rPr>
          <w:rStyle w:val="name"/>
          <w:bCs/>
          <w:szCs w:val="22"/>
        </w:rPr>
        <w:t>Cornell</w:t>
      </w:r>
      <w:r w:rsidRPr="00FE4CC2">
        <w:rPr>
          <w:bCs/>
          <w:szCs w:val="22"/>
        </w:rPr>
        <w:t>, </w:t>
      </w:r>
      <w:r w:rsidRPr="00FE4CC2">
        <w:rPr>
          <w:rStyle w:val="name"/>
          <w:bCs/>
          <w:szCs w:val="22"/>
        </w:rPr>
        <w:t>S. E., Fetzer</w:t>
      </w:r>
      <w:r w:rsidRPr="00FE4CC2">
        <w:rPr>
          <w:bCs/>
          <w:szCs w:val="22"/>
        </w:rPr>
        <w:t xml:space="preserve">, </w:t>
      </w:r>
      <w:r w:rsidRPr="00FE4CC2">
        <w:rPr>
          <w:rStyle w:val="name"/>
          <w:bCs/>
          <w:szCs w:val="22"/>
        </w:rPr>
        <w:t>I., Bennett</w:t>
      </w:r>
      <w:r w:rsidRPr="00FE4CC2">
        <w:rPr>
          <w:bCs/>
          <w:szCs w:val="22"/>
        </w:rPr>
        <w:t xml:space="preserve">, </w:t>
      </w:r>
      <w:r w:rsidRPr="00FE4CC2">
        <w:rPr>
          <w:rStyle w:val="name"/>
          <w:bCs/>
          <w:szCs w:val="22"/>
        </w:rPr>
        <w:t>E. M., Biggs</w:t>
      </w:r>
      <w:r w:rsidRPr="00FE4CC2">
        <w:rPr>
          <w:bCs/>
          <w:szCs w:val="22"/>
        </w:rPr>
        <w:t>, </w:t>
      </w:r>
      <w:r w:rsidRPr="00FE4CC2">
        <w:rPr>
          <w:rStyle w:val="name"/>
          <w:bCs/>
          <w:szCs w:val="22"/>
        </w:rPr>
        <w:t>R., Carpenter</w:t>
      </w:r>
      <w:r w:rsidRPr="00FE4CC2">
        <w:rPr>
          <w:bCs/>
          <w:szCs w:val="22"/>
        </w:rPr>
        <w:t>, </w:t>
      </w:r>
      <w:r w:rsidRPr="00FE4CC2">
        <w:rPr>
          <w:rStyle w:val="name"/>
          <w:bCs/>
          <w:szCs w:val="22"/>
        </w:rPr>
        <w:t>S. R., de Vries</w:t>
      </w:r>
      <w:r w:rsidRPr="00FE4CC2">
        <w:rPr>
          <w:bCs/>
          <w:szCs w:val="22"/>
        </w:rPr>
        <w:t>, </w:t>
      </w:r>
      <w:r w:rsidRPr="00FE4CC2">
        <w:rPr>
          <w:rStyle w:val="name"/>
          <w:bCs/>
          <w:szCs w:val="22"/>
        </w:rPr>
        <w:t>W., de Wit</w:t>
      </w:r>
      <w:r w:rsidRPr="00FE4CC2">
        <w:rPr>
          <w:bCs/>
          <w:szCs w:val="22"/>
        </w:rPr>
        <w:t>, </w:t>
      </w:r>
      <w:r w:rsidRPr="00FE4CC2">
        <w:rPr>
          <w:rStyle w:val="name"/>
          <w:bCs/>
          <w:szCs w:val="22"/>
        </w:rPr>
        <w:t>C. A., Folke</w:t>
      </w:r>
      <w:r w:rsidRPr="00FE4CC2">
        <w:rPr>
          <w:bCs/>
          <w:szCs w:val="22"/>
        </w:rPr>
        <w:t xml:space="preserve">, </w:t>
      </w:r>
      <w:r w:rsidRPr="00FE4CC2">
        <w:rPr>
          <w:rStyle w:val="name"/>
          <w:bCs/>
          <w:szCs w:val="22"/>
        </w:rPr>
        <w:t>C., Gerten</w:t>
      </w:r>
      <w:r w:rsidRPr="00FE4CC2">
        <w:rPr>
          <w:bCs/>
          <w:szCs w:val="22"/>
        </w:rPr>
        <w:t>, </w:t>
      </w:r>
      <w:r w:rsidRPr="00FE4CC2">
        <w:rPr>
          <w:rStyle w:val="name"/>
          <w:bCs/>
          <w:szCs w:val="22"/>
        </w:rPr>
        <w:t>D., Heinke</w:t>
      </w:r>
      <w:r w:rsidRPr="00FE4CC2">
        <w:rPr>
          <w:bCs/>
          <w:szCs w:val="22"/>
        </w:rPr>
        <w:t>, </w:t>
      </w:r>
      <w:r w:rsidRPr="00FE4CC2">
        <w:rPr>
          <w:rStyle w:val="name"/>
          <w:bCs/>
          <w:szCs w:val="22"/>
        </w:rPr>
        <w:t>J., Mace</w:t>
      </w:r>
      <w:r w:rsidRPr="00FE4CC2">
        <w:rPr>
          <w:bCs/>
          <w:szCs w:val="22"/>
        </w:rPr>
        <w:t>, </w:t>
      </w:r>
      <w:r w:rsidRPr="00FE4CC2">
        <w:rPr>
          <w:rStyle w:val="name"/>
          <w:bCs/>
          <w:szCs w:val="22"/>
        </w:rPr>
        <w:t>G. M., Persson</w:t>
      </w:r>
      <w:r w:rsidRPr="00FE4CC2">
        <w:rPr>
          <w:bCs/>
          <w:szCs w:val="22"/>
        </w:rPr>
        <w:t>, </w:t>
      </w:r>
      <w:r w:rsidRPr="00FE4CC2">
        <w:rPr>
          <w:rStyle w:val="name"/>
          <w:bCs/>
          <w:szCs w:val="22"/>
        </w:rPr>
        <w:t>L. M., Ramanathan</w:t>
      </w:r>
      <w:r w:rsidRPr="00FE4CC2">
        <w:rPr>
          <w:bCs/>
          <w:szCs w:val="22"/>
        </w:rPr>
        <w:t>, </w:t>
      </w:r>
      <w:r w:rsidRPr="00FE4CC2">
        <w:rPr>
          <w:rStyle w:val="name"/>
          <w:bCs/>
          <w:szCs w:val="22"/>
        </w:rPr>
        <w:t>V., Reyers</w:t>
      </w:r>
      <w:r w:rsidRPr="00FE4CC2">
        <w:rPr>
          <w:bCs/>
          <w:szCs w:val="22"/>
        </w:rPr>
        <w:t>, </w:t>
      </w:r>
      <w:r w:rsidRPr="00FE4CC2">
        <w:rPr>
          <w:rStyle w:val="name"/>
          <w:bCs/>
          <w:szCs w:val="22"/>
        </w:rPr>
        <w:t>B., &amp; Sörlin, S.</w:t>
      </w:r>
      <w:r w:rsidRPr="00FE4CC2">
        <w:rPr>
          <w:rStyle w:val="referencia"/>
          <w:rFonts w:ascii="Calibri" w:hAnsi="Calibri"/>
          <w:szCs w:val="22"/>
        </w:rPr>
        <w:t xml:space="preserve"> (2015b). Planetary boundaries: guiding human development on a changing planet. </w:t>
      </w:r>
      <w:r w:rsidRPr="00FE4CC2">
        <w:rPr>
          <w:rStyle w:val="referencia"/>
          <w:rFonts w:ascii="Calibri" w:hAnsi="Calibri"/>
          <w:i/>
          <w:szCs w:val="22"/>
        </w:rPr>
        <w:t>Science</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 xml:space="preserve">347, 1259855. </w:t>
      </w:r>
      <w:r w:rsidRPr="00FE4CC2">
        <w:rPr>
          <w:rStyle w:val="referencia"/>
          <w:rFonts w:ascii="Calibri" w:hAnsi="Calibri"/>
          <w:szCs w:val="22"/>
          <w:lang w:val="en-GB"/>
        </w:rPr>
        <w:t>https://doi.org/</w:t>
      </w:r>
      <w:r w:rsidRPr="00FE4CC2">
        <w:rPr>
          <w:rStyle w:val="referencia"/>
          <w:rFonts w:ascii="Calibri" w:hAnsi="Calibri"/>
          <w:szCs w:val="22"/>
        </w:rPr>
        <w:t>10.1126/science.1259855.</w:t>
      </w:r>
    </w:p>
    <w:p w14:paraId="7D8A89A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Stephenson, P. J., Brooks, T. M., Butchart, S. H., Fegraus, E., Geller, G. N., Hoft, R., Hutton, J., Kingston, N., Long, B., &amp; McRae, L. (2017). Priorities for big biodiversity data. </w:t>
      </w:r>
      <w:r w:rsidRPr="00FE4CC2">
        <w:rPr>
          <w:rStyle w:val="referencia"/>
          <w:rFonts w:ascii="Calibri" w:hAnsi="Calibri"/>
          <w:i/>
          <w:szCs w:val="22"/>
        </w:rPr>
        <w:t>Frontiers in Ecology and the Environment</w:t>
      </w:r>
      <w:r w:rsidRPr="00FE4CC2">
        <w:rPr>
          <w:rStyle w:val="referencia"/>
          <w:rFonts w:ascii="Calibri" w:hAnsi="Calibri"/>
          <w:szCs w:val="22"/>
        </w:rPr>
        <w:t>, 15(3), 124-125.</w:t>
      </w:r>
    </w:p>
    <w:p w14:paraId="46D06D31"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Stockholm University. (2014). </w:t>
      </w:r>
      <w:r w:rsidRPr="00FE4CC2">
        <w:rPr>
          <w:rStyle w:val="referencia"/>
          <w:rFonts w:ascii="Calibri" w:hAnsi="Calibri"/>
          <w:i/>
          <w:szCs w:val="22"/>
        </w:rPr>
        <w:t xml:space="preserve">Applying resilience thinking: Seven principles for building resilience in social-ecological systems. </w:t>
      </w:r>
      <w:r w:rsidRPr="00FE4CC2">
        <w:rPr>
          <w:rStyle w:val="referencia"/>
          <w:rFonts w:ascii="Calibri" w:hAnsi="Calibri"/>
          <w:szCs w:val="22"/>
        </w:rPr>
        <w:t>Stockholm Resilience Centre and Stockholm University, 20 p.</w:t>
      </w:r>
    </w:p>
    <w:p w14:paraId="44F9C53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Stronza, A. (2008). The bold agenda of ecotourism</w:t>
      </w:r>
      <w:r w:rsidRPr="00FE4CC2">
        <w:rPr>
          <w:rStyle w:val="referencia"/>
          <w:rFonts w:ascii="Calibri" w:hAnsi="Calibri"/>
          <w:i/>
          <w:szCs w:val="22"/>
        </w:rPr>
        <w:t xml:space="preserve">. </w:t>
      </w:r>
      <w:r w:rsidRPr="00FE4CC2">
        <w:rPr>
          <w:rStyle w:val="referencia"/>
          <w:rFonts w:ascii="Calibri" w:hAnsi="Calibri"/>
          <w:szCs w:val="22"/>
        </w:rPr>
        <w:t>In A. Stronza &amp; W. H. Durham (Eds.).</w:t>
      </w:r>
      <w:r w:rsidRPr="00FE4CC2">
        <w:rPr>
          <w:rStyle w:val="referencia"/>
          <w:rFonts w:ascii="Calibri" w:hAnsi="Calibri"/>
          <w:i/>
          <w:szCs w:val="22"/>
        </w:rPr>
        <w:t xml:space="preserve"> Ecotourism and Conservation in the Americas </w:t>
      </w:r>
      <w:r w:rsidRPr="00FE4CC2">
        <w:rPr>
          <w:rStyle w:val="referencia"/>
          <w:rFonts w:ascii="Calibri" w:hAnsi="Calibri"/>
          <w:szCs w:val="22"/>
        </w:rPr>
        <w:t>(pp. 3-17).</w:t>
      </w:r>
      <w:r w:rsidRPr="00FE4CC2">
        <w:rPr>
          <w:rStyle w:val="referencia"/>
          <w:rFonts w:ascii="Calibri" w:hAnsi="Calibri"/>
          <w:i/>
          <w:szCs w:val="22"/>
        </w:rPr>
        <w:t xml:space="preserve"> </w:t>
      </w:r>
      <w:r w:rsidRPr="00FE4CC2">
        <w:rPr>
          <w:rStyle w:val="referencia"/>
          <w:rFonts w:ascii="Calibri" w:hAnsi="Calibri"/>
          <w:szCs w:val="22"/>
        </w:rPr>
        <w:t>Wallingford, UK: Cabi International.</w:t>
      </w:r>
    </w:p>
    <w:p w14:paraId="3D10D09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Tayleur, C., Balmford, A., Buchanan, G. M., Butchart, S. H. M., Ducharme, H., Green, R. E., Milder, J. C., Sanderson, F. J., Thomas, D. H. L., Vickery, J., &amp; Phalan, B. (2017). Global coverage of agricultural sustainability standards, and their role in conserving biodiversity. </w:t>
      </w:r>
      <w:r w:rsidRPr="00FE4CC2">
        <w:rPr>
          <w:rStyle w:val="referencia"/>
          <w:rFonts w:ascii="Calibri" w:hAnsi="Calibri"/>
          <w:i/>
          <w:szCs w:val="22"/>
        </w:rPr>
        <w:t>Conservation Letters</w:t>
      </w:r>
      <w:r w:rsidRPr="00FE4CC2">
        <w:rPr>
          <w:rStyle w:val="referencia"/>
          <w:rFonts w:ascii="Calibri" w:hAnsi="Calibri"/>
          <w:szCs w:val="22"/>
        </w:rPr>
        <w:t xml:space="preserve">, 10(5), 610-618. </w:t>
      </w:r>
      <w:r w:rsidRPr="00FE4CC2">
        <w:rPr>
          <w:rStyle w:val="referencia"/>
          <w:rFonts w:ascii="Calibri" w:hAnsi="Calibri"/>
          <w:szCs w:val="22"/>
          <w:lang w:val="en-GB"/>
        </w:rPr>
        <w:t>https://doi.org/</w:t>
      </w:r>
      <w:r w:rsidRPr="00FE4CC2">
        <w:rPr>
          <w:rStyle w:val="referencia"/>
          <w:rFonts w:ascii="Calibri" w:hAnsi="Calibri"/>
          <w:szCs w:val="22"/>
        </w:rPr>
        <w:t>10.1111/conl.12314.</w:t>
      </w:r>
    </w:p>
    <w:p w14:paraId="491DF38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TEEB (2010). </w:t>
      </w:r>
      <w:r w:rsidRPr="00FE4CC2">
        <w:rPr>
          <w:rStyle w:val="referencia"/>
          <w:rFonts w:ascii="Calibri" w:hAnsi="Calibri"/>
          <w:i/>
          <w:szCs w:val="22"/>
        </w:rPr>
        <w:t xml:space="preserve">The Economics of Ecosystems and Biodiversity Ecological and Economic Foundations. </w:t>
      </w:r>
      <w:r w:rsidRPr="00FE4CC2">
        <w:rPr>
          <w:rStyle w:val="referencia"/>
          <w:rFonts w:ascii="Calibri" w:hAnsi="Calibri"/>
          <w:szCs w:val="22"/>
        </w:rPr>
        <w:t xml:space="preserve">London and Washington: Earthscan. </w:t>
      </w:r>
    </w:p>
    <w:p w14:paraId="1D13C235"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Ten Kate, K., &amp; Wells, A. 2001. </w:t>
      </w:r>
      <w:r w:rsidRPr="00FE4CC2">
        <w:rPr>
          <w:rStyle w:val="referencia"/>
          <w:rFonts w:ascii="Calibri" w:hAnsi="Calibri"/>
          <w:i/>
          <w:szCs w:val="22"/>
        </w:rPr>
        <w:t>Preparing a National Strategy on Access to Genetic Resources and Benefit-Sharing: A Pilot Study</w:t>
      </w:r>
      <w:r w:rsidRPr="00FE4CC2">
        <w:rPr>
          <w:rStyle w:val="referencia"/>
          <w:rFonts w:ascii="Calibri" w:hAnsi="Calibri"/>
          <w:szCs w:val="22"/>
        </w:rPr>
        <w:t xml:space="preserve">. Richmond, UK: Royal Botanic Gardens Kew (74 pp). </w:t>
      </w:r>
    </w:p>
    <w:p w14:paraId="1A0E280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Traxler, G. (2006). The GMO experience in North and South America. </w:t>
      </w:r>
      <w:r w:rsidRPr="00FE4CC2">
        <w:rPr>
          <w:rStyle w:val="referencia"/>
          <w:rFonts w:ascii="Calibri" w:hAnsi="Calibri"/>
          <w:i/>
          <w:szCs w:val="22"/>
        </w:rPr>
        <w:t xml:space="preserve">International Journal of Technology and Globalisation, </w:t>
      </w:r>
      <w:r w:rsidRPr="00FE4CC2">
        <w:rPr>
          <w:rStyle w:val="referencia"/>
          <w:rFonts w:ascii="Calibri" w:hAnsi="Calibri"/>
          <w:szCs w:val="22"/>
        </w:rPr>
        <w:t>2 (1/2), 46-64.</w:t>
      </w:r>
    </w:p>
    <w:p w14:paraId="2C222D92" w14:textId="77777777" w:rsidR="006969D3" w:rsidRPr="00FE4CC2" w:rsidRDefault="006969D3" w:rsidP="006969D3">
      <w:pPr>
        <w:widowControl w:val="0"/>
        <w:autoSpaceDE w:val="0"/>
        <w:autoSpaceDN w:val="0"/>
        <w:adjustRightInd w:val="0"/>
        <w:ind w:left="851" w:hanging="851"/>
        <w:contextualSpacing/>
        <w:rPr>
          <w:noProof/>
          <w:szCs w:val="22"/>
        </w:rPr>
      </w:pPr>
      <w:r w:rsidRPr="00FE4CC2">
        <w:rPr>
          <w:noProof/>
          <w:szCs w:val="22"/>
          <w:lang w:val="pt-BR"/>
        </w:rPr>
        <w:t xml:space="preserve">Trejo-Salazar, R. -E., Eguiarte, L. E., Suro-Piñera, D., &amp; Medellin, R. A. (2016). </w:t>
      </w:r>
      <w:r w:rsidRPr="00FE4CC2">
        <w:rPr>
          <w:noProof/>
          <w:szCs w:val="22"/>
        </w:rPr>
        <w:t xml:space="preserve">Save our bats, save our tequila: Industry and science join forces to help bats and agaves. </w:t>
      </w:r>
      <w:r w:rsidRPr="00FE4CC2">
        <w:rPr>
          <w:i/>
          <w:iCs/>
          <w:noProof/>
          <w:szCs w:val="22"/>
        </w:rPr>
        <w:t>Natural Areas Journal</w:t>
      </w:r>
      <w:r w:rsidRPr="00FE4CC2">
        <w:rPr>
          <w:noProof/>
          <w:szCs w:val="22"/>
        </w:rPr>
        <w:t xml:space="preserve">, </w:t>
      </w:r>
      <w:r w:rsidRPr="00FE4CC2">
        <w:rPr>
          <w:iCs/>
          <w:noProof/>
          <w:szCs w:val="22"/>
        </w:rPr>
        <w:t>36</w:t>
      </w:r>
      <w:r w:rsidRPr="00FE4CC2">
        <w:rPr>
          <w:noProof/>
          <w:szCs w:val="22"/>
        </w:rPr>
        <w:t xml:space="preserve">(4), 523–530. </w:t>
      </w:r>
      <w:hyperlink r:id="rId1131" w:history="1">
        <w:r w:rsidRPr="00FE4CC2">
          <w:rPr>
            <w:rStyle w:val="Hyperlink"/>
            <w:noProof/>
            <w:szCs w:val="22"/>
          </w:rPr>
          <w:t>https://doi.org/10.3375/043.036.0417</w:t>
        </w:r>
      </w:hyperlink>
    </w:p>
    <w:p w14:paraId="363B0724" w14:textId="77777777" w:rsidR="006969D3" w:rsidRPr="00FE4CC2" w:rsidRDefault="006969D3" w:rsidP="006969D3">
      <w:pPr>
        <w:pStyle w:val="NormalWeb"/>
        <w:ind w:left="851" w:hanging="851"/>
        <w:contextualSpacing/>
        <w:rPr>
          <w:szCs w:val="22"/>
          <w:lang w:val="en-GB"/>
        </w:rPr>
      </w:pPr>
      <w:r w:rsidRPr="00FE4CC2">
        <w:rPr>
          <w:szCs w:val="22"/>
          <w:lang w:val="en-GB"/>
        </w:rPr>
        <w:t xml:space="preserve">Trinidad and Tobago (2016): </w:t>
      </w:r>
      <w:r w:rsidRPr="00FE4CC2">
        <w:rPr>
          <w:i/>
          <w:szCs w:val="22"/>
          <w:lang w:val="en-GB"/>
        </w:rPr>
        <w:t xml:space="preserve">Fifth National Report to the United Nations Convention on Biological Diversity. Government of the Republic of Trinidad &amp; Tobago. </w:t>
      </w:r>
      <w:r w:rsidRPr="00FE4CC2">
        <w:rPr>
          <w:szCs w:val="22"/>
          <w:lang w:val="en-GB"/>
        </w:rPr>
        <w:t xml:space="preserve">Port of Spain, Trinidad. Available at: </w:t>
      </w:r>
      <w:hyperlink r:id="rId1132" w:history="1">
        <w:r w:rsidRPr="00FE4CC2">
          <w:rPr>
            <w:rStyle w:val="Hyperlink"/>
            <w:szCs w:val="22"/>
            <w:lang w:val="en-GB"/>
          </w:rPr>
          <w:t>https://www.cbd.int/doc/world/tt/tt-nr-05-en.pdf</w:t>
        </w:r>
      </w:hyperlink>
      <w:r w:rsidRPr="00FE4CC2">
        <w:rPr>
          <w:szCs w:val="22"/>
          <w:lang w:val="en-GB"/>
        </w:rPr>
        <w:t>.</w:t>
      </w:r>
    </w:p>
    <w:p w14:paraId="118DC666" w14:textId="77777777" w:rsidR="006969D3" w:rsidRPr="00FE4CC2" w:rsidRDefault="006969D3" w:rsidP="006969D3">
      <w:pPr>
        <w:pStyle w:val="NormalWeb"/>
        <w:ind w:left="851" w:hanging="851"/>
        <w:contextualSpacing/>
        <w:rPr>
          <w:szCs w:val="22"/>
          <w:lang w:val="en-GB"/>
        </w:rPr>
      </w:pPr>
      <w:r w:rsidRPr="00FE4CC2">
        <w:rPr>
          <w:szCs w:val="22"/>
          <w:lang w:val="pt-BR"/>
        </w:rPr>
        <w:t xml:space="preserve">Triyanti, A., &amp; Chu, E. K. (2017). </w:t>
      </w:r>
      <w:r w:rsidRPr="00FE4CC2">
        <w:rPr>
          <w:szCs w:val="22"/>
          <w:lang w:val="en-GB"/>
        </w:rPr>
        <w:t xml:space="preserve">A survey of governance approaches to ecosystem-based disaster risk reduction: Current gaps and future directions. </w:t>
      </w:r>
      <w:r w:rsidRPr="00FE4CC2">
        <w:rPr>
          <w:i/>
          <w:szCs w:val="22"/>
          <w:lang w:val="en-GB"/>
        </w:rPr>
        <w:t xml:space="preserve">International Journal of Disaster Risk Reduction </w:t>
      </w:r>
      <w:r w:rsidRPr="00FE4CC2">
        <w:rPr>
          <w:szCs w:val="22"/>
          <w:lang w:val="en-GB"/>
        </w:rPr>
        <w:t xml:space="preserve">(in press). </w:t>
      </w:r>
      <w:r w:rsidRPr="00FE4CC2">
        <w:rPr>
          <w:rStyle w:val="referencia"/>
          <w:rFonts w:ascii="Calibri" w:hAnsi="Calibri"/>
          <w:szCs w:val="22"/>
          <w:lang w:val="en-GB"/>
        </w:rPr>
        <w:t>https://doi.org/</w:t>
      </w:r>
      <w:r w:rsidRPr="00FE4CC2">
        <w:rPr>
          <w:szCs w:val="22"/>
          <w:lang w:val="en-GB"/>
        </w:rPr>
        <w:t>10.1016/j.ijdrr.2017.11.005.</w:t>
      </w:r>
    </w:p>
    <w:p w14:paraId="0700F42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Tucker, C. M. (2010). Learning on governance in forest ecosystems: Lessons from recent research. </w:t>
      </w:r>
      <w:r w:rsidRPr="00FE4CC2">
        <w:rPr>
          <w:rStyle w:val="referencia"/>
          <w:rFonts w:ascii="Calibri" w:hAnsi="Calibri"/>
          <w:i/>
          <w:szCs w:val="22"/>
        </w:rPr>
        <w:t>International Journal of the Commons</w:t>
      </w:r>
      <w:r w:rsidRPr="00FE4CC2">
        <w:rPr>
          <w:rStyle w:val="referencia"/>
          <w:rFonts w:ascii="Calibri" w:hAnsi="Calibri"/>
          <w:szCs w:val="22"/>
        </w:rPr>
        <w:t>, 4(2), 687–706.</w:t>
      </w:r>
    </w:p>
    <w:p w14:paraId="4AA22486" w14:textId="77777777" w:rsidR="006969D3" w:rsidRPr="00FE4CC2" w:rsidRDefault="006969D3" w:rsidP="006969D3">
      <w:pPr>
        <w:widowControl w:val="0"/>
        <w:autoSpaceDE w:val="0"/>
        <w:autoSpaceDN w:val="0"/>
        <w:adjustRightInd w:val="0"/>
        <w:ind w:left="851" w:hanging="851"/>
        <w:contextualSpacing/>
        <w:rPr>
          <w:szCs w:val="22"/>
        </w:rPr>
      </w:pPr>
      <w:r w:rsidRPr="00FE4CC2">
        <w:rPr>
          <w:szCs w:val="22"/>
        </w:rPr>
        <w:t xml:space="preserve">UN (2015a). </w:t>
      </w:r>
      <w:r w:rsidRPr="00FE4CC2">
        <w:rPr>
          <w:i/>
          <w:szCs w:val="22"/>
        </w:rPr>
        <w:t>MDG Success Springboard for New Sustainable Development Agenda: United Nations Report. Latin America and the Caribbean Continue to Show Impressive Gains in Many Areas, Although Disparities Exist Between the Sub-Regions</w:t>
      </w:r>
      <w:r w:rsidRPr="00FE4CC2">
        <w:rPr>
          <w:szCs w:val="22"/>
        </w:rPr>
        <w:t xml:space="preserve">. Available at </w:t>
      </w:r>
      <w:hyperlink r:id="rId1133" w:history="1">
        <w:r w:rsidRPr="00FE4CC2">
          <w:rPr>
            <w:rStyle w:val="Hyperlink"/>
            <w:szCs w:val="22"/>
          </w:rPr>
          <w:t>www.un.org/millenniumgoals/ 2015_MDG_Report/pdf/MDG%202015%20PR%20Regional%20LAC.pdf</w:t>
        </w:r>
      </w:hyperlink>
      <w:r w:rsidRPr="00FE4CC2">
        <w:rPr>
          <w:szCs w:val="22"/>
        </w:rPr>
        <w:t xml:space="preserve">  </w:t>
      </w:r>
    </w:p>
    <w:p w14:paraId="49600BA9" w14:textId="77777777" w:rsidR="006969D3" w:rsidRPr="00FE4CC2" w:rsidRDefault="006969D3" w:rsidP="006969D3">
      <w:pPr>
        <w:widowControl w:val="0"/>
        <w:autoSpaceDE w:val="0"/>
        <w:autoSpaceDN w:val="0"/>
        <w:adjustRightInd w:val="0"/>
        <w:ind w:left="851" w:hanging="851"/>
        <w:contextualSpacing/>
        <w:rPr>
          <w:szCs w:val="22"/>
        </w:rPr>
      </w:pPr>
      <w:r w:rsidRPr="00FE4CC2">
        <w:rPr>
          <w:szCs w:val="22"/>
        </w:rPr>
        <w:t xml:space="preserve">UN (2015b). </w:t>
      </w:r>
      <w:r w:rsidRPr="00FE4CC2">
        <w:rPr>
          <w:i/>
          <w:szCs w:val="22"/>
        </w:rPr>
        <w:t>Transforming Our World: The 2030 Agenda for Sustainable Development. United Nations</w:t>
      </w:r>
      <w:r w:rsidRPr="00FE4CC2">
        <w:rPr>
          <w:szCs w:val="22"/>
        </w:rPr>
        <w:t xml:space="preserve">. Available at: </w:t>
      </w:r>
      <w:r w:rsidRPr="00FE4CC2">
        <w:rPr>
          <w:bCs/>
          <w:szCs w:val="22"/>
        </w:rPr>
        <w:t>sustainabledevelopment.un.org</w:t>
      </w:r>
    </w:p>
    <w:p w14:paraId="04AC2A3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UN (2016). </w:t>
      </w:r>
      <w:r w:rsidRPr="00FE4CC2">
        <w:rPr>
          <w:rStyle w:val="referencia"/>
          <w:rFonts w:ascii="Calibri" w:hAnsi="Calibri"/>
          <w:i/>
          <w:szCs w:val="22"/>
        </w:rPr>
        <w:t>Sustainable Development Knowledge Platform. United Nations, Department of Economic and Social Affairs</w:t>
      </w:r>
      <w:r w:rsidRPr="00FE4CC2">
        <w:rPr>
          <w:rStyle w:val="referencia"/>
          <w:rFonts w:ascii="Calibri" w:hAnsi="Calibri"/>
          <w:szCs w:val="22"/>
        </w:rPr>
        <w:t>. Available at: https://sustainabledevelopment.un.org</w:t>
      </w:r>
    </w:p>
    <w:p w14:paraId="5BDC2EF6" w14:textId="77777777" w:rsidR="006969D3" w:rsidRPr="00FE4CC2" w:rsidRDefault="006969D3" w:rsidP="006969D3">
      <w:pPr>
        <w:ind w:left="851" w:hanging="851"/>
        <w:contextualSpacing/>
        <w:rPr>
          <w:rStyle w:val="referencia"/>
          <w:rFonts w:ascii="Calibri" w:hAnsi="Calibri"/>
          <w:i/>
          <w:szCs w:val="22"/>
        </w:rPr>
      </w:pPr>
      <w:r w:rsidRPr="00FE4CC2">
        <w:rPr>
          <w:rStyle w:val="referencia"/>
          <w:rFonts w:ascii="Calibri" w:hAnsi="Calibri"/>
          <w:szCs w:val="22"/>
        </w:rPr>
        <w:t xml:space="preserve">UNDP (2015). </w:t>
      </w:r>
      <w:r w:rsidRPr="00FE4CC2">
        <w:rPr>
          <w:rStyle w:val="referencia"/>
          <w:rFonts w:ascii="Calibri" w:hAnsi="Calibri"/>
          <w:i/>
          <w:szCs w:val="22"/>
        </w:rPr>
        <w:t>2015 Human Development Report. United Nations Development Program, New York.</w:t>
      </w:r>
    </w:p>
    <w:p w14:paraId="290268F0"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UNEP (2012). </w:t>
      </w:r>
      <w:r w:rsidRPr="00FE4CC2">
        <w:rPr>
          <w:rStyle w:val="referencia"/>
          <w:rFonts w:ascii="Calibri" w:hAnsi="Calibri"/>
          <w:i/>
          <w:szCs w:val="22"/>
        </w:rPr>
        <w:t xml:space="preserve">GEO-5: Environment for the Future We Want. </w:t>
      </w:r>
      <w:r w:rsidRPr="00FE4CC2">
        <w:rPr>
          <w:rStyle w:val="referencia"/>
          <w:rFonts w:ascii="Calibri" w:hAnsi="Calibri"/>
          <w:szCs w:val="22"/>
        </w:rPr>
        <w:t>Nairobi, Kenya: United Nations Environment Programme.</w:t>
      </w:r>
    </w:p>
    <w:p w14:paraId="5C80834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UNEP (2013). </w:t>
      </w:r>
      <w:r w:rsidRPr="00FE4CC2">
        <w:rPr>
          <w:rStyle w:val="referencia"/>
          <w:rFonts w:ascii="Calibri" w:hAnsi="Calibri"/>
          <w:i/>
          <w:szCs w:val="22"/>
        </w:rPr>
        <w:t>South-South Cooperation: Sharing National Pathways Towards Inclusive Green Economies.</w:t>
      </w:r>
      <w:r w:rsidRPr="00FE4CC2">
        <w:rPr>
          <w:rStyle w:val="referencia"/>
          <w:rFonts w:ascii="Calibri" w:hAnsi="Calibri"/>
          <w:szCs w:val="22"/>
        </w:rPr>
        <w:t xml:space="preserve"> Geneva, Switzerland: United Nations Environment Programme.</w:t>
      </w:r>
    </w:p>
    <w:p w14:paraId="4939D8B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UNEP Finance Initiative (2010). </w:t>
      </w:r>
      <w:r w:rsidRPr="00FE4CC2">
        <w:rPr>
          <w:rStyle w:val="referencia"/>
          <w:rFonts w:ascii="Calibri" w:hAnsi="Calibri"/>
          <w:i/>
          <w:szCs w:val="22"/>
        </w:rPr>
        <w:t xml:space="preserve">Demystifying Materiality: Hardwiring Biodiversity and Ecosystem Services Into Finance. CEO Briefing. </w:t>
      </w:r>
      <w:r w:rsidRPr="00FE4CC2">
        <w:rPr>
          <w:rStyle w:val="referencia"/>
          <w:rFonts w:ascii="Calibri" w:hAnsi="Calibri"/>
          <w:szCs w:val="22"/>
        </w:rPr>
        <w:t xml:space="preserve">Geneva, Switzerland: United Nations Environment Programme. Available at: </w:t>
      </w:r>
      <w:hyperlink r:id="rId1134" w:history="1">
        <w:r w:rsidRPr="00FE4CC2">
          <w:rPr>
            <w:rStyle w:val="referencia"/>
            <w:rFonts w:ascii="Calibri" w:hAnsi="Calibri"/>
            <w:szCs w:val="22"/>
          </w:rPr>
          <w:t>http://www.unepfi.org/fileadmin/documents/CEO_</w:t>
        </w:r>
      </w:hyperlink>
      <w:r w:rsidRPr="00FE4CC2">
        <w:rPr>
          <w:rStyle w:val="referencia"/>
          <w:rFonts w:ascii="Calibri" w:hAnsi="Calibri"/>
          <w:szCs w:val="22"/>
        </w:rPr>
        <w:t xml:space="preserve"> DemystifyingMateriality.pdf</w:t>
      </w:r>
    </w:p>
    <w:p w14:paraId="4B3BEA14"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UNEP Finance Initiative (2015). </w:t>
      </w:r>
      <w:r w:rsidRPr="00FE4CC2">
        <w:rPr>
          <w:rStyle w:val="referencia"/>
          <w:rFonts w:ascii="Calibri" w:hAnsi="Calibri"/>
          <w:i/>
          <w:szCs w:val="22"/>
        </w:rPr>
        <w:t xml:space="preserve">Bank and Investor Risk Policies on Soft Commodities. </w:t>
      </w:r>
      <w:r w:rsidRPr="00FE4CC2">
        <w:rPr>
          <w:rStyle w:val="referencia"/>
          <w:rFonts w:ascii="Calibri" w:hAnsi="Calibri"/>
          <w:szCs w:val="22"/>
        </w:rPr>
        <w:t xml:space="preserve">Geneva, Switzerland: United Nations Environment Programme. Available at: </w:t>
      </w:r>
      <w:hyperlink r:id="rId1135" w:history="1">
        <w:r w:rsidRPr="00FE4CC2">
          <w:rPr>
            <w:rStyle w:val="referencia"/>
            <w:rFonts w:ascii="Calibri" w:hAnsi="Calibri"/>
            <w:szCs w:val="22"/>
          </w:rPr>
          <w:t>http://www.naturalcapitalfinancealliance.org/documents/wgi/NCD%20-%20SOFT%20</w:t>
        </w:r>
      </w:hyperlink>
      <w:r w:rsidRPr="00FE4CC2">
        <w:rPr>
          <w:rStyle w:val="referencia"/>
          <w:rFonts w:ascii="Calibri" w:hAnsi="Calibri"/>
          <w:szCs w:val="22"/>
        </w:rPr>
        <w:t xml:space="preserve"> COMMODITIES%20RISK%20(FULL).pdf.</w:t>
      </w:r>
    </w:p>
    <w:p w14:paraId="548FD5E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UNEP-WCMC (2016). </w:t>
      </w:r>
      <w:r w:rsidRPr="00FE4CC2">
        <w:rPr>
          <w:rStyle w:val="referencia"/>
          <w:rFonts w:ascii="Calibri" w:hAnsi="Calibri"/>
          <w:i/>
          <w:szCs w:val="22"/>
        </w:rPr>
        <w:t xml:space="preserve">The State of Biodiversity in Latin America and the Caribbean: A Mid-Term Review of Progress Towards the Aichi Biodiversity Targets. </w:t>
      </w:r>
      <w:r w:rsidRPr="00FE4CC2">
        <w:rPr>
          <w:rStyle w:val="referencia"/>
          <w:rFonts w:ascii="Calibri" w:hAnsi="Calibri"/>
          <w:szCs w:val="22"/>
        </w:rPr>
        <w:t xml:space="preserve">Cambridge, UK: UNEP-WCMC. </w:t>
      </w:r>
    </w:p>
    <w:p w14:paraId="2D0F156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UNEP-WCMC, &amp; IUCN (2016). </w:t>
      </w:r>
      <w:r w:rsidRPr="00FE4CC2">
        <w:rPr>
          <w:rStyle w:val="referencia"/>
          <w:rFonts w:ascii="Calibri" w:hAnsi="Calibri"/>
          <w:i/>
          <w:szCs w:val="22"/>
        </w:rPr>
        <w:t>Protected Planet Report 2016.</w:t>
      </w:r>
      <w:r w:rsidRPr="00FE4CC2">
        <w:rPr>
          <w:rStyle w:val="referencia"/>
          <w:rFonts w:ascii="Calibri" w:hAnsi="Calibri"/>
          <w:szCs w:val="22"/>
        </w:rPr>
        <w:t xml:space="preserve"> Cambridge UK and Gland, Switzerland: UNEP-WCMC and IUCN.</w:t>
      </w:r>
    </w:p>
    <w:p w14:paraId="36B4F99E" w14:textId="77777777" w:rsidR="006969D3" w:rsidRPr="00FE4CC2" w:rsidRDefault="006969D3" w:rsidP="006969D3">
      <w:pPr>
        <w:ind w:left="851" w:hanging="851"/>
        <w:contextualSpacing/>
        <w:rPr>
          <w:rStyle w:val="referencia"/>
          <w:rFonts w:ascii="Calibri" w:hAnsi="Calibri"/>
          <w:i/>
          <w:szCs w:val="22"/>
        </w:rPr>
      </w:pPr>
      <w:r w:rsidRPr="00FE4CC2">
        <w:rPr>
          <w:rStyle w:val="referencia"/>
          <w:rFonts w:ascii="Calibri" w:hAnsi="Calibri"/>
          <w:szCs w:val="22"/>
        </w:rPr>
        <w:t xml:space="preserve">UNEP-WCMC, &amp; IUCN (2017). </w:t>
      </w:r>
      <w:r w:rsidRPr="00FE4CC2">
        <w:rPr>
          <w:rStyle w:val="referencia"/>
          <w:rFonts w:ascii="Calibri" w:hAnsi="Calibri"/>
          <w:i/>
          <w:szCs w:val="22"/>
        </w:rPr>
        <w:t>Protected Planet Report 2017.</w:t>
      </w:r>
      <w:r w:rsidRPr="00FE4CC2">
        <w:rPr>
          <w:rStyle w:val="referencia"/>
          <w:rFonts w:ascii="Calibri" w:hAnsi="Calibri"/>
          <w:szCs w:val="22"/>
        </w:rPr>
        <w:t xml:space="preserve"> Cambridge UK and Gland, Switzerland: UNEP-WCMC and IUCN.</w:t>
      </w:r>
    </w:p>
    <w:p w14:paraId="57D8FD23" w14:textId="77777777" w:rsidR="006969D3" w:rsidRPr="00FE4CC2" w:rsidRDefault="006969D3" w:rsidP="006969D3">
      <w:pPr>
        <w:ind w:left="851" w:hanging="851"/>
        <w:contextualSpacing/>
        <w:rPr>
          <w:rStyle w:val="referencia"/>
          <w:rFonts w:ascii="Calibri" w:hAnsi="Calibri"/>
          <w:szCs w:val="22"/>
        </w:rPr>
      </w:pPr>
      <w:r w:rsidRPr="00FE4CC2">
        <w:rPr>
          <w:szCs w:val="22"/>
        </w:rPr>
        <w:t xml:space="preserve">van Heerwaarden, J.,  Hellin, J., Visser, R. F., &amp; van Eeuwijk, F. A. (2009). Estimating maize genetic erosion in modernized smallholder agriculture. </w:t>
      </w:r>
      <w:r w:rsidRPr="00FE4CC2">
        <w:rPr>
          <w:i/>
          <w:szCs w:val="22"/>
        </w:rPr>
        <w:t xml:space="preserve">Theoretical Applied Genetics, </w:t>
      </w:r>
      <w:r w:rsidRPr="00FE4CC2">
        <w:rPr>
          <w:szCs w:val="22"/>
        </w:rPr>
        <w:t xml:space="preserve">119, 875-888. </w:t>
      </w:r>
    </w:p>
    <w:p w14:paraId="3A740048"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rPr>
        <w:t xml:space="preserve">VanWey, L. K., &amp; Richards, P. D. (2014). Eco-certification and greening the Brazilian soy and corn supply chains. </w:t>
      </w:r>
      <w:r w:rsidRPr="00FE4CC2">
        <w:rPr>
          <w:rStyle w:val="referencia"/>
          <w:rFonts w:ascii="Calibri" w:hAnsi="Calibri"/>
          <w:i/>
          <w:szCs w:val="22"/>
          <w:lang w:val="es-CO"/>
        </w:rPr>
        <w:t>Environmental Research Letters</w:t>
      </w:r>
      <w:r w:rsidRPr="00FE4CC2">
        <w:rPr>
          <w:rStyle w:val="referencia"/>
          <w:rFonts w:ascii="Calibri" w:hAnsi="Calibri"/>
          <w:szCs w:val="22"/>
          <w:lang w:val="es-CO"/>
        </w:rPr>
        <w:t xml:space="preserve">, 9(3), 31002. </w:t>
      </w:r>
      <w:r w:rsidRPr="00FE4CC2">
        <w:rPr>
          <w:rStyle w:val="referencia"/>
          <w:rFonts w:ascii="Calibri" w:hAnsi="Calibri"/>
          <w:szCs w:val="22"/>
          <w:lang w:val="pt-BR"/>
        </w:rPr>
        <w:t>https://doi.org/</w:t>
      </w:r>
      <w:r w:rsidRPr="00FE4CC2">
        <w:rPr>
          <w:rStyle w:val="referencia"/>
          <w:rFonts w:ascii="Calibri" w:hAnsi="Calibri"/>
          <w:szCs w:val="22"/>
          <w:lang w:val="es-CO"/>
        </w:rPr>
        <w:t>10.1088/1748-9326/9/ 3/031002.</w:t>
      </w:r>
    </w:p>
    <w:p w14:paraId="0F3B9876"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Vargas Roncancio, I. D., &amp; Nemogá Soto, G. R. (2010). Contrato de acceso a recursos genéticos: Un análisis comparado. </w:t>
      </w:r>
      <w:r w:rsidRPr="00FE4CC2">
        <w:rPr>
          <w:rStyle w:val="referencia"/>
          <w:rFonts w:ascii="Calibri" w:hAnsi="Calibri"/>
          <w:i/>
          <w:szCs w:val="22"/>
          <w:lang w:val="es-CO"/>
        </w:rPr>
        <w:t>Revista Pensamiento Jurídico</w:t>
      </w:r>
      <w:r w:rsidRPr="00FE4CC2">
        <w:rPr>
          <w:rStyle w:val="referencia"/>
          <w:rFonts w:ascii="Calibri" w:hAnsi="Calibri"/>
          <w:szCs w:val="22"/>
          <w:lang w:val="es-CO"/>
        </w:rPr>
        <w:t>, 27, 157-202.</w:t>
      </w:r>
    </w:p>
    <w:p w14:paraId="7C549339" w14:textId="77777777" w:rsidR="006969D3" w:rsidRPr="00FE4CC2" w:rsidRDefault="006969D3" w:rsidP="006969D3">
      <w:pPr>
        <w:autoSpaceDE w:val="0"/>
        <w:autoSpaceDN w:val="0"/>
        <w:adjustRightInd w:val="0"/>
        <w:ind w:left="851" w:hanging="851"/>
        <w:contextualSpacing/>
        <w:rPr>
          <w:szCs w:val="22"/>
        </w:rPr>
      </w:pPr>
      <w:r w:rsidRPr="00FE4CC2">
        <w:rPr>
          <w:szCs w:val="22"/>
          <w:lang w:val="es-CO"/>
        </w:rPr>
        <w:t xml:space="preserve">Vasseur, L., Horning, D., Thornbush, M., Cohen-Shacham, E., Andrade, A., Barrow, E., Edwards, S. R., Wit, P., &amp; Jones, M. (2017). </w:t>
      </w:r>
      <w:r w:rsidRPr="00FE4CC2">
        <w:rPr>
          <w:szCs w:val="22"/>
        </w:rPr>
        <w:t xml:space="preserve">Complex problems and unchallenged solutions: Bringing ecosystem governance to the forefront of the UN sustainable development goals. </w:t>
      </w:r>
      <w:r w:rsidRPr="00FE4CC2">
        <w:rPr>
          <w:i/>
          <w:szCs w:val="22"/>
        </w:rPr>
        <w:t>Ambio</w:t>
      </w:r>
      <w:r w:rsidRPr="00FE4CC2">
        <w:rPr>
          <w:szCs w:val="22"/>
        </w:rPr>
        <w:t>, 46, 731–742.</w:t>
      </w:r>
    </w:p>
    <w:p w14:paraId="53A0DFE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Venter, O., (2014). Corridors of carbon and biodiversity.</w:t>
      </w:r>
      <w:r w:rsidRPr="00FE4CC2">
        <w:rPr>
          <w:rStyle w:val="referencia"/>
          <w:rFonts w:ascii="Calibri" w:hAnsi="Calibri"/>
          <w:i/>
          <w:szCs w:val="22"/>
        </w:rPr>
        <w:t xml:space="preserve"> Nature Climate Change</w:t>
      </w:r>
      <w:r w:rsidRPr="00FE4CC2">
        <w:rPr>
          <w:rStyle w:val="referencia"/>
          <w:rFonts w:ascii="Calibri" w:hAnsi="Calibri"/>
          <w:szCs w:val="22"/>
        </w:rPr>
        <w:t>, 4, 91-92.</w:t>
      </w:r>
    </w:p>
    <w:p w14:paraId="5DBB686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Vignola, R., Harvey, C. A., Bautista-Solis, P., </w:t>
      </w:r>
      <w:bookmarkStart w:id="2645" w:name="baut0020"/>
      <w:r w:rsidRPr="00FE4CC2">
        <w:rPr>
          <w:rStyle w:val="referencia"/>
          <w:rFonts w:ascii="Calibri" w:hAnsi="Calibri"/>
          <w:szCs w:val="22"/>
        </w:rPr>
        <w:t xml:space="preserve">Avelino, J., Rapidel, B., Donatti, C., &amp; Martinez, R. (2015). </w:t>
      </w:r>
      <w:bookmarkEnd w:id="2645"/>
      <w:r w:rsidRPr="00FE4CC2">
        <w:rPr>
          <w:rStyle w:val="referencia"/>
          <w:rFonts w:ascii="Calibri" w:hAnsi="Calibri"/>
          <w:szCs w:val="22"/>
        </w:rPr>
        <w:t xml:space="preserve">Ecosystem-based adaptation for smallholder farmers: definitions, opportunities and constraints. </w:t>
      </w:r>
      <w:r w:rsidRPr="00FE4CC2">
        <w:rPr>
          <w:rStyle w:val="referencia"/>
          <w:rFonts w:ascii="Calibri" w:hAnsi="Calibri"/>
          <w:i/>
          <w:szCs w:val="22"/>
        </w:rPr>
        <w:t>Agriculture, Ecosystems and Environment</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211, 126–132.</w:t>
      </w:r>
    </w:p>
    <w:p w14:paraId="79A21BEC"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Villareal, M. A., &amp; Fergusson, I. F. (2017). </w:t>
      </w:r>
      <w:r w:rsidRPr="00FE4CC2">
        <w:rPr>
          <w:rStyle w:val="referencia"/>
          <w:rFonts w:ascii="Calibri" w:hAnsi="Calibri"/>
          <w:i/>
          <w:szCs w:val="22"/>
        </w:rPr>
        <w:t>The North American Free Trade Agreement (NAFTA)</w:t>
      </w:r>
      <w:r w:rsidRPr="00FE4CC2">
        <w:rPr>
          <w:rStyle w:val="referencia"/>
          <w:rFonts w:ascii="Calibri" w:hAnsi="Calibri"/>
          <w:szCs w:val="22"/>
        </w:rPr>
        <w:t>.</w:t>
      </w:r>
      <w:r w:rsidRPr="00FE4CC2">
        <w:rPr>
          <w:rStyle w:val="referencia"/>
          <w:rFonts w:ascii="Calibri" w:hAnsi="Calibri"/>
          <w:i/>
          <w:szCs w:val="22"/>
        </w:rPr>
        <w:t xml:space="preserve"> </w:t>
      </w:r>
      <w:r w:rsidRPr="00FE4CC2">
        <w:rPr>
          <w:rStyle w:val="referencia"/>
          <w:rFonts w:ascii="Calibri" w:hAnsi="Calibri"/>
          <w:szCs w:val="22"/>
        </w:rPr>
        <w:t>CRS Report R42965. Washington, D.C.: Congressional Research Service.</w:t>
      </w:r>
    </w:p>
    <w:p w14:paraId="5B163660"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rPr>
        <w:t xml:space="preserve">Villarroya, A., Barros, A. C., &amp; Kiesecker, J. (2014). Policy development for environmental licensing and biodiversity offsets in Latin America. </w:t>
      </w:r>
      <w:r w:rsidRPr="00FE4CC2">
        <w:rPr>
          <w:rStyle w:val="referencia"/>
          <w:rFonts w:ascii="Calibri" w:hAnsi="Calibri"/>
          <w:i/>
          <w:szCs w:val="22"/>
          <w:lang w:val="es-CO"/>
        </w:rPr>
        <w:t>PLoS One</w:t>
      </w:r>
      <w:r w:rsidRPr="00FE4CC2">
        <w:rPr>
          <w:rStyle w:val="referencia"/>
          <w:rFonts w:ascii="Calibri" w:hAnsi="Calibri"/>
          <w:szCs w:val="22"/>
          <w:lang w:val="es-CO"/>
        </w:rPr>
        <w:t>, 9(9), e107144. https://doi.org/10.1371/journal.pone.0107144</w:t>
      </w:r>
    </w:p>
    <w:p w14:paraId="7E30F4A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Vinding, D., &amp; Jensen, M. W. (2016). </w:t>
      </w:r>
      <w:r w:rsidRPr="00FE4CC2">
        <w:rPr>
          <w:rStyle w:val="referencia"/>
          <w:rFonts w:ascii="Calibri" w:hAnsi="Calibri"/>
          <w:szCs w:val="22"/>
        </w:rPr>
        <w:t xml:space="preserve">Editorial. In D. Vinding, &amp; C. Mikkelsen (Eds.). </w:t>
      </w:r>
      <w:r w:rsidRPr="00FE4CC2">
        <w:rPr>
          <w:rStyle w:val="referencia"/>
          <w:rFonts w:ascii="Calibri" w:hAnsi="Calibri"/>
          <w:i/>
          <w:szCs w:val="22"/>
        </w:rPr>
        <w:t xml:space="preserve">The Indigenous World 2016 </w:t>
      </w:r>
      <w:r w:rsidRPr="00FE4CC2">
        <w:rPr>
          <w:rStyle w:val="referencia"/>
          <w:rFonts w:ascii="Calibri" w:hAnsi="Calibri"/>
          <w:szCs w:val="22"/>
        </w:rPr>
        <w:t>(pp. 10-21). Copenhagen, Denmark: International Work Group for Indigenous Affairs.</w:t>
      </w:r>
    </w:p>
    <w:p w14:paraId="3726036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Visconti, P., Bakkenes, M., Baisero, D., Brooks, T., Butchart, S. H. M., Joppa, L., Alkemade, R., Di Marco, M., Santini, L., Hoffmann, M., Maiorano, L., Pressey, R. L., Arponen, A., Boitani, L., Reside, A. E., van Vuuren, D. P., &amp; Rondinini, C. (2015). Projecting global biodiversity indicators under future development scenarios. </w:t>
      </w:r>
      <w:r w:rsidRPr="00FE4CC2">
        <w:rPr>
          <w:rStyle w:val="referencia"/>
          <w:rFonts w:ascii="Calibri" w:hAnsi="Calibri"/>
          <w:i/>
          <w:szCs w:val="22"/>
        </w:rPr>
        <w:t>Conservation Letters</w:t>
      </w:r>
      <w:r w:rsidRPr="00FE4CC2">
        <w:rPr>
          <w:rStyle w:val="referencia"/>
          <w:rFonts w:ascii="Calibri" w:hAnsi="Calibri"/>
          <w:szCs w:val="22"/>
        </w:rPr>
        <w:t>, 9(1), 5-13.</w:t>
      </w:r>
    </w:p>
    <w:p w14:paraId="485D7FBA"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pt-BR"/>
        </w:rPr>
        <w:t xml:space="preserve">Vitel, C. S. M. N., Carrero, G. C., Cenamo, M. C., Leroy, M., Graça, P. M. L. A., &amp; Fearnside, P. M. (2013). </w:t>
      </w:r>
      <w:r w:rsidRPr="00FE4CC2">
        <w:rPr>
          <w:rStyle w:val="referencia"/>
          <w:rFonts w:ascii="Calibri" w:hAnsi="Calibri"/>
          <w:szCs w:val="22"/>
        </w:rPr>
        <w:t xml:space="preserve">Land-use change modeling in a Brazilian indigenous reserve: Construction of a reference scenario for the Suruí REDD project. </w:t>
      </w:r>
      <w:r w:rsidRPr="00FE4CC2">
        <w:rPr>
          <w:rStyle w:val="referencia"/>
          <w:rFonts w:ascii="Calibri" w:hAnsi="Calibri"/>
          <w:i/>
          <w:szCs w:val="22"/>
          <w:lang w:val="es-CO"/>
        </w:rPr>
        <w:t>Human Ecology</w:t>
      </w:r>
      <w:r w:rsidRPr="00FE4CC2">
        <w:rPr>
          <w:rStyle w:val="referencia"/>
          <w:rFonts w:ascii="Calibri" w:hAnsi="Calibri"/>
          <w:szCs w:val="22"/>
          <w:lang w:val="es-CO"/>
        </w:rPr>
        <w:t>, 41(6), 807-826.</w:t>
      </w:r>
    </w:p>
    <w:p w14:paraId="45F9DF55" w14:textId="77777777" w:rsidR="006969D3" w:rsidRPr="00FE4CC2" w:rsidRDefault="006969D3" w:rsidP="006969D3">
      <w:pPr>
        <w:ind w:left="851" w:hanging="851"/>
        <w:contextualSpacing/>
        <w:rPr>
          <w:rStyle w:val="referencia"/>
          <w:rFonts w:ascii="Calibri" w:hAnsi="Calibri"/>
          <w:szCs w:val="22"/>
          <w:lang w:val="pt-BR"/>
        </w:rPr>
      </w:pPr>
      <w:r w:rsidRPr="00FE4CC2">
        <w:rPr>
          <w:rStyle w:val="referencia"/>
          <w:rFonts w:ascii="Calibri" w:hAnsi="Calibri"/>
          <w:szCs w:val="22"/>
          <w:lang w:val="es-CO"/>
        </w:rPr>
        <w:t xml:space="preserve">Vitte, C. C. S. (2011). </w:t>
      </w:r>
      <w:r w:rsidRPr="00FE4CC2">
        <w:rPr>
          <w:rStyle w:val="referencia"/>
          <w:rFonts w:ascii="Calibri" w:hAnsi="Calibri"/>
          <w:i/>
          <w:szCs w:val="22"/>
          <w:lang w:val="es-CO"/>
        </w:rPr>
        <w:t xml:space="preserve">Integração da Infraestrutura Produtiva e Ordenamento Territorial na América do Sul: Geoeconomia e Política Externa Brasileira Como Condicionantes. </w:t>
      </w:r>
      <w:r w:rsidRPr="00FE4CC2">
        <w:rPr>
          <w:rStyle w:val="referencia"/>
          <w:rFonts w:ascii="Calibri" w:hAnsi="Calibri"/>
          <w:szCs w:val="22"/>
          <w:lang w:val="es-CO"/>
        </w:rPr>
        <w:t xml:space="preserve">XIV Encontro Nacional da ANPUR, Maio de 2011 </w:t>
      </w:r>
      <w:r w:rsidRPr="00FE4CC2">
        <w:rPr>
          <w:rStyle w:val="referencia"/>
          <w:rFonts w:ascii="Calibri" w:hAnsi="Calibri"/>
          <w:szCs w:val="22"/>
          <w:lang w:val="pt-BR"/>
        </w:rPr>
        <w:t xml:space="preserve">(pp. 1-21). </w:t>
      </w:r>
      <w:r w:rsidRPr="00FE4CC2">
        <w:rPr>
          <w:rStyle w:val="referencia"/>
          <w:rFonts w:ascii="Calibri" w:hAnsi="Calibri"/>
          <w:szCs w:val="22"/>
          <w:lang w:val="es-CO"/>
        </w:rPr>
        <w:t xml:space="preserve">Rio de Janeiro, Brasil. </w:t>
      </w:r>
    </w:p>
    <w:p w14:paraId="1DF994C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Von Stechow, C., </w:t>
      </w:r>
      <w:r w:rsidRPr="00FE4CC2">
        <w:rPr>
          <w:szCs w:val="22"/>
        </w:rPr>
        <w:t xml:space="preserve">Minx, J. C., Riahi, K., Jewell, J., McCollum, D. L., Callaghan, M. W., Bertram, C., Luderer, G., &amp; Baiocchi, G. (2016). 2 °C and SDGs: united they stand, divided they fall? </w:t>
      </w:r>
      <w:r w:rsidRPr="00FE4CC2">
        <w:rPr>
          <w:i/>
          <w:szCs w:val="22"/>
        </w:rPr>
        <w:t>Environmental Research Letters</w:t>
      </w:r>
      <w:r w:rsidRPr="00FE4CC2">
        <w:rPr>
          <w:szCs w:val="22"/>
        </w:rPr>
        <w:t xml:space="preserve">, 11, 034022. </w:t>
      </w:r>
      <w:r w:rsidRPr="00FE4CC2">
        <w:rPr>
          <w:rStyle w:val="referencia"/>
          <w:rFonts w:ascii="Calibri" w:hAnsi="Calibri"/>
          <w:szCs w:val="22"/>
          <w:lang w:val="en-GB"/>
        </w:rPr>
        <w:t>https://doi.org/</w:t>
      </w:r>
      <w:r w:rsidRPr="00FE4CC2">
        <w:rPr>
          <w:szCs w:val="22"/>
        </w:rPr>
        <w:t>10.1088/1748-9326/11/3/034022.</w:t>
      </w:r>
    </w:p>
    <w:p w14:paraId="0ACD420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Waite, R., Kushner, B., </w:t>
      </w:r>
      <w:hyperlink r:id="rId1136" w:anchor="!" w:history="1">
        <w:r w:rsidRPr="00FE4CC2">
          <w:rPr>
            <w:rStyle w:val="text"/>
            <w:szCs w:val="22"/>
          </w:rPr>
          <w:t>Jungwiwattanaporn</w:t>
        </w:r>
      </w:hyperlink>
      <w:r w:rsidRPr="00FE4CC2">
        <w:rPr>
          <w:szCs w:val="22"/>
        </w:rPr>
        <w:t xml:space="preserve">, </w:t>
      </w:r>
      <w:r w:rsidRPr="00FE4CC2">
        <w:rPr>
          <w:rStyle w:val="referencia"/>
          <w:rFonts w:ascii="Calibri" w:hAnsi="Calibri"/>
          <w:szCs w:val="22"/>
        </w:rPr>
        <w:t>M.,</w:t>
      </w:r>
      <w:hyperlink r:id="rId1137" w:anchor="!" w:history="1">
        <w:r w:rsidRPr="00FE4CC2">
          <w:rPr>
            <w:rStyle w:val="text"/>
            <w:szCs w:val="22"/>
          </w:rPr>
          <w:t xml:space="preserve"> Gray</w:t>
        </w:r>
      </w:hyperlink>
      <w:r w:rsidRPr="00FE4CC2">
        <w:rPr>
          <w:szCs w:val="22"/>
        </w:rPr>
        <w:t>, E., &amp;</w:t>
      </w:r>
      <w:hyperlink r:id="rId1138" w:anchor="!" w:history="1">
        <w:r w:rsidRPr="00FE4CC2">
          <w:rPr>
            <w:rStyle w:val="text"/>
            <w:szCs w:val="22"/>
          </w:rPr>
          <w:t xml:space="preserve"> Burke</w:t>
        </w:r>
      </w:hyperlink>
      <w:r w:rsidRPr="00FE4CC2">
        <w:rPr>
          <w:szCs w:val="22"/>
        </w:rPr>
        <w:t xml:space="preserve">, L. (2015). Use of </w:t>
      </w:r>
      <w:r w:rsidRPr="00FE4CC2">
        <w:rPr>
          <w:rStyle w:val="title-text"/>
          <w:rFonts w:eastAsia="MS Mincho"/>
          <w:bCs/>
          <w:szCs w:val="22"/>
        </w:rPr>
        <w:t xml:space="preserve">coastal economic valuation in decision making in the Caribbean: Enabling conditions and lessons learned. </w:t>
      </w:r>
      <w:r w:rsidRPr="00FE4CC2">
        <w:rPr>
          <w:rStyle w:val="title-text"/>
          <w:rFonts w:eastAsia="MS Mincho"/>
          <w:bCs/>
          <w:i/>
          <w:szCs w:val="22"/>
        </w:rPr>
        <w:t>Ecosystem Services</w:t>
      </w:r>
      <w:r w:rsidRPr="00FE4CC2">
        <w:rPr>
          <w:rStyle w:val="title-text"/>
          <w:rFonts w:eastAsia="MS Mincho"/>
          <w:bCs/>
          <w:szCs w:val="22"/>
        </w:rPr>
        <w:t>, 11, 45-55.</w:t>
      </w:r>
    </w:p>
    <w:p w14:paraId="7F6BC98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Walker, B., &amp; Salt, D. (2012). Resilience Practice: Building Capacity to Absorb Disturbance and Maintain Function. Washington, DC.: Island Press.</w:t>
      </w:r>
    </w:p>
    <w:p w14:paraId="65204EC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Walsh-Dilley, M., Wolford, W., &amp; McCarthy, J. (2016). Rights for resilience: food sovereignty, power, and resilience in development practice. </w:t>
      </w:r>
      <w:r w:rsidRPr="00FE4CC2">
        <w:rPr>
          <w:rStyle w:val="referencia"/>
          <w:rFonts w:ascii="Calibri" w:hAnsi="Calibri"/>
          <w:i/>
          <w:szCs w:val="22"/>
        </w:rPr>
        <w:t>Ecology and Society</w:t>
      </w:r>
      <w:r w:rsidRPr="00FE4CC2">
        <w:rPr>
          <w:rStyle w:val="referencia"/>
          <w:rFonts w:ascii="Calibri" w:hAnsi="Calibri"/>
          <w:szCs w:val="22"/>
        </w:rPr>
        <w:t>, 21(1), 11. http://dx.doi.org/10.5751/ES-07981-210111.</w:t>
      </w:r>
    </w:p>
    <w:p w14:paraId="237C4FB7"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Watson, J. E. M., Dudley, N., Segan, D. B., &amp; Hockings, M. (2014). The performance and potential of protected areas. </w:t>
      </w:r>
      <w:r w:rsidRPr="00FE4CC2">
        <w:rPr>
          <w:rStyle w:val="referencia"/>
          <w:rFonts w:ascii="Calibri" w:hAnsi="Calibri"/>
          <w:i/>
          <w:szCs w:val="22"/>
        </w:rPr>
        <w:t>Nature</w:t>
      </w:r>
      <w:r w:rsidRPr="00FE4CC2">
        <w:rPr>
          <w:rStyle w:val="referencia"/>
          <w:rFonts w:ascii="Calibri" w:hAnsi="Calibri"/>
          <w:szCs w:val="22"/>
        </w:rPr>
        <w:t>, 515, 67-73.</w:t>
      </w:r>
    </w:p>
    <w:p w14:paraId="730AE44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WBCSD (2017). </w:t>
      </w:r>
      <w:r w:rsidRPr="00FE4CC2">
        <w:rPr>
          <w:rStyle w:val="referencia"/>
          <w:rFonts w:ascii="Calibri" w:hAnsi="Calibri"/>
          <w:i/>
          <w:szCs w:val="22"/>
        </w:rPr>
        <w:t xml:space="preserve">Sustainability and Enterprise Risk Management: The First Step Towards integration. </w:t>
      </w:r>
      <w:r w:rsidRPr="00FE4CC2">
        <w:rPr>
          <w:rStyle w:val="referencia"/>
          <w:rFonts w:ascii="Calibri" w:hAnsi="Calibri"/>
          <w:szCs w:val="22"/>
        </w:rPr>
        <w:t>Geneva:</w:t>
      </w:r>
      <w:r w:rsidRPr="00FE4CC2">
        <w:rPr>
          <w:rStyle w:val="referencia"/>
          <w:rFonts w:ascii="Calibri" w:hAnsi="Calibri"/>
          <w:i/>
          <w:szCs w:val="22"/>
        </w:rPr>
        <w:t xml:space="preserve"> </w:t>
      </w:r>
      <w:r w:rsidRPr="00FE4CC2">
        <w:rPr>
          <w:rStyle w:val="referencia"/>
          <w:rFonts w:ascii="Calibri" w:hAnsi="Calibri"/>
          <w:szCs w:val="22"/>
        </w:rPr>
        <w:t>World Business Council on Sustainable Development.</w:t>
      </w:r>
    </w:p>
    <w:p w14:paraId="03E3D4CE" w14:textId="77777777" w:rsidR="006969D3" w:rsidRPr="00FE4CC2" w:rsidRDefault="006969D3" w:rsidP="006969D3">
      <w:pPr>
        <w:ind w:left="851" w:hanging="851"/>
        <w:contextualSpacing/>
        <w:rPr>
          <w:color w:val="000000"/>
          <w:szCs w:val="22"/>
        </w:rPr>
      </w:pPr>
      <w:r w:rsidRPr="00FE4CC2">
        <w:rPr>
          <w:color w:val="000000"/>
          <w:szCs w:val="22"/>
        </w:rPr>
        <w:t xml:space="preserve">WEF (2017). Commodities and Forests Agenda 2020: Ten priorities to remove tropical deforestation from commodity supply chains. World Economic Forum, Geneva. Available at </w:t>
      </w:r>
      <w:hyperlink r:id="rId1139" w:history="1">
        <w:r w:rsidRPr="00FE4CC2">
          <w:rPr>
            <w:rStyle w:val="Hyperlink"/>
            <w:szCs w:val="22"/>
          </w:rPr>
          <w:t>https://www.tfa2020.org/wp-content/uploads/2017/09/TFA2020_CommoditiesandForestsAgenda2020_Sept2017.pdf</w:t>
        </w:r>
      </w:hyperlink>
    </w:p>
    <w:p w14:paraId="56679D0E"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WEF, (2015): </w:t>
      </w:r>
      <w:r w:rsidRPr="00FE4CC2">
        <w:rPr>
          <w:rStyle w:val="referencia"/>
          <w:rFonts w:ascii="Calibri" w:hAnsi="Calibri"/>
          <w:i/>
          <w:szCs w:val="22"/>
        </w:rPr>
        <w:t xml:space="preserve">Global Risks 2015. </w:t>
      </w:r>
      <w:r w:rsidRPr="00FE4CC2">
        <w:rPr>
          <w:rStyle w:val="referencia"/>
          <w:rFonts w:ascii="Calibri" w:hAnsi="Calibri"/>
          <w:szCs w:val="22"/>
        </w:rPr>
        <w:t>10th edition.</w:t>
      </w:r>
      <w:r w:rsidRPr="00FE4CC2">
        <w:rPr>
          <w:rStyle w:val="referencia"/>
          <w:rFonts w:ascii="Calibri" w:hAnsi="Calibri"/>
          <w:i/>
          <w:szCs w:val="22"/>
        </w:rPr>
        <w:t xml:space="preserve"> </w:t>
      </w:r>
      <w:r w:rsidRPr="00FE4CC2">
        <w:rPr>
          <w:rStyle w:val="referencia"/>
          <w:rFonts w:ascii="Calibri" w:hAnsi="Calibri"/>
          <w:szCs w:val="22"/>
        </w:rPr>
        <w:t>Geneva: World Economic Forum</w:t>
      </w:r>
      <w:r w:rsidRPr="00FE4CC2">
        <w:rPr>
          <w:rStyle w:val="referencia"/>
          <w:rFonts w:ascii="Calibri" w:hAnsi="Calibri"/>
          <w:i/>
          <w:szCs w:val="22"/>
        </w:rPr>
        <w:t>.</w:t>
      </w:r>
      <w:r w:rsidRPr="00FE4CC2">
        <w:rPr>
          <w:rStyle w:val="referencia"/>
          <w:rFonts w:ascii="Calibri" w:hAnsi="Calibri"/>
          <w:szCs w:val="22"/>
        </w:rPr>
        <w:t xml:space="preserve"> Available at: http://www3.weforum.org/docs/WEF_Global_Risks_2015_Report15.pdf</w:t>
      </w:r>
    </w:p>
    <w:p w14:paraId="60010118"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Weichselgartner, J., &amp; Kasperson, R. (2010). Barriers in the science-policy-practice interface: Toward a knowledge-action-system in global environmental change research. </w:t>
      </w:r>
      <w:r w:rsidRPr="00FE4CC2">
        <w:rPr>
          <w:rStyle w:val="referencia"/>
          <w:rFonts w:ascii="Calibri" w:hAnsi="Calibri"/>
          <w:i/>
          <w:szCs w:val="22"/>
        </w:rPr>
        <w:t>Global Environmental Change</w:t>
      </w:r>
      <w:r w:rsidRPr="00FE4CC2">
        <w:rPr>
          <w:rStyle w:val="referencia"/>
          <w:rFonts w:ascii="Calibri" w:hAnsi="Calibri"/>
          <w:szCs w:val="22"/>
        </w:rPr>
        <w:t>, 20, 266-277.</w:t>
      </w:r>
    </w:p>
    <w:p w14:paraId="2193DBD9" w14:textId="77777777" w:rsidR="006969D3" w:rsidRPr="00FE4CC2" w:rsidRDefault="006969D3" w:rsidP="006969D3">
      <w:pPr>
        <w:ind w:left="851" w:hanging="851"/>
        <w:contextualSpacing/>
        <w:rPr>
          <w:rStyle w:val="referencia"/>
          <w:rFonts w:ascii="Calibri" w:hAnsi="Calibri"/>
          <w:szCs w:val="22"/>
        </w:rPr>
      </w:pPr>
      <w:r w:rsidRPr="00FE4CC2">
        <w:rPr>
          <w:szCs w:val="22"/>
        </w:rPr>
        <w:t xml:space="preserve">Weiss, M., &amp; Cattaneo, C. (2017). Degrowth – Taking stock and reviewing an emerging academic paradigm. </w:t>
      </w:r>
      <w:r w:rsidRPr="00FE4CC2">
        <w:rPr>
          <w:i/>
          <w:szCs w:val="22"/>
        </w:rPr>
        <w:t>Ecological Economics</w:t>
      </w:r>
      <w:r w:rsidRPr="00FE4CC2">
        <w:rPr>
          <w:szCs w:val="22"/>
        </w:rPr>
        <w:t xml:space="preserve">, 137, 220–230. </w:t>
      </w:r>
    </w:p>
    <w:p w14:paraId="4065DD6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Whitford, M., &amp; Ruhanen, L. (2016). Indigenous tourism research, past and present: where to from here? </w:t>
      </w:r>
      <w:r w:rsidRPr="00FE4CC2">
        <w:rPr>
          <w:rStyle w:val="referencia"/>
          <w:rFonts w:ascii="Calibri" w:hAnsi="Calibri"/>
          <w:i/>
          <w:szCs w:val="22"/>
        </w:rPr>
        <w:t>Journal of Sustainable Tourism</w:t>
      </w:r>
      <w:r w:rsidRPr="00FE4CC2">
        <w:rPr>
          <w:rStyle w:val="referencia"/>
          <w:rFonts w:ascii="Calibri" w:hAnsi="Calibri"/>
          <w:szCs w:val="22"/>
        </w:rPr>
        <w:t>, 24, 1080-1099.</w:t>
      </w:r>
    </w:p>
    <w:p w14:paraId="1EEBED39"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Wiber, M., Berkes, F., Charles, A., &amp; Kearney, J. (2004). Participation research supporting community-based fishery management. </w:t>
      </w:r>
      <w:r w:rsidRPr="00FE4CC2">
        <w:rPr>
          <w:rStyle w:val="referencia"/>
          <w:rFonts w:ascii="Calibri" w:hAnsi="Calibri"/>
          <w:i/>
          <w:szCs w:val="22"/>
        </w:rPr>
        <w:t>Marine Policy</w:t>
      </w:r>
      <w:r w:rsidRPr="00FE4CC2">
        <w:rPr>
          <w:rStyle w:val="referencia"/>
          <w:rFonts w:ascii="Calibri" w:hAnsi="Calibri"/>
          <w:szCs w:val="22"/>
        </w:rPr>
        <w:t>, 28, 459-468.</w:t>
      </w:r>
    </w:p>
    <w:p w14:paraId="5BF862A5"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rPr>
        <w:t xml:space="preserve">Williams, P. W., &amp; Peters, M. (2008). Entrepreneurial performance and challenges for aboriginal small tourism businesses: A Canadian case tourism. </w:t>
      </w:r>
      <w:r w:rsidRPr="00FE4CC2">
        <w:rPr>
          <w:rStyle w:val="referencia"/>
          <w:rFonts w:ascii="Calibri" w:hAnsi="Calibri"/>
          <w:i/>
          <w:szCs w:val="22"/>
          <w:lang w:val="es-CO"/>
        </w:rPr>
        <w:t>Recreation Research</w:t>
      </w:r>
      <w:r w:rsidRPr="00FE4CC2">
        <w:rPr>
          <w:rStyle w:val="referencia"/>
          <w:rFonts w:ascii="Calibri" w:hAnsi="Calibri"/>
          <w:szCs w:val="22"/>
          <w:lang w:val="es-CO"/>
        </w:rPr>
        <w:t>, 33(3), 277–287.</w:t>
      </w:r>
    </w:p>
    <w:p w14:paraId="62ED43F5"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es-CO"/>
        </w:rPr>
        <w:t xml:space="preserve">Witkowski, K., &amp; Medina, D. (2016). </w:t>
      </w:r>
      <w:r w:rsidRPr="00FE4CC2">
        <w:rPr>
          <w:rStyle w:val="referencia"/>
          <w:rFonts w:ascii="Calibri" w:hAnsi="Calibri"/>
          <w:i/>
          <w:szCs w:val="22"/>
          <w:lang w:val="es-CO"/>
        </w:rPr>
        <w:t>El Sector Agropecuario en las Contribuciones Previstas y Determinadas a Nivel Nacional de América Latina</w:t>
      </w:r>
      <w:r w:rsidRPr="00FE4CC2">
        <w:rPr>
          <w:rStyle w:val="referencia"/>
          <w:rFonts w:ascii="Calibri" w:hAnsi="Calibri"/>
          <w:szCs w:val="22"/>
          <w:lang w:val="es-CO"/>
        </w:rPr>
        <w:t>. Instituto Interamericano de Cooperación para la Agricultura (IICA) (28p).</w:t>
      </w:r>
    </w:p>
    <w:p w14:paraId="4354FD0C" w14:textId="77777777" w:rsidR="006969D3" w:rsidRPr="00FE4CC2" w:rsidRDefault="006969D3" w:rsidP="006969D3">
      <w:pPr>
        <w:ind w:left="851" w:hanging="851"/>
        <w:contextualSpacing/>
        <w:rPr>
          <w:rStyle w:val="referencia"/>
          <w:rFonts w:ascii="Calibri" w:hAnsi="Calibri"/>
          <w:szCs w:val="22"/>
          <w:lang w:val="es-CO"/>
        </w:rPr>
      </w:pPr>
      <w:r w:rsidRPr="00FE4CC2">
        <w:rPr>
          <w:rStyle w:val="referencia"/>
          <w:rFonts w:ascii="Calibri" w:hAnsi="Calibri"/>
          <w:szCs w:val="22"/>
          <w:lang w:val="pt-BR"/>
        </w:rPr>
        <w:t xml:space="preserve">Witkowski, K., Medina, D., &amp; Garcia, M. (2016). </w:t>
      </w:r>
      <w:r w:rsidRPr="00FE4CC2">
        <w:rPr>
          <w:rStyle w:val="referencia"/>
          <w:rFonts w:ascii="Calibri" w:hAnsi="Calibri"/>
          <w:i/>
          <w:szCs w:val="22"/>
        </w:rPr>
        <w:t>Intended Nationally Determined Contributions in the Caribbean: Where Does Agriculture Fit?</w:t>
      </w:r>
      <w:r w:rsidRPr="00FE4CC2">
        <w:rPr>
          <w:rStyle w:val="referencia"/>
          <w:rFonts w:ascii="Calibri" w:hAnsi="Calibri"/>
          <w:szCs w:val="22"/>
        </w:rPr>
        <w:t xml:space="preserve"> </w:t>
      </w:r>
      <w:r w:rsidRPr="00FE4CC2">
        <w:rPr>
          <w:rStyle w:val="referencia"/>
          <w:rFonts w:ascii="Calibri" w:hAnsi="Calibri"/>
          <w:szCs w:val="22"/>
          <w:lang w:val="es-CO"/>
        </w:rPr>
        <w:t>Instituto Interamericano de Cooperación para la Agricultura (IICA)</w:t>
      </w:r>
      <w:r w:rsidRPr="00FE4CC2">
        <w:rPr>
          <w:rStyle w:val="referencia"/>
          <w:rFonts w:ascii="Calibri" w:hAnsi="Calibri"/>
          <w:i/>
          <w:szCs w:val="22"/>
          <w:lang w:val="es-CO"/>
        </w:rPr>
        <w:t xml:space="preserve"> </w:t>
      </w:r>
      <w:r w:rsidRPr="00FE4CC2">
        <w:rPr>
          <w:rStyle w:val="referencia"/>
          <w:rFonts w:ascii="Calibri" w:hAnsi="Calibri"/>
          <w:szCs w:val="22"/>
          <w:lang w:val="es-CO"/>
        </w:rPr>
        <w:t>(28p).</w:t>
      </w:r>
    </w:p>
    <w:p w14:paraId="2E7C968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es-CO"/>
        </w:rPr>
        <w:t xml:space="preserve">Woosnam, K. M., &amp; Kim, H. (2014). </w:t>
      </w:r>
      <w:r w:rsidRPr="00FE4CC2">
        <w:rPr>
          <w:rStyle w:val="referencia"/>
          <w:rFonts w:ascii="Calibri" w:hAnsi="Calibri"/>
          <w:szCs w:val="22"/>
        </w:rPr>
        <w:t xml:space="preserve">Hurricane impacts on southeastern United States coastal national park visitation. </w:t>
      </w:r>
      <w:r w:rsidRPr="00FE4CC2">
        <w:rPr>
          <w:rStyle w:val="referencia"/>
          <w:rFonts w:ascii="Calibri" w:hAnsi="Calibri"/>
          <w:i/>
          <w:szCs w:val="22"/>
        </w:rPr>
        <w:t>Tourism Geographies</w:t>
      </w:r>
      <w:r w:rsidRPr="00FE4CC2">
        <w:rPr>
          <w:rStyle w:val="referencia"/>
          <w:rFonts w:ascii="Calibri" w:hAnsi="Calibri"/>
          <w:szCs w:val="22"/>
        </w:rPr>
        <w:t>, 16, 364-381.</w:t>
      </w:r>
    </w:p>
    <w:p w14:paraId="7CA81C86"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World Bank (2012). The World Bank Data.</w:t>
      </w:r>
      <w:r w:rsidRPr="00FE4CC2">
        <w:rPr>
          <w:rStyle w:val="referencia"/>
          <w:rFonts w:ascii="Calibri" w:hAnsi="Calibri"/>
          <w:i/>
          <w:szCs w:val="22"/>
        </w:rPr>
        <w:t xml:space="preserve"> </w:t>
      </w:r>
      <w:r w:rsidRPr="00FE4CC2">
        <w:rPr>
          <w:rStyle w:val="referencia"/>
          <w:rFonts w:ascii="Calibri" w:hAnsi="Calibri"/>
          <w:szCs w:val="22"/>
        </w:rPr>
        <w:t>In</w:t>
      </w:r>
      <w:r w:rsidRPr="00FE4CC2">
        <w:rPr>
          <w:rStyle w:val="referencia"/>
          <w:rFonts w:ascii="Calibri" w:hAnsi="Calibri"/>
          <w:i/>
          <w:szCs w:val="22"/>
        </w:rPr>
        <w:t xml:space="preserve"> World Development Indicators, Urban Development, Urban Population (% of Total) and Population in the Largest City (% of Urban Population). </w:t>
      </w:r>
      <w:r w:rsidRPr="00FE4CC2">
        <w:rPr>
          <w:rStyle w:val="referencia"/>
          <w:rFonts w:ascii="Calibri" w:hAnsi="Calibri"/>
          <w:szCs w:val="22"/>
        </w:rPr>
        <w:t>Washington, DC, USA: The World Bank.</w:t>
      </w:r>
      <w:r w:rsidRPr="00FE4CC2">
        <w:rPr>
          <w:rStyle w:val="referencia"/>
          <w:rFonts w:ascii="Calibri" w:hAnsi="Calibri"/>
          <w:i/>
          <w:szCs w:val="22"/>
        </w:rPr>
        <w:t xml:space="preserve"> </w:t>
      </w:r>
      <w:r w:rsidRPr="00FE4CC2">
        <w:rPr>
          <w:rStyle w:val="referencia"/>
          <w:rFonts w:ascii="Calibri" w:hAnsi="Calibri"/>
          <w:szCs w:val="22"/>
        </w:rPr>
        <w:t>Available at: worldbank.org/topic/urban-development</w:t>
      </w:r>
    </w:p>
    <w:p w14:paraId="585B2C33"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WTTC (2016). </w:t>
      </w:r>
      <w:r w:rsidRPr="00FE4CC2">
        <w:rPr>
          <w:rStyle w:val="referencia"/>
          <w:rFonts w:ascii="Calibri" w:hAnsi="Calibri"/>
          <w:i/>
          <w:szCs w:val="22"/>
        </w:rPr>
        <w:t xml:space="preserve">The Comparative Economic Impact of Travel and Tourism. </w:t>
      </w:r>
      <w:r w:rsidRPr="00FE4CC2">
        <w:rPr>
          <w:rStyle w:val="referencia"/>
          <w:rFonts w:ascii="Calibri" w:hAnsi="Calibri"/>
          <w:szCs w:val="22"/>
        </w:rPr>
        <w:t xml:space="preserve">London, UK. World Travel and Tourism Council. Available at </w:t>
      </w:r>
      <w:hyperlink r:id="rId1140" w:history="1">
        <w:r w:rsidRPr="00FE4CC2">
          <w:rPr>
            <w:rStyle w:val="referencia"/>
            <w:rFonts w:ascii="Calibri" w:hAnsi="Calibri"/>
            <w:szCs w:val="22"/>
          </w:rPr>
          <w:t>http://wttc.org</w:t>
        </w:r>
      </w:hyperlink>
    </w:p>
    <w:p w14:paraId="3CBB938B"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Wünscher, T., Engel, S., &amp; Wunder, S. (2008). Spatial targeting of payments for environmental services: A tool for boosting conservation benefits. </w:t>
      </w:r>
      <w:r w:rsidRPr="00FE4CC2">
        <w:rPr>
          <w:rStyle w:val="referencia"/>
          <w:rFonts w:ascii="Calibri" w:hAnsi="Calibri"/>
          <w:i/>
          <w:szCs w:val="22"/>
        </w:rPr>
        <w:t>Ecological Economics</w:t>
      </w:r>
      <w:r w:rsidRPr="00FE4CC2">
        <w:rPr>
          <w:rStyle w:val="referencia"/>
          <w:rFonts w:ascii="Calibri" w:hAnsi="Calibri"/>
          <w:szCs w:val="22"/>
        </w:rPr>
        <w:t xml:space="preserve">, 65, 822-833. </w:t>
      </w:r>
    </w:p>
    <w:p w14:paraId="03180E5F"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Zachos, F. E., &amp; Habel, J. C. (Eds.) </w:t>
      </w:r>
      <w:r w:rsidRPr="00FE4CC2">
        <w:rPr>
          <w:rStyle w:val="referencia"/>
          <w:rFonts w:ascii="Calibri" w:hAnsi="Calibri"/>
          <w:szCs w:val="22"/>
        </w:rPr>
        <w:t xml:space="preserve">(2011). </w:t>
      </w:r>
      <w:r w:rsidRPr="00FE4CC2">
        <w:rPr>
          <w:rStyle w:val="referencia"/>
          <w:rFonts w:ascii="Calibri" w:hAnsi="Calibri"/>
          <w:i/>
          <w:szCs w:val="22"/>
        </w:rPr>
        <w:t>Biodiversity Hotspots: Distribution and Protection of Conservation Priority Areas</w:t>
      </w:r>
      <w:r w:rsidRPr="00FE4CC2">
        <w:rPr>
          <w:rStyle w:val="referencia"/>
          <w:rFonts w:ascii="Calibri" w:hAnsi="Calibri"/>
          <w:szCs w:val="22"/>
        </w:rPr>
        <w:t>. Heidelberg, Dordrecht, London, New York: Springer.</w:t>
      </w:r>
    </w:p>
    <w:p w14:paraId="4CEC01F1" w14:textId="77777777" w:rsidR="006969D3" w:rsidRPr="00FE4CC2" w:rsidRDefault="006969D3" w:rsidP="006969D3">
      <w:pPr>
        <w:ind w:left="851" w:hanging="851"/>
        <w:contextualSpacing/>
        <w:rPr>
          <w:szCs w:val="22"/>
        </w:rPr>
      </w:pPr>
      <w:r w:rsidRPr="00FE4CC2">
        <w:rPr>
          <w:rStyle w:val="referencia"/>
          <w:rFonts w:ascii="Calibri" w:hAnsi="Calibri"/>
          <w:szCs w:val="22"/>
          <w:lang w:val="pt-BR"/>
        </w:rPr>
        <w:t xml:space="preserve">Zanella, M. A., &amp; Milhorance, C. (2016). </w:t>
      </w:r>
      <w:r w:rsidRPr="00FE4CC2">
        <w:rPr>
          <w:rStyle w:val="referencia"/>
          <w:rFonts w:ascii="Calibri" w:hAnsi="Calibri"/>
          <w:szCs w:val="22"/>
        </w:rPr>
        <w:t xml:space="preserve">Cerrado meets savannah, family farmers meet peasants: The political economy of Brazil’s agricultural cooperation with Mozambique. </w:t>
      </w:r>
      <w:r w:rsidRPr="00FE4CC2">
        <w:rPr>
          <w:rStyle w:val="referencia"/>
          <w:rFonts w:ascii="Calibri" w:hAnsi="Calibri"/>
          <w:i/>
          <w:szCs w:val="22"/>
        </w:rPr>
        <w:t>Food Policy</w:t>
      </w:r>
      <w:r w:rsidRPr="00FE4CC2">
        <w:rPr>
          <w:rStyle w:val="referencia"/>
          <w:rFonts w:ascii="Calibri" w:hAnsi="Calibri"/>
          <w:szCs w:val="22"/>
        </w:rPr>
        <w:t>, 58, 70-81.</w:t>
      </w:r>
    </w:p>
    <w:p w14:paraId="15135392"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rPr>
        <w:t xml:space="preserve">Zanella, M. A., Schleyer, C., &amp; Speelman, S. (2014). Why do farmers join Payments for Ecosystem Services (PES) schemes? An assessment of PES water scheme participation in Brazil.  </w:t>
      </w:r>
      <w:r w:rsidRPr="00FE4CC2">
        <w:rPr>
          <w:rStyle w:val="referencia"/>
          <w:rFonts w:ascii="Calibri" w:hAnsi="Calibri"/>
          <w:i/>
          <w:szCs w:val="22"/>
        </w:rPr>
        <w:t>Ecological Economics</w:t>
      </w:r>
      <w:r w:rsidRPr="00FE4CC2">
        <w:rPr>
          <w:rStyle w:val="referencia"/>
          <w:rFonts w:ascii="Calibri" w:hAnsi="Calibri"/>
          <w:szCs w:val="22"/>
        </w:rPr>
        <w:t>, 105, 166-176.</w:t>
      </w:r>
    </w:p>
    <w:p w14:paraId="2179CA6D" w14:textId="77777777" w:rsidR="006969D3" w:rsidRPr="00FE4CC2" w:rsidRDefault="006969D3" w:rsidP="006969D3">
      <w:pPr>
        <w:ind w:left="851" w:hanging="851"/>
        <w:contextualSpacing/>
        <w:rPr>
          <w:rStyle w:val="referencia"/>
          <w:rFonts w:ascii="Calibri" w:hAnsi="Calibri"/>
          <w:szCs w:val="22"/>
        </w:rPr>
      </w:pPr>
      <w:r w:rsidRPr="00FE4CC2">
        <w:rPr>
          <w:rStyle w:val="referencia"/>
          <w:rFonts w:ascii="Calibri" w:hAnsi="Calibri"/>
          <w:szCs w:val="22"/>
          <w:lang w:val="pt-BR"/>
        </w:rPr>
        <w:t xml:space="preserve">Zimmermann, E., Bracalenti, L., Piacentini, R., &amp; Inostroza, L. (2016). </w:t>
      </w:r>
      <w:r w:rsidRPr="00FE4CC2">
        <w:rPr>
          <w:rStyle w:val="referencia"/>
          <w:rFonts w:ascii="Calibri" w:hAnsi="Calibri"/>
          <w:szCs w:val="22"/>
        </w:rPr>
        <w:t xml:space="preserve">Urban flood risk reduction by increasing green areas for adaptation to climate change. </w:t>
      </w:r>
      <w:r w:rsidRPr="00FE4CC2">
        <w:rPr>
          <w:rStyle w:val="referencia"/>
          <w:rFonts w:ascii="Calibri" w:hAnsi="Calibri"/>
          <w:i/>
          <w:szCs w:val="22"/>
        </w:rPr>
        <w:t>Procedia Engineering</w:t>
      </w:r>
      <w:r w:rsidRPr="00FE4CC2">
        <w:rPr>
          <w:rStyle w:val="referencia"/>
          <w:rFonts w:ascii="Calibri" w:hAnsi="Calibri"/>
          <w:szCs w:val="22"/>
        </w:rPr>
        <w:t>, 161, 2241-2246.</w:t>
      </w:r>
    </w:p>
    <w:p w14:paraId="4CCC9C28" w14:textId="791D8B37" w:rsidR="00AC69AD" w:rsidRPr="008608AA" w:rsidRDefault="00AC69AD" w:rsidP="00AC69AD">
      <w:pPr>
        <w:spacing w:before="120"/>
        <w:ind w:left="964" w:hanging="964"/>
        <w:contextualSpacing/>
        <w:rPr>
          <w:rStyle w:val="referencia"/>
        </w:rPr>
      </w:pPr>
      <w:r w:rsidRPr="008608AA">
        <w:rPr>
          <w:rStyle w:val="referencia"/>
        </w:rPr>
        <w:br w:type="page"/>
      </w:r>
    </w:p>
    <w:bookmarkEnd w:id="2262"/>
    <w:p w14:paraId="382576D1" w14:textId="77777777" w:rsidR="00690493" w:rsidRPr="008608AA" w:rsidRDefault="00690493" w:rsidP="00AC69AD">
      <w:pPr>
        <w:spacing w:before="120"/>
        <w:ind w:left="964" w:hanging="964"/>
        <w:contextualSpacing/>
        <w:rPr>
          <w:rStyle w:val="referencia"/>
        </w:rPr>
        <w:sectPr w:rsidR="00690493" w:rsidRPr="008608AA" w:rsidSect="00A26F6D">
          <w:headerReference w:type="even" r:id="rId1141"/>
          <w:headerReference w:type="default" r:id="rId1142"/>
          <w:headerReference w:type="first" r:id="rId1143"/>
          <w:pgSz w:w="11907" w:h="16839" w:code="9"/>
          <w:pgMar w:top="907" w:right="992" w:bottom="1418" w:left="1418" w:header="720" w:footer="720" w:gutter="0"/>
          <w:cols w:space="720"/>
          <w:docGrid w:linePitch="326"/>
        </w:sectPr>
      </w:pPr>
    </w:p>
    <w:p w14:paraId="4C99624B" w14:textId="4C73D1F4" w:rsidR="0003727A" w:rsidRPr="008608AA" w:rsidRDefault="00E50785" w:rsidP="00B460F2">
      <w:pPr>
        <w:pStyle w:val="Heading1"/>
        <w:numPr>
          <w:ilvl w:val="0"/>
          <w:numId w:val="0"/>
        </w:numPr>
        <w:rPr>
          <w:sz w:val="28"/>
          <w:szCs w:val="28"/>
        </w:rPr>
      </w:pPr>
      <w:bookmarkStart w:id="2646" w:name="_Toc356492322"/>
      <w:bookmarkStart w:id="2647" w:name="_Toc502957783"/>
      <w:bookmarkStart w:id="2648" w:name="_Toc502957982"/>
      <w:bookmarkStart w:id="2649" w:name="_Toc502958136"/>
      <w:bookmarkStart w:id="2650" w:name="_Toc503863458"/>
      <w:bookmarkStart w:id="2651" w:name="_Toc503293205"/>
      <w:bookmarkStart w:id="2652" w:name="_Toc503293803"/>
      <w:bookmarkStart w:id="2653" w:name="_Toc503294065"/>
      <w:bookmarkStart w:id="2654" w:name="_Toc517393465"/>
      <w:bookmarkStart w:id="2655" w:name="_Toc517719206"/>
      <w:bookmarkStart w:id="2656" w:name="_Toc517726344"/>
      <w:bookmarkStart w:id="2657" w:name="_Toc517796857"/>
      <w:r w:rsidRPr="008608AA">
        <w:rPr>
          <w:sz w:val="28"/>
          <w:szCs w:val="28"/>
        </w:rPr>
        <w:t xml:space="preserve">Annex </w:t>
      </w:r>
      <w:bookmarkEnd w:id="2646"/>
      <w:bookmarkEnd w:id="2647"/>
      <w:bookmarkEnd w:id="2648"/>
      <w:bookmarkEnd w:id="2649"/>
      <w:bookmarkEnd w:id="2650"/>
      <w:bookmarkEnd w:id="2651"/>
      <w:bookmarkEnd w:id="2652"/>
      <w:bookmarkEnd w:id="2653"/>
      <w:bookmarkEnd w:id="2654"/>
      <w:r w:rsidR="00DE471C" w:rsidRPr="008608AA">
        <w:rPr>
          <w:sz w:val="28"/>
          <w:szCs w:val="28"/>
        </w:rPr>
        <w:t>I - Glossary</w:t>
      </w:r>
      <w:bookmarkEnd w:id="2655"/>
      <w:bookmarkEnd w:id="2656"/>
      <w:bookmarkEnd w:id="2657"/>
    </w:p>
    <w:p w14:paraId="335CB13C" w14:textId="77777777" w:rsidR="0003727A" w:rsidRPr="008608AA" w:rsidRDefault="0003727A" w:rsidP="0003727A">
      <w:pPr>
        <w:rPr>
          <w:b/>
        </w:rPr>
      </w:pPr>
      <w:r w:rsidRPr="008608AA">
        <w:rPr>
          <w:b/>
        </w:rPr>
        <w:t>A</w:t>
      </w:r>
    </w:p>
    <w:p w14:paraId="06082A69" w14:textId="77777777" w:rsidR="0003727A" w:rsidRPr="008608AA" w:rsidRDefault="0003727A" w:rsidP="0003727A">
      <w:pPr>
        <w:rPr>
          <w:b/>
        </w:rPr>
      </w:pPr>
    </w:p>
    <w:p w14:paraId="024FA8EF" w14:textId="77777777" w:rsidR="0003727A" w:rsidRPr="008608AA" w:rsidRDefault="0003727A" w:rsidP="00E7683B">
      <w:r w:rsidRPr="008608AA">
        <w:rPr>
          <w:b/>
        </w:rPr>
        <w:t>Abundance</w:t>
      </w:r>
      <w:r w:rsidRPr="008608AA">
        <w:t>:</w:t>
      </w:r>
      <w:r w:rsidRPr="008608AA">
        <w:tab/>
        <w:t>the size of a population of a particular life form in a given area.</w:t>
      </w:r>
    </w:p>
    <w:p w14:paraId="4510816F" w14:textId="77777777" w:rsidR="0003727A" w:rsidRPr="008608AA" w:rsidRDefault="0003727A" w:rsidP="00E7683B">
      <w:r w:rsidRPr="008608AA">
        <w:t>acidification</w:t>
      </w:r>
      <w:r w:rsidRPr="008608AA">
        <w:tab/>
        <w:t>Ongoing decrease in pH away from neutral value of 7. Often used in reference to oceans, freshwater or soils, as a result of uptake of carbon dioxide from the atmosphere.</w:t>
      </w:r>
    </w:p>
    <w:p w14:paraId="25426A67" w14:textId="77777777" w:rsidR="0003727A" w:rsidRPr="008608AA" w:rsidRDefault="0003727A" w:rsidP="00E7683B"/>
    <w:p w14:paraId="7FF8AB2F" w14:textId="77777777" w:rsidR="0003727A" w:rsidRPr="008608AA" w:rsidRDefault="0003727A" w:rsidP="00E7683B">
      <w:pPr>
        <w:rPr>
          <w:b/>
        </w:rPr>
      </w:pPr>
      <w:r w:rsidRPr="008608AA">
        <w:rPr>
          <w:b/>
        </w:rPr>
        <w:t>Access and benefit sharing (ABS):</w:t>
      </w:r>
      <w:r w:rsidRPr="008608AA">
        <w:t xml:space="preserve"> One of the three objectives of the Convention on Biological Diversity, as set out in its Article 1, is the “fair and equitable sharing of the benefits arising out of the utilization of genetic resources, including by appropriate access to genetic resources and by appropriate transfer of relevant technologies, taking into account all rights over those resources and to technologies, and by appropriate funding”. The CBD also has several articles (especially Article 15) regarding international aspects of access to genetic resources.</w:t>
      </w:r>
    </w:p>
    <w:p w14:paraId="01CC2C01" w14:textId="77777777" w:rsidR="0003727A" w:rsidRPr="008608AA" w:rsidRDefault="0003727A" w:rsidP="00E7683B">
      <w:pPr>
        <w:rPr>
          <w:b/>
        </w:rPr>
      </w:pPr>
    </w:p>
    <w:p w14:paraId="10C0D4A5" w14:textId="77777777" w:rsidR="0003727A" w:rsidRPr="008608AA" w:rsidRDefault="0003727A" w:rsidP="00E7683B">
      <w:r w:rsidRPr="008608AA">
        <w:rPr>
          <w:b/>
        </w:rPr>
        <w:t>Adaptation</w:t>
      </w:r>
      <w:r w:rsidRPr="008608AA">
        <w:t>:</w:t>
      </w:r>
      <w:r w:rsidRPr="008608AA">
        <w:tab/>
        <w:t>adjustment in natural or human systems to a new or changing environment, whether through genetic or behavioural change.</w:t>
      </w:r>
    </w:p>
    <w:p w14:paraId="50AA6CD9" w14:textId="77777777" w:rsidR="0003727A" w:rsidRPr="008608AA" w:rsidRDefault="0003727A" w:rsidP="00E7683B">
      <w:r w:rsidRPr="008608AA">
        <w:t>adaptive capacity</w:t>
      </w:r>
      <w:r w:rsidRPr="008608AA">
        <w:tab/>
        <w:t>The general ability of institutions, systems, and individuals to adjust to potential damage, to take advantage of opportunities, or to cope with the consequences.</w:t>
      </w:r>
    </w:p>
    <w:p w14:paraId="351EA670" w14:textId="77777777" w:rsidR="0003727A" w:rsidRPr="008608AA" w:rsidRDefault="0003727A" w:rsidP="00E7683B"/>
    <w:p w14:paraId="73E3D5D9" w14:textId="77777777" w:rsidR="0003727A" w:rsidRPr="008608AA" w:rsidRDefault="0003727A" w:rsidP="00E7683B">
      <w:r w:rsidRPr="008608AA">
        <w:rPr>
          <w:b/>
        </w:rPr>
        <w:t>Adaptive management</w:t>
      </w:r>
      <w:r w:rsidRPr="008608AA">
        <w:t>: a systematic process for continually improving management policies and practices by learning from the outcomes of previously employed policies and practices. In active adaptive management, management is treated as a deliberate experiment for purposes of learning.</w:t>
      </w:r>
    </w:p>
    <w:p w14:paraId="068FEAC2" w14:textId="77777777" w:rsidR="0003727A" w:rsidRPr="008608AA" w:rsidRDefault="0003727A" w:rsidP="00E7683B"/>
    <w:p w14:paraId="5A2DD0F1" w14:textId="77777777" w:rsidR="0003727A" w:rsidRPr="008608AA" w:rsidRDefault="0003727A" w:rsidP="00E7683B">
      <w:r w:rsidRPr="008608AA">
        <w:rPr>
          <w:b/>
        </w:rPr>
        <w:t>Afforestation</w:t>
      </w:r>
      <w:r w:rsidRPr="008608AA">
        <w:t>: converting grasslands or shrublands into tree plantations. Afforestation is sometimes suggested as a tool to sequester carbon, but it can have negative impacts on biodiversity and ecosystem function.</w:t>
      </w:r>
    </w:p>
    <w:p w14:paraId="2AB59DCC" w14:textId="77777777" w:rsidR="0003727A" w:rsidRPr="008608AA" w:rsidRDefault="0003727A" w:rsidP="00E7683B"/>
    <w:p w14:paraId="14735256" w14:textId="6B34173E" w:rsidR="0003727A" w:rsidRPr="008608AA" w:rsidRDefault="0003727A" w:rsidP="00E7683B">
      <w:r w:rsidRPr="008608AA">
        <w:rPr>
          <w:b/>
        </w:rPr>
        <w:t>Agenda setting</w:t>
      </w:r>
      <w:r w:rsidRPr="008608AA">
        <w:t xml:space="preserve">: one of four phases in the policy cycle. Agenda setting motivates and sets the direction for policy design and implementation.  </w:t>
      </w:r>
    </w:p>
    <w:p w14:paraId="272A5BB3" w14:textId="77777777" w:rsidR="0003727A" w:rsidRPr="008608AA" w:rsidRDefault="0003727A" w:rsidP="00E7683B"/>
    <w:p w14:paraId="1F0CAD2F" w14:textId="77777777" w:rsidR="0003727A" w:rsidRPr="008608AA" w:rsidRDefault="0003727A" w:rsidP="00E7683B">
      <w:r w:rsidRPr="008608AA">
        <w:rPr>
          <w:b/>
        </w:rPr>
        <w:t>Agricultural intensification</w:t>
      </w:r>
      <w:r w:rsidRPr="008608AA">
        <w:t>: an increase in agricultural production per unit of inputs (which may be labour, land, time, fertilizer, seed, feed or cash).</w:t>
      </w:r>
    </w:p>
    <w:p w14:paraId="445C9EAB" w14:textId="77777777" w:rsidR="0003727A" w:rsidRPr="008608AA" w:rsidRDefault="0003727A" w:rsidP="00E7683B"/>
    <w:p w14:paraId="303FE19C" w14:textId="77777777" w:rsidR="0003727A" w:rsidRPr="008608AA" w:rsidRDefault="0003727A" w:rsidP="00E7683B">
      <w:r w:rsidRPr="008608AA">
        <w:rPr>
          <w:b/>
        </w:rPr>
        <w:t>Agrobiodiversity</w:t>
      </w:r>
      <w:r w:rsidRPr="008608AA">
        <w:t>: agricultural biodiversity is the biological diversity that sustains key functions, structures and processes of agricultural  ecosystems. It includes the variety and variability of animals, plants and micro-organisms, at the genetic, species and ecosystem levels.</w:t>
      </w:r>
    </w:p>
    <w:p w14:paraId="1DBEEF32" w14:textId="77777777" w:rsidR="0003727A" w:rsidRPr="008608AA" w:rsidRDefault="0003727A" w:rsidP="00E7683B"/>
    <w:p w14:paraId="40EB1C9E" w14:textId="77777777" w:rsidR="0003727A" w:rsidRPr="008608AA" w:rsidRDefault="0003727A" w:rsidP="00E7683B">
      <w:r w:rsidRPr="008608AA">
        <w:rPr>
          <w:b/>
        </w:rPr>
        <w:t>Agro-ecological zones</w:t>
      </w:r>
      <w:r w:rsidRPr="008608AA">
        <w:t>: geographic areas with homogeneous sets of climatic parameters and natural resource characteristics, such as rainfall, solar radiation, soil types and soil qualities, which correspond to a level of agricultural potential.</w:t>
      </w:r>
    </w:p>
    <w:p w14:paraId="16B5AFDE" w14:textId="77777777" w:rsidR="0003727A" w:rsidRPr="008608AA" w:rsidRDefault="0003727A" w:rsidP="00E7683B"/>
    <w:p w14:paraId="5328A2A7" w14:textId="77777777" w:rsidR="0003727A" w:rsidRPr="008608AA" w:rsidRDefault="0003727A" w:rsidP="00E7683B">
      <w:r w:rsidRPr="008608AA">
        <w:rPr>
          <w:b/>
        </w:rPr>
        <w:t>Agroecology</w:t>
      </w:r>
      <w:r w:rsidRPr="008608AA">
        <w:t xml:space="preserve">: the science and practice of applying ecological concepts, principles and knowledge (i.e., the interactions of, and explanations for, the diversity, abundance and activities of organisms) to the study, design and management of sustainable agroecosystems. It includes the roles of human beings as a central organism in agroecology by way of social and economic processes in farming systems. Agroecology examines the roles and interactions among all relevant biophysical, technical and socioeconomic components of farming systems and their surrounding landscapes. </w:t>
      </w:r>
    </w:p>
    <w:p w14:paraId="58F4B3B0" w14:textId="77777777" w:rsidR="0003727A" w:rsidRPr="008608AA" w:rsidRDefault="0003727A" w:rsidP="00E7683B"/>
    <w:p w14:paraId="3E9E4AAB" w14:textId="77777777" w:rsidR="0003727A" w:rsidRPr="008608AA" w:rsidRDefault="0003727A" w:rsidP="00E7683B">
      <w:r w:rsidRPr="008608AA">
        <w:rPr>
          <w:b/>
        </w:rPr>
        <w:t>Agroecosystem</w:t>
      </w:r>
      <w:r w:rsidRPr="008608AA">
        <w:t>: an ecosystem, dominated by agriculture, containing assets and functions such as biodiversity, ecological succession and food webs.  An agroecosystem is not restricted to the immediate site of agricultural activity (e.g. the farm), but rather includes the region that is impacted by this activity, usually by changes to the complexity of species assemblages and energy flows, as well as to the net nutrient balance.</w:t>
      </w:r>
    </w:p>
    <w:p w14:paraId="59A352E4" w14:textId="77777777" w:rsidR="0003727A" w:rsidRPr="008608AA" w:rsidRDefault="0003727A" w:rsidP="00E7683B"/>
    <w:p w14:paraId="69AFEDAF" w14:textId="77777777" w:rsidR="0003727A" w:rsidRPr="008608AA" w:rsidRDefault="0003727A" w:rsidP="00E7683B">
      <w:r w:rsidRPr="008608AA">
        <w:rPr>
          <w:b/>
        </w:rPr>
        <w:t>Agroforestry</w:t>
      </w:r>
      <w:r w:rsidRPr="008608AA">
        <w:t>: a collective name for land-use systems and technologies where woody perennials (trees, shrubs, palms, bamboos, etc.) are deliberately used on the same land-management units as agricultural crops and animals, in some form of spatial arrangement or temporal sequence.</w:t>
      </w:r>
    </w:p>
    <w:p w14:paraId="1D3E5241" w14:textId="77777777" w:rsidR="0003727A" w:rsidRPr="008608AA" w:rsidRDefault="0003727A" w:rsidP="00E7683B"/>
    <w:p w14:paraId="7AE64EDE" w14:textId="77777777" w:rsidR="0003727A" w:rsidRPr="008608AA" w:rsidRDefault="0003727A" w:rsidP="00E7683B">
      <w:r w:rsidRPr="008608AA">
        <w:rPr>
          <w:b/>
        </w:rPr>
        <w:t>Aichi (Biodiversity) Targets</w:t>
      </w:r>
      <w:r w:rsidRPr="008608AA">
        <w:t xml:space="preserve">: the 20 targets set by the Conference of the Parties to the Convention for Biological Diversity (CBD) at its tenth meeting, under the Strategic Plan for Biodiversity 2011-2020. </w:t>
      </w:r>
    </w:p>
    <w:p w14:paraId="706C90E2" w14:textId="77777777" w:rsidR="0003727A" w:rsidRPr="008608AA" w:rsidRDefault="0003727A" w:rsidP="00E7683B">
      <w:r w:rsidRPr="008608AA">
        <w:t>Alien species</w:t>
      </w:r>
      <w:r w:rsidRPr="008608AA">
        <w:tab/>
        <w:t>See "invasive alien species".</w:t>
      </w:r>
    </w:p>
    <w:p w14:paraId="0FFF2038" w14:textId="77777777" w:rsidR="0003727A" w:rsidRPr="008608AA" w:rsidRDefault="0003727A" w:rsidP="00E7683B"/>
    <w:p w14:paraId="4983D065" w14:textId="77777777" w:rsidR="0003727A" w:rsidRPr="008608AA" w:rsidRDefault="0003727A" w:rsidP="00E7683B">
      <w:r w:rsidRPr="008608AA">
        <w:rPr>
          <w:b/>
        </w:rPr>
        <w:t>Annual</w:t>
      </w:r>
      <w:r w:rsidRPr="008608AA">
        <w:t>: in botany, refers to plants that grow from seed to maturity, reproduction and death in one year. Related terms are biennial (plants that take two years to complete their life cycles), and perennial (plants that take several many years to complete their life cycles).</w:t>
      </w:r>
    </w:p>
    <w:p w14:paraId="60DE9A8A" w14:textId="77777777" w:rsidR="0003727A" w:rsidRPr="008608AA" w:rsidRDefault="0003727A" w:rsidP="00E7683B"/>
    <w:p w14:paraId="56DB96E5" w14:textId="77777777" w:rsidR="0003727A" w:rsidRPr="008608AA" w:rsidRDefault="0003727A" w:rsidP="00E7683B">
      <w:r w:rsidRPr="008608AA">
        <w:rPr>
          <w:b/>
        </w:rPr>
        <w:t>Anthropogenic assets</w:t>
      </w:r>
      <w:r w:rsidRPr="008608AA">
        <w:t>: built-up infrastructure, health facilities, or knowledge - including indigenous and local knowledge systems and technical or scientific knowledge - as well as formal and non-formal education, work, technology (both physical objects and procedures), and financial assets. Anthropogenic assets have been highlighted to emphasize that a good quality of life is achieved by a co-production of benefits between nature and people.</w:t>
      </w:r>
    </w:p>
    <w:p w14:paraId="4138A536" w14:textId="77777777" w:rsidR="0003727A" w:rsidRPr="008608AA" w:rsidRDefault="0003727A" w:rsidP="00E7683B"/>
    <w:p w14:paraId="3526D02D" w14:textId="77777777" w:rsidR="0003727A" w:rsidRPr="008608AA" w:rsidRDefault="0003727A" w:rsidP="00E7683B">
      <w:r w:rsidRPr="008608AA">
        <w:rPr>
          <w:b/>
        </w:rPr>
        <w:t>Anthropogenic impact</w:t>
      </w:r>
      <w:r w:rsidRPr="008608AA">
        <w:t>: Impacts resulting from human activities.</w:t>
      </w:r>
    </w:p>
    <w:p w14:paraId="2D0D13BC" w14:textId="77777777" w:rsidR="0003727A" w:rsidRPr="008608AA" w:rsidRDefault="0003727A" w:rsidP="00E7683B">
      <w:pPr>
        <w:rPr>
          <w:b/>
        </w:rPr>
      </w:pPr>
    </w:p>
    <w:p w14:paraId="69BACE6A" w14:textId="77777777" w:rsidR="0003727A" w:rsidRPr="008608AA" w:rsidRDefault="0003727A" w:rsidP="00E7683B">
      <w:r w:rsidRPr="008608AA">
        <w:rPr>
          <w:b/>
        </w:rPr>
        <w:t>Approval</w:t>
      </w:r>
      <w:r w:rsidRPr="008608AA">
        <w:t>: approval of the Platform’s outputs signifies that the material has been subject to detailed, line-by-line discussion and agreement by consensus at a session of the Plenary.</w:t>
      </w:r>
    </w:p>
    <w:p w14:paraId="3E8D9E69" w14:textId="77777777" w:rsidR="0003727A" w:rsidRPr="008608AA" w:rsidRDefault="0003727A" w:rsidP="00E7683B"/>
    <w:p w14:paraId="5A02FD2E" w14:textId="77777777" w:rsidR="0003727A" w:rsidRPr="008608AA" w:rsidRDefault="0003727A" w:rsidP="00E7683B">
      <w:r w:rsidRPr="008608AA">
        <w:rPr>
          <w:b/>
        </w:rPr>
        <w:t>Aquaculture</w:t>
      </w:r>
      <w:r w:rsidRPr="008608AA">
        <w:t>: the farming of aquatic organisms, including fish, molluscs, crustaceans and aquatic plants, involving interventions such as regular stocking, feeding, protection from predators, to enhance production. (In contrast, aquatic organisms which are exploitable by the public as a common property resource, are classed as fisheries, not aquaculture).</w:t>
      </w:r>
    </w:p>
    <w:p w14:paraId="3FB7C226" w14:textId="77777777" w:rsidR="0003727A" w:rsidRPr="008608AA" w:rsidRDefault="0003727A" w:rsidP="00E7683B"/>
    <w:p w14:paraId="07A00FFD" w14:textId="77777777" w:rsidR="0003727A" w:rsidRPr="008608AA" w:rsidRDefault="0003727A" w:rsidP="00E7683B">
      <w:r w:rsidRPr="008608AA">
        <w:rPr>
          <w:b/>
        </w:rPr>
        <w:t>Archetypes</w:t>
      </w:r>
      <w:r w:rsidRPr="008608AA">
        <w:t>:  in the context of scenarios, an over-arching scenario that embodies common characteristics of a number of more specific scenarios.</w:t>
      </w:r>
    </w:p>
    <w:p w14:paraId="22920AC5" w14:textId="77777777" w:rsidR="0003727A" w:rsidRPr="008608AA" w:rsidRDefault="0003727A" w:rsidP="00E7683B">
      <w:r w:rsidRPr="008608AA">
        <w:t>Arid ecosystems</w:t>
      </w:r>
      <w:r w:rsidRPr="008608AA">
        <w:tab/>
        <w:t>Those in which water availability severely constrains ecological activity.</w:t>
      </w:r>
    </w:p>
    <w:p w14:paraId="57B3E156" w14:textId="77777777" w:rsidR="0003727A" w:rsidRPr="008608AA" w:rsidRDefault="0003727A" w:rsidP="00E7683B"/>
    <w:p w14:paraId="2AD87BCE" w14:textId="77777777" w:rsidR="0003727A" w:rsidRPr="008608AA" w:rsidRDefault="0003727A" w:rsidP="00E7683B">
      <w:r w:rsidRPr="008608AA">
        <w:rPr>
          <w:b/>
        </w:rPr>
        <w:t>Assessment reports</w:t>
      </w:r>
      <w:r w:rsidRPr="008608AA">
        <w:t>: published outputs of scientific, technical and socioeconomic issues that take into account different approaches, visions and knowledge systems, including global assessments of biodiversity and ecosystem services with a defined geographical scope, and thematic or methodological assessments based on the standard or the fast-track approach. They are to be composed of two or more sections including a summary for policymakers, an optional technical summary and individual chapters and their executive summaries. Assessments are the major output of IPBES, and they contain syntheses of findings on topics that have been selected by the IPBES Plenary.</w:t>
      </w:r>
    </w:p>
    <w:p w14:paraId="4E126653" w14:textId="77777777" w:rsidR="0003727A" w:rsidRPr="008608AA" w:rsidRDefault="0003727A" w:rsidP="00E7683B"/>
    <w:p w14:paraId="32EC6BD9" w14:textId="77777777" w:rsidR="0003727A" w:rsidRPr="008608AA" w:rsidRDefault="0003727A" w:rsidP="00E7683B">
      <w:pPr>
        <w:rPr>
          <w:b/>
        </w:rPr>
      </w:pPr>
      <w:r w:rsidRPr="008608AA">
        <w:rPr>
          <w:b/>
        </w:rPr>
        <w:t>B</w:t>
      </w:r>
    </w:p>
    <w:p w14:paraId="32F23AAD" w14:textId="77777777" w:rsidR="0003727A" w:rsidRPr="008608AA" w:rsidRDefault="0003727A" w:rsidP="00E7683B">
      <w:pPr>
        <w:rPr>
          <w:b/>
        </w:rPr>
      </w:pPr>
    </w:p>
    <w:p w14:paraId="11C1C655" w14:textId="77777777" w:rsidR="0003727A" w:rsidRPr="008608AA" w:rsidRDefault="0003727A" w:rsidP="00E7683B">
      <w:r w:rsidRPr="008608AA">
        <w:rPr>
          <w:b/>
        </w:rPr>
        <w:t>Backcasting</w:t>
      </w:r>
      <w:r w:rsidRPr="008608AA">
        <w:t>: an analytical technique used to search for target-seeking scenarios that fulfil a predefined goal, or set of goals.</w:t>
      </w:r>
    </w:p>
    <w:p w14:paraId="51E2694B" w14:textId="77777777" w:rsidR="0003727A" w:rsidRPr="008608AA" w:rsidRDefault="0003727A" w:rsidP="00E7683B"/>
    <w:p w14:paraId="75EE47D9" w14:textId="77777777" w:rsidR="0003727A" w:rsidRPr="008608AA" w:rsidRDefault="0003727A" w:rsidP="00E7683B">
      <w:r w:rsidRPr="008608AA">
        <w:rPr>
          <w:b/>
        </w:rPr>
        <w:t>Baseline</w:t>
      </w:r>
      <w:r w:rsidRPr="008608AA">
        <w:t>: a minimum or starting point with which to compare other information (e.g. for comparisons between past and present or before and after an intervention).</w:t>
      </w:r>
    </w:p>
    <w:p w14:paraId="5147355C" w14:textId="77777777" w:rsidR="0003727A" w:rsidRPr="008608AA" w:rsidRDefault="0003727A" w:rsidP="00E7683B"/>
    <w:p w14:paraId="33D6E90F" w14:textId="77777777" w:rsidR="0003727A" w:rsidRPr="008608AA" w:rsidRDefault="0003727A" w:rsidP="00E7683B">
      <w:r w:rsidRPr="008608AA">
        <w:rPr>
          <w:b/>
        </w:rPr>
        <w:t>Benefit sharing</w:t>
      </w:r>
      <w:r w:rsidRPr="008608AA">
        <w:t>: distribution of benefits between stakeholders.</w:t>
      </w:r>
    </w:p>
    <w:p w14:paraId="56B7A7BC" w14:textId="77777777" w:rsidR="0003727A" w:rsidRPr="008608AA" w:rsidRDefault="0003727A" w:rsidP="00E7683B"/>
    <w:p w14:paraId="5EAAB57B" w14:textId="77777777" w:rsidR="0003727A" w:rsidRPr="008608AA" w:rsidRDefault="0003727A" w:rsidP="00E7683B">
      <w:r w:rsidRPr="008608AA">
        <w:rPr>
          <w:b/>
        </w:rPr>
        <w:t>Benefits</w:t>
      </w:r>
      <w:r w:rsidRPr="008608AA">
        <w:t>: advantage that contributes to wellbeing from the fulfilment of needs and wants. In the context of nature’s contributions to people (see “Nature’s contributions to people”), a benefit is a positive contribution. (There may also be negative contributions, dis-benefits, or costs, from Nature, such as diseases).</w:t>
      </w:r>
    </w:p>
    <w:p w14:paraId="560115E2" w14:textId="77777777" w:rsidR="0003727A" w:rsidRPr="008608AA" w:rsidRDefault="0003727A" w:rsidP="00E7683B"/>
    <w:p w14:paraId="02B17604" w14:textId="77777777" w:rsidR="0003727A" w:rsidRPr="008608AA" w:rsidRDefault="0003727A" w:rsidP="00E7683B">
      <w:r w:rsidRPr="008608AA">
        <w:rPr>
          <w:b/>
        </w:rPr>
        <w:t>Benthic</w:t>
      </w:r>
      <w:r w:rsidRPr="008608AA">
        <w:t>: occurring at the bottom of a body of water; related to benthos.</w:t>
      </w:r>
    </w:p>
    <w:p w14:paraId="6D09350B" w14:textId="77777777" w:rsidR="0003727A" w:rsidRPr="008608AA" w:rsidRDefault="0003727A" w:rsidP="00E7683B"/>
    <w:p w14:paraId="1544CCAE" w14:textId="77777777" w:rsidR="0003727A" w:rsidRPr="008608AA" w:rsidRDefault="0003727A" w:rsidP="00E7683B">
      <w:r w:rsidRPr="008608AA">
        <w:rPr>
          <w:b/>
        </w:rPr>
        <w:t>Benthos</w:t>
      </w:r>
      <w:r w:rsidRPr="008608AA">
        <w:t>: a group of organisms, other invertebrates, that live in or on the bottom in aquatic habitats.</w:t>
      </w:r>
    </w:p>
    <w:p w14:paraId="0B6CE5FD" w14:textId="77777777" w:rsidR="0003727A" w:rsidRPr="008608AA" w:rsidRDefault="0003727A" w:rsidP="00E7683B"/>
    <w:p w14:paraId="6BBFC5EB" w14:textId="77777777" w:rsidR="0003727A" w:rsidRPr="008608AA" w:rsidRDefault="0003727A" w:rsidP="00E7683B">
      <w:r w:rsidRPr="008608AA">
        <w:rPr>
          <w:b/>
        </w:rPr>
        <w:t>Bioaccumulation</w:t>
      </w:r>
      <w:r w:rsidRPr="008608AA">
        <w:t>: Some contaminants that enter biological systems are preferentially stored (usually in fat tissue) in organisms resulting in an accumulation over time. This process is called bioaccumulation.</w:t>
      </w:r>
    </w:p>
    <w:p w14:paraId="3718AC40" w14:textId="77777777" w:rsidR="0003727A" w:rsidRPr="008608AA" w:rsidRDefault="0003727A" w:rsidP="00E7683B"/>
    <w:p w14:paraId="33797828" w14:textId="77777777" w:rsidR="009B7F2C" w:rsidRPr="008608AA" w:rsidRDefault="0003727A" w:rsidP="00E7683B">
      <w:r w:rsidRPr="008608AA">
        <w:rPr>
          <w:b/>
        </w:rPr>
        <w:t>Biocapacity</w:t>
      </w:r>
      <w:r w:rsidRPr="008608AA">
        <w:t xml:space="preserve">: </w:t>
      </w:r>
      <w:r w:rsidR="009B7F2C" w:rsidRPr="008608AA">
        <w:t xml:space="preserve">the ecosystem’s capacity to produce biological materials used by people and to absorb waste material generated by humans, under current management schemes and extraction technologies". The "biocapacity" indicator used in the present report is based on the Global Footprint Network, unless otherwise specified.  </w:t>
      </w:r>
    </w:p>
    <w:p w14:paraId="4894F209" w14:textId="01846634" w:rsidR="0003727A" w:rsidRPr="008608AA" w:rsidRDefault="0003727A" w:rsidP="00E7683B"/>
    <w:p w14:paraId="0B1CFBB8" w14:textId="77777777" w:rsidR="0003727A" w:rsidRPr="008608AA" w:rsidRDefault="0003727A" w:rsidP="00E7683B">
      <w:r w:rsidRPr="008608AA">
        <w:rPr>
          <w:b/>
        </w:rPr>
        <w:t>Biodiversity</w:t>
      </w:r>
      <w:r w:rsidRPr="008608AA">
        <w:t>: the variability among living organisms from all sources including terrestrial, marine and other aquatic ecosystems and the ecological complexes of which they are a part. This includes variation in genetic, phenotypic, phylogenetic, and functional attributes, as well as changes in abundance and distribution over time and space within and among species, biological communities and ecosystems.</w:t>
      </w:r>
    </w:p>
    <w:p w14:paraId="71F1826E" w14:textId="77777777" w:rsidR="0003727A" w:rsidRPr="008608AA" w:rsidRDefault="0003727A" w:rsidP="00E7683B"/>
    <w:p w14:paraId="5925A5D4" w14:textId="77777777" w:rsidR="0003727A" w:rsidRPr="008608AA" w:rsidRDefault="0003727A" w:rsidP="00E7683B">
      <w:r w:rsidRPr="008608AA">
        <w:rPr>
          <w:b/>
        </w:rPr>
        <w:t>Biodiversity footprint hotspots</w:t>
      </w:r>
      <w:r w:rsidRPr="008608AA">
        <w:t>: biodiversity threat hotspots driven by global consumption of goods and services.</w:t>
      </w:r>
    </w:p>
    <w:p w14:paraId="14579733" w14:textId="77777777" w:rsidR="0003727A" w:rsidRPr="008608AA" w:rsidRDefault="0003727A" w:rsidP="00E7683B">
      <w:pPr>
        <w:rPr>
          <w:b/>
        </w:rPr>
      </w:pPr>
    </w:p>
    <w:p w14:paraId="7F50498E" w14:textId="77777777" w:rsidR="0003727A" w:rsidRPr="008608AA" w:rsidRDefault="0003727A" w:rsidP="00E7683B">
      <w:r w:rsidRPr="008608AA">
        <w:rPr>
          <w:b/>
        </w:rPr>
        <w:t>Biodiversity hotspot</w:t>
      </w:r>
      <w:r w:rsidRPr="008608AA">
        <w:t>: a generic term for an area high in such biodiversity attributes as species richness or endemism. It may also be used in assessments as a precise term applied to geographic areas defined according to two criteria (Myers et al 2000): (i) containing at least 1,500 species of the world's 300,000 vascular plant species as endemics, and (ii) being under threat, in having lost 70 % of its primary vegetation.</w:t>
      </w:r>
    </w:p>
    <w:p w14:paraId="4622B81C" w14:textId="77777777" w:rsidR="0003727A" w:rsidRPr="008608AA" w:rsidRDefault="0003727A" w:rsidP="00E7683B"/>
    <w:p w14:paraId="3CFDD6D3" w14:textId="77777777" w:rsidR="0003727A" w:rsidRPr="008608AA" w:rsidRDefault="0003727A" w:rsidP="00E7683B">
      <w:r w:rsidRPr="008608AA">
        <w:rPr>
          <w:b/>
        </w:rPr>
        <w:t>Biodiversity loss</w:t>
      </w:r>
      <w:r w:rsidRPr="008608AA">
        <w:t>: the reduction of any aspect of biological diversity (i.e. diversity at the genetic, species and ecosystem levels) is lost in a particular area through death (including extinction), destruction or manual removal; it can refer to many scales, from global extinctions to population extinctions, resulting in decreased total diversity at the same scale.</w:t>
      </w:r>
    </w:p>
    <w:p w14:paraId="71272F85" w14:textId="77777777" w:rsidR="0003727A" w:rsidRPr="008608AA" w:rsidRDefault="0003727A" w:rsidP="00E7683B"/>
    <w:p w14:paraId="0756FD7A" w14:textId="77777777" w:rsidR="0003727A" w:rsidRPr="008608AA" w:rsidRDefault="0003727A" w:rsidP="00E7683B">
      <w:r w:rsidRPr="008608AA">
        <w:rPr>
          <w:b/>
        </w:rPr>
        <w:t>Biodiversity offset</w:t>
      </w:r>
      <w:r w:rsidRPr="008608AA">
        <w:t xml:space="preserve">: a biodiversity offset is a tool proposed by developers and planners for compensating for the loss of biodiversity in one place by biodiversity gains in another. </w:t>
      </w:r>
    </w:p>
    <w:p w14:paraId="2F46E40C" w14:textId="77777777" w:rsidR="0003727A" w:rsidRPr="008608AA" w:rsidRDefault="0003727A" w:rsidP="00E7683B"/>
    <w:p w14:paraId="4DA77913" w14:textId="77777777" w:rsidR="0003727A" w:rsidRPr="008608AA" w:rsidRDefault="0003727A" w:rsidP="00E7683B">
      <w:r w:rsidRPr="008608AA">
        <w:rPr>
          <w:b/>
        </w:rPr>
        <w:t>Biofuel</w:t>
      </w:r>
      <w:r w:rsidRPr="008608AA">
        <w:t>: fuel made from biomass.</w:t>
      </w:r>
    </w:p>
    <w:p w14:paraId="2CDCAA24" w14:textId="77777777" w:rsidR="0003727A" w:rsidRPr="008608AA" w:rsidRDefault="0003727A" w:rsidP="00E7683B"/>
    <w:p w14:paraId="2877F18F" w14:textId="77777777" w:rsidR="0003727A" w:rsidRPr="008608AA" w:rsidRDefault="0003727A" w:rsidP="00E7683B">
      <w:r w:rsidRPr="008608AA">
        <w:rPr>
          <w:b/>
        </w:rPr>
        <w:t>Biomass</w:t>
      </w:r>
      <w:r w:rsidRPr="008608AA">
        <w:t>: the mass of non-fossilized and biodegradable organic material originating from plants, animals and micro-organisms in a given area or volume.</w:t>
      </w:r>
    </w:p>
    <w:p w14:paraId="1C7AC38F" w14:textId="77777777" w:rsidR="0003727A" w:rsidRPr="008608AA" w:rsidRDefault="0003727A" w:rsidP="00E7683B"/>
    <w:p w14:paraId="2CACF8CD" w14:textId="77777777" w:rsidR="0003727A" w:rsidRPr="008608AA" w:rsidRDefault="0003727A" w:rsidP="00E7683B">
      <w:r w:rsidRPr="008608AA">
        <w:rPr>
          <w:b/>
        </w:rPr>
        <w:t>Biome</w:t>
      </w:r>
      <w:r w:rsidRPr="008608AA">
        <w:t xml:space="preserve">: global-scale zones, generally defined by the type of plant life that they support in response to average rainfall and temperature patterns. For example, tundra, coral reefs or savannas. </w:t>
      </w:r>
    </w:p>
    <w:p w14:paraId="02D19EA0" w14:textId="77777777" w:rsidR="0003727A" w:rsidRPr="008608AA" w:rsidRDefault="0003727A" w:rsidP="00E7683B"/>
    <w:p w14:paraId="3EBF24E9" w14:textId="77777777" w:rsidR="0003727A" w:rsidRPr="008608AA" w:rsidRDefault="0003727A" w:rsidP="00E7683B">
      <w:r w:rsidRPr="008608AA">
        <w:rPr>
          <w:b/>
        </w:rPr>
        <w:t>Biosphere</w:t>
      </w:r>
      <w:r w:rsidRPr="008608AA">
        <w:t>: the sum of all the ecosystems of the world. It is both the collection of organisms living on the Earth and the space that they occupy on part of the Earth’s crust (the lithosphere), in the oceans (the hydrosphere) and in the atmosphere. The biosphere is all the planet’s ecosystems.</w:t>
      </w:r>
    </w:p>
    <w:p w14:paraId="45F7CEBF" w14:textId="77777777" w:rsidR="0003727A" w:rsidRPr="008608AA" w:rsidRDefault="0003727A" w:rsidP="00E7683B"/>
    <w:p w14:paraId="4EC34689" w14:textId="77777777" w:rsidR="0003727A" w:rsidRPr="008608AA" w:rsidRDefault="0003727A" w:rsidP="00E7683B">
      <w:r w:rsidRPr="008608AA">
        <w:rPr>
          <w:b/>
        </w:rPr>
        <w:t>Biota</w:t>
      </w:r>
      <w:r w:rsidRPr="008608AA">
        <w:t>: all living organisms of an area; the flora and fauna considered as a unit.</w:t>
      </w:r>
    </w:p>
    <w:p w14:paraId="3475C4BF" w14:textId="77777777" w:rsidR="0003727A" w:rsidRPr="008608AA" w:rsidRDefault="0003727A" w:rsidP="00E7683B"/>
    <w:p w14:paraId="25099819" w14:textId="77777777" w:rsidR="0003727A" w:rsidRPr="008608AA" w:rsidRDefault="0003727A" w:rsidP="00E7683B">
      <w:r w:rsidRPr="008608AA">
        <w:rPr>
          <w:b/>
        </w:rPr>
        <w:t>Bonn Challenge</w:t>
      </w:r>
      <w:r w:rsidRPr="008608AA">
        <w:t>: a global effort to restore 150 million hectares of the world's degraded and deforested lands by 2020 and 350 million hectares by 2030. It is overseen by the Global Partnership on Forest Landscape Restoration, with the International Union for Conservation of Nature as its Secretariat.</w:t>
      </w:r>
    </w:p>
    <w:p w14:paraId="7C1CC035" w14:textId="77777777" w:rsidR="0003727A" w:rsidRPr="008608AA" w:rsidRDefault="0003727A" w:rsidP="00E7683B"/>
    <w:p w14:paraId="7606BC3E" w14:textId="77777777" w:rsidR="0003727A" w:rsidRPr="008608AA" w:rsidRDefault="0003727A" w:rsidP="00E7683B">
      <w:r w:rsidRPr="008608AA">
        <w:rPr>
          <w:b/>
        </w:rPr>
        <w:t>Boundary objects</w:t>
      </w:r>
      <w:r w:rsidRPr="008608AA">
        <w:t>: objects and/or processes plastic enough to adapt to local needs and to the constraints of the several parties employing them, yet robust enough to maintain a common identity across sites. Their meanings may differ in different social contexts, but their structure is common enough and recognizable across contexts.</w:t>
      </w:r>
    </w:p>
    <w:p w14:paraId="7B7094A0" w14:textId="77777777" w:rsidR="0003727A" w:rsidRPr="008608AA" w:rsidRDefault="0003727A" w:rsidP="00E7683B">
      <w:pPr>
        <w:rPr>
          <w:b/>
        </w:rPr>
      </w:pPr>
    </w:p>
    <w:p w14:paraId="2902B2F1" w14:textId="77777777" w:rsidR="0003727A" w:rsidRPr="008608AA" w:rsidRDefault="0003727A" w:rsidP="00E7683B">
      <w:r w:rsidRPr="008608AA">
        <w:rPr>
          <w:b/>
        </w:rPr>
        <w:t>Buen vivir</w:t>
      </w:r>
      <w:r w:rsidRPr="008608AA">
        <w:t>: although no universal definition of buen vivir has been attained yet, it has “four common constitutive elements: (a) the idea of harmony with nature (including its abiotic components); (b) vindication of the principles and values of marginalized/subordinated peoples; (c) the State as guarantor of the satisfaction of basic needs (such as education, health, food and water), social justice and equality; and (d) democracy. There are also two cross-cutting lines: buen vivir as a critical paradigm of Eurocentric (anthropocentric, capitalist, economistic and universalistic) modernity, and as a new intercultural political project”.</w:t>
      </w:r>
    </w:p>
    <w:p w14:paraId="679781EB" w14:textId="77777777" w:rsidR="0003727A" w:rsidRPr="008608AA" w:rsidRDefault="0003727A" w:rsidP="00E7683B">
      <w:pPr>
        <w:rPr>
          <w:b/>
        </w:rPr>
      </w:pPr>
    </w:p>
    <w:p w14:paraId="3A600151" w14:textId="77777777" w:rsidR="0003727A" w:rsidRPr="008608AA" w:rsidRDefault="0003727A" w:rsidP="00E7683B">
      <w:r w:rsidRPr="008608AA">
        <w:rPr>
          <w:b/>
        </w:rPr>
        <w:t>Bushmeat</w:t>
      </w:r>
      <w:r w:rsidRPr="008608AA">
        <w:t>: meat for human consumption derived from wild animals.</w:t>
      </w:r>
    </w:p>
    <w:p w14:paraId="101F5E50" w14:textId="77777777" w:rsidR="0003727A" w:rsidRPr="008608AA" w:rsidRDefault="0003727A" w:rsidP="00E7683B"/>
    <w:p w14:paraId="1E71ED65" w14:textId="77777777" w:rsidR="0003727A" w:rsidRPr="008608AA" w:rsidRDefault="0003727A" w:rsidP="00E7683B">
      <w:r w:rsidRPr="008608AA">
        <w:rPr>
          <w:b/>
        </w:rPr>
        <w:t>Bycatch</w:t>
      </w:r>
      <w:r w:rsidRPr="008608AA">
        <w:t>: the commercially undesirable species caught during a fishing process.</w:t>
      </w:r>
    </w:p>
    <w:p w14:paraId="13ACF65D" w14:textId="77777777" w:rsidR="0003727A" w:rsidRPr="008608AA" w:rsidRDefault="0003727A" w:rsidP="00E7683B"/>
    <w:p w14:paraId="6D7409E0" w14:textId="77777777" w:rsidR="0003727A" w:rsidRPr="008608AA" w:rsidRDefault="0003727A" w:rsidP="00E7683B">
      <w:pPr>
        <w:rPr>
          <w:b/>
        </w:rPr>
      </w:pPr>
      <w:r w:rsidRPr="008608AA">
        <w:rPr>
          <w:b/>
        </w:rPr>
        <w:t>C</w:t>
      </w:r>
    </w:p>
    <w:p w14:paraId="17ABCA24" w14:textId="77777777" w:rsidR="0003727A" w:rsidRPr="008608AA" w:rsidRDefault="0003727A" w:rsidP="00E7683B">
      <w:pPr>
        <w:rPr>
          <w:b/>
        </w:rPr>
      </w:pPr>
    </w:p>
    <w:p w14:paraId="347692FB" w14:textId="77777777" w:rsidR="0003727A" w:rsidRPr="008608AA" w:rsidRDefault="0003727A" w:rsidP="00E7683B">
      <w:r w:rsidRPr="008608AA">
        <w:rPr>
          <w:b/>
        </w:rPr>
        <w:t>Capacity-building</w:t>
      </w:r>
      <w:r w:rsidRPr="008608AA">
        <w:t xml:space="preserve"> (or development): defined by the United Nations Development Programme as “the process through which individuals, organisations and societies obtain, strengthen and maintain their capabilities to set and achieve their own development objectives over time”. IPBES promotes and facilitates capacity-building, to improve the capacity of countries to make informed policy decisions on biodiversity and ecosystem services.</w:t>
      </w:r>
    </w:p>
    <w:p w14:paraId="43F18119" w14:textId="77777777" w:rsidR="0003727A" w:rsidRPr="008608AA" w:rsidRDefault="0003727A" w:rsidP="00E7683B"/>
    <w:p w14:paraId="22F274B9" w14:textId="77777777" w:rsidR="0003727A" w:rsidRPr="008608AA" w:rsidRDefault="0003727A" w:rsidP="00E7683B">
      <w:r w:rsidRPr="008608AA">
        <w:rPr>
          <w:b/>
        </w:rPr>
        <w:t>Carbon cycle</w:t>
      </w:r>
      <w:r w:rsidRPr="008608AA">
        <w:t>: the carbon cycle is the process by which carbon is exchanged among the ecosystems of the Earth.</w:t>
      </w:r>
    </w:p>
    <w:p w14:paraId="4A74B27A" w14:textId="77777777" w:rsidR="0003727A" w:rsidRPr="008608AA" w:rsidRDefault="0003727A" w:rsidP="00E7683B"/>
    <w:p w14:paraId="79EFC0EB" w14:textId="77777777" w:rsidR="0003727A" w:rsidRPr="008608AA" w:rsidRDefault="0003727A" w:rsidP="00E7683B">
      <w:r w:rsidRPr="008608AA">
        <w:rPr>
          <w:b/>
        </w:rPr>
        <w:t>Carbon footprint</w:t>
      </w:r>
      <w:r w:rsidRPr="008608AA">
        <w:t>: a measure of the total amount of carbon dioxide emissions, including carbon dioxide equivalents, that is directly and indirectly caused by an activity or is accumulated over the life stages of a product.</w:t>
      </w:r>
    </w:p>
    <w:p w14:paraId="7DC8E5F6" w14:textId="77777777" w:rsidR="0003727A" w:rsidRPr="008608AA" w:rsidRDefault="0003727A" w:rsidP="00E7683B"/>
    <w:p w14:paraId="1F2B1278" w14:textId="77777777" w:rsidR="0003727A" w:rsidRPr="008608AA" w:rsidRDefault="0003727A" w:rsidP="00E7683B">
      <w:r w:rsidRPr="008608AA">
        <w:rPr>
          <w:b/>
        </w:rPr>
        <w:t>Carbon sequestration</w:t>
      </w:r>
      <w:r w:rsidRPr="008608AA">
        <w:t>: the long-term storage of carbon in plants, soils, geologic formations, and the ocean. Carbon sequestration occurs both naturally and as a result of anthropogenic activities and typically refers to the storage of carbon that has the immediate potential to become carbon dioxide gas.</w:t>
      </w:r>
    </w:p>
    <w:p w14:paraId="5270420F" w14:textId="77777777" w:rsidR="0003727A" w:rsidRPr="008608AA" w:rsidRDefault="0003727A" w:rsidP="00E7683B"/>
    <w:p w14:paraId="37A329B1" w14:textId="77777777" w:rsidR="0003727A" w:rsidRPr="008608AA" w:rsidRDefault="0003727A" w:rsidP="00E7683B">
      <w:r w:rsidRPr="008608AA">
        <w:rPr>
          <w:b/>
        </w:rPr>
        <w:t>Carbon storage</w:t>
      </w:r>
      <w:r w:rsidRPr="008608AA">
        <w:t>: the biological process by which carbon in the form carbon dioxide is taken up from the atmosphere and incorporated through photosynthesis into different compartments of ecosystems, such as biomass, wood, or soil organic carbon. Also, the technological process of capturing waste carbon dioxide from industry or power generation, and storing it so that it will not enter the atmosphere.</w:t>
      </w:r>
    </w:p>
    <w:p w14:paraId="098348E4" w14:textId="77777777" w:rsidR="0003727A" w:rsidRPr="008608AA" w:rsidRDefault="0003727A" w:rsidP="00E7683B"/>
    <w:p w14:paraId="0C90014A" w14:textId="77777777" w:rsidR="0003727A" w:rsidRPr="008608AA" w:rsidRDefault="0003727A" w:rsidP="00E7683B">
      <w:r w:rsidRPr="008608AA">
        <w:rPr>
          <w:b/>
        </w:rPr>
        <w:t>Carrying capacity</w:t>
      </w:r>
      <w:r w:rsidRPr="008608AA">
        <w:t>: in ecology, the carrying capacity of a species in an environment is the maximum population size of the species that the environment can sustain indefinitely. The term is also used more generally to refer to the upper limit of habitats, ecosystems, landscapes, waterscapes or seascapes to provide tangible and intangible goods and services (including aesthetic and spiritual services) in a sustainable way.</w:t>
      </w:r>
    </w:p>
    <w:p w14:paraId="0B8E18AD" w14:textId="77777777" w:rsidR="0003727A" w:rsidRPr="008608AA" w:rsidRDefault="0003727A" w:rsidP="00E7683B"/>
    <w:p w14:paraId="65555F71" w14:textId="77777777" w:rsidR="0003727A" w:rsidRPr="008608AA" w:rsidRDefault="0003727A" w:rsidP="00E7683B">
      <w:r w:rsidRPr="008608AA">
        <w:rPr>
          <w:b/>
        </w:rPr>
        <w:t>Certainty</w:t>
      </w:r>
      <w:r w:rsidRPr="008608AA">
        <w:t>:  in the context of IPBES, the summary terms to describe the state of knowledge are the following:</w:t>
      </w:r>
    </w:p>
    <w:p w14:paraId="173B4D8B" w14:textId="77777777" w:rsidR="0003727A" w:rsidRPr="008608AA" w:rsidRDefault="0003727A" w:rsidP="00E7683B"/>
    <w:p w14:paraId="591A78A7" w14:textId="77777777" w:rsidR="0003727A" w:rsidRPr="008608AA" w:rsidRDefault="0003727A" w:rsidP="00937445">
      <w:pPr>
        <w:pStyle w:val="ListParagraph"/>
        <w:numPr>
          <w:ilvl w:val="0"/>
          <w:numId w:val="3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contextualSpacing/>
        <w:rPr>
          <w:sz w:val="24"/>
          <w:szCs w:val="24"/>
        </w:rPr>
      </w:pPr>
      <w:r w:rsidRPr="008608AA">
        <w:rPr>
          <w:sz w:val="24"/>
          <w:szCs w:val="24"/>
        </w:rPr>
        <w:t>Well established (Certainty term (q.v.)): comprehensive meta-analysis or other synthesis or multiple independent studies that agree.</w:t>
      </w:r>
    </w:p>
    <w:p w14:paraId="6793907B" w14:textId="77777777" w:rsidR="0003727A" w:rsidRPr="008608AA" w:rsidRDefault="0003727A" w:rsidP="00937445">
      <w:pPr>
        <w:pStyle w:val="ListParagraph"/>
        <w:numPr>
          <w:ilvl w:val="0"/>
          <w:numId w:val="3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contextualSpacing/>
        <w:rPr>
          <w:sz w:val="24"/>
          <w:szCs w:val="24"/>
        </w:rPr>
      </w:pPr>
      <w:r w:rsidRPr="008608AA">
        <w:rPr>
          <w:sz w:val="24"/>
          <w:szCs w:val="24"/>
        </w:rPr>
        <w:t>Established but incomplete (Certainty term (q.v.)): general agreement although only a limited number of studies exist but no comprehensive synthesis and, or the studies that exist imprecisely address the question.</w:t>
      </w:r>
    </w:p>
    <w:p w14:paraId="231ABB84" w14:textId="77777777" w:rsidR="0003727A" w:rsidRPr="008608AA" w:rsidRDefault="0003727A" w:rsidP="00937445">
      <w:pPr>
        <w:pStyle w:val="ListParagraph"/>
        <w:numPr>
          <w:ilvl w:val="0"/>
          <w:numId w:val="3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contextualSpacing/>
        <w:rPr>
          <w:sz w:val="24"/>
          <w:szCs w:val="24"/>
        </w:rPr>
      </w:pPr>
      <w:r w:rsidRPr="008608AA">
        <w:rPr>
          <w:sz w:val="24"/>
          <w:szCs w:val="24"/>
        </w:rPr>
        <w:t>Unresolved (Certainty term (q.v.)):  multiple independent studies exist but conclusions do not agree.</w:t>
      </w:r>
    </w:p>
    <w:p w14:paraId="539881F5" w14:textId="77777777" w:rsidR="0003727A" w:rsidRPr="008608AA" w:rsidRDefault="0003727A" w:rsidP="00937445">
      <w:pPr>
        <w:pStyle w:val="ListParagraph"/>
        <w:numPr>
          <w:ilvl w:val="0"/>
          <w:numId w:val="33"/>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contextualSpacing/>
        <w:rPr>
          <w:sz w:val="24"/>
          <w:szCs w:val="24"/>
        </w:rPr>
      </w:pPr>
      <w:r w:rsidRPr="008608AA">
        <w:rPr>
          <w:sz w:val="24"/>
          <w:szCs w:val="24"/>
        </w:rPr>
        <w:t>Inconclusive (Certainty term (q.v.)): limited evidence, recognising major knowledge gaps.</w:t>
      </w:r>
    </w:p>
    <w:p w14:paraId="1CBE6707" w14:textId="77777777" w:rsidR="0003727A" w:rsidRPr="008608AA" w:rsidRDefault="0003727A" w:rsidP="00E7683B"/>
    <w:p w14:paraId="4F8334E9" w14:textId="77777777" w:rsidR="0003727A" w:rsidRPr="008608AA" w:rsidRDefault="0003727A" w:rsidP="00E7683B">
      <w:r w:rsidRPr="008608AA">
        <w:rPr>
          <w:b/>
        </w:rPr>
        <w:t>Climate change</w:t>
      </w:r>
      <w:r w:rsidRPr="008608AA">
        <w:t>: as defined in Article 1 of the UNFCCC, "a change of climate which is attributed directly or indirectly to human activity that alters the composition of the global atmosphere and which is in addition to natural climate variability observed over comparable time periods”.</w:t>
      </w:r>
    </w:p>
    <w:p w14:paraId="77919F6A" w14:textId="77777777" w:rsidR="0003727A" w:rsidRPr="008608AA" w:rsidRDefault="0003727A" w:rsidP="00E7683B"/>
    <w:p w14:paraId="289D9E5E" w14:textId="77777777" w:rsidR="0003727A" w:rsidRPr="008608AA" w:rsidRDefault="0003727A" w:rsidP="00E7683B">
      <w:r w:rsidRPr="008608AA">
        <w:rPr>
          <w:b/>
        </w:rPr>
        <w:t>Co-management</w:t>
      </w:r>
      <w:r w:rsidRPr="008608AA">
        <w:t>: process of management in which government shares power with resource users, with each given specific rights and responsibilities relating to information and decision-making.</w:t>
      </w:r>
    </w:p>
    <w:p w14:paraId="41D1558A" w14:textId="77777777" w:rsidR="0003727A" w:rsidRPr="008608AA" w:rsidRDefault="0003727A" w:rsidP="00E7683B"/>
    <w:p w14:paraId="16CB5D5C" w14:textId="77777777" w:rsidR="0003727A" w:rsidRPr="008608AA" w:rsidRDefault="0003727A" w:rsidP="00E7683B">
      <w:r w:rsidRPr="008608AA">
        <w:rPr>
          <w:b/>
        </w:rPr>
        <w:t>Co-production</w:t>
      </w:r>
      <w:r w:rsidRPr="008608AA">
        <w:t>: in the context of the IPBES conceptual framework, this is the joint contribution by nature and anthropogenic assets in generating nature’s contributions to people.</w:t>
      </w:r>
    </w:p>
    <w:p w14:paraId="12C95E2D" w14:textId="77777777" w:rsidR="0003727A" w:rsidRPr="008608AA" w:rsidRDefault="0003727A" w:rsidP="00E7683B"/>
    <w:p w14:paraId="522EB053" w14:textId="77777777" w:rsidR="0003727A" w:rsidRPr="008608AA" w:rsidRDefault="0003727A" w:rsidP="00E7683B">
      <w:r w:rsidRPr="008608AA">
        <w:rPr>
          <w:b/>
        </w:rPr>
        <w:t>Compensation</w:t>
      </w:r>
      <w:r w:rsidRPr="008608AA">
        <w:t>: a given project attains zero net biodiversity loss when its unavoidable impacts on biodiversity are balanced out or compensated by actions such as conservation, rehabilitation, restoration and/or compensation of residual impacts that avoid or minimize losses. In this case, compensation refers to environmental compensation and not socioeconomic compensation to the people who are affected by the project’s impact.</w:t>
      </w:r>
    </w:p>
    <w:p w14:paraId="642F4108" w14:textId="77777777" w:rsidR="0003727A" w:rsidRPr="008608AA" w:rsidRDefault="0003727A" w:rsidP="00E7683B">
      <w:pPr>
        <w:rPr>
          <w:b/>
        </w:rPr>
      </w:pPr>
    </w:p>
    <w:p w14:paraId="03DECACB" w14:textId="77777777" w:rsidR="0003727A" w:rsidRPr="008608AA" w:rsidRDefault="0003727A" w:rsidP="00E7683B">
      <w:r w:rsidRPr="008608AA">
        <w:rPr>
          <w:b/>
        </w:rPr>
        <w:t>Conservation easement</w:t>
      </w:r>
      <w:r w:rsidRPr="008608AA">
        <w:t>: voluntary, typically permanent, partial interest in property created through agreement between a landowner and a nonprofit land trust or government agency in which a landowner agrees to land-use restrictions, usually in exchange for a payment, tax reduction, or permit.</w:t>
      </w:r>
    </w:p>
    <w:p w14:paraId="15167D07" w14:textId="77777777" w:rsidR="0003727A" w:rsidRPr="008608AA" w:rsidRDefault="0003727A" w:rsidP="00E7683B">
      <w:pPr>
        <w:rPr>
          <w:b/>
        </w:rPr>
      </w:pPr>
    </w:p>
    <w:p w14:paraId="1AC740A0" w14:textId="77777777" w:rsidR="0003727A" w:rsidRPr="008608AA" w:rsidRDefault="0003727A" w:rsidP="00E7683B">
      <w:r w:rsidRPr="008608AA">
        <w:rPr>
          <w:b/>
        </w:rPr>
        <w:t>Corridor</w:t>
      </w:r>
      <w:r w:rsidRPr="008608AA">
        <w:t>: a geographically defined area which allows species to move between landscapes, ecosystems and habitats, natural or modified, and ensures the maintenance of biodiversity and ecological and evolutionary processes.</w:t>
      </w:r>
    </w:p>
    <w:p w14:paraId="6906EDC0" w14:textId="77777777" w:rsidR="0003727A" w:rsidRPr="008608AA" w:rsidRDefault="0003727A" w:rsidP="00E7683B"/>
    <w:p w14:paraId="49DBBE5C" w14:textId="77777777" w:rsidR="0003727A" w:rsidRPr="008608AA" w:rsidRDefault="0003727A" w:rsidP="00E7683B">
      <w:r w:rsidRPr="008608AA">
        <w:rPr>
          <w:b/>
        </w:rPr>
        <w:t>Cropland</w:t>
      </w:r>
      <w:r w:rsidRPr="008608AA">
        <w:t>: a land cover/use category that includes areas used for the production of crops for harvest.</w:t>
      </w:r>
    </w:p>
    <w:p w14:paraId="0E22A093" w14:textId="77777777" w:rsidR="0003727A" w:rsidRPr="008608AA" w:rsidRDefault="0003727A" w:rsidP="00E7683B"/>
    <w:p w14:paraId="6176D003" w14:textId="77777777" w:rsidR="0003727A" w:rsidRPr="008608AA" w:rsidRDefault="0003727A" w:rsidP="00E7683B">
      <w:r w:rsidRPr="008608AA">
        <w:rPr>
          <w:b/>
        </w:rPr>
        <w:t>Cross-scale analysis</w:t>
      </w:r>
      <w:r w:rsidRPr="008608AA">
        <w:t>: cross-scale effects are the result of spatial and/or temporal processes interacting with other processes at another scale. These interactions create emergent effects that can be difficult to predict.</w:t>
      </w:r>
    </w:p>
    <w:p w14:paraId="2616EE2A" w14:textId="77777777" w:rsidR="0003727A" w:rsidRPr="008608AA" w:rsidRDefault="0003727A" w:rsidP="00E7683B">
      <w:pPr>
        <w:rPr>
          <w:b/>
        </w:rPr>
      </w:pPr>
    </w:p>
    <w:p w14:paraId="58BB8A63" w14:textId="77777777" w:rsidR="0003727A" w:rsidRPr="008608AA" w:rsidRDefault="0003727A" w:rsidP="00E7683B">
      <w:pPr>
        <w:rPr>
          <w:b/>
        </w:rPr>
      </w:pPr>
      <w:r w:rsidRPr="008608AA">
        <w:rPr>
          <w:b/>
        </w:rPr>
        <w:t>D</w:t>
      </w:r>
    </w:p>
    <w:p w14:paraId="2DB8DC98" w14:textId="77777777" w:rsidR="0003727A" w:rsidRPr="008608AA" w:rsidRDefault="0003727A" w:rsidP="00E7683B">
      <w:pPr>
        <w:rPr>
          <w:b/>
        </w:rPr>
      </w:pPr>
    </w:p>
    <w:p w14:paraId="27F38AE3" w14:textId="77777777" w:rsidR="0003727A" w:rsidRPr="008608AA" w:rsidRDefault="0003727A" w:rsidP="00E7683B">
      <w:r w:rsidRPr="008608AA">
        <w:rPr>
          <w:b/>
        </w:rPr>
        <w:t>Decomposition</w:t>
      </w:r>
      <w:r w:rsidRPr="008608AA">
        <w:t>: breakdown of complex organic substances into simpler molecules or ions by physical, chemical and/or biological processes</w:t>
      </w:r>
    </w:p>
    <w:p w14:paraId="4523EDDF" w14:textId="77777777" w:rsidR="0003727A" w:rsidRPr="008608AA" w:rsidRDefault="0003727A" w:rsidP="00E7683B"/>
    <w:p w14:paraId="0E6961D3" w14:textId="77777777" w:rsidR="0003727A" w:rsidRPr="008608AA" w:rsidRDefault="0003727A" w:rsidP="00E7683B">
      <w:r w:rsidRPr="008608AA">
        <w:rPr>
          <w:b/>
        </w:rPr>
        <w:t>Deforestation</w:t>
      </w:r>
      <w:r w:rsidRPr="008608AA">
        <w:t>: human-induced conversion of forested land to nonforested land. Deforestation can be permanent, when this change is definitive, or temporary when this change is part of a cycle that includes natural or assisted regeneration.</w:t>
      </w:r>
    </w:p>
    <w:p w14:paraId="7BDA9F02" w14:textId="77777777" w:rsidR="0003727A" w:rsidRPr="008608AA" w:rsidRDefault="0003727A" w:rsidP="00E7683B"/>
    <w:p w14:paraId="0D131B3F" w14:textId="77777777" w:rsidR="0003727A" w:rsidRPr="008608AA" w:rsidRDefault="0003727A" w:rsidP="00E7683B">
      <w:r w:rsidRPr="008608AA">
        <w:t>Degraded land: land in a state that results from persistent decline or loss of biodiversity and ecosystem functions and services that cannot fully recover unaided.</w:t>
      </w:r>
    </w:p>
    <w:p w14:paraId="3108FBC1" w14:textId="77777777" w:rsidR="0003727A" w:rsidRPr="008608AA" w:rsidRDefault="0003727A" w:rsidP="00E7683B">
      <w:pPr>
        <w:rPr>
          <w:b/>
        </w:rPr>
      </w:pPr>
    </w:p>
    <w:p w14:paraId="40AEF9F9" w14:textId="77777777" w:rsidR="0003727A" w:rsidRPr="008608AA" w:rsidRDefault="0003727A" w:rsidP="00E7683B">
      <w:r w:rsidRPr="008608AA">
        <w:rPr>
          <w:b/>
        </w:rPr>
        <w:t xml:space="preserve">Degrowth: </w:t>
      </w:r>
      <w:r w:rsidRPr="008608AA">
        <w:t xml:space="preserve">started as an activist movement around 2008 and turned into an academic discipline, it starts from the premise that economic growth cannot be sustained </w:t>
      </w:r>
      <w:r w:rsidRPr="008608AA">
        <w:rPr>
          <w:i/>
        </w:rPr>
        <w:t>ad infinitum</w:t>
      </w:r>
      <w:r w:rsidRPr="008608AA">
        <w:t xml:space="preserve"> on a resource constraint planet. It demands a deep societal change, denying the need for economic growth. It is unclear “whether degrowth should be considered as a collectively consented choice or an environmentally-imposed inevitability.</w:t>
      </w:r>
    </w:p>
    <w:p w14:paraId="13B89DA7" w14:textId="77777777" w:rsidR="0003727A" w:rsidRPr="008608AA" w:rsidRDefault="0003727A" w:rsidP="00E7683B"/>
    <w:p w14:paraId="2C84BB21" w14:textId="77777777" w:rsidR="0003727A" w:rsidRPr="008608AA" w:rsidRDefault="0003727A" w:rsidP="00E7683B">
      <w:r w:rsidRPr="008608AA">
        <w:rPr>
          <w:b/>
        </w:rPr>
        <w:t>Direct driver</w:t>
      </w:r>
      <w:r w:rsidRPr="008608AA">
        <w:t>: see "driver".</w:t>
      </w:r>
    </w:p>
    <w:p w14:paraId="7B0BA1F3" w14:textId="77777777" w:rsidR="0003727A" w:rsidRPr="008608AA" w:rsidRDefault="0003727A" w:rsidP="00E7683B"/>
    <w:p w14:paraId="0850D3A1" w14:textId="77777777" w:rsidR="0003727A" w:rsidRPr="008608AA" w:rsidRDefault="0003727A" w:rsidP="00E7683B">
      <w:r w:rsidRPr="008608AA">
        <w:rPr>
          <w:b/>
        </w:rPr>
        <w:t>Downscaling</w:t>
      </w:r>
      <w:r w:rsidRPr="008608AA">
        <w:tab/>
        <w:t>: the transformation of information from coarser to finer spatial scales through statistical modelling or spatially nested linkage of structural models.</w:t>
      </w:r>
    </w:p>
    <w:p w14:paraId="1FD36DC7" w14:textId="77777777" w:rsidR="0003727A" w:rsidRPr="008608AA" w:rsidRDefault="0003727A" w:rsidP="00E7683B"/>
    <w:p w14:paraId="0D273E2B" w14:textId="77777777" w:rsidR="0003727A" w:rsidRPr="008608AA" w:rsidRDefault="0003727A" w:rsidP="00E7683B">
      <w:r w:rsidRPr="008608AA">
        <w:rPr>
          <w:b/>
        </w:rPr>
        <w:t>Driver</w:t>
      </w:r>
      <w:r w:rsidRPr="008608AA">
        <w:t xml:space="preserve">: in the context of IPBES, drivers of change are all the factors that, directly or indirectly, cause changes in nature, anthropogenic assets, nature’s contributions to people and a good quality of life. </w:t>
      </w:r>
    </w:p>
    <w:p w14:paraId="3588A70D" w14:textId="77777777" w:rsidR="0003727A" w:rsidRPr="008608AA" w:rsidRDefault="0003727A" w:rsidP="00E7683B"/>
    <w:p w14:paraId="567D76BD" w14:textId="77777777" w:rsidR="0003727A" w:rsidRPr="008608AA" w:rsidRDefault="0003727A" w:rsidP="00E7683B">
      <w:r w:rsidRPr="008608AA">
        <w:t>Direct drivers of change can be both natural and anthropogenic. Direct drivers have direct physical (mechanical, chemical, noise, light etc.) and behaviour-affecting impacts on nature. They include, inter alia, climate change, pollution, different types of land use change, invasive alien species and zoonoses, and exploitation.</w:t>
      </w:r>
    </w:p>
    <w:p w14:paraId="26410269" w14:textId="77777777" w:rsidR="0003727A" w:rsidRPr="008608AA" w:rsidRDefault="0003727A" w:rsidP="00E7683B">
      <w:r w:rsidRPr="008608AA">
        <w:t xml:space="preserve"> </w:t>
      </w:r>
    </w:p>
    <w:p w14:paraId="27063024" w14:textId="77777777" w:rsidR="0003727A" w:rsidRPr="008608AA" w:rsidRDefault="0003727A" w:rsidP="00E7683B">
      <w:r w:rsidRPr="008608AA">
        <w:t>Indirect drivers are drivers that operate diffusely by altering and influencing direct drivers, as well as other indirect drivers. They do not impact nature directly. Rather, they do it by affecting the level, direction or rate of direct drivers.</w:t>
      </w:r>
    </w:p>
    <w:p w14:paraId="33719F2F" w14:textId="77777777" w:rsidR="0003727A" w:rsidRPr="008608AA" w:rsidRDefault="0003727A" w:rsidP="00E7683B"/>
    <w:p w14:paraId="28F49A34" w14:textId="77777777" w:rsidR="0003727A" w:rsidRPr="008608AA" w:rsidRDefault="0003727A" w:rsidP="00E7683B">
      <w:r w:rsidRPr="008608AA">
        <w:t>Interactions between indirect and direct drivers create different chains of relationship, attribution, and impacts, which may vary according to type, intensity, duration, and distance. These relationships can also lead to different types of spill-over effects. Global indirect drivers include economic, demographic, governance, technological and cultural ones. Special attention is given, among indirect drivers, to the role of institutions (both formal and informal) and impacts of the patterns of production, supply and consumption on nature, nature’s contributions to people and good quality of life."</w:t>
      </w:r>
    </w:p>
    <w:p w14:paraId="4ACC8559" w14:textId="77777777" w:rsidR="0003727A" w:rsidRPr="008608AA" w:rsidRDefault="0003727A" w:rsidP="00E7683B"/>
    <w:p w14:paraId="2324739C" w14:textId="77777777" w:rsidR="0003727A" w:rsidRPr="008608AA" w:rsidRDefault="0003727A" w:rsidP="00E7683B">
      <w:r w:rsidRPr="008608AA">
        <w:rPr>
          <w:b/>
        </w:rPr>
        <w:t>Drylands</w:t>
      </w:r>
      <w:r w:rsidRPr="008608AA">
        <w:t>: drylands comprise arid, semi-arid and dry sub-humid areas. The term excludes hyper-arid areas, also known as deserts. Drylands are characterised by water scarcity and cover approximately 40 % of the world's terrestrial surface.</w:t>
      </w:r>
    </w:p>
    <w:p w14:paraId="4873FE10" w14:textId="77777777" w:rsidR="0003727A" w:rsidRPr="008608AA" w:rsidRDefault="0003727A" w:rsidP="00E7683B"/>
    <w:p w14:paraId="24E69636" w14:textId="77777777" w:rsidR="0003727A" w:rsidRPr="008608AA" w:rsidRDefault="0003727A" w:rsidP="00E7683B">
      <w:pPr>
        <w:rPr>
          <w:b/>
        </w:rPr>
      </w:pPr>
      <w:r w:rsidRPr="008608AA">
        <w:rPr>
          <w:b/>
        </w:rPr>
        <w:t xml:space="preserve">E </w:t>
      </w:r>
    </w:p>
    <w:p w14:paraId="3D1D6CC2" w14:textId="77777777" w:rsidR="0003727A" w:rsidRPr="008608AA" w:rsidRDefault="0003727A" w:rsidP="00E7683B">
      <w:pPr>
        <w:rPr>
          <w:b/>
        </w:rPr>
      </w:pPr>
    </w:p>
    <w:p w14:paraId="2CE231D5" w14:textId="77777777" w:rsidR="0003727A" w:rsidRPr="008608AA" w:rsidRDefault="0003727A" w:rsidP="00E7683B">
      <w:r w:rsidRPr="008608AA">
        <w:rPr>
          <w:b/>
        </w:rPr>
        <w:t>Eco-certification</w:t>
      </w:r>
      <w:r w:rsidRPr="008608AA">
        <w:t>: programmes designed to accredit goods and services that meet defined process standards designed to improve environmental performance and, in some cases, also to improve social welfare in places of production.</w:t>
      </w:r>
    </w:p>
    <w:p w14:paraId="7C9E8CAB" w14:textId="77777777" w:rsidR="0003727A" w:rsidRPr="008608AA" w:rsidRDefault="0003727A" w:rsidP="00E7683B">
      <w:pPr>
        <w:rPr>
          <w:b/>
        </w:rPr>
      </w:pPr>
    </w:p>
    <w:p w14:paraId="69878995" w14:textId="77777777" w:rsidR="0003727A" w:rsidRPr="008608AA" w:rsidRDefault="0003727A" w:rsidP="00E7683B">
      <w:r w:rsidRPr="008608AA">
        <w:rPr>
          <w:b/>
        </w:rPr>
        <w:t>Ecological (or socio-ecological) breakpoint or threshold</w:t>
      </w:r>
      <w:r w:rsidRPr="008608AA">
        <w:t>: the point at which a relatively small change in external conditions causes a rapid change in an ecosystem. When an ecological threshold has been passed, the ecosystem may no longer be able to return to its state by means of its inherent resilience.</w:t>
      </w:r>
    </w:p>
    <w:p w14:paraId="0FB616F0" w14:textId="77777777" w:rsidR="0003727A" w:rsidRPr="008608AA" w:rsidRDefault="0003727A" w:rsidP="00E7683B"/>
    <w:p w14:paraId="579AA7B0" w14:textId="77777777" w:rsidR="0003727A" w:rsidRPr="008608AA" w:rsidRDefault="0003727A" w:rsidP="00E7683B">
      <w:r w:rsidRPr="008608AA">
        <w:rPr>
          <w:b/>
        </w:rPr>
        <w:t>Ecological footprint</w:t>
      </w:r>
      <w:r w:rsidRPr="008608AA">
        <w:t>: a measure of the amount of biologically productive land and water required to support the demands of a population or productive activity. Ecological footprints can be calculated at any scale: for an activity, a person, a community, a city, a region, a nation or humanity as a whole.</w:t>
      </w:r>
    </w:p>
    <w:p w14:paraId="631FF51C" w14:textId="77777777" w:rsidR="0003727A" w:rsidRPr="008608AA" w:rsidRDefault="0003727A" w:rsidP="00E7683B"/>
    <w:p w14:paraId="5C0B1BC5" w14:textId="77777777" w:rsidR="0003727A" w:rsidRPr="008608AA" w:rsidRDefault="0003727A" w:rsidP="00E7683B">
      <w:r w:rsidRPr="008608AA">
        <w:rPr>
          <w:b/>
        </w:rPr>
        <w:t>Ecological infrastructure</w:t>
      </w:r>
      <w:r w:rsidRPr="008608AA">
        <w:t xml:space="preserve">: ecological infrastructure refers to the natural or semi-natural structural elements of ecosystems and landscapes that are important in delivering ecosystem services. It is similar to 'green infrastructure', a term sometimes applied in a more urban context. The ecological infrastructure needed to support pollinators and improve pollination services includes patches of semi-natural habitats, including hedgerows, grassland and forest, distributed throughout productive agricultural landscapes, providing nesting and floral resources. Larger areas of natural habitat are also ecological infrastructure, although these do not directly support agricultural pollination in areas more than a few kilometers away from pollinator-dependent crops. </w:t>
      </w:r>
    </w:p>
    <w:p w14:paraId="31354449" w14:textId="77777777" w:rsidR="0003727A" w:rsidRPr="008608AA" w:rsidRDefault="0003727A" w:rsidP="00E7683B"/>
    <w:p w14:paraId="638977B0" w14:textId="77777777" w:rsidR="0003727A" w:rsidRPr="008608AA" w:rsidRDefault="0003727A" w:rsidP="00E7683B">
      <w:r w:rsidRPr="008608AA">
        <w:rPr>
          <w:b/>
        </w:rPr>
        <w:t>Eco-region</w:t>
      </w:r>
      <w:r w:rsidRPr="008608AA">
        <w:t>: a large area of land or water that contains a geographically distinct assemblage of natural communities that:</w:t>
      </w:r>
    </w:p>
    <w:p w14:paraId="2BC18C9B" w14:textId="77777777" w:rsidR="0003727A" w:rsidRPr="008608AA" w:rsidRDefault="0003727A" w:rsidP="00E7683B"/>
    <w:p w14:paraId="3B3BDED7" w14:textId="77777777" w:rsidR="0003727A" w:rsidRPr="008608AA" w:rsidRDefault="0003727A" w:rsidP="00937445">
      <w:pPr>
        <w:pStyle w:val="ListParagraph"/>
        <w:numPr>
          <w:ilvl w:val="0"/>
          <w:numId w:val="34"/>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contextualSpacing/>
        <w:rPr>
          <w:sz w:val="24"/>
          <w:szCs w:val="24"/>
        </w:rPr>
      </w:pPr>
      <w:r w:rsidRPr="008608AA">
        <w:rPr>
          <w:sz w:val="24"/>
          <w:szCs w:val="24"/>
        </w:rPr>
        <w:t>Share a large majority of their species and ecological dynamics;</w:t>
      </w:r>
    </w:p>
    <w:p w14:paraId="02E0B15B" w14:textId="77777777" w:rsidR="0003727A" w:rsidRPr="008608AA" w:rsidRDefault="0003727A" w:rsidP="00E7683B">
      <w:pPr>
        <w:pStyle w:val="ListParagraph"/>
        <w:rPr>
          <w:sz w:val="24"/>
          <w:szCs w:val="24"/>
        </w:rPr>
      </w:pPr>
    </w:p>
    <w:p w14:paraId="01009BF9" w14:textId="77777777" w:rsidR="0003727A" w:rsidRPr="008608AA" w:rsidRDefault="0003727A" w:rsidP="00937445">
      <w:pPr>
        <w:pStyle w:val="ListParagraph"/>
        <w:numPr>
          <w:ilvl w:val="0"/>
          <w:numId w:val="34"/>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contextualSpacing/>
        <w:rPr>
          <w:sz w:val="24"/>
          <w:szCs w:val="24"/>
        </w:rPr>
      </w:pPr>
      <w:r w:rsidRPr="008608AA">
        <w:rPr>
          <w:sz w:val="24"/>
          <w:szCs w:val="24"/>
        </w:rPr>
        <w:t xml:space="preserve"> Share similar environmental conditions, and;</w:t>
      </w:r>
    </w:p>
    <w:p w14:paraId="0F6C3D82" w14:textId="77777777" w:rsidR="0003727A" w:rsidRPr="008608AA" w:rsidRDefault="0003727A" w:rsidP="00E7683B"/>
    <w:p w14:paraId="4680687B" w14:textId="77777777" w:rsidR="0003727A" w:rsidRPr="008608AA" w:rsidRDefault="0003727A" w:rsidP="00937445">
      <w:pPr>
        <w:pStyle w:val="ListParagraph"/>
        <w:numPr>
          <w:ilvl w:val="0"/>
          <w:numId w:val="34"/>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contextualSpacing/>
        <w:rPr>
          <w:sz w:val="24"/>
          <w:szCs w:val="24"/>
        </w:rPr>
      </w:pPr>
      <w:r w:rsidRPr="008608AA">
        <w:rPr>
          <w:sz w:val="24"/>
          <w:szCs w:val="24"/>
        </w:rPr>
        <w:t xml:space="preserve"> Interact ecologically in ways that are critical for their long-term persistence (source: WWF). In contrast to biomes, an ecoregion is generally geographically specific, at a much finer scale. For example, the “East African Montane Forest” eco-region of Kenya (WWF eco-region classification) is a geographically specific and coherent example of the globally occurring “tropical and subtropical forest” biome."</w:t>
      </w:r>
    </w:p>
    <w:p w14:paraId="47350F9B" w14:textId="77777777" w:rsidR="0003727A" w:rsidRPr="008608AA" w:rsidRDefault="0003727A" w:rsidP="00E7683B"/>
    <w:p w14:paraId="59A47FF4" w14:textId="77777777" w:rsidR="0003727A" w:rsidRPr="008608AA" w:rsidRDefault="0003727A" w:rsidP="00E7683B">
      <w:r w:rsidRPr="008608AA">
        <w:rPr>
          <w:b/>
        </w:rPr>
        <w:t>Ecosystem</w:t>
      </w:r>
      <w:r w:rsidRPr="008608AA">
        <w:t>: a dynamic complex of plant, animal and micro-organism communities and their non-living environment interacting as a functional unit.</w:t>
      </w:r>
    </w:p>
    <w:p w14:paraId="16CD9AE5" w14:textId="77777777" w:rsidR="0003727A" w:rsidRPr="008608AA" w:rsidRDefault="0003727A" w:rsidP="00E7683B"/>
    <w:p w14:paraId="68BC0234" w14:textId="77777777" w:rsidR="0003727A" w:rsidRPr="008608AA" w:rsidRDefault="0003727A" w:rsidP="00E7683B">
      <w:r w:rsidRPr="008608AA">
        <w:rPr>
          <w:b/>
        </w:rPr>
        <w:t>Ecosystem-based adaptation to climate change</w:t>
      </w:r>
      <w:r w:rsidRPr="008608AA">
        <w:t>: the use of biodiversity and ecosystem services as part of an overall adaptation strategy to help people to adapt to the adverse effects of climate change (CBD, 2012). It refers to actions that mix the use of biodiversity and ecosystem services policy instruments with socio-economic and development policy instruments to help people adapt to the adverse effects of climate change (Scarano, 2017).</w:t>
      </w:r>
    </w:p>
    <w:p w14:paraId="0FAD7BE1" w14:textId="77777777" w:rsidR="0003727A" w:rsidRPr="008608AA" w:rsidRDefault="0003727A" w:rsidP="00E7683B">
      <w:pPr>
        <w:rPr>
          <w:b/>
        </w:rPr>
      </w:pPr>
    </w:p>
    <w:p w14:paraId="0D762B4D" w14:textId="77777777" w:rsidR="0003727A" w:rsidRPr="008608AA" w:rsidRDefault="0003727A" w:rsidP="00E7683B">
      <w:r w:rsidRPr="008608AA">
        <w:rPr>
          <w:b/>
        </w:rPr>
        <w:t>Ecosystem-based disaster risk reduction</w:t>
      </w:r>
      <w:r w:rsidRPr="008608AA">
        <w:t>: The concept and practice of reducing disaster risks through systematic efforts to analyze and manage the causal factors of disasters, including through reduced exposure to hazards, lessened vulnerability of people and property, wise management of land and the environment, and improved preparedness for adverse events.</w:t>
      </w:r>
    </w:p>
    <w:p w14:paraId="0967E42B" w14:textId="77777777" w:rsidR="0003727A" w:rsidRPr="008608AA" w:rsidRDefault="0003727A" w:rsidP="00E7683B">
      <w:pPr>
        <w:rPr>
          <w:b/>
        </w:rPr>
      </w:pPr>
    </w:p>
    <w:p w14:paraId="71A90C20" w14:textId="77777777" w:rsidR="0003727A" w:rsidRPr="008608AA" w:rsidRDefault="0003727A" w:rsidP="00E7683B">
      <w:r w:rsidRPr="008608AA">
        <w:rPr>
          <w:b/>
        </w:rPr>
        <w:t>Ecosystem degradation</w:t>
      </w:r>
      <w:r w:rsidRPr="008608AA">
        <w:t>: a long-term reduction in an ecosystem’s structure, functionality, or capacity to provide benefits to people.</w:t>
      </w:r>
    </w:p>
    <w:p w14:paraId="7D4324E7" w14:textId="77777777" w:rsidR="0003727A" w:rsidRPr="008608AA" w:rsidRDefault="0003727A" w:rsidP="00E7683B"/>
    <w:p w14:paraId="13EBA6BC" w14:textId="77777777" w:rsidR="0003727A" w:rsidRPr="008608AA" w:rsidRDefault="0003727A" w:rsidP="00E7683B">
      <w:r w:rsidRPr="008608AA">
        <w:rPr>
          <w:b/>
        </w:rPr>
        <w:t>Ecosystem function</w:t>
      </w:r>
      <w:r w:rsidRPr="008608AA">
        <w:t>: the flow of energy and materials through the biotic and abiotic components of an ecosystem. It includes many processes such as biomass production, trophic transfer through plants and animals, nutrient cycling, water dynamics and heat transfer.</w:t>
      </w:r>
    </w:p>
    <w:p w14:paraId="526834AA" w14:textId="77777777" w:rsidR="0003727A" w:rsidRPr="008608AA" w:rsidRDefault="0003727A" w:rsidP="00E7683B"/>
    <w:p w14:paraId="02B94AB5" w14:textId="77777777" w:rsidR="0003727A" w:rsidRPr="008608AA" w:rsidRDefault="0003727A" w:rsidP="00E7683B">
      <w:r w:rsidRPr="008608AA">
        <w:rPr>
          <w:b/>
        </w:rPr>
        <w:t>Ecosystem health</w:t>
      </w:r>
      <w:r w:rsidRPr="008608AA">
        <w:t>: ecosystem health is a metaphor used to describe the condition of an ecosystem, by analogy with human health. Note that there is no universally accepted benchmark for a healthy ecosystem. Rather, the apparent health status of an ecosystem can vary, depending upon which metrics are employed in judging it, and which societal aspirations are driving the assessment.</w:t>
      </w:r>
    </w:p>
    <w:p w14:paraId="1973B947" w14:textId="77777777" w:rsidR="0003727A" w:rsidRPr="008608AA" w:rsidRDefault="0003727A" w:rsidP="00E7683B"/>
    <w:p w14:paraId="0797A321" w14:textId="77777777" w:rsidR="0003727A" w:rsidRPr="008608AA" w:rsidRDefault="0003727A" w:rsidP="00E7683B">
      <w:r w:rsidRPr="008608AA">
        <w:rPr>
          <w:b/>
        </w:rPr>
        <w:t>Ecosystem management</w:t>
      </w:r>
      <w:r w:rsidRPr="008608AA">
        <w:t>: an approach to maintaining or restoring the composition, structure, function, and delivery of services of natural and modified ecosystems for the goal of achieving sustainability. It is based on an adaptive, collaboratively developed vision of desired future conditions that integrates ecological, socioeconomic, and institutional perspectives, applied within a geographic framework, and defined primarily by natural ecological boundaries.</w:t>
      </w:r>
    </w:p>
    <w:p w14:paraId="5F59D44C" w14:textId="77777777" w:rsidR="0003727A" w:rsidRPr="008608AA" w:rsidRDefault="0003727A" w:rsidP="00E7683B"/>
    <w:p w14:paraId="14324100" w14:textId="77777777" w:rsidR="0003727A" w:rsidRPr="008608AA" w:rsidRDefault="0003727A" w:rsidP="00E7683B">
      <w:r w:rsidRPr="008608AA">
        <w:rPr>
          <w:b/>
        </w:rPr>
        <w:t xml:space="preserve">Ecosystem restoration: </w:t>
      </w:r>
      <w:r w:rsidRPr="008608AA">
        <w:t>policies and practices that are “necessarily focused on recovery of a self-sustaining living system characteristic of past or least-disturbed landscapes.</w:t>
      </w:r>
    </w:p>
    <w:p w14:paraId="66F46B39" w14:textId="77777777" w:rsidR="0003727A" w:rsidRPr="008608AA" w:rsidRDefault="0003727A" w:rsidP="00E7683B">
      <w:pPr>
        <w:rPr>
          <w:b/>
        </w:rPr>
      </w:pPr>
    </w:p>
    <w:p w14:paraId="49C25BD3" w14:textId="77777777" w:rsidR="0003727A" w:rsidRPr="008608AA" w:rsidRDefault="0003727A" w:rsidP="00E7683B">
      <w:r w:rsidRPr="008608AA">
        <w:rPr>
          <w:b/>
        </w:rPr>
        <w:t>Ecosystem services</w:t>
      </w:r>
      <w:r w:rsidRPr="008608AA">
        <w:tab/>
        <w:t>: the benefits people obtain from ecosystems. In the Millennium Ecosystem Assessment, ecosystem services can be divided into supporting, regulating, provisioning and cultural.  This classification, however, is superseded in IPBES assessments by the system used under “nature’s contributions to people.”  This is because IPBES recognises that many services fit into more than one of the four categories. For example, food is both a provisioning service and also, emphatically, a cultural service, in many cultures.</w:t>
      </w:r>
    </w:p>
    <w:p w14:paraId="404979A1" w14:textId="77777777" w:rsidR="0003727A" w:rsidRPr="008608AA" w:rsidRDefault="0003727A" w:rsidP="00E7683B"/>
    <w:p w14:paraId="5DCBF65E" w14:textId="77777777" w:rsidR="0003727A" w:rsidRPr="008608AA" w:rsidRDefault="0003727A" w:rsidP="00E7683B">
      <w:r w:rsidRPr="008608AA">
        <w:rPr>
          <w:b/>
        </w:rPr>
        <w:t>Ecotourism</w:t>
      </w:r>
      <w:r w:rsidRPr="008608AA">
        <w:t>: sustainable travel undertaken to access sites or regions of unique natural or ecological quality, promoting their conservation, low visitor impact, and socio-economic involvement of local populations.</w:t>
      </w:r>
    </w:p>
    <w:p w14:paraId="74B76F07" w14:textId="77777777" w:rsidR="0003727A" w:rsidRPr="008608AA" w:rsidRDefault="0003727A" w:rsidP="00E7683B"/>
    <w:p w14:paraId="3C2B5B8D" w14:textId="77777777" w:rsidR="0003727A" w:rsidRPr="008608AA" w:rsidRDefault="0003727A" w:rsidP="00E7683B">
      <w:r w:rsidRPr="008608AA">
        <w:rPr>
          <w:b/>
        </w:rPr>
        <w:t>Endangered species</w:t>
      </w:r>
      <w:r w:rsidRPr="008608AA">
        <w:t>: a species at risk of extinction in the wild.</w:t>
      </w:r>
    </w:p>
    <w:p w14:paraId="6663FB60" w14:textId="77777777" w:rsidR="0003727A" w:rsidRPr="008608AA" w:rsidRDefault="0003727A" w:rsidP="00E7683B"/>
    <w:p w14:paraId="24AF72D6" w14:textId="77777777" w:rsidR="0003727A" w:rsidRPr="008608AA" w:rsidRDefault="0003727A" w:rsidP="00E7683B">
      <w:r w:rsidRPr="008608AA">
        <w:rPr>
          <w:b/>
        </w:rPr>
        <w:t>Endemic species</w:t>
      </w:r>
      <w:r w:rsidRPr="008608AA">
        <w:t>: plants and animals that exist only in one geographic region.</w:t>
      </w:r>
    </w:p>
    <w:p w14:paraId="79D530DD" w14:textId="77777777" w:rsidR="0003727A" w:rsidRPr="008608AA" w:rsidRDefault="0003727A" w:rsidP="00E7683B"/>
    <w:p w14:paraId="02C0862D" w14:textId="77777777" w:rsidR="0003727A" w:rsidRPr="008608AA" w:rsidRDefault="0003727A" w:rsidP="00E7683B">
      <w:r w:rsidRPr="008608AA">
        <w:rPr>
          <w:b/>
        </w:rPr>
        <w:t>Endemism</w:t>
      </w:r>
      <w:r w:rsidRPr="008608AA">
        <w:t>: the ecological state of a species being unique to a defined geographic location, such as an island, nation, country or other defined zone, or habitat type; organisms that are indigenous to a place are not endemic to it if they are also found elsewhere.</w:t>
      </w:r>
    </w:p>
    <w:p w14:paraId="2EE81170" w14:textId="77777777" w:rsidR="0003727A" w:rsidRPr="008608AA" w:rsidRDefault="0003727A" w:rsidP="00E7683B"/>
    <w:p w14:paraId="17F1CC29" w14:textId="77777777" w:rsidR="0003727A" w:rsidRPr="008608AA" w:rsidRDefault="0003727A" w:rsidP="00E7683B">
      <w:r w:rsidRPr="008608AA">
        <w:rPr>
          <w:b/>
        </w:rPr>
        <w:t>Energy security</w:t>
      </w:r>
      <w:r w:rsidRPr="008608AA">
        <w:t>: access to clean, reliable and affordable energy services for cooking and heating, lighting, communications and productive uses</w:t>
      </w:r>
    </w:p>
    <w:p w14:paraId="3231FC8A" w14:textId="77777777" w:rsidR="0003727A" w:rsidRPr="008608AA" w:rsidRDefault="0003727A" w:rsidP="00E7683B"/>
    <w:p w14:paraId="42B20416" w14:textId="77777777" w:rsidR="0003727A" w:rsidRPr="008608AA" w:rsidRDefault="0003727A" w:rsidP="00E7683B">
      <w:r w:rsidRPr="008608AA">
        <w:rPr>
          <w:b/>
        </w:rPr>
        <w:t>Environmental additionality</w:t>
      </w:r>
      <w:r w:rsidRPr="008608AA">
        <w:t>: the positive effect resulting from an activity or program on environmental service flows.</w:t>
      </w:r>
    </w:p>
    <w:p w14:paraId="4253A48C" w14:textId="77777777" w:rsidR="0003727A" w:rsidRPr="008608AA" w:rsidRDefault="0003727A" w:rsidP="00E7683B">
      <w:pPr>
        <w:rPr>
          <w:b/>
        </w:rPr>
      </w:pPr>
    </w:p>
    <w:p w14:paraId="1DDC5F8F" w14:textId="77777777" w:rsidR="0003727A" w:rsidRPr="008608AA" w:rsidRDefault="0003727A" w:rsidP="00E7683B">
      <w:r w:rsidRPr="008608AA">
        <w:rPr>
          <w:b/>
        </w:rPr>
        <w:t>Environmental Impact</w:t>
      </w:r>
      <w:r w:rsidRPr="008608AA">
        <w:t>: A measurable change to the properties of an ecosystem by a nonnative</w:t>
      </w:r>
    </w:p>
    <w:p w14:paraId="2A4ABC7B" w14:textId="77777777" w:rsidR="0003727A" w:rsidRPr="008608AA" w:rsidRDefault="0003727A" w:rsidP="00E7683B">
      <w:r w:rsidRPr="008608AA">
        <w:t>species. The logical implications of this definition are that (1) every nonnative species has an impact simply by becoming integrated into the system, (2) such impacts may be positive or negative and vary in magnitude on a continuous scale, and (3) impacts can be compared through time and across space.</w:t>
      </w:r>
    </w:p>
    <w:p w14:paraId="102D71C2" w14:textId="77777777" w:rsidR="0003727A" w:rsidRPr="008608AA" w:rsidRDefault="0003727A" w:rsidP="00E7683B"/>
    <w:p w14:paraId="3A71E65C" w14:textId="77777777" w:rsidR="0003727A" w:rsidRPr="008608AA" w:rsidRDefault="0003727A" w:rsidP="00E7683B">
      <w:r w:rsidRPr="008608AA">
        <w:rPr>
          <w:b/>
        </w:rPr>
        <w:t>Eutrophication</w:t>
      </w:r>
      <w:r w:rsidRPr="008608AA">
        <w:t>: nutrient enrichment of an ecosystem, generally resulting in increased primary production and reduced biodiversity. In lakes, eutrophication leads to seasonal algal blooms, reduced water clarity, and, often, periodic fish mortality as a consequence of oxygen depletion. The term is most closely associated with aquatic ecosystems but is sometimes applied more broadly.</w:t>
      </w:r>
    </w:p>
    <w:p w14:paraId="3E9F2AD1" w14:textId="77777777" w:rsidR="0003727A" w:rsidRPr="008608AA" w:rsidRDefault="0003727A" w:rsidP="00E7683B"/>
    <w:p w14:paraId="7B3A7421" w14:textId="77777777" w:rsidR="0003727A" w:rsidRPr="008608AA" w:rsidRDefault="0003727A" w:rsidP="00E7683B">
      <w:r w:rsidRPr="008608AA">
        <w:rPr>
          <w:b/>
        </w:rPr>
        <w:t>Evolutionary distinctiveness</w:t>
      </w:r>
      <w:r w:rsidRPr="008608AA">
        <w:t xml:space="preserve"> (ED): is a measure of how isolated a species or groups of species are in a phylogenetic tree. Regions with higher ED have more isolated lineages in them.</w:t>
      </w:r>
    </w:p>
    <w:p w14:paraId="0C861EE3" w14:textId="77777777" w:rsidR="0003727A" w:rsidRPr="008608AA" w:rsidRDefault="0003727A" w:rsidP="00E7683B">
      <w:pPr>
        <w:rPr>
          <w:b/>
        </w:rPr>
      </w:pPr>
    </w:p>
    <w:p w14:paraId="105B988D" w14:textId="77777777" w:rsidR="0003727A" w:rsidRPr="008608AA" w:rsidRDefault="0003727A" w:rsidP="00E7683B">
      <w:r w:rsidRPr="008608AA">
        <w:rPr>
          <w:b/>
        </w:rPr>
        <w:t>Exclusive Economic Zone (EEZ)</w:t>
      </w:r>
      <w:r w:rsidRPr="008608AA">
        <w:t>: a concept adopted at the Third United Nations Conference on the Law of the Sea (1982), whereby a coastal State assumes jurisdiction over the exploration and exploitation of marine resources in its adjacent section of the continental shelf, taken to be a band extending 200 miles from the shore. The Exclusive Economic Zone comprises an area which extends either from the coast, or in federal systems from the seaward boundaries of the constituent states (3 to 12 nautical miles, in most cases) to 200 nautical miles (370 kilometres) off the coast. Within this area, nations claim and exercise sovereign rights and exclusive fishery management authority over all fish and all Continental Shelf fishery resources.</w:t>
      </w:r>
    </w:p>
    <w:p w14:paraId="24F80189" w14:textId="77777777" w:rsidR="0003727A" w:rsidRPr="008608AA" w:rsidRDefault="0003727A" w:rsidP="00E7683B"/>
    <w:p w14:paraId="595FB3F8" w14:textId="77777777" w:rsidR="0003727A" w:rsidRPr="008608AA" w:rsidRDefault="0003727A" w:rsidP="00E7683B">
      <w:r w:rsidRPr="008608AA">
        <w:rPr>
          <w:b/>
        </w:rPr>
        <w:t xml:space="preserve">Exotics: </w:t>
      </w:r>
      <w:r w:rsidRPr="008608AA">
        <w:t xml:space="preserve">See "Alien species". </w:t>
      </w:r>
    </w:p>
    <w:p w14:paraId="47880AB5" w14:textId="77777777" w:rsidR="0003727A" w:rsidRPr="008608AA" w:rsidRDefault="0003727A" w:rsidP="00E7683B"/>
    <w:p w14:paraId="490FA4E2" w14:textId="77777777" w:rsidR="0003727A" w:rsidRPr="008608AA" w:rsidRDefault="0003727A" w:rsidP="00E7683B">
      <w:r w:rsidRPr="008608AA">
        <w:rPr>
          <w:b/>
        </w:rPr>
        <w:t>Extensive grazing</w:t>
      </w:r>
      <w:r w:rsidRPr="008608AA">
        <w:t>: extensive grazing is that in which livestock are raised on food that comes mainly from natural grasslands, shrublands, woodlands, wetlands, and deserts. It differs from intensive grazing, where the animal feed comes mainly from artificial, seeded pastures.</w:t>
      </w:r>
    </w:p>
    <w:p w14:paraId="783557DA" w14:textId="77777777" w:rsidR="0003727A" w:rsidRPr="008608AA" w:rsidRDefault="0003727A" w:rsidP="00E7683B"/>
    <w:p w14:paraId="317839A9" w14:textId="77777777" w:rsidR="0003727A" w:rsidRPr="008608AA" w:rsidRDefault="0003727A" w:rsidP="00E7683B">
      <w:r w:rsidRPr="008608AA">
        <w:rPr>
          <w:b/>
        </w:rPr>
        <w:t>Externality</w:t>
      </w:r>
      <w:r w:rsidRPr="008608AA">
        <w:t>: a positive or negative consequence (benefits or costs) of an action that affects someone other than the agent undertaking that action and for which the agent is neither compensated nor penalized through the markets.</w:t>
      </w:r>
    </w:p>
    <w:p w14:paraId="6C48DEC9" w14:textId="77777777" w:rsidR="0003727A" w:rsidRPr="008608AA" w:rsidRDefault="0003727A" w:rsidP="00E7683B"/>
    <w:p w14:paraId="4297AF6B" w14:textId="77777777" w:rsidR="0003727A" w:rsidRPr="008608AA" w:rsidRDefault="0003727A" w:rsidP="00E7683B">
      <w:r w:rsidRPr="008608AA">
        <w:rPr>
          <w:b/>
        </w:rPr>
        <w:t>Extinction</w:t>
      </w:r>
      <w:r w:rsidRPr="008608AA">
        <w:t>: The evolutionary termination of a species caused by the failure to reproduce and the death of all remaining members of the species; the natural failure to adapt to environmental change.</w:t>
      </w:r>
    </w:p>
    <w:p w14:paraId="50317303" w14:textId="77777777" w:rsidR="0003727A" w:rsidRPr="008608AA" w:rsidRDefault="0003727A" w:rsidP="00E7683B">
      <w:pPr>
        <w:rPr>
          <w:b/>
        </w:rPr>
      </w:pPr>
    </w:p>
    <w:p w14:paraId="14161D73" w14:textId="77777777" w:rsidR="0003727A" w:rsidRPr="008608AA" w:rsidRDefault="0003727A" w:rsidP="00E7683B">
      <w:r w:rsidRPr="008608AA">
        <w:rPr>
          <w:b/>
        </w:rPr>
        <w:t xml:space="preserve">Extractives: </w:t>
      </w:r>
      <w:r w:rsidRPr="008608AA">
        <w:t xml:space="preserve">hydrocarbons (oil and gas) and minerals. </w:t>
      </w:r>
    </w:p>
    <w:p w14:paraId="2F7472B6" w14:textId="77777777" w:rsidR="0003727A" w:rsidRPr="008608AA" w:rsidRDefault="0003727A" w:rsidP="00E7683B"/>
    <w:p w14:paraId="216170DC" w14:textId="77777777" w:rsidR="0003727A" w:rsidRPr="008608AA" w:rsidRDefault="0003727A" w:rsidP="00E7683B">
      <w:pPr>
        <w:rPr>
          <w:b/>
        </w:rPr>
      </w:pPr>
      <w:r w:rsidRPr="008608AA">
        <w:rPr>
          <w:b/>
        </w:rPr>
        <w:t>F</w:t>
      </w:r>
    </w:p>
    <w:p w14:paraId="32335900" w14:textId="77777777" w:rsidR="0003727A" w:rsidRPr="008608AA" w:rsidRDefault="0003727A" w:rsidP="00E7683B">
      <w:pPr>
        <w:rPr>
          <w:b/>
        </w:rPr>
      </w:pPr>
    </w:p>
    <w:p w14:paraId="76EA2DDD" w14:textId="77777777" w:rsidR="0003727A" w:rsidRPr="008608AA" w:rsidRDefault="0003727A" w:rsidP="00E7683B">
      <w:r w:rsidRPr="008608AA">
        <w:rPr>
          <w:b/>
        </w:rPr>
        <w:t>Feedback</w:t>
      </w:r>
      <w:r w:rsidRPr="008608AA">
        <w:t>: the modification or control of a process or system by its results or effects.</w:t>
      </w:r>
    </w:p>
    <w:p w14:paraId="10EE6176" w14:textId="77777777" w:rsidR="0003727A" w:rsidRPr="008608AA" w:rsidRDefault="0003727A" w:rsidP="00E7683B"/>
    <w:p w14:paraId="241DAE2E" w14:textId="77777777" w:rsidR="0003727A" w:rsidRPr="008608AA" w:rsidRDefault="0003727A" w:rsidP="00E7683B">
      <w:r w:rsidRPr="008608AA">
        <w:rPr>
          <w:b/>
        </w:rPr>
        <w:t>Food security</w:t>
      </w:r>
      <w:r w:rsidRPr="008608AA">
        <w:t>: the World Food Summit of 1996 defined food security as existing “when all people at all times have access to sufficient, safe, nutritious food to maintain a healthy and active life”.</w:t>
      </w:r>
    </w:p>
    <w:p w14:paraId="21AFEB09" w14:textId="77777777" w:rsidR="0003727A" w:rsidRPr="008608AA" w:rsidRDefault="0003727A" w:rsidP="00E7683B"/>
    <w:p w14:paraId="74D88751" w14:textId="77777777" w:rsidR="0003727A" w:rsidRPr="008608AA" w:rsidRDefault="0003727A" w:rsidP="00E7683B">
      <w:r w:rsidRPr="008608AA">
        <w:rPr>
          <w:b/>
        </w:rPr>
        <w:t>Forest</w:t>
      </w:r>
      <w:r w:rsidRPr="008608AA">
        <w:tab/>
        <w:t>: a minimum area of land of 0.05 - 1.0 hectares with tree crown cover (or equivalent stocking level) of more than 10–30 per cent with trees with the potential to reach a minimum height of 2–5 m at maturity in situ. A forest may consist either of closed forest formations where trees of various stories and undergrowth cover a high proportion of the ground or open forest.</w:t>
      </w:r>
    </w:p>
    <w:p w14:paraId="31CC2078" w14:textId="77777777" w:rsidR="0003727A" w:rsidRPr="008608AA" w:rsidRDefault="0003727A" w:rsidP="00E7683B"/>
    <w:p w14:paraId="7F0660C0" w14:textId="77777777" w:rsidR="0003727A" w:rsidRPr="008608AA" w:rsidRDefault="0003727A" w:rsidP="00E7683B">
      <w:r w:rsidRPr="008608AA">
        <w:rPr>
          <w:b/>
        </w:rPr>
        <w:t>Forest degradation</w:t>
      </w:r>
      <w:r w:rsidRPr="008608AA">
        <w:t>: a reduction in the capacity of a forest to produce ecosystem services such as carbon storage and wood products as a result of anthropogenic and environmental changes.</w:t>
      </w:r>
    </w:p>
    <w:p w14:paraId="32BA98B1" w14:textId="77777777" w:rsidR="0003727A" w:rsidRPr="008608AA" w:rsidRDefault="0003727A" w:rsidP="00E7683B"/>
    <w:p w14:paraId="3B808A5B" w14:textId="77777777" w:rsidR="0003727A" w:rsidRPr="008608AA" w:rsidRDefault="0003727A" w:rsidP="00E7683B">
      <w:r w:rsidRPr="008608AA">
        <w:rPr>
          <w:b/>
        </w:rPr>
        <w:t>Functional diversity</w:t>
      </w:r>
      <w:r w:rsidRPr="008608AA">
        <w:t>: the range, values, relative abundance and distribution of functional traits in a given community or ecosystem.</w:t>
      </w:r>
    </w:p>
    <w:p w14:paraId="4D48868C" w14:textId="77777777" w:rsidR="0003727A" w:rsidRPr="008608AA" w:rsidRDefault="0003727A" w:rsidP="00E7683B"/>
    <w:p w14:paraId="725E7941" w14:textId="77777777" w:rsidR="0003727A" w:rsidRPr="008608AA" w:rsidRDefault="0003727A" w:rsidP="00E7683B">
      <w:r w:rsidRPr="008608AA">
        <w:rPr>
          <w:b/>
        </w:rPr>
        <w:t>Functional traits</w:t>
      </w:r>
      <w:r w:rsidRPr="008608AA">
        <w:t xml:space="preserve">: any feature of an organism, expressed in the phenotype and measurable at the individual level, which has demonstrable links to the organism’s function (Lavorel et al. 1997; Violle et al. 2007). As such, a functional trait determines the organism’s response to external abiotic or biotic factors (Response trait), and/or its effects on ecosystem properties or benefits or detriments derived from such properties (Effect trait). In plants, functional traits include morphological, ecophysiological, biochemical and regeneration traits. In animals, these traits include e.g. body size, litter size, age of sexual maturity, nesting habitat, time of activity. </w:t>
      </w:r>
    </w:p>
    <w:p w14:paraId="2D5EAEFF" w14:textId="77777777" w:rsidR="0003727A" w:rsidRPr="008608AA" w:rsidRDefault="0003727A" w:rsidP="00E7683B">
      <w:pPr>
        <w:rPr>
          <w:b/>
        </w:rPr>
      </w:pPr>
    </w:p>
    <w:p w14:paraId="246C3432" w14:textId="77777777" w:rsidR="0003727A" w:rsidRPr="008608AA" w:rsidRDefault="0003727A" w:rsidP="00E7683B">
      <w:pPr>
        <w:rPr>
          <w:b/>
        </w:rPr>
      </w:pPr>
      <w:r w:rsidRPr="008608AA">
        <w:rPr>
          <w:b/>
        </w:rPr>
        <w:t>G</w:t>
      </w:r>
    </w:p>
    <w:p w14:paraId="661B278C" w14:textId="77777777" w:rsidR="0003727A" w:rsidRPr="008608AA" w:rsidRDefault="0003727A" w:rsidP="00E7683B">
      <w:pPr>
        <w:rPr>
          <w:b/>
        </w:rPr>
      </w:pPr>
    </w:p>
    <w:p w14:paraId="3AC90757" w14:textId="77777777" w:rsidR="0003727A" w:rsidRPr="008608AA" w:rsidRDefault="0003727A" w:rsidP="00E7683B">
      <w:r w:rsidRPr="008608AA">
        <w:rPr>
          <w:b/>
        </w:rPr>
        <w:t>Generalist species</w:t>
      </w:r>
      <w:r w:rsidRPr="008608AA">
        <w:t>: a species able to thrive in a wide variety of environmental conditions and that can make use of a variety of different resources (for example, a flower-visiting insect that lives on the floral resources provided by several to many different plants).</w:t>
      </w:r>
    </w:p>
    <w:p w14:paraId="4D2B7A82" w14:textId="77777777" w:rsidR="0003727A" w:rsidRPr="008608AA" w:rsidRDefault="0003727A" w:rsidP="00E7683B"/>
    <w:p w14:paraId="1807A844" w14:textId="77777777" w:rsidR="0003727A" w:rsidRPr="008608AA" w:rsidRDefault="0003727A" w:rsidP="00E7683B">
      <w:r w:rsidRPr="008608AA">
        <w:rPr>
          <w:b/>
        </w:rPr>
        <w:t>Good quality of life</w:t>
      </w:r>
      <w:r w:rsidRPr="008608AA">
        <w:t>: within the context of the IPBES Conceptual Framework – the achievement of a fulfilled human life, a notion which may varies strongly across different societies and groups within societies. It is a context-dependent state of individuals and human groups, comprising aspects such as access to food, water, energy and livelihood security, and also health, good social relationships and equity, security, cultural identity, and freedom of choice and action. “Living in harmony with nature”, “living-well in balance and harmony with Mother Earth” and “human well-being” are examples of different perspectives on a “Good quality of life”.</w:t>
      </w:r>
    </w:p>
    <w:p w14:paraId="78CF06C6" w14:textId="77777777" w:rsidR="0003727A" w:rsidRPr="008608AA" w:rsidRDefault="0003727A" w:rsidP="00E7683B"/>
    <w:p w14:paraId="3943E479" w14:textId="77777777" w:rsidR="0003727A" w:rsidRPr="008608AA" w:rsidRDefault="0003727A" w:rsidP="00E7683B">
      <w:r w:rsidRPr="008608AA">
        <w:rPr>
          <w:b/>
        </w:rPr>
        <w:t>Governance</w:t>
      </w:r>
      <w:r w:rsidRPr="008608AA">
        <w:t>: the way the rules, norms and actions in a given organization are structured, sustained, and regulated.</w:t>
      </w:r>
    </w:p>
    <w:p w14:paraId="7CA0CA3F" w14:textId="77777777" w:rsidR="0003727A" w:rsidRPr="008608AA" w:rsidRDefault="0003727A" w:rsidP="00E7683B"/>
    <w:p w14:paraId="3F7BE05A" w14:textId="4A89F3CD" w:rsidR="0003727A" w:rsidRDefault="0003727A" w:rsidP="00E7683B">
      <w:r w:rsidRPr="008608AA">
        <w:rPr>
          <w:b/>
        </w:rPr>
        <w:t>Grassland</w:t>
      </w:r>
      <w:r w:rsidRPr="008608AA">
        <w:t>: type of ecosystem characterized by a more or less closed herbaceous (non-woody) vegetation layer, sometimes with a shrub layer, but – in contrast to savannas – without, or with very few, trees. Different types of grasslands are found under a broad range of climatic conditions.</w:t>
      </w:r>
    </w:p>
    <w:p w14:paraId="295AED65" w14:textId="77777777" w:rsidR="00400706" w:rsidRPr="008608AA" w:rsidRDefault="00400706" w:rsidP="00E7683B"/>
    <w:p w14:paraId="0E5AB424" w14:textId="77777777" w:rsidR="0003727A" w:rsidRPr="008608AA" w:rsidRDefault="0003727A" w:rsidP="00E7683B"/>
    <w:p w14:paraId="48BD7B94" w14:textId="77777777" w:rsidR="0003727A" w:rsidRPr="008608AA" w:rsidRDefault="0003727A" w:rsidP="00E7683B">
      <w:pPr>
        <w:rPr>
          <w:b/>
        </w:rPr>
      </w:pPr>
      <w:r w:rsidRPr="008608AA">
        <w:rPr>
          <w:b/>
        </w:rPr>
        <w:t>H</w:t>
      </w:r>
    </w:p>
    <w:p w14:paraId="283AC6F1" w14:textId="77777777" w:rsidR="0003727A" w:rsidRPr="008608AA" w:rsidRDefault="0003727A" w:rsidP="00E7683B">
      <w:pPr>
        <w:rPr>
          <w:b/>
        </w:rPr>
      </w:pPr>
    </w:p>
    <w:p w14:paraId="71EECDC9" w14:textId="77777777" w:rsidR="0003727A" w:rsidRPr="008608AA" w:rsidRDefault="0003727A" w:rsidP="00E7683B">
      <w:r w:rsidRPr="008608AA">
        <w:rPr>
          <w:b/>
        </w:rPr>
        <w:t>Habitat</w:t>
      </w:r>
      <w:r w:rsidRPr="008608AA">
        <w:t>: the place or type of site where an organism or population naturally occurs. Also used to mean the environmental attributes required by a particular species or its ecological niche.</w:t>
      </w:r>
    </w:p>
    <w:p w14:paraId="715987BC" w14:textId="77777777" w:rsidR="0003727A" w:rsidRPr="008608AA" w:rsidRDefault="0003727A" w:rsidP="00E7683B"/>
    <w:p w14:paraId="12B930E9" w14:textId="77777777" w:rsidR="0003727A" w:rsidRPr="008608AA" w:rsidRDefault="0003727A" w:rsidP="00E7683B">
      <w:r w:rsidRPr="008608AA">
        <w:rPr>
          <w:b/>
        </w:rPr>
        <w:t>Habitat connectivity</w:t>
      </w:r>
      <w:r w:rsidRPr="008608AA">
        <w:t>: the degree to which the landscape facilitates the movement of organisms (animals, plant reproductive structures, pollen, pollinators, spores, etc.) and other environmentally important resources (e.g., nutrients and moisture) between similar habitats. Connectivity is hampered by fragmentation (q.v.).</w:t>
      </w:r>
    </w:p>
    <w:p w14:paraId="659606A0" w14:textId="77777777" w:rsidR="0003727A" w:rsidRPr="008608AA" w:rsidRDefault="0003727A" w:rsidP="00E7683B"/>
    <w:p w14:paraId="478919DE" w14:textId="77777777" w:rsidR="0003727A" w:rsidRPr="008608AA" w:rsidRDefault="0003727A" w:rsidP="00E7683B">
      <w:r w:rsidRPr="008608AA">
        <w:rPr>
          <w:b/>
        </w:rPr>
        <w:t>Habitat degradation</w:t>
      </w:r>
      <w:r w:rsidRPr="008608AA">
        <w:t>: a general term describing the set of processes by which habitat quality is reduced. Habitat degradation may occur through natural processes (e.g. drought, heat, cold) and through human activities (forestry, agriculture, urbanization).</w:t>
      </w:r>
    </w:p>
    <w:p w14:paraId="71B22925" w14:textId="77777777" w:rsidR="0003727A" w:rsidRPr="008608AA" w:rsidRDefault="0003727A" w:rsidP="00E7683B"/>
    <w:p w14:paraId="5AE165ED" w14:textId="77777777" w:rsidR="0003727A" w:rsidRPr="008608AA" w:rsidRDefault="0003727A" w:rsidP="00E7683B">
      <w:r w:rsidRPr="008608AA">
        <w:rPr>
          <w:b/>
        </w:rPr>
        <w:t>Habitat fragmentation</w:t>
      </w:r>
      <w:r w:rsidRPr="008608AA">
        <w:t>: a general term describing the set of processes by which habitat loss results in the division of continuous habitats into a greater number of smaller patches of lesser total and isolated from each other by a matrix of dissimilar habitats.  Habitat fragmentation may occur through natural processes (e.g., forest and grassland fires, flooding) and through human activities (forestry, agriculture, urbanization).</w:t>
      </w:r>
    </w:p>
    <w:p w14:paraId="14102E1C" w14:textId="77777777" w:rsidR="0003727A" w:rsidRPr="008608AA" w:rsidRDefault="0003727A" w:rsidP="00E7683B"/>
    <w:p w14:paraId="4BC5A90F" w14:textId="77777777" w:rsidR="0003727A" w:rsidRPr="008608AA" w:rsidRDefault="0003727A" w:rsidP="00E7683B">
      <w:r w:rsidRPr="008608AA">
        <w:rPr>
          <w:b/>
        </w:rPr>
        <w:t>Hedgerow</w:t>
      </w:r>
      <w:r w:rsidRPr="008608AA">
        <w:t>: a row of shrubs or trees that forms the boundary of an area such as a garden, field, farm, road or right-of-way.</w:t>
      </w:r>
    </w:p>
    <w:p w14:paraId="78F389D3" w14:textId="77777777" w:rsidR="0003727A" w:rsidRPr="008608AA" w:rsidRDefault="0003727A" w:rsidP="00E7683B"/>
    <w:p w14:paraId="31FB5AA4" w14:textId="77777777" w:rsidR="0003727A" w:rsidRPr="008608AA" w:rsidRDefault="0003727A" w:rsidP="00E7683B">
      <w:r w:rsidRPr="008608AA">
        <w:rPr>
          <w:b/>
        </w:rPr>
        <w:t>Human appropriation of net primary production (HANPP)</w:t>
      </w:r>
      <w:r w:rsidRPr="008608AA">
        <w:t>: the aggregate impact of land use on biomass available each year in ecosystems.</w:t>
      </w:r>
    </w:p>
    <w:p w14:paraId="12D10A24" w14:textId="77777777" w:rsidR="0003727A" w:rsidRPr="008608AA" w:rsidRDefault="0003727A" w:rsidP="00E7683B">
      <w:pPr>
        <w:rPr>
          <w:b/>
        </w:rPr>
      </w:pPr>
    </w:p>
    <w:p w14:paraId="787EC245" w14:textId="77777777" w:rsidR="0003727A" w:rsidRPr="008608AA" w:rsidRDefault="0003727A" w:rsidP="00E7683B">
      <w:pPr>
        <w:rPr>
          <w:b/>
        </w:rPr>
      </w:pPr>
      <w:r w:rsidRPr="008608AA">
        <w:rPr>
          <w:b/>
        </w:rPr>
        <w:t>I</w:t>
      </w:r>
    </w:p>
    <w:p w14:paraId="31EFBDF0" w14:textId="77777777" w:rsidR="0003727A" w:rsidRPr="008608AA" w:rsidRDefault="0003727A" w:rsidP="00E7683B">
      <w:pPr>
        <w:rPr>
          <w:b/>
        </w:rPr>
      </w:pPr>
    </w:p>
    <w:p w14:paraId="5556772E" w14:textId="77777777" w:rsidR="0003727A" w:rsidRPr="008608AA" w:rsidRDefault="0003727A" w:rsidP="00E7683B">
      <w:r w:rsidRPr="008608AA">
        <w:rPr>
          <w:b/>
        </w:rPr>
        <w:t>Impact assessment</w:t>
      </w:r>
      <w:r w:rsidRPr="008608AA">
        <w:t>: a formal, evidence-based procedure that assesses the economic, social, and environmental effects of public policy or of any human activity.</w:t>
      </w:r>
    </w:p>
    <w:p w14:paraId="7126F520" w14:textId="77777777" w:rsidR="0003727A" w:rsidRPr="008608AA" w:rsidRDefault="0003727A" w:rsidP="00E7683B"/>
    <w:p w14:paraId="7E96CF85" w14:textId="77777777" w:rsidR="0003727A" w:rsidRPr="008608AA" w:rsidRDefault="0003727A" w:rsidP="00E7683B">
      <w:r w:rsidRPr="008608AA">
        <w:rPr>
          <w:b/>
        </w:rPr>
        <w:t>Important Bird &amp; Biodiversity Areas</w:t>
      </w:r>
      <w:r w:rsidRPr="008608AA">
        <w:t>: a Key Biodiversity Area identified using an internationally agreed set of criteria as being globally important for bird populations.</w:t>
      </w:r>
    </w:p>
    <w:p w14:paraId="7AA42E1A" w14:textId="77777777" w:rsidR="0003727A" w:rsidRPr="008608AA" w:rsidRDefault="0003727A" w:rsidP="00E7683B"/>
    <w:p w14:paraId="0789A757" w14:textId="77777777" w:rsidR="0003727A" w:rsidRPr="008608AA" w:rsidRDefault="0003727A" w:rsidP="00E7683B">
      <w:r w:rsidRPr="008608AA">
        <w:rPr>
          <w:b/>
        </w:rPr>
        <w:t>Indicators</w:t>
      </w:r>
      <w:r w:rsidRPr="008608AA">
        <w:t>: a quantitative or qualitative factor or variable that provides a simple, measurable and quantifiable characteristic or attribute responding in a known and communicable way to a changing environmental condition, to a changing ecological process or function, or to a changing element of biodiversity.</w:t>
      </w:r>
    </w:p>
    <w:p w14:paraId="46E56CE0" w14:textId="77777777" w:rsidR="0003727A" w:rsidRPr="008608AA" w:rsidRDefault="0003727A" w:rsidP="00E7683B"/>
    <w:p w14:paraId="6A8EB706" w14:textId="77777777" w:rsidR="0003727A" w:rsidRPr="008608AA" w:rsidRDefault="0003727A" w:rsidP="00E7683B">
      <w:r w:rsidRPr="008608AA">
        <w:rPr>
          <w:b/>
        </w:rPr>
        <w:t>Indigenous and local knowledge systems</w:t>
      </w:r>
      <w:r w:rsidRPr="008608AA">
        <w:t>: indigenous and local knowledge systems are social and ecological knowledge practices and beliefs pertaining to the relationship of living beings, including people, with one another and with their environments. Such knowledge can provide information, methods, theory and practice for sustainable ecosystem management.</w:t>
      </w:r>
    </w:p>
    <w:p w14:paraId="00103F5E" w14:textId="77777777" w:rsidR="0003727A" w:rsidRPr="008608AA" w:rsidRDefault="0003727A" w:rsidP="00E7683B"/>
    <w:p w14:paraId="0A5BB8FE" w14:textId="77777777" w:rsidR="0003727A" w:rsidRPr="008608AA" w:rsidRDefault="0003727A" w:rsidP="00E7683B">
      <w:r w:rsidRPr="008608AA">
        <w:rPr>
          <w:b/>
        </w:rPr>
        <w:t>Indigenous peoples and local communities (IPLCs)</w:t>
      </w:r>
      <w:r w:rsidRPr="008608AA">
        <w:t>: ethnic groups who are descended from and identify with the original inhabitants of a given region, in contrast to groups that have settled, occupied or colonized the area more recently. IPBES does not intend to create or develop new definitions of what constitutes “indigenous peoples and local communities"</w:t>
      </w:r>
    </w:p>
    <w:p w14:paraId="7BD49275" w14:textId="77777777" w:rsidR="0003727A" w:rsidRPr="008608AA" w:rsidRDefault="0003727A" w:rsidP="00E7683B"/>
    <w:p w14:paraId="2503841E" w14:textId="77777777" w:rsidR="0003727A" w:rsidRPr="008608AA" w:rsidRDefault="0003727A" w:rsidP="00E7683B">
      <w:r w:rsidRPr="008608AA">
        <w:rPr>
          <w:b/>
        </w:rPr>
        <w:t>Indirect driver</w:t>
      </w:r>
      <w:r w:rsidRPr="008608AA">
        <w:t>: see "driver".</w:t>
      </w:r>
    </w:p>
    <w:p w14:paraId="12F02CAC" w14:textId="77777777" w:rsidR="0003727A" w:rsidRPr="008608AA" w:rsidRDefault="0003727A" w:rsidP="00E7683B"/>
    <w:p w14:paraId="22EE77B0" w14:textId="77777777" w:rsidR="0003727A" w:rsidRPr="008608AA" w:rsidRDefault="0003727A" w:rsidP="00E7683B">
      <w:r w:rsidRPr="008608AA">
        <w:rPr>
          <w:b/>
        </w:rPr>
        <w:t>Institutions</w:t>
      </w:r>
      <w:r w:rsidRPr="008608AA">
        <w:t>: encompasses all formal and informal interactions among stakeholders and social structures that determine how decisions are taken and implemented, how power is exercised, and how responsibilities are distributed.</w:t>
      </w:r>
    </w:p>
    <w:p w14:paraId="31724D11" w14:textId="77777777" w:rsidR="0003727A" w:rsidRPr="008608AA" w:rsidRDefault="0003727A" w:rsidP="00E7683B">
      <w:r w:rsidRPr="00400706">
        <w:rPr>
          <w:b/>
        </w:rPr>
        <w:t>Instrumental value</w:t>
      </w:r>
      <w:r w:rsidRPr="008608AA">
        <w:tab/>
        <w:t>See "values".</w:t>
      </w:r>
    </w:p>
    <w:p w14:paraId="09034C83" w14:textId="77777777" w:rsidR="0003727A" w:rsidRPr="008608AA" w:rsidRDefault="0003727A" w:rsidP="00E7683B"/>
    <w:p w14:paraId="5E9AEE11" w14:textId="77777777" w:rsidR="0003727A" w:rsidRPr="008608AA" w:rsidRDefault="0003727A" w:rsidP="00E7683B">
      <w:r w:rsidRPr="008608AA">
        <w:rPr>
          <w:b/>
        </w:rPr>
        <w:t>Integrated assessment models</w:t>
      </w:r>
      <w:r w:rsidRPr="008608AA">
        <w:t>: interdisciplinary models that aim to describe the complex relationships between environmental, social, and economic drivers that determine current and future state of the ecosystem and the effects of global change, in order to derive policy-relevant insights. One of the essential characteristics of integrated assessments is the simultaneous consideration of the multiple dimensions of environmental problems.</w:t>
      </w:r>
    </w:p>
    <w:p w14:paraId="78ABF004" w14:textId="77777777" w:rsidR="0003727A" w:rsidRPr="008608AA" w:rsidRDefault="0003727A" w:rsidP="00E7683B"/>
    <w:p w14:paraId="7723D498" w14:textId="77777777" w:rsidR="0003727A" w:rsidRPr="008608AA" w:rsidRDefault="0003727A" w:rsidP="00E7683B">
      <w:r w:rsidRPr="008608AA">
        <w:rPr>
          <w:b/>
        </w:rPr>
        <w:t>Integrated landscape management</w:t>
      </w:r>
      <w:r w:rsidRPr="008608AA">
        <w:t>: refers to long-term collaboration among different groups of land managers and stakeholders to achieve the multiple objectives required from the landscape.</w:t>
      </w:r>
    </w:p>
    <w:p w14:paraId="349FB0E6" w14:textId="77777777" w:rsidR="0003727A" w:rsidRPr="008608AA" w:rsidRDefault="0003727A" w:rsidP="00E7683B"/>
    <w:p w14:paraId="6D522DC3" w14:textId="77777777" w:rsidR="0003727A" w:rsidRPr="008608AA" w:rsidRDefault="0003727A" w:rsidP="00E7683B">
      <w:r w:rsidRPr="008608AA">
        <w:rPr>
          <w:b/>
        </w:rPr>
        <w:t>Integrated valuation</w:t>
      </w:r>
      <w:r w:rsidRPr="008608AA">
        <w:t>: see "values".</w:t>
      </w:r>
    </w:p>
    <w:p w14:paraId="04B27340" w14:textId="77777777" w:rsidR="0003727A" w:rsidRPr="008608AA" w:rsidRDefault="0003727A" w:rsidP="00E7683B"/>
    <w:p w14:paraId="4CFC16D2" w14:textId="77777777" w:rsidR="0003727A" w:rsidRPr="008608AA" w:rsidRDefault="0003727A" w:rsidP="00E7683B">
      <w:r w:rsidRPr="008608AA">
        <w:rPr>
          <w:b/>
        </w:rPr>
        <w:t>Intervention scenarios</w:t>
      </w:r>
      <w:r w:rsidRPr="008608AA">
        <w:t>: see "scenarios".</w:t>
      </w:r>
    </w:p>
    <w:p w14:paraId="7E045572" w14:textId="77777777" w:rsidR="0003727A" w:rsidRPr="008608AA" w:rsidRDefault="0003727A" w:rsidP="00E7683B"/>
    <w:p w14:paraId="074EEA7B" w14:textId="77777777" w:rsidR="0003727A" w:rsidRPr="008608AA" w:rsidRDefault="0003727A" w:rsidP="00E7683B">
      <w:r w:rsidRPr="008608AA">
        <w:rPr>
          <w:b/>
        </w:rPr>
        <w:t>Intrinsic value</w:t>
      </w:r>
      <w:r w:rsidRPr="008608AA">
        <w:t>: see "values".</w:t>
      </w:r>
    </w:p>
    <w:p w14:paraId="79863218" w14:textId="77777777" w:rsidR="0003727A" w:rsidRPr="008608AA" w:rsidRDefault="0003727A" w:rsidP="00E7683B"/>
    <w:p w14:paraId="2C3CB283" w14:textId="77777777" w:rsidR="0003727A" w:rsidRPr="008608AA" w:rsidRDefault="0003727A" w:rsidP="00E7683B">
      <w:r w:rsidRPr="008608AA">
        <w:rPr>
          <w:b/>
        </w:rPr>
        <w:t>Invasive alien species</w:t>
      </w:r>
      <w:r w:rsidRPr="008608AA">
        <w:t>: species whose introduction and/or spread by human action outside their natural distribution threatens biological diversity, food security, and human health and well-being. “Alien” refers to the species’ having been introduced outside its natural distribution (“exotic”, “non-native” and “non-indigenous” are synonyms for “alien”). “Invasive” means “tending to expand into and modify ecosystems to which it has been introduced”. Thus, a species may be alien without being invasive, or, in the case of a species native to a region, it may increase and become invasive, without actually being an alien species.”</w:t>
      </w:r>
    </w:p>
    <w:p w14:paraId="2F9925BB" w14:textId="77777777" w:rsidR="0003727A" w:rsidRPr="008608AA" w:rsidRDefault="0003727A" w:rsidP="00E7683B"/>
    <w:p w14:paraId="21493E1E" w14:textId="77777777" w:rsidR="0003727A" w:rsidRPr="008608AA" w:rsidRDefault="0003727A" w:rsidP="00E7683B">
      <w:r w:rsidRPr="008608AA">
        <w:rPr>
          <w:b/>
        </w:rPr>
        <w:t>Invasive species</w:t>
      </w:r>
      <w:r w:rsidRPr="008608AA">
        <w:t>: see "Invasive alien species".</w:t>
      </w:r>
    </w:p>
    <w:p w14:paraId="11E0CDCF" w14:textId="77777777" w:rsidR="0003727A" w:rsidRPr="008608AA" w:rsidRDefault="0003727A" w:rsidP="00E7683B"/>
    <w:p w14:paraId="7844278E" w14:textId="77777777" w:rsidR="0003727A" w:rsidRPr="008608AA" w:rsidRDefault="0003727A" w:rsidP="00E7683B">
      <w:r w:rsidRPr="008608AA">
        <w:rPr>
          <w:b/>
        </w:rPr>
        <w:t>IPBES Conceptual Framework</w:t>
      </w:r>
      <w:r w:rsidRPr="008608AA">
        <w:t>: the Platform’s conceptual framework has been designed to build shared understanding across disciplines, knowledge systems and stakeholders of the interplay between biodiversity and ecosystem drivers, and of the role they play in building a good quality of life through nature’s contributions to people (link to CF diagram).</w:t>
      </w:r>
    </w:p>
    <w:p w14:paraId="69AE7CFA" w14:textId="77777777" w:rsidR="0003727A" w:rsidRPr="008608AA" w:rsidRDefault="0003727A" w:rsidP="00E7683B"/>
    <w:p w14:paraId="65FD6F8A" w14:textId="77777777" w:rsidR="0003727A" w:rsidRPr="008608AA" w:rsidRDefault="0003727A" w:rsidP="00E7683B">
      <w:r w:rsidRPr="008608AA">
        <w:rPr>
          <w:b/>
        </w:rPr>
        <w:t>IUCN protected area categorb</w:t>
      </w:r>
      <w:r w:rsidRPr="008608AA">
        <w:t>:</w:t>
      </w:r>
      <w:r w:rsidRPr="008608AA">
        <w:rPr>
          <w:b/>
        </w:rPr>
        <w:t xml:space="preserve"> </w:t>
      </w:r>
      <w:r w:rsidRPr="008608AA">
        <w:t>IUCN protected area management categories classify protected areas according to their management objectives.</w:t>
      </w:r>
    </w:p>
    <w:p w14:paraId="46ACF07A" w14:textId="77777777" w:rsidR="0003727A" w:rsidRPr="008608AA" w:rsidRDefault="0003727A" w:rsidP="00E7683B"/>
    <w:p w14:paraId="73924F02" w14:textId="77777777" w:rsidR="0003727A" w:rsidRPr="008608AA" w:rsidRDefault="0003727A" w:rsidP="00E7683B">
      <w:r w:rsidRPr="008608AA">
        <w:rPr>
          <w:b/>
        </w:rPr>
        <w:t>IUCN Red List</w:t>
      </w:r>
      <w:r w:rsidRPr="008608AA">
        <w:t xml:space="preserve">: The IUCN Red List of Threatened Species provides taxonomic, conservation status and distribution information on taxa that have been globally evaluated using the IUCN Red List Categories and Criteria. This system is designed to determine the relative risk of extinction, and the main purpose of the IUCN Red List is to catalogue and highlight those taxa that are facing a higher risk of global extinction (i.e. as Critically Endangered, Endangered and Vulnerable). The IUCN Red List also includes information on taxa that are categorized as Extinct or Extinct in the Wild; on taxa that cannot be evaluated because of insufficient information (i.e. are Data Deficient); and on taxa that are either close to meeting the threatened thresholds or that would be threatened were it not for an ongoing taxon-specific conservation programme (i.e. are Near Threatened). </w:t>
      </w:r>
    </w:p>
    <w:p w14:paraId="4EEE05FF" w14:textId="77777777" w:rsidR="0003727A" w:rsidRPr="008608AA" w:rsidRDefault="0003727A" w:rsidP="00E7683B">
      <w:pPr>
        <w:rPr>
          <w:b/>
        </w:rPr>
      </w:pPr>
    </w:p>
    <w:p w14:paraId="1C68F4A9" w14:textId="77777777" w:rsidR="0003727A" w:rsidRPr="008608AA" w:rsidRDefault="0003727A" w:rsidP="00E7683B">
      <w:pPr>
        <w:rPr>
          <w:b/>
        </w:rPr>
      </w:pPr>
      <w:r w:rsidRPr="008608AA">
        <w:rPr>
          <w:b/>
        </w:rPr>
        <w:t>K</w:t>
      </w:r>
    </w:p>
    <w:p w14:paraId="017EB5E4" w14:textId="77777777" w:rsidR="0003727A" w:rsidRPr="008608AA" w:rsidRDefault="0003727A" w:rsidP="00E7683B">
      <w:pPr>
        <w:rPr>
          <w:b/>
        </w:rPr>
      </w:pPr>
    </w:p>
    <w:p w14:paraId="75148BAB" w14:textId="77777777" w:rsidR="0003727A" w:rsidRPr="008608AA" w:rsidRDefault="0003727A" w:rsidP="00E7683B">
      <w:r w:rsidRPr="008608AA">
        <w:rPr>
          <w:b/>
        </w:rPr>
        <w:t>Key Biodiversity Area</w:t>
      </w:r>
      <w:r w:rsidRPr="008608AA">
        <w:t>: sites contributing significantly to the global persistence of biodiversity. They represent the most important sites for biodiversity worldwide, and are identified nationally using globally standardised criteria and thresholds.</w:t>
      </w:r>
    </w:p>
    <w:p w14:paraId="303F26E5" w14:textId="77777777" w:rsidR="0003727A" w:rsidRPr="008608AA" w:rsidRDefault="0003727A" w:rsidP="00E7683B"/>
    <w:p w14:paraId="01C3E34E" w14:textId="77777777" w:rsidR="0003727A" w:rsidRPr="008608AA" w:rsidRDefault="0003727A" w:rsidP="00E7683B">
      <w:r w:rsidRPr="008608AA">
        <w:rPr>
          <w:b/>
        </w:rPr>
        <w:t>Knowledge systems</w:t>
      </w:r>
      <w:r w:rsidRPr="008608AA">
        <w:t>: a body of propositions that are adhered to, whether formally or informally, and are routinely used to claim truth. They are organized structures and dynamic processes (a) generating and representing content, components, classes, or types of knowledge, that are (b) domain-specific or characterized by domain-relevant features as defined by the user or consumer, (c) reinforced by a set of logical relationships that connect the content of knowledge to its value (utility), (d) enhanced by a set of iterative processes that enable the evolution, revision, adaptation, and advances, and (e) subject to criteria of relevance, reliability, and quality.</w:t>
      </w:r>
    </w:p>
    <w:p w14:paraId="52F3DF15" w14:textId="77777777" w:rsidR="0003727A" w:rsidRPr="008608AA" w:rsidRDefault="0003727A" w:rsidP="00E7683B"/>
    <w:p w14:paraId="70C207DD" w14:textId="77777777" w:rsidR="0003727A" w:rsidRPr="008608AA" w:rsidRDefault="0003727A" w:rsidP="00E7683B">
      <w:pPr>
        <w:rPr>
          <w:b/>
        </w:rPr>
      </w:pPr>
      <w:r w:rsidRPr="008608AA">
        <w:rPr>
          <w:b/>
        </w:rPr>
        <w:t>L</w:t>
      </w:r>
    </w:p>
    <w:p w14:paraId="5EB494F5" w14:textId="77777777" w:rsidR="0003727A" w:rsidRPr="008608AA" w:rsidRDefault="0003727A" w:rsidP="00E7683B">
      <w:pPr>
        <w:rPr>
          <w:b/>
        </w:rPr>
      </w:pPr>
    </w:p>
    <w:p w14:paraId="50C35597" w14:textId="77777777" w:rsidR="0003727A" w:rsidRPr="008608AA" w:rsidRDefault="0003727A" w:rsidP="00E7683B">
      <w:r w:rsidRPr="008608AA">
        <w:rPr>
          <w:b/>
        </w:rPr>
        <w:t>Land degradation</w:t>
      </w:r>
      <w:r w:rsidRPr="008608AA">
        <w:t>: refers to the many processes that drive the decline or loss in biodiversity, ecosystem functions or their benefits to people and includes the degradation of all terrestrial ecosystems.</w:t>
      </w:r>
    </w:p>
    <w:p w14:paraId="70B772D8" w14:textId="77777777" w:rsidR="0003727A" w:rsidRPr="008608AA" w:rsidRDefault="0003727A" w:rsidP="00E7683B"/>
    <w:p w14:paraId="48BDC560" w14:textId="77777777" w:rsidR="0003727A" w:rsidRPr="008608AA" w:rsidRDefault="0003727A" w:rsidP="00E7683B">
      <w:r w:rsidRPr="008608AA">
        <w:rPr>
          <w:b/>
        </w:rPr>
        <w:t>Land sharing</w:t>
      </w:r>
      <w:r w:rsidRPr="008608AA">
        <w:t>: a situation where low-yield farming enables biodiversity to be maintained within agricultural landscapes.</w:t>
      </w:r>
    </w:p>
    <w:p w14:paraId="3349C5EC" w14:textId="77777777" w:rsidR="0003727A" w:rsidRPr="008608AA" w:rsidRDefault="0003727A" w:rsidP="00E7683B"/>
    <w:p w14:paraId="303AC49A" w14:textId="77777777" w:rsidR="0003727A" w:rsidRPr="008608AA" w:rsidRDefault="0003727A" w:rsidP="00E7683B">
      <w:r w:rsidRPr="008608AA">
        <w:rPr>
          <w:b/>
        </w:rPr>
        <w:t xml:space="preserve">Land sparin: </w:t>
      </w:r>
      <w:r w:rsidRPr="008608AA">
        <w:t>also called "Land separation" involves restoring or creating non-farmland habitat in agricultural landscapes at the expense of field-level agricultural production - for example, woodland, natural grassland, wetland, and meadow on arable land. This approach does not necessarily imply high-yield farming of the non restored, remaining agricultural land. (From Rey Benayas &amp; Bullock, 2012). See also 'Conservation agriculture' in this Glossary.</w:t>
      </w:r>
    </w:p>
    <w:p w14:paraId="599527ED" w14:textId="77777777" w:rsidR="0003727A" w:rsidRPr="008608AA" w:rsidRDefault="0003727A" w:rsidP="00E7683B"/>
    <w:p w14:paraId="4A29A316" w14:textId="77777777" w:rsidR="0003727A" w:rsidRPr="008608AA" w:rsidRDefault="0003727A" w:rsidP="00E7683B">
      <w:r w:rsidRPr="008608AA">
        <w:rPr>
          <w:b/>
        </w:rPr>
        <w:t>Land use</w:t>
      </w:r>
      <w:r w:rsidRPr="008608AA">
        <w:t>: the human use of a specific area for a certain purpose (such as residential; agriculture; recreation; industrial, etc.). Influenced by, but not synonymous with, land cover. Land use change refers to a change in the use or management of land by humans, which may lead to a change in land cover.</w:t>
      </w:r>
    </w:p>
    <w:p w14:paraId="3A6263BA" w14:textId="77777777" w:rsidR="0003727A" w:rsidRPr="008608AA" w:rsidRDefault="0003727A" w:rsidP="00E7683B"/>
    <w:p w14:paraId="6B989D27" w14:textId="77777777" w:rsidR="0003727A" w:rsidRPr="008608AA" w:rsidRDefault="0003727A" w:rsidP="00E7683B">
      <w:r w:rsidRPr="008608AA">
        <w:rPr>
          <w:b/>
        </w:rPr>
        <w:t>Land use change</w:t>
      </w:r>
      <w:r w:rsidRPr="008608AA">
        <w:t>: see "Land use".</w:t>
      </w:r>
    </w:p>
    <w:p w14:paraId="58D1BF0D" w14:textId="77777777" w:rsidR="0003727A" w:rsidRPr="008608AA" w:rsidRDefault="0003727A" w:rsidP="00E7683B"/>
    <w:p w14:paraId="019B467E" w14:textId="77777777" w:rsidR="0003727A" w:rsidRPr="008608AA" w:rsidRDefault="0003727A" w:rsidP="00E7683B">
      <w:r w:rsidRPr="008608AA">
        <w:rPr>
          <w:b/>
        </w:rPr>
        <w:t>Landscape</w:t>
      </w:r>
      <w:r w:rsidRPr="008608AA">
        <w:t>: an area of land that contains a mosaic of ecosystems, including human-dominated ecosystems.</w:t>
      </w:r>
    </w:p>
    <w:p w14:paraId="3CEC1169" w14:textId="77777777" w:rsidR="0003727A" w:rsidRPr="008608AA" w:rsidRDefault="0003727A" w:rsidP="00E7683B"/>
    <w:p w14:paraId="4764C77B" w14:textId="77777777" w:rsidR="0003727A" w:rsidRPr="008608AA" w:rsidRDefault="0003727A" w:rsidP="00E7683B">
      <w:r w:rsidRPr="008608AA">
        <w:rPr>
          <w:b/>
        </w:rPr>
        <w:t>Leakage</w:t>
      </w:r>
      <w:r w:rsidRPr="008608AA">
        <w:t>: an environmentally damaging activity that is relocated elsewhere after being stopped locally.</w:t>
      </w:r>
    </w:p>
    <w:p w14:paraId="004592ED" w14:textId="77777777" w:rsidR="0003727A" w:rsidRPr="008608AA" w:rsidRDefault="0003727A" w:rsidP="00E7683B">
      <w:pPr>
        <w:rPr>
          <w:b/>
        </w:rPr>
      </w:pPr>
    </w:p>
    <w:p w14:paraId="08224E64" w14:textId="77777777" w:rsidR="0003727A" w:rsidRPr="008608AA" w:rsidRDefault="0003727A" w:rsidP="00E7683B">
      <w:r w:rsidRPr="008608AA">
        <w:rPr>
          <w:b/>
        </w:rPr>
        <w:t>Living in harmony with nature</w:t>
      </w:r>
      <w:r w:rsidRPr="008608AA">
        <w:t>: within the context of the IPBES Conceptual Framework – a perspective on good quality of life based on the interdependence that exists among human beings, other living species and elements of nature. It implies that we should live peacefully alongside all other organisms even though we may need to exploit other organisms to some degree.</w:t>
      </w:r>
    </w:p>
    <w:p w14:paraId="2725FFF6" w14:textId="77777777" w:rsidR="0003727A" w:rsidRPr="008608AA" w:rsidRDefault="0003727A" w:rsidP="00E7683B"/>
    <w:p w14:paraId="77D959F8" w14:textId="77777777" w:rsidR="0003727A" w:rsidRPr="008608AA" w:rsidRDefault="0003727A" w:rsidP="00E7683B">
      <w:pPr>
        <w:rPr>
          <w:b/>
        </w:rPr>
      </w:pPr>
      <w:r w:rsidRPr="008608AA">
        <w:rPr>
          <w:b/>
        </w:rPr>
        <w:t>M</w:t>
      </w:r>
    </w:p>
    <w:p w14:paraId="685D7956" w14:textId="77777777" w:rsidR="0003727A" w:rsidRPr="008608AA" w:rsidRDefault="0003727A" w:rsidP="00E7683B">
      <w:pPr>
        <w:rPr>
          <w:b/>
        </w:rPr>
      </w:pPr>
    </w:p>
    <w:p w14:paraId="6504D299" w14:textId="77777777" w:rsidR="0003727A" w:rsidRPr="008608AA" w:rsidRDefault="0003727A" w:rsidP="00E7683B">
      <w:r w:rsidRPr="008608AA">
        <w:rPr>
          <w:b/>
        </w:rPr>
        <w:t>Mainstreaming biodiversity</w:t>
      </w:r>
      <w:r w:rsidRPr="008608AA">
        <w:t>: mainstreaming, in the context of biodiversity, means integrating actions or policies related to biodiversity into broader development processes or policies such as those aimed at poverty reduction, or tackling climate change.</w:t>
      </w:r>
    </w:p>
    <w:p w14:paraId="0510292D" w14:textId="77777777" w:rsidR="0003727A" w:rsidRPr="008608AA" w:rsidRDefault="0003727A" w:rsidP="00E7683B"/>
    <w:p w14:paraId="580864E9" w14:textId="77777777" w:rsidR="0003727A" w:rsidRPr="008608AA" w:rsidRDefault="0003727A" w:rsidP="00E7683B">
      <w:r w:rsidRPr="008608AA">
        <w:rPr>
          <w:b/>
        </w:rPr>
        <w:t>Mangrove</w:t>
      </w:r>
      <w:r w:rsidRPr="008608AA">
        <w:t>: group of trees and shrubs that live in the coastal intertidal zone. Mangrove forests only grow at tropical and subtropical latitudes near the equator because they cannot withstand freezing temperatures.</w:t>
      </w:r>
    </w:p>
    <w:p w14:paraId="55141603" w14:textId="77777777" w:rsidR="0003727A" w:rsidRPr="008608AA" w:rsidRDefault="0003727A" w:rsidP="00E7683B"/>
    <w:p w14:paraId="7E9D42FC" w14:textId="77777777" w:rsidR="0003727A" w:rsidRPr="008608AA" w:rsidRDefault="0003727A" w:rsidP="00E7683B">
      <w:r w:rsidRPr="008608AA">
        <w:rPr>
          <w:b/>
        </w:rPr>
        <w:t>Maximum suatinable yield (MSY)</w:t>
      </w:r>
      <w:r w:rsidRPr="008608AA">
        <w:t>: The maximum sustainable yield (MSY) for a given fish  stock means the highest possible annual catch that can be sustained over time, by keeping the stock at the level producing  maximum  growth. The MSY refers to a hypothetical equilibrium state between the exploited population and the fishing activity.</w:t>
      </w:r>
    </w:p>
    <w:p w14:paraId="721FABD7" w14:textId="77777777" w:rsidR="0003727A" w:rsidRPr="008608AA" w:rsidRDefault="0003727A" w:rsidP="00E7683B"/>
    <w:p w14:paraId="44103F55" w14:textId="77777777" w:rsidR="0003727A" w:rsidRPr="008608AA" w:rsidRDefault="0003727A" w:rsidP="00E7683B">
      <w:r w:rsidRPr="008608AA">
        <w:rPr>
          <w:b/>
        </w:rPr>
        <w:t>Megadiverse countries</w:t>
      </w:r>
      <w:r w:rsidRPr="008608AA">
        <w:t>: 17 countries that harbor 70% of the species diversity of the planet. Seven such countries are in the Americas. In alphabetical order: Brazil, Colombia, Ecuador, Mexico, Peru, USA, Venezuela.</w:t>
      </w:r>
    </w:p>
    <w:p w14:paraId="3E5A6CD5" w14:textId="77777777" w:rsidR="0003727A" w:rsidRPr="008608AA" w:rsidRDefault="0003727A" w:rsidP="00E7683B"/>
    <w:p w14:paraId="2E0DEFC3" w14:textId="77777777" w:rsidR="0003727A" w:rsidRPr="008608AA" w:rsidRDefault="0003727A" w:rsidP="00E7683B">
      <w:r w:rsidRPr="008608AA">
        <w:rPr>
          <w:b/>
        </w:rPr>
        <w:t>Meta-analysis</w:t>
      </w:r>
      <w:r w:rsidRPr="008608AA">
        <w:t>: a quantitative statistical analysis of several separate but similar experiments or studies in order to test the pooled data for statistical significance.</w:t>
      </w:r>
    </w:p>
    <w:p w14:paraId="67B3D125" w14:textId="77777777" w:rsidR="0003727A" w:rsidRPr="008608AA" w:rsidRDefault="0003727A" w:rsidP="00E7683B"/>
    <w:p w14:paraId="786B7951" w14:textId="77777777" w:rsidR="0003727A" w:rsidRPr="008608AA" w:rsidRDefault="0003727A" w:rsidP="00E7683B">
      <w:r w:rsidRPr="008608AA">
        <w:rPr>
          <w:b/>
        </w:rPr>
        <w:t>Millennium Ecosystem Assessment (MEA)</w:t>
      </w:r>
      <w:r w:rsidRPr="008608AA">
        <w:t>: a major assessment of the human impact on the environment published in 2005.</w:t>
      </w:r>
    </w:p>
    <w:p w14:paraId="4E1A0273" w14:textId="77777777" w:rsidR="0003727A" w:rsidRPr="008608AA" w:rsidRDefault="0003727A" w:rsidP="00E7683B"/>
    <w:p w14:paraId="56DCD084" w14:textId="77777777" w:rsidR="0003727A" w:rsidRPr="008608AA" w:rsidRDefault="0003727A" w:rsidP="00E7683B">
      <w:r w:rsidRPr="008608AA">
        <w:rPr>
          <w:b/>
        </w:rPr>
        <w:t>Mitigation</w:t>
      </w:r>
      <w:r w:rsidRPr="008608AA">
        <w:t>: in the context of IPBES, an intervention to reduce negative or unsustainable uses of biodiversity and ecosystems.</w:t>
      </w:r>
    </w:p>
    <w:p w14:paraId="70383084" w14:textId="77777777" w:rsidR="0003727A" w:rsidRPr="008608AA" w:rsidRDefault="0003727A" w:rsidP="00E7683B"/>
    <w:p w14:paraId="36AA2C9E" w14:textId="77777777" w:rsidR="0003727A" w:rsidRPr="008608AA" w:rsidRDefault="0003727A" w:rsidP="00E7683B">
      <w:r w:rsidRPr="008608AA">
        <w:rPr>
          <w:b/>
        </w:rPr>
        <w:t>Models</w:t>
      </w:r>
      <w:r w:rsidRPr="008608AA">
        <w:t xml:space="preserve">: qualitative or quantitative representations of key components of a system and of relationships between these components. Benchmarking (of models) is the process of systematically comparing sets of model predictions against measured data in order to evaluate model performance. Validation (of models) typically refers to checking model outputs for consistency with observations. However, since models cannot be validated in the formal sense of the term (i.e. proven to be true), some scientists prefer to use the words ""benchmarking"" or “evaluation"". </w:t>
      </w:r>
    </w:p>
    <w:p w14:paraId="397E7C32" w14:textId="77777777" w:rsidR="0003727A" w:rsidRPr="008608AA" w:rsidRDefault="0003727A" w:rsidP="00E7683B"/>
    <w:p w14:paraId="446F58FD" w14:textId="77777777" w:rsidR="0003727A" w:rsidRPr="008608AA" w:rsidRDefault="0003727A" w:rsidP="00E7683B">
      <w:r w:rsidRPr="008608AA">
        <w:t>A dynamic model is a model that describes changes through time of a specific process.</w:t>
      </w:r>
    </w:p>
    <w:p w14:paraId="7EB5BF0B" w14:textId="77777777" w:rsidR="0003727A" w:rsidRPr="008608AA" w:rsidRDefault="0003727A" w:rsidP="00E7683B"/>
    <w:p w14:paraId="1D6F00BC" w14:textId="77777777" w:rsidR="0003727A" w:rsidRPr="008608AA" w:rsidRDefault="0003727A" w:rsidP="00E7683B">
      <w:r w:rsidRPr="008608AA">
        <w:t>A process-based model (also known as “mechanistic model”) is a model in which relationships are described in terms of explicitly stated processes or mechanisms based on established scientific understanding, and model parameters therefore have clear ecological interpretation, defined beforehand.</w:t>
      </w:r>
    </w:p>
    <w:p w14:paraId="467BE9F6" w14:textId="77777777" w:rsidR="0003727A" w:rsidRPr="008608AA" w:rsidRDefault="0003727A" w:rsidP="00E7683B"/>
    <w:p w14:paraId="1ACB6F04" w14:textId="77777777" w:rsidR="0003727A" w:rsidRPr="008608AA" w:rsidRDefault="0003727A" w:rsidP="00E7683B">
      <w:r w:rsidRPr="008608AA">
        <w:t>Hybrid models are models that combine correlative and process-based modelling approaches.</w:t>
      </w:r>
    </w:p>
    <w:p w14:paraId="096EAE78" w14:textId="77777777" w:rsidR="0003727A" w:rsidRPr="008608AA" w:rsidRDefault="0003727A" w:rsidP="00E7683B"/>
    <w:p w14:paraId="7627E60A" w14:textId="77777777" w:rsidR="0003727A" w:rsidRPr="008608AA" w:rsidRDefault="0003727A" w:rsidP="00E7683B">
      <w:r w:rsidRPr="008608AA">
        <w:t>A correlative model (also known as “statistical model”) is a model in which available empirical data are used to estimate values for parameters that do not have predefined ecological meaning, and for which processes are implicit rather than explicit.</w:t>
      </w:r>
    </w:p>
    <w:p w14:paraId="73B11387" w14:textId="77777777" w:rsidR="0003727A" w:rsidRPr="008608AA" w:rsidRDefault="0003727A" w:rsidP="00E7683B"/>
    <w:p w14:paraId="6B4712A8" w14:textId="77777777" w:rsidR="0003727A" w:rsidRPr="008608AA" w:rsidRDefault="0003727A" w:rsidP="00E7683B">
      <w:r w:rsidRPr="008608AA">
        <w:t>Integrated assessment models are interdisciplinary models that aim to describe the complex relationships between environmental, social, and economic drivers that determine current and future state of the ecosystem and the effects of global change, in order to derive policy-relevant insights. One of the essential characteristics of integrated assessments is the simultaneous consideration of the multiple dimensions of environmental problems."</w:t>
      </w:r>
    </w:p>
    <w:p w14:paraId="20A3B789" w14:textId="77777777" w:rsidR="0003727A" w:rsidRPr="008608AA" w:rsidRDefault="0003727A" w:rsidP="00E7683B"/>
    <w:p w14:paraId="43C4CA07" w14:textId="77777777" w:rsidR="0003727A" w:rsidRPr="008608AA" w:rsidRDefault="0003727A" w:rsidP="00E7683B">
      <w:r w:rsidRPr="008608AA">
        <w:rPr>
          <w:b/>
        </w:rPr>
        <w:t>Monitoring</w:t>
      </w:r>
      <w:r w:rsidRPr="008608AA">
        <w:t>: the repeated observation of a system in order to detect signs of change.</w:t>
      </w:r>
    </w:p>
    <w:p w14:paraId="6F873E6A" w14:textId="77777777" w:rsidR="0003727A" w:rsidRPr="008608AA" w:rsidRDefault="0003727A" w:rsidP="00E7683B"/>
    <w:p w14:paraId="32725A7A" w14:textId="77777777" w:rsidR="0003727A" w:rsidRPr="008608AA" w:rsidRDefault="0003727A" w:rsidP="00E7683B">
      <w:r w:rsidRPr="008608AA">
        <w:rPr>
          <w:b/>
        </w:rPr>
        <w:t>Monoculture</w:t>
      </w:r>
      <w:r w:rsidRPr="008608AA">
        <w:t>: the agricultural practice of producing or growing a single crop, plant, or livestock species, variety, or breed in a field or farming system at a time.</w:t>
      </w:r>
    </w:p>
    <w:p w14:paraId="6805B86F" w14:textId="77777777" w:rsidR="0003727A" w:rsidRPr="008608AA" w:rsidRDefault="0003727A" w:rsidP="00E7683B"/>
    <w:p w14:paraId="3E816A6B" w14:textId="77777777" w:rsidR="0003727A" w:rsidRPr="008608AA" w:rsidRDefault="0003727A" w:rsidP="00E7683B">
      <w:r w:rsidRPr="008608AA">
        <w:rPr>
          <w:b/>
        </w:rPr>
        <w:t>Mother Earth</w:t>
      </w:r>
      <w:r w:rsidRPr="008608AA">
        <w:t>: an expression used in a number of countries and regions to refer to the planet Earth and the entity that sustains all living things found in nature with which humans have an indivisible, interdependent physical and spiritual relationship (see "nature").</w:t>
      </w:r>
    </w:p>
    <w:p w14:paraId="05DC5A86" w14:textId="77777777" w:rsidR="0003727A" w:rsidRPr="008608AA" w:rsidRDefault="0003727A" w:rsidP="00E7683B"/>
    <w:p w14:paraId="71897D60" w14:textId="77777777" w:rsidR="0003727A" w:rsidRPr="008608AA" w:rsidRDefault="0003727A" w:rsidP="00E7683B">
      <w:r w:rsidRPr="008608AA">
        <w:rPr>
          <w:b/>
        </w:rPr>
        <w:t>Multidisciplinary Expert Panel (MEP)</w:t>
      </w:r>
      <w:r w:rsidRPr="008608AA">
        <w:t>: the IPBES Multidiscplinary Expert Panel is a subsidiary body established by the IPBES Plenary which oversees the scientific and technical functions ofthe Platform, a key role being to select experts to carry out assessments.</w:t>
      </w:r>
    </w:p>
    <w:p w14:paraId="429BBCA4" w14:textId="77777777" w:rsidR="0003727A" w:rsidRPr="008608AA" w:rsidRDefault="0003727A" w:rsidP="00E7683B"/>
    <w:p w14:paraId="6BA0C7A7" w14:textId="77777777" w:rsidR="0003727A" w:rsidRPr="008608AA" w:rsidRDefault="0003727A" w:rsidP="00E7683B">
      <w:pPr>
        <w:rPr>
          <w:b/>
        </w:rPr>
      </w:pPr>
      <w:r w:rsidRPr="008608AA">
        <w:rPr>
          <w:b/>
        </w:rPr>
        <w:t>N</w:t>
      </w:r>
    </w:p>
    <w:p w14:paraId="121836F9" w14:textId="77777777" w:rsidR="0003727A" w:rsidRPr="008608AA" w:rsidRDefault="0003727A" w:rsidP="00E7683B">
      <w:pPr>
        <w:rPr>
          <w:b/>
        </w:rPr>
      </w:pPr>
    </w:p>
    <w:p w14:paraId="4601B81D" w14:textId="77777777" w:rsidR="0003727A" w:rsidRPr="008608AA" w:rsidRDefault="0003727A" w:rsidP="00E7683B">
      <w:r w:rsidRPr="008608AA">
        <w:rPr>
          <w:b/>
        </w:rPr>
        <w:t>Native species</w:t>
      </w:r>
      <w:r w:rsidRPr="008608AA">
        <w:t>: indigenous species of animals or plants that naturally occur in a given region or ecosystem.</w:t>
      </w:r>
    </w:p>
    <w:p w14:paraId="4B00F937" w14:textId="77777777" w:rsidR="0003727A" w:rsidRPr="008608AA" w:rsidRDefault="0003727A" w:rsidP="00E7683B"/>
    <w:p w14:paraId="7F659429" w14:textId="77777777" w:rsidR="0003727A" w:rsidRPr="008608AA" w:rsidRDefault="0003727A" w:rsidP="00E7683B">
      <w:r w:rsidRPr="008608AA">
        <w:rPr>
          <w:b/>
        </w:rPr>
        <w:t>Nature</w:t>
      </w:r>
      <w:r w:rsidRPr="008608AA">
        <w:t xml:space="preserve">: in the context of IPBES, refers to the natural world with an emphasis on its living components. Within the context of western science, it includes categories such as biodiversity, ecosystems (both structure and functioning), evolution, the biosphere, humankind’s shared evolutionary heritage, and biocultural diversity. </w:t>
      </w:r>
    </w:p>
    <w:p w14:paraId="76F1D949" w14:textId="77777777" w:rsidR="0003727A" w:rsidRPr="008608AA" w:rsidRDefault="0003727A" w:rsidP="00E7683B">
      <w:r w:rsidRPr="008608AA">
        <w:t>Within the context of other knowledge systems, it includes categories such as Mother Earth and systems of life, and it is often viewed as inextricably linked to humans, not as a separate entity (see "Mother Earth").</w:t>
      </w:r>
    </w:p>
    <w:p w14:paraId="3729B10B" w14:textId="77777777" w:rsidR="0003727A" w:rsidRPr="008608AA" w:rsidRDefault="0003727A" w:rsidP="00E7683B"/>
    <w:p w14:paraId="5579BFA6" w14:textId="77777777" w:rsidR="0003727A" w:rsidRPr="008608AA" w:rsidRDefault="0003727A" w:rsidP="00E7683B">
      <w:r w:rsidRPr="008608AA">
        <w:rPr>
          <w:b/>
        </w:rPr>
        <w:t>Nature's contributions to people</w:t>
      </w:r>
      <w:r w:rsidRPr="008608AA">
        <w:t xml:space="preserve"> </w:t>
      </w:r>
      <w:r w:rsidRPr="008608AA">
        <w:rPr>
          <w:b/>
        </w:rPr>
        <w:t>(NCP)</w:t>
      </w:r>
      <w:r w:rsidRPr="008608AA">
        <w:t>: all the contributions, both positive and negative, of living nature (i.e. diversity of organisms, ecosystems, and their associated ecological and evolutionary processes) to the quality of life for people. Beneficial contributions from nature include such things as food provision, water purification, flood control, and artistic inspiration, whereas detrimental contributions include disease transmission and predation that damages people or their assets. Many NCP may be perceived as benefits or detriments depending on the cultural, temporal or spatial context.</w:t>
      </w:r>
    </w:p>
    <w:p w14:paraId="3ABA162D" w14:textId="77777777" w:rsidR="0003727A" w:rsidRPr="008608AA" w:rsidRDefault="0003727A" w:rsidP="00E7683B"/>
    <w:p w14:paraId="0FF19225" w14:textId="77777777" w:rsidR="0003727A" w:rsidRPr="008608AA" w:rsidRDefault="0003727A" w:rsidP="00E7683B">
      <w:r w:rsidRPr="008608AA">
        <w:rPr>
          <w:b/>
        </w:rPr>
        <w:t>Network governance</w:t>
      </w:r>
      <w:r w:rsidRPr="008608AA">
        <w:t>: a network is an informal arrangement where two or more autonomous individuals and/or organizations come together to exchange ideas, build relationships, identify common interests, explore options on how to work together, share power, and solve problems of mutual interest. Network governance commonly emerges when people realize that they cannot solve a particular problem or issue by working independently and that the only way to achieve their interests is by actively collaborating. Network governance varies in terms of objectives, spatial scales, leadership, representation, organization, and complexity. It is designed to supplement, not replace, other forms of natural resource governance.</w:t>
      </w:r>
    </w:p>
    <w:p w14:paraId="41804818" w14:textId="77777777" w:rsidR="0003727A" w:rsidRPr="008608AA" w:rsidRDefault="0003727A" w:rsidP="00E7683B">
      <w:pPr>
        <w:rPr>
          <w:b/>
        </w:rPr>
      </w:pPr>
    </w:p>
    <w:p w14:paraId="715A9276" w14:textId="77777777" w:rsidR="0003727A" w:rsidRPr="008608AA" w:rsidRDefault="0003727A" w:rsidP="00E7683B">
      <w:r w:rsidRPr="008608AA">
        <w:rPr>
          <w:b/>
        </w:rPr>
        <w:t>Nitrogen deposition</w:t>
      </w:r>
      <w:r w:rsidRPr="008608AA">
        <w:t>: describes the input of reactive nitrogen from the atmosphere to the biosphere both as gases, dry deposition and in precipitation as wet deposition.</w:t>
      </w:r>
    </w:p>
    <w:p w14:paraId="3AB1BF97" w14:textId="77777777" w:rsidR="0003727A" w:rsidRPr="008608AA" w:rsidRDefault="0003727A" w:rsidP="00E7683B">
      <w:pPr>
        <w:rPr>
          <w:b/>
        </w:rPr>
      </w:pPr>
    </w:p>
    <w:p w14:paraId="500FCE1C" w14:textId="77777777" w:rsidR="0003727A" w:rsidRPr="008608AA" w:rsidRDefault="0003727A" w:rsidP="00E7683B">
      <w:r w:rsidRPr="008608AA">
        <w:rPr>
          <w:b/>
        </w:rPr>
        <w:t>Non-Indigenous Species or Non-native species or Alien species</w:t>
      </w:r>
      <w:r w:rsidRPr="008608AA">
        <w:t>: see “invasive alien species”.</w:t>
      </w:r>
    </w:p>
    <w:p w14:paraId="0962E23D" w14:textId="77777777" w:rsidR="0003727A" w:rsidRPr="008608AA" w:rsidRDefault="0003727A" w:rsidP="00E7683B">
      <w:pPr>
        <w:rPr>
          <w:b/>
        </w:rPr>
      </w:pPr>
    </w:p>
    <w:p w14:paraId="318DFE60" w14:textId="77777777" w:rsidR="0003727A" w:rsidRPr="008608AA" w:rsidRDefault="0003727A" w:rsidP="00E7683B">
      <w:r w:rsidRPr="008608AA">
        <w:rPr>
          <w:b/>
        </w:rPr>
        <w:t>Nutrient cycle</w:t>
      </w:r>
      <w:r w:rsidRPr="008608AA">
        <w:t>: a repeated pathway of a particular nutrient or element from the environment through one or more organisms and back to the environment. Examples include the carbon cycle, the nitrogen cycle and the phosphorus cycle.</w:t>
      </w:r>
    </w:p>
    <w:p w14:paraId="2F6475E7" w14:textId="77777777" w:rsidR="0003727A" w:rsidRPr="008608AA" w:rsidRDefault="0003727A" w:rsidP="00E7683B">
      <w:pPr>
        <w:rPr>
          <w:b/>
        </w:rPr>
      </w:pPr>
    </w:p>
    <w:p w14:paraId="3C0BEE45" w14:textId="77777777" w:rsidR="0003727A" w:rsidRPr="008608AA" w:rsidRDefault="0003727A" w:rsidP="00E7683B">
      <w:pPr>
        <w:rPr>
          <w:b/>
        </w:rPr>
      </w:pPr>
      <w:r w:rsidRPr="008608AA">
        <w:rPr>
          <w:b/>
        </w:rPr>
        <w:t>O</w:t>
      </w:r>
    </w:p>
    <w:p w14:paraId="30C08E41" w14:textId="77777777" w:rsidR="0003727A" w:rsidRPr="008608AA" w:rsidRDefault="0003727A" w:rsidP="00E7683B">
      <w:pPr>
        <w:rPr>
          <w:b/>
        </w:rPr>
      </w:pPr>
    </w:p>
    <w:p w14:paraId="661E2E80" w14:textId="77777777" w:rsidR="0003727A" w:rsidRPr="008608AA" w:rsidRDefault="0003727A" w:rsidP="00E7683B">
      <w:r w:rsidRPr="008608AA">
        <w:rPr>
          <w:b/>
        </w:rPr>
        <w:t>Ocean acidification</w:t>
      </w:r>
      <w:r w:rsidRPr="008608AA">
        <w:t>: see "acidification".</w:t>
      </w:r>
    </w:p>
    <w:p w14:paraId="2EEACB01" w14:textId="77777777" w:rsidR="0003727A" w:rsidRPr="008608AA" w:rsidRDefault="0003727A" w:rsidP="00E7683B"/>
    <w:p w14:paraId="007AAB6D" w14:textId="77777777" w:rsidR="0003727A" w:rsidRPr="008608AA" w:rsidRDefault="0003727A" w:rsidP="00E7683B">
      <w:r w:rsidRPr="008608AA">
        <w:rPr>
          <w:b/>
        </w:rPr>
        <w:t>Opportunity costs</w:t>
      </w:r>
      <w:r w:rsidRPr="008608AA">
        <w:t>: the foregone benefits of carrying out one activity in favor of another, or giving up their initial preferred land-use plan.</w:t>
      </w:r>
    </w:p>
    <w:p w14:paraId="7D0F21B3" w14:textId="77777777" w:rsidR="0003727A" w:rsidRPr="008608AA" w:rsidRDefault="0003727A" w:rsidP="00E7683B">
      <w:pPr>
        <w:rPr>
          <w:b/>
        </w:rPr>
      </w:pPr>
    </w:p>
    <w:p w14:paraId="488CDD91" w14:textId="77777777" w:rsidR="0003727A" w:rsidRPr="008608AA" w:rsidRDefault="0003727A" w:rsidP="00E7683B">
      <w:r w:rsidRPr="008608AA">
        <w:rPr>
          <w:b/>
        </w:rPr>
        <w:t>Organic agricultura</w:t>
      </w:r>
      <w:r w:rsidRPr="008608AA">
        <w:t>: any system that emphasises the use of techniques such as crop rotation, compost or manure application, and biological pest control in preference to synthetic inputs. Most certified organic farming schemes prohibit all genetically modified organisms and almost all synthetic inputs. Its origins are in a holistic management system that avoids off-farm inputs, but some organic agriculture now uses relatively high levels of off-farm inputs.</w:t>
      </w:r>
    </w:p>
    <w:p w14:paraId="5F1CEDB3" w14:textId="77777777" w:rsidR="0003727A" w:rsidRPr="008608AA" w:rsidRDefault="0003727A" w:rsidP="00E7683B"/>
    <w:p w14:paraId="73D7C6B0" w14:textId="77777777" w:rsidR="0003727A" w:rsidRPr="008608AA" w:rsidRDefault="0003727A" w:rsidP="00E7683B">
      <w:r w:rsidRPr="008608AA">
        <w:rPr>
          <w:b/>
        </w:rPr>
        <w:t>Overexploitation</w:t>
      </w:r>
      <w:r w:rsidRPr="008608AA">
        <w:t>: harvesting species from the wild at rates faster than natural populations can recover.  Includes overfishing, and overgrazing.</w:t>
      </w:r>
    </w:p>
    <w:p w14:paraId="37EE45E6" w14:textId="77777777" w:rsidR="0003727A" w:rsidRPr="008608AA" w:rsidRDefault="0003727A" w:rsidP="00E7683B">
      <w:r w:rsidRPr="008608AA">
        <w:t>Participatory governance</w:t>
      </w:r>
      <w:r w:rsidRPr="008608AA">
        <w:tab/>
        <w:t>A variant or subset of governance which puts emphasis on democratic engagement, in particular through deliberative practices.</w:t>
      </w:r>
    </w:p>
    <w:p w14:paraId="4AFC5B0D" w14:textId="77777777" w:rsidR="0003727A" w:rsidRPr="008608AA" w:rsidRDefault="0003727A" w:rsidP="00E7683B"/>
    <w:p w14:paraId="4E3DDB09" w14:textId="77777777" w:rsidR="0003727A" w:rsidRPr="008608AA" w:rsidRDefault="0003727A" w:rsidP="00E7683B">
      <w:r w:rsidRPr="008608AA">
        <w:rPr>
          <w:b/>
        </w:rPr>
        <w:t>Overgrazing</w:t>
      </w:r>
      <w:r w:rsidRPr="008608AA">
        <w:t>: an excess of herbivory that leads to degradation of plant and soil resources.</w:t>
      </w:r>
    </w:p>
    <w:p w14:paraId="3608D5E4" w14:textId="77777777" w:rsidR="0003727A" w:rsidRPr="008608AA" w:rsidRDefault="0003727A" w:rsidP="00E7683B"/>
    <w:p w14:paraId="0C025BB5" w14:textId="77777777" w:rsidR="0003727A" w:rsidRPr="008608AA" w:rsidRDefault="0003727A" w:rsidP="00E7683B">
      <w:pPr>
        <w:rPr>
          <w:b/>
        </w:rPr>
      </w:pPr>
      <w:r w:rsidRPr="008608AA">
        <w:rPr>
          <w:b/>
        </w:rPr>
        <w:t>P</w:t>
      </w:r>
    </w:p>
    <w:p w14:paraId="5184D3FE" w14:textId="77777777" w:rsidR="0003727A" w:rsidRPr="008608AA" w:rsidRDefault="0003727A" w:rsidP="00E7683B">
      <w:pPr>
        <w:rPr>
          <w:b/>
        </w:rPr>
      </w:pPr>
    </w:p>
    <w:p w14:paraId="6FC59BAD" w14:textId="77777777" w:rsidR="0003727A" w:rsidRPr="008608AA" w:rsidRDefault="0003727A" w:rsidP="00E7683B">
      <w:r w:rsidRPr="008608AA">
        <w:rPr>
          <w:b/>
        </w:rPr>
        <w:t>Participatory scenario development (and planning)</w:t>
      </w:r>
      <w:r w:rsidRPr="008608AA">
        <w:t>: approaches characterised by more interactive, and inclusive, involvement of stakeholders in the formulation and evaluation of scenarios. Aimed at improving the transparency and relevance of decision making, by incorporating demands and information of each stakeholder, and negotiating outcomes between stakeholders.</w:t>
      </w:r>
    </w:p>
    <w:p w14:paraId="0AF224FA" w14:textId="77777777" w:rsidR="0003727A" w:rsidRPr="008608AA" w:rsidRDefault="0003727A" w:rsidP="00E7683B"/>
    <w:p w14:paraId="0681384E" w14:textId="77777777" w:rsidR="0003727A" w:rsidRPr="008608AA" w:rsidRDefault="0003727A" w:rsidP="00E7683B">
      <w:r w:rsidRPr="008608AA">
        <w:rPr>
          <w:b/>
        </w:rPr>
        <w:t>Particulate matter</w:t>
      </w:r>
      <w:r w:rsidRPr="008608AA">
        <w:t>:</w:t>
      </w:r>
      <w:r w:rsidRPr="008608AA">
        <w:tab/>
        <w:t>a mixture of solid particles and liquid droplets (dust, dirt, soot, or smoke).</w:t>
      </w:r>
    </w:p>
    <w:p w14:paraId="2659C5A1" w14:textId="77777777" w:rsidR="0003727A" w:rsidRPr="008608AA" w:rsidRDefault="0003727A" w:rsidP="00E7683B"/>
    <w:p w14:paraId="5CFF7B4B" w14:textId="77777777" w:rsidR="0003727A" w:rsidRPr="008608AA" w:rsidRDefault="0003727A" w:rsidP="00E7683B">
      <w:r w:rsidRPr="008608AA">
        <w:rPr>
          <w:b/>
        </w:rPr>
        <w:t>Payment for Ecosystem Services (PES)</w:t>
      </w:r>
      <w:r w:rsidRPr="008608AA">
        <w:t>: voluntary transactions that generate offsite services and are established to enable service users to pay resource providers for the conditional provision of the desired ecosystem service.</w:t>
      </w:r>
    </w:p>
    <w:p w14:paraId="5029C2DD" w14:textId="77777777" w:rsidR="0003727A" w:rsidRPr="008608AA" w:rsidRDefault="0003727A" w:rsidP="00E7683B"/>
    <w:p w14:paraId="6D257139" w14:textId="77777777" w:rsidR="0003727A" w:rsidRPr="008608AA" w:rsidRDefault="0003727A" w:rsidP="00E7683B">
      <w:r w:rsidRPr="008608AA">
        <w:rPr>
          <w:b/>
        </w:rPr>
        <w:t>Peatlands</w:t>
      </w:r>
      <w:r w:rsidRPr="008608AA">
        <w:t>: wetlands which accumulate organic plant matter in situ because waterlogging prevents aerobic decomposition and the much slower rate of the resulting anaerobic decay is exceeded by the rate of accumulation.</w:t>
      </w:r>
    </w:p>
    <w:p w14:paraId="507588D9" w14:textId="77777777" w:rsidR="0003727A" w:rsidRPr="008608AA" w:rsidRDefault="0003727A" w:rsidP="00E7683B"/>
    <w:p w14:paraId="480FD176" w14:textId="77777777" w:rsidR="0003727A" w:rsidRPr="008608AA" w:rsidRDefault="0003727A" w:rsidP="00E7683B">
      <w:r w:rsidRPr="008608AA">
        <w:rPr>
          <w:b/>
        </w:rPr>
        <w:t>Pelagic</w:t>
      </w:r>
      <w:r w:rsidRPr="008608AA">
        <w:t>: organisms that live in the water column.</w:t>
      </w:r>
    </w:p>
    <w:p w14:paraId="21E37389" w14:textId="77777777" w:rsidR="0003727A" w:rsidRPr="008608AA" w:rsidRDefault="0003727A" w:rsidP="00E7683B"/>
    <w:p w14:paraId="2DD4162D" w14:textId="77777777" w:rsidR="0003727A" w:rsidRPr="008608AA" w:rsidRDefault="0003727A" w:rsidP="00E7683B">
      <w:r w:rsidRPr="008608AA">
        <w:rPr>
          <w:b/>
        </w:rPr>
        <w:t xml:space="preserve">Perennia: </w:t>
      </w:r>
      <w:r w:rsidRPr="008608AA">
        <w:t>see "annual".</w:t>
      </w:r>
    </w:p>
    <w:p w14:paraId="3C639A29" w14:textId="77777777" w:rsidR="0003727A" w:rsidRPr="008608AA" w:rsidRDefault="0003727A" w:rsidP="00E7683B"/>
    <w:p w14:paraId="541DDA41" w14:textId="77777777" w:rsidR="0003727A" w:rsidRPr="008608AA" w:rsidRDefault="0003727A" w:rsidP="00E7683B">
      <w:r w:rsidRPr="008608AA">
        <w:rPr>
          <w:b/>
        </w:rPr>
        <w:t>Permafrost</w:t>
      </w:r>
      <w:r w:rsidRPr="008608AA">
        <w:t>: perennially frozen ground that occurs wherever the temperature remains below 0°C for several years.</w:t>
      </w:r>
    </w:p>
    <w:p w14:paraId="184AD4C5" w14:textId="77777777" w:rsidR="0003727A" w:rsidRPr="008608AA" w:rsidRDefault="0003727A" w:rsidP="00E7683B"/>
    <w:p w14:paraId="09D1454A" w14:textId="77777777" w:rsidR="0003727A" w:rsidRPr="008608AA" w:rsidRDefault="0003727A" w:rsidP="00E7683B">
      <w:r w:rsidRPr="008608AA">
        <w:rPr>
          <w:b/>
        </w:rPr>
        <w:t>Pesticides</w:t>
      </w:r>
      <w:r w:rsidRPr="008608AA">
        <w:t>: A pesticide is any substance used to kill, repel, or control certain forms of plant or animal life that are considered to be pests.</w:t>
      </w:r>
    </w:p>
    <w:p w14:paraId="3C5BD271" w14:textId="77777777" w:rsidR="0003727A" w:rsidRPr="008608AA" w:rsidRDefault="0003727A" w:rsidP="00E7683B">
      <w:pPr>
        <w:rPr>
          <w:b/>
        </w:rPr>
      </w:pPr>
    </w:p>
    <w:p w14:paraId="29A5197C" w14:textId="77777777" w:rsidR="0003727A" w:rsidRPr="008608AA" w:rsidRDefault="0003727A" w:rsidP="00E7683B">
      <w:r w:rsidRPr="008608AA">
        <w:rPr>
          <w:b/>
        </w:rPr>
        <w:t>Phylogenetic diversity</w:t>
      </w:r>
      <w:r w:rsidRPr="008608AA">
        <w:t>: Phylogenetic diversity (PD) describes the breadth of evolutionary history that is represented among the organisms found in a particular area. It can capture both the diversity of ecological functions that are represented, and perhaps more importantly for human well-being, the evolutionary potential of a community to respond to future stressors.</w:t>
      </w:r>
    </w:p>
    <w:p w14:paraId="3DCF7B1F" w14:textId="77777777" w:rsidR="0003727A" w:rsidRPr="008608AA" w:rsidRDefault="0003727A" w:rsidP="00E7683B">
      <w:pPr>
        <w:rPr>
          <w:b/>
        </w:rPr>
      </w:pPr>
    </w:p>
    <w:p w14:paraId="5BB31C44" w14:textId="77777777" w:rsidR="0003727A" w:rsidRPr="008608AA" w:rsidRDefault="0003727A" w:rsidP="00E7683B">
      <w:r w:rsidRPr="008608AA">
        <w:rPr>
          <w:b/>
        </w:rPr>
        <w:t>Phylogenetic endemism</w:t>
      </w:r>
      <w:r w:rsidRPr="008608AA">
        <w:t xml:space="preserve">: is a measure of spatial restriction of phylogenetic diversity. In other words, PE is a relative measure of endemism that represents the degree to which lineages or branches of the tree of life (calculated in my) are restricted spatially.  </w:t>
      </w:r>
    </w:p>
    <w:p w14:paraId="01504BE7" w14:textId="77777777" w:rsidR="0003727A" w:rsidRPr="008608AA" w:rsidRDefault="0003727A" w:rsidP="00E7683B">
      <w:pPr>
        <w:rPr>
          <w:b/>
        </w:rPr>
      </w:pPr>
    </w:p>
    <w:p w14:paraId="007C7F50" w14:textId="77777777" w:rsidR="0003727A" w:rsidRPr="008608AA" w:rsidRDefault="0003727A" w:rsidP="00E7683B">
      <w:r w:rsidRPr="008608AA">
        <w:rPr>
          <w:b/>
        </w:rPr>
        <w:t>Plankton</w:t>
      </w:r>
      <w:r w:rsidRPr="008608AA">
        <w:t>: aquatic organisms that drift or swim weakly. Phytoplankton are the plant forms of plankton (e.g., diatoms), and are the dominant plants in the sea. Zooplankton are the animal forms of plankton.</w:t>
      </w:r>
    </w:p>
    <w:p w14:paraId="432CE1DA" w14:textId="77777777" w:rsidR="0003727A" w:rsidRPr="008608AA" w:rsidRDefault="0003727A" w:rsidP="00E7683B"/>
    <w:p w14:paraId="2BE1399B" w14:textId="77777777" w:rsidR="0003727A" w:rsidRPr="008608AA" w:rsidRDefault="0003727A" w:rsidP="00E7683B">
      <w:r w:rsidRPr="008608AA">
        <w:rPr>
          <w:b/>
        </w:rPr>
        <w:t>Plenary</w:t>
      </w:r>
      <w:r w:rsidRPr="008608AA">
        <w:t>: within the context of IPBES – the decision-making body comprising all of the members of IPBES.</w:t>
      </w:r>
    </w:p>
    <w:p w14:paraId="7A6BAC86" w14:textId="77777777" w:rsidR="0003727A" w:rsidRPr="008608AA" w:rsidRDefault="0003727A" w:rsidP="00E7683B"/>
    <w:p w14:paraId="0FC679E2" w14:textId="77777777" w:rsidR="0003727A" w:rsidRPr="008608AA" w:rsidRDefault="0003727A" w:rsidP="00E7683B">
      <w:r w:rsidRPr="008608AA">
        <w:rPr>
          <w:b/>
        </w:rPr>
        <w:t>Point sources</w:t>
      </w:r>
      <w:r w:rsidRPr="008608AA">
        <w:t>: any single identifiable source of pollution from which pollutants are discharged, such as a pipe, ditch, ship or factory smokestack.</w:t>
      </w:r>
    </w:p>
    <w:p w14:paraId="4C3E877A" w14:textId="77777777" w:rsidR="0003727A" w:rsidRPr="008608AA" w:rsidRDefault="0003727A" w:rsidP="00E7683B">
      <w:pPr>
        <w:rPr>
          <w:b/>
        </w:rPr>
      </w:pPr>
    </w:p>
    <w:p w14:paraId="15E02BE3" w14:textId="77777777" w:rsidR="0003727A" w:rsidRPr="008608AA" w:rsidRDefault="0003727A" w:rsidP="00E7683B">
      <w:r w:rsidRPr="008608AA">
        <w:rPr>
          <w:b/>
        </w:rPr>
        <w:t>Policy instrument</w:t>
      </w:r>
      <w:r w:rsidRPr="008608AA">
        <w:t>: set of means or mechanisms to achieve a policy goal</w:t>
      </w:r>
    </w:p>
    <w:p w14:paraId="540071C4" w14:textId="77777777" w:rsidR="0003727A" w:rsidRPr="008608AA" w:rsidRDefault="0003727A" w:rsidP="00E7683B"/>
    <w:p w14:paraId="30193EED" w14:textId="77777777" w:rsidR="0003727A" w:rsidRPr="008608AA" w:rsidRDefault="0003727A" w:rsidP="00E7683B">
      <w:r w:rsidRPr="008608AA">
        <w:rPr>
          <w:b/>
        </w:rPr>
        <w:t>Policy support tools</w:t>
      </w:r>
      <w:r w:rsidRPr="008608AA">
        <w:t>: approaches and techniques based on science and other knowledge systems that can inform, assist and enhance relevant decisions, policy making and implementation at local, national, regional and global levels to protect nature, thereby promoting nature’s benefits to people and a good quality of life.</w:t>
      </w:r>
    </w:p>
    <w:p w14:paraId="538FD1F4" w14:textId="77777777" w:rsidR="0003727A" w:rsidRPr="008608AA" w:rsidRDefault="0003727A" w:rsidP="00E7683B"/>
    <w:p w14:paraId="4F765EE6" w14:textId="77777777" w:rsidR="0003727A" w:rsidRPr="008608AA" w:rsidRDefault="0003727A" w:rsidP="00E7683B">
      <w:r w:rsidRPr="008608AA">
        <w:rPr>
          <w:b/>
        </w:rPr>
        <w:t>Poverty</w:t>
      </w:r>
      <w:r w:rsidRPr="008608AA">
        <w:t>: poverty is a state of economic deprivation. Its manifestations include hunger and malnutrition, limited access to education and other basic services. Other corollaries of poverty are social discrimination and exclusion as well as the lack of participation in decision-making.</w:t>
      </w:r>
    </w:p>
    <w:p w14:paraId="0B236E8E" w14:textId="77777777" w:rsidR="0003727A" w:rsidRPr="008608AA" w:rsidRDefault="0003727A" w:rsidP="00E7683B"/>
    <w:p w14:paraId="6954FE9F" w14:textId="77777777" w:rsidR="0003727A" w:rsidRPr="008608AA" w:rsidRDefault="0003727A" w:rsidP="00E7683B">
      <w:r w:rsidRPr="008608AA">
        <w:rPr>
          <w:b/>
        </w:rPr>
        <w:t>Primary production</w:t>
      </w:r>
      <w:r w:rsidRPr="008608AA">
        <w:t>: Primary production is the process whereby inorganic carbon is fixed in the sunlit (euphotic) zone of the upper ocean, and forms the base of the marine food pyramid.</w:t>
      </w:r>
    </w:p>
    <w:p w14:paraId="7CB90D13" w14:textId="77777777" w:rsidR="0003727A" w:rsidRPr="008608AA" w:rsidRDefault="0003727A" w:rsidP="00E7683B">
      <w:pPr>
        <w:rPr>
          <w:b/>
        </w:rPr>
      </w:pPr>
    </w:p>
    <w:p w14:paraId="623780A5" w14:textId="77777777" w:rsidR="0003727A" w:rsidRPr="008608AA" w:rsidRDefault="0003727A" w:rsidP="00E7683B">
      <w:r w:rsidRPr="008608AA">
        <w:rPr>
          <w:b/>
        </w:rPr>
        <w:t>Prior informed consent (PIC) or free prior and informed consent (FPIC)</w:t>
      </w:r>
      <w:r w:rsidRPr="008608AA">
        <w:t>: consent given before access to knowledge or genetic resources takes place, based on truthful information about the use that will be made of the resources, which is adequate for the stakeholders or rights holders giving consent to understand the implications.</w:t>
      </w:r>
    </w:p>
    <w:p w14:paraId="064F25C4" w14:textId="77777777" w:rsidR="0003727A" w:rsidRPr="008608AA" w:rsidRDefault="0003727A" w:rsidP="00E7683B"/>
    <w:p w14:paraId="2568924B" w14:textId="77777777" w:rsidR="0003727A" w:rsidRPr="008608AA" w:rsidRDefault="0003727A" w:rsidP="00E7683B">
      <w:r w:rsidRPr="008608AA">
        <w:rPr>
          <w:b/>
        </w:rPr>
        <w:t>Propagule pressure</w:t>
      </w:r>
      <w:r w:rsidRPr="008608AA">
        <w:t>: The quantity, quality and frequency of propagules (such as spores, eggs, larvae, or adults) released in a given location. This term can be seen as the introduction effort, i.e. the pool of individuals introduced in a new ecosystem/area/region and the number of times it is released.</w:t>
      </w:r>
    </w:p>
    <w:p w14:paraId="37C102AA" w14:textId="77777777" w:rsidR="0003727A" w:rsidRPr="008608AA" w:rsidRDefault="0003727A" w:rsidP="00E7683B">
      <w:pPr>
        <w:rPr>
          <w:b/>
        </w:rPr>
      </w:pPr>
    </w:p>
    <w:p w14:paraId="02900F2D" w14:textId="77777777" w:rsidR="0003727A" w:rsidRPr="008608AA" w:rsidRDefault="0003727A" w:rsidP="00E7683B">
      <w:r w:rsidRPr="008608AA">
        <w:rPr>
          <w:b/>
        </w:rPr>
        <w:t>Protected área</w:t>
      </w:r>
      <w:r w:rsidRPr="008608AA">
        <w:t>: protected area is a clearly defined geographical space, recognized, dedicated and managed, through legal or other effective means, to achieve the long-term conservation of nature with associated ecosystem services and cultural values.</w:t>
      </w:r>
    </w:p>
    <w:p w14:paraId="6BA2D589" w14:textId="77777777" w:rsidR="0003727A" w:rsidRPr="008608AA" w:rsidRDefault="0003727A" w:rsidP="00E7683B"/>
    <w:p w14:paraId="60E6DEB5" w14:textId="77777777" w:rsidR="0003727A" w:rsidRPr="008608AA" w:rsidRDefault="0003727A" w:rsidP="00E7683B">
      <w:pPr>
        <w:rPr>
          <w:b/>
        </w:rPr>
      </w:pPr>
      <w:r w:rsidRPr="008608AA">
        <w:rPr>
          <w:b/>
        </w:rPr>
        <w:t>R</w:t>
      </w:r>
    </w:p>
    <w:p w14:paraId="13FAB2ED" w14:textId="77777777" w:rsidR="0003727A" w:rsidRPr="008608AA" w:rsidRDefault="0003727A" w:rsidP="00E7683B">
      <w:pPr>
        <w:rPr>
          <w:b/>
        </w:rPr>
      </w:pPr>
    </w:p>
    <w:p w14:paraId="13AEFA87" w14:textId="77777777" w:rsidR="0003727A" w:rsidRPr="008608AA" w:rsidRDefault="0003727A" w:rsidP="00E7683B">
      <w:r w:rsidRPr="008608AA">
        <w:rPr>
          <w:b/>
        </w:rPr>
        <w:t>Ramsar site(s)</w:t>
      </w:r>
      <w:r w:rsidRPr="008608AA">
        <w:t xml:space="preserve">: a Ramsar site is a wetland site designated of international importance especially as Waterfowl Habitat under the Ramsar Convention, an intergovernmental environment treaty established in 1975 by UNESCO, coming into force in 1975. </w:t>
      </w:r>
    </w:p>
    <w:p w14:paraId="3ACDCB02" w14:textId="77777777" w:rsidR="0003727A" w:rsidRPr="008608AA" w:rsidRDefault="0003727A" w:rsidP="00E7683B"/>
    <w:p w14:paraId="03F1EDE3" w14:textId="77777777" w:rsidR="0003727A" w:rsidRPr="008608AA" w:rsidRDefault="0003727A" w:rsidP="00E7683B">
      <w:r w:rsidRPr="008608AA">
        <w:t>Ramsar site refers to wetland of international significance in terms of ecology, botany, zoology, limnology or hydrology. Such site meets at least one of the criteria of Identifying Wetlands of International Importance set by Ramsar Convention and is designated by appropriate national authority to be added to Ramsar list."</w:t>
      </w:r>
    </w:p>
    <w:p w14:paraId="733FCEFD" w14:textId="77777777" w:rsidR="0003727A" w:rsidRPr="008608AA" w:rsidRDefault="0003727A" w:rsidP="00E7683B"/>
    <w:p w14:paraId="71F4C295" w14:textId="77777777" w:rsidR="0003727A" w:rsidRPr="008608AA" w:rsidRDefault="0003727A" w:rsidP="00E7683B">
      <w:r w:rsidRPr="008608AA">
        <w:rPr>
          <w:b/>
        </w:rPr>
        <w:t>Rangeland</w:t>
      </w:r>
      <w:r w:rsidRPr="008608AA">
        <w:t>: natural grasslands used for livestock grazing.</w:t>
      </w:r>
    </w:p>
    <w:p w14:paraId="55D9C5F0" w14:textId="77777777" w:rsidR="0003727A" w:rsidRPr="008608AA" w:rsidRDefault="0003727A" w:rsidP="00E7683B"/>
    <w:p w14:paraId="1E8B731D" w14:textId="77777777" w:rsidR="0003727A" w:rsidRPr="008608AA" w:rsidRDefault="0003727A" w:rsidP="00E7683B">
      <w:r w:rsidRPr="008608AA">
        <w:rPr>
          <w:b/>
        </w:rPr>
        <w:t>Reducing emissions from deforestation and forest degradation (REDD+)</w:t>
      </w:r>
      <w:r w:rsidRPr="008608AA">
        <w:t>: mechanism developed by Parties to the United Nations Framework Convention on Climate Change (UNFCCC). It creates a financial value for the carbon stored in forests by offering incentives for developing countries to reduce emissions from forested lands and invest in low-carbon paths to sustainable development. Developing countries would receive results-based payments for results-based actions. REDD+ goes beyond simply deforestation and forest degradation, and includes the role of conservation, sustainable management of forests and enhancement of forest carbon stocks.</w:t>
      </w:r>
    </w:p>
    <w:p w14:paraId="66CBDABA" w14:textId="77777777" w:rsidR="0003727A" w:rsidRPr="008608AA" w:rsidRDefault="0003727A" w:rsidP="00E7683B"/>
    <w:p w14:paraId="3592FE71" w14:textId="77777777" w:rsidR="0003727A" w:rsidRPr="008608AA" w:rsidRDefault="0003727A" w:rsidP="00E7683B">
      <w:r w:rsidRPr="008608AA">
        <w:rPr>
          <w:b/>
        </w:rPr>
        <w:t>Regime shift(s)</w:t>
      </w:r>
      <w:r w:rsidRPr="008608AA">
        <w:t>: substantial reorganization in system structure, functions and feedbacks that often occurs abruptly and persists over time.</w:t>
      </w:r>
    </w:p>
    <w:p w14:paraId="63380BF7" w14:textId="77777777" w:rsidR="0003727A" w:rsidRPr="008608AA" w:rsidRDefault="0003727A" w:rsidP="00E7683B"/>
    <w:p w14:paraId="782FF78A" w14:textId="77777777" w:rsidR="0003727A" w:rsidRPr="008608AA" w:rsidRDefault="0003727A" w:rsidP="00E7683B">
      <w:r w:rsidRPr="008608AA">
        <w:rPr>
          <w:b/>
        </w:rPr>
        <w:t>Rehabilitation</w:t>
      </w:r>
      <w:r w:rsidRPr="008608AA">
        <w:t>: rehabilitation refers to restoration activities that move a site towards a natural state baseline in a limited number of components (i.e. soil, water, and/or biodiversity), including natural regeneration, conservation agriculture, and emergent ecosystems.</w:t>
      </w:r>
    </w:p>
    <w:p w14:paraId="63387027" w14:textId="77777777" w:rsidR="0003727A" w:rsidRPr="008608AA" w:rsidRDefault="0003727A" w:rsidP="00E7683B"/>
    <w:p w14:paraId="07336E4D" w14:textId="77777777" w:rsidR="0003727A" w:rsidRPr="008608AA" w:rsidRDefault="0003727A" w:rsidP="00E7683B">
      <w:r w:rsidRPr="008608AA">
        <w:rPr>
          <w:b/>
        </w:rPr>
        <w:t>Relational value</w:t>
      </w:r>
      <w:r w:rsidRPr="008608AA">
        <w:t>: see "values".</w:t>
      </w:r>
    </w:p>
    <w:p w14:paraId="5B1B2330" w14:textId="77777777" w:rsidR="0003727A" w:rsidRPr="008608AA" w:rsidRDefault="0003727A" w:rsidP="00E7683B"/>
    <w:p w14:paraId="3B21D083" w14:textId="77777777" w:rsidR="0003727A" w:rsidRPr="008608AA" w:rsidRDefault="0003727A" w:rsidP="00E7683B">
      <w:r w:rsidRPr="008608AA">
        <w:rPr>
          <w:b/>
        </w:rPr>
        <w:t>Remediation</w:t>
      </w:r>
      <w:r w:rsidRPr="008608AA">
        <w:t>: any action taken to rehabilitate ecosystems.</w:t>
      </w:r>
    </w:p>
    <w:p w14:paraId="1B4916E5" w14:textId="77777777" w:rsidR="0003727A" w:rsidRPr="008608AA" w:rsidRDefault="0003727A" w:rsidP="00E7683B"/>
    <w:p w14:paraId="5E0018D8" w14:textId="77777777" w:rsidR="0003727A" w:rsidRPr="008608AA" w:rsidRDefault="0003727A" w:rsidP="00E7683B">
      <w:r w:rsidRPr="008608AA">
        <w:rPr>
          <w:b/>
        </w:rPr>
        <w:t>Remote sensing</w:t>
      </w:r>
      <w:r w:rsidRPr="008608AA">
        <w:t>: Remote sensing is the process of detecting and monitoring the physical characteristics of an area by measuring its reflected and emitted radiation at a distance from the targeted area. Special cameras collect remotely sensed imagesof the Earth, which help researchers "sense" things about the Earth.</w:t>
      </w:r>
    </w:p>
    <w:p w14:paraId="44C60583" w14:textId="77777777" w:rsidR="0003727A" w:rsidRPr="008608AA" w:rsidRDefault="0003727A" w:rsidP="00E7683B"/>
    <w:p w14:paraId="7BCE53C5" w14:textId="77777777" w:rsidR="0003727A" w:rsidRPr="008608AA" w:rsidRDefault="0003727A" w:rsidP="00E7683B">
      <w:r w:rsidRPr="008608AA">
        <w:rPr>
          <w:b/>
        </w:rPr>
        <w:t>Reports</w:t>
      </w:r>
      <w:r w:rsidRPr="008608AA">
        <w:t>: reports shall mean the main deliverables of the Platform, including assessment reports and synthesis reports, their summaries for policymakers and technical summaries, technical papers and technical guidelines.</w:t>
      </w:r>
    </w:p>
    <w:p w14:paraId="35709CF6" w14:textId="77777777" w:rsidR="0003727A" w:rsidRPr="008608AA" w:rsidRDefault="0003727A" w:rsidP="00E7683B"/>
    <w:p w14:paraId="3C424E87" w14:textId="77777777" w:rsidR="0003727A" w:rsidRPr="008608AA" w:rsidRDefault="0003727A" w:rsidP="00E7683B">
      <w:r w:rsidRPr="008608AA">
        <w:rPr>
          <w:b/>
        </w:rPr>
        <w:t>Resilience</w:t>
      </w:r>
      <w:r w:rsidRPr="008608AA">
        <w:t>: the level of disturbance that an ecosystem or society can undergo without crossing a threshold to a situation with different structure or outputs. Resilience depends on factors such as ecological dynamics as well as the organizational and institutional capacity to understand, manage, and respond to these dynamics.</w:t>
      </w:r>
    </w:p>
    <w:p w14:paraId="56CB5D9E" w14:textId="77777777" w:rsidR="0003727A" w:rsidRPr="008608AA" w:rsidRDefault="0003727A" w:rsidP="00E7683B"/>
    <w:p w14:paraId="52D368AA" w14:textId="77777777" w:rsidR="0003727A" w:rsidRPr="008608AA" w:rsidRDefault="0003727A" w:rsidP="00E7683B">
      <w:r w:rsidRPr="008608AA">
        <w:rPr>
          <w:b/>
        </w:rPr>
        <w:t>Resolution (spatial or temporal)</w:t>
      </w:r>
      <w:r w:rsidRPr="008608AA">
        <w:t>: see “scale”.</w:t>
      </w:r>
    </w:p>
    <w:p w14:paraId="13631BAD" w14:textId="77777777" w:rsidR="0003727A" w:rsidRPr="008608AA" w:rsidRDefault="0003727A" w:rsidP="00E7683B"/>
    <w:p w14:paraId="5C296E20" w14:textId="77777777" w:rsidR="0003727A" w:rsidRPr="008608AA" w:rsidRDefault="0003727A" w:rsidP="00E7683B">
      <w:r w:rsidRPr="008608AA">
        <w:rPr>
          <w:b/>
        </w:rPr>
        <w:t>Richness</w:t>
      </w:r>
      <w:r w:rsidRPr="008608AA">
        <w:t>: she number of biological entities (species, genotypes, etc.) within a given sample. Sometimes used as synonym of species diversity.</w:t>
      </w:r>
    </w:p>
    <w:p w14:paraId="3C7296E5" w14:textId="77777777" w:rsidR="0003727A" w:rsidRPr="008608AA" w:rsidRDefault="0003727A" w:rsidP="00E7683B"/>
    <w:p w14:paraId="13139DCB" w14:textId="77777777" w:rsidR="0003727A" w:rsidRPr="008608AA" w:rsidRDefault="0003727A" w:rsidP="00E7683B">
      <w:r w:rsidRPr="008608AA">
        <w:rPr>
          <w:b/>
        </w:rPr>
        <w:t>Rights-based approaches</w:t>
      </w:r>
      <w:r w:rsidRPr="008608AA">
        <w:t>: approaches that consider international human rights law as a coherent system of principles and rules in the field of development, and uses it “as a broad guide to conducting the cooperation and aid process; social participation in that process; the obligations of donor and recipient governments; the method of evaluating aid; and the accountability mechanisms that need to be established at the local and international levels.</w:t>
      </w:r>
    </w:p>
    <w:p w14:paraId="72993CF9" w14:textId="77777777" w:rsidR="0003727A" w:rsidRPr="008608AA" w:rsidRDefault="0003727A" w:rsidP="00E7683B">
      <w:pPr>
        <w:rPr>
          <w:b/>
        </w:rPr>
      </w:pPr>
    </w:p>
    <w:p w14:paraId="7BC5208D" w14:textId="77777777" w:rsidR="0003727A" w:rsidRPr="008608AA" w:rsidRDefault="0003727A" w:rsidP="00E7683B">
      <w:r w:rsidRPr="008608AA">
        <w:rPr>
          <w:b/>
        </w:rPr>
        <w:t>Route of invasion</w:t>
      </w:r>
      <w:r w:rsidRPr="008608AA">
        <w:t>: The geographic path over which a species is transported from the donor area (origin; may be defined as Last Port of Call) to the recipient area (destination or target), which may include one or more corridors.</w:t>
      </w:r>
    </w:p>
    <w:p w14:paraId="547ECA6A" w14:textId="77777777" w:rsidR="0003727A" w:rsidRPr="008608AA" w:rsidRDefault="0003727A" w:rsidP="00E7683B">
      <w:pPr>
        <w:rPr>
          <w:b/>
        </w:rPr>
      </w:pPr>
    </w:p>
    <w:p w14:paraId="1F2834D4" w14:textId="77777777" w:rsidR="0003727A" w:rsidRPr="008608AA" w:rsidRDefault="0003727A" w:rsidP="00E7683B">
      <w:pPr>
        <w:rPr>
          <w:b/>
        </w:rPr>
      </w:pPr>
      <w:r w:rsidRPr="008608AA">
        <w:rPr>
          <w:b/>
        </w:rPr>
        <w:t>S</w:t>
      </w:r>
    </w:p>
    <w:p w14:paraId="647F6734" w14:textId="77777777" w:rsidR="0003727A" w:rsidRPr="008608AA" w:rsidRDefault="0003727A" w:rsidP="00E7683B">
      <w:pPr>
        <w:rPr>
          <w:b/>
        </w:rPr>
      </w:pPr>
    </w:p>
    <w:p w14:paraId="06A72CF5" w14:textId="77777777" w:rsidR="0003727A" w:rsidRPr="008608AA" w:rsidRDefault="0003727A" w:rsidP="00E7683B">
      <w:r w:rsidRPr="008608AA">
        <w:rPr>
          <w:b/>
        </w:rPr>
        <w:t>Salinization</w:t>
      </w:r>
      <w:r w:rsidRPr="008608AA">
        <w:t>: the process of increasing the salt content in soil is known as salinization. Salinization can be caused by natural processes such as mineral weathering or by the gradual withdrawal of an ocean. It can also come about through artificial processes such as irrigation.</w:t>
      </w:r>
    </w:p>
    <w:p w14:paraId="5674582B" w14:textId="77777777" w:rsidR="0003727A" w:rsidRPr="008608AA" w:rsidRDefault="0003727A" w:rsidP="00E7683B"/>
    <w:p w14:paraId="4867470E" w14:textId="77777777" w:rsidR="0003727A" w:rsidRPr="008608AA" w:rsidRDefault="0003727A" w:rsidP="00E7683B">
      <w:r w:rsidRPr="008608AA">
        <w:rPr>
          <w:b/>
        </w:rPr>
        <w:t>Savanna</w:t>
      </w:r>
      <w:r w:rsidRPr="008608AA">
        <w:t>: ecosystem characterized by a continuous layer of herbaceous plants, mostly grasses, and a discontinuous upper layer of trees that may vary in density.</w:t>
      </w:r>
    </w:p>
    <w:p w14:paraId="3D1DD155" w14:textId="77777777" w:rsidR="0003727A" w:rsidRPr="008608AA" w:rsidRDefault="0003727A" w:rsidP="00E7683B"/>
    <w:p w14:paraId="3BF47D46" w14:textId="77777777" w:rsidR="0003727A" w:rsidRPr="008608AA" w:rsidRDefault="0003727A" w:rsidP="00E7683B">
      <w:r w:rsidRPr="008608AA">
        <w:rPr>
          <w:b/>
        </w:rPr>
        <w:t>Scale</w:t>
      </w:r>
      <w:r w:rsidRPr="008608AA">
        <w:t>: the spatial, temporal, quantitative and analytical dimensions used to measure and study any phenomenon. The temporal scale is comprised of two properties: 1) temporal extent – the total length of the time period of interest for a particular study (e.g. 10 years, 50 years, or 100 years); and 2) temporal grain (or resolution) – the temporal frequency with which data are observed or projected within this total period (e.g. at 1-year, 5-year or 10-year intervals). The spatial scale is comprised of two properties: 1) spatial extent – the size of the total area of interest for a particular study (e.g. a watershed, a country, the entire planet); and 2) spatial grain (or resolution) – the size of the spatial units within this total area for which data are observed or predicted (e.g. fine-grained or coarse-grained grid cells).</w:t>
      </w:r>
    </w:p>
    <w:p w14:paraId="2D76C6A4" w14:textId="77777777" w:rsidR="0003727A" w:rsidRPr="008608AA" w:rsidRDefault="0003727A" w:rsidP="00E7683B"/>
    <w:p w14:paraId="40AF3DBF" w14:textId="77777777" w:rsidR="0003727A" w:rsidRPr="008608AA" w:rsidRDefault="0003727A" w:rsidP="00E7683B">
      <w:r w:rsidRPr="008608AA">
        <w:rPr>
          <w:b/>
        </w:rPr>
        <w:t>Scenario</w:t>
      </w:r>
      <w:r w:rsidRPr="008608AA">
        <w:t>: representations of possible futures for one or more components of a system, particularly for drivers of change in nature and nature’s benefits, including alternative policy or management options.</w:t>
      </w:r>
    </w:p>
    <w:p w14:paraId="1DE09CC2" w14:textId="77777777" w:rsidR="0003727A" w:rsidRPr="008608AA" w:rsidRDefault="0003727A" w:rsidP="00E7683B">
      <w:r w:rsidRPr="008608AA">
        <w:t xml:space="preserve"> </w:t>
      </w:r>
    </w:p>
    <w:p w14:paraId="4CEA862F" w14:textId="77777777" w:rsidR="0003727A" w:rsidRPr="008608AA" w:rsidRDefault="0003727A" w:rsidP="00E7683B">
      <w:r w:rsidRPr="008608AA">
        <w:t>Exploratory scenarios (also known as “explorative scenarios” or “descriptive scenarios”) are scenarios that examine a range of plausible futures, based on potential trajectories of drivers – either indirect (e.g. socio-political, economic and technological factors) or direct (e.g. habitat conversion, climate change).</w:t>
      </w:r>
    </w:p>
    <w:p w14:paraId="5C2A8C65" w14:textId="77777777" w:rsidR="0003727A" w:rsidRPr="008608AA" w:rsidRDefault="0003727A" w:rsidP="00E7683B"/>
    <w:p w14:paraId="6758D7EE" w14:textId="77777777" w:rsidR="0003727A" w:rsidRPr="008608AA" w:rsidRDefault="0003727A" w:rsidP="00E7683B">
      <w:r w:rsidRPr="008608AA">
        <w:t>Target-seeking scenarios (also known as “goal-seeking scenarios” or “normative scenarios”): scenarios that start with the definition of a clear objective, or a set of objectives, specified either in terms of achievable targets, or as an objective function to be optimized, and then identify different pathways to achieving this outcome (e.g. through backcasting).</w:t>
      </w:r>
    </w:p>
    <w:p w14:paraId="5660AC1D" w14:textId="77777777" w:rsidR="0003727A" w:rsidRPr="008608AA" w:rsidRDefault="0003727A" w:rsidP="00E7683B"/>
    <w:p w14:paraId="55B7A887" w14:textId="77777777" w:rsidR="0003727A" w:rsidRPr="008608AA" w:rsidRDefault="0003727A" w:rsidP="00E7683B">
      <w:r w:rsidRPr="008608AA">
        <w:t xml:space="preserve">Intervention scenarios are scenarios that evaluate alternative policy or management options – either through target seeking (also known as “goal seeking” or “normative scenario analysis”) or through policy screening (also known as “ex-ante assessment”). </w:t>
      </w:r>
    </w:p>
    <w:p w14:paraId="01C934A3" w14:textId="77777777" w:rsidR="0003727A" w:rsidRPr="008608AA" w:rsidRDefault="0003727A" w:rsidP="00E7683B"/>
    <w:p w14:paraId="1EF512C8" w14:textId="77777777" w:rsidR="0003727A" w:rsidRPr="008608AA" w:rsidRDefault="0003727A" w:rsidP="00E7683B">
      <w:r w:rsidRPr="008608AA">
        <w:t>Policy-evaluation scenarios are scenarios, including counterfactual scenarios, used in ex-post assessments of the gap between policy objectives and actual policy results, as part of the policy-review phase of the policy cycle. Policy-screening scenarios are scenarios used in ex-ante assessments, to forecast the effects of alternative policy or management options (interventions) on environmental outcomes."</w:t>
      </w:r>
    </w:p>
    <w:p w14:paraId="3ADE33AA" w14:textId="77777777" w:rsidR="0003727A" w:rsidRPr="008608AA" w:rsidRDefault="0003727A" w:rsidP="00E7683B"/>
    <w:p w14:paraId="7970C34A" w14:textId="77777777" w:rsidR="0003727A" w:rsidRPr="008608AA" w:rsidRDefault="0003727A" w:rsidP="00E7683B"/>
    <w:p w14:paraId="7600F979" w14:textId="77777777" w:rsidR="0003727A" w:rsidRPr="008608AA" w:rsidRDefault="0003727A" w:rsidP="00E7683B">
      <w:r w:rsidRPr="008608AA">
        <w:rPr>
          <w:b/>
        </w:rPr>
        <w:t>Science-policy interfase</w:t>
      </w:r>
      <w:r w:rsidRPr="008608AA">
        <w:t>: environment-related SPIs are organizations, initiatives or projects that work at the boundary of science, policy and society to enrich decision making, shape their participants’ and audiences’ understandings of problems, and so produce outcomes regarding decisions and behaviours.</w:t>
      </w:r>
    </w:p>
    <w:p w14:paraId="1E6F8015" w14:textId="77777777" w:rsidR="0003727A" w:rsidRPr="008608AA" w:rsidRDefault="0003727A" w:rsidP="00E7683B"/>
    <w:p w14:paraId="36917979" w14:textId="77777777" w:rsidR="0003727A" w:rsidRPr="008608AA" w:rsidRDefault="0003727A" w:rsidP="00E7683B">
      <w:r w:rsidRPr="008608AA">
        <w:rPr>
          <w:b/>
        </w:rPr>
        <w:t>Stages of invasion</w:t>
      </w:r>
      <w:r w:rsidRPr="008608AA">
        <w:t>: Refers to the three stages that a species must successfully transit by in an invasion process and become an invasive species.</w:t>
      </w:r>
    </w:p>
    <w:p w14:paraId="05EDFA9E" w14:textId="77777777" w:rsidR="0003727A" w:rsidRPr="008608AA" w:rsidRDefault="0003727A" w:rsidP="00E7683B">
      <w:pPr>
        <w:rPr>
          <w:b/>
        </w:rPr>
      </w:pPr>
    </w:p>
    <w:p w14:paraId="15B422D8" w14:textId="77777777" w:rsidR="0003727A" w:rsidRPr="008608AA" w:rsidRDefault="0003727A" w:rsidP="00E7683B">
      <w:r w:rsidRPr="008608AA">
        <w:rPr>
          <w:b/>
        </w:rPr>
        <w:t>Sustainability transitions</w:t>
      </w:r>
      <w:r w:rsidRPr="008608AA">
        <w:t xml:space="preserve">: a transformation process that is multidimensional, multistakeholder, and often operates in the long-term, by which conventional systems shift to more sustainable modes of production and consumption. </w:t>
      </w:r>
    </w:p>
    <w:p w14:paraId="3AA968B9" w14:textId="77777777" w:rsidR="0003727A" w:rsidRPr="008608AA" w:rsidRDefault="0003727A" w:rsidP="00E7683B"/>
    <w:p w14:paraId="10235A26" w14:textId="77777777" w:rsidR="0003727A" w:rsidRPr="008608AA" w:rsidRDefault="0003727A" w:rsidP="00E7683B">
      <w:r w:rsidRPr="008608AA">
        <w:rPr>
          <w:b/>
        </w:rPr>
        <w:t>Seascape(s)</w:t>
      </w:r>
      <w:r w:rsidRPr="008608AA">
        <w:t>: seascape can be defined as a spatially heterogeneous area of coastal environment (i.e. intertidal, brackish) that can be perceived as a mosaic of patches, a spatial gradient, or some other geometric patterning (Boström et al. 2011). The tropical coastal “seascape” often includes a patchwork of mangroves, seagrass beds, and coral reefs that produces a variety of natural resources and ecosystem services.</w:t>
      </w:r>
    </w:p>
    <w:p w14:paraId="37462E95" w14:textId="77777777" w:rsidR="0003727A" w:rsidRPr="008608AA" w:rsidRDefault="0003727A" w:rsidP="00E7683B"/>
    <w:p w14:paraId="1A75EE9C" w14:textId="77777777" w:rsidR="0003727A" w:rsidRPr="008608AA" w:rsidRDefault="0003727A" w:rsidP="00E7683B">
      <w:r w:rsidRPr="008608AA">
        <w:rPr>
          <w:b/>
        </w:rPr>
        <w:t>Sector</w:t>
      </w:r>
      <w:r w:rsidRPr="008608AA">
        <w:t>: a distinct part of society, or of a nation's economy.</w:t>
      </w:r>
    </w:p>
    <w:p w14:paraId="394FA067" w14:textId="77777777" w:rsidR="0003727A" w:rsidRPr="008608AA" w:rsidRDefault="0003727A" w:rsidP="00E7683B"/>
    <w:p w14:paraId="3EC95F11" w14:textId="77777777" w:rsidR="0003727A" w:rsidRPr="008608AA" w:rsidRDefault="0003727A" w:rsidP="00E7683B">
      <w:r w:rsidRPr="008608AA">
        <w:rPr>
          <w:b/>
        </w:rPr>
        <w:t>Semi-natural habitat(s)</w:t>
      </w:r>
      <w:r w:rsidRPr="008608AA">
        <w:t>: an ecosystem with most of its processes and biodiversity intact, though altered by human activity in strength or abundance relative to the natural state.</w:t>
      </w:r>
    </w:p>
    <w:p w14:paraId="4E50EC3C" w14:textId="77777777" w:rsidR="0003727A" w:rsidRPr="008608AA" w:rsidRDefault="0003727A" w:rsidP="00E7683B"/>
    <w:p w14:paraId="1183AA91" w14:textId="77777777" w:rsidR="0003727A" w:rsidRPr="008608AA" w:rsidRDefault="0003727A" w:rsidP="00E7683B">
      <w:r w:rsidRPr="008608AA">
        <w:rPr>
          <w:b/>
        </w:rPr>
        <w:t>Socioecological system</w:t>
      </w:r>
      <w:r w:rsidRPr="008608AA">
        <w:t>: an ecosystem, the management of this ecosystem by actors and organizations, and the rules, social norms, and conventions underlying this management.</w:t>
      </w:r>
    </w:p>
    <w:p w14:paraId="03333E51" w14:textId="77777777" w:rsidR="0003727A" w:rsidRPr="008608AA" w:rsidRDefault="0003727A" w:rsidP="00E7683B"/>
    <w:p w14:paraId="5FEA6165" w14:textId="77777777" w:rsidR="0003727A" w:rsidRPr="008608AA" w:rsidRDefault="0003727A" w:rsidP="00E7683B">
      <w:r w:rsidRPr="008608AA">
        <w:rPr>
          <w:b/>
        </w:rPr>
        <w:t>Soil compaction</w:t>
      </w:r>
      <w:r w:rsidRPr="008608AA">
        <w:t>: an increase in density and a decline of porosity in a soil that impedes root penetration and movements of water and gases.</w:t>
      </w:r>
    </w:p>
    <w:p w14:paraId="3DA753D5" w14:textId="77777777" w:rsidR="0003727A" w:rsidRPr="008608AA" w:rsidRDefault="0003727A" w:rsidP="00E7683B"/>
    <w:p w14:paraId="5747F1B0" w14:textId="77777777" w:rsidR="0003727A" w:rsidRPr="008608AA" w:rsidRDefault="0003727A" w:rsidP="00E7683B">
      <w:r w:rsidRPr="008608AA">
        <w:rPr>
          <w:b/>
        </w:rPr>
        <w:t>Soil degradation</w:t>
      </w:r>
      <w:r w:rsidRPr="008608AA">
        <w:t>: the diminishing capacity of the soil to provide ecosystem goods and services as desired by its stakeholders.</w:t>
      </w:r>
    </w:p>
    <w:p w14:paraId="7E0FC892" w14:textId="77777777" w:rsidR="0003727A" w:rsidRPr="008608AA" w:rsidRDefault="0003727A" w:rsidP="00E7683B"/>
    <w:p w14:paraId="3E8E8EDD" w14:textId="77777777" w:rsidR="0003727A" w:rsidRPr="008608AA" w:rsidRDefault="0003727A" w:rsidP="00E7683B">
      <w:r w:rsidRPr="008608AA">
        <w:rPr>
          <w:b/>
        </w:rPr>
        <w:t>Soil organic matter (SOM)</w:t>
      </w:r>
      <w:r w:rsidRPr="008608AA">
        <w:t>: matter consisting of plant and/or animal organic materials, and the conversion products of those materials in soils (ISO, 2013).</w:t>
      </w:r>
    </w:p>
    <w:p w14:paraId="7E0B77A4" w14:textId="77777777" w:rsidR="0003727A" w:rsidRPr="008608AA" w:rsidRDefault="0003727A" w:rsidP="00E7683B"/>
    <w:p w14:paraId="18F9DA19" w14:textId="77777777" w:rsidR="0003727A" w:rsidRPr="008608AA" w:rsidRDefault="0003727A" w:rsidP="00E7683B">
      <w:r w:rsidRPr="008608AA">
        <w:rPr>
          <w:b/>
        </w:rPr>
        <w:t>Species</w:t>
      </w:r>
      <w:r w:rsidRPr="008608AA">
        <w:t>: an interbreeding group of organisms that is reproductively isolated from all other organisms, although there are many partial exceptions to this rule in particular taxa. Operationally, the term species is a generally agreed fundamental taxonomic unit, based on morphological or genetic similarity, that once described and accepted is associated with a unique scientific name.</w:t>
      </w:r>
    </w:p>
    <w:p w14:paraId="4430ACF3" w14:textId="77777777" w:rsidR="0003727A" w:rsidRPr="008608AA" w:rsidRDefault="0003727A" w:rsidP="00E7683B"/>
    <w:p w14:paraId="1A67C524" w14:textId="77777777" w:rsidR="0003727A" w:rsidRPr="008608AA" w:rsidRDefault="0003727A" w:rsidP="00E7683B">
      <w:r w:rsidRPr="008608AA">
        <w:rPr>
          <w:b/>
        </w:rPr>
        <w:t>Species composition</w:t>
      </w:r>
      <w:r w:rsidRPr="008608AA">
        <w:t>: the array of species in a specific sample, community, or area.</w:t>
      </w:r>
    </w:p>
    <w:p w14:paraId="1A02A7E8" w14:textId="77777777" w:rsidR="0003727A" w:rsidRPr="008608AA" w:rsidRDefault="0003727A" w:rsidP="00E7683B"/>
    <w:p w14:paraId="72F0411A" w14:textId="77777777" w:rsidR="0003727A" w:rsidRPr="008608AA" w:rsidRDefault="0003727A" w:rsidP="00E7683B">
      <w:r w:rsidRPr="008608AA">
        <w:rPr>
          <w:b/>
        </w:rPr>
        <w:t>Species distribution models</w:t>
      </w:r>
      <w:r w:rsidRPr="008608AA">
        <w:t>: species distribution models relate field observations of the presence/absence of a species to environmental predictor variables, based on statistically or theoretically derived response surfaces, for prediction and inference. The predictor variables are often climatic but can include other environmental variables.</w:t>
      </w:r>
    </w:p>
    <w:p w14:paraId="05FE69C6" w14:textId="77777777" w:rsidR="0003727A" w:rsidRPr="008608AA" w:rsidRDefault="0003727A" w:rsidP="00E7683B"/>
    <w:p w14:paraId="0C2C96FE" w14:textId="77777777" w:rsidR="0003727A" w:rsidRPr="008608AA" w:rsidRDefault="0003727A" w:rsidP="00E7683B">
      <w:r w:rsidRPr="008608AA">
        <w:rPr>
          <w:b/>
        </w:rPr>
        <w:t>Species richness</w:t>
      </w:r>
      <w:r w:rsidRPr="008608AA">
        <w:t>: the number of species within a given sample, community, or area.</w:t>
      </w:r>
    </w:p>
    <w:p w14:paraId="25A93B62" w14:textId="77777777" w:rsidR="0003727A" w:rsidRPr="008608AA" w:rsidRDefault="0003727A" w:rsidP="00E7683B"/>
    <w:p w14:paraId="6857DF6A" w14:textId="77777777" w:rsidR="0003727A" w:rsidRPr="008608AA" w:rsidRDefault="0003727A" w:rsidP="00E7683B">
      <w:r w:rsidRPr="008608AA">
        <w:rPr>
          <w:b/>
        </w:rPr>
        <w:t>Stakeholders</w:t>
      </w:r>
      <w:r w:rsidRPr="008608AA">
        <w:t>: any individuals, groups or organizations who affect, or could be affected (whether positively or negatively) by a particular issue and its associated policies, decisions and action.</w:t>
      </w:r>
    </w:p>
    <w:p w14:paraId="0E22C3EC" w14:textId="77777777" w:rsidR="0003727A" w:rsidRPr="008608AA" w:rsidRDefault="0003727A" w:rsidP="00E7683B"/>
    <w:p w14:paraId="66C2E31D" w14:textId="77777777" w:rsidR="0003727A" w:rsidRPr="008608AA" w:rsidRDefault="0003727A" w:rsidP="00E7683B">
      <w:r w:rsidRPr="008608AA">
        <w:rPr>
          <w:b/>
        </w:rPr>
        <w:t>Summary for policymakers (SPM)</w:t>
      </w:r>
      <w:r w:rsidRPr="008608AA">
        <w:t>: a component of any report, providing a policy-relevant but not policy prescriptive summary of that report.</w:t>
      </w:r>
    </w:p>
    <w:p w14:paraId="5D8FBA15" w14:textId="77777777" w:rsidR="0003727A" w:rsidRPr="008608AA" w:rsidRDefault="0003727A" w:rsidP="00E7683B"/>
    <w:p w14:paraId="6DE29CB4" w14:textId="77777777" w:rsidR="0003727A" w:rsidRPr="008608AA" w:rsidRDefault="0003727A" w:rsidP="00E7683B">
      <w:r w:rsidRPr="008608AA">
        <w:rPr>
          <w:b/>
        </w:rPr>
        <w:t>Sustainability</w:t>
      </w:r>
      <w:r w:rsidRPr="008608AA">
        <w:t>: a characteristic or state whereby the needs of the present and local population can be met without compromising the ability of future generations or populations in other locations to meet their needs.</w:t>
      </w:r>
    </w:p>
    <w:p w14:paraId="29A2A6DE" w14:textId="77777777" w:rsidR="0003727A" w:rsidRPr="008608AA" w:rsidRDefault="0003727A" w:rsidP="00E7683B"/>
    <w:p w14:paraId="5FE867B1" w14:textId="77777777" w:rsidR="0003727A" w:rsidRPr="008608AA" w:rsidRDefault="0003727A" w:rsidP="00E7683B">
      <w:r w:rsidRPr="008608AA">
        <w:rPr>
          <w:b/>
        </w:rPr>
        <w:t>Sustainable Development Goals (SDGs)</w:t>
      </w:r>
      <w:r w:rsidRPr="008608AA">
        <w:t>: a set of goals adopted by the United Nations in 2015 to end poverty, protect the planet, and ensure prosperity for all, as part of the 2030 Agenda for Sustainable Development.</w:t>
      </w:r>
    </w:p>
    <w:p w14:paraId="71DED15B" w14:textId="77777777" w:rsidR="0003727A" w:rsidRPr="008608AA" w:rsidRDefault="0003727A" w:rsidP="00E7683B"/>
    <w:p w14:paraId="0C128B05" w14:textId="77777777" w:rsidR="0003727A" w:rsidRPr="008608AA" w:rsidRDefault="0003727A" w:rsidP="00E7683B">
      <w:r w:rsidRPr="008608AA">
        <w:rPr>
          <w:b/>
        </w:rPr>
        <w:t>Sustainable use</w:t>
      </w:r>
      <w:r w:rsidRPr="008608AA">
        <w:t xml:space="preserve"> (of biodiversity and its components): the use of components of biological diversity in a way and at a rate that does not lead to the long-term decline of biological diversity, thereby maintaining its potential to meet the needs and aspirations of present and future generations.</w:t>
      </w:r>
    </w:p>
    <w:p w14:paraId="3E6BF524" w14:textId="77777777" w:rsidR="0003727A" w:rsidRPr="008608AA" w:rsidRDefault="0003727A" w:rsidP="00E7683B"/>
    <w:p w14:paraId="4EA83401" w14:textId="77777777" w:rsidR="0003727A" w:rsidRPr="008608AA" w:rsidRDefault="0003727A" w:rsidP="00E7683B">
      <w:r w:rsidRPr="008608AA">
        <w:rPr>
          <w:b/>
        </w:rPr>
        <w:t>Synergies</w:t>
      </w:r>
      <w:r w:rsidRPr="008608AA">
        <w:t>: see "trade-off".</w:t>
      </w:r>
    </w:p>
    <w:p w14:paraId="25DFE09C" w14:textId="77777777" w:rsidR="0003727A" w:rsidRPr="008608AA" w:rsidRDefault="0003727A" w:rsidP="00E7683B"/>
    <w:p w14:paraId="18B876C6" w14:textId="77777777" w:rsidR="0003727A" w:rsidRPr="008608AA" w:rsidRDefault="0003727A" w:rsidP="00E7683B">
      <w:pPr>
        <w:rPr>
          <w:b/>
        </w:rPr>
      </w:pPr>
      <w:r w:rsidRPr="008608AA">
        <w:rPr>
          <w:b/>
        </w:rPr>
        <w:t>T</w:t>
      </w:r>
    </w:p>
    <w:p w14:paraId="77B142F2" w14:textId="77777777" w:rsidR="0003727A" w:rsidRPr="008608AA" w:rsidRDefault="0003727A" w:rsidP="00E7683B">
      <w:pPr>
        <w:rPr>
          <w:b/>
        </w:rPr>
      </w:pPr>
    </w:p>
    <w:p w14:paraId="666246E2" w14:textId="77777777" w:rsidR="0003727A" w:rsidRPr="008608AA" w:rsidRDefault="0003727A" w:rsidP="00E7683B">
      <w:r w:rsidRPr="008608AA">
        <w:rPr>
          <w:b/>
        </w:rPr>
        <w:t>Target-seeking scenarios</w:t>
      </w:r>
      <w:r w:rsidRPr="008608AA">
        <w:t>: see "scenarios".</w:t>
      </w:r>
    </w:p>
    <w:p w14:paraId="63462770" w14:textId="77777777" w:rsidR="0003727A" w:rsidRPr="008608AA" w:rsidRDefault="0003727A" w:rsidP="00E7683B"/>
    <w:p w14:paraId="1563DDA4" w14:textId="77777777" w:rsidR="0003727A" w:rsidRPr="008608AA" w:rsidRDefault="0003727A" w:rsidP="00E7683B">
      <w:r w:rsidRPr="008608AA">
        <w:rPr>
          <w:b/>
        </w:rPr>
        <w:t>Taxon</w:t>
      </w:r>
      <w:r w:rsidRPr="008608AA">
        <w:t>: a category applied to a group in a formal system of nomenclature, e.g., species, genus, family etc. (plural: taxa).</w:t>
      </w:r>
    </w:p>
    <w:p w14:paraId="333A89E9" w14:textId="77777777" w:rsidR="0003727A" w:rsidRPr="008608AA" w:rsidRDefault="0003727A" w:rsidP="00E7683B"/>
    <w:p w14:paraId="67C9855C" w14:textId="77777777" w:rsidR="0003727A" w:rsidRPr="008608AA" w:rsidRDefault="0003727A" w:rsidP="00E7683B">
      <w:r w:rsidRPr="008608AA">
        <w:rPr>
          <w:b/>
        </w:rPr>
        <w:t>Teleconnection</w:t>
      </w:r>
      <w:r w:rsidRPr="008608AA">
        <w:t>: Relates to the environmental interactions between climatic systems over considerable distances.</w:t>
      </w:r>
    </w:p>
    <w:p w14:paraId="390E12D5" w14:textId="77777777" w:rsidR="0003727A" w:rsidRPr="008608AA" w:rsidRDefault="0003727A" w:rsidP="00E7683B">
      <w:pPr>
        <w:rPr>
          <w:b/>
        </w:rPr>
      </w:pPr>
    </w:p>
    <w:p w14:paraId="6BF54B3F" w14:textId="77777777" w:rsidR="0003727A" w:rsidRPr="008608AA" w:rsidRDefault="0003727A" w:rsidP="00E7683B">
      <w:r w:rsidRPr="008608AA">
        <w:rPr>
          <w:b/>
        </w:rPr>
        <w:t>Telecoupling</w:t>
      </w:r>
      <w:r w:rsidRPr="008608AA">
        <w:t>: refers to socioeconomic and environmental interactions over distances. It involves distant exchanges of information, energy and matter (e.g., people, goods, products, capital) at multiple spatial, temporal and organizational scales.</w:t>
      </w:r>
    </w:p>
    <w:p w14:paraId="3C548FDF" w14:textId="77777777" w:rsidR="0003727A" w:rsidRPr="008608AA" w:rsidRDefault="0003727A" w:rsidP="00E7683B"/>
    <w:p w14:paraId="13202BB7" w14:textId="77777777" w:rsidR="0003727A" w:rsidRPr="008608AA" w:rsidRDefault="0003727A" w:rsidP="00E7683B">
      <w:r w:rsidRPr="008608AA">
        <w:rPr>
          <w:b/>
        </w:rPr>
        <w:t>Teratogen</w:t>
      </w:r>
      <w:r w:rsidRPr="008608AA">
        <w:t>: any agent that causes an abnormality following fetal exposure during pregnancy.</w:t>
      </w:r>
    </w:p>
    <w:p w14:paraId="5439CCD1" w14:textId="77777777" w:rsidR="0003727A" w:rsidRPr="008608AA" w:rsidRDefault="0003727A" w:rsidP="00E7683B">
      <w:pPr>
        <w:rPr>
          <w:b/>
        </w:rPr>
      </w:pPr>
    </w:p>
    <w:p w14:paraId="487356C0" w14:textId="77777777" w:rsidR="0003727A" w:rsidRPr="008608AA" w:rsidRDefault="0003727A" w:rsidP="00E7683B">
      <w:r w:rsidRPr="008608AA">
        <w:rPr>
          <w:b/>
        </w:rPr>
        <w:t>Territorial Use Rights in Fisheries (TURFs)</w:t>
      </w:r>
      <w:r w:rsidRPr="008608AA">
        <w:t>: give a specific harvester exclusive access to ocean áreas.</w:t>
      </w:r>
    </w:p>
    <w:p w14:paraId="0BD3E203" w14:textId="77777777" w:rsidR="0003727A" w:rsidRPr="008608AA" w:rsidRDefault="0003727A" w:rsidP="00E7683B"/>
    <w:p w14:paraId="5A9253E5" w14:textId="77777777" w:rsidR="0003727A" w:rsidRPr="008608AA" w:rsidRDefault="0003727A" w:rsidP="00E7683B">
      <w:r w:rsidRPr="008608AA">
        <w:rPr>
          <w:b/>
        </w:rPr>
        <w:t>Threatened species</w:t>
      </w:r>
      <w:r w:rsidRPr="008608AA">
        <w:t xml:space="preserve">: in the IUCN Red List terminology, a threatened species is any species listed in the Red List categories Critically Endangered, Endangered, or Vulnerable. </w:t>
      </w:r>
    </w:p>
    <w:p w14:paraId="3AA96AFB" w14:textId="77777777" w:rsidR="0003727A" w:rsidRPr="008608AA" w:rsidRDefault="0003727A" w:rsidP="00E7683B"/>
    <w:p w14:paraId="107A0384" w14:textId="77777777" w:rsidR="0003727A" w:rsidRPr="008608AA" w:rsidRDefault="0003727A" w:rsidP="00E7683B">
      <w:r w:rsidRPr="008608AA">
        <w:rPr>
          <w:b/>
        </w:rPr>
        <w:t>Tipping point</w:t>
      </w:r>
      <w:r w:rsidRPr="008608AA">
        <w:t>: a set of conditions of an ecological or social system where further perturbation will cause rapid change and prevent the system from returning to its former state.</w:t>
      </w:r>
    </w:p>
    <w:p w14:paraId="33E59ABF" w14:textId="77777777" w:rsidR="0003727A" w:rsidRPr="008608AA" w:rsidRDefault="0003727A" w:rsidP="00E7683B"/>
    <w:p w14:paraId="0A6E6948" w14:textId="77777777" w:rsidR="0003727A" w:rsidRPr="008608AA" w:rsidRDefault="0003727A" w:rsidP="00E7683B">
      <w:r w:rsidRPr="008608AA">
        <w:rPr>
          <w:b/>
        </w:rPr>
        <w:t>Trade-off</w:t>
      </w:r>
      <w:r w:rsidRPr="008608AA">
        <w:t xml:space="preserve">: a situation where an improvement in the status of one aspect of the environment or of human well-being is necessarily associated with a decline in or loss of a different aspect. Trade-offs characterize most complex systems, and are important to consider when making decisions that aim to improve environmental and/or socio-economic outcomes. Trade-offs are distinct from synergies (the latter are also referred to as “win-win” scenarios): synergies arise when the enhancement of one desirable outcome leads to enhancement of another. </w:t>
      </w:r>
    </w:p>
    <w:p w14:paraId="48C9A51B" w14:textId="77777777" w:rsidR="0003727A" w:rsidRPr="008608AA" w:rsidRDefault="0003727A" w:rsidP="00E7683B"/>
    <w:p w14:paraId="7ACFCE41" w14:textId="77777777" w:rsidR="0003727A" w:rsidRPr="008608AA" w:rsidRDefault="0003727A" w:rsidP="00E7683B">
      <w:r w:rsidRPr="008608AA">
        <w:rPr>
          <w:b/>
        </w:rPr>
        <w:t>Transhumance</w:t>
      </w:r>
      <w:r w:rsidRPr="008608AA">
        <w:t>: a Form of pastoralism or nomadism organized around the migration of livestock between mountain pastures in warm seasons and lower altitudes the rest of the year. The seasonal migration may also occur between lower and upper latitudes. A traditional farming practice based on indigenous and local knowledge”.</w:t>
      </w:r>
    </w:p>
    <w:p w14:paraId="11287E77" w14:textId="77777777" w:rsidR="0003727A" w:rsidRPr="008608AA" w:rsidRDefault="0003727A" w:rsidP="00E7683B"/>
    <w:p w14:paraId="59884F9B" w14:textId="77777777" w:rsidR="0003727A" w:rsidRPr="008608AA" w:rsidRDefault="0003727A" w:rsidP="00E7683B">
      <w:r w:rsidRPr="008608AA">
        <w:rPr>
          <w:b/>
        </w:rPr>
        <w:t>Trophic level</w:t>
      </w:r>
      <w:r w:rsidRPr="008608AA">
        <w:t>: the level in the food chain in which one group of organisms serves as a source of nutrition for another group of organisms (e.g. primary producers, primary or secondary consumers, decomposers).</w:t>
      </w:r>
    </w:p>
    <w:p w14:paraId="5D62C5DF" w14:textId="77777777" w:rsidR="0003727A" w:rsidRPr="008608AA" w:rsidRDefault="0003727A" w:rsidP="00E7683B">
      <w:pPr>
        <w:rPr>
          <w:b/>
        </w:rPr>
      </w:pPr>
    </w:p>
    <w:p w14:paraId="314DF0AD" w14:textId="77777777" w:rsidR="0003727A" w:rsidRPr="008608AA" w:rsidRDefault="0003727A" w:rsidP="00E7683B">
      <w:r w:rsidRPr="008608AA">
        <w:rPr>
          <w:b/>
        </w:rPr>
        <w:t>Turbidity</w:t>
      </w:r>
      <w:r w:rsidRPr="008608AA">
        <w:t xml:space="preserve">: Turbidity describes the cloudiness of water caused by suspended particles such as clay and silts, chemical precipitates such as manganese and iron, and organic particles such as plant debris and organisms. </w:t>
      </w:r>
    </w:p>
    <w:p w14:paraId="1616EF92" w14:textId="77777777" w:rsidR="0003727A" w:rsidRPr="008608AA" w:rsidRDefault="0003727A" w:rsidP="00E7683B"/>
    <w:p w14:paraId="08F17BE6" w14:textId="77777777" w:rsidR="0003727A" w:rsidRPr="008608AA" w:rsidRDefault="0003727A" w:rsidP="00E7683B">
      <w:pPr>
        <w:rPr>
          <w:b/>
        </w:rPr>
      </w:pPr>
      <w:r w:rsidRPr="008608AA">
        <w:rPr>
          <w:b/>
        </w:rPr>
        <w:t>U</w:t>
      </w:r>
    </w:p>
    <w:p w14:paraId="332AE173" w14:textId="77777777" w:rsidR="0003727A" w:rsidRPr="008608AA" w:rsidRDefault="0003727A" w:rsidP="00E7683B">
      <w:pPr>
        <w:rPr>
          <w:b/>
        </w:rPr>
      </w:pPr>
    </w:p>
    <w:p w14:paraId="0F17C9C7" w14:textId="77777777" w:rsidR="0003727A" w:rsidRPr="008608AA" w:rsidRDefault="0003727A" w:rsidP="00E7683B">
      <w:r w:rsidRPr="008608AA">
        <w:rPr>
          <w:b/>
        </w:rPr>
        <w:t>Uncertainty</w:t>
      </w:r>
      <w:r w:rsidRPr="008608AA">
        <w:t>: any situation in which the current state of knowledge is such that:</w:t>
      </w:r>
    </w:p>
    <w:p w14:paraId="1EA49855" w14:textId="77777777" w:rsidR="0003727A" w:rsidRPr="008608AA" w:rsidRDefault="0003727A" w:rsidP="00937445">
      <w:pPr>
        <w:pStyle w:val="ListParagraph"/>
        <w:numPr>
          <w:ilvl w:val="0"/>
          <w:numId w:val="35"/>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contextualSpacing/>
        <w:rPr>
          <w:sz w:val="24"/>
          <w:szCs w:val="24"/>
        </w:rPr>
      </w:pPr>
      <w:r w:rsidRPr="008608AA">
        <w:rPr>
          <w:sz w:val="24"/>
          <w:szCs w:val="24"/>
        </w:rPr>
        <w:t>the order or nature of things is unknown,</w:t>
      </w:r>
    </w:p>
    <w:p w14:paraId="2B74C1D5" w14:textId="77777777" w:rsidR="0003727A" w:rsidRPr="008608AA" w:rsidRDefault="0003727A" w:rsidP="00E7683B">
      <w:pPr>
        <w:pStyle w:val="ListParagraph"/>
        <w:rPr>
          <w:sz w:val="24"/>
          <w:szCs w:val="24"/>
        </w:rPr>
      </w:pPr>
    </w:p>
    <w:p w14:paraId="393CD0C3" w14:textId="77777777" w:rsidR="0003727A" w:rsidRPr="008608AA" w:rsidRDefault="0003727A" w:rsidP="00937445">
      <w:pPr>
        <w:pStyle w:val="ListParagraph"/>
        <w:numPr>
          <w:ilvl w:val="0"/>
          <w:numId w:val="35"/>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contextualSpacing/>
        <w:rPr>
          <w:sz w:val="24"/>
          <w:szCs w:val="24"/>
        </w:rPr>
      </w:pPr>
      <w:r w:rsidRPr="008608AA">
        <w:rPr>
          <w:sz w:val="24"/>
          <w:szCs w:val="24"/>
        </w:rPr>
        <w:t>the consequences, extent, or magnitude of circumstances, conditions, or events is unpredictable, and</w:t>
      </w:r>
    </w:p>
    <w:p w14:paraId="6D218E25" w14:textId="77777777" w:rsidR="0003727A" w:rsidRPr="008608AA" w:rsidRDefault="0003727A" w:rsidP="00E7683B"/>
    <w:p w14:paraId="3B572252" w14:textId="77777777" w:rsidR="0003727A" w:rsidRPr="008608AA" w:rsidRDefault="0003727A" w:rsidP="00937445">
      <w:pPr>
        <w:pStyle w:val="ListParagraph"/>
        <w:numPr>
          <w:ilvl w:val="0"/>
          <w:numId w:val="35"/>
        </w:num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contextualSpacing/>
        <w:rPr>
          <w:sz w:val="24"/>
          <w:szCs w:val="24"/>
        </w:rPr>
      </w:pPr>
      <w:r w:rsidRPr="008608AA">
        <w:rPr>
          <w:sz w:val="24"/>
          <w:szCs w:val="24"/>
        </w:rPr>
        <w:t xml:space="preserve">credible probabilities to possible outcomes cannot be assigned. </w:t>
      </w:r>
    </w:p>
    <w:p w14:paraId="18CC6774" w14:textId="77777777" w:rsidR="0003727A" w:rsidRPr="008608AA" w:rsidRDefault="0003727A" w:rsidP="00E7683B"/>
    <w:p w14:paraId="74A98170" w14:textId="77777777" w:rsidR="0003727A" w:rsidRPr="008608AA" w:rsidRDefault="0003727A" w:rsidP="00E7683B">
      <w:r w:rsidRPr="008608AA">
        <w:t>Uncertainty can result from lack of information or from disagreement about what is known or even knowable. Uncertainty can be represented by quantitative measures (e.g., a range of values calculated by various models) or by qualitative statements (e.g., reflecting the judgment of a team of experts)."</w:t>
      </w:r>
    </w:p>
    <w:p w14:paraId="25D79DA6" w14:textId="77777777" w:rsidR="0003727A" w:rsidRPr="008608AA" w:rsidRDefault="0003727A" w:rsidP="00E7683B"/>
    <w:p w14:paraId="5BC7BBCD" w14:textId="77777777" w:rsidR="0003727A" w:rsidRPr="008608AA" w:rsidRDefault="0003727A" w:rsidP="00E7683B">
      <w:r w:rsidRPr="008608AA">
        <w:rPr>
          <w:b/>
        </w:rPr>
        <w:t>Units of analysis</w:t>
      </w:r>
      <w:r w:rsidRPr="008608AA">
        <w:t xml:space="preserve">: the IPBES Units of Analysis result from subdividing the Earth’s surface into units solely for the purposes of analysis. The following have been identified as IPBES units of analisys globally: </w:t>
      </w:r>
    </w:p>
    <w:p w14:paraId="187C80CA" w14:textId="77777777" w:rsidR="0003727A" w:rsidRPr="008608AA" w:rsidRDefault="0003727A" w:rsidP="00E7683B"/>
    <w:p w14:paraId="7B658CA3" w14:textId="77777777" w:rsidR="0003727A" w:rsidRPr="008608AA" w:rsidRDefault="0003727A" w:rsidP="00E7683B">
      <w:r w:rsidRPr="008608AA">
        <w:t>Terrestrial:</w:t>
      </w:r>
    </w:p>
    <w:p w14:paraId="01D13F75" w14:textId="77777777" w:rsidR="0003727A" w:rsidRPr="008608AA" w:rsidRDefault="0003727A" w:rsidP="00E7683B"/>
    <w:p w14:paraId="537C10E4" w14:textId="77777777" w:rsidR="0003727A" w:rsidRPr="008608AA" w:rsidRDefault="0003727A" w:rsidP="00E7683B">
      <w:r w:rsidRPr="008608AA">
        <w:t>•        Tropical and subtropical dry and humid forests</w:t>
      </w:r>
    </w:p>
    <w:p w14:paraId="59A0ED2B" w14:textId="77777777" w:rsidR="0003727A" w:rsidRPr="008608AA" w:rsidRDefault="0003727A" w:rsidP="00E7683B">
      <w:r w:rsidRPr="008608AA">
        <w:t>•        Temperate and boreal forests and woodlands</w:t>
      </w:r>
    </w:p>
    <w:p w14:paraId="0DB78282" w14:textId="77777777" w:rsidR="0003727A" w:rsidRPr="008608AA" w:rsidRDefault="0003727A" w:rsidP="00E7683B">
      <w:r w:rsidRPr="008608AA">
        <w:t>•        Mediterranean forests, woodlands and scrub</w:t>
      </w:r>
    </w:p>
    <w:p w14:paraId="541680AE" w14:textId="77777777" w:rsidR="0003727A" w:rsidRPr="008608AA" w:rsidRDefault="0003727A" w:rsidP="00E7683B">
      <w:r w:rsidRPr="008608AA">
        <w:t>•        Tundra and High Mountain habitats</w:t>
      </w:r>
    </w:p>
    <w:p w14:paraId="7E5369AD" w14:textId="77777777" w:rsidR="0003727A" w:rsidRPr="008608AA" w:rsidRDefault="0003727A" w:rsidP="00E7683B">
      <w:r w:rsidRPr="008608AA">
        <w:t>•        Tropical and subtropical savannas and grasslands</w:t>
      </w:r>
    </w:p>
    <w:p w14:paraId="610A0336" w14:textId="77777777" w:rsidR="0003727A" w:rsidRPr="008608AA" w:rsidRDefault="0003727A" w:rsidP="00E7683B">
      <w:r w:rsidRPr="008608AA">
        <w:t>•        Temperate Grasslands</w:t>
      </w:r>
    </w:p>
    <w:p w14:paraId="582A2813" w14:textId="77777777" w:rsidR="0003727A" w:rsidRPr="008608AA" w:rsidRDefault="0003727A" w:rsidP="00E7683B">
      <w:r w:rsidRPr="008608AA">
        <w:t>•        Deserts and xeric shrublands</w:t>
      </w:r>
    </w:p>
    <w:p w14:paraId="64504B99" w14:textId="77777777" w:rsidR="0003727A" w:rsidRPr="008608AA" w:rsidRDefault="0003727A" w:rsidP="00E7683B">
      <w:r w:rsidRPr="008608AA">
        <w:t>•        Wetlands – peatlands, mires, bogs</w:t>
      </w:r>
    </w:p>
    <w:p w14:paraId="77711F98" w14:textId="77777777" w:rsidR="0003727A" w:rsidRPr="008608AA" w:rsidRDefault="0003727A" w:rsidP="00E7683B">
      <w:r w:rsidRPr="008608AA">
        <w:t>•        Urban/Semi-urban</w:t>
      </w:r>
    </w:p>
    <w:p w14:paraId="49D60374" w14:textId="77777777" w:rsidR="0003727A" w:rsidRPr="008608AA" w:rsidRDefault="0003727A" w:rsidP="00E7683B">
      <w:r w:rsidRPr="008608AA">
        <w:t>•        Cultivated areas (incl. cropping, intensive livestock farming etc.)</w:t>
      </w:r>
    </w:p>
    <w:p w14:paraId="324F4F16" w14:textId="77777777" w:rsidR="0003727A" w:rsidRPr="008608AA" w:rsidRDefault="0003727A" w:rsidP="00E7683B"/>
    <w:p w14:paraId="2799BF95" w14:textId="77777777" w:rsidR="0003727A" w:rsidRPr="008608AA" w:rsidRDefault="0003727A" w:rsidP="00E7683B">
      <w:r w:rsidRPr="008608AA">
        <w:t>Aquatic, including both marine and freshwater:</w:t>
      </w:r>
    </w:p>
    <w:p w14:paraId="505780A2" w14:textId="77777777" w:rsidR="0003727A" w:rsidRPr="008608AA" w:rsidRDefault="0003727A" w:rsidP="00E7683B"/>
    <w:p w14:paraId="47EEA7F5" w14:textId="77777777" w:rsidR="0003727A" w:rsidRPr="008608AA" w:rsidRDefault="0003727A" w:rsidP="00E7683B">
      <w:r w:rsidRPr="008608AA">
        <w:t>•        Cryosphere</w:t>
      </w:r>
    </w:p>
    <w:p w14:paraId="29AE4B6E" w14:textId="77777777" w:rsidR="0003727A" w:rsidRPr="008608AA" w:rsidRDefault="0003727A" w:rsidP="00E7683B">
      <w:r w:rsidRPr="008608AA">
        <w:t xml:space="preserve">•        Aquaculture areas </w:t>
      </w:r>
    </w:p>
    <w:p w14:paraId="1E90843E" w14:textId="77777777" w:rsidR="0003727A" w:rsidRPr="008608AA" w:rsidRDefault="0003727A" w:rsidP="00E7683B">
      <w:r w:rsidRPr="008608AA">
        <w:t xml:space="preserve">•        Inland surface waters and water bodies/freshwater </w:t>
      </w:r>
    </w:p>
    <w:p w14:paraId="292E0ABA" w14:textId="77777777" w:rsidR="0003727A" w:rsidRPr="008608AA" w:rsidRDefault="0003727A" w:rsidP="00E7683B">
      <w:r w:rsidRPr="008608AA">
        <w:t xml:space="preserve">•        Shelf ecosystems (neritic and intertidal/littoral zone) </w:t>
      </w:r>
    </w:p>
    <w:p w14:paraId="665E50FE" w14:textId="77777777" w:rsidR="0003727A" w:rsidRPr="008608AA" w:rsidRDefault="0003727A" w:rsidP="00E7683B">
      <w:r w:rsidRPr="008608AA">
        <w:t>•        Open ocean pelagic systems (euphotic zone)</w:t>
      </w:r>
    </w:p>
    <w:p w14:paraId="4B560ECB" w14:textId="77777777" w:rsidR="0003727A" w:rsidRPr="008608AA" w:rsidRDefault="0003727A" w:rsidP="00E7683B">
      <w:r w:rsidRPr="008608AA">
        <w:t>•        Deep-Sea</w:t>
      </w:r>
    </w:p>
    <w:p w14:paraId="3F825883" w14:textId="77777777" w:rsidR="0003727A" w:rsidRPr="008608AA" w:rsidRDefault="0003727A" w:rsidP="00E7683B">
      <w:r w:rsidRPr="008608AA">
        <w:t>•        Coastal areas intensively used for multiple purposes by humans</w:t>
      </w:r>
    </w:p>
    <w:p w14:paraId="068A8078" w14:textId="77777777" w:rsidR="0003727A" w:rsidRPr="008608AA" w:rsidRDefault="0003727A" w:rsidP="00E7683B"/>
    <w:p w14:paraId="0A6F3E22" w14:textId="77777777" w:rsidR="0003727A" w:rsidRPr="008608AA" w:rsidRDefault="0003727A" w:rsidP="00E7683B">
      <w:r w:rsidRPr="008608AA">
        <w:t>These IPBES terrestrial and aquatic units of analysis serve as a framework for comparison within and across assessments and represent a pragmatic solution. The IPBES terrestrial and aquatic units of analysis are not intended to be prescriptive for other purposes than those of IPBES assessments. They are likely to evolve as the work of IPBES develops.</w:t>
      </w:r>
    </w:p>
    <w:p w14:paraId="68AF5D37" w14:textId="77777777" w:rsidR="0003727A" w:rsidRPr="008608AA" w:rsidRDefault="0003727A" w:rsidP="00E7683B"/>
    <w:p w14:paraId="2A97F008" w14:textId="77777777" w:rsidR="0003727A" w:rsidRPr="008608AA" w:rsidRDefault="0003727A" w:rsidP="00E7683B">
      <w:r w:rsidRPr="008608AA">
        <w:rPr>
          <w:b/>
        </w:rPr>
        <w:t>Urbanization</w:t>
      </w:r>
      <w:r w:rsidRPr="008608AA">
        <w:t>: Increase in the proportion of a population living in urban areas; process by which a large number of people becomes permanently concentrated in relatively small areas, forming cities.</w:t>
      </w:r>
    </w:p>
    <w:p w14:paraId="21E02FB6" w14:textId="77777777" w:rsidR="0003727A" w:rsidRPr="008608AA" w:rsidRDefault="0003727A" w:rsidP="00E7683B">
      <w:pPr>
        <w:rPr>
          <w:b/>
        </w:rPr>
      </w:pPr>
    </w:p>
    <w:p w14:paraId="30931390" w14:textId="77777777" w:rsidR="0003727A" w:rsidRPr="008608AA" w:rsidRDefault="0003727A" w:rsidP="00E7683B">
      <w:pPr>
        <w:rPr>
          <w:b/>
        </w:rPr>
      </w:pPr>
      <w:r w:rsidRPr="008608AA">
        <w:rPr>
          <w:b/>
        </w:rPr>
        <w:t>V</w:t>
      </w:r>
    </w:p>
    <w:p w14:paraId="156248DE" w14:textId="77777777" w:rsidR="0003727A" w:rsidRPr="008608AA" w:rsidRDefault="0003727A" w:rsidP="00E7683B">
      <w:pPr>
        <w:rPr>
          <w:b/>
        </w:rPr>
      </w:pPr>
    </w:p>
    <w:p w14:paraId="7692200C" w14:textId="77777777" w:rsidR="0003727A" w:rsidRPr="008608AA" w:rsidRDefault="0003727A" w:rsidP="00E7683B">
      <w:r w:rsidRPr="008608AA">
        <w:rPr>
          <w:b/>
        </w:rPr>
        <w:t>Values</w:t>
      </w:r>
      <w:r w:rsidRPr="008608AA">
        <w:t>:</w:t>
      </w:r>
    </w:p>
    <w:p w14:paraId="5EE45D6D" w14:textId="77777777" w:rsidR="0003727A" w:rsidRPr="008608AA" w:rsidRDefault="0003727A" w:rsidP="00E7683B"/>
    <w:p w14:paraId="79E0FC2E" w14:textId="77777777" w:rsidR="0003727A" w:rsidRPr="008608AA" w:rsidRDefault="0003727A" w:rsidP="00E7683B">
      <w:r w:rsidRPr="008608AA">
        <w:t>•        Value systems: Set of values according to which people, societies and organizations regulate their behaviour. Value systems can be identified in both individuals and social groups (Pascual et al., 2017).</w:t>
      </w:r>
    </w:p>
    <w:p w14:paraId="47376BE5" w14:textId="77777777" w:rsidR="0003727A" w:rsidRPr="008608AA" w:rsidRDefault="0003727A" w:rsidP="00E7683B">
      <w:r w:rsidRPr="008608AA">
        <w:t>•        Value (as principle): A value can be a principle or core belief underpinning rules and moral judgments. Values as principles vary from one culture to another and also between individuals and groups (IPBES/4/INF/13).</w:t>
      </w:r>
    </w:p>
    <w:p w14:paraId="3432FB58" w14:textId="77777777" w:rsidR="0003727A" w:rsidRPr="008608AA" w:rsidRDefault="0003727A" w:rsidP="00E7683B">
      <w:r w:rsidRPr="008608AA">
        <w:t xml:space="preserve">•        Value (as preference): A value can be the preference someone has for something or for a particular state of the world. Preference involves the act of making comparisons, either explicitly or implicitly. Preference refers to the importance attributed to one entity relative to another one (IPBES/4/INF/13). </w:t>
      </w:r>
    </w:p>
    <w:p w14:paraId="22E13FEE" w14:textId="77777777" w:rsidR="0003727A" w:rsidRPr="008608AA" w:rsidRDefault="0003727A" w:rsidP="00E7683B">
      <w:r w:rsidRPr="008608AA">
        <w:t>•        Value (as importance): A value can be the importance of something for itself or for others, now or in the future, close by or at a distance. This importance can be considered in three broad classes. 1. The importance that something has subjectively, and may be based on experience. 2. The importance that something has in meeting objective needs. 3. The intrinsic value of something (IPBES/4/INF/13).</w:t>
      </w:r>
    </w:p>
    <w:p w14:paraId="365E4296" w14:textId="77777777" w:rsidR="0003727A" w:rsidRPr="008608AA" w:rsidRDefault="0003727A" w:rsidP="00E7683B">
      <w:r w:rsidRPr="008608AA">
        <w:t>•        Value (as measure): A value can be a measure. In the biophysical sciences, any quantified measure can be seen as a value (IPBES/4/INF/13).</w:t>
      </w:r>
    </w:p>
    <w:p w14:paraId="592D4603" w14:textId="77777777" w:rsidR="0003727A" w:rsidRPr="008608AA" w:rsidRDefault="0003727A" w:rsidP="00E7683B">
      <w:r w:rsidRPr="008608AA">
        <w:t>•        Non-anthropocentric value: A non-anthropocentric value is a value centered on something other than human beings. These values can be non-instrumental or instrumental to non-human ends (IPBES/4/INF/13).</w:t>
      </w:r>
    </w:p>
    <w:p w14:paraId="38E3D2E8" w14:textId="77777777" w:rsidR="0003727A" w:rsidRPr="008608AA" w:rsidRDefault="0003727A" w:rsidP="00E7683B">
      <w:r w:rsidRPr="008608AA">
        <w:t>•        Intrinsic value: This concept refers to inherent value, that is the value something has independent of any human experience or evaluation. Such a value is viewed as an inherent property of the entity and not ascribed or generated by external valuing agents (Pascual et al., 2017).</w:t>
      </w:r>
    </w:p>
    <w:p w14:paraId="171EE4C0" w14:textId="77777777" w:rsidR="0003727A" w:rsidRPr="008608AA" w:rsidRDefault="0003727A" w:rsidP="00E7683B">
      <w:r w:rsidRPr="008608AA">
        <w:t>•        Anthropocentric value: The value that something has for human beings and human purposes (Pascual et al., 2017).</w:t>
      </w:r>
    </w:p>
    <w:p w14:paraId="173A64C2" w14:textId="77777777" w:rsidR="0003727A" w:rsidRPr="008608AA" w:rsidRDefault="0003727A" w:rsidP="00E7683B">
      <w:r w:rsidRPr="008608AA">
        <w:t>•        Instrumental value: The value attributed to something as a means to achieving a particular end (Pascual et al., 2017).</w:t>
      </w:r>
    </w:p>
    <w:p w14:paraId="36381322" w14:textId="77777777" w:rsidR="0003727A" w:rsidRPr="008608AA" w:rsidRDefault="0003727A" w:rsidP="00E7683B">
      <w:r w:rsidRPr="008608AA">
        <w:t>•        Non-instrumental value: The value attributed to something as an end in itself, regardless of its utility for other ends.</w:t>
      </w:r>
    </w:p>
    <w:p w14:paraId="2042E315" w14:textId="77777777" w:rsidR="0003727A" w:rsidRPr="008608AA" w:rsidRDefault="0003727A" w:rsidP="00E7683B">
      <w:r w:rsidRPr="008608AA">
        <w:t>•        Relational value: The values that contribute to desirable relationships, such as those among people or societies, and between people and nature, as in “Living in harmony with nature” (IPBES/4/INF/13).</w:t>
      </w:r>
    </w:p>
    <w:p w14:paraId="410E6D67" w14:textId="77777777" w:rsidR="0003727A" w:rsidRPr="008608AA" w:rsidRDefault="0003727A" w:rsidP="00E7683B">
      <w:r w:rsidRPr="008608AA">
        <w:t>•        Integrated valuation: The process of collecting, synthesizing, and communicating knowledge about the ways in which people ascribe importance and meaning of NCP to humans, to facilitate deliberation and agreement for decision making and planning (Pascual et al., 2017)."</w:t>
      </w:r>
    </w:p>
    <w:p w14:paraId="6187DAEA" w14:textId="77777777" w:rsidR="0003727A" w:rsidRPr="008608AA" w:rsidRDefault="0003727A" w:rsidP="00E7683B"/>
    <w:p w14:paraId="33E61C53" w14:textId="77777777" w:rsidR="0003727A" w:rsidRPr="008608AA" w:rsidRDefault="0003727A" w:rsidP="00E7683B">
      <w:r w:rsidRPr="008608AA">
        <w:rPr>
          <w:b/>
        </w:rPr>
        <w:t>Vector</w:t>
      </w:r>
      <w:r w:rsidRPr="008608AA">
        <w:t>: refers to how a species is transported, that is, the physical means or agent.</w:t>
      </w:r>
    </w:p>
    <w:p w14:paraId="1DD96369" w14:textId="77777777" w:rsidR="0003727A" w:rsidRPr="008608AA" w:rsidRDefault="0003727A" w:rsidP="00E7683B">
      <w:pPr>
        <w:rPr>
          <w:b/>
        </w:rPr>
      </w:pPr>
    </w:p>
    <w:p w14:paraId="37C78305" w14:textId="77777777" w:rsidR="0003727A" w:rsidRPr="008608AA" w:rsidRDefault="0003727A" w:rsidP="00E7683B">
      <w:pPr>
        <w:rPr>
          <w:b/>
        </w:rPr>
      </w:pPr>
      <w:r w:rsidRPr="008608AA">
        <w:rPr>
          <w:b/>
        </w:rPr>
        <w:t>W</w:t>
      </w:r>
    </w:p>
    <w:p w14:paraId="7BFA226A" w14:textId="77777777" w:rsidR="0003727A" w:rsidRPr="008608AA" w:rsidRDefault="0003727A" w:rsidP="00E7683B">
      <w:pPr>
        <w:rPr>
          <w:b/>
        </w:rPr>
      </w:pPr>
    </w:p>
    <w:p w14:paraId="46074746" w14:textId="77777777" w:rsidR="0003727A" w:rsidRPr="008608AA" w:rsidRDefault="0003727A" w:rsidP="00E7683B">
      <w:r w:rsidRPr="008608AA">
        <w:rPr>
          <w:b/>
        </w:rPr>
        <w:t>Water security</w:t>
      </w:r>
      <w:r w:rsidRPr="008608AA">
        <w:t>: the capacity of a population to safeguard sustainable access to adequate quantities of and acceptable quality water for sustaining livelihoods, human well-being, and socio-economic development, for ensuring protection against water-borne pollution and water-related disasters, and for preserving ecosystems in a climate of peace and political stability.</w:t>
      </w:r>
    </w:p>
    <w:p w14:paraId="2046318E" w14:textId="77777777" w:rsidR="0003727A" w:rsidRPr="008608AA" w:rsidRDefault="0003727A" w:rsidP="00E7683B"/>
    <w:p w14:paraId="3FE7E85B" w14:textId="77777777" w:rsidR="0003727A" w:rsidRPr="008608AA" w:rsidRDefault="0003727A" w:rsidP="00E7683B">
      <w:r w:rsidRPr="008608AA">
        <w:rPr>
          <w:b/>
        </w:rPr>
        <w:t>Water stress</w:t>
      </w:r>
      <w:r w:rsidRPr="008608AA">
        <w:tab/>
        <w:t>: water stress occurs in an organism when the demand for water exceeds the available amount during a certain period or when poor quality restricts its use.</w:t>
      </w:r>
    </w:p>
    <w:p w14:paraId="3EC9C7BF" w14:textId="77777777" w:rsidR="0003727A" w:rsidRPr="008608AA" w:rsidRDefault="0003727A" w:rsidP="00E7683B"/>
    <w:p w14:paraId="5E00B850" w14:textId="77777777" w:rsidR="0003727A" w:rsidRPr="008608AA" w:rsidRDefault="0003727A" w:rsidP="00E7683B">
      <w:r w:rsidRPr="008608AA">
        <w:rPr>
          <w:b/>
        </w:rPr>
        <w:t>Well-being</w:t>
      </w:r>
      <w:r w:rsidRPr="008608AA">
        <w:t>: a perspective on a good life that comprises access to basic resources, freedom and choice, health and physical well-being, good social relationships, security, peace of mind and spiritual experience. Well-being is achieved when individuals and communities can act meaningfully to pursue their goals and can enjoy a good quality of life. The concept of human well-being is used in many western societies and its variants, together with living in harmony with nature, and living well in balance and harmony with Mother Earth. All these are different perspectives on a good quality of life.</w:t>
      </w:r>
    </w:p>
    <w:p w14:paraId="5CABAB4E" w14:textId="77777777" w:rsidR="0003727A" w:rsidRPr="008608AA" w:rsidRDefault="0003727A" w:rsidP="00E7683B"/>
    <w:p w14:paraId="40D7ABCC" w14:textId="77777777" w:rsidR="0003727A" w:rsidRPr="008608AA" w:rsidRDefault="0003727A" w:rsidP="00E7683B">
      <w:r w:rsidRPr="008608AA">
        <w:rPr>
          <w:b/>
        </w:rPr>
        <w:t>Western science</w:t>
      </w:r>
      <w:r w:rsidRPr="008608AA">
        <w:t>: (also called modern science, Western scientific knowledge or international science) is used in the context of the IPBES conceptual framework as a broad term to refer to knowledge typically generated in universities, research institutions and private firms following paradigms and methods typically associated with the ‘scientific method’ consolidated in Post-Renaissance Europe on the basis of wider and more ancient roots. It is typically transmitted through scientific journals and scholarly books. Some of its central tenets are observer independence, replicable findings, systematic scepticism, and transparent research methodologies with standard units and categories.</w:t>
      </w:r>
    </w:p>
    <w:p w14:paraId="2CE6907F" w14:textId="77777777" w:rsidR="0003727A" w:rsidRPr="008608AA" w:rsidRDefault="0003727A" w:rsidP="00E7683B"/>
    <w:p w14:paraId="24421462" w14:textId="77777777" w:rsidR="0003727A" w:rsidRPr="008608AA" w:rsidRDefault="0003727A" w:rsidP="00E7683B">
      <w:r w:rsidRPr="008608AA">
        <w:rPr>
          <w:b/>
        </w:rPr>
        <w:t>Wetlands</w:t>
      </w:r>
      <w:r w:rsidRPr="008608AA">
        <w:t>: areas that are subject to inundation or soil saturation at a frequency and duration, such that the plant communities present are dominated by species adapted to growing in saturated soil conditions, and/or that the soils of the area are chemically and physically modified due to saturation and indicate a lack of oxygen; such areas are frequently termed peatlands, marshes, swamps, sloughs, fens, bogs, wet meadows, etc.</w:t>
      </w:r>
    </w:p>
    <w:p w14:paraId="1614A894" w14:textId="77777777" w:rsidR="0003727A" w:rsidRPr="008608AA" w:rsidRDefault="0003727A" w:rsidP="00E7683B"/>
    <w:p w14:paraId="3193F95A" w14:textId="77777777" w:rsidR="0003727A" w:rsidRPr="008608AA" w:rsidRDefault="0003727A" w:rsidP="00E7683B">
      <w:r w:rsidRPr="008608AA">
        <w:rPr>
          <w:b/>
        </w:rPr>
        <w:t>Worldviews</w:t>
      </w:r>
      <w:r w:rsidRPr="008608AA">
        <w:t>:</w:t>
      </w:r>
      <w:r w:rsidRPr="008608AA">
        <w:tab/>
        <w:t>defined by the connections between networks of concepts and systems of knowledge, values, norms and beliefs. Individual person’s worldviews are moulded by the community the person belongs to. Practices are embedded in worldviews and are intrinsically part of them (e.g. through rituals, institutional regimes, social organization, but also in environmental policies, in development choices, etc.). See also 'Perceptions'; 'Concepts'; 'Reality' in this Glossary.</w:t>
      </w:r>
    </w:p>
    <w:p w14:paraId="14D1C565" w14:textId="77777777" w:rsidR="0003727A" w:rsidRPr="008608AA" w:rsidRDefault="0003727A" w:rsidP="00E7683B"/>
    <w:p w14:paraId="4E8E630C" w14:textId="77777777" w:rsidR="0003727A" w:rsidRPr="008608AA" w:rsidRDefault="0003727A" w:rsidP="00E7683B">
      <w:pPr>
        <w:rPr>
          <w:b/>
        </w:rPr>
      </w:pPr>
      <w:r w:rsidRPr="008608AA">
        <w:rPr>
          <w:b/>
        </w:rPr>
        <w:t>Z</w:t>
      </w:r>
    </w:p>
    <w:p w14:paraId="477A9568" w14:textId="77777777" w:rsidR="0003727A" w:rsidRPr="008608AA" w:rsidRDefault="0003727A" w:rsidP="00E7683B">
      <w:pPr>
        <w:rPr>
          <w:b/>
        </w:rPr>
      </w:pPr>
    </w:p>
    <w:p w14:paraId="44C28CA6" w14:textId="77777777" w:rsidR="0003727A" w:rsidRPr="008608AA" w:rsidRDefault="0003727A" w:rsidP="00E7683B">
      <w:r w:rsidRPr="008608AA">
        <w:rPr>
          <w:b/>
        </w:rPr>
        <w:t>Zoonotic diseases</w:t>
      </w:r>
      <w:r w:rsidRPr="008608AA">
        <w:t>: or zoonoses, are directly transmitted from animals to humans via various routes of transmission (e.g. air - influenza; bites and saliva - rabies)</w:t>
      </w:r>
    </w:p>
    <w:p w14:paraId="343EDFFC" w14:textId="4C8598E9" w:rsidR="00DE471C" w:rsidRPr="008608AA" w:rsidRDefault="00DE471C" w:rsidP="00E7683B">
      <w:r w:rsidRPr="008608AA">
        <w:br w:type="page"/>
      </w:r>
    </w:p>
    <w:p w14:paraId="246A9083" w14:textId="003EE9B0" w:rsidR="0003727A" w:rsidRPr="008608AA" w:rsidRDefault="0003727A" w:rsidP="00B460F2">
      <w:pPr>
        <w:pStyle w:val="Heading1"/>
        <w:numPr>
          <w:ilvl w:val="0"/>
          <w:numId w:val="0"/>
        </w:numPr>
        <w:ind w:left="432"/>
        <w:rPr>
          <w:sz w:val="28"/>
          <w:szCs w:val="28"/>
        </w:rPr>
      </w:pPr>
      <w:bookmarkStart w:id="2658" w:name="_Toc517393467"/>
      <w:bookmarkStart w:id="2659" w:name="_Toc517719207"/>
      <w:bookmarkStart w:id="2660" w:name="_Toc517726345"/>
      <w:bookmarkStart w:id="2661" w:name="_Toc517796814"/>
      <w:bookmarkStart w:id="2662" w:name="_Toc517796858"/>
      <w:r w:rsidRPr="008608AA">
        <w:rPr>
          <w:sz w:val="28"/>
          <w:szCs w:val="28"/>
        </w:rPr>
        <w:t>Annex</w:t>
      </w:r>
      <w:bookmarkEnd w:id="2658"/>
      <w:r w:rsidR="00DE471C" w:rsidRPr="008608AA">
        <w:rPr>
          <w:sz w:val="28"/>
          <w:szCs w:val="28"/>
        </w:rPr>
        <w:t xml:space="preserve"> II – </w:t>
      </w:r>
      <w:r w:rsidRPr="008608AA">
        <w:rPr>
          <w:sz w:val="28"/>
          <w:szCs w:val="28"/>
        </w:rPr>
        <w:t>Acronyms</w:t>
      </w:r>
      <w:bookmarkEnd w:id="2659"/>
      <w:bookmarkEnd w:id="2660"/>
      <w:bookmarkEnd w:id="2661"/>
      <w:bookmarkEnd w:id="2662"/>
    </w:p>
    <w:p w14:paraId="3A04FA6B" w14:textId="77777777" w:rsidR="00DE471C" w:rsidRPr="008608AA" w:rsidRDefault="00DE471C" w:rsidP="00DE471C">
      <w:pPr>
        <w:rPr>
          <w:lang w:val="en-GB" w:eastAsia="es-CO"/>
        </w:rPr>
      </w:pPr>
    </w:p>
    <w:p w14:paraId="3C78CC8E" w14:textId="6783E5BF" w:rsidR="0003727A" w:rsidRPr="008608AA" w:rsidRDefault="0003727A" w:rsidP="00515A33">
      <w:pPr>
        <w:rPr>
          <w:b/>
        </w:rPr>
      </w:pPr>
      <w:r w:rsidRPr="008608AA">
        <w:rPr>
          <w:b/>
        </w:rPr>
        <w:t>AZE</w:t>
      </w:r>
      <w:r w:rsidRPr="008608AA">
        <w:tab/>
      </w:r>
      <w:r w:rsidRPr="008608AA">
        <w:tab/>
      </w:r>
      <w:r w:rsidRPr="008608AA">
        <w:tab/>
        <w:t xml:space="preserve">Alliance for Zero Extinction </w:t>
      </w:r>
    </w:p>
    <w:p w14:paraId="014C3410" w14:textId="43852D62" w:rsidR="0003727A" w:rsidRPr="008608AA" w:rsidRDefault="0003727A" w:rsidP="00515A33">
      <w:r w:rsidRPr="008608AA">
        <w:rPr>
          <w:b/>
        </w:rPr>
        <w:t xml:space="preserve">CaCO3 </w:t>
      </w:r>
      <w:r w:rsidRPr="008608AA">
        <w:tab/>
      </w:r>
      <w:r w:rsidRPr="008608AA">
        <w:tab/>
      </w:r>
      <w:r w:rsidR="00400706">
        <w:tab/>
      </w:r>
      <w:r w:rsidRPr="008608AA">
        <w:t>Calcium carbonate</w:t>
      </w:r>
    </w:p>
    <w:p w14:paraId="6376006F" w14:textId="72B15E97" w:rsidR="0003727A" w:rsidRPr="008608AA" w:rsidRDefault="0003727A" w:rsidP="00515A33">
      <w:r w:rsidRPr="008608AA">
        <w:rPr>
          <w:b/>
        </w:rPr>
        <w:t>CBD</w:t>
      </w:r>
      <w:r w:rsidRPr="008608AA">
        <w:tab/>
      </w:r>
      <w:r w:rsidRPr="008608AA">
        <w:tab/>
      </w:r>
      <w:r w:rsidRPr="008608AA">
        <w:tab/>
        <w:t>Convencion on Biological Diversity</w:t>
      </w:r>
    </w:p>
    <w:p w14:paraId="40FB8C20" w14:textId="1724AEA6" w:rsidR="0003727A" w:rsidRPr="008608AA" w:rsidRDefault="0003727A" w:rsidP="00515A33">
      <w:r w:rsidRPr="008608AA">
        <w:rPr>
          <w:b/>
        </w:rPr>
        <w:t>CITES</w:t>
      </w:r>
      <w:r w:rsidRPr="008608AA">
        <w:tab/>
      </w:r>
      <w:r w:rsidRPr="008608AA">
        <w:tab/>
      </w:r>
      <w:r w:rsidR="00400706">
        <w:tab/>
      </w:r>
      <w:r w:rsidRPr="008608AA">
        <w:t>Convention on the International Trade in Endangered Species</w:t>
      </w:r>
    </w:p>
    <w:p w14:paraId="0D3B78DA" w14:textId="6590F077" w:rsidR="0003727A" w:rsidRPr="008608AA" w:rsidRDefault="0003727A" w:rsidP="00515A33">
      <w:r w:rsidRPr="008608AA">
        <w:rPr>
          <w:b/>
        </w:rPr>
        <w:t>CO2</w:t>
      </w:r>
      <w:r w:rsidRPr="008608AA">
        <w:tab/>
      </w:r>
      <w:r w:rsidRPr="008608AA">
        <w:tab/>
      </w:r>
      <w:r w:rsidRPr="008608AA">
        <w:tab/>
        <w:t>Carbon dioxide</w:t>
      </w:r>
    </w:p>
    <w:p w14:paraId="3D97F2C6" w14:textId="1297C613" w:rsidR="0003727A" w:rsidRPr="008608AA" w:rsidRDefault="0003727A" w:rsidP="00515A33">
      <w:r w:rsidRPr="008608AA">
        <w:rPr>
          <w:b/>
        </w:rPr>
        <w:t>DDT</w:t>
      </w:r>
      <w:r w:rsidRPr="008608AA">
        <w:tab/>
      </w:r>
      <w:r w:rsidRPr="008608AA">
        <w:tab/>
      </w:r>
      <w:r w:rsidRPr="008608AA">
        <w:tab/>
        <w:t xml:space="preserve">Dichlorodiphenyltrichloroethane </w:t>
      </w:r>
    </w:p>
    <w:p w14:paraId="09497CE3" w14:textId="0372C5ED" w:rsidR="0003727A" w:rsidRPr="008608AA" w:rsidRDefault="0003727A" w:rsidP="00515A33">
      <w:r w:rsidRPr="008608AA">
        <w:rPr>
          <w:b/>
        </w:rPr>
        <w:t>EbA</w:t>
      </w:r>
      <w:r w:rsidRPr="008608AA">
        <w:tab/>
      </w:r>
      <w:r w:rsidRPr="008608AA">
        <w:tab/>
      </w:r>
      <w:r w:rsidRPr="008608AA">
        <w:tab/>
        <w:t>Ecosystem-based adaptation to climate change</w:t>
      </w:r>
    </w:p>
    <w:p w14:paraId="6348B39B" w14:textId="32B723DD" w:rsidR="0003727A" w:rsidRPr="008608AA" w:rsidRDefault="0003727A" w:rsidP="00515A33">
      <w:r w:rsidRPr="008608AA">
        <w:rPr>
          <w:b/>
        </w:rPr>
        <w:t>EcoDRR</w:t>
      </w:r>
      <w:r w:rsidRPr="008608AA">
        <w:tab/>
      </w:r>
      <w:r w:rsidRPr="008608AA">
        <w:tab/>
      </w:r>
      <w:r w:rsidR="00400706">
        <w:tab/>
      </w:r>
      <w:r w:rsidRPr="008608AA">
        <w:t xml:space="preserve">Ecosystem-based disaster risk reduction </w:t>
      </w:r>
    </w:p>
    <w:p w14:paraId="771F226A" w14:textId="4E8D6F10" w:rsidR="0003727A" w:rsidRPr="008608AA" w:rsidRDefault="0003727A" w:rsidP="00515A33">
      <w:r w:rsidRPr="008608AA">
        <w:rPr>
          <w:b/>
        </w:rPr>
        <w:t>EEZ</w:t>
      </w:r>
      <w:r w:rsidRPr="008608AA">
        <w:tab/>
      </w:r>
      <w:r w:rsidRPr="008608AA">
        <w:tab/>
      </w:r>
      <w:r w:rsidRPr="008608AA">
        <w:tab/>
        <w:t>Exclusive Economic Zone</w:t>
      </w:r>
    </w:p>
    <w:p w14:paraId="007825F0" w14:textId="27ECDE78" w:rsidR="0003727A" w:rsidRPr="008608AA" w:rsidRDefault="0003727A" w:rsidP="00515A33">
      <w:r w:rsidRPr="008608AA">
        <w:rPr>
          <w:b/>
        </w:rPr>
        <w:t>FAO</w:t>
      </w:r>
      <w:r w:rsidRPr="008608AA">
        <w:tab/>
      </w:r>
      <w:r w:rsidRPr="008608AA">
        <w:tab/>
      </w:r>
      <w:r w:rsidRPr="008608AA">
        <w:tab/>
        <w:t>Food and Agriculture Organization of the United Nations</w:t>
      </w:r>
    </w:p>
    <w:p w14:paraId="1C540B2E" w14:textId="7B27C061" w:rsidR="0003727A" w:rsidRPr="008608AA" w:rsidRDefault="0003727A" w:rsidP="00515A33">
      <w:r w:rsidRPr="008608AA">
        <w:rPr>
          <w:b/>
        </w:rPr>
        <w:t>GDP</w:t>
      </w:r>
      <w:r w:rsidRPr="008608AA">
        <w:tab/>
      </w:r>
      <w:r w:rsidRPr="008608AA">
        <w:tab/>
      </w:r>
      <w:r w:rsidRPr="008608AA">
        <w:tab/>
        <w:t>Gross Domestic Product</w:t>
      </w:r>
    </w:p>
    <w:p w14:paraId="5F3DB6E2" w14:textId="201E9B17" w:rsidR="0003727A" w:rsidRPr="008608AA" w:rsidRDefault="0003727A" w:rsidP="00515A33">
      <w:r w:rsidRPr="008608AA">
        <w:rPr>
          <w:b/>
        </w:rPr>
        <w:t>GM</w:t>
      </w:r>
      <w:r w:rsidRPr="008608AA">
        <w:tab/>
      </w:r>
      <w:r w:rsidRPr="008608AA">
        <w:tab/>
      </w:r>
      <w:r w:rsidRPr="008608AA">
        <w:tab/>
        <w:t>Genetically modified</w:t>
      </w:r>
    </w:p>
    <w:p w14:paraId="5D9DD2E8" w14:textId="54083F04" w:rsidR="0003727A" w:rsidRPr="008608AA" w:rsidRDefault="0003727A" w:rsidP="00515A33">
      <w:r w:rsidRPr="008608AA">
        <w:rPr>
          <w:b/>
        </w:rPr>
        <w:t>GMO</w:t>
      </w:r>
      <w:r w:rsidRPr="008608AA">
        <w:tab/>
      </w:r>
      <w:r w:rsidRPr="008608AA">
        <w:tab/>
      </w:r>
      <w:r w:rsidRPr="008608AA">
        <w:tab/>
        <w:t>Genetically modified organism</w:t>
      </w:r>
    </w:p>
    <w:p w14:paraId="0AB0E580" w14:textId="560CE494" w:rsidR="0003727A" w:rsidRPr="008608AA" w:rsidRDefault="0003727A" w:rsidP="00515A33">
      <w:r w:rsidRPr="008608AA">
        <w:rPr>
          <w:b/>
        </w:rPr>
        <w:t>HDI</w:t>
      </w:r>
      <w:r w:rsidRPr="008608AA">
        <w:rPr>
          <w:b/>
        </w:rPr>
        <w:tab/>
      </w:r>
      <w:r w:rsidRPr="008608AA">
        <w:tab/>
      </w:r>
      <w:r w:rsidRPr="008608AA">
        <w:tab/>
        <w:t>Human Development Index</w:t>
      </w:r>
    </w:p>
    <w:p w14:paraId="3F612376" w14:textId="2645BC02" w:rsidR="0003727A" w:rsidRPr="008608AA" w:rsidRDefault="0003727A" w:rsidP="00515A33">
      <w:pPr>
        <w:ind w:left="2127" w:hanging="2127"/>
        <w:rPr>
          <w:b/>
        </w:rPr>
      </w:pPr>
      <w:r w:rsidRPr="008608AA">
        <w:rPr>
          <w:b/>
        </w:rPr>
        <w:t>HIV/AIDS</w:t>
      </w:r>
      <w:r w:rsidRPr="008608AA">
        <w:tab/>
      </w:r>
      <w:r w:rsidR="00515A33" w:rsidRPr="008608AA">
        <w:tab/>
      </w:r>
      <w:r w:rsidRPr="008608AA">
        <w:t>Human Immunodeficiency Virus Infection / Acquired Immune Deficiency Syndrome</w:t>
      </w:r>
    </w:p>
    <w:p w14:paraId="0C9A360B" w14:textId="02C4A5E5" w:rsidR="0003727A" w:rsidRPr="008608AA" w:rsidRDefault="0003727A" w:rsidP="00515A33">
      <w:r w:rsidRPr="008608AA">
        <w:rPr>
          <w:b/>
        </w:rPr>
        <w:t>IBA</w:t>
      </w:r>
      <w:r w:rsidRPr="008608AA">
        <w:tab/>
      </w:r>
      <w:r w:rsidRPr="008608AA">
        <w:tab/>
      </w:r>
      <w:r w:rsidRPr="008608AA">
        <w:tab/>
        <w:t xml:space="preserve">Important Bird and Biodiversity Areas </w:t>
      </w:r>
    </w:p>
    <w:p w14:paraId="1318051D" w14:textId="159A2A5E" w:rsidR="0003727A" w:rsidRPr="008608AA" w:rsidRDefault="0003727A" w:rsidP="00515A33">
      <w:r w:rsidRPr="008608AA">
        <w:rPr>
          <w:b/>
        </w:rPr>
        <w:t>ICCA</w:t>
      </w:r>
      <w:r w:rsidRPr="008608AA">
        <w:tab/>
      </w:r>
      <w:r w:rsidRPr="008608AA">
        <w:tab/>
      </w:r>
      <w:r w:rsidRPr="008608AA">
        <w:tab/>
        <w:t xml:space="preserve">Indigenous and community conserved areas </w:t>
      </w:r>
    </w:p>
    <w:p w14:paraId="1B88D718" w14:textId="42F55A72" w:rsidR="0003727A" w:rsidRPr="008608AA" w:rsidRDefault="0003727A" w:rsidP="00515A33">
      <w:r w:rsidRPr="008608AA">
        <w:rPr>
          <w:b/>
        </w:rPr>
        <w:t>ILK</w:t>
      </w:r>
      <w:r w:rsidRPr="008608AA">
        <w:tab/>
      </w:r>
      <w:r w:rsidRPr="008608AA">
        <w:tab/>
      </w:r>
      <w:r w:rsidRPr="008608AA">
        <w:tab/>
        <w:t>Indigenous and local knowledge</w:t>
      </w:r>
    </w:p>
    <w:p w14:paraId="6BB077FA" w14:textId="30669F49" w:rsidR="0003727A" w:rsidRPr="008608AA" w:rsidRDefault="0003727A" w:rsidP="00515A33">
      <w:pPr>
        <w:ind w:left="2127" w:hanging="2127"/>
      </w:pPr>
      <w:r w:rsidRPr="008608AA">
        <w:rPr>
          <w:b/>
        </w:rPr>
        <w:t>IPBES</w:t>
      </w:r>
      <w:r w:rsidRPr="008608AA">
        <w:tab/>
      </w:r>
      <w:r w:rsidR="00515A33" w:rsidRPr="008608AA">
        <w:tab/>
      </w:r>
      <w:r w:rsidRPr="008608AA">
        <w:t>Intergovernmental Science-Policy Platform on Biodiversity and Ecosystem Services</w:t>
      </w:r>
    </w:p>
    <w:p w14:paraId="6BF79DDD" w14:textId="05AE0B08" w:rsidR="0003727A" w:rsidRPr="008608AA" w:rsidRDefault="0003727A" w:rsidP="00515A33">
      <w:r w:rsidRPr="008608AA">
        <w:rPr>
          <w:b/>
        </w:rPr>
        <w:t>IPCC</w:t>
      </w:r>
      <w:r w:rsidRPr="008608AA">
        <w:tab/>
      </w:r>
      <w:r w:rsidRPr="008608AA">
        <w:tab/>
      </w:r>
      <w:r w:rsidRPr="008608AA">
        <w:tab/>
        <w:t>Intergovernmental Panel on Climate Change</w:t>
      </w:r>
    </w:p>
    <w:p w14:paraId="157024CB" w14:textId="504CBC4D" w:rsidR="0003727A" w:rsidRPr="008608AA" w:rsidRDefault="0003727A" w:rsidP="00515A33">
      <w:r w:rsidRPr="008608AA">
        <w:rPr>
          <w:b/>
        </w:rPr>
        <w:t>IUCN</w:t>
      </w:r>
      <w:r w:rsidRPr="008608AA">
        <w:tab/>
      </w:r>
      <w:r w:rsidRPr="008608AA">
        <w:tab/>
      </w:r>
      <w:r w:rsidRPr="008608AA">
        <w:tab/>
        <w:t xml:space="preserve">International Union for Conservation of Nature </w:t>
      </w:r>
    </w:p>
    <w:p w14:paraId="0A403CD1" w14:textId="001B1132" w:rsidR="0003727A" w:rsidRPr="008608AA" w:rsidRDefault="0003727A" w:rsidP="00515A33">
      <w:r w:rsidRPr="008608AA">
        <w:rPr>
          <w:b/>
        </w:rPr>
        <w:t>KBA</w:t>
      </w:r>
      <w:r w:rsidRPr="008608AA">
        <w:tab/>
      </w:r>
      <w:r w:rsidRPr="008608AA">
        <w:tab/>
      </w:r>
      <w:r w:rsidRPr="008608AA">
        <w:tab/>
        <w:t>Key Biodiversity Areas</w:t>
      </w:r>
    </w:p>
    <w:p w14:paraId="5D69D2D3" w14:textId="5E533FCD" w:rsidR="0003727A" w:rsidRPr="008608AA" w:rsidRDefault="0003727A" w:rsidP="00515A33">
      <w:r w:rsidRPr="008608AA">
        <w:rPr>
          <w:b/>
        </w:rPr>
        <w:t>MEA</w:t>
      </w:r>
      <w:r w:rsidRPr="008608AA">
        <w:tab/>
      </w:r>
      <w:r w:rsidRPr="008608AA">
        <w:tab/>
      </w:r>
      <w:r w:rsidRPr="008608AA">
        <w:tab/>
        <w:t>Millenium Ecosystem Assessment</w:t>
      </w:r>
    </w:p>
    <w:p w14:paraId="3FC9CBA2" w14:textId="2C0CAAFC" w:rsidR="0003727A" w:rsidRPr="008608AA" w:rsidRDefault="0003727A" w:rsidP="00515A33">
      <w:r w:rsidRPr="008608AA">
        <w:rPr>
          <w:b/>
        </w:rPr>
        <w:t>MEP</w:t>
      </w:r>
      <w:r w:rsidRPr="008608AA">
        <w:tab/>
      </w:r>
      <w:r w:rsidRPr="008608AA">
        <w:tab/>
      </w:r>
      <w:r w:rsidRPr="008608AA">
        <w:tab/>
        <w:t>Multidisciplinary Expert Panel</w:t>
      </w:r>
    </w:p>
    <w:p w14:paraId="3B95DDAB" w14:textId="26ACF216" w:rsidR="0003727A" w:rsidRPr="008608AA" w:rsidRDefault="0003727A" w:rsidP="00515A33">
      <w:r w:rsidRPr="008608AA">
        <w:rPr>
          <w:b/>
        </w:rPr>
        <w:t>NCP</w:t>
      </w:r>
      <w:r w:rsidRPr="008608AA">
        <w:tab/>
      </w:r>
      <w:r w:rsidRPr="008608AA">
        <w:tab/>
      </w:r>
      <w:r w:rsidRPr="008608AA">
        <w:tab/>
        <w:t>Nature Contributions to People</w:t>
      </w:r>
    </w:p>
    <w:p w14:paraId="7F65BE76" w14:textId="74C2D70B" w:rsidR="0003727A" w:rsidRPr="008608AA" w:rsidRDefault="0003727A" w:rsidP="00515A33">
      <w:r w:rsidRPr="008608AA">
        <w:rPr>
          <w:b/>
        </w:rPr>
        <w:t>NGO</w:t>
      </w:r>
      <w:r w:rsidRPr="008608AA">
        <w:tab/>
      </w:r>
      <w:r w:rsidRPr="008608AA">
        <w:tab/>
      </w:r>
      <w:r w:rsidRPr="008608AA">
        <w:tab/>
        <w:t>Non-governmental Organization</w:t>
      </w:r>
    </w:p>
    <w:p w14:paraId="7D48B0CC" w14:textId="7CDBD508" w:rsidR="0003727A" w:rsidRPr="008608AA" w:rsidRDefault="0003727A" w:rsidP="00515A33">
      <w:r w:rsidRPr="008608AA">
        <w:rPr>
          <w:b/>
        </w:rPr>
        <w:t>OECD</w:t>
      </w:r>
      <w:r w:rsidRPr="008608AA">
        <w:tab/>
      </w:r>
      <w:r w:rsidRPr="008608AA">
        <w:tab/>
      </w:r>
      <w:r w:rsidRPr="008608AA">
        <w:tab/>
        <w:t>Organization for Economic Cooperation and Development</w:t>
      </w:r>
    </w:p>
    <w:p w14:paraId="68B36CBB" w14:textId="5102068B" w:rsidR="0003727A" w:rsidRPr="008608AA" w:rsidRDefault="0003727A" w:rsidP="00515A33">
      <w:r w:rsidRPr="008608AA">
        <w:rPr>
          <w:b/>
        </w:rPr>
        <w:t>PES</w:t>
      </w:r>
      <w:r w:rsidRPr="008608AA">
        <w:tab/>
      </w:r>
      <w:r w:rsidRPr="008608AA">
        <w:tab/>
      </w:r>
      <w:r w:rsidRPr="008608AA">
        <w:tab/>
        <w:t>Payment for Ecosystem Services</w:t>
      </w:r>
    </w:p>
    <w:p w14:paraId="465F2E0E" w14:textId="172F9862" w:rsidR="0003727A" w:rsidRPr="008608AA" w:rsidRDefault="0003727A" w:rsidP="00515A33">
      <w:r w:rsidRPr="008608AA">
        <w:rPr>
          <w:b/>
        </w:rPr>
        <w:t>PPP</w:t>
      </w:r>
      <w:r w:rsidRPr="008608AA">
        <w:tab/>
      </w:r>
      <w:r w:rsidRPr="008608AA">
        <w:tab/>
      </w:r>
      <w:r w:rsidRPr="008608AA">
        <w:tab/>
        <w:t>Purchasing Power Parity</w:t>
      </w:r>
    </w:p>
    <w:p w14:paraId="4C76AD0C" w14:textId="76DA2D0B" w:rsidR="0003727A" w:rsidRPr="008608AA" w:rsidRDefault="0003727A" w:rsidP="00515A33">
      <w:r w:rsidRPr="008608AA">
        <w:rPr>
          <w:b/>
        </w:rPr>
        <w:t>RCP</w:t>
      </w:r>
      <w:r w:rsidRPr="008608AA">
        <w:tab/>
      </w:r>
      <w:r w:rsidRPr="008608AA">
        <w:tab/>
      </w:r>
      <w:r w:rsidRPr="008608AA">
        <w:tab/>
        <w:t xml:space="preserve">Representative concentration pathways </w:t>
      </w:r>
    </w:p>
    <w:p w14:paraId="7FD976A7" w14:textId="4ABEED65" w:rsidR="0003727A" w:rsidRPr="008608AA" w:rsidRDefault="0003727A" w:rsidP="00515A33">
      <w:r w:rsidRPr="008608AA">
        <w:rPr>
          <w:b/>
        </w:rPr>
        <w:t>REDD</w:t>
      </w:r>
      <w:r w:rsidRPr="008608AA">
        <w:t xml:space="preserve"> </w:t>
      </w:r>
      <w:r w:rsidRPr="008608AA">
        <w:tab/>
      </w:r>
      <w:r w:rsidRPr="008608AA">
        <w:tab/>
      </w:r>
      <w:r w:rsidR="00400706">
        <w:tab/>
      </w:r>
      <w:r w:rsidRPr="008608AA">
        <w:t>Reducing Emissions from Deforestation and Forest Degradation</w:t>
      </w:r>
    </w:p>
    <w:p w14:paraId="54A9E7F1" w14:textId="1E6EC00B" w:rsidR="0003727A" w:rsidRPr="008608AA" w:rsidRDefault="0003727A" w:rsidP="00515A33">
      <w:pPr>
        <w:rPr>
          <w:b/>
        </w:rPr>
      </w:pPr>
      <w:r w:rsidRPr="008608AA">
        <w:rPr>
          <w:b/>
        </w:rPr>
        <w:t>REDD+</w:t>
      </w:r>
      <w:r w:rsidRPr="008608AA">
        <w:tab/>
      </w:r>
      <w:r w:rsidRPr="008608AA">
        <w:tab/>
      </w:r>
      <w:r w:rsidR="00400706">
        <w:tab/>
      </w:r>
      <w:r w:rsidRPr="008608AA">
        <w:t>Reducing Emissions from Deforestation and Forest Degradation Plus</w:t>
      </w:r>
    </w:p>
    <w:p w14:paraId="1533EB62" w14:textId="4E130427" w:rsidR="0003727A" w:rsidRPr="008608AA" w:rsidRDefault="0003727A" w:rsidP="00515A33">
      <w:pPr>
        <w:rPr>
          <w:b/>
        </w:rPr>
      </w:pPr>
      <w:r w:rsidRPr="008608AA">
        <w:rPr>
          <w:b/>
        </w:rPr>
        <w:t>SDG</w:t>
      </w:r>
      <w:r w:rsidRPr="008608AA">
        <w:rPr>
          <w:b/>
        </w:rPr>
        <w:tab/>
      </w:r>
      <w:r w:rsidRPr="008608AA">
        <w:tab/>
      </w:r>
      <w:r w:rsidRPr="008608AA">
        <w:tab/>
        <w:t>Sustainable Development Goals</w:t>
      </w:r>
    </w:p>
    <w:p w14:paraId="03D9D87C" w14:textId="59FEE856" w:rsidR="0003727A" w:rsidRPr="008608AA" w:rsidRDefault="0003727A" w:rsidP="00515A33">
      <w:pPr>
        <w:rPr>
          <w:b/>
        </w:rPr>
      </w:pPr>
      <w:r w:rsidRPr="008608AA">
        <w:rPr>
          <w:b/>
        </w:rPr>
        <w:t>SPM</w:t>
      </w:r>
      <w:r w:rsidRPr="008608AA">
        <w:tab/>
      </w:r>
      <w:r w:rsidRPr="008608AA">
        <w:tab/>
      </w:r>
      <w:r w:rsidRPr="008608AA">
        <w:tab/>
        <w:t>Summary for Policy Makers</w:t>
      </w:r>
    </w:p>
    <w:p w14:paraId="5752C445" w14:textId="306D79E2" w:rsidR="0003727A" w:rsidRPr="008608AA" w:rsidRDefault="0003727A" w:rsidP="00515A33">
      <w:pPr>
        <w:rPr>
          <w:b/>
        </w:rPr>
      </w:pPr>
      <w:r w:rsidRPr="008608AA">
        <w:rPr>
          <w:b/>
        </w:rPr>
        <w:t>UN</w:t>
      </w:r>
      <w:r w:rsidRPr="008608AA">
        <w:tab/>
      </w:r>
      <w:r w:rsidRPr="008608AA">
        <w:tab/>
      </w:r>
      <w:r w:rsidRPr="008608AA">
        <w:tab/>
        <w:t>United Nations</w:t>
      </w:r>
    </w:p>
    <w:p w14:paraId="1D405FE3" w14:textId="609CDB0D" w:rsidR="0003727A" w:rsidRPr="008608AA" w:rsidRDefault="0003727A" w:rsidP="00515A33">
      <w:pPr>
        <w:rPr>
          <w:b/>
        </w:rPr>
      </w:pPr>
      <w:r w:rsidRPr="008608AA">
        <w:rPr>
          <w:b/>
        </w:rPr>
        <w:t>UNCCD</w:t>
      </w:r>
      <w:r w:rsidRPr="008608AA">
        <w:tab/>
      </w:r>
      <w:r w:rsidRPr="008608AA">
        <w:tab/>
      </w:r>
      <w:r w:rsidR="00400706">
        <w:tab/>
      </w:r>
      <w:r w:rsidRPr="008608AA">
        <w:t xml:space="preserve">United Nations Conventions to Combat Desertification </w:t>
      </w:r>
    </w:p>
    <w:p w14:paraId="49AB529E" w14:textId="10545326" w:rsidR="0003727A" w:rsidRPr="008608AA" w:rsidRDefault="0003727A" w:rsidP="00515A33">
      <w:pPr>
        <w:rPr>
          <w:b/>
        </w:rPr>
      </w:pPr>
      <w:r w:rsidRPr="008608AA">
        <w:rPr>
          <w:b/>
        </w:rPr>
        <w:t>UNCLOS</w:t>
      </w:r>
      <w:r w:rsidRPr="008608AA">
        <w:tab/>
      </w:r>
      <w:r w:rsidRPr="008608AA">
        <w:tab/>
        <w:t>United Nations Convention on the Law of the Sea</w:t>
      </w:r>
    </w:p>
    <w:p w14:paraId="4C8D585B" w14:textId="207389F4" w:rsidR="0003727A" w:rsidRPr="008608AA" w:rsidRDefault="0003727A" w:rsidP="00515A33">
      <w:pPr>
        <w:rPr>
          <w:b/>
        </w:rPr>
      </w:pPr>
      <w:r w:rsidRPr="008608AA">
        <w:rPr>
          <w:b/>
        </w:rPr>
        <w:t>UNDP</w:t>
      </w:r>
      <w:r w:rsidRPr="008608AA">
        <w:tab/>
      </w:r>
      <w:r w:rsidRPr="008608AA">
        <w:tab/>
      </w:r>
      <w:r w:rsidRPr="008608AA">
        <w:tab/>
        <w:t>United Nations Development Programme</w:t>
      </w:r>
    </w:p>
    <w:p w14:paraId="6583768B" w14:textId="21195B9C" w:rsidR="0003727A" w:rsidRPr="008608AA" w:rsidRDefault="0003727A" w:rsidP="00515A33">
      <w:pPr>
        <w:rPr>
          <w:b/>
        </w:rPr>
      </w:pPr>
      <w:r w:rsidRPr="008608AA">
        <w:rPr>
          <w:b/>
        </w:rPr>
        <w:t>UNEP</w:t>
      </w:r>
      <w:r w:rsidRPr="008608AA">
        <w:rPr>
          <w:b/>
        </w:rPr>
        <w:tab/>
      </w:r>
      <w:r w:rsidRPr="008608AA">
        <w:tab/>
      </w:r>
      <w:r w:rsidRPr="008608AA">
        <w:tab/>
        <w:t>United Nations Environment Programme</w:t>
      </w:r>
    </w:p>
    <w:p w14:paraId="7F67AA61" w14:textId="53457F0C" w:rsidR="0003727A" w:rsidRPr="008608AA" w:rsidRDefault="0003727A" w:rsidP="00515A33">
      <w:pPr>
        <w:rPr>
          <w:b/>
        </w:rPr>
      </w:pPr>
      <w:r w:rsidRPr="008608AA">
        <w:rPr>
          <w:b/>
        </w:rPr>
        <w:t>UNESCO</w:t>
      </w:r>
      <w:r w:rsidRPr="008608AA">
        <w:tab/>
      </w:r>
      <w:r w:rsidRPr="008608AA">
        <w:tab/>
        <w:t>United Nations Educational, Scientific and Cultural Organization</w:t>
      </w:r>
    </w:p>
    <w:p w14:paraId="47003D0E" w14:textId="7C7508E9" w:rsidR="0003727A" w:rsidRPr="008608AA" w:rsidRDefault="0003727A" w:rsidP="00515A33">
      <w:pPr>
        <w:rPr>
          <w:b/>
        </w:rPr>
      </w:pPr>
      <w:r w:rsidRPr="008608AA">
        <w:rPr>
          <w:b/>
        </w:rPr>
        <w:t>UNFCCC</w:t>
      </w:r>
      <w:r w:rsidRPr="008608AA">
        <w:tab/>
      </w:r>
      <w:r w:rsidRPr="008608AA">
        <w:tab/>
        <w:t>United Nations Climate Convention on Climate Change</w:t>
      </w:r>
    </w:p>
    <w:p w14:paraId="6F3318A0" w14:textId="6AEB11CE" w:rsidR="0003727A" w:rsidRPr="0003727A" w:rsidRDefault="0003727A" w:rsidP="00515A33">
      <w:pPr>
        <w:rPr>
          <w:b/>
        </w:rPr>
      </w:pPr>
      <w:r w:rsidRPr="008608AA">
        <w:rPr>
          <w:b/>
        </w:rPr>
        <w:t>WHO</w:t>
      </w:r>
      <w:r w:rsidRPr="008608AA">
        <w:tab/>
      </w:r>
      <w:r w:rsidRPr="008608AA">
        <w:tab/>
      </w:r>
      <w:r w:rsidRPr="008608AA">
        <w:tab/>
        <w:t>World Health Organization</w:t>
      </w:r>
    </w:p>
    <w:p w14:paraId="2736ABF6" w14:textId="77777777" w:rsidR="0003727A" w:rsidRPr="0003727A" w:rsidRDefault="0003727A" w:rsidP="00515A33"/>
    <w:p w14:paraId="776FC2F2" w14:textId="77777777" w:rsidR="0003727A" w:rsidRPr="0003727A" w:rsidRDefault="0003727A" w:rsidP="0003727A"/>
    <w:bookmarkEnd w:id="0"/>
    <w:p w14:paraId="07E7E7C6" w14:textId="77777777" w:rsidR="0003727A" w:rsidRPr="0003727A" w:rsidRDefault="0003727A" w:rsidP="0003727A"/>
    <w:sectPr w:rsidR="0003727A" w:rsidRPr="0003727A" w:rsidSect="00515A33">
      <w:pgSz w:w="11907" w:h="16839" w:code="9"/>
      <w:pgMar w:top="907" w:right="992" w:bottom="1418" w:left="1418"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55C6D4" w14:textId="77777777" w:rsidR="00E84199" w:rsidRDefault="00E84199">
      <w:r>
        <w:separator/>
      </w:r>
    </w:p>
  </w:endnote>
  <w:endnote w:type="continuationSeparator" w:id="0">
    <w:p w14:paraId="29866B76" w14:textId="77777777" w:rsidR="00E84199" w:rsidRDefault="00E84199">
      <w:r>
        <w:continuationSeparator/>
      </w:r>
    </w:p>
  </w:endnote>
  <w:endnote w:id="1">
    <w:p w14:paraId="1AA27DD0" w14:textId="77777777" w:rsidR="00E84199" w:rsidRDefault="00E84199" w:rsidP="007D620C">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A00002EF" w:usb1="4000004B" w:usb2="00000000" w:usb3="00000000" w:csb0="0000009F" w:csb1="00000000"/>
  </w:font>
  <w:font w:name="Times">
    <w:altName w:val="Times New Roman"/>
    <w:panose1 w:val="02020603050405020304"/>
    <w:charset w:val="00"/>
    <w:family w:val="roman"/>
    <w:pitch w:val="variable"/>
    <w:sig w:usb0="E0002AFF" w:usb1="C0007841" w:usb2="00000009" w:usb3="00000000" w:csb0="000001FF" w:csb1="00000000"/>
  </w:font>
  <w:font w:name="Droid Sans Fallback">
    <w:altName w:val="Times New Roman"/>
    <w:panose1 w:val="00000000000000000000"/>
    <w:charset w:val="00"/>
    <w:family w:val="roman"/>
    <w:notTrueType/>
    <w:pitch w:val="default"/>
  </w:font>
  <w:font w:name="FreeSans">
    <w:altName w:val="Times New Roman"/>
    <w:panose1 w:val="00000000000000000000"/>
    <w:charset w:val="00"/>
    <w:family w:val="roman"/>
    <w:notTrueType/>
    <w:pitch w:val="default"/>
  </w:font>
  <w:font w:name="Minion Pro">
    <w:altName w:val="Times New Roman"/>
    <w:charset w:val="00"/>
    <w:family w:val="auto"/>
    <w:pitch w:val="variable"/>
    <w:sig w:usb0="60000287" w:usb1="00000001" w:usb2="00000000" w:usb3="00000000" w:csb0="0000019F" w:csb1="00000000"/>
  </w:font>
  <w:font w:name="Consolas">
    <w:panose1 w:val="020B0609020204030204"/>
    <w:charset w:val="00"/>
    <w:family w:val="modern"/>
    <w:pitch w:val="fixed"/>
    <w:sig w:usb0="E00006FF" w:usb1="0000FCFF" w:usb2="00000001" w:usb3="00000000" w:csb0="0000019F" w:csb1="00000000"/>
  </w:font>
  <w:font w:name="Lucida Grande">
    <w:altName w:val="Times New Roman"/>
    <w:charset w:val="00"/>
    <w:family w:val="auto"/>
    <w:pitch w:val="variable"/>
    <w:sig w:usb0="00000000"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Liberation Sans">
    <w:charset w:val="00"/>
    <w:family w:val="swiss"/>
    <w:pitch w:val="variable"/>
    <w:sig w:usb0="A00002AF" w:usb1="500078FB" w:usb2="00000000" w:usb3="00000000" w:csb0="0000009F" w:csb1="00000000"/>
  </w:font>
  <w:font w:name="Helvetica Light">
    <w:charset w:val="00"/>
    <w:family w:val="auto"/>
    <w:pitch w:val="variable"/>
    <w:sig w:usb0="800000AF" w:usb1="4000204A" w:usb2="00000000" w:usb3="00000000" w:csb0="00000001" w:csb1="00000000"/>
  </w:font>
  <w:font w:name="HelveticaNeue Condensed">
    <w:altName w:val="Cambria"/>
    <w:panose1 w:val="00000000000000000000"/>
    <w:charset w:val="00"/>
    <w:family w:val="swiss"/>
    <w:notTrueType/>
    <w:pitch w:val="default"/>
    <w:sig w:usb0="00000003" w:usb1="00000000" w:usb2="00000000" w:usb3="00000000" w:csb0="00000001" w:csb1="00000000"/>
  </w:font>
  <w:font w:name="HelveticaNeue BlackCond">
    <w:altName w:val="Cambria"/>
    <w:panose1 w:val="00000000000000000000"/>
    <w:charset w:val="00"/>
    <w:family w:val="swiss"/>
    <w:notTrueType/>
    <w:pitch w:val="default"/>
    <w:sig w:usb0="00000003" w:usb1="00000000" w:usb2="00000000" w:usb3="00000000" w:csb0="00000001" w:csb1="00000000"/>
  </w:font>
  <w:font w:name="Helvetica 55 Roman">
    <w:altName w:val="Helvetica 55 Roman"/>
    <w:panose1 w:val="00000000000000000000"/>
    <w:charset w:val="00"/>
    <w:family w:val="roman"/>
    <w:notTrueType/>
    <w:pitch w:val="default"/>
    <w:sig w:usb0="00000003" w:usb1="00000000" w:usb2="00000000" w:usb3="00000000" w:csb0="00000001" w:csb1="00000000"/>
  </w:font>
  <w:font w:name="Whitney">
    <w:altName w:val="Whitney"/>
    <w:panose1 w:val="00000000000000000000"/>
    <w:charset w:val="00"/>
    <w:family w:val="swiss"/>
    <w:notTrueType/>
    <w:pitch w:val="default"/>
    <w:sig w:usb0="00000003" w:usb1="00000000" w:usb2="00000000" w:usb3="00000000" w:csb0="00000001" w:csb1="00000000"/>
  </w:font>
  <w:font w:name="CG Times (WN)">
    <w:altName w:val="Times New Roman"/>
    <w:panose1 w:val="00000000000000000000"/>
    <w:charset w:val="00"/>
    <w:family w:val="roman"/>
    <w:notTrueType/>
    <w:pitch w:val="default"/>
    <w:sig w:usb0="00000003" w:usb1="00000000" w:usb2="00000000" w:usb3="00000000" w:csb0="00000001" w:csb1="00000000"/>
  </w:font>
  <w:font w:name="Abadi MT Condensed">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Noteworthy Bold">
    <w:charset w:val="00"/>
    <w:family w:val="auto"/>
    <w:pitch w:val="variable"/>
    <w:sig w:usb0="8000006F" w:usb1="08000048" w:usb2="14600000" w:usb3="00000000" w:csb0="00000111" w:csb1="00000000"/>
  </w:font>
  <w:font w:name="Liberation Serif">
    <w:altName w:val="Times New Roman"/>
    <w:charset w:val="00"/>
    <w:family w:val="roman"/>
    <w:pitch w:val="variable"/>
    <w:sig w:usb0="A00002AF" w:usb1="500078FB" w:usb2="00000000" w:usb3="00000000" w:csb0="0000009F" w:csb1="00000000"/>
  </w:font>
  <w:font w:name="CklhnpAdvPTimes">
    <w:altName w:val="Cambria"/>
    <w:panose1 w:val="00000000000000000000"/>
    <w:charset w:val="00"/>
    <w:family w:val="swiss"/>
    <w:notTrueType/>
    <w:pitch w:val="default"/>
    <w:sig w:usb0="00000003" w:usb1="00000000" w:usb2="00000000" w:usb3="00000000" w:csb0="00000001" w:csb1="00000000"/>
  </w:font>
  <w:font w:name="GoudyOlSt BT">
    <w:altName w:val="GoudyOlSt BT"/>
    <w:panose1 w:val="00000000000000000000"/>
    <w:charset w:val="00"/>
    <w:family w:val="roman"/>
    <w:notTrueType/>
    <w:pitch w:val="default"/>
    <w:sig w:usb0="00000003" w:usb1="00000000" w:usb2="00000000" w:usb3="00000000" w:csb0="00000001" w:csb1="00000000"/>
  </w:font>
  <w:font w:name="AdvOT88ac8687">
    <w:altName w:val="Cambria"/>
    <w:panose1 w:val="00000000000000000000"/>
    <w:charset w:val="00"/>
    <w:family w:val="roman"/>
    <w:notTrueType/>
    <w:pitch w:val="default"/>
    <w:sig w:usb0="00000003" w:usb1="00000000" w:usb2="00000000" w:usb3="00000000" w:csb0="00000001" w:csb1="00000000"/>
  </w:font>
  <w:font w:name="AdvPTimes">
    <w:altName w:val="Cambria"/>
    <w:panose1 w:val="00000000000000000000"/>
    <w:charset w:val="4D"/>
    <w:family w:val="roman"/>
    <w:notTrueType/>
    <w:pitch w:val="default"/>
    <w:sig w:usb0="00000003" w:usb1="00000000" w:usb2="00000000" w:usb3="00000000" w:csb0="00000001" w:csb1="00000000"/>
  </w:font>
  <w:font w:name="Calibri,Italic">
    <w:panose1 w:val="00000000000000000000"/>
    <w:charset w:val="00"/>
    <w:family w:val="auto"/>
    <w:notTrueType/>
    <w:pitch w:val="default"/>
    <w:sig w:usb0="00000003" w:usb1="00000000" w:usb2="00000000" w:usb3="00000000" w:csb0="00000001" w:csb1="00000000"/>
  </w:font>
  <w:font w:name="FrutigerLTPro-Condensed">
    <w:panose1 w:val="00000000000000000000"/>
    <w:charset w:val="00"/>
    <w:family w:val="auto"/>
    <w:notTrueType/>
    <w:pitch w:val="default"/>
    <w:sig w:usb0="00000003" w:usb1="00000000" w:usb2="00000000" w:usb3="00000000" w:csb0="00000001" w:csb1="00000000"/>
  </w:font>
  <w:font w:name="AdvP4DF60E">
    <w:panose1 w:val="00000000000000000000"/>
    <w:charset w:val="00"/>
    <w:family w:val="auto"/>
    <w:notTrueType/>
    <w:pitch w:val="default"/>
    <w:sig w:usb0="00000003" w:usb1="00000000" w:usb2="00000000" w:usb3="00000000" w:csb0="00000001" w:csb1="00000000"/>
  </w:font>
  <w:font w:name="AdvP4DF60F">
    <w:panose1 w:val="00000000000000000000"/>
    <w:charset w:val="00"/>
    <w:family w:val="auto"/>
    <w:notTrueType/>
    <w:pitch w:val="default"/>
    <w:sig w:usb0="00000003" w:usb1="00000000" w:usb2="00000000" w:usb3="00000000" w:csb0="00000001" w:csb1="00000000"/>
  </w:font>
  <w:font w:name="Meridien-Roman">
    <w:panose1 w:val="00000000000000000000"/>
    <w:charset w:val="00"/>
    <w:family w:val="roman"/>
    <w:notTrueType/>
    <w:pitch w:val="default"/>
    <w:sig w:usb0="00000003" w:usb1="00000000" w:usb2="00000000" w:usb3="00000000" w:csb0="00000001" w:csb1="00000000"/>
  </w:font>
  <w:font w:name="TimesNewRomanMTStd-Italic">
    <w:panose1 w:val="00000000000000000000"/>
    <w:charset w:val="00"/>
    <w:family w:val="swiss"/>
    <w:notTrueType/>
    <w:pitch w:val="default"/>
    <w:sig w:usb0="00000003" w:usb1="00000000" w:usb2="00000000" w:usb3="00000000" w:csb0="00000001" w:csb1="00000000"/>
  </w:font>
  <w:font w:name="TimesLTStd-Bold">
    <w:panose1 w:val="00000000000000000000"/>
    <w:charset w:val="00"/>
    <w:family w:val="auto"/>
    <w:notTrueType/>
    <w:pitch w:val="default"/>
    <w:sig w:usb0="00000003" w:usb1="00000000" w:usb2="00000000" w:usb3="00000000" w:csb0="00000001" w:csb1="00000000"/>
  </w:font>
  <w:font w:name="StoneSerif-Semibold">
    <w:panose1 w:val="00000000000000000000"/>
    <w:charset w:val="00"/>
    <w:family w:val="roman"/>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TimesTen-Roman">
    <w:panose1 w:val="00000000000000000000"/>
    <w:charset w:val="00"/>
    <w:family w:val="roman"/>
    <w:notTrueType/>
    <w:pitch w:val="default"/>
    <w:sig w:usb0="00000003" w:usb1="00000000" w:usb2="00000000" w:usb3="00000000" w:csb0="00000001" w:csb1="00000000"/>
  </w:font>
  <w:font w:name="AdvTT4e89fb21">
    <w:panose1 w:val="00000000000000000000"/>
    <w:charset w:val="00"/>
    <w:family w:val="roman"/>
    <w:notTrueType/>
    <w:pitch w:val="default"/>
    <w:sig w:usb0="00000003" w:usb1="00000000" w:usb2="00000000" w:usb3="00000000" w:csb0="00000001" w:csb1="00000000"/>
  </w:font>
  <w:font w:name="AdvGulliv-R">
    <w:altName w:val="Cambria"/>
    <w:panose1 w:val="00000000000000000000"/>
    <w:charset w:val="00"/>
    <w:family w:val="auto"/>
    <w:notTrueType/>
    <w:pitch w:val="default"/>
    <w:sig w:usb0="00000003" w:usb1="00000000" w:usb2="00000000" w:usb3="00000000" w:csb0="00000001" w:csb1="00000000"/>
  </w:font>
  <w:font w:name="AdvOTb65e897d.B">
    <w:panose1 w:val="00000000000000000000"/>
    <w:charset w:val="00"/>
    <w:family w:val="swiss"/>
    <w:notTrueType/>
    <w:pitch w:val="default"/>
    <w:sig w:usb0="00000003" w:usb1="00000000" w:usb2="00000000" w:usb3="00000000" w:csb0="00000001" w:csb1="00000000"/>
  </w:font>
  <w:font w:name="Helvetica Neue">
    <w:charset w:val="00"/>
    <w:family w:val="auto"/>
    <w:pitch w:val="variable"/>
    <w:sig w:usb0="E50002FF" w:usb1="500079DB" w:usb2="00000010" w:usb3="00000000" w:csb0="00000001" w:csb1="00000000"/>
  </w:font>
  <w:font w:name="MinionPro-Regular">
    <w:altName w:val="Calibri"/>
    <w:panose1 w:val="00000000000000000000"/>
    <w:charset w:val="00"/>
    <w:family w:val="auto"/>
    <w:notTrueType/>
    <w:pitch w:val="default"/>
    <w:sig w:usb0="00000003" w:usb1="00000000" w:usb2="00000000" w:usb3="00000000" w:csb0="00000001" w:csb1="00000000"/>
  </w:font>
  <w:font w:name="AdvP6F01">
    <w:altName w:val="MS Gothic"/>
    <w:panose1 w:val="00000000000000000000"/>
    <w:charset w:val="80"/>
    <w:family w:val="auto"/>
    <w:notTrueType/>
    <w:pitch w:val="default"/>
    <w:sig w:usb0="00000001" w:usb1="08070000" w:usb2="00000010" w:usb3="00000000" w:csb0="00020000" w:csb1="00000000"/>
  </w:font>
  <w:font w:name="AdvP6975">
    <w:altName w:val="Arial Unicode MS"/>
    <w:panose1 w:val="00000000000000000000"/>
    <w:charset w:val="88"/>
    <w:family w:val="auto"/>
    <w:notTrueType/>
    <w:pitch w:val="default"/>
    <w:sig w:usb0="00000001" w:usb1="08080000" w:usb2="00000010" w:usb3="00000000" w:csb0="00100000" w:csb1="00000000"/>
  </w:font>
  <w:font w:name="MTSY">
    <w:altName w:val="Arial Unicode MS"/>
    <w:panose1 w:val="00000000000000000000"/>
    <w:charset w:val="81"/>
    <w:family w:val="auto"/>
    <w:notTrueType/>
    <w:pitch w:val="default"/>
    <w:sig w:usb0="00000000" w:usb1="09060000" w:usb2="00000010" w:usb3="00000000" w:csb0="00080000" w:csb1="00000000"/>
  </w:font>
  <w:font w:name="ArialUnicodeMS">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262D62" w14:textId="16B9C9F7" w:rsidR="00E84199" w:rsidRDefault="00E84199">
    <w:pPr>
      <w:tabs>
        <w:tab w:val="center" w:pos="4320"/>
        <w:tab w:val="right" w:pos="8640"/>
      </w:tabs>
      <w:spacing w:before="60"/>
      <w:rPr>
        <w:rFonts w:eastAsia="Calibri" w:cs="Calibri"/>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9C604D" w14:textId="04642F05" w:rsidR="00E84199" w:rsidRDefault="00E84199">
    <w:pPr>
      <w:tabs>
        <w:tab w:val="center" w:pos="4320"/>
        <w:tab w:val="right" w:pos="8640"/>
      </w:tabs>
      <w:spacing w:before="60"/>
      <w:jc w:val="right"/>
      <w:rPr>
        <w:rFonts w:eastAsia="Calibri" w:cs="Calibri"/>
        <w:sz w:val="18"/>
        <w:szCs w:val="18"/>
      </w:rPr>
    </w:pPr>
    <w:r>
      <w:rPr>
        <w:b/>
        <w:sz w:val="18"/>
        <w:szCs w:val="18"/>
      </w:rPr>
      <w:fldChar w:fldCharType="begin"/>
    </w:r>
    <w:r>
      <w:rPr>
        <w:b/>
        <w:sz w:val="18"/>
        <w:szCs w:val="18"/>
      </w:rPr>
      <w:instrText>PAGE</w:instrText>
    </w:r>
    <w:r>
      <w:rPr>
        <w:b/>
        <w:sz w:val="18"/>
        <w:szCs w:val="18"/>
      </w:rPr>
      <w:fldChar w:fldCharType="separate"/>
    </w:r>
    <w:r>
      <w:rPr>
        <w:b/>
        <w:noProof/>
        <w:sz w:val="18"/>
        <w:szCs w:val="18"/>
      </w:rPr>
      <w:t>384</w:t>
    </w:r>
    <w:r>
      <w:rPr>
        <w:b/>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C50E60" w14:textId="6F6B9ADD" w:rsidR="00E84199" w:rsidRPr="005B0EB1" w:rsidRDefault="005B0EB1" w:rsidP="005B0EB1">
    <w:pPr>
      <w:pStyle w:val="Footer"/>
      <w:tabs>
        <w:tab w:val="clear" w:pos="4320"/>
        <w:tab w:val="clear" w:pos="8640"/>
        <w:tab w:val="left" w:pos="624"/>
        <w:tab w:val="left" w:pos="1247"/>
        <w:tab w:val="left" w:pos="1871"/>
        <w:tab w:val="left" w:pos="2495"/>
      </w:tabs>
      <w:spacing w:before="60" w:beforeAutospacing="0" w:after="120" w:afterAutospacing="0" w:line="240" w:lineRule="auto"/>
      <w:rPr>
        <w:rFonts w:ascii="Times New Roman" w:hAnsi="Times New Roman"/>
        <w:sz w:val="20"/>
        <w:szCs w:val="20"/>
        <w:lang w:val="en-GB"/>
      </w:rPr>
    </w:pPr>
    <w:r>
      <w:rPr>
        <w:rFonts w:ascii="Times New Roman" w:hAnsi="Times New Roman"/>
        <w:sz w:val="20"/>
        <w:szCs w:val="20"/>
        <w:lang w:val="en-GB"/>
      </w:rPr>
      <w:t>K1802537</w:t>
    </w:r>
    <w:r>
      <w:rPr>
        <w:rFonts w:ascii="Times New Roman" w:hAnsi="Times New Roman"/>
        <w:sz w:val="20"/>
        <w:szCs w:val="20"/>
        <w:lang w:val="en-GB"/>
      </w:rPr>
      <w:tab/>
      <w:t>24</w:t>
    </w:r>
    <w:r w:rsidRPr="00314445">
      <w:rPr>
        <w:rFonts w:ascii="Times New Roman" w:hAnsi="Times New Roman"/>
        <w:sz w:val="20"/>
        <w:szCs w:val="20"/>
        <w:lang w:val="en-GB"/>
      </w:rPr>
      <w:t>0918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DDEAEC" w14:textId="77777777" w:rsidR="00E84199" w:rsidRDefault="00E84199">
      <w:r>
        <w:separator/>
      </w:r>
    </w:p>
  </w:footnote>
  <w:footnote w:type="continuationSeparator" w:id="0">
    <w:p w14:paraId="4990FEF6" w14:textId="77777777" w:rsidR="00E84199" w:rsidRDefault="00E84199">
      <w:r>
        <w:continuationSeparator/>
      </w:r>
    </w:p>
  </w:footnote>
  <w:footnote w:id="1">
    <w:p w14:paraId="257AD082" w14:textId="77777777" w:rsidR="00E84199" w:rsidRPr="00935022" w:rsidRDefault="00E84199" w:rsidP="00E84199">
      <w:pPr>
        <w:pStyle w:val="FootnoteText"/>
        <w:tabs>
          <w:tab w:val="left" w:pos="624"/>
        </w:tabs>
        <w:spacing w:before="20" w:after="40"/>
        <w:ind w:left="1247"/>
        <w:rPr>
          <w:szCs w:val="18"/>
          <w:lang w:val="en-US"/>
        </w:rPr>
      </w:pPr>
      <w:r w:rsidRPr="00314445">
        <w:rPr>
          <w:rStyle w:val="FootnoteReference"/>
          <w:rFonts w:ascii="Times New Roman" w:hAnsi="Times New Roman"/>
          <w:sz w:val="18"/>
          <w:vertAlign w:val="baseline"/>
          <w:lang w:val="en-US"/>
        </w:rPr>
        <w:t>*</w:t>
      </w:r>
      <w:r w:rsidRPr="00314445">
        <w:rPr>
          <w:szCs w:val="18"/>
          <w:lang w:val="en-US"/>
        </w:rPr>
        <w:t xml:space="preserve"> </w:t>
      </w:r>
      <w:r w:rsidRPr="0096218C">
        <w:rPr>
          <w:rFonts w:ascii="Times New Roman" w:hAnsi="Times New Roman"/>
          <w:sz w:val="18"/>
          <w:szCs w:val="18"/>
          <w:lang w:val="en-US"/>
        </w:rPr>
        <w:t xml:space="preserve">Reissued for technical </w:t>
      </w:r>
      <w:r w:rsidRPr="00A86073">
        <w:rPr>
          <w:rFonts w:ascii="Times New Roman" w:hAnsi="Times New Roman"/>
          <w:sz w:val="18"/>
          <w:szCs w:val="18"/>
          <w:lang w:val="en-US"/>
        </w:rPr>
        <w:t>reasons on 24 September 2018.</w:t>
      </w:r>
    </w:p>
  </w:footnote>
  <w:footnote w:id="2">
    <w:p w14:paraId="0B8C1A63" w14:textId="69432174" w:rsidR="00E84199" w:rsidRPr="00252D26" w:rsidRDefault="00E84199">
      <w:pPr>
        <w:pStyle w:val="FootnoteText"/>
        <w:rPr>
          <w:lang w:val="en-US"/>
        </w:rPr>
      </w:pPr>
      <w:r w:rsidRPr="002069DD">
        <w:rPr>
          <w:rStyle w:val="FootnoteReference"/>
        </w:rPr>
        <w:footnoteRef/>
      </w:r>
      <w:r w:rsidRPr="003B6615">
        <w:rPr>
          <w:lang w:val="en-US"/>
        </w:rPr>
        <w:t xml:space="preserve"> </w:t>
      </w:r>
      <w:r w:rsidRPr="00800CE7">
        <w:rPr>
          <w:sz w:val="18"/>
          <w:szCs w:val="18"/>
          <w:lang w:val="en-US"/>
        </w:rPr>
        <w:t>In this assessment "biocapacity" is defined by the Global Footprint Network as "the ecosystem’s capacity to produce biological materials used by people and to absorb waste material generated by humans, under current management schemes and extraction technologies". The "biocapacity" indicator used in the present report is based on the Global Footprint Network, unless otherwise specified.</w:t>
      </w:r>
    </w:p>
  </w:footnote>
  <w:footnote w:id="3">
    <w:p w14:paraId="4DE60E50" w14:textId="2F0F0DB0" w:rsidR="00E84199" w:rsidRPr="00876A94" w:rsidRDefault="00E84199">
      <w:pPr>
        <w:pStyle w:val="FootnoteText"/>
        <w:rPr>
          <w:lang w:val="en-US"/>
        </w:rPr>
      </w:pPr>
      <w:r w:rsidRPr="002069DD">
        <w:rPr>
          <w:rStyle w:val="FootnoteReference"/>
        </w:rPr>
        <w:footnoteRef/>
      </w:r>
      <w:r w:rsidRPr="00E3367F">
        <w:rPr>
          <w:lang w:val="en-US"/>
        </w:rPr>
        <w:t xml:space="preserve"> In this assessment </w:t>
      </w:r>
      <w:r>
        <w:rPr>
          <w:szCs w:val="18"/>
          <w:lang w:val="en-US"/>
        </w:rPr>
        <w:t>“</w:t>
      </w:r>
      <w:r w:rsidRPr="004774EE">
        <w:rPr>
          <w:szCs w:val="18"/>
          <w:lang w:val="en-US"/>
        </w:rPr>
        <w:t>water security</w:t>
      </w:r>
      <w:r>
        <w:rPr>
          <w:szCs w:val="18"/>
          <w:lang w:val="en-US"/>
        </w:rPr>
        <w:t>”</w:t>
      </w:r>
      <w:r w:rsidRPr="004774EE">
        <w:rPr>
          <w:szCs w:val="18"/>
          <w:lang w:val="en-US"/>
        </w:rPr>
        <w:t xml:space="preserve"> is used to mean the ability to access sufficient quantities of clean water to maintain adequate standards of food and goods production, sanitation and health care and for preserving ecosystems</w:t>
      </w:r>
    </w:p>
  </w:footnote>
  <w:footnote w:id="4">
    <w:p w14:paraId="6D659301" w14:textId="77777777" w:rsidR="00E84199" w:rsidRDefault="00E84199" w:rsidP="00BD2BC4">
      <w:pPr>
        <w:tabs>
          <w:tab w:val="left" w:pos="4082"/>
        </w:tabs>
        <w:spacing w:before="20" w:after="40"/>
        <w:rPr>
          <w:sz w:val="18"/>
          <w:szCs w:val="18"/>
        </w:rPr>
      </w:pPr>
      <w:r w:rsidRPr="00AB6BEC">
        <w:rPr>
          <w:rStyle w:val="FootnoteReference"/>
        </w:rPr>
        <w:footnoteRef/>
      </w:r>
      <w:r>
        <w:rPr>
          <w:sz w:val="18"/>
          <w:szCs w:val="18"/>
        </w:rPr>
        <w:t xml:space="preserve"> www.ipbes.net</w:t>
      </w:r>
    </w:p>
  </w:footnote>
  <w:footnote w:id="5">
    <w:p w14:paraId="6CC590DC" w14:textId="2C53EDFB" w:rsidR="00E84199" w:rsidRPr="003E2299" w:rsidRDefault="00E84199" w:rsidP="003E2299">
      <w:pPr>
        <w:rPr>
          <w:color w:val="FF0000"/>
          <w:sz w:val="18"/>
          <w:szCs w:val="18"/>
        </w:rPr>
      </w:pPr>
      <w:r w:rsidRPr="003E2299">
        <w:rPr>
          <w:rStyle w:val="FootnoteReference"/>
          <w:sz w:val="18"/>
          <w:szCs w:val="18"/>
        </w:rPr>
        <w:footnoteRef/>
      </w:r>
      <w:r w:rsidRPr="003E2299">
        <w:rPr>
          <w:sz w:val="18"/>
          <w:szCs w:val="18"/>
        </w:rPr>
        <w:t xml:space="preserve"> GDP at purchaser's prices is the sum of gross value added by all resident producers in the economy plus any product taxes and minus any subsidies not included in the value of the products. It is calculated without making deductions for depreciation of fabricated assets or for depletion and degradation of natural resources. Data are in current USA dollars. Dollar figures for GDP are converted from domestic currencies using single year official exchange rates. For a few countries where the official exchange rate does not reflect the rate effectively applied to actual foreign exchange transactions, an alternative conversion factor is used</w:t>
      </w:r>
      <w:r w:rsidRPr="003E2299">
        <w:rPr>
          <w:color w:val="000000" w:themeColor="text1"/>
          <w:sz w:val="18"/>
          <w:szCs w:val="18"/>
        </w:rPr>
        <w:t xml:space="preserve"> (World Bank, 2017).</w:t>
      </w:r>
      <w:r w:rsidRPr="003E2299">
        <w:rPr>
          <w:sz w:val="18"/>
          <w:szCs w:val="18"/>
        </w:rPr>
        <w:t xml:space="preserve"> </w:t>
      </w:r>
    </w:p>
  </w:footnote>
  <w:footnote w:id="6">
    <w:p w14:paraId="72533FBB" w14:textId="4521804B" w:rsidR="00E84199" w:rsidRPr="003E2299" w:rsidRDefault="00E84199" w:rsidP="003E2299">
      <w:pPr>
        <w:rPr>
          <w:sz w:val="18"/>
          <w:szCs w:val="18"/>
        </w:rPr>
      </w:pPr>
      <w:r w:rsidRPr="003E2299">
        <w:rPr>
          <w:rStyle w:val="FootnoteReference"/>
          <w:sz w:val="18"/>
          <w:szCs w:val="18"/>
        </w:rPr>
        <w:footnoteRef/>
      </w:r>
      <w:r w:rsidRPr="003E2299">
        <w:rPr>
          <w:sz w:val="18"/>
          <w:szCs w:val="18"/>
        </w:rPr>
        <w:t xml:space="preserve"> The index of globalization covers three main dimensions: economic integration, social integration, and political integration. Using panel data for 123 countries in 1970-2000 it is analyzed empirically whether the overall index of globalization as well as sub-indexes constructed to measure the single dimensions affect economic growth. As the results show, globalization indeed promotes growth. The dimensions most robustly related with growth refer to actual economic flows and restrictions in developed countries. Although less robustly, information flows also promote growth whereas political integration has no effect (Gygli et al., 2018).</w:t>
      </w:r>
    </w:p>
  </w:footnote>
  <w:footnote w:id="7">
    <w:p w14:paraId="7EC0D3DA" w14:textId="77777777" w:rsidR="00E84199" w:rsidRDefault="00E84199" w:rsidP="003E2299">
      <w:pPr>
        <w:widowControl w:val="0"/>
      </w:pPr>
      <w:r w:rsidRPr="003E2299">
        <w:rPr>
          <w:rStyle w:val="FootnoteReference"/>
          <w:sz w:val="18"/>
          <w:szCs w:val="18"/>
        </w:rPr>
        <w:footnoteRef/>
      </w:r>
      <w:r w:rsidRPr="003E2299">
        <w:rPr>
          <w:sz w:val="18"/>
          <w:szCs w:val="18"/>
        </w:rPr>
        <w:t xml:space="preserve"> Human Development Index (HDI) is a composite index constructed by combining a range of indicators that aim at capturing human achievement in three dimensions:  per capita income, education, and life expectancy (UNDP, 2016).</w:t>
      </w:r>
    </w:p>
  </w:footnote>
  <w:footnote w:id="8">
    <w:p w14:paraId="468C5A31" w14:textId="77777777" w:rsidR="00E84199" w:rsidRPr="000836E7" w:rsidRDefault="00E84199">
      <w:pPr>
        <w:rPr>
          <w:color w:val="000000" w:themeColor="text1"/>
          <w:sz w:val="18"/>
        </w:rPr>
      </w:pPr>
      <w:r w:rsidRPr="00F67904">
        <w:rPr>
          <w:rStyle w:val="FootnoteReference"/>
        </w:rPr>
        <w:footnoteRef/>
      </w:r>
      <w:r w:rsidRPr="000836E7">
        <w:rPr>
          <w:color w:val="000000" w:themeColor="text1"/>
          <w:sz w:val="18"/>
        </w:rPr>
        <w:t xml:space="preserve"> </w:t>
      </w:r>
      <w:r w:rsidRPr="000836E7">
        <w:rPr>
          <w:color w:val="000000" w:themeColor="text1"/>
          <w:sz w:val="18"/>
          <w:highlight w:val="white"/>
        </w:rPr>
        <w:t>On socioeconomic, cultural and historical grounds, the Dominican Republic could be considered part of Mesoamerica, and Guyana part of the Caribbean.</w:t>
      </w:r>
    </w:p>
    <w:p w14:paraId="116CD75B" w14:textId="77777777" w:rsidR="00E84199" w:rsidRDefault="00E84199">
      <w:pPr>
        <w:tabs>
          <w:tab w:val="left" w:pos="4082"/>
        </w:tabs>
        <w:spacing w:before="20" w:after="40"/>
        <w:ind w:left="1247"/>
        <w:rPr>
          <w:sz w:val="18"/>
          <w:szCs w:val="18"/>
        </w:rPr>
      </w:pPr>
    </w:p>
  </w:footnote>
  <w:footnote w:id="9">
    <w:p w14:paraId="178E7176" w14:textId="77777777" w:rsidR="00E84199" w:rsidRPr="00B50F8F" w:rsidRDefault="00E84199" w:rsidP="00B50F8F">
      <w:pPr>
        <w:rPr>
          <w:sz w:val="18"/>
          <w:szCs w:val="18"/>
        </w:rPr>
      </w:pPr>
      <w:r w:rsidRPr="00B50F8F">
        <w:rPr>
          <w:rStyle w:val="FootnoteReference"/>
          <w:sz w:val="18"/>
          <w:szCs w:val="18"/>
        </w:rPr>
        <w:footnoteRef/>
      </w:r>
      <w:r w:rsidRPr="00B50F8F">
        <w:rPr>
          <w:sz w:val="18"/>
          <w:szCs w:val="18"/>
        </w:rPr>
        <w:t xml:space="preserve"> The Political Instability Index shows the level of threat posed to governments by social protest. The index scores are derived by combining measures of economic distress and underlying vulnerability to unrest. </w:t>
      </w:r>
    </w:p>
    <w:p w14:paraId="4EA38692" w14:textId="77777777" w:rsidR="00E84199" w:rsidRPr="00B50F8F" w:rsidRDefault="00E84199" w:rsidP="00B50F8F">
      <w:pPr>
        <w:rPr>
          <w:sz w:val="18"/>
          <w:szCs w:val="18"/>
        </w:rPr>
      </w:pPr>
      <w:r w:rsidRPr="00B50F8F">
        <w:rPr>
          <w:sz w:val="18"/>
          <w:szCs w:val="18"/>
        </w:rPr>
        <w:t>The Political Stability and Absence of Violence/Terrorism index captures perceptions of the likelihood that the government will be destabilized or overthrown by unconstitutional or violent means, including politically</w:t>
      </w:r>
      <w:r w:rsidRPr="00B50F8F">
        <w:rPr>
          <w:rFonts w:ascii="Cambria Math" w:eastAsia="Calibri" w:hAnsi="Cambria Math" w:cs="Cambria Math"/>
          <w:sz w:val="18"/>
          <w:szCs w:val="18"/>
        </w:rPr>
        <w:t>‐</w:t>
      </w:r>
      <w:r w:rsidRPr="00B50F8F">
        <w:rPr>
          <w:sz w:val="18"/>
          <w:szCs w:val="18"/>
        </w:rPr>
        <w:t xml:space="preserve">motivated violence and terrorism. </w:t>
      </w:r>
    </w:p>
    <w:p w14:paraId="726E6C8C" w14:textId="77777777" w:rsidR="00E84199" w:rsidRPr="00B50F8F" w:rsidRDefault="00E84199" w:rsidP="00B50F8F">
      <w:pPr>
        <w:rPr>
          <w:sz w:val="18"/>
          <w:szCs w:val="18"/>
        </w:rPr>
      </w:pPr>
      <w:r w:rsidRPr="00B50F8F">
        <w:rPr>
          <w:sz w:val="18"/>
          <w:szCs w:val="18"/>
        </w:rPr>
        <w:t>The Rule of Law index captures perceptions of the extent to which agents have confidence in and abide by the rules of society, and in particular the quality of contract enforcement, property rights, the police, and the courts, as well as the likelihood of crime and violence.  </w:t>
      </w:r>
    </w:p>
    <w:p w14:paraId="11472B14" w14:textId="77777777" w:rsidR="00E84199" w:rsidRPr="00B50F8F" w:rsidRDefault="00E84199" w:rsidP="00B50F8F">
      <w:pPr>
        <w:rPr>
          <w:sz w:val="18"/>
          <w:szCs w:val="18"/>
        </w:rPr>
      </w:pPr>
      <w:r w:rsidRPr="00B50F8F">
        <w:rPr>
          <w:sz w:val="18"/>
          <w:szCs w:val="18"/>
        </w:rPr>
        <w:t>The Control of Corruption index captures perceptions of the extent to which public power is exercised for private gain, including both petty and grand forms of corruption, as well as "capture" of the state by elites and private interests.</w:t>
      </w:r>
    </w:p>
    <w:p w14:paraId="724C4740" w14:textId="77777777" w:rsidR="00E84199" w:rsidRPr="00B50F8F" w:rsidRDefault="00E84199" w:rsidP="00B50F8F">
      <w:pPr>
        <w:rPr>
          <w:sz w:val="18"/>
          <w:szCs w:val="18"/>
        </w:rPr>
      </w:pPr>
      <w:r w:rsidRPr="00B50F8F">
        <w:rPr>
          <w:sz w:val="18"/>
          <w:szCs w:val="18"/>
        </w:rPr>
        <w:t xml:space="preserve">The Worldwide Governance Indicators are available at: </w:t>
      </w:r>
      <w:hyperlink r:id="rId1">
        <w:r w:rsidRPr="00B50F8F">
          <w:rPr>
            <w:color w:val="0000FF"/>
            <w:sz w:val="18"/>
            <w:szCs w:val="18"/>
            <w:u w:val="single"/>
          </w:rPr>
          <w:t>www.govindicators.org</w:t>
        </w:r>
      </w:hyperlink>
    </w:p>
  </w:footnote>
  <w:footnote w:id="10">
    <w:p w14:paraId="735649CC" w14:textId="77777777" w:rsidR="00E84199" w:rsidRPr="000836E7" w:rsidRDefault="00E84199" w:rsidP="00B50F8F">
      <w:pPr>
        <w:tabs>
          <w:tab w:val="left" w:pos="4082"/>
        </w:tabs>
        <w:spacing w:before="20" w:after="40"/>
        <w:rPr>
          <w:sz w:val="18"/>
          <w:szCs w:val="18"/>
        </w:rPr>
      </w:pPr>
      <w:r w:rsidRPr="00B50F8F">
        <w:rPr>
          <w:rStyle w:val="FootnoteReference"/>
          <w:sz w:val="18"/>
          <w:szCs w:val="18"/>
        </w:rPr>
        <w:footnoteRef/>
      </w:r>
      <w:r w:rsidRPr="00B50F8F">
        <w:rPr>
          <w:sz w:val="18"/>
          <w:szCs w:val="18"/>
        </w:rPr>
        <w:t xml:space="preserve"> http://viewswire.eiu.com</w:t>
      </w:r>
    </w:p>
  </w:footnote>
  <w:footnote w:id="11">
    <w:p w14:paraId="12556469" w14:textId="77777777" w:rsidR="00E84199" w:rsidRPr="00C1178A" w:rsidRDefault="00E84199" w:rsidP="00B2242D">
      <w:pPr>
        <w:pStyle w:val="FootnoteText"/>
        <w:rPr>
          <w:sz w:val="18"/>
          <w:szCs w:val="18"/>
          <w:lang w:val="en-US"/>
        </w:rPr>
      </w:pPr>
      <w:r w:rsidRPr="00C1178A">
        <w:rPr>
          <w:rStyle w:val="FootnoteReference"/>
          <w:sz w:val="18"/>
          <w:szCs w:val="18"/>
          <w:lang w:val="en-US"/>
        </w:rPr>
        <w:t>1</w:t>
      </w:r>
      <w:r w:rsidRPr="00C1178A">
        <w:rPr>
          <w:sz w:val="18"/>
          <w:szCs w:val="18"/>
          <w:lang w:val="en-US"/>
        </w:rPr>
        <w:t xml:space="preserve"> Compiled by the Royal Botanic Gardens, Kew. Seed plants include angiosperms and gymnosperms and both native and non-native species. Data are from the World Checklist of Selected Plant Families (published and unpublished), which is 90% complete. The families Melastomataceae and Asteraceae and the genus </w:t>
      </w:r>
      <w:r w:rsidRPr="00C1178A">
        <w:rPr>
          <w:i/>
          <w:sz w:val="18"/>
          <w:szCs w:val="18"/>
          <w:lang w:val="en-US"/>
        </w:rPr>
        <w:t xml:space="preserve">Solanum </w:t>
      </w:r>
      <w:r w:rsidRPr="00C1178A">
        <w:rPr>
          <w:sz w:val="18"/>
          <w:szCs w:val="18"/>
          <w:lang w:val="en-US"/>
        </w:rPr>
        <w:t xml:space="preserve">are not included at this stage. </w:t>
      </w:r>
    </w:p>
  </w:footnote>
  <w:footnote w:id="12">
    <w:p w14:paraId="70F9C321" w14:textId="77777777" w:rsidR="00E84199" w:rsidRPr="00C1178A" w:rsidRDefault="00E84199" w:rsidP="00B2242D">
      <w:pPr>
        <w:rPr>
          <w:sz w:val="18"/>
          <w:szCs w:val="18"/>
        </w:rPr>
      </w:pPr>
      <w:r w:rsidRPr="00C1178A">
        <w:rPr>
          <w:rStyle w:val="FootnoteReference"/>
          <w:rFonts w:eastAsia="MS Mincho"/>
          <w:sz w:val="18"/>
          <w:szCs w:val="18"/>
          <w:lang w:eastAsia="es-MX"/>
        </w:rPr>
        <w:t>2</w:t>
      </w:r>
      <w:r w:rsidRPr="00C1178A">
        <w:rPr>
          <w:rFonts w:eastAsia="MS Mincho"/>
          <w:sz w:val="18"/>
          <w:szCs w:val="18"/>
          <w:lang w:eastAsia="es-MX"/>
        </w:rPr>
        <w:t xml:space="preserve"> </w:t>
      </w:r>
      <w:r w:rsidRPr="00C1178A">
        <w:rPr>
          <w:sz w:val="18"/>
          <w:szCs w:val="18"/>
        </w:rPr>
        <w:t xml:space="preserve">Estimate if the two missing families and </w:t>
      </w:r>
      <w:r w:rsidRPr="00C1178A">
        <w:rPr>
          <w:i/>
          <w:sz w:val="18"/>
          <w:szCs w:val="18"/>
        </w:rPr>
        <w:t>Solanum</w:t>
      </w:r>
      <w:r w:rsidRPr="00C1178A">
        <w:rPr>
          <w:sz w:val="18"/>
          <w:szCs w:val="18"/>
        </w:rPr>
        <w:t xml:space="preserve"> are included. Percentage of the world total in the Americas is based on the estimated total and a world total of seed plants of 370,492 </w:t>
      </w:r>
      <w:r w:rsidRPr="00C1178A">
        <w:rPr>
          <w:sz w:val="18"/>
          <w:szCs w:val="18"/>
        </w:rPr>
        <w:fldChar w:fldCharType="begin" w:fldLock="1"/>
      </w:r>
      <w:r w:rsidRPr="00C1178A">
        <w:rPr>
          <w:sz w:val="18"/>
          <w:szCs w:val="18"/>
        </w:rPr>
        <w:instrText>ADDIN CSL_CITATION { "citationItems" : [ { "id" : "ITEM-1", "itemData" : { "DOI" : "10.11646/phytotaxa.272.1.5", "ISSN" : "11793163", "abstract" : "We present revised estimates of the numbers of accepted species of flowering plants (369,434), seed plants (370,492), vascular plants (383,671) and land plants (403,911) based on a recently de-duplicated version of the International Plant Names Index and rates of synonymy calculated from the seed plant families published in the World checklist of selected plant families . Alternative approaches to estimating or calculating the number of accepted plant species are discussed and differences between results are highlighted and interpreted.", "author" : [ { "dropping-particle" : "", "family" : "Lughadha", "given" : "Eimear Nic", "non-dropping-particle" : "", "parse-names" : false, "suffix" : "" }, { "dropping-particle" : "", "family" : "Govaerts", "given" : "Rafael", "non-dropping-particle" : "", "parse-names" : false, "suffix" : "" }, { "dropping-particle" : "", "family" : "Belyaeva", "given" : "Irina", "non-dropping-particle" : "", "parse-names" : false, "suffix" : "" }, { "dropping-particle" : "", "family" : "Black", "given" : "Nicholas", "non-dropping-particle" : "", "parse-names" : false, "suffix" : "" }, { "dropping-particle" : "", "family" : "Lindon", "given" : "Heather", "non-dropping-particle" : "", "parse-names" : false, "suffix" : "" }, { "dropping-particle" : "", "family" : "Allkin", "given" : "Robert", "non-dropping-particle" : "", "parse-names" : false, "suffix" : "" }, { "dropping-particle" : "", "family" : "Magill", "given" : "Robert E.", "non-dropping-particle" : "", "parse-names" : false, "suffix" : "" }, { "dropping-particle" : "", "family" : "Nicolson", "given" : "Nicky", "non-dropping-particle" : "", "parse-names" : false, "suffix" : "" } ], "container-title" : "Phytotaxa", "id" : "ITEM-1", "issue" : "1", "issued" : { "date-parts" : [ [ "2016", "8", "26" ] ] }, "page" : "82-88", "title" : "Counting counts: revised estimates of numbers of accepted species of flowering plants, seed plants, vascular plants and land plants with a review of other recent estimates", "type" : "article-journal", "volume" : "272" }, "uris" : [ "http://www.mendeley.com/documents/?uuid=e9dc70d9-4611-3b5e-9b75-3efdbebfed6c" ] } ], "mendeley" : { "formattedCitation" : "(Lughadha et al., 2016)", "manualFormatting" : "(Lughadha et al., 2016)", "plainTextFormattedCitation" : "(Lughadha et al., 2016)", "previouslyFormattedCitation" : "(Lughadha et al., 2016)" }, "properties" : { "noteIndex" : 0 }, "schema" : "https://github.com/citation-style-language/schema/raw/master/csl-citation.json" }</w:instrText>
      </w:r>
      <w:r w:rsidRPr="00C1178A">
        <w:rPr>
          <w:sz w:val="18"/>
          <w:szCs w:val="18"/>
        </w:rPr>
        <w:fldChar w:fldCharType="separate"/>
      </w:r>
      <w:r w:rsidRPr="00C1178A">
        <w:rPr>
          <w:noProof/>
          <w:sz w:val="18"/>
          <w:szCs w:val="18"/>
        </w:rPr>
        <w:t>(Lughadha et al., 2016)</w:t>
      </w:r>
      <w:r w:rsidRPr="00C1178A">
        <w:rPr>
          <w:sz w:val="18"/>
          <w:szCs w:val="18"/>
        </w:rPr>
        <w:fldChar w:fldCharType="end"/>
      </w:r>
      <w:r w:rsidRPr="00C1178A">
        <w:rPr>
          <w:sz w:val="18"/>
          <w:szCs w:val="18"/>
        </w:rPr>
        <w:t>. The subregional totals have not been adjusted and thus are conservative.</w:t>
      </w:r>
    </w:p>
    <w:p w14:paraId="38BFCD46" w14:textId="77777777" w:rsidR="00E84199" w:rsidRPr="00C1178A" w:rsidRDefault="00E84199" w:rsidP="00B2242D">
      <w:pPr>
        <w:pStyle w:val="FootnoteText"/>
        <w:rPr>
          <w:sz w:val="18"/>
          <w:szCs w:val="18"/>
          <w:lang w:val="en-US"/>
        </w:rPr>
      </w:pPr>
      <w:r w:rsidRPr="00C1178A">
        <w:rPr>
          <w:rStyle w:val="FootnoteReference"/>
          <w:sz w:val="18"/>
          <w:szCs w:val="18"/>
          <w:lang w:val="en-US"/>
        </w:rPr>
        <w:t>3</w:t>
      </w:r>
      <w:r w:rsidRPr="00C1178A">
        <w:rPr>
          <w:sz w:val="18"/>
          <w:szCs w:val="18"/>
          <w:lang w:val="en-US"/>
        </w:rPr>
        <w:t>The useful plant data come from the Royal Botanic Gardens, Kew Useful Plants Data Base. This database is formed from a combination of resources amounting to 31,128 species. The data are for seed plants only and include exotic species, but not commercially-grown crops.</w:t>
      </w:r>
      <w:r w:rsidRPr="00C1178A">
        <w:rPr>
          <w:rStyle w:val="FootnoteReference"/>
          <w:sz w:val="18"/>
          <w:szCs w:val="18"/>
          <w:lang w:val="en-US"/>
        </w:rPr>
        <w:t xml:space="preserve"> </w:t>
      </w:r>
    </w:p>
    <w:p w14:paraId="3132D777" w14:textId="77777777" w:rsidR="00E84199" w:rsidRPr="00C1178A" w:rsidRDefault="00E84199" w:rsidP="00B2242D">
      <w:pPr>
        <w:widowControl w:val="0"/>
        <w:autoSpaceDE w:val="0"/>
        <w:autoSpaceDN w:val="0"/>
        <w:adjustRightInd w:val="0"/>
        <w:rPr>
          <w:noProof/>
          <w:sz w:val="18"/>
          <w:szCs w:val="18"/>
        </w:rPr>
      </w:pPr>
      <w:r w:rsidRPr="00C1178A">
        <w:rPr>
          <w:rStyle w:val="FootnoteReference"/>
          <w:sz w:val="18"/>
          <w:szCs w:val="18"/>
        </w:rPr>
        <w:t>4</w:t>
      </w:r>
      <w:r w:rsidRPr="00C1178A">
        <w:rPr>
          <w:sz w:val="18"/>
          <w:szCs w:val="18"/>
        </w:rPr>
        <w:fldChar w:fldCharType="begin" w:fldLock="1"/>
      </w:r>
      <w:r w:rsidRPr="00C1178A">
        <w:rPr>
          <w:sz w:val="18"/>
          <w:szCs w:val="18"/>
        </w:rPr>
        <w:instrText>ADDIN CSL_CITATION { "citationItems" : [ { "id" : "ITEM-1", "itemData" : { "editor" : [ { "dropping-particle" : "", "family" : "Hoyo", "given" : "J.", "non-dropping-particle" : "Del", "parse-names" : false, "suffix" : "" }, { "dropping-particle" : "", "family" : "Elliott", "given" : "A.", "non-dropping-particle" : "", "parse-names" : false, "suffix" : "" }, { "dropping-particle" : "", "family" : "Sargatal", "given" : "J.", "non-dropping-particle" : "", "parse-names" : false, "suffix" : "" } ], "id" : "ITEM-1", "issued" : { "date-parts" : [ [ "1992" ] ] }, "publisher" : "Lynx Edicions", "publisher-place" : "Barcelona, Spain", "title" : "Handbook of the Birds of the World, Volume 1: Ostrich to Ducks", "type" : "book" }, "uris" : [ "http://www.mendeley.com/documents/?uuid=8d5e2113-5fc4-4e30-8ef5-122354a3f5f4" ] }, { "id" : "ITEM-2", "itemData" : { "editor" : [ { "dropping-particle" : "", "family" : "Hoyo", "given" : "J.", "non-dropping-particle" : "Del", "parse-names" : false, "suffix" : "" }, { "dropping-particle" : "", "family" : "Elliott", "given" : "A.", "non-dropping-particle" : "", "parse-names" : false, "suffix" : "" }, { "dropping-particle" : "", "family" : "Sargatal", "given" : "J.", "non-dropping-particle" : "", "parse-names" : false, "suffix" : "" } ], "id" : "ITEM-2", "issued" : { "date-parts" : [ [ "1992" ] ] }, "publisher" : "Lynx Edicions", "publisher-place" : "Barcelona, Spain", "title" : "Handbook of the Birds of the World, Volume 3: Hoatzin to Auks", "type" : "book" }, "uris" : [ "http://www.mendeley.com/documents/?uuid=a7cbee3e-7795-4dd2-b2fd-e1b293a031aa" ] }, { "id" : "ITEM-3", "itemData" : { "DOI" : "10.14344/IOC.ML.7.1", "editor" : [ { "dropping-particle" : "", "family" : "Gill", "given" : "F.", "non-dropping-particle" : "", "parse-names" : false, "suffix" : "" }, { "dropping-particle" : "", "family" : "Donsker", "given" : "D.", "non-dropping-particle" : "", "parse-names" : false, "suffix" : "" } ], "id" : "ITEM-3", "issued" : { "date-parts" : [ [ "2017" ] ] }, "title" : "IOC World Bird List (v 7.3)", "type" : "report" }, "uris" : [ "http://www.mendeley.com/documents/?uuid=7df21fef-a1d3-435d-8bfe-febd21e1ede4" ] }, { "id" : "ITEM-4", "itemData" : { "editor" : [ { "dropping-particle" : "", "family" : "Rodewald", "given" : "P", "non-dropping-particle" : "", "parse-names" : false, "suffix" : "" } ], "id" : "ITEM-4", "issued" : { "date-parts" : [ [ "2015" ] ] }, "publisher" : "Cornell Laboratory of Ornithology", "publisher-place" : "Ithaca, USA", "title" : "The Birds of North America", "type" : "report" }, "uris" : [ "http://www.mendeley.com/documents/?uuid=6932e7cf-452c-40ce-883b-27fd1b89e2f2" ] }, { "id" : "ITEM-5", "itemData" : { "author" : [ { "dropping-particle" : "", "family" : "Wetmore", "given" : "A.", "non-dropping-particle" : "", "parse-names" : false, "suffix" : "" }, { "dropping-particle" : "", "family" : "Friedmann", "given" : "H.", "non-dropping-particle" : "", "parse-names" : false, "suffix" : "" }, { "dropping-particle" : "", "family" : "Amadon", "given" : "D.", "non-dropping-particle" : "", "parse-names" : false, "suffix" : "" }, { "dropping-particle" : "", "family" : "Lincoln", "given" : "F.C.", "non-dropping-particle" : "", "parse-names" : false, "suffix" : "" }, { "dropping-particle" : "", "family" : "Lowery", "given" : "G.H.", "non-dropping-particle" : "", "parse-names" : false, "suffix" : "" }, { "dropping-particle" : "", "family" : "Miller", "given" : "A.H.", "non-dropping-particle" : "", "parse-names" : false, "suffix" : "" }, { "dropping-particle" : "", "family" : "Peters", "given" : "J.L.", "non-dropping-particle" : "", "parse-names" : false, "suffix" : "" }, { "dropping-particle" : "", "family" : "Pitelka", "given" : "F.A.", "non-dropping-particle" : "", "parse-names" : false, "suffix" : "" }, { "dropping-particle" : "", "family" : "Rossem", "given" : "A.J.", "non-dropping-particle" : "van", "parse-names" : false, "suffix" : "" }, { "dropping-particle" : "", "family" : "Tyle", "given" : "J.", "non-dropping-particle" : "van", "parse-names" : false, "suffix" : "" }, { "dropping-particle" : "", "family" : "Zimmer", "given" : "J.T.", "non-dropping-particle" : "", "parse-names" : false, "suffix" : "" } ], "id" : "ITEM-5", "issued" : { "date-parts" : [ [ "1957" ] ] }, "publisher" : "American Ornithologists' Union", "publisher-place" : "Baltimore, USA", "title" : "Check-list of North American Birds, 5th Edition", "type" : "book" }, "uris" : [ "http://www.mendeley.com/documents/?uuid=65140213-3835-4a52-8e39-4d7c1ee54abe" ] } ], "mendeley" : { "formattedCitation" : "(Del Hoyo, Elliott, &amp; Sargatal, 1992a, 1992b; Gill &amp; Donsker, 2017; Rodewald, 2015; Wetmore et al., 1957)", "manualFormatting" : "Compiled by Chapter 3 from  Del Hoyo et al., 1992a, b; Gill and Donsker (2017); Rodewald (2015); Wetmore et al. (1957", "plainTextFormattedCitation" : "(Del Hoyo, Elliott, &amp; Sargatal, 1992a, 1992b; Gill &amp; Donsker, 2017; Rodewald, 2015; Wetmore et al., 1957)", "previouslyFormattedCitation" : "(Del Hoyo, Elliott, &amp; Sargatal, 1992a, 1992b; Gill &amp; Donsker, 2017; Rodewald, 2015; Wetmore et al., 1957)" }, "properties" : { "noteIndex" : 0 }, "schema" : "https://github.com/citation-style-language/schema/raw/master/csl-citation.json" }</w:instrText>
      </w:r>
      <w:r w:rsidRPr="00C1178A">
        <w:rPr>
          <w:sz w:val="18"/>
          <w:szCs w:val="18"/>
        </w:rPr>
        <w:fldChar w:fldCharType="separate"/>
      </w:r>
      <w:r w:rsidRPr="00C1178A">
        <w:rPr>
          <w:noProof/>
          <w:sz w:val="18"/>
          <w:szCs w:val="18"/>
        </w:rPr>
        <w:t>Compiled by Chapter 3 from</w:t>
      </w:r>
      <w:r w:rsidRPr="00C1178A">
        <w:rPr>
          <w:noProof/>
          <w:sz w:val="18"/>
          <w:szCs w:val="18"/>
        </w:rPr>
        <w:fldChar w:fldCharType="begin" w:fldLock="1"/>
      </w:r>
      <w:r w:rsidRPr="00C1178A">
        <w:rPr>
          <w:noProof/>
          <w:sz w:val="18"/>
          <w:szCs w:val="18"/>
        </w:rPr>
        <w:instrText>ADDIN CSL_CITATION { "citationItems" : [ { "id" : "ITEM-1", "itemData" : { "editor" : [ { "dropping-particle" : "", "family" : "Hoyo", "given" : "J.", "non-dropping-particle" : "Del", "parse-names" : false, "suffix" : "" }, { "dropping-particle" : "", "family" : "Elliott", "given" : "A.", "non-dropping-particle" : "", "parse-names" : false, "suffix" : "" }, { "dropping-particle" : "", "family" : "Sargatal", "given" : "J.", "non-dropping-particle" : "", "parse-names" : false, "suffix" : "" } ], "id" : "ITEM-1", "issued" : { "date-parts" : [ [ "1992" ] ] }, "publisher" : "Lynx Edicions", "publisher-place" : "Barcelona, Spain", "title" : "Handbook of the Birds of the World, Volume 3: Hoatzin to Auks", "type" : "book" }, "uris" : [ "http://www.mendeley.com/documents/?uuid=a7cbee3e-7795-4dd2-b2fd-e1b293a031aa" ] }, { "id" : "ITEM-2", "itemData" : { "editor" : [ { "dropping-particle" : "", "family" : "Hoyo", "given" : "J.", "non-dropping-particle" : "Del", "parse-names" : false, "suffix" : "" }, { "dropping-particle" : "", "family" : "Elliott", "given" : "A.", "non-dropping-particle" : "", "parse-names" : false, "suffix" : "" }, { "dropping-particle" : "", "family" : "Sargatal", "given" : "J.", "non-dropping-particle" : "", "parse-names" : false, "suffix" : "" } ], "id" : "ITEM-2", "issued" : { "date-parts" : [ [ "1992" ] ] }, "publisher" : "Lynx Edicions", "publisher-place" : "Barcelona, Spain", "title" : "Handbook of the Birds of the World, Volume 1: Ostrich to Ducks", "type" : "book" }, "uris" : [ "http://www.mendeley.com/documents/?uuid=8d5e2113-5fc4-4e30-8ef5-122354a3f5f4" ] } ], "mendeley" : { "formattedCitation" : "(Del Hoyo et al., 1992a, 1992b)", "manualFormatting" : " Del Hoyo et al., 1992a, b", "plainTextFormattedCitation" : "(Del Hoyo et al., 1992a, 1992b)", "previouslyFormattedCitation" : "(Del Hoyo et al., 1992a, 1992b)" }, "properties" : { "noteIndex" : 0 }, "schema" : "https://github.com/citation-style-language/schema/raw/master/csl-citation.json" }</w:instrText>
      </w:r>
      <w:r w:rsidRPr="00C1178A">
        <w:rPr>
          <w:noProof/>
          <w:sz w:val="18"/>
          <w:szCs w:val="18"/>
        </w:rPr>
        <w:fldChar w:fldCharType="separate"/>
      </w:r>
      <w:r w:rsidRPr="00C1178A">
        <w:rPr>
          <w:noProof/>
          <w:sz w:val="18"/>
          <w:szCs w:val="18"/>
        </w:rPr>
        <w:t xml:space="preserve"> Del Hoyo et al., 1992a, b</w:t>
      </w:r>
      <w:r w:rsidRPr="00C1178A">
        <w:rPr>
          <w:noProof/>
          <w:sz w:val="18"/>
          <w:szCs w:val="18"/>
        </w:rPr>
        <w:fldChar w:fldCharType="end"/>
      </w:r>
      <w:r w:rsidRPr="00C1178A">
        <w:rPr>
          <w:noProof/>
          <w:sz w:val="18"/>
          <w:szCs w:val="18"/>
        </w:rPr>
        <w:t>; Gill and Donsker (2017); Rodewald (2015); Wetmore et al. (1957</w:t>
      </w:r>
      <w:r w:rsidRPr="00C1178A">
        <w:rPr>
          <w:sz w:val="18"/>
          <w:szCs w:val="18"/>
        </w:rPr>
        <w:fldChar w:fldCharType="end"/>
      </w:r>
      <w:r w:rsidRPr="00C1178A">
        <w:rPr>
          <w:sz w:val="18"/>
          <w:szCs w:val="18"/>
        </w:rPr>
        <w:t xml:space="preserve">). World total data from </w:t>
      </w:r>
      <w:r w:rsidRPr="00C1178A">
        <w:rPr>
          <w:sz w:val="18"/>
          <w:szCs w:val="18"/>
        </w:rPr>
        <w:fldChar w:fldCharType="begin" w:fldLock="1"/>
      </w:r>
      <w:r w:rsidRPr="00C1178A">
        <w:rPr>
          <w:sz w:val="18"/>
          <w:szCs w:val="18"/>
        </w:rPr>
        <w:instrText>ADDIN CSL_CITATION { "citationItems" : [ { "id" : "ITEM-1", "itemData" : { "editor" : [ { "dropping-particle" : "", "family" : "Hoyo", "given" : "J.", "non-dropping-particle" : "Del", "parse-names" : false, "suffix" : "" }, { "dropping-particle" : "", "family" : "Elliott", "given" : "A.", "non-dropping-particle" : "", "parse-names" : false, "suffix" : "" }, { "dropping-particle" : "", "family" : "Sargatal", "given" : "J.", "non-dropping-particle" : "", "parse-names" : false, "suffix" : "" } ], "id" : "ITEM-1", "issued" : { "date-parts" : [ [ "1992" ] ] }, "publisher" : "Lynx Edicions", "publisher-place" : "Barcelona, Spain", "title" : "Handbook of the Birds of the World, Volume 1: Ostrich to Ducks", "type" : "book" }, "uris" : [ "http://www.mendeley.com/documents/?uuid=8d5e2113-5fc4-4e30-8ef5-122354a3f5f4" ] }, { "id" : "ITEM-2", "itemData" : { "editor" : [ { "dropping-particle" : "", "family" : "Hoyo", "given" : "J.", "non-dropping-particle" : "Del", "parse-names" : false, "suffix" : "" }, { "dropping-particle" : "", "family" : "Elliott", "given" : "A.", "non-dropping-particle" : "", "parse-names" : false, "suffix" : "" }, { "dropping-particle" : "", "family" : "Sargatal", "given" : "J.", "non-dropping-particle" : "", "parse-names" : false, "suffix" : "" } ], "id" : "ITEM-2", "issued" : { "date-parts" : [ [ "1992" ] ] }, "publisher" : "Lynx Edicions", "publisher-place" : "Barcelona, Spain", "title" : "Handbook of the Birds of the World, Volume 3: Hoatzin to Auks", "type" : "book" }, "uris" : [ "http://www.mendeley.com/documents/?uuid=a7cbee3e-7795-4dd2-b2fd-e1b293a031aa" ] }, { "id" : "ITEM-3", "itemData" : { "DOI" : "10.14344/IOC.ML.7.1", "editor" : [ { "dropping-particle" : "", "family" : "Gill", "given" : "F.", "non-dropping-particle" : "", "parse-names" : false, "suffix" : "" }, { "dropping-particle" : "", "family" : "Donsker", "given" : "D.", "non-dropping-particle" : "", "parse-names" : false, "suffix" : "" } ], "id" : "ITEM-3", "issued" : { "date-parts" : [ [ "2017" ] ] }, "title" : "IOC World Bird List (v 7.3)", "type" : "report" }, "uris" : [ "http://www.mendeley.com/documents/?uuid=7df21fef-a1d3-435d-8bfe-febd21e1ede4" ] }, { "id" : "ITEM-4", "itemData" : { "editor" : [ { "dropping-particle" : "", "family" : "Rodewald", "given" : "P", "non-dropping-particle" : "", "parse-names" : false, "suffix" : "" } ], "id" : "ITEM-4", "issued" : { "date-parts" : [ [ "2015" ] ] }, "publisher" : "Cornell Laboratory of Ornithology", "publisher-place" : "Ithaca, USA", "title" : "The Birds of North America", "type" : "report" }, "uris" : [ "http://www.mendeley.com/documents/?uuid=6932e7cf-452c-40ce-883b-27fd1b89e2f2" ] }, { "id" : "ITEM-5", "itemData" : { "author" : [ { "dropping-particle" : "", "family" : "Wetmore", "given" : "A.", "non-dropping-particle" : "", "parse-names" : false, "suffix" : "" }, { "dropping-particle" : "", "family" : "Friedmann", "given" : "H.", "non-dropping-particle" : "", "parse-names" : false, "suffix" : "" }, { "dropping-particle" : "", "family" : "Amadon", "given" : "D.", "non-dropping-particle" : "", "parse-names" : false, "suffix" : "" }, { "dropping-particle" : "", "family" : "Lincoln", "given" : "F.C.", "non-dropping-particle" : "", "parse-names" : false, "suffix" : "" }, { "dropping-particle" : "", "family" : "Lowery", "given" : "G.H.", "non-dropping-particle" : "", "parse-names" : false, "suffix" : "" }, { "dropping-particle" : "", "family" : "Miller", "given" : "A.H.", "non-dropping-particle" : "", "parse-names" : false, "suffix" : "" }, { "dropping-particle" : "", "family" : "Peters", "given" : "J.L.", "non-dropping-particle" : "", "parse-names" : false, "suffix" : "" }, { "dropping-particle" : "", "family" : "Pitelka", "given" : "F.A.", "non-dropping-particle" : "", "parse-names" : false, "suffix" : "" }, { "dropping-particle" : "", "family" : "Rossem", "given" : "A.J.", "non-dropping-particle" : "van", "parse-names" : false, "suffix" : "" }, { "dropping-particle" : "", "family" : "Tyle", "given" : "J.", "non-dropping-particle" : "van", "parse-names" : false, "suffix" : "" }, { "dropping-particle" : "", "family" : "Zimmer", "given" : "J.T.", "non-dropping-particle" : "", "parse-names" : false, "suffix" : "" } ], "id" : "ITEM-5", "issued" : { "date-parts" : [ [ "1957" ] ] }, "publisher" : "American Ornithologists' Union", "publisher-place" : "Baltimore, USA", "title" : "Check-list of North American Birds, 5th Edition", "type" : "book" }, "uris" : [ "http://www.mendeley.com/documents/?uuid=65140213-3835-4a52-8e39-4d7c1ee54abe" ] } ], "mendeley" : { "formattedCitation" : "(Del Hoyo et al., 1992a, 1992b; Gill &amp; Donsker, 2017; Rodewald, 2015; Wetmore et al., 1957)", "manualFormatting" : "Gill and Donsker (2017).", "plainTextFormattedCitation" : "(Del Hoyo et al., 1992a, 1992b; Gill &amp; Donsker, 2017; Rodewald, 2015; Wetmore et al., 1957)", "previouslyFormattedCitation" : "(Del Hoyo et al., 1992a, 1992b; Gill &amp; Donsker, 2017; Rodewald, 2015; Wetmore et al., 1957)" }, "properties" : { "noteIndex" : 0 }, "schema" : "https://github.com/citation-style-language/schema/raw/master/csl-citation.json" }</w:instrText>
      </w:r>
      <w:r w:rsidRPr="00C1178A">
        <w:rPr>
          <w:sz w:val="18"/>
          <w:szCs w:val="18"/>
        </w:rPr>
        <w:fldChar w:fldCharType="separate"/>
      </w:r>
      <w:r w:rsidRPr="00C1178A">
        <w:rPr>
          <w:noProof/>
          <w:sz w:val="18"/>
          <w:szCs w:val="18"/>
        </w:rPr>
        <w:t>Gill and Donsker (2017).</w:t>
      </w:r>
      <w:r w:rsidRPr="00C1178A">
        <w:rPr>
          <w:sz w:val="18"/>
          <w:szCs w:val="18"/>
        </w:rPr>
        <w:fldChar w:fldCharType="end"/>
      </w:r>
    </w:p>
    <w:p w14:paraId="0680AC54" w14:textId="77777777" w:rsidR="00E84199" w:rsidRPr="00C1178A" w:rsidRDefault="00E84199" w:rsidP="00B2242D">
      <w:pPr>
        <w:rPr>
          <w:sz w:val="18"/>
          <w:szCs w:val="18"/>
        </w:rPr>
      </w:pPr>
      <w:r w:rsidRPr="00C1178A">
        <w:rPr>
          <w:sz w:val="18"/>
          <w:szCs w:val="18"/>
          <w:vertAlign w:val="superscript"/>
        </w:rPr>
        <w:t>5</w:t>
      </w:r>
      <w:r w:rsidRPr="00C1178A">
        <w:rPr>
          <w:sz w:val="18"/>
          <w:szCs w:val="18"/>
        </w:rPr>
        <w:t xml:space="preserve">North America – </w:t>
      </w:r>
      <w:r w:rsidRPr="00C1178A">
        <w:rPr>
          <w:sz w:val="18"/>
          <w:szCs w:val="18"/>
        </w:rPr>
        <w:fldChar w:fldCharType="begin" w:fldLock="1"/>
      </w:r>
      <w:r w:rsidRPr="00C1178A">
        <w:rPr>
          <w:sz w:val="18"/>
          <w:szCs w:val="18"/>
        </w:rPr>
        <w:instrText>ADDIN CSL_CITATION { "citationItems" : [ { "id" : "ITEM-1", "itemData" : { "author" : [ { "dropping-particle" : "", "family" : "Bradley", "given" : "R.D.", "non-dropping-particle" : "", "parse-names" : false, "suffix" : "" }, { "dropping-particle" : "", "family" : "Ammerma", "given" : "L.K.", "non-dropping-particle" : "", "parse-names" : false, "suffix" : "" }, { "dropping-particle" : "", "family" : "Baker", "given" : "R.J.", "non-dropping-particle" : "", "parse-names" : false, "suffix" : "" }, { "dropping-particle" : "", "family" : "Bradley", "given" : "L.C.", "non-dropping-particle" : "", "parse-names" : false, "suffix" : "" }, { "dropping-particle" : "", "family" : "Cook", "given" : "J.A.", "non-dropping-particle" : "", "parse-names" : false, "suffix" : "" }, { "dropping-particle" : "", "family" : "Dowler", "given" : "R.C.", "non-dropping-particle" : "", "parse-names" : false, "suffix" : "" }, { "dropping-particle" : "", "family" : "Jones", "given" : "C.", "non-dropping-particle" : "", "parse-names" : false, "suffix" : "" }, { "dropping-particle" : "", "family" : "Schmidley", "given" : "D.J.", "non-dropping-particle" : "", "parse-names" : false, "suffix" : "" }, { "dropping-particle" : "", "family" : "Stangl Jr", "given" : "R.A", "non-dropping-particle" : "", "parse-names" : false, "suffix" : "" }, { "dropping-particle" : "", "family" : "Bussche", "given" : "R.", "non-dropping-particle" : "Van Den", "parse-names" : false, "suffix" : "" }, { "dropping-particle" : "", "family" : "W\u00fcrsig", "given" : "B.", "non-dropping-particle" : "", "parse-names" : false, "suffix" : "" } ], "container-title" : "Occasional Papers Museum of Texas Tech University, No.327", "edition" : "Occasional", "id" : "ITEM-1", "issued" : { "date-parts" : [ [ "2014" ] ] }, "page" : "1-27", "title" : "Revised checklist of North American mammals North of Mexico", "type" : "article-journal" }, "uris" : [ "http://www.mendeley.com/documents/?uuid=3120ee7b-1ea3-4f86-81f5-9cd04dc1dcbe" ] } ], "mendeley" : { "formattedCitation" : "(Bradley et al., 2014)", "manualFormatting" : "Bradley et al. (2014", "plainTextFormattedCitation" : "(Bradley et al., 2014)", "previouslyFormattedCitation" : "(Bradley et al., 2014)" }, "properties" : { "noteIndex" : 0 }, "schema" : "https://github.com/citation-style-language/schema/raw/master/csl-citation.json" }</w:instrText>
      </w:r>
      <w:r w:rsidRPr="00C1178A">
        <w:rPr>
          <w:sz w:val="18"/>
          <w:szCs w:val="18"/>
        </w:rPr>
        <w:fldChar w:fldCharType="separate"/>
      </w:r>
      <w:r w:rsidRPr="00C1178A">
        <w:rPr>
          <w:noProof/>
          <w:sz w:val="18"/>
          <w:szCs w:val="18"/>
        </w:rPr>
        <w:t>Bradley et al. (2014</w:t>
      </w:r>
      <w:r w:rsidRPr="00C1178A">
        <w:rPr>
          <w:sz w:val="18"/>
          <w:szCs w:val="18"/>
        </w:rPr>
        <w:fldChar w:fldCharType="end"/>
      </w:r>
      <w:r w:rsidRPr="00C1178A">
        <w:rPr>
          <w:sz w:val="18"/>
          <w:szCs w:val="18"/>
        </w:rPr>
        <w:t xml:space="preserve">); Caribbean – </w:t>
      </w:r>
      <w:r w:rsidRPr="00C1178A">
        <w:rPr>
          <w:sz w:val="18"/>
          <w:szCs w:val="18"/>
        </w:rPr>
        <w:fldChar w:fldCharType="begin" w:fldLock="1"/>
      </w:r>
      <w:r w:rsidRPr="00C1178A">
        <w:rPr>
          <w:sz w:val="18"/>
          <w:szCs w:val="18"/>
        </w:rPr>
        <w:instrText>ADDIN CSL_CITATION { "citationItems" : [ { "id" : "ITEM-1", "itemData" : { "author" : [ { "dropping-particle" : "", "family" : "Upham", "given" : "N.S.", "non-dropping-particle" : "", "parse-names" : false, "suffix" : "" } ], "container-title" : "Journal of Mammalogy", "id" : "ITEM-1", "issue" : "4", "issued" : { "date-parts" : [ [ "2017" ] ] }, "page" : "913-917", "title" : "Past and present of insular Caribbean mammals: understanding Holocene extinctions to inform modern biodiversity conservation", "type" : "article-journal", "volume" : "98" }, "uris" : [ "http://www.mendeley.com/documents/?uuid=3a767343-3844-4a11-a821-a0749f997b01" ] } ], "mendeley" : { "formattedCitation" : "(Upham, 2017)", "manualFormatting" : "Upham (2017", "plainTextFormattedCitation" : "(Upham, 2017)", "previouslyFormattedCitation" : "(Upham, 2017)" }, "properties" : { "noteIndex" : 0 }, "schema" : "https://github.com/citation-style-language/schema/raw/master/csl-citation.json" }</w:instrText>
      </w:r>
      <w:r w:rsidRPr="00C1178A">
        <w:rPr>
          <w:sz w:val="18"/>
          <w:szCs w:val="18"/>
        </w:rPr>
        <w:fldChar w:fldCharType="separate"/>
      </w:r>
      <w:r w:rsidRPr="00C1178A">
        <w:rPr>
          <w:noProof/>
          <w:sz w:val="18"/>
          <w:szCs w:val="18"/>
        </w:rPr>
        <w:t>Upham (2017</w:t>
      </w:r>
      <w:r w:rsidRPr="00C1178A">
        <w:rPr>
          <w:sz w:val="18"/>
          <w:szCs w:val="18"/>
        </w:rPr>
        <w:fldChar w:fldCharType="end"/>
      </w:r>
      <w:r w:rsidRPr="00C1178A">
        <w:rPr>
          <w:sz w:val="18"/>
          <w:szCs w:val="18"/>
        </w:rPr>
        <w:t xml:space="preserve">) and </w:t>
      </w:r>
      <w:r w:rsidRPr="00C1178A">
        <w:rPr>
          <w:sz w:val="18"/>
          <w:szCs w:val="18"/>
        </w:rPr>
        <w:fldChar w:fldCharType="begin" w:fldLock="1"/>
      </w:r>
      <w:r w:rsidRPr="00C1178A">
        <w:rPr>
          <w:sz w:val="18"/>
          <w:szCs w:val="18"/>
        </w:rPr>
        <w:instrText>ADDIN CSL_CITATION { "citationItems" : [ { "id" : "ITEM-1", "itemData" : { "URL" : "www.iucnredlist.org", "accessed" : { "date-parts" : [ [ "2017", "8", "31" ] ] }, "author" : [ { "dropping-particle" : "", "family" : "IUCN", "given" : "", "non-dropping-particle" : "", "parse-names" : false, "suffix" : "" } ], "id" : "ITEM-1", "issued" : { "date-parts" : [ [ "2014" ] ] }, "title" : "IUCN Red List of Threatened Species. Version 2014.2", "type" : "webpage" }, "uris" : [ "http://www.mendeley.com/documents/?uuid=58b73a35-ea69-46b1-94b3-1cda3a0c9577" ] } ], "mendeley" : { "formattedCitation" : "(IUCN, 2014)", "manualFormatting" : "IUCN, (2014", "plainTextFormattedCitation" : "(IUCN, 2014)", "previouslyFormattedCitation" : "(IUCN, 2014)" }, "properties" : { "noteIndex" : 0 }, "schema" : "https://github.com/citation-style-language/schema/raw/master/csl-citation.json" }</w:instrText>
      </w:r>
      <w:r w:rsidRPr="00C1178A">
        <w:rPr>
          <w:sz w:val="18"/>
          <w:szCs w:val="18"/>
        </w:rPr>
        <w:fldChar w:fldCharType="separate"/>
      </w:r>
      <w:r w:rsidRPr="00C1178A">
        <w:rPr>
          <w:noProof/>
          <w:sz w:val="18"/>
          <w:szCs w:val="18"/>
        </w:rPr>
        <w:t>IUCN, (2014</w:t>
      </w:r>
      <w:r w:rsidRPr="00C1178A">
        <w:rPr>
          <w:sz w:val="18"/>
          <w:szCs w:val="18"/>
        </w:rPr>
        <w:fldChar w:fldCharType="end"/>
      </w:r>
      <w:r w:rsidRPr="00C1178A">
        <w:rPr>
          <w:sz w:val="18"/>
          <w:szCs w:val="18"/>
        </w:rPr>
        <w:t xml:space="preserve">); Mesoamerica </w:t>
      </w:r>
      <w:r w:rsidRPr="00C1178A">
        <w:rPr>
          <w:sz w:val="18"/>
          <w:szCs w:val="18"/>
        </w:rPr>
        <w:softHyphen/>
        <w:t xml:space="preserve">– </w:t>
      </w:r>
      <w:r w:rsidRPr="00C1178A">
        <w:rPr>
          <w:sz w:val="18"/>
          <w:szCs w:val="18"/>
        </w:rPr>
        <w:fldChar w:fldCharType="begin" w:fldLock="1"/>
      </w:r>
      <w:r w:rsidRPr="00C1178A">
        <w:rPr>
          <w:sz w:val="18"/>
          <w:szCs w:val="18"/>
        </w:rPr>
        <w:instrText>ADDIN CSL_CITATION { "citationItems" : [ { "id" : "ITEM-1", "itemData" : { "URL" : "www.iucnredlist.org", "accessed" : { "date-parts" : [ [ "2017", "8", "31" ] ] }, "author" : [ { "dropping-particle" : "", "family" : "IUCN", "given" : "", "non-dropping-particle" : "", "parse-names" : false, "suffix" : "" } ], "id" : "ITEM-1", "issued" : { "date-parts" : [ [ "2014" ] ] }, "title" : "IUCN Red List of Threatened Species. Version 2014.2", "type" : "webpage" }, "uris" : [ "http://www.mendeley.com/documents/?uuid=58b73a35-ea69-46b1-94b3-1cda3a0c9577" ] } ], "mendeley" : { "formattedCitation" : "(IUCN, 2014)", "manualFormatting" : "IUCN, (2014", "plainTextFormattedCitation" : "(IUCN, 2014)", "previouslyFormattedCitation" : "(IUCN, 2014)" }, "properties" : { "noteIndex" : 0 }, "schema" : "https://github.com/citation-style-language/schema/raw/master/csl-citation.json" }</w:instrText>
      </w:r>
      <w:r w:rsidRPr="00C1178A">
        <w:rPr>
          <w:sz w:val="18"/>
          <w:szCs w:val="18"/>
        </w:rPr>
        <w:fldChar w:fldCharType="separate"/>
      </w:r>
      <w:r w:rsidRPr="00C1178A">
        <w:rPr>
          <w:noProof/>
          <w:sz w:val="18"/>
          <w:szCs w:val="18"/>
        </w:rPr>
        <w:t>IUCN, (2014</w:t>
      </w:r>
      <w:r w:rsidRPr="00C1178A">
        <w:rPr>
          <w:sz w:val="18"/>
          <w:szCs w:val="18"/>
        </w:rPr>
        <w:fldChar w:fldCharType="end"/>
      </w:r>
      <w:r w:rsidRPr="00C1178A">
        <w:rPr>
          <w:sz w:val="18"/>
          <w:szCs w:val="18"/>
        </w:rPr>
        <w:t xml:space="preserve">); South America – </w:t>
      </w:r>
      <w:r w:rsidRPr="00C1178A">
        <w:rPr>
          <w:sz w:val="18"/>
          <w:szCs w:val="18"/>
        </w:rPr>
        <w:fldChar w:fldCharType="begin" w:fldLock="1"/>
      </w:r>
      <w:r w:rsidRPr="00C1178A">
        <w:rPr>
          <w:sz w:val="18"/>
          <w:szCs w:val="18"/>
        </w:rPr>
        <w:instrText>ADDIN CSL_CITATION { "citationItems" : [ { "id" : "ITEM-1", "itemData" : { "URL" : "www.iucnredlist.org", "accessed" : { "date-parts" : [ [ "2017", "8", "31" ] ] }, "author" : [ { "dropping-particle" : "", "family" : "IUCN", "given" : "", "non-dropping-particle" : "", "parse-names" : false, "suffix" : "" } ], "id" : "ITEM-1", "issued" : { "date-parts" : [ [ "2014" ] ] }, "title" : "IUCN Red List of Threatened Species. Version 2014.2", "type" : "webpage" }, "uris" : [ "http://www.mendeley.com/documents/?uuid=58b73a35-ea69-46b1-94b3-1cda3a0c9577" ] } ], "mendeley" : { "formattedCitation" : "(IUCN, 2014)", "manualFormatting" : "IUCN, (2014", "plainTextFormattedCitation" : "(IUCN, 2014)", "previouslyFormattedCitation" : "(IUCN, 2014)" }, "properties" : { "noteIndex" : 0 }, "schema" : "https://github.com/citation-style-language/schema/raw/master/csl-citation.json" }</w:instrText>
      </w:r>
      <w:r w:rsidRPr="00C1178A">
        <w:rPr>
          <w:sz w:val="18"/>
          <w:szCs w:val="18"/>
        </w:rPr>
        <w:fldChar w:fldCharType="separate"/>
      </w:r>
      <w:r w:rsidRPr="00C1178A">
        <w:rPr>
          <w:noProof/>
          <w:sz w:val="18"/>
          <w:szCs w:val="18"/>
        </w:rPr>
        <w:t>IUCN, (2014</w:t>
      </w:r>
      <w:r w:rsidRPr="00C1178A">
        <w:rPr>
          <w:sz w:val="18"/>
          <w:szCs w:val="18"/>
        </w:rPr>
        <w:fldChar w:fldCharType="end"/>
      </w:r>
      <w:r w:rsidRPr="00C1178A">
        <w:rPr>
          <w:sz w:val="18"/>
          <w:szCs w:val="18"/>
        </w:rPr>
        <w:t xml:space="preserve">). Total for calculation of world %: </w:t>
      </w:r>
      <w:r w:rsidRPr="00C1178A">
        <w:rPr>
          <w:color w:val="222222"/>
          <w:sz w:val="18"/>
          <w:szCs w:val="18"/>
          <w:shd w:val="clear" w:color="auto" w:fill="FFFFFF"/>
        </w:rPr>
        <w:t>IUCN Red List.</w:t>
      </w:r>
    </w:p>
    <w:p w14:paraId="115FB98E" w14:textId="77777777" w:rsidR="00E84199" w:rsidRPr="00C1178A" w:rsidRDefault="00E84199" w:rsidP="00B2242D">
      <w:pPr>
        <w:rPr>
          <w:sz w:val="18"/>
          <w:szCs w:val="18"/>
        </w:rPr>
      </w:pPr>
      <w:r w:rsidRPr="00C1178A">
        <w:rPr>
          <w:sz w:val="18"/>
          <w:szCs w:val="18"/>
          <w:vertAlign w:val="superscript"/>
        </w:rPr>
        <w:t>6</w:t>
      </w:r>
      <w:r w:rsidRPr="00C1178A">
        <w:rPr>
          <w:sz w:val="18"/>
          <w:szCs w:val="18"/>
        </w:rPr>
        <w:t xml:space="preserve">amphibiaweb.org. </w:t>
      </w:r>
    </w:p>
    <w:p w14:paraId="205E486A" w14:textId="77777777" w:rsidR="00E84199" w:rsidRPr="00C1178A" w:rsidRDefault="00E84199" w:rsidP="00B2242D">
      <w:pPr>
        <w:rPr>
          <w:sz w:val="18"/>
          <w:szCs w:val="18"/>
        </w:rPr>
      </w:pPr>
      <w:r w:rsidRPr="00C1178A">
        <w:rPr>
          <w:sz w:val="18"/>
          <w:szCs w:val="18"/>
          <w:vertAlign w:val="superscript"/>
        </w:rPr>
        <w:t>7</w:t>
      </w:r>
      <w:r w:rsidRPr="00C1178A">
        <w:rPr>
          <w:sz w:val="18"/>
          <w:szCs w:val="18"/>
        </w:rPr>
        <w:t>reptile-database.org</w:t>
      </w:r>
    </w:p>
    <w:p w14:paraId="5C0CDD74" w14:textId="77777777" w:rsidR="00E84199" w:rsidRPr="00135178" w:rsidRDefault="00E84199" w:rsidP="00B2242D">
      <w:pPr>
        <w:widowControl w:val="0"/>
        <w:autoSpaceDE w:val="0"/>
        <w:autoSpaceDN w:val="0"/>
        <w:adjustRightInd w:val="0"/>
        <w:rPr>
          <w:color w:val="0563C1"/>
          <w:sz w:val="32"/>
          <w:szCs w:val="32"/>
          <w:u w:val="single"/>
        </w:rPr>
      </w:pPr>
      <w:r w:rsidRPr="00C1178A">
        <w:rPr>
          <w:sz w:val="18"/>
          <w:szCs w:val="18"/>
          <w:vertAlign w:val="superscript"/>
        </w:rPr>
        <w:t>8</w:t>
      </w:r>
      <w:r w:rsidRPr="00C1178A">
        <w:rPr>
          <w:sz w:val="18"/>
          <w:szCs w:val="18"/>
        </w:rPr>
        <w:t xml:space="preserve">After the Summary for Policy Makers (SPM) for the Americas assessment was completed in early December 2017, in a paper published in </w:t>
      </w:r>
      <w:r w:rsidRPr="00C1178A">
        <w:rPr>
          <w:i/>
          <w:sz w:val="18"/>
          <w:szCs w:val="18"/>
        </w:rPr>
        <w:t xml:space="preserve">Science </w:t>
      </w:r>
      <w:r w:rsidRPr="00C1178A">
        <w:rPr>
          <w:sz w:val="18"/>
          <w:szCs w:val="18"/>
        </w:rPr>
        <w:t xml:space="preserve">on 14 December 2017, </w:t>
      </w:r>
      <w:r w:rsidRPr="00C1178A">
        <w:rPr>
          <w:sz w:val="18"/>
          <w:szCs w:val="18"/>
        </w:rPr>
        <w:fldChar w:fldCharType="begin" w:fldLock="1"/>
      </w:r>
      <w:r w:rsidRPr="00C1178A">
        <w:rPr>
          <w:sz w:val="18"/>
          <w:szCs w:val="18"/>
        </w:rPr>
        <w:instrText>ADDIN CSL_CITATION { "citationItems" : [ { "id" : "ITEM-1", "itemData" : { "author" : [ { "dropping-particle" : "", "family" : "Ulloa Ulloa", "given" : "C.", "non-dropping-particle" : "", "parse-names" : false, "suffix" : "" }, { "dropping-particle" : "", "family" : "Acevedo-Rodr\u00edguez", "given" : "P.", "non-dropping-particle" : "", "parse-names" : false, "suffix" : "" }, { "dropping-particle" : "", "family" : "Beck", "given" : "S.", "non-dropping-particle" : "", "parse-names" : false, "suffix" : "" }, { "dropping-particle" : "", "family" : "Belgrano", "given" : "M.J.", "non-dropping-particle" : "", "parse-names" : false, "suffix" : "" }, { "dropping-particle" : "", "family" : "Bernal", "given" : "R.", "non-dropping-particle" : "", "parse-names" : false, "suffix" : "" }, { "dropping-particle" : "", "family" : "Berry", "given" : "P. E.", "non-dropping-particle" : "", "parse-names" : false, "suffix" : "" }, { "dropping-particle" : "", "family" : "Brako", "given" : "L.", "non-dropping-particle" : "", "parse-names" : false, "suffix" : "" }, { "dropping-particle" : "", "family" : "Celis", "given" : "M.", "non-dropping-particle" : "", "parse-names" : false, "suffix" : "" }, { "dropping-particle" : "", "family" : "Davidse", "given" : "G.", "non-dropping-particle" : "", "parse-names" : false, "suffix" : "" }, { "dropping-particle" : "", "family" : "Forzza", "given" : "R.C.", "non-dropping-particle" : "", "parse-names" : false, "suffix" : "" }, { "dropping-particle" : "", "family" : "Gradstein", "given" : "S.R.", "non-dropping-particle" : "", "parse-names" : false, "suffix" : "" }, { "dropping-particle" : "", "family" : "Hokche", "given" : "O.", "non-dropping-particle" : "", "parse-names" : false, "suffix" : "" }, { "dropping-particle" : "", "family" : "Le\u00f3n", "given" : "B.", "non-dropping-particle" : "", "parse-names" : false, "suffix" : "" }, { "dropping-particle" : "", "family" : "Le\u00f3n-Y\u00e1nez", "given" : "S.", "non-dropping-particle" : "", "parse-names" : false, "suffix" : "" }, { "dropping-particle" : "", "family" : "Magill", "given" : "1 R.E.", "non-dropping-particle" : "", "parse-names" : false, "suffix" : "" }, { "dropping-particle" : "", "family" : "Neill", "given" : "D.A.", "non-dropping-particle" : "", "parse-names" : false, "suffix" : "" }, { "dropping-particle" : "", "family" : "Nee", "given" : "M.", "non-dropping-particle" : "", "parse-names" : false, "suffix" : "" }, { "dropping-particle" : "", "family" : "Raven", "given" : "P.H.", "non-dropping-particle" : "", "parse-names" : false, "suffix" : "" }, { "dropping-particle" : "", "family" : "Stimmel", "given" : "S.", "non-dropping-particle" : "", "parse-names" : false, "suffix" : "" }, { "dropping-particle" : "", "family" : "Strong", "given" : "M.T.", "non-dropping-particle" : "", "parse-names" : false, "suffix" : "" }, { "dropping-particle" : "", "family" : "Villase\u00f1or", "given" : "H.L.", "non-dropping-particle" : "", "parse-names" : false, "suffix" : "" }, { "dropping-particle" : "", "family" : "Zarucchi", "given" : "J.L.", "non-dropping-particle" : "", "parse-names" : false, "suffix" : "" }, { "dropping-particle" : "", "family" : "Zuloaga", "given" : "F. O.", "non-dropping-particle" : "", "parse-names" : false, "suffix" : "" }, { "dropping-particle" : "", "family" : "J\u00f8rgensen", "given" : "P.M.", "non-dropping-particle" : "", "parse-names" : false, "suffix" : "" } ], "container-title" : "Science", "id" : "ITEM-1", "issued" : { "date-parts" : [ [ "2017" ] ] }, "page" : "1614-1617", "title" : "An integrated assessment of the vascular plants of the Americas", "type" : "article-journal", "volume" : "358" }, "uris" : [ "http://www.mendeley.com/documents/?uuid=88c4bba6-0733-4fd4-96b9-385601e68308" ] } ], "mendeley" : { "formattedCitation" : "(Ulloa Ulloa et al., 2017)", "manualFormatting" : "Ulloa Ulloa et al. (2017)", "plainTextFormattedCitation" : "(Ulloa Ulloa et al., 2017)", "previouslyFormattedCitation" : "(Ulloa Ulloa et al., 2017)" }, "properties" : { "noteIndex" : 0 }, "schema" : "https://github.com/citation-style-language/schema/raw/master/csl-citation.json" }</w:instrText>
      </w:r>
      <w:r w:rsidRPr="00C1178A">
        <w:rPr>
          <w:sz w:val="18"/>
          <w:szCs w:val="18"/>
        </w:rPr>
        <w:fldChar w:fldCharType="separate"/>
      </w:r>
      <w:r w:rsidRPr="00C1178A">
        <w:rPr>
          <w:noProof/>
          <w:sz w:val="18"/>
          <w:szCs w:val="18"/>
        </w:rPr>
        <w:t>Ulloa Ulloa et al. (2017)</w:t>
      </w:r>
      <w:r w:rsidRPr="00C1178A">
        <w:rPr>
          <w:sz w:val="18"/>
          <w:szCs w:val="18"/>
        </w:rPr>
        <w:fldChar w:fldCharType="end"/>
      </w:r>
      <w:r w:rsidRPr="00C1178A">
        <w:rPr>
          <w:sz w:val="18"/>
          <w:szCs w:val="18"/>
        </w:rPr>
        <w:t xml:space="preserve"> reported 124,993 species of vascular plants (seed plants, ferns and fern allies) for the Americas region found in 6227 genera and 355 plant families. The number of species reported corresponds to 33% of the world total.</w:t>
      </w:r>
      <w:r w:rsidRPr="00886304">
        <w:rPr>
          <w:sz w:val="20"/>
          <w:szCs w:val="20"/>
        </w:rPr>
        <w:t xml:space="preserve"> </w:t>
      </w:r>
    </w:p>
  </w:footnote>
  <w:footnote w:id="13">
    <w:p w14:paraId="012A57AE" w14:textId="77777777" w:rsidR="00E84199" w:rsidRDefault="00E84199"/>
    <w:p w14:paraId="749887E6" w14:textId="77777777" w:rsidR="00E84199" w:rsidRPr="00D53A95" w:rsidRDefault="00E84199" w:rsidP="007D620C">
      <w:pPr>
        <w:pStyle w:val="FootnoteText"/>
        <w:jc w:val="left"/>
        <w:rPr>
          <w:rStyle w:val="FootnoteReference"/>
          <w:lang w:val="en-US"/>
        </w:rPr>
      </w:pPr>
    </w:p>
  </w:footnote>
  <w:footnote w:id="14">
    <w:p w14:paraId="19315984" w14:textId="77777777" w:rsidR="00E84199" w:rsidRPr="00D53A95" w:rsidRDefault="00E84199" w:rsidP="00B131E2">
      <w:pPr>
        <w:pStyle w:val="FootnoteText"/>
        <w:rPr>
          <w:sz w:val="18"/>
          <w:lang w:val="en-US"/>
        </w:rPr>
      </w:pPr>
      <w:r w:rsidRPr="00ED6262">
        <w:rPr>
          <w:rStyle w:val="FootnoteReference"/>
        </w:rPr>
        <w:footnoteRef/>
      </w:r>
      <w:r w:rsidRPr="00D53A95">
        <w:rPr>
          <w:sz w:val="18"/>
          <w:lang w:val="en-US"/>
        </w:rPr>
        <w:t xml:space="preserve"> </w:t>
      </w:r>
      <w:hyperlink r:id="rId2" w:history="1">
        <w:r w:rsidRPr="00D53A95">
          <w:rPr>
            <w:rStyle w:val="Hyperlink"/>
            <w:sz w:val="18"/>
            <w:lang w:val="en-US"/>
          </w:rPr>
          <w:t>http://ipco.gob.mx/images/documentos/estudios/piam_colima_final_2010.pdf</w:t>
        </w:r>
      </w:hyperlink>
    </w:p>
    <w:p w14:paraId="7DD8D2E6" w14:textId="3A413C40" w:rsidR="00E84199" w:rsidRPr="00D53A95" w:rsidRDefault="00E84199">
      <w:pPr>
        <w:pStyle w:val="FootnoteText"/>
        <w:rPr>
          <w:sz w:val="18"/>
          <w:lang w:val="en-US"/>
        </w:rPr>
      </w:pPr>
    </w:p>
  </w:footnote>
  <w:footnote w:id="15">
    <w:p w14:paraId="021FBF10" w14:textId="23905CF0" w:rsidR="00E84199" w:rsidRPr="00165D1C" w:rsidRDefault="00E84199" w:rsidP="001E61A6">
      <w:pPr>
        <w:pStyle w:val="FootnoteText"/>
        <w:rPr>
          <w:highlight w:val="red"/>
          <w:lang w:val="en-US"/>
        </w:rPr>
      </w:pPr>
      <w:r w:rsidRPr="00CD160A">
        <w:rPr>
          <w:rStyle w:val="FootnoteReference"/>
        </w:rPr>
        <w:footnoteRef/>
      </w:r>
      <w:r w:rsidRPr="00165D1C">
        <w:rPr>
          <w:sz w:val="18"/>
          <w:lang w:val="en-GB"/>
        </w:rPr>
        <w:t xml:space="preserve"> Based on constant 2010 US</w:t>
      </w:r>
      <w:r>
        <w:rPr>
          <w:sz w:val="18"/>
          <w:lang w:val="en-GB"/>
        </w:rPr>
        <w:t xml:space="preserve">A </w:t>
      </w:r>
      <w:r w:rsidRPr="00165D1C">
        <w:rPr>
          <w:sz w:val="18"/>
          <w:lang w:val="en-GB"/>
        </w:rPr>
        <w:t>D</w:t>
      </w:r>
      <w:r>
        <w:rPr>
          <w:sz w:val="18"/>
          <w:lang w:val="en-GB"/>
        </w:rPr>
        <w:t>ollars</w:t>
      </w:r>
      <w:r w:rsidRPr="00165D1C">
        <w:rPr>
          <w:sz w:val="18"/>
          <w:lang w:val="en-GB"/>
        </w:rPr>
        <w:t xml:space="preserve"> (see Table 4.1)</w:t>
      </w:r>
    </w:p>
  </w:footnote>
  <w:footnote w:id="16">
    <w:p w14:paraId="16F185E2" w14:textId="47A0783C" w:rsidR="00E84199" w:rsidRPr="00165D1C" w:rsidRDefault="00E84199" w:rsidP="001E61A6">
      <w:pPr>
        <w:pStyle w:val="FootnoteText"/>
        <w:rPr>
          <w:sz w:val="18"/>
          <w:lang w:val="en-US"/>
        </w:rPr>
      </w:pPr>
      <w:r w:rsidRPr="00CD160A">
        <w:rPr>
          <w:rStyle w:val="FootnoteReference"/>
        </w:rPr>
        <w:footnoteRef/>
      </w:r>
      <w:r w:rsidRPr="00165D1C">
        <w:rPr>
          <w:sz w:val="18"/>
          <w:lang w:val="en-US"/>
        </w:rPr>
        <w:t xml:space="preserve"> Based on constant 2010 US</w:t>
      </w:r>
      <w:r>
        <w:rPr>
          <w:sz w:val="18"/>
          <w:lang w:val="en-US"/>
        </w:rPr>
        <w:t xml:space="preserve">A </w:t>
      </w:r>
      <w:r w:rsidRPr="00165D1C">
        <w:rPr>
          <w:sz w:val="18"/>
          <w:lang w:val="en-US"/>
        </w:rPr>
        <w:t>D</w:t>
      </w:r>
      <w:r>
        <w:rPr>
          <w:sz w:val="18"/>
          <w:lang w:val="en-US"/>
        </w:rPr>
        <w:t>ollars</w:t>
      </w:r>
      <w:r w:rsidRPr="00165D1C">
        <w:rPr>
          <w:sz w:val="18"/>
          <w:lang w:val="en-US"/>
        </w:rPr>
        <w:t xml:space="preserve"> (see Table 4.1)</w:t>
      </w:r>
    </w:p>
  </w:footnote>
  <w:footnote w:id="17">
    <w:p w14:paraId="4AA9E401" w14:textId="77777777" w:rsidR="00E84199" w:rsidRPr="00102C3A" w:rsidRDefault="00E84199" w:rsidP="001E61A6">
      <w:pPr>
        <w:pStyle w:val="FootnoteText"/>
        <w:rPr>
          <w:lang w:val="en-US"/>
        </w:rPr>
      </w:pPr>
      <w:r w:rsidRPr="00562576">
        <w:rPr>
          <w:rStyle w:val="FootnoteReference"/>
        </w:rPr>
        <w:footnoteRef/>
      </w:r>
      <w:r w:rsidRPr="00102C3A">
        <w:rPr>
          <w:sz w:val="18"/>
          <w:lang w:val="en-US"/>
        </w:rPr>
        <w:t xml:space="preserve"> Data available at </w:t>
      </w:r>
      <w:hyperlink r:id="rId3" w:history="1">
        <w:r w:rsidRPr="00102C3A">
          <w:rPr>
            <w:rStyle w:val="Hyperlink"/>
            <w:sz w:val="18"/>
            <w:lang w:val="en-US"/>
          </w:rPr>
          <w:t>http://databank.worldbank.org/data/reports.aspx</w:t>
        </w:r>
      </w:hyperlink>
    </w:p>
  </w:footnote>
  <w:footnote w:id="18">
    <w:p w14:paraId="729CCDFB" w14:textId="77777777" w:rsidR="00E84199" w:rsidRPr="00165D1C" w:rsidRDefault="00E84199" w:rsidP="001E61A6">
      <w:pPr>
        <w:pStyle w:val="FootnoteText"/>
        <w:rPr>
          <w:sz w:val="18"/>
          <w:lang w:val="en-GB"/>
        </w:rPr>
      </w:pPr>
      <w:r w:rsidRPr="00562576">
        <w:rPr>
          <w:rStyle w:val="FootnoteReference"/>
        </w:rPr>
        <w:footnoteRef/>
      </w:r>
      <w:r w:rsidRPr="00165D1C">
        <w:rPr>
          <w:sz w:val="18"/>
          <w:lang w:val="en-GB"/>
        </w:rPr>
        <w:t xml:space="preserve"> </w:t>
      </w:r>
      <w:r w:rsidRPr="00165D1C">
        <w:rPr>
          <w:sz w:val="18"/>
          <w:lang w:val="en-US"/>
        </w:rPr>
        <w:t xml:space="preserve">Data available at </w:t>
      </w:r>
      <w:hyperlink r:id="rId4" w:history="1">
        <w:r w:rsidRPr="00165D1C">
          <w:rPr>
            <w:rStyle w:val="Hyperlink"/>
            <w:sz w:val="18"/>
            <w:lang w:val="en-GB"/>
          </w:rPr>
          <w:t>http://databank.worldbank.org/data/reports.aspx</w:t>
        </w:r>
      </w:hyperlink>
    </w:p>
  </w:footnote>
  <w:footnote w:id="19">
    <w:p w14:paraId="04970B4D" w14:textId="77777777" w:rsidR="00E84199" w:rsidRPr="00165D1C" w:rsidRDefault="00E84199" w:rsidP="001E61A6">
      <w:pPr>
        <w:pStyle w:val="FootnoteText"/>
        <w:rPr>
          <w:sz w:val="18"/>
          <w:lang w:val="en-GB"/>
        </w:rPr>
      </w:pPr>
      <w:r w:rsidRPr="00CA38B7">
        <w:rPr>
          <w:rStyle w:val="FootnoteReference"/>
        </w:rPr>
        <w:footnoteRef/>
      </w:r>
      <w:r w:rsidRPr="00165D1C">
        <w:rPr>
          <w:sz w:val="18"/>
          <w:lang w:val="en-GB"/>
        </w:rPr>
        <w:t xml:space="preserve"> </w:t>
      </w:r>
      <w:r w:rsidRPr="00165D1C">
        <w:rPr>
          <w:sz w:val="18"/>
          <w:lang w:val="en-US"/>
        </w:rPr>
        <w:t xml:space="preserve">Data available at </w:t>
      </w:r>
      <w:hyperlink r:id="rId5" w:history="1">
        <w:r w:rsidRPr="00165D1C">
          <w:rPr>
            <w:rStyle w:val="Hyperlink"/>
            <w:sz w:val="18"/>
            <w:lang w:val="en-GB"/>
          </w:rPr>
          <w:t>http://data.worldbank.org/indicator/</w:t>
        </w:r>
      </w:hyperlink>
    </w:p>
  </w:footnote>
  <w:footnote w:id="20">
    <w:p w14:paraId="5E26DFA8" w14:textId="00C65538" w:rsidR="00E84199" w:rsidRPr="00077BB8" w:rsidRDefault="00E84199" w:rsidP="001E61A6">
      <w:pPr>
        <w:pStyle w:val="FootnoteText"/>
        <w:rPr>
          <w:color w:val="0000FF" w:themeColor="hyperlink"/>
          <w:sz w:val="18"/>
          <w:szCs w:val="18"/>
          <w:u w:val="single"/>
          <w:lang w:val="en-GB"/>
        </w:rPr>
      </w:pPr>
      <w:r w:rsidRPr="00CA38B7">
        <w:rPr>
          <w:rStyle w:val="FootnoteReference"/>
        </w:rPr>
        <w:footnoteRef/>
      </w:r>
      <w:r w:rsidRPr="00077BB8">
        <w:rPr>
          <w:sz w:val="18"/>
          <w:szCs w:val="18"/>
          <w:lang w:val="en-GB"/>
        </w:rPr>
        <w:t xml:space="preserve"> </w:t>
      </w:r>
      <w:r w:rsidRPr="00077BB8">
        <w:rPr>
          <w:sz w:val="18"/>
          <w:szCs w:val="18"/>
          <w:lang w:val="en-US"/>
        </w:rPr>
        <w:t xml:space="preserve">Data available at </w:t>
      </w:r>
      <w:hyperlink r:id="rId6" w:history="1">
        <w:r w:rsidRPr="00077BB8">
          <w:rPr>
            <w:rStyle w:val="Hyperlink"/>
            <w:sz w:val="18"/>
            <w:szCs w:val="18"/>
            <w:lang w:val="en-GB"/>
          </w:rPr>
          <w:t>http://data.worldbank.org/indicator/</w:t>
        </w:r>
      </w:hyperlink>
    </w:p>
  </w:footnote>
  <w:footnote w:id="21">
    <w:p w14:paraId="1DDF381E" w14:textId="5D221E15" w:rsidR="00E84199" w:rsidRPr="00077BB8" w:rsidRDefault="00E84199" w:rsidP="001E61A6">
      <w:pPr>
        <w:rPr>
          <w:sz w:val="18"/>
          <w:szCs w:val="18"/>
        </w:rPr>
      </w:pPr>
      <w:r w:rsidRPr="00CA38B7">
        <w:rPr>
          <w:rStyle w:val="FootnoteReference"/>
          <w:szCs w:val="22"/>
        </w:rPr>
        <w:footnoteRef/>
      </w:r>
      <w:r w:rsidRPr="00077BB8">
        <w:rPr>
          <w:sz w:val="18"/>
          <w:szCs w:val="18"/>
        </w:rPr>
        <w:t xml:space="preserve"> Based on IMF (2014 &amp; 2015).</w:t>
      </w:r>
    </w:p>
  </w:footnote>
  <w:footnote w:id="22">
    <w:p w14:paraId="069AD3F7" w14:textId="3AA194F9" w:rsidR="00E84199" w:rsidRPr="00077BB8" w:rsidRDefault="00E84199" w:rsidP="001E61A6">
      <w:pPr>
        <w:rPr>
          <w:sz w:val="18"/>
          <w:szCs w:val="18"/>
        </w:rPr>
      </w:pPr>
      <w:r w:rsidRPr="00CA38B7">
        <w:rPr>
          <w:rStyle w:val="FootnoteReference"/>
          <w:szCs w:val="22"/>
        </w:rPr>
        <w:footnoteRef/>
      </w:r>
      <w:r>
        <w:rPr>
          <w:sz w:val="18"/>
          <w:szCs w:val="18"/>
        </w:rPr>
        <w:t>The nitrogen loss i</w:t>
      </w:r>
      <w:r w:rsidRPr="00077BB8">
        <w:rPr>
          <w:sz w:val="18"/>
          <w:szCs w:val="18"/>
        </w:rPr>
        <w:t xml:space="preserve">ndicator was developed for the CBD and represents the potential nitrogen pollution from all sources within a country or region as a result of the production and consumption of food and the use of energy </w:t>
      </w:r>
      <w:r w:rsidRPr="00077BB8">
        <w:rPr>
          <w:sz w:val="18"/>
          <w:szCs w:val="18"/>
        </w:rPr>
        <w:fldChar w:fldCharType="begin" w:fldLock="1"/>
      </w:r>
      <w:r w:rsidRPr="00077BB8">
        <w:rPr>
          <w:sz w:val="18"/>
          <w:szCs w:val="18"/>
        </w:rPr>
        <w:instrText>ADDIN CSL_CITATION { "citationItems" : [ { "id" : "ITEM-1", "itemData" : { "DOI" : "10.1007/s13398-014-0173-7.2", "ISBN" : "9780874216561", "ISSN" : "0717-6163", "PMID" : "15003161", "abstract" : "The objective of this case study was to obtain some first-hand information about the functional consequences of a cosmetic tongue split operation for speech and tongue motility. One male patient who had performed the operation on himself was interviewed and underwent a tongue motility assessment, as well as an ultrasound examination. Tongue motility was mildly reduced as a result of tissue scarring. Speech was rated to be fully intelligible and highly acceptable by 4 raters, although 2 raters noticed slight distortions of the sibilants /s/ and /z/. The 3-dimensional ultrasound demonstrated that the synergy of the 2 sides of the tongue was preserved. A notably deep posterior genioglossus furrow indicated compensation for the reduced length of the tongue blade. It is concluded that the tongue split procedure did not significantly affect the participant's speech intelligibility and tongue motility.", "author" : [ { "dropping-particle" : "", "family" : "WWF", "given" : "", "non-dropping-particle" : "", "parse-names" : false, "suffix" : "" } ], "container-title" : "research accunting", "id" : "ITEM-1", "issue" : "1", "issued" : { "date-parts" : [ [ "2014" ] ] }, "page" : "180", "title" : "Living Planet Report 2014: Species and spaces, people and places", "type" : "article-journal", "volume" : "1" }, "uris" : [ "http://www.mendeley.com/documents/?uuid=862ebb4d-a964-4444-bba1-0bf810773fd1" ] } ], "mendeley" : { "formattedCitation" : "(WWF 2014)", "plainTextFormattedCitation" : "(WWF 2014)", "previouslyFormattedCitation" : "(WWF 2014)" }, "properties" : { "noteIndex" : 0 }, "schema" : "https://github.com/citation-style-language/schema/raw/master/csl-citation.json" }</w:instrText>
      </w:r>
      <w:r w:rsidRPr="00077BB8">
        <w:rPr>
          <w:sz w:val="18"/>
          <w:szCs w:val="18"/>
        </w:rPr>
        <w:fldChar w:fldCharType="separate"/>
      </w:r>
      <w:r w:rsidRPr="00077BB8">
        <w:rPr>
          <w:noProof/>
          <w:sz w:val="18"/>
          <w:szCs w:val="18"/>
        </w:rPr>
        <w:t>(WWF</w:t>
      </w:r>
      <w:r>
        <w:rPr>
          <w:noProof/>
          <w:sz w:val="18"/>
          <w:szCs w:val="18"/>
        </w:rPr>
        <w:t>,</w:t>
      </w:r>
      <w:r w:rsidRPr="00077BB8">
        <w:rPr>
          <w:noProof/>
          <w:sz w:val="18"/>
          <w:szCs w:val="18"/>
        </w:rPr>
        <w:t xml:space="preserve"> 2014)</w:t>
      </w:r>
      <w:r w:rsidRPr="00077BB8">
        <w:rPr>
          <w:sz w:val="18"/>
          <w:szCs w:val="18"/>
        </w:rPr>
        <w:fldChar w:fldCharType="end"/>
      </w:r>
      <w:r w:rsidRPr="00077BB8">
        <w:rPr>
          <w:sz w:val="18"/>
          <w:szCs w:val="18"/>
        </w:rPr>
        <w:t>.</w:t>
      </w:r>
    </w:p>
  </w:footnote>
  <w:footnote w:id="23">
    <w:p w14:paraId="7CC2580F" w14:textId="77777777" w:rsidR="00E84199" w:rsidRPr="00077BB8" w:rsidRDefault="00E84199" w:rsidP="00274C8E">
      <w:pPr>
        <w:autoSpaceDE w:val="0"/>
        <w:autoSpaceDN w:val="0"/>
        <w:adjustRightInd w:val="0"/>
        <w:rPr>
          <w:sz w:val="18"/>
          <w:szCs w:val="18"/>
        </w:rPr>
      </w:pPr>
      <w:r w:rsidRPr="00CA38B7">
        <w:rPr>
          <w:rStyle w:val="FootnoteReference"/>
          <w:szCs w:val="22"/>
        </w:rPr>
        <w:footnoteRef/>
      </w:r>
      <w:r w:rsidRPr="00077BB8">
        <w:rPr>
          <w:sz w:val="18"/>
          <w:szCs w:val="18"/>
        </w:rPr>
        <w:t xml:space="preserve"> The export diversification index is calculated by measuring the absolute deviation of the export structure of a country from world structure. This index takes values between 0 and 1. A value closer to 1 indicates greater divergence from the world pattern (UNCTAD, 2016)</w:t>
      </w:r>
    </w:p>
  </w:footnote>
  <w:footnote w:id="24">
    <w:p w14:paraId="46B93388" w14:textId="77777777" w:rsidR="00E84199" w:rsidRPr="00077BB8" w:rsidRDefault="00E84199" w:rsidP="001E61A6">
      <w:pPr>
        <w:pStyle w:val="FootnoteText"/>
        <w:rPr>
          <w:sz w:val="18"/>
          <w:szCs w:val="18"/>
          <w:lang w:val="en-GB"/>
        </w:rPr>
      </w:pPr>
      <w:r w:rsidRPr="00813E65">
        <w:rPr>
          <w:rStyle w:val="FootnoteReference"/>
        </w:rPr>
        <w:footnoteRef/>
      </w:r>
      <w:r w:rsidRPr="00077BB8">
        <w:rPr>
          <w:sz w:val="18"/>
          <w:szCs w:val="18"/>
          <w:lang w:val="en-GB"/>
        </w:rPr>
        <w:t xml:space="preserve"> </w:t>
      </w:r>
      <w:r w:rsidRPr="00077BB8">
        <w:rPr>
          <w:sz w:val="18"/>
          <w:szCs w:val="18"/>
          <w:lang w:val="en-US"/>
        </w:rPr>
        <w:t xml:space="preserve">Data available at </w:t>
      </w:r>
      <w:hyperlink r:id="rId7" w:history="1">
        <w:r w:rsidRPr="00077BB8">
          <w:rPr>
            <w:rStyle w:val="Hyperlink"/>
            <w:sz w:val="18"/>
            <w:szCs w:val="18"/>
            <w:lang w:val="en-GB"/>
          </w:rPr>
          <w:t>http://data.worldbank.org/indicator/</w:t>
        </w:r>
      </w:hyperlink>
    </w:p>
  </w:footnote>
  <w:footnote w:id="25">
    <w:p w14:paraId="49FABA74" w14:textId="77777777" w:rsidR="00E84199" w:rsidRPr="00077BB8" w:rsidRDefault="00E84199" w:rsidP="001E61A6">
      <w:pPr>
        <w:pStyle w:val="FootnoteText"/>
        <w:rPr>
          <w:sz w:val="18"/>
          <w:szCs w:val="18"/>
          <w:lang w:val="en-GB"/>
        </w:rPr>
      </w:pPr>
      <w:r w:rsidRPr="00AC5741">
        <w:rPr>
          <w:rStyle w:val="FootnoteReference"/>
        </w:rPr>
        <w:footnoteRef/>
      </w:r>
      <w:r w:rsidRPr="00077BB8">
        <w:rPr>
          <w:sz w:val="18"/>
          <w:szCs w:val="18"/>
          <w:lang w:val="en-GB"/>
        </w:rPr>
        <w:t xml:space="preserve"> </w:t>
      </w:r>
      <w:hyperlink r:id="rId8" w:history="1">
        <w:r w:rsidRPr="00077BB8">
          <w:rPr>
            <w:rStyle w:val="Hyperlink"/>
            <w:sz w:val="18"/>
            <w:szCs w:val="18"/>
            <w:lang w:val="en-GB"/>
          </w:rPr>
          <w:t>http://ticdata.treasury.gov/Publish/debta2017q1.html</w:t>
        </w:r>
      </w:hyperlink>
      <w:r w:rsidRPr="00077BB8">
        <w:rPr>
          <w:sz w:val="18"/>
          <w:szCs w:val="18"/>
          <w:lang w:val="en-GB"/>
        </w:rPr>
        <w:t xml:space="preserve">; </w:t>
      </w:r>
      <w:hyperlink r:id="rId9" w:history="1">
        <w:r w:rsidRPr="00077BB8">
          <w:rPr>
            <w:rStyle w:val="Hyperlink"/>
            <w:sz w:val="18"/>
            <w:szCs w:val="18"/>
            <w:lang w:val="en-GB"/>
          </w:rPr>
          <w:t>http://www.indexmundi.com/united_states/debt_external.html</w:t>
        </w:r>
      </w:hyperlink>
      <w:r w:rsidRPr="00077BB8">
        <w:rPr>
          <w:sz w:val="18"/>
          <w:szCs w:val="18"/>
          <w:lang w:val="en-GB"/>
        </w:rPr>
        <w:t xml:space="preserve">; </w:t>
      </w:r>
      <w:hyperlink r:id="rId10" w:history="1">
        <w:r w:rsidRPr="00077BB8">
          <w:rPr>
            <w:rStyle w:val="Hyperlink"/>
            <w:sz w:val="18"/>
            <w:szCs w:val="18"/>
            <w:lang w:val="en-GB"/>
          </w:rPr>
          <w:t>http://www.statcan.gc.ca/tables-tableaux/sum-som/l01/cst01/indi01j-eng.htm</w:t>
        </w:r>
      </w:hyperlink>
      <w:r w:rsidRPr="00077BB8">
        <w:rPr>
          <w:sz w:val="18"/>
          <w:szCs w:val="18"/>
          <w:lang w:val="en-GB"/>
        </w:rPr>
        <w:t xml:space="preserve">. </w:t>
      </w:r>
    </w:p>
  </w:footnote>
  <w:footnote w:id="26">
    <w:p w14:paraId="32CFCA02" w14:textId="77777777" w:rsidR="00E84199" w:rsidRPr="003E1C3E" w:rsidRDefault="00E84199" w:rsidP="001E61A6">
      <w:pPr>
        <w:pStyle w:val="FootnoteText"/>
        <w:rPr>
          <w:sz w:val="18"/>
          <w:lang w:val="en-GB"/>
        </w:rPr>
      </w:pPr>
      <w:r w:rsidRPr="00BD2708">
        <w:rPr>
          <w:rStyle w:val="FootnoteReference"/>
        </w:rPr>
        <w:footnoteRef/>
      </w:r>
      <w:r w:rsidRPr="003E1C3E">
        <w:rPr>
          <w:sz w:val="18"/>
          <w:lang w:val="en-GB"/>
        </w:rPr>
        <w:t xml:space="preserve"> </w:t>
      </w:r>
      <w:r w:rsidRPr="003E1C3E">
        <w:rPr>
          <w:sz w:val="18"/>
          <w:szCs w:val="22"/>
          <w:lang w:val="en-US"/>
        </w:rPr>
        <w:t xml:space="preserve">Data available at </w:t>
      </w:r>
      <w:hyperlink r:id="rId11" w:history="1">
        <w:r w:rsidRPr="003E1C3E">
          <w:rPr>
            <w:rStyle w:val="Hyperlink"/>
            <w:sz w:val="18"/>
            <w:lang w:val="en-GB"/>
          </w:rPr>
          <w:t>http://data.worldbank.org/indicator/</w:t>
        </w:r>
      </w:hyperlink>
    </w:p>
  </w:footnote>
  <w:footnote w:id="27">
    <w:p w14:paraId="68858EB5" w14:textId="77777777" w:rsidR="00E84199" w:rsidRPr="008C738B" w:rsidRDefault="00E84199" w:rsidP="001E61A6">
      <w:pPr>
        <w:pStyle w:val="FootnoteText"/>
        <w:rPr>
          <w:lang w:val="en-GB"/>
        </w:rPr>
      </w:pPr>
      <w:r w:rsidRPr="000F7048">
        <w:rPr>
          <w:rStyle w:val="FootnoteReference"/>
        </w:rPr>
        <w:footnoteRef/>
      </w:r>
      <w:r w:rsidRPr="00D849EA">
        <w:rPr>
          <w:sz w:val="18"/>
          <w:lang w:val="en-GB"/>
        </w:rPr>
        <w:t xml:space="preserve"> Area data are not corrected for inhabitable spaces.</w:t>
      </w:r>
    </w:p>
  </w:footnote>
  <w:footnote w:id="28">
    <w:p w14:paraId="66C0A9BE" w14:textId="77777777" w:rsidR="00E84199" w:rsidRPr="008C738B" w:rsidRDefault="00E84199" w:rsidP="001E61A6">
      <w:pPr>
        <w:pStyle w:val="FootnoteText"/>
        <w:rPr>
          <w:lang w:val="en-GB"/>
        </w:rPr>
      </w:pPr>
      <w:r w:rsidRPr="006155AF">
        <w:rPr>
          <w:rStyle w:val="FootnoteReference"/>
        </w:rPr>
        <w:footnoteRef/>
      </w:r>
      <w:r w:rsidRPr="00DE1782">
        <w:rPr>
          <w:sz w:val="18"/>
          <w:lang w:val="en-GB"/>
        </w:rPr>
        <w:t xml:space="preserve"> </w:t>
      </w:r>
      <w:r w:rsidRPr="00DE1782">
        <w:rPr>
          <w:sz w:val="18"/>
          <w:lang w:val="en-US"/>
        </w:rPr>
        <w:t xml:space="preserve">Data available at  </w:t>
      </w:r>
      <w:hyperlink r:id="rId12" w:history="1">
        <w:r w:rsidRPr="00DE1782">
          <w:rPr>
            <w:rStyle w:val="Hyperlink"/>
            <w:sz w:val="18"/>
            <w:lang w:val="en-GB"/>
          </w:rPr>
          <w:t>http://data.worldbank.org/indicator/</w:t>
        </w:r>
      </w:hyperlink>
    </w:p>
  </w:footnote>
  <w:footnote w:id="29">
    <w:p w14:paraId="083CBEC2" w14:textId="77777777" w:rsidR="00E84199" w:rsidRPr="00077BB8" w:rsidRDefault="00E84199" w:rsidP="001E61A6">
      <w:pPr>
        <w:pStyle w:val="FootnoteText"/>
        <w:rPr>
          <w:sz w:val="18"/>
          <w:szCs w:val="18"/>
          <w:lang w:val="en-GB"/>
        </w:rPr>
      </w:pPr>
      <w:r w:rsidRPr="0059599A">
        <w:rPr>
          <w:rStyle w:val="FootnoteReference"/>
        </w:rPr>
        <w:footnoteRef/>
      </w:r>
      <w:r w:rsidRPr="00077BB8">
        <w:rPr>
          <w:sz w:val="18"/>
          <w:szCs w:val="18"/>
          <w:lang w:val="en-GB"/>
        </w:rPr>
        <w:t xml:space="preserve"> </w:t>
      </w:r>
      <w:r w:rsidRPr="00077BB8">
        <w:rPr>
          <w:sz w:val="18"/>
          <w:szCs w:val="18"/>
          <w:lang w:val="en-US"/>
        </w:rPr>
        <w:t xml:space="preserve">Available at </w:t>
      </w:r>
      <w:hyperlink r:id="rId13" w:history="1">
        <w:r w:rsidRPr="00077BB8">
          <w:rPr>
            <w:rStyle w:val="Hyperlink"/>
            <w:sz w:val="18"/>
            <w:szCs w:val="18"/>
            <w:lang w:val="en-GB"/>
          </w:rPr>
          <w:t>https://www.indexmundi.com/facts/indicators/SI.POV.GINI/rankings/central-america</w:t>
        </w:r>
      </w:hyperlink>
    </w:p>
  </w:footnote>
  <w:footnote w:id="30">
    <w:p w14:paraId="1D6EDF10" w14:textId="77777777" w:rsidR="00E84199" w:rsidRPr="00CC6CB7" w:rsidRDefault="00E84199" w:rsidP="001E61A6">
      <w:pPr>
        <w:pStyle w:val="FootnoteText"/>
        <w:rPr>
          <w:sz w:val="18"/>
          <w:szCs w:val="18"/>
          <w:lang w:val="en-GB"/>
        </w:rPr>
      </w:pPr>
      <w:r w:rsidRPr="00CC6CB7">
        <w:rPr>
          <w:rStyle w:val="FootnoteReference"/>
          <w:sz w:val="18"/>
          <w:szCs w:val="18"/>
        </w:rPr>
        <w:footnoteRef/>
      </w:r>
      <w:r w:rsidRPr="00CC6CB7">
        <w:rPr>
          <w:sz w:val="18"/>
          <w:szCs w:val="18"/>
          <w:lang w:val="en-GB"/>
        </w:rPr>
        <w:t xml:space="preserve"> Available at: </w:t>
      </w:r>
      <w:r w:rsidRPr="00CC6CB7">
        <w:rPr>
          <w:sz w:val="18"/>
          <w:szCs w:val="18"/>
          <w:lang w:val="en-US"/>
        </w:rPr>
        <w:t xml:space="preserve">Povcal Net, Online Database – </w:t>
      </w:r>
      <w:hyperlink r:id="rId14" w:history="1">
        <w:r w:rsidRPr="00CC6CB7">
          <w:rPr>
            <w:rStyle w:val="Hyperlink"/>
            <w:sz w:val="18"/>
            <w:szCs w:val="18"/>
            <w:lang w:val="en-US"/>
          </w:rPr>
          <w:t>http://go.worldbank.org</w:t>
        </w:r>
      </w:hyperlink>
      <w:r w:rsidRPr="00CC6CB7">
        <w:rPr>
          <w:sz w:val="18"/>
          <w:szCs w:val="18"/>
          <w:lang w:val="en-US"/>
        </w:rPr>
        <w:t xml:space="preserve">  </w:t>
      </w:r>
    </w:p>
  </w:footnote>
  <w:footnote w:id="31">
    <w:p w14:paraId="41702056" w14:textId="3C12BEE4" w:rsidR="00E84199" w:rsidRPr="00CC6CB7" w:rsidRDefault="00E84199" w:rsidP="001E61A6">
      <w:pPr>
        <w:pStyle w:val="FootnoteText"/>
        <w:rPr>
          <w:sz w:val="18"/>
          <w:szCs w:val="18"/>
          <w:lang w:val="en-GB"/>
        </w:rPr>
      </w:pPr>
      <w:r w:rsidRPr="00CC6CB7">
        <w:rPr>
          <w:rStyle w:val="FootnoteReference"/>
          <w:sz w:val="18"/>
          <w:szCs w:val="18"/>
        </w:rPr>
        <w:footnoteRef/>
      </w:r>
      <w:r w:rsidRPr="00CC6CB7">
        <w:rPr>
          <w:sz w:val="18"/>
          <w:szCs w:val="18"/>
          <w:lang w:val="en-GB"/>
        </w:rPr>
        <w:t xml:space="preserve"> </w:t>
      </w:r>
      <w:r w:rsidRPr="00CC6CB7">
        <w:rPr>
          <w:sz w:val="18"/>
          <w:szCs w:val="18"/>
          <w:lang w:val="en-US"/>
        </w:rPr>
        <w:t xml:space="preserve">Available at </w:t>
      </w:r>
      <w:hyperlink r:id="rId15" w:history="1">
        <w:r w:rsidRPr="00CC6CB7">
          <w:rPr>
            <w:rStyle w:val="Hyperlink"/>
            <w:sz w:val="18"/>
            <w:szCs w:val="18"/>
            <w:lang w:val="en-GB"/>
          </w:rPr>
          <w:t>http://povertydata.worldbank.org/poverty/region/LAC</w:t>
        </w:r>
      </w:hyperlink>
      <w:r w:rsidRPr="00CC6CB7">
        <w:rPr>
          <w:sz w:val="18"/>
          <w:szCs w:val="18"/>
          <w:lang w:val="en-GB"/>
        </w:rPr>
        <w:t xml:space="preserve"> </w:t>
      </w:r>
      <w:r w:rsidRPr="00CC6CB7">
        <w:rPr>
          <w:sz w:val="18"/>
          <w:szCs w:val="18"/>
          <w:lang w:val="en-US"/>
        </w:rPr>
        <w:t xml:space="preserve"> </w:t>
      </w:r>
    </w:p>
  </w:footnote>
  <w:footnote w:id="32">
    <w:p w14:paraId="195EC7AC" w14:textId="63046E92" w:rsidR="00E84199" w:rsidRPr="00CC6CB7" w:rsidRDefault="00E84199" w:rsidP="009656B5">
      <w:pPr>
        <w:pStyle w:val="FootnoteText"/>
        <w:jc w:val="left"/>
        <w:rPr>
          <w:rFonts w:eastAsia="Times New Roman"/>
          <w:color w:val="0000FF"/>
          <w:sz w:val="18"/>
          <w:szCs w:val="18"/>
          <w:u w:val="single"/>
          <w:lang w:val="en-US" w:eastAsia="en-GB"/>
        </w:rPr>
      </w:pPr>
      <w:r w:rsidRPr="00CC6CB7">
        <w:rPr>
          <w:rStyle w:val="FootnoteReference"/>
          <w:sz w:val="18"/>
          <w:szCs w:val="18"/>
        </w:rPr>
        <w:footnoteRef/>
      </w:r>
      <w:r w:rsidRPr="00CC6CB7">
        <w:rPr>
          <w:sz w:val="18"/>
          <w:szCs w:val="18"/>
          <w:lang w:val="en-GB"/>
        </w:rPr>
        <w:t xml:space="preserve"> </w:t>
      </w:r>
      <w:r w:rsidRPr="00CC6CB7">
        <w:rPr>
          <w:sz w:val="18"/>
          <w:szCs w:val="18"/>
          <w:lang w:val="en-US"/>
        </w:rPr>
        <w:t xml:space="preserve">According to data from the Center for American Progress (2017). Available at </w:t>
      </w:r>
      <w:hyperlink r:id="rId16" w:history="1">
        <w:r w:rsidRPr="00CC6CB7">
          <w:rPr>
            <w:rStyle w:val="Hyperlink"/>
            <w:sz w:val="18"/>
            <w:szCs w:val="18"/>
            <w:lang w:val="en-US" w:eastAsia="en-GB"/>
          </w:rPr>
          <w:t>https://www.census.gov/content/dam/Census/library/publications/2016/demo/p60-256.pdf.</w:t>
        </w:r>
      </w:hyperlink>
      <w:r w:rsidRPr="00CC6CB7">
        <w:rPr>
          <w:rFonts w:eastAsia="Times New Roman"/>
          <w:color w:val="0000FF"/>
          <w:sz w:val="18"/>
          <w:szCs w:val="18"/>
          <w:u w:val="single"/>
          <w:lang w:val="en-US" w:eastAsia="en-GB"/>
        </w:rPr>
        <w:t>, quoted  by https://talkpovertry.org/basics/</w:t>
      </w:r>
    </w:p>
  </w:footnote>
  <w:footnote w:id="33">
    <w:p w14:paraId="4BCDBB12" w14:textId="77777777" w:rsidR="00E84199" w:rsidRPr="00CC6CB7" w:rsidRDefault="00E84199" w:rsidP="001E61A6">
      <w:pPr>
        <w:pStyle w:val="FootnoteText"/>
        <w:rPr>
          <w:sz w:val="18"/>
          <w:szCs w:val="18"/>
          <w:lang w:val="fr-CA"/>
        </w:rPr>
      </w:pPr>
      <w:r w:rsidRPr="00CC6CB7">
        <w:rPr>
          <w:rStyle w:val="FootnoteReference"/>
          <w:sz w:val="18"/>
          <w:szCs w:val="18"/>
        </w:rPr>
        <w:footnoteRef/>
      </w:r>
      <w:r w:rsidRPr="00CC6CB7">
        <w:rPr>
          <w:sz w:val="18"/>
          <w:szCs w:val="18"/>
          <w:lang w:val="fr-CA"/>
        </w:rPr>
        <w:t xml:space="preserve"> </w:t>
      </w:r>
      <w:r w:rsidRPr="00CC6CB7">
        <w:rPr>
          <w:rFonts w:eastAsia="Times New Roman"/>
          <w:sz w:val="18"/>
          <w:szCs w:val="18"/>
          <w:lang w:val="fr-CA" w:eastAsia="en-GB"/>
        </w:rPr>
        <w:t xml:space="preserve">Vintage 2015 Population Estimates: </w:t>
      </w:r>
      <w:r w:rsidRPr="00CC6CB7">
        <w:rPr>
          <w:rFonts w:eastAsia="Times New Roman"/>
          <w:noProof/>
          <w:sz w:val="18"/>
          <w:szCs w:val="18"/>
          <w:lang w:val="fr-CA" w:eastAsia="en-GB"/>
        </w:rPr>
        <w:t>http://nativenewsonline.net/currents/u-s-census-bureau-native-american-statistics/</w:t>
      </w:r>
    </w:p>
  </w:footnote>
  <w:footnote w:id="34">
    <w:p w14:paraId="2E8E83FF" w14:textId="77777777" w:rsidR="00E84199" w:rsidRPr="009656B5" w:rsidRDefault="00E84199" w:rsidP="001E61A6">
      <w:pPr>
        <w:rPr>
          <w:sz w:val="18"/>
          <w:szCs w:val="18"/>
          <w:lang w:val="fr-CA"/>
        </w:rPr>
      </w:pPr>
      <w:r w:rsidRPr="00CC6CB7">
        <w:rPr>
          <w:rStyle w:val="FootnoteReference"/>
          <w:sz w:val="18"/>
          <w:szCs w:val="18"/>
        </w:rPr>
        <w:footnoteRef/>
      </w:r>
      <w:r w:rsidRPr="00CC6CB7">
        <w:rPr>
          <w:sz w:val="18"/>
          <w:szCs w:val="18"/>
          <w:lang w:val="fr-CA"/>
        </w:rPr>
        <w:t xml:space="preserve"> http://www12.statcan.gc.ca/nhs-enm/2011/as-sa/99-011-x/99-011-x2011001-eng.cfm</w:t>
      </w:r>
    </w:p>
  </w:footnote>
  <w:footnote w:id="35">
    <w:p w14:paraId="2C6A9B0A" w14:textId="77777777" w:rsidR="00E84199" w:rsidRPr="00165F74" w:rsidRDefault="00E84199" w:rsidP="001E61A6">
      <w:pPr>
        <w:pStyle w:val="FootnoteText"/>
        <w:rPr>
          <w:sz w:val="18"/>
          <w:szCs w:val="20"/>
          <w:lang w:val="en-US"/>
        </w:rPr>
      </w:pPr>
      <w:r w:rsidRPr="00F4570B">
        <w:rPr>
          <w:rStyle w:val="FootnoteReference"/>
        </w:rPr>
        <w:footnoteRef/>
      </w:r>
      <w:r w:rsidRPr="00165F74">
        <w:rPr>
          <w:sz w:val="18"/>
          <w:lang w:val="en-GB"/>
        </w:rPr>
        <w:t xml:space="preserve"> </w:t>
      </w:r>
      <w:r w:rsidRPr="00165F74">
        <w:rPr>
          <w:rFonts w:eastAsiaTheme="minorEastAsia"/>
          <w:color w:val="262626"/>
          <w:sz w:val="18"/>
          <w:szCs w:val="20"/>
          <w:lang w:val="en-US" w:eastAsia="en-US"/>
        </w:rPr>
        <w:t>Biological soil crusts result from an intimate association between soil particles and cyanobacteria, algae, microfungi, lichens, and bryophytes (in different proportions) which live within, or immediately on top of, the uppermost millimeters of soil. Soil particles are aggregated through the presence and activity of these biota, and the resultant living crust covers the surface of the ground as a coherent layer.</w:t>
      </w:r>
    </w:p>
  </w:footnote>
  <w:footnote w:id="36">
    <w:p w14:paraId="479473D0" w14:textId="77777777" w:rsidR="00E84199" w:rsidRPr="00BE6EBD" w:rsidRDefault="00E84199" w:rsidP="009E18F7">
      <w:pPr>
        <w:pStyle w:val="CommentText"/>
        <w:spacing w:after="0"/>
        <w:rPr>
          <w:sz w:val="18"/>
          <w:szCs w:val="18"/>
          <w:lang w:val="fr-CA"/>
        </w:rPr>
      </w:pPr>
      <w:r w:rsidRPr="00BE6EBD">
        <w:rPr>
          <w:rStyle w:val="FootnoteReference"/>
        </w:rPr>
        <w:footnoteRef/>
      </w:r>
      <w:r w:rsidRPr="00686508">
        <w:rPr>
          <w:sz w:val="18"/>
          <w:szCs w:val="18"/>
        </w:rPr>
        <w:t xml:space="preserve"> </w:t>
      </w:r>
      <w:r w:rsidRPr="00C9172B">
        <w:rPr>
          <w:sz w:val="18"/>
          <w:szCs w:val="18"/>
        </w:rPr>
        <w:t xml:space="preserve">Countries in the Americas that ratified the Indigenous and Tribal Peoples Convention n.169, from the International Labour Organization (1989): Argentina, Bolivia, Brazil, Chile, Colombia, Costa Rica, Dominica, Ecuador, Guatemala, Honduras, Mexico, Nicaragua, Paraguay, Peru, Venezuela. </w:t>
      </w:r>
      <w:r w:rsidRPr="00BE6EBD">
        <w:rPr>
          <w:sz w:val="18"/>
          <w:szCs w:val="18"/>
          <w:lang w:val="fr-CA"/>
        </w:rPr>
        <w:t xml:space="preserve">Source: </w:t>
      </w:r>
      <w:hyperlink r:id="rId17" w:history="1">
        <w:r w:rsidRPr="00BE6EBD">
          <w:rPr>
            <w:rStyle w:val="Hyperlink"/>
            <w:sz w:val="18"/>
            <w:szCs w:val="18"/>
            <w:lang w:val="fr-CA"/>
          </w:rPr>
          <w:t>http://www.ilo.org/dyn/normlex/en/f?p=NORMLEXPUB:11300:0::NO::P11300_INSTRUMENT</w:t>
        </w:r>
      </w:hyperlink>
    </w:p>
  </w:footnote>
  <w:footnote w:id="37">
    <w:p w14:paraId="252BCF53" w14:textId="49403A3C" w:rsidR="00E84199" w:rsidRPr="00BE6EBD" w:rsidRDefault="00E84199" w:rsidP="009E18F7">
      <w:pPr>
        <w:pStyle w:val="FootnoteText"/>
        <w:rPr>
          <w:sz w:val="18"/>
          <w:szCs w:val="18"/>
          <w:lang w:val="fr-CA"/>
        </w:rPr>
      </w:pPr>
      <w:r w:rsidRPr="00BE6EBD">
        <w:rPr>
          <w:rStyle w:val="FootnoteReference"/>
        </w:rPr>
        <w:footnoteRef/>
      </w:r>
      <w:hyperlink r:id="rId18" w:history="1">
        <w:r w:rsidRPr="00BE6EBD">
          <w:rPr>
            <w:rStyle w:val="Hyperlink"/>
            <w:sz w:val="18"/>
            <w:szCs w:val="18"/>
            <w:lang w:val="fr-CA"/>
          </w:rPr>
          <w:t>http://www.un.org/sustainabledevelopment/development-agenda/</w:t>
        </w:r>
      </w:hyperlink>
      <w:r>
        <w:rPr>
          <w:sz w:val="18"/>
          <w:szCs w:val="18"/>
          <w:lang w:val="fr-CA"/>
        </w:rPr>
        <w:t xml:space="preserve"> </w:t>
      </w:r>
      <w:r w:rsidRPr="00BE6EBD">
        <w:rPr>
          <w:sz w:val="18"/>
          <w:szCs w:val="18"/>
          <w:lang w:val="fr-CA"/>
        </w:rPr>
        <w:t xml:space="preserve"> </w:t>
      </w:r>
      <w:hyperlink r:id="rId19" w:history="1">
        <w:r w:rsidRPr="00BE6EBD">
          <w:rPr>
            <w:rStyle w:val="Hyperlink"/>
            <w:sz w:val="18"/>
            <w:szCs w:val="18"/>
            <w:lang w:val="fr-CA"/>
          </w:rPr>
          <w:t>https://sustainabledevelopment.un.org/post2015/transformingourworld</w:t>
        </w:r>
      </w:hyperlink>
      <w:r w:rsidRPr="00BE6EBD">
        <w:rPr>
          <w:sz w:val="18"/>
          <w:szCs w:val="18"/>
          <w:lang w:val="fr-CA"/>
        </w:rPr>
        <w:t xml:space="preserve"> </w:t>
      </w:r>
    </w:p>
  </w:footnote>
  <w:footnote w:id="38">
    <w:p w14:paraId="1CBD780C" w14:textId="77777777" w:rsidR="00E84199" w:rsidRPr="00BE6EBD" w:rsidRDefault="00E84199" w:rsidP="009E18F7">
      <w:pPr>
        <w:pStyle w:val="FootnoteText"/>
        <w:rPr>
          <w:sz w:val="18"/>
          <w:szCs w:val="18"/>
          <w:lang w:val="fr-CA"/>
        </w:rPr>
      </w:pPr>
      <w:r w:rsidRPr="00BE6EBD">
        <w:rPr>
          <w:rStyle w:val="FootnoteReference"/>
        </w:rPr>
        <w:footnoteRef/>
      </w:r>
      <w:r w:rsidRPr="00BE6EBD">
        <w:rPr>
          <w:sz w:val="18"/>
          <w:szCs w:val="18"/>
          <w:lang w:val="fr-CA"/>
        </w:rPr>
        <w:t xml:space="preserve"> </w:t>
      </w:r>
      <w:hyperlink r:id="rId20" w:history="1">
        <w:r w:rsidRPr="00BE6EBD">
          <w:rPr>
            <w:rStyle w:val="Hyperlink"/>
            <w:sz w:val="18"/>
            <w:szCs w:val="18"/>
            <w:lang w:val="fr-CA"/>
          </w:rPr>
          <w:t>http://www.mdgmonitor.org/mdg-progress-report-latin-america-caribbean-2015/</w:t>
        </w:r>
      </w:hyperlink>
      <w:r w:rsidRPr="00BE6EBD">
        <w:rPr>
          <w:sz w:val="18"/>
          <w:szCs w:val="18"/>
          <w:lang w:val="fr-CA"/>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A739AF" w14:textId="2CA4BAFC" w:rsidR="00E84199" w:rsidRPr="00066373" w:rsidRDefault="00E84199" w:rsidP="00066373">
    <w:pPr>
      <w:pBdr>
        <w:bottom w:val="single" w:sz="4" w:space="0" w:color="000000"/>
      </w:pBdr>
      <w:tabs>
        <w:tab w:val="center" w:pos="4536"/>
        <w:tab w:val="right" w:pos="9072"/>
      </w:tabs>
      <w:rPr>
        <w:rFonts w:eastAsia="Calibri" w:cs="Calibri"/>
        <w:b/>
        <w:sz w:val="18"/>
        <w:szCs w:val="18"/>
      </w:rPr>
    </w:pPr>
    <w:r w:rsidRPr="006D40D6">
      <w:rPr>
        <w:rFonts w:eastAsia="Calibri" w:cs="Calibri"/>
        <w:b/>
        <w:sz w:val="18"/>
        <w:szCs w:val="18"/>
      </w:rPr>
      <w:t xml:space="preserve">                                               </w:t>
    </w:r>
    <w:r>
      <w:rPr>
        <w:rFonts w:eastAsia="Calibri" w:cs="Calibri"/>
        <w:b/>
        <w:sz w:val="18"/>
        <w:szCs w:val="18"/>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D211DB" w14:textId="701C030F" w:rsidR="00E84199" w:rsidRPr="005C10F2" w:rsidRDefault="00E84199" w:rsidP="005C10F2">
    <w:pPr>
      <w:pStyle w:val="Header-pool"/>
    </w:pPr>
    <w:r w:rsidRPr="005C10F2">
      <w:t>IPBES/6/INF/4/Rev.1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5254D" w14:textId="35944D38" w:rsidR="00E84199" w:rsidRPr="00400706" w:rsidRDefault="00E84199" w:rsidP="00764223">
    <w:pPr>
      <w:tabs>
        <w:tab w:val="center" w:pos="4536"/>
        <w:tab w:val="right" w:pos="9072"/>
      </w:tabs>
      <w:rPr>
        <w:rFonts w:eastAsia="Calibri" w:cs="Calibri"/>
        <w:b/>
        <w:sz w:val="18"/>
        <w:szCs w:val="18"/>
      </w:rPr>
    </w:pPr>
    <w:r w:rsidRPr="006D40D6">
      <w:rPr>
        <w:rFonts w:eastAsia="Calibri" w:cs="Calibri"/>
        <w:b/>
        <w:sz w:val="18"/>
        <w:szCs w:val="18"/>
      </w:rPr>
      <w:t xml:space="preserve">                                  </w:t>
    </w:r>
    <w:r>
      <w:rPr>
        <w:rFonts w:eastAsia="Calibri" w:cs="Calibri"/>
        <w:b/>
        <w:sz w:val="18"/>
        <w:szCs w:val="18"/>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693C26" w14:textId="0DE9D9C8" w:rsidR="00E84199" w:rsidRPr="009228CB" w:rsidRDefault="00E84199" w:rsidP="009228CB">
    <w:pPr>
      <w:pBdr>
        <w:bottom w:val="single" w:sz="4" w:space="0" w:color="000000"/>
      </w:pBdr>
      <w:tabs>
        <w:tab w:val="center" w:pos="4536"/>
        <w:tab w:val="right" w:pos="9072"/>
      </w:tabs>
      <w:rPr>
        <w:rFonts w:eastAsia="Calibri" w:cs="Calibri"/>
        <w:b/>
        <w:sz w:val="18"/>
        <w:szCs w:val="18"/>
      </w:rPr>
    </w:pPr>
    <w:r>
      <w:rPr>
        <w:b/>
        <w:bCs/>
        <w:color w:val="000000"/>
        <w:sz w:val="20"/>
        <w:szCs w:val="20"/>
        <w:shd w:val="clear" w:color="auto" w:fill="FFFFFF"/>
      </w:rPr>
      <w:t>IPBES</w:t>
    </w:r>
    <w:r>
      <w:rPr>
        <w:color w:val="000000"/>
        <w:sz w:val="20"/>
        <w:szCs w:val="20"/>
        <w:shd w:val="clear" w:color="auto" w:fill="FFFFFF"/>
      </w:rPr>
      <w:t>/6/INF/4/Rev.1</w:t>
    </w:r>
    <w:r>
      <w:rPr>
        <w:rFonts w:eastAsia="Calibri" w:cs="Calibri"/>
        <w:b/>
        <w:sz w:val="18"/>
        <w:szCs w:val="18"/>
      </w:rPr>
      <w:tab/>
    </w:r>
    <w:r>
      <w:rPr>
        <w:rFonts w:eastAsia="Calibri" w:cs="Calibri"/>
        <w:b/>
        <w:sz w:val="18"/>
        <w:szCs w:val="18"/>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0062AD" w14:textId="5FD8E37D" w:rsidR="00E84199" w:rsidRDefault="00E84199" w:rsidP="00E5221B">
    <w:pPr>
      <w:pBdr>
        <w:bottom w:val="single" w:sz="4" w:space="0" w:color="000000"/>
      </w:pBdr>
      <w:tabs>
        <w:tab w:val="center" w:pos="4536"/>
        <w:tab w:val="right" w:pos="9072"/>
      </w:tabs>
      <w:rPr>
        <w:rFonts w:eastAsia="Calibri" w:cs="Calibri"/>
        <w:b/>
        <w:sz w:val="18"/>
        <w:szCs w:val="18"/>
      </w:rPr>
    </w:pPr>
    <w:r>
      <w:rPr>
        <w:b/>
        <w:bCs/>
        <w:color w:val="000000"/>
        <w:sz w:val="20"/>
        <w:szCs w:val="20"/>
        <w:shd w:val="clear" w:color="auto" w:fill="FFFFFF"/>
      </w:rPr>
      <w:t>IPBES</w:t>
    </w:r>
    <w:r>
      <w:rPr>
        <w:color w:val="000000"/>
        <w:sz w:val="20"/>
        <w:szCs w:val="20"/>
        <w:shd w:val="clear" w:color="auto" w:fill="FFFFFF"/>
      </w:rPr>
      <w:t>/6/INF/4/Rev.1</w:t>
    </w:r>
    <w:r>
      <w:rPr>
        <w:rFonts w:eastAsia="Calibri" w:cs="Calibri"/>
        <w:b/>
        <w:sz w:val="18"/>
        <w:szCs w:val="18"/>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02BDB1" w14:textId="77777777" w:rsidR="00E84199" w:rsidRDefault="00E84199">
    <w:pPr>
      <w:pStyle w:val="Header"/>
    </w:pPr>
    <w:r>
      <w:rPr>
        <w:noProof/>
        <w:lang w:val="en-GB" w:eastAsia="en-GB"/>
      </w:rPr>
      <mc:AlternateContent>
        <mc:Choice Requires="wps">
          <w:drawing>
            <wp:anchor distT="0" distB="0" distL="114300" distR="114300" simplePos="0" relativeHeight="251659264" behindDoc="1" locked="0" layoutInCell="1" allowOverlap="1" wp14:anchorId="22CB3AE5" wp14:editId="699F2D72">
              <wp:simplePos x="0" y="0"/>
              <wp:positionH relativeFrom="margin">
                <wp:align>center</wp:align>
              </wp:positionH>
              <wp:positionV relativeFrom="margin">
                <wp:align>center</wp:align>
              </wp:positionV>
              <wp:extent cx="7252970" cy="108585"/>
              <wp:effectExtent l="0" t="2400300" r="0" b="2274570"/>
              <wp:wrapNone/>
              <wp:docPr id="2152"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52970" cy="1085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A1EA393" w14:textId="77777777" w:rsidR="00E84199" w:rsidRDefault="00E84199" w:rsidP="008568BE">
                          <w:pPr>
                            <w:pStyle w:val="NormalWeb"/>
                            <w:jc w:val="center"/>
                          </w:pPr>
                          <w:r>
                            <w:rPr>
                              <w:b/>
                              <w:bCs/>
                              <w:color w:val="D9D9D9" w:themeColor="background1" w:themeShade="D9"/>
                              <w:sz w:val="2"/>
                              <w:szCs w:val="2"/>
                            </w:rPr>
                            <w:t>CONFIDENTIAL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2CB3AE5" id="_x0000_t202" coordsize="21600,21600" o:spt="202" path="m,l,21600r21600,l21600,xe">
              <v:stroke joinstyle="miter"/>
              <v:path gradientshapeok="t" o:connecttype="rect"/>
            </v:shapetype>
            <v:shape id="WordArt 6" o:spid="_x0000_s1026" type="#_x0000_t202" style="position:absolute;left:0;text-align:left;margin-left:0;margin-top:0;width:571.1pt;height:8.55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" filled="f" stroked="f">
              <v:stroke joinstyle="round"/>
              <o:lock v:ext="edit" shapetype="t"/>
              <v:textbox style="mso-fit-shape-to-text:t">
                <w:txbxContent>
                  <w:p w14:paraId="1A1EA393" w14:textId="77777777" w:rsidR="00E84199" w:rsidRDefault="00E84199" w:rsidP="008568BE">
                    <w:pPr>
                      <w:pStyle w:val="NormalWeb"/>
                      <w:jc w:val="center"/>
                    </w:pPr>
                    <w:r>
                      <w:rPr>
                        <w:b/>
                        <w:bCs/>
                        <w:color w:val="D9D9D9" w:themeColor="background1" w:themeShade="D9"/>
                        <w:sz w:val="2"/>
                        <w:szCs w:val="2"/>
                      </w:rPr>
                      <w:t>CONFIDENTIAL DRAFT</w:t>
                    </w:r>
                  </w:p>
                </w:txbxContent>
              </v:textbox>
              <w10:wrap anchorx="margin"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DEDE57" w14:textId="17E65268" w:rsidR="00E84199" w:rsidRPr="009228CB" w:rsidRDefault="00E84199" w:rsidP="009228CB">
    <w:pPr>
      <w:pBdr>
        <w:bottom w:val="single" w:sz="4" w:space="0" w:color="000000"/>
      </w:pBdr>
      <w:tabs>
        <w:tab w:val="center" w:pos="4536"/>
        <w:tab w:val="right" w:pos="9072"/>
      </w:tabs>
      <w:rPr>
        <w:rFonts w:eastAsia="Calibri" w:cs="Calibri"/>
        <w:b/>
        <w:sz w:val="18"/>
        <w:szCs w:val="18"/>
      </w:rPr>
    </w:pPr>
    <w:r>
      <w:rPr>
        <w:b/>
        <w:bCs/>
        <w:color w:val="000000"/>
        <w:sz w:val="20"/>
        <w:szCs w:val="20"/>
        <w:shd w:val="clear" w:color="auto" w:fill="FFFFFF"/>
      </w:rPr>
      <w:t>IPBES</w:t>
    </w:r>
    <w:r>
      <w:rPr>
        <w:color w:val="000000"/>
        <w:sz w:val="20"/>
        <w:szCs w:val="20"/>
        <w:shd w:val="clear" w:color="auto" w:fill="FFFFFF"/>
      </w:rPr>
      <w:t>/6/INF/4/Rev.1</w:t>
    </w:r>
    <w:r>
      <w:rPr>
        <w:rFonts w:eastAsia="Calibri" w:cs="Calibri"/>
        <w:b/>
        <w:sz w:val="18"/>
        <w:szCs w:val="18"/>
      </w:rPr>
      <w:tab/>
    </w:r>
    <w:r>
      <w:rPr>
        <w:rFonts w:eastAsia="Calibri" w:cs="Calibri"/>
        <w:b/>
        <w:sz w:val="18"/>
        <w:szCs w:val="18"/>
      </w:rPr>
      <w:tab/>
    </w:r>
    <w:r>
      <w:rPr>
        <w:rFonts w:eastAsia="Calibri" w:cs="Calibri"/>
        <w:b/>
        <w:sz w:val="18"/>
        <w:szCs w:val="18"/>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F616D" w14:textId="11AFACAF" w:rsidR="00E84199" w:rsidRPr="009228CB" w:rsidRDefault="00E84199" w:rsidP="009228CB">
    <w:pPr>
      <w:pBdr>
        <w:bottom w:val="single" w:sz="4" w:space="0" w:color="000000"/>
      </w:pBdr>
      <w:tabs>
        <w:tab w:val="center" w:pos="4536"/>
        <w:tab w:val="right" w:pos="9072"/>
      </w:tabs>
      <w:rPr>
        <w:rFonts w:eastAsia="Calibri" w:cs="Calibri"/>
        <w:b/>
        <w:sz w:val="18"/>
        <w:szCs w:val="18"/>
      </w:rPr>
    </w:pPr>
    <w:r>
      <w:rPr>
        <w:b/>
        <w:bCs/>
        <w:color w:val="000000"/>
        <w:sz w:val="20"/>
        <w:szCs w:val="20"/>
        <w:shd w:val="clear" w:color="auto" w:fill="FFFFFF"/>
      </w:rPr>
      <w:t>IPBES</w:t>
    </w:r>
    <w:r>
      <w:rPr>
        <w:color w:val="000000"/>
        <w:sz w:val="20"/>
        <w:szCs w:val="20"/>
        <w:shd w:val="clear" w:color="auto" w:fill="FFFFFF"/>
      </w:rPr>
      <w:t>/6/INF/4/Rev.1</w:t>
    </w:r>
    <w:r>
      <w:rPr>
        <w:rFonts w:eastAsia="Calibri" w:cs="Calibri"/>
        <w:b/>
        <w:sz w:val="18"/>
        <w:szCs w:val="18"/>
      </w:rPr>
      <w:tab/>
    </w:r>
    <w:r>
      <w:rPr>
        <w:rFonts w:eastAsia="Calibri" w:cs="Calibri"/>
        <w:b/>
        <w:sz w:val="18"/>
        <w:szCs w:val="18"/>
      </w:rPr>
      <w:tab/>
    </w:r>
    <w:r>
      <w:rPr>
        <w:rFonts w:eastAsia="Calibri" w:cs="Calibri"/>
        <w:b/>
        <w:sz w:val="18"/>
        <w:szCs w:val="18"/>
      </w:rP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B495F" w14:textId="77777777" w:rsidR="00E84199" w:rsidRDefault="00E841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11E8B9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B6AD17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200705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3FCC2E4"/>
    <w:lvl w:ilvl="0">
      <w:start w:val="1"/>
      <w:numFmt w:val="decimal"/>
      <w:pStyle w:val="ListNumber2"/>
      <w:lvlText w:val="%1."/>
      <w:lvlJc w:val="left"/>
      <w:pPr>
        <w:tabs>
          <w:tab w:val="num" w:pos="643"/>
        </w:tabs>
        <w:ind w:left="643" w:hanging="360"/>
      </w:pPr>
    </w:lvl>
  </w:abstractNum>
  <w:abstractNum w:abstractNumId="4" w15:restartNumberingAfterBreak="0">
    <w:nsid w:val="FFFFFF81"/>
    <w:multiLevelType w:val="singleLevel"/>
    <w:tmpl w:val="DE72578C"/>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3028CCFE"/>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6E96E4D4"/>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257440EC"/>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5EF8C21E"/>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2872B7D"/>
    <w:multiLevelType w:val="hybridMultilevel"/>
    <w:tmpl w:val="51E07138"/>
    <w:lvl w:ilvl="0" w:tplc="A776FCD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044A3B3E"/>
    <w:multiLevelType w:val="multilevel"/>
    <w:tmpl w:val="8978451E"/>
    <w:lvl w:ilvl="0">
      <w:start w:val="1"/>
      <w:numFmt w:val="decimal"/>
      <w:lvlText w:val="%1."/>
      <w:lvlJc w:val="left"/>
      <w:pPr>
        <w:ind w:left="432" w:hanging="432"/>
      </w:pPr>
      <w:rPr>
        <w:b/>
      </w:rPr>
    </w:lvl>
    <w:lvl w:ilvl="1">
      <w:start w:val="1"/>
      <w:numFmt w:val="decimal"/>
      <w:lvlText w:val="%1.%2."/>
      <w:lvlJc w:val="left"/>
      <w:pPr>
        <w:ind w:left="576" w:hanging="576"/>
      </w:pPr>
    </w:lvl>
    <w:lvl w:ilvl="2">
      <w:start w:val="1"/>
      <w:numFmt w:val="decimal"/>
      <w:lvlText w:val="%3.1"/>
      <w:lvlJc w:val="left"/>
      <w:pPr>
        <w:ind w:left="360" w:hanging="360"/>
      </w:pPr>
      <w:rPr>
        <w:sz w:val="24"/>
        <w:szCs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04DE714A"/>
    <w:multiLevelType w:val="hybridMultilevel"/>
    <w:tmpl w:val="CB4A7224"/>
    <w:lvl w:ilvl="0" w:tplc="240A0017">
      <w:start w:val="1"/>
      <w:numFmt w:val="lowerLetter"/>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2" w15:restartNumberingAfterBreak="0">
    <w:nsid w:val="07FE5433"/>
    <w:multiLevelType w:val="multilevel"/>
    <w:tmpl w:val="E4CCF9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1412881"/>
    <w:multiLevelType w:val="multilevel"/>
    <w:tmpl w:val="08E467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580714F"/>
    <w:multiLevelType w:val="hybridMultilevel"/>
    <w:tmpl w:val="7DC45E9E"/>
    <w:lvl w:ilvl="0" w:tplc="0C0A000F">
      <w:start w:val="1"/>
      <w:numFmt w:val="decimal"/>
      <w:lvlText w:val="%1."/>
      <w:lvlJc w:val="left"/>
      <w:pPr>
        <w:ind w:left="6" w:hanging="360"/>
      </w:pPr>
    </w:lvl>
    <w:lvl w:ilvl="1" w:tplc="240A0019" w:tentative="1">
      <w:start w:val="1"/>
      <w:numFmt w:val="lowerLetter"/>
      <w:lvlText w:val="%2."/>
      <w:lvlJc w:val="left"/>
      <w:pPr>
        <w:ind w:left="726" w:hanging="360"/>
      </w:pPr>
    </w:lvl>
    <w:lvl w:ilvl="2" w:tplc="240A001B" w:tentative="1">
      <w:start w:val="1"/>
      <w:numFmt w:val="lowerRoman"/>
      <w:lvlText w:val="%3."/>
      <w:lvlJc w:val="right"/>
      <w:pPr>
        <w:ind w:left="1446" w:hanging="180"/>
      </w:pPr>
    </w:lvl>
    <w:lvl w:ilvl="3" w:tplc="240A000F" w:tentative="1">
      <w:start w:val="1"/>
      <w:numFmt w:val="decimal"/>
      <w:lvlText w:val="%4."/>
      <w:lvlJc w:val="left"/>
      <w:pPr>
        <w:ind w:left="2166" w:hanging="360"/>
      </w:pPr>
    </w:lvl>
    <w:lvl w:ilvl="4" w:tplc="240A0019" w:tentative="1">
      <w:start w:val="1"/>
      <w:numFmt w:val="lowerLetter"/>
      <w:lvlText w:val="%5."/>
      <w:lvlJc w:val="left"/>
      <w:pPr>
        <w:ind w:left="2886" w:hanging="360"/>
      </w:pPr>
    </w:lvl>
    <w:lvl w:ilvl="5" w:tplc="240A001B" w:tentative="1">
      <w:start w:val="1"/>
      <w:numFmt w:val="lowerRoman"/>
      <w:lvlText w:val="%6."/>
      <w:lvlJc w:val="right"/>
      <w:pPr>
        <w:ind w:left="3606" w:hanging="180"/>
      </w:pPr>
    </w:lvl>
    <w:lvl w:ilvl="6" w:tplc="240A000F" w:tentative="1">
      <w:start w:val="1"/>
      <w:numFmt w:val="decimal"/>
      <w:lvlText w:val="%7."/>
      <w:lvlJc w:val="left"/>
      <w:pPr>
        <w:ind w:left="4326" w:hanging="360"/>
      </w:pPr>
    </w:lvl>
    <w:lvl w:ilvl="7" w:tplc="240A0019" w:tentative="1">
      <w:start w:val="1"/>
      <w:numFmt w:val="lowerLetter"/>
      <w:lvlText w:val="%8."/>
      <w:lvlJc w:val="left"/>
      <w:pPr>
        <w:ind w:left="5046" w:hanging="360"/>
      </w:pPr>
    </w:lvl>
    <w:lvl w:ilvl="8" w:tplc="240A001B" w:tentative="1">
      <w:start w:val="1"/>
      <w:numFmt w:val="lowerRoman"/>
      <w:lvlText w:val="%9."/>
      <w:lvlJc w:val="right"/>
      <w:pPr>
        <w:ind w:left="5766" w:hanging="180"/>
      </w:pPr>
    </w:lvl>
  </w:abstractNum>
  <w:abstractNum w:abstractNumId="15" w15:restartNumberingAfterBreak="0">
    <w:nsid w:val="15882A60"/>
    <w:multiLevelType w:val="multilevel"/>
    <w:tmpl w:val="D1FEBB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B571867"/>
    <w:multiLevelType w:val="singleLevel"/>
    <w:tmpl w:val="A2E252AA"/>
    <w:lvl w:ilvl="0">
      <w:start w:val="1"/>
      <w:numFmt w:val="upperRoman"/>
      <w:lvlText w:val="%1."/>
      <w:lvlJc w:val="left"/>
      <w:pPr>
        <w:tabs>
          <w:tab w:val="num" w:pos="720"/>
        </w:tabs>
        <w:ind w:left="720" w:hanging="720"/>
      </w:pPr>
      <w:rPr>
        <w:rFonts w:hint="default"/>
      </w:rPr>
    </w:lvl>
  </w:abstractNum>
  <w:abstractNum w:abstractNumId="17" w15:restartNumberingAfterBreak="0">
    <w:nsid w:val="216B40A5"/>
    <w:multiLevelType w:val="hybridMultilevel"/>
    <w:tmpl w:val="7C9A9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BA6F89"/>
    <w:multiLevelType w:val="multilevel"/>
    <w:tmpl w:val="3752B87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234C60C1"/>
    <w:multiLevelType w:val="hybridMultilevel"/>
    <w:tmpl w:val="3DFEAC66"/>
    <w:lvl w:ilvl="0" w:tplc="240A0017">
      <w:start w:val="1"/>
      <w:numFmt w:val="lowerLetter"/>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0" w15:restartNumberingAfterBreak="0">
    <w:nsid w:val="23A52774"/>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1" w15:restartNumberingAfterBreak="0">
    <w:nsid w:val="25600558"/>
    <w:multiLevelType w:val="hybridMultilevel"/>
    <w:tmpl w:val="50CAA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9E5C74"/>
    <w:multiLevelType w:val="singleLevel"/>
    <w:tmpl w:val="1F8A4B92"/>
    <w:lvl w:ilvl="0">
      <w:start w:val="1"/>
      <w:numFmt w:val="decimal"/>
      <w:pStyle w:val="mainpara"/>
      <w:lvlText w:val="%1."/>
      <w:lvlJc w:val="left"/>
      <w:pPr>
        <w:tabs>
          <w:tab w:val="num" w:pos="473"/>
        </w:tabs>
        <w:ind w:left="0" w:firstLine="113"/>
      </w:pPr>
    </w:lvl>
  </w:abstractNum>
  <w:abstractNum w:abstractNumId="23" w15:restartNumberingAfterBreak="0">
    <w:nsid w:val="35571603"/>
    <w:multiLevelType w:val="singleLevel"/>
    <w:tmpl w:val="2868AC2A"/>
    <w:lvl w:ilvl="0">
      <w:start w:val="6"/>
      <w:numFmt w:val="upperLetter"/>
      <w:lvlText w:val="%1."/>
      <w:lvlJc w:val="left"/>
      <w:pPr>
        <w:tabs>
          <w:tab w:val="num" w:pos="360"/>
        </w:tabs>
        <w:ind w:left="360" w:hanging="360"/>
      </w:pPr>
      <w:rPr>
        <w:rFonts w:hint="default"/>
      </w:rPr>
    </w:lvl>
  </w:abstractNum>
  <w:abstractNum w:abstractNumId="24" w15:restartNumberingAfterBreak="0">
    <w:nsid w:val="43A55FBE"/>
    <w:multiLevelType w:val="hybridMultilevel"/>
    <w:tmpl w:val="73D426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7555AD1"/>
    <w:multiLevelType w:val="hybridMultilevel"/>
    <w:tmpl w:val="A444772C"/>
    <w:lvl w:ilvl="0" w:tplc="240A001B">
      <w:start w:val="1"/>
      <w:numFmt w:val="low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476E1783"/>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481355A2"/>
    <w:multiLevelType w:val="multilevel"/>
    <w:tmpl w:val="724414DA"/>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i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4B2A4BF1"/>
    <w:multiLevelType w:val="hybridMultilevel"/>
    <w:tmpl w:val="B8D8A6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2A66A9D"/>
    <w:multiLevelType w:val="multilevel"/>
    <w:tmpl w:val="24787CB4"/>
    <w:styleLink w:val="Normallist"/>
    <w:lvl w:ilvl="0">
      <w:start w:val="1"/>
      <w:numFmt w:val="decimal"/>
      <w:lvlText w:val="%1."/>
      <w:lvlJc w:val="left"/>
      <w:pPr>
        <w:ind w:left="1607" w:hanging="360"/>
      </w:pPr>
      <w:rPr>
        <w:rFonts w:hint="default"/>
      </w:rPr>
    </w:lvl>
    <w:lvl w:ilvl="1">
      <w:start w:val="1"/>
      <w:numFmt w:val="lowerLetter"/>
      <w:lvlText w:val="(%2)"/>
      <w:lvlJc w:val="left"/>
      <w:pPr>
        <w:tabs>
          <w:tab w:val="num" w:pos="1134"/>
        </w:tabs>
        <w:ind w:left="1247" w:firstLine="567"/>
      </w:pPr>
      <w:rPr>
        <w:rFonts w:hint="default"/>
      </w:rPr>
    </w:lvl>
    <w:lvl w:ilvl="2">
      <w:start w:val="1"/>
      <w:numFmt w:val="lowerRoman"/>
      <w:lvlText w:val="(%3)"/>
      <w:lvlJc w:val="left"/>
      <w:pPr>
        <w:tabs>
          <w:tab w:val="num" w:pos="1134"/>
        </w:tabs>
        <w:ind w:left="2948" w:hanging="567"/>
      </w:pPr>
      <w:rPr>
        <w:rFonts w:hint="default"/>
      </w:rPr>
    </w:lvl>
    <w:lvl w:ilvl="3">
      <w:start w:val="1"/>
      <w:numFmt w:val="lowerLetter"/>
      <w:lvlText w:val="%4."/>
      <w:lvlJc w:val="left"/>
      <w:pPr>
        <w:tabs>
          <w:tab w:val="num" w:pos="1134"/>
        </w:tabs>
        <w:ind w:left="3515" w:hanging="567"/>
      </w:pPr>
      <w:rPr>
        <w:rFonts w:hint="default"/>
      </w:rPr>
    </w:lvl>
    <w:lvl w:ilvl="4">
      <w:start w:val="1"/>
      <w:numFmt w:val="lowerRoman"/>
      <w:lvlText w:val="%5."/>
      <w:lvlJc w:val="left"/>
      <w:pPr>
        <w:tabs>
          <w:tab w:val="num" w:pos="1134"/>
        </w:tabs>
        <w:ind w:left="4082" w:hanging="567"/>
      </w:pPr>
      <w:rPr>
        <w:rFonts w:hint="default"/>
      </w:rPr>
    </w:lvl>
    <w:lvl w:ilvl="5">
      <w:start w:val="1"/>
      <w:numFmt w:val="lowerRoman"/>
      <w:lvlText w:val="%6."/>
      <w:lvlJc w:val="right"/>
      <w:pPr>
        <w:tabs>
          <w:tab w:val="num" w:pos="7835"/>
        </w:tabs>
        <w:ind w:left="7835" w:hanging="180"/>
      </w:pPr>
      <w:rPr>
        <w:rFonts w:hint="default"/>
      </w:rPr>
    </w:lvl>
    <w:lvl w:ilvl="6">
      <w:start w:val="1"/>
      <w:numFmt w:val="decimal"/>
      <w:lvlText w:val="%7."/>
      <w:lvlJc w:val="left"/>
      <w:pPr>
        <w:tabs>
          <w:tab w:val="num" w:pos="8555"/>
        </w:tabs>
        <w:ind w:left="8555" w:hanging="360"/>
      </w:pPr>
      <w:rPr>
        <w:rFonts w:hint="default"/>
      </w:rPr>
    </w:lvl>
    <w:lvl w:ilvl="7">
      <w:start w:val="1"/>
      <w:numFmt w:val="lowerLetter"/>
      <w:lvlText w:val="%8."/>
      <w:lvlJc w:val="left"/>
      <w:pPr>
        <w:tabs>
          <w:tab w:val="num" w:pos="9275"/>
        </w:tabs>
        <w:ind w:left="9275" w:hanging="360"/>
      </w:pPr>
      <w:rPr>
        <w:rFonts w:hint="default"/>
      </w:rPr>
    </w:lvl>
    <w:lvl w:ilvl="8">
      <w:start w:val="1"/>
      <w:numFmt w:val="lowerRoman"/>
      <w:lvlText w:val="%9."/>
      <w:lvlJc w:val="right"/>
      <w:pPr>
        <w:tabs>
          <w:tab w:val="num" w:pos="9995"/>
        </w:tabs>
        <w:ind w:left="9995" w:hanging="180"/>
      </w:pPr>
      <w:rPr>
        <w:rFonts w:hint="default"/>
      </w:rPr>
    </w:lvl>
  </w:abstractNum>
  <w:abstractNum w:abstractNumId="30" w15:restartNumberingAfterBreak="0">
    <w:nsid w:val="54A50FFA"/>
    <w:multiLevelType w:val="hybridMultilevel"/>
    <w:tmpl w:val="64A0E9DE"/>
    <w:lvl w:ilvl="0" w:tplc="DB8E93B8">
      <w:start w:val="1"/>
      <w:numFmt w:val="decimal"/>
      <w:pStyle w:val="Normalnumber"/>
      <w:lvlText w:val="%1."/>
      <w:lvlJc w:val="left"/>
      <w:pPr>
        <w:ind w:left="2186" w:hanging="360"/>
      </w:pPr>
    </w:lvl>
    <w:lvl w:ilvl="1" w:tplc="08090019" w:tentative="1">
      <w:start w:val="1"/>
      <w:numFmt w:val="lowerLetter"/>
      <w:lvlText w:val="%2."/>
      <w:lvlJc w:val="left"/>
      <w:pPr>
        <w:ind w:left="2019" w:hanging="360"/>
      </w:pPr>
    </w:lvl>
    <w:lvl w:ilvl="2" w:tplc="0809001B" w:tentative="1">
      <w:start w:val="1"/>
      <w:numFmt w:val="lowerRoman"/>
      <w:lvlText w:val="%3."/>
      <w:lvlJc w:val="right"/>
      <w:pPr>
        <w:ind w:left="2739" w:hanging="180"/>
      </w:pPr>
    </w:lvl>
    <w:lvl w:ilvl="3" w:tplc="0809000F" w:tentative="1">
      <w:start w:val="1"/>
      <w:numFmt w:val="decimal"/>
      <w:lvlText w:val="%4."/>
      <w:lvlJc w:val="left"/>
      <w:pPr>
        <w:ind w:left="3459" w:hanging="360"/>
      </w:pPr>
    </w:lvl>
    <w:lvl w:ilvl="4" w:tplc="08090019" w:tentative="1">
      <w:start w:val="1"/>
      <w:numFmt w:val="lowerLetter"/>
      <w:lvlText w:val="%5."/>
      <w:lvlJc w:val="left"/>
      <w:pPr>
        <w:ind w:left="4179" w:hanging="360"/>
      </w:pPr>
    </w:lvl>
    <w:lvl w:ilvl="5" w:tplc="0809001B" w:tentative="1">
      <w:start w:val="1"/>
      <w:numFmt w:val="lowerRoman"/>
      <w:lvlText w:val="%6."/>
      <w:lvlJc w:val="right"/>
      <w:pPr>
        <w:ind w:left="4899" w:hanging="180"/>
      </w:pPr>
    </w:lvl>
    <w:lvl w:ilvl="6" w:tplc="0809000F" w:tentative="1">
      <w:start w:val="1"/>
      <w:numFmt w:val="decimal"/>
      <w:lvlText w:val="%7."/>
      <w:lvlJc w:val="left"/>
      <w:pPr>
        <w:ind w:left="5619" w:hanging="360"/>
      </w:pPr>
    </w:lvl>
    <w:lvl w:ilvl="7" w:tplc="08090019" w:tentative="1">
      <w:start w:val="1"/>
      <w:numFmt w:val="lowerLetter"/>
      <w:lvlText w:val="%8."/>
      <w:lvlJc w:val="left"/>
      <w:pPr>
        <w:ind w:left="6339" w:hanging="360"/>
      </w:pPr>
    </w:lvl>
    <w:lvl w:ilvl="8" w:tplc="0809001B" w:tentative="1">
      <w:start w:val="1"/>
      <w:numFmt w:val="lowerRoman"/>
      <w:lvlText w:val="%9."/>
      <w:lvlJc w:val="right"/>
      <w:pPr>
        <w:ind w:left="7059" w:hanging="180"/>
      </w:pPr>
    </w:lvl>
  </w:abstractNum>
  <w:abstractNum w:abstractNumId="31" w15:restartNumberingAfterBreak="0">
    <w:nsid w:val="559B72FE"/>
    <w:multiLevelType w:val="multilevel"/>
    <w:tmpl w:val="A13C1DE6"/>
    <w:lvl w:ilvl="0">
      <w:start w:val="1"/>
      <w:numFmt w:val="decimal"/>
      <w:lvlText w:val="%1."/>
      <w:lvlJc w:val="left"/>
      <w:pPr>
        <w:ind w:left="432" w:hanging="432"/>
      </w:pPr>
      <w:rPr>
        <w:b w:val="0"/>
      </w:rPr>
    </w:lvl>
    <w:lvl w:ilvl="1">
      <w:start w:val="1"/>
      <w:numFmt w:val="decimal"/>
      <w:lvlText w:val="%1.%2."/>
      <w:lvlJc w:val="left"/>
      <w:pPr>
        <w:ind w:left="576" w:hanging="576"/>
      </w:pPr>
    </w:lvl>
    <w:lvl w:ilvl="2">
      <w:start w:val="1"/>
      <w:numFmt w:val="decimal"/>
      <w:lvlText w:val="%3.1"/>
      <w:lvlJc w:val="left"/>
      <w:pPr>
        <w:ind w:left="360" w:hanging="360"/>
      </w:pPr>
      <w:rPr>
        <w:sz w:val="24"/>
        <w:szCs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57D0059A"/>
    <w:multiLevelType w:val="hybridMultilevel"/>
    <w:tmpl w:val="1174E2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5F7F59E3"/>
    <w:multiLevelType w:val="hybridMultilevel"/>
    <w:tmpl w:val="664AB110"/>
    <w:lvl w:ilvl="0" w:tplc="0C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4" w15:restartNumberingAfterBreak="0">
    <w:nsid w:val="60DD49B4"/>
    <w:multiLevelType w:val="multilevel"/>
    <w:tmpl w:val="0409001F"/>
    <w:styleLink w:val="111111"/>
    <w:lvl w:ilvl="0">
      <w:start w:val="1"/>
      <w:numFmt w:val="decimal"/>
      <w:lvlText w:val="%1."/>
      <w:lvlJc w:val="left"/>
      <w:pPr>
        <w:tabs>
          <w:tab w:val="num" w:pos="360"/>
        </w:tabs>
        <w:ind w:left="360" w:hanging="360"/>
      </w:pPr>
      <w:rPr>
        <w:rFonts w:ascii="Calibri" w:hAnsi="Calibri"/>
        <w:sz w:val="22"/>
      </w:rPr>
    </w:lvl>
    <w:lvl w:ilvl="1">
      <w:start w:val="1"/>
      <w:numFmt w:val="decimal"/>
      <w:lvlText w:val="%1.%2."/>
      <w:lvlJc w:val="left"/>
      <w:pPr>
        <w:tabs>
          <w:tab w:val="num" w:pos="792"/>
        </w:tabs>
        <w:ind w:left="792" w:hanging="432"/>
      </w:pPr>
      <w:rPr>
        <w:rFonts w:ascii="Calibri" w:hAnsi="Calibri"/>
        <w:sz w:val="22"/>
      </w:rPr>
    </w:lvl>
    <w:lvl w:ilvl="2">
      <w:start w:val="1"/>
      <w:numFmt w:val="decimal"/>
      <w:lvlText w:val="%1.%2.%3."/>
      <w:lvlJc w:val="left"/>
      <w:pPr>
        <w:tabs>
          <w:tab w:val="num" w:pos="1224"/>
        </w:tabs>
        <w:ind w:left="1224" w:hanging="504"/>
      </w:pPr>
      <w:rPr>
        <w:rFonts w:ascii="Calibri" w:hAnsi="Calibri"/>
        <w:sz w:val="22"/>
      </w:rPr>
    </w:lvl>
    <w:lvl w:ilvl="3">
      <w:start w:val="1"/>
      <w:numFmt w:val="decimal"/>
      <w:lvlText w:val="%1.%2.%3.%4."/>
      <w:lvlJc w:val="left"/>
      <w:pPr>
        <w:tabs>
          <w:tab w:val="num" w:pos="1800"/>
        </w:tabs>
        <w:ind w:left="1728" w:hanging="648"/>
      </w:pPr>
      <w:rPr>
        <w:rFonts w:ascii="Calibri" w:hAnsi="Calibri"/>
        <w:sz w:val="22"/>
      </w:rPr>
    </w:lvl>
    <w:lvl w:ilvl="4">
      <w:start w:val="1"/>
      <w:numFmt w:val="decimal"/>
      <w:lvlText w:val="%1.%2.%3.%4.%5."/>
      <w:lvlJc w:val="left"/>
      <w:pPr>
        <w:tabs>
          <w:tab w:val="num" w:pos="2520"/>
        </w:tabs>
        <w:ind w:left="2232" w:hanging="792"/>
      </w:pPr>
      <w:rPr>
        <w:rFonts w:ascii="Calibri" w:hAnsi="Calibri"/>
        <w:sz w:val="22"/>
      </w:rPr>
    </w:lvl>
    <w:lvl w:ilvl="5">
      <w:start w:val="1"/>
      <w:numFmt w:val="decimal"/>
      <w:lvlText w:val="%1.%2.%3.%4.%5.%6."/>
      <w:lvlJc w:val="left"/>
      <w:pPr>
        <w:tabs>
          <w:tab w:val="num" w:pos="2880"/>
        </w:tabs>
        <w:ind w:left="2736" w:hanging="936"/>
      </w:pPr>
      <w:rPr>
        <w:rFonts w:ascii="Calibri" w:hAnsi="Calibri"/>
        <w:sz w:val="22"/>
      </w:r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15:restartNumberingAfterBreak="0">
    <w:nsid w:val="614F5FA3"/>
    <w:multiLevelType w:val="multilevel"/>
    <w:tmpl w:val="75DCEF90"/>
    <w:lvl w:ilvl="0">
      <w:start w:val="1"/>
      <w:numFmt w:val="lowerLetter"/>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658D25E8"/>
    <w:multiLevelType w:val="hybridMultilevel"/>
    <w:tmpl w:val="F96ADD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65FA64AC"/>
    <w:multiLevelType w:val="multilevel"/>
    <w:tmpl w:val="EB20EC5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8" w15:restartNumberingAfterBreak="0">
    <w:nsid w:val="6B310509"/>
    <w:multiLevelType w:val="hybridMultilevel"/>
    <w:tmpl w:val="D1A653E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6C5B23EE"/>
    <w:multiLevelType w:val="multilevel"/>
    <w:tmpl w:val="0C0A001D"/>
    <w:styleLink w:val="Titulo1FOD"/>
    <w:lvl w:ilvl="0">
      <w:start w:val="1"/>
      <w:numFmt w:val="decimal"/>
      <w:lvlText w:val="%1)"/>
      <w:lvlJc w:val="left"/>
      <w:pPr>
        <w:ind w:left="360" w:hanging="360"/>
      </w:pPr>
      <w:rPr>
        <w:rFonts w:ascii="Times New Roman" w:hAnsi="Times New Roman"/>
        <w:b/>
        <w:color w:val="auto"/>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738F1251"/>
    <w:multiLevelType w:val="hybridMultilevel"/>
    <w:tmpl w:val="8334CCC0"/>
    <w:lvl w:ilvl="0" w:tplc="F662AAB6">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756C703E"/>
    <w:multiLevelType w:val="hybridMultilevel"/>
    <w:tmpl w:val="768C5400"/>
    <w:lvl w:ilvl="0" w:tplc="240A001B">
      <w:start w:val="1"/>
      <w:numFmt w:val="lowerRoman"/>
      <w:lvlText w:val="%1."/>
      <w:lvlJc w:val="righ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42" w15:restartNumberingAfterBreak="0">
    <w:nsid w:val="7ACD5DC7"/>
    <w:multiLevelType w:val="multilevel"/>
    <w:tmpl w:val="FEB86B2E"/>
    <w:lvl w:ilvl="0">
      <w:start w:val="1"/>
      <w:numFmt w:val="decimal"/>
      <w:lvlText w:val="%1."/>
      <w:lvlJc w:val="left"/>
      <w:pPr>
        <w:ind w:left="432" w:hanging="432"/>
      </w:pPr>
      <w:rPr>
        <w:b/>
      </w:rPr>
    </w:lvl>
    <w:lvl w:ilvl="1">
      <w:start w:val="1"/>
      <w:numFmt w:val="decimal"/>
      <w:lvlText w:val="%1.%2."/>
      <w:lvlJc w:val="left"/>
      <w:pPr>
        <w:ind w:left="576" w:hanging="576"/>
      </w:pPr>
    </w:lvl>
    <w:lvl w:ilvl="2">
      <w:start w:val="1"/>
      <w:numFmt w:val="decimal"/>
      <w:lvlText w:val="%3.1"/>
      <w:lvlJc w:val="left"/>
      <w:pPr>
        <w:ind w:left="360" w:hanging="360"/>
      </w:pPr>
      <w:rPr>
        <w:sz w:val="24"/>
        <w:szCs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2"/>
  </w:num>
  <w:num w:numId="2">
    <w:abstractNumId w:val="13"/>
  </w:num>
  <w:num w:numId="3">
    <w:abstractNumId w:val="10"/>
  </w:num>
  <w:num w:numId="4">
    <w:abstractNumId w:val="15"/>
  </w:num>
  <w:num w:numId="5">
    <w:abstractNumId w:val="35"/>
  </w:num>
  <w:num w:numId="6">
    <w:abstractNumId w:val="31"/>
  </w:num>
  <w:num w:numId="7">
    <w:abstractNumId w:val="42"/>
  </w:num>
  <w:num w:numId="8">
    <w:abstractNumId w:val="8"/>
  </w:num>
  <w:num w:numId="9">
    <w:abstractNumId w:val="33"/>
  </w:num>
  <w:num w:numId="10">
    <w:abstractNumId w:val="37"/>
  </w:num>
  <w:num w:numId="11">
    <w:abstractNumId w:val="32"/>
  </w:num>
  <w:num w:numId="12">
    <w:abstractNumId w:val="24"/>
  </w:num>
  <w:num w:numId="13">
    <w:abstractNumId w:val="18"/>
  </w:num>
  <w:num w:numId="14">
    <w:abstractNumId w:val="6"/>
  </w:num>
  <w:num w:numId="15">
    <w:abstractNumId w:val="5"/>
  </w:num>
  <w:num w:numId="16">
    <w:abstractNumId w:val="4"/>
  </w:num>
  <w:num w:numId="17">
    <w:abstractNumId w:val="7"/>
  </w:num>
  <w:num w:numId="18">
    <w:abstractNumId w:val="3"/>
  </w:num>
  <w:num w:numId="19">
    <w:abstractNumId w:val="2"/>
  </w:num>
  <w:num w:numId="20">
    <w:abstractNumId w:val="1"/>
  </w:num>
  <w:num w:numId="21">
    <w:abstractNumId w:val="0"/>
  </w:num>
  <w:num w:numId="22">
    <w:abstractNumId w:val="34"/>
  </w:num>
  <w:num w:numId="23">
    <w:abstractNumId w:val="26"/>
  </w:num>
  <w:num w:numId="24">
    <w:abstractNumId w:val="20"/>
  </w:num>
  <w:num w:numId="25">
    <w:abstractNumId w:val="17"/>
  </w:num>
  <w:num w:numId="26">
    <w:abstractNumId w:val="14"/>
  </w:num>
  <w:num w:numId="27">
    <w:abstractNumId w:val="30"/>
  </w:num>
  <w:num w:numId="28">
    <w:abstractNumId w:val="36"/>
  </w:num>
  <w:num w:numId="29">
    <w:abstractNumId w:val="22"/>
  </w:num>
  <w:num w:numId="30">
    <w:abstractNumId w:val="29"/>
  </w:num>
  <w:num w:numId="31">
    <w:abstractNumId w:val="39"/>
  </w:num>
  <w:num w:numId="32">
    <w:abstractNumId w:val="21"/>
  </w:num>
  <w:num w:numId="33">
    <w:abstractNumId w:val="28"/>
  </w:num>
  <w:num w:numId="34">
    <w:abstractNumId w:val="40"/>
  </w:num>
  <w:num w:numId="35">
    <w:abstractNumId w:val="9"/>
  </w:num>
  <w:num w:numId="36">
    <w:abstractNumId w:val="27"/>
  </w:num>
  <w:num w:numId="3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9"/>
  </w:num>
  <w:num w:numId="39">
    <w:abstractNumId w:val="11"/>
  </w:num>
  <w:num w:numId="40">
    <w:abstractNumId w:val="41"/>
  </w:num>
  <w:num w:numId="41">
    <w:abstractNumId w:val="25"/>
  </w:num>
  <w:num w:numId="42">
    <w:abstractNumId w:val="38"/>
  </w:num>
  <w:num w:numId="43">
    <w:abstractNumId w:val="27"/>
  </w:num>
  <w:num w:numId="44">
    <w:abstractNumId w:val="29"/>
    <w:lvlOverride w:ilvl="0">
      <w:lvl w:ilvl="0">
        <w:start w:val="1"/>
        <w:numFmt w:val="decimal"/>
        <w:lvlText w:val="%1."/>
        <w:lvlJc w:val="left"/>
        <w:pPr>
          <w:tabs>
            <w:tab w:val="num" w:pos="1134"/>
          </w:tabs>
          <w:ind w:left="1247" w:firstLine="0"/>
        </w:pPr>
        <w:rPr>
          <w:rFonts w:hint="default"/>
        </w:rPr>
      </w:lvl>
    </w:lvlOverride>
  </w:num>
  <w:num w:numId="45">
    <w:abstractNumId w:val="16"/>
  </w:num>
  <w:num w:numId="46">
    <w:abstractNumId w:val="2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hideSpellingErrors/>
  <w:hideGrammaticalErrors/>
  <w:activeWritingStyle w:appName="MSWord" w:lang="pt-BR" w:vendorID="64" w:dllVersion="6" w:nlCheck="1" w:checkStyle="0"/>
  <w:activeWritingStyle w:appName="MSWord" w:lang="en-GB" w:vendorID="64" w:dllVersion="6" w:nlCheck="1" w:checkStyle="1"/>
  <w:activeWritingStyle w:appName="MSWord" w:lang="es-ES" w:vendorID="64" w:dllVersion="6" w:nlCheck="1" w:checkStyle="1"/>
  <w:activeWritingStyle w:appName="MSWord" w:lang="es-CO" w:vendorID="64" w:dllVersion="6" w:nlCheck="1" w:checkStyle="1"/>
  <w:activeWritingStyle w:appName="MSWord" w:lang="en-US" w:vendorID="64" w:dllVersion="6" w:nlCheck="1" w:checkStyle="1"/>
  <w:activeWritingStyle w:appName="MSWord" w:lang="en-AU" w:vendorID="64" w:dllVersion="6" w:nlCheck="1" w:checkStyle="0"/>
  <w:activeWritingStyle w:appName="MSWord" w:lang="es-MX" w:vendorID="64" w:dllVersion="6" w:nlCheck="1" w:checkStyle="0"/>
  <w:activeWritingStyle w:appName="MSWord" w:lang="es-PR" w:vendorID="64" w:dllVersion="6" w:nlCheck="1" w:checkStyle="1"/>
  <w:activeWritingStyle w:appName="MSWord" w:lang="es-ES_tradnl" w:vendorID="64" w:dllVersion="6" w:nlCheck="1" w:checkStyle="0"/>
  <w:activeWritingStyle w:appName="MSWord" w:lang="es-AR" w:vendorID="64" w:dllVersion="6" w:nlCheck="1" w:checkStyle="1"/>
  <w:activeWritingStyle w:appName="MSWord" w:lang="es-PA" w:vendorID="64" w:dllVersion="6" w:nlCheck="1" w:checkStyle="0"/>
  <w:activeWritingStyle w:appName="MSWord" w:lang="es-CL" w:vendorID="64" w:dllVersion="6" w:nlCheck="1" w:checkStyle="1"/>
  <w:activeWritingStyle w:appName="MSWord" w:lang="en-GB" w:vendorID="64" w:dllVersion="0" w:nlCheck="1" w:checkStyle="0"/>
  <w:activeWritingStyle w:appName="MSWord" w:lang="es-MX" w:vendorID="64" w:dllVersion="0" w:nlCheck="1" w:checkStyle="0"/>
  <w:activeWritingStyle w:appName="MSWord" w:lang="en-US" w:vendorID="64" w:dllVersion="0" w:nlCheck="1" w:checkStyle="0"/>
  <w:activeWritingStyle w:appName="MSWord" w:lang="es-CO" w:vendorID="64" w:dllVersion="0" w:nlCheck="1" w:checkStyle="0"/>
  <w:activeWritingStyle w:appName="MSWord" w:lang="es-ES" w:vendorID="64" w:dllVersion="0" w:nlCheck="1" w:checkStyle="0"/>
  <w:activeWritingStyle w:appName="MSWord" w:lang="es-PR" w:vendorID="64" w:dllVersion="0" w:nlCheck="1" w:checkStyle="0"/>
  <w:activeWritingStyle w:appName="MSWord" w:lang="en-AU" w:vendorID="64" w:dllVersion="0" w:nlCheck="1" w:checkStyle="0"/>
  <w:activeWritingStyle w:appName="MSWord" w:lang="es-AR" w:vendorID="64" w:dllVersion="0" w:nlCheck="1" w:checkStyle="0"/>
  <w:activeWritingStyle w:appName="MSWord" w:lang="de-DE"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s-CO" w:vendorID="64" w:dllVersion="4096" w:nlCheck="1" w:checkStyle="0"/>
  <w:activeWritingStyle w:appName="MSWord" w:lang="en-AU" w:vendorID="64" w:dllVersion="4096" w:nlCheck="1" w:checkStyle="0"/>
  <w:activeWritingStyle w:appName="MSWord" w:lang="fr-CA" w:vendorID="64" w:dllVersion="6" w:nlCheck="1" w:checkStyle="1"/>
  <w:activeWritingStyle w:appName="MSWord" w:lang="fr-FR" w:vendorID="64" w:dllVersion="6" w:nlCheck="1" w:checkStyle="1"/>
  <w:activeWritingStyle w:appName="MSWord" w:lang="fr-CA" w:vendorID="64" w:dllVersion="0" w:nlCheck="1" w:checkStyle="0"/>
  <w:activeWritingStyle w:appName="MSWord" w:lang="fr-FR" w:vendorID="64" w:dllVersion="0" w:nlCheck="1" w:checkStyle="0"/>
  <w:defaultTabStop w:val="720"/>
  <w:hyphenationZone w:val="425"/>
  <w:drawingGridHorizontalSpacing w:val="110"/>
  <w:drawingGridVerticalSpacing w:val="163"/>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zC1NLAwMDG2tDQ3MTZU0lEKTi0uzszPAykwNK4FACPJ1AgtAAAA"/>
  </w:docVars>
  <w:rsids>
    <w:rsidRoot w:val="00F44157"/>
    <w:rsid w:val="00001466"/>
    <w:rsid w:val="000045B3"/>
    <w:rsid w:val="00004D43"/>
    <w:rsid w:val="0000756C"/>
    <w:rsid w:val="00010F45"/>
    <w:rsid w:val="00012A38"/>
    <w:rsid w:val="000130AC"/>
    <w:rsid w:val="000138C5"/>
    <w:rsid w:val="00014CD1"/>
    <w:rsid w:val="000151A1"/>
    <w:rsid w:val="00015CFB"/>
    <w:rsid w:val="00017975"/>
    <w:rsid w:val="000206EC"/>
    <w:rsid w:val="00020950"/>
    <w:rsid w:val="000211E6"/>
    <w:rsid w:val="00021A2E"/>
    <w:rsid w:val="00022C5E"/>
    <w:rsid w:val="00025B55"/>
    <w:rsid w:val="000307DD"/>
    <w:rsid w:val="00030800"/>
    <w:rsid w:val="00032883"/>
    <w:rsid w:val="000328F9"/>
    <w:rsid w:val="000336FF"/>
    <w:rsid w:val="000338BC"/>
    <w:rsid w:val="00033910"/>
    <w:rsid w:val="00033B73"/>
    <w:rsid w:val="00035D59"/>
    <w:rsid w:val="00036F16"/>
    <w:rsid w:val="0003727A"/>
    <w:rsid w:val="0003728B"/>
    <w:rsid w:val="00040D2C"/>
    <w:rsid w:val="00041D4B"/>
    <w:rsid w:val="000447C5"/>
    <w:rsid w:val="00045F04"/>
    <w:rsid w:val="00046220"/>
    <w:rsid w:val="00047DA6"/>
    <w:rsid w:val="0005029E"/>
    <w:rsid w:val="000508CD"/>
    <w:rsid w:val="00050D81"/>
    <w:rsid w:val="000517CE"/>
    <w:rsid w:val="00051923"/>
    <w:rsid w:val="00053693"/>
    <w:rsid w:val="0005440D"/>
    <w:rsid w:val="00055416"/>
    <w:rsid w:val="000558F1"/>
    <w:rsid w:val="000574E4"/>
    <w:rsid w:val="00057AD3"/>
    <w:rsid w:val="00057FDE"/>
    <w:rsid w:val="000633FB"/>
    <w:rsid w:val="000637F3"/>
    <w:rsid w:val="000656BE"/>
    <w:rsid w:val="00066373"/>
    <w:rsid w:val="000676C1"/>
    <w:rsid w:val="00067B2A"/>
    <w:rsid w:val="000714CC"/>
    <w:rsid w:val="00076D97"/>
    <w:rsid w:val="00077BB8"/>
    <w:rsid w:val="00077CCD"/>
    <w:rsid w:val="0008145C"/>
    <w:rsid w:val="00083302"/>
    <w:rsid w:val="000836E7"/>
    <w:rsid w:val="00086223"/>
    <w:rsid w:val="00087257"/>
    <w:rsid w:val="0009057F"/>
    <w:rsid w:val="00091E23"/>
    <w:rsid w:val="00092C66"/>
    <w:rsid w:val="000957E0"/>
    <w:rsid w:val="00096457"/>
    <w:rsid w:val="0009748A"/>
    <w:rsid w:val="00097D72"/>
    <w:rsid w:val="000A158D"/>
    <w:rsid w:val="000A1FF4"/>
    <w:rsid w:val="000A3CE6"/>
    <w:rsid w:val="000A5181"/>
    <w:rsid w:val="000A575D"/>
    <w:rsid w:val="000A5E7B"/>
    <w:rsid w:val="000A7037"/>
    <w:rsid w:val="000A77D6"/>
    <w:rsid w:val="000A7FCA"/>
    <w:rsid w:val="000B0962"/>
    <w:rsid w:val="000B0A4D"/>
    <w:rsid w:val="000B1154"/>
    <w:rsid w:val="000B3919"/>
    <w:rsid w:val="000B56DC"/>
    <w:rsid w:val="000B6B6D"/>
    <w:rsid w:val="000C13E1"/>
    <w:rsid w:val="000C2A5D"/>
    <w:rsid w:val="000C4622"/>
    <w:rsid w:val="000C7204"/>
    <w:rsid w:val="000C7BC5"/>
    <w:rsid w:val="000D0E1A"/>
    <w:rsid w:val="000D1D96"/>
    <w:rsid w:val="000D3A1C"/>
    <w:rsid w:val="000D43D0"/>
    <w:rsid w:val="000D4C53"/>
    <w:rsid w:val="000D52E0"/>
    <w:rsid w:val="000D5767"/>
    <w:rsid w:val="000D60AD"/>
    <w:rsid w:val="000D61A7"/>
    <w:rsid w:val="000E18D6"/>
    <w:rsid w:val="000E1F83"/>
    <w:rsid w:val="000E2329"/>
    <w:rsid w:val="000E3943"/>
    <w:rsid w:val="000E4161"/>
    <w:rsid w:val="000E562E"/>
    <w:rsid w:val="000E60E9"/>
    <w:rsid w:val="000F2D6F"/>
    <w:rsid w:val="000F7048"/>
    <w:rsid w:val="00102C09"/>
    <w:rsid w:val="00102C3A"/>
    <w:rsid w:val="00104CE3"/>
    <w:rsid w:val="00104D1C"/>
    <w:rsid w:val="00106D97"/>
    <w:rsid w:val="0010725E"/>
    <w:rsid w:val="00111B06"/>
    <w:rsid w:val="00116391"/>
    <w:rsid w:val="00120436"/>
    <w:rsid w:val="00124E51"/>
    <w:rsid w:val="001252FD"/>
    <w:rsid w:val="0012790F"/>
    <w:rsid w:val="00132006"/>
    <w:rsid w:val="00134787"/>
    <w:rsid w:val="00134E5B"/>
    <w:rsid w:val="001362C8"/>
    <w:rsid w:val="00136FB9"/>
    <w:rsid w:val="001371D9"/>
    <w:rsid w:val="0013728C"/>
    <w:rsid w:val="001409EC"/>
    <w:rsid w:val="00142DB3"/>
    <w:rsid w:val="0014301D"/>
    <w:rsid w:val="0014497E"/>
    <w:rsid w:val="0014755F"/>
    <w:rsid w:val="00147AD6"/>
    <w:rsid w:val="00147DF3"/>
    <w:rsid w:val="00151A0B"/>
    <w:rsid w:val="00152730"/>
    <w:rsid w:val="00156F2A"/>
    <w:rsid w:val="001605EF"/>
    <w:rsid w:val="00164113"/>
    <w:rsid w:val="001649B7"/>
    <w:rsid w:val="00165A3B"/>
    <w:rsid w:val="00165D1C"/>
    <w:rsid w:val="00165F74"/>
    <w:rsid w:val="00165FC1"/>
    <w:rsid w:val="00166947"/>
    <w:rsid w:val="001672B9"/>
    <w:rsid w:val="00170EF3"/>
    <w:rsid w:val="001721EC"/>
    <w:rsid w:val="00172A69"/>
    <w:rsid w:val="00172CC8"/>
    <w:rsid w:val="001755D0"/>
    <w:rsid w:val="00175B47"/>
    <w:rsid w:val="00176FC5"/>
    <w:rsid w:val="00177E0C"/>
    <w:rsid w:val="00182F04"/>
    <w:rsid w:val="00182F0F"/>
    <w:rsid w:val="00183664"/>
    <w:rsid w:val="00183764"/>
    <w:rsid w:val="00185D83"/>
    <w:rsid w:val="00185F80"/>
    <w:rsid w:val="00190561"/>
    <w:rsid w:val="00192AF9"/>
    <w:rsid w:val="001931EA"/>
    <w:rsid w:val="00194363"/>
    <w:rsid w:val="00194BA3"/>
    <w:rsid w:val="001A006C"/>
    <w:rsid w:val="001A0976"/>
    <w:rsid w:val="001A11EB"/>
    <w:rsid w:val="001A2D8C"/>
    <w:rsid w:val="001A30BA"/>
    <w:rsid w:val="001A3AAC"/>
    <w:rsid w:val="001A4A35"/>
    <w:rsid w:val="001B0600"/>
    <w:rsid w:val="001B522D"/>
    <w:rsid w:val="001C09CE"/>
    <w:rsid w:val="001C32D3"/>
    <w:rsid w:val="001C5394"/>
    <w:rsid w:val="001C56F8"/>
    <w:rsid w:val="001C68FB"/>
    <w:rsid w:val="001D1A41"/>
    <w:rsid w:val="001D1AC7"/>
    <w:rsid w:val="001D1E97"/>
    <w:rsid w:val="001D2CA3"/>
    <w:rsid w:val="001D3C87"/>
    <w:rsid w:val="001D4C68"/>
    <w:rsid w:val="001D6B00"/>
    <w:rsid w:val="001D70C6"/>
    <w:rsid w:val="001D7C20"/>
    <w:rsid w:val="001E0107"/>
    <w:rsid w:val="001E04DF"/>
    <w:rsid w:val="001E61A6"/>
    <w:rsid w:val="001E6D7A"/>
    <w:rsid w:val="001E6E61"/>
    <w:rsid w:val="001F02A4"/>
    <w:rsid w:val="001F03FF"/>
    <w:rsid w:val="001F0C65"/>
    <w:rsid w:val="001F130A"/>
    <w:rsid w:val="001F1423"/>
    <w:rsid w:val="001F2638"/>
    <w:rsid w:val="001F3AFB"/>
    <w:rsid w:val="001F405D"/>
    <w:rsid w:val="001F4A3E"/>
    <w:rsid w:val="001F51D9"/>
    <w:rsid w:val="001F5BA6"/>
    <w:rsid w:val="001F6CD7"/>
    <w:rsid w:val="00200772"/>
    <w:rsid w:val="0020258F"/>
    <w:rsid w:val="00202675"/>
    <w:rsid w:val="00202818"/>
    <w:rsid w:val="002036D3"/>
    <w:rsid w:val="002050CA"/>
    <w:rsid w:val="002069DD"/>
    <w:rsid w:val="00206AE3"/>
    <w:rsid w:val="00207F7A"/>
    <w:rsid w:val="00210D6E"/>
    <w:rsid w:val="00212546"/>
    <w:rsid w:val="00212E62"/>
    <w:rsid w:val="00212FD5"/>
    <w:rsid w:val="00214612"/>
    <w:rsid w:val="0021494F"/>
    <w:rsid w:val="002162F5"/>
    <w:rsid w:val="00216B4C"/>
    <w:rsid w:val="00221F93"/>
    <w:rsid w:val="002238D5"/>
    <w:rsid w:val="00225D9C"/>
    <w:rsid w:val="00226592"/>
    <w:rsid w:val="00226B3B"/>
    <w:rsid w:val="002276D3"/>
    <w:rsid w:val="00227DCA"/>
    <w:rsid w:val="002319BB"/>
    <w:rsid w:val="0023266C"/>
    <w:rsid w:val="002365C4"/>
    <w:rsid w:val="0024068A"/>
    <w:rsid w:val="00240C7E"/>
    <w:rsid w:val="002413FA"/>
    <w:rsid w:val="00242404"/>
    <w:rsid w:val="00242A42"/>
    <w:rsid w:val="00242F32"/>
    <w:rsid w:val="00244148"/>
    <w:rsid w:val="00246F52"/>
    <w:rsid w:val="00247F69"/>
    <w:rsid w:val="00250E69"/>
    <w:rsid w:val="00252D26"/>
    <w:rsid w:val="00253825"/>
    <w:rsid w:val="0025459A"/>
    <w:rsid w:val="00260800"/>
    <w:rsid w:val="00263006"/>
    <w:rsid w:val="00264A3D"/>
    <w:rsid w:val="00270759"/>
    <w:rsid w:val="00272590"/>
    <w:rsid w:val="00274828"/>
    <w:rsid w:val="00274C8E"/>
    <w:rsid w:val="00282BDA"/>
    <w:rsid w:val="00282C6C"/>
    <w:rsid w:val="00286265"/>
    <w:rsid w:val="00286530"/>
    <w:rsid w:val="00290C8A"/>
    <w:rsid w:val="00290D59"/>
    <w:rsid w:val="002927DD"/>
    <w:rsid w:val="00294156"/>
    <w:rsid w:val="00296F71"/>
    <w:rsid w:val="002970C4"/>
    <w:rsid w:val="002A07A8"/>
    <w:rsid w:val="002A7A12"/>
    <w:rsid w:val="002B0B9E"/>
    <w:rsid w:val="002B1F21"/>
    <w:rsid w:val="002B305B"/>
    <w:rsid w:val="002B3202"/>
    <w:rsid w:val="002B3B79"/>
    <w:rsid w:val="002B507F"/>
    <w:rsid w:val="002B597C"/>
    <w:rsid w:val="002B777C"/>
    <w:rsid w:val="002B781A"/>
    <w:rsid w:val="002C171D"/>
    <w:rsid w:val="002C1747"/>
    <w:rsid w:val="002C226C"/>
    <w:rsid w:val="002C3FAE"/>
    <w:rsid w:val="002C4E23"/>
    <w:rsid w:val="002D2C47"/>
    <w:rsid w:val="002D4B7A"/>
    <w:rsid w:val="002D6846"/>
    <w:rsid w:val="002D7EEC"/>
    <w:rsid w:val="002E1FC2"/>
    <w:rsid w:val="002E211A"/>
    <w:rsid w:val="002E4D99"/>
    <w:rsid w:val="002E7906"/>
    <w:rsid w:val="002E7F1C"/>
    <w:rsid w:val="002F1743"/>
    <w:rsid w:val="002F1F98"/>
    <w:rsid w:val="002F26E2"/>
    <w:rsid w:val="002F3654"/>
    <w:rsid w:val="002F542E"/>
    <w:rsid w:val="002F5C7B"/>
    <w:rsid w:val="002F71C9"/>
    <w:rsid w:val="00300013"/>
    <w:rsid w:val="003019EC"/>
    <w:rsid w:val="00303202"/>
    <w:rsid w:val="00305FE0"/>
    <w:rsid w:val="00306514"/>
    <w:rsid w:val="00310630"/>
    <w:rsid w:val="00310EF4"/>
    <w:rsid w:val="00311941"/>
    <w:rsid w:val="0031675E"/>
    <w:rsid w:val="003174C4"/>
    <w:rsid w:val="0032208B"/>
    <w:rsid w:val="00322A42"/>
    <w:rsid w:val="00322B94"/>
    <w:rsid w:val="003232C5"/>
    <w:rsid w:val="003247C5"/>
    <w:rsid w:val="0033134E"/>
    <w:rsid w:val="00333557"/>
    <w:rsid w:val="00337A10"/>
    <w:rsid w:val="00340B68"/>
    <w:rsid w:val="003425BA"/>
    <w:rsid w:val="003426FD"/>
    <w:rsid w:val="00342782"/>
    <w:rsid w:val="0034295D"/>
    <w:rsid w:val="003433E2"/>
    <w:rsid w:val="00345EF6"/>
    <w:rsid w:val="00350383"/>
    <w:rsid w:val="00350A59"/>
    <w:rsid w:val="003532C4"/>
    <w:rsid w:val="00355D65"/>
    <w:rsid w:val="00357088"/>
    <w:rsid w:val="003578D1"/>
    <w:rsid w:val="00357981"/>
    <w:rsid w:val="00357F7A"/>
    <w:rsid w:val="003601D1"/>
    <w:rsid w:val="00360A20"/>
    <w:rsid w:val="00360ADC"/>
    <w:rsid w:val="003647EB"/>
    <w:rsid w:val="003670CF"/>
    <w:rsid w:val="003700BB"/>
    <w:rsid w:val="00372BA1"/>
    <w:rsid w:val="00373F0A"/>
    <w:rsid w:val="0037462E"/>
    <w:rsid w:val="003814F9"/>
    <w:rsid w:val="00382633"/>
    <w:rsid w:val="0038593A"/>
    <w:rsid w:val="0038712E"/>
    <w:rsid w:val="003878F6"/>
    <w:rsid w:val="003879C1"/>
    <w:rsid w:val="00387C50"/>
    <w:rsid w:val="00387DEC"/>
    <w:rsid w:val="0039151E"/>
    <w:rsid w:val="003A1BE7"/>
    <w:rsid w:val="003A1EE2"/>
    <w:rsid w:val="003A2897"/>
    <w:rsid w:val="003A3242"/>
    <w:rsid w:val="003A3EBC"/>
    <w:rsid w:val="003A46B7"/>
    <w:rsid w:val="003A47B9"/>
    <w:rsid w:val="003B4042"/>
    <w:rsid w:val="003B419E"/>
    <w:rsid w:val="003B4B22"/>
    <w:rsid w:val="003B6615"/>
    <w:rsid w:val="003B6D6E"/>
    <w:rsid w:val="003B7739"/>
    <w:rsid w:val="003C790C"/>
    <w:rsid w:val="003C7ADF"/>
    <w:rsid w:val="003D036F"/>
    <w:rsid w:val="003D604A"/>
    <w:rsid w:val="003E0387"/>
    <w:rsid w:val="003E0780"/>
    <w:rsid w:val="003E0D07"/>
    <w:rsid w:val="003E112E"/>
    <w:rsid w:val="003E1C3E"/>
    <w:rsid w:val="003E2299"/>
    <w:rsid w:val="003E3715"/>
    <w:rsid w:val="003E4F63"/>
    <w:rsid w:val="003E524C"/>
    <w:rsid w:val="003E65F0"/>
    <w:rsid w:val="003E6D7B"/>
    <w:rsid w:val="003F27A4"/>
    <w:rsid w:val="003F55F8"/>
    <w:rsid w:val="003F7D7C"/>
    <w:rsid w:val="00400695"/>
    <w:rsid w:val="00400706"/>
    <w:rsid w:val="00402074"/>
    <w:rsid w:val="00403781"/>
    <w:rsid w:val="00405378"/>
    <w:rsid w:val="0041103A"/>
    <w:rsid w:val="00412EEB"/>
    <w:rsid w:val="00413458"/>
    <w:rsid w:val="00413B11"/>
    <w:rsid w:val="00415E52"/>
    <w:rsid w:val="0041668E"/>
    <w:rsid w:val="0042035C"/>
    <w:rsid w:val="00422032"/>
    <w:rsid w:val="004236A9"/>
    <w:rsid w:val="00423A1F"/>
    <w:rsid w:val="004248D3"/>
    <w:rsid w:val="00424E24"/>
    <w:rsid w:val="004255E7"/>
    <w:rsid w:val="00426810"/>
    <w:rsid w:val="00426DE3"/>
    <w:rsid w:val="0043142E"/>
    <w:rsid w:val="00432A5B"/>
    <w:rsid w:val="00432AE1"/>
    <w:rsid w:val="00435A2A"/>
    <w:rsid w:val="004360D9"/>
    <w:rsid w:val="0044060E"/>
    <w:rsid w:val="004407C3"/>
    <w:rsid w:val="00441544"/>
    <w:rsid w:val="00442008"/>
    <w:rsid w:val="004438D6"/>
    <w:rsid w:val="00447B4E"/>
    <w:rsid w:val="00452A91"/>
    <w:rsid w:val="00454C5E"/>
    <w:rsid w:val="004553C0"/>
    <w:rsid w:val="0045556C"/>
    <w:rsid w:val="00455E51"/>
    <w:rsid w:val="00456D9B"/>
    <w:rsid w:val="00457E5D"/>
    <w:rsid w:val="00462B0E"/>
    <w:rsid w:val="00465FCC"/>
    <w:rsid w:val="00466AE2"/>
    <w:rsid w:val="004671B9"/>
    <w:rsid w:val="00467C3F"/>
    <w:rsid w:val="00470012"/>
    <w:rsid w:val="0047129B"/>
    <w:rsid w:val="00471544"/>
    <w:rsid w:val="00474EDF"/>
    <w:rsid w:val="00476C0D"/>
    <w:rsid w:val="0047766E"/>
    <w:rsid w:val="00480E3C"/>
    <w:rsid w:val="00480F7B"/>
    <w:rsid w:val="0048180C"/>
    <w:rsid w:val="00482783"/>
    <w:rsid w:val="00485329"/>
    <w:rsid w:val="004874F8"/>
    <w:rsid w:val="00490494"/>
    <w:rsid w:val="00494044"/>
    <w:rsid w:val="004948F4"/>
    <w:rsid w:val="004A073E"/>
    <w:rsid w:val="004A1F35"/>
    <w:rsid w:val="004A266A"/>
    <w:rsid w:val="004A3FE2"/>
    <w:rsid w:val="004A5338"/>
    <w:rsid w:val="004A7A3E"/>
    <w:rsid w:val="004B6193"/>
    <w:rsid w:val="004B74E6"/>
    <w:rsid w:val="004C0512"/>
    <w:rsid w:val="004C28E3"/>
    <w:rsid w:val="004C2EB9"/>
    <w:rsid w:val="004C33B7"/>
    <w:rsid w:val="004C511B"/>
    <w:rsid w:val="004C699C"/>
    <w:rsid w:val="004C782C"/>
    <w:rsid w:val="004D2115"/>
    <w:rsid w:val="004D3325"/>
    <w:rsid w:val="004D42ED"/>
    <w:rsid w:val="004D5766"/>
    <w:rsid w:val="004E12B6"/>
    <w:rsid w:val="004E17DF"/>
    <w:rsid w:val="004E1C6B"/>
    <w:rsid w:val="004E53F9"/>
    <w:rsid w:val="004F0B12"/>
    <w:rsid w:val="004F124C"/>
    <w:rsid w:val="004F2944"/>
    <w:rsid w:val="004F31D2"/>
    <w:rsid w:val="004F3B5C"/>
    <w:rsid w:val="004F4EC8"/>
    <w:rsid w:val="004F76EF"/>
    <w:rsid w:val="00500BF1"/>
    <w:rsid w:val="00501642"/>
    <w:rsid w:val="00501A9B"/>
    <w:rsid w:val="00502592"/>
    <w:rsid w:val="0050374D"/>
    <w:rsid w:val="00504AD7"/>
    <w:rsid w:val="00505692"/>
    <w:rsid w:val="0050590F"/>
    <w:rsid w:val="00506943"/>
    <w:rsid w:val="00507CA5"/>
    <w:rsid w:val="00510360"/>
    <w:rsid w:val="005133B7"/>
    <w:rsid w:val="005143C5"/>
    <w:rsid w:val="005145BE"/>
    <w:rsid w:val="00515A33"/>
    <w:rsid w:val="00515E87"/>
    <w:rsid w:val="00520F22"/>
    <w:rsid w:val="005213C4"/>
    <w:rsid w:val="00521438"/>
    <w:rsid w:val="00523468"/>
    <w:rsid w:val="005237BC"/>
    <w:rsid w:val="00523ECB"/>
    <w:rsid w:val="00525385"/>
    <w:rsid w:val="0052606A"/>
    <w:rsid w:val="005265F1"/>
    <w:rsid w:val="00526E8B"/>
    <w:rsid w:val="00527568"/>
    <w:rsid w:val="0053268D"/>
    <w:rsid w:val="005326D1"/>
    <w:rsid w:val="00532A50"/>
    <w:rsid w:val="0053392A"/>
    <w:rsid w:val="0053612E"/>
    <w:rsid w:val="00537D7B"/>
    <w:rsid w:val="00540ABA"/>
    <w:rsid w:val="005412A9"/>
    <w:rsid w:val="00541925"/>
    <w:rsid w:val="0054250A"/>
    <w:rsid w:val="0054392C"/>
    <w:rsid w:val="00543B4A"/>
    <w:rsid w:val="00544775"/>
    <w:rsid w:val="0054490A"/>
    <w:rsid w:val="00545F25"/>
    <w:rsid w:val="00545F9E"/>
    <w:rsid w:val="00546FB4"/>
    <w:rsid w:val="00550055"/>
    <w:rsid w:val="00550D0A"/>
    <w:rsid w:val="00552CBA"/>
    <w:rsid w:val="00553F5F"/>
    <w:rsid w:val="0055438E"/>
    <w:rsid w:val="00554807"/>
    <w:rsid w:val="0055559D"/>
    <w:rsid w:val="00555DA1"/>
    <w:rsid w:val="0055671B"/>
    <w:rsid w:val="005567B9"/>
    <w:rsid w:val="005568AC"/>
    <w:rsid w:val="00561332"/>
    <w:rsid w:val="0056219C"/>
    <w:rsid w:val="00562576"/>
    <w:rsid w:val="005626AE"/>
    <w:rsid w:val="00564C75"/>
    <w:rsid w:val="00565220"/>
    <w:rsid w:val="0056568A"/>
    <w:rsid w:val="0056785F"/>
    <w:rsid w:val="005678B4"/>
    <w:rsid w:val="00570630"/>
    <w:rsid w:val="00575BC9"/>
    <w:rsid w:val="005761F8"/>
    <w:rsid w:val="005764BA"/>
    <w:rsid w:val="00581F86"/>
    <w:rsid w:val="0058385C"/>
    <w:rsid w:val="00584043"/>
    <w:rsid w:val="00585410"/>
    <w:rsid w:val="00585EAD"/>
    <w:rsid w:val="0058686D"/>
    <w:rsid w:val="005870E0"/>
    <w:rsid w:val="00592528"/>
    <w:rsid w:val="00593E3A"/>
    <w:rsid w:val="0059409D"/>
    <w:rsid w:val="0059430F"/>
    <w:rsid w:val="00594F64"/>
    <w:rsid w:val="0059599A"/>
    <w:rsid w:val="00596E28"/>
    <w:rsid w:val="005975AA"/>
    <w:rsid w:val="005A0ED1"/>
    <w:rsid w:val="005A122B"/>
    <w:rsid w:val="005A2279"/>
    <w:rsid w:val="005A29CF"/>
    <w:rsid w:val="005A332A"/>
    <w:rsid w:val="005A4876"/>
    <w:rsid w:val="005A5FFB"/>
    <w:rsid w:val="005A6E37"/>
    <w:rsid w:val="005B0EB1"/>
    <w:rsid w:val="005B1EFA"/>
    <w:rsid w:val="005B25AA"/>
    <w:rsid w:val="005B265A"/>
    <w:rsid w:val="005B37D6"/>
    <w:rsid w:val="005B3AD5"/>
    <w:rsid w:val="005B68C7"/>
    <w:rsid w:val="005B7420"/>
    <w:rsid w:val="005C030B"/>
    <w:rsid w:val="005C080D"/>
    <w:rsid w:val="005C10F2"/>
    <w:rsid w:val="005C2A3C"/>
    <w:rsid w:val="005C5593"/>
    <w:rsid w:val="005C6907"/>
    <w:rsid w:val="005C6AE2"/>
    <w:rsid w:val="005C6E96"/>
    <w:rsid w:val="005D0F18"/>
    <w:rsid w:val="005D6F7E"/>
    <w:rsid w:val="005D74CB"/>
    <w:rsid w:val="005D7734"/>
    <w:rsid w:val="005E013D"/>
    <w:rsid w:val="005E0354"/>
    <w:rsid w:val="005E04B8"/>
    <w:rsid w:val="005E1C04"/>
    <w:rsid w:val="005E238C"/>
    <w:rsid w:val="005E312B"/>
    <w:rsid w:val="005E4E66"/>
    <w:rsid w:val="005E677C"/>
    <w:rsid w:val="005E70B0"/>
    <w:rsid w:val="005F0EEF"/>
    <w:rsid w:val="005F1E09"/>
    <w:rsid w:val="005F249C"/>
    <w:rsid w:val="005F64F4"/>
    <w:rsid w:val="005F718F"/>
    <w:rsid w:val="005F7657"/>
    <w:rsid w:val="0060051E"/>
    <w:rsid w:val="0060177B"/>
    <w:rsid w:val="00603DDC"/>
    <w:rsid w:val="0060408A"/>
    <w:rsid w:val="0060512E"/>
    <w:rsid w:val="00605385"/>
    <w:rsid w:val="00606ADA"/>
    <w:rsid w:val="00607380"/>
    <w:rsid w:val="00614F7E"/>
    <w:rsid w:val="006155AF"/>
    <w:rsid w:val="0061675B"/>
    <w:rsid w:val="00622B4F"/>
    <w:rsid w:val="00624372"/>
    <w:rsid w:val="00625D3A"/>
    <w:rsid w:val="0062730A"/>
    <w:rsid w:val="0063020B"/>
    <w:rsid w:val="00630B0E"/>
    <w:rsid w:val="00631485"/>
    <w:rsid w:val="00631590"/>
    <w:rsid w:val="00633B22"/>
    <w:rsid w:val="0063629E"/>
    <w:rsid w:val="006362EA"/>
    <w:rsid w:val="00636F57"/>
    <w:rsid w:val="00641A5F"/>
    <w:rsid w:val="00642977"/>
    <w:rsid w:val="00644C0C"/>
    <w:rsid w:val="0064559E"/>
    <w:rsid w:val="0065112F"/>
    <w:rsid w:val="006512D3"/>
    <w:rsid w:val="00651877"/>
    <w:rsid w:val="006528B0"/>
    <w:rsid w:val="00652F70"/>
    <w:rsid w:val="00653D6A"/>
    <w:rsid w:val="00656ABE"/>
    <w:rsid w:val="00657165"/>
    <w:rsid w:val="00657833"/>
    <w:rsid w:val="006578BE"/>
    <w:rsid w:val="00661D49"/>
    <w:rsid w:val="006621DC"/>
    <w:rsid w:val="0066237A"/>
    <w:rsid w:val="00664284"/>
    <w:rsid w:val="00667BFE"/>
    <w:rsid w:val="00667C81"/>
    <w:rsid w:val="00674522"/>
    <w:rsid w:val="006748AD"/>
    <w:rsid w:val="0067556B"/>
    <w:rsid w:val="0067641C"/>
    <w:rsid w:val="006831BC"/>
    <w:rsid w:val="00686508"/>
    <w:rsid w:val="006870B5"/>
    <w:rsid w:val="006874B5"/>
    <w:rsid w:val="006903FA"/>
    <w:rsid w:val="00690493"/>
    <w:rsid w:val="006907D1"/>
    <w:rsid w:val="0069198C"/>
    <w:rsid w:val="00692612"/>
    <w:rsid w:val="0069569C"/>
    <w:rsid w:val="00695C86"/>
    <w:rsid w:val="006969D3"/>
    <w:rsid w:val="006A03EA"/>
    <w:rsid w:val="006A0635"/>
    <w:rsid w:val="006A0DE1"/>
    <w:rsid w:val="006A1FEA"/>
    <w:rsid w:val="006A2810"/>
    <w:rsid w:val="006A2D19"/>
    <w:rsid w:val="006A6CFD"/>
    <w:rsid w:val="006A770E"/>
    <w:rsid w:val="006A7CB5"/>
    <w:rsid w:val="006B43E5"/>
    <w:rsid w:val="006B539A"/>
    <w:rsid w:val="006B7FFC"/>
    <w:rsid w:val="006C1BC2"/>
    <w:rsid w:val="006C319B"/>
    <w:rsid w:val="006C3339"/>
    <w:rsid w:val="006C4053"/>
    <w:rsid w:val="006C55F5"/>
    <w:rsid w:val="006C57EA"/>
    <w:rsid w:val="006C719E"/>
    <w:rsid w:val="006C7BFB"/>
    <w:rsid w:val="006D1B0B"/>
    <w:rsid w:val="006D363B"/>
    <w:rsid w:val="006D40D6"/>
    <w:rsid w:val="006D6765"/>
    <w:rsid w:val="006D6CF3"/>
    <w:rsid w:val="006E0009"/>
    <w:rsid w:val="006E1CDF"/>
    <w:rsid w:val="006E413E"/>
    <w:rsid w:val="006E4FAE"/>
    <w:rsid w:val="006E5B50"/>
    <w:rsid w:val="006E605F"/>
    <w:rsid w:val="006E7BAC"/>
    <w:rsid w:val="006E7D68"/>
    <w:rsid w:val="006F1D8D"/>
    <w:rsid w:val="006F287C"/>
    <w:rsid w:val="006F2B73"/>
    <w:rsid w:val="006F4B6F"/>
    <w:rsid w:val="006F4EE4"/>
    <w:rsid w:val="006F5FF7"/>
    <w:rsid w:val="006F7534"/>
    <w:rsid w:val="006F7852"/>
    <w:rsid w:val="006F7DC0"/>
    <w:rsid w:val="007000D2"/>
    <w:rsid w:val="007022AA"/>
    <w:rsid w:val="00702CDB"/>
    <w:rsid w:val="00704080"/>
    <w:rsid w:val="0070609A"/>
    <w:rsid w:val="00712026"/>
    <w:rsid w:val="00713969"/>
    <w:rsid w:val="007151CF"/>
    <w:rsid w:val="00717109"/>
    <w:rsid w:val="007201D5"/>
    <w:rsid w:val="00720F47"/>
    <w:rsid w:val="00722F87"/>
    <w:rsid w:val="00723200"/>
    <w:rsid w:val="007235B9"/>
    <w:rsid w:val="007256A5"/>
    <w:rsid w:val="007273C2"/>
    <w:rsid w:val="00731D28"/>
    <w:rsid w:val="007356A6"/>
    <w:rsid w:val="00735D6C"/>
    <w:rsid w:val="007362F1"/>
    <w:rsid w:val="00736D6B"/>
    <w:rsid w:val="00736DCF"/>
    <w:rsid w:val="007377E4"/>
    <w:rsid w:val="007421BC"/>
    <w:rsid w:val="00743746"/>
    <w:rsid w:val="00746462"/>
    <w:rsid w:val="00747153"/>
    <w:rsid w:val="007472D0"/>
    <w:rsid w:val="007513D3"/>
    <w:rsid w:val="00757A46"/>
    <w:rsid w:val="007610DC"/>
    <w:rsid w:val="00763152"/>
    <w:rsid w:val="00764223"/>
    <w:rsid w:val="00765B4B"/>
    <w:rsid w:val="00770D8C"/>
    <w:rsid w:val="0077100F"/>
    <w:rsid w:val="00774C8C"/>
    <w:rsid w:val="00776535"/>
    <w:rsid w:val="0077727D"/>
    <w:rsid w:val="00780487"/>
    <w:rsid w:val="00782EFC"/>
    <w:rsid w:val="00783BF4"/>
    <w:rsid w:val="007854D8"/>
    <w:rsid w:val="00785792"/>
    <w:rsid w:val="00787E9A"/>
    <w:rsid w:val="00790391"/>
    <w:rsid w:val="00790916"/>
    <w:rsid w:val="00790F41"/>
    <w:rsid w:val="007916D2"/>
    <w:rsid w:val="00792790"/>
    <w:rsid w:val="0079365D"/>
    <w:rsid w:val="0079399A"/>
    <w:rsid w:val="00794ABA"/>
    <w:rsid w:val="00796C28"/>
    <w:rsid w:val="007A1431"/>
    <w:rsid w:val="007A1995"/>
    <w:rsid w:val="007A224F"/>
    <w:rsid w:val="007A2667"/>
    <w:rsid w:val="007A42FA"/>
    <w:rsid w:val="007A6432"/>
    <w:rsid w:val="007A6673"/>
    <w:rsid w:val="007B0660"/>
    <w:rsid w:val="007B0AA9"/>
    <w:rsid w:val="007B1718"/>
    <w:rsid w:val="007B3A02"/>
    <w:rsid w:val="007B41B5"/>
    <w:rsid w:val="007B60EB"/>
    <w:rsid w:val="007B7FA6"/>
    <w:rsid w:val="007C053A"/>
    <w:rsid w:val="007C08D9"/>
    <w:rsid w:val="007C0AFD"/>
    <w:rsid w:val="007C14ED"/>
    <w:rsid w:val="007C1664"/>
    <w:rsid w:val="007C45FD"/>
    <w:rsid w:val="007C48EE"/>
    <w:rsid w:val="007C4C77"/>
    <w:rsid w:val="007C6DA3"/>
    <w:rsid w:val="007D0059"/>
    <w:rsid w:val="007D03FB"/>
    <w:rsid w:val="007D0448"/>
    <w:rsid w:val="007D33C7"/>
    <w:rsid w:val="007D37D5"/>
    <w:rsid w:val="007D4553"/>
    <w:rsid w:val="007D4CB4"/>
    <w:rsid w:val="007D501A"/>
    <w:rsid w:val="007D620C"/>
    <w:rsid w:val="007E0BEB"/>
    <w:rsid w:val="007E19A1"/>
    <w:rsid w:val="007E1EB1"/>
    <w:rsid w:val="007E2178"/>
    <w:rsid w:val="007E21E7"/>
    <w:rsid w:val="007E29D9"/>
    <w:rsid w:val="007E3917"/>
    <w:rsid w:val="007E3B26"/>
    <w:rsid w:val="007E3F44"/>
    <w:rsid w:val="007E5F19"/>
    <w:rsid w:val="007E5FBE"/>
    <w:rsid w:val="007E743B"/>
    <w:rsid w:val="007F1327"/>
    <w:rsid w:val="007F1589"/>
    <w:rsid w:val="007F16ED"/>
    <w:rsid w:val="007F21DD"/>
    <w:rsid w:val="007F26AC"/>
    <w:rsid w:val="007F2AAD"/>
    <w:rsid w:val="007F2DC6"/>
    <w:rsid w:val="007F4A67"/>
    <w:rsid w:val="007F651A"/>
    <w:rsid w:val="007F7326"/>
    <w:rsid w:val="007F75C8"/>
    <w:rsid w:val="007F7607"/>
    <w:rsid w:val="00800CE7"/>
    <w:rsid w:val="008020C4"/>
    <w:rsid w:val="008035B6"/>
    <w:rsid w:val="008045CF"/>
    <w:rsid w:val="00806A49"/>
    <w:rsid w:val="00813E65"/>
    <w:rsid w:val="00815B07"/>
    <w:rsid w:val="008219DB"/>
    <w:rsid w:val="008251FD"/>
    <w:rsid w:val="008253FD"/>
    <w:rsid w:val="008261E3"/>
    <w:rsid w:val="0082777B"/>
    <w:rsid w:val="0083160D"/>
    <w:rsid w:val="00832AE7"/>
    <w:rsid w:val="00834C04"/>
    <w:rsid w:val="00835722"/>
    <w:rsid w:val="0083614E"/>
    <w:rsid w:val="00837127"/>
    <w:rsid w:val="00837428"/>
    <w:rsid w:val="00840739"/>
    <w:rsid w:val="00843724"/>
    <w:rsid w:val="00843965"/>
    <w:rsid w:val="00843B96"/>
    <w:rsid w:val="00846860"/>
    <w:rsid w:val="00846F00"/>
    <w:rsid w:val="00847F60"/>
    <w:rsid w:val="00855B89"/>
    <w:rsid w:val="008568BE"/>
    <w:rsid w:val="008573EC"/>
    <w:rsid w:val="00860889"/>
    <w:rsid w:val="008608AA"/>
    <w:rsid w:val="00867726"/>
    <w:rsid w:val="00870677"/>
    <w:rsid w:val="00871036"/>
    <w:rsid w:val="00873159"/>
    <w:rsid w:val="008739F4"/>
    <w:rsid w:val="00876A94"/>
    <w:rsid w:val="00877F5D"/>
    <w:rsid w:val="00880168"/>
    <w:rsid w:val="00881509"/>
    <w:rsid w:val="00882F21"/>
    <w:rsid w:val="0088304E"/>
    <w:rsid w:val="0088306D"/>
    <w:rsid w:val="008831EB"/>
    <w:rsid w:val="008861AE"/>
    <w:rsid w:val="008867C3"/>
    <w:rsid w:val="00886952"/>
    <w:rsid w:val="00886AA4"/>
    <w:rsid w:val="0089044C"/>
    <w:rsid w:val="008940EF"/>
    <w:rsid w:val="00895207"/>
    <w:rsid w:val="00895B15"/>
    <w:rsid w:val="00897407"/>
    <w:rsid w:val="008A151B"/>
    <w:rsid w:val="008A176E"/>
    <w:rsid w:val="008A1BB6"/>
    <w:rsid w:val="008A3074"/>
    <w:rsid w:val="008A7234"/>
    <w:rsid w:val="008B3BCD"/>
    <w:rsid w:val="008B68E6"/>
    <w:rsid w:val="008B7E35"/>
    <w:rsid w:val="008B7FA5"/>
    <w:rsid w:val="008C1268"/>
    <w:rsid w:val="008C26B1"/>
    <w:rsid w:val="008C3148"/>
    <w:rsid w:val="008C40F1"/>
    <w:rsid w:val="008C4A35"/>
    <w:rsid w:val="008C4B6A"/>
    <w:rsid w:val="008C589C"/>
    <w:rsid w:val="008C738B"/>
    <w:rsid w:val="008C7851"/>
    <w:rsid w:val="008D41BB"/>
    <w:rsid w:val="008D550B"/>
    <w:rsid w:val="008D6A4D"/>
    <w:rsid w:val="008D6ADB"/>
    <w:rsid w:val="008E16F3"/>
    <w:rsid w:val="008E19EF"/>
    <w:rsid w:val="008E2511"/>
    <w:rsid w:val="008E3A0C"/>
    <w:rsid w:val="008E3CC7"/>
    <w:rsid w:val="008E4047"/>
    <w:rsid w:val="008E46B4"/>
    <w:rsid w:val="008E58B2"/>
    <w:rsid w:val="008F05F8"/>
    <w:rsid w:val="008F2E87"/>
    <w:rsid w:val="008F6CE4"/>
    <w:rsid w:val="008F7A73"/>
    <w:rsid w:val="00901429"/>
    <w:rsid w:val="00901FAF"/>
    <w:rsid w:val="00902618"/>
    <w:rsid w:val="0090514D"/>
    <w:rsid w:val="00907FA2"/>
    <w:rsid w:val="009148AC"/>
    <w:rsid w:val="00914B1C"/>
    <w:rsid w:val="009166D6"/>
    <w:rsid w:val="00916A08"/>
    <w:rsid w:val="0092024E"/>
    <w:rsid w:val="00921E03"/>
    <w:rsid w:val="00921F6C"/>
    <w:rsid w:val="009228CB"/>
    <w:rsid w:val="0092319D"/>
    <w:rsid w:val="009234AB"/>
    <w:rsid w:val="0092793F"/>
    <w:rsid w:val="00930566"/>
    <w:rsid w:val="0093467D"/>
    <w:rsid w:val="00936EC1"/>
    <w:rsid w:val="0093713E"/>
    <w:rsid w:val="00937445"/>
    <w:rsid w:val="00940A16"/>
    <w:rsid w:val="009423A8"/>
    <w:rsid w:val="00942AE6"/>
    <w:rsid w:val="00944B63"/>
    <w:rsid w:val="00945A59"/>
    <w:rsid w:val="00955B83"/>
    <w:rsid w:val="0095672D"/>
    <w:rsid w:val="00960578"/>
    <w:rsid w:val="00960A2E"/>
    <w:rsid w:val="00960D67"/>
    <w:rsid w:val="00963AF9"/>
    <w:rsid w:val="00963E32"/>
    <w:rsid w:val="009656B5"/>
    <w:rsid w:val="009660C5"/>
    <w:rsid w:val="00966647"/>
    <w:rsid w:val="00967BF4"/>
    <w:rsid w:val="00976E9A"/>
    <w:rsid w:val="00980148"/>
    <w:rsid w:val="00981CF6"/>
    <w:rsid w:val="00982BC3"/>
    <w:rsid w:val="00983871"/>
    <w:rsid w:val="00984655"/>
    <w:rsid w:val="00984E01"/>
    <w:rsid w:val="009852C9"/>
    <w:rsid w:val="00985E27"/>
    <w:rsid w:val="00986AF2"/>
    <w:rsid w:val="00990DA6"/>
    <w:rsid w:val="00990DEA"/>
    <w:rsid w:val="0099210D"/>
    <w:rsid w:val="0099246C"/>
    <w:rsid w:val="00994C17"/>
    <w:rsid w:val="00994F2F"/>
    <w:rsid w:val="00994FEE"/>
    <w:rsid w:val="00997367"/>
    <w:rsid w:val="009975BA"/>
    <w:rsid w:val="009A14BC"/>
    <w:rsid w:val="009B0DD4"/>
    <w:rsid w:val="009B6AD8"/>
    <w:rsid w:val="009B7D5A"/>
    <w:rsid w:val="009B7F2C"/>
    <w:rsid w:val="009C2A7A"/>
    <w:rsid w:val="009C34DE"/>
    <w:rsid w:val="009C35F3"/>
    <w:rsid w:val="009C3845"/>
    <w:rsid w:val="009C39CE"/>
    <w:rsid w:val="009C3E20"/>
    <w:rsid w:val="009C453F"/>
    <w:rsid w:val="009D0CBC"/>
    <w:rsid w:val="009D1F69"/>
    <w:rsid w:val="009D3DB7"/>
    <w:rsid w:val="009E0E07"/>
    <w:rsid w:val="009E17F4"/>
    <w:rsid w:val="009E18F7"/>
    <w:rsid w:val="009E1ACD"/>
    <w:rsid w:val="009E4D16"/>
    <w:rsid w:val="009E4D36"/>
    <w:rsid w:val="009E6123"/>
    <w:rsid w:val="009F0E42"/>
    <w:rsid w:val="009F1F63"/>
    <w:rsid w:val="009F2AD4"/>
    <w:rsid w:val="00A002FB"/>
    <w:rsid w:val="00A00405"/>
    <w:rsid w:val="00A01A41"/>
    <w:rsid w:val="00A04C10"/>
    <w:rsid w:val="00A054F9"/>
    <w:rsid w:val="00A11ECA"/>
    <w:rsid w:val="00A13E55"/>
    <w:rsid w:val="00A15732"/>
    <w:rsid w:val="00A15777"/>
    <w:rsid w:val="00A173D4"/>
    <w:rsid w:val="00A175AC"/>
    <w:rsid w:val="00A2187D"/>
    <w:rsid w:val="00A2235F"/>
    <w:rsid w:val="00A26A68"/>
    <w:rsid w:val="00A26EF8"/>
    <w:rsid w:val="00A26F6D"/>
    <w:rsid w:val="00A26FD5"/>
    <w:rsid w:val="00A2793B"/>
    <w:rsid w:val="00A3137A"/>
    <w:rsid w:val="00A32C07"/>
    <w:rsid w:val="00A34115"/>
    <w:rsid w:val="00A345FC"/>
    <w:rsid w:val="00A3608A"/>
    <w:rsid w:val="00A369F6"/>
    <w:rsid w:val="00A37389"/>
    <w:rsid w:val="00A46E58"/>
    <w:rsid w:val="00A47F44"/>
    <w:rsid w:val="00A5177F"/>
    <w:rsid w:val="00A5520A"/>
    <w:rsid w:val="00A561EA"/>
    <w:rsid w:val="00A5628A"/>
    <w:rsid w:val="00A574DF"/>
    <w:rsid w:val="00A60BD2"/>
    <w:rsid w:val="00A61954"/>
    <w:rsid w:val="00A65555"/>
    <w:rsid w:val="00A65C52"/>
    <w:rsid w:val="00A672B2"/>
    <w:rsid w:val="00A741B7"/>
    <w:rsid w:val="00A7449E"/>
    <w:rsid w:val="00A754C2"/>
    <w:rsid w:val="00A75503"/>
    <w:rsid w:val="00A7698A"/>
    <w:rsid w:val="00A802D2"/>
    <w:rsid w:val="00A80629"/>
    <w:rsid w:val="00A8438F"/>
    <w:rsid w:val="00A85378"/>
    <w:rsid w:val="00A86148"/>
    <w:rsid w:val="00A91F3B"/>
    <w:rsid w:val="00A92173"/>
    <w:rsid w:val="00A926B9"/>
    <w:rsid w:val="00A93766"/>
    <w:rsid w:val="00A93934"/>
    <w:rsid w:val="00A93FE1"/>
    <w:rsid w:val="00A94A31"/>
    <w:rsid w:val="00A94D3E"/>
    <w:rsid w:val="00A95B44"/>
    <w:rsid w:val="00A95E38"/>
    <w:rsid w:val="00A969AC"/>
    <w:rsid w:val="00A97997"/>
    <w:rsid w:val="00AA085D"/>
    <w:rsid w:val="00AA0989"/>
    <w:rsid w:val="00AA10D5"/>
    <w:rsid w:val="00AA1263"/>
    <w:rsid w:val="00AA1AF4"/>
    <w:rsid w:val="00AA224A"/>
    <w:rsid w:val="00AA42D4"/>
    <w:rsid w:val="00AA581F"/>
    <w:rsid w:val="00AA5D23"/>
    <w:rsid w:val="00AA74A8"/>
    <w:rsid w:val="00AA7E92"/>
    <w:rsid w:val="00AB0BF0"/>
    <w:rsid w:val="00AB1280"/>
    <w:rsid w:val="00AB1AD3"/>
    <w:rsid w:val="00AB1DA7"/>
    <w:rsid w:val="00AB2DDF"/>
    <w:rsid w:val="00AB5E93"/>
    <w:rsid w:val="00AB6364"/>
    <w:rsid w:val="00AB6BEC"/>
    <w:rsid w:val="00AC045E"/>
    <w:rsid w:val="00AC5741"/>
    <w:rsid w:val="00AC6700"/>
    <w:rsid w:val="00AC69AD"/>
    <w:rsid w:val="00AC762D"/>
    <w:rsid w:val="00AC7E47"/>
    <w:rsid w:val="00AD129F"/>
    <w:rsid w:val="00AD22AA"/>
    <w:rsid w:val="00AD36E8"/>
    <w:rsid w:val="00AD6067"/>
    <w:rsid w:val="00AD778C"/>
    <w:rsid w:val="00AE1F1F"/>
    <w:rsid w:val="00AE2413"/>
    <w:rsid w:val="00AE2DD1"/>
    <w:rsid w:val="00AE3491"/>
    <w:rsid w:val="00AE6A2E"/>
    <w:rsid w:val="00AE7682"/>
    <w:rsid w:val="00AF0613"/>
    <w:rsid w:val="00AF256C"/>
    <w:rsid w:val="00AF2D3C"/>
    <w:rsid w:val="00AF4DDA"/>
    <w:rsid w:val="00AF600A"/>
    <w:rsid w:val="00AF64FC"/>
    <w:rsid w:val="00AF7A93"/>
    <w:rsid w:val="00B02068"/>
    <w:rsid w:val="00B04BFA"/>
    <w:rsid w:val="00B057C7"/>
    <w:rsid w:val="00B116F5"/>
    <w:rsid w:val="00B127F3"/>
    <w:rsid w:val="00B131E2"/>
    <w:rsid w:val="00B157DF"/>
    <w:rsid w:val="00B16A15"/>
    <w:rsid w:val="00B16B1E"/>
    <w:rsid w:val="00B20B10"/>
    <w:rsid w:val="00B20C8E"/>
    <w:rsid w:val="00B212BB"/>
    <w:rsid w:val="00B21B4F"/>
    <w:rsid w:val="00B223ED"/>
    <w:rsid w:val="00B22408"/>
    <w:rsid w:val="00B2242D"/>
    <w:rsid w:val="00B23558"/>
    <w:rsid w:val="00B24A76"/>
    <w:rsid w:val="00B260A3"/>
    <w:rsid w:val="00B31297"/>
    <w:rsid w:val="00B314FB"/>
    <w:rsid w:val="00B31B2E"/>
    <w:rsid w:val="00B328AE"/>
    <w:rsid w:val="00B3307F"/>
    <w:rsid w:val="00B33BD5"/>
    <w:rsid w:val="00B36966"/>
    <w:rsid w:val="00B36E90"/>
    <w:rsid w:val="00B403D7"/>
    <w:rsid w:val="00B40BEB"/>
    <w:rsid w:val="00B40E9F"/>
    <w:rsid w:val="00B4167B"/>
    <w:rsid w:val="00B45508"/>
    <w:rsid w:val="00B45DB6"/>
    <w:rsid w:val="00B460F2"/>
    <w:rsid w:val="00B469A6"/>
    <w:rsid w:val="00B50ECF"/>
    <w:rsid w:val="00B50F8F"/>
    <w:rsid w:val="00B52412"/>
    <w:rsid w:val="00B542A5"/>
    <w:rsid w:val="00B54516"/>
    <w:rsid w:val="00B5458D"/>
    <w:rsid w:val="00B55B6C"/>
    <w:rsid w:val="00B63B60"/>
    <w:rsid w:val="00B64FCF"/>
    <w:rsid w:val="00B700CF"/>
    <w:rsid w:val="00B72691"/>
    <w:rsid w:val="00B74BA5"/>
    <w:rsid w:val="00B75DF2"/>
    <w:rsid w:val="00B801E1"/>
    <w:rsid w:val="00B805F8"/>
    <w:rsid w:val="00B817DF"/>
    <w:rsid w:val="00B82C51"/>
    <w:rsid w:val="00B850ED"/>
    <w:rsid w:val="00B85B2E"/>
    <w:rsid w:val="00B87A3B"/>
    <w:rsid w:val="00B907E2"/>
    <w:rsid w:val="00B94854"/>
    <w:rsid w:val="00B95058"/>
    <w:rsid w:val="00B9640B"/>
    <w:rsid w:val="00BA115A"/>
    <w:rsid w:val="00BA2062"/>
    <w:rsid w:val="00BA7B8F"/>
    <w:rsid w:val="00BB0272"/>
    <w:rsid w:val="00BB12D7"/>
    <w:rsid w:val="00BB1E66"/>
    <w:rsid w:val="00BB205F"/>
    <w:rsid w:val="00BB42F3"/>
    <w:rsid w:val="00BB442D"/>
    <w:rsid w:val="00BB46EF"/>
    <w:rsid w:val="00BB5765"/>
    <w:rsid w:val="00BC063B"/>
    <w:rsid w:val="00BC1DA3"/>
    <w:rsid w:val="00BD08BA"/>
    <w:rsid w:val="00BD1803"/>
    <w:rsid w:val="00BD2708"/>
    <w:rsid w:val="00BD2BC4"/>
    <w:rsid w:val="00BD2C55"/>
    <w:rsid w:val="00BD2CBD"/>
    <w:rsid w:val="00BD343E"/>
    <w:rsid w:val="00BD3C8C"/>
    <w:rsid w:val="00BD4834"/>
    <w:rsid w:val="00BD5704"/>
    <w:rsid w:val="00BE1B50"/>
    <w:rsid w:val="00BE4235"/>
    <w:rsid w:val="00BE534F"/>
    <w:rsid w:val="00BE689E"/>
    <w:rsid w:val="00BE6EBD"/>
    <w:rsid w:val="00BF1E76"/>
    <w:rsid w:val="00BF3889"/>
    <w:rsid w:val="00BF39AE"/>
    <w:rsid w:val="00BF3F56"/>
    <w:rsid w:val="00BF5C66"/>
    <w:rsid w:val="00BF7A44"/>
    <w:rsid w:val="00BF7DF0"/>
    <w:rsid w:val="00C03B01"/>
    <w:rsid w:val="00C03ECE"/>
    <w:rsid w:val="00C04AD0"/>
    <w:rsid w:val="00C05AA8"/>
    <w:rsid w:val="00C06F4D"/>
    <w:rsid w:val="00C10016"/>
    <w:rsid w:val="00C101CA"/>
    <w:rsid w:val="00C10784"/>
    <w:rsid w:val="00C1178A"/>
    <w:rsid w:val="00C13476"/>
    <w:rsid w:val="00C144DB"/>
    <w:rsid w:val="00C149D3"/>
    <w:rsid w:val="00C14E10"/>
    <w:rsid w:val="00C15596"/>
    <w:rsid w:val="00C166FF"/>
    <w:rsid w:val="00C16801"/>
    <w:rsid w:val="00C20259"/>
    <w:rsid w:val="00C20336"/>
    <w:rsid w:val="00C207DA"/>
    <w:rsid w:val="00C2266F"/>
    <w:rsid w:val="00C3037C"/>
    <w:rsid w:val="00C31849"/>
    <w:rsid w:val="00C32AE2"/>
    <w:rsid w:val="00C35F17"/>
    <w:rsid w:val="00C36FE3"/>
    <w:rsid w:val="00C37A3E"/>
    <w:rsid w:val="00C40463"/>
    <w:rsid w:val="00C40619"/>
    <w:rsid w:val="00C4150D"/>
    <w:rsid w:val="00C4488F"/>
    <w:rsid w:val="00C459D5"/>
    <w:rsid w:val="00C45D57"/>
    <w:rsid w:val="00C50634"/>
    <w:rsid w:val="00C5395F"/>
    <w:rsid w:val="00C55758"/>
    <w:rsid w:val="00C56F52"/>
    <w:rsid w:val="00C607B9"/>
    <w:rsid w:val="00C60CF4"/>
    <w:rsid w:val="00C6517A"/>
    <w:rsid w:val="00C656B6"/>
    <w:rsid w:val="00C656E9"/>
    <w:rsid w:val="00C72A0B"/>
    <w:rsid w:val="00C75332"/>
    <w:rsid w:val="00C7559D"/>
    <w:rsid w:val="00C7622D"/>
    <w:rsid w:val="00C76994"/>
    <w:rsid w:val="00C77C98"/>
    <w:rsid w:val="00C814E1"/>
    <w:rsid w:val="00C816D6"/>
    <w:rsid w:val="00C854DB"/>
    <w:rsid w:val="00C85F9E"/>
    <w:rsid w:val="00C872E2"/>
    <w:rsid w:val="00C9172B"/>
    <w:rsid w:val="00C93299"/>
    <w:rsid w:val="00C93601"/>
    <w:rsid w:val="00C95490"/>
    <w:rsid w:val="00C96E61"/>
    <w:rsid w:val="00C96EB6"/>
    <w:rsid w:val="00C97690"/>
    <w:rsid w:val="00C97B1C"/>
    <w:rsid w:val="00CA11F6"/>
    <w:rsid w:val="00CA2AFD"/>
    <w:rsid w:val="00CA38B7"/>
    <w:rsid w:val="00CA48E9"/>
    <w:rsid w:val="00CB199B"/>
    <w:rsid w:val="00CB50C7"/>
    <w:rsid w:val="00CB7E77"/>
    <w:rsid w:val="00CC0D7E"/>
    <w:rsid w:val="00CC1800"/>
    <w:rsid w:val="00CC3929"/>
    <w:rsid w:val="00CC6CB7"/>
    <w:rsid w:val="00CD1242"/>
    <w:rsid w:val="00CD160A"/>
    <w:rsid w:val="00CD2AD9"/>
    <w:rsid w:val="00CD33E1"/>
    <w:rsid w:val="00CD384D"/>
    <w:rsid w:val="00CD3D92"/>
    <w:rsid w:val="00CD51FE"/>
    <w:rsid w:val="00CD5241"/>
    <w:rsid w:val="00CD5D68"/>
    <w:rsid w:val="00CD61F3"/>
    <w:rsid w:val="00CD649C"/>
    <w:rsid w:val="00CD7325"/>
    <w:rsid w:val="00CE0821"/>
    <w:rsid w:val="00CE2170"/>
    <w:rsid w:val="00CE2C35"/>
    <w:rsid w:val="00CE379B"/>
    <w:rsid w:val="00CE4815"/>
    <w:rsid w:val="00CF1808"/>
    <w:rsid w:val="00CF1B37"/>
    <w:rsid w:val="00CF1C51"/>
    <w:rsid w:val="00CF54EA"/>
    <w:rsid w:val="00CF5692"/>
    <w:rsid w:val="00CF5C15"/>
    <w:rsid w:val="00CF6BD8"/>
    <w:rsid w:val="00D03622"/>
    <w:rsid w:val="00D0391D"/>
    <w:rsid w:val="00D03B0D"/>
    <w:rsid w:val="00D0482F"/>
    <w:rsid w:val="00D04D5D"/>
    <w:rsid w:val="00D06876"/>
    <w:rsid w:val="00D07AA2"/>
    <w:rsid w:val="00D07ADA"/>
    <w:rsid w:val="00D110C3"/>
    <w:rsid w:val="00D15094"/>
    <w:rsid w:val="00D15C8D"/>
    <w:rsid w:val="00D16BCD"/>
    <w:rsid w:val="00D171C7"/>
    <w:rsid w:val="00D179FD"/>
    <w:rsid w:val="00D20561"/>
    <w:rsid w:val="00D213E3"/>
    <w:rsid w:val="00D262CB"/>
    <w:rsid w:val="00D273FC"/>
    <w:rsid w:val="00D314B7"/>
    <w:rsid w:val="00D31CEE"/>
    <w:rsid w:val="00D31EEB"/>
    <w:rsid w:val="00D31EF0"/>
    <w:rsid w:val="00D3218B"/>
    <w:rsid w:val="00D33974"/>
    <w:rsid w:val="00D35005"/>
    <w:rsid w:val="00D35198"/>
    <w:rsid w:val="00D366C8"/>
    <w:rsid w:val="00D37B59"/>
    <w:rsid w:val="00D41CBE"/>
    <w:rsid w:val="00D43C84"/>
    <w:rsid w:val="00D45995"/>
    <w:rsid w:val="00D45AD3"/>
    <w:rsid w:val="00D45C6F"/>
    <w:rsid w:val="00D46BE5"/>
    <w:rsid w:val="00D5064E"/>
    <w:rsid w:val="00D50CF3"/>
    <w:rsid w:val="00D53A95"/>
    <w:rsid w:val="00D5460E"/>
    <w:rsid w:val="00D55CDA"/>
    <w:rsid w:val="00D568E4"/>
    <w:rsid w:val="00D65870"/>
    <w:rsid w:val="00D66547"/>
    <w:rsid w:val="00D713D5"/>
    <w:rsid w:val="00D713F2"/>
    <w:rsid w:val="00D729A0"/>
    <w:rsid w:val="00D833A9"/>
    <w:rsid w:val="00D83CF3"/>
    <w:rsid w:val="00D84807"/>
    <w:rsid w:val="00D849EA"/>
    <w:rsid w:val="00D84D53"/>
    <w:rsid w:val="00D854E9"/>
    <w:rsid w:val="00D87C6C"/>
    <w:rsid w:val="00D9098F"/>
    <w:rsid w:val="00D90B1D"/>
    <w:rsid w:val="00D90C26"/>
    <w:rsid w:val="00D91175"/>
    <w:rsid w:val="00D93114"/>
    <w:rsid w:val="00D933AC"/>
    <w:rsid w:val="00D94D92"/>
    <w:rsid w:val="00D95AC7"/>
    <w:rsid w:val="00D971AF"/>
    <w:rsid w:val="00D97663"/>
    <w:rsid w:val="00DA1971"/>
    <w:rsid w:val="00DA20B2"/>
    <w:rsid w:val="00DA20B6"/>
    <w:rsid w:val="00DA3881"/>
    <w:rsid w:val="00DA396A"/>
    <w:rsid w:val="00DA396D"/>
    <w:rsid w:val="00DA6645"/>
    <w:rsid w:val="00DA6C0B"/>
    <w:rsid w:val="00DA7049"/>
    <w:rsid w:val="00DB0789"/>
    <w:rsid w:val="00DB09DA"/>
    <w:rsid w:val="00DB3608"/>
    <w:rsid w:val="00DB567C"/>
    <w:rsid w:val="00DB6A0C"/>
    <w:rsid w:val="00DB6D58"/>
    <w:rsid w:val="00DB7F47"/>
    <w:rsid w:val="00DC7067"/>
    <w:rsid w:val="00DC7846"/>
    <w:rsid w:val="00DD0C0C"/>
    <w:rsid w:val="00DD1248"/>
    <w:rsid w:val="00DD1E08"/>
    <w:rsid w:val="00DD31D5"/>
    <w:rsid w:val="00DD330E"/>
    <w:rsid w:val="00DD4E98"/>
    <w:rsid w:val="00DD5AB3"/>
    <w:rsid w:val="00DD5D96"/>
    <w:rsid w:val="00DE0E8A"/>
    <w:rsid w:val="00DE14EE"/>
    <w:rsid w:val="00DE1782"/>
    <w:rsid w:val="00DE2986"/>
    <w:rsid w:val="00DE471C"/>
    <w:rsid w:val="00DF0758"/>
    <w:rsid w:val="00DF0D5E"/>
    <w:rsid w:val="00DF3F4D"/>
    <w:rsid w:val="00DF5365"/>
    <w:rsid w:val="00DF7063"/>
    <w:rsid w:val="00DF75EC"/>
    <w:rsid w:val="00E004BC"/>
    <w:rsid w:val="00E0141B"/>
    <w:rsid w:val="00E02546"/>
    <w:rsid w:val="00E03ED4"/>
    <w:rsid w:val="00E0561F"/>
    <w:rsid w:val="00E1122F"/>
    <w:rsid w:val="00E11452"/>
    <w:rsid w:val="00E13097"/>
    <w:rsid w:val="00E15F71"/>
    <w:rsid w:val="00E21103"/>
    <w:rsid w:val="00E23ED1"/>
    <w:rsid w:val="00E25DCE"/>
    <w:rsid w:val="00E2639F"/>
    <w:rsid w:val="00E27A04"/>
    <w:rsid w:val="00E27C72"/>
    <w:rsid w:val="00E30489"/>
    <w:rsid w:val="00E3153B"/>
    <w:rsid w:val="00E32115"/>
    <w:rsid w:val="00E3367F"/>
    <w:rsid w:val="00E349C9"/>
    <w:rsid w:val="00E36ECB"/>
    <w:rsid w:val="00E40DED"/>
    <w:rsid w:val="00E424A5"/>
    <w:rsid w:val="00E45C8F"/>
    <w:rsid w:val="00E45C9E"/>
    <w:rsid w:val="00E4616E"/>
    <w:rsid w:val="00E50785"/>
    <w:rsid w:val="00E5221B"/>
    <w:rsid w:val="00E52CB8"/>
    <w:rsid w:val="00E55291"/>
    <w:rsid w:val="00E61248"/>
    <w:rsid w:val="00E61364"/>
    <w:rsid w:val="00E615F1"/>
    <w:rsid w:val="00E61B50"/>
    <w:rsid w:val="00E6303A"/>
    <w:rsid w:val="00E637CA"/>
    <w:rsid w:val="00E676F8"/>
    <w:rsid w:val="00E714CA"/>
    <w:rsid w:val="00E75B9D"/>
    <w:rsid w:val="00E7683B"/>
    <w:rsid w:val="00E7791C"/>
    <w:rsid w:val="00E81599"/>
    <w:rsid w:val="00E8284B"/>
    <w:rsid w:val="00E84199"/>
    <w:rsid w:val="00E84F4D"/>
    <w:rsid w:val="00E86371"/>
    <w:rsid w:val="00E86649"/>
    <w:rsid w:val="00E87116"/>
    <w:rsid w:val="00E873BE"/>
    <w:rsid w:val="00E875DD"/>
    <w:rsid w:val="00E93408"/>
    <w:rsid w:val="00E94D36"/>
    <w:rsid w:val="00E94DF1"/>
    <w:rsid w:val="00E95397"/>
    <w:rsid w:val="00E9653D"/>
    <w:rsid w:val="00EA09F6"/>
    <w:rsid w:val="00EA2A4C"/>
    <w:rsid w:val="00EA3CC1"/>
    <w:rsid w:val="00EA3EC6"/>
    <w:rsid w:val="00EA4952"/>
    <w:rsid w:val="00EA50A9"/>
    <w:rsid w:val="00EB282F"/>
    <w:rsid w:val="00EB2C0C"/>
    <w:rsid w:val="00EB620A"/>
    <w:rsid w:val="00EB76E5"/>
    <w:rsid w:val="00EB77CC"/>
    <w:rsid w:val="00EC0E64"/>
    <w:rsid w:val="00EC1796"/>
    <w:rsid w:val="00EC2D88"/>
    <w:rsid w:val="00EC391F"/>
    <w:rsid w:val="00EC392B"/>
    <w:rsid w:val="00EC4610"/>
    <w:rsid w:val="00EC4D46"/>
    <w:rsid w:val="00ED0911"/>
    <w:rsid w:val="00ED0E11"/>
    <w:rsid w:val="00ED2CA3"/>
    <w:rsid w:val="00ED6262"/>
    <w:rsid w:val="00ED62AF"/>
    <w:rsid w:val="00ED7409"/>
    <w:rsid w:val="00ED7C74"/>
    <w:rsid w:val="00EE6253"/>
    <w:rsid w:val="00EE6343"/>
    <w:rsid w:val="00EE708F"/>
    <w:rsid w:val="00EE70C9"/>
    <w:rsid w:val="00EE77AC"/>
    <w:rsid w:val="00EF16F3"/>
    <w:rsid w:val="00EF2E03"/>
    <w:rsid w:val="00EF7F26"/>
    <w:rsid w:val="00F0314B"/>
    <w:rsid w:val="00F04D68"/>
    <w:rsid w:val="00F10054"/>
    <w:rsid w:val="00F10364"/>
    <w:rsid w:val="00F10808"/>
    <w:rsid w:val="00F112E8"/>
    <w:rsid w:val="00F116C6"/>
    <w:rsid w:val="00F16020"/>
    <w:rsid w:val="00F20ED1"/>
    <w:rsid w:val="00F21A9E"/>
    <w:rsid w:val="00F220D9"/>
    <w:rsid w:val="00F23CBF"/>
    <w:rsid w:val="00F262BC"/>
    <w:rsid w:val="00F26FC1"/>
    <w:rsid w:val="00F270F5"/>
    <w:rsid w:val="00F27EFF"/>
    <w:rsid w:val="00F30AB7"/>
    <w:rsid w:val="00F32787"/>
    <w:rsid w:val="00F32C42"/>
    <w:rsid w:val="00F33124"/>
    <w:rsid w:val="00F337B1"/>
    <w:rsid w:val="00F35848"/>
    <w:rsid w:val="00F35FD8"/>
    <w:rsid w:val="00F4043E"/>
    <w:rsid w:val="00F41B91"/>
    <w:rsid w:val="00F41E65"/>
    <w:rsid w:val="00F42ED7"/>
    <w:rsid w:val="00F44157"/>
    <w:rsid w:val="00F454E7"/>
    <w:rsid w:val="00F4570B"/>
    <w:rsid w:val="00F47BBC"/>
    <w:rsid w:val="00F47C38"/>
    <w:rsid w:val="00F535EC"/>
    <w:rsid w:val="00F5502C"/>
    <w:rsid w:val="00F57F61"/>
    <w:rsid w:val="00F600EB"/>
    <w:rsid w:val="00F61705"/>
    <w:rsid w:val="00F63373"/>
    <w:rsid w:val="00F65807"/>
    <w:rsid w:val="00F65E9C"/>
    <w:rsid w:val="00F65F51"/>
    <w:rsid w:val="00F67904"/>
    <w:rsid w:val="00F67AF7"/>
    <w:rsid w:val="00F67EC2"/>
    <w:rsid w:val="00F70FEA"/>
    <w:rsid w:val="00F71CE4"/>
    <w:rsid w:val="00F72393"/>
    <w:rsid w:val="00F72BDA"/>
    <w:rsid w:val="00F739F2"/>
    <w:rsid w:val="00F76B15"/>
    <w:rsid w:val="00F801B1"/>
    <w:rsid w:val="00F813BA"/>
    <w:rsid w:val="00F81B1B"/>
    <w:rsid w:val="00F8217B"/>
    <w:rsid w:val="00F835B7"/>
    <w:rsid w:val="00F849B3"/>
    <w:rsid w:val="00F84E20"/>
    <w:rsid w:val="00F84FCC"/>
    <w:rsid w:val="00F86F6E"/>
    <w:rsid w:val="00F87683"/>
    <w:rsid w:val="00F87F61"/>
    <w:rsid w:val="00F90429"/>
    <w:rsid w:val="00F90966"/>
    <w:rsid w:val="00F90B7C"/>
    <w:rsid w:val="00F91BB1"/>
    <w:rsid w:val="00F9298D"/>
    <w:rsid w:val="00F95B46"/>
    <w:rsid w:val="00F95C8C"/>
    <w:rsid w:val="00F9678D"/>
    <w:rsid w:val="00FA2085"/>
    <w:rsid w:val="00FA20E8"/>
    <w:rsid w:val="00FA2C56"/>
    <w:rsid w:val="00FA33C9"/>
    <w:rsid w:val="00FA3CBF"/>
    <w:rsid w:val="00FA50CF"/>
    <w:rsid w:val="00FA69F4"/>
    <w:rsid w:val="00FB4035"/>
    <w:rsid w:val="00FB4685"/>
    <w:rsid w:val="00FB64ED"/>
    <w:rsid w:val="00FC12CD"/>
    <w:rsid w:val="00FC1FEE"/>
    <w:rsid w:val="00FC30B9"/>
    <w:rsid w:val="00FC5DB7"/>
    <w:rsid w:val="00FC6F20"/>
    <w:rsid w:val="00FC764E"/>
    <w:rsid w:val="00FC7B54"/>
    <w:rsid w:val="00FD0B21"/>
    <w:rsid w:val="00FD0EAC"/>
    <w:rsid w:val="00FD1295"/>
    <w:rsid w:val="00FD4B89"/>
    <w:rsid w:val="00FD5400"/>
    <w:rsid w:val="00FD5748"/>
    <w:rsid w:val="00FD63F3"/>
    <w:rsid w:val="00FD6F73"/>
    <w:rsid w:val="00FD7628"/>
    <w:rsid w:val="00FE0BC1"/>
    <w:rsid w:val="00FE12A2"/>
    <w:rsid w:val="00FE4CC2"/>
    <w:rsid w:val="00FE65F2"/>
    <w:rsid w:val="00FF0580"/>
    <w:rsid w:val="00FF187D"/>
    <w:rsid w:val="00FF456B"/>
    <w:rsid w:val="00FF5A9D"/>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D517336"/>
  <w15:docId w15:val="{D72F61EA-5C6D-43DC-9BDC-DC872165B2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color w:val="000000"/>
        <w:sz w:val="22"/>
        <w:szCs w:val="22"/>
        <w:lang w:val="en-GB" w:eastAsia="es-CO" w:bidi="ar-SA"/>
      </w:rPr>
    </w:rPrDefault>
    <w:pPrDefault>
      <w:pPr>
        <w:pBdr>
          <w:top w:val="nil"/>
          <w:left w:val="nil"/>
          <w:bottom w:val="nil"/>
          <w:right w:val="nil"/>
          <w:between w:val="nil"/>
        </w:pBdr>
        <w:tabs>
          <w:tab w:val="left" w:pos="1247"/>
          <w:tab w:val="left" w:pos="1814"/>
          <w:tab w:val="left" w:pos="2381"/>
          <w:tab w:val="left" w:pos="2948"/>
          <w:tab w:val="left" w:pos="3515"/>
        </w:tabs>
        <w:spacing w:after="120"/>
        <w:jc w:val="both"/>
      </w:pPr>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qFormat="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99" w:unhideWhenUsed="1"/>
    <w:lsdException w:name="List Bullet" w:semiHidden="1" w:uiPriority="99" w:unhideWhenUsed="1"/>
    <w:lsdException w:name="List Number" w:semiHidden="1" w:unhideWhenUsed="1"/>
    <w:lsdException w:name="List 2" w:semiHidden="1" w:uiPriority="99" w:unhideWhenUsed="1"/>
    <w:lsdException w:name="List 3" w:semiHidden="1" w:uiPriority="99"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iPriority="99"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0"/>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34" w:qFormat="1"/>
    <w:lsdException w:name="Colorful Grid" w:uiPriority="73"/>
    <w:lsdException w:name="Light Shading Accent 1" w:uiPriority="30" w:qFormat="1"/>
    <w:lsdException w:name="Light List Accent 1" w:uiPriority="66"/>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1"/>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0"/>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4D3E"/>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pPr>
    <w:rPr>
      <w:rFonts w:ascii="Calibri" w:hAnsi="Calibri"/>
      <w:color w:val="auto"/>
      <w:szCs w:val="24"/>
      <w:lang w:val="en-US" w:eastAsia="en-US"/>
    </w:rPr>
  </w:style>
  <w:style w:type="paragraph" w:styleId="Heading1">
    <w:name w:val="heading 1"/>
    <w:aliases w:val="Título 1 chapter 3,Título 1 doc"/>
    <w:basedOn w:val="Normal"/>
    <w:next w:val="Normal"/>
    <w:link w:val="Heading1Char"/>
    <w:uiPriority w:val="9"/>
    <w:qFormat/>
    <w:rsid w:val="00CE0821"/>
    <w:pPr>
      <w:keepNext/>
      <w:keepLines/>
      <w:numPr>
        <w:numId w:val="36"/>
      </w:numPr>
      <w:pBdr>
        <w:top w:val="nil"/>
        <w:left w:val="nil"/>
        <w:bottom w:val="nil"/>
        <w:right w:val="nil"/>
        <w:between w:val="nil"/>
      </w:pBdr>
      <w:spacing w:before="240" w:after="120"/>
      <w:outlineLvl w:val="0"/>
    </w:pPr>
    <w:rPr>
      <w:b/>
      <w:color w:val="000000"/>
      <w:sz w:val="36"/>
      <w:lang w:val="en-GB" w:eastAsia="es-CO"/>
    </w:rPr>
  </w:style>
  <w:style w:type="paragraph" w:styleId="Heading2">
    <w:name w:val="heading 2"/>
    <w:aliases w:val="Título 2 chapter 3,Título 2 doc,Chpt"/>
    <w:basedOn w:val="Normal"/>
    <w:next w:val="Normal"/>
    <w:link w:val="Heading2Char"/>
    <w:uiPriority w:val="9"/>
    <w:qFormat/>
    <w:rsid w:val="00CE0821"/>
    <w:pPr>
      <w:keepNext/>
      <w:keepLines/>
      <w:numPr>
        <w:ilvl w:val="1"/>
        <w:numId w:val="36"/>
      </w:numPr>
      <w:pBdr>
        <w:top w:val="nil"/>
        <w:left w:val="nil"/>
        <w:bottom w:val="nil"/>
        <w:right w:val="nil"/>
        <w:between w:val="nil"/>
      </w:pBdr>
      <w:tabs>
        <w:tab w:val="left" w:pos="1247"/>
        <w:tab w:val="left" w:pos="1814"/>
        <w:tab w:val="left" w:pos="2381"/>
        <w:tab w:val="left" w:pos="2948"/>
        <w:tab w:val="left" w:pos="3515"/>
      </w:tabs>
      <w:spacing w:before="120" w:after="120"/>
      <w:outlineLvl w:val="1"/>
    </w:pPr>
    <w:rPr>
      <w:rFonts w:eastAsia="Calibri" w:cs="Calibri"/>
      <w:b/>
      <w:sz w:val="32"/>
      <w:szCs w:val="26"/>
      <w:lang w:val="en-GB" w:eastAsia="es-CO"/>
    </w:rPr>
  </w:style>
  <w:style w:type="paragraph" w:styleId="Heading3">
    <w:name w:val="heading 3"/>
    <w:aliases w:val="Título 3 chapter 3,Título 3 doc,Sec"/>
    <w:basedOn w:val="Normal"/>
    <w:next w:val="Normal"/>
    <w:link w:val="Heading3Char"/>
    <w:uiPriority w:val="9"/>
    <w:qFormat/>
    <w:rsid w:val="00CE0821"/>
    <w:pPr>
      <w:keepNext/>
      <w:keepLines/>
      <w:numPr>
        <w:ilvl w:val="2"/>
        <w:numId w:val="36"/>
      </w:numPr>
      <w:pBdr>
        <w:top w:val="nil"/>
        <w:left w:val="nil"/>
        <w:bottom w:val="nil"/>
        <w:right w:val="nil"/>
        <w:between w:val="nil"/>
      </w:pBdr>
      <w:tabs>
        <w:tab w:val="left" w:pos="1247"/>
        <w:tab w:val="left" w:pos="1814"/>
        <w:tab w:val="left" w:pos="2381"/>
        <w:tab w:val="left" w:pos="2948"/>
        <w:tab w:val="left" w:pos="3515"/>
      </w:tabs>
      <w:spacing w:before="120"/>
      <w:outlineLvl w:val="2"/>
    </w:pPr>
    <w:rPr>
      <w:b/>
      <w:color w:val="000000"/>
      <w:sz w:val="28"/>
      <w:szCs w:val="22"/>
      <w:lang w:val="en-GB" w:eastAsia="es-CO"/>
    </w:rPr>
  </w:style>
  <w:style w:type="paragraph" w:styleId="Heading4">
    <w:name w:val="heading 4"/>
    <w:aliases w:val="Título 4 chapter 3,Título 4 doc,MainPara"/>
    <w:basedOn w:val="Normal"/>
    <w:next w:val="Normal"/>
    <w:link w:val="Heading4Char"/>
    <w:uiPriority w:val="9"/>
    <w:qFormat/>
    <w:rsid w:val="00CE0821"/>
    <w:pPr>
      <w:keepNext/>
      <w:keepLines/>
      <w:numPr>
        <w:ilvl w:val="3"/>
        <w:numId w:val="36"/>
      </w:numPr>
      <w:pBdr>
        <w:top w:val="nil"/>
        <w:left w:val="nil"/>
        <w:bottom w:val="nil"/>
        <w:right w:val="nil"/>
        <w:between w:val="nil"/>
      </w:pBdr>
      <w:tabs>
        <w:tab w:val="left" w:pos="1247"/>
        <w:tab w:val="left" w:pos="1814"/>
        <w:tab w:val="left" w:pos="2381"/>
        <w:tab w:val="left" w:pos="2948"/>
        <w:tab w:val="left" w:pos="3515"/>
      </w:tabs>
      <w:spacing w:line="276" w:lineRule="auto"/>
      <w:outlineLvl w:val="3"/>
    </w:pPr>
    <w:rPr>
      <w:b/>
      <w:color w:val="000000"/>
      <w:sz w:val="24"/>
      <w:szCs w:val="22"/>
      <w:lang w:val="en-GB" w:eastAsia="es-CO"/>
    </w:rPr>
  </w:style>
  <w:style w:type="paragraph" w:styleId="Heading5">
    <w:name w:val="heading 5"/>
    <w:aliases w:val="Subpara 2"/>
    <w:basedOn w:val="Normal"/>
    <w:next w:val="Normal"/>
    <w:link w:val="Heading5Char"/>
    <w:uiPriority w:val="9"/>
    <w:qFormat/>
    <w:rsid w:val="00ED2CA3"/>
    <w:pPr>
      <w:keepNext/>
      <w:keepLines/>
      <w:numPr>
        <w:ilvl w:val="4"/>
        <w:numId w:val="36"/>
      </w:numPr>
      <w:pBdr>
        <w:top w:val="nil"/>
        <w:left w:val="nil"/>
        <w:bottom w:val="nil"/>
        <w:right w:val="nil"/>
        <w:between w:val="nil"/>
      </w:pBdr>
      <w:tabs>
        <w:tab w:val="left" w:pos="1247"/>
        <w:tab w:val="left" w:pos="1814"/>
        <w:tab w:val="left" w:pos="2381"/>
        <w:tab w:val="left" w:pos="2948"/>
        <w:tab w:val="left" w:pos="3515"/>
      </w:tabs>
      <w:spacing w:before="200" w:after="100" w:line="276" w:lineRule="auto"/>
      <w:outlineLvl w:val="4"/>
    </w:pPr>
    <w:rPr>
      <w:b/>
      <w:color w:val="000000"/>
      <w:szCs w:val="22"/>
      <w:lang w:val="en-GB" w:eastAsia="es-CO"/>
    </w:rPr>
  </w:style>
  <w:style w:type="paragraph" w:styleId="Heading6">
    <w:name w:val="heading 6"/>
    <w:basedOn w:val="Normal"/>
    <w:next w:val="Normal"/>
    <w:link w:val="Heading6Char"/>
    <w:uiPriority w:val="9"/>
    <w:qFormat/>
    <w:pPr>
      <w:keepNext/>
      <w:keepLines/>
      <w:widowControl w:val="0"/>
      <w:numPr>
        <w:ilvl w:val="5"/>
        <w:numId w:val="36"/>
      </w:numPr>
      <w:pBdr>
        <w:top w:val="nil"/>
        <w:left w:val="nil"/>
        <w:bottom w:val="nil"/>
        <w:right w:val="nil"/>
        <w:between w:val="nil"/>
      </w:pBdr>
      <w:tabs>
        <w:tab w:val="left" w:pos="220"/>
        <w:tab w:val="left" w:pos="720"/>
        <w:tab w:val="left" w:pos="1247"/>
        <w:tab w:val="left" w:pos="1814"/>
        <w:tab w:val="left" w:pos="2381"/>
        <w:tab w:val="left" w:pos="2948"/>
        <w:tab w:val="left" w:pos="3515"/>
      </w:tabs>
      <w:spacing w:before="200" w:after="100" w:line="276" w:lineRule="auto"/>
      <w:outlineLvl w:val="5"/>
    </w:pPr>
    <w:rPr>
      <w:i/>
      <w:color w:val="000000"/>
      <w:szCs w:val="22"/>
      <w:lang w:val="en-GB" w:eastAsia="es-CO"/>
    </w:rPr>
  </w:style>
  <w:style w:type="paragraph" w:styleId="Heading7">
    <w:name w:val="heading 7"/>
    <w:basedOn w:val="Normal"/>
    <w:next w:val="Normal"/>
    <w:link w:val="Heading7Char"/>
    <w:uiPriority w:val="9"/>
    <w:unhideWhenUsed/>
    <w:qFormat/>
    <w:rsid w:val="004255E7"/>
    <w:pPr>
      <w:keepNext/>
      <w:keepLines/>
      <w:numPr>
        <w:ilvl w:val="6"/>
        <w:numId w:val="36"/>
      </w:numPr>
      <w:spacing w:before="200" w:beforeAutospacing="1" w:after="100" w:afterAutospacing="1" w:line="276" w:lineRule="auto"/>
      <w:outlineLvl w:val="6"/>
    </w:pPr>
    <w:rPr>
      <w:rFonts w:asciiTheme="majorHAnsi" w:eastAsiaTheme="majorEastAsia" w:hAnsiTheme="majorHAnsi" w:cstheme="majorBidi"/>
      <w:i/>
      <w:iCs/>
      <w:color w:val="404040" w:themeColor="text1" w:themeTint="BF"/>
      <w:lang w:val="es-MX" w:eastAsia="es-MX"/>
    </w:rPr>
  </w:style>
  <w:style w:type="paragraph" w:styleId="Heading8">
    <w:name w:val="heading 8"/>
    <w:basedOn w:val="Normal"/>
    <w:next w:val="Normal"/>
    <w:link w:val="Heading8Char"/>
    <w:uiPriority w:val="9"/>
    <w:unhideWhenUsed/>
    <w:qFormat/>
    <w:rsid w:val="004255E7"/>
    <w:pPr>
      <w:keepNext/>
      <w:keepLines/>
      <w:numPr>
        <w:ilvl w:val="7"/>
        <w:numId w:val="36"/>
      </w:numPr>
      <w:spacing w:before="200" w:beforeAutospacing="1" w:after="100" w:afterAutospacing="1" w:line="276" w:lineRule="auto"/>
      <w:outlineLvl w:val="7"/>
    </w:pPr>
    <w:rPr>
      <w:rFonts w:asciiTheme="majorHAnsi" w:eastAsiaTheme="majorEastAsia" w:hAnsiTheme="majorHAnsi" w:cstheme="majorBidi"/>
      <w:color w:val="404040" w:themeColor="text1" w:themeTint="BF"/>
      <w:sz w:val="20"/>
      <w:szCs w:val="20"/>
      <w:lang w:val="es-MX" w:eastAsia="es-MX"/>
    </w:rPr>
  </w:style>
  <w:style w:type="paragraph" w:styleId="Heading9">
    <w:name w:val="heading 9"/>
    <w:basedOn w:val="Normal"/>
    <w:next w:val="Normal"/>
    <w:link w:val="Heading9Char"/>
    <w:uiPriority w:val="9"/>
    <w:unhideWhenUsed/>
    <w:qFormat/>
    <w:rsid w:val="004255E7"/>
    <w:pPr>
      <w:keepNext/>
      <w:keepLines/>
      <w:numPr>
        <w:ilvl w:val="8"/>
        <w:numId w:val="36"/>
      </w:numPr>
      <w:spacing w:before="200" w:beforeAutospacing="1" w:after="100" w:afterAutospacing="1" w:line="276" w:lineRule="auto"/>
      <w:outlineLvl w:val="8"/>
    </w:pPr>
    <w:rPr>
      <w:rFonts w:asciiTheme="majorHAnsi" w:eastAsiaTheme="majorEastAsia" w:hAnsiTheme="majorHAnsi" w:cstheme="majorBidi"/>
      <w:i/>
      <w:iCs/>
      <w:color w:val="404040" w:themeColor="text1" w:themeTint="BF"/>
      <w:sz w:val="20"/>
      <w:szCs w:val="20"/>
      <w:lang w:val="es-MX" w:eastAsia="es-MX"/>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qFormat/>
    <w:pPr>
      <w:keepNext/>
      <w:keepLines/>
      <w:pBdr>
        <w:top w:val="nil"/>
        <w:left w:val="nil"/>
        <w:bottom w:val="nil"/>
        <w:right w:val="nil"/>
        <w:between w:val="nil"/>
      </w:pBdr>
      <w:tabs>
        <w:tab w:val="left" w:pos="1247"/>
        <w:tab w:val="left" w:pos="1814"/>
        <w:tab w:val="left" w:pos="2381"/>
        <w:tab w:val="left" w:pos="2948"/>
        <w:tab w:val="left" w:pos="3515"/>
      </w:tabs>
      <w:spacing w:before="240" w:after="60" w:line="276" w:lineRule="auto"/>
      <w:jc w:val="center"/>
    </w:pPr>
    <w:rPr>
      <w:rFonts w:ascii="Arial" w:eastAsia="Arial" w:hAnsi="Arial" w:cs="Arial"/>
      <w:b/>
      <w:color w:val="000000"/>
      <w:sz w:val="32"/>
      <w:szCs w:val="32"/>
      <w:lang w:val="en-GB" w:eastAsia="es-CO"/>
    </w:rPr>
  </w:style>
  <w:style w:type="paragraph" w:styleId="Subtitle">
    <w:name w:val="Subtitle"/>
    <w:basedOn w:val="Normal"/>
    <w:next w:val="Normal"/>
    <w:link w:val="SubtitleChar"/>
    <w:uiPriority w:val="11"/>
    <w:qFormat/>
    <w:pPr>
      <w:keepNext/>
      <w:keepLines/>
      <w:pBdr>
        <w:top w:val="nil"/>
        <w:left w:val="nil"/>
        <w:bottom w:val="nil"/>
        <w:right w:val="nil"/>
        <w:between w:val="nil"/>
      </w:pBdr>
      <w:tabs>
        <w:tab w:val="left" w:pos="1247"/>
        <w:tab w:val="left" w:pos="1814"/>
        <w:tab w:val="left" w:pos="2381"/>
        <w:tab w:val="left" w:pos="2948"/>
        <w:tab w:val="left" w:pos="3515"/>
      </w:tabs>
      <w:spacing w:before="100" w:after="200" w:line="276" w:lineRule="auto"/>
    </w:pPr>
    <w:rPr>
      <w:rFonts w:ascii="Trebuchet MS" w:eastAsia="Trebuchet MS" w:hAnsi="Trebuchet MS" w:cs="Trebuchet MS"/>
      <w:i/>
      <w:color w:val="666666"/>
      <w:sz w:val="26"/>
      <w:szCs w:val="26"/>
      <w:lang w:val="en-GB" w:eastAsia="es-CO"/>
    </w:rPr>
  </w:style>
  <w:style w:type="table" w:customStyle="1" w:styleId="82">
    <w:name w:val="82"/>
    <w:basedOn w:val="TableNormal1"/>
    <w:tblPr>
      <w:tblStyleRowBandSize w:val="1"/>
      <w:tblStyleColBandSize w:val="1"/>
      <w:tblCellMar>
        <w:left w:w="115" w:type="dxa"/>
        <w:right w:w="115" w:type="dxa"/>
      </w:tblCellMar>
    </w:tblPr>
  </w:style>
  <w:style w:type="table" w:customStyle="1" w:styleId="81">
    <w:name w:val="81"/>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80">
    <w:name w:val="80"/>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79">
    <w:name w:val="79"/>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78">
    <w:name w:val="78"/>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77">
    <w:name w:val="77"/>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76">
    <w:name w:val="76"/>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75">
    <w:name w:val="75"/>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74">
    <w:name w:val="74"/>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73">
    <w:name w:val="73"/>
    <w:basedOn w:val="TableNormal1"/>
    <w:tblPr>
      <w:tblStyleRowBandSize w:val="1"/>
      <w:tblStyleColBandSize w:val="1"/>
      <w:tblCellMar>
        <w:left w:w="70" w:type="dxa"/>
        <w:right w:w="70" w:type="dxa"/>
      </w:tblCellMar>
    </w:tblPr>
  </w:style>
  <w:style w:type="table" w:customStyle="1" w:styleId="72">
    <w:name w:val="72"/>
    <w:basedOn w:val="TableNormal1"/>
    <w:tblPr>
      <w:tblStyleRowBandSize w:val="1"/>
      <w:tblStyleColBandSize w:val="1"/>
      <w:tblCellMar>
        <w:left w:w="70" w:type="dxa"/>
        <w:right w:w="70" w:type="dxa"/>
      </w:tblCellMar>
    </w:tblPr>
  </w:style>
  <w:style w:type="table" w:customStyle="1" w:styleId="71">
    <w:name w:val="71"/>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70">
    <w:name w:val="70"/>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69">
    <w:name w:val="69"/>
    <w:basedOn w:val="TableNormal1"/>
    <w:tblPr>
      <w:tblStyleRowBandSize w:val="1"/>
      <w:tblStyleColBandSize w:val="1"/>
      <w:tblCellMar>
        <w:left w:w="115" w:type="dxa"/>
        <w:right w:w="115" w:type="dxa"/>
      </w:tblCellMar>
    </w:tblPr>
  </w:style>
  <w:style w:type="table" w:customStyle="1" w:styleId="68">
    <w:name w:val="68"/>
    <w:basedOn w:val="TableNormal1"/>
    <w:tblPr>
      <w:tblStyleRowBandSize w:val="1"/>
      <w:tblStyleColBandSize w:val="1"/>
      <w:tblCellMar>
        <w:left w:w="99" w:type="dxa"/>
        <w:right w:w="99" w:type="dxa"/>
      </w:tblCellMar>
    </w:tblPr>
  </w:style>
  <w:style w:type="table" w:customStyle="1" w:styleId="67">
    <w:name w:val="67"/>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66">
    <w:name w:val="66"/>
    <w:basedOn w:val="TableNormal1"/>
    <w:tblPr>
      <w:tblStyleRowBandSize w:val="1"/>
      <w:tblStyleColBandSize w:val="1"/>
      <w:tblCellMar>
        <w:left w:w="115" w:type="dxa"/>
        <w:right w:w="115" w:type="dxa"/>
      </w:tblCellMar>
    </w:tblPr>
  </w:style>
  <w:style w:type="table" w:customStyle="1" w:styleId="65">
    <w:name w:val="65"/>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64">
    <w:name w:val="64"/>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63">
    <w:name w:val="63"/>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62">
    <w:name w:val="62"/>
    <w:basedOn w:val="TableNormal1"/>
    <w:tblPr>
      <w:tblStyleRowBandSize w:val="1"/>
      <w:tblStyleColBandSize w:val="1"/>
      <w:tblCellMar>
        <w:left w:w="70" w:type="dxa"/>
        <w:right w:w="70" w:type="dxa"/>
      </w:tblCellMar>
    </w:tblPr>
  </w:style>
  <w:style w:type="table" w:customStyle="1" w:styleId="61">
    <w:name w:val="61"/>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60">
    <w:name w:val="60"/>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59">
    <w:name w:val="59"/>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58">
    <w:name w:val="58"/>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57">
    <w:name w:val="57"/>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56">
    <w:name w:val="56"/>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55">
    <w:name w:val="55"/>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54">
    <w:name w:val="54"/>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53">
    <w:name w:val="53"/>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52">
    <w:name w:val="52"/>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51">
    <w:name w:val="51"/>
    <w:basedOn w:val="TableNormal1"/>
    <w:tblPr>
      <w:tblStyleRowBandSize w:val="1"/>
      <w:tblStyleColBandSize w:val="1"/>
      <w:tblCellMar>
        <w:left w:w="70" w:type="dxa"/>
        <w:right w:w="70" w:type="dxa"/>
      </w:tblCellMar>
    </w:tblPr>
  </w:style>
  <w:style w:type="table" w:customStyle="1" w:styleId="50">
    <w:name w:val="50"/>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49">
    <w:name w:val="49"/>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48">
    <w:name w:val="48"/>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47">
    <w:name w:val="47"/>
    <w:basedOn w:val="TableNormal1"/>
    <w:tblPr>
      <w:tblStyleRowBandSize w:val="1"/>
      <w:tblStyleColBandSize w:val="1"/>
      <w:tblCellMar>
        <w:left w:w="70" w:type="dxa"/>
        <w:right w:w="70" w:type="dxa"/>
      </w:tblCellMar>
    </w:tblPr>
  </w:style>
  <w:style w:type="table" w:customStyle="1" w:styleId="46">
    <w:name w:val="46"/>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45">
    <w:name w:val="45"/>
    <w:basedOn w:val="TableNormal1"/>
    <w:tblPr>
      <w:tblStyleRowBandSize w:val="1"/>
      <w:tblStyleColBandSize w:val="1"/>
      <w:tblCellMar>
        <w:left w:w="70" w:type="dxa"/>
        <w:right w:w="70" w:type="dxa"/>
      </w:tblCellMar>
    </w:tblPr>
  </w:style>
  <w:style w:type="table" w:customStyle="1" w:styleId="44">
    <w:name w:val="44"/>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43">
    <w:name w:val="43"/>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42">
    <w:name w:val="42"/>
    <w:basedOn w:val="TableNormal1"/>
    <w:tblPr>
      <w:tblStyleRowBandSize w:val="1"/>
      <w:tblStyleColBandSize w:val="1"/>
      <w:tblCellMar>
        <w:left w:w="115" w:type="dxa"/>
        <w:right w:w="115" w:type="dxa"/>
      </w:tblCellMar>
    </w:tblPr>
  </w:style>
  <w:style w:type="table" w:customStyle="1" w:styleId="41">
    <w:name w:val="41"/>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40">
    <w:name w:val="40"/>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39">
    <w:name w:val="39"/>
    <w:basedOn w:val="TableNormal1"/>
    <w:tblPr>
      <w:tblStyleRowBandSize w:val="1"/>
      <w:tblStyleColBandSize w:val="1"/>
      <w:tblCellMar>
        <w:left w:w="70" w:type="dxa"/>
        <w:right w:w="70" w:type="dxa"/>
      </w:tblCellMar>
    </w:tblPr>
  </w:style>
  <w:style w:type="table" w:customStyle="1" w:styleId="38">
    <w:name w:val="38"/>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37">
    <w:name w:val="37"/>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36">
    <w:name w:val="36"/>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35">
    <w:name w:val="35"/>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34">
    <w:name w:val="34"/>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33">
    <w:name w:val="33"/>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32">
    <w:name w:val="32"/>
    <w:basedOn w:val="TableNormal1"/>
    <w:tblPr>
      <w:tblStyleRowBandSize w:val="1"/>
      <w:tblStyleColBandSize w:val="1"/>
      <w:tblCellMar>
        <w:left w:w="70" w:type="dxa"/>
        <w:right w:w="70" w:type="dxa"/>
      </w:tblCellMar>
    </w:tblPr>
  </w:style>
  <w:style w:type="table" w:customStyle="1" w:styleId="31">
    <w:name w:val="31"/>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30">
    <w:name w:val="30"/>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29">
    <w:name w:val="29"/>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28">
    <w:name w:val="28"/>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27">
    <w:name w:val="27"/>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26">
    <w:name w:val="26"/>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25">
    <w:name w:val="25"/>
    <w:basedOn w:val="TableNormal1"/>
    <w:tblPr>
      <w:tblStyleRowBandSize w:val="1"/>
      <w:tblStyleColBandSize w:val="1"/>
      <w:tblCellMar>
        <w:left w:w="115" w:type="dxa"/>
        <w:right w:w="115" w:type="dxa"/>
      </w:tblCellMar>
    </w:tblPr>
  </w:style>
  <w:style w:type="table" w:customStyle="1" w:styleId="24">
    <w:name w:val="24"/>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23">
    <w:name w:val="23"/>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22">
    <w:name w:val="22"/>
    <w:basedOn w:val="TableNormal1"/>
    <w:tblPr>
      <w:tblStyleRowBandSize w:val="1"/>
      <w:tblStyleColBandSize w:val="1"/>
      <w:tblCellMar>
        <w:left w:w="115" w:type="dxa"/>
        <w:right w:w="115" w:type="dxa"/>
      </w:tblCellMar>
    </w:tblPr>
  </w:style>
  <w:style w:type="table" w:customStyle="1" w:styleId="21">
    <w:name w:val="21"/>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20">
    <w:name w:val="20"/>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19">
    <w:name w:val="19"/>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18">
    <w:name w:val="18"/>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17">
    <w:name w:val="17"/>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16">
    <w:name w:val="16"/>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15">
    <w:name w:val="15"/>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14">
    <w:name w:val="14"/>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13">
    <w:name w:val="13"/>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12">
    <w:name w:val="12"/>
    <w:basedOn w:val="TableNormal1"/>
    <w:tblPr>
      <w:tblStyleRowBandSize w:val="1"/>
      <w:tblStyleColBandSize w:val="1"/>
      <w:tblCellMar>
        <w:left w:w="70" w:type="dxa"/>
        <w:right w:w="70" w:type="dxa"/>
      </w:tblCellMar>
    </w:tblPr>
  </w:style>
  <w:style w:type="table" w:customStyle="1" w:styleId="11">
    <w:name w:val="11"/>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10">
    <w:name w:val="10"/>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9">
    <w:name w:val="9"/>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8">
    <w:name w:val="8"/>
    <w:basedOn w:val="TableNormal1"/>
    <w:tblPr>
      <w:tblStyleRowBandSize w:val="1"/>
      <w:tblStyleColBandSize w:val="1"/>
      <w:tblCellMar>
        <w:left w:w="70" w:type="dxa"/>
        <w:right w:w="70" w:type="dxa"/>
      </w:tblCellMar>
    </w:tblPr>
  </w:style>
  <w:style w:type="table" w:customStyle="1" w:styleId="7">
    <w:name w:val="7"/>
    <w:basedOn w:val="TableNormal1"/>
    <w:tblPr>
      <w:tblStyleRowBandSize w:val="1"/>
      <w:tblStyleColBandSize w:val="1"/>
    </w:tblPr>
  </w:style>
  <w:style w:type="table" w:customStyle="1" w:styleId="6">
    <w:name w:val="6"/>
    <w:basedOn w:val="TableNormal1"/>
    <w:pPr>
      <w:spacing w:after="0"/>
    </w:pPr>
    <w:rPr>
      <w:sz w:val="20"/>
      <w:szCs w:val="20"/>
    </w:rPr>
    <w:tblPr>
      <w:tblStyleRowBandSize w:val="1"/>
      <w:tblStyleColBandSize w:val="1"/>
      <w:tblCellMar>
        <w:left w:w="115" w:type="dxa"/>
        <w:right w:w="115" w:type="dxa"/>
      </w:tblCellMar>
    </w:tblPr>
    <w:tcPr>
      <w:shd w:val="clear" w:color="auto" w:fill="auto"/>
    </w:tcPr>
  </w:style>
  <w:style w:type="table" w:customStyle="1" w:styleId="5">
    <w:name w:val="5"/>
    <w:basedOn w:val="TableNormal1"/>
    <w:tblPr>
      <w:tblStyleRowBandSize w:val="1"/>
      <w:tblStyleColBandSize w:val="1"/>
      <w:tblCellMar>
        <w:left w:w="115" w:type="dxa"/>
        <w:right w:w="115" w:type="dxa"/>
      </w:tblCellMar>
    </w:tblPr>
  </w:style>
  <w:style w:type="table" w:customStyle="1" w:styleId="4">
    <w:name w:val="4"/>
    <w:basedOn w:val="TableNormal1"/>
    <w:tblPr>
      <w:tblStyleRowBandSize w:val="1"/>
      <w:tblStyleColBandSize w:val="1"/>
      <w:tblCellMar>
        <w:left w:w="115" w:type="dxa"/>
        <w:right w:w="115" w:type="dxa"/>
      </w:tblCellMar>
    </w:tblPr>
  </w:style>
  <w:style w:type="table" w:customStyle="1" w:styleId="3">
    <w:name w:val="3"/>
    <w:basedOn w:val="TableNormal1"/>
    <w:tblPr>
      <w:tblStyleRowBandSize w:val="1"/>
      <w:tblStyleColBandSize w:val="1"/>
      <w:tblCellMar>
        <w:left w:w="115" w:type="dxa"/>
        <w:right w:w="115" w:type="dxa"/>
      </w:tblCellMar>
    </w:tblPr>
  </w:style>
  <w:style w:type="table" w:customStyle="1" w:styleId="2">
    <w:name w:val="2"/>
    <w:basedOn w:val="TableNormal1"/>
    <w:tblPr>
      <w:tblStyleRowBandSize w:val="1"/>
      <w:tblStyleColBandSize w:val="1"/>
      <w:tblCellMar>
        <w:left w:w="115" w:type="dxa"/>
        <w:right w:w="115" w:type="dxa"/>
      </w:tblCellMar>
    </w:tblPr>
  </w:style>
  <w:style w:type="table" w:customStyle="1" w:styleId="1">
    <w:name w:val="1"/>
    <w:basedOn w:val="TableNormal1"/>
    <w:tblPr>
      <w:tblStyleRowBandSize w:val="1"/>
      <w:tblStyleColBandSize w:val="1"/>
      <w:tblCellMar>
        <w:left w:w="115" w:type="dxa"/>
        <w:right w:w="115" w:type="dxa"/>
      </w:tblCellMar>
    </w:tblPr>
  </w:style>
  <w:style w:type="paragraph" w:styleId="CommentText">
    <w:name w:val="annotation text"/>
    <w:basedOn w:val="Normal"/>
    <w:link w:val="CommentTextChar"/>
    <w:uiPriority w:val="99"/>
    <w:unhideWhenUsed/>
    <w:qFormat/>
    <w:pPr>
      <w:pBdr>
        <w:top w:val="nil"/>
        <w:left w:val="nil"/>
        <w:bottom w:val="nil"/>
        <w:right w:val="nil"/>
        <w:between w:val="nil"/>
      </w:pBdr>
      <w:tabs>
        <w:tab w:val="left" w:pos="1247"/>
        <w:tab w:val="left" w:pos="1814"/>
        <w:tab w:val="left" w:pos="2381"/>
        <w:tab w:val="left" w:pos="2948"/>
        <w:tab w:val="left" w:pos="3515"/>
      </w:tabs>
      <w:spacing w:after="120"/>
    </w:pPr>
    <w:rPr>
      <w:color w:val="000000"/>
      <w:sz w:val="20"/>
      <w:szCs w:val="20"/>
      <w:lang w:val="en-GB" w:eastAsia="es-CO"/>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nhideWhenUsed/>
    <w:rPr>
      <w:sz w:val="16"/>
      <w:szCs w:val="16"/>
    </w:rPr>
  </w:style>
  <w:style w:type="paragraph" w:styleId="BalloonText">
    <w:name w:val="Balloon Text"/>
    <w:basedOn w:val="Normal"/>
    <w:link w:val="BalloonTextChar"/>
    <w:uiPriority w:val="99"/>
    <w:unhideWhenUsed/>
    <w:rsid w:val="00C31849"/>
    <w:pPr>
      <w:pBdr>
        <w:top w:val="nil"/>
        <w:left w:val="nil"/>
        <w:bottom w:val="nil"/>
        <w:right w:val="nil"/>
        <w:between w:val="nil"/>
      </w:pBdr>
      <w:tabs>
        <w:tab w:val="left" w:pos="1247"/>
        <w:tab w:val="left" w:pos="1814"/>
        <w:tab w:val="left" w:pos="2381"/>
        <w:tab w:val="left" w:pos="2948"/>
        <w:tab w:val="left" w:pos="3515"/>
      </w:tabs>
    </w:pPr>
    <w:rPr>
      <w:rFonts w:ascii="Tahoma" w:hAnsi="Tahoma" w:cs="Tahoma"/>
      <w:color w:val="000000"/>
      <w:sz w:val="16"/>
      <w:szCs w:val="16"/>
      <w:lang w:val="en-GB" w:eastAsia="es-CO"/>
    </w:rPr>
  </w:style>
  <w:style w:type="character" w:customStyle="1" w:styleId="BalloonTextChar">
    <w:name w:val="Balloon Text Char"/>
    <w:basedOn w:val="DefaultParagraphFont"/>
    <w:link w:val="BalloonText"/>
    <w:uiPriority w:val="99"/>
    <w:rsid w:val="00C31849"/>
    <w:rPr>
      <w:rFonts w:ascii="Tahoma" w:hAnsi="Tahoma" w:cs="Tahoma"/>
      <w:sz w:val="16"/>
      <w:szCs w:val="16"/>
    </w:rPr>
  </w:style>
  <w:style w:type="character" w:styleId="LineNumber">
    <w:name w:val="line number"/>
    <w:basedOn w:val="DefaultParagraphFont"/>
    <w:uiPriority w:val="99"/>
    <w:unhideWhenUsed/>
    <w:rsid w:val="00C31849"/>
  </w:style>
  <w:style w:type="paragraph" w:styleId="TOC1">
    <w:name w:val="toc 1"/>
    <w:aliases w:val="TDC 1 chapter 3"/>
    <w:basedOn w:val="Normal"/>
    <w:next w:val="Normal"/>
    <w:autoRedefine/>
    <w:uiPriority w:val="39"/>
    <w:unhideWhenUsed/>
    <w:qFormat/>
    <w:rsid w:val="00B24A76"/>
    <w:pPr>
      <w:tabs>
        <w:tab w:val="left" w:pos="480"/>
        <w:tab w:val="right" w:leader="dot" w:pos="9487"/>
      </w:tabs>
    </w:pPr>
    <w:rPr>
      <w:rFonts w:cstheme="majorHAnsi"/>
      <w:b/>
      <w:bCs/>
      <w:noProof/>
    </w:rPr>
  </w:style>
  <w:style w:type="paragraph" w:styleId="TOC2">
    <w:name w:val="toc 2"/>
    <w:basedOn w:val="Normal"/>
    <w:next w:val="Normal"/>
    <w:autoRedefine/>
    <w:uiPriority w:val="39"/>
    <w:unhideWhenUsed/>
    <w:qFormat/>
    <w:rsid w:val="00B24A76"/>
    <w:pPr>
      <w:tabs>
        <w:tab w:val="left" w:pos="720"/>
        <w:tab w:val="right" w:leader="dot" w:pos="9487"/>
      </w:tabs>
    </w:pPr>
    <w:rPr>
      <w:b/>
      <w:bCs/>
      <w:szCs w:val="20"/>
    </w:rPr>
  </w:style>
  <w:style w:type="paragraph" w:styleId="TOC3">
    <w:name w:val="toc 3"/>
    <w:basedOn w:val="Normal"/>
    <w:next w:val="Normal"/>
    <w:autoRedefine/>
    <w:uiPriority w:val="39"/>
    <w:unhideWhenUsed/>
    <w:qFormat/>
    <w:rsid w:val="00B24A76"/>
    <w:pPr>
      <w:ind w:left="240"/>
    </w:pPr>
    <w:rPr>
      <w:sz w:val="20"/>
      <w:szCs w:val="20"/>
    </w:rPr>
  </w:style>
  <w:style w:type="paragraph" w:styleId="ListParagraph">
    <w:name w:val="List Paragraph"/>
    <w:basedOn w:val="Normal"/>
    <w:uiPriority w:val="34"/>
    <w:qFormat/>
    <w:rsid w:val="008940EF"/>
    <w:pPr>
      <w:pBdr>
        <w:top w:val="nil"/>
        <w:left w:val="nil"/>
        <w:bottom w:val="nil"/>
        <w:right w:val="nil"/>
        <w:between w:val="nil"/>
      </w:pBdr>
      <w:tabs>
        <w:tab w:val="left" w:pos="1247"/>
        <w:tab w:val="left" w:pos="1814"/>
        <w:tab w:val="left" w:pos="2381"/>
        <w:tab w:val="left" w:pos="2948"/>
        <w:tab w:val="left" w:pos="3515"/>
      </w:tabs>
      <w:spacing w:after="120"/>
      <w:ind w:left="720"/>
    </w:pPr>
    <w:rPr>
      <w:color w:val="000000"/>
      <w:szCs w:val="22"/>
      <w:lang w:val="en-GB" w:eastAsia="es-CO"/>
    </w:rPr>
  </w:style>
  <w:style w:type="table" w:styleId="TableGrid">
    <w:name w:val="Table Grid"/>
    <w:basedOn w:val="TableNormal"/>
    <w:uiPriority w:val="39"/>
    <w:rsid w:val="00CB7E7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D1242"/>
    <w:pPr>
      <w:pBdr>
        <w:top w:val="none" w:sz="0" w:space="0" w:color="auto"/>
        <w:left w:val="none" w:sz="0" w:space="0" w:color="auto"/>
        <w:bottom w:val="none" w:sz="0" w:space="0" w:color="auto"/>
        <w:right w:val="none" w:sz="0" w:space="0" w:color="auto"/>
        <w:between w:val="none" w:sz="0" w:space="0" w:color="auto"/>
      </w:pBdr>
      <w:spacing w:before="480" w:after="0" w:line="276" w:lineRule="auto"/>
      <w:jc w:val="left"/>
      <w:outlineLvl w:val="9"/>
    </w:pPr>
    <w:rPr>
      <w:rFonts w:asciiTheme="majorHAnsi" w:eastAsiaTheme="majorEastAsia" w:hAnsiTheme="majorHAnsi" w:cstheme="majorBidi"/>
      <w:b w:val="0"/>
      <w:bCs/>
      <w:color w:val="365F91" w:themeColor="accent1" w:themeShade="BF"/>
      <w:sz w:val="28"/>
      <w:szCs w:val="28"/>
      <w:lang w:val="es-CO"/>
    </w:rPr>
  </w:style>
  <w:style w:type="character" w:styleId="Hyperlink">
    <w:name w:val="Hyperlink"/>
    <w:basedOn w:val="DefaultParagraphFont"/>
    <w:uiPriority w:val="99"/>
    <w:unhideWhenUsed/>
    <w:rsid w:val="00CD1242"/>
    <w:rPr>
      <w:color w:val="0000FF" w:themeColor="hyperlink"/>
      <w:u w:val="single"/>
    </w:rPr>
  </w:style>
  <w:style w:type="paragraph" w:styleId="TOC4">
    <w:name w:val="toc 4"/>
    <w:basedOn w:val="Normal"/>
    <w:next w:val="Normal"/>
    <w:autoRedefine/>
    <w:uiPriority w:val="39"/>
    <w:unhideWhenUsed/>
    <w:rsid w:val="00B24A76"/>
    <w:pPr>
      <w:ind w:left="480"/>
    </w:pPr>
    <w:rPr>
      <w:szCs w:val="20"/>
    </w:rPr>
  </w:style>
  <w:style w:type="character" w:customStyle="1" w:styleId="Heading7Char">
    <w:name w:val="Heading 7 Char"/>
    <w:basedOn w:val="DefaultParagraphFont"/>
    <w:link w:val="Heading7"/>
    <w:uiPriority w:val="9"/>
    <w:rsid w:val="004255E7"/>
    <w:rPr>
      <w:rFonts w:asciiTheme="majorHAnsi" w:eastAsiaTheme="majorEastAsia" w:hAnsiTheme="majorHAnsi" w:cstheme="majorBidi"/>
      <w:i/>
      <w:iCs/>
      <w:color w:val="404040" w:themeColor="text1" w:themeTint="BF"/>
      <w:szCs w:val="24"/>
      <w:lang w:val="es-MX" w:eastAsia="es-MX"/>
    </w:rPr>
  </w:style>
  <w:style w:type="character" w:customStyle="1" w:styleId="Heading8Char">
    <w:name w:val="Heading 8 Char"/>
    <w:basedOn w:val="DefaultParagraphFont"/>
    <w:link w:val="Heading8"/>
    <w:uiPriority w:val="9"/>
    <w:rsid w:val="004255E7"/>
    <w:rPr>
      <w:rFonts w:asciiTheme="majorHAnsi" w:eastAsiaTheme="majorEastAsia" w:hAnsiTheme="majorHAnsi" w:cstheme="majorBidi"/>
      <w:color w:val="404040" w:themeColor="text1" w:themeTint="BF"/>
      <w:sz w:val="20"/>
      <w:szCs w:val="20"/>
      <w:lang w:val="es-MX" w:eastAsia="es-MX"/>
    </w:rPr>
  </w:style>
  <w:style w:type="character" w:customStyle="1" w:styleId="Heading9Char">
    <w:name w:val="Heading 9 Char"/>
    <w:basedOn w:val="DefaultParagraphFont"/>
    <w:link w:val="Heading9"/>
    <w:uiPriority w:val="9"/>
    <w:rsid w:val="004255E7"/>
    <w:rPr>
      <w:rFonts w:asciiTheme="majorHAnsi" w:eastAsiaTheme="majorEastAsia" w:hAnsiTheme="majorHAnsi" w:cstheme="majorBidi"/>
      <w:i/>
      <w:iCs/>
      <w:color w:val="404040" w:themeColor="text1" w:themeTint="BF"/>
      <w:sz w:val="20"/>
      <w:szCs w:val="20"/>
      <w:lang w:val="es-MX" w:eastAsia="es-MX"/>
    </w:rPr>
  </w:style>
  <w:style w:type="character" w:customStyle="1" w:styleId="Heading1Char">
    <w:name w:val="Heading 1 Char"/>
    <w:aliases w:val="Título 1 chapter 3 Char,Título 1 doc Char"/>
    <w:basedOn w:val="DefaultParagraphFont"/>
    <w:link w:val="Heading1"/>
    <w:uiPriority w:val="9"/>
    <w:rsid w:val="00CE0821"/>
    <w:rPr>
      <w:rFonts w:ascii="Calibri" w:hAnsi="Calibri"/>
      <w:b/>
      <w:sz w:val="36"/>
      <w:szCs w:val="24"/>
    </w:rPr>
  </w:style>
  <w:style w:type="character" w:customStyle="1" w:styleId="Heading2Char">
    <w:name w:val="Heading 2 Char"/>
    <w:aliases w:val="Título 2 chapter 3 Char,Título 2 doc Char,Chpt Char"/>
    <w:basedOn w:val="DefaultParagraphFont"/>
    <w:link w:val="Heading2"/>
    <w:uiPriority w:val="9"/>
    <w:rsid w:val="00CE0821"/>
    <w:rPr>
      <w:rFonts w:ascii="Calibri" w:eastAsia="Calibri" w:hAnsi="Calibri" w:cs="Calibri"/>
      <w:b/>
      <w:color w:val="auto"/>
      <w:sz w:val="32"/>
      <w:szCs w:val="26"/>
    </w:rPr>
  </w:style>
  <w:style w:type="character" w:customStyle="1" w:styleId="Heading3Char">
    <w:name w:val="Heading 3 Char"/>
    <w:aliases w:val="Título 3 chapter 3 Char,Título 3 doc Char,Sec Char"/>
    <w:basedOn w:val="DefaultParagraphFont"/>
    <w:link w:val="Heading3"/>
    <w:uiPriority w:val="9"/>
    <w:rsid w:val="00CE0821"/>
    <w:rPr>
      <w:rFonts w:ascii="Calibri" w:hAnsi="Calibri"/>
      <w:b/>
      <w:sz w:val="28"/>
    </w:rPr>
  </w:style>
  <w:style w:type="character" w:customStyle="1" w:styleId="Heading4Char">
    <w:name w:val="Heading 4 Char"/>
    <w:aliases w:val="Título 4 chapter 3 Char,Título 4 doc Char,MainPara Char"/>
    <w:basedOn w:val="DefaultParagraphFont"/>
    <w:link w:val="Heading4"/>
    <w:uiPriority w:val="9"/>
    <w:rsid w:val="00CE0821"/>
    <w:rPr>
      <w:rFonts w:ascii="Calibri" w:hAnsi="Calibri"/>
      <w:b/>
      <w:sz w:val="24"/>
    </w:rPr>
  </w:style>
  <w:style w:type="character" w:customStyle="1" w:styleId="Heading5Char">
    <w:name w:val="Heading 5 Char"/>
    <w:aliases w:val="Subpara 2 Char"/>
    <w:basedOn w:val="DefaultParagraphFont"/>
    <w:link w:val="Heading5"/>
    <w:uiPriority w:val="9"/>
    <w:rsid w:val="00ED2CA3"/>
    <w:rPr>
      <w:b/>
    </w:rPr>
  </w:style>
  <w:style w:type="character" w:customStyle="1" w:styleId="Heading6Char">
    <w:name w:val="Heading 6 Char"/>
    <w:basedOn w:val="DefaultParagraphFont"/>
    <w:link w:val="Heading6"/>
    <w:uiPriority w:val="9"/>
    <w:rsid w:val="004255E7"/>
    <w:rPr>
      <w:i/>
    </w:rPr>
  </w:style>
  <w:style w:type="paragraph" w:styleId="NormalWeb">
    <w:name w:val="Normal (Web)"/>
    <w:basedOn w:val="Normal"/>
    <w:uiPriority w:val="99"/>
    <w:unhideWhenUsed/>
    <w:qFormat/>
    <w:rsid w:val="004D42ED"/>
    <w:rPr>
      <w:rFonts w:eastAsia="MS Mincho"/>
      <w:szCs w:val="20"/>
      <w:lang w:val="es-MX" w:eastAsia="es-MX"/>
    </w:rPr>
  </w:style>
  <w:style w:type="character" w:customStyle="1" w:styleId="apple-tab-span">
    <w:name w:val="apple-tab-span"/>
    <w:basedOn w:val="DefaultParagraphFont"/>
    <w:rsid w:val="004255E7"/>
  </w:style>
  <w:style w:type="paragraph" w:customStyle="1" w:styleId="EndNoteBibliography">
    <w:name w:val="EndNote Bibliography"/>
    <w:basedOn w:val="Normal"/>
    <w:link w:val="EndNoteBibliographyChar"/>
    <w:qFormat/>
    <w:rsid w:val="004255E7"/>
    <w:pPr>
      <w:spacing w:before="100" w:beforeAutospacing="1" w:after="100" w:afterAutospacing="1" w:line="276" w:lineRule="auto"/>
    </w:pPr>
    <w:rPr>
      <w:rFonts w:eastAsia="Cambria"/>
      <w:noProof/>
      <w:lang w:val="en-AU" w:eastAsia="en-AU"/>
    </w:rPr>
  </w:style>
  <w:style w:type="character" w:customStyle="1" w:styleId="EndNoteBibliographyChar">
    <w:name w:val="EndNote Bibliography Char"/>
    <w:link w:val="EndNoteBibliography"/>
    <w:rsid w:val="004255E7"/>
    <w:rPr>
      <w:rFonts w:eastAsia="Cambria"/>
      <w:noProof/>
      <w:color w:val="auto"/>
      <w:szCs w:val="24"/>
      <w:lang w:val="en-AU" w:eastAsia="en-AU"/>
    </w:rPr>
  </w:style>
  <w:style w:type="paragraph" w:styleId="Caption">
    <w:name w:val="caption"/>
    <w:basedOn w:val="Normal"/>
    <w:next w:val="Normal"/>
    <w:uiPriority w:val="35"/>
    <w:qFormat/>
    <w:rsid w:val="00ED0911"/>
    <w:pPr>
      <w:spacing w:before="100" w:beforeAutospacing="1"/>
    </w:pPr>
    <w:rPr>
      <w:rFonts w:eastAsia="Times"/>
      <w:b/>
      <w:bCs/>
      <w:lang w:val="en-GB" w:eastAsia="ja-JP"/>
    </w:rPr>
  </w:style>
  <w:style w:type="paragraph" w:customStyle="1" w:styleId="Normal1">
    <w:name w:val="Normal1"/>
    <w:link w:val="Normal1Car"/>
    <w:rsid w:val="004255E7"/>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line="276" w:lineRule="auto"/>
      <w:jc w:val="left"/>
    </w:pPr>
    <w:rPr>
      <w:rFonts w:ascii="Arial" w:eastAsia="Arial" w:hAnsi="Arial" w:cs="Arial"/>
      <w:lang w:val="es-MX" w:eastAsia="es-MX"/>
    </w:rPr>
  </w:style>
  <w:style w:type="character" w:customStyle="1" w:styleId="Normal1Car">
    <w:name w:val="Normal1 Car"/>
    <w:link w:val="Normal1"/>
    <w:rsid w:val="004255E7"/>
    <w:rPr>
      <w:rFonts w:ascii="Arial" w:eastAsia="Arial" w:hAnsi="Arial" w:cs="Arial"/>
      <w:lang w:val="es-MX" w:eastAsia="es-MX"/>
    </w:rPr>
  </w:style>
  <w:style w:type="character" w:customStyle="1" w:styleId="apple-converted-space">
    <w:name w:val="apple-converted-space"/>
    <w:basedOn w:val="DefaultParagraphFont"/>
    <w:rsid w:val="004255E7"/>
  </w:style>
  <w:style w:type="paragraph" w:styleId="BodyText">
    <w:name w:val="Body Text"/>
    <w:basedOn w:val="Normal"/>
    <w:link w:val="BodyTextChar"/>
    <w:uiPriority w:val="99"/>
    <w:rsid w:val="00A26FD5"/>
    <w:pPr>
      <w:widowControl w:val="0"/>
      <w:suppressAutoHyphens/>
    </w:pPr>
    <w:rPr>
      <w:rFonts w:eastAsia="Droid Sans Fallback" w:cs="FreeSans"/>
      <w:kern w:val="1"/>
      <w:lang w:val="es-MX" w:eastAsia="zh-CN" w:bidi="hi-IN"/>
    </w:rPr>
  </w:style>
  <w:style w:type="character" w:customStyle="1" w:styleId="BodyTextChar">
    <w:name w:val="Body Text Char"/>
    <w:basedOn w:val="DefaultParagraphFont"/>
    <w:link w:val="BodyText"/>
    <w:uiPriority w:val="99"/>
    <w:rsid w:val="00A26FD5"/>
    <w:rPr>
      <w:rFonts w:ascii="Calibri" w:eastAsia="Droid Sans Fallback" w:hAnsi="Calibri" w:cs="FreeSans"/>
      <w:color w:val="auto"/>
      <w:kern w:val="1"/>
      <w:szCs w:val="24"/>
      <w:lang w:val="es-MX" w:eastAsia="zh-CN" w:bidi="hi-IN"/>
    </w:rPr>
  </w:style>
  <w:style w:type="character" w:customStyle="1" w:styleId="num-ratings">
    <w:name w:val="num-ratings"/>
    <w:basedOn w:val="DefaultParagraphFont"/>
    <w:rsid w:val="004255E7"/>
  </w:style>
  <w:style w:type="character" w:customStyle="1" w:styleId="count">
    <w:name w:val="count"/>
    <w:basedOn w:val="DefaultParagraphFont"/>
    <w:rsid w:val="004255E7"/>
  </w:style>
  <w:style w:type="character" w:customStyle="1" w:styleId="addmd">
    <w:name w:val="addmd"/>
    <w:basedOn w:val="DefaultParagraphFont"/>
    <w:rsid w:val="004255E7"/>
  </w:style>
  <w:style w:type="character" w:styleId="Strong">
    <w:name w:val="Strong"/>
    <w:uiPriority w:val="22"/>
    <w:qFormat/>
    <w:rsid w:val="004255E7"/>
    <w:rPr>
      <w:b/>
      <w:bCs/>
    </w:rPr>
  </w:style>
  <w:style w:type="character" w:customStyle="1" w:styleId="pagesnum">
    <w:name w:val="pagesnum"/>
    <w:basedOn w:val="DefaultParagraphFont"/>
    <w:rsid w:val="004255E7"/>
  </w:style>
  <w:style w:type="paragraph" w:styleId="CommentSubject">
    <w:name w:val="annotation subject"/>
    <w:basedOn w:val="CommentText"/>
    <w:next w:val="CommentText"/>
    <w:link w:val="CommentSubjectChar"/>
    <w:uiPriority w:val="99"/>
    <w:unhideWhenUsed/>
    <w:rsid w:val="004255E7"/>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before="100" w:beforeAutospacing="1" w:after="160" w:afterAutospacing="1" w:line="276" w:lineRule="auto"/>
    </w:pPr>
    <w:rPr>
      <w:rFonts w:ascii="Cambria" w:eastAsia="Cambria" w:hAnsi="Cambria"/>
      <w:b/>
      <w:bCs/>
      <w:color w:val="auto"/>
      <w:lang w:val="es-MX" w:eastAsia="en-US"/>
    </w:rPr>
  </w:style>
  <w:style w:type="character" w:customStyle="1" w:styleId="CommentSubjectChar">
    <w:name w:val="Comment Subject Char"/>
    <w:basedOn w:val="CommentTextChar"/>
    <w:link w:val="CommentSubject"/>
    <w:uiPriority w:val="99"/>
    <w:rsid w:val="004255E7"/>
    <w:rPr>
      <w:rFonts w:ascii="Cambria" w:eastAsia="Cambria" w:hAnsi="Cambria"/>
      <w:b/>
      <w:bCs/>
      <w:color w:val="auto"/>
      <w:sz w:val="20"/>
      <w:szCs w:val="20"/>
      <w:lang w:val="es-MX" w:eastAsia="en-US"/>
    </w:rPr>
  </w:style>
  <w:style w:type="paragraph" w:styleId="Revision">
    <w:name w:val="Revision"/>
    <w:hidden/>
    <w:uiPriority w:val="99"/>
    <w:rsid w:val="004255E7"/>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mbria" w:eastAsia="Cambria" w:hAnsi="Cambria"/>
      <w:color w:val="auto"/>
      <w:lang w:val="es-MX" w:eastAsia="es-MX"/>
    </w:rPr>
  </w:style>
  <w:style w:type="paragraph" w:customStyle="1" w:styleId="Default">
    <w:name w:val="Default"/>
    <w:link w:val="DefaultCar"/>
    <w:qFormat/>
    <w:rsid w:val="004255E7"/>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autoSpaceDE w:val="0"/>
      <w:autoSpaceDN w:val="0"/>
      <w:adjustRightInd w:val="0"/>
      <w:spacing w:after="0"/>
      <w:jc w:val="left"/>
    </w:pPr>
    <w:rPr>
      <w:rFonts w:ascii="Minion Pro" w:eastAsia="Cambria" w:hAnsi="Minion Pro" w:cs="Minion Pro"/>
      <w:sz w:val="24"/>
      <w:szCs w:val="24"/>
      <w:lang w:val="es-MX" w:eastAsia="es-MX"/>
    </w:rPr>
  </w:style>
  <w:style w:type="character" w:customStyle="1" w:styleId="DefaultCar">
    <w:name w:val="Default Car"/>
    <w:link w:val="Default"/>
    <w:qFormat/>
    <w:rsid w:val="004255E7"/>
    <w:rPr>
      <w:rFonts w:ascii="Minion Pro" w:eastAsia="Cambria" w:hAnsi="Minion Pro" w:cs="Minion Pro"/>
      <w:sz w:val="24"/>
      <w:szCs w:val="24"/>
      <w:lang w:val="es-MX" w:eastAsia="es-MX"/>
    </w:rPr>
  </w:style>
  <w:style w:type="character" w:customStyle="1" w:styleId="cit-title">
    <w:name w:val="cit-title"/>
    <w:basedOn w:val="DefaultParagraphFont"/>
    <w:rsid w:val="004255E7"/>
  </w:style>
  <w:style w:type="character" w:customStyle="1" w:styleId="site-title">
    <w:name w:val="site-title"/>
    <w:basedOn w:val="DefaultParagraphFont"/>
    <w:rsid w:val="004255E7"/>
  </w:style>
  <w:style w:type="character" w:customStyle="1" w:styleId="cit-print-date">
    <w:name w:val="cit-print-date"/>
    <w:basedOn w:val="DefaultParagraphFont"/>
    <w:rsid w:val="004255E7"/>
  </w:style>
  <w:style w:type="character" w:customStyle="1" w:styleId="cit-vol">
    <w:name w:val="cit-vol"/>
    <w:basedOn w:val="DefaultParagraphFont"/>
    <w:rsid w:val="004255E7"/>
  </w:style>
  <w:style w:type="character" w:customStyle="1" w:styleId="cit-sep">
    <w:name w:val="cit-sep"/>
    <w:basedOn w:val="DefaultParagraphFont"/>
    <w:rsid w:val="004255E7"/>
  </w:style>
  <w:style w:type="character" w:customStyle="1" w:styleId="cit-first-page">
    <w:name w:val="cit-first-page"/>
    <w:basedOn w:val="DefaultParagraphFont"/>
    <w:rsid w:val="004255E7"/>
  </w:style>
  <w:style w:type="character" w:customStyle="1" w:styleId="cit-last-page">
    <w:name w:val="cit-last-page"/>
    <w:basedOn w:val="DefaultParagraphFont"/>
    <w:rsid w:val="004255E7"/>
  </w:style>
  <w:style w:type="character" w:customStyle="1" w:styleId="cit-ahead-of-print-date">
    <w:name w:val="cit-ahead-of-print-date"/>
    <w:basedOn w:val="DefaultParagraphFont"/>
    <w:rsid w:val="004255E7"/>
  </w:style>
  <w:style w:type="paragraph" w:customStyle="1" w:styleId="booktitle">
    <w:name w:val="booktitle"/>
    <w:basedOn w:val="Normal"/>
    <w:rsid w:val="004255E7"/>
    <w:pPr>
      <w:spacing w:before="100" w:beforeAutospacing="1" w:after="100" w:afterAutospacing="1" w:line="276" w:lineRule="auto"/>
    </w:pPr>
    <w:rPr>
      <w:lang w:val="es-MX" w:eastAsia="es-MX"/>
    </w:rPr>
  </w:style>
  <w:style w:type="character" w:customStyle="1" w:styleId="vol-info">
    <w:name w:val="vol-info"/>
    <w:basedOn w:val="DefaultParagraphFont"/>
    <w:rsid w:val="004255E7"/>
  </w:style>
  <w:style w:type="character" w:customStyle="1" w:styleId="page-numbers-info">
    <w:name w:val="page-numbers-info"/>
    <w:basedOn w:val="DefaultParagraphFont"/>
    <w:rsid w:val="004255E7"/>
  </w:style>
  <w:style w:type="character" w:customStyle="1" w:styleId="current-selection">
    <w:name w:val="current-selection"/>
    <w:basedOn w:val="DefaultParagraphFont"/>
    <w:rsid w:val="004255E7"/>
  </w:style>
  <w:style w:type="character" w:customStyle="1" w:styleId="a">
    <w:name w:val="_"/>
    <w:basedOn w:val="DefaultParagraphFont"/>
    <w:rsid w:val="004255E7"/>
  </w:style>
  <w:style w:type="character" w:customStyle="1" w:styleId="authorname">
    <w:name w:val="authorname"/>
    <w:basedOn w:val="DefaultParagraphFont"/>
    <w:rsid w:val="004255E7"/>
  </w:style>
  <w:style w:type="character" w:customStyle="1" w:styleId="ui-ncbitoggler-master-text">
    <w:name w:val="ui-ncbitoggler-master-text"/>
    <w:basedOn w:val="DefaultParagraphFont"/>
    <w:rsid w:val="004255E7"/>
  </w:style>
  <w:style w:type="character" w:styleId="Emphasis">
    <w:name w:val="Emphasis"/>
    <w:uiPriority w:val="20"/>
    <w:qFormat/>
    <w:rsid w:val="004255E7"/>
    <w:rPr>
      <w:i/>
      <w:iCs/>
    </w:rPr>
  </w:style>
  <w:style w:type="character" w:customStyle="1" w:styleId="maintitle">
    <w:name w:val="maintitle"/>
    <w:basedOn w:val="DefaultParagraphFont"/>
    <w:rsid w:val="004255E7"/>
  </w:style>
  <w:style w:type="paragraph" w:customStyle="1" w:styleId="copyright">
    <w:name w:val="copyright"/>
    <w:basedOn w:val="Normal"/>
    <w:rsid w:val="004255E7"/>
    <w:pPr>
      <w:spacing w:before="100" w:beforeAutospacing="1" w:after="100" w:afterAutospacing="1" w:line="276" w:lineRule="auto"/>
    </w:pPr>
    <w:rPr>
      <w:lang w:val="es-MX" w:eastAsia="es-MX"/>
    </w:rPr>
  </w:style>
  <w:style w:type="character" w:customStyle="1" w:styleId="expand">
    <w:name w:val="expand"/>
    <w:basedOn w:val="DefaultParagraphFont"/>
    <w:rsid w:val="004255E7"/>
  </w:style>
  <w:style w:type="paragraph" w:customStyle="1" w:styleId="vcard">
    <w:name w:val="vcard"/>
    <w:basedOn w:val="Normal"/>
    <w:rsid w:val="004255E7"/>
    <w:pPr>
      <w:spacing w:before="100" w:beforeAutospacing="1" w:after="100" w:afterAutospacing="1" w:line="276" w:lineRule="auto"/>
    </w:pPr>
    <w:rPr>
      <w:lang w:val="es-MX" w:eastAsia="es-MX"/>
    </w:rPr>
  </w:style>
  <w:style w:type="character" w:customStyle="1" w:styleId="fn">
    <w:name w:val="fn"/>
    <w:basedOn w:val="DefaultParagraphFont"/>
    <w:rsid w:val="004255E7"/>
  </w:style>
  <w:style w:type="paragraph" w:customStyle="1" w:styleId="identifier">
    <w:name w:val="identifier"/>
    <w:basedOn w:val="Normal"/>
    <w:rsid w:val="004255E7"/>
    <w:pPr>
      <w:spacing w:before="100" w:beforeAutospacing="1" w:after="100" w:afterAutospacing="1" w:line="276" w:lineRule="auto"/>
    </w:pPr>
    <w:rPr>
      <w:lang w:val="es-MX" w:eastAsia="es-MX"/>
    </w:rPr>
  </w:style>
  <w:style w:type="character" w:customStyle="1" w:styleId="bold">
    <w:name w:val="bold"/>
    <w:basedOn w:val="DefaultParagraphFont"/>
    <w:rsid w:val="004255E7"/>
  </w:style>
  <w:style w:type="paragraph" w:customStyle="1" w:styleId="article-type">
    <w:name w:val="article-type"/>
    <w:basedOn w:val="Normal"/>
    <w:rsid w:val="004255E7"/>
    <w:pPr>
      <w:spacing w:before="100" w:beforeAutospacing="1" w:after="100" w:afterAutospacing="1" w:line="276" w:lineRule="auto"/>
    </w:pPr>
    <w:rPr>
      <w:lang w:val="es-MX" w:eastAsia="es-MX"/>
    </w:rPr>
  </w:style>
  <w:style w:type="character" w:customStyle="1" w:styleId="journal-title">
    <w:name w:val="journal-title"/>
    <w:basedOn w:val="DefaultParagraphFont"/>
    <w:rsid w:val="004255E7"/>
  </w:style>
  <w:style w:type="character" w:customStyle="1" w:styleId="divider">
    <w:name w:val="divider"/>
    <w:basedOn w:val="DefaultParagraphFont"/>
    <w:rsid w:val="004255E7"/>
  </w:style>
  <w:style w:type="character" w:customStyle="1" w:styleId="comma">
    <w:name w:val="comma"/>
    <w:basedOn w:val="DefaultParagraphFont"/>
    <w:rsid w:val="004255E7"/>
  </w:style>
  <w:style w:type="character" w:customStyle="1" w:styleId="break">
    <w:name w:val="break"/>
    <w:basedOn w:val="DefaultParagraphFont"/>
    <w:rsid w:val="004255E7"/>
  </w:style>
  <w:style w:type="character" w:customStyle="1" w:styleId="figure-desc">
    <w:name w:val="figure-desc"/>
    <w:basedOn w:val="DefaultParagraphFont"/>
    <w:rsid w:val="004255E7"/>
  </w:style>
  <w:style w:type="character" w:customStyle="1" w:styleId="mb">
    <w:name w:val="mb"/>
    <w:basedOn w:val="DefaultParagraphFont"/>
    <w:rsid w:val="004255E7"/>
  </w:style>
  <w:style w:type="paragraph" w:customStyle="1" w:styleId="EndNoteBibliographyTitle">
    <w:name w:val="EndNote Bibliography Title"/>
    <w:basedOn w:val="Normal"/>
    <w:link w:val="EndNoteBibliographyTitleCar"/>
    <w:rsid w:val="004255E7"/>
    <w:pPr>
      <w:spacing w:before="100" w:beforeAutospacing="1" w:after="100" w:afterAutospacing="1" w:line="259" w:lineRule="auto"/>
      <w:jc w:val="center"/>
    </w:pPr>
    <w:rPr>
      <w:rFonts w:eastAsia="Cambria"/>
      <w:noProof/>
      <w:szCs w:val="22"/>
      <w:lang w:val="es-MX" w:eastAsia="es-MX"/>
    </w:rPr>
  </w:style>
  <w:style w:type="character" w:customStyle="1" w:styleId="EndNoteBibliographyTitleCar">
    <w:name w:val="EndNote Bibliography Title Car"/>
    <w:link w:val="EndNoteBibliographyTitle"/>
    <w:rsid w:val="004255E7"/>
    <w:rPr>
      <w:rFonts w:eastAsia="Cambria"/>
      <w:noProof/>
      <w:color w:val="auto"/>
      <w:lang w:val="es-MX" w:eastAsia="es-MX"/>
    </w:rPr>
  </w:style>
  <w:style w:type="character" w:customStyle="1" w:styleId="EndNoteBibliographyCar">
    <w:name w:val="EndNote Bibliography Car"/>
    <w:qFormat/>
    <w:rsid w:val="004255E7"/>
    <w:rPr>
      <w:rFonts w:ascii="Calibri" w:hAnsi="Calibri"/>
      <w:noProof/>
      <w:lang w:val="en-US"/>
    </w:rPr>
  </w:style>
  <w:style w:type="paragraph" w:styleId="List">
    <w:name w:val="List"/>
    <w:basedOn w:val="Normal"/>
    <w:uiPriority w:val="99"/>
    <w:unhideWhenUsed/>
    <w:rsid w:val="004255E7"/>
    <w:pPr>
      <w:spacing w:before="100" w:beforeAutospacing="1" w:after="160" w:afterAutospacing="1" w:line="259" w:lineRule="auto"/>
      <w:ind w:left="283" w:hanging="283"/>
      <w:contextualSpacing/>
    </w:pPr>
    <w:rPr>
      <w:rFonts w:eastAsia="Cambria"/>
      <w:szCs w:val="22"/>
      <w:lang w:val="es-MX" w:eastAsia="es-MX"/>
    </w:rPr>
  </w:style>
  <w:style w:type="character" w:customStyle="1" w:styleId="xbe">
    <w:name w:val="_xbe"/>
    <w:basedOn w:val="DefaultParagraphFont"/>
    <w:rsid w:val="004255E7"/>
  </w:style>
  <w:style w:type="paragraph" w:styleId="Footer">
    <w:name w:val="footer"/>
    <w:basedOn w:val="Normal"/>
    <w:link w:val="FooterChar"/>
    <w:uiPriority w:val="99"/>
    <w:unhideWhenUsed/>
    <w:rsid w:val="004255E7"/>
    <w:pPr>
      <w:tabs>
        <w:tab w:val="center" w:pos="4320"/>
        <w:tab w:val="right" w:pos="8640"/>
      </w:tabs>
      <w:spacing w:before="100" w:beforeAutospacing="1" w:after="100" w:afterAutospacing="1" w:line="276" w:lineRule="auto"/>
    </w:pPr>
    <w:rPr>
      <w:rFonts w:eastAsia="MS Mincho"/>
      <w:lang w:val="es-MX" w:eastAsia="es-MX"/>
    </w:rPr>
  </w:style>
  <w:style w:type="character" w:customStyle="1" w:styleId="FooterChar">
    <w:name w:val="Footer Char"/>
    <w:basedOn w:val="DefaultParagraphFont"/>
    <w:link w:val="Footer"/>
    <w:uiPriority w:val="99"/>
    <w:rsid w:val="004255E7"/>
    <w:rPr>
      <w:rFonts w:eastAsia="MS Mincho"/>
      <w:color w:val="auto"/>
      <w:szCs w:val="24"/>
      <w:lang w:val="es-MX" w:eastAsia="es-MX"/>
    </w:rPr>
  </w:style>
  <w:style w:type="character" w:styleId="PageNumber">
    <w:name w:val="page number"/>
    <w:basedOn w:val="DefaultParagraphFont"/>
    <w:uiPriority w:val="99"/>
    <w:unhideWhenUsed/>
    <w:rsid w:val="004255E7"/>
  </w:style>
  <w:style w:type="paragraph" w:styleId="Header">
    <w:name w:val="header"/>
    <w:aliases w:val="EthylHeader"/>
    <w:basedOn w:val="Normal"/>
    <w:link w:val="HeaderChar"/>
    <w:uiPriority w:val="99"/>
    <w:unhideWhenUsed/>
    <w:rsid w:val="004255E7"/>
    <w:pPr>
      <w:tabs>
        <w:tab w:val="center" w:pos="4320"/>
        <w:tab w:val="right" w:pos="8640"/>
      </w:tabs>
      <w:spacing w:before="100" w:beforeAutospacing="1" w:after="100" w:afterAutospacing="1" w:line="276" w:lineRule="auto"/>
    </w:pPr>
    <w:rPr>
      <w:rFonts w:eastAsia="MS Mincho"/>
      <w:lang w:val="es-MX" w:eastAsia="es-MX"/>
    </w:rPr>
  </w:style>
  <w:style w:type="character" w:customStyle="1" w:styleId="HeaderChar">
    <w:name w:val="Header Char"/>
    <w:aliases w:val="EthylHeader Char"/>
    <w:basedOn w:val="DefaultParagraphFont"/>
    <w:link w:val="Header"/>
    <w:uiPriority w:val="99"/>
    <w:rsid w:val="004255E7"/>
    <w:rPr>
      <w:rFonts w:eastAsia="MS Mincho"/>
      <w:color w:val="auto"/>
      <w:szCs w:val="24"/>
      <w:lang w:val="es-MX" w:eastAsia="es-MX"/>
    </w:rPr>
  </w:style>
  <w:style w:type="paragraph" w:customStyle="1" w:styleId="Normal2">
    <w:name w:val="Normal2"/>
    <w:rsid w:val="004255E7"/>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mbria" w:eastAsia="Cambria" w:hAnsi="Cambria" w:cs="Cambria"/>
      <w:sz w:val="24"/>
      <w:szCs w:val="24"/>
      <w:lang w:val="es-MX" w:eastAsia="es-MX"/>
    </w:rPr>
  </w:style>
  <w:style w:type="character" w:customStyle="1" w:styleId="InternetLink">
    <w:name w:val="Internet Link"/>
    <w:uiPriority w:val="99"/>
    <w:unhideWhenUsed/>
    <w:rsid w:val="004255E7"/>
    <w:rPr>
      <w:color w:val="0000FF"/>
      <w:u w:val="single"/>
    </w:rPr>
  </w:style>
  <w:style w:type="character" w:customStyle="1" w:styleId="st">
    <w:name w:val="st"/>
    <w:basedOn w:val="DefaultParagraphFont"/>
    <w:qFormat/>
    <w:rsid w:val="004255E7"/>
  </w:style>
  <w:style w:type="character" w:customStyle="1" w:styleId="nlmyear">
    <w:name w:val="nlm_year"/>
    <w:basedOn w:val="DefaultParagraphFont"/>
    <w:qFormat/>
    <w:rsid w:val="004255E7"/>
  </w:style>
  <w:style w:type="character" w:customStyle="1" w:styleId="citationsource-book">
    <w:name w:val="citation_source-book"/>
    <w:basedOn w:val="DefaultParagraphFont"/>
    <w:qFormat/>
    <w:rsid w:val="004255E7"/>
  </w:style>
  <w:style w:type="character" w:customStyle="1" w:styleId="nlmpublisher-loc">
    <w:name w:val="nlm_publisher-loc"/>
    <w:basedOn w:val="DefaultParagraphFont"/>
    <w:qFormat/>
    <w:rsid w:val="004255E7"/>
  </w:style>
  <w:style w:type="character" w:customStyle="1" w:styleId="nlmpublisher-name">
    <w:name w:val="nlm_publisher-name"/>
    <w:basedOn w:val="DefaultParagraphFont"/>
    <w:qFormat/>
    <w:rsid w:val="004255E7"/>
  </w:style>
  <w:style w:type="character" w:customStyle="1" w:styleId="nlmfpage">
    <w:name w:val="nlm_fpage"/>
    <w:basedOn w:val="DefaultParagraphFont"/>
    <w:qFormat/>
    <w:rsid w:val="004255E7"/>
  </w:style>
  <w:style w:type="paragraph" w:styleId="List2">
    <w:name w:val="List 2"/>
    <w:basedOn w:val="Normal"/>
    <w:uiPriority w:val="99"/>
    <w:semiHidden/>
    <w:unhideWhenUsed/>
    <w:rsid w:val="004255E7"/>
    <w:pPr>
      <w:spacing w:before="100" w:beforeAutospacing="1" w:after="100" w:afterAutospacing="1" w:line="276" w:lineRule="auto"/>
      <w:ind w:left="720" w:hanging="360"/>
      <w:contextualSpacing/>
    </w:pPr>
    <w:rPr>
      <w:rFonts w:eastAsia="MS Mincho"/>
      <w:lang w:val="es-MX" w:eastAsia="es-MX"/>
    </w:rPr>
  </w:style>
  <w:style w:type="paragraph" w:styleId="List3">
    <w:name w:val="List 3"/>
    <w:basedOn w:val="Normal"/>
    <w:uiPriority w:val="99"/>
    <w:semiHidden/>
    <w:unhideWhenUsed/>
    <w:rsid w:val="004255E7"/>
    <w:pPr>
      <w:spacing w:before="100" w:beforeAutospacing="1" w:after="100" w:afterAutospacing="1" w:line="276" w:lineRule="auto"/>
      <w:ind w:left="1080" w:hanging="360"/>
      <w:contextualSpacing/>
    </w:pPr>
    <w:rPr>
      <w:rFonts w:eastAsia="MS Mincho"/>
      <w:lang w:val="es-MX" w:eastAsia="es-MX"/>
    </w:rPr>
  </w:style>
  <w:style w:type="paragraph" w:styleId="ListContinue2">
    <w:name w:val="List Continue 2"/>
    <w:basedOn w:val="Normal"/>
    <w:uiPriority w:val="99"/>
    <w:unhideWhenUsed/>
    <w:rsid w:val="004255E7"/>
    <w:pPr>
      <w:spacing w:before="100" w:beforeAutospacing="1" w:after="120" w:afterAutospacing="1" w:line="276" w:lineRule="auto"/>
      <w:ind w:left="720"/>
      <w:contextualSpacing/>
    </w:pPr>
    <w:rPr>
      <w:rFonts w:eastAsia="MS Mincho"/>
      <w:lang w:val="es-MX" w:eastAsia="es-MX"/>
    </w:rPr>
  </w:style>
  <w:style w:type="paragraph" w:customStyle="1" w:styleId="Pa13">
    <w:name w:val="Pa13"/>
    <w:basedOn w:val="Default"/>
    <w:next w:val="Default"/>
    <w:uiPriority w:val="99"/>
    <w:rsid w:val="004255E7"/>
    <w:pPr>
      <w:spacing w:line="161" w:lineRule="atLeast"/>
    </w:pPr>
    <w:rPr>
      <w:rFonts w:eastAsia="Times New Roman" w:cs="Times New Roman"/>
      <w:color w:val="auto"/>
      <w:lang w:val="en-US"/>
    </w:rPr>
  </w:style>
  <w:style w:type="paragraph" w:styleId="PlainText">
    <w:name w:val="Plain Text"/>
    <w:basedOn w:val="Normal"/>
    <w:link w:val="PlainTextChar"/>
    <w:uiPriority w:val="99"/>
    <w:unhideWhenUsed/>
    <w:rsid w:val="004255E7"/>
    <w:pPr>
      <w:spacing w:before="100" w:beforeAutospacing="1" w:after="100" w:afterAutospacing="1" w:line="276" w:lineRule="auto"/>
    </w:pPr>
    <w:rPr>
      <w:rFonts w:ascii="Consolas" w:eastAsia="Calibri" w:hAnsi="Consolas" w:cs="Consolas"/>
      <w:sz w:val="21"/>
      <w:szCs w:val="21"/>
      <w:lang w:val="es-MX" w:eastAsia="es-MX"/>
    </w:rPr>
  </w:style>
  <w:style w:type="character" w:customStyle="1" w:styleId="PlainTextChar">
    <w:name w:val="Plain Text Char"/>
    <w:basedOn w:val="DefaultParagraphFont"/>
    <w:link w:val="PlainText"/>
    <w:uiPriority w:val="99"/>
    <w:rsid w:val="004255E7"/>
    <w:rPr>
      <w:rFonts w:ascii="Consolas" w:eastAsia="Calibri" w:hAnsi="Consolas" w:cs="Consolas"/>
      <w:color w:val="auto"/>
      <w:sz w:val="21"/>
      <w:szCs w:val="21"/>
      <w:lang w:val="es-MX" w:eastAsia="es-MX"/>
    </w:rPr>
  </w:style>
  <w:style w:type="paragraph" w:styleId="HTMLPreformatted">
    <w:name w:val="HTML Preformatted"/>
    <w:basedOn w:val="Normal"/>
    <w:link w:val="HTMLPreformattedChar"/>
    <w:rsid w:val="00425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pPr>
    <w:rPr>
      <w:rFonts w:ascii="Courier New" w:eastAsia="MS Mincho" w:hAnsi="Courier New" w:cs="Courier New"/>
      <w:sz w:val="20"/>
      <w:szCs w:val="20"/>
      <w:lang w:val="es-MX" w:eastAsia="ja-JP"/>
    </w:rPr>
  </w:style>
  <w:style w:type="character" w:customStyle="1" w:styleId="HTMLPreformattedChar">
    <w:name w:val="HTML Preformatted Char"/>
    <w:basedOn w:val="DefaultParagraphFont"/>
    <w:link w:val="HTMLPreformatted"/>
    <w:rsid w:val="004255E7"/>
    <w:rPr>
      <w:rFonts w:ascii="Courier New" w:eastAsia="MS Mincho" w:hAnsi="Courier New" w:cs="Courier New"/>
      <w:color w:val="auto"/>
      <w:sz w:val="20"/>
      <w:szCs w:val="20"/>
      <w:lang w:val="es-MX" w:eastAsia="ja-JP"/>
    </w:rPr>
  </w:style>
  <w:style w:type="paragraph" w:customStyle="1" w:styleId="list-title">
    <w:name w:val="list-title"/>
    <w:basedOn w:val="Normal"/>
    <w:rsid w:val="004255E7"/>
    <w:pPr>
      <w:spacing w:before="100" w:beforeAutospacing="1" w:after="100" w:afterAutospacing="1" w:line="276" w:lineRule="auto"/>
    </w:pPr>
    <w:rPr>
      <w:lang w:val="es-MX" w:eastAsia="es-MX"/>
    </w:rPr>
  </w:style>
  <w:style w:type="character" w:customStyle="1" w:styleId="btext">
    <w:name w:val="btext"/>
    <w:basedOn w:val="DefaultParagraphFont"/>
    <w:rsid w:val="004255E7"/>
  </w:style>
  <w:style w:type="character" w:customStyle="1" w:styleId="articlecitationpages">
    <w:name w:val="articlecitation_pages"/>
    <w:basedOn w:val="DefaultParagraphFont"/>
    <w:rsid w:val="004255E7"/>
  </w:style>
  <w:style w:type="character" w:customStyle="1" w:styleId="reference-text">
    <w:name w:val="reference-text"/>
    <w:basedOn w:val="DefaultParagraphFont"/>
    <w:rsid w:val="004255E7"/>
  </w:style>
  <w:style w:type="paragraph" w:customStyle="1" w:styleId="closewindow">
    <w:name w:val="closewindow"/>
    <w:basedOn w:val="Normal"/>
    <w:rsid w:val="004255E7"/>
    <w:pPr>
      <w:spacing w:before="100" w:beforeAutospacing="1" w:after="100" w:afterAutospacing="1" w:line="276" w:lineRule="auto"/>
      <w:ind w:right="60"/>
    </w:pPr>
    <w:rPr>
      <w:lang w:val="es-CL" w:eastAsia="es-CL"/>
    </w:rPr>
  </w:style>
  <w:style w:type="paragraph" w:customStyle="1" w:styleId="overlayjcrtext">
    <w:name w:val="overlayjcrtext"/>
    <w:basedOn w:val="Normal"/>
    <w:rsid w:val="004255E7"/>
    <w:pPr>
      <w:spacing w:before="100" w:beforeAutospacing="1" w:after="100" w:afterAutospacing="1" w:line="276" w:lineRule="auto"/>
      <w:ind w:right="60"/>
    </w:pPr>
    <w:rPr>
      <w:lang w:val="es-CL" w:eastAsia="es-CL"/>
    </w:rPr>
  </w:style>
  <w:style w:type="paragraph" w:customStyle="1" w:styleId="sourcetitle">
    <w:name w:val="sourcetitle"/>
    <w:basedOn w:val="Normal"/>
    <w:rsid w:val="004255E7"/>
    <w:pPr>
      <w:spacing w:before="100" w:beforeAutospacing="1" w:after="100" w:afterAutospacing="1" w:line="276" w:lineRule="auto"/>
    </w:pPr>
    <w:rPr>
      <w:b/>
      <w:bCs/>
      <w:lang w:val="es-CL" w:eastAsia="es-CL"/>
    </w:rPr>
  </w:style>
  <w:style w:type="paragraph" w:customStyle="1" w:styleId="frfield">
    <w:name w:val="fr_field"/>
    <w:basedOn w:val="Normal"/>
    <w:rsid w:val="004255E7"/>
    <w:pPr>
      <w:spacing w:before="100" w:beforeAutospacing="1" w:after="100" w:afterAutospacing="1" w:line="276" w:lineRule="auto"/>
      <w:ind w:right="60"/>
    </w:pPr>
    <w:rPr>
      <w:lang w:val="es-CL" w:eastAsia="es-CL"/>
    </w:rPr>
  </w:style>
  <w:style w:type="character" w:customStyle="1" w:styleId="frlabel1">
    <w:name w:val="fr_label1"/>
    <w:basedOn w:val="DefaultParagraphFont"/>
    <w:rsid w:val="004255E7"/>
  </w:style>
  <w:style w:type="character" w:customStyle="1" w:styleId="regmark1">
    <w:name w:val="regmark1"/>
    <w:rsid w:val="004255E7"/>
    <w:rPr>
      <w:rFonts w:ascii="Arial" w:hAnsi="Arial" w:cs="Arial" w:hint="default"/>
      <w:sz w:val="19"/>
      <w:szCs w:val="19"/>
    </w:rPr>
  </w:style>
  <w:style w:type="character" w:customStyle="1" w:styleId="frlabel4">
    <w:name w:val="fr_label4"/>
    <w:basedOn w:val="DefaultParagraphFont"/>
    <w:rsid w:val="004255E7"/>
  </w:style>
  <w:style w:type="paragraph" w:customStyle="1" w:styleId="frfield3">
    <w:name w:val="fr_field3"/>
    <w:basedOn w:val="Normal"/>
    <w:rsid w:val="004255E7"/>
    <w:pPr>
      <w:spacing w:before="100" w:beforeAutospacing="1" w:after="100" w:afterAutospacing="1" w:line="276" w:lineRule="auto"/>
      <w:ind w:right="60"/>
    </w:pPr>
    <w:rPr>
      <w:lang w:val="es-CL" w:eastAsia="es-CL"/>
    </w:rPr>
  </w:style>
  <w:style w:type="character" w:customStyle="1" w:styleId="hithilite3">
    <w:name w:val="hithilite3"/>
    <w:rsid w:val="004255E7"/>
    <w:rPr>
      <w:shd w:val="clear" w:color="auto" w:fill="FFFF66"/>
    </w:rPr>
  </w:style>
  <w:style w:type="character" w:customStyle="1" w:styleId="label2">
    <w:name w:val="label2"/>
    <w:basedOn w:val="DefaultParagraphFont"/>
    <w:rsid w:val="004255E7"/>
  </w:style>
  <w:style w:type="character" w:customStyle="1" w:styleId="sourcetitletxt1">
    <w:name w:val="sourcetitle_txt1"/>
    <w:basedOn w:val="DefaultParagraphFont"/>
    <w:rsid w:val="004255E7"/>
  </w:style>
  <w:style w:type="character" w:customStyle="1" w:styleId="journaloverlayclose2">
    <w:name w:val="journal_overlay_close2"/>
    <w:basedOn w:val="DefaultParagraphFont"/>
    <w:rsid w:val="004255E7"/>
  </w:style>
  <w:style w:type="character" w:customStyle="1" w:styleId="databold">
    <w:name w:val="data_bold"/>
    <w:basedOn w:val="DefaultParagraphFont"/>
    <w:rsid w:val="004255E7"/>
  </w:style>
  <w:style w:type="character" w:customStyle="1" w:styleId="article-headermeta-info-label">
    <w:name w:val="article-header__meta-info-label"/>
    <w:basedOn w:val="DefaultParagraphFont"/>
    <w:rsid w:val="004255E7"/>
  </w:style>
  <w:style w:type="character" w:customStyle="1" w:styleId="article-headermeta-info-data">
    <w:name w:val="article-header__meta-info-data"/>
    <w:basedOn w:val="DefaultParagraphFont"/>
    <w:rsid w:val="004255E7"/>
  </w:style>
  <w:style w:type="paragraph" w:customStyle="1" w:styleId="Normal3">
    <w:name w:val="Normal3"/>
    <w:rsid w:val="004255E7"/>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line="276" w:lineRule="auto"/>
      <w:jc w:val="left"/>
    </w:pPr>
    <w:rPr>
      <w:rFonts w:ascii="Arial" w:eastAsia="Arial" w:hAnsi="Arial" w:cs="Arial"/>
      <w:lang w:val="es-MX" w:eastAsia="es-MX"/>
    </w:rPr>
  </w:style>
  <w:style w:type="character" w:customStyle="1" w:styleId="nlmstring-name">
    <w:name w:val="nlm_string-name"/>
    <w:basedOn w:val="DefaultParagraphFont"/>
    <w:rsid w:val="004255E7"/>
  </w:style>
  <w:style w:type="character" w:customStyle="1" w:styleId="nlmarticle-title">
    <w:name w:val="nlm_article-title"/>
    <w:basedOn w:val="DefaultParagraphFont"/>
    <w:rsid w:val="004255E7"/>
  </w:style>
  <w:style w:type="character" w:customStyle="1" w:styleId="nlmedition">
    <w:name w:val="nlm_edition"/>
    <w:basedOn w:val="DefaultParagraphFont"/>
    <w:rsid w:val="004255E7"/>
  </w:style>
  <w:style w:type="character" w:customStyle="1" w:styleId="nlmlpage">
    <w:name w:val="nlm_lpage"/>
    <w:basedOn w:val="DefaultParagraphFont"/>
    <w:rsid w:val="004255E7"/>
  </w:style>
  <w:style w:type="paragraph" w:customStyle="1" w:styleId="author">
    <w:name w:val="author"/>
    <w:basedOn w:val="Normal"/>
    <w:rsid w:val="004255E7"/>
    <w:pPr>
      <w:spacing w:before="100" w:beforeAutospacing="1" w:after="100" w:afterAutospacing="1" w:line="276" w:lineRule="auto"/>
    </w:pPr>
    <w:rPr>
      <w:lang w:val="de-DE" w:eastAsia="de-DE"/>
    </w:rPr>
  </w:style>
  <w:style w:type="character" w:styleId="HTMLCite">
    <w:name w:val="HTML Cite"/>
    <w:uiPriority w:val="99"/>
    <w:unhideWhenUsed/>
    <w:rsid w:val="004255E7"/>
    <w:rPr>
      <w:i/>
      <w:iCs/>
    </w:rPr>
  </w:style>
  <w:style w:type="character" w:customStyle="1" w:styleId="pubyear">
    <w:name w:val="pubyear"/>
    <w:basedOn w:val="DefaultParagraphFont"/>
    <w:rsid w:val="004255E7"/>
  </w:style>
  <w:style w:type="character" w:customStyle="1" w:styleId="chaptertitle">
    <w:name w:val="chaptertitle"/>
    <w:basedOn w:val="DefaultParagraphFont"/>
    <w:rsid w:val="004255E7"/>
  </w:style>
  <w:style w:type="character" w:customStyle="1" w:styleId="editor">
    <w:name w:val="editor"/>
    <w:basedOn w:val="DefaultParagraphFont"/>
    <w:rsid w:val="004255E7"/>
  </w:style>
  <w:style w:type="character" w:customStyle="1" w:styleId="pagefirst">
    <w:name w:val="pagefirst"/>
    <w:basedOn w:val="DefaultParagraphFont"/>
    <w:rsid w:val="004255E7"/>
  </w:style>
  <w:style w:type="character" w:customStyle="1" w:styleId="pagelast">
    <w:name w:val="pagelast"/>
    <w:basedOn w:val="DefaultParagraphFont"/>
    <w:rsid w:val="004255E7"/>
  </w:style>
  <w:style w:type="paragraph" w:customStyle="1" w:styleId="Normal4">
    <w:name w:val="Normal4"/>
    <w:rsid w:val="004255E7"/>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line="276" w:lineRule="auto"/>
      <w:jc w:val="left"/>
    </w:pPr>
    <w:rPr>
      <w:rFonts w:ascii="Arial" w:eastAsia="Arial" w:hAnsi="Arial" w:cs="Arial"/>
      <w:lang w:val="es-MX" w:eastAsia="es-MX"/>
    </w:rPr>
  </w:style>
  <w:style w:type="table" w:customStyle="1" w:styleId="Tabladecuadrcula4-nfasis11">
    <w:name w:val="Tabla de cuadrícula 4 - Énfasis 11"/>
    <w:basedOn w:val="TableNormal"/>
    <w:uiPriority w:val="49"/>
    <w:rsid w:val="004255E7"/>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Theme="minorHAnsi" w:eastAsiaTheme="minorHAnsi" w:hAnsiTheme="minorHAnsi" w:cstheme="minorBidi"/>
      <w:color w:val="auto"/>
      <w:lang w:val="es-MX"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ithilite">
    <w:name w:val="hithilite"/>
    <w:basedOn w:val="DefaultParagraphFont"/>
    <w:rsid w:val="004255E7"/>
  </w:style>
  <w:style w:type="paragraph" w:styleId="TOC5">
    <w:name w:val="toc 5"/>
    <w:basedOn w:val="Normal"/>
    <w:next w:val="Normal"/>
    <w:autoRedefine/>
    <w:uiPriority w:val="39"/>
    <w:unhideWhenUsed/>
    <w:rsid w:val="004255E7"/>
    <w:pPr>
      <w:ind w:left="720"/>
    </w:pPr>
    <w:rPr>
      <w:rFonts w:asciiTheme="minorHAnsi" w:hAnsiTheme="minorHAnsi"/>
      <w:sz w:val="20"/>
      <w:szCs w:val="20"/>
    </w:rPr>
  </w:style>
  <w:style w:type="paragraph" w:styleId="TOC6">
    <w:name w:val="toc 6"/>
    <w:basedOn w:val="Normal"/>
    <w:next w:val="Normal"/>
    <w:autoRedefine/>
    <w:uiPriority w:val="39"/>
    <w:unhideWhenUsed/>
    <w:rsid w:val="004255E7"/>
    <w:pPr>
      <w:ind w:left="960"/>
    </w:pPr>
    <w:rPr>
      <w:rFonts w:asciiTheme="minorHAnsi" w:hAnsiTheme="minorHAnsi"/>
      <w:sz w:val="20"/>
      <w:szCs w:val="20"/>
    </w:rPr>
  </w:style>
  <w:style w:type="paragraph" w:styleId="TOC7">
    <w:name w:val="toc 7"/>
    <w:basedOn w:val="Normal"/>
    <w:next w:val="Normal"/>
    <w:autoRedefine/>
    <w:uiPriority w:val="39"/>
    <w:unhideWhenUsed/>
    <w:rsid w:val="004255E7"/>
    <w:pPr>
      <w:ind w:left="1200"/>
    </w:pPr>
    <w:rPr>
      <w:rFonts w:asciiTheme="minorHAnsi" w:hAnsiTheme="minorHAnsi"/>
      <w:sz w:val="20"/>
      <w:szCs w:val="20"/>
    </w:rPr>
  </w:style>
  <w:style w:type="paragraph" w:styleId="TOC8">
    <w:name w:val="toc 8"/>
    <w:basedOn w:val="Normal"/>
    <w:next w:val="Normal"/>
    <w:autoRedefine/>
    <w:uiPriority w:val="39"/>
    <w:unhideWhenUsed/>
    <w:rsid w:val="004255E7"/>
    <w:pPr>
      <w:ind w:left="1440"/>
    </w:pPr>
    <w:rPr>
      <w:rFonts w:asciiTheme="minorHAnsi" w:hAnsiTheme="minorHAnsi"/>
      <w:sz w:val="20"/>
      <w:szCs w:val="20"/>
    </w:rPr>
  </w:style>
  <w:style w:type="paragraph" w:styleId="TOC9">
    <w:name w:val="toc 9"/>
    <w:basedOn w:val="Normal"/>
    <w:next w:val="Normal"/>
    <w:autoRedefine/>
    <w:uiPriority w:val="39"/>
    <w:unhideWhenUsed/>
    <w:rsid w:val="004255E7"/>
    <w:pPr>
      <w:ind w:left="1680"/>
    </w:pPr>
    <w:rPr>
      <w:rFonts w:asciiTheme="minorHAnsi" w:hAnsiTheme="minorHAnsi"/>
      <w:sz w:val="20"/>
      <w:szCs w:val="20"/>
    </w:rPr>
  </w:style>
  <w:style w:type="paragraph" w:styleId="FootnoteText">
    <w:name w:val="footnote text"/>
    <w:aliases w:val="Geneva 9,Font: Geneva 9,Boston 10,f,DNV-FT,Fußnotentextf,Footnote Text Char Char,Footnote Text Char Char Char Char,Footnote Text1,Footnote Text Char Char Char,Footnotes,Footnote ak,ft,fn cafc,Footnotes Char Char,fn Char Char,-E Fußnotente"/>
    <w:basedOn w:val="Normal"/>
    <w:link w:val="FootnoteTextChar"/>
    <w:unhideWhenUsed/>
    <w:qFormat/>
    <w:rsid w:val="004255E7"/>
    <w:rPr>
      <w:rFonts w:eastAsia="MS Mincho"/>
      <w:sz w:val="20"/>
      <w:lang w:val="es-MX" w:eastAsia="es-MX"/>
    </w:rPr>
  </w:style>
  <w:style w:type="character" w:customStyle="1" w:styleId="FootnoteTextChar">
    <w:name w:val="Footnote Text Char"/>
    <w:aliases w:val="Geneva 9 Char,Font: Geneva 9 Char,Boston 10 Char,f Char,DNV-FT Char,Fußnotentextf Char,Footnote Text Char Char Char1,Footnote Text Char Char Char Char Char,Footnote Text1 Char,Footnote Text Char Char Char Char1,Footnotes Char,ft Char"/>
    <w:basedOn w:val="DefaultParagraphFont"/>
    <w:link w:val="FootnoteText"/>
    <w:rsid w:val="004255E7"/>
    <w:rPr>
      <w:rFonts w:eastAsia="MS Mincho"/>
      <w:color w:val="auto"/>
      <w:sz w:val="20"/>
      <w:szCs w:val="24"/>
      <w:lang w:val="es-MX" w:eastAsia="es-MX"/>
    </w:rPr>
  </w:style>
  <w:style w:type="paragraph" w:styleId="TableofFigures">
    <w:name w:val="table of figures"/>
    <w:aliases w:val="Tabla de ilustraciones chapter 3"/>
    <w:basedOn w:val="Normal"/>
    <w:next w:val="Normal"/>
    <w:uiPriority w:val="99"/>
    <w:unhideWhenUsed/>
    <w:rsid w:val="004255E7"/>
    <w:pPr>
      <w:ind w:left="720" w:hanging="720"/>
    </w:pPr>
    <w:rPr>
      <w:rFonts w:eastAsia="MS Mincho"/>
      <w:szCs w:val="22"/>
      <w:lang w:val="es-MX" w:eastAsia="es-MX"/>
    </w:rPr>
  </w:style>
  <w:style w:type="character" w:styleId="FootnoteReference">
    <w:name w:val="footnote reference"/>
    <w:aliases w:val="16 Point,Superscript 6 Point,number,SUPERS,Footnote Reference Superscript,ftref,(Ref. de nota al pie),-E Fußnotenzeichen"/>
    <w:basedOn w:val="DefaultParagraphFont"/>
    <w:unhideWhenUsed/>
    <w:rsid w:val="004255E7"/>
    <w:rPr>
      <w:vertAlign w:val="superscript"/>
    </w:rPr>
  </w:style>
  <w:style w:type="paragraph" w:customStyle="1" w:styleId="tablechapter3">
    <w:name w:val="table chapter 3"/>
    <w:basedOn w:val="Normal"/>
    <w:qFormat/>
    <w:rsid w:val="004255E7"/>
    <w:pPr>
      <w:jc w:val="center"/>
    </w:pPr>
    <w:rPr>
      <w:rFonts w:eastAsia="MS Mincho"/>
      <w:b/>
      <w:sz w:val="20"/>
      <w:szCs w:val="22"/>
      <w:lang w:val="es-MX" w:eastAsia="es-MX"/>
    </w:rPr>
  </w:style>
  <w:style w:type="paragraph" w:styleId="Index1">
    <w:name w:val="index 1"/>
    <w:basedOn w:val="Normal"/>
    <w:next w:val="Normal"/>
    <w:autoRedefine/>
    <w:uiPriority w:val="99"/>
    <w:unhideWhenUsed/>
    <w:rsid w:val="004255E7"/>
    <w:pPr>
      <w:ind w:left="221" w:hanging="221"/>
    </w:pPr>
    <w:rPr>
      <w:rFonts w:eastAsia="MS Mincho"/>
      <w:lang w:val="es-MX" w:eastAsia="es-MX"/>
    </w:rPr>
  </w:style>
  <w:style w:type="paragraph" w:styleId="ListBullet">
    <w:name w:val="List Bullet"/>
    <w:basedOn w:val="Normal"/>
    <w:uiPriority w:val="99"/>
    <w:unhideWhenUsed/>
    <w:rsid w:val="004255E7"/>
    <w:pPr>
      <w:numPr>
        <w:numId w:val="8"/>
      </w:numPr>
      <w:pBdr>
        <w:top w:val="nil"/>
        <w:left w:val="nil"/>
        <w:bottom w:val="nil"/>
        <w:right w:val="nil"/>
        <w:between w:val="nil"/>
      </w:pBdr>
      <w:spacing w:before="100" w:after="100" w:line="276" w:lineRule="auto"/>
      <w:contextualSpacing/>
    </w:pPr>
    <w:rPr>
      <w:color w:val="000000"/>
      <w:szCs w:val="22"/>
      <w:lang w:eastAsia="es-MX"/>
    </w:rPr>
  </w:style>
  <w:style w:type="character" w:customStyle="1" w:styleId="il">
    <w:name w:val="il"/>
    <w:basedOn w:val="DefaultParagraphFont"/>
    <w:rsid w:val="004255E7"/>
  </w:style>
  <w:style w:type="paragraph" w:customStyle="1" w:styleId="discreet">
    <w:name w:val="discreet"/>
    <w:basedOn w:val="Normal"/>
    <w:rsid w:val="004255E7"/>
    <w:pPr>
      <w:spacing w:before="100" w:beforeAutospacing="1" w:after="100" w:afterAutospacing="1"/>
    </w:pPr>
    <w:rPr>
      <w:rFonts w:ascii="Times" w:eastAsia="MS Mincho" w:hAnsi="Times"/>
      <w:sz w:val="20"/>
      <w:szCs w:val="20"/>
    </w:rPr>
  </w:style>
  <w:style w:type="character" w:customStyle="1" w:styleId="namegrp">
    <w:name w:val="namegrp"/>
    <w:basedOn w:val="DefaultParagraphFont"/>
    <w:rsid w:val="004255E7"/>
  </w:style>
  <w:style w:type="character" w:styleId="EndnoteReference">
    <w:name w:val="endnote reference"/>
    <w:basedOn w:val="DefaultParagraphFont"/>
    <w:uiPriority w:val="99"/>
    <w:unhideWhenUsed/>
    <w:rsid w:val="004255E7"/>
    <w:rPr>
      <w:vertAlign w:val="superscript"/>
    </w:rPr>
  </w:style>
  <w:style w:type="character" w:customStyle="1" w:styleId="publication-meta-separator">
    <w:name w:val="publication-meta-separator"/>
    <w:basedOn w:val="DefaultParagraphFont"/>
    <w:rsid w:val="004255E7"/>
  </w:style>
  <w:style w:type="character" w:customStyle="1" w:styleId="publication-meta-journal">
    <w:name w:val="publication-meta-journal"/>
    <w:basedOn w:val="DefaultParagraphFont"/>
    <w:rsid w:val="004255E7"/>
  </w:style>
  <w:style w:type="character" w:customStyle="1" w:styleId="js-separator">
    <w:name w:val="js-separator"/>
    <w:basedOn w:val="DefaultParagraphFont"/>
    <w:rsid w:val="004255E7"/>
  </w:style>
  <w:style w:type="character" w:customStyle="1" w:styleId="reference-accessdate">
    <w:name w:val="reference-accessdate"/>
    <w:basedOn w:val="DefaultParagraphFont"/>
    <w:rsid w:val="004255E7"/>
  </w:style>
  <w:style w:type="character" w:customStyle="1" w:styleId="nowrap">
    <w:name w:val="nowrap"/>
    <w:basedOn w:val="DefaultParagraphFont"/>
    <w:rsid w:val="004255E7"/>
  </w:style>
  <w:style w:type="character" w:styleId="FollowedHyperlink">
    <w:name w:val="FollowedHyperlink"/>
    <w:basedOn w:val="DefaultParagraphFont"/>
    <w:uiPriority w:val="99"/>
    <w:unhideWhenUsed/>
    <w:rsid w:val="004255E7"/>
    <w:rPr>
      <w:color w:val="800080" w:themeColor="followedHyperlink"/>
      <w:u w:val="single"/>
    </w:rPr>
  </w:style>
  <w:style w:type="paragraph" w:styleId="DocumentMap">
    <w:name w:val="Document Map"/>
    <w:basedOn w:val="Normal"/>
    <w:link w:val="DocumentMapChar"/>
    <w:uiPriority w:val="99"/>
    <w:unhideWhenUsed/>
    <w:rsid w:val="004255E7"/>
    <w:pPr>
      <w:spacing w:beforeAutospacing="1" w:afterAutospacing="1"/>
    </w:pPr>
    <w:rPr>
      <w:rFonts w:ascii="Lucida Grande" w:eastAsia="MS Mincho" w:hAnsi="Lucida Grande" w:cs="Lucida Grande"/>
      <w:lang w:val="es-MX" w:eastAsia="es-MX"/>
    </w:rPr>
  </w:style>
  <w:style w:type="character" w:customStyle="1" w:styleId="DocumentMapChar">
    <w:name w:val="Document Map Char"/>
    <w:basedOn w:val="DefaultParagraphFont"/>
    <w:link w:val="DocumentMap"/>
    <w:uiPriority w:val="99"/>
    <w:rsid w:val="004255E7"/>
    <w:rPr>
      <w:rFonts w:ascii="Lucida Grande" w:eastAsia="MS Mincho" w:hAnsi="Lucida Grande" w:cs="Lucida Grande"/>
      <w:color w:val="auto"/>
      <w:sz w:val="24"/>
      <w:szCs w:val="24"/>
      <w:lang w:val="es-MX" w:eastAsia="es-MX"/>
    </w:rPr>
  </w:style>
  <w:style w:type="character" w:customStyle="1" w:styleId="sr-only">
    <w:name w:val="sr-only"/>
    <w:basedOn w:val="DefaultParagraphFont"/>
    <w:rsid w:val="004255E7"/>
  </w:style>
  <w:style w:type="character" w:customStyle="1" w:styleId="text">
    <w:name w:val="text"/>
    <w:basedOn w:val="DefaultParagraphFont"/>
    <w:rsid w:val="004255E7"/>
  </w:style>
  <w:style w:type="character" w:customStyle="1" w:styleId="size-xl">
    <w:name w:val="size-xl"/>
    <w:basedOn w:val="DefaultParagraphFont"/>
    <w:rsid w:val="004255E7"/>
  </w:style>
  <w:style w:type="character" w:customStyle="1" w:styleId="size-m">
    <w:name w:val="size-m"/>
    <w:basedOn w:val="DefaultParagraphFont"/>
    <w:rsid w:val="004255E7"/>
  </w:style>
  <w:style w:type="character" w:customStyle="1" w:styleId="m4407766385731001525gmail-msocommentreference">
    <w:name w:val="m_4407766385731001525gmail-msocommentreference"/>
    <w:basedOn w:val="DefaultParagraphFont"/>
    <w:rsid w:val="004255E7"/>
  </w:style>
  <w:style w:type="character" w:customStyle="1" w:styleId="title-text">
    <w:name w:val="title-text"/>
    <w:basedOn w:val="DefaultParagraphFont"/>
    <w:rsid w:val="004255E7"/>
  </w:style>
  <w:style w:type="character" w:customStyle="1" w:styleId="author-ref">
    <w:name w:val="author-ref"/>
    <w:basedOn w:val="DefaultParagraphFont"/>
    <w:rsid w:val="004255E7"/>
  </w:style>
  <w:style w:type="character" w:customStyle="1" w:styleId="frlabel">
    <w:name w:val="fr_label"/>
    <w:basedOn w:val="DefaultParagraphFont"/>
    <w:rsid w:val="004255E7"/>
  </w:style>
  <w:style w:type="paragraph" w:customStyle="1" w:styleId="gmail-msonormal">
    <w:name w:val="gmail-msonormal"/>
    <w:basedOn w:val="Normal"/>
    <w:rsid w:val="004255E7"/>
    <w:pPr>
      <w:spacing w:before="100" w:beforeAutospacing="1" w:after="100" w:afterAutospacing="1"/>
    </w:pPr>
    <w:rPr>
      <w:lang w:val="es-MX" w:eastAsia="es-MX"/>
    </w:rPr>
  </w:style>
  <w:style w:type="character" w:customStyle="1" w:styleId="gmail-msocommentreference">
    <w:name w:val="gmail-msocommentreference"/>
    <w:basedOn w:val="DefaultParagraphFont"/>
    <w:rsid w:val="004255E7"/>
  </w:style>
  <w:style w:type="character" w:customStyle="1" w:styleId="nova-e-badge">
    <w:name w:val="nova-e-badge"/>
    <w:basedOn w:val="DefaultParagraphFont"/>
    <w:rsid w:val="004255E7"/>
  </w:style>
  <w:style w:type="character" w:customStyle="1" w:styleId="name">
    <w:name w:val="name"/>
    <w:basedOn w:val="DefaultParagraphFont"/>
    <w:rsid w:val="004255E7"/>
  </w:style>
  <w:style w:type="character" w:customStyle="1" w:styleId="xref-sep">
    <w:name w:val="xref-sep"/>
    <w:basedOn w:val="DefaultParagraphFont"/>
    <w:rsid w:val="004255E7"/>
  </w:style>
  <w:style w:type="character" w:customStyle="1" w:styleId="SectionChar">
    <w:name w:val="Section Char"/>
    <w:link w:val="Section"/>
    <w:locked/>
    <w:rsid w:val="008035B6"/>
    <w:rPr>
      <w:b/>
      <w:sz w:val="28"/>
      <w:lang w:eastAsia="ja-JP"/>
    </w:rPr>
  </w:style>
  <w:style w:type="paragraph" w:customStyle="1" w:styleId="Section">
    <w:name w:val="Section"/>
    <w:basedOn w:val="Normal"/>
    <w:next w:val="BodyText"/>
    <w:link w:val="SectionChar"/>
    <w:semiHidden/>
    <w:rsid w:val="008035B6"/>
    <w:pPr>
      <w:spacing w:after="120"/>
    </w:pPr>
    <w:rPr>
      <w:b/>
      <w:color w:val="000000"/>
      <w:sz w:val="28"/>
      <w:szCs w:val="22"/>
      <w:lang w:val="en-GB" w:eastAsia="ja-JP"/>
    </w:rPr>
  </w:style>
  <w:style w:type="numbering" w:customStyle="1" w:styleId="Sinlista1">
    <w:name w:val="Sin lista1"/>
    <w:next w:val="NoList"/>
    <w:uiPriority w:val="99"/>
    <w:semiHidden/>
    <w:unhideWhenUsed/>
    <w:rsid w:val="00490494"/>
  </w:style>
  <w:style w:type="character" w:customStyle="1" w:styleId="berschrift1Zchn">
    <w:name w:val="Überschrift 1 Zchn"/>
    <w:basedOn w:val="DefaultParagraphFont"/>
    <w:uiPriority w:val="99"/>
    <w:rsid w:val="00490494"/>
    <w:rPr>
      <w:rFonts w:ascii="Times New Roman" w:eastAsia="Times New Roman" w:hAnsi="Times New Roman" w:cs="Times New Roman"/>
      <w:b/>
      <w:bCs/>
      <w:sz w:val="28"/>
      <w:szCs w:val="28"/>
      <w:lang w:val="en-GB" w:eastAsia="ja-JP"/>
    </w:rPr>
  </w:style>
  <w:style w:type="character" w:customStyle="1" w:styleId="berschrift2Zchn">
    <w:name w:val="Überschrift 2 Zchn"/>
    <w:basedOn w:val="DefaultParagraphFont"/>
    <w:uiPriority w:val="99"/>
    <w:rsid w:val="00490494"/>
    <w:rPr>
      <w:rFonts w:ascii="Calibri" w:eastAsia="Times New Roman" w:hAnsi="Calibri" w:cs="Times New Roman"/>
      <w:b/>
      <w:bCs/>
      <w:color w:val="3366FF"/>
      <w:sz w:val="28"/>
      <w:szCs w:val="26"/>
      <w:lang w:eastAsia="ja-JP"/>
    </w:rPr>
  </w:style>
  <w:style w:type="character" w:customStyle="1" w:styleId="berschrift5Zchn">
    <w:name w:val="Überschrift 5 Zchn"/>
    <w:basedOn w:val="DefaultParagraphFont"/>
    <w:semiHidden/>
    <w:rsid w:val="00490494"/>
    <w:rPr>
      <w:rFonts w:ascii="Calibri" w:eastAsia="Times New Roman" w:hAnsi="Calibri" w:cs="Times New Roman"/>
      <w:lang w:eastAsia="ja-JP"/>
    </w:rPr>
  </w:style>
  <w:style w:type="character" w:customStyle="1" w:styleId="berschrift6Zchn">
    <w:name w:val="Überschrift 6 Zchn"/>
    <w:basedOn w:val="DefaultParagraphFont"/>
    <w:semiHidden/>
    <w:rsid w:val="00490494"/>
    <w:rPr>
      <w:rFonts w:ascii="Calibri" w:eastAsia="Times New Roman" w:hAnsi="Calibri" w:cs="Arial"/>
      <w:i/>
      <w:iCs/>
      <w:szCs w:val="24"/>
      <w:lang w:eastAsia="ja-JP"/>
    </w:rPr>
  </w:style>
  <w:style w:type="character" w:customStyle="1" w:styleId="berschrift7Zchn">
    <w:name w:val="Überschrift 7 Zchn"/>
    <w:basedOn w:val="DefaultParagraphFont"/>
    <w:uiPriority w:val="99"/>
    <w:semiHidden/>
    <w:rsid w:val="00490494"/>
    <w:rPr>
      <w:rFonts w:ascii="Calibri" w:eastAsia="Times New Roman" w:hAnsi="Calibri" w:cs="Times New Roman"/>
      <w:iCs/>
      <w:color w:val="3366FF"/>
      <w:szCs w:val="24"/>
      <w:lang w:eastAsia="ja-JP"/>
    </w:rPr>
  </w:style>
  <w:style w:type="character" w:customStyle="1" w:styleId="berschrift8Zchn">
    <w:name w:val="Überschrift 8 Zchn"/>
    <w:basedOn w:val="DefaultParagraphFont"/>
    <w:uiPriority w:val="9"/>
    <w:semiHidden/>
    <w:rsid w:val="00490494"/>
    <w:rPr>
      <w:rFonts w:ascii="Cambria" w:eastAsia="Times New Roman" w:hAnsi="Cambria" w:cs="Times New Roman"/>
      <w:color w:val="404040"/>
      <w:sz w:val="20"/>
      <w:szCs w:val="24"/>
      <w:lang w:eastAsia="ja-JP"/>
    </w:rPr>
  </w:style>
  <w:style w:type="character" w:customStyle="1" w:styleId="berschrift9Zchn">
    <w:name w:val="Überschrift 9 Zchn"/>
    <w:basedOn w:val="DefaultParagraphFont"/>
    <w:uiPriority w:val="99"/>
    <w:semiHidden/>
    <w:rsid w:val="00490494"/>
    <w:rPr>
      <w:rFonts w:ascii="Arial" w:eastAsia="Times" w:hAnsi="Arial" w:cs="Arial"/>
      <w:lang w:val="en-GB" w:eastAsia="ja-JP"/>
    </w:rPr>
  </w:style>
  <w:style w:type="character" w:customStyle="1" w:styleId="TextkrperZchn">
    <w:name w:val="Textkörper Zchn"/>
    <w:basedOn w:val="DefaultParagraphFont"/>
    <w:link w:val="TextBody"/>
    <w:uiPriority w:val="99"/>
    <w:rsid w:val="00490494"/>
  </w:style>
  <w:style w:type="character" w:customStyle="1" w:styleId="berschrift3Zchn">
    <w:name w:val="Überschrift 3 Zchn"/>
    <w:basedOn w:val="DefaultParagraphFont"/>
    <w:uiPriority w:val="9"/>
    <w:rsid w:val="00490494"/>
    <w:rPr>
      <w:rFonts w:ascii="Cambria" w:hAnsi="Cambria"/>
      <w:b/>
      <w:bCs/>
      <w:color w:val="4F81BD"/>
    </w:rPr>
  </w:style>
  <w:style w:type="character" w:customStyle="1" w:styleId="FootnoteAnchor">
    <w:name w:val="Footnote Anchor"/>
    <w:rsid w:val="00490494"/>
    <w:rPr>
      <w:vertAlign w:val="superscript"/>
    </w:rPr>
  </w:style>
  <w:style w:type="character" w:customStyle="1" w:styleId="berschrift4Zchn">
    <w:name w:val="Überschrift 4 Zchn"/>
    <w:basedOn w:val="DefaultParagraphFont"/>
    <w:uiPriority w:val="9"/>
    <w:rsid w:val="00490494"/>
    <w:rPr>
      <w:rFonts w:ascii="Cambria" w:hAnsi="Cambria"/>
      <w:b/>
      <w:bCs/>
      <w:i/>
      <w:iCs/>
      <w:color w:val="4F81BD"/>
    </w:rPr>
  </w:style>
  <w:style w:type="character" w:customStyle="1" w:styleId="ListLabel1">
    <w:name w:val="ListLabel 1"/>
    <w:rsid w:val="00490494"/>
    <w:rPr>
      <w:color w:val="00000A"/>
    </w:rPr>
  </w:style>
  <w:style w:type="character" w:customStyle="1" w:styleId="ListLabel2">
    <w:name w:val="ListLabel 2"/>
    <w:rsid w:val="00490494"/>
  </w:style>
  <w:style w:type="character" w:customStyle="1" w:styleId="ListLabel3">
    <w:name w:val="ListLabel 3"/>
    <w:rsid w:val="00490494"/>
    <w:rPr>
      <w:rFonts w:cs="Courier New"/>
    </w:rPr>
  </w:style>
  <w:style w:type="character" w:customStyle="1" w:styleId="ListLabel4">
    <w:name w:val="ListLabel 4"/>
    <w:rsid w:val="00490494"/>
    <w:rPr>
      <w:rFonts w:cs="Calibri"/>
    </w:rPr>
  </w:style>
  <w:style w:type="character" w:customStyle="1" w:styleId="ListLabel5">
    <w:name w:val="ListLabel 5"/>
    <w:rsid w:val="00490494"/>
    <w:rPr>
      <w:rFonts w:eastAsia="Times" w:cs="Times New Roman"/>
    </w:rPr>
  </w:style>
  <w:style w:type="character" w:customStyle="1" w:styleId="ListLabel6">
    <w:name w:val="ListLabel 6"/>
    <w:rsid w:val="00490494"/>
    <w:rPr>
      <w:rFonts w:eastAsia="Arial Unicode MS" w:cs="Helvetica"/>
    </w:rPr>
  </w:style>
  <w:style w:type="character" w:customStyle="1" w:styleId="LineNumbering">
    <w:name w:val="Line Numbering"/>
    <w:rsid w:val="00490494"/>
  </w:style>
  <w:style w:type="character" w:customStyle="1" w:styleId="FootnoteCharacters">
    <w:name w:val="Footnote Characters"/>
    <w:rsid w:val="00490494"/>
  </w:style>
  <w:style w:type="character" w:customStyle="1" w:styleId="EndnoteAnchor">
    <w:name w:val="Endnote Anchor"/>
    <w:rsid w:val="00490494"/>
    <w:rPr>
      <w:vertAlign w:val="superscript"/>
    </w:rPr>
  </w:style>
  <w:style w:type="character" w:customStyle="1" w:styleId="EndnoteCharacters">
    <w:name w:val="Endnote Characters"/>
    <w:rsid w:val="00490494"/>
  </w:style>
  <w:style w:type="paragraph" w:customStyle="1" w:styleId="Heading">
    <w:name w:val="Heading"/>
    <w:basedOn w:val="Normal"/>
    <w:next w:val="TextBody"/>
    <w:rsid w:val="00490494"/>
    <w:pPr>
      <w:keepNext/>
      <w:suppressAutoHyphens/>
      <w:spacing w:before="240" w:after="120" w:line="276" w:lineRule="auto"/>
    </w:pPr>
    <w:rPr>
      <w:rFonts w:ascii="Liberation Sans" w:eastAsia="Droid Sans Fallback" w:hAnsi="Liberation Sans" w:cs="FreeSans"/>
      <w:sz w:val="28"/>
      <w:szCs w:val="28"/>
    </w:rPr>
  </w:style>
  <w:style w:type="paragraph" w:customStyle="1" w:styleId="TextBody">
    <w:name w:val="Text Body"/>
    <w:basedOn w:val="Normal"/>
    <w:link w:val="TextkrperZchn"/>
    <w:uiPriority w:val="99"/>
    <w:unhideWhenUsed/>
    <w:rsid w:val="00490494"/>
    <w:pPr>
      <w:suppressAutoHyphens/>
      <w:spacing w:after="120" w:line="288" w:lineRule="auto"/>
    </w:pPr>
    <w:rPr>
      <w:color w:val="000000"/>
      <w:szCs w:val="22"/>
      <w:lang w:val="en-GB" w:eastAsia="es-CO"/>
    </w:rPr>
  </w:style>
  <w:style w:type="paragraph" w:customStyle="1" w:styleId="Index">
    <w:name w:val="Index"/>
    <w:basedOn w:val="Normal"/>
    <w:rsid w:val="00490494"/>
    <w:pPr>
      <w:suppressLineNumbers/>
      <w:suppressAutoHyphens/>
      <w:spacing w:after="200" w:line="276" w:lineRule="auto"/>
    </w:pPr>
    <w:rPr>
      <w:rFonts w:eastAsia="Droid Sans Fallback" w:cs="FreeSans"/>
      <w:szCs w:val="22"/>
    </w:rPr>
  </w:style>
  <w:style w:type="paragraph" w:customStyle="1" w:styleId="Footnote">
    <w:name w:val="Footnote"/>
    <w:basedOn w:val="Normal"/>
    <w:rsid w:val="00490494"/>
    <w:pPr>
      <w:suppressAutoHyphens/>
      <w:spacing w:after="200" w:line="276" w:lineRule="auto"/>
    </w:pPr>
    <w:rPr>
      <w:rFonts w:eastAsia="Droid Sans Fallback" w:cs="Calibri"/>
      <w:color w:val="00000A"/>
      <w:szCs w:val="22"/>
      <w:lang w:val="en-CA"/>
    </w:rPr>
  </w:style>
  <w:style w:type="character" w:customStyle="1" w:styleId="TextocomentarioCar1">
    <w:name w:val="Texto comentario Car1"/>
    <w:basedOn w:val="DefaultParagraphFont"/>
    <w:uiPriority w:val="99"/>
    <w:semiHidden/>
    <w:rsid w:val="00490494"/>
    <w:rPr>
      <w:sz w:val="20"/>
      <w:szCs w:val="20"/>
    </w:rPr>
  </w:style>
  <w:style w:type="character" w:customStyle="1" w:styleId="TextodegloboCar1">
    <w:name w:val="Texto de globo Car1"/>
    <w:basedOn w:val="DefaultParagraphFont"/>
    <w:uiPriority w:val="99"/>
    <w:semiHidden/>
    <w:rsid w:val="00490494"/>
    <w:rPr>
      <w:rFonts w:ascii="Tahoma" w:hAnsi="Tahoma" w:cs="Tahoma"/>
      <w:sz w:val="16"/>
      <w:szCs w:val="16"/>
    </w:rPr>
  </w:style>
  <w:style w:type="character" w:customStyle="1" w:styleId="AsuntodelcomentarioCar1">
    <w:name w:val="Asunto del comentario Car1"/>
    <w:basedOn w:val="TextocomentarioCar1"/>
    <w:uiPriority w:val="99"/>
    <w:semiHidden/>
    <w:rsid w:val="00490494"/>
    <w:rPr>
      <w:b/>
      <w:bCs/>
      <w:sz w:val="20"/>
      <w:szCs w:val="20"/>
    </w:rPr>
  </w:style>
  <w:style w:type="paragraph" w:customStyle="1" w:styleId="Contents1">
    <w:name w:val="Contents 1"/>
    <w:basedOn w:val="Normal"/>
    <w:next w:val="Normal"/>
    <w:autoRedefine/>
    <w:uiPriority w:val="39"/>
    <w:unhideWhenUsed/>
    <w:rsid w:val="00490494"/>
    <w:pPr>
      <w:tabs>
        <w:tab w:val="left" w:pos="382"/>
        <w:tab w:val="right" w:leader="dot" w:pos="9014"/>
      </w:tabs>
      <w:suppressAutoHyphens/>
      <w:spacing w:before="120" w:line="276" w:lineRule="auto"/>
    </w:pPr>
    <w:rPr>
      <w:rFonts w:eastAsia="Droid Sans Fallback"/>
      <w:b/>
    </w:rPr>
  </w:style>
  <w:style w:type="paragraph" w:customStyle="1" w:styleId="Contents2">
    <w:name w:val="Contents 2"/>
    <w:basedOn w:val="Normal"/>
    <w:next w:val="Normal"/>
    <w:autoRedefine/>
    <w:uiPriority w:val="39"/>
    <w:unhideWhenUsed/>
    <w:rsid w:val="00490494"/>
    <w:pPr>
      <w:tabs>
        <w:tab w:val="left" w:pos="880"/>
        <w:tab w:val="right" w:leader="dot" w:pos="9014"/>
      </w:tabs>
      <w:suppressAutoHyphens/>
      <w:ind w:left="220"/>
    </w:pPr>
    <w:rPr>
      <w:rFonts w:eastAsia="Droid Sans Fallback"/>
      <w:b/>
      <w:szCs w:val="22"/>
    </w:rPr>
  </w:style>
  <w:style w:type="paragraph" w:customStyle="1" w:styleId="Contents3">
    <w:name w:val="Contents 3"/>
    <w:basedOn w:val="Normal"/>
    <w:next w:val="Normal"/>
    <w:autoRedefine/>
    <w:uiPriority w:val="39"/>
    <w:unhideWhenUsed/>
    <w:rsid w:val="00490494"/>
    <w:pPr>
      <w:suppressAutoHyphens/>
      <w:spacing w:line="276" w:lineRule="auto"/>
      <w:ind w:left="440"/>
    </w:pPr>
    <w:rPr>
      <w:rFonts w:eastAsia="Droid Sans Fallback"/>
      <w:szCs w:val="22"/>
    </w:rPr>
  </w:style>
  <w:style w:type="paragraph" w:customStyle="1" w:styleId="Contents4">
    <w:name w:val="Contents 4"/>
    <w:basedOn w:val="Normal"/>
    <w:next w:val="Normal"/>
    <w:autoRedefine/>
    <w:uiPriority w:val="39"/>
    <w:unhideWhenUsed/>
    <w:rsid w:val="00490494"/>
    <w:pPr>
      <w:suppressAutoHyphens/>
      <w:spacing w:line="276" w:lineRule="auto"/>
      <w:ind w:left="660"/>
    </w:pPr>
    <w:rPr>
      <w:rFonts w:eastAsia="Droid Sans Fallback"/>
      <w:sz w:val="20"/>
      <w:szCs w:val="20"/>
    </w:rPr>
  </w:style>
  <w:style w:type="paragraph" w:customStyle="1" w:styleId="Contents5">
    <w:name w:val="Contents 5"/>
    <w:basedOn w:val="Normal"/>
    <w:next w:val="Normal"/>
    <w:autoRedefine/>
    <w:uiPriority w:val="39"/>
    <w:unhideWhenUsed/>
    <w:rsid w:val="00490494"/>
    <w:pPr>
      <w:suppressAutoHyphens/>
      <w:spacing w:line="276" w:lineRule="auto"/>
      <w:ind w:left="880"/>
    </w:pPr>
    <w:rPr>
      <w:rFonts w:eastAsia="Droid Sans Fallback"/>
      <w:sz w:val="20"/>
      <w:szCs w:val="20"/>
    </w:rPr>
  </w:style>
  <w:style w:type="paragraph" w:customStyle="1" w:styleId="Contents6">
    <w:name w:val="Contents 6"/>
    <w:basedOn w:val="Normal"/>
    <w:next w:val="Normal"/>
    <w:autoRedefine/>
    <w:uiPriority w:val="39"/>
    <w:unhideWhenUsed/>
    <w:rsid w:val="00490494"/>
    <w:pPr>
      <w:suppressAutoHyphens/>
      <w:spacing w:line="276" w:lineRule="auto"/>
      <w:ind w:left="1100"/>
    </w:pPr>
    <w:rPr>
      <w:rFonts w:eastAsia="Droid Sans Fallback"/>
      <w:sz w:val="20"/>
      <w:szCs w:val="20"/>
    </w:rPr>
  </w:style>
  <w:style w:type="paragraph" w:customStyle="1" w:styleId="Contents7">
    <w:name w:val="Contents 7"/>
    <w:basedOn w:val="Normal"/>
    <w:next w:val="Normal"/>
    <w:autoRedefine/>
    <w:uiPriority w:val="39"/>
    <w:unhideWhenUsed/>
    <w:rsid w:val="00490494"/>
    <w:pPr>
      <w:suppressAutoHyphens/>
      <w:spacing w:line="276" w:lineRule="auto"/>
      <w:ind w:left="1320"/>
    </w:pPr>
    <w:rPr>
      <w:rFonts w:eastAsia="Droid Sans Fallback"/>
      <w:sz w:val="20"/>
      <w:szCs w:val="20"/>
    </w:rPr>
  </w:style>
  <w:style w:type="paragraph" w:customStyle="1" w:styleId="Contents8">
    <w:name w:val="Contents 8"/>
    <w:basedOn w:val="Normal"/>
    <w:next w:val="Normal"/>
    <w:autoRedefine/>
    <w:uiPriority w:val="39"/>
    <w:unhideWhenUsed/>
    <w:rsid w:val="00490494"/>
    <w:pPr>
      <w:suppressAutoHyphens/>
      <w:spacing w:line="276" w:lineRule="auto"/>
      <w:ind w:left="1540"/>
    </w:pPr>
    <w:rPr>
      <w:rFonts w:eastAsia="Droid Sans Fallback"/>
      <w:sz w:val="20"/>
      <w:szCs w:val="20"/>
    </w:rPr>
  </w:style>
  <w:style w:type="paragraph" w:customStyle="1" w:styleId="Contents9">
    <w:name w:val="Contents 9"/>
    <w:basedOn w:val="Normal"/>
    <w:next w:val="Normal"/>
    <w:autoRedefine/>
    <w:uiPriority w:val="39"/>
    <w:unhideWhenUsed/>
    <w:rsid w:val="00490494"/>
    <w:pPr>
      <w:suppressAutoHyphens/>
      <w:spacing w:line="276" w:lineRule="auto"/>
      <w:ind w:left="1760"/>
    </w:pPr>
    <w:rPr>
      <w:rFonts w:eastAsia="Droid Sans Fallback"/>
      <w:sz w:val="20"/>
      <w:szCs w:val="20"/>
    </w:rPr>
  </w:style>
  <w:style w:type="character" w:customStyle="1" w:styleId="EncabezadoCar1">
    <w:name w:val="Encabezado Car1"/>
    <w:basedOn w:val="DefaultParagraphFont"/>
    <w:uiPriority w:val="99"/>
    <w:semiHidden/>
    <w:rsid w:val="00490494"/>
  </w:style>
  <w:style w:type="character" w:customStyle="1" w:styleId="PiedepginaCar1">
    <w:name w:val="Pie de página Car1"/>
    <w:basedOn w:val="DefaultParagraphFont"/>
    <w:uiPriority w:val="99"/>
    <w:semiHidden/>
    <w:rsid w:val="00490494"/>
  </w:style>
  <w:style w:type="table" w:customStyle="1" w:styleId="GridTable1Light-Accent11">
    <w:name w:val="Grid Table 1 Light - Accent 11"/>
    <w:basedOn w:val="TableNormal"/>
    <w:uiPriority w:val="46"/>
    <w:rsid w:val="00490494"/>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Droid Sans Fallback" w:hAnsi="Calibri"/>
      <w:color w:val="auto"/>
      <w:lang w:val="en-US"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4F81BD" w:themeColor="accent1"/>
        </w:tcBorders>
      </w:tcPr>
    </w:tblStylePr>
    <w:tblStylePr w:type="lastRow">
      <w:rPr>
        <w:b/>
        <w:bCs/>
      </w:rPr>
      <w:tblPr/>
      <w:tcPr>
        <w:tcBorders>
          <w:top w:val="double" w:sz="2" w:space="0" w:color="4F81BD" w:themeColor="accent1"/>
        </w:tcBorders>
      </w:tcPr>
    </w:tblStylePr>
    <w:tblStylePr w:type="firstCol">
      <w:rPr>
        <w:b/>
        <w:bCs/>
      </w:rPr>
    </w:tblStylePr>
    <w:tblStylePr w:type="lastCol">
      <w:rPr>
        <w:b/>
        <w:bCs/>
      </w:rPr>
    </w:tblStylePr>
  </w:style>
  <w:style w:type="table" w:customStyle="1" w:styleId="TableGrid1">
    <w:name w:val="Table Grid1"/>
    <w:basedOn w:val="TableNormal"/>
    <w:uiPriority w:val="39"/>
    <w:rsid w:val="00490494"/>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Droid Sans Fallback" w:hAnsi="Calibri"/>
      <w:color w:val="auto"/>
      <w:lang w:val="en-T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490494"/>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Droid Sans Fallback" w:hAnsi="Calibri"/>
      <w:color w:val="auto"/>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490494"/>
    <w:rPr>
      <w:rFonts w:ascii="Times" w:eastAsiaTheme="minorHAnsi" w:hAnsi="Times"/>
      <w:sz w:val="15"/>
      <w:szCs w:val="15"/>
    </w:rPr>
  </w:style>
  <w:style w:type="paragraph" w:customStyle="1" w:styleId="p2">
    <w:name w:val="p2"/>
    <w:basedOn w:val="Normal"/>
    <w:rsid w:val="00490494"/>
    <w:rPr>
      <w:rFonts w:ascii="Helvetica" w:eastAsiaTheme="minorHAnsi" w:hAnsi="Helvetica"/>
      <w:sz w:val="17"/>
      <w:szCs w:val="17"/>
    </w:rPr>
  </w:style>
  <w:style w:type="paragraph" w:customStyle="1" w:styleId="p3">
    <w:name w:val="p3"/>
    <w:basedOn w:val="Normal"/>
    <w:rsid w:val="00490494"/>
    <w:rPr>
      <w:rFonts w:ascii="Helvetica" w:eastAsiaTheme="minorHAnsi" w:hAnsi="Helvetica"/>
      <w:sz w:val="33"/>
      <w:szCs w:val="33"/>
    </w:rPr>
  </w:style>
  <w:style w:type="paragraph" w:customStyle="1" w:styleId="p4">
    <w:name w:val="p4"/>
    <w:basedOn w:val="Normal"/>
    <w:rsid w:val="00490494"/>
    <w:rPr>
      <w:rFonts w:ascii="Helvetica" w:eastAsiaTheme="minorHAnsi" w:hAnsi="Helvetica"/>
      <w:sz w:val="30"/>
      <w:szCs w:val="30"/>
    </w:rPr>
  </w:style>
  <w:style w:type="character" w:customStyle="1" w:styleId="CommentTextChar1">
    <w:name w:val="Comment Text Char1"/>
    <w:basedOn w:val="DefaultParagraphFont"/>
    <w:uiPriority w:val="99"/>
    <w:semiHidden/>
    <w:locked/>
    <w:rsid w:val="00490494"/>
    <w:rPr>
      <w:sz w:val="20"/>
      <w:szCs w:val="20"/>
      <w:lang w:val="en-US" w:eastAsia="en-US"/>
    </w:rPr>
  </w:style>
  <w:style w:type="character" w:customStyle="1" w:styleId="yiv1438134651">
    <w:name w:val="yiv1438134651"/>
    <w:basedOn w:val="DefaultParagraphFont"/>
    <w:rsid w:val="009E18F7"/>
  </w:style>
  <w:style w:type="character" w:customStyle="1" w:styleId="articlecitationyear">
    <w:name w:val="articlecitation_year"/>
    <w:rsid w:val="009E18F7"/>
    <w:rPr>
      <w:rFonts w:cs="Times New Roman"/>
    </w:rPr>
  </w:style>
  <w:style w:type="character" w:customStyle="1" w:styleId="articlecitationvolume">
    <w:name w:val="articlecitation_volume"/>
    <w:rsid w:val="009E18F7"/>
    <w:rPr>
      <w:rFonts w:cs="Times New Roman"/>
    </w:rPr>
  </w:style>
  <w:style w:type="character" w:customStyle="1" w:styleId="articlecitationissue">
    <w:name w:val="articlecitation_issue"/>
    <w:uiPriority w:val="99"/>
    <w:rsid w:val="009E18F7"/>
    <w:rPr>
      <w:rFonts w:cs="Times New Roman"/>
    </w:rPr>
  </w:style>
  <w:style w:type="character" w:customStyle="1" w:styleId="referencia">
    <w:name w:val="referencia"/>
    <w:rsid w:val="009E18F7"/>
    <w:rPr>
      <w:rFonts w:ascii="Times New Roman" w:hAnsi="Times New Roman" w:cs="Times New Roman"/>
      <w:b w:val="0"/>
      <w:sz w:val="22"/>
    </w:rPr>
  </w:style>
  <w:style w:type="character" w:customStyle="1" w:styleId="postinfos">
    <w:name w:val="post_infos"/>
    <w:uiPriority w:val="99"/>
    <w:rsid w:val="009E18F7"/>
  </w:style>
  <w:style w:type="character" w:customStyle="1" w:styleId="Fecha1">
    <w:name w:val="Fecha1"/>
    <w:uiPriority w:val="99"/>
    <w:rsid w:val="009E18F7"/>
  </w:style>
  <w:style w:type="character" w:customStyle="1" w:styleId="month">
    <w:name w:val="month"/>
    <w:uiPriority w:val="99"/>
    <w:rsid w:val="009E18F7"/>
  </w:style>
  <w:style w:type="character" w:customStyle="1" w:styleId="prooftitle">
    <w:name w:val="proof_title"/>
    <w:basedOn w:val="DefaultParagraphFont"/>
    <w:rsid w:val="009E18F7"/>
  </w:style>
  <w:style w:type="character" w:customStyle="1" w:styleId="proofauthors">
    <w:name w:val="proof_authors"/>
    <w:basedOn w:val="DefaultParagraphFont"/>
    <w:rsid w:val="009E18F7"/>
  </w:style>
  <w:style w:type="character" w:customStyle="1" w:styleId="proofcitation">
    <w:name w:val="proof_citation"/>
    <w:basedOn w:val="DefaultParagraphFont"/>
    <w:rsid w:val="009E18F7"/>
  </w:style>
  <w:style w:type="character" w:customStyle="1" w:styleId="personname">
    <w:name w:val="person_name"/>
    <w:basedOn w:val="DefaultParagraphFont"/>
    <w:rsid w:val="009E18F7"/>
  </w:style>
  <w:style w:type="character" w:customStyle="1" w:styleId="A4">
    <w:name w:val="A4"/>
    <w:uiPriority w:val="99"/>
    <w:rsid w:val="009E18F7"/>
    <w:rPr>
      <w:rFonts w:cs="Helvetica"/>
      <w:color w:val="000000"/>
      <w:sz w:val="11"/>
      <w:szCs w:val="11"/>
    </w:rPr>
  </w:style>
  <w:style w:type="character" w:customStyle="1" w:styleId="A9">
    <w:name w:val="A9"/>
    <w:uiPriority w:val="99"/>
    <w:rsid w:val="009E18F7"/>
    <w:rPr>
      <w:rFonts w:cs="Helvetica Light"/>
      <w:color w:val="000000"/>
      <w:sz w:val="13"/>
      <w:szCs w:val="13"/>
    </w:rPr>
  </w:style>
  <w:style w:type="character" w:customStyle="1" w:styleId="A1">
    <w:name w:val="A1"/>
    <w:uiPriority w:val="99"/>
    <w:rsid w:val="009E18F7"/>
    <w:rPr>
      <w:rFonts w:cs="HelveticaNeue Condensed"/>
      <w:color w:val="000000"/>
      <w:sz w:val="18"/>
      <w:szCs w:val="18"/>
    </w:rPr>
  </w:style>
  <w:style w:type="character" w:customStyle="1" w:styleId="A2">
    <w:name w:val="A2"/>
    <w:uiPriority w:val="99"/>
    <w:rsid w:val="009E18F7"/>
    <w:rPr>
      <w:rFonts w:cs="HelveticaNeue Condensed"/>
      <w:color w:val="000000"/>
      <w:sz w:val="20"/>
      <w:szCs w:val="20"/>
    </w:rPr>
  </w:style>
  <w:style w:type="paragraph" w:customStyle="1" w:styleId="Pa0">
    <w:name w:val="Pa0"/>
    <w:basedOn w:val="Default"/>
    <w:next w:val="Default"/>
    <w:uiPriority w:val="99"/>
    <w:rsid w:val="009E18F7"/>
    <w:pPr>
      <w:spacing w:line="241" w:lineRule="atLeast"/>
    </w:pPr>
    <w:rPr>
      <w:rFonts w:ascii="HelveticaNeue BlackCond" w:eastAsiaTheme="minorHAnsi" w:hAnsi="HelveticaNeue BlackCond" w:cstheme="minorBidi"/>
      <w:color w:val="auto"/>
      <w:lang w:val="en-US" w:eastAsia="en-US"/>
    </w:rPr>
  </w:style>
  <w:style w:type="character" w:customStyle="1" w:styleId="A0">
    <w:name w:val="A0"/>
    <w:uiPriority w:val="99"/>
    <w:rsid w:val="009E18F7"/>
    <w:rPr>
      <w:rFonts w:cs="HelveticaNeue BlackCond"/>
      <w:b/>
      <w:bCs/>
      <w:color w:val="000000"/>
      <w:sz w:val="44"/>
      <w:szCs w:val="44"/>
    </w:rPr>
  </w:style>
  <w:style w:type="character" w:customStyle="1" w:styleId="A3">
    <w:name w:val="A3"/>
    <w:uiPriority w:val="99"/>
    <w:rsid w:val="009E18F7"/>
    <w:rPr>
      <w:rFonts w:cs="Helvetica 55 Roman"/>
      <w:color w:val="000000"/>
      <w:sz w:val="16"/>
      <w:szCs w:val="16"/>
    </w:rPr>
  </w:style>
  <w:style w:type="character" w:customStyle="1" w:styleId="A7">
    <w:name w:val="A7"/>
    <w:uiPriority w:val="99"/>
    <w:rsid w:val="009E18F7"/>
    <w:rPr>
      <w:rFonts w:cs="Whitney"/>
      <w:color w:val="000000"/>
      <w:sz w:val="14"/>
      <w:szCs w:val="14"/>
    </w:rPr>
  </w:style>
  <w:style w:type="paragraph" w:styleId="EndnoteText">
    <w:name w:val="endnote text"/>
    <w:basedOn w:val="Normal"/>
    <w:link w:val="EndnoteTextChar"/>
    <w:uiPriority w:val="99"/>
    <w:unhideWhenUsed/>
    <w:rsid w:val="009E18F7"/>
    <w:pPr>
      <w:spacing w:before="100" w:beforeAutospacing="1" w:afterAutospacing="1"/>
    </w:pPr>
    <w:rPr>
      <w:rFonts w:eastAsiaTheme="minorHAnsi" w:cstheme="minorBidi"/>
      <w:sz w:val="20"/>
      <w:szCs w:val="20"/>
    </w:rPr>
  </w:style>
  <w:style w:type="character" w:customStyle="1" w:styleId="EndnoteTextChar">
    <w:name w:val="Endnote Text Char"/>
    <w:basedOn w:val="DefaultParagraphFont"/>
    <w:link w:val="EndnoteText"/>
    <w:uiPriority w:val="99"/>
    <w:rsid w:val="009E18F7"/>
    <w:rPr>
      <w:rFonts w:eastAsiaTheme="minorHAnsi" w:cstheme="minorBidi"/>
      <w:color w:val="auto"/>
      <w:sz w:val="20"/>
      <w:szCs w:val="20"/>
      <w:lang w:val="en-US" w:eastAsia="en-US"/>
    </w:rPr>
  </w:style>
  <w:style w:type="character" w:customStyle="1" w:styleId="contribdegrees">
    <w:name w:val="contribdegrees"/>
    <w:basedOn w:val="DefaultParagraphFont"/>
    <w:rsid w:val="009E18F7"/>
  </w:style>
  <w:style w:type="character" w:customStyle="1" w:styleId="doi">
    <w:name w:val="doi"/>
    <w:basedOn w:val="DefaultParagraphFont"/>
    <w:rsid w:val="009E18F7"/>
  </w:style>
  <w:style w:type="paragraph" w:customStyle="1" w:styleId="m5109567430836151831msolistparagraph">
    <w:name w:val="m_5109567430836151831msolistparagraph"/>
    <w:basedOn w:val="Normal"/>
    <w:rsid w:val="009E18F7"/>
    <w:pPr>
      <w:spacing w:before="100" w:beforeAutospacing="1" w:after="100" w:afterAutospacing="1"/>
    </w:pPr>
    <w:rPr>
      <w:rFonts w:ascii="Times" w:eastAsiaTheme="minorEastAsia" w:hAnsi="Times" w:cstheme="minorBidi"/>
      <w:sz w:val="20"/>
      <w:szCs w:val="20"/>
      <w:lang w:val="es-ES_tradnl" w:eastAsia="es-ES"/>
    </w:rPr>
  </w:style>
  <w:style w:type="character" w:customStyle="1" w:styleId="document-sub-type">
    <w:name w:val="document-sub-type"/>
    <w:basedOn w:val="DefaultParagraphFont"/>
    <w:rsid w:val="009E18F7"/>
  </w:style>
  <w:style w:type="character" w:customStyle="1" w:styleId="separator">
    <w:name w:val="separator"/>
    <w:basedOn w:val="DefaultParagraphFont"/>
    <w:rsid w:val="009E18F7"/>
  </w:style>
  <w:style w:type="character" w:customStyle="1" w:styleId="authorsname">
    <w:name w:val="authors__name"/>
    <w:basedOn w:val="DefaultParagraphFont"/>
    <w:rsid w:val="009E18F7"/>
  </w:style>
  <w:style w:type="character" w:customStyle="1" w:styleId="authorscontact">
    <w:name w:val="authors__contact"/>
    <w:basedOn w:val="DefaultParagraphFont"/>
    <w:rsid w:val="009E18F7"/>
  </w:style>
  <w:style w:type="paragraph" w:styleId="ListNumber">
    <w:name w:val="List Number"/>
    <w:basedOn w:val="Normal"/>
    <w:semiHidden/>
    <w:rsid w:val="001E61A6"/>
    <w:pPr>
      <w:numPr>
        <w:numId w:val="17"/>
      </w:numPr>
    </w:pPr>
    <w:rPr>
      <w:rFonts w:eastAsia="Times"/>
      <w:lang w:eastAsia="ja-JP"/>
    </w:rPr>
  </w:style>
  <w:style w:type="paragraph" w:customStyle="1" w:styleId="AR5FigureTableBoxCaptionNumber">
    <w:name w:val="AR5 Figure/Table/Box Caption Number"/>
    <w:basedOn w:val="Normal"/>
    <w:link w:val="AR5FigureTableBoxCaptionNumberChar"/>
    <w:rsid w:val="001E61A6"/>
    <w:rPr>
      <w:rFonts w:ascii="Arial" w:eastAsia="Calibri" w:hAnsi="Arial"/>
      <w:b/>
      <w:sz w:val="20"/>
      <w:lang w:val="en-GB" w:eastAsia="ja-JP"/>
    </w:rPr>
  </w:style>
  <w:style w:type="character" w:customStyle="1" w:styleId="AR5FigureTableBoxCaptionNumberChar">
    <w:name w:val="AR5 Figure/Table/Box Caption Number Char"/>
    <w:link w:val="AR5FigureTableBoxCaptionNumber"/>
    <w:locked/>
    <w:rsid w:val="001E61A6"/>
    <w:rPr>
      <w:rFonts w:ascii="Arial" w:eastAsia="Calibri" w:hAnsi="Arial"/>
      <w:b/>
      <w:color w:val="auto"/>
      <w:sz w:val="20"/>
      <w:szCs w:val="24"/>
      <w:lang w:eastAsia="ja-JP"/>
    </w:rPr>
  </w:style>
  <w:style w:type="paragraph" w:customStyle="1" w:styleId="AR5FigureCaptionText">
    <w:name w:val="AR5 Figure Caption Text"/>
    <w:basedOn w:val="Normal"/>
    <w:next w:val="Normal"/>
    <w:link w:val="AR5FigureCaptionTextCharChar"/>
    <w:uiPriority w:val="99"/>
    <w:rsid w:val="001E61A6"/>
    <w:pPr>
      <w:spacing w:after="240"/>
    </w:pPr>
    <w:rPr>
      <w:rFonts w:ascii="Arial" w:eastAsia="Calibri" w:hAnsi="Arial"/>
      <w:sz w:val="20"/>
      <w:lang w:val="en-GB" w:eastAsia="ja-JP"/>
    </w:rPr>
  </w:style>
  <w:style w:type="character" w:customStyle="1" w:styleId="AR5FigureCaptionTextCharChar">
    <w:name w:val="AR5 Figure Caption Text Char Char"/>
    <w:link w:val="AR5FigureCaptionText"/>
    <w:uiPriority w:val="99"/>
    <w:locked/>
    <w:rsid w:val="001E61A6"/>
    <w:rPr>
      <w:rFonts w:ascii="Arial" w:eastAsia="Calibri" w:hAnsi="Arial"/>
      <w:color w:val="auto"/>
      <w:sz w:val="20"/>
      <w:szCs w:val="24"/>
      <w:lang w:eastAsia="ja-JP"/>
    </w:rPr>
  </w:style>
  <w:style w:type="paragraph" w:customStyle="1" w:styleId="AR5TableCaptionText">
    <w:name w:val="AR5 Table Caption Text"/>
    <w:basedOn w:val="AR5FigureCaptionText"/>
    <w:next w:val="BodyText"/>
    <w:link w:val="AR5TableCaptionTextChar"/>
    <w:uiPriority w:val="99"/>
    <w:rsid w:val="001E61A6"/>
    <w:pPr>
      <w:spacing w:before="120" w:after="0"/>
    </w:pPr>
  </w:style>
  <w:style w:type="paragraph" w:styleId="BlockText">
    <w:name w:val="Block Text"/>
    <w:basedOn w:val="Normal"/>
    <w:uiPriority w:val="99"/>
    <w:semiHidden/>
    <w:unhideWhenUsed/>
    <w:rsid w:val="001E61A6"/>
    <w:pPr>
      <w:pBdr>
        <w:top w:val="single" w:sz="2" w:space="10" w:color="4F81BD" w:shadow="1" w:frame="1"/>
        <w:left w:val="single" w:sz="2" w:space="10" w:color="4F81BD" w:shadow="1" w:frame="1"/>
        <w:bottom w:val="single" w:sz="2" w:space="10" w:color="4F81BD" w:shadow="1" w:frame="1"/>
        <w:right w:val="single" w:sz="2" w:space="10" w:color="4F81BD" w:shadow="1" w:frame="1"/>
      </w:pBdr>
      <w:ind w:left="1152" w:right="1152"/>
    </w:pPr>
    <w:rPr>
      <w:i/>
      <w:iCs/>
      <w:color w:val="4F81BD"/>
      <w:lang w:eastAsia="ja-JP"/>
    </w:rPr>
  </w:style>
  <w:style w:type="numbering" w:styleId="111111">
    <w:name w:val="Outline List 2"/>
    <w:basedOn w:val="NoList"/>
    <w:rsid w:val="001E61A6"/>
    <w:pPr>
      <w:numPr>
        <w:numId w:val="22"/>
      </w:numPr>
    </w:pPr>
  </w:style>
  <w:style w:type="numbering" w:styleId="1ai">
    <w:name w:val="Outline List 1"/>
    <w:basedOn w:val="NoList"/>
    <w:semiHidden/>
    <w:rsid w:val="001E61A6"/>
    <w:pPr>
      <w:numPr>
        <w:numId w:val="23"/>
      </w:numPr>
    </w:pPr>
  </w:style>
  <w:style w:type="numbering" w:styleId="ArticleSection">
    <w:name w:val="Outline List 3"/>
    <w:basedOn w:val="NoList"/>
    <w:semiHidden/>
    <w:rsid w:val="001E61A6"/>
    <w:pPr>
      <w:numPr>
        <w:numId w:val="24"/>
      </w:numPr>
    </w:pPr>
  </w:style>
  <w:style w:type="paragraph" w:styleId="BodyText2">
    <w:name w:val="Body Text 2"/>
    <w:basedOn w:val="Normal"/>
    <w:link w:val="BodyText2Char"/>
    <w:rsid w:val="001E61A6"/>
    <w:pPr>
      <w:spacing w:line="480" w:lineRule="auto"/>
    </w:pPr>
    <w:rPr>
      <w:rFonts w:eastAsia="Times"/>
      <w:lang w:eastAsia="ja-JP"/>
    </w:rPr>
  </w:style>
  <w:style w:type="character" w:customStyle="1" w:styleId="BodyText2Char">
    <w:name w:val="Body Text 2 Char"/>
    <w:basedOn w:val="DefaultParagraphFont"/>
    <w:link w:val="BodyText2"/>
    <w:rsid w:val="001E61A6"/>
    <w:rPr>
      <w:rFonts w:ascii="Calibri" w:eastAsia="Times" w:hAnsi="Calibri"/>
      <w:color w:val="auto"/>
      <w:szCs w:val="24"/>
      <w:lang w:eastAsia="ja-JP"/>
    </w:rPr>
  </w:style>
  <w:style w:type="paragraph" w:styleId="BodyText3">
    <w:name w:val="Body Text 3"/>
    <w:basedOn w:val="Normal"/>
    <w:link w:val="BodyText3Char"/>
    <w:rsid w:val="001E61A6"/>
    <w:rPr>
      <w:rFonts w:eastAsia="Times"/>
      <w:sz w:val="16"/>
      <w:szCs w:val="16"/>
      <w:lang w:eastAsia="ja-JP"/>
    </w:rPr>
  </w:style>
  <w:style w:type="character" w:customStyle="1" w:styleId="BodyText3Char">
    <w:name w:val="Body Text 3 Char"/>
    <w:basedOn w:val="DefaultParagraphFont"/>
    <w:link w:val="BodyText3"/>
    <w:rsid w:val="001E61A6"/>
    <w:rPr>
      <w:rFonts w:ascii="Calibri" w:eastAsia="Times" w:hAnsi="Calibri"/>
      <w:color w:val="auto"/>
      <w:sz w:val="16"/>
      <w:szCs w:val="16"/>
      <w:lang w:eastAsia="ja-JP"/>
    </w:rPr>
  </w:style>
  <w:style w:type="paragraph" w:styleId="BodyTextFirstIndent">
    <w:name w:val="Body Text First Indent"/>
    <w:basedOn w:val="BodyText"/>
    <w:link w:val="BodyTextFirstIndentChar"/>
    <w:semiHidden/>
    <w:rsid w:val="001E61A6"/>
    <w:pPr>
      <w:widowControl/>
      <w:suppressAutoHyphens w:val="0"/>
      <w:spacing w:after="120"/>
      <w:ind w:firstLine="210"/>
      <w:jc w:val="left"/>
    </w:pPr>
    <w:rPr>
      <w:rFonts w:ascii="Times" w:eastAsia="Times" w:hAnsi="Times" w:cs="Times New Roman"/>
      <w:kern w:val="0"/>
      <w:sz w:val="24"/>
      <w:lang w:val="en-GB" w:eastAsia="ja-JP" w:bidi="ar-SA"/>
    </w:rPr>
  </w:style>
  <w:style w:type="character" w:customStyle="1" w:styleId="BodyTextFirstIndentChar">
    <w:name w:val="Body Text First Indent Char"/>
    <w:basedOn w:val="BodyTextChar"/>
    <w:link w:val="BodyTextFirstIndent"/>
    <w:semiHidden/>
    <w:rsid w:val="001E61A6"/>
    <w:rPr>
      <w:rFonts w:ascii="Times" w:eastAsia="Times" w:hAnsi="Times" w:cs="FreeSans"/>
      <w:color w:val="auto"/>
      <w:kern w:val="1"/>
      <w:sz w:val="24"/>
      <w:szCs w:val="24"/>
      <w:lang w:val="es-MX" w:eastAsia="ja-JP" w:bidi="hi-IN"/>
    </w:rPr>
  </w:style>
  <w:style w:type="paragraph" w:styleId="BodyTextIndent">
    <w:name w:val="Body Text Indent"/>
    <w:basedOn w:val="Normal"/>
    <w:link w:val="BodyTextIndentChar"/>
    <w:rsid w:val="001E61A6"/>
    <w:pPr>
      <w:ind w:left="283"/>
    </w:pPr>
    <w:rPr>
      <w:rFonts w:eastAsia="Times"/>
      <w:lang w:eastAsia="ja-JP"/>
    </w:rPr>
  </w:style>
  <w:style w:type="character" w:customStyle="1" w:styleId="BodyTextIndentChar">
    <w:name w:val="Body Text Indent Char"/>
    <w:basedOn w:val="DefaultParagraphFont"/>
    <w:link w:val="BodyTextIndent"/>
    <w:rsid w:val="001E61A6"/>
    <w:rPr>
      <w:rFonts w:ascii="Calibri" w:eastAsia="Times" w:hAnsi="Calibri"/>
      <w:color w:val="auto"/>
      <w:szCs w:val="24"/>
      <w:lang w:eastAsia="ja-JP"/>
    </w:rPr>
  </w:style>
  <w:style w:type="paragraph" w:styleId="BodyTextFirstIndent2">
    <w:name w:val="Body Text First Indent 2"/>
    <w:basedOn w:val="BodyTextIndent"/>
    <w:link w:val="BodyTextFirstIndent2Char"/>
    <w:semiHidden/>
    <w:rsid w:val="001E61A6"/>
    <w:pPr>
      <w:ind w:firstLine="210"/>
    </w:pPr>
  </w:style>
  <w:style w:type="character" w:customStyle="1" w:styleId="BodyTextFirstIndent2Char">
    <w:name w:val="Body Text First Indent 2 Char"/>
    <w:basedOn w:val="BodyTextIndentChar"/>
    <w:link w:val="BodyTextFirstIndent2"/>
    <w:semiHidden/>
    <w:rsid w:val="001E61A6"/>
    <w:rPr>
      <w:rFonts w:ascii="Calibri" w:eastAsia="Times" w:hAnsi="Calibri"/>
      <w:color w:val="auto"/>
      <w:szCs w:val="24"/>
      <w:lang w:eastAsia="ja-JP"/>
    </w:rPr>
  </w:style>
  <w:style w:type="paragraph" w:styleId="BodyTextIndent2">
    <w:name w:val="Body Text Indent 2"/>
    <w:basedOn w:val="Normal"/>
    <w:link w:val="BodyTextIndent2Char"/>
    <w:rsid w:val="001E61A6"/>
    <w:pPr>
      <w:spacing w:line="480" w:lineRule="auto"/>
      <w:ind w:left="283"/>
    </w:pPr>
    <w:rPr>
      <w:rFonts w:eastAsia="Times"/>
      <w:lang w:eastAsia="ja-JP"/>
    </w:rPr>
  </w:style>
  <w:style w:type="character" w:customStyle="1" w:styleId="BodyTextIndent2Char">
    <w:name w:val="Body Text Indent 2 Char"/>
    <w:basedOn w:val="DefaultParagraphFont"/>
    <w:link w:val="BodyTextIndent2"/>
    <w:rsid w:val="001E61A6"/>
    <w:rPr>
      <w:rFonts w:ascii="Calibri" w:eastAsia="Times" w:hAnsi="Calibri"/>
      <w:color w:val="auto"/>
      <w:szCs w:val="24"/>
      <w:lang w:eastAsia="ja-JP"/>
    </w:rPr>
  </w:style>
  <w:style w:type="paragraph" w:styleId="BodyTextIndent3">
    <w:name w:val="Body Text Indent 3"/>
    <w:basedOn w:val="Normal"/>
    <w:link w:val="BodyTextIndent3Char"/>
    <w:rsid w:val="001E61A6"/>
    <w:pPr>
      <w:ind w:left="283"/>
    </w:pPr>
    <w:rPr>
      <w:rFonts w:eastAsia="Times"/>
      <w:sz w:val="16"/>
      <w:szCs w:val="16"/>
      <w:lang w:eastAsia="ja-JP"/>
    </w:rPr>
  </w:style>
  <w:style w:type="character" w:customStyle="1" w:styleId="BodyTextIndent3Char">
    <w:name w:val="Body Text Indent 3 Char"/>
    <w:basedOn w:val="DefaultParagraphFont"/>
    <w:link w:val="BodyTextIndent3"/>
    <w:rsid w:val="001E61A6"/>
    <w:rPr>
      <w:rFonts w:ascii="Calibri" w:eastAsia="Times" w:hAnsi="Calibri"/>
      <w:color w:val="auto"/>
      <w:sz w:val="16"/>
      <w:szCs w:val="16"/>
      <w:lang w:eastAsia="ja-JP"/>
    </w:rPr>
  </w:style>
  <w:style w:type="paragraph" w:styleId="Closing">
    <w:name w:val="Closing"/>
    <w:basedOn w:val="Normal"/>
    <w:link w:val="ClosingChar"/>
    <w:semiHidden/>
    <w:rsid w:val="001E61A6"/>
    <w:pPr>
      <w:ind w:left="4252"/>
    </w:pPr>
    <w:rPr>
      <w:rFonts w:eastAsia="Times"/>
      <w:lang w:eastAsia="ja-JP"/>
    </w:rPr>
  </w:style>
  <w:style w:type="character" w:customStyle="1" w:styleId="ClosingChar">
    <w:name w:val="Closing Char"/>
    <w:basedOn w:val="DefaultParagraphFont"/>
    <w:link w:val="Closing"/>
    <w:semiHidden/>
    <w:rsid w:val="001E61A6"/>
    <w:rPr>
      <w:rFonts w:ascii="Calibri" w:eastAsia="Times" w:hAnsi="Calibri"/>
      <w:color w:val="auto"/>
      <w:szCs w:val="24"/>
      <w:lang w:eastAsia="ja-JP"/>
    </w:rPr>
  </w:style>
  <w:style w:type="paragraph" w:styleId="Date">
    <w:name w:val="Date"/>
    <w:basedOn w:val="Normal"/>
    <w:next w:val="Normal"/>
    <w:link w:val="DateChar"/>
    <w:semiHidden/>
    <w:rsid w:val="001E61A6"/>
    <w:rPr>
      <w:rFonts w:eastAsia="Times"/>
      <w:lang w:eastAsia="ja-JP"/>
    </w:rPr>
  </w:style>
  <w:style w:type="character" w:customStyle="1" w:styleId="DateChar">
    <w:name w:val="Date Char"/>
    <w:basedOn w:val="DefaultParagraphFont"/>
    <w:link w:val="Date"/>
    <w:semiHidden/>
    <w:rsid w:val="001E61A6"/>
    <w:rPr>
      <w:rFonts w:ascii="Calibri" w:eastAsia="Times" w:hAnsi="Calibri"/>
      <w:color w:val="auto"/>
      <w:szCs w:val="24"/>
      <w:lang w:eastAsia="ja-JP"/>
    </w:rPr>
  </w:style>
  <w:style w:type="paragraph" w:styleId="E-mailSignature">
    <w:name w:val="E-mail Signature"/>
    <w:basedOn w:val="Normal"/>
    <w:link w:val="E-mailSignatureChar"/>
    <w:semiHidden/>
    <w:rsid w:val="001E61A6"/>
    <w:rPr>
      <w:rFonts w:eastAsia="Times"/>
      <w:lang w:eastAsia="ja-JP"/>
    </w:rPr>
  </w:style>
  <w:style w:type="character" w:customStyle="1" w:styleId="E-mailSignatureChar">
    <w:name w:val="E-mail Signature Char"/>
    <w:basedOn w:val="DefaultParagraphFont"/>
    <w:link w:val="E-mailSignature"/>
    <w:semiHidden/>
    <w:rsid w:val="001E61A6"/>
    <w:rPr>
      <w:rFonts w:ascii="Calibri" w:eastAsia="Times" w:hAnsi="Calibri"/>
      <w:color w:val="auto"/>
      <w:szCs w:val="24"/>
      <w:lang w:eastAsia="ja-JP"/>
    </w:rPr>
  </w:style>
  <w:style w:type="paragraph" w:styleId="EnvelopeAddress">
    <w:name w:val="envelope address"/>
    <w:basedOn w:val="Normal"/>
    <w:semiHidden/>
    <w:rsid w:val="001E61A6"/>
    <w:pPr>
      <w:framePr w:w="7920" w:h="1980" w:hRule="exact" w:hSpace="180" w:wrap="auto" w:hAnchor="page" w:xAlign="center" w:yAlign="bottom"/>
      <w:ind w:left="2880"/>
    </w:pPr>
    <w:rPr>
      <w:rFonts w:ascii="Arial" w:eastAsia="Times" w:hAnsi="Arial" w:cs="Arial"/>
      <w:lang w:val="en-GB" w:eastAsia="ja-JP"/>
    </w:rPr>
  </w:style>
  <w:style w:type="paragraph" w:styleId="EnvelopeReturn">
    <w:name w:val="envelope return"/>
    <w:basedOn w:val="Normal"/>
    <w:semiHidden/>
    <w:rsid w:val="001E61A6"/>
    <w:rPr>
      <w:rFonts w:ascii="Arial" w:eastAsia="Times" w:hAnsi="Arial" w:cs="Arial"/>
      <w:sz w:val="20"/>
      <w:lang w:eastAsia="ja-JP"/>
    </w:rPr>
  </w:style>
  <w:style w:type="character" w:styleId="HTMLAcronym">
    <w:name w:val="HTML Acronym"/>
    <w:basedOn w:val="DefaultParagraphFont"/>
    <w:semiHidden/>
    <w:rsid w:val="001E61A6"/>
  </w:style>
  <w:style w:type="paragraph" w:styleId="HTMLAddress">
    <w:name w:val="HTML Address"/>
    <w:basedOn w:val="Normal"/>
    <w:link w:val="HTMLAddressChar"/>
    <w:semiHidden/>
    <w:rsid w:val="001E61A6"/>
    <w:rPr>
      <w:rFonts w:eastAsia="Times"/>
      <w:i/>
      <w:iCs/>
      <w:lang w:eastAsia="ja-JP"/>
    </w:rPr>
  </w:style>
  <w:style w:type="character" w:customStyle="1" w:styleId="HTMLAddressChar">
    <w:name w:val="HTML Address Char"/>
    <w:basedOn w:val="DefaultParagraphFont"/>
    <w:link w:val="HTMLAddress"/>
    <w:semiHidden/>
    <w:rsid w:val="001E61A6"/>
    <w:rPr>
      <w:rFonts w:ascii="Calibri" w:eastAsia="Times" w:hAnsi="Calibri"/>
      <w:i/>
      <w:iCs/>
      <w:color w:val="auto"/>
      <w:szCs w:val="24"/>
      <w:lang w:eastAsia="ja-JP"/>
    </w:rPr>
  </w:style>
  <w:style w:type="character" w:styleId="HTMLCode">
    <w:name w:val="HTML Code"/>
    <w:semiHidden/>
    <w:rsid w:val="001E61A6"/>
    <w:rPr>
      <w:rFonts w:ascii="Courier New" w:hAnsi="Courier New" w:cs="Courier New"/>
      <w:sz w:val="20"/>
      <w:szCs w:val="20"/>
    </w:rPr>
  </w:style>
  <w:style w:type="character" w:styleId="HTMLDefinition">
    <w:name w:val="HTML Definition"/>
    <w:semiHidden/>
    <w:rsid w:val="001E61A6"/>
    <w:rPr>
      <w:i/>
      <w:iCs/>
    </w:rPr>
  </w:style>
  <w:style w:type="character" w:styleId="HTMLKeyboard">
    <w:name w:val="HTML Keyboard"/>
    <w:semiHidden/>
    <w:rsid w:val="001E61A6"/>
    <w:rPr>
      <w:rFonts w:ascii="Courier New" w:hAnsi="Courier New" w:cs="Courier New"/>
      <w:sz w:val="20"/>
      <w:szCs w:val="20"/>
    </w:rPr>
  </w:style>
  <w:style w:type="character" w:styleId="HTMLSample">
    <w:name w:val="HTML Sample"/>
    <w:semiHidden/>
    <w:rsid w:val="001E61A6"/>
    <w:rPr>
      <w:rFonts w:ascii="Courier New" w:hAnsi="Courier New" w:cs="Courier New"/>
    </w:rPr>
  </w:style>
  <w:style w:type="character" w:styleId="HTMLTypewriter">
    <w:name w:val="HTML Typewriter"/>
    <w:semiHidden/>
    <w:rsid w:val="001E61A6"/>
    <w:rPr>
      <w:rFonts w:ascii="Courier New" w:hAnsi="Courier New" w:cs="Courier New"/>
      <w:sz w:val="20"/>
      <w:szCs w:val="20"/>
    </w:rPr>
  </w:style>
  <w:style w:type="character" w:styleId="HTMLVariable">
    <w:name w:val="HTML Variable"/>
    <w:semiHidden/>
    <w:rsid w:val="001E61A6"/>
    <w:rPr>
      <w:i/>
      <w:iCs/>
    </w:rPr>
  </w:style>
  <w:style w:type="paragraph" w:styleId="List4">
    <w:name w:val="List 4"/>
    <w:basedOn w:val="Normal"/>
    <w:semiHidden/>
    <w:rsid w:val="001E61A6"/>
    <w:pPr>
      <w:ind w:left="1132" w:hanging="283"/>
    </w:pPr>
    <w:rPr>
      <w:rFonts w:eastAsia="Times"/>
      <w:lang w:eastAsia="ja-JP"/>
    </w:rPr>
  </w:style>
  <w:style w:type="paragraph" w:styleId="List5">
    <w:name w:val="List 5"/>
    <w:basedOn w:val="Normal"/>
    <w:semiHidden/>
    <w:rsid w:val="001E61A6"/>
    <w:pPr>
      <w:ind w:left="1415" w:hanging="283"/>
    </w:pPr>
    <w:rPr>
      <w:rFonts w:eastAsia="Times"/>
      <w:lang w:eastAsia="ja-JP"/>
    </w:rPr>
  </w:style>
  <w:style w:type="paragraph" w:styleId="ListBullet2">
    <w:name w:val="List Bullet 2"/>
    <w:basedOn w:val="Normal"/>
    <w:semiHidden/>
    <w:rsid w:val="001E61A6"/>
    <w:pPr>
      <w:numPr>
        <w:numId w:val="14"/>
      </w:numPr>
    </w:pPr>
    <w:rPr>
      <w:rFonts w:eastAsia="Times"/>
      <w:lang w:eastAsia="ja-JP"/>
    </w:rPr>
  </w:style>
  <w:style w:type="paragraph" w:styleId="ListBullet3">
    <w:name w:val="List Bullet 3"/>
    <w:basedOn w:val="Normal"/>
    <w:semiHidden/>
    <w:rsid w:val="001E61A6"/>
    <w:pPr>
      <w:numPr>
        <w:numId w:val="15"/>
      </w:numPr>
    </w:pPr>
    <w:rPr>
      <w:rFonts w:eastAsia="Times"/>
      <w:lang w:eastAsia="ja-JP"/>
    </w:rPr>
  </w:style>
  <w:style w:type="paragraph" w:styleId="ListBullet4">
    <w:name w:val="List Bullet 4"/>
    <w:basedOn w:val="Normal"/>
    <w:semiHidden/>
    <w:rsid w:val="001E61A6"/>
    <w:pPr>
      <w:numPr>
        <w:numId w:val="16"/>
      </w:numPr>
    </w:pPr>
    <w:rPr>
      <w:rFonts w:eastAsia="Times"/>
      <w:lang w:eastAsia="ja-JP"/>
    </w:rPr>
  </w:style>
  <w:style w:type="paragraph" w:styleId="ListBullet5">
    <w:name w:val="List Bullet 5"/>
    <w:basedOn w:val="Normal"/>
    <w:semiHidden/>
    <w:rsid w:val="001E61A6"/>
    <w:pPr>
      <w:tabs>
        <w:tab w:val="num" w:pos="1492"/>
      </w:tabs>
      <w:ind w:left="1492" w:hanging="360"/>
    </w:pPr>
    <w:rPr>
      <w:rFonts w:eastAsia="Times"/>
      <w:lang w:eastAsia="ja-JP"/>
    </w:rPr>
  </w:style>
  <w:style w:type="paragraph" w:styleId="ListContinue">
    <w:name w:val="List Continue"/>
    <w:basedOn w:val="Normal"/>
    <w:semiHidden/>
    <w:rsid w:val="001E61A6"/>
    <w:pPr>
      <w:ind w:left="283"/>
    </w:pPr>
    <w:rPr>
      <w:rFonts w:eastAsia="Times"/>
      <w:lang w:eastAsia="ja-JP"/>
    </w:rPr>
  </w:style>
  <w:style w:type="paragraph" w:styleId="ListContinue3">
    <w:name w:val="List Continue 3"/>
    <w:basedOn w:val="Normal"/>
    <w:semiHidden/>
    <w:rsid w:val="001E61A6"/>
    <w:pPr>
      <w:ind w:left="849"/>
    </w:pPr>
    <w:rPr>
      <w:rFonts w:eastAsia="Times"/>
      <w:lang w:eastAsia="ja-JP"/>
    </w:rPr>
  </w:style>
  <w:style w:type="paragraph" w:styleId="ListContinue4">
    <w:name w:val="List Continue 4"/>
    <w:basedOn w:val="Normal"/>
    <w:semiHidden/>
    <w:rsid w:val="001E61A6"/>
    <w:pPr>
      <w:ind w:left="1132"/>
    </w:pPr>
    <w:rPr>
      <w:rFonts w:eastAsia="Times"/>
      <w:lang w:eastAsia="ja-JP"/>
    </w:rPr>
  </w:style>
  <w:style w:type="paragraph" w:styleId="ListContinue5">
    <w:name w:val="List Continue 5"/>
    <w:basedOn w:val="Normal"/>
    <w:semiHidden/>
    <w:rsid w:val="001E61A6"/>
    <w:pPr>
      <w:ind w:left="1415"/>
    </w:pPr>
    <w:rPr>
      <w:rFonts w:eastAsia="Times"/>
      <w:lang w:eastAsia="ja-JP"/>
    </w:rPr>
  </w:style>
  <w:style w:type="paragraph" w:styleId="ListNumber2">
    <w:name w:val="List Number 2"/>
    <w:basedOn w:val="Normal"/>
    <w:semiHidden/>
    <w:rsid w:val="001E61A6"/>
    <w:pPr>
      <w:numPr>
        <w:numId w:val="18"/>
      </w:numPr>
    </w:pPr>
    <w:rPr>
      <w:rFonts w:eastAsia="Times"/>
      <w:lang w:eastAsia="ja-JP"/>
    </w:rPr>
  </w:style>
  <w:style w:type="paragraph" w:styleId="ListNumber3">
    <w:name w:val="List Number 3"/>
    <w:basedOn w:val="Normal"/>
    <w:semiHidden/>
    <w:rsid w:val="001E61A6"/>
    <w:pPr>
      <w:numPr>
        <w:numId w:val="19"/>
      </w:numPr>
    </w:pPr>
    <w:rPr>
      <w:rFonts w:eastAsia="Times"/>
      <w:lang w:eastAsia="ja-JP"/>
    </w:rPr>
  </w:style>
  <w:style w:type="paragraph" w:styleId="ListNumber4">
    <w:name w:val="List Number 4"/>
    <w:basedOn w:val="Normal"/>
    <w:semiHidden/>
    <w:rsid w:val="001E61A6"/>
    <w:pPr>
      <w:numPr>
        <w:numId w:val="20"/>
      </w:numPr>
    </w:pPr>
    <w:rPr>
      <w:rFonts w:eastAsia="Times"/>
      <w:lang w:eastAsia="ja-JP"/>
    </w:rPr>
  </w:style>
  <w:style w:type="paragraph" w:styleId="ListNumber5">
    <w:name w:val="List Number 5"/>
    <w:basedOn w:val="Normal"/>
    <w:semiHidden/>
    <w:rsid w:val="001E61A6"/>
    <w:pPr>
      <w:numPr>
        <w:numId w:val="21"/>
      </w:numPr>
    </w:pPr>
    <w:rPr>
      <w:rFonts w:eastAsia="Times"/>
      <w:lang w:eastAsia="ja-JP"/>
    </w:rPr>
  </w:style>
  <w:style w:type="paragraph" w:styleId="MessageHeader">
    <w:name w:val="Message Header"/>
    <w:basedOn w:val="Normal"/>
    <w:link w:val="MessageHeaderChar"/>
    <w:semiHidden/>
    <w:rsid w:val="001E61A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w:hAnsi="Arial" w:cs="Arial"/>
      <w:lang w:eastAsia="ja-JP"/>
    </w:rPr>
  </w:style>
  <w:style w:type="character" w:customStyle="1" w:styleId="MessageHeaderChar">
    <w:name w:val="Message Header Char"/>
    <w:basedOn w:val="DefaultParagraphFont"/>
    <w:link w:val="MessageHeader"/>
    <w:semiHidden/>
    <w:rsid w:val="001E61A6"/>
    <w:rPr>
      <w:rFonts w:ascii="Arial" w:eastAsia="Times" w:hAnsi="Arial" w:cs="Arial"/>
      <w:color w:val="auto"/>
      <w:szCs w:val="24"/>
      <w:shd w:val="pct20" w:color="auto" w:fill="auto"/>
      <w:lang w:eastAsia="ja-JP"/>
    </w:rPr>
  </w:style>
  <w:style w:type="paragraph" w:styleId="NormalIndent">
    <w:name w:val="Normal Indent"/>
    <w:basedOn w:val="Normal"/>
    <w:rsid w:val="001E61A6"/>
    <w:pPr>
      <w:ind w:left="720"/>
    </w:pPr>
    <w:rPr>
      <w:rFonts w:eastAsia="Times"/>
      <w:lang w:val="en-GB" w:eastAsia="ja-JP"/>
    </w:rPr>
  </w:style>
  <w:style w:type="paragraph" w:styleId="NoteHeading">
    <w:name w:val="Note Heading"/>
    <w:basedOn w:val="Normal"/>
    <w:next w:val="Normal"/>
    <w:link w:val="NoteHeadingChar"/>
    <w:semiHidden/>
    <w:rsid w:val="001E61A6"/>
    <w:rPr>
      <w:rFonts w:eastAsia="Times"/>
      <w:lang w:eastAsia="ja-JP"/>
    </w:rPr>
  </w:style>
  <w:style w:type="character" w:customStyle="1" w:styleId="NoteHeadingChar">
    <w:name w:val="Note Heading Char"/>
    <w:basedOn w:val="DefaultParagraphFont"/>
    <w:link w:val="NoteHeading"/>
    <w:semiHidden/>
    <w:rsid w:val="001E61A6"/>
    <w:rPr>
      <w:rFonts w:ascii="Calibri" w:eastAsia="Times" w:hAnsi="Calibri"/>
      <w:color w:val="auto"/>
      <w:szCs w:val="24"/>
      <w:lang w:eastAsia="ja-JP"/>
    </w:rPr>
  </w:style>
  <w:style w:type="paragraph" w:styleId="Salutation">
    <w:name w:val="Salutation"/>
    <w:basedOn w:val="Normal"/>
    <w:next w:val="Normal"/>
    <w:link w:val="SalutationChar"/>
    <w:semiHidden/>
    <w:rsid w:val="001E61A6"/>
    <w:rPr>
      <w:rFonts w:eastAsia="Times"/>
      <w:lang w:eastAsia="ja-JP"/>
    </w:rPr>
  </w:style>
  <w:style w:type="character" w:customStyle="1" w:styleId="SalutationChar">
    <w:name w:val="Salutation Char"/>
    <w:basedOn w:val="DefaultParagraphFont"/>
    <w:link w:val="Salutation"/>
    <w:semiHidden/>
    <w:rsid w:val="001E61A6"/>
    <w:rPr>
      <w:rFonts w:ascii="Calibri" w:eastAsia="Times" w:hAnsi="Calibri"/>
      <w:color w:val="auto"/>
      <w:szCs w:val="24"/>
      <w:lang w:eastAsia="ja-JP"/>
    </w:rPr>
  </w:style>
  <w:style w:type="paragraph" w:styleId="Signature">
    <w:name w:val="Signature"/>
    <w:basedOn w:val="Normal"/>
    <w:link w:val="SignatureChar"/>
    <w:semiHidden/>
    <w:rsid w:val="001E61A6"/>
    <w:pPr>
      <w:ind w:left="4252"/>
    </w:pPr>
    <w:rPr>
      <w:rFonts w:eastAsia="Times"/>
      <w:lang w:eastAsia="ja-JP"/>
    </w:rPr>
  </w:style>
  <w:style w:type="character" w:customStyle="1" w:styleId="SignatureChar">
    <w:name w:val="Signature Char"/>
    <w:basedOn w:val="DefaultParagraphFont"/>
    <w:link w:val="Signature"/>
    <w:semiHidden/>
    <w:rsid w:val="001E61A6"/>
    <w:rPr>
      <w:rFonts w:ascii="Calibri" w:eastAsia="Times" w:hAnsi="Calibri"/>
      <w:color w:val="auto"/>
      <w:szCs w:val="24"/>
      <w:lang w:eastAsia="ja-JP"/>
    </w:rPr>
  </w:style>
  <w:style w:type="paragraph" w:customStyle="1" w:styleId="PargrafodaLista1">
    <w:name w:val="Parágrafo da Lista1"/>
    <w:basedOn w:val="Normal"/>
    <w:qFormat/>
    <w:rsid w:val="001E61A6"/>
    <w:pPr>
      <w:ind w:left="708"/>
    </w:pPr>
    <w:rPr>
      <w:rFonts w:eastAsia="Times"/>
      <w:lang w:val="en-GB" w:eastAsia="ja-JP"/>
    </w:rPr>
  </w:style>
  <w:style w:type="table" w:styleId="Table3Deffects1">
    <w:name w:val="Table 3D effects 1"/>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000080"/>
      <w:sz w:val="24"/>
      <w:szCs w:val="24"/>
      <w:lang w:val="pt-BR"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FFFFFF"/>
      <w:sz w:val="24"/>
      <w:szCs w:val="24"/>
      <w:lang w:val="pt-BR"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b/>
      <w:bCs/>
      <w:color w:val="auto"/>
      <w:sz w:val="24"/>
      <w:szCs w:val="24"/>
      <w:lang w:val="pt-BR"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b/>
      <w:bCs/>
      <w:color w:val="auto"/>
      <w:sz w:val="24"/>
      <w:szCs w:val="24"/>
      <w:lang w:val="pt-BR"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b/>
      <w:bCs/>
      <w:color w:val="auto"/>
      <w:sz w:val="24"/>
      <w:szCs w:val="24"/>
      <w:lang w:val="pt-BR"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b/>
      <w:bCs/>
      <w:color w:val="auto"/>
      <w:sz w:val="24"/>
      <w:szCs w:val="24"/>
      <w:lang w:val="pt-BR"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ibliography1">
    <w:name w:val="Bibliography1"/>
    <w:basedOn w:val="Normal"/>
    <w:rsid w:val="001E61A6"/>
    <w:pPr>
      <w:spacing w:after="240"/>
      <w:ind w:left="720" w:hanging="720"/>
    </w:pPr>
    <w:rPr>
      <w:lang w:val="de-AT" w:eastAsia="de-AT"/>
    </w:rPr>
  </w:style>
  <w:style w:type="character" w:customStyle="1" w:styleId="hityear">
    <w:name w:val="hit_year"/>
    <w:basedOn w:val="DefaultParagraphFont"/>
    <w:rsid w:val="001E61A6"/>
  </w:style>
  <w:style w:type="character" w:customStyle="1" w:styleId="detailcaption">
    <w:name w:val="detail_caption"/>
    <w:basedOn w:val="DefaultParagraphFont"/>
    <w:rsid w:val="001E61A6"/>
  </w:style>
  <w:style w:type="paragraph" w:customStyle="1" w:styleId="AR4bodytext">
    <w:name w:val="AR4 body text"/>
    <w:basedOn w:val="Normal"/>
    <w:semiHidden/>
    <w:rsid w:val="001E61A6"/>
    <w:rPr>
      <w:lang w:eastAsia="ja-JP"/>
    </w:rPr>
  </w:style>
  <w:style w:type="paragraph" w:customStyle="1" w:styleId="AR5BodyText">
    <w:name w:val="AR5 Body Text"/>
    <w:basedOn w:val="Normal"/>
    <w:link w:val="AR5BodyTextChar"/>
    <w:uiPriority w:val="99"/>
    <w:rsid w:val="001E61A6"/>
    <w:pPr>
      <w:spacing w:after="120"/>
    </w:pPr>
    <w:rPr>
      <w:rFonts w:eastAsia="Calibri"/>
      <w:lang w:val="en-GB" w:eastAsia="ja-JP"/>
    </w:rPr>
  </w:style>
  <w:style w:type="character" w:customStyle="1" w:styleId="AR5BodyTextChar">
    <w:name w:val="AR5 Body Text Char"/>
    <w:link w:val="AR5BodyText"/>
    <w:uiPriority w:val="99"/>
    <w:locked/>
    <w:rsid w:val="001E61A6"/>
    <w:rPr>
      <w:rFonts w:ascii="Calibri" w:eastAsia="Calibri" w:hAnsi="Calibri"/>
      <w:color w:val="auto"/>
      <w:szCs w:val="24"/>
      <w:lang w:eastAsia="ja-JP"/>
    </w:rPr>
  </w:style>
  <w:style w:type="paragraph" w:customStyle="1" w:styleId="Bibliografia1">
    <w:name w:val="Bibliografia1"/>
    <w:basedOn w:val="Normal"/>
    <w:next w:val="Normal"/>
    <w:uiPriority w:val="37"/>
    <w:unhideWhenUsed/>
    <w:rsid w:val="001E61A6"/>
    <w:pPr>
      <w:spacing w:after="240"/>
    </w:pPr>
    <w:rPr>
      <w:rFonts w:eastAsia="Times"/>
      <w:lang w:val="en-GB" w:eastAsia="ja-JP"/>
    </w:rPr>
  </w:style>
  <w:style w:type="paragraph" w:customStyle="1" w:styleId="Bibliography2">
    <w:name w:val="Bibliography2"/>
    <w:basedOn w:val="BodyText"/>
    <w:rsid w:val="001E61A6"/>
    <w:pPr>
      <w:widowControl/>
      <w:suppressAutoHyphens w:val="0"/>
      <w:ind w:left="720" w:hanging="720"/>
      <w:jc w:val="left"/>
    </w:pPr>
    <w:rPr>
      <w:rFonts w:eastAsia="Calibri" w:cs="Times New Roman"/>
      <w:kern w:val="0"/>
      <w:lang w:val="en-GB" w:eastAsia="ja-JP" w:bidi="ar-SA"/>
    </w:rPr>
  </w:style>
  <w:style w:type="paragraph" w:customStyle="1" w:styleId="AbbBeschriftungZchnZchnZchnZchnZchnZchn">
    <w:name w:val="Abb_Beschriftung Zchn Zchn Zchn Zchn Zchn Zchn"/>
    <w:basedOn w:val="Normal"/>
    <w:rsid w:val="001E61A6"/>
    <w:pPr>
      <w:spacing w:before="60" w:after="160" w:line="240" w:lineRule="exact"/>
    </w:pPr>
    <w:rPr>
      <w:rFonts w:ascii="Tahoma" w:hAnsi="Tahoma" w:cs="Tahoma"/>
      <w:sz w:val="20"/>
    </w:rPr>
  </w:style>
  <w:style w:type="character" w:customStyle="1" w:styleId="AR5TableCaptionTextChar">
    <w:name w:val="AR5 Table Caption Text Char"/>
    <w:basedOn w:val="AR5FigureCaptionTextCharChar"/>
    <w:link w:val="AR5TableCaptionText"/>
    <w:uiPriority w:val="99"/>
    <w:rsid w:val="001E61A6"/>
    <w:rPr>
      <w:rFonts w:ascii="Arial" w:eastAsia="Calibri" w:hAnsi="Arial"/>
      <w:color w:val="auto"/>
      <w:sz w:val="20"/>
      <w:szCs w:val="24"/>
      <w:lang w:eastAsia="ja-JP"/>
    </w:rPr>
  </w:style>
  <w:style w:type="paragraph" w:styleId="Bibliography">
    <w:name w:val="Bibliography"/>
    <w:basedOn w:val="Normal"/>
    <w:next w:val="Normal"/>
    <w:uiPriority w:val="37"/>
    <w:unhideWhenUsed/>
    <w:rsid w:val="001E61A6"/>
    <w:rPr>
      <w:rFonts w:eastAsia="Times"/>
      <w:lang w:val="en-GB" w:eastAsia="ja-JP"/>
    </w:rPr>
  </w:style>
  <w:style w:type="character" w:customStyle="1" w:styleId="journal">
    <w:name w:val="journal"/>
    <w:basedOn w:val="DefaultParagraphFont"/>
    <w:rsid w:val="001E61A6"/>
  </w:style>
  <w:style w:type="character" w:customStyle="1" w:styleId="citationnum">
    <w:name w:val="citationnum"/>
    <w:basedOn w:val="DefaultParagraphFont"/>
    <w:rsid w:val="001E61A6"/>
  </w:style>
  <w:style w:type="paragraph" w:customStyle="1" w:styleId="para">
    <w:name w:val="para"/>
    <w:basedOn w:val="Normal"/>
    <w:rsid w:val="001E61A6"/>
    <w:pPr>
      <w:spacing w:before="100" w:beforeAutospacing="1" w:after="100" w:afterAutospacing="1"/>
    </w:pPr>
    <w:rPr>
      <w:lang w:val="es-AR" w:eastAsia="es-AR"/>
    </w:rPr>
  </w:style>
  <w:style w:type="character" w:customStyle="1" w:styleId="citationref">
    <w:name w:val="citationref"/>
    <w:rsid w:val="001E61A6"/>
  </w:style>
  <w:style w:type="character" w:customStyle="1" w:styleId="shorttext">
    <w:name w:val="short_text"/>
    <w:rsid w:val="001E61A6"/>
  </w:style>
  <w:style w:type="character" w:customStyle="1" w:styleId="hps">
    <w:name w:val="hps"/>
    <w:rsid w:val="001E61A6"/>
  </w:style>
  <w:style w:type="paragraph" w:customStyle="1" w:styleId="References">
    <w:name w:val="References"/>
    <w:basedOn w:val="Normal"/>
    <w:link w:val="ReferencesChar"/>
    <w:qFormat/>
    <w:rsid w:val="001E61A6"/>
    <w:pPr>
      <w:keepLines/>
      <w:widowControl w:val="0"/>
      <w:spacing w:line="480" w:lineRule="auto"/>
      <w:ind w:left="720" w:hanging="720"/>
    </w:pPr>
    <w:rPr>
      <w:rFonts w:eastAsiaTheme="minorHAnsi"/>
    </w:rPr>
  </w:style>
  <w:style w:type="character" w:customStyle="1" w:styleId="ReferencesChar">
    <w:name w:val="References Char"/>
    <w:basedOn w:val="DefaultParagraphFont"/>
    <w:link w:val="References"/>
    <w:rsid w:val="001E61A6"/>
    <w:rPr>
      <w:rFonts w:eastAsiaTheme="minorHAnsi"/>
      <w:color w:val="auto"/>
      <w:sz w:val="24"/>
      <w:szCs w:val="24"/>
      <w:lang w:val="en-US" w:eastAsia="en-US"/>
    </w:rPr>
  </w:style>
  <w:style w:type="paragraph" w:customStyle="1" w:styleId="BibRef10pt">
    <w:name w:val="Bib Ref 10pt"/>
    <w:basedOn w:val="Normal"/>
    <w:rsid w:val="001E61A6"/>
    <w:pPr>
      <w:ind w:left="720" w:right="-115" w:hanging="720"/>
    </w:pPr>
    <w:rPr>
      <w:rFonts w:ascii="CG Times (WN)" w:hAnsi="CG Times (WN)"/>
      <w:sz w:val="20"/>
      <w:szCs w:val="20"/>
    </w:rPr>
  </w:style>
  <w:style w:type="character" w:customStyle="1" w:styleId="SubtitleChar">
    <w:name w:val="Subtitle Char"/>
    <w:basedOn w:val="DefaultParagraphFont"/>
    <w:link w:val="Subtitle"/>
    <w:uiPriority w:val="11"/>
    <w:rsid w:val="001E61A6"/>
    <w:rPr>
      <w:rFonts w:ascii="Trebuchet MS" w:eastAsia="Trebuchet MS" w:hAnsi="Trebuchet MS" w:cs="Trebuchet MS"/>
      <w:i/>
      <w:color w:val="666666"/>
      <w:sz w:val="26"/>
      <w:szCs w:val="26"/>
    </w:rPr>
  </w:style>
  <w:style w:type="paragraph" w:customStyle="1" w:styleId="volissue">
    <w:name w:val="volissue"/>
    <w:basedOn w:val="Normal"/>
    <w:rsid w:val="001E61A6"/>
    <w:pPr>
      <w:spacing w:before="100" w:beforeAutospacing="1" w:after="100" w:afterAutospacing="1"/>
    </w:pPr>
    <w:rPr>
      <w:lang w:val="es-UY" w:eastAsia="es-UY"/>
    </w:rPr>
  </w:style>
  <w:style w:type="paragraph" w:styleId="Index2">
    <w:name w:val="index 2"/>
    <w:basedOn w:val="Normal"/>
    <w:next w:val="Normal"/>
    <w:autoRedefine/>
    <w:uiPriority w:val="99"/>
    <w:unhideWhenUsed/>
    <w:rsid w:val="001E61A6"/>
    <w:pPr>
      <w:ind w:left="440" w:hanging="220"/>
    </w:pPr>
    <w:rPr>
      <w:rFonts w:eastAsia="Times"/>
      <w:lang w:val="en-GB" w:eastAsia="ja-JP"/>
    </w:rPr>
  </w:style>
  <w:style w:type="paragraph" w:styleId="Index3">
    <w:name w:val="index 3"/>
    <w:basedOn w:val="Normal"/>
    <w:next w:val="Normal"/>
    <w:autoRedefine/>
    <w:uiPriority w:val="99"/>
    <w:unhideWhenUsed/>
    <w:rsid w:val="001E61A6"/>
    <w:pPr>
      <w:ind w:left="660" w:hanging="220"/>
    </w:pPr>
    <w:rPr>
      <w:rFonts w:eastAsia="Times"/>
      <w:lang w:val="en-GB" w:eastAsia="ja-JP"/>
    </w:rPr>
  </w:style>
  <w:style w:type="paragraph" w:styleId="Index4">
    <w:name w:val="index 4"/>
    <w:basedOn w:val="Normal"/>
    <w:next w:val="Normal"/>
    <w:autoRedefine/>
    <w:uiPriority w:val="99"/>
    <w:unhideWhenUsed/>
    <w:rsid w:val="001E61A6"/>
    <w:pPr>
      <w:ind w:left="880" w:hanging="220"/>
    </w:pPr>
    <w:rPr>
      <w:rFonts w:eastAsia="Times"/>
      <w:lang w:val="en-GB" w:eastAsia="ja-JP"/>
    </w:rPr>
  </w:style>
  <w:style w:type="paragraph" w:styleId="Index5">
    <w:name w:val="index 5"/>
    <w:basedOn w:val="Normal"/>
    <w:next w:val="Normal"/>
    <w:autoRedefine/>
    <w:uiPriority w:val="99"/>
    <w:unhideWhenUsed/>
    <w:rsid w:val="001E61A6"/>
    <w:pPr>
      <w:ind w:left="1100" w:hanging="220"/>
    </w:pPr>
    <w:rPr>
      <w:rFonts w:eastAsia="Times"/>
      <w:lang w:val="en-GB" w:eastAsia="ja-JP"/>
    </w:rPr>
  </w:style>
  <w:style w:type="paragraph" w:styleId="Index6">
    <w:name w:val="index 6"/>
    <w:basedOn w:val="Normal"/>
    <w:next w:val="Normal"/>
    <w:autoRedefine/>
    <w:uiPriority w:val="99"/>
    <w:unhideWhenUsed/>
    <w:rsid w:val="001E61A6"/>
    <w:pPr>
      <w:ind w:left="1320" w:hanging="220"/>
    </w:pPr>
    <w:rPr>
      <w:rFonts w:eastAsia="Times"/>
      <w:lang w:val="en-GB" w:eastAsia="ja-JP"/>
    </w:rPr>
  </w:style>
  <w:style w:type="paragraph" w:styleId="Index7">
    <w:name w:val="index 7"/>
    <w:basedOn w:val="Normal"/>
    <w:next w:val="Normal"/>
    <w:autoRedefine/>
    <w:uiPriority w:val="99"/>
    <w:unhideWhenUsed/>
    <w:rsid w:val="001E61A6"/>
    <w:pPr>
      <w:ind w:left="1540" w:hanging="220"/>
    </w:pPr>
    <w:rPr>
      <w:rFonts w:eastAsia="Times"/>
      <w:lang w:val="en-GB" w:eastAsia="ja-JP"/>
    </w:rPr>
  </w:style>
  <w:style w:type="paragraph" w:styleId="Index8">
    <w:name w:val="index 8"/>
    <w:basedOn w:val="Normal"/>
    <w:next w:val="Normal"/>
    <w:autoRedefine/>
    <w:uiPriority w:val="99"/>
    <w:unhideWhenUsed/>
    <w:rsid w:val="001E61A6"/>
    <w:pPr>
      <w:ind w:left="1760" w:hanging="220"/>
    </w:pPr>
    <w:rPr>
      <w:rFonts w:eastAsia="Times"/>
      <w:lang w:val="en-GB" w:eastAsia="ja-JP"/>
    </w:rPr>
  </w:style>
  <w:style w:type="paragraph" w:styleId="Index9">
    <w:name w:val="index 9"/>
    <w:basedOn w:val="Normal"/>
    <w:next w:val="Normal"/>
    <w:autoRedefine/>
    <w:uiPriority w:val="99"/>
    <w:unhideWhenUsed/>
    <w:rsid w:val="001E61A6"/>
    <w:pPr>
      <w:ind w:left="1980" w:hanging="220"/>
    </w:pPr>
    <w:rPr>
      <w:rFonts w:eastAsia="Times"/>
      <w:lang w:val="en-GB" w:eastAsia="ja-JP"/>
    </w:rPr>
  </w:style>
  <w:style w:type="paragraph" w:styleId="IndexHeading">
    <w:name w:val="index heading"/>
    <w:basedOn w:val="Normal"/>
    <w:next w:val="Index1"/>
    <w:uiPriority w:val="99"/>
    <w:unhideWhenUsed/>
    <w:rsid w:val="001E61A6"/>
    <w:rPr>
      <w:rFonts w:eastAsia="Times"/>
      <w:lang w:val="en-GB" w:eastAsia="ja-JP"/>
    </w:rPr>
  </w:style>
  <w:style w:type="table" w:styleId="LightShading-Accent1">
    <w:name w:val="Light Shading Accent 1"/>
    <w:basedOn w:val="TableNormal"/>
    <w:uiPriority w:val="30"/>
    <w:qFormat/>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365F91" w:themeColor="accent1" w:themeShade="BF"/>
      <w:sz w:val="24"/>
      <w:szCs w:val="24"/>
      <w:lang w:val="pt-BR"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List1">
    <w:name w:val="Medium List 1"/>
    <w:basedOn w:val="TableNormal"/>
    <w:uiPriority w:val="60"/>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000000" w:themeColor="text1"/>
      <w:sz w:val="24"/>
      <w:szCs w:val="24"/>
      <w:lang w:val="pt-BR" w:eastAsia="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ColorfulList">
    <w:name w:val="Colorful List"/>
    <w:basedOn w:val="TableNormal"/>
    <w:uiPriority w:val="34"/>
    <w:qFormat/>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000000" w:themeColor="text1"/>
      <w:sz w:val="24"/>
      <w:szCs w:val="24"/>
      <w:lang w:val="pt-BR" w:eastAsia="en-US"/>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character" w:customStyle="1" w:styleId="s1">
    <w:name w:val="s1"/>
    <w:basedOn w:val="DefaultParagraphFont"/>
    <w:rsid w:val="001E61A6"/>
    <w:rPr>
      <w:shd w:val="clear" w:color="auto" w:fill="FFFB00"/>
    </w:rPr>
  </w:style>
  <w:style w:type="table" w:styleId="MediumList2-Accent1">
    <w:name w:val="Medium List 2 Accent 1"/>
    <w:basedOn w:val="TableNormal"/>
    <w:uiPriority w:val="61"/>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Theme="majorHAnsi" w:eastAsiaTheme="majorEastAsia" w:hAnsiTheme="majorHAnsi" w:cstheme="majorBidi"/>
      <w:color w:val="000000" w:themeColor="text1"/>
      <w:sz w:val="24"/>
      <w:szCs w:val="24"/>
      <w:lang w:val="pt-BR"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List-Accent1">
    <w:name w:val="Light List Accent 1"/>
    <w:basedOn w:val="TableNormal"/>
    <w:uiPriority w:val="66"/>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sz w:val="24"/>
      <w:szCs w:val="24"/>
      <w:lang w:val="pt-BR"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List1-Accent5">
    <w:name w:val="Medium List 1 Accent 5"/>
    <w:basedOn w:val="TableNormal"/>
    <w:uiPriority w:val="60"/>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000000" w:themeColor="text1"/>
      <w:sz w:val="24"/>
      <w:szCs w:val="24"/>
      <w:lang w:val="pt-BR" w:eastAsia="en-US"/>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character" w:customStyle="1" w:styleId="alt-edited">
    <w:name w:val="alt-edited"/>
    <w:basedOn w:val="DefaultParagraphFont"/>
    <w:rsid w:val="001E61A6"/>
  </w:style>
  <w:style w:type="character" w:customStyle="1" w:styleId="cit">
    <w:name w:val="cit"/>
    <w:basedOn w:val="DefaultParagraphFont"/>
    <w:rsid w:val="001E61A6"/>
  </w:style>
  <w:style w:type="character" w:customStyle="1" w:styleId="MenoPendente1">
    <w:name w:val="Menção Pendente1"/>
    <w:basedOn w:val="DefaultParagraphFont"/>
    <w:uiPriority w:val="99"/>
    <w:semiHidden/>
    <w:unhideWhenUsed/>
    <w:rsid w:val="001E61A6"/>
    <w:rPr>
      <w:color w:val="808080"/>
      <w:shd w:val="clear" w:color="auto" w:fill="E6E6E6"/>
    </w:rPr>
  </w:style>
  <w:style w:type="character" w:customStyle="1" w:styleId="UnresolvedMention1">
    <w:name w:val="Unresolved Mention1"/>
    <w:basedOn w:val="DefaultParagraphFont"/>
    <w:uiPriority w:val="99"/>
    <w:semiHidden/>
    <w:unhideWhenUsed/>
    <w:rsid w:val="001E61A6"/>
    <w:rPr>
      <w:color w:val="808080"/>
      <w:shd w:val="clear" w:color="auto" w:fill="E6E6E6"/>
    </w:rPr>
  </w:style>
  <w:style w:type="table" w:customStyle="1" w:styleId="Tabelacomgrade1">
    <w:name w:val="Tabela com grade1"/>
    <w:basedOn w:val="TableNormal"/>
    <w:next w:val="TableGrid"/>
    <w:uiPriority w:val="59"/>
    <w:rsid w:val="001E61A6"/>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Theme="minorEastAsia" w:hAnsi="Calibri"/>
      <w:color w:val="auto"/>
      <w:sz w:val="24"/>
      <w:szCs w:val="24"/>
      <w:lang w:val="pt-B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2">
    <w:name w:val="CH2"/>
    <w:basedOn w:val="Normal"/>
    <w:next w:val="Normal"/>
    <w:link w:val="CH2Char"/>
    <w:rsid w:val="00CE379B"/>
    <w:pPr>
      <w:keepNext/>
      <w:keepLines/>
      <w:tabs>
        <w:tab w:val="right" w:pos="851"/>
        <w:tab w:val="left" w:pos="1247"/>
        <w:tab w:val="left" w:pos="1814"/>
        <w:tab w:val="left" w:pos="2381"/>
        <w:tab w:val="left" w:pos="2948"/>
        <w:tab w:val="left" w:pos="3515"/>
        <w:tab w:val="left" w:pos="4082"/>
      </w:tabs>
      <w:suppressAutoHyphens/>
      <w:spacing w:before="80" w:after="120"/>
      <w:ind w:left="1247" w:right="284" w:hanging="1247"/>
    </w:pPr>
    <w:rPr>
      <w:b/>
      <w:lang w:val="en-GB"/>
    </w:rPr>
  </w:style>
  <w:style w:type="paragraph" w:customStyle="1" w:styleId="Normal-pool">
    <w:name w:val="Normal-pool"/>
    <w:link w:val="Normal-poolChar"/>
    <w:qFormat/>
    <w:rsid w:val="00CE379B"/>
    <w:pPr>
      <w:pBdr>
        <w:top w:val="none" w:sz="0" w:space="0" w:color="auto"/>
        <w:left w:val="none" w:sz="0" w:space="0" w:color="auto"/>
        <w:bottom w:val="none" w:sz="0" w:space="0" w:color="auto"/>
        <w:right w:val="none" w:sz="0" w:space="0" w:color="auto"/>
        <w:between w:val="none" w:sz="0" w:space="0" w:color="auto"/>
      </w:pBdr>
      <w:tabs>
        <w:tab w:val="left" w:pos="4082"/>
      </w:tabs>
      <w:spacing w:after="0"/>
      <w:jc w:val="left"/>
    </w:pPr>
    <w:rPr>
      <w:color w:val="auto"/>
      <w:sz w:val="20"/>
      <w:szCs w:val="20"/>
      <w:lang w:eastAsia="en-US"/>
    </w:rPr>
  </w:style>
  <w:style w:type="character" w:customStyle="1" w:styleId="Normal-poolChar">
    <w:name w:val="Normal-pool Char"/>
    <w:link w:val="Normal-pool"/>
    <w:rsid w:val="00CE379B"/>
    <w:rPr>
      <w:color w:val="auto"/>
      <w:sz w:val="20"/>
      <w:szCs w:val="20"/>
      <w:lang w:eastAsia="en-US"/>
    </w:rPr>
  </w:style>
  <w:style w:type="character" w:customStyle="1" w:styleId="CH2Char">
    <w:name w:val="CH2 Char"/>
    <w:link w:val="CH2"/>
    <w:rsid w:val="00CE379B"/>
    <w:rPr>
      <w:b/>
      <w:color w:val="auto"/>
      <w:sz w:val="24"/>
      <w:szCs w:val="24"/>
      <w:lang w:eastAsia="en-US"/>
    </w:rPr>
  </w:style>
  <w:style w:type="paragraph" w:customStyle="1" w:styleId="Normalnumber">
    <w:name w:val="Normal_number"/>
    <w:basedOn w:val="Normal-pool"/>
    <w:link w:val="NormalnumberChar"/>
    <w:qFormat/>
    <w:rsid w:val="00CE379B"/>
    <w:pPr>
      <w:numPr>
        <w:numId w:val="27"/>
      </w:numPr>
      <w:tabs>
        <w:tab w:val="clear" w:pos="1247"/>
        <w:tab w:val="clear" w:pos="1814"/>
        <w:tab w:val="clear" w:pos="2381"/>
        <w:tab w:val="clear" w:pos="2948"/>
        <w:tab w:val="clear" w:pos="3515"/>
        <w:tab w:val="clear" w:pos="4082"/>
        <w:tab w:val="left" w:pos="624"/>
      </w:tabs>
      <w:spacing w:after="120"/>
      <w:ind w:left="1247" w:firstLine="0"/>
    </w:pPr>
  </w:style>
  <w:style w:type="character" w:customStyle="1" w:styleId="NormalnumberChar">
    <w:name w:val="Normal_number Char"/>
    <w:link w:val="Normalnumber"/>
    <w:rsid w:val="00CE379B"/>
    <w:rPr>
      <w:color w:val="auto"/>
      <w:sz w:val="20"/>
      <w:szCs w:val="20"/>
      <w:lang w:eastAsia="en-US"/>
    </w:rPr>
  </w:style>
  <w:style w:type="paragraph" w:customStyle="1" w:styleId="AATitle">
    <w:name w:val="AA_Title"/>
    <w:basedOn w:val="Normal"/>
    <w:rsid w:val="00CE379B"/>
    <w:pPr>
      <w:keepNext/>
      <w:keepLines/>
      <w:tabs>
        <w:tab w:val="left" w:pos="1247"/>
        <w:tab w:val="left" w:pos="1814"/>
        <w:tab w:val="left" w:pos="2381"/>
        <w:tab w:val="left" w:pos="2948"/>
        <w:tab w:val="left" w:pos="3515"/>
        <w:tab w:val="left" w:pos="4082"/>
      </w:tabs>
      <w:suppressAutoHyphens/>
      <w:ind w:right="5103"/>
    </w:pPr>
    <w:rPr>
      <w:b/>
      <w:sz w:val="20"/>
      <w:szCs w:val="20"/>
      <w:lang w:val="en-GB"/>
    </w:rPr>
  </w:style>
  <w:style w:type="paragraph" w:customStyle="1" w:styleId="AATitle2">
    <w:name w:val="AA_Title2"/>
    <w:basedOn w:val="AATitle"/>
    <w:rsid w:val="00CE379B"/>
    <w:pPr>
      <w:tabs>
        <w:tab w:val="clear" w:pos="4082"/>
      </w:tabs>
      <w:spacing w:before="60" w:after="60"/>
      <w:ind w:right="4536"/>
    </w:pPr>
  </w:style>
  <w:style w:type="paragraph" w:customStyle="1" w:styleId="BBTitle">
    <w:name w:val="BB_Title"/>
    <w:basedOn w:val="Normal"/>
    <w:rsid w:val="00CE379B"/>
    <w:pPr>
      <w:keepNext/>
      <w:keepLines/>
      <w:tabs>
        <w:tab w:val="left" w:pos="1247"/>
        <w:tab w:val="left" w:pos="1814"/>
        <w:tab w:val="left" w:pos="2381"/>
        <w:tab w:val="left" w:pos="2948"/>
        <w:tab w:val="left" w:pos="3515"/>
        <w:tab w:val="left" w:pos="4082"/>
      </w:tabs>
      <w:suppressAutoHyphens/>
      <w:spacing w:before="320" w:after="240"/>
      <w:ind w:left="1247" w:right="567"/>
    </w:pPr>
    <w:rPr>
      <w:b/>
      <w:sz w:val="28"/>
      <w:szCs w:val="28"/>
      <w:lang w:val="en-GB"/>
    </w:rPr>
  </w:style>
  <w:style w:type="paragraph" w:customStyle="1" w:styleId="ZZAnxheader">
    <w:name w:val="ZZ_Anx_header"/>
    <w:basedOn w:val="Normal"/>
    <w:rsid w:val="00CE379B"/>
    <w:pPr>
      <w:tabs>
        <w:tab w:val="left" w:pos="1247"/>
        <w:tab w:val="left" w:pos="1814"/>
        <w:tab w:val="left" w:pos="2381"/>
        <w:tab w:val="left" w:pos="2948"/>
        <w:tab w:val="left" w:pos="3515"/>
        <w:tab w:val="left" w:pos="4082"/>
      </w:tabs>
    </w:pPr>
    <w:rPr>
      <w:b/>
      <w:bCs/>
      <w:sz w:val="28"/>
      <w:szCs w:val="22"/>
      <w:lang w:val="en-GB"/>
    </w:rPr>
  </w:style>
  <w:style w:type="paragraph" w:customStyle="1" w:styleId="ZZAnxtitle">
    <w:name w:val="ZZ_Anx_title"/>
    <w:basedOn w:val="Normal"/>
    <w:rsid w:val="00CE379B"/>
    <w:pPr>
      <w:tabs>
        <w:tab w:val="left" w:pos="1247"/>
        <w:tab w:val="left" w:pos="1814"/>
        <w:tab w:val="left" w:pos="2381"/>
        <w:tab w:val="left" w:pos="2948"/>
        <w:tab w:val="left" w:pos="3515"/>
        <w:tab w:val="left" w:pos="4082"/>
      </w:tabs>
      <w:spacing w:before="360" w:after="120"/>
      <w:ind w:left="1247"/>
    </w:pPr>
    <w:rPr>
      <w:b/>
      <w:bCs/>
      <w:sz w:val="28"/>
      <w:szCs w:val="26"/>
      <w:lang w:val="en-GB"/>
    </w:rPr>
  </w:style>
  <w:style w:type="character" w:customStyle="1" w:styleId="UnresolvedMention2">
    <w:name w:val="Unresolved Mention2"/>
    <w:basedOn w:val="DefaultParagraphFont"/>
    <w:uiPriority w:val="99"/>
    <w:semiHidden/>
    <w:unhideWhenUsed/>
    <w:rsid w:val="00CD384D"/>
    <w:rPr>
      <w:color w:val="808080"/>
      <w:shd w:val="clear" w:color="auto" w:fill="E6E6E6"/>
    </w:rPr>
  </w:style>
  <w:style w:type="character" w:customStyle="1" w:styleId="articletitle">
    <w:name w:val="articletitle"/>
    <w:basedOn w:val="DefaultParagraphFont"/>
    <w:rsid w:val="002F542E"/>
  </w:style>
  <w:style w:type="character" w:customStyle="1" w:styleId="vol">
    <w:name w:val="vol"/>
    <w:basedOn w:val="DefaultParagraphFont"/>
    <w:rsid w:val="002F542E"/>
  </w:style>
  <w:style w:type="character" w:customStyle="1" w:styleId="TitleChar">
    <w:name w:val="Title Char"/>
    <w:basedOn w:val="DefaultParagraphFont"/>
    <w:link w:val="Title"/>
    <w:rsid w:val="00A00405"/>
    <w:rPr>
      <w:rFonts w:ascii="Arial" w:eastAsia="Arial" w:hAnsi="Arial" w:cs="Arial"/>
      <w:b/>
      <w:sz w:val="32"/>
      <w:szCs w:val="32"/>
    </w:rPr>
  </w:style>
  <w:style w:type="paragraph" w:customStyle="1" w:styleId="SingleTxt">
    <w:name w:val="__Single Txt"/>
    <w:basedOn w:val="Normal"/>
    <w:rsid w:val="00A00405"/>
    <w:pPr>
      <w:tabs>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spacing w:after="120" w:line="240" w:lineRule="exact"/>
      <w:ind w:left="1267" w:right="1267"/>
    </w:pPr>
    <w:rPr>
      <w:spacing w:val="4"/>
      <w:w w:val="103"/>
      <w:kern w:val="14"/>
    </w:rPr>
  </w:style>
  <w:style w:type="table" w:customStyle="1" w:styleId="AATable">
    <w:name w:val="AA_Table"/>
    <w:basedOn w:val="TableNormal"/>
    <w:rsid w:val="00A00405"/>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color w:val="auto"/>
      <w:sz w:val="20"/>
      <w:szCs w:val="20"/>
      <w:lang w:eastAsia="en-GB"/>
    </w:rPr>
    <w:tblPr>
      <w:tblStyleRowBandSize w:val="1"/>
      <w:tblStyleColBandSize w:val="1"/>
      <w:jc w:val="right"/>
    </w:tblPr>
    <w:trPr>
      <w:jc w:val="right"/>
    </w:trPr>
    <w:tblStylePr w:type="firstRow">
      <w:pPr>
        <w:wordWrap/>
        <w:spacing w:beforeLines="0" w:before="0" w:beforeAutospacing="0" w:afterLines="0" w:after="0" w:afterAutospacing="0"/>
        <w:contextualSpacing w:val="0"/>
        <w:jc w:val="left"/>
      </w:pPr>
      <w:rPr>
        <w:rFonts w:ascii="Arial" w:hAnsi="Arial"/>
        <w:b/>
        <w:i w:val="0"/>
        <w:caps/>
        <w:smallCaps w:val="0"/>
        <w:color w:val="auto"/>
        <w:sz w:val="27"/>
        <w:szCs w:val="27"/>
      </w:rPr>
    </w:tblStylePr>
    <w:tblStylePr w:type="lastRow">
      <w:pPr>
        <w:wordWrap/>
        <w:spacing w:afterLines="0" w:after="240" w:afterAutospacing="0"/>
        <w:ind w:rightChars="0" w:right="567"/>
      </w:pPr>
      <w:rPr>
        <w:rFonts w:ascii="Arial" w:hAnsi="Arial"/>
        <w:b/>
        <w:sz w:val="32"/>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sz w:val="20"/>
      </w:rPr>
    </w:tblStylePr>
    <w:tblStylePr w:type="band1Vert">
      <w:rPr>
        <w:rFonts w:ascii="Times New Roman" w:hAnsi="Times New Roman"/>
      </w:rPr>
    </w:tblStylePr>
    <w:tblStylePr w:type="band2Vert">
      <w:pPr>
        <w:wordWrap/>
        <w:spacing w:beforeLines="0" w:before="0" w:beforeAutospacing="0" w:afterLines="0" w:after="0" w:afterAutospacing="0"/>
        <w:contextualSpacing w:val="0"/>
      </w:pPr>
      <w:rPr>
        <w:rFonts w:ascii="Times New Roman" w:hAnsi="Times New Roman"/>
        <w:b/>
        <w:i w:val="0"/>
        <w:color w:val="auto"/>
        <w:sz w:val="20"/>
        <w:szCs w:val="32"/>
      </w:rPr>
    </w:tblStylePr>
    <w:tblStylePr w:type="band1Horz">
      <w:rPr>
        <w:rFonts w:ascii="Times New Roman" w:hAnsi="Times New Roman"/>
        <w:sz w:val="20"/>
      </w:rPr>
      <w:tblPr/>
      <w:tcPr>
        <w:tcBorders>
          <w:bottom w:val="single" w:sz="4" w:space="0" w:color="auto"/>
        </w:tcBorders>
      </w:tcPr>
    </w:tblStylePr>
    <w:tblStylePr w:type="band2Horz">
      <w:rPr>
        <w:rFonts w:ascii="Times New Roman" w:hAnsi="Times New Roman"/>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0" w:beforeAutospacing="0" w:afterLines="0" w:after="0" w:afterAutospacing="0"/>
        <w:contextualSpacing w:val="0"/>
        <w:jc w:val="right"/>
      </w:pPr>
      <w:rPr>
        <w:rFonts w:ascii="Arial" w:hAnsi="Arial"/>
        <w:b/>
        <w:i w:val="0"/>
        <w:color w:val="auto"/>
        <w:sz w:val="64"/>
        <w:szCs w:val="64"/>
      </w:rPr>
    </w:tblStylePr>
    <w:tblStylePr w:type="nwCell">
      <w:rPr>
        <w:rFonts w:ascii="Arial" w:hAnsi="Arial"/>
        <w:b/>
        <w:i w:val="0"/>
        <w:caps/>
        <w:smallCaps w:val="0"/>
        <w:color w:val="auto"/>
        <w:sz w:val="27"/>
        <w:szCs w:val="27"/>
      </w:rPr>
    </w:tblStylePr>
    <w:tblStylePr w:type="seCell">
      <w:pPr>
        <w:wordWrap/>
        <w:spacing w:beforeLines="0" w:before="120" w:beforeAutospacing="0" w:afterLines="0" w:after="120" w:afterAutospacing="0"/>
        <w:ind w:leftChars="0" w:left="0" w:rightChars="0" w:right="0"/>
        <w:contextualSpacing w:val="0"/>
      </w:pPr>
      <w:rPr>
        <w:rFonts w:ascii="Times New Roman" w:hAnsi="Times New Roman"/>
        <w:b w:val="0"/>
        <w:sz w:val="20"/>
      </w:rPr>
    </w:tblStylePr>
    <w:tblStylePr w:type="swCell">
      <w:pPr>
        <w:wordWrap/>
        <w:spacing w:afterLines="0" w:after="360" w:afterAutospacing="0"/>
        <w:ind w:rightChars="0" w:right="0"/>
      </w:pPr>
      <w:rPr>
        <w:rFonts w:ascii="Times New Roman" w:hAnsi="Times New Roman"/>
      </w:rPr>
    </w:tblStylePr>
  </w:style>
  <w:style w:type="paragraph" w:customStyle="1" w:styleId="Normalpool">
    <w:name w:val="Normal_pool"/>
    <w:autoRedefine/>
    <w:semiHidden/>
    <w:rsid w:val="00A00405"/>
    <w:pPr>
      <w:pBdr>
        <w:top w:val="none" w:sz="0" w:space="0" w:color="auto"/>
        <w:left w:val="none" w:sz="0" w:space="0" w:color="auto"/>
        <w:bottom w:val="none" w:sz="0" w:space="0" w:color="auto"/>
        <w:right w:val="none" w:sz="0" w:space="0" w:color="auto"/>
        <w:between w:val="none" w:sz="0" w:space="0" w:color="auto"/>
      </w:pBdr>
      <w:tabs>
        <w:tab w:val="left" w:pos="4082"/>
      </w:tabs>
      <w:spacing w:after="0"/>
      <w:jc w:val="left"/>
    </w:pPr>
    <w:rPr>
      <w:color w:val="auto"/>
      <w:sz w:val="20"/>
      <w:szCs w:val="20"/>
      <w:lang w:val="fr-CA" w:eastAsia="en-US"/>
    </w:rPr>
  </w:style>
  <w:style w:type="paragraph" w:customStyle="1" w:styleId="ad">
    <w:name w:val="ad"/>
    <w:basedOn w:val="Normal"/>
    <w:rsid w:val="00A00405"/>
    <w:pPr>
      <w:widowControl w:val="0"/>
      <w:tabs>
        <w:tab w:val="left" w:pos="6480"/>
        <w:tab w:val="left" w:pos="7200"/>
      </w:tabs>
    </w:pPr>
    <w:rPr>
      <w:rFonts w:ascii="Abadi MT Condensed" w:hAnsi="Abadi MT Condensed"/>
      <w:snapToGrid w:val="0"/>
      <w:color w:val="000000"/>
    </w:rPr>
  </w:style>
  <w:style w:type="paragraph" w:customStyle="1" w:styleId="Annex">
    <w:name w:val="Annex"/>
    <w:basedOn w:val="Normal"/>
    <w:next w:val="Normal"/>
    <w:autoRedefine/>
    <w:rsid w:val="00A00405"/>
    <w:rPr>
      <w:smallCaps/>
      <w:szCs w:val="22"/>
    </w:rPr>
  </w:style>
  <w:style w:type="character" w:customStyle="1" w:styleId="BalloonTextChar1">
    <w:name w:val="Balloon Text Char1"/>
    <w:uiPriority w:val="99"/>
    <w:semiHidden/>
    <w:rsid w:val="00A00405"/>
    <w:rPr>
      <w:rFonts w:ascii="Tahoma" w:hAnsi="Tahoma" w:cs="Tahoma"/>
      <w:sz w:val="16"/>
      <w:szCs w:val="16"/>
      <w:lang w:val="en-GB"/>
    </w:rPr>
  </w:style>
  <w:style w:type="paragraph" w:customStyle="1" w:styleId="biblio">
    <w:name w:val="biblio"/>
    <w:basedOn w:val="Normal"/>
    <w:rsid w:val="00A00405"/>
    <w:pPr>
      <w:widowControl w:val="0"/>
      <w:tabs>
        <w:tab w:val="left" w:pos="90"/>
      </w:tabs>
    </w:pPr>
    <w:rPr>
      <w:snapToGrid w:val="0"/>
      <w:color w:val="000000"/>
      <w:szCs w:val="22"/>
    </w:rPr>
  </w:style>
  <w:style w:type="paragraph" w:customStyle="1" w:styleId="ca">
    <w:name w:val="ca"/>
    <w:basedOn w:val="Normal"/>
    <w:autoRedefine/>
    <w:rsid w:val="00A00405"/>
    <w:pPr>
      <w:widowControl w:val="0"/>
    </w:pPr>
    <w:rPr>
      <w:snapToGrid w:val="0"/>
      <w:color w:val="000000"/>
    </w:rPr>
  </w:style>
  <w:style w:type="paragraph" w:customStyle="1" w:styleId="CH1">
    <w:name w:val="CH1"/>
    <w:basedOn w:val="Normalpool"/>
    <w:next w:val="Normal"/>
    <w:rsid w:val="00A00405"/>
    <w:pPr>
      <w:keepNext/>
      <w:keepLines/>
      <w:tabs>
        <w:tab w:val="right" w:pos="851"/>
      </w:tabs>
      <w:suppressAutoHyphens/>
      <w:spacing w:before="240" w:after="120"/>
      <w:ind w:left="1247" w:right="284" w:hanging="1247"/>
    </w:pPr>
    <w:rPr>
      <w:b/>
      <w:sz w:val="28"/>
      <w:szCs w:val="28"/>
    </w:rPr>
  </w:style>
  <w:style w:type="paragraph" w:customStyle="1" w:styleId="CH3">
    <w:name w:val="CH3"/>
    <w:basedOn w:val="Normalpool"/>
    <w:next w:val="Normal"/>
    <w:rsid w:val="00A00405"/>
    <w:pPr>
      <w:keepNext/>
      <w:keepLines/>
      <w:tabs>
        <w:tab w:val="right" w:pos="851"/>
      </w:tabs>
      <w:suppressAutoHyphens/>
      <w:spacing w:after="120"/>
      <w:ind w:left="1247" w:right="284" w:hanging="1247"/>
    </w:pPr>
    <w:rPr>
      <w:b/>
    </w:rPr>
  </w:style>
  <w:style w:type="paragraph" w:customStyle="1" w:styleId="CH4">
    <w:name w:val="CH4"/>
    <w:basedOn w:val="Normalpool"/>
    <w:next w:val="Normal"/>
    <w:rsid w:val="00A00405"/>
    <w:pPr>
      <w:keepNext/>
      <w:keepLines/>
      <w:tabs>
        <w:tab w:val="right" w:pos="851"/>
      </w:tabs>
      <w:suppressAutoHyphens/>
      <w:spacing w:after="120"/>
      <w:ind w:left="1247" w:right="284" w:hanging="1247"/>
    </w:pPr>
    <w:rPr>
      <w:b/>
    </w:rPr>
  </w:style>
  <w:style w:type="paragraph" w:customStyle="1" w:styleId="CH5">
    <w:name w:val="CH5"/>
    <w:basedOn w:val="Normalpool"/>
    <w:next w:val="Normal"/>
    <w:rsid w:val="00A00405"/>
    <w:pPr>
      <w:keepNext/>
      <w:keepLines/>
      <w:tabs>
        <w:tab w:val="right" w:pos="851"/>
      </w:tabs>
      <w:suppressAutoHyphens/>
      <w:spacing w:after="120"/>
      <w:ind w:left="1247" w:right="284" w:hanging="1247"/>
    </w:pPr>
    <w:rPr>
      <w:b/>
    </w:rPr>
  </w:style>
  <w:style w:type="paragraph" w:customStyle="1" w:styleId="Char1CharCharCharCharChar">
    <w:name w:val="Char1 Char Char Char Char Char"/>
    <w:basedOn w:val="Normal"/>
    <w:rsid w:val="00A00405"/>
    <w:pPr>
      <w:spacing w:after="160" w:line="240" w:lineRule="exact"/>
    </w:pPr>
    <w:rPr>
      <w:rFonts w:ascii="Tahoma" w:hAnsi="Tahoma"/>
    </w:rPr>
  </w:style>
  <w:style w:type="character" w:customStyle="1" w:styleId="colblank">
    <w:name w:val="col_blank"/>
    <w:rsid w:val="00A00405"/>
  </w:style>
  <w:style w:type="character" w:customStyle="1" w:styleId="colftyp">
    <w:name w:val="col_ftyp"/>
    <w:rsid w:val="00A00405"/>
  </w:style>
  <w:style w:type="character" w:customStyle="1" w:styleId="colland">
    <w:name w:val="col_land"/>
    <w:rsid w:val="00A00405"/>
  </w:style>
  <w:style w:type="character" w:customStyle="1" w:styleId="colname1">
    <w:name w:val="col_name1"/>
    <w:rsid w:val="00A00405"/>
  </w:style>
  <w:style w:type="character" w:customStyle="1" w:styleId="CommentSubjectChar1">
    <w:name w:val="Comment Subject Char1"/>
    <w:uiPriority w:val="99"/>
    <w:semiHidden/>
    <w:rsid w:val="00A00405"/>
    <w:rPr>
      <w:rFonts w:ascii="Times New Roman" w:hAnsi="Times New Roman"/>
      <w:b/>
      <w:bCs/>
      <w:lang w:val="en-GB"/>
    </w:rPr>
  </w:style>
  <w:style w:type="character" w:customStyle="1" w:styleId="emailstyle15">
    <w:name w:val="emailstyle15"/>
    <w:rsid w:val="00A00405"/>
    <w:rPr>
      <w:rFonts w:ascii="Arial" w:hAnsi="Arial" w:cs="Arial"/>
      <w:color w:val="000000"/>
      <w:sz w:val="20"/>
      <w:szCs w:val="20"/>
    </w:rPr>
  </w:style>
  <w:style w:type="character" w:customStyle="1" w:styleId="EmailStyle20">
    <w:name w:val="EmailStyle20"/>
    <w:rsid w:val="00A00405"/>
    <w:rPr>
      <w:rFonts w:ascii="Arial" w:hAnsi="Arial" w:cs="Arial"/>
      <w:color w:val="000000"/>
      <w:sz w:val="20"/>
      <w:szCs w:val="20"/>
    </w:rPr>
  </w:style>
  <w:style w:type="character" w:styleId="SubtleEmphasis">
    <w:name w:val="Subtle Emphasis"/>
    <w:uiPriority w:val="19"/>
    <w:qFormat/>
    <w:rsid w:val="00A00405"/>
    <w:rPr>
      <w:i/>
      <w:iCs/>
      <w:color w:val="808080"/>
    </w:rPr>
  </w:style>
  <w:style w:type="character" w:customStyle="1" w:styleId="EstiloDeEmail511">
    <w:name w:val="EstiloDeEmail511"/>
    <w:rsid w:val="00A00405"/>
    <w:rPr>
      <w:rFonts w:ascii="Arial" w:hAnsi="Arial" w:cs="Arial"/>
      <w:color w:val="000000"/>
      <w:sz w:val="20"/>
      <w:szCs w:val="20"/>
    </w:rPr>
  </w:style>
  <w:style w:type="character" w:customStyle="1" w:styleId="EstiloDeEmail561">
    <w:name w:val="EstiloDeEmail561"/>
    <w:rsid w:val="00A00405"/>
    <w:rPr>
      <w:rFonts w:ascii="Arial" w:hAnsi="Arial" w:cs="Arial"/>
      <w:color w:val="000000"/>
      <w:sz w:val="20"/>
      <w:szCs w:val="20"/>
    </w:rPr>
  </w:style>
  <w:style w:type="character" w:customStyle="1" w:styleId="FooterChar1">
    <w:name w:val="Footer Char1"/>
    <w:uiPriority w:val="99"/>
    <w:semiHidden/>
    <w:rsid w:val="00A00405"/>
    <w:rPr>
      <w:rFonts w:ascii="Times New Roman" w:hAnsi="Times New Roman"/>
      <w:szCs w:val="22"/>
      <w:lang w:val="en-GB"/>
    </w:rPr>
  </w:style>
  <w:style w:type="paragraph" w:customStyle="1" w:styleId="Footerpool">
    <w:name w:val="Footer_pool"/>
    <w:basedOn w:val="Normal"/>
    <w:next w:val="Normal"/>
    <w:semiHidden/>
    <w:rsid w:val="00A00405"/>
    <w:pPr>
      <w:tabs>
        <w:tab w:val="left" w:pos="4321"/>
        <w:tab w:val="right" w:pos="8641"/>
      </w:tabs>
      <w:spacing w:before="60" w:after="120"/>
    </w:pPr>
    <w:rPr>
      <w:b/>
      <w:sz w:val="18"/>
    </w:rPr>
  </w:style>
  <w:style w:type="table" w:customStyle="1" w:styleId="Footertable">
    <w:name w:val="Footer_table"/>
    <w:basedOn w:val="TableNormal"/>
    <w:semiHidden/>
    <w:rsid w:val="00A00405"/>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Arial" w:hAnsi="Arial"/>
      <w:color w:val="auto"/>
      <w:sz w:val="16"/>
      <w:szCs w:val="20"/>
      <w:lang w:eastAsia="en-GB"/>
    </w:rPr>
    <w:tblPr>
      <w:jc w:val="right"/>
      <w:tblBorders>
        <w:top w:val="double" w:sz="4" w:space="0" w:color="auto"/>
        <w:left w:val="double" w:sz="4" w:space="0" w:color="auto"/>
        <w:bottom w:val="double" w:sz="4" w:space="0" w:color="auto"/>
        <w:right w:val="double" w:sz="4" w:space="0" w:color="auto"/>
      </w:tblBorders>
    </w:tblPr>
    <w:trPr>
      <w:jc w:val="right"/>
    </w:trPr>
    <w:tcPr>
      <w:tcMar>
        <w:top w:w="28" w:type="dxa"/>
        <w:bottom w:w="28" w:type="dxa"/>
      </w:tcMar>
    </w:tcPr>
  </w:style>
  <w:style w:type="paragraph" w:customStyle="1" w:styleId="Footer-pool">
    <w:name w:val="Footer-pool"/>
    <w:basedOn w:val="Normal-pool"/>
    <w:next w:val="Normal-pool"/>
    <w:rsid w:val="00A00405"/>
    <w:pPr>
      <w:tabs>
        <w:tab w:val="left" w:pos="4321"/>
        <w:tab w:val="right" w:pos="8641"/>
      </w:tabs>
      <w:spacing w:before="60" w:after="120"/>
    </w:pPr>
    <w:rPr>
      <w:b/>
      <w:sz w:val="18"/>
    </w:rPr>
  </w:style>
  <w:style w:type="character" w:customStyle="1" w:styleId="FootnoteTextChar1">
    <w:name w:val="Footnote Text Char1"/>
    <w:semiHidden/>
    <w:rsid w:val="00A00405"/>
    <w:rPr>
      <w:rFonts w:ascii="Times New Roman" w:hAnsi="Times New Roman"/>
      <w:lang w:val="en-GB"/>
    </w:rPr>
  </w:style>
  <w:style w:type="table" w:customStyle="1" w:styleId="GridTable1Light1">
    <w:name w:val="Grid Table 1 Light1"/>
    <w:basedOn w:val="TableNormal"/>
    <w:uiPriority w:val="46"/>
    <w:rsid w:val="00A00405"/>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lang w:val="en-US"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erChar1">
    <w:name w:val="Header Char1"/>
    <w:uiPriority w:val="99"/>
    <w:semiHidden/>
    <w:rsid w:val="00A00405"/>
    <w:rPr>
      <w:rFonts w:ascii="Times New Roman" w:hAnsi="Times New Roman"/>
      <w:szCs w:val="22"/>
      <w:lang w:val="en-GB"/>
    </w:rPr>
  </w:style>
  <w:style w:type="paragraph" w:customStyle="1" w:styleId="Headerpool">
    <w:name w:val="Header_pool"/>
    <w:basedOn w:val="Normal"/>
    <w:next w:val="Normal"/>
    <w:semiHidden/>
    <w:rsid w:val="00A00405"/>
    <w:pPr>
      <w:pBdr>
        <w:bottom w:val="single" w:sz="4" w:space="1" w:color="auto"/>
      </w:pBdr>
      <w:tabs>
        <w:tab w:val="center" w:pos="4536"/>
        <w:tab w:val="right" w:pos="9072"/>
      </w:tabs>
      <w:spacing w:after="120"/>
    </w:pPr>
    <w:rPr>
      <w:b/>
      <w:sz w:val="18"/>
    </w:rPr>
  </w:style>
  <w:style w:type="paragraph" w:customStyle="1" w:styleId="Header-pool">
    <w:name w:val="Header-pool"/>
    <w:basedOn w:val="Normal-pool"/>
    <w:next w:val="Normal-pool"/>
    <w:rsid w:val="00A00405"/>
    <w:pPr>
      <w:pBdr>
        <w:bottom w:val="single" w:sz="4" w:space="1" w:color="auto"/>
      </w:pBdr>
      <w:tabs>
        <w:tab w:val="clear" w:pos="1814"/>
        <w:tab w:val="clear" w:pos="2381"/>
        <w:tab w:val="clear" w:pos="2948"/>
        <w:tab w:val="clear" w:pos="3515"/>
        <w:tab w:val="center" w:pos="4536"/>
        <w:tab w:val="right" w:pos="9072"/>
      </w:tabs>
      <w:spacing w:after="120"/>
    </w:pPr>
    <w:rPr>
      <w:b/>
      <w:sz w:val="18"/>
    </w:rPr>
  </w:style>
  <w:style w:type="character" w:customStyle="1" w:styleId="hrtext">
    <w:name w:val="hr_text"/>
    <w:rsid w:val="00A00405"/>
  </w:style>
  <w:style w:type="numbering" w:customStyle="1" w:styleId="Ingenliste1">
    <w:name w:val="Ingen liste1"/>
    <w:next w:val="NoList"/>
    <w:semiHidden/>
    <w:unhideWhenUsed/>
    <w:rsid w:val="00A00405"/>
  </w:style>
  <w:style w:type="paragraph" w:customStyle="1" w:styleId="Ingenmellomrom1">
    <w:name w:val="Ingen mellomrom1"/>
    <w:qFormat/>
    <w:rsid w:val="00A00405"/>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eastAsia="SimSun"/>
      <w:color w:val="auto"/>
      <w:sz w:val="24"/>
      <w:szCs w:val="24"/>
      <w:lang w:eastAsia="zh-CN"/>
    </w:rPr>
  </w:style>
  <w:style w:type="paragraph" w:customStyle="1" w:styleId="Level1">
    <w:name w:val="Level1"/>
    <w:basedOn w:val="Normal"/>
    <w:rsid w:val="00A00405"/>
    <w:pPr>
      <w:tabs>
        <w:tab w:val="left" w:pos="578"/>
        <w:tab w:val="left" w:pos="1157"/>
      </w:tabs>
      <w:suppressAutoHyphens/>
      <w:spacing w:after="240"/>
    </w:pPr>
    <w:rPr>
      <w:szCs w:val="22"/>
    </w:rPr>
  </w:style>
  <w:style w:type="paragraph" w:customStyle="1" w:styleId="LightGrid-Accent31">
    <w:name w:val="Light Grid - Accent 31"/>
    <w:basedOn w:val="Normal"/>
    <w:uiPriority w:val="34"/>
    <w:qFormat/>
    <w:rsid w:val="00A00405"/>
    <w:pPr>
      <w:ind w:left="720"/>
      <w:contextualSpacing/>
    </w:pPr>
    <w:rPr>
      <w:lang w:eastAsia="fr-FR"/>
    </w:rPr>
  </w:style>
  <w:style w:type="paragraph" w:customStyle="1" w:styleId="ListParagraph1">
    <w:name w:val="List Paragraph1"/>
    <w:basedOn w:val="Normal"/>
    <w:rsid w:val="00A00405"/>
    <w:pPr>
      <w:ind w:left="720"/>
      <w:contextualSpacing/>
    </w:pPr>
    <w:rPr>
      <w:rFonts w:eastAsia="SimSun"/>
      <w:lang w:val="pt-BR" w:eastAsia="pt-BR"/>
    </w:rPr>
  </w:style>
  <w:style w:type="paragraph" w:customStyle="1" w:styleId="Listings">
    <w:name w:val="Listings"/>
    <w:basedOn w:val="Normal"/>
    <w:rsid w:val="00A00405"/>
    <w:pPr>
      <w:spacing w:after="40"/>
    </w:pPr>
  </w:style>
  <w:style w:type="paragraph" w:customStyle="1" w:styleId="ListAD">
    <w:name w:val="ListAD"/>
    <w:basedOn w:val="Listings"/>
    <w:rsid w:val="00A00405"/>
    <w:pPr>
      <w:spacing w:after="0"/>
    </w:pPr>
  </w:style>
  <w:style w:type="paragraph" w:customStyle="1" w:styleId="ListBold">
    <w:name w:val="ListBold"/>
    <w:basedOn w:val="Listings"/>
    <w:rsid w:val="00A00405"/>
    <w:rPr>
      <w:b/>
      <w:bCs/>
    </w:rPr>
  </w:style>
  <w:style w:type="paragraph" w:customStyle="1" w:styleId="mainpara">
    <w:name w:val="mainpara"/>
    <w:basedOn w:val="Normal"/>
    <w:rsid w:val="00A00405"/>
    <w:pPr>
      <w:numPr>
        <w:numId w:val="29"/>
      </w:numPr>
      <w:tabs>
        <w:tab w:val="left" w:pos="720"/>
        <w:tab w:val="left" w:pos="1440"/>
      </w:tabs>
    </w:pPr>
    <w:rPr>
      <w:snapToGrid w:val="0"/>
      <w:szCs w:val="22"/>
    </w:rPr>
  </w:style>
  <w:style w:type="paragraph" w:customStyle="1" w:styleId="MediumGrid1-Accent21">
    <w:name w:val="Medium Grid 1 - Accent 21"/>
    <w:basedOn w:val="Normal"/>
    <w:uiPriority w:val="34"/>
    <w:qFormat/>
    <w:rsid w:val="00A00405"/>
    <w:pPr>
      <w:suppressAutoHyphens/>
      <w:spacing w:after="160" w:line="256" w:lineRule="auto"/>
      <w:ind w:left="720"/>
      <w:contextualSpacing/>
    </w:pPr>
    <w:rPr>
      <w:rFonts w:eastAsia="Droid Sans Fallback" w:cs="Calibri"/>
      <w:szCs w:val="22"/>
    </w:rPr>
  </w:style>
  <w:style w:type="paragraph" w:customStyle="1" w:styleId="MediumGrid1-Accent22">
    <w:name w:val="Medium Grid 1 - Accent 22"/>
    <w:basedOn w:val="Normal"/>
    <w:qFormat/>
    <w:rsid w:val="00A00405"/>
    <w:pPr>
      <w:ind w:left="720"/>
      <w:contextualSpacing/>
    </w:pPr>
    <w:rPr>
      <w:rFonts w:eastAsia="SimSun"/>
      <w:lang w:eastAsia="zh-CN"/>
    </w:rPr>
  </w:style>
  <w:style w:type="paragraph" w:customStyle="1" w:styleId="MediumList2-Accent21">
    <w:name w:val="Medium List 2 - Accent 21"/>
    <w:uiPriority w:val="99"/>
    <w:semiHidden/>
    <w:rsid w:val="00A00405"/>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uppressAutoHyphens/>
      <w:spacing w:after="0"/>
      <w:jc w:val="left"/>
    </w:pPr>
    <w:rPr>
      <w:rFonts w:ascii="Calibri" w:eastAsia="Droid Sans Fallback" w:hAnsi="Calibri" w:cs="Calibri"/>
      <w:color w:val="auto"/>
      <w:lang w:eastAsia="en-US"/>
    </w:rPr>
  </w:style>
  <w:style w:type="paragraph" w:customStyle="1" w:styleId="MediumShading1-Accent11">
    <w:name w:val="Medium Shading 1 - Accent 11"/>
    <w:uiPriority w:val="1"/>
    <w:qFormat/>
    <w:rsid w:val="00A00405"/>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lang w:val="en-US" w:eastAsia="en-US"/>
    </w:rPr>
  </w:style>
  <w:style w:type="numbering" w:customStyle="1" w:styleId="NoList1">
    <w:name w:val="No List1"/>
    <w:next w:val="NoList"/>
    <w:semiHidden/>
    <w:rsid w:val="00A00405"/>
  </w:style>
  <w:style w:type="numbering" w:customStyle="1" w:styleId="Normallist">
    <w:name w:val="Normal_list"/>
    <w:basedOn w:val="NoList"/>
    <w:rsid w:val="00A00405"/>
    <w:pPr>
      <w:numPr>
        <w:numId w:val="30"/>
      </w:numPr>
    </w:pPr>
  </w:style>
  <w:style w:type="paragraph" w:customStyle="1" w:styleId="NormalNonumber">
    <w:name w:val="Normal_No_number"/>
    <w:basedOn w:val="Normalpool"/>
    <w:rsid w:val="00A00405"/>
    <w:pPr>
      <w:spacing w:after="120"/>
      <w:ind w:left="1247"/>
    </w:pPr>
  </w:style>
  <w:style w:type="table" w:customStyle="1" w:styleId="PlainTable31">
    <w:name w:val="Plain Table 31"/>
    <w:basedOn w:val="TableNormal"/>
    <w:uiPriority w:val="43"/>
    <w:rsid w:val="00A00405"/>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lang w:val="en-US"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51">
    <w:name w:val="Plain Table 51"/>
    <w:basedOn w:val="TableNormal"/>
    <w:uiPriority w:val="45"/>
    <w:rsid w:val="00A00405"/>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lang w:val="en-US" w:eastAsia="en-US"/>
    </w:rPr>
    <w:tblPr>
      <w:tblStyleRowBandSize w:val="1"/>
      <w:tblStyleColBandSize w:val="1"/>
    </w:tblPr>
    <w:tblStylePr w:type="firstRow">
      <w:rPr>
        <w:rFonts w:ascii="SimHei" w:eastAsia="Times New Roman" w:hAnsi="SimHei" w:cs="Times New Roman"/>
        <w:i/>
        <w:iCs/>
        <w:sz w:val="26"/>
      </w:rPr>
      <w:tblPr/>
      <w:tcPr>
        <w:tcBorders>
          <w:bottom w:val="single" w:sz="4" w:space="0" w:color="7F7F7F"/>
        </w:tcBorders>
        <w:shd w:val="clear" w:color="auto" w:fill="FFFFFF"/>
      </w:tcPr>
    </w:tblStylePr>
    <w:tblStylePr w:type="lastRow">
      <w:rPr>
        <w:rFonts w:ascii="SimHei" w:eastAsia="Times New Roman" w:hAnsi="SimHei" w:cs="Times New Roman"/>
        <w:i/>
        <w:iCs/>
        <w:sz w:val="26"/>
      </w:rPr>
      <w:tblPr/>
      <w:tcPr>
        <w:tcBorders>
          <w:top w:val="single" w:sz="4" w:space="0" w:color="7F7F7F"/>
        </w:tcBorders>
        <w:shd w:val="clear" w:color="auto" w:fill="FFFFFF"/>
      </w:tcPr>
    </w:tblStylePr>
    <w:tblStylePr w:type="firstCol">
      <w:pPr>
        <w:jc w:val="right"/>
      </w:pPr>
      <w:rPr>
        <w:rFonts w:ascii="SimHei" w:eastAsia="Times New Roman" w:hAnsi="SimHei" w:cs="Times New Roman"/>
        <w:i/>
        <w:iCs/>
        <w:sz w:val="26"/>
      </w:rPr>
      <w:tblPr/>
      <w:tcPr>
        <w:tcBorders>
          <w:right w:val="single" w:sz="4" w:space="0" w:color="7F7F7F"/>
        </w:tcBorders>
        <w:shd w:val="clear" w:color="auto" w:fill="FFFFFF"/>
      </w:tcPr>
    </w:tblStylePr>
    <w:tblStylePr w:type="lastCol">
      <w:rPr>
        <w:rFonts w:ascii="SimHei" w:eastAsia="Times New Roman" w:hAnsi="SimHei"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RefNo">
    <w:name w:val="RefNo"/>
    <w:basedOn w:val="Listings"/>
    <w:rsid w:val="00A00405"/>
    <w:pPr>
      <w:spacing w:after="0"/>
      <w:jc w:val="right"/>
    </w:pPr>
    <w:rPr>
      <w:i/>
      <w:iCs/>
    </w:rPr>
  </w:style>
  <w:style w:type="paragraph" w:customStyle="1" w:styleId="Ripeat">
    <w:name w:val="Ripeat"/>
    <w:basedOn w:val="Normal"/>
    <w:next w:val="Normal"/>
    <w:rsid w:val="00A00405"/>
    <w:rPr>
      <w:i/>
      <w:iCs/>
    </w:rPr>
  </w:style>
  <w:style w:type="paragraph" w:customStyle="1" w:styleId="Spacer">
    <w:name w:val="Spacer"/>
    <w:basedOn w:val="Normal"/>
    <w:rsid w:val="00A00405"/>
    <w:pPr>
      <w:tabs>
        <w:tab w:val="left" w:pos="-720"/>
        <w:tab w:val="left" w:pos="0"/>
        <w:tab w:val="left" w:pos="720"/>
      </w:tabs>
      <w:suppressAutoHyphens/>
    </w:pPr>
    <w:rPr>
      <w:sz w:val="10"/>
      <w:szCs w:val="10"/>
    </w:rPr>
  </w:style>
  <w:style w:type="paragraph" w:customStyle="1" w:styleId="Spacer1">
    <w:name w:val="Spacer1"/>
    <w:basedOn w:val="Normal"/>
    <w:rsid w:val="00A00405"/>
    <w:rPr>
      <w:b/>
      <w:bCs/>
    </w:rPr>
  </w:style>
  <w:style w:type="table" w:customStyle="1" w:styleId="Styleenkhtuya">
    <w:name w:val="Style_enkhtuya"/>
    <w:basedOn w:val="TableNormal"/>
    <w:uiPriority w:val="99"/>
    <w:rsid w:val="00A00405"/>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after="0"/>
      <w:jc w:val="left"/>
    </w:pPr>
    <w:rPr>
      <w:rFonts w:ascii="Calibri" w:eastAsia="Calibri" w:hAnsi="Calibri"/>
      <w:color w:val="auto"/>
      <w:lang w:val="en-US" w:eastAsia="en-US"/>
    </w:rPr>
    <w:tblPr>
      <w:tblStyleColBandSize w:val="1"/>
    </w:tblPr>
    <w:tblStylePr w:type="band1Vert">
      <w:tblPr/>
      <w:tcPr>
        <w:shd w:val="clear" w:color="auto" w:fill="D99594"/>
      </w:tcPr>
    </w:tblStylePr>
  </w:style>
  <w:style w:type="paragraph" w:customStyle="1" w:styleId="Substance">
    <w:name w:val="Substance"/>
    <w:basedOn w:val="Heading1"/>
    <w:rsid w:val="00A00405"/>
    <w:pPr>
      <w:keepLines w:val="0"/>
      <w:pBdr>
        <w:top w:val="none" w:sz="0" w:space="0" w:color="auto"/>
        <w:left w:val="none" w:sz="0" w:space="0" w:color="auto"/>
        <w:bottom w:val="none" w:sz="0" w:space="0" w:color="auto"/>
        <w:right w:val="none" w:sz="0" w:space="0" w:color="auto"/>
        <w:between w:val="none" w:sz="0" w:space="0" w:color="auto"/>
      </w:pBdr>
      <w:spacing w:before="160" w:after="160"/>
      <w:jc w:val="left"/>
      <w:outlineLvl w:val="9"/>
    </w:pPr>
    <w:rPr>
      <w:b w:val="0"/>
      <w:bCs/>
      <w:color w:val="auto"/>
      <w:kern w:val="28"/>
      <w:sz w:val="48"/>
      <w:szCs w:val="48"/>
      <w:lang w:val="en-US" w:eastAsia="en-US"/>
    </w:rPr>
  </w:style>
  <w:style w:type="character" w:customStyle="1" w:styleId="SubtleEmphasis1">
    <w:name w:val="Subtle Emphasis1"/>
    <w:uiPriority w:val="19"/>
    <w:qFormat/>
    <w:rsid w:val="00A00405"/>
    <w:rPr>
      <w:i/>
      <w:iCs/>
      <w:color w:val="808080"/>
    </w:rPr>
  </w:style>
  <w:style w:type="table" w:customStyle="1" w:styleId="Tabledocright">
    <w:name w:val="Table_doc_right"/>
    <w:basedOn w:val="TableNormal"/>
    <w:rsid w:val="00A00405"/>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spacing w:before="40" w:after="40"/>
      <w:jc w:val="left"/>
    </w:pPr>
    <w:rPr>
      <w:color w:val="auto"/>
      <w:sz w:val="18"/>
      <w:szCs w:val="18"/>
      <w:lang w:eastAsia="en-GB"/>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paragraph" w:customStyle="1" w:styleId="TH">
    <w:name w:val="TH"/>
    <w:basedOn w:val="ad"/>
    <w:next w:val="Normal"/>
    <w:rsid w:val="00A00405"/>
    <w:pPr>
      <w:tabs>
        <w:tab w:val="clear" w:pos="6480"/>
        <w:tab w:val="clear" w:pos="7200"/>
      </w:tabs>
      <w:spacing w:before="80"/>
    </w:pPr>
    <w:rPr>
      <w:rFonts w:ascii="Arial Narrow" w:hAnsi="Arial Narrow"/>
      <w:b/>
      <w:bCs/>
    </w:rPr>
  </w:style>
  <w:style w:type="paragraph" w:customStyle="1" w:styleId="Titletable">
    <w:name w:val="Title_table"/>
    <w:basedOn w:val="Normalpool"/>
    <w:rsid w:val="00A00405"/>
    <w:pPr>
      <w:keepNext/>
      <w:keepLines/>
      <w:suppressAutoHyphens/>
      <w:spacing w:after="60"/>
      <w:ind w:left="1247"/>
    </w:pPr>
    <w:rPr>
      <w:b/>
      <w:bCs/>
    </w:rPr>
  </w:style>
  <w:style w:type="paragraph" w:customStyle="1" w:styleId="Titlefigure">
    <w:name w:val="Title_figure"/>
    <w:basedOn w:val="Titletable"/>
    <w:next w:val="NormalNonumber"/>
    <w:rsid w:val="00A00405"/>
    <w:rPr>
      <w:bCs w:val="0"/>
    </w:rPr>
  </w:style>
  <w:style w:type="paragraph" w:customStyle="1" w:styleId="TITULO3FODIPBES">
    <w:name w:val="TITULO 3 FOD IPBES"/>
    <w:link w:val="TITULO3FODIPBESCar"/>
    <w:rsid w:val="00A00405"/>
    <w:pPr>
      <w:pBdr>
        <w:top w:val="none" w:sz="0" w:space="0" w:color="auto"/>
        <w:left w:val="none" w:sz="0" w:space="0" w:color="auto"/>
        <w:bottom w:val="none" w:sz="0" w:space="0" w:color="auto"/>
        <w:right w:val="none" w:sz="0" w:space="0" w:color="auto"/>
        <w:between w:val="none" w:sz="0" w:space="0" w:color="auto"/>
      </w:pBdr>
      <w:tabs>
        <w:tab w:val="clear" w:pos="1247"/>
        <w:tab w:val="clear" w:pos="1814"/>
        <w:tab w:val="clear" w:pos="2381"/>
        <w:tab w:val="clear" w:pos="2948"/>
        <w:tab w:val="clear" w:pos="3515"/>
      </w:tabs>
      <w:ind w:left="357" w:hanging="357"/>
      <w:jc w:val="left"/>
    </w:pPr>
    <w:rPr>
      <w:rFonts w:asciiTheme="minorHAnsi" w:eastAsiaTheme="minorEastAsia" w:hAnsiTheme="minorHAnsi" w:cstheme="minorBidi"/>
      <w:color w:val="auto"/>
      <w:sz w:val="24"/>
      <w:szCs w:val="24"/>
      <w:lang w:val="fr-FR" w:eastAsia="en-US"/>
    </w:rPr>
  </w:style>
  <w:style w:type="character" w:customStyle="1" w:styleId="TITULO3FODIPBESCar">
    <w:name w:val="TITULO 3 FOD IPBES Car"/>
    <w:link w:val="TITULO3FODIPBES"/>
    <w:rsid w:val="00A00405"/>
    <w:rPr>
      <w:rFonts w:asciiTheme="minorHAnsi" w:eastAsiaTheme="minorEastAsia" w:hAnsiTheme="minorHAnsi" w:cstheme="minorBidi"/>
      <w:color w:val="auto"/>
      <w:sz w:val="24"/>
      <w:szCs w:val="24"/>
      <w:lang w:val="fr-FR" w:eastAsia="en-US"/>
    </w:rPr>
  </w:style>
  <w:style w:type="numbering" w:customStyle="1" w:styleId="Titulo1FOD">
    <w:name w:val="Titulo 1 FOD"/>
    <w:basedOn w:val="NoList"/>
    <w:uiPriority w:val="99"/>
    <w:rsid w:val="00A00405"/>
    <w:pPr>
      <w:numPr>
        <w:numId w:val="31"/>
      </w:numPr>
    </w:pPr>
  </w:style>
  <w:style w:type="character" w:styleId="BookTitle0">
    <w:name w:val="Book Title"/>
    <w:basedOn w:val="DefaultParagraphFont"/>
    <w:uiPriority w:val="33"/>
    <w:qFormat/>
    <w:rsid w:val="00DB3608"/>
    <w:rPr>
      <w:rFonts w:ascii="Calibri" w:hAnsi="Calibri"/>
      <w:b/>
      <w:bCs/>
      <w:smallCaps/>
      <w:spacing w:val="5"/>
      <w:sz w:val="22"/>
    </w:rPr>
  </w:style>
  <w:style w:type="character" w:customStyle="1" w:styleId="tl8wme">
    <w:name w:val="tl8wme"/>
    <w:basedOn w:val="DefaultParagraphFont"/>
    <w:rsid w:val="00DD4E98"/>
  </w:style>
  <w:style w:type="character" w:customStyle="1" w:styleId="normaltextrun">
    <w:name w:val="normaltextrun"/>
    <w:basedOn w:val="DefaultParagraphFont"/>
    <w:rsid w:val="001F1423"/>
  </w:style>
  <w:style w:type="character" w:customStyle="1" w:styleId="spellingerror">
    <w:name w:val="spellingerror"/>
    <w:basedOn w:val="DefaultParagraphFont"/>
    <w:rsid w:val="001F1423"/>
  </w:style>
  <w:style w:type="character" w:customStyle="1" w:styleId="eop">
    <w:name w:val="eop"/>
    <w:basedOn w:val="DefaultParagraphFont"/>
    <w:rsid w:val="001F14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238142">
      <w:bodyDiv w:val="1"/>
      <w:marLeft w:val="0"/>
      <w:marRight w:val="0"/>
      <w:marTop w:val="0"/>
      <w:marBottom w:val="0"/>
      <w:divBdr>
        <w:top w:val="none" w:sz="0" w:space="0" w:color="auto"/>
        <w:left w:val="none" w:sz="0" w:space="0" w:color="auto"/>
        <w:bottom w:val="none" w:sz="0" w:space="0" w:color="auto"/>
        <w:right w:val="none" w:sz="0" w:space="0" w:color="auto"/>
      </w:divBdr>
    </w:div>
    <w:div w:id="110905314">
      <w:bodyDiv w:val="1"/>
      <w:marLeft w:val="0"/>
      <w:marRight w:val="0"/>
      <w:marTop w:val="0"/>
      <w:marBottom w:val="0"/>
      <w:divBdr>
        <w:top w:val="none" w:sz="0" w:space="0" w:color="auto"/>
        <w:left w:val="none" w:sz="0" w:space="0" w:color="auto"/>
        <w:bottom w:val="none" w:sz="0" w:space="0" w:color="auto"/>
        <w:right w:val="none" w:sz="0" w:space="0" w:color="auto"/>
      </w:divBdr>
    </w:div>
    <w:div w:id="138156618">
      <w:bodyDiv w:val="1"/>
      <w:marLeft w:val="0"/>
      <w:marRight w:val="0"/>
      <w:marTop w:val="0"/>
      <w:marBottom w:val="0"/>
      <w:divBdr>
        <w:top w:val="none" w:sz="0" w:space="0" w:color="auto"/>
        <w:left w:val="none" w:sz="0" w:space="0" w:color="auto"/>
        <w:bottom w:val="none" w:sz="0" w:space="0" w:color="auto"/>
        <w:right w:val="none" w:sz="0" w:space="0" w:color="auto"/>
      </w:divBdr>
    </w:div>
    <w:div w:id="276446039">
      <w:bodyDiv w:val="1"/>
      <w:marLeft w:val="0"/>
      <w:marRight w:val="0"/>
      <w:marTop w:val="0"/>
      <w:marBottom w:val="0"/>
      <w:divBdr>
        <w:top w:val="none" w:sz="0" w:space="0" w:color="auto"/>
        <w:left w:val="none" w:sz="0" w:space="0" w:color="auto"/>
        <w:bottom w:val="none" w:sz="0" w:space="0" w:color="auto"/>
        <w:right w:val="none" w:sz="0" w:space="0" w:color="auto"/>
      </w:divBdr>
    </w:div>
    <w:div w:id="386758360">
      <w:bodyDiv w:val="1"/>
      <w:marLeft w:val="0"/>
      <w:marRight w:val="0"/>
      <w:marTop w:val="0"/>
      <w:marBottom w:val="0"/>
      <w:divBdr>
        <w:top w:val="none" w:sz="0" w:space="0" w:color="auto"/>
        <w:left w:val="none" w:sz="0" w:space="0" w:color="auto"/>
        <w:bottom w:val="none" w:sz="0" w:space="0" w:color="auto"/>
        <w:right w:val="none" w:sz="0" w:space="0" w:color="auto"/>
      </w:divBdr>
      <w:divsChild>
        <w:div w:id="6447463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4960855">
              <w:marLeft w:val="0"/>
              <w:marRight w:val="0"/>
              <w:marTop w:val="0"/>
              <w:marBottom w:val="0"/>
              <w:divBdr>
                <w:top w:val="none" w:sz="0" w:space="0" w:color="auto"/>
                <w:left w:val="none" w:sz="0" w:space="0" w:color="auto"/>
                <w:bottom w:val="none" w:sz="0" w:space="0" w:color="auto"/>
                <w:right w:val="none" w:sz="0" w:space="0" w:color="auto"/>
              </w:divBdr>
              <w:divsChild>
                <w:div w:id="1185249347">
                  <w:marLeft w:val="0"/>
                  <w:marRight w:val="0"/>
                  <w:marTop w:val="0"/>
                  <w:marBottom w:val="0"/>
                  <w:divBdr>
                    <w:top w:val="none" w:sz="0" w:space="0" w:color="auto"/>
                    <w:left w:val="none" w:sz="0" w:space="0" w:color="auto"/>
                    <w:bottom w:val="none" w:sz="0" w:space="0" w:color="auto"/>
                    <w:right w:val="none" w:sz="0" w:space="0" w:color="auto"/>
                  </w:divBdr>
                  <w:divsChild>
                    <w:div w:id="872230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679601">
      <w:bodyDiv w:val="1"/>
      <w:marLeft w:val="0"/>
      <w:marRight w:val="0"/>
      <w:marTop w:val="0"/>
      <w:marBottom w:val="0"/>
      <w:divBdr>
        <w:top w:val="none" w:sz="0" w:space="0" w:color="auto"/>
        <w:left w:val="none" w:sz="0" w:space="0" w:color="auto"/>
        <w:bottom w:val="none" w:sz="0" w:space="0" w:color="auto"/>
        <w:right w:val="none" w:sz="0" w:space="0" w:color="auto"/>
      </w:divBdr>
    </w:div>
    <w:div w:id="455224006">
      <w:bodyDiv w:val="1"/>
      <w:marLeft w:val="0"/>
      <w:marRight w:val="0"/>
      <w:marTop w:val="0"/>
      <w:marBottom w:val="0"/>
      <w:divBdr>
        <w:top w:val="none" w:sz="0" w:space="0" w:color="auto"/>
        <w:left w:val="none" w:sz="0" w:space="0" w:color="auto"/>
        <w:bottom w:val="none" w:sz="0" w:space="0" w:color="auto"/>
        <w:right w:val="none" w:sz="0" w:space="0" w:color="auto"/>
      </w:divBdr>
    </w:div>
    <w:div w:id="484856768">
      <w:bodyDiv w:val="1"/>
      <w:marLeft w:val="0"/>
      <w:marRight w:val="0"/>
      <w:marTop w:val="0"/>
      <w:marBottom w:val="0"/>
      <w:divBdr>
        <w:top w:val="none" w:sz="0" w:space="0" w:color="auto"/>
        <w:left w:val="none" w:sz="0" w:space="0" w:color="auto"/>
        <w:bottom w:val="none" w:sz="0" w:space="0" w:color="auto"/>
        <w:right w:val="none" w:sz="0" w:space="0" w:color="auto"/>
      </w:divBdr>
      <w:divsChild>
        <w:div w:id="506025172">
          <w:marLeft w:val="0"/>
          <w:marRight w:val="0"/>
          <w:marTop w:val="0"/>
          <w:marBottom w:val="0"/>
          <w:divBdr>
            <w:top w:val="none" w:sz="0" w:space="0" w:color="auto"/>
            <w:left w:val="none" w:sz="0" w:space="0" w:color="auto"/>
            <w:bottom w:val="none" w:sz="0" w:space="0" w:color="auto"/>
            <w:right w:val="none" w:sz="0" w:space="0" w:color="auto"/>
          </w:divBdr>
        </w:div>
        <w:div w:id="1838764812">
          <w:marLeft w:val="0"/>
          <w:marRight w:val="0"/>
          <w:marTop w:val="0"/>
          <w:marBottom w:val="0"/>
          <w:divBdr>
            <w:top w:val="none" w:sz="0" w:space="0" w:color="auto"/>
            <w:left w:val="none" w:sz="0" w:space="0" w:color="auto"/>
            <w:bottom w:val="none" w:sz="0" w:space="0" w:color="auto"/>
            <w:right w:val="none" w:sz="0" w:space="0" w:color="auto"/>
          </w:divBdr>
        </w:div>
        <w:div w:id="297152433">
          <w:marLeft w:val="0"/>
          <w:marRight w:val="0"/>
          <w:marTop w:val="0"/>
          <w:marBottom w:val="0"/>
          <w:divBdr>
            <w:top w:val="none" w:sz="0" w:space="0" w:color="auto"/>
            <w:left w:val="none" w:sz="0" w:space="0" w:color="auto"/>
            <w:bottom w:val="none" w:sz="0" w:space="0" w:color="auto"/>
            <w:right w:val="none" w:sz="0" w:space="0" w:color="auto"/>
          </w:divBdr>
        </w:div>
      </w:divsChild>
    </w:div>
    <w:div w:id="551038362">
      <w:bodyDiv w:val="1"/>
      <w:marLeft w:val="0"/>
      <w:marRight w:val="0"/>
      <w:marTop w:val="0"/>
      <w:marBottom w:val="0"/>
      <w:divBdr>
        <w:top w:val="none" w:sz="0" w:space="0" w:color="auto"/>
        <w:left w:val="none" w:sz="0" w:space="0" w:color="auto"/>
        <w:bottom w:val="none" w:sz="0" w:space="0" w:color="auto"/>
        <w:right w:val="none" w:sz="0" w:space="0" w:color="auto"/>
      </w:divBdr>
    </w:div>
    <w:div w:id="724645031">
      <w:bodyDiv w:val="1"/>
      <w:marLeft w:val="0"/>
      <w:marRight w:val="0"/>
      <w:marTop w:val="0"/>
      <w:marBottom w:val="0"/>
      <w:divBdr>
        <w:top w:val="none" w:sz="0" w:space="0" w:color="auto"/>
        <w:left w:val="none" w:sz="0" w:space="0" w:color="auto"/>
        <w:bottom w:val="none" w:sz="0" w:space="0" w:color="auto"/>
        <w:right w:val="none" w:sz="0" w:space="0" w:color="auto"/>
      </w:divBdr>
    </w:div>
    <w:div w:id="745300378">
      <w:bodyDiv w:val="1"/>
      <w:marLeft w:val="0"/>
      <w:marRight w:val="0"/>
      <w:marTop w:val="0"/>
      <w:marBottom w:val="0"/>
      <w:divBdr>
        <w:top w:val="none" w:sz="0" w:space="0" w:color="auto"/>
        <w:left w:val="none" w:sz="0" w:space="0" w:color="auto"/>
        <w:bottom w:val="none" w:sz="0" w:space="0" w:color="auto"/>
        <w:right w:val="none" w:sz="0" w:space="0" w:color="auto"/>
      </w:divBdr>
      <w:divsChild>
        <w:div w:id="179513110">
          <w:marLeft w:val="0"/>
          <w:marRight w:val="0"/>
          <w:marTop w:val="0"/>
          <w:marBottom w:val="0"/>
          <w:divBdr>
            <w:top w:val="none" w:sz="0" w:space="0" w:color="auto"/>
            <w:left w:val="none" w:sz="0" w:space="0" w:color="auto"/>
            <w:bottom w:val="none" w:sz="0" w:space="0" w:color="auto"/>
            <w:right w:val="none" w:sz="0" w:space="0" w:color="auto"/>
          </w:divBdr>
        </w:div>
        <w:div w:id="488716203">
          <w:marLeft w:val="0"/>
          <w:marRight w:val="0"/>
          <w:marTop w:val="0"/>
          <w:marBottom w:val="0"/>
          <w:divBdr>
            <w:top w:val="none" w:sz="0" w:space="0" w:color="auto"/>
            <w:left w:val="none" w:sz="0" w:space="0" w:color="auto"/>
            <w:bottom w:val="none" w:sz="0" w:space="0" w:color="auto"/>
            <w:right w:val="none" w:sz="0" w:space="0" w:color="auto"/>
          </w:divBdr>
        </w:div>
        <w:div w:id="732000835">
          <w:marLeft w:val="0"/>
          <w:marRight w:val="0"/>
          <w:marTop w:val="0"/>
          <w:marBottom w:val="0"/>
          <w:divBdr>
            <w:top w:val="none" w:sz="0" w:space="0" w:color="auto"/>
            <w:left w:val="none" w:sz="0" w:space="0" w:color="auto"/>
            <w:bottom w:val="none" w:sz="0" w:space="0" w:color="auto"/>
            <w:right w:val="none" w:sz="0" w:space="0" w:color="auto"/>
          </w:divBdr>
        </w:div>
        <w:div w:id="1185705170">
          <w:marLeft w:val="0"/>
          <w:marRight w:val="0"/>
          <w:marTop w:val="0"/>
          <w:marBottom w:val="0"/>
          <w:divBdr>
            <w:top w:val="none" w:sz="0" w:space="0" w:color="auto"/>
            <w:left w:val="none" w:sz="0" w:space="0" w:color="auto"/>
            <w:bottom w:val="none" w:sz="0" w:space="0" w:color="auto"/>
            <w:right w:val="none" w:sz="0" w:space="0" w:color="auto"/>
          </w:divBdr>
        </w:div>
        <w:div w:id="1865439672">
          <w:marLeft w:val="0"/>
          <w:marRight w:val="0"/>
          <w:marTop w:val="0"/>
          <w:marBottom w:val="0"/>
          <w:divBdr>
            <w:top w:val="none" w:sz="0" w:space="0" w:color="auto"/>
            <w:left w:val="none" w:sz="0" w:space="0" w:color="auto"/>
            <w:bottom w:val="none" w:sz="0" w:space="0" w:color="auto"/>
            <w:right w:val="none" w:sz="0" w:space="0" w:color="auto"/>
          </w:divBdr>
        </w:div>
      </w:divsChild>
    </w:div>
    <w:div w:id="849760885">
      <w:bodyDiv w:val="1"/>
      <w:marLeft w:val="0"/>
      <w:marRight w:val="0"/>
      <w:marTop w:val="0"/>
      <w:marBottom w:val="0"/>
      <w:divBdr>
        <w:top w:val="none" w:sz="0" w:space="0" w:color="auto"/>
        <w:left w:val="none" w:sz="0" w:space="0" w:color="auto"/>
        <w:bottom w:val="none" w:sz="0" w:space="0" w:color="auto"/>
        <w:right w:val="none" w:sz="0" w:space="0" w:color="auto"/>
      </w:divBdr>
    </w:div>
    <w:div w:id="984358117">
      <w:bodyDiv w:val="1"/>
      <w:marLeft w:val="0"/>
      <w:marRight w:val="0"/>
      <w:marTop w:val="0"/>
      <w:marBottom w:val="0"/>
      <w:divBdr>
        <w:top w:val="none" w:sz="0" w:space="0" w:color="auto"/>
        <w:left w:val="none" w:sz="0" w:space="0" w:color="auto"/>
        <w:bottom w:val="none" w:sz="0" w:space="0" w:color="auto"/>
        <w:right w:val="none" w:sz="0" w:space="0" w:color="auto"/>
      </w:divBdr>
    </w:div>
    <w:div w:id="1058700309">
      <w:bodyDiv w:val="1"/>
      <w:marLeft w:val="0"/>
      <w:marRight w:val="0"/>
      <w:marTop w:val="0"/>
      <w:marBottom w:val="0"/>
      <w:divBdr>
        <w:top w:val="none" w:sz="0" w:space="0" w:color="auto"/>
        <w:left w:val="none" w:sz="0" w:space="0" w:color="auto"/>
        <w:bottom w:val="none" w:sz="0" w:space="0" w:color="auto"/>
        <w:right w:val="none" w:sz="0" w:space="0" w:color="auto"/>
      </w:divBdr>
      <w:divsChild>
        <w:div w:id="17338517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88994581">
              <w:marLeft w:val="0"/>
              <w:marRight w:val="0"/>
              <w:marTop w:val="0"/>
              <w:marBottom w:val="0"/>
              <w:divBdr>
                <w:top w:val="none" w:sz="0" w:space="0" w:color="auto"/>
                <w:left w:val="none" w:sz="0" w:space="0" w:color="auto"/>
                <w:bottom w:val="none" w:sz="0" w:space="0" w:color="auto"/>
                <w:right w:val="none" w:sz="0" w:space="0" w:color="auto"/>
              </w:divBdr>
              <w:divsChild>
                <w:div w:id="374551430">
                  <w:marLeft w:val="0"/>
                  <w:marRight w:val="0"/>
                  <w:marTop w:val="0"/>
                  <w:marBottom w:val="0"/>
                  <w:divBdr>
                    <w:top w:val="none" w:sz="0" w:space="0" w:color="auto"/>
                    <w:left w:val="none" w:sz="0" w:space="0" w:color="auto"/>
                    <w:bottom w:val="none" w:sz="0" w:space="0" w:color="auto"/>
                    <w:right w:val="none" w:sz="0" w:space="0" w:color="auto"/>
                  </w:divBdr>
                  <w:divsChild>
                    <w:div w:id="72930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091547">
      <w:bodyDiv w:val="1"/>
      <w:marLeft w:val="0"/>
      <w:marRight w:val="0"/>
      <w:marTop w:val="0"/>
      <w:marBottom w:val="0"/>
      <w:divBdr>
        <w:top w:val="none" w:sz="0" w:space="0" w:color="auto"/>
        <w:left w:val="none" w:sz="0" w:space="0" w:color="auto"/>
        <w:bottom w:val="none" w:sz="0" w:space="0" w:color="auto"/>
        <w:right w:val="none" w:sz="0" w:space="0" w:color="auto"/>
      </w:divBdr>
    </w:div>
    <w:div w:id="1354845073">
      <w:bodyDiv w:val="1"/>
      <w:marLeft w:val="0"/>
      <w:marRight w:val="0"/>
      <w:marTop w:val="0"/>
      <w:marBottom w:val="0"/>
      <w:divBdr>
        <w:top w:val="none" w:sz="0" w:space="0" w:color="auto"/>
        <w:left w:val="none" w:sz="0" w:space="0" w:color="auto"/>
        <w:bottom w:val="none" w:sz="0" w:space="0" w:color="auto"/>
        <w:right w:val="none" w:sz="0" w:space="0" w:color="auto"/>
      </w:divBdr>
    </w:div>
    <w:div w:id="1402097813">
      <w:bodyDiv w:val="1"/>
      <w:marLeft w:val="0"/>
      <w:marRight w:val="0"/>
      <w:marTop w:val="0"/>
      <w:marBottom w:val="0"/>
      <w:divBdr>
        <w:top w:val="none" w:sz="0" w:space="0" w:color="auto"/>
        <w:left w:val="none" w:sz="0" w:space="0" w:color="auto"/>
        <w:bottom w:val="none" w:sz="0" w:space="0" w:color="auto"/>
        <w:right w:val="none" w:sz="0" w:space="0" w:color="auto"/>
      </w:divBdr>
    </w:div>
    <w:div w:id="1553035890">
      <w:bodyDiv w:val="1"/>
      <w:marLeft w:val="0"/>
      <w:marRight w:val="0"/>
      <w:marTop w:val="0"/>
      <w:marBottom w:val="0"/>
      <w:divBdr>
        <w:top w:val="none" w:sz="0" w:space="0" w:color="auto"/>
        <w:left w:val="none" w:sz="0" w:space="0" w:color="auto"/>
        <w:bottom w:val="none" w:sz="0" w:space="0" w:color="auto"/>
        <w:right w:val="none" w:sz="0" w:space="0" w:color="auto"/>
      </w:divBdr>
      <w:divsChild>
        <w:div w:id="1056854915">
          <w:marLeft w:val="0"/>
          <w:marRight w:val="0"/>
          <w:marTop w:val="0"/>
          <w:marBottom w:val="0"/>
          <w:divBdr>
            <w:top w:val="none" w:sz="0" w:space="0" w:color="auto"/>
            <w:left w:val="none" w:sz="0" w:space="0" w:color="auto"/>
            <w:bottom w:val="none" w:sz="0" w:space="0" w:color="auto"/>
            <w:right w:val="none" w:sz="0" w:space="0" w:color="auto"/>
          </w:divBdr>
          <w:divsChild>
            <w:div w:id="174392996">
              <w:marLeft w:val="0"/>
              <w:marRight w:val="0"/>
              <w:marTop w:val="0"/>
              <w:marBottom w:val="0"/>
              <w:divBdr>
                <w:top w:val="none" w:sz="0" w:space="0" w:color="auto"/>
                <w:left w:val="none" w:sz="0" w:space="0" w:color="auto"/>
                <w:bottom w:val="none" w:sz="0" w:space="0" w:color="auto"/>
                <w:right w:val="none" w:sz="0" w:space="0" w:color="auto"/>
              </w:divBdr>
            </w:div>
            <w:div w:id="866529425">
              <w:marLeft w:val="0"/>
              <w:marRight w:val="0"/>
              <w:marTop w:val="0"/>
              <w:marBottom w:val="0"/>
              <w:divBdr>
                <w:top w:val="none" w:sz="0" w:space="0" w:color="auto"/>
                <w:left w:val="none" w:sz="0" w:space="0" w:color="auto"/>
                <w:bottom w:val="none" w:sz="0" w:space="0" w:color="auto"/>
                <w:right w:val="none" w:sz="0" w:space="0" w:color="auto"/>
              </w:divBdr>
              <w:divsChild>
                <w:div w:id="526480490">
                  <w:marLeft w:val="0"/>
                  <w:marRight w:val="0"/>
                  <w:marTop w:val="0"/>
                  <w:marBottom w:val="0"/>
                  <w:divBdr>
                    <w:top w:val="none" w:sz="0" w:space="0" w:color="auto"/>
                    <w:left w:val="none" w:sz="0" w:space="0" w:color="auto"/>
                    <w:bottom w:val="none" w:sz="0" w:space="0" w:color="auto"/>
                    <w:right w:val="none" w:sz="0" w:space="0" w:color="auto"/>
                  </w:divBdr>
                  <w:divsChild>
                    <w:div w:id="476146333">
                      <w:marLeft w:val="0"/>
                      <w:marRight w:val="0"/>
                      <w:marTop w:val="0"/>
                      <w:marBottom w:val="0"/>
                      <w:divBdr>
                        <w:top w:val="none" w:sz="0" w:space="0" w:color="auto"/>
                        <w:left w:val="none" w:sz="0" w:space="0" w:color="auto"/>
                        <w:bottom w:val="none" w:sz="0" w:space="0" w:color="auto"/>
                        <w:right w:val="none" w:sz="0" w:space="0" w:color="auto"/>
                      </w:divBdr>
                      <w:divsChild>
                        <w:div w:id="678778363">
                          <w:marLeft w:val="0"/>
                          <w:marRight w:val="0"/>
                          <w:marTop w:val="0"/>
                          <w:marBottom w:val="0"/>
                          <w:divBdr>
                            <w:top w:val="none" w:sz="0" w:space="0" w:color="auto"/>
                            <w:left w:val="none" w:sz="0" w:space="0" w:color="auto"/>
                            <w:bottom w:val="none" w:sz="0" w:space="0" w:color="auto"/>
                            <w:right w:val="none" w:sz="0" w:space="0" w:color="auto"/>
                          </w:divBdr>
                          <w:divsChild>
                            <w:div w:id="349649251">
                              <w:marLeft w:val="0"/>
                              <w:marRight w:val="0"/>
                              <w:marTop w:val="0"/>
                              <w:marBottom w:val="0"/>
                              <w:divBdr>
                                <w:top w:val="none" w:sz="0" w:space="0" w:color="auto"/>
                                <w:left w:val="none" w:sz="0" w:space="0" w:color="auto"/>
                                <w:bottom w:val="none" w:sz="0" w:space="0" w:color="auto"/>
                                <w:right w:val="none" w:sz="0" w:space="0" w:color="auto"/>
                              </w:divBdr>
                              <w:divsChild>
                                <w:div w:id="63332436">
                                  <w:marLeft w:val="0"/>
                                  <w:marRight w:val="0"/>
                                  <w:marTop w:val="0"/>
                                  <w:marBottom w:val="0"/>
                                  <w:divBdr>
                                    <w:top w:val="none" w:sz="0" w:space="0" w:color="auto"/>
                                    <w:left w:val="none" w:sz="0" w:space="0" w:color="auto"/>
                                    <w:bottom w:val="none" w:sz="0" w:space="0" w:color="auto"/>
                                    <w:right w:val="none" w:sz="0" w:space="0" w:color="auto"/>
                                  </w:divBdr>
                                  <w:divsChild>
                                    <w:div w:id="972103772">
                                      <w:marLeft w:val="0"/>
                                      <w:marRight w:val="0"/>
                                      <w:marTop w:val="0"/>
                                      <w:marBottom w:val="0"/>
                                      <w:divBdr>
                                        <w:top w:val="none" w:sz="0" w:space="0" w:color="auto"/>
                                        <w:left w:val="none" w:sz="0" w:space="0" w:color="auto"/>
                                        <w:bottom w:val="none" w:sz="0" w:space="0" w:color="auto"/>
                                        <w:right w:val="none" w:sz="0" w:space="0" w:color="auto"/>
                                      </w:divBdr>
                                      <w:divsChild>
                                        <w:div w:id="346950355">
                                          <w:marLeft w:val="0"/>
                                          <w:marRight w:val="0"/>
                                          <w:marTop w:val="0"/>
                                          <w:marBottom w:val="0"/>
                                          <w:divBdr>
                                            <w:top w:val="none" w:sz="0" w:space="0" w:color="auto"/>
                                            <w:left w:val="none" w:sz="0" w:space="0" w:color="auto"/>
                                            <w:bottom w:val="none" w:sz="0" w:space="0" w:color="auto"/>
                                            <w:right w:val="none" w:sz="0" w:space="0" w:color="auto"/>
                                          </w:divBdr>
                                          <w:divsChild>
                                            <w:div w:id="853496655">
                                              <w:marLeft w:val="0"/>
                                              <w:marRight w:val="0"/>
                                              <w:marTop w:val="0"/>
                                              <w:marBottom w:val="0"/>
                                              <w:divBdr>
                                                <w:top w:val="none" w:sz="0" w:space="0" w:color="auto"/>
                                                <w:left w:val="none" w:sz="0" w:space="0" w:color="auto"/>
                                                <w:bottom w:val="none" w:sz="0" w:space="0" w:color="auto"/>
                                                <w:right w:val="none" w:sz="0" w:space="0" w:color="auto"/>
                                              </w:divBdr>
                                              <w:divsChild>
                                                <w:div w:id="1508593174">
                                                  <w:marLeft w:val="0"/>
                                                  <w:marRight w:val="0"/>
                                                  <w:marTop w:val="0"/>
                                                  <w:marBottom w:val="0"/>
                                                  <w:divBdr>
                                                    <w:top w:val="none" w:sz="0" w:space="0" w:color="auto"/>
                                                    <w:left w:val="none" w:sz="0" w:space="0" w:color="auto"/>
                                                    <w:bottom w:val="none" w:sz="0" w:space="0" w:color="auto"/>
                                                    <w:right w:val="none" w:sz="0" w:space="0" w:color="auto"/>
                                                  </w:divBdr>
                                                  <w:divsChild>
                                                    <w:div w:id="1506625350">
                                                      <w:marLeft w:val="0"/>
                                                      <w:marRight w:val="0"/>
                                                      <w:marTop w:val="0"/>
                                                      <w:marBottom w:val="0"/>
                                                      <w:divBdr>
                                                        <w:top w:val="none" w:sz="0" w:space="0" w:color="auto"/>
                                                        <w:left w:val="none" w:sz="0" w:space="0" w:color="auto"/>
                                                        <w:bottom w:val="none" w:sz="0" w:space="0" w:color="auto"/>
                                                        <w:right w:val="none" w:sz="0" w:space="0" w:color="auto"/>
                                                      </w:divBdr>
                                                      <w:divsChild>
                                                        <w:div w:id="71843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747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496577">
      <w:bodyDiv w:val="1"/>
      <w:marLeft w:val="0"/>
      <w:marRight w:val="0"/>
      <w:marTop w:val="0"/>
      <w:marBottom w:val="0"/>
      <w:divBdr>
        <w:top w:val="none" w:sz="0" w:space="0" w:color="auto"/>
        <w:left w:val="none" w:sz="0" w:space="0" w:color="auto"/>
        <w:bottom w:val="none" w:sz="0" w:space="0" w:color="auto"/>
        <w:right w:val="none" w:sz="0" w:space="0" w:color="auto"/>
      </w:divBdr>
    </w:div>
    <w:div w:id="1981644726">
      <w:bodyDiv w:val="1"/>
      <w:marLeft w:val="0"/>
      <w:marRight w:val="0"/>
      <w:marTop w:val="0"/>
      <w:marBottom w:val="0"/>
      <w:divBdr>
        <w:top w:val="none" w:sz="0" w:space="0" w:color="auto"/>
        <w:left w:val="none" w:sz="0" w:space="0" w:color="auto"/>
        <w:bottom w:val="none" w:sz="0" w:space="0" w:color="auto"/>
        <w:right w:val="none" w:sz="0" w:space="0" w:color="auto"/>
      </w:divBdr>
      <w:divsChild>
        <w:div w:id="565379409">
          <w:marLeft w:val="0"/>
          <w:marRight w:val="0"/>
          <w:marTop w:val="0"/>
          <w:marBottom w:val="0"/>
          <w:divBdr>
            <w:top w:val="none" w:sz="0" w:space="0" w:color="auto"/>
            <w:left w:val="none" w:sz="0" w:space="0" w:color="auto"/>
            <w:bottom w:val="none" w:sz="0" w:space="0" w:color="auto"/>
            <w:right w:val="none" w:sz="0" w:space="0" w:color="auto"/>
          </w:divBdr>
          <w:divsChild>
            <w:div w:id="89357518">
              <w:marLeft w:val="0"/>
              <w:marRight w:val="0"/>
              <w:marTop w:val="0"/>
              <w:marBottom w:val="0"/>
              <w:divBdr>
                <w:top w:val="none" w:sz="0" w:space="0" w:color="auto"/>
                <w:left w:val="none" w:sz="0" w:space="0" w:color="auto"/>
                <w:bottom w:val="none" w:sz="0" w:space="0" w:color="auto"/>
                <w:right w:val="none" w:sz="0" w:space="0" w:color="auto"/>
              </w:divBdr>
            </w:div>
            <w:div w:id="152724472">
              <w:marLeft w:val="0"/>
              <w:marRight w:val="0"/>
              <w:marTop w:val="0"/>
              <w:marBottom w:val="0"/>
              <w:divBdr>
                <w:top w:val="none" w:sz="0" w:space="0" w:color="auto"/>
                <w:left w:val="none" w:sz="0" w:space="0" w:color="auto"/>
                <w:bottom w:val="none" w:sz="0" w:space="0" w:color="auto"/>
                <w:right w:val="none" w:sz="0" w:space="0" w:color="auto"/>
              </w:divBdr>
            </w:div>
            <w:div w:id="210195888">
              <w:marLeft w:val="0"/>
              <w:marRight w:val="0"/>
              <w:marTop w:val="0"/>
              <w:marBottom w:val="0"/>
              <w:divBdr>
                <w:top w:val="none" w:sz="0" w:space="0" w:color="auto"/>
                <w:left w:val="none" w:sz="0" w:space="0" w:color="auto"/>
                <w:bottom w:val="none" w:sz="0" w:space="0" w:color="auto"/>
                <w:right w:val="none" w:sz="0" w:space="0" w:color="auto"/>
              </w:divBdr>
            </w:div>
            <w:div w:id="737020117">
              <w:marLeft w:val="0"/>
              <w:marRight w:val="0"/>
              <w:marTop w:val="0"/>
              <w:marBottom w:val="0"/>
              <w:divBdr>
                <w:top w:val="none" w:sz="0" w:space="0" w:color="auto"/>
                <w:left w:val="none" w:sz="0" w:space="0" w:color="auto"/>
                <w:bottom w:val="none" w:sz="0" w:space="0" w:color="auto"/>
                <w:right w:val="none" w:sz="0" w:space="0" w:color="auto"/>
              </w:divBdr>
            </w:div>
            <w:div w:id="957419885">
              <w:marLeft w:val="0"/>
              <w:marRight w:val="0"/>
              <w:marTop w:val="0"/>
              <w:marBottom w:val="0"/>
              <w:divBdr>
                <w:top w:val="none" w:sz="0" w:space="0" w:color="auto"/>
                <w:left w:val="none" w:sz="0" w:space="0" w:color="auto"/>
                <w:bottom w:val="none" w:sz="0" w:space="0" w:color="auto"/>
                <w:right w:val="none" w:sz="0" w:space="0" w:color="auto"/>
              </w:divBdr>
            </w:div>
            <w:div w:id="1255432239">
              <w:marLeft w:val="0"/>
              <w:marRight w:val="0"/>
              <w:marTop w:val="0"/>
              <w:marBottom w:val="0"/>
              <w:divBdr>
                <w:top w:val="none" w:sz="0" w:space="0" w:color="auto"/>
                <w:left w:val="none" w:sz="0" w:space="0" w:color="auto"/>
                <w:bottom w:val="none" w:sz="0" w:space="0" w:color="auto"/>
                <w:right w:val="none" w:sz="0" w:space="0" w:color="auto"/>
              </w:divBdr>
            </w:div>
            <w:div w:id="1258367655">
              <w:marLeft w:val="0"/>
              <w:marRight w:val="0"/>
              <w:marTop w:val="0"/>
              <w:marBottom w:val="0"/>
              <w:divBdr>
                <w:top w:val="none" w:sz="0" w:space="0" w:color="auto"/>
                <w:left w:val="none" w:sz="0" w:space="0" w:color="auto"/>
                <w:bottom w:val="none" w:sz="0" w:space="0" w:color="auto"/>
                <w:right w:val="none" w:sz="0" w:space="0" w:color="auto"/>
              </w:divBdr>
            </w:div>
            <w:div w:id="1410617161">
              <w:marLeft w:val="0"/>
              <w:marRight w:val="0"/>
              <w:marTop w:val="0"/>
              <w:marBottom w:val="0"/>
              <w:divBdr>
                <w:top w:val="none" w:sz="0" w:space="0" w:color="auto"/>
                <w:left w:val="none" w:sz="0" w:space="0" w:color="auto"/>
                <w:bottom w:val="none" w:sz="0" w:space="0" w:color="auto"/>
                <w:right w:val="none" w:sz="0" w:space="0" w:color="auto"/>
              </w:divBdr>
            </w:div>
            <w:div w:id="1502042823">
              <w:marLeft w:val="0"/>
              <w:marRight w:val="0"/>
              <w:marTop w:val="0"/>
              <w:marBottom w:val="0"/>
              <w:divBdr>
                <w:top w:val="none" w:sz="0" w:space="0" w:color="auto"/>
                <w:left w:val="none" w:sz="0" w:space="0" w:color="auto"/>
                <w:bottom w:val="none" w:sz="0" w:space="0" w:color="auto"/>
                <w:right w:val="none" w:sz="0" w:space="0" w:color="auto"/>
              </w:divBdr>
            </w:div>
            <w:div w:id="1574773825">
              <w:marLeft w:val="0"/>
              <w:marRight w:val="0"/>
              <w:marTop w:val="0"/>
              <w:marBottom w:val="0"/>
              <w:divBdr>
                <w:top w:val="none" w:sz="0" w:space="0" w:color="auto"/>
                <w:left w:val="none" w:sz="0" w:space="0" w:color="auto"/>
                <w:bottom w:val="none" w:sz="0" w:space="0" w:color="auto"/>
                <w:right w:val="none" w:sz="0" w:space="0" w:color="auto"/>
              </w:divBdr>
            </w:div>
            <w:div w:id="1749840036">
              <w:marLeft w:val="0"/>
              <w:marRight w:val="0"/>
              <w:marTop w:val="0"/>
              <w:marBottom w:val="0"/>
              <w:divBdr>
                <w:top w:val="none" w:sz="0" w:space="0" w:color="auto"/>
                <w:left w:val="none" w:sz="0" w:space="0" w:color="auto"/>
                <w:bottom w:val="none" w:sz="0" w:space="0" w:color="auto"/>
                <w:right w:val="none" w:sz="0" w:space="0" w:color="auto"/>
              </w:divBdr>
            </w:div>
            <w:div w:id="2021349017">
              <w:marLeft w:val="0"/>
              <w:marRight w:val="0"/>
              <w:marTop w:val="0"/>
              <w:marBottom w:val="0"/>
              <w:divBdr>
                <w:top w:val="none" w:sz="0" w:space="0" w:color="auto"/>
                <w:left w:val="none" w:sz="0" w:space="0" w:color="auto"/>
                <w:bottom w:val="none" w:sz="0" w:space="0" w:color="auto"/>
                <w:right w:val="none" w:sz="0" w:space="0" w:color="auto"/>
              </w:divBdr>
            </w:div>
            <w:div w:id="2118910956">
              <w:marLeft w:val="0"/>
              <w:marRight w:val="0"/>
              <w:marTop w:val="0"/>
              <w:marBottom w:val="0"/>
              <w:divBdr>
                <w:top w:val="none" w:sz="0" w:space="0" w:color="auto"/>
                <w:left w:val="none" w:sz="0" w:space="0" w:color="auto"/>
                <w:bottom w:val="none" w:sz="0" w:space="0" w:color="auto"/>
                <w:right w:val="none" w:sz="0" w:space="0" w:color="auto"/>
              </w:divBdr>
            </w:div>
            <w:div w:id="213944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124008">
      <w:bodyDiv w:val="1"/>
      <w:marLeft w:val="0"/>
      <w:marRight w:val="0"/>
      <w:marTop w:val="0"/>
      <w:marBottom w:val="0"/>
      <w:divBdr>
        <w:top w:val="none" w:sz="0" w:space="0" w:color="auto"/>
        <w:left w:val="none" w:sz="0" w:space="0" w:color="auto"/>
        <w:bottom w:val="none" w:sz="0" w:space="0" w:color="auto"/>
        <w:right w:val="none" w:sz="0" w:space="0" w:color="auto"/>
      </w:divBdr>
    </w:div>
    <w:div w:id="2062047716">
      <w:bodyDiv w:val="1"/>
      <w:marLeft w:val="0"/>
      <w:marRight w:val="0"/>
      <w:marTop w:val="0"/>
      <w:marBottom w:val="0"/>
      <w:divBdr>
        <w:top w:val="none" w:sz="0" w:space="0" w:color="auto"/>
        <w:left w:val="none" w:sz="0" w:space="0" w:color="auto"/>
        <w:bottom w:val="none" w:sz="0" w:space="0" w:color="auto"/>
        <w:right w:val="none" w:sz="0" w:space="0" w:color="auto"/>
      </w:divBdr>
    </w:div>
    <w:div w:id="2145341333">
      <w:bodyDiv w:val="1"/>
      <w:marLeft w:val="0"/>
      <w:marRight w:val="0"/>
      <w:marTop w:val="0"/>
      <w:marBottom w:val="0"/>
      <w:divBdr>
        <w:top w:val="none" w:sz="0" w:space="0" w:color="auto"/>
        <w:left w:val="none" w:sz="0" w:space="0" w:color="auto"/>
        <w:bottom w:val="none" w:sz="0" w:space="0" w:color="auto"/>
        <w:right w:val="none" w:sz="0" w:space="0" w:color="auto"/>
      </w:divBdr>
      <w:divsChild>
        <w:div w:id="9726686">
          <w:marLeft w:val="0"/>
          <w:marRight w:val="0"/>
          <w:marTop w:val="0"/>
          <w:marBottom w:val="0"/>
          <w:divBdr>
            <w:top w:val="none" w:sz="0" w:space="0" w:color="auto"/>
            <w:left w:val="none" w:sz="0" w:space="0" w:color="auto"/>
            <w:bottom w:val="none" w:sz="0" w:space="0" w:color="auto"/>
            <w:right w:val="none" w:sz="0" w:space="0" w:color="auto"/>
          </w:divBdr>
        </w:div>
        <w:div w:id="522130250">
          <w:marLeft w:val="0"/>
          <w:marRight w:val="0"/>
          <w:marTop w:val="0"/>
          <w:marBottom w:val="0"/>
          <w:divBdr>
            <w:top w:val="none" w:sz="0" w:space="0" w:color="auto"/>
            <w:left w:val="none" w:sz="0" w:space="0" w:color="auto"/>
            <w:bottom w:val="none" w:sz="0" w:space="0" w:color="auto"/>
            <w:right w:val="none" w:sz="0" w:space="0" w:color="auto"/>
          </w:divBdr>
        </w:div>
        <w:div w:id="122587289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1.jpeg"/><Relationship Id="rId170" Type="http://schemas.openxmlformats.org/officeDocument/2006/relationships/hyperlink" Target="http://doi.org/10.1177/0270467609333728" TargetMode="External"/><Relationship Id="rId268" Type="http://schemas.openxmlformats.org/officeDocument/2006/relationships/hyperlink" Target="http://doi.org/10.1016/j.foreco.2008.10.035" TargetMode="External"/><Relationship Id="rId475" Type="http://schemas.openxmlformats.org/officeDocument/2006/relationships/hyperlink" Target="http://www.dfg.ca.gov/wildlife/nongame/t_e_spp/" TargetMode="External"/><Relationship Id="rId682" Type="http://schemas.openxmlformats.org/officeDocument/2006/relationships/hyperlink" Target="http://doi.org/10.1525/auk.2011.10082" TargetMode="External"/><Relationship Id="rId128" Type="http://schemas.openxmlformats.org/officeDocument/2006/relationships/image" Target="media/image76.jpeg"/><Relationship Id="rId335" Type="http://schemas.openxmlformats.org/officeDocument/2006/relationships/hyperlink" Target="http://doi.org/10.1098/rstb.2011.0058" TargetMode="External"/><Relationship Id="rId542" Type="http://schemas.openxmlformats.org/officeDocument/2006/relationships/hyperlink" Target="http://doi.org/10.5751/ES-05035-170440" TargetMode="External"/><Relationship Id="rId987" Type="http://schemas.openxmlformats.org/officeDocument/2006/relationships/hyperlink" Target="https://www.cbd.int/doc/strategic-plan/targets/T15-quick-guide-en.pdf%20Accessed%20on%2011/16/2016" TargetMode="External"/><Relationship Id="rId402" Type="http://schemas.openxmlformats.org/officeDocument/2006/relationships/hyperlink" Target="http://doi.org/10.1016/S0006-3207(98)00095-0" TargetMode="External"/><Relationship Id="rId847" Type="http://schemas.openxmlformats.org/officeDocument/2006/relationships/hyperlink" Target="http://doi.org/10.1111/j.1523-1739.2010.01570.x" TargetMode="External"/><Relationship Id="rId1032" Type="http://schemas.openxmlformats.org/officeDocument/2006/relationships/image" Target="media/image128.jpeg"/><Relationship Id="rId707" Type="http://schemas.openxmlformats.org/officeDocument/2006/relationships/hyperlink" Target="http://doi.org/10.1016/S0167-8809(01)00298-5" TargetMode="External"/><Relationship Id="rId914" Type="http://schemas.openxmlformats.org/officeDocument/2006/relationships/hyperlink" Target="http://doi.org/10.1111/j.1365-2427.2009.02294.x" TargetMode="External"/><Relationship Id="rId43" Type="http://schemas.openxmlformats.org/officeDocument/2006/relationships/header" Target="header1.xml"/><Relationship Id="rId192" Type="http://schemas.openxmlformats.org/officeDocument/2006/relationships/hyperlink" Target="http://doi.org/10.4067/S0716-078X2002000400012" TargetMode="External"/><Relationship Id="rId497" Type="http://schemas.openxmlformats.org/officeDocument/2006/relationships/hyperlink" Target="http://doi.org/10.1016/j.jhydrol.2013.09.031" TargetMode="External"/><Relationship Id="rId357" Type="http://schemas.openxmlformats.org/officeDocument/2006/relationships/hyperlink" Target="https://doi.org/10.1111/j.1461-0248.2009.01291.x" TargetMode="External"/><Relationship Id="rId217" Type="http://schemas.openxmlformats.org/officeDocument/2006/relationships/hyperlink" Target="http://link.springer.com/10.1007/978-3-319-30214-0_1" TargetMode="External"/><Relationship Id="rId564" Type="http://schemas.openxmlformats.org/officeDocument/2006/relationships/hyperlink" Target="https://doi.org/10.1038/ncomms7936" TargetMode="External"/><Relationship Id="rId771" Type="http://schemas.openxmlformats.org/officeDocument/2006/relationships/hyperlink" Target="http://doi.org/10.1371/journal.pone.0113934" TargetMode="External"/><Relationship Id="rId869" Type="http://schemas.openxmlformats.org/officeDocument/2006/relationships/hyperlink" Target="http://doi.org/10.1073/pnas.1208240109" TargetMode="External"/><Relationship Id="rId424" Type="http://schemas.openxmlformats.org/officeDocument/2006/relationships/hyperlink" Target="http://doi.org/10.1016/S0006-3207(00)00115-4" TargetMode="External"/><Relationship Id="rId631" Type="http://schemas.openxmlformats.org/officeDocument/2006/relationships/hyperlink" Target="http://doi.org/10.1016/j.jep.2012.10.066" TargetMode="External"/><Relationship Id="rId729" Type="http://schemas.openxmlformats.org/officeDocument/2006/relationships/hyperlink" Target="http://doi.org/10.1016/j.biocon.2009.09.020" TargetMode="External"/><Relationship Id="rId1054" Type="http://schemas.openxmlformats.org/officeDocument/2006/relationships/image" Target="media/image147.jpeg"/><Relationship Id="rId936" Type="http://schemas.openxmlformats.org/officeDocument/2006/relationships/hyperlink" Target="http://doi.org/10.1016/j.biocon.2005.10.027" TargetMode="External"/><Relationship Id="rId1121" Type="http://schemas.openxmlformats.org/officeDocument/2006/relationships/hyperlink" Target="http://www.naturevesttnc.org/pdf/InvestingInConservation_Report.pdf" TargetMode="External"/><Relationship Id="rId65" Type="http://schemas.openxmlformats.org/officeDocument/2006/relationships/image" Target="media/image33.jpeg"/><Relationship Id="rId281" Type="http://schemas.openxmlformats.org/officeDocument/2006/relationships/hyperlink" Target="http://doi.org/10.1111/cobi.12241" TargetMode="External"/><Relationship Id="rId141" Type="http://schemas.openxmlformats.org/officeDocument/2006/relationships/image" Target="media/image89.jpeg"/><Relationship Id="rId379" Type="http://schemas.openxmlformats.org/officeDocument/2006/relationships/hyperlink" Target="http://doi.org/10.1016/0006-3207(92)91201-3" TargetMode="External"/><Relationship Id="rId586" Type="http://schemas.openxmlformats.org/officeDocument/2006/relationships/hyperlink" Target="https://doi.org/10.1126/science.1215442" TargetMode="External"/><Relationship Id="rId793" Type="http://schemas.openxmlformats.org/officeDocument/2006/relationships/hyperlink" Target="http://doi.org/10.4067/S0716-078X2013000100007" TargetMode="External"/><Relationship Id="rId7" Type="http://schemas.openxmlformats.org/officeDocument/2006/relationships/settings" Target="settings.xml"/><Relationship Id="rId239" Type="http://schemas.openxmlformats.org/officeDocument/2006/relationships/hyperlink" Target="http://doi.org/10.1073/pnas.1601529113" TargetMode="External"/><Relationship Id="rId446" Type="http://schemas.openxmlformats.org/officeDocument/2006/relationships/hyperlink" Target="http://doi.org/10.1126/science.1150195" TargetMode="External"/><Relationship Id="rId653" Type="http://schemas.openxmlformats.org/officeDocument/2006/relationships/hyperlink" Target="http://doi.org/10.1007/BF00122638" TargetMode="External"/><Relationship Id="rId1076" Type="http://schemas.openxmlformats.org/officeDocument/2006/relationships/hyperlink" Target="https://www.starbucks.com/responsibility/sourcing/coffee" TargetMode="External"/><Relationship Id="rId306" Type="http://schemas.openxmlformats.org/officeDocument/2006/relationships/hyperlink" Target="http://doi.org/10.2307/3503924" TargetMode="External"/><Relationship Id="rId860" Type="http://schemas.openxmlformats.org/officeDocument/2006/relationships/hyperlink" Target="http://doi.org/10.1007/s00442-006-0576-z" TargetMode="External"/><Relationship Id="rId958" Type="http://schemas.openxmlformats.org/officeDocument/2006/relationships/hyperlink" Target="http://doi.org/10.1016/j.biocon.2004.03.034" TargetMode="External"/><Relationship Id="rId1143" Type="http://schemas.openxmlformats.org/officeDocument/2006/relationships/header" Target="header9.xml"/><Relationship Id="rId87" Type="http://schemas.openxmlformats.org/officeDocument/2006/relationships/image" Target="media/image44.jpeg"/><Relationship Id="rId513" Type="http://schemas.openxmlformats.org/officeDocument/2006/relationships/hyperlink" Target="http://doi.org/10.1016/j.cub.2014.03.011" TargetMode="External"/><Relationship Id="rId720" Type="http://schemas.openxmlformats.org/officeDocument/2006/relationships/hyperlink" Target="http://doi.org/10.1111/j.1365-2486.2006.01173.x" TargetMode="External"/><Relationship Id="rId818" Type="http://schemas.openxmlformats.org/officeDocument/2006/relationships/hyperlink" Target="http://doi.org/10.1111/jbi.12212" TargetMode="External"/><Relationship Id="rId1003" Type="http://schemas.openxmlformats.org/officeDocument/2006/relationships/hyperlink" Target="http://www.fao.org/docrep/003/w2612s/w2612s06.htm" TargetMode="External"/><Relationship Id="rId14" Type="http://schemas.openxmlformats.org/officeDocument/2006/relationships/image" Target="media/image4.jpeg"/><Relationship Id="rId163" Type="http://schemas.openxmlformats.org/officeDocument/2006/relationships/hyperlink" Target="http://doi.org/10.1590/S1519-69842011000200009" TargetMode="External"/><Relationship Id="rId370" Type="http://schemas.openxmlformats.org/officeDocument/2006/relationships/hyperlink" Target="http://doi.org/10.1016/j.still.2009.08.001" TargetMode="External"/><Relationship Id="rId230" Type="http://schemas.openxmlformats.org/officeDocument/2006/relationships/hyperlink" Target="http://doi.org/10.1007/s11252-009-0116-9" TargetMode="External"/><Relationship Id="rId468" Type="http://schemas.openxmlformats.org/officeDocument/2006/relationships/hyperlink" Target="https://doi.org/10.1007/978-1-4020-5429-7_9" TargetMode="External"/><Relationship Id="rId675" Type="http://schemas.openxmlformats.org/officeDocument/2006/relationships/hyperlink" Target="http://www.oecd-ilibrary.org/environment/oecd-environmental-performance-reviews-chile-2016_9789264252615-en" TargetMode="External"/><Relationship Id="rId882" Type="http://schemas.openxmlformats.org/officeDocument/2006/relationships/hyperlink" Target="https://doi.org/10.1126/science.aao0398" TargetMode="External"/><Relationship Id="rId1098" Type="http://schemas.openxmlformats.org/officeDocument/2006/relationships/hyperlink" Target="https://www.cbd.int/climate/intro.shtml" TargetMode="External"/><Relationship Id="rId328" Type="http://schemas.openxmlformats.org/officeDocument/2006/relationships/hyperlink" Target="http://doi.org/10.1890/06-1658.1" TargetMode="External"/><Relationship Id="rId535" Type="http://schemas.openxmlformats.org/officeDocument/2006/relationships/hyperlink" Target="https://www.pifsc.noaa.gov/tech/NOAA_Tech_Memo_PIFSC_17.pdf" TargetMode="External"/><Relationship Id="rId742" Type="http://schemas.openxmlformats.org/officeDocument/2006/relationships/hyperlink" Target="http://doi.org/10.1016/j.foreco.2012.08.001" TargetMode="External"/><Relationship Id="rId602" Type="http://schemas.openxmlformats.org/officeDocument/2006/relationships/hyperlink" Target="http://doi.org/10.1038/536143a" TargetMode="External"/><Relationship Id="rId1025" Type="http://schemas.openxmlformats.org/officeDocument/2006/relationships/hyperlink" Target="https://doi.org/10.1590/S0100-84042011000300016" TargetMode="External"/><Relationship Id="rId907" Type="http://schemas.openxmlformats.org/officeDocument/2006/relationships/hyperlink" Target="http://doi.org/10.1007/s10750-007-9032-2" TargetMode="External"/><Relationship Id="rId36" Type="http://schemas.openxmlformats.org/officeDocument/2006/relationships/hyperlink" Target="http://www.smithsonianmag.com/people-places/what-became-of-the-taino-73824867/" TargetMode="External"/><Relationship Id="rId185" Type="http://schemas.openxmlformats.org/officeDocument/2006/relationships/hyperlink" Target="http://doi.org/10.1016/j.biocon.2009.02.002" TargetMode="External"/><Relationship Id="rId392" Type="http://schemas.openxmlformats.org/officeDocument/2006/relationships/hyperlink" Target="https://doi.org/10.1111/j.1365-2699.2010.02444.x" TargetMode="External"/><Relationship Id="rId613" Type="http://schemas.openxmlformats.org/officeDocument/2006/relationships/hyperlink" Target="http://doi.org/10.1007/s11252-007-0045-4" TargetMode="External"/><Relationship Id="rId697" Type="http://schemas.openxmlformats.org/officeDocument/2006/relationships/hyperlink" Target="http://doi.org/10.1111/j.1523-1739.2007.00776.x" TargetMode="External"/><Relationship Id="rId820" Type="http://schemas.openxmlformats.org/officeDocument/2006/relationships/hyperlink" Target="http://doi.org/10.1002/evan.1360030507" TargetMode="External"/><Relationship Id="rId918" Type="http://schemas.openxmlformats.org/officeDocument/2006/relationships/hyperlink" Target="http://doi.org/10.1016/j.ecolind.2012.04.022" TargetMode="External"/><Relationship Id="rId252" Type="http://schemas.openxmlformats.org/officeDocument/2006/relationships/hyperlink" Target="http://doi.org/10.2307/1522155" TargetMode="External"/><Relationship Id="rId1103" Type="http://schemas.openxmlformats.org/officeDocument/2006/relationships/hyperlink" Target="https://wedocs.unep" TargetMode="External"/><Relationship Id="rId47" Type="http://schemas.openxmlformats.org/officeDocument/2006/relationships/header" Target="header3.xml"/><Relationship Id="rId112" Type="http://schemas.openxmlformats.org/officeDocument/2006/relationships/hyperlink" Target="https://doi.org/10.1371/journal.pone.0130874" TargetMode="External"/><Relationship Id="rId557" Type="http://schemas.openxmlformats.org/officeDocument/2006/relationships/hyperlink" Target="https://doi.org/10.3732/ajb.1500168" TargetMode="External"/><Relationship Id="rId764" Type="http://schemas.openxmlformats.org/officeDocument/2006/relationships/hyperlink" Target="http://doi.org/10.1111/j.1366-9516.2006.00262.x" TargetMode="External"/><Relationship Id="rId971" Type="http://schemas.openxmlformats.org/officeDocument/2006/relationships/image" Target="media/image105.jpeg"/><Relationship Id="rId196" Type="http://schemas.openxmlformats.org/officeDocument/2006/relationships/hyperlink" Target="http://doi.org/10.1579/0044-7447-29.7.440" TargetMode="External"/><Relationship Id="rId417" Type="http://schemas.openxmlformats.org/officeDocument/2006/relationships/hyperlink" Target="http://doi.org/10.1080/17550874.2011.583286" TargetMode="External"/><Relationship Id="rId624" Type="http://schemas.openxmlformats.org/officeDocument/2006/relationships/hyperlink" Target="https://doi.org/10.1371/journal.pone.0011916" TargetMode="External"/><Relationship Id="rId831" Type="http://schemas.openxmlformats.org/officeDocument/2006/relationships/hyperlink" Target="http://doi.org/10.1089/ast.2011.0675" TargetMode="External"/><Relationship Id="rId1047" Type="http://schemas.openxmlformats.org/officeDocument/2006/relationships/image" Target="media/image141.jpeg"/><Relationship Id="rId263" Type="http://schemas.openxmlformats.org/officeDocument/2006/relationships/hyperlink" Target="http://doi.org/10.1016/j.rbe.2016.10.004" TargetMode="External"/><Relationship Id="rId470" Type="http://schemas.openxmlformats.org/officeDocument/2006/relationships/hyperlink" Target="https://doi.org/10.1029/2001GB001550" TargetMode="External"/><Relationship Id="rId929" Type="http://schemas.openxmlformats.org/officeDocument/2006/relationships/hyperlink" Target="http://doi.org/10.1146/annurev.ecolsys.33.010802.150448" TargetMode="External"/><Relationship Id="rId1114" Type="http://schemas.openxmlformats.org/officeDocument/2006/relationships/hyperlink" Target="http://muse.jhu.edu/journals/global_environmental_politics/toc/gep.14.1.html" TargetMode="External"/><Relationship Id="rId58" Type="http://schemas.openxmlformats.org/officeDocument/2006/relationships/image" Target="media/image28.jpeg"/><Relationship Id="rId123" Type="http://schemas.openxmlformats.org/officeDocument/2006/relationships/image" Target="media/image71.jpeg"/><Relationship Id="rId330" Type="http://schemas.openxmlformats.org/officeDocument/2006/relationships/hyperlink" Target="https://doi.org/10.1111/j.1523-1739.2008.01096.x" TargetMode="External"/><Relationship Id="rId568" Type="http://schemas.openxmlformats.org/officeDocument/2006/relationships/hyperlink" Target="https://doi.org/10.1890/09-2026.1" TargetMode="External"/><Relationship Id="rId775" Type="http://schemas.openxmlformats.org/officeDocument/2006/relationships/hyperlink" Target="https://doi.org/10.1016/j.foreco.2011.02.025" TargetMode="External"/><Relationship Id="rId982" Type="http://schemas.openxmlformats.org/officeDocument/2006/relationships/image" Target="media/image110.jpeg"/><Relationship Id="rId428" Type="http://schemas.openxmlformats.org/officeDocument/2006/relationships/hyperlink" Target="http://www.globalforestwatch.org/map" TargetMode="External"/><Relationship Id="rId635" Type="http://schemas.openxmlformats.org/officeDocument/2006/relationships/hyperlink" Target="http://doi.org/10.1890/04-1484" TargetMode="External"/><Relationship Id="rId842" Type="http://schemas.openxmlformats.org/officeDocument/2006/relationships/hyperlink" Target="http://doi.org/10.1371/journal.pone.0031940" TargetMode="External"/><Relationship Id="rId1058" Type="http://schemas.openxmlformats.org/officeDocument/2006/relationships/image" Target="media/image150.jpeg"/><Relationship Id="rId274" Type="http://schemas.openxmlformats.org/officeDocument/2006/relationships/hyperlink" Target="https://doi.org/10.1038/nature11373" TargetMode="External"/><Relationship Id="rId481" Type="http://schemas.openxmlformats.org/officeDocument/2006/relationships/hyperlink" Target="https://doi.org/10.1073/pnas.1537557100" TargetMode="External"/><Relationship Id="rId702" Type="http://schemas.openxmlformats.org/officeDocument/2006/relationships/hyperlink" Target="http://doi.org/10.4067/S0716-078X2013000400003" TargetMode="External"/><Relationship Id="rId1125" Type="http://schemas.openxmlformats.org/officeDocument/2006/relationships/hyperlink" Target="https://doi.org/10.5751/ES-08475-210424" TargetMode="External"/><Relationship Id="rId69" Type="http://schemas.openxmlformats.org/officeDocument/2006/relationships/hyperlink" Target="https://www.eia.gov/todayinenergy/detail.php?id=15431" TargetMode="External"/><Relationship Id="rId134" Type="http://schemas.openxmlformats.org/officeDocument/2006/relationships/image" Target="media/image82.jpeg"/><Relationship Id="rId579" Type="http://schemas.openxmlformats.org/officeDocument/2006/relationships/hyperlink" Target="http://doi.org/10.1111/j.0030-1299.2004.12685.x" TargetMode="External"/><Relationship Id="rId786" Type="http://schemas.openxmlformats.org/officeDocument/2006/relationships/hyperlink" Target="http://doi.org/10.1038/23449" TargetMode="External"/><Relationship Id="rId993" Type="http://schemas.openxmlformats.org/officeDocument/2006/relationships/image" Target="media/image115.jpeg"/><Relationship Id="rId341" Type="http://schemas.openxmlformats.org/officeDocument/2006/relationships/hyperlink" Target="http://doi.org/10.1007/BF00052117" TargetMode="External"/><Relationship Id="rId439" Type="http://schemas.openxmlformats.org/officeDocument/2006/relationships/hyperlink" Target="https://www.cbd.int/doc/world/ca/ca-nr-04-en.pdf" TargetMode="External"/><Relationship Id="rId646" Type="http://schemas.openxmlformats.org/officeDocument/2006/relationships/hyperlink" Target="http://doi.org/10.1080/0028825X.2015.1064974" TargetMode="External"/><Relationship Id="rId1069" Type="http://schemas.openxmlformats.org/officeDocument/2006/relationships/hyperlink" Target="http://www.nappo.org/" TargetMode="External"/><Relationship Id="rId201" Type="http://schemas.openxmlformats.org/officeDocument/2006/relationships/hyperlink" Target="http://doi.org/10.1111/j.1461-0248.2006.00963.x" TargetMode="External"/><Relationship Id="rId285" Type="http://schemas.openxmlformats.org/officeDocument/2006/relationships/hyperlink" Target="http://doi.org/10.1073/pnas.1315800111" TargetMode="External"/><Relationship Id="rId506" Type="http://schemas.openxmlformats.org/officeDocument/2006/relationships/hyperlink" Target="http://doi.org/10.1146/annurev-ecolsys-112414-054234" TargetMode="External"/><Relationship Id="rId853" Type="http://schemas.openxmlformats.org/officeDocument/2006/relationships/hyperlink" Target="http://doi.org/10.1111/j.1365-2486.2006.01128.x" TargetMode="External"/><Relationship Id="rId1136" Type="http://schemas.openxmlformats.org/officeDocument/2006/relationships/hyperlink" Target="http://www.sciencedirect.com/science/article/pii/S2212041614000813" TargetMode="External"/><Relationship Id="rId492" Type="http://schemas.openxmlformats.org/officeDocument/2006/relationships/hyperlink" Target="http://doi.org/10.4067/S0717-92002011000300012" TargetMode="External"/><Relationship Id="rId713" Type="http://schemas.openxmlformats.org/officeDocument/2006/relationships/hyperlink" Target="http://doi.org/10.1007/s11258-007-9270-4" TargetMode="External"/><Relationship Id="rId797" Type="http://schemas.openxmlformats.org/officeDocument/2006/relationships/hyperlink" Target="https://doi.org/10.1093/biosci/biu195" TargetMode="External"/><Relationship Id="rId920" Type="http://schemas.openxmlformats.org/officeDocument/2006/relationships/hyperlink" Target="https://doi.org/10.1038/nature09549" TargetMode="External"/><Relationship Id="rId145" Type="http://schemas.openxmlformats.org/officeDocument/2006/relationships/image" Target="media/image93.jpeg"/><Relationship Id="rId352" Type="http://schemas.openxmlformats.org/officeDocument/2006/relationships/hyperlink" Target="http://doi.org/10.1080/00785236.1995.10422039" TargetMode="External"/><Relationship Id="rId212" Type="http://schemas.openxmlformats.org/officeDocument/2006/relationships/hyperlink" Target="http://doi.org/10.1093/jmammal/gyw128" TargetMode="External"/><Relationship Id="rId657" Type="http://schemas.openxmlformats.org/officeDocument/2006/relationships/hyperlink" Target="https://doi.org/https://doi.org/10.1371/journal.pone.0163002" TargetMode="External"/><Relationship Id="rId864" Type="http://schemas.openxmlformats.org/officeDocument/2006/relationships/hyperlink" Target="http://maps.tnc.org/gis_data.html" TargetMode="External"/><Relationship Id="rId296" Type="http://schemas.openxmlformats.org/officeDocument/2006/relationships/hyperlink" Target="http://science.sciencemag.org/content/310/5748/657.abstract" TargetMode="External"/><Relationship Id="rId517" Type="http://schemas.openxmlformats.org/officeDocument/2006/relationships/hyperlink" Target="http://doi.org/10.1007/s11252-015-0513-1" TargetMode="External"/><Relationship Id="rId724" Type="http://schemas.openxmlformats.org/officeDocument/2006/relationships/hyperlink" Target="http://doi.org/10.1016/j.agee.2014.10.024" TargetMode="External"/><Relationship Id="rId931" Type="http://schemas.openxmlformats.org/officeDocument/2006/relationships/hyperlink" Target="http://doi.org/10.5194/bgd-6-3187-2009" TargetMode="External"/><Relationship Id="rId60" Type="http://schemas.openxmlformats.org/officeDocument/2006/relationships/hyperlink" Target="http://www.biodiversidad.gob.mx/%20usos/UMAs.html" TargetMode="External"/><Relationship Id="rId156" Type="http://schemas.openxmlformats.org/officeDocument/2006/relationships/hyperlink" Target="http://doi.org/10.1046/j.1526-100x.2000.80048.x" TargetMode="External"/><Relationship Id="rId363" Type="http://schemas.openxmlformats.org/officeDocument/2006/relationships/hyperlink" Target="http://doi.org/10.1023/B:COGE.0000041031.58192.7c" TargetMode="External"/><Relationship Id="rId570" Type="http://schemas.openxmlformats.org/officeDocument/2006/relationships/hyperlink" Target="https://doi.org/10.1126/science.aaf8957" TargetMode="External"/><Relationship Id="rId1007" Type="http://schemas.openxmlformats.org/officeDocument/2006/relationships/hyperlink" Target="http://www.iucnredlist.org" TargetMode="External"/><Relationship Id="rId223" Type="http://schemas.openxmlformats.org/officeDocument/2006/relationships/hyperlink" Target="http://www.consecol.org/vol5/iss2/art18/" TargetMode="External"/><Relationship Id="rId430" Type="http://schemas.openxmlformats.org/officeDocument/2006/relationships/hyperlink" Target="https://doi.org/10.1038/nplants.2015.142" TargetMode="External"/><Relationship Id="rId668" Type="http://schemas.openxmlformats.org/officeDocument/2006/relationships/hyperlink" Target="http://doi.org/10.1016/j.envpol.2013.03.050" TargetMode="External"/><Relationship Id="rId875" Type="http://schemas.openxmlformats.org/officeDocument/2006/relationships/hyperlink" Target="http://doi.org/10.1016/j.agee.2008.01.015" TargetMode="External"/><Relationship Id="rId1060" Type="http://schemas.openxmlformats.org/officeDocument/2006/relationships/image" Target="media/image152.jpeg"/><Relationship Id="rId18" Type="http://schemas.openxmlformats.org/officeDocument/2006/relationships/image" Target="media/image8.jpeg"/><Relationship Id="rId528" Type="http://schemas.openxmlformats.org/officeDocument/2006/relationships/hyperlink" Target="http://doi.org/10.1038/nature06111" TargetMode="External"/><Relationship Id="rId735" Type="http://schemas.openxmlformats.org/officeDocument/2006/relationships/hyperlink" Target="http://doi.org/10.1016/j.baae.2010.06.009" TargetMode="External"/><Relationship Id="rId942" Type="http://schemas.openxmlformats.org/officeDocument/2006/relationships/hyperlink" Target="http://doi.org/10.1111/j.1523-1739.2005.00250.x" TargetMode="External"/><Relationship Id="rId167" Type="http://schemas.openxmlformats.org/officeDocument/2006/relationships/hyperlink" Target="http://doi.org/10.1007/s10530-014-0738-6" TargetMode="External"/><Relationship Id="rId374" Type="http://schemas.openxmlformats.org/officeDocument/2006/relationships/hyperlink" Target="http://doi.org/10.1139/er-2017-0009" TargetMode="External"/><Relationship Id="rId581" Type="http://schemas.openxmlformats.org/officeDocument/2006/relationships/hyperlink" Target="http://doi.org/10.1371/journal.pone.0019356" TargetMode="External"/><Relationship Id="rId1018" Type="http://schemas.openxmlformats.org/officeDocument/2006/relationships/hyperlink" Target="https://data.worldbank.org/indicator/" TargetMode="External"/><Relationship Id="rId71" Type="http://schemas.openxmlformats.org/officeDocument/2006/relationships/image" Target="media/image36.jpeg"/><Relationship Id="rId234" Type="http://schemas.openxmlformats.org/officeDocument/2006/relationships/hyperlink" Target="http://doi.org/10.1016/j.jaridenv.2008.07.012" TargetMode="External"/><Relationship Id="rId679" Type="http://schemas.openxmlformats.org/officeDocument/2006/relationships/hyperlink" Target="http://doi.org/10.1002/esp.3738" TargetMode="External"/><Relationship Id="rId802" Type="http://schemas.openxmlformats.org/officeDocument/2006/relationships/hyperlink" Target="http://doi.org/10.1016/j.jaridenv.2016.10.004" TargetMode="External"/><Relationship Id="rId886" Type="http://schemas.openxmlformats.org/officeDocument/2006/relationships/hyperlink" Target="http://doi.org/10.1111/btp.12191" TargetMode="External"/><Relationship Id="rId2" Type="http://schemas.openxmlformats.org/officeDocument/2006/relationships/customXml" Target="../customXml/item2.xml"/><Relationship Id="rId29" Type="http://schemas.openxmlformats.org/officeDocument/2006/relationships/hyperlink" Target="https://www.ipbes.net/indicators/socioeconomic" TargetMode="External"/><Relationship Id="rId441" Type="http://schemas.openxmlformats.org/officeDocument/2006/relationships/hyperlink" Target="https://doi.org/10.1038/nature16524" TargetMode="External"/><Relationship Id="rId539" Type="http://schemas.openxmlformats.org/officeDocument/2006/relationships/hyperlink" Target="http://doi.org/10.1039/b509373b" TargetMode="External"/><Relationship Id="rId746" Type="http://schemas.openxmlformats.org/officeDocument/2006/relationships/hyperlink" Target="https://doi.org/10.1175/2010JCLI3421.1" TargetMode="External"/><Relationship Id="rId1071" Type="http://schemas.openxmlformats.org/officeDocument/2006/relationships/hyperlink" Target="http://www.naisn.org/" TargetMode="External"/><Relationship Id="rId178" Type="http://schemas.openxmlformats.org/officeDocument/2006/relationships/hyperlink" Target="http://doi.org/10.1002/2014JG002778" TargetMode="External"/><Relationship Id="rId301" Type="http://schemas.openxmlformats.org/officeDocument/2006/relationships/hyperlink" Target="http://doi.org/10.1038/453968a" TargetMode="External"/><Relationship Id="rId953" Type="http://schemas.openxmlformats.org/officeDocument/2006/relationships/hyperlink" Target="https://doi.org/10.1038/nature02403" TargetMode="External"/><Relationship Id="rId1029" Type="http://schemas.openxmlformats.org/officeDocument/2006/relationships/image" Target="media/image125.jpeg"/><Relationship Id="rId82" Type="http://schemas.openxmlformats.org/officeDocument/2006/relationships/hyperlink" Target="http://interactive.fusion.net/river-of-death/)" TargetMode="External"/><Relationship Id="rId385" Type="http://schemas.openxmlformats.org/officeDocument/2006/relationships/hyperlink" Target="http://www.fao.org/3/a-i5555e.pdf" TargetMode="External"/><Relationship Id="rId592" Type="http://schemas.openxmlformats.org/officeDocument/2006/relationships/hyperlink" Target="http://doi.org/10.1111/j.1523-1739.2005.00706.x" TargetMode="External"/><Relationship Id="rId606" Type="http://schemas.openxmlformats.org/officeDocument/2006/relationships/hyperlink" Target="http://doi.org/10.1016/S0169-2046(00)00122-5" TargetMode="External"/><Relationship Id="rId813" Type="http://schemas.openxmlformats.org/officeDocument/2006/relationships/hyperlink" Target="http://doi.org/10.1016/j.scitotenv.2016.04.200" TargetMode="External"/><Relationship Id="rId245" Type="http://schemas.openxmlformats.org/officeDocument/2006/relationships/hyperlink" Target="https://www.intechopen.com/books/honey-analysis/the-value-of-chilean-honey-floral-origin-related-to-their-antioxidant-and-antibacterial-activities" TargetMode="External"/><Relationship Id="rId452" Type="http://schemas.openxmlformats.org/officeDocument/2006/relationships/hyperlink" Target="http://doi.org/10.1007/s12665-013-2352-9" TargetMode="External"/><Relationship Id="rId897" Type="http://schemas.openxmlformats.org/officeDocument/2006/relationships/hyperlink" Target="http://doi.org/10.1111/j.1600-0706.2008.17119.x" TargetMode="External"/><Relationship Id="rId1082" Type="http://schemas.openxmlformats.org/officeDocument/2006/relationships/image" Target="media/image155.jpeg"/><Relationship Id="rId105" Type="http://schemas.openxmlformats.org/officeDocument/2006/relationships/hyperlink" Target="http://www.indh.cl/mapadeconflictos" TargetMode="External"/><Relationship Id="rId312" Type="http://schemas.openxmlformats.org/officeDocument/2006/relationships/hyperlink" Target="http://doi.org/10.1890/0012-9658(2006)87%5B1465:ATTFHF%5D2.0.CO;2" TargetMode="External"/><Relationship Id="rId757" Type="http://schemas.openxmlformats.org/officeDocument/2006/relationships/hyperlink" Target="http://doi.org/10.1641/0006-3568(2001)051%5B0103:HAAPOI%5D2.0.CO;2" TargetMode="External"/><Relationship Id="rId964" Type="http://schemas.openxmlformats.org/officeDocument/2006/relationships/hyperlink" Target="http://www.ipbes.net" TargetMode="External"/><Relationship Id="rId93" Type="http://schemas.openxmlformats.org/officeDocument/2006/relationships/image" Target="media/image50.jpeg"/><Relationship Id="rId189" Type="http://schemas.openxmlformats.org/officeDocument/2006/relationships/hyperlink" Target="https://doi.org/10.1098/rspb.2013.3330" TargetMode="External"/><Relationship Id="rId396" Type="http://schemas.openxmlformats.org/officeDocument/2006/relationships/hyperlink" Target="http://doi.org/10.1016/j.actao.2011.01.002" TargetMode="External"/><Relationship Id="rId617" Type="http://schemas.openxmlformats.org/officeDocument/2006/relationships/hyperlink" Target="http://doi.org/10.1590/S1516-35982014001100001" TargetMode="External"/><Relationship Id="rId824" Type="http://schemas.openxmlformats.org/officeDocument/2006/relationships/hyperlink" Target="https://doi.org/10.1111/ele.12494" TargetMode="External"/><Relationship Id="rId256" Type="http://schemas.openxmlformats.org/officeDocument/2006/relationships/hyperlink" Target="http://doi.org/10.1525/bio.2012.62.9.5" TargetMode="External"/><Relationship Id="rId463" Type="http://schemas.openxmlformats.org/officeDocument/2006/relationships/hyperlink" Target="http://doi.org/10.1126/science.285.5433.1505" TargetMode="External"/><Relationship Id="rId670" Type="http://schemas.openxmlformats.org/officeDocument/2006/relationships/hyperlink" Target="https://doi.org/10.1111/oik.03652" TargetMode="External"/><Relationship Id="rId1093" Type="http://schemas.openxmlformats.org/officeDocument/2006/relationships/hyperlink" Target="mailto:llebel@loxinfo.co.th" TargetMode="External"/><Relationship Id="rId1107" Type="http://schemas.openxmlformats.org/officeDocument/2006/relationships/hyperlink" Target="http://www.wri.org/publication/" TargetMode="External"/><Relationship Id="rId116" Type="http://schemas.openxmlformats.org/officeDocument/2006/relationships/image" Target="media/image64.jpeg"/><Relationship Id="rId323" Type="http://schemas.openxmlformats.org/officeDocument/2006/relationships/hyperlink" Target="http://doi.org/10.1016/j.biocon.2005.09.031" TargetMode="External"/><Relationship Id="rId530" Type="http://schemas.openxmlformats.org/officeDocument/2006/relationships/hyperlink" Target="http://doi.org/10.1021/es0011" TargetMode="External"/><Relationship Id="rId768" Type="http://schemas.openxmlformats.org/officeDocument/2006/relationships/hyperlink" Target="http://doi.org/10.1038/nplants.2017.93" TargetMode="External"/><Relationship Id="rId975" Type="http://schemas.openxmlformats.org/officeDocument/2006/relationships/hyperlink" Target="http://www.worldometers.info/world-population/population-by-region/" TargetMode="External"/><Relationship Id="rId20" Type="http://schemas.openxmlformats.org/officeDocument/2006/relationships/image" Target="media/image10.jpeg"/><Relationship Id="rId628" Type="http://schemas.openxmlformats.org/officeDocument/2006/relationships/hyperlink" Target="http://doi.org/10.1657/AAAR0015-063" TargetMode="External"/><Relationship Id="rId835" Type="http://schemas.openxmlformats.org/officeDocument/2006/relationships/hyperlink" Target="http://doi.org/10.1371/journal.pone.0097722" TargetMode="External"/><Relationship Id="rId267" Type="http://schemas.openxmlformats.org/officeDocument/2006/relationships/hyperlink" Target="http://doi.org/10.1579/0044-7447-33.7.404" TargetMode="External"/><Relationship Id="rId474" Type="http://schemas.openxmlformats.org/officeDocument/2006/relationships/hyperlink" Target="https://doi.org/10.1007/s10584-005-5352-2" TargetMode="External"/><Relationship Id="rId1020" Type="http://schemas.openxmlformats.org/officeDocument/2006/relationships/hyperlink" Target="http://documents.worldbank.org/curated/en/620071468054545005/Ampliando-el-financiamiento-para-la-conservacion-de-la-biodiversidad-las-experiencias-de-America-Latina-y-el-Caribe" TargetMode="External"/><Relationship Id="rId1118" Type="http://schemas.openxmlformats.org/officeDocument/2006/relationships/hyperlink" Target="http://www.minambiente.gov.co/images/planeacion-y-seguimiento/pdf/Informes_de_Gesti%C3%B3n/Informe_de_Gesti%C3%B3n_MADS/Informe_de_Gesti%C3%B3n_MADS_2016_1.pdf" TargetMode="External"/><Relationship Id="rId127" Type="http://schemas.openxmlformats.org/officeDocument/2006/relationships/image" Target="media/image75.jpeg"/><Relationship Id="rId681" Type="http://schemas.openxmlformats.org/officeDocument/2006/relationships/hyperlink" Target="https://doi.org/10.1023/A:1020596916153" TargetMode="External"/><Relationship Id="rId779" Type="http://schemas.openxmlformats.org/officeDocument/2006/relationships/hyperlink" Target="http://doi.org/10.1111/j.1365-294X.2009.04311.x" TargetMode="External"/><Relationship Id="rId902" Type="http://schemas.openxmlformats.org/officeDocument/2006/relationships/hyperlink" Target="http://doi.org/10.1007/s10531-015-0954-0" TargetMode="External"/><Relationship Id="rId986" Type="http://schemas.openxmlformats.org/officeDocument/2006/relationships/hyperlink" Target="https://www.cbd.int/doc/strategic-plan/targets/T10-quick-guide-en.pdf" TargetMode="External"/><Relationship Id="rId31" Type="http://schemas.openxmlformats.org/officeDocument/2006/relationships/hyperlink" Target="http://www.thelancet.com/commissions/pollution-and-health" TargetMode="External"/><Relationship Id="rId334" Type="http://schemas.openxmlformats.org/officeDocument/2006/relationships/hyperlink" Target="http://doi.org/10.1111/faf.12119" TargetMode="External"/><Relationship Id="rId541" Type="http://schemas.openxmlformats.org/officeDocument/2006/relationships/hyperlink" Target="http://doi.org/10.1111/j.1365-2699.2005.01318.x" TargetMode="External"/><Relationship Id="rId639" Type="http://schemas.openxmlformats.org/officeDocument/2006/relationships/hyperlink" Target="http://doi.org/10.1080/10635150252899752" TargetMode="External"/><Relationship Id="rId180" Type="http://schemas.openxmlformats.org/officeDocument/2006/relationships/hyperlink" Target="http://doi.org/10.4067/S0716-078X2002000200008" TargetMode="External"/><Relationship Id="rId278" Type="http://schemas.openxmlformats.org/officeDocument/2006/relationships/hyperlink" Target="https://doi.org/10.1126/science.aao1498" TargetMode="External"/><Relationship Id="rId401" Type="http://schemas.openxmlformats.org/officeDocument/2006/relationships/hyperlink" Target="https://doi.org/10.1016/j.biocon.2009.02.017" TargetMode="External"/><Relationship Id="rId846" Type="http://schemas.openxmlformats.org/officeDocument/2006/relationships/hyperlink" Target="https://doi.org/10.1111/j.1462-2920.2010.02152.x" TargetMode="External"/><Relationship Id="rId1031" Type="http://schemas.openxmlformats.org/officeDocument/2006/relationships/image" Target="media/image127.jpeg"/><Relationship Id="rId1129" Type="http://schemas.openxmlformats.org/officeDocument/2006/relationships/hyperlink" Target="http://science.sciencemag.org/content/322/5899/225" TargetMode="External"/><Relationship Id="rId485" Type="http://schemas.openxmlformats.org/officeDocument/2006/relationships/hyperlink" Target="http://doi.org/10.1111/j.1654-109X.2012.01218.x" TargetMode="External"/><Relationship Id="rId692" Type="http://schemas.openxmlformats.org/officeDocument/2006/relationships/hyperlink" Target="http://doi.org/10.1016/j.biocon.2005.05.015" TargetMode="External"/><Relationship Id="rId706" Type="http://schemas.openxmlformats.org/officeDocument/2006/relationships/hyperlink" Target="http://doi.org/10.1111/mam.12031" TargetMode="External"/><Relationship Id="rId913" Type="http://schemas.openxmlformats.org/officeDocument/2006/relationships/hyperlink" Target="http://doi.org/10.1023/a:1005366317996" TargetMode="External"/><Relationship Id="rId42" Type="http://schemas.openxmlformats.org/officeDocument/2006/relationships/hyperlink" Target="http://www.worldatlas.com/articles/the-longest-coral-reefs-in-the-world.html" TargetMode="External"/><Relationship Id="rId138" Type="http://schemas.openxmlformats.org/officeDocument/2006/relationships/image" Target="media/image86.jpeg"/><Relationship Id="rId345" Type="http://schemas.openxmlformats.org/officeDocument/2006/relationships/hyperlink" Target="http://doi.org/DOI:%20http://dx.doi.org/10.1016/S0169-5347(01)02283-2" TargetMode="External"/><Relationship Id="rId552" Type="http://schemas.openxmlformats.org/officeDocument/2006/relationships/hyperlink" Target="http://doi.org/10.1046/j.1442-9993.2001.01131.x" TargetMode="External"/><Relationship Id="rId997" Type="http://schemas.openxmlformats.org/officeDocument/2006/relationships/image" Target="media/image119.jpeg"/><Relationship Id="rId191" Type="http://schemas.openxmlformats.org/officeDocument/2006/relationships/hyperlink" Target="http://doi.org/10.1111/j.1523-1739.2004.00166.x" TargetMode="External"/><Relationship Id="rId205" Type="http://schemas.openxmlformats.org/officeDocument/2006/relationships/hyperlink" Target="http://doi.org/10.1111/cobi.12663" TargetMode="External"/><Relationship Id="rId412" Type="http://schemas.openxmlformats.org/officeDocument/2006/relationships/hyperlink" Target="http://doi.org/10.1146/annurev.es.13.110182.000551" TargetMode="External"/><Relationship Id="rId857" Type="http://schemas.openxmlformats.org/officeDocument/2006/relationships/hyperlink" Target="https://doi.org/10.1126/science.1256688" TargetMode="External"/><Relationship Id="rId1042" Type="http://schemas.openxmlformats.org/officeDocument/2006/relationships/image" Target="media/image138.jpeg"/><Relationship Id="rId289" Type="http://schemas.openxmlformats.org/officeDocument/2006/relationships/hyperlink" Target="http://doi.org/10.1073/pnas.0812419106" TargetMode="External"/><Relationship Id="rId496" Type="http://schemas.openxmlformats.org/officeDocument/2006/relationships/hyperlink" Target="http://doi.org/10.4067/s0716-078x2005000100010" TargetMode="External"/><Relationship Id="rId717" Type="http://schemas.openxmlformats.org/officeDocument/2006/relationships/hyperlink" Target="http://doi.org/10.1086/284889" TargetMode="External"/><Relationship Id="rId924" Type="http://schemas.openxmlformats.org/officeDocument/2006/relationships/hyperlink" Target="http://doi.org/10.2307/1551414" TargetMode="External"/><Relationship Id="rId53" Type="http://schemas.openxmlformats.org/officeDocument/2006/relationships/image" Target="media/image23.jpeg"/><Relationship Id="rId149" Type="http://schemas.openxmlformats.org/officeDocument/2006/relationships/image" Target="media/image97.jpeg"/><Relationship Id="rId356" Type="http://schemas.openxmlformats.org/officeDocument/2006/relationships/hyperlink" Target="https://scholarworks.umb.edu/masters_theses/415" TargetMode="External"/><Relationship Id="rId563" Type="http://schemas.openxmlformats.org/officeDocument/2006/relationships/hyperlink" Target="https://doi.org/10.1126/science.1239268" TargetMode="External"/><Relationship Id="rId770" Type="http://schemas.openxmlformats.org/officeDocument/2006/relationships/hyperlink" Target="https://birdsna.org" TargetMode="External"/><Relationship Id="rId216" Type="http://schemas.openxmlformats.org/officeDocument/2006/relationships/hyperlink" Target="http://www.humboldt.org.co/es/estado-de-los-recursos-naturales/item/898-bio2015" TargetMode="External"/><Relationship Id="rId423" Type="http://schemas.openxmlformats.org/officeDocument/2006/relationships/hyperlink" Target="http://doi.org/10.1146/annurev.marine.010908.163930" TargetMode="External"/><Relationship Id="rId868" Type="http://schemas.openxmlformats.org/officeDocument/2006/relationships/hyperlink" Target="http://doi.org/10.1098/rstb.2010.0134" TargetMode="External"/><Relationship Id="rId1053" Type="http://schemas.openxmlformats.org/officeDocument/2006/relationships/image" Target="media/image146.jpeg"/><Relationship Id="rId630" Type="http://schemas.openxmlformats.org/officeDocument/2006/relationships/hyperlink" Target="http://doi.org/10.1890/070064" TargetMode="External"/><Relationship Id="rId728" Type="http://schemas.openxmlformats.org/officeDocument/2006/relationships/hyperlink" Target="http://doi.org/10.1007/s11104-006-9134-z" TargetMode="External"/><Relationship Id="rId935" Type="http://schemas.openxmlformats.org/officeDocument/2006/relationships/hyperlink" Target="http://doi.org/10.1643/CH-15-300" TargetMode="External"/><Relationship Id="rId64" Type="http://schemas.openxmlformats.org/officeDocument/2006/relationships/image" Target="media/image32.jpeg"/><Relationship Id="rId367" Type="http://schemas.openxmlformats.org/officeDocument/2006/relationships/hyperlink" Target="https://doi.org/10.1038/nclimate1465" TargetMode="External"/><Relationship Id="rId574" Type="http://schemas.openxmlformats.org/officeDocument/2006/relationships/hyperlink" Target="http://stacks.iop.org/1748-9326/2/i=4/a=045013" TargetMode="External"/><Relationship Id="rId1120" Type="http://schemas.openxmlformats.org/officeDocument/2006/relationships/hyperlink" Target="https://doi.org/10.1016/j.tree.2017.10.004" TargetMode="External"/><Relationship Id="rId227" Type="http://schemas.openxmlformats.org/officeDocument/2006/relationships/hyperlink" Target="https://doi.org/10.1175/2010EI315.1" TargetMode="External"/><Relationship Id="rId781" Type="http://schemas.openxmlformats.org/officeDocument/2006/relationships/hyperlink" Target="https://doi.org/10.1890/070020" TargetMode="External"/><Relationship Id="rId879" Type="http://schemas.openxmlformats.org/officeDocument/2006/relationships/hyperlink" Target="http://doi.org/10.1111/geb.12182" TargetMode="External"/><Relationship Id="rId434" Type="http://schemas.openxmlformats.org/officeDocument/2006/relationships/hyperlink" Target="http://doi.org/10.1016/j.biocon.2017.04.021" TargetMode="External"/><Relationship Id="rId641" Type="http://schemas.openxmlformats.org/officeDocument/2006/relationships/hyperlink" Target="http://doi.org/10.11646/phytotaxa.160.1.1%0A" TargetMode="External"/><Relationship Id="rId739" Type="http://schemas.openxmlformats.org/officeDocument/2006/relationships/hyperlink" Target="https://cran.r-project.org/" TargetMode="External"/><Relationship Id="rId1064" Type="http://schemas.openxmlformats.org/officeDocument/2006/relationships/header" Target="header6.xml"/><Relationship Id="rId280" Type="http://schemas.openxmlformats.org/officeDocument/2006/relationships/hyperlink" Target="http://doi.org/10.3390/w6051187" TargetMode="External"/><Relationship Id="rId501" Type="http://schemas.openxmlformats.org/officeDocument/2006/relationships/hyperlink" Target="http://www.iucnredlist.org" TargetMode="External"/><Relationship Id="rId946" Type="http://schemas.openxmlformats.org/officeDocument/2006/relationships/hyperlink" Target="http://doi.org/10.1111/geb.12423" TargetMode="External"/><Relationship Id="rId1131" Type="http://schemas.openxmlformats.org/officeDocument/2006/relationships/hyperlink" Target="https://doi.org/10.3375/043.036.0417" TargetMode="External"/><Relationship Id="rId75" Type="http://schemas.openxmlformats.org/officeDocument/2006/relationships/hyperlink" Target="http://www.traditionalanimalfoods.org" TargetMode="External"/><Relationship Id="rId140" Type="http://schemas.openxmlformats.org/officeDocument/2006/relationships/image" Target="media/image88.jpeg"/><Relationship Id="rId378" Type="http://schemas.openxmlformats.org/officeDocument/2006/relationships/hyperlink" Target="http://doi.org/10.1016/0006-3207(94)00102-V" TargetMode="External"/><Relationship Id="rId585" Type="http://schemas.openxmlformats.org/officeDocument/2006/relationships/hyperlink" Target="http://doi.org/10.3750/AIP2011.41.3.11" TargetMode="External"/><Relationship Id="rId792" Type="http://schemas.openxmlformats.org/officeDocument/2006/relationships/hyperlink" Target="http://doi.org/10.1016/j.gloplacha.2015.02.009" TargetMode="External"/><Relationship Id="rId806" Type="http://schemas.openxmlformats.org/officeDocument/2006/relationships/hyperlink" Target="http://doi.org/10.1038/nature08031" TargetMode="External"/><Relationship Id="rId6" Type="http://schemas.openxmlformats.org/officeDocument/2006/relationships/styles" Target="styles.xml"/><Relationship Id="rId238" Type="http://schemas.openxmlformats.org/officeDocument/2006/relationships/hyperlink" Target="http://doi.org/10.1007/s10750-007-9244-5" TargetMode="External"/><Relationship Id="rId445" Type="http://schemas.openxmlformats.org/officeDocument/2006/relationships/hyperlink" Target="https://www.routledgehandbooks.com/doi/10.4324/9781315849256.ch14" TargetMode="External"/><Relationship Id="rId652" Type="http://schemas.openxmlformats.org/officeDocument/2006/relationships/hyperlink" Target="http://doi.org/10.1038/35002501" TargetMode="External"/><Relationship Id="rId1075" Type="http://schemas.openxmlformats.org/officeDocument/2006/relationships/hyperlink" Target="https://nationalzoo.si.edu/migratory-birds/bird-friendly-coffee" TargetMode="External"/><Relationship Id="rId291" Type="http://schemas.openxmlformats.org/officeDocument/2006/relationships/hyperlink" Target="http://doi.org/10.1016/j.landurbplan.2004.08.007" TargetMode="External"/><Relationship Id="rId305" Type="http://schemas.openxmlformats.org/officeDocument/2006/relationships/hyperlink" Target="http://doi.org/10.1126/science.282.5389.682" TargetMode="External"/><Relationship Id="rId512" Type="http://schemas.openxmlformats.org/officeDocument/2006/relationships/hyperlink" Target="https://doi.org/10.1038/nplants.2016.24" TargetMode="External"/><Relationship Id="rId957" Type="http://schemas.openxmlformats.org/officeDocument/2006/relationships/hyperlink" Target="http://doi.org/10.2166/nh.2014.004" TargetMode="External"/><Relationship Id="rId1142" Type="http://schemas.openxmlformats.org/officeDocument/2006/relationships/header" Target="header8.xml"/><Relationship Id="rId86" Type="http://schemas.openxmlformats.org/officeDocument/2006/relationships/image" Target="media/image43.jpeg"/><Relationship Id="rId151" Type="http://schemas.openxmlformats.org/officeDocument/2006/relationships/image" Target="media/image99.jpeg"/><Relationship Id="rId389" Type="http://schemas.openxmlformats.org/officeDocument/2006/relationships/hyperlink" Target="http://doi.org/10.1007/s10021-004-0047-5" TargetMode="External"/><Relationship Id="rId596" Type="http://schemas.openxmlformats.org/officeDocument/2006/relationships/hyperlink" Target="http://doi.org/10.1111/j.1365-2664.2005.01019.x" TargetMode="External"/><Relationship Id="rId817" Type="http://schemas.openxmlformats.org/officeDocument/2006/relationships/hyperlink" Target="http://doi.org/10.1007/s12229-010-9061-9" TargetMode="External"/><Relationship Id="rId1002" Type="http://schemas.openxmlformats.org/officeDocument/2006/relationships/hyperlink" Target="https://doi.org/10.1111/j.1744-7429.2005.00071.x" TargetMode="External"/><Relationship Id="rId249" Type="http://schemas.openxmlformats.org/officeDocument/2006/relationships/hyperlink" Target="https://doi.org/10.1111/j.1365-2745.2007.01295.x" TargetMode="External"/><Relationship Id="rId456" Type="http://schemas.openxmlformats.org/officeDocument/2006/relationships/hyperlink" Target="https://doi.org/10.1126/sciadv.1500052" TargetMode="External"/><Relationship Id="rId663" Type="http://schemas.openxmlformats.org/officeDocument/2006/relationships/hyperlink" Target="https://github.com/davidnipperess/PDcalc" TargetMode="External"/><Relationship Id="rId870" Type="http://schemas.openxmlformats.org/officeDocument/2006/relationships/hyperlink" Target="http://doi.org/10.1073/pnas.0901562106" TargetMode="External"/><Relationship Id="rId1086" Type="http://schemas.openxmlformats.org/officeDocument/2006/relationships/image" Target="media/image157.jpeg"/><Relationship Id="rId13" Type="http://schemas.openxmlformats.org/officeDocument/2006/relationships/image" Target="media/image3.jpeg"/><Relationship Id="rId109" Type="http://schemas.openxmlformats.org/officeDocument/2006/relationships/hyperlink" Target="https://doi.org/doi:10.5061/dryad.6gb90.2" TargetMode="External"/><Relationship Id="rId316" Type="http://schemas.openxmlformats.org/officeDocument/2006/relationships/hyperlink" Target="https://doi.org/10.1073/pnas.1520420113" TargetMode="External"/><Relationship Id="rId523" Type="http://schemas.openxmlformats.org/officeDocument/2006/relationships/hyperlink" Target="http://doi.org/10.1094/PDIS-12-10-0944" TargetMode="External"/><Relationship Id="rId968" Type="http://schemas.openxmlformats.org/officeDocument/2006/relationships/image" Target="media/image104.jpeg"/><Relationship Id="rId97" Type="http://schemas.openxmlformats.org/officeDocument/2006/relationships/image" Target="media/image54.jpeg"/><Relationship Id="rId730" Type="http://schemas.openxmlformats.org/officeDocument/2006/relationships/hyperlink" Target="http://doi.org/10.1590/S1519-69842011000200005" TargetMode="External"/><Relationship Id="rId828" Type="http://schemas.openxmlformats.org/officeDocument/2006/relationships/hyperlink" Target="http://www.southwesternherp.com/snakes" TargetMode="External"/><Relationship Id="rId1013" Type="http://schemas.openxmlformats.org/officeDocument/2006/relationships/hyperlink" Target="https://www.ncbi.nlm.nih.gov/pmc/articles/PMC153663/" TargetMode="External"/><Relationship Id="rId162" Type="http://schemas.openxmlformats.org/officeDocument/2006/relationships/hyperlink" Target="http://doi.org/10.1590/S1519-69842011000200001" TargetMode="External"/><Relationship Id="rId467" Type="http://schemas.openxmlformats.org/officeDocument/2006/relationships/hyperlink" Target="https://doi.org/10.1371/journal.pone.0017434" TargetMode="External"/><Relationship Id="rId1097" Type="http://schemas.openxmlformats.org/officeDocument/2006/relationships/hyperlink" Target="http://www.ecologyandsociety.org/vol11/iss2/art8/" TargetMode="External"/><Relationship Id="rId674" Type="http://schemas.openxmlformats.org/officeDocument/2006/relationships/hyperlink" Target="http://doi.org/10.1002/2016WR018596" TargetMode="External"/><Relationship Id="rId881" Type="http://schemas.openxmlformats.org/officeDocument/2006/relationships/hyperlink" Target="http://doi.org/10.4319/lo.2009.54.5.1634" TargetMode="External"/><Relationship Id="rId979" Type="http://schemas.openxmlformats.org/officeDocument/2006/relationships/image" Target="media/image107.jpeg"/><Relationship Id="rId24" Type="http://schemas.openxmlformats.org/officeDocument/2006/relationships/image" Target="media/image14.jpeg"/><Relationship Id="rId327" Type="http://schemas.openxmlformats.org/officeDocument/2006/relationships/hyperlink" Target="http://doi.org/10.1890/07-1638.1" TargetMode="External"/><Relationship Id="rId534" Type="http://schemas.openxmlformats.org/officeDocument/2006/relationships/hyperlink" Target="https://doi.org/10.1073/pnas.1313490111" TargetMode="External"/><Relationship Id="rId741" Type="http://schemas.openxmlformats.org/officeDocument/2006/relationships/hyperlink" Target="http://doi.org/10.1579/0044-7447-31.3.251" TargetMode="External"/><Relationship Id="rId839" Type="http://schemas.openxmlformats.org/officeDocument/2006/relationships/hyperlink" Target="http://doi.org/10.1126/science.1205740" TargetMode="External"/><Relationship Id="rId173" Type="http://schemas.openxmlformats.org/officeDocument/2006/relationships/hyperlink" Target="http://doi.org/10.3732/ajb.1300349" TargetMode="External"/><Relationship Id="rId380" Type="http://schemas.openxmlformats.org/officeDocument/2006/relationships/hyperlink" Target="http://doi.org/10.1111/j.1365-2745.2012.01955.x" TargetMode="External"/><Relationship Id="rId601" Type="http://schemas.openxmlformats.org/officeDocument/2006/relationships/hyperlink" Target="http://doi.org/10.3354/meps11674" TargetMode="External"/><Relationship Id="rId1024" Type="http://schemas.openxmlformats.org/officeDocument/2006/relationships/hyperlink" Target="http://www.worldometers.info/world-population/population-by-region/" TargetMode="External"/><Relationship Id="rId240" Type="http://schemas.openxmlformats.org/officeDocument/2006/relationships/hyperlink" Target="https://doi.org/10.1038/ncomms12986" TargetMode="External"/><Relationship Id="rId478" Type="http://schemas.openxmlformats.org/officeDocument/2006/relationships/hyperlink" Target="http://doi.org/10.1111/j.1523-1739.2007.00740.x" TargetMode="External"/><Relationship Id="rId685" Type="http://schemas.openxmlformats.org/officeDocument/2006/relationships/hyperlink" Target="https://doi.org/10.1111/ddi.12380" TargetMode="External"/><Relationship Id="rId892" Type="http://schemas.openxmlformats.org/officeDocument/2006/relationships/hyperlink" Target="http://www.landfire.gov" TargetMode="External"/><Relationship Id="rId906" Type="http://schemas.openxmlformats.org/officeDocument/2006/relationships/hyperlink" Target="https://doi.org/10.1093/biosci/biv118" TargetMode="External"/><Relationship Id="rId35" Type="http://schemas.openxmlformats.org/officeDocument/2006/relationships/hyperlink" Target="http://wdpa.s3.amazonaws.com/WPC2014/protected_planet_report.pdf" TargetMode="External"/><Relationship Id="rId100" Type="http://schemas.openxmlformats.org/officeDocument/2006/relationships/hyperlink" Target="http://www.ramsar.org/sites/default/files/documents/library/cop12_res12_water_requirements_e.pdf" TargetMode="External"/><Relationship Id="rId338" Type="http://schemas.openxmlformats.org/officeDocument/2006/relationships/hyperlink" Target="http://doi.org/10.1016/j.jnc.2015.09.007" TargetMode="External"/><Relationship Id="rId545" Type="http://schemas.openxmlformats.org/officeDocument/2006/relationships/hyperlink" Target="http://doi.org/10.1590/0102-33062016abb0192" TargetMode="External"/><Relationship Id="rId752" Type="http://schemas.openxmlformats.org/officeDocument/2006/relationships/hyperlink" Target="http://doi.org/10.1016/j.foreco.2013.05.041" TargetMode="External"/><Relationship Id="rId184" Type="http://schemas.openxmlformats.org/officeDocument/2006/relationships/hyperlink" Target="http://doi.org/10.1016/S0006-3207(02)00359-2" TargetMode="External"/><Relationship Id="rId391" Type="http://schemas.openxmlformats.org/officeDocument/2006/relationships/hyperlink" Target="https://www.gpo.gov/fdsys/pkg/FR-2016-01-29/pdf/2016-01769.pdf" TargetMode="External"/><Relationship Id="rId405" Type="http://schemas.openxmlformats.org/officeDocument/2006/relationships/hyperlink" Target="https://doi.org/10.3733/ca.v063n03p113" TargetMode="External"/><Relationship Id="rId612" Type="http://schemas.openxmlformats.org/officeDocument/2006/relationships/hyperlink" Target="http://doi.org/10.1016/j.biocon.2005.09.005" TargetMode="External"/><Relationship Id="rId1035" Type="http://schemas.openxmlformats.org/officeDocument/2006/relationships/image" Target="media/image131.jpeg"/><Relationship Id="rId251" Type="http://schemas.openxmlformats.org/officeDocument/2006/relationships/hyperlink" Target="http://doi.org/10.1016/j.jhydrol.2004.12.010" TargetMode="External"/><Relationship Id="rId489" Type="http://schemas.openxmlformats.org/officeDocument/2006/relationships/hyperlink" Target="http://doi.org/10.5194/essd-5-3-2013" TargetMode="External"/><Relationship Id="rId696" Type="http://schemas.openxmlformats.org/officeDocument/2006/relationships/hyperlink" Target="https://doi.org/10.1002/ecs2.2105" TargetMode="External"/><Relationship Id="rId917" Type="http://schemas.openxmlformats.org/officeDocument/2006/relationships/hyperlink" Target="https://doi.org/10.1126/science.1170261" TargetMode="External"/><Relationship Id="rId1102" Type="http://schemas.openxmlformats.org/officeDocument/2006/relationships/hyperlink" Target="http://dx.doi.org/10.1098/rstb.2014.0281" TargetMode="External"/><Relationship Id="rId46" Type="http://schemas.openxmlformats.org/officeDocument/2006/relationships/footer" Target="footer2.xml"/><Relationship Id="rId349" Type="http://schemas.openxmlformats.org/officeDocument/2006/relationships/hyperlink" Target="http://doi.org/10.1002/grl.50563" TargetMode="External"/><Relationship Id="rId556" Type="http://schemas.openxmlformats.org/officeDocument/2006/relationships/hyperlink" Target="https://doi.org/10.1007/s10531-014-0664-z" TargetMode="External"/><Relationship Id="rId763" Type="http://schemas.openxmlformats.org/officeDocument/2006/relationships/hyperlink" Target="http://doi.org/10.21425/F59232082" TargetMode="External"/><Relationship Id="rId111" Type="http://schemas.openxmlformats.org/officeDocument/2006/relationships/hyperlink" Target="https://doi.org/10.1016/j.anifeedsci.2011.04.074" TargetMode="External"/><Relationship Id="rId195" Type="http://schemas.openxmlformats.org/officeDocument/2006/relationships/hyperlink" Target="http://doi.org/10.1046/j.1461-0248.2003.00445.x" TargetMode="External"/><Relationship Id="rId209" Type="http://schemas.openxmlformats.org/officeDocument/2006/relationships/hyperlink" Target="https://search.proquest.com/docview/1564773458?accountid=14621" TargetMode="External"/><Relationship Id="rId416" Type="http://schemas.openxmlformats.org/officeDocument/2006/relationships/hyperlink" Target="https://doi.org/10.1038/ncomms2328" TargetMode="External"/><Relationship Id="rId970" Type="http://schemas.openxmlformats.org/officeDocument/2006/relationships/hyperlink" Target="http://www.worldometers.info/world-population/population-by-region/" TargetMode="External"/><Relationship Id="rId1046" Type="http://schemas.openxmlformats.org/officeDocument/2006/relationships/hyperlink" Target="http://www.chesapeakebay.net/indicators/indicator/bay_grass_abundance_baywide" TargetMode="External"/><Relationship Id="rId623" Type="http://schemas.openxmlformats.org/officeDocument/2006/relationships/hyperlink" Target="http://doi.org/10.1016/j.gloplacha.2008.03.001" TargetMode="External"/><Relationship Id="rId830" Type="http://schemas.openxmlformats.org/officeDocument/2006/relationships/hyperlink" Target="https://doi.org/10.1073/pnas.0601434103" TargetMode="External"/><Relationship Id="rId928" Type="http://schemas.openxmlformats.org/officeDocument/2006/relationships/hyperlink" Target="http://doi.org/10.1038/nature13947" TargetMode="External"/><Relationship Id="rId57" Type="http://schemas.openxmlformats.org/officeDocument/2006/relationships/image" Target="media/image27.jpeg"/><Relationship Id="rId262" Type="http://schemas.openxmlformats.org/officeDocument/2006/relationships/hyperlink" Target="http://doi.org/10.1002/hyp.5867" TargetMode="External"/><Relationship Id="rId567" Type="http://schemas.openxmlformats.org/officeDocument/2006/relationships/hyperlink" Target="http://doi.org/10.1016/j.soilbio.2006.09.020" TargetMode="External"/><Relationship Id="rId1113" Type="http://schemas.openxmlformats.org/officeDocument/2006/relationships/hyperlink" Target="http://muse.jhu.edu/journals/global_environmental_politics" TargetMode="External"/><Relationship Id="rId122" Type="http://schemas.openxmlformats.org/officeDocument/2006/relationships/image" Target="media/image70.jpeg"/><Relationship Id="rId774" Type="http://schemas.openxmlformats.org/officeDocument/2006/relationships/hyperlink" Target="http://doi.org/10.1086/285526" TargetMode="External"/><Relationship Id="rId981" Type="http://schemas.openxmlformats.org/officeDocument/2006/relationships/image" Target="media/image109.jpeg"/><Relationship Id="rId1057" Type="http://schemas.openxmlformats.org/officeDocument/2006/relationships/hyperlink" Target="http://sirene.mcti.gov.br" TargetMode="External"/><Relationship Id="rId427" Type="http://schemas.openxmlformats.org/officeDocument/2006/relationships/hyperlink" Target="http://www.jstor.org/stable/40595396%5Cnhttp://about.jstor.org/terms" TargetMode="External"/><Relationship Id="rId634" Type="http://schemas.openxmlformats.org/officeDocument/2006/relationships/hyperlink" Target="http://doi.org/10.1007/s10722-017-0538-9" TargetMode="External"/><Relationship Id="rId841" Type="http://schemas.openxmlformats.org/officeDocument/2006/relationships/hyperlink" Target="http://doi.org/10.1111/jbi.12466" TargetMode="External"/><Relationship Id="rId273" Type="http://schemas.openxmlformats.org/officeDocument/2006/relationships/hyperlink" Target="http://www.biodiversidad.gob.mx/pais/cien_casos/pdf/Cien%20casos.pdf" TargetMode="External"/><Relationship Id="rId480" Type="http://schemas.openxmlformats.org/officeDocument/2006/relationships/hyperlink" Target="https://doi.org/10.1038/nature11118" TargetMode="External"/><Relationship Id="rId701" Type="http://schemas.openxmlformats.org/officeDocument/2006/relationships/hyperlink" Target="http://doi.org/10.2192/1537-6176(2005)016%5B0222:DPHAFT%5D2.0.CO;2" TargetMode="External"/><Relationship Id="rId939" Type="http://schemas.openxmlformats.org/officeDocument/2006/relationships/hyperlink" Target="http://doi.org/10.1002/2015GL064924" TargetMode="External"/><Relationship Id="rId1124" Type="http://schemas.openxmlformats.org/officeDocument/2006/relationships/hyperlink" Target="http://dx.doi.org/10.1098/rstb.2014.0280" TargetMode="External"/><Relationship Id="rId68" Type="http://schemas.openxmlformats.org/officeDocument/2006/relationships/image" Target="media/image35.jpeg"/><Relationship Id="rId133" Type="http://schemas.openxmlformats.org/officeDocument/2006/relationships/image" Target="media/image81.jpeg"/><Relationship Id="rId340" Type="http://schemas.openxmlformats.org/officeDocument/2006/relationships/hyperlink" Target="https://doi.org/http://dx.doi.org/10.1098/rspb.2016.1435" TargetMode="External"/><Relationship Id="rId578" Type="http://schemas.openxmlformats.org/officeDocument/2006/relationships/hyperlink" Target="http://doi.org/10.1016/j.flora.2013.11.006" TargetMode="External"/><Relationship Id="rId785" Type="http://schemas.openxmlformats.org/officeDocument/2006/relationships/hyperlink" Target="http://doi.org/10.5642/aliso.19911301.02" TargetMode="External"/><Relationship Id="rId992" Type="http://schemas.openxmlformats.org/officeDocument/2006/relationships/image" Target="media/image114.jpeg"/><Relationship Id="rId200" Type="http://schemas.openxmlformats.org/officeDocument/2006/relationships/hyperlink" Target="http://doi.org/10.1146/annurev-ecolsys-110512-135847" TargetMode="External"/><Relationship Id="rId438" Type="http://schemas.openxmlformats.org/officeDocument/2006/relationships/hyperlink" Target="http://publications.gc.ca/collections/Collection/CW66-116-1991E.pdf" TargetMode="External"/><Relationship Id="rId645" Type="http://schemas.openxmlformats.org/officeDocument/2006/relationships/hyperlink" Target="https://doi.org/10.1126/science.1121129" TargetMode="External"/><Relationship Id="rId852" Type="http://schemas.openxmlformats.org/officeDocument/2006/relationships/hyperlink" Target="http://doi.org/10.1016/j.biocon.2010.02.005" TargetMode="External"/><Relationship Id="rId1068" Type="http://schemas.openxmlformats.org/officeDocument/2006/relationships/hyperlink" Target="https://www.cbd.int/decision/cop/?id=7197" TargetMode="External"/><Relationship Id="rId284" Type="http://schemas.openxmlformats.org/officeDocument/2006/relationships/hyperlink" Target="http://doi.org/10.1007/s00267-015-0510-4" TargetMode="External"/><Relationship Id="rId491" Type="http://schemas.openxmlformats.org/officeDocument/2006/relationships/hyperlink" Target="http://www.ianas.org/docs/books/wbp08.pdf" TargetMode="External"/><Relationship Id="rId505" Type="http://schemas.openxmlformats.org/officeDocument/2006/relationships/hyperlink" Target="http://doi.org/10.1126/science.1119282" TargetMode="External"/><Relationship Id="rId712" Type="http://schemas.openxmlformats.org/officeDocument/2006/relationships/hyperlink" Target="http://doi.org/10.1890/1051-0761(2001)011%5B0914:PFIOSF%5D2.0.CO;2" TargetMode="External"/><Relationship Id="rId1135" Type="http://schemas.openxmlformats.org/officeDocument/2006/relationships/hyperlink" Target="http://www.naturalcapitalfinancealliance.org/documents/wgi/NCD%20-%20SOFT" TargetMode="External"/><Relationship Id="rId79" Type="http://schemas.openxmlformats.org/officeDocument/2006/relationships/image" Target="media/image39.jpeg"/><Relationship Id="rId144" Type="http://schemas.openxmlformats.org/officeDocument/2006/relationships/image" Target="media/image92.jpeg"/><Relationship Id="rId589" Type="http://schemas.openxmlformats.org/officeDocument/2006/relationships/hyperlink" Target="http://doi.org/10.1080/14888386.2015.1117989" TargetMode="External"/><Relationship Id="rId796" Type="http://schemas.openxmlformats.org/officeDocument/2006/relationships/hyperlink" Target="http://doi.org/10.1016/j.envpol.2005.07.013" TargetMode="External"/><Relationship Id="rId351" Type="http://schemas.openxmlformats.org/officeDocument/2006/relationships/hyperlink" Target="http://dx.doi.org/10.2305/IUCN.UK.2015-2.RLTS.T7750A21939518.en." TargetMode="External"/><Relationship Id="rId449" Type="http://schemas.openxmlformats.org/officeDocument/2006/relationships/hyperlink" Target="http://doi.org/10.1016/j.jaridenv.2011.04.036" TargetMode="External"/><Relationship Id="rId656" Type="http://schemas.openxmlformats.org/officeDocument/2006/relationships/hyperlink" Target="http://doi.org/10.1890/04-0268" TargetMode="External"/><Relationship Id="rId863" Type="http://schemas.openxmlformats.org/officeDocument/2006/relationships/hyperlink" Target="https://doi.org/10.1038/srep29549" TargetMode="External"/><Relationship Id="rId1079" Type="http://schemas.openxmlformats.org/officeDocument/2006/relationships/image" Target="media/image154.jpeg"/><Relationship Id="rId211" Type="http://schemas.openxmlformats.org/officeDocument/2006/relationships/hyperlink" Target="http://doi.org/10.1073/pnas.0708921105" TargetMode="External"/><Relationship Id="rId295" Type="http://schemas.openxmlformats.org/officeDocument/2006/relationships/hyperlink" Target="http://doi.org/10.2307/1939337" TargetMode="External"/><Relationship Id="rId309" Type="http://schemas.openxmlformats.org/officeDocument/2006/relationships/hyperlink" Target="http://doi.org/10.4067/S0716-078X2011000300001" TargetMode="External"/><Relationship Id="rId516" Type="http://schemas.openxmlformats.org/officeDocument/2006/relationships/hyperlink" Target="http://doi.org/10.1111/j.1461-0248.2011.01693.x" TargetMode="External"/><Relationship Id="rId723" Type="http://schemas.openxmlformats.org/officeDocument/2006/relationships/hyperlink" Target="http://doi.org/10.1017/S0376892911000208" TargetMode="External"/><Relationship Id="rId930" Type="http://schemas.openxmlformats.org/officeDocument/2006/relationships/hyperlink" Target="http://doi.org/10.1890/13-0160.1" TargetMode="External"/><Relationship Id="rId1006" Type="http://schemas.openxmlformats.org/officeDocument/2006/relationships/hyperlink" Target="http://www.ramsar.org/sites/default/files/documents/library/cop12_nr_honduras.pdf" TargetMode="External"/><Relationship Id="rId155" Type="http://schemas.openxmlformats.org/officeDocument/2006/relationships/hyperlink" Target="https://doi.org/10.1126/science.aaa1668" TargetMode="External"/><Relationship Id="rId362" Type="http://schemas.openxmlformats.org/officeDocument/2006/relationships/hyperlink" Target="http://doi.org/10.1111/j.1365-2486.2012.02761.x" TargetMode="External"/><Relationship Id="rId222" Type="http://schemas.openxmlformats.org/officeDocument/2006/relationships/hyperlink" Target="http://doi.org/10.1098/rspb.2016.0957" TargetMode="External"/><Relationship Id="rId667" Type="http://schemas.openxmlformats.org/officeDocument/2006/relationships/hyperlink" Target="https://www.worldwildlife.org/habitats/grasslands" TargetMode="External"/><Relationship Id="rId874" Type="http://schemas.openxmlformats.org/officeDocument/2006/relationships/hyperlink" Target="http://doi.org/10.1016/J.LANDURBPLAN.2012.12.003" TargetMode="External"/><Relationship Id="rId17" Type="http://schemas.openxmlformats.org/officeDocument/2006/relationships/image" Target="media/image7.jpeg"/><Relationship Id="rId527" Type="http://schemas.openxmlformats.org/officeDocument/2006/relationships/hyperlink" Target="https://doi.org/10.1038/nature09575" TargetMode="External"/><Relationship Id="rId734" Type="http://schemas.openxmlformats.org/officeDocument/2006/relationships/hyperlink" Target="http://doi.org/10.1093/sysbio/syu042" TargetMode="External"/><Relationship Id="rId941" Type="http://schemas.openxmlformats.org/officeDocument/2006/relationships/hyperlink" Target="https://stateoftheworldsplants.com/2016/" TargetMode="External"/><Relationship Id="rId70" Type="http://schemas.openxmlformats.org/officeDocument/2006/relationships/hyperlink" Target="http://www.fao.org/faostat/en/%23data/FO" TargetMode="External"/><Relationship Id="rId166" Type="http://schemas.openxmlformats.org/officeDocument/2006/relationships/hyperlink" Target="http://doi.org/10.1007/s11258-010-9727-8" TargetMode="External"/><Relationship Id="rId373" Type="http://schemas.openxmlformats.org/officeDocument/2006/relationships/hyperlink" Target="https://doi.org/10.1111/j.1529-8817.2003.00774.x" TargetMode="External"/><Relationship Id="rId580" Type="http://schemas.openxmlformats.org/officeDocument/2006/relationships/hyperlink" Target="http://doi.org/10.1038/35083573" TargetMode="External"/><Relationship Id="rId801" Type="http://schemas.openxmlformats.org/officeDocument/2006/relationships/hyperlink" Target="http://doi.org/10.1007/s00792-009-0268-9" TargetMode="External"/><Relationship Id="rId1017" Type="http://schemas.openxmlformats.org/officeDocument/2006/relationships/hyperlink" Target="https://www.scribd.com/document/98703779/Inventario-de-Humedales-de-Honduras" TargetMode="External"/><Relationship Id="rId1" Type="http://schemas.openxmlformats.org/officeDocument/2006/relationships/customXml" Target="../customXml/item1.xml"/><Relationship Id="rId233" Type="http://schemas.openxmlformats.org/officeDocument/2006/relationships/hyperlink" Target="http://doi.org/10.15517/rbt.v61i1.23185" TargetMode="External"/><Relationship Id="rId440" Type="http://schemas.openxmlformats.org/officeDocument/2006/relationships/hyperlink" Target="http://doi.org/10.1007/s11258-011-9972-5" TargetMode="External"/><Relationship Id="rId678" Type="http://schemas.openxmlformats.org/officeDocument/2006/relationships/hyperlink" Target="http://doi.org/10.1007/978-3-319-13494-9_19" TargetMode="External"/><Relationship Id="rId885" Type="http://schemas.openxmlformats.org/officeDocument/2006/relationships/hyperlink" Target="http://doi.org/10.1111/j.1366-9516.2005.00226.x" TargetMode="External"/><Relationship Id="rId1070" Type="http://schemas.openxmlformats.org/officeDocument/2006/relationships/hyperlink" Target="http://www.fs.fed.us/" TargetMode="External"/><Relationship Id="rId28" Type="http://schemas.openxmlformats.org/officeDocument/2006/relationships/image" Target="media/image17.jpeg"/><Relationship Id="rId300" Type="http://schemas.openxmlformats.org/officeDocument/2006/relationships/hyperlink" Target="http://doi.org/10.1038/nature12156" TargetMode="External"/><Relationship Id="rId538" Type="http://schemas.openxmlformats.org/officeDocument/2006/relationships/hyperlink" Target="https://doi.org/10.1016/j.foreco.2015.05.036" TargetMode="External"/><Relationship Id="rId745" Type="http://schemas.openxmlformats.org/officeDocument/2006/relationships/hyperlink" Target="http://doi.org/10.1146/annurev-ento-112408-085351" TargetMode="External"/><Relationship Id="rId952" Type="http://schemas.openxmlformats.org/officeDocument/2006/relationships/hyperlink" Target="http://doi.org/10.1126/science.1173146" TargetMode="External"/><Relationship Id="rId81" Type="http://schemas.openxmlformats.org/officeDocument/2006/relationships/image" Target="media/image41.jpeg"/><Relationship Id="rId177" Type="http://schemas.openxmlformats.org/officeDocument/2006/relationships/hyperlink" Target="http://doi.org/10.1016/j.jhydrol.2003.12.015" TargetMode="External"/><Relationship Id="rId384" Type="http://schemas.openxmlformats.org/officeDocument/2006/relationships/hyperlink" Target="http://www.fao.org/3/a-i2727e.pdf" TargetMode="External"/><Relationship Id="rId591" Type="http://schemas.openxmlformats.org/officeDocument/2006/relationships/hyperlink" Target="http://doi.org/10.1126/science.255.5047.976" TargetMode="External"/><Relationship Id="rId605" Type="http://schemas.openxmlformats.org/officeDocument/2006/relationships/hyperlink" Target="http://doi.org/10.1603/0013-8746(2000)093%5B0825:EOUAAR%5D2.0.CO;2" TargetMode="External"/><Relationship Id="rId812" Type="http://schemas.openxmlformats.org/officeDocument/2006/relationships/hyperlink" Target="http://doi.org/10.1525/bio.2010.60.3.6" TargetMode="External"/><Relationship Id="rId1028" Type="http://schemas.openxmlformats.org/officeDocument/2006/relationships/image" Target="media/image124.jpeg"/><Relationship Id="rId244" Type="http://schemas.openxmlformats.org/officeDocument/2006/relationships/hyperlink" Target="http://doi.org/10.1023/A:1017578330641" TargetMode="External"/><Relationship Id="rId689" Type="http://schemas.openxmlformats.org/officeDocument/2006/relationships/hyperlink" Target="http://doi.org/10.1111/j.1466-8238.2010.00592.x" TargetMode="External"/><Relationship Id="rId896" Type="http://schemas.openxmlformats.org/officeDocument/2006/relationships/hyperlink" Target="http://doi.org/10.1073/pnas.0407524102" TargetMode="External"/><Relationship Id="rId1081" Type="http://schemas.openxmlformats.org/officeDocument/2006/relationships/hyperlink" Target="https://absch.cbd.int/search/countries" TargetMode="External"/><Relationship Id="rId39" Type="http://schemas.openxmlformats.org/officeDocument/2006/relationships/hyperlink" Target="http://siteresources.worldbank.org/INTBIODIVERSITY/Resources/RunningPure2003+.pdf" TargetMode="External"/><Relationship Id="rId451" Type="http://schemas.openxmlformats.org/officeDocument/2006/relationships/hyperlink" Target="http://doi.org/10.1088/1748-9326/8/1/014025" TargetMode="External"/><Relationship Id="rId549" Type="http://schemas.openxmlformats.org/officeDocument/2006/relationships/hyperlink" Target="http://doi.org/10.1111/j.1365-2699.2007.01761.x" TargetMode="External"/><Relationship Id="rId756" Type="http://schemas.openxmlformats.org/officeDocument/2006/relationships/hyperlink" Target="https://doi.org/10.1073/pnas.0306602101" TargetMode="External"/><Relationship Id="rId104" Type="http://schemas.openxmlformats.org/officeDocument/2006/relationships/hyperlink" Target="https://www.ocmal.org/" TargetMode="External"/><Relationship Id="rId188" Type="http://schemas.openxmlformats.org/officeDocument/2006/relationships/hyperlink" Target="http://doi.org/10.1126/science.282.5392.1271" TargetMode="External"/><Relationship Id="rId311" Type="http://schemas.openxmlformats.org/officeDocument/2006/relationships/hyperlink" Target="http://doi.org/10.1007/s00267-012-9866-x" TargetMode="External"/><Relationship Id="rId395" Type="http://schemas.openxmlformats.org/officeDocument/2006/relationships/hyperlink" Target="https://doi.org/10.1890/090050" TargetMode="External"/><Relationship Id="rId409" Type="http://schemas.openxmlformats.org/officeDocument/2006/relationships/hyperlink" Target="https://doi.org/10.1002/ecy.1706/suppinfo" TargetMode="External"/><Relationship Id="rId963" Type="http://schemas.openxmlformats.org/officeDocument/2006/relationships/hyperlink" Target="http://doi.org/10.1146/annurev.energy.30.050504.144248" TargetMode="External"/><Relationship Id="rId1039" Type="http://schemas.openxmlformats.org/officeDocument/2006/relationships/image" Target="media/image135.jpeg"/><Relationship Id="rId92" Type="http://schemas.openxmlformats.org/officeDocument/2006/relationships/image" Target="media/image49.jpeg"/><Relationship Id="rId616" Type="http://schemas.openxmlformats.org/officeDocument/2006/relationships/hyperlink" Target="http://doi.org/10.1007/s10531-011-0118-9" TargetMode="External"/><Relationship Id="rId823" Type="http://schemas.openxmlformats.org/officeDocument/2006/relationships/hyperlink" Target="http://doi.org/10.1016/S0167-8809(98)00140-6" TargetMode="External"/><Relationship Id="rId255" Type="http://schemas.openxmlformats.org/officeDocument/2006/relationships/hyperlink" Target="https://doi.org/10.3120/madr-63-02-3-206.1" TargetMode="External"/><Relationship Id="rId462" Type="http://schemas.openxmlformats.org/officeDocument/2006/relationships/hyperlink" Target="http://doi.org/10.1126/science.174.4008.468" TargetMode="External"/><Relationship Id="rId1092" Type="http://schemas.openxmlformats.org/officeDocument/2006/relationships/hyperlink" Target="mailto:po@sea-user.org" TargetMode="External"/><Relationship Id="rId1106" Type="http://schemas.openxmlformats.org/officeDocument/2006/relationships/hyperlink" Target="https://www.forest-trends.org/publications/ahead-of-the-curve/" TargetMode="External"/><Relationship Id="rId115" Type="http://schemas.openxmlformats.org/officeDocument/2006/relationships/image" Target="media/image63.jpeg"/><Relationship Id="rId322" Type="http://schemas.openxmlformats.org/officeDocument/2006/relationships/hyperlink" Target="https://doi.org/10.1111/ecog.02567" TargetMode="External"/><Relationship Id="rId767" Type="http://schemas.openxmlformats.org/officeDocument/2006/relationships/hyperlink" Target="http://doi.org/10.2489/jswc.71.1.12" TargetMode="External"/><Relationship Id="rId974" Type="http://schemas.openxmlformats.org/officeDocument/2006/relationships/hyperlink" Target="http://www.worldometers.info/world-population/population-by-region/" TargetMode="External"/><Relationship Id="rId199" Type="http://schemas.openxmlformats.org/officeDocument/2006/relationships/hyperlink" Target="http://doi.org/10.1111/j.1600-0633.2004.00040.x" TargetMode="External"/><Relationship Id="rId627" Type="http://schemas.openxmlformats.org/officeDocument/2006/relationships/hyperlink" Target="https://cites.org/sites/default/files/ndf_material/WG4-CS3-S.pdf" TargetMode="External"/><Relationship Id="rId834" Type="http://schemas.openxmlformats.org/officeDocument/2006/relationships/hyperlink" Target="http://doi.org/10.5194/bg-11-2741-2014" TargetMode="External"/><Relationship Id="rId266" Type="http://schemas.openxmlformats.org/officeDocument/2006/relationships/hyperlink" Target="https://www.wildlife.ca.gov/Conservation/Plants/Invasives" TargetMode="External"/><Relationship Id="rId473" Type="http://schemas.openxmlformats.org/officeDocument/2006/relationships/hyperlink" Target="https://doi.org/10.1016/j.geomorph.2016.09.013" TargetMode="External"/><Relationship Id="rId680" Type="http://schemas.openxmlformats.org/officeDocument/2006/relationships/hyperlink" Target="https://www.menominee-nsn.gov/CulturePages/Documents/FactsFigureswithSupplement.pdf" TargetMode="External"/><Relationship Id="rId901" Type="http://schemas.openxmlformats.org/officeDocument/2006/relationships/hyperlink" Target="http://doi.org/10.2307/1308400" TargetMode="External"/><Relationship Id="rId1117" Type="http://schemas.openxmlformats.org/officeDocument/2006/relationships/hyperlink" Target="http://dx.doi.org/10.5751/ES-05873-180226" TargetMode="External"/><Relationship Id="rId30" Type="http://schemas.openxmlformats.org/officeDocument/2006/relationships/image" Target="media/image18.jpeg"/><Relationship Id="rId126" Type="http://schemas.openxmlformats.org/officeDocument/2006/relationships/image" Target="media/image74.jpeg"/><Relationship Id="rId333" Type="http://schemas.openxmlformats.org/officeDocument/2006/relationships/hyperlink" Target="https://doi.org/10.1038/nature10717" TargetMode="External"/><Relationship Id="rId540" Type="http://schemas.openxmlformats.org/officeDocument/2006/relationships/hyperlink" Target="http://doi.org/10.1111/j.1472-4642.2010.00640.x" TargetMode="External"/><Relationship Id="rId778" Type="http://schemas.openxmlformats.org/officeDocument/2006/relationships/hyperlink" Target="http://doi.org/10.1111/geb.12237" TargetMode="External"/><Relationship Id="rId985" Type="http://schemas.openxmlformats.org/officeDocument/2006/relationships/image" Target="media/image113.jpeg"/><Relationship Id="rId638" Type="http://schemas.openxmlformats.org/officeDocument/2006/relationships/hyperlink" Target="http://doi.org/10.1111/icad.12173" TargetMode="External"/><Relationship Id="rId845" Type="http://schemas.openxmlformats.org/officeDocument/2006/relationships/hyperlink" Target="http://doi.org/10.1111/j.1365-2745.2004.00941.x" TargetMode="External"/><Relationship Id="rId1030" Type="http://schemas.openxmlformats.org/officeDocument/2006/relationships/image" Target="media/image126.jpeg"/><Relationship Id="rId277" Type="http://schemas.openxmlformats.org/officeDocument/2006/relationships/hyperlink" Target="https://doi.org/10.1073/pnas.1706756114" TargetMode="External"/><Relationship Id="rId400" Type="http://schemas.openxmlformats.org/officeDocument/2006/relationships/hyperlink" Target="http://www.dartmouth.edu/~btaylor/index/Publications_files/flecker_etal_2010_AFSS_migrator-fishes.pdf" TargetMode="External"/><Relationship Id="rId484" Type="http://schemas.openxmlformats.org/officeDocument/2006/relationships/hyperlink" Target="https://news.nationalgeographic.com/2016/05/160510-pablo-escobar-hippos-colombia/" TargetMode="External"/><Relationship Id="rId705" Type="http://schemas.openxmlformats.org/officeDocument/2006/relationships/hyperlink" Target="http://doi.org/10.1111/j.1365-2486.2011.02494.x" TargetMode="External"/><Relationship Id="rId1128" Type="http://schemas.openxmlformats.org/officeDocument/2006/relationships/hyperlink" Target="http://science.sciencemag.org/content/322/5899/225" TargetMode="External"/><Relationship Id="rId137" Type="http://schemas.openxmlformats.org/officeDocument/2006/relationships/image" Target="media/image85.jpeg"/><Relationship Id="rId344" Type="http://schemas.openxmlformats.org/officeDocument/2006/relationships/hyperlink" Target="http://documents.worldbank.org/curated/en/1995/09/697067/conservation-assessment-terrestrial-ecoregions-latin-america-caribbean" TargetMode="External"/><Relationship Id="rId691" Type="http://schemas.openxmlformats.org/officeDocument/2006/relationships/hyperlink" Target="http://doi.org/10.1080/01431160310001619526" TargetMode="External"/><Relationship Id="rId789" Type="http://schemas.openxmlformats.org/officeDocument/2006/relationships/hyperlink" Target="https://www.nrc.gov/docs/ML1224/ML12240A298.pdf" TargetMode="External"/><Relationship Id="rId912" Type="http://schemas.openxmlformats.org/officeDocument/2006/relationships/hyperlink" Target="http://doi.org/10.1080/14634980701351395" TargetMode="External"/><Relationship Id="rId996" Type="http://schemas.openxmlformats.org/officeDocument/2006/relationships/image" Target="media/image118.jpeg"/><Relationship Id="rId41" Type="http://schemas.openxmlformats.org/officeDocument/2006/relationships/hyperlink" Target="http://www.un.org/Depts/los/global_reporting/WOA_RegProcess.htm" TargetMode="External"/><Relationship Id="rId551" Type="http://schemas.openxmlformats.org/officeDocument/2006/relationships/hyperlink" Target="https://doi.org/10.1073/pnas.1317722111" TargetMode="External"/><Relationship Id="rId649" Type="http://schemas.openxmlformats.org/officeDocument/2006/relationships/hyperlink" Target="http://www.uneditorial.net/pdf/TomoIII.pdf" TargetMode="External"/><Relationship Id="rId856" Type="http://schemas.openxmlformats.org/officeDocument/2006/relationships/hyperlink" Target="http://doi.org/10.1111/j.1442-9993.2006.01557.x" TargetMode="External"/><Relationship Id="rId190" Type="http://schemas.openxmlformats.org/officeDocument/2006/relationships/hyperlink" Target="http://link.springer.com/chapter/10.1007/978-3-642-17776-7_51" TargetMode="External"/><Relationship Id="rId204" Type="http://schemas.openxmlformats.org/officeDocument/2006/relationships/hyperlink" Target="http://doi.org/10.1038/526195e" TargetMode="External"/><Relationship Id="rId288" Type="http://schemas.openxmlformats.org/officeDocument/2006/relationships/hyperlink" Target="http://doi.org/10.2307/1522249" TargetMode="External"/><Relationship Id="rId411" Type="http://schemas.openxmlformats.org/officeDocument/2006/relationships/hyperlink" Target="http://doi.org/10.3391/mbi.2015.6.2.06" TargetMode="External"/><Relationship Id="rId509" Type="http://schemas.openxmlformats.org/officeDocument/2006/relationships/hyperlink" Target="http://doi.org/10.1111/j.1095-8312.1987.tb00307.x" TargetMode="External"/><Relationship Id="rId1041" Type="http://schemas.openxmlformats.org/officeDocument/2006/relationships/image" Target="media/image137.jpeg"/><Relationship Id="rId1139" Type="http://schemas.openxmlformats.org/officeDocument/2006/relationships/hyperlink" Target="https://www.tfa2020.org/wp-content/uploads/2017/09/TFA2020_CommoditiesandForestsAgenda2020_Sept2017.pdf" TargetMode="External"/><Relationship Id="rId495" Type="http://schemas.openxmlformats.org/officeDocument/2006/relationships/hyperlink" Target="http://doi.org/10.1371/journal.pone.0105869" TargetMode="External"/><Relationship Id="rId716" Type="http://schemas.openxmlformats.org/officeDocument/2006/relationships/hyperlink" Target="http://doi.org/10.1016/j.ecolecon.2004.10.002" TargetMode="External"/><Relationship Id="rId923" Type="http://schemas.openxmlformats.org/officeDocument/2006/relationships/hyperlink" Target="http://doi.org/10.1644/12-MAMM-A-247" TargetMode="External"/><Relationship Id="rId52" Type="http://schemas.openxmlformats.org/officeDocument/2006/relationships/image" Target="media/image22.jpeg"/><Relationship Id="rId148" Type="http://schemas.openxmlformats.org/officeDocument/2006/relationships/image" Target="media/image96.jpeg"/><Relationship Id="rId355" Type="http://schemas.openxmlformats.org/officeDocument/2006/relationships/hyperlink" Target="https://doi.org/10.7554/eLife.00590" TargetMode="External"/><Relationship Id="rId562" Type="http://schemas.openxmlformats.org/officeDocument/2006/relationships/hyperlink" Target="http://doi.org/10.1093/aobpla/plv043" TargetMode="External"/><Relationship Id="rId215" Type="http://schemas.openxmlformats.org/officeDocument/2006/relationships/hyperlink" Target="https://doi.org/10.1126/sciadv.1501105" TargetMode="External"/><Relationship Id="rId422" Type="http://schemas.openxmlformats.org/officeDocument/2006/relationships/hyperlink" Target="http://doi.org/10.1016/j.foreco.2009.02.024" TargetMode="External"/><Relationship Id="rId867" Type="http://schemas.openxmlformats.org/officeDocument/2006/relationships/hyperlink" Target="http://doi.org/10.1111/j.1523-1739.1988.tb00336.x" TargetMode="External"/><Relationship Id="rId1052" Type="http://schemas.openxmlformats.org/officeDocument/2006/relationships/image" Target="media/image145.jpeg"/><Relationship Id="rId299" Type="http://schemas.openxmlformats.org/officeDocument/2006/relationships/hyperlink" Target="http://www.chesapeakebay.net/" TargetMode="External"/><Relationship Id="rId727" Type="http://schemas.openxmlformats.org/officeDocument/2006/relationships/hyperlink" Target="http://doi.org/10.1016/j.agee.2009.08.001" TargetMode="External"/><Relationship Id="rId934" Type="http://schemas.openxmlformats.org/officeDocument/2006/relationships/hyperlink" Target="http://doi.org/10.1023/A:1004327224729" TargetMode="External"/><Relationship Id="rId63" Type="http://schemas.openxmlformats.org/officeDocument/2006/relationships/image" Target="media/image31.jpeg"/><Relationship Id="rId159" Type="http://schemas.openxmlformats.org/officeDocument/2006/relationships/hyperlink" Target="http://www.adfg.alaska.gov/index.cfm?adfg=hunting.main" TargetMode="External"/><Relationship Id="rId366" Type="http://schemas.openxmlformats.org/officeDocument/2006/relationships/hyperlink" Target="http://doi.org/10.2307/2389096" TargetMode="External"/><Relationship Id="rId573" Type="http://schemas.openxmlformats.org/officeDocument/2006/relationships/hyperlink" Target="http://doi.org/10.1007/s13593-014-0259-9" TargetMode="External"/><Relationship Id="rId780" Type="http://schemas.openxmlformats.org/officeDocument/2006/relationships/hyperlink" Target="http://doi.org/10.1073/pnas.95.7.3699" TargetMode="External"/><Relationship Id="rId226" Type="http://schemas.openxmlformats.org/officeDocument/2006/relationships/hyperlink" Target="http://doi.org/10.1016/j.apgeog.2015.01.017" TargetMode="External"/><Relationship Id="rId433" Type="http://schemas.openxmlformats.org/officeDocument/2006/relationships/hyperlink" Target="http://doi.org/10.1111/j.1472-4642.2010.00728.x" TargetMode="External"/><Relationship Id="rId878" Type="http://schemas.openxmlformats.org/officeDocument/2006/relationships/hyperlink" Target="http://doi.org/10.1088/1748-9326/7/3/035501" TargetMode="External"/><Relationship Id="rId1063" Type="http://schemas.openxmlformats.org/officeDocument/2006/relationships/header" Target="header5.xml"/><Relationship Id="rId640" Type="http://schemas.openxmlformats.org/officeDocument/2006/relationships/hyperlink" Target="http://doi.org/10.1126/science.1163428" TargetMode="External"/><Relationship Id="rId738" Type="http://schemas.openxmlformats.org/officeDocument/2006/relationships/hyperlink" Target="https://doi.org/10.1126/science.1258260" TargetMode="External"/><Relationship Id="rId945" Type="http://schemas.openxmlformats.org/officeDocument/2006/relationships/hyperlink" Target="http://doi.org/10.1088/1748-9326/11/5/054018" TargetMode="External"/><Relationship Id="rId74" Type="http://schemas.openxmlformats.org/officeDocument/2006/relationships/hyperlink" Target="http://wrm.org.uy/es/articulos-del-boletin-wrm/seccion1/ecuador-la-zona-intangible-tagaeri-taromenane-del-yasuni/" TargetMode="External"/><Relationship Id="rId377" Type="http://schemas.openxmlformats.org/officeDocument/2006/relationships/hyperlink" Target="http://doi.org/10.1146/annurev.ecolsys.34.011802.132419" TargetMode="External"/><Relationship Id="rId500" Type="http://schemas.openxmlformats.org/officeDocument/2006/relationships/hyperlink" Target="http://www.iucnredlist.org/" TargetMode="External"/><Relationship Id="rId584" Type="http://schemas.openxmlformats.org/officeDocument/2006/relationships/hyperlink" Target="file:///D:\Desktop\IPBES%20Editing\Americas\www1.inecol.edu.mx\libro_ecologia_urbana" TargetMode="External"/><Relationship Id="rId805" Type="http://schemas.openxmlformats.org/officeDocument/2006/relationships/hyperlink" Target="https://doi.org/10.1038/nature14338" TargetMode="External"/><Relationship Id="rId1130" Type="http://schemas.openxmlformats.org/officeDocument/2006/relationships/hyperlink" Target="http://science.sciencemag.org/content/322/5899/225" TargetMode="External"/><Relationship Id="rId5" Type="http://schemas.openxmlformats.org/officeDocument/2006/relationships/numbering" Target="numbering.xml"/><Relationship Id="rId237" Type="http://schemas.openxmlformats.org/officeDocument/2006/relationships/hyperlink" Target="http://doi.org/10.1111/boj.12160" TargetMode="External"/><Relationship Id="rId791" Type="http://schemas.openxmlformats.org/officeDocument/2006/relationships/hyperlink" Target="http://doi.org/10.1146/annurev.energy.31.020105.100235" TargetMode="External"/><Relationship Id="rId889" Type="http://schemas.openxmlformats.org/officeDocument/2006/relationships/hyperlink" Target="https://www.fs.fed.us/news/releases/new-aerial-survey-identifies-more-100-million-dead-trees-california" TargetMode="External"/><Relationship Id="rId1074" Type="http://schemas.openxmlformats.org/officeDocument/2006/relationships/hyperlink" Target="http://www.responsiblesoy.org" TargetMode="External"/><Relationship Id="rId444" Type="http://schemas.openxmlformats.org/officeDocument/2006/relationships/hyperlink" Target="http://doi.org/10.1002/2014GL062433" TargetMode="External"/><Relationship Id="rId651" Type="http://schemas.openxmlformats.org/officeDocument/2006/relationships/hyperlink" Target="https://doi.org/10.1088/1748-9326/6/4/045509" TargetMode="External"/><Relationship Id="rId749" Type="http://schemas.openxmlformats.org/officeDocument/2006/relationships/hyperlink" Target="https://doi.org/10.1111/gcb.12500" TargetMode="External"/><Relationship Id="rId290" Type="http://schemas.openxmlformats.org/officeDocument/2006/relationships/hyperlink" Target="http://doi.org/10.1007/BF02393729" TargetMode="External"/><Relationship Id="rId304" Type="http://schemas.openxmlformats.org/officeDocument/2006/relationships/hyperlink" Target="http://doi.org/10.1126/science.279.5350.555" TargetMode="External"/><Relationship Id="rId388" Type="http://schemas.openxmlformats.org/officeDocument/2006/relationships/hyperlink" Target="http://doi.org/10.1111/j.1365-2486.2005.01011.x" TargetMode="External"/><Relationship Id="rId511" Type="http://schemas.openxmlformats.org/officeDocument/2006/relationships/hyperlink" Target="http://doi.org/10.1016/j.biocon.2009.04.016" TargetMode="External"/><Relationship Id="rId609" Type="http://schemas.openxmlformats.org/officeDocument/2006/relationships/hyperlink" Target="https://doi.org/10.1038/415068a" TargetMode="External"/><Relationship Id="rId956" Type="http://schemas.openxmlformats.org/officeDocument/2006/relationships/hyperlink" Target="https://doi.org/10.1111/j.1523-1739.2001.00218.x" TargetMode="External"/><Relationship Id="rId1141" Type="http://schemas.openxmlformats.org/officeDocument/2006/relationships/header" Target="header7.xml"/><Relationship Id="rId85" Type="http://schemas.openxmlformats.org/officeDocument/2006/relationships/image" Target="media/image42.jpeg"/><Relationship Id="rId150" Type="http://schemas.openxmlformats.org/officeDocument/2006/relationships/image" Target="media/image98.jpeg"/><Relationship Id="rId595" Type="http://schemas.openxmlformats.org/officeDocument/2006/relationships/hyperlink" Target="https://doi.org/10.1007/s10530-014-0805-z" TargetMode="External"/><Relationship Id="rId816" Type="http://schemas.openxmlformats.org/officeDocument/2006/relationships/hyperlink" Target="http://doi.org/10.1073/pnas.1522531113" TargetMode="External"/><Relationship Id="rId1001" Type="http://schemas.openxmlformats.org/officeDocument/2006/relationships/hyperlink" Target="URL:http://www.biodiversidad.gob.mx/invasoras" TargetMode="External"/><Relationship Id="rId248" Type="http://schemas.openxmlformats.org/officeDocument/2006/relationships/hyperlink" Target="http://doi.org/10.1007/BF02696012" TargetMode="External"/><Relationship Id="rId455" Type="http://schemas.openxmlformats.org/officeDocument/2006/relationships/hyperlink" Target="https://doi.org/10.1073/pnas.0704243104" TargetMode="External"/><Relationship Id="rId662" Type="http://schemas.openxmlformats.org/officeDocument/2006/relationships/hyperlink" Target="http://doi.org/10.1007/978-1-4899-1778-2_7" TargetMode="External"/><Relationship Id="rId1085" Type="http://schemas.openxmlformats.org/officeDocument/2006/relationships/hyperlink" Target="http://www.cnf.gob.mx:8090/snif/portal/infys" TargetMode="External"/><Relationship Id="rId12" Type="http://schemas.openxmlformats.org/officeDocument/2006/relationships/image" Target="media/image2.png"/><Relationship Id="rId108" Type="http://schemas.openxmlformats.org/officeDocument/2006/relationships/image" Target="media/image61.jpeg"/><Relationship Id="rId315" Type="http://schemas.openxmlformats.org/officeDocument/2006/relationships/hyperlink" Target="http://doi.org/10.1579/0044-7447(2008)37%5B241:TVOCWF%5D2.0.CO;2" TargetMode="External"/><Relationship Id="rId522" Type="http://schemas.openxmlformats.org/officeDocument/2006/relationships/hyperlink" Target="http://doi.org/10.1080/14634980701351023" TargetMode="External"/><Relationship Id="rId967" Type="http://schemas.openxmlformats.org/officeDocument/2006/relationships/image" Target="media/image103.jpeg"/><Relationship Id="rId96" Type="http://schemas.openxmlformats.org/officeDocument/2006/relationships/image" Target="media/image53.jpeg"/><Relationship Id="rId161" Type="http://schemas.openxmlformats.org/officeDocument/2006/relationships/hyperlink" Target="https://doi.org/10.1007/s00035-016-0172-8" TargetMode="External"/><Relationship Id="rId399" Type="http://schemas.openxmlformats.org/officeDocument/2006/relationships/hyperlink" Target="http://doi.org/10.1093/icb/icj009" TargetMode="External"/><Relationship Id="rId827" Type="http://schemas.openxmlformats.org/officeDocument/2006/relationships/hyperlink" Target="http://doi.org/10.1371/journal.pone.0066957" TargetMode="External"/><Relationship Id="rId1012" Type="http://schemas.openxmlformats.org/officeDocument/2006/relationships/hyperlink" Target="http://dx.doi.org/10.1016/j.envdev.2017.01.005" TargetMode="External"/><Relationship Id="rId259" Type="http://schemas.openxmlformats.org/officeDocument/2006/relationships/hyperlink" Target="http://doi.org/10.1023/A:1008856912888" TargetMode="External"/><Relationship Id="rId466" Type="http://schemas.openxmlformats.org/officeDocument/2006/relationships/hyperlink" Target="https://doi.org/10.1088/1748-9326/9/4/045005" TargetMode="External"/><Relationship Id="rId673" Type="http://schemas.openxmlformats.org/officeDocument/2006/relationships/hyperlink" Target="http://doi.org/10.1371/journal.pone.0143311" TargetMode="External"/><Relationship Id="rId880" Type="http://schemas.openxmlformats.org/officeDocument/2006/relationships/hyperlink" Target="https://doi.org/10.1098/rspb.2016.0536" TargetMode="External"/><Relationship Id="rId1096" Type="http://schemas.openxmlformats.org/officeDocument/2006/relationships/hyperlink" Target="mailto:young@bren.ucsb.edu" TargetMode="External"/><Relationship Id="rId23" Type="http://schemas.openxmlformats.org/officeDocument/2006/relationships/image" Target="media/image13.jpeg"/><Relationship Id="rId119" Type="http://schemas.openxmlformats.org/officeDocument/2006/relationships/image" Target="media/image67.jpeg"/><Relationship Id="rId326" Type="http://schemas.openxmlformats.org/officeDocument/2006/relationships/hyperlink" Target="http://doi.org/10.1016/j.landurbplan.2011.05.002" TargetMode="External"/><Relationship Id="rId533" Type="http://schemas.openxmlformats.org/officeDocument/2006/relationships/hyperlink" Target="http://doi.org/10.1515/mammalia-2014-0094" TargetMode="External"/><Relationship Id="rId978" Type="http://schemas.openxmlformats.org/officeDocument/2006/relationships/hyperlink" Target="https://portals.iucn.org/library/efiles/documents/1999-012.pdf" TargetMode="External"/><Relationship Id="rId740" Type="http://schemas.openxmlformats.org/officeDocument/2006/relationships/hyperlink" Target="http://sedac.ciesin.columbia.edu/data/set/aglands-pastures-2000" TargetMode="External"/><Relationship Id="rId838" Type="http://schemas.openxmlformats.org/officeDocument/2006/relationships/hyperlink" Target="https://doi.org/10.1007/s10021-014-9751-y" TargetMode="External"/><Relationship Id="rId1023" Type="http://schemas.openxmlformats.org/officeDocument/2006/relationships/hyperlink" Target="http://doi.org/10.1016/j.ecolecon.2017.03.010" TargetMode="External"/><Relationship Id="rId172" Type="http://schemas.openxmlformats.org/officeDocument/2006/relationships/hyperlink" Target="http://doi.org/10.1081/CSS-200059082" TargetMode="External"/><Relationship Id="rId477" Type="http://schemas.openxmlformats.org/officeDocument/2006/relationships/hyperlink" Target="http://doi.org/10.1659/0276-4741(2002)022%5B0159:IOPPOS%5D2.0.CO;2" TargetMode="External"/><Relationship Id="rId600" Type="http://schemas.openxmlformats.org/officeDocument/2006/relationships/hyperlink" Target="http://doi.org/10.1016/0961-9534(95)00028-3" TargetMode="External"/><Relationship Id="rId684" Type="http://schemas.openxmlformats.org/officeDocument/2006/relationships/hyperlink" Target="http://doi.org/10.1046/j.1365-2699.2002.00765.x" TargetMode="External"/><Relationship Id="rId337" Type="http://schemas.openxmlformats.org/officeDocument/2006/relationships/hyperlink" Target="http://doi.org/10.1007/s10531-012-0346-7" TargetMode="External"/><Relationship Id="rId891" Type="http://schemas.openxmlformats.org/officeDocument/2006/relationships/hyperlink" Target="https://www.nrcs.usda.gov/wps/portal/nrcs/detail/national/home/?cid=stelprdb1083124" TargetMode="External"/><Relationship Id="rId905" Type="http://schemas.openxmlformats.org/officeDocument/2006/relationships/hyperlink" Target="http://doi.org/10.1111/gcb.12450" TargetMode="External"/><Relationship Id="rId989" Type="http://schemas.openxmlformats.org/officeDocument/2006/relationships/hyperlink" Target="https://iwc.int/entanglement" TargetMode="External"/><Relationship Id="rId34" Type="http://schemas.openxmlformats.org/officeDocument/2006/relationships/hyperlink" Target="https://www.ipbes.net/system/tdf/downloads/pdf/ipbes-5-inf-5.pdf?file=1&amp;type=node&amp;id=540" TargetMode="External"/><Relationship Id="rId544" Type="http://schemas.openxmlformats.org/officeDocument/2006/relationships/hyperlink" Target="http://doi.org/10.1111/j.1744-7429.2006.00124.x" TargetMode="External"/><Relationship Id="rId751" Type="http://schemas.openxmlformats.org/officeDocument/2006/relationships/hyperlink" Target="http://doi.org/10.1007/s10021-003-0215-z" TargetMode="External"/><Relationship Id="rId849" Type="http://schemas.openxmlformats.org/officeDocument/2006/relationships/hyperlink" Target="http://doi.org/10.1016/j.foreco.2012.09.037" TargetMode="External"/><Relationship Id="rId183" Type="http://schemas.openxmlformats.org/officeDocument/2006/relationships/hyperlink" Target="http://doi.org/10.1016/j.jaridenv.2015.12.008" TargetMode="External"/><Relationship Id="rId390" Type="http://schemas.openxmlformats.org/officeDocument/2006/relationships/hyperlink" Target="http://www.biodivcanada.ca/A519F000-8427-4F8C-9521-8A95AE287753/EN_CanadianBiodiversity_FULL.pdf" TargetMode="External"/><Relationship Id="rId404" Type="http://schemas.openxmlformats.org/officeDocument/2006/relationships/hyperlink" Target="http://doi.org/10.1046/j.1365-2486.2003.00643.x" TargetMode="External"/><Relationship Id="rId611" Type="http://schemas.openxmlformats.org/officeDocument/2006/relationships/hyperlink" Target="http://doi.org/10.1641/0006-3568(2002)052%5B0883:UBAC%5D2.0.CO;2" TargetMode="External"/><Relationship Id="rId1034" Type="http://schemas.openxmlformats.org/officeDocument/2006/relationships/image" Target="media/image130.jpeg"/><Relationship Id="rId250" Type="http://schemas.openxmlformats.org/officeDocument/2006/relationships/hyperlink" Target="https://doi.org/10.1038/sdata.2016.7" TargetMode="External"/><Relationship Id="rId488" Type="http://schemas.openxmlformats.org/officeDocument/2006/relationships/hyperlink" Target="http://www.iucn-csg.org/wp-content/uploads/2010/03/final-report-cms-latam-workshop.pdf" TargetMode="External"/><Relationship Id="rId695" Type="http://schemas.openxmlformats.org/officeDocument/2006/relationships/hyperlink" Target="http://doi.org/10.1146/annurev.ecolsys.32.081501.114040" TargetMode="External"/><Relationship Id="rId709" Type="http://schemas.openxmlformats.org/officeDocument/2006/relationships/hyperlink" Target="http://doi.org/10.1046/j.1523-1739.2001.00019.x" TargetMode="External"/><Relationship Id="rId916" Type="http://schemas.openxmlformats.org/officeDocument/2006/relationships/hyperlink" Target="http://doi.org/10.1007/s11252-010-0126-7" TargetMode="External"/><Relationship Id="rId1101" Type="http://schemas.openxmlformats.org/officeDocument/2006/relationships/hyperlink" Target="https://doi.org/10.1016/j.jrurstud.2017.02.007" TargetMode="External"/><Relationship Id="rId45" Type="http://schemas.openxmlformats.org/officeDocument/2006/relationships/footer" Target="footer1.xml"/><Relationship Id="rId110" Type="http://schemas.openxmlformats.org/officeDocument/2006/relationships/hyperlink" Target="https://doi.org/10.1002/aqc.2648" TargetMode="External"/><Relationship Id="rId348" Type="http://schemas.openxmlformats.org/officeDocument/2006/relationships/hyperlink" Target="http://doi.org/10.4067/S0718-686X2012000200003" TargetMode="External"/><Relationship Id="rId555" Type="http://schemas.openxmlformats.org/officeDocument/2006/relationships/hyperlink" Target="http://doi.org/10.1186/1746-4269-9-74" TargetMode="External"/><Relationship Id="rId762" Type="http://schemas.openxmlformats.org/officeDocument/2006/relationships/hyperlink" Target="http://doi.org/10.4067/S0250-71612010000300004" TargetMode="External"/><Relationship Id="rId194" Type="http://schemas.openxmlformats.org/officeDocument/2006/relationships/hyperlink" Target="http://doi.org/10.1111/j.1523-1739.2009.01333.x" TargetMode="External"/><Relationship Id="rId208" Type="http://schemas.openxmlformats.org/officeDocument/2006/relationships/hyperlink" Target="http://doi.org/10.1659/MRD-JOURNAL-D-13-00054.1" TargetMode="External"/><Relationship Id="rId415" Type="http://schemas.openxmlformats.org/officeDocument/2006/relationships/hyperlink" Target="http://doi.org/10.1007/s10531-010-9919-5" TargetMode="External"/><Relationship Id="rId622" Type="http://schemas.openxmlformats.org/officeDocument/2006/relationships/hyperlink" Target="http://doi.org/10.2307/1551852" TargetMode="External"/><Relationship Id="rId1045" Type="http://schemas.openxmlformats.org/officeDocument/2006/relationships/hyperlink" Target="http://www.mangroverestoration.com/" TargetMode="External"/><Relationship Id="rId261" Type="http://schemas.openxmlformats.org/officeDocument/2006/relationships/hyperlink" Target="http://doi.org/10.1111/j.1466-8238.2010.00585.x" TargetMode="External"/><Relationship Id="rId499" Type="http://schemas.openxmlformats.org/officeDocument/2006/relationships/hyperlink" Target="http://doi.org/10.1890/08-0514.1" TargetMode="External"/><Relationship Id="rId927" Type="http://schemas.openxmlformats.org/officeDocument/2006/relationships/hyperlink" Target="http://doi.org/10.1046/j.1523-1739.1998.0120061180.x" TargetMode="External"/><Relationship Id="rId1112" Type="http://schemas.openxmlformats.org/officeDocument/2006/relationships/hyperlink" Target="http://muse.jhu.edu/results?section1=author&amp;search1=Pamela%20L.%20Martin" TargetMode="External"/><Relationship Id="rId56" Type="http://schemas.openxmlformats.org/officeDocument/2006/relationships/image" Target="media/image26.jpeg"/><Relationship Id="rId359" Type="http://schemas.openxmlformats.org/officeDocument/2006/relationships/hyperlink" Target="http://doi.org/10.1111/1365-2664.12559" TargetMode="External"/><Relationship Id="rId566" Type="http://schemas.openxmlformats.org/officeDocument/2006/relationships/hyperlink" Target="http://doi.org/10.4031/002533206787353278" TargetMode="External"/><Relationship Id="rId773" Type="http://schemas.openxmlformats.org/officeDocument/2006/relationships/hyperlink" Target="http://doi.org/10.1002/ecs2.1390" TargetMode="External"/><Relationship Id="rId121" Type="http://schemas.openxmlformats.org/officeDocument/2006/relationships/image" Target="media/image69.jpeg"/><Relationship Id="rId219" Type="http://schemas.openxmlformats.org/officeDocument/2006/relationships/hyperlink" Target="http://doi.org/10.15517/rbt.v61i1.23184" TargetMode="External"/><Relationship Id="rId426" Type="http://schemas.openxmlformats.org/officeDocument/2006/relationships/hyperlink" Target="http://doi.org/10.1073/pnas.0910275107" TargetMode="External"/><Relationship Id="rId633" Type="http://schemas.openxmlformats.org/officeDocument/2006/relationships/hyperlink" Target="http://doi.org/10.3391/ai.2014.9.4.09" TargetMode="External"/><Relationship Id="rId980" Type="http://schemas.openxmlformats.org/officeDocument/2006/relationships/image" Target="media/image108.jpeg"/><Relationship Id="rId1056" Type="http://schemas.openxmlformats.org/officeDocument/2006/relationships/image" Target="media/image149.jpeg"/><Relationship Id="rId840" Type="http://schemas.openxmlformats.org/officeDocument/2006/relationships/hyperlink" Target="http://doi.org/10.1111/gcb.13409" TargetMode="External"/><Relationship Id="rId938" Type="http://schemas.openxmlformats.org/officeDocument/2006/relationships/hyperlink" Target="https://doi.org/10.1038/nclimate1693" TargetMode="External"/><Relationship Id="rId67" Type="http://schemas.openxmlformats.org/officeDocument/2006/relationships/hyperlink" Target="https://data.worldbank.org/indicator" TargetMode="External"/><Relationship Id="rId272" Type="http://schemas.openxmlformats.org/officeDocument/2006/relationships/hyperlink" Target="http://doi.org/10.9734/BJAST/2015/17507" TargetMode="External"/><Relationship Id="rId577" Type="http://schemas.openxmlformats.org/officeDocument/2006/relationships/hyperlink" Target="http://doi.org/10.1016/j.quascirev.2013.02.023" TargetMode="External"/><Relationship Id="rId700" Type="http://schemas.openxmlformats.org/officeDocument/2006/relationships/hyperlink" Target="http://doi.org/10.1016/j.foreco.2008.06.020" TargetMode="External"/><Relationship Id="rId1123" Type="http://schemas.openxmlformats.org/officeDocument/2006/relationships/hyperlink" Target="http://www.ucordillera.edu.bo/" TargetMode="External"/><Relationship Id="rId132" Type="http://schemas.openxmlformats.org/officeDocument/2006/relationships/image" Target="media/image80.jpeg"/><Relationship Id="rId784" Type="http://schemas.openxmlformats.org/officeDocument/2006/relationships/hyperlink" Target="http://doi.org/10.1146/annurev-ecolsys-121415-032330" TargetMode="External"/><Relationship Id="rId991" Type="http://schemas.openxmlformats.org/officeDocument/2006/relationships/hyperlink" Target="https://en.wikipedia.org/wiki/Central_America_Volcanic_Arc" TargetMode="External"/><Relationship Id="rId1067" Type="http://schemas.openxmlformats.org/officeDocument/2006/relationships/hyperlink" Target="http://ipbes-demo.net/node/140" TargetMode="External"/><Relationship Id="rId437" Type="http://schemas.openxmlformats.org/officeDocument/2006/relationships/hyperlink" Target="http://doi.org/10.1126/science.1255957" TargetMode="External"/><Relationship Id="rId644" Type="http://schemas.openxmlformats.org/officeDocument/2006/relationships/hyperlink" Target="http://doi.org/10.1007/978-94-007-7088-1_10" TargetMode="External"/><Relationship Id="rId851" Type="http://schemas.openxmlformats.org/officeDocument/2006/relationships/hyperlink" Target="http://doi.org/10.1016/j.jaridenv.2017.03.017" TargetMode="External"/><Relationship Id="rId283" Type="http://schemas.openxmlformats.org/officeDocument/2006/relationships/hyperlink" Target="http://doi.org/10.1002/etc.5620190802" TargetMode="External"/><Relationship Id="rId490" Type="http://schemas.openxmlformats.org/officeDocument/2006/relationships/hyperlink" Target="https://doi.org/10.1016/j.scitotenv.2009.10.044" TargetMode="External"/><Relationship Id="rId504" Type="http://schemas.openxmlformats.org/officeDocument/2006/relationships/hyperlink" Target="http://doi.org/10.1038/nature00910" TargetMode="External"/><Relationship Id="rId711" Type="http://schemas.openxmlformats.org/officeDocument/2006/relationships/hyperlink" Target="http://doi.org/10.1890/07-2056.1" TargetMode="External"/><Relationship Id="rId949" Type="http://schemas.openxmlformats.org/officeDocument/2006/relationships/hyperlink" Target="https://www.worldwildlife.org/projects/plowprint-report" TargetMode="External"/><Relationship Id="rId1134" Type="http://schemas.openxmlformats.org/officeDocument/2006/relationships/hyperlink" Target="http://www.unepfi.org/fileadmin/documents/CEO_" TargetMode="External"/><Relationship Id="rId78" Type="http://schemas.openxmlformats.org/officeDocument/2006/relationships/hyperlink" Target="https://data.worldbank.org/indicator/ER.PTD.TOTL.ZS?view=chart" TargetMode="External"/><Relationship Id="rId143" Type="http://schemas.openxmlformats.org/officeDocument/2006/relationships/image" Target="media/image91.jpeg"/><Relationship Id="rId350" Type="http://schemas.openxmlformats.org/officeDocument/2006/relationships/hyperlink" Target="http://doi.org/10.1126/science.1248484" TargetMode="External"/><Relationship Id="rId588" Type="http://schemas.openxmlformats.org/officeDocument/2006/relationships/hyperlink" Target="http://doi.org/10.1007/s00035-014-0144-9" TargetMode="External"/><Relationship Id="rId795" Type="http://schemas.openxmlformats.org/officeDocument/2006/relationships/hyperlink" Target="http://doi.org/10.1111/maec.12259" TargetMode="External"/><Relationship Id="rId809" Type="http://schemas.openxmlformats.org/officeDocument/2006/relationships/hyperlink" Target="http://doi.org/10.1073/pnas.1524427113" TargetMode="External"/><Relationship Id="rId9" Type="http://schemas.openxmlformats.org/officeDocument/2006/relationships/footnotes" Target="footnotes.xml"/><Relationship Id="rId210" Type="http://schemas.openxmlformats.org/officeDocument/2006/relationships/hyperlink" Target="https://doi.org/10.1126/science.306.5694.227b" TargetMode="External"/><Relationship Id="rId448" Type="http://schemas.openxmlformats.org/officeDocument/2006/relationships/hyperlink" Target="https://doi.org/10.1890/120374" TargetMode="External"/><Relationship Id="rId655" Type="http://schemas.openxmlformats.org/officeDocument/2006/relationships/hyperlink" Target="https://doi.org/10.1126/science.1089143" TargetMode="External"/><Relationship Id="rId862" Type="http://schemas.openxmlformats.org/officeDocument/2006/relationships/hyperlink" Target="https://doi.org/10.1126/science.1243092" TargetMode="External"/><Relationship Id="rId1078" Type="http://schemas.openxmlformats.org/officeDocument/2006/relationships/hyperlink" Target="https://docs.wixstatic.com/ugd/da3e7c_8a0e636930d54e848e208a395d6e917c.pdf" TargetMode="External"/><Relationship Id="rId294" Type="http://schemas.openxmlformats.org/officeDocument/2006/relationships/hyperlink" Target="http://doi.org/10.2307/1940405" TargetMode="External"/><Relationship Id="rId308" Type="http://schemas.openxmlformats.org/officeDocument/2006/relationships/hyperlink" Target="https://www.gob.mx/conanp/prensa/firma-el-presidente-enrique-pena-nieto-el-decreto-del-parque-nacional-revillagigedo-136220" TargetMode="External"/><Relationship Id="rId515" Type="http://schemas.openxmlformats.org/officeDocument/2006/relationships/hyperlink" Target="http://doi.org/10.1007/s10530-013-0549-1" TargetMode="External"/><Relationship Id="rId722" Type="http://schemas.openxmlformats.org/officeDocument/2006/relationships/hyperlink" Target="http://doi.org/10.1088/1748-9326/9/7/075006" TargetMode="External"/><Relationship Id="rId1145" Type="http://schemas.openxmlformats.org/officeDocument/2006/relationships/theme" Target="theme/theme1.xml"/><Relationship Id="rId89" Type="http://schemas.openxmlformats.org/officeDocument/2006/relationships/image" Target="media/image46.jpeg"/><Relationship Id="rId154" Type="http://schemas.openxmlformats.org/officeDocument/2006/relationships/hyperlink" Target="http://doi.org/10.14430/arctic4560" TargetMode="External"/><Relationship Id="rId361" Type="http://schemas.openxmlformats.org/officeDocument/2006/relationships/hyperlink" Target="https://doi.org/10.1038/ncomms12485" TargetMode="External"/><Relationship Id="rId599" Type="http://schemas.openxmlformats.org/officeDocument/2006/relationships/hyperlink" Target="http://doi.org/10.1675/1524-4695(2002)025%5B0358:POADAH%5D2.0.CO;2" TargetMode="External"/><Relationship Id="rId1005" Type="http://schemas.openxmlformats.org/officeDocument/2006/relationships/hyperlink" Target="http://www.ramsar.org/sites/default/files/documents/library/cop12nrfguatemala_20140903final.pdf" TargetMode="External"/><Relationship Id="rId459" Type="http://schemas.openxmlformats.org/officeDocument/2006/relationships/hyperlink" Target="https://doi.org/10.1126/science.1149345" TargetMode="External"/><Relationship Id="rId666" Type="http://schemas.openxmlformats.org/officeDocument/2006/relationships/hyperlink" Target="https://www.researchgate.net/profile/Fernando_Rodriguez12/publication/237442332_The_Biocontrol_of_Gorse_Ulex_europaeus_in_Chile_A_Progress_Report/links/575ab24008aec91374a614e5.pdf" TargetMode="External"/><Relationship Id="rId873" Type="http://schemas.openxmlformats.org/officeDocument/2006/relationships/hyperlink" Target="http://doi.org/10.1046/j.1523-1739.2001.015002528.x" TargetMode="External"/><Relationship Id="rId1089" Type="http://schemas.openxmlformats.org/officeDocument/2006/relationships/hyperlink" Target="https://www.cbd.int/doc/%20world/ca/ca-nr-05-en.pdf" TargetMode="External"/><Relationship Id="rId16" Type="http://schemas.openxmlformats.org/officeDocument/2006/relationships/image" Target="media/image6.jpeg"/><Relationship Id="rId221" Type="http://schemas.openxmlformats.org/officeDocument/2006/relationships/hyperlink" Target="http://www.fws.gov/midwest/endangered/clams/zebra.html" TargetMode="External"/><Relationship Id="rId319" Type="http://schemas.openxmlformats.org/officeDocument/2006/relationships/hyperlink" Target="http://doi.org/10.1126/science.1199040" TargetMode="External"/><Relationship Id="rId526" Type="http://schemas.openxmlformats.org/officeDocument/2006/relationships/hyperlink" Target="http://doi.org/10.1016/j.foreco.2015.06.014" TargetMode="External"/><Relationship Id="rId733" Type="http://schemas.openxmlformats.org/officeDocument/2006/relationships/hyperlink" Target="https://doi.org/10.1007/s00027-017-0525-4" TargetMode="External"/><Relationship Id="rId940" Type="http://schemas.openxmlformats.org/officeDocument/2006/relationships/hyperlink" Target="http://doi.org/10.1577/1548-8446(1993)018%3C0006:CSOFMO%3E2.0.CO;2" TargetMode="External"/><Relationship Id="rId1016" Type="http://schemas.openxmlformats.org/officeDocument/2006/relationships/hyperlink" Target="http://csis.org/publication/science-technology-and-innovation-drivers-development" TargetMode="External"/><Relationship Id="rId165" Type="http://schemas.openxmlformats.org/officeDocument/2006/relationships/hyperlink" Target="https://doi.org/10.1016/j.foreco.2009.09.001" TargetMode="External"/><Relationship Id="rId372" Type="http://schemas.openxmlformats.org/officeDocument/2006/relationships/hyperlink" Target="http://doi.org/10.1007/978-3-319-24744-1_13" TargetMode="External"/><Relationship Id="rId677" Type="http://schemas.openxmlformats.org/officeDocument/2006/relationships/hyperlink" Target="http://doi.org/10.1023/A:1023625125032" TargetMode="External"/><Relationship Id="rId800" Type="http://schemas.openxmlformats.org/officeDocument/2006/relationships/hyperlink" Target="https://doi.org/10.1111/1365-2656.12185" TargetMode="External"/><Relationship Id="rId232" Type="http://schemas.openxmlformats.org/officeDocument/2006/relationships/hyperlink" Target="http://doi.org/10.1007/s10750-007-9011-7" TargetMode="External"/><Relationship Id="rId884" Type="http://schemas.openxmlformats.org/officeDocument/2006/relationships/hyperlink" Target="http://doi.org/10.1093/jmammal/gyx079" TargetMode="External"/><Relationship Id="rId27" Type="http://schemas.openxmlformats.org/officeDocument/2006/relationships/image" Target="media/image16.jpeg"/><Relationship Id="rId537" Type="http://schemas.openxmlformats.org/officeDocument/2006/relationships/hyperlink" Target="http://doi.org/10.1073/pnas.1517685113" TargetMode="External"/><Relationship Id="rId744" Type="http://schemas.openxmlformats.org/officeDocument/2006/relationships/hyperlink" Target="http://doi.org/10.1006/anbo.1997.0469" TargetMode="External"/><Relationship Id="rId951" Type="http://schemas.openxmlformats.org/officeDocument/2006/relationships/hyperlink" Target="https://www.worldwildlife.org/ecoregions/nt1304" TargetMode="External"/><Relationship Id="rId80" Type="http://schemas.openxmlformats.org/officeDocument/2006/relationships/image" Target="media/image40.jpeg"/><Relationship Id="rId176" Type="http://schemas.openxmlformats.org/officeDocument/2006/relationships/hyperlink" Target="http://doi.org/10.1016/j.tree.2004.07.021" TargetMode="External"/><Relationship Id="rId383" Type="http://schemas.openxmlformats.org/officeDocument/2006/relationships/hyperlink" Target="http://www.fao.org/docrep/013/i2000e/i2000e00.htm" TargetMode="External"/><Relationship Id="rId590" Type="http://schemas.openxmlformats.org/officeDocument/2006/relationships/hyperlink" Target="http://doi.org/10.1590/S1516-89132005000200016" TargetMode="External"/><Relationship Id="rId604" Type="http://schemas.openxmlformats.org/officeDocument/2006/relationships/hyperlink" Target="http://doi.org/10.1126/science.1255641" TargetMode="External"/><Relationship Id="rId811" Type="http://schemas.openxmlformats.org/officeDocument/2006/relationships/hyperlink" Target="https://doi.org/10.1016/j.gloenvcha.2015.02.006" TargetMode="External"/><Relationship Id="rId1027" Type="http://schemas.openxmlformats.org/officeDocument/2006/relationships/image" Target="media/image123.jpeg"/><Relationship Id="rId243" Type="http://schemas.openxmlformats.org/officeDocument/2006/relationships/hyperlink" Target="http://doi.org/10.1007/s10661-016-5547-1" TargetMode="External"/><Relationship Id="rId450" Type="http://schemas.openxmlformats.org/officeDocument/2006/relationships/hyperlink" Target="http://doi.org/10.1111/1365-2664.12848" TargetMode="External"/><Relationship Id="rId688" Type="http://schemas.openxmlformats.org/officeDocument/2006/relationships/hyperlink" Target="http://doi.org/10.1073/pnas.0913139107" TargetMode="External"/><Relationship Id="rId895" Type="http://schemas.openxmlformats.org/officeDocument/2006/relationships/hyperlink" Target="https://doi.org/10.1038/nature14910" TargetMode="External"/><Relationship Id="rId909" Type="http://schemas.openxmlformats.org/officeDocument/2006/relationships/hyperlink" Target="http://doi.org/10.1007/s11284-013-1037-x" TargetMode="External"/><Relationship Id="rId1080" Type="http://schemas.openxmlformats.org/officeDocument/2006/relationships/hyperlink" Target="https://www.cbd.int/abs/nagoya-protocol/signatories/default.shtml" TargetMode="External"/><Relationship Id="rId38" Type="http://schemas.openxmlformats.org/officeDocument/2006/relationships/hyperlink" Target="https://doi.org/10.18356/8519891f-en" TargetMode="External"/><Relationship Id="rId103" Type="http://schemas.openxmlformats.org/officeDocument/2006/relationships/image" Target="media/image58.jpeg"/><Relationship Id="rId310" Type="http://schemas.openxmlformats.org/officeDocument/2006/relationships/hyperlink" Target="http://doi.org/10.1577/M10-058.1" TargetMode="External"/><Relationship Id="rId548" Type="http://schemas.openxmlformats.org/officeDocument/2006/relationships/hyperlink" Target="http://doi.org/10.2135/cropsci2008.07.0421" TargetMode="External"/><Relationship Id="rId755" Type="http://schemas.openxmlformats.org/officeDocument/2006/relationships/hyperlink" Target="http://doi.org/10.1126/science.1217909" TargetMode="External"/><Relationship Id="rId962" Type="http://schemas.openxmlformats.org/officeDocument/2006/relationships/hyperlink" Target="https://doi.org/10.1111/gcb.13153" TargetMode="External"/><Relationship Id="rId91" Type="http://schemas.openxmlformats.org/officeDocument/2006/relationships/image" Target="media/image48.jpeg"/><Relationship Id="rId187" Type="http://schemas.openxmlformats.org/officeDocument/2006/relationships/hyperlink" Target="http://doi.org/10.1890/0012-9623-90.4.360" TargetMode="External"/><Relationship Id="rId394" Type="http://schemas.openxmlformats.org/officeDocument/2006/relationships/hyperlink" Target="https://doi.org/10.3389/fmicb.2016.01284" TargetMode="External"/><Relationship Id="rId408" Type="http://schemas.openxmlformats.org/officeDocument/2006/relationships/hyperlink" Target="http://doi.org/10.1007/s10530-006-9019-3" TargetMode="External"/><Relationship Id="rId615" Type="http://schemas.openxmlformats.org/officeDocument/2006/relationships/hyperlink" Target="http://www.mdsg.umd.edu/topics/aquatic-invasive-species/bait-worm-study" TargetMode="External"/><Relationship Id="rId822" Type="http://schemas.openxmlformats.org/officeDocument/2006/relationships/hyperlink" Target="http://doi.org/10.1111/j.1755-263X.2008.00014.x" TargetMode="External"/><Relationship Id="rId1038" Type="http://schemas.openxmlformats.org/officeDocument/2006/relationships/image" Target="media/image134.jpeg"/><Relationship Id="rId254" Type="http://schemas.openxmlformats.org/officeDocument/2006/relationships/hyperlink" Target="http://doi.org/10.1111/j.1365-2664.2006.01252.x" TargetMode="External"/><Relationship Id="rId699" Type="http://schemas.openxmlformats.org/officeDocument/2006/relationships/hyperlink" Target="http://doi.org/10.1371/journal.pone.0105025" TargetMode="External"/><Relationship Id="rId1091" Type="http://schemas.openxmlformats.org/officeDocument/2006/relationships/hyperlink" Target="mailto:berkes@cc.umanitoba.ca" TargetMode="External"/><Relationship Id="rId1105" Type="http://schemas.openxmlformats.org/officeDocument/2006/relationships/hyperlink" Target="http://www.gsi-alliance.org/wp-content/uploads/2017/03/%20GSIR_Review%202016.F.pdf" TargetMode="External"/><Relationship Id="rId49" Type="http://schemas.openxmlformats.org/officeDocument/2006/relationships/image" Target="media/image19.jpeg"/><Relationship Id="rId114" Type="http://schemas.openxmlformats.org/officeDocument/2006/relationships/image" Target="media/image62.jpeg"/><Relationship Id="rId461" Type="http://schemas.openxmlformats.org/officeDocument/2006/relationships/hyperlink" Target="https://doi.org/10.1126/science.1244693" TargetMode="External"/><Relationship Id="rId559" Type="http://schemas.openxmlformats.org/officeDocument/2006/relationships/hyperlink" Target="http://doi.org/10.1016/j.tree.2009.06.009" TargetMode="External"/><Relationship Id="rId766" Type="http://schemas.openxmlformats.org/officeDocument/2006/relationships/hyperlink" Target="https://doi.org/10.1111/j.1461-0248.2008.01157.x" TargetMode="External"/><Relationship Id="rId198" Type="http://schemas.openxmlformats.org/officeDocument/2006/relationships/hyperlink" Target="http://doi.org/10.1007/s10533-006-9002-1" TargetMode="External"/><Relationship Id="rId321" Type="http://schemas.openxmlformats.org/officeDocument/2006/relationships/hyperlink" Target="https://doi.org/10.1111/1462-2920.13259" TargetMode="External"/><Relationship Id="rId419" Type="http://schemas.openxmlformats.org/officeDocument/2006/relationships/hyperlink" Target="http://doi.org/10.1016/j.still.2003.12.002" TargetMode="External"/><Relationship Id="rId626" Type="http://schemas.openxmlformats.org/officeDocument/2006/relationships/hyperlink" Target="http://sociobosque.ambiente.gob.ec/files/images/articulos/archivos/amrPlanRF.pdf" TargetMode="External"/><Relationship Id="rId973" Type="http://schemas.openxmlformats.org/officeDocument/2006/relationships/hyperlink" Target="http://www.worldbank.org" TargetMode="External"/><Relationship Id="rId1049" Type="http://schemas.openxmlformats.org/officeDocument/2006/relationships/hyperlink" Target="http://www.globio.info/" TargetMode="External"/><Relationship Id="rId833" Type="http://schemas.openxmlformats.org/officeDocument/2006/relationships/hyperlink" Target="http://doi.org/10.1111/gcb.13298" TargetMode="External"/><Relationship Id="rId1116" Type="http://schemas.openxmlformats.org/officeDocument/2006/relationships/hyperlink" Target="http://cerdi.org/production/show/id/1758/type_%20production_id/1" TargetMode="External"/><Relationship Id="rId265" Type="http://schemas.openxmlformats.org/officeDocument/2006/relationships/hyperlink" Target="http://cal-ipc.org/" TargetMode="External"/><Relationship Id="rId472" Type="http://schemas.openxmlformats.org/officeDocument/2006/relationships/hyperlink" Target="http://doi.org/10.1089/vbz.2012.1195" TargetMode="External"/><Relationship Id="rId900" Type="http://schemas.openxmlformats.org/officeDocument/2006/relationships/hyperlink" Target="http://doi.org/10.1002/ecs2.1697" TargetMode="External"/><Relationship Id="rId125" Type="http://schemas.openxmlformats.org/officeDocument/2006/relationships/image" Target="media/image73.jpeg"/><Relationship Id="rId332" Type="http://schemas.openxmlformats.org/officeDocument/2006/relationships/hyperlink" Target="http://doi.org/10.1007/s10530-005-0331-0" TargetMode="External"/><Relationship Id="rId777" Type="http://schemas.openxmlformats.org/officeDocument/2006/relationships/hyperlink" Target="http://doi.org/10.15381/rpb.v13i2.1953" TargetMode="External"/><Relationship Id="rId984" Type="http://schemas.openxmlformats.org/officeDocument/2006/relationships/image" Target="media/image112.jpeg"/><Relationship Id="rId637" Type="http://schemas.openxmlformats.org/officeDocument/2006/relationships/hyperlink" Target="https://doi.org/10.1186/s13002-016-0127-6" TargetMode="External"/><Relationship Id="rId844" Type="http://schemas.openxmlformats.org/officeDocument/2006/relationships/hyperlink" Target="http://doi.org/10.1038/35079180" TargetMode="External"/><Relationship Id="rId276" Type="http://schemas.openxmlformats.org/officeDocument/2006/relationships/hyperlink" Target="https://doi.org/10.1073/pnas.0709069104" TargetMode="External"/><Relationship Id="rId483" Type="http://schemas.openxmlformats.org/officeDocument/2006/relationships/hyperlink" Target="http://doi.org/10.1007/s10393-012-0778-2" TargetMode="External"/><Relationship Id="rId690" Type="http://schemas.openxmlformats.org/officeDocument/2006/relationships/hyperlink" Target="http://doi.org/10.1016/j.foreco.2007.11.015" TargetMode="External"/><Relationship Id="rId704" Type="http://schemas.openxmlformats.org/officeDocument/2006/relationships/hyperlink" Target="http://doi.org/10.1196/annals.1439.011" TargetMode="External"/><Relationship Id="rId911" Type="http://schemas.openxmlformats.org/officeDocument/2006/relationships/hyperlink" Target="https://doi.org/10.1002/2015JG003132" TargetMode="External"/><Relationship Id="rId1127" Type="http://schemas.openxmlformats.org/officeDocument/2006/relationships/hyperlink" Target="http://science.sciencemag.org/content/322/5899/225" TargetMode="External"/><Relationship Id="rId40" Type="http://schemas.openxmlformats.org/officeDocument/2006/relationships/hyperlink" Target="https://openknowledge.worldbank.org/bitstream/handle/10986/25013/108141.pdf?sequence=4&amp;isAllowed=y" TargetMode="External"/><Relationship Id="rId136" Type="http://schemas.openxmlformats.org/officeDocument/2006/relationships/image" Target="media/image84.jpeg"/><Relationship Id="rId343" Type="http://schemas.openxmlformats.org/officeDocument/2006/relationships/hyperlink" Target="http://doi.org/10.1073/pnas.1422385112" TargetMode="External"/><Relationship Id="rId550" Type="http://schemas.openxmlformats.org/officeDocument/2006/relationships/hyperlink" Target="http://doi.org/10.1111/j.1365-2486.2009.01920.x" TargetMode="External"/><Relationship Id="rId788" Type="http://schemas.openxmlformats.org/officeDocument/2006/relationships/hyperlink" Target="http://doi.org/10.1590/S1676-06032013000200014" TargetMode="External"/><Relationship Id="rId995" Type="http://schemas.openxmlformats.org/officeDocument/2006/relationships/image" Target="media/image117.jpeg"/><Relationship Id="rId203" Type="http://schemas.openxmlformats.org/officeDocument/2006/relationships/hyperlink" Target="https://doi.org/10.1126/science.aaf5080" TargetMode="External"/><Relationship Id="rId648" Type="http://schemas.openxmlformats.org/officeDocument/2006/relationships/hyperlink" Target="http://doi.org/10.1111/j.1365-2745.2008.01361.x" TargetMode="External"/><Relationship Id="rId855" Type="http://schemas.openxmlformats.org/officeDocument/2006/relationships/hyperlink" Target="http://doi.org/10.1111/ddi.12419" TargetMode="External"/><Relationship Id="rId1040" Type="http://schemas.openxmlformats.org/officeDocument/2006/relationships/image" Target="media/image136.jpeg"/><Relationship Id="rId287" Type="http://schemas.openxmlformats.org/officeDocument/2006/relationships/hyperlink" Target="http://doi.org/10.1016/j.landurbplan.2008.10.017" TargetMode="External"/><Relationship Id="rId410" Type="http://schemas.openxmlformats.org/officeDocument/2006/relationships/hyperlink" Target="http://doi.org/10.1080/17550874.2014.984003" TargetMode="External"/><Relationship Id="rId494" Type="http://schemas.openxmlformats.org/officeDocument/2006/relationships/hyperlink" Target="http://www.refworld.org/docid/3ddb6d514.html" TargetMode="External"/><Relationship Id="rId508" Type="http://schemas.openxmlformats.org/officeDocument/2006/relationships/hyperlink" Target="http://doi.org/10.1023/A:1008825802448" TargetMode="External"/><Relationship Id="rId715" Type="http://schemas.openxmlformats.org/officeDocument/2006/relationships/hyperlink" Target="https://doi.org/10.1111/j.1523-1739.2008.01029.x" TargetMode="External"/><Relationship Id="rId922" Type="http://schemas.openxmlformats.org/officeDocument/2006/relationships/hyperlink" Target="http://doi.org/10.2307/40168287" TargetMode="External"/><Relationship Id="rId1138" Type="http://schemas.openxmlformats.org/officeDocument/2006/relationships/hyperlink" Target="http://www.sciencedirect.com/science/article/pii/S2212041614000813" TargetMode="External"/><Relationship Id="rId147" Type="http://schemas.openxmlformats.org/officeDocument/2006/relationships/image" Target="media/image95.jpeg"/><Relationship Id="rId354" Type="http://schemas.openxmlformats.org/officeDocument/2006/relationships/hyperlink" Target="http://doi.org/10.1073/pnas.1524465113" TargetMode="External"/><Relationship Id="rId799" Type="http://schemas.openxmlformats.org/officeDocument/2006/relationships/hyperlink" Target="http://doi.org/10.1016/j.ympev.2017.04.021" TargetMode="External"/><Relationship Id="rId51" Type="http://schemas.openxmlformats.org/officeDocument/2006/relationships/image" Target="media/image21.jpeg"/><Relationship Id="rId561" Type="http://schemas.openxmlformats.org/officeDocument/2006/relationships/hyperlink" Target="http://doi.org/10.1126/science.273.5281.1555" TargetMode="External"/><Relationship Id="rId659" Type="http://schemas.openxmlformats.org/officeDocument/2006/relationships/hyperlink" Target="https://doi.org/10.1126/science.1248525" TargetMode="External"/><Relationship Id="rId866" Type="http://schemas.openxmlformats.org/officeDocument/2006/relationships/hyperlink" Target="http://doi.org/10.1007/s10745-008-9208-z" TargetMode="External"/><Relationship Id="rId214" Type="http://schemas.openxmlformats.org/officeDocument/2006/relationships/hyperlink" Target="http://doi.org/10.1098/rsbl.2015.0623" TargetMode="External"/><Relationship Id="rId298" Type="http://schemas.openxmlformats.org/officeDocument/2006/relationships/hyperlink" Target="http://doi.org/10.1038/srep23954" TargetMode="External"/><Relationship Id="rId421" Type="http://schemas.openxmlformats.org/officeDocument/2006/relationships/hyperlink" Target="https://doi.org/10.1890/130330" TargetMode="External"/><Relationship Id="rId519" Type="http://schemas.openxmlformats.org/officeDocument/2006/relationships/hyperlink" Target="http://doi.org/10.1038/nature06536" TargetMode="External"/><Relationship Id="rId1051" Type="http://schemas.openxmlformats.org/officeDocument/2006/relationships/image" Target="media/image144.jpeg"/><Relationship Id="rId158" Type="http://schemas.openxmlformats.org/officeDocument/2006/relationships/hyperlink" Target="http://doi.org/10.1111/nph.12924" TargetMode="External"/><Relationship Id="rId726" Type="http://schemas.openxmlformats.org/officeDocument/2006/relationships/hyperlink" Target="https://doi.org/10.1038/Nclimate1958" TargetMode="External"/><Relationship Id="rId933" Type="http://schemas.openxmlformats.org/officeDocument/2006/relationships/hyperlink" Target="http://doi.org/10.1126/science.1128834" TargetMode="External"/><Relationship Id="rId1009" Type="http://schemas.openxmlformats.org/officeDocument/2006/relationships/hyperlink" Target="https://ssrn.com/abstract=965077" TargetMode="External"/><Relationship Id="rId62" Type="http://schemas.openxmlformats.org/officeDocument/2006/relationships/image" Target="media/image30.jpeg"/><Relationship Id="rId365" Type="http://schemas.openxmlformats.org/officeDocument/2006/relationships/hyperlink" Target="http://doi.org/10.1016/j.cub.2015.05.030" TargetMode="External"/><Relationship Id="rId572" Type="http://schemas.openxmlformats.org/officeDocument/2006/relationships/hyperlink" Target="http://doi.org/10.1016/j.foreco.2012.05.008" TargetMode="External"/><Relationship Id="rId225" Type="http://schemas.openxmlformats.org/officeDocument/2006/relationships/hyperlink" Target="http://doi.org/10.4996/fireecology.1101032" TargetMode="External"/><Relationship Id="rId432" Type="http://schemas.openxmlformats.org/officeDocument/2006/relationships/hyperlink" Target="http://doi.org/10.1071/WF07074" TargetMode="External"/><Relationship Id="rId877" Type="http://schemas.openxmlformats.org/officeDocument/2006/relationships/hyperlink" Target="http://prof.icb.ufmg.br/treeatlan/treeatlanE_0_index.htm" TargetMode="External"/><Relationship Id="rId1062" Type="http://schemas.openxmlformats.org/officeDocument/2006/relationships/header" Target="header4.xml"/><Relationship Id="rId737" Type="http://schemas.openxmlformats.org/officeDocument/2006/relationships/hyperlink" Target="https://doi.org/10.5194/tc-7-81-2013" TargetMode="External"/><Relationship Id="rId944" Type="http://schemas.openxmlformats.org/officeDocument/2006/relationships/hyperlink" Target="http://doi.org/10.1007/s10530-010-9787-7" TargetMode="External"/><Relationship Id="rId73" Type="http://schemas.openxmlformats.org/officeDocument/2006/relationships/hyperlink" Target="http://www.biodiversidad.gob.mx/Biodiversitas/Articulos/biodiv62art3.pdf" TargetMode="External"/><Relationship Id="rId169" Type="http://schemas.openxmlformats.org/officeDocument/2006/relationships/hyperlink" Target="http://doi.org/10.1111/j.1477-8947.2000.tb00935.x" TargetMode="External"/><Relationship Id="rId376" Type="http://schemas.openxmlformats.org/officeDocument/2006/relationships/hyperlink" Target="http://doi.org/10.1641/0006-3568(2005)055%5B0399:TDIUC%5D2.0.CO;2" TargetMode="External"/><Relationship Id="rId583" Type="http://schemas.openxmlformats.org/officeDocument/2006/relationships/hyperlink" Target="http://doi.org/10.1371/journal.pone.0074496" TargetMode="External"/><Relationship Id="rId790" Type="http://schemas.openxmlformats.org/officeDocument/2006/relationships/hyperlink" Target="http://doi.org/10.1016/0022-1694(95)02825-0" TargetMode="External"/><Relationship Id="rId804" Type="http://schemas.openxmlformats.org/officeDocument/2006/relationships/hyperlink" Target="http://doi.org/10.3112/erdkunde.2011.02.05" TargetMode="External"/><Relationship Id="rId4" Type="http://schemas.openxmlformats.org/officeDocument/2006/relationships/customXml" Target="../customXml/item4.xml"/><Relationship Id="rId236" Type="http://schemas.openxmlformats.org/officeDocument/2006/relationships/hyperlink" Target="http://doi.org/10.1016/0022-1694(82)90117-2" TargetMode="External"/><Relationship Id="rId443" Type="http://schemas.openxmlformats.org/officeDocument/2006/relationships/hyperlink" Target="http://doi.org/10.1111/ddi.12455" TargetMode="External"/><Relationship Id="rId650" Type="http://schemas.openxmlformats.org/officeDocument/2006/relationships/hyperlink" Target="https://doi.org/10.1038/NCLIMATE2697" TargetMode="External"/><Relationship Id="rId888" Type="http://schemas.openxmlformats.org/officeDocument/2006/relationships/hyperlink" Target="http://www.fws.gov/chesapeakebay/cbsav.html" TargetMode="External"/><Relationship Id="rId1073" Type="http://schemas.openxmlformats.org/officeDocument/2006/relationships/hyperlink" Target="https://www.cert-id.eu/Certification-Programmes/Non-GMO-Certification/Non-GMO-Soy-Certification" TargetMode="External"/><Relationship Id="rId303" Type="http://schemas.openxmlformats.org/officeDocument/2006/relationships/hyperlink" Target="http://doi.org/10.3390/d2010072" TargetMode="External"/><Relationship Id="rId748" Type="http://schemas.openxmlformats.org/officeDocument/2006/relationships/hyperlink" Target="https://doi.org/10.1038/nature12760" TargetMode="External"/><Relationship Id="rId955" Type="http://schemas.openxmlformats.org/officeDocument/2006/relationships/hyperlink" Target="http://doi.org/10.1127/0029-5035/2010/0090-0045" TargetMode="External"/><Relationship Id="rId1140" Type="http://schemas.openxmlformats.org/officeDocument/2006/relationships/hyperlink" Target="http://wttc.org" TargetMode="External"/><Relationship Id="rId84" Type="http://schemas.openxmlformats.org/officeDocument/2006/relationships/hyperlink" Target="http://www.bonnchallenge.org" TargetMode="External"/><Relationship Id="rId387" Type="http://schemas.openxmlformats.org/officeDocument/2006/relationships/hyperlink" Target="http://doi.org/10.1111/j.1755-263X.2012.00267.x" TargetMode="External"/><Relationship Id="rId510" Type="http://schemas.openxmlformats.org/officeDocument/2006/relationships/hyperlink" Target="http://doi.org/10.7208/chicago/9780226121642.003.0010" TargetMode="External"/><Relationship Id="rId594" Type="http://schemas.openxmlformats.org/officeDocument/2006/relationships/hyperlink" Target="https://doi.org/10.1890/09-0069.1" TargetMode="External"/><Relationship Id="rId608" Type="http://schemas.openxmlformats.org/officeDocument/2006/relationships/hyperlink" Target="http://doi.org/10.1073/pnas.1410186112" TargetMode="External"/><Relationship Id="rId815" Type="http://schemas.openxmlformats.org/officeDocument/2006/relationships/hyperlink" Target="http://www.cbd.int/authorities/gettinginvolved/cbi.shtml" TargetMode="External"/><Relationship Id="rId247" Type="http://schemas.openxmlformats.org/officeDocument/2006/relationships/hyperlink" Target="http://doi.org/10.1017/S0376892902000085" TargetMode="External"/><Relationship Id="rId899" Type="http://schemas.openxmlformats.org/officeDocument/2006/relationships/hyperlink" Target="https://doi.org/10.1016/j.gloenvcha.2011.10.009" TargetMode="External"/><Relationship Id="rId1000" Type="http://schemas.openxmlformats.org/officeDocument/2006/relationships/hyperlink" Target="https://doi.org/10.1080/17550874.2011.594101" TargetMode="External"/><Relationship Id="rId1084" Type="http://schemas.openxmlformats.org/officeDocument/2006/relationships/hyperlink" Target="http://www.fao.org/forestry/fma/73410/en/" TargetMode="External"/><Relationship Id="rId107" Type="http://schemas.openxmlformats.org/officeDocument/2006/relationships/image" Target="media/image60.jpeg"/><Relationship Id="rId454" Type="http://schemas.openxmlformats.org/officeDocument/2006/relationships/hyperlink" Target="http://doi.org/10.3897/zookeys.644.10827" TargetMode="External"/><Relationship Id="rId661" Type="http://schemas.openxmlformats.org/officeDocument/2006/relationships/hyperlink" Target="http://doi.org/10.1126/science.1230441" TargetMode="External"/><Relationship Id="rId759" Type="http://schemas.openxmlformats.org/officeDocument/2006/relationships/hyperlink" Target="http://doi.org/10.1111/ddi.12665" TargetMode="External"/><Relationship Id="rId966" Type="http://schemas.openxmlformats.org/officeDocument/2006/relationships/image" Target="media/image102.jpeg"/><Relationship Id="rId11" Type="http://schemas.openxmlformats.org/officeDocument/2006/relationships/image" Target="media/image1.png"/><Relationship Id="rId314" Type="http://schemas.openxmlformats.org/officeDocument/2006/relationships/hyperlink" Target="http://doi.org/10.1016/j.biocon.2015.06.019" TargetMode="External"/><Relationship Id="rId398" Type="http://schemas.openxmlformats.org/officeDocument/2006/relationships/hyperlink" Target="http://www.registrelep-sararegistry.gc.ca/virtual_sara/files/plans/Ap-ResidentKillerWhale-v00-2017Mar-Eng.pdf" TargetMode="External"/><Relationship Id="rId521" Type="http://schemas.openxmlformats.org/officeDocument/2006/relationships/hyperlink" Target="https://doi.org/10.1002/aqc.2386" TargetMode="External"/><Relationship Id="rId619" Type="http://schemas.openxmlformats.org/officeDocument/2006/relationships/hyperlink" Target="http://www.mtewood.com/Forestry/FMP/finalfmp06112012.pdf" TargetMode="External"/><Relationship Id="rId95" Type="http://schemas.openxmlformats.org/officeDocument/2006/relationships/image" Target="media/image52.jpeg"/><Relationship Id="rId160" Type="http://schemas.openxmlformats.org/officeDocument/2006/relationships/hyperlink" Target="http://doi.org/10.1007/BF02859312" TargetMode="External"/><Relationship Id="rId826" Type="http://schemas.openxmlformats.org/officeDocument/2006/relationships/hyperlink" Target="http://doi.org/10.1007/s10393-016-1186-9" TargetMode="External"/><Relationship Id="rId1011" Type="http://schemas.openxmlformats.org/officeDocument/2006/relationships/hyperlink" Target="http://hdl.handle.net/10.1126/science.355.6325.558" TargetMode="External"/><Relationship Id="rId1109" Type="http://schemas.openxmlformats.org/officeDocument/2006/relationships/hyperlink" Target="http://www.minambiente.it/sites/default/files/archivio/allegati/" TargetMode="External"/><Relationship Id="rId258" Type="http://schemas.openxmlformats.org/officeDocument/2006/relationships/hyperlink" Target="https://doi.org/10.1016/j.icesjms.2006.04.021" TargetMode="External"/><Relationship Id="rId465" Type="http://schemas.openxmlformats.org/officeDocument/2006/relationships/hyperlink" Target="https://doi.org/10.1038/nature13014" TargetMode="External"/><Relationship Id="rId672" Type="http://schemas.openxmlformats.org/officeDocument/2006/relationships/hyperlink" Target="http://www.iobis.org/" TargetMode="External"/><Relationship Id="rId1095" Type="http://schemas.openxmlformats.org/officeDocument/2006/relationships/hyperlink" Target="mailto:pritchard@nwf.org" TargetMode="External"/><Relationship Id="rId22" Type="http://schemas.openxmlformats.org/officeDocument/2006/relationships/image" Target="media/image12.jpeg"/><Relationship Id="rId118" Type="http://schemas.openxmlformats.org/officeDocument/2006/relationships/image" Target="media/image66.jpeg"/><Relationship Id="rId325" Type="http://schemas.openxmlformats.org/officeDocument/2006/relationships/hyperlink" Target="http://doi.org/10.1007/s13157-011-0217-0" TargetMode="External"/><Relationship Id="rId532" Type="http://schemas.openxmlformats.org/officeDocument/2006/relationships/hyperlink" Target="http://doi.org/10.1023/A:1013130902993" TargetMode="External"/><Relationship Id="rId977" Type="http://schemas.openxmlformats.org/officeDocument/2006/relationships/hyperlink" Target="https://www.glri.us" TargetMode="External"/><Relationship Id="rId171" Type="http://schemas.openxmlformats.org/officeDocument/2006/relationships/hyperlink" Target="http://doi.org/10.1079/SUM200165" TargetMode="External"/><Relationship Id="rId837" Type="http://schemas.openxmlformats.org/officeDocument/2006/relationships/hyperlink" Target="http://doi.org/10.1890/1540-9295(2004)002%5B0235:POEIPD%5D2.0.CO;2" TargetMode="External"/><Relationship Id="rId1022" Type="http://schemas.openxmlformats.org/officeDocument/2006/relationships/hyperlink" Target="http://hdr.undp.org/sites/default/files/2016_human_development_report.pdf" TargetMode="External"/><Relationship Id="rId269" Type="http://schemas.openxmlformats.org/officeDocument/2006/relationships/hyperlink" Target="http://linkinghub.elsevier.com/retrieve/pii/B9780123847195003543" TargetMode="External"/><Relationship Id="rId476" Type="http://schemas.openxmlformats.org/officeDocument/2006/relationships/hyperlink" Target="https://portals.iucn.org/library/sites/library/files/documents/2014-025.pdf" TargetMode="External"/><Relationship Id="rId683" Type="http://schemas.openxmlformats.org/officeDocument/2006/relationships/hyperlink" Target="http://doi.org/10.1007/s10531-004-1461-x" TargetMode="External"/><Relationship Id="rId890" Type="http://schemas.openxmlformats.org/officeDocument/2006/relationships/hyperlink" Target="http://plants.usda.gov" TargetMode="External"/><Relationship Id="rId904" Type="http://schemas.openxmlformats.org/officeDocument/2006/relationships/hyperlink" Target="http://doi.org/10.1023/A:1020522923905" TargetMode="External"/><Relationship Id="rId33" Type="http://schemas.openxmlformats.org/officeDocument/2006/relationships/hyperlink" Target="https://www.ipbes.net/system/tdf/downloads/pdf/ipbes-5-inf-24.pdf?file=1&amp;type=node&amp;id=534" TargetMode="External"/><Relationship Id="rId129" Type="http://schemas.openxmlformats.org/officeDocument/2006/relationships/image" Target="media/image77.jpeg"/><Relationship Id="rId336" Type="http://schemas.openxmlformats.org/officeDocument/2006/relationships/hyperlink" Target="http://doi.org/10.1007/BF00046928" TargetMode="External"/><Relationship Id="rId543" Type="http://schemas.openxmlformats.org/officeDocument/2006/relationships/hyperlink" Target="https://doi.org/10.1002/ece3.280" TargetMode="External"/><Relationship Id="rId988" Type="http://schemas.openxmlformats.org/officeDocument/2006/relationships/hyperlink" Target="https://www.cbd.int/invasive/terms.shtm" TargetMode="External"/><Relationship Id="rId182" Type="http://schemas.openxmlformats.org/officeDocument/2006/relationships/hyperlink" Target="http://doi.org/10.1594/PANGAEA.787668" TargetMode="External"/><Relationship Id="rId403" Type="http://schemas.openxmlformats.org/officeDocument/2006/relationships/hyperlink" Target="https://doi.org/10.1038/nature05587" TargetMode="External"/><Relationship Id="rId750" Type="http://schemas.openxmlformats.org/officeDocument/2006/relationships/hyperlink" Target="http://doi.org/10.1644/07-MAMM-S-315R1.1" TargetMode="External"/><Relationship Id="rId848" Type="http://schemas.openxmlformats.org/officeDocument/2006/relationships/hyperlink" Target="https://doi.org/10.1371/journal.pone.0005461" TargetMode="External"/><Relationship Id="rId1033" Type="http://schemas.openxmlformats.org/officeDocument/2006/relationships/image" Target="media/image129.jpeg"/><Relationship Id="rId487" Type="http://schemas.openxmlformats.org/officeDocument/2006/relationships/hyperlink" Target="http://doi.org/10.1007/s11273-016-9482-2" TargetMode="External"/><Relationship Id="rId610" Type="http://schemas.openxmlformats.org/officeDocument/2006/relationships/hyperlink" Target="http://doi.org/10.1111/j.1466-8238.2007.00317.x" TargetMode="External"/><Relationship Id="rId694" Type="http://schemas.openxmlformats.org/officeDocument/2006/relationships/hyperlink" Target="https://doi.org/10.1890/080072" TargetMode="External"/><Relationship Id="rId708" Type="http://schemas.openxmlformats.org/officeDocument/2006/relationships/hyperlink" Target="https://doi.org/10.1126/science.1136914" TargetMode="External"/><Relationship Id="rId915" Type="http://schemas.openxmlformats.org/officeDocument/2006/relationships/hyperlink" Target="http://doi.org/10.1016/j.scitotenv.2016.09.175" TargetMode="External"/><Relationship Id="rId347" Type="http://schemas.openxmlformats.org/officeDocument/2006/relationships/hyperlink" Target="http://doi.org/10.1890/ES14-00103.1" TargetMode="External"/><Relationship Id="rId999" Type="http://schemas.openxmlformats.org/officeDocument/2006/relationships/image" Target="media/image121.jpeg"/><Relationship Id="rId1100" Type="http://schemas.openxmlformats.org/officeDocument/2006/relationships/hyperlink" Target="https://www.cbd.int/sp/default.shtml" TargetMode="External"/><Relationship Id="rId44" Type="http://schemas.openxmlformats.org/officeDocument/2006/relationships/header" Target="header2.xml"/><Relationship Id="rId554" Type="http://schemas.openxmlformats.org/officeDocument/2006/relationships/hyperlink" Target="https://doi.org/10.1016/j.foreco.2009.01.004" TargetMode="External"/><Relationship Id="rId761" Type="http://schemas.openxmlformats.org/officeDocument/2006/relationships/hyperlink" Target="http://doi.org/10.1007/s10021-014-9814-0" TargetMode="External"/><Relationship Id="rId859" Type="http://schemas.openxmlformats.org/officeDocument/2006/relationships/hyperlink" Target="http://doi.org/10.1371/journal.pone.0131388" TargetMode="External"/><Relationship Id="rId193" Type="http://schemas.openxmlformats.org/officeDocument/2006/relationships/hyperlink" Target="http://doi.org/10.2307/2442833" TargetMode="External"/><Relationship Id="rId207" Type="http://schemas.openxmlformats.org/officeDocument/2006/relationships/hyperlink" Target="http://doi.org/10.1016/j.biocon.2010.05.001" TargetMode="External"/><Relationship Id="rId414" Type="http://schemas.openxmlformats.org/officeDocument/2006/relationships/hyperlink" Target="https://doi.org/10.1126/science.1136674" TargetMode="External"/><Relationship Id="rId498" Type="http://schemas.openxmlformats.org/officeDocument/2006/relationships/hyperlink" Target="http://doi.org/10.1371/journal.pone.0000296" TargetMode="External"/><Relationship Id="rId621" Type="http://schemas.openxmlformats.org/officeDocument/2006/relationships/hyperlink" Target="http://doi.org/10.1016/j.biocon.2008.10.012" TargetMode="External"/><Relationship Id="rId1044" Type="http://schemas.openxmlformats.org/officeDocument/2006/relationships/image" Target="media/image140.jpeg"/><Relationship Id="rId260" Type="http://schemas.openxmlformats.org/officeDocument/2006/relationships/hyperlink" Target="https://doi.org/10.1371/journal.pone.0032529" TargetMode="External"/><Relationship Id="rId719" Type="http://schemas.openxmlformats.org/officeDocument/2006/relationships/hyperlink" Target="http://doi.org/10.1126/science.1239352" TargetMode="External"/><Relationship Id="rId926" Type="http://schemas.openxmlformats.org/officeDocument/2006/relationships/hyperlink" Target="http://doi.org/10.1017/S0376892912000446" TargetMode="External"/><Relationship Id="rId1111" Type="http://schemas.openxmlformats.org/officeDocument/2006/relationships/hyperlink" Target="http://muse.jhu.edu/results?section1=author&amp;search1=Craig%20M.%20Kauffman" TargetMode="External"/><Relationship Id="rId55" Type="http://schemas.openxmlformats.org/officeDocument/2006/relationships/image" Target="media/image25.jpeg"/><Relationship Id="rId120" Type="http://schemas.openxmlformats.org/officeDocument/2006/relationships/image" Target="media/image68.jpeg"/><Relationship Id="rId358" Type="http://schemas.openxmlformats.org/officeDocument/2006/relationships/hyperlink" Target="https://doi.org/10.1111/j.1365-3059.2008.01893.x" TargetMode="External"/><Relationship Id="rId565" Type="http://schemas.openxmlformats.org/officeDocument/2006/relationships/hyperlink" Target="http://doi.org/10.2307/2261604" TargetMode="External"/><Relationship Id="rId772" Type="http://schemas.openxmlformats.org/officeDocument/2006/relationships/hyperlink" Target="http://doi.org/10.1007/s10531-005-4877-z" TargetMode="External"/><Relationship Id="rId218" Type="http://schemas.openxmlformats.org/officeDocument/2006/relationships/hyperlink" Target="http://doi.org/10.1126/science.1172460" TargetMode="External"/><Relationship Id="rId425" Type="http://schemas.openxmlformats.org/officeDocument/2006/relationships/hyperlink" Target="http://doi.org/10.15560/11.3.1620" TargetMode="External"/><Relationship Id="rId632" Type="http://schemas.openxmlformats.org/officeDocument/2006/relationships/hyperlink" Target="http://doi.org/10.3896/IBRA.1.50.1.02" TargetMode="External"/><Relationship Id="rId1055" Type="http://schemas.openxmlformats.org/officeDocument/2006/relationships/image" Target="media/image148.jpeg"/><Relationship Id="rId271" Type="http://schemas.openxmlformats.org/officeDocument/2006/relationships/hyperlink" Target="http://doi.org/10.1126/science.1186120" TargetMode="External"/><Relationship Id="rId937" Type="http://schemas.openxmlformats.org/officeDocument/2006/relationships/hyperlink" Target="http://doi.org/10.1089/ast.2006.6.415" TargetMode="External"/><Relationship Id="rId1122" Type="http://schemas.openxmlformats.org/officeDocument/2006/relationships/hyperlink" Target="http://www.naturalcapitalfinancealliance.org/softcommoditytool/" TargetMode="External"/><Relationship Id="rId66" Type="http://schemas.openxmlformats.org/officeDocument/2006/relationships/image" Target="media/image34.jpeg"/><Relationship Id="rId131" Type="http://schemas.openxmlformats.org/officeDocument/2006/relationships/image" Target="media/image79.jpeg"/><Relationship Id="rId369" Type="http://schemas.openxmlformats.org/officeDocument/2006/relationships/hyperlink" Target="http://doi.org/10.7287/peerj.preprints.2615v2" TargetMode="External"/><Relationship Id="rId576" Type="http://schemas.openxmlformats.org/officeDocument/2006/relationships/hyperlink" Target="https://doi.org/10.1089/vbz.2013.1563" TargetMode="External"/><Relationship Id="rId783" Type="http://schemas.openxmlformats.org/officeDocument/2006/relationships/hyperlink" Target="http://doi.org/10.1080/14634988.2015.1027534" TargetMode="External"/><Relationship Id="rId990" Type="http://schemas.openxmlformats.org/officeDocument/2006/relationships/hyperlink" Target="https://en.wikipedia.org/wiki/Active_fault" TargetMode="External"/><Relationship Id="rId229" Type="http://schemas.openxmlformats.org/officeDocument/2006/relationships/hyperlink" Target="http://www.birdlife.org/datazone/site/search" TargetMode="External"/><Relationship Id="rId436" Type="http://schemas.openxmlformats.org/officeDocument/2006/relationships/hyperlink" Target="https://www.diputados.gob.mx/cesop" TargetMode="External"/><Relationship Id="rId643" Type="http://schemas.openxmlformats.org/officeDocument/2006/relationships/hyperlink" Target="http://doi.org/10.1073/pnas.1509938112" TargetMode="External"/><Relationship Id="rId1066" Type="http://schemas.openxmlformats.org/officeDocument/2006/relationships/hyperlink" Target="https://www.conservationgateway.org/%20ConservationPractices/FireLandscapes/FireLearningNetwork/Pages/fire-learning-network.aspx" TargetMode="External"/><Relationship Id="rId850" Type="http://schemas.openxmlformats.org/officeDocument/2006/relationships/hyperlink" Target="https://doi.org/10.1111/j.1466-8238.2011.00727.x" TargetMode="External"/><Relationship Id="rId948" Type="http://schemas.openxmlformats.org/officeDocument/2006/relationships/hyperlink" Target="http://www.keybiodiversityareas.org" TargetMode="External"/><Relationship Id="rId1133" Type="http://schemas.openxmlformats.org/officeDocument/2006/relationships/hyperlink" Target="http://www.un.org/millenniumgoals/%202015_MDG_Report/pdf/MDG%202015%20PR%20Regional%20LAC.pdf" TargetMode="External"/><Relationship Id="rId77" Type="http://schemas.openxmlformats.org/officeDocument/2006/relationships/image" Target="media/image38.jpeg"/><Relationship Id="rId282" Type="http://schemas.openxmlformats.org/officeDocument/2006/relationships/hyperlink" Target="https://doi.org/10.1111/conl.12008" TargetMode="External"/><Relationship Id="rId503" Type="http://schemas.openxmlformats.org/officeDocument/2006/relationships/hyperlink" Target="http://pbsg.npolar.no/en/status/status-table.html" TargetMode="External"/><Relationship Id="rId587" Type="http://schemas.openxmlformats.org/officeDocument/2006/relationships/hyperlink" Target="https://doi.org/10.1111/2041-210X.12861" TargetMode="External"/><Relationship Id="rId710" Type="http://schemas.openxmlformats.org/officeDocument/2006/relationships/hyperlink" Target="http://doi.org/10.1046/j.1461-0248.2002.00339.x" TargetMode="External"/><Relationship Id="rId808" Type="http://schemas.openxmlformats.org/officeDocument/2006/relationships/hyperlink" Target="https://doi.org/10.1038/ncomms14435" TargetMode="External"/><Relationship Id="rId8" Type="http://schemas.openxmlformats.org/officeDocument/2006/relationships/webSettings" Target="webSettings.xml"/><Relationship Id="rId142" Type="http://schemas.openxmlformats.org/officeDocument/2006/relationships/image" Target="media/image90.jpeg"/><Relationship Id="rId447" Type="http://schemas.openxmlformats.org/officeDocument/2006/relationships/hyperlink" Target="https://doi.org/10.2307/3868092" TargetMode="External"/><Relationship Id="rId794" Type="http://schemas.openxmlformats.org/officeDocument/2006/relationships/hyperlink" Target="http://doi.org/10.1016/j.biocon.2014.04.011" TargetMode="External"/><Relationship Id="rId1077" Type="http://schemas.openxmlformats.org/officeDocument/2006/relationships/hyperlink" Target="http://www.rainforest-alliance.org/find-certified" TargetMode="External"/><Relationship Id="rId654" Type="http://schemas.openxmlformats.org/officeDocument/2006/relationships/hyperlink" Target="http://doi.org/10.1002/ece3.1341" TargetMode="External"/><Relationship Id="rId861" Type="http://schemas.openxmlformats.org/officeDocument/2006/relationships/hyperlink" Target="https://doi.org/10.1126/sciadv.1500936" TargetMode="External"/><Relationship Id="rId959" Type="http://schemas.openxmlformats.org/officeDocument/2006/relationships/hyperlink" Target="http://doi.org/10.4067/S0717-92002014000200007" TargetMode="External"/><Relationship Id="rId293" Type="http://schemas.openxmlformats.org/officeDocument/2006/relationships/hyperlink" Target="http://doi.org/10.1579/0044-7447(2006)35%5B198:braatm%5D2.0.co;2" TargetMode="External"/><Relationship Id="rId307" Type="http://schemas.openxmlformats.org/officeDocument/2006/relationships/hyperlink" Target="file:///D:\Desktop\IPBES%20Editing\Americas\www.conabio.gob.mx" TargetMode="External"/><Relationship Id="rId514" Type="http://schemas.openxmlformats.org/officeDocument/2006/relationships/hyperlink" Target="http://doi.org/10.1111/j.1365-2699.2007.01799.x" TargetMode="External"/><Relationship Id="rId721" Type="http://schemas.openxmlformats.org/officeDocument/2006/relationships/hyperlink" Target="http://doi.org/10.1038/ismej.2014.241" TargetMode="External"/><Relationship Id="rId1144" Type="http://schemas.openxmlformats.org/officeDocument/2006/relationships/fontTable" Target="fontTable.xml"/><Relationship Id="rId88" Type="http://schemas.openxmlformats.org/officeDocument/2006/relationships/image" Target="media/image45.jpeg"/><Relationship Id="rId153" Type="http://schemas.openxmlformats.org/officeDocument/2006/relationships/hyperlink" Target="http://unesdoc.unesco.org/images/0019/001906/190691s.pdf" TargetMode="External"/><Relationship Id="rId360" Type="http://schemas.openxmlformats.org/officeDocument/2006/relationships/hyperlink" Target="https://doi.org/10.1371/journal.pbio.2000942" TargetMode="External"/><Relationship Id="rId598" Type="http://schemas.openxmlformats.org/officeDocument/2006/relationships/hyperlink" Target="http://doi.org/10.1007/s10530-014-0775-1" TargetMode="External"/><Relationship Id="rId819" Type="http://schemas.openxmlformats.org/officeDocument/2006/relationships/hyperlink" Target="https://doi.org/10.2989/SF.2009.71.2.3.818" TargetMode="External"/><Relationship Id="rId1004" Type="http://schemas.openxmlformats.org/officeDocument/2006/relationships/hyperlink" Target="http://www.fleppc.org/Manage_Plans/schinus.pdf." TargetMode="External"/><Relationship Id="rId220" Type="http://schemas.openxmlformats.org/officeDocument/2006/relationships/hyperlink" Target="http://doi.org/10.1111/ele.12427" TargetMode="External"/><Relationship Id="rId458" Type="http://schemas.openxmlformats.org/officeDocument/2006/relationships/hyperlink" Target="https://doi.org/10.1007/s10980-015-0297-y" TargetMode="External"/><Relationship Id="rId665" Type="http://schemas.openxmlformats.org/officeDocument/2006/relationships/hyperlink" Target="http://doi.org/10.1111/j.1442-9993.2008.01887.x" TargetMode="External"/><Relationship Id="rId872" Type="http://schemas.openxmlformats.org/officeDocument/2006/relationships/hyperlink" Target="https://doi.org/10.1371/journal.pone.0184379" TargetMode="External"/><Relationship Id="rId1088" Type="http://schemas.openxmlformats.org/officeDocument/2006/relationships/hyperlink" Target="http://otca.info/portal/admin/_upload/plano_trabalho/201-WORK.PLAN_2014.pdf" TargetMode="External"/><Relationship Id="rId15" Type="http://schemas.openxmlformats.org/officeDocument/2006/relationships/image" Target="media/image5.jpeg"/><Relationship Id="rId318" Type="http://schemas.openxmlformats.org/officeDocument/2006/relationships/hyperlink" Target="http://doi.org/10.1007/s10750-007-9120-3" TargetMode="External"/><Relationship Id="rId525" Type="http://schemas.openxmlformats.org/officeDocument/2006/relationships/hyperlink" Target="http://doi.org/10.1525/bio.2009.59.1.8" TargetMode="External"/><Relationship Id="rId732" Type="http://schemas.openxmlformats.org/officeDocument/2006/relationships/hyperlink" Target="http://doi.org/10.1111/j.1523-1739.2010.01627.x" TargetMode="External"/><Relationship Id="rId99" Type="http://schemas.openxmlformats.org/officeDocument/2006/relationships/hyperlink" Target="http://www.ramsar.org" TargetMode="External"/><Relationship Id="rId164" Type="http://schemas.openxmlformats.org/officeDocument/2006/relationships/hyperlink" Target="http://doi.org/10.1590/S1519-69842011000200010" TargetMode="External"/><Relationship Id="rId371" Type="http://schemas.openxmlformats.org/officeDocument/2006/relationships/hyperlink" Target="http://doi.org/10.1111/j.1523-1739.2012.01842.x" TargetMode="External"/><Relationship Id="rId1015" Type="http://schemas.openxmlformats.org/officeDocument/2006/relationships/hyperlink" Target="https://doi.org/10.1038/35040695" TargetMode="External"/><Relationship Id="rId469" Type="http://schemas.openxmlformats.org/officeDocument/2006/relationships/hyperlink" Target="http://doi.org/10.1146/annurev-ento-011613-162051" TargetMode="External"/><Relationship Id="rId676" Type="http://schemas.openxmlformats.org/officeDocument/2006/relationships/hyperlink" Target="http://doi.org/10.1038/35023137" TargetMode="External"/><Relationship Id="rId883" Type="http://schemas.openxmlformats.org/officeDocument/2006/relationships/hyperlink" Target="https://www.protectedplanet.net/" TargetMode="External"/><Relationship Id="rId1099" Type="http://schemas.openxmlformats.org/officeDocument/2006/relationships/hyperlink" Target="https://www.cbd.int/development/doc/%20biodiversity-2030-agenda-technical-note-en.pdf.%20Accessed%20August%202017" TargetMode="External"/><Relationship Id="rId26" Type="http://schemas.openxmlformats.org/officeDocument/2006/relationships/hyperlink" Target="about:blank" TargetMode="External"/><Relationship Id="rId231" Type="http://schemas.openxmlformats.org/officeDocument/2006/relationships/hyperlink" Target="http://doi.org/10.1016/S0006-3207(96)00056-0" TargetMode="External"/><Relationship Id="rId329" Type="http://schemas.openxmlformats.org/officeDocument/2006/relationships/hyperlink" Target="http://doi.org/10.1890/03-0092" TargetMode="External"/><Relationship Id="rId536" Type="http://schemas.openxmlformats.org/officeDocument/2006/relationships/hyperlink" Target="https://doi.org/10.1890/11-0392.1" TargetMode="External"/><Relationship Id="rId175" Type="http://schemas.openxmlformats.org/officeDocument/2006/relationships/hyperlink" Target="http://doi.org/10.1038/nclimate1346" TargetMode="External"/><Relationship Id="rId743" Type="http://schemas.openxmlformats.org/officeDocument/2006/relationships/hyperlink" Target="http://doi.org/10.1016/j.biombioe.2012.01.003" TargetMode="External"/><Relationship Id="rId950" Type="http://schemas.openxmlformats.org/officeDocument/2006/relationships/hyperlink" Target="https://www.worldwildlife.org/projects/plowprint-report" TargetMode="External"/><Relationship Id="rId1026" Type="http://schemas.openxmlformats.org/officeDocument/2006/relationships/image" Target="media/image122.jpeg"/><Relationship Id="rId382" Type="http://schemas.openxmlformats.org/officeDocument/2006/relationships/hyperlink" Target="http://www.fao.org/docrep/010/a1200e/a1200e00.htm" TargetMode="External"/><Relationship Id="rId603" Type="http://schemas.openxmlformats.org/officeDocument/2006/relationships/hyperlink" Target="http://doi.org/10.1098/rspb.2007.0884" TargetMode="External"/><Relationship Id="rId687" Type="http://schemas.openxmlformats.org/officeDocument/2006/relationships/hyperlink" Target="http://www.marinespecies.org/introduced" TargetMode="External"/><Relationship Id="rId810" Type="http://schemas.openxmlformats.org/officeDocument/2006/relationships/hyperlink" Target="http://doi.org/10.1073/pnas.1211658109" TargetMode="External"/><Relationship Id="rId908" Type="http://schemas.openxmlformats.org/officeDocument/2006/relationships/hyperlink" Target="http://doi.org/10.1016/j.foreco.2017.11.006" TargetMode="External"/><Relationship Id="rId242" Type="http://schemas.openxmlformats.org/officeDocument/2006/relationships/hyperlink" Target="http://doi.org/10.1146/annurev.energy.32.031306.102758" TargetMode="External"/><Relationship Id="rId894" Type="http://schemas.openxmlformats.org/officeDocument/2006/relationships/hyperlink" Target="http://doi.org/10.1641/0006-3568(2001)051%5B0807:MFOOTW%5D2.0.CO;2" TargetMode="External"/><Relationship Id="rId37" Type="http://schemas.openxmlformats.org/officeDocument/2006/relationships/hyperlink" Target="https://esa.un.org/unpd/wup/publications/files/wup2014-highlights.pdf" TargetMode="External"/><Relationship Id="rId102" Type="http://schemas.openxmlformats.org/officeDocument/2006/relationships/image" Target="media/image57.jpeg"/><Relationship Id="rId547" Type="http://schemas.openxmlformats.org/officeDocument/2006/relationships/hyperlink" Target="http://doi.org/10.1007/s10750-016-2686-x" TargetMode="External"/><Relationship Id="rId754" Type="http://schemas.openxmlformats.org/officeDocument/2006/relationships/hyperlink" Target="http://doi.org/10.1007/s00442-016-3619-0" TargetMode="External"/><Relationship Id="rId961" Type="http://schemas.openxmlformats.org/officeDocument/2006/relationships/hyperlink" Target="https://doi.org/10.1038/nature12872" TargetMode="External"/><Relationship Id="rId90" Type="http://schemas.openxmlformats.org/officeDocument/2006/relationships/image" Target="media/image47.jpeg"/><Relationship Id="rId186" Type="http://schemas.openxmlformats.org/officeDocument/2006/relationships/hyperlink" Target="http://doi.org/10.14483/udistrital.jour.colomb.for.2014.2.a07" TargetMode="External"/><Relationship Id="rId393" Type="http://schemas.openxmlformats.org/officeDocument/2006/relationships/hyperlink" Target="http://doi.org/10.1016/j.gloenvcha.2017.05.001" TargetMode="External"/><Relationship Id="rId407" Type="http://schemas.openxmlformats.org/officeDocument/2006/relationships/hyperlink" Target="https://doi.org/10.3897/phytokeys.58.5643" TargetMode="External"/><Relationship Id="rId614" Type="http://schemas.openxmlformats.org/officeDocument/2006/relationships/hyperlink" Target="http://doi.org/10.1038/341142a0" TargetMode="External"/><Relationship Id="rId821" Type="http://schemas.openxmlformats.org/officeDocument/2006/relationships/hyperlink" Target="http://doi.org/10.1111/j.1469-1795.2008.00228.x" TargetMode="External"/><Relationship Id="rId1037" Type="http://schemas.openxmlformats.org/officeDocument/2006/relationships/image" Target="media/image133.jpeg"/><Relationship Id="rId253" Type="http://schemas.openxmlformats.org/officeDocument/2006/relationships/hyperlink" Target="http://doi.org/10.1098/rspb.2006.0436" TargetMode="External"/><Relationship Id="rId460" Type="http://schemas.openxmlformats.org/officeDocument/2006/relationships/hyperlink" Target="http://doi.org/10.1016/j.biocon.2008.07.020" TargetMode="External"/><Relationship Id="rId698" Type="http://schemas.openxmlformats.org/officeDocument/2006/relationships/hyperlink" Target="http://doi.org/10.1007/s10021-016-9964-3" TargetMode="External"/><Relationship Id="rId919" Type="http://schemas.openxmlformats.org/officeDocument/2006/relationships/hyperlink" Target="http://doi.org/10.1126/science.289.5477.284" TargetMode="External"/><Relationship Id="rId1090" Type="http://schemas.openxmlformats.org/officeDocument/2006/relationships/hyperlink" Target="mailto:N.Adger@uea.ac.uk" TargetMode="External"/><Relationship Id="rId1104" Type="http://schemas.openxmlformats.org/officeDocument/2006/relationships/hyperlink" Target="http://www.watershared.net/" TargetMode="External"/><Relationship Id="rId48" Type="http://schemas.openxmlformats.org/officeDocument/2006/relationships/footer" Target="footer3.xml"/><Relationship Id="rId113" Type="http://schemas.openxmlformats.org/officeDocument/2006/relationships/hyperlink" Target="https://doi.org/10.1086/659998" TargetMode="External"/><Relationship Id="rId320" Type="http://schemas.openxmlformats.org/officeDocument/2006/relationships/hyperlink" Target="http://doi.org/10.1046/j.1365-2699.2001.00524.x" TargetMode="External"/><Relationship Id="rId558" Type="http://schemas.openxmlformats.org/officeDocument/2006/relationships/hyperlink" Target="https://doi.org/10.1111/brv.12343" TargetMode="External"/><Relationship Id="rId765" Type="http://schemas.openxmlformats.org/officeDocument/2006/relationships/hyperlink" Target="https://doi.org/10.1073/pnas.0509060102" TargetMode="External"/><Relationship Id="rId972" Type="http://schemas.openxmlformats.org/officeDocument/2006/relationships/hyperlink" Target="https://data.worldbank.org/indicator/NE.CON.PRVT.PC.KD?view=chart" TargetMode="External"/><Relationship Id="rId197" Type="http://schemas.openxmlformats.org/officeDocument/2006/relationships/hyperlink" Target="http://doi.org/10.1890/1051-0761(1997)007%5B0218:EORDOS%5D2.0.CO;2" TargetMode="External"/><Relationship Id="rId418" Type="http://schemas.openxmlformats.org/officeDocument/2006/relationships/hyperlink" Target="http://doi.org/10.1111/cobi.12099" TargetMode="External"/><Relationship Id="rId625" Type="http://schemas.openxmlformats.org/officeDocument/2006/relationships/hyperlink" Target="https://doi.org/10.1371/journal.pone.0014631" TargetMode="External"/><Relationship Id="rId832" Type="http://schemas.openxmlformats.org/officeDocument/2006/relationships/hyperlink" Target="http://doi.org/10.1111/j.1755-263X.2008.00030.x" TargetMode="External"/><Relationship Id="rId1048" Type="http://schemas.openxmlformats.org/officeDocument/2006/relationships/image" Target="media/image142.jpeg"/><Relationship Id="rId264" Type="http://schemas.openxmlformats.org/officeDocument/2006/relationships/hyperlink" Target="http://doi.org/10.1080/00222930903477768" TargetMode="External"/><Relationship Id="rId471" Type="http://schemas.openxmlformats.org/officeDocument/2006/relationships/hyperlink" Target="http://sedarweb.org/docs/sar/Final_LCS_SAR.pdf" TargetMode="External"/><Relationship Id="rId1115" Type="http://schemas.openxmlformats.org/officeDocument/2006/relationships/hyperlink" Target="https://assets.kpmg.com/" TargetMode="External"/><Relationship Id="rId59" Type="http://schemas.openxmlformats.org/officeDocument/2006/relationships/hyperlink" Target="http://www.biodiversidad.gob.mx/usos/UMAs.html" TargetMode="External"/><Relationship Id="rId124" Type="http://schemas.openxmlformats.org/officeDocument/2006/relationships/image" Target="media/image72.jpeg"/><Relationship Id="rId569" Type="http://schemas.openxmlformats.org/officeDocument/2006/relationships/hyperlink" Target="http://doi.org/10.1007/s10336-012-0928-x" TargetMode="External"/><Relationship Id="rId776" Type="http://schemas.openxmlformats.org/officeDocument/2006/relationships/hyperlink" Target="http://doi.org/10.1023/a:1008444502859" TargetMode="External"/><Relationship Id="rId983" Type="http://schemas.openxmlformats.org/officeDocument/2006/relationships/image" Target="media/image111.jpeg"/><Relationship Id="rId331" Type="http://schemas.openxmlformats.org/officeDocument/2006/relationships/hyperlink" Target="http://doi.org/10.1590/S1984-46702012000600004" TargetMode="External"/><Relationship Id="rId429" Type="http://schemas.openxmlformats.org/officeDocument/2006/relationships/hyperlink" Target="http://doi.org/10.1016/j.jaridenv.2005.08.008" TargetMode="External"/><Relationship Id="rId636" Type="http://schemas.openxmlformats.org/officeDocument/2006/relationships/hyperlink" Target="http://doi.org/10.1890/120321" TargetMode="External"/><Relationship Id="rId1059" Type="http://schemas.openxmlformats.org/officeDocument/2006/relationships/image" Target="media/image151.jpeg"/><Relationship Id="rId843" Type="http://schemas.openxmlformats.org/officeDocument/2006/relationships/hyperlink" Target="http://doi.org/10.1656/045.017.0406" TargetMode="External"/><Relationship Id="rId1126" Type="http://schemas.openxmlformats.org/officeDocument/2006/relationships/hyperlink" Target="http://science.sciencemag.org/content/322/5899/225" TargetMode="External"/><Relationship Id="rId275" Type="http://schemas.openxmlformats.org/officeDocument/2006/relationships/hyperlink" Target="https://doi.org/10.3732/ajb.1000364" TargetMode="External"/><Relationship Id="rId482" Type="http://schemas.openxmlformats.org/officeDocument/2006/relationships/hyperlink" Target="http://doi.org/10.1016/j.agrformet.2016.08.015" TargetMode="External"/><Relationship Id="rId703" Type="http://schemas.openxmlformats.org/officeDocument/2006/relationships/hyperlink" Target="http://doi.org/10.1073/pnas.1516525113" TargetMode="External"/><Relationship Id="rId910" Type="http://schemas.openxmlformats.org/officeDocument/2006/relationships/hyperlink" Target="http://doi.org/10.1017/S0030605304000742" TargetMode="External"/><Relationship Id="rId135" Type="http://schemas.openxmlformats.org/officeDocument/2006/relationships/image" Target="media/image83.jpeg"/><Relationship Id="rId342" Type="http://schemas.openxmlformats.org/officeDocument/2006/relationships/hyperlink" Target="http://doi.org/10.1126/science.1156401" TargetMode="External"/><Relationship Id="rId787" Type="http://schemas.openxmlformats.org/officeDocument/2006/relationships/hyperlink" Target="http://doi.org/10.1515/mamm.2005.027" TargetMode="External"/><Relationship Id="rId994" Type="http://schemas.openxmlformats.org/officeDocument/2006/relationships/image" Target="media/image116.jpeg"/><Relationship Id="rId202" Type="http://schemas.openxmlformats.org/officeDocument/2006/relationships/hyperlink" Target="https://doi.org/10.1093/biosci/bit003" TargetMode="External"/><Relationship Id="rId647" Type="http://schemas.openxmlformats.org/officeDocument/2006/relationships/hyperlink" Target="http://doi.org/DOI%2010.1163/15685403-00003482" TargetMode="External"/><Relationship Id="rId854" Type="http://schemas.openxmlformats.org/officeDocument/2006/relationships/hyperlink" Target="https://doi.org/10.1111/conl.12331" TargetMode="External"/><Relationship Id="rId286" Type="http://schemas.openxmlformats.org/officeDocument/2006/relationships/hyperlink" Target="http://doi.org/10.1890/11-0502.1" TargetMode="External"/><Relationship Id="rId493" Type="http://schemas.openxmlformats.org/officeDocument/2006/relationships/hyperlink" Target="http://www.uchile.cl/publicaciones/129607/informe-pais-estado-del-medio-ambiente-en-chile-1999-2015" TargetMode="External"/><Relationship Id="rId507" Type="http://schemas.openxmlformats.org/officeDocument/2006/relationships/hyperlink" Target="https://doi.org/10.1088/1748-9326/3/4/044006" TargetMode="External"/><Relationship Id="rId714" Type="http://schemas.openxmlformats.org/officeDocument/2006/relationships/hyperlink" Target="http://doi.org/10.4067/S0718-16202016000300005" TargetMode="External"/><Relationship Id="rId921" Type="http://schemas.openxmlformats.org/officeDocument/2006/relationships/hyperlink" Target="http://hdl.handle.net/2246/1671" TargetMode="External"/><Relationship Id="rId1137" Type="http://schemas.openxmlformats.org/officeDocument/2006/relationships/hyperlink" Target="http://www.sciencedirect.com/science/article/pii/S2212041614000813" TargetMode="External"/><Relationship Id="rId50" Type="http://schemas.openxmlformats.org/officeDocument/2006/relationships/image" Target="media/image20.jpeg"/><Relationship Id="rId146" Type="http://schemas.openxmlformats.org/officeDocument/2006/relationships/image" Target="media/image94.jpeg"/><Relationship Id="rId353" Type="http://schemas.openxmlformats.org/officeDocument/2006/relationships/hyperlink" Target="http://www.cpac.embrapa.br" TargetMode="External"/><Relationship Id="rId560" Type="http://schemas.openxmlformats.org/officeDocument/2006/relationships/hyperlink" Target="http://doi.org/10.1038/nclimate2430" TargetMode="External"/><Relationship Id="rId798" Type="http://schemas.openxmlformats.org/officeDocument/2006/relationships/hyperlink" Target="https://doi.org/10.1038/nature09492" TargetMode="External"/><Relationship Id="rId213" Type="http://schemas.openxmlformats.org/officeDocument/2006/relationships/hyperlink" Target="http://doi.org/10.1111/j.1365-2486.2010.02389.x" TargetMode="External"/><Relationship Id="rId420" Type="http://schemas.openxmlformats.org/officeDocument/2006/relationships/hyperlink" Target="http://doi.org/10.1126/science.1086050" TargetMode="External"/><Relationship Id="rId658" Type="http://schemas.openxmlformats.org/officeDocument/2006/relationships/hyperlink" Target="http://doi.org/10.2737/PNW-GTR-931" TargetMode="External"/><Relationship Id="rId865" Type="http://schemas.openxmlformats.org/officeDocument/2006/relationships/hyperlink" Target="http://doi.org/10.1073/pnas.2434847100" TargetMode="External"/><Relationship Id="rId1050" Type="http://schemas.openxmlformats.org/officeDocument/2006/relationships/image" Target="media/image143.jpeg"/><Relationship Id="rId297" Type="http://schemas.openxmlformats.org/officeDocument/2006/relationships/hyperlink" Target="https://doi.org/10.1038/35012241" TargetMode="External"/><Relationship Id="rId518" Type="http://schemas.openxmlformats.org/officeDocument/2006/relationships/hyperlink" Target="http://doi.org/10.1196/annals.1439.007" TargetMode="External"/><Relationship Id="rId725" Type="http://schemas.openxmlformats.org/officeDocument/2006/relationships/hyperlink" Target="https://doi.org/10.1371/journal.pone.0010095" TargetMode="External"/><Relationship Id="rId932" Type="http://schemas.openxmlformats.org/officeDocument/2006/relationships/hyperlink" Target="http://doi.org/10.1016/0305-7488(91)90003-E" TargetMode="External"/><Relationship Id="rId157" Type="http://schemas.openxmlformats.org/officeDocument/2006/relationships/hyperlink" Target="http://doi.org/10.3390/su8020128" TargetMode="External"/><Relationship Id="rId364" Type="http://schemas.openxmlformats.org/officeDocument/2006/relationships/hyperlink" Target="http://doi.org/10.1177/1940082916667139" TargetMode="External"/><Relationship Id="rId1008" Type="http://schemas.openxmlformats.org/officeDocument/2006/relationships/hyperlink" Target="http://kff.org/global-indicator/urban-population/" TargetMode="External"/><Relationship Id="rId61" Type="http://schemas.openxmlformats.org/officeDocument/2006/relationships/image" Target="media/image29.jpeg"/><Relationship Id="rId571" Type="http://schemas.openxmlformats.org/officeDocument/2006/relationships/hyperlink" Target="https://doi.org/10.1038/ngeo2674" TargetMode="External"/><Relationship Id="rId669" Type="http://schemas.openxmlformats.org/officeDocument/2006/relationships/hyperlink" Target="http://doi.org/10.1126/science.1076449" TargetMode="External"/><Relationship Id="rId876" Type="http://schemas.openxmlformats.org/officeDocument/2006/relationships/hyperlink" Target="https://doi.org/10.1111/cobi.12715" TargetMode="External"/><Relationship Id="rId19" Type="http://schemas.openxmlformats.org/officeDocument/2006/relationships/image" Target="media/image9.jpeg"/><Relationship Id="rId224" Type="http://schemas.openxmlformats.org/officeDocument/2006/relationships/hyperlink" Target="http://doi.org/10.1890/10-2210.1" TargetMode="External"/><Relationship Id="rId431" Type="http://schemas.openxmlformats.org/officeDocument/2006/relationships/hyperlink" Target="http://doi.org/10.1371/journal.pone.0130874" TargetMode="External"/><Relationship Id="rId529" Type="http://schemas.openxmlformats.org/officeDocument/2006/relationships/hyperlink" Target="http://doi.org/10.1017/S0031182014001759" TargetMode="External"/><Relationship Id="rId736" Type="http://schemas.openxmlformats.org/officeDocument/2006/relationships/hyperlink" Target="http://doi.org/10.1111/j.1600-0889.2006.00238.x" TargetMode="External"/><Relationship Id="rId1061" Type="http://schemas.openxmlformats.org/officeDocument/2006/relationships/image" Target="media/image153.jpeg"/><Relationship Id="rId168" Type="http://schemas.openxmlformats.org/officeDocument/2006/relationships/hyperlink" Target="http://doi.org/10.13031/trans.59.11608" TargetMode="External"/><Relationship Id="rId943" Type="http://schemas.openxmlformats.org/officeDocument/2006/relationships/hyperlink" Target="http://doi.org/10.1890/04-0245" TargetMode="External"/><Relationship Id="rId1019" Type="http://schemas.openxmlformats.org/officeDocument/2006/relationships/hyperlink" Target="http://data.worldbank.org/indicator/ER.PTD.TOTL.ZS?end=2014&amp;page=5&amp;start=2014&amp;view=bar" TargetMode="External"/><Relationship Id="rId72" Type="http://schemas.openxmlformats.org/officeDocument/2006/relationships/image" Target="media/image37.jpeg"/><Relationship Id="rId375" Type="http://schemas.openxmlformats.org/officeDocument/2006/relationships/hyperlink" Target="https://doi.org/10.1007/s10021-014-9831-z" TargetMode="External"/><Relationship Id="rId582" Type="http://schemas.openxmlformats.org/officeDocument/2006/relationships/hyperlink" Target="https://doi.org/10.11646/phytotaxa.272.1.5" TargetMode="External"/><Relationship Id="rId803" Type="http://schemas.openxmlformats.org/officeDocument/2006/relationships/hyperlink" Target="http://doi.org/10.1016/j.apgeog.2009.12.003" TargetMode="External"/><Relationship Id="rId3" Type="http://schemas.openxmlformats.org/officeDocument/2006/relationships/customXml" Target="../customXml/item3.xml"/><Relationship Id="rId235" Type="http://schemas.openxmlformats.org/officeDocument/2006/relationships/hyperlink" Target="http://doi.org/10.1672/07-195.1" TargetMode="External"/><Relationship Id="rId442" Type="http://schemas.openxmlformats.org/officeDocument/2006/relationships/hyperlink" Target="http://doi.org/10.4067/S0718-16202010000300013" TargetMode="External"/><Relationship Id="rId887" Type="http://schemas.openxmlformats.org/officeDocument/2006/relationships/hyperlink" Target="https://web.archive.org/web/20120304192040/http://quickfacts.census.gov:80/qfd/states/00000.html" TargetMode="External"/><Relationship Id="rId1072" Type="http://schemas.openxmlformats.org/officeDocument/2006/relationships/hyperlink" Target="https://certification.ussec.org/" TargetMode="External"/><Relationship Id="rId302" Type="http://schemas.openxmlformats.org/officeDocument/2006/relationships/hyperlink" Target="http://doi.org/10.1007/BF02866499" TargetMode="External"/><Relationship Id="rId747" Type="http://schemas.openxmlformats.org/officeDocument/2006/relationships/hyperlink" Target="http://doi.org/10.1016/j.gloplacha.2005.09.004" TargetMode="External"/><Relationship Id="rId954" Type="http://schemas.openxmlformats.org/officeDocument/2006/relationships/hyperlink" Target="http://www.scopus.com/inward/record.url?eid=2-s2.0-0034283558&amp;partnerID=40&amp;md5=0cc1b0bb502bf3c27297f4b0452c9f0a" TargetMode="External"/><Relationship Id="rId83" Type="http://schemas.openxmlformats.org/officeDocument/2006/relationships/hyperlink" Target="about:blank" TargetMode="External"/><Relationship Id="rId179" Type="http://schemas.openxmlformats.org/officeDocument/2006/relationships/hyperlink" Target="http://doi.org/10.1126/sciadv.1600936" TargetMode="External"/><Relationship Id="rId386" Type="http://schemas.openxmlformats.org/officeDocument/2006/relationships/hyperlink" Target="https://doi.org/10.1098/rspb.2006.0351" TargetMode="External"/><Relationship Id="rId593" Type="http://schemas.openxmlformats.org/officeDocument/2006/relationships/hyperlink" Target="http://doi.org/10.1017/S0959270901001034" TargetMode="External"/><Relationship Id="rId607" Type="http://schemas.openxmlformats.org/officeDocument/2006/relationships/hyperlink" Target="http://doi.org/10.1073/pnas.1521540113" TargetMode="External"/><Relationship Id="rId814" Type="http://schemas.openxmlformats.org/officeDocument/2006/relationships/hyperlink" Target="http://doi.org/10.1086/286204" TargetMode="External"/><Relationship Id="rId246" Type="http://schemas.openxmlformats.org/officeDocument/2006/relationships/hyperlink" Target="http://doi.org/10.1890/04-1428" TargetMode="External"/><Relationship Id="rId453" Type="http://schemas.openxmlformats.org/officeDocument/2006/relationships/hyperlink" Target="http://doi.org/10.1046/j.1354-1013.2002.00486.x" TargetMode="External"/><Relationship Id="rId660" Type="http://schemas.openxmlformats.org/officeDocument/2006/relationships/hyperlink" Target="https://doi.org/10.1111/j.1523-1739.2006.00351.x" TargetMode="External"/><Relationship Id="rId898" Type="http://schemas.openxmlformats.org/officeDocument/2006/relationships/hyperlink" Target="https://doi.org/10.1371/journal.pone.0090600" TargetMode="External"/><Relationship Id="rId1083" Type="http://schemas.openxmlformats.org/officeDocument/2006/relationships/image" Target="media/image156.png"/><Relationship Id="rId106" Type="http://schemas.openxmlformats.org/officeDocument/2006/relationships/image" Target="media/image59.jpeg"/><Relationship Id="rId313" Type="http://schemas.openxmlformats.org/officeDocument/2006/relationships/hyperlink" Target="http://www.conaf.cl/tormenta_de_fuego-2017" TargetMode="External"/><Relationship Id="rId758" Type="http://schemas.openxmlformats.org/officeDocument/2006/relationships/hyperlink" Target="http://doi.org/10.1111/jfb.13016" TargetMode="External"/><Relationship Id="rId965" Type="http://schemas.openxmlformats.org/officeDocument/2006/relationships/image" Target="media/image101.jpeg"/><Relationship Id="rId10" Type="http://schemas.openxmlformats.org/officeDocument/2006/relationships/endnotes" Target="endnotes.xml"/><Relationship Id="rId94" Type="http://schemas.openxmlformats.org/officeDocument/2006/relationships/image" Target="media/image51.jpeg"/><Relationship Id="rId397" Type="http://schemas.openxmlformats.org/officeDocument/2006/relationships/hyperlink" Target="http://awsassets.panda.org/downloads/climate_change_and_marine_turtles_in_the_wider_caribbean_1.pdf" TargetMode="External"/><Relationship Id="rId520" Type="http://schemas.openxmlformats.org/officeDocument/2006/relationships/hyperlink" Target="http://doi.org/10.1007/s00027-006-0856-z" TargetMode="External"/><Relationship Id="rId618" Type="http://schemas.openxmlformats.org/officeDocument/2006/relationships/hyperlink" Target="http://doi.org/10.1038/nature13139" TargetMode="External"/><Relationship Id="rId825" Type="http://schemas.openxmlformats.org/officeDocument/2006/relationships/hyperlink" Target="http://doi.org/10.1111/j.1466-8238.2009.00519.x" TargetMode="External"/><Relationship Id="rId257" Type="http://schemas.openxmlformats.org/officeDocument/2006/relationships/hyperlink" Target="http://doi.org/10.1016/j.aquaculture.2010.05.020" TargetMode="External"/><Relationship Id="rId464" Type="http://schemas.openxmlformats.org/officeDocument/2006/relationships/hyperlink" Target="http://doi.org/10.1111/j.1365-2435.2012.02031.x" TargetMode="External"/><Relationship Id="rId1010" Type="http://schemas.openxmlformats.org/officeDocument/2006/relationships/hyperlink" Target="https://doi.org/10.1111/ddi.12001" TargetMode="External"/><Relationship Id="rId1094" Type="http://schemas.openxmlformats.org/officeDocument/2006/relationships/hyperlink" Target="mailto:potto@system.ecology.su.se" TargetMode="External"/><Relationship Id="rId1108" Type="http://schemas.openxmlformats.org/officeDocument/2006/relationships/hyperlink" Target="http://www.epi.yale.edu" TargetMode="External"/><Relationship Id="rId117" Type="http://schemas.openxmlformats.org/officeDocument/2006/relationships/image" Target="media/image65.jpeg"/><Relationship Id="rId671" Type="http://schemas.openxmlformats.org/officeDocument/2006/relationships/hyperlink" Target="http://doi.org/10.1097/SS.0b013e3181c4a7f8" TargetMode="External"/><Relationship Id="rId769" Type="http://schemas.openxmlformats.org/officeDocument/2006/relationships/hyperlink" Target="https://doi.org/10.1371/journal.pone.0012215" TargetMode="External"/><Relationship Id="rId976" Type="http://schemas.openxmlformats.org/officeDocument/2006/relationships/image" Target="media/image106.jpeg"/><Relationship Id="rId324" Type="http://schemas.openxmlformats.org/officeDocument/2006/relationships/hyperlink" Target="http://doi.org/10.1007/s10531-012-0252-z" TargetMode="External"/><Relationship Id="rId531" Type="http://schemas.openxmlformats.org/officeDocument/2006/relationships/hyperlink" Target="http://doi.org/10.1890/0012-9658(2006)87%5B2479:GBPOBM%5D2.0.CO;2" TargetMode="External"/><Relationship Id="rId629" Type="http://schemas.openxmlformats.org/officeDocument/2006/relationships/hyperlink" Target="http://doi.org/10.1126/science.1104863" TargetMode="External"/><Relationship Id="rId836" Type="http://schemas.openxmlformats.org/officeDocument/2006/relationships/hyperlink" Target="http://doi.org/10.1111/jvs.12264" TargetMode="External"/><Relationship Id="rId1021" Type="http://schemas.openxmlformats.org/officeDocument/2006/relationships/hyperlink" Target="http://dx.doi.org/10.3362/%209781780449043" TargetMode="External"/><Relationship Id="rId1119" Type="http://schemas.openxmlformats.org/officeDocument/2006/relationships/hyperlink" Target="http://www.press.uchicago.edu/ucp/books/book/distributed/W/bo3705350.html" TargetMode="External"/><Relationship Id="rId903" Type="http://schemas.openxmlformats.org/officeDocument/2006/relationships/hyperlink" Target="http://doi.org/10.1111/avsc.12016" TargetMode="External"/><Relationship Id="rId32" Type="http://schemas.openxmlformats.org/officeDocument/2006/relationships/hyperlink" Target="http://www.ipbes.net/sites/default/files/downloads/pdf/spm_deliverable_3a_pollination_20170222.pdf" TargetMode="External"/><Relationship Id="rId181" Type="http://schemas.openxmlformats.org/officeDocument/2006/relationships/hyperlink" Target="http://doi.org/10.15560/7.1.64" TargetMode="External"/><Relationship Id="rId279" Type="http://schemas.openxmlformats.org/officeDocument/2006/relationships/hyperlink" Target="http://doi.org/10.1093/aob/mcm126" TargetMode="External"/><Relationship Id="rId486" Type="http://schemas.openxmlformats.org/officeDocument/2006/relationships/hyperlink" Target="http://www.mires-and-peat.net/," TargetMode="External"/><Relationship Id="rId693" Type="http://schemas.openxmlformats.org/officeDocument/2006/relationships/hyperlink" Target="http://doi.org/10.1007/s10530-007-9151-8" TargetMode="External"/><Relationship Id="rId139" Type="http://schemas.openxmlformats.org/officeDocument/2006/relationships/image" Target="media/image87.jpeg"/><Relationship Id="rId346" Type="http://schemas.openxmlformats.org/officeDocument/2006/relationships/hyperlink" Target="http://doi.org/10.1111/avsc.12079" TargetMode="External"/><Relationship Id="rId553" Type="http://schemas.openxmlformats.org/officeDocument/2006/relationships/hyperlink" Target="http://doi.org/10.1007/s11104-015-2725-9" TargetMode="External"/><Relationship Id="rId760" Type="http://schemas.openxmlformats.org/officeDocument/2006/relationships/hyperlink" Target="http://doi.org/10.1175/2008JCLI2117.1" TargetMode="External"/><Relationship Id="rId998" Type="http://schemas.openxmlformats.org/officeDocument/2006/relationships/image" Target="media/image120.jpeg"/><Relationship Id="rId206" Type="http://schemas.openxmlformats.org/officeDocument/2006/relationships/hyperlink" Target="http://doi.org/10.1016/j.biocon.2008.06.019" TargetMode="External"/><Relationship Id="rId413" Type="http://schemas.openxmlformats.org/officeDocument/2006/relationships/hyperlink" Target="https://doi.org/10.1007/s10533-004-0370-0" TargetMode="External"/><Relationship Id="rId858" Type="http://schemas.openxmlformats.org/officeDocument/2006/relationships/hyperlink" Target="http://doi.org/10.1016/j.foreco.2008.10.011" TargetMode="External"/><Relationship Id="rId1043" Type="http://schemas.openxmlformats.org/officeDocument/2006/relationships/image" Target="media/image139.jpeg"/><Relationship Id="rId620" Type="http://schemas.openxmlformats.org/officeDocument/2006/relationships/hyperlink" Target="http://doi.org/10.1644/10-MAMM-S-267.1" TargetMode="External"/><Relationship Id="rId718" Type="http://schemas.openxmlformats.org/officeDocument/2006/relationships/hyperlink" Target="http://doi.org/10.1186/s12862-015-0435-9" TargetMode="External"/><Relationship Id="rId925" Type="http://schemas.openxmlformats.org/officeDocument/2006/relationships/hyperlink" Target="http://doi.org/10.1890/080084" TargetMode="External"/><Relationship Id="rId1110" Type="http://schemas.openxmlformats.org/officeDocument/2006/relationships/hyperlink" Target="http://dx.doi.org/10.5751/ES-08149-200443" TargetMode="External"/><Relationship Id="rId54" Type="http://schemas.openxmlformats.org/officeDocument/2006/relationships/image" Target="media/image24.jpeg"/><Relationship Id="rId270" Type="http://schemas.openxmlformats.org/officeDocument/2006/relationships/hyperlink" Target="http://doi.org/10.1016/j.ufug.2012.01.002" TargetMode="External"/><Relationship Id="rId130" Type="http://schemas.openxmlformats.org/officeDocument/2006/relationships/image" Target="media/image78.jpeg"/><Relationship Id="rId368" Type="http://schemas.openxmlformats.org/officeDocument/2006/relationships/hyperlink" Target="http://geo.abds.is/geonetwork/srv/eng/catalog.search" TargetMode="External"/><Relationship Id="rId575" Type="http://schemas.openxmlformats.org/officeDocument/2006/relationships/hyperlink" Target="http://doi.org/10.1086/303369" TargetMode="External"/><Relationship Id="rId782" Type="http://schemas.openxmlformats.org/officeDocument/2006/relationships/hyperlink" Target="http://doi.org/10.1146/annurev.ecolsys.31.1.481" TargetMode="External"/><Relationship Id="rId228" Type="http://schemas.openxmlformats.org/officeDocument/2006/relationships/hyperlink" Target="http://doi.org/10.1111/btp.12010" TargetMode="External"/><Relationship Id="rId435" Type="http://schemas.openxmlformats.org/officeDocument/2006/relationships/hyperlink" Target="http://doi.org/10.5902/1980509819615" TargetMode="External"/><Relationship Id="rId642" Type="http://schemas.openxmlformats.org/officeDocument/2006/relationships/hyperlink" Target="https://www.researchgate.net/profile/Vilisa_Moron_Zambrano/publication/301889738_Deforestacion_en_Venezuela_Una_comparacion_de_las_evaluaciones_existentes/links/572b32f608ae057b0a094add/Deforestacion-en-Venezuela-Una-comparacion-de-las-evaluaciones-existe" TargetMode="External"/><Relationship Id="rId1065" Type="http://schemas.openxmlformats.org/officeDocument/2006/relationships/hyperlink" Target="http://fireadaptednetwork.org" TargetMode="External"/><Relationship Id="rId502" Type="http://schemas.openxmlformats.org/officeDocument/2006/relationships/hyperlink" Target="http://www.iucnredlist.org" TargetMode="External"/><Relationship Id="rId947" Type="http://schemas.openxmlformats.org/officeDocument/2006/relationships/hyperlink" Target="http://www.worldcitiescultureforum.com/data/of-public-green-space-parks-and-gardens" TargetMode="External"/><Relationship Id="rId1132" Type="http://schemas.openxmlformats.org/officeDocument/2006/relationships/hyperlink" Target="https://www.cbd.int/doc/world/tt/tt-nr-05-en.pdf" TargetMode="External"/><Relationship Id="rId76" Type="http://schemas.openxmlformats.org/officeDocument/2006/relationships/hyperlink" Target="http://www.ramsar.org/about/wetlands-of-international-importance-ramsar-sites)" TargetMode="External"/><Relationship Id="rId807" Type="http://schemas.openxmlformats.org/officeDocument/2006/relationships/hyperlink" Target="http://doi.org/10.1016/j.biocon.2005.05.017" TargetMode="External"/><Relationship Id="rId292" Type="http://schemas.openxmlformats.org/officeDocument/2006/relationships/hyperlink" Target="http://doi.org/10.1007/s00122-004-1842-2" TargetMode="External"/><Relationship Id="rId597" Type="http://schemas.openxmlformats.org/officeDocument/2006/relationships/hyperlink" Target="http://doi.org/10.1007/s10750-007-9030-4" TargetMode="External"/><Relationship Id="rId152" Type="http://schemas.openxmlformats.org/officeDocument/2006/relationships/image" Target="media/image100.jpeg"/><Relationship Id="rId457" Type="http://schemas.openxmlformats.org/officeDocument/2006/relationships/hyperlink" Target="http://doi.org/10.1007/s10021-005-0066-x" TargetMode="External"/><Relationship Id="rId1087" Type="http://schemas.openxmlformats.org/officeDocument/2006/relationships/image" Target="media/image158.jpeg"/><Relationship Id="rId664" Type="http://schemas.openxmlformats.org/officeDocument/2006/relationships/hyperlink" Target="http://doi.org/10.5772/25102" TargetMode="External"/><Relationship Id="rId871" Type="http://schemas.openxmlformats.org/officeDocument/2006/relationships/hyperlink" Target="http://doi.org/10.4067/S0717-65382016000100004" TargetMode="External"/><Relationship Id="rId969" Type="http://schemas.openxmlformats.org/officeDocument/2006/relationships/hyperlink" Target="https://data.worldbank.org/indicator/" TargetMode="External"/><Relationship Id="rId317" Type="http://schemas.openxmlformats.org/officeDocument/2006/relationships/hyperlink" Target="http://doi.org/10.1128/AEM.01469-08" TargetMode="External"/><Relationship Id="rId524" Type="http://schemas.openxmlformats.org/officeDocument/2006/relationships/hyperlink" Target="https://doi.org/10.1111/j.1365-2486.2011.02451.x" TargetMode="External"/><Relationship Id="rId731" Type="http://schemas.openxmlformats.org/officeDocument/2006/relationships/hyperlink" Target="http://doi.org/10.1016/j.tree.2010.01.007" TargetMode="External"/><Relationship Id="rId98" Type="http://schemas.openxmlformats.org/officeDocument/2006/relationships/image" Target="media/image55.jpeg"/><Relationship Id="rId829" Type="http://schemas.openxmlformats.org/officeDocument/2006/relationships/hyperlink" Target="http://doi.org/10.1038/nrmicro1917" TargetMode="External"/><Relationship Id="rId1014" Type="http://schemas.openxmlformats.org/officeDocument/2006/relationships/hyperlink" Target="http://doi.org/10.1016/j.forpol.2012.01.012" TargetMode="External"/><Relationship Id="rId25" Type="http://schemas.openxmlformats.org/officeDocument/2006/relationships/image" Target="media/image15.jpeg"/><Relationship Id="rId174" Type="http://schemas.openxmlformats.org/officeDocument/2006/relationships/hyperlink" Target="https://doi.org/10.11609/JoTT.o2996.2806-44" TargetMode="External"/><Relationship Id="rId381" Type="http://schemas.openxmlformats.org/officeDocument/2006/relationships/hyperlink" Target="http://doi.org/10.1029/2008JD010519" TargetMode="External"/><Relationship Id="rId241" Type="http://schemas.openxmlformats.org/officeDocument/2006/relationships/hyperlink" Target="http://doi.org/10.1186/1746-4269-9-83" TargetMode="External"/><Relationship Id="rId479" Type="http://schemas.openxmlformats.org/officeDocument/2006/relationships/hyperlink" Target="http://doi.org/10.1016/S0921-8009(99)00015-4" TargetMode="External"/><Relationship Id="rId686" Type="http://schemas.openxmlformats.org/officeDocument/2006/relationships/hyperlink" Target="http://doi.org/10.3390/f2010001" TargetMode="External"/><Relationship Id="rId893" Type="http://schemas.openxmlformats.org/officeDocument/2006/relationships/hyperlink" Target="http://doi.org/10.1007/s10531-004-6683-4" TargetMode="External"/><Relationship Id="rId339" Type="http://schemas.openxmlformats.org/officeDocument/2006/relationships/hyperlink" Target="https://doi.org/10.1016/j.biocon.2010.03.026" TargetMode="External"/><Relationship Id="rId546" Type="http://schemas.openxmlformats.org/officeDocument/2006/relationships/hyperlink" Target="http://doi.org/10.1111/j.1365-2699.2004.01093.x" TargetMode="External"/><Relationship Id="rId753" Type="http://schemas.openxmlformats.org/officeDocument/2006/relationships/hyperlink" Target="http://doi.org/10.1111/ecog.01050" TargetMode="External"/><Relationship Id="rId101" Type="http://schemas.openxmlformats.org/officeDocument/2006/relationships/image" Target="media/image56.jpeg"/><Relationship Id="rId406" Type="http://schemas.openxmlformats.org/officeDocument/2006/relationships/hyperlink" Target="http://doi.org/10.1016/j.still.2005.02.012" TargetMode="External"/><Relationship Id="rId960" Type="http://schemas.openxmlformats.org/officeDocument/2006/relationships/hyperlink" Target="http://doi.org/10.1016/j.foreco.2015.02.025" TargetMode="External"/><Relationship Id="rId1036" Type="http://schemas.openxmlformats.org/officeDocument/2006/relationships/image" Target="media/image132.jpeg"/></Relationships>
</file>

<file path=word/_rels/footnotes.xml.rels><?xml version="1.0" encoding="UTF-8" standalone="yes"?>
<Relationships xmlns="http://schemas.openxmlformats.org/package/2006/relationships"><Relationship Id="rId8" Type="http://schemas.openxmlformats.org/officeDocument/2006/relationships/hyperlink" Target="http://ticdata.treasury.gov/Publish/debta2017q1.html" TargetMode="External"/><Relationship Id="rId13" Type="http://schemas.openxmlformats.org/officeDocument/2006/relationships/hyperlink" Target="https://www.indexmundi.com/facts/indicators/SI.POV.GINI/rankings/central-america" TargetMode="External"/><Relationship Id="rId18" Type="http://schemas.openxmlformats.org/officeDocument/2006/relationships/hyperlink" Target="http://www.un.org/sustainabledevelopment/development-agenda/" TargetMode="External"/><Relationship Id="rId3" Type="http://schemas.openxmlformats.org/officeDocument/2006/relationships/hyperlink" Target="http://databank.worldbank.org/data/reports.aspx" TargetMode="External"/><Relationship Id="rId7" Type="http://schemas.openxmlformats.org/officeDocument/2006/relationships/hyperlink" Target="http://data.worldbank.org/indicator/" TargetMode="External"/><Relationship Id="rId12" Type="http://schemas.openxmlformats.org/officeDocument/2006/relationships/hyperlink" Target="http://data.worldbank.org/indicator/" TargetMode="External"/><Relationship Id="rId17" Type="http://schemas.openxmlformats.org/officeDocument/2006/relationships/hyperlink" Target="http://www.ilo.org/dyn/normlex/en/f?p=NORMLEXPUB:11300:0::NO::P11300_INSTRUMENT" TargetMode="External"/><Relationship Id="rId2" Type="http://schemas.openxmlformats.org/officeDocument/2006/relationships/hyperlink" Target="http://ipco.gob.mx/images/documentos/estudios/piam_colima_final_2010.pdf" TargetMode="External"/><Relationship Id="rId16" Type="http://schemas.openxmlformats.org/officeDocument/2006/relationships/hyperlink" Target="https://www.census.gov/content/dam/Census/library/publications/2016/demo/p60-256.pdf." TargetMode="External"/><Relationship Id="rId20" Type="http://schemas.openxmlformats.org/officeDocument/2006/relationships/hyperlink" Target="http://www.mdgmonitor.org/mdg-progress-report-latin-america-caribbean-2015/" TargetMode="External"/><Relationship Id="rId1" Type="http://schemas.openxmlformats.org/officeDocument/2006/relationships/hyperlink" Target="http://www.govindicators.org" TargetMode="External"/><Relationship Id="rId6" Type="http://schemas.openxmlformats.org/officeDocument/2006/relationships/hyperlink" Target="http://data.worldbank.org/indicator/" TargetMode="External"/><Relationship Id="rId11" Type="http://schemas.openxmlformats.org/officeDocument/2006/relationships/hyperlink" Target="http://data.worldbank.org/indicator/" TargetMode="External"/><Relationship Id="rId5" Type="http://schemas.openxmlformats.org/officeDocument/2006/relationships/hyperlink" Target="http://data.worldbank.org/indicator/" TargetMode="External"/><Relationship Id="rId15" Type="http://schemas.openxmlformats.org/officeDocument/2006/relationships/hyperlink" Target="http://povertydata.worldbank.org/poverty/region/LAC" TargetMode="External"/><Relationship Id="rId10" Type="http://schemas.openxmlformats.org/officeDocument/2006/relationships/hyperlink" Target="http://www.statcan.gc.ca/tables-tableaux/sum-som/l01/cst01/indi01j-eng.htm" TargetMode="External"/><Relationship Id="rId19" Type="http://schemas.openxmlformats.org/officeDocument/2006/relationships/hyperlink" Target="https://sustainabledevelopment.un.org/post2015/transformingourworld" TargetMode="External"/><Relationship Id="rId4" Type="http://schemas.openxmlformats.org/officeDocument/2006/relationships/hyperlink" Target="http://databank.worldbank.org/data/reports.aspx" TargetMode="External"/><Relationship Id="rId9" Type="http://schemas.openxmlformats.org/officeDocument/2006/relationships/hyperlink" Target="http://www.indexmundi.com/united_states/debt_external.html" TargetMode="External"/><Relationship Id="rId14" Type="http://schemas.openxmlformats.org/officeDocument/2006/relationships/hyperlink" Target="http://go.worldbank.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3c98c9ce-31e5-4a64-a655-42d13d8fa14b">
      <UserInfo>
        <DisplayName>Natalia Valderrama</DisplayName>
        <AccountId>8</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93145753B523F4A8341B4F287D94C5D" ma:contentTypeVersion="8" ma:contentTypeDescription="Create a new document." ma:contentTypeScope="" ma:versionID="a5517e56a05a9de2277f3c1382fe9aae">
  <xsd:schema xmlns:xsd="http://www.w3.org/2001/XMLSchema" xmlns:xs="http://www.w3.org/2001/XMLSchema" xmlns:p="http://schemas.microsoft.com/office/2006/metadata/properties" xmlns:ns2="3c98c9ce-31e5-4a64-a655-42d13d8fa14b" xmlns:ns3="4e874372-ff28-4c18-a137-f1ec3c937b3c" targetNamespace="http://schemas.microsoft.com/office/2006/metadata/properties" ma:root="true" ma:fieldsID="cc9f902958acf22bebc71a3477d0276f" ns2:_="" ns3:_="">
    <xsd:import namespace="3c98c9ce-31e5-4a64-a655-42d13d8fa14b"/>
    <xsd:import namespace="4e874372-ff28-4c18-a137-f1ec3c937b3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98c9ce-31e5-4a64-a655-42d13d8fa14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e874372-ff28-4c18-a137-f1ec3c937b3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C264F5-7C36-4C1E-9C11-F9750C3C5760}">
  <ds:schemaRefs>
    <ds:schemaRef ds:uri="http://schemas.microsoft.com/sharepoint/v3/contenttype/forms"/>
  </ds:schemaRefs>
</ds:datastoreItem>
</file>

<file path=customXml/itemProps2.xml><?xml version="1.0" encoding="utf-8"?>
<ds:datastoreItem xmlns:ds="http://schemas.openxmlformats.org/officeDocument/2006/customXml" ds:itemID="{012B8DE1-3ACE-4C46-8F8D-6D5B9E6BB9D6}">
  <ds:schemaRefs>
    <ds:schemaRef ds:uri="http://schemas.microsoft.com/office/2006/metadata/properties"/>
    <ds:schemaRef ds:uri="http://purl.org/dc/terms/"/>
    <ds:schemaRef ds:uri="http://www.w3.org/XML/1998/namespace"/>
    <ds:schemaRef ds:uri="http://schemas.openxmlformats.org/package/2006/metadata/core-properties"/>
    <ds:schemaRef ds:uri="4e874372-ff28-4c18-a137-f1ec3c937b3c"/>
    <ds:schemaRef ds:uri="http://schemas.microsoft.com/office/2006/documentManagement/types"/>
    <ds:schemaRef ds:uri="http://schemas.microsoft.com/office/infopath/2007/PartnerControls"/>
    <ds:schemaRef ds:uri="3c98c9ce-31e5-4a64-a655-42d13d8fa14b"/>
    <ds:schemaRef ds:uri="http://purl.org/dc/dcmitype/"/>
    <ds:schemaRef ds:uri="http://purl.org/dc/elements/1.1/"/>
  </ds:schemaRefs>
</ds:datastoreItem>
</file>

<file path=customXml/itemProps3.xml><?xml version="1.0" encoding="utf-8"?>
<ds:datastoreItem xmlns:ds="http://schemas.openxmlformats.org/officeDocument/2006/customXml" ds:itemID="{13CE2A0E-E205-4B5B-B53D-407F5C7B80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c98c9ce-31e5-4a64-a655-42d13d8fa14b"/>
    <ds:schemaRef ds:uri="4e874372-ff28-4c18-a137-f1ec3c937b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6C84D15-E8D4-4094-84A4-3A2287BD48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744</Pages>
  <Words>1224912</Words>
  <Characters>6982003</Characters>
  <Application>Microsoft Office Word</Application>
  <DocSecurity>0</DocSecurity>
  <Lines>58183</Lines>
  <Paragraphs>16381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State of Michigan</Company>
  <LinksUpToDate>false</LinksUpToDate>
  <CharactersWithSpaces>8190534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TSU Americas</dc:creator>
  <cp:lastModifiedBy>Anne Mwaura</cp:lastModifiedBy>
  <cp:revision>4</cp:revision>
  <cp:lastPrinted>2018-07-06T19:54:00Z</cp:lastPrinted>
  <dcterms:created xsi:type="dcterms:W3CDTF">2018-09-26T14:07:00Z</dcterms:created>
  <dcterms:modified xsi:type="dcterms:W3CDTF">2018-09-26T14:17:00Z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http://www.zotero.org/styles/american-chemical-society</vt:lpwstr>
  </property>
  <property fmtid="{D5CDD505-2E9C-101B-9397-08002B2CF9AE}" pid="3" name="Mendeley Recent Style Name 0_1">
    <vt:lpwstr>American Chemical Society</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http://www.zotero.org/styles/apa</vt:lpwstr>
  </property>
  <property fmtid="{D5CDD505-2E9C-101B-9397-08002B2CF9AE}" pid="9" name="Mendeley Recent Style Name 3_1">
    <vt:lpwstr>American Psychological Association 6th edition</vt:lpwstr>
  </property>
  <property fmtid="{D5CDD505-2E9C-101B-9397-08002B2CF9AE}" pid="10" name="Mendeley Recent Style Id 4_1">
    <vt:lpwstr>http://www.zotero.org/styles/american-sociological-association</vt:lpwstr>
  </property>
  <property fmtid="{D5CDD505-2E9C-101B-9397-08002B2CF9AE}" pid="11" name="Mendeley Recent Style Name 4_1">
    <vt:lpwstr>American Sociological Association</vt:lpwstr>
  </property>
  <property fmtid="{D5CDD505-2E9C-101B-9397-08002B2CF9AE}" pid="12" name="Mendeley Recent Style Id 5_1">
    <vt:lpwstr>http://www.zotero.org/styles/chicago-fullnote-bibliography</vt:lpwstr>
  </property>
  <property fmtid="{D5CDD505-2E9C-101B-9397-08002B2CF9AE}" pid="13" name="Mendeley Recent Style Name 5_1">
    <vt:lpwstr>Chicago Manual of Style 16th edition (full note)</vt:lpwstr>
  </property>
  <property fmtid="{D5CDD505-2E9C-101B-9397-08002B2CF9AE}" pid="14" name="Mendeley Recent Style Id 6_1">
    <vt:lpwstr>http://www.zotero.org/styles/harvard-cite-them-right</vt:lpwstr>
  </property>
  <property fmtid="{D5CDD505-2E9C-101B-9397-08002B2CF9AE}" pid="15" name="Mendeley Recent Style Name 6_1">
    <vt:lpwstr>Harvard - Cite Them Right 9th edition</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http://www.zotero.org/styles/science</vt:lpwstr>
  </property>
  <property fmtid="{D5CDD505-2E9C-101B-9397-08002B2CF9AE}" pid="21" name="Mendeley Recent Style Name 9_1">
    <vt:lpwstr>Science</vt:lpwstr>
  </property>
  <property fmtid="{D5CDD505-2E9C-101B-9397-08002B2CF9AE}" pid="22" name="ContentTypeId">
    <vt:lpwstr>0x010100A93145753B523F4A8341B4F287D94C5D</vt:lpwstr>
  </property>
</Properties>
</file>